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07713" w14:textId="4740EF6B" w:rsidR="00976D77" w:rsidRPr="00025D34" w:rsidRDefault="005823E6" w:rsidP="00025D34">
      <w:pPr>
        <w:pStyle w:val="Pagedecouverture"/>
      </w:pPr>
      <w:bookmarkStart w:id="0" w:name="_GoBack"/>
      <w:bookmarkEnd w:id="0"/>
      <w:r>
        <w:pict w14:anchorId="6F8C6A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A22A2518-B11E-4DAE-8B9F-5BA5CE21DF34" style="width:450.75pt;height:395.25pt">
            <v:imagedata r:id="rId8" o:title=""/>
          </v:shape>
        </w:pict>
      </w:r>
    </w:p>
    <w:p w14:paraId="7EA50C89" w14:textId="77777777" w:rsidR="00976D77" w:rsidRPr="00025D34" w:rsidRDefault="00976D77">
      <w:pPr>
        <w:sectPr w:rsidR="00976D77" w:rsidRPr="00025D34" w:rsidSect="003D4F5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1CDECEB2" w14:textId="25B5384A" w:rsidR="00976D77" w:rsidRPr="00025D34" w:rsidRDefault="00025D34" w:rsidP="00025D34">
      <w:pPr>
        <w:pStyle w:val="Typedudocument"/>
      </w:pPr>
      <w:r w:rsidRPr="00025D34">
        <w:lastRenderedPageBreak/>
        <w:t>A BIZOTTSÁG (EU) .../... VÉGREHAJTÁSI RENDELETE</w:t>
      </w:r>
    </w:p>
    <w:p w14:paraId="2AAC3DEF" w14:textId="73C104E4" w:rsidR="00976D77" w:rsidRPr="00025D34" w:rsidRDefault="00025D34" w:rsidP="00025D34">
      <w:pPr>
        <w:pStyle w:val="Datedadoption"/>
        <w:rPr>
          <w:rStyle w:val="Marker2"/>
        </w:rPr>
      </w:pPr>
      <w:r w:rsidRPr="00025D34">
        <w:t>(</w:t>
      </w:r>
      <w:r w:rsidRPr="00025D34">
        <w:rPr>
          <w:rStyle w:val="Marker2"/>
        </w:rPr>
        <w:t>XXX</w:t>
      </w:r>
      <w:r w:rsidRPr="00025D34">
        <w:t>)</w:t>
      </w:r>
    </w:p>
    <w:p w14:paraId="2CD0C74D" w14:textId="7E8C4B44" w:rsidR="00976D77" w:rsidRPr="00025D34" w:rsidRDefault="00025D34" w:rsidP="00025D34">
      <w:pPr>
        <w:pStyle w:val="Titreobjet"/>
      </w:pPr>
      <w:r w:rsidRPr="00025D34">
        <w:t>az intézmények 575/2013/EU európai parlamenti és tanácsi rendelet szerinti felügyeleti adatszolgáltatása tekintetében végrehajtás-technikai standardok megállapításáról szóló 680/2014/EU végrehajtási rendelet módosításáról</w:t>
      </w:r>
    </w:p>
    <w:p w14:paraId="607AA7C4" w14:textId="304046FB" w:rsidR="00976D77" w:rsidRPr="00025D34" w:rsidRDefault="00025D34" w:rsidP="00025D34">
      <w:pPr>
        <w:pStyle w:val="IntrtEEE"/>
      </w:pPr>
      <w:r w:rsidRPr="00025D34">
        <w:t>(EGT-vonatkozású szöveg)</w:t>
      </w:r>
    </w:p>
    <w:p w14:paraId="5C82FF64" w14:textId="77777777" w:rsidR="00976D77" w:rsidRPr="00025D34" w:rsidRDefault="001B445C">
      <w:pPr>
        <w:pStyle w:val="Institutionquiagit"/>
      </w:pPr>
      <w:r w:rsidRPr="00025D34">
        <w:t>AZ EURÓPAI BIZOTTSÁG,</w:t>
      </w:r>
    </w:p>
    <w:p w14:paraId="288C7C77" w14:textId="77777777" w:rsidR="00976D77" w:rsidRPr="00025D34" w:rsidRDefault="001B445C">
      <w:r w:rsidRPr="00025D34">
        <w:t>tekintettel az Európai Unió működéséről szóló szerződésre,</w:t>
      </w:r>
    </w:p>
    <w:p w14:paraId="308FB29B" w14:textId="2835F500" w:rsidR="00976D77" w:rsidRPr="00025D34" w:rsidRDefault="001B445C">
      <w:r w:rsidRPr="00025D34">
        <w:t>tekintettel a hitelintézetekre és befektetési vállalkozásokra vonatkozó prudenciális követelményekről és a 648/2012/EU rendelet módosításáról szóló, 2013. június 26-i 575/2013/EU európai parlamenti és tanácsi rendeletre</w:t>
      </w:r>
      <w:r w:rsidRPr="00025D34">
        <w:rPr>
          <w:rStyle w:val="FootnoteReference"/>
        </w:rPr>
        <w:footnoteReference w:id="1"/>
      </w:r>
      <w:r w:rsidRPr="00025D34">
        <w:t>, és különösen annak 99. cikke (5) bekezdésére,</w:t>
      </w:r>
    </w:p>
    <w:p w14:paraId="13C3A1D4" w14:textId="77777777" w:rsidR="00976D77" w:rsidRPr="00025D34" w:rsidRDefault="001B445C">
      <w:r w:rsidRPr="00025D34">
        <w:t>mivel:</w:t>
      </w:r>
    </w:p>
    <w:p w14:paraId="5323FA5C" w14:textId="6D899A74" w:rsidR="00976D77" w:rsidRPr="00025D34" w:rsidRDefault="001B445C">
      <w:pPr>
        <w:pStyle w:val="Considrant"/>
        <w:numPr>
          <w:ilvl w:val="0"/>
          <w:numId w:val="10"/>
        </w:numPr>
      </w:pPr>
      <w:r w:rsidRPr="00025D34">
        <w:t>A 680/2014/EU bizottsági végrehajtási rendelet</w:t>
      </w:r>
      <w:r w:rsidRPr="00025D34">
        <w:rPr>
          <w:rStyle w:val="FootnoteReference"/>
        </w:rPr>
        <w:footnoteReference w:id="2"/>
      </w:r>
      <w:r w:rsidRPr="00025D34">
        <w:t xml:space="preserve"> egységes követelményeket állapít meg az intézményekre vonatkozóan az 575/2013/EU rendelet 99. és 100. cikke, 101. cikke (4) bekezdésének a) pontja, 394. cikkének (1) bekezdése, valamint 415. és 430. cikke alkalmazásában az illetékes hatóságoknak történő felügyeleti adatszolgáltatás tekintetében.</w:t>
      </w:r>
    </w:p>
    <w:p w14:paraId="26488C0A" w14:textId="7104C3B3" w:rsidR="00976D77" w:rsidRPr="00025D34" w:rsidRDefault="00EA64E6">
      <w:pPr>
        <w:pStyle w:val="Considrant"/>
      </w:pPr>
      <w:r w:rsidRPr="00025D34">
        <w:t>Az (EU) 2017/2402 európai parlamenti és tanácsi rendelet</w:t>
      </w:r>
      <w:r w:rsidRPr="00025D34">
        <w:rPr>
          <w:rStyle w:val="FootnoteReference"/>
        </w:rPr>
        <w:footnoteReference w:id="3"/>
      </w:r>
      <w:r w:rsidRPr="00025D34">
        <w:t xml:space="preserve"> létrehozta az értékpapírosítás új keretét, beleértve az egyszerű, átlátható és egységesített (STS) értékpapírosításokra vonatkozó egyedi keretet is. Kedvezményes elbánást biztosított az STS-értékpapírosítások és egyes szintetikus kkv-értékpapírosítások tekintetében, és meghatározta az értékpapírosítási kitettségek kockázatérzékenyebb szabályozási kezelésére vonatkozó keretet. A 680/2014/EU végrehajtási rendeletet módosítani kell annak érdekében, hogy az értékpapírosítási pozíciókra vonatkozó adatszolgáltatás igazodjon az új értékpapírosítási kerethez.</w:t>
      </w:r>
    </w:p>
    <w:p w14:paraId="483135B2" w14:textId="65B6C67D" w:rsidR="00976D77" w:rsidRPr="00025D34" w:rsidRDefault="00D913C8">
      <w:pPr>
        <w:pStyle w:val="Considrant"/>
      </w:pPr>
      <w:r w:rsidRPr="00025D34">
        <w:lastRenderedPageBreak/>
        <w:t>Az 1126/2008/EK bizottsági rendeletet</w:t>
      </w:r>
      <w:r w:rsidRPr="00025D34">
        <w:rPr>
          <w:rStyle w:val="FootnoteReference"/>
        </w:rPr>
        <w:footnoteReference w:id="4"/>
      </w:r>
      <w:r w:rsidRPr="00025D34">
        <w:t xml:space="preserve"> az (EU) 2017/1986 bizottsági rendelet</w:t>
      </w:r>
      <w:r w:rsidRPr="00025D34">
        <w:rPr>
          <w:rStyle w:val="FootnoteReference"/>
        </w:rPr>
        <w:footnoteReference w:id="5"/>
      </w:r>
      <w:r w:rsidRPr="00025D34">
        <w:t xml:space="preserve"> módosította annak érdekében, hogy azt összhangba hozza az IFRS 16 Lízingek nemzetközi pénzügyi beszámolási standarddal, amelyet a Nemzetközi Számviteli Standard Testület (IASB) 2016. január 13-án tett közzé. E módosítások figyelembevétele érdekében a 680/2014/EU végrehajtási rendeletet is módosítani kell.</w:t>
      </w:r>
    </w:p>
    <w:p w14:paraId="22E5D43E" w14:textId="77777777" w:rsidR="00976D77" w:rsidRPr="00025D34" w:rsidRDefault="00EE58F1">
      <w:pPr>
        <w:pStyle w:val="Considrant"/>
        <w:rPr>
          <w:color w:val="000000"/>
        </w:rPr>
      </w:pPr>
      <w:r w:rsidRPr="00025D34">
        <w:t>Az illetékes hatóságoknak képesnek kell lenniük arra, hogy hatékonyan nyomon kövessék és értékeljék az intézmények kockázati profilját, és véleményt alkossanak a pénzügyi ágazatot érintő kockázatokról. A nemteljesítő kitettségek magas szintje befolyásolja az intézmények kockázati profilját, nyereségességét és fizetőképességét, és végső soron a gazdaság egészének hitelezési kapacitását. Az adatszolgáltatási követelményeket ezért felül kell vizsgálni annak érdekében, hogy az illetékes hatóságok jobban tudják értékelni és nyomon követni a nemteljesítő kitettségeket azáltal, hogy rendszeresen részletesebb információkat gyűjtenek ezekről a kitettségekről, és megszüntetik az azonosított adathiányokat.</w:t>
      </w:r>
    </w:p>
    <w:p w14:paraId="660C1B8C" w14:textId="77777777" w:rsidR="00976D77" w:rsidRPr="00025D34" w:rsidRDefault="00F95996">
      <w:pPr>
        <w:pStyle w:val="Considrant"/>
        <w:rPr>
          <w:color w:val="000000"/>
        </w:rPr>
      </w:pPr>
      <w:r w:rsidRPr="00025D34">
        <w:t>Ezenkívül az intézmények költségeinek struktúrája és nagysága jelentősen befolyásolja az intézmények üzleti modelljeinek jövedelmezőségét és fenntarthatóságát. Annak érdekében, hogy az illetékes hatóságok jobban áttekinthessék e költségeket, javítani kell az adatszolgáltatási keretet.</w:t>
      </w:r>
    </w:p>
    <w:p w14:paraId="7989BF92" w14:textId="77777777" w:rsidR="00976D77" w:rsidRPr="00025D34" w:rsidRDefault="00EA64E6">
      <w:pPr>
        <w:pStyle w:val="Considrant"/>
      </w:pPr>
      <w:r w:rsidRPr="00025D34">
        <w:t>A nemzetközi standardokhoz való igazodás javítása és a hitelintézetek hatékonyabb likviditáskezelésének elősegítése érdekében az (EU) 2018/1620 felhatalmazáson alapuló bizottsági rendelet</w:t>
      </w:r>
      <w:r w:rsidRPr="00025D34">
        <w:rPr>
          <w:rStyle w:val="FootnoteReference"/>
        </w:rPr>
        <w:footnoteReference w:id="6"/>
      </w:r>
      <w:r w:rsidRPr="00025D34">
        <w:t xml:space="preserve"> módosította az (EU) 2015/61 felhatalmazáson alapuló bizottsági rendeletet</w:t>
      </w:r>
      <w:r w:rsidRPr="00025D34">
        <w:rPr>
          <w:rStyle w:val="FootnoteReference"/>
        </w:rPr>
        <w:footnoteReference w:id="7"/>
      </w:r>
      <w:r w:rsidRPr="00025D34">
        <w:t>.</w:t>
      </w:r>
      <w:r w:rsidRPr="00025D34">
        <w:rPr>
          <w:color w:val="444444"/>
        </w:rPr>
        <w:t xml:space="preserve"> </w:t>
      </w:r>
      <w:r w:rsidRPr="00025D34">
        <w:t>Annak érdekében, hogy e módosítások a hitelintézetekre vonatkozó likviditásfedezeti követelmények adatszolgáltatási keretében is megjelenjenek, módosítani kell a 680/2014/EU végrehajtási rendeletet is.</w:t>
      </w:r>
    </w:p>
    <w:p w14:paraId="34872B97" w14:textId="77777777" w:rsidR="00976D77" w:rsidRPr="00025D34" w:rsidRDefault="003F04FB">
      <w:pPr>
        <w:pStyle w:val="Considrant"/>
      </w:pPr>
      <w:r w:rsidRPr="00025D34">
        <w:t>Felül kell vizsgálni továbbá a 680/2014/EU végrehajtási rendelet tábláit és utasításait is – egyfelől a táblákba és utasításokba az említett rendelet végrehajtásának első éveiben beillesztett tájékoztató adatok célszerűségének és megfelelőségének vizsgálata érdekében, másfelől a rendelet alkalmazása során feltárt elírások, téves hivatkozások és formázási következetlenségek javítása céljából.</w:t>
      </w:r>
    </w:p>
    <w:p w14:paraId="40A01AE5" w14:textId="5ED49F5D" w:rsidR="00976D77" w:rsidRPr="00025D34" w:rsidRDefault="00B31B60">
      <w:pPr>
        <w:pStyle w:val="Considrant"/>
      </w:pPr>
      <w:r w:rsidRPr="00025D34">
        <w:t xml:space="preserve">Annak érdekében, hogy az illetékes hatóságok hatékonyan gyakorolhassák felügyeleti feladataikat, biztosítani kell, hogy az intézmények a lehető leghamarabb az e végrehajtási rendelettel módosított táblák használatával szolgáltassák az adatokat. Az új uniós értékpapírosítási keret az átmeneti rendelkezések lejártát követően 2020. január 1-jén válik teljes mértékben alkalmazandóvá. Ezért indokolt, hogy az e végrehajtási rendelet szerinti, a szavatolótőkére és a szavatolótőke-követelményekre vonatkozó módosított adatszolgáltatási követelményeket 2020. március 30-tól kelljen alkalmazni. Annak érdekében, hogy az intézményeknek és az illetékes hatóságoknak elég idejük legyen végrehajtani az e végrehajtási rendelet III–V. mellékletében meghatározott, nemteljesítő kitettségekre, átstrukturált tartozásokra, működési és igazgatási költségekre, valamint pénzügyi információkra vonatkozó módosított adatszolgáltatási követelményeket, indokolt, hogy azokat 2020. június 1-jétől kelljen alkalmazni. Végül az (EU) 2018/1620 felhatalmazáson alapuló rendelet által bevezetett, 2019. április 30-tól alkalmazandó módosítások figyelembevételével indokolt, hogy az e végrehajtási rendelet likviditási adatszolgáltatásra vonatkozó rendelkezéseit 2020. április 1-jétől kelljen alkalmazni. </w:t>
      </w:r>
    </w:p>
    <w:p w14:paraId="59349144" w14:textId="77777777" w:rsidR="00976D77" w:rsidRPr="00025D34" w:rsidRDefault="001B445C">
      <w:pPr>
        <w:pStyle w:val="Considrant"/>
        <w:rPr>
          <w:color w:val="000000"/>
        </w:rPr>
      </w:pPr>
      <w:r w:rsidRPr="00025D34">
        <w:t>Ez a rendelet az Európai Bankhatóság (EBH) által a Bizottsághoz benyújtott végrehajtás-technikai standardtervezeten alapul.</w:t>
      </w:r>
    </w:p>
    <w:p w14:paraId="50B5C1E2" w14:textId="77777777" w:rsidR="00976D77" w:rsidRPr="00025D34" w:rsidRDefault="001B445C">
      <w:pPr>
        <w:pStyle w:val="Considrant"/>
        <w:rPr>
          <w:color w:val="000000"/>
        </w:rPr>
      </w:pPr>
      <w:r w:rsidRPr="00025D34">
        <w:t>Az EBH nyilvános konzultációt folytatott az e rendelet alapját képező végrehajtás-technikai standardtervezetről, elemezte az azzal összefüggésben felmerülő lehetséges költségeket és hasznot, továbbá kikérte az 1093/2010/EU európai parlamenti és tanácsi rendelet</w:t>
      </w:r>
      <w:r w:rsidRPr="00025D34">
        <w:rPr>
          <w:rStyle w:val="FootnoteReference"/>
        </w:rPr>
        <w:footnoteReference w:id="8"/>
      </w:r>
      <w:r w:rsidRPr="00025D34">
        <w:t xml:space="preserve"> 37. cikkével összhangban létrehozott banki érdekképviseleti csoport véleményét. Az említett rendelet 15. cikke (1) bekezdése második albekezdésének megfelelően az EBH nem folytatott további nyilvános konzultációt az e rendelet alapjául szolgáló végrehajtás-technikai standardtervezet azon részeire vonatkozóan, amelyek vagy szerkesztési jellegűek vagy csak néhány elemmel bővítik a felügyeleti adatszolgáltatási keretet. Egy ilyen konzultáció a szóban forgó végrehajtás-technikai standardtervezet hatókörével és hatásával összehasonlítva aránytalan lenne.</w:t>
      </w:r>
    </w:p>
    <w:p w14:paraId="67DBCF52" w14:textId="77777777" w:rsidR="00976D77" w:rsidRPr="00025D34" w:rsidRDefault="001B445C">
      <w:pPr>
        <w:pStyle w:val="Considrant"/>
        <w:rPr>
          <w:color w:val="000000"/>
        </w:rPr>
      </w:pPr>
      <w:r w:rsidRPr="00025D34">
        <w:t>A 680/2014/EU végrehajtási rendeletet ezért ennek megfelelően módosítani kell,</w:t>
      </w:r>
    </w:p>
    <w:p w14:paraId="76AD5CEB" w14:textId="77777777" w:rsidR="00976D77" w:rsidRPr="00025D34" w:rsidRDefault="001B445C">
      <w:pPr>
        <w:pStyle w:val="Formuledadoption"/>
      </w:pPr>
      <w:r w:rsidRPr="00025D34">
        <w:t>ELFOGADTA EZT A RENDELETET:</w:t>
      </w:r>
    </w:p>
    <w:p w14:paraId="73D2A54B" w14:textId="77777777" w:rsidR="00976D77" w:rsidRPr="00025D34" w:rsidRDefault="001B445C">
      <w:pPr>
        <w:pStyle w:val="Titrearticle"/>
        <w:keepLines/>
        <w:rPr>
          <w:color w:val="000000"/>
          <w:szCs w:val="24"/>
        </w:rPr>
      </w:pPr>
      <w:r w:rsidRPr="00025D34">
        <w:t>1. cikk</w:t>
      </w:r>
    </w:p>
    <w:p w14:paraId="731C2D3F" w14:textId="59043673" w:rsidR="00976D77" w:rsidRPr="00025D34" w:rsidRDefault="001B445C">
      <w:pPr>
        <w:rPr>
          <w:szCs w:val="24"/>
        </w:rPr>
      </w:pPr>
      <w:r w:rsidRPr="00025D34">
        <w:t>A 680/2014/EU végrehajtási rendelet a következőképpen módosul:</w:t>
      </w:r>
    </w:p>
    <w:p w14:paraId="1B00C599" w14:textId="77777777" w:rsidR="00976D77" w:rsidRPr="00025D34" w:rsidRDefault="00C63439">
      <w:pPr>
        <w:pStyle w:val="Point0number"/>
        <w:numPr>
          <w:ilvl w:val="0"/>
          <w:numId w:val="12"/>
        </w:numPr>
      </w:pPr>
      <w:r w:rsidRPr="00025D34">
        <w:t>Az 5. cikk a következőképpen módosul:</w:t>
      </w:r>
    </w:p>
    <w:p w14:paraId="07A92DDE" w14:textId="77777777" w:rsidR="00976D77" w:rsidRPr="00025D34" w:rsidRDefault="00C63439">
      <w:pPr>
        <w:pStyle w:val="Point1letter"/>
        <w:numPr>
          <w:ilvl w:val="3"/>
          <w:numId w:val="11"/>
        </w:numPr>
      </w:pPr>
      <w:r w:rsidRPr="00025D34">
        <w:t>az a) pont a következőképpen módosul:</w:t>
      </w:r>
    </w:p>
    <w:p w14:paraId="0051425E" w14:textId="77777777" w:rsidR="00976D77" w:rsidRPr="00025D34" w:rsidRDefault="00294A2C">
      <w:pPr>
        <w:pStyle w:val="Text2"/>
      </w:pPr>
      <w:r w:rsidRPr="00025D34">
        <w:t>i.</w:t>
      </w:r>
      <w:r w:rsidRPr="00025D34">
        <w:tab/>
        <w:t>a (7) pontot el kell hagyni;</w:t>
      </w:r>
    </w:p>
    <w:p w14:paraId="486BC3C6" w14:textId="77777777" w:rsidR="00976D77" w:rsidRPr="00025D34" w:rsidRDefault="00294A2C">
      <w:pPr>
        <w:pStyle w:val="Text2"/>
      </w:pPr>
      <w:r w:rsidRPr="00025D34">
        <w:t>ii.</w:t>
      </w:r>
      <w:r w:rsidRPr="00025D34">
        <w:tab/>
        <w:t>a (8) pont helyébe a következő szöveg lép:</w:t>
      </w:r>
    </w:p>
    <w:p w14:paraId="6942628A" w14:textId="77777777" w:rsidR="00976D77" w:rsidRPr="00025D34" w:rsidRDefault="00294A2C">
      <w:pPr>
        <w:pStyle w:val="Text1"/>
        <w:ind w:left="2268" w:right="568" w:hanging="567"/>
        <w:rPr>
          <w:szCs w:val="24"/>
        </w:rPr>
      </w:pPr>
      <w:r w:rsidRPr="00025D34">
        <w:t>„(8)</w:t>
      </w:r>
      <w:r w:rsidRPr="00025D34">
        <w:tab/>
        <w:t>az értékpapírosítási kitettségekre vonatkozóan az I. melléklet 13.01. táblájában meghatározott információk, a II. melléklet II. részének 3.7. pontjában foglalt útmutatónak megfelelően;”;</w:t>
      </w:r>
    </w:p>
    <w:p w14:paraId="32CB27AB" w14:textId="77777777" w:rsidR="00976D77" w:rsidRPr="00025D34" w:rsidRDefault="00D63710">
      <w:pPr>
        <w:pStyle w:val="Point1letter"/>
      </w:pPr>
      <w:r w:rsidRPr="00025D34">
        <w:t>a b) pont (1) pontja helyébe a következő szöveg lép:</w:t>
      </w:r>
    </w:p>
    <w:p w14:paraId="2C729D6F" w14:textId="1DF29E03" w:rsidR="00976D77" w:rsidRPr="00025D34" w:rsidRDefault="00DC3927">
      <w:pPr>
        <w:pStyle w:val="Text1"/>
        <w:ind w:left="1701" w:right="568" w:hanging="567"/>
        <w:rPr>
          <w:szCs w:val="24"/>
        </w:rPr>
      </w:pPr>
      <w:r w:rsidRPr="00025D34">
        <w:t>„(1)</w:t>
      </w:r>
      <w:r w:rsidRPr="00025D34">
        <w:tab/>
        <w:t>az összes értékpapírosítási kitettségre vonatkozóan az I. melléklet 14. és 14.01. táblájában meghatározott információk, a II. melléklet II. részének 3.9. pontjában foglalt útmutatónak megfelelően.</w:t>
      </w:r>
    </w:p>
    <w:p w14:paraId="36BD954D" w14:textId="62EBDF1E" w:rsidR="00976D77" w:rsidRPr="00025D34" w:rsidRDefault="002A096A">
      <w:pPr>
        <w:pStyle w:val="Text1"/>
        <w:ind w:left="1701" w:right="568"/>
        <w:rPr>
          <w:szCs w:val="24"/>
        </w:rPr>
      </w:pPr>
      <w:r w:rsidRPr="00025D34">
        <w:t>Az intézmények mentesülnek az említett értékpapírosítási adatok benyújtása alól, amennyiben ugyanazon országban lévő csoport tagjai, amely ország szavatolótőke-követelményeinek hatálya alá tartoznak;”.</w:t>
      </w:r>
    </w:p>
    <w:p w14:paraId="22157E12" w14:textId="77777777" w:rsidR="00976D77" w:rsidRPr="00025D34" w:rsidRDefault="00DC3927">
      <w:r w:rsidRPr="00025D34">
        <w:t>2.</w:t>
      </w:r>
      <w:r w:rsidRPr="00025D34">
        <w:tab/>
        <w:t>A 9. cikk (2) bekezdése a következőképpen módosul:</w:t>
      </w:r>
    </w:p>
    <w:p w14:paraId="2D923CE0" w14:textId="77777777" w:rsidR="00976D77" w:rsidRPr="00025D34" w:rsidRDefault="00C52F81">
      <w:pPr>
        <w:pStyle w:val="Text1"/>
      </w:pPr>
      <w:r w:rsidRPr="00025D34">
        <w:t>i.</w:t>
      </w:r>
      <w:r w:rsidRPr="00025D34">
        <w:tab/>
        <w:t>a c) pont helyébe a következő szöveg lép:</w:t>
      </w:r>
    </w:p>
    <w:p w14:paraId="5E362A06" w14:textId="77777777" w:rsidR="00976D77" w:rsidRPr="00025D34" w:rsidRDefault="00DC3927">
      <w:pPr>
        <w:pStyle w:val="Text1"/>
        <w:ind w:left="1701" w:right="568" w:hanging="567"/>
        <w:rPr>
          <w:szCs w:val="24"/>
        </w:rPr>
      </w:pPr>
      <w:r w:rsidRPr="00025D34">
        <w:t>„c)</w:t>
      </w:r>
      <w:r w:rsidRPr="00025D34">
        <w:tab/>
        <w:t>évenkénti gyakorisággal a III. melléklet 4. részében meghatározott információkat a 47. táblában meghatározott információk kivételével;”</w:t>
      </w:r>
    </w:p>
    <w:p w14:paraId="5EF72169" w14:textId="77777777" w:rsidR="00976D77" w:rsidRPr="00025D34" w:rsidRDefault="00C52F81">
      <w:pPr>
        <w:pStyle w:val="Text1"/>
      </w:pPr>
      <w:r w:rsidRPr="00025D34">
        <w:t>ii.</w:t>
      </w:r>
      <w:r w:rsidRPr="00025D34">
        <w:tab/>
        <w:t>a szöveg a következő h) és i) ponttal egészül ki:</w:t>
      </w:r>
    </w:p>
    <w:p w14:paraId="49C9B54D" w14:textId="77777777" w:rsidR="00976D77" w:rsidRPr="00025D34" w:rsidRDefault="00C52F81">
      <w:pPr>
        <w:pStyle w:val="Text1"/>
        <w:ind w:left="1701" w:right="568" w:hanging="567"/>
        <w:rPr>
          <w:szCs w:val="24"/>
        </w:rPr>
      </w:pPr>
      <w:r w:rsidRPr="00025D34">
        <w:t>„h)</w:t>
      </w:r>
      <w:r w:rsidRPr="00025D34">
        <w:tab/>
        <w:t>negyedévenkénti gyakorisággal a III. melléklet 2. részének 23–26. táblájában meghatározott információkat, amennyiben teljesül mindkét következő feltétel:</w:t>
      </w:r>
    </w:p>
    <w:p w14:paraId="5A3D23FC" w14:textId="77777777" w:rsidR="00976D77" w:rsidRPr="00025D34" w:rsidRDefault="001B445C">
      <w:pPr>
        <w:pStyle w:val="Text2"/>
        <w:ind w:left="2268" w:right="568" w:hanging="567"/>
        <w:rPr>
          <w:szCs w:val="24"/>
        </w:rPr>
      </w:pPr>
      <w:r w:rsidRPr="00025D34">
        <w:t>i.</w:t>
      </w:r>
      <w:r w:rsidRPr="00025D34">
        <w:tab/>
        <w:t>az intézmény nem az 575/2013/EU rendelet 4. cikke (1) bekezdésének 145. pontja szerinti kis méretű és nem összetett intézmény;</w:t>
      </w:r>
    </w:p>
    <w:p w14:paraId="769A72A7" w14:textId="7FA489CA" w:rsidR="00976D77" w:rsidRPr="00025D34" w:rsidRDefault="001B445C">
      <w:pPr>
        <w:pStyle w:val="Text2"/>
        <w:ind w:left="2268" w:right="568" w:hanging="567"/>
        <w:rPr>
          <w:szCs w:val="24"/>
        </w:rPr>
      </w:pPr>
      <w:r w:rsidRPr="00025D34">
        <w:t>ii.</w:t>
      </w:r>
      <w:r w:rsidRPr="00025D34">
        <w:tab/>
        <w:t>az intézmény esetében a nemteljesítő hitelek és előlegek bruttó könyv szerinti értékének és az e rendelet V. melléklete 2. részének 17. szakaszában meghatározott nemteljesítő kitettségek kategóriájába tartozó hitelek és előlegek teljes bruttó könyv szerinti értékének aránya legalább 5 %. E pont alkalmazásában az említett arány sem a számlálóban, sem a nevezőben nem tartalmazza az értékesítésre tartottnak minősülő hiteleket és előlegeket, a központi bankokkal szembeni számlaköveteléseket és az egyéb látra szóló betéteket.</w:t>
      </w:r>
    </w:p>
    <w:p w14:paraId="1E2D7764" w14:textId="77777777" w:rsidR="00976D77" w:rsidRPr="00025D34" w:rsidRDefault="0084057B">
      <w:pPr>
        <w:pStyle w:val="Text2"/>
        <w:ind w:left="1678" w:right="568" w:firstLine="23"/>
        <w:rPr>
          <w:szCs w:val="24"/>
        </w:rPr>
      </w:pPr>
      <w:r w:rsidRPr="00025D34">
        <w:t>Alkalmazni kell a 4. cikkben említett belépési és kilépési kritériumokat;</w:t>
      </w:r>
    </w:p>
    <w:p w14:paraId="514A0195" w14:textId="77777777" w:rsidR="00976D77" w:rsidRPr="00025D34" w:rsidRDefault="00D63710">
      <w:pPr>
        <w:pStyle w:val="Text1"/>
        <w:ind w:left="1701" w:right="568" w:hanging="567"/>
        <w:rPr>
          <w:szCs w:val="24"/>
        </w:rPr>
      </w:pPr>
      <w:r w:rsidRPr="00025D34">
        <w:t>i)</w:t>
      </w:r>
      <w:r w:rsidRPr="00025D34">
        <w:tab/>
        <w:t>évenkénti gyakorisággal a III. melléklet 4. részének 47. táblájában meghatározott információkat, amennyiben teljesül az e bekezdés h) pontjának i. és ii. alpontjában említett mindkét feltétel. Alkalmazni kell a 4. cikkben említett belépési és kilépési kritériumokat.”.</w:t>
      </w:r>
    </w:p>
    <w:p w14:paraId="1F2B8B32" w14:textId="77777777" w:rsidR="00976D77" w:rsidRPr="00025D34" w:rsidRDefault="00D63710">
      <w:pPr>
        <w:pStyle w:val="Text1"/>
        <w:ind w:left="567" w:hanging="567"/>
        <w:rPr>
          <w:szCs w:val="24"/>
        </w:rPr>
      </w:pPr>
      <w:r w:rsidRPr="00025D34">
        <w:t>3.</w:t>
      </w:r>
      <w:r w:rsidRPr="00025D34">
        <w:tab/>
        <w:t>A 11. cikk (2) bekezdése a következőképpen módosul:</w:t>
      </w:r>
    </w:p>
    <w:p w14:paraId="6487BD60" w14:textId="77777777" w:rsidR="00976D77" w:rsidRPr="00025D34" w:rsidRDefault="00D63710">
      <w:pPr>
        <w:pStyle w:val="Text1"/>
      </w:pPr>
      <w:r w:rsidRPr="00025D34">
        <w:t>i.</w:t>
      </w:r>
      <w:r w:rsidRPr="00025D34">
        <w:tab/>
        <w:t>a c) pont helyébe a következő szöveg lép:</w:t>
      </w:r>
    </w:p>
    <w:p w14:paraId="4678FF44" w14:textId="77777777" w:rsidR="00976D77" w:rsidRPr="00025D34" w:rsidRDefault="00D63710">
      <w:pPr>
        <w:pStyle w:val="Text1"/>
        <w:ind w:left="1701" w:right="568" w:hanging="567"/>
        <w:rPr>
          <w:szCs w:val="24"/>
        </w:rPr>
      </w:pPr>
      <w:r w:rsidRPr="00025D34">
        <w:t>„c)</w:t>
      </w:r>
      <w:r w:rsidRPr="00025D34">
        <w:tab/>
        <w:t>évenkénti gyakorisággal a IV. melléklet 4. részében meghatározott információkat a 47. táblában meghatározott információk kivételével;”;</w:t>
      </w:r>
    </w:p>
    <w:p w14:paraId="2AE5A30E" w14:textId="77777777" w:rsidR="00976D77" w:rsidRPr="00025D34" w:rsidRDefault="00D63710">
      <w:pPr>
        <w:pStyle w:val="Text1"/>
      </w:pPr>
      <w:r w:rsidRPr="00025D34">
        <w:t>ii.</w:t>
      </w:r>
      <w:r w:rsidRPr="00025D34">
        <w:tab/>
        <w:t>a szöveg a következő h) és i) ponttal egészül ki:</w:t>
      </w:r>
    </w:p>
    <w:p w14:paraId="46AD1146" w14:textId="77777777" w:rsidR="00976D77" w:rsidRPr="00025D34" w:rsidRDefault="00D63710">
      <w:pPr>
        <w:pStyle w:val="Text1"/>
        <w:ind w:left="1701" w:hanging="567"/>
        <w:rPr>
          <w:szCs w:val="24"/>
        </w:rPr>
      </w:pPr>
      <w:r w:rsidRPr="00025D34">
        <w:t>„h)</w:t>
      </w:r>
      <w:r w:rsidRPr="00025D34">
        <w:tab/>
        <w:t>negyedévenkénti gyakorisággal a IV. melléklet 2. részének 23–26. táblájában meghatározott információkat, amennyiben teljesülnek a 9. cikk (2) bekezdése h) pontjának i. és ii. alpontjában említett feltételek. Alkalmazni kell a 4. cikkben említett belépési és kilépési kritériumokat;</w:t>
      </w:r>
    </w:p>
    <w:p w14:paraId="787C8551" w14:textId="77777777" w:rsidR="00976D77" w:rsidRPr="00025D34" w:rsidRDefault="001B445C">
      <w:pPr>
        <w:pStyle w:val="Text1"/>
        <w:ind w:left="1701" w:hanging="567"/>
        <w:rPr>
          <w:szCs w:val="24"/>
        </w:rPr>
      </w:pPr>
      <w:r w:rsidRPr="00025D34">
        <w:t>i)</w:t>
      </w:r>
      <w:r w:rsidRPr="00025D34">
        <w:tab/>
        <w:t>évenkénti gyakorisággal a IV. melléklet 4. részének 47. táblájában meghatározott információkat, amennyiben teljesülnek a 9. cikk (2) bekezdése h) pontjának i. és ii. alpontjában említett feltételek. Alkalmazni kell a 4. cikkben említett belépési és kilépési kritériumokat.”.</w:t>
      </w:r>
    </w:p>
    <w:p w14:paraId="5C135AED" w14:textId="77777777" w:rsidR="00976D77" w:rsidRPr="00025D34" w:rsidRDefault="00D63710">
      <w:r w:rsidRPr="00025D34">
        <w:t>4.</w:t>
      </w:r>
      <w:r w:rsidRPr="00025D34">
        <w:tab/>
        <w:t>A 680/2014/EU végrehajtási rendelet I. mellékletének helyébe e rendelet I. mellékletének szövege lép.</w:t>
      </w:r>
    </w:p>
    <w:p w14:paraId="6D942284" w14:textId="77777777" w:rsidR="00976D77" w:rsidRPr="00025D34" w:rsidRDefault="00D63710">
      <w:r w:rsidRPr="00025D34">
        <w:t>5.</w:t>
      </w:r>
      <w:r w:rsidRPr="00025D34">
        <w:tab/>
        <w:t xml:space="preserve">A 680/2014/EU végrehajtási rendelet II. mellékletének helyébe e rendelet II. mellékletének szövege lép. </w:t>
      </w:r>
    </w:p>
    <w:p w14:paraId="66FD1BC9" w14:textId="77777777" w:rsidR="00976D77" w:rsidRPr="00025D34" w:rsidRDefault="00D63710">
      <w:r w:rsidRPr="00025D34">
        <w:t>6.</w:t>
      </w:r>
      <w:r w:rsidRPr="00025D34">
        <w:tab/>
        <w:t xml:space="preserve">A 680/2014/EU végrehajtási rendelet III. mellékletének helyébe e rendelet III. mellékletének szövege lép. </w:t>
      </w:r>
    </w:p>
    <w:p w14:paraId="171FD559" w14:textId="77777777" w:rsidR="00976D77" w:rsidRPr="00025D34" w:rsidRDefault="00D63710">
      <w:r w:rsidRPr="00025D34">
        <w:t>7.</w:t>
      </w:r>
      <w:r w:rsidRPr="00025D34">
        <w:tab/>
        <w:t xml:space="preserve">A 680/2014/EU végrehajtási rendelet IV. mellékletének helyébe e rendelet IV. mellékletének szövege lép. </w:t>
      </w:r>
    </w:p>
    <w:p w14:paraId="3B487D51" w14:textId="77777777" w:rsidR="00976D77" w:rsidRPr="00025D34" w:rsidRDefault="00D63710">
      <w:r w:rsidRPr="00025D34">
        <w:t>8.</w:t>
      </w:r>
      <w:r w:rsidRPr="00025D34">
        <w:tab/>
        <w:t>A 680/2014/EU végrehajtási rendelet V. mellékletének helyébe e rendelet V. mellékletének szövege lép.</w:t>
      </w:r>
    </w:p>
    <w:p w14:paraId="66FC58ED" w14:textId="77777777" w:rsidR="00976D77" w:rsidRPr="00025D34" w:rsidRDefault="00D63710">
      <w:r w:rsidRPr="00025D34">
        <w:t>9.</w:t>
      </w:r>
      <w:r w:rsidRPr="00025D34">
        <w:tab/>
        <w:t>A 680/2014/EU végrehajtási rendelet XVIII. mellékletének helyébe e rendelet VI. mellékletének szövege lép.</w:t>
      </w:r>
    </w:p>
    <w:p w14:paraId="79EC6764" w14:textId="77777777" w:rsidR="00976D77" w:rsidRPr="00025D34" w:rsidRDefault="00D63710">
      <w:r w:rsidRPr="00025D34">
        <w:t>10.</w:t>
      </w:r>
      <w:r w:rsidRPr="00025D34">
        <w:tab/>
        <w:t xml:space="preserve">A 680/2014/EU végrehajtási rendelet XIX. mellékletének helyébe e rendelet VII. mellékletének szövege lép. </w:t>
      </w:r>
    </w:p>
    <w:p w14:paraId="7D476BB9" w14:textId="77777777" w:rsidR="00976D77" w:rsidRPr="00025D34" w:rsidRDefault="00D63710">
      <w:r w:rsidRPr="00025D34">
        <w:t>11.</w:t>
      </w:r>
      <w:r w:rsidRPr="00025D34">
        <w:tab/>
        <w:t>A 680/2014/EU végrehajtási rendelet XXIV. mellékletének helyébe e rendelet VIII. mellékletének szövege lép.</w:t>
      </w:r>
    </w:p>
    <w:p w14:paraId="37FC96E9" w14:textId="77777777" w:rsidR="00976D77" w:rsidRPr="00025D34" w:rsidRDefault="00D63710">
      <w:r w:rsidRPr="00025D34">
        <w:t>12.</w:t>
      </w:r>
      <w:r w:rsidRPr="00025D34">
        <w:tab/>
        <w:t>A 680/2014/EU végrehajtási rendelet XXV. mellékletének helyébe e rendelet IX. mellékletének szövege lép.</w:t>
      </w:r>
    </w:p>
    <w:p w14:paraId="7036487A" w14:textId="77777777" w:rsidR="00976D77" w:rsidRPr="00025D34" w:rsidRDefault="001B445C">
      <w:pPr>
        <w:pStyle w:val="Titrearticle"/>
        <w:keepLines/>
        <w:rPr>
          <w:color w:val="000000"/>
          <w:szCs w:val="24"/>
        </w:rPr>
      </w:pPr>
      <w:r w:rsidRPr="00025D34">
        <w:t>2. cikk</w:t>
      </w:r>
    </w:p>
    <w:p w14:paraId="6D87565F" w14:textId="66470D21" w:rsidR="00976D77" w:rsidRPr="00025D34" w:rsidRDefault="001B445C">
      <w:pPr>
        <w:rPr>
          <w:color w:val="000000"/>
          <w:szCs w:val="24"/>
        </w:rPr>
      </w:pPr>
      <w:r w:rsidRPr="00025D34">
        <w:t xml:space="preserve">Ez a rendelet az </w:t>
      </w:r>
      <w:r w:rsidRPr="00025D34">
        <w:rPr>
          <w:i/>
        </w:rPr>
        <w:t>Európai Unió Hivatalos Lapjában</w:t>
      </w:r>
      <w:r w:rsidRPr="00025D34">
        <w:t xml:space="preserve"> való kihirdetését követő napon lép hatályba.</w:t>
      </w:r>
    </w:p>
    <w:p w14:paraId="7C0963A2" w14:textId="4ECFA9D7" w:rsidR="00976D77" w:rsidRPr="00025D34" w:rsidRDefault="00FB65A6">
      <w:pPr>
        <w:rPr>
          <w:color w:val="000000"/>
          <w:szCs w:val="24"/>
        </w:rPr>
      </w:pPr>
      <w:r w:rsidRPr="00025D34">
        <w:t>Az 1. cikk 1., 4. és 5. pontját 2020. március 30-tól kell alkalmazni. Az 1. cikk 9–12. pontját 2020. április 1-jétől kell alkalmazni. Az 1. cikk 2., 3. és 6–8. pontját 2020. június 1-jétől kell alkalmazni.</w:t>
      </w:r>
    </w:p>
    <w:p w14:paraId="0F403810" w14:textId="77777777" w:rsidR="00976D77" w:rsidRPr="00025D34" w:rsidRDefault="001B445C">
      <w:pPr>
        <w:rPr>
          <w:color w:val="000000"/>
          <w:szCs w:val="24"/>
        </w:rPr>
      </w:pPr>
      <w:r w:rsidRPr="00025D34">
        <w:t>Ez a rendelet teljes egészében kötelező és közvetlenül alkalmazandó valamennyi tagállamban.</w:t>
      </w:r>
    </w:p>
    <w:p w14:paraId="2DB37B2E" w14:textId="7335CAF1" w:rsidR="00976D77" w:rsidRPr="00025D34" w:rsidRDefault="00025D34" w:rsidP="00025D34">
      <w:pPr>
        <w:pStyle w:val="Fait"/>
      </w:pPr>
      <w:r w:rsidRPr="00025D34">
        <w:t>Kelt Brüsszelben, -án/-én.</w:t>
      </w:r>
    </w:p>
    <w:p w14:paraId="5989647B" w14:textId="77777777" w:rsidR="00976D77" w:rsidRPr="00025D34" w:rsidRDefault="001B445C">
      <w:pPr>
        <w:pStyle w:val="Institutionquisigne"/>
      </w:pPr>
      <w:r w:rsidRPr="00025D34">
        <w:tab/>
        <w:t>a Bizottság részéről</w:t>
      </w:r>
    </w:p>
    <w:p w14:paraId="06E0BB8C" w14:textId="7F367528" w:rsidR="00976D77" w:rsidRPr="00025D34" w:rsidRDefault="00B71BC4">
      <w:pPr>
        <w:pStyle w:val="Personnequisigne"/>
      </w:pPr>
      <w:r w:rsidRPr="00025D34">
        <w:tab/>
        <w:t>az elnök</w:t>
      </w:r>
      <w:r w:rsidRPr="00025D34">
        <w:br/>
      </w:r>
      <w:r w:rsidRPr="00025D34">
        <w:tab/>
        <w:t>Ursula von der Leyen</w:t>
      </w:r>
    </w:p>
    <w:sectPr w:rsidR="00976D77" w:rsidRPr="00025D34" w:rsidSect="003D4F57">
      <w:footerReference w:type="default" r:id="rId15"/>
      <w:footerReference w:type="first" r:id="rId16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89A566" w14:textId="77777777" w:rsidR="00976D77" w:rsidRDefault="001D2590">
      <w:r>
        <w:separator/>
      </w:r>
    </w:p>
    <w:p w14:paraId="169B0B81" w14:textId="77777777" w:rsidR="00976D77" w:rsidRDefault="00976D77"/>
    <w:p w14:paraId="55151859" w14:textId="77777777" w:rsidR="00976D77" w:rsidRDefault="00976D77"/>
  </w:endnote>
  <w:endnote w:type="continuationSeparator" w:id="0">
    <w:p w14:paraId="1F1B705E" w14:textId="77777777" w:rsidR="00976D77" w:rsidRDefault="001D2590">
      <w:r>
        <w:continuationSeparator/>
      </w:r>
    </w:p>
    <w:p w14:paraId="7AB27653" w14:textId="77777777" w:rsidR="00976D77" w:rsidRDefault="00976D77"/>
    <w:p w14:paraId="2B72467D" w14:textId="77777777" w:rsidR="00976D77" w:rsidRDefault="00976D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9AF5A" w14:textId="77777777" w:rsidR="00025D34" w:rsidRPr="003D4F57" w:rsidRDefault="00025D34" w:rsidP="003D4F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01543" w14:textId="3AC52F2E" w:rsidR="00025D34" w:rsidRPr="003D4F57" w:rsidRDefault="003D4F57" w:rsidP="003D4F57">
    <w:pPr>
      <w:pStyle w:val="Footer"/>
      <w:rPr>
        <w:rFonts w:ascii="Arial" w:hAnsi="Arial" w:cs="Arial"/>
        <w:b/>
        <w:sz w:val="48"/>
      </w:rPr>
    </w:pPr>
    <w:r w:rsidRPr="003D4F57">
      <w:rPr>
        <w:rFonts w:ascii="Arial" w:hAnsi="Arial" w:cs="Arial"/>
        <w:b/>
        <w:sz w:val="48"/>
      </w:rPr>
      <w:t>HU</w:t>
    </w:r>
    <w:r w:rsidRPr="003D4F57">
      <w:rPr>
        <w:rFonts w:ascii="Arial" w:hAnsi="Arial" w:cs="Arial"/>
        <w:b/>
        <w:sz w:val="48"/>
      </w:rPr>
      <w:tab/>
    </w:r>
    <w:r w:rsidRPr="003D4F57">
      <w:rPr>
        <w:rFonts w:ascii="Arial" w:hAnsi="Arial" w:cs="Arial"/>
        <w:b/>
        <w:sz w:val="48"/>
      </w:rPr>
      <w:tab/>
    </w:r>
    <w:r w:rsidRPr="003D4F57">
      <w:tab/>
    </w:r>
    <w:r w:rsidRPr="003D4F57">
      <w:rPr>
        <w:rFonts w:ascii="Arial" w:hAnsi="Arial" w:cs="Arial"/>
        <w:b/>
        <w:sz w:val="48"/>
      </w:rPr>
      <w:t>HU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75332" w14:textId="77777777" w:rsidR="00025D34" w:rsidRPr="003D4F57" w:rsidRDefault="00025D34" w:rsidP="003D4F5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39A68" w14:textId="2B4DBECD" w:rsidR="003D4F57" w:rsidRPr="003D4F57" w:rsidRDefault="003D4F57" w:rsidP="003D4F57">
    <w:pPr>
      <w:pStyle w:val="Footer"/>
      <w:rPr>
        <w:rFonts w:ascii="Arial" w:hAnsi="Arial" w:cs="Arial"/>
        <w:b/>
        <w:sz w:val="48"/>
      </w:rPr>
    </w:pPr>
    <w:r w:rsidRPr="003D4F57">
      <w:rPr>
        <w:rFonts w:ascii="Arial" w:hAnsi="Arial" w:cs="Arial"/>
        <w:b/>
        <w:sz w:val="48"/>
      </w:rPr>
      <w:t>HU</w:t>
    </w:r>
    <w:r w:rsidRPr="003D4F57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5823E6">
      <w:rPr>
        <w:noProof/>
      </w:rPr>
      <w:t>2</w:t>
    </w:r>
    <w:r>
      <w:fldChar w:fldCharType="end"/>
    </w:r>
    <w:r>
      <w:tab/>
    </w:r>
    <w:r w:rsidRPr="003D4F57">
      <w:tab/>
    </w:r>
    <w:r w:rsidRPr="003D4F57">
      <w:rPr>
        <w:rFonts w:ascii="Arial" w:hAnsi="Arial" w:cs="Arial"/>
        <w:b/>
        <w:sz w:val="48"/>
      </w:rPr>
      <w:t>HU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36692" w14:textId="77777777" w:rsidR="003D4F57" w:rsidRPr="003D4F57" w:rsidRDefault="003D4F57" w:rsidP="003D4F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8417A" w14:textId="77777777" w:rsidR="00976D77" w:rsidRDefault="001D2590">
      <w:r>
        <w:separator/>
      </w:r>
    </w:p>
    <w:p w14:paraId="5DA4DBEE" w14:textId="77777777" w:rsidR="00976D77" w:rsidRDefault="00976D77"/>
    <w:p w14:paraId="189627FC" w14:textId="77777777" w:rsidR="00976D77" w:rsidRDefault="00976D77"/>
  </w:footnote>
  <w:footnote w:type="continuationSeparator" w:id="0">
    <w:p w14:paraId="3B46B728" w14:textId="77777777" w:rsidR="00976D77" w:rsidRDefault="001D2590">
      <w:r>
        <w:continuationSeparator/>
      </w:r>
    </w:p>
    <w:p w14:paraId="22ED3C12" w14:textId="77777777" w:rsidR="00976D77" w:rsidRDefault="00976D77"/>
    <w:p w14:paraId="02263D68" w14:textId="77777777" w:rsidR="00976D77" w:rsidRDefault="00976D77"/>
  </w:footnote>
  <w:footnote w:id="1">
    <w:p w14:paraId="3904D8AB" w14:textId="22916591" w:rsidR="00976D77" w:rsidRDefault="00363BA4">
      <w:pPr>
        <w:pStyle w:val="FootnoteText"/>
      </w:pPr>
      <w:r>
        <w:rPr>
          <w:rStyle w:val="FootnoteReference"/>
        </w:rPr>
        <w:footnoteRef/>
      </w:r>
      <w:r>
        <w:tab/>
        <w:t>HL L 176., 2013.6.27., 1. o.</w:t>
      </w:r>
    </w:p>
  </w:footnote>
  <w:footnote w:id="2">
    <w:p w14:paraId="52F74E0C" w14:textId="72E7A7A0" w:rsidR="00976D77" w:rsidRDefault="00363BA4">
      <w:pPr>
        <w:pStyle w:val="FootnoteText"/>
      </w:pPr>
      <w:r>
        <w:rPr>
          <w:rStyle w:val="FootnoteReference"/>
        </w:rPr>
        <w:footnoteRef/>
      </w:r>
      <w:r>
        <w:tab/>
        <w:t>A Bizottság 680/2014/EU végrehajtási rendelete az intézmények 575/2013/EU európai parlamenti és tanácsi rendelet szerinti felügyeleti adatszolgáltatása tekintetében végrehajtás-technikai standardok megállapításáról (HL L 191., 2014.6.28., 1. o.).</w:t>
      </w:r>
    </w:p>
  </w:footnote>
  <w:footnote w:id="3">
    <w:p w14:paraId="061DE31E" w14:textId="2680ACA0" w:rsidR="00976D77" w:rsidRDefault="00363BA4">
      <w:pPr>
        <w:pStyle w:val="FootnoteText"/>
      </w:pPr>
      <w:r>
        <w:rPr>
          <w:rStyle w:val="FootnoteReference"/>
        </w:rPr>
        <w:footnoteRef/>
      </w:r>
      <w:r>
        <w:tab/>
      </w:r>
      <w:r>
        <w:rPr>
          <w:color w:val="444444"/>
          <w:sz w:val="21"/>
          <w:szCs w:val="21"/>
        </w:rPr>
        <w:t xml:space="preserve">Az Európai Parlament és a Tanács (EU) 2017/2402 rendelete (2017. december 12.) az értékpapírosítás általános keretrendszerének meghatározásáról, az egyszerű, átlátható és egységesített értékpapírosítás egyedi keretrendszerének létrehozásáról, valamint a 2009/65/EK, a 2009/138/EK és a 2011/61/EU irányelv és az 1060/2009/EK és a 648/2012/EU rendelet módosításáról </w:t>
      </w:r>
      <w:r>
        <w:rPr>
          <w:rStyle w:val="Emphasis"/>
          <w:i w:val="0"/>
          <w:color w:val="444444"/>
          <w:sz w:val="21"/>
          <w:szCs w:val="21"/>
        </w:rPr>
        <w:t>(HL L 347., 2017.12.28., 35. o.).</w:t>
      </w:r>
    </w:p>
  </w:footnote>
  <w:footnote w:id="4">
    <w:p w14:paraId="2FE98FB0" w14:textId="61F4F1DB" w:rsidR="00976D77" w:rsidRDefault="00363BA4">
      <w:pPr>
        <w:pStyle w:val="FootnoteText"/>
      </w:pPr>
      <w:r>
        <w:rPr>
          <w:rStyle w:val="FootnoteReference"/>
        </w:rPr>
        <w:footnoteRef/>
      </w:r>
      <w:r>
        <w:tab/>
        <w:t>A Bizottság 1126/2008/EK rendelete (2008. november 3.) az 1606/2002/EK európai parlamenti és tanácsi rendelettel összhangban egyes nemzetközi számviteli standardok elfogadásáról (HL L 320., 2008.11.29., 1. o.).</w:t>
      </w:r>
    </w:p>
  </w:footnote>
  <w:footnote w:id="5">
    <w:p w14:paraId="7F61ACCF" w14:textId="77777777" w:rsidR="00976D77" w:rsidRDefault="00D913C8">
      <w:pPr>
        <w:pStyle w:val="FootnoteText"/>
      </w:pPr>
      <w:r>
        <w:rPr>
          <w:rStyle w:val="FootnoteReference"/>
        </w:rPr>
        <w:footnoteRef/>
      </w:r>
      <w:r>
        <w:tab/>
        <w:t>A Bizottság (EU) 2017/1986 rendelete (2017. október 31.) az 1606/2002/EK európai parlamenti és tanácsi rendelettel összhangban egyes nemzetközi számviteli standardok elfogadásáról szóló 1126/2008/EK rendeletnek az IFRS 16 nemzetközi pénzügyi beszámolási standard tekintetében történő módosításáról (HL L 291., 2017.11.9., 1. o.).</w:t>
      </w:r>
    </w:p>
  </w:footnote>
  <w:footnote w:id="6">
    <w:p w14:paraId="77365625" w14:textId="05028AF5" w:rsidR="00976D77" w:rsidRDefault="00952426">
      <w:pPr>
        <w:pStyle w:val="FootnoteText"/>
      </w:pPr>
      <w:r>
        <w:rPr>
          <w:rStyle w:val="FootnoteReference"/>
        </w:rPr>
        <w:footnoteRef/>
      </w:r>
      <w:r>
        <w:tab/>
        <w:t>A Bizottság (EU) 2018/1620 felhatalmazáson alapuló rendelete (2018. július 13.) az 575/2013/EU európai parlamenti és tanácsi rendeletnek a hitelintézetekre vonatkozó likviditásfedezeti követelmények tekintetében történő kiegészítéséről szóló (EU) 2015/61 felhatalmazáson alapuló bizottsági rendelet módosításáról (HL L 271., 2018.10.30., 10. o.)</w:t>
      </w:r>
      <w:r w:rsidR="00025D34">
        <w:t>.</w:t>
      </w:r>
    </w:p>
  </w:footnote>
  <w:footnote w:id="7">
    <w:p w14:paraId="612F860C" w14:textId="13B21FB7" w:rsidR="00976D77" w:rsidRDefault="00952426">
      <w:pPr>
        <w:pStyle w:val="FootnoteText"/>
      </w:pPr>
      <w:r>
        <w:rPr>
          <w:rStyle w:val="FootnoteReference"/>
        </w:rPr>
        <w:footnoteRef/>
      </w:r>
      <w:r>
        <w:tab/>
        <w:t>A Bizottság (EU) 2015/61 felhatalmazáson alapuló rendelete (2014. október 10.) az 575/2013/EU európai parlamenti és tanácsi rendeletnek a hitelintézetekre vonatkozó likviditásfedezeti követelmények tekintetében történő kiegészítéséről (HL L 11., 2015.1.17., 1. o.)</w:t>
      </w:r>
      <w:r w:rsidR="00025D34">
        <w:t>.</w:t>
      </w:r>
    </w:p>
  </w:footnote>
  <w:footnote w:id="8">
    <w:p w14:paraId="7A93B6D5" w14:textId="0FB38ACE" w:rsidR="00976D77" w:rsidRDefault="001B445C">
      <w:pPr>
        <w:pStyle w:val="FootnoteText"/>
      </w:pPr>
      <w:r>
        <w:rPr>
          <w:rStyle w:val="FootnoteReference"/>
        </w:rPr>
        <w:footnoteRef/>
      </w:r>
      <w:r>
        <w:tab/>
        <w:t>Az Európai Parlament és a Tanács 1093/2010/EU rendelete (2010. november 24.) az európai felügyeleti hatóság (Európai Bankhatóság) létrehozásáról, a 716/2009/EK határozat módosításáról és a 2009/78/EK bizottsági határozat hatályon kívül helyezéséről (HL L 331., 2010.12.15., 12. o.).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D2FF90" w14:textId="77777777" w:rsidR="00025D34" w:rsidRPr="003D4F57" w:rsidRDefault="00025D34" w:rsidP="003D4F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CA60B" w14:textId="77777777" w:rsidR="00025D34" w:rsidRPr="003D4F57" w:rsidRDefault="00025D34" w:rsidP="003D4F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211AD" w14:textId="77777777" w:rsidR="00025D34" w:rsidRPr="003D4F57" w:rsidRDefault="00025D34" w:rsidP="003D4F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4CB058C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F0EC3E1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 w15:restartNumberingAfterBreak="0">
    <w:nsid w:val="FFFFFF7F"/>
    <w:multiLevelType w:val="singleLevel"/>
    <w:tmpl w:val="47143E7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FE48CAD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767E1FC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F704052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FA427F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9D96031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5"/>
  </w:num>
  <w:num w:numId="10">
    <w:abstractNumId w:val="22"/>
    <w:lvlOverride w:ilvl="0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2"/>
  </w:num>
  <w:num w:numId="15">
    <w:abstractNumId w:val="21"/>
  </w:num>
  <w:num w:numId="16">
    <w:abstractNumId w:val="11"/>
  </w:num>
  <w:num w:numId="17">
    <w:abstractNumId w:val="13"/>
  </w:num>
  <w:num w:numId="18">
    <w:abstractNumId w:val="9"/>
  </w:num>
  <w:num w:numId="19">
    <w:abstractNumId w:val="20"/>
  </w:num>
  <w:num w:numId="20">
    <w:abstractNumId w:val="8"/>
  </w:num>
  <w:num w:numId="21">
    <w:abstractNumId w:val="14"/>
  </w:num>
  <w:num w:numId="22">
    <w:abstractNumId w:val="17"/>
  </w:num>
  <w:num w:numId="23">
    <w:abstractNumId w:val="18"/>
  </w:num>
  <w:num w:numId="24">
    <w:abstractNumId w:val="10"/>
  </w:num>
  <w:num w:numId="25">
    <w:abstractNumId w:val="16"/>
  </w:num>
  <w:num w:numId="26">
    <w:abstractNumId w:val="22"/>
  </w:num>
  <w:num w:numId="27">
    <w:abstractNumId w:val="19"/>
  </w:num>
  <w:num w:numId="28">
    <w:abstractNumId w:val="12"/>
  </w:num>
  <w:num w:numId="29">
    <w:abstractNumId w:val="21"/>
  </w:num>
  <w:num w:numId="30">
    <w:abstractNumId w:val="11"/>
  </w:num>
  <w:num w:numId="31">
    <w:abstractNumId w:val="13"/>
  </w:num>
  <w:num w:numId="32">
    <w:abstractNumId w:val="9"/>
  </w:num>
  <w:num w:numId="33">
    <w:abstractNumId w:val="20"/>
  </w:num>
  <w:num w:numId="34">
    <w:abstractNumId w:val="8"/>
  </w:num>
  <w:num w:numId="35">
    <w:abstractNumId w:val="14"/>
  </w:num>
  <w:num w:numId="36">
    <w:abstractNumId w:val="17"/>
  </w:num>
  <w:num w:numId="37">
    <w:abstractNumId w:val="18"/>
  </w:num>
  <w:num w:numId="38">
    <w:abstractNumId w:val="10"/>
  </w:num>
  <w:num w:numId="39">
    <w:abstractNumId w:val="16"/>
  </w:num>
  <w:num w:numId="40">
    <w:abstractNumId w:val="2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nsidérant" w:val="Considérant__1"/>
    <w:docVar w:name="DQCDateTime" w:val="2020-01-22 06:39:14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13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0"/>
    <w:docVar w:name="DQCResult_UnknownFonts" w:val="0;0"/>
    <w:docVar w:name="DQCResult_UnknownStyles" w:val="0;0"/>
    <w:docVar w:name="DQCVersion" w:val="3"/>
    <w:docVar w:name="DQCWithWarnings" w:val="0"/>
    <w:docVar w:name="DQCStatus" w:val="Green"/>
    <w:docVar w:name="LW_COVERPAGE_EXISTS" w:val="True"/>
    <w:docVar w:name="LW_COVERPAGE_GUID" w:val="A22A2518-B11E-4DAE-8B9F-5BA5CE21DF34"/>
    <w:docVar w:name="LW_COVERPAGE_TYPE" w:val="1"/>
    <w:docVar w:name="LW_CROSSREFERENCE" w:val="&lt;UNUSED&gt;"/>
    <w:docVar w:name="LW_DATE.ADOPT.CP" w:val="(XXX)"/>
    <w:docVar w:name="LW_DATE.ADOPT.CP_DATEFORMAT" w:val="(%DATE%)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üsszel, "/>
    <w:docVar w:name="LW_EMISSION_SUFFIX" w:val=" "/>
    <w:docVar w:name="LW_ID_DOCMODEL" w:val="a08"/>
    <w:docVar w:name="LW_ID_DOCTYPE" w:val="SJ-004"/>
    <w:docVar w:name="LW_ID_DOCSIGNATURE" w:val="SJ-004"/>
    <w:docVar w:name="LW_ID_DOCSTRUCTURE" w:val="COM/AA"/>
    <w:docVar w:name="LW_INTERETEEE.CP" w:val="(EGT-vonatkozású szöveg)"/>
    <w:docVar w:name="LW_LANGUE" w:val="HU"/>
    <w:docVar w:name="LW_LANGUESFAISANTFOI.CP" w:val="&lt;UNUSED&gt;"/>
    <w:docVar w:name="LW_LEVEL_OF_SENSITIVITY" w:val="Standard treatment"/>
    <w:docVar w:name="LW_NOM.INST" w:val="EURÓPAI BIZOTTSÁG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19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OUS.TITRE.OBJ.CP" w:val="&lt;UNUSED&gt;"/>
    <w:docVar w:name="LW_SUPERTITRE" w:val="&lt;UNUSED&gt;"/>
    <w:docVar w:name="LW_TITRE.OBJ.CP" w:val="az intézmények 575/2013/EU európai parlamenti és tanácsi rendelet szerinti felügyeleti adatszolgáltatása tekintetében végrehajtás-technikai standardok megállapításáról szóló 680/2014/EU végrehajtási rendelet módosításáról"/>
    <w:docVar w:name="LW_TITRE.OBJ.CP_PREVIOUS" w:val="&lt;UNUSED&gt;"/>
    <w:docVar w:name="LW_TYPE.DOC.CP" w:val="A BIZOTTSÁG (EU) .../... VÉGREHAJTÁSI RENDELETE"/>
  </w:docVars>
  <w:rsids>
    <w:rsidRoot w:val="001B445C"/>
    <w:rsid w:val="00025D34"/>
    <w:rsid w:val="00033C74"/>
    <w:rsid w:val="00043094"/>
    <w:rsid w:val="0005623D"/>
    <w:rsid w:val="000669A6"/>
    <w:rsid w:val="00080669"/>
    <w:rsid w:val="000827FE"/>
    <w:rsid w:val="000A4D5B"/>
    <w:rsid w:val="000A5E1E"/>
    <w:rsid w:val="000B410C"/>
    <w:rsid w:val="000B73C7"/>
    <w:rsid w:val="000C750A"/>
    <w:rsid w:val="000D34D3"/>
    <w:rsid w:val="000E135F"/>
    <w:rsid w:val="00100F75"/>
    <w:rsid w:val="00103E88"/>
    <w:rsid w:val="00121213"/>
    <w:rsid w:val="001440F6"/>
    <w:rsid w:val="00157C31"/>
    <w:rsid w:val="0016544F"/>
    <w:rsid w:val="00187535"/>
    <w:rsid w:val="00190013"/>
    <w:rsid w:val="00195CE1"/>
    <w:rsid w:val="001B41CA"/>
    <w:rsid w:val="001B42E7"/>
    <w:rsid w:val="001B445C"/>
    <w:rsid w:val="001C5A09"/>
    <w:rsid w:val="001D1851"/>
    <w:rsid w:val="001D1EAD"/>
    <w:rsid w:val="001D2590"/>
    <w:rsid w:val="00210995"/>
    <w:rsid w:val="00210D88"/>
    <w:rsid w:val="00214D98"/>
    <w:rsid w:val="00234A29"/>
    <w:rsid w:val="002452B8"/>
    <w:rsid w:val="00261239"/>
    <w:rsid w:val="00294A2C"/>
    <w:rsid w:val="002A096A"/>
    <w:rsid w:val="002A3D06"/>
    <w:rsid w:val="002B7D73"/>
    <w:rsid w:val="002C0116"/>
    <w:rsid w:val="002D1D89"/>
    <w:rsid w:val="002E61FA"/>
    <w:rsid w:val="003228A8"/>
    <w:rsid w:val="00323D7B"/>
    <w:rsid w:val="00331D51"/>
    <w:rsid w:val="00346B8D"/>
    <w:rsid w:val="003516C5"/>
    <w:rsid w:val="00354C41"/>
    <w:rsid w:val="00363BA4"/>
    <w:rsid w:val="003A7F9A"/>
    <w:rsid w:val="003C12AA"/>
    <w:rsid w:val="003C3A5D"/>
    <w:rsid w:val="003D4F57"/>
    <w:rsid w:val="003E0C68"/>
    <w:rsid w:val="003E4578"/>
    <w:rsid w:val="003F04FB"/>
    <w:rsid w:val="003F5F3F"/>
    <w:rsid w:val="00400058"/>
    <w:rsid w:val="00422F73"/>
    <w:rsid w:val="0044493F"/>
    <w:rsid w:val="00452D9B"/>
    <w:rsid w:val="00453AF5"/>
    <w:rsid w:val="00460A10"/>
    <w:rsid w:val="004641C1"/>
    <w:rsid w:val="0048748F"/>
    <w:rsid w:val="00492479"/>
    <w:rsid w:val="00493D25"/>
    <w:rsid w:val="0049676D"/>
    <w:rsid w:val="00497A2C"/>
    <w:rsid w:val="004A3CA0"/>
    <w:rsid w:val="004A3CB1"/>
    <w:rsid w:val="004C0193"/>
    <w:rsid w:val="004D5878"/>
    <w:rsid w:val="004E2457"/>
    <w:rsid w:val="004E4C15"/>
    <w:rsid w:val="004F23A9"/>
    <w:rsid w:val="00502C75"/>
    <w:rsid w:val="00506FC2"/>
    <w:rsid w:val="00537CE5"/>
    <w:rsid w:val="005469C5"/>
    <w:rsid w:val="00553296"/>
    <w:rsid w:val="005823E6"/>
    <w:rsid w:val="0059701E"/>
    <w:rsid w:val="005A01CC"/>
    <w:rsid w:val="005A4EAC"/>
    <w:rsid w:val="005B3C3F"/>
    <w:rsid w:val="005C370C"/>
    <w:rsid w:val="005F6F7D"/>
    <w:rsid w:val="005F7896"/>
    <w:rsid w:val="00647B5C"/>
    <w:rsid w:val="0066767D"/>
    <w:rsid w:val="00686B50"/>
    <w:rsid w:val="006967B3"/>
    <w:rsid w:val="006A1323"/>
    <w:rsid w:val="006A640B"/>
    <w:rsid w:val="006B4E20"/>
    <w:rsid w:val="006E63CD"/>
    <w:rsid w:val="006E678D"/>
    <w:rsid w:val="006F34B3"/>
    <w:rsid w:val="00704E75"/>
    <w:rsid w:val="007067B7"/>
    <w:rsid w:val="0071620D"/>
    <w:rsid w:val="007369E1"/>
    <w:rsid w:val="0075391A"/>
    <w:rsid w:val="00753980"/>
    <w:rsid w:val="007545A4"/>
    <w:rsid w:val="0075661F"/>
    <w:rsid w:val="00770919"/>
    <w:rsid w:val="00775BB6"/>
    <w:rsid w:val="00776BBC"/>
    <w:rsid w:val="00785FB6"/>
    <w:rsid w:val="00790003"/>
    <w:rsid w:val="007B790A"/>
    <w:rsid w:val="007D61B3"/>
    <w:rsid w:val="007D7890"/>
    <w:rsid w:val="00814E96"/>
    <w:rsid w:val="0084057B"/>
    <w:rsid w:val="00844802"/>
    <w:rsid w:val="00854910"/>
    <w:rsid w:val="00855514"/>
    <w:rsid w:val="00867FE3"/>
    <w:rsid w:val="00897E21"/>
    <w:rsid w:val="008A0AA6"/>
    <w:rsid w:val="008A2478"/>
    <w:rsid w:val="008C22A3"/>
    <w:rsid w:val="008C48FA"/>
    <w:rsid w:val="008D09B7"/>
    <w:rsid w:val="008E268A"/>
    <w:rsid w:val="008E50CD"/>
    <w:rsid w:val="008F4EA5"/>
    <w:rsid w:val="008F6BF5"/>
    <w:rsid w:val="00921359"/>
    <w:rsid w:val="0092431C"/>
    <w:rsid w:val="00940F1C"/>
    <w:rsid w:val="00945DFA"/>
    <w:rsid w:val="00946C0A"/>
    <w:rsid w:val="00952426"/>
    <w:rsid w:val="00955D63"/>
    <w:rsid w:val="009666AA"/>
    <w:rsid w:val="00976D77"/>
    <w:rsid w:val="00983B03"/>
    <w:rsid w:val="00986B22"/>
    <w:rsid w:val="0099441B"/>
    <w:rsid w:val="009A64F9"/>
    <w:rsid w:val="009C0180"/>
    <w:rsid w:val="009C090E"/>
    <w:rsid w:val="009D448E"/>
    <w:rsid w:val="00A01488"/>
    <w:rsid w:val="00A24919"/>
    <w:rsid w:val="00A278FD"/>
    <w:rsid w:val="00A62DAE"/>
    <w:rsid w:val="00A66F54"/>
    <w:rsid w:val="00A826D6"/>
    <w:rsid w:val="00A8593B"/>
    <w:rsid w:val="00A9740D"/>
    <w:rsid w:val="00A97566"/>
    <w:rsid w:val="00AA63F1"/>
    <w:rsid w:val="00AB21FF"/>
    <w:rsid w:val="00AB5724"/>
    <w:rsid w:val="00AE05F8"/>
    <w:rsid w:val="00AF3BF4"/>
    <w:rsid w:val="00B14FCE"/>
    <w:rsid w:val="00B15EFC"/>
    <w:rsid w:val="00B26FCE"/>
    <w:rsid w:val="00B31B60"/>
    <w:rsid w:val="00B33376"/>
    <w:rsid w:val="00B467F6"/>
    <w:rsid w:val="00B64C30"/>
    <w:rsid w:val="00B71BC4"/>
    <w:rsid w:val="00B738F6"/>
    <w:rsid w:val="00B971E9"/>
    <w:rsid w:val="00BB5DB5"/>
    <w:rsid w:val="00BC373E"/>
    <w:rsid w:val="00BC6787"/>
    <w:rsid w:val="00BD2641"/>
    <w:rsid w:val="00BF3434"/>
    <w:rsid w:val="00C039DD"/>
    <w:rsid w:val="00C52F81"/>
    <w:rsid w:val="00C63439"/>
    <w:rsid w:val="00C6522F"/>
    <w:rsid w:val="00C71E1B"/>
    <w:rsid w:val="00C83DEA"/>
    <w:rsid w:val="00CB0AF7"/>
    <w:rsid w:val="00CB1A3C"/>
    <w:rsid w:val="00CC6F30"/>
    <w:rsid w:val="00CC7AB4"/>
    <w:rsid w:val="00CE7CAD"/>
    <w:rsid w:val="00D2769A"/>
    <w:rsid w:val="00D314A9"/>
    <w:rsid w:val="00D34C13"/>
    <w:rsid w:val="00D50BB7"/>
    <w:rsid w:val="00D55B25"/>
    <w:rsid w:val="00D63710"/>
    <w:rsid w:val="00D639C9"/>
    <w:rsid w:val="00D74E3F"/>
    <w:rsid w:val="00D845A9"/>
    <w:rsid w:val="00D913C8"/>
    <w:rsid w:val="00D964B3"/>
    <w:rsid w:val="00DC033D"/>
    <w:rsid w:val="00DC3927"/>
    <w:rsid w:val="00DF4957"/>
    <w:rsid w:val="00E013AC"/>
    <w:rsid w:val="00E205D3"/>
    <w:rsid w:val="00E45AE0"/>
    <w:rsid w:val="00E52742"/>
    <w:rsid w:val="00E5700E"/>
    <w:rsid w:val="00E75423"/>
    <w:rsid w:val="00E871DE"/>
    <w:rsid w:val="00E91FF6"/>
    <w:rsid w:val="00E959F9"/>
    <w:rsid w:val="00E96626"/>
    <w:rsid w:val="00EA64E6"/>
    <w:rsid w:val="00EE58F1"/>
    <w:rsid w:val="00EF0828"/>
    <w:rsid w:val="00F32FFE"/>
    <w:rsid w:val="00F45D68"/>
    <w:rsid w:val="00F62F54"/>
    <w:rsid w:val="00F65DE7"/>
    <w:rsid w:val="00F84FD0"/>
    <w:rsid w:val="00F95996"/>
    <w:rsid w:val="00FB65A6"/>
    <w:rsid w:val="00FC4C41"/>
    <w:rsid w:val="00FC61EB"/>
    <w:rsid w:val="00FE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oNotEmbedSmartTags/>
  <w:decimalSymbol w:val=","/>
  <w:listSeparator w:val=";"/>
  <w14:docId w14:val="72D15A25"/>
  <w15:docId w15:val="{26C75A3A-333D-4F45-9580-78994C66C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hu-HU"/>
    </w:rPr>
  </w:style>
  <w:style w:type="paragraph" w:styleId="Heading1">
    <w:name w:val="heading 1"/>
    <w:basedOn w:val="Normal"/>
    <w:next w:val="Text1"/>
    <w:link w:val="Heading1Char"/>
    <w:uiPriority w:val="9"/>
    <w:qFormat/>
    <w:rsid w:val="009B7138"/>
    <w:pPr>
      <w:keepNext/>
      <w:numPr>
        <w:numId w:val="33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9B7138"/>
    <w:pPr>
      <w:keepNext/>
      <w:numPr>
        <w:ilvl w:val="1"/>
        <w:numId w:val="33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9B7138"/>
    <w:pPr>
      <w:keepNext/>
      <w:numPr>
        <w:ilvl w:val="2"/>
        <w:numId w:val="33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9B7138"/>
    <w:pPr>
      <w:keepNext/>
      <w:numPr>
        <w:ilvl w:val="3"/>
        <w:numId w:val="33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rsid w:val="004D5878"/>
    <w:rPr>
      <w:sz w:val="16"/>
    </w:rPr>
  </w:style>
  <w:style w:type="paragraph" w:styleId="CommentText">
    <w:name w:val="annotation text"/>
    <w:basedOn w:val="Normal"/>
    <w:rsid w:val="004D5878"/>
    <w:pPr>
      <w:spacing w:before="0" w:after="240"/>
      <w:jc w:val="left"/>
    </w:pPr>
    <w:rPr>
      <w:rFonts w:ascii="Arial" w:hAnsi="Arial"/>
      <w:sz w:val="20"/>
      <w:szCs w:val="20"/>
    </w:rPr>
  </w:style>
  <w:style w:type="paragraph" w:styleId="ListBullet">
    <w:name w:val="List Bullet"/>
    <w:basedOn w:val="Normal"/>
    <w:uiPriority w:val="99"/>
    <w:qFormat/>
    <w:rsid w:val="000D34D3"/>
    <w:pPr>
      <w:numPr>
        <w:numId w:val="1"/>
      </w:numPr>
    </w:pPr>
  </w:style>
  <w:style w:type="paragraph" w:styleId="ListBullet2">
    <w:name w:val="List Bullet 2"/>
    <w:basedOn w:val="Normal"/>
    <w:rsid w:val="000D34D3"/>
    <w:pPr>
      <w:numPr>
        <w:numId w:val="2"/>
      </w:numPr>
    </w:pPr>
  </w:style>
  <w:style w:type="paragraph" w:styleId="ListBullet3">
    <w:name w:val="List Bullet 3"/>
    <w:basedOn w:val="Normal"/>
    <w:rsid w:val="000D34D3"/>
    <w:pPr>
      <w:numPr>
        <w:numId w:val="3"/>
      </w:numPr>
    </w:pPr>
  </w:style>
  <w:style w:type="paragraph" w:styleId="ListBullet4">
    <w:name w:val="List Bullet 4"/>
    <w:basedOn w:val="Normal"/>
    <w:rsid w:val="000D34D3"/>
    <w:pPr>
      <w:numPr>
        <w:numId w:val="4"/>
      </w:numPr>
    </w:pPr>
  </w:style>
  <w:style w:type="paragraph" w:styleId="ListNumber3">
    <w:name w:val="List Number 3"/>
    <w:basedOn w:val="Normal"/>
    <w:rsid w:val="000D34D3"/>
    <w:pPr>
      <w:numPr>
        <w:numId w:val="5"/>
      </w:numPr>
    </w:pPr>
  </w:style>
  <w:style w:type="paragraph" w:styleId="CommentSubject">
    <w:name w:val="annotation subject"/>
    <w:basedOn w:val="CommentText"/>
    <w:next w:val="CommentText"/>
    <w:rsid w:val="004641C1"/>
    <w:pPr>
      <w:spacing w:before="120" w:after="120"/>
      <w:jc w:val="both"/>
    </w:pPr>
    <w:rPr>
      <w:rFonts w:ascii="Times New Roman" w:hAnsi="Times New Roman"/>
      <w:b/>
      <w:bCs/>
    </w:rPr>
  </w:style>
  <w:style w:type="paragraph" w:styleId="Caption">
    <w:name w:val="caption"/>
    <w:basedOn w:val="Normal"/>
    <w:next w:val="Normal"/>
    <w:qFormat/>
    <w:rsid w:val="006E63CD"/>
    <w:rPr>
      <w:b/>
      <w:bCs/>
      <w:sz w:val="20"/>
      <w:szCs w:val="20"/>
    </w:rPr>
  </w:style>
  <w:style w:type="paragraph" w:styleId="TableofFigures">
    <w:name w:val="table of figures"/>
    <w:basedOn w:val="Normal"/>
    <w:next w:val="Normal"/>
    <w:semiHidden/>
    <w:rsid w:val="006E63CD"/>
  </w:style>
  <w:style w:type="paragraph" w:styleId="ListNumber">
    <w:name w:val="List Number"/>
    <w:basedOn w:val="Normal"/>
    <w:rsid w:val="006E63CD"/>
    <w:pPr>
      <w:numPr>
        <w:numId w:val="6"/>
      </w:numPr>
    </w:pPr>
  </w:style>
  <w:style w:type="paragraph" w:styleId="ListNumber2">
    <w:name w:val="List Number 2"/>
    <w:basedOn w:val="Normal"/>
    <w:rsid w:val="006E63CD"/>
    <w:pPr>
      <w:numPr>
        <w:numId w:val="7"/>
      </w:numPr>
    </w:pPr>
  </w:style>
  <w:style w:type="paragraph" w:styleId="ListNumber4">
    <w:name w:val="List Number 4"/>
    <w:basedOn w:val="Normal"/>
    <w:rsid w:val="006E63CD"/>
    <w:pPr>
      <w:numPr>
        <w:numId w:val="8"/>
      </w:numPr>
    </w:pPr>
  </w:style>
  <w:style w:type="character" w:styleId="Hyperlink">
    <w:name w:val="Hyperlink"/>
    <w:basedOn w:val="DefaultParagraphFont"/>
    <w:rsid w:val="006E63CD"/>
    <w:rPr>
      <w:color w:val="0000FF"/>
      <w:u w:val="single"/>
    </w:rPr>
  </w:style>
  <w:style w:type="paragraph" w:customStyle="1" w:styleId="numberedparagraph">
    <w:name w:val="numbered paragraph"/>
    <w:basedOn w:val="Normal"/>
    <w:qFormat/>
    <w:rsid w:val="001B445C"/>
    <w:pPr>
      <w:numPr>
        <w:numId w:val="9"/>
      </w:numPr>
      <w:spacing w:before="240" w:line="276" w:lineRule="auto"/>
    </w:pPr>
    <w:rPr>
      <w:rFonts w:asciiTheme="minorHAnsi" w:eastAsiaTheme="minorEastAsia" w:hAnsiTheme="minorHAnsi" w:cstheme="minorBidi"/>
      <w:sz w:val="22"/>
    </w:rPr>
  </w:style>
  <w:style w:type="paragraph" w:styleId="ListParagraph">
    <w:name w:val="List Paragraph"/>
    <w:basedOn w:val="Normal"/>
    <w:link w:val="ListParagraphChar"/>
    <w:uiPriority w:val="34"/>
    <w:qFormat/>
    <w:rsid w:val="006A640B"/>
    <w:pPr>
      <w:spacing w:before="0" w:after="0"/>
      <w:ind w:left="720"/>
      <w:jc w:val="left"/>
    </w:pPr>
    <w:rPr>
      <w:rFonts w:ascii="Calibri" w:eastAsia="Calibri" w:hAnsi="Calibri"/>
      <w:sz w:val="22"/>
    </w:rPr>
  </w:style>
  <w:style w:type="character" w:customStyle="1" w:styleId="ListParagraphChar">
    <w:name w:val="List Paragraph Char"/>
    <w:link w:val="ListParagraph"/>
    <w:uiPriority w:val="34"/>
    <w:locked/>
    <w:rsid w:val="006A640B"/>
    <w:rPr>
      <w:rFonts w:ascii="Calibri" w:eastAsia="Calibri" w:hAnsi="Calibri"/>
      <w:sz w:val="22"/>
      <w:szCs w:val="22"/>
      <w:lang w:eastAsia="en-US"/>
    </w:r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styleId="BalloonText">
    <w:name w:val="Balloon Text"/>
    <w:basedOn w:val="Normal"/>
    <w:link w:val="BalloonTextChar"/>
    <w:uiPriority w:val="99"/>
    <w:semiHidden/>
    <w:unhideWhenUsed/>
    <w:rsid w:val="003415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5BD"/>
    <w:rPr>
      <w:rFonts w:ascii="Tahoma" w:hAnsi="Tahoma" w:cs="Tahoma"/>
      <w:sz w:val="16"/>
      <w:szCs w:val="16"/>
      <w:lang w:val="hu-HU"/>
    </w:rPr>
  </w:style>
  <w:style w:type="paragraph" w:styleId="NormalWeb">
    <w:name w:val="Normal (Web)"/>
    <w:basedOn w:val="Normal"/>
    <w:uiPriority w:val="99"/>
    <w:unhideWhenUsed/>
    <w:rsid w:val="006A132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6A1323"/>
    <w:rPr>
      <w:i/>
      <w:iCs/>
    </w:rPr>
  </w:style>
  <w:style w:type="paragraph" w:styleId="Revision">
    <w:name w:val="Revision"/>
    <w:hidden/>
    <w:uiPriority w:val="99"/>
    <w:semiHidden/>
    <w:rsid w:val="003F04FB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9B713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9B713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71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13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138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138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138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138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B713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9B71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9B713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9B713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9B713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B7138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9B7138"/>
    <w:pPr>
      <w:ind w:left="850"/>
    </w:pPr>
  </w:style>
  <w:style w:type="paragraph" w:customStyle="1" w:styleId="Text2">
    <w:name w:val="Text 2"/>
    <w:basedOn w:val="Normal"/>
    <w:rsid w:val="009B7138"/>
    <w:pPr>
      <w:ind w:left="1417"/>
    </w:pPr>
  </w:style>
  <w:style w:type="paragraph" w:customStyle="1" w:styleId="Text3">
    <w:name w:val="Text 3"/>
    <w:basedOn w:val="Normal"/>
    <w:rsid w:val="009B7138"/>
    <w:pPr>
      <w:ind w:left="1984"/>
    </w:pPr>
  </w:style>
  <w:style w:type="paragraph" w:customStyle="1" w:styleId="Text4">
    <w:name w:val="Text 4"/>
    <w:basedOn w:val="Normal"/>
    <w:rsid w:val="009B7138"/>
    <w:pPr>
      <w:ind w:left="2551"/>
    </w:pPr>
  </w:style>
  <w:style w:type="paragraph" w:customStyle="1" w:styleId="NormalCentered">
    <w:name w:val="Normal Centered"/>
    <w:basedOn w:val="Normal"/>
    <w:rsid w:val="009B7138"/>
    <w:pPr>
      <w:jc w:val="center"/>
    </w:pPr>
  </w:style>
  <w:style w:type="paragraph" w:customStyle="1" w:styleId="NormalLeft">
    <w:name w:val="Normal Left"/>
    <w:basedOn w:val="Normal"/>
    <w:rsid w:val="009B7138"/>
    <w:pPr>
      <w:jc w:val="left"/>
    </w:pPr>
  </w:style>
  <w:style w:type="paragraph" w:customStyle="1" w:styleId="NormalRight">
    <w:name w:val="Normal Right"/>
    <w:basedOn w:val="Normal"/>
    <w:rsid w:val="009B7138"/>
    <w:pPr>
      <w:jc w:val="right"/>
    </w:pPr>
  </w:style>
  <w:style w:type="paragraph" w:customStyle="1" w:styleId="QuotedText">
    <w:name w:val="Quoted Text"/>
    <w:basedOn w:val="Normal"/>
    <w:rsid w:val="009B7138"/>
    <w:pPr>
      <w:ind w:left="1417"/>
    </w:pPr>
  </w:style>
  <w:style w:type="paragraph" w:customStyle="1" w:styleId="Point0">
    <w:name w:val="Point 0"/>
    <w:basedOn w:val="Normal"/>
    <w:rsid w:val="009B7138"/>
    <w:pPr>
      <w:ind w:left="850" w:hanging="850"/>
    </w:pPr>
  </w:style>
  <w:style w:type="paragraph" w:customStyle="1" w:styleId="Point1">
    <w:name w:val="Point 1"/>
    <w:basedOn w:val="Normal"/>
    <w:rsid w:val="009B7138"/>
    <w:pPr>
      <w:ind w:left="1417" w:hanging="567"/>
    </w:pPr>
  </w:style>
  <w:style w:type="paragraph" w:customStyle="1" w:styleId="Point2">
    <w:name w:val="Point 2"/>
    <w:basedOn w:val="Normal"/>
    <w:rsid w:val="009B7138"/>
    <w:pPr>
      <w:ind w:left="1984" w:hanging="567"/>
    </w:pPr>
  </w:style>
  <w:style w:type="paragraph" w:customStyle="1" w:styleId="Point3">
    <w:name w:val="Point 3"/>
    <w:basedOn w:val="Normal"/>
    <w:rsid w:val="009B7138"/>
    <w:pPr>
      <w:ind w:left="2551" w:hanging="567"/>
    </w:pPr>
  </w:style>
  <w:style w:type="paragraph" w:customStyle="1" w:styleId="Point4">
    <w:name w:val="Point 4"/>
    <w:basedOn w:val="Normal"/>
    <w:rsid w:val="009B7138"/>
    <w:pPr>
      <w:ind w:left="3118" w:hanging="567"/>
    </w:pPr>
  </w:style>
  <w:style w:type="paragraph" w:customStyle="1" w:styleId="Tiret0">
    <w:name w:val="Tiret 0"/>
    <w:basedOn w:val="Point0"/>
    <w:rsid w:val="009B7138"/>
    <w:pPr>
      <w:numPr>
        <w:numId w:val="27"/>
      </w:numPr>
    </w:pPr>
  </w:style>
  <w:style w:type="paragraph" w:customStyle="1" w:styleId="Tiret1">
    <w:name w:val="Tiret 1"/>
    <w:basedOn w:val="Point1"/>
    <w:rsid w:val="009B7138"/>
    <w:pPr>
      <w:numPr>
        <w:numId w:val="28"/>
      </w:numPr>
    </w:pPr>
  </w:style>
  <w:style w:type="paragraph" w:customStyle="1" w:styleId="Tiret2">
    <w:name w:val="Tiret 2"/>
    <w:basedOn w:val="Point2"/>
    <w:rsid w:val="009B7138"/>
    <w:pPr>
      <w:numPr>
        <w:numId w:val="29"/>
      </w:numPr>
    </w:pPr>
  </w:style>
  <w:style w:type="paragraph" w:customStyle="1" w:styleId="Tiret3">
    <w:name w:val="Tiret 3"/>
    <w:basedOn w:val="Point3"/>
    <w:rsid w:val="009B7138"/>
    <w:pPr>
      <w:numPr>
        <w:numId w:val="30"/>
      </w:numPr>
    </w:pPr>
  </w:style>
  <w:style w:type="paragraph" w:customStyle="1" w:styleId="Tiret4">
    <w:name w:val="Tiret 4"/>
    <w:basedOn w:val="Point4"/>
    <w:rsid w:val="009B7138"/>
    <w:pPr>
      <w:numPr>
        <w:numId w:val="31"/>
      </w:numPr>
    </w:pPr>
  </w:style>
  <w:style w:type="paragraph" w:customStyle="1" w:styleId="PointDouble0">
    <w:name w:val="PointDouble 0"/>
    <w:basedOn w:val="Normal"/>
    <w:rsid w:val="009B71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9B71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9B71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9B71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9B71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9B71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9B71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9B71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9B71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9B71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9B7138"/>
    <w:pPr>
      <w:numPr>
        <w:numId w:val="32"/>
      </w:numPr>
    </w:pPr>
  </w:style>
  <w:style w:type="paragraph" w:customStyle="1" w:styleId="NumPar2">
    <w:name w:val="NumPar 2"/>
    <w:basedOn w:val="Normal"/>
    <w:next w:val="Text1"/>
    <w:rsid w:val="009B7138"/>
    <w:pPr>
      <w:numPr>
        <w:ilvl w:val="1"/>
        <w:numId w:val="32"/>
      </w:numPr>
    </w:pPr>
  </w:style>
  <w:style w:type="paragraph" w:customStyle="1" w:styleId="NumPar3">
    <w:name w:val="NumPar 3"/>
    <w:basedOn w:val="Normal"/>
    <w:next w:val="Text1"/>
    <w:rsid w:val="009B7138"/>
    <w:pPr>
      <w:numPr>
        <w:ilvl w:val="2"/>
        <w:numId w:val="32"/>
      </w:numPr>
    </w:pPr>
  </w:style>
  <w:style w:type="paragraph" w:customStyle="1" w:styleId="NumPar4">
    <w:name w:val="NumPar 4"/>
    <w:basedOn w:val="Normal"/>
    <w:next w:val="Text1"/>
    <w:rsid w:val="009B7138"/>
    <w:pPr>
      <w:numPr>
        <w:ilvl w:val="3"/>
        <w:numId w:val="32"/>
      </w:numPr>
    </w:pPr>
  </w:style>
  <w:style w:type="paragraph" w:customStyle="1" w:styleId="ManualNumPar1">
    <w:name w:val="Manual NumPar 1"/>
    <w:basedOn w:val="Normal"/>
    <w:next w:val="Text1"/>
    <w:rsid w:val="009B713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9B713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9B713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9B7138"/>
    <w:pPr>
      <w:ind w:left="850" w:hanging="850"/>
    </w:pPr>
  </w:style>
  <w:style w:type="paragraph" w:customStyle="1" w:styleId="QuotedNumPar">
    <w:name w:val="Quoted NumPar"/>
    <w:basedOn w:val="Normal"/>
    <w:rsid w:val="009B71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9B71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B71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B71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9B71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9B71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B71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9B713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9B7138"/>
    <w:pPr>
      <w:jc w:val="center"/>
    </w:pPr>
    <w:rPr>
      <w:b/>
    </w:rPr>
  </w:style>
  <w:style w:type="character" w:customStyle="1" w:styleId="Marker">
    <w:name w:val="Marker"/>
    <w:basedOn w:val="DefaultParagraphFont"/>
    <w:rsid w:val="009B713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B713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B713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B7138"/>
    <w:pPr>
      <w:numPr>
        <w:numId w:val="34"/>
      </w:numPr>
    </w:pPr>
  </w:style>
  <w:style w:type="paragraph" w:customStyle="1" w:styleId="Point1number">
    <w:name w:val="Point 1 (number)"/>
    <w:basedOn w:val="Normal"/>
    <w:rsid w:val="009B7138"/>
    <w:pPr>
      <w:numPr>
        <w:ilvl w:val="2"/>
        <w:numId w:val="34"/>
      </w:numPr>
    </w:pPr>
  </w:style>
  <w:style w:type="paragraph" w:customStyle="1" w:styleId="Point2number">
    <w:name w:val="Point 2 (number)"/>
    <w:basedOn w:val="Normal"/>
    <w:rsid w:val="009B7138"/>
    <w:pPr>
      <w:numPr>
        <w:ilvl w:val="4"/>
        <w:numId w:val="34"/>
      </w:numPr>
    </w:pPr>
  </w:style>
  <w:style w:type="paragraph" w:customStyle="1" w:styleId="Point3number">
    <w:name w:val="Point 3 (number)"/>
    <w:basedOn w:val="Normal"/>
    <w:rsid w:val="009B7138"/>
    <w:pPr>
      <w:numPr>
        <w:ilvl w:val="6"/>
        <w:numId w:val="34"/>
      </w:numPr>
    </w:pPr>
  </w:style>
  <w:style w:type="paragraph" w:customStyle="1" w:styleId="Point0letter">
    <w:name w:val="Point 0 (letter)"/>
    <w:basedOn w:val="Normal"/>
    <w:rsid w:val="009B7138"/>
    <w:pPr>
      <w:numPr>
        <w:ilvl w:val="1"/>
        <w:numId w:val="34"/>
      </w:numPr>
    </w:pPr>
  </w:style>
  <w:style w:type="paragraph" w:customStyle="1" w:styleId="Point1letter">
    <w:name w:val="Point 1 (letter)"/>
    <w:basedOn w:val="Normal"/>
    <w:rsid w:val="009B7138"/>
    <w:pPr>
      <w:numPr>
        <w:ilvl w:val="3"/>
        <w:numId w:val="34"/>
      </w:numPr>
    </w:pPr>
  </w:style>
  <w:style w:type="paragraph" w:customStyle="1" w:styleId="Point2letter">
    <w:name w:val="Point 2 (letter)"/>
    <w:basedOn w:val="Normal"/>
    <w:rsid w:val="009B7138"/>
    <w:pPr>
      <w:numPr>
        <w:ilvl w:val="5"/>
        <w:numId w:val="34"/>
      </w:numPr>
    </w:pPr>
  </w:style>
  <w:style w:type="paragraph" w:customStyle="1" w:styleId="Point3letter">
    <w:name w:val="Point 3 (letter)"/>
    <w:basedOn w:val="Normal"/>
    <w:rsid w:val="009B7138"/>
    <w:pPr>
      <w:numPr>
        <w:ilvl w:val="7"/>
        <w:numId w:val="34"/>
      </w:numPr>
    </w:pPr>
  </w:style>
  <w:style w:type="paragraph" w:customStyle="1" w:styleId="Point4letter">
    <w:name w:val="Point 4 (letter)"/>
    <w:basedOn w:val="Normal"/>
    <w:rsid w:val="009B7138"/>
    <w:pPr>
      <w:numPr>
        <w:ilvl w:val="8"/>
        <w:numId w:val="34"/>
      </w:numPr>
    </w:pPr>
  </w:style>
  <w:style w:type="paragraph" w:customStyle="1" w:styleId="Bullet0">
    <w:name w:val="Bullet 0"/>
    <w:basedOn w:val="Normal"/>
    <w:rsid w:val="009B7138"/>
    <w:pPr>
      <w:numPr>
        <w:numId w:val="35"/>
      </w:numPr>
    </w:pPr>
  </w:style>
  <w:style w:type="paragraph" w:customStyle="1" w:styleId="Bullet1">
    <w:name w:val="Bullet 1"/>
    <w:basedOn w:val="Normal"/>
    <w:rsid w:val="009B7138"/>
    <w:pPr>
      <w:numPr>
        <w:numId w:val="36"/>
      </w:numPr>
    </w:pPr>
  </w:style>
  <w:style w:type="paragraph" w:customStyle="1" w:styleId="Bullet2">
    <w:name w:val="Bullet 2"/>
    <w:basedOn w:val="Normal"/>
    <w:rsid w:val="009B7138"/>
    <w:pPr>
      <w:numPr>
        <w:numId w:val="37"/>
      </w:numPr>
    </w:pPr>
  </w:style>
  <w:style w:type="paragraph" w:customStyle="1" w:styleId="Bullet3">
    <w:name w:val="Bullet 3"/>
    <w:basedOn w:val="Normal"/>
    <w:rsid w:val="009B7138"/>
    <w:pPr>
      <w:numPr>
        <w:numId w:val="38"/>
      </w:numPr>
    </w:pPr>
  </w:style>
  <w:style w:type="paragraph" w:customStyle="1" w:styleId="Bullet4">
    <w:name w:val="Bullet 4"/>
    <w:basedOn w:val="Normal"/>
    <w:rsid w:val="009B7138"/>
    <w:pPr>
      <w:numPr>
        <w:numId w:val="39"/>
      </w:numPr>
    </w:pPr>
  </w:style>
  <w:style w:type="paragraph" w:customStyle="1" w:styleId="Langue">
    <w:name w:val="Langue"/>
    <w:basedOn w:val="Normal"/>
    <w:next w:val="Rfrenceinterne"/>
    <w:rsid w:val="009B713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9B713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9B713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9B713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9B7138"/>
    <w:pPr>
      <w:spacing w:before="0" w:after="0"/>
    </w:pPr>
  </w:style>
  <w:style w:type="paragraph" w:customStyle="1" w:styleId="Disclaimer">
    <w:name w:val="Disclaimer"/>
    <w:basedOn w:val="Normal"/>
    <w:rsid w:val="009B713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9B7138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9B71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9B71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9B713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9B713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9B7138"/>
    <w:pPr>
      <w:numPr>
        <w:numId w:val="40"/>
      </w:numPr>
    </w:pPr>
  </w:style>
  <w:style w:type="paragraph" w:customStyle="1" w:styleId="Corrigendum">
    <w:name w:val="Corrigendum"/>
    <w:basedOn w:val="Normal"/>
    <w:next w:val="Normal"/>
    <w:rsid w:val="009B71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9B713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9B71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9B7138"/>
    <w:pPr>
      <w:keepNext/>
    </w:pPr>
  </w:style>
  <w:style w:type="paragraph" w:customStyle="1" w:styleId="Institutionquiagit">
    <w:name w:val="Institution qui agit"/>
    <w:basedOn w:val="Normal"/>
    <w:next w:val="Normal"/>
    <w:rsid w:val="009B71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9B71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9B713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9B71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9B71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9B713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9B71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9B71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9B71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9B71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9B713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B713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B713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9B7138"/>
    <w:rPr>
      <w:i/>
      <w:caps/>
    </w:rPr>
  </w:style>
  <w:style w:type="paragraph" w:customStyle="1" w:styleId="Supertitre">
    <w:name w:val="Supertitre"/>
    <w:basedOn w:val="Normal"/>
    <w:next w:val="Normal"/>
    <w:rsid w:val="009B713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9B713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9B713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B713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B7138"/>
  </w:style>
  <w:style w:type="paragraph" w:customStyle="1" w:styleId="StatutPagedecouverture">
    <w:name w:val="Statut (Page de couverture)"/>
    <w:basedOn w:val="Statut"/>
    <w:next w:val="TypedudocumentPagedecouverture"/>
    <w:rsid w:val="009B7138"/>
  </w:style>
  <w:style w:type="paragraph" w:customStyle="1" w:styleId="TitreobjetPagedecouverture">
    <w:name w:val="Titre objet (Page de couverture)"/>
    <w:basedOn w:val="Titreobjet"/>
    <w:next w:val="IntrtEEEPagedecouverture"/>
    <w:rsid w:val="009B713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B7138"/>
  </w:style>
  <w:style w:type="paragraph" w:customStyle="1" w:styleId="Volume">
    <w:name w:val="Volum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9B7138"/>
    <w:pPr>
      <w:spacing w:after="240"/>
    </w:pPr>
  </w:style>
  <w:style w:type="paragraph" w:customStyle="1" w:styleId="Accompagnant">
    <w:name w:val="Accompagnant"/>
    <w:basedOn w:val="Normal"/>
    <w:next w:val="Typeacteprincipal"/>
    <w:rsid w:val="009B713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9B713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9B713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9B7138"/>
  </w:style>
  <w:style w:type="paragraph" w:customStyle="1" w:styleId="AccompagnantPagedecouverture">
    <w:name w:val="Accompagnant (Page de couverture)"/>
    <w:basedOn w:val="Accompagnant"/>
    <w:next w:val="TypeacteprincipalPagedecouverture"/>
    <w:rsid w:val="009B713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B7138"/>
  </w:style>
  <w:style w:type="paragraph" w:customStyle="1" w:styleId="ObjetacteprincipalPagedecouverture">
    <w:name w:val="Objet acte principal (Page de couverture)"/>
    <w:basedOn w:val="Objetacteprincipal"/>
    <w:next w:val="Rfrencecroise"/>
    <w:rsid w:val="009B7138"/>
  </w:style>
  <w:style w:type="paragraph" w:customStyle="1" w:styleId="LanguesfaisantfoiPagedecouverture">
    <w:name w:val="Langues faisant foi (Page de couverture)"/>
    <w:basedOn w:val="Normal"/>
    <w:next w:val="Normal"/>
    <w:rsid w:val="009B7138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8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7FA05-3DC9-4B74-AE6B-EBF6FB5B8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3</Pages>
  <Words>1346</Words>
  <Characters>9545</Characters>
  <Application>Microsoft Office Word</Application>
  <DocSecurity>0</DocSecurity>
  <Lines>171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EBA Staff</dc:creator>
  <cp:lastModifiedBy>SCHAIG Ferenc (DGT)</cp:lastModifiedBy>
  <cp:revision>3</cp:revision>
  <cp:lastPrinted>2019-11-13T10:58:00Z</cp:lastPrinted>
  <dcterms:created xsi:type="dcterms:W3CDTF">2020-01-22T05:39:00Z</dcterms:created>
  <dcterms:modified xsi:type="dcterms:W3CDTF">2020-01-22T05:39:00Z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5.8.22.0</vt:lpwstr>
  </property>
  <property fmtid="{D5CDD505-2E9C-101B-9397-08002B2CF9AE}" pid="4" name="Created using">
    <vt:lpwstr>LW 5.8, Build 20110311</vt:lpwstr>
  </property>
  <property fmtid="{D5CDD505-2E9C-101B-9397-08002B2CF9AE}" pid="5" name="Last edited using">
    <vt:lpwstr>LW 7.0, Build 20190717</vt:lpwstr>
  </property>
  <property fmtid="{D5CDD505-2E9C-101B-9397-08002B2CF9AE}" pid="6" name="_NewReviewCycle">
    <vt:lpwstr/>
  </property>
  <property fmtid="{D5CDD505-2E9C-101B-9397-08002B2CF9AE}" pid="7" name="LWTemplateID">
    <vt:lpwstr>SJ-004</vt:lpwstr>
  </property>
  <property fmtid="{D5CDD505-2E9C-101B-9397-08002B2CF9AE}" pid="8" name="Level of sensitivity">
    <vt:lpwstr>Standard treatment</vt:lpwstr>
  </property>
  <property fmtid="{D5CDD505-2E9C-101B-9397-08002B2CF9AE}" pid="9" name="Part">
    <vt:lpwstr>1</vt:lpwstr>
  </property>
  <property fmtid="{D5CDD505-2E9C-101B-9397-08002B2CF9AE}" pid="10" name="Total parts">
    <vt:lpwstr>1</vt:lpwstr>
  </property>
  <property fmtid="{D5CDD505-2E9C-101B-9397-08002B2CF9AE}" pid="11" name="DQCStatus">
    <vt:lpwstr>Green (DQC version 03)</vt:lpwstr>
  </property>
</Properties>
</file>