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235D9D" w:rsidRPr="00E13EA5" w:rsidRDefault="006B08A5">
      <w:pPr>
        <w:jc w:val="center"/>
        <w:rPr>
          <w:rFonts w:ascii="Times New Roman" w:hAnsi="Times New Roman"/>
          <w:b/>
          <w:sz w:val="24"/>
        </w:rPr>
      </w:pPr>
      <w:r w:rsidRPr="00E13EA5">
        <w:rPr>
          <w:rFonts w:ascii="Times New Roman" w:hAnsi="Times New Roman"/>
          <w:b/>
          <w:sz w:val="24"/>
        </w:rPr>
        <w:t>SK</w:t>
      </w:r>
    </w:p>
    <w:p w14:paraId="09258196" w14:textId="77777777" w:rsidR="00235D9D" w:rsidRPr="00E13EA5" w:rsidRDefault="00453999">
      <w:pPr>
        <w:jc w:val="center"/>
        <w:rPr>
          <w:rFonts w:ascii="Times New Roman" w:hAnsi="Times New Roman"/>
          <w:b/>
          <w:sz w:val="24"/>
        </w:rPr>
      </w:pPr>
      <w:r w:rsidRPr="00E13EA5">
        <w:rPr>
          <w:rFonts w:ascii="Times New Roman" w:hAnsi="Times New Roman"/>
          <w:b/>
          <w:sz w:val="24"/>
        </w:rPr>
        <w:t>PRÍLOHA II</w:t>
      </w:r>
    </w:p>
    <w:p w14:paraId="7EE8FB87" w14:textId="68D0DDC6" w:rsidR="00235D9D" w:rsidRPr="00E13EA5" w:rsidRDefault="00235D9D">
      <w:pPr>
        <w:jc w:val="center"/>
        <w:rPr>
          <w:rFonts w:ascii="Times New Roman" w:hAnsi="Times New Roman"/>
          <w:b/>
          <w:sz w:val="24"/>
        </w:rPr>
      </w:pPr>
    </w:p>
    <w:p w14:paraId="4B067868" w14:textId="77777777" w:rsidR="00235D9D" w:rsidRPr="00E13EA5" w:rsidRDefault="00235D9D">
      <w:pPr>
        <w:jc w:val="center"/>
        <w:rPr>
          <w:rFonts w:ascii="Times New Roman" w:hAnsi="Times New Roman"/>
          <w:b/>
          <w:sz w:val="24"/>
        </w:rPr>
      </w:pPr>
    </w:p>
    <w:p w14:paraId="52460C1D" w14:textId="77777777" w:rsidR="00235D9D" w:rsidRPr="00E13EA5" w:rsidRDefault="00C7103D">
      <w:pPr>
        <w:jc w:val="center"/>
        <w:rPr>
          <w:rFonts w:ascii="Times New Roman" w:hAnsi="Times New Roman"/>
          <w:b/>
          <w:sz w:val="24"/>
          <w:u w:val="single"/>
        </w:rPr>
      </w:pPr>
      <w:r w:rsidRPr="00E13EA5">
        <w:rPr>
          <w:rFonts w:ascii="Times New Roman" w:hAnsi="Times New Roman"/>
          <w:b/>
          <w:sz w:val="24"/>
          <w:u w:val="single"/>
        </w:rPr>
        <w:t>„PRÍLOHA II</w:t>
      </w:r>
    </w:p>
    <w:p w14:paraId="644BA8AC" w14:textId="1C875BBB" w:rsidR="00235D9D" w:rsidRPr="00E13EA5" w:rsidRDefault="002648B0">
      <w:pPr>
        <w:jc w:val="center"/>
        <w:rPr>
          <w:rFonts w:ascii="Times New Roman" w:hAnsi="Times New Roman"/>
          <w:b/>
          <w:sz w:val="24"/>
        </w:rPr>
      </w:pPr>
      <w:r w:rsidRPr="00E13EA5">
        <w:rPr>
          <w:rFonts w:ascii="Times New Roman" w:hAnsi="Times New Roman"/>
          <w:b/>
          <w:sz w:val="24"/>
        </w:rPr>
        <w:t>VYKAZOVANIE VLASTNÝCH ZDROJOV</w:t>
      </w:r>
      <w:r w:rsidR="00AE063E" w:rsidRPr="00E13EA5">
        <w:rPr>
          <w:rFonts w:ascii="Times New Roman" w:hAnsi="Times New Roman"/>
          <w:b/>
          <w:sz w:val="24"/>
        </w:rPr>
        <w:t xml:space="preserve"> </w:t>
      </w:r>
      <w:r w:rsidRPr="00E13EA5">
        <w:rPr>
          <w:rFonts w:ascii="Times New Roman" w:hAnsi="Times New Roman"/>
          <w:b/>
          <w:sz w:val="24"/>
        </w:rPr>
        <w:t>A POŽIADAVIEK NA VLASTNÉ ZDROJE</w:t>
      </w:r>
    </w:p>
    <w:p w14:paraId="4592BD27" w14:textId="77777777" w:rsidR="00235D9D" w:rsidRPr="00D85C65" w:rsidRDefault="00235D9D">
      <w:pPr>
        <w:jc w:val="center"/>
        <w:rPr>
          <w:rFonts w:ascii="Times New Roman" w:hAnsi="Times New Roman"/>
          <w:b/>
          <w:sz w:val="24"/>
        </w:rPr>
      </w:pPr>
    </w:p>
    <w:p w14:paraId="296F65E0" w14:textId="77777777" w:rsidR="00235D9D" w:rsidRPr="00D85C65" w:rsidRDefault="002648B0">
      <w:pPr>
        <w:pStyle w:val="InstructionsText"/>
      </w:pPr>
      <w:r w:rsidRPr="00D85C65">
        <w:t>Obsah</w:t>
      </w:r>
    </w:p>
    <w:p w14:paraId="621A02E5" w14:textId="5A250234" w:rsidR="00136C7D" w:rsidRPr="00D85C65" w:rsidRDefault="00745369">
      <w:pPr>
        <w:pStyle w:val="TOC2"/>
        <w:rPr>
          <w:rFonts w:asciiTheme="minorHAnsi" w:eastAsiaTheme="minorEastAsia" w:hAnsiTheme="minorHAnsi" w:cstheme="minorBidi"/>
          <w:b w:val="0"/>
          <w:smallCaps w:val="0"/>
          <w:sz w:val="22"/>
        </w:rPr>
      </w:pPr>
      <w:r w:rsidRPr="00D85C65">
        <w:rPr>
          <w:rFonts w:ascii="Times New Roman" w:hAnsi="Times New Roman"/>
          <w:noProof w:val="0"/>
        </w:rPr>
        <w:fldChar w:fldCharType="begin"/>
      </w:r>
      <w:r w:rsidRPr="00D85C65">
        <w:rPr>
          <w:rFonts w:ascii="Times New Roman" w:hAnsi="Times New Roman"/>
          <w:noProof w:val="0"/>
        </w:rPr>
        <w:instrText xml:space="preserve"> TOC \o "1-3" \h \z \u </w:instrText>
      </w:r>
      <w:r w:rsidRPr="00D85C65">
        <w:rPr>
          <w:rFonts w:ascii="Times New Roman" w:hAnsi="Times New Roman"/>
          <w:noProof w:val="0"/>
        </w:rPr>
        <w:fldChar w:fldCharType="separate"/>
      </w:r>
      <w:hyperlink w:anchor="_Toc29994443" w:history="1">
        <w:r w:rsidR="00136C7D" w:rsidRPr="00D85C65">
          <w:rPr>
            <w:rStyle w:val="Hyperlink"/>
            <w:rFonts w:ascii="Times New Roman" w:hAnsi="Times New Roman"/>
          </w:rPr>
          <w:t>ČASŤ I: VŠEOBECNÉ POKYNY</w:t>
        </w:r>
        <w:r w:rsidR="00136C7D" w:rsidRPr="00D85C65">
          <w:rPr>
            <w:webHidden/>
          </w:rPr>
          <w:tab/>
        </w:r>
        <w:r w:rsidR="00136C7D" w:rsidRPr="00D85C65">
          <w:rPr>
            <w:webHidden/>
          </w:rPr>
          <w:fldChar w:fldCharType="begin"/>
        </w:r>
        <w:r w:rsidR="00136C7D" w:rsidRPr="00D85C65">
          <w:rPr>
            <w:webHidden/>
          </w:rPr>
          <w:instrText xml:space="preserve"> PAGEREF _Toc29994443 \h </w:instrText>
        </w:r>
        <w:r w:rsidR="00136C7D" w:rsidRPr="00D85C65">
          <w:rPr>
            <w:webHidden/>
          </w:rPr>
        </w:r>
        <w:r w:rsidR="00136C7D" w:rsidRPr="00D85C65">
          <w:rPr>
            <w:webHidden/>
          </w:rPr>
          <w:fldChar w:fldCharType="separate"/>
        </w:r>
        <w:r w:rsidR="00E13EA5">
          <w:rPr>
            <w:webHidden/>
          </w:rPr>
          <w:t>5</w:t>
        </w:r>
        <w:r w:rsidR="00136C7D" w:rsidRPr="00D85C65">
          <w:rPr>
            <w:webHidden/>
          </w:rPr>
          <w:fldChar w:fldCharType="end"/>
        </w:r>
      </w:hyperlink>
    </w:p>
    <w:p w14:paraId="1AEDFD89" w14:textId="09A6906A" w:rsidR="00136C7D" w:rsidRPr="00D85C65" w:rsidRDefault="00530AC2">
      <w:pPr>
        <w:pStyle w:val="TOC2"/>
        <w:rPr>
          <w:rFonts w:asciiTheme="minorHAnsi" w:eastAsiaTheme="minorEastAsia" w:hAnsiTheme="minorHAnsi" w:cstheme="minorBidi"/>
          <w:b w:val="0"/>
          <w:smallCaps w:val="0"/>
          <w:sz w:val="22"/>
        </w:rPr>
      </w:pPr>
      <w:hyperlink w:anchor="_Toc29994444" w:history="1">
        <w:r w:rsidR="00136C7D" w:rsidRPr="00D85C65">
          <w:rPr>
            <w:rStyle w:val="Hyperlink"/>
            <w:rFonts w:ascii="Times New Roman" w:hAnsi="Times New Roman"/>
          </w:rPr>
          <w:t>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Štruktúra</w:t>
        </w:r>
        <w:r w:rsidR="00D85C65">
          <w:rPr>
            <w:rStyle w:val="Hyperlink"/>
            <w:rFonts w:ascii="Times New Roman" w:hAnsi="Times New Roman"/>
          </w:rPr>
          <w:t xml:space="preserve"> a </w:t>
        </w:r>
        <w:r w:rsidR="00136C7D" w:rsidRPr="00D85C65">
          <w:rPr>
            <w:rStyle w:val="Hyperlink"/>
            <w:rFonts w:ascii="Times New Roman" w:hAnsi="Times New Roman"/>
          </w:rPr>
          <w:t>pravidlá</w:t>
        </w:r>
        <w:r w:rsidR="00136C7D" w:rsidRPr="00D85C65">
          <w:rPr>
            <w:webHidden/>
          </w:rPr>
          <w:tab/>
        </w:r>
        <w:r w:rsidR="00136C7D" w:rsidRPr="00D85C65">
          <w:rPr>
            <w:webHidden/>
          </w:rPr>
          <w:fldChar w:fldCharType="begin"/>
        </w:r>
        <w:r w:rsidR="00136C7D" w:rsidRPr="00D85C65">
          <w:rPr>
            <w:webHidden/>
          </w:rPr>
          <w:instrText xml:space="preserve"> PAGEREF _Toc29994444 \h </w:instrText>
        </w:r>
        <w:r w:rsidR="00136C7D" w:rsidRPr="00D85C65">
          <w:rPr>
            <w:webHidden/>
          </w:rPr>
        </w:r>
        <w:r w:rsidR="00136C7D" w:rsidRPr="00D85C65">
          <w:rPr>
            <w:webHidden/>
          </w:rPr>
          <w:fldChar w:fldCharType="separate"/>
        </w:r>
        <w:r w:rsidR="00E13EA5">
          <w:rPr>
            <w:webHidden/>
          </w:rPr>
          <w:t>5</w:t>
        </w:r>
        <w:r w:rsidR="00136C7D" w:rsidRPr="00D85C65">
          <w:rPr>
            <w:webHidden/>
          </w:rPr>
          <w:fldChar w:fldCharType="end"/>
        </w:r>
      </w:hyperlink>
    </w:p>
    <w:p w14:paraId="37242B4A" w14:textId="4A6F6136" w:rsidR="00136C7D" w:rsidRPr="00D85C65" w:rsidRDefault="00530AC2">
      <w:pPr>
        <w:pStyle w:val="TOC2"/>
        <w:rPr>
          <w:rFonts w:asciiTheme="minorHAnsi" w:eastAsiaTheme="minorEastAsia" w:hAnsiTheme="minorHAnsi" w:cstheme="minorBidi"/>
          <w:b w:val="0"/>
          <w:smallCaps w:val="0"/>
          <w:sz w:val="22"/>
        </w:rPr>
      </w:pPr>
      <w:hyperlink w:anchor="_Toc29994445" w:history="1">
        <w:r w:rsidR="00136C7D" w:rsidRPr="00D85C65">
          <w:rPr>
            <w:rStyle w:val="Hyperlink"/>
            <w:rFonts w:ascii="Times New Roman" w:hAnsi="Times New Roman"/>
          </w:rPr>
          <w:t>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Štruktúra</w:t>
        </w:r>
        <w:r w:rsidR="00136C7D" w:rsidRPr="00D85C65">
          <w:rPr>
            <w:webHidden/>
          </w:rPr>
          <w:tab/>
        </w:r>
        <w:r w:rsidR="00136C7D" w:rsidRPr="00D85C65">
          <w:rPr>
            <w:webHidden/>
          </w:rPr>
          <w:fldChar w:fldCharType="begin"/>
        </w:r>
        <w:r w:rsidR="00136C7D" w:rsidRPr="00D85C65">
          <w:rPr>
            <w:webHidden/>
          </w:rPr>
          <w:instrText xml:space="preserve"> PAGEREF _Toc29994445 \h </w:instrText>
        </w:r>
        <w:r w:rsidR="00136C7D" w:rsidRPr="00D85C65">
          <w:rPr>
            <w:webHidden/>
          </w:rPr>
        </w:r>
        <w:r w:rsidR="00136C7D" w:rsidRPr="00D85C65">
          <w:rPr>
            <w:webHidden/>
          </w:rPr>
          <w:fldChar w:fldCharType="separate"/>
        </w:r>
        <w:r w:rsidR="00E13EA5">
          <w:rPr>
            <w:webHidden/>
          </w:rPr>
          <w:t>5</w:t>
        </w:r>
        <w:r w:rsidR="00136C7D" w:rsidRPr="00D85C65">
          <w:rPr>
            <w:webHidden/>
          </w:rPr>
          <w:fldChar w:fldCharType="end"/>
        </w:r>
      </w:hyperlink>
    </w:p>
    <w:p w14:paraId="019D8A68" w14:textId="3ACDC607" w:rsidR="00136C7D" w:rsidRPr="00D85C65" w:rsidRDefault="00530AC2">
      <w:pPr>
        <w:pStyle w:val="TOC2"/>
        <w:rPr>
          <w:rFonts w:asciiTheme="minorHAnsi" w:eastAsiaTheme="minorEastAsia" w:hAnsiTheme="minorHAnsi" w:cstheme="minorBidi"/>
          <w:b w:val="0"/>
          <w:smallCaps w:val="0"/>
          <w:sz w:val="22"/>
        </w:rPr>
      </w:pPr>
      <w:hyperlink w:anchor="_Toc29994446" w:history="1">
        <w:r w:rsidR="00136C7D" w:rsidRPr="00D85C65">
          <w:rPr>
            <w:rStyle w:val="Hyperlink"/>
            <w:rFonts w:ascii="Times New Roman" w:hAnsi="Times New Roman"/>
          </w:rPr>
          <w:t>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Pravidlá číslovania</w:t>
        </w:r>
        <w:r w:rsidR="00136C7D" w:rsidRPr="00D85C65">
          <w:rPr>
            <w:webHidden/>
          </w:rPr>
          <w:tab/>
        </w:r>
        <w:r w:rsidR="00136C7D" w:rsidRPr="00D85C65">
          <w:rPr>
            <w:webHidden/>
          </w:rPr>
          <w:fldChar w:fldCharType="begin"/>
        </w:r>
        <w:r w:rsidR="00136C7D" w:rsidRPr="00D85C65">
          <w:rPr>
            <w:webHidden/>
          </w:rPr>
          <w:instrText xml:space="preserve"> PAGEREF _Toc29994446 \h </w:instrText>
        </w:r>
        <w:r w:rsidR="00136C7D" w:rsidRPr="00D85C65">
          <w:rPr>
            <w:webHidden/>
          </w:rPr>
        </w:r>
        <w:r w:rsidR="00136C7D" w:rsidRPr="00D85C65">
          <w:rPr>
            <w:webHidden/>
          </w:rPr>
          <w:fldChar w:fldCharType="separate"/>
        </w:r>
        <w:r w:rsidR="00E13EA5">
          <w:rPr>
            <w:webHidden/>
          </w:rPr>
          <w:t>5</w:t>
        </w:r>
        <w:r w:rsidR="00136C7D" w:rsidRPr="00D85C65">
          <w:rPr>
            <w:webHidden/>
          </w:rPr>
          <w:fldChar w:fldCharType="end"/>
        </w:r>
      </w:hyperlink>
    </w:p>
    <w:p w14:paraId="13D36710" w14:textId="28C2F244" w:rsidR="00136C7D" w:rsidRPr="00D85C65" w:rsidRDefault="00530AC2">
      <w:pPr>
        <w:pStyle w:val="TOC2"/>
        <w:rPr>
          <w:rFonts w:asciiTheme="minorHAnsi" w:eastAsiaTheme="minorEastAsia" w:hAnsiTheme="minorHAnsi" w:cstheme="minorBidi"/>
          <w:b w:val="0"/>
          <w:smallCaps w:val="0"/>
          <w:sz w:val="22"/>
        </w:rPr>
      </w:pPr>
      <w:hyperlink w:anchor="_Toc29994447" w:history="1">
        <w:r w:rsidR="00136C7D" w:rsidRPr="00D85C65">
          <w:rPr>
            <w:rStyle w:val="Hyperlink"/>
            <w:rFonts w:ascii="Times New Roman" w:hAnsi="Times New Roman"/>
          </w:rPr>
          <w:t>1.3.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Pravidlá používania znamienok</w:t>
        </w:r>
        <w:r w:rsidR="00136C7D" w:rsidRPr="00D85C65">
          <w:rPr>
            <w:webHidden/>
          </w:rPr>
          <w:tab/>
        </w:r>
        <w:r w:rsidR="00136C7D" w:rsidRPr="00D85C65">
          <w:rPr>
            <w:webHidden/>
          </w:rPr>
          <w:fldChar w:fldCharType="begin"/>
        </w:r>
        <w:r w:rsidR="00136C7D" w:rsidRPr="00D85C65">
          <w:rPr>
            <w:webHidden/>
          </w:rPr>
          <w:instrText xml:space="preserve"> PAGEREF _Toc29994447 \h </w:instrText>
        </w:r>
        <w:r w:rsidR="00136C7D" w:rsidRPr="00D85C65">
          <w:rPr>
            <w:webHidden/>
          </w:rPr>
        </w:r>
        <w:r w:rsidR="00136C7D" w:rsidRPr="00D85C65">
          <w:rPr>
            <w:webHidden/>
          </w:rPr>
          <w:fldChar w:fldCharType="separate"/>
        </w:r>
        <w:r w:rsidR="00E13EA5">
          <w:rPr>
            <w:webHidden/>
          </w:rPr>
          <w:t>5</w:t>
        </w:r>
        <w:r w:rsidR="00136C7D" w:rsidRPr="00D85C65">
          <w:rPr>
            <w:webHidden/>
          </w:rPr>
          <w:fldChar w:fldCharType="end"/>
        </w:r>
      </w:hyperlink>
    </w:p>
    <w:p w14:paraId="30259BE5" w14:textId="33F7F091" w:rsidR="00136C7D" w:rsidRPr="00D85C65" w:rsidRDefault="00530AC2">
      <w:pPr>
        <w:pStyle w:val="TOC2"/>
        <w:rPr>
          <w:rFonts w:asciiTheme="minorHAnsi" w:eastAsiaTheme="minorEastAsia" w:hAnsiTheme="minorHAnsi" w:cstheme="minorBidi"/>
          <w:b w:val="0"/>
          <w:smallCaps w:val="0"/>
          <w:sz w:val="22"/>
        </w:rPr>
      </w:pPr>
      <w:hyperlink w:anchor="_Toc29994448" w:history="1">
        <w:r w:rsidR="00136C7D" w:rsidRPr="00D85C65">
          <w:rPr>
            <w:rStyle w:val="Hyperlink"/>
            <w:rFonts w:ascii="Times New Roman" w:hAnsi="Times New Roman"/>
          </w:rPr>
          <w:t>1.4.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Skratky</w:t>
        </w:r>
        <w:r w:rsidR="00136C7D" w:rsidRPr="00D85C65">
          <w:rPr>
            <w:webHidden/>
          </w:rPr>
          <w:tab/>
        </w:r>
        <w:r w:rsidR="00136C7D" w:rsidRPr="00D85C65">
          <w:rPr>
            <w:webHidden/>
          </w:rPr>
          <w:fldChar w:fldCharType="begin"/>
        </w:r>
        <w:r w:rsidR="00136C7D" w:rsidRPr="00D85C65">
          <w:rPr>
            <w:webHidden/>
          </w:rPr>
          <w:instrText xml:space="preserve"> PAGEREF _Toc29994448 \h </w:instrText>
        </w:r>
        <w:r w:rsidR="00136C7D" w:rsidRPr="00D85C65">
          <w:rPr>
            <w:webHidden/>
          </w:rPr>
        </w:r>
        <w:r w:rsidR="00136C7D" w:rsidRPr="00D85C65">
          <w:rPr>
            <w:webHidden/>
          </w:rPr>
          <w:fldChar w:fldCharType="separate"/>
        </w:r>
        <w:r w:rsidR="00E13EA5">
          <w:rPr>
            <w:webHidden/>
          </w:rPr>
          <w:t>6</w:t>
        </w:r>
        <w:r w:rsidR="00136C7D" w:rsidRPr="00D85C65">
          <w:rPr>
            <w:webHidden/>
          </w:rPr>
          <w:fldChar w:fldCharType="end"/>
        </w:r>
      </w:hyperlink>
    </w:p>
    <w:p w14:paraId="2DDA5F52" w14:textId="27E89144" w:rsidR="00136C7D" w:rsidRPr="00D85C65" w:rsidRDefault="00530AC2">
      <w:pPr>
        <w:pStyle w:val="TOC2"/>
        <w:rPr>
          <w:rFonts w:asciiTheme="minorHAnsi" w:eastAsiaTheme="minorEastAsia" w:hAnsiTheme="minorHAnsi" w:cstheme="minorBidi"/>
          <w:b w:val="0"/>
          <w:smallCaps w:val="0"/>
          <w:sz w:val="22"/>
        </w:rPr>
      </w:pPr>
      <w:hyperlink w:anchor="_Toc29994449" w:history="1">
        <w:r w:rsidR="00136C7D" w:rsidRPr="00D85C65">
          <w:rPr>
            <w:rStyle w:val="Hyperlink"/>
            <w:rFonts w:ascii="Times New Roman" w:hAnsi="Times New Roman"/>
          </w:rPr>
          <w:t>ČASŤ II: POKYNY TÝKAJÚCE SA VZOROV</w:t>
        </w:r>
        <w:r w:rsidR="00136C7D" w:rsidRPr="00D85C65">
          <w:rPr>
            <w:webHidden/>
          </w:rPr>
          <w:tab/>
        </w:r>
        <w:r w:rsidR="00136C7D" w:rsidRPr="00D85C65">
          <w:rPr>
            <w:webHidden/>
          </w:rPr>
          <w:fldChar w:fldCharType="begin"/>
        </w:r>
        <w:r w:rsidR="00136C7D" w:rsidRPr="00D85C65">
          <w:rPr>
            <w:webHidden/>
          </w:rPr>
          <w:instrText xml:space="preserve"> PAGEREF _Toc29994449 \h </w:instrText>
        </w:r>
        <w:r w:rsidR="00136C7D" w:rsidRPr="00D85C65">
          <w:rPr>
            <w:webHidden/>
          </w:rPr>
        </w:r>
        <w:r w:rsidR="00136C7D" w:rsidRPr="00D85C65">
          <w:rPr>
            <w:webHidden/>
          </w:rPr>
          <w:fldChar w:fldCharType="separate"/>
        </w:r>
        <w:r w:rsidR="00E13EA5">
          <w:rPr>
            <w:webHidden/>
          </w:rPr>
          <w:t>7</w:t>
        </w:r>
        <w:r w:rsidR="00136C7D" w:rsidRPr="00D85C65">
          <w:rPr>
            <w:webHidden/>
          </w:rPr>
          <w:fldChar w:fldCharType="end"/>
        </w:r>
      </w:hyperlink>
    </w:p>
    <w:p w14:paraId="2D8794AF" w14:textId="55BB7692" w:rsidR="00136C7D" w:rsidRPr="00D85C65" w:rsidRDefault="00530AC2">
      <w:pPr>
        <w:pStyle w:val="TOC2"/>
        <w:rPr>
          <w:rFonts w:asciiTheme="minorHAnsi" w:eastAsiaTheme="minorEastAsia" w:hAnsiTheme="minorHAnsi" w:cstheme="minorBidi"/>
          <w:b w:val="0"/>
          <w:smallCaps w:val="0"/>
          <w:sz w:val="22"/>
        </w:rPr>
      </w:pPr>
      <w:hyperlink w:anchor="_Toc29994450" w:history="1">
        <w:r w:rsidR="00136C7D" w:rsidRPr="00D85C65">
          <w:rPr>
            <w:rStyle w:val="Hyperlink"/>
            <w:rFonts w:ascii="Times New Roman" w:hAnsi="Times New Roman"/>
          </w:rPr>
          <w:t>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Prehľad kapitálovej primeranosti (CA)</w:t>
        </w:r>
        <w:r w:rsidR="00136C7D" w:rsidRPr="00D85C65">
          <w:rPr>
            <w:webHidden/>
          </w:rPr>
          <w:tab/>
        </w:r>
        <w:r w:rsidR="00136C7D" w:rsidRPr="00D85C65">
          <w:rPr>
            <w:webHidden/>
          </w:rPr>
          <w:fldChar w:fldCharType="begin"/>
        </w:r>
        <w:r w:rsidR="00136C7D" w:rsidRPr="00D85C65">
          <w:rPr>
            <w:webHidden/>
          </w:rPr>
          <w:instrText xml:space="preserve"> PAGEREF _Toc29994450 \h </w:instrText>
        </w:r>
        <w:r w:rsidR="00136C7D" w:rsidRPr="00D85C65">
          <w:rPr>
            <w:webHidden/>
          </w:rPr>
        </w:r>
        <w:r w:rsidR="00136C7D" w:rsidRPr="00D85C65">
          <w:rPr>
            <w:webHidden/>
          </w:rPr>
          <w:fldChar w:fldCharType="separate"/>
        </w:r>
        <w:r w:rsidR="00E13EA5">
          <w:rPr>
            <w:webHidden/>
          </w:rPr>
          <w:t>7</w:t>
        </w:r>
        <w:r w:rsidR="00136C7D" w:rsidRPr="00D85C65">
          <w:rPr>
            <w:webHidden/>
          </w:rPr>
          <w:fldChar w:fldCharType="end"/>
        </w:r>
      </w:hyperlink>
    </w:p>
    <w:p w14:paraId="455FCF22" w14:textId="0B77464E" w:rsidR="00136C7D" w:rsidRPr="00D85C65" w:rsidRDefault="00530AC2">
      <w:pPr>
        <w:pStyle w:val="TOC2"/>
        <w:rPr>
          <w:rFonts w:asciiTheme="minorHAnsi" w:eastAsiaTheme="minorEastAsia" w:hAnsiTheme="minorHAnsi" w:cstheme="minorBidi"/>
          <w:b w:val="0"/>
          <w:smallCaps w:val="0"/>
          <w:sz w:val="22"/>
        </w:rPr>
      </w:pPr>
      <w:hyperlink w:anchor="_Toc29994451" w:history="1">
        <w:r w:rsidR="00136C7D" w:rsidRPr="00D85C65">
          <w:rPr>
            <w:rStyle w:val="Hyperlink"/>
            <w:rFonts w:ascii="Times New Roman" w:hAnsi="Times New Roman"/>
          </w:rPr>
          <w:t>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_Toc29994451 \h </w:instrText>
        </w:r>
        <w:r w:rsidR="00136C7D" w:rsidRPr="00D85C65">
          <w:rPr>
            <w:webHidden/>
          </w:rPr>
        </w:r>
        <w:r w:rsidR="00136C7D" w:rsidRPr="00D85C65">
          <w:rPr>
            <w:webHidden/>
          </w:rPr>
          <w:fldChar w:fldCharType="separate"/>
        </w:r>
        <w:r w:rsidR="00E13EA5">
          <w:rPr>
            <w:webHidden/>
          </w:rPr>
          <w:t>7</w:t>
        </w:r>
        <w:r w:rsidR="00136C7D" w:rsidRPr="00D85C65">
          <w:rPr>
            <w:webHidden/>
          </w:rPr>
          <w:fldChar w:fldCharType="end"/>
        </w:r>
      </w:hyperlink>
    </w:p>
    <w:p w14:paraId="079A2D79" w14:textId="3FA19EF9" w:rsidR="00136C7D" w:rsidRPr="00D85C65" w:rsidRDefault="00530AC2">
      <w:pPr>
        <w:pStyle w:val="TOC2"/>
        <w:rPr>
          <w:rFonts w:asciiTheme="minorHAnsi" w:eastAsiaTheme="minorEastAsia" w:hAnsiTheme="minorHAnsi" w:cstheme="minorBidi"/>
          <w:b w:val="0"/>
          <w:smallCaps w:val="0"/>
          <w:sz w:val="22"/>
        </w:rPr>
      </w:pPr>
      <w:hyperlink w:anchor="_Toc29994452" w:history="1">
        <w:r w:rsidR="00136C7D" w:rsidRPr="00D85C65">
          <w:rPr>
            <w:rStyle w:val="Hyperlink"/>
            <w:rFonts w:ascii="Times New Roman" w:hAnsi="Times New Roman"/>
          </w:rPr>
          <w:t>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01.00 – VLASTNÉ ZDROJE (CA1)</w:t>
        </w:r>
        <w:r w:rsidR="00136C7D" w:rsidRPr="00D85C65">
          <w:rPr>
            <w:webHidden/>
          </w:rPr>
          <w:tab/>
        </w:r>
        <w:r w:rsidR="00136C7D" w:rsidRPr="00D85C65">
          <w:rPr>
            <w:webHidden/>
          </w:rPr>
          <w:fldChar w:fldCharType="begin"/>
        </w:r>
        <w:r w:rsidR="00136C7D" w:rsidRPr="00D85C65">
          <w:rPr>
            <w:webHidden/>
          </w:rPr>
          <w:instrText xml:space="preserve"> PAGEREF _Toc29994452 \h </w:instrText>
        </w:r>
        <w:r w:rsidR="00136C7D" w:rsidRPr="00D85C65">
          <w:rPr>
            <w:webHidden/>
          </w:rPr>
        </w:r>
        <w:r w:rsidR="00136C7D" w:rsidRPr="00D85C65">
          <w:rPr>
            <w:webHidden/>
          </w:rPr>
          <w:fldChar w:fldCharType="separate"/>
        </w:r>
        <w:r w:rsidR="00E13EA5">
          <w:rPr>
            <w:webHidden/>
          </w:rPr>
          <w:t>8</w:t>
        </w:r>
        <w:r w:rsidR="00136C7D" w:rsidRPr="00D85C65">
          <w:rPr>
            <w:webHidden/>
          </w:rPr>
          <w:fldChar w:fldCharType="end"/>
        </w:r>
      </w:hyperlink>
    </w:p>
    <w:p w14:paraId="40CF3C25" w14:textId="2D10EC68" w:rsidR="00136C7D" w:rsidRPr="00D85C65" w:rsidRDefault="00530AC2">
      <w:pPr>
        <w:pStyle w:val="TOC2"/>
        <w:rPr>
          <w:rFonts w:asciiTheme="minorHAnsi" w:eastAsiaTheme="minorEastAsia" w:hAnsiTheme="minorHAnsi" w:cstheme="minorBidi"/>
          <w:b w:val="0"/>
          <w:smallCaps w:val="0"/>
          <w:sz w:val="22"/>
        </w:rPr>
      </w:pPr>
      <w:hyperlink w:anchor="_Toc29994453" w:history="1">
        <w:r w:rsidR="00136C7D" w:rsidRPr="00D85C65">
          <w:rPr>
            <w:rStyle w:val="Hyperlink"/>
            <w:rFonts w:ascii="Times New Roman" w:hAnsi="Times New Roman"/>
          </w:rPr>
          <w:t>1.2.1.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_Toc29994453 \h </w:instrText>
        </w:r>
        <w:r w:rsidR="00136C7D" w:rsidRPr="00D85C65">
          <w:rPr>
            <w:webHidden/>
          </w:rPr>
        </w:r>
        <w:r w:rsidR="00136C7D" w:rsidRPr="00D85C65">
          <w:rPr>
            <w:webHidden/>
          </w:rPr>
          <w:fldChar w:fldCharType="separate"/>
        </w:r>
        <w:r w:rsidR="00E13EA5">
          <w:rPr>
            <w:webHidden/>
          </w:rPr>
          <w:t>8</w:t>
        </w:r>
        <w:r w:rsidR="00136C7D" w:rsidRPr="00D85C65">
          <w:rPr>
            <w:webHidden/>
          </w:rPr>
          <w:fldChar w:fldCharType="end"/>
        </w:r>
      </w:hyperlink>
    </w:p>
    <w:p w14:paraId="69433254" w14:textId="3BE2EA1B" w:rsidR="00136C7D" w:rsidRPr="00D85C65" w:rsidRDefault="00530AC2">
      <w:pPr>
        <w:pStyle w:val="TOC2"/>
        <w:rPr>
          <w:rFonts w:asciiTheme="minorHAnsi" w:eastAsiaTheme="minorEastAsia" w:hAnsiTheme="minorHAnsi" w:cstheme="minorBidi"/>
          <w:b w:val="0"/>
          <w:smallCaps w:val="0"/>
          <w:sz w:val="22"/>
        </w:rPr>
      </w:pPr>
      <w:hyperlink w:anchor="_Toc29994454" w:history="1">
        <w:r w:rsidR="00136C7D" w:rsidRPr="00D85C65">
          <w:rPr>
            <w:rStyle w:val="Hyperlink"/>
            <w:rFonts w:ascii="Times New Roman" w:hAnsi="Times New Roman"/>
          </w:rPr>
          <w:t>1.3.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02.00 – POŽIADAVKY NA VLASTNÉ ZDROJE (CA2)</w:t>
        </w:r>
        <w:r w:rsidR="00136C7D" w:rsidRPr="00D85C65">
          <w:rPr>
            <w:webHidden/>
          </w:rPr>
          <w:tab/>
        </w:r>
        <w:r w:rsidR="00136C7D" w:rsidRPr="00D85C65">
          <w:rPr>
            <w:webHidden/>
          </w:rPr>
          <w:fldChar w:fldCharType="begin"/>
        </w:r>
        <w:r w:rsidR="00136C7D" w:rsidRPr="00D85C65">
          <w:rPr>
            <w:webHidden/>
          </w:rPr>
          <w:instrText xml:space="preserve"> PAGEREF _Toc29994454 \h </w:instrText>
        </w:r>
        <w:r w:rsidR="00136C7D" w:rsidRPr="00D85C65">
          <w:rPr>
            <w:webHidden/>
          </w:rPr>
        </w:r>
        <w:r w:rsidR="00136C7D" w:rsidRPr="00D85C65">
          <w:rPr>
            <w:webHidden/>
          </w:rPr>
          <w:fldChar w:fldCharType="separate"/>
        </w:r>
        <w:r w:rsidR="00E13EA5">
          <w:rPr>
            <w:webHidden/>
          </w:rPr>
          <w:t>23</w:t>
        </w:r>
        <w:r w:rsidR="00136C7D" w:rsidRPr="00D85C65">
          <w:rPr>
            <w:webHidden/>
          </w:rPr>
          <w:fldChar w:fldCharType="end"/>
        </w:r>
      </w:hyperlink>
    </w:p>
    <w:p w14:paraId="51EEA704" w14:textId="7EDB020F" w:rsidR="00136C7D" w:rsidRPr="00D85C65" w:rsidRDefault="00530AC2">
      <w:pPr>
        <w:pStyle w:val="TOC2"/>
        <w:rPr>
          <w:rFonts w:asciiTheme="minorHAnsi" w:eastAsiaTheme="minorEastAsia" w:hAnsiTheme="minorHAnsi" w:cstheme="minorBidi"/>
          <w:b w:val="0"/>
          <w:smallCaps w:val="0"/>
          <w:sz w:val="22"/>
        </w:rPr>
      </w:pPr>
      <w:hyperlink w:anchor="_Toc29994455" w:history="1">
        <w:r w:rsidR="00136C7D" w:rsidRPr="00D85C65">
          <w:rPr>
            <w:rStyle w:val="Hyperlink"/>
            <w:rFonts w:ascii="Times New Roman" w:hAnsi="Times New Roman"/>
          </w:rPr>
          <w:t>1.3.1.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_Toc29994455 \h </w:instrText>
        </w:r>
        <w:r w:rsidR="00136C7D" w:rsidRPr="00D85C65">
          <w:rPr>
            <w:webHidden/>
          </w:rPr>
        </w:r>
        <w:r w:rsidR="00136C7D" w:rsidRPr="00D85C65">
          <w:rPr>
            <w:webHidden/>
          </w:rPr>
          <w:fldChar w:fldCharType="separate"/>
        </w:r>
        <w:r w:rsidR="00E13EA5">
          <w:rPr>
            <w:webHidden/>
          </w:rPr>
          <w:t>23</w:t>
        </w:r>
        <w:r w:rsidR="00136C7D" w:rsidRPr="00D85C65">
          <w:rPr>
            <w:webHidden/>
          </w:rPr>
          <w:fldChar w:fldCharType="end"/>
        </w:r>
      </w:hyperlink>
    </w:p>
    <w:p w14:paraId="4B8A30E0" w14:textId="58DA4C1F" w:rsidR="00136C7D" w:rsidRPr="00D85C65" w:rsidRDefault="00530AC2">
      <w:pPr>
        <w:pStyle w:val="TOC2"/>
        <w:rPr>
          <w:rFonts w:asciiTheme="minorHAnsi" w:eastAsiaTheme="minorEastAsia" w:hAnsiTheme="minorHAnsi" w:cstheme="minorBidi"/>
          <w:b w:val="0"/>
          <w:smallCaps w:val="0"/>
          <w:sz w:val="22"/>
        </w:rPr>
      </w:pPr>
      <w:hyperlink w:anchor="_Toc29994456" w:history="1">
        <w:r w:rsidR="00136C7D" w:rsidRPr="00D85C65">
          <w:rPr>
            <w:rStyle w:val="Hyperlink"/>
            <w:rFonts w:ascii="Times New Roman" w:hAnsi="Times New Roman"/>
          </w:rPr>
          <w:t>1.4.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03.00 – PODIELY A ÚROVNE KAPITÁLU (CA3)</w:t>
        </w:r>
        <w:r w:rsidR="00136C7D" w:rsidRPr="00D85C65">
          <w:rPr>
            <w:webHidden/>
          </w:rPr>
          <w:tab/>
        </w:r>
        <w:r w:rsidR="00136C7D" w:rsidRPr="00D85C65">
          <w:rPr>
            <w:webHidden/>
          </w:rPr>
          <w:fldChar w:fldCharType="begin"/>
        </w:r>
        <w:r w:rsidR="00136C7D" w:rsidRPr="00D85C65">
          <w:rPr>
            <w:webHidden/>
          </w:rPr>
          <w:instrText xml:space="preserve"> PAGEREF _Toc29994456 \h </w:instrText>
        </w:r>
        <w:r w:rsidR="00136C7D" w:rsidRPr="00D85C65">
          <w:rPr>
            <w:webHidden/>
          </w:rPr>
        </w:r>
        <w:r w:rsidR="00136C7D" w:rsidRPr="00D85C65">
          <w:rPr>
            <w:webHidden/>
          </w:rPr>
          <w:fldChar w:fldCharType="separate"/>
        </w:r>
        <w:r w:rsidR="00E13EA5">
          <w:rPr>
            <w:webHidden/>
          </w:rPr>
          <w:t>30</w:t>
        </w:r>
        <w:r w:rsidR="00136C7D" w:rsidRPr="00D85C65">
          <w:rPr>
            <w:webHidden/>
          </w:rPr>
          <w:fldChar w:fldCharType="end"/>
        </w:r>
      </w:hyperlink>
    </w:p>
    <w:p w14:paraId="0F81D4D9" w14:textId="4371064A" w:rsidR="00136C7D" w:rsidRPr="00D85C65" w:rsidRDefault="00530AC2">
      <w:pPr>
        <w:pStyle w:val="TOC2"/>
        <w:rPr>
          <w:rFonts w:asciiTheme="minorHAnsi" w:eastAsiaTheme="minorEastAsia" w:hAnsiTheme="minorHAnsi" w:cstheme="minorBidi"/>
          <w:b w:val="0"/>
          <w:smallCaps w:val="0"/>
          <w:sz w:val="22"/>
        </w:rPr>
      </w:pPr>
      <w:hyperlink w:anchor="_Toc29994457" w:history="1">
        <w:r w:rsidR="00136C7D" w:rsidRPr="00D85C65">
          <w:rPr>
            <w:rStyle w:val="Hyperlink"/>
            <w:rFonts w:ascii="Times New Roman" w:hAnsi="Times New Roman"/>
          </w:rPr>
          <w:t>1.4.1.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_Toc29994457 \h </w:instrText>
        </w:r>
        <w:r w:rsidR="00136C7D" w:rsidRPr="00D85C65">
          <w:rPr>
            <w:webHidden/>
          </w:rPr>
        </w:r>
        <w:r w:rsidR="00136C7D" w:rsidRPr="00D85C65">
          <w:rPr>
            <w:webHidden/>
          </w:rPr>
          <w:fldChar w:fldCharType="separate"/>
        </w:r>
        <w:r w:rsidR="00E13EA5">
          <w:rPr>
            <w:webHidden/>
          </w:rPr>
          <w:t>30</w:t>
        </w:r>
        <w:r w:rsidR="00136C7D" w:rsidRPr="00D85C65">
          <w:rPr>
            <w:webHidden/>
          </w:rPr>
          <w:fldChar w:fldCharType="end"/>
        </w:r>
      </w:hyperlink>
    </w:p>
    <w:p w14:paraId="02CF49A6" w14:textId="4AA32413" w:rsidR="00136C7D" w:rsidRPr="00D85C65" w:rsidRDefault="00530AC2">
      <w:pPr>
        <w:pStyle w:val="TOC2"/>
        <w:rPr>
          <w:rFonts w:asciiTheme="minorHAnsi" w:eastAsiaTheme="minorEastAsia" w:hAnsiTheme="minorHAnsi" w:cstheme="minorBidi"/>
          <w:b w:val="0"/>
          <w:smallCaps w:val="0"/>
          <w:sz w:val="22"/>
        </w:rPr>
      </w:pPr>
      <w:hyperlink w:anchor="_Toc29994458" w:history="1">
        <w:r w:rsidR="00136C7D" w:rsidRPr="00D85C65">
          <w:rPr>
            <w:rStyle w:val="Hyperlink"/>
            <w:rFonts w:ascii="Times New Roman" w:hAnsi="Times New Roman"/>
          </w:rPr>
          <w:t>1.5.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04.00 – DOPLŇUJÚCE POLOŽKY (CA4)</w:t>
        </w:r>
        <w:r w:rsidR="00136C7D" w:rsidRPr="00D85C65">
          <w:rPr>
            <w:webHidden/>
          </w:rPr>
          <w:tab/>
        </w:r>
        <w:r w:rsidR="00136C7D" w:rsidRPr="00D85C65">
          <w:rPr>
            <w:webHidden/>
          </w:rPr>
          <w:fldChar w:fldCharType="begin"/>
        </w:r>
        <w:r w:rsidR="00136C7D" w:rsidRPr="00D85C65">
          <w:rPr>
            <w:webHidden/>
          </w:rPr>
          <w:instrText xml:space="preserve"> PAGEREF _Toc29994458 \h </w:instrText>
        </w:r>
        <w:r w:rsidR="00136C7D" w:rsidRPr="00D85C65">
          <w:rPr>
            <w:webHidden/>
          </w:rPr>
        </w:r>
        <w:r w:rsidR="00136C7D" w:rsidRPr="00D85C65">
          <w:rPr>
            <w:webHidden/>
          </w:rPr>
          <w:fldChar w:fldCharType="separate"/>
        </w:r>
        <w:r w:rsidR="00E13EA5">
          <w:rPr>
            <w:webHidden/>
          </w:rPr>
          <w:t>32</w:t>
        </w:r>
        <w:r w:rsidR="00136C7D" w:rsidRPr="00D85C65">
          <w:rPr>
            <w:webHidden/>
          </w:rPr>
          <w:fldChar w:fldCharType="end"/>
        </w:r>
      </w:hyperlink>
    </w:p>
    <w:p w14:paraId="65491D59" w14:textId="510ABFC6" w:rsidR="00136C7D" w:rsidRPr="00D85C65" w:rsidRDefault="00530AC2">
      <w:pPr>
        <w:pStyle w:val="TOC2"/>
        <w:rPr>
          <w:rFonts w:asciiTheme="minorHAnsi" w:eastAsiaTheme="minorEastAsia" w:hAnsiTheme="minorHAnsi" w:cstheme="minorBidi"/>
          <w:b w:val="0"/>
          <w:smallCaps w:val="0"/>
          <w:sz w:val="22"/>
        </w:rPr>
      </w:pPr>
      <w:hyperlink w:anchor="_Toc29994459" w:history="1">
        <w:r w:rsidR="00136C7D" w:rsidRPr="00D85C65">
          <w:rPr>
            <w:rStyle w:val="Hyperlink"/>
            <w:rFonts w:ascii="Times New Roman" w:hAnsi="Times New Roman"/>
          </w:rPr>
          <w:t>1.5.1.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_Toc29994459 \h </w:instrText>
        </w:r>
        <w:r w:rsidR="00136C7D" w:rsidRPr="00D85C65">
          <w:rPr>
            <w:webHidden/>
          </w:rPr>
        </w:r>
        <w:r w:rsidR="00136C7D" w:rsidRPr="00D85C65">
          <w:rPr>
            <w:webHidden/>
          </w:rPr>
          <w:fldChar w:fldCharType="separate"/>
        </w:r>
        <w:r w:rsidR="00E13EA5">
          <w:rPr>
            <w:webHidden/>
          </w:rPr>
          <w:t>32</w:t>
        </w:r>
        <w:r w:rsidR="00136C7D" w:rsidRPr="00D85C65">
          <w:rPr>
            <w:webHidden/>
          </w:rPr>
          <w:fldChar w:fldCharType="end"/>
        </w:r>
      </w:hyperlink>
    </w:p>
    <w:p w14:paraId="40F7DA71" w14:textId="4E070C1C" w:rsidR="00136C7D" w:rsidRPr="00D85C65" w:rsidRDefault="00530AC2">
      <w:pPr>
        <w:pStyle w:val="TOC2"/>
        <w:rPr>
          <w:rFonts w:asciiTheme="minorHAnsi" w:eastAsiaTheme="minorEastAsia" w:hAnsiTheme="minorHAnsi" w:cstheme="minorBidi"/>
          <w:b w:val="0"/>
          <w:smallCaps w:val="0"/>
          <w:sz w:val="22"/>
        </w:rPr>
      </w:pPr>
      <w:hyperlink w:anchor="_Toc29994460" w:history="1">
        <w:r w:rsidR="00136C7D" w:rsidRPr="00D85C65">
          <w:rPr>
            <w:rStyle w:val="Hyperlink"/>
            <w:rFonts w:ascii="Times New Roman" w:hAnsi="Times New Roman"/>
          </w:rPr>
          <w:t>1.6.</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PRECHODNÉ USTANOVENIA</w:t>
        </w:r>
        <w:r w:rsidR="00D85C65">
          <w:rPr>
            <w:rStyle w:val="Hyperlink"/>
            <w:rFonts w:ascii="Times New Roman" w:hAnsi="Times New Roman"/>
          </w:rPr>
          <w:t xml:space="preserve"> a </w:t>
        </w:r>
        <w:r w:rsidR="00136C7D" w:rsidRPr="00D85C65">
          <w:rPr>
            <w:rStyle w:val="Hyperlink"/>
            <w:rFonts w:ascii="Times New Roman" w:hAnsi="Times New Roman"/>
          </w:rPr>
          <w:t>NÁSTROJE ZACHOVANÉ</w:t>
        </w:r>
        <w:r w:rsidR="00D85C65">
          <w:rPr>
            <w:rStyle w:val="Hyperlink"/>
            <w:rFonts w:ascii="Times New Roman" w:hAnsi="Times New Roman"/>
          </w:rPr>
          <w:t xml:space="preserve"> V </w:t>
        </w:r>
        <w:r w:rsidR="00136C7D" w:rsidRPr="00D85C65">
          <w:rPr>
            <w:rStyle w:val="Hyperlink"/>
            <w:rFonts w:ascii="Times New Roman" w:hAnsi="Times New Roman"/>
          </w:rPr>
          <w:t>PREDCHÁDZAJÚCOM STAVE: NÁSTROJE NEPREDSTAVUJÚCE ŠTÁTNU POMOC (CA5)</w:t>
        </w:r>
        <w:r w:rsidR="00136C7D" w:rsidRPr="00D85C65">
          <w:rPr>
            <w:webHidden/>
          </w:rPr>
          <w:tab/>
        </w:r>
        <w:r w:rsidR="00136C7D" w:rsidRPr="00D85C65">
          <w:rPr>
            <w:webHidden/>
          </w:rPr>
          <w:fldChar w:fldCharType="begin"/>
        </w:r>
        <w:r w:rsidR="00136C7D" w:rsidRPr="00D85C65">
          <w:rPr>
            <w:webHidden/>
          </w:rPr>
          <w:instrText xml:space="preserve"> PAGEREF _Toc29994460 \h </w:instrText>
        </w:r>
        <w:r w:rsidR="00136C7D" w:rsidRPr="00D85C65">
          <w:rPr>
            <w:webHidden/>
          </w:rPr>
        </w:r>
        <w:r w:rsidR="00136C7D" w:rsidRPr="00D85C65">
          <w:rPr>
            <w:webHidden/>
          </w:rPr>
          <w:fldChar w:fldCharType="separate"/>
        </w:r>
        <w:r w:rsidR="00E13EA5">
          <w:rPr>
            <w:webHidden/>
          </w:rPr>
          <w:t>49</w:t>
        </w:r>
        <w:r w:rsidR="00136C7D" w:rsidRPr="00D85C65">
          <w:rPr>
            <w:webHidden/>
          </w:rPr>
          <w:fldChar w:fldCharType="end"/>
        </w:r>
      </w:hyperlink>
    </w:p>
    <w:p w14:paraId="7F83FC3C" w14:textId="24ED7310" w:rsidR="00136C7D" w:rsidRPr="00D85C65" w:rsidRDefault="00530AC2">
      <w:pPr>
        <w:pStyle w:val="TOC2"/>
        <w:rPr>
          <w:rFonts w:asciiTheme="minorHAnsi" w:eastAsiaTheme="minorEastAsia" w:hAnsiTheme="minorHAnsi" w:cstheme="minorBidi"/>
          <w:b w:val="0"/>
          <w:smallCaps w:val="0"/>
          <w:sz w:val="22"/>
        </w:rPr>
      </w:pPr>
      <w:hyperlink w:anchor="_Toc29994461" w:history="1">
        <w:r w:rsidR="00136C7D" w:rsidRPr="00D85C65">
          <w:rPr>
            <w:rStyle w:val="Hyperlink"/>
            <w:rFonts w:ascii="Times New Roman" w:hAnsi="Times New Roman"/>
          </w:rPr>
          <w:t>1.6.1.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_Toc29994461 \h </w:instrText>
        </w:r>
        <w:r w:rsidR="00136C7D" w:rsidRPr="00D85C65">
          <w:rPr>
            <w:webHidden/>
          </w:rPr>
        </w:r>
        <w:r w:rsidR="00136C7D" w:rsidRPr="00D85C65">
          <w:rPr>
            <w:webHidden/>
          </w:rPr>
          <w:fldChar w:fldCharType="separate"/>
        </w:r>
        <w:r w:rsidR="00E13EA5">
          <w:rPr>
            <w:webHidden/>
          </w:rPr>
          <w:t>49</w:t>
        </w:r>
        <w:r w:rsidR="00136C7D" w:rsidRPr="00D85C65">
          <w:rPr>
            <w:webHidden/>
          </w:rPr>
          <w:fldChar w:fldCharType="end"/>
        </w:r>
      </w:hyperlink>
    </w:p>
    <w:p w14:paraId="05708C2D" w14:textId="2AB2C30B" w:rsidR="00136C7D" w:rsidRPr="00D85C65" w:rsidRDefault="00530AC2">
      <w:pPr>
        <w:pStyle w:val="TOC2"/>
        <w:rPr>
          <w:rFonts w:asciiTheme="minorHAnsi" w:eastAsiaTheme="minorEastAsia" w:hAnsiTheme="minorHAnsi" w:cstheme="minorBidi"/>
          <w:b w:val="0"/>
          <w:smallCaps w:val="0"/>
          <w:sz w:val="22"/>
        </w:rPr>
      </w:pPr>
      <w:hyperlink w:anchor="_Toc29994462" w:history="1">
        <w:r w:rsidR="00136C7D" w:rsidRPr="00D85C65">
          <w:rPr>
            <w:rStyle w:val="Hyperlink"/>
            <w:rFonts w:ascii="Times New Roman" w:hAnsi="Times New Roman"/>
          </w:rPr>
          <w:t>1.6.2.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05.01 – PRECHODNÉ USTANOVENIA (CA5.1)</w:t>
        </w:r>
        <w:r w:rsidR="00136C7D" w:rsidRPr="00D85C65">
          <w:rPr>
            <w:webHidden/>
          </w:rPr>
          <w:tab/>
        </w:r>
        <w:r w:rsidR="00136C7D" w:rsidRPr="00D85C65">
          <w:rPr>
            <w:webHidden/>
          </w:rPr>
          <w:fldChar w:fldCharType="begin"/>
        </w:r>
        <w:r w:rsidR="00136C7D" w:rsidRPr="00D85C65">
          <w:rPr>
            <w:webHidden/>
          </w:rPr>
          <w:instrText xml:space="preserve"> PAGEREF _Toc29994462 \h </w:instrText>
        </w:r>
        <w:r w:rsidR="00136C7D" w:rsidRPr="00D85C65">
          <w:rPr>
            <w:webHidden/>
          </w:rPr>
        </w:r>
        <w:r w:rsidR="00136C7D" w:rsidRPr="00D85C65">
          <w:rPr>
            <w:webHidden/>
          </w:rPr>
          <w:fldChar w:fldCharType="separate"/>
        </w:r>
        <w:r w:rsidR="00E13EA5">
          <w:rPr>
            <w:webHidden/>
          </w:rPr>
          <w:t>50</w:t>
        </w:r>
        <w:r w:rsidR="00136C7D" w:rsidRPr="00D85C65">
          <w:rPr>
            <w:webHidden/>
          </w:rPr>
          <w:fldChar w:fldCharType="end"/>
        </w:r>
      </w:hyperlink>
    </w:p>
    <w:p w14:paraId="49BE4FEC" w14:textId="18931613" w:rsidR="00136C7D" w:rsidRPr="00D85C65" w:rsidRDefault="00530AC2">
      <w:pPr>
        <w:pStyle w:val="TOC2"/>
        <w:rPr>
          <w:rFonts w:asciiTheme="minorHAnsi" w:eastAsiaTheme="minorEastAsia" w:hAnsiTheme="minorHAnsi" w:cstheme="minorBidi"/>
          <w:b w:val="0"/>
          <w:smallCaps w:val="0"/>
          <w:sz w:val="22"/>
        </w:rPr>
      </w:pPr>
      <w:hyperlink w:anchor="_Toc29994463" w:history="1">
        <w:r w:rsidR="00136C7D" w:rsidRPr="00D85C65">
          <w:rPr>
            <w:rStyle w:val="Hyperlink"/>
            <w:rFonts w:ascii="Times New Roman" w:hAnsi="Times New Roman"/>
          </w:rPr>
          <w:t>1.6.2.1.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_Toc29994463 \h </w:instrText>
        </w:r>
        <w:r w:rsidR="00136C7D" w:rsidRPr="00D85C65">
          <w:rPr>
            <w:webHidden/>
          </w:rPr>
        </w:r>
        <w:r w:rsidR="00136C7D" w:rsidRPr="00D85C65">
          <w:rPr>
            <w:webHidden/>
          </w:rPr>
          <w:fldChar w:fldCharType="separate"/>
        </w:r>
        <w:r w:rsidR="00E13EA5">
          <w:rPr>
            <w:webHidden/>
          </w:rPr>
          <w:t>50</w:t>
        </w:r>
        <w:r w:rsidR="00136C7D" w:rsidRPr="00D85C65">
          <w:rPr>
            <w:webHidden/>
          </w:rPr>
          <w:fldChar w:fldCharType="end"/>
        </w:r>
      </w:hyperlink>
    </w:p>
    <w:p w14:paraId="250CE5B4" w14:textId="5A31A4EE" w:rsidR="00136C7D" w:rsidRPr="00D85C65" w:rsidRDefault="00530AC2">
      <w:pPr>
        <w:pStyle w:val="TOC2"/>
        <w:rPr>
          <w:rFonts w:asciiTheme="minorHAnsi" w:eastAsiaTheme="minorEastAsia" w:hAnsiTheme="minorHAnsi" w:cstheme="minorBidi"/>
          <w:b w:val="0"/>
          <w:smallCaps w:val="0"/>
          <w:sz w:val="22"/>
        </w:rPr>
      </w:pPr>
      <w:hyperlink w:anchor="_Toc29994464" w:history="1">
        <w:r w:rsidR="00136C7D" w:rsidRPr="00D85C65">
          <w:rPr>
            <w:rStyle w:val="Hyperlink"/>
            <w:rFonts w:ascii="Times New Roman" w:hAnsi="Times New Roman"/>
          </w:rPr>
          <w:t>1.6.3.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05.02 – NÁSTROJE ZACHOVANÉ</w:t>
        </w:r>
        <w:r w:rsidR="00D85C65">
          <w:rPr>
            <w:rStyle w:val="Hyperlink"/>
            <w:rFonts w:ascii="Times New Roman" w:hAnsi="Times New Roman"/>
          </w:rPr>
          <w:t xml:space="preserve"> V </w:t>
        </w:r>
        <w:r w:rsidR="00136C7D" w:rsidRPr="00D85C65">
          <w:rPr>
            <w:rStyle w:val="Hyperlink"/>
            <w:rFonts w:ascii="Times New Roman" w:hAnsi="Times New Roman"/>
          </w:rPr>
          <w:t>PREDCHÁDZAJÚCOM STAVE: NÁSTROJE NEPREDSTAVUJÚCE ŠTÁTNU POMOC (CA5.2)</w:t>
        </w:r>
        <w:r w:rsidR="00136C7D" w:rsidRPr="00D85C65">
          <w:rPr>
            <w:webHidden/>
          </w:rPr>
          <w:tab/>
        </w:r>
        <w:r w:rsidR="00136C7D" w:rsidRPr="00D85C65">
          <w:rPr>
            <w:webHidden/>
          </w:rPr>
          <w:fldChar w:fldCharType="begin"/>
        </w:r>
        <w:r w:rsidR="00136C7D" w:rsidRPr="00D85C65">
          <w:rPr>
            <w:webHidden/>
          </w:rPr>
          <w:instrText xml:space="preserve"> PAGEREF _Toc29994464 \h </w:instrText>
        </w:r>
        <w:r w:rsidR="00136C7D" w:rsidRPr="00D85C65">
          <w:rPr>
            <w:webHidden/>
          </w:rPr>
        </w:r>
        <w:r w:rsidR="00136C7D" w:rsidRPr="00D85C65">
          <w:rPr>
            <w:webHidden/>
          </w:rPr>
          <w:fldChar w:fldCharType="separate"/>
        </w:r>
        <w:r w:rsidR="00E13EA5">
          <w:rPr>
            <w:webHidden/>
          </w:rPr>
          <w:t>58</w:t>
        </w:r>
        <w:r w:rsidR="00136C7D" w:rsidRPr="00D85C65">
          <w:rPr>
            <w:webHidden/>
          </w:rPr>
          <w:fldChar w:fldCharType="end"/>
        </w:r>
      </w:hyperlink>
    </w:p>
    <w:p w14:paraId="7AD5037A" w14:textId="4C1BBDC0" w:rsidR="00136C7D" w:rsidRPr="00D85C65" w:rsidRDefault="00530AC2">
      <w:pPr>
        <w:pStyle w:val="TOC2"/>
        <w:rPr>
          <w:rFonts w:asciiTheme="minorHAnsi" w:eastAsiaTheme="minorEastAsia" w:hAnsiTheme="minorHAnsi" w:cstheme="minorBidi"/>
          <w:b w:val="0"/>
          <w:smallCaps w:val="0"/>
          <w:sz w:val="22"/>
        </w:rPr>
      </w:pPr>
      <w:hyperlink w:anchor="_Toc29994465" w:history="1">
        <w:r w:rsidR="00136C7D" w:rsidRPr="00D85C65">
          <w:rPr>
            <w:rStyle w:val="Hyperlink"/>
            <w:rFonts w:ascii="Times New Roman" w:hAnsi="Times New Roman"/>
          </w:rPr>
          <w:t>1.6.3.1.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_Toc29994465 \h </w:instrText>
        </w:r>
        <w:r w:rsidR="00136C7D" w:rsidRPr="00D85C65">
          <w:rPr>
            <w:webHidden/>
          </w:rPr>
        </w:r>
        <w:r w:rsidR="00136C7D" w:rsidRPr="00D85C65">
          <w:rPr>
            <w:webHidden/>
          </w:rPr>
          <w:fldChar w:fldCharType="separate"/>
        </w:r>
        <w:r w:rsidR="00E13EA5">
          <w:rPr>
            <w:webHidden/>
          </w:rPr>
          <w:t>58</w:t>
        </w:r>
        <w:r w:rsidR="00136C7D" w:rsidRPr="00D85C65">
          <w:rPr>
            <w:webHidden/>
          </w:rPr>
          <w:fldChar w:fldCharType="end"/>
        </w:r>
      </w:hyperlink>
    </w:p>
    <w:p w14:paraId="58F35E66" w14:textId="42E7E269" w:rsidR="00136C7D" w:rsidRPr="00D85C65" w:rsidRDefault="00530AC2">
      <w:pPr>
        <w:pStyle w:val="TOC2"/>
        <w:rPr>
          <w:rFonts w:asciiTheme="minorHAnsi" w:eastAsiaTheme="minorEastAsia" w:hAnsiTheme="minorHAnsi" w:cstheme="minorBidi"/>
          <w:b w:val="0"/>
          <w:smallCaps w:val="0"/>
          <w:sz w:val="22"/>
        </w:rPr>
      </w:pPr>
      <w:hyperlink w:anchor="_Toc29994466" w:history="1">
        <w:r w:rsidR="00136C7D" w:rsidRPr="00D85C65">
          <w:rPr>
            <w:rStyle w:val="Hyperlink"/>
            <w:rFonts w:ascii="Times New Roman" w:hAnsi="Times New Roman"/>
          </w:rPr>
          <w:t>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SKUPINOVÁ SOLVENTNOSŤ: INFORMÁCIE</w:t>
        </w:r>
        <w:r w:rsidR="00D85C65">
          <w:rPr>
            <w:rStyle w:val="Hyperlink"/>
            <w:rFonts w:ascii="Times New Roman" w:hAnsi="Times New Roman"/>
          </w:rPr>
          <w:t xml:space="preserve"> O </w:t>
        </w:r>
        <w:r w:rsidR="00136C7D" w:rsidRPr="00D85C65">
          <w:rPr>
            <w:rStyle w:val="Hyperlink"/>
            <w:rFonts w:ascii="Times New Roman" w:hAnsi="Times New Roman"/>
          </w:rPr>
          <w:t>PRIDRUŽENÝCH PODNIKOCH (GS)</w:t>
        </w:r>
        <w:r w:rsidR="00136C7D" w:rsidRPr="00D85C65">
          <w:rPr>
            <w:webHidden/>
          </w:rPr>
          <w:tab/>
        </w:r>
        <w:r w:rsidR="00136C7D" w:rsidRPr="00D85C65">
          <w:rPr>
            <w:webHidden/>
          </w:rPr>
          <w:fldChar w:fldCharType="begin"/>
        </w:r>
        <w:r w:rsidR="00136C7D" w:rsidRPr="00D85C65">
          <w:rPr>
            <w:webHidden/>
          </w:rPr>
          <w:instrText xml:space="preserve"> PAGEREF _Toc29994466 \h </w:instrText>
        </w:r>
        <w:r w:rsidR="00136C7D" w:rsidRPr="00D85C65">
          <w:rPr>
            <w:webHidden/>
          </w:rPr>
        </w:r>
        <w:r w:rsidR="00136C7D" w:rsidRPr="00D85C65">
          <w:rPr>
            <w:webHidden/>
          </w:rPr>
          <w:fldChar w:fldCharType="separate"/>
        </w:r>
        <w:r w:rsidR="00E13EA5">
          <w:rPr>
            <w:webHidden/>
          </w:rPr>
          <w:t>61</w:t>
        </w:r>
        <w:r w:rsidR="00136C7D" w:rsidRPr="00D85C65">
          <w:rPr>
            <w:webHidden/>
          </w:rPr>
          <w:fldChar w:fldCharType="end"/>
        </w:r>
      </w:hyperlink>
    </w:p>
    <w:p w14:paraId="0B794B4C" w14:textId="34B4849B" w:rsidR="00136C7D" w:rsidRPr="00D85C65" w:rsidRDefault="00530AC2">
      <w:pPr>
        <w:pStyle w:val="TOC2"/>
        <w:rPr>
          <w:rFonts w:asciiTheme="minorHAnsi" w:eastAsiaTheme="minorEastAsia" w:hAnsiTheme="minorHAnsi" w:cstheme="minorBidi"/>
          <w:b w:val="0"/>
          <w:smallCaps w:val="0"/>
          <w:sz w:val="22"/>
        </w:rPr>
      </w:pPr>
      <w:hyperlink w:anchor="_Toc29994467" w:history="1">
        <w:r w:rsidR="00136C7D" w:rsidRPr="00D85C65">
          <w:rPr>
            <w:rStyle w:val="Hyperlink"/>
            <w:rFonts w:ascii="Times New Roman" w:hAnsi="Times New Roman"/>
          </w:rPr>
          <w:t>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_Toc29994467 \h </w:instrText>
        </w:r>
        <w:r w:rsidR="00136C7D" w:rsidRPr="00D85C65">
          <w:rPr>
            <w:webHidden/>
          </w:rPr>
        </w:r>
        <w:r w:rsidR="00136C7D" w:rsidRPr="00D85C65">
          <w:rPr>
            <w:webHidden/>
          </w:rPr>
          <w:fldChar w:fldCharType="separate"/>
        </w:r>
        <w:r w:rsidR="00E13EA5">
          <w:rPr>
            <w:webHidden/>
          </w:rPr>
          <w:t>61</w:t>
        </w:r>
        <w:r w:rsidR="00136C7D" w:rsidRPr="00D85C65">
          <w:rPr>
            <w:webHidden/>
          </w:rPr>
          <w:fldChar w:fldCharType="end"/>
        </w:r>
      </w:hyperlink>
    </w:p>
    <w:p w14:paraId="474A46BA" w14:textId="46316607" w:rsidR="00136C7D" w:rsidRPr="00D85C65" w:rsidRDefault="00530AC2">
      <w:pPr>
        <w:pStyle w:val="TOC2"/>
        <w:rPr>
          <w:rFonts w:asciiTheme="minorHAnsi" w:eastAsiaTheme="minorEastAsia" w:hAnsiTheme="minorHAnsi" w:cstheme="minorBidi"/>
          <w:b w:val="0"/>
          <w:smallCaps w:val="0"/>
          <w:sz w:val="22"/>
        </w:rPr>
      </w:pPr>
      <w:hyperlink w:anchor="_Toc29994468" w:history="1">
        <w:r w:rsidR="00136C7D" w:rsidRPr="00D85C65">
          <w:rPr>
            <w:rStyle w:val="Hyperlink"/>
            <w:rFonts w:ascii="Times New Roman" w:hAnsi="Times New Roman"/>
          </w:rPr>
          <w:t>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Podrobné informácie</w:t>
        </w:r>
        <w:r w:rsidR="00D85C65">
          <w:rPr>
            <w:rStyle w:val="Hyperlink"/>
            <w:rFonts w:ascii="Times New Roman" w:hAnsi="Times New Roman"/>
          </w:rPr>
          <w:t xml:space="preserve"> o </w:t>
        </w:r>
        <w:r w:rsidR="00136C7D" w:rsidRPr="00D85C65">
          <w:rPr>
            <w:rStyle w:val="Hyperlink"/>
            <w:rFonts w:ascii="Times New Roman" w:hAnsi="Times New Roman"/>
          </w:rPr>
          <w:t>skupinovej solventnosti;</w:t>
        </w:r>
        <w:r w:rsidR="00136C7D" w:rsidRPr="00D85C65">
          <w:rPr>
            <w:webHidden/>
          </w:rPr>
          <w:tab/>
        </w:r>
        <w:r w:rsidR="00136C7D" w:rsidRPr="00D85C65">
          <w:rPr>
            <w:webHidden/>
          </w:rPr>
          <w:fldChar w:fldCharType="begin"/>
        </w:r>
        <w:r w:rsidR="00136C7D" w:rsidRPr="00D85C65">
          <w:rPr>
            <w:webHidden/>
          </w:rPr>
          <w:instrText xml:space="preserve"> PAGEREF _Toc29994468 \h </w:instrText>
        </w:r>
        <w:r w:rsidR="00136C7D" w:rsidRPr="00D85C65">
          <w:rPr>
            <w:webHidden/>
          </w:rPr>
        </w:r>
        <w:r w:rsidR="00136C7D" w:rsidRPr="00D85C65">
          <w:rPr>
            <w:webHidden/>
          </w:rPr>
          <w:fldChar w:fldCharType="separate"/>
        </w:r>
        <w:r w:rsidR="00E13EA5">
          <w:rPr>
            <w:webHidden/>
          </w:rPr>
          <w:t>61</w:t>
        </w:r>
        <w:r w:rsidR="00136C7D" w:rsidRPr="00D85C65">
          <w:rPr>
            <w:webHidden/>
          </w:rPr>
          <w:fldChar w:fldCharType="end"/>
        </w:r>
      </w:hyperlink>
    </w:p>
    <w:p w14:paraId="0788162E" w14:textId="3CC9D156" w:rsidR="00136C7D" w:rsidRPr="00D85C65" w:rsidRDefault="00530AC2">
      <w:pPr>
        <w:pStyle w:val="TOC2"/>
        <w:rPr>
          <w:rFonts w:asciiTheme="minorHAnsi" w:eastAsiaTheme="minorEastAsia" w:hAnsiTheme="minorHAnsi" w:cstheme="minorBidi"/>
          <w:b w:val="0"/>
          <w:smallCaps w:val="0"/>
          <w:sz w:val="22"/>
        </w:rPr>
      </w:pPr>
      <w:hyperlink w:anchor="_Toc29994469" w:history="1">
        <w:r w:rsidR="00136C7D" w:rsidRPr="00D85C65">
          <w:rPr>
            <w:rStyle w:val="Hyperlink"/>
            <w:rFonts w:ascii="Times New Roman" w:hAnsi="Times New Roman"/>
          </w:rPr>
          <w:t>2.3.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Informácie</w:t>
        </w:r>
        <w:r w:rsidR="00D85C65">
          <w:rPr>
            <w:rStyle w:val="Hyperlink"/>
            <w:rFonts w:ascii="Times New Roman" w:hAnsi="Times New Roman"/>
          </w:rPr>
          <w:t xml:space="preserve"> o </w:t>
        </w:r>
        <w:r w:rsidR="00136C7D" w:rsidRPr="00D85C65">
          <w:rPr>
            <w:rStyle w:val="Hyperlink"/>
            <w:rFonts w:ascii="Times New Roman" w:hAnsi="Times New Roman"/>
          </w:rPr>
          <w:t>príspevkoch jednotlivých subjektov</w:t>
        </w:r>
        <w:r w:rsidR="00D85C65">
          <w:rPr>
            <w:rStyle w:val="Hyperlink"/>
            <w:rFonts w:ascii="Times New Roman" w:hAnsi="Times New Roman"/>
          </w:rPr>
          <w:t xml:space="preserve"> k </w:t>
        </w:r>
        <w:r w:rsidR="00136C7D" w:rsidRPr="00D85C65">
          <w:rPr>
            <w:rStyle w:val="Hyperlink"/>
            <w:rFonts w:ascii="Times New Roman" w:hAnsi="Times New Roman"/>
          </w:rPr>
          <w:t>skupinovej solventnosti</w:t>
        </w:r>
        <w:r w:rsidR="00136C7D" w:rsidRPr="00D85C65">
          <w:rPr>
            <w:webHidden/>
          </w:rPr>
          <w:tab/>
        </w:r>
        <w:r w:rsidR="00136C7D" w:rsidRPr="00D85C65">
          <w:rPr>
            <w:webHidden/>
          </w:rPr>
          <w:fldChar w:fldCharType="begin"/>
        </w:r>
        <w:r w:rsidR="00136C7D" w:rsidRPr="00D85C65">
          <w:rPr>
            <w:webHidden/>
          </w:rPr>
          <w:instrText xml:space="preserve"> PAGEREF _Toc29994469 \h </w:instrText>
        </w:r>
        <w:r w:rsidR="00136C7D" w:rsidRPr="00D85C65">
          <w:rPr>
            <w:webHidden/>
          </w:rPr>
        </w:r>
        <w:r w:rsidR="00136C7D" w:rsidRPr="00D85C65">
          <w:rPr>
            <w:webHidden/>
          </w:rPr>
          <w:fldChar w:fldCharType="separate"/>
        </w:r>
        <w:r w:rsidR="00E13EA5">
          <w:rPr>
            <w:webHidden/>
          </w:rPr>
          <w:t>61</w:t>
        </w:r>
        <w:r w:rsidR="00136C7D" w:rsidRPr="00D85C65">
          <w:rPr>
            <w:webHidden/>
          </w:rPr>
          <w:fldChar w:fldCharType="end"/>
        </w:r>
      </w:hyperlink>
    </w:p>
    <w:p w14:paraId="0AC79691" w14:textId="7CA529D7" w:rsidR="00136C7D" w:rsidRPr="00D85C65" w:rsidRDefault="00530AC2">
      <w:pPr>
        <w:pStyle w:val="TOC2"/>
        <w:rPr>
          <w:rFonts w:asciiTheme="minorHAnsi" w:eastAsiaTheme="minorEastAsia" w:hAnsiTheme="minorHAnsi" w:cstheme="minorBidi"/>
          <w:b w:val="0"/>
          <w:smallCaps w:val="0"/>
          <w:sz w:val="22"/>
        </w:rPr>
      </w:pPr>
      <w:hyperlink w:anchor="_Toc29994470" w:history="1">
        <w:r w:rsidR="00136C7D" w:rsidRPr="00D85C65">
          <w:rPr>
            <w:rStyle w:val="Hyperlink"/>
            <w:rFonts w:ascii="Times New Roman" w:hAnsi="Times New Roman"/>
          </w:rPr>
          <w:t>2.4.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06.01 – SKUPINOVÁ SOLVENTNOSŤ: INFORMÁCIE</w:t>
        </w:r>
        <w:r w:rsidR="00D85C65">
          <w:rPr>
            <w:rStyle w:val="Hyperlink"/>
            <w:rFonts w:ascii="Times New Roman" w:hAnsi="Times New Roman"/>
          </w:rPr>
          <w:t xml:space="preserve"> O </w:t>
        </w:r>
        <w:r w:rsidR="00136C7D" w:rsidRPr="00D85C65">
          <w:rPr>
            <w:rStyle w:val="Hyperlink"/>
            <w:rFonts w:ascii="Times New Roman" w:hAnsi="Times New Roman"/>
          </w:rPr>
          <w:t>PRIDRUŽENÝCH PODNIKOCH – Spolu (GS Total)</w:t>
        </w:r>
        <w:r w:rsidR="00136C7D" w:rsidRPr="00D85C65">
          <w:rPr>
            <w:webHidden/>
          </w:rPr>
          <w:tab/>
        </w:r>
        <w:r w:rsidR="00136C7D" w:rsidRPr="00D85C65">
          <w:rPr>
            <w:webHidden/>
          </w:rPr>
          <w:fldChar w:fldCharType="begin"/>
        </w:r>
        <w:r w:rsidR="00136C7D" w:rsidRPr="00D85C65">
          <w:rPr>
            <w:webHidden/>
          </w:rPr>
          <w:instrText xml:space="preserve"> PAGEREF _Toc29994470 \h </w:instrText>
        </w:r>
        <w:r w:rsidR="00136C7D" w:rsidRPr="00D85C65">
          <w:rPr>
            <w:webHidden/>
          </w:rPr>
        </w:r>
        <w:r w:rsidR="00136C7D" w:rsidRPr="00D85C65">
          <w:rPr>
            <w:webHidden/>
          </w:rPr>
          <w:fldChar w:fldCharType="separate"/>
        </w:r>
        <w:r w:rsidR="00E13EA5">
          <w:rPr>
            <w:webHidden/>
          </w:rPr>
          <w:t>62</w:t>
        </w:r>
        <w:r w:rsidR="00136C7D" w:rsidRPr="00D85C65">
          <w:rPr>
            <w:webHidden/>
          </w:rPr>
          <w:fldChar w:fldCharType="end"/>
        </w:r>
      </w:hyperlink>
    </w:p>
    <w:p w14:paraId="25E7E077" w14:textId="00E84525" w:rsidR="00136C7D" w:rsidRPr="00D85C65" w:rsidRDefault="00530AC2">
      <w:pPr>
        <w:pStyle w:val="TOC2"/>
        <w:rPr>
          <w:rFonts w:asciiTheme="minorHAnsi" w:eastAsiaTheme="minorEastAsia" w:hAnsiTheme="minorHAnsi" w:cstheme="minorBidi"/>
          <w:b w:val="0"/>
          <w:smallCaps w:val="0"/>
          <w:sz w:val="22"/>
        </w:rPr>
      </w:pPr>
      <w:hyperlink w:anchor="_Toc29994471" w:history="1">
        <w:r w:rsidR="00136C7D" w:rsidRPr="00D85C65">
          <w:rPr>
            <w:rStyle w:val="Hyperlink"/>
            <w:rFonts w:ascii="Times New Roman" w:hAnsi="Times New Roman"/>
          </w:rPr>
          <w:t>2.5.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06.02 – SKUPINOVÁ SOLVENTNOSŤ: INFORMÁCIE</w:t>
        </w:r>
        <w:r w:rsidR="00D85C65">
          <w:rPr>
            <w:rStyle w:val="Hyperlink"/>
            <w:rFonts w:ascii="Times New Roman" w:hAnsi="Times New Roman"/>
          </w:rPr>
          <w:t xml:space="preserve"> O </w:t>
        </w:r>
        <w:r w:rsidR="00136C7D" w:rsidRPr="00D85C65">
          <w:rPr>
            <w:rStyle w:val="Hyperlink"/>
            <w:rFonts w:ascii="Times New Roman" w:hAnsi="Times New Roman"/>
          </w:rPr>
          <w:t>PRIDRUŽENÝCH PODNIKOCH (GS)</w:t>
        </w:r>
        <w:r w:rsidR="00136C7D" w:rsidRPr="00D85C65">
          <w:rPr>
            <w:webHidden/>
          </w:rPr>
          <w:tab/>
        </w:r>
        <w:r w:rsidR="00136C7D" w:rsidRPr="00D85C65">
          <w:rPr>
            <w:webHidden/>
          </w:rPr>
          <w:fldChar w:fldCharType="begin"/>
        </w:r>
        <w:r w:rsidR="00136C7D" w:rsidRPr="00D85C65">
          <w:rPr>
            <w:webHidden/>
          </w:rPr>
          <w:instrText xml:space="preserve"> PAGEREF _Toc29994471 \h </w:instrText>
        </w:r>
        <w:r w:rsidR="00136C7D" w:rsidRPr="00D85C65">
          <w:rPr>
            <w:webHidden/>
          </w:rPr>
        </w:r>
        <w:r w:rsidR="00136C7D" w:rsidRPr="00D85C65">
          <w:rPr>
            <w:webHidden/>
          </w:rPr>
          <w:fldChar w:fldCharType="separate"/>
        </w:r>
        <w:r w:rsidR="00E13EA5">
          <w:rPr>
            <w:webHidden/>
          </w:rPr>
          <w:t>63</w:t>
        </w:r>
        <w:r w:rsidR="00136C7D" w:rsidRPr="00D85C65">
          <w:rPr>
            <w:webHidden/>
          </w:rPr>
          <w:fldChar w:fldCharType="end"/>
        </w:r>
      </w:hyperlink>
    </w:p>
    <w:p w14:paraId="4B9AFA04" w14:textId="3E3B15B1" w:rsidR="00136C7D" w:rsidRPr="00D85C65" w:rsidRDefault="00530AC2">
      <w:pPr>
        <w:pStyle w:val="TOC2"/>
        <w:rPr>
          <w:rFonts w:asciiTheme="minorHAnsi" w:eastAsiaTheme="minorEastAsia" w:hAnsiTheme="minorHAnsi" w:cstheme="minorBidi"/>
          <w:b w:val="0"/>
          <w:smallCaps w:val="0"/>
          <w:sz w:val="22"/>
        </w:rPr>
      </w:pPr>
      <w:hyperlink w:anchor="_Toc29994472" w:history="1">
        <w:r w:rsidR="00136C7D" w:rsidRPr="00D85C65">
          <w:rPr>
            <w:rStyle w:val="Hyperlink"/>
            <w:rFonts w:ascii="Times New Roman" w:hAnsi="Times New Roman"/>
          </w:rPr>
          <w:t>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Vzory pre kreditné riziko</w:t>
        </w:r>
        <w:r w:rsidR="00136C7D" w:rsidRPr="00D85C65">
          <w:rPr>
            <w:webHidden/>
          </w:rPr>
          <w:tab/>
        </w:r>
        <w:r w:rsidR="00136C7D" w:rsidRPr="00D85C65">
          <w:rPr>
            <w:webHidden/>
          </w:rPr>
          <w:fldChar w:fldCharType="begin"/>
        </w:r>
        <w:r w:rsidR="00136C7D" w:rsidRPr="00D85C65">
          <w:rPr>
            <w:webHidden/>
          </w:rPr>
          <w:instrText xml:space="preserve"> PAGEREF _Toc29994472 \h </w:instrText>
        </w:r>
        <w:r w:rsidR="00136C7D" w:rsidRPr="00D85C65">
          <w:rPr>
            <w:webHidden/>
          </w:rPr>
        </w:r>
        <w:r w:rsidR="00136C7D" w:rsidRPr="00D85C65">
          <w:rPr>
            <w:webHidden/>
          </w:rPr>
          <w:fldChar w:fldCharType="separate"/>
        </w:r>
        <w:r w:rsidR="00E13EA5">
          <w:rPr>
            <w:webHidden/>
          </w:rPr>
          <w:t>71</w:t>
        </w:r>
        <w:r w:rsidR="00136C7D" w:rsidRPr="00D85C65">
          <w:rPr>
            <w:webHidden/>
          </w:rPr>
          <w:fldChar w:fldCharType="end"/>
        </w:r>
      </w:hyperlink>
    </w:p>
    <w:p w14:paraId="13763B8E" w14:textId="0826A92C" w:rsidR="00136C7D" w:rsidRPr="00D85C65" w:rsidRDefault="00530AC2">
      <w:pPr>
        <w:pStyle w:val="TOC2"/>
        <w:rPr>
          <w:rFonts w:asciiTheme="minorHAnsi" w:eastAsiaTheme="minorEastAsia" w:hAnsiTheme="minorHAnsi" w:cstheme="minorBidi"/>
          <w:b w:val="0"/>
          <w:smallCaps w:val="0"/>
          <w:sz w:val="22"/>
        </w:rPr>
      </w:pPr>
      <w:hyperlink w:anchor="_Toc29994473" w:history="1">
        <w:r w:rsidR="00136C7D" w:rsidRPr="00D85C65">
          <w:rPr>
            <w:rStyle w:val="Hyperlink"/>
            <w:rFonts w:ascii="Times New Roman" w:hAnsi="Times New Roman"/>
          </w:rPr>
          <w:t>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_Toc29994473 \h </w:instrText>
        </w:r>
        <w:r w:rsidR="00136C7D" w:rsidRPr="00D85C65">
          <w:rPr>
            <w:webHidden/>
          </w:rPr>
        </w:r>
        <w:r w:rsidR="00136C7D" w:rsidRPr="00D85C65">
          <w:rPr>
            <w:webHidden/>
          </w:rPr>
          <w:fldChar w:fldCharType="separate"/>
        </w:r>
        <w:r w:rsidR="00E13EA5">
          <w:rPr>
            <w:webHidden/>
          </w:rPr>
          <w:t>71</w:t>
        </w:r>
        <w:r w:rsidR="00136C7D" w:rsidRPr="00D85C65">
          <w:rPr>
            <w:webHidden/>
          </w:rPr>
          <w:fldChar w:fldCharType="end"/>
        </w:r>
      </w:hyperlink>
    </w:p>
    <w:p w14:paraId="39D770BB" w14:textId="4A85DA67" w:rsidR="00136C7D" w:rsidRPr="00D85C65" w:rsidRDefault="00530AC2">
      <w:pPr>
        <w:pStyle w:val="TOC2"/>
        <w:rPr>
          <w:rFonts w:asciiTheme="minorHAnsi" w:eastAsiaTheme="minorEastAsia" w:hAnsiTheme="minorHAnsi" w:cstheme="minorBidi"/>
          <w:b w:val="0"/>
          <w:smallCaps w:val="0"/>
          <w:sz w:val="22"/>
        </w:rPr>
      </w:pPr>
      <w:hyperlink w:anchor="_Toc29994474" w:history="1">
        <w:r w:rsidR="00136C7D" w:rsidRPr="00D85C65">
          <w:rPr>
            <w:rStyle w:val="Hyperlink"/>
            <w:rFonts w:ascii="Times New Roman" w:hAnsi="Times New Roman"/>
          </w:rPr>
          <w:t>3.1.1.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Vykazovanie postupov na zmierňovanie kreditného rizika (CRM)</w:t>
        </w:r>
        <w:r w:rsidR="00D85C65">
          <w:rPr>
            <w:rStyle w:val="Hyperlink"/>
            <w:rFonts w:ascii="Times New Roman" w:hAnsi="Times New Roman"/>
          </w:rPr>
          <w:t xml:space="preserve"> s </w:t>
        </w:r>
        <w:r w:rsidR="00136C7D" w:rsidRPr="00D85C65">
          <w:rPr>
            <w:rStyle w:val="Hyperlink"/>
            <w:rFonts w:ascii="Times New Roman" w:hAnsi="Times New Roman"/>
          </w:rPr>
          <w:t>účinkom substitúcie</w:t>
        </w:r>
        <w:r w:rsidR="00136C7D" w:rsidRPr="00D85C65">
          <w:rPr>
            <w:webHidden/>
          </w:rPr>
          <w:tab/>
        </w:r>
        <w:r w:rsidR="00136C7D" w:rsidRPr="00D85C65">
          <w:rPr>
            <w:webHidden/>
          </w:rPr>
          <w:fldChar w:fldCharType="begin"/>
        </w:r>
        <w:r w:rsidR="00136C7D" w:rsidRPr="00D85C65">
          <w:rPr>
            <w:webHidden/>
          </w:rPr>
          <w:instrText xml:space="preserve"> PAGEREF _Toc29994474 \h </w:instrText>
        </w:r>
        <w:r w:rsidR="00136C7D" w:rsidRPr="00D85C65">
          <w:rPr>
            <w:webHidden/>
          </w:rPr>
        </w:r>
        <w:r w:rsidR="00136C7D" w:rsidRPr="00D85C65">
          <w:rPr>
            <w:webHidden/>
          </w:rPr>
          <w:fldChar w:fldCharType="separate"/>
        </w:r>
        <w:r w:rsidR="00E13EA5">
          <w:rPr>
            <w:webHidden/>
          </w:rPr>
          <w:t>71</w:t>
        </w:r>
        <w:r w:rsidR="00136C7D" w:rsidRPr="00D85C65">
          <w:rPr>
            <w:webHidden/>
          </w:rPr>
          <w:fldChar w:fldCharType="end"/>
        </w:r>
      </w:hyperlink>
    </w:p>
    <w:p w14:paraId="190C8DFA" w14:textId="4BDD5705" w:rsidR="00136C7D" w:rsidRPr="00D85C65" w:rsidRDefault="00530AC2">
      <w:pPr>
        <w:pStyle w:val="TOC2"/>
        <w:rPr>
          <w:rFonts w:asciiTheme="minorHAnsi" w:eastAsiaTheme="minorEastAsia" w:hAnsiTheme="minorHAnsi" w:cstheme="minorBidi"/>
          <w:b w:val="0"/>
          <w:smallCaps w:val="0"/>
          <w:sz w:val="22"/>
        </w:rPr>
      </w:pPr>
      <w:hyperlink w:anchor="_Toc29994475" w:history="1">
        <w:r w:rsidR="00136C7D" w:rsidRPr="00D85C65">
          <w:rPr>
            <w:rStyle w:val="Hyperlink"/>
            <w:rFonts w:ascii="Times New Roman" w:hAnsi="Times New Roman"/>
          </w:rPr>
          <w:t>3.1.2.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Vykazovanie kreditného rizika protistrany</w:t>
        </w:r>
        <w:r w:rsidR="00136C7D" w:rsidRPr="00D85C65">
          <w:rPr>
            <w:webHidden/>
          </w:rPr>
          <w:tab/>
        </w:r>
        <w:r w:rsidR="00136C7D" w:rsidRPr="00D85C65">
          <w:rPr>
            <w:webHidden/>
          </w:rPr>
          <w:fldChar w:fldCharType="begin"/>
        </w:r>
        <w:r w:rsidR="00136C7D" w:rsidRPr="00D85C65">
          <w:rPr>
            <w:webHidden/>
          </w:rPr>
          <w:instrText xml:space="preserve"> PAGEREF _Toc29994475 \h </w:instrText>
        </w:r>
        <w:r w:rsidR="00136C7D" w:rsidRPr="00D85C65">
          <w:rPr>
            <w:webHidden/>
          </w:rPr>
        </w:r>
        <w:r w:rsidR="00136C7D" w:rsidRPr="00D85C65">
          <w:rPr>
            <w:webHidden/>
          </w:rPr>
          <w:fldChar w:fldCharType="separate"/>
        </w:r>
        <w:r w:rsidR="00E13EA5">
          <w:rPr>
            <w:webHidden/>
          </w:rPr>
          <w:t>72</w:t>
        </w:r>
        <w:r w:rsidR="00136C7D" w:rsidRPr="00D85C65">
          <w:rPr>
            <w:webHidden/>
          </w:rPr>
          <w:fldChar w:fldCharType="end"/>
        </w:r>
      </w:hyperlink>
    </w:p>
    <w:p w14:paraId="11AF73B5" w14:textId="20A30660" w:rsidR="00136C7D" w:rsidRPr="00D85C65" w:rsidRDefault="00530AC2">
      <w:pPr>
        <w:pStyle w:val="TOC2"/>
        <w:rPr>
          <w:rFonts w:asciiTheme="minorHAnsi" w:eastAsiaTheme="minorEastAsia" w:hAnsiTheme="minorHAnsi" w:cstheme="minorBidi"/>
          <w:b w:val="0"/>
          <w:smallCaps w:val="0"/>
          <w:sz w:val="22"/>
        </w:rPr>
      </w:pPr>
      <w:hyperlink w:anchor="_Toc29994476" w:history="1">
        <w:r w:rsidR="00136C7D" w:rsidRPr="00D85C65">
          <w:rPr>
            <w:rStyle w:val="Hyperlink"/>
            <w:rFonts w:ascii="Times New Roman" w:hAnsi="Times New Roman"/>
          </w:rPr>
          <w:t>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07.00 – Kreditné riziko</w:t>
        </w:r>
        <w:r w:rsidR="00D85C65">
          <w:rPr>
            <w:rStyle w:val="Hyperlink"/>
            <w:rFonts w:ascii="Times New Roman" w:hAnsi="Times New Roman"/>
          </w:rPr>
          <w:t xml:space="preserve"> a </w:t>
        </w:r>
        <w:r w:rsidR="00136C7D" w:rsidRPr="00D85C65">
          <w:rPr>
            <w:rStyle w:val="Hyperlink"/>
            <w:rFonts w:ascii="Times New Roman" w:hAnsi="Times New Roman"/>
          </w:rPr>
          <w:t>kreditné riziko protistrany</w:t>
        </w:r>
        <w:r w:rsidR="00D85C65">
          <w:rPr>
            <w:rStyle w:val="Hyperlink"/>
            <w:rFonts w:ascii="Times New Roman" w:hAnsi="Times New Roman"/>
          </w:rPr>
          <w:t xml:space="preserve"> a </w:t>
        </w:r>
        <w:r w:rsidR="00136C7D" w:rsidRPr="00D85C65">
          <w:rPr>
            <w:rStyle w:val="Hyperlink"/>
            <w:rFonts w:ascii="Times New Roman" w:hAnsi="Times New Roman"/>
          </w:rPr>
          <w:t>bezodplatné dodanie: Štandardizovaný prístup ku kapitálovým požiadavkám (CR SA)</w:t>
        </w:r>
        <w:r w:rsidR="00136C7D" w:rsidRPr="00D85C65">
          <w:rPr>
            <w:webHidden/>
          </w:rPr>
          <w:tab/>
        </w:r>
        <w:r w:rsidR="00136C7D" w:rsidRPr="00D85C65">
          <w:rPr>
            <w:webHidden/>
          </w:rPr>
          <w:fldChar w:fldCharType="begin"/>
        </w:r>
        <w:r w:rsidR="00136C7D" w:rsidRPr="00D85C65">
          <w:rPr>
            <w:webHidden/>
          </w:rPr>
          <w:instrText xml:space="preserve"> PAGEREF _Toc29994476 \h </w:instrText>
        </w:r>
        <w:r w:rsidR="00136C7D" w:rsidRPr="00D85C65">
          <w:rPr>
            <w:webHidden/>
          </w:rPr>
        </w:r>
        <w:r w:rsidR="00136C7D" w:rsidRPr="00D85C65">
          <w:rPr>
            <w:webHidden/>
          </w:rPr>
          <w:fldChar w:fldCharType="separate"/>
        </w:r>
        <w:r w:rsidR="00E13EA5">
          <w:rPr>
            <w:webHidden/>
          </w:rPr>
          <w:t>72</w:t>
        </w:r>
        <w:r w:rsidR="00136C7D" w:rsidRPr="00D85C65">
          <w:rPr>
            <w:webHidden/>
          </w:rPr>
          <w:fldChar w:fldCharType="end"/>
        </w:r>
      </w:hyperlink>
    </w:p>
    <w:p w14:paraId="12F6AFF6" w14:textId="2911D47B" w:rsidR="00136C7D" w:rsidRPr="00D85C65" w:rsidRDefault="00530AC2">
      <w:pPr>
        <w:pStyle w:val="TOC2"/>
        <w:rPr>
          <w:rFonts w:asciiTheme="minorHAnsi" w:eastAsiaTheme="minorEastAsia" w:hAnsiTheme="minorHAnsi" w:cstheme="minorBidi"/>
          <w:b w:val="0"/>
          <w:smallCaps w:val="0"/>
          <w:sz w:val="22"/>
        </w:rPr>
      </w:pPr>
      <w:hyperlink w:anchor="_Toc29994477" w:history="1">
        <w:r w:rsidR="00136C7D" w:rsidRPr="00D85C65">
          <w:rPr>
            <w:rStyle w:val="Hyperlink"/>
            <w:rFonts w:ascii="Times New Roman" w:hAnsi="Times New Roman"/>
          </w:rPr>
          <w:t>3.2.1.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_Toc29994477 \h </w:instrText>
        </w:r>
        <w:r w:rsidR="00136C7D" w:rsidRPr="00D85C65">
          <w:rPr>
            <w:webHidden/>
          </w:rPr>
        </w:r>
        <w:r w:rsidR="00136C7D" w:rsidRPr="00D85C65">
          <w:rPr>
            <w:webHidden/>
          </w:rPr>
          <w:fldChar w:fldCharType="separate"/>
        </w:r>
        <w:r w:rsidR="00E13EA5">
          <w:rPr>
            <w:webHidden/>
          </w:rPr>
          <w:t>72</w:t>
        </w:r>
        <w:r w:rsidR="00136C7D" w:rsidRPr="00D85C65">
          <w:rPr>
            <w:webHidden/>
          </w:rPr>
          <w:fldChar w:fldCharType="end"/>
        </w:r>
      </w:hyperlink>
    </w:p>
    <w:p w14:paraId="1CC9359A" w14:textId="3A5D61A2" w:rsidR="00136C7D" w:rsidRPr="00D85C65" w:rsidRDefault="00530AC2">
      <w:pPr>
        <w:pStyle w:val="TOC2"/>
        <w:rPr>
          <w:rFonts w:asciiTheme="minorHAnsi" w:eastAsiaTheme="minorEastAsia" w:hAnsiTheme="minorHAnsi" w:cstheme="minorBidi"/>
          <w:b w:val="0"/>
          <w:smallCaps w:val="0"/>
          <w:sz w:val="22"/>
        </w:rPr>
      </w:pPr>
      <w:hyperlink w:anchor="_Toc29994478" w:history="1">
        <w:r w:rsidR="00136C7D" w:rsidRPr="00D85C65">
          <w:rPr>
            <w:rStyle w:val="Hyperlink"/>
            <w:rFonts w:ascii="Times New Roman" w:hAnsi="Times New Roman"/>
          </w:rPr>
          <w:t>3.2.2.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Rozsah vzoru CR SA</w:t>
        </w:r>
        <w:r w:rsidR="00136C7D" w:rsidRPr="00D85C65">
          <w:rPr>
            <w:webHidden/>
          </w:rPr>
          <w:tab/>
        </w:r>
        <w:r w:rsidR="00136C7D" w:rsidRPr="00D85C65">
          <w:rPr>
            <w:webHidden/>
          </w:rPr>
          <w:fldChar w:fldCharType="begin"/>
        </w:r>
        <w:r w:rsidR="00136C7D" w:rsidRPr="00D85C65">
          <w:rPr>
            <w:webHidden/>
          </w:rPr>
          <w:instrText xml:space="preserve"> PAGEREF _Toc29994478 \h </w:instrText>
        </w:r>
        <w:r w:rsidR="00136C7D" w:rsidRPr="00D85C65">
          <w:rPr>
            <w:webHidden/>
          </w:rPr>
        </w:r>
        <w:r w:rsidR="00136C7D" w:rsidRPr="00D85C65">
          <w:rPr>
            <w:webHidden/>
          </w:rPr>
          <w:fldChar w:fldCharType="separate"/>
        </w:r>
        <w:r w:rsidR="00E13EA5">
          <w:rPr>
            <w:webHidden/>
          </w:rPr>
          <w:t>72</w:t>
        </w:r>
        <w:r w:rsidR="00136C7D" w:rsidRPr="00D85C65">
          <w:rPr>
            <w:webHidden/>
          </w:rPr>
          <w:fldChar w:fldCharType="end"/>
        </w:r>
      </w:hyperlink>
    </w:p>
    <w:p w14:paraId="6E1A287D" w14:textId="6EDAE49C" w:rsidR="00136C7D" w:rsidRPr="00D85C65" w:rsidRDefault="00530AC2">
      <w:pPr>
        <w:pStyle w:val="TOC2"/>
        <w:rPr>
          <w:rFonts w:asciiTheme="minorHAnsi" w:eastAsiaTheme="minorEastAsia" w:hAnsiTheme="minorHAnsi" w:cstheme="minorBidi"/>
          <w:b w:val="0"/>
          <w:smallCaps w:val="0"/>
          <w:sz w:val="22"/>
        </w:rPr>
      </w:pPr>
      <w:hyperlink w:anchor="_Toc29994479" w:history="1">
        <w:r w:rsidR="00136C7D" w:rsidRPr="00D85C65">
          <w:rPr>
            <w:rStyle w:val="Hyperlink"/>
            <w:rFonts w:ascii="Times New Roman" w:hAnsi="Times New Roman"/>
          </w:rPr>
          <w:t>3.2.3.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 xml:space="preserve"> Zaradenie expozícií do tried expozícií</w:t>
        </w:r>
        <w:r w:rsidR="00D85C65">
          <w:rPr>
            <w:rStyle w:val="Hyperlink"/>
            <w:rFonts w:ascii="Times New Roman" w:hAnsi="Times New Roman"/>
          </w:rPr>
          <w:t xml:space="preserve"> v </w:t>
        </w:r>
        <w:r w:rsidR="00136C7D" w:rsidRPr="00D85C65">
          <w:rPr>
            <w:rStyle w:val="Hyperlink"/>
            <w:rFonts w:ascii="Times New Roman" w:hAnsi="Times New Roman"/>
          </w:rPr>
          <w:t>rámci štandardizovaného prístupu</w:t>
        </w:r>
        <w:r w:rsidR="00136C7D" w:rsidRPr="00D85C65">
          <w:rPr>
            <w:webHidden/>
          </w:rPr>
          <w:tab/>
        </w:r>
        <w:r w:rsidR="00136C7D" w:rsidRPr="00D85C65">
          <w:rPr>
            <w:webHidden/>
          </w:rPr>
          <w:fldChar w:fldCharType="begin"/>
        </w:r>
        <w:r w:rsidR="00136C7D" w:rsidRPr="00D85C65">
          <w:rPr>
            <w:webHidden/>
          </w:rPr>
          <w:instrText xml:space="preserve"> PAGEREF _Toc29994479 \h </w:instrText>
        </w:r>
        <w:r w:rsidR="00136C7D" w:rsidRPr="00D85C65">
          <w:rPr>
            <w:webHidden/>
          </w:rPr>
        </w:r>
        <w:r w:rsidR="00136C7D" w:rsidRPr="00D85C65">
          <w:rPr>
            <w:webHidden/>
          </w:rPr>
          <w:fldChar w:fldCharType="separate"/>
        </w:r>
        <w:r w:rsidR="00E13EA5">
          <w:rPr>
            <w:webHidden/>
          </w:rPr>
          <w:t>74</w:t>
        </w:r>
        <w:r w:rsidR="00136C7D" w:rsidRPr="00D85C65">
          <w:rPr>
            <w:webHidden/>
          </w:rPr>
          <w:fldChar w:fldCharType="end"/>
        </w:r>
      </w:hyperlink>
    </w:p>
    <w:p w14:paraId="7C90318D" w14:textId="6830B964" w:rsidR="00136C7D" w:rsidRPr="00D85C65" w:rsidRDefault="00530AC2">
      <w:pPr>
        <w:pStyle w:val="TOC2"/>
        <w:rPr>
          <w:rFonts w:asciiTheme="minorHAnsi" w:eastAsiaTheme="minorEastAsia" w:hAnsiTheme="minorHAnsi" w:cstheme="minorBidi"/>
          <w:b w:val="0"/>
          <w:smallCaps w:val="0"/>
          <w:sz w:val="22"/>
        </w:rPr>
      </w:pPr>
      <w:hyperlink w:anchor="_Toc29994480" w:history="1">
        <w:r w:rsidR="00136C7D" w:rsidRPr="00D85C65">
          <w:rPr>
            <w:rStyle w:val="Hyperlink"/>
            <w:rFonts w:ascii="Times New Roman" w:hAnsi="Times New Roman"/>
          </w:rPr>
          <w:t>3.2.4.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Vyjasnenie rozsahu niektorých konkrétnych tried expozícií uvedených</w:t>
        </w:r>
        <w:r w:rsidR="00D85C65">
          <w:rPr>
            <w:rStyle w:val="Hyperlink"/>
            <w:rFonts w:ascii="Times New Roman" w:hAnsi="Times New Roman"/>
          </w:rPr>
          <w:t xml:space="preserve"> v </w:t>
        </w:r>
        <w:r w:rsidR="00136C7D" w:rsidRPr="00D85C65">
          <w:rPr>
            <w:rStyle w:val="Hyperlink"/>
            <w:rFonts w:ascii="Times New Roman" w:hAnsi="Times New Roman"/>
          </w:rPr>
          <w:t>článku 112 CRR</w:t>
        </w:r>
        <w:r w:rsidR="00136C7D" w:rsidRPr="00D85C65">
          <w:rPr>
            <w:webHidden/>
          </w:rPr>
          <w:tab/>
        </w:r>
        <w:r w:rsidR="00136C7D" w:rsidRPr="00D85C65">
          <w:rPr>
            <w:webHidden/>
          </w:rPr>
          <w:fldChar w:fldCharType="begin"/>
        </w:r>
        <w:r w:rsidR="00136C7D" w:rsidRPr="00D85C65">
          <w:rPr>
            <w:webHidden/>
          </w:rPr>
          <w:instrText xml:space="preserve"> PAGEREF _Toc29994480 \h </w:instrText>
        </w:r>
        <w:r w:rsidR="00136C7D" w:rsidRPr="00D85C65">
          <w:rPr>
            <w:webHidden/>
          </w:rPr>
        </w:r>
        <w:r w:rsidR="00136C7D" w:rsidRPr="00D85C65">
          <w:rPr>
            <w:webHidden/>
          </w:rPr>
          <w:fldChar w:fldCharType="separate"/>
        </w:r>
        <w:r w:rsidR="00E13EA5">
          <w:rPr>
            <w:webHidden/>
          </w:rPr>
          <w:t>79</w:t>
        </w:r>
        <w:r w:rsidR="00136C7D" w:rsidRPr="00D85C65">
          <w:rPr>
            <w:webHidden/>
          </w:rPr>
          <w:fldChar w:fldCharType="end"/>
        </w:r>
      </w:hyperlink>
    </w:p>
    <w:p w14:paraId="42C9EF06" w14:textId="58C99786" w:rsidR="00136C7D" w:rsidRPr="00D85C65" w:rsidRDefault="00530AC2">
      <w:pPr>
        <w:pStyle w:val="TOC2"/>
        <w:rPr>
          <w:rFonts w:asciiTheme="minorHAnsi" w:eastAsiaTheme="minorEastAsia" w:hAnsiTheme="minorHAnsi" w:cstheme="minorBidi"/>
          <w:b w:val="0"/>
          <w:smallCaps w:val="0"/>
          <w:sz w:val="22"/>
        </w:rPr>
      </w:pPr>
      <w:hyperlink w:anchor="_Toc29994481" w:history="1">
        <w:r w:rsidR="00136C7D" w:rsidRPr="00D85C65">
          <w:rPr>
            <w:rStyle w:val="Hyperlink"/>
            <w:rFonts w:ascii="Times New Roman" w:hAnsi="Times New Roman"/>
          </w:rPr>
          <w:t>3.2.4.1.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Trieda expozícií „inštitúcie“</w:t>
        </w:r>
        <w:r w:rsidR="00136C7D" w:rsidRPr="00D85C65">
          <w:rPr>
            <w:webHidden/>
          </w:rPr>
          <w:tab/>
        </w:r>
        <w:r w:rsidR="00136C7D" w:rsidRPr="00D85C65">
          <w:rPr>
            <w:webHidden/>
          </w:rPr>
          <w:fldChar w:fldCharType="begin"/>
        </w:r>
        <w:r w:rsidR="00136C7D" w:rsidRPr="00D85C65">
          <w:rPr>
            <w:webHidden/>
          </w:rPr>
          <w:instrText xml:space="preserve"> PAGEREF _Toc29994481 \h </w:instrText>
        </w:r>
        <w:r w:rsidR="00136C7D" w:rsidRPr="00D85C65">
          <w:rPr>
            <w:webHidden/>
          </w:rPr>
        </w:r>
        <w:r w:rsidR="00136C7D" w:rsidRPr="00D85C65">
          <w:rPr>
            <w:webHidden/>
          </w:rPr>
          <w:fldChar w:fldCharType="separate"/>
        </w:r>
        <w:r w:rsidR="00E13EA5">
          <w:rPr>
            <w:webHidden/>
          </w:rPr>
          <w:t>79</w:t>
        </w:r>
        <w:r w:rsidR="00136C7D" w:rsidRPr="00D85C65">
          <w:rPr>
            <w:webHidden/>
          </w:rPr>
          <w:fldChar w:fldCharType="end"/>
        </w:r>
      </w:hyperlink>
    </w:p>
    <w:p w14:paraId="57E39C4F" w14:textId="19E724A3" w:rsidR="00136C7D" w:rsidRPr="00D85C65" w:rsidRDefault="00530AC2">
      <w:pPr>
        <w:pStyle w:val="TOC2"/>
        <w:rPr>
          <w:rFonts w:asciiTheme="minorHAnsi" w:eastAsiaTheme="minorEastAsia" w:hAnsiTheme="minorHAnsi" w:cstheme="minorBidi"/>
          <w:b w:val="0"/>
          <w:smallCaps w:val="0"/>
          <w:sz w:val="22"/>
        </w:rPr>
      </w:pPr>
      <w:hyperlink w:anchor="_Toc29994482" w:history="1">
        <w:r w:rsidR="00136C7D" w:rsidRPr="00D85C65">
          <w:rPr>
            <w:rStyle w:val="Hyperlink"/>
            <w:rFonts w:ascii="Times New Roman" w:hAnsi="Times New Roman"/>
          </w:rPr>
          <w:t>3.2.4.2.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Trieda expozícií „kryté dlhopisy“</w:t>
        </w:r>
        <w:r w:rsidR="00136C7D" w:rsidRPr="00D85C65">
          <w:rPr>
            <w:webHidden/>
          </w:rPr>
          <w:tab/>
        </w:r>
        <w:r w:rsidR="00136C7D" w:rsidRPr="00D85C65">
          <w:rPr>
            <w:webHidden/>
          </w:rPr>
          <w:fldChar w:fldCharType="begin"/>
        </w:r>
        <w:r w:rsidR="00136C7D" w:rsidRPr="00D85C65">
          <w:rPr>
            <w:webHidden/>
          </w:rPr>
          <w:instrText xml:space="preserve"> PAGEREF _Toc29994482 \h </w:instrText>
        </w:r>
        <w:r w:rsidR="00136C7D" w:rsidRPr="00D85C65">
          <w:rPr>
            <w:webHidden/>
          </w:rPr>
        </w:r>
        <w:r w:rsidR="00136C7D" w:rsidRPr="00D85C65">
          <w:rPr>
            <w:webHidden/>
          </w:rPr>
          <w:fldChar w:fldCharType="separate"/>
        </w:r>
        <w:r w:rsidR="00E13EA5">
          <w:rPr>
            <w:webHidden/>
          </w:rPr>
          <w:t>79</w:t>
        </w:r>
        <w:r w:rsidR="00136C7D" w:rsidRPr="00D85C65">
          <w:rPr>
            <w:webHidden/>
          </w:rPr>
          <w:fldChar w:fldCharType="end"/>
        </w:r>
      </w:hyperlink>
    </w:p>
    <w:p w14:paraId="51F06873" w14:textId="6A479673" w:rsidR="00136C7D" w:rsidRPr="00D85C65" w:rsidRDefault="00530AC2">
      <w:pPr>
        <w:pStyle w:val="TOC2"/>
        <w:rPr>
          <w:rFonts w:asciiTheme="minorHAnsi" w:eastAsiaTheme="minorEastAsia" w:hAnsiTheme="minorHAnsi" w:cstheme="minorBidi"/>
          <w:b w:val="0"/>
          <w:smallCaps w:val="0"/>
          <w:sz w:val="22"/>
        </w:rPr>
      </w:pPr>
      <w:hyperlink w:anchor="_Toc29994483" w:history="1">
        <w:r w:rsidR="00136C7D" w:rsidRPr="00D85C65">
          <w:rPr>
            <w:rStyle w:val="Hyperlink"/>
            <w:rFonts w:ascii="Times New Roman" w:hAnsi="Times New Roman"/>
          </w:rPr>
          <w:t>3.2.4.3.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Trieda expozícií „podniky kolektívneho investovania“</w:t>
        </w:r>
        <w:r w:rsidR="00136C7D" w:rsidRPr="00D85C65">
          <w:rPr>
            <w:webHidden/>
          </w:rPr>
          <w:tab/>
        </w:r>
        <w:r w:rsidR="00136C7D" w:rsidRPr="00D85C65">
          <w:rPr>
            <w:webHidden/>
          </w:rPr>
          <w:fldChar w:fldCharType="begin"/>
        </w:r>
        <w:r w:rsidR="00136C7D" w:rsidRPr="00D85C65">
          <w:rPr>
            <w:webHidden/>
          </w:rPr>
          <w:instrText xml:space="preserve"> PAGEREF _Toc29994483 \h </w:instrText>
        </w:r>
        <w:r w:rsidR="00136C7D" w:rsidRPr="00D85C65">
          <w:rPr>
            <w:webHidden/>
          </w:rPr>
        </w:r>
        <w:r w:rsidR="00136C7D" w:rsidRPr="00D85C65">
          <w:rPr>
            <w:webHidden/>
          </w:rPr>
          <w:fldChar w:fldCharType="separate"/>
        </w:r>
        <w:r w:rsidR="00E13EA5">
          <w:rPr>
            <w:webHidden/>
          </w:rPr>
          <w:t>79</w:t>
        </w:r>
        <w:r w:rsidR="00136C7D" w:rsidRPr="00D85C65">
          <w:rPr>
            <w:webHidden/>
          </w:rPr>
          <w:fldChar w:fldCharType="end"/>
        </w:r>
      </w:hyperlink>
    </w:p>
    <w:p w14:paraId="0EE3F73F" w14:textId="13EA60DD" w:rsidR="00136C7D" w:rsidRPr="00D85C65" w:rsidRDefault="00530AC2">
      <w:pPr>
        <w:pStyle w:val="TOC2"/>
        <w:rPr>
          <w:rFonts w:asciiTheme="minorHAnsi" w:eastAsiaTheme="minorEastAsia" w:hAnsiTheme="minorHAnsi" w:cstheme="minorBidi"/>
          <w:b w:val="0"/>
          <w:smallCaps w:val="0"/>
          <w:sz w:val="22"/>
        </w:rPr>
      </w:pPr>
      <w:hyperlink w:anchor="_Toc29994484" w:history="1">
        <w:r w:rsidR="00136C7D" w:rsidRPr="00D85C65">
          <w:rPr>
            <w:rStyle w:val="Hyperlink"/>
            <w:rFonts w:ascii="Times New Roman" w:hAnsi="Times New Roman"/>
          </w:rPr>
          <w:t>3.2.5.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_Toc29994484 \h </w:instrText>
        </w:r>
        <w:r w:rsidR="00136C7D" w:rsidRPr="00D85C65">
          <w:rPr>
            <w:webHidden/>
          </w:rPr>
        </w:r>
        <w:r w:rsidR="00136C7D" w:rsidRPr="00D85C65">
          <w:rPr>
            <w:webHidden/>
          </w:rPr>
          <w:fldChar w:fldCharType="separate"/>
        </w:r>
        <w:r w:rsidR="00E13EA5">
          <w:rPr>
            <w:webHidden/>
          </w:rPr>
          <w:t>80</w:t>
        </w:r>
        <w:r w:rsidR="00136C7D" w:rsidRPr="00D85C65">
          <w:rPr>
            <w:webHidden/>
          </w:rPr>
          <w:fldChar w:fldCharType="end"/>
        </w:r>
      </w:hyperlink>
    </w:p>
    <w:p w14:paraId="5A90DBD7" w14:textId="04A0CB8A" w:rsidR="00136C7D" w:rsidRPr="00D85C65" w:rsidRDefault="00530AC2">
      <w:pPr>
        <w:pStyle w:val="TOC2"/>
        <w:rPr>
          <w:rFonts w:asciiTheme="minorHAnsi" w:eastAsiaTheme="minorEastAsia" w:hAnsiTheme="minorHAnsi" w:cstheme="minorBidi"/>
          <w:b w:val="0"/>
          <w:smallCaps w:val="0"/>
          <w:sz w:val="22"/>
        </w:rPr>
      </w:pPr>
      <w:hyperlink w:anchor="_Toc29994485" w:history="1">
        <w:r w:rsidR="00136C7D" w:rsidRPr="00D85C65">
          <w:rPr>
            <w:rStyle w:val="Hyperlink"/>
            <w:rFonts w:ascii="Times New Roman" w:hAnsi="Times New Roman"/>
          </w:rPr>
          <w:t>3.3.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Kreditné riziko</w:t>
        </w:r>
        <w:r w:rsidR="00D85C65">
          <w:rPr>
            <w:rStyle w:val="Hyperlink"/>
            <w:rFonts w:ascii="Times New Roman" w:hAnsi="Times New Roman"/>
          </w:rPr>
          <w:t xml:space="preserve"> a </w:t>
        </w:r>
        <w:r w:rsidR="00136C7D" w:rsidRPr="00D85C65">
          <w:rPr>
            <w:rStyle w:val="Hyperlink"/>
            <w:rFonts w:ascii="Times New Roman" w:hAnsi="Times New Roman"/>
          </w:rPr>
          <w:t>kreditné riziko protistrany</w:t>
        </w:r>
        <w:r w:rsidR="00D85C65">
          <w:rPr>
            <w:rStyle w:val="Hyperlink"/>
            <w:rFonts w:ascii="Times New Roman" w:hAnsi="Times New Roman"/>
          </w:rPr>
          <w:t xml:space="preserve"> a </w:t>
        </w:r>
        <w:r w:rsidR="00136C7D" w:rsidRPr="00D85C65">
          <w:rPr>
            <w:rStyle w:val="Hyperlink"/>
            <w:rFonts w:ascii="Times New Roman" w:hAnsi="Times New Roman"/>
          </w:rPr>
          <w:t>bezodplatné dodanie: Prístup IRB</w:t>
        </w:r>
        <w:r w:rsidR="00D85C65">
          <w:rPr>
            <w:rStyle w:val="Hyperlink"/>
            <w:rFonts w:ascii="Times New Roman" w:hAnsi="Times New Roman"/>
          </w:rPr>
          <w:t xml:space="preserve"> k </w:t>
        </w:r>
        <w:r w:rsidR="00136C7D" w:rsidRPr="00D85C65">
          <w:rPr>
            <w:rStyle w:val="Hyperlink"/>
            <w:rFonts w:ascii="Times New Roman" w:hAnsi="Times New Roman"/>
          </w:rPr>
          <w:t>požiadavkám na vlastné zdroje (CR IRB)</w:t>
        </w:r>
        <w:r w:rsidR="00136C7D" w:rsidRPr="00D85C65">
          <w:rPr>
            <w:webHidden/>
          </w:rPr>
          <w:tab/>
        </w:r>
        <w:r w:rsidR="00136C7D" w:rsidRPr="00D85C65">
          <w:rPr>
            <w:webHidden/>
          </w:rPr>
          <w:fldChar w:fldCharType="begin"/>
        </w:r>
        <w:r w:rsidR="00136C7D" w:rsidRPr="00D85C65">
          <w:rPr>
            <w:webHidden/>
          </w:rPr>
          <w:instrText xml:space="preserve"> PAGEREF _Toc29994485 \h </w:instrText>
        </w:r>
        <w:r w:rsidR="00136C7D" w:rsidRPr="00D85C65">
          <w:rPr>
            <w:webHidden/>
          </w:rPr>
        </w:r>
        <w:r w:rsidR="00136C7D" w:rsidRPr="00D85C65">
          <w:rPr>
            <w:webHidden/>
          </w:rPr>
          <w:fldChar w:fldCharType="separate"/>
        </w:r>
        <w:r w:rsidR="00E13EA5">
          <w:rPr>
            <w:webHidden/>
          </w:rPr>
          <w:t>87</w:t>
        </w:r>
        <w:r w:rsidR="00136C7D" w:rsidRPr="00D85C65">
          <w:rPr>
            <w:webHidden/>
          </w:rPr>
          <w:fldChar w:fldCharType="end"/>
        </w:r>
      </w:hyperlink>
    </w:p>
    <w:p w14:paraId="024EAA8A" w14:textId="70B75221" w:rsidR="00136C7D" w:rsidRPr="00D85C65" w:rsidRDefault="00530AC2">
      <w:pPr>
        <w:pStyle w:val="TOC2"/>
        <w:rPr>
          <w:rFonts w:asciiTheme="minorHAnsi" w:eastAsiaTheme="minorEastAsia" w:hAnsiTheme="minorHAnsi" w:cstheme="minorBidi"/>
          <w:b w:val="0"/>
          <w:smallCaps w:val="0"/>
          <w:sz w:val="22"/>
        </w:rPr>
      </w:pPr>
      <w:hyperlink w:anchor="_Toc29994486" w:history="1">
        <w:r w:rsidR="00136C7D" w:rsidRPr="00D85C65">
          <w:rPr>
            <w:rStyle w:val="Hyperlink"/>
            <w:rFonts w:ascii="Times New Roman" w:hAnsi="Times New Roman"/>
          </w:rPr>
          <w:t>3.3.1.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Rozsah vzoru CR IRB</w:t>
        </w:r>
        <w:r w:rsidR="00136C7D" w:rsidRPr="00D85C65">
          <w:rPr>
            <w:webHidden/>
          </w:rPr>
          <w:tab/>
        </w:r>
        <w:r w:rsidR="00136C7D" w:rsidRPr="00D85C65">
          <w:rPr>
            <w:webHidden/>
          </w:rPr>
          <w:fldChar w:fldCharType="begin"/>
        </w:r>
        <w:r w:rsidR="00136C7D" w:rsidRPr="00D85C65">
          <w:rPr>
            <w:webHidden/>
          </w:rPr>
          <w:instrText xml:space="preserve"> PAGEREF _Toc29994486 \h </w:instrText>
        </w:r>
        <w:r w:rsidR="00136C7D" w:rsidRPr="00D85C65">
          <w:rPr>
            <w:webHidden/>
          </w:rPr>
        </w:r>
        <w:r w:rsidR="00136C7D" w:rsidRPr="00D85C65">
          <w:rPr>
            <w:webHidden/>
          </w:rPr>
          <w:fldChar w:fldCharType="separate"/>
        </w:r>
        <w:r w:rsidR="00E13EA5">
          <w:rPr>
            <w:webHidden/>
          </w:rPr>
          <w:t>87</w:t>
        </w:r>
        <w:r w:rsidR="00136C7D" w:rsidRPr="00D85C65">
          <w:rPr>
            <w:webHidden/>
          </w:rPr>
          <w:fldChar w:fldCharType="end"/>
        </w:r>
      </w:hyperlink>
    </w:p>
    <w:p w14:paraId="1EF12509" w14:textId="6E17A900" w:rsidR="00136C7D" w:rsidRPr="00D85C65" w:rsidRDefault="00530AC2">
      <w:pPr>
        <w:pStyle w:val="TOC2"/>
        <w:rPr>
          <w:rFonts w:asciiTheme="minorHAnsi" w:eastAsiaTheme="minorEastAsia" w:hAnsiTheme="minorHAnsi" w:cstheme="minorBidi"/>
          <w:b w:val="0"/>
          <w:smallCaps w:val="0"/>
          <w:sz w:val="22"/>
        </w:rPr>
      </w:pPr>
      <w:hyperlink w:anchor="_Toc29994487" w:history="1">
        <w:r w:rsidR="00136C7D" w:rsidRPr="00D85C65">
          <w:rPr>
            <w:rStyle w:val="Hyperlink"/>
            <w:rFonts w:ascii="Times New Roman" w:hAnsi="Times New Roman"/>
          </w:rPr>
          <w:t>3.3.2.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Prehľad vzoru CR IRB</w:t>
        </w:r>
        <w:r w:rsidR="00136C7D" w:rsidRPr="00D85C65">
          <w:rPr>
            <w:webHidden/>
          </w:rPr>
          <w:tab/>
        </w:r>
        <w:r w:rsidR="00136C7D" w:rsidRPr="00D85C65">
          <w:rPr>
            <w:webHidden/>
          </w:rPr>
          <w:fldChar w:fldCharType="begin"/>
        </w:r>
        <w:r w:rsidR="00136C7D" w:rsidRPr="00D85C65">
          <w:rPr>
            <w:webHidden/>
          </w:rPr>
          <w:instrText xml:space="preserve"> PAGEREF _Toc29994487 \h </w:instrText>
        </w:r>
        <w:r w:rsidR="00136C7D" w:rsidRPr="00D85C65">
          <w:rPr>
            <w:webHidden/>
          </w:rPr>
        </w:r>
        <w:r w:rsidR="00136C7D" w:rsidRPr="00D85C65">
          <w:rPr>
            <w:webHidden/>
          </w:rPr>
          <w:fldChar w:fldCharType="separate"/>
        </w:r>
        <w:r w:rsidR="00E13EA5">
          <w:rPr>
            <w:webHidden/>
          </w:rPr>
          <w:t>88</w:t>
        </w:r>
        <w:r w:rsidR="00136C7D" w:rsidRPr="00D85C65">
          <w:rPr>
            <w:webHidden/>
          </w:rPr>
          <w:fldChar w:fldCharType="end"/>
        </w:r>
      </w:hyperlink>
    </w:p>
    <w:p w14:paraId="242686E4" w14:textId="68AB216E" w:rsidR="00136C7D" w:rsidRPr="00D85C65" w:rsidRDefault="00530AC2">
      <w:pPr>
        <w:pStyle w:val="TOC2"/>
        <w:rPr>
          <w:rFonts w:asciiTheme="minorHAnsi" w:eastAsiaTheme="minorEastAsia" w:hAnsiTheme="minorHAnsi" w:cstheme="minorBidi"/>
          <w:b w:val="0"/>
          <w:smallCaps w:val="0"/>
          <w:sz w:val="22"/>
        </w:rPr>
      </w:pPr>
      <w:hyperlink w:anchor="_Toc29994488" w:history="1">
        <w:r w:rsidR="00136C7D" w:rsidRPr="00D85C65">
          <w:rPr>
            <w:rStyle w:val="Hyperlink"/>
            <w:rFonts w:ascii="Times New Roman" w:hAnsi="Times New Roman"/>
          </w:rPr>
          <w:t>3.3.3.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08.01 – Kreditné riziko</w:t>
        </w:r>
        <w:r w:rsidR="00D85C65">
          <w:rPr>
            <w:rStyle w:val="Hyperlink"/>
            <w:rFonts w:ascii="Times New Roman" w:hAnsi="Times New Roman"/>
          </w:rPr>
          <w:t xml:space="preserve"> a </w:t>
        </w:r>
        <w:r w:rsidR="00136C7D" w:rsidRPr="00D85C65">
          <w:rPr>
            <w:rStyle w:val="Hyperlink"/>
            <w:rFonts w:ascii="Times New Roman" w:hAnsi="Times New Roman"/>
          </w:rPr>
          <w:t>kreditné riziko protistrany</w:t>
        </w:r>
        <w:r w:rsidR="00D85C65">
          <w:rPr>
            <w:rStyle w:val="Hyperlink"/>
            <w:rFonts w:ascii="Times New Roman" w:hAnsi="Times New Roman"/>
          </w:rPr>
          <w:t xml:space="preserve"> a </w:t>
        </w:r>
        <w:r w:rsidR="00136C7D" w:rsidRPr="00D85C65">
          <w:rPr>
            <w:rStyle w:val="Hyperlink"/>
            <w:rFonts w:ascii="Times New Roman" w:hAnsi="Times New Roman"/>
          </w:rPr>
          <w:t>bezodplatné dodanie: Prístup IRB ku kapitálovým požiadavkám (CR IRB 1)</w:t>
        </w:r>
        <w:r w:rsidR="00136C7D" w:rsidRPr="00D85C65">
          <w:rPr>
            <w:webHidden/>
          </w:rPr>
          <w:tab/>
        </w:r>
        <w:r w:rsidR="00136C7D" w:rsidRPr="00D85C65">
          <w:rPr>
            <w:webHidden/>
          </w:rPr>
          <w:fldChar w:fldCharType="begin"/>
        </w:r>
        <w:r w:rsidR="00136C7D" w:rsidRPr="00D85C65">
          <w:rPr>
            <w:webHidden/>
          </w:rPr>
          <w:instrText xml:space="preserve"> PAGEREF _Toc29994488 \h </w:instrText>
        </w:r>
        <w:r w:rsidR="00136C7D" w:rsidRPr="00D85C65">
          <w:rPr>
            <w:webHidden/>
          </w:rPr>
        </w:r>
        <w:r w:rsidR="00136C7D" w:rsidRPr="00D85C65">
          <w:rPr>
            <w:webHidden/>
          </w:rPr>
          <w:fldChar w:fldCharType="separate"/>
        </w:r>
        <w:r w:rsidR="00E13EA5">
          <w:rPr>
            <w:webHidden/>
          </w:rPr>
          <w:t>89</w:t>
        </w:r>
        <w:r w:rsidR="00136C7D" w:rsidRPr="00D85C65">
          <w:rPr>
            <w:webHidden/>
          </w:rPr>
          <w:fldChar w:fldCharType="end"/>
        </w:r>
      </w:hyperlink>
    </w:p>
    <w:p w14:paraId="7511A148" w14:textId="3C8D3A31" w:rsidR="00136C7D" w:rsidRPr="00D85C65" w:rsidRDefault="00530AC2">
      <w:pPr>
        <w:pStyle w:val="TOC2"/>
        <w:rPr>
          <w:rFonts w:asciiTheme="minorHAnsi" w:eastAsiaTheme="minorEastAsia" w:hAnsiTheme="minorHAnsi" w:cstheme="minorBidi"/>
          <w:b w:val="0"/>
          <w:smallCaps w:val="0"/>
          <w:sz w:val="22"/>
        </w:rPr>
      </w:pPr>
      <w:hyperlink w:anchor="_Toc29994489" w:history="1">
        <w:r w:rsidR="00136C7D" w:rsidRPr="00D85C65">
          <w:rPr>
            <w:rStyle w:val="Hyperlink"/>
            <w:rFonts w:ascii="Times New Roman" w:hAnsi="Times New Roman"/>
          </w:rPr>
          <w:t>3.3.3.1.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_Toc29994489 \h </w:instrText>
        </w:r>
        <w:r w:rsidR="00136C7D" w:rsidRPr="00D85C65">
          <w:rPr>
            <w:webHidden/>
          </w:rPr>
        </w:r>
        <w:r w:rsidR="00136C7D" w:rsidRPr="00D85C65">
          <w:rPr>
            <w:webHidden/>
          </w:rPr>
          <w:fldChar w:fldCharType="separate"/>
        </w:r>
        <w:r w:rsidR="00E13EA5">
          <w:rPr>
            <w:webHidden/>
          </w:rPr>
          <w:t>89</w:t>
        </w:r>
        <w:r w:rsidR="00136C7D" w:rsidRPr="00D85C65">
          <w:rPr>
            <w:webHidden/>
          </w:rPr>
          <w:fldChar w:fldCharType="end"/>
        </w:r>
      </w:hyperlink>
    </w:p>
    <w:p w14:paraId="406539CC" w14:textId="03738032" w:rsidR="00136C7D" w:rsidRPr="00D85C65" w:rsidRDefault="00530AC2">
      <w:pPr>
        <w:pStyle w:val="TOC2"/>
        <w:rPr>
          <w:rFonts w:asciiTheme="minorHAnsi" w:eastAsiaTheme="minorEastAsia" w:hAnsiTheme="minorHAnsi" w:cstheme="minorBidi"/>
          <w:b w:val="0"/>
          <w:smallCaps w:val="0"/>
          <w:sz w:val="22"/>
        </w:rPr>
      </w:pPr>
      <w:hyperlink w:anchor="_Toc29994490" w:history="1">
        <w:r w:rsidR="00136C7D" w:rsidRPr="00D85C65">
          <w:rPr>
            <w:rStyle w:val="Hyperlink"/>
            <w:rFonts w:ascii="Times New Roman" w:hAnsi="Times New Roman"/>
          </w:rPr>
          <w:t>3.3.4.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08.02 – Kreditné riziko</w:t>
        </w:r>
        <w:r w:rsidR="00D85C65">
          <w:rPr>
            <w:rStyle w:val="Hyperlink"/>
            <w:rFonts w:ascii="Times New Roman" w:hAnsi="Times New Roman"/>
          </w:rPr>
          <w:t xml:space="preserve"> a </w:t>
        </w:r>
        <w:r w:rsidR="00136C7D" w:rsidRPr="00D85C65">
          <w:rPr>
            <w:rStyle w:val="Hyperlink"/>
            <w:rFonts w:ascii="Times New Roman" w:hAnsi="Times New Roman"/>
          </w:rPr>
          <w:t>kreditné riziko protistrany</w:t>
        </w:r>
        <w:r w:rsidR="00D85C65">
          <w:rPr>
            <w:rStyle w:val="Hyperlink"/>
            <w:rFonts w:ascii="Times New Roman" w:hAnsi="Times New Roman"/>
          </w:rPr>
          <w:t xml:space="preserve"> a </w:t>
        </w:r>
        <w:r w:rsidR="00136C7D" w:rsidRPr="00D85C65">
          <w:rPr>
            <w:rStyle w:val="Hyperlink"/>
            <w:rFonts w:ascii="Times New Roman" w:hAnsi="Times New Roman"/>
          </w:rPr>
          <w:t>bezodplatné dodanie: Prístup IRB ku kapitálovým požiadavkám: rozčlenenie podľa ratingových stupňov alebo skupín dlžníkov (vzor CR IRB 2)</w:t>
        </w:r>
        <w:r w:rsidR="00136C7D" w:rsidRPr="00D85C65">
          <w:rPr>
            <w:webHidden/>
          </w:rPr>
          <w:tab/>
        </w:r>
        <w:r w:rsidR="00136C7D" w:rsidRPr="00D85C65">
          <w:rPr>
            <w:webHidden/>
          </w:rPr>
          <w:fldChar w:fldCharType="begin"/>
        </w:r>
        <w:r w:rsidR="00136C7D" w:rsidRPr="00D85C65">
          <w:rPr>
            <w:webHidden/>
          </w:rPr>
          <w:instrText xml:space="preserve"> PAGEREF _Toc29994490 \h </w:instrText>
        </w:r>
        <w:r w:rsidR="00136C7D" w:rsidRPr="00D85C65">
          <w:rPr>
            <w:webHidden/>
          </w:rPr>
        </w:r>
        <w:r w:rsidR="00136C7D" w:rsidRPr="00D85C65">
          <w:rPr>
            <w:webHidden/>
          </w:rPr>
          <w:fldChar w:fldCharType="separate"/>
        </w:r>
        <w:r w:rsidR="00E13EA5">
          <w:rPr>
            <w:webHidden/>
          </w:rPr>
          <w:t>98</w:t>
        </w:r>
        <w:r w:rsidR="00136C7D" w:rsidRPr="00D85C65">
          <w:rPr>
            <w:webHidden/>
          </w:rPr>
          <w:fldChar w:fldCharType="end"/>
        </w:r>
      </w:hyperlink>
    </w:p>
    <w:p w14:paraId="06671DA8" w14:textId="2EAD43BA" w:rsidR="00136C7D" w:rsidRPr="00D85C65" w:rsidRDefault="00530AC2">
      <w:pPr>
        <w:pStyle w:val="TOC2"/>
        <w:rPr>
          <w:rFonts w:asciiTheme="minorHAnsi" w:eastAsiaTheme="minorEastAsia" w:hAnsiTheme="minorHAnsi" w:cstheme="minorBidi"/>
          <w:b w:val="0"/>
          <w:smallCaps w:val="0"/>
          <w:sz w:val="22"/>
        </w:rPr>
      </w:pPr>
      <w:hyperlink w:anchor="_Toc29994491" w:history="1">
        <w:r w:rsidR="00136C7D" w:rsidRPr="00D85C65">
          <w:rPr>
            <w:rStyle w:val="Hyperlink"/>
            <w:rFonts w:ascii="Times New Roman" w:hAnsi="Times New Roman"/>
          </w:rPr>
          <w:t>3.4.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Kreditné riziko</w:t>
        </w:r>
        <w:r w:rsidR="00D85C65">
          <w:rPr>
            <w:rStyle w:val="Hyperlink"/>
            <w:rFonts w:ascii="Times New Roman" w:hAnsi="Times New Roman"/>
          </w:rPr>
          <w:t xml:space="preserve"> a </w:t>
        </w:r>
        <w:r w:rsidR="00136C7D" w:rsidRPr="00D85C65">
          <w:rPr>
            <w:rStyle w:val="Hyperlink"/>
            <w:rFonts w:ascii="Times New Roman" w:hAnsi="Times New Roman"/>
          </w:rPr>
          <w:t>kreditné riziko protistrany</w:t>
        </w:r>
        <w:r w:rsidR="00D85C65">
          <w:rPr>
            <w:rStyle w:val="Hyperlink"/>
            <w:rFonts w:ascii="Times New Roman" w:hAnsi="Times New Roman"/>
          </w:rPr>
          <w:t xml:space="preserve"> a </w:t>
        </w:r>
        <w:r w:rsidR="00136C7D" w:rsidRPr="00D85C65">
          <w:rPr>
            <w:rStyle w:val="Hyperlink"/>
            <w:rFonts w:ascii="Times New Roman" w:hAnsi="Times New Roman"/>
          </w:rPr>
          <w:t>bezodplatné dodanie: Informácie</w:t>
        </w:r>
        <w:r w:rsidR="00D85C65">
          <w:rPr>
            <w:rStyle w:val="Hyperlink"/>
            <w:rFonts w:ascii="Times New Roman" w:hAnsi="Times New Roman"/>
          </w:rPr>
          <w:t xml:space="preserve"> s </w:t>
        </w:r>
        <w:r w:rsidR="00136C7D" w:rsidRPr="00D85C65">
          <w:rPr>
            <w:rStyle w:val="Hyperlink"/>
            <w:rFonts w:ascii="Times New Roman" w:hAnsi="Times New Roman"/>
          </w:rPr>
          <w:t>geografickým rozčlenením</w:t>
        </w:r>
        <w:r w:rsidR="00136C7D" w:rsidRPr="00D85C65">
          <w:rPr>
            <w:webHidden/>
          </w:rPr>
          <w:tab/>
        </w:r>
        <w:r w:rsidR="00136C7D" w:rsidRPr="00D85C65">
          <w:rPr>
            <w:webHidden/>
          </w:rPr>
          <w:fldChar w:fldCharType="begin"/>
        </w:r>
        <w:r w:rsidR="00136C7D" w:rsidRPr="00D85C65">
          <w:rPr>
            <w:webHidden/>
          </w:rPr>
          <w:instrText xml:space="preserve"> PAGEREF _Toc29994491 \h </w:instrText>
        </w:r>
        <w:r w:rsidR="00136C7D" w:rsidRPr="00D85C65">
          <w:rPr>
            <w:webHidden/>
          </w:rPr>
        </w:r>
        <w:r w:rsidR="00136C7D" w:rsidRPr="00D85C65">
          <w:rPr>
            <w:webHidden/>
          </w:rPr>
          <w:fldChar w:fldCharType="separate"/>
        </w:r>
        <w:r w:rsidR="00E13EA5">
          <w:rPr>
            <w:webHidden/>
          </w:rPr>
          <w:t>98</w:t>
        </w:r>
        <w:r w:rsidR="00136C7D" w:rsidRPr="00D85C65">
          <w:rPr>
            <w:webHidden/>
          </w:rPr>
          <w:fldChar w:fldCharType="end"/>
        </w:r>
      </w:hyperlink>
    </w:p>
    <w:p w14:paraId="3CE961A4" w14:textId="01CA2546" w:rsidR="00136C7D" w:rsidRPr="00D85C65" w:rsidRDefault="00530AC2">
      <w:pPr>
        <w:pStyle w:val="TOC2"/>
        <w:rPr>
          <w:rFonts w:asciiTheme="minorHAnsi" w:eastAsiaTheme="minorEastAsia" w:hAnsiTheme="minorHAnsi" w:cstheme="minorBidi"/>
          <w:b w:val="0"/>
          <w:smallCaps w:val="0"/>
          <w:sz w:val="22"/>
        </w:rPr>
      </w:pPr>
      <w:hyperlink w:anchor="_Toc29994492" w:history="1">
        <w:r w:rsidR="00136C7D" w:rsidRPr="00D85C65">
          <w:rPr>
            <w:rStyle w:val="Hyperlink"/>
            <w:rFonts w:ascii="Times New Roman" w:hAnsi="Times New Roman"/>
          </w:rPr>
          <w:t>3.4.1.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09.01 – Geografické rozčlenenie expozícií podľa sídla dlžníka: Expozície SA (CR GB 1)</w:t>
        </w:r>
        <w:r w:rsidR="00136C7D" w:rsidRPr="00D85C65">
          <w:rPr>
            <w:webHidden/>
          </w:rPr>
          <w:tab/>
        </w:r>
        <w:r w:rsidR="00136C7D" w:rsidRPr="00D85C65">
          <w:rPr>
            <w:webHidden/>
          </w:rPr>
          <w:fldChar w:fldCharType="begin"/>
        </w:r>
        <w:r w:rsidR="00136C7D" w:rsidRPr="00D85C65">
          <w:rPr>
            <w:webHidden/>
          </w:rPr>
          <w:instrText xml:space="preserve"> PAGEREF _Toc29994492 \h </w:instrText>
        </w:r>
        <w:r w:rsidR="00136C7D" w:rsidRPr="00D85C65">
          <w:rPr>
            <w:webHidden/>
          </w:rPr>
        </w:r>
        <w:r w:rsidR="00136C7D" w:rsidRPr="00D85C65">
          <w:rPr>
            <w:webHidden/>
          </w:rPr>
          <w:fldChar w:fldCharType="separate"/>
        </w:r>
        <w:r w:rsidR="00E13EA5">
          <w:rPr>
            <w:webHidden/>
          </w:rPr>
          <w:t>99</w:t>
        </w:r>
        <w:r w:rsidR="00136C7D" w:rsidRPr="00D85C65">
          <w:rPr>
            <w:webHidden/>
          </w:rPr>
          <w:fldChar w:fldCharType="end"/>
        </w:r>
      </w:hyperlink>
    </w:p>
    <w:p w14:paraId="60539F7A" w14:textId="25EE02D7" w:rsidR="00136C7D" w:rsidRPr="00D85C65" w:rsidRDefault="00530AC2">
      <w:pPr>
        <w:pStyle w:val="TOC2"/>
        <w:rPr>
          <w:rFonts w:asciiTheme="minorHAnsi" w:eastAsiaTheme="minorEastAsia" w:hAnsiTheme="minorHAnsi" w:cstheme="minorBidi"/>
          <w:b w:val="0"/>
          <w:smallCaps w:val="0"/>
          <w:sz w:val="22"/>
        </w:rPr>
      </w:pPr>
      <w:hyperlink w:anchor="_Toc29994493" w:history="1">
        <w:r w:rsidR="00136C7D" w:rsidRPr="00D85C65">
          <w:rPr>
            <w:rStyle w:val="Hyperlink"/>
            <w:rFonts w:ascii="Times New Roman" w:hAnsi="Times New Roman"/>
          </w:rPr>
          <w:t>3.4.1.1.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_Toc29994493 \h </w:instrText>
        </w:r>
        <w:r w:rsidR="00136C7D" w:rsidRPr="00D85C65">
          <w:rPr>
            <w:webHidden/>
          </w:rPr>
        </w:r>
        <w:r w:rsidR="00136C7D" w:rsidRPr="00D85C65">
          <w:rPr>
            <w:webHidden/>
          </w:rPr>
          <w:fldChar w:fldCharType="separate"/>
        </w:r>
        <w:r w:rsidR="00E13EA5">
          <w:rPr>
            <w:webHidden/>
          </w:rPr>
          <w:t>99</w:t>
        </w:r>
        <w:r w:rsidR="00136C7D" w:rsidRPr="00D85C65">
          <w:rPr>
            <w:webHidden/>
          </w:rPr>
          <w:fldChar w:fldCharType="end"/>
        </w:r>
      </w:hyperlink>
    </w:p>
    <w:p w14:paraId="0319EF6E" w14:textId="20D7750B" w:rsidR="00136C7D" w:rsidRPr="00D85C65" w:rsidRDefault="00530AC2">
      <w:pPr>
        <w:pStyle w:val="TOC2"/>
        <w:rPr>
          <w:rFonts w:asciiTheme="minorHAnsi" w:eastAsiaTheme="minorEastAsia" w:hAnsiTheme="minorHAnsi" w:cstheme="minorBidi"/>
          <w:b w:val="0"/>
          <w:smallCaps w:val="0"/>
          <w:sz w:val="22"/>
        </w:rPr>
      </w:pPr>
      <w:hyperlink w:anchor="_Toc29994494" w:history="1">
        <w:r w:rsidR="00136C7D" w:rsidRPr="00D85C65">
          <w:rPr>
            <w:rStyle w:val="Hyperlink"/>
            <w:rFonts w:ascii="Times New Roman" w:hAnsi="Times New Roman"/>
          </w:rPr>
          <w:t>3.4.2.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09.02 – Geografické rozčlenenie expozícií podľa sídla dlžníka: Expozície IRB (CR GB 2)</w:t>
        </w:r>
        <w:r w:rsidR="00136C7D" w:rsidRPr="00D85C65">
          <w:rPr>
            <w:webHidden/>
          </w:rPr>
          <w:tab/>
        </w:r>
        <w:r w:rsidR="00136C7D" w:rsidRPr="00D85C65">
          <w:rPr>
            <w:webHidden/>
          </w:rPr>
          <w:fldChar w:fldCharType="begin"/>
        </w:r>
        <w:r w:rsidR="00136C7D" w:rsidRPr="00D85C65">
          <w:rPr>
            <w:webHidden/>
          </w:rPr>
          <w:instrText xml:space="preserve"> PAGEREF _Toc29994494 \h </w:instrText>
        </w:r>
        <w:r w:rsidR="00136C7D" w:rsidRPr="00D85C65">
          <w:rPr>
            <w:webHidden/>
          </w:rPr>
        </w:r>
        <w:r w:rsidR="00136C7D" w:rsidRPr="00D85C65">
          <w:rPr>
            <w:webHidden/>
          </w:rPr>
          <w:fldChar w:fldCharType="separate"/>
        </w:r>
        <w:r w:rsidR="00E13EA5">
          <w:rPr>
            <w:webHidden/>
          </w:rPr>
          <w:t>102</w:t>
        </w:r>
        <w:r w:rsidR="00136C7D" w:rsidRPr="00D85C65">
          <w:rPr>
            <w:webHidden/>
          </w:rPr>
          <w:fldChar w:fldCharType="end"/>
        </w:r>
      </w:hyperlink>
    </w:p>
    <w:p w14:paraId="1502F5DA" w14:textId="49C4FFB5" w:rsidR="00136C7D" w:rsidRPr="00D85C65" w:rsidRDefault="00530AC2">
      <w:pPr>
        <w:pStyle w:val="TOC2"/>
        <w:rPr>
          <w:rFonts w:asciiTheme="minorHAnsi" w:eastAsiaTheme="minorEastAsia" w:hAnsiTheme="minorHAnsi" w:cstheme="minorBidi"/>
          <w:b w:val="0"/>
          <w:smallCaps w:val="0"/>
          <w:sz w:val="22"/>
        </w:rPr>
      </w:pPr>
      <w:hyperlink w:anchor="_Toc29994495" w:history="1">
        <w:r w:rsidR="00136C7D" w:rsidRPr="00D85C65">
          <w:rPr>
            <w:rStyle w:val="Hyperlink"/>
            <w:rFonts w:ascii="Times New Roman" w:hAnsi="Times New Roman"/>
          </w:rPr>
          <w:t>3.4.2.1.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_Toc29994495 \h </w:instrText>
        </w:r>
        <w:r w:rsidR="00136C7D" w:rsidRPr="00D85C65">
          <w:rPr>
            <w:webHidden/>
          </w:rPr>
        </w:r>
        <w:r w:rsidR="00136C7D" w:rsidRPr="00D85C65">
          <w:rPr>
            <w:webHidden/>
          </w:rPr>
          <w:fldChar w:fldCharType="separate"/>
        </w:r>
        <w:r w:rsidR="00E13EA5">
          <w:rPr>
            <w:webHidden/>
          </w:rPr>
          <w:t>102</w:t>
        </w:r>
        <w:r w:rsidR="00136C7D" w:rsidRPr="00D85C65">
          <w:rPr>
            <w:webHidden/>
          </w:rPr>
          <w:fldChar w:fldCharType="end"/>
        </w:r>
      </w:hyperlink>
    </w:p>
    <w:p w14:paraId="2D9E6A17" w14:textId="64A4633D" w:rsidR="00136C7D" w:rsidRPr="00D85C65" w:rsidRDefault="00530AC2">
      <w:pPr>
        <w:pStyle w:val="TOC2"/>
        <w:rPr>
          <w:rFonts w:asciiTheme="minorHAnsi" w:eastAsiaTheme="minorEastAsia" w:hAnsiTheme="minorHAnsi" w:cstheme="minorBidi"/>
          <w:b w:val="0"/>
          <w:smallCaps w:val="0"/>
          <w:sz w:val="22"/>
        </w:rPr>
      </w:pPr>
      <w:hyperlink w:anchor="_Toc29994496" w:history="1">
        <w:r w:rsidR="00136C7D" w:rsidRPr="00D85C65">
          <w:rPr>
            <w:rStyle w:val="Hyperlink"/>
            <w:rFonts w:ascii="Times New Roman" w:hAnsi="Times New Roman"/>
          </w:rPr>
          <w:t>3.4.3.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09.04 – Rozčlenenie expozícií voči kreditnému riziku relevantných pre výpočet proticyklického kapitálového vankúša podľa krajín</w:t>
        </w:r>
        <w:r w:rsidR="00D85C65">
          <w:rPr>
            <w:rStyle w:val="Hyperlink"/>
            <w:rFonts w:ascii="Times New Roman" w:hAnsi="Times New Roman"/>
          </w:rPr>
          <w:t xml:space="preserve"> a </w:t>
        </w:r>
        <w:r w:rsidR="00136C7D" w:rsidRPr="00D85C65">
          <w:rPr>
            <w:rStyle w:val="Hyperlink"/>
            <w:rFonts w:ascii="Times New Roman" w:hAnsi="Times New Roman"/>
          </w:rPr>
          <w:t>miery proticyklického kapitálového vankúša špecifického pre inštitúciu (CCB)</w:t>
        </w:r>
        <w:r w:rsidR="00136C7D" w:rsidRPr="00D85C65">
          <w:rPr>
            <w:webHidden/>
          </w:rPr>
          <w:tab/>
        </w:r>
        <w:r w:rsidR="00136C7D" w:rsidRPr="00D85C65">
          <w:rPr>
            <w:webHidden/>
          </w:rPr>
          <w:fldChar w:fldCharType="begin"/>
        </w:r>
        <w:r w:rsidR="00136C7D" w:rsidRPr="00D85C65">
          <w:rPr>
            <w:webHidden/>
          </w:rPr>
          <w:instrText xml:space="preserve"> PAGEREF _Toc29994496 \h </w:instrText>
        </w:r>
        <w:r w:rsidR="00136C7D" w:rsidRPr="00D85C65">
          <w:rPr>
            <w:webHidden/>
          </w:rPr>
        </w:r>
        <w:r w:rsidR="00136C7D" w:rsidRPr="00D85C65">
          <w:rPr>
            <w:webHidden/>
          </w:rPr>
          <w:fldChar w:fldCharType="separate"/>
        </w:r>
        <w:r w:rsidR="00E13EA5">
          <w:rPr>
            <w:webHidden/>
          </w:rPr>
          <w:t>105</w:t>
        </w:r>
        <w:r w:rsidR="00136C7D" w:rsidRPr="00D85C65">
          <w:rPr>
            <w:webHidden/>
          </w:rPr>
          <w:fldChar w:fldCharType="end"/>
        </w:r>
      </w:hyperlink>
    </w:p>
    <w:p w14:paraId="3158C02F" w14:textId="17205BE9" w:rsidR="00136C7D" w:rsidRPr="00D85C65" w:rsidRDefault="00530AC2">
      <w:pPr>
        <w:pStyle w:val="TOC2"/>
        <w:rPr>
          <w:rFonts w:asciiTheme="minorHAnsi" w:eastAsiaTheme="minorEastAsia" w:hAnsiTheme="minorHAnsi" w:cstheme="minorBidi"/>
          <w:b w:val="0"/>
          <w:smallCaps w:val="0"/>
          <w:sz w:val="22"/>
        </w:rPr>
      </w:pPr>
      <w:hyperlink w:anchor="_Toc29994497" w:history="1">
        <w:r w:rsidR="00136C7D" w:rsidRPr="00D85C65">
          <w:rPr>
            <w:rStyle w:val="Hyperlink"/>
            <w:rFonts w:ascii="Times New Roman" w:hAnsi="Times New Roman"/>
          </w:rPr>
          <w:t>3.4.3.1.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_Toc29994497 \h </w:instrText>
        </w:r>
        <w:r w:rsidR="00136C7D" w:rsidRPr="00D85C65">
          <w:rPr>
            <w:webHidden/>
          </w:rPr>
        </w:r>
        <w:r w:rsidR="00136C7D" w:rsidRPr="00D85C65">
          <w:rPr>
            <w:webHidden/>
          </w:rPr>
          <w:fldChar w:fldCharType="separate"/>
        </w:r>
        <w:r w:rsidR="00E13EA5">
          <w:rPr>
            <w:webHidden/>
          </w:rPr>
          <w:t>105</w:t>
        </w:r>
        <w:r w:rsidR="00136C7D" w:rsidRPr="00D85C65">
          <w:rPr>
            <w:webHidden/>
          </w:rPr>
          <w:fldChar w:fldCharType="end"/>
        </w:r>
      </w:hyperlink>
    </w:p>
    <w:p w14:paraId="34D19E05" w14:textId="1434E437" w:rsidR="00136C7D" w:rsidRPr="00D85C65" w:rsidRDefault="00530AC2">
      <w:pPr>
        <w:pStyle w:val="TOC2"/>
        <w:rPr>
          <w:rFonts w:asciiTheme="minorHAnsi" w:eastAsiaTheme="minorEastAsia" w:hAnsiTheme="minorHAnsi" w:cstheme="minorBidi"/>
          <w:b w:val="0"/>
          <w:smallCaps w:val="0"/>
          <w:sz w:val="22"/>
        </w:rPr>
      </w:pPr>
      <w:hyperlink w:anchor="_Toc29994498" w:history="1">
        <w:r w:rsidR="00136C7D" w:rsidRPr="00D85C65">
          <w:rPr>
            <w:rStyle w:val="Hyperlink"/>
            <w:rFonts w:ascii="Times New Roman" w:hAnsi="Times New Roman"/>
          </w:rPr>
          <w:t>3.4.3.2.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_Toc29994498 \h </w:instrText>
        </w:r>
        <w:r w:rsidR="00136C7D" w:rsidRPr="00D85C65">
          <w:rPr>
            <w:webHidden/>
          </w:rPr>
        </w:r>
        <w:r w:rsidR="00136C7D" w:rsidRPr="00D85C65">
          <w:rPr>
            <w:webHidden/>
          </w:rPr>
          <w:fldChar w:fldCharType="separate"/>
        </w:r>
        <w:r w:rsidR="00E13EA5">
          <w:rPr>
            <w:webHidden/>
          </w:rPr>
          <w:t>105</w:t>
        </w:r>
        <w:r w:rsidR="00136C7D" w:rsidRPr="00D85C65">
          <w:rPr>
            <w:webHidden/>
          </w:rPr>
          <w:fldChar w:fldCharType="end"/>
        </w:r>
      </w:hyperlink>
    </w:p>
    <w:p w14:paraId="68A80293" w14:textId="0070AE96" w:rsidR="00136C7D" w:rsidRPr="00D85C65" w:rsidRDefault="00530AC2">
      <w:pPr>
        <w:pStyle w:val="TOC2"/>
        <w:rPr>
          <w:rFonts w:asciiTheme="minorHAnsi" w:eastAsiaTheme="minorEastAsia" w:hAnsiTheme="minorHAnsi" w:cstheme="minorBidi"/>
          <w:b w:val="0"/>
          <w:smallCaps w:val="0"/>
          <w:sz w:val="22"/>
        </w:rPr>
      </w:pPr>
      <w:hyperlink w:anchor="_Toc29994499" w:history="1">
        <w:r w:rsidR="00136C7D" w:rsidRPr="00D85C65">
          <w:rPr>
            <w:rStyle w:val="Hyperlink"/>
            <w:rFonts w:ascii="Times New Roman" w:hAnsi="Times New Roman"/>
          </w:rPr>
          <w:t>3.5.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10.01</w:t>
        </w:r>
        <w:r w:rsidR="00D85C65">
          <w:rPr>
            <w:rStyle w:val="Hyperlink"/>
            <w:rFonts w:ascii="Times New Roman" w:hAnsi="Times New Roman"/>
          </w:rPr>
          <w:t xml:space="preserve"> a </w:t>
        </w:r>
        <w:r w:rsidR="00136C7D" w:rsidRPr="00D85C65">
          <w:rPr>
            <w:rStyle w:val="Hyperlink"/>
            <w:rFonts w:ascii="Times New Roman" w:hAnsi="Times New Roman"/>
          </w:rPr>
          <w:t>C 10.02 – Kapitálové expozície na základe prístupu interných ratingov (CR EQU IRB 1</w:t>
        </w:r>
        <w:r w:rsidR="00D85C65">
          <w:rPr>
            <w:rStyle w:val="Hyperlink"/>
            <w:rFonts w:ascii="Times New Roman" w:hAnsi="Times New Roman"/>
          </w:rPr>
          <w:t xml:space="preserve"> a </w:t>
        </w:r>
        <w:r w:rsidR="00136C7D" w:rsidRPr="00D85C65">
          <w:rPr>
            <w:rStyle w:val="Hyperlink"/>
            <w:rFonts w:ascii="Times New Roman" w:hAnsi="Times New Roman"/>
          </w:rPr>
          <w:t>CR EQU IRB 2)</w:t>
        </w:r>
        <w:r w:rsidR="00136C7D" w:rsidRPr="00D85C65">
          <w:rPr>
            <w:webHidden/>
          </w:rPr>
          <w:tab/>
        </w:r>
        <w:r w:rsidR="00136C7D" w:rsidRPr="00D85C65">
          <w:rPr>
            <w:webHidden/>
          </w:rPr>
          <w:fldChar w:fldCharType="begin"/>
        </w:r>
        <w:r w:rsidR="00136C7D" w:rsidRPr="00D85C65">
          <w:rPr>
            <w:webHidden/>
          </w:rPr>
          <w:instrText xml:space="preserve"> PAGEREF _Toc29994499 \h </w:instrText>
        </w:r>
        <w:r w:rsidR="00136C7D" w:rsidRPr="00D85C65">
          <w:rPr>
            <w:webHidden/>
          </w:rPr>
        </w:r>
        <w:r w:rsidR="00136C7D" w:rsidRPr="00D85C65">
          <w:rPr>
            <w:webHidden/>
          </w:rPr>
          <w:fldChar w:fldCharType="separate"/>
        </w:r>
        <w:r w:rsidR="00E13EA5">
          <w:rPr>
            <w:webHidden/>
          </w:rPr>
          <w:t>109</w:t>
        </w:r>
        <w:r w:rsidR="00136C7D" w:rsidRPr="00D85C65">
          <w:rPr>
            <w:webHidden/>
          </w:rPr>
          <w:fldChar w:fldCharType="end"/>
        </w:r>
      </w:hyperlink>
    </w:p>
    <w:p w14:paraId="1077BCAA" w14:textId="492FA861" w:rsidR="00136C7D" w:rsidRPr="00D85C65" w:rsidRDefault="00530AC2">
      <w:pPr>
        <w:pStyle w:val="TOC2"/>
        <w:rPr>
          <w:rFonts w:asciiTheme="minorHAnsi" w:eastAsiaTheme="minorEastAsia" w:hAnsiTheme="minorHAnsi" w:cstheme="minorBidi"/>
          <w:b w:val="0"/>
          <w:smallCaps w:val="0"/>
          <w:sz w:val="22"/>
        </w:rPr>
      </w:pPr>
      <w:hyperlink w:anchor="_Toc29994500" w:history="1">
        <w:r w:rsidR="00136C7D" w:rsidRPr="00D85C65">
          <w:rPr>
            <w:rStyle w:val="Hyperlink"/>
            <w:rFonts w:ascii="Times New Roman" w:hAnsi="Times New Roman"/>
          </w:rPr>
          <w:t>3.5.1.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_Toc29994500 \h </w:instrText>
        </w:r>
        <w:r w:rsidR="00136C7D" w:rsidRPr="00D85C65">
          <w:rPr>
            <w:webHidden/>
          </w:rPr>
        </w:r>
        <w:r w:rsidR="00136C7D" w:rsidRPr="00D85C65">
          <w:rPr>
            <w:webHidden/>
          </w:rPr>
          <w:fldChar w:fldCharType="separate"/>
        </w:r>
        <w:r w:rsidR="00E13EA5">
          <w:rPr>
            <w:webHidden/>
          </w:rPr>
          <w:t>109</w:t>
        </w:r>
        <w:r w:rsidR="00136C7D" w:rsidRPr="00D85C65">
          <w:rPr>
            <w:webHidden/>
          </w:rPr>
          <w:fldChar w:fldCharType="end"/>
        </w:r>
      </w:hyperlink>
    </w:p>
    <w:p w14:paraId="5C8D7184" w14:textId="6CD056C0" w:rsidR="00136C7D" w:rsidRPr="00D85C65" w:rsidRDefault="00530AC2">
      <w:pPr>
        <w:pStyle w:val="TOC2"/>
        <w:rPr>
          <w:rFonts w:asciiTheme="minorHAnsi" w:eastAsiaTheme="minorEastAsia" w:hAnsiTheme="minorHAnsi" w:cstheme="minorBidi"/>
          <w:b w:val="0"/>
          <w:smallCaps w:val="0"/>
          <w:sz w:val="22"/>
        </w:rPr>
      </w:pPr>
      <w:hyperlink w:anchor="_Toc29994501" w:history="1">
        <w:r w:rsidR="00136C7D" w:rsidRPr="00D85C65">
          <w:rPr>
            <w:rStyle w:val="Hyperlink"/>
            <w:rFonts w:ascii="Times New Roman" w:hAnsi="Times New Roman"/>
          </w:rPr>
          <w:t>3.5.2.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 (uplatniteľné na obidva vzory CR EQU IRB 1</w:t>
        </w:r>
        <w:r w:rsidR="00D85C65">
          <w:rPr>
            <w:rStyle w:val="Hyperlink"/>
            <w:rFonts w:ascii="Times New Roman" w:hAnsi="Times New Roman"/>
          </w:rPr>
          <w:t xml:space="preserve"> a </w:t>
        </w:r>
        <w:r w:rsidR="00136C7D" w:rsidRPr="00D85C65">
          <w:rPr>
            <w:rStyle w:val="Hyperlink"/>
            <w:rFonts w:ascii="Times New Roman" w:hAnsi="Times New Roman"/>
          </w:rPr>
          <w:t>CR EQU IRB 2)</w:t>
        </w:r>
        <w:r w:rsidR="00136C7D" w:rsidRPr="00D85C65">
          <w:rPr>
            <w:webHidden/>
          </w:rPr>
          <w:tab/>
        </w:r>
        <w:r w:rsidR="00136C7D" w:rsidRPr="00D85C65">
          <w:rPr>
            <w:webHidden/>
          </w:rPr>
          <w:fldChar w:fldCharType="begin"/>
        </w:r>
        <w:r w:rsidR="00136C7D" w:rsidRPr="00D85C65">
          <w:rPr>
            <w:webHidden/>
          </w:rPr>
          <w:instrText xml:space="preserve"> PAGEREF _Toc29994501 \h </w:instrText>
        </w:r>
        <w:r w:rsidR="00136C7D" w:rsidRPr="00D85C65">
          <w:rPr>
            <w:webHidden/>
          </w:rPr>
        </w:r>
        <w:r w:rsidR="00136C7D" w:rsidRPr="00D85C65">
          <w:rPr>
            <w:webHidden/>
          </w:rPr>
          <w:fldChar w:fldCharType="separate"/>
        </w:r>
        <w:r w:rsidR="00E13EA5">
          <w:rPr>
            <w:webHidden/>
          </w:rPr>
          <w:t>111</w:t>
        </w:r>
        <w:r w:rsidR="00136C7D" w:rsidRPr="00D85C65">
          <w:rPr>
            <w:webHidden/>
          </w:rPr>
          <w:fldChar w:fldCharType="end"/>
        </w:r>
      </w:hyperlink>
    </w:p>
    <w:p w14:paraId="3948B1CA" w14:textId="27371E8F" w:rsidR="00136C7D" w:rsidRPr="00D85C65" w:rsidRDefault="00530AC2">
      <w:pPr>
        <w:pStyle w:val="TOC2"/>
        <w:rPr>
          <w:rFonts w:asciiTheme="minorHAnsi" w:eastAsiaTheme="minorEastAsia" w:hAnsiTheme="minorHAnsi" w:cstheme="minorBidi"/>
          <w:b w:val="0"/>
          <w:smallCaps w:val="0"/>
          <w:sz w:val="22"/>
        </w:rPr>
      </w:pPr>
      <w:hyperlink w:anchor="_Toc29994502" w:history="1">
        <w:r w:rsidR="00136C7D" w:rsidRPr="00D85C65">
          <w:rPr>
            <w:rStyle w:val="Hyperlink"/>
            <w:rFonts w:ascii="Times New Roman" w:hAnsi="Times New Roman"/>
          </w:rPr>
          <w:t>3.6.</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11.00 – Riziko vyrovnania/dodania (CR SETT)</w:t>
        </w:r>
        <w:r w:rsidR="00136C7D" w:rsidRPr="00D85C65">
          <w:rPr>
            <w:webHidden/>
          </w:rPr>
          <w:tab/>
        </w:r>
        <w:r w:rsidR="00136C7D" w:rsidRPr="00D85C65">
          <w:rPr>
            <w:webHidden/>
          </w:rPr>
          <w:fldChar w:fldCharType="begin"/>
        </w:r>
        <w:r w:rsidR="00136C7D" w:rsidRPr="00D85C65">
          <w:rPr>
            <w:webHidden/>
          </w:rPr>
          <w:instrText xml:space="preserve"> PAGEREF _Toc29994502 \h </w:instrText>
        </w:r>
        <w:r w:rsidR="00136C7D" w:rsidRPr="00D85C65">
          <w:rPr>
            <w:webHidden/>
          </w:rPr>
        </w:r>
        <w:r w:rsidR="00136C7D" w:rsidRPr="00D85C65">
          <w:rPr>
            <w:webHidden/>
          </w:rPr>
          <w:fldChar w:fldCharType="separate"/>
        </w:r>
        <w:r w:rsidR="00E13EA5">
          <w:rPr>
            <w:webHidden/>
          </w:rPr>
          <w:t>114</w:t>
        </w:r>
        <w:r w:rsidR="00136C7D" w:rsidRPr="00D85C65">
          <w:rPr>
            <w:webHidden/>
          </w:rPr>
          <w:fldChar w:fldCharType="end"/>
        </w:r>
      </w:hyperlink>
    </w:p>
    <w:p w14:paraId="34D96E3F" w14:textId="12A52046" w:rsidR="00136C7D" w:rsidRPr="00D85C65" w:rsidRDefault="00530AC2">
      <w:pPr>
        <w:pStyle w:val="TOC2"/>
        <w:rPr>
          <w:rFonts w:asciiTheme="minorHAnsi" w:eastAsiaTheme="minorEastAsia" w:hAnsiTheme="minorHAnsi" w:cstheme="minorBidi"/>
          <w:b w:val="0"/>
          <w:smallCaps w:val="0"/>
          <w:sz w:val="22"/>
        </w:rPr>
      </w:pPr>
      <w:hyperlink w:anchor="_Toc29994503" w:history="1">
        <w:r w:rsidR="00136C7D" w:rsidRPr="00D85C65">
          <w:rPr>
            <w:rStyle w:val="Hyperlink"/>
            <w:rFonts w:ascii="Times New Roman" w:hAnsi="Times New Roman"/>
          </w:rPr>
          <w:t>3.6.1.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_Toc29994503 \h </w:instrText>
        </w:r>
        <w:r w:rsidR="00136C7D" w:rsidRPr="00D85C65">
          <w:rPr>
            <w:webHidden/>
          </w:rPr>
        </w:r>
        <w:r w:rsidR="00136C7D" w:rsidRPr="00D85C65">
          <w:rPr>
            <w:webHidden/>
          </w:rPr>
          <w:fldChar w:fldCharType="separate"/>
        </w:r>
        <w:r w:rsidR="00E13EA5">
          <w:rPr>
            <w:webHidden/>
          </w:rPr>
          <w:t>114</w:t>
        </w:r>
        <w:r w:rsidR="00136C7D" w:rsidRPr="00D85C65">
          <w:rPr>
            <w:webHidden/>
          </w:rPr>
          <w:fldChar w:fldCharType="end"/>
        </w:r>
      </w:hyperlink>
    </w:p>
    <w:p w14:paraId="146734E4" w14:textId="4C561B0B" w:rsidR="00136C7D" w:rsidRPr="00D85C65" w:rsidRDefault="00530AC2">
      <w:pPr>
        <w:pStyle w:val="TOC2"/>
        <w:rPr>
          <w:rFonts w:asciiTheme="minorHAnsi" w:eastAsiaTheme="minorEastAsia" w:hAnsiTheme="minorHAnsi" w:cstheme="minorBidi"/>
          <w:b w:val="0"/>
          <w:smallCaps w:val="0"/>
          <w:sz w:val="22"/>
        </w:rPr>
      </w:pPr>
      <w:hyperlink w:anchor="_Toc29994504" w:history="1">
        <w:r w:rsidR="00136C7D" w:rsidRPr="00D85C65">
          <w:rPr>
            <w:rStyle w:val="Hyperlink"/>
            <w:rFonts w:ascii="Times New Roman" w:hAnsi="Times New Roman"/>
          </w:rPr>
          <w:t>3.6.2.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_Toc29994504 \h </w:instrText>
        </w:r>
        <w:r w:rsidR="00136C7D" w:rsidRPr="00D85C65">
          <w:rPr>
            <w:webHidden/>
          </w:rPr>
        </w:r>
        <w:r w:rsidR="00136C7D" w:rsidRPr="00D85C65">
          <w:rPr>
            <w:webHidden/>
          </w:rPr>
          <w:fldChar w:fldCharType="separate"/>
        </w:r>
        <w:r w:rsidR="00E13EA5">
          <w:rPr>
            <w:webHidden/>
          </w:rPr>
          <w:t>115</w:t>
        </w:r>
        <w:r w:rsidR="00136C7D" w:rsidRPr="00D85C65">
          <w:rPr>
            <w:webHidden/>
          </w:rPr>
          <w:fldChar w:fldCharType="end"/>
        </w:r>
      </w:hyperlink>
    </w:p>
    <w:p w14:paraId="5664C5AD" w14:textId="2D965BEF" w:rsidR="00136C7D" w:rsidRPr="00D85C65" w:rsidRDefault="00530AC2">
      <w:pPr>
        <w:pStyle w:val="TOC2"/>
        <w:rPr>
          <w:rFonts w:asciiTheme="minorHAnsi" w:eastAsiaTheme="minorEastAsia" w:hAnsiTheme="minorHAnsi" w:cstheme="minorBidi"/>
          <w:b w:val="0"/>
          <w:smallCaps w:val="0"/>
          <w:sz w:val="22"/>
        </w:rPr>
      </w:pPr>
      <w:hyperlink w:anchor="_Toc29994505" w:history="1">
        <w:r w:rsidR="00136C7D" w:rsidRPr="00D85C65">
          <w:rPr>
            <w:rStyle w:val="Hyperlink"/>
            <w:rFonts w:ascii="Times New Roman" w:hAnsi="Times New Roman"/>
          </w:rPr>
          <w:t>3.7.</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13.01 – Kreditné riziko – Sekuritizácie (CR SEC)</w:t>
        </w:r>
        <w:r w:rsidR="00136C7D" w:rsidRPr="00D85C65">
          <w:rPr>
            <w:webHidden/>
          </w:rPr>
          <w:tab/>
        </w:r>
        <w:r w:rsidR="00136C7D" w:rsidRPr="00D85C65">
          <w:rPr>
            <w:webHidden/>
          </w:rPr>
          <w:fldChar w:fldCharType="begin"/>
        </w:r>
        <w:r w:rsidR="00136C7D" w:rsidRPr="00D85C65">
          <w:rPr>
            <w:webHidden/>
          </w:rPr>
          <w:instrText xml:space="preserve"> PAGEREF _Toc29994505 \h </w:instrText>
        </w:r>
        <w:r w:rsidR="00136C7D" w:rsidRPr="00D85C65">
          <w:rPr>
            <w:webHidden/>
          </w:rPr>
        </w:r>
        <w:r w:rsidR="00136C7D" w:rsidRPr="00D85C65">
          <w:rPr>
            <w:webHidden/>
          </w:rPr>
          <w:fldChar w:fldCharType="separate"/>
        </w:r>
        <w:r w:rsidR="00E13EA5">
          <w:rPr>
            <w:webHidden/>
          </w:rPr>
          <w:t>118</w:t>
        </w:r>
        <w:r w:rsidR="00136C7D" w:rsidRPr="00D85C65">
          <w:rPr>
            <w:webHidden/>
          </w:rPr>
          <w:fldChar w:fldCharType="end"/>
        </w:r>
      </w:hyperlink>
    </w:p>
    <w:p w14:paraId="7300562F" w14:textId="6B378786" w:rsidR="00136C7D" w:rsidRPr="00D85C65" w:rsidRDefault="00530AC2">
      <w:pPr>
        <w:pStyle w:val="TOC2"/>
        <w:rPr>
          <w:rFonts w:asciiTheme="minorHAnsi" w:eastAsiaTheme="minorEastAsia" w:hAnsiTheme="minorHAnsi" w:cstheme="minorBidi"/>
          <w:b w:val="0"/>
          <w:smallCaps w:val="0"/>
          <w:sz w:val="22"/>
        </w:rPr>
      </w:pPr>
      <w:hyperlink w:anchor="_Toc29994506" w:history="1">
        <w:r w:rsidR="00136C7D" w:rsidRPr="00D85C65">
          <w:rPr>
            <w:rStyle w:val="Hyperlink"/>
            <w:rFonts w:ascii="Times New Roman" w:hAnsi="Times New Roman"/>
          </w:rPr>
          <w:t>3.7.1.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_Toc29994506 \h </w:instrText>
        </w:r>
        <w:r w:rsidR="00136C7D" w:rsidRPr="00D85C65">
          <w:rPr>
            <w:webHidden/>
          </w:rPr>
        </w:r>
        <w:r w:rsidR="00136C7D" w:rsidRPr="00D85C65">
          <w:rPr>
            <w:webHidden/>
          </w:rPr>
          <w:fldChar w:fldCharType="separate"/>
        </w:r>
        <w:r w:rsidR="00E13EA5">
          <w:rPr>
            <w:webHidden/>
          </w:rPr>
          <w:t>118</w:t>
        </w:r>
        <w:r w:rsidR="00136C7D" w:rsidRPr="00D85C65">
          <w:rPr>
            <w:webHidden/>
          </w:rPr>
          <w:fldChar w:fldCharType="end"/>
        </w:r>
      </w:hyperlink>
    </w:p>
    <w:p w14:paraId="6EF74F31" w14:textId="298CD4A3" w:rsidR="00136C7D" w:rsidRPr="00D85C65" w:rsidRDefault="00530AC2">
      <w:pPr>
        <w:pStyle w:val="TOC2"/>
        <w:rPr>
          <w:rFonts w:asciiTheme="minorHAnsi" w:eastAsiaTheme="minorEastAsia" w:hAnsiTheme="minorHAnsi" w:cstheme="minorBidi"/>
          <w:b w:val="0"/>
          <w:smallCaps w:val="0"/>
          <w:sz w:val="22"/>
        </w:rPr>
      </w:pPr>
      <w:hyperlink w:anchor="_Toc29994507" w:history="1">
        <w:r w:rsidR="00136C7D" w:rsidRPr="00D85C65">
          <w:rPr>
            <w:rStyle w:val="Hyperlink"/>
            <w:rFonts w:ascii="Times New Roman" w:hAnsi="Times New Roman"/>
          </w:rPr>
          <w:t>3.7.2.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_Toc29994507 \h </w:instrText>
        </w:r>
        <w:r w:rsidR="00136C7D" w:rsidRPr="00D85C65">
          <w:rPr>
            <w:webHidden/>
          </w:rPr>
        </w:r>
        <w:r w:rsidR="00136C7D" w:rsidRPr="00D85C65">
          <w:rPr>
            <w:webHidden/>
          </w:rPr>
          <w:fldChar w:fldCharType="separate"/>
        </w:r>
        <w:r w:rsidR="00E13EA5">
          <w:rPr>
            <w:webHidden/>
          </w:rPr>
          <w:t>118</w:t>
        </w:r>
        <w:r w:rsidR="00136C7D" w:rsidRPr="00D85C65">
          <w:rPr>
            <w:webHidden/>
          </w:rPr>
          <w:fldChar w:fldCharType="end"/>
        </w:r>
      </w:hyperlink>
    </w:p>
    <w:p w14:paraId="20A61066" w14:textId="3A040674" w:rsidR="00136C7D" w:rsidRPr="00D85C65" w:rsidRDefault="00530AC2">
      <w:pPr>
        <w:pStyle w:val="TOC2"/>
        <w:rPr>
          <w:rFonts w:asciiTheme="minorHAnsi" w:eastAsiaTheme="minorEastAsia" w:hAnsiTheme="minorHAnsi" w:cstheme="minorBidi"/>
          <w:b w:val="0"/>
          <w:smallCaps w:val="0"/>
          <w:sz w:val="22"/>
        </w:rPr>
      </w:pPr>
      <w:hyperlink w:anchor="_Toc29994508" w:history="1">
        <w:r w:rsidR="00136C7D" w:rsidRPr="00D85C65">
          <w:rPr>
            <w:rStyle w:val="Hyperlink"/>
            <w:rFonts w:ascii="Times New Roman" w:hAnsi="Times New Roman"/>
          </w:rPr>
          <w:t>3.9.</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Podrobné informácie</w:t>
        </w:r>
        <w:r w:rsidR="00D85C65">
          <w:rPr>
            <w:rStyle w:val="Hyperlink"/>
            <w:rFonts w:ascii="Times New Roman" w:hAnsi="Times New Roman"/>
          </w:rPr>
          <w:t xml:space="preserve"> o </w:t>
        </w:r>
        <w:r w:rsidR="00136C7D" w:rsidRPr="00D85C65">
          <w:rPr>
            <w:rStyle w:val="Hyperlink"/>
            <w:rFonts w:ascii="Times New Roman" w:hAnsi="Times New Roman"/>
          </w:rPr>
          <w:t>sekuritizáciách (SEC DETAILS)</w:t>
        </w:r>
        <w:r w:rsidR="00136C7D" w:rsidRPr="00D85C65">
          <w:rPr>
            <w:webHidden/>
          </w:rPr>
          <w:tab/>
        </w:r>
        <w:r w:rsidR="00136C7D" w:rsidRPr="00D85C65">
          <w:rPr>
            <w:webHidden/>
          </w:rPr>
          <w:fldChar w:fldCharType="begin"/>
        </w:r>
        <w:r w:rsidR="00136C7D" w:rsidRPr="00D85C65">
          <w:rPr>
            <w:webHidden/>
          </w:rPr>
          <w:instrText xml:space="preserve"> PAGEREF _Toc29994508 \h </w:instrText>
        </w:r>
        <w:r w:rsidR="00136C7D" w:rsidRPr="00D85C65">
          <w:rPr>
            <w:webHidden/>
          </w:rPr>
        </w:r>
        <w:r w:rsidR="00136C7D" w:rsidRPr="00D85C65">
          <w:rPr>
            <w:webHidden/>
          </w:rPr>
          <w:fldChar w:fldCharType="separate"/>
        </w:r>
        <w:r w:rsidR="00E13EA5">
          <w:rPr>
            <w:webHidden/>
          </w:rPr>
          <w:t>130</w:t>
        </w:r>
        <w:r w:rsidR="00136C7D" w:rsidRPr="00D85C65">
          <w:rPr>
            <w:webHidden/>
          </w:rPr>
          <w:fldChar w:fldCharType="end"/>
        </w:r>
      </w:hyperlink>
    </w:p>
    <w:p w14:paraId="1DCFEDCD" w14:textId="2A1890DC" w:rsidR="00136C7D" w:rsidRPr="00D85C65" w:rsidRDefault="00530AC2">
      <w:pPr>
        <w:pStyle w:val="TOC2"/>
        <w:rPr>
          <w:rFonts w:asciiTheme="minorHAnsi" w:eastAsiaTheme="minorEastAsia" w:hAnsiTheme="minorHAnsi" w:cstheme="minorBidi"/>
          <w:b w:val="0"/>
          <w:smallCaps w:val="0"/>
          <w:sz w:val="22"/>
        </w:rPr>
      </w:pPr>
      <w:hyperlink w:anchor="_Toc29994509" w:history="1">
        <w:r w:rsidR="00136C7D" w:rsidRPr="00D85C65">
          <w:rPr>
            <w:rStyle w:val="Hyperlink"/>
            <w:rFonts w:ascii="Times New Roman" w:hAnsi="Times New Roman"/>
          </w:rPr>
          <w:t>3.9.1.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Rozsah vzoru SEC DETAILS</w:t>
        </w:r>
        <w:r w:rsidR="00136C7D" w:rsidRPr="00D85C65">
          <w:rPr>
            <w:webHidden/>
          </w:rPr>
          <w:tab/>
        </w:r>
        <w:r w:rsidR="00136C7D" w:rsidRPr="00D85C65">
          <w:rPr>
            <w:webHidden/>
          </w:rPr>
          <w:fldChar w:fldCharType="begin"/>
        </w:r>
        <w:r w:rsidR="00136C7D" w:rsidRPr="00D85C65">
          <w:rPr>
            <w:webHidden/>
          </w:rPr>
          <w:instrText xml:space="preserve"> PAGEREF _Toc29994509 \h </w:instrText>
        </w:r>
        <w:r w:rsidR="00136C7D" w:rsidRPr="00D85C65">
          <w:rPr>
            <w:webHidden/>
          </w:rPr>
        </w:r>
        <w:r w:rsidR="00136C7D" w:rsidRPr="00D85C65">
          <w:rPr>
            <w:webHidden/>
          </w:rPr>
          <w:fldChar w:fldCharType="separate"/>
        </w:r>
        <w:r w:rsidR="00E13EA5">
          <w:rPr>
            <w:webHidden/>
          </w:rPr>
          <w:t>130</w:t>
        </w:r>
        <w:r w:rsidR="00136C7D" w:rsidRPr="00D85C65">
          <w:rPr>
            <w:webHidden/>
          </w:rPr>
          <w:fldChar w:fldCharType="end"/>
        </w:r>
      </w:hyperlink>
    </w:p>
    <w:p w14:paraId="4CE295A8" w14:textId="1907BB8A" w:rsidR="00136C7D" w:rsidRPr="00D85C65" w:rsidRDefault="00530AC2">
      <w:pPr>
        <w:pStyle w:val="TOC2"/>
        <w:rPr>
          <w:rFonts w:asciiTheme="minorHAnsi" w:eastAsiaTheme="minorEastAsia" w:hAnsiTheme="minorHAnsi" w:cstheme="minorBidi"/>
          <w:b w:val="0"/>
          <w:smallCaps w:val="0"/>
          <w:sz w:val="22"/>
        </w:rPr>
      </w:pPr>
      <w:hyperlink w:anchor="_Toc29994510" w:history="1">
        <w:r w:rsidR="00136C7D" w:rsidRPr="00D85C65">
          <w:rPr>
            <w:rStyle w:val="Hyperlink"/>
            <w:rFonts w:ascii="Times New Roman" w:hAnsi="Times New Roman"/>
          </w:rPr>
          <w:t>3.9.2. Rozčlenenie vzoru SEC DETAILS</w:t>
        </w:r>
        <w:r w:rsidR="00136C7D" w:rsidRPr="00D85C65">
          <w:rPr>
            <w:webHidden/>
          </w:rPr>
          <w:tab/>
        </w:r>
        <w:r w:rsidR="00136C7D" w:rsidRPr="00D85C65">
          <w:rPr>
            <w:webHidden/>
          </w:rPr>
          <w:fldChar w:fldCharType="begin"/>
        </w:r>
        <w:r w:rsidR="00136C7D" w:rsidRPr="00D85C65">
          <w:rPr>
            <w:webHidden/>
          </w:rPr>
          <w:instrText xml:space="preserve"> PAGEREF _Toc29994510 \h </w:instrText>
        </w:r>
        <w:r w:rsidR="00136C7D" w:rsidRPr="00D85C65">
          <w:rPr>
            <w:webHidden/>
          </w:rPr>
        </w:r>
        <w:r w:rsidR="00136C7D" w:rsidRPr="00D85C65">
          <w:rPr>
            <w:webHidden/>
          </w:rPr>
          <w:fldChar w:fldCharType="separate"/>
        </w:r>
        <w:r w:rsidR="00E13EA5">
          <w:rPr>
            <w:webHidden/>
          </w:rPr>
          <w:t>131</w:t>
        </w:r>
        <w:r w:rsidR="00136C7D" w:rsidRPr="00D85C65">
          <w:rPr>
            <w:webHidden/>
          </w:rPr>
          <w:fldChar w:fldCharType="end"/>
        </w:r>
      </w:hyperlink>
    </w:p>
    <w:p w14:paraId="2B94331C" w14:textId="123A0223" w:rsidR="00136C7D" w:rsidRPr="00D85C65" w:rsidRDefault="00530AC2">
      <w:pPr>
        <w:pStyle w:val="TOC2"/>
        <w:rPr>
          <w:rFonts w:asciiTheme="minorHAnsi" w:eastAsiaTheme="minorEastAsia" w:hAnsiTheme="minorHAnsi" w:cstheme="minorBidi"/>
          <w:b w:val="0"/>
          <w:smallCaps w:val="0"/>
          <w:sz w:val="22"/>
        </w:rPr>
      </w:pPr>
      <w:hyperlink w:anchor="_Toc29994511" w:history="1">
        <w:r w:rsidR="00136C7D" w:rsidRPr="00D85C65">
          <w:rPr>
            <w:rStyle w:val="Hyperlink"/>
            <w:rFonts w:ascii="Times New Roman" w:hAnsi="Times New Roman"/>
          </w:rPr>
          <w:t>3.9.3. C 14.00 – Podrobné informácie</w:t>
        </w:r>
        <w:r w:rsidR="00D85C65">
          <w:rPr>
            <w:rStyle w:val="Hyperlink"/>
            <w:rFonts w:ascii="Times New Roman" w:hAnsi="Times New Roman"/>
          </w:rPr>
          <w:t xml:space="preserve"> o </w:t>
        </w:r>
        <w:r w:rsidR="00136C7D" w:rsidRPr="00D85C65">
          <w:rPr>
            <w:rStyle w:val="Hyperlink"/>
            <w:rFonts w:ascii="Times New Roman" w:hAnsi="Times New Roman"/>
          </w:rPr>
          <w:t>sekuritizáciách (SEC DETAILS)</w:t>
        </w:r>
        <w:r w:rsidR="00136C7D" w:rsidRPr="00D85C65">
          <w:rPr>
            <w:webHidden/>
          </w:rPr>
          <w:tab/>
        </w:r>
        <w:r w:rsidR="00136C7D" w:rsidRPr="00D85C65">
          <w:rPr>
            <w:webHidden/>
          </w:rPr>
          <w:fldChar w:fldCharType="begin"/>
        </w:r>
        <w:r w:rsidR="00136C7D" w:rsidRPr="00D85C65">
          <w:rPr>
            <w:webHidden/>
          </w:rPr>
          <w:instrText xml:space="preserve"> PAGEREF _Toc29994511 \h </w:instrText>
        </w:r>
        <w:r w:rsidR="00136C7D" w:rsidRPr="00D85C65">
          <w:rPr>
            <w:webHidden/>
          </w:rPr>
        </w:r>
        <w:r w:rsidR="00136C7D" w:rsidRPr="00D85C65">
          <w:rPr>
            <w:webHidden/>
          </w:rPr>
          <w:fldChar w:fldCharType="separate"/>
        </w:r>
        <w:r w:rsidR="00E13EA5">
          <w:rPr>
            <w:webHidden/>
          </w:rPr>
          <w:t>131</w:t>
        </w:r>
        <w:r w:rsidR="00136C7D" w:rsidRPr="00D85C65">
          <w:rPr>
            <w:webHidden/>
          </w:rPr>
          <w:fldChar w:fldCharType="end"/>
        </w:r>
      </w:hyperlink>
    </w:p>
    <w:p w14:paraId="6F799448" w14:textId="3F223921" w:rsidR="00136C7D" w:rsidRPr="00D85C65" w:rsidRDefault="00530AC2">
      <w:pPr>
        <w:pStyle w:val="TOC2"/>
        <w:rPr>
          <w:rFonts w:asciiTheme="minorHAnsi" w:eastAsiaTheme="minorEastAsia" w:hAnsiTheme="minorHAnsi" w:cstheme="minorBidi"/>
          <w:b w:val="0"/>
          <w:smallCaps w:val="0"/>
          <w:sz w:val="22"/>
        </w:rPr>
      </w:pPr>
      <w:hyperlink w:anchor="_Toc29994512" w:history="1">
        <w:r w:rsidR="00136C7D" w:rsidRPr="00D85C65">
          <w:rPr>
            <w:rStyle w:val="Hyperlink"/>
            <w:rFonts w:ascii="Times New Roman" w:hAnsi="Times New Roman"/>
          </w:rPr>
          <w:t>3.9.4.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14.01 – Podrobné informácie</w:t>
        </w:r>
        <w:r w:rsidR="00D85C65">
          <w:rPr>
            <w:rStyle w:val="Hyperlink"/>
            <w:rFonts w:ascii="Times New Roman" w:hAnsi="Times New Roman"/>
          </w:rPr>
          <w:t xml:space="preserve"> o </w:t>
        </w:r>
        <w:r w:rsidR="00136C7D" w:rsidRPr="00D85C65">
          <w:rPr>
            <w:rStyle w:val="Hyperlink"/>
            <w:rFonts w:ascii="Times New Roman" w:hAnsi="Times New Roman"/>
          </w:rPr>
          <w:t>sekuritizáciách (SEC DETAILS 2)</w:t>
        </w:r>
        <w:r w:rsidR="00136C7D" w:rsidRPr="00D85C65">
          <w:rPr>
            <w:webHidden/>
          </w:rPr>
          <w:tab/>
        </w:r>
        <w:r w:rsidR="00136C7D" w:rsidRPr="00D85C65">
          <w:rPr>
            <w:webHidden/>
          </w:rPr>
          <w:fldChar w:fldCharType="begin"/>
        </w:r>
        <w:r w:rsidR="00136C7D" w:rsidRPr="00D85C65">
          <w:rPr>
            <w:webHidden/>
          </w:rPr>
          <w:instrText xml:space="preserve"> PAGEREF _Toc29994512 \h </w:instrText>
        </w:r>
        <w:r w:rsidR="00136C7D" w:rsidRPr="00D85C65">
          <w:rPr>
            <w:webHidden/>
          </w:rPr>
        </w:r>
        <w:r w:rsidR="00136C7D" w:rsidRPr="00D85C65">
          <w:rPr>
            <w:webHidden/>
          </w:rPr>
          <w:fldChar w:fldCharType="separate"/>
        </w:r>
        <w:r w:rsidR="00E13EA5">
          <w:rPr>
            <w:webHidden/>
          </w:rPr>
          <w:t>144</w:t>
        </w:r>
        <w:r w:rsidR="00136C7D" w:rsidRPr="00D85C65">
          <w:rPr>
            <w:webHidden/>
          </w:rPr>
          <w:fldChar w:fldCharType="end"/>
        </w:r>
      </w:hyperlink>
    </w:p>
    <w:p w14:paraId="263A8991" w14:textId="46CA9A31" w:rsidR="00136C7D" w:rsidRPr="00D85C65" w:rsidRDefault="00530AC2">
      <w:pPr>
        <w:pStyle w:val="TOC2"/>
        <w:rPr>
          <w:rFonts w:asciiTheme="minorHAnsi" w:eastAsiaTheme="minorEastAsia" w:hAnsiTheme="minorHAnsi" w:cstheme="minorBidi"/>
          <w:b w:val="0"/>
          <w:smallCaps w:val="0"/>
          <w:sz w:val="22"/>
        </w:rPr>
      </w:pPr>
      <w:hyperlink w:anchor="_Toc29994513" w:history="1">
        <w:r w:rsidR="00136C7D" w:rsidRPr="00D85C65">
          <w:rPr>
            <w:rStyle w:val="Hyperlink"/>
            <w:rFonts w:ascii="Times New Roman" w:hAnsi="Times New Roman"/>
          </w:rPr>
          <w:t>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Vzory pre operačné riziko</w:t>
        </w:r>
        <w:r w:rsidR="00136C7D" w:rsidRPr="00D85C65">
          <w:rPr>
            <w:webHidden/>
          </w:rPr>
          <w:tab/>
        </w:r>
        <w:r w:rsidR="00136C7D" w:rsidRPr="00D85C65">
          <w:rPr>
            <w:webHidden/>
          </w:rPr>
          <w:fldChar w:fldCharType="begin"/>
        </w:r>
        <w:r w:rsidR="00136C7D" w:rsidRPr="00D85C65">
          <w:rPr>
            <w:webHidden/>
          </w:rPr>
          <w:instrText xml:space="preserve"> PAGEREF _Toc29994513 \h </w:instrText>
        </w:r>
        <w:r w:rsidR="00136C7D" w:rsidRPr="00D85C65">
          <w:rPr>
            <w:webHidden/>
          </w:rPr>
        </w:r>
        <w:r w:rsidR="00136C7D" w:rsidRPr="00D85C65">
          <w:rPr>
            <w:webHidden/>
          </w:rPr>
          <w:fldChar w:fldCharType="separate"/>
        </w:r>
        <w:r w:rsidR="00E13EA5">
          <w:rPr>
            <w:webHidden/>
          </w:rPr>
          <w:t>147</w:t>
        </w:r>
        <w:r w:rsidR="00136C7D" w:rsidRPr="00D85C65">
          <w:rPr>
            <w:webHidden/>
          </w:rPr>
          <w:fldChar w:fldCharType="end"/>
        </w:r>
      </w:hyperlink>
    </w:p>
    <w:p w14:paraId="2EBC3972" w14:textId="702CA5E5" w:rsidR="00136C7D" w:rsidRPr="00D85C65" w:rsidRDefault="00530AC2">
      <w:pPr>
        <w:pStyle w:val="TOC2"/>
        <w:rPr>
          <w:rFonts w:asciiTheme="minorHAnsi" w:eastAsiaTheme="minorEastAsia" w:hAnsiTheme="minorHAnsi" w:cstheme="minorBidi"/>
          <w:b w:val="0"/>
          <w:smallCaps w:val="0"/>
          <w:sz w:val="22"/>
        </w:rPr>
      </w:pPr>
      <w:hyperlink w:anchor="_Toc29994514" w:history="1">
        <w:r w:rsidR="00136C7D" w:rsidRPr="00D85C65">
          <w:rPr>
            <w:rStyle w:val="Hyperlink"/>
            <w:rFonts w:ascii="Times New Roman" w:hAnsi="Times New Roman"/>
          </w:rPr>
          <w:t>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 xml:space="preserve"> C 16.00 – Operačné riziko (OPR)</w:t>
        </w:r>
        <w:r w:rsidR="00136C7D" w:rsidRPr="00D85C65">
          <w:rPr>
            <w:webHidden/>
          </w:rPr>
          <w:tab/>
        </w:r>
        <w:r w:rsidR="00136C7D" w:rsidRPr="00D85C65">
          <w:rPr>
            <w:webHidden/>
          </w:rPr>
          <w:fldChar w:fldCharType="begin"/>
        </w:r>
        <w:r w:rsidR="00136C7D" w:rsidRPr="00D85C65">
          <w:rPr>
            <w:webHidden/>
          </w:rPr>
          <w:instrText xml:space="preserve"> PAGEREF _Toc29994514 \h </w:instrText>
        </w:r>
        <w:r w:rsidR="00136C7D" w:rsidRPr="00D85C65">
          <w:rPr>
            <w:webHidden/>
          </w:rPr>
        </w:r>
        <w:r w:rsidR="00136C7D" w:rsidRPr="00D85C65">
          <w:rPr>
            <w:webHidden/>
          </w:rPr>
          <w:fldChar w:fldCharType="separate"/>
        </w:r>
        <w:r w:rsidR="00E13EA5">
          <w:rPr>
            <w:webHidden/>
          </w:rPr>
          <w:t>147</w:t>
        </w:r>
        <w:r w:rsidR="00136C7D" w:rsidRPr="00D85C65">
          <w:rPr>
            <w:webHidden/>
          </w:rPr>
          <w:fldChar w:fldCharType="end"/>
        </w:r>
      </w:hyperlink>
    </w:p>
    <w:p w14:paraId="05F4A5FB" w14:textId="046F189E" w:rsidR="00136C7D" w:rsidRPr="00D85C65" w:rsidRDefault="00530AC2">
      <w:pPr>
        <w:pStyle w:val="TOC2"/>
        <w:rPr>
          <w:rFonts w:asciiTheme="minorHAnsi" w:eastAsiaTheme="minorEastAsia" w:hAnsiTheme="minorHAnsi" w:cstheme="minorBidi"/>
          <w:b w:val="0"/>
          <w:smallCaps w:val="0"/>
          <w:sz w:val="22"/>
        </w:rPr>
      </w:pPr>
      <w:hyperlink w:anchor="_Toc29994515" w:history="1">
        <w:r w:rsidR="00136C7D" w:rsidRPr="00D85C65">
          <w:rPr>
            <w:rStyle w:val="Hyperlink"/>
            <w:rFonts w:ascii="Times New Roman" w:hAnsi="Times New Roman"/>
          </w:rPr>
          <w:t>4.1.1.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_Toc29994515 \h </w:instrText>
        </w:r>
        <w:r w:rsidR="00136C7D" w:rsidRPr="00D85C65">
          <w:rPr>
            <w:webHidden/>
          </w:rPr>
        </w:r>
        <w:r w:rsidR="00136C7D" w:rsidRPr="00D85C65">
          <w:rPr>
            <w:webHidden/>
          </w:rPr>
          <w:fldChar w:fldCharType="separate"/>
        </w:r>
        <w:r w:rsidR="00E13EA5">
          <w:rPr>
            <w:webHidden/>
          </w:rPr>
          <w:t>147</w:t>
        </w:r>
        <w:r w:rsidR="00136C7D" w:rsidRPr="00D85C65">
          <w:rPr>
            <w:webHidden/>
          </w:rPr>
          <w:fldChar w:fldCharType="end"/>
        </w:r>
      </w:hyperlink>
    </w:p>
    <w:p w14:paraId="15904050" w14:textId="604BB25D" w:rsidR="00136C7D" w:rsidRPr="00D85C65" w:rsidRDefault="00530AC2">
      <w:pPr>
        <w:pStyle w:val="TOC2"/>
        <w:rPr>
          <w:rFonts w:asciiTheme="minorHAnsi" w:eastAsiaTheme="minorEastAsia" w:hAnsiTheme="minorHAnsi" w:cstheme="minorBidi"/>
          <w:b w:val="0"/>
          <w:smallCaps w:val="0"/>
          <w:sz w:val="22"/>
        </w:rPr>
      </w:pPr>
      <w:hyperlink w:anchor="_Toc29994516" w:history="1">
        <w:r w:rsidR="00136C7D" w:rsidRPr="00D85C65">
          <w:rPr>
            <w:rStyle w:val="Hyperlink"/>
            <w:rFonts w:ascii="Times New Roman" w:hAnsi="Times New Roman"/>
          </w:rPr>
          <w:t>4.1.2.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_Toc29994516 \h </w:instrText>
        </w:r>
        <w:r w:rsidR="00136C7D" w:rsidRPr="00D85C65">
          <w:rPr>
            <w:webHidden/>
          </w:rPr>
        </w:r>
        <w:r w:rsidR="00136C7D" w:rsidRPr="00D85C65">
          <w:rPr>
            <w:webHidden/>
          </w:rPr>
          <w:fldChar w:fldCharType="separate"/>
        </w:r>
        <w:r w:rsidR="00E13EA5">
          <w:rPr>
            <w:webHidden/>
          </w:rPr>
          <w:t>148</w:t>
        </w:r>
        <w:r w:rsidR="00136C7D" w:rsidRPr="00D85C65">
          <w:rPr>
            <w:webHidden/>
          </w:rPr>
          <w:fldChar w:fldCharType="end"/>
        </w:r>
      </w:hyperlink>
    </w:p>
    <w:p w14:paraId="5A000465" w14:textId="28DBC485" w:rsidR="00136C7D" w:rsidRPr="00D85C65" w:rsidRDefault="00530AC2">
      <w:pPr>
        <w:pStyle w:val="TOC2"/>
        <w:rPr>
          <w:rFonts w:asciiTheme="minorHAnsi" w:eastAsiaTheme="minorEastAsia" w:hAnsiTheme="minorHAnsi" w:cstheme="minorBidi"/>
          <w:b w:val="0"/>
          <w:smallCaps w:val="0"/>
          <w:sz w:val="22"/>
        </w:rPr>
      </w:pPr>
      <w:hyperlink w:anchor="_Toc29994517" w:history="1">
        <w:r w:rsidR="00136C7D" w:rsidRPr="00D85C65">
          <w:rPr>
            <w:rStyle w:val="Hyperlink"/>
            <w:rFonts w:ascii="Times New Roman" w:hAnsi="Times New Roman"/>
          </w:rPr>
          <w:t>4.2.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Operačné riziko: Podrobné informácie</w:t>
        </w:r>
        <w:r w:rsidR="00D85C65">
          <w:rPr>
            <w:rStyle w:val="Hyperlink"/>
            <w:rFonts w:ascii="Times New Roman" w:hAnsi="Times New Roman"/>
          </w:rPr>
          <w:t xml:space="preserve"> o </w:t>
        </w:r>
        <w:r w:rsidR="00136C7D" w:rsidRPr="00D85C65">
          <w:rPr>
            <w:rStyle w:val="Hyperlink"/>
            <w:rFonts w:ascii="Times New Roman" w:hAnsi="Times New Roman"/>
          </w:rPr>
          <w:t>stratách</w:t>
        </w:r>
        <w:r w:rsidR="00D85C65">
          <w:rPr>
            <w:rStyle w:val="Hyperlink"/>
            <w:rFonts w:ascii="Times New Roman" w:hAnsi="Times New Roman"/>
          </w:rPr>
          <w:t xml:space="preserve"> v </w:t>
        </w:r>
        <w:r w:rsidR="00136C7D" w:rsidRPr="00D85C65">
          <w:rPr>
            <w:rStyle w:val="Hyperlink"/>
            <w:rFonts w:ascii="Times New Roman" w:hAnsi="Times New Roman"/>
          </w:rPr>
          <w:t>poslednom roku (OPR DETAILS)</w:t>
        </w:r>
        <w:r w:rsidR="00136C7D" w:rsidRPr="00D85C65">
          <w:rPr>
            <w:webHidden/>
          </w:rPr>
          <w:tab/>
        </w:r>
        <w:r w:rsidR="00136C7D" w:rsidRPr="00D85C65">
          <w:rPr>
            <w:webHidden/>
          </w:rPr>
          <w:fldChar w:fldCharType="begin"/>
        </w:r>
        <w:r w:rsidR="00136C7D" w:rsidRPr="00D85C65">
          <w:rPr>
            <w:webHidden/>
          </w:rPr>
          <w:instrText xml:space="preserve"> PAGEREF _Toc29994517 \h </w:instrText>
        </w:r>
        <w:r w:rsidR="00136C7D" w:rsidRPr="00D85C65">
          <w:rPr>
            <w:webHidden/>
          </w:rPr>
        </w:r>
        <w:r w:rsidR="00136C7D" w:rsidRPr="00D85C65">
          <w:rPr>
            <w:webHidden/>
          </w:rPr>
          <w:fldChar w:fldCharType="separate"/>
        </w:r>
        <w:r w:rsidR="00E13EA5">
          <w:rPr>
            <w:webHidden/>
          </w:rPr>
          <w:t>151</w:t>
        </w:r>
        <w:r w:rsidR="00136C7D" w:rsidRPr="00D85C65">
          <w:rPr>
            <w:webHidden/>
          </w:rPr>
          <w:fldChar w:fldCharType="end"/>
        </w:r>
      </w:hyperlink>
    </w:p>
    <w:p w14:paraId="4DB56D88" w14:textId="60F39637" w:rsidR="00136C7D" w:rsidRPr="00D85C65" w:rsidRDefault="00530AC2">
      <w:pPr>
        <w:pStyle w:val="TOC2"/>
        <w:rPr>
          <w:rFonts w:asciiTheme="minorHAnsi" w:eastAsiaTheme="minorEastAsia" w:hAnsiTheme="minorHAnsi" w:cstheme="minorBidi"/>
          <w:b w:val="0"/>
          <w:smallCaps w:val="0"/>
          <w:sz w:val="22"/>
        </w:rPr>
      </w:pPr>
      <w:hyperlink w:anchor="_Toc29994518" w:history="1">
        <w:r w:rsidR="00136C7D" w:rsidRPr="00D85C65">
          <w:rPr>
            <w:rStyle w:val="Hyperlink"/>
            <w:rFonts w:ascii="Times New Roman" w:hAnsi="Times New Roman"/>
          </w:rPr>
          <w:t>4.2.1.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_Toc29994518 \h </w:instrText>
        </w:r>
        <w:r w:rsidR="00136C7D" w:rsidRPr="00D85C65">
          <w:rPr>
            <w:webHidden/>
          </w:rPr>
        </w:r>
        <w:r w:rsidR="00136C7D" w:rsidRPr="00D85C65">
          <w:rPr>
            <w:webHidden/>
          </w:rPr>
          <w:fldChar w:fldCharType="separate"/>
        </w:r>
        <w:r w:rsidR="00E13EA5">
          <w:rPr>
            <w:webHidden/>
          </w:rPr>
          <w:t>151</w:t>
        </w:r>
        <w:r w:rsidR="00136C7D" w:rsidRPr="00D85C65">
          <w:rPr>
            <w:webHidden/>
          </w:rPr>
          <w:fldChar w:fldCharType="end"/>
        </w:r>
      </w:hyperlink>
    </w:p>
    <w:p w14:paraId="4437E840" w14:textId="4BDAA17A" w:rsidR="00136C7D" w:rsidRPr="00D85C65" w:rsidRDefault="00530AC2">
      <w:pPr>
        <w:pStyle w:val="TOC2"/>
        <w:rPr>
          <w:rFonts w:asciiTheme="minorHAnsi" w:eastAsiaTheme="minorEastAsia" w:hAnsiTheme="minorHAnsi" w:cstheme="minorBidi"/>
          <w:b w:val="0"/>
          <w:smallCaps w:val="0"/>
          <w:sz w:val="22"/>
        </w:rPr>
      </w:pPr>
      <w:hyperlink w:anchor="_Toc29994519" w:history="1">
        <w:r w:rsidR="00136C7D" w:rsidRPr="00D85C65">
          <w:rPr>
            <w:rStyle w:val="Hyperlink"/>
            <w:rFonts w:ascii="Times New Roman" w:hAnsi="Times New Roman"/>
          </w:rPr>
          <w:t>4.2.2.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17.01: Straty</w:t>
        </w:r>
        <w:r w:rsidR="00D85C65">
          <w:rPr>
            <w:rStyle w:val="Hyperlink"/>
            <w:rFonts w:ascii="Times New Roman" w:hAnsi="Times New Roman"/>
          </w:rPr>
          <w:t xml:space="preserve"> a </w:t>
        </w:r>
        <w:r w:rsidR="00136C7D" w:rsidRPr="00D85C65">
          <w:rPr>
            <w:rStyle w:val="Hyperlink"/>
            <w:rFonts w:ascii="Times New Roman" w:hAnsi="Times New Roman"/>
          </w:rPr>
          <w:t>náhrady</w:t>
        </w:r>
        <w:r w:rsidR="00D85C65">
          <w:rPr>
            <w:rStyle w:val="Hyperlink"/>
            <w:rFonts w:ascii="Times New Roman" w:hAnsi="Times New Roman"/>
          </w:rPr>
          <w:t xml:space="preserve"> z </w:t>
        </w:r>
        <w:r w:rsidR="00136C7D" w:rsidRPr="00D85C65">
          <w:rPr>
            <w:rStyle w:val="Hyperlink"/>
            <w:rFonts w:ascii="Times New Roman" w:hAnsi="Times New Roman"/>
          </w:rPr>
          <w:t>operačného rizika podľa obchodných línií</w:t>
        </w:r>
        <w:r w:rsidR="00D85C65">
          <w:rPr>
            <w:rStyle w:val="Hyperlink"/>
            <w:rFonts w:ascii="Times New Roman" w:hAnsi="Times New Roman"/>
          </w:rPr>
          <w:t xml:space="preserve"> a </w:t>
        </w:r>
        <w:r w:rsidR="00136C7D" w:rsidRPr="00D85C65">
          <w:rPr>
            <w:rStyle w:val="Hyperlink"/>
            <w:rFonts w:ascii="Times New Roman" w:hAnsi="Times New Roman"/>
          </w:rPr>
          <w:t>druhov stratových udalostí</w:t>
        </w:r>
        <w:r w:rsidR="00D85C65">
          <w:rPr>
            <w:rStyle w:val="Hyperlink"/>
            <w:rFonts w:ascii="Times New Roman" w:hAnsi="Times New Roman"/>
          </w:rPr>
          <w:t xml:space="preserve"> v </w:t>
        </w:r>
        <w:r w:rsidR="00136C7D" w:rsidRPr="00D85C65">
          <w:rPr>
            <w:rStyle w:val="Hyperlink"/>
            <w:rFonts w:ascii="Times New Roman" w:hAnsi="Times New Roman"/>
          </w:rPr>
          <w:t>poslednom roku (OPR DETAILS 1)</w:t>
        </w:r>
        <w:r w:rsidR="00136C7D" w:rsidRPr="00D85C65">
          <w:rPr>
            <w:webHidden/>
          </w:rPr>
          <w:tab/>
        </w:r>
        <w:r w:rsidR="00136C7D" w:rsidRPr="00D85C65">
          <w:rPr>
            <w:webHidden/>
          </w:rPr>
          <w:fldChar w:fldCharType="begin"/>
        </w:r>
        <w:r w:rsidR="00136C7D" w:rsidRPr="00D85C65">
          <w:rPr>
            <w:webHidden/>
          </w:rPr>
          <w:instrText xml:space="preserve"> PAGEREF _Toc29994519 \h </w:instrText>
        </w:r>
        <w:r w:rsidR="00136C7D" w:rsidRPr="00D85C65">
          <w:rPr>
            <w:webHidden/>
          </w:rPr>
        </w:r>
        <w:r w:rsidR="00136C7D" w:rsidRPr="00D85C65">
          <w:rPr>
            <w:webHidden/>
          </w:rPr>
          <w:fldChar w:fldCharType="separate"/>
        </w:r>
        <w:r w:rsidR="00E13EA5">
          <w:rPr>
            <w:webHidden/>
          </w:rPr>
          <w:t>153</w:t>
        </w:r>
        <w:r w:rsidR="00136C7D" w:rsidRPr="00D85C65">
          <w:rPr>
            <w:webHidden/>
          </w:rPr>
          <w:fldChar w:fldCharType="end"/>
        </w:r>
      </w:hyperlink>
    </w:p>
    <w:p w14:paraId="2FD5C408" w14:textId="2A092181" w:rsidR="00136C7D" w:rsidRPr="00D85C65" w:rsidRDefault="00530AC2">
      <w:pPr>
        <w:pStyle w:val="TOC2"/>
        <w:rPr>
          <w:rFonts w:asciiTheme="minorHAnsi" w:eastAsiaTheme="minorEastAsia" w:hAnsiTheme="minorHAnsi" w:cstheme="minorBidi"/>
          <w:b w:val="0"/>
          <w:smallCaps w:val="0"/>
          <w:sz w:val="22"/>
        </w:rPr>
      </w:pPr>
      <w:hyperlink w:anchor="_Toc29994520" w:history="1">
        <w:r w:rsidR="00136C7D" w:rsidRPr="00D85C65">
          <w:rPr>
            <w:rStyle w:val="Hyperlink"/>
            <w:rFonts w:ascii="Times New Roman" w:hAnsi="Times New Roman"/>
          </w:rPr>
          <w:t>4.2.2.1.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_Toc29994520 \h </w:instrText>
        </w:r>
        <w:r w:rsidR="00136C7D" w:rsidRPr="00D85C65">
          <w:rPr>
            <w:webHidden/>
          </w:rPr>
        </w:r>
        <w:r w:rsidR="00136C7D" w:rsidRPr="00D85C65">
          <w:rPr>
            <w:webHidden/>
          </w:rPr>
          <w:fldChar w:fldCharType="separate"/>
        </w:r>
        <w:r w:rsidR="00E13EA5">
          <w:rPr>
            <w:webHidden/>
          </w:rPr>
          <w:t>153</w:t>
        </w:r>
        <w:r w:rsidR="00136C7D" w:rsidRPr="00D85C65">
          <w:rPr>
            <w:webHidden/>
          </w:rPr>
          <w:fldChar w:fldCharType="end"/>
        </w:r>
      </w:hyperlink>
    </w:p>
    <w:p w14:paraId="36CE2626" w14:textId="05B35E57" w:rsidR="00136C7D" w:rsidRPr="00D85C65" w:rsidRDefault="00530AC2">
      <w:pPr>
        <w:pStyle w:val="TOC2"/>
        <w:rPr>
          <w:rFonts w:asciiTheme="minorHAnsi" w:eastAsiaTheme="minorEastAsia" w:hAnsiTheme="minorHAnsi" w:cstheme="minorBidi"/>
          <w:b w:val="0"/>
          <w:smallCaps w:val="0"/>
          <w:sz w:val="22"/>
        </w:rPr>
      </w:pPr>
      <w:hyperlink w:anchor="_Toc29994521" w:history="1">
        <w:r w:rsidR="00136C7D" w:rsidRPr="00D85C65">
          <w:rPr>
            <w:rStyle w:val="Hyperlink"/>
            <w:rFonts w:ascii="Times New Roman" w:hAnsi="Times New Roman"/>
          </w:rPr>
          <w:t>4.2.2.2.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_Toc29994521 \h </w:instrText>
        </w:r>
        <w:r w:rsidR="00136C7D" w:rsidRPr="00D85C65">
          <w:rPr>
            <w:webHidden/>
          </w:rPr>
        </w:r>
        <w:r w:rsidR="00136C7D" w:rsidRPr="00D85C65">
          <w:rPr>
            <w:webHidden/>
          </w:rPr>
          <w:fldChar w:fldCharType="separate"/>
        </w:r>
        <w:r w:rsidR="00E13EA5">
          <w:rPr>
            <w:webHidden/>
          </w:rPr>
          <w:t>153</w:t>
        </w:r>
        <w:r w:rsidR="00136C7D" w:rsidRPr="00D85C65">
          <w:rPr>
            <w:webHidden/>
          </w:rPr>
          <w:fldChar w:fldCharType="end"/>
        </w:r>
      </w:hyperlink>
    </w:p>
    <w:p w14:paraId="1D9A3EF9" w14:textId="3B97DE05" w:rsidR="00136C7D" w:rsidRPr="00D85C65" w:rsidRDefault="00530AC2">
      <w:pPr>
        <w:pStyle w:val="TOC2"/>
        <w:rPr>
          <w:rFonts w:asciiTheme="minorHAnsi" w:eastAsiaTheme="minorEastAsia" w:hAnsiTheme="minorHAnsi" w:cstheme="minorBidi"/>
          <w:b w:val="0"/>
          <w:smallCaps w:val="0"/>
          <w:sz w:val="22"/>
        </w:rPr>
      </w:pPr>
      <w:hyperlink w:anchor="_Toc29994522" w:history="1">
        <w:r w:rsidR="00136C7D" w:rsidRPr="00D85C65">
          <w:rPr>
            <w:rStyle w:val="Hyperlink"/>
            <w:rFonts w:ascii="Times New Roman" w:hAnsi="Times New Roman"/>
          </w:rPr>
          <w:t>4.2.3.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17.02: Operačné riziko: Podrobné informácie</w:t>
        </w:r>
        <w:r w:rsidR="00D85C65">
          <w:rPr>
            <w:rStyle w:val="Hyperlink"/>
            <w:rFonts w:ascii="Times New Roman" w:hAnsi="Times New Roman"/>
          </w:rPr>
          <w:t xml:space="preserve"> o </w:t>
        </w:r>
        <w:r w:rsidR="00136C7D" w:rsidRPr="00D85C65">
          <w:rPr>
            <w:rStyle w:val="Hyperlink"/>
            <w:rFonts w:ascii="Times New Roman" w:hAnsi="Times New Roman"/>
          </w:rPr>
          <w:t>najväčších stratových udalostiach</w:t>
        </w:r>
        <w:r w:rsidR="00D85C65">
          <w:rPr>
            <w:rStyle w:val="Hyperlink"/>
            <w:rFonts w:ascii="Times New Roman" w:hAnsi="Times New Roman"/>
          </w:rPr>
          <w:t xml:space="preserve"> v </w:t>
        </w:r>
        <w:r w:rsidR="00136C7D" w:rsidRPr="00D85C65">
          <w:rPr>
            <w:rStyle w:val="Hyperlink"/>
            <w:rFonts w:ascii="Times New Roman" w:hAnsi="Times New Roman"/>
          </w:rPr>
          <w:t>poslednom roku (OPR DETAILS 2)</w:t>
        </w:r>
        <w:r w:rsidR="00136C7D" w:rsidRPr="00D85C65">
          <w:rPr>
            <w:webHidden/>
          </w:rPr>
          <w:tab/>
        </w:r>
        <w:r w:rsidR="00136C7D" w:rsidRPr="00D85C65">
          <w:rPr>
            <w:webHidden/>
          </w:rPr>
          <w:fldChar w:fldCharType="begin"/>
        </w:r>
        <w:r w:rsidR="00136C7D" w:rsidRPr="00D85C65">
          <w:rPr>
            <w:webHidden/>
          </w:rPr>
          <w:instrText xml:space="preserve"> PAGEREF _Toc29994522 \h </w:instrText>
        </w:r>
        <w:r w:rsidR="00136C7D" w:rsidRPr="00D85C65">
          <w:rPr>
            <w:webHidden/>
          </w:rPr>
        </w:r>
        <w:r w:rsidR="00136C7D" w:rsidRPr="00D85C65">
          <w:rPr>
            <w:webHidden/>
          </w:rPr>
          <w:fldChar w:fldCharType="separate"/>
        </w:r>
        <w:r w:rsidR="00E13EA5">
          <w:rPr>
            <w:webHidden/>
          </w:rPr>
          <w:t>160</w:t>
        </w:r>
        <w:r w:rsidR="00136C7D" w:rsidRPr="00D85C65">
          <w:rPr>
            <w:webHidden/>
          </w:rPr>
          <w:fldChar w:fldCharType="end"/>
        </w:r>
      </w:hyperlink>
    </w:p>
    <w:p w14:paraId="416E8EA7" w14:textId="22D00A02" w:rsidR="00136C7D" w:rsidRPr="00D85C65" w:rsidRDefault="00530AC2">
      <w:pPr>
        <w:pStyle w:val="TOC2"/>
        <w:rPr>
          <w:rFonts w:asciiTheme="minorHAnsi" w:eastAsiaTheme="minorEastAsia" w:hAnsiTheme="minorHAnsi" w:cstheme="minorBidi"/>
          <w:b w:val="0"/>
          <w:smallCaps w:val="0"/>
          <w:sz w:val="22"/>
        </w:rPr>
      </w:pPr>
      <w:hyperlink w:anchor="_Toc29994523" w:history="1">
        <w:r w:rsidR="00136C7D" w:rsidRPr="00D85C65">
          <w:rPr>
            <w:rStyle w:val="Hyperlink"/>
            <w:rFonts w:ascii="Times New Roman" w:hAnsi="Times New Roman"/>
          </w:rPr>
          <w:t>4.2.3.1.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_Toc29994523 \h </w:instrText>
        </w:r>
        <w:r w:rsidR="00136C7D" w:rsidRPr="00D85C65">
          <w:rPr>
            <w:webHidden/>
          </w:rPr>
        </w:r>
        <w:r w:rsidR="00136C7D" w:rsidRPr="00D85C65">
          <w:rPr>
            <w:webHidden/>
          </w:rPr>
          <w:fldChar w:fldCharType="separate"/>
        </w:r>
        <w:r w:rsidR="00E13EA5">
          <w:rPr>
            <w:webHidden/>
          </w:rPr>
          <w:t>160</w:t>
        </w:r>
        <w:r w:rsidR="00136C7D" w:rsidRPr="00D85C65">
          <w:rPr>
            <w:webHidden/>
          </w:rPr>
          <w:fldChar w:fldCharType="end"/>
        </w:r>
      </w:hyperlink>
    </w:p>
    <w:p w14:paraId="49637F59" w14:textId="3848E9D8" w:rsidR="00136C7D" w:rsidRPr="00D85C65" w:rsidRDefault="00530AC2">
      <w:pPr>
        <w:pStyle w:val="TOC2"/>
        <w:rPr>
          <w:rFonts w:asciiTheme="minorHAnsi" w:eastAsiaTheme="minorEastAsia" w:hAnsiTheme="minorHAnsi" w:cstheme="minorBidi"/>
          <w:b w:val="0"/>
          <w:smallCaps w:val="0"/>
          <w:sz w:val="22"/>
        </w:rPr>
      </w:pPr>
      <w:hyperlink w:anchor="_Toc29994524" w:history="1">
        <w:r w:rsidR="00136C7D" w:rsidRPr="00D85C65">
          <w:rPr>
            <w:rStyle w:val="Hyperlink"/>
            <w:rFonts w:ascii="Times New Roman" w:hAnsi="Times New Roman"/>
          </w:rPr>
          <w:t>4.2.3.2.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_Toc29994524 \h </w:instrText>
        </w:r>
        <w:r w:rsidR="00136C7D" w:rsidRPr="00D85C65">
          <w:rPr>
            <w:webHidden/>
          </w:rPr>
        </w:r>
        <w:r w:rsidR="00136C7D" w:rsidRPr="00D85C65">
          <w:rPr>
            <w:webHidden/>
          </w:rPr>
          <w:fldChar w:fldCharType="separate"/>
        </w:r>
        <w:r w:rsidR="00E13EA5">
          <w:rPr>
            <w:webHidden/>
          </w:rPr>
          <w:t>161</w:t>
        </w:r>
        <w:r w:rsidR="00136C7D" w:rsidRPr="00D85C65">
          <w:rPr>
            <w:webHidden/>
          </w:rPr>
          <w:fldChar w:fldCharType="end"/>
        </w:r>
      </w:hyperlink>
    </w:p>
    <w:p w14:paraId="09195BA4" w14:textId="627B7C7B" w:rsidR="00136C7D" w:rsidRPr="00D85C65" w:rsidRDefault="00530AC2">
      <w:pPr>
        <w:pStyle w:val="TOC2"/>
        <w:rPr>
          <w:rFonts w:asciiTheme="minorHAnsi" w:eastAsiaTheme="minorEastAsia" w:hAnsiTheme="minorHAnsi" w:cstheme="minorBidi"/>
          <w:b w:val="0"/>
          <w:smallCaps w:val="0"/>
          <w:sz w:val="22"/>
        </w:rPr>
      </w:pPr>
      <w:hyperlink w:anchor="_Toc29994525" w:history="1">
        <w:r w:rsidR="00136C7D" w:rsidRPr="00D85C65">
          <w:rPr>
            <w:rStyle w:val="Hyperlink"/>
            <w:rFonts w:ascii="Times New Roman" w:hAnsi="Times New Roman"/>
          </w:rPr>
          <w:t>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Vzory pre trhové riziko</w:t>
        </w:r>
        <w:r w:rsidR="00136C7D" w:rsidRPr="00D85C65">
          <w:rPr>
            <w:webHidden/>
          </w:rPr>
          <w:tab/>
        </w:r>
        <w:r w:rsidR="00136C7D" w:rsidRPr="00D85C65">
          <w:rPr>
            <w:webHidden/>
          </w:rPr>
          <w:fldChar w:fldCharType="begin"/>
        </w:r>
        <w:r w:rsidR="00136C7D" w:rsidRPr="00D85C65">
          <w:rPr>
            <w:webHidden/>
          </w:rPr>
          <w:instrText xml:space="preserve"> PAGEREF _Toc29994525 \h </w:instrText>
        </w:r>
        <w:r w:rsidR="00136C7D" w:rsidRPr="00D85C65">
          <w:rPr>
            <w:webHidden/>
          </w:rPr>
        </w:r>
        <w:r w:rsidR="00136C7D" w:rsidRPr="00D85C65">
          <w:rPr>
            <w:webHidden/>
          </w:rPr>
          <w:fldChar w:fldCharType="separate"/>
        </w:r>
        <w:r w:rsidR="00E13EA5">
          <w:rPr>
            <w:webHidden/>
          </w:rPr>
          <w:t>163</w:t>
        </w:r>
        <w:r w:rsidR="00136C7D" w:rsidRPr="00D85C65">
          <w:rPr>
            <w:webHidden/>
          </w:rPr>
          <w:fldChar w:fldCharType="end"/>
        </w:r>
      </w:hyperlink>
    </w:p>
    <w:p w14:paraId="2CDD620B" w14:textId="2075FAF1" w:rsidR="00136C7D" w:rsidRPr="00D85C65" w:rsidRDefault="00530AC2">
      <w:pPr>
        <w:pStyle w:val="TOC2"/>
        <w:rPr>
          <w:rFonts w:asciiTheme="minorHAnsi" w:eastAsiaTheme="minorEastAsia" w:hAnsiTheme="minorHAnsi" w:cstheme="minorBidi"/>
          <w:b w:val="0"/>
          <w:smallCaps w:val="0"/>
          <w:sz w:val="22"/>
        </w:rPr>
      </w:pPr>
      <w:hyperlink w:anchor="_Toc29994526" w:history="1">
        <w:r w:rsidR="00136C7D" w:rsidRPr="00D85C65">
          <w:rPr>
            <w:rStyle w:val="Hyperlink"/>
            <w:rFonts w:ascii="Times New Roman" w:hAnsi="Times New Roman"/>
          </w:rPr>
          <w:t>5.1.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18.00 – Trhové riziko: Štandardizovaný prístup pre pozičné riziká obchodovaných dlhových nástrojov (MKR SA TDI)</w:t>
        </w:r>
        <w:r w:rsidR="00136C7D" w:rsidRPr="00D85C65">
          <w:rPr>
            <w:webHidden/>
          </w:rPr>
          <w:tab/>
        </w:r>
        <w:r w:rsidR="00136C7D" w:rsidRPr="00D85C65">
          <w:rPr>
            <w:webHidden/>
          </w:rPr>
          <w:fldChar w:fldCharType="begin"/>
        </w:r>
        <w:r w:rsidR="00136C7D" w:rsidRPr="00D85C65">
          <w:rPr>
            <w:webHidden/>
          </w:rPr>
          <w:instrText xml:space="preserve"> PAGEREF _Toc29994526 \h </w:instrText>
        </w:r>
        <w:r w:rsidR="00136C7D" w:rsidRPr="00D85C65">
          <w:rPr>
            <w:webHidden/>
          </w:rPr>
        </w:r>
        <w:r w:rsidR="00136C7D" w:rsidRPr="00D85C65">
          <w:rPr>
            <w:webHidden/>
          </w:rPr>
          <w:fldChar w:fldCharType="separate"/>
        </w:r>
        <w:r w:rsidR="00E13EA5">
          <w:rPr>
            <w:webHidden/>
          </w:rPr>
          <w:t>163</w:t>
        </w:r>
        <w:r w:rsidR="00136C7D" w:rsidRPr="00D85C65">
          <w:rPr>
            <w:webHidden/>
          </w:rPr>
          <w:fldChar w:fldCharType="end"/>
        </w:r>
      </w:hyperlink>
    </w:p>
    <w:p w14:paraId="44071411" w14:textId="2E57B98B" w:rsidR="00136C7D" w:rsidRPr="00D85C65" w:rsidRDefault="00530AC2">
      <w:pPr>
        <w:pStyle w:val="TOC2"/>
        <w:rPr>
          <w:rFonts w:asciiTheme="minorHAnsi" w:eastAsiaTheme="minorEastAsia" w:hAnsiTheme="minorHAnsi" w:cstheme="minorBidi"/>
          <w:b w:val="0"/>
          <w:smallCaps w:val="0"/>
          <w:sz w:val="22"/>
        </w:rPr>
      </w:pPr>
      <w:hyperlink w:anchor="_Toc29994527" w:history="1">
        <w:r w:rsidR="00136C7D" w:rsidRPr="00D85C65">
          <w:rPr>
            <w:rStyle w:val="Hyperlink"/>
            <w:rFonts w:ascii="Times New Roman" w:hAnsi="Times New Roman"/>
          </w:rPr>
          <w:t>5.1.1.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_Toc29994527 \h </w:instrText>
        </w:r>
        <w:r w:rsidR="00136C7D" w:rsidRPr="00D85C65">
          <w:rPr>
            <w:webHidden/>
          </w:rPr>
        </w:r>
        <w:r w:rsidR="00136C7D" w:rsidRPr="00D85C65">
          <w:rPr>
            <w:webHidden/>
          </w:rPr>
          <w:fldChar w:fldCharType="separate"/>
        </w:r>
        <w:r w:rsidR="00E13EA5">
          <w:rPr>
            <w:webHidden/>
          </w:rPr>
          <w:t>163</w:t>
        </w:r>
        <w:r w:rsidR="00136C7D" w:rsidRPr="00D85C65">
          <w:rPr>
            <w:webHidden/>
          </w:rPr>
          <w:fldChar w:fldCharType="end"/>
        </w:r>
      </w:hyperlink>
    </w:p>
    <w:p w14:paraId="5E99A25F" w14:textId="71E07258" w:rsidR="00136C7D" w:rsidRPr="00D85C65" w:rsidRDefault="00530AC2">
      <w:pPr>
        <w:pStyle w:val="TOC2"/>
        <w:rPr>
          <w:rFonts w:asciiTheme="minorHAnsi" w:eastAsiaTheme="minorEastAsia" w:hAnsiTheme="minorHAnsi" w:cstheme="minorBidi"/>
          <w:b w:val="0"/>
          <w:smallCaps w:val="0"/>
          <w:sz w:val="22"/>
        </w:rPr>
      </w:pPr>
      <w:hyperlink w:anchor="_Toc29994528" w:history="1">
        <w:r w:rsidR="00136C7D" w:rsidRPr="00D85C65">
          <w:rPr>
            <w:rStyle w:val="Hyperlink"/>
            <w:rFonts w:ascii="Times New Roman" w:hAnsi="Times New Roman"/>
          </w:rPr>
          <w:t>5.1.2.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_Toc29994528 \h </w:instrText>
        </w:r>
        <w:r w:rsidR="00136C7D" w:rsidRPr="00D85C65">
          <w:rPr>
            <w:webHidden/>
          </w:rPr>
        </w:r>
        <w:r w:rsidR="00136C7D" w:rsidRPr="00D85C65">
          <w:rPr>
            <w:webHidden/>
          </w:rPr>
          <w:fldChar w:fldCharType="separate"/>
        </w:r>
        <w:r w:rsidR="00E13EA5">
          <w:rPr>
            <w:webHidden/>
          </w:rPr>
          <w:t>163</w:t>
        </w:r>
        <w:r w:rsidR="00136C7D" w:rsidRPr="00D85C65">
          <w:rPr>
            <w:webHidden/>
          </w:rPr>
          <w:fldChar w:fldCharType="end"/>
        </w:r>
      </w:hyperlink>
    </w:p>
    <w:p w14:paraId="46F6FA51" w14:textId="24AE8BD7" w:rsidR="00136C7D" w:rsidRPr="00D85C65" w:rsidRDefault="00530AC2">
      <w:pPr>
        <w:pStyle w:val="TOC2"/>
        <w:rPr>
          <w:rFonts w:asciiTheme="minorHAnsi" w:eastAsiaTheme="minorEastAsia" w:hAnsiTheme="minorHAnsi" w:cstheme="minorBidi"/>
          <w:b w:val="0"/>
          <w:smallCaps w:val="0"/>
          <w:sz w:val="22"/>
        </w:rPr>
      </w:pPr>
      <w:hyperlink w:anchor="_Toc29994529" w:history="1">
        <w:r w:rsidR="00136C7D" w:rsidRPr="00D85C65">
          <w:rPr>
            <w:rStyle w:val="Hyperlink"/>
            <w:rFonts w:ascii="Times New Roman" w:hAnsi="Times New Roman"/>
          </w:rPr>
          <w:t>5.2.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19.00 – TRHOVÉ RIZIKO: ŠTANDARDIZOVANÝ PRÍSTUP PRE ŠPECIFICKÉ RIZIKO</w:t>
        </w:r>
        <w:r w:rsidR="00D85C65">
          <w:rPr>
            <w:rStyle w:val="Hyperlink"/>
            <w:rFonts w:ascii="Times New Roman" w:hAnsi="Times New Roman"/>
          </w:rPr>
          <w:t xml:space="preserve"> V </w:t>
        </w:r>
        <w:r w:rsidR="00136C7D" w:rsidRPr="00D85C65">
          <w:rPr>
            <w:rStyle w:val="Hyperlink"/>
            <w:rFonts w:ascii="Times New Roman" w:hAnsi="Times New Roman"/>
          </w:rPr>
          <w:t>SEKURITIZÁCIÁCH (VZOR MKR SA SEC)</w:t>
        </w:r>
        <w:r w:rsidR="00136C7D" w:rsidRPr="00D85C65">
          <w:rPr>
            <w:webHidden/>
          </w:rPr>
          <w:tab/>
        </w:r>
        <w:r w:rsidR="00136C7D" w:rsidRPr="00D85C65">
          <w:rPr>
            <w:webHidden/>
          </w:rPr>
          <w:fldChar w:fldCharType="begin"/>
        </w:r>
        <w:r w:rsidR="00136C7D" w:rsidRPr="00D85C65">
          <w:rPr>
            <w:webHidden/>
          </w:rPr>
          <w:instrText xml:space="preserve"> PAGEREF _Toc29994529 \h </w:instrText>
        </w:r>
        <w:r w:rsidR="00136C7D" w:rsidRPr="00D85C65">
          <w:rPr>
            <w:webHidden/>
          </w:rPr>
        </w:r>
        <w:r w:rsidR="00136C7D" w:rsidRPr="00D85C65">
          <w:rPr>
            <w:webHidden/>
          </w:rPr>
          <w:fldChar w:fldCharType="separate"/>
        </w:r>
        <w:r w:rsidR="00E13EA5">
          <w:rPr>
            <w:webHidden/>
          </w:rPr>
          <w:t>166</w:t>
        </w:r>
        <w:r w:rsidR="00136C7D" w:rsidRPr="00D85C65">
          <w:rPr>
            <w:webHidden/>
          </w:rPr>
          <w:fldChar w:fldCharType="end"/>
        </w:r>
      </w:hyperlink>
    </w:p>
    <w:p w14:paraId="0BEDCD2C" w14:textId="52E5A981" w:rsidR="00136C7D" w:rsidRPr="00D85C65" w:rsidRDefault="00530AC2">
      <w:pPr>
        <w:pStyle w:val="TOC2"/>
        <w:rPr>
          <w:rFonts w:asciiTheme="minorHAnsi" w:eastAsiaTheme="minorEastAsia" w:hAnsiTheme="minorHAnsi" w:cstheme="minorBidi"/>
          <w:b w:val="0"/>
          <w:smallCaps w:val="0"/>
          <w:sz w:val="22"/>
        </w:rPr>
      </w:pPr>
      <w:hyperlink w:anchor="_Toc29994530" w:history="1">
        <w:r w:rsidR="00136C7D" w:rsidRPr="00D85C65">
          <w:rPr>
            <w:rStyle w:val="Hyperlink"/>
            <w:rFonts w:ascii="Times New Roman" w:hAnsi="Times New Roman"/>
          </w:rPr>
          <w:t>5.2.1.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_Toc29994530 \h </w:instrText>
        </w:r>
        <w:r w:rsidR="00136C7D" w:rsidRPr="00D85C65">
          <w:rPr>
            <w:webHidden/>
          </w:rPr>
        </w:r>
        <w:r w:rsidR="00136C7D" w:rsidRPr="00D85C65">
          <w:rPr>
            <w:webHidden/>
          </w:rPr>
          <w:fldChar w:fldCharType="separate"/>
        </w:r>
        <w:r w:rsidR="00E13EA5">
          <w:rPr>
            <w:webHidden/>
          </w:rPr>
          <w:t>166</w:t>
        </w:r>
        <w:r w:rsidR="00136C7D" w:rsidRPr="00D85C65">
          <w:rPr>
            <w:webHidden/>
          </w:rPr>
          <w:fldChar w:fldCharType="end"/>
        </w:r>
      </w:hyperlink>
    </w:p>
    <w:p w14:paraId="3CE4B8FF" w14:textId="530D9EAD" w:rsidR="00136C7D" w:rsidRPr="00D85C65" w:rsidRDefault="00530AC2">
      <w:pPr>
        <w:pStyle w:val="TOC2"/>
        <w:rPr>
          <w:rFonts w:asciiTheme="minorHAnsi" w:eastAsiaTheme="minorEastAsia" w:hAnsiTheme="minorHAnsi" w:cstheme="minorBidi"/>
          <w:b w:val="0"/>
          <w:smallCaps w:val="0"/>
          <w:sz w:val="22"/>
        </w:rPr>
      </w:pPr>
      <w:hyperlink w:anchor="_Toc29994531" w:history="1">
        <w:r w:rsidR="00136C7D" w:rsidRPr="00D85C65">
          <w:rPr>
            <w:rStyle w:val="Hyperlink"/>
            <w:rFonts w:ascii="Times New Roman" w:hAnsi="Times New Roman"/>
          </w:rPr>
          <w:t>5.2.2.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_Toc29994531 \h </w:instrText>
        </w:r>
        <w:r w:rsidR="00136C7D" w:rsidRPr="00D85C65">
          <w:rPr>
            <w:webHidden/>
          </w:rPr>
        </w:r>
        <w:r w:rsidR="00136C7D" w:rsidRPr="00D85C65">
          <w:rPr>
            <w:webHidden/>
          </w:rPr>
          <w:fldChar w:fldCharType="separate"/>
        </w:r>
        <w:r w:rsidR="00E13EA5">
          <w:rPr>
            <w:webHidden/>
          </w:rPr>
          <w:t>166</w:t>
        </w:r>
        <w:r w:rsidR="00136C7D" w:rsidRPr="00D85C65">
          <w:rPr>
            <w:webHidden/>
          </w:rPr>
          <w:fldChar w:fldCharType="end"/>
        </w:r>
      </w:hyperlink>
    </w:p>
    <w:p w14:paraId="2D99E854" w14:textId="3E192343" w:rsidR="00136C7D" w:rsidRPr="00D85C65" w:rsidRDefault="00530AC2">
      <w:pPr>
        <w:pStyle w:val="TOC2"/>
        <w:rPr>
          <w:rFonts w:asciiTheme="minorHAnsi" w:eastAsiaTheme="minorEastAsia" w:hAnsiTheme="minorHAnsi" w:cstheme="minorBidi"/>
          <w:b w:val="0"/>
          <w:smallCaps w:val="0"/>
          <w:sz w:val="22"/>
        </w:rPr>
      </w:pPr>
      <w:hyperlink w:anchor="_Toc29994532" w:history="1">
        <w:r w:rsidR="00136C7D" w:rsidRPr="00D85C65">
          <w:rPr>
            <w:rStyle w:val="Hyperlink"/>
            <w:rFonts w:ascii="Times New Roman" w:hAnsi="Times New Roman"/>
          </w:rPr>
          <w:t>5.3.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20.00 – TRHOVÉ RIZIKO: ŠTANDARDIZOVANÝ PRÍSTUP PRE ŠPECIFICKÉ RIZIKO PRE POZÍCIE ZARADENÉ DO KORELAČNÉHO OBCHODNÉHO PORTFÓLIA (MKR SA CTP)</w:t>
        </w:r>
        <w:r w:rsidR="00136C7D" w:rsidRPr="00D85C65">
          <w:rPr>
            <w:webHidden/>
          </w:rPr>
          <w:tab/>
        </w:r>
        <w:r w:rsidR="00136C7D" w:rsidRPr="00D85C65">
          <w:rPr>
            <w:webHidden/>
          </w:rPr>
          <w:fldChar w:fldCharType="begin"/>
        </w:r>
        <w:r w:rsidR="00136C7D" w:rsidRPr="00D85C65">
          <w:rPr>
            <w:webHidden/>
          </w:rPr>
          <w:instrText xml:space="preserve"> PAGEREF _Toc29994532 \h </w:instrText>
        </w:r>
        <w:r w:rsidR="00136C7D" w:rsidRPr="00D85C65">
          <w:rPr>
            <w:webHidden/>
          </w:rPr>
        </w:r>
        <w:r w:rsidR="00136C7D" w:rsidRPr="00D85C65">
          <w:rPr>
            <w:webHidden/>
          </w:rPr>
          <w:fldChar w:fldCharType="separate"/>
        </w:r>
        <w:r w:rsidR="00E13EA5">
          <w:rPr>
            <w:webHidden/>
          </w:rPr>
          <w:t>168</w:t>
        </w:r>
        <w:r w:rsidR="00136C7D" w:rsidRPr="00D85C65">
          <w:rPr>
            <w:webHidden/>
          </w:rPr>
          <w:fldChar w:fldCharType="end"/>
        </w:r>
      </w:hyperlink>
    </w:p>
    <w:p w14:paraId="0472A241" w14:textId="69E6B5E2" w:rsidR="00136C7D" w:rsidRPr="00D85C65" w:rsidRDefault="00530AC2">
      <w:pPr>
        <w:pStyle w:val="TOC2"/>
        <w:rPr>
          <w:rFonts w:asciiTheme="minorHAnsi" w:eastAsiaTheme="minorEastAsia" w:hAnsiTheme="minorHAnsi" w:cstheme="minorBidi"/>
          <w:b w:val="0"/>
          <w:smallCaps w:val="0"/>
          <w:sz w:val="22"/>
        </w:rPr>
      </w:pPr>
      <w:hyperlink w:anchor="_Toc29994533" w:history="1">
        <w:r w:rsidR="00136C7D" w:rsidRPr="00D85C65">
          <w:rPr>
            <w:rStyle w:val="Hyperlink"/>
            <w:rFonts w:ascii="Times New Roman" w:hAnsi="Times New Roman"/>
          </w:rPr>
          <w:t>5.3.1.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_Toc29994533 \h </w:instrText>
        </w:r>
        <w:r w:rsidR="00136C7D" w:rsidRPr="00D85C65">
          <w:rPr>
            <w:webHidden/>
          </w:rPr>
        </w:r>
        <w:r w:rsidR="00136C7D" w:rsidRPr="00D85C65">
          <w:rPr>
            <w:webHidden/>
          </w:rPr>
          <w:fldChar w:fldCharType="separate"/>
        </w:r>
        <w:r w:rsidR="00E13EA5">
          <w:rPr>
            <w:webHidden/>
          </w:rPr>
          <w:t>168</w:t>
        </w:r>
        <w:r w:rsidR="00136C7D" w:rsidRPr="00D85C65">
          <w:rPr>
            <w:webHidden/>
          </w:rPr>
          <w:fldChar w:fldCharType="end"/>
        </w:r>
      </w:hyperlink>
    </w:p>
    <w:p w14:paraId="3CC752E2" w14:textId="2DCF1D86" w:rsidR="00136C7D" w:rsidRPr="00D85C65" w:rsidRDefault="00530AC2">
      <w:pPr>
        <w:pStyle w:val="TOC2"/>
        <w:rPr>
          <w:rFonts w:asciiTheme="minorHAnsi" w:eastAsiaTheme="minorEastAsia" w:hAnsiTheme="minorHAnsi" w:cstheme="minorBidi"/>
          <w:b w:val="0"/>
          <w:smallCaps w:val="0"/>
          <w:sz w:val="22"/>
        </w:rPr>
      </w:pPr>
      <w:hyperlink w:anchor="_Toc29994534" w:history="1">
        <w:r w:rsidR="00136C7D" w:rsidRPr="00D85C65">
          <w:rPr>
            <w:rStyle w:val="Hyperlink"/>
            <w:rFonts w:ascii="Times New Roman" w:hAnsi="Times New Roman"/>
          </w:rPr>
          <w:t>5.3.2.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_Toc29994534 \h </w:instrText>
        </w:r>
        <w:r w:rsidR="00136C7D" w:rsidRPr="00D85C65">
          <w:rPr>
            <w:webHidden/>
          </w:rPr>
        </w:r>
        <w:r w:rsidR="00136C7D" w:rsidRPr="00D85C65">
          <w:rPr>
            <w:webHidden/>
          </w:rPr>
          <w:fldChar w:fldCharType="separate"/>
        </w:r>
        <w:r w:rsidR="00E13EA5">
          <w:rPr>
            <w:webHidden/>
          </w:rPr>
          <w:t>169</w:t>
        </w:r>
        <w:r w:rsidR="00136C7D" w:rsidRPr="00D85C65">
          <w:rPr>
            <w:webHidden/>
          </w:rPr>
          <w:fldChar w:fldCharType="end"/>
        </w:r>
      </w:hyperlink>
    </w:p>
    <w:p w14:paraId="45C37594" w14:textId="63196250" w:rsidR="00136C7D" w:rsidRPr="00D85C65" w:rsidRDefault="00530AC2">
      <w:pPr>
        <w:pStyle w:val="TOC2"/>
        <w:rPr>
          <w:rFonts w:asciiTheme="minorHAnsi" w:eastAsiaTheme="minorEastAsia" w:hAnsiTheme="minorHAnsi" w:cstheme="minorBidi"/>
          <w:b w:val="0"/>
          <w:smallCaps w:val="0"/>
          <w:sz w:val="22"/>
        </w:rPr>
      </w:pPr>
      <w:hyperlink w:anchor="_Toc29994535" w:history="1">
        <w:r w:rsidR="00136C7D" w:rsidRPr="00D85C65">
          <w:rPr>
            <w:rStyle w:val="Hyperlink"/>
            <w:rFonts w:ascii="Times New Roman" w:hAnsi="Times New Roman"/>
          </w:rPr>
          <w:t>5.4.</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21.00 – Trhové riziko: Štandardizovaný prístup pre pozičné riziko</w:t>
        </w:r>
        <w:r w:rsidR="00D85C65">
          <w:rPr>
            <w:rStyle w:val="Hyperlink"/>
            <w:rFonts w:ascii="Times New Roman" w:hAnsi="Times New Roman"/>
          </w:rPr>
          <w:t xml:space="preserve"> v </w:t>
        </w:r>
        <w:r w:rsidR="00136C7D" w:rsidRPr="00D85C65">
          <w:rPr>
            <w:rStyle w:val="Hyperlink"/>
            <w:rFonts w:ascii="Times New Roman" w:hAnsi="Times New Roman"/>
          </w:rPr>
          <w:t>kapitálových cenných papieroch (MKR SA EQU)</w:t>
        </w:r>
        <w:r w:rsidR="00136C7D" w:rsidRPr="00D85C65">
          <w:rPr>
            <w:webHidden/>
          </w:rPr>
          <w:tab/>
        </w:r>
        <w:r w:rsidR="00136C7D" w:rsidRPr="00D85C65">
          <w:rPr>
            <w:webHidden/>
          </w:rPr>
          <w:fldChar w:fldCharType="begin"/>
        </w:r>
        <w:r w:rsidR="00136C7D" w:rsidRPr="00D85C65">
          <w:rPr>
            <w:webHidden/>
          </w:rPr>
          <w:instrText xml:space="preserve"> PAGEREF _Toc29994535 \h </w:instrText>
        </w:r>
        <w:r w:rsidR="00136C7D" w:rsidRPr="00D85C65">
          <w:rPr>
            <w:webHidden/>
          </w:rPr>
        </w:r>
        <w:r w:rsidR="00136C7D" w:rsidRPr="00D85C65">
          <w:rPr>
            <w:webHidden/>
          </w:rPr>
          <w:fldChar w:fldCharType="separate"/>
        </w:r>
        <w:r w:rsidR="00E13EA5">
          <w:rPr>
            <w:webHidden/>
          </w:rPr>
          <w:t>171</w:t>
        </w:r>
        <w:r w:rsidR="00136C7D" w:rsidRPr="00D85C65">
          <w:rPr>
            <w:webHidden/>
          </w:rPr>
          <w:fldChar w:fldCharType="end"/>
        </w:r>
      </w:hyperlink>
    </w:p>
    <w:p w14:paraId="7682818F" w14:textId="3C55E83D" w:rsidR="00136C7D" w:rsidRPr="00D85C65" w:rsidRDefault="00530AC2">
      <w:pPr>
        <w:pStyle w:val="TOC2"/>
        <w:rPr>
          <w:rFonts w:asciiTheme="minorHAnsi" w:eastAsiaTheme="minorEastAsia" w:hAnsiTheme="minorHAnsi" w:cstheme="minorBidi"/>
          <w:b w:val="0"/>
          <w:smallCaps w:val="0"/>
          <w:sz w:val="22"/>
        </w:rPr>
      </w:pPr>
      <w:hyperlink w:anchor="_Toc29994536" w:history="1">
        <w:r w:rsidR="00136C7D" w:rsidRPr="00D85C65">
          <w:rPr>
            <w:rStyle w:val="Hyperlink"/>
            <w:rFonts w:ascii="Times New Roman" w:hAnsi="Times New Roman"/>
          </w:rPr>
          <w:t>5.4.1.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_Toc29994536 \h </w:instrText>
        </w:r>
        <w:r w:rsidR="00136C7D" w:rsidRPr="00D85C65">
          <w:rPr>
            <w:webHidden/>
          </w:rPr>
        </w:r>
        <w:r w:rsidR="00136C7D" w:rsidRPr="00D85C65">
          <w:rPr>
            <w:webHidden/>
          </w:rPr>
          <w:fldChar w:fldCharType="separate"/>
        </w:r>
        <w:r w:rsidR="00E13EA5">
          <w:rPr>
            <w:webHidden/>
          </w:rPr>
          <w:t>171</w:t>
        </w:r>
        <w:r w:rsidR="00136C7D" w:rsidRPr="00D85C65">
          <w:rPr>
            <w:webHidden/>
          </w:rPr>
          <w:fldChar w:fldCharType="end"/>
        </w:r>
      </w:hyperlink>
    </w:p>
    <w:p w14:paraId="07B14024" w14:textId="7AF3ACBF" w:rsidR="00136C7D" w:rsidRPr="00D85C65" w:rsidRDefault="00530AC2">
      <w:pPr>
        <w:pStyle w:val="TOC2"/>
        <w:rPr>
          <w:rFonts w:asciiTheme="minorHAnsi" w:eastAsiaTheme="minorEastAsia" w:hAnsiTheme="minorHAnsi" w:cstheme="minorBidi"/>
          <w:b w:val="0"/>
          <w:smallCaps w:val="0"/>
          <w:sz w:val="22"/>
        </w:rPr>
      </w:pPr>
      <w:hyperlink w:anchor="_Toc29994537" w:history="1">
        <w:r w:rsidR="00136C7D" w:rsidRPr="00D85C65">
          <w:rPr>
            <w:rStyle w:val="Hyperlink"/>
            <w:rFonts w:ascii="Times New Roman" w:hAnsi="Times New Roman"/>
          </w:rPr>
          <w:t>5.4.2.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_Toc29994537 \h </w:instrText>
        </w:r>
        <w:r w:rsidR="00136C7D" w:rsidRPr="00D85C65">
          <w:rPr>
            <w:webHidden/>
          </w:rPr>
        </w:r>
        <w:r w:rsidR="00136C7D" w:rsidRPr="00D85C65">
          <w:rPr>
            <w:webHidden/>
          </w:rPr>
          <w:fldChar w:fldCharType="separate"/>
        </w:r>
        <w:r w:rsidR="00E13EA5">
          <w:rPr>
            <w:webHidden/>
          </w:rPr>
          <w:t>171</w:t>
        </w:r>
        <w:r w:rsidR="00136C7D" w:rsidRPr="00D85C65">
          <w:rPr>
            <w:webHidden/>
          </w:rPr>
          <w:fldChar w:fldCharType="end"/>
        </w:r>
      </w:hyperlink>
    </w:p>
    <w:p w14:paraId="35F65BDA" w14:textId="4A8265D7" w:rsidR="00136C7D" w:rsidRPr="00D85C65" w:rsidRDefault="00530AC2">
      <w:pPr>
        <w:pStyle w:val="TOC2"/>
        <w:rPr>
          <w:rFonts w:asciiTheme="minorHAnsi" w:eastAsiaTheme="minorEastAsia" w:hAnsiTheme="minorHAnsi" w:cstheme="minorBidi"/>
          <w:b w:val="0"/>
          <w:smallCaps w:val="0"/>
          <w:sz w:val="22"/>
        </w:rPr>
      </w:pPr>
      <w:hyperlink w:anchor="_Toc29994538" w:history="1">
        <w:r w:rsidR="00136C7D" w:rsidRPr="00D85C65">
          <w:rPr>
            <w:rStyle w:val="Hyperlink"/>
            <w:rFonts w:ascii="Times New Roman" w:hAnsi="Times New Roman"/>
          </w:rPr>
          <w:t>5.5.</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22.00 – Trhové riziko: Štandardizované prístupy pre devízové riziko (MKR SA FX)</w:t>
        </w:r>
        <w:r w:rsidR="00136C7D" w:rsidRPr="00D85C65">
          <w:rPr>
            <w:webHidden/>
          </w:rPr>
          <w:tab/>
        </w:r>
        <w:r w:rsidR="00136C7D" w:rsidRPr="00D85C65">
          <w:rPr>
            <w:webHidden/>
          </w:rPr>
          <w:fldChar w:fldCharType="begin"/>
        </w:r>
        <w:r w:rsidR="00136C7D" w:rsidRPr="00D85C65">
          <w:rPr>
            <w:webHidden/>
          </w:rPr>
          <w:instrText xml:space="preserve"> PAGEREF _Toc29994538 \h </w:instrText>
        </w:r>
        <w:r w:rsidR="00136C7D" w:rsidRPr="00D85C65">
          <w:rPr>
            <w:webHidden/>
          </w:rPr>
        </w:r>
        <w:r w:rsidR="00136C7D" w:rsidRPr="00D85C65">
          <w:rPr>
            <w:webHidden/>
          </w:rPr>
          <w:fldChar w:fldCharType="separate"/>
        </w:r>
        <w:r w:rsidR="00E13EA5">
          <w:rPr>
            <w:webHidden/>
          </w:rPr>
          <w:t>173</w:t>
        </w:r>
        <w:r w:rsidR="00136C7D" w:rsidRPr="00D85C65">
          <w:rPr>
            <w:webHidden/>
          </w:rPr>
          <w:fldChar w:fldCharType="end"/>
        </w:r>
      </w:hyperlink>
    </w:p>
    <w:p w14:paraId="472E8B91" w14:textId="08C6C933" w:rsidR="00136C7D" w:rsidRPr="00D85C65" w:rsidRDefault="00530AC2">
      <w:pPr>
        <w:pStyle w:val="TOC2"/>
        <w:rPr>
          <w:rFonts w:asciiTheme="minorHAnsi" w:eastAsiaTheme="minorEastAsia" w:hAnsiTheme="minorHAnsi" w:cstheme="minorBidi"/>
          <w:b w:val="0"/>
          <w:smallCaps w:val="0"/>
          <w:sz w:val="22"/>
        </w:rPr>
      </w:pPr>
      <w:hyperlink w:anchor="_Toc29994539" w:history="1">
        <w:r w:rsidR="00136C7D" w:rsidRPr="00D85C65">
          <w:rPr>
            <w:rStyle w:val="Hyperlink"/>
            <w:rFonts w:ascii="Times New Roman" w:hAnsi="Times New Roman"/>
          </w:rPr>
          <w:t>5.5.1.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_Toc29994539 \h </w:instrText>
        </w:r>
        <w:r w:rsidR="00136C7D" w:rsidRPr="00D85C65">
          <w:rPr>
            <w:webHidden/>
          </w:rPr>
        </w:r>
        <w:r w:rsidR="00136C7D" w:rsidRPr="00D85C65">
          <w:rPr>
            <w:webHidden/>
          </w:rPr>
          <w:fldChar w:fldCharType="separate"/>
        </w:r>
        <w:r w:rsidR="00E13EA5">
          <w:rPr>
            <w:webHidden/>
          </w:rPr>
          <w:t>173</w:t>
        </w:r>
        <w:r w:rsidR="00136C7D" w:rsidRPr="00D85C65">
          <w:rPr>
            <w:webHidden/>
          </w:rPr>
          <w:fldChar w:fldCharType="end"/>
        </w:r>
      </w:hyperlink>
    </w:p>
    <w:p w14:paraId="5FAD1D8E" w14:textId="2A50BE2E" w:rsidR="00136C7D" w:rsidRPr="00D85C65" w:rsidRDefault="00530AC2">
      <w:pPr>
        <w:pStyle w:val="TOC2"/>
        <w:rPr>
          <w:rFonts w:asciiTheme="minorHAnsi" w:eastAsiaTheme="minorEastAsia" w:hAnsiTheme="minorHAnsi" w:cstheme="minorBidi"/>
          <w:b w:val="0"/>
          <w:smallCaps w:val="0"/>
          <w:sz w:val="22"/>
        </w:rPr>
      </w:pPr>
      <w:hyperlink w:anchor="_Toc29994540" w:history="1">
        <w:r w:rsidR="00136C7D" w:rsidRPr="00D85C65">
          <w:rPr>
            <w:rStyle w:val="Hyperlink"/>
            <w:rFonts w:ascii="Times New Roman" w:hAnsi="Times New Roman"/>
          </w:rPr>
          <w:t>5.5.2.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_Toc29994540 \h </w:instrText>
        </w:r>
        <w:r w:rsidR="00136C7D" w:rsidRPr="00D85C65">
          <w:rPr>
            <w:webHidden/>
          </w:rPr>
        </w:r>
        <w:r w:rsidR="00136C7D" w:rsidRPr="00D85C65">
          <w:rPr>
            <w:webHidden/>
          </w:rPr>
          <w:fldChar w:fldCharType="separate"/>
        </w:r>
        <w:r w:rsidR="00E13EA5">
          <w:rPr>
            <w:webHidden/>
          </w:rPr>
          <w:t>173</w:t>
        </w:r>
        <w:r w:rsidR="00136C7D" w:rsidRPr="00D85C65">
          <w:rPr>
            <w:webHidden/>
          </w:rPr>
          <w:fldChar w:fldCharType="end"/>
        </w:r>
      </w:hyperlink>
    </w:p>
    <w:p w14:paraId="0F53AF4C" w14:textId="6F2B3C1B" w:rsidR="00136C7D" w:rsidRPr="00D85C65" w:rsidRDefault="00530AC2">
      <w:pPr>
        <w:pStyle w:val="TOC2"/>
        <w:rPr>
          <w:rFonts w:asciiTheme="minorHAnsi" w:eastAsiaTheme="minorEastAsia" w:hAnsiTheme="minorHAnsi" w:cstheme="minorBidi"/>
          <w:b w:val="0"/>
          <w:smallCaps w:val="0"/>
          <w:sz w:val="22"/>
        </w:rPr>
      </w:pPr>
      <w:hyperlink w:anchor="_Toc29994541" w:history="1">
        <w:r w:rsidR="00136C7D" w:rsidRPr="00D85C65">
          <w:rPr>
            <w:rStyle w:val="Hyperlink"/>
            <w:rFonts w:ascii="Times New Roman" w:hAnsi="Times New Roman"/>
          </w:rPr>
          <w:t>5.6.</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23.00 – Trhové riziko: Štandardizované prístupy pre komodity (MKR SA COM)</w:t>
        </w:r>
        <w:r w:rsidR="00136C7D" w:rsidRPr="00D85C65">
          <w:rPr>
            <w:webHidden/>
          </w:rPr>
          <w:tab/>
        </w:r>
        <w:r w:rsidR="00136C7D" w:rsidRPr="00D85C65">
          <w:rPr>
            <w:webHidden/>
          </w:rPr>
          <w:fldChar w:fldCharType="begin"/>
        </w:r>
        <w:r w:rsidR="00136C7D" w:rsidRPr="00D85C65">
          <w:rPr>
            <w:webHidden/>
          </w:rPr>
          <w:instrText xml:space="preserve"> PAGEREF _Toc29994541 \h </w:instrText>
        </w:r>
        <w:r w:rsidR="00136C7D" w:rsidRPr="00D85C65">
          <w:rPr>
            <w:webHidden/>
          </w:rPr>
        </w:r>
        <w:r w:rsidR="00136C7D" w:rsidRPr="00D85C65">
          <w:rPr>
            <w:webHidden/>
          </w:rPr>
          <w:fldChar w:fldCharType="separate"/>
        </w:r>
        <w:r w:rsidR="00E13EA5">
          <w:rPr>
            <w:webHidden/>
          </w:rPr>
          <w:t>176</w:t>
        </w:r>
        <w:r w:rsidR="00136C7D" w:rsidRPr="00D85C65">
          <w:rPr>
            <w:webHidden/>
          </w:rPr>
          <w:fldChar w:fldCharType="end"/>
        </w:r>
      </w:hyperlink>
    </w:p>
    <w:p w14:paraId="1878C0DE" w14:textId="773BA495" w:rsidR="00136C7D" w:rsidRPr="00D85C65" w:rsidRDefault="00530AC2">
      <w:pPr>
        <w:pStyle w:val="TOC2"/>
        <w:rPr>
          <w:rFonts w:asciiTheme="minorHAnsi" w:eastAsiaTheme="minorEastAsia" w:hAnsiTheme="minorHAnsi" w:cstheme="minorBidi"/>
          <w:b w:val="0"/>
          <w:smallCaps w:val="0"/>
          <w:sz w:val="22"/>
        </w:rPr>
      </w:pPr>
      <w:hyperlink w:anchor="_Toc29994542" w:history="1">
        <w:r w:rsidR="00136C7D" w:rsidRPr="00D85C65">
          <w:rPr>
            <w:rStyle w:val="Hyperlink"/>
            <w:rFonts w:ascii="Times New Roman" w:hAnsi="Times New Roman"/>
          </w:rPr>
          <w:t>5.6.1.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_Toc29994542 \h </w:instrText>
        </w:r>
        <w:r w:rsidR="00136C7D" w:rsidRPr="00D85C65">
          <w:rPr>
            <w:webHidden/>
          </w:rPr>
        </w:r>
        <w:r w:rsidR="00136C7D" w:rsidRPr="00D85C65">
          <w:rPr>
            <w:webHidden/>
          </w:rPr>
          <w:fldChar w:fldCharType="separate"/>
        </w:r>
        <w:r w:rsidR="00E13EA5">
          <w:rPr>
            <w:webHidden/>
          </w:rPr>
          <w:t>176</w:t>
        </w:r>
        <w:r w:rsidR="00136C7D" w:rsidRPr="00D85C65">
          <w:rPr>
            <w:webHidden/>
          </w:rPr>
          <w:fldChar w:fldCharType="end"/>
        </w:r>
      </w:hyperlink>
    </w:p>
    <w:p w14:paraId="6B8BB859" w14:textId="5C8DAFBC" w:rsidR="00136C7D" w:rsidRPr="00D85C65" w:rsidRDefault="00530AC2">
      <w:pPr>
        <w:pStyle w:val="TOC2"/>
        <w:rPr>
          <w:rFonts w:asciiTheme="minorHAnsi" w:eastAsiaTheme="minorEastAsia" w:hAnsiTheme="minorHAnsi" w:cstheme="minorBidi"/>
          <w:b w:val="0"/>
          <w:smallCaps w:val="0"/>
          <w:sz w:val="22"/>
        </w:rPr>
      </w:pPr>
      <w:hyperlink w:anchor="_Toc29994543" w:history="1">
        <w:r w:rsidR="00136C7D" w:rsidRPr="00D85C65">
          <w:rPr>
            <w:rStyle w:val="Hyperlink"/>
            <w:rFonts w:ascii="Times New Roman" w:hAnsi="Times New Roman"/>
          </w:rPr>
          <w:t>5.6.2.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_Toc29994543 \h </w:instrText>
        </w:r>
        <w:r w:rsidR="00136C7D" w:rsidRPr="00D85C65">
          <w:rPr>
            <w:webHidden/>
          </w:rPr>
        </w:r>
        <w:r w:rsidR="00136C7D" w:rsidRPr="00D85C65">
          <w:rPr>
            <w:webHidden/>
          </w:rPr>
          <w:fldChar w:fldCharType="separate"/>
        </w:r>
        <w:r w:rsidR="00E13EA5">
          <w:rPr>
            <w:webHidden/>
          </w:rPr>
          <w:t>176</w:t>
        </w:r>
        <w:r w:rsidR="00136C7D" w:rsidRPr="00D85C65">
          <w:rPr>
            <w:webHidden/>
          </w:rPr>
          <w:fldChar w:fldCharType="end"/>
        </w:r>
      </w:hyperlink>
    </w:p>
    <w:p w14:paraId="6A2C14E8" w14:textId="4A6E3794" w:rsidR="00136C7D" w:rsidRPr="00D85C65" w:rsidRDefault="00530AC2">
      <w:pPr>
        <w:pStyle w:val="TOC2"/>
        <w:rPr>
          <w:rFonts w:asciiTheme="minorHAnsi" w:eastAsiaTheme="minorEastAsia" w:hAnsiTheme="minorHAnsi" w:cstheme="minorBidi"/>
          <w:b w:val="0"/>
          <w:smallCaps w:val="0"/>
          <w:sz w:val="22"/>
        </w:rPr>
      </w:pPr>
      <w:hyperlink w:anchor="_Toc29994544" w:history="1">
        <w:r w:rsidR="00136C7D" w:rsidRPr="00D85C65">
          <w:rPr>
            <w:rStyle w:val="Hyperlink"/>
            <w:rFonts w:ascii="Times New Roman" w:hAnsi="Times New Roman"/>
          </w:rPr>
          <w:t>5.7.</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24.00 – Interný model trhového rizika (MKR IM)</w:t>
        </w:r>
        <w:r w:rsidR="00136C7D" w:rsidRPr="00D85C65">
          <w:rPr>
            <w:webHidden/>
          </w:rPr>
          <w:tab/>
        </w:r>
        <w:r w:rsidR="00136C7D" w:rsidRPr="00D85C65">
          <w:rPr>
            <w:webHidden/>
          </w:rPr>
          <w:fldChar w:fldCharType="begin"/>
        </w:r>
        <w:r w:rsidR="00136C7D" w:rsidRPr="00D85C65">
          <w:rPr>
            <w:webHidden/>
          </w:rPr>
          <w:instrText xml:space="preserve"> PAGEREF _Toc29994544 \h </w:instrText>
        </w:r>
        <w:r w:rsidR="00136C7D" w:rsidRPr="00D85C65">
          <w:rPr>
            <w:webHidden/>
          </w:rPr>
        </w:r>
        <w:r w:rsidR="00136C7D" w:rsidRPr="00D85C65">
          <w:rPr>
            <w:webHidden/>
          </w:rPr>
          <w:fldChar w:fldCharType="separate"/>
        </w:r>
        <w:r w:rsidR="00E13EA5">
          <w:rPr>
            <w:webHidden/>
          </w:rPr>
          <w:t>178</w:t>
        </w:r>
        <w:r w:rsidR="00136C7D" w:rsidRPr="00D85C65">
          <w:rPr>
            <w:webHidden/>
          </w:rPr>
          <w:fldChar w:fldCharType="end"/>
        </w:r>
      </w:hyperlink>
    </w:p>
    <w:p w14:paraId="382AFBBF" w14:textId="008E16A3" w:rsidR="00136C7D" w:rsidRPr="00D85C65" w:rsidRDefault="00530AC2">
      <w:pPr>
        <w:pStyle w:val="TOC2"/>
        <w:rPr>
          <w:rFonts w:asciiTheme="minorHAnsi" w:eastAsiaTheme="minorEastAsia" w:hAnsiTheme="minorHAnsi" w:cstheme="minorBidi"/>
          <w:b w:val="0"/>
          <w:smallCaps w:val="0"/>
          <w:sz w:val="22"/>
        </w:rPr>
      </w:pPr>
      <w:hyperlink w:anchor="_Toc29994545" w:history="1">
        <w:r w:rsidR="00136C7D" w:rsidRPr="00D85C65">
          <w:rPr>
            <w:rStyle w:val="Hyperlink"/>
            <w:rFonts w:ascii="Times New Roman" w:hAnsi="Times New Roman"/>
          </w:rPr>
          <w:t>5.7.1.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_Toc29994545 \h </w:instrText>
        </w:r>
        <w:r w:rsidR="00136C7D" w:rsidRPr="00D85C65">
          <w:rPr>
            <w:webHidden/>
          </w:rPr>
        </w:r>
        <w:r w:rsidR="00136C7D" w:rsidRPr="00D85C65">
          <w:rPr>
            <w:webHidden/>
          </w:rPr>
          <w:fldChar w:fldCharType="separate"/>
        </w:r>
        <w:r w:rsidR="00E13EA5">
          <w:rPr>
            <w:webHidden/>
          </w:rPr>
          <w:t>178</w:t>
        </w:r>
        <w:r w:rsidR="00136C7D" w:rsidRPr="00D85C65">
          <w:rPr>
            <w:webHidden/>
          </w:rPr>
          <w:fldChar w:fldCharType="end"/>
        </w:r>
      </w:hyperlink>
    </w:p>
    <w:p w14:paraId="6408A4B4" w14:textId="428D4C17" w:rsidR="00136C7D" w:rsidRPr="00D85C65" w:rsidRDefault="00530AC2">
      <w:pPr>
        <w:pStyle w:val="TOC2"/>
        <w:rPr>
          <w:rFonts w:asciiTheme="minorHAnsi" w:eastAsiaTheme="minorEastAsia" w:hAnsiTheme="minorHAnsi" w:cstheme="minorBidi"/>
          <w:b w:val="0"/>
          <w:smallCaps w:val="0"/>
          <w:sz w:val="22"/>
        </w:rPr>
      </w:pPr>
      <w:hyperlink w:anchor="_Toc29994546" w:history="1">
        <w:r w:rsidR="00136C7D" w:rsidRPr="00D85C65">
          <w:rPr>
            <w:rStyle w:val="Hyperlink"/>
            <w:rFonts w:ascii="Times New Roman" w:hAnsi="Times New Roman"/>
          </w:rPr>
          <w:t>5.7.2.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_Toc29994546 \h </w:instrText>
        </w:r>
        <w:r w:rsidR="00136C7D" w:rsidRPr="00D85C65">
          <w:rPr>
            <w:webHidden/>
          </w:rPr>
        </w:r>
        <w:r w:rsidR="00136C7D" w:rsidRPr="00D85C65">
          <w:rPr>
            <w:webHidden/>
          </w:rPr>
          <w:fldChar w:fldCharType="separate"/>
        </w:r>
        <w:r w:rsidR="00E13EA5">
          <w:rPr>
            <w:webHidden/>
          </w:rPr>
          <w:t>178</w:t>
        </w:r>
        <w:r w:rsidR="00136C7D" w:rsidRPr="00D85C65">
          <w:rPr>
            <w:webHidden/>
          </w:rPr>
          <w:fldChar w:fldCharType="end"/>
        </w:r>
      </w:hyperlink>
    </w:p>
    <w:p w14:paraId="3AA370D2" w14:textId="4126A6AF" w:rsidR="00136C7D" w:rsidRPr="00D85C65" w:rsidRDefault="00530AC2">
      <w:pPr>
        <w:pStyle w:val="TOC2"/>
        <w:rPr>
          <w:rFonts w:asciiTheme="minorHAnsi" w:eastAsiaTheme="minorEastAsia" w:hAnsiTheme="minorHAnsi" w:cstheme="minorBidi"/>
          <w:b w:val="0"/>
          <w:smallCaps w:val="0"/>
          <w:sz w:val="22"/>
        </w:rPr>
      </w:pPr>
      <w:hyperlink w:anchor="_Toc29994547" w:history="1">
        <w:r w:rsidR="00136C7D" w:rsidRPr="00D85C65">
          <w:rPr>
            <w:rStyle w:val="Hyperlink"/>
            <w:rFonts w:ascii="Times New Roman" w:hAnsi="Times New Roman"/>
          </w:rPr>
          <w:t>5.8.</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25.00 – RIZIKO ÚPRAVY OCENENIA POHĽADÁVOK (CVA)</w:t>
        </w:r>
        <w:r w:rsidR="00136C7D" w:rsidRPr="00D85C65">
          <w:rPr>
            <w:webHidden/>
          </w:rPr>
          <w:tab/>
        </w:r>
        <w:r w:rsidR="00136C7D" w:rsidRPr="00D85C65">
          <w:rPr>
            <w:webHidden/>
          </w:rPr>
          <w:fldChar w:fldCharType="begin"/>
        </w:r>
        <w:r w:rsidR="00136C7D" w:rsidRPr="00D85C65">
          <w:rPr>
            <w:webHidden/>
          </w:rPr>
          <w:instrText xml:space="preserve"> PAGEREF _Toc29994547 \h </w:instrText>
        </w:r>
        <w:r w:rsidR="00136C7D" w:rsidRPr="00D85C65">
          <w:rPr>
            <w:webHidden/>
          </w:rPr>
        </w:r>
        <w:r w:rsidR="00136C7D" w:rsidRPr="00D85C65">
          <w:rPr>
            <w:webHidden/>
          </w:rPr>
          <w:fldChar w:fldCharType="separate"/>
        </w:r>
        <w:r w:rsidR="00E13EA5">
          <w:rPr>
            <w:webHidden/>
          </w:rPr>
          <w:t>181</w:t>
        </w:r>
        <w:r w:rsidR="00136C7D" w:rsidRPr="00D85C65">
          <w:rPr>
            <w:webHidden/>
          </w:rPr>
          <w:fldChar w:fldCharType="end"/>
        </w:r>
      </w:hyperlink>
    </w:p>
    <w:p w14:paraId="2B2C038E" w14:textId="7211C8C9" w:rsidR="00136C7D" w:rsidRPr="00D85C65" w:rsidRDefault="00530AC2">
      <w:pPr>
        <w:pStyle w:val="TOC2"/>
        <w:rPr>
          <w:rFonts w:asciiTheme="minorHAnsi" w:eastAsiaTheme="minorEastAsia" w:hAnsiTheme="minorHAnsi" w:cstheme="minorBidi"/>
          <w:b w:val="0"/>
          <w:smallCaps w:val="0"/>
          <w:sz w:val="22"/>
        </w:rPr>
      </w:pPr>
      <w:hyperlink w:anchor="_Toc29994548" w:history="1">
        <w:r w:rsidR="00136C7D" w:rsidRPr="00D85C65">
          <w:rPr>
            <w:rStyle w:val="Hyperlink"/>
            <w:rFonts w:ascii="Times New Roman" w:hAnsi="Times New Roman"/>
          </w:rPr>
          <w:t>5.8.1.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_Toc29994548 \h </w:instrText>
        </w:r>
        <w:r w:rsidR="00136C7D" w:rsidRPr="00D85C65">
          <w:rPr>
            <w:webHidden/>
          </w:rPr>
        </w:r>
        <w:r w:rsidR="00136C7D" w:rsidRPr="00D85C65">
          <w:rPr>
            <w:webHidden/>
          </w:rPr>
          <w:fldChar w:fldCharType="separate"/>
        </w:r>
        <w:r w:rsidR="00E13EA5">
          <w:rPr>
            <w:webHidden/>
          </w:rPr>
          <w:t>181</w:t>
        </w:r>
        <w:r w:rsidR="00136C7D" w:rsidRPr="00D85C65">
          <w:rPr>
            <w:webHidden/>
          </w:rPr>
          <w:fldChar w:fldCharType="end"/>
        </w:r>
      </w:hyperlink>
    </w:p>
    <w:p w14:paraId="52911B34" w14:textId="5A2B414E" w:rsidR="00136C7D" w:rsidRPr="00D85C65" w:rsidRDefault="00530AC2">
      <w:pPr>
        <w:pStyle w:val="TOC2"/>
        <w:rPr>
          <w:rFonts w:asciiTheme="minorHAnsi" w:eastAsiaTheme="minorEastAsia" w:hAnsiTheme="minorHAnsi" w:cstheme="minorBidi"/>
          <w:b w:val="0"/>
          <w:smallCaps w:val="0"/>
          <w:sz w:val="22"/>
        </w:rPr>
      </w:pPr>
      <w:hyperlink w:anchor="_Toc29994549" w:history="1">
        <w:r w:rsidR="00136C7D" w:rsidRPr="00D85C65">
          <w:rPr>
            <w:rStyle w:val="Hyperlink"/>
            <w:rFonts w:ascii="Times New Roman" w:hAnsi="Times New Roman"/>
          </w:rPr>
          <w:t>6.</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Obozretné oceňovanie (PruVal)</w:t>
        </w:r>
        <w:r w:rsidR="00136C7D" w:rsidRPr="00D85C65">
          <w:rPr>
            <w:webHidden/>
          </w:rPr>
          <w:tab/>
        </w:r>
        <w:r w:rsidR="00136C7D" w:rsidRPr="00D85C65">
          <w:rPr>
            <w:webHidden/>
          </w:rPr>
          <w:fldChar w:fldCharType="begin"/>
        </w:r>
        <w:r w:rsidR="00136C7D" w:rsidRPr="00D85C65">
          <w:rPr>
            <w:webHidden/>
          </w:rPr>
          <w:instrText xml:space="preserve"> PAGEREF _Toc29994549 \h </w:instrText>
        </w:r>
        <w:r w:rsidR="00136C7D" w:rsidRPr="00D85C65">
          <w:rPr>
            <w:webHidden/>
          </w:rPr>
        </w:r>
        <w:r w:rsidR="00136C7D" w:rsidRPr="00D85C65">
          <w:rPr>
            <w:webHidden/>
          </w:rPr>
          <w:fldChar w:fldCharType="separate"/>
        </w:r>
        <w:r w:rsidR="00E13EA5">
          <w:rPr>
            <w:webHidden/>
          </w:rPr>
          <w:t>183</w:t>
        </w:r>
        <w:r w:rsidR="00136C7D" w:rsidRPr="00D85C65">
          <w:rPr>
            <w:webHidden/>
          </w:rPr>
          <w:fldChar w:fldCharType="end"/>
        </w:r>
      </w:hyperlink>
    </w:p>
    <w:p w14:paraId="23CD71B5" w14:textId="5AACDE3F" w:rsidR="00136C7D" w:rsidRPr="00D85C65" w:rsidRDefault="00530AC2">
      <w:pPr>
        <w:pStyle w:val="TOC2"/>
        <w:rPr>
          <w:rFonts w:asciiTheme="minorHAnsi" w:eastAsiaTheme="minorEastAsia" w:hAnsiTheme="minorHAnsi" w:cstheme="minorBidi"/>
          <w:b w:val="0"/>
          <w:smallCaps w:val="0"/>
          <w:sz w:val="22"/>
        </w:rPr>
      </w:pPr>
      <w:hyperlink w:anchor="_Toc29994550" w:history="1">
        <w:r w:rsidR="00136C7D" w:rsidRPr="00D85C65">
          <w:rPr>
            <w:rStyle w:val="Hyperlink"/>
            <w:rFonts w:ascii="Times New Roman" w:hAnsi="Times New Roman"/>
          </w:rPr>
          <w:t>6.1.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32.01 – Obozretné oceňovanie: reálnou hodnotou ocenené aktíva</w:t>
        </w:r>
        <w:r w:rsidR="00D85C65">
          <w:rPr>
            <w:rStyle w:val="Hyperlink"/>
            <w:rFonts w:ascii="Times New Roman" w:hAnsi="Times New Roman"/>
          </w:rPr>
          <w:t xml:space="preserve"> a </w:t>
        </w:r>
        <w:r w:rsidR="00136C7D" w:rsidRPr="00D85C65">
          <w:rPr>
            <w:rStyle w:val="Hyperlink"/>
            <w:rFonts w:ascii="Times New Roman" w:hAnsi="Times New Roman"/>
          </w:rPr>
          <w:t>záväzky (PruVal 1)</w:t>
        </w:r>
        <w:r w:rsidR="00136C7D" w:rsidRPr="00D85C65">
          <w:rPr>
            <w:webHidden/>
          </w:rPr>
          <w:tab/>
        </w:r>
        <w:r w:rsidR="00136C7D" w:rsidRPr="00D85C65">
          <w:rPr>
            <w:webHidden/>
          </w:rPr>
          <w:fldChar w:fldCharType="begin"/>
        </w:r>
        <w:r w:rsidR="00136C7D" w:rsidRPr="00D85C65">
          <w:rPr>
            <w:webHidden/>
          </w:rPr>
          <w:instrText xml:space="preserve"> PAGEREF _Toc29994550 \h </w:instrText>
        </w:r>
        <w:r w:rsidR="00136C7D" w:rsidRPr="00D85C65">
          <w:rPr>
            <w:webHidden/>
          </w:rPr>
        </w:r>
        <w:r w:rsidR="00136C7D" w:rsidRPr="00D85C65">
          <w:rPr>
            <w:webHidden/>
          </w:rPr>
          <w:fldChar w:fldCharType="separate"/>
        </w:r>
        <w:r w:rsidR="00E13EA5">
          <w:rPr>
            <w:webHidden/>
          </w:rPr>
          <w:t>183</w:t>
        </w:r>
        <w:r w:rsidR="00136C7D" w:rsidRPr="00D85C65">
          <w:rPr>
            <w:webHidden/>
          </w:rPr>
          <w:fldChar w:fldCharType="end"/>
        </w:r>
      </w:hyperlink>
    </w:p>
    <w:p w14:paraId="1B90021A" w14:textId="059FE209" w:rsidR="00136C7D" w:rsidRPr="00D85C65" w:rsidRDefault="00530AC2">
      <w:pPr>
        <w:pStyle w:val="TOC2"/>
        <w:rPr>
          <w:rFonts w:asciiTheme="minorHAnsi" w:eastAsiaTheme="minorEastAsia" w:hAnsiTheme="minorHAnsi" w:cstheme="minorBidi"/>
          <w:b w:val="0"/>
          <w:smallCaps w:val="0"/>
          <w:sz w:val="22"/>
        </w:rPr>
      </w:pPr>
      <w:hyperlink w:anchor="_Toc29994551" w:history="1">
        <w:r w:rsidR="00136C7D" w:rsidRPr="00D85C65">
          <w:rPr>
            <w:rStyle w:val="Hyperlink"/>
            <w:rFonts w:ascii="Times New Roman" w:hAnsi="Times New Roman"/>
          </w:rPr>
          <w:t>6.1.1.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_Toc29994551 \h </w:instrText>
        </w:r>
        <w:r w:rsidR="00136C7D" w:rsidRPr="00D85C65">
          <w:rPr>
            <w:webHidden/>
          </w:rPr>
        </w:r>
        <w:r w:rsidR="00136C7D" w:rsidRPr="00D85C65">
          <w:rPr>
            <w:webHidden/>
          </w:rPr>
          <w:fldChar w:fldCharType="separate"/>
        </w:r>
        <w:r w:rsidR="00E13EA5">
          <w:rPr>
            <w:webHidden/>
          </w:rPr>
          <w:t>183</w:t>
        </w:r>
        <w:r w:rsidR="00136C7D" w:rsidRPr="00D85C65">
          <w:rPr>
            <w:webHidden/>
          </w:rPr>
          <w:fldChar w:fldCharType="end"/>
        </w:r>
      </w:hyperlink>
    </w:p>
    <w:p w14:paraId="7EAD4EA6" w14:textId="7DD95454" w:rsidR="00136C7D" w:rsidRPr="00D85C65" w:rsidRDefault="00530AC2">
      <w:pPr>
        <w:pStyle w:val="TOC2"/>
        <w:rPr>
          <w:rFonts w:asciiTheme="minorHAnsi" w:eastAsiaTheme="minorEastAsia" w:hAnsiTheme="minorHAnsi" w:cstheme="minorBidi"/>
          <w:b w:val="0"/>
          <w:smallCaps w:val="0"/>
          <w:sz w:val="22"/>
        </w:rPr>
      </w:pPr>
      <w:hyperlink w:anchor="_Toc29994552" w:history="1">
        <w:r w:rsidR="00136C7D" w:rsidRPr="00D85C65">
          <w:rPr>
            <w:rStyle w:val="Hyperlink"/>
            <w:rFonts w:ascii="Times New Roman" w:hAnsi="Times New Roman"/>
          </w:rPr>
          <w:t>6.1.2.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_Toc29994552 \h </w:instrText>
        </w:r>
        <w:r w:rsidR="00136C7D" w:rsidRPr="00D85C65">
          <w:rPr>
            <w:webHidden/>
          </w:rPr>
        </w:r>
        <w:r w:rsidR="00136C7D" w:rsidRPr="00D85C65">
          <w:rPr>
            <w:webHidden/>
          </w:rPr>
          <w:fldChar w:fldCharType="separate"/>
        </w:r>
        <w:r w:rsidR="00E13EA5">
          <w:rPr>
            <w:webHidden/>
          </w:rPr>
          <w:t>184</w:t>
        </w:r>
        <w:r w:rsidR="00136C7D" w:rsidRPr="00D85C65">
          <w:rPr>
            <w:webHidden/>
          </w:rPr>
          <w:fldChar w:fldCharType="end"/>
        </w:r>
      </w:hyperlink>
    </w:p>
    <w:p w14:paraId="59AF20C7" w14:textId="684E8CC9" w:rsidR="00136C7D" w:rsidRPr="00D85C65" w:rsidRDefault="00530AC2">
      <w:pPr>
        <w:pStyle w:val="TOC2"/>
        <w:rPr>
          <w:rFonts w:asciiTheme="minorHAnsi" w:eastAsiaTheme="minorEastAsia" w:hAnsiTheme="minorHAnsi" w:cstheme="minorBidi"/>
          <w:b w:val="0"/>
          <w:smallCaps w:val="0"/>
          <w:sz w:val="22"/>
        </w:rPr>
      </w:pPr>
      <w:hyperlink w:anchor="_Toc29994553" w:history="1">
        <w:r w:rsidR="00136C7D" w:rsidRPr="00D85C65">
          <w:rPr>
            <w:rStyle w:val="Hyperlink"/>
            <w:rFonts w:ascii="Times New Roman" w:hAnsi="Times New Roman"/>
          </w:rPr>
          <w:t>6.2.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32.02 – Obozretné oceňovanie: základný postup (PruVal 2)</w:t>
        </w:r>
        <w:r w:rsidR="00136C7D" w:rsidRPr="00D85C65">
          <w:rPr>
            <w:webHidden/>
          </w:rPr>
          <w:tab/>
        </w:r>
        <w:r w:rsidR="00136C7D" w:rsidRPr="00D85C65">
          <w:rPr>
            <w:webHidden/>
          </w:rPr>
          <w:fldChar w:fldCharType="begin"/>
        </w:r>
        <w:r w:rsidR="00136C7D" w:rsidRPr="00D85C65">
          <w:rPr>
            <w:webHidden/>
          </w:rPr>
          <w:instrText xml:space="preserve"> PAGEREF _Toc29994553 \h </w:instrText>
        </w:r>
        <w:r w:rsidR="00136C7D" w:rsidRPr="00D85C65">
          <w:rPr>
            <w:webHidden/>
          </w:rPr>
        </w:r>
        <w:r w:rsidR="00136C7D" w:rsidRPr="00D85C65">
          <w:rPr>
            <w:webHidden/>
          </w:rPr>
          <w:fldChar w:fldCharType="separate"/>
        </w:r>
        <w:r w:rsidR="00E13EA5">
          <w:rPr>
            <w:webHidden/>
          </w:rPr>
          <w:t>188</w:t>
        </w:r>
        <w:r w:rsidR="00136C7D" w:rsidRPr="00D85C65">
          <w:rPr>
            <w:webHidden/>
          </w:rPr>
          <w:fldChar w:fldCharType="end"/>
        </w:r>
      </w:hyperlink>
    </w:p>
    <w:p w14:paraId="2E89507B" w14:textId="6E0137D4" w:rsidR="00136C7D" w:rsidRPr="00D85C65" w:rsidRDefault="00530AC2">
      <w:pPr>
        <w:pStyle w:val="TOC2"/>
        <w:rPr>
          <w:rFonts w:asciiTheme="minorHAnsi" w:eastAsiaTheme="minorEastAsia" w:hAnsiTheme="minorHAnsi" w:cstheme="minorBidi"/>
          <w:b w:val="0"/>
          <w:smallCaps w:val="0"/>
          <w:sz w:val="22"/>
        </w:rPr>
      </w:pPr>
      <w:hyperlink w:anchor="_Toc29994554" w:history="1">
        <w:r w:rsidR="00136C7D" w:rsidRPr="00D85C65">
          <w:rPr>
            <w:rStyle w:val="Hyperlink"/>
            <w:rFonts w:ascii="Times New Roman" w:hAnsi="Times New Roman"/>
          </w:rPr>
          <w:t>6.2.1.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_Toc29994554 \h </w:instrText>
        </w:r>
        <w:r w:rsidR="00136C7D" w:rsidRPr="00D85C65">
          <w:rPr>
            <w:webHidden/>
          </w:rPr>
        </w:r>
        <w:r w:rsidR="00136C7D" w:rsidRPr="00D85C65">
          <w:rPr>
            <w:webHidden/>
          </w:rPr>
          <w:fldChar w:fldCharType="separate"/>
        </w:r>
        <w:r w:rsidR="00E13EA5">
          <w:rPr>
            <w:webHidden/>
          </w:rPr>
          <w:t>188</w:t>
        </w:r>
        <w:r w:rsidR="00136C7D" w:rsidRPr="00D85C65">
          <w:rPr>
            <w:webHidden/>
          </w:rPr>
          <w:fldChar w:fldCharType="end"/>
        </w:r>
      </w:hyperlink>
    </w:p>
    <w:p w14:paraId="64E13E85" w14:textId="743442A0" w:rsidR="00136C7D" w:rsidRPr="00D85C65" w:rsidRDefault="00530AC2">
      <w:pPr>
        <w:pStyle w:val="TOC2"/>
        <w:rPr>
          <w:rFonts w:asciiTheme="minorHAnsi" w:eastAsiaTheme="minorEastAsia" w:hAnsiTheme="minorHAnsi" w:cstheme="minorBidi"/>
          <w:b w:val="0"/>
          <w:smallCaps w:val="0"/>
          <w:sz w:val="22"/>
        </w:rPr>
      </w:pPr>
      <w:hyperlink w:anchor="_Toc29994555" w:history="1">
        <w:r w:rsidR="00136C7D" w:rsidRPr="00D85C65">
          <w:rPr>
            <w:rStyle w:val="Hyperlink"/>
            <w:rFonts w:ascii="Times New Roman" w:hAnsi="Times New Roman"/>
          </w:rPr>
          <w:t>6.2.2.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_Toc29994555 \h </w:instrText>
        </w:r>
        <w:r w:rsidR="00136C7D" w:rsidRPr="00D85C65">
          <w:rPr>
            <w:webHidden/>
          </w:rPr>
        </w:r>
        <w:r w:rsidR="00136C7D" w:rsidRPr="00D85C65">
          <w:rPr>
            <w:webHidden/>
          </w:rPr>
          <w:fldChar w:fldCharType="separate"/>
        </w:r>
        <w:r w:rsidR="00E13EA5">
          <w:rPr>
            <w:webHidden/>
          </w:rPr>
          <w:t>189</w:t>
        </w:r>
        <w:r w:rsidR="00136C7D" w:rsidRPr="00D85C65">
          <w:rPr>
            <w:webHidden/>
          </w:rPr>
          <w:fldChar w:fldCharType="end"/>
        </w:r>
      </w:hyperlink>
    </w:p>
    <w:p w14:paraId="30286B3B" w14:textId="6B8BBFB3" w:rsidR="00136C7D" w:rsidRPr="00D85C65" w:rsidRDefault="00530AC2">
      <w:pPr>
        <w:pStyle w:val="TOC2"/>
        <w:rPr>
          <w:rFonts w:asciiTheme="minorHAnsi" w:eastAsiaTheme="minorEastAsia" w:hAnsiTheme="minorHAnsi" w:cstheme="minorBidi"/>
          <w:b w:val="0"/>
          <w:smallCaps w:val="0"/>
          <w:sz w:val="22"/>
        </w:rPr>
      </w:pPr>
      <w:hyperlink w:anchor="_Toc29994556" w:history="1">
        <w:r w:rsidR="00136C7D" w:rsidRPr="00D85C65">
          <w:rPr>
            <w:rStyle w:val="Hyperlink"/>
            <w:rFonts w:ascii="Times New Roman" w:hAnsi="Times New Roman"/>
          </w:rPr>
          <w:t>6.3. C 32.03 – Obozretné oceňovanie: dodatočná úprava ocenenia zohľadňujúca riziko modelov (PruVal 3)</w:t>
        </w:r>
        <w:r w:rsidR="00136C7D" w:rsidRPr="00D85C65">
          <w:rPr>
            <w:webHidden/>
          </w:rPr>
          <w:tab/>
        </w:r>
        <w:r w:rsidR="00136C7D" w:rsidRPr="00D85C65">
          <w:rPr>
            <w:webHidden/>
          </w:rPr>
          <w:fldChar w:fldCharType="begin"/>
        </w:r>
        <w:r w:rsidR="00136C7D" w:rsidRPr="00D85C65">
          <w:rPr>
            <w:webHidden/>
          </w:rPr>
          <w:instrText xml:space="preserve"> PAGEREF _Toc29994556 \h </w:instrText>
        </w:r>
        <w:r w:rsidR="00136C7D" w:rsidRPr="00D85C65">
          <w:rPr>
            <w:webHidden/>
          </w:rPr>
        </w:r>
        <w:r w:rsidR="00136C7D" w:rsidRPr="00D85C65">
          <w:rPr>
            <w:webHidden/>
          </w:rPr>
          <w:fldChar w:fldCharType="separate"/>
        </w:r>
        <w:r w:rsidR="00E13EA5">
          <w:rPr>
            <w:webHidden/>
          </w:rPr>
          <w:t>199</w:t>
        </w:r>
        <w:r w:rsidR="00136C7D" w:rsidRPr="00D85C65">
          <w:rPr>
            <w:webHidden/>
          </w:rPr>
          <w:fldChar w:fldCharType="end"/>
        </w:r>
      </w:hyperlink>
    </w:p>
    <w:p w14:paraId="19A67407" w14:textId="58744819" w:rsidR="00136C7D" w:rsidRPr="00D85C65" w:rsidRDefault="00530AC2">
      <w:pPr>
        <w:pStyle w:val="TOC2"/>
        <w:rPr>
          <w:rFonts w:asciiTheme="minorHAnsi" w:eastAsiaTheme="minorEastAsia" w:hAnsiTheme="minorHAnsi" w:cstheme="minorBidi"/>
          <w:b w:val="0"/>
          <w:smallCaps w:val="0"/>
          <w:sz w:val="22"/>
        </w:rPr>
      </w:pPr>
      <w:hyperlink w:anchor="_Toc29994557" w:history="1">
        <w:r w:rsidR="00136C7D" w:rsidRPr="00D85C65">
          <w:rPr>
            <w:rStyle w:val="Hyperlink"/>
            <w:rFonts w:ascii="Times New Roman" w:hAnsi="Times New Roman"/>
          </w:rPr>
          <w:t>6.3.1.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_Toc29994557 \h </w:instrText>
        </w:r>
        <w:r w:rsidR="00136C7D" w:rsidRPr="00D85C65">
          <w:rPr>
            <w:webHidden/>
          </w:rPr>
        </w:r>
        <w:r w:rsidR="00136C7D" w:rsidRPr="00D85C65">
          <w:rPr>
            <w:webHidden/>
          </w:rPr>
          <w:fldChar w:fldCharType="separate"/>
        </w:r>
        <w:r w:rsidR="00E13EA5">
          <w:rPr>
            <w:webHidden/>
          </w:rPr>
          <w:t>199</w:t>
        </w:r>
        <w:r w:rsidR="00136C7D" w:rsidRPr="00D85C65">
          <w:rPr>
            <w:webHidden/>
          </w:rPr>
          <w:fldChar w:fldCharType="end"/>
        </w:r>
      </w:hyperlink>
    </w:p>
    <w:p w14:paraId="21BDEFDC" w14:textId="5BE7FEB3" w:rsidR="00136C7D" w:rsidRPr="00D85C65" w:rsidRDefault="00530AC2">
      <w:pPr>
        <w:pStyle w:val="TOC2"/>
        <w:rPr>
          <w:rFonts w:asciiTheme="minorHAnsi" w:eastAsiaTheme="minorEastAsia" w:hAnsiTheme="minorHAnsi" w:cstheme="minorBidi"/>
          <w:b w:val="0"/>
          <w:smallCaps w:val="0"/>
          <w:sz w:val="22"/>
        </w:rPr>
      </w:pPr>
      <w:hyperlink w:anchor="_Toc29994558" w:history="1">
        <w:r w:rsidR="00136C7D" w:rsidRPr="00D85C65">
          <w:rPr>
            <w:rStyle w:val="Hyperlink"/>
            <w:rFonts w:ascii="Times New Roman" w:hAnsi="Times New Roman"/>
          </w:rPr>
          <w:t>6.3.2.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_Toc29994558 \h </w:instrText>
        </w:r>
        <w:r w:rsidR="00136C7D" w:rsidRPr="00D85C65">
          <w:rPr>
            <w:webHidden/>
          </w:rPr>
        </w:r>
        <w:r w:rsidR="00136C7D" w:rsidRPr="00D85C65">
          <w:rPr>
            <w:webHidden/>
          </w:rPr>
          <w:fldChar w:fldCharType="separate"/>
        </w:r>
        <w:r w:rsidR="00E13EA5">
          <w:rPr>
            <w:webHidden/>
          </w:rPr>
          <w:t>200</w:t>
        </w:r>
        <w:r w:rsidR="00136C7D" w:rsidRPr="00D85C65">
          <w:rPr>
            <w:webHidden/>
          </w:rPr>
          <w:fldChar w:fldCharType="end"/>
        </w:r>
      </w:hyperlink>
    </w:p>
    <w:p w14:paraId="0EA7910F" w14:textId="6F217CDC" w:rsidR="00136C7D" w:rsidRPr="00D85C65" w:rsidRDefault="00530AC2">
      <w:pPr>
        <w:pStyle w:val="TOC2"/>
        <w:rPr>
          <w:rFonts w:asciiTheme="minorHAnsi" w:eastAsiaTheme="minorEastAsia" w:hAnsiTheme="minorHAnsi" w:cstheme="minorBidi"/>
          <w:b w:val="0"/>
          <w:smallCaps w:val="0"/>
          <w:sz w:val="22"/>
        </w:rPr>
      </w:pPr>
      <w:hyperlink w:anchor="_Toc29994559" w:history="1">
        <w:r w:rsidR="00136C7D" w:rsidRPr="00D85C65">
          <w:rPr>
            <w:rStyle w:val="Hyperlink"/>
            <w:rFonts w:ascii="Times New Roman" w:hAnsi="Times New Roman"/>
          </w:rPr>
          <w:t>6.4. C 32.04 – Obozretné oceňovanie: dodatočná úprava ocenenia zohľadňujúca koncentrované pozície (PruVal 4)</w:t>
        </w:r>
        <w:r w:rsidR="00136C7D" w:rsidRPr="00D85C65">
          <w:rPr>
            <w:webHidden/>
          </w:rPr>
          <w:tab/>
        </w:r>
        <w:r w:rsidR="00136C7D" w:rsidRPr="00D85C65">
          <w:rPr>
            <w:webHidden/>
          </w:rPr>
          <w:fldChar w:fldCharType="begin"/>
        </w:r>
        <w:r w:rsidR="00136C7D" w:rsidRPr="00D85C65">
          <w:rPr>
            <w:webHidden/>
          </w:rPr>
          <w:instrText xml:space="preserve"> PAGEREF _Toc29994559 \h </w:instrText>
        </w:r>
        <w:r w:rsidR="00136C7D" w:rsidRPr="00D85C65">
          <w:rPr>
            <w:webHidden/>
          </w:rPr>
        </w:r>
        <w:r w:rsidR="00136C7D" w:rsidRPr="00D85C65">
          <w:rPr>
            <w:webHidden/>
          </w:rPr>
          <w:fldChar w:fldCharType="separate"/>
        </w:r>
        <w:r w:rsidR="00E13EA5">
          <w:rPr>
            <w:webHidden/>
          </w:rPr>
          <w:t>203</w:t>
        </w:r>
        <w:r w:rsidR="00136C7D" w:rsidRPr="00D85C65">
          <w:rPr>
            <w:webHidden/>
          </w:rPr>
          <w:fldChar w:fldCharType="end"/>
        </w:r>
      </w:hyperlink>
    </w:p>
    <w:p w14:paraId="4D74A086" w14:textId="1D1384E5" w:rsidR="00136C7D" w:rsidRPr="00D85C65" w:rsidRDefault="00530AC2">
      <w:pPr>
        <w:pStyle w:val="TOC2"/>
        <w:rPr>
          <w:rFonts w:asciiTheme="minorHAnsi" w:eastAsiaTheme="minorEastAsia" w:hAnsiTheme="minorHAnsi" w:cstheme="minorBidi"/>
          <w:b w:val="0"/>
          <w:smallCaps w:val="0"/>
          <w:sz w:val="22"/>
        </w:rPr>
      </w:pPr>
      <w:hyperlink w:anchor="_Toc29994560" w:history="1">
        <w:r w:rsidR="00136C7D" w:rsidRPr="00D85C65">
          <w:rPr>
            <w:rStyle w:val="Hyperlink"/>
            <w:rFonts w:ascii="Times New Roman" w:hAnsi="Times New Roman"/>
          </w:rPr>
          <w:t>6.4.1.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_Toc29994560 \h </w:instrText>
        </w:r>
        <w:r w:rsidR="00136C7D" w:rsidRPr="00D85C65">
          <w:rPr>
            <w:webHidden/>
          </w:rPr>
        </w:r>
        <w:r w:rsidR="00136C7D" w:rsidRPr="00D85C65">
          <w:rPr>
            <w:webHidden/>
          </w:rPr>
          <w:fldChar w:fldCharType="separate"/>
        </w:r>
        <w:r w:rsidR="00E13EA5">
          <w:rPr>
            <w:webHidden/>
          </w:rPr>
          <w:t>203</w:t>
        </w:r>
        <w:r w:rsidR="00136C7D" w:rsidRPr="00D85C65">
          <w:rPr>
            <w:webHidden/>
          </w:rPr>
          <w:fldChar w:fldCharType="end"/>
        </w:r>
      </w:hyperlink>
    </w:p>
    <w:p w14:paraId="0E3F17BD" w14:textId="5A864312" w:rsidR="00136C7D" w:rsidRPr="00D85C65" w:rsidRDefault="00530AC2">
      <w:pPr>
        <w:pStyle w:val="TOC2"/>
        <w:rPr>
          <w:rFonts w:asciiTheme="minorHAnsi" w:eastAsiaTheme="minorEastAsia" w:hAnsiTheme="minorHAnsi" w:cstheme="minorBidi"/>
          <w:b w:val="0"/>
          <w:smallCaps w:val="0"/>
          <w:sz w:val="22"/>
        </w:rPr>
      </w:pPr>
      <w:hyperlink w:anchor="_Toc29994561" w:history="1">
        <w:r w:rsidR="00136C7D" w:rsidRPr="00D85C65">
          <w:rPr>
            <w:rStyle w:val="Hyperlink"/>
            <w:rFonts w:ascii="Times New Roman" w:hAnsi="Times New Roman"/>
          </w:rPr>
          <w:t>6.4.2.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_Toc29994561 \h </w:instrText>
        </w:r>
        <w:r w:rsidR="00136C7D" w:rsidRPr="00D85C65">
          <w:rPr>
            <w:webHidden/>
          </w:rPr>
        </w:r>
        <w:r w:rsidR="00136C7D" w:rsidRPr="00D85C65">
          <w:rPr>
            <w:webHidden/>
          </w:rPr>
          <w:fldChar w:fldCharType="separate"/>
        </w:r>
        <w:r w:rsidR="00E13EA5">
          <w:rPr>
            <w:webHidden/>
          </w:rPr>
          <w:t>203</w:t>
        </w:r>
        <w:r w:rsidR="00136C7D" w:rsidRPr="00D85C65">
          <w:rPr>
            <w:webHidden/>
          </w:rPr>
          <w:fldChar w:fldCharType="end"/>
        </w:r>
      </w:hyperlink>
    </w:p>
    <w:p w14:paraId="257E6615" w14:textId="4C1D58BF" w:rsidR="00136C7D" w:rsidRPr="00D85C65" w:rsidRDefault="00530AC2">
      <w:pPr>
        <w:pStyle w:val="TOC2"/>
        <w:rPr>
          <w:rFonts w:asciiTheme="minorHAnsi" w:eastAsiaTheme="minorEastAsia" w:hAnsiTheme="minorHAnsi" w:cstheme="minorBidi"/>
          <w:b w:val="0"/>
          <w:smallCaps w:val="0"/>
          <w:sz w:val="22"/>
        </w:rPr>
      </w:pPr>
      <w:hyperlink w:anchor="_Toc29994562" w:history="1">
        <w:r w:rsidR="00136C7D" w:rsidRPr="00D85C65">
          <w:rPr>
            <w:rStyle w:val="Hyperlink"/>
            <w:rFonts w:ascii="Times New Roman" w:hAnsi="Times New Roman"/>
          </w:rPr>
          <w:t>7.</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C 33.00 – Expozície voči orgánom verejnej správy (GOV)</w:t>
        </w:r>
        <w:r w:rsidR="00136C7D" w:rsidRPr="00D85C65">
          <w:rPr>
            <w:webHidden/>
          </w:rPr>
          <w:tab/>
        </w:r>
        <w:r w:rsidR="00136C7D" w:rsidRPr="00D85C65">
          <w:rPr>
            <w:webHidden/>
          </w:rPr>
          <w:fldChar w:fldCharType="begin"/>
        </w:r>
        <w:r w:rsidR="00136C7D" w:rsidRPr="00D85C65">
          <w:rPr>
            <w:webHidden/>
          </w:rPr>
          <w:instrText xml:space="preserve"> PAGEREF _Toc29994562 \h </w:instrText>
        </w:r>
        <w:r w:rsidR="00136C7D" w:rsidRPr="00D85C65">
          <w:rPr>
            <w:webHidden/>
          </w:rPr>
        </w:r>
        <w:r w:rsidR="00136C7D" w:rsidRPr="00D85C65">
          <w:rPr>
            <w:webHidden/>
          </w:rPr>
          <w:fldChar w:fldCharType="separate"/>
        </w:r>
        <w:r w:rsidR="00E13EA5">
          <w:rPr>
            <w:webHidden/>
          </w:rPr>
          <w:t>205</w:t>
        </w:r>
        <w:r w:rsidR="00136C7D" w:rsidRPr="00D85C65">
          <w:rPr>
            <w:webHidden/>
          </w:rPr>
          <w:fldChar w:fldCharType="end"/>
        </w:r>
      </w:hyperlink>
    </w:p>
    <w:p w14:paraId="7D1F04D9" w14:textId="33CAC7BA" w:rsidR="00136C7D" w:rsidRPr="00D85C65" w:rsidRDefault="00530AC2">
      <w:pPr>
        <w:pStyle w:val="TOC2"/>
        <w:rPr>
          <w:rFonts w:asciiTheme="minorHAnsi" w:eastAsiaTheme="minorEastAsia" w:hAnsiTheme="minorHAnsi" w:cstheme="minorBidi"/>
          <w:b w:val="0"/>
          <w:smallCaps w:val="0"/>
          <w:sz w:val="22"/>
        </w:rPr>
      </w:pPr>
      <w:hyperlink w:anchor="_Toc29994563" w:history="1">
        <w:r w:rsidR="00136C7D" w:rsidRPr="00D85C65">
          <w:rPr>
            <w:rStyle w:val="Hyperlink"/>
            <w:rFonts w:ascii="Times New Roman" w:hAnsi="Times New Roman"/>
          </w:rPr>
          <w:t>7.1.</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Všeobecné poznámky</w:t>
        </w:r>
        <w:r w:rsidR="00136C7D" w:rsidRPr="00D85C65">
          <w:rPr>
            <w:webHidden/>
          </w:rPr>
          <w:tab/>
        </w:r>
        <w:r w:rsidR="00136C7D" w:rsidRPr="00D85C65">
          <w:rPr>
            <w:webHidden/>
          </w:rPr>
          <w:fldChar w:fldCharType="begin"/>
        </w:r>
        <w:r w:rsidR="00136C7D" w:rsidRPr="00D85C65">
          <w:rPr>
            <w:webHidden/>
          </w:rPr>
          <w:instrText xml:space="preserve"> PAGEREF _Toc29994563 \h </w:instrText>
        </w:r>
        <w:r w:rsidR="00136C7D" w:rsidRPr="00D85C65">
          <w:rPr>
            <w:webHidden/>
          </w:rPr>
        </w:r>
        <w:r w:rsidR="00136C7D" w:rsidRPr="00D85C65">
          <w:rPr>
            <w:webHidden/>
          </w:rPr>
          <w:fldChar w:fldCharType="separate"/>
        </w:r>
        <w:r w:rsidR="00E13EA5">
          <w:rPr>
            <w:webHidden/>
          </w:rPr>
          <w:t>205</w:t>
        </w:r>
        <w:r w:rsidR="00136C7D" w:rsidRPr="00D85C65">
          <w:rPr>
            <w:webHidden/>
          </w:rPr>
          <w:fldChar w:fldCharType="end"/>
        </w:r>
      </w:hyperlink>
    </w:p>
    <w:p w14:paraId="2A09F524" w14:textId="4A56F6D6" w:rsidR="00136C7D" w:rsidRPr="00D85C65" w:rsidRDefault="00530AC2">
      <w:pPr>
        <w:pStyle w:val="TOC2"/>
        <w:rPr>
          <w:rFonts w:asciiTheme="minorHAnsi" w:eastAsiaTheme="minorEastAsia" w:hAnsiTheme="minorHAnsi" w:cstheme="minorBidi"/>
          <w:b w:val="0"/>
          <w:smallCaps w:val="0"/>
          <w:sz w:val="22"/>
        </w:rPr>
      </w:pPr>
      <w:hyperlink w:anchor="_Toc29994564" w:history="1">
        <w:r w:rsidR="00136C7D" w:rsidRPr="00D85C65">
          <w:rPr>
            <w:rStyle w:val="Hyperlink"/>
            <w:rFonts w:ascii="Times New Roman" w:hAnsi="Times New Roman"/>
          </w:rPr>
          <w:t>7.2.</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Rozsah vzoru</w:t>
        </w:r>
        <w:r w:rsidR="00D85C65">
          <w:rPr>
            <w:rStyle w:val="Hyperlink"/>
            <w:rFonts w:ascii="Times New Roman" w:hAnsi="Times New Roman"/>
          </w:rPr>
          <w:t xml:space="preserve"> o </w:t>
        </w:r>
        <w:r w:rsidR="00136C7D" w:rsidRPr="00D85C65">
          <w:rPr>
            <w:rStyle w:val="Hyperlink"/>
            <w:rFonts w:ascii="Times New Roman" w:hAnsi="Times New Roman"/>
          </w:rPr>
          <w:t>expozíciách voči „orgánom verejnej správy“</w:t>
        </w:r>
        <w:r w:rsidR="00136C7D" w:rsidRPr="00D85C65">
          <w:rPr>
            <w:webHidden/>
          </w:rPr>
          <w:tab/>
        </w:r>
        <w:r w:rsidR="00136C7D" w:rsidRPr="00D85C65">
          <w:rPr>
            <w:webHidden/>
          </w:rPr>
          <w:fldChar w:fldCharType="begin"/>
        </w:r>
        <w:r w:rsidR="00136C7D" w:rsidRPr="00D85C65">
          <w:rPr>
            <w:webHidden/>
          </w:rPr>
          <w:instrText xml:space="preserve"> PAGEREF _Toc29994564 \h </w:instrText>
        </w:r>
        <w:r w:rsidR="00136C7D" w:rsidRPr="00D85C65">
          <w:rPr>
            <w:webHidden/>
          </w:rPr>
        </w:r>
        <w:r w:rsidR="00136C7D" w:rsidRPr="00D85C65">
          <w:rPr>
            <w:webHidden/>
          </w:rPr>
          <w:fldChar w:fldCharType="separate"/>
        </w:r>
        <w:r w:rsidR="00E13EA5">
          <w:rPr>
            <w:webHidden/>
          </w:rPr>
          <w:t>206</w:t>
        </w:r>
        <w:r w:rsidR="00136C7D" w:rsidRPr="00D85C65">
          <w:rPr>
            <w:webHidden/>
          </w:rPr>
          <w:fldChar w:fldCharType="end"/>
        </w:r>
      </w:hyperlink>
    </w:p>
    <w:p w14:paraId="5B0E26BD" w14:textId="7E059762" w:rsidR="00136C7D" w:rsidRPr="00D85C65" w:rsidRDefault="00530AC2">
      <w:pPr>
        <w:pStyle w:val="TOC2"/>
        <w:rPr>
          <w:rFonts w:asciiTheme="minorHAnsi" w:eastAsiaTheme="minorEastAsia" w:hAnsiTheme="minorHAnsi" w:cstheme="minorBidi"/>
          <w:b w:val="0"/>
          <w:smallCaps w:val="0"/>
          <w:sz w:val="22"/>
        </w:rPr>
      </w:pPr>
      <w:hyperlink w:anchor="_Toc29994565" w:history="1">
        <w:r w:rsidR="00136C7D" w:rsidRPr="00D85C65">
          <w:rPr>
            <w:rStyle w:val="Hyperlink"/>
            <w:rFonts w:ascii="Times New Roman" w:hAnsi="Times New Roman"/>
          </w:rPr>
          <w:t>7.3.</w:t>
        </w:r>
        <w:r w:rsidR="00136C7D" w:rsidRPr="00D85C65">
          <w:rPr>
            <w:rFonts w:asciiTheme="minorHAnsi" w:eastAsiaTheme="minorEastAsia" w:hAnsiTheme="minorHAnsi" w:cstheme="minorBidi"/>
            <w:b w:val="0"/>
            <w:smallCaps w:val="0"/>
            <w:sz w:val="22"/>
          </w:rPr>
          <w:tab/>
        </w:r>
        <w:r w:rsidR="00136C7D" w:rsidRPr="00D85C65">
          <w:rPr>
            <w:rStyle w:val="Hyperlink"/>
            <w:rFonts w:ascii="Times New Roman" w:hAnsi="Times New Roman"/>
          </w:rPr>
          <w:t>Pokyny týkajúce sa konkrétnych pozícií</w:t>
        </w:r>
        <w:r w:rsidR="00136C7D" w:rsidRPr="00D85C65">
          <w:rPr>
            <w:webHidden/>
          </w:rPr>
          <w:tab/>
        </w:r>
        <w:r w:rsidR="00136C7D" w:rsidRPr="00D85C65">
          <w:rPr>
            <w:webHidden/>
          </w:rPr>
          <w:fldChar w:fldCharType="begin"/>
        </w:r>
        <w:r w:rsidR="00136C7D" w:rsidRPr="00D85C65">
          <w:rPr>
            <w:webHidden/>
          </w:rPr>
          <w:instrText xml:space="preserve"> PAGEREF _Toc29994565 \h </w:instrText>
        </w:r>
        <w:r w:rsidR="00136C7D" w:rsidRPr="00D85C65">
          <w:rPr>
            <w:webHidden/>
          </w:rPr>
        </w:r>
        <w:r w:rsidR="00136C7D" w:rsidRPr="00D85C65">
          <w:rPr>
            <w:webHidden/>
          </w:rPr>
          <w:fldChar w:fldCharType="separate"/>
        </w:r>
        <w:r w:rsidR="00E13EA5">
          <w:rPr>
            <w:webHidden/>
          </w:rPr>
          <w:t>206</w:t>
        </w:r>
        <w:r w:rsidR="00136C7D" w:rsidRPr="00D85C65">
          <w:rPr>
            <w:webHidden/>
          </w:rPr>
          <w:fldChar w:fldCharType="end"/>
        </w:r>
      </w:hyperlink>
    </w:p>
    <w:p w14:paraId="7AC7042C" w14:textId="5EC5B768" w:rsidR="00235D9D" w:rsidRPr="00D85C65" w:rsidRDefault="00745369">
      <w:pPr>
        <w:rPr>
          <w:rFonts w:ascii="Times New Roman" w:hAnsi="Times New Roman"/>
          <w:sz w:val="24"/>
        </w:rPr>
        <w:sectPr w:rsidR="00235D9D" w:rsidRPr="00D85C6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D85C65">
        <w:rPr>
          <w:rFonts w:ascii="Times New Roman" w:hAnsi="Times New Roman"/>
        </w:rPr>
        <w:fldChar w:fldCharType="end"/>
      </w:r>
    </w:p>
    <w:p w14:paraId="3FF7FFE6" w14:textId="77777777" w:rsidR="00235D9D" w:rsidRPr="00D85C65" w:rsidRDefault="00235D9D">
      <w:pPr>
        <w:rPr>
          <w:rFonts w:ascii="Times New Roman" w:hAnsi="Times New Roman"/>
          <w:sz w:val="24"/>
        </w:rPr>
      </w:pPr>
    </w:p>
    <w:p w14:paraId="2820F465" w14:textId="77777777" w:rsidR="00235D9D" w:rsidRPr="00D85C65" w:rsidRDefault="002648B0">
      <w:pPr>
        <w:pStyle w:val="Heading2"/>
        <w:rPr>
          <w:rFonts w:ascii="Times New Roman" w:hAnsi="Times New Roman"/>
        </w:rPr>
      </w:pPr>
      <w:bookmarkStart w:id="0" w:name="_Toc29994443"/>
      <w:r w:rsidRPr="00D85C65">
        <w:rPr>
          <w:rFonts w:ascii="Times New Roman" w:hAnsi="Times New Roman"/>
        </w:rPr>
        <w:t>ČASŤ I: VŠEOBECNÉ POKYNY</w:t>
      </w:r>
      <w:bookmarkEnd w:id="0"/>
    </w:p>
    <w:p w14:paraId="134C985E" w14:textId="7711FDFB"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1" w:name="_Toc29994444"/>
      <w:r w:rsidRPr="00D85C65">
        <w:rPr>
          <w:rFonts w:ascii="Times New Roman" w:hAnsi="Times New Roman"/>
          <w:sz w:val="24"/>
          <w:u w:val="none"/>
        </w:rPr>
        <w:t>1.</w:t>
      </w:r>
      <w:r w:rsidRPr="00D85C65">
        <w:rPr>
          <w:rFonts w:ascii="Times New Roman" w:hAnsi="Times New Roman"/>
          <w:sz w:val="24"/>
          <w:u w:val="none"/>
        </w:rPr>
        <w:tab/>
        <w:t>Štruktúra</w:t>
      </w:r>
      <w:r w:rsidR="00D85C65">
        <w:rPr>
          <w:rFonts w:ascii="Times New Roman" w:hAnsi="Times New Roman"/>
          <w:sz w:val="24"/>
          <w:u w:val="none"/>
        </w:rPr>
        <w:t xml:space="preserve"> a </w:t>
      </w:r>
      <w:r w:rsidRPr="00D85C65">
        <w:rPr>
          <w:rFonts w:ascii="Times New Roman" w:hAnsi="Times New Roman"/>
          <w:sz w:val="24"/>
          <w:u w:val="none"/>
        </w:rPr>
        <w:t>pravidlá</w:t>
      </w:r>
      <w:bookmarkEnd w:id="1"/>
    </w:p>
    <w:p w14:paraId="7C7E012C" w14:textId="77777777"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2" w:name="_Toc29994445"/>
      <w:r w:rsidRPr="00D85C65">
        <w:rPr>
          <w:rFonts w:ascii="Times New Roman" w:hAnsi="Times New Roman"/>
          <w:sz w:val="24"/>
          <w:u w:val="none"/>
        </w:rPr>
        <w:t>1.1.</w:t>
      </w:r>
      <w:r w:rsidRPr="00D85C65">
        <w:rPr>
          <w:rFonts w:ascii="Times New Roman" w:hAnsi="Times New Roman"/>
          <w:sz w:val="24"/>
          <w:u w:val="none"/>
        </w:rPr>
        <w:tab/>
        <w:t>Štruktúra</w:t>
      </w:r>
      <w:bookmarkEnd w:id="2"/>
    </w:p>
    <w:p w14:paraId="08FFE994" w14:textId="77777777" w:rsidR="00235D9D" w:rsidRPr="00D85C65" w:rsidRDefault="00125707">
      <w:pPr>
        <w:pStyle w:val="InstructionsText2"/>
        <w:numPr>
          <w:ilvl w:val="0"/>
          <w:numId w:val="0"/>
        </w:numPr>
        <w:ind w:left="993"/>
      </w:pPr>
      <w:r w:rsidRPr="00D85C65">
        <w:t>1.</w:t>
      </w:r>
      <w:r w:rsidRPr="00D85C65">
        <w:tab/>
        <w:t>Rámec tvorí celkovo päť blokov vzorov:</w:t>
      </w:r>
    </w:p>
    <w:p w14:paraId="5CB07827" w14:textId="77777777" w:rsidR="00235D9D" w:rsidRPr="00D85C65" w:rsidRDefault="00125707">
      <w:pPr>
        <w:pStyle w:val="InstructionsText2"/>
        <w:numPr>
          <w:ilvl w:val="0"/>
          <w:numId w:val="0"/>
        </w:numPr>
        <w:ind w:left="993"/>
      </w:pPr>
      <w:r w:rsidRPr="00D85C65">
        <w:t>a)</w:t>
      </w:r>
      <w:r w:rsidRPr="00D85C65">
        <w:tab/>
        <w:t>kapitálová primeranosť, prehľad regulatórneho kapitálu; celková hodnota rizikových expozícií;</w:t>
      </w:r>
    </w:p>
    <w:p w14:paraId="78FE6281" w14:textId="55C28DCE" w:rsidR="00235D9D" w:rsidRPr="00D85C65" w:rsidRDefault="00125707">
      <w:pPr>
        <w:pStyle w:val="InstructionsText2"/>
        <w:numPr>
          <w:ilvl w:val="0"/>
          <w:numId w:val="0"/>
        </w:numPr>
        <w:ind w:left="993"/>
      </w:pPr>
      <w:r w:rsidRPr="00D85C65">
        <w:t>b)</w:t>
      </w:r>
      <w:r w:rsidRPr="00D85C65">
        <w:tab/>
        <w:t>skupinová solventnosť, prehľad plnenia požiadaviek na platobnú schopnosť jednotlivými subjektmi zahrnutými</w:t>
      </w:r>
      <w:r w:rsidR="00D85C65">
        <w:t xml:space="preserve"> v </w:t>
      </w:r>
      <w:r w:rsidRPr="00D85C65">
        <w:t>rozsahu konsolidácie vykazujúceho subjektu;</w:t>
      </w:r>
    </w:p>
    <w:p w14:paraId="5215F61C" w14:textId="50AB2971" w:rsidR="00235D9D" w:rsidRPr="00D85C65" w:rsidRDefault="00125707">
      <w:pPr>
        <w:pStyle w:val="InstructionsText2"/>
        <w:numPr>
          <w:ilvl w:val="0"/>
          <w:numId w:val="0"/>
        </w:numPr>
        <w:ind w:left="993"/>
      </w:pPr>
      <w:r w:rsidRPr="00D85C65">
        <w:t>c)</w:t>
      </w:r>
      <w:r w:rsidRPr="00D85C65">
        <w:tab/>
        <w:t>kreditné riziko (vrátane rizika protistrany, rizika zníženia kvality pohľadávok</w:t>
      </w:r>
      <w:r w:rsidR="00D85C65">
        <w:t xml:space="preserve"> z </w:t>
      </w:r>
      <w:r w:rsidRPr="00D85C65">
        <w:t>iných ako kreditných dôvodov</w:t>
      </w:r>
      <w:r w:rsidR="00D85C65">
        <w:t xml:space="preserve"> a </w:t>
      </w:r>
      <w:r w:rsidRPr="00D85C65">
        <w:t>rizika vyrovnania);</w:t>
      </w:r>
    </w:p>
    <w:p w14:paraId="2F8F64C4" w14:textId="2B41D689" w:rsidR="00235D9D" w:rsidRPr="00D85C65" w:rsidRDefault="00125707">
      <w:pPr>
        <w:pStyle w:val="InstructionsText2"/>
        <w:numPr>
          <w:ilvl w:val="0"/>
          <w:numId w:val="0"/>
        </w:numPr>
        <w:ind w:left="993"/>
      </w:pPr>
      <w:r w:rsidRPr="00D85C65">
        <w:t>d)</w:t>
      </w:r>
      <w:r w:rsidRPr="00D85C65">
        <w:tab/>
        <w:t>trhové riziko (vrátane pozičného rizika</w:t>
      </w:r>
      <w:r w:rsidR="00D85C65">
        <w:t xml:space="preserve"> v </w:t>
      </w:r>
      <w:r w:rsidRPr="00D85C65">
        <w:t>obchodnej knihe, devízového rizika, komoditného rizika</w:t>
      </w:r>
      <w:r w:rsidR="00D85C65">
        <w:t xml:space="preserve"> a </w:t>
      </w:r>
      <w:r w:rsidRPr="00D85C65">
        <w:t>rizika úpravy ocenenia pohľadávky);</w:t>
      </w:r>
    </w:p>
    <w:p w14:paraId="2B198FD1" w14:textId="77777777" w:rsidR="00235D9D" w:rsidRPr="00D85C65" w:rsidRDefault="00125707">
      <w:pPr>
        <w:pStyle w:val="InstructionsText2"/>
        <w:numPr>
          <w:ilvl w:val="0"/>
          <w:numId w:val="0"/>
        </w:numPr>
        <w:ind w:left="993"/>
      </w:pPr>
      <w:r w:rsidRPr="00D85C65">
        <w:t>e)</w:t>
      </w:r>
      <w:r w:rsidRPr="00D85C65">
        <w:tab/>
        <w:t>operačné riziko.</w:t>
      </w:r>
    </w:p>
    <w:p w14:paraId="0EAF0BE3" w14:textId="5E8DC3D4" w:rsidR="00235D9D" w:rsidRPr="00D85C65" w:rsidRDefault="00125707">
      <w:pPr>
        <w:pStyle w:val="InstructionsText2"/>
        <w:numPr>
          <w:ilvl w:val="0"/>
          <w:numId w:val="0"/>
        </w:numPr>
        <w:ind w:left="993"/>
      </w:pPr>
      <w:r w:rsidRPr="00D85C65">
        <w:t>2.</w:t>
      </w:r>
      <w:r w:rsidRPr="00D85C65">
        <w:tab/>
        <w:t>Pre každý vzor sa uvádzajú odkazy na právne predpisy.</w:t>
      </w:r>
      <w:r w:rsidR="00D85C65">
        <w:t xml:space="preserve"> V </w:t>
      </w:r>
      <w:r w:rsidRPr="00D85C65">
        <w:t>tejto časti tohto vykonávacieho nariadenia sa uvádzajú ďalšie podrobné informácie týkajúce sa všeobecnejších aspektov vykazovania pre jednotlivé bloky vzorov, pokyny týkajúce sa konkrétnych pozícií, ako aj pravidlá oceňovania.</w:t>
      </w:r>
    </w:p>
    <w:p w14:paraId="6C67B776" w14:textId="73F825C8" w:rsidR="00235D9D" w:rsidRPr="00D85C65" w:rsidRDefault="00125707">
      <w:pPr>
        <w:pStyle w:val="InstructionsText2"/>
        <w:numPr>
          <w:ilvl w:val="0"/>
          <w:numId w:val="0"/>
        </w:numPr>
        <w:ind w:left="993"/>
      </w:pPr>
      <w:r w:rsidRPr="00D85C65">
        <w:t>3.</w:t>
      </w:r>
      <w:r w:rsidRPr="00D85C65">
        <w:tab/>
        <w:t>Inštitúcie vykazujú len vzory, ktoré sú pre ne relevantné</w:t>
      </w:r>
      <w:r w:rsidR="00D85C65">
        <w:t xml:space="preserve"> v </w:t>
      </w:r>
      <w:r w:rsidRPr="00D85C65">
        <w:t>závislosti od postupu používaného na určenie požiadaviek na vlastné zdroje.</w:t>
      </w:r>
    </w:p>
    <w:p w14:paraId="61F62C51" w14:textId="6F2A6D63"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3" w:name="_Toc29994446"/>
      <w:r w:rsidRPr="00D85C65">
        <w:rPr>
          <w:rFonts w:ascii="Times New Roman" w:hAnsi="Times New Roman"/>
          <w:sz w:val="24"/>
          <w:u w:val="none"/>
        </w:rPr>
        <w:t>1.2.</w:t>
      </w:r>
      <w:r w:rsidRPr="00D85C65">
        <w:rPr>
          <w:rFonts w:ascii="Times New Roman" w:hAnsi="Times New Roman"/>
          <w:sz w:val="24"/>
          <w:u w:val="none"/>
        </w:rPr>
        <w:tab/>
        <w:t>Pravidlá číslovania</w:t>
      </w:r>
      <w:bookmarkEnd w:id="3"/>
    </w:p>
    <w:p w14:paraId="3C0F0268" w14:textId="25793F6F" w:rsidR="00235D9D" w:rsidRPr="00D85C65" w:rsidRDefault="00125707">
      <w:pPr>
        <w:pStyle w:val="InstructionsText2"/>
        <w:numPr>
          <w:ilvl w:val="0"/>
          <w:numId w:val="0"/>
        </w:numPr>
        <w:ind w:left="993"/>
      </w:pPr>
      <w:r w:rsidRPr="00D85C65">
        <w:t>4.</w:t>
      </w:r>
      <w:r w:rsidRPr="00D85C65">
        <w:tab/>
        <w:t>V dokumente sa pri odkaze na stĺpce, riadky</w:t>
      </w:r>
      <w:r w:rsidR="00D85C65">
        <w:t xml:space="preserve"> a </w:t>
      </w:r>
      <w:r w:rsidRPr="00D85C65">
        <w:t>bunky vzorov používajú pravidlá označovania stanovené</w:t>
      </w:r>
      <w:r w:rsidR="00D85C65">
        <w:t xml:space="preserve"> v </w:t>
      </w:r>
      <w:r w:rsidRPr="00D85C65">
        <w:t>bodoch 5 až 8. Vo validačných pravidlách sa uvedené číselné kódy používajú vo veľkej miere.</w:t>
      </w:r>
    </w:p>
    <w:p w14:paraId="26DC2799" w14:textId="77777777" w:rsidR="00235D9D" w:rsidRPr="00D85C65" w:rsidRDefault="00125707">
      <w:pPr>
        <w:pStyle w:val="InstructionsText2"/>
        <w:numPr>
          <w:ilvl w:val="0"/>
          <w:numId w:val="0"/>
        </w:numPr>
        <w:ind w:left="993"/>
      </w:pPr>
      <w:r w:rsidRPr="00D85C65">
        <w:t>5.</w:t>
      </w:r>
      <w:r w:rsidRPr="00D85C65">
        <w:tab/>
        <w:t>V pokynoch sa používa tento všeobecný zápis: {vzor; riadok; stĺpec}.</w:t>
      </w:r>
    </w:p>
    <w:p w14:paraId="66E7EDEC" w14:textId="7217A290" w:rsidR="00235D9D" w:rsidRPr="00D85C65" w:rsidRDefault="00125707">
      <w:pPr>
        <w:pStyle w:val="InstructionsText2"/>
        <w:numPr>
          <w:ilvl w:val="0"/>
          <w:numId w:val="0"/>
        </w:numPr>
        <w:ind w:left="993"/>
      </w:pPr>
      <w:r w:rsidRPr="00D85C65">
        <w:t>6.</w:t>
      </w:r>
      <w:r w:rsidRPr="00D85C65">
        <w:tab/>
        <w:t>V prípade validácií</w:t>
      </w:r>
      <w:r w:rsidR="00D85C65">
        <w:t xml:space="preserve"> v </w:t>
      </w:r>
      <w:r w:rsidRPr="00D85C65">
        <w:t>rámci jediného vzoru,</w:t>
      </w:r>
      <w:r w:rsidR="00D85C65">
        <w:t xml:space="preserve"> v </w:t>
      </w:r>
      <w:r w:rsidRPr="00D85C65">
        <w:t>ktorom sa používajú len dátové body daného vzoru, zápis neodkazuje na vzor: {riadok; stĺpec}.</w:t>
      </w:r>
    </w:p>
    <w:p w14:paraId="6A9F72AA" w14:textId="7D7180CE" w:rsidR="00235D9D" w:rsidRPr="00D85C65" w:rsidRDefault="00125707">
      <w:pPr>
        <w:pStyle w:val="InstructionsText2"/>
        <w:numPr>
          <w:ilvl w:val="0"/>
          <w:numId w:val="0"/>
        </w:numPr>
        <w:ind w:left="993"/>
      </w:pPr>
      <w:r w:rsidRPr="00D85C65">
        <w:t>7.</w:t>
      </w:r>
      <w:r w:rsidRPr="00D85C65">
        <w:tab/>
        <w:t>V prípade vzorov len</w:t>
      </w:r>
      <w:r w:rsidR="00D85C65">
        <w:t xml:space="preserve"> s </w:t>
      </w:r>
      <w:r w:rsidRPr="00D85C65">
        <w:t>jedným stĺpcom sa odkazuje len na riadky. {vzor; riadok}</w:t>
      </w:r>
    </w:p>
    <w:p w14:paraId="01FECE3C" w14:textId="77777777" w:rsidR="00235D9D" w:rsidRPr="00D85C65" w:rsidRDefault="00125707">
      <w:pPr>
        <w:pStyle w:val="InstructionsText2"/>
        <w:numPr>
          <w:ilvl w:val="0"/>
          <w:numId w:val="0"/>
        </w:numPr>
        <w:ind w:left="993"/>
      </w:pPr>
      <w:r w:rsidRPr="00D85C65">
        <w:t>8.</w:t>
      </w:r>
      <w:r w:rsidRPr="00D85C65">
        <w:tab/>
        <w:t>Symbol hviezdičky sa používa na vyjadrenie toho, že validácia sa vykonáva pre skôr vymedzené riadky alebo stĺpce.</w:t>
      </w:r>
    </w:p>
    <w:p w14:paraId="273A8B8C" w14:textId="4E2B1D20"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4" w:name="_Toc29994447"/>
      <w:r w:rsidRPr="00D85C65">
        <w:rPr>
          <w:rFonts w:ascii="Times New Roman" w:hAnsi="Times New Roman"/>
          <w:sz w:val="24"/>
          <w:u w:val="none"/>
        </w:rPr>
        <w:t>1.3.</w:t>
      </w:r>
      <w:r w:rsidRPr="00D85C65">
        <w:rPr>
          <w:rFonts w:ascii="Times New Roman" w:hAnsi="Times New Roman"/>
          <w:sz w:val="24"/>
          <w:u w:val="none"/>
        </w:rPr>
        <w:tab/>
        <w:t>Pravidlá používania znamienok</w:t>
      </w:r>
      <w:bookmarkEnd w:id="4"/>
    </w:p>
    <w:p w14:paraId="0C0832BC" w14:textId="4DDA2FB6" w:rsidR="00235D9D" w:rsidRPr="00D85C65" w:rsidRDefault="00125707">
      <w:pPr>
        <w:pStyle w:val="InstructionsText2"/>
        <w:numPr>
          <w:ilvl w:val="0"/>
          <w:numId w:val="0"/>
        </w:numPr>
        <w:ind w:left="993"/>
      </w:pPr>
      <w:r w:rsidRPr="00D85C65">
        <w:t>9.</w:t>
      </w:r>
      <w:r w:rsidRPr="00D85C65">
        <w:tab/>
        <w:t xml:space="preserve">Každá hodnota, ktorou sa zvyšujú vlastné zdroje alebo kapitálové požiadavky, sa vykazuje ako kladné číslo. Naopak každá hodnota, ktorou sa znižujú celkové </w:t>
      </w:r>
      <w:r w:rsidRPr="00D85C65">
        <w:lastRenderedPageBreak/>
        <w:t>vlastné zdroje alebo kapitálové požiadavky, sa vykazuje ako záporné číslo. Keď je pred označením položky záporný znak (-), pre túto položku sa neočakáva zadanie kladného čísla.</w:t>
      </w:r>
    </w:p>
    <w:p w14:paraId="318F1B9B" w14:textId="4C85DFD1" w:rsidR="00235D9D" w:rsidRPr="00D85C65" w:rsidRDefault="00304CA5">
      <w:pPr>
        <w:pStyle w:val="Instructionsberschrift2"/>
        <w:numPr>
          <w:ilvl w:val="0"/>
          <w:numId w:val="0"/>
        </w:numPr>
        <w:ind w:left="357" w:hanging="357"/>
        <w:rPr>
          <w:rFonts w:ascii="Times New Roman" w:hAnsi="Times New Roman" w:cs="Times New Roman"/>
          <w:sz w:val="24"/>
          <w:u w:val="none"/>
        </w:rPr>
      </w:pPr>
      <w:bookmarkStart w:id="5" w:name="_Toc29994448"/>
      <w:r w:rsidRPr="00D85C65">
        <w:rPr>
          <w:rFonts w:ascii="Times New Roman" w:hAnsi="Times New Roman"/>
          <w:sz w:val="24"/>
          <w:u w:val="none"/>
        </w:rPr>
        <w:t>1.4.</w:t>
      </w:r>
      <w:r w:rsidRPr="00D85C65">
        <w:rPr>
          <w:rFonts w:ascii="Times New Roman" w:hAnsi="Times New Roman"/>
          <w:sz w:val="24"/>
          <w:u w:val="none"/>
        </w:rPr>
        <w:tab/>
        <w:t>Skratky</w:t>
      </w:r>
      <w:bookmarkEnd w:id="5"/>
    </w:p>
    <w:p w14:paraId="5A22E3D2" w14:textId="413E16D7" w:rsidR="00235D9D" w:rsidRPr="00D85C65" w:rsidRDefault="00304CA5">
      <w:pPr>
        <w:pStyle w:val="InstructionsText2"/>
        <w:numPr>
          <w:ilvl w:val="0"/>
          <w:numId w:val="0"/>
        </w:numPr>
        <w:ind w:left="993"/>
      </w:pPr>
      <w:r w:rsidRPr="00D85C65">
        <w:t>9a. Na účely tejto prílohy sa nariadenie Európskeho parlamentu</w:t>
      </w:r>
      <w:r w:rsidR="00D85C65">
        <w:t xml:space="preserve"> a </w:t>
      </w:r>
      <w:r w:rsidRPr="00D85C65">
        <w:t>Rady (EÚ) č. 575/2013</w:t>
      </w:r>
      <w:r w:rsidRPr="00D85C65">
        <w:rPr>
          <w:rStyle w:val="FootnoteReference"/>
          <w:rFonts w:ascii="Times New Roman" w:hAnsi="Times New Roman"/>
          <w:sz w:val="24"/>
          <w:szCs w:val="24"/>
          <w:vertAlign w:val="superscript"/>
        </w:rPr>
        <w:footnoteReference w:id="2"/>
      </w:r>
      <w:r w:rsidRPr="00D85C65">
        <w:t xml:space="preserve"> označuje ako „CRR“, smernica Európskeho parlamentu</w:t>
      </w:r>
      <w:r w:rsidR="00D85C65">
        <w:t xml:space="preserve"> a </w:t>
      </w:r>
      <w:r w:rsidRPr="00D85C65">
        <w:t>Rady 2013/36/EÚ</w:t>
      </w:r>
      <w:r w:rsidRPr="00D85C65">
        <w:rPr>
          <w:rStyle w:val="FootnoteReference"/>
          <w:rFonts w:ascii="Times New Roman" w:hAnsi="Times New Roman"/>
          <w:sz w:val="24"/>
          <w:szCs w:val="24"/>
          <w:vertAlign w:val="superscript"/>
        </w:rPr>
        <w:footnoteReference w:id="3"/>
      </w:r>
      <w:r w:rsidRPr="00D85C65">
        <w:t xml:space="preserve"> ako „CRD“, smernica Európskeho parlamentu</w:t>
      </w:r>
      <w:r w:rsidR="00D85C65">
        <w:t xml:space="preserve"> a </w:t>
      </w:r>
      <w:r w:rsidRPr="00D85C65">
        <w:t>Rady 2013/34/EÚ</w:t>
      </w:r>
      <w:r w:rsidRPr="00D85C65">
        <w:rPr>
          <w:rStyle w:val="FootnoteReference"/>
          <w:rFonts w:ascii="Times New Roman" w:hAnsi="Times New Roman"/>
          <w:sz w:val="24"/>
          <w:szCs w:val="24"/>
          <w:vertAlign w:val="superscript"/>
        </w:rPr>
        <w:footnoteReference w:id="4"/>
      </w:r>
      <w:r w:rsidRPr="00D85C65">
        <w:t xml:space="preserve"> ako „AD“</w:t>
      </w:r>
      <w:r w:rsidR="00D85C65">
        <w:t xml:space="preserve"> a </w:t>
      </w:r>
      <w:r w:rsidRPr="00D85C65">
        <w:t>smernica Rady 86/635/ES</w:t>
      </w:r>
      <w:r w:rsidRPr="00D85C65">
        <w:rPr>
          <w:rStyle w:val="FootnoteReference"/>
          <w:rFonts w:ascii="Times New Roman" w:hAnsi="Times New Roman"/>
          <w:sz w:val="24"/>
          <w:szCs w:val="24"/>
          <w:vertAlign w:val="superscript"/>
        </w:rPr>
        <w:footnoteReference w:id="5"/>
      </w:r>
      <w:r w:rsidRPr="00D85C65">
        <w:t xml:space="preserve"> ako „BAD“.</w:t>
      </w:r>
    </w:p>
    <w:p w14:paraId="078AD951" w14:textId="77777777" w:rsidR="00235D9D" w:rsidRPr="00D85C65" w:rsidRDefault="00235D9D">
      <w:pPr>
        <w:pStyle w:val="InstructionsText2"/>
        <w:numPr>
          <w:ilvl w:val="0"/>
          <w:numId w:val="0"/>
        </w:numPr>
        <w:ind w:left="993"/>
      </w:pPr>
    </w:p>
    <w:p w14:paraId="74BFACB9" w14:textId="77777777" w:rsidR="00235D9D" w:rsidRPr="00D85C65" w:rsidRDefault="00235D9D">
      <w:pPr>
        <w:pStyle w:val="InstructionsText2"/>
        <w:sectPr w:rsidR="00235D9D" w:rsidRPr="00D85C65" w:rsidSect="00A801A9">
          <w:endnotePr>
            <w:numFmt w:val="decimal"/>
          </w:endnotePr>
          <w:pgSz w:w="11906" w:h="16838"/>
          <w:pgMar w:top="1417" w:right="1417" w:bottom="1134" w:left="1417" w:header="708" w:footer="708" w:gutter="0"/>
          <w:cols w:space="708"/>
          <w:rtlGutter/>
          <w:docGrid w:linePitch="360"/>
        </w:sectPr>
      </w:pPr>
    </w:p>
    <w:p w14:paraId="78522D2A" w14:textId="77777777" w:rsidR="00235D9D" w:rsidRPr="00D85C65" w:rsidRDefault="00235D9D">
      <w:pPr>
        <w:rPr>
          <w:rFonts w:ascii="Times New Roman" w:hAnsi="Times New Roman"/>
          <w:sz w:val="24"/>
        </w:rPr>
      </w:pPr>
    </w:p>
    <w:p w14:paraId="039B9D1F" w14:textId="77777777" w:rsidR="00235D9D" w:rsidRPr="00D85C65" w:rsidRDefault="002648B0">
      <w:pPr>
        <w:pStyle w:val="Heading2"/>
        <w:rPr>
          <w:rFonts w:ascii="Times New Roman" w:hAnsi="Times New Roman"/>
        </w:rPr>
      </w:pPr>
      <w:bookmarkStart w:id="6" w:name="_Toc29994449"/>
      <w:r w:rsidRPr="00D85C65">
        <w:rPr>
          <w:rFonts w:ascii="Times New Roman" w:hAnsi="Times New Roman"/>
        </w:rPr>
        <w:t>ČASŤ II: POKYNY TÝKAJÚCE SA VZOROV</w:t>
      </w:r>
      <w:bookmarkEnd w:id="6"/>
    </w:p>
    <w:p w14:paraId="03E7614B" w14:textId="77777777"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7" w:name="_Toc29994450"/>
      <w:r w:rsidRPr="00D85C65">
        <w:rPr>
          <w:rFonts w:ascii="Times New Roman" w:hAnsi="Times New Roman"/>
          <w:sz w:val="24"/>
          <w:u w:val="none"/>
        </w:rPr>
        <w:t>1.</w:t>
      </w:r>
      <w:r w:rsidRPr="00D85C65">
        <w:rPr>
          <w:rFonts w:ascii="Times New Roman" w:hAnsi="Times New Roman"/>
          <w:sz w:val="24"/>
          <w:u w:val="none"/>
        </w:rPr>
        <w:tab/>
        <w:t>Prehľad kapitálovej primeranosti (CA)</w:t>
      </w:r>
      <w:bookmarkEnd w:id="7"/>
    </w:p>
    <w:p w14:paraId="5E8C221B" w14:textId="77777777"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8" w:name="_Toc29994451"/>
      <w:r w:rsidRPr="00D85C65">
        <w:rPr>
          <w:rFonts w:ascii="Times New Roman" w:hAnsi="Times New Roman"/>
          <w:sz w:val="24"/>
          <w:u w:val="none"/>
        </w:rPr>
        <w:t>1.1.</w:t>
      </w:r>
      <w:r w:rsidRPr="00D85C65">
        <w:rPr>
          <w:rFonts w:ascii="Times New Roman" w:hAnsi="Times New Roman"/>
          <w:sz w:val="24"/>
          <w:u w:val="none"/>
        </w:rPr>
        <w:tab/>
        <w:t>Všeobecné poznámky</w:t>
      </w:r>
      <w:bookmarkEnd w:id="8"/>
    </w:p>
    <w:p w14:paraId="14B7B81E" w14:textId="39D50CF3" w:rsidR="00D85C65" w:rsidRDefault="00125707">
      <w:pPr>
        <w:pStyle w:val="InstructionsText2"/>
        <w:numPr>
          <w:ilvl w:val="0"/>
          <w:numId w:val="0"/>
        </w:numPr>
        <w:ind w:left="993"/>
      </w:pPr>
      <w:r w:rsidRPr="00D85C65">
        <w:t>10.</w:t>
      </w:r>
      <w:r w:rsidRPr="00D85C65">
        <w:tab/>
        <w:t>Vzory CA obsahujú informácie</w:t>
      </w:r>
      <w:r w:rsidR="00D85C65">
        <w:t xml:space="preserve"> o </w:t>
      </w:r>
      <w:r w:rsidRPr="00D85C65">
        <w:t>čitateľoch piliera 1 (vlastné zdroje, Tier 1, vlastný kapitál Tier 1), menovateli (požiadavky na vlastné zdroje)</w:t>
      </w:r>
      <w:r w:rsidR="00D85C65">
        <w:t xml:space="preserve"> a o </w:t>
      </w:r>
      <w:r w:rsidRPr="00D85C65">
        <w:t>uplatňovaní prechodných ustanovení CRR</w:t>
      </w:r>
      <w:r w:rsidR="00D85C65">
        <w:t xml:space="preserve"> a </w:t>
      </w:r>
      <w:r w:rsidRPr="00D85C65">
        <w:t>CRD</w:t>
      </w:r>
      <w:r w:rsidR="00D85C65">
        <w:t xml:space="preserve"> a </w:t>
      </w:r>
      <w:r w:rsidRPr="00D85C65">
        <w:t>sú rozdelené do piatich vzorov</w:t>
      </w:r>
      <w:r w:rsidR="00D85C65">
        <w:t>:</w:t>
      </w:r>
    </w:p>
    <w:p w14:paraId="050AEB14" w14:textId="730EC69C" w:rsidR="00235D9D" w:rsidRPr="00D85C65" w:rsidRDefault="00125707">
      <w:pPr>
        <w:pStyle w:val="InstructionsText2"/>
        <w:numPr>
          <w:ilvl w:val="0"/>
          <w:numId w:val="0"/>
        </w:numPr>
        <w:ind w:left="993"/>
      </w:pPr>
      <w:r w:rsidRPr="00D85C65">
        <w:t>a)</w:t>
      </w:r>
      <w:r w:rsidRPr="00D85C65">
        <w:tab/>
        <w:t>Vzor CA1 obsahuje výšku vlastných zdrojov inštitúcií rozčlenenú na položky potrebné na dosiahnutie tejto hodnoty. Získaná výška vlastných zdrojov zahŕňa súhrnný účinok uplatňovania prechodných ustanovení CRR</w:t>
      </w:r>
      <w:r w:rsidR="00D85C65">
        <w:t xml:space="preserve"> a </w:t>
      </w:r>
      <w:r w:rsidRPr="00D85C65">
        <w:t>CRD podľa typu kapitálu;</w:t>
      </w:r>
    </w:p>
    <w:p w14:paraId="0EE918CA" w14:textId="7E7A2824" w:rsidR="00235D9D" w:rsidRPr="00D85C65" w:rsidRDefault="00125707">
      <w:pPr>
        <w:pStyle w:val="InstructionsText2"/>
        <w:numPr>
          <w:ilvl w:val="0"/>
          <w:numId w:val="0"/>
        </w:numPr>
        <w:ind w:left="993"/>
      </w:pPr>
      <w:r w:rsidRPr="00D85C65">
        <w:t>b)</w:t>
      </w:r>
      <w:r w:rsidRPr="00D85C65">
        <w:tab/>
        <w:t>Vo vzore CA2 sú zhrnuté celkové hodnoty rizikových expozícií podľa vymedzenia</w:t>
      </w:r>
      <w:r w:rsidR="00D85C65">
        <w:t xml:space="preserve"> v </w:t>
      </w:r>
      <w:r w:rsidRPr="00D85C65">
        <w:t>článku 92 ods. 3 CRR;</w:t>
      </w:r>
    </w:p>
    <w:p w14:paraId="1F68AB8A" w14:textId="54CBEBF3" w:rsidR="00235D9D" w:rsidRPr="00D85C65" w:rsidRDefault="00125707">
      <w:pPr>
        <w:pStyle w:val="InstructionsText2"/>
        <w:numPr>
          <w:ilvl w:val="0"/>
          <w:numId w:val="0"/>
        </w:numPr>
        <w:ind w:left="993"/>
      </w:pPr>
      <w:r w:rsidRPr="00D85C65">
        <w:t>c)</w:t>
      </w:r>
      <w:r w:rsidRPr="00D85C65">
        <w:tab/>
        <w:t>Vzor CA3 obsahuje pomery, pre ktoré sa</w:t>
      </w:r>
      <w:r w:rsidR="00D85C65">
        <w:t xml:space="preserve"> v </w:t>
      </w:r>
      <w:r w:rsidRPr="00D85C65">
        <w:t>CRR požaduje minimálna úroveň,</w:t>
      </w:r>
      <w:r w:rsidR="00D85C65">
        <w:t xml:space="preserve"> a </w:t>
      </w:r>
      <w:r w:rsidRPr="00D85C65">
        <w:t>určité ďalšie súvisiace údaje;</w:t>
      </w:r>
    </w:p>
    <w:p w14:paraId="51037F9F" w14:textId="2A36B56B" w:rsidR="00D85C65" w:rsidRDefault="00125707">
      <w:pPr>
        <w:pStyle w:val="InstructionsText2"/>
        <w:numPr>
          <w:ilvl w:val="0"/>
          <w:numId w:val="0"/>
        </w:numPr>
        <w:ind w:left="993"/>
      </w:pPr>
      <w:r w:rsidRPr="00D85C65">
        <w:t>d)</w:t>
      </w:r>
      <w:r w:rsidRPr="00D85C65">
        <w:tab/>
        <w:t>Vzor CA4 obsahuje doplňujúce položky potrebné, okrem iného, na výpočet položiek vo vzore CA1, ako aj informácie týkajúce sa kapitálových vankúšov smernice</w:t>
      </w:r>
      <w:r w:rsidR="00D85C65">
        <w:t xml:space="preserve"> o </w:t>
      </w:r>
      <w:r w:rsidRPr="00D85C65">
        <w:t>kapitálových požiadavkách (CRD)</w:t>
      </w:r>
      <w:r w:rsidR="00D85C65">
        <w:t>;</w:t>
      </w:r>
    </w:p>
    <w:p w14:paraId="7436775E" w14:textId="413F2C5B" w:rsidR="00235D9D" w:rsidRPr="00D85C65" w:rsidRDefault="00125707">
      <w:pPr>
        <w:pStyle w:val="InstructionsText2"/>
        <w:numPr>
          <w:ilvl w:val="0"/>
          <w:numId w:val="0"/>
        </w:numPr>
        <w:ind w:left="993"/>
      </w:pPr>
      <w:r w:rsidRPr="00D85C65">
        <w:t>e)</w:t>
      </w:r>
      <w:r w:rsidRPr="00D85C65">
        <w:tab/>
        <w:t>Vzor CA5 obsahuje údaje potrebné na výpočet účinku uplatňovania prechodných ustanovení CRR</w:t>
      </w:r>
      <w:r w:rsidR="00D85C65">
        <w:t xml:space="preserve"> a </w:t>
      </w:r>
      <w:r w:rsidRPr="00D85C65">
        <w:t>CRD na vlastné zdroje. Vzor CA5 prestane existovať po uplynutí platnosti uvedených prechodných ustanovení.</w:t>
      </w:r>
    </w:p>
    <w:p w14:paraId="688E5180" w14:textId="6543634D" w:rsidR="00235D9D" w:rsidRPr="00D85C65" w:rsidRDefault="00125707">
      <w:pPr>
        <w:pStyle w:val="InstructionsText2"/>
        <w:numPr>
          <w:ilvl w:val="0"/>
          <w:numId w:val="0"/>
        </w:numPr>
        <w:ind w:left="993"/>
      </w:pPr>
      <w:r w:rsidRPr="00D85C65">
        <w:t>11.</w:t>
      </w:r>
      <w:r w:rsidRPr="00D85C65">
        <w:tab/>
        <w:t>Vzory sa vzťahujú na všetky vykazujúce subjekty bez ohľadu na používané účtovné štandardy, aj keď niektoré položky</w:t>
      </w:r>
      <w:r w:rsidR="00D85C65">
        <w:t xml:space="preserve"> v </w:t>
      </w:r>
      <w:r w:rsidRPr="00D85C65">
        <w:t>čitateli sú špecifické pre subjekty, ktoré používajú pravidlá oceňovania podľa IAS/IFRS. Informácie</w:t>
      </w:r>
      <w:r w:rsidR="00D85C65">
        <w:t xml:space="preserve"> v </w:t>
      </w:r>
      <w:r w:rsidRPr="00D85C65">
        <w:t>menovateli sú vo všeobecnosti spojené</w:t>
      </w:r>
      <w:r w:rsidR="00D85C65">
        <w:t xml:space="preserve"> s </w:t>
      </w:r>
      <w:r w:rsidRPr="00D85C65">
        <w:t>konečnými výsledkami vykazovanými</w:t>
      </w:r>
      <w:r w:rsidR="00D85C65">
        <w:t xml:space="preserve"> v </w:t>
      </w:r>
      <w:r w:rsidRPr="00D85C65">
        <w:t>príslušných vzoroch na výpočet celkovej hodnoty rizikových expozícií.</w:t>
      </w:r>
    </w:p>
    <w:p w14:paraId="094A9795" w14:textId="141543B0" w:rsidR="00D85C65" w:rsidRDefault="00125707">
      <w:pPr>
        <w:pStyle w:val="InstructionsText2"/>
        <w:numPr>
          <w:ilvl w:val="0"/>
          <w:numId w:val="0"/>
        </w:numPr>
        <w:ind w:left="993"/>
      </w:pPr>
      <w:r w:rsidRPr="00D85C65">
        <w:t>12.</w:t>
      </w:r>
      <w:r w:rsidRPr="00D85C65">
        <w:tab/>
        <w:t>Celkové vlastné zdroje sa skladajú</w:t>
      </w:r>
      <w:r w:rsidR="00D85C65">
        <w:t xml:space="preserve"> z </w:t>
      </w:r>
      <w:r w:rsidRPr="00D85C65">
        <w:t>rôznych typov kapitálu: kapitál Tier 1 (T1), ktorý je súčtom vlastného kapitálu Tier 1 (CET1), dodatočného kapitálu Tier 1 (AT1)</w:t>
      </w:r>
      <w:r w:rsidR="00D85C65">
        <w:t xml:space="preserve"> a </w:t>
      </w:r>
      <w:r w:rsidRPr="00D85C65">
        <w:t>kapitálu Tier 2 (T2)</w:t>
      </w:r>
      <w:r w:rsidR="00D85C65">
        <w:t>.</w:t>
      </w:r>
    </w:p>
    <w:p w14:paraId="50579230" w14:textId="3974543E" w:rsidR="00235D9D" w:rsidRPr="00D85C65" w:rsidRDefault="00125707">
      <w:pPr>
        <w:pStyle w:val="InstructionsText2"/>
        <w:numPr>
          <w:ilvl w:val="0"/>
          <w:numId w:val="0"/>
        </w:numPr>
        <w:ind w:left="993"/>
      </w:pPr>
      <w:r w:rsidRPr="00D85C65">
        <w:t>13.</w:t>
      </w:r>
      <w:r w:rsidRPr="00D85C65">
        <w:tab/>
        <w:t>S uplatňovaním prechodných ustanovení CRR</w:t>
      </w:r>
      <w:r w:rsidR="00D85C65">
        <w:t xml:space="preserve"> a </w:t>
      </w:r>
      <w:r w:rsidRPr="00D85C65">
        <w:t>CRD sa vo vzoroch CA zaobchádza takto:</w:t>
      </w:r>
    </w:p>
    <w:p w14:paraId="4A902CA7" w14:textId="6242D2B6" w:rsidR="00235D9D" w:rsidRPr="00D85C65" w:rsidRDefault="00125707">
      <w:pPr>
        <w:pStyle w:val="InstructionsText2"/>
        <w:numPr>
          <w:ilvl w:val="0"/>
          <w:numId w:val="0"/>
        </w:numPr>
        <w:ind w:left="993"/>
      </w:pPr>
      <w:r w:rsidRPr="00D85C65">
        <w:t>a)</w:t>
      </w:r>
      <w:r w:rsidRPr="00D85C65">
        <w:tab/>
        <w:t>položky vo vzore CA1 sa vo všeobecnosti uvádzajú pred uplatnením prechodných úprav. Znamená to, že číselné hodnoty</w:t>
      </w:r>
      <w:r w:rsidR="00D85C65">
        <w:t xml:space="preserve"> v </w:t>
      </w:r>
      <w:r w:rsidRPr="00D85C65">
        <w:t>položkách CA1 sa vypočítavajú podľa konečných ustanovení (t. j. akoby neexistovali prechodné ustanovenia)</w:t>
      </w:r>
      <w:r w:rsidR="00D85C65">
        <w:t xml:space="preserve"> s </w:t>
      </w:r>
      <w:r w:rsidRPr="00D85C65">
        <w:t>výnimkou položiek,</w:t>
      </w:r>
      <w:r w:rsidR="00D85C65">
        <w:t xml:space="preserve"> v </w:t>
      </w:r>
      <w:r w:rsidRPr="00D85C65">
        <w:t>ktorých sa sumarizuje účinok uvedených prechodných ustanovení. Pre každý typ kapitálu (t. j. CET1, AT1</w:t>
      </w:r>
      <w:r w:rsidR="00D85C65">
        <w:t xml:space="preserve"> a </w:t>
      </w:r>
      <w:r w:rsidRPr="00D85C65">
        <w:t>T2) existujú tri rôzne položky,</w:t>
      </w:r>
      <w:r w:rsidR="00D85C65">
        <w:t xml:space="preserve"> v </w:t>
      </w:r>
      <w:r w:rsidRPr="00D85C65">
        <w:t>ktorých sú zahrnuté všetky úpravy vyplývajúce</w:t>
      </w:r>
      <w:r w:rsidR="00D85C65">
        <w:t xml:space="preserve"> z </w:t>
      </w:r>
      <w:r w:rsidRPr="00D85C65">
        <w:t>uvedených prechodných ustanovení.</w:t>
      </w:r>
    </w:p>
    <w:p w14:paraId="180DEE1E" w14:textId="6FFA3590" w:rsidR="00235D9D" w:rsidRPr="00D85C65" w:rsidRDefault="00125707">
      <w:pPr>
        <w:pStyle w:val="InstructionsText2"/>
        <w:numPr>
          <w:ilvl w:val="0"/>
          <w:numId w:val="0"/>
        </w:numPr>
        <w:ind w:left="993"/>
      </w:pPr>
      <w:r w:rsidRPr="00D85C65">
        <w:lastRenderedPageBreak/>
        <w:t>b)</w:t>
      </w:r>
      <w:r w:rsidRPr="00D85C65">
        <w:tab/>
        <w:t>Prechodné ustanovenia môžu ovplyvniť aj nedostatok AT1</w:t>
      </w:r>
      <w:r w:rsidR="00D85C65">
        <w:t xml:space="preserve"> a </w:t>
      </w:r>
      <w:r w:rsidRPr="00D85C65">
        <w:t>T2 [t. j. AT1 alebo T2 nadbytok odpočtov podľa ustanovení článku 36 ods. 1 písm. j)</w:t>
      </w:r>
      <w:r w:rsidR="00D85C65">
        <w:t xml:space="preserve"> a </w:t>
      </w:r>
      <w:r w:rsidRPr="00D85C65">
        <w:t>článku 56 písm. e) CRR],</w:t>
      </w:r>
      <w:r w:rsidR="00D85C65">
        <w:t xml:space="preserve"> a </w:t>
      </w:r>
      <w:r w:rsidRPr="00D85C65">
        <w:t>položky obsahujúce tieto nedostatky tak môžu nepriamo odzrkadľovať účinok uvedených prechodných ustanovení.</w:t>
      </w:r>
    </w:p>
    <w:p w14:paraId="2FDF06E3" w14:textId="77777777" w:rsidR="00D85C65" w:rsidRDefault="00125707">
      <w:pPr>
        <w:pStyle w:val="InstructionsText2"/>
        <w:numPr>
          <w:ilvl w:val="0"/>
          <w:numId w:val="0"/>
        </w:numPr>
        <w:ind w:left="993"/>
      </w:pPr>
      <w:r w:rsidRPr="00D85C65">
        <w:t>c)</w:t>
      </w:r>
      <w:r w:rsidRPr="00D85C65">
        <w:tab/>
        <w:t>Vzor CA5 sa používa výlučne na vykazovanie účinku spôsobeného uplatňovaním prechodných ustanovení CRR</w:t>
      </w:r>
      <w:r w:rsidR="00D85C65">
        <w:t>.</w:t>
      </w:r>
    </w:p>
    <w:p w14:paraId="3E23DD40" w14:textId="6EBF6827" w:rsidR="00235D9D" w:rsidRPr="00D85C65" w:rsidRDefault="00125707">
      <w:pPr>
        <w:pStyle w:val="InstructionsText2"/>
        <w:numPr>
          <w:ilvl w:val="0"/>
          <w:numId w:val="0"/>
        </w:numPr>
        <w:ind w:left="993"/>
      </w:pPr>
      <w:r w:rsidRPr="00D85C65">
        <w:t>14.</w:t>
      </w:r>
      <w:r w:rsidRPr="00D85C65">
        <w:tab/>
        <w:t>Úprava požiadaviek piliera II sa môže</w:t>
      </w:r>
      <w:r w:rsidR="00D85C65">
        <w:t xml:space="preserve"> v </w:t>
      </w:r>
      <w:r w:rsidRPr="00D85C65">
        <w:t>rámci Únie líšiť (článok 104 ods. 2 CRD sa musí transponovať do vnútroštátnych právnych predpisov). Do vykazovania platobnej schopnosti požadovaného na základe CRR sa zahrnie len vplyv požiadaviek piliera II na pomer platobnej schopnosti alebo cieľový pomer. Podrobné vykazovanie požiadaviek piliera II nie je</w:t>
      </w:r>
      <w:r w:rsidR="00D85C65">
        <w:t xml:space="preserve"> v </w:t>
      </w:r>
      <w:r w:rsidRPr="00D85C65">
        <w:t>rámci mandátu článku 99 CRR.</w:t>
      </w:r>
    </w:p>
    <w:p w14:paraId="00EBB9CB" w14:textId="4DF03B05" w:rsidR="00235D9D" w:rsidRPr="00D85C65" w:rsidRDefault="00125707">
      <w:pPr>
        <w:pStyle w:val="InstructionsText2"/>
        <w:numPr>
          <w:ilvl w:val="0"/>
          <w:numId w:val="0"/>
        </w:numPr>
        <w:ind w:left="993"/>
      </w:pPr>
      <w:r w:rsidRPr="00D85C65">
        <w:t>a)</w:t>
      </w:r>
      <w:r w:rsidRPr="00D85C65">
        <w:tab/>
        <w:t>Vzory CA1, CA2 alebo CA5 obsahujú len údaje</w:t>
      </w:r>
      <w:r w:rsidR="00D85C65">
        <w:t xml:space="preserve"> o </w:t>
      </w:r>
      <w:r w:rsidRPr="00D85C65">
        <w:t>otázkach piliera I.</w:t>
      </w:r>
    </w:p>
    <w:p w14:paraId="6E43568B" w14:textId="52A1180F" w:rsidR="00235D9D" w:rsidRPr="00D85C65" w:rsidRDefault="00125707">
      <w:pPr>
        <w:pStyle w:val="InstructionsText2"/>
        <w:numPr>
          <w:ilvl w:val="0"/>
          <w:numId w:val="0"/>
        </w:numPr>
        <w:ind w:left="993"/>
      </w:pPr>
      <w:r w:rsidRPr="00D85C65">
        <w:t>b)</w:t>
      </w:r>
      <w:r w:rsidRPr="00D85C65">
        <w:tab/>
        <w:t>Vzor CA3 obsahuje súhrnný účinok dodatočných požiadaviek piliera II na pomer platobnej schopnosti. Jeden blok sa zameriava na vplyv hodnôt na pomery, zatiaľ čo druhý blok sa zameriava na samotný pomer. Obidva bloky pomerov nie sú inak prepojené so vzormi CA1, CA2 alebo CA5.</w:t>
      </w:r>
    </w:p>
    <w:p w14:paraId="285BFC5F" w14:textId="45D2F66E" w:rsidR="00235D9D" w:rsidRPr="00D85C65" w:rsidRDefault="00125707">
      <w:pPr>
        <w:pStyle w:val="InstructionsText2"/>
        <w:numPr>
          <w:ilvl w:val="0"/>
          <w:numId w:val="0"/>
        </w:numPr>
        <w:ind w:left="993"/>
      </w:pPr>
      <w:r w:rsidRPr="00D85C65">
        <w:t>c)</w:t>
      </w:r>
      <w:r w:rsidRPr="00D85C65">
        <w:tab/>
        <w:t>Vzor CA4 obsahuje jednu bunku týkajúcu sa dodatočných požiadaviek na vlastné zdroje súvisiacich</w:t>
      </w:r>
      <w:r w:rsidR="00D85C65">
        <w:t xml:space="preserve"> s </w:t>
      </w:r>
      <w:r w:rsidRPr="00D85C65">
        <w:t>pilierom II. Uvedená bunka nie je prostredníctvom validačných pravidiel vôbec spojená</w:t>
      </w:r>
      <w:r w:rsidR="00D85C65">
        <w:t xml:space="preserve"> s </w:t>
      </w:r>
      <w:r w:rsidRPr="00D85C65">
        <w:t>pomermi kapitálu vzoru CA3</w:t>
      </w:r>
      <w:r w:rsidR="00D85C65">
        <w:t xml:space="preserve"> a </w:t>
      </w:r>
      <w:r w:rsidRPr="00D85C65">
        <w:t>odzrkadľuje článok 104 ods. 2 CRD,</w:t>
      </w:r>
      <w:r w:rsidR="00D85C65">
        <w:t xml:space="preserve"> v </w:t>
      </w:r>
      <w:r w:rsidRPr="00D85C65">
        <w:t>ktorom sa výslovne uvádzajú dodatočné požiadavky na vlastné zdroje ako jedna</w:t>
      </w:r>
      <w:r w:rsidR="00D85C65">
        <w:t xml:space="preserve"> z </w:t>
      </w:r>
      <w:r w:rsidRPr="00D85C65">
        <w:t>možností pre rozhodnutia piliera II.</w:t>
      </w:r>
    </w:p>
    <w:p w14:paraId="2018C05C" w14:textId="378F8D5F" w:rsidR="00D85C65" w:rsidRDefault="00125707">
      <w:pPr>
        <w:pStyle w:val="Instructionsberschrift2"/>
        <w:numPr>
          <w:ilvl w:val="0"/>
          <w:numId w:val="0"/>
        </w:numPr>
        <w:ind w:left="357" w:hanging="357"/>
        <w:rPr>
          <w:rFonts w:ascii="Times New Roman" w:hAnsi="Times New Roman"/>
          <w:sz w:val="24"/>
        </w:rPr>
      </w:pPr>
      <w:bookmarkStart w:id="9" w:name="_Toc29994452"/>
      <w:r w:rsidRPr="00D85C65">
        <w:rPr>
          <w:rFonts w:ascii="Times New Roman" w:hAnsi="Times New Roman"/>
          <w:sz w:val="24"/>
          <w:u w:val="none"/>
        </w:rPr>
        <w:t>1.2.</w:t>
      </w:r>
      <w:r w:rsidRPr="00D85C65">
        <w:rPr>
          <w:rFonts w:ascii="Times New Roman" w:hAnsi="Times New Roman"/>
          <w:sz w:val="24"/>
          <w:u w:val="none"/>
        </w:rPr>
        <w:tab/>
      </w:r>
      <w:r w:rsidRPr="00D85C65">
        <w:rPr>
          <w:rFonts w:ascii="Times New Roman" w:hAnsi="Times New Roman"/>
          <w:sz w:val="24"/>
        </w:rPr>
        <w:t>C 01.00 – VLASTNÉ ZDROJE (CA1)</w:t>
      </w:r>
      <w:bookmarkEnd w:id="9"/>
    </w:p>
    <w:p w14:paraId="1640AAF5" w14:textId="3136D867" w:rsidR="00235D9D" w:rsidRPr="00D85C65" w:rsidRDefault="00125707">
      <w:pPr>
        <w:pStyle w:val="Instructionsberschrift2"/>
        <w:numPr>
          <w:ilvl w:val="0"/>
          <w:numId w:val="0"/>
        </w:numPr>
        <w:ind w:left="357" w:hanging="357"/>
        <w:rPr>
          <w:rFonts w:ascii="Times New Roman" w:hAnsi="Times New Roman" w:cs="Times New Roman"/>
          <w:sz w:val="24"/>
        </w:rPr>
      </w:pPr>
      <w:bookmarkStart w:id="10" w:name="_Toc29994453"/>
      <w:r w:rsidRPr="00D85C65">
        <w:rPr>
          <w:rFonts w:ascii="Times New Roman" w:hAnsi="Times New Roman"/>
          <w:sz w:val="24"/>
          <w:u w:val="none"/>
        </w:rPr>
        <w:t>1.2.1.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0"/>
    </w:p>
    <w:p w14:paraId="49EB31E0" w14:textId="77777777" w:rsidR="00235D9D" w:rsidRPr="00D85C65" w:rsidRDefault="00235D9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35D9D" w:rsidRPr="00D85C65" w14:paraId="5D5CC09A" w14:textId="77777777" w:rsidTr="00672D2A">
        <w:tc>
          <w:tcPr>
            <w:tcW w:w="1129" w:type="dxa"/>
            <w:shd w:val="clear" w:color="auto" w:fill="D9D9D9"/>
          </w:tcPr>
          <w:p w14:paraId="5EE5330B" w14:textId="77777777" w:rsidR="00235D9D" w:rsidRPr="00D85C65" w:rsidRDefault="002648B0">
            <w:pPr>
              <w:pStyle w:val="InstructionsText"/>
              <w:rPr>
                <w:rStyle w:val="InstructionsTabelleText"/>
                <w:rFonts w:ascii="Times New Roman" w:hAnsi="Times New Roman"/>
                <w:bCs/>
                <w:sz w:val="24"/>
              </w:rPr>
            </w:pPr>
            <w:r w:rsidRPr="00D85C65">
              <w:rPr>
                <w:rStyle w:val="InstructionsTabelleText"/>
                <w:rFonts w:ascii="Times New Roman" w:hAnsi="Times New Roman"/>
                <w:sz w:val="24"/>
              </w:rPr>
              <w:t>Riadok</w:t>
            </w:r>
          </w:p>
        </w:tc>
        <w:tc>
          <w:tcPr>
            <w:tcW w:w="7620" w:type="dxa"/>
            <w:shd w:val="clear" w:color="auto" w:fill="D9D9D9"/>
          </w:tcPr>
          <w:p w14:paraId="19E41094" w14:textId="6C310B74" w:rsidR="00235D9D" w:rsidRPr="00D85C65" w:rsidRDefault="002648B0">
            <w:pPr>
              <w:pStyle w:val="InstructionsText"/>
              <w:rPr>
                <w:rStyle w:val="InstructionsTabelleText"/>
                <w:rFonts w:ascii="Times New Roman" w:hAnsi="Times New Roman"/>
                <w:bCs/>
                <w:sz w:val="24"/>
              </w:rPr>
            </w:pPr>
            <w:r w:rsidRPr="00D85C65">
              <w:rPr>
                <w:rStyle w:val="InstructionsTabelleText"/>
                <w:rFonts w:ascii="Times New Roman" w:hAnsi="Times New Roman"/>
                <w:sz w:val="24"/>
              </w:rPr>
              <w:t>Odkazy na právne predpisy</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pokyny</w:t>
            </w:r>
          </w:p>
        </w:tc>
      </w:tr>
      <w:tr w:rsidR="00235D9D" w:rsidRPr="00D85C65" w14:paraId="0E5D273A" w14:textId="77777777" w:rsidTr="00672D2A">
        <w:tc>
          <w:tcPr>
            <w:tcW w:w="1129" w:type="dxa"/>
          </w:tcPr>
          <w:p w14:paraId="4A55AEAF"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010</w:t>
            </w:r>
          </w:p>
        </w:tc>
        <w:tc>
          <w:tcPr>
            <w:tcW w:w="7620" w:type="dxa"/>
          </w:tcPr>
          <w:p w14:paraId="541B4823" w14:textId="77777777" w:rsidR="00235D9D" w:rsidRPr="00D85C65" w:rsidRDefault="00C66473">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w:t>
            </w:r>
            <w:r w:rsidRPr="00D85C65">
              <w:rPr>
                <w:rStyle w:val="InstructionsTabelleberschrift"/>
                <w:rFonts w:ascii="Times New Roman" w:hAnsi="Times New Roman"/>
                <w:sz w:val="24"/>
              </w:rPr>
              <w:tab/>
              <w:t>Vlastné zdroje</w:t>
            </w:r>
          </w:p>
          <w:p w14:paraId="35AB5B61" w14:textId="5011AF9A"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72 CRR.</w:t>
            </w:r>
          </w:p>
          <w:p w14:paraId="09DD6AF6" w14:textId="4830DF90" w:rsidR="00235D9D" w:rsidRPr="00D85C65" w:rsidRDefault="002648B0">
            <w:pPr>
              <w:pStyle w:val="InstructionsText"/>
              <w:rPr>
                <w:rStyle w:val="InstructionsTabelleberschrift"/>
                <w:rFonts w:ascii="Times New Roman" w:hAnsi="Times New Roman"/>
                <w:sz w:val="24"/>
              </w:rPr>
            </w:pPr>
            <w:r w:rsidRPr="00D85C65">
              <w:rPr>
                <w:rStyle w:val="FormatvorlageInstructionsTabelleText"/>
                <w:rFonts w:ascii="Times New Roman" w:hAnsi="Times New Roman"/>
                <w:sz w:val="24"/>
              </w:rPr>
              <w:t>Vlastné zdroje inštitúcie pozostávajú zo súčtu jej kapitálu Tier 1</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kapitálu Tier 2.</w:t>
            </w:r>
          </w:p>
        </w:tc>
      </w:tr>
      <w:tr w:rsidR="00235D9D" w:rsidRPr="00D85C65" w14:paraId="16D41D9A" w14:textId="77777777" w:rsidTr="00672D2A">
        <w:tc>
          <w:tcPr>
            <w:tcW w:w="1129" w:type="dxa"/>
          </w:tcPr>
          <w:p w14:paraId="26B696F7"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015</w:t>
            </w:r>
          </w:p>
        </w:tc>
        <w:tc>
          <w:tcPr>
            <w:tcW w:w="7620" w:type="dxa"/>
          </w:tcPr>
          <w:p w14:paraId="45CA52BA" w14:textId="77777777"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w:t>
            </w:r>
            <w:r w:rsidRPr="00D85C65">
              <w:rPr>
                <w:rStyle w:val="InstructionsTabelleberschrift"/>
                <w:rFonts w:ascii="Times New Roman" w:hAnsi="Times New Roman"/>
                <w:sz w:val="24"/>
              </w:rPr>
              <w:tab/>
              <w:t>Kapitál Tier 1</w:t>
            </w:r>
          </w:p>
          <w:p w14:paraId="7DD490F8" w14:textId="0DB0C581"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25 CRR.</w:t>
            </w:r>
          </w:p>
          <w:p w14:paraId="5ECA6D68" w14:textId="38E1C035" w:rsidR="00235D9D" w:rsidRPr="00D85C65" w:rsidRDefault="00666996">
            <w:pPr>
              <w:pStyle w:val="InstructionsText"/>
              <w:rPr>
                <w:rStyle w:val="InstructionsTabelleberschrift"/>
                <w:rFonts w:ascii="Times New Roman" w:hAnsi="Times New Roman"/>
                <w:sz w:val="24"/>
              </w:rPr>
            </w:pPr>
            <w:r w:rsidRPr="00D85C65">
              <w:rPr>
                <w:rStyle w:val="FormatvorlageInstructionsTabelleText"/>
                <w:rFonts w:ascii="Times New Roman" w:hAnsi="Times New Roman"/>
                <w:sz w:val="24"/>
              </w:rPr>
              <w:t>Kapitál Tier 1 je súčtom vlastného kapitálu Tier 1</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 xml:space="preserve">dodatočného kapitálu Tier 1. </w:t>
            </w:r>
          </w:p>
        </w:tc>
      </w:tr>
      <w:tr w:rsidR="00235D9D" w:rsidRPr="00D85C65" w14:paraId="1E32E0D4" w14:textId="77777777" w:rsidTr="00672D2A">
        <w:tc>
          <w:tcPr>
            <w:tcW w:w="1129" w:type="dxa"/>
          </w:tcPr>
          <w:p w14:paraId="62806938"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020</w:t>
            </w:r>
          </w:p>
        </w:tc>
        <w:tc>
          <w:tcPr>
            <w:tcW w:w="7620" w:type="dxa"/>
          </w:tcPr>
          <w:p w14:paraId="73518619" w14:textId="77777777"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w:t>
            </w:r>
            <w:r w:rsidRPr="00D85C65">
              <w:rPr>
                <w:rStyle w:val="InstructionsTabelleberschrift"/>
                <w:rFonts w:ascii="Times New Roman" w:hAnsi="Times New Roman"/>
                <w:sz w:val="24"/>
              </w:rPr>
              <w:tab/>
              <w:t>Vlastný kapitál Tier 1 (CET1)</w:t>
            </w:r>
          </w:p>
          <w:p w14:paraId="1992577C" w14:textId="51959B83"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50 CRR.</w:t>
            </w:r>
          </w:p>
        </w:tc>
      </w:tr>
      <w:tr w:rsidR="00235D9D" w:rsidRPr="00D85C65" w14:paraId="168CAFD1" w14:textId="77777777" w:rsidTr="00672D2A">
        <w:tc>
          <w:tcPr>
            <w:tcW w:w="1129" w:type="dxa"/>
          </w:tcPr>
          <w:p w14:paraId="20E7E202"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030</w:t>
            </w:r>
          </w:p>
        </w:tc>
        <w:tc>
          <w:tcPr>
            <w:tcW w:w="7620" w:type="dxa"/>
          </w:tcPr>
          <w:p w14:paraId="7AD63B05" w14:textId="77777777" w:rsidR="00235D9D" w:rsidRPr="00D85C65" w:rsidRDefault="000120E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w:t>
            </w:r>
            <w:r w:rsidRPr="00D85C65">
              <w:rPr>
                <w:rStyle w:val="InstructionsTabelleberschrift"/>
                <w:rFonts w:ascii="Times New Roman" w:hAnsi="Times New Roman"/>
                <w:sz w:val="24"/>
              </w:rPr>
              <w:tab/>
              <w:t>Kapitálové nástroje prípustné ako kapitál CET1</w:t>
            </w:r>
          </w:p>
          <w:p w14:paraId="07A315EC" w14:textId="258016BD"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26 ods. 1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b), články 27 až 30, 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tc>
      </w:tr>
      <w:tr w:rsidR="00235D9D" w:rsidRPr="00D85C65" w14:paraId="7D83D84B" w14:textId="77777777" w:rsidTr="00672D2A">
        <w:tc>
          <w:tcPr>
            <w:tcW w:w="1129" w:type="dxa"/>
          </w:tcPr>
          <w:p w14:paraId="2E41976E"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040</w:t>
            </w:r>
          </w:p>
        </w:tc>
        <w:tc>
          <w:tcPr>
            <w:tcW w:w="7620" w:type="dxa"/>
          </w:tcPr>
          <w:p w14:paraId="255B1AC6" w14:textId="77777777"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1.1.1.1.1.</w:t>
            </w:r>
            <w:r w:rsidRPr="00D85C65">
              <w:rPr>
                <w:rStyle w:val="InstructionsTabelleberschrift"/>
                <w:rFonts w:ascii="Times New Roman" w:hAnsi="Times New Roman"/>
                <w:sz w:val="24"/>
              </w:rPr>
              <w:tab/>
              <w:t>Splatené kapitálové nástroje</w:t>
            </w:r>
          </w:p>
          <w:p w14:paraId="331EE02B" w14:textId="7FDF9404"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26 ods. 1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články 27 až 31 CRR.</w:t>
            </w:r>
          </w:p>
          <w:p w14:paraId="428A9AFA" w14:textId="5587D431" w:rsidR="00235D9D" w:rsidRPr="00D85C65" w:rsidRDefault="00543DB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Zahrnú sa kapitálové nástroje podielových fondov, družstevných spoločností alebo podobných inštitúcií (články 27</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29 CRR).</w:t>
            </w:r>
          </w:p>
          <w:p w14:paraId="5A683BFD" w14:textId="20748CB0"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týmito nástrojmi sa sem nezahrnie.</w:t>
            </w:r>
          </w:p>
          <w:p w14:paraId="6BD24A93" w14:textId="3DDBE07D" w:rsidR="00235D9D" w:rsidRPr="00D85C65" w:rsidRDefault="00543DB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Kapitálové nástroje upísané verejnými orgánmi</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núdzových situáciách sa zahrnú vtedy, ak sú splnené všetky podmienky článku 31 CRR.</w:t>
            </w:r>
          </w:p>
        </w:tc>
      </w:tr>
      <w:tr w:rsidR="00235D9D" w:rsidRPr="00D85C65" w14:paraId="4168FE51" w14:textId="77777777" w:rsidTr="00672D2A">
        <w:tc>
          <w:tcPr>
            <w:tcW w:w="1129" w:type="dxa"/>
          </w:tcPr>
          <w:p w14:paraId="460DAEDB" w14:textId="77777777" w:rsidR="00235D9D" w:rsidRPr="00D85C65" w:rsidRDefault="00216D67">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045</w:t>
            </w:r>
          </w:p>
        </w:tc>
        <w:tc>
          <w:tcPr>
            <w:tcW w:w="7620" w:type="dxa"/>
          </w:tcPr>
          <w:p w14:paraId="15F9D9E8" w14:textId="2C430354" w:rsidR="00235D9D" w:rsidRPr="00D85C65" w:rsidRDefault="00DD2C1E">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1.1.1.1.1.*</w:t>
            </w:r>
            <w:r w:rsidRPr="00D85C65">
              <w:rPr>
                <w:rStyle w:val="InstructionsTabelleberschrift"/>
                <w:rFonts w:ascii="Times New Roman" w:hAnsi="Times New Roman"/>
                <w:sz w:val="24"/>
              </w:rPr>
              <w:tab/>
              <w:t>Z čoho: Kapitálové nástroje upísané orgánmi verejnej moci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núdzových situáciách</w:t>
            </w:r>
          </w:p>
          <w:p w14:paraId="2D2964A9" w14:textId="28B40176" w:rsidR="00235D9D" w:rsidRPr="00D85C65" w:rsidRDefault="00216D67">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31 CRR.</w:t>
            </w:r>
          </w:p>
          <w:p w14:paraId="280776E5" w14:textId="2DFB0031" w:rsidR="00235D9D" w:rsidRPr="00D85C65" w:rsidRDefault="00216D67">
            <w:pPr>
              <w:pStyle w:val="InstructionsText"/>
              <w:rPr>
                <w:rStyle w:val="InstructionsTabelleberschrift"/>
                <w:rFonts w:ascii="Times New Roman" w:hAnsi="Times New Roman"/>
                <w:sz w:val="24"/>
              </w:rPr>
            </w:pPr>
            <w:r w:rsidRPr="00D85C65">
              <w:rPr>
                <w:rStyle w:val="InstructionsTabelleberschrift"/>
                <w:rFonts w:ascii="Times New Roman" w:hAnsi="Times New Roman"/>
                <w:b w:val="0"/>
                <w:sz w:val="24"/>
                <w:u w:val="none"/>
              </w:rPr>
              <w:t>Kapitálové nástroje upísané verejnými orgánmi</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núdzových situáciách sa do vlastného kapitálu Tier 1 zahrnú vtedy, ak sú splnené všetky podmienky článku 31 CRR.</w:t>
            </w:r>
          </w:p>
        </w:tc>
      </w:tr>
      <w:tr w:rsidR="00235D9D" w:rsidRPr="00D85C65" w14:paraId="3D94B46C" w14:textId="77777777" w:rsidTr="00672D2A">
        <w:tc>
          <w:tcPr>
            <w:tcW w:w="1129" w:type="dxa"/>
          </w:tcPr>
          <w:p w14:paraId="73F13C12"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050</w:t>
            </w:r>
          </w:p>
        </w:tc>
        <w:tc>
          <w:tcPr>
            <w:tcW w:w="7620" w:type="dxa"/>
          </w:tcPr>
          <w:p w14:paraId="089A65CB"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1.1.1.1.2.*</w:t>
            </w:r>
            <w:r w:rsidRPr="00D85C65">
              <w:rPr>
                <w:rStyle w:val="InstructionsTabelleberschrift"/>
                <w:rFonts w:ascii="Times New Roman" w:hAnsi="Times New Roman"/>
                <w:sz w:val="24"/>
              </w:rPr>
              <w:tab/>
              <w:t>Doplňujúca položka: Neprípustné kapitálové nástroje</w:t>
            </w:r>
          </w:p>
          <w:p w14:paraId="263FDBEA" w14:textId="0EB0A64F"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28 ods. 1 písm. b), l)</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m) CRR.</w:t>
            </w:r>
          </w:p>
          <w:p w14:paraId="7AE45833" w14:textId="0083B11F"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Podmienky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týchto písmenách vyjadrujú rôzne situácie kapitálu, ktoré sa môžu zmeniť, preto 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môže byť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ďalších obdobiach prípustná.</w:t>
            </w:r>
          </w:p>
          <w:p w14:paraId="2518A593" w14:textId="427CAA78"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nezahŕňa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nástrojmi.</w:t>
            </w:r>
          </w:p>
        </w:tc>
      </w:tr>
      <w:tr w:rsidR="00235D9D" w:rsidRPr="00D85C65" w14:paraId="622132D3" w14:textId="77777777" w:rsidTr="00672D2A">
        <w:tc>
          <w:tcPr>
            <w:tcW w:w="1129" w:type="dxa"/>
          </w:tcPr>
          <w:p w14:paraId="0CDA59AC"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060</w:t>
            </w:r>
          </w:p>
        </w:tc>
        <w:tc>
          <w:tcPr>
            <w:tcW w:w="7620" w:type="dxa"/>
          </w:tcPr>
          <w:p w14:paraId="2FAEC512"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1.1.1.1.3.</w:t>
            </w:r>
            <w:r w:rsidRPr="00D85C65">
              <w:rPr>
                <w:rStyle w:val="InstructionsTabelleberschrift"/>
                <w:rFonts w:ascii="Times New Roman" w:hAnsi="Times New Roman"/>
                <w:sz w:val="24"/>
              </w:rPr>
              <w:tab/>
              <w:t>Emisné ážio</w:t>
            </w:r>
          </w:p>
          <w:p w14:paraId="5ECB161C" w14:textId="181B8C13"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124, článok 26 ods. 1 písm. b) CRR.</w:t>
            </w:r>
          </w:p>
          <w:p w14:paraId="261E8F36" w14:textId="33CFC9DF" w:rsid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Emisné ážio má ten istý význam ako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uplatniteľnom účtovnom štandarde</w:t>
            </w:r>
            <w:r w:rsidR="00D85C65">
              <w:rPr>
                <w:rStyle w:val="FormatvorlageInstructionsTabelleText"/>
                <w:rFonts w:ascii="Times New Roman" w:hAnsi="Times New Roman"/>
                <w:sz w:val="24"/>
              </w:rPr>
              <w:t>.</w:t>
            </w:r>
          </w:p>
          <w:p w14:paraId="3FB01BA4" w14:textId="66D753C5"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 xml:space="preserve">tejto položke, je časť súvisiaca so „splatenými kapitálovými nástrojmi“. </w:t>
            </w:r>
          </w:p>
        </w:tc>
      </w:tr>
      <w:tr w:rsidR="00235D9D" w:rsidRPr="00D85C65" w14:paraId="77AC2598" w14:textId="77777777" w:rsidTr="00672D2A">
        <w:tc>
          <w:tcPr>
            <w:tcW w:w="1129" w:type="dxa"/>
          </w:tcPr>
          <w:p w14:paraId="2EA7B719"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070</w:t>
            </w:r>
          </w:p>
        </w:tc>
        <w:tc>
          <w:tcPr>
            <w:tcW w:w="7620" w:type="dxa"/>
          </w:tcPr>
          <w:p w14:paraId="732809E1"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w:t>
            </w:r>
            <w:r w:rsidRPr="00D85C65">
              <w:rPr>
                <w:rStyle w:val="InstructionsTabelleberschrift"/>
                <w:rFonts w:ascii="Times New Roman" w:hAnsi="Times New Roman"/>
                <w:sz w:val="24"/>
              </w:rPr>
              <w:tab/>
              <w:t>(-) Vlastné nástroje CET1</w:t>
            </w:r>
          </w:p>
          <w:p w14:paraId="620FE7BC" w14:textId="6757C9E2"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p w14:paraId="1739FFD3" w14:textId="43E300AF"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Vlastný CET1, ktorý vykazujúca inštitúcia alebo skupina drží</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dátumu vykazovania.</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výhradou výnimiek</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42 CRR.</w:t>
            </w:r>
          </w:p>
          <w:p w14:paraId="2718040A"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tomto riadku sa nevykazujú podiely na akciách zahrnuté ako „neprípustné kapitálové nástroje“.</w:t>
            </w:r>
          </w:p>
          <w:p w14:paraId="5F5FCAEC" w14:textId="1D2145B0"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vlastnými akciami.</w:t>
            </w:r>
          </w:p>
          <w:p w14:paraId="78F8B106" w14:textId="4B15C87F"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Položky 1.1.1.1.4 až 1.1.1.1.4.3 nezahŕňajú skutočné alebo podmienené záväzky kúpiť vlastné nástroje CET1. Skutočné alebo podmienené záväzky kúpiť vlastné nástroje CET1 sa vykazujú osobitne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položke 1.1.1.1.5.</w:t>
            </w:r>
          </w:p>
        </w:tc>
      </w:tr>
      <w:tr w:rsidR="00235D9D" w:rsidRPr="00D85C65" w14:paraId="43F77E74" w14:textId="77777777" w:rsidTr="00672D2A">
        <w:tc>
          <w:tcPr>
            <w:tcW w:w="1129" w:type="dxa"/>
          </w:tcPr>
          <w:p w14:paraId="222B2025"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080</w:t>
            </w:r>
          </w:p>
        </w:tc>
        <w:tc>
          <w:tcPr>
            <w:tcW w:w="7620" w:type="dxa"/>
          </w:tcPr>
          <w:p w14:paraId="6B7D02E1"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1.1.1.1.4.1.</w:t>
            </w:r>
            <w:r w:rsidRPr="00D85C65">
              <w:rPr>
                <w:rStyle w:val="InstructionsTabelleberschrift"/>
                <w:rFonts w:ascii="Times New Roman" w:hAnsi="Times New Roman"/>
                <w:sz w:val="24"/>
              </w:rPr>
              <w:tab/>
              <w:t>(-) Priame podiely na nástrojoch CET1</w:t>
            </w:r>
          </w:p>
          <w:p w14:paraId="35E470F8" w14:textId="5A289BB9"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p w14:paraId="37E6BE28" w14:textId="7439731B" w:rsid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Nástroje vlastného kapitálu Tier 1 zahrnuté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položke 1.1.1.1 držané inštitúciami konsolidovanej skupiny</w:t>
            </w:r>
            <w:r w:rsidR="00D85C65">
              <w:rPr>
                <w:rStyle w:val="FormatvorlageInstructionsTabelleText"/>
                <w:rFonts w:ascii="Times New Roman" w:hAnsi="Times New Roman"/>
                <w:sz w:val="24"/>
              </w:rPr>
              <w:t>.</w:t>
            </w:r>
          </w:p>
          <w:p w14:paraId="6C924F42" w14:textId="707626EB"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Vykazovaná hodnota zahŕňa podiely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obchodnej knihe vypočítané na základe čistej dlhej pozície podľa ustanovení článku 42 písm. a) CRR.</w:t>
            </w:r>
          </w:p>
        </w:tc>
      </w:tr>
      <w:tr w:rsidR="00235D9D" w:rsidRPr="00D85C65" w14:paraId="0000EDB1" w14:textId="77777777" w:rsidTr="00672D2A">
        <w:tc>
          <w:tcPr>
            <w:tcW w:w="1129" w:type="dxa"/>
          </w:tcPr>
          <w:p w14:paraId="08BAFC24"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090</w:t>
            </w:r>
          </w:p>
        </w:tc>
        <w:tc>
          <w:tcPr>
            <w:tcW w:w="7620" w:type="dxa"/>
          </w:tcPr>
          <w:p w14:paraId="086795F2"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1.1.1.1.4.2.</w:t>
            </w:r>
            <w:r w:rsidRPr="00D85C65">
              <w:rPr>
                <w:rStyle w:val="InstructionsTabelleberschrift"/>
                <w:rFonts w:ascii="Times New Roman" w:hAnsi="Times New Roman"/>
                <w:sz w:val="24"/>
              </w:rPr>
              <w:tab/>
              <w:t>(-) Nepriame podiely na nástrojoch CET1</w:t>
            </w:r>
          </w:p>
          <w:p w14:paraId="08F0267B" w14:textId="695607DD"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114, 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tc>
      </w:tr>
      <w:tr w:rsidR="00235D9D" w:rsidRPr="00D85C65" w14:paraId="20E3E2F0" w14:textId="77777777" w:rsidTr="00672D2A">
        <w:tc>
          <w:tcPr>
            <w:tcW w:w="1129" w:type="dxa"/>
          </w:tcPr>
          <w:p w14:paraId="3EAB4AD6"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091</w:t>
            </w:r>
          </w:p>
          <w:p w14:paraId="4C62BBAD" w14:textId="77777777" w:rsidR="00235D9D" w:rsidRPr="00D85C65" w:rsidRDefault="00235D9D">
            <w:pPr>
              <w:pStyle w:val="InstructionsText"/>
              <w:rPr>
                <w:rStyle w:val="FormatvorlageInstructionsTabelleText"/>
                <w:rFonts w:ascii="Times New Roman" w:hAnsi="Times New Roman"/>
                <w:sz w:val="24"/>
              </w:rPr>
            </w:pPr>
          </w:p>
        </w:tc>
        <w:tc>
          <w:tcPr>
            <w:tcW w:w="7620" w:type="dxa"/>
          </w:tcPr>
          <w:p w14:paraId="02C6AB80"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1.1.1.1.4.3.</w:t>
            </w:r>
            <w:r w:rsidRPr="00D85C65">
              <w:rPr>
                <w:rStyle w:val="InstructionsTabelleberschrift"/>
                <w:rFonts w:ascii="Times New Roman" w:hAnsi="Times New Roman"/>
                <w:sz w:val="24"/>
              </w:rPr>
              <w:tab/>
              <w:t>(-) Syntetické podiely na nástrojoch CET1</w:t>
            </w:r>
          </w:p>
          <w:p w14:paraId="1AAE0433" w14:textId="41842F2E" w:rsidR="00235D9D" w:rsidRPr="00D85C65" w:rsidRDefault="00FF2818">
            <w:pPr>
              <w:pStyle w:val="InstructionsText"/>
              <w:rPr>
                <w:rStyle w:val="InstructionsTabelleberschrift"/>
                <w:rFonts w:ascii="Times New Roman" w:hAnsi="Times New Roman"/>
                <w:b w:val="0"/>
                <w:sz w:val="24"/>
                <w:u w:val="none"/>
              </w:rPr>
            </w:pPr>
            <w:r w:rsidRPr="00D85C65">
              <w:rPr>
                <w:rStyle w:val="FormatvorlageInstructionsTabelleText"/>
                <w:rFonts w:ascii="Times New Roman" w:hAnsi="Times New Roman"/>
                <w:sz w:val="24"/>
              </w:rPr>
              <w:t>Článok 4 ods. 1 bod 126, 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tc>
      </w:tr>
      <w:tr w:rsidR="00235D9D" w:rsidRPr="00D85C65" w14:paraId="00DCCD96" w14:textId="77777777" w:rsidTr="00672D2A">
        <w:tc>
          <w:tcPr>
            <w:tcW w:w="1129" w:type="dxa"/>
          </w:tcPr>
          <w:p w14:paraId="6185C376"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092</w:t>
            </w:r>
          </w:p>
        </w:tc>
        <w:tc>
          <w:tcPr>
            <w:tcW w:w="7620" w:type="dxa"/>
          </w:tcPr>
          <w:p w14:paraId="63A8817F" w14:textId="77777777"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1.1.1.1.5.</w:t>
            </w:r>
            <w:r w:rsidRPr="00D85C65">
              <w:rPr>
                <w:rStyle w:val="InstructionsTabelleberschrift"/>
                <w:rFonts w:ascii="Times New Roman" w:hAnsi="Times New Roman"/>
                <w:sz w:val="24"/>
              </w:rPr>
              <w:tab/>
              <w:t>(-) Skutočné alebo podmienené záväzky kúpiť vlastné nástroje CET1</w:t>
            </w:r>
          </w:p>
          <w:p w14:paraId="527CDA19" w14:textId="78E6B56A"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42 CRR.</w:t>
            </w:r>
          </w:p>
          <w:p w14:paraId="1AC7DFAE" w14:textId="1F67528D" w:rsidR="00235D9D" w:rsidRPr="00D85C65" w:rsidRDefault="002648B0">
            <w:pPr>
              <w:pStyle w:val="InstructionsText"/>
              <w:rPr>
                <w:rStyle w:val="InstructionsTabelleberschrift"/>
                <w:rFonts w:ascii="Times New Roman" w:hAnsi="Times New Roman"/>
                <w:b w:val="0"/>
                <w:bCs w:val="0"/>
                <w:sz w:val="24"/>
                <w:u w:val="none"/>
              </w:rPr>
            </w:pPr>
            <w:r w:rsidRPr="00D85C65">
              <w:rPr>
                <w:rStyle w:val="InstructionsTabelleberschrift"/>
                <w:rFonts w:ascii="Times New Roman" w:hAnsi="Times New Roman"/>
                <w:b w:val="0"/>
                <w:sz w:val="24"/>
                <w:u w:val="none"/>
              </w:rPr>
              <w:t>Podľa článku</w:t>
            </w:r>
            <w:r w:rsidRPr="00D85C65">
              <w:rPr>
                <w:rStyle w:val="FormatvorlageInstructionsTabelleText"/>
                <w:rFonts w:ascii="Times New Roman" w:hAnsi="Times New Roman"/>
                <w:sz w:val="24"/>
              </w:rPr>
              <w:t xml:space="preserve"> 36 ods. 1 písm. f)</w:t>
            </w:r>
            <w:r w:rsidRPr="00D85C65">
              <w:rPr>
                <w:rStyle w:val="InstructionsTabelleberschrift"/>
                <w:rFonts w:ascii="Times New Roman" w:hAnsi="Times New Roman"/>
                <w:b w:val="0"/>
                <w:sz w:val="24"/>
                <w:u w:val="none"/>
              </w:rPr>
              <w:t xml:space="preserve"> CRR sa odpočítajú</w:t>
            </w:r>
            <w:r w:rsidRPr="00D85C65">
              <w:t xml:space="preserve"> „nástroje vlastného kapitálu Tier 1, na ktoré sa vzťahuje skutočný alebo podmienený záväzok inštitúcie kúpiť na základe existujúcej zmluvnej povinnosti“.</w:t>
            </w:r>
          </w:p>
        </w:tc>
      </w:tr>
      <w:tr w:rsidR="00235D9D" w:rsidRPr="00D85C65" w14:paraId="677C9282" w14:textId="77777777" w:rsidTr="00672D2A">
        <w:tc>
          <w:tcPr>
            <w:tcW w:w="1129" w:type="dxa"/>
          </w:tcPr>
          <w:p w14:paraId="31C7AFE3"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130</w:t>
            </w:r>
          </w:p>
        </w:tc>
        <w:tc>
          <w:tcPr>
            <w:tcW w:w="7620" w:type="dxa"/>
          </w:tcPr>
          <w:p w14:paraId="54B35A60"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w:t>
            </w:r>
            <w:r w:rsidRPr="00D85C65">
              <w:rPr>
                <w:rStyle w:val="InstructionsTabelleberschrift"/>
                <w:rFonts w:ascii="Times New Roman" w:hAnsi="Times New Roman"/>
                <w:sz w:val="24"/>
              </w:rPr>
              <w:tab/>
              <w:t>Nerozdelené zisky</w:t>
            </w:r>
          </w:p>
          <w:p w14:paraId="7F9F0214" w14:textId="0B9DDBEE"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26 ods. 1 písm. c)</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26 ods. 2 CRR.</w:t>
            </w:r>
          </w:p>
          <w:p w14:paraId="121FC2B0" w14:textId="3B697FBE"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Nerozdelené zisky zahŕňajú nerozdelené zisky</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predchádzajúceho roka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prípustné predbežné alebo koncoročné zisky.</w:t>
            </w:r>
          </w:p>
        </w:tc>
      </w:tr>
      <w:tr w:rsidR="00235D9D" w:rsidRPr="00D85C65" w14:paraId="66BA7DC6" w14:textId="77777777" w:rsidTr="00672D2A">
        <w:tc>
          <w:tcPr>
            <w:tcW w:w="1129" w:type="dxa"/>
          </w:tcPr>
          <w:p w14:paraId="310D6463"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140</w:t>
            </w:r>
          </w:p>
        </w:tc>
        <w:tc>
          <w:tcPr>
            <w:tcW w:w="7620" w:type="dxa"/>
          </w:tcPr>
          <w:p w14:paraId="69D0F7AA" w14:textId="73CAA1BB"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1.1.1.2.1.</w:t>
            </w:r>
            <w:r w:rsidRPr="00D85C65">
              <w:rPr>
                <w:rStyle w:val="InstructionsTabelleberschrift"/>
                <w:rFonts w:ascii="Times New Roman" w:hAnsi="Times New Roman"/>
                <w:sz w:val="24"/>
              </w:rPr>
              <w:tab/>
              <w:t>Nerozdelené zisky</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predchádzajúcich rokov</w:t>
            </w:r>
          </w:p>
          <w:p w14:paraId="10BA1C76" w14:textId="65DD467B"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26 ods. 1 písm. c) CRR.</w:t>
            </w:r>
          </w:p>
          <w:p w14:paraId="4EE29D54" w14:textId="2D3E9158"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článku 4 ods. 1 bode 123 CRR sa nerozdelené zisky vymedzujú ako „zisky</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straty prenesené po použití konečného zisku alebo straty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súlade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uplatniteľným účtovným rámcom“.</w:t>
            </w:r>
          </w:p>
        </w:tc>
      </w:tr>
      <w:tr w:rsidR="00235D9D" w:rsidRPr="00D85C65" w14:paraId="24B21B52" w14:textId="77777777" w:rsidTr="00672D2A">
        <w:tc>
          <w:tcPr>
            <w:tcW w:w="1129" w:type="dxa"/>
          </w:tcPr>
          <w:p w14:paraId="1B78021A"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150</w:t>
            </w:r>
          </w:p>
        </w:tc>
        <w:tc>
          <w:tcPr>
            <w:tcW w:w="7620" w:type="dxa"/>
          </w:tcPr>
          <w:p w14:paraId="65F56BDF"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1.1.1.2.2.</w:t>
            </w:r>
            <w:r w:rsidRPr="00D85C65">
              <w:rPr>
                <w:rStyle w:val="InstructionsTabelleberschrift"/>
                <w:rFonts w:ascii="Times New Roman" w:hAnsi="Times New Roman"/>
                <w:sz w:val="24"/>
              </w:rPr>
              <w:tab/>
              <w:t>Prípustný zisk alebo strata</w:t>
            </w:r>
          </w:p>
          <w:p w14:paraId="13382E58" w14:textId="328969E5"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121, článok 26 ods.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36 ods. 1 písm. a) CRR.</w:t>
            </w:r>
          </w:p>
          <w:p w14:paraId="3C8EBE88" w14:textId="73291282" w:rsid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článku 26 ods. 2 CRR sa umožňuje do nerozdelených ziskov zahrnúť predbežné alebo koncoročné zisky,</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to</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predchádzajúcim súhlasom príslušných orgánov, ak sú splnené určité podmienky</w:t>
            </w:r>
            <w:r w:rsidR="00D85C65">
              <w:rPr>
                <w:rStyle w:val="FormatvorlageInstructionsTabelleText"/>
                <w:rFonts w:ascii="Times New Roman" w:hAnsi="Times New Roman"/>
                <w:sz w:val="24"/>
              </w:rPr>
              <w:t>.</w:t>
            </w:r>
          </w:p>
          <w:p w14:paraId="2F888DBB" w14:textId="2A19D861"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Na druhej strane sa od CET1 odpočítajú straty podľa ustanovení článku 36 ods. 1 písm. a) CRR.</w:t>
            </w:r>
          </w:p>
        </w:tc>
      </w:tr>
      <w:tr w:rsidR="00235D9D" w:rsidRPr="00D85C65" w14:paraId="5A972F21" w14:textId="77777777" w:rsidTr="00672D2A">
        <w:tc>
          <w:tcPr>
            <w:tcW w:w="1129" w:type="dxa"/>
          </w:tcPr>
          <w:p w14:paraId="5FCEF134"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160</w:t>
            </w:r>
          </w:p>
        </w:tc>
        <w:tc>
          <w:tcPr>
            <w:tcW w:w="7620" w:type="dxa"/>
          </w:tcPr>
          <w:p w14:paraId="21083E9F"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1.1.1.2.2.1.</w:t>
            </w:r>
            <w:r w:rsidRPr="00D85C65">
              <w:rPr>
                <w:rStyle w:val="InstructionsTabelleberschrift"/>
                <w:rFonts w:ascii="Times New Roman" w:hAnsi="Times New Roman"/>
                <w:sz w:val="24"/>
              </w:rPr>
              <w:tab/>
              <w:t>Zisk alebo strata pripísateľná vlastníkom materskej spoločnosti</w:t>
            </w:r>
          </w:p>
          <w:p w14:paraId="54570E5C" w14:textId="6F820F13"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26 ods.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36 ods. 1 písm. a) CRR.</w:t>
            </w:r>
          </w:p>
          <w:p w14:paraId="2ACECCE5" w14:textId="097684CF"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je zisk alebo strata, ktoré sú vykázané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účtovnom výkaze ziskov</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strát.</w:t>
            </w:r>
          </w:p>
        </w:tc>
      </w:tr>
      <w:tr w:rsidR="00235D9D" w:rsidRPr="00D85C65" w14:paraId="47FDAD54" w14:textId="77777777" w:rsidTr="00672D2A">
        <w:tc>
          <w:tcPr>
            <w:tcW w:w="1129" w:type="dxa"/>
          </w:tcPr>
          <w:p w14:paraId="74F7D8D5"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170</w:t>
            </w:r>
          </w:p>
        </w:tc>
        <w:tc>
          <w:tcPr>
            <w:tcW w:w="7620" w:type="dxa"/>
          </w:tcPr>
          <w:p w14:paraId="63464708" w14:textId="77777777"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1.1.1.2.2.2.</w:t>
            </w:r>
            <w:r w:rsidRPr="00D85C65">
              <w:rPr>
                <w:rStyle w:val="InstructionsTabelleberschrift"/>
                <w:rFonts w:ascii="Times New Roman" w:hAnsi="Times New Roman"/>
                <w:sz w:val="24"/>
              </w:rPr>
              <w:tab/>
              <w:t>(-) Neprípustná časť predbežného alebo koncoročného zisku</w:t>
            </w:r>
          </w:p>
          <w:p w14:paraId="1A1FEE3A" w14:textId="2A14388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26 ods. 2 CRR.</w:t>
            </w:r>
          </w:p>
          <w:p w14:paraId="5602E543" w14:textId="0069251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tomto riadku sa neuvádza žiadny údaj, ak inštitúcia za referenčné obdobie vykázala straty, pretože straty sa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plnej miere odpočítavajú od CET1.</w:t>
            </w:r>
          </w:p>
          <w:p w14:paraId="48220C0A" w14:textId="60B7BC12"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Ak inštitúcia vykazuje zisky, vykazuje sa časť, ktorá nie je prípustná podľa článku 26 ods. 2 CRR (t. j. zisky neoverované audítorom</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predpokladané platby alebo dividendy).</w:t>
            </w:r>
          </w:p>
          <w:p w14:paraId="5D34A729" w14:textId="6510A7E9"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Treba poznamenať, že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prípade ziskov sa hodnota, ktorú treba odpočítať, rovná najmenej predbežným dividendám.</w:t>
            </w:r>
          </w:p>
        </w:tc>
      </w:tr>
      <w:tr w:rsidR="00235D9D" w:rsidRPr="00D85C65" w14:paraId="78CCB38F" w14:textId="77777777" w:rsidTr="00672D2A">
        <w:tc>
          <w:tcPr>
            <w:tcW w:w="1129" w:type="dxa"/>
          </w:tcPr>
          <w:p w14:paraId="69EF5CC2"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180</w:t>
            </w:r>
          </w:p>
        </w:tc>
        <w:tc>
          <w:tcPr>
            <w:tcW w:w="7620" w:type="dxa"/>
          </w:tcPr>
          <w:p w14:paraId="1EC6783D"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1.1.1.3.</w:t>
            </w:r>
            <w:r w:rsidRPr="00D85C65">
              <w:rPr>
                <w:rStyle w:val="InstructionsTabelleberschrift"/>
                <w:rFonts w:ascii="Times New Roman" w:hAnsi="Times New Roman"/>
                <w:sz w:val="24"/>
              </w:rPr>
              <w:tab/>
              <w:t>Akumulovaný iný komplexný účtovný výsledok</w:t>
            </w:r>
          </w:p>
          <w:p w14:paraId="3EFF7601" w14:textId="1A30008C"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100</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26 ods. 1 písm. d) CRR.</w:t>
            </w:r>
          </w:p>
          <w:p w14:paraId="695EE6E4" w14:textId="7A12BA49"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je po odpočítaní daňových poplatkov, ktoré sa predpokladajú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čase výpočtu,</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 xml:space="preserve">pred uplatnením prudenciálnych filtrov. Vykazovaná hodnota sa </w:t>
            </w:r>
            <w:r w:rsidRPr="00D85C65">
              <w:rPr>
                <w:rStyle w:val="FormatvorlageInstructionsTabelleText"/>
                <w:rFonts w:ascii="Times New Roman" w:hAnsi="Times New Roman"/>
                <w:iCs/>
                <w:sz w:val="24"/>
              </w:rPr>
              <w:t>určuje</w:t>
            </w:r>
            <w:r w:rsidR="00D85C65">
              <w:rPr>
                <w:rStyle w:val="FormatvorlageInstructionsTabelleText"/>
                <w:rFonts w:ascii="Times New Roman" w:hAnsi="Times New Roman"/>
                <w:iCs/>
                <w:sz w:val="24"/>
              </w:rPr>
              <w:t xml:space="preserve"> v </w:t>
            </w:r>
            <w:r w:rsidRPr="00D85C65">
              <w:rPr>
                <w:rStyle w:val="FormatvorlageInstructionsTabelleText"/>
                <w:rFonts w:ascii="Times New Roman" w:hAnsi="Times New Roman"/>
                <w:iCs/>
                <w:sz w:val="24"/>
              </w:rPr>
              <w:t>súlade</w:t>
            </w:r>
            <w:r w:rsidR="00D85C65">
              <w:rPr>
                <w:rStyle w:val="FormatvorlageInstructionsTabelleText"/>
                <w:rFonts w:ascii="Times New Roman" w:hAnsi="Times New Roman"/>
                <w:iCs/>
                <w:sz w:val="24"/>
              </w:rPr>
              <w:t xml:space="preserve"> s </w:t>
            </w:r>
            <w:r w:rsidRPr="00D85C65">
              <w:rPr>
                <w:rStyle w:val="FormatvorlageInstructionsTabelleText"/>
                <w:rFonts w:ascii="Times New Roman" w:hAnsi="Times New Roman"/>
                <w:sz w:val="24"/>
              </w:rPr>
              <w:t>článkom 13 ods. 4 delegovaného nariadenia Komisie (EÚ) č. 241/2014</w:t>
            </w:r>
            <w:r w:rsidRPr="00D85C65">
              <w:rPr>
                <w:rStyle w:val="FootnoteReference"/>
                <w:rFonts w:ascii="Times New Roman" w:hAnsi="Times New Roman"/>
                <w:bCs/>
                <w:sz w:val="24"/>
                <w:szCs w:val="24"/>
                <w:vertAlign w:val="superscript"/>
              </w:rPr>
              <w:footnoteReference w:id="6"/>
            </w:r>
            <w:r w:rsidRPr="00D85C65">
              <w:rPr>
                <w:rStyle w:val="FormatvorlageInstructionsTabelleText"/>
                <w:rFonts w:ascii="Times New Roman" w:hAnsi="Times New Roman"/>
                <w:sz w:val="24"/>
              </w:rPr>
              <w:t xml:space="preserve">. </w:t>
            </w:r>
          </w:p>
        </w:tc>
      </w:tr>
      <w:tr w:rsidR="00235D9D" w:rsidRPr="00D85C65" w14:paraId="3D05A61F" w14:textId="77777777" w:rsidTr="00672D2A">
        <w:tc>
          <w:tcPr>
            <w:tcW w:w="1129" w:type="dxa"/>
          </w:tcPr>
          <w:p w14:paraId="60116304"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200</w:t>
            </w:r>
          </w:p>
        </w:tc>
        <w:tc>
          <w:tcPr>
            <w:tcW w:w="7620" w:type="dxa"/>
          </w:tcPr>
          <w:p w14:paraId="16108A37"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1.1.1.4.</w:t>
            </w:r>
            <w:r w:rsidRPr="00D85C65">
              <w:rPr>
                <w:rStyle w:val="InstructionsTabelleberschrift"/>
                <w:rFonts w:ascii="Times New Roman" w:hAnsi="Times New Roman"/>
                <w:sz w:val="24"/>
              </w:rPr>
              <w:tab/>
              <w:t>Ostatné rezervy</w:t>
            </w:r>
          </w:p>
          <w:p w14:paraId="139319D4" w14:textId="70309F98"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117</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26 ods. 1 písm. e) CRR.</w:t>
            </w:r>
          </w:p>
          <w:p w14:paraId="0D529630" w14:textId="60715A46"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Ostatné rezervy sa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CRR vymedzujú ako „rezervy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zmysle uplatniteľného účtovného rámca, na ktoré sa vzťahuje požiadavka zverejnenia podľa daného uplatniteľného účtovného štandardu, okrem akýchkoľvek súm, ktoré už boli zahrnuté do akumulovaného iného komplexného účtovného výsledku alebo do nerozdelených ziskov“.</w:t>
            </w:r>
          </w:p>
          <w:p w14:paraId="34585D72" w14:textId="7C207D5E"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je po odpočítaní daňových poplatkov, ktoré sa predpokladajú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čase výpočtu.</w:t>
            </w:r>
          </w:p>
        </w:tc>
      </w:tr>
      <w:tr w:rsidR="00235D9D" w:rsidRPr="00D85C65" w14:paraId="4FCB04FF" w14:textId="77777777" w:rsidTr="00672D2A">
        <w:tc>
          <w:tcPr>
            <w:tcW w:w="1129" w:type="dxa"/>
          </w:tcPr>
          <w:p w14:paraId="1CC2C696"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210</w:t>
            </w:r>
          </w:p>
        </w:tc>
        <w:tc>
          <w:tcPr>
            <w:tcW w:w="7620" w:type="dxa"/>
          </w:tcPr>
          <w:p w14:paraId="77491B5E" w14:textId="77777777"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1.1.1.5.</w:t>
            </w:r>
            <w:r w:rsidRPr="00D85C65">
              <w:rPr>
                <w:rStyle w:val="InstructionsTabelleberschrift"/>
                <w:rFonts w:ascii="Times New Roman" w:hAnsi="Times New Roman"/>
                <w:sz w:val="24"/>
              </w:rPr>
              <w:tab/>
              <w:t>Fondy pre všeobecné bankové riziká</w:t>
            </w:r>
          </w:p>
          <w:p w14:paraId="4AABCBCD" w14:textId="5F2E3155"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26 ods. 1 písm. f) CRR.</w:t>
            </w:r>
          </w:p>
          <w:p w14:paraId="3BB64B9E" w14:textId="2CEC7DDC"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Fondy pre všeobecné bankové riziká sa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38 BAD vymedzujú ako „sumy, ktoré sa úverová inštitúcia rozhodne odložiť, aby pokryla také riziká, ak si to konkrétne riziká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bankovníctvom vyžadujú“.</w:t>
            </w:r>
          </w:p>
          <w:p w14:paraId="5B7FC590" w14:textId="65D25EC8"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je po odpočítaní daňových poplatkov, ktoré sa predpokladajú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čase výpočtu.</w:t>
            </w:r>
          </w:p>
        </w:tc>
      </w:tr>
      <w:tr w:rsidR="00235D9D" w:rsidRPr="00D85C65" w14:paraId="325532D0" w14:textId="77777777" w:rsidTr="00672D2A">
        <w:tc>
          <w:tcPr>
            <w:tcW w:w="1129" w:type="dxa"/>
          </w:tcPr>
          <w:p w14:paraId="3A8B82C1"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220</w:t>
            </w:r>
          </w:p>
        </w:tc>
        <w:tc>
          <w:tcPr>
            <w:tcW w:w="7620" w:type="dxa"/>
          </w:tcPr>
          <w:p w14:paraId="1523F0F8" w14:textId="3B09B3AD"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1.1.1.6.</w:t>
            </w:r>
            <w:r w:rsidRPr="00D85C65">
              <w:rPr>
                <w:rStyle w:val="InstructionsTabelleberschrift"/>
                <w:rFonts w:ascii="Times New Roman" w:hAnsi="Times New Roman"/>
                <w:sz w:val="24"/>
              </w:rPr>
              <w:tab/>
              <w:t>Prechodné úpravy na základe nástrojov kapitálu CET1, ktoré sa zachovali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predchádzajúcom stave</w:t>
            </w:r>
          </w:p>
          <w:p w14:paraId="1EE01F2E" w14:textId="44DE9794" w:rsidR="00235D9D" w:rsidRPr="00D85C65" w:rsidRDefault="002C66A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483 ods. 1,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články 484 až 487 CRR.</w:t>
            </w:r>
          </w:p>
          <w:p w14:paraId="1718ED52" w14:textId="4A294D53"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kapitálových nástrojov, ktoré sa prechodne zachovali</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predchádzajúcom stave ako CET1. Vykazovaná hodnota sa získa priamo zo vzoru CA5.</w:t>
            </w:r>
          </w:p>
        </w:tc>
      </w:tr>
      <w:tr w:rsidR="00235D9D" w:rsidRPr="00D85C65" w14:paraId="18E51550" w14:textId="77777777" w:rsidTr="00672D2A">
        <w:tc>
          <w:tcPr>
            <w:tcW w:w="1129" w:type="dxa"/>
          </w:tcPr>
          <w:p w14:paraId="098B2F1B"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230</w:t>
            </w:r>
          </w:p>
        </w:tc>
        <w:tc>
          <w:tcPr>
            <w:tcW w:w="7620" w:type="dxa"/>
          </w:tcPr>
          <w:p w14:paraId="3B9AD49C" w14:textId="60E90BA6" w:rsidR="00235D9D" w:rsidRPr="00D85C65" w:rsidRDefault="00666996">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1.1.1.7.</w:t>
            </w:r>
            <w:r w:rsidRPr="00D85C65">
              <w:rPr>
                <w:rStyle w:val="InstructionsTabelleberschrift"/>
                <w:rFonts w:ascii="Times New Roman" w:hAnsi="Times New Roman"/>
                <w:sz w:val="24"/>
              </w:rPr>
              <w:tab/>
              <w:t>Menšinová účasť uznaná</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kapitáli CET1</w:t>
            </w:r>
          </w:p>
          <w:p w14:paraId="3DDB282F" w14:textId="392A5CDF"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120</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84 CRR.</w:t>
            </w:r>
          </w:p>
          <w:p w14:paraId="1BA15FCE" w14:textId="6D16741B"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Súčet všetkých hodnôt menšinových účastí dcérskych spoločností, ktoré sú zahrnuté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konsolidovanom CET1.</w:t>
            </w:r>
          </w:p>
        </w:tc>
      </w:tr>
      <w:tr w:rsidR="00235D9D" w:rsidRPr="00D85C65" w14:paraId="71777011" w14:textId="77777777" w:rsidTr="00672D2A">
        <w:tc>
          <w:tcPr>
            <w:tcW w:w="1129" w:type="dxa"/>
          </w:tcPr>
          <w:p w14:paraId="276F6FBC"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240</w:t>
            </w:r>
          </w:p>
        </w:tc>
        <w:tc>
          <w:tcPr>
            <w:tcW w:w="7620" w:type="dxa"/>
          </w:tcPr>
          <w:p w14:paraId="791E58AF" w14:textId="77777777" w:rsidR="00235D9D" w:rsidRPr="00D85C65" w:rsidRDefault="002648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1.1.1.8.</w:t>
            </w:r>
            <w:r w:rsidRPr="00D85C65">
              <w:rPr>
                <w:rStyle w:val="InstructionsTabelleberschrift"/>
                <w:rFonts w:ascii="Times New Roman" w:hAnsi="Times New Roman"/>
                <w:sz w:val="24"/>
              </w:rPr>
              <w:tab/>
              <w:t>Prechodné úpravy na základe dodatočných menšinových účastí</w:t>
            </w:r>
          </w:p>
          <w:p w14:paraId="1C3D262A" w14:textId="25454CBD"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479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480 CRR.</w:t>
            </w:r>
          </w:p>
          <w:p w14:paraId="70EDE502"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menšinových účastí na základe prechodných ustanovení. Táto položka sa získa priamo zo vzoru CA5.</w:t>
            </w:r>
          </w:p>
        </w:tc>
      </w:tr>
      <w:tr w:rsidR="00235D9D" w:rsidRPr="00D85C65" w14:paraId="05F0470A" w14:textId="77777777" w:rsidTr="00672D2A">
        <w:tc>
          <w:tcPr>
            <w:tcW w:w="1129" w:type="dxa"/>
          </w:tcPr>
          <w:p w14:paraId="0E131D36"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250</w:t>
            </w:r>
          </w:p>
        </w:tc>
        <w:tc>
          <w:tcPr>
            <w:tcW w:w="7620" w:type="dxa"/>
          </w:tcPr>
          <w:p w14:paraId="0E545CCA" w14:textId="77777777" w:rsidR="00235D9D" w:rsidRPr="00D85C65" w:rsidRDefault="002648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1.1.1.9.</w:t>
            </w:r>
            <w:r w:rsidRPr="00D85C65">
              <w:rPr>
                <w:rStyle w:val="InstructionsTabelleberschrift"/>
                <w:rFonts w:ascii="Times New Roman" w:hAnsi="Times New Roman"/>
                <w:sz w:val="24"/>
              </w:rPr>
              <w:tab/>
              <w:t>Úpravy CET1 na základe prudenciálnych filtrov</w:t>
            </w:r>
          </w:p>
          <w:p w14:paraId="55785F63" w14:textId="479072D8"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 xml:space="preserve">Články 32 až 35 CRR. </w:t>
            </w:r>
          </w:p>
        </w:tc>
      </w:tr>
      <w:tr w:rsidR="00235D9D" w:rsidRPr="00D85C65" w14:paraId="49C45845" w14:textId="77777777" w:rsidTr="00672D2A">
        <w:tc>
          <w:tcPr>
            <w:tcW w:w="1129" w:type="dxa"/>
          </w:tcPr>
          <w:p w14:paraId="6DE1F796"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260</w:t>
            </w:r>
          </w:p>
        </w:tc>
        <w:tc>
          <w:tcPr>
            <w:tcW w:w="7620" w:type="dxa"/>
          </w:tcPr>
          <w:p w14:paraId="10E43519" w14:textId="77777777" w:rsidR="00235D9D" w:rsidRPr="00D85C65" w:rsidRDefault="002648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1.1.1.9.1.</w:t>
            </w:r>
            <w:r w:rsidRPr="00D85C65">
              <w:rPr>
                <w:rStyle w:val="InstructionsTabelleberschrift"/>
                <w:rFonts w:ascii="Times New Roman" w:hAnsi="Times New Roman"/>
                <w:sz w:val="24"/>
              </w:rPr>
              <w:tab/>
              <w:t>(-) Zvýšenie vlastného kapitálu vyplývajúce zo sekuritizovaných aktív</w:t>
            </w:r>
          </w:p>
          <w:p w14:paraId="1DD5C073" w14:textId="0B92B348"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32 ods. 1 CRR.</w:t>
            </w:r>
          </w:p>
          <w:p w14:paraId="2C44B061" w14:textId="63069033"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je zvýšenie vlastného kapitálu inštitúcie vyplývajúce zo sekuritizovaných aktív podľa uplatniteľného účtovného štandardu.</w:t>
            </w:r>
          </w:p>
          <w:p w14:paraId="622F4058" w14:textId="62F1B3CF"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Táto položka zahŕňa napríklad budúci príjem</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marže, ktorý vedie</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zisku</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predaja pre inštitúciu, alebo pre originátorov čisté zisky vyplývajúce</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kapitalizácie budúceho príjmu zo sekuritizovaných aktív, ktoré umožňujú zvýšenie kreditnej kvality pozícií</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sekuritizácii.</w:t>
            </w:r>
          </w:p>
        </w:tc>
      </w:tr>
      <w:tr w:rsidR="00235D9D" w:rsidRPr="00D85C65" w14:paraId="616CB529" w14:textId="77777777" w:rsidTr="00672D2A">
        <w:tc>
          <w:tcPr>
            <w:tcW w:w="1129" w:type="dxa"/>
          </w:tcPr>
          <w:p w14:paraId="0C7B22EA"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270</w:t>
            </w:r>
          </w:p>
        </w:tc>
        <w:tc>
          <w:tcPr>
            <w:tcW w:w="7620" w:type="dxa"/>
          </w:tcPr>
          <w:p w14:paraId="6AF7284C" w14:textId="77777777" w:rsidR="00235D9D" w:rsidRPr="00D85C65" w:rsidRDefault="002648B0">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1.1.1.9.2.</w:t>
            </w:r>
            <w:r w:rsidRPr="00D85C65">
              <w:rPr>
                <w:rStyle w:val="InstructionsTabelleberschrift"/>
                <w:rFonts w:ascii="Times New Roman" w:hAnsi="Times New Roman"/>
                <w:sz w:val="24"/>
              </w:rPr>
              <w:tab/>
              <w:t>Rezerva na hedžing peňažných tokov</w:t>
            </w:r>
          </w:p>
          <w:p w14:paraId="26D1DBC7" w14:textId="0760FF2C"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33 ods. 1 písm. a) CRR.</w:t>
            </w:r>
          </w:p>
          <w:p w14:paraId="5BE937FC" w14:textId="35725010"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môže byť kladná alebo záporná. Hodnota je kladná, keď hedžing peňažných tokov vedie</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strate (t. j. keď znižuje účtovný vlastný kapitál),</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naopak. Znamienko je teda opačné ako znamienko použité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účtovných výkazoch.</w:t>
            </w:r>
          </w:p>
          <w:p w14:paraId="1D159E75" w14:textId="2BA755F9"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sa uvádza po odpočítaní daňových poplatkov, ktoré sa očakávajú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čase výpočtu.</w:t>
            </w:r>
          </w:p>
        </w:tc>
      </w:tr>
      <w:tr w:rsidR="00235D9D" w:rsidRPr="00D85C65" w14:paraId="3331F14D" w14:textId="77777777" w:rsidTr="00672D2A">
        <w:tc>
          <w:tcPr>
            <w:tcW w:w="1129" w:type="dxa"/>
          </w:tcPr>
          <w:p w14:paraId="226ECAC0"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280</w:t>
            </w:r>
          </w:p>
        </w:tc>
        <w:tc>
          <w:tcPr>
            <w:tcW w:w="7620" w:type="dxa"/>
          </w:tcPr>
          <w:p w14:paraId="0F64EDF6" w14:textId="3C39E99A" w:rsidR="00235D9D" w:rsidRPr="00D85C65" w:rsidRDefault="002648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1.1.1.9.3.</w:t>
            </w:r>
            <w:r w:rsidRPr="00D85C65">
              <w:rPr>
                <w:rStyle w:val="InstructionsTabelleberschrift"/>
                <w:rFonts w:ascii="Times New Roman" w:hAnsi="Times New Roman"/>
                <w:sz w:val="24"/>
              </w:rPr>
              <w:tab/>
              <w:t>Kumulatívne zisky</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straty spôsobené zmenami vlastného kreditného rizika reálnou hodnotou ocenených záväzkov</w:t>
            </w:r>
          </w:p>
          <w:p w14:paraId="2E09B169" w14:textId="4761FDE4"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33 ods. 1 písm. b) CRR.</w:t>
            </w:r>
          </w:p>
          <w:p w14:paraId="44E7E814" w14:textId="2E9AF26A"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môže byť kladná alebo záporná. Hodnota je kladná, keď nastala strata spôsobená zmenami vlastného kreditného rizika (t. j. keď znižuje účtovný vlastný kapitál),</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naopak. Znamienko je teda opačné ako znamienko použité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účtovných výkazoch.</w:t>
            </w:r>
          </w:p>
          <w:p w14:paraId="0FBF266E" w14:textId="77777777" w:rsidR="00235D9D" w:rsidRPr="00D85C65" w:rsidRDefault="002648B0">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Zisk neoverený audítorom sa do tejto položky nezahŕňa.</w:t>
            </w:r>
          </w:p>
        </w:tc>
      </w:tr>
      <w:tr w:rsidR="00235D9D" w:rsidRPr="00D85C65" w14:paraId="2E3DE2D0" w14:textId="77777777" w:rsidTr="00672D2A">
        <w:tc>
          <w:tcPr>
            <w:tcW w:w="1129" w:type="dxa"/>
          </w:tcPr>
          <w:p w14:paraId="1E02D85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285</w:t>
            </w:r>
          </w:p>
        </w:tc>
        <w:tc>
          <w:tcPr>
            <w:tcW w:w="7620" w:type="dxa"/>
          </w:tcPr>
          <w:p w14:paraId="6E313785" w14:textId="436B2E81" w:rsidR="00235D9D" w:rsidRPr="00D85C65" w:rsidRDefault="00855D5F">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1.1.1.9.4.</w:t>
            </w:r>
            <w:r w:rsidRPr="00D85C65">
              <w:rPr>
                <w:rStyle w:val="InstructionsTabelleberschrift"/>
                <w:rFonts w:ascii="Times New Roman" w:hAnsi="Times New Roman"/>
                <w:sz w:val="24"/>
              </w:rPr>
              <w:tab/>
              <w:t>Reálnou hodnotou ocenené zisky</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straty vyplývajúce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vlastného kreditného rizika inštitúcie súvisiaceho</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derivátovými záväzkami</w:t>
            </w:r>
          </w:p>
          <w:p w14:paraId="712BEDF0" w14:textId="1D652F1A"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33 ods. 1 písm. c)</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33 ods. 2 CRR.</w:t>
            </w:r>
          </w:p>
          <w:p w14:paraId="3D53FD82" w14:textId="41B290FA"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môže byť kladná alebo záporná. Hodnota je kladná, keď nastane strata spôsobená zmenami vlastného kreditného rizika,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naopak. Znamienko je teda opačné ako znamienko použité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účtovných výkazoch.</w:t>
            </w:r>
          </w:p>
          <w:p w14:paraId="5A313EAA" w14:textId="77777777" w:rsidR="00235D9D" w:rsidRPr="00D85C65" w:rsidRDefault="00666996">
            <w:pPr>
              <w:pStyle w:val="InstructionsText"/>
              <w:rPr>
                <w:rStyle w:val="InstructionsTabelleberschrift"/>
                <w:rFonts w:ascii="Times New Roman" w:hAnsi="Times New Roman"/>
                <w:b w:val="0"/>
                <w:sz w:val="24"/>
                <w:u w:val="none"/>
              </w:rPr>
            </w:pPr>
            <w:r w:rsidRPr="00D85C65">
              <w:rPr>
                <w:rStyle w:val="FormatvorlageInstructionsTabelleText"/>
                <w:rFonts w:ascii="Times New Roman" w:hAnsi="Times New Roman"/>
                <w:sz w:val="24"/>
              </w:rPr>
              <w:t>Zisk neoverený audítorom sa do tejto položky nezahŕňa.</w:t>
            </w:r>
          </w:p>
        </w:tc>
      </w:tr>
      <w:tr w:rsidR="00235D9D" w:rsidRPr="00D85C65" w14:paraId="208AE925" w14:textId="77777777" w:rsidTr="00672D2A">
        <w:tc>
          <w:tcPr>
            <w:tcW w:w="1129" w:type="dxa"/>
          </w:tcPr>
          <w:p w14:paraId="1733245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290</w:t>
            </w:r>
          </w:p>
        </w:tc>
        <w:tc>
          <w:tcPr>
            <w:tcW w:w="7620" w:type="dxa"/>
          </w:tcPr>
          <w:p w14:paraId="20063B8E" w14:textId="77777777" w:rsidR="00235D9D" w:rsidRPr="00D85C65" w:rsidRDefault="00855D5F">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1.1.1.9.5.</w:t>
            </w:r>
            <w:r w:rsidRPr="00D85C65">
              <w:rPr>
                <w:rStyle w:val="InstructionsTabelleberschrift"/>
                <w:rFonts w:ascii="Times New Roman" w:hAnsi="Times New Roman"/>
                <w:sz w:val="24"/>
              </w:rPr>
              <w:tab/>
              <w:t>(-) Úpravy ocenenia spôsobené požiadavkami na obozretné oceňovanie</w:t>
            </w:r>
          </w:p>
          <w:p w14:paraId="2A278C88" w14:textId="4C8B73AE"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34</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105 CRR.</w:t>
            </w:r>
          </w:p>
          <w:p w14:paraId="4A46FDFE" w14:textId="7B5A8B7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reálnej hodnoty expozícií zahrnutých</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obchodnej knihe alebo neobchodnej knihe</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dôvodu prísnejších noriem pre obozretné oceňovanie stanovených</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105 CRR.</w:t>
            </w:r>
          </w:p>
        </w:tc>
      </w:tr>
      <w:tr w:rsidR="00235D9D" w:rsidRPr="00D85C65" w14:paraId="5372AADC" w14:textId="77777777" w:rsidTr="00672D2A">
        <w:tc>
          <w:tcPr>
            <w:tcW w:w="1129" w:type="dxa"/>
          </w:tcPr>
          <w:p w14:paraId="0C1EEB3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300</w:t>
            </w:r>
          </w:p>
        </w:tc>
        <w:tc>
          <w:tcPr>
            <w:tcW w:w="7620" w:type="dxa"/>
          </w:tcPr>
          <w:p w14:paraId="19315380" w14:textId="77777777" w:rsidR="00235D9D" w:rsidRPr="00D85C65" w:rsidRDefault="00855D5F">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1.1.1.10.</w:t>
            </w:r>
            <w:r w:rsidRPr="00D85C65">
              <w:rPr>
                <w:rStyle w:val="InstructionsTabelleberschrift"/>
                <w:rFonts w:ascii="Times New Roman" w:hAnsi="Times New Roman"/>
                <w:sz w:val="24"/>
              </w:rPr>
              <w:tab/>
              <w:t>(-) Goodwill</w:t>
            </w:r>
          </w:p>
          <w:p w14:paraId="145D1EC8" w14:textId="1A82DFDD"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113, článok 36 ods. 1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37 CRR.</w:t>
            </w:r>
          </w:p>
        </w:tc>
      </w:tr>
      <w:tr w:rsidR="00235D9D" w:rsidRPr="00D85C65" w14:paraId="1874F0BE" w14:textId="77777777" w:rsidTr="00672D2A">
        <w:tc>
          <w:tcPr>
            <w:tcW w:w="1129" w:type="dxa"/>
          </w:tcPr>
          <w:p w14:paraId="71118958"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310</w:t>
            </w:r>
          </w:p>
        </w:tc>
        <w:tc>
          <w:tcPr>
            <w:tcW w:w="7620" w:type="dxa"/>
          </w:tcPr>
          <w:p w14:paraId="48CEE37D" w14:textId="77777777" w:rsidR="00235D9D" w:rsidRPr="00D85C65" w:rsidRDefault="00855D5F">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1.1.1.10.1.</w:t>
            </w:r>
            <w:r w:rsidRPr="00D85C65">
              <w:rPr>
                <w:rStyle w:val="InstructionsTabelleberschrift"/>
                <w:rFonts w:ascii="Times New Roman" w:hAnsi="Times New Roman"/>
                <w:sz w:val="24"/>
              </w:rPr>
              <w:tab/>
              <w:t>(-) Goodwill účtovaný ako nehmotné aktívum</w:t>
            </w:r>
          </w:p>
          <w:p w14:paraId="43FA0941" w14:textId="17A3953D"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36 ods. 1 písm. b) CRR.</w:t>
            </w:r>
          </w:p>
          <w:p w14:paraId="6A41CA18" w14:textId="02D5D692"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Goodwill má ten istý význam ako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uplatniteľnom účtovnom štandarde.</w:t>
            </w:r>
          </w:p>
          <w:p w14:paraId="78F2DF7F" w14:textId="5D48EF9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tu vykazovaná je rovnaká ako 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súvahe.</w:t>
            </w:r>
          </w:p>
        </w:tc>
      </w:tr>
      <w:tr w:rsidR="00235D9D" w:rsidRPr="00D85C65" w14:paraId="3CC7E9BB" w14:textId="77777777" w:rsidTr="00672D2A">
        <w:tc>
          <w:tcPr>
            <w:tcW w:w="1129" w:type="dxa"/>
          </w:tcPr>
          <w:p w14:paraId="5944683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320</w:t>
            </w:r>
          </w:p>
        </w:tc>
        <w:tc>
          <w:tcPr>
            <w:tcW w:w="7620" w:type="dxa"/>
          </w:tcPr>
          <w:p w14:paraId="305DD800" w14:textId="77777777" w:rsidR="00235D9D" w:rsidRPr="00D85C65" w:rsidRDefault="00855D5F">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1.1.1.10.2.</w:t>
            </w:r>
            <w:r w:rsidRPr="00D85C65">
              <w:rPr>
                <w:rStyle w:val="InstructionsTabelleberschrift"/>
                <w:rFonts w:ascii="Times New Roman" w:hAnsi="Times New Roman"/>
                <w:sz w:val="24"/>
              </w:rPr>
              <w:tab/>
              <w:t>(-) Goodwill zahrnutý do ocenenia významných investícií</w:t>
            </w:r>
          </w:p>
          <w:p w14:paraId="1B343452" w14:textId="32BC70DE"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37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43 CRR.</w:t>
            </w:r>
          </w:p>
        </w:tc>
      </w:tr>
      <w:tr w:rsidR="00235D9D" w:rsidRPr="00D85C65" w14:paraId="4130F963" w14:textId="77777777" w:rsidTr="00672D2A">
        <w:tc>
          <w:tcPr>
            <w:tcW w:w="1129" w:type="dxa"/>
          </w:tcPr>
          <w:p w14:paraId="5C5E90C2"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330</w:t>
            </w:r>
          </w:p>
        </w:tc>
        <w:tc>
          <w:tcPr>
            <w:tcW w:w="7620" w:type="dxa"/>
          </w:tcPr>
          <w:p w14:paraId="32E45CE9" w14:textId="6F0B79C2" w:rsidR="00235D9D" w:rsidRPr="00D85C65" w:rsidRDefault="00AD70F1">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1.1.1.10.3.</w:t>
            </w:r>
            <w:r w:rsidRPr="00D85C65">
              <w:rPr>
                <w:rStyle w:val="InstructionsTabelleberschrift"/>
                <w:rFonts w:ascii="Times New Roman" w:hAnsi="Times New Roman"/>
                <w:sz w:val="24"/>
              </w:rPr>
              <w:tab/>
              <w:t>Odložené daňové záväzky spojené</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goodwillom</w:t>
            </w:r>
          </w:p>
          <w:p w14:paraId="7DCD28D6" w14:textId="2CC8FA11"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37 písm. a) CRR.</w:t>
            </w:r>
          </w:p>
          <w:p w14:paraId="42A4A3E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Suma odložených daňových záväzkov, ktoré by zanikli, ak by sa kvalita goodwillu zhoršila alebo ak by sa podľa uplatniteľného účtovného štandardu ukončilo jeho vykazovanie.</w:t>
            </w:r>
          </w:p>
        </w:tc>
      </w:tr>
      <w:tr w:rsidR="00235D9D" w:rsidRPr="00D85C65" w14:paraId="2F7C856C" w14:textId="77777777" w:rsidTr="00672D2A">
        <w:tc>
          <w:tcPr>
            <w:tcW w:w="1129" w:type="dxa"/>
          </w:tcPr>
          <w:p w14:paraId="0EDC1958"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340</w:t>
            </w:r>
          </w:p>
        </w:tc>
        <w:tc>
          <w:tcPr>
            <w:tcW w:w="7620" w:type="dxa"/>
          </w:tcPr>
          <w:p w14:paraId="2CC4F84C" w14:textId="77777777" w:rsidR="00235D9D" w:rsidRPr="00D85C65" w:rsidRDefault="00AD70F1">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1.1.1.11.</w:t>
            </w:r>
            <w:r w:rsidRPr="00D85C65">
              <w:rPr>
                <w:rStyle w:val="InstructionsTabelleberschrift"/>
                <w:rFonts w:ascii="Times New Roman" w:hAnsi="Times New Roman"/>
                <w:sz w:val="24"/>
              </w:rPr>
              <w:tab/>
              <w:t>(-) Ostatné nehmotné aktíva</w:t>
            </w:r>
          </w:p>
          <w:p w14:paraId="1B763F59" w14:textId="548E8A65"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115, článok 36 ods. 1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37 písm. a) CRR.</w:t>
            </w:r>
          </w:p>
          <w:p w14:paraId="2268F49A" w14:textId="77777777" w:rsidR="00235D9D" w:rsidRPr="00D85C65" w:rsidRDefault="009339C1">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Ostatné nehmotné aktíva sú nehmotné aktíva podľa uplatniteľného účtovného štandardu, bez goodwillu, tiež podľa uplatniteľného účtovného štandardu.</w:t>
            </w:r>
          </w:p>
        </w:tc>
      </w:tr>
      <w:tr w:rsidR="00235D9D" w:rsidRPr="00D85C65" w14:paraId="1A7DBB64" w14:textId="77777777" w:rsidTr="00672D2A">
        <w:tc>
          <w:tcPr>
            <w:tcW w:w="1129" w:type="dxa"/>
          </w:tcPr>
          <w:p w14:paraId="57175307"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350</w:t>
            </w:r>
          </w:p>
        </w:tc>
        <w:tc>
          <w:tcPr>
            <w:tcW w:w="7620" w:type="dxa"/>
          </w:tcPr>
          <w:p w14:paraId="34D928BB" w14:textId="77777777" w:rsidR="00235D9D" w:rsidRPr="00D85C65" w:rsidRDefault="00AD70F1">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1.1.1.11.1.</w:t>
            </w:r>
            <w:r w:rsidRPr="00D85C65">
              <w:rPr>
                <w:rStyle w:val="InstructionsTabelleberschrift"/>
                <w:rFonts w:ascii="Times New Roman" w:hAnsi="Times New Roman"/>
                <w:sz w:val="24"/>
              </w:rPr>
              <w:tab/>
              <w:t>(-) Ostatné nehmotné aktíva pred odpočítaním odložených daňových záväzkov</w:t>
            </w:r>
          </w:p>
          <w:p w14:paraId="09FC6B13" w14:textId="3534C568"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115</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36 ods. 1 písm. b) CRR.</w:t>
            </w:r>
          </w:p>
          <w:p w14:paraId="33A462EA"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Ostatné nehmotné aktíva sú nehmotné aktíva podľa uplatniteľného účtovného štandardu, bez goodwillu, tiež podľa uplatniteľného účtovného štandardu.</w:t>
            </w:r>
          </w:p>
          <w:p w14:paraId="44736886" w14:textId="5458F9F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zodpovedá hodnote vykázanej</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súvahe pre iné nehmotné aktíva než goodwill.</w:t>
            </w:r>
          </w:p>
        </w:tc>
      </w:tr>
      <w:tr w:rsidR="00235D9D" w:rsidRPr="00D85C65" w14:paraId="6B24970D" w14:textId="77777777" w:rsidTr="00672D2A">
        <w:tc>
          <w:tcPr>
            <w:tcW w:w="1129" w:type="dxa"/>
          </w:tcPr>
          <w:p w14:paraId="648AB59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360</w:t>
            </w:r>
          </w:p>
        </w:tc>
        <w:tc>
          <w:tcPr>
            <w:tcW w:w="7620" w:type="dxa"/>
          </w:tcPr>
          <w:p w14:paraId="3864EF32" w14:textId="27FC69C0" w:rsidR="00235D9D" w:rsidRPr="00D85C65" w:rsidRDefault="00AD70F1">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1.1.1.11.2.</w:t>
            </w:r>
            <w:r w:rsidRPr="00D85C65">
              <w:rPr>
                <w:rStyle w:val="InstructionsTabelleberschrift"/>
                <w:rFonts w:ascii="Times New Roman" w:hAnsi="Times New Roman"/>
                <w:sz w:val="24"/>
              </w:rPr>
              <w:tab/>
              <w:t>Odložené daňové záväzky spojené</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ostatnými nehmotnými aktívami</w:t>
            </w:r>
          </w:p>
          <w:p w14:paraId="13391161" w14:textId="5B1BB608"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37 písm. a) CRR.</w:t>
            </w:r>
          </w:p>
          <w:p w14:paraId="0F5C834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odložených daňových záväzkov, ktoré by zanikli, ak by sa kvalita iných nehmotných aktív než goodwill zhoršila alebo ak by sa podľa uplatniteľného účtovného štandardu ukončilo jeho vykazovanie.</w:t>
            </w:r>
          </w:p>
        </w:tc>
      </w:tr>
      <w:tr w:rsidR="00235D9D" w:rsidRPr="00D85C65" w14:paraId="11B50A40" w14:textId="77777777" w:rsidTr="00672D2A">
        <w:tc>
          <w:tcPr>
            <w:tcW w:w="1129" w:type="dxa"/>
          </w:tcPr>
          <w:p w14:paraId="75C3B54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370</w:t>
            </w:r>
          </w:p>
        </w:tc>
        <w:tc>
          <w:tcPr>
            <w:tcW w:w="7620" w:type="dxa"/>
          </w:tcPr>
          <w:p w14:paraId="700E1977" w14:textId="5FD35379"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1.1.1.12.</w:t>
            </w:r>
            <w:r w:rsidRPr="00D85C65">
              <w:rPr>
                <w:rStyle w:val="InstructionsTabelleberschrift"/>
                <w:rFonts w:ascii="Times New Roman" w:hAnsi="Times New Roman"/>
                <w:sz w:val="24"/>
              </w:rPr>
              <w:tab/>
              <w:t>(-) Odložené daňové pohľadávky, ktoré závisia od budúcej ziskovosti</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nevyplývajú</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dočasných rozdielov, po odpočítaní prislúchajúcich daňových záväzkov</w:t>
            </w:r>
          </w:p>
          <w:p w14:paraId="67F3DEBE" w14:textId="3E34EE85"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Článok 36 ods. 1 písm. c)</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38 CRR.</w:t>
            </w:r>
          </w:p>
        </w:tc>
      </w:tr>
      <w:tr w:rsidR="00235D9D" w:rsidRPr="00D85C65" w14:paraId="088B47E6" w14:textId="77777777" w:rsidTr="00672D2A">
        <w:tc>
          <w:tcPr>
            <w:tcW w:w="1129" w:type="dxa"/>
          </w:tcPr>
          <w:p w14:paraId="6956E9F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380</w:t>
            </w:r>
          </w:p>
        </w:tc>
        <w:tc>
          <w:tcPr>
            <w:tcW w:w="7620" w:type="dxa"/>
          </w:tcPr>
          <w:p w14:paraId="465A1207" w14:textId="046778D0"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1.1.1.13.</w:t>
            </w:r>
            <w:r w:rsidRPr="00D85C65">
              <w:rPr>
                <w:rStyle w:val="InstructionsTabelleberschrift"/>
                <w:rFonts w:ascii="Times New Roman" w:hAnsi="Times New Roman"/>
                <w:sz w:val="24"/>
              </w:rPr>
              <w:tab/>
              <w:t>(-) IRB schodok úprav kreditného rizika</w:t>
            </w:r>
            <w:r w:rsidR="00D85C65">
              <w:rPr>
                <w:rStyle w:val="InstructionsTabelleberschrift"/>
                <w:rFonts w:ascii="Times New Roman" w:hAnsi="Times New Roman"/>
                <w:sz w:val="24"/>
              </w:rPr>
              <w:t xml:space="preserve"> o </w:t>
            </w:r>
            <w:r w:rsidRPr="00D85C65">
              <w:rPr>
                <w:rStyle w:val="InstructionsTabelleberschrift"/>
                <w:rFonts w:ascii="Times New Roman" w:hAnsi="Times New Roman"/>
                <w:sz w:val="24"/>
              </w:rPr>
              <w:t>očakávané straty</w:t>
            </w:r>
          </w:p>
          <w:p w14:paraId="08726EF6" w14:textId="52BC4183"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d), články 40, 158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159 CRR.</w:t>
            </w:r>
          </w:p>
          <w:p w14:paraId="291793BB" w14:textId="5973C1A2"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 sa neznižuje</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zvýšenie výšky odložených daňových pohľadávok, ktoré závisia od budúcej ziskovosti, alebo</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iný dodatočný daňový efekt, ktorý by mohol nastať, pokiaľ by sa rezervy zvýšili na úroveň očakávaných strát (článok 40 CRR).</w:t>
            </w:r>
          </w:p>
        </w:tc>
      </w:tr>
      <w:tr w:rsidR="00235D9D" w:rsidRPr="00D85C65" w14:paraId="52AF5EE2" w14:textId="77777777" w:rsidTr="00672D2A">
        <w:tc>
          <w:tcPr>
            <w:tcW w:w="1129" w:type="dxa"/>
          </w:tcPr>
          <w:p w14:paraId="625209A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390</w:t>
            </w:r>
          </w:p>
        </w:tc>
        <w:tc>
          <w:tcPr>
            <w:tcW w:w="7620" w:type="dxa"/>
          </w:tcPr>
          <w:p w14:paraId="004980B3" w14:textId="77777777"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w:t>
            </w:r>
            <w:r w:rsidRPr="00D85C65">
              <w:rPr>
                <w:rStyle w:val="InstructionsTabelleberschrift"/>
                <w:rFonts w:ascii="Times New Roman" w:hAnsi="Times New Roman"/>
                <w:sz w:val="24"/>
              </w:rPr>
              <w:tab/>
              <w:t>(-) Majetok dôchodkového fondu so stanovenými požitkami</w:t>
            </w:r>
          </w:p>
          <w:p w14:paraId="1EDB0083" w14:textId="37D2D2D3" w:rsidR="00235D9D" w:rsidRPr="00D85C65" w:rsidRDefault="00214FDA">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109, článok 36 ods. 1 písm. 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41 CRR.</w:t>
            </w:r>
          </w:p>
        </w:tc>
      </w:tr>
      <w:tr w:rsidR="00235D9D" w:rsidRPr="00D85C65" w14:paraId="287C1312" w14:textId="77777777" w:rsidTr="00672D2A">
        <w:tc>
          <w:tcPr>
            <w:tcW w:w="1129" w:type="dxa"/>
          </w:tcPr>
          <w:p w14:paraId="2CD7DC4B"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400</w:t>
            </w:r>
          </w:p>
        </w:tc>
        <w:tc>
          <w:tcPr>
            <w:tcW w:w="7620" w:type="dxa"/>
          </w:tcPr>
          <w:p w14:paraId="2DB9A3F8" w14:textId="77777777" w:rsidR="00D85C65" w:rsidRDefault="00F9591C">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1.1.1.14.1.</w:t>
            </w:r>
            <w:r w:rsidRPr="00D85C65">
              <w:rPr>
                <w:rStyle w:val="InstructionsTabelleberschrift"/>
                <w:rFonts w:ascii="Times New Roman" w:hAnsi="Times New Roman"/>
                <w:sz w:val="24"/>
              </w:rPr>
              <w:tab/>
              <w:t>(-) Majetok dôchodkového fondu so stanovenými požitkami</w:t>
            </w:r>
          </w:p>
          <w:p w14:paraId="3BEEA281" w14:textId="723D1E20"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109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36 ods. 1 písm. e) CRR.</w:t>
            </w:r>
          </w:p>
          <w:p w14:paraId="4CDCF4EC" w14:textId="05C69D99"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Majetok dôchodkového fondu so stanovenými požitkami sa vymedzuje ako „aktíva dôchodkového fondu alebo programu</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definovanými dávkami, ktoré sa vypočítajú po ich znížení</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výšku záväzkov</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rámci toho istého fondu alebo programu“.</w:t>
            </w:r>
          </w:p>
          <w:p w14:paraId="53ACD534" w14:textId="6E251EF6"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zodpovedá hodnote vykázanej</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súvahe (ak sa vykazuje osobitne).</w:t>
            </w:r>
          </w:p>
        </w:tc>
      </w:tr>
      <w:tr w:rsidR="00235D9D" w:rsidRPr="00D85C65" w14:paraId="23971C79" w14:textId="77777777" w:rsidTr="00672D2A">
        <w:tc>
          <w:tcPr>
            <w:tcW w:w="1129" w:type="dxa"/>
          </w:tcPr>
          <w:p w14:paraId="3AF45196"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410</w:t>
            </w:r>
          </w:p>
        </w:tc>
        <w:tc>
          <w:tcPr>
            <w:tcW w:w="7620" w:type="dxa"/>
          </w:tcPr>
          <w:p w14:paraId="49EABC3C" w14:textId="6A873BF7"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1.1.1.14.2.</w:t>
            </w:r>
            <w:r w:rsidRPr="00D85C65">
              <w:rPr>
                <w:rStyle w:val="InstructionsTabelleberschrift"/>
                <w:rFonts w:ascii="Times New Roman" w:hAnsi="Times New Roman"/>
                <w:sz w:val="24"/>
              </w:rPr>
              <w:tab/>
              <w:t>Odložené daňové záväzky spojené</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majetkom dôchodkového fondu so stanovenými požitkami</w:t>
            </w:r>
          </w:p>
          <w:p w14:paraId="4D443458" w14:textId="7EAF3A45" w:rsidR="00235D9D" w:rsidRPr="00D85C65" w:rsidRDefault="002C66A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body 108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109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41 ods. 1 písm. a) CRR.</w:t>
            </w:r>
          </w:p>
          <w:p w14:paraId="4C98F90C"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odložených daňových záväzkov, ktoré by zanikli, ak by sa kvalita majetku dôchodkového fondu so stanovenými požitkami zhoršila alebo ak by sa podľa uplatniteľného účtovného štandardu ukončilo jeho vykazovanie.</w:t>
            </w:r>
          </w:p>
        </w:tc>
      </w:tr>
      <w:tr w:rsidR="00235D9D" w:rsidRPr="00D85C65" w14:paraId="526CED26" w14:textId="77777777" w:rsidTr="00672D2A">
        <w:tc>
          <w:tcPr>
            <w:tcW w:w="1129" w:type="dxa"/>
          </w:tcPr>
          <w:p w14:paraId="772C22FF"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420</w:t>
            </w:r>
          </w:p>
        </w:tc>
        <w:tc>
          <w:tcPr>
            <w:tcW w:w="7620" w:type="dxa"/>
          </w:tcPr>
          <w:p w14:paraId="7347970E" w14:textId="77777777"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1.1.1.14.3.</w:t>
            </w:r>
            <w:r w:rsidRPr="00D85C65">
              <w:rPr>
                <w:rStyle w:val="InstructionsTabelleberschrift"/>
                <w:rFonts w:ascii="Times New Roman" w:hAnsi="Times New Roman"/>
                <w:sz w:val="24"/>
              </w:rPr>
              <w:tab/>
              <w:t>Majetky dôchodkového fondu so stanovenými požitkami, ktoré môže inštitúcia neobmedzene využívať</w:t>
            </w:r>
          </w:p>
          <w:p w14:paraId="1C7AEF32" w14:textId="03D419F9"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109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41 ods. 1 písm. b) CRR.</w:t>
            </w:r>
          </w:p>
          <w:p w14:paraId="3337156D"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Táto položka sa vypĺňa, len keď príslušný orgán vopred udelil súhlas na zníženie výšky majetku dôchodkového fondu so stanovenými požitkami, ktorý sa má odpočítať.</w:t>
            </w:r>
          </w:p>
          <w:p w14:paraId="633DBC47" w14:textId="23143AEF"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Aktívam</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sa priradí riziková váha pre požiadavky na kreditné riziko.</w:t>
            </w:r>
          </w:p>
        </w:tc>
      </w:tr>
      <w:tr w:rsidR="00235D9D" w:rsidRPr="00D85C65" w14:paraId="59DC2247" w14:textId="77777777" w:rsidTr="00672D2A">
        <w:tc>
          <w:tcPr>
            <w:tcW w:w="1129" w:type="dxa"/>
          </w:tcPr>
          <w:p w14:paraId="37D2A03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430</w:t>
            </w:r>
          </w:p>
        </w:tc>
        <w:tc>
          <w:tcPr>
            <w:tcW w:w="7620" w:type="dxa"/>
          </w:tcPr>
          <w:p w14:paraId="2659873F" w14:textId="77777777" w:rsidR="00235D9D" w:rsidRPr="00D85C65" w:rsidRDefault="00F9591C">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1.1.1.15.</w:t>
            </w:r>
            <w:r w:rsidRPr="00D85C65">
              <w:rPr>
                <w:rStyle w:val="InstructionsTabelleberschrift"/>
                <w:rFonts w:ascii="Times New Roman" w:hAnsi="Times New Roman"/>
                <w:sz w:val="24"/>
              </w:rPr>
              <w:tab/>
              <w:t>(-) Recipročné krížové podiely na kapitáli CET1</w:t>
            </w:r>
          </w:p>
          <w:p w14:paraId="53A63BE0" w14:textId="295428C8"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122, článok 36 ods. 1 písm. g)</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44 CRR.</w:t>
            </w:r>
          </w:p>
          <w:p w14:paraId="2B53DEDC" w14:textId="6EF57A4A"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Podiely na nástrojoch CET1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existuje recipročný krížový podiel,</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ktorom sa príslušný orgán domnieva, že má umelo zvyšovať vlastné zdroje inštitúcie.</w:t>
            </w:r>
          </w:p>
          <w:p w14:paraId="4B9979A2" w14:textId="3D483BEB"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Vykazovaná hodnota sa vypočíta na základe brutto dlhých pozícií</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zahŕňa poistné položky vlastných zdrojov Tier 1.</w:t>
            </w:r>
          </w:p>
        </w:tc>
      </w:tr>
      <w:tr w:rsidR="00235D9D" w:rsidRPr="00D85C65" w14:paraId="4EBA580A" w14:textId="77777777" w:rsidTr="00672D2A">
        <w:tc>
          <w:tcPr>
            <w:tcW w:w="1129" w:type="dxa"/>
          </w:tcPr>
          <w:p w14:paraId="6D1BE33E"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440</w:t>
            </w:r>
          </w:p>
        </w:tc>
        <w:tc>
          <w:tcPr>
            <w:tcW w:w="7620" w:type="dxa"/>
          </w:tcPr>
          <w:p w14:paraId="7539EA4B" w14:textId="77777777" w:rsidR="00D85C65" w:rsidRDefault="006022C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1.1.1.16.</w:t>
            </w:r>
            <w:r w:rsidRPr="00D85C65">
              <w:rPr>
                <w:rStyle w:val="InstructionsTabelleberschrift"/>
                <w:rFonts w:ascii="Times New Roman" w:hAnsi="Times New Roman"/>
                <w:sz w:val="24"/>
              </w:rPr>
              <w:tab/>
              <w:t>(-) Nadbytok odpočtov od položiek AT1 nad kapitálom AT1</w:t>
            </w:r>
          </w:p>
          <w:p w14:paraId="5F639232" w14:textId="45D41BC3"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j) CRR.</w:t>
            </w:r>
          </w:p>
          <w:p w14:paraId="09EC7111" w14:textId="42704DC2"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 sa preberie priamo zo vzoru CA1</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položky „nadbytok odpočtov od položiek AT1 nad kapitálom AT1“. Hodnota sa musí odpočítať od CET1.</w:t>
            </w:r>
          </w:p>
        </w:tc>
      </w:tr>
      <w:tr w:rsidR="00235D9D" w:rsidRPr="00D85C65" w14:paraId="35614C08" w14:textId="77777777" w:rsidTr="00672D2A">
        <w:tc>
          <w:tcPr>
            <w:tcW w:w="1129" w:type="dxa"/>
          </w:tcPr>
          <w:p w14:paraId="5DD060AE" w14:textId="77777777" w:rsidR="00235D9D" w:rsidRPr="00D85C65" w:rsidRDefault="00BA1C6C">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450</w:t>
            </w:r>
          </w:p>
        </w:tc>
        <w:tc>
          <w:tcPr>
            <w:tcW w:w="7620" w:type="dxa"/>
          </w:tcPr>
          <w:p w14:paraId="1E19E661" w14:textId="3C9EF224"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1.1.1.17.</w:t>
            </w:r>
            <w:r w:rsidRPr="00D85C65">
              <w:rPr>
                <w:rStyle w:val="InstructionsTabelleberschrift"/>
                <w:rFonts w:ascii="Times New Roman" w:hAnsi="Times New Roman"/>
                <w:sz w:val="24"/>
              </w:rPr>
              <w:tab/>
              <w:t>(-) Kvalifikované účasti mimo finančného sektora, na ktoré sa alternatívne môže uplatniť riziková váha 1 250</w:t>
            </w:r>
            <w:r w:rsidR="00D85C65">
              <w:rPr>
                <w:rStyle w:val="InstructionsTabelleberschrift"/>
                <w:rFonts w:ascii="Times New Roman" w:hAnsi="Times New Roman"/>
                <w:sz w:val="24"/>
              </w:rPr>
              <w:t> %</w:t>
            </w:r>
          </w:p>
          <w:p w14:paraId="62A7D1AE" w14:textId="140BACA8"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36, článok 36 ods. 1 písm. k) bod i)</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články 89 až 91 CRR.</w:t>
            </w:r>
          </w:p>
          <w:p w14:paraId="5B23F420" w14:textId="22F6AE0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Kvalifikované účasti sa vymedzujú ako „priamy alebo nepriamy podiel</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podniku, ktorý predstavuje aspoň 10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xml:space="preserve"> základného imania alebo hlasovacích práv, alebo ktorý umožňuje vykonávať významný vplyv na riadenie tohto podniku“.</w:t>
            </w:r>
          </w:p>
          <w:p w14:paraId="0D594964" w14:textId="4CBC72C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Podľa článku 36 ods. 1 písm. k) bodu i) CRR sa kvalifikované účasti môžu alternatívne odpočítať od CET1 (s použitím tejto položky) alebo sa na ne môže uplatniť riziková váha 1 250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w:t>
            </w:r>
          </w:p>
        </w:tc>
      </w:tr>
      <w:tr w:rsidR="00235D9D" w:rsidRPr="00D85C65" w14:paraId="77436E8C" w14:textId="77777777" w:rsidTr="00672D2A">
        <w:tc>
          <w:tcPr>
            <w:tcW w:w="1129" w:type="dxa"/>
          </w:tcPr>
          <w:p w14:paraId="70AEAC6A" w14:textId="77777777" w:rsidR="00235D9D" w:rsidRPr="00D85C65" w:rsidRDefault="00BA1C6C">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460</w:t>
            </w:r>
          </w:p>
        </w:tc>
        <w:tc>
          <w:tcPr>
            <w:tcW w:w="7620" w:type="dxa"/>
          </w:tcPr>
          <w:p w14:paraId="781952B8" w14:textId="32D9DF86"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1.1.1.18.</w:t>
            </w:r>
            <w:r w:rsidRPr="00D85C65">
              <w:rPr>
                <w:rStyle w:val="InstructionsTabelleberschrift"/>
                <w:rFonts w:ascii="Times New Roman" w:hAnsi="Times New Roman"/>
                <w:sz w:val="24"/>
              </w:rPr>
              <w:tab/>
              <w:t>(-) Sekuritizačné pozície, na ktoré sa alternatívne môže uplatniť riziková váha 1 250</w:t>
            </w:r>
            <w:r w:rsidR="00D85C65">
              <w:rPr>
                <w:rStyle w:val="InstructionsTabelleberschrift"/>
                <w:rFonts w:ascii="Times New Roman" w:hAnsi="Times New Roman"/>
                <w:sz w:val="24"/>
              </w:rPr>
              <w:t> %</w:t>
            </w:r>
          </w:p>
          <w:p w14:paraId="12DCBB3D" w14:textId="4506C762" w:rsid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244 ods. 1 písm. b), článok 245 ods. 1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253 ods. 1 CRR</w:t>
            </w:r>
            <w:r w:rsidR="00D85C65">
              <w:rPr>
                <w:rStyle w:val="FormatvorlageInstructionsTabelleText"/>
                <w:rFonts w:ascii="Times New Roman" w:hAnsi="Times New Roman"/>
                <w:sz w:val="24"/>
              </w:rPr>
              <w:t>.</w:t>
            </w:r>
          </w:p>
          <w:p w14:paraId="2876F937" w14:textId="7CCE7EA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Sekuritizačné pozície, na ktoré sa uplatňuje riziková váha 1 250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ale ktoré sa alternatívne môžu odpočítať od CET1 [článok 36 ods. 1 písm. k) bod ii) CRR], sa vykazujú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tejto položke.</w:t>
            </w:r>
          </w:p>
        </w:tc>
      </w:tr>
      <w:tr w:rsidR="00235D9D" w:rsidRPr="00D85C65" w14:paraId="1E8BDF63" w14:textId="77777777" w:rsidTr="00672D2A">
        <w:tc>
          <w:tcPr>
            <w:tcW w:w="1129" w:type="dxa"/>
          </w:tcPr>
          <w:p w14:paraId="70F4DA3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470</w:t>
            </w:r>
          </w:p>
        </w:tc>
        <w:tc>
          <w:tcPr>
            <w:tcW w:w="7620" w:type="dxa"/>
          </w:tcPr>
          <w:p w14:paraId="7C640C13" w14:textId="05EE4D28"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1.1.1.19.</w:t>
            </w:r>
            <w:r w:rsidRPr="00D85C65">
              <w:rPr>
                <w:rStyle w:val="InstructionsTabelleberschrift"/>
                <w:rFonts w:ascii="Times New Roman" w:hAnsi="Times New Roman"/>
                <w:sz w:val="24"/>
              </w:rPr>
              <w:tab/>
              <w:t>(-) Bezodplatné dodania, na ktoré sa alternatívne môže uplatniť riziková váha 1,250</w:t>
            </w:r>
            <w:r w:rsidR="00D85C65">
              <w:rPr>
                <w:rStyle w:val="InstructionsTabelleberschrift"/>
                <w:rFonts w:ascii="Times New Roman" w:hAnsi="Times New Roman"/>
                <w:sz w:val="24"/>
              </w:rPr>
              <w:t> %</w:t>
            </w:r>
          </w:p>
          <w:p w14:paraId="2530399A" w14:textId="36CE836E"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k) bod iii)</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379 ods. 3 CRR.</w:t>
            </w:r>
          </w:p>
          <w:p w14:paraId="461E96CC" w14:textId="4059E75B"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Bezodplatné dodania podliehajú rizikovej váhe 1 250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xml:space="preserve"> po 5 dňoch po druhej zmluvnej platbe alebo časti dodania do ukončenia transakcie podľa požiadaviek na vlastné zdroje pre riziko vyrovnania. Alternatívne ich možno odpočítať od CET1 [článok 36 ods. 1 písm. k) bod iii) CRR].</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druhom spomenutom prípade sa vykazujú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tejto položke.</w:t>
            </w:r>
          </w:p>
        </w:tc>
      </w:tr>
      <w:tr w:rsidR="00235D9D" w:rsidRPr="00D85C65" w14:paraId="3A892529" w14:textId="77777777" w:rsidTr="00672D2A">
        <w:tc>
          <w:tcPr>
            <w:tcW w:w="1129" w:type="dxa"/>
          </w:tcPr>
          <w:p w14:paraId="7705932E"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471</w:t>
            </w:r>
          </w:p>
        </w:tc>
        <w:tc>
          <w:tcPr>
            <w:tcW w:w="7620" w:type="dxa"/>
          </w:tcPr>
          <w:p w14:paraId="2BEC5116" w14:textId="22D60307" w:rsidR="00235D9D" w:rsidRPr="00D85C65" w:rsidRDefault="006022C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1.1.1.20.</w:t>
            </w:r>
            <w:r w:rsidRPr="00D85C65">
              <w:rPr>
                <w:rStyle w:val="InstructionsTabelleberschrift"/>
                <w:rFonts w:ascii="Times New Roman" w:hAnsi="Times New Roman"/>
                <w:sz w:val="24"/>
              </w:rPr>
              <w:tab/>
              <w:t>(-) 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koši, pre ktoré inštitúcia nevie stanoviť rizikovú váhu</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prístupu IRB</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na ktoré sa alternatívne môže uplatniť riziková váha 1 250</w:t>
            </w:r>
            <w:r w:rsidR="00D85C65">
              <w:rPr>
                <w:rStyle w:val="InstructionsTabelleberschrift"/>
                <w:rFonts w:ascii="Times New Roman" w:hAnsi="Times New Roman"/>
                <w:sz w:val="24"/>
              </w:rPr>
              <w:t> %</w:t>
            </w:r>
          </w:p>
          <w:p w14:paraId="23EF78C2" w14:textId="40EF3AAF" w:rsidR="00235D9D" w:rsidRPr="00D85C65" w:rsidRDefault="00C7103D">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36 ods. 1 písm. k) bod iv)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článok 153 ods. 8 CRR.</w:t>
            </w:r>
          </w:p>
          <w:p w14:paraId="34F8740F" w14:textId="14D39E10" w:rsidR="00235D9D" w:rsidRPr="00D85C65" w:rsidRDefault="00666996">
            <w:pPr>
              <w:pStyle w:val="InstructionsText"/>
              <w:rPr>
                <w:rStyle w:val="InstructionsTabelleberschrift"/>
                <w:rFonts w:ascii="Times New Roman" w:hAnsi="Times New Roman"/>
                <w:b w:val="0"/>
                <w:sz w:val="24"/>
                <w:u w:val="none"/>
              </w:rPr>
            </w:pPr>
            <w:r w:rsidRPr="00D85C65">
              <w:rPr>
                <w:rStyle w:val="FormatvorlageInstructionsTabelleText"/>
                <w:rFonts w:ascii="Times New Roman" w:hAnsi="Times New Roman"/>
                <w:sz w:val="24"/>
              </w:rPr>
              <w:t>V súlade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 xml:space="preserve">článkom 36 ods. 1 písm. k) bodom iv) CRR možno </w:t>
            </w:r>
            <w:r w:rsidRPr="00D85C65">
              <w:rPr>
                <w:rStyle w:val="InstructionsTabelleberschrift"/>
                <w:rFonts w:ascii="Times New Roman" w:hAnsi="Times New Roman"/>
                <w:b w:val="0"/>
                <w:sz w:val="24"/>
                <w:u w:val="none"/>
              </w:rPr>
              <w:t>pozície</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koši, pre ktoré inštitúcia nedokáže určiť rizikovú váhu na základe prístupu IRB</w:t>
            </w:r>
            <w:r w:rsidRPr="00D85C65">
              <w:rPr>
                <w:rStyle w:val="FormatvorlageInstructionsTabelleText"/>
                <w:rFonts w:ascii="Times New Roman" w:hAnsi="Times New Roman"/>
                <w:sz w:val="24"/>
              </w:rPr>
              <w:t>, alternatívne odpočítať od CET1 (s použitím tejto položky) alebo sa na ne môže uplatniť riziková váha 1 250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w:t>
            </w:r>
          </w:p>
        </w:tc>
      </w:tr>
      <w:tr w:rsidR="00235D9D" w:rsidRPr="00D85C65" w14:paraId="3917E2A4" w14:textId="77777777" w:rsidTr="00672D2A">
        <w:tc>
          <w:tcPr>
            <w:tcW w:w="1129" w:type="dxa"/>
          </w:tcPr>
          <w:p w14:paraId="3A637B33"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472</w:t>
            </w:r>
          </w:p>
        </w:tc>
        <w:tc>
          <w:tcPr>
            <w:tcW w:w="7620" w:type="dxa"/>
          </w:tcPr>
          <w:p w14:paraId="157A1D2F" w14:textId="2786CF7E" w:rsidR="00235D9D" w:rsidRPr="00D85C65" w:rsidRDefault="006022C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1.1.1.21.</w:t>
            </w:r>
            <w:r w:rsidRPr="00D85C65">
              <w:rPr>
                <w:rStyle w:val="InstructionsTabelleberschrift"/>
                <w:rFonts w:ascii="Times New Roman" w:hAnsi="Times New Roman"/>
                <w:sz w:val="24"/>
              </w:rPr>
              <w:tab/>
              <w:t>(-) Kapitálové expozície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prístupu interných modelov, na ktoré sa alternatívne môže uplatniť riziková váha 1 250</w:t>
            </w:r>
            <w:r w:rsidR="00D85C65">
              <w:rPr>
                <w:rStyle w:val="InstructionsTabelleberschrift"/>
                <w:rFonts w:ascii="Times New Roman" w:hAnsi="Times New Roman"/>
                <w:sz w:val="24"/>
              </w:rPr>
              <w:t> %</w:t>
            </w:r>
          </w:p>
          <w:p w14:paraId="08BE5CC2" w14:textId="22E43AE9" w:rsidR="00235D9D" w:rsidRPr="00D85C65" w:rsidRDefault="00C7103D">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36 ods. 1 písm. k) bod 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článok 155 ods. 4 CRR.</w:t>
            </w:r>
          </w:p>
          <w:p w14:paraId="09F9394D" w14:textId="2A3E840C" w:rsidR="00235D9D" w:rsidRPr="00D85C65" w:rsidRDefault="00666996">
            <w:pPr>
              <w:pStyle w:val="InstructionsText"/>
              <w:rPr>
                <w:rStyle w:val="InstructionsTabelleberschrift"/>
                <w:rFonts w:ascii="Times New Roman" w:hAnsi="Times New Roman"/>
                <w:b w:val="0"/>
                <w:sz w:val="24"/>
                <w:u w:val="none"/>
              </w:rPr>
            </w:pPr>
            <w:r w:rsidRPr="00D85C65">
              <w:rPr>
                <w:rStyle w:val="FormatvorlageInstructionsTabelleText"/>
                <w:rFonts w:ascii="Times New Roman" w:hAnsi="Times New Roman"/>
                <w:sz w:val="24"/>
              </w:rPr>
              <w:t>Podľa článku 36 ods. 1 písm. k) bodu v) CRR</w:t>
            </w:r>
            <w:r w:rsidRPr="00D85C65">
              <w:rPr>
                <w:rStyle w:val="InstructionsTabelleberschrift"/>
                <w:rFonts w:ascii="Times New Roman" w:hAnsi="Times New Roman"/>
                <w:b w:val="0"/>
                <w:sz w:val="24"/>
                <w:u w:val="none"/>
              </w:rPr>
              <w:t xml:space="preserve"> sa kapitálové expozície</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rámci prístupu interných modelov</w:t>
            </w:r>
            <w:r w:rsidRPr="00D85C65">
              <w:rPr>
                <w:rStyle w:val="FormatvorlageInstructionsTabelleText"/>
                <w:rFonts w:ascii="Times New Roman" w:hAnsi="Times New Roman"/>
                <w:sz w:val="24"/>
              </w:rPr>
              <w:t xml:space="preserve"> môžu alternatívne odpočítať od CET1 (s použitím tejto položky) alebo sa na ne môže uplatniť riziková váha 1 250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w:t>
            </w:r>
          </w:p>
        </w:tc>
      </w:tr>
      <w:tr w:rsidR="00235D9D" w:rsidRPr="00D85C65" w14:paraId="5BCBC4E2" w14:textId="77777777" w:rsidTr="00672D2A">
        <w:tc>
          <w:tcPr>
            <w:tcW w:w="1129" w:type="dxa"/>
          </w:tcPr>
          <w:p w14:paraId="645E72BC"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480</w:t>
            </w:r>
          </w:p>
        </w:tc>
        <w:tc>
          <w:tcPr>
            <w:tcW w:w="7620" w:type="dxa"/>
          </w:tcPr>
          <w:p w14:paraId="1664893D" w14:textId="19C2AD4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1.1.1.22.</w:t>
            </w:r>
            <w:r w:rsidRPr="00D85C65">
              <w:rPr>
                <w:rStyle w:val="InstructionsTabelleberschrift"/>
                <w:rFonts w:ascii="Times New Roman" w:hAnsi="Times New Roman"/>
                <w:sz w:val="24"/>
              </w:rPr>
              <w:tab/>
              <w:t>(-) Nástroje CET1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nemá významnú investíciu</w:t>
            </w:r>
          </w:p>
          <w:p w14:paraId="29F1B510" w14:textId="243787DC"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36 ods. 1 písm. h), články 43 až 46, článok 49 ods.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79 CRR.</w:t>
            </w:r>
          </w:p>
          <w:p w14:paraId="38BC00BA" w14:textId="716D48F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podielov inštitúcie na nástrojoch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nemá významnú investíciu, ktorá sa musí odpočítať od CET1.</w:t>
            </w:r>
          </w:p>
          <w:p w14:paraId="1F74B836" w14:textId="694239C2"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Pozri alternatívy</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odpočítaniu, keď sa uplatňuje konsolidácia (článok 49 ods.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3).</w:t>
            </w:r>
          </w:p>
        </w:tc>
      </w:tr>
      <w:tr w:rsidR="00235D9D" w:rsidRPr="00D85C65" w14:paraId="631F7107" w14:textId="77777777" w:rsidTr="00672D2A">
        <w:tc>
          <w:tcPr>
            <w:tcW w:w="1129" w:type="dxa"/>
          </w:tcPr>
          <w:p w14:paraId="334D0711"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490</w:t>
            </w:r>
          </w:p>
        </w:tc>
        <w:tc>
          <w:tcPr>
            <w:tcW w:w="7620" w:type="dxa"/>
          </w:tcPr>
          <w:p w14:paraId="2D14DF68" w14:textId="474F056F"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1.1.1.23.</w:t>
            </w:r>
            <w:r w:rsidRPr="00D85C65">
              <w:rPr>
                <w:rStyle w:val="InstructionsTabelleberschrift"/>
                <w:rFonts w:ascii="Times New Roman" w:hAnsi="Times New Roman"/>
                <w:sz w:val="24"/>
              </w:rPr>
              <w:tab/>
              <w:t>(-) Odpočítateľné odložené daňové pohľadávky, ktoré závisia od budúcej ziskovosti</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vyplývajú</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dočasných rozdielov</w:t>
            </w:r>
          </w:p>
          <w:p w14:paraId="14CB7685" w14:textId="64D5EB74" w:rsidR="00235D9D" w:rsidRPr="00D85C65" w:rsidRDefault="00C7103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c); článok 38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48 ods. 1 písm. a) CRR.</w:t>
            </w:r>
          </w:p>
          <w:p w14:paraId="5C8E88B5" w14:textId="68F0BB1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odložených daňových pohľadávok, ktoré závisia od budúcej ziskovosti</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vyplývajú</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dočasných rozdielov (čistá hodnota časti súvisiacich odložených daňových záväzkov pridelenej na odložené daňové pohľadávky, ktoré vyplývajú</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dočasných rozdielov), ktorá sa má podľa článku 38 ods. 5 písm. b) CRR odpočítať, pričom sa uplatňuje prahová hodnota 10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xml:space="preserve"> uvedená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48 ods. 1 písm. a) CRR.</w:t>
            </w:r>
          </w:p>
        </w:tc>
      </w:tr>
      <w:tr w:rsidR="00235D9D" w:rsidRPr="00D85C65" w14:paraId="37D9C6E9" w14:textId="77777777" w:rsidTr="00672D2A">
        <w:tc>
          <w:tcPr>
            <w:tcW w:w="1129" w:type="dxa"/>
          </w:tcPr>
          <w:p w14:paraId="483FFB4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500</w:t>
            </w:r>
          </w:p>
        </w:tc>
        <w:tc>
          <w:tcPr>
            <w:tcW w:w="7620" w:type="dxa"/>
          </w:tcPr>
          <w:p w14:paraId="59969AB1" w14:textId="6C899D5C"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1.1.1.24.</w:t>
            </w:r>
            <w:r w:rsidRPr="00D85C65">
              <w:rPr>
                <w:rStyle w:val="InstructionsTabelleberschrift"/>
                <w:rFonts w:ascii="Times New Roman" w:hAnsi="Times New Roman"/>
                <w:sz w:val="24"/>
              </w:rPr>
              <w:tab/>
              <w:t>(-) Nástroje CET1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má významnú investíciu</w:t>
            </w:r>
          </w:p>
          <w:p w14:paraId="01B96D58" w14:textId="00D87ED4"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36 ods. 1 písm. i); články 43, 45, 47, článok 48 ods. 2 písm. b), článok 49 ods. 1,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79 CRR.</w:t>
            </w:r>
          </w:p>
          <w:p w14:paraId="41A471CE" w14:textId="71F758FD"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podielov inštitúcie na nástrojoch CET1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má významnú investíciu, ktorá sa musí odpočítať, pričom sa uplatní prahová hodnota 10</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xml:space="preserve"> uvedená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48 ods. 1 písm. b) CRR.</w:t>
            </w:r>
          </w:p>
          <w:p w14:paraId="5CAEC573" w14:textId="16A4E79A"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Pozri alternatívy</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odpočítaniu, keď sa uplatňuje konsolidácia (článok 49 ods. 1,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3 CRR).</w:t>
            </w:r>
          </w:p>
        </w:tc>
      </w:tr>
      <w:tr w:rsidR="00235D9D" w:rsidRPr="00D85C65" w14:paraId="29C8C1D4" w14:textId="77777777" w:rsidTr="00672D2A">
        <w:tc>
          <w:tcPr>
            <w:tcW w:w="1129" w:type="dxa"/>
          </w:tcPr>
          <w:p w14:paraId="38B0B55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510</w:t>
            </w:r>
          </w:p>
        </w:tc>
        <w:tc>
          <w:tcPr>
            <w:tcW w:w="7620" w:type="dxa"/>
          </w:tcPr>
          <w:p w14:paraId="6E294BCD" w14:textId="4AB1C1B2"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1.1.1.25.</w:t>
            </w:r>
            <w:r w:rsidRPr="00D85C65">
              <w:rPr>
                <w:rStyle w:val="InstructionsTabelleberschrift"/>
                <w:rFonts w:ascii="Times New Roman" w:hAnsi="Times New Roman"/>
                <w:sz w:val="24"/>
              </w:rPr>
              <w:tab/>
              <w:t>(-) Hodnota, ktorá presahuje prahovú hodnotu 17,65</w:t>
            </w:r>
            <w:r w:rsidR="00D85C65">
              <w:rPr>
                <w:rStyle w:val="InstructionsTabelleberschrift"/>
                <w:rFonts w:ascii="Times New Roman" w:hAnsi="Times New Roman"/>
                <w:sz w:val="24"/>
              </w:rPr>
              <w:t> %</w:t>
            </w:r>
          </w:p>
          <w:p w14:paraId="414DF414" w14:textId="296CB7B1"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 ods. 2 CRR.</w:t>
            </w:r>
          </w:p>
          <w:p w14:paraId="66997FCD" w14:textId="368CFC1D"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odložených daňových pohľadávok, ktoré závisia od budúcej ziskovosti</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vyplývajú</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dočasných rozdielov,</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priame, nepriame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syntetické podiely inštitúcie na nástrojoch CET1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má významnú investíciu, ktorá sa musí odpočítať, pričom sa uplatňuje prahová hodnota 17,65</w:t>
            </w:r>
            <w:r w:rsidR="00D85C65">
              <w:rPr>
                <w:rStyle w:val="FormatvorlageInstructionsTabelleText"/>
                <w:rFonts w:ascii="Times New Roman" w:hAnsi="Times New Roman"/>
                <w:sz w:val="24"/>
              </w:rPr>
              <w:t> %</w:t>
            </w:r>
            <w:r w:rsidRPr="00D85C65">
              <w:rPr>
                <w:rStyle w:val="FormatvorlageInstructionsTabelleText"/>
                <w:rFonts w:ascii="Times New Roman" w:hAnsi="Times New Roman"/>
                <w:sz w:val="24"/>
              </w:rPr>
              <w:t xml:space="preserve"> uvedená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48 ods. 2 CRR.</w:t>
            </w:r>
          </w:p>
        </w:tc>
      </w:tr>
      <w:tr w:rsidR="00235D9D" w:rsidRPr="00D85C65" w14:paraId="38683572" w14:textId="77777777" w:rsidTr="00672D2A">
        <w:tc>
          <w:tcPr>
            <w:tcW w:w="1129" w:type="dxa"/>
          </w:tcPr>
          <w:p w14:paraId="15C09A2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520</w:t>
            </w:r>
          </w:p>
        </w:tc>
        <w:tc>
          <w:tcPr>
            <w:tcW w:w="7620" w:type="dxa"/>
          </w:tcPr>
          <w:p w14:paraId="18E60C6E"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1.1.1.26.</w:t>
            </w:r>
            <w:r w:rsidRPr="00D85C65">
              <w:rPr>
                <w:rStyle w:val="InstructionsTabelleberschrift"/>
                <w:rFonts w:ascii="Times New Roman" w:hAnsi="Times New Roman"/>
                <w:sz w:val="24"/>
              </w:rPr>
              <w:tab/>
              <w:t>Ostatné prechodné úpravy kapitálu CET1</w:t>
            </w:r>
          </w:p>
          <w:p w14:paraId="4C779806" w14:textId="122B4041"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469 až 472, článok 478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481 CRR.</w:t>
            </w:r>
          </w:p>
          <w:p w14:paraId="231003A2"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odpočtov na základe prechodných ustanovení. Vykazovaná hodnota sa získa priamo zo vzoru CA5.</w:t>
            </w:r>
          </w:p>
        </w:tc>
      </w:tr>
      <w:tr w:rsidR="00235D9D" w:rsidRPr="00D85C65" w14:paraId="3B98C022" w14:textId="77777777" w:rsidTr="00672D2A">
        <w:tc>
          <w:tcPr>
            <w:tcW w:w="1129" w:type="dxa"/>
          </w:tcPr>
          <w:p w14:paraId="10D716DB" w14:textId="77777777" w:rsidR="00235D9D" w:rsidRPr="00D85C65" w:rsidRDefault="007E39E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524</w:t>
            </w:r>
          </w:p>
        </w:tc>
        <w:tc>
          <w:tcPr>
            <w:tcW w:w="7620" w:type="dxa"/>
          </w:tcPr>
          <w:p w14:paraId="26948B21" w14:textId="77777777" w:rsidR="00235D9D" w:rsidRPr="00D85C65" w:rsidRDefault="006022C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1.1.1.27.</w:t>
            </w:r>
            <w:r w:rsidRPr="00D85C65">
              <w:rPr>
                <w:rStyle w:val="InstructionsTabelleberschrift"/>
                <w:rFonts w:ascii="Times New Roman" w:hAnsi="Times New Roman"/>
                <w:sz w:val="24"/>
              </w:rPr>
              <w:tab/>
              <w:t>(-) Dodatočné odpočty kapitálu CET1 na základe článku 3 CRR</w:t>
            </w:r>
          </w:p>
          <w:p w14:paraId="2BAA33FA" w14:textId="77777777" w:rsidR="00235D9D" w:rsidRPr="00D85C65" w:rsidRDefault="00A232F8">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 CRR.</w:t>
            </w:r>
          </w:p>
        </w:tc>
      </w:tr>
      <w:tr w:rsidR="00235D9D" w:rsidRPr="00D85C65" w14:paraId="66F211BA" w14:textId="77777777" w:rsidTr="00672D2A">
        <w:tc>
          <w:tcPr>
            <w:tcW w:w="1129" w:type="dxa"/>
          </w:tcPr>
          <w:p w14:paraId="6E0FA8AC" w14:textId="77777777" w:rsidR="00235D9D" w:rsidRPr="00D85C65" w:rsidRDefault="00A232F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529</w:t>
            </w:r>
          </w:p>
        </w:tc>
        <w:tc>
          <w:tcPr>
            <w:tcW w:w="7620" w:type="dxa"/>
          </w:tcPr>
          <w:p w14:paraId="69C6C3E5" w14:textId="77777777" w:rsidR="00235D9D" w:rsidRPr="00D85C65" w:rsidRDefault="006022C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1.1.1.28.</w:t>
            </w:r>
            <w:r w:rsidRPr="00D85C65">
              <w:rPr>
                <w:rStyle w:val="InstructionsTabelleberschrift"/>
                <w:rFonts w:ascii="Times New Roman" w:hAnsi="Times New Roman"/>
                <w:sz w:val="24"/>
              </w:rPr>
              <w:tab/>
              <w:t>Prvky alebo odpočty kapitálu CET1 – iné</w:t>
            </w:r>
          </w:p>
          <w:p w14:paraId="7A39AE6F" w14:textId="16C34FB1" w:rsidR="00D85C65" w:rsidRDefault="00666996">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Týmto riadkom sa má poskytovať flexibilita výlučne na účely vykazovania. Vypĺňa sa len</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ojedinelých prípadoch, keď nebolo prijaté konečné rozhodnutie</w:t>
            </w:r>
            <w:r w:rsidR="00D85C65">
              <w:rPr>
                <w:rStyle w:val="InstructionsTabelleberschrift"/>
                <w:rFonts w:ascii="Times New Roman" w:hAnsi="Times New Roman"/>
                <w:b w:val="0"/>
                <w:sz w:val="24"/>
                <w:u w:val="none"/>
              </w:rPr>
              <w:t xml:space="preserve"> o </w:t>
            </w:r>
            <w:r w:rsidRPr="00D85C65">
              <w:rPr>
                <w:rStyle w:val="InstructionsTabelleberschrift"/>
                <w:rFonts w:ascii="Times New Roman" w:hAnsi="Times New Roman"/>
                <w:b w:val="0"/>
                <w:sz w:val="24"/>
                <w:u w:val="none"/>
              </w:rPr>
              <w:t>vykázaní určitých kapitálových položiek/odpočtov</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aktuálnom vzore CA1. Tento riadok sa preto vypĺňa, len keď prvok kapitálu CET1 alebo odpočet od prvku CET1 nie je možné priradiť</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žiadnemu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riadkov 020 až 524</w:t>
            </w:r>
            <w:r w:rsidR="00D85C65">
              <w:rPr>
                <w:rStyle w:val="InstructionsTabelleberschrift"/>
                <w:rFonts w:ascii="Times New Roman" w:hAnsi="Times New Roman"/>
                <w:b w:val="0"/>
                <w:sz w:val="24"/>
                <w:u w:val="none"/>
              </w:rPr>
              <w:t>.</w:t>
            </w:r>
          </w:p>
          <w:p w14:paraId="473C14AD" w14:textId="3907C5BD" w:rsidR="00235D9D" w:rsidRPr="00D85C65" w:rsidRDefault="00666996">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Tento riadok sa nepoužíva na začlenenie kapitálových položiek/odpočtov, ktoré nepokrýva CRR, do výpočtu pomerov platobnej schopnosti (napr. začlenenie vnútroštátnych kapitálových položiek/odpočtov, ktoré nepatria do rozsahu pôsobnosti CRR).</w:t>
            </w:r>
          </w:p>
        </w:tc>
      </w:tr>
      <w:tr w:rsidR="00235D9D" w:rsidRPr="00D85C65" w14:paraId="2B4DCCF1" w14:textId="77777777" w:rsidTr="00672D2A">
        <w:tc>
          <w:tcPr>
            <w:tcW w:w="1129" w:type="dxa"/>
          </w:tcPr>
          <w:p w14:paraId="6F9F0773"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530</w:t>
            </w:r>
          </w:p>
        </w:tc>
        <w:tc>
          <w:tcPr>
            <w:tcW w:w="7620" w:type="dxa"/>
          </w:tcPr>
          <w:p w14:paraId="42EDC2C9"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w:t>
            </w:r>
            <w:r w:rsidRPr="00D85C65">
              <w:rPr>
                <w:rStyle w:val="InstructionsTabelleberschrift"/>
                <w:rFonts w:ascii="Times New Roman" w:hAnsi="Times New Roman"/>
                <w:sz w:val="24"/>
              </w:rPr>
              <w:tab/>
              <w:t>DODATOČNÝ KAPITÁL TIER 1</w:t>
            </w:r>
          </w:p>
          <w:p w14:paraId="3656642C" w14:textId="16A5156B"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61 CRR.</w:t>
            </w:r>
          </w:p>
        </w:tc>
      </w:tr>
      <w:tr w:rsidR="00235D9D" w:rsidRPr="00D85C65" w14:paraId="26FAA104" w14:textId="77777777" w:rsidTr="00672D2A">
        <w:tc>
          <w:tcPr>
            <w:tcW w:w="1129" w:type="dxa"/>
          </w:tcPr>
          <w:p w14:paraId="62BC150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540</w:t>
            </w:r>
          </w:p>
        </w:tc>
        <w:tc>
          <w:tcPr>
            <w:tcW w:w="7620" w:type="dxa"/>
          </w:tcPr>
          <w:p w14:paraId="647FF227"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w:t>
            </w:r>
            <w:r w:rsidRPr="00D85C65">
              <w:rPr>
                <w:rStyle w:val="InstructionsTabelleberschrift"/>
                <w:rFonts w:ascii="Times New Roman" w:hAnsi="Times New Roman"/>
                <w:sz w:val="24"/>
              </w:rPr>
              <w:tab/>
              <w:t>Kapitálové nástroje prípustné ako kapitál AT1</w:t>
            </w:r>
          </w:p>
          <w:p w14:paraId="1B79B3FD" w14:textId="6FBCF87E"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51 písm. a), články 52, 53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54, článok 56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57 CRR.</w:t>
            </w:r>
          </w:p>
        </w:tc>
      </w:tr>
      <w:tr w:rsidR="00235D9D" w:rsidRPr="00D85C65" w14:paraId="286F1605" w14:textId="77777777" w:rsidTr="00672D2A">
        <w:tc>
          <w:tcPr>
            <w:tcW w:w="1129" w:type="dxa"/>
          </w:tcPr>
          <w:p w14:paraId="77FFE17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550</w:t>
            </w:r>
          </w:p>
        </w:tc>
        <w:tc>
          <w:tcPr>
            <w:tcW w:w="7620" w:type="dxa"/>
          </w:tcPr>
          <w:p w14:paraId="2E791887"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1.1.2.1.1.</w:t>
            </w:r>
            <w:r w:rsidRPr="00D85C65">
              <w:rPr>
                <w:rStyle w:val="InstructionsTabelleberschrift"/>
                <w:rFonts w:ascii="Times New Roman" w:hAnsi="Times New Roman"/>
                <w:sz w:val="24"/>
              </w:rPr>
              <w:tab/>
              <w:t>Splatené kapitálové nástroje</w:t>
            </w:r>
          </w:p>
          <w:p w14:paraId="76AEB068" w14:textId="6FFB4730" w:rsidR="00235D9D" w:rsidRPr="00D85C65" w:rsidRDefault="00705025">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51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články 52, 53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54 CRR.</w:t>
            </w:r>
          </w:p>
          <w:p w14:paraId="26B27CEB" w14:textId="1729F176"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nezahŕňa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nástrojmi.</w:t>
            </w:r>
          </w:p>
        </w:tc>
      </w:tr>
      <w:tr w:rsidR="00235D9D" w:rsidRPr="00D85C65" w14:paraId="73AEB3B0" w14:textId="77777777" w:rsidTr="00672D2A">
        <w:tc>
          <w:tcPr>
            <w:tcW w:w="1129" w:type="dxa"/>
          </w:tcPr>
          <w:p w14:paraId="48AC7EB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560</w:t>
            </w:r>
          </w:p>
        </w:tc>
        <w:tc>
          <w:tcPr>
            <w:tcW w:w="7620" w:type="dxa"/>
          </w:tcPr>
          <w:p w14:paraId="1C85A4C5"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1.1.2.1.2. (*)</w:t>
            </w:r>
            <w:r w:rsidRPr="00D85C65">
              <w:rPr>
                <w:rStyle w:val="InstructionsTabelleberschrift"/>
                <w:rFonts w:ascii="Times New Roman" w:hAnsi="Times New Roman"/>
                <w:sz w:val="24"/>
              </w:rPr>
              <w:tab/>
              <w:t>Doplňujúca položka: Neprípustné kapitálové nástroje</w:t>
            </w:r>
          </w:p>
          <w:p w14:paraId="4E0EEA30" w14:textId="56801377"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52 ods. 1 písm. c), 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f) CRR.</w:t>
            </w:r>
          </w:p>
          <w:p w14:paraId="2D3B1E5D" w14:textId="397E910E"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Podmienky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týchto písmenách vyjadrujú rôzne situácie kapitálu, ktoré sa môžu zmeniť, preto 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môže byť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ďalších obdobiach prípustná.</w:t>
            </w:r>
          </w:p>
          <w:p w14:paraId="500890FA" w14:textId="6D8AD4A3"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nezahŕňa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nástrojmi.</w:t>
            </w:r>
          </w:p>
        </w:tc>
      </w:tr>
      <w:tr w:rsidR="00235D9D" w:rsidRPr="00D85C65" w14:paraId="1CCDAFFC" w14:textId="77777777" w:rsidTr="00672D2A">
        <w:tc>
          <w:tcPr>
            <w:tcW w:w="1129" w:type="dxa"/>
          </w:tcPr>
          <w:p w14:paraId="10306439"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570</w:t>
            </w:r>
          </w:p>
        </w:tc>
        <w:tc>
          <w:tcPr>
            <w:tcW w:w="7620" w:type="dxa"/>
          </w:tcPr>
          <w:p w14:paraId="2B8186CC"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1.1.2.1.3.</w:t>
            </w:r>
            <w:r w:rsidRPr="00D85C65">
              <w:rPr>
                <w:rStyle w:val="InstructionsTabelleberschrift"/>
                <w:rFonts w:ascii="Times New Roman" w:hAnsi="Times New Roman"/>
                <w:sz w:val="24"/>
              </w:rPr>
              <w:tab/>
              <w:t>Emisné ážio</w:t>
            </w:r>
          </w:p>
          <w:p w14:paraId="231CFA68" w14:textId="413BE14C" w:rsidR="00235D9D" w:rsidRPr="00D85C65" w:rsidRDefault="00705025">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51 písm. b) CRR.</w:t>
            </w:r>
          </w:p>
          <w:p w14:paraId="29BF2766" w14:textId="6A81699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Emisné ážio má ten istý význam ako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uplatniteľnom účtovnom štandarde.</w:t>
            </w:r>
          </w:p>
          <w:p w14:paraId="25572FB3" w14:textId="3082C8DF"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tejto položke, je časť súvisiaca so „splatenými kapitálovými nástrojmi“.</w:t>
            </w:r>
          </w:p>
        </w:tc>
      </w:tr>
      <w:tr w:rsidR="00235D9D" w:rsidRPr="00D85C65" w14:paraId="11E581D9" w14:textId="77777777" w:rsidTr="00672D2A">
        <w:tc>
          <w:tcPr>
            <w:tcW w:w="1129" w:type="dxa"/>
          </w:tcPr>
          <w:p w14:paraId="19E514BD"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580</w:t>
            </w:r>
          </w:p>
        </w:tc>
        <w:tc>
          <w:tcPr>
            <w:tcW w:w="7620" w:type="dxa"/>
          </w:tcPr>
          <w:p w14:paraId="0459675D"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1.1.2.1.4.</w:t>
            </w:r>
            <w:r w:rsidRPr="00D85C65">
              <w:rPr>
                <w:rStyle w:val="InstructionsTabelleberschrift"/>
                <w:rFonts w:ascii="Times New Roman" w:hAnsi="Times New Roman"/>
                <w:sz w:val="24"/>
              </w:rPr>
              <w:tab/>
              <w:t>(-) Vlastné nástroje AT1</w:t>
            </w:r>
          </w:p>
          <w:p w14:paraId="74DEFFF2" w14:textId="2BCFFF2A"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52 ods. 1 písm. b), článok 56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57 CRR.</w:t>
            </w:r>
          </w:p>
          <w:p w14:paraId="2A0DEAB7" w14:textId="2828090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Vlastné nástroje AT1, ktoré vykazujúca inštitúcia alebo skupina drží</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dátumu vykazovania.</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výhradou výnimiek</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57 CRR.</w:t>
            </w:r>
          </w:p>
          <w:p w14:paraId="72F2356F"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tomto riadku sa nevykazujú podiely na akciách zahrnuté ako „neprípustné kapitálové nástroje“.</w:t>
            </w:r>
          </w:p>
          <w:p w14:paraId="50F8E40D" w14:textId="3256A86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vlastnými akciami.</w:t>
            </w:r>
          </w:p>
          <w:p w14:paraId="7751A2F5" w14:textId="170D9B48"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Položky 1.1.2.1.4 až 1.1.2.1.4.3 nezahŕňajú skutočné alebo podmienené záväzky kúpiť vlastné nástroje CET1. Skutočné alebo podmienené záväzky kúpiť vlastné nástroje AT1 sa vykazujú osobitne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položke 1.1.2.1.5.</w:t>
            </w:r>
          </w:p>
        </w:tc>
      </w:tr>
      <w:tr w:rsidR="00235D9D" w:rsidRPr="00D85C65" w14:paraId="3FED49EF" w14:textId="77777777" w:rsidTr="00672D2A">
        <w:tc>
          <w:tcPr>
            <w:tcW w:w="1129" w:type="dxa"/>
          </w:tcPr>
          <w:p w14:paraId="2CB32A97"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590</w:t>
            </w:r>
          </w:p>
        </w:tc>
        <w:tc>
          <w:tcPr>
            <w:tcW w:w="7620" w:type="dxa"/>
          </w:tcPr>
          <w:p w14:paraId="7075A4A4" w14:textId="77777777" w:rsidR="00235D9D" w:rsidRPr="00D85C65" w:rsidRDefault="006022CB">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1.1.2.1.4.1.</w:t>
            </w:r>
            <w:r w:rsidRPr="00D85C65">
              <w:rPr>
                <w:rStyle w:val="InstructionsTabelleberschrift"/>
                <w:rFonts w:ascii="Times New Roman" w:hAnsi="Times New Roman"/>
                <w:sz w:val="24"/>
              </w:rPr>
              <w:tab/>
              <w:t>(-) Priame podiely na nástrojoch AT1</w:t>
            </w:r>
          </w:p>
          <w:p w14:paraId="6C3A13D9" w14:textId="7E6020E6"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144, článok 52 ods. 1 písm. b), článok 56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57 písm. a) CRR.</w:t>
            </w:r>
          </w:p>
          <w:p w14:paraId="0B1857CF" w14:textId="396793E1"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Nástroje dodatočného kapitálu Tier 1 zahrnuté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 xml:space="preserve">položke 1.1.2.1.1 držané inštitúciami konsolidovanej skupiny. </w:t>
            </w:r>
          </w:p>
        </w:tc>
      </w:tr>
      <w:tr w:rsidR="00235D9D" w:rsidRPr="00D85C65" w14:paraId="7432DBF7" w14:textId="77777777" w:rsidTr="00672D2A">
        <w:tc>
          <w:tcPr>
            <w:tcW w:w="1129" w:type="dxa"/>
          </w:tcPr>
          <w:p w14:paraId="0D3A3656"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620</w:t>
            </w:r>
          </w:p>
        </w:tc>
        <w:tc>
          <w:tcPr>
            <w:tcW w:w="7620" w:type="dxa"/>
          </w:tcPr>
          <w:p w14:paraId="0D4332EC" w14:textId="77777777"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1.1.2.1.4.2.</w:t>
            </w:r>
            <w:r w:rsidRPr="00D85C65">
              <w:rPr>
                <w:rStyle w:val="InstructionsTabelleberschrift"/>
                <w:rFonts w:ascii="Times New Roman" w:hAnsi="Times New Roman"/>
                <w:sz w:val="24"/>
              </w:rPr>
              <w:tab/>
              <w:t>(-) Nepriame podiely na nástrojoch AT1</w:t>
            </w:r>
          </w:p>
          <w:p w14:paraId="66054B9E" w14:textId="16C3EF78"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52 ods. 1 písm. b) bod ii), článok 56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57 CRR.</w:t>
            </w:r>
          </w:p>
        </w:tc>
      </w:tr>
      <w:tr w:rsidR="00235D9D" w:rsidRPr="00D85C65" w14:paraId="0BDEAA83" w14:textId="77777777" w:rsidTr="00672D2A">
        <w:tc>
          <w:tcPr>
            <w:tcW w:w="1129" w:type="dxa"/>
          </w:tcPr>
          <w:p w14:paraId="5E2D7E53"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621</w:t>
            </w:r>
          </w:p>
        </w:tc>
        <w:tc>
          <w:tcPr>
            <w:tcW w:w="7620" w:type="dxa"/>
          </w:tcPr>
          <w:p w14:paraId="12543010" w14:textId="77777777" w:rsidR="00235D9D" w:rsidRPr="00D85C65" w:rsidRDefault="006455B0">
            <w:pPr>
              <w:pStyle w:val="InstructionsText"/>
            </w:pPr>
            <w:r w:rsidRPr="00D85C65">
              <w:rPr>
                <w:rStyle w:val="InstructionsTabelleberschrift"/>
                <w:rFonts w:ascii="Times New Roman" w:hAnsi="Times New Roman"/>
                <w:sz w:val="24"/>
              </w:rPr>
              <w:t>1.1.2.1.4.3.</w:t>
            </w:r>
            <w:r w:rsidRPr="00D85C65">
              <w:rPr>
                <w:rStyle w:val="InstructionsTabelleberschrift"/>
                <w:rFonts w:ascii="Times New Roman" w:hAnsi="Times New Roman"/>
                <w:sz w:val="24"/>
              </w:rPr>
              <w:tab/>
              <w:t>(-) Syntetické podiely na nástrojoch AT1</w:t>
            </w:r>
          </w:p>
          <w:p w14:paraId="42C49D98" w14:textId="5A33ECD3" w:rsidR="00235D9D" w:rsidRPr="00D85C65" w:rsidRDefault="00110F40">
            <w:pPr>
              <w:pStyle w:val="InstructionsText"/>
              <w:rPr>
                <w:rStyle w:val="InstructionsTabelleberschrift"/>
                <w:rFonts w:ascii="Times New Roman" w:hAnsi="Times New Roman"/>
                <w:b w:val="0"/>
                <w:bCs w:val="0"/>
                <w:sz w:val="24"/>
                <w:u w:val="none"/>
              </w:rPr>
            </w:pPr>
            <w:r w:rsidRPr="00D85C65">
              <w:t>Článok 4 ods. 1 bod 126, článok 52 ods. 1 písm. b), článok 56 písm. a)</w:t>
            </w:r>
            <w:r w:rsidR="00D85C65">
              <w:t xml:space="preserve"> a </w:t>
            </w:r>
            <w:r w:rsidRPr="00D85C65">
              <w:t>článok 57 CRR.</w:t>
            </w:r>
          </w:p>
        </w:tc>
      </w:tr>
      <w:tr w:rsidR="00235D9D" w:rsidRPr="00D85C65" w14:paraId="6540645E" w14:textId="77777777" w:rsidTr="00672D2A">
        <w:tc>
          <w:tcPr>
            <w:tcW w:w="1129" w:type="dxa"/>
          </w:tcPr>
          <w:p w14:paraId="78401258" w14:textId="77777777" w:rsidR="00235D9D" w:rsidRPr="00D85C65" w:rsidRDefault="007E39E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622</w:t>
            </w:r>
          </w:p>
        </w:tc>
        <w:tc>
          <w:tcPr>
            <w:tcW w:w="7620" w:type="dxa"/>
          </w:tcPr>
          <w:p w14:paraId="4D0CA0FF" w14:textId="77777777"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1.1.2.1.5.</w:t>
            </w:r>
            <w:r w:rsidRPr="00D85C65">
              <w:rPr>
                <w:rStyle w:val="InstructionsTabelleberschrift"/>
                <w:rFonts w:ascii="Times New Roman" w:hAnsi="Times New Roman"/>
                <w:sz w:val="24"/>
              </w:rPr>
              <w:tab/>
              <w:t>(-) Skutočné alebo podmienené záväzky kúpiť vlastné nástroje AT1</w:t>
            </w:r>
          </w:p>
          <w:p w14:paraId="7889272E" w14:textId="50D54EE9"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57 CRR.</w:t>
            </w:r>
          </w:p>
          <w:p w14:paraId="40B11A07" w14:textId="1845696B" w:rsidR="00235D9D" w:rsidRPr="00D85C65" w:rsidRDefault="00666996">
            <w:pPr>
              <w:pStyle w:val="InstructionsText"/>
              <w:rPr>
                <w:rStyle w:val="InstructionsTabelleberschrift"/>
                <w:rFonts w:ascii="Times New Roman" w:hAnsi="Times New Roman"/>
                <w:sz w:val="24"/>
              </w:rPr>
            </w:pPr>
            <w:r w:rsidRPr="00D85C65">
              <w:rPr>
                <w:rStyle w:val="InstructionsTabelleberschrift"/>
                <w:rFonts w:ascii="Times New Roman" w:hAnsi="Times New Roman"/>
                <w:b w:val="0"/>
                <w:sz w:val="24"/>
                <w:u w:val="none"/>
              </w:rPr>
              <w:t>Podľa článku 56 písm. a) CRR sa odpočítavajú „</w:t>
            </w:r>
            <w:r w:rsidRPr="00D85C65">
              <w:t>vlastné nástroje dodatočného kapitálu Tier 1, ktoré by inštitúcia mohla byť povinná odkúpiť</w:t>
            </w:r>
            <w:r w:rsidR="00D85C65">
              <w:t xml:space="preserve"> v </w:t>
            </w:r>
            <w:r w:rsidRPr="00D85C65">
              <w:t>dôsledku existujúcich zmluvných záväzkov“.</w:t>
            </w:r>
          </w:p>
        </w:tc>
      </w:tr>
      <w:tr w:rsidR="00235D9D" w:rsidRPr="00D85C65" w14:paraId="7DA1FAA6" w14:textId="77777777" w:rsidTr="00672D2A">
        <w:tc>
          <w:tcPr>
            <w:tcW w:w="1129" w:type="dxa"/>
          </w:tcPr>
          <w:p w14:paraId="7257649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660</w:t>
            </w:r>
          </w:p>
        </w:tc>
        <w:tc>
          <w:tcPr>
            <w:tcW w:w="7620" w:type="dxa"/>
          </w:tcPr>
          <w:p w14:paraId="1DBA7A54" w14:textId="5DCCF59D"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1.1.2.2.</w:t>
            </w:r>
            <w:r w:rsidRPr="00D85C65">
              <w:rPr>
                <w:rStyle w:val="InstructionsTabelleberschrift"/>
                <w:rFonts w:ascii="Times New Roman" w:hAnsi="Times New Roman"/>
                <w:sz w:val="24"/>
              </w:rPr>
              <w:tab/>
              <w:t>Prechodné úpravy na základe nástrojov kapitálu AT1, ktoré sa zachovali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predchádzajúcom stave</w:t>
            </w:r>
          </w:p>
          <w:p w14:paraId="15F3A609" w14:textId="56D7557A" w:rsidR="00235D9D" w:rsidRPr="00D85C65" w:rsidRDefault="002C66A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483 ods. 4</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5, články 484 až 487, články 489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491 CRR.</w:t>
            </w:r>
          </w:p>
          <w:p w14:paraId="3F355F9E" w14:textId="20A07278"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kapitálových nástrojov, ktoré sa prechodne zachovali</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predchádzajúcom stave ako AT1. Vykazovaná hodnota sa získa priamo zo vzoru CA5.</w:t>
            </w:r>
          </w:p>
        </w:tc>
      </w:tr>
      <w:tr w:rsidR="00235D9D" w:rsidRPr="00D85C65" w14:paraId="130E325B" w14:textId="77777777" w:rsidTr="00672D2A">
        <w:tc>
          <w:tcPr>
            <w:tcW w:w="1129" w:type="dxa"/>
          </w:tcPr>
          <w:p w14:paraId="4A19B2BB"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670</w:t>
            </w:r>
          </w:p>
        </w:tc>
        <w:tc>
          <w:tcPr>
            <w:tcW w:w="7620" w:type="dxa"/>
          </w:tcPr>
          <w:p w14:paraId="56EA96A9" w14:textId="27660A44"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1.1.2.3.</w:t>
            </w:r>
            <w:r w:rsidRPr="00D85C65">
              <w:rPr>
                <w:rStyle w:val="InstructionsTabelleberschrift"/>
                <w:rFonts w:ascii="Times New Roman" w:hAnsi="Times New Roman"/>
                <w:sz w:val="24"/>
              </w:rPr>
              <w:tab/>
              <w:t>Nástroje emitované dcérskymi spoločnosťami, ktoré sa uznali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kapitáli AT1</w:t>
            </w:r>
          </w:p>
          <w:p w14:paraId="00A2AC5D" w14:textId="2A96F2AB"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83, 85</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86 CRR.</w:t>
            </w:r>
          </w:p>
          <w:p w14:paraId="7BBB0C87"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Súčet všetkých hodnôt kvalifikovaného kapitálu T1 dcérskych spoločností, ktorý sa zahŕňa do konsolidovaného AT1.</w:t>
            </w:r>
          </w:p>
          <w:p w14:paraId="51DC7F58" w14:textId="18A8F451" w:rsidR="00235D9D" w:rsidRPr="00D85C65" w:rsidRDefault="00106FC5">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Zahrnie sa kvalifikovaný kapitál AT1 emitovaný účelovo vytvoreným subjektom (článok 83 CRR).</w:t>
            </w:r>
          </w:p>
        </w:tc>
      </w:tr>
      <w:tr w:rsidR="00235D9D" w:rsidRPr="00D85C65" w14:paraId="5BA4CBB7" w14:textId="77777777" w:rsidTr="00672D2A">
        <w:tc>
          <w:tcPr>
            <w:tcW w:w="1129" w:type="dxa"/>
          </w:tcPr>
          <w:p w14:paraId="22AE894E"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680</w:t>
            </w:r>
          </w:p>
        </w:tc>
        <w:tc>
          <w:tcPr>
            <w:tcW w:w="7620" w:type="dxa"/>
          </w:tcPr>
          <w:p w14:paraId="1CD62A50" w14:textId="1873828F"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1.1.2.4.</w:t>
            </w:r>
            <w:r w:rsidRPr="00D85C65">
              <w:rPr>
                <w:rStyle w:val="InstructionsTabelleberschrift"/>
                <w:rFonts w:ascii="Times New Roman" w:hAnsi="Times New Roman"/>
                <w:sz w:val="24"/>
              </w:rPr>
              <w:tab/>
              <w:t>Prechodné úpravy na základe dodatočného vykázania nástrojov emitovaných dcérskymi spoločnosťami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kapitáli AT1</w:t>
            </w:r>
          </w:p>
          <w:p w14:paraId="5F2202A5" w14:textId="24B17F53"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480 CRR.</w:t>
            </w:r>
          </w:p>
          <w:p w14:paraId="36CC6E0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Úpravy kvalifikovaného kapitálu T1 zahrnutého do konsolidovaného kapitálu AT1 na základe prechodných ustanovení. Táto položka sa získa priamo zo vzoru CA5.</w:t>
            </w:r>
          </w:p>
        </w:tc>
      </w:tr>
      <w:tr w:rsidR="00235D9D" w:rsidRPr="00D85C65" w14:paraId="6507BBBF" w14:textId="77777777" w:rsidTr="00672D2A">
        <w:tc>
          <w:tcPr>
            <w:tcW w:w="1129" w:type="dxa"/>
          </w:tcPr>
          <w:p w14:paraId="5C2823E4"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690</w:t>
            </w:r>
          </w:p>
        </w:tc>
        <w:tc>
          <w:tcPr>
            <w:tcW w:w="7620" w:type="dxa"/>
          </w:tcPr>
          <w:p w14:paraId="0AF5B7B3" w14:textId="77777777" w:rsidR="00235D9D" w:rsidRPr="00D85C65" w:rsidRDefault="006455B0">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1.1.2.5.</w:t>
            </w:r>
            <w:r w:rsidRPr="00D85C65">
              <w:rPr>
                <w:rStyle w:val="InstructionsTabelleberschrift"/>
                <w:rFonts w:ascii="Times New Roman" w:hAnsi="Times New Roman"/>
                <w:sz w:val="24"/>
              </w:rPr>
              <w:tab/>
              <w:t>(-) Recipročné krížové podiely na kapitáli AT1</w:t>
            </w:r>
          </w:p>
          <w:p w14:paraId="0F9507A7" w14:textId="1B447D94"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122, článok 56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58 CRR.</w:t>
            </w:r>
          </w:p>
          <w:p w14:paraId="635338EE" w14:textId="00DD41B6"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Podiely na nástrojoch AT1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existuje recipročný krížový podiel,</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ktorom sa príslušný orgán domnieva, že má umelo zvyšovať vlastné zdroje inštitúcie.</w:t>
            </w:r>
          </w:p>
          <w:p w14:paraId="0ABBE332" w14:textId="63505A80"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sa vypočíta na základe brutto dlhých pozícií</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zahŕňa poistné položky vlastných zdrojov dodatočného kapitálu AT1.</w:t>
            </w:r>
          </w:p>
        </w:tc>
      </w:tr>
      <w:tr w:rsidR="00235D9D" w:rsidRPr="00D85C65" w14:paraId="66A029F9" w14:textId="77777777" w:rsidTr="00672D2A">
        <w:tc>
          <w:tcPr>
            <w:tcW w:w="1129" w:type="dxa"/>
          </w:tcPr>
          <w:p w14:paraId="74BA6C4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700</w:t>
            </w:r>
          </w:p>
        </w:tc>
        <w:tc>
          <w:tcPr>
            <w:tcW w:w="7620" w:type="dxa"/>
          </w:tcPr>
          <w:p w14:paraId="2ED883C3" w14:textId="6CCCFCF8"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1.1.2.6.</w:t>
            </w:r>
            <w:r w:rsidRPr="00D85C65">
              <w:rPr>
                <w:rStyle w:val="InstructionsTabelleberschrift"/>
                <w:rFonts w:ascii="Times New Roman" w:hAnsi="Times New Roman"/>
                <w:sz w:val="24"/>
              </w:rPr>
              <w:tab/>
              <w:t>(-) Nástroje AT1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nemá významnú investíciu</w:t>
            </w:r>
          </w:p>
          <w:p w14:paraId="43438A82" w14:textId="2B6996C7"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56 písm. c); články 59, 60</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79 CRR.</w:t>
            </w:r>
          </w:p>
          <w:p w14:paraId="11257FAF" w14:textId="31B9FF54"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podielov inštitúcie na nástrojoch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nemá významnú investíciu, ktorá sa musí odpočítať od AT1.</w:t>
            </w:r>
          </w:p>
        </w:tc>
      </w:tr>
      <w:tr w:rsidR="00235D9D" w:rsidRPr="00D85C65" w14:paraId="7B60CAAA" w14:textId="77777777" w:rsidTr="00672D2A">
        <w:tc>
          <w:tcPr>
            <w:tcW w:w="1129" w:type="dxa"/>
          </w:tcPr>
          <w:p w14:paraId="297727A6"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710</w:t>
            </w:r>
          </w:p>
        </w:tc>
        <w:tc>
          <w:tcPr>
            <w:tcW w:w="7620" w:type="dxa"/>
          </w:tcPr>
          <w:p w14:paraId="5B38DE40" w14:textId="55811009"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1.1.2.7.</w:t>
            </w:r>
            <w:r w:rsidRPr="00D85C65">
              <w:rPr>
                <w:rStyle w:val="InstructionsTabelleberschrift"/>
                <w:rFonts w:ascii="Times New Roman" w:hAnsi="Times New Roman"/>
                <w:sz w:val="24"/>
              </w:rPr>
              <w:tab/>
              <w:t>(-) Nástroje AT1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má významnú investíciu</w:t>
            </w:r>
          </w:p>
          <w:p w14:paraId="2FB31A03" w14:textId="3EB45A95"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56 písm. d), články 59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79 CRR.</w:t>
            </w:r>
          </w:p>
          <w:p w14:paraId="04F9B9FD" w14:textId="29E8ABF1" w:rsidR="00235D9D" w:rsidRPr="00D85C65" w:rsidRDefault="009B511B">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Podiely inštitúcie na nástrojoch AT1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má významnú investíciu, sa odpočítajú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plnej výške.</w:t>
            </w:r>
          </w:p>
        </w:tc>
      </w:tr>
      <w:tr w:rsidR="00235D9D" w:rsidRPr="00D85C65" w14:paraId="34F0D37F" w14:textId="77777777" w:rsidTr="00672D2A">
        <w:tc>
          <w:tcPr>
            <w:tcW w:w="1129" w:type="dxa"/>
          </w:tcPr>
          <w:p w14:paraId="4B4BDEF5"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720</w:t>
            </w:r>
          </w:p>
        </w:tc>
        <w:tc>
          <w:tcPr>
            <w:tcW w:w="7620" w:type="dxa"/>
          </w:tcPr>
          <w:p w14:paraId="6C57C5FD" w14:textId="77777777" w:rsidR="00D85C65" w:rsidRDefault="00A86EB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1.1.2.8.</w:t>
            </w:r>
            <w:r w:rsidRPr="00D85C65">
              <w:rPr>
                <w:rStyle w:val="InstructionsTabelleberschrift"/>
                <w:rFonts w:ascii="Times New Roman" w:hAnsi="Times New Roman"/>
                <w:sz w:val="24"/>
              </w:rPr>
              <w:tab/>
              <w:t>(-) Nadbytok odpočtov od položiek T2 nad kapitálom T2</w:t>
            </w:r>
          </w:p>
          <w:p w14:paraId="1B564A86" w14:textId="49DE3303"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56 písm. e) CRR.</w:t>
            </w:r>
          </w:p>
          <w:p w14:paraId="5875A968" w14:textId="50C52F56"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 sa získa priamo zo vzoru CA1</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položky „nadbytok odpočtov od položiek T2 nad kapitálom T2“ (odpočítané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AT1).</w:t>
            </w:r>
          </w:p>
        </w:tc>
      </w:tr>
      <w:tr w:rsidR="00235D9D" w:rsidRPr="00D85C65" w14:paraId="618C847A" w14:textId="77777777" w:rsidTr="00672D2A">
        <w:tc>
          <w:tcPr>
            <w:tcW w:w="1129" w:type="dxa"/>
          </w:tcPr>
          <w:p w14:paraId="15EE8B60"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730</w:t>
            </w:r>
          </w:p>
        </w:tc>
        <w:tc>
          <w:tcPr>
            <w:tcW w:w="7620" w:type="dxa"/>
          </w:tcPr>
          <w:p w14:paraId="7B65AC5A" w14:textId="77777777" w:rsidR="00235D9D" w:rsidRPr="00D85C65" w:rsidRDefault="00A86EB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1.1.2.9.</w:t>
            </w:r>
            <w:r w:rsidRPr="00D85C65">
              <w:rPr>
                <w:rStyle w:val="InstructionsTabelleberschrift"/>
                <w:rFonts w:ascii="Times New Roman" w:hAnsi="Times New Roman"/>
                <w:sz w:val="24"/>
              </w:rPr>
              <w:tab/>
              <w:t>Ostatné prechodné úpravy kapitálu AT1</w:t>
            </w:r>
          </w:p>
          <w:p w14:paraId="0691E7AB" w14:textId="35BFD545"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474, 475, 478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481 CRR.</w:t>
            </w:r>
          </w:p>
          <w:p w14:paraId="26713F0C"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na základe prechodných ustanovení. Vykazovaná hodnota sa získa priamo zo vzoru CA5.</w:t>
            </w:r>
          </w:p>
        </w:tc>
      </w:tr>
      <w:tr w:rsidR="00235D9D" w:rsidRPr="00D85C65" w14:paraId="03699480" w14:textId="77777777" w:rsidTr="00672D2A">
        <w:tc>
          <w:tcPr>
            <w:tcW w:w="1129" w:type="dxa"/>
          </w:tcPr>
          <w:p w14:paraId="66C32358" w14:textId="77777777"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740</w:t>
            </w:r>
          </w:p>
        </w:tc>
        <w:tc>
          <w:tcPr>
            <w:tcW w:w="7620" w:type="dxa"/>
          </w:tcPr>
          <w:p w14:paraId="672FDDCE" w14:textId="3BF36979"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1.1.2.10.</w:t>
            </w:r>
            <w:r w:rsidRPr="00D85C65">
              <w:rPr>
                <w:rStyle w:val="InstructionsTabelleberschrift"/>
                <w:rFonts w:ascii="Times New Roman" w:hAnsi="Times New Roman"/>
                <w:sz w:val="24"/>
              </w:rPr>
              <w:tab/>
              <w:t>Nadbytok odpočtov od položiek AT1 presahujúcich kapitál AT1 (odpočítané</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CET1)</w:t>
            </w:r>
          </w:p>
          <w:p w14:paraId="325D04D3" w14:textId="29A4563E"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36 ods. 1 písm. j) CRR.</w:t>
            </w:r>
          </w:p>
          <w:p w14:paraId="358ED617" w14:textId="20C3D82A"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Dodatočný kapitál Tier 1 nemôže byť záporný, ale je možné, aby odpočty AT1 boli väčšie než kapitál AT1 plus súvisiace emisné ážio.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prípade sa AT1 musí rovnať nule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nadbytok odpočtov AT1 sa musí odpočítať od CET1.</w:t>
            </w:r>
          </w:p>
          <w:p w14:paraId="43B7F61D" w14:textId="208D509B" w:rsidR="00235D9D" w:rsidRPr="00D85C65" w:rsidRDefault="00666996">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Touto položkou sa dosiahne, že súčet položiek 1.1.2.1 až 1.1.2.12 nie je nikdy nižší než nula. Keď je táto položka kladná, položka 1.1.1.16 je inverznou hodnotou tohto čísla.</w:t>
            </w:r>
          </w:p>
        </w:tc>
      </w:tr>
      <w:tr w:rsidR="00235D9D" w:rsidRPr="00D85C65" w14:paraId="1B557DBD" w14:textId="77777777" w:rsidTr="00672D2A">
        <w:tc>
          <w:tcPr>
            <w:tcW w:w="1129" w:type="dxa"/>
          </w:tcPr>
          <w:p w14:paraId="04729D70"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744</w:t>
            </w:r>
          </w:p>
          <w:p w14:paraId="3C0E883C" w14:textId="77777777" w:rsidR="00235D9D" w:rsidRPr="00D85C65" w:rsidRDefault="00235D9D">
            <w:pPr>
              <w:pStyle w:val="InstructionsText"/>
              <w:rPr>
                <w:rStyle w:val="FormatvorlageInstructionsTabelleText"/>
                <w:rFonts w:ascii="Times New Roman" w:hAnsi="Times New Roman"/>
                <w:sz w:val="24"/>
              </w:rPr>
            </w:pPr>
          </w:p>
        </w:tc>
        <w:tc>
          <w:tcPr>
            <w:tcW w:w="7620" w:type="dxa"/>
          </w:tcPr>
          <w:p w14:paraId="148D48A1" w14:textId="77777777" w:rsidR="00235D9D" w:rsidRPr="00D85C65" w:rsidRDefault="00A86EB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1.1.2.11.</w:t>
            </w:r>
            <w:r w:rsidRPr="00D85C65">
              <w:rPr>
                <w:rStyle w:val="InstructionsTabelleberschrift"/>
                <w:rFonts w:ascii="Times New Roman" w:hAnsi="Times New Roman"/>
                <w:sz w:val="24"/>
              </w:rPr>
              <w:tab/>
              <w:t>(-) Dodatočné odpočty kapitálu AT1 na základe článku 3 CRR</w:t>
            </w:r>
          </w:p>
          <w:p w14:paraId="0B28125F" w14:textId="77777777" w:rsidR="00235D9D" w:rsidRPr="00D85C65" w:rsidRDefault="00A86EB4">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 CRR.</w:t>
            </w:r>
          </w:p>
        </w:tc>
      </w:tr>
      <w:tr w:rsidR="00235D9D" w:rsidRPr="00D85C65" w14:paraId="3C02C18D" w14:textId="77777777" w:rsidTr="00672D2A">
        <w:tc>
          <w:tcPr>
            <w:tcW w:w="1129" w:type="dxa"/>
          </w:tcPr>
          <w:p w14:paraId="39C56A1E" w14:textId="77777777" w:rsidR="00235D9D" w:rsidRPr="00D85C65" w:rsidRDefault="008F5BFE">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748</w:t>
            </w:r>
          </w:p>
        </w:tc>
        <w:tc>
          <w:tcPr>
            <w:tcW w:w="7620" w:type="dxa"/>
          </w:tcPr>
          <w:p w14:paraId="6584CC0D" w14:textId="77777777" w:rsidR="00235D9D" w:rsidRPr="00D85C65" w:rsidRDefault="008F5BFE">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sz w:val="24"/>
              </w:rPr>
              <w:t>1.1.2.12.</w:t>
            </w:r>
            <w:r w:rsidRPr="00D85C65">
              <w:rPr>
                <w:rStyle w:val="InstructionsTabelleberschrift"/>
                <w:rFonts w:ascii="Times New Roman" w:hAnsi="Times New Roman"/>
                <w:sz w:val="24"/>
              </w:rPr>
              <w:tab/>
              <w:t>Prvky alebo odpočty kapitálu AT1 – iné</w:t>
            </w:r>
          </w:p>
          <w:p w14:paraId="3B48B26D" w14:textId="586C1FBA" w:rsidR="00D85C65" w:rsidRDefault="00A86EB4">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Týmto riadkom sa má poskytovať flexibilita výlučne na účely vykazovania. Vypĺňa sa len</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ojedinelých prípadoch, keď nebolo prijaté konečné rozhodnutie</w:t>
            </w:r>
            <w:r w:rsidR="00D85C65">
              <w:rPr>
                <w:rStyle w:val="InstructionsTabelleberschrift"/>
                <w:rFonts w:ascii="Times New Roman" w:hAnsi="Times New Roman"/>
                <w:b w:val="0"/>
                <w:sz w:val="24"/>
                <w:u w:val="none"/>
              </w:rPr>
              <w:t xml:space="preserve"> o </w:t>
            </w:r>
            <w:r w:rsidRPr="00D85C65">
              <w:rPr>
                <w:rStyle w:val="InstructionsTabelleberschrift"/>
                <w:rFonts w:ascii="Times New Roman" w:hAnsi="Times New Roman"/>
                <w:b w:val="0"/>
                <w:sz w:val="24"/>
                <w:u w:val="none"/>
              </w:rPr>
              <w:t>vykázaní určitých kapitálových položiek/odpočtov</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aktuálnom vzore CA1. Tento riadok sa preto vypĺňa, len keď prvok kapitálu AT1 alebo odpočet od prvku AT1 nie je možné priradiť</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žiadnemu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riadkov 530 až 744</w:t>
            </w:r>
            <w:r w:rsidR="00D85C65">
              <w:rPr>
                <w:rStyle w:val="InstructionsTabelleberschrift"/>
                <w:rFonts w:ascii="Times New Roman" w:hAnsi="Times New Roman"/>
                <w:b w:val="0"/>
                <w:sz w:val="24"/>
                <w:u w:val="none"/>
              </w:rPr>
              <w:t>.</w:t>
            </w:r>
          </w:p>
          <w:p w14:paraId="16BBC1B4" w14:textId="11E5E32B" w:rsidR="00235D9D" w:rsidRPr="00D85C65" w:rsidRDefault="00A86EB4">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pôsobnosti CRR).</w:t>
            </w:r>
          </w:p>
        </w:tc>
      </w:tr>
      <w:tr w:rsidR="00235D9D" w:rsidRPr="00D85C65" w14:paraId="58D60CFB" w14:textId="77777777" w:rsidTr="00672D2A">
        <w:tc>
          <w:tcPr>
            <w:tcW w:w="1129" w:type="dxa"/>
          </w:tcPr>
          <w:p w14:paraId="50C809AD"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750</w:t>
            </w:r>
          </w:p>
        </w:tc>
        <w:tc>
          <w:tcPr>
            <w:tcW w:w="7620" w:type="dxa"/>
          </w:tcPr>
          <w:p w14:paraId="25280851"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w:t>
            </w:r>
            <w:r w:rsidRPr="00D85C65">
              <w:rPr>
                <w:rStyle w:val="InstructionsTabelleberschrift"/>
                <w:rFonts w:ascii="Times New Roman" w:hAnsi="Times New Roman"/>
                <w:sz w:val="24"/>
              </w:rPr>
              <w:tab/>
              <w:t>KAPITÁL TIER 2</w:t>
            </w:r>
          </w:p>
          <w:p w14:paraId="0BD3D66F" w14:textId="3CE0DB43"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71 CRR.</w:t>
            </w:r>
          </w:p>
        </w:tc>
      </w:tr>
      <w:tr w:rsidR="00235D9D" w:rsidRPr="00D85C65" w14:paraId="0605657D" w14:textId="77777777" w:rsidTr="00672D2A">
        <w:tc>
          <w:tcPr>
            <w:tcW w:w="1129" w:type="dxa"/>
          </w:tcPr>
          <w:p w14:paraId="26BCDCEA"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760</w:t>
            </w:r>
          </w:p>
        </w:tc>
        <w:tc>
          <w:tcPr>
            <w:tcW w:w="7620" w:type="dxa"/>
          </w:tcPr>
          <w:p w14:paraId="3673CDC8" w14:textId="3E7AF3E1"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w:t>
            </w:r>
            <w:r w:rsidRPr="00D85C65">
              <w:rPr>
                <w:rStyle w:val="InstructionsTabelleberschrift"/>
                <w:rFonts w:ascii="Times New Roman" w:hAnsi="Times New Roman"/>
                <w:sz w:val="24"/>
              </w:rPr>
              <w:tab/>
              <w:t>Kapitálové nástroje</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podriadené úvery prípustné ako kapitál T2</w:t>
            </w:r>
          </w:p>
          <w:p w14:paraId="13AA4428" w14:textId="03B78C22"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62 písm. a), články 63 až 65, 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tc>
      </w:tr>
      <w:tr w:rsidR="00235D9D" w:rsidRPr="00D85C65" w14:paraId="43D50883" w14:textId="77777777" w:rsidTr="00672D2A">
        <w:tc>
          <w:tcPr>
            <w:tcW w:w="1129" w:type="dxa"/>
          </w:tcPr>
          <w:p w14:paraId="18130D4E"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770</w:t>
            </w:r>
          </w:p>
        </w:tc>
        <w:tc>
          <w:tcPr>
            <w:tcW w:w="7620" w:type="dxa"/>
          </w:tcPr>
          <w:p w14:paraId="2DF23936" w14:textId="7740F60C"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1.2.1.1.</w:t>
            </w:r>
            <w:r w:rsidRPr="00D85C65">
              <w:rPr>
                <w:rStyle w:val="InstructionsTabelleberschrift"/>
                <w:rFonts w:ascii="Times New Roman" w:hAnsi="Times New Roman"/>
                <w:sz w:val="24"/>
              </w:rPr>
              <w:tab/>
              <w:t>Splatené kapitálové nástroje</w:t>
            </w:r>
            <w:r w:rsidR="00D85C65">
              <w:t xml:space="preserve"> a </w:t>
            </w:r>
            <w:r w:rsidRPr="00D85C65">
              <w:rPr>
                <w:rStyle w:val="InstructionsTabelleberschrift"/>
                <w:rFonts w:ascii="Times New Roman" w:hAnsi="Times New Roman"/>
                <w:sz w:val="24"/>
              </w:rPr>
              <w:t>podriadené úvery</w:t>
            </w:r>
          </w:p>
          <w:p w14:paraId="40899838" w14:textId="3F815511"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62 písm. a), články 63</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65 CRR.</w:t>
            </w:r>
          </w:p>
          <w:p w14:paraId="79A180BF" w14:textId="72B4AA5D"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nezahŕňa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nástrojmi.</w:t>
            </w:r>
          </w:p>
        </w:tc>
      </w:tr>
      <w:tr w:rsidR="00235D9D" w:rsidRPr="00D85C65" w14:paraId="662FE153" w14:textId="77777777" w:rsidTr="00672D2A">
        <w:tc>
          <w:tcPr>
            <w:tcW w:w="1129" w:type="dxa"/>
          </w:tcPr>
          <w:p w14:paraId="5EB45D6F"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780</w:t>
            </w:r>
          </w:p>
        </w:tc>
        <w:tc>
          <w:tcPr>
            <w:tcW w:w="7620" w:type="dxa"/>
          </w:tcPr>
          <w:p w14:paraId="48714EFB" w14:textId="7983F3BD"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1.2.1.2. (*)</w:t>
            </w:r>
            <w:r w:rsidRPr="00D85C65">
              <w:rPr>
                <w:rStyle w:val="InstructionsTabelleberschrift"/>
                <w:rFonts w:ascii="Times New Roman" w:hAnsi="Times New Roman"/>
                <w:sz w:val="24"/>
              </w:rPr>
              <w:tab/>
              <w:t>Doplňujúca položka: Neprípustné kapitálové nástroje</w:t>
            </w:r>
            <w:r w:rsidR="00D85C65">
              <w:t xml:space="preserve"> a </w:t>
            </w:r>
            <w:r w:rsidRPr="00D85C65">
              <w:rPr>
                <w:rStyle w:val="InstructionsTabelleberschrift"/>
                <w:rFonts w:ascii="Times New Roman" w:hAnsi="Times New Roman"/>
                <w:sz w:val="24"/>
              </w:rPr>
              <w:t>podriadené úvery</w:t>
            </w:r>
          </w:p>
          <w:p w14:paraId="3DEFBCFD" w14:textId="4277CA22"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63 písm. c), 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f)</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64 CRR.</w:t>
            </w:r>
          </w:p>
          <w:p w14:paraId="31320C87" w14:textId="604DB934"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Podmienky</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týchto písmenách vyjadrujú rôzne situácie kapitálu, ktoré sa môžu zmeniť, preto hodnota vykazovaná</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riadku môže byť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ďalších obdobiach prípustná.</w:t>
            </w:r>
          </w:p>
          <w:p w14:paraId="68176FFB" w14:textId="3A91CB81"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nezahŕňa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nástrojmi.</w:t>
            </w:r>
          </w:p>
        </w:tc>
      </w:tr>
      <w:tr w:rsidR="00235D9D" w:rsidRPr="00D85C65" w14:paraId="3DFBD29C" w14:textId="77777777" w:rsidTr="00672D2A">
        <w:tc>
          <w:tcPr>
            <w:tcW w:w="1129" w:type="dxa"/>
          </w:tcPr>
          <w:p w14:paraId="55E411A1"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790</w:t>
            </w:r>
          </w:p>
        </w:tc>
        <w:tc>
          <w:tcPr>
            <w:tcW w:w="7620" w:type="dxa"/>
          </w:tcPr>
          <w:p w14:paraId="29853D95"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1.2.1.3.</w:t>
            </w:r>
            <w:r w:rsidRPr="00D85C65">
              <w:rPr>
                <w:rStyle w:val="InstructionsTabelleberschrift"/>
                <w:rFonts w:ascii="Times New Roman" w:hAnsi="Times New Roman"/>
                <w:sz w:val="24"/>
              </w:rPr>
              <w:tab/>
              <w:t>Emisné ážio</w:t>
            </w:r>
          </w:p>
          <w:p w14:paraId="77984CC6" w14:textId="70B78D57"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62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65 CRR.</w:t>
            </w:r>
          </w:p>
          <w:p w14:paraId="4EB3D4EB" w14:textId="078A6D63" w:rsid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Emisné ážio má ten istý význam ako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uplatniteľnom účtovnom štandarde</w:t>
            </w:r>
            <w:r w:rsidR="00D85C65">
              <w:rPr>
                <w:rStyle w:val="FormatvorlageInstructionsTabelleText"/>
                <w:rFonts w:ascii="Times New Roman" w:hAnsi="Times New Roman"/>
                <w:sz w:val="24"/>
              </w:rPr>
              <w:t>.</w:t>
            </w:r>
          </w:p>
          <w:p w14:paraId="5A45AC9C" w14:textId="7980B308"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ktorá sa má vykázať</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tejto položke, je časť súvisiaca so „splatenými kapitálovými nástrojmi“.</w:t>
            </w:r>
          </w:p>
        </w:tc>
      </w:tr>
      <w:tr w:rsidR="00235D9D" w:rsidRPr="00D85C65" w14:paraId="45694613" w14:textId="77777777" w:rsidTr="00672D2A">
        <w:tc>
          <w:tcPr>
            <w:tcW w:w="1129" w:type="dxa"/>
          </w:tcPr>
          <w:p w14:paraId="00CB80C5"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800</w:t>
            </w:r>
          </w:p>
        </w:tc>
        <w:tc>
          <w:tcPr>
            <w:tcW w:w="7620" w:type="dxa"/>
          </w:tcPr>
          <w:p w14:paraId="1A17ADBB"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1.2.1.4.</w:t>
            </w:r>
            <w:r w:rsidRPr="00D85C65">
              <w:rPr>
                <w:rStyle w:val="InstructionsTabelleberschrift"/>
                <w:rFonts w:ascii="Times New Roman" w:hAnsi="Times New Roman"/>
                <w:sz w:val="24"/>
              </w:rPr>
              <w:tab/>
              <w:t>(-) Vlastné nástroje T2</w:t>
            </w:r>
          </w:p>
          <w:p w14:paraId="1970A033" w14:textId="067E78EA"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63 písm. b) bod i), 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p w14:paraId="10BE8B86" w14:textId="3DE9C6D8"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Vlastné nástroje T2 držané vykazujúcou inštitúciou alebo skupinou</w:t>
            </w:r>
            <w:r w:rsidR="00D85C65">
              <w:rPr>
                <w:rStyle w:val="FormatvorlageInstructionsTabelleText"/>
                <w:rFonts w:ascii="Times New Roman" w:hAnsi="Times New Roman"/>
                <w:sz w:val="24"/>
              </w:rPr>
              <w:t xml:space="preserve"> k </w:t>
            </w:r>
            <w:r w:rsidRPr="00D85C65">
              <w:rPr>
                <w:rStyle w:val="FormatvorlageInstructionsTabelleText"/>
                <w:rFonts w:ascii="Times New Roman" w:hAnsi="Times New Roman"/>
                <w:sz w:val="24"/>
              </w:rPr>
              <w:t>dátumu vykazovania.</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výhradou výnimiek</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67 CRR.</w:t>
            </w:r>
          </w:p>
          <w:p w14:paraId="78FB5E58"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tomto riadku sa nevykazujú podiely na akciách zahrnuté ako „neprípustné kapitálové nástroje“.</w:t>
            </w:r>
          </w:p>
          <w:p w14:paraId="5E5F432D" w14:textId="4E54E2F9"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Vykazovaná hodnota zahŕňa emisné ážio súvisiace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vlastnými akciami.</w:t>
            </w:r>
          </w:p>
          <w:p w14:paraId="07A0F87B" w14:textId="63D91B19"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Položky 1.2.1.4 až 1.2.1.4.3 nezahŕňajú skutočné alebo podmienené záväzky kúpiť vlastné nástroje T2. Skutočné alebo podmienené záväzky kúpiť vlastné nástroje T2 sa vykazujú osobitne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položke 1.2.1.5.</w:t>
            </w:r>
          </w:p>
        </w:tc>
      </w:tr>
      <w:tr w:rsidR="00235D9D" w:rsidRPr="00D85C65" w14:paraId="4EDE7716" w14:textId="77777777" w:rsidTr="00672D2A">
        <w:tc>
          <w:tcPr>
            <w:tcW w:w="1129" w:type="dxa"/>
          </w:tcPr>
          <w:p w14:paraId="72B21400"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810</w:t>
            </w:r>
          </w:p>
        </w:tc>
        <w:tc>
          <w:tcPr>
            <w:tcW w:w="7620" w:type="dxa"/>
          </w:tcPr>
          <w:p w14:paraId="34B640AF"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1.2.1.4.1.</w:t>
            </w:r>
            <w:r w:rsidRPr="00D85C65">
              <w:rPr>
                <w:rStyle w:val="InstructionsTabelleberschrift"/>
                <w:rFonts w:ascii="Times New Roman" w:hAnsi="Times New Roman"/>
                <w:sz w:val="24"/>
              </w:rPr>
              <w:tab/>
              <w:t>(-) Priame podiely na nástrojoch T2</w:t>
            </w:r>
          </w:p>
          <w:p w14:paraId="4EDC36A4" w14:textId="11E8F90F"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63 písm. b), 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p w14:paraId="71290CD7" w14:textId="3DB331CC"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Nástroje Tier 2 zahrnuté</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 xml:space="preserve">položke 1.2.1.1 držané inštitúciami konsolidovanej skupiny. </w:t>
            </w:r>
          </w:p>
        </w:tc>
      </w:tr>
      <w:tr w:rsidR="00235D9D" w:rsidRPr="00D85C65" w14:paraId="155B627E" w14:textId="77777777" w:rsidTr="00672D2A">
        <w:tc>
          <w:tcPr>
            <w:tcW w:w="1129" w:type="dxa"/>
          </w:tcPr>
          <w:p w14:paraId="478B5EE2"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840</w:t>
            </w:r>
          </w:p>
        </w:tc>
        <w:tc>
          <w:tcPr>
            <w:tcW w:w="7620" w:type="dxa"/>
          </w:tcPr>
          <w:p w14:paraId="48C3E06A"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1.2.1.4.2.</w:t>
            </w:r>
            <w:r w:rsidRPr="00D85C65">
              <w:rPr>
                <w:rStyle w:val="InstructionsTabelleberschrift"/>
                <w:rFonts w:ascii="Times New Roman" w:hAnsi="Times New Roman"/>
                <w:sz w:val="24"/>
              </w:rPr>
              <w:tab/>
              <w:t>(-) Nepriame podiely na nástrojoch T2</w:t>
            </w:r>
          </w:p>
          <w:p w14:paraId="1D8513F5" w14:textId="7FBD9015"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114, článok 63 písm. b), 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tc>
      </w:tr>
      <w:tr w:rsidR="00235D9D" w:rsidRPr="00D85C65" w14:paraId="232949F4" w14:textId="77777777" w:rsidTr="00672D2A">
        <w:tc>
          <w:tcPr>
            <w:tcW w:w="1129" w:type="dxa"/>
          </w:tcPr>
          <w:p w14:paraId="6DDE2FFF"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841</w:t>
            </w:r>
          </w:p>
        </w:tc>
        <w:tc>
          <w:tcPr>
            <w:tcW w:w="7620" w:type="dxa"/>
          </w:tcPr>
          <w:p w14:paraId="7FE43AA0"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1.2.1.4.3.</w:t>
            </w:r>
            <w:r w:rsidRPr="00D85C65">
              <w:rPr>
                <w:rStyle w:val="InstructionsTabelleberschrift"/>
                <w:rFonts w:ascii="Times New Roman" w:hAnsi="Times New Roman"/>
                <w:sz w:val="24"/>
              </w:rPr>
              <w:tab/>
              <w:t>(-) Syntetické podiely na nástrojoch T2</w:t>
            </w:r>
          </w:p>
          <w:p w14:paraId="71AA0907" w14:textId="056ED58A" w:rsidR="00235D9D" w:rsidRPr="00D85C65" w:rsidRDefault="00FF2818">
            <w:pPr>
              <w:pStyle w:val="InstructionsText"/>
              <w:rPr>
                <w:rStyle w:val="InstructionsTabelleberschrift"/>
                <w:rFonts w:ascii="Times New Roman" w:hAnsi="Times New Roman"/>
                <w:b w:val="0"/>
                <w:sz w:val="24"/>
                <w:u w:val="none"/>
              </w:rPr>
            </w:pPr>
            <w:r w:rsidRPr="00D85C65">
              <w:rPr>
                <w:rStyle w:val="FormatvorlageInstructionsTabelleText"/>
                <w:rFonts w:ascii="Times New Roman" w:hAnsi="Times New Roman"/>
                <w:sz w:val="24"/>
              </w:rPr>
              <w:t>Článok 4 ods. 1 bod 126, článok 63 písm. b), 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tc>
      </w:tr>
      <w:tr w:rsidR="00235D9D" w:rsidRPr="00D85C65" w14:paraId="5FEB632C" w14:textId="77777777" w:rsidTr="00672D2A">
        <w:tc>
          <w:tcPr>
            <w:tcW w:w="1129" w:type="dxa"/>
          </w:tcPr>
          <w:p w14:paraId="0206EB96"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842</w:t>
            </w:r>
          </w:p>
          <w:p w14:paraId="5E889A14" w14:textId="77777777" w:rsidR="00235D9D" w:rsidRPr="00D85C65" w:rsidRDefault="00235D9D">
            <w:pPr>
              <w:pStyle w:val="InstructionsText"/>
              <w:rPr>
                <w:rStyle w:val="FormatvorlageInstructionsTabelleText"/>
                <w:rFonts w:ascii="Times New Roman" w:hAnsi="Times New Roman"/>
                <w:sz w:val="24"/>
              </w:rPr>
            </w:pPr>
          </w:p>
        </w:tc>
        <w:tc>
          <w:tcPr>
            <w:tcW w:w="7620" w:type="dxa"/>
          </w:tcPr>
          <w:p w14:paraId="398BE123" w14:textId="77777777" w:rsidR="00235D9D" w:rsidRPr="00D85C65" w:rsidRDefault="00A86EB4">
            <w:pPr>
              <w:pStyle w:val="InstructionsText"/>
              <w:rPr>
                <w:rStyle w:val="InstructionsTabelleberschrift"/>
                <w:rFonts w:ascii="Times New Roman" w:hAnsi="Times New Roman"/>
                <w:b w:val="0"/>
                <w:sz w:val="24"/>
              </w:rPr>
            </w:pPr>
            <w:r w:rsidRPr="00D85C65">
              <w:rPr>
                <w:rStyle w:val="InstructionsTabelleberschrift"/>
                <w:rFonts w:ascii="Times New Roman" w:hAnsi="Times New Roman"/>
                <w:sz w:val="24"/>
              </w:rPr>
              <w:t>1.2.1.5.</w:t>
            </w:r>
            <w:r w:rsidRPr="00D85C65">
              <w:rPr>
                <w:rStyle w:val="InstructionsTabelleberschrift"/>
                <w:rFonts w:ascii="Times New Roman" w:hAnsi="Times New Roman"/>
                <w:sz w:val="24"/>
              </w:rPr>
              <w:tab/>
              <w:t>(-) Skutočné alebo podmienené záväzky kúpiť vlastné nástroje T2</w:t>
            </w:r>
          </w:p>
          <w:p w14:paraId="4648CD76" w14:textId="6DD3C220"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66 písm. a)</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67 CRR.</w:t>
            </w:r>
          </w:p>
          <w:p w14:paraId="71FF0839" w14:textId="393302E1" w:rsidR="00235D9D" w:rsidRPr="00D85C65" w:rsidRDefault="00A86EB4">
            <w:pPr>
              <w:pStyle w:val="InstructionsText"/>
              <w:rPr>
                <w:rStyle w:val="InstructionsTabelleberschrift"/>
                <w:rFonts w:ascii="Times New Roman" w:hAnsi="Times New Roman"/>
                <w:b w:val="0"/>
                <w:bCs w:val="0"/>
                <w:sz w:val="24"/>
                <w:u w:val="none"/>
              </w:rPr>
            </w:pPr>
            <w:r w:rsidRPr="00D85C65">
              <w:rPr>
                <w:rStyle w:val="InstructionsTabelleberschrift"/>
                <w:rFonts w:ascii="Times New Roman" w:hAnsi="Times New Roman"/>
                <w:b w:val="0"/>
                <w:sz w:val="24"/>
                <w:u w:val="none"/>
              </w:rPr>
              <w:t>Podľa článku 66 písm. a) CRR sa odpočítavajú „</w:t>
            </w:r>
            <w:r w:rsidRPr="00D85C65">
              <w:t>vlastné nástroje kapitálu Tier 2, ktoré by inštitúcia mohla byť povinná odkúpiť</w:t>
            </w:r>
            <w:r w:rsidR="00D85C65">
              <w:t xml:space="preserve"> v </w:t>
            </w:r>
            <w:r w:rsidRPr="00D85C65">
              <w:t>dôsledku existujúcich zmluvných záväzkov“.</w:t>
            </w:r>
          </w:p>
        </w:tc>
      </w:tr>
      <w:tr w:rsidR="00235D9D" w:rsidRPr="00D85C65" w14:paraId="78D467BA" w14:textId="77777777" w:rsidTr="00672D2A">
        <w:tc>
          <w:tcPr>
            <w:tcW w:w="1129" w:type="dxa"/>
          </w:tcPr>
          <w:p w14:paraId="6448818C"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880</w:t>
            </w:r>
          </w:p>
        </w:tc>
        <w:tc>
          <w:tcPr>
            <w:tcW w:w="7620" w:type="dxa"/>
          </w:tcPr>
          <w:p w14:paraId="4C9ECDA5" w14:textId="6165A8AA"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1.2.2.</w:t>
            </w:r>
            <w:r w:rsidRPr="00D85C65">
              <w:rPr>
                <w:rStyle w:val="InstructionsTabelleberschrift"/>
                <w:rFonts w:ascii="Times New Roman" w:hAnsi="Times New Roman"/>
                <w:sz w:val="24"/>
              </w:rPr>
              <w:tab/>
              <w:t>Prechodné úpravy na základe nástrojov kapitálu T2</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podriadených úverov, ktoré sa zachovali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predchádzajúcom stave</w:t>
            </w:r>
          </w:p>
          <w:p w14:paraId="03442177" w14:textId="535AF554" w:rsidR="00235D9D" w:rsidRPr="00D85C65" w:rsidRDefault="002C66A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483 ods. 6</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7, články 484, 486, 488, 490</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491 CRR.</w:t>
            </w:r>
          </w:p>
          <w:p w14:paraId="67C482A2" w14:textId="6209A1B1"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Hodnota kapitálových nástrojov, ktoré sa prechodne zachovali</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predchádzajúcom stave ako T2. Vykazovaná hodnota sa získa priamo zo vzoru CA5.</w:t>
            </w:r>
          </w:p>
        </w:tc>
      </w:tr>
      <w:tr w:rsidR="00235D9D" w:rsidRPr="00D85C65" w14:paraId="2D92620E" w14:textId="77777777" w:rsidTr="00672D2A">
        <w:tc>
          <w:tcPr>
            <w:tcW w:w="1129" w:type="dxa"/>
          </w:tcPr>
          <w:p w14:paraId="079C4A7A"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890</w:t>
            </w:r>
          </w:p>
        </w:tc>
        <w:tc>
          <w:tcPr>
            <w:tcW w:w="7620" w:type="dxa"/>
          </w:tcPr>
          <w:p w14:paraId="11E1E032" w14:textId="09B849F4"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1.2.3.</w:t>
            </w:r>
            <w:r w:rsidRPr="00D85C65">
              <w:rPr>
                <w:rStyle w:val="InstructionsTabelleberschrift"/>
                <w:rFonts w:ascii="Times New Roman" w:hAnsi="Times New Roman"/>
                <w:sz w:val="24"/>
              </w:rPr>
              <w:tab/>
              <w:t>Nástroje emitované dcérskymi spoločnosťami, ktoré sa uznali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kapitáli T2</w:t>
            </w:r>
          </w:p>
          <w:p w14:paraId="2162A8A5" w14:textId="21F25750"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83, 87</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88 CRR.</w:t>
            </w:r>
          </w:p>
          <w:p w14:paraId="60EC8A8C"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Súčet všetkých hodnôt kvalifikovaných vlastných zdrojov dcérskych spoločností, ktoré sa zahrnuli do konsolidovaného T2.</w:t>
            </w:r>
          </w:p>
          <w:p w14:paraId="6D8BF712" w14:textId="687AB495" w:rsidR="00235D9D" w:rsidRPr="00D85C65" w:rsidRDefault="00543DB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Zahrnie sa kvalifikovaný kapitál Tier 2 emitovaný účelovo vytvoreným subjektom (článok 83 CRR).</w:t>
            </w:r>
          </w:p>
        </w:tc>
      </w:tr>
      <w:tr w:rsidR="00235D9D" w:rsidRPr="00D85C65" w14:paraId="53F727DE" w14:textId="77777777" w:rsidTr="00672D2A">
        <w:tc>
          <w:tcPr>
            <w:tcW w:w="1129" w:type="dxa"/>
          </w:tcPr>
          <w:p w14:paraId="63C877F1"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900</w:t>
            </w:r>
          </w:p>
        </w:tc>
        <w:tc>
          <w:tcPr>
            <w:tcW w:w="7620" w:type="dxa"/>
          </w:tcPr>
          <w:p w14:paraId="1CAE55FC" w14:textId="746001A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1.2.4.</w:t>
            </w:r>
            <w:r w:rsidRPr="00D85C65">
              <w:rPr>
                <w:rStyle w:val="InstructionsTabelleberschrift"/>
                <w:rFonts w:ascii="Times New Roman" w:hAnsi="Times New Roman"/>
                <w:sz w:val="24"/>
              </w:rPr>
              <w:tab/>
              <w:t>Prechodné úpravy na základe dodatočného vykázania nástrojov emitovaných dcérskymi spoločnosťami</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kapitáli T2</w:t>
            </w:r>
          </w:p>
          <w:p w14:paraId="67255A91" w14:textId="466EB3B0"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480 CRR.</w:t>
            </w:r>
          </w:p>
          <w:p w14:paraId="1F106B75"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kvalifikovaných vlastných zdrojov zahrnutých do konsolidovaného kapitálu T2 na základe prechodných ustanovení. Táto položka sa získa priamo zo vzoru CA5.</w:t>
            </w:r>
          </w:p>
        </w:tc>
      </w:tr>
      <w:tr w:rsidR="00235D9D" w:rsidRPr="00D85C65" w14:paraId="473F3749" w14:textId="77777777" w:rsidTr="00672D2A">
        <w:tc>
          <w:tcPr>
            <w:tcW w:w="1129" w:type="dxa"/>
          </w:tcPr>
          <w:p w14:paraId="4BC14A9C"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910</w:t>
            </w:r>
          </w:p>
        </w:tc>
        <w:tc>
          <w:tcPr>
            <w:tcW w:w="7620" w:type="dxa"/>
          </w:tcPr>
          <w:p w14:paraId="51583024"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1.2.5.</w:t>
            </w:r>
            <w:r w:rsidRPr="00D85C65">
              <w:rPr>
                <w:rStyle w:val="InstructionsTabelleberschrift"/>
                <w:rFonts w:ascii="Times New Roman" w:hAnsi="Times New Roman"/>
                <w:sz w:val="24"/>
              </w:rPr>
              <w:tab/>
              <w:t>Nadbytok rezerv nad prípustnými očakávanými stratami pri prístupe IRB</w:t>
            </w:r>
          </w:p>
          <w:p w14:paraId="3F3BBD61" w14:textId="5C376364"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62 písm. d) CRR.</w:t>
            </w:r>
          </w:p>
          <w:p w14:paraId="71DD0615" w14:textId="1C104CE3"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prípade inštitúcií, ktoré vypočítavajú hodnoty rizikovo vážených expozícií</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súlade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prístupom IRB, obsahuje táto položka kladné hodnoty vyplývajúce</w:t>
            </w:r>
            <w:r w:rsidR="00D85C65">
              <w:rPr>
                <w:rStyle w:val="FormatvorlageInstructionsTabelleText"/>
                <w:rFonts w:ascii="Times New Roman" w:hAnsi="Times New Roman"/>
                <w:sz w:val="24"/>
              </w:rPr>
              <w:t xml:space="preserve"> z </w:t>
            </w:r>
            <w:r w:rsidRPr="00D85C65">
              <w:rPr>
                <w:rStyle w:val="FormatvorlageInstructionsTabelleText"/>
                <w:rFonts w:ascii="Times New Roman" w:hAnsi="Times New Roman"/>
                <w:sz w:val="24"/>
              </w:rPr>
              <w:t>porovnania rezerv</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očakávaných strát, ktoré sú prípustné ako kapitál T2.</w:t>
            </w:r>
          </w:p>
        </w:tc>
      </w:tr>
      <w:tr w:rsidR="00235D9D" w:rsidRPr="00D85C65" w14:paraId="31631895" w14:textId="77777777" w:rsidTr="00672D2A">
        <w:tc>
          <w:tcPr>
            <w:tcW w:w="1129" w:type="dxa"/>
          </w:tcPr>
          <w:p w14:paraId="5F38B579"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920</w:t>
            </w:r>
          </w:p>
        </w:tc>
        <w:tc>
          <w:tcPr>
            <w:tcW w:w="7620" w:type="dxa"/>
          </w:tcPr>
          <w:p w14:paraId="1D96C783" w14:textId="397BD743"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1.2.6.</w:t>
            </w:r>
            <w:r w:rsidRPr="00D85C65">
              <w:rPr>
                <w:rStyle w:val="InstructionsTabelleberschrift"/>
                <w:rFonts w:ascii="Times New Roman" w:hAnsi="Times New Roman"/>
                <w:sz w:val="24"/>
              </w:rPr>
              <w:tab/>
              <w:t>Všeobecné úpravy kreditného rizika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štandardizovaného prístupu</w:t>
            </w:r>
          </w:p>
          <w:p w14:paraId="3C70BD4A" w14:textId="338A8EF9"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62 písm. c) CRR.</w:t>
            </w:r>
          </w:p>
          <w:p w14:paraId="4C1A8B69" w14:textId="4F8FAC44"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 prípade inštitúcií, ktoré vypočítavajú hodnoty rizikovo vážených expozícií</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súlade so štandardizovaným prístupom, obsahuje táto položka všeobecné úpravy kreditného rizika prípustné ako kapitál T2.</w:t>
            </w:r>
          </w:p>
        </w:tc>
      </w:tr>
      <w:tr w:rsidR="00235D9D" w:rsidRPr="00D85C65" w14:paraId="4A5FBC24" w14:textId="77777777" w:rsidTr="00672D2A">
        <w:tc>
          <w:tcPr>
            <w:tcW w:w="1129" w:type="dxa"/>
          </w:tcPr>
          <w:p w14:paraId="41B2D303"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930</w:t>
            </w:r>
          </w:p>
        </w:tc>
        <w:tc>
          <w:tcPr>
            <w:tcW w:w="7620" w:type="dxa"/>
          </w:tcPr>
          <w:p w14:paraId="0455ED7D"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1.2.7.</w:t>
            </w:r>
            <w:r w:rsidRPr="00D85C65">
              <w:rPr>
                <w:rStyle w:val="InstructionsTabelleberschrift"/>
                <w:rFonts w:ascii="Times New Roman" w:hAnsi="Times New Roman"/>
                <w:sz w:val="24"/>
              </w:rPr>
              <w:tab/>
              <w:t>(-) Recipročné krížové podiely na kapitáli T2</w:t>
            </w:r>
          </w:p>
          <w:p w14:paraId="6F848E41" w14:textId="323D7391"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122, článok 66 písm. b)</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68 CRR.</w:t>
            </w:r>
          </w:p>
          <w:p w14:paraId="4B523625" w14:textId="39E369E5"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Podiely na nástrojoch T2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existuje recipročný krížový podiel,</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ktorom sa príslušný orgán domnieva, že má umelo zvyšovať vlastné zdroje inštitúcie.</w:t>
            </w:r>
          </w:p>
          <w:p w14:paraId="2BF3FDE3" w14:textId="4FE4B20B"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Vykazovaná hodnota sa vypočíta na základe brutto dlhých pozícií</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zahŕňa poistné položky vlastných zdrojov Tier 2</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Tier 3.</w:t>
            </w:r>
          </w:p>
        </w:tc>
      </w:tr>
      <w:tr w:rsidR="00235D9D" w:rsidRPr="00D85C65" w14:paraId="2FE6AF07" w14:textId="77777777" w:rsidTr="00672D2A">
        <w:tc>
          <w:tcPr>
            <w:tcW w:w="1129" w:type="dxa"/>
          </w:tcPr>
          <w:p w14:paraId="55C18047"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940</w:t>
            </w:r>
          </w:p>
        </w:tc>
        <w:tc>
          <w:tcPr>
            <w:tcW w:w="7620" w:type="dxa"/>
          </w:tcPr>
          <w:p w14:paraId="7B62FD67" w14:textId="2AD8D240"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1.2.8.</w:t>
            </w:r>
            <w:r w:rsidRPr="00D85C65">
              <w:rPr>
                <w:rStyle w:val="InstructionsTabelleberschrift"/>
                <w:rFonts w:ascii="Times New Roman" w:hAnsi="Times New Roman"/>
                <w:sz w:val="24"/>
              </w:rPr>
              <w:tab/>
              <w:t>(-) Nástroje T2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nemá významnú investíciu</w:t>
            </w:r>
          </w:p>
          <w:p w14:paraId="1FA061EA" w14:textId="77D17690"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66 písm. c), články 68 až 70</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článok 79 CRR.</w:t>
            </w:r>
          </w:p>
          <w:p w14:paraId="66D90D78" w14:textId="2C94AF68"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Časť podielov inštitúcie na nástrojoch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nemá významnú investíciu, ktorá sa musí odpočítať od T2.</w:t>
            </w:r>
          </w:p>
        </w:tc>
      </w:tr>
      <w:tr w:rsidR="00235D9D" w:rsidRPr="00D85C65" w14:paraId="0A9FE5F1" w14:textId="77777777" w:rsidTr="00672D2A">
        <w:tc>
          <w:tcPr>
            <w:tcW w:w="1129" w:type="dxa"/>
          </w:tcPr>
          <w:p w14:paraId="3FD571BD"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950</w:t>
            </w:r>
          </w:p>
        </w:tc>
        <w:tc>
          <w:tcPr>
            <w:tcW w:w="7620" w:type="dxa"/>
          </w:tcPr>
          <w:p w14:paraId="7A794376" w14:textId="03C6A0BB"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1.2.9.</w:t>
            </w:r>
            <w:r w:rsidRPr="00D85C65">
              <w:rPr>
                <w:rStyle w:val="InstructionsTabelleberschrift"/>
                <w:rFonts w:ascii="Times New Roman" w:hAnsi="Times New Roman"/>
                <w:sz w:val="24"/>
              </w:rPr>
              <w:tab/>
              <w:t>(-) Nástroje T2 subjektov finančného sektora,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ktorých inštitúcia má významnú investíciu</w:t>
            </w:r>
          </w:p>
          <w:p w14:paraId="191E03F9" w14:textId="5B2D78D6" w:rsidR="00235D9D" w:rsidRPr="00D85C65" w:rsidRDefault="00FF2818">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4 ods. 1 bod 27, článok 66 písm. d), články 68, 69</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79 CRR.</w:t>
            </w:r>
          </w:p>
          <w:p w14:paraId="2F8B35E9" w14:textId="557648F4" w:rsidR="00235D9D" w:rsidRPr="00D85C65" w:rsidRDefault="009B511B">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Podiely inštitúcie na nástrojoch T2 subjektov finančného sektora (podľa vymedzenia</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článku 4 ods. 1 bode 27 CRR), keď inštitúcia má významnú investíciu, sa odpočítajú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plnej výške.</w:t>
            </w:r>
          </w:p>
        </w:tc>
      </w:tr>
      <w:tr w:rsidR="00235D9D" w:rsidRPr="00D85C65" w14:paraId="5DA6F122" w14:textId="77777777" w:rsidTr="00672D2A">
        <w:tc>
          <w:tcPr>
            <w:tcW w:w="1129" w:type="dxa"/>
          </w:tcPr>
          <w:p w14:paraId="33450E2A"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960</w:t>
            </w:r>
          </w:p>
        </w:tc>
        <w:tc>
          <w:tcPr>
            <w:tcW w:w="7620" w:type="dxa"/>
          </w:tcPr>
          <w:p w14:paraId="7B3D4343" w14:textId="77777777"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1.2.10.</w:t>
            </w:r>
            <w:r w:rsidRPr="00D85C65">
              <w:rPr>
                <w:rStyle w:val="InstructionsTabelleberschrift"/>
                <w:rFonts w:ascii="Times New Roman" w:hAnsi="Times New Roman"/>
                <w:sz w:val="24"/>
              </w:rPr>
              <w:tab/>
              <w:t>Ostatné prechodné úpravy kapitálu T2</w:t>
            </w:r>
          </w:p>
          <w:p w14:paraId="784A51A7" w14:textId="5679531A"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Články 476, 477, 478</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481 CRR.</w:t>
            </w:r>
          </w:p>
          <w:p w14:paraId="562B7EA9"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Úpravy na základe prechodných ustanovení. Vykazovaná hodnota sa získa priamo zo vzoru CA5.</w:t>
            </w:r>
          </w:p>
        </w:tc>
      </w:tr>
      <w:tr w:rsidR="00235D9D" w:rsidRPr="00D85C65" w14:paraId="2EA884C8" w14:textId="77777777" w:rsidTr="00672D2A">
        <w:tc>
          <w:tcPr>
            <w:tcW w:w="1129" w:type="dxa"/>
          </w:tcPr>
          <w:p w14:paraId="687D9A16" w14:textId="77777777"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970</w:t>
            </w:r>
          </w:p>
        </w:tc>
        <w:tc>
          <w:tcPr>
            <w:tcW w:w="7620" w:type="dxa"/>
          </w:tcPr>
          <w:p w14:paraId="358D3E0C" w14:textId="7AA3BE83" w:rsidR="00235D9D" w:rsidRPr="00D85C65" w:rsidRDefault="00A86EB4">
            <w:pPr>
              <w:pStyle w:val="InstructionsText"/>
              <w:rPr>
                <w:rStyle w:val="FormatvorlageInstructionsTabelleText"/>
                <w:rFonts w:ascii="Times New Roman" w:hAnsi="Times New Roman"/>
                <w:b/>
                <w:sz w:val="24"/>
                <w:u w:val="single"/>
              </w:rPr>
            </w:pPr>
            <w:r w:rsidRPr="00D85C65">
              <w:rPr>
                <w:rStyle w:val="InstructionsTabelleberschrift"/>
                <w:rFonts w:ascii="Times New Roman" w:hAnsi="Times New Roman"/>
                <w:sz w:val="24"/>
              </w:rPr>
              <w:t>1.2.11.</w:t>
            </w:r>
            <w:r w:rsidRPr="00D85C65">
              <w:rPr>
                <w:rStyle w:val="InstructionsTabelleberschrift"/>
                <w:rFonts w:ascii="Times New Roman" w:hAnsi="Times New Roman"/>
                <w:sz w:val="24"/>
              </w:rPr>
              <w:tab/>
              <w:t>Nadbytok odpočtov od položiek T2 presahujúca kapitál T2 (odpočítané</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AT1)</w:t>
            </w:r>
          </w:p>
          <w:p w14:paraId="06921619" w14:textId="0EED794F" w:rsidR="00235D9D" w:rsidRPr="00D85C65" w:rsidRDefault="00852CAD">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Článok 56 písm. e) CRR.</w:t>
            </w:r>
          </w:p>
          <w:p w14:paraId="2D66785A" w14:textId="50AE9496"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Tier 2 nemôže byť záporný, ale je možné, že odpočty T2 sú väčšie než kapitál T2 plus súvisiace emisné ážio.</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tomto prípade je T2 rovné nule</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nadbytok odpočtov T2 sa odpočíta od AT1.</w:t>
            </w:r>
          </w:p>
          <w:p w14:paraId="4F23E22C" w14:textId="68347F2D" w:rsidR="00235D9D" w:rsidRPr="00D85C65" w:rsidRDefault="00A86EB4">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Touto položkou sa dosiahne, že súčet položiek 1.2.1 až 1.2.13 nie je nikdy nižší než nula. Keď je táto položka kladná, položka 1.1.2.8 je inverznou hodnotou tohto čísla.</w:t>
            </w:r>
          </w:p>
        </w:tc>
      </w:tr>
      <w:tr w:rsidR="00235D9D" w:rsidRPr="00D85C65" w14:paraId="45014646" w14:textId="77777777" w:rsidTr="00672D2A">
        <w:tc>
          <w:tcPr>
            <w:tcW w:w="1129" w:type="dxa"/>
          </w:tcPr>
          <w:p w14:paraId="11FABB7C" w14:textId="77777777" w:rsidR="00235D9D" w:rsidRPr="00D85C65" w:rsidDel="00BD687C" w:rsidRDefault="00BD687C">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lastRenderedPageBreak/>
              <w:t>974</w:t>
            </w:r>
          </w:p>
        </w:tc>
        <w:tc>
          <w:tcPr>
            <w:tcW w:w="7620" w:type="dxa"/>
          </w:tcPr>
          <w:p w14:paraId="5AF73AD1" w14:textId="77777777" w:rsidR="00235D9D" w:rsidRPr="00D85C65" w:rsidRDefault="00BD687C">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1.2.12.</w:t>
            </w:r>
            <w:r w:rsidRPr="00D85C65">
              <w:rPr>
                <w:rStyle w:val="InstructionsTabelleberschrift"/>
                <w:rFonts w:ascii="Times New Roman" w:hAnsi="Times New Roman"/>
                <w:sz w:val="24"/>
              </w:rPr>
              <w:tab/>
              <w:t>(-) Dodatočné odpočty kapitálu T2 na základe článku 3 CRR</w:t>
            </w:r>
          </w:p>
          <w:p w14:paraId="59985BA9" w14:textId="77777777" w:rsidR="00235D9D" w:rsidRPr="00D85C65" w:rsidRDefault="00BD687C">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3 CRR.</w:t>
            </w:r>
          </w:p>
        </w:tc>
      </w:tr>
      <w:tr w:rsidR="00235D9D" w:rsidRPr="00D85C65" w14:paraId="3A0BCE04" w14:textId="77777777" w:rsidTr="00672D2A">
        <w:tc>
          <w:tcPr>
            <w:tcW w:w="1129" w:type="dxa"/>
          </w:tcPr>
          <w:p w14:paraId="5CF1CA23" w14:textId="77777777" w:rsidR="00235D9D" w:rsidRPr="00D85C65" w:rsidRDefault="00BD687C">
            <w:pPr>
              <w:pStyle w:val="InstructionsText"/>
              <w:rPr>
                <w:rStyle w:val="FormatvorlageInstructionsTabelleText"/>
                <w:rFonts w:ascii="Times New Roman" w:hAnsi="Times New Roman"/>
                <w:sz w:val="24"/>
              </w:rPr>
            </w:pPr>
            <w:r w:rsidRPr="00D85C65">
              <w:rPr>
                <w:rStyle w:val="FormatvorlageInstructionsTabelleText"/>
                <w:rFonts w:ascii="Times New Roman" w:hAnsi="Times New Roman"/>
                <w:sz w:val="24"/>
              </w:rPr>
              <w:t>978</w:t>
            </w:r>
          </w:p>
        </w:tc>
        <w:tc>
          <w:tcPr>
            <w:tcW w:w="7620" w:type="dxa"/>
          </w:tcPr>
          <w:p w14:paraId="63A9B913" w14:textId="77777777" w:rsidR="00D85C65" w:rsidRDefault="00A86EB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1.2.13.</w:t>
            </w:r>
            <w:r w:rsidRPr="00D85C65">
              <w:rPr>
                <w:rStyle w:val="InstructionsTabelleberschrift"/>
                <w:rFonts w:ascii="Times New Roman" w:hAnsi="Times New Roman"/>
                <w:sz w:val="24"/>
              </w:rPr>
              <w:tab/>
              <w:t>Prvky alebo odpočty kapitálu T2 – iné</w:t>
            </w:r>
          </w:p>
          <w:p w14:paraId="5C4761F0" w14:textId="7E537B2F" w:rsidR="00D85C65" w:rsidRDefault="00A86EB4">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Týmto riadkom sa poskytuje flexibilita výlučne na účely vykazovania. Vypĺňa sa len</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ojedinelých prípadoch, keď nebolo prijaté konečné rozhodnutie</w:t>
            </w:r>
            <w:r w:rsidR="00D85C65">
              <w:rPr>
                <w:rStyle w:val="InstructionsTabelleberschrift"/>
                <w:rFonts w:ascii="Times New Roman" w:hAnsi="Times New Roman"/>
                <w:b w:val="0"/>
                <w:sz w:val="24"/>
                <w:u w:val="none"/>
              </w:rPr>
              <w:t xml:space="preserve"> o </w:t>
            </w:r>
            <w:r w:rsidRPr="00D85C65">
              <w:rPr>
                <w:rStyle w:val="InstructionsTabelleberschrift"/>
                <w:rFonts w:ascii="Times New Roman" w:hAnsi="Times New Roman"/>
                <w:b w:val="0"/>
                <w:sz w:val="24"/>
                <w:u w:val="none"/>
              </w:rPr>
              <w:t>vykázaní určitých kapitálových položiek/odpočtov</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aktuálnom vzore CA1. Tento riadok sa preto vypĺňa, len keď prvok kapitálu T2 alebo odpočet od prvku T2 nie je možné priradiť</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žiadnemu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riadkov 750 až 974</w:t>
            </w:r>
            <w:r w:rsidR="00D85C65">
              <w:rPr>
                <w:rStyle w:val="InstructionsTabelleberschrift"/>
                <w:rFonts w:ascii="Times New Roman" w:hAnsi="Times New Roman"/>
                <w:b w:val="0"/>
                <w:sz w:val="24"/>
                <w:u w:val="none"/>
              </w:rPr>
              <w:t>.</w:t>
            </w:r>
          </w:p>
          <w:p w14:paraId="33435B21" w14:textId="63FC2C96" w:rsidR="00235D9D" w:rsidRPr="00D85C65" w:rsidRDefault="00A86EB4">
            <w:pPr>
              <w:pStyle w:val="InstructionsTex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Táto bunka sa nepoužíva na začlenenie kapitálových položiek/odpočtov, ktoré nepokrýva CRR, do výpočtu pomerov platobnej schopnosti (napr. začlenenie vnútroštátnych kapitálových položiek/odpočtov, ktoré nepatria do rozsahu pôsobnosti CRR).</w:t>
            </w:r>
          </w:p>
        </w:tc>
      </w:tr>
    </w:tbl>
    <w:p w14:paraId="71EB3ECD" w14:textId="77777777" w:rsidR="00235D9D" w:rsidRPr="00D85C65" w:rsidRDefault="00235D9D">
      <w:pPr>
        <w:pStyle w:val="InstructionsText"/>
      </w:pPr>
    </w:p>
    <w:p w14:paraId="5E337B3D" w14:textId="03FA4420" w:rsidR="00D85C65" w:rsidRDefault="00125707">
      <w:pPr>
        <w:pStyle w:val="Instructionsberschrift2"/>
        <w:numPr>
          <w:ilvl w:val="0"/>
          <w:numId w:val="0"/>
        </w:numPr>
        <w:ind w:left="357" w:hanging="357"/>
        <w:rPr>
          <w:rFonts w:ascii="Times New Roman" w:hAnsi="Times New Roman"/>
          <w:sz w:val="24"/>
        </w:rPr>
      </w:pPr>
      <w:bookmarkStart w:id="11" w:name="_Toc29994454"/>
      <w:r w:rsidRPr="00D85C65">
        <w:rPr>
          <w:rFonts w:ascii="Times New Roman" w:hAnsi="Times New Roman"/>
          <w:sz w:val="24"/>
          <w:u w:val="none"/>
        </w:rPr>
        <w:t>1.3.</w:t>
      </w:r>
      <w:r w:rsidRPr="00D85C65">
        <w:rPr>
          <w:rFonts w:ascii="Times New Roman" w:hAnsi="Times New Roman"/>
          <w:sz w:val="24"/>
          <w:u w:val="none"/>
        </w:rPr>
        <w:tab/>
      </w:r>
      <w:r w:rsidRPr="00D85C65">
        <w:rPr>
          <w:rFonts w:ascii="Times New Roman" w:hAnsi="Times New Roman"/>
          <w:sz w:val="24"/>
        </w:rPr>
        <w:t>C 02.00 – POŽIADAVKY NA VLASTNÉ ZDROJE (CA2)</w:t>
      </w:r>
      <w:bookmarkEnd w:id="11"/>
    </w:p>
    <w:p w14:paraId="54208F37" w14:textId="012E099D" w:rsidR="00235D9D" w:rsidRPr="00D85C65" w:rsidRDefault="00125707">
      <w:pPr>
        <w:pStyle w:val="Instructionsberschrift2"/>
        <w:numPr>
          <w:ilvl w:val="0"/>
          <w:numId w:val="0"/>
        </w:numPr>
        <w:ind w:left="357" w:hanging="357"/>
        <w:rPr>
          <w:rFonts w:ascii="Times New Roman" w:hAnsi="Times New Roman" w:cs="Times New Roman"/>
          <w:sz w:val="24"/>
        </w:rPr>
      </w:pPr>
      <w:bookmarkStart w:id="12" w:name="_Toc29994455"/>
      <w:r w:rsidRPr="00D85C65">
        <w:rPr>
          <w:rFonts w:ascii="Times New Roman" w:hAnsi="Times New Roman"/>
          <w:sz w:val="24"/>
          <w:u w:val="none"/>
        </w:rPr>
        <w:t>1.3.1.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2"/>
    </w:p>
    <w:p w14:paraId="0023256C" w14:textId="77777777" w:rsidR="00235D9D" w:rsidRPr="00D85C65" w:rsidRDefault="00235D9D">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35D9D" w:rsidRPr="00D85C65" w14:paraId="0D39C813" w14:textId="77777777" w:rsidTr="00672D2A">
        <w:tc>
          <w:tcPr>
            <w:tcW w:w="1591" w:type="dxa"/>
            <w:shd w:val="clear" w:color="auto" w:fill="D9D9D9"/>
          </w:tcPr>
          <w:p w14:paraId="5F5F5E0C" w14:textId="77777777" w:rsidR="00235D9D" w:rsidRPr="006A4431" w:rsidRDefault="002648B0">
            <w:pPr>
              <w:pStyle w:val="InstructionsText"/>
              <w:rPr>
                <w:spacing w:val="-4"/>
              </w:rPr>
            </w:pPr>
            <w:r w:rsidRPr="006A4431">
              <w:rPr>
                <w:spacing w:val="-4"/>
              </w:rPr>
              <w:t>Riadok</w:t>
            </w:r>
          </w:p>
        </w:tc>
        <w:tc>
          <w:tcPr>
            <w:tcW w:w="7274" w:type="dxa"/>
            <w:shd w:val="clear" w:color="auto" w:fill="D9D9D9"/>
          </w:tcPr>
          <w:p w14:paraId="68A7ECF1" w14:textId="616C1C21" w:rsidR="00235D9D" w:rsidRPr="006A4431" w:rsidRDefault="002648B0">
            <w:pPr>
              <w:pStyle w:val="InstructionsText"/>
              <w:rPr>
                <w:spacing w:val="-4"/>
              </w:rPr>
            </w:pPr>
            <w:r w:rsidRPr="006A4431">
              <w:rPr>
                <w:spacing w:val="-4"/>
              </w:rPr>
              <w:t>Odkazy na právne predpisy</w:t>
            </w:r>
            <w:r w:rsidR="00D85C65" w:rsidRPr="006A4431">
              <w:rPr>
                <w:spacing w:val="-4"/>
              </w:rPr>
              <w:t xml:space="preserve"> a </w:t>
            </w:r>
            <w:r w:rsidRPr="006A4431">
              <w:rPr>
                <w:spacing w:val="-4"/>
              </w:rPr>
              <w:t>pokyny</w:t>
            </w:r>
          </w:p>
        </w:tc>
      </w:tr>
      <w:tr w:rsidR="00235D9D" w:rsidRPr="00D85C65" w14:paraId="4788110E" w14:textId="77777777" w:rsidTr="00672D2A">
        <w:tc>
          <w:tcPr>
            <w:tcW w:w="1591" w:type="dxa"/>
          </w:tcPr>
          <w:p w14:paraId="7CBD314D" w14:textId="77777777" w:rsidR="00235D9D" w:rsidRPr="006A4431" w:rsidRDefault="002648B0">
            <w:pPr>
              <w:pStyle w:val="InstructionsText"/>
              <w:rPr>
                <w:spacing w:val="-4"/>
              </w:rPr>
            </w:pPr>
            <w:r w:rsidRPr="006A4431">
              <w:rPr>
                <w:spacing w:val="-4"/>
              </w:rPr>
              <w:t>010</w:t>
            </w:r>
          </w:p>
        </w:tc>
        <w:tc>
          <w:tcPr>
            <w:tcW w:w="7274" w:type="dxa"/>
          </w:tcPr>
          <w:p w14:paraId="01196437" w14:textId="77777777" w:rsidR="00235D9D" w:rsidRPr="006A4431" w:rsidRDefault="00C66473">
            <w:pPr>
              <w:pStyle w:val="InstructionsText"/>
              <w:rPr>
                <w:spacing w:val="-4"/>
              </w:rPr>
            </w:pPr>
            <w:r w:rsidRPr="006A4431">
              <w:rPr>
                <w:rStyle w:val="InstructionsTabelleberschrift"/>
                <w:rFonts w:ascii="Times New Roman" w:hAnsi="Times New Roman"/>
                <w:spacing w:val="-4"/>
                <w:sz w:val="24"/>
              </w:rPr>
              <w:t>1.</w:t>
            </w:r>
            <w:r w:rsidRPr="006A4431">
              <w:rPr>
                <w:rStyle w:val="InstructionsTabelleberschrift"/>
                <w:rFonts w:ascii="Times New Roman" w:hAnsi="Times New Roman"/>
                <w:spacing w:val="-4"/>
                <w:sz w:val="24"/>
              </w:rPr>
              <w:tab/>
              <w:t>CELKOVÁ HODNOTA RIZIKOVÝCH EXPOZÍCIÍ</w:t>
            </w:r>
          </w:p>
          <w:p w14:paraId="46265497" w14:textId="3617A102" w:rsidR="00235D9D" w:rsidRPr="006A4431" w:rsidRDefault="002648B0">
            <w:pPr>
              <w:pStyle w:val="InstructionsText"/>
              <w:rPr>
                <w:spacing w:val="-4"/>
              </w:rPr>
            </w:pPr>
            <w:r w:rsidRPr="006A4431">
              <w:rPr>
                <w:spacing w:val="-4"/>
              </w:rPr>
              <w:t>Článok 92 ods. 3</w:t>
            </w:r>
            <w:r w:rsidR="00D85C65" w:rsidRPr="006A4431">
              <w:rPr>
                <w:spacing w:val="-4"/>
              </w:rPr>
              <w:t xml:space="preserve"> a </w:t>
            </w:r>
            <w:r w:rsidRPr="006A4431">
              <w:rPr>
                <w:spacing w:val="-4"/>
              </w:rPr>
              <w:t>články 95, 96</w:t>
            </w:r>
            <w:r w:rsidR="00D85C65" w:rsidRPr="006A4431">
              <w:rPr>
                <w:spacing w:val="-4"/>
              </w:rPr>
              <w:t xml:space="preserve"> a </w:t>
            </w:r>
            <w:r w:rsidRPr="006A4431">
              <w:rPr>
                <w:spacing w:val="-4"/>
              </w:rPr>
              <w:t>98 CRR.</w:t>
            </w:r>
          </w:p>
        </w:tc>
      </w:tr>
      <w:tr w:rsidR="00235D9D" w:rsidRPr="00D85C65" w14:paraId="6D9EE898" w14:textId="77777777" w:rsidTr="00672D2A">
        <w:tc>
          <w:tcPr>
            <w:tcW w:w="1591" w:type="dxa"/>
          </w:tcPr>
          <w:p w14:paraId="4A03101D" w14:textId="77777777" w:rsidR="00235D9D" w:rsidRPr="006A4431" w:rsidRDefault="002648B0">
            <w:pPr>
              <w:pStyle w:val="InstructionsText"/>
              <w:rPr>
                <w:spacing w:val="-4"/>
              </w:rPr>
            </w:pPr>
            <w:r w:rsidRPr="006A4431">
              <w:rPr>
                <w:spacing w:val="-4"/>
              </w:rPr>
              <w:t>020</w:t>
            </w:r>
          </w:p>
        </w:tc>
        <w:tc>
          <w:tcPr>
            <w:tcW w:w="7274" w:type="dxa"/>
          </w:tcPr>
          <w:p w14:paraId="728E140E" w14:textId="6D1CF627" w:rsidR="00235D9D" w:rsidRPr="006A4431" w:rsidRDefault="002648B0">
            <w:pPr>
              <w:pStyle w:val="InstructionsText"/>
              <w:rPr>
                <w:spacing w:val="-4"/>
              </w:rPr>
            </w:pPr>
            <w:r w:rsidRPr="006A4431">
              <w:rPr>
                <w:rStyle w:val="InstructionsTabelleberschrift"/>
                <w:rFonts w:ascii="Times New Roman" w:hAnsi="Times New Roman"/>
                <w:spacing w:val="-4"/>
                <w:sz w:val="24"/>
              </w:rPr>
              <w:t>1.*</w:t>
            </w:r>
            <w:r w:rsidRPr="006A4431">
              <w:rPr>
                <w:rStyle w:val="InstructionsTabelleberschrift"/>
                <w:rFonts w:ascii="Times New Roman" w:hAnsi="Times New Roman"/>
                <w:spacing w:val="-4"/>
                <w:sz w:val="24"/>
              </w:rPr>
              <w:tab/>
              <w:t>Z čoho: Investičné spoločnosti na základe článku 95 ods. 2</w:t>
            </w:r>
            <w:r w:rsidR="00D85C65" w:rsidRPr="006A4431">
              <w:rPr>
                <w:rStyle w:val="InstructionsTabelleberschrift"/>
                <w:rFonts w:ascii="Times New Roman" w:hAnsi="Times New Roman"/>
                <w:spacing w:val="-4"/>
                <w:sz w:val="24"/>
              </w:rPr>
              <w:t xml:space="preserve"> a </w:t>
            </w:r>
            <w:r w:rsidRPr="006A4431">
              <w:rPr>
                <w:rStyle w:val="InstructionsTabelleberschrift"/>
                <w:rFonts w:ascii="Times New Roman" w:hAnsi="Times New Roman"/>
                <w:spacing w:val="-4"/>
                <w:sz w:val="24"/>
              </w:rPr>
              <w:t>článku 98 CRR</w:t>
            </w:r>
          </w:p>
          <w:p w14:paraId="4FA45006" w14:textId="548CAA30" w:rsidR="00235D9D" w:rsidRPr="006A4431" w:rsidRDefault="002648B0">
            <w:pPr>
              <w:pStyle w:val="InstructionsText"/>
              <w:rPr>
                <w:spacing w:val="-4"/>
              </w:rPr>
            </w:pPr>
            <w:r w:rsidRPr="006A4431">
              <w:rPr>
                <w:spacing w:val="-4"/>
              </w:rPr>
              <w:t xml:space="preserve">Pre investičné spoločnosti na základe článku 95 </w:t>
            </w:r>
            <w:r w:rsidRPr="006A4431">
              <w:rPr>
                <w:rStyle w:val="FormatvorlageInstructionsTabelleText"/>
                <w:rFonts w:ascii="Times New Roman" w:hAnsi="Times New Roman"/>
                <w:spacing w:val="-4"/>
                <w:sz w:val="24"/>
              </w:rPr>
              <w:t>ods. 2</w:t>
            </w:r>
            <w:r w:rsidR="00D85C65" w:rsidRPr="006A4431">
              <w:rPr>
                <w:spacing w:val="-4"/>
              </w:rPr>
              <w:t xml:space="preserve"> a </w:t>
            </w:r>
            <w:r w:rsidRPr="006A4431">
              <w:rPr>
                <w:spacing w:val="-4"/>
              </w:rPr>
              <w:t>článku 98 CRR.</w:t>
            </w:r>
          </w:p>
        </w:tc>
      </w:tr>
      <w:tr w:rsidR="00235D9D" w:rsidRPr="00D85C65" w14:paraId="5A6EEA97" w14:textId="77777777" w:rsidTr="00672D2A">
        <w:tc>
          <w:tcPr>
            <w:tcW w:w="1591" w:type="dxa"/>
          </w:tcPr>
          <w:p w14:paraId="044DF713" w14:textId="77777777" w:rsidR="00235D9D" w:rsidRPr="006A4431" w:rsidRDefault="002648B0">
            <w:pPr>
              <w:pStyle w:val="InstructionsText"/>
              <w:rPr>
                <w:spacing w:val="-4"/>
              </w:rPr>
            </w:pPr>
            <w:r w:rsidRPr="006A4431">
              <w:rPr>
                <w:spacing w:val="-4"/>
              </w:rPr>
              <w:t>030</w:t>
            </w:r>
          </w:p>
        </w:tc>
        <w:tc>
          <w:tcPr>
            <w:tcW w:w="7274" w:type="dxa"/>
          </w:tcPr>
          <w:p w14:paraId="3E0C3E16" w14:textId="7F8CF096" w:rsidR="00235D9D" w:rsidRPr="006A4431" w:rsidRDefault="002648B0">
            <w:pPr>
              <w:pStyle w:val="InstructionsText"/>
              <w:rPr>
                <w:spacing w:val="-4"/>
              </w:rPr>
            </w:pPr>
            <w:r w:rsidRPr="006A4431">
              <w:rPr>
                <w:rStyle w:val="InstructionsTabelleberschrift"/>
                <w:rFonts w:ascii="Times New Roman" w:hAnsi="Times New Roman"/>
                <w:spacing w:val="-4"/>
                <w:sz w:val="24"/>
              </w:rPr>
              <w:t>1.**</w:t>
            </w:r>
            <w:r w:rsidRPr="006A4431">
              <w:rPr>
                <w:rStyle w:val="InstructionsTabelleberschrift"/>
                <w:rFonts w:ascii="Times New Roman" w:hAnsi="Times New Roman"/>
                <w:spacing w:val="-4"/>
                <w:sz w:val="24"/>
              </w:rPr>
              <w:tab/>
              <w:t>Z čoho: Investičné spoločnosti na základe článku 96 ods. 2</w:t>
            </w:r>
            <w:r w:rsidR="00D85C65" w:rsidRPr="006A4431">
              <w:rPr>
                <w:rStyle w:val="InstructionsTabelleberschrift"/>
                <w:rFonts w:ascii="Times New Roman" w:hAnsi="Times New Roman"/>
                <w:spacing w:val="-4"/>
                <w:sz w:val="24"/>
              </w:rPr>
              <w:t xml:space="preserve"> a </w:t>
            </w:r>
            <w:r w:rsidRPr="006A4431">
              <w:rPr>
                <w:rStyle w:val="InstructionsTabelleberschrift"/>
                <w:rFonts w:ascii="Times New Roman" w:hAnsi="Times New Roman"/>
                <w:spacing w:val="-4"/>
                <w:sz w:val="24"/>
              </w:rPr>
              <w:t>článku 97 CRR</w:t>
            </w:r>
          </w:p>
          <w:p w14:paraId="76B6B5F2" w14:textId="7EFF14D3" w:rsidR="00235D9D" w:rsidRPr="006A4431" w:rsidRDefault="002648B0">
            <w:pPr>
              <w:pStyle w:val="InstructionsText"/>
              <w:rPr>
                <w:spacing w:val="-4"/>
              </w:rPr>
            </w:pPr>
            <w:r w:rsidRPr="006A4431">
              <w:rPr>
                <w:spacing w:val="-4"/>
              </w:rPr>
              <w:t xml:space="preserve">Pre investičné spoločnosti na základe článku 96 </w:t>
            </w:r>
            <w:r w:rsidRPr="006A4431">
              <w:rPr>
                <w:rStyle w:val="FormatvorlageInstructionsTabelleText"/>
                <w:rFonts w:ascii="Times New Roman" w:hAnsi="Times New Roman"/>
                <w:spacing w:val="-4"/>
                <w:sz w:val="24"/>
              </w:rPr>
              <w:t>ods. 2</w:t>
            </w:r>
            <w:r w:rsidR="00D85C65" w:rsidRPr="006A4431">
              <w:rPr>
                <w:spacing w:val="-4"/>
              </w:rPr>
              <w:t xml:space="preserve"> a </w:t>
            </w:r>
            <w:r w:rsidRPr="006A4431">
              <w:rPr>
                <w:spacing w:val="-4"/>
              </w:rPr>
              <w:t>článku 97 CRR.</w:t>
            </w:r>
          </w:p>
        </w:tc>
      </w:tr>
      <w:tr w:rsidR="00235D9D" w:rsidRPr="00D85C65" w14:paraId="7BA90DC4" w14:textId="77777777" w:rsidTr="00672D2A">
        <w:tc>
          <w:tcPr>
            <w:tcW w:w="1591" w:type="dxa"/>
          </w:tcPr>
          <w:p w14:paraId="6C2A8F6D"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040</w:t>
            </w:r>
          </w:p>
        </w:tc>
        <w:tc>
          <w:tcPr>
            <w:tcW w:w="7274" w:type="dxa"/>
          </w:tcPr>
          <w:p w14:paraId="37CD2A01" w14:textId="4D60D213"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w:t>
            </w:r>
            <w:r w:rsidRPr="006A4431">
              <w:rPr>
                <w:rStyle w:val="InstructionsTabelleberschrift"/>
                <w:rFonts w:ascii="Times New Roman" w:hAnsi="Times New Roman"/>
                <w:spacing w:val="-4"/>
                <w:sz w:val="24"/>
              </w:rPr>
              <w:tab/>
              <w:t>HODNOTY RIZIKOVO VÁŽENÝCH EXPOZÍCIÍ PRE KREDITNÉ RIZIKO, KREDITNÉ RIZIKO PROTISTRANY A RIZIKO ZNÍŽENIA KVALITY POHĽADÁVOK</w:t>
            </w:r>
            <w:r w:rsidR="00D85C65" w:rsidRPr="006A4431">
              <w:rPr>
                <w:rStyle w:val="InstructionsTabelleberschrift"/>
                <w:rFonts w:ascii="Times New Roman" w:hAnsi="Times New Roman"/>
                <w:spacing w:val="-4"/>
                <w:sz w:val="24"/>
              </w:rPr>
              <w:t xml:space="preserve"> Z </w:t>
            </w:r>
            <w:r w:rsidRPr="006A4431">
              <w:rPr>
                <w:rStyle w:val="InstructionsTabelleberschrift"/>
                <w:rFonts w:ascii="Times New Roman" w:hAnsi="Times New Roman"/>
                <w:spacing w:val="-4"/>
                <w:sz w:val="24"/>
              </w:rPr>
              <w:t>INÝCH AKO KREDITNÝCH DÔVODOV A BEZODPLATNÉ DODANIE</w:t>
            </w:r>
          </w:p>
          <w:p w14:paraId="54D1474C" w14:textId="0A978347" w:rsidR="00235D9D" w:rsidRPr="006A4431" w:rsidRDefault="002C66A4">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Článok 92 ods. 3 písm. a)</w:t>
            </w:r>
            <w:r w:rsidR="00D85C65" w:rsidRPr="006A4431">
              <w:rPr>
                <w:rStyle w:val="FormatvorlageInstructionsTabelleText"/>
                <w:rFonts w:ascii="Times New Roman" w:hAnsi="Times New Roman"/>
                <w:spacing w:val="-4"/>
                <w:sz w:val="24"/>
              </w:rPr>
              <w:t xml:space="preserve"> a </w:t>
            </w:r>
            <w:r w:rsidRPr="006A4431">
              <w:rPr>
                <w:rStyle w:val="FormatvorlageInstructionsTabelleText"/>
                <w:rFonts w:ascii="Times New Roman" w:hAnsi="Times New Roman"/>
                <w:spacing w:val="-4"/>
                <w:sz w:val="24"/>
              </w:rPr>
              <w:t>f) CRR.</w:t>
            </w:r>
          </w:p>
        </w:tc>
      </w:tr>
      <w:tr w:rsidR="00235D9D" w:rsidRPr="00D85C65" w14:paraId="6C7C9EAC" w14:textId="77777777" w:rsidTr="00672D2A">
        <w:tc>
          <w:tcPr>
            <w:tcW w:w="1591" w:type="dxa"/>
          </w:tcPr>
          <w:p w14:paraId="1F820C45"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050</w:t>
            </w:r>
          </w:p>
        </w:tc>
        <w:tc>
          <w:tcPr>
            <w:tcW w:w="7274" w:type="dxa"/>
          </w:tcPr>
          <w:p w14:paraId="5B1D747A" w14:textId="4C8B71B4" w:rsidR="00235D9D" w:rsidRPr="006A4431" w:rsidRDefault="002648B0">
            <w:pPr>
              <w:pStyle w:val="InstructionsText"/>
              <w:rPr>
                <w:rStyle w:val="InstructionsTabelleberschrift"/>
                <w:rFonts w:ascii="Times New Roman" w:hAnsi="Times New Roman"/>
                <w:spacing w:val="-4"/>
                <w:sz w:val="24"/>
              </w:rPr>
            </w:pPr>
            <w:r w:rsidRPr="006A4431">
              <w:rPr>
                <w:rStyle w:val="InstructionsTabelleberschrift"/>
                <w:rFonts w:ascii="Times New Roman" w:hAnsi="Times New Roman"/>
                <w:spacing w:val="-4"/>
                <w:sz w:val="24"/>
              </w:rPr>
              <w:t>1.1.1.</w:t>
            </w:r>
            <w:r w:rsidRPr="006A4431">
              <w:rPr>
                <w:rStyle w:val="InstructionsTabelleberschrift"/>
                <w:rFonts w:ascii="Times New Roman" w:hAnsi="Times New Roman"/>
                <w:spacing w:val="-4"/>
                <w:sz w:val="24"/>
              </w:rPr>
              <w:tab/>
              <w:t>Štandardizovaný prístup (SA)</w:t>
            </w:r>
          </w:p>
          <w:p w14:paraId="140A5C1E" w14:textId="5228CA3F" w:rsidR="00235D9D" w:rsidRPr="006A4431" w:rsidRDefault="002648B0">
            <w:pPr>
              <w:pStyle w:val="InstructionsText"/>
              <w:rPr>
                <w:rStyle w:val="FormatvorlageInstructionsTabelleText"/>
                <w:rFonts w:ascii="Times New Roman" w:hAnsi="Times New Roman"/>
                <w:spacing w:val="-4"/>
                <w:sz w:val="24"/>
              </w:rPr>
            </w:pPr>
            <w:r w:rsidRPr="006A4431">
              <w:rPr>
                <w:rStyle w:val="InstructionsTabelleberschrift"/>
                <w:rFonts w:ascii="Times New Roman" w:hAnsi="Times New Roman"/>
                <w:b w:val="0"/>
                <w:spacing w:val="-4"/>
                <w:sz w:val="24"/>
                <w:u w:val="none"/>
              </w:rPr>
              <w:t>Vzory CR SA</w:t>
            </w:r>
            <w:r w:rsidR="00D85C65" w:rsidRPr="006A4431">
              <w:rPr>
                <w:rStyle w:val="InstructionsTabelleberschrift"/>
                <w:rFonts w:ascii="Times New Roman" w:hAnsi="Times New Roman"/>
                <w:b w:val="0"/>
                <w:spacing w:val="-4"/>
                <w:sz w:val="24"/>
                <w:u w:val="none"/>
              </w:rPr>
              <w:t xml:space="preserve"> a </w:t>
            </w:r>
            <w:r w:rsidRPr="006A4431">
              <w:rPr>
                <w:rStyle w:val="InstructionsTabelleberschrift"/>
                <w:rFonts w:ascii="Times New Roman" w:hAnsi="Times New Roman"/>
                <w:b w:val="0"/>
                <w:spacing w:val="-4"/>
                <w:sz w:val="24"/>
                <w:u w:val="none"/>
              </w:rPr>
              <w:t>SEC SA na úrovni celkových expozícií</w:t>
            </w:r>
          </w:p>
        </w:tc>
      </w:tr>
      <w:tr w:rsidR="00235D9D" w:rsidRPr="00D85C65" w14:paraId="48DA6C54" w14:textId="77777777" w:rsidTr="00672D2A">
        <w:tc>
          <w:tcPr>
            <w:tcW w:w="1591" w:type="dxa"/>
          </w:tcPr>
          <w:p w14:paraId="03E01A09" w14:textId="77777777" w:rsidR="00235D9D" w:rsidRPr="006A4431" w:rsidRDefault="00802958">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lastRenderedPageBreak/>
              <w:t>051</w:t>
            </w:r>
          </w:p>
        </w:tc>
        <w:tc>
          <w:tcPr>
            <w:tcW w:w="7274" w:type="dxa"/>
          </w:tcPr>
          <w:p w14:paraId="47536DF6" w14:textId="1C95F224" w:rsidR="00235D9D" w:rsidRPr="006A4431" w:rsidRDefault="00802958">
            <w:pPr>
              <w:pStyle w:val="InstructionsText"/>
              <w:rPr>
                <w:rStyle w:val="InstructionsTabelleberschrift"/>
                <w:rFonts w:ascii="Times New Roman" w:hAnsi="Times New Roman"/>
                <w:spacing w:val="-4"/>
                <w:sz w:val="24"/>
              </w:rPr>
            </w:pPr>
            <w:r w:rsidRPr="006A4431">
              <w:rPr>
                <w:rStyle w:val="InstructionsTabelleberschrift"/>
                <w:rFonts w:ascii="Times New Roman" w:hAnsi="Times New Roman"/>
                <w:spacing w:val="-4"/>
                <w:sz w:val="24"/>
              </w:rPr>
              <w:t>1.1.1.*</w:t>
            </w:r>
            <w:r w:rsidRPr="006A4431">
              <w:rPr>
                <w:rStyle w:val="InstructionsTabelleberschrift"/>
                <w:rFonts w:ascii="Times New Roman" w:hAnsi="Times New Roman"/>
                <w:spacing w:val="-4"/>
                <w:sz w:val="24"/>
              </w:rPr>
              <w:tab/>
              <w:t>Z čoho: Dodatočné prísnejšie prudenciálne požiadavky na základe článku 124 CRR</w:t>
            </w:r>
          </w:p>
          <w:p w14:paraId="66AE5407" w14:textId="1990C8C6" w:rsidR="00235D9D" w:rsidRPr="006A4431" w:rsidRDefault="004852B9">
            <w:pPr>
              <w:pStyle w:val="InstructionsText"/>
              <w:rPr>
                <w:rStyle w:val="InstructionsTabelleberschrift"/>
                <w:rFonts w:ascii="Times New Roman" w:hAnsi="Times New Roman"/>
                <w:spacing w:val="-4"/>
                <w:sz w:val="24"/>
              </w:rPr>
            </w:pPr>
            <w:r w:rsidRPr="006A4431">
              <w:rPr>
                <w:spacing w:val="-4"/>
              </w:rPr>
              <w:t>Inštitúcie vykazujú dodatočné hodnoty rizikových expozícií potrebné na splnenie prísnejších prudenciálnych požiadaviek, ako im boli oznámené po konzultácii</w:t>
            </w:r>
            <w:r w:rsidR="00D85C65" w:rsidRPr="006A4431">
              <w:rPr>
                <w:spacing w:val="-4"/>
              </w:rPr>
              <w:t xml:space="preserve"> s </w:t>
            </w:r>
            <w:r w:rsidRPr="006A4431">
              <w:rPr>
                <w:spacing w:val="-4"/>
              </w:rPr>
              <w:t>EBA,</w:t>
            </w:r>
            <w:r w:rsidR="00D85C65" w:rsidRPr="006A4431">
              <w:rPr>
                <w:spacing w:val="-4"/>
              </w:rPr>
              <w:t xml:space="preserve"> v </w:t>
            </w:r>
            <w:r w:rsidRPr="006A4431">
              <w:rPr>
                <w:spacing w:val="-4"/>
              </w:rPr>
              <w:t>súlade</w:t>
            </w:r>
            <w:r w:rsidR="00D85C65" w:rsidRPr="006A4431">
              <w:rPr>
                <w:spacing w:val="-4"/>
              </w:rPr>
              <w:t xml:space="preserve"> s </w:t>
            </w:r>
            <w:r w:rsidRPr="006A4431">
              <w:rPr>
                <w:spacing w:val="-4"/>
              </w:rPr>
              <w:t>článkom 124 ods. 2</w:t>
            </w:r>
            <w:r w:rsidR="00D85C65" w:rsidRPr="006A4431">
              <w:rPr>
                <w:spacing w:val="-4"/>
              </w:rPr>
              <w:t xml:space="preserve"> a </w:t>
            </w:r>
            <w:r w:rsidRPr="006A4431">
              <w:rPr>
                <w:spacing w:val="-4"/>
              </w:rPr>
              <w:t>5 CRR.</w:t>
            </w:r>
          </w:p>
        </w:tc>
      </w:tr>
      <w:tr w:rsidR="00235D9D" w:rsidRPr="00D85C65" w14:paraId="550B562B" w14:textId="77777777" w:rsidTr="00672D2A">
        <w:tc>
          <w:tcPr>
            <w:tcW w:w="1591" w:type="dxa"/>
          </w:tcPr>
          <w:p w14:paraId="7E7ABFE8"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060</w:t>
            </w:r>
          </w:p>
        </w:tc>
        <w:tc>
          <w:tcPr>
            <w:tcW w:w="7274" w:type="dxa"/>
          </w:tcPr>
          <w:p w14:paraId="46212EFA" w14:textId="77777777" w:rsidR="00235D9D" w:rsidRPr="006A4431" w:rsidRDefault="00C44421">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w:t>
            </w:r>
            <w:r w:rsidRPr="006A4431">
              <w:rPr>
                <w:rStyle w:val="InstructionsTabelleberschrift"/>
                <w:rFonts w:ascii="Times New Roman" w:hAnsi="Times New Roman"/>
                <w:spacing w:val="-4"/>
                <w:sz w:val="24"/>
              </w:rPr>
              <w:tab/>
              <w:t>Triedy expozícií SA bez sekuritizačných pozícií</w:t>
            </w:r>
          </w:p>
          <w:p w14:paraId="021404DD" w14:textId="7DEB8B35"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Vzor CR SA na úrovní celkových expozícií. Triedy expozícií SA sú triedy</w:t>
            </w:r>
            <w:r w:rsidRPr="006A4431">
              <w:rPr>
                <w:spacing w:val="-4"/>
              </w:rPr>
              <w:t xml:space="preserve"> </w:t>
            </w:r>
            <w:r w:rsidRPr="006A4431">
              <w:rPr>
                <w:rStyle w:val="InstructionsTabelleberschrift"/>
                <w:rFonts w:ascii="Times New Roman" w:hAnsi="Times New Roman"/>
                <w:b w:val="0"/>
                <w:spacing w:val="-4"/>
                <w:sz w:val="24"/>
                <w:u w:val="none"/>
              </w:rPr>
              <w:t>uvedené</w:t>
            </w:r>
            <w:r w:rsidR="00D85C65" w:rsidRPr="006A4431">
              <w:rPr>
                <w:spacing w:val="-4"/>
              </w:rPr>
              <w:t xml:space="preserve"> v </w:t>
            </w:r>
            <w:r w:rsidRPr="006A4431">
              <w:rPr>
                <w:rStyle w:val="FormatvorlageInstructionsTabelleText"/>
                <w:rFonts w:ascii="Times New Roman" w:hAnsi="Times New Roman"/>
                <w:spacing w:val="-4"/>
                <w:sz w:val="24"/>
              </w:rPr>
              <w:t>článku 112 CRR bez sekuritizačných pozícií.</w:t>
            </w:r>
          </w:p>
        </w:tc>
      </w:tr>
      <w:tr w:rsidR="00235D9D" w:rsidRPr="00D85C65" w14:paraId="6382F224" w14:textId="77777777" w:rsidTr="00672D2A">
        <w:tc>
          <w:tcPr>
            <w:tcW w:w="1591" w:type="dxa"/>
          </w:tcPr>
          <w:p w14:paraId="2EF59F31"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070</w:t>
            </w:r>
          </w:p>
        </w:tc>
        <w:tc>
          <w:tcPr>
            <w:tcW w:w="7274" w:type="dxa"/>
          </w:tcPr>
          <w:p w14:paraId="1FE8F70A" w14:textId="77777777"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1.1.1.1.01.</w:t>
            </w:r>
            <w:r w:rsidRPr="006A4431">
              <w:rPr>
                <w:rStyle w:val="InstructionsTabelleberschrift"/>
                <w:rFonts w:ascii="Times New Roman" w:hAnsi="Times New Roman"/>
                <w:spacing w:val="-4"/>
                <w:sz w:val="24"/>
              </w:rPr>
              <w:tab/>
              <w:t>Ústredné vlády alebo centrálne banky</w:t>
            </w:r>
          </w:p>
          <w:p w14:paraId="475A051D" w14:textId="77777777" w:rsidR="00235D9D" w:rsidRPr="006A4431" w:rsidRDefault="00D212FE">
            <w:pPr>
              <w:pStyle w:val="InstructionsText"/>
              <w:rPr>
                <w:rStyle w:val="FormatvorlageInstructionsTabelleText"/>
                <w:rFonts w:ascii="Times New Roman" w:hAnsi="Times New Roman"/>
                <w:bCs w:val="0"/>
                <w:spacing w:val="-4"/>
                <w:sz w:val="24"/>
              </w:rPr>
            </w:pPr>
            <w:r w:rsidRPr="006A4431">
              <w:rPr>
                <w:rStyle w:val="FormatvorlageInstructionsTabelleText"/>
                <w:rFonts w:ascii="Times New Roman" w:hAnsi="Times New Roman"/>
                <w:spacing w:val="-4"/>
                <w:sz w:val="24"/>
              </w:rPr>
              <w:t>Pozri vzor CR SA</w:t>
            </w:r>
          </w:p>
        </w:tc>
      </w:tr>
      <w:tr w:rsidR="00235D9D" w:rsidRPr="00D85C65" w14:paraId="3C243135" w14:textId="77777777" w:rsidTr="00672D2A">
        <w:tc>
          <w:tcPr>
            <w:tcW w:w="1591" w:type="dxa"/>
          </w:tcPr>
          <w:p w14:paraId="3190294B"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080</w:t>
            </w:r>
          </w:p>
        </w:tc>
        <w:tc>
          <w:tcPr>
            <w:tcW w:w="7274" w:type="dxa"/>
          </w:tcPr>
          <w:p w14:paraId="028CF066" w14:textId="77777777"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1.1.1.1.02.</w:t>
            </w:r>
            <w:r w:rsidRPr="006A4431">
              <w:rPr>
                <w:rStyle w:val="InstructionsTabelleberschrift"/>
                <w:rFonts w:ascii="Times New Roman" w:hAnsi="Times New Roman"/>
                <w:spacing w:val="-4"/>
                <w:sz w:val="24"/>
              </w:rPr>
              <w:tab/>
              <w:t>Regionálne vlády alebo miestne orgány</w:t>
            </w:r>
          </w:p>
          <w:p w14:paraId="73EF3DD6"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6BB69C8C" w14:textId="77777777" w:rsidTr="00672D2A">
        <w:tc>
          <w:tcPr>
            <w:tcW w:w="1591" w:type="dxa"/>
          </w:tcPr>
          <w:p w14:paraId="53808F66"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090</w:t>
            </w:r>
          </w:p>
        </w:tc>
        <w:tc>
          <w:tcPr>
            <w:tcW w:w="7274" w:type="dxa"/>
          </w:tcPr>
          <w:p w14:paraId="060A3165" w14:textId="77777777" w:rsidR="00235D9D" w:rsidRPr="006A4431" w:rsidRDefault="002648B0">
            <w:pPr>
              <w:pStyle w:val="InstructionsText"/>
              <w:rPr>
                <w:rStyle w:val="FormatvorlageInstructionsTabelleText"/>
                <w:rFonts w:ascii="Times New Roman" w:hAnsi="Times New Roman"/>
                <w:b/>
                <w:bCs w:val="0"/>
                <w:spacing w:val="-4"/>
                <w:sz w:val="24"/>
                <w:u w:val="single"/>
              </w:rPr>
            </w:pPr>
            <w:r w:rsidRPr="006A4431">
              <w:rPr>
                <w:rStyle w:val="InstructionsTabelleberschrift"/>
                <w:rFonts w:ascii="Times New Roman" w:hAnsi="Times New Roman"/>
                <w:spacing w:val="-4"/>
                <w:sz w:val="24"/>
              </w:rPr>
              <w:t>1.1.1.1.03.</w:t>
            </w:r>
            <w:r w:rsidRPr="006A4431">
              <w:rPr>
                <w:rStyle w:val="InstructionsTabelleberschrift"/>
                <w:rFonts w:ascii="Times New Roman" w:hAnsi="Times New Roman"/>
                <w:spacing w:val="-4"/>
                <w:sz w:val="24"/>
              </w:rPr>
              <w:tab/>
              <w:t>Subjekty verejného sektora</w:t>
            </w:r>
          </w:p>
          <w:p w14:paraId="5015B466"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31981E30" w14:textId="77777777" w:rsidTr="00672D2A">
        <w:tc>
          <w:tcPr>
            <w:tcW w:w="1591" w:type="dxa"/>
          </w:tcPr>
          <w:p w14:paraId="57A08B7D"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100</w:t>
            </w:r>
          </w:p>
        </w:tc>
        <w:tc>
          <w:tcPr>
            <w:tcW w:w="7274" w:type="dxa"/>
          </w:tcPr>
          <w:p w14:paraId="45141227" w14:textId="77777777"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1.1.1.1.04.</w:t>
            </w:r>
            <w:r w:rsidRPr="006A4431">
              <w:rPr>
                <w:rStyle w:val="InstructionsTabelleberschrift"/>
                <w:rFonts w:ascii="Times New Roman" w:hAnsi="Times New Roman"/>
                <w:spacing w:val="-4"/>
                <w:sz w:val="24"/>
              </w:rPr>
              <w:tab/>
              <w:t>Multilaterálne rozvojové banky</w:t>
            </w:r>
          </w:p>
          <w:p w14:paraId="2E09308B"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 xml:space="preserve">Pozri vzor CR SA </w:t>
            </w:r>
          </w:p>
        </w:tc>
      </w:tr>
      <w:tr w:rsidR="00235D9D" w:rsidRPr="00D85C65" w14:paraId="4A37FE2C" w14:textId="77777777" w:rsidTr="00672D2A">
        <w:tc>
          <w:tcPr>
            <w:tcW w:w="1591" w:type="dxa"/>
          </w:tcPr>
          <w:p w14:paraId="33CADB2C"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110</w:t>
            </w:r>
          </w:p>
        </w:tc>
        <w:tc>
          <w:tcPr>
            <w:tcW w:w="7274" w:type="dxa"/>
          </w:tcPr>
          <w:p w14:paraId="0847089F" w14:textId="77777777"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1.1.1.1.05.</w:t>
            </w:r>
            <w:r w:rsidRPr="006A4431">
              <w:rPr>
                <w:rStyle w:val="InstructionsTabelleberschrift"/>
                <w:rFonts w:ascii="Times New Roman" w:hAnsi="Times New Roman"/>
                <w:spacing w:val="-4"/>
                <w:sz w:val="24"/>
              </w:rPr>
              <w:tab/>
              <w:t>Medzinárodné organizácie</w:t>
            </w:r>
          </w:p>
          <w:p w14:paraId="282262E0" w14:textId="77777777" w:rsidR="00235D9D" w:rsidRPr="006A4431" w:rsidRDefault="00783881">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3D7A9D11" w14:textId="77777777" w:rsidTr="00672D2A">
        <w:tc>
          <w:tcPr>
            <w:tcW w:w="1591" w:type="dxa"/>
          </w:tcPr>
          <w:p w14:paraId="611EACCF"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120</w:t>
            </w:r>
          </w:p>
        </w:tc>
        <w:tc>
          <w:tcPr>
            <w:tcW w:w="7274" w:type="dxa"/>
          </w:tcPr>
          <w:p w14:paraId="70D85E55" w14:textId="77777777" w:rsidR="00235D9D" w:rsidRPr="006A4431" w:rsidRDefault="00783881">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1.1.1.1.06.</w:t>
            </w:r>
            <w:r w:rsidRPr="006A4431">
              <w:rPr>
                <w:rStyle w:val="InstructionsTabelleberschrift"/>
                <w:rFonts w:ascii="Times New Roman" w:hAnsi="Times New Roman"/>
                <w:spacing w:val="-4"/>
                <w:sz w:val="24"/>
              </w:rPr>
              <w:tab/>
              <w:t>Inštitúcie</w:t>
            </w:r>
          </w:p>
          <w:p w14:paraId="37A7DA9D" w14:textId="77777777" w:rsidR="00235D9D" w:rsidRPr="006A4431" w:rsidRDefault="00783881">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73F0C1C1" w14:textId="77777777" w:rsidTr="00672D2A">
        <w:tc>
          <w:tcPr>
            <w:tcW w:w="1591" w:type="dxa"/>
          </w:tcPr>
          <w:p w14:paraId="23E85B76"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130</w:t>
            </w:r>
          </w:p>
        </w:tc>
        <w:tc>
          <w:tcPr>
            <w:tcW w:w="7274" w:type="dxa"/>
          </w:tcPr>
          <w:p w14:paraId="24097FE2" w14:textId="77777777" w:rsidR="00235D9D" w:rsidRPr="006A4431" w:rsidRDefault="002648B0">
            <w:pPr>
              <w:pStyle w:val="InstructionsText"/>
              <w:rPr>
                <w:rStyle w:val="FormatvorlageInstructionsTabelleText"/>
                <w:rFonts w:ascii="Times New Roman" w:hAnsi="Times New Roman"/>
                <w:b/>
                <w:spacing w:val="-4"/>
                <w:sz w:val="24"/>
                <w:u w:val="single"/>
              </w:rPr>
            </w:pPr>
            <w:r w:rsidRPr="006A4431">
              <w:rPr>
                <w:rStyle w:val="InstructionsTabelleberschrift"/>
                <w:rFonts w:ascii="Times New Roman" w:hAnsi="Times New Roman"/>
                <w:spacing w:val="-4"/>
                <w:sz w:val="24"/>
              </w:rPr>
              <w:t>1.1.1.1.07.</w:t>
            </w:r>
            <w:r w:rsidRPr="006A4431">
              <w:rPr>
                <w:rStyle w:val="InstructionsTabelleberschrift"/>
                <w:rFonts w:ascii="Times New Roman" w:hAnsi="Times New Roman"/>
                <w:spacing w:val="-4"/>
                <w:sz w:val="24"/>
              </w:rPr>
              <w:tab/>
              <w:t>Podnikateľské subjekty</w:t>
            </w:r>
          </w:p>
          <w:p w14:paraId="1B7BB58E"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01D7EB89" w14:textId="77777777" w:rsidTr="00672D2A">
        <w:tc>
          <w:tcPr>
            <w:tcW w:w="1591" w:type="dxa"/>
          </w:tcPr>
          <w:p w14:paraId="7645F9A7"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140</w:t>
            </w:r>
          </w:p>
        </w:tc>
        <w:tc>
          <w:tcPr>
            <w:tcW w:w="7274" w:type="dxa"/>
          </w:tcPr>
          <w:p w14:paraId="75877546" w14:textId="77777777" w:rsidR="00235D9D" w:rsidRPr="006A4431" w:rsidRDefault="002648B0">
            <w:pPr>
              <w:pStyle w:val="InstructionsText"/>
              <w:rPr>
                <w:rStyle w:val="FormatvorlageInstructionsTabelleText"/>
                <w:rFonts w:ascii="Times New Roman" w:hAnsi="Times New Roman"/>
                <w:b/>
                <w:bCs w:val="0"/>
                <w:spacing w:val="-4"/>
                <w:sz w:val="24"/>
                <w:u w:val="single"/>
              </w:rPr>
            </w:pPr>
            <w:r w:rsidRPr="006A4431">
              <w:rPr>
                <w:rStyle w:val="InstructionsTabelleberschrift"/>
                <w:rFonts w:ascii="Times New Roman" w:hAnsi="Times New Roman"/>
                <w:spacing w:val="-4"/>
                <w:sz w:val="24"/>
              </w:rPr>
              <w:t>1.1.1.1.08.</w:t>
            </w:r>
            <w:r w:rsidRPr="006A4431">
              <w:rPr>
                <w:rStyle w:val="InstructionsTabelleberschrift"/>
                <w:rFonts w:ascii="Times New Roman" w:hAnsi="Times New Roman"/>
                <w:spacing w:val="-4"/>
                <w:sz w:val="24"/>
              </w:rPr>
              <w:tab/>
              <w:t>Retailové subjekty</w:t>
            </w:r>
          </w:p>
          <w:p w14:paraId="68AAF723"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4CE5D601" w14:textId="77777777" w:rsidTr="00672D2A">
        <w:tc>
          <w:tcPr>
            <w:tcW w:w="1591" w:type="dxa"/>
          </w:tcPr>
          <w:p w14:paraId="537396DF"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150</w:t>
            </w:r>
          </w:p>
        </w:tc>
        <w:tc>
          <w:tcPr>
            <w:tcW w:w="7274" w:type="dxa"/>
          </w:tcPr>
          <w:p w14:paraId="146FDA62" w14:textId="77777777" w:rsidR="00235D9D" w:rsidRPr="006A4431" w:rsidRDefault="002648B0">
            <w:pPr>
              <w:pStyle w:val="InstructionsText"/>
              <w:rPr>
                <w:rStyle w:val="InstructionsTabelleberschrift"/>
                <w:rFonts w:ascii="Times New Roman" w:hAnsi="Times New Roman"/>
                <w:bCs w:val="0"/>
                <w:spacing w:val="-4"/>
                <w:sz w:val="24"/>
              </w:rPr>
            </w:pPr>
            <w:r w:rsidRPr="006A4431">
              <w:rPr>
                <w:rStyle w:val="InstructionsTabelleberschrift"/>
                <w:rFonts w:ascii="Times New Roman" w:hAnsi="Times New Roman"/>
                <w:spacing w:val="-4"/>
                <w:sz w:val="24"/>
              </w:rPr>
              <w:t>1.1.1.1.09.</w:t>
            </w:r>
            <w:r w:rsidRPr="006A4431">
              <w:rPr>
                <w:rStyle w:val="InstructionsTabelleberschrift"/>
                <w:rFonts w:ascii="Times New Roman" w:hAnsi="Times New Roman"/>
                <w:spacing w:val="-4"/>
                <w:sz w:val="24"/>
              </w:rPr>
              <w:tab/>
              <w:t>Zabezpečené hypotékami na nehnuteľný majetok</w:t>
            </w:r>
          </w:p>
          <w:p w14:paraId="2219A544"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36661C50" w14:textId="77777777" w:rsidTr="00672D2A">
        <w:tc>
          <w:tcPr>
            <w:tcW w:w="1591" w:type="dxa"/>
          </w:tcPr>
          <w:p w14:paraId="284FB5F6"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160</w:t>
            </w:r>
          </w:p>
        </w:tc>
        <w:tc>
          <w:tcPr>
            <w:tcW w:w="7274" w:type="dxa"/>
          </w:tcPr>
          <w:p w14:paraId="150470CB" w14:textId="056E117F" w:rsidR="00235D9D" w:rsidRPr="006A4431" w:rsidRDefault="002648B0">
            <w:pPr>
              <w:pStyle w:val="InstructionsText"/>
              <w:rPr>
                <w:rStyle w:val="InstructionsTabelleberschrift"/>
                <w:rFonts w:ascii="Times New Roman" w:hAnsi="Times New Roman"/>
                <w:bCs w:val="0"/>
                <w:spacing w:val="-4"/>
                <w:sz w:val="24"/>
              </w:rPr>
            </w:pPr>
            <w:r w:rsidRPr="006A4431">
              <w:rPr>
                <w:rStyle w:val="InstructionsTabelleberschrift"/>
                <w:rFonts w:ascii="Times New Roman" w:hAnsi="Times New Roman"/>
                <w:spacing w:val="-4"/>
                <w:sz w:val="24"/>
              </w:rPr>
              <w:t>1.1.1.1.10.</w:t>
            </w:r>
            <w:r w:rsidRPr="006A4431">
              <w:rPr>
                <w:rStyle w:val="InstructionsTabelleberschrift"/>
                <w:rFonts w:ascii="Times New Roman" w:hAnsi="Times New Roman"/>
                <w:spacing w:val="-4"/>
                <w:sz w:val="24"/>
              </w:rPr>
              <w:tab/>
              <w:t>Expozície</w:t>
            </w:r>
            <w:r w:rsidR="00D85C65" w:rsidRPr="006A4431">
              <w:rPr>
                <w:rStyle w:val="InstructionsTabelleberschrift"/>
                <w:rFonts w:ascii="Times New Roman" w:hAnsi="Times New Roman"/>
                <w:spacing w:val="-4"/>
                <w:sz w:val="24"/>
              </w:rPr>
              <w:t xml:space="preserve"> v </w:t>
            </w:r>
            <w:r w:rsidRPr="006A4431">
              <w:rPr>
                <w:rStyle w:val="InstructionsTabelleberschrift"/>
                <w:rFonts w:ascii="Times New Roman" w:hAnsi="Times New Roman"/>
                <w:spacing w:val="-4"/>
                <w:sz w:val="24"/>
              </w:rPr>
              <w:t>stave zlyhania</w:t>
            </w:r>
          </w:p>
          <w:p w14:paraId="6667C7BA"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71708621" w14:textId="77777777" w:rsidTr="00672D2A">
        <w:tc>
          <w:tcPr>
            <w:tcW w:w="1591" w:type="dxa"/>
          </w:tcPr>
          <w:p w14:paraId="0658F891"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170</w:t>
            </w:r>
          </w:p>
        </w:tc>
        <w:tc>
          <w:tcPr>
            <w:tcW w:w="7274" w:type="dxa"/>
          </w:tcPr>
          <w:p w14:paraId="1E447B70" w14:textId="1C955FF2" w:rsidR="00235D9D" w:rsidRPr="006A4431" w:rsidRDefault="002648B0">
            <w:pPr>
              <w:pStyle w:val="InstructionsText"/>
              <w:rPr>
                <w:rStyle w:val="InstructionsTabelleberschrift"/>
                <w:rFonts w:ascii="Times New Roman" w:hAnsi="Times New Roman"/>
                <w:spacing w:val="-4"/>
                <w:sz w:val="24"/>
              </w:rPr>
            </w:pPr>
            <w:r w:rsidRPr="006A4431">
              <w:rPr>
                <w:rStyle w:val="InstructionsTabelleberschrift"/>
                <w:rFonts w:ascii="Times New Roman" w:hAnsi="Times New Roman"/>
                <w:spacing w:val="-4"/>
                <w:sz w:val="24"/>
              </w:rPr>
              <w:t>1.1.1.1.11.</w:t>
            </w:r>
            <w:r w:rsidRPr="006A4431">
              <w:rPr>
                <w:rStyle w:val="InstructionsTabelleberschrift"/>
                <w:rFonts w:ascii="Times New Roman" w:hAnsi="Times New Roman"/>
                <w:spacing w:val="-4"/>
                <w:sz w:val="24"/>
              </w:rPr>
              <w:tab/>
              <w:t>Položky,</w:t>
            </w:r>
            <w:r w:rsidR="00D85C65" w:rsidRPr="006A4431">
              <w:rPr>
                <w:rStyle w:val="InstructionsTabelleberschrift"/>
                <w:rFonts w:ascii="Times New Roman" w:hAnsi="Times New Roman"/>
                <w:spacing w:val="-4"/>
                <w:sz w:val="24"/>
              </w:rPr>
              <w:t xml:space="preserve"> s </w:t>
            </w:r>
            <w:r w:rsidRPr="006A4431">
              <w:rPr>
                <w:rStyle w:val="InstructionsTabelleberschrift"/>
                <w:rFonts w:ascii="Times New Roman" w:hAnsi="Times New Roman"/>
                <w:spacing w:val="-4"/>
                <w:sz w:val="24"/>
              </w:rPr>
              <w:t>ktorými súvisí osobitne vysoké riziko</w:t>
            </w:r>
          </w:p>
          <w:p w14:paraId="44404A55"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4175E5DC" w14:textId="77777777" w:rsidTr="00672D2A">
        <w:tc>
          <w:tcPr>
            <w:tcW w:w="1591" w:type="dxa"/>
          </w:tcPr>
          <w:p w14:paraId="04D6855F"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180</w:t>
            </w:r>
          </w:p>
        </w:tc>
        <w:tc>
          <w:tcPr>
            <w:tcW w:w="7274" w:type="dxa"/>
          </w:tcPr>
          <w:p w14:paraId="34C737D9" w14:textId="77777777" w:rsidR="00235D9D" w:rsidRPr="006A4431" w:rsidRDefault="002648B0">
            <w:pPr>
              <w:pStyle w:val="InstructionsText"/>
              <w:rPr>
                <w:rStyle w:val="InstructionsTabelleberschrift"/>
                <w:rFonts w:ascii="Times New Roman" w:hAnsi="Times New Roman"/>
                <w:bCs w:val="0"/>
                <w:spacing w:val="-4"/>
                <w:sz w:val="24"/>
              </w:rPr>
            </w:pPr>
            <w:r w:rsidRPr="006A4431">
              <w:rPr>
                <w:rStyle w:val="InstructionsTabelleberschrift"/>
                <w:rFonts w:ascii="Times New Roman" w:hAnsi="Times New Roman"/>
                <w:spacing w:val="-4"/>
                <w:sz w:val="24"/>
              </w:rPr>
              <w:t>1.1.1.1.12.</w:t>
            </w:r>
            <w:r w:rsidRPr="006A4431">
              <w:rPr>
                <w:rStyle w:val="InstructionsTabelleberschrift"/>
                <w:rFonts w:ascii="Times New Roman" w:hAnsi="Times New Roman"/>
                <w:spacing w:val="-4"/>
                <w:sz w:val="24"/>
              </w:rPr>
              <w:tab/>
              <w:t>Kryté dlhopisy</w:t>
            </w:r>
          </w:p>
          <w:p w14:paraId="59B64B5C"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D85C65" w14:paraId="6FA35E1B" w14:textId="77777777" w:rsidTr="00672D2A">
        <w:tc>
          <w:tcPr>
            <w:tcW w:w="1591" w:type="dxa"/>
          </w:tcPr>
          <w:p w14:paraId="62FFEFCD" w14:textId="77777777" w:rsidR="00235D9D" w:rsidRPr="006A4431" w:rsidRDefault="002648B0">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190</w:t>
            </w:r>
          </w:p>
        </w:tc>
        <w:tc>
          <w:tcPr>
            <w:tcW w:w="7274" w:type="dxa"/>
          </w:tcPr>
          <w:p w14:paraId="0F9F853C" w14:textId="75EF5B6A" w:rsidR="00235D9D" w:rsidRPr="006A4431" w:rsidRDefault="002648B0">
            <w:pPr>
              <w:pStyle w:val="InstructionsText"/>
              <w:rPr>
                <w:rStyle w:val="InstructionsTabelleberschrift"/>
                <w:rFonts w:ascii="Times New Roman" w:hAnsi="Times New Roman"/>
                <w:bCs w:val="0"/>
                <w:spacing w:val="-4"/>
                <w:sz w:val="24"/>
              </w:rPr>
            </w:pPr>
            <w:r w:rsidRPr="006A4431">
              <w:rPr>
                <w:rStyle w:val="InstructionsTabelleberschrift"/>
                <w:rFonts w:ascii="Times New Roman" w:hAnsi="Times New Roman"/>
                <w:spacing w:val="-4"/>
                <w:sz w:val="24"/>
              </w:rPr>
              <w:t>1.1.1.1.13.</w:t>
            </w:r>
            <w:r w:rsidRPr="006A4431">
              <w:rPr>
                <w:rStyle w:val="InstructionsTabelleberschrift"/>
                <w:rFonts w:ascii="Times New Roman" w:hAnsi="Times New Roman"/>
                <w:spacing w:val="-4"/>
                <w:sz w:val="24"/>
              </w:rPr>
              <w:tab/>
              <w:t>Pohľadávky voči inštitúciám</w:t>
            </w:r>
            <w:r w:rsidR="00D85C65" w:rsidRPr="006A4431">
              <w:rPr>
                <w:rStyle w:val="InstructionsTabelleberschrift"/>
                <w:rFonts w:ascii="Times New Roman" w:hAnsi="Times New Roman"/>
                <w:spacing w:val="-4"/>
                <w:sz w:val="24"/>
              </w:rPr>
              <w:t xml:space="preserve"> a </w:t>
            </w:r>
            <w:r w:rsidRPr="006A4431">
              <w:rPr>
                <w:rStyle w:val="InstructionsTabelleberschrift"/>
                <w:rFonts w:ascii="Times New Roman" w:hAnsi="Times New Roman"/>
                <w:spacing w:val="-4"/>
                <w:sz w:val="24"/>
              </w:rPr>
              <w:t>podnikateľským subjektom</w:t>
            </w:r>
            <w:r w:rsidR="00D85C65" w:rsidRPr="006A4431">
              <w:rPr>
                <w:rStyle w:val="InstructionsTabelleberschrift"/>
                <w:rFonts w:ascii="Times New Roman" w:hAnsi="Times New Roman"/>
                <w:spacing w:val="-4"/>
                <w:sz w:val="24"/>
              </w:rPr>
              <w:t xml:space="preserve"> s </w:t>
            </w:r>
            <w:r w:rsidRPr="006A4431">
              <w:rPr>
                <w:rStyle w:val="InstructionsTabelleberschrift"/>
                <w:rFonts w:ascii="Times New Roman" w:hAnsi="Times New Roman"/>
                <w:spacing w:val="-4"/>
                <w:sz w:val="24"/>
              </w:rPr>
              <w:t>krátkodobým ratingovým hodnotením</w:t>
            </w:r>
          </w:p>
          <w:p w14:paraId="75C708A3" w14:textId="77777777" w:rsidR="00235D9D" w:rsidRPr="006A4431" w:rsidRDefault="00D212FE">
            <w:pPr>
              <w:pStyle w:val="InstructionsText"/>
              <w:rPr>
                <w:rStyle w:val="FormatvorlageInstructionsTabelleText"/>
                <w:rFonts w:ascii="Times New Roman" w:hAnsi="Times New Roman"/>
                <w:spacing w:val="-4"/>
                <w:sz w:val="24"/>
              </w:rPr>
            </w:pPr>
            <w:r w:rsidRPr="006A4431">
              <w:rPr>
                <w:rStyle w:val="FormatvorlageInstructionsTabelleText"/>
                <w:rFonts w:ascii="Times New Roman" w:hAnsi="Times New Roman"/>
                <w:spacing w:val="-4"/>
                <w:sz w:val="24"/>
              </w:rPr>
              <w:t>Pozri vzor CR SA</w:t>
            </w:r>
          </w:p>
        </w:tc>
      </w:tr>
      <w:tr w:rsidR="00235D9D" w:rsidRPr="006A4431" w14:paraId="3C4A15DC" w14:textId="77777777" w:rsidTr="00672D2A">
        <w:tc>
          <w:tcPr>
            <w:tcW w:w="1591" w:type="dxa"/>
          </w:tcPr>
          <w:p w14:paraId="695E2C9D" w14:textId="77777777" w:rsidR="00235D9D" w:rsidRPr="006A4431" w:rsidRDefault="002648B0">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200</w:t>
            </w:r>
          </w:p>
          <w:p w14:paraId="5CE27826" w14:textId="77777777" w:rsidR="00235D9D" w:rsidRPr="006A4431" w:rsidRDefault="00235D9D">
            <w:pPr>
              <w:pStyle w:val="InstructionsText"/>
              <w:rPr>
                <w:rStyle w:val="FormatvorlageInstructionsTabelleText"/>
                <w:rFonts w:ascii="Times New Roman" w:hAnsi="Times New Roman"/>
                <w:bCs w:val="0"/>
                <w:spacing w:val="-2"/>
                <w:sz w:val="24"/>
              </w:rPr>
            </w:pPr>
          </w:p>
        </w:tc>
        <w:tc>
          <w:tcPr>
            <w:tcW w:w="7274" w:type="dxa"/>
          </w:tcPr>
          <w:p w14:paraId="77281FF8" w14:textId="77777777" w:rsidR="00235D9D" w:rsidRPr="006A4431" w:rsidRDefault="002648B0">
            <w:pPr>
              <w:pStyle w:val="InstructionsText"/>
              <w:rPr>
                <w:rStyle w:val="FormatvorlageInstructionsTabelleText"/>
                <w:rFonts w:ascii="Times New Roman" w:hAnsi="Times New Roman"/>
                <w:bCs w:val="0"/>
                <w:spacing w:val="-2"/>
                <w:sz w:val="24"/>
              </w:rPr>
            </w:pPr>
            <w:r w:rsidRPr="006A4431">
              <w:rPr>
                <w:rStyle w:val="InstructionsTabelleberschrift"/>
                <w:rFonts w:ascii="Times New Roman" w:hAnsi="Times New Roman"/>
                <w:spacing w:val="-2"/>
                <w:sz w:val="24"/>
              </w:rPr>
              <w:lastRenderedPageBreak/>
              <w:t>1.1.1.1.14.</w:t>
            </w:r>
            <w:r w:rsidRPr="006A4431">
              <w:rPr>
                <w:rStyle w:val="InstructionsTabelleberschrift"/>
                <w:rFonts w:ascii="Times New Roman" w:hAnsi="Times New Roman"/>
                <w:spacing w:val="-2"/>
                <w:sz w:val="24"/>
              </w:rPr>
              <w:tab/>
              <w:t>Podniky kolektívneho investovania (PKI)</w:t>
            </w:r>
          </w:p>
          <w:p w14:paraId="595F68F3" w14:textId="77777777" w:rsidR="00235D9D" w:rsidRPr="006A4431" w:rsidRDefault="00D212FE">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Pozri vzor CR SA</w:t>
            </w:r>
          </w:p>
        </w:tc>
      </w:tr>
      <w:tr w:rsidR="00235D9D" w:rsidRPr="006A4431" w14:paraId="6415AEB2" w14:textId="77777777" w:rsidTr="00672D2A">
        <w:tc>
          <w:tcPr>
            <w:tcW w:w="1591" w:type="dxa"/>
          </w:tcPr>
          <w:p w14:paraId="01355BC3" w14:textId="77777777" w:rsidR="00235D9D" w:rsidRPr="006A4431" w:rsidRDefault="002648B0">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210</w:t>
            </w:r>
          </w:p>
        </w:tc>
        <w:tc>
          <w:tcPr>
            <w:tcW w:w="7274" w:type="dxa"/>
          </w:tcPr>
          <w:p w14:paraId="770DFC36" w14:textId="77777777" w:rsidR="00235D9D" w:rsidRPr="006A4431" w:rsidRDefault="002648B0">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1.1.1.1.15.</w:t>
            </w:r>
            <w:r w:rsidRPr="006A4431">
              <w:rPr>
                <w:rStyle w:val="InstructionsTabelleberschrift"/>
                <w:rFonts w:ascii="Times New Roman" w:hAnsi="Times New Roman"/>
                <w:spacing w:val="-2"/>
                <w:sz w:val="24"/>
              </w:rPr>
              <w:tab/>
              <w:t>Vlastné imanie</w:t>
            </w:r>
          </w:p>
          <w:p w14:paraId="6E91A28B" w14:textId="77777777" w:rsidR="00235D9D" w:rsidRPr="006A4431" w:rsidRDefault="00D212FE">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SA</w:t>
            </w:r>
          </w:p>
        </w:tc>
      </w:tr>
      <w:tr w:rsidR="00235D9D" w:rsidRPr="006A4431" w14:paraId="0A7E440A" w14:textId="77777777" w:rsidTr="00672D2A">
        <w:tc>
          <w:tcPr>
            <w:tcW w:w="1591" w:type="dxa"/>
          </w:tcPr>
          <w:p w14:paraId="2EDBDAC7" w14:textId="77777777" w:rsidR="00235D9D" w:rsidRPr="006A4431" w:rsidRDefault="002648B0">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211</w:t>
            </w:r>
          </w:p>
        </w:tc>
        <w:tc>
          <w:tcPr>
            <w:tcW w:w="7274" w:type="dxa"/>
          </w:tcPr>
          <w:p w14:paraId="4364BE4A" w14:textId="77777777" w:rsidR="00235D9D" w:rsidRPr="006A4431" w:rsidRDefault="002648B0">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1.1.1.1.16.</w:t>
            </w:r>
            <w:r w:rsidRPr="006A4431">
              <w:rPr>
                <w:rStyle w:val="InstructionsTabelleberschrift"/>
                <w:rFonts w:ascii="Times New Roman" w:hAnsi="Times New Roman"/>
                <w:spacing w:val="-2"/>
                <w:sz w:val="24"/>
              </w:rPr>
              <w:tab/>
              <w:t>Ostatné položky</w:t>
            </w:r>
          </w:p>
          <w:p w14:paraId="0AE4E6FE" w14:textId="77777777" w:rsidR="00235D9D" w:rsidRPr="006A4431" w:rsidRDefault="00D212FE">
            <w:pPr>
              <w:pStyle w:val="InstructionsText"/>
              <w:rPr>
                <w:rStyle w:val="InstructionsTabelleberschrift"/>
                <w:rFonts w:ascii="Times New Roman" w:hAnsi="Times New Roman"/>
                <w:bCs w:val="0"/>
                <w:spacing w:val="-2"/>
                <w:sz w:val="24"/>
              </w:rPr>
            </w:pPr>
            <w:r w:rsidRPr="006A4431">
              <w:rPr>
                <w:rStyle w:val="FormatvorlageInstructionsTabelleText"/>
                <w:rFonts w:ascii="Times New Roman" w:hAnsi="Times New Roman"/>
                <w:spacing w:val="-2"/>
                <w:sz w:val="24"/>
              </w:rPr>
              <w:t>Pozri vzor CR SA</w:t>
            </w:r>
          </w:p>
        </w:tc>
      </w:tr>
      <w:tr w:rsidR="00235D9D" w:rsidRPr="006A4431" w14:paraId="40357F3F" w14:textId="77777777" w:rsidTr="00672D2A">
        <w:tc>
          <w:tcPr>
            <w:tcW w:w="1591" w:type="dxa"/>
          </w:tcPr>
          <w:p w14:paraId="2904FC17" w14:textId="77777777" w:rsidR="00235D9D" w:rsidRPr="006A4431" w:rsidRDefault="002648B0">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240</w:t>
            </w:r>
          </w:p>
        </w:tc>
        <w:tc>
          <w:tcPr>
            <w:tcW w:w="7274" w:type="dxa"/>
          </w:tcPr>
          <w:p w14:paraId="3F47CAA2" w14:textId="77777777" w:rsidR="00235D9D" w:rsidRPr="006A4431" w:rsidRDefault="002648B0">
            <w:pPr>
              <w:pStyle w:val="InstructionsText"/>
              <w:rPr>
                <w:rStyle w:val="FormatvorlageInstructionsTabelleText"/>
                <w:rFonts w:ascii="Times New Roman" w:hAnsi="Times New Roman"/>
                <w:spacing w:val="-2"/>
                <w:sz w:val="24"/>
              </w:rPr>
            </w:pPr>
            <w:r w:rsidRPr="006A4431">
              <w:rPr>
                <w:rStyle w:val="InstructionsTabelleberschrift"/>
                <w:rFonts w:ascii="Times New Roman" w:hAnsi="Times New Roman"/>
                <w:spacing w:val="-2"/>
                <w:sz w:val="24"/>
              </w:rPr>
              <w:t>1.1.2.</w:t>
            </w:r>
            <w:r w:rsidRPr="006A4431">
              <w:rPr>
                <w:rStyle w:val="InstructionsTabelleberschrift"/>
                <w:rFonts w:ascii="Times New Roman" w:hAnsi="Times New Roman"/>
                <w:spacing w:val="-2"/>
                <w:sz w:val="24"/>
              </w:rPr>
              <w:tab/>
              <w:t xml:space="preserve">Prístup interných ratingov (IRB) </w:t>
            </w:r>
          </w:p>
        </w:tc>
      </w:tr>
      <w:tr w:rsidR="00235D9D" w:rsidRPr="006A4431" w14:paraId="2952853B" w14:textId="77777777" w:rsidTr="00672D2A">
        <w:tc>
          <w:tcPr>
            <w:tcW w:w="1591" w:type="dxa"/>
          </w:tcPr>
          <w:p w14:paraId="5F5F57EC"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241</w:t>
            </w:r>
          </w:p>
        </w:tc>
        <w:tc>
          <w:tcPr>
            <w:tcW w:w="7274" w:type="dxa"/>
          </w:tcPr>
          <w:p w14:paraId="67BCCFE0" w14:textId="5F5A5643"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w:t>
            </w:r>
            <w:r w:rsidRPr="006A4431">
              <w:rPr>
                <w:rStyle w:val="InstructionsTabelleberschrift"/>
                <w:rFonts w:ascii="Times New Roman" w:hAnsi="Times New Roman"/>
                <w:spacing w:val="-2"/>
                <w:sz w:val="24"/>
              </w:rPr>
              <w:tab/>
              <w:t>Z čoho: dodatočné prísnejšie prudenciálne požiadavky na základe článku 164 CRR</w:t>
            </w:r>
          </w:p>
          <w:p w14:paraId="517FA7BB" w14:textId="6F7E253F" w:rsidR="00235D9D" w:rsidRPr="006A4431" w:rsidRDefault="004852B9">
            <w:pPr>
              <w:pStyle w:val="InstructionsText"/>
              <w:rPr>
                <w:rStyle w:val="InstructionsTabelleberschrift"/>
                <w:rFonts w:ascii="Times New Roman" w:hAnsi="Times New Roman"/>
                <w:spacing w:val="-2"/>
                <w:sz w:val="24"/>
              </w:rPr>
            </w:pPr>
            <w:r w:rsidRPr="006A4431">
              <w:rPr>
                <w:spacing w:val="-2"/>
              </w:rPr>
              <w:t>Inštitúcie vykazujú dodatočné hodnoty rizikových expozícií potrebné na splnenie prísnejších prudenciálnych požiadaviek, ako im boli oznámené po notifikácii EBA,</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164 ods. 5</w:t>
            </w:r>
            <w:r w:rsidR="00D85C65" w:rsidRPr="006A4431">
              <w:rPr>
                <w:spacing w:val="-2"/>
              </w:rPr>
              <w:t xml:space="preserve"> a </w:t>
            </w:r>
            <w:r w:rsidRPr="006A4431">
              <w:rPr>
                <w:spacing w:val="-2"/>
              </w:rPr>
              <w:t>7 CRR.</w:t>
            </w:r>
          </w:p>
        </w:tc>
      </w:tr>
      <w:tr w:rsidR="00235D9D" w:rsidRPr="006A4431" w14:paraId="73CF030A" w14:textId="77777777" w:rsidTr="00672D2A">
        <w:tc>
          <w:tcPr>
            <w:tcW w:w="1591" w:type="dxa"/>
          </w:tcPr>
          <w:p w14:paraId="5DCDE92C"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242</w:t>
            </w:r>
          </w:p>
        </w:tc>
        <w:tc>
          <w:tcPr>
            <w:tcW w:w="7274" w:type="dxa"/>
          </w:tcPr>
          <w:p w14:paraId="3F77146D" w14:textId="42EC5C81"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w:t>
            </w:r>
            <w:r w:rsidRPr="006A4431">
              <w:rPr>
                <w:rStyle w:val="InstructionsTabelleberschrift"/>
                <w:rFonts w:ascii="Times New Roman" w:hAnsi="Times New Roman"/>
                <w:spacing w:val="-2"/>
                <w:sz w:val="24"/>
              </w:rPr>
              <w:tab/>
              <w:t>Z čoho: dodatočné prísnejšie prudenciálne požiadavky na základe článku 124 CRR</w:t>
            </w:r>
          </w:p>
          <w:p w14:paraId="56577276" w14:textId="783DB9E9" w:rsidR="00235D9D" w:rsidRPr="006A4431" w:rsidRDefault="004852B9">
            <w:pPr>
              <w:pStyle w:val="InstructionsText"/>
              <w:rPr>
                <w:rStyle w:val="InstructionsTabelleberschrift"/>
                <w:rFonts w:ascii="Times New Roman" w:hAnsi="Times New Roman"/>
                <w:spacing w:val="-2"/>
                <w:sz w:val="24"/>
              </w:rPr>
            </w:pPr>
            <w:r w:rsidRPr="006A4431">
              <w:rPr>
                <w:spacing w:val="-2"/>
              </w:rPr>
              <w:t>Inštitúcie vykazujú dodatočné hodnoty rizikových expozícií potrebné na splnenie prísnejších prudenciálnych požiadaviek, ktoré stanovili príslušné orgány po konzultácii</w:t>
            </w:r>
            <w:r w:rsidR="00D85C65" w:rsidRPr="006A4431">
              <w:rPr>
                <w:spacing w:val="-2"/>
              </w:rPr>
              <w:t xml:space="preserve"> s </w:t>
            </w:r>
            <w:r w:rsidRPr="006A4431">
              <w:rPr>
                <w:spacing w:val="-2"/>
              </w:rPr>
              <w:t>EBA, ako sa stanovuje</w:t>
            </w:r>
            <w:r w:rsidR="00D85C65" w:rsidRPr="006A4431">
              <w:rPr>
                <w:spacing w:val="-2"/>
              </w:rPr>
              <w:t xml:space="preserve"> v </w:t>
            </w:r>
            <w:r w:rsidRPr="006A4431">
              <w:rPr>
                <w:spacing w:val="-2"/>
              </w:rPr>
              <w:t>článku 124 ods. 2</w:t>
            </w:r>
            <w:r w:rsidR="00D85C65" w:rsidRPr="006A4431">
              <w:rPr>
                <w:spacing w:val="-2"/>
              </w:rPr>
              <w:t xml:space="preserve"> a </w:t>
            </w:r>
            <w:r w:rsidRPr="006A4431">
              <w:rPr>
                <w:spacing w:val="-2"/>
              </w:rPr>
              <w:t>5 CRR,</w:t>
            </w:r>
            <w:r w:rsidR="00D85C65" w:rsidRPr="006A4431">
              <w:rPr>
                <w:spacing w:val="-2"/>
              </w:rPr>
              <w:t xml:space="preserve"> a </w:t>
            </w:r>
            <w:r w:rsidRPr="006A4431">
              <w:rPr>
                <w:spacing w:val="-2"/>
              </w:rPr>
              <w:t>ktoré sa týkajú limitov platiacich pre prípustnú trhovú hodnotu kolaterálu, ako je stanovené</w:t>
            </w:r>
            <w:r w:rsidR="00D85C65" w:rsidRPr="006A4431">
              <w:rPr>
                <w:spacing w:val="-2"/>
              </w:rPr>
              <w:t xml:space="preserve"> v </w:t>
            </w:r>
            <w:r w:rsidRPr="006A4431">
              <w:rPr>
                <w:spacing w:val="-2"/>
              </w:rPr>
              <w:t>článku 125 ods. 2 písm. d)</w:t>
            </w:r>
            <w:r w:rsidR="00D85C65" w:rsidRPr="006A4431">
              <w:rPr>
                <w:spacing w:val="-2"/>
              </w:rPr>
              <w:t xml:space="preserve"> a </w:t>
            </w:r>
            <w:r w:rsidRPr="006A4431">
              <w:rPr>
                <w:spacing w:val="-2"/>
              </w:rPr>
              <w:t>článku 126 ods. 2 písm. d) CRR.</w:t>
            </w:r>
          </w:p>
        </w:tc>
      </w:tr>
      <w:tr w:rsidR="00235D9D" w:rsidRPr="006A4431" w14:paraId="3E06ADE9" w14:textId="77777777" w:rsidTr="00672D2A">
        <w:tc>
          <w:tcPr>
            <w:tcW w:w="1591" w:type="dxa"/>
          </w:tcPr>
          <w:p w14:paraId="67B47F3B"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250</w:t>
            </w:r>
          </w:p>
        </w:tc>
        <w:tc>
          <w:tcPr>
            <w:tcW w:w="7274" w:type="dxa"/>
          </w:tcPr>
          <w:p w14:paraId="1281EA28" w14:textId="5E51E0FA"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1.1.2.1.</w:t>
            </w:r>
            <w:r w:rsidRPr="006A4431">
              <w:rPr>
                <w:rStyle w:val="InstructionsTabelleberschrift"/>
                <w:rFonts w:ascii="Times New Roman" w:hAnsi="Times New Roman"/>
                <w:spacing w:val="-2"/>
                <w:sz w:val="24"/>
              </w:rPr>
              <w:tab/>
              <w:t>Prístupy IRB, keď sa nepoužívajú vlastné odhady straty</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prípade zlyhania (LGD) ani konverzné faktory</w:t>
            </w:r>
          </w:p>
          <w:p w14:paraId="1D00AD57" w14:textId="6B8F8D45"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Vzor CR IRB na úrovni celkových expozícií (keď sa nepoužívajú vlastné odhady LGD alebo konverzné faktory)</w:t>
            </w:r>
          </w:p>
        </w:tc>
      </w:tr>
      <w:tr w:rsidR="00235D9D" w:rsidRPr="006A4431" w14:paraId="6B02D02E" w14:textId="77777777" w:rsidTr="00672D2A">
        <w:tc>
          <w:tcPr>
            <w:tcW w:w="1591" w:type="dxa"/>
          </w:tcPr>
          <w:p w14:paraId="214A8C2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260</w:t>
            </w:r>
          </w:p>
        </w:tc>
        <w:tc>
          <w:tcPr>
            <w:tcW w:w="7274" w:type="dxa"/>
          </w:tcPr>
          <w:p w14:paraId="43F06D98" w14:textId="165767D6"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1.1.2.1.01.</w:t>
            </w:r>
            <w:r w:rsidRPr="006A4431">
              <w:rPr>
                <w:rStyle w:val="InstructionsTabelleberschrift"/>
                <w:rFonts w:ascii="Times New Roman" w:hAnsi="Times New Roman"/>
                <w:spacing w:val="-2"/>
                <w:sz w:val="24"/>
              </w:rPr>
              <w:tab/>
              <w:t>Ústredné vlády</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centrálne banky</w:t>
            </w:r>
          </w:p>
          <w:p w14:paraId="79A9327D"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C160D6F" w14:textId="77777777" w:rsidTr="00672D2A">
        <w:tc>
          <w:tcPr>
            <w:tcW w:w="1591" w:type="dxa"/>
          </w:tcPr>
          <w:p w14:paraId="65F96EC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270</w:t>
            </w:r>
          </w:p>
        </w:tc>
        <w:tc>
          <w:tcPr>
            <w:tcW w:w="7274" w:type="dxa"/>
          </w:tcPr>
          <w:p w14:paraId="2D1B515C"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1.1.2.1.02.</w:t>
            </w:r>
            <w:r w:rsidRPr="006A4431">
              <w:rPr>
                <w:rStyle w:val="InstructionsTabelleberschrift"/>
                <w:rFonts w:ascii="Times New Roman" w:hAnsi="Times New Roman"/>
                <w:spacing w:val="-2"/>
                <w:sz w:val="24"/>
              </w:rPr>
              <w:tab/>
              <w:t>Inštitúcie</w:t>
            </w:r>
          </w:p>
          <w:p w14:paraId="0C0D0F71"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E172AD7" w14:textId="77777777" w:rsidTr="00672D2A">
        <w:tc>
          <w:tcPr>
            <w:tcW w:w="1591" w:type="dxa"/>
          </w:tcPr>
          <w:p w14:paraId="250E3BAF"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280</w:t>
            </w:r>
          </w:p>
        </w:tc>
        <w:tc>
          <w:tcPr>
            <w:tcW w:w="7274" w:type="dxa"/>
          </w:tcPr>
          <w:p w14:paraId="2E1472D4" w14:textId="0972AF55"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1.1.2.1.03.</w:t>
            </w:r>
            <w:r w:rsidRPr="006A4431">
              <w:rPr>
                <w:rStyle w:val="InstructionsTabelleberschrift"/>
                <w:rFonts w:ascii="Times New Roman" w:hAnsi="Times New Roman"/>
                <w:spacing w:val="-2"/>
                <w:sz w:val="24"/>
              </w:rPr>
              <w:tab/>
              <w:t>Podnikateľské subjekty – malé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stredné podniky (MSP)</w:t>
            </w:r>
          </w:p>
          <w:p w14:paraId="61860914"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0DFFC479" w14:textId="77777777" w:rsidTr="00672D2A">
        <w:tc>
          <w:tcPr>
            <w:tcW w:w="1591" w:type="dxa"/>
          </w:tcPr>
          <w:p w14:paraId="09D36D80"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290</w:t>
            </w:r>
          </w:p>
        </w:tc>
        <w:tc>
          <w:tcPr>
            <w:tcW w:w="7274" w:type="dxa"/>
          </w:tcPr>
          <w:p w14:paraId="0F1C707D"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1.1.2.1.04.</w:t>
            </w:r>
            <w:r w:rsidRPr="006A4431">
              <w:rPr>
                <w:rStyle w:val="InstructionsTabelleberschrift"/>
                <w:rFonts w:ascii="Times New Roman" w:hAnsi="Times New Roman"/>
                <w:spacing w:val="-2"/>
                <w:sz w:val="24"/>
              </w:rPr>
              <w:tab/>
              <w:t>Podnikateľské subjekty – špecializované financovanie</w:t>
            </w:r>
          </w:p>
          <w:p w14:paraId="51142C99"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 xml:space="preserve">Pozri vzor CR IRB </w:t>
            </w:r>
          </w:p>
        </w:tc>
      </w:tr>
      <w:tr w:rsidR="00235D9D" w:rsidRPr="006A4431" w14:paraId="160F150A" w14:textId="77777777" w:rsidTr="00672D2A">
        <w:tc>
          <w:tcPr>
            <w:tcW w:w="1591" w:type="dxa"/>
          </w:tcPr>
          <w:p w14:paraId="28211619"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300</w:t>
            </w:r>
          </w:p>
        </w:tc>
        <w:tc>
          <w:tcPr>
            <w:tcW w:w="7274" w:type="dxa"/>
          </w:tcPr>
          <w:p w14:paraId="18598325"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1.1.2.1.05.</w:t>
            </w:r>
            <w:r w:rsidRPr="006A4431">
              <w:rPr>
                <w:rStyle w:val="InstructionsTabelleberschrift"/>
                <w:rFonts w:ascii="Times New Roman" w:hAnsi="Times New Roman"/>
                <w:spacing w:val="-2"/>
                <w:sz w:val="24"/>
              </w:rPr>
              <w:tab/>
              <w:t>Podnikateľské subjekty – iné</w:t>
            </w:r>
          </w:p>
          <w:p w14:paraId="3D08CF8C"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2685C84" w14:textId="77777777" w:rsidTr="00672D2A">
        <w:tc>
          <w:tcPr>
            <w:tcW w:w="1591" w:type="dxa"/>
          </w:tcPr>
          <w:p w14:paraId="5BA6D8AE"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310</w:t>
            </w:r>
          </w:p>
        </w:tc>
        <w:tc>
          <w:tcPr>
            <w:tcW w:w="7274" w:type="dxa"/>
          </w:tcPr>
          <w:p w14:paraId="2AD35FF5" w14:textId="7D2B706C"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w:t>
            </w:r>
            <w:r w:rsidRPr="006A4431">
              <w:rPr>
                <w:rStyle w:val="InstructionsTabelleberschrift"/>
                <w:rFonts w:ascii="Times New Roman" w:hAnsi="Times New Roman"/>
                <w:spacing w:val="-2"/>
                <w:sz w:val="24"/>
              </w:rPr>
              <w:tab/>
              <w:t>Prístupy IRB, keď sa používajú vlastné odhady LGD a/alebo konverzný faktor</w:t>
            </w:r>
          </w:p>
          <w:p w14:paraId="0A14FE31"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Vzor CR IRB na úrovni celkových expozícií (keď sa používajú vlastné odhady LGD a/alebo konverzný faktor)</w:t>
            </w:r>
          </w:p>
        </w:tc>
      </w:tr>
      <w:tr w:rsidR="00235D9D" w:rsidRPr="006A4431" w14:paraId="46D06C03" w14:textId="77777777" w:rsidTr="00672D2A">
        <w:tc>
          <w:tcPr>
            <w:tcW w:w="1591" w:type="dxa"/>
          </w:tcPr>
          <w:p w14:paraId="58B20F11"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320</w:t>
            </w:r>
          </w:p>
        </w:tc>
        <w:tc>
          <w:tcPr>
            <w:tcW w:w="7274" w:type="dxa"/>
          </w:tcPr>
          <w:p w14:paraId="41F8D438" w14:textId="5F9E5E18"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1.1.2.2.01.</w:t>
            </w:r>
            <w:r w:rsidRPr="006A4431">
              <w:rPr>
                <w:rStyle w:val="InstructionsTabelleberschrift"/>
                <w:rFonts w:ascii="Times New Roman" w:hAnsi="Times New Roman"/>
                <w:spacing w:val="-2"/>
                <w:sz w:val="24"/>
              </w:rPr>
              <w:tab/>
              <w:t>Ústredné vlády</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centrálne banky</w:t>
            </w:r>
          </w:p>
          <w:p w14:paraId="01F24868"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Pozri vzor CR IRB</w:t>
            </w:r>
          </w:p>
        </w:tc>
      </w:tr>
      <w:tr w:rsidR="00235D9D" w:rsidRPr="006A4431" w14:paraId="35C86C43" w14:textId="77777777" w:rsidTr="00672D2A">
        <w:tc>
          <w:tcPr>
            <w:tcW w:w="1591" w:type="dxa"/>
          </w:tcPr>
          <w:p w14:paraId="44CC8BB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330</w:t>
            </w:r>
          </w:p>
        </w:tc>
        <w:tc>
          <w:tcPr>
            <w:tcW w:w="7274" w:type="dxa"/>
          </w:tcPr>
          <w:p w14:paraId="76185659"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1.1.2.2.02.</w:t>
            </w:r>
            <w:r w:rsidRPr="006A4431">
              <w:rPr>
                <w:rStyle w:val="InstructionsTabelleberschrift"/>
                <w:rFonts w:ascii="Times New Roman" w:hAnsi="Times New Roman"/>
                <w:spacing w:val="-2"/>
                <w:sz w:val="24"/>
              </w:rPr>
              <w:tab/>
              <w:t>Inštitúcie</w:t>
            </w:r>
          </w:p>
          <w:p w14:paraId="1EB58BFF"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 xml:space="preserve">Pozri vzor CR IRB </w:t>
            </w:r>
          </w:p>
        </w:tc>
      </w:tr>
      <w:tr w:rsidR="00235D9D" w:rsidRPr="006A4431" w14:paraId="2BC01FDF" w14:textId="77777777" w:rsidTr="00672D2A">
        <w:tc>
          <w:tcPr>
            <w:tcW w:w="1591" w:type="dxa"/>
          </w:tcPr>
          <w:p w14:paraId="64EE09C6"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340</w:t>
            </w:r>
          </w:p>
        </w:tc>
        <w:tc>
          <w:tcPr>
            <w:tcW w:w="7274" w:type="dxa"/>
          </w:tcPr>
          <w:p w14:paraId="1AF9DD0E" w14:textId="0329E79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1.1.2.2.03.</w:t>
            </w:r>
            <w:r w:rsidRPr="006A4431">
              <w:rPr>
                <w:rStyle w:val="InstructionsTabelleberschrift"/>
                <w:rFonts w:ascii="Times New Roman" w:hAnsi="Times New Roman"/>
                <w:spacing w:val="-2"/>
                <w:sz w:val="24"/>
              </w:rPr>
              <w:tab/>
              <w:t>Podnikateľské subjekty – malé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stredné podniky (MSP)</w:t>
            </w:r>
          </w:p>
          <w:p w14:paraId="7EA219AE"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A645B5F" w14:textId="77777777" w:rsidTr="00672D2A">
        <w:tc>
          <w:tcPr>
            <w:tcW w:w="1591" w:type="dxa"/>
          </w:tcPr>
          <w:p w14:paraId="04938B00"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350</w:t>
            </w:r>
          </w:p>
        </w:tc>
        <w:tc>
          <w:tcPr>
            <w:tcW w:w="7274" w:type="dxa"/>
          </w:tcPr>
          <w:p w14:paraId="2B484270"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1.1.2.2.04.</w:t>
            </w:r>
            <w:r w:rsidRPr="006A4431">
              <w:rPr>
                <w:rStyle w:val="InstructionsTabelleberschrift"/>
                <w:rFonts w:ascii="Times New Roman" w:hAnsi="Times New Roman"/>
                <w:spacing w:val="-2"/>
                <w:sz w:val="24"/>
              </w:rPr>
              <w:tab/>
              <w:t>Podnikateľské subjekty – špecializované financovanie</w:t>
            </w:r>
          </w:p>
          <w:p w14:paraId="0E298873"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888F70F" w14:textId="77777777" w:rsidTr="00672D2A">
        <w:tc>
          <w:tcPr>
            <w:tcW w:w="1591" w:type="dxa"/>
          </w:tcPr>
          <w:p w14:paraId="2712432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360</w:t>
            </w:r>
          </w:p>
        </w:tc>
        <w:tc>
          <w:tcPr>
            <w:tcW w:w="7274" w:type="dxa"/>
          </w:tcPr>
          <w:p w14:paraId="02A7CBE6"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1.1.2.2.05.</w:t>
            </w:r>
            <w:r w:rsidRPr="006A4431">
              <w:rPr>
                <w:rStyle w:val="InstructionsTabelleberschrift"/>
                <w:rFonts w:ascii="Times New Roman" w:hAnsi="Times New Roman"/>
                <w:spacing w:val="-2"/>
                <w:sz w:val="24"/>
              </w:rPr>
              <w:tab/>
              <w:t>Podnikateľské subjekty – iné</w:t>
            </w:r>
          </w:p>
          <w:p w14:paraId="7A45F305"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692359A2" w14:textId="77777777" w:rsidTr="00672D2A">
        <w:tc>
          <w:tcPr>
            <w:tcW w:w="1591" w:type="dxa"/>
          </w:tcPr>
          <w:p w14:paraId="697AEF1C"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370</w:t>
            </w:r>
          </w:p>
        </w:tc>
        <w:tc>
          <w:tcPr>
            <w:tcW w:w="7274" w:type="dxa"/>
          </w:tcPr>
          <w:p w14:paraId="2C33FE42" w14:textId="77EFC789"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1.1.2.2.06.</w:t>
            </w:r>
            <w:r w:rsidRPr="006A4431">
              <w:rPr>
                <w:rStyle w:val="InstructionsTabelleberschrift"/>
                <w:rFonts w:ascii="Times New Roman" w:hAnsi="Times New Roman"/>
                <w:spacing w:val="-2"/>
                <w:sz w:val="24"/>
              </w:rPr>
              <w:tab/>
              <w:t>Retail – zabezpečené nehnuteľnosťami malých</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stredných podnikov</w:t>
            </w:r>
          </w:p>
          <w:p w14:paraId="61ADF1D5"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5F723FF2" w14:textId="77777777" w:rsidTr="00672D2A">
        <w:tc>
          <w:tcPr>
            <w:tcW w:w="1591" w:type="dxa"/>
          </w:tcPr>
          <w:p w14:paraId="0C329337"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380</w:t>
            </w:r>
          </w:p>
        </w:tc>
        <w:tc>
          <w:tcPr>
            <w:tcW w:w="7274" w:type="dxa"/>
          </w:tcPr>
          <w:p w14:paraId="0B466606" w14:textId="19BDF609"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1.1.2.2.07.</w:t>
            </w:r>
            <w:r w:rsidRPr="006A4431">
              <w:rPr>
                <w:rStyle w:val="InstructionsTabelleberschrift"/>
                <w:rFonts w:ascii="Times New Roman" w:hAnsi="Times New Roman"/>
                <w:spacing w:val="-2"/>
                <w:sz w:val="24"/>
              </w:rPr>
              <w:tab/>
              <w:t>Retail – zabezpečené nehnuteľnosťami iných subjektov než malých</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stredných podnikov</w:t>
            </w:r>
          </w:p>
          <w:p w14:paraId="26C49AC5"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240597A1" w14:textId="77777777" w:rsidTr="00672D2A">
        <w:tc>
          <w:tcPr>
            <w:tcW w:w="1591" w:type="dxa"/>
          </w:tcPr>
          <w:p w14:paraId="3D0C1296"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390</w:t>
            </w:r>
          </w:p>
        </w:tc>
        <w:tc>
          <w:tcPr>
            <w:tcW w:w="7274" w:type="dxa"/>
          </w:tcPr>
          <w:p w14:paraId="1331DF02"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1.1.2.2.08.</w:t>
            </w:r>
            <w:r w:rsidRPr="006A4431">
              <w:rPr>
                <w:rStyle w:val="InstructionsTabelleberschrift"/>
                <w:rFonts w:ascii="Times New Roman" w:hAnsi="Times New Roman"/>
                <w:spacing w:val="-2"/>
                <w:sz w:val="24"/>
              </w:rPr>
              <w:tab/>
              <w:t>Retail – kvalifikovaný revolving</w:t>
            </w:r>
          </w:p>
          <w:p w14:paraId="7B451362"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28D33058" w14:textId="77777777" w:rsidTr="00672D2A">
        <w:tc>
          <w:tcPr>
            <w:tcW w:w="1591" w:type="dxa"/>
          </w:tcPr>
          <w:p w14:paraId="0596CD3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400</w:t>
            </w:r>
          </w:p>
        </w:tc>
        <w:tc>
          <w:tcPr>
            <w:tcW w:w="7274" w:type="dxa"/>
          </w:tcPr>
          <w:p w14:paraId="054C5729" w14:textId="05BB7CF3"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1.1.2.2.09.</w:t>
            </w:r>
            <w:r w:rsidRPr="006A4431">
              <w:rPr>
                <w:rStyle w:val="InstructionsTabelleberschrift"/>
                <w:rFonts w:ascii="Times New Roman" w:hAnsi="Times New Roman"/>
                <w:spacing w:val="-2"/>
                <w:sz w:val="24"/>
              </w:rPr>
              <w:tab/>
              <w:t>Retail – ostatné malé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stredné podniky</w:t>
            </w:r>
          </w:p>
          <w:p w14:paraId="5CB863A2"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4E87A59A" w14:textId="77777777" w:rsidTr="00672D2A">
        <w:tc>
          <w:tcPr>
            <w:tcW w:w="1591" w:type="dxa"/>
          </w:tcPr>
          <w:p w14:paraId="48F2686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410</w:t>
            </w:r>
          </w:p>
        </w:tc>
        <w:tc>
          <w:tcPr>
            <w:tcW w:w="7274" w:type="dxa"/>
          </w:tcPr>
          <w:p w14:paraId="169CE9E1" w14:textId="32DF1C01"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1.1.2.2.10.</w:t>
            </w:r>
            <w:r w:rsidRPr="006A4431">
              <w:rPr>
                <w:rStyle w:val="InstructionsTabelleberschrift"/>
                <w:rFonts w:ascii="Times New Roman" w:hAnsi="Times New Roman"/>
                <w:spacing w:val="-2"/>
                <w:sz w:val="24"/>
              </w:rPr>
              <w:tab/>
              <w:t>Retail – ostatné iné subjekty než malé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stredné podniky</w:t>
            </w:r>
          </w:p>
          <w:p w14:paraId="1CC50CC5"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IRB</w:t>
            </w:r>
          </w:p>
        </w:tc>
      </w:tr>
      <w:tr w:rsidR="00235D9D" w:rsidRPr="006A4431" w14:paraId="31B6563A" w14:textId="77777777" w:rsidTr="00672D2A">
        <w:tc>
          <w:tcPr>
            <w:tcW w:w="1591" w:type="dxa"/>
          </w:tcPr>
          <w:p w14:paraId="44E8DC16"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420</w:t>
            </w:r>
          </w:p>
        </w:tc>
        <w:tc>
          <w:tcPr>
            <w:tcW w:w="7274" w:type="dxa"/>
          </w:tcPr>
          <w:p w14:paraId="34501B59"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1.1.2.3.</w:t>
            </w:r>
            <w:r w:rsidRPr="006A4431">
              <w:rPr>
                <w:rStyle w:val="InstructionsTabelleberschrift"/>
                <w:rFonts w:ascii="Times New Roman" w:hAnsi="Times New Roman"/>
                <w:spacing w:val="-2"/>
                <w:sz w:val="24"/>
              </w:rPr>
              <w:tab/>
              <w:t>Kapitálové IRB</w:t>
            </w:r>
          </w:p>
          <w:p w14:paraId="0035F9A1"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EQU IRB</w:t>
            </w:r>
          </w:p>
        </w:tc>
      </w:tr>
      <w:tr w:rsidR="00235D9D" w:rsidRPr="006A4431" w14:paraId="19E594BF" w14:textId="77777777" w:rsidTr="00672D2A">
        <w:tc>
          <w:tcPr>
            <w:tcW w:w="1591" w:type="dxa"/>
          </w:tcPr>
          <w:p w14:paraId="3B16C68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450</w:t>
            </w:r>
          </w:p>
        </w:tc>
        <w:tc>
          <w:tcPr>
            <w:tcW w:w="7274" w:type="dxa"/>
          </w:tcPr>
          <w:p w14:paraId="73CA76D7"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1.1.2.5.</w:t>
            </w:r>
            <w:r w:rsidRPr="006A4431">
              <w:rPr>
                <w:rStyle w:val="InstructionsTabelleberschrift"/>
                <w:rFonts w:ascii="Times New Roman" w:hAnsi="Times New Roman"/>
                <w:spacing w:val="-2"/>
                <w:sz w:val="24"/>
              </w:rPr>
              <w:tab/>
              <w:t>Iné aktíva, ktoré nemajú povahu kreditného záväzku</w:t>
            </w:r>
          </w:p>
          <w:p w14:paraId="393DFB7C" w14:textId="3026B856"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 xml:space="preserve">Vykazovaná hodnota je hodnota rizikovo váženej expozície vypočítaná podľa článku 156 CRR. </w:t>
            </w:r>
          </w:p>
        </w:tc>
      </w:tr>
      <w:tr w:rsidR="00235D9D" w:rsidRPr="006A4431" w14:paraId="7489E700" w14:textId="77777777" w:rsidTr="00672D2A">
        <w:tc>
          <w:tcPr>
            <w:tcW w:w="1591" w:type="dxa"/>
          </w:tcPr>
          <w:p w14:paraId="17882EEB"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460</w:t>
            </w:r>
          </w:p>
        </w:tc>
        <w:tc>
          <w:tcPr>
            <w:tcW w:w="7274" w:type="dxa"/>
          </w:tcPr>
          <w:p w14:paraId="5E7CA471"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1.1.3.</w:t>
            </w:r>
            <w:r w:rsidRPr="006A4431">
              <w:rPr>
                <w:rStyle w:val="InstructionsTabelleberschrift"/>
                <w:rFonts w:ascii="Times New Roman" w:hAnsi="Times New Roman"/>
                <w:spacing w:val="-2"/>
                <w:sz w:val="24"/>
              </w:rPr>
              <w:tab/>
              <w:t>Hodnota rizikovej expozície pri príspevkoch do fondu pre prípad zlyhania CCP</w:t>
            </w:r>
          </w:p>
          <w:p w14:paraId="6EBD704B" w14:textId="6947BCD4"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Články 307, 308</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309 CRR.</w:t>
            </w:r>
          </w:p>
        </w:tc>
      </w:tr>
      <w:tr w:rsidR="00235D9D" w:rsidRPr="006A4431" w14:paraId="2AE2CEF2" w14:textId="77777777" w:rsidTr="00672D2A">
        <w:tc>
          <w:tcPr>
            <w:tcW w:w="1591" w:type="dxa"/>
          </w:tcPr>
          <w:p w14:paraId="696FF1A5"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470</w:t>
            </w:r>
          </w:p>
        </w:tc>
        <w:tc>
          <w:tcPr>
            <w:tcW w:w="7274" w:type="dxa"/>
          </w:tcPr>
          <w:p w14:paraId="06963085" w14:textId="1DC5529A"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w:t>
            </w:r>
            <w:r w:rsidR="00E13EA5">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 xml:space="preserve"> Sekuritizačné pozície</w:t>
            </w:r>
          </w:p>
          <w:p w14:paraId="4AD00F2B" w14:textId="77777777" w:rsidR="00235D9D" w:rsidRPr="006A4431" w:rsidRDefault="00802958">
            <w:pPr>
              <w:pStyle w:val="InstructionsText"/>
              <w:rPr>
                <w:rStyle w:val="InstructionsTabelleberschrift"/>
                <w:rFonts w:ascii="Times New Roman" w:hAnsi="Times New Roman"/>
                <w:spacing w:val="-2"/>
                <w:sz w:val="24"/>
              </w:rPr>
            </w:pPr>
            <w:r w:rsidRPr="006A4431">
              <w:rPr>
                <w:rStyle w:val="FormatvorlageInstructionsTabelleText"/>
                <w:rFonts w:ascii="Times New Roman" w:hAnsi="Times New Roman"/>
                <w:spacing w:val="-2"/>
                <w:sz w:val="24"/>
              </w:rPr>
              <w:t>Pozri vzor CR SETT.</w:t>
            </w:r>
          </w:p>
        </w:tc>
      </w:tr>
      <w:tr w:rsidR="00235D9D" w:rsidRPr="006A4431" w14:paraId="2A0C5C37" w14:textId="77777777" w:rsidTr="00672D2A">
        <w:tc>
          <w:tcPr>
            <w:tcW w:w="1591" w:type="dxa"/>
          </w:tcPr>
          <w:p w14:paraId="5A29EA16"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490</w:t>
            </w:r>
          </w:p>
        </w:tc>
        <w:tc>
          <w:tcPr>
            <w:tcW w:w="7274" w:type="dxa"/>
          </w:tcPr>
          <w:p w14:paraId="15063579" w14:textId="77777777" w:rsidR="00235D9D" w:rsidRPr="006A4431" w:rsidRDefault="00802958">
            <w:pPr>
              <w:pStyle w:val="InstructionsText"/>
              <w:rPr>
                <w:rStyle w:val="InstructionsTabelleberschrift"/>
                <w:rFonts w:ascii="Times New Roman" w:hAnsi="Times New Roman"/>
                <w:strike/>
                <w:spacing w:val="-2"/>
                <w:sz w:val="24"/>
              </w:rPr>
            </w:pPr>
            <w:r w:rsidRPr="006A4431">
              <w:rPr>
                <w:rStyle w:val="InstructionsTabelleberschrift"/>
                <w:rFonts w:ascii="Times New Roman" w:hAnsi="Times New Roman"/>
                <w:spacing w:val="-2"/>
                <w:sz w:val="24"/>
              </w:rPr>
              <w:t>1.2.</w:t>
            </w:r>
            <w:r w:rsidRPr="006A4431">
              <w:rPr>
                <w:rStyle w:val="InstructionsTabelleberschrift"/>
                <w:rFonts w:ascii="Times New Roman" w:hAnsi="Times New Roman"/>
                <w:spacing w:val="-2"/>
                <w:sz w:val="24"/>
              </w:rPr>
              <w:tab/>
              <w:t>CELKOVÁ HODNOTA RIZIKOVÝCH EXPOZÍCIÍ PRE RIZIKÁ VYROVNANIA/DODANIA</w:t>
            </w:r>
          </w:p>
          <w:p w14:paraId="2A3E1084" w14:textId="000661EE" w:rsidR="00235D9D" w:rsidRPr="006A4431" w:rsidRDefault="006A6822">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Článok 92 ods. 3 písm. c) bod ii)</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92 ods. 4 písm. b) CRR.</w:t>
            </w:r>
          </w:p>
        </w:tc>
      </w:tr>
      <w:tr w:rsidR="00235D9D" w:rsidRPr="006A4431" w14:paraId="28339829" w14:textId="77777777" w:rsidTr="00672D2A">
        <w:tc>
          <w:tcPr>
            <w:tcW w:w="1591" w:type="dxa"/>
          </w:tcPr>
          <w:p w14:paraId="373A6FAA"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500</w:t>
            </w:r>
          </w:p>
        </w:tc>
        <w:tc>
          <w:tcPr>
            <w:tcW w:w="7274" w:type="dxa"/>
          </w:tcPr>
          <w:p w14:paraId="57DAA3C0" w14:textId="195A0281"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1.2.1.</w:t>
            </w:r>
            <w:r w:rsidRPr="006A4431">
              <w:rPr>
                <w:rStyle w:val="InstructionsTabelleberschrift"/>
                <w:rFonts w:ascii="Times New Roman" w:hAnsi="Times New Roman"/>
                <w:spacing w:val="-2"/>
                <w:sz w:val="24"/>
              </w:rPr>
              <w:tab/>
              <w:t>Riziko vyrovnania/dodania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neobchodnej knihe</w:t>
            </w:r>
          </w:p>
          <w:p w14:paraId="79C8D22A"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SETT</w:t>
            </w:r>
          </w:p>
        </w:tc>
      </w:tr>
      <w:tr w:rsidR="00235D9D" w:rsidRPr="006A4431" w14:paraId="1F3E6786" w14:textId="77777777" w:rsidTr="00672D2A">
        <w:tc>
          <w:tcPr>
            <w:tcW w:w="1591" w:type="dxa"/>
          </w:tcPr>
          <w:p w14:paraId="5E611CF5"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510</w:t>
            </w:r>
          </w:p>
        </w:tc>
        <w:tc>
          <w:tcPr>
            <w:tcW w:w="7274" w:type="dxa"/>
          </w:tcPr>
          <w:p w14:paraId="4EA0C875" w14:textId="0FFE3630"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1.2.2.</w:t>
            </w:r>
            <w:r w:rsidRPr="006A4431">
              <w:rPr>
                <w:rStyle w:val="InstructionsTabelleberschrift"/>
                <w:rFonts w:ascii="Times New Roman" w:hAnsi="Times New Roman"/>
                <w:spacing w:val="-2"/>
                <w:sz w:val="24"/>
              </w:rPr>
              <w:tab/>
              <w:t>Riziko vyrovnania/dodania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obchodnej knihe</w:t>
            </w:r>
          </w:p>
          <w:p w14:paraId="09370819"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CR SETT</w:t>
            </w:r>
          </w:p>
        </w:tc>
      </w:tr>
      <w:tr w:rsidR="00235D9D" w:rsidRPr="006A4431" w14:paraId="34BD5148" w14:textId="77777777" w:rsidTr="00672D2A">
        <w:tc>
          <w:tcPr>
            <w:tcW w:w="1591" w:type="dxa"/>
          </w:tcPr>
          <w:p w14:paraId="38163B40"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520</w:t>
            </w:r>
          </w:p>
        </w:tc>
        <w:tc>
          <w:tcPr>
            <w:tcW w:w="7274" w:type="dxa"/>
          </w:tcPr>
          <w:p w14:paraId="09399576" w14:textId="77777777" w:rsidR="00D85C65"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CELKOVÁ HODNOTA RIZIKOVÝCH EXPOZÍCIÍ PRE POZIČNÉ, DEVÍZOVÉ A KOMODITNÉ RIZIKO</w:t>
            </w:r>
          </w:p>
          <w:p w14:paraId="3B93EB79" w14:textId="7BD72F2C" w:rsidR="00235D9D" w:rsidRPr="006A4431" w:rsidRDefault="006A6822">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t>Článok 92 ods. 3 písm. b) bod i), písm. c) bod i)</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písm. c) bod iii)</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92 ods. 4 písm. b) CRR.</w:t>
            </w:r>
          </w:p>
        </w:tc>
      </w:tr>
      <w:tr w:rsidR="00235D9D" w:rsidRPr="006A4431" w14:paraId="101797D6" w14:textId="77777777" w:rsidTr="00672D2A">
        <w:tc>
          <w:tcPr>
            <w:tcW w:w="1591" w:type="dxa"/>
          </w:tcPr>
          <w:p w14:paraId="5DE4063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530</w:t>
            </w:r>
          </w:p>
        </w:tc>
        <w:tc>
          <w:tcPr>
            <w:tcW w:w="7274" w:type="dxa"/>
          </w:tcPr>
          <w:p w14:paraId="0FCEEAEF" w14:textId="1A3E961F" w:rsidR="00235D9D" w:rsidRPr="006A4431" w:rsidRDefault="00802958">
            <w:pPr>
              <w:pStyle w:val="InstructionsText"/>
              <w:rPr>
                <w:rStyle w:val="Formatvorlage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1.3.1.</w:t>
            </w:r>
            <w:r w:rsidRPr="006A4431">
              <w:rPr>
                <w:rStyle w:val="InstructionsTabelleberschrift"/>
                <w:rFonts w:ascii="Times New Roman" w:hAnsi="Times New Roman"/>
                <w:spacing w:val="-2"/>
                <w:sz w:val="24"/>
              </w:rPr>
              <w:tab/>
              <w:t>Hodnota rizikových expozícií pre pozičné, devízové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komoditné riziko</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rámci štandardizovaných prístupov (SA)</w:t>
            </w:r>
          </w:p>
        </w:tc>
      </w:tr>
      <w:tr w:rsidR="00235D9D" w:rsidRPr="006A4431" w14:paraId="71B9AAC6" w14:textId="77777777" w:rsidTr="00672D2A">
        <w:tc>
          <w:tcPr>
            <w:tcW w:w="1591" w:type="dxa"/>
          </w:tcPr>
          <w:p w14:paraId="7428AB61"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540</w:t>
            </w:r>
          </w:p>
        </w:tc>
        <w:tc>
          <w:tcPr>
            <w:tcW w:w="7274" w:type="dxa"/>
          </w:tcPr>
          <w:p w14:paraId="5743A2BF"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1.3.1.1.</w:t>
            </w:r>
            <w:r w:rsidRPr="006A4431">
              <w:rPr>
                <w:rStyle w:val="InstructionsTabelleberschrift"/>
                <w:rFonts w:ascii="Times New Roman" w:hAnsi="Times New Roman"/>
                <w:spacing w:val="-2"/>
                <w:sz w:val="24"/>
              </w:rPr>
              <w:tab/>
              <w:t>Obchodované dlhové nástroje</w:t>
            </w:r>
          </w:p>
          <w:p w14:paraId="58C752A0" w14:textId="77777777" w:rsidR="00235D9D" w:rsidRPr="006A4431" w:rsidRDefault="00802958">
            <w:pPr>
              <w:pStyle w:val="InstructionsText"/>
              <w:rPr>
                <w:rStyle w:val="FormatvorlageInstructionsTabelleText"/>
                <w:rFonts w:ascii="Times New Roman" w:hAnsi="Times New Roman"/>
                <w:bCs w:val="0"/>
                <w:spacing w:val="-2"/>
                <w:sz w:val="24"/>
              </w:rPr>
            </w:pPr>
            <w:r w:rsidRPr="006A4431">
              <w:rPr>
                <w:rStyle w:val="InstructionsTabelleberschrift"/>
                <w:rFonts w:ascii="Times New Roman" w:hAnsi="Times New Roman"/>
                <w:b w:val="0"/>
                <w:spacing w:val="-2"/>
                <w:sz w:val="24"/>
                <w:u w:val="none"/>
              </w:rPr>
              <w:t>Vzor MKR SA TDI na úrovni všetkých mien.</w:t>
            </w:r>
          </w:p>
        </w:tc>
      </w:tr>
      <w:tr w:rsidR="00235D9D" w:rsidRPr="006A4431" w14:paraId="6585CC35" w14:textId="77777777" w:rsidTr="00672D2A">
        <w:tc>
          <w:tcPr>
            <w:tcW w:w="1591" w:type="dxa"/>
          </w:tcPr>
          <w:p w14:paraId="7AD96849"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550</w:t>
            </w:r>
          </w:p>
        </w:tc>
        <w:tc>
          <w:tcPr>
            <w:tcW w:w="7274" w:type="dxa"/>
          </w:tcPr>
          <w:p w14:paraId="0182AA31"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1.3.1.2.</w:t>
            </w:r>
            <w:r w:rsidRPr="006A4431">
              <w:rPr>
                <w:rStyle w:val="InstructionsTabelleberschrift"/>
                <w:rFonts w:ascii="Times New Roman" w:hAnsi="Times New Roman"/>
                <w:spacing w:val="-2"/>
                <w:sz w:val="24"/>
              </w:rPr>
              <w:tab/>
              <w:t>Vlastné imanie</w:t>
            </w:r>
          </w:p>
          <w:p w14:paraId="0CC7BC0C"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 xml:space="preserve">Vzor MKR SA EQU na úrovni všetkých vnútroštátnych trhov. </w:t>
            </w:r>
          </w:p>
        </w:tc>
      </w:tr>
      <w:tr w:rsidR="00235D9D" w:rsidRPr="006A4431" w14:paraId="1143A9BE" w14:textId="77777777" w:rsidTr="00672D2A">
        <w:tc>
          <w:tcPr>
            <w:tcW w:w="1591" w:type="dxa"/>
          </w:tcPr>
          <w:p w14:paraId="58F80D45"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555</w:t>
            </w:r>
          </w:p>
        </w:tc>
        <w:tc>
          <w:tcPr>
            <w:tcW w:w="7274" w:type="dxa"/>
          </w:tcPr>
          <w:p w14:paraId="3F21E389" w14:textId="6CE3EF33"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1.3.1.3.</w:t>
            </w:r>
            <w:r w:rsidRPr="006A4431">
              <w:rPr>
                <w:rStyle w:val="InstructionsTabelleberschrift"/>
                <w:rFonts w:ascii="Times New Roman" w:hAnsi="Times New Roman"/>
                <w:spacing w:val="-2"/>
                <w:sz w:val="24"/>
              </w:rPr>
              <w:tab/>
              <w:t>Osobitný prístup pre pozičné riziko</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PKI</w:t>
            </w:r>
          </w:p>
          <w:p w14:paraId="1222E5F3" w14:textId="3FA6C878"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Článok 348 ods. 1, článok 350 ods. 3 písm. c)</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364 ods. 2 písm. a) CRR.</w:t>
            </w:r>
          </w:p>
          <w:p w14:paraId="5FDC5352" w14:textId="59B57D96"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Celková hodnota rizikových expozícií pre pozície</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PKI, ak sa kapitálové požiadavky počítajú podľa článku 348 ods. 1 CRR,</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to buď okamžite, alebo ako dôsledok horného ohraničenia uvedeného</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350 ods. 3 písm. c) CRR.</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CRR sa tieto pozície výslovne nepriraďujú úrokovému riziku ani kapitálovému riziku.</w:t>
            </w:r>
          </w:p>
          <w:p w14:paraId="432F94EB" w14:textId="6B67A759" w:rsidR="00D85C65" w:rsidRPr="006A4431" w:rsidRDefault="00FF281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Keď sa uplatňuje osobitný prístup ustanovený</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348 ods. 1 prvej vete CRR, hodnota, ktorá sa má vykázať, je 32</w:t>
            </w:r>
            <w:r w:rsidR="00D85C65" w:rsidRPr="006A4431">
              <w:rPr>
                <w:rStyle w:val="FormatvorlageInstructionsTabelleText"/>
                <w:rFonts w:ascii="Times New Roman" w:hAnsi="Times New Roman"/>
                <w:spacing w:val="-2"/>
                <w:sz w:val="24"/>
              </w:rPr>
              <w:t> %</w:t>
            </w:r>
            <w:r w:rsidRPr="006A4431">
              <w:rPr>
                <w:rStyle w:val="FormatvorlageInstructionsTabelleText"/>
                <w:rFonts w:ascii="Times New Roman" w:hAnsi="Times New Roman"/>
                <w:spacing w:val="-2"/>
                <w:sz w:val="24"/>
              </w:rPr>
              <w:t xml:space="preserve"> čistej pozície predmetnej expozície PKI vynásobená koeficientom 12,5</w:t>
            </w:r>
            <w:r w:rsidR="00D85C65" w:rsidRPr="006A4431">
              <w:rPr>
                <w:rStyle w:val="FormatvorlageInstructionsTabelleText"/>
                <w:rFonts w:ascii="Times New Roman" w:hAnsi="Times New Roman"/>
                <w:spacing w:val="-2"/>
                <w:sz w:val="24"/>
              </w:rPr>
              <w:t>.</w:t>
            </w:r>
          </w:p>
          <w:p w14:paraId="0DB91ABE" w14:textId="540BBEED" w:rsidR="00235D9D" w:rsidRPr="006A4431" w:rsidRDefault="00FF2818">
            <w:pPr>
              <w:rPr>
                <w:rStyle w:val="InstructionsTabelleberschrift"/>
                <w:rFonts w:ascii="Times New Roman" w:hAnsi="Times New Roman"/>
                <w:spacing w:val="-2"/>
                <w:sz w:val="24"/>
              </w:rPr>
            </w:pPr>
            <w:r w:rsidRPr="006A4431">
              <w:rPr>
                <w:rStyle w:val="FormatvorlageInstructionsTabelleText"/>
                <w:rFonts w:ascii="Times New Roman" w:hAnsi="Times New Roman"/>
                <w:spacing w:val="-2"/>
                <w:sz w:val="24"/>
              </w:rPr>
              <w:t>Keď sa uplatňuje osobitný prístup ustanovený</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348 ods. 1 druhej vete CRR, hodnota, ktorá sa má vykázať, je nižšia hodnota spomedzi 32</w:t>
            </w:r>
            <w:r w:rsidR="00D85C65" w:rsidRPr="006A4431">
              <w:rPr>
                <w:rStyle w:val="FormatvorlageInstructionsTabelleText"/>
                <w:rFonts w:ascii="Times New Roman" w:hAnsi="Times New Roman"/>
                <w:spacing w:val="-2"/>
                <w:sz w:val="24"/>
              </w:rPr>
              <w:t> %</w:t>
            </w:r>
            <w:r w:rsidRPr="006A4431">
              <w:rPr>
                <w:rStyle w:val="FormatvorlageInstructionsTabelleText"/>
                <w:rFonts w:ascii="Times New Roman" w:hAnsi="Times New Roman"/>
                <w:spacing w:val="-2"/>
                <w:sz w:val="24"/>
              </w:rPr>
              <w:t xml:space="preserve"> čistej pozície príslušnej expozície PKI</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rozdielu medzi 40</w:t>
            </w:r>
            <w:r w:rsidR="00D85C65" w:rsidRPr="006A4431">
              <w:rPr>
                <w:rStyle w:val="FormatvorlageInstructionsTabelleText"/>
                <w:rFonts w:ascii="Times New Roman" w:hAnsi="Times New Roman"/>
                <w:spacing w:val="-2"/>
                <w:sz w:val="24"/>
              </w:rPr>
              <w:t> %</w:t>
            </w:r>
            <w:r w:rsidRPr="006A4431">
              <w:rPr>
                <w:rStyle w:val="FormatvorlageInstructionsTabelleText"/>
                <w:rFonts w:ascii="Times New Roman" w:hAnsi="Times New Roman"/>
                <w:spacing w:val="-2"/>
                <w:sz w:val="24"/>
              </w:rPr>
              <w:t xml:space="preserve"> tejto čistej pozície</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požiadavkami na vlastné zdroje, ktoré vyplývajú</w:t>
            </w:r>
            <w:r w:rsidR="00D85C65" w:rsidRPr="006A4431">
              <w:rPr>
                <w:rStyle w:val="FormatvorlageInstructionsTabelleText"/>
                <w:rFonts w:ascii="Times New Roman" w:hAnsi="Times New Roman"/>
                <w:spacing w:val="-2"/>
                <w:sz w:val="24"/>
              </w:rPr>
              <w:t xml:space="preserve"> z </w:t>
            </w:r>
            <w:r w:rsidRPr="006A4431">
              <w:rPr>
                <w:rStyle w:val="FormatvorlageInstructionsTabelleText"/>
                <w:rFonts w:ascii="Times New Roman" w:hAnsi="Times New Roman"/>
                <w:spacing w:val="-2"/>
                <w:sz w:val="24"/>
              </w:rPr>
              <w:t>devízového rizika spojeného</w:t>
            </w:r>
            <w:r w:rsidR="00D85C65" w:rsidRPr="006A4431">
              <w:rPr>
                <w:rStyle w:val="FormatvorlageInstructionsTabelleText"/>
                <w:rFonts w:ascii="Times New Roman" w:hAnsi="Times New Roman"/>
                <w:spacing w:val="-2"/>
                <w:sz w:val="24"/>
              </w:rPr>
              <w:t xml:space="preserve"> s </w:t>
            </w:r>
            <w:r w:rsidRPr="006A4431">
              <w:rPr>
                <w:rStyle w:val="FormatvorlageInstructionsTabelleText"/>
                <w:rFonts w:ascii="Times New Roman" w:hAnsi="Times New Roman"/>
                <w:spacing w:val="-2"/>
                <w:sz w:val="24"/>
              </w:rPr>
              <w:t>expozíciou PKI, vynásobená koeficientom 12,5.</w:t>
            </w:r>
          </w:p>
        </w:tc>
      </w:tr>
      <w:tr w:rsidR="00235D9D" w:rsidRPr="006A4431" w14:paraId="5F8F466B" w14:textId="77777777" w:rsidTr="00672D2A">
        <w:tc>
          <w:tcPr>
            <w:tcW w:w="1591" w:type="dxa"/>
          </w:tcPr>
          <w:p w14:paraId="6BD392C5"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556</w:t>
            </w:r>
          </w:p>
        </w:tc>
        <w:tc>
          <w:tcPr>
            <w:tcW w:w="7274" w:type="dxa"/>
          </w:tcPr>
          <w:p w14:paraId="2EB28AFA" w14:textId="7CE298FE"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1.3.1.3.*</w:t>
            </w:r>
            <w:r w:rsidRPr="006A4431">
              <w:rPr>
                <w:rStyle w:val="InstructionsTabelleberschrift"/>
                <w:rFonts w:ascii="Times New Roman" w:hAnsi="Times New Roman"/>
                <w:spacing w:val="-2"/>
                <w:sz w:val="24"/>
              </w:rPr>
              <w:tab/>
              <w:t>Doplňujúca položka: PKI investované výhradne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obchodovaných dlhových nástrojoch</w:t>
            </w:r>
          </w:p>
          <w:p w14:paraId="128A5298" w14:textId="1B85803F" w:rsidR="00235D9D" w:rsidRPr="006A4431" w:rsidRDefault="00802958">
            <w:pPr>
              <w:rPr>
                <w:rStyle w:val="InstructionsTabelleberschrift"/>
                <w:rFonts w:ascii="Times New Roman" w:hAnsi="Times New Roman"/>
                <w:spacing w:val="-2"/>
                <w:sz w:val="24"/>
              </w:rPr>
            </w:pPr>
            <w:r w:rsidRPr="006A4431">
              <w:rPr>
                <w:rStyle w:val="FormatvorlageInstructionsTabelleText"/>
                <w:rFonts w:ascii="Times New Roman" w:hAnsi="Times New Roman"/>
                <w:spacing w:val="-2"/>
                <w:sz w:val="24"/>
              </w:rPr>
              <w:t>Celková hodnota rizikových expozícií pre pozície</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PKI, ak sú PKI investované výhradne</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nástrojoch podliehajúcich úrokovému riziku.</w:t>
            </w:r>
          </w:p>
        </w:tc>
      </w:tr>
      <w:tr w:rsidR="00235D9D" w:rsidRPr="006A4431" w14:paraId="00A25B82" w14:textId="77777777" w:rsidTr="00672D2A">
        <w:tc>
          <w:tcPr>
            <w:tcW w:w="1591" w:type="dxa"/>
          </w:tcPr>
          <w:p w14:paraId="168D4F5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557</w:t>
            </w:r>
          </w:p>
        </w:tc>
        <w:tc>
          <w:tcPr>
            <w:tcW w:w="7274" w:type="dxa"/>
          </w:tcPr>
          <w:p w14:paraId="462A6A1E"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1.3.1.3.**</w:t>
            </w:r>
            <w:r w:rsidRPr="006A4431">
              <w:rPr>
                <w:rStyle w:val="InstructionsTabelleberschrift"/>
                <w:rFonts w:ascii="Times New Roman" w:hAnsi="Times New Roman"/>
                <w:spacing w:val="-2"/>
                <w:sz w:val="24"/>
              </w:rPr>
              <w:tab/>
              <w:t>PKI, ktoré investovali výlučne do nástrojov vlastného imania alebo zmiešaných nástrojov</w:t>
            </w:r>
          </w:p>
          <w:p w14:paraId="6435D7BD" w14:textId="5384C428" w:rsidR="00235D9D" w:rsidRPr="006A4431" w:rsidRDefault="00802958">
            <w:pPr>
              <w:rPr>
                <w:rStyle w:val="InstructionsTabelleberschrift"/>
                <w:rFonts w:ascii="Times New Roman" w:hAnsi="Times New Roman"/>
                <w:spacing w:val="-2"/>
                <w:sz w:val="24"/>
              </w:rPr>
            </w:pPr>
            <w:r w:rsidRPr="006A4431">
              <w:rPr>
                <w:rStyle w:val="FormatvorlageInstructionsTabelleText"/>
                <w:rFonts w:ascii="Times New Roman" w:hAnsi="Times New Roman"/>
                <w:spacing w:val="-2"/>
                <w:sz w:val="24"/>
              </w:rPr>
              <w:t>Celková hodnota rizikových expozícií pre pozície</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PKI, ak sú PKI investované buď výhradne</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nástrojoch podliehajúcich úrokovému riziku, alebo</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zmiešaných nástrojoch, alebo ak sú zložky PKI neznáme.</w:t>
            </w:r>
          </w:p>
        </w:tc>
      </w:tr>
      <w:tr w:rsidR="00235D9D" w:rsidRPr="006A4431" w14:paraId="0B1079E2" w14:textId="77777777" w:rsidTr="00672D2A">
        <w:tc>
          <w:tcPr>
            <w:tcW w:w="1591" w:type="dxa"/>
          </w:tcPr>
          <w:p w14:paraId="6F9D48A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560</w:t>
            </w:r>
          </w:p>
        </w:tc>
        <w:tc>
          <w:tcPr>
            <w:tcW w:w="7274" w:type="dxa"/>
          </w:tcPr>
          <w:p w14:paraId="7FF8A12E"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1.3.1.4.</w:t>
            </w:r>
            <w:r w:rsidRPr="006A4431">
              <w:rPr>
                <w:rStyle w:val="InstructionsTabelleberschrift"/>
                <w:rFonts w:ascii="Times New Roman" w:hAnsi="Times New Roman"/>
                <w:spacing w:val="-2"/>
                <w:sz w:val="24"/>
              </w:rPr>
              <w:tab/>
              <w:t>Devízy</w:t>
            </w:r>
          </w:p>
          <w:p w14:paraId="004C52C8"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MKR SA FX</w:t>
            </w:r>
          </w:p>
        </w:tc>
      </w:tr>
      <w:tr w:rsidR="00235D9D" w:rsidRPr="006A4431" w14:paraId="3FFD78A9" w14:textId="77777777" w:rsidTr="00672D2A">
        <w:tc>
          <w:tcPr>
            <w:tcW w:w="1591" w:type="dxa"/>
          </w:tcPr>
          <w:p w14:paraId="12208190"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570</w:t>
            </w:r>
          </w:p>
        </w:tc>
        <w:tc>
          <w:tcPr>
            <w:tcW w:w="7274" w:type="dxa"/>
          </w:tcPr>
          <w:p w14:paraId="0417247C"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1.3.1.5.</w:t>
            </w:r>
            <w:r w:rsidRPr="006A4431">
              <w:rPr>
                <w:rStyle w:val="InstructionsTabelleberschrift"/>
                <w:rFonts w:ascii="Times New Roman" w:hAnsi="Times New Roman"/>
                <w:spacing w:val="-2"/>
                <w:sz w:val="24"/>
              </w:rPr>
              <w:tab/>
              <w:t>Komodity</w:t>
            </w:r>
          </w:p>
          <w:p w14:paraId="06DF4F9A"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Pozri vzor MKR SA COM</w:t>
            </w:r>
          </w:p>
        </w:tc>
      </w:tr>
      <w:tr w:rsidR="00235D9D" w:rsidRPr="006A4431" w14:paraId="196BE463" w14:textId="77777777" w:rsidTr="00672D2A">
        <w:tc>
          <w:tcPr>
            <w:tcW w:w="1591" w:type="dxa"/>
          </w:tcPr>
          <w:p w14:paraId="7A0AC5F1" w14:textId="77777777" w:rsidR="00235D9D" w:rsidRPr="006A4431" w:rsidRDefault="00802958">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lastRenderedPageBreak/>
              <w:t>580</w:t>
            </w:r>
          </w:p>
        </w:tc>
        <w:tc>
          <w:tcPr>
            <w:tcW w:w="7274" w:type="dxa"/>
          </w:tcPr>
          <w:p w14:paraId="0A58AF48" w14:textId="0BD705B5"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1.3.2.</w:t>
            </w:r>
            <w:r w:rsidRPr="006A4431">
              <w:rPr>
                <w:rStyle w:val="InstructionsTabelleberschrift"/>
                <w:rFonts w:ascii="Times New Roman" w:hAnsi="Times New Roman"/>
                <w:spacing w:val="-2"/>
                <w:sz w:val="24"/>
              </w:rPr>
              <w:tab/>
              <w:t>Hodnota rizikových expozícií pre pozičné, devízové</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komoditné riziko</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rámci prístupu interných modelov (IM)</w:t>
            </w:r>
          </w:p>
          <w:p w14:paraId="07491309"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MKR IM</w:t>
            </w:r>
          </w:p>
        </w:tc>
      </w:tr>
      <w:tr w:rsidR="00235D9D" w:rsidRPr="006A4431" w14:paraId="5E3B4D02" w14:textId="77777777" w:rsidTr="00672D2A">
        <w:tc>
          <w:tcPr>
            <w:tcW w:w="1591" w:type="dxa"/>
          </w:tcPr>
          <w:p w14:paraId="5B257292"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590</w:t>
            </w:r>
          </w:p>
        </w:tc>
        <w:tc>
          <w:tcPr>
            <w:tcW w:w="7274" w:type="dxa"/>
          </w:tcPr>
          <w:p w14:paraId="46A92541"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ab/>
              <w:t>CELKOVÁ HODNOTA RIZIKOVÝCH EXPOZÍCIÍ PRE OPERAČNÉ RIZIKO (OpR)</w:t>
            </w:r>
          </w:p>
          <w:p w14:paraId="6206FCC3" w14:textId="25ED8DEB" w:rsidR="00235D9D" w:rsidRPr="006A4431" w:rsidRDefault="006A6822">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t>Článok 92 ods. 3 písm. e)</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92 ods. 4 písm. b) CRR.</w:t>
            </w:r>
          </w:p>
          <w:p w14:paraId="411BAFFD" w14:textId="7968CE64"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Pre investičné spoločnosti podľa článku 95 ods. 2, článku 96 ods. 2</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článku 98 CRR je tento prvok nula.</w:t>
            </w:r>
          </w:p>
        </w:tc>
      </w:tr>
      <w:tr w:rsidR="00235D9D" w:rsidRPr="006A4431" w14:paraId="4900037A" w14:textId="77777777" w:rsidTr="00672D2A">
        <w:tc>
          <w:tcPr>
            <w:tcW w:w="1591" w:type="dxa"/>
          </w:tcPr>
          <w:p w14:paraId="2406263C" w14:textId="77777777" w:rsidR="00235D9D" w:rsidRPr="006A4431" w:rsidRDefault="00802958">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t>600</w:t>
            </w:r>
          </w:p>
        </w:tc>
        <w:tc>
          <w:tcPr>
            <w:tcW w:w="7274" w:type="dxa"/>
          </w:tcPr>
          <w:p w14:paraId="1AF5A3D7" w14:textId="77777777" w:rsidR="00235D9D" w:rsidRPr="006A4431" w:rsidRDefault="00802958">
            <w:pPr>
              <w:pStyle w:val="InstructionsText"/>
              <w:rPr>
                <w:rStyle w:val="FormatvorlageInstructionsTabelleText"/>
                <w:rFonts w:ascii="Times New Roman" w:hAnsi="Times New Roman"/>
                <w:bCs w:val="0"/>
                <w:spacing w:val="-2"/>
                <w:sz w:val="24"/>
              </w:rPr>
            </w:pPr>
            <w:r w:rsidRPr="006A4431">
              <w:rPr>
                <w:rStyle w:val="InstructionsTabelleberschrift"/>
                <w:rFonts w:ascii="Times New Roman" w:hAnsi="Times New Roman"/>
                <w:spacing w:val="-2"/>
                <w:sz w:val="24"/>
              </w:rPr>
              <w:t>1.4.1.</w:t>
            </w:r>
            <w:r w:rsidRPr="006A4431">
              <w:rPr>
                <w:rStyle w:val="InstructionsTabelleberschrift"/>
                <w:rFonts w:ascii="Times New Roman" w:hAnsi="Times New Roman"/>
                <w:spacing w:val="-2"/>
                <w:sz w:val="24"/>
              </w:rPr>
              <w:tab/>
              <w:t>OpR Prístup základného ukazovateľa (BIA)</w:t>
            </w:r>
          </w:p>
          <w:p w14:paraId="5C9B32FD"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OPR</w:t>
            </w:r>
          </w:p>
        </w:tc>
      </w:tr>
      <w:tr w:rsidR="00235D9D" w:rsidRPr="006A4431" w14:paraId="4C21A175" w14:textId="77777777" w:rsidTr="00672D2A">
        <w:tc>
          <w:tcPr>
            <w:tcW w:w="1591" w:type="dxa"/>
          </w:tcPr>
          <w:p w14:paraId="20924AEB"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610</w:t>
            </w:r>
          </w:p>
        </w:tc>
        <w:tc>
          <w:tcPr>
            <w:tcW w:w="7274" w:type="dxa"/>
          </w:tcPr>
          <w:p w14:paraId="2750ECEB"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1.4.2.</w:t>
            </w:r>
            <w:r w:rsidRPr="006A4431">
              <w:rPr>
                <w:rStyle w:val="InstructionsTabelleberschrift"/>
                <w:rFonts w:ascii="Times New Roman" w:hAnsi="Times New Roman"/>
                <w:spacing w:val="-2"/>
                <w:sz w:val="24"/>
              </w:rPr>
              <w:tab/>
              <w:t>OpR štandardizovaný (TSA)/alternatívny štandardizovaný (ASA) prístup</w:t>
            </w:r>
          </w:p>
          <w:p w14:paraId="669DBB26"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OPR</w:t>
            </w:r>
          </w:p>
        </w:tc>
      </w:tr>
      <w:tr w:rsidR="00235D9D" w:rsidRPr="006A4431" w14:paraId="48959B8B" w14:textId="77777777" w:rsidTr="00672D2A">
        <w:tc>
          <w:tcPr>
            <w:tcW w:w="1591" w:type="dxa"/>
          </w:tcPr>
          <w:p w14:paraId="413BDA9F"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620</w:t>
            </w:r>
          </w:p>
        </w:tc>
        <w:tc>
          <w:tcPr>
            <w:tcW w:w="7274" w:type="dxa"/>
          </w:tcPr>
          <w:p w14:paraId="303EECCA"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1.4.3.</w:t>
            </w:r>
            <w:r w:rsidRPr="006A4431">
              <w:rPr>
                <w:rStyle w:val="InstructionsTabelleberschrift"/>
                <w:rFonts w:ascii="Times New Roman" w:hAnsi="Times New Roman"/>
                <w:spacing w:val="-2"/>
                <w:sz w:val="24"/>
              </w:rPr>
              <w:tab/>
              <w:t>OpR pokročilé prístupy merania (AMA)</w:t>
            </w:r>
          </w:p>
          <w:p w14:paraId="790ED1DA" w14:textId="77777777"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OPR</w:t>
            </w:r>
          </w:p>
        </w:tc>
      </w:tr>
      <w:tr w:rsidR="00235D9D" w:rsidRPr="006A4431" w14:paraId="0B82BF31" w14:textId="77777777" w:rsidTr="00672D2A">
        <w:tc>
          <w:tcPr>
            <w:tcW w:w="1591" w:type="dxa"/>
          </w:tcPr>
          <w:p w14:paraId="2E7D0D5F"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630</w:t>
            </w:r>
          </w:p>
        </w:tc>
        <w:tc>
          <w:tcPr>
            <w:tcW w:w="7274" w:type="dxa"/>
          </w:tcPr>
          <w:p w14:paraId="0E76C23E"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1.5.</w:t>
            </w:r>
            <w:r w:rsidRPr="006A4431">
              <w:rPr>
                <w:rStyle w:val="InstructionsTabelleberschrift"/>
                <w:rFonts w:ascii="Times New Roman" w:hAnsi="Times New Roman"/>
                <w:spacing w:val="-2"/>
                <w:sz w:val="24"/>
              </w:rPr>
              <w:tab/>
              <w:t>DODATOČNÁ HODNOTA RIZIKOVÝCH EXPOZÍCIÍ NA ZÁKLADE FIXNÝCH REŽIJNÝCH NÁKLADOV</w:t>
            </w:r>
          </w:p>
          <w:p w14:paraId="7D0677FF" w14:textId="5AA67522"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Článok 95 ods. 2</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96 ods. 2, článok 97</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článok 98 ods. 1 písm. a) CRR.</w:t>
            </w:r>
          </w:p>
          <w:p w14:paraId="6AA4CACE" w14:textId="76B78F0C" w:rsidR="00D85C65"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Len pre investičné spoločnosti podľa článku 95 ods. 2, článku 96 ods. 2</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článku 98 CRR. Pozri aj článok 97 CRR</w:t>
            </w:r>
            <w:r w:rsidR="00D85C65" w:rsidRPr="006A4431">
              <w:rPr>
                <w:rStyle w:val="FormatvorlageInstructionsTabelleText"/>
                <w:rFonts w:ascii="Times New Roman" w:hAnsi="Times New Roman"/>
                <w:spacing w:val="-2"/>
                <w:sz w:val="24"/>
              </w:rPr>
              <w:t>.</w:t>
            </w:r>
          </w:p>
          <w:p w14:paraId="4E80C506" w14:textId="42E62558"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Investičné spoločnosti podľa článku 96 CRR vykazujú hodnotu uvedenú</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97 vynásobenú koeficientom 12,5.</w:t>
            </w:r>
          </w:p>
          <w:p w14:paraId="3D13536B" w14:textId="4CE9D405"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Investičné spoločnosti podľa článku 95 CRR vykazujú takto:</w:t>
            </w:r>
          </w:p>
          <w:p w14:paraId="2973FA5A" w14:textId="62C361CA"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Arial" w:hAnsi="Arial"/>
                <w:spacing w:val="-2"/>
                <w:sz w:val="24"/>
              </w:rPr>
              <w:t>–</w:t>
            </w:r>
            <w:r w:rsidRPr="006A4431">
              <w:rPr>
                <w:rStyle w:val="FormatvorlageInstructionsTabelleText"/>
                <w:rFonts w:ascii="Arial" w:hAnsi="Arial"/>
                <w:spacing w:val="-2"/>
                <w:sz w:val="24"/>
              </w:rPr>
              <w:tab/>
            </w:r>
            <w:r w:rsidRPr="006A4431">
              <w:rPr>
                <w:rStyle w:val="FormatvorlageInstructionsTabelleText"/>
                <w:rFonts w:ascii="Times New Roman" w:hAnsi="Times New Roman"/>
                <w:spacing w:val="-2"/>
                <w:sz w:val="24"/>
              </w:rPr>
              <w:t xml:space="preserve">Keď je </w:t>
            </w:r>
            <w:r w:rsidRPr="006A4431">
              <w:rPr>
                <w:spacing w:val="-2"/>
              </w:rPr>
              <w:t>hodnota</w:t>
            </w:r>
            <w:r w:rsidRPr="006A4431">
              <w:rPr>
                <w:rStyle w:val="FormatvorlageInstructionsTabelleText"/>
                <w:rFonts w:ascii="Times New Roman" w:hAnsi="Times New Roman"/>
                <w:spacing w:val="-2"/>
                <w:sz w:val="24"/>
              </w:rPr>
              <w:t xml:space="preserve"> uvedená</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95 ods. 2 písm. a) CRR väčšia než hodnota uvedená</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95 ods. 2 písm. b) CRR, vykazuje sa hodnota nula.</w:t>
            </w:r>
          </w:p>
          <w:p w14:paraId="6158174D" w14:textId="57AEE029"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Arial" w:hAnsi="Arial"/>
                <w:spacing w:val="-2"/>
                <w:sz w:val="24"/>
              </w:rPr>
              <w:t>–</w:t>
            </w:r>
            <w:r w:rsidRPr="006A4431">
              <w:rPr>
                <w:rStyle w:val="FormatvorlageInstructionsTabelleText"/>
                <w:rFonts w:ascii="Arial" w:hAnsi="Arial"/>
                <w:spacing w:val="-2"/>
                <w:sz w:val="24"/>
              </w:rPr>
              <w:tab/>
            </w:r>
            <w:r w:rsidRPr="006A4431">
              <w:rPr>
                <w:rStyle w:val="FormatvorlageInstructionsTabelleText"/>
                <w:rFonts w:ascii="Times New Roman" w:hAnsi="Times New Roman"/>
                <w:spacing w:val="-2"/>
                <w:sz w:val="24"/>
              </w:rPr>
              <w:t>Keď je</w:t>
            </w:r>
            <w:r w:rsidRPr="006A4431">
              <w:rPr>
                <w:spacing w:val="-2"/>
              </w:rPr>
              <w:t xml:space="preserve"> hodnota</w:t>
            </w:r>
            <w:r w:rsidRPr="006A4431">
              <w:rPr>
                <w:rStyle w:val="FormatvorlageInstructionsTabelleText"/>
                <w:rFonts w:ascii="Times New Roman" w:hAnsi="Times New Roman"/>
                <w:spacing w:val="-2"/>
                <w:sz w:val="24"/>
              </w:rPr>
              <w:t xml:space="preserve"> uvedená</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článku 95 ods. 2 písm. b) CRR väčšia než hodnota uvedená</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 xml:space="preserve">článku 95 ods. 2 písm. a) CRR, vykazovaná hodnota je výsledok odpočtu druhej hodnoty od prvej. </w:t>
            </w:r>
          </w:p>
        </w:tc>
      </w:tr>
      <w:tr w:rsidR="00235D9D" w:rsidRPr="006A4431" w14:paraId="74E989F8" w14:textId="77777777" w:rsidTr="00672D2A">
        <w:tc>
          <w:tcPr>
            <w:tcW w:w="1591" w:type="dxa"/>
          </w:tcPr>
          <w:p w14:paraId="31ED6297"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640</w:t>
            </w:r>
          </w:p>
        </w:tc>
        <w:tc>
          <w:tcPr>
            <w:tcW w:w="7274" w:type="dxa"/>
          </w:tcPr>
          <w:p w14:paraId="7AEBFFA3"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1.6.</w:t>
            </w:r>
            <w:r w:rsidRPr="006A4431">
              <w:rPr>
                <w:rStyle w:val="InstructionsTabelleberschrift"/>
                <w:rFonts w:ascii="Times New Roman" w:hAnsi="Times New Roman"/>
                <w:spacing w:val="-2"/>
                <w:sz w:val="24"/>
              </w:rPr>
              <w:tab/>
              <w:t>CELKOVÁ HODNOTA RIZIKOVÝCH EXPOZÍCIÍ PRE ÚPRAVU OCENENIA POHĽADÁVKY (CVA)</w:t>
            </w:r>
          </w:p>
          <w:p w14:paraId="4ABB06AD" w14:textId="3EFD469C" w:rsidR="00235D9D" w:rsidRPr="006A4431" w:rsidRDefault="006A6822">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92 ods. 3 písm. d) CRR.</w:t>
            </w:r>
          </w:p>
          <w:p w14:paraId="03FBFB6F" w14:textId="02BD4349" w:rsidR="00235D9D" w:rsidRPr="006A4431" w:rsidRDefault="00802958">
            <w:pPr>
              <w:pStyle w:val="InstructionsText"/>
              <w:rPr>
                <w:rStyle w:val="FormatvorlageInstructionsTabelleText"/>
                <w:rFonts w:ascii="Times New Roman" w:hAnsi="Times New Roman"/>
                <w:bCs w:val="0"/>
                <w:spacing w:val="-2"/>
                <w:sz w:val="24"/>
              </w:rPr>
            </w:pPr>
            <w:r w:rsidRPr="006A4431">
              <w:rPr>
                <w:rStyle w:val="InstructionsTabelleberschrift"/>
                <w:rFonts w:ascii="Times New Roman" w:hAnsi="Times New Roman"/>
                <w:b w:val="0"/>
                <w:spacing w:val="-2"/>
                <w:sz w:val="24"/>
                <w:u w:val="none"/>
              </w:rPr>
              <w:t>Pozri vzor CVA.</w:t>
            </w:r>
            <w:r w:rsidRPr="006A4431">
              <w:rPr>
                <w:rStyle w:val="FormatvorlageInstructionsTabelleText"/>
                <w:rFonts w:ascii="Times New Roman" w:hAnsi="Times New Roman"/>
                <w:spacing w:val="-2"/>
                <w:sz w:val="24"/>
              </w:rPr>
              <w:t xml:space="preserve"> </w:t>
            </w:r>
          </w:p>
        </w:tc>
      </w:tr>
      <w:tr w:rsidR="00235D9D" w:rsidRPr="006A4431" w14:paraId="6E44CB89" w14:textId="77777777" w:rsidTr="00672D2A">
        <w:tc>
          <w:tcPr>
            <w:tcW w:w="1591" w:type="dxa"/>
          </w:tcPr>
          <w:p w14:paraId="3E5ED539"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650</w:t>
            </w:r>
          </w:p>
        </w:tc>
        <w:tc>
          <w:tcPr>
            <w:tcW w:w="7274" w:type="dxa"/>
          </w:tcPr>
          <w:p w14:paraId="5726B55C" w14:textId="77777777" w:rsidR="00235D9D" w:rsidRPr="006A4431" w:rsidRDefault="00802958">
            <w:pPr>
              <w:pStyle w:val="InstructionsText"/>
              <w:rPr>
                <w:rStyle w:val="Formatvorlage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1.6.1.</w:t>
            </w:r>
            <w:r w:rsidRPr="006A4431">
              <w:rPr>
                <w:rStyle w:val="InstructionsTabelleberschrift"/>
                <w:rFonts w:ascii="Times New Roman" w:hAnsi="Times New Roman"/>
                <w:spacing w:val="-2"/>
                <w:sz w:val="24"/>
              </w:rPr>
              <w:tab/>
              <w:t>Pokročilá metóda</w:t>
            </w:r>
          </w:p>
          <w:p w14:paraId="03087978" w14:textId="575159E1"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Požiadavky na vlastné zdroje pre riziko úpravy ocenenia pohľadávok</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súlade</w:t>
            </w:r>
            <w:r w:rsidR="00D85C65" w:rsidRPr="006A4431">
              <w:rPr>
                <w:rStyle w:val="FormatvorlageInstructionsTabelleText"/>
                <w:rFonts w:ascii="Times New Roman" w:hAnsi="Times New Roman"/>
                <w:spacing w:val="-2"/>
                <w:sz w:val="24"/>
              </w:rPr>
              <w:t xml:space="preserve"> s </w:t>
            </w:r>
            <w:r w:rsidRPr="006A4431">
              <w:rPr>
                <w:rStyle w:val="FormatvorlageInstructionsTabelleText"/>
                <w:rFonts w:ascii="Times New Roman" w:hAnsi="Times New Roman"/>
                <w:spacing w:val="-2"/>
                <w:sz w:val="24"/>
              </w:rPr>
              <w:t>článkom 383 CRR.</w:t>
            </w:r>
          </w:p>
          <w:p w14:paraId="7728AB69" w14:textId="7F4084C5"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CVA.</w:t>
            </w:r>
          </w:p>
        </w:tc>
      </w:tr>
      <w:tr w:rsidR="00235D9D" w:rsidRPr="006A4431" w14:paraId="0434AAFF" w14:textId="77777777" w:rsidTr="00672D2A">
        <w:tc>
          <w:tcPr>
            <w:tcW w:w="1591" w:type="dxa"/>
          </w:tcPr>
          <w:p w14:paraId="6041495E"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lastRenderedPageBreak/>
              <w:t>660</w:t>
            </w:r>
          </w:p>
        </w:tc>
        <w:tc>
          <w:tcPr>
            <w:tcW w:w="7274" w:type="dxa"/>
          </w:tcPr>
          <w:p w14:paraId="43A88C11" w14:textId="77777777" w:rsidR="00235D9D" w:rsidRPr="006A4431" w:rsidRDefault="00802958">
            <w:pPr>
              <w:pStyle w:val="InstructionsText"/>
              <w:rPr>
                <w:rStyle w:val="Formatvorlage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1.6.2.</w:t>
            </w:r>
            <w:r w:rsidRPr="006A4431">
              <w:rPr>
                <w:rStyle w:val="InstructionsTabelleberschrift"/>
                <w:rFonts w:ascii="Times New Roman" w:hAnsi="Times New Roman"/>
                <w:spacing w:val="-2"/>
                <w:sz w:val="24"/>
              </w:rPr>
              <w:tab/>
              <w:t>Štandardizovaná metóda</w:t>
            </w:r>
          </w:p>
          <w:p w14:paraId="144454D9" w14:textId="6CA86516" w:rsidR="00D85C65"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Požiadavky na vlastné zdroje pre riziko úpravy ocenenia pohľadávok</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súlade</w:t>
            </w:r>
            <w:r w:rsidR="00D85C65" w:rsidRPr="006A4431">
              <w:rPr>
                <w:rStyle w:val="FormatvorlageInstructionsTabelleText"/>
                <w:rFonts w:ascii="Times New Roman" w:hAnsi="Times New Roman"/>
                <w:spacing w:val="-2"/>
                <w:sz w:val="24"/>
              </w:rPr>
              <w:t xml:space="preserve"> s </w:t>
            </w:r>
            <w:r w:rsidRPr="006A4431">
              <w:rPr>
                <w:rStyle w:val="FormatvorlageInstructionsTabelleText"/>
                <w:rFonts w:ascii="Times New Roman" w:hAnsi="Times New Roman"/>
                <w:spacing w:val="-2"/>
                <w:sz w:val="24"/>
              </w:rPr>
              <w:t>článkom 384 CRR</w:t>
            </w:r>
            <w:r w:rsidR="00D85C65" w:rsidRPr="006A4431">
              <w:rPr>
                <w:rStyle w:val="FormatvorlageInstructionsTabelleText"/>
                <w:rFonts w:ascii="Times New Roman" w:hAnsi="Times New Roman"/>
                <w:spacing w:val="-2"/>
                <w:sz w:val="24"/>
              </w:rPr>
              <w:t>.</w:t>
            </w:r>
          </w:p>
          <w:p w14:paraId="39F196D8" w14:textId="4F052AB6" w:rsidR="00235D9D" w:rsidRPr="006A4431" w:rsidRDefault="00802958">
            <w:pPr>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Pozri vzor CVA.</w:t>
            </w:r>
          </w:p>
        </w:tc>
      </w:tr>
      <w:tr w:rsidR="00235D9D" w:rsidRPr="006A4431" w14:paraId="18F81D0E" w14:textId="77777777" w:rsidTr="00672D2A">
        <w:tc>
          <w:tcPr>
            <w:tcW w:w="1591" w:type="dxa"/>
          </w:tcPr>
          <w:p w14:paraId="7390B9E5"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670</w:t>
            </w:r>
          </w:p>
        </w:tc>
        <w:tc>
          <w:tcPr>
            <w:tcW w:w="7274" w:type="dxa"/>
          </w:tcPr>
          <w:p w14:paraId="12388E6A" w14:textId="77777777" w:rsidR="00235D9D" w:rsidRPr="006A4431" w:rsidRDefault="00802958">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1.6.3.</w:t>
            </w:r>
            <w:r w:rsidRPr="006A4431">
              <w:rPr>
                <w:rStyle w:val="InstructionsTabelleberschrift"/>
                <w:rFonts w:ascii="Times New Roman" w:hAnsi="Times New Roman"/>
                <w:spacing w:val="-2"/>
                <w:sz w:val="24"/>
              </w:rPr>
              <w:tab/>
              <w:t>Na základe metódy pôvodnej expozície</w:t>
            </w:r>
          </w:p>
          <w:p w14:paraId="387FF45F" w14:textId="56081BD4" w:rsidR="00D85C65"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Požiadavky na vlastné zdroje pre riziko úpravy ocenenia pohľadávok</w:t>
            </w:r>
            <w:r w:rsidR="00D85C65" w:rsidRPr="006A4431">
              <w:rPr>
                <w:rStyle w:val="FormatvorlageInstructionsTabelleText"/>
                <w:rFonts w:ascii="Times New Roman" w:hAnsi="Times New Roman"/>
                <w:spacing w:val="-2"/>
                <w:sz w:val="24"/>
              </w:rPr>
              <w:t xml:space="preserve"> v </w:t>
            </w:r>
            <w:r w:rsidRPr="006A4431">
              <w:rPr>
                <w:rStyle w:val="FormatvorlageInstructionsTabelleText"/>
                <w:rFonts w:ascii="Times New Roman" w:hAnsi="Times New Roman"/>
                <w:spacing w:val="-2"/>
                <w:sz w:val="24"/>
              </w:rPr>
              <w:t>súlade</w:t>
            </w:r>
            <w:r w:rsidR="00D85C65" w:rsidRPr="006A4431">
              <w:rPr>
                <w:rStyle w:val="FormatvorlageInstructionsTabelleText"/>
                <w:rFonts w:ascii="Times New Roman" w:hAnsi="Times New Roman"/>
                <w:spacing w:val="-2"/>
                <w:sz w:val="24"/>
              </w:rPr>
              <w:t xml:space="preserve"> s </w:t>
            </w:r>
            <w:r w:rsidRPr="006A4431">
              <w:rPr>
                <w:rStyle w:val="FormatvorlageInstructionsTabelleText"/>
                <w:rFonts w:ascii="Times New Roman" w:hAnsi="Times New Roman"/>
                <w:spacing w:val="-2"/>
                <w:sz w:val="24"/>
              </w:rPr>
              <w:t>článkom 385 CRR</w:t>
            </w:r>
            <w:r w:rsidR="00D85C65" w:rsidRPr="006A4431">
              <w:rPr>
                <w:rStyle w:val="FormatvorlageInstructionsTabelleText"/>
                <w:rFonts w:ascii="Times New Roman" w:hAnsi="Times New Roman"/>
                <w:spacing w:val="-2"/>
                <w:sz w:val="24"/>
              </w:rPr>
              <w:t>.</w:t>
            </w:r>
          </w:p>
          <w:p w14:paraId="353DA538" w14:textId="1C77BC4F" w:rsidR="00235D9D" w:rsidRPr="006A4431" w:rsidRDefault="00802958">
            <w:pPr>
              <w:pStyle w:val="InstructionsText"/>
              <w:rPr>
                <w:rStyle w:val="InstructionsTabelleberschrift"/>
                <w:rFonts w:ascii="Times New Roman" w:hAnsi="Times New Roman"/>
                <w:b w:val="0"/>
                <w:bCs w:val="0"/>
                <w:spacing w:val="-2"/>
                <w:sz w:val="24"/>
                <w:u w:val="none"/>
              </w:rPr>
            </w:pPr>
            <w:r w:rsidRPr="006A4431">
              <w:rPr>
                <w:rStyle w:val="FormatvorlageInstructionsTabelleText"/>
                <w:rFonts w:ascii="Times New Roman" w:hAnsi="Times New Roman"/>
                <w:spacing w:val="-2"/>
                <w:sz w:val="24"/>
              </w:rPr>
              <w:t>Pozri vzor CVA.</w:t>
            </w:r>
          </w:p>
        </w:tc>
      </w:tr>
      <w:tr w:rsidR="00235D9D" w:rsidRPr="006A4431" w14:paraId="7F433145" w14:textId="77777777" w:rsidTr="00672D2A">
        <w:tc>
          <w:tcPr>
            <w:tcW w:w="1591" w:type="dxa"/>
          </w:tcPr>
          <w:p w14:paraId="017F4F0C" w14:textId="77777777" w:rsidR="00235D9D" w:rsidRPr="006A4431" w:rsidRDefault="00802958">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t>680</w:t>
            </w:r>
          </w:p>
        </w:tc>
        <w:tc>
          <w:tcPr>
            <w:tcW w:w="7274" w:type="dxa"/>
          </w:tcPr>
          <w:p w14:paraId="0C08323D" w14:textId="1BDCF575" w:rsidR="00235D9D" w:rsidRPr="006A4431" w:rsidRDefault="00802958">
            <w:pPr>
              <w:pStyle w:val="InstructionsText"/>
              <w:rPr>
                <w:rStyle w:val="FormatvorlageInstructionsTabelleText"/>
                <w:rFonts w:ascii="Times New Roman" w:hAnsi="Times New Roman"/>
                <w:b/>
                <w:bCs w:val="0"/>
                <w:spacing w:val="-2"/>
                <w:sz w:val="24"/>
                <w:u w:val="single"/>
              </w:rPr>
            </w:pPr>
            <w:r w:rsidRPr="006A4431">
              <w:rPr>
                <w:rStyle w:val="InstructionsTabelleberschrift"/>
                <w:rFonts w:ascii="Times New Roman" w:hAnsi="Times New Roman"/>
                <w:spacing w:val="-2"/>
                <w:sz w:val="24"/>
              </w:rPr>
              <w:t>1.7.</w:t>
            </w:r>
            <w:r w:rsidRPr="006A4431">
              <w:rPr>
                <w:rStyle w:val="InstructionsTabelleberschrift"/>
                <w:rFonts w:ascii="Times New Roman" w:hAnsi="Times New Roman"/>
                <w:spacing w:val="-2"/>
                <w:sz w:val="24"/>
              </w:rPr>
              <w:tab/>
              <w:t>CELKOVÁ HODNOTA RIZIKOVÝCH EXPOZÍCIÍ SÚVISIACA</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VEĽKOU MAJETKOVOU ANGAŽOVANOSŤOU</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OBCHODNEJ KNIHE</w:t>
            </w:r>
          </w:p>
          <w:p w14:paraId="317C0E73" w14:textId="0C6035CB" w:rsidR="00235D9D" w:rsidRPr="006A4431" w:rsidRDefault="006A6822">
            <w:pPr>
              <w:pStyle w:val="InstructionsText"/>
              <w:rPr>
                <w:rStyle w:val="FormatvorlageInstructionsTabelleText"/>
                <w:rFonts w:ascii="Times New Roman" w:hAnsi="Times New Roman"/>
                <w:bCs w:val="0"/>
                <w:spacing w:val="-2"/>
                <w:sz w:val="24"/>
              </w:rPr>
            </w:pPr>
            <w:r w:rsidRPr="006A4431">
              <w:rPr>
                <w:rStyle w:val="FormatvorlageInstructionsTabelleText"/>
                <w:rFonts w:ascii="Times New Roman" w:hAnsi="Times New Roman"/>
                <w:spacing w:val="-2"/>
                <w:sz w:val="24"/>
              </w:rPr>
              <w:t>Článok 92 ods. 3 písm. b) bod ii)</w:t>
            </w:r>
            <w:r w:rsidR="00D85C65" w:rsidRPr="006A4431">
              <w:rPr>
                <w:rStyle w:val="FormatvorlageInstructionsTabelleText"/>
                <w:rFonts w:ascii="Times New Roman" w:hAnsi="Times New Roman"/>
                <w:spacing w:val="-2"/>
                <w:sz w:val="24"/>
              </w:rPr>
              <w:t xml:space="preserve"> a </w:t>
            </w:r>
            <w:r w:rsidRPr="006A4431">
              <w:rPr>
                <w:rStyle w:val="FormatvorlageInstructionsTabelleText"/>
                <w:rFonts w:ascii="Times New Roman" w:hAnsi="Times New Roman"/>
                <w:spacing w:val="-2"/>
                <w:sz w:val="24"/>
              </w:rPr>
              <w:t>články 395 až 401 CRR.</w:t>
            </w:r>
          </w:p>
        </w:tc>
      </w:tr>
      <w:tr w:rsidR="00235D9D" w:rsidRPr="006A4431" w14:paraId="5CF4A89A" w14:textId="77777777" w:rsidTr="00672D2A">
        <w:tc>
          <w:tcPr>
            <w:tcW w:w="1591" w:type="dxa"/>
          </w:tcPr>
          <w:p w14:paraId="4FC6244E"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690</w:t>
            </w:r>
          </w:p>
        </w:tc>
        <w:tc>
          <w:tcPr>
            <w:tcW w:w="7274" w:type="dxa"/>
          </w:tcPr>
          <w:p w14:paraId="7F6BACB5"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1.8.</w:t>
            </w:r>
            <w:r w:rsidRPr="006A4431">
              <w:rPr>
                <w:rStyle w:val="InstructionsTabelleberschrift"/>
                <w:rFonts w:ascii="Times New Roman" w:hAnsi="Times New Roman"/>
                <w:spacing w:val="-2"/>
                <w:sz w:val="24"/>
              </w:rPr>
              <w:tab/>
              <w:t>INÉ HODNOTY RIZIKOVÝCH EXPOZÍCIÍ</w:t>
            </w:r>
          </w:p>
          <w:p w14:paraId="58BEA124" w14:textId="6D067DC8" w:rsidR="00D85C65" w:rsidRPr="006A4431" w:rsidRDefault="0080295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Články 3, 458</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459 CRR</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hodnoty rizikových expozícií, ktoré nemožno priradiť</w:t>
            </w:r>
            <w:r w:rsidR="00D85C65" w:rsidRPr="006A4431">
              <w:rPr>
                <w:rStyle w:val="InstructionsTabelleberschrift"/>
                <w:rFonts w:ascii="Times New Roman" w:hAnsi="Times New Roman"/>
                <w:b w:val="0"/>
                <w:spacing w:val="-2"/>
                <w:sz w:val="24"/>
                <w:u w:val="none"/>
              </w:rPr>
              <w:t xml:space="preserve"> k </w:t>
            </w:r>
            <w:r w:rsidRPr="006A4431">
              <w:rPr>
                <w:rStyle w:val="InstructionsTabelleberschrift"/>
                <w:rFonts w:ascii="Times New Roman" w:hAnsi="Times New Roman"/>
                <w:b w:val="0"/>
                <w:spacing w:val="-2"/>
                <w:sz w:val="24"/>
                <w:u w:val="none"/>
              </w:rPr>
              <w:t>žiadnej</w:t>
            </w:r>
            <w:r w:rsidR="00D85C65" w:rsidRPr="006A4431">
              <w:rPr>
                <w:rStyle w:val="InstructionsTabelleberschrift"/>
                <w:rFonts w:ascii="Times New Roman" w:hAnsi="Times New Roman"/>
                <w:b w:val="0"/>
                <w:spacing w:val="-2"/>
                <w:sz w:val="24"/>
                <w:u w:val="none"/>
              </w:rPr>
              <w:t xml:space="preserve"> z </w:t>
            </w:r>
            <w:r w:rsidRPr="006A4431">
              <w:rPr>
                <w:rStyle w:val="InstructionsTabelleberschrift"/>
                <w:rFonts w:ascii="Times New Roman" w:hAnsi="Times New Roman"/>
                <w:b w:val="0"/>
                <w:spacing w:val="-2"/>
                <w:sz w:val="24"/>
                <w:u w:val="none"/>
              </w:rPr>
              <w:t>položiek 1.1 až 1.7</w:t>
            </w:r>
            <w:r w:rsidR="00D85C65" w:rsidRPr="006A4431">
              <w:rPr>
                <w:rStyle w:val="InstructionsTabelleberschrift"/>
                <w:rFonts w:ascii="Times New Roman" w:hAnsi="Times New Roman"/>
                <w:b w:val="0"/>
                <w:spacing w:val="-2"/>
                <w:sz w:val="24"/>
                <w:u w:val="none"/>
              </w:rPr>
              <w:t>.</w:t>
            </w:r>
          </w:p>
          <w:p w14:paraId="4B0A35FF" w14:textId="1FCEB9E7" w:rsidR="00235D9D" w:rsidRPr="006A4431" w:rsidRDefault="00802958">
            <w:pPr>
              <w:pStyle w:val="InstructionsText"/>
              <w:rPr>
                <w:rStyle w:val="InstructionsTabelleberschrift"/>
                <w:rFonts w:ascii="Times New Roman" w:hAnsi="Times New Roman"/>
                <w:b w:val="0"/>
                <w:bCs w:val="0"/>
                <w:spacing w:val="-2"/>
                <w:sz w:val="24"/>
                <w:u w:val="none"/>
              </w:rPr>
            </w:pPr>
            <w:r w:rsidRPr="006A4431">
              <w:rPr>
                <w:rStyle w:val="InstructionsTabelleberschrift"/>
                <w:rFonts w:ascii="Times New Roman" w:hAnsi="Times New Roman"/>
                <w:b w:val="0"/>
                <w:spacing w:val="-2"/>
                <w:sz w:val="24"/>
                <w:u w:val="none"/>
              </w:rPr>
              <w:t>Inštitúcie vykazujú hodnoty potrebné na splnenie týchto požiadaviek:</w:t>
            </w:r>
          </w:p>
          <w:p w14:paraId="33314E24" w14:textId="7DB6B7CF" w:rsidR="00D85C65" w:rsidRPr="006A4431" w:rsidRDefault="0080295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Prísnejšie prudenciálne požiadavky stanovené Komisiou</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súlade</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článkami 458</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459 CRR</w:t>
            </w:r>
            <w:r w:rsidR="00D85C65" w:rsidRPr="006A4431">
              <w:rPr>
                <w:rStyle w:val="InstructionsTabelleberschrift"/>
                <w:rFonts w:ascii="Times New Roman" w:hAnsi="Times New Roman"/>
                <w:b w:val="0"/>
                <w:spacing w:val="-2"/>
                <w:sz w:val="24"/>
                <w:u w:val="none"/>
              </w:rPr>
              <w:t>.</w:t>
            </w:r>
          </w:p>
          <w:p w14:paraId="0DD7C206" w14:textId="2438D432" w:rsidR="00235D9D" w:rsidRPr="006A4431" w:rsidRDefault="00802958">
            <w:pPr>
              <w:pStyle w:val="InstructionsText"/>
              <w:rPr>
                <w:rStyle w:val="InstructionsTabelleberschrift"/>
                <w:rFonts w:ascii="Times New Roman" w:hAnsi="Times New Roman"/>
                <w:b w:val="0"/>
                <w:bCs w:val="0"/>
                <w:spacing w:val="-2"/>
                <w:sz w:val="24"/>
                <w:u w:val="none"/>
              </w:rPr>
            </w:pPr>
            <w:r w:rsidRPr="006A4431">
              <w:rPr>
                <w:rStyle w:val="InstructionsTabelleberschrift"/>
                <w:rFonts w:ascii="Times New Roman" w:hAnsi="Times New Roman"/>
                <w:b w:val="0"/>
                <w:spacing w:val="-2"/>
                <w:sz w:val="24"/>
                <w:u w:val="none"/>
              </w:rPr>
              <w:t>Dodatočné hodnoty rizikových expozícií na základe článku 3 CRR.</w:t>
            </w:r>
          </w:p>
          <w:p w14:paraId="293B2484" w14:textId="0B7A1D91" w:rsidR="00235D9D" w:rsidRPr="006A4431" w:rsidRDefault="00802958">
            <w:pPr>
              <w:pStyle w:val="InstructionsText"/>
              <w:rPr>
                <w:rStyle w:val="InstructionsTabelleberschrift"/>
                <w:rFonts w:ascii="Times New Roman" w:hAnsi="Times New Roman"/>
                <w:bCs w:val="0"/>
                <w:spacing w:val="-2"/>
                <w:sz w:val="24"/>
                <w:u w:val="none"/>
              </w:rPr>
            </w:pPr>
            <w:r w:rsidRPr="006A4431">
              <w:rPr>
                <w:rStyle w:val="InstructionsTabelleberschrift"/>
                <w:rFonts w:ascii="Times New Roman" w:hAnsi="Times New Roman"/>
                <w:b w:val="0"/>
                <w:spacing w:val="-2"/>
                <w:sz w:val="24"/>
                <w:u w:val="none"/>
              </w:rPr>
              <w:t>Táto položka nie je spojená</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 xml:space="preserve">podrobným vzorom. </w:t>
            </w:r>
          </w:p>
        </w:tc>
      </w:tr>
      <w:tr w:rsidR="00235D9D" w:rsidRPr="006A4431" w14:paraId="118D557D" w14:textId="77777777" w:rsidTr="00672D2A">
        <w:tc>
          <w:tcPr>
            <w:tcW w:w="1591" w:type="dxa"/>
          </w:tcPr>
          <w:p w14:paraId="30F5152E"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710</w:t>
            </w:r>
          </w:p>
        </w:tc>
        <w:tc>
          <w:tcPr>
            <w:tcW w:w="7274" w:type="dxa"/>
          </w:tcPr>
          <w:p w14:paraId="453A5B81"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1.8.2.</w:t>
            </w:r>
            <w:r w:rsidRPr="006A4431">
              <w:rPr>
                <w:rStyle w:val="InstructionsTabelleberschrift"/>
                <w:rFonts w:ascii="Times New Roman" w:hAnsi="Times New Roman"/>
                <w:spacing w:val="-2"/>
                <w:sz w:val="24"/>
              </w:rPr>
              <w:tab/>
              <w:t>Z čoho: dodatočné prísnejšie prudenciálne požiadavky na základe článku 458 CRR</w:t>
            </w:r>
          </w:p>
          <w:p w14:paraId="6AD53CE0" w14:textId="06898263" w:rsidR="00235D9D" w:rsidRPr="006A4431" w:rsidRDefault="00802958">
            <w:pPr>
              <w:pStyle w:val="InstructionsText"/>
              <w:rPr>
                <w:rStyle w:val="InstructionsTabelleberschrift"/>
                <w:rFonts w:ascii="Times New Roman" w:hAnsi="Times New Roman"/>
                <w:b w:val="0"/>
                <w:spacing w:val="-2"/>
                <w:sz w:val="24"/>
                <w:u w:val="none"/>
              </w:rPr>
            </w:pPr>
            <w:r w:rsidRPr="006A4431">
              <w:rPr>
                <w:rStyle w:val="FormatvorlageInstructionsTabelleText"/>
                <w:rFonts w:ascii="Times New Roman" w:hAnsi="Times New Roman"/>
                <w:spacing w:val="-2"/>
                <w:sz w:val="24"/>
              </w:rPr>
              <w:t>Článok 458 CRR.</w:t>
            </w:r>
          </w:p>
        </w:tc>
      </w:tr>
      <w:tr w:rsidR="00235D9D" w:rsidRPr="006A4431" w14:paraId="695B749E" w14:textId="77777777" w:rsidTr="00672D2A">
        <w:tc>
          <w:tcPr>
            <w:tcW w:w="1591" w:type="dxa"/>
          </w:tcPr>
          <w:p w14:paraId="7615567A"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720</w:t>
            </w:r>
          </w:p>
        </w:tc>
        <w:tc>
          <w:tcPr>
            <w:tcW w:w="7274" w:type="dxa"/>
          </w:tcPr>
          <w:p w14:paraId="2BA37DC2" w14:textId="77777777" w:rsidR="00235D9D" w:rsidRPr="006A4431" w:rsidRDefault="00802958">
            <w:pPr>
              <w:pStyle w:val="InstructionsText"/>
              <w:rPr>
                <w:spacing w:val="-2"/>
              </w:rPr>
            </w:pPr>
            <w:r w:rsidRPr="006A4431">
              <w:rPr>
                <w:rStyle w:val="InstructionsTabelleberschrift"/>
                <w:rFonts w:ascii="Times New Roman" w:hAnsi="Times New Roman"/>
                <w:spacing w:val="-2"/>
                <w:sz w:val="24"/>
              </w:rPr>
              <w:t>1.8.2.*</w:t>
            </w:r>
            <w:r w:rsidRPr="006A4431">
              <w:rPr>
                <w:rStyle w:val="InstructionsTabelleberschrift"/>
                <w:rFonts w:ascii="Times New Roman" w:hAnsi="Times New Roman"/>
                <w:spacing w:val="-2"/>
                <w:sz w:val="24"/>
              </w:rPr>
              <w:tab/>
              <w:t>Z čoho: požiadavky pre veľkú majetkovú angažovanosť</w:t>
            </w:r>
          </w:p>
          <w:p w14:paraId="3A1C43A2" w14:textId="645BCF34" w:rsidR="00235D9D" w:rsidRPr="006A4431" w:rsidRDefault="00802958">
            <w:pPr>
              <w:pStyle w:val="InstructionsText"/>
              <w:rPr>
                <w:rStyle w:val="InstructionsTabelleberschrift"/>
                <w:rFonts w:ascii="Times New Roman" w:hAnsi="Times New Roman"/>
                <w:spacing w:val="-2"/>
                <w:sz w:val="24"/>
              </w:rPr>
            </w:pPr>
            <w:r w:rsidRPr="006A4431">
              <w:rPr>
                <w:spacing w:val="-2"/>
              </w:rPr>
              <w:t>Článok 458 CRR.</w:t>
            </w:r>
          </w:p>
        </w:tc>
      </w:tr>
      <w:tr w:rsidR="00235D9D" w:rsidRPr="006A4431" w14:paraId="4806BF13" w14:textId="77777777" w:rsidTr="00672D2A">
        <w:tc>
          <w:tcPr>
            <w:tcW w:w="1591" w:type="dxa"/>
          </w:tcPr>
          <w:p w14:paraId="7495B846"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730</w:t>
            </w:r>
          </w:p>
        </w:tc>
        <w:tc>
          <w:tcPr>
            <w:tcW w:w="7274" w:type="dxa"/>
          </w:tcPr>
          <w:p w14:paraId="2ECB3E55" w14:textId="255A61E3" w:rsidR="00235D9D" w:rsidRPr="006A4431" w:rsidRDefault="00802958">
            <w:pPr>
              <w:pStyle w:val="InstructionsText"/>
              <w:rPr>
                <w:spacing w:val="-2"/>
              </w:rPr>
            </w:pPr>
            <w:r w:rsidRPr="006A4431">
              <w:rPr>
                <w:rStyle w:val="InstructionsTabelleberschrift"/>
                <w:rFonts w:ascii="Times New Roman" w:hAnsi="Times New Roman"/>
                <w:spacing w:val="-2"/>
                <w:sz w:val="24"/>
              </w:rPr>
              <w:t>1.8.2.**</w:t>
            </w:r>
            <w:r w:rsidRPr="006A4431">
              <w:rPr>
                <w:rStyle w:val="InstructionsTabelleberschrift"/>
                <w:rFonts w:ascii="Times New Roman" w:hAnsi="Times New Roman"/>
                <w:spacing w:val="-2"/>
                <w:sz w:val="24"/>
              </w:rPr>
              <w:tab/>
              <w:t>Z čoho: na základe modifikovaných rizikových váh zameraných na majetkové bubliny</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sektore nehnuteľného majetku určeného na bývanie</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podnikanie</w:t>
            </w:r>
          </w:p>
          <w:p w14:paraId="462301BE" w14:textId="3128E36B" w:rsidR="00235D9D" w:rsidRPr="006A4431" w:rsidRDefault="00802958">
            <w:pPr>
              <w:pStyle w:val="InstructionsText"/>
              <w:rPr>
                <w:rStyle w:val="InstructionsTabelleberschrift"/>
                <w:rFonts w:ascii="Times New Roman" w:hAnsi="Times New Roman"/>
                <w:spacing w:val="-2"/>
                <w:sz w:val="24"/>
              </w:rPr>
            </w:pPr>
            <w:r w:rsidRPr="006A4431">
              <w:rPr>
                <w:spacing w:val="-2"/>
              </w:rPr>
              <w:t>Článok 458 CRR.</w:t>
            </w:r>
          </w:p>
        </w:tc>
      </w:tr>
      <w:tr w:rsidR="00235D9D" w:rsidRPr="006A4431" w14:paraId="02369509" w14:textId="77777777" w:rsidTr="00672D2A">
        <w:tc>
          <w:tcPr>
            <w:tcW w:w="1591" w:type="dxa"/>
          </w:tcPr>
          <w:p w14:paraId="45DD08B4"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740</w:t>
            </w:r>
          </w:p>
        </w:tc>
        <w:tc>
          <w:tcPr>
            <w:tcW w:w="7274" w:type="dxa"/>
          </w:tcPr>
          <w:p w14:paraId="4BA3C233" w14:textId="77777777" w:rsidR="00235D9D" w:rsidRPr="006A4431" w:rsidRDefault="00802958">
            <w:pPr>
              <w:pStyle w:val="InstructionsText"/>
              <w:rPr>
                <w:spacing w:val="-2"/>
              </w:rPr>
            </w:pPr>
            <w:r w:rsidRPr="006A4431">
              <w:rPr>
                <w:rStyle w:val="InstructionsTabelleberschrift"/>
                <w:rFonts w:ascii="Times New Roman" w:hAnsi="Times New Roman"/>
                <w:spacing w:val="-2"/>
                <w:sz w:val="24"/>
              </w:rPr>
              <w:t>1.8.2.***</w:t>
            </w:r>
            <w:r w:rsidRPr="006A4431">
              <w:rPr>
                <w:rStyle w:val="InstructionsTabelleberschrift"/>
                <w:rFonts w:ascii="Times New Roman" w:hAnsi="Times New Roman"/>
                <w:spacing w:val="-2"/>
                <w:sz w:val="24"/>
              </w:rPr>
              <w:tab/>
              <w:t>Z čoho: na základe expozícií vo vnútri finančného sektora</w:t>
            </w:r>
          </w:p>
          <w:p w14:paraId="645DEC14" w14:textId="08A95E6F" w:rsidR="00235D9D" w:rsidRPr="006A4431" w:rsidRDefault="00802958">
            <w:pPr>
              <w:pStyle w:val="InstructionsText"/>
              <w:rPr>
                <w:rStyle w:val="InstructionsTabelleberschrift"/>
                <w:rFonts w:ascii="Times New Roman" w:hAnsi="Times New Roman"/>
                <w:spacing w:val="-2"/>
                <w:sz w:val="24"/>
              </w:rPr>
            </w:pPr>
            <w:r w:rsidRPr="006A4431">
              <w:rPr>
                <w:spacing w:val="-2"/>
              </w:rPr>
              <w:t>Článok 458 CRR.</w:t>
            </w:r>
          </w:p>
        </w:tc>
      </w:tr>
      <w:tr w:rsidR="00235D9D" w:rsidRPr="006A4431" w14:paraId="1A9359AA" w14:textId="77777777" w:rsidTr="00672D2A">
        <w:tc>
          <w:tcPr>
            <w:tcW w:w="1591" w:type="dxa"/>
          </w:tcPr>
          <w:p w14:paraId="03001E9D"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750</w:t>
            </w:r>
          </w:p>
        </w:tc>
        <w:tc>
          <w:tcPr>
            <w:tcW w:w="7274" w:type="dxa"/>
          </w:tcPr>
          <w:p w14:paraId="36A32430"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1.8.3.</w:t>
            </w:r>
            <w:r w:rsidRPr="006A4431">
              <w:rPr>
                <w:rStyle w:val="InstructionsTabelleberschrift"/>
                <w:rFonts w:ascii="Times New Roman" w:hAnsi="Times New Roman"/>
                <w:spacing w:val="-2"/>
                <w:sz w:val="24"/>
              </w:rPr>
              <w:tab/>
              <w:t>Z čoho: Dodatočné prísnejšie prudenciálne požiadavky na základe článku 459 CRR</w:t>
            </w:r>
          </w:p>
          <w:p w14:paraId="2BB003ED" w14:textId="649884A4" w:rsidR="00235D9D" w:rsidRPr="006A4431" w:rsidRDefault="00802958">
            <w:pPr>
              <w:pStyle w:val="InstructionsText"/>
              <w:rPr>
                <w:rStyle w:val="InstructionsTabelleberschrift"/>
                <w:rFonts w:ascii="Times New Roman" w:hAnsi="Times New Roman"/>
                <w:spacing w:val="-2"/>
                <w:sz w:val="24"/>
              </w:rPr>
            </w:pPr>
            <w:r w:rsidRPr="006A4431">
              <w:rPr>
                <w:rStyle w:val="FormatvorlageInstructionsTabelleText"/>
                <w:rFonts w:ascii="Times New Roman" w:hAnsi="Times New Roman"/>
                <w:spacing w:val="-2"/>
                <w:sz w:val="24"/>
              </w:rPr>
              <w:t>Článok 459 CRR.</w:t>
            </w:r>
          </w:p>
        </w:tc>
      </w:tr>
      <w:tr w:rsidR="00235D9D" w:rsidRPr="006A4431" w14:paraId="3B785553" w14:textId="77777777" w:rsidTr="00672D2A">
        <w:tc>
          <w:tcPr>
            <w:tcW w:w="1591" w:type="dxa"/>
            <w:shd w:val="clear" w:color="auto" w:fill="auto"/>
          </w:tcPr>
          <w:p w14:paraId="21E39BF0"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760</w:t>
            </w:r>
          </w:p>
        </w:tc>
        <w:tc>
          <w:tcPr>
            <w:tcW w:w="7274" w:type="dxa"/>
          </w:tcPr>
          <w:p w14:paraId="33E1FD1C" w14:textId="77777777" w:rsidR="00235D9D" w:rsidRPr="006A4431" w:rsidRDefault="0080295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1.8.4.</w:t>
            </w:r>
            <w:r w:rsidRPr="006A4431">
              <w:rPr>
                <w:rStyle w:val="InstructionsTabelleberschrift"/>
                <w:rFonts w:ascii="Times New Roman" w:hAnsi="Times New Roman"/>
                <w:spacing w:val="-2"/>
                <w:sz w:val="24"/>
              </w:rPr>
              <w:tab/>
              <w:t>Z čoho: Dodatočná hodnota rizikových expozícií na základe článku 3 CRR</w:t>
            </w:r>
          </w:p>
          <w:p w14:paraId="7FB7FA7A" w14:textId="77777777" w:rsidR="00235D9D" w:rsidRPr="006A4431" w:rsidRDefault="00802958">
            <w:pPr>
              <w:pStyle w:val="InstructionsText"/>
              <w:rPr>
                <w:rStyle w:val="FormatvorlageInstructionsTabelleText"/>
                <w:rFonts w:ascii="Times New Roman" w:hAnsi="Times New Roman"/>
                <w:spacing w:val="-2"/>
                <w:sz w:val="24"/>
              </w:rPr>
            </w:pPr>
            <w:r w:rsidRPr="006A4431">
              <w:rPr>
                <w:rStyle w:val="FormatvorlageInstructionsTabelleText"/>
                <w:rFonts w:ascii="Times New Roman" w:hAnsi="Times New Roman"/>
                <w:spacing w:val="-2"/>
                <w:sz w:val="24"/>
              </w:rPr>
              <w:t>Článok 3 CRR.</w:t>
            </w:r>
          </w:p>
          <w:p w14:paraId="50111C52" w14:textId="4B9FFD13" w:rsidR="00235D9D" w:rsidRPr="006A4431" w:rsidRDefault="0080295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lastRenderedPageBreak/>
              <w:t>Dodatočná hodnota rizikových expozícií sa musí vykazovať. Zahŕňa len dodatočné hodnoty (napr. keď expozícia vo výške 100 má rizikovú váhu 20</w:t>
            </w:r>
            <w:r w:rsidR="00D85C65" w:rsidRPr="006A4431">
              <w:rPr>
                <w:rStyle w:val="InstructionsTabelleberschrift"/>
                <w:rFonts w:ascii="Times New Roman" w:hAnsi="Times New Roman"/>
                <w:b w:val="0"/>
                <w:spacing w:val="-2"/>
                <w:sz w:val="24"/>
                <w:u w:val="none"/>
              </w:rPr>
              <w:t> % a </w:t>
            </w:r>
            <w:r w:rsidRPr="006A4431">
              <w:rPr>
                <w:rStyle w:val="InstructionsTabelleberschrift"/>
                <w:rFonts w:ascii="Times New Roman" w:hAnsi="Times New Roman"/>
                <w:b w:val="0"/>
                <w:spacing w:val="-2"/>
                <w:sz w:val="24"/>
                <w:u w:val="none"/>
              </w:rPr>
              <w:t>inštitúcia uplatní rizikovú váhu 50</w:t>
            </w:r>
            <w:r w:rsidR="00D85C65" w:rsidRPr="006A4431">
              <w:rPr>
                <w:rStyle w:val="InstructionsTabelleberschrift"/>
                <w:rFonts w:ascii="Times New Roman" w:hAnsi="Times New Roman"/>
                <w:b w:val="0"/>
                <w:spacing w:val="-2"/>
                <w:sz w:val="24"/>
                <w:u w:val="none"/>
              </w:rPr>
              <w:t> %</w:t>
            </w:r>
            <w:r w:rsidRPr="006A4431">
              <w:rPr>
                <w:rStyle w:val="InstructionsTabelleberschrift"/>
                <w:rFonts w:ascii="Times New Roman" w:hAnsi="Times New Roman"/>
                <w:b w:val="0"/>
                <w:spacing w:val="-2"/>
                <w:sz w:val="24"/>
                <w:u w:val="none"/>
              </w:rPr>
              <w:t xml:space="preserve"> na základe článku 3 CRR, vykazovaná hodnota je 30). </w:t>
            </w:r>
          </w:p>
        </w:tc>
      </w:tr>
    </w:tbl>
    <w:p w14:paraId="648D5123" w14:textId="77777777" w:rsidR="00D85C65" w:rsidRPr="006A4431" w:rsidRDefault="00936DD1">
      <w:pPr>
        <w:pStyle w:val="Instructionsberschrift2"/>
        <w:numPr>
          <w:ilvl w:val="0"/>
          <w:numId w:val="0"/>
        </w:numPr>
        <w:ind w:left="357" w:hanging="357"/>
        <w:rPr>
          <w:rFonts w:ascii="Times New Roman" w:hAnsi="Times New Roman"/>
          <w:spacing w:val="-2"/>
          <w:sz w:val="24"/>
          <w:u w:val="none"/>
        </w:rPr>
      </w:pPr>
      <w:bookmarkStart w:id="13" w:name="_Toc29994456"/>
      <w:r w:rsidRPr="006A4431">
        <w:rPr>
          <w:rFonts w:ascii="Times New Roman" w:hAnsi="Times New Roman"/>
          <w:spacing w:val="-2"/>
          <w:sz w:val="24"/>
          <w:u w:val="none"/>
        </w:rPr>
        <w:lastRenderedPageBreak/>
        <w:t>1.4.</w:t>
      </w:r>
      <w:r w:rsidRPr="006A4431">
        <w:rPr>
          <w:rFonts w:ascii="Times New Roman" w:hAnsi="Times New Roman"/>
          <w:spacing w:val="-2"/>
          <w:sz w:val="24"/>
          <w:u w:val="none"/>
        </w:rPr>
        <w:tab/>
        <w:t>C 03.00 – PODIELY A ÚROVNE KAPITÁLU (CA3)</w:t>
      </w:r>
      <w:bookmarkEnd w:id="13"/>
    </w:p>
    <w:p w14:paraId="251B5EFA" w14:textId="012787B1"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14" w:name="_Toc29994457"/>
      <w:r w:rsidRPr="006A4431">
        <w:rPr>
          <w:rFonts w:ascii="Times New Roman" w:hAnsi="Times New Roman"/>
          <w:spacing w:val="-2"/>
          <w:sz w:val="24"/>
          <w:u w:val="none"/>
        </w:rPr>
        <w:t>1.4.1.</w:t>
      </w:r>
      <w:r w:rsidRPr="006A4431">
        <w:rPr>
          <w:rFonts w:ascii="Times New Roman" w:hAnsi="Times New Roman"/>
          <w:spacing w:val="-2"/>
          <w:sz w:val="24"/>
          <w:u w:val="none"/>
        </w:rPr>
        <w:tab/>
      </w:r>
      <w:r w:rsidRPr="006A4431">
        <w:rPr>
          <w:rFonts w:ascii="Times New Roman" w:hAnsi="Times New Roman"/>
          <w:spacing w:val="-2"/>
          <w:sz w:val="24"/>
        </w:rPr>
        <w:t>Pokyny týkajúce sa konkrétnych pozícií</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35D9D" w:rsidRPr="006A4431" w14:paraId="69F7082E" w14:textId="77777777" w:rsidTr="00672D2A">
        <w:tc>
          <w:tcPr>
            <w:tcW w:w="8783" w:type="dxa"/>
            <w:gridSpan w:val="2"/>
            <w:shd w:val="clear" w:color="auto" w:fill="D9D9D9"/>
          </w:tcPr>
          <w:p w14:paraId="26176128" w14:textId="77777777" w:rsidR="00235D9D" w:rsidRPr="006A4431" w:rsidRDefault="002648B0">
            <w:pPr>
              <w:pStyle w:val="InstructionsText"/>
              <w:rPr>
                <w:spacing w:val="-2"/>
              </w:rPr>
            </w:pPr>
            <w:r w:rsidRPr="006A4431">
              <w:rPr>
                <w:spacing w:val="-2"/>
              </w:rPr>
              <w:t>Riadky</w:t>
            </w:r>
          </w:p>
        </w:tc>
      </w:tr>
      <w:tr w:rsidR="00235D9D" w:rsidRPr="006A4431" w14:paraId="4A10826C" w14:textId="77777777" w:rsidTr="00672D2A">
        <w:tc>
          <w:tcPr>
            <w:tcW w:w="703" w:type="dxa"/>
          </w:tcPr>
          <w:p w14:paraId="4501C5F2" w14:textId="77777777" w:rsidR="00235D9D" w:rsidRPr="006A4431" w:rsidRDefault="002648B0">
            <w:pPr>
              <w:pStyle w:val="InstructionsText"/>
              <w:rPr>
                <w:spacing w:val="-2"/>
              </w:rPr>
            </w:pPr>
            <w:r w:rsidRPr="006A4431">
              <w:rPr>
                <w:spacing w:val="-2"/>
              </w:rPr>
              <w:t>010</w:t>
            </w:r>
          </w:p>
        </w:tc>
        <w:tc>
          <w:tcPr>
            <w:tcW w:w="8080" w:type="dxa"/>
          </w:tcPr>
          <w:p w14:paraId="7013AAB4"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1.</w:t>
            </w:r>
            <w:r w:rsidRPr="006A4431">
              <w:rPr>
                <w:rStyle w:val="InstructionsTabelleberschrift"/>
                <w:rFonts w:ascii="Times New Roman" w:hAnsi="Times New Roman"/>
                <w:spacing w:val="-2"/>
                <w:sz w:val="24"/>
              </w:rPr>
              <w:tab/>
              <w:t>Podiel kapitálu CET1</w:t>
            </w:r>
          </w:p>
          <w:p w14:paraId="3D88BAC5" w14:textId="1903C688" w:rsidR="00235D9D" w:rsidRPr="006A4431" w:rsidRDefault="00705025">
            <w:pPr>
              <w:pStyle w:val="InstructionsText"/>
              <w:rPr>
                <w:spacing w:val="-2"/>
              </w:rPr>
            </w:pPr>
            <w:r w:rsidRPr="006A4431">
              <w:rPr>
                <w:spacing w:val="-2"/>
              </w:rPr>
              <w:t>Článok 92 ods. 2 písm. a) CRR.</w:t>
            </w:r>
          </w:p>
          <w:p w14:paraId="4171E950" w14:textId="77777777" w:rsidR="00235D9D" w:rsidRPr="006A4431" w:rsidRDefault="002648B0">
            <w:pPr>
              <w:pStyle w:val="InstructionsText"/>
              <w:rPr>
                <w:spacing w:val="-2"/>
              </w:rPr>
            </w:pPr>
            <w:r w:rsidRPr="006A4431">
              <w:rPr>
                <w:spacing w:val="-2"/>
              </w:rPr>
              <w:t>Podiel kapitálu CET1 je kapitál CET1 inštitúcie vyjadrený ako percentuálny podiel celkovej hodnoty rizikových expozícií.</w:t>
            </w:r>
          </w:p>
        </w:tc>
      </w:tr>
      <w:tr w:rsidR="00235D9D" w:rsidRPr="006A4431" w14:paraId="12AC9865" w14:textId="77777777" w:rsidTr="00672D2A">
        <w:tc>
          <w:tcPr>
            <w:tcW w:w="703" w:type="dxa"/>
          </w:tcPr>
          <w:p w14:paraId="76683356" w14:textId="77777777" w:rsidR="00235D9D" w:rsidRPr="006A4431" w:rsidRDefault="002648B0">
            <w:pPr>
              <w:pStyle w:val="InstructionsText"/>
              <w:rPr>
                <w:spacing w:val="-2"/>
              </w:rPr>
            </w:pPr>
            <w:r w:rsidRPr="006A4431">
              <w:rPr>
                <w:spacing w:val="-2"/>
              </w:rPr>
              <w:t>020</w:t>
            </w:r>
          </w:p>
        </w:tc>
        <w:tc>
          <w:tcPr>
            <w:tcW w:w="8080" w:type="dxa"/>
          </w:tcPr>
          <w:p w14:paraId="16865CBC"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2.</w:t>
            </w:r>
            <w:r w:rsidRPr="006A4431">
              <w:rPr>
                <w:rStyle w:val="InstructionsTabelleberschrift"/>
                <w:rFonts w:ascii="Times New Roman" w:hAnsi="Times New Roman"/>
                <w:spacing w:val="-2"/>
                <w:sz w:val="24"/>
              </w:rPr>
              <w:tab/>
              <w:t>Nadbytok (+)/schodok (-) kapitálu CET1</w:t>
            </w:r>
          </w:p>
          <w:p w14:paraId="3BA060C1" w14:textId="07EE7FD5" w:rsidR="00235D9D" w:rsidRPr="006A4431" w:rsidRDefault="002648B0">
            <w:pPr>
              <w:pStyle w:val="InstructionsText"/>
              <w:rPr>
                <w:spacing w:val="-2"/>
              </w:rPr>
            </w:pPr>
            <w:r w:rsidRPr="006A4431">
              <w:rPr>
                <w:spacing w:val="-2"/>
              </w:rPr>
              <w:t>Táto položka</w:t>
            </w:r>
            <w:r w:rsidR="00D85C65" w:rsidRPr="006A4431">
              <w:rPr>
                <w:spacing w:val="-2"/>
              </w:rPr>
              <w:t xml:space="preserve"> v </w:t>
            </w:r>
            <w:r w:rsidRPr="006A4431">
              <w:rPr>
                <w:spacing w:val="-2"/>
              </w:rPr>
              <w:t>absolútnych číslach udáva hodnotu nadbytku alebo schodku kapitálu CET1</w:t>
            </w:r>
            <w:r w:rsidR="00D85C65" w:rsidRPr="006A4431">
              <w:rPr>
                <w:spacing w:val="-2"/>
              </w:rPr>
              <w:t xml:space="preserve"> v </w:t>
            </w:r>
            <w:r w:rsidRPr="006A4431">
              <w:rPr>
                <w:spacing w:val="-2"/>
              </w:rPr>
              <w:t>súvislosti</w:t>
            </w:r>
            <w:r w:rsidR="00D85C65" w:rsidRPr="006A4431">
              <w:rPr>
                <w:spacing w:val="-2"/>
              </w:rPr>
              <w:t xml:space="preserve"> s </w:t>
            </w:r>
            <w:r w:rsidRPr="006A4431">
              <w:rPr>
                <w:spacing w:val="-2"/>
              </w:rPr>
              <w:t>požiadavkou stanovenou</w:t>
            </w:r>
            <w:r w:rsidR="00D85C65" w:rsidRPr="006A4431">
              <w:rPr>
                <w:spacing w:val="-2"/>
              </w:rPr>
              <w:t xml:space="preserve"> v </w:t>
            </w:r>
            <w:r w:rsidRPr="006A4431">
              <w:rPr>
                <w:spacing w:val="-2"/>
              </w:rPr>
              <w:t>článku 92 ods. 1 písm. a) CRR (4,5</w:t>
            </w:r>
            <w:r w:rsidR="00D85C65" w:rsidRPr="006A4431">
              <w:rPr>
                <w:spacing w:val="-2"/>
              </w:rPr>
              <w:t> %</w:t>
            </w:r>
            <w:r w:rsidRPr="006A4431">
              <w:rPr>
                <w:spacing w:val="-2"/>
              </w:rPr>
              <w:t>), t. j. bez zohľadnenia kapitálových vankúšov</w:t>
            </w:r>
            <w:r w:rsidR="00D85C65" w:rsidRPr="006A4431">
              <w:rPr>
                <w:spacing w:val="-2"/>
              </w:rPr>
              <w:t xml:space="preserve"> a </w:t>
            </w:r>
            <w:r w:rsidRPr="006A4431">
              <w:rPr>
                <w:spacing w:val="-2"/>
              </w:rPr>
              <w:t>prechodných ustanovení týkajúcich sa podielu.</w:t>
            </w:r>
          </w:p>
        </w:tc>
      </w:tr>
      <w:tr w:rsidR="00235D9D" w:rsidRPr="006A4431" w14:paraId="040DF235" w14:textId="77777777" w:rsidTr="00672D2A">
        <w:tc>
          <w:tcPr>
            <w:tcW w:w="703" w:type="dxa"/>
          </w:tcPr>
          <w:p w14:paraId="025F0AB9" w14:textId="77777777" w:rsidR="00235D9D" w:rsidRPr="006A4431" w:rsidRDefault="002648B0">
            <w:pPr>
              <w:pStyle w:val="InstructionsText"/>
              <w:rPr>
                <w:spacing w:val="-2"/>
              </w:rPr>
            </w:pPr>
            <w:r w:rsidRPr="006A4431">
              <w:rPr>
                <w:spacing w:val="-2"/>
              </w:rPr>
              <w:t>030</w:t>
            </w:r>
          </w:p>
        </w:tc>
        <w:tc>
          <w:tcPr>
            <w:tcW w:w="8080" w:type="dxa"/>
          </w:tcPr>
          <w:p w14:paraId="132B1F3F"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3.</w:t>
            </w:r>
            <w:r w:rsidRPr="006A4431">
              <w:rPr>
                <w:rStyle w:val="InstructionsTabelleberschrift"/>
                <w:rFonts w:ascii="Times New Roman" w:hAnsi="Times New Roman"/>
                <w:spacing w:val="-2"/>
                <w:sz w:val="24"/>
              </w:rPr>
              <w:tab/>
              <w:t>Podiel kapitálu T1</w:t>
            </w:r>
          </w:p>
          <w:p w14:paraId="785A64AA" w14:textId="7D604D25" w:rsidR="00235D9D" w:rsidRPr="006A4431" w:rsidRDefault="00705025">
            <w:pPr>
              <w:pStyle w:val="InstructionsText"/>
              <w:rPr>
                <w:spacing w:val="-2"/>
              </w:rPr>
            </w:pPr>
            <w:r w:rsidRPr="006A4431">
              <w:rPr>
                <w:spacing w:val="-2"/>
              </w:rPr>
              <w:t>Článok 92 ods. 2 písm. b) CRR.</w:t>
            </w:r>
          </w:p>
          <w:p w14:paraId="3ED4C81E" w14:textId="77777777" w:rsidR="00235D9D" w:rsidRPr="006A4431" w:rsidRDefault="002648B0">
            <w:pPr>
              <w:pStyle w:val="InstructionsText"/>
              <w:rPr>
                <w:spacing w:val="-2"/>
              </w:rPr>
            </w:pPr>
            <w:r w:rsidRPr="006A4431">
              <w:rPr>
                <w:spacing w:val="-2"/>
              </w:rPr>
              <w:t>Podiel kapitálu T1 je kapitál T1 inštitúcie vyjadrený ako percentuálny podiel celkovej hodnoty rizikových expozícií.</w:t>
            </w:r>
          </w:p>
        </w:tc>
      </w:tr>
      <w:tr w:rsidR="00235D9D" w:rsidRPr="006A4431" w14:paraId="3A4BBE6A" w14:textId="77777777" w:rsidTr="00672D2A">
        <w:tc>
          <w:tcPr>
            <w:tcW w:w="703" w:type="dxa"/>
          </w:tcPr>
          <w:p w14:paraId="26117D6C" w14:textId="77777777" w:rsidR="00235D9D" w:rsidRPr="006A4431" w:rsidRDefault="002648B0">
            <w:pPr>
              <w:pStyle w:val="InstructionsText"/>
              <w:rPr>
                <w:spacing w:val="-2"/>
              </w:rPr>
            </w:pPr>
            <w:r w:rsidRPr="006A4431">
              <w:rPr>
                <w:spacing w:val="-2"/>
              </w:rPr>
              <w:t>040</w:t>
            </w:r>
          </w:p>
        </w:tc>
        <w:tc>
          <w:tcPr>
            <w:tcW w:w="8080" w:type="dxa"/>
          </w:tcPr>
          <w:p w14:paraId="08056B7C"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4.</w:t>
            </w:r>
            <w:r w:rsidRPr="006A4431">
              <w:rPr>
                <w:rStyle w:val="InstructionsTabelleberschrift"/>
                <w:rFonts w:ascii="Times New Roman" w:hAnsi="Times New Roman"/>
                <w:spacing w:val="-2"/>
                <w:sz w:val="24"/>
              </w:rPr>
              <w:tab/>
              <w:t>Nadbytok (+)/schodok (-) kapitálu T1</w:t>
            </w:r>
          </w:p>
          <w:p w14:paraId="52F91FF4" w14:textId="2BC15EDE" w:rsidR="00235D9D" w:rsidRPr="006A4431" w:rsidRDefault="002648B0">
            <w:pPr>
              <w:pStyle w:val="InstructionsText"/>
              <w:rPr>
                <w:spacing w:val="-2"/>
              </w:rPr>
            </w:pPr>
            <w:r w:rsidRPr="006A4431">
              <w:rPr>
                <w:spacing w:val="-2"/>
              </w:rPr>
              <w:t>Táto položka</w:t>
            </w:r>
            <w:r w:rsidR="00D85C65" w:rsidRPr="006A4431">
              <w:rPr>
                <w:spacing w:val="-2"/>
              </w:rPr>
              <w:t xml:space="preserve"> v </w:t>
            </w:r>
            <w:r w:rsidRPr="006A4431">
              <w:rPr>
                <w:spacing w:val="-2"/>
              </w:rPr>
              <w:t>absolútnych číslach udáva hodnotu nadbytku alebo schodku kapitálu T1</w:t>
            </w:r>
            <w:r w:rsidR="00D85C65" w:rsidRPr="006A4431">
              <w:rPr>
                <w:spacing w:val="-2"/>
              </w:rPr>
              <w:t xml:space="preserve"> v </w:t>
            </w:r>
            <w:r w:rsidRPr="006A4431">
              <w:rPr>
                <w:spacing w:val="-2"/>
              </w:rPr>
              <w:t>súvislosti</w:t>
            </w:r>
            <w:r w:rsidR="00D85C65" w:rsidRPr="006A4431">
              <w:rPr>
                <w:spacing w:val="-2"/>
              </w:rPr>
              <w:t xml:space="preserve"> s </w:t>
            </w:r>
            <w:r w:rsidRPr="006A4431">
              <w:rPr>
                <w:spacing w:val="-2"/>
              </w:rPr>
              <w:t>požiadavkou stanovenou</w:t>
            </w:r>
            <w:r w:rsidR="00D85C65" w:rsidRPr="006A4431">
              <w:rPr>
                <w:spacing w:val="-2"/>
              </w:rPr>
              <w:t xml:space="preserve"> v </w:t>
            </w:r>
            <w:r w:rsidRPr="006A4431">
              <w:rPr>
                <w:spacing w:val="-2"/>
              </w:rPr>
              <w:t>článku 92 ods. 1 písm. b) CRR (6</w:t>
            </w:r>
            <w:r w:rsidR="00D85C65" w:rsidRPr="006A4431">
              <w:rPr>
                <w:spacing w:val="-2"/>
              </w:rPr>
              <w:t> %</w:t>
            </w:r>
            <w:r w:rsidRPr="006A4431">
              <w:rPr>
                <w:spacing w:val="-2"/>
              </w:rPr>
              <w:t>), t. j. bez zohľadnenia kapitálových vankúšov</w:t>
            </w:r>
            <w:r w:rsidR="00D85C65" w:rsidRPr="006A4431">
              <w:rPr>
                <w:spacing w:val="-2"/>
              </w:rPr>
              <w:t xml:space="preserve"> a </w:t>
            </w:r>
            <w:r w:rsidRPr="006A4431">
              <w:rPr>
                <w:spacing w:val="-2"/>
              </w:rPr>
              <w:t>prechodných ustanovení týkajúcich sa podielu.</w:t>
            </w:r>
          </w:p>
        </w:tc>
      </w:tr>
      <w:tr w:rsidR="00235D9D" w:rsidRPr="006A4431" w14:paraId="77B2F4BA" w14:textId="77777777" w:rsidTr="00672D2A">
        <w:tc>
          <w:tcPr>
            <w:tcW w:w="703" w:type="dxa"/>
          </w:tcPr>
          <w:p w14:paraId="06D4BC22" w14:textId="77777777" w:rsidR="00235D9D" w:rsidRPr="006A4431" w:rsidRDefault="002648B0">
            <w:pPr>
              <w:pStyle w:val="InstructionsText"/>
              <w:rPr>
                <w:spacing w:val="-2"/>
              </w:rPr>
            </w:pPr>
            <w:r w:rsidRPr="006A4431">
              <w:rPr>
                <w:spacing w:val="-2"/>
              </w:rPr>
              <w:t>050</w:t>
            </w:r>
          </w:p>
        </w:tc>
        <w:tc>
          <w:tcPr>
            <w:tcW w:w="8080" w:type="dxa"/>
          </w:tcPr>
          <w:p w14:paraId="2A420CBD"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5.</w:t>
            </w:r>
            <w:r w:rsidRPr="006A4431">
              <w:rPr>
                <w:rStyle w:val="InstructionsTabelleberschrift"/>
                <w:rFonts w:ascii="Times New Roman" w:hAnsi="Times New Roman"/>
                <w:spacing w:val="-2"/>
                <w:sz w:val="24"/>
              </w:rPr>
              <w:tab/>
              <w:t>Celkový podiel kapitálu</w:t>
            </w:r>
          </w:p>
          <w:p w14:paraId="42EF84D4" w14:textId="51EC642E" w:rsidR="00235D9D" w:rsidRPr="006A4431" w:rsidRDefault="00705025">
            <w:pPr>
              <w:pStyle w:val="InstructionsText"/>
              <w:rPr>
                <w:spacing w:val="-2"/>
              </w:rPr>
            </w:pPr>
            <w:r w:rsidRPr="006A4431">
              <w:rPr>
                <w:spacing w:val="-2"/>
              </w:rPr>
              <w:t>Článok 92 ods. 2 písm. c) CRR.</w:t>
            </w:r>
          </w:p>
          <w:p w14:paraId="79C78E81" w14:textId="77777777" w:rsidR="00235D9D" w:rsidRPr="006A4431" w:rsidRDefault="002648B0">
            <w:pPr>
              <w:pStyle w:val="InstructionsText"/>
              <w:rPr>
                <w:spacing w:val="-2"/>
              </w:rPr>
            </w:pPr>
            <w:r w:rsidRPr="006A4431">
              <w:rPr>
                <w:spacing w:val="-2"/>
              </w:rPr>
              <w:t>Celkový podiel kapitálu sa rovná vlastným zdrojom inštitúcie vyjadreným ako percentuálny podiel celkovej hodnoty rizikových expozícií.</w:t>
            </w:r>
          </w:p>
        </w:tc>
      </w:tr>
      <w:tr w:rsidR="00235D9D" w:rsidRPr="006A4431" w14:paraId="1DECFF12" w14:textId="77777777" w:rsidTr="00672D2A">
        <w:tc>
          <w:tcPr>
            <w:tcW w:w="703" w:type="dxa"/>
          </w:tcPr>
          <w:p w14:paraId="27638C2B" w14:textId="77777777" w:rsidR="00235D9D" w:rsidRPr="006A4431" w:rsidRDefault="002648B0">
            <w:pPr>
              <w:pStyle w:val="InstructionsText"/>
              <w:rPr>
                <w:spacing w:val="-2"/>
              </w:rPr>
            </w:pPr>
            <w:r w:rsidRPr="006A4431">
              <w:rPr>
                <w:spacing w:val="-2"/>
              </w:rPr>
              <w:t>060</w:t>
            </w:r>
          </w:p>
        </w:tc>
        <w:tc>
          <w:tcPr>
            <w:tcW w:w="8080" w:type="dxa"/>
          </w:tcPr>
          <w:p w14:paraId="31050631"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6.</w:t>
            </w:r>
            <w:r w:rsidRPr="006A4431">
              <w:rPr>
                <w:rStyle w:val="InstructionsTabelleberschrift"/>
                <w:rFonts w:ascii="Times New Roman" w:hAnsi="Times New Roman"/>
                <w:spacing w:val="-2"/>
                <w:sz w:val="24"/>
              </w:rPr>
              <w:tab/>
              <w:t>Nadbytok (+)/schodok (-) celkového kapitálu</w:t>
            </w:r>
          </w:p>
          <w:p w14:paraId="28CB64F6" w14:textId="0E5FF132" w:rsidR="00235D9D" w:rsidRPr="006A4431" w:rsidRDefault="002648B0">
            <w:pPr>
              <w:pStyle w:val="InstructionsText"/>
              <w:rPr>
                <w:spacing w:val="-2"/>
              </w:rPr>
            </w:pPr>
            <w:r w:rsidRPr="006A4431">
              <w:rPr>
                <w:spacing w:val="-2"/>
              </w:rPr>
              <w:t>Táto položka</w:t>
            </w:r>
            <w:r w:rsidR="00D85C65" w:rsidRPr="006A4431">
              <w:rPr>
                <w:spacing w:val="-2"/>
              </w:rPr>
              <w:t xml:space="preserve"> v </w:t>
            </w:r>
            <w:r w:rsidRPr="006A4431">
              <w:rPr>
                <w:spacing w:val="-2"/>
              </w:rPr>
              <w:t>absolútnych číslach udáva hodnotu nadbytku alebo schodku vlastných zdrojov</w:t>
            </w:r>
            <w:r w:rsidR="00D85C65" w:rsidRPr="006A4431">
              <w:rPr>
                <w:spacing w:val="-2"/>
              </w:rPr>
              <w:t xml:space="preserve"> v </w:t>
            </w:r>
            <w:r w:rsidRPr="006A4431">
              <w:rPr>
                <w:spacing w:val="-2"/>
              </w:rPr>
              <w:t>súvislosti</w:t>
            </w:r>
            <w:r w:rsidR="00D85C65" w:rsidRPr="006A4431">
              <w:rPr>
                <w:spacing w:val="-2"/>
              </w:rPr>
              <w:t xml:space="preserve"> s </w:t>
            </w:r>
            <w:r w:rsidRPr="006A4431">
              <w:rPr>
                <w:spacing w:val="-2"/>
              </w:rPr>
              <w:t>požiadavkou stanovenou</w:t>
            </w:r>
            <w:r w:rsidR="00D85C65" w:rsidRPr="006A4431">
              <w:rPr>
                <w:spacing w:val="-2"/>
              </w:rPr>
              <w:t xml:space="preserve"> v </w:t>
            </w:r>
            <w:r w:rsidRPr="006A4431">
              <w:rPr>
                <w:spacing w:val="-2"/>
              </w:rPr>
              <w:t>článku 92 ods. 1 písm. c) CRR (8</w:t>
            </w:r>
            <w:r w:rsidR="00D85C65" w:rsidRPr="006A4431">
              <w:rPr>
                <w:spacing w:val="-2"/>
              </w:rPr>
              <w:t> %</w:t>
            </w:r>
            <w:r w:rsidRPr="006A4431">
              <w:rPr>
                <w:spacing w:val="-2"/>
              </w:rPr>
              <w:t>), t. j. bez zohľadnenia kapitálových vankúšov</w:t>
            </w:r>
            <w:r w:rsidR="00D85C65" w:rsidRPr="006A4431">
              <w:rPr>
                <w:spacing w:val="-2"/>
              </w:rPr>
              <w:t xml:space="preserve"> a </w:t>
            </w:r>
            <w:r w:rsidRPr="006A4431">
              <w:rPr>
                <w:spacing w:val="-2"/>
              </w:rPr>
              <w:t>prechodných ustanovení týkajúcich sa podielu.</w:t>
            </w:r>
          </w:p>
        </w:tc>
      </w:tr>
      <w:tr w:rsidR="00235D9D" w:rsidRPr="006A4431" w14:paraId="1940665B" w14:textId="77777777" w:rsidTr="00672D2A">
        <w:tc>
          <w:tcPr>
            <w:tcW w:w="703" w:type="dxa"/>
          </w:tcPr>
          <w:p w14:paraId="73347832" w14:textId="4458A67A" w:rsidR="00235D9D" w:rsidRPr="006A4431" w:rsidRDefault="009C083D">
            <w:pPr>
              <w:pStyle w:val="InstructionsText"/>
              <w:rPr>
                <w:spacing w:val="-2"/>
              </w:rPr>
            </w:pPr>
            <w:r w:rsidRPr="006A4431">
              <w:rPr>
                <w:spacing w:val="-2"/>
              </w:rPr>
              <w:t>130</w:t>
            </w:r>
          </w:p>
        </w:tc>
        <w:tc>
          <w:tcPr>
            <w:tcW w:w="8080" w:type="dxa"/>
          </w:tcPr>
          <w:p w14:paraId="3EF41ACA" w14:textId="77777777" w:rsidR="00235D9D" w:rsidRPr="006A4431" w:rsidRDefault="009C083D">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Podiel celkovej kapitálovej požiadavky podľa SREP (TSCR)</w:t>
            </w:r>
          </w:p>
          <w:p w14:paraId="35B47E57" w14:textId="260D72D1"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5AE892A4" w14:textId="5DB7AE9C" w:rsidR="00D85C65" w:rsidRPr="006A4431" w:rsidRDefault="009C083D">
            <w:pPr>
              <w:pStyle w:val="InstructionsText"/>
              <w:numPr>
                <w:ilvl w:val="0"/>
                <w:numId w:val="20"/>
              </w:numPr>
              <w:rPr>
                <w:spacing w:val="-2"/>
              </w:rPr>
            </w:pPr>
            <w:r w:rsidRPr="006A4431">
              <w:rPr>
                <w:spacing w:val="-2"/>
              </w:rPr>
              <w:t>celkový podiel kapitálu (8</w:t>
            </w:r>
            <w:r w:rsidR="00D85C65" w:rsidRPr="006A4431">
              <w:rPr>
                <w:spacing w:val="-2"/>
              </w:rPr>
              <w:t> %</w:t>
            </w:r>
            <w:r w:rsidRPr="006A4431">
              <w:rPr>
                <w:spacing w:val="-2"/>
              </w:rPr>
              <w:t>), ako je stanovené</w:t>
            </w:r>
            <w:r w:rsidR="00D85C65" w:rsidRPr="006A4431">
              <w:rPr>
                <w:spacing w:val="-2"/>
              </w:rPr>
              <w:t xml:space="preserve"> v </w:t>
            </w:r>
            <w:r w:rsidRPr="006A4431">
              <w:rPr>
                <w:spacing w:val="-2"/>
              </w:rPr>
              <w:t>článku 92 ods. 1 písm. c) CRR</w:t>
            </w:r>
            <w:r w:rsidR="00D85C65" w:rsidRPr="006A4431">
              <w:rPr>
                <w:spacing w:val="-2"/>
              </w:rPr>
              <w:t>;</w:t>
            </w:r>
          </w:p>
          <w:p w14:paraId="39086B2E" w14:textId="49ACD420" w:rsidR="00235D9D" w:rsidRPr="006A4431" w:rsidRDefault="009C083D">
            <w:pPr>
              <w:pStyle w:val="InstructionsText"/>
              <w:numPr>
                <w:ilvl w:val="0"/>
                <w:numId w:val="20"/>
              </w:numPr>
              <w:rPr>
                <w:spacing w:val="-2"/>
              </w:rPr>
            </w:pPr>
            <w:r w:rsidRPr="006A4431">
              <w:rPr>
                <w:spacing w:val="-2"/>
              </w:rPr>
              <w:lastRenderedPageBreak/>
              <w:t>podiel požiadavky na dodatočné vlastné zdroje (požiadavky piliera 2 – P2R) určený</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kritériami stanovenými</w:t>
            </w:r>
            <w:r w:rsidR="00D85C65" w:rsidRPr="006A4431">
              <w:rPr>
                <w:spacing w:val="-2"/>
              </w:rPr>
              <w:t xml:space="preserve"> v </w:t>
            </w:r>
            <w:r w:rsidRPr="006A4431">
              <w:rPr>
                <w:spacing w:val="-2"/>
              </w:rPr>
              <w:t xml:space="preserve">dokumente </w:t>
            </w:r>
            <w:r w:rsidRPr="006A4431">
              <w:rPr>
                <w:i/>
                <w:spacing w:val="-2"/>
              </w:rPr>
              <w:t>EBA Guidelines on common procedures and methodologies for the supervisory review and evaluation process and supervisory stress testing</w:t>
            </w:r>
            <w:r w:rsidRPr="006A4431">
              <w:rPr>
                <w:spacing w:val="-2"/>
              </w:rPr>
              <w:t xml:space="preserve"> (Usmernenia EBA</w:t>
            </w:r>
            <w:r w:rsidR="00D85C65" w:rsidRPr="006A4431">
              <w:rPr>
                <w:spacing w:val="-2"/>
              </w:rPr>
              <w:t xml:space="preserve"> o </w:t>
            </w:r>
            <w:r w:rsidRPr="006A4431">
              <w:rPr>
                <w:spacing w:val="-2"/>
              </w:rPr>
              <w:t>spoločných postupoch</w:t>
            </w:r>
            <w:r w:rsidR="00D85C65" w:rsidRPr="006A4431">
              <w:rPr>
                <w:spacing w:val="-2"/>
              </w:rPr>
              <w:t xml:space="preserve"> a </w:t>
            </w:r>
            <w:r w:rsidRPr="006A4431">
              <w:rPr>
                <w:spacing w:val="-2"/>
              </w:rPr>
              <w:t>metodikách pre postup preskúmania</w:t>
            </w:r>
            <w:r w:rsidR="00D85C65" w:rsidRPr="006A4431">
              <w:rPr>
                <w:spacing w:val="-2"/>
              </w:rPr>
              <w:t xml:space="preserve"> a </w:t>
            </w:r>
            <w:r w:rsidRPr="006A4431">
              <w:rPr>
                <w:spacing w:val="-2"/>
              </w:rPr>
              <w:t>hodnotenia orgánmi dohľadu</w:t>
            </w:r>
            <w:r w:rsidR="00D85C65" w:rsidRPr="006A4431">
              <w:rPr>
                <w:spacing w:val="-2"/>
              </w:rPr>
              <w:t xml:space="preserve"> a </w:t>
            </w:r>
            <w:r w:rsidRPr="006A4431">
              <w:rPr>
                <w:spacing w:val="-2"/>
              </w:rPr>
              <w:t>stresové testovanie orgánmi dohľadu) (EBA SREP GL).</w:t>
            </w:r>
          </w:p>
          <w:p w14:paraId="1304A69F" w14:textId="776B4582" w:rsidR="00235D9D" w:rsidRPr="006A4431" w:rsidRDefault="009C083D">
            <w:pPr>
              <w:pStyle w:val="InstructionsText"/>
              <w:rPr>
                <w:spacing w:val="-2"/>
              </w:rPr>
            </w:pPr>
            <w:r w:rsidRPr="006A4431">
              <w:rPr>
                <w:spacing w:val="-2"/>
              </w:rPr>
              <w:t>Táto položka odráža podiel celkovej kapitálovej požiadavky podľa SREP (TSCR) tak, ako ho inštitúcii oznámil príslušný orgán. TSCR je vymedzená</w:t>
            </w:r>
            <w:r w:rsidR="00D85C65" w:rsidRPr="006A4431">
              <w:rPr>
                <w:spacing w:val="-2"/>
              </w:rPr>
              <w:t xml:space="preserve"> v </w:t>
            </w:r>
            <w:r w:rsidRPr="006A4431">
              <w:rPr>
                <w:spacing w:val="-2"/>
              </w:rPr>
              <w:t>oddiele 1.2 dokumentu EBA SREP GL.</w:t>
            </w:r>
          </w:p>
          <w:p w14:paraId="3478CC3F" w14:textId="1BE276DC" w:rsidR="00235D9D" w:rsidRPr="006A4431" w:rsidRDefault="00FF2818">
            <w:pPr>
              <w:pStyle w:val="InstructionsText"/>
              <w:rPr>
                <w:rStyle w:val="InstructionsTabelleberschrift"/>
                <w:rFonts w:ascii="Times New Roman" w:hAnsi="Times New Roman"/>
                <w:b w:val="0"/>
                <w:bCs w:val="0"/>
                <w:spacing w:val="-2"/>
                <w:sz w:val="24"/>
                <w:u w:val="none"/>
              </w:rPr>
            </w:pPr>
            <w:r w:rsidRPr="006A4431">
              <w:rPr>
                <w:spacing w:val="-2"/>
              </w:rPr>
              <w:t xml:space="preserve">Ak príslušný orgán neoznámil žiadne požiadavky na dodatočné vlastné zdroje, vykazuje sa iba bod i). </w:t>
            </w:r>
          </w:p>
        </w:tc>
      </w:tr>
      <w:tr w:rsidR="00235D9D" w:rsidRPr="006A4431" w14:paraId="6FAA72D1" w14:textId="77777777" w:rsidTr="00672D2A">
        <w:tc>
          <w:tcPr>
            <w:tcW w:w="703" w:type="dxa"/>
          </w:tcPr>
          <w:p w14:paraId="54A27575" w14:textId="59F6A485" w:rsidR="00235D9D" w:rsidRPr="006A4431" w:rsidRDefault="009C083D">
            <w:pPr>
              <w:pStyle w:val="InstructionsText"/>
              <w:rPr>
                <w:spacing w:val="-2"/>
              </w:rPr>
            </w:pPr>
            <w:r w:rsidRPr="006A4431">
              <w:rPr>
                <w:spacing w:val="-2"/>
              </w:rPr>
              <w:lastRenderedPageBreak/>
              <w:t>140</w:t>
            </w:r>
          </w:p>
        </w:tc>
        <w:tc>
          <w:tcPr>
            <w:tcW w:w="8080" w:type="dxa"/>
          </w:tcPr>
          <w:p w14:paraId="7F3DB49B" w14:textId="77777777" w:rsidR="00D85C65"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TSCR: má byť tvorená kapitálom CET1</w:t>
            </w:r>
          </w:p>
          <w:p w14:paraId="2A58CDB5" w14:textId="05D95FD2"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2BD858D2" w14:textId="5F10EF88" w:rsidR="00235D9D" w:rsidRPr="006A4431" w:rsidRDefault="009C083D">
            <w:pPr>
              <w:pStyle w:val="InstructionsText"/>
              <w:numPr>
                <w:ilvl w:val="0"/>
                <w:numId w:val="21"/>
              </w:numPr>
              <w:rPr>
                <w:spacing w:val="-2"/>
              </w:rPr>
            </w:pPr>
            <w:r w:rsidRPr="006A4431">
              <w:rPr>
                <w:spacing w:val="-2"/>
              </w:rPr>
              <w:t>podiel kapitálu CET1 (4,5</w:t>
            </w:r>
            <w:r w:rsidR="00D85C65" w:rsidRPr="006A4431">
              <w:rPr>
                <w:spacing w:val="-2"/>
              </w:rPr>
              <w:t> %</w:t>
            </w:r>
            <w:r w:rsidRPr="006A4431">
              <w:rPr>
                <w:spacing w:val="-2"/>
              </w:rPr>
              <w:t>), ako je stanovené</w:t>
            </w:r>
            <w:r w:rsidR="00D85C65" w:rsidRPr="006A4431">
              <w:rPr>
                <w:spacing w:val="-2"/>
              </w:rPr>
              <w:t xml:space="preserve"> v </w:t>
            </w:r>
            <w:r w:rsidRPr="006A4431">
              <w:rPr>
                <w:spacing w:val="-2"/>
              </w:rPr>
              <w:t>článku 92 ods. 1 písm. a) CRR;</w:t>
            </w:r>
          </w:p>
          <w:p w14:paraId="25D42F61" w14:textId="4957A830" w:rsidR="00235D9D" w:rsidRPr="006A4431" w:rsidRDefault="009C083D">
            <w:pPr>
              <w:pStyle w:val="InstructionsText"/>
              <w:numPr>
                <w:ilvl w:val="0"/>
                <w:numId w:val="21"/>
              </w:numPr>
              <w:rPr>
                <w:b/>
                <w:bCs/>
                <w:spacing w:val="-2"/>
                <w:u w:val="single"/>
              </w:rPr>
            </w:pPr>
            <w:r w:rsidRPr="006A4431">
              <w:rPr>
                <w:spacing w:val="-2"/>
              </w:rPr>
              <w:t>časť podielu P2R uvedeného</w:t>
            </w:r>
            <w:r w:rsidR="00D85C65" w:rsidRPr="006A4431">
              <w:rPr>
                <w:spacing w:val="-2"/>
              </w:rPr>
              <w:t xml:space="preserve"> v </w:t>
            </w:r>
            <w:r w:rsidRPr="006A4431">
              <w:rPr>
                <w:spacing w:val="-2"/>
              </w:rPr>
              <w:t>riadku 130 bode ii), ktorý na základe požiadavky príslušného orgánu musí byť držaný</w:t>
            </w:r>
            <w:r w:rsidR="00D85C65" w:rsidRPr="006A4431">
              <w:rPr>
                <w:spacing w:val="-2"/>
              </w:rPr>
              <w:t xml:space="preserve"> v </w:t>
            </w:r>
            <w:r w:rsidRPr="006A4431">
              <w:rPr>
                <w:spacing w:val="-2"/>
              </w:rPr>
              <w:t>podobe kapitálu CET1.</w:t>
            </w:r>
          </w:p>
          <w:p w14:paraId="582A73D4" w14:textId="1157CB66" w:rsidR="00235D9D" w:rsidRPr="006A4431" w:rsidRDefault="00FF2818">
            <w:pPr>
              <w:pStyle w:val="InstructionsText"/>
              <w:rPr>
                <w:rStyle w:val="InstructionsTabelleberschrift"/>
                <w:rFonts w:ascii="Times New Roman" w:hAnsi="Times New Roman"/>
                <w:spacing w:val="-2"/>
                <w:sz w:val="24"/>
              </w:rPr>
            </w:pPr>
            <w:r w:rsidRPr="006A4431">
              <w:rPr>
                <w:spacing w:val="-2"/>
              </w:rPr>
              <w:t>Ak príslušný orgán neoznámil žiadne požiadavky na dodatočné vlastné zdroje, ktoré sa majú držať</w:t>
            </w:r>
            <w:r w:rsidR="00D85C65" w:rsidRPr="006A4431">
              <w:rPr>
                <w:spacing w:val="-2"/>
              </w:rPr>
              <w:t xml:space="preserve"> v </w:t>
            </w:r>
            <w:r w:rsidRPr="006A4431">
              <w:rPr>
                <w:spacing w:val="-2"/>
              </w:rPr>
              <w:t>podobe kapitálu CET1, vykazuje sa len bod i).</w:t>
            </w:r>
            <w:r w:rsidRPr="006A4431">
              <w:rPr>
                <w:rStyle w:val="InstructionsTabelleberschrift"/>
                <w:rFonts w:ascii="Times New Roman" w:hAnsi="Times New Roman"/>
                <w:b w:val="0"/>
                <w:spacing w:val="-2"/>
                <w:sz w:val="24"/>
              </w:rPr>
              <w:t xml:space="preserve"> </w:t>
            </w:r>
          </w:p>
        </w:tc>
      </w:tr>
      <w:tr w:rsidR="00235D9D" w:rsidRPr="006A4431" w14:paraId="04D15322" w14:textId="77777777" w:rsidTr="00672D2A">
        <w:tc>
          <w:tcPr>
            <w:tcW w:w="703" w:type="dxa"/>
          </w:tcPr>
          <w:p w14:paraId="1ACBC3FC" w14:textId="566BDEE6" w:rsidR="00235D9D" w:rsidRPr="006A4431" w:rsidRDefault="009C083D">
            <w:pPr>
              <w:pStyle w:val="InstructionsText"/>
              <w:rPr>
                <w:spacing w:val="-2"/>
              </w:rPr>
            </w:pPr>
            <w:r w:rsidRPr="006A4431">
              <w:rPr>
                <w:spacing w:val="-2"/>
              </w:rPr>
              <w:t>150</w:t>
            </w:r>
          </w:p>
        </w:tc>
        <w:tc>
          <w:tcPr>
            <w:tcW w:w="8080" w:type="dxa"/>
          </w:tcPr>
          <w:p w14:paraId="162A63E8" w14:textId="77777777" w:rsidR="00235D9D"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TSCR: má byť tvorená kapitálom Tier 1</w:t>
            </w:r>
          </w:p>
          <w:p w14:paraId="73476816" w14:textId="705765B9"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157105A9" w14:textId="5AC61744" w:rsidR="00235D9D" w:rsidRPr="006A4431" w:rsidRDefault="009C083D">
            <w:pPr>
              <w:pStyle w:val="InstructionsText"/>
              <w:numPr>
                <w:ilvl w:val="0"/>
                <w:numId w:val="22"/>
              </w:numPr>
              <w:rPr>
                <w:spacing w:val="-2"/>
              </w:rPr>
            </w:pPr>
            <w:r w:rsidRPr="006A4431">
              <w:rPr>
                <w:spacing w:val="-2"/>
              </w:rPr>
              <w:t>podiel kapitálu Tier 1 (6</w:t>
            </w:r>
            <w:r w:rsidR="00D85C65" w:rsidRPr="006A4431">
              <w:rPr>
                <w:spacing w:val="-2"/>
              </w:rPr>
              <w:t> %</w:t>
            </w:r>
            <w:r w:rsidRPr="006A4431">
              <w:rPr>
                <w:spacing w:val="-2"/>
              </w:rPr>
              <w:t>), ako je stanovené</w:t>
            </w:r>
            <w:r w:rsidR="00D85C65" w:rsidRPr="006A4431">
              <w:rPr>
                <w:spacing w:val="-2"/>
              </w:rPr>
              <w:t xml:space="preserve"> v </w:t>
            </w:r>
            <w:r w:rsidRPr="006A4431">
              <w:rPr>
                <w:spacing w:val="-2"/>
              </w:rPr>
              <w:t>článku 92 ods. 1 písm. b) CRR;</w:t>
            </w:r>
          </w:p>
          <w:p w14:paraId="2BF2ED00" w14:textId="64CC3EF8" w:rsidR="00235D9D" w:rsidRPr="006A4431" w:rsidRDefault="009C083D">
            <w:pPr>
              <w:pStyle w:val="InstructionsText"/>
              <w:numPr>
                <w:ilvl w:val="0"/>
                <w:numId w:val="22"/>
              </w:numPr>
              <w:rPr>
                <w:bCs/>
                <w:spacing w:val="-2"/>
                <w:u w:val="single"/>
              </w:rPr>
            </w:pPr>
            <w:r w:rsidRPr="006A4431">
              <w:rPr>
                <w:spacing w:val="-2"/>
              </w:rPr>
              <w:t>časť podielu P2R uvedeného</w:t>
            </w:r>
            <w:r w:rsidR="00D85C65" w:rsidRPr="006A4431">
              <w:rPr>
                <w:spacing w:val="-2"/>
              </w:rPr>
              <w:t xml:space="preserve"> v </w:t>
            </w:r>
            <w:r w:rsidRPr="006A4431">
              <w:rPr>
                <w:spacing w:val="-2"/>
              </w:rPr>
              <w:t>riadku 130 bode ii), ktorý na základe požiadavky príslušného orgánu musí byť držaný</w:t>
            </w:r>
            <w:r w:rsidR="00D85C65" w:rsidRPr="006A4431">
              <w:rPr>
                <w:spacing w:val="-2"/>
              </w:rPr>
              <w:t xml:space="preserve"> v </w:t>
            </w:r>
            <w:r w:rsidRPr="006A4431">
              <w:rPr>
                <w:spacing w:val="-2"/>
              </w:rPr>
              <w:t>podobe kapitálu Tier 1.</w:t>
            </w:r>
          </w:p>
          <w:p w14:paraId="217AF337" w14:textId="1B492C78" w:rsidR="00235D9D" w:rsidRPr="006A4431" w:rsidRDefault="00FF2818">
            <w:pPr>
              <w:pStyle w:val="InstructionsText"/>
              <w:rPr>
                <w:rStyle w:val="InstructionsTabelleberschrift"/>
                <w:rFonts w:ascii="Times New Roman" w:hAnsi="Times New Roman"/>
                <w:b w:val="0"/>
                <w:spacing w:val="-2"/>
                <w:sz w:val="24"/>
              </w:rPr>
            </w:pPr>
            <w:r w:rsidRPr="006A4431">
              <w:rPr>
                <w:spacing w:val="-2"/>
              </w:rPr>
              <w:t>Ak príslušný orgán neoznámil žiadne požiadavky na dodatočné vlastné zdroje, ktoré sa majú držať</w:t>
            </w:r>
            <w:r w:rsidR="00D85C65" w:rsidRPr="006A4431">
              <w:rPr>
                <w:spacing w:val="-2"/>
              </w:rPr>
              <w:t xml:space="preserve"> v </w:t>
            </w:r>
            <w:r w:rsidRPr="006A4431">
              <w:rPr>
                <w:spacing w:val="-2"/>
              </w:rPr>
              <w:t>podobe kapitálu Tier 1, vykazuje sa iba bod i).</w:t>
            </w:r>
          </w:p>
        </w:tc>
      </w:tr>
      <w:tr w:rsidR="00235D9D" w:rsidRPr="006A4431" w14:paraId="7284D0F0" w14:textId="77777777" w:rsidTr="00672D2A">
        <w:tc>
          <w:tcPr>
            <w:tcW w:w="703" w:type="dxa"/>
          </w:tcPr>
          <w:p w14:paraId="6D6F0422" w14:textId="77777777" w:rsidR="00235D9D" w:rsidRPr="006A4431" w:rsidRDefault="009C083D">
            <w:pPr>
              <w:pStyle w:val="InstructionsText"/>
              <w:rPr>
                <w:spacing w:val="-2"/>
              </w:rPr>
            </w:pPr>
            <w:r w:rsidRPr="006A4431">
              <w:rPr>
                <w:spacing w:val="-2"/>
              </w:rPr>
              <w:t>160</w:t>
            </w:r>
          </w:p>
        </w:tc>
        <w:tc>
          <w:tcPr>
            <w:tcW w:w="8080" w:type="dxa"/>
          </w:tcPr>
          <w:p w14:paraId="56FE82D0" w14:textId="77777777" w:rsidR="00235D9D"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ab/>
              <w:t>Podiel celkovej kapitálovej požiadavky (OCR)</w:t>
            </w:r>
          </w:p>
          <w:p w14:paraId="7CED4624" w14:textId="18B299B9"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35A8D874" w14:textId="4C351FA5" w:rsidR="00235D9D" w:rsidRPr="006A4431" w:rsidRDefault="009C083D">
            <w:pPr>
              <w:pStyle w:val="InstructionsText"/>
              <w:numPr>
                <w:ilvl w:val="0"/>
                <w:numId w:val="23"/>
              </w:numPr>
              <w:rPr>
                <w:spacing w:val="-2"/>
              </w:rPr>
            </w:pPr>
            <w:r w:rsidRPr="006A4431">
              <w:rPr>
                <w:spacing w:val="-2"/>
              </w:rPr>
              <w:t>podiel TSCR uvedený</w:t>
            </w:r>
            <w:r w:rsidR="00D85C65" w:rsidRPr="006A4431">
              <w:rPr>
                <w:spacing w:val="-2"/>
              </w:rPr>
              <w:t xml:space="preserve"> v </w:t>
            </w:r>
            <w:r w:rsidRPr="006A4431">
              <w:rPr>
                <w:spacing w:val="-2"/>
              </w:rPr>
              <w:t>riadku 130;</w:t>
            </w:r>
          </w:p>
          <w:p w14:paraId="298499E8" w14:textId="51506BF0" w:rsidR="00235D9D" w:rsidRPr="006A4431" w:rsidRDefault="009C083D">
            <w:pPr>
              <w:pStyle w:val="InstructionsText"/>
              <w:numPr>
                <w:ilvl w:val="0"/>
                <w:numId w:val="23"/>
              </w:numPr>
              <w:rPr>
                <w:spacing w:val="-2"/>
              </w:rPr>
            </w:pPr>
            <w:r w:rsidRPr="006A4431">
              <w:rPr>
                <w:spacing w:val="-2"/>
              </w:rPr>
              <w:t>v rozsahu,</w:t>
            </w:r>
            <w:r w:rsidR="00D85C65" w:rsidRPr="006A4431">
              <w:rPr>
                <w:spacing w:val="-2"/>
              </w:rPr>
              <w:t xml:space="preserve"> v </w:t>
            </w:r>
            <w:r w:rsidRPr="006A4431">
              <w:rPr>
                <w:spacing w:val="-2"/>
              </w:rPr>
              <w:t>akom je zákonne uplatniteľný, podiel požiadavky na kombinovaný vankúš uvedenej</w:t>
            </w:r>
            <w:r w:rsidR="00D85C65" w:rsidRPr="006A4431">
              <w:rPr>
                <w:spacing w:val="-2"/>
              </w:rPr>
              <w:t xml:space="preserve"> v </w:t>
            </w:r>
            <w:r w:rsidRPr="006A4431">
              <w:rPr>
                <w:spacing w:val="-2"/>
              </w:rPr>
              <w:t>článku 128 ods. 6) CRD.</w:t>
            </w:r>
          </w:p>
          <w:p w14:paraId="5F1122DC" w14:textId="44363334" w:rsidR="00235D9D" w:rsidRPr="006A4431" w:rsidRDefault="009C083D">
            <w:pPr>
              <w:pStyle w:val="InstructionsText"/>
              <w:rPr>
                <w:spacing w:val="-2"/>
              </w:rPr>
            </w:pPr>
            <w:r w:rsidRPr="006A4431">
              <w:rPr>
                <w:spacing w:val="-2"/>
              </w:rPr>
              <w:t>Táto položka odráža podiel celkovej kapitálovej požiadavky (OCR)</w:t>
            </w:r>
            <w:r w:rsidR="00D85C65" w:rsidRPr="006A4431">
              <w:rPr>
                <w:spacing w:val="-2"/>
              </w:rPr>
              <w:t xml:space="preserve"> v </w:t>
            </w:r>
            <w:r w:rsidRPr="006A4431">
              <w:rPr>
                <w:spacing w:val="-2"/>
              </w:rPr>
              <w:t>zmysle vymedzenia</w:t>
            </w:r>
            <w:r w:rsidR="00D85C65" w:rsidRPr="006A4431">
              <w:rPr>
                <w:spacing w:val="-2"/>
              </w:rPr>
              <w:t xml:space="preserve"> v </w:t>
            </w:r>
            <w:r w:rsidRPr="006A4431">
              <w:rPr>
                <w:spacing w:val="-2"/>
              </w:rPr>
              <w:t>oddiele 1.2 dokumentu EBA SREP GL.</w:t>
            </w:r>
          </w:p>
          <w:p w14:paraId="2F733A00" w14:textId="65EFA20B" w:rsidR="00235D9D" w:rsidRPr="006A4431" w:rsidRDefault="00FF2818">
            <w:pPr>
              <w:pStyle w:val="InstructionsText"/>
              <w:rPr>
                <w:rStyle w:val="InstructionsTabelleberschrift"/>
                <w:rFonts w:ascii="Times New Roman" w:hAnsi="Times New Roman"/>
                <w:spacing w:val="-2"/>
                <w:sz w:val="24"/>
              </w:rPr>
            </w:pPr>
            <w:r w:rsidRPr="006A4431">
              <w:rPr>
                <w:spacing w:val="-2"/>
              </w:rPr>
              <w:t>Ak sa neuplatňuje žiadna požiadavka na vankúš, vykazuje sa iba bod i).</w:t>
            </w:r>
          </w:p>
        </w:tc>
      </w:tr>
      <w:tr w:rsidR="00235D9D" w:rsidRPr="006A4431" w14:paraId="2A2A79ED" w14:textId="77777777" w:rsidTr="00672D2A">
        <w:tc>
          <w:tcPr>
            <w:tcW w:w="703" w:type="dxa"/>
          </w:tcPr>
          <w:p w14:paraId="6C507734" w14:textId="77777777" w:rsidR="00235D9D" w:rsidRPr="006A4431" w:rsidRDefault="009C083D">
            <w:pPr>
              <w:pStyle w:val="InstructionsText"/>
              <w:rPr>
                <w:spacing w:val="-2"/>
              </w:rPr>
            </w:pPr>
            <w:r w:rsidRPr="006A4431">
              <w:rPr>
                <w:spacing w:val="-2"/>
              </w:rPr>
              <w:t>170</w:t>
            </w:r>
          </w:p>
        </w:tc>
        <w:tc>
          <w:tcPr>
            <w:tcW w:w="8080" w:type="dxa"/>
          </w:tcPr>
          <w:p w14:paraId="18F9BC3D" w14:textId="77777777" w:rsidR="00D85C65"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ab/>
              <w:t>OCR: má byť tvorená kapitálom CET1</w:t>
            </w:r>
          </w:p>
          <w:p w14:paraId="413935F4" w14:textId="7D469CC9"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4AD79E84" w14:textId="20A2DD34" w:rsidR="00235D9D" w:rsidRPr="006A4431" w:rsidRDefault="009C083D">
            <w:pPr>
              <w:pStyle w:val="InstructionsText"/>
              <w:numPr>
                <w:ilvl w:val="0"/>
                <w:numId w:val="24"/>
              </w:numPr>
              <w:rPr>
                <w:spacing w:val="-2"/>
              </w:rPr>
            </w:pPr>
            <w:r w:rsidRPr="006A4431">
              <w:rPr>
                <w:spacing w:val="-2"/>
              </w:rPr>
              <w:t>podiel TSCR má byť tvorený kapitálom CET1 uvedeným</w:t>
            </w:r>
            <w:r w:rsidR="00D85C65" w:rsidRPr="006A4431">
              <w:rPr>
                <w:spacing w:val="-2"/>
              </w:rPr>
              <w:t xml:space="preserve"> v </w:t>
            </w:r>
            <w:r w:rsidRPr="006A4431">
              <w:rPr>
                <w:spacing w:val="-2"/>
              </w:rPr>
              <w:t>riadku 140;</w:t>
            </w:r>
          </w:p>
          <w:p w14:paraId="4CE915BA" w14:textId="5333C119" w:rsidR="00235D9D" w:rsidRPr="006A4431" w:rsidRDefault="009C083D">
            <w:pPr>
              <w:pStyle w:val="InstructionsText"/>
              <w:numPr>
                <w:ilvl w:val="0"/>
                <w:numId w:val="24"/>
              </w:numPr>
              <w:rPr>
                <w:bCs/>
                <w:spacing w:val="-2"/>
                <w:u w:val="single"/>
              </w:rPr>
            </w:pPr>
            <w:r w:rsidRPr="006A4431">
              <w:rPr>
                <w:spacing w:val="-2"/>
              </w:rPr>
              <w:t>v rozsahu,</w:t>
            </w:r>
            <w:r w:rsidR="00D85C65" w:rsidRPr="006A4431">
              <w:rPr>
                <w:spacing w:val="-2"/>
              </w:rPr>
              <w:t xml:space="preserve"> v </w:t>
            </w:r>
            <w:r w:rsidRPr="006A4431">
              <w:rPr>
                <w:spacing w:val="-2"/>
              </w:rPr>
              <w:t>akom je zákonne uplatniteľný, podiel požiadavky na kombinovaný vankúš uvedenej</w:t>
            </w:r>
            <w:r w:rsidR="00D85C65" w:rsidRPr="006A4431">
              <w:rPr>
                <w:spacing w:val="-2"/>
              </w:rPr>
              <w:t xml:space="preserve"> v </w:t>
            </w:r>
            <w:r w:rsidRPr="006A4431">
              <w:rPr>
                <w:spacing w:val="-2"/>
              </w:rPr>
              <w:t>článku 128 ods. 6) CRD.</w:t>
            </w:r>
          </w:p>
          <w:p w14:paraId="24F3705E" w14:textId="6A559E07" w:rsidR="00235D9D" w:rsidRPr="006A4431" w:rsidRDefault="00FF2818">
            <w:pPr>
              <w:pStyle w:val="InstructionsText"/>
              <w:rPr>
                <w:rStyle w:val="InstructionsTabelleberschrift"/>
                <w:rFonts w:ascii="Times New Roman" w:hAnsi="Times New Roman"/>
                <w:b w:val="0"/>
                <w:spacing w:val="-2"/>
                <w:sz w:val="24"/>
              </w:rPr>
            </w:pPr>
            <w:r w:rsidRPr="006A4431">
              <w:rPr>
                <w:spacing w:val="-2"/>
              </w:rPr>
              <w:lastRenderedPageBreak/>
              <w:t>Ak sa neuplatňuje žiadna požiadavka na vankúš, vykazuje sa iba bod i).</w:t>
            </w:r>
          </w:p>
        </w:tc>
      </w:tr>
      <w:tr w:rsidR="00235D9D" w:rsidRPr="006A4431" w14:paraId="07333B3A" w14:textId="77777777" w:rsidTr="00672D2A">
        <w:tc>
          <w:tcPr>
            <w:tcW w:w="703" w:type="dxa"/>
          </w:tcPr>
          <w:p w14:paraId="3A944048" w14:textId="77777777" w:rsidR="00235D9D" w:rsidRPr="006A4431" w:rsidRDefault="009C083D">
            <w:pPr>
              <w:pStyle w:val="InstructionsText"/>
              <w:rPr>
                <w:spacing w:val="-2"/>
              </w:rPr>
            </w:pPr>
            <w:r w:rsidRPr="006A4431">
              <w:rPr>
                <w:spacing w:val="-2"/>
              </w:rPr>
              <w:lastRenderedPageBreak/>
              <w:t>180</w:t>
            </w:r>
          </w:p>
        </w:tc>
        <w:tc>
          <w:tcPr>
            <w:tcW w:w="8080" w:type="dxa"/>
          </w:tcPr>
          <w:p w14:paraId="6472D30F" w14:textId="77777777" w:rsidR="00235D9D"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ab/>
              <w:t>OCR: má byť tvorená kapitálom Tier 1</w:t>
            </w:r>
          </w:p>
          <w:p w14:paraId="2417DC8A" w14:textId="14748EB2"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427457CD" w14:textId="725C4892" w:rsidR="00235D9D" w:rsidRPr="006A4431" w:rsidRDefault="009C083D">
            <w:pPr>
              <w:pStyle w:val="InstructionsText"/>
              <w:numPr>
                <w:ilvl w:val="0"/>
                <w:numId w:val="25"/>
              </w:numPr>
              <w:rPr>
                <w:spacing w:val="-2"/>
              </w:rPr>
            </w:pPr>
            <w:r w:rsidRPr="006A4431">
              <w:rPr>
                <w:spacing w:val="-2"/>
              </w:rPr>
              <w:t>podiel TSCR má byť tvorený kapitálom Tier 1 uvedeným</w:t>
            </w:r>
            <w:r w:rsidR="00D85C65" w:rsidRPr="006A4431">
              <w:rPr>
                <w:spacing w:val="-2"/>
              </w:rPr>
              <w:t xml:space="preserve"> v </w:t>
            </w:r>
            <w:r w:rsidRPr="006A4431">
              <w:rPr>
                <w:spacing w:val="-2"/>
              </w:rPr>
              <w:t>riadku 150;</w:t>
            </w:r>
          </w:p>
          <w:p w14:paraId="045919C2" w14:textId="739B9990" w:rsidR="00235D9D" w:rsidRPr="006A4431" w:rsidRDefault="009C083D">
            <w:pPr>
              <w:pStyle w:val="InstructionsText"/>
              <w:numPr>
                <w:ilvl w:val="0"/>
                <w:numId w:val="25"/>
              </w:numPr>
              <w:rPr>
                <w:bCs/>
                <w:spacing w:val="-2"/>
                <w:u w:val="single"/>
              </w:rPr>
            </w:pPr>
            <w:r w:rsidRPr="006A4431">
              <w:rPr>
                <w:spacing w:val="-2"/>
              </w:rPr>
              <w:t>v rozsahu,</w:t>
            </w:r>
            <w:r w:rsidR="00D85C65" w:rsidRPr="006A4431">
              <w:rPr>
                <w:spacing w:val="-2"/>
              </w:rPr>
              <w:t xml:space="preserve"> v </w:t>
            </w:r>
            <w:r w:rsidRPr="006A4431">
              <w:rPr>
                <w:spacing w:val="-2"/>
              </w:rPr>
              <w:t>akom je zákonne uplatniteľný, podiel požiadavky na kombinovaný vankúš uvedenej</w:t>
            </w:r>
            <w:r w:rsidR="00D85C65" w:rsidRPr="006A4431">
              <w:rPr>
                <w:spacing w:val="-2"/>
              </w:rPr>
              <w:t xml:space="preserve"> v </w:t>
            </w:r>
            <w:r w:rsidRPr="006A4431">
              <w:rPr>
                <w:spacing w:val="-2"/>
              </w:rPr>
              <w:t>článku 128 ods. 6) CRD.</w:t>
            </w:r>
          </w:p>
          <w:p w14:paraId="693DE97C" w14:textId="1A581626" w:rsidR="00235D9D" w:rsidRPr="006A4431" w:rsidRDefault="00FF2818">
            <w:pPr>
              <w:pStyle w:val="InstructionsText"/>
              <w:rPr>
                <w:rStyle w:val="InstructionsTabelleberschrift"/>
                <w:rFonts w:ascii="Times New Roman" w:hAnsi="Times New Roman"/>
                <w:b w:val="0"/>
                <w:spacing w:val="-2"/>
                <w:sz w:val="24"/>
              </w:rPr>
            </w:pPr>
            <w:r w:rsidRPr="006A4431">
              <w:rPr>
                <w:spacing w:val="-2"/>
              </w:rPr>
              <w:t>Ak sa neuplatňuje žiadna požiadavka na vankúš, vykazuje sa iba bod i).</w:t>
            </w:r>
          </w:p>
        </w:tc>
      </w:tr>
      <w:tr w:rsidR="00235D9D" w:rsidRPr="006A4431" w14:paraId="6FE97CA7" w14:textId="77777777" w:rsidTr="00672D2A">
        <w:tc>
          <w:tcPr>
            <w:tcW w:w="703" w:type="dxa"/>
          </w:tcPr>
          <w:p w14:paraId="5373D93D" w14:textId="77777777" w:rsidR="00235D9D" w:rsidRPr="006A4431" w:rsidRDefault="009C083D">
            <w:pPr>
              <w:pStyle w:val="InstructionsText"/>
              <w:rPr>
                <w:spacing w:val="-2"/>
              </w:rPr>
            </w:pPr>
            <w:r w:rsidRPr="006A4431">
              <w:rPr>
                <w:spacing w:val="-2"/>
              </w:rPr>
              <w:t>190</w:t>
            </w:r>
          </w:p>
        </w:tc>
        <w:tc>
          <w:tcPr>
            <w:tcW w:w="8080" w:type="dxa"/>
          </w:tcPr>
          <w:p w14:paraId="1E61E9B4" w14:textId="5E9AB904" w:rsidR="00235D9D"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15.</w:t>
            </w:r>
            <w:r w:rsidRPr="006A4431">
              <w:rPr>
                <w:rStyle w:val="InstructionsTabelleberschrift"/>
                <w:rFonts w:ascii="Times New Roman" w:hAnsi="Times New Roman"/>
                <w:spacing w:val="-2"/>
                <w:sz w:val="24"/>
              </w:rPr>
              <w:tab/>
              <w:t>Podiel celkovej kapitálovej požiadavky (OCR)</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usmernenia pre pilier 2 (P2G)</w:t>
            </w:r>
          </w:p>
          <w:p w14:paraId="2D4F717D" w14:textId="7A2DD39C"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5BC18CBE" w14:textId="605ED199" w:rsidR="00235D9D" w:rsidRPr="006A4431" w:rsidRDefault="009C083D">
            <w:pPr>
              <w:pStyle w:val="InstructionsText"/>
              <w:numPr>
                <w:ilvl w:val="0"/>
                <w:numId w:val="26"/>
              </w:numPr>
              <w:rPr>
                <w:spacing w:val="-2"/>
              </w:rPr>
            </w:pPr>
            <w:r w:rsidRPr="006A4431">
              <w:rPr>
                <w:spacing w:val="-2"/>
              </w:rPr>
              <w:t>podiel OCR uvedený</w:t>
            </w:r>
            <w:r w:rsidR="00D85C65" w:rsidRPr="006A4431">
              <w:rPr>
                <w:spacing w:val="-2"/>
              </w:rPr>
              <w:t xml:space="preserve"> v </w:t>
            </w:r>
            <w:r w:rsidRPr="006A4431">
              <w:rPr>
                <w:spacing w:val="-2"/>
              </w:rPr>
              <w:t>riadku 160;</w:t>
            </w:r>
          </w:p>
          <w:p w14:paraId="2B41480A" w14:textId="72EF4CB6" w:rsidR="00235D9D" w:rsidRPr="006A4431" w:rsidRDefault="009C083D">
            <w:pPr>
              <w:pStyle w:val="InstructionsText"/>
              <w:numPr>
                <w:ilvl w:val="0"/>
                <w:numId w:val="26"/>
              </w:numPr>
              <w:rPr>
                <w:bCs/>
                <w:spacing w:val="-2"/>
                <w:u w:val="single"/>
              </w:rPr>
            </w:pPr>
            <w:r w:rsidRPr="006A4431">
              <w:rPr>
                <w:spacing w:val="-2"/>
              </w:rPr>
              <w:t>ak je to relevantné, usmernenia pre pilier 2 (P2G)</w:t>
            </w:r>
            <w:r w:rsidR="00D85C65" w:rsidRPr="006A4431">
              <w:rPr>
                <w:spacing w:val="-2"/>
              </w:rPr>
              <w:t xml:space="preserve"> v </w:t>
            </w:r>
            <w:r w:rsidRPr="006A4431">
              <w:rPr>
                <w:spacing w:val="-2"/>
              </w:rPr>
              <w:t>zmysle vymedzenia</w:t>
            </w:r>
            <w:r w:rsidR="00D85C65" w:rsidRPr="006A4431">
              <w:rPr>
                <w:spacing w:val="-2"/>
              </w:rPr>
              <w:t xml:space="preserve"> v </w:t>
            </w:r>
            <w:r w:rsidRPr="006A4431">
              <w:rPr>
                <w:spacing w:val="-2"/>
              </w:rPr>
              <w:t>dokumente EBA SREP GL. P2G sa zohľadňujú len vtedy, keď ich inštitúcii oznámil príslušný orgán.</w:t>
            </w:r>
          </w:p>
          <w:p w14:paraId="02757A82" w14:textId="1F12674D" w:rsidR="00235D9D" w:rsidRPr="006A4431" w:rsidRDefault="00FF2818">
            <w:pPr>
              <w:pStyle w:val="InstructionsText"/>
              <w:rPr>
                <w:rStyle w:val="InstructionsTabelleberschrift"/>
                <w:rFonts w:ascii="Times New Roman" w:hAnsi="Times New Roman"/>
                <w:b w:val="0"/>
                <w:spacing w:val="-2"/>
                <w:sz w:val="24"/>
              </w:rPr>
            </w:pPr>
            <w:r w:rsidRPr="006A4431">
              <w:rPr>
                <w:spacing w:val="-2"/>
              </w:rPr>
              <w:t>Ak príslušný orgán neoznámil žiad</w:t>
            </w:r>
            <w:r w:rsidR="00E13EA5">
              <w:rPr>
                <w:spacing w:val="-2"/>
              </w:rPr>
              <w:t>ne P2G, vykazuje sa iba bod i).</w:t>
            </w:r>
            <w:r w:rsidRPr="006A4431">
              <w:rPr>
                <w:rStyle w:val="InstructionsTabelleberschrift"/>
                <w:rFonts w:ascii="Times New Roman" w:hAnsi="Times New Roman"/>
                <w:b w:val="0"/>
                <w:spacing w:val="-2"/>
                <w:sz w:val="24"/>
              </w:rPr>
              <w:t xml:space="preserve"> </w:t>
            </w:r>
          </w:p>
        </w:tc>
      </w:tr>
      <w:tr w:rsidR="00235D9D" w:rsidRPr="006A4431" w14:paraId="112A24E1" w14:textId="77777777" w:rsidTr="00672D2A">
        <w:tc>
          <w:tcPr>
            <w:tcW w:w="703" w:type="dxa"/>
          </w:tcPr>
          <w:p w14:paraId="6B60120C" w14:textId="77777777" w:rsidR="00235D9D" w:rsidRPr="006A4431" w:rsidRDefault="009C083D">
            <w:pPr>
              <w:pStyle w:val="InstructionsText"/>
              <w:rPr>
                <w:spacing w:val="-2"/>
              </w:rPr>
            </w:pPr>
            <w:r w:rsidRPr="006A4431">
              <w:rPr>
                <w:spacing w:val="-2"/>
              </w:rPr>
              <w:t>200</w:t>
            </w:r>
          </w:p>
        </w:tc>
        <w:tc>
          <w:tcPr>
            <w:tcW w:w="8080" w:type="dxa"/>
          </w:tcPr>
          <w:p w14:paraId="7285575D" w14:textId="77777777" w:rsidR="00D85C65"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15.*</w:t>
            </w:r>
            <w:r w:rsidRPr="006A4431">
              <w:rPr>
                <w:rStyle w:val="InstructionsTabelleberschrift"/>
                <w:rFonts w:ascii="Times New Roman" w:hAnsi="Times New Roman"/>
                <w:spacing w:val="-2"/>
                <w:sz w:val="24"/>
              </w:rPr>
              <w:tab/>
              <w:t>OCR</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P2G: majú byť tvorené kapitálom CET1</w:t>
            </w:r>
          </w:p>
          <w:p w14:paraId="4801CC69" w14:textId="3FB73552"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080BA5ED" w14:textId="0FA75AEB" w:rsidR="00235D9D" w:rsidRPr="006A4431" w:rsidRDefault="009C083D">
            <w:pPr>
              <w:pStyle w:val="InstructionsText"/>
              <w:numPr>
                <w:ilvl w:val="0"/>
                <w:numId w:val="27"/>
              </w:numPr>
              <w:rPr>
                <w:spacing w:val="-2"/>
              </w:rPr>
            </w:pPr>
            <w:r w:rsidRPr="006A4431">
              <w:rPr>
                <w:spacing w:val="-2"/>
              </w:rPr>
              <w:t>podiel OCR má byť tvorený kapitálom CET1 uvedeným</w:t>
            </w:r>
            <w:r w:rsidR="00D85C65" w:rsidRPr="006A4431">
              <w:rPr>
                <w:spacing w:val="-2"/>
              </w:rPr>
              <w:t xml:space="preserve"> v </w:t>
            </w:r>
            <w:r w:rsidRPr="006A4431">
              <w:rPr>
                <w:spacing w:val="-2"/>
              </w:rPr>
              <w:t>riadku 170;</w:t>
            </w:r>
          </w:p>
          <w:p w14:paraId="41E9170A" w14:textId="5A36DA98" w:rsidR="00235D9D" w:rsidRPr="006A4431" w:rsidRDefault="009C083D">
            <w:pPr>
              <w:pStyle w:val="InstructionsText"/>
              <w:numPr>
                <w:ilvl w:val="0"/>
                <w:numId w:val="27"/>
              </w:numPr>
              <w:rPr>
                <w:bCs/>
                <w:spacing w:val="-2"/>
                <w:u w:val="single"/>
              </w:rPr>
            </w:pPr>
            <w:r w:rsidRPr="006A4431">
              <w:rPr>
                <w:spacing w:val="-2"/>
              </w:rPr>
              <w:t>v náležitých prípadoch časť podielu P2R uvedeného</w:t>
            </w:r>
            <w:r w:rsidR="00D85C65" w:rsidRPr="006A4431">
              <w:rPr>
                <w:spacing w:val="-2"/>
              </w:rPr>
              <w:t xml:space="preserve"> v </w:t>
            </w:r>
            <w:r w:rsidRPr="006A4431">
              <w:rPr>
                <w:spacing w:val="-2"/>
              </w:rPr>
              <w:t>bode ii)</w:t>
            </w:r>
            <w:r w:rsidR="00D85C65" w:rsidRPr="006A4431">
              <w:rPr>
                <w:spacing w:val="-2"/>
              </w:rPr>
              <w:t xml:space="preserve"> v </w:t>
            </w:r>
            <w:r w:rsidRPr="006A4431">
              <w:rPr>
                <w:spacing w:val="-2"/>
              </w:rPr>
              <w:t>riadku 190, ktorý na základe požiadavky príslušného orgánu musí byť držaný</w:t>
            </w:r>
            <w:r w:rsidR="00D85C65" w:rsidRPr="006A4431">
              <w:rPr>
                <w:spacing w:val="-2"/>
              </w:rPr>
              <w:t xml:space="preserve"> v </w:t>
            </w:r>
            <w:r w:rsidRPr="006A4431">
              <w:rPr>
                <w:spacing w:val="-2"/>
              </w:rPr>
              <w:t>podobe kapitálu CET1. P2G sa zahrnie iba vtedy, ak to inštitúcii oznámil príslušný orgán.</w:t>
            </w:r>
          </w:p>
          <w:p w14:paraId="2625BF57" w14:textId="0E023328" w:rsidR="00235D9D" w:rsidRPr="006A4431" w:rsidRDefault="00FF2818">
            <w:pPr>
              <w:pStyle w:val="InstructionsText"/>
              <w:rPr>
                <w:rStyle w:val="InstructionsTabelleberschrift"/>
                <w:rFonts w:ascii="Times New Roman" w:hAnsi="Times New Roman"/>
                <w:b w:val="0"/>
                <w:spacing w:val="-2"/>
                <w:sz w:val="24"/>
              </w:rPr>
            </w:pPr>
            <w:r w:rsidRPr="006A4431">
              <w:rPr>
                <w:spacing w:val="-2"/>
              </w:rPr>
              <w:t>Ak príslušný orgán neoznámil žiadne P2G, vykazuje sa iba bod i).</w:t>
            </w:r>
          </w:p>
        </w:tc>
      </w:tr>
      <w:tr w:rsidR="00235D9D" w:rsidRPr="006A4431" w14:paraId="6DB68548" w14:textId="77777777" w:rsidTr="00672D2A">
        <w:tc>
          <w:tcPr>
            <w:tcW w:w="703" w:type="dxa"/>
          </w:tcPr>
          <w:p w14:paraId="18D58F07" w14:textId="77777777" w:rsidR="00235D9D" w:rsidRPr="006A4431" w:rsidRDefault="009C083D">
            <w:pPr>
              <w:pStyle w:val="InstructionsText"/>
              <w:rPr>
                <w:spacing w:val="-2"/>
              </w:rPr>
            </w:pPr>
            <w:r w:rsidRPr="006A4431">
              <w:rPr>
                <w:spacing w:val="-2"/>
              </w:rPr>
              <w:t>210</w:t>
            </w:r>
          </w:p>
        </w:tc>
        <w:tc>
          <w:tcPr>
            <w:tcW w:w="8080" w:type="dxa"/>
          </w:tcPr>
          <w:p w14:paraId="364B35B6" w14:textId="77777777" w:rsidR="00D85C65" w:rsidRPr="006A4431" w:rsidRDefault="009C083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15.**</w:t>
            </w:r>
            <w:r w:rsidRPr="006A4431">
              <w:rPr>
                <w:rStyle w:val="InstructionsTabelleberschrift"/>
                <w:rFonts w:ascii="Times New Roman" w:hAnsi="Times New Roman"/>
                <w:spacing w:val="-2"/>
                <w:sz w:val="24"/>
              </w:rPr>
              <w:tab/>
              <w:t>OCR</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P2G: majú byť tvorené kapitálom Tier 1</w:t>
            </w:r>
          </w:p>
          <w:p w14:paraId="557350FD" w14:textId="00757D0E" w:rsidR="00235D9D" w:rsidRPr="006A4431" w:rsidRDefault="009C083D">
            <w:pPr>
              <w:pStyle w:val="InstructionsText"/>
              <w:rPr>
                <w:spacing w:val="-2"/>
              </w:rPr>
            </w:pPr>
            <w:r w:rsidRPr="006A4431">
              <w:rPr>
                <w:spacing w:val="-2"/>
              </w:rPr>
              <w:t>Súčet bodov i)</w:t>
            </w:r>
            <w:r w:rsidR="00D85C65" w:rsidRPr="006A4431">
              <w:rPr>
                <w:spacing w:val="-2"/>
              </w:rPr>
              <w:t xml:space="preserve"> a </w:t>
            </w:r>
            <w:r w:rsidRPr="006A4431">
              <w:rPr>
                <w:spacing w:val="-2"/>
              </w:rPr>
              <w:t>ii) takto:</w:t>
            </w:r>
          </w:p>
          <w:p w14:paraId="43F6CA75" w14:textId="3B5F92D2" w:rsidR="00235D9D" w:rsidRPr="006A4431" w:rsidRDefault="009C083D">
            <w:pPr>
              <w:pStyle w:val="InstructionsText"/>
              <w:numPr>
                <w:ilvl w:val="0"/>
                <w:numId w:val="28"/>
              </w:numPr>
              <w:rPr>
                <w:spacing w:val="-2"/>
              </w:rPr>
            </w:pPr>
            <w:r w:rsidRPr="006A4431">
              <w:rPr>
                <w:spacing w:val="-2"/>
              </w:rPr>
              <w:t>podiel OCR má byť tvorený kapitálom Tier 1 uvedeným</w:t>
            </w:r>
            <w:r w:rsidR="00D85C65" w:rsidRPr="006A4431">
              <w:rPr>
                <w:spacing w:val="-2"/>
              </w:rPr>
              <w:t xml:space="preserve"> v </w:t>
            </w:r>
            <w:r w:rsidRPr="006A4431">
              <w:rPr>
                <w:spacing w:val="-2"/>
              </w:rPr>
              <w:t>riadku 180;</w:t>
            </w:r>
          </w:p>
          <w:p w14:paraId="6DC1CE75" w14:textId="5501D07C" w:rsidR="00235D9D" w:rsidRPr="006A4431" w:rsidRDefault="009C083D">
            <w:pPr>
              <w:pStyle w:val="InstructionsText"/>
              <w:numPr>
                <w:ilvl w:val="0"/>
                <w:numId w:val="28"/>
              </w:numPr>
              <w:rPr>
                <w:spacing w:val="-2"/>
              </w:rPr>
            </w:pPr>
            <w:r w:rsidRPr="006A4431">
              <w:rPr>
                <w:spacing w:val="-2"/>
              </w:rPr>
              <w:t>v náležitých prípadoch časť podielu P2R uvedeného</w:t>
            </w:r>
            <w:r w:rsidR="00D85C65" w:rsidRPr="006A4431">
              <w:rPr>
                <w:spacing w:val="-2"/>
              </w:rPr>
              <w:t xml:space="preserve"> v </w:t>
            </w:r>
            <w:r w:rsidRPr="006A4431">
              <w:rPr>
                <w:spacing w:val="-2"/>
              </w:rPr>
              <w:t>bode ii)</w:t>
            </w:r>
            <w:r w:rsidR="00D85C65" w:rsidRPr="006A4431">
              <w:rPr>
                <w:spacing w:val="-2"/>
              </w:rPr>
              <w:t xml:space="preserve"> v </w:t>
            </w:r>
            <w:r w:rsidRPr="006A4431">
              <w:rPr>
                <w:spacing w:val="-2"/>
              </w:rPr>
              <w:t>riadku 190, ktorý na základe požiadavky príslušného orgánu musí byť držaný</w:t>
            </w:r>
            <w:r w:rsidR="00D85C65" w:rsidRPr="006A4431">
              <w:rPr>
                <w:spacing w:val="-2"/>
              </w:rPr>
              <w:t xml:space="preserve"> v </w:t>
            </w:r>
            <w:r w:rsidRPr="006A4431">
              <w:rPr>
                <w:spacing w:val="-2"/>
              </w:rPr>
              <w:t>podobe kapitálu Tier 1. P2G sa zahrnie iba vtedy, ak to inštitúcii oznámil príslušný orgán.</w:t>
            </w:r>
          </w:p>
          <w:p w14:paraId="3F1A442F" w14:textId="4F4DB231" w:rsidR="00235D9D" w:rsidRPr="006A4431" w:rsidRDefault="00FF2818">
            <w:pPr>
              <w:pStyle w:val="InstructionsText"/>
              <w:rPr>
                <w:rStyle w:val="InstructionsTabelleberschrift"/>
                <w:rFonts w:ascii="Times New Roman" w:hAnsi="Times New Roman"/>
                <w:b w:val="0"/>
                <w:bCs w:val="0"/>
                <w:spacing w:val="-2"/>
                <w:sz w:val="24"/>
                <w:u w:val="none"/>
              </w:rPr>
            </w:pPr>
            <w:r w:rsidRPr="006A4431">
              <w:rPr>
                <w:spacing w:val="-2"/>
              </w:rPr>
              <w:t>Ak príslušný orgán neoznámil žiadne P2G, vykazuje sa iba bod i).</w:t>
            </w:r>
            <w:r w:rsidRPr="006A4431">
              <w:rPr>
                <w:rStyle w:val="InstructionsTabelleberschrift"/>
                <w:rFonts w:ascii="Times New Roman" w:hAnsi="Times New Roman"/>
                <w:b w:val="0"/>
                <w:spacing w:val="-2"/>
                <w:sz w:val="24"/>
              </w:rPr>
              <w:t xml:space="preserve"> </w:t>
            </w:r>
          </w:p>
        </w:tc>
      </w:tr>
    </w:tbl>
    <w:p w14:paraId="0E23FC91" w14:textId="77777777" w:rsidR="00235D9D" w:rsidRPr="00E13EA5" w:rsidRDefault="00235D9D">
      <w:pPr>
        <w:pStyle w:val="InstructionsText"/>
        <w:rPr>
          <w:spacing w:val="-2"/>
          <w:sz w:val="16"/>
          <w:szCs w:val="16"/>
        </w:rPr>
      </w:pPr>
    </w:p>
    <w:p w14:paraId="2069CA2F" w14:textId="21A8E46B" w:rsidR="00D85C65" w:rsidRPr="006A4431" w:rsidRDefault="00125707">
      <w:pPr>
        <w:pStyle w:val="Instructionsberschrift2"/>
        <w:numPr>
          <w:ilvl w:val="0"/>
          <w:numId w:val="0"/>
        </w:numPr>
        <w:ind w:left="357" w:hanging="357"/>
        <w:rPr>
          <w:rFonts w:ascii="Times New Roman" w:hAnsi="Times New Roman"/>
          <w:spacing w:val="-2"/>
          <w:sz w:val="24"/>
        </w:rPr>
      </w:pPr>
      <w:bookmarkStart w:id="15" w:name="_Toc29994458"/>
      <w:r w:rsidRPr="006A4431">
        <w:rPr>
          <w:rFonts w:ascii="Times New Roman" w:hAnsi="Times New Roman"/>
          <w:spacing w:val="-2"/>
          <w:sz w:val="24"/>
          <w:u w:val="none"/>
        </w:rPr>
        <w:t>1.5.</w:t>
      </w:r>
      <w:r w:rsidRPr="006A4431">
        <w:rPr>
          <w:rFonts w:ascii="Times New Roman" w:hAnsi="Times New Roman"/>
          <w:spacing w:val="-2"/>
          <w:sz w:val="24"/>
          <w:u w:val="none"/>
        </w:rPr>
        <w:tab/>
      </w:r>
      <w:r w:rsidRPr="006A4431">
        <w:rPr>
          <w:rFonts w:ascii="Times New Roman" w:hAnsi="Times New Roman"/>
          <w:spacing w:val="-2"/>
          <w:sz w:val="24"/>
        </w:rPr>
        <w:t>C 04.00 – DOPLŇUJÚCE POLOŽKY (CA4)</w:t>
      </w:r>
      <w:bookmarkEnd w:id="15"/>
    </w:p>
    <w:p w14:paraId="42F8F30C" w14:textId="7E5866B9"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16" w:name="_Toc29994459"/>
      <w:r w:rsidRPr="006A4431">
        <w:rPr>
          <w:rFonts w:ascii="Times New Roman" w:hAnsi="Times New Roman"/>
          <w:spacing w:val="-2"/>
          <w:sz w:val="24"/>
          <w:u w:val="none"/>
        </w:rPr>
        <w:t>1.5.1.</w:t>
      </w:r>
      <w:r w:rsidRPr="006A4431">
        <w:rPr>
          <w:rFonts w:ascii="Times New Roman" w:hAnsi="Times New Roman"/>
          <w:spacing w:val="-2"/>
          <w:sz w:val="24"/>
          <w:u w:val="none"/>
        </w:rPr>
        <w:tab/>
      </w:r>
      <w:r w:rsidRPr="006A4431">
        <w:rPr>
          <w:rFonts w:ascii="Times New Roman" w:hAnsi="Times New Roman"/>
          <w:spacing w:val="-2"/>
          <w:sz w:val="24"/>
        </w:rPr>
        <w:t>Pokyny týkajúce sa konkrétnych pozícií</w:t>
      </w:r>
      <w:bookmarkEnd w:id="16"/>
    </w:p>
    <w:p w14:paraId="6390E10F" w14:textId="77777777" w:rsidR="00235D9D" w:rsidRPr="00E13EA5" w:rsidRDefault="00235D9D">
      <w:pPr>
        <w:pStyle w:val="InstructionsText"/>
        <w:rPr>
          <w:spacing w:val="-2"/>
          <w:sz w:val="16"/>
          <w:szCs w:val="16"/>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7054"/>
      </w:tblGrid>
      <w:tr w:rsidR="00235D9D" w:rsidRPr="006A4431" w14:paraId="313B6EA1" w14:textId="77777777" w:rsidTr="00672D2A">
        <w:tc>
          <w:tcPr>
            <w:tcW w:w="8749" w:type="dxa"/>
            <w:gridSpan w:val="2"/>
            <w:shd w:val="clear" w:color="auto" w:fill="D9D9D9"/>
          </w:tcPr>
          <w:p w14:paraId="4816E426" w14:textId="77777777" w:rsidR="00235D9D" w:rsidRPr="006A4431" w:rsidRDefault="002648B0">
            <w:pPr>
              <w:pStyle w:val="InstructionsText"/>
              <w:rPr>
                <w:spacing w:val="-2"/>
              </w:rPr>
            </w:pPr>
            <w:r w:rsidRPr="006A4431">
              <w:rPr>
                <w:spacing w:val="-2"/>
              </w:rPr>
              <w:t>Riadky</w:t>
            </w:r>
          </w:p>
        </w:tc>
      </w:tr>
      <w:tr w:rsidR="00235D9D" w:rsidRPr="006A4431" w14:paraId="22110935" w14:textId="77777777" w:rsidTr="00672D2A">
        <w:tc>
          <w:tcPr>
            <w:tcW w:w="1506" w:type="dxa"/>
          </w:tcPr>
          <w:p w14:paraId="500FF4BF" w14:textId="77777777" w:rsidR="00235D9D" w:rsidRPr="006A4431" w:rsidRDefault="002648B0">
            <w:pPr>
              <w:pStyle w:val="InstructionsText"/>
              <w:rPr>
                <w:spacing w:val="-2"/>
              </w:rPr>
            </w:pPr>
            <w:r w:rsidRPr="006A4431">
              <w:rPr>
                <w:spacing w:val="-2"/>
              </w:rPr>
              <w:t>010</w:t>
            </w:r>
          </w:p>
        </w:tc>
        <w:tc>
          <w:tcPr>
            <w:tcW w:w="7243" w:type="dxa"/>
          </w:tcPr>
          <w:p w14:paraId="0F2D308F" w14:textId="77777777" w:rsidR="00235D9D" w:rsidRPr="006A4431" w:rsidRDefault="00C66473">
            <w:pPr>
              <w:pStyle w:val="InstructionsText"/>
              <w:rPr>
                <w:spacing w:val="-2"/>
              </w:rPr>
            </w:pPr>
            <w:r w:rsidRPr="006A4431">
              <w:rPr>
                <w:rStyle w:val="InstructionsTabelleberschrift"/>
                <w:rFonts w:ascii="Times New Roman" w:hAnsi="Times New Roman"/>
                <w:spacing w:val="-2"/>
                <w:sz w:val="24"/>
              </w:rPr>
              <w:t>1.</w:t>
            </w:r>
            <w:r w:rsidRPr="006A4431">
              <w:rPr>
                <w:rStyle w:val="InstructionsTabelleberschrift"/>
                <w:rFonts w:ascii="Times New Roman" w:hAnsi="Times New Roman"/>
                <w:spacing w:val="-2"/>
                <w:sz w:val="24"/>
              </w:rPr>
              <w:tab/>
              <w:t>Celkové odložené daňové pohľadávky</w:t>
            </w:r>
          </w:p>
          <w:p w14:paraId="53ACAA60" w14:textId="2BE517BB" w:rsidR="00235D9D" w:rsidRPr="006A4431" w:rsidRDefault="002648B0">
            <w:pPr>
              <w:pStyle w:val="InstructionsText"/>
              <w:rPr>
                <w:spacing w:val="-2"/>
              </w:rPr>
            </w:pPr>
            <w:r w:rsidRPr="006A4431">
              <w:rPr>
                <w:spacing w:val="-2"/>
              </w:rPr>
              <w:lastRenderedPageBreak/>
              <w:t>Hodnota vykazovaná</w:t>
            </w:r>
            <w:r w:rsidR="00D85C65" w:rsidRPr="006A4431">
              <w:rPr>
                <w:spacing w:val="-2"/>
              </w:rPr>
              <w:t xml:space="preserve"> v </w:t>
            </w:r>
            <w:r w:rsidRPr="006A4431">
              <w:rPr>
                <w:spacing w:val="-2"/>
              </w:rPr>
              <w:t>tejto položke sa rovná hodnote vykázanej</w:t>
            </w:r>
            <w:r w:rsidR="00D85C65" w:rsidRPr="006A4431">
              <w:rPr>
                <w:spacing w:val="-2"/>
              </w:rPr>
              <w:t xml:space="preserve"> v </w:t>
            </w:r>
            <w:r w:rsidRPr="006A4431">
              <w:rPr>
                <w:spacing w:val="-2"/>
              </w:rPr>
              <w:t>poslednej overenej/auditovanej účtovnej súvahe.</w:t>
            </w:r>
          </w:p>
        </w:tc>
      </w:tr>
      <w:tr w:rsidR="00235D9D" w:rsidRPr="006A4431" w14:paraId="14E6DBA6" w14:textId="77777777" w:rsidTr="00672D2A">
        <w:tc>
          <w:tcPr>
            <w:tcW w:w="1506" w:type="dxa"/>
          </w:tcPr>
          <w:p w14:paraId="029AF20D" w14:textId="77777777" w:rsidR="00235D9D" w:rsidRPr="006A4431" w:rsidRDefault="002648B0">
            <w:pPr>
              <w:pStyle w:val="InstructionsText"/>
              <w:rPr>
                <w:spacing w:val="-2"/>
              </w:rPr>
            </w:pPr>
            <w:r w:rsidRPr="006A4431">
              <w:rPr>
                <w:spacing w:val="-2"/>
              </w:rPr>
              <w:lastRenderedPageBreak/>
              <w:t>020</w:t>
            </w:r>
          </w:p>
        </w:tc>
        <w:tc>
          <w:tcPr>
            <w:tcW w:w="7243" w:type="dxa"/>
          </w:tcPr>
          <w:p w14:paraId="0D448E41"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1.1.</w:t>
            </w:r>
            <w:r w:rsidRPr="006A4431">
              <w:rPr>
                <w:rStyle w:val="InstructionsTabelleberschrift"/>
                <w:rFonts w:ascii="Times New Roman" w:hAnsi="Times New Roman"/>
                <w:spacing w:val="-2"/>
                <w:sz w:val="24"/>
              </w:rPr>
              <w:tab/>
              <w:t>Odložené daňové pohľadávky, ktoré nezávisia od budúcej ziskovosti</w:t>
            </w:r>
          </w:p>
          <w:p w14:paraId="1A120991" w14:textId="2E724B6B" w:rsidR="00235D9D" w:rsidRPr="006A4431" w:rsidRDefault="002648B0">
            <w:pPr>
              <w:pStyle w:val="InstructionsText"/>
              <w:rPr>
                <w:spacing w:val="-2"/>
              </w:rPr>
            </w:pPr>
            <w:r w:rsidRPr="006A4431">
              <w:rPr>
                <w:spacing w:val="-2"/>
              </w:rPr>
              <w:t>Článok 39 ods. 2 CRR.</w:t>
            </w:r>
          </w:p>
          <w:p w14:paraId="4105C1C1" w14:textId="1ECD90F3" w:rsidR="00235D9D" w:rsidRPr="006A4431" w:rsidRDefault="002648B0">
            <w:pPr>
              <w:pStyle w:val="InstructionsText"/>
              <w:rPr>
                <w:spacing w:val="-2"/>
              </w:rPr>
            </w:pPr>
            <w:r w:rsidRPr="006A4431">
              <w:rPr>
                <w:spacing w:val="-2"/>
              </w:rPr>
              <w:t>Odložené daňové pohľadávky, ktoré nezávisia od budúcej ziskovosti,</w:t>
            </w:r>
            <w:r w:rsidR="00D85C65" w:rsidRPr="006A4431">
              <w:rPr>
                <w:spacing w:val="-2"/>
              </w:rPr>
              <w:t xml:space="preserve"> a </w:t>
            </w:r>
            <w:r w:rsidRPr="006A4431">
              <w:rPr>
                <w:spacing w:val="-2"/>
              </w:rPr>
              <w:t>preto sa na ne uplatňuje riziková váha.</w:t>
            </w:r>
          </w:p>
        </w:tc>
      </w:tr>
      <w:tr w:rsidR="00235D9D" w:rsidRPr="006A4431" w14:paraId="53A2C3B9" w14:textId="77777777" w:rsidTr="00672D2A">
        <w:tc>
          <w:tcPr>
            <w:tcW w:w="1506" w:type="dxa"/>
          </w:tcPr>
          <w:p w14:paraId="778538E2" w14:textId="77777777" w:rsidR="00235D9D" w:rsidRPr="006A4431" w:rsidRDefault="002648B0">
            <w:pPr>
              <w:pStyle w:val="InstructionsText"/>
              <w:rPr>
                <w:spacing w:val="-2"/>
              </w:rPr>
            </w:pPr>
            <w:r w:rsidRPr="006A4431">
              <w:rPr>
                <w:spacing w:val="-2"/>
              </w:rPr>
              <w:t>030</w:t>
            </w:r>
          </w:p>
        </w:tc>
        <w:tc>
          <w:tcPr>
            <w:tcW w:w="7243" w:type="dxa"/>
          </w:tcPr>
          <w:p w14:paraId="4CE41E2D" w14:textId="2E019D5E" w:rsidR="00235D9D" w:rsidRPr="006A4431" w:rsidRDefault="002648B0">
            <w:pPr>
              <w:pStyle w:val="InstructionsText"/>
              <w:rPr>
                <w:spacing w:val="-2"/>
              </w:rPr>
            </w:pPr>
            <w:r w:rsidRPr="006A4431">
              <w:rPr>
                <w:rStyle w:val="InstructionsTabelleberschrift"/>
                <w:rFonts w:ascii="Times New Roman" w:hAnsi="Times New Roman"/>
                <w:spacing w:val="-2"/>
                <w:sz w:val="24"/>
              </w:rPr>
              <w:t>1.2.</w:t>
            </w:r>
            <w:r w:rsidRPr="006A4431">
              <w:rPr>
                <w:rStyle w:val="InstructionsTabelleberschrift"/>
                <w:rFonts w:ascii="Times New Roman" w:hAnsi="Times New Roman"/>
                <w:spacing w:val="-2"/>
                <w:sz w:val="24"/>
              </w:rPr>
              <w:tab/>
              <w:t>Odložené daňové pohľadávky,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nevyplývajú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666689B9" w14:textId="62924265" w:rsidR="00235D9D" w:rsidRPr="006A4431" w:rsidRDefault="0014657C">
            <w:pPr>
              <w:pStyle w:val="InstructionsText"/>
              <w:rPr>
                <w:spacing w:val="-2"/>
              </w:rPr>
            </w:pPr>
            <w:r w:rsidRPr="006A4431">
              <w:rPr>
                <w:spacing w:val="-2"/>
              </w:rPr>
              <w:t>Článok 36 ods. 1 písm. c)</w:t>
            </w:r>
            <w:r w:rsidR="00D85C65" w:rsidRPr="006A4431">
              <w:rPr>
                <w:spacing w:val="-2"/>
              </w:rPr>
              <w:t xml:space="preserve"> a </w:t>
            </w:r>
            <w:r w:rsidRPr="006A4431">
              <w:rPr>
                <w:spacing w:val="-2"/>
              </w:rPr>
              <w:t>článok 38 CRR.</w:t>
            </w:r>
          </w:p>
          <w:p w14:paraId="06BE7532" w14:textId="3E4B5724" w:rsidR="00235D9D" w:rsidRPr="006A4431" w:rsidRDefault="002648B0">
            <w:pPr>
              <w:pStyle w:val="InstructionsText"/>
              <w:rPr>
                <w:spacing w:val="-2"/>
              </w:rPr>
            </w:pPr>
            <w:r w:rsidRPr="006A4431">
              <w:rPr>
                <w:spacing w:val="-2"/>
              </w:rPr>
              <w:t>Odložené daňové pohľadávky, ktoré závisia od budúcej ziskovosti, ale nevyplývajú</w:t>
            </w:r>
            <w:r w:rsidR="00D85C65" w:rsidRPr="006A4431">
              <w:rPr>
                <w:spacing w:val="-2"/>
              </w:rPr>
              <w:t xml:space="preserve"> z </w:t>
            </w:r>
            <w:r w:rsidRPr="006A4431">
              <w:rPr>
                <w:spacing w:val="-2"/>
              </w:rPr>
              <w:t>dočasných rozdielov,</w:t>
            </w:r>
            <w:r w:rsidR="00D85C65" w:rsidRPr="006A4431">
              <w:rPr>
                <w:spacing w:val="-2"/>
              </w:rPr>
              <w:t xml:space="preserve"> a </w:t>
            </w:r>
            <w:r w:rsidRPr="006A4431">
              <w:rPr>
                <w:spacing w:val="-2"/>
              </w:rPr>
              <w:t>preto sa na ne neuplatňuje prahová hodnota (t. j.</w:t>
            </w:r>
            <w:r w:rsidR="00D85C65" w:rsidRPr="006A4431">
              <w:rPr>
                <w:spacing w:val="-2"/>
              </w:rPr>
              <w:t xml:space="preserve"> v </w:t>
            </w:r>
            <w:r w:rsidRPr="006A4431">
              <w:rPr>
                <w:spacing w:val="-2"/>
              </w:rPr>
              <w:t>plnej miere sa odpočítavajú od CET1).</w:t>
            </w:r>
          </w:p>
        </w:tc>
      </w:tr>
      <w:tr w:rsidR="00235D9D" w:rsidRPr="006A4431" w14:paraId="50B75D93" w14:textId="77777777" w:rsidTr="00672D2A">
        <w:tc>
          <w:tcPr>
            <w:tcW w:w="1506" w:type="dxa"/>
          </w:tcPr>
          <w:p w14:paraId="263B71C4" w14:textId="77777777" w:rsidR="00235D9D" w:rsidRPr="006A4431" w:rsidRDefault="002648B0">
            <w:pPr>
              <w:pStyle w:val="InstructionsText"/>
              <w:rPr>
                <w:spacing w:val="-2"/>
              </w:rPr>
            </w:pPr>
            <w:r w:rsidRPr="006A4431">
              <w:rPr>
                <w:spacing w:val="-2"/>
              </w:rPr>
              <w:t>040</w:t>
            </w:r>
          </w:p>
        </w:tc>
        <w:tc>
          <w:tcPr>
            <w:tcW w:w="7243" w:type="dxa"/>
          </w:tcPr>
          <w:p w14:paraId="518832B6" w14:textId="169DA719" w:rsidR="00235D9D" w:rsidRPr="006A4431" w:rsidRDefault="002648B0">
            <w:pPr>
              <w:pStyle w:val="InstructionsText"/>
              <w:rPr>
                <w:spacing w:val="-2"/>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Odložené daňové pohľadávky,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710E4708" w14:textId="23062700" w:rsidR="00235D9D" w:rsidRPr="006A4431" w:rsidRDefault="0014657C">
            <w:pPr>
              <w:pStyle w:val="InstructionsText"/>
              <w:rPr>
                <w:spacing w:val="-2"/>
              </w:rPr>
            </w:pPr>
            <w:r w:rsidRPr="006A4431">
              <w:rPr>
                <w:spacing w:val="-2"/>
              </w:rPr>
              <w:t>Článok 36 ods. 1 písm. c); článok 38</w:t>
            </w:r>
            <w:r w:rsidR="00D85C65" w:rsidRPr="006A4431">
              <w:rPr>
                <w:spacing w:val="-2"/>
              </w:rPr>
              <w:t xml:space="preserve"> a </w:t>
            </w:r>
            <w:r w:rsidRPr="006A4431">
              <w:rPr>
                <w:spacing w:val="-2"/>
              </w:rPr>
              <w:t>článok 48 ods. 1 písm. a) CRR.</w:t>
            </w:r>
          </w:p>
          <w:p w14:paraId="4BC7F2B8" w14:textId="304FC623" w:rsidR="00235D9D" w:rsidRPr="006A4431" w:rsidRDefault="002648B0">
            <w:pPr>
              <w:pStyle w:val="InstructionsText"/>
              <w:rPr>
                <w:spacing w:val="-2"/>
              </w:rPr>
            </w:pPr>
            <w:r w:rsidRPr="006A4431">
              <w:rPr>
                <w:spacing w:val="-2"/>
              </w:rPr>
              <w:t>Odložené daňové pohľadávky,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w:t>
            </w:r>
            <w:r w:rsidR="00D85C65" w:rsidRPr="006A4431">
              <w:rPr>
                <w:spacing w:val="-2"/>
              </w:rPr>
              <w:t xml:space="preserve"> a </w:t>
            </w:r>
            <w:r w:rsidRPr="006A4431">
              <w:rPr>
                <w:spacing w:val="-2"/>
              </w:rPr>
              <w:t>preto sa na ich odpočet od CET1 uplatňujú prahové hodnoty 10</w:t>
            </w:r>
            <w:r w:rsidR="00D85C65" w:rsidRPr="006A4431">
              <w:rPr>
                <w:spacing w:val="-2"/>
              </w:rPr>
              <w:t> % a </w:t>
            </w:r>
            <w:r w:rsidRPr="006A4431">
              <w:rPr>
                <w:spacing w:val="-2"/>
              </w:rPr>
              <w:t>17,65</w:t>
            </w:r>
            <w:r w:rsidR="00D85C65" w:rsidRPr="006A4431">
              <w:rPr>
                <w:spacing w:val="-2"/>
              </w:rPr>
              <w:t> %</w:t>
            </w:r>
            <w:r w:rsidRPr="006A4431">
              <w:rPr>
                <w:spacing w:val="-2"/>
              </w:rPr>
              <w:t xml:space="preserve"> stanovené</w:t>
            </w:r>
            <w:r w:rsidR="00D85C65" w:rsidRPr="006A4431">
              <w:rPr>
                <w:spacing w:val="-2"/>
              </w:rPr>
              <w:t xml:space="preserve"> v </w:t>
            </w:r>
            <w:r w:rsidRPr="006A4431">
              <w:rPr>
                <w:spacing w:val="-2"/>
              </w:rPr>
              <w:t>článku 48 CRR.</w:t>
            </w:r>
          </w:p>
        </w:tc>
      </w:tr>
      <w:tr w:rsidR="00235D9D" w:rsidRPr="006A4431" w14:paraId="410FE284" w14:textId="77777777" w:rsidTr="00672D2A">
        <w:tc>
          <w:tcPr>
            <w:tcW w:w="1506" w:type="dxa"/>
          </w:tcPr>
          <w:p w14:paraId="258DBD5A" w14:textId="77777777" w:rsidR="00235D9D" w:rsidRPr="006A4431" w:rsidRDefault="002648B0">
            <w:pPr>
              <w:pStyle w:val="InstructionsText"/>
              <w:rPr>
                <w:spacing w:val="-2"/>
              </w:rPr>
            </w:pPr>
            <w:r w:rsidRPr="006A4431">
              <w:rPr>
                <w:spacing w:val="-2"/>
              </w:rPr>
              <w:t>050</w:t>
            </w:r>
          </w:p>
        </w:tc>
        <w:tc>
          <w:tcPr>
            <w:tcW w:w="7243" w:type="dxa"/>
          </w:tcPr>
          <w:p w14:paraId="49A5DD38" w14:textId="15AB8172" w:rsidR="00235D9D" w:rsidRPr="006A4431" w:rsidRDefault="002648B0">
            <w:pPr>
              <w:pStyle w:val="InstructionsText"/>
              <w:rPr>
                <w:spacing w:val="-2"/>
              </w:rPr>
            </w:pPr>
            <w:r w:rsidRPr="006A4431">
              <w:rPr>
                <w:rStyle w:val="InstructionsTabelleberschrift"/>
                <w:rFonts w:ascii="Times New Roman" w:hAnsi="Times New Roman"/>
                <w:spacing w:val="-2"/>
                <w:sz w:val="24"/>
              </w:rPr>
              <w:t>2</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 xml:space="preserve"> Celkové odložené daňové záväzky</w:t>
            </w:r>
          </w:p>
          <w:p w14:paraId="7B2477AB" w14:textId="58996083" w:rsidR="00235D9D" w:rsidRPr="006A4431" w:rsidRDefault="002648B0">
            <w:pPr>
              <w:pStyle w:val="InstructionsText"/>
              <w:rPr>
                <w:spacing w:val="-2"/>
              </w:rPr>
            </w:pPr>
            <w:r w:rsidRPr="006A4431">
              <w:rPr>
                <w:spacing w:val="-2"/>
              </w:rPr>
              <w:t>Hodnota vykazovaná</w:t>
            </w:r>
            <w:r w:rsidR="00D85C65" w:rsidRPr="006A4431">
              <w:rPr>
                <w:spacing w:val="-2"/>
              </w:rPr>
              <w:t xml:space="preserve"> v </w:t>
            </w:r>
            <w:r w:rsidRPr="006A4431">
              <w:rPr>
                <w:spacing w:val="-2"/>
              </w:rPr>
              <w:t>tejto položke sa rovná hodnote vykázanej</w:t>
            </w:r>
            <w:r w:rsidR="00D85C65" w:rsidRPr="006A4431">
              <w:rPr>
                <w:spacing w:val="-2"/>
              </w:rPr>
              <w:t xml:space="preserve"> v </w:t>
            </w:r>
            <w:r w:rsidRPr="006A4431">
              <w:rPr>
                <w:spacing w:val="-2"/>
              </w:rPr>
              <w:t>poslednej overenej/auditovanej účtovnej súvahe.</w:t>
            </w:r>
          </w:p>
        </w:tc>
      </w:tr>
      <w:tr w:rsidR="00235D9D" w:rsidRPr="006A4431" w14:paraId="107EE33C" w14:textId="77777777" w:rsidTr="00672D2A">
        <w:tc>
          <w:tcPr>
            <w:tcW w:w="1506" w:type="dxa"/>
          </w:tcPr>
          <w:p w14:paraId="1971C47D" w14:textId="77777777" w:rsidR="00235D9D" w:rsidRPr="006A4431" w:rsidRDefault="002648B0">
            <w:pPr>
              <w:pStyle w:val="InstructionsText"/>
              <w:rPr>
                <w:spacing w:val="-2"/>
              </w:rPr>
            </w:pPr>
            <w:r w:rsidRPr="006A4431">
              <w:rPr>
                <w:spacing w:val="-2"/>
              </w:rPr>
              <w:t>060</w:t>
            </w:r>
          </w:p>
        </w:tc>
        <w:tc>
          <w:tcPr>
            <w:tcW w:w="7243" w:type="dxa"/>
          </w:tcPr>
          <w:p w14:paraId="3C8B9D6B"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2.1.</w:t>
            </w:r>
            <w:r w:rsidRPr="006A4431">
              <w:rPr>
                <w:rStyle w:val="InstructionsTabelleberschrift"/>
                <w:rFonts w:ascii="Times New Roman" w:hAnsi="Times New Roman"/>
                <w:spacing w:val="-2"/>
                <w:sz w:val="24"/>
              </w:rPr>
              <w:tab/>
              <w:t>Odložené daňové záväzky, ktoré sa neodpočítavajú od odložených daňových pohľadávok, ktoré závisia od budúcej ziskovosti</w:t>
            </w:r>
          </w:p>
          <w:p w14:paraId="5322D994" w14:textId="5D9B2E79" w:rsidR="00235D9D" w:rsidRPr="006A4431" w:rsidRDefault="00167619">
            <w:pPr>
              <w:pStyle w:val="InstructionsText"/>
              <w:rPr>
                <w:spacing w:val="-2"/>
              </w:rPr>
            </w:pPr>
            <w:r w:rsidRPr="006A4431">
              <w:rPr>
                <w:spacing w:val="-2"/>
              </w:rPr>
              <w:t>Článok 38 ods. 3</w:t>
            </w:r>
            <w:r w:rsidR="00D85C65" w:rsidRPr="006A4431">
              <w:rPr>
                <w:spacing w:val="-2"/>
              </w:rPr>
              <w:t xml:space="preserve"> a </w:t>
            </w:r>
            <w:r w:rsidRPr="006A4431">
              <w:rPr>
                <w:spacing w:val="-2"/>
              </w:rPr>
              <w:t>4 CRR.</w:t>
            </w:r>
          </w:p>
          <w:p w14:paraId="7B01D615" w14:textId="77F8564C" w:rsidR="00235D9D" w:rsidRPr="006A4431" w:rsidRDefault="002648B0">
            <w:pPr>
              <w:pStyle w:val="InstructionsText"/>
              <w:rPr>
                <w:spacing w:val="-2"/>
              </w:rPr>
            </w:pPr>
            <w:r w:rsidRPr="006A4431">
              <w:rPr>
                <w:spacing w:val="-2"/>
              </w:rPr>
              <w:t>Odložené daňové záväzky, pre ktoré nie sú splnené podmienky stanovené</w:t>
            </w:r>
            <w:r w:rsidR="00D85C65" w:rsidRPr="006A4431">
              <w:rPr>
                <w:spacing w:val="-2"/>
              </w:rPr>
              <w:t xml:space="preserve"> v </w:t>
            </w:r>
            <w:r w:rsidRPr="006A4431">
              <w:rPr>
                <w:spacing w:val="-2"/>
              </w:rPr>
              <w:t>článku 38 ods. 3</w:t>
            </w:r>
            <w:r w:rsidR="00D85C65" w:rsidRPr="006A4431">
              <w:rPr>
                <w:spacing w:val="-2"/>
              </w:rPr>
              <w:t xml:space="preserve"> a </w:t>
            </w:r>
            <w:r w:rsidRPr="006A4431">
              <w:rPr>
                <w:spacing w:val="-2"/>
              </w:rPr>
              <w:t>4 CRR. Táto položka teda zahŕňa odložené daňové záväzky, ktoré znižujú hodnotu goodwillu, ostatných nehmotných aktív alebo majetku dôchodkového fondu so stanovenými požitkami, ktoré sa musia odpočítať, ktoré sa vykazujú</w:t>
            </w:r>
            <w:r w:rsidR="00D85C65" w:rsidRPr="006A4431">
              <w:rPr>
                <w:spacing w:val="-2"/>
              </w:rPr>
              <w:t xml:space="preserve"> v </w:t>
            </w:r>
            <w:r w:rsidRPr="006A4431">
              <w:rPr>
                <w:spacing w:val="-2"/>
              </w:rPr>
              <w:t>príslušných položkách vzoru CA1 – 1.1.1.10.3, 1.1.1.11.2</w:t>
            </w:r>
            <w:r w:rsidR="00D85C65" w:rsidRPr="006A4431">
              <w:rPr>
                <w:spacing w:val="-2"/>
              </w:rPr>
              <w:t xml:space="preserve"> a </w:t>
            </w:r>
            <w:r w:rsidRPr="006A4431">
              <w:rPr>
                <w:spacing w:val="-2"/>
              </w:rPr>
              <w:t>1.1.1.14.2.</w:t>
            </w:r>
          </w:p>
        </w:tc>
      </w:tr>
      <w:tr w:rsidR="00235D9D" w:rsidRPr="006A4431" w14:paraId="51025795" w14:textId="77777777" w:rsidTr="00672D2A">
        <w:tc>
          <w:tcPr>
            <w:tcW w:w="1506" w:type="dxa"/>
          </w:tcPr>
          <w:p w14:paraId="6EE03528" w14:textId="77777777" w:rsidR="00235D9D" w:rsidRPr="006A4431" w:rsidRDefault="002648B0">
            <w:pPr>
              <w:pStyle w:val="InstructionsText"/>
              <w:rPr>
                <w:spacing w:val="-2"/>
              </w:rPr>
            </w:pPr>
            <w:r w:rsidRPr="006A4431">
              <w:rPr>
                <w:spacing w:val="-2"/>
              </w:rPr>
              <w:t>070</w:t>
            </w:r>
          </w:p>
        </w:tc>
        <w:tc>
          <w:tcPr>
            <w:tcW w:w="7243" w:type="dxa"/>
          </w:tcPr>
          <w:p w14:paraId="2A6440DC"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2.2.</w:t>
            </w:r>
            <w:r w:rsidRPr="006A4431">
              <w:rPr>
                <w:rStyle w:val="InstructionsTabelleberschrift"/>
                <w:rFonts w:ascii="Times New Roman" w:hAnsi="Times New Roman"/>
                <w:spacing w:val="-2"/>
                <w:sz w:val="24"/>
              </w:rPr>
              <w:tab/>
              <w:t>Odložené daňové záväzky odpočítateľné od odložených daňových pohľadávok, ktoré závisia od budúcej ziskovosti</w:t>
            </w:r>
          </w:p>
          <w:p w14:paraId="6318FF2D" w14:textId="3FCE05C3" w:rsidR="00235D9D" w:rsidRPr="006A4431" w:rsidRDefault="002648B0">
            <w:pPr>
              <w:pStyle w:val="InstructionsText"/>
              <w:rPr>
                <w:spacing w:val="-2"/>
              </w:rPr>
            </w:pPr>
            <w:r w:rsidRPr="006A4431">
              <w:rPr>
                <w:spacing w:val="-2"/>
              </w:rPr>
              <w:t>Článok 38 CRR.</w:t>
            </w:r>
          </w:p>
        </w:tc>
      </w:tr>
      <w:tr w:rsidR="00235D9D" w:rsidRPr="006A4431" w14:paraId="19EBEDDB" w14:textId="77777777" w:rsidTr="00672D2A">
        <w:tc>
          <w:tcPr>
            <w:tcW w:w="1506" w:type="dxa"/>
          </w:tcPr>
          <w:p w14:paraId="61E6E118" w14:textId="77777777" w:rsidR="00235D9D" w:rsidRPr="006A4431" w:rsidRDefault="002648B0">
            <w:pPr>
              <w:pStyle w:val="InstructionsText"/>
              <w:rPr>
                <w:spacing w:val="-2"/>
              </w:rPr>
            </w:pPr>
            <w:r w:rsidRPr="006A4431">
              <w:rPr>
                <w:spacing w:val="-2"/>
              </w:rPr>
              <w:t>080</w:t>
            </w:r>
          </w:p>
        </w:tc>
        <w:tc>
          <w:tcPr>
            <w:tcW w:w="7243" w:type="dxa"/>
          </w:tcPr>
          <w:p w14:paraId="71563A1F" w14:textId="4322921B" w:rsidR="00235D9D" w:rsidRPr="006A4431" w:rsidRDefault="002648B0">
            <w:pPr>
              <w:pStyle w:val="InstructionsText"/>
              <w:rPr>
                <w:spacing w:val="-2"/>
              </w:rPr>
            </w:pPr>
            <w:r w:rsidRPr="006A4431">
              <w:rPr>
                <w:rStyle w:val="InstructionsTabelleberschrift"/>
                <w:rFonts w:ascii="Times New Roman" w:hAnsi="Times New Roman"/>
                <w:spacing w:val="-2"/>
                <w:sz w:val="24"/>
              </w:rPr>
              <w:t>2.2.1.</w:t>
            </w:r>
            <w:r w:rsidRPr="006A4431">
              <w:rPr>
                <w:rStyle w:val="InstructionsTabelleberschrift"/>
                <w:rFonts w:ascii="Times New Roman" w:hAnsi="Times New Roman"/>
                <w:spacing w:val="-2"/>
                <w:sz w:val="24"/>
              </w:rPr>
              <w:tab/>
              <w:t>Odpočítateľné odložené daňové záväzky spojené</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odloženými daňovými pohľadávkami,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nevyplývajú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1400A064" w14:textId="1BD6A93F" w:rsidR="00235D9D" w:rsidRPr="006A4431" w:rsidRDefault="00167619">
            <w:pPr>
              <w:pStyle w:val="InstructionsText"/>
              <w:rPr>
                <w:spacing w:val="-2"/>
              </w:rPr>
            </w:pPr>
            <w:r w:rsidRPr="006A4431">
              <w:rPr>
                <w:spacing w:val="-2"/>
              </w:rPr>
              <w:t>Článok 38 ods. 3, 4</w:t>
            </w:r>
            <w:r w:rsidR="00D85C65" w:rsidRPr="006A4431">
              <w:rPr>
                <w:spacing w:val="-2"/>
              </w:rPr>
              <w:t xml:space="preserve"> a </w:t>
            </w:r>
            <w:r w:rsidRPr="006A4431">
              <w:rPr>
                <w:spacing w:val="-2"/>
              </w:rPr>
              <w:t>5 CRR.</w:t>
            </w:r>
          </w:p>
          <w:p w14:paraId="7715C9CE" w14:textId="2B19C590" w:rsidR="00235D9D" w:rsidRPr="006A4431" w:rsidRDefault="002648B0">
            <w:pPr>
              <w:pStyle w:val="InstructionsText"/>
              <w:rPr>
                <w:spacing w:val="-2"/>
              </w:rPr>
            </w:pPr>
            <w:r w:rsidRPr="006A4431">
              <w:rPr>
                <w:spacing w:val="-2"/>
              </w:rPr>
              <w:t xml:space="preserve">Odložené daňové záväzky, ktoré môžu znížiť hodnotu odložených daňových pohľadávok, ktoré závisia od budúcej ziskovosti, </w:t>
            </w:r>
            <w:r w:rsidRPr="006A4431">
              <w:rPr>
                <w:rStyle w:val="FormatvorlageInstructionsTabelleText"/>
                <w:rFonts w:ascii="Times New Roman" w:hAnsi="Times New Roman"/>
                <w:spacing w:val="-2"/>
                <w:sz w:val="24"/>
              </w:rPr>
              <w:t>podľa článku</w:t>
            </w:r>
            <w:r w:rsidRPr="006A4431">
              <w:rPr>
                <w:spacing w:val="-2"/>
              </w:rPr>
              <w:t xml:space="preserve"> 38 ods. 3</w:t>
            </w:r>
            <w:r w:rsidR="00D85C65" w:rsidRPr="006A4431">
              <w:rPr>
                <w:spacing w:val="-2"/>
              </w:rPr>
              <w:t xml:space="preserve"> a </w:t>
            </w:r>
            <w:r w:rsidRPr="006A4431">
              <w:rPr>
                <w:spacing w:val="-2"/>
              </w:rPr>
              <w:t>4 CRR</w:t>
            </w:r>
            <w:r w:rsidR="00D85C65" w:rsidRPr="006A4431">
              <w:rPr>
                <w:spacing w:val="-2"/>
              </w:rPr>
              <w:t xml:space="preserve"> a </w:t>
            </w:r>
            <w:r w:rsidRPr="006A4431">
              <w:rPr>
                <w:spacing w:val="-2"/>
              </w:rPr>
              <w:t xml:space="preserve">neprislúchajú odloženým daňovým pohľadávkam, </w:t>
            </w:r>
            <w:r w:rsidRPr="006A4431">
              <w:rPr>
                <w:spacing w:val="-2"/>
              </w:rPr>
              <w:lastRenderedPageBreak/>
              <w:t>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 ako sa ustanovuje</w:t>
            </w:r>
            <w:r w:rsidR="00D85C65" w:rsidRPr="006A4431">
              <w:rPr>
                <w:spacing w:val="-2"/>
              </w:rPr>
              <w:t xml:space="preserve"> v </w:t>
            </w:r>
            <w:r w:rsidRPr="006A4431">
              <w:rPr>
                <w:spacing w:val="-2"/>
              </w:rPr>
              <w:t>článku 38 ods. 5 CRR.</w:t>
            </w:r>
          </w:p>
        </w:tc>
      </w:tr>
      <w:tr w:rsidR="00235D9D" w:rsidRPr="006A4431" w14:paraId="3A9755BF" w14:textId="77777777" w:rsidTr="00672D2A">
        <w:tc>
          <w:tcPr>
            <w:tcW w:w="1506" w:type="dxa"/>
          </w:tcPr>
          <w:p w14:paraId="0B10B484" w14:textId="77777777" w:rsidR="00235D9D" w:rsidRPr="006A4431" w:rsidRDefault="002648B0">
            <w:pPr>
              <w:pStyle w:val="InstructionsText"/>
              <w:rPr>
                <w:spacing w:val="-2"/>
              </w:rPr>
            </w:pPr>
            <w:r w:rsidRPr="006A4431">
              <w:rPr>
                <w:spacing w:val="-2"/>
              </w:rPr>
              <w:lastRenderedPageBreak/>
              <w:t>090</w:t>
            </w:r>
          </w:p>
        </w:tc>
        <w:tc>
          <w:tcPr>
            <w:tcW w:w="7243" w:type="dxa"/>
          </w:tcPr>
          <w:p w14:paraId="1AE9EA25" w14:textId="68CC6CE9" w:rsidR="00235D9D" w:rsidRPr="006A4431" w:rsidRDefault="002648B0">
            <w:pPr>
              <w:pStyle w:val="InstructionsText"/>
              <w:rPr>
                <w:spacing w:val="-2"/>
              </w:rPr>
            </w:pPr>
            <w:r w:rsidRPr="006A4431">
              <w:rPr>
                <w:rStyle w:val="InstructionsTabelleberschrift"/>
                <w:rFonts w:ascii="Times New Roman" w:hAnsi="Times New Roman"/>
                <w:spacing w:val="-2"/>
                <w:sz w:val="24"/>
              </w:rPr>
              <w:t>2.2.2.</w:t>
            </w:r>
            <w:r w:rsidRPr="006A4431">
              <w:rPr>
                <w:rStyle w:val="InstructionsTabelleberschrift"/>
                <w:rFonts w:ascii="Times New Roman" w:hAnsi="Times New Roman"/>
                <w:spacing w:val="-2"/>
                <w:sz w:val="24"/>
              </w:rPr>
              <w:tab/>
              <w:t>Odpočítateľné odložené daňové záväzky spojené</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odloženými daňovými pohľadávkami,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1AC85E24" w14:textId="5E6BFD13" w:rsidR="00235D9D" w:rsidRPr="006A4431" w:rsidRDefault="00167619">
            <w:pPr>
              <w:pStyle w:val="InstructionsText"/>
              <w:rPr>
                <w:spacing w:val="-2"/>
              </w:rPr>
            </w:pPr>
            <w:r w:rsidRPr="006A4431">
              <w:rPr>
                <w:spacing w:val="-2"/>
              </w:rPr>
              <w:t>Článok 38 ods. 3, 4</w:t>
            </w:r>
            <w:r w:rsidR="00D85C65" w:rsidRPr="006A4431">
              <w:rPr>
                <w:spacing w:val="-2"/>
              </w:rPr>
              <w:t xml:space="preserve"> a </w:t>
            </w:r>
            <w:r w:rsidRPr="006A4431">
              <w:rPr>
                <w:spacing w:val="-2"/>
              </w:rPr>
              <w:t>5 CRR.</w:t>
            </w:r>
          </w:p>
          <w:p w14:paraId="13D0569C" w14:textId="4C7D9D39" w:rsidR="00235D9D" w:rsidRPr="006A4431" w:rsidRDefault="002648B0">
            <w:pPr>
              <w:pStyle w:val="InstructionsText"/>
              <w:rPr>
                <w:spacing w:val="-2"/>
              </w:rPr>
            </w:pPr>
            <w:r w:rsidRPr="006A4431">
              <w:rPr>
                <w:spacing w:val="-2"/>
              </w:rPr>
              <w:t xml:space="preserve">Odložené daňové záväzky, ktoré môžu znížiť hodnotu odložených daňových pohľadávok, ktoré závisia od budúcej ziskovosti, </w:t>
            </w:r>
            <w:r w:rsidRPr="006A4431">
              <w:rPr>
                <w:rStyle w:val="FormatvorlageInstructionsTabelleText"/>
                <w:rFonts w:ascii="Times New Roman" w:hAnsi="Times New Roman"/>
                <w:spacing w:val="-2"/>
                <w:sz w:val="24"/>
              </w:rPr>
              <w:t>podľa článku</w:t>
            </w:r>
            <w:r w:rsidRPr="006A4431">
              <w:rPr>
                <w:spacing w:val="-2"/>
              </w:rPr>
              <w:t xml:space="preserve"> 38 ods. 3</w:t>
            </w:r>
            <w:r w:rsidR="00D85C65" w:rsidRPr="006A4431">
              <w:rPr>
                <w:spacing w:val="-2"/>
              </w:rPr>
              <w:t xml:space="preserve"> a </w:t>
            </w:r>
            <w:r w:rsidRPr="006A4431">
              <w:rPr>
                <w:spacing w:val="-2"/>
              </w:rPr>
              <w:t>4 CRR</w:t>
            </w:r>
            <w:r w:rsidR="00D85C65" w:rsidRPr="006A4431">
              <w:rPr>
                <w:spacing w:val="-2"/>
              </w:rPr>
              <w:t xml:space="preserve"> a </w:t>
            </w:r>
            <w:r w:rsidRPr="006A4431">
              <w:rPr>
                <w:spacing w:val="-2"/>
              </w:rPr>
              <w:t>prislúchajú odloženým daňovým pohľadávkam,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 ako sa ustanovuje</w:t>
            </w:r>
            <w:r w:rsidR="00D85C65" w:rsidRPr="006A4431">
              <w:rPr>
                <w:spacing w:val="-2"/>
              </w:rPr>
              <w:t xml:space="preserve"> v </w:t>
            </w:r>
            <w:r w:rsidRPr="006A4431">
              <w:rPr>
                <w:spacing w:val="-2"/>
              </w:rPr>
              <w:t>článku 38 ods. 5 CRR.</w:t>
            </w:r>
          </w:p>
        </w:tc>
      </w:tr>
      <w:tr w:rsidR="00235D9D" w:rsidRPr="006A4431" w14:paraId="4AC775B1" w14:textId="77777777" w:rsidTr="00672D2A">
        <w:tc>
          <w:tcPr>
            <w:tcW w:w="1506" w:type="dxa"/>
          </w:tcPr>
          <w:p w14:paraId="5AC14744" w14:textId="77777777" w:rsidR="00235D9D" w:rsidRPr="006A4431" w:rsidRDefault="00550113">
            <w:pPr>
              <w:pStyle w:val="InstructionsText"/>
              <w:rPr>
                <w:spacing w:val="-2"/>
              </w:rPr>
            </w:pPr>
            <w:r w:rsidRPr="006A4431">
              <w:rPr>
                <w:spacing w:val="-2"/>
              </w:rPr>
              <w:t>093</w:t>
            </w:r>
          </w:p>
        </w:tc>
        <w:tc>
          <w:tcPr>
            <w:tcW w:w="7243" w:type="dxa"/>
          </w:tcPr>
          <w:p w14:paraId="43D7F576" w14:textId="0D0EE81F" w:rsidR="00235D9D" w:rsidRPr="006A4431" w:rsidRDefault="00550113">
            <w:pPr>
              <w:pStyle w:val="InstructionsText"/>
              <w:rPr>
                <w:spacing w:val="-2"/>
              </w:rPr>
            </w:pPr>
            <w:r w:rsidRPr="006A4431">
              <w:rPr>
                <w:rStyle w:val="InstructionsTabelleberschrift"/>
                <w:rFonts w:ascii="Times New Roman" w:hAnsi="Times New Roman"/>
                <w:spacing w:val="-2"/>
                <w:sz w:val="24"/>
              </w:rPr>
              <w:t>2A</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ab/>
              <w:t>Daňové preplatky</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prenos daňových strát do predchádzajúcich rokov</w:t>
            </w:r>
          </w:p>
          <w:p w14:paraId="4EF09013" w14:textId="31481A2B" w:rsidR="00235D9D" w:rsidRPr="006A4431" w:rsidRDefault="00201704">
            <w:pPr>
              <w:pStyle w:val="InstructionsText"/>
              <w:rPr>
                <w:spacing w:val="-2"/>
              </w:rPr>
            </w:pPr>
            <w:r w:rsidRPr="006A4431">
              <w:rPr>
                <w:spacing w:val="-2"/>
              </w:rPr>
              <w:t>Článok 39 ods. 1 CRR.</w:t>
            </w:r>
          </w:p>
          <w:p w14:paraId="7DD40B6E" w14:textId="5E4B7B47" w:rsidR="00235D9D" w:rsidRPr="006A4431" w:rsidRDefault="00550113">
            <w:pPr>
              <w:pStyle w:val="InstructionsText"/>
              <w:rPr>
                <w:rStyle w:val="InstructionsTabelleberschrift"/>
                <w:rFonts w:ascii="Times New Roman" w:hAnsi="Times New Roman"/>
                <w:b w:val="0"/>
                <w:bCs w:val="0"/>
                <w:spacing w:val="-2"/>
                <w:sz w:val="24"/>
                <w:u w:val="none"/>
              </w:rPr>
            </w:pPr>
            <w:r w:rsidRPr="006A4431">
              <w:rPr>
                <w:spacing w:val="-2"/>
              </w:rPr>
              <w:t>Výška daňových preplatkov</w:t>
            </w:r>
            <w:r w:rsidR="00D85C65" w:rsidRPr="006A4431">
              <w:rPr>
                <w:spacing w:val="-2"/>
              </w:rPr>
              <w:t xml:space="preserve"> a </w:t>
            </w:r>
            <w:r w:rsidRPr="006A4431">
              <w:rPr>
                <w:spacing w:val="-2"/>
              </w:rPr>
              <w:t>výška daňových strát prenesených do predchádzajúcich rokov, ktoré sa neodpočítavajú od vlastných zdrojov</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39 ods. 1 CRR; vykázaná suma je hodnota pred uplatnením rizikových váh.</w:t>
            </w:r>
          </w:p>
        </w:tc>
      </w:tr>
      <w:tr w:rsidR="00235D9D" w:rsidRPr="006A4431" w14:paraId="5F206D74" w14:textId="77777777" w:rsidTr="00672D2A">
        <w:tc>
          <w:tcPr>
            <w:tcW w:w="1506" w:type="dxa"/>
          </w:tcPr>
          <w:p w14:paraId="60FAF585" w14:textId="77777777" w:rsidR="00235D9D" w:rsidRPr="006A4431" w:rsidRDefault="00DF65DF">
            <w:pPr>
              <w:pStyle w:val="InstructionsText"/>
              <w:rPr>
                <w:spacing w:val="-2"/>
              </w:rPr>
            </w:pPr>
            <w:r w:rsidRPr="006A4431">
              <w:rPr>
                <w:spacing w:val="-2"/>
              </w:rPr>
              <w:t>096</w:t>
            </w:r>
          </w:p>
        </w:tc>
        <w:tc>
          <w:tcPr>
            <w:tcW w:w="7243" w:type="dxa"/>
          </w:tcPr>
          <w:p w14:paraId="16A9D094" w14:textId="2AF62B36" w:rsidR="00235D9D" w:rsidRPr="006A4431" w:rsidRDefault="00550113">
            <w:pPr>
              <w:pStyle w:val="InstructionsText"/>
              <w:rPr>
                <w:spacing w:val="-2"/>
              </w:rPr>
            </w:pPr>
            <w:r w:rsidRPr="006A4431">
              <w:rPr>
                <w:rStyle w:val="InstructionsTabelleberschrift"/>
                <w:rFonts w:ascii="Times New Roman" w:hAnsi="Times New Roman"/>
                <w:spacing w:val="-2"/>
                <w:sz w:val="24"/>
              </w:rPr>
              <w:t>2B</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ab/>
              <w:t>Odložené daňové pohľadávky, na ktoré sa uplatňuje riziková váha 250</w:t>
            </w:r>
            <w:r w:rsidR="00D85C65" w:rsidRPr="006A4431">
              <w:rPr>
                <w:rStyle w:val="InstructionsTabelleberschrift"/>
                <w:rFonts w:ascii="Times New Roman" w:hAnsi="Times New Roman"/>
                <w:spacing w:val="-2"/>
                <w:sz w:val="24"/>
              </w:rPr>
              <w:t> %</w:t>
            </w:r>
          </w:p>
          <w:p w14:paraId="0BB36867" w14:textId="20F46AD6" w:rsidR="00235D9D" w:rsidRPr="006A4431" w:rsidRDefault="00201704">
            <w:pPr>
              <w:pStyle w:val="InstructionsText"/>
              <w:rPr>
                <w:spacing w:val="-2"/>
              </w:rPr>
            </w:pPr>
            <w:r w:rsidRPr="006A4431">
              <w:rPr>
                <w:spacing w:val="-2"/>
              </w:rPr>
              <w:t>Článok 48 ods. 4 CRR.</w:t>
            </w:r>
          </w:p>
          <w:p w14:paraId="7CB8F874" w14:textId="1AAC3402" w:rsidR="00235D9D" w:rsidRPr="006A4431" w:rsidRDefault="00DF65DF">
            <w:pPr>
              <w:pStyle w:val="InstructionsText"/>
              <w:rPr>
                <w:rStyle w:val="InstructionsTabelleberschrift"/>
                <w:rFonts w:ascii="Times New Roman" w:hAnsi="Times New Roman"/>
                <w:b w:val="0"/>
                <w:bCs w:val="0"/>
                <w:spacing w:val="-2"/>
                <w:sz w:val="24"/>
                <w:u w:val="none"/>
              </w:rPr>
            </w:pPr>
            <w:r w:rsidRPr="006A4431">
              <w:rPr>
                <w:spacing w:val="-2"/>
              </w:rPr>
              <w:t>Výška odložených daňových pohľadávok,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w:t>
            </w:r>
            <w:r w:rsidR="00D85C65" w:rsidRPr="006A4431">
              <w:rPr>
                <w:spacing w:val="-2"/>
              </w:rPr>
              <w:t xml:space="preserve"> a </w:t>
            </w:r>
            <w:r w:rsidRPr="006A4431">
              <w:rPr>
                <w:spacing w:val="-2"/>
              </w:rPr>
              <w:t>ktoré sa neodpočítavajú podľa článku 48 ods. 1 CRR, ale na ktoré sa uplatňuje riziková váha 250</w:t>
            </w:r>
            <w:r w:rsidR="00D85C65" w:rsidRPr="006A4431">
              <w:rPr>
                <w:spacing w:val="-2"/>
              </w:rPr>
              <w:t> % v </w:t>
            </w:r>
            <w:r w:rsidRPr="006A4431">
              <w:rPr>
                <w:spacing w:val="-2"/>
              </w:rPr>
              <w:t>súlade</w:t>
            </w:r>
            <w:r w:rsidR="00D85C65" w:rsidRPr="006A4431">
              <w:rPr>
                <w:spacing w:val="-2"/>
              </w:rPr>
              <w:t xml:space="preserve"> s </w:t>
            </w:r>
            <w:r w:rsidRPr="006A4431">
              <w:rPr>
                <w:spacing w:val="-2"/>
              </w:rPr>
              <w:t>článkom 48 ods. 4 CRR, pričom sa zohľadňuje účinok článku 470 CRR. Vykázaná suma je hodnota odložených daňových pohľadávok pred uplatnením rizikových váh.</w:t>
            </w:r>
          </w:p>
        </w:tc>
      </w:tr>
      <w:tr w:rsidR="00235D9D" w:rsidRPr="006A4431" w14:paraId="068E8FB8" w14:textId="77777777" w:rsidTr="00672D2A">
        <w:tc>
          <w:tcPr>
            <w:tcW w:w="1506" w:type="dxa"/>
          </w:tcPr>
          <w:p w14:paraId="7A13E9F5" w14:textId="77777777" w:rsidR="00235D9D" w:rsidRPr="006A4431" w:rsidRDefault="00DF65DF">
            <w:pPr>
              <w:pStyle w:val="InstructionsText"/>
              <w:rPr>
                <w:spacing w:val="-2"/>
              </w:rPr>
            </w:pPr>
            <w:r w:rsidRPr="006A4431">
              <w:rPr>
                <w:spacing w:val="-2"/>
              </w:rPr>
              <w:t>097</w:t>
            </w:r>
          </w:p>
        </w:tc>
        <w:tc>
          <w:tcPr>
            <w:tcW w:w="7243" w:type="dxa"/>
          </w:tcPr>
          <w:p w14:paraId="69034EA4" w14:textId="3D46A67A" w:rsidR="00235D9D" w:rsidRPr="006A4431" w:rsidRDefault="00550113">
            <w:pPr>
              <w:pStyle w:val="InstructionsText"/>
              <w:rPr>
                <w:spacing w:val="-2"/>
              </w:rPr>
            </w:pPr>
            <w:r w:rsidRPr="006A4431">
              <w:rPr>
                <w:rStyle w:val="InstructionsTabelleberschrift"/>
                <w:rFonts w:ascii="Times New Roman" w:hAnsi="Times New Roman"/>
                <w:spacing w:val="-2"/>
                <w:sz w:val="24"/>
              </w:rPr>
              <w:t>2C</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ab/>
              <w:t>Odložené daňové pohľadávky, na ktoré sa uplatňuje riziková váha 0</w:t>
            </w:r>
            <w:r w:rsidR="00D85C65" w:rsidRPr="006A4431">
              <w:rPr>
                <w:rStyle w:val="InstructionsTabelleberschrift"/>
                <w:rFonts w:ascii="Times New Roman" w:hAnsi="Times New Roman"/>
                <w:spacing w:val="-2"/>
                <w:sz w:val="24"/>
              </w:rPr>
              <w:t> %</w:t>
            </w:r>
          </w:p>
          <w:p w14:paraId="3EECE67C" w14:textId="76F14249" w:rsidR="00235D9D" w:rsidRPr="006A4431" w:rsidRDefault="0014657C">
            <w:pPr>
              <w:pStyle w:val="InstructionsText"/>
              <w:rPr>
                <w:spacing w:val="-2"/>
              </w:rPr>
            </w:pPr>
            <w:r w:rsidRPr="006A4431">
              <w:rPr>
                <w:spacing w:val="-2"/>
              </w:rPr>
              <w:t>Článok 469 ods. 1 písm. d), článok 470, článok 472 ods. 5</w:t>
            </w:r>
            <w:r w:rsidR="00D85C65" w:rsidRPr="006A4431">
              <w:rPr>
                <w:spacing w:val="-2"/>
              </w:rPr>
              <w:t xml:space="preserve"> a </w:t>
            </w:r>
            <w:r w:rsidRPr="006A4431">
              <w:rPr>
                <w:spacing w:val="-2"/>
              </w:rPr>
              <w:t>článok 478 CRR.</w:t>
            </w:r>
          </w:p>
          <w:p w14:paraId="2152F505" w14:textId="3135C06F" w:rsidR="00235D9D" w:rsidRPr="006A4431" w:rsidRDefault="00DF65DF">
            <w:pPr>
              <w:pStyle w:val="InstructionsText"/>
              <w:rPr>
                <w:rStyle w:val="InstructionsTabelleberschrift"/>
                <w:rFonts w:ascii="Times New Roman" w:hAnsi="Times New Roman"/>
                <w:b w:val="0"/>
                <w:bCs w:val="0"/>
                <w:spacing w:val="-2"/>
                <w:sz w:val="24"/>
                <w:u w:val="none"/>
              </w:rPr>
            </w:pPr>
            <w:r w:rsidRPr="006A4431">
              <w:rPr>
                <w:spacing w:val="-2"/>
              </w:rPr>
              <w:t>Výška odložených daňových pohľadávok,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w:t>
            </w:r>
            <w:r w:rsidR="00D85C65" w:rsidRPr="006A4431">
              <w:rPr>
                <w:spacing w:val="-2"/>
              </w:rPr>
              <w:t xml:space="preserve"> a </w:t>
            </w:r>
            <w:r w:rsidRPr="006A4431">
              <w:rPr>
                <w:spacing w:val="-2"/>
              </w:rPr>
              <w:t>ktoré sa neodpočítavajú podľa článku 469 ods. 1 písm. d)</w:t>
            </w:r>
            <w:r w:rsidR="00D85C65" w:rsidRPr="006A4431">
              <w:rPr>
                <w:spacing w:val="-2"/>
              </w:rPr>
              <w:t xml:space="preserve"> a </w:t>
            </w:r>
            <w:r w:rsidRPr="006A4431">
              <w:rPr>
                <w:spacing w:val="-2"/>
              </w:rPr>
              <w:t>článku 470 CRR, ale na ktoré sa uplatňuje riziková váha 0</w:t>
            </w:r>
            <w:r w:rsidR="00D85C65" w:rsidRPr="006A4431">
              <w:rPr>
                <w:spacing w:val="-2"/>
              </w:rPr>
              <w:t> % v </w:t>
            </w:r>
            <w:r w:rsidRPr="006A4431">
              <w:rPr>
                <w:spacing w:val="-2"/>
              </w:rPr>
              <w:t>súlade</w:t>
            </w:r>
            <w:r w:rsidR="00D85C65" w:rsidRPr="006A4431">
              <w:rPr>
                <w:spacing w:val="-2"/>
              </w:rPr>
              <w:t xml:space="preserve"> s </w:t>
            </w:r>
            <w:r w:rsidRPr="006A4431">
              <w:rPr>
                <w:spacing w:val="-2"/>
              </w:rPr>
              <w:t>článkom 472 ods. 5 CRR. Vykázaná suma je hodnota odložených daňových pohľadávok pred uplatnením rizikových váh.</w:t>
            </w:r>
          </w:p>
        </w:tc>
      </w:tr>
      <w:tr w:rsidR="00235D9D" w:rsidRPr="006A4431" w14:paraId="24D25A33" w14:textId="77777777" w:rsidTr="00672D2A">
        <w:tc>
          <w:tcPr>
            <w:tcW w:w="1506" w:type="dxa"/>
          </w:tcPr>
          <w:p w14:paraId="262C4396" w14:textId="77777777" w:rsidR="00235D9D" w:rsidRPr="006A4431" w:rsidRDefault="002648B0">
            <w:pPr>
              <w:pStyle w:val="InstructionsText"/>
              <w:rPr>
                <w:spacing w:val="-2"/>
              </w:rPr>
            </w:pPr>
            <w:r w:rsidRPr="006A4431">
              <w:rPr>
                <w:spacing w:val="-2"/>
              </w:rPr>
              <w:t>100</w:t>
            </w:r>
          </w:p>
        </w:tc>
        <w:tc>
          <w:tcPr>
            <w:tcW w:w="7243" w:type="dxa"/>
          </w:tcPr>
          <w:p w14:paraId="0B299EBF" w14:textId="6C0FB96C" w:rsidR="00235D9D" w:rsidRPr="006A4431" w:rsidRDefault="00C66473">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w:t>
            </w:r>
            <w:r w:rsidRPr="006A4431">
              <w:rPr>
                <w:rStyle w:val="InstructionsTabelleberschrift"/>
                <w:rFonts w:ascii="Times New Roman" w:hAnsi="Times New Roman"/>
                <w:spacing w:val="-2"/>
                <w:sz w:val="24"/>
              </w:rPr>
              <w:tab/>
              <w:t>IRB nadbytok (+) alebo schodok (-) úprav kreditného rizika, dodatočných úprav ocenenia</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iných znížení vlastných zdrojov</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očakávané straty pre expozície, pri ktorých nedošlo ku zlyhaniu</w:t>
            </w:r>
          </w:p>
          <w:p w14:paraId="56BBC347" w14:textId="448ACF44" w:rsidR="00235D9D" w:rsidRPr="006A4431" w:rsidRDefault="0014657C">
            <w:pPr>
              <w:pStyle w:val="InstructionsText"/>
              <w:rPr>
                <w:spacing w:val="-2"/>
              </w:rPr>
            </w:pPr>
            <w:r w:rsidRPr="006A4431">
              <w:rPr>
                <w:spacing w:val="-2"/>
              </w:rPr>
              <w:t>Článok 36 ods. 1 písm. d), článok 62 písm. d), články 158</w:t>
            </w:r>
            <w:r w:rsidR="00D85C65" w:rsidRPr="006A4431">
              <w:rPr>
                <w:spacing w:val="-2"/>
              </w:rPr>
              <w:t xml:space="preserve"> a </w:t>
            </w:r>
            <w:r w:rsidRPr="006A4431">
              <w:rPr>
                <w:spacing w:val="-2"/>
              </w:rPr>
              <w:t>159 CRR.</w:t>
            </w:r>
          </w:p>
          <w:p w14:paraId="7C3F55FA" w14:textId="77777777" w:rsidR="00235D9D" w:rsidRPr="006A4431" w:rsidRDefault="002648B0">
            <w:pPr>
              <w:pStyle w:val="InstructionsText"/>
              <w:rPr>
                <w:spacing w:val="-2"/>
              </w:rPr>
            </w:pPr>
            <w:r w:rsidRPr="006A4431">
              <w:rPr>
                <w:spacing w:val="-2"/>
              </w:rPr>
              <w:t>Túto položku vykazujú len inštitúcie používajúce IRB.</w:t>
            </w:r>
          </w:p>
        </w:tc>
      </w:tr>
      <w:tr w:rsidR="00235D9D" w:rsidRPr="006A4431" w14:paraId="7A656ED8" w14:textId="77777777" w:rsidTr="00672D2A">
        <w:tc>
          <w:tcPr>
            <w:tcW w:w="1506" w:type="dxa"/>
          </w:tcPr>
          <w:p w14:paraId="34DB0C1A" w14:textId="77777777" w:rsidR="00235D9D" w:rsidRPr="006A4431" w:rsidRDefault="002648B0">
            <w:pPr>
              <w:pStyle w:val="InstructionsText"/>
              <w:rPr>
                <w:spacing w:val="-2"/>
              </w:rPr>
            </w:pPr>
            <w:r w:rsidRPr="006A4431">
              <w:rPr>
                <w:spacing w:val="-2"/>
              </w:rPr>
              <w:lastRenderedPageBreak/>
              <w:t>110</w:t>
            </w:r>
          </w:p>
        </w:tc>
        <w:tc>
          <w:tcPr>
            <w:tcW w:w="7243" w:type="dxa"/>
          </w:tcPr>
          <w:p w14:paraId="526C166A" w14:textId="194D805F" w:rsidR="00235D9D" w:rsidRPr="006A4431" w:rsidRDefault="002648B0">
            <w:pPr>
              <w:pStyle w:val="InstructionsText"/>
              <w:rPr>
                <w:spacing w:val="-2"/>
              </w:rPr>
            </w:pPr>
            <w:r w:rsidRPr="006A4431">
              <w:rPr>
                <w:rStyle w:val="InstructionsTabelleberschrift"/>
                <w:rFonts w:ascii="Times New Roman" w:hAnsi="Times New Roman"/>
                <w:spacing w:val="-2"/>
                <w:sz w:val="24"/>
              </w:rPr>
              <w:t>3.1.</w:t>
            </w:r>
            <w:r w:rsidRPr="006A4431">
              <w:rPr>
                <w:rStyle w:val="InstructionsTabelleberschrift"/>
                <w:rFonts w:ascii="Times New Roman" w:hAnsi="Times New Roman"/>
                <w:spacing w:val="-2"/>
                <w:sz w:val="24"/>
              </w:rPr>
              <w:tab/>
              <w:t>Celkové úpravy kreditného rizika, dodatočné úpravy ocenenia</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iné zníženia vlastných zdrojov prípustné na začlenenie do výpočtu výšky očakávanej straty</w:t>
            </w:r>
          </w:p>
          <w:p w14:paraId="17A4B99A" w14:textId="183D7CC6" w:rsidR="00235D9D" w:rsidRPr="006A4431" w:rsidRDefault="002648B0">
            <w:pPr>
              <w:pStyle w:val="InstructionsText"/>
              <w:rPr>
                <w:spacing w:val="-2"/>
              </w:rPr>
            </w:pPr>
            <w:r w:rsidRPr="006A4431">
              <w:rPr>
                <w:spacing w:val="-2"/>
              </w:rPr>
              <w:t>Článok 159 CRR.</w:t>
            </w:r>
          </w:p>
          <w:p w14:paraId="2570FB4D" w14:textId="77777777" w:rsidR="00235D9D" w:rsidRPr="006A4431" w:rsidRDefault="002648B0">
            <w:pPr>
              <w:pStyle w:val="InstructionsText"/>
              <w:rPr>
                <w:spacing w:val="-2"/>
              </w:rPr>
            </w:pPr>
            <w:r w:rsidRPr="006A4431">
              <w:rPr>
                <w:spacing w:val="-2"/>
              </w:rPr>
              <w:t>Túto položku vykazujú len inštitúcie používajúce IRB.</w:t>
            </w:r>
          </w:p>
        </w:tc>
      </w:tr>
      <w:tr w:rsidR="00235D9D" w:rsidRPr="006A4431" w14:paraId="2570CCE2" w14:textId="77777777" w:rsidTr="00672D2A">
        <w:tc>
          <w:tcPr>
            <w:tcW w:w="1506" w:type="dxa"/>
          </w:tcPr>
          <w:p w14:paraId="205A4550" w14:textId="77777777" w:rsidR="00235D9D" w:rsidRPr="006A4431" w:rsidRDefault="002648B0">
            <w:pPr>
              <w:pStyle w:val="InstructionsText"/>
              <w:rPr>
                <w:spacing w:val="-2"/>
              </w:rPr>
            </w:pPr>
            <w:r w:rsidRPr="006A4431">
              <w:rPr>
                <w:spacing w:val="-2"/>
              </w:rPr>
              <w:t>120</w:t>
            </w:r>
          </w:p>
        </w:tc>
        <w:tc>
          <w:tcPr>
            <w:tcW w:w="7243" w:type="dxa"/>
          </w:tcPr>
          <w:p w14:paraId="4221D6D1"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3.1.1.</w:t>
            </w:r>
            <w:r w:rsidRPr="006A4431">
              <w:rPr>
                <w:rStyle w:val="InstructionsTabelleberschrift"/>
                <w:rFonts w:ascii="Times New Roman" w:hAnsi="Times New Roman"/>
                <w:spacing w:val="-2"/>
                <w:sz w:val="24"/>
              </w:rPr>
              <w:tab/>
              <w:t>Všeobecné úpravy kreditného rizika</w:t>
            </w:r>
          </w:p>
          <w:p w14:paraId="273AF814" w14:textId="09E871B4" w:rsidR="00235D9D" w:rsidRPr="006A4431" w:rsidRDefault="002648B0">
            <w:pPr>
              <w:pStyle w:val="InstructionsText"/>
              <w:rPr>
                <w:spacing w:val="-2"/>
              </w:rPr>
            </w:pPr>
            <w:r w:rsidRPr="006A4431">
              <w:rPr>
                <w:spacing w:val="-2"/>
              </w:rPr>
              <w:t>Článok 159 CRR.</w:t>
            </w:r>
          </w:p>
          <w:p w14:paraId="1C4BDD2D" w14:textId="77777777" w:rsidR="00235D9D" w:rsidRPr="006A4431" w:rsidRDefault="002648B0">
            <w:pPr>
              <w:pStyle w:val="InstructionsText"/>
              <w:rPr>
                <w:spacing w:val="-2"/>
              </w:rPr>
            </w:pPr>
            <w:r w:rsidRPr="006A4431">
              <w:rPr>
                <w:spacing w:val="-2"/>
              </w:rPr>
              <w:t>Túto položku vykazujú len inštitúcie používajúce IRB.</w:t>
            </w:r>
          </w:p>
        </w:tc>
      </w:tr>
      <w:tr w:rsidR="00235D9D" w:rsidRPr="006A4431" w14:paraId="6327AE94" w14:textId="77777777" w:rsidTr="00672D2A">
        <w:tc>
          <w:tcPr>
            <w:tcW w:w="1506" w:type="dxa"/>
          </w:tcPr>
          <w:p w14:paraId="7370C327" w14:textId="77777777" w:rsidR="00235D9D" w:rsidRPr="006A4431" w:rsidRDefault="002648B0">
            <w:pPr>
              <w:pStyle w:val="InstructionsText"/>
              <w:rPr>
                <w:spacing w:val="-2"/>
              </w:rPr>
            </w:pPr>
            <w:r w:rsidRPr="006A4431">
              <w:rPr>
                <w:spacing w:val="-2"/>
              </w:rPr>
              <w:t>130</w:t>
            </w:r>
          </w:p>
        </w:tc>
        <w:tc>
          <w:tcPr>
            <w:tcW w:w="7243" w:type="dxa"/>
          </w:tcPr>
          <w:p w14:paraId="47FBB331"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3.1.2.</w:t>
            </w:r>
            <w:r w:rsidRPr="006A4431">
              <w:rPr>
                <w:rStyle w:val="InstructionsTabelleberschrift"/>
                <w:rFonts w:ascii="Times New Roman" w:hAnsi="Times New Roman"/>
                <w:spacing w:val="-2"/>
                <w:sz w:val="24"/>
              </w:rPr>
              <w:tab/>
              <w:t>Špecifické úpravy kreditného rizika</w:t>
            </w:r>
          </w:p>
          <w:p w14:paraId="1E163ABD" w14:textId="355EBB97" w:rsidR="00235D9D" w:rsidRPr="006A4431" w:rsidRDefault="002648B0">
            <w:pPr>
              <w:pStyle w:val="InstructionsText"/>
              <w:rPr>
                <w:spacing w:val="-2"/>
              </w:rPr>
            </w:pPr>
            <w:r w:rsidRPr="006A4431">
              <w:rPr>
                <w:spacing w:val="-2"/>
              </w:rPr>
              <w:t>Článok 159 CRR.</w:t>
            </w:r>
          </w:p>
          <w:p w14:paraId="55D839A1" w14:textId="77777777" w:rsidR="00235D9D" w:rsidRPr="006A4431" w:rsidRDefault="002648B0">
            <w:pPr>
              <w:pStyle w:val="InstructionsText"/>
              <w:rPr>
                <w:spacing w:val="-2"/>
              </w:rPr>
            </w:pPr>
            <w:r w:rsidRPr="006A4431">
              <w:rPr>
                <w:spacing w:val="-2"/>
              </w:rPr>
              <w:t>Túto položku vykazujú len inštitúcie používajúce IRB.</w:t>
            </w:r>
          </w:p>
        </w:tc>
      </w:tr>
      <w:tr w:rsidR="00235D9D" w:rsidRPr="006A4431" w14:paraId="50FBE5E7" w14:textId="77777777" w:rsidTr="00672D2A">
        <w:tc>
          <w:tcPr>
            <w:tcW w:w="1506" w:type="dxa"/>
          </w:tcPr>
          <w:p w14:paraId="215A16EC" w14:textId="0E4F6859" w:rsidR="00235D9D" w:rsidRPr="006A4431" w:rsidRDefault="002648B0">
            <w:pPr>
              <w:pStyle w:val="InstructionsText"/>
              <w:rPr>
                <w:spacing w:val="-2"/>
              </w:rPr>
            </w:pPr>
            <w:r w:rsidRPr="006A4431">
              <w:rPr>
                <w:spacing w:val="-2"/>
              </w:rPr>
              <w:t>131</w:t>
            </w:r>
          </w:p>
        </w:tc>
        <w:tc>
          <w:tcPr>
            <w:tcW w:w="7243" w:type="dxa"/>
          </w:tcPr>
          <w:p w14:paraId="182E2637" w14:textId="0A645C5A"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3.1.3.</w:t>
            </w:r>
            <w:r w:rsidRPr="006A4431">
              <w:rPr>
                <w:rStyle w:val="InstructionsTabelleberschrift"/>
                <w:rFonts w:ascii="Times New Roman" w:hAnsi="Times New Roman"/>
                <w:spacing w:val="-2"/>
                <w:sz w:val="24"/>
              </w:rPr>
              <w:tab/>
              <w:t>Dodatočné úpravy ocenenia</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iné zníženia vlastných zdrojov</w:t>
            </w:r>
          </w:p>
          <w:p w14:paraId="3D7CD496" w14:textId="3A864022" w:rsidR="00235D9D" w:rsidRPr="006A4431" w:rsidRDefault="002648B0">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Články 34, 110</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159 CRR.</w:t>
            </w:r>
          </w:p>
          <w:p w14:paraId="78F458B4" w14:textId="77777777" w:rsidR="00235D9D" w:rsidRPr="006A4431" w:rsidRDefault="002648B0">
            <w:pPr>
              <w:pStyle w:val="InstructionsText"/>
              <w:rPr>
                <w:rStyle w:val="InstructionsTabelleberschrift"/>
                <w:rFonts w:ascii="Times New Roman" w:hAnsi="Times New Roman"/>
                <w:b w:val="0"/>
                <w:bCs w:val="0"/>
                <w:spacing w:val="-2"/>
                <w:sz w:val="24"/>
                <w:u w:val="none"/>
              </w:rPr>
            </w:pPr>
            <w:r w:rsidRPr="006A4431">
              <w:rPr>
                <w:spacing w:val="-2"/>
              </w:rPr>
              <w:t>Túto položku vykazujú len inštitúcie používajúce IRB.</w:t>
            </w:r>
          </w:p>
        </w:tc>
      </w:tr>
      <w:tr w:rsidR="00235D9D" w:rsidRPr="006A4431" w14:paraId="11A930A3" w14:textId="77777777" w:rsidTr="00672D2A">
        <w:tc>
          <w:tcPr>
            <w:tcW w:w="1506" w:type="dxa"/>
          </w:tcPr>
          <w:p w14:paraId="6AAFBA23" w14:textId="77777777" w:rsidR="00235D9D" w:rsidRPr="006A4431" w:rsidRDefault="002648B0">
            <w:pPr>
              <w:pStyle w:val="InstructionsText"/>
              <w:rPr>
                <w:spacing w:val="-2"/>
              </w:rPr>
            </w:pPr>
            <w:r w:rsidRPr="006A4431">
              <w:rPr>
                <w:spacing w:val="-2"/>
              </w:rPr>
              <w:t>140</w:t>
            </w:r>
          </w:p>
        </w:tc>
        <w:tc>
          <w:tcPr>
            <w:tcW w:w="7243" w:type="dxa"/>
          </w:tcPr>
          <w:p w14:paraId="22B25845" w14:textId="77777777" w:rsidR="00D85C65"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3.2.</w:t>
            </w:r>
            <w:r w:rsidRPr="006A4431">
              <w:rPr>
                <w:rStyle w:val="InstructionsTabelleberschrift"/>
                <w:rFonts w:ascii="Times New Roman" w:hAnsi="Times New Roman"/>
                <w:spacing w:val="-2"/>
                <w:sz w:val="24"/>
              </w:rPr>
              <w:tab/>
              <w:t>Celkové prípustné očakávané straty</w:t>
            </w:r>
          </w:p>
          <w:p w14:paraId="6BE53DD3" w14:textId="5EE56DCE" w:rsidR="00235D9D" w:rsidRPr="006A4431" w:rsidRDefault="00167619">
            <w:pPr>
              <w:pStyle w:val="InstructionsText"/>
              <w:rPr>
                <w:spacing w:val="-2"/>
              </w:rPr>
            </w:pPr>
            <w:r w:rsidRPr="006A4431">
              <w:rPr>
                <w:spacing w:val="-2"/>
              </w:rPr>
              <w:t>Článok 158 ods. 5, 6</w:t>
            </w:r>
            <w:r w:rsidR="00D85C65" w:rsidRPr="006A4431">
              <w:rPr>
                <w:spacing w:val="-2"/>
              </w:rPr>
              <w:t xml:space="preserve"> a </w:t>
            </w:r>
            <w:r w:rsidRPr="006A4431">
              <w:rPr>
                <w:spacing w:val="-2"/>
              </w:rPr>
              <w:t>10</w:t>
            </w:r>
            <w:r w:rsidR="00D85C65" w:rsidRPr="006A4431">
              <w:rPr>
                <w:spacing w:val="-2"/>
              </w:rPr>
              <w:t xml:space="preserve"> a </w:t>
            </w:r>
            <w:r w:rsidRPr="006A4431">
              <w:rPr>
                <w:spacing w:val="-2"/>
              </w:rPr>
              <w:t>článok 159 CRR.</w:t>
            </w:r>
          </w:p>
          <w:p w14:paraId="5481C681" w14:textId="10362147" w:rsidR="00235D9D" w:rsidRPr="006A4431" w:rsidRDefault="00F11185">
            <w:pPr>
              <w:pStyle w:val="InstructionsText"/>
              <w:rPr>
                <w:spacing w:val="-2"/>
              </w:rPr>
            </w:pPr>
            <w:r w:rsidRPr="006A4431">
              <w:rPr>
                <w:spacing w:val="-2"/>
              </w:rPr>
              <w:t>Túto položku vykazujú len inštitúcie používajúce IRB. Vykazuje sa len očakávaná strata súvisiaca</w:t>
            </w:r>
            <w:r w:rsidR="00D85C65" w:rsidRPr="006A4431">
              <w:rPr>
                <w:spacing w:val="-2"/>
              </w:rPr>
              <w:t xml:space="preserve"> s </w:t>
            </w:r>
            <w:r w:rsidRPr="006A4431">
              <w:rPr>
                <w:spacing w:val="-2"/>
              </w:rPr>
              <w:t>expozíciami, pri ktorých nedošlo</w:t>
            </w:r>
            <w:r w:rsidR="00D85C65" w:rsidRPr="006A4431">
              <w:rPr>
                <w:spacing w:val="-2"/>
              </w:rPr>
              <w:t xml:space="preserve"> k </w:t>
            </w:r>
            <w:r w:rsidRPr="006A4431">
              <w:rPr>
                <w:spacing w:val="-2"/>
              </w:rPr>
              <w:t>zlyhaniu.</w:t>
            </w:r>
          </w:p>
        </w:tc>
      </w:tr>
      <w:tr w:rsidR="00235D9D" w:rsidRPr="006A4431" w14:paraId="09BCBEEA" w14:textId="77777777" w:rsidTr="00672D2A">
        <w:tc>
          <w:tcPr>
            <w:tcW w:w="1506" w:type="dxa"/>
          </w:tcPr>
          <w:p w14:paraId="22BB94AA" w14:textId="77777777" w:rsidR="00235D9D" w:rsidRPr="006A4431" w:rsidRDefault="00F11185">
            <w:pPr>
              <w:pStyle w:val="InstructionsText"/>
              <w:rPr>
                <w:spacing w:val="-2"/>
              </w:rPr>
            </w:pPr>
            <w:r w:rsidRPr="006A4431">
              <w:rPr>
                <w:spacing w:val="-2"/>
              </w:rPr>
              <w:t>145</w:t>
            </w:r>
          </w:p>
          <w:p w14:paraId="1143011F" w14:textId="77777777" w:rsidR="00235D9D" w:rsidRPr="006A4431" w:rsidRDefault="00235D9D">
            <w:pPr>
              <w:pStyle w:val="InstructionsText"/>
              <w:rPr>
                <w:spacing w:val="-2"/>
              </w:rPr>
            </w:pPr>
          </w:p>
        </w:tc>
        <w:tc>
          <w:tcPr>
            <w:tcW w:w="7243" w:type="dxa"/>
          </w:tcPr>
          <w:p w14:paraId="528EC10D" w14:textId="0202F6F0" w:rsidR="00235D9D" w:rsidRPr="006A4431" w:rsidRDefault="00630711">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4 IRB nadbytok (+) alebo schodok (-) špecifických úprav kreditného rizika</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očakávané straty pre expozície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stave zlyhania</w:t>
            </w:r>
          </w:p>
          <w:p w14:paraId="4990F1CE" w14:textId="3CBBDA3F" w:rsidR="00235D9D" w:rsidRPr="006A4431" w:rsidRDefault="0014657C">
            <w:pPr>
              <w:pStyle w:val="InstructionsText"/>
              <w:rPr>
                <w:spacing w:val="-2"/>
              </w:rPr>
            </w:pPr>
            <w:r w:rsidRPr="006A4431">
              <w:rPr>
                <w:spacing w:val="-2"/>
              </w:rPr>
              <w:t>Článok 36 ods. 1 písm. d), článok 62 písm. d), články 158</w:t>
            </w:r>
            <w:r w:rsidR="00D85C65" w:rsidRPr="006A4431">
              <w:rPr>
                <w:spacing w:val="-2"/>
              </w:rPr>
              <w:t xml:space="preserve"> a </w:t>
            </w:r>
            <w:r w:rsidRPr="006A4431">
              <w:rPr>
                <w:spacing w:val="-2"/>
              </w:rPr>
              <w:t>159 CRR.</w:t>
            </w:r>
          </w:p>
          <w:p w14:paraId="58993CC2" w14:textId="77777777" w:rsidR="00235D9D" w:rsidRPr="006A4431" w:rsidRDefault="00630711">
            <w:pPr>
              <w:pStyle w:val="InstructionsText"/>
              <w:rPr>
                <w:rStyle w:val="InstructionsTabelleberschrift"/>
                <w:rFonts w:ascii="Times New Roman" w:hAnsi="Times New Roman"/>
                <w:b w:val="0"/>
                <w:bCs w:val="0"/>
                <w:spacing w:val="-2"/>
                <w:sz w:val="24"/>
                <w:u w:val="none"/>
              </w:rPr>
            </w:pPr>
            <w:r w:rsidRPr="006A4431">
              <w:rPr>
                <w:spacing w:val="-2"/>
              </w:rPr>
              <w:t>Túto položku vykazujú len inštitúcie používajúce IRB.</w:t>
            </w:r>
          </w:p>
        </w:tc>
      </w:tr>
      <w:tr w:rsidR="00235D9D" w:rsidRPr="006A4431" w14:paraId="1239E5C0" w14:textId="77777777" w:rsidTr="00672D2A">
        <w:tc>
          <w:tcPr>
            <w:tcW w:w="1506" w:type="dxa"/>
          </w:tcPr>
          <w:p w14:paraId="28F4C1B8" w14:textId="77777777" w:rsidR="00235D9D" w:rsidRPr="006A4431" w:rsidRDefault="00F11185">
            <w:pPr>
              <w:pStyle w:val="InstructionsText"/>
              <w:rPr>
                <w:spacing w:val="-2"/>
              </w:rPr>
            </w:pPr>
            <w:r w:rsidRPr="006A4431">
              <w:rPr>
                <w:spacing w:val="-2"/>
              </w:rPr>
              <w:t>150</w:t>
            </w:r>
          </w:p>
          <w:p w14:paraId="50B877D9" w14:textId="77777777" w:rsidR="00235D9D" w:rsidRPr="006A4431" w:rsidRDefault="00235D9D">
            <w:pPr>
              <w:pStyle w:val="InstructionsText"/>
              <w:rPr>
                <w:spacing w:val="-2"/>
              </w:rPr>
            </w:pPr>
          </w:p>
        </w:tc>
        <w:tc>
          <w:tcPr>
            <w:tcW w:w="7243" w:type="dxa"/>
          </w:tcPr>
          <w:p w14:paraId="4FDAAF06" w14:textId="435803A7" w:rsidR="00235D9D" w:rsidRPr="006A4431" w:rsidRDefault="00630711">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4.1.</w:t>
            </w:r>
            <w:r w:rsidRPr="006A4431">
              <w:rPr>
                <w:rStyle w:val="InstructionsTabelleberschrift"/>
                <w:rFonts w:ascii="Times New Roman" w:hAnsi="Times New Roman"/>
                <w:spacing w:val="-2"/>
                <w:sz w:val="24"/>
              </w:rPr>
              <w:tab/>
              <w:t>Špecifické úpravy kreditného rizika</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pozície,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ktorými sa zaobchádza podobne</w:t>
            </w:r>
          </w:p>
          <w:p w14:paraId="1379684D" w14:textId="3E584008" w:rsidR="00235D9D" w:rsidRPr="006A4431" w:rsidRDefault="00630711">
            <w:pPr>
              <w:pStyle w:val="InstructionsText"/>
              <w:rPr>
                <w:spacing w:val="-2"/>
              </w:rPr>
            </w:pPr>
            <w:r w:rsidRPr="006A4431">
              <w:rPr>
                <w:spacing w:val="-2"/>
              </w:rPr>
              <w:t>Článok 159 CRR.</w:t>
            </w:r>
          </w:p>
          <w:p w14:paraId="33A313C3" w14:textId="77777777" w:rsidR="00235D9D" w:rsidRPr="006A4431" w:rsidRDefault="00630711">
            <w:pPr>
              <w:pStyle w:val="InstructionsText"/>
              <w:rPr>
                <w:rStyle w:val="InstructionsTabelleberschrift"/>
                <w:rFonts w:ascii="Times New Roman" w:hAnsi="Times New Roman"/>
                <w:b w:val="0"/>
                <w:bCs w:val="0"/>
                <w:spacing w:val="-2"/>
                <w:sz w:val="24"/>
                <w:u w:val="none"/>
              </w:rPr>
            </w:pPr>
            <w:r w:rsidRPr="006A4431">
              <w:rPr>
                <w:spacing w:val="-2"/>
              </w:rPr>
              <w:t>Túto položku vykazujú len inštitúcie používajúce IRB.</w:t>
            </w:r>
          </w:p>
        </w:tc>
      </w:tr>
      <w:tr w:rsidR="00235D9D" w:rsidRPr="006A4431" w14:paraId="0A302C9F" w14:textId="77777777" w:rsidTr="00672D2A">
        <w:tc>
          <w:tcPr>
            <w:tcW w:w="1506" w:type="dxa"/>
          </w:tcPr>
          <w:p w14:paraId="522FBC48" w14:textId="77777777" w:rsidR="00235D9D" w:rsidRPr="006A4431" w:rsidRDefault="00F11185">
            <w:pPr>
              <w:pStyle w:val="InstructionsText"/>
              <w:rPr>
                <w:spacing w:val="-2"/>
              </w:rPr>
            </w:pPr>
            <w:r w:rsidRPr="006A4431">
              <w:rPr>
                <w:spacing w:val="-2"/>
              </w:rPr>
              <w:t>155</w:t>
            </w:r>
          </w:p>
          <w:p w14:paraId="0C570594" w14:textId="77777777" w:rsidR="00235D9D" w:rsidRPr="006A4431" w:rsidRDefault="00235D9D">
            <w:pPr>
              <w:pStyle w:val="InstructionsText"/>
              <w:rPr>
                <w:spacing w:val="-2"/>
              </w:rPr>
            </w:pPr>
          </w:p>
        </w:tc>
        <w:tc>
          <w:tcPr>
            <w:tcW w:w="7243" w:type="dxa"/>
          </w:tcPr>
          <w:p w14:paraId="017DB611" w14:textId="77777777" w:rsidR="00235D9D" w:rsidRPr="006A4431" w:rsidRDefault="00630711">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4.2.</w:t>
            </w:r>
            <w:r w:rsidRPr="006A4431">
              <w:rPr>
                <w:rStyle w:val="InstructionsTabelleberschrift"/>
                <w:rFonts w:ascii="Times New Roman" w:hAnsi="Times New Roman"/>
                <w:spacing w:val="-2"/>
                <w:sz w:val="24"/>
              </w:rPr>
              <w:tab/>
              <w:t>Celkové prípustné očakávané straty</w:t>
            </w:r>
          </w:p>
          <w:p w14:paraId="4EBE5F99" w14:textId="272065FD" w:rsidR="00235D9D" w:rsidRPr="006A4431" w:rsidRDefault="00167619">
            <w:pPr>
              <w:pStyle w:val="InstructionsText"/>
              <w:rPr>
                <w:rStyle w:val="InstructionsTabelleberschrift"/>
                <w:rFonts w:ascii="Times New Roman" w:hAnsi="Times New Roman"/>
                <w:spacing w:val="-2"/>
                <w:sz w:val="24"/>
              </w:rPr>
            </w:pPr>
            <w:r w:rsidRPr="006A4431">
              <w:rPr>
                <w:spacing w:val="-2"/>
              </w:rPr>
              <w:t>Článok 158 ods. 5, 6</w:t>
            </w:r>
            <w:r w:rsidR="00D85C65" w:rsidRPr="006A4431">
              <w:rPr>
                <w:spacing w:val="-2"/>
              </w:rPr>
              <w:t xml:space="preserve"> a </w:t>
            </w:r>
            <w:r w:rsidRPr="006A4431">
              <w:rPr>
                <w:spacing w:val="-2"/>
              </w:rPr>
              <w:t>10</w:t>
            </w:r>
            <w:r w:rsidR="00D85C65" w:rsidRPr="006A4431">
              <w:rPr>
                <w:spacing w:val="-2"/>
              </w:rPr>
              <w:t xml:space="preserve"> a </w:t>
            </w:r>
            <w:r w:rsidRPr="006A4431">
              <w:rPr>
                <w:spacing w:val="-2"/>
              </w:rPr>
              <w:t>článok 159 CRR.</w:t>
            </w:r>
          </w:p>
          <w:p w14:paraId="78665DFA" w14:textId="052BFA7A" w:rsidR="00235D9D" w:rsidRPr="006A4431" w:rsidRDefault="00F11185">
            <w:pPr>
              <w:pStyle w:val="InstructionsText"/>
              <w:rPr>
                <w:rStyle w:val="InstructionsTabelleberschrift"/>
                <w:rFonts w:ascii="Times New Roman" w:hAnsi="Times New Roman"/>
                <w:b w:val="0"/>
                <w:bCs w:val="0"/>
                <w:spacing w:val="-2"/>
                <w:sz w:val="24"/>
                <w:u w:val="none"/>
              </w:rPr>
            </w:pPr>
            <w:r w:rsidRPr="006A4431">
              <w:rPr>
                <w:spacing w:val="-2"/>
              </w:rPr>
              <w:t>Túto položku vykazujú len inštitúcie používajúce IRB. Vykazuje sa len očakávaná strata súvisiaca</w:t>
            </w:r>
            <w:r w:rsidR="00D85C65" w:rsidRPr="006A4431">
              <w:rPr>
                <w:spacing w:val="-2"/>
              </w:rPr>
              <w:t xml:space="preserve"> s </w:t>
            </w:r>
            <w:r w:rsidRPr="006A4431">
              <w:rPr>
                <w:spacing w:val="-2"/>
              </w:rPr>
              <w:t>expozíciami</w:t>
            </w:r>
            <w:r w:rsidR="00D85C65" w:rsidRPr="006A4431">
              <w:rPr>
                <w:spacing w:val="-2"/>
              </w:rPr>
              <w:t xml:space="preserve"> v </w:t>
            </w:r>
            <w:r w:rsidRPr="006A4431">
              <w:rPr>
                <w:spacing w:val="-2"/>
              </w:rPr>
              <w:t>stave zlyhania.</w:t>
            </w:r>
          </w:p>
        </w:tc>
      </w:tr>
      <w:tr w:rsidR="00235D9D" w:rsidRPr="006A4431" w14:paraId="6A4C20F9" w14:textId="77777777" w:rsidTr="00672D2A">
        <w:tc>
          <w:tcPr>
            <w:tcW w:w="1506" w:type="dxa"/>
          </w:tcPr>
          <w:p w14:paraId="752C7958" w14:textId="77777777" w:rsidR="00235D9D" w:rsidRPr="006A4431" w:rsidRDefault="002648B0">
            <w:pPr>
              <w:pStyle w:val="InstructionsText"/>
              <w:rPr>
                <w:spacing w:val="-2"/>
              </w:rPr>
            </w:pPr>
            <w:r w:rsidRPr="006A4431">
              <w:rPr>
                <w:spacing w:val="-2"/>
              </w:rPr>
              <w:t>160</w:t>
            </w:r>
          </w:p>
        </w:tc>
        <w:tc>
          <w:tcPr>
            <w:tcW w:w="7243" w:type="dxa"/>
          </w:tcPr>
          <w:p w14:paraId="46381DE7"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5.</w:t>
            </w:r>
            <w:r w:rsidRPr="006A4431">
              <w:rPr>
                <w:rStyle w:val="InstructionsTabelleberschrift"/>
                <w:rFonts w:ascii="Times New Roman" w:hAnsi="Times New Roman"/>
                <w:spacing w:val="-2"/>
                <w:sz w:val="24"/>
              </w:rPr>
              <w:tab/>
              <w:t>Hodnoty rizikovo vážených expozícií pre výpočet hornej hranice na prekročenie rezervy prípustnej ako T2</w:t>
            </w:r>
          </w:p>
          <w:p w14:paraId="71E00759" w14:textId="68876AAB" w:rsidR="00235D9D" w:rsidRPr="006A4431" w:rsidRDefault="0014657C">
            <w:pPr>
              <w:pStyle w:val="InstructionsText"/>
              <w:rPr>
                <w:spacing w:val="-2"/>
              </w:rPr>
            </w:pPr>
            <w:r w:rsidRPr="006A4431">
              <w:rPr>
                <w:spacing w:val="-2"/>
              </w:rPr>
              <w:t>Článok 62 písm. d) CRR.</w:t>
            </w:r>
          </w:p>
          <w:p w14:paraId="3A86D8C5" w14:textId="641CCBD9" w:rsidR="00235D9D" w:rsidRPr="006A4431" w:rsidRDefault="002648B0">
            <w:pPr>
              <w:pStyle w:val="InstructionsText"/>
              <w:rPr>
                <w:spacing w:val="-2"/>
              </w:rPr>
            </w:pPr>
            <w:r w:rsidRPr="006A4431">
              <w:rPr>
                <w:spacing w:val="-2"/>
              </w:rPr>
              <w:t>V prípade inštitúcií IRB sa prekračujúca hodnota rezerv (oproti očakávaným stratám) prípustná na začlenenie do kapitálu Tier 2 ohraničí vo výške 0,6</w:t>
            </w:r>
            <w:r w:rsidR="00D85C65" w:rsidRPr="006A4431">
              <w:rPr>
                <w:spacing w:val="-2"/>
              </w:rPr>
              <w:t> %</w:t>
            </w:r>
            <w:r w:rsidRPr="006A4431">
              <w:rPr>
                <w:spacing w:val="-2"/>
              </w:rPr>
              <w:t xml:space="preserve"> hodnôt rizikovo vážených expozícií vypočítaných pomocou prístupu IRB</w:t>
            </w:r>
            <w:r w:rsidR="00D85C65" w:rsidRPr="006A4431">
              <w:rPr>
                <w:spacing w:val="-2"/>
              </w:rPr>
              <w:t xml:space="preserve"> v </w:t>
            </w:r>
            <w:r w:rsidRPr="006A4431">
              <w:rPr>
                <w:rStyle w:val="FormatvorlageInstructionsTabelleText"/>
                <w:rFonts w:ascii="Times New Roman" w:hAnsi="Times New Roman"/>
                <w:spacing w:val="-2"/>
                <w:sz w:val="24"/>
              </w:rPr>
              <w:t>súlade</w:t>
            </w:r>
            <w:r w:rsidR="00D85C65" w:rsidRPr="006A4431">
              <w:rPr>
                <w:rStyle w:val="FormatvorlageInstructionsTabelleText"/>
                <w:rFonts w:ascii="Times New Roman" w:hAnsi="Times New Roman"/>
                <w:spacing w:val="-2"/>
                <w:sz w:val="24"/>
              </w:rPr>
              <w:t xml:space="preserve"> s </w:t>
            </w:r>
            <w:r w:rsidRPr="006A4431">
              <w:rPr>
                <w:spacing w:val="-2"/>
              </w:rPr>
              <w:t>článkom 62 písm. d) CRR.</w:t>
            </w:r>
          </w:p>
          <w:p w14:paraId="6236C5B8" w14:textId="0804A1AD" w:rsidR="00235D9D" w:rsidRPr="006A4431" w:rsidRDefault="002648B0">
            <w:pPr>
              <w:pStyle w:val="InstructionsText"/>
              <w:rPr>
                <w:spacing w:val="-2"/>
              </w:rPr>
            </w:pPr>
            <w:r w:rsidRPr="006A4431">
              <w:rPr>
                <w:spacing w:val="-2"/>
              </w:rPr>
              <w:lastRenderedPageBreak/>
              <w:t>Hodnota vykazovaná</w:t>
            </w:r>
            <w:r w:rsidR="00D85C65" w:rsidRPr="006A4431">
              <w:rPr>
                <w:spacing w:val="-2"/>
              </w:rPr>
              <w:t xml:space="preserve"> v </w:t>
            </w:r>
            <w:r w:rsidRPr="006A4431">
              <w:rPr>
                <w:spacing w:val="-2"/>
              </w:rPr>
              <w:t>tejto položke sa rovná hodnotám rizikovo vážených expozícií (t. j. nenásobia sa 0,6</w:t>
            </w:r>
            <w:r w:rsidR="00D85C65" w:rsidRPr="006A4431">
              <w:rPr>
                <w:spacing w:val="-2"/>
              </w:rPr>
              <w:t> %</w:t>
            </w:r>
            <w:r w:rsidRPr="006A4431">
              <w:rPr>
                <w:spacing w:val="-2"/>
              </w:rPr>
              <w:t>), čo je základom na výpočet horného ohraničenia.</w:t>
            </w:r>
          </w:p>
        </w:tc>
      </w:tr>
      <w:tr w:rsidR="00235D9D" w:rsidRPr="006A4431" w14:paraId="6CBBF0F9" w14:textId="77777777" w:rsidTr="00672D2A">
        <w:tc>
          <w:tcPr>
            <w:tcW w:w="1506" w:type="dxa"/>
          </w:tcPr>
          <w:p w14:paraId="0599D756" w14:textId="77777777" w:rsidR="00235D9D" w:rsidRPr="006A4431" w:rsidRDefault="002648B0">
            <w:pPr>
              <w:pStyle w:val="InstructionsText"/>
              <w:rPr>
                <w:spacing w:val="-2"/>
              </w:rPr>
            </w:pPr>
            <w:r w:rsidRPr="006A4431">
              <w:rPr>
                <w:spacing w:val="-2"/>
              </w:rPr>
              <w:lastRenderedPageBreak/>
              <w:t>170</w:t>
            </w:r>
          </w:p>
        </w:tc>
        <w:tc>
          <w:tcPr>
            <w:tcW w:w="7243" w:type="dxa"/>
          </w:tcPr>
          <w:p w14:paraId="79E6C0C6"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6.</w:t>
            </w:r>
            <w:r w:rsidRPr="006A4431">
              <w:rPr>
                <w:rStyle w:val="InstructionsTabelleberschrift"/>
                <w:rFonts w:ascii="Times New Roman" w:hAnsi="Times New Roman"/>
                <w:spacing w:val="-2"/>
                <w:sz w:val="24"/>
              </w:rPr>
              <w:tab/>
              <w:t>Celkové brutto rezervy prípustné na začlenenie do kapitálu T2</w:t>
            </w:r>
          </w:p>
          <w:p w14:paraId="247E7786" w14:textId="705041FA" w:rsidR="00235D9D" w:rsidRPr="006A4431" w:rsidRDefault="0014657C">
            <w:pPr>
              <w:pStyle w:val="InstructionsText"/>
              <w:rPr>
                <w:spacing w:val="-2"/>
              </w:rPr>
            </w:pPr>
            <w:r w:rsidRPr="006A4431">
              <w:rPr>
                <w:spacing w:val="-2"/>
              </w:rPr>
              <w:t>Článok 62 písm. c) CRR.</w:t>
            </w:r>
          </w:p>
          <w:p w14:paraId="22BC1271" w14:textId="77777777" w:rsidR="00235D9D" w:rsidRPr="006A4431" w:rsidRDefault="002648B0">
            <w:pPr>
              <w:pStyle w:val="InstructionsText"/>
              <w:rPr>
                <w:spacing w:val="-2"/>
              </w:rPr>
            </w:pPr>
            <w:r w:rsidRPr="006A4431">
              <w:rPr>
                <w:spacing w:val="-2"/>
              </w:rPr>
              <w:t>Táto položka zahŕňa všeobecné úpravy kreditného rizika, ktoré sú prípustné na začlenenie do kapitálu T2, pred uplatnením horného ohraničenia.</w:t>
            </w:r>
          </w:p>
          <w:p w14:paraId="241C4CD3" w14:textId="77777777" w:rsidR="00235D9D" w:rsidRPr="006A4431" w:rsidRDefault="002648B0">
            <w:pPr>
              <w:pStyle w:val="InstructionsText"/>
              <w:rPr>
                <w:spacing w:val="-2"/>
              </w:rPr>
            </w:pPr>
            <w:r w:rsidRPr="006A4431">
              <w:rPr>
                <w:spacing w:val="-2"/>
              </w:rPr>
              <w:t>Vo vykazovanej hodnote sa nezohľadňujú daňové účinky.</w:t>
            </w:r>
          </w:p>
        </w:tc>
      </w:tr>
      <w:tr w:rsidR="00235D9D" w:rsidRPr="006A4431" w14:paraId="631A1D97" w14:textId="77777777" w:rsidTr="00672D2A">
        <w:tc>
          <w:tcPr>
            <w:tcW w:w="1506" w:type="dxa"/>
          </w:tcPr>
          <w:p w14:paraId="011874C0" w14:textId="77777777" w:rsidR="00235D9D" w:rsidRPr="006A4431" w:rsidRDefault="002648B0">
            <w:pPr>
              <w:pStyle w:val="InstructionsText"/>
              <w:rPr>
                <w:spacing w:val="-2"/>
              </w:rPr>
            </w:pPr>
            <w:r w:rsidRPr="006A4431">
              <w:rPr>
                <w:spacing w:val="-2"/>
              </w:rPr>
              <w:t>180</w:t>
            </w:r>
          </w:p>
        </w:tc>
        <w:tc>
          <w:tcPr>
            <w:tcW w:w="7243" w:type="dxa"/>
          </w:tcPr>
          <w:p w14:paraId="224399A2"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7.</w:t>
            </w:r>
            <w:r w:rsidRPr="006A4431">
              <w:rPr>
                <w:rStyle w:val="InstructionsTabelleberschrift"/>
                <w:rFonts w:ascii="Times New Roman" w:hAnsi="Times New Roman"/>
                <w:spacing w:val="-2"/>
                <w:sz w:val="24"/>
              </w:rPr>
              <w:tab/>
              <w:t>Hodnoty rizikovo vážených expozícií pre výpočet hornej hranice rezervy prípustnej ako T2</w:t>
            </w:r>
          </w:p>
          <w:p w14:paraId="166991F4" w14:textId="66CB0A69" w:rsidR="00235D9D" w:rsidRPr="006A4431" w:rsidRDefault="0014657C">
            <w:pPr>
              <w:pStyle w:val="InstructionsText"/>
              <w:rPr>
                <w:spacing w:val="-2"/>
              </w:rPr>
            </w:pPr>
            <w:r w:rsidRPr="006A4431">
              <w:rPr>
                <w:spacing w:val="-2"/>
              </w:rPr>
              <w:t>Článok 62 písm. c) CRR.</w:t>
            </w:r>
          </w:p>
          <w:p w14:paraId="6B110229" w14:textId="0BC7EF27" w:rsidR="00235D9D" w:rsidRPr="006A4431" w:rsidRDefault="002648B0">
            <w:pPr>
              <w:pStyle w:val="InstructionsText"/>
              <w:rPr>
                <w:spacing w:val="-2"/>
              </w:rPr>
            </w:pPr>
            <w:r w:rsidRPr="006A4431">
              <w:rPr>
                <w:spacing w:val="-2"/>
              </w:rPr>
              <w:t>Podľa článku 62 písm. c) CRR úpravy kreditného rizika prípustné na začlenenie do kapitálu Tier 2 sú obmedzené do výšky 1,25</w:t>
            </w:r>
            <w:r w:rsidR="00D85C65" w:rsidRPr="006A4431">
              <w:rPr>
                <w:spacing w:val="-2"/>
              </w:rPr>
              <w:t> %</w:t>
            </w:r>
            <w:r w:rsidRPr="006A4431">
              <w:rPr>
                <w:spacing w:val="-2"/>
              </w:rPr>
              <w:t xml:space="preserve"> hodnôt rizikovo vážených expozícií.</w:t>
            </w:r>
          </w:p>
          <w:p w14:paraId="068CD027" w14:textId="5DF1B19D" w:rsidR="00235D9D" w:rsidRPr="006A4431" w:rsidRDefault="002648B0">
            <w:pPr>
              <w:pStyle w:val="InstructionsText"/>
              <w:rPr>
                <w:spacing w:val="-2"/>
              </w:rPr>
            </w:pPr>
            <w:r w:rsidRPr="006A4431">
              <w:rPr>
                <w:spacing w:val="-2"/>
              </w:rPr>
              <w:t>Hodnota vykazovaná</w:t>
            </w:r>
            <w:r w:rsidR="00D85C65" w:rsidRPr="006A4431">
              <w:rPr>
                <w:spacing w:val="-2"/>
              </w:rPr>
              <w:t xml:space="preserve"> v </w:t>
            </w:r>
            <w:r w:rsidRPr="006A4431">
              <w:rPr>
                <w:spacing w:val="-2"/>
              </w:rPr>
              <w:t>tejto položke sa rovná hodnotám rizikovo vážených expozícií (t. j. nenásobia sa 1,25</w:t>
            </w:r>
            <w:r w:rsidR="00D85C65" w:rsidRPr="006A4431">
              <w:rPr>
                <w:spacing w:val="-2"/>
              </w:rPr>
              <w:t> %</w:t>
            </w:r>
            <w:r w:rsidRPr="006A4431">
              <w:rPr>
                <w:spacing w:val="-2"/>
              </w:rPr>
              <w:t>), čo je základom na výpočet horného ohraničenia.</w:t>
            </w:r>
          </w:p>
        </w:tc>
      </w:tr>
      <w:tr w:rsidR="00235D9D" w:rsidRPr="006A4431" w14:paraId="40A6CE16" w14:textId="77777777" w:rsidTr="00672D2A">
        <w:tc>
          <w:tcPr>
            <w:tcW w:w="1506" w:type="dxa"/>
          </w:tcPr>
          <w:p w14:paraId="7BEE173F" w14:textId="77777777" w:rsidR="00235D9D" w:rsidRPr="006A4431" w:rsidRDefault="002648B0">
            <w:pPr>
              <w:pStyle w:val="InstructionsText"/>
              <w:rPr>
                <w:spacing w:val="-2"/>
              </w:rPr>
            </w:pPr>
            <w:r w:rsidRPr="006A4431">
              <w:rPr>
                <w:spacing w:val="-2"/>
              </w:rPr>
              <w:t>190</w:t>
            </w:r>
          </w:p>
        </w:tc>
        <w:tc>
          <w:tcPr>
            <w:tcW w:w="7243" w:type="dxa"/>
          </w:tcPr>
          <w:p w14:paraId="77FED394" w14:textId="3A9B886E" w:rsidR="00235D9D" w:rsidRPr="006A4431" w:rsidRDefault="002648B0">
            <w:pPr>
              <w:pStyle w:val="InstructionsText"/>
              <w:rPr>
                <w:spacing w:val="-2"/>
              </w:rPr>
            </w:pPr>
            <w:r w:rsidRPr="006A4431">
              <w:rPr>
                <w:rStyle w:val="InstructionsTabelleberschrift"/>
                <w:rFonts w:ascii="Times New Roman" w:hAnsi="Times New Roman"/>
                <w:spacing w:val="-2"/>
                <w:sz w:val="24"/>
              </w:rPr>
              <w:t>8.</w:t>
            </w:r>
            <w:r w:rsidRPr="006A4431">
              <w:rPr>
                <w:rStyle w:val="InstructionsTabelleberschrift"/>
                <w:rFonts w:ascii="Times New Roman" w:hAnsi="Times New Roman"/>
                <w:spacing w:val="-2"/>
                <w:sz w:val="24"/>
              </w:rPr>
              <w:tab/>
              <w:t>Neodpočítateľná prahová hodnota podielov</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subjektoch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0607D32C" w14:textId="521A7868" w:rsidR="00235D9D" w:rsidRPr="006A4431" w:rsidRDefault="0014657C">
            <w:pPr>
              <w:pStyle w:val="InstructionsText"/>
              <w:rPr>
                <w:spacing w:val="-2"/>
              </w:rPr>
            </w:pPr>
            <w:r w:rsidRPr="006A4431">
              <w:rPr>
                <w:spacing w:val="-2"/>
              </w:rPr>
              <w:t>Článok 46 ods. 1 písm. a) CRR.</w:t>
            </w:r>
          </w:p>
          <w:p w14:paraId="753D02F1" w14:textId="1F04FCD3" w:rsidR="00235D9D" w:rsidRPr="006A4431" w:rsidRDefault="002648B0">
            <w:pPr>
              <w:pStyle w:val="InstructionsText"/>
              <w:rPr>
                <w:spacing w:val="-2"/>
              </w:rPr>
            </w:pPr>
            <w:r w:rsidRPr="006A4431">
              <w:rPr>
                <w:spacing w:val="-2"/>
              </w:rPr>
              <w:t>Táto položka obsahuje prahovú hodnotu, do výšky ktorej sa neodpočítavajú podiely</w:t>
            </w:r>
            <w:r w:rsidR="00D85C65" w:rsidRPr="006A4431">
              <w:rPr>
                <w:spacing w:val="-2"/>
              </w:rPr>
              <w:t xml:space="preserve"> v </w:t>
            </w:r>
            <w:r w:rsidRPr="006A4431">
              <w:rPr>
                <w:spacing w:val="-2"/>
              </w:rPr>
              <w:t>subjekte finančného sektora, keď inštitúcia nemá významnú investíciu. Hodnota je výsledkom spočítania všetkých položiek, ktoré sú základom prahovej hodnoty,</w:t>
            </w:r>
            <w:r w:rsidR="00D85C65" w:rsidRPr="006A4431">
              <w:rPr>
                <w:spacing w:val="-2"/>
              </w:rPr>
              <w:t xml:space="preserve"> a </w:t>
            </w:r>
            <w:r w:rsidRPr="006A4431">
              <w:rPr>
                <w:spacing w:val="-2"/>
              </w:rPr>
              <w:t>vynásobením takto získaného súčtu hodnotou 10</w:t>
            </w:r>
            <w:r w:rsidR="00D85C65" w:rsidRPr="006A4431">
              <w:rPr>
                <w:spacing w:val="-2"/>
              </w:rPr>
              <w:t> %</w:t>
            </w:r>
            <w:r w:rsidRPr="006A4431">
              <w:rPr>
                <w:spacing w:val="-2"/>
              </w:rPr>
              <w:t>.</w:t>
            </w:r>
          </w:p>
        </w:tc>
      </w:tr>
      <w:tr w:rsidR="00235D9D" w:rsidRPr="006A4431" w14:paraId="684E05DF" w14:textId="77777777" w:rsidTr="00672D2A">
        <w:tc>
          <w:tcPr>
            <w:tcW w:w="1506" w:type="dxa"/>
          </w:tcPr>
          <w:p w14:paraId="5A3D099E" w14:textId="77777777" w:rsidR="00235D9D" w:rsidRPr="006A4431" w:rsidRDefault="002648B0">
            <w:pPr>
              <w:pStyle w:val="InstructionsText"/>
              <w:rPr>
                <w:spacing w:val="-2"/>
              </w:rPr>
            </w:pPr>
            <w:r w:rsidRPr="006A4431">
              <w:rPr>
                <w:spacing w:val="-2"/>
              </w:rPr>
              <w:t>200</w:t>
            </w:r>
          </w:p>
        </w:tc>
        <w:tc>
          <w:tcPr>
            <w:tcW w:w="7243" w:type="dxa"/>
          </w:tcPr>
          <w:p w14:paraId="736ACD15" w14:textId="1EF0BFC3" w:rsidR="00D85C65"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9.</w:t>
            </w:r>
            <w:r w:rsidRPr="006A4431">
              <w:rPr>
                <w:rStyle w:val="InstructionsTabelleberschrift"/>
                <w:rFonts w:ascii="Times New Roman" w:hAnsi="Times New Roman"/>
                <w:spacing w:val="-2"/>
                <w:sz w:val="24"/>
              </w:rPr>
              <w:tab/>
              <w:t>10</w:t>
            </w:r>
            <w:r w:rsidR="00D85C65" w:rsidRPr="006A4431">
              <w:rPr>
                <w:rStyle w:val="InstructionsTabelleberschrift"/>
                <w:rFonts w:ascii="Times New Roman" w:hAnsi="Times New Roman"/>
                <w:spacing w:val="-2"/>
                <w:sz w:val="24"/>
              </w:rPr>
              <w:t> %</w:t>
            </w:r>
            <w:r w:rsidRPr="006A4431">
              <w:rPr>
                <w:rStyle w:val="InstructionsTabelleberschrift"/>
                <w:rFonts w:ascii="Times New Roman" w:hAnsi="Times New Roman"/>
                <w:spacing w:val="-2"/>
                <w:sz w:val="24"/>
              </w:rPr>
              <w:t xml:space="preserve"> prahová hodnota CET1</w:t>
            </w:r>
          </w:p>
          <w:p w14:paraId="0529A400" w14:textId="2EF12024" w:rsidR="00235D9D" w:rsidRPr="006A4431" w:rsidRDefault="0014657C">
            <w:pPr>
              <w:pStyle w:val="InstructionsText"/>
              <w:rPr>
                <w:spacing w:val="-2"/>
              </w:rPr>
            </w:pPr>
            <w:r w:rsidRPr="006A4431">
              <w:rPr>
                <w:spacing w:val="-2"/>
              </w:rPr>
              <w:t>Článok 48 ods. 1 písm. a)</w:t>
            </w:r>
            <w:r w:rsidR="00D85C65" w:rsidRPr="006A4431">
              <w:rPr>
                <w:spacing w:val="-2"/>
              </w:rPr>
              <w:t xml:space="preserve"> a </w:t>
            </w:r>
            <w:r w:rsidRPr="006A4431">
              <w:rPr>
                <w:spacing w:val="-2"/>
              </w:rPr>
              <w:t>b) CRR.</w:t>
            </w:r>
          </w:p>
          <w:p w14:paraId="29853425" w14:textId="3C72DBF1" w:rsidR="00235D9D" w:rsidRPr="006A4431" w:rsidRDefault="002648B0">
            <w:pPr>
              <w:pStyle w:val="InstructionsText"/>
              <w:rPr>
                <w:spacing w:val="-2"/>
              </w:rPr>
            </w:pPr>
            <w:r w:rsidRPr="006A4431">
              <w:rPr>
                <w:spacing w:val="-2"/>
              </w:rPr>
              <w:t>Táto položka obsahuje 10</w:t>
            </w:r>
            <w:r w:rsidR="00D85C65" w:rsidRPr="006A4431">
              <w:rPr>
                <w:spacing w:val="-2"/>
              </w:rPr>
              <w:t> %</w:t>
            </w:r>
            <w:r w:rsidRPr="006A4431">
              <w:rPr>
                <w:spacing w:val="-2"/>
              </w:rPr>
              <w:t xml:space="preserve"> prahovú hodnotu pre podiely</w:t>
            </w:r>
            <w:r w:rsidR="00D85C65" w:rsidRPr="006A4431">
              <w:rPr>
                <w:spacing w:val="-2"/>
              </w:rPr>
              <w:t xml:space="preserve"> v </w:t>
            </w:r>
            <w:r w:rsidRPr="006A4431">
              <w:rPr>
                <w:spacing w:val="-2"/>
              </w:rPr>
              <w:t>subjektoch finančného sektora, keď inštitúcia má významnú investíciu,</w:t>
            </w:r>
            <w:r w:rsidR="00D85C65" w:rsidRPr="006A4431">
              <w:rPr>
                <w:spacing w:val="-2"/>
              </w:rPr>
              <w:t xml:space="preserve"> a </w:t>
            </w:r>
            <w:r w:rsidRPr="006A4431">
              <w:rPr>
                <w:spacing w:val="-2"/>
              </w:rPr>
              <w:t>pre odložené daňové pohľadávky,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w:t>
            </w:r>
          </w:p>
          <w:p w14:paraId="762E465B" w14:textId="66CB833D" w:rsidR="00235D9D" w:rsidRPr="006A4431" w:rsidRDefault="003C7853">
            <w:pPr>
              <w:pStyle w:val="InstructionsText"/>
              <w:rPr>
                <w:spacing w:val="-2"/>
              </w:rPr>
            </w:pPr>
            <w:r w:rsidRPr="006A4431">
              <w:rPr>
                <w:spacing w:val="-2"/>
              </w:rPr>
              <w:t>Hodnota je výsledkom spočítania všetkých položiek, ktoré sú základom prahovej hodnoty,</w:t>
            </w:r>
            <w:r w:rsidR="00D85C65" w:rsidRPr="006A4431">
              <w:rPr>
                <w:spacing w:val="-2"/>
              </w:rPr>
              <w:t xml:space="preserve"> a </w:t>
            </w:r>
            <w:r w:rsidRPr="006A4431">
              <w:rPr>
                <w:spacing w:val="-2"/>
              </w:rPr>
              <w:t>vynásobením takto získaného súčtu hodnotou 10</w:t>
            </w:r>
            <w:r w:rsidR="00D85C65" w:rsidRPr="006A4431">
              <w:rPr>
                <w:spacing w:val="-2"/>
              </w:rPr>
              <w:t> %</w:t>
            </w:r>
            <w:r w:rsidRPr="006A4431">
              <w:rPr>
                <w:spacing w:val="-2"/>
              </w:rPr>
              <w:t>.</w:t>
            </w:r>
          </w:p>
        </w:tc>
      </w:tr>
      <w:tr w:rsidR="00235D9D" w:rsidRPr="006A4431" w14:paraId="595C5337" w14:textId="77777777" w:rsidTr="00672D2A">
        <w:tc>
          <w:tcPr>
            <w:tcW w:w="1506" w:type="dxa"/>
          </w:tcPr>
          <w:p w14:paraId="14441CBF" w14:textId="77777777" w:rsidR="00235D9D" w:rsidRPr="006A4431" w:rsidRDefault="002648B0">
            <w:pPr>
              <w:pStyle w:val="InstructionsText"/>
              <w:rPr>
                <w:spacing w:val="-2"/>
              </w:rPr>
            </w:pPr>
            <w:r w:rsidRPr="006A4431">
              <w:rPr>
                <w:spacing w:val="-2"/>
              </w:rPr>
              <w:t>210</w:t>
            </w:r>
          </w:p>
        </w:tc>
        <w:tc>
          <w:tcPr>
            <w:tcW w:w="7243" w:type="dxa"/>
          </w:tcPr>
          <w:p w14:paraId="3E2FA068" w14:textId="6E047032" w:rsidR="00D85C65"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10.</w:t>
            </w:r>
            <w:r w:rsidRPr="006A4431">
              <w:rPr>
                <w:rStyle w:val="InstructionsTabelleberschrift"/>
                <w:rFonts w:ascii="Times New Roman" w:hAnsi="Times New Roman"/>
                <w:spacing w:val="-2"/>
                <w:sz w:val="24"/>
              </w:rPr>
              <w:tab/>
              <w:t>17,65</w:t>
            </w:r>
            <w:r w:rsidR="00D85C65" w:rsidRPr="006A4431">
              <w:rPr>
                <w:rStyle w:val="InstructionsTabelleberschrift"/>
                <w:rFonts w:ascii="Times New Roman" w:hAnsi="Times New Roman"/>
                <w:spacing w:val="-2"/>
                <w:sz w:val="24"/>
              </w:rPr>
              <w:t> %</w:t>
            </w:r>
            <w:r w:rsidRPr="006A4431">
              <w:rPr>
                <w:rStyle w:val="InstructionsTabelleberschrift"/>
                <w:rFonts w:ascii="Times New Roman" w:hAnsi="Times New Roman"/>
                <w:spacing w:val="-2"/>
                <w:sz w:val="24"/>
              </w:rPr>
              <w:t xml:space="preserve"> prahová hodnota CET1</w:t>
            </w:r>
          </w:p>
          <w:p w14:paraId="345FB4FB" w14:textId="634A8DD2" w:rsidR="00235D9D" w:rsidRPr="006A4431" w:rsidRDefault="002648B0">
            <w:pPr>
              <w:pStyle w:val="InstructionsText"/>
              <w:rPr>
                <w:spacing w:val="-2"/>
              </w:rPr>
            </w:pPr>
            <w:r w:rsidRPr="006A4431">
              <w:rPr>
                <w:spacing w:val="-2"/>
              </w:rPr>
              <w:t>Článok 48 ods. 1 CRR.</w:t>
            </w:r>
          </w:p>
          <w:p w14:paraId="56AECB83" w14:textId="7A28A5CD" w:rsidR="00235D9D" w:rsidRPr="006A4431" w:rsidRDefault="002648B0">
            <w:pPr>
              <w:pStyle w:val="InstructionsText"/>
              <w:rPr>
                <w:spacing w:val="-2"/>
              </w:rPr>
            </w:pPr>
            <w:r w:rsidRPr="006A4431">
              <w:rPr>
                <w:spacing w:val="-2"/>
              </w:rPr>
              <w:t>Táto položka obsahuje 17,65</w:t>
            </w:r>
            <w:r w:rsidR="00D85C65" w:rsidRPr="006A4431">
              <w:rPr>
                <w:spacing w:val="-2"/>
              </w:rPr>
              <w:t> %</w:t>
            </w:r>
            <w:r w:rsidRPr="006A4431">
              <w:rPr>
                <w:spacing w:val="-2"/>
              </w:rPr>
              <w:t xml:space="preserve"> prahovú hodnotu pre podiely</w:t>
            </w:r>
            <w:r w:rsidR="00D85C65" w:rsidRPr="006A4431">
              <w:rPr>
                <w:spacing w:val="-2"/>
              </w:rPr>
              <w:t xml:space="preserve"> v </w:t>
            </w:r>
            <w:r w:rsidRPr="006A4431">
              <w:rPr>
                <w:spacing w:val="-2"/>
              </w:rPr>
              <w:t>subjektoch finančného sektora, keď inštitúcia má významnú investíciu,</w:t>
            </w:r>
            <w:r w:rsidR="00D85C65" w:rsidRPr="006A4431">
              <w:rPr>
                <w:spacing w:val="-2"/>
              </w:rPr>
              <w:t xml:space="preserve"> a </w:t>
            </w:r>
            <w:r w:rsidRPr="006A4431">
              <w:rPr>
                <w:spacing w:val="-2"/>
              </w:rPr>
              <w:t>pre odložené daňové pohľadávky, ktoré závisia od budúcej ziskovosti</w:t>
            </w:r>
            <w:r w:rsidR="00D85C65" w:rsidRPr="006A4431">
              <w:rPr>
                <w:spacing w:val="-2"/>
              </w:rPr>
              <w:t xml:space="preserve"> a </w:t>
            </w:r>
            <w:r w:rsidRPr="006A4431">
              <w:rPr>
                <w:spacing w:val="-2"/>
              </w:rPr>
              <w:t>vyplývajú</w:t>
            </w:r>
            <w:r w:rsidR="00D85C65" w:rsidRPr="006A4431">
              <w:rPr>
                <w:spacing w:val="-2"/>
              </w:rPr>
              <w:t xml:space="preserve"> z </w:t>
            </w:r>
            <w:r w:rsidRPr="006A4431">
              <w:rPr>
                <w:spacing w:val="-2"/>
              </w:rPr>
              <w:t>dočasných rozdielov, ktorá sa uplatňuje po 10</w:t>
            </w:r>
            <w:r w:rsidR="00D85C65" w:rsidRPr="006A4431">
              <w:rPr>
                <w:spacing w:val="-2"/>
              </w:rPr>
              <w:t> %</w:t>
            </w:r>
            <w:r w:rsidRPr="006A4431">
              <w:rPr>
                <w:spacing w:val="-2"/>
              </w:rPr>
              <w:t xml:space="preserve"> prahovej hodnote.</w:t>
            </w:r>
          </w:p>
          <w:p w14:paraId="0AC241A0" w14:textId="7FBF703F" w:rsidR="00235D9D" w:rsidRPr="006A4431" w:rsidRDefault="002648B0">
            <w:pPr>
              <w:pStyle w:val="InstructionsText"/>
              <w:rPr>
                <w:spacing w:val="-2"/>
              </w:rPr>
            </w:pPr>
            <w:r w:rsidRPr="006A4431">
              <w:rPr>
                <w:spacing w:val="-2"/>
              </w:rPr>
              <w:lastRenderedPageBreak/>
              <w:t>Prahová hodnota sa vypočítava tak, aby hodnota dvoch položiek, ktorá sa vykazuje, neprekročila 15</w:t>
            </w:r>
            <w:r w:rsidR="00D85C65" w:rsidRPr="006A4431">
              <w:rPr>
                <w:spacing w:val="-2"/>
              </w:rPr>
              <w:t> %</w:t>
            </w:r>
            <w:r w:rsidRPr="006A4431">
              <w:rPr>
                <w:spacing w:val="-2"/>
              </w:rPr>
              <w:t xml:space="preserve"> konečného vlastného kapitálu Tier 1, t. j. kapitálu CET1 vypočítaného po všetkých odpočtoch</w:t>
            </w:r>
            <w:r w:rsidR="00D85C65" w:rsidRPr="006A4431">
              <w:rPr>
                <w:spacing w:val="-2"/>
              </w:rPr>
              <w:t xml:space="preserve"> a </w:t>
            </w:r>
            <w:r w:rsidRPr="006A4431">
              <w:rPr>
                <w:spacing w:val="-2"/>
              </w:rPr>
              <w:t>bez úprav na základe prechodných ustanovení.</w:t>
            </w:r>
          </w:p>
        </w:tc>
      </w:tr>
      <w:tr w:rsidR="00235D9D" w:rsidRPr="006A4431" w14:paraId="4131EBDC" w14:textId="77777777" w:rsidTr="00672D2A">
        <w:tc>
          <w:tcPr>
            <w:tcW w:w="1506" w:type="dxa"/>
          </w:tcPr>
          <w:p w14:paraId="45F158BF" w14:textId="77777777" w:rsidR="00235D9D" w:rsidRPr="006A4431" w:rsidRDefault="00216D67">
            <w:pPr>
              <w:pStyle w:val="InstructionsText"/>
              <w:rPr>
                <w:spacing w:val="-2"/>
              </w:rPr>
            </w:pPr>
            <w:r w:rsidRPr="006A4431">
              <w:rPr>
                <w:spacing w:val="-2"/>
              </w:rPr>
              <w:lastRenderedPageBreak/>
              <w:t>225</w:t>
            </w:r>
          </w:p>
        </w:tc>
        <w:tc>
          <w:tcPr>
            <w:tcW w:w="7243" w:type="dxa"/>
          </w:tcPr>
          <w:p w14:paraId="56E66337" w14:textId="77777777" w:rsidR="00235D9D" w:rsidRPr="006A4431" w:rsidRDefault="00216D67">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11.1.</w:t>
            </w:r>
            <w:r w:rsidRPr="006A4431">
              <w:rPr>
                <w:rStyle w:val="InstructionsTabelleberschrift"/>
                <w:rFonts w:ascii="Times New Roman" w:hAnsi="Times New Roman"/>
                <w:spacing w:val="-2"/>
                <w:sz w:val="24"/>
              </w:rPr>
              <w:tab/>
              <w:t>Prípustný kapitál na účely kvalifikovaných účastí mimo finančného sektora</w:t>
            </w:r>
          </w:p>
          <w:p w14:paraId="5F7907ED" w14:textId="37EF609C" w:rsidR="00235D9D" w:rsidRPr="006A4431" w:rsidRDefault="0014657C">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b w:val="0"/>
                <w:spacing w:val="-2"/>
                <w:sz w:val="24"/>
                <w:u w:val="none"/>
              </w:rPr>
              <w:t>Článok 4 ods. 1 písm. a) bod 71 písm. a) CRR.</w:t>
            </w:r>
          </w:p>
        </w:tc>
      </w:tr>
      <w:tr w:rsidR="00235D9D" w:rsidRPr="006A4431" w14:paraId="074CDA08" w14:textId="77777777" w:rsidTr="00672D2A">
        <w:tc>
          <w:tcPr>
            <w:tcW w:w="1506" w:type="dxa"/>
          </w:tcPr>
          <w:p w14:paraId="33322BD1" w14:textId="77777777" w:rsidR="00235D9D" w:rsidRPr="006A4431" w:rsidRDefault="00216D67">
            <w:pPr>
              <w:pStyle w:val="InstructionsText"/>
              <w:rPr>
                <w:spacing w:val="-2"/>
              </w:rPr>
            </w:pPr>
            <w:r w:rsidRPr="006A4431">
              <w:rPr>
                <w:spacing w:val="-2"/>
              </w:rPr>
              <w:t>226</w:t>
            </w:r>
          </w:p>
        </w:tc>
        <w:tc>
          <w:tcPr>
            <w:tcW w:w="7243" w:type="dxa"/>
          </w:tcPr>
          <w:p w14:paraId="26C7C30D" w14:textId="77777777" w:rsidR="00235D9D" w:rsidRPr="006A4431" w:rsidRDefault="00216D67">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11.2.</w:t>
            </w:r>
            <w:r w:rsidRPr="006A4431">
              <w:rPr>
                <w:rStyle w:val="InstructionsTabelleberschrift"/>
                <w:rFonts w:ascii="Times New Roman" w:hAnsi="Times New Roman"/>
                <w:spacing w:val="-2"/>
                <w:sz w:val="24"/>
              </w:rPr>
              <w:tab/>
              <w:t>Prípustný kapitál na účely veľkej majetkovej angažovanosti</w:t>
            </w:r>
          </w:p>
          <w:p w14:paraId="58928032" w14:textId="755A1DCE" w:rsidR="00235D9D" w:rsidRPr="006A4431" w:rsidRDefault="0014657C">
            <w:pPr>
              <w:pStyle w:val="InstructionsText"/>
              <w:rPr>
                <w:rStyle w:val="InstructionsTabelleberschrift"/>
                <w:rFonts w:ascii="Times New Roman" w:hAnsi="Times New Roman"/>
                <w:b w:val="0"/>
                <w:bCs w:val="0"/>
                <w:spacing w:val="-2"/>
                <w:sz w:val="24"/>
                <w:u w:val="none"/>
              </w:rPr>
            </w:pPr>
            <w:r w:rsidRPr="006A4431">
              <w:rPr>
                <w:rStyle w:val="InstructionsTabelleberschrift"/>
                <w:rFonts w:ascii="Times New Roman" w:hAnsi="Times New Roman"/>
                <w:b w:val="0"/>
                <w:spacing w:val="-2"/>
                <w:sz w:val="24"/>
                <w:u w:val="none"/>
              </w:rPr>
              <w:t>Článok 4 ods. 1</w:t>
            </w:r>
            <w:r w:rsidRPr="006A4431">
              <w:rPr>
                <w:spacing w:val="-2"/>
              </w:rPr>
              <w:t xml:space="preserve"> bod 71 písm. b) CRR.</w:t>
            </w:r>
          </w:p>
        </w:tc>
      </w:tr>
      <w:tr w:rsidR="00235D9D" w:rsidRPr="006A4431" w14:paraId="4C8FC57A" w14:textId="77777777" w:rsidTr="00672D2A">
        <w:tc>
          <w:tcPr>
            <w:tcW w:w="1506" w:type="dxa"/>
          </w:tcPr>
          <w:p w14:paraId="2A550C8C" w14:textId="77777777" w:rsidR="00235D9D" w:rsidRPr="006A4431" w:rsidRDefault="002648B0">
            <w:pPr>
              <w:pStyle w:val="InstructionsText"/>
              <w:rPr>
                <w:spacing w:val="-2"/>
              </w:rPr>
            </w:pPr>
            <w:r w:rsidRPr="006A4431">
              <w:rPr>
                <w:spacing w:val="-2"/>
              </w:rPr>
              <w:t>230</w:t>
            </w:r>
          </w:p>
        </w:tc>
        <w:tc>
          <w:tcPr>
            <w:tcW w:w="7243" w:type="dxa"/>
          </w:tcPr>
          <w:p w14:paraId="1BCF0DB6" w14:textId="1AB4B945" w:rsidR="00235D9D" w:rsidRPr="006A4431" w:rsidRDefault="002648B0">
            <w:pPr>
              <w:pStyle w:val="InstructionsText"/>
              <w:rPr>
                <w:spacing w:val="-2"/>
              </w:rPr>
            </w:pPr>
            <w:r w:rsidRPr="006A4431">
              <w:rPr>
                <w:rStyle w:val="InstructionsTabelleberschrift"/>
                <w:rFonts w:ascii="Times New Roman" w:hAnsi="Times New Roman"/>
                <w:spacing w:val="-2"/>
                <w:sz w:val="24"/>
              </w:rPr>
              <w:t>12.</w:t>
            </w:r>
            <w:r w:rsidRPr="006A4431">
              <w:rPr>
                <w:rStyle w:val="InstructionsTabelleberschrift"/>
                <w:rFonts w:ascii="Times New Roman" w:hAnsi="Times New Roman"/>
                <w:spacing w:val="-2"/>
                <w:sz w:val="24"/>
              </w:rPr>
              <w:tab/>
              <w:t>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po odpočítaní krátkych pozícií</w:t>
            </w:r>
          </w:p>
          <w:p w14:paraId="714DB117" w14:textId="75D38005" w:rsidR="00235D9D" w:rsidRPr="006A4431" w:rsidRDefault="002648B0">
            <w:pPr>
              <w:pStyle w:val="InstructionsText"/>
              <w:rPr>
                <w:spacing w:val="-2"/>
              </w:rPr>
            </w:pPr>
            <w:r w:rsidRPr="006A4431">
              <w:rPr>
                <w:spacing w:val="-2"/>
              </w:rPr>
              <w:t>Články 44, 45, 46</w:t>
            </w:r>
            <w:r w:rsidR="00D85C65" w:rsidRPr="006A4431">
              <w:rPr>
                <w:spacing w:val="-2"/>
              </w:rPr>
              <w:t xml:space="preserve"> a </w:t>
            </w:r>
            <w:r w:rsidRPr="006A4431">
              <w:rPr>
                <w:spacing w:val="-2"/>
              </w:rPr>
              <w:t>49 CRR.</w:t>
            </w:r>
          </w:p>
        </w:tc>
      </w:tr>
      <w:tr w:rsidR="00235D9D" w:rsidRPr="006A4431" w14:paraId="2B5D5200" w14:textId="77777777" w:rsidTr="00672D2A">
        <w:tc>
          <w:tcPr>
            <w:tcW w:w="1506" w:type="dxa"/>
          </w:tcPr>
          <w:p w14:paraId="4297B88E" w14:textId="77777777" w:rsidR="00235D9D" w:rsidRPr="006A4431" w:rsidRDefault="002648B0">
            <w:pPr>
              <w:pStyle w:val="InstructionsText"/>
              <w:rPr>
                <w:spacing w:val="-2"/>
              </w:rPr>
            </w:pPr>
            <w:r w:rsidRPr="006A4431">
              <w:rPr>
                <w:spacing w:val="-2"/>
              </w:rPr>
              <w:t>240</w:t>
            </w:r>
          </w:p>
        </w:tc>
        <w:tc>
          <w:tcPr>
            <w:tcW w:w="7243" w:type="dxa"/>
          </w:tcPr>
          <w:p w14:paraId="518FF441" w14:textId="49374C03" w:rsidR="00235D9D" w:rsidRPr="006A4431" w:rsidRDefault="002648B0">
            <w:pPr>
              <w:pStyle w:val="InstructionsText"/>
              <w:rPr>
                <w:spacing w:val="-2"/>
              </w:rPr>
            </w:pPr>
            <w:r w:rsidRPr="006A4431">
              <w:rPr>
                <w:rStyle w:val="InstructionsTabelleberschrift"/>
                <w:rFonts w:ascii="Times New Roman" w:hAnsi="Times New Roman"/>
                <w:spacing w:val="-2"/>
                <w:sz w:val="24"/>
              </w:rPr>
              <w:t>12.1.</w:t>
            </w:r>
            <w:r w:rsidRPr="006A4431">
              <w:rPr>
                <w:rStyle w:val="InstructionsTabelleberschrift"/>
                <w:rFonts w:ascii="Times New Roman" w:hAnsi="Times New Roman"/>
                <w:spacing w:val="-2"/>
                <w:sz w:val="24"/>
              </w:rPr>
              <w:tab/>
              <w:t>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1A9A4532" w14:textId="21AE967B" w:rsidR="00235D9D" w:rsidRPr="006A4431" w:rsidRDefault="002648B0">
            <w:pPr>
              <w:pStyle w:val="InstructionsText"/>
              <w:rPr>
                <w:spacing w:val="-2"/>
              </w:rPr>
            </w:pPr>
            <w:r w:rsidRPr="006A4431">
              <w:rPr>
                <w:spacing w:val="-2"/>
              </w:rPr>
              <w:t>Články 44, 45, 46</w:t>
            </w:r>
            <w:r w:rsidR="00D85C65" w:rsidRPr="006A4431">
              <w:rPr>
                <w:spacing w:val="-2"/>
              </w:rPr>
              <w:t xml:space="preserve"> a </w:t>
            </w:r>
            <w:r w:rsidRPr="006A4431">
              <w:rPr>
                <w:spacing w:val="-2"/>
              </w:rPr>
              <w:t>49 CRR.</w:t>
            </w:r>
          </w:p>
        </w:tc>
      </w:tr>
      <w:tr w:rsidR="00235D9D" w:rsidRPr="006A4431" w14:paraId="73F4E9A3" w14:textId="77777777" w:rsidTr="00672D2A">
        <w:tc>
          <w:tcPr>
            <w:tcW w:w="1506" w:type="dxa"/>
          </w:tcPr>
          <w:p w14:paraId="361FA4BD" w14:textId="77777777" w:rsidR="00235D9D" w:rsidRPr="006A4431" w:rsidRDefault="002648B0">
            <w:pPr>
              <w:pStyle w:val="InstructionsText"/>
              <w:rPr>
                <w:spacing w:val="-2"/>
              </w:rPr>
            </w:pPr>
            <w:r w:rsidRPr="006A4431">
              <w:rPr>
                <w:spacing w:val="-2"/>
              </w:rPr>
              <w:t>250</w:t>
            </w:r>
          </w:p>
        </w:tc>
        <w:tc>
          <w:tcPr>
            <w:tcW w:w="7243" w:type="dxa"/>
          </w:tcPr>
          <w:p w14:paraId="76FFBF39" w14:textId="6DD92CDA" w:rsidR="00235D9D" w:rsidRPr="006A4431" w:rsidRDefault="002648B0">
            <w:pPr>
              <w:pStyle w:val="InstructionsText"/>
              <w:rPr>
                <w:spacing w:val="-2"/>
              </w:rPr>
            </w:pPr>
            <w:r w:rsidRPr="006A4431">
              <w:rPr>
                <w:rStyle w:val="InstructionsTabelleberschrift"/>
                <w:rFonts w:ascii="Times New Roman" w:hAnsi="Times New Roman"/>
                <w:spacing w:val="-2"/>
                <w:sz w:val="24"/>
              </w:rPr>
              <w:t>12.1.1.</w:t>
            </w:r>
            <w:r w:rsidRPr="006A4431">
              <w:rPr>
                <w:rStyle w:val="InstructionsTabelleberschrift"/>
                <w:rFonts w:ascii="Times New Roman" w:hAnsi="Times New Roman"/>
                <w:spacing w:val="-2"/>
                <w:sz w:val="24"/>
              </w:rPr>
              <w:tab/>
              <w:t>Brutto 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4C57E25F" w14:textId="56B2E5E2" w:rsidR="00235D9D" w:rsidRPr="006A4431" w:rsidRDefault="002648B0">
            <w:pPr>
              <w:pStyle w:val="InstructionsText"/>
              <w:rPr>
                <w:spacing w:val="-2"/>
              </w:rPr>
            </w:pPr>
            <w:r w:rsidRPr="006A4431">
              <w:rPr>
                <w:spacing w:val="-2"/>
              </w:rPr>
              <w:t>Články 44, 46</w:t>
            </w:r>
            <w:r w:rsidR="00D85C65" w:rsidRPr="006A4431">
              <w:rPr>
                <w:spacing w:val="-2"/>
              </w:rPr>
              <w:t xml:space="preserve"> a </w:t>
            </w:r>
            <w:r w:rsidRPr="006A4431">
              <w:rPr>
                <w:spacing w:val="-2"/>
              </w:rPr>
              <w:t>49 CRR.</w:t>
            </w:r>
          </w:p>
          <w:p w14:paraId="6294294E" w14:textId="77777777" w:rsidR="00235D9D" w:rsidRPr="006A4431" w:rsidRDefault="002648B0">
            <w:pPr>
              <w:pStyle w:val="InstructionsText"/>
              <w:rPr>
                <w:spacing w:val="-2"/>
              </w:rPr>
            </w:pPr>
            <w:r w:rsidRPr="006A4431">
              <w:rPr>
                <w:spacing w:val="-2"/>
              </w:rPr>
              <w:t>Priame podiely kapitálu CET1 subjektov finančného sektora, keď inštitúcia nemá významnú investíciu, bez:</w:t>
            </w:r>
          </w:p>
          <w:p w14:paraId="0B41D346" w14:textId="42FCF84F" w:rsidR="00D85C65" w:rsidRPr="006A4431" w:rsidRDefault="002648B0">
            <w:pPr>
              <w:pStyle w:val="InstructionsText"/>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ktoré držia päť pracovných dní alebo menej</w:t>
            </w:r>
            <w:r w:rsidR="00D85C65" w:rsidRPr="006A4431">
              <w:rPr>
                <w:spacing w:val="-2"/>
              </w:rPr>
              <w:t>;</w:t>
            </w:r>
          </w:p>
          <w:p w14:paraId="0B9C9FBC" w14:textId="77777777" w:rsidR="00D85C65" w:rsidRPr="006A4431" w:rsidRDefault="002648B0">
            <w:pPr>
              <w:pStyle w:val="InstructionsText"/>
              <w:rPr>
                <w:spacing w:val="-2"/>
              </w:rPr>
            </w:pPr>
            <w:r w:rsidRPr="006A4431">
              <w:rPr>
                <w:spacing w:val="-2"/>
              </w:rPr>
              <w:t>b)</w:t>
            </w:r>
            <w:r w:rsidRPr="006A4431">
              <w:rPr>
                <w:spacing w:val="-2"/>
              </w:rPr>
              <w:tab/>
              <w:t>hodnôt súvisiacich</w:t>
            </w:r>
            <w:r w:rsidR="00D85C65" w:rsidRPr="006A4431">
              <w:rPr>
                <w:spacing w:val="-2"/>
              </w:rPr>
              <w:t xml:space="preserve"> s </w:t>
            </w:r>
            <w:r w:rsidRPr="006A4431">
              <w:rPr>
                <w:spacing w:val="-2"/>
              </w:rPr>
              <w:t>investíciami, na ktoré sa uplatňuje alternatíva podľa článku 49;</w:t>
            </w:r>
            <w:r w:rsidR="00D85C65" w:rsidRPr="006A4431">
              <w:rPr>
                <w:spacing w:val="-2"/>
              </w:rPr>
              <w:t xml:space="preserve"> a</w:t>
            </w:r>
          </w:p>
          <w:p w14:paraId="65010A4C" w14:textId="44299DEF" w:rsidR="00235D9D" w:rsidRPr="006A4431" w:rsidRDefault="002648B0">
            <w:pPr>
              <w:pStyle w:val="InstructionsText"/>
              <w:rPr>
                <w:spacing w:val="-2"/>
              </w:rPr>
            </w:pPr>
            <w:r w:rsidRPr="006A4431">
              <w:rPr>
                <w:spacing w:val="-2"/>
              </w:rPr>
              <w:t>c)</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36 ods. 1 písm. g) CRR.</w:t>
            </w:r>
          </w:p>
        </w:tc>
      </w:tr>
      <w:tr w:rsidR="00235D9D" w:rsidRPr="006A4431" w14:paraId="1B3D7227" w14:textId="77777777" w:rsidTr="00672D2A">
        <w:tc>
          <w:tcPr>
            <w:tcW w:w="1506" w:type="dxa"/>
          </w:tcPr>
          <w:p w14:paraId="15B3FEDD" w14:textId="77777777" w:rsidR="00235D9D" w:rsidRPr="006A4431" w:rsidRDefault="002648B0">
            <w:pPr>
              <w:pStyle w:val="InstructionsText"/>
              <w:rPr>
                <w:spacing w:val="-2"/>
              </w:rPr>
            </w:pPr>
            <w:r w:rsidRPr="006A4431">
              <w:rPr>
                <w:spacing w:val="-2"/>
              </w:rPr>
              <w:t>260</w:t>
            </w:r>
          </w:p>
        </w:tc>
        <w:tc>
          <w:tcPr>
            <w:tcW w:w="7243" w:type="dxa"/>
          </w:tcPr>
          <w:p w14:paraId="35452673" w14:textId="4B42D664" w:rsidR="00235D9D" w:rsidRPr="006A4431" w:rsidRDefault="002648B0">
            <w:pPr>
              <w:pStyle w:val="InstructionsText"/>
              <w:rPr>
                <w:spacing w:val="-2"/>
              </w:rPr>
            </w:pPr>
            <w:r w:rsidRPr="006A4431">
              <w:rPr>
                <w:rStyle w:val="InstructionsTabelleberschrift"/>
                <w:rFonts w:ascii="Times New Roman" w:hAnsi="Times New Roman"/>
                <w:spacing w:val="-2"/>
                <w:sz w:val="24"/>
              </w:rPr>
              <w:t>12.1.2.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38E0CC2A" w14:textId="13775458" w:rsidR="00235D9D" w:rsidRPr="006A4431" w:rsidRDefault="002648B0">
            <w:pPr>
              <w:pStyle w:val="InstructionsText"/>
              <w:rPr>
                <w:spacing w:val="-2"/>
              </w:rPr>
            </w:pPr>
            <w:r w:rsidRPr="006A4431">
              <w:rPr>
                <w:spacing w:val="-2"/>
              </w:rPr>
              <w:t>Článok 45 CRR.</w:t>
            </w:r>
          </w:p>
          <w:p w14:paraId="23053E8D" w14:textId="2F522875" w:rsidR="00235D9D" w:rsidRPr="006A4431" w:rsidRDefault="002648B0">
            <w:pPr>
              <w:pStyle w:val="InstructionsText"/>
              <w:rPr>
                <w:spacing w:val="-2"/>
              </w:rPr>
            </w:pPr>
            <w:r w:rsidRPr="006A4431">
              <w:rPr>
                <w:spacing w:val="-2"/>
              </w:rPr>
              <w:t>Článok 45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1F70B255" w14:textId="77777777" w:rsidTr="00672D2A">
        <w:tc>
          <w:tcPr>
            <w:tcW w:w="1506" w:type="dxa"/>
          </w:tcPr>
          <w:p w14:paraId="1F510E39" w14:textId="77777777" w:rsidR="00235D9D" w:rsidRPr="006A4431" w:rsidRDefault="002648B0">
            <w:pPr>
              <w:pStyle w:val="InstructionsText"/>
              <w:rPr>
                <w:spacing w:val="-2"/>
              </w:rPr>
            </w:pPr>
            <w:r w:rsidRPr="006A4431">
              <w:rPr>
                <w:spacing w:val="-2"/>
              </w:rPr>
              <w:t>270</w:t>
            </w:r>
          </w:p>
        </w:tc>
        <w:tc>
          <w:tcPr>
            <w:tcW w:w="7243" w:type="dxa"/>
          </w:tcPr>
          <w:p w14:paraId="039B6233" w14:textId="1E76E69E" w:rsidR="00235D9D" w:rsidRPr="006A4431" w:rsidRDefault="002648B0">
            <w:pPr>
              <w:pStyle w:val="InstructionsText"/>
              <w:rPr>
                <w:spacing w:val="-2"/>
              </w:rPr>
            </w:pPr>
            <w:r w:rsidRPr="006A4431">
              <w:rPr>
                <w:rStyle w:val="InstructionsTabelleberschrift"/>
                <w:rFonts w:ascii="Times New Roman" w:hAnsi="Times New Roman"/>
                <w:spacing w:val="-2"/>
                <w:sz w:val="24"/>
              </w:rPr>
              <w:t>12.2.</w:t>
            </w:r>
            <w:r w:rsidRPr="006A4431">
              <w:rPr>
                <w:rStyle w:val="InstructionsTabelleberschrift"/>
                <w:rFonts w:ascii="Times New Roman" w:hAnsi="Times New Roman"/>
                <w:spacing w:val="-2"/>
                <w:sz w:val="24"/>
              </w:rPr>
              <w:tab/>
              <w:t>Nepriame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7B12E88F" w14:textId="4ACB1AD9"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tc>
      </w:tr>
      <w:tr w:rsidR="00235D9D" w:rsidRPr="006A4431" w14:paraId="713BA411" w14:textId="77777777" w:rsidTr="00672D2A">
        <w:tc>
          <w:tcPr>
            <w:tcW w:w="1506" w:type="dxa"/>
          </w:tcPr>
          <w:p w14:paraId="41762E70" w14:textId="77777777" w:rsidR="00235D9D" w:rsidRPr="006A4431" w:rsidRDefault="002648B0">
            <w:pPr>
              <w:pStyle w:val="InstructionsText"/>
              <w:rPr>
                <w:spacing w:val="-2"/>
              </w:rPr>
            </w:pPr>
            <w:r w:rsidRPr="006A4431">
              <w:rPr>
                <w:spacing w:val="-2"/>
              </w:rPr>
              <w:t>280</w:t>
            </w:r>
          </w:p>
        </w:tc>
        <w:tc>
          <w:tcPr>
            <w:tcW w:w="7243" w:type="dxa"/>
          </w:tcPr>
          <w:p w14:paraId="6DE04412" w14:textId="2D743A87" w:rsidR="00235D9D" w:rsidRPr="006A4431" w:rsidRDefault="002648B0">
            <w:pPr>
              <w:pStyle w:val="InstructionsText"/>
              <w:rPr>
                <w:spacing w:val="-2"/>
              </w:rPr>
            </w:pPr>
            <w:r w:rsidRPr="006A4431">
              <w:rPr>
                <w:rStyle w:val="InstructionsTabelleberschrift"/>
                <w:rFonts w:ascii="Times New Roman" w:hAnsi="Times New Roman"/>
                <w:spacing w:val="-2"/>
                <w:sz w:val="24"/>
              </w:rPr>
              <w:t>12.2.1.</w:t>
            </w:r>
            <w:r w:rsidRPr="006A4431">
              <w:rPr>
                <w:rStyle w:val="InstructionsTabelleberschrift"/>
                <w:rFonts w:ascii="Times New Roman" w:hAnsi="Times New Roman"/>
                <w:spacing w:val="-2"/>
                <w:sz w:val="24"/>
              </w:rPr>
              <w:tab/>
              <w:t>Brutto nepriame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4FA04805" w14:textId="6F888E12"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p w14:paraId="52F7CDCB" w14:textId="3E30484D" w:rsidR="00235D9D" w:rsidRPr="006A4431" w:rsidRDefault="002648B0">
            <w:pPr>
              <w:pStyle w:val="InstructionsText"/>
              <w:rPr>
                <w:spacing w:val="-2"/>
              </w:rPr>
            </w:pPr>
            <w:r w:rsidRPr="006A4431">
              <w:rPr>
                <w:spacing w:val="-2"/>
              </w:rPr>
              <w:lastRenderedPageBreak/>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079EC6C2" w14:textId="41210F60"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36 ods. 1 písm. g) CRR, sa nezapočítavajú.</w:t>
            </w:r>
          </w:p>
        </w:tc>
      </w:tr>
      <w:tr w:rsidR="00235D9D" w:rsidRPr="006A4431" w14:paraId="5F89F622" w14:textId="77777777" w:rsidTr="00672D2A">
        <w:trPr>
          <w:trHeight w:val="850"/>
        </w:trPr>
        <w:tc>
          <w:tcPr>
            <w:tcW w:w="1506" w:type="dxa"/>
          </w:tcPr>
          <w:p w14:paraId="181204BB" w14:textId="77777777" w:rsidR="00235D9D" w:rsidRPr="006A4431" w:rsidRDefault="002648B0">
            <w:pPr>
              <w:pStyle w:val="InstructionsText"/>
              <w:rPr>
                <w:spacing w:val="-2"/>
              </w:rPr>
            </w:pPr>
            <w:r w:rsidRPr="006A4431">
              <w:rPr>
                <w:spacing w:val="-2"/>
              </w:rPr>
              <w:lastRenderedPageBreak/>
              <w:t>290</w:t>
            </w:r>
          </w:p>
        </w:tc>
        <w:tc>
          <w:tcPr>
            <w:tcW w:w="7243" w:type="dxa"/>
          </w:tcPr>
          <w:p w14:paraId="064C4AC9" w14:textId="3A5618A7" w:rsidR="00235D9D" w:rsidRPr="006A4431" w:rsidRDefault="002648B0">
            <w:pPr>
              <w:pStyle w:val="InstructionsText"/>
              <w:rPr>
                <w:spacing w:val="-2"/>
              </w:rPr>
            </w:pPr>
            <w:r w:rsidRPr="006A4431">
              <w:rPr>
                <w:rStyle w:val="InstructionsTabelleberschrift"/>
                <w:rFonts w:ascii="Times New Roman" w:hAnsi="Times New Roman"/>
                <w:spacing w:val="-2"/>
                <w:sz w:val="24"/>
              </w:rPr>
              <w:t>12.2.2.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37DDB41F" w14:textId="1A1FA9B8"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45 CRR.</w:t>
            </w:r>
          </w:p>
          <w:p w14:paraId="4F53DE74" w14:textId="5DB5766A" w:rsidR="00235D9D" w:rsidRPr="006A4431" w:rsidRDefault="0014657C">
            <w:pPr>
              <w:pStyle w:val="InstructionsText"/>
              <w:rPr>
                <w:spacing w:val="-2"/>
              </w:rPr>
            </w:pPr>
            <w:r w:rsidRPr="006A4431">
              <w:rPr>
                <w:spacing w:val="-2"/>
              </w:rPr>
              <w:t>Článok 45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55B417E0" w14:textId="77777777" w:rsidTr="00672D2A">
        <w:tc>
          <w:tcPr>
            <w:tcW w:w="1506" w:type="dxa"/>
          </w:tcPr>
          <w:p w14:paraId="4AB46911" w14:textId="77777777" w:rsidR="00235D9D" w:rsidRPr="006A4431" w:rsidRDefault="002648B0">
            <w:pPr>
              <w:pStyle w:val="InstructionsText"/>
              <w:rPr>
                <w:spacing w:val="-2"/>
              </w:rPr>
            </w:pPr>
            <w:r w:rsidRPr="006A4431">
              <w:rPr>
                <w:spacing w:val="-2"/>
              </w:rPr>
              <w:t>291</w:t>
            </w:r>
          </w:p>
        </w:tc>
        <w:tc>
          <w:tcPr>
            <w:tcW w:w="7243" w:type="dxa"/>
            <w:vAlign w:val="center"/>
          </w:tcPr>
          <w:p w14:paraId="062F8E8A" w14:textId="4DCADCD9" w:rsidR="00235D9D" w:rsidRPr="006A4431" w:rsidRDefault="002648B0">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spacing w:val="-2"/>
                <w:sz w:val="24"/>
              </w:rPr>
              <w:t>12.3.1.</w:t>
            </w:r>
            <w:r w:rsidRPr="006A4431">
              <w:rPr>
                <w:rStyle w:val="InstructionsTabelleberschrift"/>
                <w:rFonts w:ascii="Times New Roman" w:hAnsi="Times New Roman"/>
                <w:spacing w:val="-2"/>
                <w:sz w:val="24"/>
              </w:rPr>
              <w:tab/>
              <w:t>Syntetické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697C040B" w14:textId="1D98F7E0" w:rsidR="00235D9D" w:rsidRPr="006A4431" w:rsidRDefault="00214FDA">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 ods. 1 bod 126</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články 44</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45 CRR.</w:t>
            </w:r>
          </w:p>
        </w:tc>
      </w:tr>
      <w:tr w:rsidR="00235D9D" w:rsidRPr="006A4431" w14:paraId="6953E2A3" w14:textId="77777777" w:rsidTr="00672D2A">
        <w:tc>
          <w:tcPr>
            <w:tcW w:w="1506" w:type="dxa"/>
          </w:tcPr>
          <w:p w14:paraId="7904CC35" w14:textId="77777777" w:rsidR="00235D9D" w:rsidRPr="006A4431" w:rsidRDefault="002648B0">
            <w:pPr>
              <w:pStyle w:val="InstructionsText"/>
              <w:rPr>
                <w:spacing w:val="-2"/>
              </w:rPr>
            </w:pPr>
            <w:r w:rsidRPr="006A4431">
              <w:rPr>
                <w:spacing w:val="-2"/>
              </w:rPr>
              <w:t>292</w:t>
            </w:r>
          </w:p>
        </w:tc>
        <w:tc>
          <w:tcPr>
            <w:tcW w:w="7243" w:type="dxa"/>
            <w:vAlign w:val="center"/>
          </w:tcPr>
          <w:p w14:paraId="481AF34E" w14:textId="354DE2E1" w:rsidR="00235D9D" w:rsidRPr="006A4431" w:rsidRDefault="002648B0">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spacing w:val="-2"/>
                <w:sz w:val="24"/>
              </w:rPr>
              <w:t>12.3.2.</w:t>
            </w:r>
            <w:r w:rsidRPr="006A4431">
              <w:rPr>
                <w:rStyle w:val="InstructionsTabelleberschrift"/>
                <w:rFonts w:ascii="Times New Roman" w:hAnsi="Times New Roman"/>
                <w:spacing w:val="-2"/>
                <w:sz w:val="24"/>
              </w:rPr>
              <w:tab/>
              <w:t>Brutto syntetické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4CF4E076" w14:textId="66647777" w:rsidR="00235D9D" w:rsidRPr="006A4431" w:rsidRDefault="00214FDA">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 ods. 1 bod 126</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články 44</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45 CRR.</w:t>
            </w:r>
          </w:p>
        </w:tc>
      </w:tr>
      <w:tr w:rsidR="00235D9D" w:rsidRPr="006A4431" w14:paraId="30B1F894" w14:textId="77777777" w:rsidTr="00672D2A">
        <w:tc>
          <w:tcPr>
            <w:tcW w:w="1506" w:type="dxa"/>
          </w:tcPr>
          <w:p w14:paraId="522A63E6" w14:textId="77777777" w:rsidR="00235D9D" w:rsidRPr="006A4431" w:rsidRDefault="002648B0">
            <w:pPr>
              <w:pStyle w:val="InstructionsText"/>
              <w:rPr>
                <w:spacing w:val="-2"/>
              </w:rPr>
            </w:pPr>
            <w:r w:rsidRPr="006A4431">
              <w:rPr>
                <w:spacing w:val="-2"/>
              </w:rPr>
              <w:t>293</w:t>
            </w:r>
          </w:p>
        </w:tc>
        <w:tc>
          <w:tcPr>
            <w:tcW w:w="7243" w:type="dxa"/>
            <w:vAlign w:val="center"/>
          </w:tcPr>
          <w:p w14:paraId="3F4762D8" w14:textId="5A9A3533"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12.3.3.</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30A7CEB6" w14:textId="5F6F693E" w:rsidR="00235D9D" w:rsidRPr="006A4431" w:rsidRDefault="00214FDA">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 ods. 1 bod 126</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45 CRR.</w:t>
            </w:r>
          </w:p>
        </w:tc>
      </w:tr>
      <w:tr w:rsidR="00235D9D" w:rsidRPr="006A4431" w14:paraId="14B120A3" w14:textId="77777777" w:rsidTr="00672D2A">
        <w:tc>
          <w:tcPr>
            <w:tcW w:w="1506" w:type="dxa"/>
          </w:tcPr>
          <w:p w14:paraId="369A2526" w14:textId="77777777" w:rsidR="00235D9D" w:rsidRPr="006A4431" w:rsidRDefault="002648B0">
            <w:pPr>
              <w:pStyle w:val="InstructionsText"/>
              <w:rPr>
                <w:spacing w:val="-2"/>
              </w:rPr>
            </w:pPr>
            <w:r w:rsidRPr="006A4431">
              <w:rPr>
                <w:spacing w:val="-2"/>
              </w:rPr>
              <w:t>300</w:t>
            </w:r>
          </w:p>
        </w:tc>
        <w:tc>
          <w:tcPr>
            <w:tcW w:w="7243" w:type="dxa"/>
          </w:tcPr>
          <w:p w14:paraId="52900569" w14:textId="02DA11CF"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po odpočítaní krátkych pozícií</w:t>
            </w:r>
          </w:p>
          <w:p w14:paraId="7A2C687B" w14:textId="410F0B5F" w:rsidR="00235D9D" w:rsidRPr="006A4431" w:rsidRDefault="002648B0">
            <w:pPr>
              <w:pStyle w:val="InstructionsText"/>
              <w:rPr>
                <w:spacing w:val="-2"/>
              </w:rPr>
            </w:pPr>
            <w:r w:rsidRPr="006A4431">
              <w:rPr>
                <w:spacing w:val="-2"/>
              </w:rPr>
              <w:t>Články 58, 59</w:t>
            </w:r>
            <w:r w:rsidR="00D85C65" w:rsidRPr="006A4431">
              <w:rPr>
                <w:spacing w:val="-2"/>
              </w:rPr>
              <w:t xml:space="preserve"> a </w:t>
            </w:r>
            <w:r w:rsidRPr="006A4431">
              <w:rPr>
                <w:spacing w:val="-2"/>
              </w:rPr>
              <w:t>60 CRR.</w:t>
            </w:r>
          </w:p>
        </w:tc>
      </w:tr>
      <w:tr w:rsidR="00235D9D" w:rsidRPr="006A4431" w14:paraId="3DF636D6" w14:textId="77777777" w:rsidTr="00672D2A">
        <w:tc>
          <w:tcPr>
            <w:tcW w:w="1506" w:type="dxa"/>
          </w:tcPr>
          <w:p w14:paraId="6A3DBAB2" w14:textId="77777777" w:rsidR="00235D9D" w:rsidRPr="006A4431" w:rsidRDefault="002648B0">
            <w:pPr>
              <w:pStyle w:val="InstructionsText"/>
              <w:rPr>
                <w:spacing w:val="-2"/>
              </w:rPr>
            </w:pPr>
            <w:r w:rsidRPr="006A4431">
              <w:rPr>
                <w:spacing w:val="-2"/>
              </w:rPr>
              <w:t>310</w:t>
            </w:r>
          </w:p>
        </w:tc>
        <w:tc>
          <w:tcPr>
            <w:tcW w:w="7243" w:type="dxa"/>
          </w:tcPr>
          <w:p w14:paraId="5D302251" w14:textId="60E67D7D" w:rsidR="00235D9D" w:rsidRPr="006A4431" w:rsidRDefault="002648B0">
            <w:pPr>
              <w:pStyle w:val="InstructionsText"/>
              <w:rPr>
                <w:spacing w:val="-2"/>
              </w:rPr>
            </w:pPr>
            <w:r w:rsidRPr="006A4431">
              <w:rPr>
                <w:rStyle w:val="InstructionsTabelleberschrift"/>
                <w:rFonts w:ascii="Times New Roman" w:hAnsi="Times New Roman"/>
                <w:spacing w:val="-2"/>
                <w:sz w:val="24"/>
              </w:rPr>
              <w:t>13.1.</w:t>
            </w:r>
            <w:r w:rsidRPr="006A4431">
              <w:rPr>
                <w:rStyle w:val="InstructionsTabelleberschrift"/>
                <w:rFonts w:ascii="Times New Roman" w:hAnsi="Times New Roman"/>
                <w:spacing w:val="-2"/>
                <w:sz w:val="24"/>
              </w:rPr>
              <w:tab/>
              <w:t>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1AA16D99" w14:textId="5E8B6AB6" w:rsidR="00235D9D" w:rsidRPr="006A4431" w:rsidRDefault="002648B0">
            <w:pPr>
              <w:pStyle w:val="InstructionsText"/>
              <w:rPr>
                <w:spacing w:val="-2"/>
              </w:rPr>
            </w:pPr>
            <w:r w:rsidRPr="006A4431">
              <w:rPr>
                <w:spacing w:val="-2"/>
              </w:rPr>
              <w:t>Články 58, 59</w:t>
            </w:r>
            <w:r w:rsidR="00D85C65" w:rsidRPr="006A4431">
              <w:rPr>
                <w:spacing w:val="-2"/>
              </w:rPr>
              <w:t xml:space="preserve"> a </w:t>
            </w:r>
            <w:r w:rsidRPr="006A4431">
              <w:rPr>
                <w:spacing w:val="-2"/>
              </w:rPr>
              <w:t>článok 60 ods. 2 CRR.</w:t>
            </w:r>
          </w:p>
        </w:tc>
      </w:tr>
      <w:tr w:rsidR="00235D9D" w:rsidRPr="006A4431" w14:paraId="3DEB85F1" w14:textId="77777777" w:rsidTr="00672D2A">
        <w:tc>
          <w:tcPr>
            <w:tcW w:w="1506" w:type="dxa"/>
          </w:tcPr>
          <w:p w14:paraId="29A288AF" w14:textId="77777777" w:rsidR="00235D9D" w:rsidRPr="006A4431" w:rsidRDefault="002648B0">
            <w:pPr>
              <w:pStyle w:val="InstructionsText"/>
              <w:rPr>
                <w:spacing w:val="-2"/>
              </w:rPr>
            </w:pPr>
            <w:r w:rsidRPr="006A4431">
              <w:rPr>
                <w:spacing w:val="-2"/>
              </w:rPr>
              <w:t>320</w:t>
            </w:r>
          </w:p>
        </w:tc>
        <w:tc>
          <w:tcPr>
            <w:tcW w:w="7243" w:type="dxa"/>
          </w:tcPr>
          <w:p w14:paraId="5B626C5A" w14:textId="2905545F" w:rsidR="00235D9D" w:rsidRPr="006A4431" w:rsidRDefault="002648B0">
            <w:pPr>
              <w:pStyle w:val="InstructionsText"/>
              <w:rPr>
                <w:spacing w:val="-2"/>
              </w:rPr>
            </w:pPr>
            <w:r w:rsidRPr="006A4431">
              <w:rPr>
                <w:rStyle w:val="InstructionsTabelleberschrift"/>
                <w:rFonts w:ascii="Times New Roman" w:hAnsi="Times New Roman"/>
                <w:spacing w:val="-2"/>
                <w:sz w:val="24"/>
              </w:rPr>
              <w:t>13.1.1.</w:t>
            </w:r>
            <w:r w:rsidRPr="006A4431">
              <w:rPr>
                <w:rStyle w:val="InstructionsTabelleberschrift"/>
                <w:rFonts w:ascii="Times New Roman" w:hAnsi="Times New Roman"/>
                <w:spacing w:val="-2"/>
                <w:sz w:val="24"/>
              </w:rPr>
              <w:tab/>
              <w:t>Brutto 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69E39D2C" w14:textId="2CCEFD66" w:rsidR="00235D9D" w:rsidRPr="006A4431" w:rsidRDefault="002648B0">
            <w:pPr>
              <w:pStyle w:val="InstructionsText"/>
              <w:rPr>
                <w:spacing w:val="-2"/>
              </w:rPr>
            </w:pPr>
            <w:r w:rsidRPr="006A4431">
              <w:rPr>
                <w:spacing w:val="-2"/>
              </w:rPr>
              <w:t>Článok 58</w:t>
            </w:r>
            <w:r w:rsidR="00D85C65" w:rsidRPr="006A4431">
              <w:rPr>
                <w:spacing w:val="-2"/>
              </w:rPr>
              <w:t xml:space="preserve"> a </w:t>
            </w:r>
            <w:r w:rsidRPr="006A4431">
              <w:rPr>
                <w:spacing w:val="-2"/>
              </w:rPr>
              <w:t>článok 60 ods. 2 CRR.</w:t>
            </w:r>
          </w:p>
          <w:p w14:paraId="5C119113" w14:textId="77777777" w:rsidR="00235D9D" w:rsidRPr="006A4431" w:rsidRDefault="002648B0">
            <w:pPr>
              <w:pStyle w:val="InstructionsText"/>
              <w:rPr>
                <w:spacing w:val="-2"/>
              </w:rPr>
            </w:pPr>
            <w:r w:rsidRPr="006A4431">
              <w:rPr>
                <w:spacing w:val="-2"/>
              </w:rPr>
              <w:t>Priame podiely kapitálu AT1 subjektov finančného sektora, keď inštitúcia nemá významnú investíciu, bez:</w:t>
            </w:r>
          </w:p>
          <w:p w14:paraId="6D2E186E" w14:textId="77777777" w:rsidR="00D85C65" w:rsidRPr="006A4431" w:rsidRDefault="002648B0">
            <w:pPr>
              <w:pStyle w:val="InstructionsText"/>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ktoré držia päť pracovných dní alebo menej;</w:t>
            </w:r>
            <w:r w:rsidR="00D85C65" w:rsidRPr="006A4431">
              <w:rPr>
                <w:spacing w:val="-2"/>
              </w:rPr>
              <w:t xml:space="preserve"> a</w:t>
            </w:r>
          </w:p>
          <w:p w14:paraId="39599D12" w14:textId="12A8B4D5" w:rsidR="00235D9D" w:rsidRPr="006A4431" w:rsidRDefault="002648B0">
            <w:pPr>
              <w:pStyle w:val="InstructionsText"/>
              <w:rPr>
                <w:spacing w:val="-2"/>
              </w:rPr>
            </w:pPr>
            <w:r w:rsidRPr="006A4431">
              <w:rPr>
                <w:spacing w:val="-2"/>
              </w:rPr>
              <w:t>b)</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56 písm. b) CRR.</w:t>
            </w:r>
          </w:p>
        </w:tc>
      </w:tr>
      <w:tr w:rsidR="00235D9D" w:rsidRPr="006A4431" w14:paraId="18D264D3" w14:textId="77777777" w:rsidTr="00672D2A">
        <w:tc>
          <w:tcPr>
            <w:tcW w:w="1506" w:type="dxa"/>
          </w:tcPr>
          <w:p w14:paraId="0F7E568E" w14:textId="77777777" w:rsidR="00235D9D" w:rsidRPr="006A4431" w:rsidRDefault="002648B0">
            <w:pPr>
              <w:pStyle w:val="InstructionsText"/>
              <w:rPr>
                <w:spacing w:val="-2"/>
              </w:rPr>
            </w:pPr>
            <w:r w:rsidRPr="006A4431">
              <w:rPr>
                <w:spacing w:val="-2"/>
              </w:rPr>
              <w:t>330</w:t>
            </w:r>
          </w:p>
        </w:tc>
        <w:tc>
          <w:tcPr>
            <w:tcW w:w="7243" w:type="dxa"/>
          </w:tcPr>
          <w:p w14:paraId="7CCB3D8E" w14:textId="12C1239E" w:rsidR="00235D9D" w:rsidRPr="006A4431" w:rsidRDefault="002648B0">
            <w:pPr>
              <w:pStyle w:val="InstructionsText"/>
              <w:rPr>
                <w:spacing w:val="-2"/>
              </w:rPr>
            </w:pPr>
            <w:r w:rsidRPr="006A4431">
              <w:rPr>
                <w:rStyle w:val="InstructionsTabelleberschrift"/>
                <w:rFonts w:ascii="Times New Roman" w:hAnsi="Times New Roman"/>
                <w:spacing w:val="-2"/>
                <w:sz w:val="24"/>
              </w:rPr>
              <w:t>13.1.2.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1C0564BA" w14:textId="466365E5" w:rsidR="00235D9D" w:rsidRPr="006A4431" w:rsidRDefault="002648B0">
            <w:pPr>
              <w:pStyle w:val="InstructionsText"/>
              <w:rPr>
                <w:spacing w:val="-2"/>
              </w:rPr>
            </w:pPr>
            <w:r w:rsidRPr="006A4431">
              <w:rPr>
                <w:spacing w:val="-2"/>
              </w:rPr>
              <w:lastRenderedPageBreak/>
              <w:t>Článok 59 CRR.</w:t>
            </w:r>
          </w:p>
          <w:p w14:paraId="15F5FC07" w14:textId="4F2E6F5C" w:rsidR="00235D9D" w:rsidRPr="006A4431" w:rsidRDefault="0014657C">
            <w:pPr>
              <w:pStyle w:val="InstructionsText"/>
              <w:rPr>
                <w:spacing w:val="-2"/>
              </w:rPr>
            </w:pPr>
            <w:r w:rsidRPr="006A4431">
              <w:rPr>
                <w:spacing w:val="-2"/>
              </w:rPr>
              <w:t>Článok 59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0DB0D8FF" w14:textId="77777777" w:rsidTr="00672D2A">
        <w:tc>
          <w:tcPr>
            <w:tcW w:w="1506" w:type="dxa"/>
          </w:tcPr>
          <w:p w14:paraId="5A72A2AE" w14:textId="77777777" w:rsidR="00235D9D" w:rsidRPr="006A4431" w:rsidRDefault="002648B0">
            <w:pPr>
              <w:pStyle w:val="InstructionsText"/>
              <w:rPr>
                <w:spacing w:val="-2"/>
              </w:rPr>
            </w:pPr>
            <w:r w:rsidRPr="006A4431">
              <w:rPr>
                <w:spacing w:val="-2"/>
              </w:rPr>
              <w:lastRenderedPageBreak/>
              <w:t>340</w:t>
            </w:r>
          </w:p>
        </w:tc>
        <w:tc>
          <w:tcPr>
            <w:tcW w:w="7243" w:type="dxa"/>
          </w:tcPr>
          <w:p w14:paraId="7AD7D79B" w14:textId="2D91CC2D" w:rsidR="00235D9D" w:rsidRPr="006A4431" w:rsidRDefault="002648B0">
            <w:pPr>
              <w:pStyle w:val="InstructionsText"/>
              <w:rPr>
                <w:spacing w:val="-2"/>
              </w:rPr>
            </w:pPr>
            <w:r w:rsidRPr="006A4431">
              <w:rPr>
                <w:rStyle w:val="InstructionsTabelleberschrift"/>
                <w:rFonts w:ascii="Times New Roman" w:hAnsi="Times New Roman"/>
                <w:spacing w:val="-2"/>
                <w:sz w:val="24"/>
              </w:rPr>
              <w:t>13.2.</w:t>
            </w:r>
            <w:r w:rsidRPr="006A4431">
              <w:rPr>
                <w:rStyle w:val="InstructionsTabelleberschrift"/>
                <w:rFonts w:ascii="Times New Roman" w:hAnsi="Times New Roman"/>
                <w:spacing w:val="-2"/>
                <w:sz w:val="24"/>
              </w:rPr>
              <w:tab/>
              <w:t>Nepriame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457752D0" w14:textId="62A60C52"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0CF08560" w14:textId="77777777" w:rsidTr="00672D2A">
        <w:tc>
          <w:tcPr>
            <w:tcW w:w="1506" w:type="dxa"/>
          </w:tcPr>
          <w:p w14:paraId="54816389" w14:textId="77777777" w:rsidR="00235D9D" w:rsidRPr="006A4431" w:rsidRDefault="002648B0">
            <w:pPr>
              <w:pStyle w:val="InstructionsText"/>
              <w:rPr>
                <w:spacing w:val="-2"/>
              </w:rPr>
            </w:pPr>
            <w:r w:rsidRPr="006A4431">
              <w:rPr>
                <w:spacing w:val="-2"/>
              </w:rPr>
              <w:t>350</w:t>
            </w:r>
          </w:p>
        </w:tc>
        <w:tc>
          <w:tcPr>
            <w:tcW w:w="7243" w:type="dxa"/>
          </w:tcPr>
          <w:p w14:paraId="02D461C1" w14:textId="75EEE89A" w:rsidR="00235D9D" w:rsidRPr="006A4431" w:rsidRDefault="002648B0">
            <w:pPr>
              <w:pStyle w:val="InstructionsText"/>
              <w:rPr>
                <w:spacing w:val="-2"/>
              </w:rPr>
            </w:pPr>
            <w:r w:rsidRPr="006A4431">
              <w:rPr>
                <w:rStyle w:val="InstructionsTabelleberschrift"/>
                <w:rFonts w:ascii="Times New Roman" w:hAnsi="Times New Roman"/>
                <w:spacing w:val="-2"/>
                <w:sz w:val="24"/>
              </w:rPr>
              <w:t>13.2.1.</w:t>
            </w:r>
            <w:r w:rsidRPr="006A4431">
              <w:rPr>
                <w:rStyle w:val="InstructionsTabelleberschrift"/>
                <w:rFonts w:ascii="Times New Roman" w:hAnsi="Times New Roman"/>
                <w:spacing w:val="-2"/>
                <w:sz w:val="24"/>
              </w:rPr>
              <w:tab/>
              <w:t>Brutto nepriame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28B6DA91" w14:textId="0BCFF4E2"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p w14:paraId="09EBC206" w14:textId="74F72874" w:rsidR="00235D9D" w:rsidRPr="006A4431" w:rsidRDefault="002648B0">
            <w:pPr>
              <w:pStyle w:val="InstructionsText"/>
              <w:rPr>
                <w:spacing w:val="-2"/>
              </w:rPr>
            </w:pPr>
            <w:r w:rsidRPr="006A4431">
              <w:rPr>
                <w:spacing w:val="-2"/>
              </w:rPr>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347F2663" w14:textId="26B1091D"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 podľa článku 56 písm. b) CRR, sa nezapočítavajú.</w:t>
            </w:r>
          </w:p>
        </w:tc>
      </w:tr>
      <w:tr w:rsidR="00235D9D" w:rsidRPr="006A4431" w14:paraId="58329290" w14:textId="77777777" w:rsidTr="00672D2A">
        <w:tc>
          <w:tcPr>
            <w:tcW w:w="1506" w:type="dxa"/>
          </w:tcPr>
          <w:p w14:paraId="02396C73" w14:textId="77777777" w:rsidR="00235D9D" w:rsidRPr="006A4431" w:rsidRDefault="002648B0">
            <w:pPr>
              <w:pStyle w:val="InstructionsText"/>
              <w:rPr>
                <w:spacing w:val="-2"/>
              </w:rPr>
            </w:pPr>
            <w:r w:rsidRPr="006A4431">
              <w:rPr>
                <w:spacing w:val="-2"/>
              </w:rPr>
              <w:t>360</w:t>
            </w:r>
          </w:p>
        </w:tc>
        <w:tc>
          <w:tcPr>
            <w:tcW w:w="7243" w:type="dxa"/>
          </w:tcPr>
          <w:p w14:paraId="70023092" w14:textId="1BBC60F2" w:rsidR="00235D9D" w:rsidRPr="006A4431" w:rsidRDefault="002648B0">
            <w:pPr>
              <w:pStyle w:val="InstructionsText"/>
              <w:rPr>
                <w:spacing w:val="-2"/>
              </w:rPr>
            </w:pPr>
            <w:r w:rsidRPr="006A4431">
              <w:rPr>
                <w:rStyle w:val="InstructionsTabelleberschrift"/>
                <w:rFonts w:ascii="Times New Roman" w:hAnsi="Times New Roman"/>
                <w:spacing w:val="-2"/>
                <w:sz w:val="24"/>
              </w:rPr>
              <w:t>13.2.2.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1F0E451C" w14:textId="3DF880B2"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59 CRR.</w:t>
            </w:r>
          </w:p>
          <w:p w14:paraId="017DF527" w14:textId="3CE92B63" w:rsidR="00235D9D" w:rsidRPr="006A4431" w:rsidRDefault="0014657C">
            <w:pPr>
              <w:pStyle w:val="InstructionsText"/>
              <w:rPr>
                <w:spacing w:val="-2"/>
              </w:rPr>
            </w:pPr>
            <w:r w:rsidRPr="006A4431">
              <w:rPr>
                <w:spacing w:val="-2"/>
              </w:rPr>
              <w:t>Článok 59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4B0743D4" w14:textId="77777777" w:rsidTr="00672D2A">
        <w:tc>
          <w:tcPr>
            <w:tcW w:w="1506" w:type="dxa"/>
          </w:tcPr>
          <w:p w14:paraId="272D7D66" w14:textId="77777777" w:rsidR="00235D9D" w:rsidRPr="006A4431" w:rsidRDefault="002648B0">
            <w:pPr>
              <w:pStyle w:val="InstructionsText"/>
              <w:rPr>
                <w:spacing w:val="-2"/>
              </w:rPr>
            </w:pPr>
            <w:r w:rsidRPr="006A4431">
              <w:rPr>
                <w:spacing w:val="-2"/>
              </w:rPr>
              <w:t>361</w:t>
            </w:r>
          </w:p>
        </w:tc>
        <w:tc>
          <w:tcPr>
            <w:tcW w:w="7243" w:type="dxa"/>
            <w:vAlign w:val="center"/>
          </w:tcPr>
          <w:p w14:paraId="17308441" w14:textId="19824EFD" w:rsidR="00235D9D" w:rsidRPr="006A4431" w:rsidRDefault="002648B0">
            <w:pPr>
              <w:pStyle w:val="InstructionsText"/>
              <w:rPr>
                <w:spacing w:val="-2"/>
              </w:rPr>
            </w:pPr>
            <w:r w:rsidRPr="006A4431">
              <w:rPr>
                <w:rStyle w:val="InstructionsTabelleberschrift"/>
                <w:rFonts w:ascii="Times New Roman" w:hAnsi="Times New Roman"/>
                <w:spacing w:val="-2"/>
                <w:sz w:val="24"/>
              </w:rPr>
              <w:t>13.3.</w:t>
            </w:r>
            <w:r w:rsidRPr="006A4431">
              <w:rPr>
                <w:rStyle w:val="InstructionsTabelleberschrift"/>
                <w:rFonts w:ascii="Times New Roman" w:hAnsi="Times New Roman"/>
                <w:spacing w:val="-2"/>
                <w:sz w:val="24"/>
              </w:rPr>
              <w:tab/>
              <w:t>Syntetické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3B4E6F0E" w14:textId="11BBC4D3"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00F211BB" w14:textId="77777777" w:rsidTr="00672D2A">
        <w:tc>
          <w:tcPr>
            <w:tcW w:w="1506" w:type="dxa"/>
          </w:tcPr>
          <w:p w14:paraId="70C1EA63" w14:textId="77777777" w:rsidR="00235D9D" w:rsidRPr="006A4431" w:rsidRDefault="002648B0">
            <w:pPr>
              <w:pStyle w:val="InstructionsText"/>
              <w:rPr>
                <w:spacing w:val="-2"/>
              </w:rPr>
            </w:pPr>
            <w:r w:rsidRPr="006A4431">
              <w:rPr>
                <w:spacing w:val="-2"/>
              </w:rPr>
              <w:t>362</w:t>
            </w:r>
          </w:p>
        </w:tc>
        <w:tc>
          <w:tcPr>
            <w:tcW w:w="7243" w:type="dxa"/>
            <w:vAlign w:val="center"/>
          </w:tcPr>
          <w:p w14:paraId="5A49D804" w14:textId="7035A628" w:rsidR="00235D9D" w:rsidRPr="006A4431" w:rsidRDefault="002648B0">
            <w:pPr>
              <w:pStyle w:val="InstructionsText"/>
              <w:rPr>
                <w:spacing w:val="-2"/>
              </w:rPr>
            </w:pPr>
            <w:r w:rsidRPr="006A4431">
              <w:rPr>
                <w:rStyle w:val="InstructionsTabelleberschrift"/>
                <w:rFonts w:ascii="Times New Roman" w:hAnsi="Times New Roman"/>
                <w:spacing w:val="-2"/>
                <w:sz w:val="24"/>
              </w:rPr>
              <w:t>13.3.1.</w:t>
            </w:r>
            <w:r w:rsidRPr="006A4431">
              <w:rPr>
                <w:rStyle w:val="InstructionsTabelleberschrift"/>
                <w:rFonts w:ascii="Times New Roman" w:hAnsi="Times New Roman"/>
                <w:spacing w:val="-2"/>
                <w:sz w:val="24"/>
              </w:rPr>
              <w:tab/>
              <w:t>Brutto syntetické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5DF0FBA0" w14:textId="573C0B0E"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62F7A341" w14:textId="77777777" w:rsidTr="00672D2A">
        <w:tc>
          <w:tcPr>
            <w:tcW w:w="1506" w:type="dxa"/>
          </w:tcPr>
          <w:p w14:paraId="619ED5EC" w14:textId="77777777" w:rsidR="00235D9D" w:rsidRPr="006A4431" w:rsidRDefault="002648B0">
            <w:pPr>
              <w:pStyle w:val="InstructionsText"/>
              <w:rPr>
                <w:spacing w:val="-2"/>
              </w:rPr>
            </w:pPr>
            <w:r w:rsidRPr="006A4431">
              <w:rPr>
                <w:spacing w:val="-2"/>
              </w:rPr>
              <w:t>363</w:t>
            </w:r>
          </w:p>
        </w:tc>
        <w:tc>
          <w:tcPr>
            <w:tcW w:w="7243" w:type="dxa"/>
            <w:vAlign w:val="center"/>
          </w:tcPr>
          <w:p w14:paraId="2581B845" w14:textId="4ECA6426" w:rsidR="00235D9D" w:rsidRPr="006A4431" w:rsidRDefault="002648B0">
            <w:pPr>
              <w:pStyle w:val="InstructionsText"/>
              <w:rPr>
                <w:spacing w:val="-2"/>
              </w:rPr>
            </w:pPr>
            <w:r w:rsidRPr="006A4431">
              <w:rPr>
                <w:rStyle w:val="InstructionsTabelleberschrift"/>
                <w:rFonts w:ascii="Times New Roman" w:hAnsi="Times New Roman"/>
                <w:spacing w:val="-2"/>
                <w:sz w:val="24"/>
              </w:rPr>
              <w:t>13.3.2.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7C8705D4" w14:textId="3026D340"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článok 59 CRR.</w:t>
            </w:r>
          </w:p>
        </w:tc>
      </w:tr>
      <w:tr w:rsidR="00235D9D" w:rsidRPr="006A4431" w14:paraId="31852CE7" w14:textId="77777777" w:rsidTr="00672D2A">
        <w:tc>
          <w:tcPr>
            <w:tcW w:w="1506" w:type="dxa"/>
          </w:tcPr>
          <w:p w14:paraId="513EDD96" w14:textId="77777777" w:rsidR="00235D9D" w:rsidRPr="006A4431" w:rsidRDefault="002648B0">
            <w:pPr>
              <w:pStyle w:val="InstructionsText"/>
              <w:rPr>
                <w:spacing w:val="-2"/>
              </w:rPr>
            </w:pPr>
            <w:r w:rsidRPr="006A4431">
              <w:rPr>
                <w:spacing w:val="-2"/>
              </w:rPr>
              <w:t>370</w:t>
            </w:r>
          </w:p>
        </w:tc>
        <w:tc>
          <w:tcPr>
            <w:tcW w:w="7243" w:type="dxa"/>
          </w:tcPr>
          <w:p w14:paraId="73C7AFB0" w14:textId="17C49D28" w:rsidR="00235D9D" w:rsidRPr="006A4431" w:rsidRDefault="00C66473">
            <w:pPr>
              <w:pStyle w:val="InstructionsText"/>
              <w:rPr>
                <w:spacing w:val="-2"/>
              </w:rPr>
            </w:pPr>
            <w:r w:rsidRPr="006A4431">
              <w:rPr>
                <w:rStyle w:val="InstructionsTabelleberschrift"/>
                <w:rFonts w:ascii="Times New Roman" w:hAnsi="Times New Roman"/>
                <w:spacing w:val="-2"/>
                <w:sz w:val="24"/>
              </w:rPr>
              <w:t>14.</w:t>
            </w:r>
            <w:r w:rsidRPr="006A4431">
              <w:rPr>
                <w:rStyle w:val="InstructionsTabelleberschrift"/>
                <w:rFonts w:ascii="Times New Roman" w:hAnsi="Times New Roman"/>
                <w:spacing w:val="-2"/>
                <w:sz w:val="24"/>
              </w:rPr>
              <w:tab/>
              <w:t>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po odpočítaní krátkych pozícií</w:t>
            </w:r>
          </w:p>
          <w:p w14:paraId="4EABD7DE" w14:textId="2CCFB590" w:rsidR="00235D9D" w:rsidRPr="006A4431" w:rsidRDefault="002648B0">
            <w:pPr>
              <w:pStyle w:val="InstructionsText"/>
              <w:rPr>
                <w:spacing w:val="-2"/>
              </w:rPr>
            </w:pPr>
            <w:r w:rsidRPr="006A4431">
              <w:rPr>
                <w:spacing w:val="-2"/>
              </w:rPr>
              <w:t>Články 68, 69</w:t>
            </w:r>
            <w:r w:rsidR="00D85C65" w:rsidRPr="006A4431">
              <w:rPr>
                <w:spacing w:val="-2"/>
              </w:rPr>
              <w:t xml:space="preserve"> a </w:t>
            </w:r>
            <w:r w:rsidRPr="006A4431">
              <w:rPr>
                <w:spacing w:val="-2"/>
              </w:rPr>
              <w:t>70 CRR.</w:t>
            </w:r>
          </w:p>
        </w:tc>
      </w:tr>
      <w:tr w:rsidR="00235D9D" w:rsidRPr="006A4431" w14:paraId="74CC32C1" w14:textId="77777777" w:rsidTr="00672D2A">
        <w:tc>
          <w:tcPr>
            <w:tcW w:w="1506" w:type="dxa"/>
          </w:tcPr>
          <w:p w14:paraId="5D1857CF" w14:textId="77777777" w:rsidR="00235D9D" w:rsidRPr="006A4431" w:rsidRDefault="002648B0">
            <w:pPr>
              <w:pStyle w:val="InstructionsText"/>
              <w:rPr>
                <w:spacing w:val="-2"/>
              </w:rPr>
            </w:pPr>
            <w:r w:rsidRPr="006A4431">
              <w:rPr>
                <w:spacing w:val="-2"/>
              </w:rPr>
              <w:t>380</w:t>
            </w:r>
          </w:p>
        </w:tc>
        <w:tc>
          <w:tcPr>
            <w:tcW w:w="7243" w:type="dxa"/>
          </w:tcPr>
          <w:p w14:paraId="09ED7B64" w14:textId="2E57CD33" w:rsidR="00235D9D" w:rsidRPr="006A4431" w:rsidRDefault="002648B0">
            <w:pPr>
              <w:pStyle w:val="InstructionsText"/>
              <w:rPr>
                <w:spacing w:val="-2"/>
              </w:rPr>
            </w:pPr>
            <w:r w:rsidRPr="006A4431">
              <w:rPr>
                <w:rStyle w:val="InstructionsTabelleberschrift"/>
                <w:rFonts w:ascii="Times New Roman" w:hAnsi="Times New Roman"/>
                <w:spacing w:val="-2"/>
                <w:sz w:val="24"/>
              </w:rPr>
              <w:t>14.1.</w:t>
            </w:r>
            <w:r w:rsidRPr="006A4431">
              <w:rPr>
                <w:rStyle w:val="InstructionsTabelleberschrift"/>
                <w:rFonts w:ascii="Times New Roman" w:hAnsi="Times New Roman"/>
                <w:spacing w:val="-2"/>
                <w:sz w:val="24"/>
              </w:rPr>
              <w:tab/>
              <w:t>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76A360F9" w14:textId="2305379F" w:rsidR="00235D9D" w:rsidRPr="006A4431" w:rsidRDefault="002648B0">
            <w:pPr>
              <w:pStyle w:val="InstructionsText"/>
              <w:rPr>
                <w:spacing w:val="-2"/>
              </w:rPr>
            </w:pPr>
            <w:r w:rsidRPr="006A4431">
              <w:rPr>
                <w:spacing w:val="-2"/>
              </w:rPr>
              <w:t>Články 68</w:t>
            </w:r>
            <w:r w:rsidR="00D85C65" w:rsidRPr="006A4431">
              <w:rPr>
                <w:spacing w:val="-2"/>
              </w:rPr>
              <w:t xml:space="preserve"> a </w:t>
            </w:r>
            <w:r w:rsidRPr="006A4431">
              <w:rPr>
                <w:spacing w:val="-2"/>
              </w:rPr>
              <w:t>69 CRR</w:t>
            </w:r>
            <w:r w:rsidR="00D85C65" w:rsidRPr="006A4431">
              <w:rPr>
                <w:spacing w:val="-2"/>
              </w:rPr>
              <w:t xml:space="preserve"> a </w:t>
            </w:r>
            <w:r w:rsidRPr="006A4431">
              <w:rPr>
                <w:spacing w:val="-2"/>
              </w:rPr>
              <w:t>článok 70 ods. 2 CRR.</w:t>
            </w:r>
          </w:p>
        </w:tc>
      </w:tr>
      <w:tr w:rsidR="00235D9D" w:rsidRPr="006A4431" w14:paraId="45454979" w14:textId="77777777" w:rsidTr="00672D2A">
        <w:tc>
          <w:tcPr>
            <w:tcW w:w="1506" w:type="dxa"/>
          </w:tcPr>
          <w:p w14:paraId="58C41185" w14:textId="77777777" w:rsidR="00235D9D" w:rsidRPr="006A4431" w:rsidRDefault="002648B0">
            <w:pPr>
              <w:pStyle w:val="InstructionsText"/>
              <w:rPr>
                <w:spacing w:val="-2"/>
              </w:rPr>
            </w:pPr>
            <w:r w:rsidRPr="006A4431">
              <w:rPr>
                <w:spacing w:val="-2"/>
              </w:rPr>
              <w:lastRenderedPageBreak/>
              <w:t>390</w:t>
            </w:r>
          </w:p>
        </w:tc>
        <w:tc>
          <w:tcPr>
            <w:tcW w:w="7243" w:type="dxa"/>
          </w:tcPr>
          <w:p w14:paraId="74E0FB72" w14:textId="202E5500" w:rsidR="00235D9D" w:rsidRPr="006A4431" w:rsidRDefault="002648B0">
            <w:pPr>
              <w:pStyle w:val="InstructionsText"/>
              <w:rPr>
                <w:spacing w:val="-2"/>
              </w:rPr>
            </w:pPr>
            <w:r w:rsidRPr="006A4431">
              <w:rPr>
                <w:rStyle w:val="InstructionsTabelleberschrift"/>
                <w:rFonts w:ascii="Times New Roman" w:hAnsi="Times New Roman"/>
                <w:spacing w:val="-2"/>
                <w:sz w:val="24"/>
              </w:rPr>
              <w:t>14.1.1.</w:t>
            </w:r>
            <w:r w:rsidRPr="006A4431">
              <w:rPr>
                <w:rStyle w:val="InstructionsTabelleberschrift"/>
                <w:rFonts w:ascii="Times New Roman" w:hAnsi="Times New Roman"/>
                <w:spacing w:val="-2"/>
                <w:sz w:val="24"/>
              </w:rPr>
              <w:tab/>
              <w:t>Brutto 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761B4656" w14:textId="48B00673" w:rsidR="00235D9D" w:rsidRPr="006A4431" w:rsidRDefault="002648B0">
            <w:pPr>
              <w:pStyle w:val="InstructionsText"/>
              <w:rPr>
                <w:spacing w:val="-2"/>
              </w:rPr>
            </w:pPr>
            <w:r w:rsidRPr="006A4431">
              <w:rPr>
                <w:spacing w:val="-2"/>
              </w:rPr>
              <w:t>Článok 68</w:t>
            </w:r>
            <w:r w:rsidR="00D85C65" w:rsidRPr="006A4431">
              <w:rPr>
                <w:spacing w:val="-2"/>
              </w:rPr>
              <w:t xml:space="preserve"> a </w:t>
            </w:r>
            <w:r w:rsidRPr="006A4431">
              <w:rPr>
                <w:spacing w:val="-2"/>
              </w:rPr>
              <w:t>článok 70 ods. 2 CRR.</w:t>
            </w:r>
          </w:p>
          <w:p w14:paraId="0F665040" w14:textId="77777777" w:rsidR="00235D9D" w:rsidRPr="006A4431" w:rsidRDefault="002648B0">
            <w:pPr>
              <w:pStyle w:val="InstructionsText"/>
              <w:rPr>
                <w:spacing w:val="-2"/>
              </w:rPr>
            </w:pPr>
            <w:r w:rsidRPr="006A4431">
              <w:rPr>
                <w:spacing w:val="-2"/>
              </w:rPr>
              <w:t>Priame podiely kapitálu T2 subjektov finančného sektora, keď inštitúcia nemá významnú investíciu, bez:</w:t>
            </w:r>
          </w:p>
          <w:p w14:paraId="7EAC9A7B" w14:textId="77777777" w:rsidR="00D85C65" w:rsidRPr="006A4431" w:rsidRDefault="002648B0">
            <w:pPr>
              <w:pStyle w:val="InstructionsText"/>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ktoré držia päť pracovných dní alebo menej;</w:t>
            </w:r>
            <w:r w:rsidR="00D85C65" w:rsidRPr="006A4431">
              <w:rPr>
                <w:spacing w:val="-2"/>
              </w:rPr>
              <w:t xml:space="preserve"> a</w:t>
            </w:r>
          </w:p>
          <w:p w14:paraId="10F5EB01" w14:textId="1C6C37FD" w:rsidR="00235D9D" w:rsidRPr="006A4431" w:rsidRDefault="002648B0">
            <w:pPr>
              <w:pStyle w:val="InstructionsText"/>
              <w:rPr>
                <w:spacing w:val="-2"/>
              </w:rPr>
            </w:pPr>
            <w:r w:rsidRPr="006A4431">
              <w:rPr>
                <w:spacing w:val="-2"/>
              </w:rPr>
              <w:t>b)</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66 písm. b) CRR.</w:t>
            </w:r>
          </w:p>
        </w:tc>
      </w:tr>
      <w:tr w:rsidR="00235D9D" w:rsidRPr="006A4431" w14:paraId="55FF7D47" w14:textId="77777777" w:rsidTr="00672D2A">
        <w:tc>
          <w:tcPr>
            <w:tcW w:w="1506" w:type="dxa"/>
          </w:tcPr>
          <w:p w14:paraId="0E208512" w14:textId="77777777" w:rsidR="00235D9D" w:rsidRPr="006A4431" w:rsidRDefault="002648B0">
            <w:pPr>
              <w:pStyle w:val="InstructionsText"/>
              <w:rPr>
                <w:spacing w:val="-2"/>
              </w:rPr>
            </w:pPr>
            <w:r w:rsidRPr="006A4431">
              <w:rPr>
                <w:spacing w:val="-2"/>
              </w:rPr>
              <w:t>400</w:t>
            </w:r>
          </w:p>
        </w:tc>
        <w:tc>
          <w:tcPr>
            <w:tcW w:w="7243" w:type="dxa"/>
          </w:tcPr>
          <w:p w14:paraId="109DBC6A" w14:textId="67C437BC" w:rsidR="00235D9D" w:rsidRPr="006A4431" w:rsidRDefault="002648B0">
            <w:pPr>
              <w:pStyle w:val="InstructionsText"/>
              <w:rPr>
                <w:spacing w:val="-2"/>
              </w:rPr>
            </w:pPr>
            <w:r w:rsidRPr="006A4431">
              <w:rPr>
                <w:rStyle w:val="InstructionsTabelleberschrift"/>
                <w:rFonts w:ascii="Times New Roman" w:hAnsi="Times New Roman"/>
                <w:spacing w:val="-2"/>
                <w:sz w:val="24"/>
              </w:rPr>
              <w:t>14.1.2.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0E51DCD1" w14:textId="7D1680D0" w:rsidR="00235D9D" w:rsidRPr="006A4431" w:rsidRDefault="002648B0">
            <w:pPr>
              <w:pStyle w:val="InstructionsText"/>
              <w:rPr>
                <w:spacing w:val="-2"/>
              </w:rPr>
            </w:pPr>
            <w:r w:rsidRPr="006A4431">
              <w:rPr>
                <w:spacing w:val="-2"/>
              </w:rPr>
              <w:t>Článok 69 CRR.</w:t>
            </w:r>
          </w:p>
          <w:p w14:paraId="7590FB24" w14:textId="6ED7E9C3" w:rsidR="00235D9D" w:rsidRPr="006A4431" w:rsidRDefault="0014657C">
            <w:pPr>
              <w:pStyle w:val="InstructionsText"/>
              <w:rPr>
                <w:spacing w:val="-2"/>
              </w:rPr>
            </w:pPr>
            <w:r w:rsidRPr="006A4431">
              <w:rPr>
                <w:spacing w:val="-2"/>
              </w:rPr>
              <w:t>Článok 69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24C30F33" w14:textId="77777777" w:rsidTr="00672D2A">
        <w:tc>
          <w:tcPr>
            <w:tcW w:w="1506" w:type="dxa"/>
          </w:tcPr>
          <w:p w14:paraId="4575E788" w14:textId="77777777" w:rsidR="00235D9D" w:rsidRPr="006A4431" w:rsidRDefault="002648B0">
            <w:pPr>
              <w:pStyle w:val="InstructionsText"/>
              <w:rPr>
                <w:spacing w:val="-2"/>
              </w:rPr>
            </w:pPr>
            <w:r w:rsidRPr="006A4431">
              <w:rPr>
                <w:spacing w:val="-2"/>
              </w:rPr>
              <w:t>410</w:t>
            </w:r>
          </w:p>
        </w:tc>
        <w:tc>
          <w:tcPr>
            <w:tcW w:w="7243" w:type="dxa"/>
          </w:tcPr>
          <w:p w14:paraId="574024F8" w14:textId="034F1EC8" w:rsidR="00235D9D" w:rsidRPr="006A4431" w:rsidRDefault="002648B0">
            <w:pPr>
              <w:pStyle w:val="InstructionsText"/>
              <w:rPr>
                <w:spacing w:val="-2"/>
              </w:rPr>
            </w:pPr>
            <w:r w:rsidRPr="006A4431">
              <w:rPr>
                <w:rStyle w:val="InstructionsTabelleberschrift"/>
                <w:rFonts w:ascii="Times New Roman" w:hAnsi="Times New Roman"/>
                <w:spacing w:val="-2"/>
                <w:sz w:val="24"/>
              </w:rPr>
              <w:t>14.2.</w:t>
            </w:r>
            <w:r w:rsidRPr="006A4431">
              <w:rPr>
                <w:rStyle w:val="InstructionsTabelleberschrift"/>
                <w:rFonts w:ascii="Times New Roman" w:hAnsi="Times New Roman"/>
                <w:spacing w:val="-2"/>
                <w:sz w:val="24"/>
              </w:rPr>
              <w:tab/>
              <w:t>Nepriame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52D732C2" w14:textId="1C72D6E1"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3C63B77C" w14:textId="77777777" w:rsidTr="00672D2A">
        <w:tc>
          <w:tcPr>
            <w:tcW w:w="1506" w:type="dxa"/>
          </w:tcPr>
          <w:p w14:paraId="6A2ADF62" w14:textId="77777777" w:rsidR="00235D9D" w:rsidRPr="006A4431" w:rsidRDefault="002648B0">
            <w:pPr>
              <w:pStyle w:val="InstructionsText"/>
              <w:rPr>
                <w:spacing w:val="-2"/>
              </w:rPr>
            </w:pPr>
            <w:r w:rsidRPr="006A4431">
              <w:rPr>
                <w:spacing w:val="-2"/>
              </w:rPr>
              <w:t>420</w:t>
            </w:r>
          </w:p>
        </w:tc>
        <w:tc>
          <w:tcPr>
            <w:tcW w:w="7243" w:type="dxa"/>
          </w:tcPr>
          <w:p w14:paraId="09C893DD" w14:textId="338CF1F5" w:rsidR="00235D9D" w:rsidRPr="006A4431" w:rsidRDefault="002648B0">
            <w:pPr>
              <w:pStyle w:val="InstructionsText"/>
              <w:rPr>
                <w:spacing w:val="-2"/>
              </w:rPr>
            </w:pPr>
            <w:r w:rsidRPr="006A4431">
              <w:rPr>
                <w:rStyle w:val="InstructionsTabelleberschrift"/>
                <w:rFonts w:ascii="Times New Roman" w:hAnsi="Times New Roman"/>
                <w:spacing w:val="-2"/>
                <w:sz w:val="24"/>
              </w:rPr>
              <w:t>14.2.1.</w:t>
            </w:r>
            <w:r w:rsidRPr="006A4431">
              <w:rPr>
                <w:rStyle w:val="InstructionsTabelleberschrift"/>
                <w:rFonts w:ascii="Times New Roman" w:hAnsi="Times New Roman"/>
                <w:spacing w:val="-2"/>
                <w:sz w:val="24"/>
              </w:rPr>
              <w:tab/>
              <w:t>Brutto nepriame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6EDD2FEB" w14:textId="5B76B9EE"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p w14:paraId="368431C6" w14:textId="2764933C" w:rsidR="00235D9D" w:rsidRPr="006A4431" w:rsidRDefault="002648B0">
            <w:pPr>
              <w:pStyle w:val="InstructionsText"/>
              <w:rPr>
                <w:spacing w:val="-2"/>
              </w:rPr>
            </w:pPr>
            <w:r w:rsidRPr="006A4431">
              <w:rPr>
                <w:spacing w:val="-2"/>
              </w:rPr>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087645E2" w14:textId="20912333"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 podľa článku 66 písm. b) CRR, sa nezapočítavajú.</w:t>
            </w:r>
          </w:p>
        </w:tc>
      </w:tr>
      <w:tr w:rsidR="00235D9D" w:rsidRPr="006A4431" w14:paraId="6D0912EA" w14:textId="77777777" w:rsidTr="00672D2A">
        <w:tc>
          <w:tcPr>
            <w:tcW w:w="1506" w:type="dxa"/>
          </w:tcPr>
          <w:p w14:paraId="5882D55B" w14:textId="77777777" w:rsidR="00235D9D" w:rsidRPr="006A4431" w:rsidRDefault="002648B0">
            <w:pPr>
              <w:pStyle w:val="InstructionsText"/>
              <w:rPr>
                <w:spacing w:val="-2"/>
              </w:rPr>
            </w:pPr>
            <w:r w:rsidRPr="006A4431">
              <w:rPr>
                <w:spacing w:val="-2"/>
              </w:rPr>
              <w:t>430</w:t>
            </w:r>
          </w:p>
        </w:tc>
        <w:tc>
          <w:tcPr>
            <w:tcW w:w="7243" w:type="dxa"/>
          </w:tcPr>
          <w:p w14:paraId="2E3FDE93" w14:textId="0A40931E" w:rsidR="00235D9D" w:rsidRPr="006A4431" w:rsidRDefault="002648B0">
            <w:pPr>
              <w:pStyle w:val="InstructionsText"/>
              <w:rPr>
                <w:spacing w:val="-2"/>
              </w:rPr>
            </w:pPr>
            <w:r w:rsidRPr="006A4431">
              <w:rPr>
                <w:rStyle w:val="InstructionsTabelleberschrift"/>
                <w:rFonts w:ascii="Times New Roman" w:hAnsi="Times New Roman"/>
                <w:spacing w:val="-2"/>
                <w:sz w:val="24"/>
              </w:rPr>
              <w:t>14.2.2.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634A7110" w14:textId="3177DE78"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69 CRR.</w:t>
            </w:r>
          </w:p>
          <w:p w14:paraId="39E04D7A" w14:textId="62E1567A" w:rsidR="00235D9D" w:rsidRPr="006A4431" w:rsidRDefault="0014657C">
            <w:pPr>
              <w:pStyle w:val="InstructionsText"/>
              <w:rPr>
                <w:spacing w:val="-2"/>
              </w:rPr>
            </w:pPr>
            <w:r w:rsidRPr="006A4431">
              <w:rPr>
                <w:spacing w:val="-2"/>
              </w:rPr>
              <w:t>Článok 69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47346F95" w14:textId="77777777" w:rsidTr="00672D2A">
        <w:tc>
          <w:tcPr>
            <w:tcW w:w="1506" w:type="dxa"/>
          </w:tcPr>
          <w:p w14:paraId="102793CC" w14:textId="77777777" w:rsidR="00235D9D" w:rsidRPr="006A4431" w:rsidRDefault="00DE5A31">
            <w:pPr>
              <w:pStyle w:val="InstructionsText"/>
              <w:rPr>
                <w:spacing w:val="-2"/>
              </w:rPr>
            </w:pPr>
            <w:r w:rsidRPr="006A4431">
              <w:rPr>
                <w:spacing w:val="-2"/>
              </w:rPr>
              <w:t>431</w:t>
            </w:r>
          </w:p>
        </w:tc>
        <w:tc>
          <w:tcPr>
            <w:tcW w:w="7243" w:type="dxa"/>
          </w:tcPr>
          <w:p w14:paraId="595DA517" w14:textId="420BE633" w:rsidR="00235D9D" w:rsidRPr="006A4431" w:rsidRDefault="00DE5A31">
            <w:pPr>
              <w:pStyle w:val="InstructionsText"/>
              <w:rPr>
                <w:spacing w:val="-2"/>
              </w:rPr>
            </w:pPr>
            <w:r w:rsidRPr="006A4431">
              <w:rPr>
                <w:rStyle w:val="InstructionsTabelleberschrift"/>
                <w:rFonts w:ascii="Times New Roman" w:hAnsi="Times New Roman"/>
                <w:spacing w:val="-2"/>
                <w:sz w:val="24"/>
              </w:rPr>
              <w:t>14.3.</w:t>
            </w:r>
            <w:r w:rsidRPr="006A4431">
              <w:rPr>
                <w:rStyle w:val="InstructionsTabelleberschrift"/>
                <w:rFonts w:ascii="Times New Roman" w:hAnsi="Times New Roman"/>
                <w:spacing w:val="-2"/>
                <w:sz w:val="24"/>
              </w:rPr>
              <w:tab/>
              <w:t>Syntetické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78935518" w14:textId="67431578" w:rsidR="00235D9D" w:rsidRPr="006A4431" w:rsidRDefault="00214FDA">
            <w:pPr>
              <w:pStyle w:val="InstructionsText"/>
              <w:rPr>
                <w:rStyle w:val="InstructionsTabelleberschrift"/>
                <w:rFonts w:ascii="Times New Roman" w:hAnsi="Times New Roman"/>
                <w:spacing w:val="-2"/>
                <w:sz w:val="24"/>
              </w:rPr>
            </w:pPr>
            <w:r w:rsidRPr="006A4431">
              <w:rPr>
                <w:spacing w:val="-2"/>
              </w:rPr>
              <w:t>Článok 4 ods. 1 bod 126</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235203A7" w14:textId="77777777" w:rsidTr="00672D2A">
        <w:tc>
          <w:tcPr>
            <w:tcW w:w="1506" w:type="dxa"/>
          </w:tcPr>
          <w:p w14:paraId="41A97654" w14:textId="77777777" w:rsidR="00235D9D" w:rsidRPr="006A4431" w:rsidRDefault="00DE5A31">
            <w:pPr>
              <w:pStyle w:val="InstructionsText"/>
              <w:rPr>
                <w:spacing w:val="-2"/>
              </w:rPr>
            </w:pPr>
            <w:r w:rsidRPr="006A4431">
              <w:rPr>
                <w:spacing w:val="-2"/>
              </w:rPr>
              <w:t>432</w:t>
            </w:r>
          </w:p>
        </w:tc>
        <w:tc>
          <w:tcPr>
            <w:tcW w:w="7243" w:type="dxa"/>
          </w:tcPr>
          <w:p w14:paraId="1D2D4E22" w14:textId="3952503C" w:rsidR="00235D9D" w:rsidRPr="006A4431" w:rsidRDefault="00DE5A31">
            <w:pPr>
              <w:pStyle w:val="InstructionsText"/>
              <w:rPr>
                <w:spacing w:val="-2"/>
              </w:rPr>
            </w:pPr>
            <w:r w:rsidRPr="006A4431">
              <w:rPr>
                <w:rStyle w:val="InstructionsTabelleberschrift"/>
                <w:rFonts w:ascii="Times New Roman" w:hAnsi="Times New Roman"/>
                <w:spacing w:val="-2"/>
                <w:sz w:val="24"/>
              </w:rPr>
              <w:t>14.3.1.</w:t>
            </w:r>
            <w:r w:rsidRPr="006A4431">
              <w:rPr>
                <w:rStyle w:val="InstructionsTabelleberschrift"/>
                <w:rFonts w:ascii="Times New Roman" w:hAnsi="Times New Roman"/>
                <w:spacing w:val="-2"/>
                <w:sz w:val="24"/>
              </w:rPr>
              <w:tab/>
              <w:t>Brutto syntetické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6E1B2B1E" w14:textId="549AA0F2"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238AFF14" w14:textId="77777777" w:rsidTr="00672D2A">
        <w:tc>
          <w:tcPr>
            <w:tcW w:w="1506" w:type="dxa"/>
          </w:tcPr>
          <w:p w14:paraId="1C62EAEC" w14:textId="77777777" w:rsidR="00235D9D" w:rsidRPr="006A4431" w:rsidRDefault="00DE5A31">
            <w:pPr>
              <w:pStyle w:val="InstructionsText"/>
              <w:rPr>
                <w:spacing w:val="-2"/>
              </w:rPr>
            </w:pPr>
            <w:r w:rsidRPr="006A4431">
              <w:rPr>
                <w:spacing w:val="-2"/>
              </w:rPr>
              <w:lastRenderedPageBreak/>
              <w:t>433</w:t>
            </w:r>
          </w:p>
        </w:tc>
        <w:tc>
          <w:tcPr>
            <w:tcW w:w="7243" w:type="dxa"/>
          </w:tcPr>
          <w:p w14:paraId="19DB1DA1" w14:textId="2869D5F9" w:rsidR="00235D9D" w:rsidRPr="006A4431" w:rsidRDefault="00DE5A31">
            <w:pPr>
              <w:pStyle w:val="InstructionsText"/>
              <w:rPr>
                <w:spacing w:val="-2"/>
              </w:rPr>
            </w:pPr>
            <w:r w:rsidRPr="006A4431">
              <w:rPr>
                <w:rStyle w:val="InstructionsTabelleberschrift"/>
                <w:rFonts w:ascii="Times New Roman" w:hAnsi="Times New Roman"/>
                <w:spacing w:val="-2"/>
                <w:sz w:val="24"/>
              </w:rPr>
              <w:t>14.3.2.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060C5E51" w14:textId="3FAB1AAF"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článok 69 CRR.</w:t>
            </w:r>
          </w:p>
        </w:tc>
      </w:tr>
      <w:tr w:rsidR="00235D9D" w:rsidRPr="006A4431" w14:paraId="09261DFE" w14:textId="77777777" w:rsidTr="00672D2A">
        <w:tc>
          <w:tcPr>
            <w:tcW w:w="1506" w:type="dxa"/>
          </w:tcPr>
          <w:p w14:paraId="266857D7" w14:textId="77777777" w:rsidR="00235D9D" w:rsidRPr="006A4431" w:rsidRDefault="002648B0">
            <w:pPr>
              <w:pStyle w:val="InstructionsText"/>
              <w:rPr>
                <w:spacing w:val="-2"/>
              </w:rPr>
            </w:pPr>
            <w:r w:rsidRPr="006A4431">
              <w:rPr>
                <w:spacing w:val="-2"/>
              </w:rPr>
              <w:t>440</w:t>
            </w:r>
          </w:p>
        </w:tc>
        <w:tc>
          <w:tcPr>
            <w:tcW w:w="7243" w:type="dxa"/>
          </w:tcPr>
          <w:p w14:paraId="0BFEA814" w14:textId="33B65903" w:rsidR="00235D9D" w:rsidRPr="006A4431" w:rsidRDefault="002648B0">
            <w:pPr>
              <w:pStyle w:val="InstructionsText"/>
              <w:rPr>
                <w:spacing w:val="-2"/>
              </w:rPr>
            </w:pPr>
            <w:r w:rsidRPr="006A4431">
              <w:rPr>
                <w:rStyle w:val="InstructionsTabelleberschrift"/>
                <w:rFonts w:ascii="Times New Roman" w:hAnsi="Times New Roman"/>
                <w:spacing w:val="-2"/>
                <w:sz w:val="24"/>
              </w:rPr>
              <w:t>15.</w:t>
            </w:r>
            <w:r w:rsidRPr="006A4431">
              <w:rPr>
                <w:rStyle w:val="InstructionsTabelleberschrift"/>
                <w:rFonts w:ascii="Times New Roman" w:hAnsi="Times New Roman"/>
                <w:spacing w:val="-2"/>
                <w:sz w:val="24"/>
              </w:rPr>
              <w:tab/>
              <w:t>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po odpočítaní krátkych pozícií</w:t>
            </w:r>
          </w:p>
          <w:p w14:paraId="4382B9FE" w14:textId="7CB80D82" w:rsidR="00235D9D" w:rsidRPr="006A4431" w:rsidRDefault="002648B0">
            <w:pPr>
              <w:pStyle w:val="InstructionsText"/>
              <w:rPr>
                <w:spacing w:val="-2"/>
              </w:rPr>
            </w:pPr>
            <w:r w:rsidRPr="006A4431">
              <w:rPr>
                <w:spacing w:val="-2"/>
              </w:rPr>
              <w:t>Články 44, 45, 47</w:t>
            </w:r>
            <w:r w:rsidR="00D85C65" w:rsidRPr="006A4431">
              <w:rPr>
                <w:spacing w:val="-2"/>
              </w:rPr>
              <w:t xml:space="preserve"> a </w:t>
            </w:r>
            <w:r w:rsidRPr="006A4431">
              <w:rPr>
                <w:spacing w:val="-2"/>
              </w:rPr>
              <w:t>49 CRR.</w:t>
            </w:r>
          </w:p>
        </w:tc>
      </w:tr>
      <w:tr w:rsidR="00235D9D" w:rsidRPr="006A4431" w14:paraId="35ABC1EA" w14:textId="77777777" w:rsidTr="00672D2A">
        <w:tc>
          <w:tcPr>
            <w:tcW w:w="1506" w:type="dxa"/>
          </w:tcPr>
          <w:p w14:paraId="16594F26" w14:textId="77777777" w:rsidR="00235D9D" w:rsidRPr="006A4431" w:rsidRDefault="008F54B0">
            <w:pPr>
              <w:pStyle w:val="InstructionsText"/>
              <w:rPr>
                <w:spacing w:val="-2"/>
              </w:rPr>
            </w:pPr>
            <w:r w:rsidRPr="006A4431">
              <w:rPr>
                <w:spacing w:val="-2"/>
              </w:rPr>
              <w:t>450</w:t>
            </w:r>
          </w:p>
        </w:tc>
        <w:tc>
          <w:tcPr>
            <w:tcW w:w="7243" w:type="dxa"/>
          </w:tcPr>
          <w:p w14:paraId="7B3E2F48" w14:textId="064E1A3E" w:rsidR="00235D9D" w:rsidRPr="006A4431" w:rsidRDefault="002648B0">
            <w:pPr>
              <w:pStyle w:val="InstructionsText"/>
              <w:rPr>
                <w:spacing w:val="-2"/>
              </w:rPr>
            </w:pPr>
            <w:r w:rsidRPr="006A4431">
              <w:rPr>
                <w:rStyle w:val="InstructionsTabelleberschrift"/>
                <w:rFonts w:ascii="Times New Roman" w:hAnsi="Times New Roman"/>
                <w:spacing w:val="-2"/>
                <w:sz w:val="24"/>
              </w:rPr>
              <w:t>15.1.</w:t>
            </w:r>
            <w:r w:rsidRPr="006A4431">
              <w:rPr>
                <w:rStyle w:val="InstructionsTabelleberschrift"/>
                <w:rFonts w:ascii="Times New Roman" w:hAnsi="Times New Roman"/>
                <w:spacing w:val="-2"/>
                <w:sz w:val="24"/>
              </w:rPr>
              <w:tab/>
              <w:t>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1BA8CC21" w14:textId="4B2CFBC7" w:rsidR="00235D9D" w:rsidRPr="006A4431" w:rsidRDefault="002648B0">
            <w:pPr>
              <w:pStyle w:val="InstructionsText"/>
              <w:rPr>
                <w:spacing w:val="-2"/>
              </w:rPr>
            </w:pPr>
            <w:r w:rsidRPr="006A4431">
              <w:rPr>
                <w:spacing w:val="-2"/>
              </w:rPr>
              <w:t>Články 44, 45, 47</w:t>
            </w:r>
            <w:r w:rsidR="00D85C65" w:rsidRPr="006A4431">
              <w:rPr>
                <w:spacing w:val="-2"/>
              </w:rPr>
              <w:t xml:space="preserve"> a </w:t>
            </w:r>
            <w:r w:rsidRPr="006A4431">
              <w:rPr>
                <w:spacing w:val="-2"/>
              </w:rPr>
              <w:t>49 CRR.</w:t>
            </w:r>
          </w:p>
        </w:tc>
      </w:tr>
      <w:tr w:rsidR="00235D9D" w:rsidRPr="006A4431" w14:paraId="57D83B0D" w14:textId="77777777" w:rsidTr="00672D2A">
        <w:tc>
          <w:tcPr>
            <w:tcW w:w="1506" w:type="dxa"/>
          </w:tcPr>
          <w:p w14:paraId="193B0321" w14:textId="77777777" w:rsidR="00235D9D" w:rsidRPr="006A4431" w:rsidRDefault="008F54B0">
            <w:pPr>
              <w:pStyle w:val="InstructionsText"/>
              <w:rPr>
                <w:spacing w:val="-2"/>
              </w:rPr>
            </w:pPr>
            <w:r w:rsidRPr="006A4431">
              <w:rPr>
                <w:spacing w:val="-2"/>
              </w:rPr>
              <w:t>460</w:t>
            </w:r>
          </w:p>
        </w:tc>
        <w:tc>
          <w:tcPr>
            <w:tcW w:w="7243" w:type="dxa"/>
          </w:tcPr>
          <w:p w14:paraId="07F3C9A8" w14:textId="3B16E115" w:rsidR="00235D9D" w:rsidRPr="006A4431" w:rsidRDefault="002648B0">
            <w:pPr>
              <w:pStyle w:val="InstructionsText"/>
              <w:rPr>
                <w:spacing w:val="-2"/>
              </w:rPr>
            </w:pPr>
            <w:r w:rsidRPr="006A4431">
              <w:rPr>
                <w:rStyle w:val="InstructionsTabelleberschrift"/>
                <w:rFonts w:ascii="Times New Roman" w:hAnsi="Times New Roman"/>
                <w:spacing w:val="-2"/>
                <w:sz w:val="24"/>
              </w:rPr>
              <w:t>15.1.1.</w:t>
            </w:r>
            <w:r w:rsidRPr="006A4431">
              <w:rPr>
                <w:rStyle w:val="InstructionsTabelleberschrift"/>
                <w:rFonts w:ascii="Times New Roman" w:hAnsi="Times New Roman"/>
                <w:spacing w:val="-2"/>
                <w:sz w:val="24"/>
              </w:rPr>
              <w:tab/>
              <w:t>Brutto 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2E8BDC24" w14:textId="4EC62404" w:rsidR="00235D9D" w:rsidRPr="006A4431" w:rsidRDefault="002648B0">
            <w:pPr>
              <w:pStyle w:val="InstructionsText"/>
              <w:rPr>
                <w:spacing w:val="-2"/>
              </w:rPr>
            </w:pPr>
            <w:r w:rsidRPr="006A4431">
              <w:rPr>
                <w:spacing w:val="-2"/>
              </w:rPr>
              <w:t>Články 44, 45, 47</w:t>
            </w:r>
            <w:r w:rsidR="00D85C65" w:rsidRPr="006A4431">
              <w:rPr>
                <w:spacing w:val="-2"/>
              </w:rPr>
              <w:t xml:space="preserve"> a </w:t>
            </w:r>
            <w:r w:rsidRPr="006A4431">
              <w:rPr>
                <w:spacing w:val="-2"/>
              </w:rPr>
              <w:t>49 CRR.</w:t>
            </w:r>
          </w:p>
          <w:p w14:paraId="46892E10" w14:textId="77777777" w:rsidR="00235D9D" w:rsidRPr="006A4431" w:rsidRDefault="002648B0">
            <w:pPr>
              <w:pStyle w:val="InstructionsText"/>
              <w:rPr>
                <w:spacing w:val="-2"/>
              </w:rPr>
            </w:pPr>
            <w:r w:rsidRPr="006A4431">
              <w:rPr>
                <w:spacing w:val="-2"/>
              </w:rPr>
              <w:t>Priame podiely kapitálu CET1 subjektov finančného sektora, keď inštitúcia má významnú investíciu, bez:</w:t>
            </w:r>
          </w:p>
          <w:p w14:paraId="43312E6C" w14:textId="2E0A12FE" w:rsidR="00D85C65" w:rsidRPr="006A4431" w:rsidRDefault="002648B0">
            <w:pPr>
              <w:pStyle w:val="InstructionsText"/>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ktoré držia päť pracovných dní alebo menej</w:t>
            </w:r>
            <w:r w:rsidR="00D85C65" w:rsidRPr="006A4431">
              <w:rPr>
                <w:spacing w:val="-2"/>
              </w:rPr>
              <w:t>;</w:t>
            </w:r>
          </w:p>
          <w:p w14:paraId="6869DEB1" w14:textId="77777777" w:rsidR="00D85C65" w:rsidRPr="006A4431" w:rsidRDefault="002648B0">
            <w:pPr>
              <w:pStyle w:val="InstructionsText"/>
              <w:rPr>
                <w:spacing w:val="-2"/>
              </w:rPr>
            </w:pPr>
            <w:r w:rsidRPr="006A4431">
              <w:rPr>
                <w:spacing w:val="-2"/>
              </w:rPr>
              <w:t>b)</w:t>
            </w:r>
            <w:r w:rsidRPr="006A4431">
              <w:rPr>
                <w:spacing w:val="-2"/>
              </w:rPr>
              <w:tab/>
              <w:t>hodnôt súvisiacich</w:t>
            </w:r>
            <w:r w:rsidR="00D85C65" w:rsidRPr="006A4431">
              <w:rPr>
                <w:spacing w:val="-2"/>
              </w:rPr>
              <w:t xml:space="preserve"> s </w:t>
            </w:r>
            <w:r w:rsidRPr="006A4431">
              <w:rPr>
                <w:spacing w:val="-2"/>
              </w:rPr>
              <w:t>investíciami, na ktoré sa uplatňuje alternatíva podľa článku 49;</w:t>
            </w:r>
            <w:r w:rsidR="00D85C65" w:rsidRPr="006A4431">
              <w:rPr>
                <w:spacing w:val="-2"/>
              </w:rPr>
              <w:t xml:space="preserve"> a</w:t>
            </w:r>
          </w:p>
          <w:p w14:paraId="4E98D2B5" w14:textId="3EAF5C04" w:rsidR="00235D9D" w:rsidRPr="006A4431" w:rsidRDefault="002648B0">
            <w:pPr>
              <w:pStyle w:val="InstructionsText"/>
              <w:rPr>
                <w:spacing w:val="-2"/>
              </w:rPr>
            </w:pPr>
            <w:r w:rsidRPr="006A4431">
              <w:rPr>
                <w:spacing w:val="-2"/>
              </w:rPr>
              <w:t>c)</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36 ods. 1 písm. g) CRR.</w:t>
            </w:r>
          </w:p>
        </w:tc>
      </w:tr>
      <w:tr w:rsidR="00235D9D" w:rsidRPr="006A4431" w14:paraId="4DFC5D63" w14:textId="77777777" w:rsidTr="00672D2A">
        <w:tc>
          <w:tcPr>
            <w:tcW w:w="1506" w:type="dxa"/>
          </w:tcPr>
          <w:p w14:paraId="1D5E3EA3" w14:textId="77777777" w:rsidR="00235D9D" w:rsidRPr="006A4431" w:rsidRDefault="002648B0">
            <w:pPr>
              <w:pStyle w:val="InstructionsText"/>
              <w:rPr>
                <w:spacing w:val="-2"/>
              </w:rPr>
            </w:pPr>
            <w:r w:rsidRPr="006A4431">
              <w:rPr>
                <w:spacing w:val="-2"/>
              </w:rPr>
              <w:t>470</w:t>
            </w:r>
          </w:p>
        </w:tc>
        <w:tc>
          <w:tcPr>
            <w:tcW w:w="7243" w:type="dxa"/>
          </w:tcPr>
          <w:p w14:paraId="4395AFAF" w14:textId="1B48E1A7" w:rsidR="00235D9D" w:rsidRPr="006A4431" w:rsidRDefault="002648B0">
            <w:pPr>
              <w:pStyle w:val="InstructionsText"/>
              <w:rPr>
                <w:spacing w:val="-2"/>
              </w:rPr>
            </w:pPr>
            <w:r w:rsidRPr="006A4431">
              <w:rPr>
                <w:rStyle w:val="InstructionsTabelleberschrift"/>
                <w:rFonts w:ascii="Times New Roman" w:hAnsi="Times New Roman"/>
                <w:spacing w:val="-2"/>
                <w:sz w:val="24"/>
              </w:rPr>
              <w:t>15.1.2.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60819674" w14:textId="53EE9FF4" w:rsidR="00235D9D" w:rsidRPr="006A4431" w:rsidRDefault="002648B0">
            <w:pPr>
              <w:pStyle w:val="InstructionsText"/>
              <w:rPr>
                <w:spacing w:val="-2"/>
              </w:rPr>
            </w:pPr>
            <w:r w:rsidRPr="006A4431">
              <w:rPr>
                <w:spacing w:val="-2"/>
              </w:rPr>
              <w:t>Článok 45 CRR.</w:t>
            </w:r>
          </w:p>
          <w:p w14:paraId="6675BDB9" w14:textId="2C482623" w:rsidR="00235D9D" w:rsidRPr="006A4431" w:rsidRDefault="0014657C">
            <w:pPr>
              <w:pStyle w:val="InstructionsText"/>
              <w:rPr>
                <w:spacing w:val="-2"/>
              </w:rPr>
            </w:pPr>
            <w:r w:rsidRPr="006A4431">
              <w:rPr>
                <w:spacing w:val="-2"/>
              </w:rPr>
              <w:t>Článok 45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748087B2" w14:textId="77777777" w:rsidTr="00672D2A">
        <w:tc>
          <w:tcPr>
            <w:tcW w:w="1506" w:type="dxa"/>
          </w:tcPr>
          <w:p w14:paraId="6597907B" w14:textId="77777777" w:rsidR="00235D9D" w:rsidRPr="006A4431" w:rsidRDefault="002648B0">
            <w:pPr>
              <w:pStyle w:val="InstructionsText"/>
              <w:rPr>
                <w:spacing w:val="-2"/>
              </w:rPr>
            </w:pPr>
            <w:r w:rsidRPr="006A4431">
              <w:rPr>
                <w:spacing w:val="-2"/>
              </w:rPr>
              <w:t>480</w:t>
            </w:r>
          </w:p>
        </w:tc>
        <w:tc>
          <w:tcPr>
            <w:tcW w:w="7243" w:type="dxa"/>
          </w:tcPr>
          <w:p w14:paraId="028E9FA5" w14:textId="034C0383" w:rsidR="00235D9D" w:rsidRPr="006A4431" w:rsidRDefault="002648B0">
            <w:pPr>
              <w:pStyle w:val="InstructionsText"/>
              <w:rPr>
                <w:spacing w:val="-2"/>
              </w:rPr>
            </w:pPr>
            <w:r w:rsidRPr="006A4431">
              <w:rPr>
                <w:rStyle w:val="InstructionsTabelleberschrift"/>
                <w:rFonts w:ascii="Times New Roman" w:hAnsi="Times New Roman"/>
                <w:spacing w:val="-2"/>
                <w:sz w:val="24"/>
              </w:rPr>
              <w:t>15.2.</w:t>
            </w:r>
            <w:r w:rsidRPr="006A4431">
              <w:rPr>
                <w:rStyle w:val="InstructionsTabelleberschrift"/>
                <w:rFonts w:ascii="Times New Roman" w:hAnsi="Times New Roman"/>
                <w:spacing w:val="-2"/>
                <w:sz w:val="24"/>
              </w:rPr>
              <w:tab/>
              <w:t>Nepriame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348F3211" w14:textId="30F90E84"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tc>
      </w:tr>
      <w:tr w:rsidR="00235D9D" w:rsidRPr="006A4431" w14:paraId="321458D5" w14:textId="77777777" w:rsidTr="00672D2A">
        <w:tc>
          <w:tcPr>
            <w:tcW w:w="1506" w:type="dxa"/>
          </w:tcPr>
          <w:p w14:paraId="01E2C07D" w14:textId="77777777" w:rsidR="00235D9D" w:rsidRPr="006A4431" w:rsidRDefault="002648B0">
            <w:pPr>
              <w:pStyle w:val="InstructionsText"/>
              <w:rPr>
                <w:spacing w:val="-2"/>
              </w:rPr>
            </w:pPr>
            <w:r w:rsidRPr="006A4431">
              <w:rPr>
                <w:spacing w:val="-2"/>
              </w:rPr>
              <w:t>490</w:t>
            </w:r>
          </w:p>
        </w:tc>
        <w:tc>
          <w:tcPr>
            <w:tcW w:w="7243" w:type="dxa"/>
          </w:tcPr>
          <w:p w14:paraId="72FF2298" w14:textId="3396C242" w:rsidR="00235D9D" w:rsidRPr="006A4431" w:rsidRDefault="002648B0">
            <w:pPr>
              <w:pStyle w:val="InstructionsText"/>
              <w:rPr>
                <w:spacing w:val="-2"/>
              </w:rPr>
            </w:pPr>
            <w:r w:rsidRPr="006A4431">
              <w:rPr>
                <w:rStyle w:val="InstructionsTabelleberschrift"/>
                <w:rFonts w:ascii="Times New Roman" w:hAnsi="Times New Roman"/>
                <w:spacing w:val="-2"/>
                <w:sz w:val="24"/>
              </w:rPr>
              <w:t>15.2.1.</w:t>
            </w:r>
            <w:r w:rsidRPr="006A4431">
              <w:rPr>
                <w:rStyle w:val="InstructionsTabelleberschrift"/>
                <w:rFonts w:ascii="Times New Roman" w:hAnsi="Times New Roman"/>
                <w:spacing w:val="-2"/>
                <w:sz w:val="24"/>
              </w:rPr>
              <w:tab/>
              <w:t>Brutto nepriame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40DF2159" w14:textId="4497259B"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p w14:paraId="4B0F351D" w14:textId="11BAAE14" w:rsidR="00235D9D" w:rsidRPr="006A4431" w:rsidRDefault="002648B0">
            <w:pPr>
              <w:pStyle w:val="InstructionsText"/>
              <w:rPr>
                <w:spacing w:val="-2"/>
              </w:rPr>
            </w:pPr>
            <w:r w:rsidRPr="006A4431">
              <w:rPr>
                <w:spacing w:val="-2"/>
              </w:rPr>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217574F3" w14:textId="53549E13"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36 ods. 1 písm. g) CRR, sa nezapočítavajú.</w:t>
            </w:r>
          </w:p>
        </w:tc>
      </w:tr>
      <w:tr w:rsidR="00235D9D" w:rsidRPr="006A4431" w14:paraId="679D0FDD" w14:textId="77777777" w:rsidTr="00672D2A">
        <w:tc>
          <w:tcPr>
            <w:tcW w:w="1506" w:type="dxa"/>
          </w:tcPr>
          <w:p w14:paraId="51A0B2F4" w14:textId="77777777" w:rsidR="00235D9D" w:rsidRPr="006A4431" w:rsidRDefault="002648B0">
            <w:pPr>
              <w:pStyle w:val="InstructionsText"/>
              <w:rPr>
                <w:spacing w:val="-2"/>
              </w:rPr>
            </w:pPr>
            <w:r w:rsidRPr="006A4431">
              <w:rPr>
                <w:spacing w:val="-2"/>
              </w:rPr>
              <w:lastRenderedPageBreak/>
              <w:t>500</w:t>
            </w:r>
          </w:p>
        </w:tc>
        <w:tc>
          <w:tcPr>
            <w:tcW w:w="7243" w:type="dxa"/>
          </w:tcPr>
          <w:p w14:paraId="1CFE10BC" w14:textId="0EE8A579" w:rsidR="00235D9D" w:rsidRPr="006A4431" w:rsidRDefault="002648B0">
            <w:pPr>
              <w:pStyle w:val="InstructionsText"/>
              <w:rPr>
                <w:spacing w:val="-2"/>
              </w:rPr>
            </w:pPr>
            <w:r w:rsidRPr="006A4431">
              <w:rPr>
                <w:rStyle w:val="InstructionsTabelleberschrift"/>
                <w:rFonts w:ascii="Times New Roman" w:hAnsi="Times New Roman"/>
                <w:spacing w:val="-2"/>
                <w:sz w:val="24"/>
              </w:rPr>
              <w:t>15.2.2.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59D4CAD2" w14:textId="5EB28E02"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45 CRR.</w:t>
            </w:r>
          </w:p>
          <w:p w14:paraId="5375C1EA" w14:textId="18BFF524" w:rsidR="00235D9D" w:rsidRPr="006A4431" w:rsidRDefault="0014657C">
            <w:pPr>
              <w:pStyle w:val="InstructionsText"/>
              <w:rPr>
                <w:spacing w:val="-2"/>
              </w:rPr>
            </w:pPr>
            <w:r w:rsidRPr="006A4431">
              <w:rPr>
                <w:spacing w:val="-2"/>
              </w:rPr>
              <w:t>Článok 45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6A8A0A57" w14:textId="77777777" w:rsidTr="00672D2A">
        <w:tc>
          <w:tcPr>
            <w:tcW w:w="1506" w:type="dxa"/>
          </w:tcPr>
          <w:p w14:paraId="0F7673AB" w14:textId="77777777" w:rsidR="00235D9D" w:rsidRPr="006A4431" w:rsidRDefault="00DE5A31">
            <w:pPr>
              <w:pStyle w:val="InstructionsText"/>
              <w:rPr>
                <w:spacing w:val="-2"/>
              </w:rPr>
            </w:pPr>
            <w:r w:rsidRPr="006A4431">
              <w:rPr>
                <w:spacing w:val="-2"/>
              </w:rPr>
              <w:t>501</w:t>
            </w:r>
          </w:p>
        </w:tc>
        <w:tc>
          <w:tcPr>
            <w:tcW w:w="7243" w:type="dxa"/>
          </w:tcPr>
          <w:p w14:paraId="4E402D8E" w14:textId="113675C3" w:rsidR="00235D9D" w:rsidRPr="006A4431" w:rsidRDefault="00DE5A31">
            <w:pPr>
              <w:pStyle w:val="InstructionsText"/>
              <w:rPr>
                <w:spacing w:val="-2"/>
              </w:rPr>
            </w:pPr>
            <w:r w:rsidRPr="006A4431">
              <w:rPr>
                <w:rStyle w:val="InstructionsTabelleberschrift"/>
                <w:rFonts w:ascii="Times New Roman" w:hAnsi="Times New Roman"/>
                <w:spacing w:val="-2"/>
                <w:sz w:val="24"/>
              </w:rPr>
              <w:t>15.3.</w:t>
            </w:r>
            <w:r w:rsidRPr="006A4431">
              <w:rPr>
                <w:rStyle w:val="InstructionsTabelleberschrift"/>
                <w:rFonts w:ascii="Times New Roman" w:hAnsi="Times New Roman"/>
                <w:spacing w:val="-2"/>
                <w:sz w:val="24"/>
              </w:rPr>
              <w:tab/>
              <w:t>Syntetické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0F20708A" w14:textId="322E4980" w:rsidR="00235D9D" w:rsidRPr="006A4431" w:rsidRDefault="00214FDA">
            <w:pPr>
              <w:pStyle w:val="InstructionsText"/>
              <w:rPr>
                <w:spacing w:val="-2"/>
              </w:rPr>
            </w:pPr>
            <w:r w:rsidRPr="006A4431">
              <w:rPr>
                <w:spacing w:val="-2"/>
              </w:rPr>
              <w:t>Článok 4 ods. 1 bod 126</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tc>
      </w:tr>
      <w:tr w:rsidR="00235D9D" w:rsidRPr="006A4431" w14:paraId="46B0D844" w14:textId="77777777" w:rsidTr="00672D2A">
        <w:tc>
          <w:tcPr>
            <w:tcW w:w="1506" w:type="dxa"/>
          </w:tcPr>
          <w:p w14:paraId="4CBB8BE3" w14:textId="77777777" w:rsidR="00235D9D" w:rsidRPr="006A4431" w:rsidRDefault="00DE5A31">
            <w:pPr>
              <w:pStyle w:val="InstructionsText"/>
              <w:rPr>
                <w:spacing w:val="-2"/>
              </w:rPr>
            </w:pPr>
            <w:r w:rsidRPr="006A4431">
              <w:rPr>
                <w:spacing w:val="-2"/>
              </w:rPr>
              <w:t>502</w:t>
            </w:r>
          </w:p>
        </w:tc>
        <w:tc>
          <w:tcPr>
            <w:tcW w:w="7243" w:type="dxa"/>
          </w:tcPr>
          <w:p w14:paraId="51F26CF7" w14:textId="36C07F9D" w:rsidR="00235D9D" w:rsidRPr="006A4431" w:rsidRDefault="00DE5A31">
            <w:pPr>
              <w:pStyle w:val="InstructionsText"/>
              <w:rPr>
                <w:spacing w:val="-2"/>
              </w:rPr>
            </w:pPr>
            <w:r w:rsidRPr="006A4431">
              <w:rPr>
                <w:rStyle w:val="InstructionsTabelleberschrift"/>
                <w:rFonts w:ascii="Times New Roman" w:hAnsi="Times New Roman"/>
                <w:spacing w:val="-2"/>
                <w:sz w:val="24"/>
              </w:rPr>
              <w:t>15.3.1.</w:t>
            </w:r>
            <w:r w:rsidRPr="006A4431">
              <w:rPr>
                <w:rStyle w:val="InstructionsTabelleberschrift"/>
                <w:rFonts w:ascii="Times New Roman" w:hAnsi="Times New Roman"/>
                <w:spacing w:val="-2"/>
                <w:sz w:val="24"/>
              </w:rPr>
              <w:tab/>
              <w:t>Brutto syntetické podiely kapitálu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5C4B0FFA" w14:textId="7EB16548" w:rsidR="00235D9D" w:rsidRPr="006A4431" w:rsidRDefault="00214FDA">
            <w:pPr>
              <w:pStyle w:val="InstructionsText"/>
              <w:rPr>
                <w:spacing w:val="-2"/>
              </w:rPr>
            </w:pPr>
            <w:r w:rsidRPr="006A4431">
              <w:rPr>
                <w:spacing w:val="-2"/>
              </w:rPr>
              <w:t>Článok 4 ods. 1 bod 126</w:t>
            </w:r>
            <w:r w:rsidR="00D85C65" w:rsidRPr="006A4431">
              <w:rPr>
                <w:spacing w:val="-2"/>
              </w:rPr>
              <w:t xml:space="preserve"> a </w:t>
            </w:r>
            <w:r w:rsidRPr="006A4431">
              <w:rPr>
                <w:spacing w:val="-2"/>
              </w:rPr>
              <w:t>články 44</w:t>
            </w:r>
            <w:r w:rsidR="00D85C65" w:rsidRPr="006A4431">
              <w:rPr>
                <w:spacing w:val="-2"/>
              </w:rPr>
              <w:t xml:space="preserve"> a </w:t>
            </w:r>
            <w:r w:rsidRPr="006A4431">
              <w:rPr>
                <w:spacing w:val="-2"/>
              </w:rPr>
              <w:t>45 CRR.</w:t>
            </w:r>
          </w:p>
        </w:tc>
      </w:tr>
      <w:tr w:rsidR="00235D9D" w:rsidRPr="006A4431" w14:paraId="35C46525" w14:textId="77777777" w:rsidTr="00672D2A">
        <w:tc>
          <w:tcPr>
            <w:tcW w:w="1506" w:type="dxa"/>
          </w:tcPr>
          <w:p w14:paraId="09657881" w14:textId="77777777" w:rsidR="00235D9D" w:rsidRPr="006A4431" w:rsidRDefault="00E81DB9">
            <w:pPr>
              <w:pStyle w:val="InstructionsText"/>
              <w:rPr>
                <w:spacing w:val="-2"/>
              </w:rPr>
            </w:pPr>
            <w:r w:rsidRPr="006A4431">
              <w:rPr>
                <w:spacing w:val="-2"/>
              </w:rPr>
              <w:t>503</w:t>
            </w:r>
          </w:p>
        </w:tc>
        <w:tc>
          <w:tcPr>
            <w:tcW w:w="7243" w:type="dxa"/>
          </w:tcPr>
          <w:p w14:paraId="14CCB180" w14:textId="39527CA2" w:rsidR="00235D9D" w:rsidRPr="006A4431" w:rsidRDefault="00E81DB9">
            <w:pPr>
              <w:pStyle w:val="InstructionsText"/>
              <w:rPr>
                <w:spacing w:val="-2"/>
              </w:rPr>
            </w:pPr>
            <w:r w:rsidRPr="006A4431">
              <w:rPr>
                <w:rStyle w:val="InstructionsTabelleberschrift"/>
                <w:rFonts w:ascii="Times New Roman" w:hAnsi="Times New Roman"/>
                <w:spacing w:val="-2"/>
                <w:sz w:val="24"/>
              </w:rPr>
              <w:t>15.3.2.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0BC23DAA" w14:textId="471B642A" w:rsidR="00235D9D" w:rsidRPr="006A4431" w:rsidRDefault="00214FDA">
            <w:pPr>
              <w:pStyle w:val="InstructionsText"/>
              <w:rPr>
                <w:spacing w:val="-2"/>
              </w:rPr>
            </w:pPr>
            <w:r w:rsidRPr="006A4431">
              <w:rPr>
                <w:spacing w:val="-2"/>
              </w:rPr>
              <w:t>Článok 4 ods. 1 bod 126</w:t>
            </w:r>
            <w:r w:rsidR="00D85C65" w:rsidRPr="006A4431">
              <w:rPr>
                <w:spacing w:val="-2"/>
              </w:rPr>
              <w:t xml:space="preserve"> a </w:t>
            </w:r>
            <w:r w:rsidRPr="006A4431">
              <w:rPr>
                <w:spacing w:val="-2"/>
              </w:rPr>
              <w:t>článok 45 CRR.</w:t>
            </w:r>
          </w:p>
        </w:tc>
      </w:tr>
      <w:tr w:rsidR="00235D9D" w:rsidRPr="006A4431" w14:paraId="30D8441D" w14:textId="77777777" w:rsidTr="00672D2A">
        <w:tc>
          <w:tcPr>
            <w:tcW w:w="1506" w:type="dxa"/>
          </w:tcPr>
          <w:p w14:paraId="4A6913BC" w14:textId="77777777" w:rsidR="00235D9D" w:rsidRPr="006A4431" w:rsidRDefault="002648B0">
            <w:pPr>
              <w:pStyle w:val="InstructionsText"/>
              <w:rPr>
                <w:spacing w:val="-2"/>
              </w:rPr>
            </w:pPr>
            <w:r w:rsidRPr="006A4431">
              <w:rPr>
                <w:spacing w:val="-2"/>
              </w:rPr>
              <w:t>510</w:t>
            </w:r>
          </w:p>
        </w:tc>
        <w:tc>
          <w:tcPr>
            <w:tcW w:w="7243" w:type="dxa"/>
          </w:tcPr>
          <w:p w14:paraId="3C26DE3A" w14:textId="667C8AEB" w:rsidR="00235D9D" w:rsidRPr="006A4431" w:rsidRDefault="002648B0">
            <w:pPr>
              <w:pStyle w:val="InstructionsText"/>
              <w:rPr>
                <w:spacing w:val="-2"/>
              </w:rPr>
            </w:pPr>
            <w:r w:rsidRPr="006A4431">
              <w:rPr>
                <w:rStyle w:val="InstructionsTabelleberschrift"/>
                <w:rFonts w:ascii="Times New Roman" w:hAnsi="Times New Roman"/>
                <w:spacing w:val="-2"/>
                <w:sz w:val="24"/>
              </w:rPr>
              <w:t>16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po odpočítaní krátkych pozícií</w:t>
            </w:r>
          </w:p>
          <w:p w14:paraId="3A282320" w14:textId="7398F194" w:rsidR="00235D9D" w:rsidRPr="006A4431" w:rsidRDefault="002648B0">
            <w:pPr>
              <w:pStyle w:val="InstructionsText"/>
              <w:rPr>
                <w:spacing w:val="-2"/>
              </w:rPr>
            </w:pPr>
            <w:r w:rsidRPr="006A4431">
              <w:rPr>
                <w:spacing w:val="-2"/>
              </w:rPr>
              <w:t>Články 58</w:t>
            </w:r>
            <w:r w:rsidR="00D85C65" w:rsidRPr="006A4431">
              <w:rPr>
                <w:spacing w:val="-2"/>
              </w:rPr>
              <w:t xml:space="preserve"> a </w:t>
            </w:r>
            <w:r w:rsidRPr="006A4431">
              <w:rPr>
                <w:spacing w:val="-2"/>
              </w:rPr>
              <w:t>59 CRR.</w:t>
            </w:r>
          </w:p>
        </w:tc>
      </w:tr>
      <w:tr w:rsidR="00235D9D" w:rsidRPr="006A4431" w14:paraId="165A41EE" w14:textId="77777777" w:rsidTr="00672D2A">
        <w:tc>
          <w:tcPr>
            <w:tcW w:w="1506" w:type="dxa"/>
          </w:tcPr>
          <w:p w14:paraId="73B9DCEE" w14:textId="77777777" w:rsidR="00235D9D" w:rsidRPr="006A4431" w:rsidRDefault="002648B0">
            <w:pPr>
              <w:pStyle w:val="InstructionsText"/>
              <w:rPr>
                <w:spacing w:val="-2"/>
              </w:rPr>
            </w:pPr>
            <w:r w:rsidRPr="006A4431">
              <w:rPr>
                <w:spacing w:val="-2"/>
              </w:rPr>
              <w:t>520</w:t>
            </w:r>
          </w:p>
        </w:tc>
        <w:tc>
          <w:tcPr>
            <w:tcW w:w="7243" w:type="dxa"/>
          </w:tcPr>
          <w:p w14:paraId="3C5D92D8" w14:textId="006D5141" w:rsidR="00235D9D" w:rsidRPr="006A4431" w:rsidRDefault="002648B0">
            <w:pPr>
              <w:pStyle w:val="InstructionsText"/>
              <w:rPr>
                <w:spacing w:val="-2"/>
              </w:rPr>
            </w:pPr>
            <w:r w:rsidRPr="006A4431">
              <w:rPr>
                <w:rStyle w:val="InstructionsTabelleberschrift"/>
                <w:rFonts w:ascii="Times New Roman" w:hAnsi="Times New Roman"/>
                <w:spacing w:val="-2"/>
                <w:sz w:val="24"/>
              </w:rPr>
              <w:t>16.1.</w:t>
            </w:r>
            <w:r w:rsidRPr="006A4431">
              <w:rPr>
                <w:rStyle w:val="InstructionsTabelleberschrift"/>
                <w:rFonts w:ascii="Times New Roman" w:hAnsi="Times New Roman"/>
                <w:spacing w:val="-2"/>
                <w:sz w:val="24"/>
              </w:rPr>
              <w:tab/>
              <w:t>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6CD73006" w14:textId="273D0C56" w:rsidR="00235D9D" w:rsidRPr="006A4431" w:rsidRDefault="002648B0">
            <w:pPr>
              <w:pStyle w:val="InstructionsText"/>
              <w:rPr>
                <w:spacing w:val="-2"/>
              </w:rPr>
            </w:pPr>
            <w:r w:rsidRPr="006A4431">
              <w:rPr>
                <w:spacing w:val="-2"/>
              </w:rPr>
              <w:t>Články 58</w:t>
            </w:r>
            <w:r w:rsidR="00D85C65" w:rsidRPr="006A4431">
              <w:rPr>
                <w:spacing w:val="-2"/>
              </w:rPr>
              <w:t xml:space="preserve"> a </w:t>
            </w:r>
            <w:r w:rsidRPr="006A4431">
              <w:rPr>
                <w:spacing w:val="-2"/>
              </w:rPr>
              <w:t>59 CRR.</w:t>
            </w:r>
          </w:p>
        </w:tc>
      </w:tr>
      <w:tr w:rsidR="00235D9D" w:rsidRPr="006A4431" w14:paraId="5D7399BF" w14:textId="77777777" w:rsidTr="00672D2A">
        <w:tc>
          <w:tcPr>
            <w:tcW w:w="1506" w:type="dxa"/>
          </w:tcPr>
          <w:p w14:paraId="1FA002BB" w14:textId="77777777" w:rsidR="00235D9D" w:rsidRPr="006A4431" w:rsidRDefault="002648B0">
            <w:pPr>
              <w:pStyle w:val="InstructionsText"/>
              <w:rPr>
                <w:spacing w:val="-2"/>
              </w:rPr>
            </w:pPr>
            <w:r w:rsidRPr="006A4431">
              <w:rPr>
                <w:spacing w:val="-2"/>
              </w:rPr>
              <w:t>530</w:t>
            </w:r>
          </w:p>
        </w:tc>
        <w:tc>
          <w:tcPr>
            <w:tcW w:w="7243" w:type="dxa"/>
          </w:tcPr>
          <w:p w14:paraId="58958D69" w14:textId="41CF9C52" w:rsidR="00235D9D" w:rsidRPr="006A4431" w:rsidRDefault="002648B0">
            <w:pPr>
              <w:pStyle w:val="InstructionsText"/>
              <w:rPr>
                <w:spacing w:val="-2"/>
              </w:rPr>
            </w:pPr>
            <w:r w:rsidRPr="006A4431">
              <w:rPr>
                <w:rStyle w:val="InstructionsTabelleberschrift"/>
                <w:rFonts w:ascii="Times New Roman" w:hAnsi="Times New Roman"/>
                <w:spacing w:val="-2"/>
                <w:sz w:val="24"/>
              </w:rPr>
              <w:t>16.1.1.</w:t>
            </w:r>
            <w:r w:rsidRPr="006A4431">
              <w:rPr>
                <w:rStyle w:val="InstructionsTabelleberschrift"/>
                <w:rFonts w:ascii="Times New Roman" w:hAnsi="Times New Roman"/>
                <w:spacing w:val="-2"/>
                <w:sz w:val="24"/>
              </w:rPr>
              <w:tab/>
              <w:t>Brutto 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7C5EC7F0" w14:textId="7B3C53AE" w:rsidR="00235D9D" w:rsidRPr="006A4431" w:rsidRDefault="002648B0">
            <w:pPr>
              <w:pStyle w:val="InstructionsText"/>
              <w:rPr>
                <w:spacing w:val="-2"/>
              </w:rPr>
            </w:pPr>
            <w:r w:rsidRPr="006A4431">
              <w:rPr>
                <w:spacing w:val="-2"/>
              </w:rPr>
              <w:t>Článok 58 CRR.</w:t>
            </w:r>
          </w:p>
          <w:p w14:paraId="5B293760" w14:textId="77777777" w:rsidR="00235D9D" w:rsidRPr="006A4431" w:rsidRDefault="002648B0">
            <w:pPr>
              <w:pStyle w:val="InstructionsText"/>
              <w:rPr>
                <w:spacing w:val="-2"/>
              </w:rPr>
            </w:pPr>
            <w:r w:rsidRPr="006A4431">
              <w:rPr>
                <w:spacing w:val="-2"/>
              </w:rPr>
              <w:t>Priame podiely kapitálu AT1 subjektov finančného sektora, keď inštitúcia má významnú investíciu, bez:</w:t>
            </w:r>
          </w:p>
          <w:p w14:paraId="573E3B03" w14:textId="0A3CDF3A" w:rsidR="00235D9D" w:rsidRPr="006A4431" w:rsidRDefault="002648B0">
            <w:pPr>
              <w:pStyle w:val="InstructionsText"/>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držaných päť pracovných dní alebo menej [článok 56 písm. d) CRR]; a</w:t>
            </w:r>
          </w:p>
          <w:p w14:paraId="096AB377" w14:textId="04166BA1" w:rsidR="00235D9D" w:rsidRPr="006A4431" w:rsidRDefault="002648B0">
            <w:pPr>
              <w:pStyle w:val="InstructionsText"/>
              <w:rPr>
                <w:spacing w:val="-2"/>
              </w:rPr>
            </w:pPr>
            <w:r w:rsidRPr="006A4431">
              <w:rPr>
                <w:spacing w:val="-2"/>
              </w:rPr>
              <w:t>b)</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56 písm. b) CRR.</w:t>
            </w:r>
          </w:p>
        </w:tc>
      </w:tr>
      <w:tr w:rsidR="00235D9D" w:rsidRPr="006A4431" w14:paraId="466DFC89" w14:textId="77777777" w:rsidTr="00672D2A">
        <w:tc>
          <w:tcPr>
            <w:tcW w:w="1506" w:type="dxa"/>
          </w:tcPr>
          <w:p w14:paraId="36DE1319" w14:textId="77777777" w:rsidR="00235D9D" w:rsidRPr="006A4431" w:rsidRDefault="002648B0">
            <w:pPr>
              <w:pStyle w:val="InstructionsText"/>
              <w:rPr>
                <w:spacing w:val="-2"/>
              </w:rPr>
            </w:pPr>
            <w:r w:rsidRPr="006A4431">
              <w:rPr>
                <w:spacing w:val="-2"/>
              </w:rPr>
              <w:t>540</w:t>
            </w:r>
          </w:p>
        </w:tc>
        <w:tc>
          <w:tcPr>
            <w:tcW w:w="7243" w:type="dxa"/>
          </w:tcPr>
          <w:p w14:paraId="008F7057" w14:textId="088E679C" w:rsidR="00235D9D" w:rsidRPr="006A4431" w:rsidRDefault="002648B0">
            <w:pPr>
              <w:pStyle w:val="InstructionsText"/>
              <w:rPr>
                <w:spacing w:val="-2"/>
              </w:rPr>
            </w:pPr>
            <w:r w:rsidRPr="006A4431">
              <w:rPr>
                <w:rStyle w:val="InstructionsTabelleberschrift"/>
                <w:rFonts w:ascii="Times New Roman" w:hAnsi="Times New Roman"/>
                <w:spacing w:val="-2"/>
                <w:sz w:val="24"/>
              </w:rPr>
              <w:t>16.1.2.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19D56D4F" w14:textId="6C7D832C" w:rsidR="00235D9D" w:rsidRPr="006A4431" w:rsidRDefault="002648B0">
            <w:pPr>
              <w:pStyle w:val="InstructionsText"/>
              <w:rPr>
                <w:spacing w:val="-2"/>
              </w:rPr>
            </w:pPr>
            <w:r w:rsidRPr="006A4431">
              <w:rPr>
                <w:spacing w:val="-2"/>
              </w:rPr>
              <w:t>Článok 59 CRR.</w:t>
            </w:r>
          </w:p>
          <w:p w14:paraId="2BCF2FEA" w14:textId="064D177B" w:rsidR="00235D9D" w:rsidRPr="006A4431" w:rsidRDefault="0014657C">
            <w:pPr>
              <w:pStyle w:val="InstructionsText"/>
              <w:rPr>
                <w:spacing w:val="-2"/>
              </w:rPr>
            </w:pPr>
            <w:r w:rsidRPr="006A4431">
              <w:rPr>
                <w:spacing w:val="-2"/>
              </w:rPr>
              <w:t>Článok 59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240757EC" w14:textId="77777777" w:rsidTr="00672D2A">
        <w:tc>
          <w:tcPr>
            <w:tcW w:w="1506" w:type="dxa"/>
          </w:tcPr>
          <w:p w14:paraId="047DF1C5" w14:textId="77777777" w:rsidR="00235D9D" w:rsidRPr="006A4431" w:rsidRDefault="002648B0">
            <w:pPr>
              <w:pStyle w:val="InstructionsText"/>
              <w:rPr>
                <w:spacing w:val="-2"/>
              </w:rPr>
            </w:pPr>
            <w:r w:rsidRPr="006A4431">
              <w:rPr>
                <w:spacing w:val="-2"/>
              </w:rPr>
              <w:t>550</w:t>
            </w:r>
          </w:p>
        </w:tc>
        <w:tc>
          <w:tcPr>
            <w:tcW w:w="7243" w:type="dxa"/>
          </w:tcPr>
          <w:p w14:paraId="6EB0D433" w14:textId="1738BEDE" w:rsidR="00235D9D" w:rsidRPr="006A4431" w:rsidRDefault="002648B0">
            <w:pPr>
              <w:pStyle w:val="InstructionsText"/>
              <w:rPr>
                <w:spacing w:val="-2"/>
              </w:rPr>
            </w:pPr>
            <w:r w:rsidRPr="006A4431">
              <w:rPr>
                <w:rStyle w:val="InstructionsTabelleberschrift"/>
                <w:rFonts w:ascii="Times New Roman" w:hAnsi="Times New Roman"/>
                <w:spacing w:val="-2"/>
                <w:sz w:val="24"/>
              </w:rPr>
              <w:t>16.2.</w:t>
            </w:r>
            <w:r w:rsidRPr="006A4431">
              <w:rPr>
                <w:rStyle w:val="InstructionsTabelleberschrift"/>
                <w:rFonts w:ascii="Times New Roman" w:hAnsi="Times New Roman"/>
                <w:spacing w:val="-2"/>
                <w:sz w:val="24"/>
              </w:rPr>
              <w:tab/>
              <w:t>Nepriame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10C9AD3B" w14:textId="62017986" w:rsidR="00235D9D" w:rsidRPr="006A4431" w:rsidRDefault="00214FDA">
            <w:pPr>
              <w:pStyle w:val="InstructionsText"/>
              <w:rPr>
                <w:spacing w:val="-2"/>
              </w:rPr>
            </w:pPr>
            <w:r w:rsidRPr="006A4431">
              <w:rPr>
                <w:spacing w:val="-2"/>
              </w:rPr>
              <w:lastRenderedPageBreak/>
              <w:t>Článok 4 ods. 1 bod 114</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58CE0149" w14:textId="77777777" w:rsidTr="00672D2A">
        <w:tc>
          <w:tcPr>
            <w:tcW w:w="1506" w:type="dxa"/>
          </w:tcPr>
          <w:p w14:paraId="48C4C802" w14:textId="77777777" w:rsidR="00235D9D" w:rsidRPr="006A4431" w:rsidRDefault="002648B0">
            <w:pPr>
              <w:pStyle w:val="InstructionsText"/>
              <w:rPr>
                <w:spacing w:val="-2"/>
              </w:rPr>
            </w:pPr>
            <w:r w:rsidRPr="006A4431">
              <w:rPr>
                <w:spacing w:val="-2"/>
              </w:rPr>
              <w:lastRenderedPageBreak/>
              <w:t>560</w:t>
            </w:r>
          </w:p>
        </w:tc>
        <w:tc>
          <w:tcPr>
            <w:tcW w:w="7243" w:type="dxa"/>
          </w:tcPr>
          <w:p w14:paraId="4039D54F" w14:textId="2F50E455" w:rsidR="00235D9D" w:rsidRPr="006A4431" w:rsidRDefault="002648B0">
            <w:pPr>
              <w:pStyle w:val="InstructionsText"/>
              <w:rPr>
                <w:spacing w:val="-2"/>
              </w:rPr>
            </w:pPr>
            <w:r w:rsidRPr="006A4431">
              <w:rPr>
                <w:rStyle w:val="InstructionsTabelleberschrift"/>
                <w:rFonts w:ascii="Times New Roman" w:hAnsi="Times New Roman"/>
                <w:spacing w:val="-2"/>
                <w:sz w:val="24"/>
              </w:rPr>
              <w:t>16.2.1.</w:t>
            </w:r>
            <w:r w:rsidRPr="006A4431">
              <w:rPr>
                <w:rStyle w:val="InstructionsTabelleberschrift"/>
                <w:rFonts w:ascii="Times New Roman" w:hAnsi="Times New Roman"/>
                <w:spacing w:val="-2"/>
                <w:sz w:val="24"/>
              </w:rPr>
              <w:tab/>
              <w:t>Brutto nepriame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05B916B6" w14:textId="041F51C6"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p w14:paraId="28A903E2" w14:textId="673341C8" w:rsidR="00235D9D" w:rsidRPr="006A4431" w:rsidRDefault="002648B0">
            <w:pPr>
              <w:pStyle w:val="InstructionsText"/>
              <w:rPr>
                <w:spacing w:val="-2"/>
              </w:rPr>
            </w:pPr>
            <w:r w:rsidRPr="006A4431">
              <w:rPr>
                <w:spacing w:val="-2"/>
              </w:rPr>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7706BEAE" w14:textId="35960476"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56 písm. b) CRR, sa nezapočítavajú.</w:t>
            </w:r>
          </w:p>
        </w:tc>
      </w:tr>
      <w:tr w:rsidR="00235D9D" w:rsidRPr="006A4431" w14:paraId="14E003A3" w14:textId="77777777" w:rsidTr="00672D2A">
        <w:tc>
          <w:tcPr>
            <w:tcW w:w="1506" w:type="dxa"/>
          </w:tcPr>
          <w:p w14:paraId="721432E5" w14:textId="77777777" w:rsidR="00235D9D" w:rsidRPr="006A4431" w:rsidRDefault="002648B0">
            <w:pPr>
              <w:pStyle w:val="InstructionsText"/>
              <w:rPr>
                <w:spacing w:val="-2"/>
              </w:rPr>
            </w:pPr>
            <w:r w:rsidRPr="006A4431">
              <w:rPr>
                <w:spacing w:val="-2"/>
              </w:rPr>
              <w:t>570</w:t>
            </w:r>
          </w:p>
        </w:tc>
        <w:tc>
          <w:tcPr>
            <w:tcW w:w="7243" w:type="dxa"/>
          </w:tcPr>
          <w:p w14:paraId="0BF1722E" w14:textId="4A246058" w:rsidR="00235D9D" w:rsidRPr="006A4431" w:rsidRDefault="002648B0">
            <w:pPr>
              <w:pStyle w:val="InstructionsText"/>
              <w:rPr>
                <w:spacing w:val="-2"/>
              </w:rPr>
            </w:pPr>
            <w:r w:rsidRPr="006A4431">
              <w:rPr>
                <w:rStyle w:val="InstructionsTabelleberschrift"/>
                <w:rFonts w:ascii="Times New Roman" w:hAnsi="Times New Roman"/>
                <w:spacing w:val="-2"/>
                <w:sz w:val="24"/>
              </w:rPr>
              <w:t>16.2.2.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48B61345" w14:textId="0D4C4B7A"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59 CRR.</w:t>
            </w:r>
          </w:p>
          <w:p w14:paraId="0C0E1FA0" w14:textId="025AFC64" w:rsidR="00235D9D" w:rsidRPr="006A4431" w:rsidRDefault="0014657C">
            <w:pPr>
              <w:pStyle w:val="InstructionsText"/>
              <w:rPr>
                <w:spacing w:val="-2"/>
              </w:rPr>
            </w:pPr>
            <w:r w:rsidRPr="006A4431">
              <w:rPr>
                <w:spacing w:val="-2"/>
              </w:rPr>
              <w:t>Článok 59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28CE4219" w14:textId="77777777" w:rsidTr="00672D2A">
        <w:tc>
          <w:tcPr>
            <w:tcW w:w="1506" w:type="dxa"/>
          </w:tcPr>
          <w:p w14:paraId="70F834C4" w14:textId="77777777" w:rsidR="00235D9D" w:rsidRPr="006A4431" w:rsidRDefault="00E81DB9">
            <w:pPr>
              <w:pStyle w:val="InstructionsText"/>
              <w:rPr>
                <w:spacing w:val="-2"/>
              </w:rPr>
            </w:pPr>
            <w:r w:rsidRPr="006A4431">
              <w:rPr>
                <w:spacing w:val="-2"/>
              </w:rPr>
              <w:t>571</w:t>
            </w:r>
          </w:p>
        </w:tc>
        <w:tc>
          <w:tcPr>
            <w:tcW w:w="7243" w:type="dxa"/>
          </w:tcPr>
          <w:p w14:paraId="7D0D3803" w14:textId="1C1D0394" w:rsidR="00235D9D" w:rsidRPr="006A4431" w:rsidRDefault="00E81DB9">
            <w:pPr>
              <w:pStyle w:val="InstructionsText"/>
              <w:rPr>
                <w:spacing w:val="-2"/>
              </w:rPr>
            </w:pPr>
            <w:r w:rsidRPr="006A4431">
              <w:rPr>
                <w:rStyle w:val="InstructionsTabelleberschrift"/>
                <w:rFonts w:ascii="Times New Roman" w:hAnsi="Times New Roman"/>
                <w:spacing w:val="-2"/>
                <w:sz w:val="24"/>
              </w:rPr>
              <w:t>16.3.</w:t>
            </w:r>
            <w:r w:rsidRPr="006A4431">
              <w:rPr>
                <w:rStyle w:val="InstructionsTabelleberschrift"/>
                <w:rFonts w:ascii="Times New Roman" w:hAnsi="Times New Roman"/>
                <w:spacing w:val="-2"/>
                <w:sz w:val="24"/>
              </w:rPr>
              <w:tab/>
              <w:t>Syntetické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7F2AD22F" w14:textId="47715D16"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4BEC707A" w14:textId="77777777" w:rsidTr="00672D2A">
        <w:tc>
          <w:tcPr>
            <w:tcW w:w="1506" w:type="dxa"/>
          </w:tcPr>
          <w:p w14:paraId="0BCA77A7" w14:textId="77777777" w:rsidR="00235D9D" w:rsidRPr="006A4431" w:rsidRDefault="00E81DB9">
            <w:pPr>
              <w:pStyle w:val="InstructionsText"/>
              <w:rPr>
                <w:spacing w:val="-2"/>
              </w:rPr>
            </w:pPr>
            <w:r w:rsidRPr="006A4431">
              <w:rPr>
                <w:spacing w:val="-2"/>
              </w:rPr>
              <w:t>572</w:t>
            </w:r>
          </w:p>
        </w:tc>
        <w:tc>
          <w:tcPr>
            <w:tcW w:w="7243" w:type="dxa"/>
          </w:tcPr>
          <w:p w14:paraId="715CE87A" w14:textId="615F5A96" w:rsidR="00235D9D" w:rsidRPr="006A4431" w:rsidRDefault="00E81DB9">
            <w:pPr>
              <w:pStyle w:val="InstructionsText"/>
              <w:rPr>
                <w:spacing w:val="-2"/>
              </w:rPr>
            </w:pPr>
            <w:r w:rsidRPr="006A4431">
              <w:rPr>
                <w:rStyle w:val="InstructionsTabelleberschrift"/>
                <w:rFonts w:ascii="Times New Roman" w:hAnsi="Times New Roman"/>
                <w:spacing w:val="-2"/>
                <w:sz w:val="24"/>
              </w:rPr>
              <w:t>16.3.1.</w:t>
            </w:r>
            <w:r w:rsidRPr="006A4431">
              <w:rPr>
                <w:rStyle w:val="InstructionsTabelleberschrift"/>
                <w:rFonts w:ascii="Times New Roman" w:hAnsi="Times New Roman"/>
                <w:spacing w:val="-2"/>
                <w:sz w:val="24"/>
              </w:rPr>
              <w:tab/>
              <w:t>Brutto syntetické podiely kapitálu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144F93F9" w14:textId="3D6C5DFC"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58</w:t>
            </w:r>
            <w:r w:rsidR="00D85C65" w:rsidRPr="006A4431">
              <w:rPr>
                <w:spacing w:val="-2"/>
              </w:rPr>
              <w:t xml:space="preserve"> a </w:t>
            </w:r>
            <w:r w:rsidRPr="006A4431">
              <w:rPr>
                <w:spacing w:val="-2"/>
              </w:rPr>
              <w:t>59 CRR.</w:t>
            </w:r>
          </w:p>
        </w:tc>
      </w:tr>
      <w:tr w:rsidR="00235D9D" w:rsidRPr="006A4431" w14:paraId="633C061F" w14:textId="77777777" w:rsidTr="00672D2A">
        <w:tc>
          <w:tcPr>
            <w:tcW w:w="1506" w:type="dxa"/>
          </w:tcPr>
          <w:p w14:paraId="48A3DAED" w14:textId="77777777" w:rsidR="00235D9D" w:rsidRPr="006A4431" w:rsidRDefault="00E81DB9">
            <w:pPr>
              <w:pStyle w:val="InstructionsText"/>
              <w:rPr>
                <w:spacing w:val="-2"/>
              </w:rPr>
            </w:pPr>
            <w:r w:rsidRPr="006A4431">
              <w:rPr>
                <w:spacing w:val="-2"/>
              </w:rPr>
              <w:t>573</w:t>
            </w:r>
          </w:p>
        </w:tc>
        <w:tc>
          <w:tcPr>
            <w:tcW w:w="7243" w:type="dxa"/>
          </w:tcPr>
          <w:p w14:paraId="5112916F" w14:textId="38D88CF6" w:rsidR="00235D9D" w:rsidRPr="006A4431" w:rsidRDefault="00E81DB9">
            <w:pPr>
              <w:pStyle w:val="InstructionsText"/>
              <w:rPr>
                <w:spacing w:val="-2"/>
              </w:rPr>
            </w:pPr>
            <w:r w:rsidRPr="006A4431">
              <w:rPr>
                <w:rStyle w:val="InstructionsTabelleberschrift"/>
                <w:rFonts w:ascii="Times New Roman" w:hAnsi="Times New Roman"/>
                <w:spacing w:val="-2"/>
                <w:sz w:val="24"/>
              </w:rPr>
              <w:t>16.3.2.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50623946" w14:textId="1CE9BCE2"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článok 59 CRR.</w:t>
            </w:r>
          </w:p>
        </w:tc>
      </w:tr>
      <w:tr w:rsidR="00235D9D" w:rsidRPr="006A4431" w14:paraId="50E519C6" w14:textId="77777777" w:rsidTr="00672D2A">
        <w:tc>
          <w:tcPr>
            <w:tcW w:w="1506" w:type="dxa"/>
          </w:tcPr>
          <w:p w14:paraId="10C3CF59" w14:textId="77777777" w:rsidR="00235D9D" w:rsidRPr="006A4431" w:rsidRDefault="002648B0">
            <w:pPr>
              <w:pStyle w:val="InstructionsText"/>
              <w:rPr>
                <w:spacing w:val="-2"/>
              </w:rPr>
            </w:pPr>
            <w:r w:rsidRPr="006A4431">
              <w:rPr>
                <w:spacing w:val="-2"/>
              </w:rPr>
              <w:t>580</w:t>
            </w:r>
          </w:p>
        </w:tc>
        <w:tc>
          <w:tcPr>
            <w:tcW w:w="7243" w:type="dxa"/>
          </w:tcPr>
          <w:p w14:paraId="42F63504" w14:textId="4F910DE1" w:rsidR="00235D9D" w:rsidRPr="006A4431" w:rsidRDefault="002648B0">
            <w:pPr>
              <w:pStyle w:val="InstructionsText"/>
              <w:rPr>
                <w:spacing w:val="-2"/>
              </w:rPr>
            </w:pPr>
            <w:r w:rsidRPr="006A4431">
              <w:rPr>
                <w:rStyle w:val="InstructionsTabelleberschrift"/>
                <w:rFonts w:ascii="Times New Roman" w:hAnsi="Times New Roman"/>
                <w:spacing w:val="-2"/>
                <w:sz w:val="24"/>
              </w:rPr>
              <w:t>17</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 xml:space="preserv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po odpočítaní krátkych pozícií</w:t>
            </w:r>
          </w:p>
          <w:p w14:paraId="7A5CB051" w14:textId="6BEA13AE" w:rsidR="00235D9D" w:rsidRPr="006A4431" w:rsidRDefault="002648B0">
            <w:pPr>
              <w:pStyle w:val="InstructionsText"/>
              <w:rPr>
                <w:spacing w:val="-2"/>
              </w:rPr>
            </w:pPr>
            <w:r w:rsidRPr="006A4431">
              <w:rPr>
                <w:spacing w:val="-2"/>
              </w:rPr>
              <w:t>Články 68</w:t>
            </w:r>
            <w:r w:rsidR="00D85C65" w:rsidRPr="006A4431">
              <w:rPr>
                <w:spacing w:val="-2"/>
              </w:rPr>
              <w:t xml:space="preserve"> a </w:t>
            </w:r>
            <w:r w:rsidRPr="006A4431">
              <w:rPr>
                <w:spacing w:val="-2"/>
              </w:rPr>
              <w:t>69 CRR.</w:t>
            </w:r>
          </w:p>
        </w:tc>
      </w:tr>
      <w:tr w:rsidR="00235D9D" w:rsidRPr="006A4431" w14:paraId="55B076F7" w14:textId="77777777" w:rsidTr="00672D2A">
        <w:tc>
          <w:tcPr>
            <w:tcW w:w="1506" w:type="dxa"/>
          </w:tcPr>
          <w:p w14:paraId="001A8EA2" w14:textId="77777777" w:rsidR="00235D9D" w:rsidRPr="006A4431" w:rsidRDefault="002648B0">
            <w:pPr>
              <w:pStyle w:val="InstructionsText"/>
              <w:rPr>
                <w:spacing w:val="-2"/>
              </w:rPr>
            </w:pPr>
            <w:r w:rsidRPr="006A4431">
              <w:rPr>
                <w:spacing w:val="-2"/>
              </w:rPr>
              <w:t>590</w:t>
            </w:r>
          </w:p>
        </w:tc>
        <w:tc>
          <w:tcPr>
            <w:tcW w:w="7243" w:type="dxa"/>
          </w:tcPr>
          <w:p w14:paraId="15DE9E31" w14:textId="26356B45" w:rsidR="00235D9D" w:rsidRPr="006A4431" w:rsidRDefault="002648B0">
            <w:pPr>
              <w:pStyle w:val="InstructionsText"/>
              <w:rPr>
                <w:spacing w:val="-2"/>
              </w:rPr>
            </w:pPr>
            <w:r w:rsidRPr="006A4431">
              <w:rPr>
                <w:rStyle w:val="InstructionsTabelleberschrift"/>
                <w:rFonts w:ascii="Times New Roman" w:hAnsi="Times New Roman"/>
                <w:spacing w:val="-2"/>
                <w:sz w:val="24"/>
              </w:rPr>
              <w:t>17.1.</w:t>
            </w:r>
            <w:r w:rsidRPr="006A4431">
              <w:rPr>
                <w:rStyle w:val="InstructionsTabelleberschrift"/>
                <w:rFonts w:ascii="Times New Roman" w:hAnsi="Times New Roman"/>
                <w:spacing w:val="-2"/>
                <w:sz w:val="24"/>
              </w:rPr>
              <w:tab/>
              <w:t>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18678044" w14:textId="7813DE53" w:rsidR="00235D9D" w:rsidRPr="006A4431" w:rsidRDefault="002648B0">
            <w:pPr>
              <w:pStyle w:val="InstructionsText"/>
              <w:rPr>
                <w:spacing w:val="-2"/>
              </w:rPr>
            </w:pPr>
            <w:r w:rsidRPr="006A4431">
              <w:rPr>
                <w:spacing w:val="-2"/>
              </w:rPr>
              <w:t>Články 68</w:t>
            </w:r>
            <w:r w:rsidR="00D85C65" w:rsidRPr="006A4431">
              <w:rPr>
                <w:spacing w:val="-2"/>
              </w:rPr>
              <w:t xml:space="preserve"> a </w:t>
            </w:r>
            <w:r w:rsidRPr="006A4431">
              <w:rPr>
                <w:spacing w:val="-2"/>
              </w:rPr>
              <w:t>69 CRR.</w:t>
            </w:r>
          </w:p>
        </w:tc>
      </w:tr>
      <w:tr w:rsidR="00235D9D" w:rsidRPr="006A4431" w14:paraId="4D94C750" w14:textId="77777777" w:rsidTr="00672D2A">
        <w:tc>
          <w:tcPr>
            <w:tcW w:w="1506" w:type="dxa"/>
          </w:tcPr>
          <w:p w14:paraId="6DD0D1F4" w14:textId="77777777" w:rsidR="00235D9D" w:rsidRPr="006A4431" w:rsidRDefault="002648B0">
            <w:pPr>
              <w:pStyle w:val="InstructionsText"/>
              <w:rPr>
                <w:spacing w:val="-2"/>
              </w:rPr>
            </w:pPr>
            <w:r w:rsidRPr="006A4431">
              <w:rPr>
                <w:spacing w:val="-2"/>
              </w:rPr>
              <w:t>600</w:t>
            </w:r>
          </w:p>
        </w:tc>
        <w:tc>
          <w:tcPr>
            <w:tcW w:w="7243" w:type="dxa"/>
          </w:tcPr>
          <w:p w14:paraId="7F136317" w14:textId="23CC8115" w:rsidR="00235D9D" w:rsidRPr="006A4431" w:rsidRDefault="002648B0">
            <w:pPr>
              <w:pStyle w:val="InstructionsText"/>
              <w:rPr>
                <w:spacing w:val="-2"/>
              </w:rPr>
            </w:pPr>
            <w:r w:rsidRPr="006A4431">
              <w:rPr>
                <w:rStyle w:val="InstructionsTabelleberschrift"/>
                <w:rFonts w:ascii="Times New Roman" w:hAnsi="Times New Roman"/>
                <w:spacing w:val="-2"/>
                <w:sz w:val="24"/>
              </w:rPr>
              <w:t>17.1.1.</w:t>
            </w:r>
            <w:r w:rsidRPr="006A4431">
              <w:rPr>
                <w:rStyle w:val="InstructionsTabelleberschrift"/>
                <w:rFonts w:ascii="Times New Roman" w:hAnsi="Times New Roman"/>
                <w:spacing w:val="-2"/>
                <w:sz w:val="24"/>
              </w:rPr>
              <w:tab/>
              <w:t>Brutto 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25CD6776" w14:textId="506DD83C" w:rsidR="00235D9D" w:rsidRPr="006A4431" w:rsidRDefault="002648B0">
            <w:pPr>
              <w:pStyle w:val="InstructionsText"/>
              <w:rPr>
                <w:spacing w:val="-2"/>
              </w:rPr>
            </w:pPr>
            <w:r w:rsidRPr="006A4431">
              <w:rPr>
                <w:spacing w:val="-2"/>
              </w:rPr>
              <w:t>Článok 68 CRR.</w:t>
            </w:r>
          </w:p>
          <w:p w14:paraId="5406E851" w14:textId="77777777" w:rsidR="00235D9D" w:rsidRPr="006A4431" w:rsidRDefault="002648B0">
            <w:pPr>
              <w:pStyle w:val="InstructionsText"/>
              <w:rPr>
                <w:spacing w:val="-2"/>
              </w:rPr>
            </w:pPr>
            <w:r w:rsidRPr="006A4431">
              <w:rPr>
                <w:spacing w:val="-2"/>
              </w:rPr>
              <w:t>Priame podiely kapitálu T2 subjektov finančného sektora, keď inštitúcia má významnú investíciu, bez:</w:t>
            </w:r>
          </w:p>
          <w:p w14:paraId="1890EEA3" w14:textId="77777777" w:rsidR="00D85C65" w:rsidRPr="006A4431" w:rsidRDefault="002648B0">
            <w:pPr>
              <w:pStyle w:val="InstructionsText"/>
              <w:ind w:left="423" w:hanging="423"/>
              <w:rPr>
                <w:spacing w:val="-2"/>
              </w:rPr>
            </w:pPr>
            <w:r w:rsidRPr="006A4431">
              <w:rPr>
                <w:spacing w:val="-2"/>
              </w:rPr>
              <w:t>a)</w:t>
            </w:r>
            <w:r w:rsidRPr="006A4431">
              <w:rPr>
                <w:spacing w:val="-2"/>
              </w:rPr>
              <w:tab/>
              <w:t>pozícií</w:t>
            </w:r>
            <w:r w:rsidR="00D85C65" w:rsidRPr="006A4431">
              <w:rPr>
                <w:spacing w:val="-2"/>
              </w:rPr>
              <w:t xml:space="preserve"> z </w:t>
            </w:r>
            <w:r w:rsidRPr="006A4431">
              <w:rPr>
                <w:spacing w:val="-2"/>
              </w:rPr>
              <w:t>upísania držaných päť pracovných dní alebo menej [článok 66 písm. d) CRR];</w:t>
            </w:r>
            <w:r w:rsidR="00D85C65" w:rsidRPr="006A4431">
              <w:rPr>
                <w:spacing w:val="-2"/>
              </w:rPr>
              <w:t xml:space="preserve"> a</w:t>
            </w:r>
          </w:p>
          <w:p w14:paraId="5472A79B" w14:textId="409112F4" w:rsidR="00235D9D" w:rsidRPr="006A4431" w:rsidRDefault="002648B0">
            <w:pPr>
              <w:pStyle w:val="InstructionsText"/>
              <w:ind w:left="423" w:hanging="423"/>
              <w:rPr>
                <w:spacing w:val="-2"/>
              </w:rPr>
            </w:pPr>
            <w:r w:rsidRPr="006A4431">
              <w:rPr>
                <w:spacing w:val="-2"/>
              </w:rPr>
              <w:lastRenderedPageBreak/>
              <w:t>b)</w:t>
            </w:r>
            <w:r w:rsidRPr="006A4431">
              <w:rPr>
                <w:spacing w:val="-2"/>
              </w:rPr>
              <w:tab/>
              <w:t>podielov,</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66 písm. b) CRR.</w:t>
            </w:r>
          </w:p>
        </w:tc>
      </w:tr>
      <w:tr w:rsidR="00235D9D" w:rsidRPr="006A4431" w14:paraId="51CF4FFC" w14:textId="77777777" w:rsidTr="00672D2A">
        <w:tc>
          <w:tcPr>
            <w:tcW w:w="1506" w:type="dxa"/>
          </w:tcPr>
          <w:p w14:paraId="5FAF3861" w14:textId="77777777" w:rsidR="00235D9D" w:rsidRPr="006A4431" w:rsidRDefault="002648B0">
            <w:pPr>
              <w:pStyle w:val="InstructionsText"/>
              <w:rPr>
                <w:spacing w:val="-2"/>
              </w:rPr>
            </w:pPr>
            <w:r w:rsidRPr="006A4431">
              <w:rPr>
                <w:spacing w:val="-2"/>
              </w:rPr>
              <w:lastRenderedPageBreak/>
              <w:t>610</w:t>
            </w:r>
          </w:p>
        </w:tc>
        <w:tc>
          <w:tcPr>
            <w:tcW w:w="7243" w:type="dxa"/>
          </w:tcPr>
          <w:p w14:paraId="6012C5CA" w14:textId="1B3E6122" w:rsidR="00235D9D" w:rsidRPr="006A4431" w:rsidRDefault="002648B0">
            <w:pPr>
              <w:pStyle w:val="InstructionsText"/>
              <w:rPr>
                <w:spacing w:val="-2"/>
              </w:rPr>
            </w:pPr>
            <w:r w:rsidRPr="006A4431">
              <w:rPr>
                <w:rStyle w:val="InstructionsTabelleberschrift"/>
                <w:rFonts w:ascii="Times New Roman" w:hAnsi="Times New Roman"/>
                <w:spacing w:val="-2"/>
                <w:sz w:val="24"/>
              </w:rPr>
              <w:t>17.1.2.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priamymi brutto podielmi uvedenými vyššie</w:t>
            </w:r>
          </w:p>
          <w:p w14:paraId="4B3ACD72" w14:textId="25B4CBD0" w:rsidR="00235D9D" w:rsidRPr="006A4431" w:rsidRDefault="002648B0">
            <w:pPr>
              <w:pStyle w:val="InstructionsText"/>
              <w:rPr>
                <w:spacing w:val="-2"/>
              </w:rPr>
            </w:pPr>
            <w:r w:rsidRPr="006A4431">
              <w:rPr>
                <w:spacing w:val="-2"/>
              </w:rPr>
              <w:t>Článok 69 CRR.</w:t>
            </w:r>
          </w:p>
          <w:p w14:paraId="29E859F2" w14:textId="69DA4AF4" w:rsidR="00235D9D" w:rsidRPr="006A4431" w:rsidRDefault="0014657C">
            <w:pPr>
              <w:pStyle w:val="InstructionsText"/>
              <w:rPr>
                <w:spacing w:val="-2"/>
              </w:rPr>
            </w:pPr>
            <w:r w:rsidRPr="006A4431">
              <w:rPr>
                <w:spacing w:val="-2"/>
              </w:rPr>
              <w:t>Článok 69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2EF64A0D" w14:textId="77777777" w:rsidTr="00672D2A">
        <w:tc>
          <w:tcPr>
            <w:tcW w:w="1506" w:type="dxa"/>
          </w:tcPr>
          <w:p w14:paraId="193C63CC" w14:textId="77777777" w:rsidR="00235D9D" w:rsidRPr="006A4431" w:rsidRDefault="002648B0">
            <w:pPr>
              <w:pStyle w:val="InstructionsText"/>
              <w:rPr>
                <w:spacing w:val="-2"/>
              </w:rPr>
            </w:pPr>
            <w:r w:rsidRPr="006A4431">
              <w:rPr>
                <w:spacing w:val="-2"/>
              </w:rPr>
              <w:t>620</w:t>
            </w:r>
          </w:p>
        </w:tc>
        <w:tc>
          <w:tcPr>
            <w:tcW w:w="7243" w:type="dxa"/>
          </w:tcPr>
          <w:p w14:paraId="3CCD3624" w14:textId="52B158D9" w:rsidR="00235D9D" w:rsidRPr="006A4431" w:rsidRDefault="002648B0">
            <w:pPr>
              <w:pStyle w:val="InstructionsText"/>
              <w:rPr>
                <w:spacing w:val="-2"/>
              </w:rPr>
            </w:pPr>
            <w:r w:rsidRPr="006A4431">
              <w:rPr>
                <w:rStyle w:val="InstructionsTabelleberschrift"/>
                <w:rFonts w:ascii="Times New Roman" w:hAnsi="Times New Roman"/>
                <w:spacing w:val="-2"/>
                <w:sz w:val="24"/>
              </w:rPr>
              <w:t>17.2.</w:t>
            </w:r>
            <w:r w:rsidRPr="006A4431">
              <w:rPr>
                <w:rStyle w:val="InstructionsTabelleberschrift"/>
                <w:rFonts w:ascii="Times New Roman" w:hAnsi="Times New Roman"/>
                <w:spacing w:val="-2"/>
                <w:sz w:val="24"/>
              </w:rPr>
              <w:tab/>
              <w:t>Nepriame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27A2E34A" w14:textId="59482171"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612D3C25" w14:textId="77777777" w:rsidTr="00672D2A">
        <w:tc>
          <w:tcPr>
            <w:tcW w:w="1506" w:type="dxa"/>
          </w:tcPr>
          <w:p w14:paraId="3983A918" w14:textId="77777777" w:rsidR="00235D9D" w:rsidRPr="006A4431" w:rsidRDefault="002648B0">
            <w:pPr>
              <w:pStyle w:val="InstructionsText"/>
              <w:rPr>
                <w:spacing w:val="-2"/>
              </w:rPr>
            </w:pPr>
            <w:r w:rsidRPr="006A4431">
              <w:rPr>
                <w:spacing w:val="-2"/>
              </w:rPr>
              <w:t>630</w:t>
            </w:r>
          </w:p>
        </w:tc>
        <w:tc>
          <w:tcPr>
            <w:tcW w:w="7243" w:type="dxa"/>
          </w:tcPr>
          <w:p w14:paraId="0AFAC56E" w14:textId="394D5BD9" w:rsidR="00235D9D" w:rsidRPr="006A4431" w:rsidRDefault="002648B0">
            <w:pPr>
              <w:pStyle w:val="InstructionsText"/>
              <w:rPr>
                <w:spacing w:val="-2"/>
              </w:rPr>
            </w:pPr>
            <w:r w:rsidRPr="006A4431">
              <w:rPr>
                <w:rStyle w:val="InstructionsTabelleberschrift"/>
                <w:rFonts w:ascii="Times New Roman" w:hAnsi="Times New Roman"/>
                <w:spacing w:val="-2"/>
                <w:sz w:val="24"/>
              </w:rPr>
              <w:t>17.2.1.</w:t>
            </w:r>
            <w:r w:rsidRPr="006A4431">
              <w:rPr>
                <w:rStyle w:val="InstructionsTabelleberschrift"/>
                <w:rFonts w:ascii="Times New Roman" w:hAnsi="Times New Roman"/>
                <w:spacing w:val="-2"/>
                <w:sz w:val="24"/>
              </w:rPr>
              <w:tab/>
              <w:t>Brutto nepriame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5174B9EB" w14:textId="51C4F5E7"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p w14:paraId="060D459D" w14:textId="54A1A2C3" w:rsidR="00235D9D" w:rsidRPr="006A4431" w:rsidRDefault="002648B0">
            <w:pPr>
              <w:pStyle w:val="InstructionsText"/>
              <w:rPr>
                <w:spacing w:val="-2"/>
              </w:rPr>
            </w:pPr>
            <w:r w:rsidRPr="006A4431">
              <w:rPr>
                <w:spacing w:val="-2"/>
              </w:rPr>
              <w:t>Vykazovaná hodnota sa rovná nepriamym podielom</w:t>
            </w:r>
            <w:r w:rsidR="00D85C65" w:rsidRPr="006A4431">
              <w:rPr>
                <w:spacing w:val="-2"/>
              </w:rPr>
              <w:t xml:space="preserve"> v </w:t>
            </w:r>
            <w:r w:rsidRPr="006A4431">
              <w:rPr>
                <w:spacing w:val="-2"/>
              </w:rPr>
              <w:t>obchodnej knihe na kapitálových nástrojoch subjektov finančného sektora, ktoré sú vo forme podielov cenných papierov zaradených do indexu. Dosiahne sa vypočítaním podkladovej expozície voči kapitálovým nástrojom subjektov finančného sektora</w:t>
            </w:r>
            <w:r w:rsidR="00D85C65" w:rsidRPr="006A4431">
              <w:rPr>
                <w:spacing w:val="-2"/>
              </w:rPr>
              <w:t xml:space="preserve"> v </w:t>
            </w:r>
            <w:r w:rsidRPr="006A4431">
              <w:rPr>
                <w:spacing w:val="-2"/>
              </w:rPr>
              <w:t>týchto indexoch.</w:t>
            </w:r>
          </w:p>
          <w:p w14:paraId="46345853" w14:textId="5CC32AB6" w:rsidR="00235D9D" w:rsidRPr="006A4431" w:rsidRDefault="002648B0">
            <w:pPr>
              <w:pStyle w:val="InstructionsText"/>
              <w:rPr>
                <w:spacing w:val="-2"/>
              </w:rPr>
            </w:pPr>
            <w:r w:rsidRPr="006A4431">
              <w:rPr>
                <w:spacing w:val="-2"/>
              </w:rPr>
              <w:t>Podiely,</w:t>
            </w:r>
            <w:r w:rsidR="00D85C65" w:rsidRPr="006A4431">
              <w:rPr>
                <w:spacing w:val="-2"/>
              </w:rPr>
              <w:t xml:space="preserve"> s </w:t>
            </w:r>
            <w:r w:rsidRPr="006A4431">
              <w:rPr>
                <w:spacing w:val="-2"/>
              </w:rPr>
              <w:t>ktorými sa zaobchádza ako</w:t>
            </w:r>
            <w:r w:rsidR="00D85C65" w:rsidRPr="006A4431">
              <w:rPr>
                <w:spacing w:val="-2"/>
              </w:rPr>
              <w:t xml:space="preserve"> s </w:t>
            </w:r>
            <w:r w:rsidRPr="006A4431">
              <w:rPr>
                <w:spacing w:val="-2"/>
              </w:rPr>
              <w:t>recipročnými krížovými podielmi</w:t>
            </w:r>
            <w:r w:rsidR="00D85C65" w:rsidRPr="006A4431">
              <w:rPr>
                <w:spacing w:val="-2"/>
              </w:rPr>
              <w:t xml:space="preserve"> v </w:t>
            </w:r>
            <w:r w:rsidRPr="006A4431">
              <w:rPr>
                <w:spacing w:val="-2"/>
              </w:rPr>
              <w:t>súlade</w:t>
            </w:r>
            <w:r w:rsidR="00D85C65" w:rsidRPr="006A4431">
              <w:rPr>
                <w:spacing w:val="-2"/>
              </w:rPr>
              <w:t xml:space="preserve"> s </w:t>
            </w:r>
            <w:r w:rsidRPr="006A4431">
              <w:rPr>
                <w:spacing w:val="-2"/>
              </w:rPr>
              <w:t>článkom 66 písm. b) CRR, sa nezapočítavajú.</w:t>
            </w:r>
          </w:p>
        </w:tc>
      </w:tr>
      <w:tr w:rsidR="00235D9D" w:rsidRPr="006A4431" w14:paraId="5A343273" w14:textId="77777777" w:rsidTr="00672D2A">
        <w:tc>
          <w:tcPr>
            <w:tcW w:w="1506" w:type="dxa"/>
          </w:tcPr>
          <w:p w14:paraId="1F694909" w14:textId="77777777" w:rsidR="00235D9D" w:rsidRPr="006A4431" w:rsidRDefault="002648B0">
            <w:pPr>
              <w:pStyle w:val="InstructionsText"/>
              <w:rPr>
                <w:spacing w:val="-2"/>
              </w:rPr>
            </w:pPr>
            <w:r w:rsidRPr="006A4431">
              <w:rPr>
                <w:spacing w:val="-2"/>
              </w:rPr>
              <w:t>640</w:t>
            </w:r>
          </w:p>
        </w:tc>
        <w:tc>
          <w:tcPr>
            <w:tcW w:w="7243" w:type="dxa"/>
          </w:tcPr>
          <w:p w14:paraId="25239FD5" w14:textId="2F7CFB97" w:rsidR="00235D9D" w:rsidRPr="006A4431" w:rsidRDefault="002648B0">
            <w:pPr>
              <w:pStyle w:val="InstructionsText"/>
              <w:rPr>
                <w:spacing w:val="-2"/>
              </w:rPr>
            </w:pPr>
            <w:r w:rsidRPr="006A4431">
              <w:rPr>
                <w:rStyle w:val="InstructionsTabelleberschrift"/>
                <w:rFonts w:ascii="Times New Roman" w:hAnsi="Times New Roman"/>
                <w:spacing w:val="-2"/>
                <w:sz w:val="24"/>
              </w:rPr>
              <w:t>17.2.2.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nepriamymi brutto podielmi uvedenými vyššie</w:t>
            </w:r>
          </w:p>
          <w:p w14:paraId="62B785BE" w14:textId="6DAEB216" w:rsidR="00235D9D" w:rsidRPr="006A4431" w:rsidRDefault="00214FDA">
            <w:pPr>
              <w:pStyle w:val="InstructionsText"/>
              <w:rPr>
                <w:spacing w:val="-2"/>
              </w:rPr>
            </w:pPr>
            <w:r w:rsidRPr="006A4431">
              <w:rPr>
                <w:spacing w:val="-2"/>
              </w:rPr>
              <w:t>Článok 4 ods. 1 bod 114</w:t>
            </w:r>
            <w:r w:rsidR="00D85C65" w:rsidRPr="006A4431">
              <w:rPr>
                <w:spacing w:val="-2"/>
              </w:rPr>
              <w:t xml:space="preserve"> a </w:t>
            </w:r>
            <w:r w:rsidRPr="006A4431">
              <w:rPr>
                <w:spacing w:val="-2"/>
              </w:rPr>
              <w:t>článok 69 CRR.</w:t>
            </w:r>
          </w:p>
          <w:p w14:paraId="3592C249" w14:textId="0C57FD34" w:rsidR="00235D9D" w:rsidRPr="006A4431" w:rsidRDefault="0014657C">
            <w:pPr>
              <w:pStyle w:val="InstructionsText"/>
              <w:rPr>
                <w:spacing w:val="-2"/>
              </w:rPr>
            </w:pPr>
            <w:r w:rsidRPr="006A4431">
              <w:rPr>
                <w:spacing w:val="-2"/>
              </w:rPr>
              <w:t>Článok 69 písm. a) CRR umožňuje kompenzáciu krátkych pozícií</w:t>
            </w:r>
            <w:r w:rsidR="00D85C65" w:rsidRPr="006A4431">
              <w:rPr>
                <w:spacing w:val="-2"/>
              </w:rPr>
              <w:t xml:space="preserve"> v </w:t>
            </w:r>
            <w:r w:rsidRPr="006A4431">
              <w:rPr>
                <w:spacing w:val="-2"/>
              </w:rPr>
              <w:t>rovnakej podkladovej expozícii za podmienky, že splatnosť krátkej pozície zodpovedá splatnosti dlhej pozície alebo má zostatkovú splatnosť aspoň jeden rok.</w:t>
            </w:r>
          </w:p>
        </w:tc>
      </w:tr>
      <w:tr w:rsidR="00235D9D" w:rsidRPr="006A4431" w14:paraId="75D8109D" w14:textId="77777777" w:rsidTr="00672D2A">
        <w:tc>
          <w:tcPr>
            <w:tcW w:w="1506" w:type="dxa"/>
          </w:tcPr>
          <w:p w14:paraId="1F804E01" w14:textId="77777777" w:rsidR="00235D9D" w:rsidRPr="006A4431" w:rsidRDefault="002648B0">
            <w:pPr>
              <w:pStyle w:val="InstructionsText"/>
              <w:rPr>
                <w:spacing w:val="-2"/>
              </w:rPr>
            </w:pPr>
            <w:r w:rsidRPr="006A4431">
              <w:rPr>
                <w:spacing w:val="-2"/>
              </w:rPr>
              <w:t>641</w:t>
            </w:r>
          </w:p>
        </w:tc>
        <w:tc>
          <w:tcPr>
            <w:tcW w:w="7243" w:type="dxa"/>
            <w:vAlign w:val="center"/>
          </w:tcPr>
          <w:p w14:paraId="183D493E" w14:textId="68D6F385" w:rsidR="00235D9D" w:rsidRPr="006A4431" w:rsidRDefault="002648B0">
            <w:pPr>
              <w:pStyle w:val="InstructionsText"/>
              <w:rPr>
                <w:spacing w:val="-2"/>
              </w:rPr>
            </w:pPr>
            <w:r w:rsidRPr="006A4431">
              <w:rPr>
                <w:rStyle w:val="InstructionsTabelleberschrift"/>
                <w:rFonts w:ascii="Times New Roman" w:hAnsi="Times New Roman"/>
                <w:spacing w:val="-2"/>
                <w:sz w:val="24"/>
              </w:rPr>
              <w:t>17.3.</w:t>
            </w:r>
            <w:r w:rsidRPr="006A4431">
              <w:rPr>
                <w:rStyle w:val="InstructionsTabelleberschrift"/>
                <w:rFonts w:ascii="Times New Roman" w:hAnsi="Times New Roman"/>
                <w:spacing w:val="-2"/>
                <w:sz w:val="24"/>
              </w:rPr>
              <w:tab/>
              <w:t>Syntetické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022F90F1" w14:textId="54742E88"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2A4CB4E9" w14:textId="77777777" w:rsidTr="00672D2A">
        <w:tc>
          <w:tcPr>
            <w:tcW w:w="1506" w:type="dxa"/>
          </w:tcPr>
          <w:p w14:paraId="7D025789" w14:textId="77777777" w:rsidR="00235D9D" w:rsidRPr="006A4431" w:rsidRDefault="002648B0">
            <w:pPr>
              <w:pStyle w:val="InstructionsText"/>
              <w:rPr>
                <w:spacing w:val="-2"/>
              </w:rPr>
            </w:pPr>
            <w:r w:rsidRPr="006A4431">
              <w:rPr>
                <w:spacing w:val="-2"/>
              </w:rPr>
              <w:t>642</w:t>
            </w:r>
          </w:p>
        </w:tc>
        <w:tc>
          <w:tcPr>
            <w:tcW w:w="7243" w:type="dxa"/>
            <w:vAlign w:val="center"/>
          </w:tcPr>
          <w:p w14:paraId="5DE52751" w14:textId="288B8182" w:rsidR="00235D9D" w:rsidRPr="006A4431" w:rsidRDefault="002648B0">
            <w:pPr>
              <w:pStyle w:val="InstructionsText"/>
              <w:rPr>
                <w:spacing w:val="-2"/>
              </w:rPr>
            </w:pPr>
            <w:r w:rsidRPr="006A4431">
              <w:rPr>
                <w:rStyle w:val="InstructionsTabelleberschrift"/>
                <w:rFonts w:ascii="Times New Roman" w:hAnsi="Times New Roman"/>
                <w:spacing w:val="-2"/>
                <w:sz w:val="24"/>
              </w:rPr>
              <w:t>17.3.1.</w:t>
            </w:r>
            <w:r w:rsidRPr="006A4431">
              <w:rPr>
                <w:rStyle w:val="InstructionsTabelleberschrift"/>
                <w:rFonts w:ascii="Times New Roman" w:hAnsi="Times New Roman"/>
                <w:spacing w:val="-2"/>
                <w:sz w:val="24"/>
              </w:rPr>
              <w:tab/>
              <w:t>Brutto syntetické podiely kapitálu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3B2234B4" w14:textId="74A2E01D"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články 68</w:t>
            </w:r>
            <w:r w:rsidR="00D85C65" w:rsidRPr="006A4431">
              <w:rPr>
                <w:spacing w:val="-2"/>
              </w:rPr>
              <w:t xml:space="preserve"> a </w:t>
            </w:r>
            <w:r w:rsidRPr="006A4431">
              <w:rPr>
                <w:spacing w:val="-2"/>
              </w:rPr>
              <w:t>69 CRR.</w:t>
            </w:r>
          </w:p>
        </w:tc>
      </w:tr>
      <w:tr w:rsidR="00235D9D" w:rsidRPr="006A4431" w14:paraId="46148E6D" w14:textId="77777777" w:rsidTr="00672D2A">
        <w:tc>
          <w:tcPr>
            <w:tcW w:w="1506" w:type="dxa"/>
          </w:tcPr>
          <w:p w14:paraId="5BC5081D" w14:textId="77777777" w:rsidR="00235D9D" w:rsidRPr="006A4431" w:rsidRDefault="002648B0">
            <w:pPr>
              <w:pStyle w:val="InstructionsText"/>
              <w:rPr>
                <w:spacing w:val="-2"/>
              </w:rPr>
            </w:pPr>
            <w:r w:rsidRPr="006A4431">
              <w:rPr>
                <w:spacing w:val="-2"/>
              </w:rPr>
              <w:t>643</w:t>
            </w:r>
          </w:p>
        </w:tc>
        <w:tc>
          <w:tcPr>
            <w:tcW w:w="7243" w:type="dxa"/>
            <w:vAlign w:val="center"/>
          </w:tcPr>
          <w:p w14:paraId="30D52697" w14:textId="51D8EE63" w:rsidR="00235D9D" w:rsidRPr="006A4431" w:rsidRDefault="002648B0">
            <w:pPr>
              <w:pStyle w:val="InstructionsText"/>
              <w:rPr>
                <w:spacing w:val="-2"/>
              </w:rPr>
            </w:pPr>
            <w:r w:rsidRPr="006A4431">
              <w:rPr>
                <w:rStyle w:val="InstructionsTabelleberschrift"/>
                <w:rFonts w:ascii="Times New Roman" w:hAnsi="Times New Roman"/>
                <w:spacing w:val="-2"/>
                <w:sz w:val="24"/>
              </w:rPr>
              <w:t>17.3.2.</w:t>
            </w:r>
            <w:r w:rsidRPr="006A4431">
              <w:rPr>
                <w:rStyle w:val="InstructionsTabelleberschrift"/>
                <w:rFonts w:ascii="Times New Roman" w:hAnsi="Times New Roman"/>
                <w:spacing w:val="-2"/>
                <w:sz w:val="24"/>
              </w:rPr>
              <w:tab/>
              <w:t>(-) Povolené kompenzačné krátke pozície</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súvislosti</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brutto syntetickými podielmi uvedenými vyššie</w:t>
            </w:r>
          </w:p>
          <w:p w14:paraId="7C363177" w14:textId="758EAA93" w:rsidR="00235D9D" w:rsidRPr="006A4431" w:rsidRDefault="00214FDA">
            <w:pPr>
              <w:pStyle w:val="InstructionsText"/>
              <w:rPr>
                <w:rStyle w:val="InstructionsTabelleberschrift"/>
                <w:rFonts w:ascii="Times New Roman" w:hAnsi="Times New Roman"/>
                <w:b w:val="0"/>
                <w:bCs w:val="0"/>
                <w:spacing w:val="-2"/>
                <w:sz w:val="24"/>
                <w:u w:val="none"/>
              </w:rPr>
            </w:pPr>
            <w:r w:rsidRPr="006A4431">
              <w:rPr>
                <w:spacing w:val="-2"/>
              </w:rPr>
              <w:t>Článok 4 ods. 1 bod 126</w:t>
            </w:r>
            <w:r w:rsidR="00D85C65" w:rsidRPr="006A4431">
              <w:rPr>
                <w:spacing w:val="-2"/>
              </w:rPr>
              <w:t xml:space="preserve"> a </w:t>
            </w:r>
            <w:r w:rsidRPr="006A4431">
              <w:rPr>
                <w:spacing w:val="-2"/>
              </w:rPr>
              <w:t>článok 69 CRR.</w:t>
            </w:r>
          </w:p>
        </w:tc>
      </w:tr>
      <w:tr w:rsidR="00235D9D" w:rsidRPr="006A4431" w14:paraId="2826F4E0" w14:textId="77777777" w:rsidTr="00672D2A">
        <w:tc>
          <w:tcPr>
            <w:tcW w:w="1506" w:type="dxa"/>
          </w:tcPr>
          <w:p w14:paraId="1DA8D087" w14:textId="77777777" w:rsidR="00235D9D" w:rsidRPr="006A4431" w:rsidRDefault="002648B0">
            <w:pPr>
              <w:pStyle w:val="InstructionsText"/>
              <w:rPr>
                <w:spacing w:val="-2"/>
              </w:rPr>
            </w:pPr>
            <w:r w:rsidRPr="006A4431">
              <w:rPr>
                <w:spacing w:val="-2"/>
              </w:rPr>
              <w:t>650</w:t>
            </w:r>
          </w:p>
        </w:tc>
        <w:tc>
          <w:tcPr>
            <w:tcW w:w="7243" w:type="dxa"/>
          </w:tcPr>
          <w:p w14:paraId="70549837" w14:textId="0D3D2183" w:rsidR="00235D9D" w:rsidRPr="006A4431" w:rsidRDefault="002648B0">
            <w:pPr>
              <w:pStyle w:val="InstructionsText"/>
              <w:rPr>
                <w:spacing w:val="-2"/>
              </w:rPr>
            </w:pPr>
            <w:r w:rsidRPr="006A4431">
              <w:rPr>
                <w:rStyle w:val="InstructionsTabelleberschrift"/>
                <w:rFonts w:ascii="Times New Roman" w:hAnsi="Times New Roman"/>
                <w:spacing w:val="-2"/>
                <w:sz w:val="24"/>
              </w:rPr>
              <w:t>18</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 xml:space="preserve"> Rizikovo vážené expozície podielov CET1</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subjektoch finančného sektora, ktoré sa neodpočítavajú od kapitálu CET1 inštitúcie</w:t>
            </w:r>
          </w:p>
          <w:p w14:paraId="786079A0" w14:textId="20C62D20" w:rsidR="00235D9D" w:rsidRPr="006A4431" w:rsidRDefault="002648B0">
            <w:pPr>
              <w:pStyle w:val="InstructionsText"/>
              <w:rPr>
                <w:spacing w:val="-2"/>
              </w:rPr>
            </w:pPr>
            <w:r w:rsidRPr="006A4431">
              <w:rPr>
                <w:spacing w:val="-2"/>
              </w:rPr>
              <w:lastRenderedPageBreak/>
              <w:t>Článok 46 ods. 4, článok 48 ods. 4</w:t>
            </w:r>
            <w:r w:rsidR="00D85C65" w:rsidRPr="006A4431">
              <w:rPr>
                <w:spacing w:val="-2"/>
              </w:rPr>
              <w:t xml:space="preserve"> a </w:t>
            </w:r>
            <w:r w:rsidRPr="006A4431">
              <w:rPr>
                <w:spacing w:val="-2"/>
              </w:rPr>
              <w:t>článok 49 ods. 4 CRR.</w:t>
            </w:r>
          </w:p>
        </w:tc>
      </w:tr>
      <w:tr w:rsidR="00235D9D" w:rsidRPr="006A4431" w14:paraId="74B30FC8" w14:textId="77777777" w:rsidTr="00672D2A">
        <w:tc>
          <w:tcPr>
            <w:tcW w:w="1506" w:type="dxa"/>
          </w:tcPr>
          <w:p w14:paraId="798CF1B0" w14:textId="77777777" w:rsidR="00235D9D" w:rsidRPr="006A4431" w:rsidRDefault="002648B0">
            <w:pPr>
              <w:pStyle w:val="InstructionsText"/>
              <w:rPr>
                <w:spacing w:val="-2"/>
              </w:rPr>
            </w:pPr>
            <w:r w:rsidRPr="006A4431">
              <w:rPr>
                <w:spacing w:val="-2"/>
              </w:rPr>
              <w:lastRenderedPageBreak/>
              <w:t>660</w:t>
            </w:r>
          </w:p>
        </w:tc>
        <w:tc>
          <w:tcPr>
            <w:tcW w:w="7243" w:type="dxa"/>
          </w:tcPr>
          <w:p w14:paraId="2F20F59C" w14:textId="67B6E89F" w:rsidR="00235D9D" w:rsidRPr="006A4431" w:rsidRDefault="002648B0">
            <w:pPr>
              <w:pStyle w:val="InstructionsText"/>
              <w:rPr>
                <w:spacing w:val="-2"/>
              </w:rPr>
            </w:pPr>
            <w:r w:rsidRPr="006A4431">
              <w:rPr>
                <w:rStyle w:val="InstructionsTabelleberschrift"/>
                <w:rFonts w:ascii="Times New Roman" w:hAnsi="Times New Roman"/>
                <w:spacing w:val="-2"/>
                <w:sz w:val="24"/>
              </w:rPr>
              <w:t>19</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 xml:space="preserve"> Rizikovo vážené expozície podielov AT1</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subjektoch finančného sektora, ktoré sa neodpočítavajú od kapitálu AT1 inštitúcie</w:t>
            </w:r>
          </w:p>
          <w:p w14:paraId="1E7B2123" w14:textId="1C12BA14" w:rsidR="00235D9D" w:rsidRPr="006A4431" w:rsidRDefault="002648B0">
            <w:pPr>
              <w:pStyle w:val="InstructionsText"/>
              <w:rPr>
                <w:spacing w:val="-2"/>
              </w:rPr>
            </w:pPr>
            <w:r w:rsidRPr="006A4431">
              <w:rPr>
                <w:spacing w:val="-2"/>
              </w:rPr>
              <w:t>Článok 60 ods. 4 CRR.</w:t>
            </w:r>
          </w:p>
        </w:tc>
      </w:tr>
      <w:tr w:rsidR="00235D9D" w:rsidRPr="006A4431" w14:paraId="2CDAAC1B" w14:textId="77777777" w:rsidTr="00672D2A">
        <w:tc>
          <w:tcPr>
            <w:tcW w:w="1506" w:type="dxa"/>
          </w:tcPr>
          <w:p w14:paraId="14716438" w14:textId="77777777" w:rsidR="00235D9D" w:rsidRPr="006A4431" w:rsidRDefault="002648B0">
            <w:pPr>
              <w:pStyle w:val="InstructionsText"/>
              <w:rPr>
                <w:spacing w:val="-2"/>
              </w:rPr>
            </w:pPr>
            <w:r w:rsidRPr="006A4431">
              <w:rPr>
                <w:spacing w:val="-2"/>
              </w:rPr>
              <w:t>670</w:t>
            </w:r>
          </w:p>
        </w:tc>
        <w:tc>
          <w:tcPr>
            <w:tcW w:w="7243" w:type="dxa"/>
          </w:tcPr>
          <w:p w14:paraId="5D1E75DC" w14:textId="7CAC3CB6" w:rsidR="00235D9D" w:rsidRPr="006A4431" w:rsidRDefault="002648B0">
            <w:pPr>
              <w:pStyle w:val="InstructionsText"/>
              <w:rPr>
                <w:spacing w:val="-2"/>
              </w:rPr>
            </w:pPr>
            <w:r w:rsidRPr="006A4431">
              <w:rPr>
                <w:rStyle w:val="InstructionsTabelleberschrift"/>
                <w:rFonts w:ascii="Times New Roman" w:hAnsi="Times New Roman"/>
                <w:spacing w:val="-2"/>
                <w:sz w:val="24"/>
              </w:rPr>
              <w:t>20</w:t>
            </w:r>
            <w:r w:rsidR="00136C7D" w:rsidRPr="006A4431">
              <w:rPr>
                <w:rStyle w:val="InstructionsTabelleberschrift"/>
                <w:rFonts w:ascii="Times New Roman" w:hAnsi="Times New Roman"/>
                <w:spacing w:val="-2"/>
                <w:sz w:val="24"/>
              </w:rPr>
              <w:t>.</w:t>
            </w:r>
            <w:r w:rsidRPr="006A4431">
              <w:rPr>
                <w:rStyle w:val="InstructionsTabelleberschrift"/>
                <w:rFonts w:ascii="Times New Roman" w:hAnsi="Times New Roman"/>
                <w:spacing w:val="-2"/>
                <w:sz w:val="24"/>
              </w:rPr>
              <w:t xml:space="preserve"> Rizikovo vážené expozície podielov T2</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subjektoch finančného sektora, ktoré sa neodpočítavajú od kapitálu T2 inštitúcie</w:t>
            </w:r>
          </w:p>
          <w:p w14:paraId="749C57A1" w14:textId="1579468B" w:rsidR="00235D9D" w:rsidRPr="006A4431" w:rsidRDefault="002648B0">
            <w:pPr>
              <w:pStyle w:val="InstructionsText"/>
              <w:rPr>
                <w:spacing w:val="-2"/>
              </w:rPr>
            </w:pPr>
            <w:r w:rsidRPr="006A4431">
              <w:rPr>
                <w:spacing w:val="-2"/>
              </w:rPr>
              <w:t>Článok 70 ods. 4 CRR.</w:t>
            </w:r>
          </w:p>
        </w:tc>
      </w:tr>
      <w:tr w:rsidR="00235D9D" w:rsidRPr="006A4431" w14:paraId="0A74B934" w14:textId="77777777" w:rsidTr="00672D2A">
        <w:tc>
          <w:tcPr>
            <w:tcW w:w="1506" w:type="dxa"/>
          </w:tcPr>
          <w:p w14:paraId="5C0961F2" w14:textId="77777777" w:rsidR="00235D9D" w:rsidRPr="006A4431" w:rsidRDefault="002648B0">
            <w:pPr>
              <w:pStyle w:val="InstructionsText"/>
              <w:rPr>
                <w:spacing w:val="-2"/>
              </w:rPr>
            </w:pPr>
            <w:r w:rsidRPr="006A4431">
              <w:rPr>
                <w:spacing w:val="-2"/>
              </w:rPr>
              <w:t>680</w:t>
            </w:r>
          </w:p>
        </w:tc>
        <w:tc>
          <w:tcPr>
            <w:tcW w:w="7243" w:type="dxa"/>
          </w:tcPr>
          <w:p w14:paraId="6EFF6E75" w14:textId="43B9991F" w:rsidR="00235D9D" w:rsidRPr="006A4431" w:rsidRDefault="002648B0">
            <w:pPr>
              <w:pStyle w:val="InstructionsText"/>
              <w:rPr>
                <w:spacing w:val="-2"/>
              </w:rPr>
            </w:pPr>
            <w:r w:rsidRPr="006A4431">
              <w:rPr>
                <w:rStyle w:val="InstructionsTabelleberschrift"/>
                <w:rFonts w:ascii="Times New Roman" w:hAnsi="Times New Roman"/>
                <w:spacing w:val="-2"/>
                <w:sz w:val="24"/>
              </w:rPr>
              <w:t>21.</w:t>
            </w:r>
            <w:r w:rsidRPr="006A4431">
              <w:rPr>
                <w:rStyle w:val="InstructionsTabelleberschrift"/>
                <w:rFonts w:ascii="Times New Roman" w:hAnsi="Times New Roman"/>
                <w:spacing w:val="-2"/>
                <w:sz w:val="24"/>
              </w:rPr>
              <w:tab/>
              <w:t>Podiely na kapitálových nástrojoch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583D6DC5" w14:textId="6893FB97" w:rsidR="00235D9D" w:rsidRPr="006A4431" w:rsidRDefault="002648B0">
            <w:pPr>
              <w:pStyle w:val="InstructionsText"/>
              <w:rPr>
                <w:spacing w:val="-2"/>
              </w:rPr>
            </w:pPr>
            <w:r w:rsidRPr="006A4431">
              <w:rPr>
                <w:spacing w:val="-2"/>
              </w:rPr>
              <w:t>Článok 79 CRR.</w:t>
            </w:r>
          </w:p>
          <w:p w14:paraId="47A914BA" w14:textId="273AAD91" w:rsidR="00235D9D" w:rsidRPr="006A4431" w:rsidRDefault="002648B0">
            <w:pPr>
              <w:pStyle w:val="InstructionsText"/>
              <w:rPr>
                <w:spacing w:val="-2"/>
              </w:rPr>
            </w:pPr>
            <w:r w:rsidRPr="006A4431">
              <w:rPr>
                <w:spacing w:val="-2"/>
              </w:rPr>
              <w:t>Príslušný orgán môže dočasne upustiť od uplatňovania ustanovení</w:t>
            </w:r>
            <w:r w:rsidR="00D85C65" w:rsidRPr="006A4431">
              <w:rPr>
                <w:spacing w:val="-2"/>
              </w:rPr>
              <w:t xml:space="preserve"> o </w:t>
            </w:r>
            <w:r w:rsidRPr="006A4431">
              <w:rPr>
                <w:spacing w:val="-2"/>
              </w:rPr>
              <w:t>odpočítaní od CET1</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3C8D0E92" w14:textId="6225046D" w:rsidR="00235D9D" w:rsidRPr="006A4431" w:rsidRDefault="002648B0">
            <w:pPr>
              <w:pStyle w:val="InstructionsText"/>
              <w:rPr>
                <w:spacing w:val="-2"/>
              </w:rPr>
            </w:pPr>
            <w:r w:rsidRPr="006A4431">
              <w:rPr>
                <w:spacing w:val="-2"/>
              </w:rPr>
              <w:t>Treba poznamenať, že tieto nástroje sa musia vykazovať aj</w:t>
            </w:r>
            <w:r w:rsidR="00D85C65" w:rsidRPr="006A4431">
              <w:rPr>
                <w:spacing w:val="-2"/>
              </w:rPr>
              <w:t xml:space="preserve"> v </w:t>
            </w:r>
            <w:r w:rsidRPr="006A4431">
              <w:rPr>
                <w:spacing w:val="-2"/>
              </w:rPr>
              <w:t>položke 12.1.</w:t>
            </w:r>
          </w:p>
        </w:tc>
      </w:tr>
      <w:tr w:rsidR="00235D9D" w:rsidRPr="006A4431" w14:paraId="7E3CED47" w14:textId="77777777" w:rsidTr="00672D2A">
        <w:tc>
          <w:tcPr>
            <w:tcW w:w="1506" w:type="dxa"/>
          </w:tcPr>
          <w:p w14:paraId="3AF1C247" w14:textId="77777777" w:rsidR="00235D9D" w:rsidRPr="006A4431" w:rsidRDefault="002648B0">
            <w:pPr>
              <w:pStyle w:val="InstructionsText"/>
              <w:rPr>
                <w:spacing w:val="-2"/>
              </w:rPr>
            </w:pPr>
            <w:r w:rsidRPr="006A4431">
              <w:rPr>
                <w:spacing w:val="-2"/>
              </w:rPr>
              <w:t>690</w:t>
            </w:r>
          </w:p>
        </w:tc>
        <w:tc>
          <w:tcPr>
            <w:tcW w:w="7243" w:type="dxa"/>
          </w:tcPr>
          <w:p w14:paraId="67B6F515" w14:textId="2CDD6183" w:rsidR="00235D9D" w:rsidRPr="006A4431" w:rsidRDefault="002648B0">
            <w:pPr>
              <w:pStyle w:val="InstructionsText"/>
              <w:rPr>
                <w:spacing w:val="-2"/>
              </w:rPr>
            </w:pPr>
            <w:r w:rsidRPr="006A4431">
              <w:rPr>
                <w:rStyle w:val="InstructionsTabelleberschrift"/>
                <w:rFonts w:ascii="Times New Roman" w:hAnsi="Times New Roman"/>
                <w:spacing w:val="-2"/>
                <w:sz w:val="24"/>
              </w:rPr>
              <w:t>22.</w:t>
            </w:r>
            <w:r w:rsidRPr="006A4431">
              <w:rPr>
                <w:rStyle w:val="InstructionsTabelleberschrift"/>
                <w:rFonts w:ascii="Times New Roman" w:hAnsi="Times New Roman"/>
                <w:spacing w:val="-2"/>
                <w:sz w:val="24"/>
              </w:rPr>
              <w:tab/>
              <w:t>Podiely na kapitálových nástrojoch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70E517EB" w14:textId="58D210AB" w:rsidR="00235D9D" w:rsidRPr="006A4431" w:rsidRDefault="002648B0">
            <w:pPr>
              <w:pStyle w:val="InstructionsText"/>
              <w:rPr>
                <w:spacing w:val="-2"/>
              </w:rPr>
            </w:pPr>
            <w:r w:rsidRPr="006A4431">
              <w:rPr>
                <w:spacing w:val="-2"/>
              </w:rPr>
              <w:t>Článok 79 CRR.</w:t>
            </w:r>
          </w:p>
          <w:p w14:paraId="1FD384CA" w14:textId="48BE4648" w:rsidR="00235D9D" w:rsidRPr="006A4431" w:rsidRDefault="002648B0">
            <w:pPr>
              <w:pStyle w:val="InstructionsText"/>
              <w:rPr>
                <w:spacing w:val="-2"/>
              </w:rPr>
            </w:pPr>
            <w:r w:rsidRPr="006A4431">
              <w:rPr>
                <w:spacing w:val="-2"/>
              </w:rPr>
              <w:t>Príslušný orgán môže upustiť od uplatňovania ustanovení</w:t>
            </w:r>
            <w:r w:rsidR="00D85C65" w:rsidRPr="006A4431">
              <w:rPr>
                <w:spacing w:val="-2"/>
              </w:rPr>
              <w:t xml:space="preserve"> o </w:t>
            </w:r>
            <w:r w:rsidRPr="006A4431">
              <w:rPr>
                <w:spacing w:val="-2"/>
              </w:rPr>
              <w:t>odpočítaní od CET1</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1099FAF3" w14:textId="4D3ED7D0" w:rsidR="00235D9D" w:rsidRPr="006A4431" w:rsidRDefault="002648B0">
            <w:pPr>
              <w:pStyle w:val="InstructionsText"/>
              <w:rPr>
                <w:spacing w:val="-2"/>
              </w:rPr>
            </w:pPr>
            <w:r w:rsidRPr="006A4431">
              <w:rPr>
                <w:spacing w:val="-2"/>
              </w:rPr>
              <w:t>Treba poznamenať, že tieto nástroje sa musia vykazovať aj</w:t>
            </w:r>
            <w:r w:rsidR="00D85C65" w:rsidRPr="006A4431">
              <w:rPr>
                <w:spacing w:val="-2"/>
              </w:rPr>
              <w:t xml:space="preserve"> v </w:t>
            </w:r>
            <w:r w:rsidRPr="006A4431">
              <w:rPr>
                <w:spacing w:val="-2"/>
              </w:rPr>
              <w:t>položke 15.1.</w:t>
            </w:r>
          </w:p>
        </w:tc>
      </w:tr>
      <w:tr w:rsidR="00235D9D" w:rsidRPr="006A4431" w14:paraId="453D50CC" w14:textId="77777777" w:rsidTr="00672D2A">
        <w:tc>
          <w:tcPr>
            <w:tcW w:w="1506" w:type="dxa"/>
          </w:tcPr>
          <w:p w14:paraId="0267B50F" w14:textId="77777777" w:rsidR="00235D9D" w:rsidRPr="006A4431" w:rsidRDefault="002648B0">
            <w:pPr>
              <w:pStyle w:val="InstructionsText"/>
              <w:rPr>
                <w:spacing w:val="-2"/>
              </w:rPr>
            </w:pPr>
            <w:r w:rsidRPr="006A4431">
              <w:rPr>
                <w:spacing w:val="-2"/>
              </w:rPr>
              <w:t>700</w:t>
            </w:r>
          </w:p>
        </w:tc>
        <w:tc>
          <w:tcPr>
            <w:tcW w:w="7243" w:type="dxa"/>
          </w:tcPr>
          <w:p w14:paraId="5F99A217" w14:textId="75013713" w:rsidR="00235D9D" w:rsidRPr="006A4431" w:rsidRDefault="002648B0">
            <w:pPr>
              <w:pStyle w:val="InstructionsText"/>
              <w:rPr>
                <w:spacing w:val="-2"/>
              </w:rPr>
            </w:pPr>
            <w:r w:rsidRPr="006A4431">
              <w:rPr>
                <w:rStyle w:val="InstructionsTabelleberschrift"/>
                <w:rFonts w:ascii="Times New Roman" w:hAnsi="Times New Roman"/>
                <w:spacing w:val="-2"/>
                <w:sz w:val="24"/>
              </w:rPr>
              <w:t>23.</w:t>
            </w:r>
            <w:r w:rsidRPr="006A4431">
              <w:rPr>
                <w:rStyle w:val="InstructionsTabelleberschrift"/>
                <w:rFonts w:ascii="Times New Roman" w:hAnsi="Times New Roman"/>
                <w:spacing w:val="-2"/>
                <w:sz w:val="24"/>
              </w:rPr>
              <w:tab/>
              <w:t>Podiely na kapitálových nástrojoch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23EC3B8E" w14:textId="5F91A925" w:rsidR="00235D9D" w:rsidRPr="006A4431" w:rsidRDefault="002648B0">
            <w:pPr>
              <w:pStyle w:val="InstructionsText"/>
              <w:rPr>
                <w:spacing w:val="-2"/>
              </w:rPr>
            </w:pPr>
            <w:r w:rsidRPr="006A4431">
              <w:rPr>
                <w:spacing w:val="-2"/>
              </w:rPr>
              <w:t>Článok 79 CRR.</w:t>
            </w:r>
          </w:p>
          <w:p w14:paraId="38B56FFB" w14:textId="47DFE05C" w:rsidR="00235D9D" w:rsidRPr="006A4431" w:rsidRDefault="002648B0">
            <w:pPr>
              <w:pStyle w:val="InstructionsText"/>
              <w:rPr>
                <w:spacing w:val="-2"/>
              </w:rPr>
            </w:pPr>
            <w:r w:rsidRPr="006A4431">
              <w:rPr>
                <w:spacing w:val="-2"/>
              </w:rPr>
              <w:t>Príslušný orgán môže dočasne upustiť od uplatňovania ustanovení</w:t>
            </w:r>
            <w:r w:rsidR="00D85C65" w:rsidRPr="006A4431">
              <w:rPr>
                <w:spacing w:val="-2"/>
              </w:rPr>
              <w:t xml:space="preserve"> o </w:t>
            </w:r>
            <w:r w:rsidRPr="006A4431">
              <w:rPr>
                <w:spacing w:val="-2"/>
              </w:rPr>
              <w:t>odpočítaní od AT1</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2395CF45" w14:textId="12481338" w:rsidR="00235D9D" w:rsidRPr="006A4431" w:rsidRDefault="002648B0">
            <w:pPr>
              <w:pStyle w:val="InstructionsText"/>
              <w:rPr>
                <w:spacing w:val="-2"/>
              </w:rPr>
            </w:pPr>
            <w:r w:rsidRPr="006A4431">
              <w:rPr>
                <w:spacing w:val="-2"/>
              </w:rPr>
              <w:t>Tieto nástroje sa musia vykazovať aj</w:t>
            </w:r>
            <w:r w:rsidR="00D85C65" w:rsidRPr="006A4431">
              <w:rPr>
                <w:spacing w:val="-2"/>
              </w:rPr>
              <w:t xml:space="preserve"> v </w:t>
            </w:r>
            <w:r w:rsidRPr="006A4431">
              <w:rPr>
                <w:spacing w:val="-2"/>
              </w:rPr>
              <w:t>položke 13.1.</w:t>
            </w:r>
          </w:p>
        </w:tc>
      </w:tr>
      <w:tr w:rsidR="00235D9D" w:rsidRPr="006A4431" w14:paraId="7DDAE296" w14:textId="77777777" w:rsidTr="00672D2A">
        <w:tc>
          <w:tcPr>
            <w:tcW w:w="1506" w:type="dxa"/>
          </w:tcPr>
          <w:p w14:paraId="5C518DEE" w14:textId="77777777" w:rsidR="00235D9D" w:rsidRPr="006A4431" w:rsidRDefault="002648B0">
            <w:pPr>
              <w:pStyle w:val="InstructionsText"/>
              <w:rPr>
                <w:spacing w:val="-2"/>
              </w:rPr>
            </w:pPr>
            <w:r w:rsidRPr="006A4431">
              <w:rPr>
                <w:spacing w:val="-2"/>
              </w:rPr>
              <w:t>710</w:t>
            </w:r>
          </w:p>
        </w:tc>
        <w:tc>
          <w:tcPr>
            <w:tcW w:w="7243" w:type="dxa"/>
          </w:tcPr>
          <w:p w14:paraId="3FBECBE9" w14:textId="53479428" w:rsidR="00235D9D" w:rsidRPr="006A4431" w:rsidRDefault="002648B0">
            <w:pPr>
              <w:pStyle w:val="InstructionsText"/>
              <w:rPr>
                <w:spacing w:val="-2"/>
              </w:rPr>
            </w:pPr>
            <w:r w:rsidRPr="006A4431">
              <w:rPr>
                <w:rStyle w:val="InstructionsTabelleberschrift"/>
                <w:rFonts w:ascii="Times New Roman" w:hAnsi="Times New Roman"/>
                <w:spacing w:val="-2"/>
                <w:sz w:val="24"/>
              </w:rPr>
              <w:t>24.</w:t>
            </w:r>
            <w:r w:rsidRPr="006A4431">
              <w:rPr>
                <w:rStyle w:val="InstructionsTabelleberschrift"/>
                <w:rFonts w:ascii="Times New Roman" w:hAnsi="Times New Roman"/>
                <w:spacing w:val="-2"/>
                <w:sz w:val="24"/>
              </w:rPr>
              <w:tab/>
              <w:t>Podiely na kapitálových nástrojoch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15A18B6E" w14:textId="7212DB10" w:rsidR="00235D9D" w:rsidRPr="006A4431" w:rsidRDefault="002648B0">
            <w:pPr>
              <w:pStyle w:val="InstructionsText"/>
              <w:rPr>
                <w:spacing w:val="-2"/>
              </w:rPr>
            </w:pPr>
            <w:r w:rsidRPr="006A4431">
              <w:rPr>
                <w:spacing w:val="-2"/>
              </w:rPr>
              <w:t>Článok 79 CRR.</w:t>
            </w:r>
          </w:p>
          <w:p w14:paraId="716EB002" w14:textId="3CBB8E6E" w:rsidR="00235D9D" w:rsidRPr="006A4431" w:rsidRDefault="002648B0">
            <w:pPr>
              <w:pStyle w:val="InstructionsText"/>
              <w:rPr>
                <w:spacing w:val="-2"/>
              </w:rPr>
            </w:pPr>
            <w:r w:rsidRPr="006A4431">
              <w:rPr>
                <w:spacing w:val="-2"/>
              </w:rPr>
              <w:lastRenderedPageBreak/>
              <w:t>Príslušný orgán môže dočasne upustiť od uplatňovania ustanovení</w:t>
            </w:r>
            <w:r w:rsidR="00D85C65" w:rsidRPr="006A4431">
              <w:rPr>
                <w:spacing w:val="-2"/>
              </w:rPr>
              <w:t xml:space="preserve"> o </w:t>
            </w:r>
            <w:r w:rsidRPr="006A4431">
              <w:rPr>
                <w:spacing w:val="-2"/>
              </w:rPr>
              <w:t>odpočítaní od AT1</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3E632DA5" w14:textId="63DF812A" w:rsidR="00235D9D" w:rsidRPr="006A4431" w:rsidRDefault="002648B0">
            <w:pPr>
              <w:pStyle w:val="InstructionsText"/>
              <w:rPr>
                <w:spacing w:val="-2"/>
              </w:rPr>
            </w:pPr>
            <w:r w:rsidRPr="006A4431">
              <w:rPr>
                <w:spacing w:val="-2"/>
              </w:rPr>
              <w:t>Tieto nástroje sa musia vykazovať aj</w:t>
            </w:r>
            <w:r w:rsidR="00D85C65" w:rsidRPr="006A4431">
              <w:rPr>
                <w:spacing w:val="-2"/>
              </w:rPr>
              <w:t xml:space="preserve"> v </w:t>
            </w:r>
            <w:r w:rsidRPr="006A4431">
              <w:rPr>
                <w:spacing w:val="-2"/>
              </w:rPr>
              <w:t>položke 16.1.</w:t>
            </w:r>
          </w:p>
        </w:tc>
      </w:tr>
      <w:tr w:rsidR="00235D9D" w:rsidRPr="006A4431" w14:paraId="64BA4182" w14:textId="77777777" w:rsidTr="00672D2A">
        <w:tc>
          <w:tcPr>
            <w:tcW w:w="1506" w:type="dxa"/>
          </w:tcPr>
          <w:p w14:paraId="513397EA" w14:textId="77777777" w:rsidR="00235D9D" w:rsidRPr="006A4431" w:rsidRDefault="002648B0">
            <w:pPr>
              <w:pStyle w:val="InstructionsText"/>
              <w:rPr>
                <w:spacing w:val="-2"/>
              </w:rPr>
            </w:pPr>
            <w:r w:rsidRPr="006A4431">
              <w:rPr>
                <w:spacing w:val="-2"/>
              </w:rPr>
              <w:lastRenderedPageBreak/>
              <w:t>720</w:t>
            </w:r>
          </w:p>
        </w:tc>
        <w:tc>
          <w:tcPr>
            <w:tcW w:w="7243" w:type="dxa"/>
          </w:tcPr>
          <w:p w14:paraId="4357DCED" w14:textId="78C59681" w:rsidR="00235D9D" w:rsidRPr="006A4431" w:rsidRDefault="002648B0">
            <w:pPr>
              <w:pStyle w:val="InstructionsText"/>
              <w:rPr>
                <w:spacing w:val="-2"/>
              </w:rPr>
            </w:pPr>
            <w:r w:rsidRPr="006A4431">
              <w:rPr>
                <w:rStyle w:val="InstructionsTabelleberschrift"/>
                <w:rFonts w:ascii="Times New Roman" w:hAnsi="Times New Roman"/>
                <w:spacing w:val="-2"/>
                <w:sz w:val="24"/>
              </w:rPr>
              <w:t>25.</w:t>
            </w:r>
            <w:r w:rsidRPr="006A4431">
              <w:rPr>
                <w:rStyle w:val="InstructionsTabelleberschrift"/>
                <w:rFonts w:ascii="Times New Roman" w:hAnsi="Times New Roman"/>
                <w:spacing w:val="-2"/>
                <w:sz w:val="24"/>
              </w:rPr>
              <w:tab/>
              <w:t>Podiely na kapitálových nástrojoch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1CC33FAD" w14:textId="586AE0DC" w:rsidR="00235D9D" w:rsidRPr="006A4431" w:rsidRDefault="002648B0">
            <w:pPr>
              <w:pStyle w:val="InstructionsText"/>
              <w:rPr>
                <w:spacing w:val="-2"/>
              </w:rPr>
            </w:pPr>
            <w:r w:rsidRPr="006A4431">
              <w:rPr>
                <w:spacing w:val="-2"/>
              </w:rPr>
              <w:t>Článok 79 CRR.</w:t>
            </w:r>
          </w:p>
          <w:p w14:paraId="096E7F95" w14:textId="6730F8A9" w:rsidR="00235D9D" w:rsidRPr="006A4431" w:rsidRDefault="002648B0">
            <w:pPr>
              <w:pStyle w:val="InstructionsText"/>
              <w:rPr>
                <w:spacing w:val="-2"/>
              </w:rPr>
            </w:pPr>
            <w:r w:rsidRPr="006A4431">
              <w:rPr>
                <w:spacing w:val="-2"/>
              </w:rPr>
              <w:t>Príslušný orgán môže upustiť od uplatňovania ustanovení</w:t>
            </w:r>
            <w:r w:rsidR="00D85C65" w:rsidRPr="006A4431">
              <w:rPr>
                <w:spacing w:val="-2"/>
              </w:rPr>
              <w:t xml:space="preserve"> o </w:t>
            </w:r>
            <w:r w:rsidRPr="006A4431">
              <w:rPr>
                <w:spacing w:val="-2"/>
              </w:rPr>
              <w:t>odpočítaní od T2</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6F211F4A" w14:textId="5CF16014" w:rsidR="00235D9D" w:rsidRPr="006A4431" w:rsidRDefault="002648B0">
            <w:pPr>
              <w:pStyle w:val="InstructionsText"/>
              <w:rPr>
                <w:spacing w:val="-2"/>
              </w:rPr>
            </w:pPr>
            <w:r w:rsidRPr="006A4431">
              <w:rPr>
                <w:spacing w:val="-2"/>
              </w:rPr>
              <w:t>Treba poznamenať, že tieto nástroje sa musia vykazovať aj</w:t>
            </w:r>
            <w:r w:rsidR="00D85C65" w:rsidRPr="006A4431">
              <w:rPr>
                <w:spacing w:val="-2"/>
              </w:rPr>
              <w:t xml:space="preserve"> v </w:t>
            </w:r>
            <w:r w:rsidRPr="006A4431">
              <w:rPr>
                <w:spacing w:val="-2"/>
              </w:rPr>
              <w:t>položke 14.1.</w:t>
            </w:r>
          </w:p>
        </w:tc>
      </w:tr>
      <w:tr w:rsidR="00235D9D" w:rsidRPr="006A4431" w14:paraId="5675C4A3" w14:textId="77777777" w:rsidTr="00672D2A">
        <w:tc>
          <w:tcPr>
            <w:tcW w:w="1506" w:type="dxa"/>
          </w:tcPr>
          <w:p w14:paraId="586FFA28" w14:textId="77777777" w:rsidR="00235D9D" w:rsidRPr="006A4431" w:rsidRDefault="002648B0">
            <w:pPr>
              <w:pStyle w:val="InstructionsText"/>
              <w:rPr>
                <w:spacing w:val="-2"/>
              </w:rPr>
            </w:pPr>
            <w:r w:rsidRPr="006A4431">
              <w:rPr>
                <w:spacing w:val="-2"/>
              </w:rPr>
              <w:t>730</w:t>
            </w:r>
          </w:p>
        </w:tc>
        <w:tc>
          <w:tcPr>
            <w:tcW w:w="7243" w:type="dxa"/>
          </w:tcPr>
          <w:p w14:paraId="5ADCB9E1" w14:textId="1B9D423F" w:rsidR="00235D9D" w:rsidRPr="006A4431" w:rsidRDefault="002648B0">
            <w:pPr>
              <w:pStyle w:val="InstructionsText"/>
              <w:rPr>
                <w:spacing w:val="-2"/>
              </w:rPr>
            </w:pPr>
            <w:r w:rsidRPr="006A4431">
              <w:rPr>
                <w:rStyle w:val="InstructionsTabelleberschrift"/>
                <w:rFonts w:ascii="Times New Roman" w:hAnsi="Times New Roman"/>
                <w:spacing w:val="-2"/>
                <w:sz w:val="24"/>
              </w:rPr>
              <w:t>26.</w:t>
            </w:r>
            <w:r w:rsidRPr="006A4431">
              <w:rPr>
                <w:rStyle w:val="InstructionsTabelleberschrift"/>
                <w:rFonts w:ascii="Times New Roman" w:hAnsi="Times New Roman"/>
                <w:spacing w:val="-2"/>
                <w:sz w:val="24"/>
              </w:rPr>
              <w:tab/>
              <w:t>Podiely na kapitálových nástrojoch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 pri ktorých sa dočasne upúšťa od ustanovení</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odpočítaní</w:t>
            </w:r>
          </w:p>
          <w:p w14:paraId="60D3D569" w14:textId="2757B1EB" w:rsidR="00235D9D" w:rsidRPr="006A4431" w:rsidRDefault="002648B0">
            <w:pPr>
              <w:pStyle w:val="InstructionsText"/>
              <w:rPr>
                <w:spacing w:val="-2"/>
              </w:rPr>
            </w:pPr>
            <w:r w:rsidRPr="006A4431">
              <w:rPr>
                <w:spacing w:val="-2"/>
              </w:rPr>
              <w:t>Článok 79 CRR.</w:t>
            </w:r>
          </w:p>
          <w:p w14:paraId="39AF13D5" w14:textId="5C3A7D46" w:rsidR="00235D9D" w:rsidRPr="006A4431" w:rsidRDefault="002648B0">
            <w:pPr>
              <w:pStyle w:val="InstructionsText"/>
              <w:rPr>
                <w:spacing w:val="-2"/>
              </w:rPr>
            </w:pPr>
            <w:r w:rsidRPr="006A4431">
              <w:rPr>
                <w:spacing w:val="-2"/>
              </w:rPr>
              <w:t>Príslušný orgán môže upustiť od uplatňovania ustanovení</w:t>
            </w:r>
            <w:r w:rsidR="00D85C65" w:rsidRPr="006A4431">
              <w:rPr>
                <w:spacing w:val="-2"/>
              </w:rPr>
              <w:t xml:space="preserve"> o </w:t>
            </w:r>
            <w:r w:rsidRPr="006A4431">
              <w:rPr>
                <w:spacing w:val="-2"/>
              </w:rPr>
              <w:t>odpočítaní od T2</w:t>
            </w:r>
            <w:r w:rsidR="00D85C65" w:rsidRPr="006A4431">
              <w:rPr>
                <w:spacing w:val="-2"/>
              </w:rPr>
              <w:t xml:space="preserve"> z </w:t>
            </w:r>
            <w:r w:rsidRPr="006A4431">
              <w:rPr>
                <w:spacing w:val="-2"/>
              </w:rPr>
              <w:t>dôvodu podielov na nástrojoch špecifického subjektu finančného sektora, keď považuje tieto podiely za podiely určené na účely operácie finančnej pomoci na reorganizáciu</w:t>
            </w:r>
            <w:r w:rsidR="00D85C65" w:rsidRPr="006A4431">
              <w:rPr>
                <w:spacing w:val="-2"/>
              </w:rPr>
              <w:t xml:space="preserve"> a </w:t>
            </w:r>
            <w:r w:rsidRPr="006A4431">
              <w:rPr>
                <w:spacing w:val="-2"/>
              </w:rPr>
              <w:t>záchranu tohto subjektu.</w:t>
            </w:r>
          </w:p>
          <w:p w14:paraId="0C98A16F" w14:textId="413ACCC2" w:rsidR="00235D9D" w:rsidRPr="006A4431" w:rsidRDefault="002648B0">
            <w:pPr>
              <w:pStyle w:val="InstructionsText"/>
              <w:rPr>
                <w:spacing w:val="-2"/>
              </w:rPr>
            </w:pPr>
            <w:r w:rsidRPr="006A4431">
              <w:rPr>
                <w:spacing w:val="-2"/>
              </w:rPr>
              <w:t>Treba poznamenať, že tieto nástroje sa musia vykazovať aj</w:t>
            </w:r>
            <w:r w:rsidR="00D85C65" w:rsidRPr="006A4431">
              <w:rPr>
                <w:spacing w:val="-2"/>
              </w:rPr>
              <w:t xml:space="preserve"> v </w:t>
            </w:r>
            <w:r w:rsidRPr="006A4431">
              <w:rPr>
                <w:spacing w:val="-2"/>
              </w:rPr>
              <w:t>položke 17.1.</w:t>
            </w:r>
          </w:p>
        </w:tc>
      </w:tr>
      <w:tr w:rsidR="00235D9D" w:rsidRPr="006A4431"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235D9D" w:rsidRPr="006A4431" w:rsidRDefault="002648B0">
            <w:pPr>
              <w:pStyle w:val="InstructionsText"/>
              <w:rPr>
                <w:spacing w:val="-2"/>
              </w:rPr>
            </w:pPr>
            <w:r w:rsidRPr="006A4431">
              <w:rPr>
                <w:spacing w:val="-2"/>
              </w:rPr>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235D9D" w:rsidRPr="006A4431" w:rsidRDefault="002648B0">
            <w:pPr>
              <w:pStyle w:val="InstructionsText"/>
              <w:rPr>
                <w:spacing w:val="-2"/>
              </w:rPr>
            </w:pPr>
            <w:r w:rsidRPr="006A4431">
              <w:rPr>
                <w:rStyle w:val="InstructionsTabelleberschrift"/>
                <w:rFonts w:ascii="Times New Roman" w:hAnsi="Times New Roman"/>
                <w:spacing w:val="-2"/>
                <w:sz w:val="24"/>
              </w:rPr>
              <w:t>27.</w:t>
            </w:r>
            <w:r w:rsidRPr="006A4431">
              <w:rPr>
                <w:rStyle w:val="InstructionsTabelleberschrift"/>
                <w:rFonts w:ascii="Times New Roman" w:hAnsi="Times New Roman"/>
                <w:spacing w:val="-2"/>
                <w:sz w:val="24"/>
              </w:rPr>
              <w:tab/>
              <w:t>Požiadavka na kombinovaný vankúš</w:t>
            </w:r>
          </w:p>
          <w:p w14:paraId="7ECA4B47" w14:textId="6EF01E3E" w:rsidR="00235D9D" w:rsidRPr="006A4431" w:rsidRDefault="0014657C">
            <w:pPr>
              <w:pStyle w:val="InstructionsText"/>
              <w:rPr>
                <w:spacing w:val="-2"/>
              </w:rPr>
            </w:pPr>
            <w:r w:rsidRPr="006A4431">
              <w:rPr>
                <w:spacing w:val="-2"/>
              </w:rPr>
              <w:t>Článok 128 ods. 6 CRD.</w:t>
            </w:r>
          </w:p>
        </w:tc>
      </w:tr>
      <w:tr w:rsidR="00235D9D" w:rsidRPr="006A4431"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235D9D" w:rsidRPr="006A4431" w:rsidRDefault="00AC0F2C">
            <w:pPr>
              <w:pStyle w:val="InstructionsText"/>
              <w:rPr>
                <w:spacing w:val="-2"/>
              </w:rPr>
            </w:pPr>
            <w:r w:rsidRPr="006A4431">
              <w:rPr>
                <w:spacing w:val="-2"/>
              </w:rPr>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235D9D" w:rsidRPr="006A4431" w:rsidRDefault="00454139">
            <w:pPr>
              <w:pStyle w:val="InstructionsText"/>
              <w:rPr>
                <w:spacing w:val="-2"/>
              </w:rPr>
            </w:pPr>
            <w:r w:rsidRPr="006A4431">
              <w:rPr>
                <w:rStyle w:val="InstructionsTabelleberschrift"/>
                <w:rFonts w:ascii="Times New Roman" w:hAnsi="Times New Roman"/>
                <w:spacing w:val="-2"/>
                <w:sz w:val="24"/>
              </w:rPr>
              <w:t>Vankúš na zachovanie kapitálu</w:t>
            </w:r>
          </w:p>
          <w:p w14:paraId="715F00E2" w14:textId="470F6D73" w:rsidR="00D85C65" w:rsidRPr="006A4431" w:rsidRDefault="0014657C">
            <w:pPr>
              <w:pStyle w:val="InstructionsText"/>
              <w:rPr>
                <w:spacing w:val="-2"/>
              </w:rPr>
            </w:pPr>
            <w:r w:rsidRPr="006A4431">
              <w:rPr>
                <w:spacing w:val="-2"/>
              </w:rPr>
              <w:t>Článok 128 ods. 1</w:t>
            </w:r>
            <w:r w:rsidR="00D85C65" w:rsidRPr="006A4431">
              <w:rPr>
                <w:spacing w:val="-2"/>
              </w:rPr>
              <w:t xml:space="preserve"> a </w:t>
            </w:r>
            <w:r w:rsidRPr="006A4431">
              <w:rPr>
                <w:spacing w:val="-2"/>
              </w:rPr>
              <w:t>článok 129 CRD</w:t>
            </w:r>
            <w:r w:rsidR="00D85C65" w:rsidRPr="006A4431">
              <w:rPr>
                <w:spacing w:val="-2"/>
              </w:rPr>
              <w:t>.</w:t>
            </w:r>
          </w:p>
          <w:p w14:paraId="5E4947F7" w14:textId="79E26257" w:rsidR="00235D9D" w:rsidRPr="006A4431" w:rsidRDefault="0014657C">
            <w:pPr>
              <w:pStyle w:val="InstructionsText"/>
              <w:rPr>
                <w:spacing w:val="-2"/>
              </w:rPr>
            </w:pPr>
            <w:r w:rsidRPr="006A4431">
              <w:rPr>
                <w:spacing w:val="-2"/>
              </w:rPr>
              <w:t>Podľa článku 129 ods. 1 CRD je vankúš na zachovanie kapitálu dodatočná suma nad rámec vlastného kapitálu Tier 1. Keďže miera vankúša na zachovanie kapitálu vo výške 2,5</w:t>
            </w:r>
            <w:r w:rsidR="00D85C65" w:rsidRPr="006A4431">
              <w:rPr>
                <w:spacing w:val="-2"/>
              </w:rPr>
              <w:t> %</w:t>
            </w:r>
            <w:r w:rsidRPr="006A4431">
              <w:rPr>
                <w:spacing w:val="-2"/>
              </w:rPr>
              <w:t xml:space="preserve"> je stabilná, vykazuje sa</w:t>
            </w:r>
            <w:r w:rsidR="00D85C65" w:rsidRPr="006A4431">
              <w:rPr>
                <w:spacing w:val="-2"/>
              </w:rPr>
              <w:t xml:space="preserve"> v </w:t>
            </w:r>
            <w:r w:rsidRPr="006A4431">
              <w:rPr>
                <w:spacing w:val="-2"/>
              </w:rPr>
              <w:t>tomto riadku hodnota.</w:t>
            </w:r>
          </w:p>
        </w:tc>
      </w:tr>
      <w:tr w:rsidR="00235D9D" w:rsidRPr="006A4431"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235D9D" w:rsidRPr="006A4431" w:rsidRDefault="002648B0">
            <w:pPr>
              <w:pStyle w:val="InstructionsText"/>
              <w:rPr>
                <w:spacing w:val="-2"/>
              </w:rPr>
            </w:pPr>
            <w:r w:rsidRPr="006A4431">
              <w:rPr>
                <w:spacing w:val="-2"/>
              </w:rPr>
              <w:t>760</w:t>
            </w:r>
          </w:p>
        </w:tc>
        <w:tc>
          <w:tcPr>
            <w:tcW w:w="7243" w:type="dxa"/>
            <w:tcBorders>
              <w:top w:val="single" w:sz="4" w:space="0" w:color="auto"/>
              <w:left w:val="single" w:sz="4" w:space="0" w:color="auto"/>
              <w:bottom w:val="single" w:sz="4" w:space="0" w:color="auto"/>
              <w:right w:val="single" w:sz="4" w:space="0" w:color="auto"/>
            </w:tcBorders>
          </w:tcPr>
          <w:p w14:paraId="59740CFA" w14:textId="77777777" w:rsidR="00D85C65"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na zachovanie</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dôvodu makroprudenciálneho alebo systémového rizika identifikovaného na úrovni členského štátu</w:t>
            </w:r>
          </w:p>
          <w:p w14:paraId="0818F48A" w14:textId="0B1FAE72" w:rsidR="00235D9D" w:rsidRPr="006A4431" w:rsidRDefault="0014657C">
            <w:pPr>
              <w:pStyle w:val="InstructionsText"/>
              <w:rPr>
                <w:spacing w:val="-2"/>
              </w:rPr>
            </w:pPr>
            <w:r w:rsidRPr="006A4431">
              <w:rPr>
                <w:spacing w:val="-2"/>
              </w:rPr>
              <w:t>Článok 458 ods. 2 písm. d) bod iv) CRR.</w:t>
            </w:r>
          </w:p>
          <w:p w14:paraId="406A0E60" w14:textId="3B5AFA17" w:rsidR="00235D9D" w:rsidRPr="006A4431" w:rsidRDefault="002648B0">
            <w:pPr>
              <w:pStyle w:val="InstructionsText"/>
              <w:rPr>
                <w:spacing w:val="-2"/>
              </w:rPr>
            </w:pPr>
            <w:r w:rsidRPr="006A4431">
              <w:rPr>
                <w:spacing w:val="-2"/>
              </w:rPr>
              <w:t>V tomto riadku sa vykazuje hodnota vankúša na zachovanie</w:t>
            </w:r>
            <w:r w:rsidR="00D85C65" w:rsidRPr="006A4431">
              <w:rPr>
                <w:spacing w:val="-2"/>
              </w:rPr>
              <w:t xml:space="preserve"> z </w:t>
            </w:r>
            <w:r w:rsidRPr="006A4431">
              <w:rPr>
                <w:spacing w:val="-2"/>
              </w:rPr>
              <w:t>dôvodu makroprudenciálneho alebo systémového rizika identifikovaného na úrovni členského štátu, ktorý sa môže požadovať podľa článku 458 CRR popri vankúši na zachovanie kapitálu.</w:t>
            </w:r>
          </w:p>
          <w:p w14:paraId="3FB65437" w14:textId="3C8BE7E2" w:rsidR="00235D9D" w:rsidRPr="006A4431" w:rsidRDefault="00DF65DF">
            <w:pPr>
              <w:pStyle w:val="InstructionsText"/>
              <w:rPr>
                <w:spacing w:val="-2"/>
              </w:rPr>
            </w:pPr>
            <w:r w:rsidRPr="006A4431">
              <w:rPr>
                <w:spacing w:val="-2"/>
              </w:rPr>
              <w:lastRenderedPageBreak/>
              <w:t>Vykázaná suma predstavuje výšku vlastných zdrojov potrebných na dodržanie príslušných požiadaviek na kapitálový vankúš</w:t>
            </w:r>
            <w:r w:rsidR="00D85C65" w:rsidRPr="006A4431">
              <w:rPr>
                <w:spacing w:val="-2"/>
              </w:rPr>
              <w:t xml:space="preserve"> k </w:t>
            </w:r>
            <w:r w:rsidRPr="006A4431">
              <w:rPr>
                <w:spacing w:val="-2"/>
              </w:rPr>
              <w:t>dátumu vykazovania.</w:t>
            </w:r>
          </w:p>
        </w:tc>
      </w:tr>
      <w:tr w:rsidR="00235D9D" w:rsidRPr="006A4431"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235D9D" w:rsidRPr="006A4431" w:rsidRDefault="002648B0">
            <w:pPr>
              <w:pStyle w:val="InstructionsText"/>
              <w:rPr>
                <w:spacing w:val="-2"/>
              </w:rPr>
            </w:pPr>
            <w:r w:rsidRPr="006A4431">
              <w:rPr>
                <w:spacing w:val="-2"/>
              </w:rPr>
              <w:lastRenderedPageBreak/>
              <w:t>770</w:t>
            </w:r>
          </w:p>
        </w:tc>
        <w:tc>
          <w:tcPr>
            <w:tcW w:w="7243" w:type="dxa"/>
            <w:tcBorders>
              <w:top w:val="single" w:sz="4" w:space="0" w:color="auto"/>
              <w:left w:val="single" w:sz="4" w:space="0" w:color="auto"/>
              <w:bottom w:val="single" w:sz="4" w:space="0" w:color="auto"/>
              <w:right w:val="single" w:sz="4" w:space="0" w:color="auto"/>
            </w:tcBorders>
          </w:tcPr>
          <w:p w14:paraId="50E7C555" w14:textId="77777777" w:rsidR="00D85C65" w:rsidRPr="006A4431" w:rsidRDefault="0010177C">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Proticyklický kapitálový vankúš špecifický pre inštitúciu</w:t>
            </w:r>
          </w:p>
          <w:p w14:paraId="16092F54" w14:textId="5422AA30" w:rsidR="00D85C65" w:rsidRPr="006A4431" w:rsidRDefault="0014657C">
            <w:pPr>
              <w:pStyle w:val="InstructionsText"/>
              <w:rPr>
                <w:spacing w:val="-2"/>
              </w:rPr>
            </w:pPr>
            <w:r w:rsidRPr="006A4431">
              <w:rPr>
                <w:spacing w:val="-2"/>
              </w:rPr>
              <w:t>Článok 128 ods. 2</w:t>
            </w:r>
            <w:r w:rsidR="00D85C65" w:rsidRPr="006A4431">
              <w:rPr>
                <w:spacing w:val="-2"/>
              </w:rPr>
              <w:t xml:space="preserve"> a </w:t>
            </w:r>
            <w:r w:rsidRPr="006A4431">
              <w:rPr>
                <w:spacing w:val="-2"/>
              </w:rPr>
              <w:t>články 130, 135 až 140 CRD</w:t>
            </w:r>
            <w:r w:rsidR="00D85C65" w:rsidRPr="006A4431">
              <w:rPr>
                <w:spacing w:val="-2"/>
              </w:rPr>
              <w:t>.</w:t>
            </w:r>
          </w:p>
          <w:p w14:paraId="1544268E" w14:textId="131C12BD" w:rsidR="00235D9D" w:rsidRPr="006A4431" w:rsidRDefault="00DF65DF">
            <w:pPr>
              <w:pStyle w:val="InstructionsText"/>
              <w:rPr>
                <w:spacing w:val="-2"/>
              </w:rPr>
            </w:pPr>
            <w:r w:rsidRPr="006A4431">
              <w:rPr>
                <w:spacing w:val="-2"/>
              </w:rPr>
              <w:t>Vykázaná suma predstavuje výšku vlastných zdrojov potrebných na dodržanie príslušných požiadaviek na kapitálový vankúš</w:t>
            </w:r>
            <w:r w:rsidR="00D85C65" w:rsidRPr="006A4431">
              <w:rPr>
                <w:spacing w:val="-2"/>
              </w:rPr>
              <w:t xml:space="preserve"> k </w:t>
            </w:r>
            <w:r w:rsidRPr="006A4431">
              <w:rPr>
                <w:spacing w:val="-2"/>
              </w:rPr>
              <w:t>dátumu vykazovania.</w:t>
            </w:r>
          </w:p>
        </w:tc>
      </w:tr>
      <w:tr w:rsidR="00235D9D" w:rsidRPr="006A4431"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235D9D" w:rsidRPr="006A4431" w:rsidRDefault="002648B0">
            <w:pPr>
              <w:pStyle w:val="InstructionsText"/>
              <w:rPr>
                <w:spacing w:val="-2"/>
              </w:rPr>
            </w:pPr>
            <w:r w:rsidRPr="006A4431">
              <w:rPr>
                <w:spacing w:val="-2"/>
              </w:rPr>
              <w:t>780</w:t>
            </w:r>
          </w:p>
        </w:tc>
        <w:tc>
          <w:tcPr>
            <w:tcW w:w="7243" w:type="dxa"/>
            <w:tcBorders>
              <w:top w:val="single" w:sz="4" w:space="0" w:color="auto"/>
              <w:left w:val="single" w:sz="4" w:space="0" w:color="auto"/>
              <w:bottom w:val="single" w:sz="4" w:space="0" w:color="auto"/>
              <w:right w:val="single" w:sz="4" w:space="0" w:color="auto"/>
            </w:tcBorders>
          </w:tcPr>
          <w:p w14:paraId="60334C35" w14:textId="77777777" w:rsidR="00D85C65"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na krytie systémového rizika</w:t>
            </w:r>
          </w:p>
          <w:p w14:paraId="5B3261A8" w14:textId="668A3C2C" w:rsidR="00D85C65" w:rsidRPr="006A4431" w:rsidRDefault="0014657C">
            <w:pPr>
              <w:pStyle w:val="InstructionsText"/>
              <w:rPr>
                <w:spacing w:val="-2"/>
              </w:rPr>
            </w:pPr>
            <w:r w:rsidRPr="006A4431">
              <w:rPr>
                <w:spacing w:val="-2"/>
              </w:rPr>
              <w:t>Článok 128 ods. 5</w:t>
            </w:r>
            <w:r w:rsidR="00D85C65" w:rsidRPr="006A4431">
              <w:rPr>
                <w:spacing w:val="-2"/>
              </w:rPr>
              <w:t xml:space="preserve"> a </w:t>
            </w:r>
            <w:r w:rsidRPr="006A4431">
              <w:rPr>
                <w:spacing w:val="-2"/>
              </w:rPr>
              <w:t>články 133</w:t>
            </w:r>
            <w:r w:rsidR="00D85C65" w:rsidRPr="006A4431">
              <w:rPr>
                <w:spacing w:val="-2"/>
              </w:rPr>
              <w:t xml:space="preserve"> a </w:t>
            </w:r>
            <w:r w:rsidRPr="006A4431">
              <w:rPr>
                <w:spacing w:val="-2"/>
              </w:rPr>
              <w:t>134 CRD</w:t>
            </w:r>
            <w:r w:rsidR="00D85C65" w:rsidRPr="006A4431">
              <w:rPr>
                <w:spacing w:val="-2"/>
              </w:rPr>
              <w:t>.</w:t>
            </w:r>
          </w:p>
          <w:p w14:paraId="0C99E105" w14:textId="3AE62138" w:rsidR="00235D9D" w:rsidRPr="006A4431" w:rsidRDefault="00DF65DF">
            <w:pPr>
              <w:pStyle w:val="InstructionsText"/>
              <w:rPr>
                <w:spacing w:val="-2"/>
              </w:rPr>
            </w:pPr>
            <w:r w:rsidRPr="006A4431">
              <w:rPr>
                <w:spacing w:val="-2"/>
              </w:rPr>
              <w:t>Vykázaná suma predstavuje výšku vlastných zdrojov potrebných na dodržanie príslušných požiadaviek na kapitálový vankúš</w:t>
            </w:r>
            <w:r w:rsidR="00D85C65" w:rsidRPr="006A4431">
              <w:rPr>
                <w:spacing w:val="-2"/>
              </w:rPr>
              <w:t xml:space="preserve"> k </w:t>
            </w:r>
            <w:r w:rsidRPr="006A4431">
              <w:rPr>
                <w:spacing w:val="-2"/>
              </w:rPr>
              <w:t>dátumu vykazovania.</w:t>
            </w:r>
          </w:p>
        </w:tc>
      </w:tr>
      <w:tr w:rsidR="00235D9D" w:rsidRPr="006A4431"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235D9D" w:rsidRPr="006A4431" w:rsidRDefault="00497D60">
            <w:pPr>
              <w:pStyle w:val="InstructionsText"/>
              <w:rPr>
                <w:spacing w:val="-2"/>
              </w:rPr>
            </w:pPr>
            <w:r w:rsidRPr="006A4431">
              <w:rPr>
                <w:spacing w:val="-2"/>
              </w:rPr>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235D9D" w:rsidRPr="006A4431" w:rsidRDefault="0010177C">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pre globálne systémovo významné inštitúcie</w:t>
            </w:r>
          </w:p>
          <w:p w14:paraId="2B6752E9" w14:textId="011B656C" w:rsidR="00235D9D" w:rsidRPr="006A4431" w:rsidRDefault="0014657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128 ods. 3</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131 CRD.</w:t>
            </w:r>
          </w:p>
          <w:p w14:paraId="35E48079" w14:textId="5D9EE526" w:rsidR="00235D9D" w:rsidRPr="006A4431" w:rsidRDefault="00DF65DF">
            <w:pPr>
              <w:pStyle w:val="InstructionsText"/>
              <w:rPr>
                <w:rStyle w:val="InstructionsTabelleberschrift"/>
                <w:rFonts w:ascii="Times New Roman" w:hAnsi="Times New Roman"/>
                <w:b w:val="0"/>
                <w:bCs w:val="0"/>
                <w:spacing w:val="-2"/>
                <w:sz w:val="24"/>
                <w:u w:val="none"/>
              </w:rPr>
            </w:pPr>
            <w:r w:rsidRPr="006A4431">
              <w:rPr>
                <w:spacing w:val="-2"/>
              </w:rPr>
              <w:t>Vykázaná suma predstavuje výšku vlastných zdrojov potrebných na dodržanie príslušných požiadaviek na kapitálový vankúš</w:t>
            </w:r>
            <w:r w:rsidR="00D85C65" w:rsidRPr="006A4431">
              <w:rPr>
                <w:spacing w:val="-2"/>
              </w:rPr>
              <w:t xml:space="preserve"> k </w:t>
            </w:r>
            <w:r w:rsidRPr="006A4431">
              <w:rPr>
                <w:spacing w:val="-2"/>
              </w:rPr>
              <w:t>dátumu vykazovania.</w:t>
            </w:r>
          </w:p>
        </w:tc>
      </w:tr>
      <w:tr w:rsidR="00235D9D" w:rsidRPr="006A4431"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235D9D" w:rsidRPr="006A4431" w:rsidRDefault="00497D60">
            <w:pPr>
              <w:pStyle w:val="InstructionsText"/>
              <w:rPr>
                <w:spacing w:val="-2"/>
              </w:rPr>
            </w:pPr>
            <w:r w:rsidRPr="006A4431">
              <w:rPr>
                <w:spacing w:val="-2"/>
              </w:rPr>
              <w:t>810</w:t>
            </w:r>
          </w:p>
        </w:tc>
        <w:tc>
          <w:tcPr>
            <w:tcW w:w="7243" w:type="dxa"/>
            <w:tcBorders>
              <w:top w:val="single" w:sz="4" w:space="0" w:color="auto"/>
              <w:left w:val="single" w:sz="4" w:space="0" w:color="auto"/>
              <w:bottom w:val="single" w:sz="4" w:space="0" w:color="auto"/>
              <w:right w:val="single" w:sz="4" w:space="0" w:color="auto"/>
            </w:tcBorders>
          </w:tcPr>
          <w:p w14:paraId="26F1498D" w14:textId="77777777" w:rsidR="00D85C65" w:rsidRPr="006A4431" w:rsidRDefault="0010177C">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pre inak systémovo významné inštitúcie</w:t>
            </w:r>
          </w:p>
          <w:p w14:paraId="6B4333ED" w14:textId="2AFF807F" w:rsidR="00235D9D" w:rsidRPr="006A4431" w:rsidRDefault="0014657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128 ods. 4</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131 CRD.</w:t>
            </w:r>
          </w:p>
          <w:p w14:paraId="0C2C0E4D" w14:textId="604515DC" w:rsidR="00235D9D" w:rsidRPr="006A4431" w:rsidRDefault="00DF65DF">
            <w:pPr>
              <w:pStyle w:val="InstructionsText"/>
              <w:rPr>
                <w:rStyle w:val="InstructionsTabelleberschrift"/>
                <w:rFonts w:ascii="Times New Roman" w:hAnsi="Times New Roman"/>
                <w:b w:val="0"/>
                <w:bCs w:val="0"/>
                <w:spacing w:val="-2"/>
                <w:sz w:val="24"/>
                <w:u w:val="none"/>
              </w:rPr>
            </w:pPr>
            <w:r w:rsidRPr="006A4431">
              <w:rPr>
                <w:spacing w:val="-2"/>
              </w:rPr>
              <w:t>Vykázaná suma predstavuje výšku vlastných zdrojov potrebných na dodržanie príslušných požiadaviek na kapitálový vankúš</w:t>
            </w:r>
            <w:r w:rsidR="00D85C65" w:rsidRPr="006A4431">
              <w:rPr>
                <w:spacing w:val="-2"/>
              </w:rPr>
              <w:t xml:space="preserve"> k </w:t>
            </w:r>
            <w:r w:rsidRPr="006A4431">
              <w:rPr>
                <w:spacing w:val="-2"/>
              </w:rPr>
              <w:t>dátumu vykazovania.</w:t>
            </w:r>
          </w:p>
        </w:tc>
      </w:tr>
      <w:tr w:rsidR="00235D9D" w:rsidRPr="006A4431"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235D9D" w:rsidRPr="006A4431" w:rsidRDefault="00497D60">
            <w:pPr>
              <w:pStyle w:val="InstructionsText"/>
              <w:rPr>
                <w:spacing w:val="-2"/>
              </w:rPr>
            </w:pPr>
            <w:r w:rsidRPr="006A4431">
              <w:rPr>
                <w:spacing w:val="-2"/>
              </w:rPr>
              <w:t>820</w:t>
            </w:r>
          </w:p>
          <w:p w14:paraId="5A878E1B" w14:textId="77777777" w:rsidR="00235D9D" w:rsidRPr="006A4431" w:rsidRDefault="00235D9D">
            <w:pPr>
              <w:pStyle w:val="InstructionsText"/>
              <w:rPr>
                <w:spacing w:val="-2"/>
              </w:rPr>
            </w:pPr>
          </w:p>
        </w:tc>
        <w:tc>
          <w:tcPr>
            <w:tcW w:w="7243" w:type="dxa"/>
            <w:tcBorders>
              <w:top w:val="single" w:sz="4" w:space="0" w:color="auto"/>
              <w:left w:val="single" w:sz="4" w:space="0" w:color="auto"/>
              <w:bottom w:val="single" w:sz="4" w:space="0" w:color="auto"/>
              <w:right w:val="single" w:sz="4" w:space="0" w:color="auto"/>
            </w:tcBorders>
          </w:tcPr>
          <w:p w14:paraId="1D637A87" w14:textId="10968F8B" w:rsidR="00235D9D" w:rsidRPr="006A4431" w:rsidRDefault="00E81DB9">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28.</w:t>
            </w:r>
            <w:r w:rsidRPr="006A4431">
              <w:rPr>
                <w:rStyle w:val="InstructionsTabelleberschrift"/>
                <w:rFonts w:ascii="Times New Roman" w:hAnsi="Times New Roman"/>
                <w:spacing w:val="-2"/>
                <w:sz w:val="24"/>
              </w:rPr>
              <w:tab/>
              <w:t>Požiadavky na vlastné zdroje súvisiace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úpravami piliera II</w:t>
            </w:r>
          </w:p>
          <w:p w14:paraId="4C911FB2" w14:textId="77777777" w:rsidR="00D85C65" w:rsidRPr="006A4431" w:rsidRDefault="00190FA3">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104 ods. 2 CRD</w:t>
            </w:r>
            <w:r w:rsidR="00D85C65" w:rsidRPr="006A4431">
              <w:rPr>
                <w:rStyle w:val="InstructionsTabelleberschrift"/>
                <w:rFonts w:ascii="Times New Roman" w:hAnsi="Times New Roman"/>
                <w:b w:val="0"/>
                <w:spacing w:val="-2"/>
                <w:sz w:val="24"/>
                <w:u w:val="none"/>
              </w:rPr>
              <w:t>.</w:t>
            </w:r>
          </w:p>
          <w:p w14:paraId="63F3FBD9" w14:textId="34ACF624" w:rsidR="00235D9D" w:rsidRPr="006A4431" w:rsidRDefault="00190FA3">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Ak príslušný orgán rozhodne, že inštitúcia musí vypočítavať požiadavky na dodatočné vlastné zdroje na základe piliera II, tieto požiadavky na dodatočné vlastné zdroje sa vykazujú</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 xml:space="preserve">tomto riadku. </w:t>
            </w:r>
          </w:p>
        </w:tc>
      </w:tr>
      <w:tr w:rsidR="00235D9D" w:rsidRPr="006A4431"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235D9D" w:rsidRPr="006A4431" w:rsidRDefault="00497D60">
            <w:pPr>
              <w:pStyle w:val="InstructionsText"/>
              <w:rPr>
                <w:spacing w:val="-2"/>
              </w:rPr>
            </w:pPr>
            <w:r w:rsidRPr="006A4431">
              <w:rPr>
                <w:spacing w:val="-2"/>
              </w:rPr>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235D9D" w:rsidRPr="006A4431" w:rsidRDefault="00F2264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29.</w:t>
            </w:r>
            <w:r w:rsidRPr="006A4431">
              <w:rPr>
                <w:rStyle w:val="InstructionsTabelleberschrift"/>
                <w:rFonts w:ascii="Times New Roman" w:hAnsi="Times New Roman"/>
                <w:spacing w:val="-2"/>
                <w:sz w:val="24"/>
              </w:rPr>
              <w:tab/>
              <w:t>Počiatočný kapitál</w:t>
            </w:r>
          </w:p>
          <w:p w14:paraId="2E07B924" w14:textId="1912D0AB" w:rsidR="00235D9D" w:rsidRPr="006A4431" w:rsidRDefault="00E0639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Články 12</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28 až 31 CRD</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93 CRR.</w:t>
            </w:r>
          </w:p>
        </w:tc>
      </w:tr>
      <w:tr w:rsidR="00235D9D" w:rsidRPr="006A4431"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235D9D" w:rsidRPr="006A4431" w:rsidRDefault="00497D60">
            <w:pPr>
              <w:pStyle w:val="InstructionsText"/>
              <w:rPr>
                <w:spacing w:val="-2"/>
              </w:rPr>
            </w:pPr>
            <w:r w:rsidRPr="006A4431">
              <w:rPr>
                <w:spacing w:val="-2"/>
              </w:rPr>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235D9D" w:rsidRPr="006A4431" w:rsidRDefault="00F2264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30.</w:t>
            </w:r>
            <w:r w:rsidRPr="006A4431">
              <w:rPr>
                <w:rStyle w:val="InstructionsTabelleberschrift"/>
                <w:rFonts w:ascii="Times New Roman" w:hAnsi="Times New Roman"/>
                <w:spacing w:val="-2"/>
                <w:sz w:val="24"/>
              </w:rPr>
              <w:tab/>
              <w:t>Vlastné zdroje založené na fixných režijných nákladoch</w:t>
            </w:r>
          </w:p>
          <w:p w14:paraId="215D5CD6" w14:textId="6D2165F5" w:rsidR="00235D9D" w:rsidRPr="006A4431" w:rsidRDefault="0014657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96 ods. 2 písm. b), článok 97</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98 ods. 1 písm. a) CRR.</w:t>
            </w:r>
          </w:p>
        </w:tc>
      </w:tr>
      <w:tr w:rsidR="00235D9D" w:rsidRPr="006A4431"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235D9D" w:rsidRPr="006A4431" w:rsidRDefault="00497D60">
            <w:pPr>
              <w:pStyle w:val="InstructionsText"/>
              <w:rPr>
                <w:spacing w:val="-2"/>
              </w:rPr>
            </w:pPr>
            <w:r w:rsidRPr="006A4431">
              <w:rPr>
                <w:spacing w:val="-2"/>
              </w:rPr>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235D9D" w:rsidRPr="006A4431" w:rsidRDefault="00F2264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31.</w:t>
            </w:r>
            <w:r w:rsidRPr="006A4431">
              <w:rPr>
                <w:rStyle w:val="InstructionsTabelleberschrift"/>
                <w:rFonts w:ascii="Times New Roman" w:hAnsi="Times New Roman"/>
                <w:spacing w:val="-2"/>
                <w:sz w:val="24"/>
              </w:rPr>
              <w:tab/>
              <w:t>Nedomáce pôvodné expozície</w:t>
            </w:r>
          </w:p>
          <w:p w14:paraId="3814B878" w14:textId="77777777" w:rsidR="00D85C65" w:rsidRPr="006A4431" w:rsidRDefault="00A774C1">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Informácie potrebné na výpočet prahovej hodnoty na vykazovanie vzoru CR GB</w:t>
            </w:r>
            <w:r w:rsidRPr="006A4431">
              <w:rPr>
                <w:spacing w:val="-2"/>
              </w:rPr>
              <w:t xml:space="preserve"> podľa článku 5 písm. a) </w:t>
            </w:r>
            <w:r w:rsidRPr="006A4431">
              <w:rPr>
                <w:rStyle w:val="InstructionsTabelleberschrift"/>
                <w:rFonts w:ascii="Times New Roman" w:hAnsi="Times New Roman"/>
                <w:b w:val="0"/>
                <w:spacing w:val="-2"/>
                <w:sz w:val="24"/>
                <w:u w:val="none"/>
              </w:rPr>
              <w:t>bodu 4 tohto vykonávacieho nariadenia. Prahová hodnota sa vypočíta na základe pôvodnej expozície pred uplatnením konverzného faktora</w:t>
            </w:r>
            <w:r w:rsidR="00D85C65" w:rsidRPr="006A4431">
              <w:rPr>
                <w:rStyle w:val="InstructionsTabelleberschrift"/>
                <w:rFonts w:ascii="Times New Roman" w:hAnsi="Times New Roman"/>
                <w:b w:val="0"/>
                <w:spacing w:val="-2"/>
                <w:sz w:val="24"/>
                <w:u w:val="none"/>
              </w:rPr>
              <w:t>.</w:t>
            </w:r>
          </w:p>
          <w:p w14:paraId="1B982B5C" w14:textId="6E464D84" w:rsidR="00235D9D" w:rsidRPr="006A4431" w:rsidRDefault="00FA386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b w:val="0"/>
                <w:spacing w:val="-2"/>
                <w:sz w:val="24"/>
                <w:u w:val="none"/>
              </w:rPr>
              <w:t>Expozície sa považujú za domáce, keď ide</w:t>
            </w:r>
            <w:r w:rsidR="00D85C65" w:rsidRPr="006A4431">
              <w:rPr>
                <w:rStyle w:val="InstructionsTabelleberschrift"/>
                <w:rFonts w:ascii="Times New Roman" w:hAnsi="Times New Roman"/>
                <w:b w:val="0"/>
                <w:spacing w:val="-2"/>
                <w:sz w:val="24"/>
                <w:u w:val="none"/>
              </w:rPr>
              <w:t xml:space="preserve"> o </w:t>
            </w:r>
            <w:r w:rsidRPr="006A4431">
              <w:rPr>
                <w:rStyle w:val="InstructionsTabelleberschrift"/>
                <w:rFonts w:ascii="Times New Roman" w:hAnsi="Times New Roman"/>
                <w:b w:val="0"/>
                <w:spacing w:val="-2"/>
                <w:sz w:val="24"/>
                <w:u w:val="none"/>
              </w:rPr>
              <w:t>expozície voči protistranám sídliacim</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členskom štáte,</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ktorom má inštitúcia sídlo.</w:t>
            </w:r>
          </w:p>
        </w:tc>
      </w:tr>
      <w:tr w:rsidR="00235D9D" w:rsidRPr="006A4431"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235D9D" w:rsidRPr="006A4431" w:rsidRDefault="00A774C1">
            <w:pPr>
              <w:pStyle w:val="InstructionsText"/>
              <w:rPr>
                <w:spacing w:val="-2"/>
              </w:rPr>
            </w:pPr>
            <w:r w:rsidRPr="006A4431">
              <w:rPr>
                <w:spacing w:val="-2"/>
              </w:rPr>
              <w:lastRenderedPageBreak/>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235D9D" w:rsidRPr="006A4431" w:rsidRDefault="00F2264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32.</w:t>
            </w:r>
            <w:r w:rsidRPr="006A4431">
              <w:rPr>
                <w:rStyle w:val="InstructionsTabelleberschrift"/>
                <w:rFonts w:ascii="Times New Roman" w:hAnsi="Times New Roman"/>
                <w:spacing w:val="-2"/>
                <w:sz w:val="24"/>
              </w:rPr>
              <w:tab/>
              <w:t>Celkové pôvodné expozície</w:t>
            </w:r>
          </w:p>
          <w:p w14:paraId="6A74AE51" w14:textId="4028C27C" w:rsidR="00235D9D" w:rsidRPr="006A4431" w:rsidRDefault="00FA3865">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Informácie potrebné na výpočet prahovej hodnoty na vykazovanie vzoru CR GB</w:t>
            </w:r>
            <w:r w:rsidRPr="006A4431">
              <w:rPr>
                <w:spacing w:val="-2"/>
              </w:rPr>
              <w:t xml:space="preserve"> podľa článku 5 písm. a) </w:t>
            </w:r>
            <w:r w:rsidRPr="006A4431">
              <w:rPr>
                <w:rStyle w:val="InstructionsTabelleberschrift"/>
                <w:rFonts w:ascii="Times New Roman" w:hAnsi="Times New Roman"/>
                <w:b w:val="0"/>
                <w:spacing w:val="-2"/>
                <w:sz w:val="24"/>
                <w:u w:val="none"/>
              </w:rPr>
              <w:t>bodu 4 tohto vykonávacieho nariadenia. Prahová hodnota sa vypočíta na základe pôvodnej expozície pred uplatnením konverzného faktora.</w:t>
            </w:r>
          </w:p>
          <w:p w14:paraId="195053B6" w14:textId="4DC80E09" w:rsidR="00235D9D" w:rsidRPr="006A4431" w:rsidRDefault="00FA386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b w:val="0"/>
                <w:spacing w:val="-2"/>
                <w:sz w:val="24"/>
                <w:u w:val="none"/>
              </w:rPr>
              <w:t>Expozície sa považujú za domáce, keď ide</w:t>
            </w:r>
            <w:r w:rsidR="00D85C65" w:rsidRPr="006A4431">
              <w:rPr>
                <w:rStyle w:val="InstructionsTabelleberschrift"/>
                <w:rFonts w:ascii="Times New Roman" w:hAnsi="Times New Roman"/>
                <w:b w:val="0"/>
                <w:spacing w:val="-2"/>
                <w:sz w:val="24"/>
                <w:u w:val="none"/>
              </w:rPr>
              <w:t xml:space="preserve"> o </w:t>
            </w:r>
            <w:r w:rsidRPr="006A4431">
              <w:rPr>
                <w:rStyle w:val="InstructionsTabelleberschrift"/>
                <w:rFonts w:ascii="Times New Roman" w:hAnsi="Times New Roman"/>
                <w:b w:val="0"/>
                <w:spacing w:val="-2"/>
                <w:sz w:val="24"/>
                <w:u w:val="none"/>
              </w:rPr>
              <w:t>expozície voči protistranám sídliacim</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členskom štáte,</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ktorom má inštitúcia sídlo.</w:t>
            </w:r>
          </w:p>
        </w:tc>
      </w:tr>
      <w:tr w:rsidR="00235D9D" w:rsidRPr="006A4431"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235D9D" w:rsidRPr="006A4431" w:rsidRDefault="007E16E5">
            <w:pPr>
              <w:pStyle w:val="InstructionsText"/>
              <w:rPr>
                <w:spacing w:val="-2"/>
              </w:rPr>
            </w:pPr>
            <w:r w:rsidRPr="006A4431">
              <w:rPr>
                <w:spacing w:val="-2"/>
              </w:rPr>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Úpravy celkových vlastných zdrojov</w:t>
            </w:r>
          </w:p>
          <w:p w14:paraId="2FFACBFD" w14:textId="567E2EBF" w:rsidR="00235D9D" w:rsidRPr="006A4431" w:rsidRDefault="00700DFD">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500 ods. 4 CRR.</w:t>
            </w:r>
          </w:p>
          <w:p w14:paraId="23845E96" w14:textId="0BF2C625" w:rsidR="00D85C65" w:rsidRPr="006A4431" w:rsidRDefault="00DE48EF">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V tomto riadku sa musí vykazovať rozdiel medzi hodnotou vykazovanou</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riadku 880</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celkovými vlastnými zdrojmi podľa CRR</w:t>
            </w:r>
            <w:r w:rsidR="00D85C65" w:rsidRPr="006A4431">
              <w:rPr>
                <w:rStyle w:val="InstructionsTabelleberschrift"/>
                <w:rFonts w:ascii="Times New Roman" w:hAnsi="Times New Roman"/>
                <w:b w:val="0"/>
                <w:spacing w:val="-2"/>
                <w:sz w:val="24"/>
                <w:u w:val="none"/>
              </w:rPr>
              <w:t>.</w:t>
            </w:r>
          </w:p>
          <w:p w14:paraId="4EBC63C5" w14:textId="094B97C0" w:rsidR="00235D9D" w:rsidRPr="006A4431" w:rsidRDefault="003A1469">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Ak sa uplatňuje alternatíva</w:t>
            </w:r>
            <w:r w:rsidR="00D85C65" w:rsidRPr="006A4431">
              <w:rPr>
                <w:rStyle w:val="InstructionsTabelleberschrift"/>
                <w:rFonts w:ascii="Times New Roman" w:hAnsi="Times New Roman"/>
                <w:b w:val="0"/>
                <w:spacing w:val="-2"/>
                <w:sz w:val="24"/>
                <w:u w:val="none"/>
              </w:rPr>
              <w:t xml:space="preserve"> k </w:t>
            </w:r>
            <w:r w:rsidRPr="006A4431">
              <w:rPr>
                <w:rStyle w:val="InstructionsTabelleberschrift"/>
                <w:rFonts w:ascii="Times New Roman" w:hAnsi="Times New Roman"/>
                <w:b w:val="0"/>
                <w:spacing w:val="-2"/>
                <w:sz w:val="24"/>
                <w:u w:val="none"/>
              </w:rPr>
              <w:t>štandardnému prístupu (článok 500 ods. 2 CRR), tento riadok sa ponechá prázdny.</w:t>
            </w:r>
          </w:p>
        </w:tc>
      </w:tr>
      <w:tr w:rsidR="00235D9D" w:rsidRPr="006A4431"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235D9D" w:rsidRPr="006A4431" w:rsidRDefault="007E16E5">
            <w:pPr>
              <w:pStyle w:val="InstructionsText"/>
              <w:rPr>
                <w:spacing w:val="-2"/>
              </w:rPr>
            </w:pPr>
            <w:r w:rsidRPr="006A4431">
              <w:rPr>
                <w:spacing w:val="-2"/>
              </w:rPr>
              <w:t>880</w:t>
            </w:r>
          </w:p>
        </w:tc>
        <w:tc>
          <w:tcPr>
            <w:tcW w:w="7243" w:type="dxa"/>
            <w:tcBorders>
              <w:top w:val="single" w:sz="4" w:space="0" w:color="auto"/>
              <w:left w:val="single" w:sz="4" w:space="0" w:color="auto"/>
              <w:bottom w:val="single" w:sz="4" w:space="0" w:color="auto"/>
              <w:right w:val="single" w:sz="4" w:space="0" w:color="auto"/>
            </w:tcBorders>
          </w:tcPr>
          <w:p w14:paraId="0EECC4FC" w14:textId="7E063818" w:rsidR="00235D9D" w:rsidRPr="006A4431" w:rsidRDefault="007E16E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Vlastné zdroje plne upravené</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najnižšiu úroveň podľa dohody Bazilej I</w:t>
            </w:r>
          </w:p>
          <w:p w14:paraId="2C4DAFAB" w14:textId="70686029" w:rsidR="00235D9D" w:rsidRPr="006A4431" w:rsidRDefault="007E16E5">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500 ods. 4 CRR.</w:t>
            </w:r>
          </w:p>
          <w:p w14:paraId="716ABB30" w14:textId="49CBB7A6" w:rsidR="00D85C65" w:rsidRPr="006A4431" w:rsidRDefault="002540B2">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V tejto pozícii sa musia vykazovať celkové vlastné zdroje podľa CRR upravené podľa požiadavky článku 500 ods. 4 CRR (t. j. plne upravené tak, aby odrážali rozdiely vo výpočte vlastných zdrojov podľa smernice Rady 93/6/EHS</w:t>
            </w:r>
            <w:r w:rsidRPr="006A4431">
              <w:rPr>
                <w:rStyle w:val="FootnoteReference"/>
                <w:rFonts w:ascii="Times New Roman" w:hAnsi="Times New Roman"/>
                <w:bCs/>
                <w:spacing w:val="-2"/>
                <w:sz w:val="24"/>
                <w:szCs w:val="24"/>
                <w:vertAlign w:val="superscript"/>
              </w:rPr>
              <w:footnoteReference w:id="7"/>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smernice Európskeho parlamentu</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Rady</w:t>
            </w:r>
            <w:r w:rsidRPr="006A4431">
              <w:rPr>
                <w:rStyle w:val="FootnoteReference"/>
                <w:rFonts w:ascii="Times New Roman" w:hAnsi="Times New Roman"/>
                <w:bCs/>
                <w:spacing w:val="-2"/>
                <w:sz w:val="24"/>
                <w:szCs w:val="24"/>
                <w:vertAlign w:val="superscript"/>
              </w:rPr>
              <w:footnoteReference w:id="8"/>
            </w:r>
            <w:r w:rsidRPr="006A4431">
              <w:rPr>
                <w:rStyle w:val="InstructionsTabelleberschrift"/>
                <w:rFonts w:ascii="Times New Roman" w:hAnsi="Times New Roman"/>
                <w:b w:val="0"/>
                <w:spacing w:val="-2"/>
                <w:sz w:val="24"/>
                <w:u w:val="none"/>
              </w:rPr>
              <w:t xml:space="preserve"> 2000/12/ES</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podobe,</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akej tieto smernice existovali pred 1. januárom 2007,</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vo výpočte vlastných zdrojov podľa CRR vyplývajúceho zo samostatného zaobchádzania</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očakávanými</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neočakávanými stratami</w:t>
            </w:r>
            <w:r w:rsidRPr="006A4431">
              <w:rPr>
                <w:spacing w:val="-2"/>
              </w:rPr>
              <w:t xml:space="preserve"> podľa </w:t>
            </w:r>
            <w:r w:rsidRPr="006A4431">
              <w:rPr>
                <w:rStyle w:val="InstructionsTabelleberschrift"/>
                <w:rFonts w:ascii="Times New Roman" w:hAnsi="Times New Roman"/>
                <w:b w:val="0"/>
                <w:spacing w:val="-2"/>
                <w:sz w:val="24"/>
                <w:u w:val="none"/>
              </w:rPr>
              <w:t>tretej časti hlavy II kapitoly 3 CRR)</w:t>
            </w:r>
            <w:r w:rsidR="00D85C65" w:rsidRPr="006A4431">
              <w:rPr>
                <w:rStyle w:val="InstructionsTabelleberschrift"/>
                <w:rFonts w:ascii="Times New Roman" w:hAnsi="Times New Roman"/>
                <w:b w:val="0"/>
                <w:spacing w:val="-2"/>
                <w:sz w:val="24"/>
                <w:u w:val="none"/>
              </w:rPr>
              <w:t>.</w:t>
            </w:r>
          </w:p>
          <w:p w14:paraId="629AE7CE" w14:textId="6310FC56" w:rsidR="00235D9D" w:rsidRPr="006A4431" w:rsidRDefault="003A1469">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Ak sa uplatňuje alternatíva</w:t>
            </w:r>
            <w:r w:rsidR="00D85C65" w:rsidRPr="006A4431">
              <w:rPr>
                <w:rStyle w:val="InstructionsTabelleberschrift"/>
                <w:rFonts w:ascii="Times New Roman" w:hAnsi="Times New Roman"/>
                <w:b w:val="0"/>
                <w:spacing w:val="-2"/>
                <w:sz w:val="24"/>
                <w:u w:val="none"/>
              </w:rPr>
              <w:t xml:space="preserve"> k </w:t>
            </w:r>
            <w:r w:rsidRPr="006A4431">
              <w:rPr>
                <w:rStyle w:val="InstructionsTabelleberschrift"/>
                <w:rFonts w:ascii="Times New Roman" w:hAnsi="Times New Roman"/>
                <w:b w:val="0"/>
                <w:spacing w:val="-2"/>
                <w:sz w:val="24"/>
                <w:u w:val="none"/>
              </w:rPr>
              <w:t>štandardnému prístupu (článok 500 ods. 2 CRR), tento riadok sa ponechá prázdny.</w:t>
            </w:r>
          </w:p>
        </w:tc>
      </w:tr>
      <w:tr w:rsidR="00235D9D" w:rsidRPr="006A4431"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235D9D" w:rsidRPr="006A4431" w:rsidRDefault="007E16E5">
            <w:pPr>
              <w:pStyle w:val="InstructionsText"/>
              <w:rPr>
                <w:spacing w:val="-2"/>
              </w:rPr>
            </w:pPr>
            <w:r w:rsidRPr="006A4431">
              <w:rPr>
                <w:spacing w:val="-2"/>
              </w:rPr>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235D9D" w:rsidRPr="006A4431" w:rsidRDefault="007E16E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Požiadavky na vlastné zdroje pre najnižšiu úroveň podľa dohody Bazilej I</w:t>
            </w:r>
          </w:p>
          <w:p w14:paraId="4F497D91" w14:textId="77777777" w:rsidR="00D85C65" w:rsidRPr="006A4431" w:rsidRDefault="0014657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500 ods. 1 písm. b) CRR</w:t>
            </w:r>
            <w:r w:rsidR="00D85C65" w:rsidRPr="006A4431">
              <w:rPr>
                <w:rStyle w:val="InstructionsTabelleberschrift"/>
                <w:rFonts w:ascii="Times New Roman" w:hAnsi="Times New Roman"/>
                <w:b w:val="0"/>
                <w:spacing w:val="-2"/>
                <w:sz w:val="24"/>
                <w:u w:val="none"/>
              </w:rPr>
              <w:t>.</w:t>
            </w:r>
          </w:p>
          <w:p w14:paraId="09285A06" w14:textId="4027BAF4" w:rsidR="00235D9D" w:rsidRPr="006A4431" w:rsidRDefault="002540B2">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b w:val="0"/>
                <w:spacing w:val="-2"/>
                <w:sz w:val="24"/>
                <w:u w:val="none"/>
              </w:rPr>
              <w:t>V tejto pozícii sa musí vykazovať hodnota vlastných zdrojov držaná na základe požiadavky článku 500 ods. 1 písm. b) CRR (t. j. 80</w:t>
            </w:r>
            <w:r w:rsidR="00D85C65" w:rsidRPr="006A4431">
              <w:rPr>
                <w:rStyle w:val="InstructionsTabelleberschrift"/>
                <w:rFonts w:ascii="Times New Roman" w:hAnsi="Times New Roman"/>
                <w:b w:val="0"/>
                <w:spacing w:val="-2"/>
                <w:sz w:val="24"/>
                <w:u w:val="none"/>
              </w:rPr>
              <w:t> %</w:t>
            </w:r>
            <w:r w:rsidRPr="006A4431">
              <w:rPr>
                <w:rStyle w:val="InstructionsTabelleberschrift"/>
                <w:rFonts w:ascii="Times New Roman" w:hAnsi="Times New Roman"/>
                <w:b w:val="0"/>
                <w:spacing w:val="-2"/>
                <w:sz w:val="24"/>
                <w:u w:val="none"/>
              </w:rPr>
              <w:t xml:space="preserve"> celkovej minimálnej hodnoty vlastných zdrojov, ktoré by inštitúcia bola povinná držať na základe článku 4 smernice 93/6/EHS</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smernice 2000/12/ES).</w:t>
            </w:r>
          </w:p>
        </w:tc>
      </w:tr>
      <w:tr w:rsidR="00235D9D" w:rsidRPr="006A4431"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235D9D" w:rsidRPr="006A4431" w:rsidRDefault="007E16E5">
            <w:pPr>
              <w:pStyle w:val="InstructionsText"/>
              <w:rPr>
                <w:spacing w:val="-2"/>
              </w:rPr>
            </w:pPr>
            <w:r w:rsidRPr="006A4431">
              <w:rPr>
                <w:spacing w:val="-2"/>
              </w:rPr>
              <w:t>900</w:t>
            </w:r>
          </w:p>
        </w:tc>
        <w:tc>
          <w:tcPr>
            <w:tcW w:w="7243" w:type="dxa"/>
            <w:tcBorders>
              <w:top w:val="single" w:sz="4" w:space="0" w:color="auto"/>
              <w:left w:val="single" w:sz="4" w:space="0" w:color="auto"/>
              <w:bottom w:val="single" w:sz="4" w:space="0" w:color="auto"/>
              <w:right w:val="single" w:sz="4" w:space="0" w:color="auto"/>
            </w:tcBorders>
          </w:tcPr>
          <w:p w14:paraId="5E3AF3A8" w14:textId="212EDEE0" w:rsidR="00235D9D" w:rsidRPr="006A4431" w:rsidRDefault="007E16E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Požiadavky na vlastné zdroje pre najnižšiu úroveň podľa dohody Bazilej I – alternatíva</w:t>
            </w:r>
            <w:r w:rsidR="00D85C65" w:rsidRPr="006A4431">
              <w:rPr>
                <w:rStyle w:val="InstructionsTabelleberschrift"/>
                <w:rFonts w:ascii="Times New Roman" w:hAnsi="Times New Roman"/>
                <w:spacing w:val="-2"/>
                <w:sz w:val="24"/>
              </w:rPr>
              <w:t xml:space="preserve"> k </w:t>
            </w:r>
            <w:r w:rsidRPr="006A4431">
              <w:rPr>
                <w:rStyle w:val="InstructionsTabelleberschrift"/>
                <w:rFonts w:ascii="Times New Roman" w:hAnsi="Times New Roman"/>
                <w:spacing w:val="-2"/>
                <w:sz w:val="24"/>
              </w:rPr>
              <w:t>štandardnému prístupu</w:t>
            </w:r>
          </w:p>
          <w:p w14:paraId="5C0F34DC" w14:textId="61A261FC" w:rsidR="00D85C65" w:rsidRPr="006A4431" w:rsidRDefault="00214FDA">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500 ods. 2</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3 CRR</w:t>
            </w:r>
            <w:r w:rsidR="00D85C65" w:rsidRPr="006A4431">
              <w:rPr>
                <w:rStyle w:val="InstructionsTabelleberschrift"/>
                <w:rFonts w:ascii="Times New Roman" w:hAnsi="Times New Roman"/>
                <w:b w:val="0"/>
                <w:spacing w:val="-2"/>
                <w:sz w:val="24"/>
                <w:u w:val="none"/>
              </w:rPr>
              <w:t>.</w:t>
            </w:r>
          </w:p>
          <w:p w14:paraId="7085DCA6" w14:textId="48C269D7" w:rsidR="00235D9D" w:rsidRPr="006A4431" w:rsidRDefault="00DE48EF">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lastRenderedPageBreak/>
              <w:t>V tejto pozícii sa musí vykazovať hodnota vlastných zdrojov</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držbe požadovaná</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článku 500 ods. 2 CRR (t. j. 80</w:t>
            </w:r>
            <w:r w:rsidR="00D85C65" w:rsidRPr="006A4431">
              <w:rPr>
                <w:rStyle w:val="InstructionsTabelleberschrift"/>
                <w:rFonts w:ascii="Times New Roman" w:hAnsi="Times New Roman"/>
                <w:b w:val="0"/>
                <w:spacing w:val="-2"/>
                <w:sz w:val="24"/>
                <w:u w:val="none"/>
              </w:rPr>
              <w:t> %</w:t>
            </w:r>
            <w:r w:rsidRPr="006A4431">
              <w:rPr>
                <w:rStyle w:val="InstructionsTabelleberschrift"/>
                <w:rFonts w:ascii="Times New Roman" w:hAnsi="Times New Roman"/>
                <w:b w:val="0"/>
                <w:spacing w:val="-2"/>
                <w:sz w:val="24"/>
                <w:u w:val="none"/>
              </w:rPr>
              <w:t xml:space="preserve"> vlastných zdrojov, ktorých držba inštitúciou by sa vyžadovala podľa článku 92 CRR pri počítaní hodnôt rizikovo vážených expozícií</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súlade</w:t>
            </w:r>
            <w:r w:rsidR="00D85C65" w:rsidRPr="006A4431">
              <w:rPr>
                <w:rStyle w:val="InstructionsTabelleberschrift"/>
                <w:rFonts w:ascii="Times New Roman" w:hAnsi="Times New Roman"/>
                <w:b w:val="0"/>
                <w:spacing w:val="-2"/>
                <w:sz w:val="24"/>
                <w:u w:val="none"/>
              </w:rPr>
              <w:t xml:space="preserve"> s </w:t>
            </w:r>
            <w:r w:rsidRPr="006A4431">
              <w:rPr>
                <w:spacing w:val="-2"/>
              </w:rPr>
              <w:t xml:space="preserve">treťou časťou </w:t>
            </w:r>
            <w:r w:rsidRPr="006A4431">
              <w:rPr>
                <w:rStyle w:val="InstructionsTabelleberschrift"/>
                <w:rFonts w:ascii="Times New Roman" w:hAnsi="Times New Roman"/>
                <w:b w:val="0"/>
                <w:spacing w:val="-2"/>
                <w:sz w:val="24"/>
                <w:u w:val="none"/>
              </w:rPr>
              <w:t>hlavou II kapitolou</w:t>
            </w:r>
            <w:r w:rsidRPr="006A4431">
              <w:rPr>
                <w:spacing w:val="-2"/>
              </w:rPr>
              <w:t xml:space="preserve"> 2</w:t>
            </w:r>
            <w:r w:rsidR="00D85C65" w:rsidRPr="006A4431">
              <w:rPr>
                <w:spacing w:val="-2"/>
              </w:rPr>
              <w:t xml:space="preserve"> a </w:t>
            </w:r>
            <w:r w:rsidRPr="006A4431">
              <w:rPr>
                <w:spacing w:val="-2"/>
              </w:rPr>
              <w:t xml:space="preserve">treťou časťou hlavou III </w:t>
            </w:r>
            <w:r w:rsidRPr="006A4431">
              <w:rPr>
                <w:rStyle w:val="InstructionsTabelleberschrift"/>
                <w:rFonts w:ascii="Times New Roman" w:hAnsi="Times New Roman"/>
                <w:b w:val="0"/>
                <w:spacing w:val="-2"/>
                <w:sz w:val="24"/>
                <w:u w:val="none"/>
              </w:rPr>
              <w:t>kapitolami 2</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3 CRR, podľa konkrétneho prípadu,</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nie</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súlade</w:t>
            </w:r>
            <w:r w:rsidR="00D85C65" w:rsidRPr="006A4431">
              <w:rPr>
                <w:spacing w:val="-2"/>
              </w:rPr>
              <w:t xml:space="preserve"> s </w:t>
            </w:r>
            <w:r w:rsidRPr="006A4431">
              <w:rPr>
                <w:spacing w:val="-2"/>
              </w:rPr>
              <w:t xml:space="preserve">treťou </w:t>
            </w:r>
            <w:r w:rsidRPr="006A4431">
              <w:rPr>
                <w:rStyle w:val="InstructionsTabelleberschrift"/>
                <w:rFonts w:ascii="Times New Roman" w:hAnsi="Times New Roman"/>
                <w:b w:val="0"/>
                <w:spacing w:val="-2"/>
                <w:sz w:val="24"/>
                <w:u w:val="none"/>
              </w:rPr>
              <w:t>časťou hlavou II</w:t>
            </w:r>
            <w:r w:rsidRPr="006A4431">
              <w:rPr>
                <w:spacing w:val="-2"/>
              </w:rPr>
              <w:t xml:space="preserve"> kapitolou 3 </w:t>
            </w:r>
            <w:r w:rsidRPr="006A4431">
              <w:rPr>
                <w:rStyle w:val="InstructionsTabelleberschrift"/>
                <w:rFonts w:ascii="Times New Roman" w:hAnsi="Times New Roman"/>
                <w:b w:val="0"/>
                <w:spacing w:val="-2"/>
                <w:sz w:val="24"/>
                <w:u w:val="none"/>
              </w:rPr>
              <w:t>alebo prípadne treťou časťou hlavou III kapitolou 4 CRR).</w:t>
            </w:r>
          </w:p>
        </w:tc>
      </w:tr>
      <w:tr w:rsidR="00235D9D" w:rsidRPr="006A4431"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235D9D" w:rsidRPr="006A4431" w:rsidRDefault="00A840D5">
            <w:pPr>
              <w:pStyle w:val="InstructionsText"/>
              <w:rPr>
                <w:spacing w:val="-2"/>
              </w:rPr>
            </w:pPr>
            <w:r w:rsidRPr="006A4431">
              <w:rPr>
                <w:spacing w:val="-2"/>
              </w:rPr>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228FE154" w:rsidR="00235D9D" w:rsidRPr="006A4431" w:rsidRDefault="002540B2">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Schodok celkových vlastných zdrojov, pokiaľ ide</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požiadavky na vlastné zdroje pre najnižšiu úroveň podľa dohody Bazilej I alebo alternatívny</w:t>
            </w:r>
            <w:r w:rsidR="00D85C65" w:rsidRPr="006A4431">
              <w:rPr>
                <w:rStyle w:val="InstructionsTabelleberschrift"/>
                <w:rFonts w:ascii="Times New Roman" w:hAnsi="Times New Roman"/>
                <w:spacing w:val="-2"/>
                <w:sz w:val="24"/>
              </w:rPr>
              <w:t xml:space="preserve"> k </w:t>
            </w:r>
            <w:r w:rsidRPr="006A4431">
              <w:rPr>
                <w:rStyle w:val="InstructionsTabelleberschrift"/>
                <w:rFonts w:ascii="Times New Roman" w:hAnsi="Times New Roman"/>
                <w:spacing w:val="-2"/>
                <w:sz w:val="24"/>
              </w:rPr>
              <w:t>štandardnému prístupu</w:t>
            </w:r>
          </w:p>
          <w:p w14:paraId="15EF2297" w14:textId="7D298349" w:rsidR="00D85C65" w:rsidRPr="006A4431" w:rsidRDefault="0014657C">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500 ods. 1 písm. b)</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500 ods. 2 CRR</w:t>
            </w:r>
            <w:r w:rsidR="00D85C65" w:rsidRPr="006A4431">
              <w:rPr>
                <w:rStyle w:val="InstructionsTabelleberschrift"/>
                <w:rFonts w:ascii="Times New Roman" w:hAnsi="Times New Roman"/>
                <w:b w:val="0"/>
                <w:spacing w:val="-2"/>
                <w:sz w:val="24"/>
                <w:u w:val="none"/>
              </w:rPr>
              <w:t>.</w:t>
            </w:r>
          </w:p>
          <w:p w14:paraId="7724778A" w14:textId="4E6BBAEE" w:rsidR="00235D9D" w:rsidRPr="006A4431" w:rsidRDefault="00DE48EF">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Tento riadok je potrebné vyplniť:</w:t>
            </w:r>
          </w:p>
          <w:p w14:paraId="4D0AF386" w14:textId="72D9937B" w:rsidR="00235D9D" w:rsidRPr="006A4431" w:rsidRDefault="00DE48EF">
            <w:pPr>
              <w:pStyle w:val="InstructionsText"/>
              <w:ind w:left="423" w:hanging="423"/>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w:t>
            </w:r>
            <w:r w:rsidRPr="006A4431">
              <w:rPr>
                <w:rStyle w:val="InstructionsTabelleberschrift"/>
                <w:rFonts w:ascii="Times New Roman" w:hAnsi="Times New Roman"/>
                <w:b w:val="0"/>
                <w:spacing w:val="-2"/>
                <w:sz w:val="24"/>
                <w:u w:val="none"/>
              </w:rPr>
              <w:tab/>
              <w:t>keď sa uplatňuje článok 500 ods. 1 písm. b) CRR</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riadok 880 &lt; riadok 890: rozdielom medzi riadkom 890</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riadkom 880;</w:t>
            </w:r>
          </w:p>
          <w:p w14:paraId="382D4867" w14:textId="3BA16245" w:rsidR="00235D9D" w:rsidRPr="006A4431" w:rsidRDefault="00DE48EF">
            <w:pPr>
              <w:pStyle w:val="InstructionsText"/>
              <w:ind w:left="423" w:hanging="423"/>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w:t>
            </w:r>
            <w:r w:rsidRPr="006A4431">
              <w:rPr>
                <w:rStyle w:val="InstructionsTabelleberschrift"/>
                <w:rFonts w:ascii="Times New Roman" w:hAnsi="Times New Roman"/>
                <w:b w:val="0"/>
                <w:spacing w:val="-2"/>
                <w:sz w:val="24"/>
                <w:u w:val="none"/>
              </w:rPr>
              <w:tab/>
              <w:t>alebo keď sa uplatňuje článok 500 ods. 2 CRR</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riadok 010 vzoru C 01.00 &lt; riadok 900 vzoru C 04.00: rozdielom medzi riadkom 900 vzoru C 04.00</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riadkom 010 vzoru C 01.00.</w:t>
            </w:r>
          </w:p>
        </w:tc>
      </w:tr>
    </w:tbl>
    <w:p w14:paraId="6661FFBF" w14:textId="77777777" w:rsidR="00235D9D" w:rsidRPr="006A4431" w:rsidRDefault="00235D9D">
      <w:pPr>
        <w:pStyle w:val="InstructionsText"/>
        <w:rPr>
          <w:spacing w:val="-2"/>
        </w:rPr>
      </w:pPr>
    </w:p>
    <w:p w14:paraId="589D224B" w14:textId="4FD9CE4B" w:rsidR="00235D9D" w:rsidRPr="006A4431" w:rsidRDefault="00936DD1">
      <w:pPr>
        <w:pStyle w:val="Instructionsberschrift2"/>
        <w:numPr>
          <w:ilvl w:val="0"/>
          <w:numId w:val="0"/>
        </w:numPr>
        <w:ind w:left="357" w:hanging="357"/>
        <w:rPr>
          <w:rFonts w:ascii="Times New Roman" w:hAnsi="Times New Roman" w:cs="Times New Roman"/>
          <w:spacing w:val="-2"/>
          <w:sz w:val="24"/>
        </w:rPr>
      </w:pPr>
      <w:bookmarkStart w:id="17" w:name="_Toc29994460"/>
      <w:r w:rsidRPr="006A4431">
        <w:rPr>
          <w:rFonts w:ascii="Times New Roman" w:hAnsi="Times New Roman"/>
          <w:spacing w:val="-2"/>
          <w:sz w:val="24"/>
          <w:u w:val="none"/>
        </w:rPr>
        <w:t>1.6.</w:t>
      </w:r>
      <w:r w:rsidRPr="006A4431">
        <w:rPr>
          <w:rFonts w:ascii="Times New Roman" w:hAnsi="Times New Roman"/>
          <w:spacing w:val="-2"/>
          <w:sz w:val="24"/>
          <w:u w:val="none"/>
        </w:rPr>
        <w:tab/>
      </w:r>
      <w:r w:rsidRPr="006A4431">
        <w:rPr>
          <w:rFonts w:ascii="Times New Roman" w:hAnsi="Times New Roman"/>
          <w:spacing w:val="-2"/>
          <w:sz w:val="24"/>
        </w:rPr>
        <w:t>PRECHODNÉ USTANOVENIA</w:t>
      </w:r>
      <w:r w:rsidR="00D85C65" w:rsidRPr="006A4431">
        <w:rPr>
          <w:rFonts w:ascii="Times New Roman" w:hAnsi="Times New Roman"/>
          <w:spacing w:val="-2"/>
          <w:sz w:val="24"/>
        </w:rPr>
        <w:t xml:space="preserve"> a </w:t>
      </w:r>
      <w:r w:rsidRPr="006A4431">
        <w:rPr>
          <w:rFonts w:ascii="Times New Roman" w:hAnsi="Times New Roman"/>
          <w:spacing w:val="-2"/>
          <w:sz w:val="24"/>
        </w:rPr>
        <w:t>NÁSTROJE ZACHOVANÉ</w:t>
      </w:r>
      <w:r w:rsidR="00D85C65" w:rsidRPr="006A4431">
        <w:rPr>
          <w:rFonts w:ascii="Times New Roman" w:hAnsi="Times New Roman"/>
          <w:spacing w:val="-2"/>
          <w:sz w:val="24"/>
        </w:rPr>
        <w:t xml:space="preserve"> V </w:t>
      </w:r>
      <w:r w:rsidRPr="006A4431">
        <w:rPr>
          <w:rFonts w:ascii="Times New Roman" w:hAnsi="Times New Roman"/>
          <w:spacing w:val="-2"/>
          <w:sz w:val="24"/>
        </w:rPr>
        <w:t>PREDCHÁDZAJÚCOM STAVE: NÁSTROJE NEPREDSTAVUJÚCE ŠTÁTNU POMOC (CA5)</w:t>
      </w:r>
      <w:bookmarkEnd w:id="17"/>
    </w:p>
    <w:p w14:paraId="1F398445" w14:textId="77777777" w:rsidR="00235D9D" w:rsidRPr="006A4431" w:rsidRDefault="00936DD1">
      <w:pPr>
        <w:pStyle w:val="Instructionsberschrift2"/>
        <w:numPr>
          <w:ilvl w:val="0"/>
          <w:numId w:val="0"/>
        </w:numPr>
        <w:ind w:left="357" w:hanging="357"/>
        <w:rPr>
          <w:rFonts w:ascii="Times New Roman" w:hAnsi="Times New Roman" w:cs="Times New Roman"/>
          <w:spacing w:val="-2"/>
          <w:sz w:val="24"/>
        </w:rPr>
      </w:pPr>
      <w:bookmarkStart w:id="18" w:name="_Toc29994461"/>
      <w:r w:rsidRPr="006A4431">
        <w:rPr>
          <w:rFonts w:ascii="Times New Roman" w:hAnsi="Times New Roman"/>
          <w:spacing w:val="-2"/>
          <w:sz w:val="24"/>
          <w:u w:val="none"/>
        </w:rPr>
        <w:t>1.6.1.</w:t>
      </w:r>
      <w:r w:rsidRPr="006A4431">
        <w:rPr>
          <w:rFonts w:ascii="Times New Roman" w:hAnsi="Times New Roman"/>
          <w:spacing w:val="-2"/>
          <w:sz w:val="24"/>
          <w:u w:val="none"/>
        </w:rPr>
        <w:tab/>
      </w:r>
      <w:r w:rsidRPr="006A4431">
        <w:rPr>
          <w:rFonts w:ascii="Times New Roman" w:hAnsi="Times New Roman"/>
          <w:spacing w:val="-2"/>
          <w:sz w:val="24"/>
        </w:rPr>
        <w:t>Všeobecné poznámky</w:t>
      </w:r>
      <w:bookmarkEnd w:id="18"/>
    </w:p>
    <w:p w14:paraId="5B92BE66" w14:textId="1103E938" w:rsidR="00D85C65" w:rsidRPr="006A4431" w:rsidRDefault="00B43C2A">
      <w:pPr>
        <w:pStyle w:val="InstructionsText2"/>
        <w:numPr>
          <w:ilvl w:val="0"/>
          <w:numId w:val="0"/>
        </w:numPr>
        <w:ind w:left="993"/>
        <w:rPr>
          <w:spacing w:val="-2"/>
        </w:rPr>
      </w:pPr>
      <w:r w:rsidRPr="006A4431">
        <w:rPr>
          <w:spacing w:val="-2"/>
        </w:rPr>
        <w:t>15.</w:t>
      </w:r>
      <w:r w:rsidRPr="006A4431">
        <w:rPr>
          <w:spacing w:val="-2"/>
        </w:rPr>
        <w:tab/>
        <w:t>Vo vzore CA5 je zhrnutý výpočet prvkov</w:t>
      </w:r>
      <w:r w:rsidR="00D85C65" w:rsidRPr="006A4431">
        <w:rPr>
          <w:spacing w:val="-2"/>
        </w:rPr>
        <w:t xml:space="preserve"> a </w:t>
      </w:r>
      <w:r w:rsidRPr="006A4431">
        <w:rPr>
          <w:spacing w:val="-2"/>
        </w:rPr>
        <w:t>odpočtov vlastných zdrojov, na ktoré sa vzťahujú prechodné ustanovenia stanovené</w:t>
      </w:r>
      <w:r w:rsidR="00D85C65" w:rsidRPr="006A4431">
        <w:rPr>
          <w:spacing w:val="-2"/>
        </w:rPr>
        <w:t xml:space="preserve"> v </w:t>
      </w:r>
      <w:r w:rsidRPr="006A4431">
        <w:rPr>
          <w:spacing w:val="-2"/>
        </w:rPr>
        <w:t>článkoch 465 až 491 CRR</w:t>
      </w:r>
      <w:r w:rsidR="00D85C65" w:rsidRPr="006A4431">
        <w:rPr>
          <w:spacing w:val="-2"/>
        </w:rPr>
        <w:t>.</w:t>
      </w:r>
    </w:p>
    <w:p w14:paraId="563F7928" w14:textId="120EC470" w:rsidR="00235D9D" w:rsidRPr="006A4431" w:rsidRDefault="00125707">
      <w:pPr>
        <w:pStyle w:val="InstructionsText2"/>
        <w:numPr>
          <w:ilvl w:val="0"/>
          <w:numId w:val="0"/>
        </w:numPr>
        <w:ind w:left="993"/>
        <w:rPr>
          <w:spacing w:val="-2"/>
        </w:rPr>
      </w:pPr>
      <w:r w:rsidRPr="006A4431">
        <w:rPr>
          <w:spacing w:val="-2"/>
        </w:rPr>
        <w:t>16.</w:t>
      </w:r>
      <w:r w:rsidRPr="006A4431">
        <w:rPr>
          <w:spacing w:val="-2"/>
        </w:rPr>
        <w:tab/>
        <w:t>Štruktúra vzoru CA5 je takáto:</w:t>
      </w:r>
    </w:p>
    <w:p w14:paraId="5C17D503" w14:textId="46D707F6" w:rsidR="00235D9D" w:rsidRPr="006A4431" w:rsidRDefault="00125707">
      <w:pPr>
        <w:pStyle w:val="InstructionsText2"/>
        <w:numPr>
          <w:ilvl w:val="0"/>
          <w:numId w:val="0"/>
        </w:numPr>
        <w:ind w:left="993"/>
        <w:rPr>
          <w:spacing w:val="-2"/>
        </w:rPr>
      </w:pPr>
      <w:r w:rsidRPr="006A4431">
        <w:rPr>
          <w:spacing w:val="-2"/>
        </w:rPr>
        <w:t>a)</w:t>
      </w:r>
      <w:r w:rsidRPr="006A4431">
        <w:rPr>
          <w:spacing w:val="-2"/>
        </w:rPr>
        <w:tab/>
        <w:t xml:space="preserve">Vo </w:t>
      </w:r>
      <w:r w:rsidRPr="006A4431">
        <w:rPr>
          <w:spacing w:val="-2"/>
          <w:u w:val="single"/>
        </w:rPr>
        <w:t>vzore 5.1</w:t>
      </w:r>
      <w:r w:rsidRPr="006A4431">
        <w:rPr>
          <w:spacing w:val="-2"/>
        </w:rPr>
        <w:t xml:space="preserve"> sú zhrnuté celkové úpravy, ktoré sa musia uplatniť na rôzne zložky vlastných zdrojov (vykazované vo vzore CA1 podľa konečných ustanovení)</w:t>
      </w:r>
      <w:r w:rsidR="00D85C65" w:rsidRPr="006A4431">
        <w:rPr>
          <w:spacing w:val="-2"/>
        </w:rPr>
        <w:t xml:space="preserve"> v </w:t>
      </w:r>
      <w:r w:rsidRPr="006A4431">
        <w:rPr>
          <w:spacing w:val="-2"/>
        </w:rPr>
        <w:t>dôsledku uplatňovania prechodných ustanovení. Prvky tohto vzoru sa popisujú ako „úpravy“ rôznych zložiek kapitálu vo vzore CA1</w:t>
      </w:r>
      <w:r w:rsidR="00D85C65" w:rsidRPr="006A4431">
        <w:rPr>
          <w:spacing w:val="-2"/>
        </w:rPr>
        <w:t xml:space="preserve"> s </w:t>
      </w:r>
      <w:r w:rsidRPr="006A4431">
        <w:rPr>
          <w:spacing w:val="-2"/>
        </w:rPr>
        <w:t>cieľom vyjadriť</w:t>
      </w:r>
      <w:r w:rsidR="00D85C65" w:rsidRPr="006A4431">
        <w:rPr>
          <w:spacing w:val="-2"/>
        </w:rPr>
        <w:t xml:space="preserve"> v </w:t>
      </w:r>
      <w:r w:rsidRPr="006A4431">
        <w:rPr>
          <w:spacing w:val="-2"/>
        </w:rPr>
        <w:t>zložkách vlastných zdrojov účinky prechodných ustanovení.</w:t>
      </w:r>
    </w:p>
    <w:p w14:paraId="21A87714" w14:textId="7331553C" w:rsidR="00D85C65" w:rsidRPr="006A4431" w:rsidRDefault="00125707">
      <w:pPr>
        <w:pStyle w:val="InstructionsText2"/>
        <w:numPr>
          <w:ilvl w:val="0"/>
          <w:numId w:val="0"/>
        </w:numPr>
        <w:ind w:left="993"/>
        <w:rPr>
          <w:spacing w:val="-2"/>
        </w:rPr>
      </w:pPr>
      <w:r w:rsidRPr="006A4431">
        <w:rPr>
          <w:spacing w:val="-2"/>
        </w:rPr>
        <w:t>b)</w:t>
      </w:r>
      <w:r w:rsidRPr="006A4431">
        <w:rPr>
          <w:spacing w:val="-2"/>
        </w:rPr>
        <w:tab/>
      </w:r>
      <w:r w:rsidRPr="006A4431">
        <w:rPr>
          <w:spacing w:val="-2"/>
          <w:u w:val="single"/>
        </w:rPr>
        <w:t>Vzor 5.2</w:t>
      </w:r>
      <w:r w:rsidRPr="006A4431">
        <w:rPr>
          <w:spacing w:val="-2"/>
        </w:rPr>
        <w:t xml:space="preserve"> poskytuje ďalšie podrobné informácie</w:t>
      </w:r>
      <w:r w:rsidR="00D85C65" w:rsidRPr="006A4431">
        <w:rPr>
          <w:spacing w:val="-2"/>
        </w:rPr>
        <w:t xml:space="preserve"> o </w:t>
      </w:r>
      <w:r w:rsidRPr="006A4431">
        <w:rPr>
          <w:spacing w:val="-2"/>
        </w:rPr>
        <w:t>výpočte tých nástrojov zachovaných</w:t>
      </w:r>
      <w:r w:rsidR="00D85C65" w:rsidRPr="006A4431">
        <w:rPr>
          <w:spacing w:val="-2"/>
        </w:rPr>
        <w:t xml:space="preserve"> v </w:t>
      </w:r>
      <w:r w:rsidRPr="006A4431">
        <w:rPr>
          <w:spacing w:val="-2"/>
        </w:rPr>
        <w:t>predchádzajúcom stave, ktoré nepredstavujú štátnu pomoc</w:t>
      </w:r>
      <w:r w:rsidR="00D85C65" w:rsidRPr="006A4431">
        <w:rPr>
          <w:spacing w:val="-2"/>
        </w:rPr>
        <w:t>.</w:t>
      </w:r>
    </w:p>
    <w:p w14:paraId="3C132050" w14:textId="4CBCDAF0" w:rsidR="00235D9D" w:rsidRPr="006A4431" w:rsidRDefault="00125707">
      <w:pPr>
        <w:pStyle w:val="InstructionsText2"/>
        <w:numPr>
          <w:ilvl w:val="0"/>
          <w:numId w:val="0"/>
        </w:numPr>
        <w:ind w:left="993"/>
        <w:rPr>
          <w:spacing w:val="-2"/>
        </w:rPr>
      </w:pPr>
      <w:r w:rsidRPr="006A4431">
        <w:rPr>
          <w:spacing w:val="-2"/>
        </w:rPr>
        <w:t>17.</w:t>
      </w:r>
      <w:r w:rsidRPr="006A4431">
        <w:rPr>
          <w:spacing w:val="-2"/>
        </w:rPr>
        <w:tab/>
        <w:t>Inštitúcie</w:t>
      </w:r>
      <w:r w:rsidR="00D85C65" w:rsidRPr="006A4431">
        <w:rPr>
          <w:spacing w:val="-2"/>
        </w:rPr>
        <w:t xml:space="preserve"> v </w:t>
      </w:r>
      <w:r w:rsidRPr="006A4431">
        <w:rPr>
          <w:spacing w:val="-2"/>
        </w:rPr>
        <w:t>prvých štyroch stĺpcoch vykazujú úpravy vlastného kapitálu Tier 1, dodatočného kapitálu Tier 1</w:t>
      </w:r>
      <w:r w:rsidR="00D85C65" w:rsidRPr="006A4431">
        <w:rPr>
          <w:spacing w:val="-2"/>
        </w:rPr>
        <w:t xml:space="preserve"> a </w:t>
      </w:r>
      <w:r w:rsidRPr="006A4431">
        <w:rPr>
          <w:spacing w:val="-2"/>
        </w:rPr>
        <w:t>kapitálu Tier 2, ako aj hodnotu, ku ktorej sa pristupuje ako</w:t>
      </w:r>
      <w:r w:rsidR="00D85C65" w:rsidRPr="006A4431">
        <w:rPr>
          <w:spacing w:val="-2"/>
        </w:rPr>
        <w:t xml:space="preserve"> k </w:t>
      </w:r>
      <w:r w:rsidRPr="006A4431">
        <w:rPr>
          <w:spacing w:val="-2"/>
        </w:rPr>
        <w:t>rizikovo váženým aktívam. Inštitúcie musia</w:t>
      </w:r>
      <w:r w:rsidR="00D85C65" w:rsidRPr="006A4431">
        <w:rPr>
          <w:spacing w:val="-2"/>
        </w:rPr>
        <w:t xml:space="preserve"> v </w:t>
      </w:r>
      <w:r w:rsidRPr="006A4431">
        <w:rPr>
          <w:spacing w:val="-2"/>
        </w:rPr>
        <w:t>stĺpci 050 vykázať aj uplatniteľnú percentuálnu mieru</w:t>
      </w:r>
      <w:r w:rsidR="00D85C65" w:rsidRPr="006A4431">
        <w:rPr>
          <w:spacing w:val="-2"/>
        </w:rPr>
        <w:t xml:space="preserve"> a v </w:t>
      </w:r>
      <w:r w:rsidRPr="006A4431">
        <w:rPr>
          <w:spacing w:val="-2"/>
        </w:rPr>
        <w:t>stĺpci 060 prípustnú hodnotu bez uplatnenia prechodných ustanovení.</w:t>
      </w:r>
    </w:p>
    <w:p w14:paraId="44CB6B23" w14:textId="05B79735" w:rsidR="00235D9D" w:rsidRPr="006A4431" w:rsidRDefault="00125707">
      <w:pPr>
        <w:pStyle w:val="InstructionsText2"/>
        <w:numPr>
          <w:ilvl w:val="0"/>
          <w:numId w:val="0"/>
        </w:numPr>
        <w:ind w:left="993"/>
        <w:rPr>
          <w:spacing w:val="-2"/>
        </w:rPr>
      </w:pPr>
      <w:r w:rsidRPr="006A4431">
        <w:rPr>
          <w:spacing w:val="-2"/>
        </w:rPr>
        <w:t>18.</w:t>
      </w:r>
      <w:r w:rsidRPr="006A4431">
        <w:rPr>
          <w:spacing w:val="-2"/>
        </w:rPr>
        <w:tab/>
        <w:t>Inštitúcie vo vzore CA5 vykazujú prvky len počas obdobia, keď sa uplatňujú prechodné ustanovenia stanovené</w:t>
      </w:r>
      <w:r w:rsidR="00D85C65" w:rsidRPr="006A4431">
        <w:rPr>
          <w:spacing w:val="-2"/>
        </w:rPr>
        <w:t xml:space="preserve"> v </w:t>
      </w:r>
      <w:r w:rsidRPr="006A4431">
        <w:rPr>
          <w:spacing w:val="-2"/>
        </w:rPr>
        <w:t>desiatej časti CRR.</w:t>
      </w:r>
    </w:p>
    <w:p w14:paraId="4ADA01E5" w14:textId="0D2E7F0C" w:rsidR="00235D9D" w:rsidRPr="006A4431" w:rsidRDefault="00125707">
      <w:pPr>
        <w:pStyle w:val="InstructionsText2"/>
        <w:numPr>
          <w:ilvl w:val="0"/>
          <w:numId w:val="0"/>
        </w:numPr>
        <w:ind w:left="993"/>
        <w:rPr>
          <w:spacing w:val="-2"/>
        </w:rPr>
      </w:pPr>
      <w:r w:rsidRPr="006A4431">
        <w:rPr>
          <w:spacing w:val="-2"/>
        </w:rPr>
        <w:lastRenderedPageBreak/>
        <w:t>19.</w:t>
      </w:r>
      <w:r w:rsidRPr="006A4431">
        <w:rPr>
          <w:spacing w:val="-2"/>
        </w:rPr>
        <w:tab/>
        <w:t>Niektoré prechodné ustanovenia vyžadujú odpočet od kapitálu Tier 1. Keď ide</w:t>
      </w:r>
      <w:r w:rsidR="00D85C65" w:rsidRPr="006A4431">
        <w:rPr>
          <w:spacing w:val="-2"/>
        </w:rPr>
        <w:t xml:space="preserve"> o </w:t>
      </w:r>
      <w:r w:rsidRPr="006A4431">
        <w:rPr>
          <w:spacing w:val="-2"/>
        </w:rPr>
        <w:t>takýto prípad, zostatková suma odpočtu alebo odpočtov sa uplatní na kapitál Tier 1</w:t>
      </w:r>
      <w:r w:rsidR="00D85C65" w:rsidRPr="006A4431">
        <w:rPr>
          <w:spacing w:val="-2"/>
        </w:rPr>
        <w:t xml:space="preserve"> a </w:t>
      </w:r>
      <w:r w:rsidRPr="006A4431">
        <w:rPr>
          <w:spacing w:val="-2"/>
        </w:rPr>
        <w:t>keď AT1 nepostačuje na absorbovanie tejto hodnoty, nadbytok sa odpočíta od CET1.</w:t>
      </w:r>
    </w:p>
    <w:p w14:paraId="2C8B33CF" w14:textId="3AA221E9" w:rsidR="00D85C65" w:rsidRPr="006A4431" w:rsidRDefault="00125707">
      <w:pPr>
        <w:pStyle w:val="Instructionsberschrift2"/>
        <w:numPr>
          <w:ilvl w:val="0"/>
          <w:numId w:val="0"/>
        </w:numPr>
        <w:ind w:left="357" w:hanging="357"/>
        <w:rPr>
          <w:rFonts w:ascii="Times New Roman" w:hAnsi="Times New Roman"/>
          <w:spacing w:val="-2"/>
          <w:sz w:val="24"/>
        </w:rPr>
      </w:pPr>
      <w:bookmarkStart w:id="19" w:name="_Toc29994462"/>
      <w:r w:rsidRPr="006A4431">
        <w:rPr>
          <w:rFonts w:ascii="Times New Roman" w:hAnsi="Times New Roman"/>
          <w:spacing w:val="-2"/>
          <w:sz w:val="24"/>
          <w:u w:val="none"/>
        </w:rPr>
        <w:t>1.6.2.</w:t>
      </w:r>
      <w:r w:rsidRPr="006A4431">
        <w:rPr>
          <w:rFonts w:ascii="Times New Roman" w:hAnsi="Times New Roman"/>
          <w:spacing w:val="-2"/>
          <w:sz w:val="24"/>
          <w:u w:val="none"/>
        </w:rPr>
        <w:tab/>
      </w:r>
      <w:r w:rsidRPr="006A4431">
        <w:rPr>
          <w:rFonts w:ascii="Times New Roman" w:hAnsi="Times New Roman"/>
          <w:spacing w:val="-2"/>
          <w:sz w:val="24"/>
        </w:rPr>
        <w:t>C 05.01 – PRECHODNÉ USTANOVENIA (CA5.1)</w:t>
      </w:r>
      <w:bookmarkEnd w:id="19"/>
    </w:p>
    <w:p w14:paraId="5D96DF18" w14:textId="119F6FA8" w:rsidR="00D85C65" w:rsidRPr="006A4431" w:rsidRDefault="00125707">
      <w:pPr>
        <w:pStyle w:val="InstructionsText2"/>
        <w:numPr>
          <w:ilvl w:val="0"/>
          <w:numId w:val="0"/>
        </w:numPr>
        <w:ind w:left="993"/>
        <w:rPr>
          <w:spacing w:val="-2"/>
        </w:rPr>
      </w:pPr>
      <w:r w:rsidRPr="006A4431">
        <w:rPr>
          <w:spacing w:val="-2"/>
        </w:rPr>
        <w:t>20.</w:t>
      </w:r>
      <w:r w:rsidRPr="006A4431">
        <w:rPr>
          <w:spacing w:val="-2"/>
        </w:rPr>
        <w:tab/>
        <w:t>Inštitúcie vykazujú vo vzore CA5.1 uplatňovanie prechodných ustanovení vo vzťahu</w:t>
      </w:r>
      <w:r w:rsidR="00D85C65" w:rsidRPr="006A4431">
        <w:rPr>
          <w:spacing w:val="-2"/>
        </w:rPr>
        <w:t xml:space="preserve"> k </w:t>
      </w:r>
      <w:r w:rsidRPr="006A4431">
        <w:rPr>
          <w:spacing w:val="-2"/>
        </w:rPr>
        <w:t>zložkám vlastných zdrojov podľa ustanovení</w:t>
      </w:r>
      <w:r w:rsidR="00D85C65" w:rsidRPr="006A4431">
        <w:rPr>
          <w:spacing w:val="-2"/>
        </w:rPr>
        <w:t xml:space="preserve"> v </w:t>
      </w:r>
      <w:r w:rsidRPr="006A4431">
        <w:rPr>
          <w:spacing w:val="-2"/>
        </w:rPr>
        <w:t>článkoch 465 až 491 CRR</w:t>
      </w:r>
      <w:r w:rsidR="00D85C65" w:rsidRPr="006A4431">
        <w:rPr>
          <w:spacing w:val="-2"/>
        </w:rPr>
        <w:t xml:space="preserve"> v </w:t>
      </w:r>
      <w:r w:rsidRPr="006A4431">
        <w:rPr>
          <w:spacing w:val="-2"/>
        </w:rPr>
        <w:t>porovnaní</w:t>
      </w:r>
      <w:r w:rsidR="00D85C65" w:rsidRPr="006A4431">
        <w:rPr>
          <w:spacing w:val="-2"/>
        </w:rPr>
        <w:t xml:space="preserve"> s </w:t>
      </w:r>
      <w:r w:rsidRPr="006A4431">
        <w:rPr>
          <w:spacing w:val="-2"/>
        </w:rPr>
        <w:t>uplatňovaním konečných ustanovení stanovených</w:t>
      </w:r>
      <w:r w:rsidR="00D85C65" w:rsidRPr="006A4431">
        <w:rPr>
          <w:spacing w:val="-2"/>
        </w:rPr>
        <w:t xml:space="preserve"> v </w:t>
      </w:r>
      <w:r w:rsidRPr="006A4431">
        <w:rPr>
          <w:spacing w:val="-2"/>
        </w:rPr>
        <w:t>druhej časti hlave II CRR</w:t>
      </w:r>
      <w:r w:rsidR="00D85C65" w:rsidRPr="006A4431">
        <w:rPr>
          <w:spacing w:val="-2"/>
        </w:rPr>
        <w:t>.</w:t>
      </w:r>
    </w:p>
    <w:p w14:paraId="0F033D5C" w14:textId="78CC044A" w:rsidR="00235D9D" w:rsidRPr="006A4431" w:rsidRDefault="00125707">
      <w:pPr>
        <w:pStyle w:val="InstructionsText2"/>
        <w:numPr>
          <w:ilvl w:val="0"/>
          <w:numId w:val="0"/>
        </w:numPr>
        <w:ind w:left="993"/>
        <w:rPr>
          <w:spacing w:val="-2"/>
        </w:rPr>
      </w:pPr>
      <w:r w:rsidRPr="006A4431">
        <w:rPr>
          <w:spacing w:val="-2"/>
        </w:rPr>
        <w:t>21.</w:t>
      </w:r>
      <w:r w:rsidRPr="006A4431">
        <w:rPr>
          <w:spacing w:val="-2"/>
        </w:rPr>
        <w:tab/>
        <w:t>Inštitúcie vykazujú</w:t>
      </w:r>
      <w:r w:rsidR="00D85C65" w:rsidRPr="006A4431">
        <w:rPr>
          <w:spacing w:val="-2"/>
        </w:rPr>
        <w:t xml:space="preserve"> v </w:t>
      </w:r>
      <w:r w:rsidRPr="006A4431">
        <w:rPr>
          <w:spacing w:val="-2"/>
        </w:rPr>
        <w:t>riadkoch 020 až 060 informácie</w:t>
      </w:r>
      <w:r w:rsidR="00D85C65" w:rsidRPr="006A4431">
        <w:rPr>
          <w:spacing w:val="-2"/>
        </w:rPr>
        <w:t xml:space="preserve"> o </w:t>
      </w:r>
      <w:r w:rsidRPr="006A4431">
        <w:rPr>
          <w:spacing w:val="-2"/>
        </w:rPr>
        <w:t>prechodných ustanoveniach pre nástroje, ktoré sa zachovali</w:t>
      </w:r>
      <w:r w:rsidR="00D85C65" w:rsidRPr="006A4431">
        <w:rPr>
          <w:spacing w:val="-2"/>
        </w:rPr>
        <w:t xml:space="preserve"> v </w:t>
      </w:r>
      <w:r w:rsidRPr="006A4431">
        <w:rPr>
          <w:spacing w:val="-2"/>
        </w:rPr>
        <w:t>predchádzajúcom stave. Údaje vykazované</w:t>
      </w:r>
      <w:r w:rsidR="00D85C65" w:rsidRPr="006A4431">
        <w:rPr>
          <w:spacing w:val="-2"/>
        </w:rPr>
        <w:t xml:space="preserve"> v </w:t>
      </w:r>
      <w:r w:rsidRPr="006A4431">
        <w:rPr>
          <w:spacing w:val="-2"/>
        </w:rPr>
        <w:t>stĺpcoch 010 až 030 riadku 060 vzoru CA5.1 možno odvodiť od príslušných oddielov vzoru CA5.2.</w:t>
      </w:r>
    </w:p>
    <w:p w14:paraId="0A55A4B4" w14:textId="64003FE6" w:rsidR="00235D9D" w:rsidRPr="006A4431" w:rsidRDefault="00125707">
      <w:pPr>
        <w:pStyle w:val="InstructionsText2"/>
        <w:numPr>
          <w:ilvl w:val="0"/>
          <w:numId w:val="0"/>
        </w:numPr>
        <w:ind w:left="993"/>
        <w:rPr>
          <w:spacing w:val="-2"/>
        </w:rPr>
      </w:pPr>
      <w:r w:rsidRPr="006A4431">
        <w:rPr>
          <w:spacing w:val="-2"/>
        </w:rPr>
        <w:t>22.</w:t>
      </w:r>
      <w:r w:rsidRPr="006A4431">
        <w:rPr>
          <w:spacing w:val="-2"/>
        </w:rPr>
        <w:tab/>
        <w:t>Inštitúcie vykazujú</w:t>
      </w:r>
      <w:r w:rsidR="00D85C65" w:rsidRPr="006A4431">
        <w:rPr>
          <w:spacing w:val="-2"/>
        </w:rPr>
        <w:t xml:space="preserve"> v </w:t>
      </w:r>
      <w:r w:rsidRPr="006A4431">
        <w:rPr>
          <w:spacing w:val="-2"/>
        </w:rPr>
        <w:t>riadkoch 070 až 092 informácie</w:t>
      </w:r>
      <w:r w:rsidR="00D85C65" w:rsidRPr="006A4431">
        <w:rPr>
          <w:spacing w:val="-2"/>
        </w:rPr>
        <w:t xml:space="preserve"> o </w:t>
      </w:r>
      <w:r w:rsidRPr="006A4431">
        <w:rPr>
          <w:spacing w:val="-2"/>
        </w:rPr>
        <w:t>prechodných ustanoveniach pre menšinové účasti</w:t>
      </w:r>
      <w:r w:rsidR="00D85C65" w:rsidRPr="006A4431">
        <w:rPr>
          <w:spacing w:val="-2"/>
        </w:rPr>
        <w:t xml:space="preserve"> a </w:t>
      </w:r>
      <w:r w:rsidRPr="006A4431">
        <w:rPr>
          <w:spacing w:val="-2"/>
        </w:rPr>
        <w:t>nástroje dodatočného kapitálu Tier 1</w:t>
      </w:r>
      <w:r w:rsidR="00D85C65" w:rsidRPr="006A4431">
        <w:rPr>
          <w:spacing w:val="-2"/>
        </w:rPr>
        <w:t xml:space="preserve"> a </w:t>
      </w:r>
      <w:r w:rsidRPr="006A4431">
        <w:rPr>
          <w:spacing w:val="-2"/>
        </w:rPr>
        <w:t>Tier 2 emitované dcérskymi spoločnosťami (v súlade</w:t>
      </w:r>
      <w:r w:rsidR="00D85C65" w:rsidRPr="006A4431">
        <w:rPr>
          <w:spacing w:val="-2"/>
        </w:rPr>
        <w:t xml:space="preserve"> s </w:t>
      </w:r>
      <w:r w:rsidRPr="006A4431">
        <w:rPr>
          <w:spacing w:val="-2"/>
        </w:rPr>
        <w:t>článkami 479</w:t>
      </w:r>
      <w:r w:rsidR="00D85C65" w:rsidRPr="006A4431">
        <w:rPr>
          <w:spacing w:val="-2"/>
        </w:rPr>
        <w:t xml:space="preserve"> a </w:t>
      </w:r>
      <w:r w:rsidRPr="006A4431">
        <w:rPr>
          <w:spacing w:val="-2"/>
        </w:rPr>
        <w:t>480 CRR).</w:t>
      </w:r>
    </w:p>
    <w:p w14:paraId="129C3C4D" w14:textId="20A63576" w:rsidR="00235D9D" w:rsidRPr="006A4431" w:rsidRDefault="00125707">
      <w:pPr>
        <w:pStyle w:val="InstructionsText2"/>
        <w:numPr>
          <w:ilvl w:val="0"/>
          <w:numId w:val="0"/>
        </w:numPr>
        <w:ind w:left="993"/>
        <w:rPr>
          <w:spacing w:val="-2"/>
        </w:rPr>
      </w:pPr>
      <w:r w:rsidRPr="006A4431">
        <w:rPr>
          <w:spacing w:val="-2"/>
        </w:rPr>
        <w:t>23.</w:t>
      </w:r>
      <w:r w:rsidRPr="006A4431">
        <w:rPr>
          <w:spacing w:val="-2"/>
        </w:rPr>
        <w:tab/>
        <w:t>V riadkoch 100</w:t>
      </w:r>
      <w:r w:rsidR="00D85C65" w:rsidRPr="006A4431">
        <w:rPr>
          <w:spacing w:val="-2"/>
        </w:rPr>
        <w:t xml:space="preserve"> a </w:t>
      </w:r>
      <w:r w:rsidRPr="006A4431">
        <w:rPr>
          <w:spacing w:val="-2"/>
        </w:rPr>
        <w:t>ďalej vykazujú inštitúcie informácie</w:t>
      </w:r>
      <w:r w:rsidR="00D85C65" w:rsidRPr="006A4431">
        <w:rPr>
          <w:spacing w:val="-2"/>
        </w:rPr>
        <w:t xml:space="preserve"> o </w:t>
      </w:r>
      <w:r w:rsidRPr="006A4431">
        <w:rPr>
          <w:spacing w:val="-2"/>
        </w:rPr>
        <w:t>prechodných ustanoveniach pre nerealizované zisky</w:t>
      </w:r>
      <w:r w:rsidR="00D85C65" w:rsidRPr="006A4431">
        <w:rPr>
          <w:spacing w:val="-2"/>
        </w:rPr>
        <w:t xml:space="preserve"> a </w:t>
      </w:r>
      <w:r w:rsidRPr="006A4431">
        <w:rPr>
          <w:spacing w:val="-2"/>
        </w:rPr>
        <w:t>straty, odpočty, ako aj dodatočné filtre</w:t>
      </w:r>
      <w:r w:rsidR="00D85C65" w:rsidRPr="006A4431">
        <w:rPr>
          <w:spacing w:val="-2"/>
        </w:rPr>
        <w:t xml:space="preserve"> a </w:t>
      </w:r>
      <w:r w:rsidRPr="006A4431">
        <w:rPr>
          <w:spacing w:val="-2"/>
        </w:rPr>
        <w:t>odpočty.</w:t>
      </w:r>
    </w:p>
    <w:p w14:paraId="2380F9B2" w14:textId="2722AC02" w:rsidR="00D85C65" w:rsidRPr="006A4431" w:rsidRDefault="00125707">
      <w:pPr>
        <w:pStyle w:val="InstructionsText2"/>
        <w:numPr>
          <w:ilvl w:val="0"/>
          <w:numId w:val="0"/>
        </w:numPr>
        <w:ind w:left="993"/>
        <w:rPr>
          <w:spacing w:val="-2"/>
        </w:rPr>
      </w:pPr>
      <w:r w:rsidRPr="006A4431">
        <w:rPr>
          <w:spacing w:val="-2"/>
        </w:rPr>
        <w:t>24.</w:t>
      </w:r>
      <w:r w:rsidRPr="006A4431">
        <w:rPr>
          <w:spacing w:val="-2"/>
        </w:rPr>
        <w:tab/>
        <w:t>Môžu sa vyskytnúť prípady, keď prechodné odpočty kapitálov CET1, AT1 alebo T2 presahujú kapitál CET1, AT1 alebo T2 inštitúcie. Tento účinok – ak vyplýva</w:t>
      </w:r>
      <w:r w:rsidR="00D85C65" w:rsidRPr="006A4431">
        <w:rPr>
          <w:spacing w:val="-2"/>
        </w:rPr>
        <w:t xml:space="preserve"> z </w:t>
      </w:r>
      <w:r w:rsidRPr="006A4431">
        <w:rPr>
          <w:spacing w:val="-2"/>
        </w:rPr>
        <w:t>prechodných ustanovení – sa uvedie vo vzore CA1, pričom sa použijú príslušné bunky. Úpravy</w:t>
      </w:r>
      <w:r w:rsidR="00D85C65" w:rsidRPr="006A4431">
        <w:rPr>
          <w:spacing w:val="-2"/>
        </w:rPr>
        <w:t xml:space="preserve"> v </w:t>
      </w:r>
      <w:r w:rsidRPr="006A4431">
        <w:rPr>
          <w:spacing w:val="-2"/>
        </w:rPr>
        <w:t>stĺpcoch vzoru CA5 následne nezahŕňajú účinky presahovania</w:t>
      </w:r>
      <w:r w:rsidR="00D85C65" w:rsidRPr="006A4431">
        <w:rPr>
          <w:spacing w:val="-2"/>
        </w:rPr>
        <w:t xml:space="preserve"> v </w:t>
      </w:r>
      <w:r w:rsidRPr="006A4431">
        <w:rPr>
          <w:spacing w:val="-2"/>
        </w:rPr>
        <w:t>prípade nedostatočného dostupného kapitálu</w:t>
      </w:r>
      <w:r w:rsidR="00D85C65" w:rsidRPr="006A4431">
        <w:rPr>
          <w:spacing w:val="-2"/>
        </w:rPr>
        <w:t>.</w:t>
      </w:r>
    </w:p>
    <w:p w14:paraId="434225D9" w14:textId="42534CD1"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0" w:name="_Toc29994463"/>
      <w:r w:rsidRPr="006A4431">
        <w:rPr>
          <w:rFonts w:ascii="Times New Roman" w:hAnsi="Times New Roman"/>
          <w:spacing w:val="-2"/>
          <w:sz w:val="24"/>
          <w:u w:val="none"/>
        </w:rPr>
        <w:t>1.6.2.1.</w:t>
      </w:r>
      <w:r w:rsidRPr="006A4431">
        <w:rPr>
          <w:rFonts w:ascii="Times New Roman" w:hAnsi="Times New Roman"/>
          <w:spacing w:val="-2"/>
          <w:sz w:val="24"/>
          <w:u w:val="none"/>
        </w:rPr>
        <w:tab/>
      </w:r>
      <w:r w:rsidRPr="006A4431">
        <w:rPr>
          <w:rFonts w:ascii="Times New Roman" w:hAnsi="Times New Roman"/>
          <w:spacing w:val="-2"/>
          <w:sz w:val="24"/>
        </w:rPr>
        <w:t>Pokyny týkajúce sa konkrétnych pozícií</w:t>
      </w:r>
      <w:bookmarkEnd w:id="20"/>
    </w:p>
    <w:p w14:paraId="5BB2D391" w14:textId="77777777" w:rsidR="00235D9D" w:rsidRPr="006A4431" w:rsidRDefault="00235D9D">
      <w:pPr>
        <w:spacing w:after="0"/>
        <w:rPr>
          <w:rFonts w:ascii="Times New Roman" w:hAnsi="Times New Roman"/>
          <w:spacing w:val="-2"/>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35D9D" w:rsidRPr="006A4431" w14:paraId="0C2D193D" w14:textId="77777777" w:rsidTr="00672D2A">
        <w:tc>
          <w:tcPr>
            <w:tcW w:w="8372" w:type="dxa"/>
            <w:gridSpan w:val="2"/>
            <w:shd w:val="clear" w:color="auto" w:fill="D9D9D9"/>
          </w:tcPr>
          <w:p w14:paraId="766B446E" w14:textId="77777777" w:rsidR="00235D9D" w:rsidRPr="006A4431" w:rsidRDefault="002648B0">
            <w:pPr>
              <w:pStyle w:val="InstructionsText"/>
              <w:rPr>
                <w:spacing w:val="-2"/>
              </w:rPr>
            </w:pPr>
            <w:r w:rsidRPr="006A4431">
              <w:rPr>
                <w:spacing w:val="-2"/>
              </w:rPr>
              <w:t>Stĺpce</w:t>
            </w:r>
          </w:p>
        </w:tc>
      </w:tr>
      <w:tr w:rsidR="00235D9D" w:rsidRPr="006A4431" w14:paraId="085C8845" w14:textId="77777777" w:rsidTr="00672D2A">
        <w:tc>
          <w:tcPr>
            <w:tcW w:w="894" w:type="dxa"/>
          </w:tcPr>
          <w:p w14:paraId="392DF494"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010</w:t>
            </w:r>
          </w:p>
        </w:tc>
        <w:tc>
          <w:tcPr>
            <w:tcW w:w="7478" w:type="dxa"/>
          </w:tcPr>
          <w:p w14:paraId="330CAD2E"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Úpravy CET1</w:t>
            </w:r>
          </w:p>
        </w:tc>
      </w:tr>
      <w:tr w:rsidR="00235D9D" w:rsidRPr="006A4431" w14:paraId="3AC96FFE" w14:textId="77777777" w:rsidTr="00672D2A">
        <w:tc>
          <w:tcPr>
            <w:tcW w:w="894" w:type="dxa"/>
          </w:tcPr>
          <w:p w14:paraId="60E46846"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020</w:t>
            </w:r>
          </w:p>
        </w:tc>
        <w:tc>
          <w:tcPr>
            <w:tcW w:w="7478" w:type="dxa"/>
          </w:tcPr>
          <w:p w14:paraId="358141E3"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Úpravy AT1</w:t>
            </w:r>
          </w:p>
        </w:tc>
      </w:tr>
      <w:tr w:rsidR="00235D9D" w:rsidRPr="006A4431" w14:paraId="3BB84582" w14:textId="77777777" w:rsidTr="00672D2A">
        <w:tc>
          <w:tcPr>
            <w:tcW w:w="894" w:type="dxa"/>
          </w:tcPr>
          <w:p w14:paraId="5CDA2489"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030</w:t>
            </w:r>
          </w:p>
        </w:tc>
        <w:tc>
          <w:tcPr>
            <w:tcW w:w="7478" w:type="dxa"/>
          </w:tcPr>
          <w:p w14:paraId="37B87DA0"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Úpravy T2</w:t>
            </w:r>
          </w:p>
        </w:tc>
      </w:tr>
      <w:tr w:rsidR="00235D9D" w:rsidRPr="006A4431" w14:paraId="581D9501" w14:textId="77777777" w:rsidTr="00672D2A">
        <w:tc>
          <w:tcPr>
            <w:tcW w:w="894" w:type="dxa"/>
          </w:tcPr>
          <w:p w14:paraId="274F52A9"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040</w:t>
            </w:r>
          </w:p>
        </w:tc>
        <w:tc>
          <w:tcPr>
            <w:tcW w:w="7478" w:type="dxa"/>
          </w:tcPr>
          <w:p w14:paraId="2922ED58" w14:textId="1E83B075"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Úpravy zahrnuté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rizikovo vážených aktívach (RWA)</w:t>
            </w:r>
          </w:p>
          <w:p w14:paraId="3BF81B8A" w14:textId="705EECB0"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V stĺpci 040 sa uvádzajú príslušné hodnoty, ktorými sa upravuje celková hodnota rizikových expozícií podľa článku 92 ods. 3 CRR na základe prechodných ustanovení. Vykazované hodnoty zohľadňujú uplatňovanie ustanovení tretej časti hlavy II kapitoly 2 alebo 3 alebo tretej časti hlavy IV</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92 ods. 4 CRR. To znamená, že prechodné hodnoty, na ktoré sa vzťahujú ustanovenia tretej časti hlavy II kapitoly 2 alebo 3, sa vykazujú ako hodnoty rizikovo vážených expozícií, zatiaľ čo prechodné hodnoty, na ktoré sa vzťahuje tretia časť hlava IV, predstavujú požiadavky na vlastné zdroje vynásobené koeficientom 12,5.</w:t>
            </w:r>
          </w:p>
          <w:p w14:paraId="38455D6B" w14:textId="54D1ABFE" w:rsidR="00235D9D" w:rsidRPr="006A4431" w:rsidRDefault="00B4177D">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lastRenderedPageBreak/>
              <w:t>Zatiaľ čo stĺpce 010 až 030 sú priamo spojené so vzorom CA1, úpravy celkovej hodnoty rizikových expozícií nie sú priamo spojené</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príslušnými vzormi pre kreditné riziko. Ak existujú úpravy celkovej hodnoty rizikových expozícií vyplývajúce</w:t>
            </w:r>
            <w:r w:rsidR="00D85C65" w:rsidRPr="006A4431">
              <w:rPr>
                <w:rStyle w:val="InstructionsTabelleText"/>
                <w:rFonts w:ascii="Times New Roman" w:hAnsi="Times New Roman"/>
                <w:spacing w:val="-2"/>
                <w:sz w:val="24"/>
              </w:rPr>
              <w:t xml:space="preserve"> z </w:t>
            </w:r>
            <w:r w:rsidRPr="006A4431">
              <w:rPr>
                <w:rStyle w:val="InstructionsTabelleText"/>
                <w:rFonts w:ascii="Times New Roman" w:hAnsi="Times New Roman"/>
                <w:spacing w:val="-2"/>
                <w:sz w:val="24"/>
              </w:rPr>
              <w:t>prechodných ustanovení, zahrnú sa priamo do vzorov CR SA, CR IRB, CR EQU IRB, MKR SA TDI, MKR SA EQU alebo MKR IM. Tieto účinky sa okrem toho vykazujú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040 vzoru CA5.1.</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 xml:space="preserve">dôsledku toho sú uvedené hodnoty len doplňujúcimi položkami. </w:t>
            </w:r>
          </w:p>
        </w:tc>
      </w:tr>
      <w:tr w:rsidR="00235D9D" w:rsidRPr="006A4431" w14:paraId="6496D8B8" w14:textId="77777777" w:rsidTr="00672D2A">
        <w:tc>
          <w:tcPr>
            <w:tcW w:w="894" w:type="dxa"/>
          </w:tcPr>
          <w:p w14:paraId="01EA3DFB"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050</w:t>
            </w:r>
          </w:p>
        </w:tc>
        <w:tc>
          <w:tcPr>
            <w:tcW w:w="7478" w:type="dxa"/>
          </w:tcPr>
          <w:p w14:paraId="125867E8"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Príslušná percentuálna hodnota</w:t>
            </w:r>
          </w:p>
        </w:tc>
      </w:tr>
      <w:tr w:rsidR="00235D9D" w:rsidRPr="006A4431" w14:paraId="5A52EFF5" w14:textId="77777777" w:rsidTr="00672D2A">
        <w:tc>
          <w:tcPr>
            <w:tcW w:w="894" w:type="dxa"/>
          </w:tcPr>
          <w:p w14:paraId="0A04E67C"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060</w:t>
            </w:r>
          </w:p>
        </w:tc>
        <w:tc>
          <w:tcPr>
            <w:tcW w:w="7478" w:type="dxa"/>
          </w:tcPr>
          <w:p w14:paraId="790ADC24"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Prípustná hodnota bez prechodných ustanovení</w:t>
            </w:r>
          </w:p>
          <w:p w14:paraId="30AC3AA7" w14:textId="1CC15994"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V stĺpci 060 sa uvádza hodnota každého nástroja pred uplatnením prechodných ustanovení, t. j. základná hodnota relevantná pre výpočet úprav.</w:t>
            </w:r>
          </w:p>
        </w:tc>
      </w:tr>
    </w:tbl>
    <w:p w14:paraId="3ACC7B4C" w14:textId="77777777" w:rsidR="00235D9D" w:rsidRPr="006A4431" w:rsidRDefault="00235D9D">
      <w:pPr>
        <w:spacing w:after="0"/>
        <w:rPr>
          <w:rFonts w:ascii="Times New Roman" w:hAnsi="Times New Roman"/>
          <w:b/>
          <w:spacing w:val="-2"/>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35D9D" w:rsidRPr="006A4431" w14:paraId="7044E13E" w14:textId="77777777" w:rsidTr="00672D2A">
        <w:tc>
          <w:tcPr>
            <w:tcW w:w="8490" w:type="dxa"/>
            <w:gridSpan w:val="2"/>
            <w:shd w:val="clear" w:color="auto" w:fill="D9D9D9"/>
          </w:tcPr>
          <w:p w14:paraId="51A2DEA9" w14:textId="77777777" w:rsidR="00235D9D" w:rsidRPr="006A4431" w:rsidRDefault="002648B0">
            <w:pPr>
              <w:pStyle w:val="InstructionsText"/>
              <w:rPr>
                <w:spacing w:val="-2"/>
              </w:rPr>
            </w:pPr>
            <w:r w:rsidRPr="006A4431">
              <w:rPr>
                <w:spacing w:val="-2"/>
              </w:rPr>
              <w:t>Riadky</w:t>
            </w:r>
          </w:p>
        </w:tc>
      </w:tr>
      <w:tr w:rsidR="00235D9D" w:rsidRPr="006A4431" w14:paraId="64C5A293" w14:textId="77777777" w:rsidTr="00672D2A">
        <w:tc>
          <w:tcPr>
            <w:tcW w:w="1012" w:type="dxa"/>
          </w:tcPr>
          <w:p w14:paraId="1D81FE4A"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010</w:t>
            </w:r>
          </w:p>
        </w:tc>
        <w:tc>
          <w:tcPr>
            <w:tcW w:w="7478" w:type="dxa"/>
          </w:tcPr>
          <w:p w14:paraId="1F050C9D" w14:textId="77777777" w:rsidR="00235D9D" w:rsidRPr="006A4431" w:rsidRDefault="00C66473">
            <w:pPr>
              <w:pStyle w:val="InstructionsText"/>
              <w:rPr>
                <w:rStyle w:val="Formatvorlage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w:t>
            </w:r>
            <w:r w:rsidRPr="006A4431">
              <w:rPr>
                <w:rStyle w:val="InstructionsTabelleberschrift"/>
                <w:rFonts w:ascii="Times New Roman" w:hAnsi="Times New Roman"/>
                <w:spacing w:val="-2"/>
                <w:sz w:val="24"/>
              </w:rPr>
              <w:tab/>
              <w:t>Celkové úpravy</w:t>
            </w:r>
          </w:p>
          <w:p w14:paraId="1FC1B190" w14:textId="76C17E2E" w:rsidR="00235D9D" w:rsidRPr="006A4431" w:rsidRDefault="002648B0">
            <w:pPr>
              <w:spacing w:before="0"/>
              <w:rPr>
                <w:rStyle w:val="FormatvorlageInstructionsTabelleText"/>
                <w:rFonts w:ascii="Times New Roman" w:hAnsi="Times New Roman"/>
                <w:bCs w:val="0"/>
                <w:spacing w:val="-2"/>
                <w:sz w:val="24"/>
              </w:rPr>
            </w:pPr>
            <w:r w:rsidRPr="006A4431">
              <w:rPr>
                <w:rStyle w:val="InstructionsTabelleText"/>
                <w:rFonts w:ascii="Times New Roman" w:hAnsi="Times New Roman"/>
                <w:spacing w:val="-2"/>
                <w:sz w:val="24"/>
              </w:rPr>
              <w:t>Tento riadok vyjadruje celkový účinok prechodných ustanovení</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rôznych typoch kapitálu plus rizikovo vážené hodnoty vyplývajúce</w:t>
            </w:r>
            <w:r w:rsidR="00D85C65" w:rsidRPr="006A4431">
              <w:rPr>
                <w:rStyle w:val="InstructionsTabelleText"/>
                <w:rFonts w:ascii="Times New Roman" w:hAnsi="Times New Roman"/>
                <w:spacing w:val="-2"/>
                <w:sz w:val="24"/>
              </w:rPr>
              <w:t xml:space="preserve"> z </w:t>
            </w:r>
            <w:r w:rsidRPr="006A4431">
              <w:rPr>
                <w:rStyle w:val="InstructionsTabelleText"/>
                <w:rFonts w:ascii="Times New Roman" w:hAnsi="Times New Roman"/>
                <w:spacing w:val="-2"/>
                <w:sz w:val="24"/>
              </w:rPr>
              <w:t>uvedených úprav.</w:t>
            </w:r>
          </w:p>
        </w:tc>
      </w:tr>
      <w:tr w:rsidR="00235D9D" w:rsidRPr="006A4431" w14:paraId="365722CC" w14:textId="77777777" w:rsidTr="00672D2A">
        <w:tc>
          <w:tcPr>
            <w:tcW w:w="1012" w:type="dxa"/>
          </w:tcPr>
          <w:p w14:paraId="0CFAC343"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 xml:space="preserve">020 </w:t>
            </w:r>
          </w:p>
        </w:tc>
        <w:tc>
          <w:tcPr>
            <w:tcW w:w="7478" w:type="dxa"/>
          </w:tcPr>
          <w:p w14:paraId="0B219D5C" w14:textId="468E010B"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1.1.</w:t>
            </w:r>
            <w:r w:rsidRPr="006A4431">
              <w:rPr>
                <w:rStyle w:val="InstructionsTabelleberschrift"/>
                <w:rFonts w:ascii="Times New Roman" w:hAnsi="Times New Roman"/>
                <w:spacing w:val="-2"/>
                <w:sz w:val="24"/>
              </w:rPr>
              <w:tab/>
              <w:t>Nástroje zachované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w:t>
            </w:r>
          </w:p>
          <w:p w14:paraId="239E98DB" w14:textId="5DDF77DE"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483 až 491 CRR.</w:t>
            </w:r>
          </w:p>
          <w:p w14:paraId="165AD983" w14:textId="1E180715" w:rsidR="00235D9D" w:rsidRPr="006A4431" w:rsidRDefault="002648B0">
            <w:pPr>
              <w:spacing w:before="0"/>
              <w:rPr>
                <w:rStyle w:val="Formatvorlage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celkový účinok nástrojov, ktoré sa prechodne zachovali</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predchádzajúcom stave,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rôznych typoch kapitálu.</w:t>
            </w:r>
          </w:p>
        </w:tc>
      </w:tr>
      <w:tr w:rsidR="00235D9D" w:rsidRPr="006A4431" w14:paraId="6F18E2C8" w14:textId="77777777" w:rsidTr="00672D2A">
        <w:tc>
          <w:tcPr>
            <w:tcW w:w="1012" w:type="dxa"/>
          </w:tcPr>
          <w:p w14:paraId="47DECC64"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030</w:t>
            </w:r>
          </w:p>
        </w:tc>
        <w:tc>
          <w:tcPr>
            <w:tcW w:w="7478" w:type="dxa"/>
          </w:tcPr>
          <w:p w14:paraId="495401D4" w14:textId="627E410E"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1.1.1.</w:t>
            </w:r>
            <w:r w:rsidRPr="006A4431">
              <w:rPr>
                <w:rStyle w:val="InstructionsTabelleberschrift"/>
                <w:rFonts w:ascii="Times New Roman" w:hAnsi="Times New Roman"/>
                <w:spacing w:val="-2"/>
                <w:sz w:val="24"/>
              </w:rPr>
              <w:tab/>
              <w:t>Nástroje zachované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 Nástroje, ktoré predstavujú štátnu pomoc</w:t>
            </w:r>
          </w:p>
          <w:p w14:paraId="36D6F244" w14:textId="77777777" w:rsidR="00235D9D" w:rsidRPr="006A4431" w:rsidRDefault="002648B0">
            <w:pPr>
              <w:spacing w:before="0"/>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Článok 483 CRR.</w:t>
            </w:r>
          </w:p>
        </w:tc>
      </w:tr>
      <w:tr w:rsidR="00235D9D" w:rsidRPr="006A4431" w14:paraId="0856E89F" w14:textId="77777777" w:rsidTr="00672D2A">
        <w:tc>
          <w:tcPr>
            <w:tcW w:w="1012" w:type="dxa"/>
          </w:tcPr>
          <w:p w14:paraId="28C108D2"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040</w:t>
            </w:r>
          </w:p>
        </w:tc>
        <w:tc>
          <w:tcPr>
            <w:tcW w:w="7478" w:type="dxa"/>
          </w:tcPr>
          <w:p w14:paraId="107C2500" w14:textId="77777777"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1.1.1.1.</w:t>
            </w:r>
            <w:r w:rsidRPr="006A4431">
              <w:rPr>
                <w:rStyle w:val="InstructionsTabelleberschrift"/>
                <w:rFonts w:ascii="Times New Roman" w:hAnsi="Times New Roman"/>
                <w:spacing w:val="-2"/>
                <w:sz w:val="24"/>
              </w:rPr>
              <w:tab/>
              <w:t>Nástroje, ktoré sa podľa smernice 2006/48/ES kvalifikovali ako vlastné zdroje</w:t>
            </w:r>
          </w:p>
          <w:p w14:paraId="05A43A22" w14:textId="5DDF6FA5" w:rsidR="00235D9D" w:rsidRPr="006A4431" w:rsidRDefault="00167619">
            <w:pPr>
              <w:pStyle w:val="InstructionsText"/>
              <w:rPr>
                <w:bCs/>
                <w:spacing w:val="-2"/>
              </w:rPr>
            </w:pPr>
            <w:r w:rsidRPr="006A4431">
              <w:rPr>
                <w:rStyle w:val="InstructionsTabelleText"/>
                <w:rFonts w:ascii="Times New Roman" w:hAnsi="Times New Roman"/>
                <w:spacing w:val="-2"/>
                <w:sz w:val="24"/>
              </w:rPr>
              <w:t>Článok 483 ods. 1, 2,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6 CRR.</w:t>
            </w:r>
          </w:p>
        </w:tc>
      </w:tr>
      <w:tr w:rsidR="00235D9D" w:rsidRPr="006A4431" w14:paraId="2178D9EA" w14:textId="77777777" w:rsidTr="00672D2A">
        <w:tc>
          <w:tcPr>
            <w:tcW w:w="1012" w:type="dxa"/>
          </w:tcPr>
          <w:p w14:paraId="0926CD11"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050</w:t>
            </w:r>
          </w:p>
        </w:tc>
        <w:tc>
          <w:tcPr>
            <w:tcW w:w="7478" w:type="dxa"/>
          </w:tcPr>
          <w:p w14:paraId="3095CC95" w14:textId="33A511E1"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1.1.1.2.</w:t>
            </w:r>
            <w:r w:rsidRPr="006A4431">
              <w:rPr>
                <w:rStyle w:val="InstructionsTabelleberschrift"/>
                <w:rFonts w:ascii="Times New Roman" w:hAnsi="Times New Roman"/>
                <w:spacing w:val="-2"/>
                <w:sz w:val="24"/>
              </w:rPr>
              <w:tab/>
              <w:t>Nástroje emitované inštitúciami so sídlom</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členskom štáte, na ktorý sa vzťahuje program hospodárskych úprav</w:t>
            </w:r>
          </w:p>
          <w:p w14:paraId="7DD64DF0" w14:textId="05A57C9A" w:rsidR="00235D9D" w:rsidRPr="006A4431" w:rsidRDefault="00167619">
            <w:pPr>
              <w:spacing w:before="0"/>
              <w:rPr>
                <w:rFonts w:ascii="Times New Roman" w:hAnsi="Times New Roman"/>
                <w:b/>
                <w:bCs/>
                <w:spacing w:val="-2"/>
                <w:sz w:val="24"/>
              </w:rPr>
            </w:pPr>
            <w:r w:rsidRPr="006A4431">
              <w:rPr>
                <w:rStyle w:val="InstructionsTabelleText"/>
                <w:rFonts w:ascii="Times New Roman" w:hAnsi="Times New Roman"/>
                <w:spacing w:val="-2"/>
                <w:sz w:val="24"/>
              </w:rPr>
              <w:t>Článok 483 ods. 1, 3, 5, 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8 CRR.</w:t>
            </w:r>
          </w:p>
        </w:tc>
      </w:tr>
      <w:tr w:rsidR="00235D9D" w:rsidRPr="006A4431" w14:paraId="7A18B9EA" w14:textId="77777777" w:rsidTr="00672D2A">
        <w:tc>
          <w:tcPr>
            <w:tcW w:w="1012" w:type="dxa"/>
          </w:tcPr>
          <w:p w14:paraId="344CA4E0"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060</w:t>
            </w:r>
          </w:p>
        </w:tc>
        <w:tc>
          <w:tcPr>
            <w:tcW w:w="7478" w:type="dxa"/>
          </w:tcPr>
          <w:p w14:paraId="7B5DE80F" w14:textId="77777777" w:rsidR="00235D9D" w:rsidRPr="006A4431" w:rsidRDefault="002648B0">
            <w:pPr>
              <w:spacing w:before="0"/>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1.1.2.</w:t>
            </w:r>
            <w:r w:rsidRPr="006A4431">
              <w:rPr>
                <w:rStyle w:val="InstructionsTabelleberschrift"/>
                <w:rFonts w:ascii="Times New Roman" w:hAnsi="Times New Roman"/>
                <w:spacing w:val="-2"/>
                <w:sz w:val="24"/>
              </w:rPr>
              <w:tab/>
              <w:t>Nástroje, ktoré nepredstavujú štátnu pomoc</w:t>
            </w:r>
          </w:p>
          <w:p w14:paraId="5C9C7A9D" w14:textId="00B06800" w:rsidR="00235D9D" w:rsidRPr="006A4431" w:rsidRDefault="002648B0">
            <w:pPr>
              <w:spacing w:before="0"/>
              <w:rPr>
                <w:rFonts w:ascii="Times New Roman" w:hAnsi="Times New Roman"/>
                <w:b/>
                <w:bCs/>
                <w:spacing w:val="-2"/>
                <w:sz w:val="24"/>
              </w:rPr>
            </w:pPr>
            <w:r w:rsidRPr="006A4431">
              <w:rPr>
                <w:rStyle w:val="InstructionsTabelleText"/>
                <w:rFonts w:ascii="Times New Roman" w:hAnsi="Times New Roman"/>
                <w:spacing w:val="-2"/>
                <w:sz w:val="24"/>
              </w:rPr>
              <w:t>Vykazované sumy sa získajú zo stĺpca 060 vzoru CA5.2.</w:t>
            </w:r>
          </w:p>
        </w:tc>
      </w:tr>
      <w:tr w:rsidR="00235D9D" w:rsidRPr="006A4431" w14:paraId="13629F97" w14:textId="77777777" w:rsidTr="00672D2A">
        <w:tc>
          <w:tcPr>
            <w:tcW w:w="1012" w:type="dxa"/>
          </w:tcPr>
          <w:p w14:paraId="21A140E4"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070</w:t>
            </w:r>
          </w:p>
        </w:tc>
        <w:tc>
          <w:tcPr>
            <w:tcW w:w="7478" w:type="dxa"/>
          </w:tcPr>
          <w:p w14:paraId="42434079" w14:textId="6371A6D0"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1.2.</w:t>
            </w:r>
            <w:r w:rsidRPr="006A4431">
              <w:rPr>
                <w:rStyle w:val="InstructionsTabelleberschrift"/>
                <w:rFonts w:ascii="Times New Roman" w:hAnsi="Times New Roman"/>
                <w:spacing w:val="-2"/>
                <w:sz w:val="24"/>
              </w:rPr>
              <w:tab/>
              <w:t>Menšinové účasti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ekvivalenty</w:t>
            </w:r>
          </w:p>
          <w:p w14:paraId="290D2D09" w14:textId="5C6FDC3F"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479</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480 CRR.</w:t>
            </w:r>
          </w:p>
          <w:p w14:paraId="79858C41" w14:textId="11C7895A" w:rsidR="00235D9D" w:rsidRPr="006A4431" w:rsidRDefault="00FC103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účinky prechodných ustanovení</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menšinových účastiach prípustných ako CET1; kvalifikovaných nástrojoch T1 prípustných ako konsolidovaný AT1</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kvalifikovaných vlastných zdrojoch prípustných ako konsolidovaný T2.</w:t>
            </w:r>
          </w:p>
        </w:tc>
      </w:tr>
      <w:tr w:rsidR="00235D9D" w:rsidRPr="006A4431" w14:paraId="1C69F74B" w14:textId="77777777" w:rsidTr="00672D2A">
        <w:tc>
          <w:tcPr>
            <w:tcW w:w="1012" w:type="dxa"/>
          </w:tcPr>
          <w:p w14:paraId="49910EA4"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080</w:t>
            </w:r>
          </w:p>
        </w:tc>
        <w:tc>
          <w:tcPr>
            <w:tcW w:w="7478" w:type="dxa"/>
          </w:tcPr>
          <w:p w14:paraId="5CEB788D" w14:textId="567A68A4" w:rsidR="00235D9D" w:rsidRPr="006A4431" w:rsidRDefault="002648B0">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1.2.1.</w:t>
            </w:r>
            <w:r w:rsidRPr="006A4431">
              <w:rPr>
                <w:rStyle w:val="InstructionsTabelleberschrift"/>
                <w:rFonts w:ascii="Times New Roman" w:hAnsi="Times New Roman"/>
                <w:spacing w:val="-2"/>
                <w:sz w:val="24"/>
              </w:rPr>
              <w:tab/>
              <w:t>Kapitálové nástroje</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položky, ktoré sa nekvalifikujú ako menšinové účasti</w:t>
            </w:r>
          </w:p>
          <w:p w14:paraId="507CA44B" w14:textId="2F7855ED"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lastRenderedPageBreak/>
              <w:t>Článok 479 CRR</w:t>
            </w:r>
          </w:p>
          <w:p w14:paraId="58B7C0BD" w14:textId="11B98E1C"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hodnota, ktorá sa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 xml:space="preserve">predchádzajúcim nariadením kvalifikuje ako konsolidované rezervy. </w:t>
            </w:r>
          </w:p>
        </w:tc>
      </w:tr>
      <w:tr w:rsidR="00235D9D" w:rsidRPr="006A4431" w14:paraId="6D9F8A1B" w14:textId="77777777" w:rsidTr="00672D2A">
        <w:tc>
          <w:tcPr>
            <w:tcW w:w="1012" w:type="dxa"/>
          </w:tcPr>
          <w:p w14:paraId="2840A98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090</w:t>
            </w:r>
          </w:p>
        </w:tc>
        <w:tc>
          <w:tcPr>
            <w:tcW w:w="7478" w:type="dxa"/>
          </w:tcPr>
          <w:p w14:paraId="53B54DA1" w14:textId="4F5703C0"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1.2.2.</w:t>
            </w:r>
            <w:r w:rsidRPr="006A4431">
              <w:rPr>
                <w:rStyle w:val="InstructionsTabelleberschrift"/>
                <w:rFonts w:ascii="Times New Roman" w:hAnsi="Times New Roman"/>
                <w:spacing w:val="-2"/>
                <w:sz w:val="24"/>
              </w:rPr>
              <w:tab/>
              <w:t>Prechodné vykázanie menšinových účastí</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konsolidovaných vlastných zdrojoch</w:t>
            </w:r>
          </w:p>
          <w:p w14:paraId="6D6FF74C" w14:textId="6702CAC9"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84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480 CRR.</w:t>
            </w:r>
          </w:p>
          <w:p w14:paraId="7B6F0854" w14:textId="6ABB23AA" w:rsidR="00235D9D" w:rsidRPr="006A4431" w:rsidRDefault="002648B0">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prípustná hodnota bez uplatnenia prechodných ustanovení.</w:t>
            </w:r>
          </w:p>
        </w:tc>
      </w:tr>
      <w:tr w:rsidR="00235D9D" w:rsidRPr="006A4431" w14:paraId="5AC846B3" w14:textId="77777777" w:rsidTr="00672D2A">
        <w:tc>
          <w:tcPr>
            <w:tcW w:w="1012" w:type="dxa"/>
          </w:tcPr>
          <w:p w14:paraId="1C8216EF"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091</w:t>
            </w:r>
          </w:p>
        </w:tc>
        <w:tc>
          <w:tcPr>
            <w:tcW w:w="7478" w:type="dxa"/>
          </w:tcPr>
          <w:p w14:paraId="45B6A2AB" w14:textId="4040668A"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1.2.3.</w:t>
            </w:r>
            <w:r w:rsidRPr="006A4431">
              <w:rPr>
                <w:rStyle w:val="InstructionsTabelleberschrift"/>
                <w:rFonts w:ascii="Times New Roman" w:hAnsi="Times New Roman"/>
                <w:spacing w:val="-2"/>
                <w:sz w:val="24"/>
              </w:rPr>
              <w:tab/>
              <w:t>Prechodné vykázanie kvalifikovaného dodatočného kapitálu Tier 1</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konsolidovaných vlastných zdrojoch</w:t>
            </w:r>
          </w:p>
          <w:p w14:paraId="0A8B5DC8" w14:textId="03BDFB23"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85</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480 CRR.</w:t>
            </w:r>
          </w:p>
          <w:p w14:paraId="1F99651A" w14:textId="098A34A6"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prípustná hodnota bez uplatnenia prechodných ustanovení.</w:t>
            </w:r>
          </w:p>
        </w:tc>
      </w:tr>
      <w:tr w:rsidR="00235D9D" w:rsidRPr="006A4431" w14:paraId="004C7784" w14:textId="77777777" w:rsidTr="00672D2A">
        <w:tc>
          <w:tcPr>
            <w:tcW w:w="1012" w:type="dxa"/>
          </w:tcPr>
          <w:p w14:paraId="504D19F7"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092</w:t>
            </w:r>
          </w:p>
        </w:tc>
        <w:tc>
          <w:tcPr>
            <w:tcW w:w="7478" w:type="dxa"/>
          </w:tcPr>
          <w:p w14:paraId="38EA09DF" w14:textId="5D4ADF2A"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1.2.4.</w:t>
            </w:r>
            <w:r w:rsidRPr="006A4431">
              <w:rPr>
                <w:rStyle w:val="InstructionsTabelleberschrift"/>
                <w:rFonts w:ascii="Times New Roman" w:hAnsi="Times New Roman"/>
                <w:spacing w:val="-2"/>
                <w:sz w:val="24"/>
              </w:rPr>
              <w:tab/>
              <w:t>Prechodné vykázanie kvalifikovaného kapitálu Tier 2</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konsolidovaných vlastných zdrojoch</w:t>
            </w:r>
          </w:p>
          <w:p w14:paraId="0589947F" w14:textId="122664AA"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87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480 CRR.</w:t>
            </w:r>
          </w:p>
          <w:p w14:paraId="0A126F82" w14:textId="340F7944"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prípustná hodnota bez uplatnenia prechodných ustanovení.</w:t>
            </w:r>
          </w:p>
        </w:tc>
      </w:tr>
      <w:tr w:rsidR="00235D9D" w:rsidRPr="006A4431" w14:paraId="52B335DF" w14:textId="77777777" w:rsidTr="00672D2A">
        <w:tc>
          <w:tcPr>
            <w:tcW w:w="1012" w:type="dxa"/>
          </w:tcPr>
          <w:p w14:paraId="1091B9A7"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100</w:t>
            </w:r>
          </w:p>
        </w:tc>
        <w:tc>
          <w:tcPr>
            <w:tcW w:w="7478" w:type="dxa"/>
          </w:tcPr>
          <w:p w14:paraId="418C0613" w14:textId="77777777"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w:t>
            </w:r>
            <w:r w:rsidRPr="006A4431">
              <w:rPr>
                <w:rStyle w:val="InstructionsTabelleberschrift"/>
                <w:rFonts w:ascii="Times New Roman" w:hAnsi="Times New Roman"/>
                <w:spacing w:val="-2"/>
                <w:sz w:val="24"/>
              </w:rPr>
              <w:tab/>
              <w:t>Iné prechodné úpravy</w:t>
            </w:r>
          </w:p>
          <w:p w14:paraId="33D1D6E8" w14:textId="59638C65"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467 až 478</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481 CRR.</w:t>
            </w:r>
          </w:p>
          <w:p w14:paraId="142E63B1" w14:textId="11C47A5A"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celkový účinok prechodných úprav</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odpočte rôznych typov kapitálu, nerealizovaných ziskov</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strát, dodatočných filtrov</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odpočtov, ako aj rizikovo vážených hodnôt vyplývajúcich</w:t>
            </w:r>
            <w:r w:rsidR="00D85C65" w:rsidRPr="006A4431">
              <w:rPr>
                <w:rStyle w:val="InstructionsTabelleText"/>
                <w:rFonts w:ascii="Times New Roman" w:hAnsi="Times New Roman"/>
                <w:spacing w:val="-2"/>
                <w:sz w:val="24"/>
              </w:rPr>
              <w:t xml:space="preserve"> z </w:t>
            </w:r>
            <w:r w:rsidRPr="006A4431">
              <w:rPr>
                <w:rStyle w:val="InstructionsTabelleText"/>
                <w:rFonts w:ascii="Times New Roman" w:hAnsi="Times New Roman"/>
                <w:spacing w:val="-2"/>
                <w:sz w:val="24"/>
              </w:rPr>
              <w:t>týchto úprav.</w:t>
            </w:r>
          </w:p>
        </w:tc>
      </w:tr>
      <w:tr w:rsidR="00235D9D" w:rsidRPr="006A4431" w14:paraId="6E7E06DF" w14:textId="77777777" w:rsidTr="00672D2A">
        <w:tc>
          <w:tcPr>
            <w:tcW w:w="1012" w:type="dxa"/>
          </w:tcPr>
          <w:p w14:paraId="40268B2C"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110</w:t>
            </w:r>
          </w:p>
        </w:tc>
        <w:tc>
          <w:tcPr>
            <w:tcW w:w="7478" w:type="dxa"/>
          </w:tcPr>
          <w:p w14:paraId="21B5E4B0" w14:textId="5FC18FFF"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1.3.1.</w:t>
            </w:r>
            <w:r w:rsidRPr="006A4431">
              <w:rPr>
                <w:rStyle w:val="InstructionsTabelleberschrift"/>
                <w:rFonts w:ascii="Times New Roman" w:hAnsi="Times New Roman"/>
                <w:spacing w:val="-2"/>
                <w:sz w:val="24"/>
              </w:rPr>
              <w:tab/>
              <w:t>Nerealizované zisky</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straty</w:t>
            </w:r>
          </w:p>
          <w:p w14:paraId="5A12F546" w14:textId="5B63C547"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467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468 CRR.</w:t>
            </w:r>
          </w:p>
          <w:p w14:paraId="24586742" w14:textId="57EA8184"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celkový účinok prechodných ustanovení na nerealizované zisky</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straty ocenené reálnou hodnotou.</w:t>
            </w:r>
          </w:p>
        </w:tc>
      </w:tr>
      <w:tr w:rsidR="00235D9D" w:rsidRPr="006A4431" w14:paraId="660BE7EE" w14:textId="77777777" w:rsidTr="00672D2A">
        <w:tc>
          <w:tcPr>
            <w:tcW w:w="1012" w:type="dxa"/>
          </w:tcPr>
          <w:p w14:paraId="73DA862E"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120</w:t>
            </w:r>
          </w:p>
        </w:tc>
        <w:tc>
          <w:tcPr>
            <w:tcW w:w="7478" w:type="dxa"/>
          </w:tcPr>
          <w:p w14:paraId="215A8594"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1.3.1.1.</w:t>
            </w:r>
            <w:r w:rsidRPr="006A4431">
              <w:rPr>
                <w:rStyle w:val="InstructionsTabelleberschrift"/>
                <w:rFonts w:ascii="Times New Roman" w:hAnsi="Times New Roman"/>
                <w:spacing w:val="-2"/>
                <w:sz w:val="24"/>
              </w:rPr>
              <w:tab/>
              <w:t>Nerealizované zisky</w:t>
            </w:r>
          </w:p>
          <w:p w14:paraId="28C343C7" w14:textId="251A6465"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468 ods. 1 CRR.</w:t>
            </w:r>
          </w:p>
        </w:tc>
      </w:tr>
      <w:tr w:rsidR="00235D9D" w:rsidRPr="006A4431" w14:paraId="0499E855" w14:textId="77777777" w:rsidTr="00672D2A">
        <w:tc>
          <w:tcPr>
            <w:tcW w:w="1012" w:type="dxa"/>
          </w:tcPr>
          <w:p w14:paraId="71CD8FF7"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130</w:t>
            </w:r>
          </w:p>
        </w:tc>
        <w:tc>
          <w:tcPr>
            <w:tcW w:w="7478" w:type="dxa"/>
          </w:tcPr>
          <w:p w14:paraId="7618F641"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1.3.1.2.</w:t>
            </w:r>
            <w:r w:rsidRPr="006A4431">
              <w:rPr>
                <w:rStyle w:val="InstructionsTabelleberschrift"/>
                <w:rFonts w:ascii="Times New Roman" w:hAnsi="Times New Roman"/>
                <w:spacing w:val="-2"/>
                <w:sz w:val="24"/>
              </w:rPr>
              <w:tab/>
              <w:t>Nerealizované straty</w:t>
            </w:r>
          </w:p>
          <w:p w14:paraId="36AC21D0" w14:textId="008A3DF4"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467 ods. 1 CRR.</w:t>
            </w:r>
          </w:p>
        </w:tc>
      </w:tr>
      <w:tr w:rsidR="00235D9D" w:rsidRPr="006A4431" w14:paraId="7EC2F160" w14:textId="77777777" w:rsidTr="00672D2A">
        <w:tc>
          <w:tcPr>
            <w:tcW w:w="1012" w:type="dxa"/>
          </w:tcPr>
          <w:p w14:paraId="1F72A819" w14:textId="77777777" w:rsidR="00235D9D" w:rsidRPr="006A4431" w:rsidRDefault="00E06628">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133</w:t>
            </w:r>
          </w:p>
        </w:tc>
        <w:tc>
          <w:tcPr>
            <w:tcW w:w="7478" w:type="dxa"/>
          </w:tcPr>
          <w:p w14:paraId="0CA788CC" w14:textId="571FC10E" w:rsidR="00235D9D" w:rsidRPr="006A4431" w:rsidRDefault="00E0662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1.3.1.3.</w:t>
            </w:r>
            <w:r w:rsidRPr="006A4431">
              <w:rPr>
                <w:rStyle w:val="InstructionsTabelleberschrift"/>
                <w:rFonts w:ascii="Times New Roman" w:hAnsi="Times New Roman"/>
                <w:spacing w:val="-2"/>
                <w:sz w:val="24"/>
              </w:rPr>
              <w:tab/>
              <w:t>Nerealizované zisky</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expozícií voči ústredným vládam zaradeným do kategórie „k dispozícii na predaj“ štandardu IAS 39, ktorý schválila EÚ</w:t>
            </w:r>
          </w:p>
          <w:p w14:paraId="1237B90D" w14:textId="52776326" w:rsidR="00235D9D" w:rsidRPr="006A4431" w:rsidRDefault="00E0662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468 CRR.</w:t>
            </w:r>
          </w:p>
        </w:tc>
      </w:tr>
      <w:tr w:rsidR="00235D9D" w:rsidRPr="006A4431" w14:paraId="5200A156" w14:textId="77777777" w:rsidTr="00672D2A">
        <w:tc>
          <w:tcPr>
            <w:tcW w:w="1012" w:type="dxa"/>
          </w:tcPr>
          <w:p w14:paraId="17B2DEEC" w14:textId="77777777" w:rsidR="00235D9D" w:rsidRPr="006A4431" w:rsidRDefault="00E06628">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136</w:t>
            </w:r>
          </w:p>
        </w:tc>
        <w:tc>
          <w:tcPr>
            <w:tcW w:w="7478" w:type="dxa"/>
          </w:tcPr>
          <w:p w14:paraId="441EBEB4" w14:textId="03D57C28" w:rsidR="00235D9D" w:rsidRPr="006A4431" w:rsidRDefault="00E0662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1.3.1.4.</w:t>
            </w:r>
            <w:r w:rsidRPr="006A4431">
              <w:rPr>
                <w:rStyle w:val="InstructionsTabelleberschrift"/>
                <w:rFonts w:ascii="Times New Roman" w:hAnsi="Times New Roman"/>
                <w:spacing w:val="-2"/>
                <w:sz w:val="24"/>
              </w:rPr>
              <w:tab/>
              <w:t>Nerealizované straty</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expozícií voči ústredným vládam zaradeným do kategórie „k dispozícii na predaj“ štandardu IAS 39, ktorý schválila EÚ</w:t>
            </w:r>
          </w:p>
          <w:p w14:paraId="6A86D75B" w14:textId="49239AC6" w:rsidR="00235D9D" w:rsidRPr="006A4431" w:rsidRDefault="00E0662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lastRenderedPageBreak/>
              <w:t>Článok 467 CRR.</w:t>
            </w:r>
          </w:p>
        </w:tc>
      </w:tr>
      <w:tr w:rsidR="00235D9D" w:rsidRPr="006A4431" w14:paraId="12DABBD7" w14:textId="77777777" w:rsidTr="00672D2A">
        <w:tc>
          <w:tcPr>
            <w:tcW w:w="1012" w:type="dxa"/>
          </w:tcPr>
          <w:p w14:paraId="7D3A53EE" w14:textId="77777777" w:rsidR="00235D9D" w:rsidRPr="006A4431" w:rsidRDefault="00E06628">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138</w:t>
            </w:r>
          </w:p>
        </w:tc>
        <w:tc>
          <w:tcPr>
            <w:tcW w:w="7478" w:type="dxa"/>
          </w:tcPr>
          <w:p w14:paraId="41B2BCAF" w14:textId="38C31B54" w:rsidR="00235D9D" w:rsidRPr="006A4431" w:rsidRDefault="00E06628">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1.3.1.5.</w:t>
            </w:r>
            <w:r w:rsidRPr="006A4431">
              <w:rPr>
                <w:rStyle w:val="InstructionsTabelleberschrift"/>
                <w:rFonts w:ascii="Times New Roman" w:hAnsi="Times New Roman"/>
                <w:spacing w:val="-2"/>
                <w:sz w:val="24"/>
              </w:rPr>
              <w:tab/>
              <w:t>Reálnou hodnotou ocenené zisky</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straty vyplývajúce</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vlastného kreditného rizika inštitúcie súvisiaceho</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derivátovými záväzkami</w:t>
            </w:r>
          </w:p>
          <w:p w14:paraId="00FD5CB8" w14:textId="75F5676E" w:rsidR="00235D9D" w:rsidRPr="006A4431" w:rsidRDefault="00E06628">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468 CRR.</w:t>
            </w:r>
          </w:p>
        </w:tc>
      </w:tr>
      <w:tr w:rsidR="00235D9D" w:rsidRPr="006A4431" w14:paraId="4EA69FFA" w14:textId="77777777" w:rsidTr="00672D2A">
        <w:tc>
          <w:tcPr>
            <w:tcW w:w="1012" w:type="dxa"/>
          </w:tcPr>
          <w:p w14:paraId="6C64D509"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140</w:t>
            </w:r>
          </w:p>
        </w:tc>
        <w:tc>
          <w:tcPr>
            <w:tcW w:w="7478" w:type="dxa"/>
          </w:tcPr>
          <w:p w14:paraId="734DACDF" w14:textId="77777777"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w:t>
            </w:r>
            <w:r w:rsidRPr="006A4431">
              <w:rPr>
                <w:rStyle w:val="InstructionsTabelleberschrift"/>
                <w:rFonts w:ascii="Times New Roman" w:hAnsi="Times New Roman"/>
                <w:spacing w:val="-2"/>
                <w:sz w:val="24"/>
              </w:rPr>
              <w:tab/>
              <w:t>Odpočty</w:t>
            </w:r>
          </w:p>
          <w:p w14:paraId="05EDCD25" w14:textId="794B6C6B"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články 469 až 478 CRR.</w:t>
            </w:r>
          </w:p>
          <w:p w14:paraId="0EE3A7BC" w14:textId="77777777" w:rsidR="00235D9D" w:rsidRPr="006A4431" w:rsidRDefault="002648B0">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celkový účinok prechodných ustanovení na odpočty.</w:t>
            </w:r>
          </w:p>
        </w:tc>
      </w:tr>
      <w:tr w:rsidR="00235D9D" w:rsidRPr="006A4431" w14:paraId="7FAD8D9F" w14:textId="77777777" w:rsidTr="00672D2A">
        <w:tc>
          <w:tcPr>
            <w:tcW w:w="1012" w:type="dxa"/>
          </w:tcPr>
          <w:p w14:paraId="69541B00" w14:textId="77777777" w:rsidR="00235D9D" w:rsidRPr="006A4431" w:rsidDel="00E41E4F"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150</w:t>
            </w:r>
          </w:p>
        </w:tc>
        <w:tc>
          <w:tcPr>
            <w:tcW w:w="7478" w:type="dxa"/>
          </w:tcPr>
          <w:p w14:paraId="5A9CBF64" w14:textId="77777777"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1.3.2.1.</w:t>
            </w:r>
            <w:r w:rsidRPr="006A4431">
              <w:rPr>
                <w:rStyle w:val="InstructionsTabelleberschrift"/>
                <w:rFonts w:ascii="Times New Roman" w:hAnsi="Times New Roman"/>
                <w:spacing w:val="-2"/>
                <w:sz w:val="24"/>
              </w:rPr>
              <w:tab/>
              <w:t>Straty za bežný finančný rok</w:t>
            </w:r>
          </w:p>
          <w:p w14:paraId="4A674ADA" w14:textId="43E87003" w:rsidR="00235D9D" w:rsidRPr="006A4431" w:rsidRDefault="00BB22D4">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Článok 36 ods. 1 písm. a), článok 469 ods. 1, článok 472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77AF59C5" w14:textId="4BEEE806"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pôvodný odpočet podľa článku 36 ods. 1 písm. a) CRR.</w:t>
            </w:r>
          </w:p>
          <w:p w14:paraId="1D13CCD6" w14:textId="77777777"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Spoločnosti musia odpočítať len významné straty:</w:t>
            </w:r>
          </w:p>
          <w:p w14:paraId="1BA5E15F" w14:textId="77777777"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 keď súhrnná predbežná čistá strata bola „významná“, od kapitálu Tier 1 sa odpočíta plná zostatková hodnota, alebo</w:t>
            </w:r>
          </w:p>
          <w:p w14:paraId="45C3B2C2" w14:textId="77777777"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 keď celá súhrnná predbežná čistá strata nebola „významná“, zostatková hodnota sa neodpočíta.</w:t>
            </w:r>
          </w:p>
        </w:tc>
      </w:tr>
      <w:tr w:rsidR="00235D9D" w:rsidRPr="006A4431" w14:paraId="1B915F21" w14:textId="77777777" w:rsidTr="00672D2A">
        <w:tc>
          <w:tcPr>
            <w:tcW w:w="1012" w:type="dxa"/>
          </w:tcPr>
          <w:p w14:paraId="401F021A" w14:textId="77777777" w:rsidR="00235D9D" w:rsidRPr="006A4431" w:rsidDel="00E41E4F"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160</w:t>
            </w:r>
          </w:p>
        </w:tc>
        <w:tc>
          <w:tcPr>
            <w:tcW w:w="7478" w:type="dxa"/>
          </w:tcPr>
          <w:p w14:paraId="00A0644F"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1.3.2.2.</w:t>
            </w:r>
            <w:r w:rsidRPr="006A4431">
              <w:rPr>
                <w:rStyle w:val="InstructionsTabelleberschrift"/>
                <w:rFonts w:ascii="Times New Roman" w:hAnsi="Times New Roman"/>
                <w:spacing w:val="-2"/>
                <w:sz w:val="24"/>
              </w:rPr>
              <w:tab/>
              <w:t>Nehmotné aktíva</w:t>
            </w:r>
          </w:p>
          <w:p w14:paraId="2434DB68" w14:textId="61A0091C"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b), článok 469 ods. 1, článok 472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1AD1DACF" w14:textId="37CF2501"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nehmotných aktív, ktorá sa má odpočítať, zohľadnia ustanovenia článku 37 CRR.</w:t>
            </w:r>
          </w:p>
          <w:p w14:paraId="7FC3F4C0" w14:textId="1484B5AB"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je pôvodný odpočet podľa článku 36 ods. 1 písm. b) CRR.</w:t>
            </w:r>
          </w:p>
        </w:tc>
      </w:tr>
      <w:tr w:rsidR="00235D9D" w:rsidRPr="006A4431" w14:paraId="24D62F44" w14:textId="77777777" w:rsidTr="00672D2A">
        <w:tc>
          <w:tcPr>
            <w:tcW w:w="1012" w:type="dxa"/>
          </w:tcPr>
          <w:p w14:paraId="32FB2A1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170</w:t>
            </w:r>
          </w:p>
          <w:p w14:paraId="688B6C0E" w14:textId="77777777" w:rsidR="00235D9D" w:rsidRPr="006A4431" w:rsidRDefault="00235D9D">
            <w:pPr>
              <w:pStyle w:val="InstructionsText"/>
              <w:rPr>
                <w:rStyle w:val="InstructionsTabelleText"/>
                <w:rFonts w:ascii="Times New Roman" w:hAnsi="Times New Roman"/>
                <w:spacing w:val="-2"/>
                <w:sz w:val="24"/>
              </w:rPr>
            </w:pPr>
          </w:p>
        </w:tc>
        <w:tc>
          <w:tcPr>
            <w:tcW w:w="7478" w:type="dxa"/>
          </w:tcPr>
          <w:p w14:paraId="47BD46E7" w14:textId="7E83388A"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1.3.2.3.</w:t>
            </w:r>
            <w:r w:rsidRPr="006A4431">
              <w:rPr>
                <w:rStyle w:val="InstructionsTabelleberschrift"/>
                <w:rFonts w:ascii="Times New Roman" w:hAnsi="Times New Roman"/>
                <w:spacing w:val="-2"/>
                <w:sz w:val="24"/>
              </w:rPr>
              <w:tab/>
              <w:t>Odložené daňové pohľadávky,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nevyplývajú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4355E263" w14:textId="73C54032"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c), článok 469 ods. 1, článok 472 ods. 5</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0DABAF8" w14:textId="5BBF69B1"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vyššie uvedených daňových pohľadávok, ktoré sa majú odpočítať, zohľadnia ustanovenia článku 38 CRR týkajúce sa zníženia odložených daňových pohľadávok</w:t>
            </w:r>
            <w:r w:rsidR="00D85C65" w:rsidRPr="006A4431">
              <w:rPr>
                <w:rStyle w:val="InstructionsTabelleText"/>
                <w:rFonts w:ascii="Times New Roman" w:hAnsi="Times New Roman"/>
                <w:spacing w:val="-2"/>
                <w:sz w:val="24"/>
              </w:rPr>
              <w:t xml:space="preserve"> o </w:t>
            </w:r>
            <w:r w:rsidRPr="006A4431">
              <w:rPr>
                <w:rStyle w:val="InstructionsTabelleText"/>
                <w:rFonts w:ascii="Times New Roman" w:hAnsi="Times New Roman"/>
                <w:spacing w:val="-2"/>
                <w:sz w:val="24"/>
              </w:rPr>
              <w:t>odložené daňové záväzky.</w:t>
            </w:r>
          </w:p>
          <w:p w14:paraId="72438F1D" w14:textId="2FFB72B8"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469 ods. 1 CRR.</w:t>
            </w:r>
          </w:p>
        </w:tc>
      </w:tr>
      <w:tr w:rsidR="00235D9D" w:rsidRPr="006A4431" w14:paraId="3780187D" w14:textId="77777777" w:rsidTr="00672D2A">
        <w:tc>
          <w:tcPr>
            <w:tcW w:w="1012" w:type="dxa"/>
          </w:tcPr>
          <w:p w14:paraId="47E0148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180</w:t>
            </w:r>
          </w:p>
          <w:p w14:paraId="7A813EAF" w14:textId="77777777" w:rsidR="00235D9D" w:rsidRPr="006A4431" w:rsidRDefault="00235D9D">
            <w:pPr>
              <w:pStyle w:val="InstructionsText"/>
              <w:rPr>
                <w:rStyle w:val="InstructionsTabelleText"/>
                <w:rFonts w:ascii="Times New Roman" w:hAnsi="Times New Roman"/>
                <w:spacing w:val="-2"/>
                <w:sz w:val="24"/>
              </w:rPr>
            </w:pPr>
          </w:p>
        </w:tc>
        <w:tc>
          <w:tcPr>
            <w:tcW w:w="7478" w:type="dxa"/>
          </w:tcPr>
          <w:p w14:paraId="4B4EBB21"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1.3.2.4.</w:t>
            </w:r>
            <w:r w:rsidRPr="006A4431">
              <w:rPr>
                <w:rStyle w:val="InstructionsTabelleberschrift"/>
                <w:rFonts w:ascii="Times New Roman" w:hAnsi="Times New Roman"/>
                <w:spacing w:val="-2"/>
                <w:sz w:val="24"/>
              </w:rPr>
              <w:tab/>
              <w:t>Nedostatok rezerv IRB oproti očakávaným stratám</w:t>
            </w:r>
          </w:p>
          <w:p w14:paraId="266DCF0F" w14:textId="40D61FB0"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d), článok 469 ods. 1, článok 472 ods. 6</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DAD45C5" w14:textId="389DC1B2"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vyššie uvedeného IRB nedostatku rezerv vo vzťahu</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očakávaným stratám, ktoré sa majú odpočítať, zohľadnia ustanovenia článku 40 CRR.</w:t>
            </w:r>
          </w:p>
          <w:p w14:paraId="5B5A6FCE" w14:textId="66D876CE"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d) CRR.</w:t>
            </w:r>
          </w:p>
        </w:tc>
      </w:tr>
      <w:tr w:rsidR="00235D9D" w:rsidRPr="006A4431" w14:paraId="448E168D" w14:textId="77777777" w:rsidTr="00672D2A">
        <w:tc>
          <w:tcPr>
            <w:tcW w:w="1012" w:type="dxa"/>
          </w:tcPr>
          <w:p w14:paraId="48384768" w14:textId="77777777" w:rsidR="00235D9D" w:rsidRPr="006A4431" w:rsidDel="00E41E4F"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190</w:t>
            </w:r>
          </w:p>
        </w:tc>
        <w:tc>
          <w:tcPr>
            <w:tcW w:w="7478" w:type="dxa"/>
          </w:tcPr>
          <w:p w14:paraId="32182C03" w14:textId="77777777"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1.3.2.5.</w:t>
            </w:r>
            <w:r w:rsidRPr="006A4431">
              <w:rPr>
                <w:rStyle w:val="InstructionsTabelleberschrift"/>
                <w:rFonts w:ascii="Times New Roman" w:hAnsi="Times New Roman"/>
                <w:spacing w:val="-2"/>
                <w:sz w:val="24"/>
              </w:rPr>
              <w:tab/>
              <w:t>Majetok dôchodkového fondu so stanovenými požitkami</w:t>
            </w:r>
          </w:p>
          <w:p w14:paraId="645D30A6" w14:textId="62232A87"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33 ods. 1 písm. e), článok 469 ods. 1, článok 472 ods. 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články 473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478 CRR.</w:t>
            </w:r>
          </w:p>
          <w:p w14:paraId="66204E08" w14:textId="1ECA5851"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vyššie uvedeného majetku dôchodkového fondu so stanovenými požitkami, ktorý sa má odpočítať, zohľadnia ustanovenia článku 41 CRR.</w:t>
            </w:r>
          </w:p>
          <w:p w14:paraId="005E812C" w14:textId="337E2538"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e) CRR.</w:t>
            </w:r>
          </w:p>
        </w:tc>
      </w:tr>
      <w:tr w:rsidR="00235D9D" w:rsidRPr="006A4431" w14:paraId="29112ADA" w14:textId="77777777" w:rsidTr="00672D2A">
        <w:tc>
          <w:tcPr>
            <w:tcW w:w="1012" w:type="dxa"/>
          </w:tcPr>
          <w:p w14:paraId="1A040774" w14:textId="77777777" w:rsidR="00235D9D" w:rsidRPr="006A4431" w:rsidRDefault="00B11D0D">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194</w:t>
            </w:r>
          </w:p>
        </w:tc>
        <w:tc>
          <w:tcPr>
            <w:tcW w:w="7478" w:type="dxa"/>
          </w:tcPr>
          <w:p w14:paraId="279EA20B" w14:textId="77777777" w:rsidR="00235D9D" w:rsidRPr="006A4431" w:rsidRDefault="00B11D0D">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1.3.2.5.*</w:t>
            </w:r>
            <w:r w:rsidRPr="006A4431">
              <w:rPr>
                <w:rStyle w:val="InstructionsTabelleberschrift"/>
                <w:rFonts w:ascii="Times New Roman" w:hAnsi="Times New Roman"/>
                <w:spacing w:val="-2"/>
                <w:sz w:val="24"/>
              </w:rPr>
              <w:tab/>
              <w:t>z čoho: zavedenie zmien IAS 19 – kladná položka</w:t>
            </w:r>
          </w:p>
          <w:p w14:paraId="0BBB3C9E" w14:textId="4C59EDF2" w:rsidR="00235D9D" w:rsidRPr="006A4431" w:rsidRDefault="00201704">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Článok 473 CRR.</w:t>
            </w:r>
          </w:p>
        </w:tc>
      </w:tr>
      <w:tr w:rsidR="00235D9D" w:rsidRPr="006A4431" w14:paraId="69715AAF" w14:textId="77777777" w:rsidTr="00672D2A">
        <w:tc>
          <w:tcPr>
            <w:tcW w:w="1012" w:type="dxa"/>
          </w:tcPr>
          <w:p w14:paraId="12A5C28B" w14:textId="7777777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198</w:t>
            </w:r>
          </w:p>
        </w:tc>
        <w:tc>
          <w:tcPr>
            <w:tcW w:w="7478" w:type="dxa"/>
          </w:tcPr>
          <w:p w14:paraId="7C24FDB3" w14:textId="77777777"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1.3.2.5.**</w:t>
            </w:r>
            <w:r w:rsidRPr="006A4431">
              <w:rPr>
                <w:rStyle w:val="InstructionsTabelleberschrift"/>
                <w:rFonts w:ascii="Times New Roman" w:hAnsi="Times New Roman"/>
                <w:spacing w:val="-2"/>
                <w:sz w:val="24"/>
              </w:rPr>
              <w:tab/>
              <w:t>z čoho: zavedenie zmien IAS 19 – záporná položka</w:t>
            </w:r>
          </w:p>
          <w:p w14:paraId="3225A680" w14:textId="310A3F39" w:rsidR="00235D9D" w:rsidRPr="006A4431" w:rsidRDefault="00201704">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Článok 473 CRR.</w:t>
            </w:r>
          </w:p>
        </w:tc>
      </w:tr>
      <w:tr w:rsidR="00235D9D" w:rsidRPr="006A4431" w14:paraId="63FDF032" w14:textId="77777777" w:rsidTr="00672D2A">
        <w:tc>
          <w:tcPr>
            <w:tcW w:w="1012" w:type="dxa"/>
          </w:tcPr>
          <w:p w14:paraId="3CB0D1C7"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200</w:t>
            </w:r>
          </w:p>
        </w:tc>
        <w:tc>
          <w:tcPr>
            <w:tcW w:w="7478" w:type="dxa"/>
          </w:tcPr>
          <w:p w14:paraId="666C8FD7" w14:textId="77777777"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w:t>
            </w:r>
            <w:r w:rsidRPr="006A4431">
              <w:rPr>
                <w:rStyle w:val="InstructionsTabelleberschrift"/>
                <w:rFonts w:ascii="Times New Roman" w:hAnsi="Times New Roman"/>
                <w:spacing w:val="-2"/>
                <w:sz w:val="24"/>
              </w:rPr>
              <w:tab/>
              <w:t>Vlastné nástroje</w:t>
            </w:r>
          </w:p>
          <w:p w14:paraId="6DD70F0F" w14:textId="396FA646"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f), článok 469 ods. 1, článok 472 ods. 8</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6E699820" w14:textId="17BEA394"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f) CRR.</w:t>
            </w:r>
          </w:p>
        </w:tc>
      </w:tr>
      <w:tr w:rsidR="00235D9D" w:rsidRPr="006A4431" w14:paraId="793E04B5" w14:textId="77777777" w:rsidTr="00672D2A">
        <w:tc>
          <w:tcPr>
            <w:tcW w:w="1012" w:type="dxa"/>
          </w:tcPr>
          <w:p w14:paraId="1FF48FA6" w14:textId="7777777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210</w:t>
            </w:r>
          </w:p>
          <w:p w14:paraId="043792D9" w14:textId="77777777" w:rsidR="00235D9D" w:rsidRPr="006A4431" w:rsidRDefault="00235D9D">
            <w:pPr>
              <w:pStyle w:val="InstructionsText"/>
              <w:rPr>
                <w:rStyle w:val="InstructionsTabelleText"/>
                <w:rFonts w:ascii="Times New Roman" w:hAnsi="Times New Roman"/>
                <w:spacing w:val="-2"/>
                <w:sz w:val="24"/>
              </w:rPr>
            </w:pPr>
          </w:p>
        </w:tc>
        <w:tc>
          <w:tcPr>
            <w:tcW w:w="7478" w:type="dxa"/>
          </w:tcPr>
          <w:p w14:paraId="63094381"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1.3.2.6.1.</w:t>
            </w:r>
            <w:r w:rsidRPr="006A4431">
              <w:rPr>
                <w:rStyle w:val="InstructionsTabelleberschrift"/>
                <w:rFonts w:ascii="Times New Roman" w:hAnsi="Times New Roman"/>
                <w:spacing w:val="-2"/>
                <w:sz w:val="24"/>
              </w:rPr>
              <w:tab/>
              <w:t>(-) Vlastné nástroje CET1</w:t>
            </w:r>
          </w:p>
          <w:p w14:paraId="756FA04D" w14:textId="484EA9C6"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f), článok 469 ods. 1, článok 472 ods. 8</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110B4277" w14:textId="6B0DDD7E"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vyššie uvedených vlastných nástrojov CET1, ktoré sa majú odpočítať, zohľadňujú článok 42 CRR.</w:t>
            </w:r>
          </w:p>
          <w:p w14:paraId="78018FF7" w14:textId="3AA884CE"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Keďže zaobchádzanie so „zostatkovou hodnotou“ sa líši</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závislosti od povahy nástroja, inštitúcie rozčlenia podiely na nástrojoch vlastného kapitálu na „priame“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„nepriame“ podiely.</w:t>
            </w:r>
          </w:p>
          <w:p w14:paraId="6EFCF488" w14:textId="6BB6C022"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f) CRR.</w:t>
            </w:r>
          </w:p>
        </w:tc>
      </w:tr>
      <w:tr w:rsidR="00235D9D" w:rsidRPr="006A4431" w14:paraId="390FBB1F" w14:textId="77777777" w:rsidTr="00672D2A">
        <w:tc>
          <w:tcPr>
            <w:tcW w:w="1012" w:type="dxa"/>
          </w:tcPr>
          <w:p w14:paraId="5B4784F8"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211</w:t>
            </w:r>
          </w:p>
        </w:tc>
        <w:tc>
          <w:tcPr>
            <w:tcW w:w="7478" w:type="dxa"/>
          </w:tcPr>
          <w:p w14:paraId="61C5099D" w14:textId="77777777" w:rsidR="00235D9D" w:rsidRPr="006A4431" w:rsidRDefault="008A1A1E">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1.3.2.6.1.**</w:t>
            </w:r>
            <w:r w:rsidRPr="006A4431">
              <w:rPr>
                <w:rStyle w:val="InstructionsTabelleberschrift"/>
                <w:rFonts w:ascii="Times New Roman" w:hAnsi="Times New Roman"/>
                <w:spacing w:val="-2"/>
                <w:sz w:val="24"/>
              </w:rPr>
              <w:tab/>
              <w:t>z čoho: priame podiely</w:t>
            </w:r>
          </w:p>
          <w:p w14:paraId="5F0EBEF9" w14:textId="6B33397C"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469 ods. 1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472 ods. 8 písm. a) CRR.</w:t>
            </w:r>
          </w:p>
          <w:p w14:paraId="53C148B9" w14:textId="5962CC4E"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 xml:space="preserve">stĺpci 060 tohto riadku: celková hodnota priamych podielov vrátane nástrojov, ktoré by inštitúcia mohla byť povinná kúpiť na základe existujúceho alebo podmieneného zmluvného záväzku. </w:t>
            </w:r>
          </w:p>
        </w:tc>
      </w:tr>
      <w:tr w:rsidR="00235D9D" w:rsidRPr="006A4431" w14:paraId="2CF01656" w14:textId="77777777" w:rsidTr="00672D2A">
        <w:tc>
          <w:tcPr>
            <w:tcW w:w="1012" w:type="dxa"/>
          </w:tcPr>
          <w:p w14:paraId="2B8A6CE7"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212</w:t>
            </w:r>
          </w:p>
        </w:tc>
        <w:tc>
          <w:tcPr>
            <w:tcW w:w="7478" w:type="dxa"/>
          </w:tcPr>
          <w:p w14:paraId="7880AF2F" w14:textId="77777777" w:rsidR="00235D9D" w:rsidRPr="006A4431" w:rsidRDefault="008A1A1E">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1.3.2.6.1.*</w:t>
            </w:r>
            <w:r w:rsidRPr="006A4431">
              <w:rPr>
                <w:rStyle w:val="InstructionsTabelleberschrift"/>
                <w:rFonts w:ascii="Times New Roman" w:hAnsi="Times New Roman"/>
                <w:spacing w:val="-2"/>
                <w:sz w:val="24"/>
              </w:rPr>
              <w:tab/>
              <w:t>z čoho: nepriame podiely</w:t>
            </w:r>
          </w:p>
          <w:p w14:paraId="7BCD9309" w14:textId="23FE046B"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469 ods. 1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472 ods. 8 písm. b) CRR.</w:t>
            </w:r>
          </w:p>
          <w:p w14:paraId="34DA11F8" w14:textId="6B8AF3CD" w:rsidR="00235D9D" w:rsidRPr="006A4431" w:rsidRDefault="00A60195">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hodnota nepriamych podielov vrátane nástrojov, ktoré by inštitúcia mohla byť povinná kúpiť na základe existujúceho alebo podmieneného zmluvného záväzku.</w:t>
            </w:r>
          </w:p>
        </w:tc>
      </w:tr>
      <w:tr w:rsidR="00235D9D" w:rsidRPr="006A4431" w14:paraId="5081264F" w14:textId="77777777" w:rsidTr="00672D2A">
        <w:tc>
          <w:tcPr>
            <w:tcW w:w="1012" w:type="dxa"/>
          </w:tcPr>
          <w:p w14:paraId="1195A069"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220</w:t>
            </w:r>
          </w:p>
        </w:tc>
        <w:tc>
          <w:tcPr>
            <w:tcW w:w="7478" w:type="dxa"/>
          </w:tcPr>
          <w:p w14:paraId="34379458"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1.3.2.6.2.</w:t>
            </w:r>
            <w:r w:rsidRPr="006A4431">
              <w:rPr>
                <w:rStyle w:val="InstructionsTabelleberschrift"/>
                <w:rFonts w:ascii="Times New Roman" w:hAnsi="Times New Roman"/>
                <w:spacing w:val="-2"/>
                <w:sz w:val="24"/>
              </w:rPr>
              <w:tab/>
              <w:t>(-) Vlastné nástroje AT1</w:t>
            </w:r>
          </w:p>
          <w:p w14:paraId="5342B049" w14:textId="04D0FEB7"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a), článok 474, článok 475 ods. 2</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4071C2D3" w14:textId="59C5D732"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vyššie uvedených podielov, ktoré sa majú odpočítať, zohľadnia ustanovenia článku 57 CRR.</w:t>
            </w:r>
          </w:p>
          <w:p w14:paraId="674BFE7A" w14:textId="05497F2B"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Keďže zaobchádzanie so „zostatkovou hodnotou“ sa líši</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závislosti od povahy nástroja (článok 475 ods. 2 CRR), inštitúcie rozčlenia vyššie uvedené podiely na „priame“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„nepriame“ podiely na dodatočnom vlastnom kapitáli AT1.</w:t>
            </w:r>
          </w:p>
          <w:p w14:paraId="696E88C0" w14:textId="1A300F06"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56 písm. a) CRR.</w:t>
            </w:r>
          </w:p>
        </w:tc>
      </w:tr>
      <w:tr w:rsidR="00235D9D" w:rsidRPr="006A4431" w14:paraId="47B22F43" w14:textId="77777777" w:rsidTr="00672D2A">
        <w:tc>
          <w:tcPr>
            <w:tcW w:w="1012" w:type="dxa"/>
          </w:tcPr>
          <w:p w14:paraId="05A78882"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221</w:t>
            </w:r>
          </w:p>
        </w:tc>
        <w:tc>
          <w:tcPr>
            <w:tcW w:w="7478" w:type="dxa"/>
          </w:tcPr>
          <w:p w14:paraId="072C949C" w14:textId="77777777" w:rsidR="00235D9D" w:rsidRPr="006A4431" w:rsidRDefault="008A1A1E">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1.3.2.6.2.**</w:t>
            </w:r>
            <w:r w:rsidRPr="006A4431">
              <w:rPr>
                <w:rStyle w:val="InstructionsTabelleberschrift"/>
                <w:rFonts w:ascii="Times New Roman" w:hAnsi="Times New Roman"/>
                <w:spacing w:val="-2"/>
                <w:sz w:val="24"/>
              </w:rPr>
              <w:tab/>
              <w:t>z čoho: priame podiely</w:t>
            </w:r>
          </w:p>
          <w:p w14:paraId="544DCCAF" w14:textId="72C9DAF3" w:rsidR="00235D9D" w:rsidRPr="006A4431" w:rsidRDefault="00A60195">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hodnota priamych podielov vrátane nástrojov, ktoré by inštitúcia mohla byť povinná kúpiť na základe existujúceho alebo podmieneného zmluvného záväzku, článok 474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475 ods. 2 písm. a) CRR.</w:t>
            </w:r>
          </w:p>
        </w:tc>
      </w:tr>
      <w:tr w:rsidR="00235D9D" w:rsidRPr="006A4431" w14:paraId="5EDEFB7F" w14:textId="77777777" w:rsidTr="00672D2A">
        <w:tc>
          <w:tcPr>
            <w:tcW w:w="1012" w:type="dxa"/>
          </w:tcPr>
          <w:p w14:paraId="19CC0771"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222</w:t>
            </w:r>
          </w:p>
        </w:tc>
        <w:tc>
          <w:tcPr>
            <w:tcW w:w="7478" w:type="dxa"/>
          </w:tcPr>
          <w:p w14:paraId="43463552" w14:textId="77777777" w:rsidR="00235D9D" w:rsidRPr="006A4431" w:rsidRDefault="008A1A1E">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1.3.2.6.2.*</w:t>
            </w:r>
            <w:r w:rsidRPr="006A4431">
              <w:rPr>
                <w:rStyle w:val="InstructionsTabelleberschrift"/>
                <w:rFonts w:ascii="Times New Roman" w:hAnsi="Times New Roman"/>
                <w:spacing w:val="-2"/>
                <w:sz w:val="24"/>
              </w:rPr>
              <w:tab/>
              <w:t>z čoho: nepriame podiely</w:t>
            </w:r>
          </w:p>
          <w:p w14:paraId="77785843" w14:textId="1D2EB897" w:rsidR="00235D9D" w:rsidRPr="006A4431" w:rsidRDefault="00A60195">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hodnota nepriamych podielov vrátane nástrojov, ktoré by inštitúcia mohla byť povinná kúpiť na základe existujúceho alebo podmieneného zmluvného záväzku, článok 474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475 ods. 2 písm. b) CRR.</w:t>
            </w:r>
          </w:p>
        </w:tc>
      </w:tr>
      <w:tr w:rsidR="00235D9D" w:rsidRPr="006A4431" w14:paraId="67D794BA" w14:textId="77777777" w:rsidTr="00672D2A">
        <w:tc>
          <w:tcPr>
            <w:tcW w:w="1012" w:type="dxa"/>
          </w:tcPr>
          <w:p w14:paraId="2B632C67"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230</w:t>
            </w:r>
          </w:p>
        </w:tc>
        <w:tc>
          <w:tcPr>
            <w:tcW w:w="7478" w:type="dxa"/>
          </w:tcPr>
          <w:p w14:paraId="16AB2929"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1.3.2.6.3.</w:t>
            </w:r>
            <w:r w:rsidRPr="006A4431">
              <w:rPr>
                <w:rStyle w:val="InstructionsTabelleberschrift"/>
                <w:rFonts w:ascii="Times New Roman" w:hAnsi="Times New Roman"/>
                <w:spacing w:val="-2"/>
                <w:sz w:val="24"/>
              </w:rPr>
              <w:tab/>
              <w:t>Vlastné nástroje T2</w:t>
            </w:r>
          </w:p>
          <w:p w14:paraId="3F56D725" w14:textId="667758D5"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66 písm. a), článok 476, článok 477 ods. 2</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01888AB3" w14:textId="1A67293D"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 pri určovaní hodnoty podielov, ktoré sa majú odpočítať, zohľadnia ustanovenia článku 67 CRR.</w:t>
            </w:r>
          </w:p>
          <w:p w14:paraId="6E3DA9D9" w14:textId="58D26D0A"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Keďže zaobchádzanie so „zostatkovou hodnotou“ sa líši</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závislosti od povahy nástroja (článok 477 ods. 2 CRR), inštitúcie rozčlenia vyššie uvedené podiely na „priame“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„nepriame“ podiely na vlastnom kapitáli Tier 2.</w:t>
            </w:r>
          </w:p>
          <w:p w14:paraId="4EA9EC35" w14:textId="2DB5B70B"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66 písm. a) CRR.</w:t>
            </w:r>
          </w:p>
        </w:tc>
      </w:tr>
      <w:tr w:rsidR="00235D9D" w:rsidRPr="006A4431" w14:paraId="03FD5E74" w14:textId="77777777" w:rsidTr="00672D2A">
        <w:tc>
          <w:tcPr>
            <w:tcW w:w="1012" w:type="dxa"/>
          </w:tcPr>
          <w:p w14:paraId="54719DDA"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231</w:t>
            </w:r>
          </w:p>
        </w:tc>
        <w:tc>
          <w:tcPr>
            <w:tcW w:w="7478" w:type="dxa"/>
          </w:tcPr>
          <w:p w14:paraId="25C19ED2"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priame podiely</w:t>
            </w:r>
          </w:p>
          <w:p w14:paraId="0FF6A3FA" w14:textId="7B8F39E0"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hodnota priamych podielov vrátane nástrojov, ktoré by inštitúcia mohla byť povinná kúpiť na základe existujúceho alebo podmieneného zmluvného záväzku, článok 476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477 ods. 2 písm. a) CRR.</w:t>
            </w:r>
          </w:p>
        </w:tc>
      </w:tr>
      <w:tr w:rsidR="00235D9D" w:rsidRPr="006A4431" w14:paraId="50DCE9EB" w14:textId="77777777" w:rsidTr="00672D2A">
        <w:tc>
          <w:tcPr>
            <w:tcW w:w="1012" w:type="dxa"/>
          </w:tcPr>
          <w:p w14:paraId="2A1D3732" w14:textId="7777777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232</w:t>
            </w:r>
          </w:p>
          <w:p w14:paraId="3DDB55B3" w14:textId="77777777" w:rsidR="00235D9D" w:rsidRPr="006A4431" w:rsidRDefault="00235D9D">
            <w:pPr>
              <w:pStyle w:val="InstructionsText"/>
              <w:rPr>
                <w:rStyle w:val="InstructionsTabelleText"/>
                <w:rFonts w:ascii="Times New Roman" w:hAnsi="Times New Roman"/>
                <w:spacing w:val="-2"/>
                <w:sz w:val="24"/>
              </w:rPr>
            </w:pPr>
          </w:p>
        </w:tc>
        <w:tc>
          <w:tcPr>
            <w:tcW w:w="7478" w:type="dxa"/>
          </w:tcPr>
          <w:p w14:paraId="22739A62" w14:textId="77777777" w:rsidR="00235D9D" w:rsidRPr="006A4431" w:rsidRDefault="00201704">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nepriame podiely</w:t>
            </w:r>
          </w:p>
          <w:p w14:paraId="47F659B9" w14:textId="2B6195FF" w:rsidR="00235D9D" w:rsidRPr="006A4431" w:rsidRDefault="00A60195">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celková hodnota nepriamych podielov vrátane nástrojov, ktoré by inštitúcia mohla byť povinná kúpiť na základe existujúceho alebo podmieneného zmluvného záväzku, článok 476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477 ods. 2 písm. b) CRR.</w:t>
            </w:r>
          </w:p>
        </w:tc>
      </w:tr>
      <w:tr w:rsidR="00235D9D" w:rsidRPr="006A4431" w14:paraId="533F9CB8" w14:textId="77777777" w:rsidTr="00672D2A">
        <w:tc>
          <w:tcPr>
            <w:tcW w:w="1012" w:type="dxa"/>
          </w:tcPr>
          <w:p w14:paraId="4606C2CC"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240</w:t>
            </w:r>
          </w:p>
        </w:tc>
        <w:tc>
          <w:tcPr>
            <w:tcW w:w="7478" w:type="dxa"/>
          </w:tcPr>
          <w:p w14:paraId="0C6BF191" w14:textId="77777777"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w:t>
            </w:r>
            <w:r w:rsidRPr="006A4431">
              <w:rPr>
                <w:rStyle w:val="InstructionsTabelleberschrift"/>
                <w:rFonts w:ascii="Times New Roman" w:hAnsi="Times New Roman"/>
                <w:spacing w:val="-2"/>
                <w:sz w:val="24"/>
              </w:rPr>
              <w:tab/>
              <w:t>Recipročné krížové podiely</w:t>
            </w:r>
          </w:p>
          <w:p w14:paraId="241EF8E8" w14:textId="7890ADD6" w:rsidR="00235D9D" w:rsidRPr="006A4431" w:rsidRDefault="00A60195">
            <w:pPr>
              <w:spacing w:before="0"/>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Keďže zaobchádzanie so „zostatkovou hodnotou“ sa líši</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 xml:space="preserve">závislosti od toho, či sa podiel na kapitáli CET1, AT1 alebo T2 subjektu finančného sektora </w:t>
            </w:r>
            <w:r w:rsidRPr="006A4431">
              <w:rPr>
                <w:rStyle w:val="InstructionsTabelleText"/>
                <w:rFonts w:ascii="Times New Roman" w:hAnsi="Times New Roman"/>
                <w:spacing w:val="-2"/>
                <w:sz w:val="24"/>
              </w:rPr>
              <w:lastRenderedPageBreak/>
              <w:t>považuje za významný alebo nie (článok 472 ods. 9, článok 475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477 ods. 3 CRR), inštitúcie rozčlenia recipročné krížové podiely na významné investície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nevýznamné investície.</w:t>
            </w:r>
          </w:p>
        </w:tc>
      </w:tr>
      <w:tr w:rsidR="00235D9D" w:rsidRPr="006A4431" w14:paraId="01BDBA6D" w14:textId="77777777" w:rsidTr="00672D2A">
        <w:tc>
          <w:tcPr>
            <w:tcW w:w="1012" w:type="dxa"/>
          </w:tcPr>
          <w:p w14:paraId="4A6C20C6"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250</w:t>
            </w:r>
          </w:p>
        </w:tc>
        <w:tc>
          <w:tcPr>
            <w:tcW w:w="7478" w:type="dxa"/>
          </w:tcPr>
          <w:p w14:paraId="31323548" w14:textId="77777777"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1.3.2.7.1.</w:t>
            </w:r>
            <w:r w:rsidRPr="006A4431">
              <w:rPr>
                <w:rStyle w:val="InstructionsTabelleberschrift"/>
                <w:rFonts w:ascii="Times New Roman" w:hAnsi="Times New Roman"/>
                <w:spacing w:val="-2"/>
                <w:sz w:val="24"/>
              </w:rPr>
              <w:tab/>
              <w:t>Recipročné krížové podiely na kapitáli CET1</w:t>
            </w:r>
          </w:p>
          <w:p w14:paraId="6E32CD77" w14:textId="37083C01"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g), článok 469 ods. 1, článok 472 ods. 9</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2E0144EB" w14:textId="116DFC4E" w:rsidR="00235D9D" w:rsidRPr="006A4431" w:rsidRDefault="00A60195">
            <w:pPr>
              <w:pStyle w:val="InstructionsText"/>
              <w:rPr>
                <w:rStyle w:val="InstructionsTabelleberschrift"/>
                <w:rFonts w:ascii="Times New Roman" w:hAnsi="Times New Roman"/>
                <w:b w:val="0"/>
                <w:bCs w:val="0"/>
                <w:spacing w:val="-2"/>
                <w:sz w:val="24"/>
                <w:u w:val="none"/>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g) CRR.</w:t>
            </w:r>
          </w:p>
        </w:tc>
      </w:tr>
      <w:tr w:rsidR="00235D9D" w:rsidRPr="006A4431" w14:paraId="1C8169C7" w14:textId="77777777" w:rsidTr="00672D2A">
        <w:tc>
          <w:tcPr>
            <w:tcW w:w="1012" w:type="dxa"/>
          </w:tcPr>
          <w:p w14:paraId="66A58CE9"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260</w:t>
            </w:r>
          </w:p>
        </w:tc>
        <w:tc>
          <w:tcPr>
            <w:tcW w:w="7478" w:type="dxa"/>
          </w:tcPr>
          <w:p w14:paraId="781BB204" w14:textId="785A4DA5"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1.3.2.7.1.1.</w:t>
            </w:r>
            <w:r w:rsidRPr="006A4431">
              <w:rPr>
                <w:rStyle w:val="InstructionsTabelleberschrift"/>
                <w:rFonts w:ascii="Times New Roman" w:hAnsi="Times New Roman"/>
                <w:spacing w:val="-2"/>
                <w:sz w:val="24"/>
              </w:rPr>
              <w:tab/>
              <w:t>Recipročné krížové podiely na kapitáli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59893F75" w14:textId="69F85F6A"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g), článok 469 ods. 1, článok 472 ods. 9 písm. a)</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01545D06" w14:textId="165E5C9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469 ods. 1 písm. b) CRR.</w:t>
            </w:r>
          </w:p>
        </w:tc>
      </w:tr>
      <w:tr w:rsidR="00235D9D" w:rsidRPr="006A4431" w14:paraId="5C092C88" w14:textId="77777777" w:rsidTr="00672D2A">
        <w:tc>
          <w:tcPr>
            <w:tcW w:w="1012" w:type="dxa"/>
          </w:tcPr>
          <w:p w14:paraId="2BC3AC6B"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270</w:t>
            </w:r>
          </w:p>
        </w:tc>
        <w:tc>
          <w:tcPr>
            <w:tcW w:w="7478" w:type="dxa"/>
          </w:tcPr>
          <w:p w14:paraId="0CBA61E6" w14:textId="1463634D"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1.3.2.7.1.2.</w:t>
            </w:r>
            <w:r w:rsidRPr="006A4431">
              <w:rPr>
                <w:rStyle w:val="InstructionsTabelleberschrift"/>
                <w:rFonts w:ascii="Times New Roman" w:hAnsi="Times New Roman"/>
                <w:spacing w:val="-2"/>
                <w:sz w:val="24"/>
              </w:rPr>
              <w:tab/>
              <w:t>Recipročné krížové podiely na kapitáli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654A684A" w14:textId="2F833DDF"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g), článok 469 ods. 1, článok 472 ods. 9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13FC95BD" w14:textId="167D2C8F"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469 ods. 1 písm. b) CRR.</w:t>
            </w:r>
          </w:p>
        </w:tc>
      </w:tr>
      <w:tr w:rsidR="00235D9D" w:rsidRPr="006A4431" w14:paraId="241FB5AC" w14:textId="77777777" w:rsidTr="00672D2A">
        <w:tc>
          <w:tcPr>
            <w:tcW w:w="1012" w:type="dxa"/>
          </w:tcPr>
          <w:p w14:paraId="66FE3213"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280</w:t>
            </w:r>
          </w:p>
        </w:tc>
        <w:tc>
          <w:tcPr>
            <w:tcW w:w="7478" w:type="dxa"/>
          </w:tcPr>
          <w:p w14:paraId="40D3E67B" w14:textId="77777777"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1.3.2.7.2.</w:t>
            </w:r>
            <w:r w:rsidRPr="006A4431">
              <w:rPr>
                <w:rStyle w:val="InstructionsTabelleberschrift"/>
                <w:rFonts w:ascii="Times New Roman" w:hAnsi="Times New Roman"/>
                <w:spacing w:val="-2"/>
                <w:sz w:val="24"/>
              </w:rPr>
              <w:tab/>
              <w:t>Recipročné krížové podiely na kapitáli AT1</w:t>
            </w:r>
          </w:p>
          <w:p w14:paraId="1C3DE5E3" w14:textId="0B4836FA"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b), článok 474, článok 475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0DA8E9D8" w14:textId="45DE83D1"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56 písm. b) CRR.</w:t>
            </w:r>
          </w:p>
        </w:tc>
      </w:tr>
      <w:tr w:rsidR="00235D9D" w:rsidRPr="006A4431" w14:paraId="325C3B8D" w14:textId="77777777" w:rsidTr="00672D2A">
        <w:tc>
          <w:tcPr>
            <w:tcW w:w="1012" w:type="dxa"/>
          </w:tcPr>
          <w:p w14:paraId="6F8955C8"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290</w:t>
            </w:r>
          </w:p>
        </w:tc>
        <w:tc>
          <w:tcPr>
            <w:tcW w:w="7478" w:type="dxa"/>
          </w:tcPr>
          <w:p w14:paraId="02ACD2BF" w14:textId="6A84AE08"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1.3.2.7.2.1.</w:t>
            </w:r>
            <w:r w:rsidRPr="006A4431">
              <w:rPr>
                <w:rStyle w:val="InstructionsTabelleberschrift"/>
                <w:rFonts w:ascii="Times New Roman" w:hAnsi="Times New Roman"/>
                <w:spacing w:val="-2"/>
                <w:sz w:val="24"/>
              </w:rPr>
              <w:tab/>
              <w:t>Recipročné krížové podiely na kapitáli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3B1D8AE1" w14:textId="66EC7CF3"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b), článok 474, článok 475 ods. 3 písm. a)</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14C3B0A4" w14:textId="35DE5C8A"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475 ods. 3 CRR.</w:t>
            </w:r>
          </w:p>
        </w:tc>
      </w:tr>
      <w:tr w:rsidR="00235D9D" w:rsidRPr="006A4431" w14:paraId="1EB2D1E2" w14:textId="77777777" w:rsidTr="00672D2A">
        <w:tc>
          <w:tcPr>
            <w:tcW w:w="1012" w:type="dxa"/>
          </w:tcPr>
          <w:p w14:paraId="17655E00"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300</w:t>
            </w:r>
          </w:p>
        </w:tc>
        <w:tc>
          <w:tcPr>
            <w:tcW w:w="7478" w:type="dxa"/>
          </w:tcPr>
          <w:p w14:paraId="26D3EE4F" w14:textId="0AC3FF6F"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1.3.2.7.2.2.</w:t>
            </w:r>
            <w:r w:rsidRPr="006A4431">
              <w:rPr>
                <w:rStyle w:val="InstructionsTabelleberschrift"/>
                <w:rFonts w:ascii="Times New Roman" w:hAnsi="Times New Roman"/>
                <w:spacing w:val="-2"/>
                <w:sz w:val="24"/>
              </w:rPr>
              <w:tab/>
              <w:t>Recipročné krížové podiely na kapitáli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2B6A0B0B" w14:textId="380BD7C7"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b), článok 474, článok 475 ods. 3 písm. 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26A4E35B" w14:textId="2EEC4882"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475 ods. 3 CRR.</w:t>
            </w:r>
          </w:p>
        </w:tc>
      </w:tr>
      <w:tr w:rsidR="00235D9D" w:rsidRPr="006A4431" w14:paraId="7B23C126" w14:textId="77777777" w:rsidTr="00672D2A">
        <w:tc>
          <w:tcPr>
            <w:tcW w:w="1012" w:type="dxa"/>
          </w:tcPr>
          <w:p w14:paraId="4D2A8AF1"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310</w:t>
            </w:r>
          </w:p>
        </w:tc>
        <w:tc>
          <w:tcPr>
            <w:tcW w:w="7478" w:type="dxa"/>
          </w:tcPr>
          <w:p w14:paraId="74211019" w14:textId="77777777"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1.3.2.7.3.</w:t>
            </w:r>
            <w:r w:rsidRPr="006A4431">
              <w:rPr>
                <w:rStyle w:val="InstructionsTabelleberschrift"/>
                <w:rFonts w:ascii="Times New Roman" w:hAnsi="Times New Roman"/>
                <w:spacing w:val="-2"/>
                <w:sz w:val="24"/>
              </w:rPr>
              <w:tab/>
              <w:t>Recipročné krížové podiely na kapitáli T2</w:t>
            </w:r>
          </w:p>
          <w:p w14:paraId="3373730A" w14:textId="754F89F9"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66 písm. b), článok 476, článok 477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6F110618" w14:textId="649934E9"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w:t>
            </w:r>
            <w:r w:rsidRPr="006A4431">
              <w:rPr>
                <w:spacing w:val="-2"/>
              </w:rPr>
              <w:t xml:space="preserve"> </w:t>
            </w:r>
            <w:r w:rsidRPr="006A4431">
              <w:rPr>
                <w:rStyle w:val="InstructionsTabelleText"/>
                <w:rFonts w:ascii="Times New Roman" w:hAnsi="Times New Roman"/>
                <w:spacing w:val="-2"/>
                <w:sz w:val="24"/>
              </w:rPr>
              <w:t>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66 písm. b) CRR.</w:t>
            </w:r>
          </w:p>
        </w:tc>
      </w:tr>
      <w:tr w:rsidR="00235D9D" w:rsidRPr="006A4431" w14:paraId="3EBCC695" w14:textId="77777777" w:rsidTr="00672D2A">
        <w:tc>
          <w:tcPr>
            <w:tcW w:w="1012" w:type="dxa"/>
          </w:tcPr>
          <w:p w14:paraId="25B5C784"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320</w:t>
            </w:r>
          </w:p>
        </w:tc>
        <w:tc>
          <w:tcPr>
            <w:tcW w:w="7478" w:type="dxa"/>
          </w:tcPr>
          <w:p w14:paraId="49B3DE68" w14:textId="7B559421"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1.3.2.7.3.1.</w:t>
            </w:r>
            <w:r w:rsidRPr="006A4431">
              <w:rPr>
                <w:rStyle w:val="InstructionsTabelleberschrift"/>
                <w:rFonts w:ascii="Times New Roman" w:hAnsi="Times New Roman"/>
                <w:spacing w:val="-2"/>
                <w:sz w:val="24"/>
              </w:rPr>
              <w:tab/>
              <w:t>Recipročné krížové podiely na kapitáli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14681240" w14:textId="7B63EE7D"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Článok 66 písm. b), článok 476, článok 477 ods. 3 písm. a)</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0DC44CA3" w14:textId="6FDF3833"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477 ods. 3 CRR.</w:t>
            </w:r>
          </w:p>
        </w:tc>
      </w:tr>
      <w:tr w:rsidR="00235D9D" w:rsidRPr="006A4431" w14:paraId="3385AA1F" w14:textId="77777777" w:rsidTr="00672D2A">
        <w:tc>
          <w:tcPr>
            <w:tcW w:w="1012" w:type="dxa"/>
          </w:tcPr>
          <w:p w14:paraId="6B1B12E6"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330</w:t>
            </w:r>
          </w:p>
        </w:tc>
        <w:tc>
          <w:tcPr>
            <w:tcW w:w="7478" w:type="dxa"/>
          </w:tcPr>
          <w:p w14:paraId="08B0FA6B" w14:textId="68B5F07B"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1.3.2.7.3.2.</w:t>
            </w:r>
            <w:r w:rsidRPr="006A4431">
              <w:rPr>
                <w:rStyle w:val="InstructionsTabelleberschrift"/>
                <w:rFonts w:ascii="Times New Roman" w:hAnsi="Times New Roman"/>
                <w:spacing w:val="-2"/>
                <w:sz w:val="24"/>
              </w:rPr>
              <w:tab/>
              <w:t>Recipročné krížové podiely na kapitáli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08838DE7" w14:textId="63CA5AAD"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66 písm. b), článok 476, článok 477 ods. 3 písm. a)</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00F78A6A" w14:textId="4A3B919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zostatková suma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477 ods. 3 CRR.</w:t>
            </w:r>
          </w:p>
        </w:tc>
      </w:tr>
      <w:tr w:rsidR="00235D9D" w:rsidRPr="006A4431" w14:paraId="63CDFA28" w14:textId="77777777" w:rsidTr="00672D2A">
        <w:tc>
          <w:tcPr>
            <w:tcW w:w="1012" w:type="dxa"/>
          </w:tcPr>
          <w:p w14:paraId="29DC4826"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340</w:t>
            </w:r>
          </w:p>
        </w:tc>
        <w:tc>
          <w:tcPr>
            <w:tcW w:w="7478" w:type="dxa"/>
          </w:tcPr>
          <w:p w14:paraId="02C89377" w14:textId="2E5A396E"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1.3.2.8.</w:t>
            </w:r>
            <w:r w:rsidRPr="006A4431">
              <w:rPr>
                <w:rStyle w:val="InstructionsTabelleberschrift"/>
                <w:rFonts w:ascii="Times New Roman" w:hAnsi="Times New Roman"/>
                <w:spacing w:val="-2"/>
                <w:sz w:val="24"/>
              </w:rPr>
              <w:tab/>
              <w:t>Nástroje vlastných zdrojov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tc>
      </w:tr>
      <w:tr w:rsidR="00235D9D" w:rsidRPr="006A4431" w14:paraId="75EFB10E" w14:textId="77777777" w:rsidTr="00672D2A">
        <w:tc>
          <w:tcPr>
            <w:tcW w:w="1012" w:type="dxa"/>
          </w:tcPr>
          <w:p w14:paraId="7002C262"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350</w:t>
            </w:r>
          </w:p>
        </w:tc>
        <w:tc>
          <w:tcPr>
            <w:tcW w:w="7478" w:type="dxa"/>
          </w:tcPr>
          <w:p w14:paraId="34E82DB3" w14:textId="56129B04"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1.3.2.8.1.</w:t>
            </w:r>
            <w:r w:rsidRPr="006A4431">
              <w:rPr>
                <w:rStyle w:val="InstructionsTabelleberschrift"/>
                <w:rFonts w:ascii="Times New Roman" w:hAnsi="Times New Roman"/>
                <w:spacing w:val="-2"/>
                <w:sz w:val="24"/>
              </w:rPr>
              <w:tab/>
              <w:t>(-) Nástroje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4A2E0EDC" w14:textId="21AB3ECE"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h), článok 469 ods. 1, článok 472 ods. 10</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63FCD7CD" w14:textId="4D0C728C"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h) CRR.</w:t>
            </w:r>
          </w:p>
        </w:tc>
      </w:tr>
      <w:tr w:rsidR="00235D9D" w:rsidRPr="006A4431" w14:paraId="4FDF3963" w14:textId="77777777" w:rsidTr="00672D2A">
        <w:tc>
          <w:tcPr>
            <w:tcW w:w="1012" w:type="dxa"/>
          </w:tcPr>
          <w:p w14:paraId="07686146"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360</w:t>
            </w:r>
          </w:p>
        </w:tc>
        <w:tc>
          <w:tcPr>
            <w:tcW w:w="7478" w:type="dxa"/>
          </w:tcPr>
          <w:p w14:paraId="4A685F38" w14:textId="3C1DA511"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1.3.2.8.2.</w:t>
            </w:r>
            <w:r w:rsidRPr="006A4431">
              <w:rPr>
                <w:rStyle w:val="InstructionsTabelleberschrift"/>
                <w:rFonts w:ascii="Times New Roman" w:hAnsi="Times New Roman"/>
                <w:spacing w:val="-2"/>
                <w:sz w:val="24"/>
              </w:rPr>
              <w:tab/>
              <w:t>(-) Nástroje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2119C84E" w14:textId="124DCA28"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c), článok 474, článok 475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75260D75" w14:textId="04ECD2B3"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56 písm. c) CRR.</w:t>
            </w:r>
          </w:p>
        </w:tc>
      </w:tr>
      <w:tr w:rsidR="00235D9D" w:rsidRPr="006A4431" w14:paraId="7CFBB2F4" w14:textId="77777777" w:rsidTr="00672D2A">
        <w:tc>
          <w:tcPr>
            <w:tcW w:w="1012" w:type="dxa"/>
          </w:tcPr>
          <w:p w14:paraId="41A97CC8"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370</w:t>
            </w:r>
          </w:p>
        </w:tc>
        <w:tc>
          <w:tcPr>
            <w:tcW w:w="7478" w:type="dxa"/>
          </w:tcPr>
          <w:p w14:paraId="1E24DB20" w14:textId="3B15629F"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1.3.2.8.3.</w:t>
            </w:r>
            <w:r w:rsidRPr="006A4431">
              <w:rPr>
                <w:rStyle w:val="InstructionsTabelleberschrift"/>
                <w:rFonts w:ascii="Times New Roman" w:hAnsi="Times New Roman"/>
                <w:spacing w:val="-2"/>
                <w:sz w:val="24"/>
              </w:rPr>
              <w:tab/>
              <w:t>(-) Nástroje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nemá významnú investíciu</w:t>
            </w:r>
          </w:p>
          <w:p w14:paraId="06F725A2" w14:textId="3BE671F9"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66 písm. c), článok 476, článok 477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26B6482" w14:textId="41ACF806"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66 písm. c) CRR.</w:t>
            </w:r>
          </w:p>
        </w:tc>
      </w:tr>
      <w:tr w:rsidR="00235D9D" w:rsidRPr="006A4431" w14:paraId="786115CC" w14:textId="77777777" w:rsidTr="00672D2A">
        <w:tc>
          <w:tcPr>
            <w:tcW w:w="1012" w:type="dxa"/>
          </w:tcPr>
          <w:p w14:paraId="5F0D31C6"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380</w:t>
            </w:r>
          </w:p>
        </w:tc>
        <w:tc>
          <w:tcPr>
            <w:tcW w:w="7478" w:type="dxa"/>
          </w:tcPr>
          <w:p w14:paraId="183B71F1" w14:textId="023423FA"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1.3.2.9.</w:t>
            </w:r>
            <w:r w:rsidRPr="006A4431">
              <w:rPr>
                <w:rStyle w:val="InstructionsTabelleberschrift"/>
                <w:rFonts w:ascii="Times New Roman" w:hAnsi="Times New Roman"/>
                <w:spacing w:val="-2"/>
                <w:sz w:val="24"/>
              </w:rPr>
              <w:tab/>
              <w:t>Odložené daňové pohľadávky,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nástroje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3B8EEB70" w14:textId="468A38CE" w:rsidR="00235D9D" w:rsidRPr="006A4431" w:rsidRDefault="00167619">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470 ods. 2</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3 CRR.</w:t>
            </w:r>
          </w:p>
          <w:p w14:paraId="74EB0D10" w14:textId="5C43BCE0"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Článok 470 ods. 1 CRR.</w:t>
            </w:r>
          </w:p>
        </w:tc>
      </w:tr>
      <w:tr w:rsidR="00235D9D" w:rsidRPr="006A4431" w14:paraId="74EEC66A" w14:textId="77777777" w:rsidTr="00672D2A">
        <w:tc>
          <w:tcPr>
            <w:tcW w:w="1012" w:type="dxa"/>
          </w:tcPr>
          <w:p w14:paraId="3F8E1E08" w14:textId="77777777" w:rsidR="00235D9D" w:rsidRPr="006A4431" w:rsidRDefault="004A705D">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385</w:t>
            </w:r>
          </w:p>
        </w:tc>
        <w:tc>
          <w:tcPr>
            <w:tcW w:w="7478" w:type="dxa"/>
          </w:tcPr>
          <w:p w14:paraId="4A22FA8A" w14:textId="2FA93254" w:rsidR="00235D9D" w:rsidRPr="006A4431" w:rsidRDefault="004A705D">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Odložené daňové pohľadávky, ktoré závisia od budúcej ziskovosti</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vyplývajú</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dočasných rozdielov</w:t>
            </w:r>
          </w:p>
          <w:p w14:paraId="3AF24D9C" w14:textId="5B42032E" w:rsidR="00235D9D" w:rsidRPr="006A4431" w:rsidRDefault="00BB22D4">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Článok 469 ods. 1 písm. c), článok 472 ods. 5</w:t>
            </w:r>
            <w:r w:rsidR="00D85C65" w:rsidRPr="006A4431">
              <w:rPr>
                <w:rStyle w:val="InstructionsTabelleText"/>
                <w:rFonts w:ascii="Times New Roman" w:hAnsi="Times New Roman"/>
                <w:bCs/>
                <w:spacing w:val="-2"/>
                <w:sz w:val="24"/>
              </w:rPr>
              <w:t xml:space="preserve"> a </w:t>
            </w:r>
            <w:r w:rsidRPr="006A4431">
              <w:rPr>
                <w:rStyle w:val="InstructionsTabelleText"/>
                <w:rFonts w:ascii="Times New Roman" w:hAnsi="Times New Roman"/>
                <w:bCs/>
                <w:spacing w:val="-2"/>
                <w:sz w:val="24"/>
              </w:rPr>
              <w:t>článok 478 CRR.</w:t>
            </w:r>
          </w:p>
          <w:p w14:paraId="7C982C77" w14:textId="2D02D3C6" w:rsidR="00235D9D" w:rsidRPr="006A4431" w:rsidRDefault="004A705D">
            <w:pPr>
              <w:pStyle w:val="InstructionsText"/>
              <w:rPr>
                <w:rStyle w:val="InstructionsTabelleberschrift"/>
                <w:rFonts w:ascii="Times New Roman" w:hAnsi="Times New Roman"/>
                <w:b w:val="0"/>
                <w:spacing w:val="-2"/>
                <w:sz w:val="24"/>
                <w:u w:val="none"/>
              </w:rPr>
            </w:pPr>
            <w:r w:rsidRPr="006A4431">
              <w:rPr>
                <w:rStyle w:val="InstructionsTabelleText"/>
                <w:rFonts w:ascii="Times New Roman" w:hAnsi="Times New Roman"/>
                <w:bCs/>
                <w:spacing w:val="-2"/>
                <w:sz w:val="24"/>
              </w:rPr>
              <w:t>Časť odložených daňových pohľadávok, ktoré závisia od budúcej ziskovosti</w:t>
            </w:r>
            <w:r w:rsidR="00D85C65" w:rsidRPr="006A4431">
              <w:rPr>
                <w:rStyle w:val="InstructionsTabelleText"/>
                <w:rFonts w:ascii="Times New Roman" w:hAnsi="Times New Roman"/>
                <w:bCs/>
                <w:spacing w:val="-2"/>
                <w:sz w:val="24"/>
              </w:rPr>
              <w:t xml:space="preserve"> a </w:t>
            </w:r>
            <w:r w:rsidRPr="006A4431">
              <w:rPr>
                <w:rStyle w:val="InstructionsTabelleText"/>
                <w:rFonts w:ascii="Times New Roman" w:hAnsi="Times New Roman"/>
                <w:bCs/>
                <w:spacing w:val="-2"/>
                <w:sz w:val="24"/>
              </w:rPr>
              <w:t>vyplývajú</w:t>
            </w:r>
            <w:r w:rsidR="00D85C65" w:rsidRPr="006A4431">
              <w:rPr>
                <w:rStyle w:val="InstructionsTabelleText"/>
                <w:rFonts w:ascii="Times New Roman" w:hAnsi="Times New Roman"/>
                <w:bCs/>
                <w:spacing w:val="-2"/>
                <w:sz w:val="24"/>
              </w:rPr>
              <w:t xml:space="preserve"> z </w:t>
            </w:r>
            <w:r w:rsidRPr="006A4431">
              <w:rPr>
                <w:rStyle w:val="InstructionsTabelleText"/>
                <w:rFonts w:ascii="Times New Roman" w:hAnsi="Times New Roman"/>
                <w:bCs/>
                <w:spacing w:val="-2"/>
                <w:sz w:val="24"/>
              </w:rPr>
              <w:t>dočasných rozdielov, ktorá presahuje prahovú hodnotu 10</w:t>
            </w:r>
            <w:r w:rsidR="00D85C65" w:rsidRPr="006A4431">
              <w:rPr>
                <w:rStyle w:val="InstructionsTabelleText"/>
                <w:rFonts w:ascii="Times New Roman" w:hAnsi="Times New Roman"/>
                <w:bCs/>
                <w:spacing w:val="-2"/>
                <w:sz w:val="24"/>
              </w:rPr>
              <w:t> %</w:t>
            </w:r>
            <w:r w:rsidRPr="006A4431">
              <w:rPr>
                <w:rStyle w:val="InstructionsTabelleText"/>
                <w:rFonts w:ascii="Times New Roman" w:hAnsi="Times New Roman"/>
                <w:bCs/>
                <w:spacing w:val="-2"/>
                <w:sz w:val="24"/>
              </w:rPr>
              <w:t xml:space="preserve"> stanovenú</w:t>
            </w:r>
            <w:r w:rsidR="00D85C65" w:rsidRPr="006A4431">
              <w:rPr>
                <w:rStyle w:val="InstructionsTabelleText"/>
                <w:rFonts w:ascii="Times New Roman" w:hAnsi="Times New Roman"/>
                <w:bCs/>
                <w:spacing w:val="-2"/>
                <w:sz w:val="24"/>
              </w:rPr>
              <w:t xml:space="preserve"> v </w:t>
            </w:r>
            <w:r w:rsidRPr="006A4431">
              <w:rPr>
                <w:rStyle w:val="InstructionsTabelleText"/>
                <w:rFonts w:ascii="Times New Roman" w:hAnsi="Times New Roman"/>
                <w:bCs/>
                <w:spacing w:val="-2"/>
                <w:sz w:val="24"/>
              </w:rPr>
              <w:t>článku 470 ods. 2 písm. a) CRR.</w:t>
            </w:r>
          </w:p>
        </w:tc>
      </w:tr>
      <w:tr w:rsidR="00235D9D" w:rsidRPr="006A4431" w14:paraId="2023DCD6" w14:textId="77777777" w:rsidTr="00672D2A">
        <w:trPr>
          <w:trHeight w:val="60"/>
        </w:trPr>
        <w:tc>
          <w:tcPr>
            <w:tcW w:w="1012" w:type="dxa"/>
          </w:tcPr>
          <w:p w14:paraId="073ED403"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390</w:t>
            </w:r>
          </w:p>
        </w:tc>
        <w:tc>
          <w:tcPr>
            <w:tcW w:w="7478" w:type="dxa"/>
          </w:tcPr>
          <w:p w14:paraId="1058222D" w14:textId="058BC482"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1.3.2.10.</w:t>
            </w:r>
            <w:r w:rsidRPr="006A4431">
              <w:rPr>
                <w:rStyle w:val="InstructionsTabelleberschrift"/>
                <w:rFonts w:ascii="Times New Roman" w:hAnsi="Times New Roman"/>
                <w:spacing w:val="-2"/>
                <w:sz w:val="24"/>
              </w:rPr>
              <w:tab/>
              <w:t>Nástroje vlastných zdrojov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tc>
      </w:tr>
      <w:tr w:rsidR="00235D9D" w:rsidRPr="006A4431" w14:paraId="3748CEFA" w14:textId="77777777" w:rsidTr="00672D2A">
        <w:tc>
          <w:tcPr>
            <w:tcW w:w="1012" w:type="dxa"/>
          </w:tcPr>
          <w:p w14:paraId="1ADBB1F8"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400</w:t>
            </w:r>
          </w:p>
        </w:tc>
        <w:tc>
          <w:tcPr>
            <w:tcW w:w="7478" w:type="dxa"/>
          </w:tcPr>
          <w:p w14:paraId="794741B8" w14:textId="03A75EDC"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1.3.2.10.1.</w:t>
            </w:r>
            <w:r w:rsidRPr="006A4431">
              <w:rPr>
                <w:rStyle w:val="InstructionsTabelleberschrift"/>
                <w:rFonts w:ascii="Times New Roman" w:hAnsi="Times New Roman"/>
                <w:spacing w:val="-2"/>
                <w:sz w:val="24"/>
              </w:rPr>
              <w:tab/>
              <w:t>Nástroje CET1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3DB12CC0" w14:textId="7D8A2FD5"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36 ods. 1 písm. i), článok 469 ods. 1, článok 472 ods. 11</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10E93CC" w14:textId="0FDE1128"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36 ods. 1 písm. i) CRR.</w:t>
            </w:r>
          </w:p>
        </w:tc>
      </w:tr>
      <w:tr w:rsidR="00235D9D" w:rsidRPr="006A4431" w14:paraId="1DAFD9EE" w14:textId="77777777" w:rsidTr="00672D2A">
        <w:tc>
          <w:tcPr>
            <w:tcW w:w="1012" w:type="dxa"/>
          </w:tcPr>
          <w:p w14:paraId="7F392CCD"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410</w:t>
            </w:r>
          </w:p>
        </w:tc>
        <w:tc>
          <w:tcPr>
            <w:tcW w:w="7478" w:type="dxa"/>
          </w:tcPr>
          <w:p w14:paraId="4F78A876" w14:textId="51343E7B"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1.3.2.10.2.</w:t>
            </w:r>
            <w:r w:rsidRPr="006A4431">
              <w:rPr>
                <w:rStyle w:val="InstructionsTabelleberschrift"/>
                <w:rFonts w:ascii="Times New Roman" w:hAnsi="Times New Roman"/>
                <w:spacing w:val="-2"/>
                <w:sz w:val="24"/>
              </w:rPr>
              <w:tab/>
              <w:t>Nástroje AT1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62E39799" w14:textId="4CC4C916"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56 písm. d), článok 474, článok 475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03BB587" w14:textId="531A7298"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56 písm. d) CRR.</w:t>
            </w:r>
          </w:p>
        </w:tc>
      </w:tr>
      <w:tr w:rsidR="00235D9D" w:rsidRPr="006A4431" w14:paraId="6FAB7611" w14:textId="77777777" w:rsidTr="00672D2A">
        <w:tc>
          <w:tcPr>
            <w:tcW w:w="1012" w:type="dxa"/>
          </w:tcPr>
          <w:p w14:paraId="7E4849C9" w14:textId="77777777" w:rsidR="00235D9D" w:rsidRPr="006A4431" w:rsidDel="00E41E4F"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420</w:t>
            </w:r>
          </w:p>
        </w:tc>
        <w:tc>
          <w:tcPr>
            <w:tcW w:w="7478" w:type="dxa"/>
          </w:tcPr>
          <w:p w14:paraId="3643AB6A" w14:textId="16F08ED0"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1.3.2.10.2.</w:t>
            </w:r>
            <w:r w:rsidRPr="006A4431">
              <w:rPr>
                <w:rStyle w:val="InstructionsTabelleberschrift"/>
                <w:rFonts w:ascii="Times New Roman" w:hAnsi="Times New Roman"/>
                <w:spacing w:val="-2"/>
                <w:sz w:val="24"/>
              </w:rPr>
              <w:tab/>
              <w:t>Nástroje T2 subjektov finančného sektora,</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ktorých inštitúcia má významnú investíciu</w:t>
            </w:r>
          </w:p>
          <w:p w14:paraId="5D13E409" w14:textId="59E530C4" w:rsidR="00235D9D" w:rsidRPr="006A4431" w:rsidRDefault="00BB22D4">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66 písm. d), článok 476, článok 477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478 CRR.</w:t>
            </w:r>
          </w:p>
          <w:p w14:paraId="5F202800" w14:textId="61019E95"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Suma,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060 tohto riadku: pôvodný odpočet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66 písm. d) CRR.</w:t>
            </w:r>
          </w:p>
        </w:tc>
      </w:tr>
      <w:tr w:rsidR="00235D9D" w:rsidRPr="006A4431" w14:paraId="0B9FD5DC" w14:textId="77777777" w:rsidTr="00672D2A">
        <w:tc>
          <w:tcPr>
            <w:tcW w:w="1012" w:type="dxa"/>
          </w:tcPr>
          <w:p w14:paraId="1FDD63DD" w14:textId="7777777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425</w:t>
            </w:r>
          </w:p>
        </w:tc>
        <w:tc>
          <w:tcPr>
            <w:tcW w:w="7478" w:type="dxa"/>
          </w:tcPr>
          <w:p w14:paraId="0B4CC82A" w14:textId="6533E037" w:rsidR="00235D9D" w:rsidRPr="006A4431" w:rsidRDefault="00A60195">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1.3.2.11.</w:t>
            </w:r>
            <w:r w:rsidRPr="006A4431">
              <w:rPr>
                <w:rStyle w:val="InstructionsTabelleberschrift"/>
                <w:rFonts w:ascii="Times New Roman" w:hAnsi="Times New Roman"/>
                <w:spacing w:val="-2"/>
                <w:sz w:val="24"/>
              </w:rPr>
              <w:tab/>
              <w:t>Výnimka</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odpočtu kapitálových podielov</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poisťovniach od položiek CET1</w:t>
            </w:r>
          </w:p>
          <w:p w14:paraId="1BA7B38D" w14:textId="3027E64A" w:rsidR="00235D9D" w:rsidRPr="006A4431" w:rsidRDefault="000F1CEA">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471 CRR.</w:t>
            </w:r>
          </w:p>
        </w:tc>
      </w:tr>
      <w:tr w:rsidR="00235D9D" w:rsidRPr="006A4431" w14:paraId="36D940FB" w14:textId="77777777" w:rsidTr="00672D2A">
        <w:tc>
          <w:tcPr>
            <w:tcW w:w="1012" w:type="dxa"/>
          </w:tcPr>
          <w:p w14:paraId="0DDBFDCA" w14:textId="77777777"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430</w:t>
            </w:r>
          </w:p>
          <w:p w14:paraId="4BA3EFF2" w14:textId="77777777" w:rsidR="00235D9D" w:rsidRPr="006A4431" w:rsidRDefault="00235D9D">
            <w:pPr>
              <w:pStyle w:val="InstructionsText"/>
              <w:rPr>
                <w:rStyle w:val="InstructionsTabelleText"/>
                <w:rFonts w:ascii="Times New Roman" w:hAnsi="Times New Roman"/>
                <w:spacing w:val="-2"/>
                <w:sz w:val="24"/>
              </w:rPr>
            </w:pPr>
          </w:p>
        </w:tc>
        <w:tc>
          <w:tcPr>
            <w:tcW w:w="7478" w:type="dxa"/>
          </w:tcPr>
          <w:p w14:paraId="6B38EE47" w14:textId="5B4B8DFB" w:rsidR="00235D9D" w:rsidRPr="006A4431" w:rsidRDefault="00A60195">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1.3.3.</w:t>
            </w:r>
            <w:r w:rsidRPr="006A4431">
              <w:rPr>
                <w:rStyle w:val="InstructionsTabelleberschrift"/>
                <w:rFonts w:ascii="Times New Roman" w:hAnsi="Times New Roman"/>
                <w:spacing w:val="-2"/>
                <w:sz w:val="24"/>
              </w:rPr>
              <w:tab/>
              <w:t>Dodatočné filtre</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odpočty</w:t>
            </w:r>
          </w:p>
          <w:p w14:paraId="021A120F" w14:textId="05BA78BB" w:rsidR="00235D9D" w:rsidRPr="006A4431" w:rsidRDefault="00A60195">
            <w:pPr>
              <w:spacing w:before="0"/>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481 CRR.</w:t>
            </w:r>
          </w:p>
          <w:p w14:paraId="3D336B18" w14:textId="23AB3A04"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riadok vyjadruje celkový účinok prechodných ustanovení na dodatočné filtre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odpočty.</w:t>
            </w:r>
          </w:p>
          <w:p w14:paraId="78A0408C" w14:textId="63A84988" w:rsidR="00235D9D" w:rsidRPr="006A4431" w:rsidRDefault="00A60195">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Inštitúcie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481 CRR vykazujú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položke 1.3.3 informácie týkajúce sa filtrov</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odpočtov, ktoré sa požadujú podľa vnútroštátnych transpozičných opatrení pre články 57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66 smernice 2006/48/ES</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pre články 13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16 smernice 2006/49/ES</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 xml:space="preserve">ktoré sa nepožadujú podľa druhej časti. </w:t>
            </w:r>
          </w:p>
        </w:tc>
      </w:tr>
      <w:tr w:rsidR="00235D9D" w:rsidRPr="006A4431" w14:paraId="4AAC0D51" w14:textId="77777777" w:rsidTr="00672D2A">
        <w:tc>
          <w:tcPr>
            <w:tcW w:w="1012" w:type="dxa"/>
          </w:tcPr>
          <w:p w14:paraId="479EBC6B" w14:textId="77777777" w:rsidR="00235D9D" w:rsidRPr="006A4431" w:rsidRDefault="008B695F">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440</w:t>
            </w:r>
          </w:p>
        </w:tc>
        <w:tc>
          <w:tcPr>
            <w:tcW w:w="7478" w:type="dxa"/>
          </w:tcPr>
          <w:p w14:paraId="2FAF298B" w14:textId="2AA6A23C" w:rsidR="00235D9D" w:rsidRPr="006A4431" w:rsidRDefault="008B695F">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1.3.4.</w:t>
            </w:r>
            <w:r w:rsidRPr="006A4431">
              <w:rPr>
                <w:rStyle w:val="InstructionsTabelleberschrift"/>
                <w:rFonts w:ascii="Times New Roman" w:hAnsi="Times New Roman"/>
                <w:spacing w:val="-2"/>
                <w:sz w:val="24"/>
              </w:rPr>
              <w:tab/>
              <w:t>Úpravy</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dôsledku prechodných ustanovení IFRS 9</w:t>
            </w:r>
          </w:p>
          <w:p w14:paraId="6DD976B6" w14:textId="2F1C8EC9" w:rsidR="00235D9D" w:rsidRPr="006A4431" w:rsidRDefault="009247A0">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Inštitúcie vykazujú informácie</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súvislosti</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prechodnými opatreniami</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dôsledku IFRS 9</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súlade</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platnými právnymi predpismi.</w:t>
            </w:r>
          </w:p>
        </w:tc>
      </w:tr>
    </w:tbl>
    <w:p w14:paraId="4587B72A" w14:textId="77777777" w:rsidR="00235D9D" w:rsidRPr="006A4431" w:rsidRDefault="00235D9D">
      <w:pPr>
        <w:spacing w:after="0"/>
        <w:rPr>
          <w:rFonts w:ascii="Times New Roman" w:hAnsi="Times New Roman"/>
          <w:spacing w:val="-2"/>
          <w:sz w:val="24"/>
        </w:rPr>
      </w:pPr>
    </w:p>
    <w:p w14:paraId="453E9F82" w14:textId="77777777" w:rsidR="00D85C65" w:rsidRPr="006A4431" w:rsidRDefault="00125707">
      <w:pPr>
        <w:pStyle w:val="Instructionsberschrift2"/>
        <w:numPr>
          <w:ilvl w:val="0"/>
          <w:numId w:val="0"/>
        </w:numPr>
        <w:ind w:left="357" w:hanging="357"/>
        <w:rPr>
          <w:rFonts w:ascii="Times New Roman" w:hAnsi="Times New Roman"/>
          <w:spacing w:val="-2"/>
          <w:sz w:val="24"/>
        </w:rPr>
      </w:pPr>
      <w:bookmarkStart w:id="21" w:name="_Toc29994464"/>
      <w:r w:rsidRPr="006A4431">
        <w:rPr>
          <w:rFonts w:ascii="Times New Roman" w:hAnsi="Times New Roman"/>
          <w:spacing w:val="-2"/>
          <w:sz w:val="24"/>
          <w:u w:val="none"/>
        </w:rPr>
        <w:t>1.6.3.</w:t>
      </w:r>
      <w:r w:rsidRPr="006A4431">
        <w:rPr>
          <w:rFonts w:ascii="Times New Roman" w:hAnsi="Times New Roman"/>
          <w:spacing w:val="-2"/>
          <w:sz w:val="24"/>
          <w:u w:val="none"/>
        </w:rPr>
        <w:tab/>
      </w:r>
      <w:r w:rsidRPr="006A4431">
        <w:rPr>
          <w:rFonts w:ascii="Times New Roman" w:hAnsi="Times New Roman"/>
          <w:spacing w:val="-2"/>
          <w:sz w:val="24"/>
        </w:rPr>
        <w:t>C 05.02 – NÁSTROJE ZACHOVANÉ</w:t>
      </w:r>
      <w:r w:rsidR="00D85C65" w:rsidRPr="006A4431">
        <w:rPr>
          <w:rFonts w:ascii="Times New Roman" w:hAnsi="Times New Roman"/>
          <w:spacing w:val="-2"/>
          <w:sz w:val="24"/>
        </w:rPr>
        <w:t xml:space="preserve"> V </w:t>
      </w:r>
      <w:r w:rsidRPr="006A4431">
        <w:rPr>
          <w:rFonts w:ascii="Times New Roman" w:hAnsi="Times New Roman"/>
          <w:spacing w:val="-2"/>
          <w:sz w:val="24"/>
        </w:rPr>
        <w:t>PREDCHÁDZAJÚCOM STAVE: NÁSTROJE NEPREDSTAVUJÚCE ŠTÁTNU POMOC (CA5.2)</w:t>
      </w:r>
      <w:bookmarkEnd w:id="21"/>
    </w:p>
    <w:p w14:paraId="1AFBD2F4" w14:textId="734F5361" w:rsidR="00235D9D" w:rsidRPr="006A4431" w:rsidRDefault="00125707">
      <w:pPr>
        <w:pStyle w:val="InstructionsText2"/>
        <w:numPr>
          <w:ilvl w:val="0"/>
          <w:numId w:val="0"/>
        </w:numPr>
        <w:ind w:left="993"/>
        <w:rPr>
          <w:spacing w:val="-2"/>
        </w:rPr>
      </w:pPr>
      <w:r w:rsidRPr="006A4431">
        <w:rPr>
          <w:spacing w:val="-2"/>
        </w:rPr>
        <w:t>25.</w:t>
      </w:r>
      <w:r w:rsidRPr="006A4431">
        <w:rPr>
          <w:spacing w:val="-2"/>
        </w:rPr>
        <w:tab/>
        <w:t>Inštitúcie vykazujú informácie</w:t>
      </w:r>
      <w:r w:rsidR="00D85C65" w:rsidRPr="006A4431">
        <w:rPr>
          <w:spacing w:val="-2"/>
        </w:rPr>
        <w:t xml:space="preserve"> v </w:t>
      </w:r>
      <w:r w:rsidRPr="006A4431">
        <w:rPr>
          <w:spacing w:val="-2"/>
        </w:rPr>
        <w:t>súvislosti</w:t>
      </w:r>
      <w:r w:rsidR="00D85C65" w:rsidRPr="006A4431">
        <w:rPr>
          <w:spacing w:val="-2"/>
        </w:rPr>
        <w:t xml:space="preserve"> s </w:t>
      </w:r>
      <w:r w:rsidRPr="006A4431">
        <w:rPr>
          <w:spacing w:val="-2"/>
        </w:rPr>
        <w:t>prechodnými ustanoveniami</w:t>
      </w:r>
      <w:r w:rsidR="00D85C65" w:rsidRPr="006A4431">
        <w:rPr>
          <w:spacing w:val="-2"/>
        </w:rPr>
        <w:t xml:space="preserve"> o </w:t>
      </w:r>
      <w:r w:rsidRPr="006A4431">
        <w:rPr>
          <w:spacing w:val="-2"/>
        </w:rPr>
        <w:t>nástrojoch zachovaných</w:t>
      </w:r>
      <w:r w:rsidR="00D85C65" w:rsidRPr="006A4431">
        <w:rPr>
          <w:spacing w:val="-2"/>
        </w:rPr>
        <w:t xml:space="preserve"> v </w:t>
      </w:r>
      <w:r w:rsidRPr="006A4431">
        <w:rPr>
          <w:spacing w:val="-2"/>
        </w:rPr>
        <w:t>predchádzajúcom stave, ktoré nepredstavujú štátnu pomoc (články 484 až 491 CRR).</w:t>
      </w:r>
    </w:p>
    <w:p w14:paraId="49D8AD5D" w14:textId="5EAC4965"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2" w:name="_Toc29994465"/>
      <w:r w:rsidRPr="006A4431">
        <w:rPr>
          <w:rFonts w:ascii="Times New Roman" w:hAnsi="Times New Roman"/>
          <w:spacing w:val="-2"/>
          <w:sz w:val="24"/>
          <w:u w:val="none"/>
        </w:rPr>
        <w:t>1.6.3.1.</w:t>
      </w:r>
      <w:r w:rsidRPr="006A4431">
        <w:rPr>
          <w:rFonts w:ascii="Times New Roman" w:hAnsi="Times New Roman"/>
          <w:spacing w:val="-2"/>
          <w:sz w:val="24"/>
          <w:u w:val="none"/>
        </w:rPr>
        <w:tab/>
      </w:r>
      <w:r w:rsidRPr="006A4431">
        <w:rPr>
          <w:rFonts w:ascii="Times New Roman" w:hAnsi="Times New Roman"/>
          <w:spacing w:val="-2"/>
          <w:sz w:val="24"/>
        </w:rPr>
        <w:t>Pokyny týkajúce sa konkrétnych pozícií</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35D9D" w:rsidRPr="006A4431" w14:paraId="744F3D21" w14:textId="77777777" w:rsidTr="00672D2A">
        <w:tc>
          <w:tcPr>
            <w:tcW w:w="8181" w:type="dxa"/>
            <w:gridSpan w:val="2"/>
            <w:shd w:val="clear" w:color="auto" w:fill="D9D9D9"/>
          </w:tcPr>
          <w:p w14:paraId="187FA7A6"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Stĺpce</w:t>
            </w:r>
          </w:p>
        </w:tc>
      </w:tr>
      <w:tr w:rsidR="00235D9D" w:rsidRPr="006A4431" w14:paraId="77FFF3F5" w14:textId="77777777" w:rsidTr="00672D2A">
        <w:tc>
          <w:tcPr>
            <w:tcW w:w="703" w:type="dxa"/>
          </w:tcPr>
          <w:p w14:paraId="1EE9132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010</w:t>
            </w:r>
          </w:p>
        </w:tc>
        <w:tc>
          <w:tcPr>
            <w:tcW w:w="7478" w:type="dxa"/>
          </w:tcPr>
          <w:p w14:paraId="6E91664F"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Hodnota nástrojov so súvisiacim emisným ážiom</w:t>
            </w:r>
          </w:p>
          <w:p w14:paraId="5B0ED10B" w14:textId="598C3B93" w:rsidR="00235D9D" w:rsidRPr="006A4431" w:rsidRDefault="00167619">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484 ods. 3,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5 CRR.</w:t>
            </w:r>
          </w:p>
          <w:p w14:paraId="62768602"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Nástroje, ktoré sú prípustné pre jednotlivé riadky, vrátane ich súvisiacich emisných ážií.</w:t>
            </w:r>
          </w:p>
        </w:tc>
      </w:tr>
      <w:tr w:rsidR="00235D9D" w:rsidRPr="006A4431" w14:paraId="40DE1994" w14:textId="77777777" w:rsidTr="00672D2A">
        <w:tc>
          <w:tcPr>
            <w:tcW w:w="703" w:type="dxa"/>
          </w:tcPr>
          <w:p w14:paraId="313EFA29"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020</w:t>
            </w:r>
          </w:p>
        </w:tc>
        <w:tc>
          <w:tcPr>
            <w:tcW w:w="7478" w:type="dxa"/>
          </w:tcPr>
          <w:p w14:paraId="580FCFFC"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Základ pre výpočet obmedzenia</w:t>
            </w:r>
          </w:p>
          <w:p w14:paraId="71AACF42" w14:textId="00E51FC9" w:rsidR="00235D9D" w:rsidRPr="006A4431" w:rsidRDefault="00167619">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486 ods. 2,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4 CRR.</w:t>
            </w:r>
          </w:p>
        </w:tc>
      </w:tr>
      <w:tr w:rsidR="00235D9D" w:rsidRPr="006A4431" w14:paraId="151FF944" w14:textId="77777777" w:rsidTr="00672D2A">
        <w:tc>
          <w:tcPr>
            <w:tcW w:w="703" w:type="dxa"/>
          </w:tcPr>
          <w:p w14:paraId="23880D52"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030</w:t>
            </w:r>
          </w:p>
        </w:tc>
        <w:tc>
          <w:tcPr>
            <w:tcW w:w="7478" w:type="dxa"/>
          </w:tcPr>
          <w:p w14:paraId="3573D25D"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Príslušná percentuálna hodnota</w:t>
            </w:r>
          </w:p>
          <w:p w14:paraId="375A0FE1" w14:textId="2E6F26FA"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486 ods. 5 CRR.</w:t>
            </w:r>
          </w:p>
        </w:tc>
      </w:tr>
      <w:tr w:rsidR="00235D9D" w:rsidRPr="006A4431" w14:paraId="14F08ED0" w14:textId="77777777" w:rsidTr="00672D2A">
        <w:tc>
          <w:tcPr>
            <w:tcW w:w="703" w:type="dxa"/>
          </w:tcPr>
          <w:p w14:paraId="06AA66F8"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040</w:t>
            </w:r>
          </w:p>
        </w:tc>
        <w:tc>
          <w:tcPr>
            <w:tcW w:w="7478" w:type="dxa"/>
          </w:tcPr>
          <w:p w14:paraId="523CF396"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Obmedzenie</w:t>
            </w:r>
          </w:p>
          <w:p w14:paraId="0759A3E0" w14:textId="242C2F17" w:rsidR="00235D9D" w:rsidRPr="006A4431" w:rsidRDefault="00167619">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486 ods. 2 až 5 CRR.</w:t>
            </w:r>
          </w:p>
        </w:tc>
      </w:tr>
      <w:tr w:rsidR="00235D9D" w:rsidRPr="006A4431" w14:paraId="5FB8B9D8" w14:textId="77777777" w:rsidTr="00672D2A">
        <w:tc>
          <w:tcPr>
            <w:tcW w:w="703" w:type="dxa"/>
          </w:tcPr>
          <w:p w14:paraId="6BA36B25"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050</w:t>
            </w:r>
          </w:p>
        </w:tc>
        <w:tc>
          <w:tcPr>
            <w:tcW w:w="7478" w:type="dxa"/>
          </w:tcPr>
          <w:p w14:paraId="7752635F"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 Hodnota, ktorá presahuje obmedzenia na zachovanie predchádzajúceho stavu</w:t>
            </w:r>
          </w:p>
          <w:p w14:paraId="2EBB3A4F" w14:textId="0D7B9CBD" w:rsidR="00235D9D" w:rsidRPr="006A4431" w:rsidRDefault="00167619">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486 ods. 2 až 5 CRR.</w:t>
            </w:r>
          </w:p>
        </w:tc>
      </w:tr>
      <w:tr w:rsidR="00235D9D" w:rsidRPr="006A4431" w14:paraId="21CF1090" w14:textId="77777777" w:rsidTr="00672D2A">
        <w:tc>
          <w:tcPr>
            <w:tcW w:w="703" w:type="dxa"/>
          </w:tcPr>
          <w:p w14:paraId="4CBE88CE"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060</w:t>
            </w:r>
          </w:p>
        </w:tc>
        <w:tc>
          <w:tcPr>
            <w:tcW w:w="7478" w:type="dxa"/>
          </w:tcPr>
          <w:p w14:paraId="449331E9" w14:textId="77777777" w:rsidR="00235D9D" w:rsidRPr="006A4431" w:rsidRDefault="002648B0">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Celková hodnota zachovania predchádzajúceho stavu</w:t>
            </w:r>
          </w:p>
          <w:p w14:paraId="5DEE80C6" w14:textId="5EB45E1A"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sa rovná hodnotám vykázaným</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príslušných stĺpcoch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060 vzoru CA5.1.</w:t>
            </w:r>
          </w:p>
        </w:tc>
      </w:tr>
    </w:tbl>
    <w:p w14:paraId="1FBB159E" w14:textId="77777777" w:rsidR="00235D9D" w:rsidRPr="006A4431" w:rsidRDefault="00235D9D">
      <w:pPr>
        <w:pStyle w:val="InstructionsText"/>
        <w:rPr>
          <w:spacing w:val="-2"/>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35D9D" w:rsidRPr="006A4431" w14:paraId="14065DA6" w14:textId="77777777" w:rsidTr="00672D2A">
        <w:tc>
          <w:tcPr>
            <w:tcW w:w="8181" w:type="dxa"/>
            <w:gridSpan w:val="2"/>
            <w:shd w:val="clear" w:color="auto" w:fill="D9D9D9"/>
          </w:tcPr>
          <w:p w14:paraId="673915CE" w14:textId="77777777" w:rsidR="00235D9D" w:rsidRPr="006A4431" w:rsidRDefault="002648B0">
            <w:pPr>
              <w:pStyle w:val="InstructionsText"/>
              <w:rPr>
                <w:spacing w:val="-2"/>
              </w:rPr>
            </w:pPr>
            <w:r w:rsidRPr="006A4431">
              <w:rPr>
                <w:spacing w:val="-2"/>
              </w:rPr>
              <w:t>Riadky</w:t>
            </w:r>
          </w:p>
        </w:tc>
      </w:tr>
      <w:tr w:rsidR="00235D9D" w:rsidRPr="006A4431" w14:paraId="6ED9E034" w14:textId="77777777" w:rsidTr="00672D2A">
        <w:tc>
          <w:tcPr>
            <w:tcW w:w="703" w:type="dxa"/>
          </w:tcPr>
          <w:p w14:paraId="53436CAA"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010</w:t>
            </w:r>
          </w:p>
        </w:tc>
        <w:tc>
          <w:tcPr>
            <w:tcW w:w="7478" w:type="dxa"/>
          </w:tcPr>
          <w:p w14:paraId="5CAC9AE9" w14:textId="77777777" w:rsidR="00235D9D" w:rsidRPr="006A4431" w:rsidRDefault="00C66473">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1.</w:t>
            </w:r>
            <w:r w:rsidRPr="006A4431">
              <w:rPr>
                <w:rStyle w:val="InstructionsTabelleberschrift"/>
                <w:rFonts w:ascii="Times New Roman" w:hAnsi="Times New Roman"/>
                <w:spacing w:val="-2"/>
                <w:sz w:val="24"/>
              </w:rPr>
              <w:tab/>
              <w:t>Nástroje, ktoré sa kvalifikovali pre písmeno a) článku 57 smernice 2006/48/ES</w:t>
            </w:r>
          </w:p>
          <w:p w14:paraId="64BFBEB9" w14:textId="3093BA5C"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484 ods. 3 CRR.</w:t>
            </w:r>
          </w:p>
          <w:p w14:paraId="2B04B67F"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24B3FF21" w14:textId="77777777" w:rsidTr="00672D2A">
        <w:tc>
          <w:tcPr>
            <w:tcW w:w="703" w:type="dxa"/>
          </w:tcPr>
          <w:p w14:paraId="377B2254"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020</w:t>
            </w:r>
          </w:p>
        </w:tc>
        <w:tc>
          <w:tcPr>
            <w:tcW w:w="7478" w:type="dxa"/>
          </w:tcPr>
          <w:p w14:paraId="09E0B8AD" w14:textId="748229E8" w:rsidR="00235D9D" w:rsidRPr="006A4431" w:rsidRDefault="00C66473">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2.</w:t>
            </w:r>
            <w:r w:rsidRPr="006A4431">
              <w:rPr>
                <w:rStyle w:val="InstructionsTabelleberschrift"/>
                <w:rFonts w:ascii="Times New Roman" w:hAnsi="Times New Roman"/>
                <w:spacing w:val="-2"/>
                <w:sz w:val="24"/>
              </w:rPr>
              <w:tab/>
              <w:t>Nástroje, ktoré sa kvalifikovali pre písmeno ca) článku 57</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článok 154 ods. 8</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9 smernice 2006/48/ES,</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výhradou obmedzenia podľa článku 489 CRR</w:t>
            </w:r>
          </w:p>
          <w:p w14:paraId="0D197541" w14:textId="2E611B43"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484 ods. 4 CRR.</w:t>
            </w:r>
          </w:p>
        </w:tc>
      </w:tr>
      <w:tr w:rsidR="00235D9D" w:rsidRPr="006A4431" w14:paraId="15DF7219" w14:textId="77777777" w:rsidTr="00672D2A">
        <w:tc>
          <w:tcPr>
            <w:tcW w:w="703" w:type="dxa"/>
          </w:tcPr>
          <w:p w14:paraId="284F5787"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030</w:t>
            </w:r>
          </w:p>
        </w:tc>
        <w:tc>
          <w:tcPr>
            <w:tcW w:w="7478" w:type="dxa"/>
          </w:tcPr>
          <w:p w14:paraId="06DD94E9" w14:textId="77777777"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2.1.</w:t>
            </w:r>
            <w:r w:rsidRPr="006A4431">
              <w:rPr>
                <w:rStyle w:val="InstructionsTabelleberschrift"/>
                <w:rFonts w:ascii="Times New Roman" w:hAnsi="Times New Roman"/>
                <w:spacing w:val="-2"/>
                <w:sz w:val="24"/>
              </w:rPr>
              <w:tab/>
              <w:t>Celkové nástroje bez kúpnej opcie alebo motivácie na splatenie</w:t>
            </w:r>
          </w:p>
          <w:p w14:paraId="7DA67154" w14:textId="3CDD8239"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Článok 484 ods. 4</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489 CRR.</w:t>
            </w:r>
          </w:p>
          <w:p w14:paraId="755696AD"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72485432" w14:textId="77777777" w:rsidTr="00672D2A">
        <w:tc>
          <w:tcPr>
            <w:tcW w:w="703" w:type="dxa"/>
          </w:tcPr>
          <w:p w14:paraId="3828D750"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040</w:t>
            </w:r>
          </w:p>
        </w:tc>
        <w:tc>
          <w:tcPr>
            <w:tcW w:w="7478" w:type="dxa"/>
          </w:tcPr>
          <w:p w14:paraId="11D8F4AD" w14:textId="70E903EA"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2.2.</w:t>
            </w:r>
            <w:r w:rsidRPr="006A4431">
              <w:rPr>
                <w:rStyle w:val="InstructionsTabelleberschrift"/>
                <w:rFonts w:ascii="Times New Roman" w:hAnsi="Times New Roman"/>
                <w:spacing w:val="-2"/>
                <w:sz w:val="24"/>
              </w:rPr>
              <w:tab/>
              <w:t>Nástroje zachované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w:t>
            </w:r>
            <w:r w:rsidR="00D85C65" w:rsidRPr="006A4431">
              <w:rPr>
                <w:rStyle w:val="InstructionsTabelleberschrift"/>
                <w:rFonts w:ascii="Times New Roman" w:hAnsi="Times New Roman"/>
                <w:spacing w:val="-2"/>
                <w:sz w:val="24"/>
              </w:rPr>
              <w:t xml:space="preserve"> a </w:t>
            </w:r>
            <w:r w:rsidRPr="006A4431">
              <w:rPr>
                <w:rStyle w:val="InstructionsTabelleberschrift"/>
                <w:rFonts w:ascii="Times New Roman" w:hAnsi="Times New Roman"/>
                <w:spacing w:val="-2"/>
                <w:sz w:val="24"/>
              </w:rPr>
              <w:t>motiváciou na splatenie</w:t>
            </w:r>
          </w:p>
          <w:p w14:paraId="4B2F57CE" w14:textId="2FFAD25B"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Článok 489 CRR.</w:t>
            </w:r>
          </w:p>
        </w:tc>
      </w:tr>
      <w:tr w:rsidR="00235D9D" w:rsidRPr="006A4431" w14:paraId="12729CB7" w14:textId="77777777" w:rsidTr="00672D2A">
        <w:tc>
          <w:tcPr>
            <w:tcW w:w="703" w:type="dxa"/>
          </w:tcPr>
          <w:p w14:paraId="5BD3049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050</w:t>
            </w:r>
          </w:p>
        </w:tc>
        <w:tc>
          <w:tcPr>
            <w:tcW w:w="7478" w:type="dxa"/>
          </w:tcPr>
          <w:p w14:paraId="4964DE04" w14:textId="4632778E"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2.2.1.</w:t>
            </w:r>
            <w:r w:rsidRPr="006A4431">
              <w:rPr>
                <w:rStyle w:val="InstructionsTabelleberschrift"/>
                <w:rFonts w:ascii="Times New Roman" w:hAnsi="Times New Roman"/>
                <w:spacing w:val="-2"/>
                <w:sz w:val="24"/>
              </w:rPr>
              <w:tab/>
              <w:t>Nástroje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po dátume vykazovania, ktoré 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52 CRR po dátume skutočnej splatnosti</w:t>
            </w:r>
          </w:p>
          <w:p w14:paraId="3DA61745" w14:textId="085E1B6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Článok 489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a) CRR.</w:t>
            </w:r>
          </w:p>
          <w:p w14:paraId="27D78769"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156521F2" w14:textId="77777777" w:rsidTr="00672D2A">
        <w:tc>
          <w:tcPr>
            <w:tcW w:w="703" w:type="dxa"/>
          </w:tcPr>
          <w:p w14:paraId="51F2DC97"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060</w:t>
            </w:r>
          </w:p>
        </w:tc>
        <w:tc>
          <w:tcPr>
            <w:tcW w:w="7478" w:type="dxa"/>
          </w:tcPr>
          <w:p w14:paraId="6D056AF7" w14:textId="31B81E31"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2.2.2.</w:t>
            </w:r>
            <w:r w:rsidRPr="006A4431">
              <w:rPr>
                <w:rStyle w:val="InstructionsTabelleberschrift"/>
                <w:rFonts w:ascii="Times New Roman" w:hAnsi="Times New Roman"/>
                <w:spacing w:val="-2"/>
                <w:sz w:val="24"/>
              </w:rPr>
              <w:tab/>
              <w:t>Nástroje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po dátume vykazovania, ktoré nespĺňajú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52 CRR po dátume skutočnej splatnosti</w:t>
            </w:r>
          </w:p>
          <w:p w14:paraId="03E564F8" w14:textId="501AE8D3" w:rsidR="00235D9D" w:rsidRPr="006A4431" w:rsidRDefault="009F155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489 ods. 5</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a) CRR.</w:t>
            </w:r>
          </w:p>
          <w:p w14:paraId="683A0881"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3ED116FE" w14:textId="77777777" w:rsidTr="00672D2A">
        <w:tc>
          <w:tcPr>
            <w:tcW w:w="703" w:type="dxa"/>
          </w:tcPr>
          <w:p w14:paraId="63D3F5A9"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070</w:t>
            </w:r>
          </w:p>
        </w:tc>
        <w:tc>
          <w:tcPr>
            <w:tcW w:w="7478" w:type="dxa"/>
          </w:tcPr>
          <w:p w14:paraId="55844FCD" w14:textId="04342343"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2.2.3.</w:t>
            </w:r>
            <w:r w:rsidRPr="006A4431">
              <w:rPr>
                <w:rStyle w:val="InstructionsTabelleberschrift"/>
                <w:rFonts w:ascii="Times New Roman" w:hAnsi="Times New Roman"/>
                <w:spacing w:val="-2"/>
                <w:sz w:val="24"/>
              </w:rPr>
              <w:tab/>
              <w:t>Nástroje</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20</w:t>
            </w:r>
            <w:r w:rsidR="00D85C65" w:rsidRPr="006A4431">
              <w:rPr>
                <w:rStyle w:val="InstructionsTabelleberschrift"/>
                <w:rFonts w:ascii="Times New Roman" w:hAnsi="Times New Roman"/>
                <w:spacing w:val="-2"/>
                <w:sz w:val="24"/>
              </w:rPr>
              <w:t>. júla</w:t>
            </w:r>
            <w:r w:rsidRPr="006A4431">
              <w:rPr>
                <w:rStyle w:val="InstructionsTabelleberschrift"/>
                <w:rFonts w:ascii="Times New Roman" w:hAnsi="Times New Roman"/>
                <w:spacing w:val="-2"/>
                <w:sz w:val="24"/>
              </w:rPr>
              <w:t xml:space="preserve"> 2011 alebo pred týmto dátumom, ktoré nespĺňajú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52 CRR po dátume skutočnej splatnosti</w:t>
            </w:r>
          </w:p>
          <w:p w14:paraId="4FF64B88" w14:textId="6CE465F0" w:rsidR="00235D9D" w:rsidRPr="006A4431" w:rsidRDefault="009F155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489 ods. 6</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c) CRR.</w:t>
            </w:r>
          </w:p>
          <w:p w14:paraId="76E15D9C"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1484081C" w14:textId="77777777" w:rsidTr="00672D2A">
        <w:tc>
          <w:tcPr>
            <w:tcW w:w="703" w:type="dxa"/>
          </w:tcPr>
          <w:p w14:paraId="766BE8B5"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080</w:t>
            </w:r>
          </w:p>
        </w:tc>
        <w:tc>
          <w:tcPr>
            <w:tcW w:w="7478" w:type="dxa"/>
          </w:tcPr>
          <w:p w14:paraId="24CB712D" w14:textId="39540B89"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2.3.</w:t>
            </w:r>
            <w:r w:rsidRPr="006A4431">
              <w:rPr>
                <w:rStyle w:val="InstructionsTabelleberschrift"/>
                <w:rFonts w:ascii="Times New Roman" w:hAnsi="Times New Roman"/>
                <w:spacing w:val="-2"/>
                <w:sz w:val="24"/>
              </w:rPr>
              <w:tab/>
              <w:t>Prekročenie obmedzenia nástrojov CET1 zachovaných</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w:t>
            </w:r>
          </w:p>
          <w:p w14:paraId="2BC183EC" w14:textId="5133841C"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487 ods. 1 CRR.</w:t>
            </w:r>
          </w:p>
          <w:p w14:paraId="39EEAD88" w14:textId="6F11A24B"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K prekročeniu obmedzenia nástrojov CET1 zachovaných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predchádzajúcom stave sa môže pristupovať ako</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nástrojom, ktoré možno zachovať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predchádzajúcom stave ako nástroje AT1.</w:t>
            </w:r>
          </w:p>
        </w:tc>
      </w:tr>
      <w:tr w:rsidR="00235D9D" w:rsidRPr="006A4431" w14:paraId="61E5E55B" w14:textId="77777777" w:rsidTr="00672D2A">
        <w:tc>
          <w:tcPr>
            <w:tcW w:w="703" w:type="dxa"/>
          </w:tcPr>
          <w:p w14:paraId="2837DB83"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090</w:t>
            </w:r>
          </w:p>
        </w:tc>
        <w:tc>
          <w:tcPr>
            <w:tcW w:w="7478" w:type="dxa"/>
          </w:tcPr>
          <w:p w14:paraId="01ECF30E" w14:textId="62396501" w:rsidR="00235D9D" w:rsidRPr="006A4431" w:rsidRDefault="00C66473">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3.</w:t>
            </w:r>
            <w:r w:rsidRPr="006A4431">
              <w:rPr>
                <w:rStyle w:val="InstructionsTabelleberschrift"/>
                <w:rFonts w:ascii="Times New Roman" w:hAnsi="Times New Roman"/>
                <w:spacing w:val="-2"/>
                <w:sz w:val="24"/>
              </w:rPr>
              <w:tab/>
              <w:t>Položky, ktoré sa kvalifikovali pre písm. e), f), g) alebo h) článku 57 smernice 2006/48/ES,</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výhradou obmedzenia podľa článku 490 CRR</w:t>
            </w:r>
          </w:p>
          <w:p w14:paraId="7A3517FB" w14:textId="405FFA3E" w:rsidR="00235D9D" w:rsidRPr="006A4431" w:rsidRDefault="002648B0">
            <w:pPr>
              <w:pStyle w:val="InstructionsText"/>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Článok 484 ods. 5 CRR.</w:t>
            </w:r>
          </w:p>
        </w:tc>
      </w:tr>
      <w:tr w:rsidR="00235D9D" w:rsidRPr="006A4431" w14:paraId="7AD26B0B" w14:textId="77777777" w:rsidTr="00672D2A">
        <w:tc>
          <w:tcPr>
            <w:tcW w:w="703" w:type="dxa"/>
          </w:tcPr>
          <w:p w14:paraId="4B9CB77D"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100</w:t>
            </w:r>
          </w:p>
        </w:tc>
        <w:tc>
          <w:tcPr>
            <w:tcW w:w="7478" w:type="dxa"/>
          </w:tcPr>
          <w:p w14:paraId="563811AC" w14:textId="77777777"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3.1.</w:t>
            </w:r>
            <w:r w:rsidRPr="006A4431">
              <w:rPr>
                <w:rStyle w:val="InstructionsTabelleberschrift"/>
                <w:rFonts w:ascii="Times New Roman" w:hAnsi="Times New Roman"/>
                <w:spacing w:val="-2"/>
                <w:sz w:val="24"/>
              </w:rPr>
              <w:tab/>
              <w:t>Celkové položky bez motivácie na splatenie</w:t>
            </w:r>
          </w:p>
          <w:p w14:paraId="400AD677" w14:textId="3D0FEEB8"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490 CRR.</w:t>
            </w:r>
          </w:p>
        </w:tc>
      </w:tr>
      <w:tr w:rsidR="00235D9D" w:rsidRPr="006A4431" w14:paraId="26942B32" w14:textId="77777777" w:rsidTr="00672D2A">
        <w:tc>
          <w:tcPr>
            <w:tcW w:w="703" w:type="dxa"/>
          </w:tcPr>
          <w:p w14:paraId="756180B3"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110</w:t>
            </w:r>
          </w:p>
        </w:tc>
        <w:tc>
          <w:tcPr>
            <w:tcW w:w="7478" w:type="dxa"/>
          </w:tcPr>
          <w:p w14:paraId="38934F09" w14:textId="234FA9D2"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3.2.</w:t>
            </w:r>
            <w:r w:rsidRPr="006A4431">
              <w:rPr>
                <w:rStyle w:val="InstructionsTabelleberschrift"/>
                <w:rFonts w:ascii="Times New Roman" w:hAnsi="Times New Roman"/>
                <w:spacing w:val="-2"/>
                <w:sz w:val="24"/>
              </w:rPr>
              <w:tab/>
              <w:t>Položky zachované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 bez motivácie na splatenie</w:t>
            </w:r>
          </w:p>
          <w:p w14:paraId="064BD76D" w14:textId="2745ECA6"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490 CRR.</w:t>
            </w:r>
          </w:p>
        </w:tc>
      </w:tr>
      <w:tr w:rsidR="00235D9D" w:rsidRPr="006A4431" w14:paraId="14DC22B6" w14:textId="77777777" w:rsidTr="00672D2A">
        <w:tc>
          <w:tcPr>
            <w:tcW w:w="703" w:type="dxa"/>
          </w:tcPr>
          <w:p w14:paraId="1D49D24A"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120</w:t>
            </w:r>
          </w:p>
        </w:tc>
        <w:tc>
          <w:tcPr>
            <w:tcW w:w="7478" w:type="dxa"/>
          </w:tcPr>
          <w:p w14:paraId="34153268" w14:textId="2A4FD0B6" w:rsidR="00235D9D" w:rsidRPr="006A4431" w:rsidRDefault="002648B0">
            <w:pPr>
              <w:pStyle w:val="InstructionsText"/>
              <w:rPr>
                <w:rStyle w:val="InstructionsTabelleText"/>
                <w:rFonts w:ascii="Times New Roman" w:hAnsi="Times New Roman"/>
                <w:b/>
                <w:bCs/>
                <w:spacing w:val="-2"/>
                <w:sz w:val="24"/>
                <w:u w:val="single"/>
              </w:rPr>
            </w:pPr>
            <w:r w:rsidRPr="006A4431">
              <w:rPr>
                <w:rStyle w:val="InstructionsTabelleberschrift"/>
                <w:rFonts w:ascii="Times New Roman" w:hAnsi="Times New Roman"/>
                <w:spacing w:val="-2"/>
                <w:sz w:val="24"/>
              </w:rPr>
              <w:t>3.2.1.</w:t>
            </w:r>
            <w:r w:rsidRPr="006A4431">
              <w:rPr>
                <w:rStyle w:val="InstructionsTabelleberschrift"/>
                <w:rFonts w:ascii="Times New Roman" w:hAnsi="Times New Roman"/>
                <w:spacing w:val="-2"/>
                <w:sz w:val="24"/>
              </w:rPr>
              <w:tab/>
              <w:t>Položky</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po dátume vykazovania, ktoré 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63 CRR po dátume skutočnej splatnosti</w:t>
            </w:r>
          </w:p>
          <w:p w14:paraId="2C3B8B3C" w14:textId="35B6A13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490 ods. 3</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a) CRR.</w:t>
            </w:r>
          </w:p>
          <w:p w14:paraId="03595345" w14:textId="77777777"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6CBF303C" w14:textId="77777777" w:rsidTr="00672D2A">
        <w:tc>
          <w:tcPr>
            <w:tcW w:w="703" w:type="dxa"/>
          </w:tcPr>
          <w:p w14:paraId="5C2C4CC6"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130</w:t>
            </w:r>
          </w:p>
        </w:tc>
        <w:tc>
          <w:tcPr>
            <w:tcW w:w="7478" w:type="dxa"/>
          </w:tcPr>
          <w:p w14:paraId="2A8A2BA9" w14:textId="401258C6" w:rsidR="00235D9D" w:rsidRPr="006A4431" w:rsidRDefault="002648B0">
            <w:pPr>
              <w:pStyle w:val="InstructionsText"/>
              <w:rPr>
                <w:rStyle w:val="InstructionsTabelleText"/>
                <w:rFonts w:ascii="Times New Roman" w:hAnsi="Times New Roman"/>
                <w:b/>
                <w:spacing w:val="-2"/>
                <w:sz w:val="24"/>
                <w:u w:val="single"/>
              </w:rPr>
            </w:pPr>
            <w:r w:rsidRPr="006A4431">
              <w:rPr>
                <w:rStyle w:val="InstructionsTabelleberschrift"/>
                <w:rFonts w:ascii="Times New Roman" w:hAnsi="Times New Roman"/>
                <w:spacing w:val="-2"/>
                <w:sz w:val="24"/>
              </w:rPr>
              <w:t>3.2.2.</w:t>
            </w:r>
            <w:r w:rsidRPr="006A4431">
              <w:rPr>
                <w:rStyle w:val="InstructionsTabelleberschrift"/>
                <w:rFonts w:ascii="Times New Roman" w:hAnsi="Times New Roman"/>
                <w:spacing w:val="-2"/>
                <w:sz w:val="24"/>
              </w:rPr>
              <w:tab/>
              <w:t>Položky</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po dátume vykazovania, ktoré nespĺňajú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63 CRR po dátume skutočnej splatnosti</w:t>
            </w:r>
          </w:p>
          <w:p w14:paraId="11B9C32C" w14:textId="343625D0" w:rsidR="00235D9D" w:rsidRPr="006A4431" w:rsidRDefault="009F155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490 ods. 5</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a) CRR.</w:t>
            </w:r>
          </w:p>
          <w:p w14:paraId="59FA2736" w14:textId="77777777" w:rsidR="00235D9D" w:rsidRPr="006A4431" w:rsidRDefault="007C3B71">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14590764" w14:textId="77777777" w:rsidTr="00672D2A">
        <w:tc>
          <w:tcPr>
            <w:tcW w:w="703" w:type="dxa"/>
          </w:tcPr>
          <w:p w14:paraId="7DAA6408"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140</w:t>
            </w:r>
          </w:p>
        </w:tc>
        <w:tc>
          <w:tcPr>
            <w:tcW w:w="7478" w:type="dxa"/>
          </w:tcPr>
          <w:p w14:paraId="0CCC7907" w14:textId="3AF85F73" w:rsidR="00235D9D" w:rsidRPr="006A4431" w:rsidRDefault="002648B0">
            <w:pPr>
              <w:pStyle w:val="InstructionsText"/>
              <w:rPr>
                <w:rStyle w:val="InstructionsTabelleberschrift"/>
                <w:rFonts w:ascii="Times New Roman" w:hAnsi="Times New Roman"/>
                <w:bCs w:val="0"/>
                <w:spacing w:val="-2"/>
                <w:sz w:val="24"/>
              </w:rPr>
            </w:pPr>
            <w:r w:rsidRPr="006A4431">
              <w:rPr>
                <w:rStyle w:val="InstructionsTabelleberschrift"/>
                <w:rFonts w:ascii="Times New Roman" w:hAnsi="Times New Roman"/>
                <w:spacing w:val="-2"/>
                <w:sz w:val="24"/>
              </w:rPr>
              <w:t>3.2.3.</w:t>
            </w:r>
            <w:r w:rsidRPr="006A4431">
              <w:rPr>
                <w:rStyle w:val="InstructionsTabelleberschrift"/>
                <w:rFonts w:ascii="Times New Roman" w:hAnsi="Times New Roman"/>
                <w:spacing w:val="-2"/>
                <w:sz w:val="24"/>
              </w:rPr>
              <w:tab/>
              <w:t>Položky</w:t>
            </w:r>
            <w:r w:rsidR="00D85C65" w:rsidRPr="006A4431">
              <w:rPr>
                <w:rStyle w:val="InstructionsTabelleberschrift"/>
                <w:rFonts w:ascii="Times New Roman" w:hAnsi="Times New Roman"/>
                <w:spacing w:val="-2"/>
                <w:sz w:val="24"/>
              </w:rPr>
              <w:t xml:space="preserve"> s </w:t>
            </w:r>
            <w:r w:rsidRPr="006A4431">
              <w:rPr>
                <w:rStyle w:val="InstructionsTabelleberschrift"/>
                <w:rFonts w:ascii="Times New Roman" w:hAnsi="Times New Roman"/>
                <w:spacing w:val="-2"/>
                <w:sz w:val="24"/>
              </w:rPr>
              <w:t>kúpnou opciou uplatniteľnou 20</w:t>
            </w:r>
            <w:r w:rsidR="00D85C65" w:rsidRPr="006A4431">
              <w:rPr>
                <w:rStyle w:val="InstructionsTabelleberschrift"/>
                <w:rFonts w:ascii="Times New Roman" w:hAnsi="Times New Roman"/>
                <w:spacing w:val="-2"/>
                <w:sz w:val="24"/>
              </w:rPr>
              <w:t>. júla</w:t>
            </w:r>
            <w:r w:rsidRPr="006A4431">
              <w:rPr>
                <w:rStyle w:val="InstructionsTabelleberschrift"/>
                <w:rFonts w:ascii="Times New Roman" w:hAnsi="Times New Roman"/>
                <w:spacing w:val="-2"/>
                <w:sz w:val="24"/>
              </w:rPr>
              <w:t xml:space="preserve"> 2011 alebo pred týmto dátumom, ktoré nespĺňajú podmienky stanovené</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článku 63 CRR po dátume skutočnej splatnosti</w:t>
            </w:r>
          </w:p>
          <w:p w14:paraId="1B4BA73C" w14:textId="16F0F07B" w:rsidR="00235D9D" w:rsidRPr="006A4431" w:rsidRDefault="009F155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Článok 490 ods. 6</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491 písm. c) CRR.</w:t>
            </w:r>
          </w:p>
          <w:p w14:paraId="0E0942EC"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súvisiace emisné ážiá.</w:t>
            </w:r>
          </w:p>
        </w:tc>
      </w:tr>
      <w:tr w:rsidR="00235D9D" w:rsidRPr="006A4431" w14:paraId="005BB829" w14:textId="77777777" w:rsidTr="00672D2A">
        <w:tc>
          <w:tcPr>
            <w:tcW w:w="703" w:type="dxa"/>
          </w:tcPr>
          <w:p w14:paraId="367D4EE3" w14:textId="77777777" w:rsidR="00235D9D" w:rsidRPr="006A4431" w:rsidRDefault="002648B0">
            <w:pPr>
              <w:pStyle w:val="InstructionsText"/>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150</w:t>
            </w:r>
          </w:p>
        </w:tc>
        <w:tc>
          <w:tcPr>
            <w:tcW w:w="7478" w:type="dxa"/>
          </w:tcPr>
          <w:p w14:paraId="00481FDA" w14:textId="4F69F8DF" w:rsidR="00235D9D" w:rsidRPr="006A4431" w:rsidRDefault="002648B0">
            <w:pPr>
              <w:pStyle w:val="InstructionsText"/>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3.3.</w:t>
            </w:r>
            <w:r w:rsidRPr="006A4431">
              <w:rPr>
                <w:rStyle w:val="InstructionsTabelleberschrift"/>
                <w:rFonts w:ascii="Times New Roman" w:hAnsi="Times New Roman"/>
                <w:spacing w:val="-2"/>
                <w:sz w:val="24"/>
              </w:rPr>
              <w:tab/>
              <w:t>Prekročenie obmedzenia nástrojov AT1 zachovaných</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predchádzajúcom stave</w:t>
            </w:r>
          </w:p>
          <w:p w14:paraId="33E1DC10" w14:textId="77777777" w:rsidR="00D85C65"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487 ods. 2 CRR</w:t>
            </w:r>
            <w:r w:rsidR="00D85C65" w:rsidRPr="006A4431">
              <w:rPr>
                <w:rStyle w:val="InstructionsTabelleText"/>
                <w:rFonts w:ascii="Times New Roman" w:hAnsi="Times New Roman"/>
                <w:spacing w:val="-2"/>
                <w:sz w:val="24"/>
              </w:rPr>
              <w:t>.</w:t>
            </w:r>
          </w:p>
          <w:p w14:paraId="503E47F7" w14:textId="40F4007D" w:rsidR="00235D9D" w:rsidRPr="006A4431" w:rsidRDefault="002648B0">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K prekročeniu obmedzenia nástrojov AT1 zachovaných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predchádzajúcom stave sa môže pristupovať ako</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nástrojom, ktoré možno zachovať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predchádzajúcom stave ako nástroje T2.</w:t>
            </w:r>
          </w:p>
        </w:tc>
      </w:tr>
    </w:tbl>
    <w:p w14:paraId="59B49FCF" w14:textId="77777777" w:rsidR="00235D9D" w:rsidRPr="006A4431" w:rsidRDefault="00235D9D">
      <w:pPr>
        <w:spacing w:before="0" w:after="0"/>
        <w:jc w:val="left"/>
        <w:rPr>
          <w:rFonts w:ascii="Times New Roman" w:hAnsi="Times New Roman"/>
          <w:spacing w:val="-2"/>
          <w:sz w:val="24"/>
          <w:u w:val="single"/>
        </w:rPr>
      </w:pPr>
    </w:p>
    <w:p w14:paraId="0163BAC5" w14:textId="2EC25F8A"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3" w:name="_Toc29994466"/>
      <w:r w:rsidRPr="006A4431">
        <w:rPr>
          <w:rFonts w:ascii="Times New Roman" w:hAnsi="Times New Roman"/>
          <w:spacing w:val="-2"/>
          <w:sz w:val="24"/>
          <w:u w:val="none"/>
        </w:rPr>
        <w:t>2.</w:t>
      </w:r>
      <w:r w:rsidRPr="006A4431">
        <w:rPr>
          <w:rFonts w:ascii="Times New Roman" w:hAnsi="Times New Roman"/>
          <w:spacing w:val="-2"/>
          <w:sz w:val="24"/>
          <w:u w:val="none"/>
        </w:rPr>
        <w:tab/>
      </w:r>
      <w:r w:rsidRPr="006A4431">
        <w:rPr>
          <w:rFonts w:ascii="Times New Roman" w:hAnsi="Times New Roman"/>
          <w:spacing w:val="-2"/>
          <w:sz w:val="24"/>
        </w:rPr>
        <w:t>SKUPINOVÁ SOLVENTNOSŤ: INFORMÁCIE</w:t>
      </w:r>
      <w:r w:rsidR="00D85C65" w:rsidRPr="006A4431">
        <w:rPr>
          <w:rFonts w:ascii="Times New Roman" w:hAnsi="Times New Roman"/>
          <w:spacing w:val="-2"/>
          <w:sz w:val="24"/>
        </w:rPr>
        <w:t xml:space="preserve"> O </w:t>
      </w:r>
      <w:r w:rsidRPr="006A4431">
        <w:rPr>
          <w:rFonts w:ascii="Times New Roman" w:hAnsi="Times New Roman"/>
          <w:spacing w:val="-2"/>
          <w:sz w:val="24"/>
        </w:rPr>
        <w:t>PRIDRUŽENÝCH PODNIKOCH (GS)</w:t>
      </w:r>
      <w:bookmarkEnd w:id="23"/>
    </w:p>
    <w:p w14:paraId="6A00CF03" w14:textId="77777777"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4" w:name="_Toc29994467"/>
      <w:r w:rsidRPr="006A4431">
        <w:rPr>
          <w:rFonts w:ascii="Times New Roman" w:hAnsi="Times New Roman"/>
          <w:spacing w:val="-2"/>
          <w:sz w:val="24"/>
          <w:u w:val="none"/>
        </w:rPr>
        <w:t>2.1.</w:t>
      </w:r>
      <w:r w:rsidRPr="006A4431">
        <w:rPr>
          <w:rFonts w:ascii="Times New Roman" w:hAnsi="Times New Roman"/>
          <w:spacing w:val="-2"/>
          <w:sz w:val="24"/>
          <w:u w:val="none"/>
        </w:rPr>
        <w:tab/>
      </w:r>
      <w:r w:rsidRPr="006A4431">
        <w:rPr>
          <w:rFonts w:ascii="Times New Roman" w:hAnsi="Times New Roman"/>
          <w:spacing w:val="-2"/>
          <w:sz w:val="24"/>
        </w:rPr>
        <w:t>Všeobecné poznámky</w:t>
      </w:r>
      <w:bookmarkEnd w:id="24"/>
    </w:p>
    <w:p w14:paraId="3C128FD1" w14:textId="07ED6A87" w:rsidR="00235D9D" w:rsidRPr="006A4431" w:rsidRDefault="00125707">
      <w:pPr>
        <w:pStyle w:val="InstructionsText2"/>
        <w:numPr>
          <w:ilvl w:val="0"/>
          <w:numId w:val="0"/>
        </w:numPr>
        <w:ind w:left="993"/>
        <w:rPr>
          <w:spacing w:val="-2"/>
        </w:rPr>
      </w:pPr>
      <w:r w:rsidRPr="006A4431">
        <w:rPr>
          <w:spacing w:val="-2"/>
        </w:rPr>
        <w:t>26.</w:t>
      </w:r>
      <w:r w:rsidRPr="006A4431">
        <w:rPr>
          <w:spacing w:val="-2"/>
        </w:rPr>
        <w:tab/>
        <w:t>Vzory C 06.01</w:t>
      </w:r>
      <w:r w:rsidR="00D85C65" w:rsidRPr="006A4431">
        <w:rPr>
          <w:spacing w:val="-2"/>
        </w:rPr>
        <w:t xml:space="preserve"> a </w:t>
      </w:r>
      <w:r w:rsidRPr="006A4431">
        <w:rPr>
          <w:spacing w:val="-2"/>
        </w:rPr>
        <w:t>C 06.02 sa vykazujú vtedy, keď sa požiadavky na vlastné zdroje vypočítavajú na konsolidovanom základe. Vzor C 06.02 sa skladá zo štyroch častí, aby sa zhromaždili rôzne informácie</w:t>
      </w:r>
      <w:r w:rsidR="00D85C65" w:rsidRPr="006A4431">
        <w:rPr>
          <w:spacing w:val="-2"/>
        </w:rPr>
        <w:t xml:space="preserve"> o </w:t>
      </w:r>
      <w:r w:rsidRPr="006A4431">
        <w:rPr>
          <w:spacing w:val="-2"/>
        </w:rPr>
        <w:t>všetkých jednotlivých subjektoch (vrátane vykazujúcej inštitúcie) zahrnutých do rozsahu konsolidácie.</w:t>
      </w:r>
    </w:p>
    <w:p w14:paraId="2F240F2E" w14:textId="47AC3C28" w:rsidR="00235D9D" w:rsidRPr="006A4431" w:rsidRDefault="00125707">
      <w:pPr>
        <w:pStyle w:val="InstructionsText2"/>
        <w:numPr>
          <w:ilvl w:val="0"/>
          <w:numId w:val="0"/>
        </w:numPr>
        <w:ind w:left="993"/>
        <w:rPr>
          <w:spacing w:val="-2"/>
        </w:rPr>
      </w:pPr>
      <w:r w:rsidRPr="006A4431">
        <w:rPr>
          <w:spacing w:val="-2"/>
        </w:rPr>
        <w:t>a)</w:t>
      </w:r>
      <w:r w:rsidRPr="006A4431">
        <w:rPr>
          <w:spacing w:val="-2"/>
        </w:rPr>
        <w:tab/>
        <w:t>subjekty</w:t>
      </w:r>
      <w:r w:rsidR="00D85C65" w:rsidRPr="006A4431">
        <w:rPr>
          <w:spacing w:val="-2"/>
        </w:rPr>
        <w:t xml:space="preserve"> v </w:t>
      </w:r>
      <w:r w:rsidRPr="006A4431">
        <w:rPr>
          <w:spacing w:val="-2"/>
        </w:rPr>
        <w:t>rámci rozsahu konsolidácie;</w:t>
      </w:r>
    </w:p>
    <w:p w14:paraId="156731C7" w14:textId="001E7CA4" w:rsidR="00235D9D" w:rsidRPr="006A4431" w:rsidRDefault="00125707">
      <w:pPr>
        <w:pStyle w:val="InstructionsText2"/>
        <w:numPr>
          <w:ilvl w:val="0"/>
          <w:numId w:val="0"/>
        </w:numPr>
        <w:ind w:left="993"/>
        <w:rPr>
          <w:spacing w:val="-2"/>
        </w:rPr>
      </w:pPr>
      <w:r w:rsidRPr="006A4431">
        <w:rPr>
          <w:spacing w:val="-2"/>
        </w:rPr>
        <w:t>b)</w:t>
      </w:r>
      <w:r w:rsidRPr="006A4431">
        <w:rPr>
          <w:spacing w:val="-2"/>
        </w:rPr>
        <w:tab/>
        <w:t>podrobné informácie</w:t>
      </w:r>
      <w:r w:rsidR="00D85C65" w:rsidRPr="006A4431">
        <w:rPr>
          <w:spacing w:val="-2"/>
        </w:rPr>
        <w:t xml:space="preserve"> o </w:t>
      </w:r>
      <w:r w:rsidRPr="006A4431">
        <w:rPr>
          <w:spacing w:val="-2"/>
        </w:rPr>
        <w:t>skupinovej solventnosti;</w:t>
      </w:r>
    </w:p>
    <w:p w14:paraId="32ED5F82" w14:textId="0C0703E2" w:rsidR="00235D9D" w:rsidRPr="006A4431" w:rsidRDefault="00125707">
      <w:pPr>
        <w:pStyle w:val="InstructionsText2"/>
        <w:numPr>
          <w:ilvl w:val="0"/>
          <w:numId w:val="0"/>
        </w:numPr>
        <w:ind w:left="993"/>
        <w:rPr>
          <w:spacing w:val="-2"/>
        </w:rPr>
      </w:pPr>
      <w:r w:rsidRPr="006A4431">
        <w:rPr>
          <w:spacing w:val="-2"/>
        </w:rPr>
        <w:t>c)</w:t>
      </w:r>
      <w:r w:rsidRPr="006A4431">
        <w:rPr>
          <w:spacing w:val="-2"/>
        </w:rPr>
        <w:tab/>
        <w:t>informácie</w:t>
      </w:r>
      <w:r w:rsidR="00D85C65" w:rsidRPr="006A4431">
        <w:rPr>
          <w:spacing w:val="-2"/>
        </w:rPr>
        <w:t xml:space="preserve"> o </w:t>
      </w:r>
      <w:r w:rsidRPr="006A4431">
        <w:rPr>
          <w:spacing w:val="-2"/>
        </w:rPr>
        <w:t>príspevkoch jednotlivých subjektov</w:t>
      </w:r>
      <w:r w:rsidR="00D85C65" w:rsidRPr="006A4431">
        <w:rPr>
          <w:spacing w:val="-2"/>
        </w:rPr>
        <w:t xml:space="preserve"> k </w:t>
      </w:r>
      <w:r w:rsidRPr="006A4431">
        <w:rPr>
          <w:spacing w:val="-2"/>
        </w:rPr>
        <w:t>skupinovej solventnosti;</w:t>
      </w:r>
    </w:p>
    <w:p w14:paraId="5775CB40" w14:textId="00EE982B" w:rsidR="00235D9D" w:rsidRPr="006A4431" w:rsidRDefault="00125707">
      <w:pPr>
        <w:pStyle w:val="InstructionsText2"/>
        <w:numPr>
          <w:ilvl w:val="0"/>
          <w:numId w:val="0"/>
        </w:numPr>
        <w:ind w:left="993"/>
        <w:rPr>
          <w:spacing w:val="-2"/>
        </w:rPr>
      </w:pPr>
      <w:r w:rsidRPr="006A4431">
        <w:rPr>
          <w:spacing w:val="-2"/>
        </w:rPr>
        <w:t>d)</w:t>
      </w:r>
      <w:r w:rsidRPr="006A4431">
        <w:rPr>
          <w:spacing w:val="-2"/>
        </w:rPr>
        <w:tab/>
        <w:t>informácie</w:t>
      </w:r>
      <w:r w:rsidR="00D85C65" w:rsidRPr="006A4431">
        <w:rPr>
          <w:spacing w:val="-2"/>
        </w:rPr>
        <w:t xml:space="preserve"> o </w:t>
      </w:r>
      <w:r w:rsidRPr="006A4431">
        <w:rPr>
          <w:spacing w:val="-2"/>
        </w:rPr>
        <w:t>kapitálových vankúšoch;</w:t>
      </w:r>
    </w:p>
    <w:p w14:paraId="5D034BF6" w14:textId="7193BEC9" w:rsidR="00235D9D" w:rsidRPr="006A4431" w:rsidRDefault="00125707">
      <w:pPr>
        <w:pStyle w:val="InstructionsText2"/>
        <w:numPr>
          <w:ilvl w:val="0"/>
          <w:numId w:val="0"/>
        </w:numPr>
        <w:ind w:left="993"/>
        <w:rPr>
          <w:rStyle w:val="InstructionsTabelleText"/>
          <w:rFonts w:ascii="Times New Roman" w:hAnsi="Times New Roman"/>
          <w:spacing w:val="-2"/>
          <w:sz w:val="24"/>
        </w:rPr>
      </w:pPr>
      <w:r w:rsidRPr="006A4431">
        <w:rPr>
          <w:rStyle w:val="InstructionsTabelleText"/>
          <w:rFonts w:ascii="Times New Roman" w:hAnsi="Times New Roman"/>
          <w:spacing w:val="-2"/>
          <w:sz w:val="24"/>
        </w:rPr>
        <w:t>27.</w:t>
      </w:r>
      <w:r w:rsidRPr="006A4431">
        <w:rPr>
          <w:rStyle w:val="InstructionsTabelleText"/>
          <w:rFonts w:ascii="Times New Roman" w:hAnsi="Times New Roman"/>
          <w:spacing w:val="-2"/>
          <w:sz w:val="24"/>
        </w:rPr>
        <w:tab/>
      </w:r>
      <w:r w:rsidRPr="006A4431">
        <w:rPr>
          <w:spacing w:val="-2"/>
        </w:rPr>
        <w:t>Inštitúcie</w:t>
      </w:r>
      <w:r w:rsidRPr="006A4431">
        <w:rPr>
          <w:rStyle w:val="InstructionsTabelleText"/>
          <w:rFonts w:ascii="Times New Roman" w:hAnsi="Times New Roman"/>
          <w:spacing w:val="-2"/>
          <w:sz w:val="24"/>
        </w:rPr>
        <w:t>, ktorým bola udelená výnimka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7 CRR, vykazujú len stĺpce</w:t>
      </w:r>
      <w:r w:rsidRPr="006A4431">
        <w:rPr>
          <w:spacing w:val="-2"/>
        </w:rPr>
        <w:t xml:space="preserve"> 010 </w:t>
      </w:r>
      <w:r w:rsidRPr="006A4431">
        <w:rPr>
          <w:rStyle w:val="InstructionsTabelleText"/>
          <w:rFonts w:ascii="Times New Roman" w:hAnsi="Times New Roman"/>
          <w:spacing w:val="-2"/>
          <w:sz w:val="24"/>
        </w:rPr>
        <w:t>až 060</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250 až 400.</w:t>
      </w:r>
    </w:p>
    <w:p w14:paraId="628603EB" w14:textId="41461C30" w:rsidR="00235D9D" w:rsidRPr="006A4431" w:rsidRDefault="00125707">
      <w:pPr>
        <w:pStyle w:val="InstructionsText2"/>
        <w:numPr>
          <w:ilvl w:val="0"/>
          <w:numId w:val="0"/>
        </w:numPr>
        <w:ind w:left="993"/>
        <w:rPr>
          <w:spacing w:val="-2"/>
        </w:rPr>
      </w:pPr>
      <w:r w:rsidRPr="006A4431">
        <w:rPr>
          <w:spacing w:val="-2"/>
        </w:rPr>
        <w:t>28.</w:t>
      </w:r>
      <w:r w:rsidRPr="006A4431">
        <w:rPr>
          <w:spacing w:val="-2"/>
        </w:rPr>
        <w:tab/>
        <w:t>Vykazované číselné hodnoty zohľadňujú všetky uplatniteľné prechodné ustanovenia CRR, ktoré sú uplatniteľné</w:t>
      </w:r>
      <w:r w:rsidR="00D85C65" w:rsidRPr="006A4431">
        <w:rPr>
          <w:spacing w:val="-2"/>
        </w:rPr>
        <w:t xml:space="preserve"> k </w:t>
      </w:r>
      <w:r w:rsidRPr="006A4431">
        <w:rPr>
          <w:spacing w:val="-2"/>
        </w:rPr>
        <w:t>príslušnému dátumu vykazovania.</w:t>
      </w:r>
    </w:p>
    <w:p w14:paraId="4A512942" w14:textId="6D67320C"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5" w:name="_Toc29994468"/>
      <w:r w:rsidRPr="006A4431">
        <w:rPr>
          <w:rFonts w:ascii="Times New Roman" w:hAnsi="Times New Roman"/>
          <w:spacing w:val="-2"/>
          <w:sz w:val="24"/>
          <w:u w:val="none"/>
        </w:rPr>
        <w:t>2.2.</w:t>
      </w:r>
      <w:r w:rsidRPr="006A4431">
        <w:rPr>
          <w:rFonts w:ascii="Times New Roman" w:hAnsi="Times New Roman"/>
          <w:spacing w:val="-2"/>
          <w:sz w:val="24"/>
          <w:u w:val="none"/>
        </w:rPr>
        <w:tab/>
      </w:r>
      <w:r w:rsidRPr="006A4431">
        <w:rPr>
          <w:rFonts w:ascii="Times New Roman" w:hAnsi="Times New Roman"/>
          <w:spacing w:val="-2"/>
          <w:sz w:val="24"/>
        </w:rPr>
        <w:t>Podrobné informácie</w:t>
      </w:r>
      <w:r w:rsidR="00D85C65" w:rsidRPr="006A4431">
        <w:rPr>
          <w:rFonts w:ascii="Times New Roman" w:hAnsi="Times New Roman"/>
          <w:spacing w:val="-2"/>
          <w:sz w:val="24"/>
        </w:rPr>
        <w:t xml:space="preserve"> o </w:t>
      </w:r>
      <w:r w:rsidRPr="006A4431">
        <w:rPr>
          <w:rFonts w:ascii="Times New Roman" w:hAnsi="Times New Roman"/>
          <w:spacing w:val="-2"/>
          <w:sz w:val="24"/>
        </w:rPr>
        <w:t>skupinovej solventnosti;</w:t>
      </w:r>
      <w:bookmarkEnd w:id="25"/>
    </w:p>
    <w:p w14:paraId="53C5A317" w14:textId="45656279" w:rsidR="00D85C65" w:rsidRPr="006A4431" w:rsidRDefault="00125707">
      <w:pPr>
        <w:pStyle w:val="InstructionsText2"/>
        <w:numPr>
          <w:ilvl w:val="0"/>
          <w:numId w:val="0"/>
        </w:numPr>
        <w:ind w:left="993"/>
        <w:rPr>
          <w:spacing w:val="-2"/>
        </w:rPr>
      </w:pPr>
      <w:r w:rsidRPr="006A4431">
        <w:rPr>
          <w:spacing w:val="-2"/>
        </w:rPr>
        <w:t>29.</w:t>
      </w:r>
      <w:r w:rsidRPr="006A4431">
        <w:rPr>
          <w:spacing w:val="-2"/>
        </w:rPr>
        <w:tab/>
        <w:t>Druhá časť vzoru C 06.02 (podrobné informácie</w:t>
      </w:r>
      <w:r w:rsidR="00D85C65" w:rsidRPr="006A4431">
        <w:rPr>
          <w:spacing w:val="-2"/>
        </w:rPr>
        <w:t xml:space="preserve"> o </w:t>
      </w:r>
      <w:r w:rsidRPr="006A4431">
        <w:rPr>
          <w:spacing w:val="-2"/>
        </w:rPr>
        <w:t>skupinovej solventnosti)</w:t>
      </w:r>
      <w:r w:rsidR="00D85C65" w:rsidRPr="006A4431">
        <w:rPr>
          <w:spacing w:val="-2"/>
        </w:rPr>
        <w:t xml:space="preserve"> v </w:t>
      </w:r>
      <w:r w:rsidRPr="006A4431">
        <w:rPr>
          <w:spacing w:val="-2"/>
        </w:rPr>
        <w:t>stĺpcoch 070 až 210 je určená na zhromaždenie informácií</w:t>
      </w:r>
      <w:r w:rsidR="00D85C65" w:rsidRPr="006A4431">
        <w:rPr>
          <w:spacing w:val="-2"/>
        </w:rPr>
        <w:t xml:space="preserve"> o </w:t>
      </w:r>
      <w:r w:rsidRPr="006A4431">
        <w:rPr>
          <w:spacing w:val="-2"/>
        </w:rPr>
        <w:t>kreditných</w:t>
      </w:r>
      <w:r w:rsidR="00D85C65" w:rsidRPr="006A4431">
        <w:rPr>
          <w:spacing w:val="-2"/>
        </w:rPr>
        <w:t xml:space="preserve"> a </w:t>
      </w:r>
      <w:r w:rsidRPr="006A4431">
        <w:rPr>
          <w:spacing w:val="-2"/>
        </w:rPr>
        <w:t>iných regulovaných finančných inštitúciách, na ktoré sa</w:t>
      </w:r>
      <w:r w:rsidR="00D85C65" w:rsidRPr="006A4431">
        <w:rPr>
          <w:spacing w:val="-2"/>
        </w:rPr>
        <w:t xml:space="preserve"> v </w:t>
      </w:r>
      <w:r w:rsidRPr="006A4431">
        <w:rPr>
          <w:spacing w:val="-2"/>
        </w:rPr>
        <w:t>skutočnosti vzťahujú osobitné požiadavky na platobnú schopnosť na individuálnom základe. Pre každý</w:t>
      </w:r>
      <w:r w:rsidR="00D85C65" w:rsidRPr="006A4431">
        <w:rPr>
          <w:spacing w:val="-2"/>
        </w:rPr>
        <w:t xml:space="preserve"> z </w:t>
      </w:r>
      <w:r w:rsidRPr="006A4431">
        <w:rPr>
          <w:spacing w:val="-2"/>
        </w:rPr>
        <w:t>týchto subjektov</w:t>
      </w:r>
      <w:r w:rsidR="00D85C65" w:rsidRPr="006A4431">
        <w:rPr>
          <w:spacing w:val="-2"/>
        </w:rPr>
        <w:t xml:space="preserve"> v </w:t>
      </w:r>
      <w:r w:rsidRPr="006A4431">
        <w:rPr>
          <w:spacing w:val="-2"/>
        </w:rPr>
        <w:t>rámci rozsahu vykazovania sa stanovujú požiadavky na vlastné zdroje pre každú rizikovú kategóriu</w:t>
      </w:r>
      <w:r w:rsidR="00D85C65" w:rsidRPr="006A4431">
        <w:rPr>
          <w:spacing w:val="-2"/>
        </w:rPr>
        <w:t xml:space="preserve"> a </w:t>
      </w:r>
      <w:r w:rsidRPr="006A4431">
        <w:rPr>
          <w:spacing w:val="-2"/>
        </w:rPr>
        <w:t>vlastné zdroje na účely platobnej schopnosti</w:t>
      </w:r>
      <w:r w:rsidR="00D85C65" w:rsidRPr="006A4431">
        <w:rPr>
          <w:spacing w:val="-2"/>
        </w:rPr>
        <w:t>.</w:t>
      </w:r>
    </w:p>
    <w:p w14:paraId="3060C7BE" w14:textId="00E4F8D5" w:rsidR="00235D9D" w:rsidRPr="006A4431" w:rsidRDefault="00125707">
      <w:pPr>
        <w:pStyle w:val="InstructionsText2"/>
        <w:numPr>
          <w:ilvl w:val="0"/>
          <w:numId w:val="0"/>
        </w:numPr>
        <w:ind w:left="993"/>
        <w:rPr>
          <w:spacing w:val="-2"/>
        </w:rPr>
      </w:pPr>
      <w:r w:rsidRPr="006A4431">
        <w:rPr>
          <w:spacing w:val="-2"/>
        </w:rPr>
        <w:t>30.</w:t>
      </w:r>
      <w:r w:rsidRPr="006A4431">
        <w:rPr>
          <w:spacing w:val="-2"/>
        </w:rPr>
        <w:tab/>
        <w:t>V prípade podielovej konsolidácie účastníkov vyjadrujú údaje, ktoré sa týkajú požiadaviek na vlastné zdroje</w:t>
      </w:r>
      <w:r w:rsidR="00D85C65" w:rsidRPr="006A4431">
        <w:rPr>
          <w:spacing w:val="-2"/>
        </w:rPr>
        <w:t xml:space="preserve"> a </w:t>
      </w:r>
      <w:r w:rsidRPr="006A4431">
        <w:rPr>
          <w:spacing w:val="-2"/>
        </w:rPr>
        <w:t>vlastných zdrojov, príslušné podielové hodnoty.</w:t>
      </w:r>
    </w:p>
    <w:p w14:paraId="0BDB977F" w14:textId="5D547C53"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6" w:name="_Toc29994469"/>
      <w:r w:rsidRPr="006A4431">
        <w:rPr>
          <w:rFonts w:ascii="Times New Roman" w:hAnsi="Times New Roman"/>
          <w:spacing w:val="-2"/>
          <w:sz w:val="24"/>
          <w:u w:val="none"/>
        </w:rPr>
        <w:t>2.3.</w:t>
      </w:r>
      <w:r w:rsidRPr="006A4431">
        <w:rPr>
          <w:rFonts w:ascii="Times New Roman" w:hAnsi="Times New Roman"/>
          <w:spacing w:val="-2"/>
          <w:sz w:val="24"/>
          <w:u w:val="none"/>
        </w:rPr>
        <w:tab/>
      </w:r>
      <w:r w:rsidRPr="006A4431">
        <w:rPr>
          <w:rFonts w:ascii="Times New Roman" w:hAnsi="Times New Roman"/>
          <w:spacing w:val="-2"/>
          <w:sz w:val="24"/>
        </w:rPr>
        <w:t>Informácie</w:t>
      </w:r>
      <w:r w:rsidR="00D85C65" w:rsidRPr="006A4431">
        <w:rPr>
          <w:rFonts w:ascii="Times New Roman" w:hAnsi="Times New Roman"/>
          <w:spacing w:val="-2"/>
          <w:sz w:val="24"/>
        </w:rPr>
        <w:t xml:space="preserve"> o </w:t>
      </w:r>
      <w:r w:rsidRPr="006A4431">
        <w:rPr>
          <w:rFonts w:ascii="Times New Roman" w:hAnsi="Times New Roman"/>
          <w:spacing w:val="-2"/>
          <w:sz w:val="24"/>
        </w:rPr>
        <w:t>príspevkoch jednotlivých subjektov</w:t>
      </w:r>
      <w:r w:rsidR="00D85C65" w:rsidRPr="006A4431">
        <w:rPr>
          <w:rFonts w:ascii="Times New Roman" w:hAnsi="Times New Roman"/>
          <w:spacing w:val="-2"/>
          <w:sz w:val="24"/>
        </w:rPr>
        <w:t xml:space="preserve"> k </w:t>
      </w:r>
      <w:r w:rsidRPr="006A4431">
        <w:rPr>
          <w:rFonts w:ascii="Times New Roman" w:hAnsi="Times New Roman"/>
          <w:spacing w:val="-2"/>
          <w:sz w:val="24"/>
        </w:rPr>
        <w:t>skupinovej solventnosti</w:t>
      </w:r>
      <w:bookmarkEnd w:id="26"/>
    </w:p>
    <w:p w14:paraId="2A21CBF0" w14:textId="29E1548F" w:rsidR="00D85C65" w:rsidRPr="006A4431" w:rsidRDefault="00125707">
      <w:pPr>
        <w:pStyle w:val="InstructionsText2"/>
        <w:numPr>
          <w:ilvl w:val="0"/>
          <w:numId w:val="0"/>
        </w:numPr>
        <w:ind w:left="993"/>
        <w:rPr>
          <w:spacing w:val="-2"/>
        </w:rPr>
      </w:pPr>
      <w:r w:rsidRPr="006A4431">
        <w:rPr>
          <w:spacing w:val="-2"/>
        </w:rPr>
        <w:t>31.</w:t>
      </w:r>
      <w:r w:rsidRPr="006A4431">
        <w:rPr>
          <w:spacing w:val="-2"/>
        </w:rPr>
        <w:tab/>
        <w:t>Cieľom tretej časti vzoru C 06.02</w:t>
      </w:r>
      <w:r w:rsidR="00D85C65" w:rsidRPr="006A4431">
        <w:rPr>
          <w:spacing w:val="-2"/>
        </w:rPr>
        <w:t xml:space="preserve"> a </w:t>
      </w:r>
      <w:r w:rsidRPr="006A4431">
        <w:rPr>
          <w:spacing w:val="-2"/>
        </w:rPr>
        <w:t>vzoru C 06.01 (informácie</w:t>
      </w:r>
      <w:r w:rsidR="00D85C65" w:rsidRPr="006A4431">
        <w:rPr>
          <w:spacing w:val="-2"/>
        </w:rPr>
        <w:t xml:space="preserve"> o </w:t>
      </w:r>
      <w:r w:rsidRPr="006A4431">
        <w:rPr>
          <w:spacing w:val="-2"/>
        </w:rPr>
        <w:t>príspevkoch všetkých subjektov</w:t>
      </w:r>
      <w:r w:rsidR="00D85C65" w:rsidRPr="006A4431">
        <w:rPr>
          <w:spacing w:val="-2"/>
        </w:rPr>
        <w:t xml:space="preserve"> v </w:t>
      </w:r>
      <w:r w:rsidRPr="006A4431">
        <w:rPr>
          <w:spacing w:val="-2"/>
        </w:rPr>
        <w:t>rámci rozsahu pôsobnosti CRR, pokiaľ ide</w:t>
      </w:r>
      <w:r w:rsidR="00D85C65" w:rsidRPr="006A4431">
        <w:rPr>
          <w:spacing w:val="-2"/>
        </w:rPr>
        <w:t xml:space="preserve"> o </w:t>
      </w:r>
      <w:r w:rsidRPr="006A4431">
        <w:rPr>
          <w:spacing w:val="-2"/>
        </w:rPr>
        <w:t>konsolidáciu,</w:t>
      </w:r>
      <w:r w:rsidR="00D85C65" w:rsidRPr="006A4431">
        <w:rPr>
          <w:spacing w:val="-2"/>
        </w:rPr>
        <w:t xml:space="preserve"> </w:t>
      </w:r>
      <w:r w:rsidR="00D85C65" w:rsidRPr="006A4431">
        <w:rPr>
          <w:spacing w:val="-2"/>
        </w:rPr>
        <w:lastRenderedPageBreak/>
        <w:t>k </w:t>
      </w:r>
      <w:r w:rsidRPr="006A4431">
        <w:rPr>
          <w:spacing w:val="-2"/>
        </w:rPr>
        <w:t>skupinovej solventnosti) vrátane tých, na ktoré sa nevzťahujú osobitné požiadavky na platobnú schopnosť na individuálnom základe,</w:t>
      </w:r>
      <w:r w:rsidR="00D85C65" w:rsidRPr="006A4431">
        <w:rPr>
          <w:spacing w:val="-2"/>
        </w:rPr>
        <w:t xml:space="preserve"> v </w:t>
      </w:r>
      <w:r w:rsidRPr="006A4431">
        <w:rPr>
          <w:spacing w:val="-2"/>
        </w:rPr>
        <w:t>stĺpcoch 250 až 400 je určiť, ktoré subjekty</w:t>
      </w:r>
      <w:r w:rsidR="00D85C65" w:rsidRPr="006A4431">
        <w:rPr>
          <w:spacing w:val="-2"/>
        </w:rPr>
        <w:t xml:space="preserve"> v </w:t>
      </w:r>
      <w:r w:rsidRPr="006A4431">
        <w:rPr>
          <w:spacing w:val="-2"/>
        </w:rPr>
        <w:t>rámci skupiny prinášajú riziká</w:t>
      </w:r>
      <w:r w:rsidR="00D85C65" w:rsidRPr="006A4431">
        <w:rPr>
          <w:spacing w:val="-2"/>
        </w:rPr>
        <w:t xml:space="preserve"> a </w:t>
      </w:r>
      <w:r w:rsidRPr="006A4431">
        <w:rPr>
          <w:spacing w:val="-2"/>
        </w:rPr>
        <w:t>získavajú vlastné zdroje na trhu, na základe údajov, ktoré sú jednoducho</w:t>
      </w:r>
      <w:r w:rsidR="00D85C65" w:rsidRPr="006A4431">
        <w:rPr>
          <w:spacing w:val="-2"/>
        </w:rPr>
        <w:t xml:space="preserve"> k </w:t>
      </w:r>
      <w:r w:rsidRPr="006A4431">
        <w:rPr>
          <w:spacing w:val="-2"/>
        </w:rPr>
        <w:t>dispozícii alebo ich možno jednoducho spracovať bez toho, aby bolo potrebné prepočítavať podiel kapitálu na samostatnom alebo subkonsolidovanom základe. Na úrovni subjektu predstavujú údaje</w:t>
      </w:r>
      <w:r w:rsidR="00D85C65" w:rsidRPr="006A4431">
        <w:rPr>
          <w:spacing w:val="-2"/>
        </w:rPr>
        <w:t xml:space="preserve"> o </w:t>
      </w:r>
      <w:r w:rsidRPr="006A4431">
        <w:rPr>
          <w:spacing w:val="-2"/>
        </w:rPr>
        <w:t>rizikách</w:t>
      </w:r>
      <w:r w:rsidR="00D85C65" w:rsidRPr="006A4431">
        <w:rPr>
          <w:spacing w:val="-2"/>
        </w:rPr>
        <w:t xml:space="preserve"> a </w:t>
      </w:r>
      <w:r w:rsidRPr="006A4431">
        <w:rPr>
          <w:spacing w:val="-2"/>
        </w:rPr>
        <w:t>vlastných zdrojoch príspevky</w:t>
      </w:r>
      <w:r w:rsidR="00D85C65" w:rsidRPr="006A4431">
        <w:rPr>
          <w:spacing w:val="-2"/>
        </w:rPr>
        <w:t xml:space="preserve"> k </w:t>
      </w:r>
      <w:r w:rsidRPr="006A4431">
        <w:rPr>
          <w:spacing w:val="-2"/>
        </w:rPr>
        <w:t>údajom skupiny</w:t>
      </w:r>
      <w:r w:rsidR="00D85C65" w:rsidRPr="006A4431">
        <w:rPr>
          <w:spacing w:val="-2"/>
        </w:rPr>
        <w:t xml:space="preserve"> a </w:t>
      </w:r>
      <w:r w:rsidRPr="006A4431">
        <w:rPr>
          <w:spacing w:val="-2"/>
        </w:rPr>
        <w:t>nepredstavujú prvky pomeru platobnej schopnosti na samostatnom základe,</w:t>
      </w:r>
      <w:r w:rsidR="00D85C65" w:rsidRPr="006A4431">
        <w:rPr>
          <w:spacing w:val="-2"/>
        </w:rPr>
        <w:t xml:space="preserve"> a </w:t>
      </w:r>
      <w:r w:rsidRPr="006A4431">
        <w:rPr>
          <w:spacing w:val="-2"/>
        </w:rPr>
        <w:t>preto sa nemôžu navzájom porovnávať</w:t>
      </w:r>
      <w:r w:rsidR="00D85C65" w:rsidRPr="006A4431">
        <w:rPr>
          <w:spacing w:val="-2"/>
        </w:rPr>
        <w:t>.</w:t>
      </w:r>
    </w:p>
    <w:p w14:paraId="44517FB0" w14:textId="71E7A64A" w:rsidR="00235D9D" w:rsidRPr="006A4431" w:rsidRDefault="00125707">
      <w:pPr>
        <w:pStyle w:val="InstructionsText2"/>
        <w:numPr>
          <w:ilvl w:val="0"/>
          <w:numId w:val="0"/>
        </w:numPr>
        <w:ind w:left="993"/>
        <w:rPr>
          <w:spacing w:val="-2"/>
        </w:rPr>
      </w:pPr>
      <w:r w:rsidRPr="006A4431">
        <w:rPr>
          <w:spacing w:val="-2"/>
        </w:rPr>
        <w:t>32.</w:t>
      </w:r>
      <w:r w:rsidRPr="006A4431">
        <w:rPr>
          <w:spacing w:val="-2"/>
        </w:rPr>
        <w:tab/>
        <w:t>Tretia časť zahŕňa aj hodnoty menšinových účastí, kvalifikovaného AT1</w:t>
      </w:r>
      <w:r w:rsidR="00D85C65" w:rsidRPr="006A4431">
        <w:rPr>
          <w:spacing w:val="-2"/>
        </w:rPr>
        <w:t xml:space="preserve"> a </w:t>
      </w:r>
      <w:r w:rsidRPr="006A4431">
        <w:rPr>
          <w:spacing w:val="-2"/>
        </w:rPr>
        <w:t>kvalifikovaného T2 prípustné</w:t>
      </w:r>
      <w:r w:rsidR="00D85C65" w:rsidRPr="006A4431">
        <w:rPr>
          <w:spacing w:val="-2"/>
        </w:rPr>
        <w:t xml:space="preserve"> v </w:t>
      </w:r>
      <w:r w:rsidRPr="006A4431">
        <w:rPr>
          <w:spacing w:val="-2"/>
        </w:rPr>
        <w:t>konsolidovaných vlastných zdrojoch.</w:t>
      </w:r>
    </w:p>
    <w:p w14:paraId="059C57B0" w14:textId="249FB023" w:rsidR="00235D9D" w:rsidRPr="006A4431" w:rsidRDefault="00125707">
      <w:pPr>
        <w:pStyle w:val="InstructionsText2"/>
        <w:numPr>
          <w:ilvl w:val="0"/>
          <w:numId w:val="0"/>
        </w:numPr>
        <w:ind w:left="993"/>
        <w:rPr>
          <w:spacing w:val="-2"/>
        </w:rPr>
      </w:pPr>
      <w:r w:rsidRPr="006A4431">
        <w:rPr>
          <w:spacing w:val="-2"/>
        </w:rPr>
        <w:t>33.</w:t>
      </w:r>
      <w:r w:rsidRPr="006A4431">
        <w:rPr>
          <w:spacing w:val="-2"/>
        </w:rPr>
        <w:tab/>
        <w:t>Keďže táto tretia časť vzoru sa týka „príspevkov“, číselné hodnoty, ktoré sa majú vykázať</w:t>
      </w:r>
      <w:r w:rsidR="00D85C65" w:rsidRPr="006A4431">
        <w:rPr>
          <w:spacing w:val="-2"/>
        </w:rPr>
        <w:t xml:space="preserve"> v </w:t>
      </w:r>
      <w:r w:rsidRPr="006A4431">
        <w:rPr>
          <w:spacing w:val="-2"/>
        </w:rPr>
        <w:t>tejto časti, sa</w:t>
      </w:r>
      <w:r w:rsidR="00D85C65" w:rsidRPr="006A4431">
        <w:rPr>
          <w:spacing w:val="-2"/>
        </w:rPr>
        <w:t xml:space="preserve"> v </w:t>
      </w:r>
      <w:r w:rsidRPr="006A4431">
        <w:rPr>
          <w:spacing w:val="-2"/>
        </w:rPr>
        <w:t>náležitých prípadoch odchyľujú od číselných hodnôt vykázaných</w:t>
      </w:r>
      <w:r w:rsidR="00D85C65" w:rsidRPr="006A4431">
        <w:rPr>
          <w:spacing w:val="-2"/>
        </w:rPr>
        <w:t xml:space="preserve"> v </w:t>
      </w:r>
      <w:r w:rsidRPr="006A4431">
        <w:rPr>
          <w:spacing w:val="-2"/>
        </w:rPr>
        <w:t>stĺpcoch týkajúcich sa podrobných informácií</w:t>
      </w:r>
      <w:r w:rsidR="00D85C65" w:rsidRPr="006A4431">
        <w:rPr>
          <w:spacing w:val="-2"/>
        </w:rPr>
        <w:t xml:space="preserve"> o </w:t>
      </w:r>
      <w:r w:rsidRPr="006A4431">
        <w:rPr>
          <w:spacing w:val="-2"/>
        </w:rPr>
        <w:t>skupinovej solventnosti.</w:t>
      </w:r>
    </w:p>
    <w:p w14:paraId="59DCAFC3" w14:textId="20D57036" w:rsidR="00235D9D" w:rsidRPr="006A4431" w:rsidRDefault="00125707">
      <w:pPr>
        <w:pStyle w:val="InstructionsText2"/>
        <w:numPr>
          <w:ilvl w:val="0"/>
          <w:numId w:val="0"/>
        </w:numPr>
        <w:ind w:left="993"/>
        <w:rPr>
          <w:spacing w:val="-2"/>
        </w:rPr>
      </w:pPr>
      <w:r w:rsidRPr="006A4431">
        <w:rPr>
          <w:spacing w:val="-2"/>
        </w:rPr>
        <w:t>34.</w:t>
      </w:r>
      <w:r w:rsidRPr="006A4431">
        <w:rPr>
          <w:spacing w:val="-2"/>
        </w:rPr>
        <w:tab/>
        <w:t>Základnou myšlienkou je homogénnym spôsobom (z hľadiska rizík alebo vlastných zdrojov) odstrániť krížové expozície</w:t>
      </w:r>
      <w:r w:rsidR="00D85C65" w:rsidRPr="006A4431">
        <w:rPr>
          <w:spacing w:val="-2"/>
        </w:rPr>
        <w:t xml:space="preserve"> v </w:t>
      </w:r>
      <w:r w:rsidRPr="006A4431">
        <w:rPr>
          <w:spacing w:val="-2"/>
        </w:rPr>
        <w:t>rámci rovnakých skupín</w:t>
      </w:r>
      <w:r w:rsidR="00D85C65" w:rsidRPr="006A4431">
        <w:rPr>
          <w:spacing w:val="-2"/>
        </w:rPr>
        <w:t xml:space="preserve"> s </w:t>
      </w:r>
      <w:r w:rsidRPr="006A4431">
        <w:rPr>
          <w:spacing w:val="-2"/>
        </w:rPr>
        <w:t>cieľom pokryť hodnoty vykázané</w:t>
      </w:r>
      <w:r w:rsidR="00D85C65" w:rsidRPr="006A4431">
        <w:rPr>
          <w:spacing w:val="-2"/>
        </w:rPr>
        <w:t xml:space="preserve"> v </w:t>
      </w:r>
      <w:r w:rsidRPr="006A4431">
        <w:rPr>
          <w:spacing w:val="-2"/>
        </w:rPr>
        <w:t>konsolidovanom vzore CA danej skupiny sčítaním hodnôt vykázaných pre každý subjekt vo vzore „Skupinová solventnosť“. Ak sa neprekročí prahová hodnota 1</w:t>
      </w:r>
      <w:r w:rsidR="00D85C65" w:rsidRPr="006A4431">
        <w:rPr>
          <w:spacing w:val="-2"/>
        </w:rPr>
        <w:t> %</w:t>
      </w:r>
      <w:r w:rsidRPr="006A4431">
        <w:rPr>
          <w:spacing w:val="-2"/>
        </w:rPr>
        <w:t>, nie je možné priame spojenie so vzorom CA.</w:t>
      </w:r>
    </w:p>
    <w:p w14:paraId="024FA7DB" w14:textId="54FD2AEA" w:rsidR="00235D9D" w:rsidRPr="006A4431" w:rsidRDefault="00125707">
      <w:pPr>
        <w:pStyle w:val="InstructionsText2"/>
        <w:numPr>
          <w:ilvl w:val="0"/>
          <w:numId w:val="0"/>
        </w:numPr>
        <w:ind w:left="993"/>
        <w:rPr>
          <w:spacing w:val="-2"/>
        </w:rPr>
      </w:pPr>
      <w:r w:rsidRPr="006A4431">
        <w:rPr>
          <w:spacing w:val="-2"/>
        </w:rPr>
        <w:t>35.</w:t>
      </w:r>
      <w:r w:rsidRPr="006A4431">
        <w:rPr>
          <w:spacing w:val="-2"/>
        </w:rPr>
        <w:tab/>
        <w:t>Inštitúcie zadefinujú najvhodnejšiu metódu na rozčlenenie medzi subjektmi, aby sa zohľadnili možné účinky diverzifikácie pre trhové riziko</w:t>
      </w:r>
      <w:r w:rsidR="00D85C65" w:rsidRPr="006A4431">
        <w:rPr>
          <w:spacing w:val="-2"/>
        </w:rPr>
        <w:t xml:space="preserve"> a </w:t>
      </w:r>
      <w:r w:rsidRPr="006A4431">
        <w:rPr>
          <w:spacing w:val="-2"/>
        </w:rPr>
        <w:t>operačné riziko.</w:t>
      </w:r>
    </w:p>
    <w:p w14:paraId="352C05C1" w14:textId="105E7AEA" w:rsidR="00D85C65" w:rsidRPr="006A4431" w:rsidRDefault="00125707">
      <w:pPr>
        <w:pStyle w:val="InstructionsText2"/>
        <w:numPr>
          <w:ilvl w:val="0"/>
          <w:numId w:val="0"/>
        </w:numPr>
        <w:ind w:left="993"/>
        <w:rPr>
          <w:spacing w:val="-2"/>
        </w:rPr>
      </w:pPr>
      <w:r w:rsidRPr="006A4431">
        <w:rPr>
          <w:spacing w:val="-2"/>
        </w:rPr>
        <w:t>36.</w:t>
      </w:r>
      <w:r w:rsidRPr="006A4431">
        <w:rPr>
          <w:spacing w:val="-2"/>
        </w:rPr>
        <w:tab/>
        <w:t>Je možné, aby jedna konsolidovaná skupina bola zahrnutá do inej konsolidovanej skupiny. Znamená to, že pri subjektoch</w:t>
      </w:r>
      <w:r w:rsidR="00D85C65" w:rsidRPr="006A4431">
        <w:rPr>
          <w:spacing w:val="-2"/>
        </w:rPr>
        <w:t xml:space="preserve"> v </w:t>
      </w:r>
      <w:r w:rsidRPr="006A4431">
        <w:rPr>
          <w:spacing w:val="-2"/>
        </w:rPr>
        <w:t>rámci podskupiny sa vo vzore GS celej skupiny vykazujú jednotlivé subjekty,</w:t>
      </w:r>
      <w:r w:rsidR="00D85C65" w:rsidRPr="006A4431">
        <w:rPr>
          <w:spacing w:val="-2"/>
        </w:rPr>
        <w:t xml:space="preserve"> a </w:t>
      </w:r>
      <w:r w:rsidRPr="006A4431">
        <w:rPr>
          <w:spacing w:val="-2"/>
        </w:rPr>
        <w:t>to aj vtedy, keď sa na samotnú podskupinu vzťahujú požiadavky na vykazovanie. Podskupina, na ktorú sa vzťahujú požiadavky na vykazovanie, vykazuje aj vzor GS pre jednotlivé subjekty, aj keď tieto údaje sú už zahrnuté vo vzore GS vyššej konsolidovanej skupiny</w:t>
      </w:r>
      <w:r w:rsidR="00D85C65" w:rsidRPr="006A4431">
        <w:rPr>
          <w:spacing w:val="-2"/>
        </w:rPr>
        <w:t>.</w:t>
      </w:r>
    </w:p>
    <w:p w14:paraId="747B1752" w14:textId="2518886B" w:rsidR="00235D9D" w:rsidRPr="006A4431" w:rsidRDefault="00125707">
      <w:pPr>
        <w:pStyle w:val="InstructionsText2"/>
        <w:numPr>
          <w:ilvl w:val="0"/>
          <w:numId w:val="0"/>
        </w:numPr>
        <w:ind w:left="993"/>
        <w:rPr>
          <w:spacing w:val="-2"/>
        </w:rPr>
      </w:pPr>
      <w:r w:rsidRPr="006A4431">
        <w:rPr>
          <w:spacing w:val="-2"/>
        </w:rPr>
        <w:t>37.</w:t>
      </w:r>
      <w:r w:rsidRPr="006A4431">
        <w:rPr>
          <w:spacing w:val="-2"/>
        </w:rPr>
        <w:tab/>
        <w:t>Inštitúcia vykazuje údaje</w:t>
      </w:r>
      <w:r w:rsidR="00D85C65" w:rsidRPr="006A4431">
        <w:rPr>
          <w:spacing w:val="-2"/>
        </w:rPr>
        <w:t xml:space="preserve"> o </w:t>
      </w:r>
      <w:r w:rsidRPr="006A4431">
        <w:rPr>
          <w:spacing w:val="-2"/>
        </w:rPr>
        <w:t>príspevku subjektu, keď jeho príspevok</w:t>
      </w:r>
      <w:r w:rsidR="00D85C65" w:rsidRPr="006A4431">
        <w:rPr>
          <w:spacing w:val="-2"/>
        </w:rPr>
        <w:t xml:space="preserve"> k </w:t>
      </w:r>
      <w:r w:rsidRPr="006A4431">
        <w:rPr>
          <w:spacing w:val="-2"/>
        </w:rPr>
        <w:t>celkovej hodnote rizikových expozícií presahuje 1</w:t>
      </w:r>
      <w:r w:rsidR="00D85C65" w:rsidRPr="006A4431">
        <w:rPr>
          <w:spacing w:val="-2"/>
        </w:rPr>
        <w:t> %</w:t>
      </w:r>
      <w:r w:rsidRPr="006A4431">
        <w:rPr>
          <w:spacing w:val="-2"/>
        </w:rPr>
        <w:t xml:space="preserve"> celkovej hodnoty rizikových expozícií skupiny alebo keď jeho príspevok</w:t>
      </w:r>
      <w:r w:rsidR="00D85C65" w:rsidRPr="006A4431">
        <w:rPr>
          <w:spacing w:val="-2"/>
        </w:rPr>
        <w:t xml:space="preserve"> k </w:t>
      </w:r>
      <w:r w:rsidRPr="006A4431">
        <w:rPr>
          <w:spacing w:val="-2"/>
        </w:rPr>
        <w:t>celkovým vlastným zdrojom presahuje 1</w:t>
      </w:r>
      <w:r w:rsidR="00D85C65" w:rsidRPr="006A4431">
        <w:rPr>
          <w:spacing w:val="-2"/>
        </w:rPr>
        <w:t> %</w:t>
      </w:r>
      <w:r w:rsidRPr="006A4431">
        <w:rPr>
          <w:spacing w:val="-2"/>
        </w:rPr>
        <w:t xml:space="preserve"> celkových vlastných zdrojov skupiny. Táto prahová hodnota sa neuplatňuje</w:t>
      </w:r>
      <w:r w:rsidR="00D85C65" w:rsidRPr="006A4431">
        <w:rPr>
          <w:spacing w:val="-2"/>
        </w:rPr>
        <w:t xml:space="preserve"> v </w:t>
      </w:r>
      <w:r w:rsidRPr="006A4431">
        <w:rPr>
          <w:spacing w:val="-2"/>
        </w:rPr>
        <w:t>prípade dcérskych spoločností alebo podskupín, ktoré poskytujú skupine vlastné zdroje (vo forme menšinových účastí alebo nástrojov kvalifikovaného AT1 alebo T2 zahrnutých vo vlastných zdrojoch).</w:t>
      </w:r>
    </w:p>
    <w:p w14:paraId="313A94E2" w14:textId="45FBAABB"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7" w:name="_Toc29994470"/>
      <w:r w:rsidRPr="006A4431">
        <w:rPr>
          <w:rFonts w:ascii="Times New Roman" w:hAnsi="Times New Roman"/>
          <w:spacing w:val="-2"/>
          <w:sz w:val="24"/>
          <w:u w:val="none"/>
        </w:rPr>
        <w:t>2.4.</w:t>
      </w:r>
      <w:r w:rsidRPr="006A4431">
        <w:rPr>
          <w:rFonts w:ascii="Times New Roman" w:hAnsi="Times New Roman"/>
          <w:spacing w:val="-2"/>
          <w:sz w:val="24"/>
          <w:u w:val="none"/>
        </w:rPr>
        <w:tab/>
      </w:r>
      <w:r w:rsidRPr="006A4431">
        <w:rPr>
          <w:rFonts w:ascii="Times New Roman" w:hAnsi="Times New Roman"/>
          <w:spacing w:val="-2"/>
          <w:sz w:val="24"/>
        </w:rPr>
        <w:t>C 06.01 – SKUPINOVÁ SOLVENTNOSŤ: INFORMÁCIE</w:t>
      </w:r>
      <w:r w:rsidR="00D85C65" w:rsidRPr="006A4431">
        <w:rPr>
          <w:rFonts w:ascii="Times New Roman" w:hAnsi="Times New Roman"/>
          <w:spacing w:val="-2"/>
          <w:sz w:val="24"/>
        </w:rPr>
        <w:t xml:space="preserve"> O </w:t>
      </w:r>
      <w:r w:rsidRPr="006A4431">
        <w:rPr>
          <w:rFonts w:ascii="Times New Roman" w:hAnsi="Times New Roman"/>
          <w:spacing w:val="-2"/>
          <w:sz w:val="24"/>
        </w:rPr>
        <w:t>PRIDRUŽENÝCH PODNIKOCH – Spolu (GS Total)</w:t>
      </w:r>
      <w:bookmarkEnd w:id="2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6A4431" w14:paraId="3D7B88F7" w14:textId="77777777" w:rsidTr="00672D2A">
        <w:tc>
          <w:tcPr>
            <w:tcW w:w="1188" w:type="dxa"/>
            <w:shd w:val="clear" w:color="auto" w:fill="CCCCCC"/>
          </w:tcPr>
          <w:p w14:paraId="2F6E71C0"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Stĺpce</w:t>
            </w:r>
          </w:p>
        </w:tc>
        <w:tc>
          <w:tcPr>
            <w:tcW w:w="8640" w:type="dxa"/>
            <w:shd w:val="clear" w:color="auto" w:fill="CCCCCC"/>
          </w:tcPr>
          <w:p w14:paraId="3B0EAFD0"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Pokyny</w:t>
            </w:r>
          </w:p>
        </w:tc>
      </w:tr>
      <w:tr w:rsidR="00235D9D" w:rsidRPr="006A4431" w14:paraId="1F7FDDC7" w14:textId="77777777" w:rsidTr="00672D2A">
        <w:tc>
          <w:tcPr>
            <w:tcW w:w="1188" w:type="dxa"/>
          </w:tcPr>
          <w:p w14:paraId="474253BB"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250 – 400</w:t>
            </w:r>
          </w:p>
        </w:tc>
        <w:tc>
          <w:tcPr>
            <w:tcW w:w="8640" w:type="dxa"/>
          </w:tcPr>
          <w:p w14:paraId="56930B44" w14:textId="014FE562" w:rsidR="00235D9D" w:rsidRPr="006A4431" w:rsidRDefault="00D85AC7">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SUBJEKTY</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RÁMCI ROZSAHU KONSOLIDÁCIE</w:t>
            </w:r>
          </w:p>
          <w:p w14:paraId="622423D7" w14:textId="50EB55D1" w:rsidR="00235D9D" w:rsidRPr="006A4431" w:rsidRDefault="00D85AC7">
            <w:pPr>
              <w:rPr>
                <w:rStyle w:val="InstructionsTabelleberschrift"/>
                <w:rFonts w:ascii="Times New Roman" w:hAnsi="Times New Roman"/>
                <w:b w:val="0"/>
                <w:bCs w:val="0"/>
                <w:spacing w:val="-2"/>
                <w:sz w:val="24"/>
              </w:rPr>
            </w:pPr>
            <w:r w:rsidRPr="006A4431">
              <w:rPr>
                <w:rStyle w:val="InstructionsTabelleText"/>
                <w:rFonts w:ascii="Times New Roman" w:hAnsi="Times New Roman"/>
                <w:spacing w:val="-2"/>
                <w:sz w:val="24"/>
              </w:rPr>
              <w:t>Pozri pokyny</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C 06.02</w:t>
            </w:r>
          </w:p>
        </w:tc>
      </w:tr>
      <w:tr w:rsidR="00235D9D" w:rsidRPr="006A4431"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410 – 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235D9D" w:rsidRPr="006A4431" w:rsidRDefault="00D85AC7">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KAPITÁLOVÉ VANKÚŠE</w:t>
            </w:r>
          </w:p>
          <w:p w14:paraId="54FE50B2" w14:textId="3A216CBF" w:rsidR="00235D9D" w:rsidRPr="006A4431" w:rsidRDefault="00D85AC7">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lastRenderedPageBreak/>
              <w:t>Pozri pokyny</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C 06.02</w:t>
            </w:r>
          </w:p>
        </w:tc>
      </w:tr>
    </w:tbl>
    <w:p w14:paraId="03C35D0A" w14:textId="77777777" w:rsidR="00235D9D" w:rsidRPr="006A4431" w:rsidRDefault="00235D9D">
      <w:pPr>
        <w:pStyle w:val="InstructionsText"/>
        <w:rPr>
          <w:spacing w:val="-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6A4431" w14:paraId="2DF7E091" w14:textId="77777777" w:rsidTr="00672D2A">
        <w:tc>
          <w:tcPr>
            <w:tcW w:w="1188" w:type="dxa"/>
            <w:shd w:val="clear" w:color="auto" w:fill="CCCCCC"/>
          </w:tcPr>
          <w:p w14:paraId="78D4F2D0"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Riadky</w:t>
            </w:r>
          </w:p>
        </w:tc>
        <w:tc>
          <w:tcPr>
            <w:tcW w:w="8640" w:type="dxa"/>
            <w:shd w:val="clear" w:color="auto" w:fill="CCCCCC"/>
          </w:tcPr>
          <w:p w14:paraId="1C741FE2"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Pokyny</w:t>
            </w:r>
          </w:p>
        </w:tc>
      </w:tr>
      <w:tr w:rsidR="00235D9D" w:rsidRPr="006A4431" w14:paraId="3F370291" w14:textId="77777777" w:rsidTr="00672D2A">
        <w:tc>
          <w:tcPr>
            <w:tcW w:w="1188" w:type="dxa"/>
          </w:tcPr>
          <w:p w14:paraId="196EEEBF" w14:textId="77777777" w:rsidR="00235D9D" w:rsidRPr="006A4431" w:rsidRDefault="00D85AC7">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010</w:t>
            </w:r>
          </w:p>
        </w:tc>
        <w:tc>
          <w:tcPr>
            <w:tcW w:w="8640" w:type="dxa"/>
          </w:tcPr>
          <w:p w14:paraId="4FC9E795" w14:textId="77777777" w:rsidR="00235D9D" w:rsidRPr="006A4431" w:rsidRDefault="00D85AC7">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SPOLU</w:t>
            </w:r>
          </w:p>
          <w:p w14:paraId="0FC622F0" w14:textId="77777777" w:rsidR="00235D9D" w:rsidRPr="006A4431" w:rsidRDefault="00D85AC7">
            <w:pPr>
              <w:rPr>
                <w:rStyle w:val="InstructionsTabelleberschrift"/>
                <w:rFonts w:ascii="Times New Roman" w:hAnsi="Times New Roman"/>
                <w:b w:val="0"/>
                <w:bCs w:val="0"/>
                <w:spacing w:val="-2"/>
                <w:sz w:val="24"/>
              </w:rPr>
            </w:pPr>
            <w:r w:rsidRPr="006A4431">
              <w:rPr>
                <w:rStyle w:val="InstructionsTabelleText"/>
                <w:rFonts w:ascii="Times New Roman" w:hAnsi="Times New Roman"/>
                <w:spacing w:val="-2"/>
                <w:sz w:val="24"/>
              </w:rPr>
              <w:t>Údaj „Spolu“ predstavuje súčet hodnôt vykázaných vo všetkých riadkoch vzoru C 06.02.</w:t>
            </w:r>
          </w:p>
        </w:tc>
      </w:tr>
    </w:tbl>
    <w:p w14:paraId="3C6A430D" w14:textId="77777777" w:rsidR="00235D9D" w:rsidRPr="006A4431" w:rsidRDefault="00235D9D">
      <w:pPr>
        <w:pStyle w:val="InstructionsText"/>
        <w:rPr>
          <w:spacing w:val="-2"/>
        </w:rPr>
      </w:pPr>
    </w:p>
    <w:p w14:paraId="539B2369" w14:textId="3DB473E8" w:rsidR="00235D9D" w:rsidRPr="006A4431" w:rsidRDefault="00125707">
      <w:pPr>
        <w:pStyle w:val="Instructionsberschrift2"/>
        <w:numPr>
          <w:ilvl w:val="0"/>
          <w:numId w:val="0"/>
        </w:numPr>
        <w:ind w:left="357" w:hanging="357"/>
        <w:rPr>
          <w:rFonts w:ascii="Times New Roman" w:hAnsi="Times New Roman" w:cs="Times New Roman"/>
          <w:spacing w:val="-2"/>
          <w:sz w:val="24"/>
        </w:rPr>
      </w:pPr>
      <w:bookmarkStart w:id="28" w:name="_Toc29994471"/>
      <w:r w:rsidRPr="006A4431">
        <w:rPr>
          <w:rFonts w:ascii="Times New Roman" w:hAnsi="Times New Roman"/>
          <w:spacing w:val="-2"/>
          <w:sz w:val="24"/>
          <w:u w:val="none"/>
        </w:rPr>
        <w:t>2.5.</w:t>
      </w:r>
      <w:r w:rsidRPr="006A4431">
        <w:rPr>
          <w:rFonts w:ascii="Times New Roman" w:hAnsi="Times New Roman"/>
          <w:spacing w:val="-2"/>
          <w:sz w:val="24"/>
          <w:u w:val="none"/>
        </w:rPr>
        <w:tab/>
      </w:r>
      <w:r w:rsidRPr="006A4431">
        <w:rPr>
          <w:rFonts w:ascii="Times New Roman" w:hAnsi="Times New Roman"/>
          <w:spacing w:val="-2"/>
          <w:sz w:val="24"/>
        </w:rPr>
        <w:t>C 06.02 – SKUPINOVÁ SOLVENTNOSŤ: INFORMÁCIE</w:t>
      </w:r>
      <w:r w:rsidR="00D85C65" w:rsidRPr="006A4431">
        <w:rPr>
          <w:rFonts w:ascii="Times New Roman" w:hAnsi="Times New Roman"/>
          <w:spacing w:val="-2"/>
          <w:sz w:val="24"/>
        </w:rPr>
        <w:t xml:space="preserve"> O </w:t>
      </w:r>
      <w:r w:rsidRPr="006A4431">
        <w:rPr>
          <w:rFonts w:ascii="Times New Roman" w:hAnsi="Times New Roman"/>
          <w:spacing w:val="-2"/>
          <w:sz w:val="24"/>
        </w:rPr>
        <w:t>PRIDRUŽENÝCH PODNIKOCH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6A4431" w14:paraId="3514CD02" w14:textId="77777777" w:rsidTr="00672D2A">
        <w:tc>
          <w:tcPr>
            <w:tcW w:w="1188" w:type="dxa"/>
            <w:shd w:val="clear" w:color="auto" w:fill="CCCCCC"/>
          </w:tcPr>
          <w:p w14:paraId="01AA5D3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Stĺpce</w:t>
            </w:r>
          </w:p>
        </w:tc>
        <w:tc>
          <w:tcPr>
            <w:tcW w:w="8640" w:type="dxa"/>
            <w:shd w:val="clear" w:color="auto" w:fill="CCCCCC"/>
          </w:tcPr>
          <w:p w14:paraId="7FC7F527"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Pokyny</w:t>
            </w:r>
          </w:p>
        </w:tc>
      </w:tr>
      <w:tr w:rsidR="00235D9D" w:rsidRPr="006A4431" w14:paraId="53722D57" w14:textId="77777777" w:rsidTr="00672D2A">
        <w:tc>
          <w:tcPr>
            <w:tcW w:w="1188" w:type="dxa"/>
          </w:tcPr>
          <w:p w14:paraId="7A09A40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010 – 060</w:t>
            </w:r>
          </w:p>
        </w:tc>
        <w:tc>
          <w:tcPr>
            <w:tcW w:w="8640" w:type="dxa"/>
          </w:tcPr>
          <w:p w14:paraId="5EE7C796" w14:textId="6489090A"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SUBJEKTY</w:t>
            </w:r>
            <w:r w:rsidR="00D85C65" w:rsidRPr="006A4431">
              <w:rPr>
                <w:rStyle w:val="InstructionsTabelleberschrift"/>
                <w:rFonts w:ascii="Times New Roman" w:hAnsi="Times New Roman"/>
                <w:spacing w:val="-2"/>
                <w:sz w:val="24"/>
              </w:rPr>
              <w:t xml:space="preserve"> V </w:t>
            </w:r>
            <w:r w:rsidRPr="006A4431">
              <w:rPr>
                <w:rStyle w:val="InstructionsTabelleberschrift"/>
                <w:rFonts w:ascii="Times New Roman" w:hAnsi="Times New Roman"/>
                <w:spacing w:val="-2"/>
                <w:sz w:val="24"/>
              </w:rPr>
              <w:t>RÁMCI ROZSAHU KONSOLIDÁCIE</w:t>
            </w:r>
          </w:p>
          <w:p w14:paraId="7CE0B44F" w14:textId="5EB8A997" w:rsidR="00235D9D" w:rsidRPr="006A4431" w:rsidRDefault="00464F34">
            <w:pPr>
              <w:rPr>
                <w:rStyle w:val="InstructionsTabelleberschrift"/>
                <w:rFonts w:ascii="Times New Roman" w:hAnsi="Times New Roman"/>
                <w:b w:val="0"/>
                <w:bCs w:val="0"/>
                <w:spacing w:val="-2"/>
                <w:sz w:val="24"/>
              </w:rPr>
            </w:pPr>
            <w:r w:rsidRPr="006A4431">
              <w:rPr>
                <w:rStyle w:val="InstructionsTabelleText"/>
                <w:rFonts w:ascii="Times New Roman" w:hAnsi="Times New Roman"/>
                <w:spacing w:val="-2"/>
                <w:sz w:val="24"/>
              </w:rPr>
              <w:t>V tomto vzore sa majú zhromaždiť informácie</w:t>
            </w:r>
            <w:r w:rsidR="00D85C65" w:rsidRPr="006A4431">
              <w:rPr>
                <w:rStyle w:val="InstructionsTabelleText"/>
                <w:rFonts w:ascii="Times New Roman" w:hAnsi="Times New Roman"/>
                <w:spacing w:val="-2"/>
                <w:sz w:val="24"/>
              </w:rPr>
              <w:t xml:space="preserve"> o </w:t>
            </w:r>
            <w:r w:rsidRPr="006A4431">
              <w:rPr>
                <w:rStyle w:val="InstructionsTabelleText"/>
                <w:rFonts w:ascii="Times New Roman" w:hAnsi="Times New Roman"/>
                <w:spacing w:val="-2"/>
                <w:sz w:val="24"/>
              </w:rPr>
              <w:t>všetkých subjektoch podľa jednotlivých subjektov</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rámci rozsahu konsolidácie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Fonts w:ascii="Times New Roman" w:hAnsi="Times New Roman"/>
                <w:spacing w:val="-2"/>
                <w:sz w:val="24"/>
              </w:rPr>
              <w:t xml:space="preserve">prvou časťou hlavou II kapitolou 2 </w:t>
            </w:r>
            <w:r w:rsidRPr="006A4431">
              <w:rPr>
                <w:rStyle w:val="InstructionsTabelleText"/>
                <w:rFonts w:ascii="Times New Roman" w:hAnsi="Times New Roman"/>
                <w:spacing w:val="-2"/>
                <w:sz w:val="24"/>
              </w:rPr>
              <w:t xml:space="preserve">CRR. </w:t>
            </w:r>
          </w:p>
        </w:tc>
      </w:tr>
      <w:tr w:rsidR="00235D9D" w:rsidRPr="006A4431" w14:paraId="0589B0E9" w14:textId="77777777" w:rsidTr="00672D2A">
        <w:tc>
          <w:tcPr>
            <w:tcW w:w="1188" w:type="dxa"/>
          </w:tcPr>
          <w:p w14:paraId="5E423925"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010</w:t>
            </w:r>
          </w:p>
        </w:tc>
        <w:tc>
          <w:tcPr>
            <w:tcW w:w="8640" w:type="dxa"/>
          </w:tcPr>
          <w:p w14:paraId="2D9738C7"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NÁZOV</w:t>
            </w:r>
          </w:p>
          <w:p w14:paraId="1D69F932" w14:textId="061C3F03"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Názov subjektu</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rámci rozsahu konsolidácie.</w:t>
            </w:r>
          </w:p>
        </w:tc>
      </w:tr>
      <w:tr w:rsidR="00235D9D" w:rsidRPr="006A4431" w14:paraId="2EF8636C" w14:textId="77777777" w:rsidTr="00672D2A">
        <w:tc>
          <w:tcPr>
            <w:tcW w:w="1188" w:type="dxa"/>
          </w:tcPr>
          <w:p w14:paraId="0E548189"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020</w:t>
            </w:r>
          </w:p>
        </w:tc>
        <w:tc>
          <w:tcPr>
            <w:tcW w:w="8640" w:type="dxa"/>
          </w:tcPr>
          <w:p w14:paraId="5AFA22A9"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KÓD</w:t>
            </w:r>
          </w:p>
          <w:p w14:paraId="49108895" w14:textId="32A646A9" w:rsidR="00235D9D" w:rsidRPr="006A4431" w:rsidRDefault="009A47E2">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kód je identifikátorom riadku</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musí byť jednoznačný pre každý riadok vzoru.</w:t>
            </w:r>
          </w:p>
          <w:p w14:paraId="1A549825" w14:textId="0A8E4DBB"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Kód pridelený subjektu</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rámci rozsahu konsolidácie.</w:t>
            </w:r>
          </w:p>
          <w:p w14:paraId="3A5D7904" w14:textId="77777777" w:rsidR="00235D9D" w:rsidRPr="006A4431" w:rsidRDefault="00464F34">
            <w:pPr>
              <w:pStyle w:val="InstructionsText"/>
              <w:rPr>
                <w:rStyle w:val="InstructionsTabelleText"/>
                <w:rFonts w:ascii="Times New Roman" w:hAnsi="Times New Roman"/>
                <w:spacing w:val="-2"/>
                <w:sz w:val="24"/>
              </w:rPr>
            </w:pPr>
            <w:r w:rsidRPr="006A4431">
              <w:rPr>
                <w:rStyle w:val="FormatvorlageInstructionsTabelleText"/>
                <w:rFonts w:ascii="Times New Roman" w:hAnsi="Times New Roman"/>
                <w:spacing w:val="-2"/>
                <w:sz w:val="24"/>
              </w:rPr>
              <w:t xml:space="preserve">Skutočné zloženie kódu závisí od vnútroštátneho systému vykazovania. </w:t>
            </w:r>
          </w:p>
        </w:tc>
      </w:tr>
      <w:tr w:rsidR="00235D9D" w:rsidRPr="006A4431" w14:paraId="498A1D59" w14:textId="77777777" w:rsidTr="00672D2A">
        <w:tc>
          <w:tcPr>
            <w:tcW w:w="1188" w:type="dxa"/>
          </w:tcPr>
          <w:p w14:paraId="0A0AFF54"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025</w:t>
            </w:r>
          </w:p>
        </w:tc>
        <w:tc>
          <w:tcPr>
            <w:tcW w:w="8640" w:type="dxa"/>
          </w:tcPr>
          <w:p w14:paraId="62F1EBDE"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KÓD LEI</w:t>
            </w:r>
          </w:p>
          <w:p w14:paraId="75F27FE2" w14:textId="2583EA35" w:rsidR="00235D9D" w:rsidRPr="006A4431" w:rsidRDefault="00C504D3">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Kód LEI predstavuje identifikátor právnickej osoby, čo je referenčný kód, ktorý navrhuje Rada pre finančnú stabilitu (FSB)</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ktorý schvaľuje G20; jeho zámerom je dosiahnuť jedinečnú</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celosvetovo platnú identifikáciu strán finančných transakcií.</w:t>
            </w:r>
          </w:p>
          <w:p w14:paraId="7320F1F1" w14:textId="15DD7B7E" w:rsidR="00235D9D" w:rsidRPr="006A4431" w:rsidRDefault="00C504D3">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 xml:space="preserve">Kým sa celosvetový systém LEI stane plne funkčným, miestna operačná jednotka, ktorú schválil Výbor pre regulačný dohľad nad systémom identifikátorov právnických osôb (ROC; podrobné informácie možno nájsť na webovej lokalite </w:t>
            </w:r>
            <w:hyperlink r:id="rId10" w:history="1">
              <w:r w:rsidRPr="006A4431">
                <w:rPr>
                  <w:rStyle w:val="Hyperlink"/>
                  <w:rFonts w:ascii="Times New Roman" w:hAnsi="Times New Roman"/>
                  <w:spacing w:val="-2"/>
                  <w:sz w:val="24"/>
                </w:rPr>
                <w:t>www.leiroc.org</w:t>
              </w:r>
            </w:hyperlink>
            <w:r w:rsidRPr="006A4431">
              <w:rPr>
                <w:rStyle w:val="InstructionsTabelleText"/>
                <w:rFonts w:ascii="Times New Roman" w:hAnsi="Times New Roman"/>
                <w:spacing w:val="-2"/>
                <w:sz w:val="24"/>
              </w:rPr>
              <w:t>), protistranám prideľuje predbežné kódy LEI</w:t>
            </w:r>
            <w:r w:rsidRPr="006A4431">
              <w:rPr>
                <w:rStyle w:val="InstructionsTabelleText"/>
                <w:rFonts w:ascii="Times New Roman" w:hAnsi="Times New Roman"/>
                <w:i/>
                <w:spacing w:val="-2"/>
                <w:sz w:val="24"/>
              </w:rPr>
              <w:t>.</w:t>
            </w:r>
          </w:p>
          <w:p w14:paraId="51EE99AB" w14:textId="77777777" w:rsidR="00235D9D" w:rsidRPr="006A4431" w:rsidRDefault="009A47E2">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 xml:space="preserve">Keď pre danú protistranu existuje identifikátor právnickej osoby (kód LEI), musí sa na identifikáciu tejto protistrany použiť. </w:t>
            </w:r>
          </w:p>
        </w:tc>
      </w:tr>
      <w:tr w:rsidR="00235D9D" w:rsidRPr="006A4431" w14:paraId="1DF5E571" w14:textId="77777777" w:rsidTr="00672D2A">
        <w:tc>
          <w:tcPr>
            <w:tcW w:w="1188" w:type="dxa"/>
          </w:tcPr>
          <w:p w14:paraId="5294AC35"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030</w:t>
            </w:r>
          </w:p>
        </w:tc>
        <w:tc>
          <w:tcPr>
            <w:tcW w:w="8640" w:type="dxa"/>
          </w:tcPr>
          <w:p w14:paraId="2C9F5508"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INŠTITÚCIA ALEBO EKVIVALENT (ÁNO/NIE)</w:t>
            </w:r>
          </w:p>
          <w:p w14:paraId="778DDD55" w14:textId="72ED27BA"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„ÁNO“ sa zadáva vtedy, keď sa na subjekt vzťahujú požiadavky na vlastné zdroje podľa CRR</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CRD alebo ustanovenia, ktoré sú prinajmenšom rovnocenné</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ustanoveniami dohody Bazilej.</w:t>
            </w:r>
          </w:p>
          <w:p w14:paraId="18710662"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 ostatných prípadoch sa zadáva „NIE“.</w:t>
            </w:r>
          </w:p>
          <w:p w14:paraId="430EA4DC" w14:textId="77777777" w:rsidR="00235D9D" w:rsidRPr="006A4431" w:rsidRDefault="00235D9D">
            <w:pPr>
              <w:rPr>
                <w:rStyle w:val="InstructionsTabelleText"/>
                <w:rFonts w:ascii="Times New Roman" w:hAnsi="Times New Roman"/>
                <w:spacing w:val="-2"/>
                <w:sz w:val="24"/>
              </w:rPr>
            </w:pPr>
          </w:p>
          <w:p w14:paraId="23D75BCC" w14:textId="77777777" w:rsidR="00235D9D" w:rsidRPr="006A4431" w:rsidRDefault="00125707">
            <w:pPr>
              <w:ind w:left="372" w:hanging="360"/>
              <w:contextualSpacing/>
              <w:rPr>
                <w:rStyle w:val="InstructionsTabelleText"/>
                <w:rFonts w:ascii="Times New Roman" w:hAnsi="Times New Roman"/>
                <w:spacing w:val="-2"/>
                <w:sz w:val="24"/>
              </w:rPr>
            </w:pPr>
            <w:r w:rsidRPr="006A4431">
              <w:rPr>
                <w:rStyle w:val="InstructionsTabelleText"/>
                <w:rFonts w:ascii="Wingdings" w:hAnsi="Wingdings"/>
                <w:spacing w:val="-2"/>
                <w:sz w:val="24"/>
              </w:rPr>
              <w:lastRenderedPageBreak/>
              <w:t></w:t>
            </w:r>
            <w:r w:rsidRPr="006A4431">
              <w:rPr>
                <w:rStyle w:val="InstructionsTabelleText"/>
                <w:rFonts w:ascii="Wingdings" w:hAnsi="Wingdings"/>
                <w:spacing w:val="-2"/>
                <w:sz w:val="24"/>
              </w:rPr>
              <w:tab/>
            </w:r>
            <w:r w:rsidRPr="006A4431">
              <w:rPr>
                <w:rStyle w:val="InstructionsTabelleText"/>
                <w:rFonts w:ascii="Times New Roman" w:hAnsi="Times New Roman"/>
                <w:spacing w:val="-2"/>
                <w:sz w:val="24"/>
              </w:rPr>
              <w:t>Menšinové účasti:</w:t>
            </w:r>
          </w:p>
          <w:p w14:paraId="17E96CB7" w14:textId="761BF417" w:rsidR="00235D9D" w:rsidRPr="006A4431" w:rsidRDefault="00283C5E">
            <w:pPr>
              <w:rPr>
                <w:rStyle w:val="InstructionsTabelleText"/>
                <w:rFonts w:ascii="Times New Roman" w:hAnsi="Times New Roman"/>
                <w:spacing w:val="-2"/>
                <w:sz w:val="24"/>
              </w:rPr>
            </w:pPr>
            <w:r w:rsidRPr="006A4431">
              <w:rPr>
                <w:rFonts w:ascii="Times New Roman" w:hAnsi="Times New Roman"/>
                <w:spacing w:val="-2"/>
                <w:sz w:val="24"/>
              </w:rPr>
              <w:t>Článok 81 ods. 1 písm. a) bod ii)</w:t>
            </w:r>
            <w:r w:rsidR="00D85C65" w:rsidRPr="006A4431">
              <w:rPr>
                <w:rFonts w:ascii="Times New Roman" w:hAnsi="Times New Roman"/>
                <w:spacing w:val="-2"/>
                <w:sz w:val="24"/>
              </w:rPr>
              <w:t xml:space="preserve"> a </w:t>
            </w:r>
            <w:r w:rsidRPr="006A4431">
              <w:rPr>
                <w:rFonts w:ascii="Times New Roman" w:hAnsi="Times New Roman"/>
                <w:spacing w:val="-2"/>
                <w:sz w:val="24"/>
              </w:rPr>
              <w:t>článok 82 ods. 1 písm. a) bod ii) CRR.</w:t>
            </w:r>
          </w:p>
          <w:p w14:paraId="70FC6685" w14:textId="190F6CC4"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t>Pokiaľ ide</w:t>
            </w:r>
            <w:r w:rsidR="00D85C65" w:rsidRPr="006A4431">
              <w:rPr>
                <w:rFonts w:ascii="Times New Roman" w:hAnsi="Times New Roman"/>
                <w:spacing w:val="-2"/>
                <w:sz w:val="24"/>
              </w:rPr>
              <w:t xml:space="preserve"> o </w:t>
            </w:r>
            <w:r w:rsidRPr="006A4431">
              <w:rPr>
                <w:rFonts w:ascii="Times New Roman" w:hAnsi="Times New Roman"/>
                <w:spacing w:val="-2"/>
                <w:sz w:val="24"/>
              </w:rPr>
              <w:t>účinky menšinových účastí</w:t>
            </w:r>
            <w:r w:rsidR="00D85C65" w:rsidRPr="006A4431">
              <w:rPr>
                <w:rFonts w:ascii="Times New Roman" w:hAnsi="Times New Roman"/>
                <w:spacing w:val="-2"/>
                <w:sz w:val="24"/>
              </w:rPr>
              <w:t xml:space="preserve"> a </w:t>
            </w:r>
            <w:r w:rsidRPr="006A4431">
              <w:rPr>
                <w:rFonts w:ascii="Times New Roman" w:hAnsi="Times New Roman"/>
                <w:spacing w:val="-2"/>
                <w:sz w:val="24"/>
              </w:rPr>
              <w:t>nástrojov AT1</w:t>
            </w:r>
            <w:r w:rsidR="00D85C65" w:rsidRPr="006A4431">
              <w:rPr>
                <w:rFonts w:ascii="Times New Roman" w:hAnsi="Times New Roman"/>
                <w:spacing w:val="-2"/>
                <w:sz w:val="24"/>
              </w:rPr>
              <w:t xml:space="preserve"> a </w:t>
            </w:r>
            <w:r w:rsidRPr="006A4431">
              <w:rPr>
                <w:rFonts w:ascii="Times New Roman" w:hAnsi="Times New Roman"/>
                <w:spacing w:val="-2"/>
                <w:sz w:val="24"/>
              </w:rPr>
              <w:t>T2 emitovaných dcérskymi spoločnosťami, dcérske spoločnosti, ktorých nástroje môžu byť prípustné, sú inštitúcie alebo podniky, na ktoré sa na základe uplatniteľných vnútroštátnych právnych predpisov vzťahujú požiadavky CRR.</w:t>
            </w:r>
          </w:p>
        </w:tc>
      </w:tr>
      <w:tr w:rsidR="00235D9D" w:rsidRPr="006A4431" w14:paraId="00CEA0C8" w14:textId="77777777" w:rsidTr="00672D2A">
        <w:tc>
          <w:tcPr>
            <w:tcW w:w="1188" w:type="dxa"/>
          </w:tcPr>
          <w:p w14:paraId="7D6FF3E4" w14:textId="77777777" w:rsidR="00235D9D" w:rsidRPr="006A4431" w:rsidRDefault="00B47F0C">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035</w:t>
            </w:r>
          </w:p>
        </w:tc>
        <w:tc>
          <w:tcPr>
            <w:tcW w:w="8640" w:type="dxa"/>
          </w:tcPr>
          <w:p w14:paraId="4AEC7BD9" w14:textId="77777777" w:rsidR="00235D9D" w:rsidRPr="006A4431" w:rsidRDefault="00B47F0C">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TYP SUBJEKTU</w:t>
            </w:r>
          </w:p>
          <w:p w14:paraId="6D57FDC9" w14:textId="77777777" w:rsidR="00235D9D" w:rsidRPr="006A4431" w:rsidRDefault="0071377A">
            <w:pPr>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Typ subjektu sa vykazuje na základe týchto kategórií:</w:t>
            </w:r>
          </w:p>
          <w:p w14:paraId="63AFEC92" w14:textId="77777777" w:rsidR="00235D9D" w:rsidRPr="006A4431" w:rsidRDefault="0071377A">
            <w:pPr>
              <w:tabs>
                <w:tab w:val="left" w:pos="372"/>
              </w:tabs>
              <w:rPr>
                <w:rStyle w:val="InstructionsTabelleText"/>
                <w:rFonts w:ascii="Times New Roman" w:hAnsi="Times New Roman"/>
                <w:spacing w:val="-2"/>
                <w:sz w:val="24"/>
              </w:rPr>
            </w:pPr>
            <w:r w:rsidRPr="006A4431">
              <w:rPr>
                <w:rStyle w:val="InstructionsTabelleText"/>
                <w:rFonts w:ascii="Times New Roman" w:hAnsi="Times New Roman"/>
                <w:spacing w:val="-2"/>
                <w:sz w:val="24"/>
              </w:rPr>
              <w:t>a)</w:t>
            </w:r>
            <w:r w:rsidRPr="006A4431">
              <w:rPr>
                <w:rStyle w:val="InstructionsTabelleText"/>
                <w:rFonts w:ascii="Times New Roman" w:hAnsi="Times New Roman"/>
                <w:spacing w:val="-2"/>
                <w:sz w:val="24"/>
              </w:rPr>
              <w:tab/>
              <w:t>úverová inštitúcia</w:t>
            </w:r>
          </w:p>
          <w:p w14:paraId="6F13943F" w14:textId="130A098E" w:rsidR="00235D9D" w:rsidRPr="006A4431" w:rsidRDefault="0071377A">
            <w:pPr>
              <w:tabs>
                <w:tab w:val="left" w:pos="372"/>
              </w:tabs>
              <w:rPr>
                <w:rStyle w:val="InstructionsTabelleText"/>
                <w:rFonts w:ascii="Times New Roman" w:hAnsi="Times New Roman"/>
                <w:spacing w:val="-2"/>
                <w:sz w:val="24"/>
              </w:rPr>
            </w:pPr>
            <w:r w:rsidRPr="006A4431">
              <w:rPr>
                <w:rStyle w:val="InstructionsTabelleText"/>
                <w:rFonts w:ascii="Times New Roman" w:hAnsi="Times New Roman"/>
                <w:spacing w:val="-2"/>
                <w:sz w:val="24"/>
              </w:rPr>
              <w:tab/>
              <w:t>článok 4 ods. 1 bod 1 CRR;</w:t>
            </w:r>
          </w:p>
          <w:p w14:paraId="5D2B34B7"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b)</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investičná spoločnosť</w:t>
            </w:r>
          </w:p>
          <w:p w14:paraId="5D9225D3" w14:textId="1499D2B4"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článok 4 ods. 1 bod 2 CRR;</w:t>
            </w:r>
          </w:p>
          <w:p w14:paraId="4AC1E538"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c)</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finančná inštitúcia (iná)</w:t>
            </w:r>
          </w:p>
          <w:p w14:paraId="0B837FD2" w14:textId="5F1AF68A"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článok 4 ods. 1 body 20, 21</w:t>
            </w:r>
            <w:r w:rsidR="00D85C65" w:rsidRPr="006A4431">
              <w:rPr>
                <w:rStyle w:val="InstructionsTabelleText"/>
                <w:rFonts w:ascii="Times New Roman" w:hAnsi="Times New Roman"/>
                <w:bCs/>
                <w:spacing w:val="-2"/>
                <w:sz w:val="24"/>
              </w:rPr>
              <w:t xml:space="preserve"> a </w:t>
            </w:r>
            <w:r w:rsidRPr="006A4431">
              <w:rPr>
                <w:rStyle w:val="InstructionsTabelleText"/>
                <w:rFonts w:ascii="Times New Roman" w:hAnsi="Times New Roman"/>
                <w:bCs/>
                <w:spacing w:val="-2"/>
                <w:sz w:val="24"/>
              </w:rPr>
              <w:t>26 CRR.</w:t>
            </w:r>
          </w:p>
          <w:p w14:paraId="4ECB5309" w14:textId="472778C0" w:rsidR="00235D9D" w:rsidRPr="006A4431" w:rsidRDefault="00965D27">
            <w:pPr>
              <w:tabs>
                <w:tab w:val="left" w:pos="372"/>
              </w:tabs>
              <w:ind w:left="399" w:hanging="399"/>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Finančné inštitúcie</w:t>
            </w:r>
            <w:r w:rsidR="00D85C65" w:rsidRPr="006A4431">
              <w:rPr>
                <w:rStyle w:val="InstructionsTabelleText"/>
                <w:rFonts w:ascii="Times New Roman" w:hAnsi="Times New Roman"/>
                <w:bCs/>
                <w:spacing w:val="-2"/>
                <w:sz w:val="24"/>
              </w:rPr>
              <w:t xml:space="preserve"> v </w:t>
            </w:r>
            <w:r w:rsidRPr="006A4431">
              <w:rPr>
                <w:rStyle w:val="InstructionsTabelleText"/>
                <w:rFonts w:ascii="Times New Roman" w:hAnsi="Times New Roman"/>
                <w:bCs/>
                <w:spacing w:val="-2"/>
                <w:sz w:val="24"/>
              </w:rPr>
              <w:t>zmysle článku 4 ods. 1 bodu 26 CRR, ktoré nie sú zahrnuté do žiadnej</w:t>
            </w:r>
            <w:r w:rsidR="00D85C65" w:rsidRPr="006A4431">
              <w:rPr>
                <w:rStyle w:val="InstructionsTabelleText"/>
                <w:rFonts w:ascii="Times New Roman" w:hAnsi="Times New Roman"/>
                <w:bCs/>
                <w:spacing w:val="-2"/>
                <w:sz w:val="24"/>
              </w:rPr>
              <w:t xml:space="preserve"> z </w:t>
            </w:r>
            <w:r w:rsidRPr="006A4431">
              <w:rPr>
                <w:rStyle w:val="InstructionsTabelleText"/>
                <w:rFonts w:ascii="Times New Roman" w:hAnsi="Times New Roman"/>
                <w:bCs/>
                <w:spacing w:val="-2"/>
                <w:sz w:val="24"/>
              </w:rPr>
              <w:t>kategórií d), f) ani g);</w:t>
            </w:r>
          </w:p>
          <w:p w14:paraId="693D5F80"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d)</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(zmiešaná) finančná holdingová spoločnosť</w:t>
            </w:r>
          </w:p>
          <w:p w14:paraId="7285AC88" w14:textId="12D39DDA"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článok 4 ods. 1 body 20</w:t>
            </w:r>
            <w:r w:rsidR="00D85C65" w:rsidRPr="006A4431">
              <w:rPr>
                <w:rStyle w:val="InstructionsTabelleText"/>
                <w:rFonts w:ascii="Times New Roman" w:hAnsi="Times New Roman"/>
                <w:bCs/>
                <w:spacing w:val="-2"/>
                <w:sz w:val="24"/>
              </w:rPr>
              <w:t xml:space="preserve"> a </w:t>
            </w:r>
            <w:r w:rsidRPr="006A4431">
              <w:rPr>
                <w:rStyle w:val="InstructionsTabelleText"/>
                <w:rFonts w:ascii="Times New Roman" w:hAnsi="Times New Roman"/>
                <w:bCs/>
                <w:spacing w:val="-2"/>
                <w:sz w:val="24"/>
              </w:rPr>
              <w:t>21 CRR;</w:t>
            </w:r>
          </w:p>
          <w:p w14:paraId="0D38C0FD"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e)</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podnik pomocných služieb</w:t>
            </w:r>
          </w:p>
          <w:p w14:paraId="55506CD2" w14:textId="53A86B31"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článok 4 ods. 1 bod 18 CRR;</w:t>
            </w:r>
          </w:p>
          <w:p w14:paraId="096B9600"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f)</w:t>
            </w:r>
            <w:r w:rsidRPr="006A4431">
              <w:rPr>
                <w:rStyle w:val="InstructionsTabelleText"/>
                <w:rFonts w:ascii="Times New Roman" w:hAnsi="Times New Roman"/>
                <w:bCs/>
                <w:spacing w:val="-2"/>
                <w:sz w:val="24"/>
              </w:rPr>
              <w:tab/>
              <w:t>účelová jednotka zaoberajúca sa sekuritizáciou (SSPE)</w:t>
            </w:r>
            <w:r w:rsidRPr="006A4431">
              <w:rPr>
                <w:rStyle w:val="InstructionsTabelleText"/>
                <w:rFonts w:ascii="Times New Roman" w:hAnsi="Times New Roman"/>
                <w:spacing w:val="-2"/>
                <w:sz w:val="24"/>
              </w:rPr>
              <w:t>,</w:t>
            </w:r>
          </w:p>
          <w:p w14:paraId="7F662C14" w14:textId="6DC55CAE"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ab/>
              <w:t>článok 4 ods. 1 bod 66 CRR;</w:t>
            </w:r>
          </w:p>
          <w:p w14:paraId="0DB5F04F" w14:textId="77777777" w:rsidR="00235D9D" w:rsidRPr="006A4431" w:rsidRDefault="0071377A">
            <w:pPr>
              <w:tabs>
                <w:tab w:val="left" w:pos="372"/>
              </w:tabs>
              <w:rPr>
                <w:rStyle w:val="InstructionsTabelleText"/>
                <w:rFonts w:ascii="Times New Roman" w:hAnsi="Times New Roman"/>
                <w:bCs/>
                <w:spacing w:val="-2"/>
                <w:sz w:val="24"/>
              </w:rPr>
            </w:pPr>
            <w:r w:rsidRPr="006A4431">
              <w:rPr>
                <w:rStyle w:val="InstructionsTabelleText"/>
                <w:rFonts w:ascii="Times New Roman" w:hAnsi="Times New Roman"/>
                <w:spacing w:val="-2"/>
                <w:sz w:val="24"/>
              </w:rPr>
              <w:t>g)</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spoločnosť zaoberajúca sa krytými dlhopismi</w:t>
            </w:r>
          </w:p>
          <w:p w14:paraId="17D0AFB0" w14:textId="2FD354A4" w:rsidR="00235D9D" w:rsidRPr="006A4431" w:rsidRDefault="009B526D">
            <w:pPr>
              <w:tabs>
                <w:tab w:val="left" w:pos="372"/>
              </w:tabs>
              <w:ind w:left="372"/>
              <w:rPr>
                <w:rStyle w:val="InstructionsTabelleText"/>
                <w:rFonts w:ascii="Times New Roman" w:hAnsi="Times New Roman"/>
                <w:bCs/>
                <w:spacing w:val="-2"/>
                <w:sz w:val="24"/>
              </w:rPr>
            </w:pPr>
            <w:r w:rsidRPr="006A4431">
              <w:rPr>
                <w:rStyle w:val="InstructionsTabelleText"/>
                <w:rFonts w:ascii="Times New Roman" w:hAnsi="Times New Roman"/>
                <w:bCs/>
                <w:spacing w:val="-2"/>
                <w:sz w:val="24"/>
              </w:rPr>
              <w:t>Subjekt zriadený na emitovanie krytých dlhopisov alebo na držanie kolaterálu, ktorým je zabezpečený krytý dlhopis, ak nie je zahrnutý</w:t>
            </w:r>
            <w:r w:rsidR="00D85C65" w:rsidRPr="006A4431">
              <w:rPr>
                <w:rStyle w:val="InstructionsTabelleText"/>
                <w:rFonts w:ascii="Times New Roman" w:hAnsi="Times New Roman"/>
                <w:bCs/>
                <w:spacing w:val="-2"/>
                <w:sz w:val="24"/>
              </w:rPr>
              <w:t xml:space="preserve"> v </w:t>
            </w:r>
            <w:r w:rsidRPr="006A4431">
              <w:rPr>
                <w:rStyle w:val="InstructionsTabelleText"/>
                <w:rFonts w:ascii="Times New Roman" w:hAnsi="Times New Roman"/>
                <w:bCs/>
                <w:spacing w:val="-2"/>
                <w:sz w:val="24"/>
              </w:rPr>
              <w:t>žiadnej</w:t>
            </w:r>
            <w:r w:rsidR="00D85C65" w:rsidRPr="006A4431">
              <w:rPr>
                <w:rStyle w:val="InstructionsTabelleText"/>
                <w:rFonts w:ascii="Times New Roman" w:hAnsi="Times New Roman"/>
                <w:bCs/>
                <w:spacing w:val="-2"/>
                <w:sz w:val="24"/>
              </w:rPr>
              <w:t xml:space="preserve"> z </w:t>
            </w:r>
            <w:r w:rsidRPr="006A4431">
              <w:rPr>
                <w:rStyle w:val="InstructionsTabelleText"/>
                <w:rFonts w:ascii="Times New Roman" w:hAnsi="Times New Roman"/>
                <w:bCs/>
                <w:spacing w:val="-2"/>
                <w:sz w:val="24"/>
              </w:rPr>
              <w:t>uvedených kategórií a), b) ani d) až f);</w:t>
            </w:r>
          </w:p>
          <w:p w14:paraId="3BF0B420" w14:textId="77777777" w:rsidR="00235D9D" w:rsidRPr="006A4431" w:rsidRDefault="0089010B">
            <w:pPr>
              <w:tabs>
                <w:tab w:val="left" w:pos="372"/>
              </w:tabs>
              <w:rPr>
                <w:rStyle w:val="InstructionsTabelleText"/>
                <w:rFonts w:ascii="Times New Roman" w:hAnsi="Times New Roman"/>
                <w:spacing w:val="-2"/>
                <w:sz w:val="24"/>
              </w:rPr>
            </w:pPr>
            <w:r w:rsidRPr="006A4431">
              <w:rPr>
                <w:rStyle w:val="InstructionsTabelleText"/>
                <w:rFonts w:ascii="Times New Roman" w:hAnsi="Times New Roman"/>
                <w:bCs/>
                <w:spacing w:val="-2"/>
                <w:sz w:val="24"/>
              </w:rPr>
              <w:t>h)</w:t>
            </w:r>
            <w:r w:rsidRPr="006A4431">
              <w:rPr>
                <w:rStyle w:val="InstructionsTabelleText"/>
                <w:rFonts w:ascii="Times New Roman" w:hAnsi="Times New Roman"/>
                <w:bCs/>
                <w:spacing w:val="-2"/>
                <w:sz w:val="24"/>
              </w:rPr>
              <w:tab/>
            </w:r>
            <w:r w:rsidRPr="006A4431">
              <w:rPr>
                <w:rStyle w:val="InstructionsTabelleText"/>
                <w:rFonts w:ascii="Times New Roman" w:hAnsi="Times New Roman"/>
                <w:spacing w:val="-2"/>
                <w:sz w:val="24"/>
              </w:rPr>
              <w:t>iný typ subjektu</w:t>
            </w:r>
          </w:p>
          <w:p w14:paraId="1C3B0A84" w14:textId="6C0D9F25" w:rsidR="00235D9D" w:rsidRPr="006A4431" w:rsidRDefault="00AE7CD3">
            <w:pPr>
              <w:tabs>
                <w:tab w:val="left" w:pos="372"/>
              </w:tabs>
              <w:ind w:left="372"/>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Iný subjekt ako subjekty uvedené</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písmenách a) až g).</w:t>
            </w:r>
          </w:p>
          <w:p w14:paraId="200F2A18" w14:textId="5B185500" w:rsidR="00235D9D" w:rsidRPr="006A4431" w:rsidRDefault="00965D27">
            <w:pPr>
              <w:tabs>
                <w:tab w:val="left" w:pos="372"/>
              </w:tabs>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Keď sa na subjekt nevzťahuje CRR</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CRD, ale vzťahujú sa naň ustanovenia, ktoré sú prinajmenšom rovnocenné</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ustanoveniami dohody Bazilej, príslušná kategória sa určí podľa zásady najväčšieho úsilia.</w:t>
            </w:r>
          </w:p>
        </w:tc>
      </w:tr>
      <w:tr w:rsidR="00235D9D" w:rsidRPr="006A4431" w14:paraId="67463085" w14:textId="77777777" w:rsidTr="00672D2A">
        <w:tc>
          <w:tcPr>
            <w:tcW w:w="1188" w:type="dxa"/>
          </w:tcPr>
          <w:p w14:paraId="11FAC5C4"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040</w:t>
            </w:r>
          </w:p>
        </w:tc>
        <w:tc>
          <w:tcPr>
            <w:tcW w:w="8640" w:type="dxa"/>
          </w:tcPr>
          <w:p w14:paraId="5C81B104" w14:textId="77777777" w:rsidR="00235D9D" w:rsidRPr="006A4431" w:rsidRDefault="00464F34">
            <w:pPr>
              <w:rPr>
                <w:rFonts w:ascii="Times New Roman" w:hAnsi="Times New Roman"/>
                <w:b/>
                <w:spacing w:val="-2"/>
                <w:sz w:val="24"/>
                <w:u w:val="single"/>
              </w:rPr>
            </w:pPr>
            <w:r w:rsidRPr="006A4431">
              <w:rPr>
                <w:rFonts w:ascii="Times New Roman" w:hAnsi="Times New Roman"/>
                <w:b/>
                <w:spacing w:val="-2"/>
                <w:sz w:val="24"/>
                <w:u w:val="single"/>
              </w:rPr>
              <w:t xml:space="preserve">ROZSAH ÚDAJOV: </w:t>
            </w:r>
            <w:r w:rsidRPr="006A4431">
              <w:rPr>
                <w:rFonts w:ascii="Times New Roman" w:hAnsi="Times New Roman"/>
                <w:b/>
                <w:caps/>
                <w:spacing w:val="-2"/>
                <w:sz w:val="24"/>
                <w:u w:val="single"/>
              </w:rPr>
              <w:t>samostatne plne konsolidované (SF) ALEBO samostatne čiastočne konsolidované (SP)</w:t>
            </w:r>
          </w:p>
          <w:p w14:paraId="24367ED6" w14:textId="35D875DD" w:rsidR="00D85C65" w:rsidRPr="006A4431" w:rsidRDefault="00464F34">
            <w:pPr>
              <w:rPr>
                <w:rFonts w:ascii="Times New Roman" w:hAnsi="Times New Roman"/>
                <w:spacing w:val="-2"/>
                <w:sz w:val="24"/>
              </w:rPr>
            </w:pPr>
            <w:r w:rsidRPr="006A4431">
              <w:rPr>
                <w:rStyle w:val="InstructionsTabelleText"/>
                <w:rFonts w:ascii="Times New Roman" w:hAnsi="Times New Roman"/>
                <w:spacing w:val="-2"/>
                <w:sz w:val="24"/>
              </w:rPr>
              <w:t>„SF“</w:t>
            </w:r>
            <w:r w:rsidRPr="006A4431">
              <w:rPr>
                <w:rFonts w:ascii="Times New Roman" w:hAnsi="Times New Roman"/>
                <w:spacing w:val="-2"/>
                <w:sz w:val="24"/>
              </w:rPr>
              <w:t xml:space="preserve"> sa zadáva</w:t>
            </w:r>
            <w:r w:rsidR="00D85C65" w:rsidRPr="006A4431">
              <w:rPr>
                <w:rFonts w:ascii="Times New Roman" w:hAnsi="Times New Roman"/>
                <w:spacing w:val="-2"/>
                <w:sz w:val="24"/>
              </w:rPr>
              <w:t xml:space="preserve"> v </w:t>
            </w:r>
            <w:r w:rsidRPr="006A4431">
              <w:rPr>
                <w:rFonts w:ascii="Times New Roman" w:hAnsi="Times New Roman"/>
                <w:spacing w:val="-2"/>
                <w:sz w:val="24"/>
              </w:rPr>
              <w:t>prípade samostatných dcérskych spoločností, ktoré sú plne konsolidované</w:t>
            </w:r>
            <w:r w:rsidR="00D85C65" w:rsidRPr="006A4431">
              <w:rPr>
                <w:rFonts w:ascii="Times New Roman" w:hAnsi="Times New Roman"/>
                <w:spacing w:val="-2"/>
                <w:sz w:val="24"/>
              </w:rPr>
              <w:t>.</w:t>
            </w:r>
          </w:p>
          <w:p w14:paraId="60F66323" w14:textId="2D7F3715" w:rsidR="00235D9D" w:rsidRPr="006A4431" w:rsidRDefault="009E5DCC">
            <w:pPr>
              <w:rPr>
                <w:rStyle w:val="InstructionsTabelleText"/>
                <w:rFonts w:ascii="Times New Roman" w:hAnsi="Times New Roman"/>
                <w:smallCaps/>
                <w:spacing w:val="-2"/>
                <w:sz w:val="24"/>
              </w:rPr>
            </w:pPr>
            <w:r w:rsidRPr="006A4431">
              <w:rPr>
                <w:rStyle w:val="InstructionsTabelleText"/>
                <w:rFonts w:ascii="Times New Roman" w:hAnsi="Times New Roman"/>
                <w:spacing w:val="-2"/>
                <w:sz w:val="24"/>
              </w:rPr>
              <w:t>„SP“</w:t>
            </w:r>
            <w:r w:rsidRPr="006A4431">
              <w:rPr>
                <w:rFonts w:ascii="Times New Roman" w:hAnsi="Times New Roman"/>
                <w:spacing w:val="-2"/>
                <w:sz w:val="24"/>
              </w:rPr>
              <w:t xml:space="preserve"> sa zadáva</w:t>
            </w:r>
            <w:r w:rsidR="00D85C65" w:rsidRPr="006A4431">
              <w:rPr>
                <w:rFonts w:ascii="Times New Roman" w:hAnsi="Times New Roman"/>
                <w:spacing w:val="-2"/>
                <w:sz w:val="24"/>
              </w:rPr>
              <w:t xml:space="preserve"> v </w:t>
            </w:r>
            <w:r w:rsidRPr="006A4431">
              <w:rPr>
                <w:rFonts w:ascii="Times New Roman" w:hAnsi="Times New Roman"/>
                <w:spacing w:val="-2"/>
                <w:sz w:val="24"/>
              </w:rPr>
              <w:t>prípade samostatných dcérskych spoločností, ktoré sú čiastočne konsolidované.</w:t>
            </w:r>
            <w:r w:rsidRPr="006A4431">
              <w:rPr>
                <w:rStyle w:val="InstructionsTabelleText"/>
                <w:rFonts w:ascii="Times New Roman" w:hAnsi="Times New Roman"/>
                <w:i/>
                <w:spacing w:val="-2"/>
                <w:sz w:val="24"/>
              </w:rPr>
              <w:t xml:space="preserve"> </w:t>
            </w:r>
          </w:p>
        </w:tc>
      </w:tr>
      <w:tr w:rsidR="00235D9D" w:rsidRPr="006A4431" w14:paraId="0DFB4DFD" w14:textId="77777777" w:rsidTr="00672D2A">
        <w:tc>
          <w:tcPr>
            <w:tcW w:w="1188" w:type="dxa"/>
          </w:tcPr>
          <w:p w14:paraId="0AC0535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050</w:t>
            </w:r>
          </w:p>
        </w:tc>
        <w:tc>
          <w:tcPr>
            <w:tcW w:w="8640" w:type="dxa"/>
          </w:tcPr>
          <w:p w14:paraId="7B78E72D" w14:textId="77777777" w:rsidR="00D85C65" w:rsidRPr="006A4431" w:rsidRDefault="00464F34">
            <w:pPr>
              <w:rPr>
                <w:rFonts w:ascii="Times New Roman" w:hAnsi="Times New Roman"/>
                <w:b/>
                <w:spacing w:val="-2"/>
                <w:sz w:val="24"/>
                <w:u w:val="single"/>
              </w:rPr>
            </w:pPr>
            <w:r w:rsidRPr="006A4431">
              <w:rPr>
                <w:rFonts w:ascii="Times New Roman" w:hAnsi="Times New Roman"/>
                <w:b/>
                <w:spacing w:val="-2"/>
                <w:sz w:val="24"/>
                <w:u w:val="single"/>
              </w:rPr>
              <w:t>KÓD KRAJINY</w:t>
            </w:r>
          </w:p>
          <w:p w14:paraId="3BE65297" w14:textId="0E7A0E0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 xml:space="preserve">Inštitúcie zadajú dvojpísmenový kód krajiny podľa normy ISO 3166-2. </w:t>
            </w:r>
          </w:p>
        </w:tc>
      </w:tr>
      <w:tr w:rsidR="00235D9D" w:rsidRPr="006A4431" w14:paraId="784633B7" w14:textId="77777777" w:rsidTr="00672D2A">
        <w:tc>
          <w:tcPr>
            <w:tcW w:w="1188" w:type="dxa"/>
          </w:tcPr>
          <w:p w14:paraId="7CEBA24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060</w:t>
            </w:r>
          </w:p>
        </w:tc>
        <w:tc>
          <w:tcPr>
            <w:tcW w:w="8640" w:type="dxa"/>
          </w:tcPr>
          <w:p w14:paraId="76BE3112"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MIERA PODIELU (%)</w:t>
            </w:r>
          </w:p>
          <w:p w14:paraId="796D7C4B" w14:textId="6F92BFAE"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percentuálny podiel označuje skutočný podiel kapitálu, ktorý materská spoločnosť drží</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dcérskych spoločnostiach.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úplnej konsolidácie priamej dcérskej spoločnosti je skutočný podiel napr. 70</w:t>
            </w:r>
            <w:r w:rsidR="00D85C65" w:rsidRPr="006A4431">
              <w:rPr>
                <w:rStyle w:val="InstructionsTabelleText"/>
                <w:rFonts w:ascii="Times New Roman" w:hAnsi="Times New Roman"/>
                <w:spacing w:val="-2"/>
                <w:sz w:val="24"/>
              </w:rPr>
              <w:t> %</w:t>
            </w:r>
            <w:r w:rsidRPr="006A4431">
              <w:rPr>
                <w:rStyle w:val="InstructionsTabelleText"/>
                <w:rFonts w:ascii="Times New Roman" w:hAnsi="Times New Roman"/>
                <w:spacing w:val="-2"/>
                <w:sz w:val="24"/>
              </w:rPr>
              <w: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článkom 4 ods. 1 bodom 16 CRR podiel dcérskej spoločnosti, ktorý sa má vykázať, je výsledkom vynásobenia podielov dotknutých dcérskych spoločností.</w:t>
            </w:r>
          </w:p>
        </w:tc>
      </w:tr>
      <w:tr w:rsidR="00235D9D" w:rsidRPr="006A4431" w14:paraId="2FF2D492" w14:textId="77777777" w:rsidTr="00672D2A">
        <w:tc>
          <w:tcPr>
            <w:tcW w:w="1188" w:type="dxa"/>
          </w:tcPr>
          <w:p w14:paraId="383AF808"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070 – 240</w:t>
            </w:r>
          </w:p>
        </w:tc>
        <w:tc>
          <w:tcPr>
            <w:tcW w:w="8640" w:type="dxa"/>
          </w:tcPr>
          <w:p w14:paraId="494A0AD2" w14:textId="22876DA4"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INFORMÁCIE</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SUBJEKTOCH, NA KTORÉ SA VZŤAHUJE POŽIADAVKA NA VLASTNÉ ZDROJE</w:t>
            </w:r>
          </w:p>
          <w:p w14:paraId="4D5F9E41" w14:textId="439565FA" w:rsidR="00D85C65"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 oddiele podrobných informácií (t. j. stĺpce 070 až 240) sa zhromažďujú informácie len</w:t>
            </w:r>
            <w:r w:rsidR="00D85C65" w:rsidRPr="006A4431">
              <w:rPr>
                <w:rStyle w:val="InstructionsTabelleText"/>
                <w:rFonts w:ascii="Times New Roman" w:hAnsi="Times New Roman"/>
                <w:spacing w:val="-2"/>
                <w:sz w:val="24"/>
              </w:rPr>
              <w:t xml:space="preserve"> o </w:t>
            </w:r>
            <w:r w:rsidRPr="006A4431">
              <w:rPr>
                <w:rStyle w:val="InstructionsTabelleText"/>
                <w:rFonts w:ascii="Times New Roman" w:hAnsi="Times New Roman"/>
                <w:spacing w:val="-2"/>
                <w:sz w:val="24"/>
              </w:rPr>
              <w:t>subjektoch</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podskupinách, na ktoré sa</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rámci rozsahu konsolidácie (</w:t>
            </w:r>
            <w:r w:rsidRPr="006A4431">
              <w:rPr>
                <w:rFonts w:ascii="Times New Roman" w:hAnsi="Times New Roman"/>
                <w:spacing w:val="-2"/>
                <w:sz w:val="24"/>
              </w:rPr>
              <w:t>prvá časť hlava II kapitola 2 CRR</w:t>
            </w:r>
            <w:r w:rsidRPr="006A4431">
              <w:rPr>
                <w:rStyle w:val="InstructionsTabelleText"/>
                <w:rFonts w:ascii="Times New Roman" w:hAnsi="Times New Roman"/>
                <w:spacing w:val="-2"/>
                <w:sz w:val="24"/>
              </w:rPr>
              <w:t>)</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skutočnosti vzťahujú požiadavky na platobnú schopnosť podľa CRR alebo ustanovenia, ktoré sú prinajmenšom rovnocenné</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ustanoveniami dohody Bazilej (t. j.</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stĺpci 030 je zadaná hodnota „áno“)</w:t>
            </w:r>
            <w:r w:rsidR="00D85C65" w:rsidRPr="006A4431">
              <w:rPr>
                <w:rStyle w:val="InstructionsTabelleText"/>
                <w:rFonts w:ascii="Times New Roman" w:hAnsi="Times New Roman"/>
                <w:spacing w:val="-2"/>
                <w:sz w:val="24"/>
              </w:rPr>
              <w:t>.</w:t>
            </w:r>
          </w:p>
          <w:p w14:paraId="06EED762" w14:textId="27CCD200" w:rsidR="00D85C65" w:rsidRPr="006A4431" w:rsidRDefault="00464F34">
            <w:pPr>
              <w:rPr>
                <w:rFonts w:ascii="Times New Roman" w:hAnsi="Times New Roman"/>
                <w:spacing w:val="-2"/>
                <w:sz w:val="24"/>
              </w:rPr>
            </w:pPr>
            <w:r w:rsidRPr="006A4431">
              <w:rPr>
                <w:rFonts w:ascii="Times New Roman" w:hAnsi="Times New Roman"/>
                <w:spacing w:val="-2"/>
                <w:sz w:val="24"/>
              </w:rPr>
              <w:t>Zadávajú sa informácie</w:t>
            </w:r>
            <w:r w:rsidR="00D85C65" w:rsidRPr="006A4431">
              <w:rPr>
                <w:rFonts w:ascii="Times New Roman" w:hAnsi="Times New Roman"/>
                <w:spacing w:val="-2"/>
                <w:sz w:val="24"/>
              </w:rPr>
              <w:t xml:space="preserve"> o </w:t>
            </w:r>
            <w:r w:rsidRPr="006A4431">
              <w:rPr>
                <w:rFonts w:ascii="Times New Roman" w:hAnsi="Times New Roman"/>
                <w:spacing w:val="-2"/>
                <w:sz w:val="24"/>
              </w:rPr>
              <w:t>všetkých samostatných inštitúciách konsolidovanej skupiny, na ktoré sa vzťahujú požiadavky na vlastné zdroje, bez ohľadu na to, kde majú sídlo</w:t>
            </w:r>
            <w:r w:rsidR="00D85C65" w:rsidRPr="006A4431">
              <w:rPr>
                <w:rFonts w:ascii="Times New Roman" w:hAnsi="Times New Roman"/>
                <w:spacing w:val="-2"/>
                <w:sz w:val="24"/>
              </w:rPr>
              <w:t>.</w:t>
            </w:r>
          </w:p>
          <w:p w14:paraId="799DC52C" w14:textId="2CE52E27" w:rsidR="00235D9D" w:rsidRPr="006A4431" w:rsidRDefault="00464F34">
            <w:pPr>
              <w:rPr>
                <w:rFonts w:ascii="Times New Roman" w:hAnsi="Times New Roman"/>
                <w:spacing w:val="-2"/>
                <w:sz w:val="24"/>
              </w:rPr>
            </w:pPr>
            <w:r w:rsidRPr="006A4431">
              <w:rPr>
                <w:rFonts w:ascii="Times New Roman" w:hAnsi="Times New Roman"/>
                <w:spacing w:val="-2"/>
                <w:sz w:val="24"/>
              </w:rPr>
              <w:t>Informácie vykazované</w:t>
            </w:r>
            <w:r w:rsidR="00D85C65" w:rsidRPr="006A4431">
              <w:rPr>
                <w:rFonts w:ascii="Times New Roman" w:hAnsi="Times New Roman"/>
                <w:spacing w:val="-2"/>
                <w:sz w:val="24"/>
              </w:rPr>
              <w:t xml:space="preserve"> v </w:t>
            </w:r>
            <w:r w:rsidRPr="006A4431">
              <w:rPr>
                <w:rFonts w:ascii="Times New Roman" w:hAnsi="Times New Roman"/>
                <w:spacing w:val="-2"/>
                <w:sz w:val="24"/>
              </w:rPr>
              <w:t xml:space="preserve">tejto časti sa riadia </w:t>
            </w:r>
            <w:r w:rsidRPr="006A4431">
              <w:rPr>
                <w:rFonts w:ascii="Times New Roman" w:hAnsi="Times New Roman"/>
                <w:bCs/>
                <w:spacing w:val="-2"/>
                <w:sz w:val="24"/>
              </w:rPr>
              <w:t>miestnymi pravidlami</w:t>
            </w:r>
            <w:r w:rsidR="00D85C65" w:rsidRPr="006A4431">
              <w:rPr>
                <w:rFonts w:ascii="Times New Roman" w:hAnsi="Times New Roman"/>
                <w:bCs/>
                <w:spacing w:val="-2"/>
                <w:sz w:val="24"/>
              </w:rPr>
              <w:t xml:space="preserve"> o </w:t>
            </w:r>
            <w:r w:rsidRPr="006A4431">
              <w:rPr>
                <w:rFonts w:ascii="Times New Roman" w:hAnsi="Times New Roman"/>
                <w:bCs/>
                <w:spacing w:val="-2"/>
                <w:sz w:val="24"/>
              </w:rPr>
              <w:t>platobnej schopnosti danej jurisdikcie,</w:t>
            </w:r>
            <w:r w:rsidR="00D85C65" w:rsidRPr="006A4431">
              <w:rPr>
                <w:rFonts w:ascii="Times New Roman" w:hAnsi="Times New Roman"/>
                <w:bCs/>
                <w:spacing w:val="-2"/>
                <w:sz w:val="24"/>
              </w:rPr>
              <w:t xml:space="preserve"> v </w:t>
            </w:r>
            <w:r w:rsidRPr="006A4431">
              <w:rPr>
                <w:rFonts w:ascii="Times New Roman" w:hAnsi="Times New Roman"/>
                <w:bCs/>
                <w:spacing w:val="-2"/>
                <w:sz w:val="24"/>
              </w:rPr>
              <w:t>ktorej</w:t>
            </w:r>
            <w:r w:rsidRPr="006A4431">
              <w:rPr>
                <w:rFonts w:ascii="Times New Roman" w:hAnsi="Times New Roman"/>
                <w:spacing w:val="-2"/>
                <w:sz w:val="24"/>
              </w:rPr>
              <w:t xml:space="preserve"> inštitúcia pôsobí (preto sa</w:t>
            </w:r>
            <w:r w:rsidR="00D85C65" w:rsidRPr="006A4431">
              <w:rPr>
                <w:rFonts w:ascii="Times New Roman" w:hAnsi="Times New Roman"/>
                <w:spacing w:val="-2"/>
                <w:sz w:val="24"/>
              </w:rPr>
              <w:t xml:space="preserve"> v </w:t>
            </w:r>
            <w:r w:rsidRPr="006A4431">
              <w:rPr>
                <w:rFonts w:ascii="Times New Roman" w:hAnsi="Times New Roman"/>
                <w:spacing w:val="-2"/>
                <w:sz w:val="24"/>
              </w:rPr>
              <w:t>tomto vzore nemusí robiť dvojitý výpočet na individuálnom základe podľa pravidiel materskej inštitúcie). Keď sa miestne pravidlá</w:t>
            </w:r>
            <w:r w:rsidR="00D85C65" w:rsidRPr="006A4431">
              <w:rPr>
                <w:rFonts w:ascii="Times New Roman" w:hAnsi="Times New Roman"/>
                <w:spacing w:val="-2"/>
                <w:sz w:val="24"/>
              </w:rPr>
              <w:t xml:space="preserve"> o </w:t>
            </w:r>
            <w:r w:rsidRPr="006A4431">
              <w:rPr>
                <w:rFonts w:ascii="Times New Roman" w:hAnsi="Times New Roman"/>
                <w:spacing w:val="-2"/>
                <w:sz w:val="24"/>
              </w:rPr>
              <w:t>platobnej schopnosti líšia od CRR</w:t>
            </w:r>
            <w:r w:rsidR="00D85C65" w:rsidRPr="006A4431">
              <w:rPr>
                <w:rFonts w:ascii="Times New Roman" w:hAnsi="Times New Roman"/>
                <w:spacing w:val="-2"/>
                <w:sz w:val="24"/>
              </w:rPr>
              <w:t xml:space="preserve"> a </w:t>
            </w:r>
            <w:r w:rsidRPr="006A4431">
              <w:rPr>
                <w:rFonts w:ascii="Times New Roman" w:hAnsi="Times New Roman"/>
                <w:spacing w:val="-2"/>
                <w:sz w:val="24"/>
              </w:rPr>
              <w:t>neposkytne sa porovnateľný prehľad, informácie sa doplnia, ak sú údaje dostupné</w:t>
            </w:r>
            <w:r w:rsidR="00D85C65" w:rsidRPr="006A4431">
              <w:rPr>
                <w:rFonts w:ascii="Times New Roman" w:hAnsi="Times New Roman"/>
                <w:spacing w:val="-2"/>
                <w:sz w:val="24"/>
              </w:rPr>
              <w:t xml:space="preserve"> v </w:t>
            </w:r>
            <w:r w:rsidRPr="006A4431">
              <w:rPr>
                <w:rFonts w:ascii="Times New Roman" w:hAnsi="Times New Roman"/>
                <w:spacing w:val="-2"/>
                <w:sz w:val="24"/>
              </w:rPr>
              <w:t>príslušnej podrobnej štruktúre. Táto časť je preto faktický vzor,</w:t>
            </w:r>
            <w:r w:rsidR="00D85C65" w:rsidRPr="006A4431">
              <w:rPr>
                <w:rFonts w:ascii="Times New Roman" w:hAnsi="Times New Roman"/>
                <w:spacing w:val="-2"/>
                <w:sz w:val="24"/>
              </w:rPr>
              <w:t xml:space="preserve"> v </w:t>
            </w:r>
            <w:r w:rsidRPr="006A4431">
              <w:rPr>
                <w:rFonts w:ascii="Times New Roman" w:hAnsi="Times New Roman"/>
                <w:spacing w:val="-2"/>
                <w:sz w:val="24"/>
              </w:rPr>
              <w:t>ktorom sú zhrnuté výpočty, ktoré jednotlivé inštitúcie skupiny musia vykonať, pričom treba zohľadniť, že na niektoré</w:t>
            </w:r>
            <w:r w:rsidR="00D85C65" w:rsidRPr="006A4431">
              <w:rPr>
                <w:rFonts w:ascii="Times New Roman" w:hAnsi="Times New Roman"/>
                <w:spacing w:val="-2"/>
                <w:sz w:val="24"/>
              </w:rPr>
              <w:t xml:space="preserve"> z </w:t>
            </w:r>
            <w:r w:rsidRPr="006A4431">
              <w:rPr>
                <w:rFonts w:ascii="Times New Roman" w:hAnsi="Times New Roman"/>
                <w:spacing w:val="-2"/>
                <w:sz w:val="24"/>
              </w:rPr>
              <w:t>týchto inštitúcií sa môžu vzťahovať rozdielne pravidlá platobnej schopnosti.</w:t>
            </w:r>
          </w:p>
          <w:p w14:paraId="34A211F6" w14:textId="77777777" w:rsidR="00235D9D" w:rsidRPr="006A4431" w:rsidRDefault="00464F34">
            <w:pPr>
              <w:rPr>
                <w:rStyle w:val="InstructionsTabelleText"/>
                <w:rFonts w:ascii="Times New Roman" w:hAnsi="Times New Roman"/>
                <w:b/>
                <w:spacing w:val="-2"/>
                <w:sz w:val="24"/>
                <w:u w:val="single"/>
              </w:rPr>
            </w:pPr>
            <w:r w:rsidRPr="006A4431">
              <w:rPr>
                <w:rStyle w:val="InstructionsTabelleText"/>
                <w:rFonts w:ascii="Times New Roman" w:hAnsi="Times New Roman"/>
                <w:b/>
                <w:spacing w:val="-2"/>
                <w:sz w:val="24"/>
                <w:u w:val="single"/>
              </w:rPr>
              <w:t>Vykazovanie fixných režijných nákladov investičných spoločností:</w:t>
            </w:r>
          </w:p>
          <w:p w14:paraId="4897D046" w14:textId="78FA8B20" w:rsidR="00235D9D" w:rsidRPr="006A4431" w:rsidRDefault="00464F34">
            <w:pPr>
              <w:autoSpaceDE w:val="0"/>
              <w:autoSpaceDN w:val="0"/>
              <w:adjustRightInd w:val="0"/>
              <w:spacing w:after="0"/>
              <w:rPr>
                <w:rStyle w:val="InstructionsTabelleText"/>
                <w:rFonts w:ascii="Times New Roman" w:hAnsi="Times New Roman"/>
                <w:spacing w:val="-2"/>
                <w:sz w:val="24"/>
              </w:rPr>
            </w:pPr>
            <w:r w:rsidRPr="006A4431">
              <w:rPr>
                <w:rStyle w:val="InstructionsTabelleText"/>
                <w:rFonts w:ascii="Times New Roman" w:hAnsi="Times New Roman"/>
                <w:spacing w:val="-2"/>
                <w:sz w:val="24"/>
              </w:rPr>
              <w:t>Investičné spoločnosti začlenia požiadavky na vlastné zdroje súvisiace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fixnými režijnými nákladmi do svojho výpočtu podielu kapitálu podľa článkov 95, 96, 97</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98 CRR.</w:t>
            </w:r>
          </w:p>
          <w:p w14:paraId="031DF955" w14:textId="653044AE" w:rsidR="00235D9D" w:rsidRPr="006A4431" w:rsidRDefault="00464F34">
            <w:pPr>
              <w:autoSpaceDE w:val="0"/>
              <w:autoSpaceDN w:val="0"/>
              <w:adjustRightInd w:val="0"/>
              <w:spacing w:after="0"/>
              <w:rPr>
                <w:rStyle w:val="InstructionsTabelleText"/>
                <w:rFonts w:ascii="Times New Roman" w:hAnsi="Times New Roman"/>
                <w:spacing w:val="-2"/>
                <w:sz w:val="24"/>
              </w:rPr>
            </w:pPr>
            <w:r w:rsidRPr="006A4431">
              <w:rPr>
                <w:rStyle w:val="InstructionsTabelleText"/>
                <w:rFonts w:ascii="Times New Roman" w:hAnsi="Times New Roman"/>
                <w:spacing w:val="-2"/>
                <w:sz w:val="24"/>
              </w:rPr>
              <w:t>Časť celkovej hodnoty rizikových expozícií súvisiaca</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fixnými režijnými nákladmi sa vykazuje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 xml:space="preserve">stĺpci 100 časti 2 tohto vzoru. </w:t>
            </w:r>
          </w:p>
        </w:tc>
      </w:tr>
      <w:tr w:rsidR="00235D9D" w:rsidRPr="006A4431" w14:paraId="527DB4C5" w14:textId="77777777" w:rsidTr="00672D2A">
        <w:tc>
          <w:tcPr>
            <w:tcW w:w="1188" w:type="dxa"/>
          </w:tcPr>
          <w:p w14:paraId="11D1C2B4"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070</w:t>
            </w:r>
          </w:p>
        </w:tc>
        <w:tc>
          <w:tcPr>
            <w:tcW w:w="8640" w:type="dxa"/>
          </w:tcPr>
          <w:p w14:paraId="696E00D6" w14:textId="77777777" w:rsidR="00D85C65"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CELKOVÁ HODNOTA RIZIKOVÝCH EXPOZÍCIÍ</w:t>
            </w:r>
          </w:p>
          <w:p w14:paraId="77C81940" w14:textId="684991DF"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Zadáva sa súčet stĺpcov 080 až 110.</w:t>
            </w:r>
          </w:p>
        </w:tc>
      </w:tr>
      <w:tr w:rsidR="00235D9D" w:rsidRPr="006A4431" w14:paraId="1826C7C5" w14:textId="77777777" w:rsidTr="00672D2A">
        <w:tc>
          <w:tcPr>
            <w:tcW w:w="1188" w:type="dxa"/>
          </w:tcPr>
          <w:p w14:paraId="3B8CC19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080</w:t>
            </w:r>
          </w:p>
        </w:tc>
        <w:tc>
          <w:tcPr>
            <w:tcW w:w="8640" w:type="dxa"/>
          </w:tcPr>
          <w:p w14:paraId="21EC418F" w14:textId="2D244489"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KREDITNÉ RIZIKO; KREDITNÉ RIZIKO PROTISTRANY; RIZIKO ZNÍŽENIA KVALITY POHĽADÁVOK</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INÝCH AKO KREDITNÝCH DÔVODOV A BEZODPLATNÉ DODANIE</w:t>
            </w:r>
          </w:p>
          <w:p w14:paraId="7F9BD427" w14:textId="3C3B99DF"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súčtu hodnôt rizikovo vážených expozícií, ktoré sa rovnajú alebo sú rovnocenné</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hodnotami, ktoré sa musia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040 „</w:t>
            </w:r>
            <w:r w:rsidRPr="006A4431">
              <w:rPr>
                <w:rStyle w:val="InstructionsTabelleberschrift"/>
                <w:rFonts w:ascii="Times New Roman" w:hAnsi="Times New Roman"/>
                <w:b w:val="0"/>
                <w:spacing w:val="-2"/>
                <w:sz w:val="24"/>
                <w:u w:val="none"/>
              </w:rPr>
              <w:t>HODNOTY RIZIKOVO VÁŽENÝCH EXPOZÍCIÍ</w:t>
            </w:r>
            <w:r w:rsidRPr="006A4431">
              <w:rPr>
                <w:rFonts w:ascii="Times New Roman" w:hAnsi="Times New Roman"/>
                <w:spacing w:val="-2"/>
                <w:sz w:val="24"/>
              </w:rPr>
              <w:t xml:space="preserve"> </w:t>
            </w:r>
            <w:r w:rsidRPr="006A4431">
              <w:rPr>
                <w:rStyle w:val="InstructionsTabelleText"/>
                <w:rFonts w:ascii="Times New Roman" w:hAnsi="Times New Roman"/>
                <w:spacing w:val="-2"/>
                <w:sz w:val="24"/>
              </w:rPr>
              <w:t>PRE KREDITNÉ RIZIKO, KREDITNÉ RIZIKO PROTISTRANY, RIZIKO ZNÍŽENIA KVALITY POHĽADÁVOK</w:t>
            </w:r>
            <w:r w:rsidR="00D85C65" w:rsidRPr="006A4431">
              <w:rPr>
                <w:rStyle w:val="InstructionsTabelleText"/>
                <w:rFonts w:ascii="Times New Roman" w:hAnsi="Times New Roman"/>
                <w:spacing w:val="-2"/>
                <w:sz w:val="24"/>
              </w:rPr>
              <w:t xml:space="preserve"> Z </w:t>
            </w:r>
            <w:r w:rsidRPr="006A4431">
              <w:rPr>
                <w:rStyle w:val="InstructionsTabelleText"/>
                <w:rFonts w:ascii="Times New Roman" w:hAnsi="Times New Roman"/>
                <w:spacing w:val="-2"/>
                <w:sz w:val="24"/>
              </w:rPr>
              <w:t>INÝCH AKO KREDITNÝCH DÔVODOV A BEZODPLATNÉ DODANIE“,</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 xml:space="preserve">hodnôt požiadaviek na vlastné zdroje, ktoré sa rovnajú alebo sú </w:t>
            </w:r>
            <w:r w:rsidRPr="006A4431">
              <w:rPr>
                <w:rStyle w:val="InstructionsTabelleText"/>
                <w:rFonts w:ascii="Times New Roman" w:hAnsi="Times New Roman"/>
                <w:spacing w:val="-2"/>
                <w:sz w:val="24"/>
              </w:rPr>
              <w:lastRenderedPageBreak/>
              <w:t>rovnocenné</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hodnotami, ktoré sa musia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490 „CELKOVÁ HODNOTA RIZIKOVÝCH EXPOZÍCIÍ PRE RIZIKÁ VYROVNANIA/DODANIA“ vzoru CA2.</w:t>
            </w:r>
          </w:p>
        </w:tc>
      </w:tr>
      <w:tr w:rsidR="00235D9D" w:rsidRPr="006A4431" w14:paraId="7F5116C7" w14:textId="77777777" w:rsidTr="00672D2A">
        <w:tc>
          <w:tcPr>
            <w:tcW w:w="1188" w:type="dxa"/>
          </w:tcPr>
          <w:p w14:paraId="22CA7DC0"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090</w:t>
            </w:r>
          </w:p>
        </w:tc>
        <w:tc>
          <w:tcPr>
            <w:tcW w:w="8640" w:type="dxa"/>
          </w:tcPr>
          <w:p w14:paraId="4D46F688"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POZIČNÉ, DEVÍZOVÉ A KOMODITNÉ RIZIKO</w:t>
            </w:r>
          </w:p>
          <w:p w14:paraId="366C99B2" w14:textId="7C621595"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hodnote požiadaviek na vlastné zdroje, ktorá sa rovná alebo je rovnocenná</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hodnotami, ktoré sa musia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520 „CELKOVÁ HODNOTA RIZIKOVÝCH EXPOZÍCIÍ PRE POZIČNÉ, DEVÍZOVÉ A KOMODITNÉ RIZIKO“ vzoru CA2.</w:t>
            </w:r>
          </w:p>
        </w:tc>
      </w:tr>
      <w:tr w:rsidR="00235D9D" w:rsidRPr="006A4431" w14:paraId="70750086" w14:textId="77777777" w:rsidTr="00672D2A">
        <w:tc>
          <w:tcPr>
            <w:tcW w:w="1188" w:type="dxa"/>
          </w:tcPr>
          <w:p w14:paraId="64E3DDAE"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100</w:t>
            </w:r>
          </w:p>
        </w:tc>
        <w:tc>
          <w:tcPr>
            <w:tcW w:w="8640" w:type="dxa"/>
          </w:tcPr>
          <w:p w14:paraId="14BC5320"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OPERAČNÉ RIZIKO</w:t>
            </w:r>
          </w:p>
          <w:p w14:paraId="17CDB038" w14:textId="43A5D620"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hodnote rizikových expozícií, ktorá sa rovná alebo je rovnocenná</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hodnotami, ktoré sa musia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590 „CELKOVÁ HODNOTA RIZIKOVÝCH EXPOZÍCIÍ PRE OPERAČNÉ RIZIKÁ (OpR)“ vzoru CA2.</w:t>
            </w:r>
          </w:p>
          <w:p w14:paraId="48EE13A8" w14:textId="37CED10C"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Do tohto stĺpca sa zahrnú fixné režijné náklady vrátane riadku 630 „DODATOČNÁ HODNOTA RIZIKOVÝCH EXPOZÍCIÍ NA ZÁKLADE FIXNÝCH REŽIJNÝCH NÁKLADOV“ vzoru CA2.</w:t>
            </w:r>
          </w:p>
        </w:tc>
      </w:tr>
      <w:tr w:rsidR="00235D9D" w:rsidRPr="006A4431" w14:paraId="6F971F86" w14:textId="77777777" w:rsidTr="00672D2A">
        <w:tc>
          <w:tcPr>
            <w:tcW w:w="1188" w:type="dxa"/>
          </w:tcPr>
          <w:p w14:paraId="53A2157B"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110</w:t>
            </w:r>
          </w:p>
        </w:tc>
        <w:tc>
          <w:tcPr>
            <w:tcW w:w="8640" w:type="dxa"/>
          </w:tcPr>
          <w:p w14:paraId="0C1EF2D1"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INÉ HODNOTY RIZIKOVÝCH EXPOZÍCIÍ</w:t>
            </w:r>
          </w:p>
          <w:p w14:paraId="1A55FB51" w14:textId="48EE87B9"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vykazovaná</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hodnote rizikových expozícií, ktorá nie je osobitne uvedená vyššie. Je to súčet hodnôt riadkov 640, 680</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690 vzoru CA2.</w:t>
            </w:r>
          </w:p>
        </w:tc>
      </w:tr>
      <w:tr w:rsidR="00235D9D" w:rsidRPr="006A4431" w14:paraId="313FC97C" w14:textId="77777777" w:rsidTr="00672D2A">
        <w:tc>
          <w:tcPr>
            <w:tcW w:w="1188" w:type="dxa"/>
          </w:tcPr>
          <w:p w14:paraId="13A1545D"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120 – 240</w:t>
            </w:r>
          </w:p>
        </w:tc>
        <w:tc>
          <w:tcPr>
            <w:tcW w:w="8640" w:type="dxa"/>
          </w:tcPr>
          <w:p w14:paraId="2F2E30DA" w14:textId="6EF37C96"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PODROBNÉ INFORMÁCIE</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VLASTNÝCH ZDROJOCH SKUPINOVEJ SOLVENTNOSTI</w:t>
            </w:r>
          </w:p>
          <w:p w14:paraId="1A14F676" w14:textId="4D4B6618"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Informácie vykazované</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nasledujúcich stĺpcoch odzrkadľujú miestne pravidlá</w:t>
            </w:r>
            <w:r w:rsidR="00D85C65" w:rsidRPr="006A4431">
              <w:rPr>
                <w:rStyle w:val="InstructionsTabelleText"/>
                <w:rFonts w:ascii="Times New Roman" w:hAnsi="Times New Roman"/>
                <w:spacing w:val="-2"/>
                <w:sz w:val="24"/>
              </w:rPr>
              <w:t xml:space="preserve"> o </w:t>
            </w:r>
            <w:r w:rsidRPr="006A4431">
              <w:rPr>
                <w:rStyle w:val="InstructionsTabelleText"/>
                <w:rFonts w:ascii="Times New Roman" w:hAnsi="Times New Roman"/>
                <w:spacing w:val="-2"/>
                <w:sz w:val="24"/>
              </w:rPr>
              <w:t>platobnej schopnosti členského štátu,</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ktorom subjekt alebo podskupina pôsobia.</w:t>
            </w:r>
          </w:p>
        </w:tc>
      </w:tr>
      <w:tr w:rsidR="00235D9D" w:rsidRPr="006A4431" w14:paraId="1B6D416F" w14:textId="77777777" w:rsidTr="00672D2A">
        <w:tc>
          <w:tcPr>
            <w:tcW w:w="1188" w:type="dxa"/>
          </w:tcPr>
          <w:p w14:paraId="772171D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120</w:t>
            </w:r>
          </w:p>
        </w:tc>
        <w:tc>
          <w:tcPr>
            <w:tcW w:w="8640" w:type="dxa"/>
          </w:tcPr>
          <w:p w14:paraId="591A00A1"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VLASTNÉ ZDROJE</w:t>
            </w:r>
          </w:p>
          <w:p w14:paraId="5596F621" w14:textId="7F702D81"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Hodnota, ktorá sa má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hodnote vlastných zdrojov, ktorá sa rovná alebo je rovnocenná</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hodnotami, ktoré sa musia vykázať</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riadku 010 „VLASTNÉ ZDROJE“ vzoru CA1.</w:t>
            </w:r>
          </w:p>
        </w:tc>
      </w:tr>
      <w:tr w:rsidR="00235D9D" w:rsidRPr="006A4431" w14:paraId="38E63995" w14:textId="77777777" w:rsidTr="00672D2A">
        <w:tc>
          <w:tcPr>
            <w:tcW w:w="1188" w:type="dxa"/>
          </w:tcPr>
          <w:p w14:paraId="4973F2F3"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130</w:t>
            </w:r>
          </w:p>
        </w:tc>
        <w:tc>
          <w:tcPr>
            <w:tcW w:w="8640" w:type="dxa"/>
          </w:tcPr>
          <w:p w14:paraId="235E1D2C" w14:textId="77777777" w:rsidR="00D85C65"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KVALIFIKOVANÉ VLASTNÉ ZDROJE</w:t>
            </w:r>
          </w:p>
          <w:p w14:paraId="36B3F762" w14:textId="3C22F001" w:rsidR="00D85C65"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82 CRR</w:t>
            </w:r>
            <w:r w:rsidR="00D85C65" w:rsidRPr="006A4431">
              <w:rPr>
                <w:rStyle w:val="InstructionsTabelleText"/>
                <w:rFonts w:ascii="Times New Roman" w:hAnsi="Times New Roman"/>
                <w:spacing w:val="-2"/>
                <w:sz w:val="24"/>
              </w:rPr>
              <w:t>.</w:t>
            </w:r>
          </w:p>
          <w:p w14:paraId="22D4C378" w14:textId="1562DA98" w:rsidR="00D85C65"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stĺpec sa vypĺňa len</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vykazovaných na individuálnom základe, ktoré sú plne konsolidované</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ktoré sú inštitúciami</w:t>
            </w:r>
            <w:r w:rsidR="00D85C65" w:rsidRPr="006A4431">
              <w:rPr>
                <w:rStyle w:val="InstructionsTabelleText"/>
                <w:rFonts w:ascii="Times New Roman" w:hAnsi="Times New Roman"/>
                <w:spacing w:val="-2"/>
                <w:sz w:val="24"/>
              </w:rPr>
              <w:t>.</w:t>
            </w:r>
          </w:p>
          <w:p w14:paraId="440FC02F" w14:textId="278DA7A4"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Kvalifikované podiely sú,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vymedzených vyššie, nástroje (plus súvisiace nerozdelené zisky, emisné ážiá</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iné rezervy) vlastnené osobami inými než podnikmi zahrnutými do konsolidácie CRR.</w:t>
            </w:r>
          </w:p>
          <w:p w14:paraId="2B4CB5C6" w14:textId="0569CB81"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Vykazovaná hodnota zahŕňa účinky všetkých prechodných ustanovení. Je to hodnota prípustná</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dátumu vykazovania.</w:t>
            </w:r>
          </w:p>
        </w:tc>
      </w:tr>
      <w:tr w:rsidR="00235D9D" w:rsidRPr="006A4431" w14:paraId="5F5C2775" w14:textId="77777777" w:rsidTr="00672D2A">
        <w:tc>
          <w:tcPr>
            <w:tcW w:w="1188" w:type="dxa"/>
          </w:tcPr>
          <w:p w14:paraId="733BDBF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140</w:t>
            </w:r>
          </w:p>
        </w:tc>
        <w:tc>
          <w:tcPr>
            <w:tcW w:w="8640" w:type="dxa"/>
          </w:tcPr>
          <w:p w14:paraId="5A73C1CB" w14:textId="77777777" w:rsidR="00235D9D" w:rsidRPr="006A4431" w:rsidRDefault="000044B7">
            <w:pPr>
              <w:rPr>
                <w:rStyle w:val="InstructionsTabelleberschrift"/>
                <w:rFonts w:ascii="Times New Roman" w:hAnsi="Times New Roman"/>
                <w:b w:val="0"/>
                <w:spacing w:val="-2"/>
                <w:sz w:val="24"/>
              </w:rPr>
            </w:pPr>
            <w:r w:rsidRPr="006A4431">
              <w:rPr>
                <w:rStyle w:val="InstructionsTabelleberschrift"/>
                <w:rFonts w:ascii="Times New Roman" w:hAnsi="Times New Roman"/>
                <w:spacing w:val="-2"/>
                <w:sz w:val="24"/>
              </w:rPr>
              <w:t>SÚVISIACE NÁSTROJE VLASTNÝCH ZDROJOV, SÚVISIACE NEROZDELENÉ ZISKY, EMISNÉ ÁŽIÁ A INÉ REZERVY</w:t>
            </w:r>
          </w:p>
          <w:p w14:paraId="25DE61D6" w14:textId="7CAAC974" w:rsidR="00235D9D" w:rsidRPr="006A4431" w:rsidRDefault="00283C5E">
            <w:pPr>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87 ods. 1 písm. b) CRR.</w:t>
            </w:r>
          </w:p>
        </w:tc>
      </w:tr>
      <w:tr w:rsidR="00235D9D" w:rsidRPr="006A4431" w14:paraId="009E84A1" w14:textId="77777777" w:rsidTr="00672D2A">
        <w:tc>
          <w:tcPr>
            <w:tcW w:w="1188" w:type="dxa"/>
          </w:tcPr>
          <w:p w14:paraId="6D628FBD"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150</w:t>
            </w:r>
          </w:p>
        </w:tc>
        <w:tc>
          <w:tcPr>
            <w:tcW w:w="8640" w:type="dxa"/>
          </w:tcPr>
          <w:p w14:paraId="79313680"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CELKOVÝ KAPITÁL TIER 1</w:t>
            </w:r>
          </w:p>
          <w:p w14:paraId="7004BB9E" w14:textId="3EFF55E3"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Článok 25 CRR.</w:t>
            </w:r>
          </w:p>
        </w:tc>
      </w:tr>
      <w:tr w:rsidR="00235D9D" w:rsidRPr="006A4431" w14:paraId="74823C66" w14:textId="77777777" w:rsidTr="00672D2A">
        <w:tc>
          <w:tcPr>
            <w:tcW w:w="1188" w:type="dxa"/>
          </w:tcPr>
          <w:p w14:paraId="5C52BB13"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160</w:t>
            </w:r>
          </w:p>
        </w:tc>
        <w:tc>
          <w:tcPr>
            <w:tcW w:w="8640" w:type="dxa"/>
          </w:tcPr>
          <w:p w14:paraId="6CDFB6A5"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KVALIFIKOVANÝ KAPITÁL TIER 1</w:t>
            </w:r>
          </w:p>
          <w:p w14:paraId="5D6ECF13" w14:textId="648EAAEC"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82 CRR.</w:t>
            </w:r>
          </w:p>
          <w:p w14:paraId="7F0B04E8" w14:textId="3FA626B8"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stĺpec sa vypĺňa len</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vykazovaných na individuálnom základe, ktoré sú plne konsolidované</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ktoré sú inštitúciami.</w:t>
            </w:r>
          </w:p>
          <w:p w14:paraId="64C845E5" w14:textId="74EA7C71"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Kvalifikované podiely sú,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vymedzených vyššie, nástroje (plus súvisiace nerozdelené zisky</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emisné ážiá) vlastnené osobami inými než podnikmi zahrnutými do konsolidácie CRR.</w:t>
            </w:r>
          </w:p>
          <w:p w14:paraId="722E47B7" w14:textId="095A4992"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Vykazovaná hodnota zahŕňa účinky všetkých prechodných ustanovení. Je to hodnota prípustná</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dátumu vykazovania.</w:t>
            </w:r>
          </w:p>
        </w:tc>
      </w:tr>
      <w:tr w:rsidR="00235D9D" w:rsidRPr="006A4431" w14:paraId="6EDF381C" w14:textId="77777777" w:rsidTr="00672D2A">
        <w:tc>
          <w:tcPr>
            <w:tcW w:w="1188" w:type="dxa"/>
          </w:tcPr>
          <w:p w14:paraId="43541E40"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170</w:t>
            </w:r>
          </w:p>
        </w:tc>
        <w:tc>
          <w:tcPr>
            <w:tcW w:w="8640" w:type="dxa"/>
          </w:tcPr>
          <w:p w14:paraId="0D194735" w14:textId="77777777" w:rsidR="00235D9D" w:rsidRPr="006A4431" w:rsidRDefault="000044B7">
            <w:pPr>
              <w:rPr>
                <w:rStyle w:val="InstructionsTabelleberschrift"/>
                <w:rFonts w:ascii="Times New Roman" w:hAnsi="Times New Roman"/>
                <w:b w:val="0"/>
                <w:spacing w:val="-2"/>
                <w:sz w:val="24"/>
              </w:rPr>
            </w:pPr>
            <w:r w:rsidRPr="006A4431">
              <w:rPr>
                <w:rStyle w:val="InstructionsTabelleberschrift"/>
                <w:rFonts w:ascii="Times New Roman" w:hAnsi="Times New Roman"/>
                <w:spacing w:val="-2"/>
                <w:sz w:val="24"/>
              </w:rPr>
              <w:t>SÚVISIACE NÁSTROJE T1, SÚVISIACE NEROZDELENÉ ZISKY A ÚČTY EMISNÉHO ÁŽIA</w:t>
            </w:r>
          </w:p>
          <w:p w14:paraId="1DCD7A72" w14:textId="3EACED00" w:rsidR="00235D9D" w:rsidRPr="006A4431" w:rsidRDefault="001E0C80">
            <w:pPr>
              <w:rPr>
                <w:rStyle w:val="InstructionsTabelleberschrift"/>
                <w:rFonts w:ascii="Times New Roman" w:hAnsi="Times New Roman"/>
                <w:spacing w:val="-2"/>
                <w:sz w:val="24"/>
              </w:rPr>
            </w:pPr>
            <w:r w:rsidRPr="006A4431">
              <w:rPr>
                <w:rStyle w:val="InstructionsTabelleberschrift"/>
                <w:rFonts w:ascii="Times New Roman" w:hAnsi="Times New Roman"/>
                <w:b w:val="0"/>
                <w:spacing w:val="-2"/>
                <w:sz w:val="24"/>
                <w:u w:val="none"/>
              </w:rPr>
              <w:t>Článok 85 ods. 1 písm. b) CRR.</w:t>
            </w:r>
          </w:p>
        </w:tc>
      </w:tr>
      <w:tr w:rsidR="00235D9D" w:rsidRPr="006A4431" w14:paraId="2FD318C0" w14:textId="77777777" w:rsidTr="00672D2A">
        <w:tc>
          <w:tcPr>
            <w:tcW w:w="1188" w:type="dxa"/>
          </w:tcPr>
          <w:p w14:paraId="04787C11"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180</w:t>
            </w:r>
          </w:p>
        </w:tc>
        <w:tc>
          <w:tcPr>
            <w:tcW w:w="8640" w:type="dxa"/>
          </w:tcPr>
          <w:p w14:paraId="1D3C4F40"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VLASTNÝ KAPITÁL TIER 1</w:t>
            </w:r>
          </w:p>
          <w:p w14:paraId="2DB91122" w14:textId="0B0CF577"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Článok 50 CRR.</w:t>
            </w:r>
          </w:p>
        </w:tc>
      </w:tr>
      <w:tr w:rsidR="00235D9D" w:rsidRPr="006A4431" w14:paraId="2DBC2430" w14:textId="77777777" w:rsidTr="00672D2A">
        <w:tc>
          <w:tcPr>
            <w:tcW w:w="1188" w:type="dxa"/>
          </w:tcPr>
          <w:p w14:paraId="50693798"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190</w:t>
            </w:r>
          </w:p>
        </w:tc>
        <w:tc>
          <w:tcPr>
            <w:tcW w:w="8640" w:type="dxa"/>
          </w:tcPr>
          <w:p w14:paraId="6F86A4BF"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MENŠINOVÉ ÚČASTI</w:t>
            </w:r>
          </w:p>
          <w:p w14:paraId="1B6B2E1F" w14:textId="0B318F41"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81 CRR.</w:t>
            </w:r>
          </w:p>
          <w:p w14:paraId="79D5231D" w14:textId="531AC9BD"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stĺpec sa vypĺňa len</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ktoré sú plne konsolidované</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ktoré sú inštitúciami, okrem dcérskych spoločností uvedených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článku 84 ods. 3 CRR. Každá dcérska spoločnosť sa na účely všetkých výpočtov požadovaných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článku 84 CRR posudzuje na subkonsolidovanom základe,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náležitých prípadoch podľa článku 84 ods. 2, inak na samostatnom základe.</w:t>
            </w:r>
          </w:p>
          <w:p w14:paraId="00B11729" w14:textId="169EC3EB" w:rsidR="00235D9D" w:rsidRPr="006A4431" w:rsidRDefault="00283C5E">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Menšinové účasti sú,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vymedzených vyššie, nástroje CET1 (plus súvisiace nerozdelené zisky</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emisné ážiá) vlastnené osobami inými než podnikmi zahrnutými do konsolidácie CRR.</w:t>
            </w:r>
          </w:p>
          <w:p w14:paraId="24D22AAE" w14:textId="103FA551"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Vykazovaná hodnota zahŕňa účinky všetkých prechodných ustanovení. Je to hodnota prípustná</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dátumu vykazovania.</w:t>
            </w:r>
          </w:p>
        </w:tc>
      </w:tr>
      <w:tr w:rsidR="00235D9D" w:rsidRPr="006A4431" w14:paraId="472D0DEE" w14:textId="77777777" w:rsidTr="00672D2A">
        <w:tc>
          <w:tcPr>
            <w:tcW w:w="1188" w:type="dxa"/>
          </w:tcPr>
          <w:p w14:paraId="25C515A6"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200</w:t>
            </w:r>
          </w:p>
        </w:tc>
        <w:tc>
          <w:tcPr>
            <w:tcW w:w="8640" w:type="dxa"/>
          </w:tcPr>
          <w:p w14:paraId="14DC5916" w14:textId="77777777" w:rsidR="00235D9D" w:rsidRPr="006A4431" w:rsidRDefault="000044B7">
            <w:pPr>
              <w:rPr>
                <w:rStyle w:val="InstructionsTabelleberschrift"/>
                <w:rFonts w:ascii="Times New Roman" w:hAnsi="Times New Roman"/>
                <w:b w:val="0"/>
                <w:spacing w:val="-2"/>
                <w:sz w:val="24"/>
              </w:rPr>
            </w:pPr>
            <w:r w:rsidRPr="006A4431">
              <w:rPr>
                <w:rStyle w:val="InstructionsTabelleberschrift"/>
                <w:rFonts w:ascii="Times New Roman" w:hAnsi="Times New Roman"/>
                <w:spacing w:val="-2"/>
                <w:sz w:val="24"/>
              </w:rPr>
              <w:t>SÚVISIACE NÁSTROJE VLASTNÝCH ZDROJOV, SÚVISIACE NEROZDELENÉ ZISKY, EMISNÉ ÁŽIÁ A INÉ REZERVY</w:t>
            </w:r>
          </w:p>
          <w:p w14:paraId="64525FAB" w14:textId="279497C4" w:rsidR="00235D9D" w:rsidRPr="006A4431" w:rsidRDefault="001E0C80">
            <w:pPr>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84 ods. 1 písm. b) CRR.</w:t>
            </w:r>
          </w:p>
        </w:tc>
      </w:tr>
      <w:tr w:rsidR="00235D9D" w:rsidRPr="006A4431" w14:paraId="1B3E3283" w14:textId="77777777" w:rsidTr="00672D2A">
        <w:tc>
          <w:tcPr>
            <w:tcW w:w="1188" w:type="dxa"/>
          </w:tcPr>
          <w:p w14:paraId="267C4DB6"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210</w:t>
            </w:r>
          </w:p>
        </w:tc>
        <w:tc>
          <w:tcPr>
            <w:tcW w:w="8640" w:type="dxa"/>
          </w:tcPr>
          <w:p w14:paraId="09BE0853"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DODATOČNÝ KAPITÁL TIER 1</w:t>
            </w:r>
          </w:p>
          <w:p w14:paraId="5A521D63" w14:textId="0A8EFD91"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Článok 61 CRR.</w:t>
            </w:r>
          </w:p>
        </w:tc>
      </w:tr>
      <w:tr w:rsidR="00235D9D" w:rsidRPr="006A4431" w14:paraId="0D6DAAD8" w14:textId="77777777" w:rsidTr="00672D2A">
        <w:tc>
          <w:tcPr>
            <w:tcW w:w="1188" w:type="dxa"/>
          </w:tcPr>
          <w:p w14:paraId="3C24935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220</w:t>
            </w:r>
          </w:p>
        </w:tc>
        <w:tc>
          <w:tcPr>
            <w:tcW w:w="8640" w:type="dxa"/>
          </w:tcPr>
          <w:p w14:paraId="62367DCC"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KVALIFIKOVANÝ DODATOČNÝ KAPITÁL TIER 1</w:t>
            </w:r>
          </w:p>
          <w:p w14:paraId="5F84F697" w14:textId="121423C9"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82</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83 CRR.</w:t>
            </w:r>
          </w:p>
          <w:p w14:paraId="0AF4E5E3" w14:textId="038327AA"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stĺpec sa vypĺňa len</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ktoré sú plne konsolidované</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ktoré sú inštitúciami, okrem dcérskych spoločností uvedených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 xml:space="preserve">článku 85 ods. 2 CRR. </w:t>
            </w:r>
            <w:r w:rsidRPr="006A4431">
              <w:rPr>
                <w:rStyle w:val="InstructionsTabelleText"/>
                <w:rFonts w:ascii="Times New Roman" w:hAnsi="Times New Roman"/>
                <w:spacing w:val="-2"/>
                <w:sz w:val="24"/>
              </w:rPr>
              <w:lastRenderedPageBreak/>
              <w:t>Každá dcérska spoločnosť sa na účely všetkých výpočtov požadovaných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článku 85 CRR posudzuje na subkonsolidovanom základe,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náležitých prípadoch podľa článku 85 ods. 2, inak na samostatnom základe.</w:t>
            </w:r>
          </w:p>
          <w:p w14:paraId="7023DF92" w14:textId="50053760" w:rsidR="00235D9D" w:rsidRPr="006A4431" w:rsidRDefault="00283C5E">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Menšinové účasti sú,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vymedzených vyššie, nástroje AT1 (plus súvisiace nerozdelené zisky</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emisné ážiá) vlastnené osobami inými než podnikmi zahrnutými do konsolidácie CRR.</w:t>
            </w:r>
          </w:p>
          <w:p w14:paraId="2B44E764" w14:textId="7E3869C6"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Vykazovaná hodnota zahŕňa účinky všetkých prechodných ustanovení. Je to hodnota prípustná</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dátumu vykazovania.</w:t>
            </w:r>
          </w:p>
        </w:tc>
      </w:tr>
      <w:tr w:rsidR="00235D9D" w:rsidRPr="006A4431" w14:paraId="4B4C9BD8" w14:textId="77777777" w:rsidTr="00672D2A">
        <w:tc>
          <w:tcPr>
            <w:tcW w:w="1188" w:type="dxa"/>
          </w:tcPr>
          <w:p w14:paraId="433FC6D5"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230</w:t>
            </w:r>
          </w:p>
        </w:tc>
        <w:tc>
          <w:tcPr>
            <w:tcW w:w="8640" w:type="dxa"/>
          </w:tcPr>
          <w:p w14:paraId="00BBB339"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KAPITÁL TIER 2</w:t>
            </w:r>
          </w:p>
          <w:p w14:paraId="3BD73D04" w14:textId="5E72256A"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bCs/>
                <w:spacing w:val="-2"/>
                <w:sz w:val="24"/>
              </w:rPr>
              <w:t>Článok 71 CRR.</w:t>
            </w:r>
          </w:p>
        </w:tc>
      </w:tr>
      <w:tr w:rsidR="00235D9D" w:rsidRPr="006A4431" w14:paraId="20FFCE86" w14:textId="77777777" w:rsidTr="00672D2A">
        <w:tc>
          <w:tcPr>
            <w:tcW w:w="1188" w:type="dxa"/>
          </w:tcPr>
          <w:p w14:paraId="55038728"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240</w:t>
            </w:r>
          </w:p>
        </w:tc>
        <w:tc>
          <w:tcPr>
            <w:tcW w:w="8640" w:type="dxa"/>
          </w:tcPr>
          <w:p w14:paraId="0364F3A2"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KVALIFIKOVANÝ KAPITÁL TIER 2</w:t>
            </w:r>
          </w:p>
          <w:p w14:paraId="52E3491E" w14:textId="36D04BD5"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Články 82</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83 CRR.</w:t>
            </w:r>
          </w:p>
          <w:p w14:paraId="6E8C22B0" w14:textId="65136EEE" w:rsidR="00D85C65"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Tento stĺpec sa vypĺňa len</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ktoré sú plne konsolidované</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ktoré sú inštitúciami, okrem dcérskych spoločností uvedených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článku 87 ods. 2 CRR. Každá dcérska spoločnosť sa na účely všetkých výpočtov požadovaných</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článku 87 CRR posudzuje na subkonsolidovanom základe,</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náležitých prípadoch podľa článku 87 ods. 2 CRR, inak na samostatnom základe</w:t>
            </w:r>
            <w:r w:rsidR="00D85C65" w:rsidRPr="006A4431">
              <w:rPr>
                <w:rStyle w:val="InstructionsTabelleText"/>
                <w:rFonts w:ascii="Times New Roman" w:hAnsi="Times New Roman"/>
                <w:spacing w:val="-2"/>
                <w:sz w:val="24"/>
              </w:rPr>
              <w:t>.</w:t>
            </w:r>
          </w:p>
          <w:p w14:paraId="5FC4E074" w14:textId="762F28FC" w:rsidR="00235D9D" w:rsidRPr="006A4431" w:rsidRDefault="00283C5E">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Menšinové účasti sú,</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prípade dcérskych spoločností vymedzených vyššie, nástroje T2 (plus súvisiace nerozdelené zisky</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emisné ážiá) vlastnené osobami inými než podnikmi zahrnutými do konsolidácie CRR.</w:t>
            </w:r>
          </w:p>
          <w:p w14:paraId="1EE3B768" w14:textId="660C558B"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zahŕňa účinky všetkých prechodných ustanovení, je to hodnota prípustná</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dátumu vykazovania.</w:t>
            </w:r>
          </w:p>
        </w:tc>
      </w:tr>
      <w:tr w:rsidR="00235D9D" w:rsidRPr="006A4431" w14:paraId="6ABC8CAA" w14:textId="77777777" w:rsidTr="00672D2A">
        <w:tc>
          <w:tcPr>
            <w:tcW w:w="1188" w:type="dxa"/>
          </w:tcPr>
          <w:p w14:paraId="10A2B7E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250 – 400</w:t>
            </w:r>
          </w:p>
        </w:tc>
        <w:tc>
          <w:tcPr>
            <w:tcW w:w="8640" w:type="dxa"/>
          </w:tcPr>
          <w:p w14:paraId="4D7709B7" w14:textId="62D947E1"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INFORMÁCIE</w:t>
            </w:r>
            <w:r w:rsidR="00D85C65" w:rsidRPr="006A4431">
              <w:rPr>
                <w:rStyle w:val="InstructionsTabelleberschrift"/>
                <w:rFonts w:ascii="Times New Roman" w:hAnsi="Times New Roman"/>
                <w:spacing w:val="-2"/>
                <w:sz w:val="24"/>
              </w:rPr>
              <w:t xml:space="preserve"> O </w:t>
            </w:r>
            <w:r w:rsidRPr="006A4431">
              <w:rPr>
                <w:rStyle w:val="InstructionsTabelleberschrift"/>
                <w:rFonts w:ascii="Times New Roman" w:hAnsi="Times New Roman"/>
                <w:spacing w:val="-2"/>
                <w:sz w:val="24"/>
              </w:rPr>
              <w:t>PRÍSPEVKU SUBJEKTOV</w:t>
            </w:r>
            <w:r w:rsidR="00D85C65" w:rsidRPr="006A4431">
              <w:rPr>
                <w:rStyle w:val="InstructionsTabelleberschrift"/>
                <w:rFonts w:ascii="Times New Roman" w:hAnsi="Times New Roman"/>
                <w:spacing w:val="-2"/>
                <w:sz w:val="24"/>
              </w:rPr>
              <w:t xml:space="preserve"> K </w:t>
            </w:r>
            <w:r w:rsidRPr="006A4431">
              <w:rPr>
                <w:rStyle w:val="InstructionsTabelleberschrift"/>
                <w:rFonts w:ascii="Times New Roman" w:hAnsi="Times New Roman"/>
                <w:spacing w:val="-2"/>
                <w:sz w:val="24"/>
              </w:rPr>
              <w:t>PLATOBNEJ SCHOPNOSTI SKUPINY</w:t>
            </w:r>
          </w:p>
        </w:tc>
      </w:tr>
      <w:tr w:rsidR="00235D9D" w:rsidRPr="006A4431" w14:paraId="5ADF2F49" w14:textId="77777777" w:rsidTr="00672D2A">
        <w:tc>
          <w:tcPr>
            <w:tcW w:w="1188" w:type="dxa"/>
          </w:tcPr>
          <w:p w14:paraId="5E6D5822"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250 – 290</w:t>
            </w:r>
          </w:p>
        </w:tc>
        <w:tc>
          <w:tcPr>
            <w:tcW w:w="8640" w:type="dxa"/>
          </w:tcPr>
          <w:p w14:paraId="23DAEC4A" w14:textId="67D03ACF"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PRÍSPEVOK</w:t>
            </w:r>
            <w:r w:rsidR="00D85C65" w:rsidRPr="006A4431">
              <w:rPr>
                <w:rStyle w:val="InstructionsTabelleberschrift"/>
                <w:rFonts w:ascii="Times New Roman" w:hAnsi="Times New Roman"/>
                <w:spacing w:val="-2"/>
                <w:sz w:val="24"/>
              </w:rPr>
              <w:t xml:space="preserve"> K </w:t>
            </w:r>
            <w:r w:rsidRPr="006A4431">
              <w:rPr>
                <w:rStyle w:val="InstructionsTabelleberschrift"/>
                <w:rFonts w:ascii="Times New Roman" w:hAnsi="Times New Roman"/>
                <w:spacing w:val="-2"/>
                <w:sz w:val="24"/>
              </w:rPr>
              <w:t>RIZIKÁM</w:t>
            </w:r>
          </w:p>
          <w:p w14:paraId="20A7A7DB" w14:textId="3C4DC903" w:rsidR="00235D9D" w:rsidRPr="006A4431" w:rsidRDefault="00464F34">
            <w:pPr>
              <w:rPr>
                <w:rStyle w:val="InstructionsTabelleberschrift"/>
                <w:rFonts w:ascii="Times New Roman" w:hAnsi="Times New Roman"/>
                <w:spacing w:val="-2"/>
                <w:sz w:val="24"/>
              </w:rPr>
            </w:pPr>
            <w:r w:rsidRPr="006A4431">
              <w:rPr>
                <w:rFonts w:ascii="Times New Roman" w:hAnsi="Times New Roman"/>
                <w:spacing w:val="-2"/>
                <w:sz w:val="24"/>
              </w:rPr>
              <w:t>Informácie vykazované</w:t>
            </w:r>
            <w:r w:rsidR="00D85C65" w:rsidRPr="006A4431">
              <w:rPr>
                <w:rFonts w:ascii="Times New Roman" w:hAnsi="Times New Roman"/>
                <w:spacing w:val="-2"/>
                <w:sz w:val="24"/>
              </w:rPr>
              <w:t xml:space="preserve"> v </w:t>
            </w:r>
            <w:r w:rsidRPr="006A4431">
              <w:rPr>
                <w:rFonts w:ascii="Times New Roman" w:hAnsi="Times New Roman"/>
                <w:spacing w:val="-2"/>
                <w:sz w:val="24"/>
              </w:rPr>
              <w:t>nasledujúcich stĺpcoch musia byť</w:t>
            </w:r>
            <w:r w:rsidR="00D85C65" w:rsidRPr="006A4431">
              <w:rPr>
                <w:rFonts w:ascii="Times New Roman" w:hAnsi="Times New Roman"/>
                <w:spacing w:val="-2"/>
                <w:sz w:val="24"/>
              </w:rPr>
              <w:t xml:space="preserve"> v </w:t>
            </w:r>
            <w:r w:rsidRPr="006A4431">
              <w:rPr>
                <w:rFonts w:ascii="Times New Roman" w:hAnsi="Times New Roman"/>
                <w:spacing w:val="-2"/>
                <w:sz w:val="24"/>
              </w:rPr>
              <w:t>súlade</w:t>
            </w:r>
            <w:r w:rsidR="00D85C65" w:rsidRPr="006A4431">
              <w:rPr>
                <w:rFonts w:ascii="Times New Roman" w:hAnsi="Times New Roman"/>
                <w:spacing w:val="-2"/>
                <w:sz w:val="24"/>
              </w:rPr>
              <w:t xml:space="preserve"> s </w:t>
            </w:r>
            <w:r w:rsidRPr="006A4431">
              <w:rPr>
                <w:rFonts w:ascii="Times New Roman" w:hAnsi="Times New Roman"/>
                <w:bCs/>
                <w:spacing w:val="-2"/>
                <w:sz w:val="24"/>
              </w:rPr>
              <w:t>pravidlami</w:t>
            </w:r>
            <w:r w:rsidR="00D85C65" w:rsidRPr="006A4431">
              <w:rPr>
                <w:rFonts w:ascii="Times New Roman" w:hAnsi="Times New Roman"/>
                <w:bCs/>
                <w:spacing w:val="-2"/>
                <w:sz w:val="24"/>
              </w:rPr>
              <w:t xml:space="preserve"> o </w:t>
            </w:r>
            <w:r w:rsidRPr="006A4431">
              <w:rPr>
                <w:rFonts w:ascii="Times New Roman" w:hAnsi="Times New Roman"/>
                <w:bCs/>
                <w:spacing w:val="-2"/>
                <w:sz w:val="24"/>
              </w:rPr>
              <w:t>platobnej schopnosti uplatniteľnými na vykazujúcu inštitúciu.</w:t>
            </w:r>
          </w:p>
        </w:tc>
      </w:tr>
      <w:tr w:rsidR="00235D9D" w:rsidRPr="006A4431" w14:paraId="3835BB5B" w14:textId="77777777" w:rsidTr="00672D2A">
        <w:tc>
          <w:tcPr>
            <w:tcW w:w="1188" w:type="dxa"/>
          </w:tcPr>
          <w:p w14:paraId="3F25DC3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250</w:t>
            </w:r>
          </w:p>
        </w:tc>
        <w:tc>
          <w:tcPr>
            <w:tcW w:w="8640" w:type="dxa"/>
          </w:tcPr>
          <w:p w14:paraId="2A7EC609"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CELKOVÁ HODNOTA RIZIKOVÝCH EXPOZÍCIÍ</w:t>
            </w:r>
          </w:p>
          <w:p w14:paraId="5C8011BF" w14:textId="77777777"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Zadáva sa súčet stĺpcov 260 až 290.</w:t>
            </w:r>
          </w:p>
        </w:tc>
      </w:tr>
      <w:tr w:rsidR="00235D9D" w:rsidRPr="006A4431" w14:paraId="3B6FA67E" w14:textId="77777777" w:rsidTr="00672D2A">
        <w:tc>
          <w:tcPr>
            <w:tcW w:w="1188" w:type="dxa"/>
          </w:tcPr>
          <w:p w14:paraId="00616C47"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260</w:t>
            </w:r>
          </w:p>
        </w:tc>
        <w:tc>
          <w:tcPr>
            <w:tcW w:w="8640" w:type="dxa"/>
          </w:tcPr>
          <w:p w14:paraId="34838795" w14:textId="3DA281EA"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KREDITNÉ RIZIKO; KREDITNÉ RIZIKO PROTISTRANY; RIZIKO ZNÍŽENIA KVALITY POHĽADÁVOK</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INÝCH AKO KREDITNÝCH DÔVODOV A BEZODPLATNÉ DODANIE</w:t>
            </w:r>
          </w:p>
          <w:p w14:paraId="34F523EA" w14:textId="79CD0E7A"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zodpovedá hodnotám rizikovo vážených expozícií pre kreditné riziko</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požiadavkám na vlastné zdroje pre riziko vyrovnania/dodania podľa CRR bez hodnôt súvisiacich</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transakciami</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inými subjektmi zahrnutými do výpočtu konsolidovaného pomeru platobnej schopnosti skupiny.</w:t>
            </w:r>
          </w:p>
        </w:tc>
      </w:tr>
      <w:tr w:rsidR="00235D9D" w:rsidRPr="006A4431" w14:paraId="2B29E8BD" w14:textId="77777777" w:rsidTr="00672D2A">
        <w:tc>
          <w:tcPr>
            <w:tcW w:w="1188" w:type="dxa"/>
          </w:tcPr>
          <w:p w14:paraId="45530B7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270</w:t>
            </w:r>
          </w:p>
        </w:tc>
        <w:tc>
          <w:tcPr>
            <w:tcW w:w="8640" w:type="dxa"/>
          </w:tcPr>
          <w:p w14:paraId="1DEC7A7A"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POZIČNÉ, DEVÍZOVÉ A KOMODITNÉ RIZIKO</w:t>
            </w:r>
          </w:p>
          <w:p w14:paraId="1423596A" w14:textId="0EB28CD1" w:rsidR="00235D9D" w:rsidRPr="006A4431" w:rsidRDefault="00464F34">
            <w:pPr>
              <w:pStyle w:val="Texte2"/>
              <w:ind w:left="0"/>
              <w:rPr>
                <w:rStyle w:val="InstructionsTabelleText"/>
                <w:rFonts w:ascii="Times New Roman" w:hAnsi="Times New Roman"/>
                <w:spacing w:val="-2"/>
                <w:sz w:val="24"/>
                <w:szCs w:val="24"/>
              </w:rPr>
            </w:pPr>
            <w:r w:rsidRPr="006A4431">
              <w:rPr>
                <w:rStyle w:val="InstructionsTabelleText"/>
                <w:rFonts w:ascii="Times New Roman" w:hAnsi="Times New Roman"/>
                <w:spacing w:val="-2"/>
                <w:sz w:val="24"/>
                <w:szCs w:val="24"/>
              </w:rPr>
              <w:t>Hodnoty rizikových expozícií pre trhové riziká sa vypočítavajú na úrovni jednotlivých subjektov</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súlade</w:t>
            </w:r>
            <w:r w:rsidR="00D85C65" w:rsidRPr="006A4431">
              <w:rPr>
                <w:rStyle w:val="InstructionsTabelleText"/>
                <w:rFonts w:ascii="Times New Roman" w:hAnsi="Times New Roman"/>
                <w:spacing w:val="-2"/>
                <w:sz w:val="24"/>
                <w:szCs w:val="24"/>
              </w:rPr>
              <w:t xml:space="preserve"> s </w:t>
            </w:r>
            <w:r w:rsidRPr="006A4431">
              <w:rPr>
                <w:rStyle w:val="InstructionsTabelleText"/>
                <w:rFonts w:ascii="Times New Roman" w:hAnsi="Times New Roman"/>
                <w:spacing w:val="-2"/>
                <w:sz w:val="24"/>
                <w:szCs w:val="24"/>
              </w:rPr>
              <w:t>CRR. Subjekty vykazujú príspevok</w:t>
            </w:r>
            <w:r w:rsidR="00D85C65" w:rsidRPr="006A4431">
              <w:rPr>
                <w:rStyle w:val="InstructionsTabelleText"/>
                <w:rFonts w:ascii="Times New Roman" w:hAnsi="Times New Roman"/>
                <w:spacing w:val="-2"/>
                <w:sz w:val="24"/>
                <w:szCs w:val="24"/>
              </w:rPr>
              <w:t xml:space="preserve"> k </w:t>
            </w:r>
            <w:r w:rsidRPr="006A4431">
              <w:rPr>
                <w:rStyle w:val="InstructionsTabelleText"/>
                <w:rFonts w:ascii="Times New Roman" w:hAnsi="Times New Roman"/>
                <w:spacing w:val="-2"/>
                <w:sz w:val="24"/>
                <w:szCs w:val="24"/>
              </w:rPr>
              <w:t xml:space="preserve">celkovej hodnote rizikových </w:t>
            </w:r>
            <w:r w:rsidRPr="006A4431">
              <w:rPr>
                <w:rStyle w:val="InstructionsTabelleText"/>
                <w:rFonts w:ascii="Times New Roman" w:hAnsi="Times New Roman"/>
                <w:spacing w:val="-2"/>
                <w:sz w:val="24"/>
                <w:szCs w:val="24"/>
              </w:rPr>
              <w:lastRenderedPageBreak/>
              <w:t>expozícií pre pozičné, devízové</w:t>
            </w:r>
            <w:r w:rsidR="00D85C65" w:rsidRPr="006A4431">
              <w:rPr>
                <w:rStyle w:val="InstructionsTabelleText"/>
                <w:rFonts w:ascii="Times New Roman" w:hAnsi="Times New Roman"/>
                <w:spacing w:val="-2"/>
                <w:sz w:val="24"/>
                <w:szCs w:val="24"/>
              </w:rPr>
              <w:t xml:space="preserve"> a </w:t>
            </w:r>
            <w:r w:rsidRPr="006A4431">
              <w:rPr>
                <w:rStyle w:val="InstructionsTabelleText"/>
                <w:rFonts w:ascii="Times New Roman" w:hAnsi="Times New Roman"/>
                <w:spacing w:val="-2"/>
                <w:sz w:val="24"/>
                <w:szCs w:val="24"/>
              </w:rPr>
              <w:t>komoditné riziko skupiny. Tu vykazovaný súčet hodnôt zodpovedá hodnote vykázanej</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riadku 520 „CELKOVÉ HODNOTY RIZIKOVÝCH EXPOZÍCIÍ PRE POZIČNÉ, DEVÍZOVÉ A KOMODITNÉ RIZIKO“ konsolidovanej správy.</w:t>
            </w:r>
          </w:p>
        </w:tc>
      </w:tr>
      <w:tr w:rsidR="00235D9D" w:rsidRPr="006A4431" w14:paraId="567D1146" w14:textId="77777777" w:rsidTr="00672D2A">
        <w:tc>
          <w:tcPr>
            <w:tcW w:w="1188" w:type="dxa"/>
          </w:tcPr>
          <w:p w14:paraId="01D25B1A"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280</w:t>
            </w:r>
          </w:p>
        </w:tc>
        <w:tc>
          <w:tcPr>
            <w:tcW w:w="8640" w:type="dxa"/>
          </w:tcPr>
          <w:p w14:paraId="7DFDB003"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OPERAČNÉ RIZIKO</w:t>
            </w:r>
          </w:p>
          <w:p w14:paraId="08564C72"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 prípade pokročilého prístupu merania (AMA) vykázané hodnoty rizikových expozícií pre operačné riziko zahŕňajú účinok diverzifikácie.</w:t>
            </w:r>
          </w:p>
          <w:p w14:paraId="71BF6470"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caps/>
                <w:spacing w:val="-2"/>
                <w:sz w:val="24"/>
              </w:rPr>
              <w:t>V</w:t>
            </w:r>
            <w:r w:rsidRPr="006A4431">
              <w:rPr>
                <w:rFonts w:ascii="Times New Roman" w:hAnsi="Times New Roman"/>
                <w:spacing w:val="-2"/>
                <w:sz w:val="24"/>
              </w:rPr>
              <w:t xml:space="preserve"> tomto stĺpci sú zahrnuté fixné režijné náklady.</w:t>
            </w:r>
          </w:p>
        </w:tc>
      </w:tr>
      <w:tr w:rsidR="00235D9D" w:rsidRPr="006A4431" w14:paraId="7E363AA4" w14:textId="77777777" w:rsidTr="00672D2A">
        <w:tc>
          <w:tcPr>
            <w:tcW w:w="1188" w:type="dxa"/>
          </w:tcPr>
          <w:p w14:paraId="170C9C8C"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290</w:t>
            </w:r>
          </w:p>
        </w:tc>
        <w:tc>
          <w:tcPr>
            <w:tcW w:w="8640" w:type="dxa"/>
          </w:tcPr>
          <w:p w14:paraId="59DE72D6"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INÉ HODNOTY RIZIKOVÝCH EXPOZÍCIÍ</w:t>
            </w:r>
          </w:p>
          <w:p w14:paraId="45E85CA0" w14:textId="24015BFB"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Hodnota vykazovaná</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tomto stĺpci zodpovedá hodnote rizikových expozícií pre riziká, ktoré nie sú uvedené vyššie.</w:t>
            </w:r>
          </w:p>
        </w:tc>
      </w:tr>
      <w:tr w:rsidR="00235D9D" w:rsidRPr="006A4431" w14:paraId="6F963242" w14:textId="77777777" w:rsidTr="00672D2A">
        <w:tc>
          <w:tcPr>
            <w:tcW w:w="1188" w:type="dxa"/>
          </w:tcPr>
          <w:p w14:paraId="0174A197"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300 – 400</w:t>
            </w:r>
          </w:p>
        </w:tc>
        <w:tc>
          <w:tcPr>
            <w:tcW w:w="8640" w:type="dxa"/>
          </w:tcPr>
          <w:p w14:paraId="7267C2A4" w14:textId="03D776BC"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PRÍSPEVOK</w:t>
            </w:r>
            <w:r w:rsidR="00D85C65" w:rsidRPr="006A4431">
              <w:rPr>
                <w:rStyle w:val="InstructionsTabelleberschrift"/>
                <w:rFonts w:ascii="Times New Roman" w:hAnsi="Times New Roman"/>
                <w:spacing w:val="-2"/>
                <w:sz w:val="24"/>
              </w:rPr>
              <w:t xml:space="preserve"> K </w:t>
            </w:r>
            <w:r w:rsidRPr="006A4431">
              <w:rPr>
                <w:rStyle w:val="InstructionsTabelleberschrift"/>
                <w:rFonts w:ascii="Times New Roman" w:hAnsi="Times New Roman"/>
                <w:spacing w:val="-2"/>
                <w:sz w:val="24"/>
              </w:rPr>
              <w:t>VLASTNÝM ZDROJOM</w:t>
            </w:r>
          </w:p>
          <w:p w14:paraId="7050825B" w14:textId="77777777" w:rsidR="00D85C65" w:rsidRPr="006A4431" w:rsidRDefault="00464F34">
            <w:pPr>
              <w:pStyle w:val="Texte2"/>
              <w:ind w:left="0"/>
              <w:rPr>
                <w:rStyle w:val="InstructionsTabelleText"/>
                <w:rFonts w:ascii="Times New Roman" w:hAnsi="Times New Roman"/>
                <w:spacing w:val="-2"/>
                <w:sz w:val="24"/>
                <w:szCs w:val="24"/>
              </w:rPr>
            </w:pPr>
            <w:r w:rsidRPr="006A4431">
              <w:rPr>
                <w:rStyle w:val="InstructionsTabelleText"/>
                <w:rFonts w:ascii="Times New Roman" w:hAnsi="Times New Roman"/>
                <w:spacing w:val="-2"/>
                <w:sz w:val="24"/>
                <w:szCs w:val="24"/>
              </w:rPr>
              <w:t>Táto časť vzoru neznamená, že inštitúcie majú vykonať úplný výpočet celkového podielu kapitálu na úrovni každého subjektu</w:t>
            </w:r>
            <w:r w:rsidR="00D85C65" w:rsidRPr="006A4431">
              <w:rPr>
                <w:rStyle w:val="InstructionsTabelleText"/>
                <w:rFonts w:ascii="Times New Roman" w:hAnsi="Times New Roman"/>
                <w:spacing w:val="-2"/>
                <w:sz w:val="24"/>
                <w:szCs w:val="24"/>
              </w:rPr>
              <w:t>.</w:t>
            </w:r>
          </w:p>
          <w:p w14:paraId="3865A295" w14:textId="217246B4" w:rsidR="00235D9D" w:rsidRPr="006A4431" w:rsidRDefault="00144F03">
            <w:pPr>
              <w:pStyle w:val="Texte2"/>
              <w:ind w:left="0"/>
              <w:rPr>
                <w:rStyle w:val="InstructionsTabelleText"/>
                <w:rFonts w:ascii="Times New Roman" w:hAnsi="Times New Roman"/>
                <w:spacing w:val="-2"/>
                <w:sz w:val="24"/>
                <w:szCs w:val="24"/>
              </w:rPr>
            </w:pPr>
            <w:r w:rsidRPr="006A4431">
              <w:rPr>
                <w:rFonts w:ascii="Times New Roman" w:hAnsi="Times New Roman"/>
                <w:spacing w:val="-2"/>
                <w:sz w:val="24"/>
                <w:szCs w:val="24"/>
              </w:rPr>
              <w:t>Stĺpce 300 až 350 sa vypĺňajú pre konsolidované subjekty, ktoré</w:t>
            </w:r>
            <w:r w:rsidR="00D85C65" w:rsidRPr="006A4431">
              <w:rPr>
                <w:rFonts w:ascii="Times New Roman" w:hAnsi="Times New Roman"/>
                <w:spacing w:val="-2"/>
                <w:sz w:val="24"/>
                <w:szCs w:val="24"/>
              </w:rPr>
              <w:t xml:space="preserve"> k </w:t>
            </w:r>
            <w:r w:rsidRPr="006A4431">
              <w:rPr>
                <w:rFonts w:ascii="Times New Roman" w:hAnsi="Times New Roman"/>
                <w:spacing w:val="-2"/>
                <w:sz w:val="24"/>
                <w:szCs w:val="24"/>
              </w:rPr>
              <w:t>vlastným zdrojom prispievajú menšinovou účasťou,</w:t>
            </w:r>
            <w:r w:rsidRPr="006A4431">
              <w:rPr>
                <w:spacing w:val="-2"/>
                <w:sz w:val="24"/>
                <w:szCs w:val="24"/>
              </w:rPr>
              <w:t xml:space="preserve"> </w:t>
            </w:r>
            <w:r w:rsidRPr="006A4431">
              <w:rPr>
                <w:rFonts w:ascii="Times New Roman" w:hAnsi="Times New Roman"/>
                <w:spacing w:val="-2"/>
                <w:sz w:val="24"/>
                <w:szCs w:val="24"/>
              </w:rPr>
              <w:t>kvalifikovaným kapitálom Tier 1 alebo kvalifikovanými vlastnými zdrojmi. Keďže sa na ne vzťahuje prahová hodnota uvedená</w:t>
            </w:r>
            <w:r w:rsidR="00D85C65" w:rsidRPr="006A4431">
              <w:rPr>
                <w:rFonts w:ascii="Times New Roman" w:hAnsi="Times New Roman"/>
                <w:spacing w:val="-2"/>
                <w:sz w:val="24"/>
                <w:szCs w:val="24"/>
              </w:rPr>
              <w:t xml:space="preserve"> v </w:t>
            </w:r>
            <w:r w:rsidRPr="006A4431">
              <w:rPr>
                <w:rFonts w:ascii="Times New Roman" w:hAnsi="Times New Roman"/>
                <w:spacing w:val="-2"/>
                <w:sz w:val="24"/>
                <w:szCs w:val="24"/>
              </w:rPr>
              <w:t>časti II kapitole 2.3 poslednom odseku vyššie, stĺpce 360 až 400 sa vypĺňajú pre všetky konsolidované subjekty, ktoré prispievajú ku konsolidovaným vlastným zdrojom.</w:t>
            </w:r>
          </w:p>
          <w:p w14:paraId="03FE1256" w14:textId="521C2152" w:rsidR="00D85C65" w:rsidRPr="006A4431" w:rsidRDefault="00464F34">
            <w:pPr>
              <w:pStyle w:val="Texte2"/>
              <w:ind w:left="0"/>
              <w:rPr>
                <w:rStyle w:val="InstructionsTabelleText"/>
                <w:rFonts w:ascii="Times New Roman" w:hAnsi="Times New Roman"/>
                <w:spacing w:val="-2"/>
                <w:sz w:val="24"/>
                <w:szCs w:val="24"/>
              </w:rPr>
            </w:pPr>
            <w:r w:rsidRPr="006A4431">
              <w:rPr>
                <w:rStyle w:val="InstructionsTabelleText"/>
                <w:rFonts w:ascii="Times New Roman" w:hAnsi="Times New Roman"/>
                <w:spacing w:val="-2"/>
                <w:sz w:val="24"/>
                <w:szCs w:val="24"/>
              </w:rPr>
              <w:t>Vlastné zdroje, ktoré do subjektu priniesli zvyšné subjekty zahrnuté</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rámci vykazujúceho subjektu, sa nezohľadňujú,</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tomto stĺpci sa vykazuje len čistý príspevok</w:t>
            </w:r>
            <w:r w:rsidR="00D85C65" w:rsidRPr="006A4431">
              <w:rPr>
                <w:rStyle w:val="InstructionsTabelleText"/>
                <w:rFonts w:ascii="Times New Roman" w:hAnsi="Times New Roman"/>
                <w:spacing w:val="-2"/>
                <w:sz w:val="24"/>
                <w:szCs w:val="24"/>
              </w:rPr>
              <w:t xml:space="preserve"> k </w:t>
            </w:r>
            <w:r w:rsidRPr="006A4431">
              <w:rPr>
                <w:rStyle w:val="InstructionsTabelleText"/>
                <w:rFonts w:ascii="Times New Roman" w:hAnsi="Times New Roman"/>
                <w:spacing w:val="-2"/>
                <w:sz w:val="24"/>
                <w:szCs w:val="24"/>
              </w:rPr>
              <w:t>vlastným zdrojom skupiny (najmä vlastné zdroje získané od tretích strán</w:t>
            </w:r>
            <w:r w:rsidR="00D85C65" w:rsidRPr="006A4431">
              <w:rPr>
                <w:rStyle w:val="InstructionsTabelleText"/>
                <w:rFonts w:ascii="Times New Roman" w:hAnsi="Times New Roman"/>
                <w:spacing w:val="-2"/>
                <w:sz w:val="24"/>
                <w:szCs w:val="24"/>
              </w:rPr>
              <w:t xml:space="preserve"> a </w:t>
            </w:r>
            <w:r w:rsidRPr="006A4431">
              <w:rPr>
                <w:rStyle w:val="InstructionsTabelleText"/>
                <w:rFonts w:ascii="Times New Roman" w:hAnsi="Times New Roman"/>
                <w:spacing w:val="-2"/>
                <w:sz w:val="24"/>
                <w:szCs w:val="24"/>
              </w:rPr>
              <w:t>akumulované rezervy)</w:t>
            </w:r>
            <w:r w:rsidR="00D85C65" w:rsidRPr="006A4431">
              <w:rPr>
                <w:rStyle w:val="InstructionsTabelleText"/>
                <w:rFonts w:ascii="Times New Roman" w:hAnsi="Times New Roman"/>
                <w:spacing w:val="-2"/>
                <w:sz w:val="24"/>
                <w:szCs w:val="24"/>
              </w:rPr>
              <w:t>.</w:t>
            </w:r>
          </w:p>
          <w:p w14:paraId="5CA636EE" w14:textId="260A74DA" w:rsidR="00235D9D" w:rsidRPr="006A4431" w:rsidRDefault="00464F34">
            <w:pPr>
              <w:pStyle w:val="Texte2"/>
              <w:spacing w:after="120"/>
              <w:ind w:left="0"/>
              <w:rPr>
                <w:rStyle w:val="InstructionsTabelleberschrift"/>
                <w:rFonts w:ascii="Times New Roman" w:hAnsi="Times New Roman"/>
                <w:b w:val="0"/>
                <w:bCs w:val="0"/>
                <w:spacing w:val="-2"/>
                <w:sz w:val="24"/>
                <w:szCs w:val="24"/>
              </w:rPr>
            </w:pPr>
            <w:r w:rsidRPr="006A4431">
              <w:rPr>
                <w:rStyle w:val="InstructionsTabelleText"/>
                <w:rFonts w:ascii="Times New Roman" w:hAnsi="Times New Roman"/>
                <w:spacing w:val="-2"/>
                <w:sz w:val="24"/>
                <w:szCs w:val="24"/>
              </w:rPr>
              <w:t>Informácie vykazované</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nasledujúcich stĺpcoch musia byť</w:t>
            </w:r>
            <w:r w:rsidR="00D85C65" w:rsidRPr="006A4431">
              <w:rPr>
                <w:rStyle w:val="InstructionsTabelleText"/>
                <w:rFonts w:ascii="Times New Roman" w:hAnsi="Times New Roman"/>
                <w:spacing w:val="-2"/>
                <w:sz w:val="24"/>
                <w:szCs w:val="24"/>
              </w:rPr>
              <w:t xml:space="preserve"> v </w:t>
            </w:r>
            <w:r w:rsidRPr="006A4431">
              <w:rPr>
                <w:rStyle w:val="InstructionsTabelleText"/>
                <w:rFonts w:ascii="Times New Roman" w:hAnsi="Times New Roman"/>
                <w:spacing w:val="-2"/>
                <w:sz w:val="24"/>
                <w:szCs w:val="24"/>
              </w:rPr>
              <w:t>súlade</w:t>
            </w:r>
            <w:r w:rsidR="00D85C65" w:rsidRPr="006A4431">
              <w:rPr>
                <w:rStyle w:val="InstructionsTabelleText"/>
                <w:rFonts w:ascii="Times New Roman" w:hAnsi="Times New Roman"/>
                <w:spacing w:val="-2"/>
                <w:sz w:val="24"/>
                <w:szCs w:val="24"/>
              </w:rPr>
              <w:t xml:space="preserve"> s </w:t>
            </w:r>
            <w:r w:rsidRPr="006A4431">
              <w:rPr>
                <w:rStyle w:val="InstructionsTabelleText"/>
                <w:rFonts w:ascii="Times New Roman" w:hAnsi="Times New Roman"/>
                <w:spacing w:val="-2"/>
                <w:sz w:val="24"/>
                <w:szCs w:val="24"/>
              </w:rPr>
              <w:t>pravidlami</w:t>
            </w:r>
            <w:r w:rsidR="00D85C65" w:rsidRPr="006A4431">
              <w:rPr>
                <w:rStyle w:val="InstructionsTabelleText"/>
                <w:rFonts w:ascii="Times New Roman" w:hAnsi="Times New Roman"/>
                <w:spacing w:val="-2"/>
                <w:sz w:val="24"/>
                <w:szCs w:val="24"/>
              </w:rPr>
              <w:t xml:space="preserve"> o </w:t>
            </w:r>
            <w:r w:rsidRPr="006A4431">
              <w:rPr>
                <w:rStyle w:val="InstructionsTabelleText"/>
                <w:rFonts w:ascii="Times New Roman" w:hAnsi="Times New Roman"/>
                <w:spacing w:val="-2"/>
                <w:sz w:val="24"/>
                <w:szCs w:val="24"/>
              </w:rPr>
              <w:t>platobnej schopnosti uplatniteľnými na vykazujúcu inštitúciu.</w:t>
            </w:r>
          </w:p>
        </w:tc>
      </w:tr>
      <w:tr w:rsidR="00235D9D" w:rsidRPr="006A4431" w14:paraId="3BEFC5EB" w14:textId="77777777" w:rsidTr="00672D2A">
        <w:tc>
          <w:tcPr>
            <w:tcW w:w="1188" w:type="dxa"/>
          </w:tcPr>
          <w:p w14:paraId="7012FA18"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300 – 350</w:t>
            </w:r>
          </w:p>
        </w:tc>
        <w:tc>
          <w:tcPr>
            <w:tcW w:w="8640" w:type="dxa"/>
          </w:tcPr>
          <w:p w14:paraId="23116F1E"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KVALIFIKOVANÉ VLASTNÉ ZDROJE ZAHRNUTÉ DO KONSOLIDOVANÝCH VLASTNÝCH ZDROJOV</w:t>
            </w:r>
          </w:p>
          <w:p w14:paraId="6EE0AA3D" w14:textId="5B5FBBE1"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Hodnota, ktorá sa vykazuje ako „KVALIFIKOVANÉ VLASTNÉ ZDROJE ZAHRNUTÉ DO KONSOLIDOVANÝCH VLASTNÝCH ZDROJOV“, je hodnota odvodená od druhej časti hlavy II CRR bez zdrojov prinesených ostatnými subjektmi skupiny.</w:t>
            </w:r>
          </w:p>
        </w:tc>
      </w:tr>
      <w:tr w:rsidR="00235D9D" w:rsidRPr="006A4431" w14:paraId="1790E500" w14:textId="77777777" w:rsidTr="00672D2A">
        <w:tc>
          <w:tcPr>
            <w:tcW w:w="1188" w:type="dxa"/>
          </w:tcPr>
          <w:p w14:paraId="7888A79A"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t>300</w:t>
            </w:r>
          </w:p>
        </w:tc>
        <w:tc>
          <w:tcPr>
            <w:tcW w:w="8640" w:type="dxa"/>
          </w:tcPr>
          <w:p w14:paraId="2D92B9FB"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KVALIFIKOVANÉ VLASTNÉ ZDROJE ZAHRNUTÉ DO KONSOLIDOVANÝCH VLASTNÝCH ZDROJOV</w:t>
            </w:r>
          </w:p>
          <w:p w14:paraId="70F58F8C" w14:textId="02B77BB6"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87 CRR.</w:t>
            </w:r>
          </w:p>
        </w:tc>
      </w:tr>
      <w:tr w:rsidR="00235D9D" w:rsidRPr="006A4431" w14:paraId="5C01EE84" w14:textId="77777777" w:rsidTr="00672D2A">
        <w:tc>
          <w:tcPr>
            <w:tcW w:w="1188" w:type="dxa"/>
          </w:tcPr>
          <w:p w14:paraId="2CADDD49"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t>310</w:t>
            </w:r>
          </w:p>
        </w:tc>
        <w:tc>
          <w:tcPr>
            <w:tcW w:w="8640" w:type="dxa"/>
          </w:tcPr>
          <w:p w14:paraId="250EFA69"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KVALIFIKOVANÉ NÁSTROJE TIER 1 ZAHRNUTÉ DO KONSOLIDOVANÉHO KAPITÁLU TIER 1</w:t>
            </w:r>
          </w:p>
          <w:p w14:paraId="4AA94D29" w14:textId="5411A7D8"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85 CRR.</w:t>
            </w:r>
          </w:p>
        </w:tc>
      </w:tr>
      <w:tr w:rsidR="00235D9D" w:rsidRPr="006A4431" w14:paraId="51C2388F" w14:textId="77777777" w:rsidTr="00672D2A">
        <w:tc>
          <w:tcPr>
            <w:tcW w:w="1188" w:type="dxa"/>
          </w:tcPr>
          <w:p w14:paraId="512828E0"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t>320</w:t>
            </w:r>
          </w:p>
        </w:tc>
        <w:tc>
          <w:tcPr>
            <w:tcW w:w="8640" w:type="dxa"/>
          </w:tcPr>
          <w:p w14:paraId="0CB4FAEF" w14:textId="77777777" w:rsidR="00235D9D" w:rsidRPr="006A4431" w:rsidRDefault="00464F34">
            <w:pPr>
              <w:rPr>
                <w:rStyle w:val="InstructionsTabelleText"/>
                <w:rFonts w:ascii="Times New Roman" w:hAnsi="Times New Roman"/>
                <w:spacing w:val="-2"/>
                <w:sz w:val="24"/>
              </w:rPr>
            </w:pPr>
            <w:r w:rsidRPr="006A4431">
              <w:rPr>
                <w:rStyle w:val="InstructionsTabelleberschrift"/>
                <w:rFonts w:ascii="Times New Roman" w:hAnsi="Times New Roman"/>
                <w:spacing w:val="-2"/>
                <w:sz w:val="24"/>
              </w:rPr>
              <w:t>MENŠINOVÉ ÚČASTI ZAHRNUTÉ DO KONSOLIDOVANÉHO VLASTNÉHO</w:t>
            </w:r>
            <w:r w:rsidRPr="006A4431">
              <w:rPr>
                <w:rStyle w:val="InstructionsTabelleberschrift"/>
                <w:rFonts w:ascii="Times New Roman" w:hAnsi="Times New Roman"/>
                <w:spacing w:val="-2"/>
                <w:sz w:val="24"/>
              </w:rPr>
              <w:br/>
              <w:t>KAPITÁLU TIER 1</w:t>
            </w:r>
          </w:p>
          <w:p w14:paraId="160B6956" w14:textId="4460E230"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84 CRR.</w:t>
            </w:r>
          </w:p>
          <w:p w14:paraId="4ED4B8CC" w14:textId="5DB015A1"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Vykazovaná hodnota je hodnota menšinových účastí dcérskej spoločnosti, ktorá je zahrnutá do konsolidovaného CET1</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 xml:space="preserve">CRR. </w:t>
            </w:r>
          </w:p>
        </w:tc>
      </w:tr>
      <w:tr w:rsidR="00235D9D" w:rsidRPr="006A4431" w14:paraId="1D8D9731" w14:textId="77777777" w:rsidTr="00672D2A">
        <w:tc>
          <w:tcPr>
            <w:tcW w:w="1188" w:type="dxa"/>
          </w:tcPr>
          <w:p w14:paraId="2300A69C"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lastRenderedPageBreak/>
              <w:t>330</w:t>
            </w:r>
          </w:p>
        </w:tc>
        <w:tc>
          <w:tcPr>
            <w:tcW w:w="8640" w:type="dxa"/>
          </w:tcPr>
          <w:p w14:paraId="6B046E49" w14:textId="77777777" w:rsidR="00235D9D" w:rsidRPr="006A4431" w:rsidRDefault="00464F34">
            <w:pPr>
              <w:rPr>
                <w:rStyle w:val="InstructionsTabelleText"/>
                <w:rFonts w:ascii="Times New Roman" w:hAnsi="Times New Roman"/>
                <w:spacing w:val="-2"/>
                <w:sz w:val="24"/>
              </w:rPr>
            </w:pPr>
            <w:r w:rsidRPr="006A4431">
              <w:rPr>
                <w:rStyle w:val="InstructionsTabelleberschrift"/>
                <w:rFonts w:ascii="Times New Roman" w:hAnsi="Times New Roman"/>
                <w:spacing w:val="-2"/>
                <w:sz w:val="24"/>
              </w:rPr>
              <w:t>KVALIFIKOVANÉ NÁSTROJE TIER 1 ZAHRNUTÉ DO KONSOLIDOVANÉHO DODATOČNÉHO KAPITÁLU TIER 1</w:t>
            </w:r>
          </w:p>
          <w:p w14:paraId="2407C887" w14:textId="78BCAD88"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86 CRR.</w:t>
            </w:r>
          </w:p>
          <w:p w14:paraId="59A4ACFF" w14:textId="32878799"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je hodnota kvalifikovaného kapitálu T1 dcérskej spoločnosti, ktorá je zahrnutá do konsolidovaného AT1</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 xml:space="preserve">CRR. </w:t>
            </w:r>
          </w:p>
        </w:tc>
      </w:tr>
      <w:tr w:rsidR="00235D9D" w:rsidRPr="006A4431" w14:paraId="129BF993" w14:textId="77777777" w:rsidTr="00672D2A">
        <w:tc>
          <w:tcPr>
            <w:tcW w:w="1188" w:type="dxa"/>
          </w:tcPr>
          <w:p w14:paraId="5BEE037F" w14:textId="77777777" w:rsidR="00235D9D" w:rsidRPr="006A4431" w:rsidRDefault="00464F34">
            <w:pPr>
              <w:rPr>
                <w:rStyle w:val="InstructionsTabelleText"/>
                <w:rFonts w:ascii="Times New Roman" w:hAnsi="Times New Roman"/>
                <w:spacing w:val="-2"/>
                <w:sz w:val="24"/>
              </w:rPr>
            </w:pPr>
            <w:r w:rsidRPr="006A4431">
              <w:rPr>
                <w:rFonts w:ascii="Times New Roman" w:hAnsi="Times New Roman"/>
                <w:spacing w:val="-2"/>
                <w:sz w:val="24"/>
              </w:rPr>
              <w:t>340</w:t>
            </w:r>
          </w:p>
        </w:tc>
        <w:tc>
          <w:tcPr>
            <w:tcW w:w="8640" w:type="dxa"/>
          </w:tcPr>
          <w:p w14:paraId="55091107"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KVALIFIKOVANÉ NÁSTROJE VLASTNÝCH ZDROJOV ZAHRNUTÉ DO</w:t>
            </w:r>
            <w:r w:rsidRPr="006A4431">
              <w:rPr>
                <w:rStyle w:val="InstructionsTabelleberschrift"/>
                <w:rFonts w:ascii="Times New Roman" w:hAnsi="Times New Roman"/>
                <w:spacing w:val="-2"/>
                <w:sz w:val="24"/>
              </w:rPr>
              <w:br/>
              <w:t>KONSOLIDOVANÉHO KAPITÁLU TIER 2</w:t>
            </w:r>
          </w:p>
          <w:p w14:paraId="57DF16FA" w14:textId="3A7244DE"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88 CRR.</w:t>
            </w:r>
          </w:p>
          <w:p w14:paraId="24816211" w14:textId="379B2EDC"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Vykazovaná hodnota je hodnota kvalifikovaných vlastných zdrojov dcérskej spoločnosti, ktorá je zahrnutá do konsolidovaného T2</w:t>
            </w:r>
            <w:r w:rsidR="00D85C65" w:rsidRPr="006A4431">
              <w:rPr>
                <w:rStyle w:val="InstructionsTabelleText"/>
                <w:rFonts w:ascii="Times New Roman" w:hAnsi="Times New Roman"/>
                <w:spacing w:val="-2"/>
                <w:sz w:val="24"/>
              </w:rPr>
              <w:t xml:space="preserve"> v </w:t>
            </w:r>
            <w:r w:rsidRPr="006A4431">
              <w:rPr>
                <w:rStyle w:val="InstructionsTabelleText"/>
                <w:rFonts w:ascii="Times New Roman" w:hAnsi="Times New Roman"/>
                <w:spacing w:val="-2"/>
                <w:sz w:val="24"/>
              </w:rPr>
              <w:t>súlade</w:t>
            </w:r>
            <w:r w:rsidR="00D85C65" w:rsidRPr="006A4431">
              <w:rPr>
                <w:rStyle w:val="InstructionsTabelleText"/>
                <w:rFonts w:ascii="Times New Roman" w:hAnsi="Times New Roman"/>
                <w:spacing w:val="-2"/>
                <w:sz w:val="24"/>
              </w:rPr>
              <w:t xml:space="preserve"> s </w:t>
            </w:r>
            <w:r w:rsidRPr="006A4431">
              <w:rPr>
                <w:rStyle w:val="InstructionsTabelleText"/>
                <w:rFonts w:ascii="Times New Roman" w:hAnsi="Times New Roman"/>
                <w:spacing w:val="-2"/>
                <w:sz w:val="24"/>
              </w:rPr>
              <w:t xml:space="preserve">CRR. </w:t>
            </w:r>
          </w:p>
        </w:tc>
      </w:tr>
      <w:tr w:rsidR="00235D9D" w:rsidRPr="006A4431" w14:paraId="2AE56A3E" w14:textId="77777777" w:rsidTr="00672D2A">
        <w:tc>
          <w:tcPr>
            <w:tcW w:w="1188" w:type="dxa"/>
          </w:tcPr>
          <w:p w14:paraId="04C23640"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350</w:t>
            </w:r>
          </w:p>
        </w:tc>
        <w:tc>
          <w:tcPr>
            <w:tcW w:w="8640" w:type="dxa"/>
          </w:tcPr>
          <w:p w14:paraId="29A7F16B" w14:textId="77777777" w:rsidR="00235D9D" w:rsidRPr="006A4431" w:rsidRDefault="00464F34">
            <w:pPr>
              <w:rPr>
                <w:rStyle w:val="InstructionsTabelleberschrift"/>
                <w:rFonts w:ascii="Times New Roman" w:hAnsi="Times New Roman"/>
                <w:b w:val="0"/>
                <w:spacing w:val="-2"/>
                <w:sz w:val="24"/>
              </w:rPr>
            </w:pPr>
            <w:r w:rsidRPr="006A4431">
              <w:rPr>
                <w:rStyle w:val="InstructionsTabelleberschrift"/>
                <w:rFonts w:ascii="Times New Roman" w:hAnsi="Times New Roman"/>
                <w:spacing w:val="-2"/>
                <w:sz w:val="24"/>
              </w:rPr>
              <w:t>DOPLŇUJÚCA POLOŽKA: GOODWILL (-)/(+) NEGATÍVNY GOODWILL</w:t>
            </w:r>
          </w:p>
        </w:tc>
      </w:tr>
      <w:tr w:rsidR="00235D9D" w:rsidRPr="006A4431" w14:paraId="1058F454" w14:textId="77777777" w:rsidTr="00672D2A">
        <w:tc>
          <w:tcPr>
            <w:tcW w:w="1188" w:type="dxa"/>
          </w:tcPr>
          <w:p w14:paraId="3E29943B"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360 – 400</w:t>
            </w:r>
          </w:p>
        </w:tc>
        <w:tc>
          <w:tcPr>
            <w:tcW w:w="8640" w:type="dxa"/>
          </w:tcPr>
          <w:p w14:paraId="5C286EC1"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KONSOLIDOVANÉ VLASTNÉ ZDROJE</w:t>
            </w:r>
          </w:p>
          <w:p w14:paraId="162DBB5B" w14:textId="77777777" w:rsidR="00235D9D" w:rsidRPr="006A4431" w:rsidRDefault="00144F03">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18 CRR.</w:t>
            </w:r>
          </w:p>
          <w:p w14:paraId="73795258" w14:textId="167CFAA0"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Hodnota, ktorá sa má vykázať ako „KONSOLIDOVANÉ VLASTNÉ ZDROJE“, je hodnota odvodená zo súvahy bez zdrojov prinesených ostatnými subjektmi skupiny.</w:t>
            </w:r>
          </w:p>
        </w:tc>
      </w:tr>
      <w:tr w:rsidR="00235D9D" w:rsidRPr="006A4431" w14:paraId="5AA67888" w14:textId="77777777" w:rsidTr="00672D2A">
        <w:tc>
          <w:tcPr>
            <w:tcW w:w="1188" w:type="dxa"/>
          </w:tcPr>
          <w:p w14:paraId="3FA205D2"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360</w:t>
            </w:r>
          </w:p>
        </w:tc>
        <w:tc>
          <w:tcPr>
            <w:tcW w:w="8640" w:type="dxa"/>
          </w:tcPr>
          <w:p w14:paraId="45C611D2"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KONSOLIDOVANÉ VLASTNÉ ZDROJE</w:t>
            </w:r>
          </w:p>
        </w:tc>
      </w:tr>
      <w:tr w:rsidR="00235D9D" w:rsidRPr="006A4431" w14:paraId="60B6ED66" w14:textId="77777777" w:rsidTr="00672D2A">
        <w:tc>
          <w:tcPr>
            <w:tcW w:w="1188" w:type="dxa"/>
          </w:tcPr>
          <w:p w14:paraId="3F6AF20B"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370</w:t>
            </w:r>
          </w:p>
        </w:tc>
        <w:tc>
          <w:tcPr>
            <w:tcW w:w="8640" w:type="dxa"/>
          </w:tcPr>
          <w:p w14:paraId="04D45469"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VLASTNÝ KAPITÁL TIER 1</w:t>
            </w:r>
          </w:p>
        </w:tc>
      </w:tr>
      <w:tr w:rsidR="00235D9D" w:rsidRPr="006A4431" w14:paraId="566334E0" w14:textId="77777777" w:rsidTr="00672D2A">
        <w:tc>
          <w:tcPr>
            <w:tcW w:w="1188" w:type="dxa"/>
          </w:tcPr>
          <w:p w14:paraId="64BE572A" w14:textId="77777777" w:rsidR="00235D9D" w:rsidRPr="006A4431" w:rsidDel="0081176B" w:rsidRDefault="00464F34">
            <w:pPr>
              <w:rPr>
                <w:rFonts w:ascii="Times New Roman" w:hAnsi="Times New Roman"/>
                <w:spacing w:val="-2"/>
                <w:sz w:val="24"/>
              </w:rPr>
            </w:pPr>
            <w:r w:rsidRPr="006A4431">
              <w:rPr>
                <w:rFonts w:ascii="Times New Roman" w:hAnsi="Times New Roman"/>
                <w:spacing w:val="-2"/>
                <w:sz w:val="24"/>
              </w:rPr>
              <w:t>380</w:t>
            </w:r>
          </w:p>
        </w:tc>
        <w:tc>
          <w:tcPr>
            <w:tcW w:w="8640" w:type="dxa"/>
          </w:tcPr>
          <w:p w14:paraId="7522E2C9" w14:textId="77777777" w:rsidR="00235D9D" w:rsidRPr="006A4431" w:rsidDel="0081176B"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DODATOČNÝ KAPITÁL TIER 1</w:t>
            </w:r>
          </w:p>
        </w:tc>
      </w:tr>
      <w:tr w:rsidR="00235D9D" w:rsidRPr="006A4431" w14:paraId="31D77A09" w14:textId="77777777" w:rsidTr="00672D2A">
        <w:tc>
          <w:tcPr>
            <w:tcW w:w="1188" w:type="dxa"/>
          </w:tcPr>
          <w:p w14:paraId="36F058F5"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390</w:t>
            </w:r>
          </w:p>
        </w:tc>
        <w:tc>
          <w:tcPr>
            <w:tcW w:w="8640" w:type="dxa"/>
          </w:tcPr>
          <w:p w14:paraId="3D9171D7" w14:textId="77777777" w:rsidR="00235D9D" w:rsidRPr="006A4431" w:rsidRDefault="00464F34">
            <w:pPr>
              <w:rPr>
                <w:rStyle w:val="InstructionsTabelleText"/>
                <w:rFonts w:ascii="Times New Roman" w:hAnsi="Times New Roman"/>
                <w:spacing w:val="-2"/>
                <w:sz w:val="24"/>
              </w:rPr>
            </w:pPr>
            <w:r w:rsidRPr="006A4431">
              <w:rPr>
                <w:rStyle w:val="InstructionsTabelleberschrift"/>
                <w:rFonts w:ascii="Times New Roman" w:hAnsi="Times New Roman"/>
                <w:spacing w:val="-2"/>
                <w:sz w:val="24"/>
              </w:rPr>
              <w:t>Z ČOHO: PRÍSPEVKY KU KONSOLIDAVANÉMU VÝSLEDKU</w:t>
            </w:r>
          </w:p>
          <w:p w14:paraId="0FC91FD9" w14:textId="6026D6F4"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Vykazuje sa príspevok každého subjektu ku konsolidovanému výsledku [zisk alebo strata (-)]. Hodnota zahŕňa výsledky, ktoré možno pripísať menšinovým účastiam.</w:t>
            </w:r>
          </w:p>
        </w:tc>
      </w:tr>
      <w:tr w:rsidR="00235D9D" w:rsidRPr="006A4431" w14:paraId="0C8E75ED" w14:textId="77777777" w:rsidTr="00672D2A">
        <w:tc>
          <w:tcPr>
            <w:tcW w:w="1188" w:type="dxa"/>
          </w:tcPr>
          <w:p w14:paraId="32717992" w14:textId="77777777" w:rsidR="00235D9D" w:rsidRPr="006A4431" w:rsidRDefault="00464F34">
            <w:pPr>
              <w:rPr>
                <w:rFonts w:ascii="Times New Roman" w:hAnsi="Times New Roman"/>
                <w:spacing w:val="-2"/>
                <w:sz w:val="24"/>
              </w:rPr>
            </w:pPr>
            <w:r w:rsidRPr="006A4431">
              <w:rPr>
                <w:rFonts w:ascii="Times New Roman" w:hAnsi="Times New Roman"/>
                <w:spacing w:val="-2"/>
                <w:sz w:val="24"/>
              </w:rPr>
              <w:t>400</w:t>
            </w:r>
          </w:p>
        </w:tc>
        <w:tc>
          <w:tcPr>
            <w:tcW w:w="8640" w:type="dxa"/>
          </w:tcPr>
          <w:p w14:paraId="4651A8C3"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Z ČOHO: (-) GOODWILL/(+) NEGATÍVNY GOODWILL</w:t>
            </w:r>
          </w:p>
          <w:p w14:paraId="45C408B2" w14:textId="3B796423" w:rsidR="00235D9D" w:rsidRPr="006A4431" w:rsidRDefault="00464F34">
            <w:pPr>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t>Vykazuje sa tu goodwill alebo negatívny goodwill vykazujúceho subjektu vo vzťahu</w:t>
            </w:r>
            <w:r w:rsidR="00D85C65" w:rsidRPr="006A4431">
              <w:rPr>
                <w:rStyle w:val="InstructionsTabelleText"/>
                <w:rFonts w:ascii="Times New Roman" w:hAnsi="Times New Roman"/>
                <w:spacing w:val="-2"/>
                <w:sz w:val="24"/>
              </w:rPr>
              <w:t xml:space="preserve"> k </w:t>
            </w:r>
            <w:r w:rsidRPr="006A4431">
              <w:rPr>
                <w:rStyle w:val="InstructionsTabelleText"/>
                <w:rFonts w:ascii="Times New Roman" w:hAnsi="Times New Roman"/>
                <w:spacing w:val="-2"/>
                <w:sz w:val="24"/>
              </w:rPr>
              <w:t>dcérskej spoločnosti.</w:t>
            </w:r>
          </w:p>
        </w:tc>
      </w:tr>
      <w:tr w:rsidR="00235D9D" w:rsidRPr="006A4431" w14:paraId="67E5B69E" w14:textId="77777777" w:rsidTr="00672D2A">
        <w:tc>
          <w:tcPr>
            <w:tcW w:w="1188" w:type="dxa"/>
          </w:tcPr>
          <w:p w14:paraId="504EAFBB"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410 – 480</w:t>
            </w:r>
          </w:p>
        </w:tc>
        <w:tc>
          <w:tcPr>
            <w:tcW w:w="8640" w:type="dxa"/>
          </w:tcPr>
          <w:p w14:paraId="75B88055"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KAPITÁLOVÉ VANKÚŠE</w:t>
            </w:r>
          </w:p>
          <w:p w14:paraId="42203032" w14:textId="5A960CE7" w:rsidR="00235D9D" w:rsidRPr="006A4431" w:rsidRDefault="00464F34">
            <w:pPr>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Štruktúra vykazovania kapitálových vankúšov pre vzor GS sa riadi všeobecnou štruktúrou vzoru CA4</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používajú sa rovnaké koncepcie vykazovania. Pri vykazovaní kapitálových vankúšov pre vzor GS sa príslušné hodnoty vykazujú</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súlade</w:t>
            </w:r>
            <w:r w:rsidR="00D85C65" w:rsidRPr="006A4431">
              <w:rPr>
                <w:rStyle w:val="InstructionsTabelleberschrift"/>
                <w:rFonts w:ascii="Times New Roman" w:hAnsi="Times New Roman"/>
                <w:b w:val="0"/>
                <w:spacing w:val="-2"/>
                <w:sz w:val="24"/>
                <w:u w:val="none"/>
              </w:rPr>
              <w:t xml:space="preserve"> s </w:t>
            </w:r>
            <w:r w:rsidRPr="006A4431">
              <w:rPr>
                <w:rStyle w:val="InstructionsTabelleberschrift"/>
                <w:rFonts w:ascii="Times New Roman" w:hAnsi="Times New Roman"/>
                <w:b w:val="0"/>
                <w:spacing w:val="-2"/>
                <w:sz w:val="24"/>
                <w:u w:val="none"/>
              </w:rPr>
              <w:t>ustanoveniami uplatniteľnými na určenie požiadavky na vankúš pre konsolidovanú situáciu skupiny. Preto vykázané hodnoty kapitálových vankúšov predstavujú príspevky každého subjektu ku kapitálovým vankúšom skupiny. Vykázané hodnoty sa zakladajú na vnútroštátnych transpozičných opatreniach CRD</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na CRR vrátane akýchkoľvek prechodných ustanovení, ktoré sú</w:t>
            </w:r>
            <w:r w:rsidR="00D85C65" w:rsidRPr="006A4431">
              <w:rPr>
                <w:rStyle w:val="InstructionsTabelleberschrift"/>
                <w:rFonts w:ascii="Times New Roman" w:hAnsi="Times New Roman"/>
                <w:b w:val="0"/>
                <w:spacing w:val="-2"/>
                <w:sz w:val="24"/>
                <w:u w:val="none"/>
              </w:rPr>
              <w:t xml:space="preserve"> v </w:t>
            </w:r>
            <w:r w:rsidRPr="006A4431">
              <w:rPr>
                <w:rStyle w:val="InstructionsTabelleberschrift"/>
                <w:rFonts w:ascii="Times New Roman" w:hAnsi="Times New Roman"/>
                <w:b w:val="0"/>
                <w:spacing w:val="-2"/>
                <w:sz w:val="24"/>
                <w:u w:val="none"/>
              </w:rPr>
              <w:t>nich uvedené.</w:t>
            </w:r>
          </w:p>
        </w:tc>
      </w:tr>
      <w:tr w:rsidR="00235D9D" w:rsidRPr="006A4431" w14:paraId="7D44B0C6" w14:textId="77777777" w:rsidTr="00672D2A">
        <w:tc>
          <w:tcPr>
            <w:tcW w:w="1188" w:type="dxa"/>
          </w:tcPr>
          <w:p w14:paraId="729BBE09"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410</w:t>
            </w:r>
          </w:p>
        </w:tc>
        <w:tc>
          <w:tcPr>
            <w:tcW w:w="8640" w:type="dxa"/>
          </w:tcPr>
          <w:p w14:paraId="5BD65C06"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POŽIADAVKA NA KOMBINOVANÝ VANKÚŠ</w:t>
            </w:r>
          </w:p>
          <w:p w14:paraId="49953CA7" w14:textId="441469E9" w:rsidR="00235D9D" w:rsidRPr="006A4431" w:rsidRDefault="00283C5E">
            <w:pPr>
              <w:tabs>
                <w:tab w:val="left" w:pos="3510"/>
              </w:tabs>
              <w:rPr>
                <w:rStyle w:val="InstructionsTabelleberschrift"/>
                <w:rFonts w:ascii="Times New Roman" w:hAnsi="Times New Roman"/>
                <w:spacing w:val="-2"/>
                <w:sz w:val="24"/>
              </w:rPr>
            </w:pPr>
            <w:r w:rsidRPr="006A4431">
              <w:rPr>
                <w:rStyle w:val="InstructionsTabelleText"/>
                <w:rFonts w:ascii="Times New Roman" w:hAnsi="Times New Roman"/>
                <w:spacing w:val="-2"/>
                <w:sz w:val="24"/>
              </w:rPr>
              <w:lastRenderedPageBreak/>
              <w:t>Článok 128 ods. 6 CRD.</w:t>
            </w:r>
          </w:p>
        </w:tc>
      </w:tr>
      <w:tr w:rsidR="00235D9D" w:rsidRPr="006A4431" w14:paraId="290C574E" w14:textId="77777777" w:rsidTr="00672D2A">
        <w:tc>
          <w:tcPr>
            <w:tcW w:w="1188" w:type="dxa"/>
          </w:tcPr>
          <w:p w14:paraId="4F3EA187"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lastRenderedPageBreak/>
              <w:t>420</w:t>
            </w:r>
          </w:p>
        </w:tc>
        <w:tc>
          <w:tcPr>
            <w:tcW w:w="8640" w:type="dxa"/>
          </w:tcPr>
          <w:p w14:paraId="30C78CCA"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NA ZACHOVANIE KAPITÁLU</w:t>
            </w:r>
          </w:p>
          <w:p w14:paraId="7270E591" w14:textId="60FFD3AF" w:rsidR="00235D9D" w:rsidRPr="006A4431" w:rsidRDefault="00283C5E">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128 ods. 1</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článok 129 CRD.</w:t>
            </w:r>
          </w:p>
          <w:p w14:paraId="7023D0C0" w14:textId="3064E25E" w:rsidR="00235D9D" w:rsidRPr="006A4431" w:rsidRDefault="00BB22D4" w:rsidP="000B6689">
            <w:pPr>
              <w:pStyle w:val="InstructionsText"/>
              <w:rPr>
                <w:rStyle w:val="InstructionsTabelleText"/>
                <w:rFonts w:ascii="Times New Roman" w:hAnsi="Times New Roman"/>
                <w:spacing w:val="-2"/>
                <w:sz w:val="24"/>
              </w:rPr>
            </w:pPr>
            <w:r w:rsidRPr="006A4431">
              <w:rPr>
                <w:spacing w:val="-2"/>
              </w:rPr>
              <w:t>Podľa článku 129 ods. 1 CRD je vankúš na zachovanie kapitálu dodatočná suma nad rámec vlastného kapitálu Tier 1. Keďže miera vankúša na zachovanie kapitálu vo výške 2,5</w:t>
            </w:r>
            <w:r w:rsidR="00D85C65" w:rsidRPr="006A4431">
              <w:rPr>
                <w:spacing w:val="-2"/>
              </w:rPr>
              <w:t> %</w:t>
            </w:r>
            <w:r w:rsidRPr="006A4431">
              <w:rPr>
                <w:spacing w:val="-2"/>
              </w:rPr>
              <w:t xml:space="preserve"> je stabilná, </w:t>
            </w:r>
            <w:r w:rsidR="00D85C65" w:rsidRPr="006A4431">
              <w:rPr>
                <w:spacing w:val="-2"/>
              </w:rPr>
              <w:t>v </w:t>
            </w:r>
            <w:r w:rsidRPr="006A4431">
              <w:rPr>
                <w:spacing w:val="-2"/>
              </w:rPr>
              <w:t>tejto bunke</w:t>
            </w:r>
            <w:r w:rsidR="000B6689">
              <w:rPr>
                <w:spacing w:val="-2"/>
              </w:rPr>
              <w:t xml:space="preserve"> sa </w:t>
            </w:r>
            <w:r w:rsidR="000B6689" w:rsidRPr="006A4431">
              <w:rPr>
                <w:spacing w:val="-2"/>
              </w:rPr>
              <w:t>vykazuje</w:t>
            </w:r>
            <w:r w:rsidR="000B6689">
              <w:rPr>
                <w:spacing w:val="-2"/>
              </w:rPr>
              <w:t xml:space="preserve"> hodnota</w:t>
            </w:r>
            <w:r w:rsidRPr="006A4431">
              <w:rPr>
                <w:spacing w:val="-2"/>
              </w:rPr>
              <w:t>.</w:t>
            </w:r>
          </w:p>
        </w:tc>
      </w:tr>
      <w:tr w:rsidR="00235D9D" w:rsidRPr="006A4431" w14:paraId="6A904394" w14:textId="77777777" w:rsidTr="00672D2A">
        <w:tc>
          <w:tcPr>
            <w:tcW w:w="1188" w:type="dxa"/>
          </w:tcPr>
          <w:p w14:paraId="597E010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430</w:t>
            </w:r>
          </w:p>
        </w:tc>
        <w:tc>
          <w:tcPr>
            <w:tcW w:w="8640" w:type="dxa"/>
          </w:tcPr>
          <w:p w14:paraId="51FB7F5B"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PROTICYKLICKÝ KAPITÁLOVÝ VANKÚŠ ŠPECIFICKÝ PRE INŠTITÚCIU</w:t>
            </w:r>
          </w:p>
          <w:p w14:paraId="385196E8" w14:textId="3A374102" w:rsidR="00235D9D" w:rsidRPr="006A4431" w:rsidRDefault="00283C5E">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Článok 128 ods. 2, článok 130</w:t>
            </w:r>
            <w:r w:rsidR="00D85C65" w:rsidRPr="006A4431">
              <w:rPr>
                <w:rStyle w:val="InstructionsTabelleText"/>
                <w:rFonts w:ascii="Times New Roman" w:hAnsi="Times New Roman"/>
                <w:spacing w:val="-2"/>
                <w:sz w:val="24"/>
              </w:rPr>
              <w:t xml:space="preserve"> a </w:t>
            </w:r>
            <w:r w:rsidRPr="006A4431">
              <w:rPr>
                <w:rStyle w:val="InstructionsTabelleText"/>
                <w:rFonts w:ascii="Times New Roman" w:hAnsi="Times New Roman"/>
                <w:spacing w:val="-2"/>
                <w:sz w:val="24"/>
              </w:rPr>
              <w:t>články 135 až 140 CRD.</w:t>
            </w:r>
          </w:p>
          <w:p w14:paraId="2D171BBF" w14:textId="77777777" w:rsidR="00235D9D" w:rsidRPr="006A4431" w:rsidRDefault="00464F34">
            <w:pPr>
              <w:pStyle w:val="InstructionsText"/>
              <w:rPr>
                <w:rStyle w:val="InstructionsTabelleText"/>
                <w:rFonts w:ascii="Times New Roman" w:hAnsi="Times New Roman"/>
                <w:spacing w:val="-2"/>
                <w:sz w:val="24"/>
              </w:rPr>
            </w:pPr>
            <w:r w:rsidRPr="006A4431">
              <w:rPr>
                <w:spacing w:val="-2"/>
              </w:rPr>
              <w:t>V tejto bunke sa vykazuje konkrétna hodnota proticyklického vankúša.</w:t>
            </w:r>
          </w:p>
        </w:tc>
      </w:tr>
      <w:tr w:rsidR="00235D9D" w:rsidRPr="006A4431" w14:paraId="42A13680" w14:textId="77777777" w:rsidTr="00672D2A">
        <w:tc>
          <w:tcPr>
            <w:tcW w:w="1188" w:type="dxa"/>
          </w:tcPr>
          <w:p w14:paraId="3B7D72C3" w14:textId="77777777" w:rsidR="00235D9D" w:rsidRPr="006A4431" w:rsidDel="00D70027"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440</w:t>
            </w:r>
          </w:p>
        </w:tc>
        <w:tc>
          <w:tcPr>
            <w:tcW w:w="8640" w:type="dxa"/>
          </w:tcPr>
          <w:p w14:paraId="56A86F31" w14:textId="34E94439"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NA ZACHOVANIE</w:t>
            </w:r>
            <w:r w:rsidR="00D85C65" w:rsidRPr="006A4431">
              <w:rPr>
                <w:rStyle w:val="InstructionsTabelleberschrift"/>
                <w:rFonts w:ascii="Times New Roman" w:hAnsi="Times New Roman"/>
                <w:spacing w:val="-2"/>
                <w:sz w:val="24"/>
              </w:rPr>
              <w:t xml:space="preserve"> Z </w:t>
            </w:r>
            <w:r w:rsidRPr="006A4431">
              <w:rPr>
                <w:rStyle w:val="InstructionsTabelleberschrift"/>
                <w:rFonts w:ascii="Times New Roman" w:hAnsi="Times New Roman"/>
                <w:spacing w:val="-2"/>
                <w:sz w:val="24"/>
              </w:rPr>
              <w:t>DÔVODU MAKROPRUDENCIÁLNEHO ALEBO SYSTÉMOVÉHO RIZIKA IDENTIFIKOVANÉHO NA ÚROVNI ČLENSKÉHO ŠTÁTU</w:t>
            </w:r>
          </w:p>
          <w:p w14:paraId="16BE882A" w14:textId="20D03F71" w:rsidR="00235D9D" w:rsidRPr="006A4431" w:rsidRDefault="00283C5E">
            <w:pPr>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458 ods. 2 písm. d) bod iv) CRR.</w:t>
            </w:r>
          </w:p>
          <w:p w14:paraId="267A732C" w14:textId="321BEFF2" w:rsidR="00235D9D" w:rsidRPr="006A4431" w:rsidRDefault="00464F34">
            <w:pPr>
              <w:pStyle w:val="InstructionsText"/>
              <w:rPr>
                <w:rStyle w:val="InstructionsTabelleberschrift"/>
                <w:rFonts w:ascii="Times New Roman" w:hAnsi="Times New Roman"/>
                <w:spacing w:val="-2"/>
                <w:sz w:val="24"/>
              </w:rPr>
            </w:pPr>
            <w:r w:rsidRPr="006A4431">
              <w:rPr>
                <w:spacing w:val="-2"/>
              </w:rPr>
              <w:t>V tejto bunke sa vykazuje hodnota vankúša na zachovanie</w:t>
            </w:r>
            <w:r w:rsidR="00D85C65" w:rsidRPr="006A4431">
              <w:rPr>
                <w:spacing w:val="-2"/>
              </w:rPr>
              <w:t xml:space="preserve"> z </w:t>
            </w:r>
            <w:r w:rsidRPr="006A4431">
              <w:rPr>
                <w:spacing w:val="-2"/>
              </w:rPr>
              <w:t>dôvodu makroprudenciálneho alebo systémového rizika identifikovaného na úrovni členského štátu, ktorý sa môže požadovať podľa článku 458 CRR popri vankúši na zachovanie kapitálu.</w:t>
            </w:r>
          </w:p>
        </w:tc>
      </w:tr>
      <w:tr w:rsidR="00235D9D" w:rsidRPr="006A4431" w14:paraId="60606A3E" w14:textId="77777777" w:rsidTr="00672D2A">
        <w:tc>
          <w:tcPr>
            <w:tcW w:w="1188" w:type="dxa"/>
          </w:tcPr>
          <w:p w14:paraId="3DB4AC55"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450</w:t>
            </w:r>
          </w:p>
        </w:tc>
        <w:tc>
          <w:tcPr>
            <w:tcW w:w="8640" w:type="dxa"/>
          </w:tcPr>
          <w:p w14:paraId="57441EEE" w14:textId="77777777" w:rsidR="00235D9D" w:rsidRPr="006A4431" w:rsidRDefault="00464F34">
            <w:pPr>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NA KRYTIE SYSTÉMOVÉHO RIZIKA</w:t>
            </w:r>
          </w:p>
          <w:p w14:paraId="63CBA106" w14:textId="123CD566" w:rsidR="00D85C65" w:rsidRPr="006A4431" w:rsidRDefault="00283C5E">
            <w:pPr>
              <w:pStyle w:val="InstructionsText"/>
              <w:rPr>
                <w:spacing w:val="-2"/>
              </w:rPr>
            </w:pPr>
            <w:r w:rsidRPr="006A4431">
              <w:rPr>
                <w:spacing w:val="-2"/>
              </w:rPr>
              <w:t>Článok 128 ods. 5</w:t>
            </w:r>
            <w:r w:rsidR="00D85C65" w:rsidRPr="006A4431">
              <w:rPr>
                <w:spacing w:val="-2"/>
              </w:rPr>
              <w:t xml:space="preserve"> a </w:t>
            </w:r>
            <w:r w:rsidRPr="006A4431">
              <w:rPr>
                <w:spacing w:val="-2"/>
              </w:rPr>
              <w:t>články 133</w:t>
            </w:r>
            <w:r w:rsidR="00D85C65" w:rsidRPr="006A4431">
              <w:rPr>
                <w:spacing w:val="-2"/>
              </w:rPr>
              <w:t xml:space="preserve"> a </w:t>
            </w:r>
            <w:r w:rsidRPr="006A4431">
              <w:rPr>
                <w:spacing w:val="-2"/>
              </w:rPr>
              <w:t>134 CRD</w:t>
            </w:r>
            <w:r w:rsidR="00D85C65" w:rsidRPr="006A4431">
              <w:rPr>
                <w:spacing w:val="-2"/>
              </w:rPr>
              <w:t>.</w:t>
            </w:r>
          </w:p>
          <w:p w14:paraId="62368385" w14:textId="451222BE" w:rsidR="00235D9D" w:rsidRPr="006A4431" w:rsidRDefault="00464F34">
            <w:pPr>
              <w:rPr>
                <w:rStyle w:val="InstructionsTabelleberschrift"/>
                <w:rFonts w:ascii="Times New Roman" w:hAnsi="Times New Roman"/>
                <w:spacing w:val="-2"/>
                <w:sz w:val="24"/>
              </w:rPr>
            </w:pPr>
            <w:r w:rsidRPr="006A4431">
              <w:rPr>
                <w:rFonts w:ascii="Times New Roman" w:hAnsi="Times New Roman"/>
                <w:spacing w:val="-2"/>
                <w:sz w:val="24"/>
              </w:rPr>
              <w:t>V tejto bunke sa vykazuje hodnota vankúša na krytie systémového rizika.</w:t>
            </w:r>
          </w:p>
        </w:tc>
      </w:tr>
      <w:tr w:rsidR="00235D9D" w:rsidRPr="006A4431" w14:paraId="7B0A8514" w14:textId="77777777" w:rsidTr="00672D2A">
        <w:tc>
          <w:tcPr>
            <w:tcW w:w="1188" w:type="dxa"/>
          </w:tcPr>
          <w:p w14:paraId="6DD8C00F"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470</w:t>
            </w:r>
          </w:p>
        </w:tc>
        <w:tc>
          <w:tcPr>
            <w:tcW w:w="8640" w:type="dxa"/>
          </w:tcPr>
          <w:p w14:paraId="2F4D0319" w14:textId="77777777" w:rsidR="00235D9D" w:rsidRPr="006A4431" w:rsidRDefault="00464F34">
            <w:pPr>
              <w:tabs>
                <w:tab w:val="left" w:pos="6660"/>
              </w:tabs>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PRE GLOBÁLNE SYSTÉMOVO VÝZNAMNÉ INŠTITÚCIE</w:t>
            </w:r>
            <w:r w:rsidRPr="006A4431">
              <w:rPr>
                <w:rStyle w:val="InstructionsTabelleberschrift"/>
                <w:rFonts w:ascii="Times New Roman" w:hAnsi="Times New Roman"/>
                <w:spacing w:val="-2"/>
                <w:sz w:val="24"/>
              </w:rPr>
              <w:tab/>
            </w:r>
          </w:p>
          <w:p w14:paraId="387CB577" w14:textId="42813307" w:rsidR="00235D9D" w:rsidRPr="006A4431" w:rsidRDefault="00283C5E">
            <w:pPr>
              <w:pStyle w:val="InstructionsText"/>
              <w:rPr>
                <w:rStyle w:val="InstructionsTabelleberschrift"/>
                <w:rFonts w:ascii="Times New Roman" w:hAnsi="Times New Roman"/>
                <w:b w:val="0"/>
                <w:spacing w:val="-2"/>
                <w:sz w:val="24"/>
                <w:u w:val="none"/>
              </w:rPr>
            </w:pPr>
            <w:r w:rsidRPr="006A4431">
              <w:rPr>
                <w:rStyle w:val="InstructionsTabelleberschrift"/>
                <w:rFonts w:ascii="Times New Roman" w:hAnsi="Times New Roman"/>
                <w:b w:val="0"/>
                <w:spacing w:val="-2"/>
                <w:sz w:val="24"/>
                <w:u w:val="none"/>
              </w:rPr>
              <w:t>Článok 128 ods. 3</w:t>
            </w:r>
            <w:r w:rsidR="00D85C65" w:rsidRPr="006A4431">
              <w:rPr>
                <w:rStyle w:val="InstructionsTabelleberschrift"/>
                <w:rFonts w:ascii="Times New Roman" w:hAnsi="Times New Roman"/>
                <w:b w:val="0"/>
                <w:spacing w:val="-2"/>
                <w:sz w:val="24"/>
                <w:u w:val="none"/>
              </w:rPr>
              <w:t xml:space="preserve"> a </w:t>
            </w:r>
            <w:r w:rsidRPr="006A4431">
              <w:rPr>
                <w:rStyle w:val="InstructionsTabelleberschrift"/>
                <w:rFonts w:ascii="Times New Roman" w:hAnsi="Times New Roman"/>
                <w:b w:val="0"/>
                <w:spacing w:val="-2"/>
                <w:sz w:val="24"/>
                <w:u w:val="none"/>
              </w:rPr>
              <w:t>článok 131 CRD.</w:t>
            </w:r>
          </w:p>
          <w:p w14:paraId="234A78D7" w14:textId="77777777" w:rsidR="00235D9D" w:rsidRPr="006A4431" w:rsidRDefault="00464F34">
            <w:pPr>
              <w:pStyle w:val="InstructionsText"/>
              <w:rPr>
                <w:rStyle w:val="InstructionsTabelleberschrift"/>
                <w:rFonts w:ascii="Times New Roman" w:hAnsi="Times New Roman"/>
                <w:spacing w:val="-2"/>
                <w:sz w:val="24"/>
              </w:rPr>
            </w:pPr>
            <w:r w:rsidRPr="006A4431">
              <w:rPr>
                <w:spacing w:val="-2"/>
              </w:rPr>
              <w:t>V tejto bunke sa vykazuje hodnota vankúša pre globálne systémovo významné inštitúcie.</w:t>
            </w:r>
          </w:p>
        </w:tc>
      </w:tr>
      <w:tr w:rsidR="00235D9D" w:rsidRPr="006A4431" w14:paraId="71950C7A" w14:textId="77777777" w:rsidTr="00672D2A">
        <w:tc>
          <w:tcPr>
            <w:tcW w:w="1188" w:type="dxa"/>
          </w:tcPr>
          <w:p w14:paraId="5DA03A36" w14:textId="77777777" w:rsidR="00235D9D" w:rsidRPr="006A4431" w:rsidRDefault="00464F34">
            <w:pPr>
              <w:rPr>
                <w:rStyle w:val="InstructionsTabelleText"/>
                <w:rFonts w:ascii="Times New Roman" w:hAnsi="Times New Roman"/>
                <w:spacing w:val="-2"/>
                <w:sz w:val="24"/>
              </w:rPr>
            </w:pPr>
            <w:r w:rsidRPr="006A4431">
              <w:rPr>
                <w:rStyle w:val="InstructionsTabelleText"/>
                <w:rFonts w:ascii="Times New Roman" w:hAnsi="Times New Roman"/>
                <w:spacing w:val="-2"/>
                <w:sz w:val="24"/>
              </w:rPr>
              <w:t>480</w:t>
            </w:r>
          </w:p>
        </w:tc>
        <w:tc>
          <w:tcPr>
            <w:tcW w:w="8640" w:type="dxa"/>
          </w:tcPr>
          <w:p w14:paraId="66E623D3" w14:textId="77777777" w:rsidR="00235D9D" w:rsidRPr="006A4431" w:rsidRDefault="00464F34">
            <w:pPr>
              <w:tabs>
                <w:tab w:val="left" w:pos="6315"/>
              </w:tabs>
              <w:rPr>
                <w:rStyle w:val="InstructionsTabelleberschrift"/>
                <w:rFonts w:ascii="Times New Roman" w:hAnsi="Times New Roman"/>
                <w:spacing w:val="-2"/>
                <w:sz w:val="24"/>
              </w:rPr>
            </w:pPr>
            <w:r w:rsidRPr="006A4431">
              <w:rPr>
                <w:rStyle w:val="InstructionsTabelleberschrift"/>
                <w:rFonts w:ascii="Times New Roman" w:hAnsi="Times New Roman"/>
                <w:spacing w:val="-2"/>
                <w:sz w:val="24"/>
              </w:rPr>
              <w:t>VANKÚŠ PRE INAK SYSTÉMOVO VÝZNAMNÉ INŠTITÚCIE</w:t>
            </w:r>
            <w:r w:rsidRPr="006A4431">
              <w:rPr>
                <w:rStyle w:val="InstructionsTabelleberschrift"/>
                <w:rFonts w:ascii="Times New Roman" w:hAnsi="Times New Roman"/>
                <w:spacing w:val="-2"/>
                <w:sz w:val="24"/>
              </w:rPr>
              <w:tab/>
            </w:r>
          </w:p>
          <w:p w14:paraId="25F9394F" w14:textId="23563D74" w:rsidR="00235D9D" w:rsidRPr="006A4431" w:rsidRDefault="00283C5E">
            <w:pPr>
              <w:pStyle w:val="InstructionsText"/>
              <w:rPr>
                <w:spacing w:val="-2"/>
              </w:rPr>
            </w:pPr>
            <w:r w:rsidRPr="006A4431">
              <w:rPr>
                <w:spacing w:val="-2"/>
              </w:rPr>
              <w:t>Článok 128 ods. 4</w:t>
            </w:r>
            <w:r w:rsidR="00D85C65" w:rsidRPr="006A4431">
              <w:rPr>
                <w:spacing w:val="-2"/>
              </w:rPr>
              <w:t xml:space="preserve"> a </w:t>
            </w:r>
            <w:r w:rsidRPr="006A4431">
              <w:rPr>
                <w:spacing w:val="-2"/>
              </w:rPr>
              <w:t>článok 131 CRD.</w:t>
            </w:r>
          </w:p>
          <w:p w14:paraId="65185580" w14:textId="77777777" w:rsidR="00235D9D" w:rsidRPr="006A4431" w:rsidRDefault="00464F34">
            <w:pPr>
              <w:pStyle w:val="InstructionsText"/>
              <w:rPr>
                <w:rStyle w:val="InstructionsTabelleberschrift"/>
                <w:rFonts w:ascii="Times New Roman" w:hAnsi="Times New Roman"/>
                <w:spacing w:val="-2"/>
                <w:sz w:val="24"/>
              </w:rPr>
            </w:pPr>
            <w:r w:rsidRPr="006A4431">
              <w:rPr>
                <w:spacing w:val="-2"/>
              </w:rPr>
              <w:t>V tejto bunke sa vykazuje hodnota vankúša pre inak systémovo významné inštitúcie.</w:t>
            </w:r>
          </w:p>
        </w:tc>
      </w:tr>
    </w:tbl>
    <w:p w14:paraId="7E0CA39F" w14:textId="77777777" w:rsidR="00235D9D" w:rsidRPr="00D85C65" w:rsidRDefault="00235D9D">
      <w:pPr>
        <w:pStyle w:val="InstructionsText"/>
      </w:pPr>
    </w:p>
    <w:p w14:paraId="45EDFBFA" w14:textId="1F37CCAB" w:rsidR="00235D9D" w:rsidRPr="00D85C65" w:rsidRDefault="00B43C2A">
      <w:pPr>
        <w:pStyle w:val="Instructionsberschrift2"/>
        <w:numPr>
          <w:ilvl w:val="0"/>
          <w:numId w:val="0"/>
        </w:numPr>
        <w:ind w:left="357" w:hanging="357"/>
        <w:rPr>
          <w:rFonts w:ascii="Times New Roman" w:hAnsi="Times New Roman" w:cs="Times New Roman"/>
          <w:sz w:val="24"/>
        </w:rPr>
      </w:pPr>
      <w:bookmarkStart w:id="29" w:name="_Toc29994472"/>
      <w:r w:rsidRPr="00D85C65">
        <w:rPr>
          <w:rFonts w:ascii="Times New Roman" w:hAnsi="Times New Roman"/>
          <w:sz w:val="24"/>
          <w:u w:val="none"/>
        </w:rPr>
        <w:t>3.</w:t>
      </w:r>
      <w:r w:rsidRPr="00D85C65">
        <w:rPr>
          <w:rFonts w:ascii="Times New Roman" w:hAnsi="Times New Roman"/>
          <w:sz w:val="24"/>
          <w:u w:val="none"/>
        </w:rPr>
        <w:tab/>
      </w:r>
      <w:r w:rsidRPr="00D85C65">
        <w:rPr>
          <w:rFonts w:ascii="Times New Roman" w:hAnsi="Times New Roman"/>
          <w:sz w:val="24"/>
        </w:rPr>
        <w:t>Vzory pre kreditné riziko</w:t>
      </w:r>
      <w:bookmarkEnd w:id="29"/>
    </w:p>
    <w:p w14:paraId="354DB979" w14:textId="77777777" w:rsidR="00D85C65" w:rsidRDefault="00125707">
      <w:pPr>
        <w:pStyle w:val="Instructionsberschrift2"/>
        <w:numPr>
          <w:ilvl w:val="0"/>
          <w:numId w:val="0"/>
        </w:numPr>
        <w:ind w:left="357" w:hanging="357"/>
        <w:rPr>
          <w:rFonts w:ascii="Times New Roman" w:hAnsi="Times New Roman"/>
          <w:sz w:val="24"/>
        </w:rPr>
      </w:pPr>
      <w:bookmarkStart w:id="30" w:name="_Toc29994473"/>
      <w:r w:rsidRPr="00D85C65">
        <w:rPr>
          <w:rFonts w:ascii="Times New Roman" w:hAnsi="Times New Roman"/>
          <w:sz w:val="24"/>
          <w:u w:val="none"/>
        </w:rPr>
        <w:t>3.1.</w:t>
      </w:r>
      <w:r w:rsidRPr="00D85C65">
        <w:rPr>
          <w:rFonts w:ascii="Times New Roman" w:hAnsi="Times New Roman"/>
          <w:sz w:val="24"/>
          <w:u w:val="none"/>
        </w:rPr>
        <w:tab/>
      </w:r>
      <w:r w:rsidRPr="00D85C65">
        <w:rPr>
          <w:rFonts w:ascii="Times New Roman" w:hAnsi="Times New Roman"/>
          <w:sz w:val="24"/>
        </w:rPr>
        <w:t>Všeobecné poznámky</w:t>
      </w:r>
      <w:bookmarkEnd w:id="30"/>
    </w:p>
    <w:p w14:paraId="49CC14AB" w14:textId="6C91ED69" w:rsidR="00D85C65" w:rsidRDefault="00125707">
      <w:pPr>
        <w:pStyle w:val="InstructionsText2"/>
        <w:numPr>
          <w:ilvl w:val="0"/>
          <w:numId w:val="0"/>
        </w:numPr>
        <w:ind w:left="993"/>
      </w:pPr>
      <w:r w:rsidRPr="00D85C65">
        <w:t>38.</w:t>
      </w:r>
      <w:r w:rsidRPr="00D85C65">
        <w:tab/>
        <w:t>Pre štandardizovaný prístup</w:t>
      </w:r>
      <w:r w:rsidR="00D85C65">
        <w:t xml:space="preserve"> a </w:t>
      </w:r>
      <w:r w:rsidRPr="00D85C65">
        <w:t>pre prístup IRB existujú rôzne súbory vzorov pre kreditné riziko. Okrem toho sa vypĺňajú samostatné vzory pre geografické rozčlenenie pozícií podliehajúcich kreditnému riziku, keď sa presiahne relevantná prahová hodnota stanovená</w:t>
      </w:r>
      <w:r w:rsidR="00D85C65">
        <w:t xml:space="preserve"> v </w:t>
      </w:r>
      <w:r w:rsidRPr="00D85C65">
        <w:t>článku 5 písm. a) bode 4 vykonávacieho nariadenia</w:t>
      </w:r>
      <w:r w:rsidR="00D85C65">
        <w:t>.</w:t>
      </w:r>
    </w:p>
    <w:p w14:paraId="24A12BC4" w14:textId="4B868D4F" w:rsidR="00235D9D" w:rsidRPr="00D85C65" w:rsidRDefault="00125707">
      <w:pPr>
        <w:pStyle w:val="Instructionsberschrift2"/>
        <w:numPr>
          <w:ilvl w:val="0"/>
          <w:numId w:val="0"/>
        </w:numPr>
        <w:ind w:left="357" w:hanging="357"/>
        <w:rPr>
          <w:rFonts w:ascii="Times New Roman" w:hAnsi="Times New Roman" w:cs="Times New Roman"/>
          <w:sz w:val="24"/>
        </w:rPr>
      </w:pPr>
      <w:bookmarkStart w:id="31" w:name="_Toc29994474"/>
      <w:r w:rsidRPr="00D85C65">
        <w:rPr>
          <w:rFonts w:ascii="Times New Roman" w:hAnsi="Times New Roman"/>
          <w:sz w:val="24"/>
          <w:u w:val="none"/>
        </w:rPr>
        <w:t>3.1.1.</w:t>
      </w:r>
      <w:r w:rsidRPr="00D85C65">
        <w:rPr>
          <w:rFonts w:ascii="Times New Roman" w:hAnsi="Times New Roman"/>
          <w:sz w:val="24"/>
          <w:u w:val="none"/>
        </w:rPr>
        <w:tab/>
      </w:r>
      <w:r w:rsidRPr="00D85C65">
        <w:rPr>
          <w:rFonts w:ascii="Times New Roman" w:hAnsi="Times New Roman"/>
          <w:sz w:val="24"/>
        </w:rPr>
        <w:t>Vykazovanie postupov na zmierňovanie kreditného rizika (CRM)</w:t>
      </w:r>
      <w:r w:rsidR="00D85C65">
        <w:rPr>
          <w:rFonts w:ascii="Times New Roman" w:hAnsi="Times New Roman"/>
          <w:sz w:val="24"/>
        </w:rPr>
        <w:t xml:space="preserve"> s </w:t>
      </w:r>
      <w:r w:rsidRPr="00D85C65">
        <w:rPr>
          <w:rFonts w:ascii="Times New Roman" w:hAnsi="Times New Roman"/>
          <w:sz w:val="24"/>
        </w:rPr>
        <w:t>účinkom substitúcie</w:t>
      </w:r>
      <w:bookmarkEnd w:id="31"/>
    </w:p>
    <w:p w14:paraId="5618B1C1" w14:textId="710F450C" w:rsidR="00235D9D" w:rsidRPr="00D85C65" w:rsidRDefault="00125707">
      <w:pPr>
        <w:pStyle w:val="InstructionsText2"/>
        <w:numPr>
          <w:ilvl w:val="0"/>
          <w:numId w:val="0"/>
        </w:numPr>
        <w:ind w:left="993"/>
      </w:pPr>
      <w:r w:rsidRPr="00D85C65">
        <w:t>39.</w:t>
      </w:r>
      <w:r w:rsidRPr="00D85C65">
        <w:tab/>
        <w:t>V článku 235 CRR sa opisuje postup výpočtu expozície, ktorá je plne zabezpečená nefinancovaným zabezpečením.</w:t>
      </w:r>
    </w:p>
    <w:p w14:paraId="0C6811C2" w14:textId="2EB9B2D6" w:rsidR="00235D9D" w:rsidRPr="00D85C65" w:rsidRDefault="00125707">
      <w:pPr>
        <w:pStyle w:val="InstructionsText2"/>
        <w:numPr>
          <w:ilvl w:val="0"/>
          <w:numId w:val="0"/>
        </w:numPr>
        <w:ind w:left="993"/>
      </w:pPr>
      <w:r w:rsidRPr="00D85C65">
        <w:lastRenderedPageBreak/>
        <w:t>40.</w:t>
      </w:r>
      <w:r w:rsidRPr="00D85C65">
        <w:tab/>
        <w:t>V článku 236 CRR sa opisuje postup výpočtu expozície, ktorá je plne zabezpečená nefinancovaným zabezpečením</w:t>
      </w:r>
      <w:r w:rsidR="00D85C65">
        <w:t xml:space="preserve"> v </w:t>
      </w:r>
      <w:r w:rsidRPr="00D85C65">
        <w:t>prípade plného zabezpečenia/čiastočného zabezpečenia – rovnaká úroveň nadriadenosti.</w:t>
      </w:r>
    </w:p>
    <w:p w14:paraId="0F7DEE63" w14:textId="2805BA96" w:rsidR="00235D9D" w:rsidRPr="00D85C65" w:rsidRDefault="00125707">
      <w:pPr>
        <w:pStyle w:val="InstructionsText2"/>
        <w:numPr>
          <w:ilvl w:val="0"/>
          <w:numId w:val="0"/>
        </w:numPr>
        <w:ind w:left="993"/>
      </w:pPr>
      <w:r w:rsidRPr="00D85C65">
        <w:t>41.</w:t>
      </w:r>
      <w:r w:rsidRPr="00D85C65">
        <w:tab/>
        <w:t>V článkoch 196, 197</w:t>
      </w:r>
      <w:r w:rsidR="00D85C65">
        <w:t xml:space="preserve"> a </w:t>
      </w:r>
      <w:r w:rsidRPr="00D85C65">
        <w:t>200 CRR sa upravuje financované zabezpečenie.</w:t>
      </w:r>
    </w:p>
    <w:p w14:paraId="6D2EF433" w14:textId="556AC5CD" w:rsidR="00235D9D" w:rsidRPr="00D85C65" w:rsidRDefault="00125707">
      <w:pPr>
        <w:pStyle w:val="InstructionsText2"/>
        <w:numPr>
          <w:ilvl w:val="0"/>
          <w:numId w:val="0"/>
        </w:numPr>
        <w:ind w:left="993"/>
      </w:pPr>
      <w:r w:rsidRPr="00D85C65">
        <w:t>42.</w:t>
      </w:r>
      <w:r w:rsidRPr="00D85C65">
        <w:tab/>
        <w:t>Expozície voči dlžníkom (priame protistrany)</w:t>
      </w:r>
      <w:r w:rsidR="00D85C65">
        <w:t xml:space="preserve"> a </w:t>
      </w:r>
      <w:r w:rsidRPr="00D85C65">
        <w:t>poskytovateľom zabezpečenia, ktoré sú zaradené do rovnakej triedy expozícií, sa vykazujú ako kladné toky</w:t>
      </w:r>
      <w:r w:rsidR="00D85C65">
        <w:t xml:space="preserve"> a </w:t>
      </w:r>
      <w:r w:rsidRPr="00D85C65">
        <w:t>záporné toky do rovnakej triedy expozícií.</w:t>
      </w:r>
    </w:p>
    <w:p w14:paraId="3D5B371F" w14:textId="5AE6E95D" w:rsidR="00235D9D" w:rsidRPr="00D85C65" w:rsidRDefault="00125707">
      <w:pPr>
        <w:pStyle w:val="InstructionsText2"/>
        <w:numPr>
          <w:ilvl w:val="0"/>
          <w:numId w:val="0"/>
        </w:numPr>
        <w:ind w:left="993"/>
      </w:pPr>
      <w:r w:rsidRPr="00D85C65">
        <w:t>43.</w:t>
      </w:r>
      <w:r w:rsidRPr="00D85C65">
        <w:tab/>
        <w:t>Druh expozície sa nemení podľa nefinancovaného zabezpečenia.</w:t>
      </w:r>
    </w:p>
    <w:p w14:paraId="6F5E7DFF" w14:textId="54879B93" w:rsidR="00235D9D" w:rsidRPr="00D85C65" w:rsidRDefault="00125707">
      <w:pPr>
        <w:pStyle w:val="InstructionsText2"/>
        <w:numPr>
          <w:ilvl w:val="0"/>
          <w:numId w:val="0"/>
        </w:numPr>
        <w:ind w:left="993"/>
      </w:pPr>
      <w:r w:rsidRPr="00D85C65">
        <w:t>44.</w:t>
      </w:r>
      <w:r w:rsidRPr="00D85C65">
        <w:tab/>
        <w:t>Keď je expozícia zabezpečená nefinancovaným zabezpečením, zabezpečená časť sa začlení ako záporný tok, napr.</w:t>
      </w:r>
      <w:r w:rsidR="00D85C65">
        <w:t xml:space="preserve"> v </w:t>
      </w:r>
      <w:r w:rsidRPr="00D85C65">
        <w:t>triede expozícií dlžníka,</w:t>
      </w:r>
      <w:r w:rsidR="00D85C65">
        <w:t xml:space="preserve"> a </w:t>
      </w:r>
      <w:r w:rsidRPr="00D85C65">
        <w:t>ako kladný tok</w:t>
      </w:r>
      <w:r w:rsidR="00D85C65">
        <w:t xml:space="preserve"> v </w:t>
      </w:r>
      <w:r w:rsidRPr="00D85C65">
        <w:t>triede expozícií poskytovateľa zabezpečenia. Druh expozície sa však nemení po zmene triedy expozícií.</w:t>
      </w:r>
    </w:p>
    <w:p w14:paraId="013A6A9B" w14:textId="44E18E44" w:rsidR="00D85C65" w:rsidRDefault="00125707">
      <w:pPr>
        <w:pStyle w:val="InstructionsText2"/>
        <w:numPr>
          <w:ilvl w:val="0"/>
          <w:numId w:val="0"/>
        </w:numPr>
        <w:ind w:left="993"/>
      </w:pPr>
      <w:r w:rsidRPr="00D85C65">
        <w:t>45.</w:t>
      </w:r>
      <w:r w:rsidRPr="00D85C65">
        <w:tab/>
        <w:t>Účinok substitúcie</w:t>
      </w:r>
      <w:r w:rsidR="00D85C65">
        <w:t xml:space="preserve"> v </w:t>
      </w:r>
      <w:r w:rsidRPr="00D85C65">
        <w:t>rámci vykazovania COREP musí vyjadrovať rizikové váženie, ktoré sa</w:t>
      </w:r>
      <w:r w:rsidR="00D85C65">
        <w:t xml:space="preserve"> v </w:t>
      </w:r>
      <w:r w:rsidRPr="00D85C65">
        <w:t>skutočnosti uplatňuje na krytú časť expozície. Krytá časť expozície je teda rizikovo vážená</w:t>
      </w:r>
      <w:r w:rsidR="00D85C65">
        <w:t xml:space="preserve"> v </w:t>
      </w:r>
      <w:r w:rsidRPr="00D85C65">
        <w:t>súlade so štandardizovaným prístupom</w:t>
      </w:r>
      <w:r w:rsidR="00D85C65">
        <w:t xml:space="preserve"> a </w:t>
      </w:r>
      <w:r w:rsidRPr="00D85C65">
        <w:t>vykazuje sa vo vzore CR SA</w:t>
      </w:r>
      <w:r w:rsidR="00D85C65">
        <w:t>.</w:t>
      </w:r>
    </w:p>
    <w:p w14:paraId="08DB1FC2" w14:textId="5968B500" w:rsidR="00235D9D" w:rsidRPr="00D85C65" w:rsidRDefault="00125707">
      <w:pPr>
        <w:pStyle w:val="Instructionsberschrift2"/>
        <w:numPr>
          <w:ilvl w:val="0"/>
          <w:numId w:val="0"/>
        </w:numPr>
        <w:ind w:left="357" w:hanging="357"/>
        <w:rPr>
          <w:rFonts w:ascii="Times New Roman" w:hAnsi="Times New Roman" w:cs="Times New Roman"/>
          <w:sz w:val="24"/>
        </w:rPr>
      </w:pPr>
      <w:bookmarkStart w:id="32" w:name="_Toc29994475"/>
      <w:r w:rsidRPr="00D85C65">
        <w:rPr>
          <w:rFonts w:ascii="Times New Roman" w:hAnsi="Times New Roman"/>
          <w:sz w:val="24"/>
          <w:u w:val="none"/>
        </w:rPr>
        <w:t>3.1.2.</w:t>
      </w:r>
      <w:r w:rsidRPr="00D85C65">
        <w:rPr>
          <w:rFonts w:ascii="Times New Roman" w:hAnsi="Times New Roman"/>
          <w:sz w:val="24"/>
          <w:u w:val="none"/>
        </w:rPr>
        <w:tab/>
      </w:r>
      <w:r w:rsidRPr="00D85C65">
        <w:rPr>
          <w:rFonts w:ascii="Times New Roman" w:hAnsi="Times New Roman"/>
          <w:sz w:val="24"/>
        </w:rPr>
        <w:t>Vykazovanie kreditného rizika protistrany</w:t>
      </w:r>
      <w:bookmarkEnd w:id="32"/>
    </w:p>
    <w:p w14:paraId="00C5B6A1" w14:textId="0BD10EE5" w:rsidR="00D85C65" w:rsidRDefault="00125707">
      <w:pPr>
        <w:pStyle w:val="InstructionsText2"/>
        <w:numPr>
          <w:ilvl w:val="0"/>
          <w:numId w:val="0"/>
        </w:numPr>
        <w:ind w:left="993"/>
      </w:pPr>
      <w:r w:rsidRPr="00D85C65">
        <w:t>46.</w:t>
      </w:r>
      <w:r w:rsidRPr="00D85C65">
        <w:tab/>
        <w:t>Expozície pochádzajúce</w:t>
      </w:r>
      <w:r w:rsidR="00D85C65">
        <w:t xml:space="preserve"> z </w:t>
      </w:r>
      <w:r w:rsidRPr="00D85C65">
        <w:t>pozícií kreditného rizika protistrany sa vykazujú vo vzoroch CR SA alebo CR IRB nezávisle od toho, či sú to položky</w:t>
      </w:r>
      <w:r w:rsidR="00D85C65">
        <w:t xml:space="preserve"> v </w:t>
      </w:r>
      <w:r w:rsidRPr="00D85C65">
        <w:t>bankovej knihe alebo položky</w:t>
      </w:r>
      <w:r w:rsidR="00D85C65">
        <w:t xml:space="preserve"> v </w:t>
      </w:r>
      <w:r w:rsidRPr="00D85C65">
        <w:t>obchodnej knihe</w:t>
      </w:r>
      <w:r w:rsidR="00D85C65">
        <w:t>.</w:t>
      </w:r>
    </w:p>
    <w:p w14:paraId="050F06E6" w14:textId="6544C6CA" w:rsidR="00235D9D" w:rsidRPr="00D85C65" w:rsidRDefault="00125707">
      <w:pPr>
        <w:pStyle w:val="Instructionsberschrift2"/>
        <w:numPr>
          <w:ilvl w:val="0"/>
          <w:numId w:val="0"/>
        </w:numPr>
        <w:ind w:left="357" w:hanging="357"/>
        <w:rPr>
          <w:rFonts w:ascii="Times New Roman" w:hAnsi="Times New Roman" w:cs="Times New Roman"/>
          <w:sz w:val="24"/>
        </w:rPr>
      </w:pPr>
      <w:bookmarkStart w:id="33" w:name="_Toc29994476"/>
      <w:r w:rsidRPr="00D85C65">
        <w:rPr>
          <w:rFonts w:ascii="Times New Roman" w:hAnsi="Times New Roman"/>
          <w:sz w:val="24"/>
          <w:u w:val="none"/>
        </w:rPr>
        <w:t>3.2.</w:t>
      </w:r>
      <w:r w:rsidRPr="00D85C65">
        <w:rPr>
          <w:rFonts w:ascii="Times New Roman" w:hAnsi="Times New Roman"/>
          <w:sz w:val="24"/>
          <w:u w:val="none"/>
        </w:rPr>
        <w:tab/>
      </w:r>
      <w:r w:rsidRPr="00D85C65">
        <w:rPr>
          <w:rFonts w:ascii="Times New Roman" w:hAnsi="Times New Roman"/>
          <w:sz w:val="24"/>
        </w:rPr>
        <w:t>C 07.00 – Kreditné riziko</w:t>
      </w:r>
      <w:r w:rsidR="00D85C65">
        <w:rPr>
          <w:rFonts w:ascii="Times New Roman" w:hAnsi="Times New Roman"/>
          <w:sz w:val="24"/>
        </w:rPr>
        <w:t xml:space="preserve"> a </w:t>
      </w:r>
      <w:r w:rsidRPr="00D85C65">
        <w:rPr>
          <w:rFonts w:ascii="Times New Roman" w:hAnsi="Times New Roman"/>
          <w:sz w:val="24"/>
        </w:rPr>
        <w:t>kreditné riziko protistrany</w:t>
      </w:r>
      <w:r w:rsidR="00D85C65">
        <w:rPr>
          <w:rFonts w:ascii="Times New Roman" w:hAnsi="Times New Roman"/>
          <w:sz w:val="24"/>
        </w:rPr>
        <w:t xml:space="preserve"> a </w:t>
      </w:r>
      <w:r w:rsidRPr="00D85C65">
        <w:rPr>
          <w:rFonts w:ascii="Times New Roman" w:hAnsi="Times New Roman"/>
          <w:sz w:val="24"/>
        </w:rPr>
        <w:t>bezodplatné dodanie: Štandardizovaný prístup ku kapitálovým požiadavkám (CR SA)</w:t>
      </w:r>
      <w:bookmarkEnd w:id="33"/>
    </w:p>
    <w:p w14:paraId="2C884E9E"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34" w:name="_Toc29994477"/>
      <w:r w:rsidRPr="00D85C65">
        <w:rPr>
          <w:rFonts w:ascii="Times New Roman" w:hAnsi="Times New Roman"/>
          <w:sz w:val="24"/>
          <w:u w:val="none"/>
        </w:rPr>
        <w:t>3.2.1.</w:t>
      </w:r>
      <w:r w:rsidRPr="00D85C65">
        <w:rPr>
          <w:rFonts w:ascii="Times New Roman" w:hAnsi="Times New Roman"/>
          <w:sz w:val="24"/>
          <w:u w:val="none"/>
        </w:rPr>
        <w:tab/>
      </w:r>
      <w:r w:rsidRPr="00D85C65">
        <w:rPr>
          <w:rFonts w:ascii="Times New Roman" w:hAnsi="Times New Roman"/>
          <w:sz w:val="24"/>
        </w:rPr>
        <w:t>Všeobecné poznámky</w:t>
      </w:r>
      <w:bookmarkEnd w:id="34"/>
    </w:p>
    <w:p w14:paraId="043CCB8F" w14:textId="15742A5F" w:rsidR="00235D9D" w:rsidRPr="00D85C65" w:rsidRDefault="00125707">
      <w:pPr>
        <w:pStyle w:val="InstructionsText2"/>
        <w:numPr>
          <w:ilvl w:val="0"/>
          <w:numId w:val="0"/>
        </w:numPr>
        <w:ind w:left="993"/>
      </w:pPr>
      <w:r w:rsidRPr="00D85C65">
        <w:t>47.</w:t>
      </w:r>
      <w:r w:rsidRPr="00D85C65">
        <w:tab/>
        <w:t>Vzory CR SA poskytujú informácie potrebné na výpočet požiadaviek na vlastné zdroje pre kreditné riziko podľa štandardizovaného prístupu. Konkrétne ide</w:t>
      </w:r>
      <w:r w:rsidR="00D85C65">
        <w:t xml:space="preserve"> o </w:t>
      </w:r>
      <w:r w:rsidRPr="00D85C65">
        <w:t>podrobné informácie o:</w:t>
      </w:r>
    </w:p>
    <w:p w14:paraId="2B59DD5B" w14:textId="04E9B5BD" w:rsidR="00235D9D" w:rsidRPr="00D85C65" w:rsidRDefault="00125707">
      <w:pPr>
        <w:pStyle w:val="InstructionsText2"/>
        <w:numPr>
          <w:ilvl w:val="0"/>
          <w:numId w:val="0"/>
        </w:numPr>
        <w:ind w:left="993"/>
      </w:pPr>
      <w:r w:rsidRPr="00D85C65">
        <w:t>a)</w:t>
      </w:r>
      <w:r w:rsidRPr="00D85C65">
        <w:tab/>
        <w:t>rozdelení hodnôt expozície podľa rôznych druhov expozícií, rizikových váh</w:t>
      </w:r>
      <w:r w:rsidR="00D85C65">
        <w:t xml:space="preserve"> a </w:t>
      </w:r>
      <w:r w:rsidRPr="00D85C65">
        <w:t>tried expozícií;</w:t>
      </w:r>
    </w:p>
    <w:p w14:paraId="45E6C76F" w14:textId="02AC87FE" w:rsidR="00D85C65" w:rsidRDefault="00125707">
      <w:pPr>
        <w:pStyle w:val="InstructionsText2"/>
        <w:numPr>
          <w:ilvl w:val="0"/>
          <w:numId w:val="0"/>
        </w:numPr>
        <w:ind w:left="993"/>
      </w:pPr>
      <w:r w:rsidRPr="00D85C65">
        <w:t>b)</w:t>
      </w:r>
      <w:r w:rsidRPr="00D85C65">
        <w:tab/>
        <w:t>hodnote</w:t>
      </w:r>
      <w:r w:rsidR="00D85C65">
        <w:t xml:space="preserve"> a </w:t>
      </w:r>
      <w:r w:rsidRPr="00D85C65">
        <w:t>druhu postupov na zmierňovanie kreditného rizika používaných na zmierňovanie rizík</w:t>
      </w:r>
      <w:r w:rsidR="00D85C65">
        <w:t>.</w:t>
      </w:r>
    </w:p>
    <w:p w14:paraId="232245F1" w14:textId="5F98B53A" w:rsidR="00235D9D" w:rsidRPr="00D85C65" w:rsidRDefault="00125707">
      <w:pPr>
        <w:pStyle w:val="Instructionsberschrift2"/>
        <w:numPr>
          <w:ilvl w:val="0"/>
          <w:numId w:val="0"/>
        </w:numPr>
        <w:ind w:left="357" w:hanging="357"/>
        <w:rPr>
          <w:rFonts w:ascii="Times New Roman" w:hAnsi="Times New Roman" w:cs="Times New Roman"/>
          <w:sz w:val="24"/>
        </w:rPr>
      </w:pPr>
      <w:bookmarkStart w:id="35" w:name="_Toc29994478"/>
      <w:r w:rsidRPr="00D85C65">
        <w:rPr>
          <w:rFonts w:ascii="Times New Roman" w:hAnsi="Times New Roman"/>
          <w:sz w:val="24"/>
          <w:u w:val="none"/>
        </w:rPr>
        <w:t>3.2.2.</w:t>
      </w:r>
      <w:r w:rsidRPr="00D85C65">
        <w:rPr>
          <w:rFonts w:ascii="Times New Roman" w:hAnsi="Times New Roman"/>
          <w:sz w:val="24"/>
          <w:u w:val="none"/>
        </w:rPr>
        <w:tab/>
      </w:r>
      <w:r w:rsidRPr="00D85C65">
        <w:rPr>
          <w:rFonts w:ascii="Times New Roman" w:hAnsi="Times New Roman"/>
          <w:sz w:val="24"/>
        </w:rPr>
        <w:t>Rozsah vzoru CR SA</w:t>
      </w:r>
      <w:bookmarkEnd w:id="35"/>
    </w:p>
    <w:p w14:paraId="74E1ED6A" w14:textId="4687BC7A" w:rsidR="00235D9D" w:rsidRPr="00D85C65" w:rsidRDefault="00125707">
      <w:pPr>
        <w:pStyle w:val="InstructionsText2"/>
        <w:numPr>
          <w:ilvl w:val="0"/>
          <w:numId w:val="0"/>
        </w:numPr>
        <w:ind w:left="993"/>
      </w:pPr>
      <w:r w:rsidRPr="00D85C65">
        <w:t>48.</w:t>
      </w:r>
      <w:r w:rsidRPr="00D85C65">
        <w:tab/>
        <w:t>V súlade</w:t>
      </w:r>
      <w:r w:rsidR="00D85C65">
        <w:t xml:space="preserve"> s </w:t>
      </w:r>
      <w:r w:rsidRPr="00D85C65">
        <w:t>článkom 112 CRR sa každá expozícia SA na účely vypočítania požiadaviek na vlastné zdroje zaradí do jednej zo 16 tried expozícií SA.</w:t>
      </w:r>
    </w:p>
    <w:p w14:paraId="319F60CE" w14:textId="1DCCEACD" w:rsidR="00D85C65" w:rsidRDefault="00125707">
      <w:pPr>
        <w:pStyle w:val="InstructionsText2"/>
        <w:numPr>
          <w:ilvl w:val="0"/>
          <w:numId w:val="0"/>
        </w:numPr>
        <w:ind w:left="993"/>
      </w:pPr>
      <w:r w:rsidRPr="00D85C65">
        <w:t>49.</w:t>
      </w:r>
      <w:r w:rsidRPr="00D85C65">
        <w:tab/>
        <w:t>Informácie vo vzore CR SA požadujú pre triedy celkových expozícií</w:t>
      </w:r>
      <w:r w:rsidR="00D85C65">
        <w:t xml:space="preserve"> a </w:t>
      </w:r>
      <w:r w:rsidRPr="00D85C65">
        <w:t>individuálne pre každú triedu expozícií na základe štandardizovaného prístupu. Celkové údaje</w:t>
      </w:r>
      <w:r w:rsidR="00D85C65">
        <w:t xml:space="preserve"> a </w:t>
      </w:r>
      <w:r w:rsidRPr="00D85C65">
        <w:t>informácie</w:t>
      </w:r>
      <w:r w:rsidR="00D85C65">
        <w:t xml:space="preserve"> o </w:t>
      </w:r>
      <w:r w:rsidRPr="00D85C65">
        <w:t>jednotlivých triedach expozícií sa vykazujú osobitne</w:t>
      </w:r>
      <w:r w:rsidR="00D85C65">
        <w:t>.</w:t>
      </w:r>
    </w:p>
    <w:p w14:paraId="1F160EE7" w14:textId="74BD14B9" w:rsidR="00235D9D" w:rsidRPr="00D85C65" w:rsidRDefault="00125707">
      <w:pPr>
        <w:pStyle w:val="InstructionsText2"/>
        <w:numPr>
          <w:ilvl w:val="0"/>
          <w:numId w:val="0"/>
        </w:numPr>
        <w:ind w:left="993"/>
      </w:pPr>
      <w:r w:rsidRPr="00D85C65">
        <w:lastRenderedPageBreak/>
        <w:t>50.</w:t>
      </w:r>
      <w:r w:rsidRPr="00D85C65">
        <w:tab/>
        <w:t>Tieto triedy však nie sú</w:t>
      </w:r>
      <w:r w:rsidR="00D85C65">
        <w:t xml:space="preserve"> v </w:t>
      </w:r>
      <w:r w:rsidRPr="00D85C65">
        <w:t>rámci rozsahu vzoru CR SA:</w:t>
      </w:r>
    </w:p>
    <w:p w14:paraId="2C467C4D" w14:textId="2FA7E18D" w:rsidR="00235D9D" w:rsidRPr="00D85C65" w:rsidRDefault="00125707">
      <w:pPr>
        <w:pStyle w:val="InstructionsText2"/>
        <w:numPr>
          <w:ilvl w:val="0"/>
          <w:numId w:val="0"/>
        </w:numPr>
        <w:ind w:left="993"/>
      </w:pPr>
      <w:r w:rsidRPr="00D85C65">
        <w:t>a)</w:t>
      </w:r>
      <w:r w:rsidRPr="00D85C65">
        <w:tab/>
        <w:t>expozície zaradené do triedy expozícií „položky predstavujúce sekuritizačné pozície“ uvedené</w:t>
      </w:r>
      <w:r w:rsidR="00D85C65">
        <w:t xml:space="preserve"> v </w:t>
      </w:r>
      <w:r w:rsidRPr="00D85C65">
        <w:t>článku 112 písm. m) CRR, ktoré sa vykazujú vo vzoroch CR SEC.</w:t>
      </w:r>
    </w:p>
    <w:p w14:paraId="271B5B48" w14:textId="77777777" w:rsidR="00235D9D" w:rsidRPr="00D85C65" w:rsidRDefault="00125707">
      <w:pPr>
        <w:pStyle w:val="InstructionsText2"/>
        <w:numPr>
          <w:ilvl w:val="0"/>
          <w:numId w:val="0"/>
        </w:numPr>
        <w:ind w:left="993"/>
      </w:pPr>
      <w:r w:rsidRPr="00D85C65">
        <w:t>b)</w:t>
      </w:r>
      <w:r w:rsidRPr="00D85C65">
        <w:tab/>
        <w:t>expozície odpočítané od vlastných zdrojov.</w:t>
      </w:r>
    </w:p>
    <w:p w14:paraId="5F89B3AB" w14:textId="1F85E260" w:rsidR="00235D9D" w:rsidRPr="00D85C65" w:rsidRDefault="00125707">
      <w:pPr>
        <w:pStyle w:val="InstructionsText2"/>
        <w:numPr>
          <w:ilvl w:val="0"/>
          <w:numId w:val="0"/>
        </w:numPr>
        <w:ind w:left="993"/>
      </w:pPr>
      <w:r w:rsidRPr="00D85C65">
        <w:t>51.</w:t>
      </w:r>
      <w:r w:rsidRPr="00D85C65">
        <w:tab/>
        <w:t>Rozsah vzoru CR SA pokrýva tieto požiadavky na vlastné zdroje:</w:t>
      </w:r>
    </w:p>
    <w:p w14:paraId="40BE9125" w14:textId="3CB34D67" w:rsidR="00235D9D" w:rsidRPr="00D85C65" w:rsidRDefault="00125707">
      <w:pPr>
        <w:pStyle w:val="InstructionsText2"/>
        <w:numPr>
          <w:ilvl w:val="0"/>
          <w:numId w:val="0"/>
        </w:numPr>
        <w:ind w:left="993"/>
      </w:pPr>
      <w:r w:rsidRPr="00D85C65">
        <w:t>a)</w:t>
      </w:r>
      <w:r w:rsidRPr="00D85C65">
        <w:tab/>
        <w:t>kreditné riziko podľa tretej časti hlavy II kapitoly 2 (štandardizovaný prístup) CRR</w:t>
      </w:r>
      <w:r w:rsidR="00D85C65">
        <w:t xml:space="preserve"> v </w:t>
      </w:r>
      <w:r w:rsidRPr="00D85C65">
        <w:t>bankovej knihe,</w:t>
      </w:r>
      <w:r w:rsidR="00D85C65">
        <w:t xml:space="preserve"> v </w:t>
      </w:r>
      <w:r w:rsidRPr="00D85C65">
        <w:t>rámci toho kreditné riziko protistrany podľa tretej časti hlavy II kapitoly 6 (kreditné riziko protistrany) CRR</w:t>
      </w:r>
      <w:r w:rsidR="00D85C65">
        <w:t xml:space="preserve"> v </w:t>
      </w:r>
      <w:r w:rsidRPr="00D85C65">
        <w:t>bankovej knihe;</w:t>
      </w:r>
    </w:p>
    <w:p w14:paraId="69D3131A" w14:textId="21A2FD5C" w:rsidR="00235D9D" w:rsidRPr="00D85C65" w:rsidRDefault="00125707">
      <w:pPr>
        <w:pStyle w:val="InstructionsText2"/>
        <w:numPr>
          <w:ilvl w:val="0"/>
          <w:numId w:val="0"/>
        </w:numPr>
        <w:ind w:left="993"/>
      </w:pPr>
      <w:r w:rsidRPr="00D85C65">
        <w:t>b)</w:t>
      </w:r>
      <w:r w:rsidRPr="00D85C65">
        <w:tab/>
        <w:t>kreditné riziko protistrany podľa tretej časti hlavy II kapitoly 6 (kreditné riziko protistrany) CRR</w:t>
      </w:r>
      <w:r w:rsidR="00D85C65">
        <w:t xml:space="preserve"> v </w:t>
      </w:r>
      <w:r w:rsidRPr="00D85C65">
        <w:t>obchodnej knihe;</w:t>
      </w:r>
    </w:p>
    <w:p w14:paraId="6190C467" w14:textId="09214335" w:rsidR="00235D9D" w:rsidRPr="00D85C65" w:rsidRDefault="00125707">
      <w:pPr>
        <w:pStyle w:val="InstructionsText2"/>
        <w:numPr>
          <w:ilvl w:val="0"/>
          <w:numId w:val="0"/>
        </w:numPr>
        <w:ind w:left="993"/>
      </w:pPr>
      <w:r w:rsidRPr="00D85C65">
        <w:t>c)</w:t>
      </w:r>
      <w:r w:rsidRPr="00D85C65">
        <w:tab/>
        <w:t>riziko vyrovnania vyplývajúce</w:t>
      </w:r>
      <w:r w:rsidR="00D85C65">
        <w:t xml:space="preserve"> z </w:t>
      </w:r>
      <w:r w:rsidRPr="00D85C65">
        <w:t>bezodplatného dodania podľa článku 379 CRR</w:t>
      </w:r>
      <w:r w:rsidR="00D85C65">
        <w:t xml:space="preserve"> v </w:t>
      </w:r>
      <w:r w:rsidRPr="00D85C65">
        <w:t>súvislosti so všetkými obchodnými činnosťami.</w:t>
      </w:r>
    </w:p>
    <w:p w14:paraId="09CB9C35" w14:textId="079F8E97" w:rsidR="00235D9D" w:rsidRPr="00D85C65" w:rsidRDefault="00125707">
      <w:pPr>
        <w:pStyle w:val="InstructionsText2"/>
        <w:numPr>
          <w:ilvl w:val="0"/>
          <w:numId w:val="0"/>
        </w:numPr>
        <w:ind w:left="993"/>
      </w:pPr>
      <w:r w:rsidRPr="00D85C65">
        <w:t>52.</w:t>
      </w:r>
      <w:r w:rsidRPr="00D85C65">
        <w:tab/>
        <w:t>Vzor zahŕňa všetky expozície, pre ktoré sa požiadavky na vlastné zdroje vypočítavajú</w:t>
      </w:r>
      <w:r w:rsidR="00D85C65">
        <w:t xml:space="preserve"> v </w:t>
      </w:r>
      <w:r w:rsidRPr="00D85C65">
        <w:t>súlade</w:t>
      </w:r>
      <w:r w:rsidR="00D85C65">
        <w:t xml:space="preserve"> s </w:t>
      </w:r>
      <w:r w:rsidRPr="00D85C65">
        <w:t>treťou časťou hlavou II kapitolou 2 CRR</w:t>
      </w:r>
      <w:r w:rsidR="00D85C65">
        <w:t xml:space="preserve"> v </w:t>
      </w:r>
      <w:r w:rsidRPr="00D85C65">
        <w:t>spojení</w:t>
      </w:r>
      <w:r w:rsidR="00D85C65">
        <w:t xml:space="preserve"> s </w:t>
      </w:r>
      <w:r w:rsidRPr="00D85C65">
        <w:t>treťou časťou hlavou II kapitolami 4</w:t>
      </w:r>
      <w:r w:rsidR="00D85C65">
        <w:t xml:space="preserve"> a </w:t>
      </w:r>
      <w:r w:rsidRPr="00D85C65">
        <w:t>6 CRR. Inštitúcie, ktoré uplatňujú článok 94 ods. 1 CRR, musia</w:t>
      </w:r>
      <w:r w:rsidR="00D85C65">
        <w:t xml:space="preserve"> v </w:t>
      </w:r>
      <w:r w:rsidRPr="00D85C65">
        <w:t>tomto vzore vykázať aj svoje pozície</w:t>
      </w:r>
      <w:r w:rsidR="00D85C65">
        <w:t xml:space="preserve"> v </w:t>
      </w:r>
      <w:r w:rsidRPr="00D85C65">
        <w:t>obchodnej knihe, keď uplatňujú tretiu časť hlavu II kapitolu 2 CRR na výpočet požiadaviek na vlastné zdroje (tretia časť hlava II kapitoly 2</w:t>
      </w:r>
      <w:r w:rsidR="00D85C65">
        <w:t xml:space="preserve"> a </w:t>
      </w:r>
      <w:r w:rsidRPr="00D85C65">
        <w:t>6</w:t>
      </w:r>
      <w:r w:rsidR="00D85C65">
        <w:t xml:space="preserve"> a </w:t>
      </w:r>
      <w:r w:rsidRPr="00D85C65">
        <w:t>tretia časť hlava</w:t>
      </w:r>
      <w:r w:rsidR="00D85C65">
        <w:t xml:space="preserve"> V </w:t>
      </w:r>
      <w:r w:rsidRPr="00D85C65">
        <w:t>CRR). Tento vzor preto poskytuje nielen podrobné informácie</w:t>
      </w:r>
      <w:r w:rsidR="00D85C65">
        <w:t xml:space="preserve"> o </w:t>
      </w:r>
      <w:r w:rsidRPr="00D85C65">
        <w:t>druhu expozície (napr.</w:t>
      </w:r>
      <w:r w:rsidR="00D85C65">
        <w:t xml:space="preserve"> o </w:t>
      </w:r>
      <w:r w:rsidRPr="00D85C65">
        <w:t>súvahových/podsúvahových položkách), ale aj informácie</w:t>
      </w:r>
      <w:r w:rsidR="00D85C65">
        <w:t xml:space="preserve"> o </w:t>
      </w:r>
      <w:r w:rsidRPr="00D85C65">
        <w:t>priradení rizikových váh</w:t>
      </w:r>
      <w:r w:rsidR="00D85C65">
        <w:t xml:space="preserve"> v </w:t>
      </w:r>
      <w:r w:rsidRPr="00D85C65">
        <w:t>rámci príslušnej triedy expozícií.</w:t>
      </w:r>
    </w:p>
    <w:p w14:paraId="33C04009" w14:textId="6CE2EED0" w:rsidR="00D85C65" w:rsidRDefault="00125707">
      <w:pPr>
        <w:pStyle w:val="InstructionsText2"/>
        <w:numPr>
          <w:ilvl w:val="0"/>
          <w:numId w:val="0"/>
        </w:numPr>
        <w:ind w:left="993"/>
      </w:pPr>
      <w:r w:rsidRPr="00D85C65">
        <w:t>53.</w:t>
      </w:r>
      <w:r w:rsidRPr="00D85C65">
        <w:tab/>
        <w:t>Vzor CR SA okrem toho obsahuje</w:t>
      </w:r>
      <w:r w:rsidR="00D85C65">
        <w:t xml:space="preserve"> v </w:t>
      </w:r>
      <w:r w:rsidRPr="00D85C65">
        <w:t>riadkoch 290 až 320 doplňujúce položky na zhromaždenie ďalších informácií</w:t>
      </w:r>
      <w:r w:rsidR="00D85C65">
        <w:t xml:space="preserve"> o </w:t>
      </w:r>
      <w:r w:rsidRPr="00D85C65">
        <w:t>expozíciách zabezpečených hypotékami na nehnuteľný majetok</w:t>
      </w:r>
      <w:r w:rsidR="00D85C65">
        <w:t xml:space="preserve"> a o </w:t>
      </w:r>
      <w:r w:rsidRPr="00D85C65">
        <w:t>expozíciách</w:t>
      </w:r>
      <w:r w:rsidR="00D85C65">
        <w:t xml:space="preserve"> v </w:t>
      </w:r>
      <w:r w:rsidRPr="00D85C65">
        <w:t>stave zlyhania</w:t>
      </w:r>
      <w:r w:rsidR="00D85C65">
        <w:t>.</w:t>
      </w:r>
    </w:p>
    <w:p w14:paraId="2DD50B6D" w14:textId="77777777" w:rsidR="00D85C65" w:rsidRDefault="00125707">
      <w:pPr>
        <w:pStyle w:val="InstructionsText2"/>
        <w:numPr>
          <w:ilvl w:val="0"/>
          <w:numId w:val="0"/>
        </w:numPr>
        <w:ind w:left="993"/>
      </w:pPr>
      <w:r w:rsidRPr="00D85C65">
        <w:t>54.</w:t>
      </w:r>
      <w:r w:rsidRPr="00D85C65">
        <w:tab/>
        <w:t>Uvedené doplňujúce položky sa vykazujú len pre tieto triedy expozícií</w:t>
      </w:r>
      <w:r w:rsidR="00D85C65">
        <w:t>:</w:t>
      </w:r>
    </w:p>
    <w:p w14:paraId="2885A1A2" w14:textId="671F10D1" w:rsidR="00235D9D" w:rsidRPr="00D85C65" w:rsidRDefault="00125707">
      <w:pPr>
        <w:pStyle w:val="InstructionsText2"/>
        <w:numPr>
          <w:ilvl w:val="0"/>
          <w:numId w:val="0"/>
        </w:numPr>
        <w:ind w:left="993"/>
      </w:pPr>
      <w:r w:rsidRPr="00D85C65">
        <w:t>a)</w:t>
      </w:r>
      <w:r w:rsidRPr="00D85C65">
        <w:tab/>
        <w:t>ústredné vlády alebo centrálne banky [článok 112 písm. a) CRR];</w:t>
      </w:r>
    </w:p>
    <w:p w14:paraId="299692FA" w14:textId="57463D83" w:rsidR="00235D9D" w:rsidRPr="00D85C65" w:rsidRDefault="00125707">
      <w:pPr>
        <w:pStyle w:val="InstructionsText2"/>
        <w:numPr>
          <w:ilvl w:val="0"/>
          <w:numId w:val="0"/>
        </w:numPr>
        <w:ind w:left="993"/>
      </w:pPr>
      <w:r w:rsidRPr="00D85C65">
        <w:t>b)</w:t>
      </w:r>
      <w:r w:rsidRPr="00D85C65">
        <w:tab/>
        <w:t>regionálne vlády alebo miestne orgány [článok 112 písm. b) CRR];</w:t>
      </w:r>
    </w:p>
    <w:p w14:paraId="10915378" w14:textId="2EF8A380" w:rsidR="00235D9D" w:rsidRPr="00D85C65" w:rsidRDefault="00125707">
      <w:pPr>
        <w:pStyle w:val="InstructionsText2"/>
        <w:numPr>
          <w:ilvl w:val="0"/>
          <w:numId w:val="0"/>
        </w:numPr>
        <w:ind w:left="993"/>
      </w:pPr>
      <w:r w:rsidRPr="00D85C65">
        <w:t>c)</w:t>
      </w:r>
      <w:r w:rsidRPr="00D85C65">
        <w:tab/>
        <w:t>subjekty verejného sektora [článok 112 písm. c) CRR];</w:t>
      </w:r>
    </w:p>
    <w:p w14:paraId="323BE37C" w14:textId="453F60FE" w:rsidR="00235D9D" w:rsidRPr="00D85C65" w:rsidRDefault="00125707">
      <w:pPr>
        <w:pStyle w:val="InstructionsText2"/>
        <w:numPr>
          <w:ilvl w:val="0"/>
          <w:numId w:val="0"/>
        </w:numPr>
        <w:ind w:left="993"/>
      </w:pPr>
      <w:r w:rsidRPr="00D85C65">
        <w:t>d)</w:t>
      </w:r>
      <w:r w:rsidRPr="00D85C65">
        <w:tab/>
        <w:t>inštitúcie [článok 112 písm. f) CRR];</w:t>
      </w:r>
    </w:p>
    <w:p w14:paraId="3E92CB10" w14:textId="5555DC0A" w:rsidR="00235D9D" w:rsidRPr="00D85C65" w:rsidRDefault="00125707">
      <w:pPr>
        <w:pStyle w:val="InstructionsText2"/>
        <w:numPr>
          <w:ilvl w:val="0"/>
          <w:numId w:val="0"/>
        </w:numPr>
        <w:ind w:left="993"/>
      </w:pPr>
      <w:r w:rsidRPr="00D85C65">
        <w:t>e)</w:t>
      </w:r>
      <w:r w:rsidRPr="00D85C65">
        <w:tab/>
        <w:t>podnikateľské subjekty [článok 112 písm. g) CRR];</w:t>
      </w:r>
    </w:p>
    <w:p w14:paraId="2084F570" w14:textId="1B99FF84" w:rsidR="00235D9D" w:rsidRPr="00D85C65" w:rsidRDefault="00125707">
      <w:pPr>
        <w:pStyle w:val="InstructionsText2"/>
        <w:numPr>
          <w:ilvl w:val="0"/>
          <w:numId w:val="0"/>
        </w:numPr>
        <w:ind w:left="993"/>
      </w:pPr>
      <w:r w:rsidRPr="00D85C65">
        <w:t>f)</w:t>
      </w:r>
      <w:r w:rsidRPr="00D85C65">
        <w:tab/>
        <w:t>retail [článok 112 písm. h) CRR].</w:t>
      </w:r>
    </w:p>
    <w:p w14:paraId="58F2CDE4" w14:textId="3E87937B" w:rsidR="00D85C65" w:rsidRDefault="00125707">
      <w:pPr>
        <w:pStyle w:val="InstructionsText2"/>
        <w:numPr>
          <w:ilvl w:val="0"/>
          <w:numId w:val="0"/>
        </w:numPr>
        <w:ind w:left="993"/>
      </w:pPr>
      <w:r w:rsidRPr="00D85C65">
        <w:t>55.</w:t>
      </w:r>
      <w:r w:rsidRPr="00D85C65">
        <w:tab/>
        <w:t>Vykazovanie doplňujúcich položiek neovplyvňuje ani výpočet hodnôt rizikovo vážených expozícií tried expozícií uvedených</w:t>
      </w:r>
      <w:r w:rsidR="00D85C65">
        <w:t xml:space="preserve"> v </w:t>
      </w:r>
      <w:r w:rsidRPr="00D85C65">
        <w:t>článku 112 písm. a) až c)</w:t>
      </w:r>
      <w:r w:rsidR="00D85C65">
        <w:t xml:space="preserve"> a </w:t>
      </w:r>
      <w:r w:rsidRPr="00D85C65">
        <w:t>písm. f) až h) CRR, ani tried expozícií uvedených</w:t>
      </w:r>
      <w:r w:rsidR="00D85C65">
        <w:t xml:space="preserve"> v </w:t>
      </w:r>
      <w:r w:rsidRPr="00D85C65">
        <w:t>článku 112 písm. i)</w:t>
      </w:r>
      <w:r w:rsidR="00D85C65">
        <w:t xml:space="preserve"> a </w:t>
      </w:r>
      <w:r w:rsidRPr="00D85C65">
        <w:t>j) CRR vykazovaných vo vzore CR SA</w:t>
      </w:r>
      <w:r w:rsidR="00D85C65">
        <w:t>.</w:t>
      </w:r>
    </w:p>
    <w:p w14:paraId="5405E871" w14:textId="75D168BD" w:rsidR="00235D9D" w:rsidRPr="00D85C65" w:rsidRDefault="00125707">
      <w:pPr>
        <w:pStyle w:val="InstructionsText2"/>
        <w:numPr>
          <w:ilvl w:val="0"/>
          <w:numId w:val="0"/>
        </w:numPr>
        <w:ind w:left="993"/>
      </w:pPr>
      <w:r w:rsidRPr="00D85C65">
        <w:lastRenderedPageBreak/>
        <w:t>56.</w:t>
      </w:r>
      <w:r w:rsidRPr="00D85C65">
        <w:tab/>
        <w:t>Doplňujúce riadky poskytujú ďalšie informácie</w:t>
      </w:r>
      <w:r w:rsidR="00D85C65">
        <w:t xml:space="preserve"> o </w:t>
      </w:r>
      <w:r w:rsidRPr="00D85C65">
        <w:t>štruktúre dlžníkov tried expozícií „v stave zlyhania“ alebo „zabezpečené nehnuteľným majetkom“.</w:t>
      </w:r>
      <w:r w:rsidR="00D85C65">
        <w:t xml:space="preserve"> V </w:t>
      </w:r>
      <w:r w:rsidRPr="00D85C65">
        <w:t>týchto riadkoch sa vykazujú expozície, ak by sa dlžníci vykázali</w:t>
      </w:r>
      <w:r w:rsidR="00D85C65">
        <w:t xml:space="preserve"> v </w:t>
      </w:r>
      <w:r w:rsidRPr="00D85C65">
        <w:t>triedach expozícií „ústredné vlády alebo centrálne banky“, „regionálne vlády alebo miestne orgány“, „subjekty verejného sektora“, „inštitúcie“, „podnikateľské subjekty“</w:t>
      </w:r>
      <w:r w:rsidR="00D85C65">
        <w:t xml:space="preserve"> a </w:t>
      </w:r>
      <w:r w:rsidRPr="00D85C65">
        <w:t>„retail“ vzoru CR SA, ak by sa tieto expozície nepridelili do tried expozícií „v stave zlyhania“ alebo „zabezpečené nehnuteľným majetkom“. Vykázané čísla sú však rovnaké ako tie, ktoré sa použili na výpočet hodnoty rizikovo vážených expozícií</w:t>
      </w:r>
      <w:r w:rsidR="00D85C65">
        <w:t xml:space="preserve"> v </w:t>
      </w:r>
      <w:r w:rsidRPr="00D85C65">
        <w:t>triedach expozícií „v stave zlyhania“ alebo „zabezpečené nehnuteľným majetkom“.</w:t>
      </w:r>
    </w:p>
    <w:p w14:paraId="01B323ED" w14:textId="542913C8" w:rsidR="00235D9D" w:rsidRPr="00D85C65" w:rsidRDefault="00125707">
      <w:pPr>
        <w:pStyle w:val="InstructionsText2"/>
        <w:numPr>
          <w:ilvl w:val="0"/>
          <w:numId w:val="0"/>
        </w:numPr>
        <w:ind w:left="993"/>
      </w:pPr>
      <w:r w:rsidRPr="00D85C65">
        <w:t>57.</w:t>
      </w:r>
      <w:r w:rsidRPr="00D85C65">
        <w:tab/>
        <w:t>Napríklad</w:t>
      </w:r>
      <w:r w:rsidR="00D85C65">
        <w:t xml:space="preserve"> v </w:t>
      </w:r>
      <w:r w:rsidRPr="00D85C65">
        <w:t>prípade expozície, ktorej hodnoty rizikovej expozície sa vypočítavajú podľa článku 127 CRR</w:t>
      </w:r>
      <w:r w:rsidR="00D85C65">
        <w:t xml:space="preserve"> a </w:t>
      </w:r>
      <w:r w:rsidRPr="00D85C65">
        <w:t>úpravy ocenenia sú menej než 20</w:t>
      </w:r>
      <w:r w:rsidR="00D85C65">
        <w:t> %</w:t>
      </w:r>
      <w:r w:rsidRPr="00D85C65">
        <w:t>, sa tieto informácie vykazujú vo vzore CR SA,</w:t>
      </w:r>
      <w:r w:rsidR="00D85C65">
        <w:t xml:space="preserve"> v </w:t>
      </w:r>
      <w:r w:rsidRPr="00D85C65">
        <w:t>riadku 320 celkovo</w:t>
      </w:r>
      <w:r w:rsidR="00D85C65">
        <w:t xml:space="preserve"> a v </w:t>
      </w:r>
      <w:r w:rsidRPr="00D85C65">
        <w:t>triede expozícií „v stave zlyhania“. Ak bola táto expozícia pred tým, ako sa dostala do stavu zlyhania, expozíciou voči inštitúcii, tieto informácie sa vykážu aj</w:t>
      </w:r>
      <w:r w:rsidR="00D85C65">
        <w:t xml:space="preserve"> v </w:t>
      </w:r>
      <w:r w:rsidRPr="00D85C65">
        <w:t>riadku 320 triedy expozícií „inštitúcie“.</w:t>
      </w:r>
    </w:p>
    <w:p w14:paraId="5075EBA7" w14:textId="0AB69987" w:rsidR="00235D9D" w:rsidRPr="00D85C65" w:rsidRDefault="00125707">
      <w:pPr>
        <w:pStyle w:val="Instructionsberschrift2"/>
        <w:numPr>
          <w:ilvl w:val="0"/>
          <w:numId w:val="0"/>
        </w:numPr>
        <w:ind w:left="357" w:hanging="357"/>
        <w:rPr>
          <w:rFonts w:ascii="Times New Roman" w:hAnsi="Times New Roman" w:cs="Times New Roman"/>
          <w:sz w:val="24"/>
        </w:rPr>
      </w:pPr>
      <w:bookmarkStart w:id="36" w:name="_Toc29994479"/>
      <w:r w:rsidRPr="00D85C65">
        <w:rPr>
          <w:rFonts w:ascii="Times New Roman" w:hAnsi="Times New Roman"/>
          <w:sz w:val="24"/>
          <w:u w:val="none"/>
        </w:rPr>
        <w:t>3.2.3.</w:t>
      </w:r>
      <w:r w:rsidRPr="00D85C65">
        <w:rPr>
          <w:rFonts w:ascii="Times New Roman" w:hAnsi="Times New Roman"/>
          <w:sz w:val="24"/>
          <w:u w:val="none"/>
        </w:rPr>
        <w:tab/>
      </w:r>
      <w:r w:rsidRPr="00D85C65">
        <w:rPr>
          <w:rFonts w:ascii="Times New Roman" w:hAnsi="Times New Roman"/>
          <w:sz w:val="24"/>
        </w:rPr>
        <w:t xml:space="preserve"> Zaradenie expozícií do tried expozícií</w:t>
      </w:r>
      <w:r w:rsidR="00D85C65">
        <w:rPr>
          <w:rFonts w:ascii="Times New Roman" w:hAnsi="Times New Roman"/>
          <w:sz w:val="24"/>
        </w:rPr>
        <w:t xml:space="preserve"> v </w:t>
      </w:r>
      <w:r w:rsidRPr="00D85C65">
        <w:rPr>
          <w:rFonts w:ascii="Times New Roman" w:hAnsi="Times New Roman"/>
          <w:sz w:val="24"/>
        </w:rPr>
        <w:t>rámci štandardizovaného prístupu</w:t>
      </w:r>
      <w:bookmarkEnd w:id="36"/>
    </w:p>
    <w:p w14:paraId="42A660EA" w14:textId="72E4C543" w:rsidR="00D85C65" w:rsidRDefault="00125707">
      <w:pPr>
        <w:pStyle w:val="InstructionsText2"/>
        <w:numPr>
          <w:ilvl w:val="0"/>
          <w:numId w:val="0"/>
        </w:numPr>
        <w:ind w:left="993"/>
      </w:pPr>
      <w:r w:rsidRPr="00D85C65">
        <w:t>58.</w:t>
      </w:r>
      <w:r w:rsidRPr="00D85C65">
        <w:tab/>
        <w:t>S cieľom zabezpečiť konzistentnú kategorizáciu expozícií do jednotlivých tried expozícií uvedených</w:t>
      </w:r>
      <w:r w:rsidR="00D85C65">
        <w:t xml:space="preserve"> v </w:t>
      </w:r>
      <w:r w:rsidRPr="00D85C65">
        <w:t>článku 112 CRR sa uplatňuje tento postupný prístup</w:t>
      </w:r>
      <w:r w:rsidR="00D85C65">
        <w:t>:</w:t>
      </w:r>
    </w:p>
    <w:p w14:paraId="25825A90" w14:textId="6FA527F0" w:rsidR="00235D9D" w:rsidRPr="00D85C65" w:rsidRDefault="00125707">
      <w:pPr>
        <w:pStyle w:val="InstructionsText2"/>
        <w:numPr>
          <w:ilvl w:val="0"/>
          <w:numId w:val="0"/>
        </w:numPr>
        <w:ind w:left="993"/>
      </w:pPr>
      <w:r w:rsidRPr="00D85C65">
        <w:t>a)</w:t>
      </w:r>
      <w:r w:rsidRPr="00D85C65">
        <w:tab/>
        <w:t>v prvom kroku sa pôvodná expozícia pred uplatnením konverzných faktorov zaradí do príslušnej (pôvodnej) triedy expozícií podľa ustanovení článku 112 CRR bez toho, aby bolo dotknuté osobitné zaobchádzanie (riziková váha), ktorému podlieha každá osobitná expozícia</w:t>
      </w:r>
      <w:r w:rsidR="00D85C65">
        <w:t xml:space="preserve"> v </w:t>
      </w:r>
      <w:r w:rsidRPr="00D85C65">
        <w:t>rámci svojej triedy expozícií;</w:t>
      </w:r>
    </w:p>
    <w:p w14:paraId="14D8FCDD" w14:textId="343DB5C5" w:rsidR="00235D9D" w:rsidRPr="00D85C65" w:rsidRDefault="00125707">
      <w:pPr>
        <w:pStyle w:val="InstructionsText2"/>
        <w:numPr>
          <w:ilvl w:val="0"/>
          <w:numId w:val="0"/>
        </w:numPr>
        <w:ind w:left="993"/>
      </w:pPr>
      <w:r w:rsidRPr="00D85C65">
        <w:t>b)</w:t>
      </w:r>
      <w:r w:rsidRPr="00D85C65">
        <w:tab/>
        <w:t>v druhom kroku sa expozície môžu preradiť do iných tried expozícií na základe uplatnenia postupov na zmierňovanie kreditného rizika (CRM)</w:t>
      </w:r>
      <w:r w:rsidR="00D85C65">
        <w:t xml:space="preserve"> s </w:t>
      </w:r>
      <w:r w:rsidRPr="00D85C65">
        <w:t>účinkami substitúcie na expozíciu (napr. záruky, kreditné deriváty, jednoduchá metóda nakladania</w:t>
      </w:r>
      <w:r w:rsidR="00D85C65">
        <w:t xml:space="preserve"> s </w:t>
      </w:r>
      <w:r w:rsidRPr="00D85C65">
        <w:t>finančným kolaterálom) prostredníctvom kladných</w:t>
      </w:r>
      <w:r w:rsidR="00D85C65">
        <w:t xml:space="preserve"> a </w:t>
      </w:r>
      <w:r w:rsidRPr="00D85C65">
        <w:t>záporných tokov.</w:t>
      </w:r>
    </w:p>
    <w:p w14:paraId="636966C0" w14:textId="6BE177DE" w:rsidR="00235D9D" w:rsidRPr="00D85C65" w:rsidRDefault="00125707">
      <w:pPr>
        <w:pStyle w:val="InstructionsText2"/>
        <w:numPr>
          <w:ilvl w:val="0"/>
          <w:numId w:val="0"/>
        </w:numPr>
        <w:ind w:left="993"/>
      </w:pPr>
      <w:r w:rsidRPr="00D85C65">
        <w:t>59.</w:t>
      </w:r>
      <w:r w:rsidRPr="00D85C65">
        <w:tab/>
        <w:t>Na zaradenie pôvodnej expozície pred uplatnením konverzných faktorov do jednotlivých tried expozícií (prvý krok) sa uplatňujú nasledujúce kritériá bez toho, aby bolo dotknuté následné preradenie zapríčinené použitím postupov na zmierňovanie kreditného rizika</w:t>
      </w:r>
      <w:r w:rsidR="00D85C65">
        <w:t xml:space="preserve"> s </w:t>
      </w:r>
      <w:r w:rsidRPr="00D85C65">
        <w:t>účinkami substitúcie na expozíciu alebo zaobchádzanie (riziková váha), ktorému podlieha každá expozícia</w:t>
      </w:r>
      <w:r w:rsidR="00D85C65">
        <w:t xml:space="preserve"> v </w:t>
      </w:r>
      <w:r w:rsidRPr="00D85C65">
        <w:t>rámci svojej triedy expozície.</w:t>
      </w:r>
    </w:p>
    <w:p w14:paraId="5D97C3FE" w14:textId="57E4CA08" w:rsidR="00235D9D" w:rsidRPr="00D85C65" w:rsidRDefault="00125707">
      <w:pPr>
        <w:pStyle w:val="InstructionsText2"/>
        <w:numPr>
          <w:ilvl w:val="0"/>
          <w:numId w:val="0"/>
        </w:numPr>
        <w:ind w:left="993"/>
      </w:pPr>
      <w:r w:rsidRPr="00D85C65">
        <w:t>60.</w:t>
      </w:r>
      <w:r w:rsidRPr="00D85C65">
        <w:tab/>
        <w:t>Na účely klasifikácie pôvodnej expozície pred uplatnením konverzných faktorov</w:t>
      </w:r>
      <w:r w:rsidR="00D85C65">
        <w:t xml:space="preserve"> v </w:t>
      </w:r>
      <w:r w:rsidRPr="00D85C65">
        <w:t>prvom kroku sa nezohľadňujú postupy na zmierňovanie kreditného rizika súvisiace</w:t>
      </w:r>
      <w:r w:rsidR="00D85C65">
        <w:t xml:space="preserve"> s </w:t>
      </w:r>
      <w:r w:rsidRPr="00D85C65">
        <w:t>expozíciou (v druhej fáze sa explicitne zohľadnia), pokiaľ nie je účinok zabezpečenia prirodzenou súčasťou vymedzenia triedy expozície, ako to je</w:t>
      </w:r>
      <w:r w:rsidR="00D85C65">
        <w:t xml:space="preserve"> v </w:t>
      </w:r>
      <w:r w:rsidRPr="00D85C65">
        <w:t>prípade triedy expozícií uvedenej</w:t>
      </w:r>
      <w:r w:rsidR="00D85C65">
        <w:t xml:space="preserve"> v </w:t>
      </w:r>
      <w:r w:rsidRPr="00D85C65">
        <w:t>článku 112 písm. i) CRR (expozície zabezpečené hypotékami na nehnuteľný majetok).</w:t>
      </w:r>
    </w:p>
    <w:p w14:paraId="2246C4DC" w14:textId="349D9071" w:rsidR="00235D9D" w:rsidRPr="00D85C65" w:rsidRDefault="00125707">
      <w:pPr>
        <w:pStyle w:val="InstructionsText2"/>
        <w:numPr>
          <w:ilvl w:val="0"/>
          <w:numId w:val="0"/>
        </w:numPr>
        <w:ind w:left="993"/>
      </w:pPr>
      <w:r w:rsidRPr="00D85C65">
        <w:t>61.</w:t>
      </w:r>
      <w:r w:rsidRPr="00D85C65">
        <w:tab/>
        <w:t>V článku 112 CRR sa nestanovujú kritériá na vylúčenie</w:t>
      </w:r>
      <w:r w:rsidR="00D85C65">
        <w:t xml:space="preserve"> z </w:t>
      </w:r>
      <w:r w:rsidRPr="00D85C65">
        <w:t>expozičných tried.</w:t>
      </w:r>
      <w:r w:rsidR="00D85C65">
        <w:t xml:space="preserve"> V </w:t>
      </w:r>
      <w:r w:rsidRPr="00D85C65">
        <w:t>dôsledku toho môže byť jedna expozícia potenciálne zaradená do rôznych tried expozícií, keď nie je stanovená prioritizácia hodnotiacich kritérií na zaraďovanie. Najzjavnejší je prípad expozícií voči inštitúciám</w:t>
      </w:r>
      <w:r w:rsidR="00D85C65">
        <w:t xml:space="preserve"> a </w:t>
      </w:r>
      <w:r w:rsidRPr="00D85C65">
        <w:t>podnikateľským subjektom</w:t>
      </w:r>
      <w:r w:rsidR="00D85C65">
        <w:t xml:space="preserve"> s </w:t>
      </w:r>
      <w:r w:rsidRPr="00D85C65">
        <w:t>krátkodobým ratingovým hodnotením [článok 112 písm. n) CRR]</w:t>
      </w:r>
      <w:r w:rsidR="00D85C65">
        <w:t xml:space="preserve"> a </w:t>
      </w:r>
      <w:r w:rsidRPr="00D85C65">
        <w:t xml:space="preserve">expozícií voči </w:t>
      </w:r>
      <w:r w:rsidRPr="00D85C65">
        <w:lastRenderedPageBreak/>
        <w:t>inštitúciám [článok 112 písm. f) CRR]/expozícií voči podnikateľským subjektom [článok 112 písm. g) CRR].</w:t>
      </w:r>
      <w:r w:rsidR="00D85C65">
        <w:t xml:space="preserve"> V </w:t>
      </w:r>
      <w:r w:rsidRPr="00D85C65">
        <w:t>takom prípade je jasné, že</w:t>
      </w:r>
      <w:r w:rsidR="00D85C65">
        <w:t xml:space="preserve"> v </w:t>
      </w:r>
      <w:r w:rsidRPr="00D85C65">
        <w:t>CRR je implicitná prioritizácia, keďže sa hodnotí najprv to, či sa určitá expozícia môže zaradiť do krátkodobých expozícií voči inštitúciám</w:t>
      </w:r>
      <w:r w:rsidR="00D85C65">
        <w:t xml:space="preserve"> a </w:t>
      </w:r>
      <w:r w:rsidRPr="00D85C65">
        <w:t>podnikateľským subjektom,</w:t>
      </w:r>
      <w:r w:rsidR="00D85C65">
        <w:t xml:space="preserve"> a </w:t>
      </w:r>
      <w:r w:rsidRPr="00D85C65">
        <w:t>až potom sa hodnotí to, či sa môže zaradiť medzi expozície voči inštitúciám alebo expozície voči podnikateľským subjektom. Inak je zrejmé, že do triedy expozícií uvedenej</w:t>
      </w:r>
      <w:r w:rsidR="00D85C65">
        <w:t xml:space="preserve"> v </w:t>
      </w:r>
      <w:r w:rsidRPr="00D85C65">
        <w:t>článku 112 písm. n) CRR nebude nikdy zaradená žiadna expozícia. Uvedený príklad je jedným</w:t>
      </w:r>
      <w:r w:rsidR="00D85C65">
        <w:t xml:space="preserve"> z </w:t>
      </w:r>
      <w:r w:rsidRPr="00D85C65">
        <w:t>najzrejmejších príkladov, ale nie je jediný. Treba poznamenať, že kritériá používané na stanovenie tried expozícií</w:t>
      </w:r>
      <w:r w:rsidR="00D85C65">
        <w:t xml:space="preserve"> v </w:t>
      </w:r>
      <w:r w:rsidRPr="00D85C65">
        <w:t>rámci štandardizovaného prístupu sú rôzne (inštitucionálna kategorizácia, trvanie expozície, stav po splatnosti atď.), čo je dôvodom nevylučujúcich sa zoskupení.</w:t>
      </w:r>
    </w:p>
    <w:p w14:paraId="0FFB00BE" w14:textId="1A5AB5F6" w:rsidR="00235D9D" w:rsidRPr="00D85C65" w:rsidRDefault="00125707">
      <w:pPr>
        <w:pStyle w:val="InstructionsText2"/>
        <w:numPr>
          <w:ilvl w:val="0"/>
          <w:numId w:val="0"/>
        </w:numPr>
        <w:ind w:left="993"/>
      </w:pPr>
      <w:r w:rsidRPr="00D85C65">
        <w:t>62.</w:t>
      </w:r>
      <w:r w:rsidRPr="00D85C65">
        <w:tab/>
        <w:t>Na homogénne</w:t>
      </w:r>
      <w:r w:rsidR="00D85C65">
        <w:t xml:space="preserve"> a </w:t>
      </w:r>
      <w:r w:rsidRPr="00D85C65">
        <w:t>porovnateľné vykazovanie je potrebné určiť prioritizačné hodnotiace kritériá na zaradenie pôvodnej expozície pred uplatnením konverzného faktora do tried expozícií bez toho, aby bolo dotknuté osobitné zaobchádzanie (riziková váha), ktorému podlieha každá osobitná expozícia</w:t>
      </w:r>
      <w:r w:rsidR="00D85C65">
        <w:t xml:space="preserve"> v </w:t>
      </w:r>
      <w:r w:rsidRPr="00D85C65">
        <w:t>rámci svojej triedy expozícií. Prioritizačné kritériá prezentované nižšie prostredníctvom schémy rozhodovania sú založené na hodnotení podmienok, ktoré sa výslovne stanovujú</w:t>
      </w:r>
      <w:r w:rsidR="00D85C65">
        <w:t xml:space="preserve"> v </w:t>
      </w:r>
      <w:r w:rsidRPr="00D85C65">
        <w:t>CRR na zaradenie expozície do určitej triedy expozícií,</w:t>
      </w:r>
      <w:r w:rsidR="00D85C65">
        <w:t xml:space="preserve"> a </w:t>
      </w:r>
      <w:r w:rsidRPr="00D85C65">
        <w:t>keď sa expozícia môže zaradiť do určitej triedy expozícií, na rozhodnutí zo strany vykazujúcich inštitúcií alebo orgánu dohľadu</w:t>
      </w:r>
      <w:r w:rsidR="00D85C65">
        <w:t xml:space="preserve"> o </w:t>
      </w:r>
      <w:r w:rsidRPr="00D85C65">
        <w:t>uplatňovaní určitých tried expozícií. Výsledok postupu zaradenia expozície na účely vykazovania preto musí byť</w:t>
      </w:r>
      <w:r w:rsidR="00D85C65">
        <w:t xml:space="preserve"> v </w:t>
      </w:r>
      <w:r w:rsidRPr="00D85C65">
        <w:t>súlade</w:t>
      </w:r>
      <w:r w:rsidR="00D85C65">
        <w:t xml:space="preserve"> s </w:t>
      </w:r>
      <w:r w:rsidRPr="00D85C65">
        <w:t>ustanoveniami CRR. To inštitúciám nebráni používať iné vnútorné klasifikačné postupy, ktoré môžu byť aj</w:t>
      </w:r>
      <w:r w:rsidR="00D85C65">
        <w:t xml:space="preserve"> v </w:t>
      </w:r>
      <w:r w:rsidRPr="00D85C65">
        <w:t>súlade so všetkými príslušnými ustanoveniami CRR</w:t>
      </w:r>
      <w:r w:rsidR="00D85C65">
        <w:t xml:space="preserve"> a </w:t>
      </w:r>
      <w:r w:rsidRPr="00D85C65">
        <w:t>ich výkladmi vydanými príslušnými fórami.</w:t>
      </w:r>
    </w:p>
    <w:p w14:paraId="2B58442E" w14:textId="08BF616C" w:rsidR="00235D9D" w:rsidRPr="00D85C65" w:rsidRDefault="00125707">
      <w:pPr>
        <w:pStyle w:val="InstructionsText2"/>
        <w:numPr>
          <w:ilvl w:val="0"/>
          <w:numId w:val="0"/>
        </w:numPr>
        <w:ind w:left="993"/>
      </w:pPr>
      <w:r w:rsidRPr="00D85C65">
        <w:t>63.</w:t>
      </w:r>
      <w:r w:rsidRPr="00D85C65">
        <w:tab/>
        <w:t>Trieda expozícií sa pri hodnotení</w:t>
      </w:r>
      <w:r w:rsidR="00D85C65">
        <w:t xml:space="preserve"> v </w:t>
      </w:r>
      <w:r w:rsidRPr="00D85C65">
        <w:t>schéme rozhodovania uprednostní pred ostatnými (t. j. najprv sa hodnotí, či sa do triedy expozícií môže expozícia zaradiť bez toho, aby bol dotknutý výsledok tohto hodnotenia), ak by sa do nej možno nezaradili žiadne expozície. Ide</w:t>
      </w:r>
      <w:r w:rsidR="00D85C65">
        <w:t xml:space="preserve"> o </w:t>
      </w:r>
      <w:r w:rsidRPr="00D85C65">
        <w:t>prípad, keď je jedna trieda expozícií</w:t>
      </w:r>
      <w:r w:rsidR="00D85C65">
        <w:t xml:space="preserve"> v </w:t>
      </w:r>
      <w:r w:rsidRPr="00D85C65">
        <w:t>prípade neexistencie prioritizačných kritérií podskupinou iných tried expozícií. Kritériá, ktoré sú graficky znázornené</w:t>
      </w:r>
      <w:r w:rsidR="00D85C65">
        <w:t xml:space="preserve"> v </w:t>
      </w:r>
      <w:r w:rsidRPr="00D85C65">
        <w:t>nasledujúcej schéme rozhodovania, preto majú fungovať postupne.</w:t>
      </w:r>
    </w:p>
    <w:p w14:paraId="743C534D" w14:textId="1EFC1A61" w:rsidR="00235D9D" w:rsidRPr="00D85C65" w:rsidRDefault="00125707">
      <w:pPr>
        <w:pStyle w:val="InstructionsText2"/>
        <w:numPr>
          <w:ilvl w:val="0"/>
          <w:numId w:val="0"/>
        </w:numPr>
        <w:ind w:left="993"/>
      </w:pPr>
      <w:r w:rsidRPr="00D85C65">
        <w:t>64.</w:t>
      </w:r>
      <w:r w:rsidRPr="00D85C65">
        <w:tab/>
        <w:t>Hodnotenie</w:t>
      </w:r>
      <w:r w:rsidR="00D85C65">
        <w:t xml:space="preserve"> v </w:t>
      </w:r>
      <w:r w:rsidRPr="00D85C65">
        <w:t>schéme rozhodovania uvedenej nižšie sa</w:t>
      </w:r>
      <w:r w:rsidR="00D85C65">
        <w:t xml:space="preserve"> v </w:t>
      </w:r>
      <w:r w:rsidRPr="00D85C65">
        <w:t>tomto kontexte riadi týmto poradím:</w:t>
      </w:r>
    </w:p>
    <w:p w14:paraId="4954B2D3" w14:textId="77777777" w:rsidR="00235D9D" w:rsidRPr="00D85C65" w:rsidRDefault="00464F34">
      <w:pPr>
        <w:pStyle w:val="InstructionsText"/>
        <w:ind w:left="1416"/>
      </w:pPr>
      <w:r w:rsidRPr="00D85C65">
        <w:t>1. sekuritizačné pozície;</w:t>
      </w:r>
    </w:p>
    <w:p w14:paraId="515D1A40" w14:textId="235696C7" w:rsidR="00235D9D" w:rsidRPr="00D85C65" w:rsidRDefault="00464F34">
      <w:pPr>
        <w:pStyle w:val="InstructionsText"/>
        <w:ind w:left="1416"/>
      </w:pPr>
      <w:r w:rsidRPr="00D85C65">
        <w:t>2. položky spojené</w:t>
      </w:r>
      <w:r w:rsidR="00D85C65">
        <w:t xml:space="preserve"> s </w:t>
      </w:r>
      <w:r w:rsidRPr="00D85C65">
        <w:t>mimoriadne vysokým stupňom rizika;</w:t>
      </w:r>
    </w:p>
    <w:p w14:paraId="7BC4DBAB" w14:textId="77777777" w:rsidR="00235D9D" w:rsidRPr="00D85C65" w:rsidRDefault="00464F34">
      <w:pPr>
        <w:pStyle w:val="InstructionsText"/>
        <w:ind w:left="1416"/>
      </w:pPr>
      <w:r w:rsidRPr="00D85C65">
        <w:t>3. Kapitálové expozície</w:t>
      </w:r>
    </w:p>
    <w:p w14:paraId="4A2C27D5" w14:textId="59C0E103" w:rsidR="00235D9D" w:rsidRPr="00D85C65" w:rsidRDefault="00464F34">
      <w:pPr>
        <w:pStyle w:val="InstructionsText"/>
        <w:ind w:left="1416"/>
      </w:pPr>
      <w:r w:rsidRPr="00D85C65">
        <w:t>4. expozície</w:t>
      </w:r>
      <w:r w:rsidR="00D85C65">
        <w:t xml:space="preserve"> v </w:t>
      </w:r>
      <w:r w:rsidRPr="00D85C65">
        <w:t>stave zlyhania;</w:t>
      </w:r>
    </w:p>
    <w:p w14:paraId="1B00E1D6" w14:textId="265EFB30" w:rsidR="00235D9D" w:rsidRPr="00D85C65" w:rsidRDefault="00464F34">
      <w:pPr>
        <w:pStyle w:val="InstructionsText"/>
        <w:ind w:left="1416"/>
      </w:pPr>
      <w:r w:rsidRPr="00D85C65">
        <w:t>5. expozície vo forme jednotiek alebo podielov</w:t>
      </w:r>
      <w:r w:rsidR="00D85C65">
        <w:t xml:space="preserve"> v </w:t>
      </w:r>
      <w:r w:rsidRPr="00D85C65">
        <w:t>podnikoch kolektívneho investovania (PKI)/expozície vo forme krytých dlhopisov (vylučujúce sa triedy expozícií);</w:t>
      </w:r>
    </w:p>
    <w:p w14:paraId="0BE47EDA" w14:textId="77777777" w:rsidR="00235D9D" w:rsidRPr="00D85C65" w:rsidRDefault="00464F34">
      <w:pPr>
        <w:pStyle w:val="InstructionsText"/>
        <w:ind w:left="1416"/>
      </w:pPr>
      <w:r w:rsidRPr="00D85C65">
        <w:t>6. expozície zabezpečené hypotékami na nehnuteľný majetok;</w:t>
      </w:r>
    </w:p>
    <w:p w14:paraId="57E315D6" w14:textId="77777777" w:rsidR="00235D9D" w:rsidRPr="00D85C65" w:rsidRDefault="00464F34">
      <w:pPr>
        <w:pStyle w:val="InstructionsText"/>
        <w:ind w:left="1416"/>
      </w:pPr>
      <w:r w:rsidRPr="00D85C65">
        <w:t>7. iné položky;</w:t>
      </w:r>
    </w:p>
    <w:p w14:paraId="3DC985C3" w14:textId="0CA98EA9" w:rsidR="00235D9D" w:rsidRPr="00D85C65" w:rsidRDefault="00464F34">
      <w:pPr>
        <w:pStyle w:val="InstructionsText"/>
        <w:ind w:left="1416"/>
      </w:pPr>
      <w:r w:rsidRPr="00D85C65">
        <w:t>8. expozície voči inštitúciám</w:t>
      </w:r>
      <w:r w:rsidR="00D85C65">
        <w:t xml:space="preserve"> a </w:t>
      </w:r>
      <w:r w:rsidRPr="00D85C65">
        <w:t>podnikateľským subjektom</w:t>
      </w:r>
      <w:r w:rsidR="00D85C65">
        <w:t xml:space="preserve"> s </w:t>
      </w:r>
      <w:r w:rsidRPr="00D85C65">
        <w:t>krátkodobým ratingovým hodnotením;</w:t>
      </w:r>
    </w:p>
    <w:p w14:paraId="771D6D91" w14:textId="2D99AB88" w:rsidR="00235D9D" w:rsidRPr="00D85C65" w:rsidRDefault="00464F34">
      <w:pPr>
        <w:pStyle w:val="InstructionsText"/>
        <w:ind w:left="1416"/>
      </w:pPr>
      <w:r w:rsidRPr="00D85C65">
        <w:lastRenderedPageBreak/>
        <w:t>9. všetky ostatné triedy expozícií (vylučujúce sa triedy expozícií), ktoré zahŕňajú expozície voči ústredným vládam alebo centrálnym bankám; expozície voči regionálnym vládam alebo miestnym orgánom; expozície voči subjektom verejného sektora; expozície voči multilaterálnym rozvojovým bankám; expozície voči medzinárodným organizáciám; expozície voči inštitúciám; expozície voči podnikateľským subjektom</w:t>
      </w:r>
      <w:r w:rsidR="00D85C65">
        <w:t xml:space="preserve"> a </w:t>
      </w:r>
      <w:r w:rsidRPr="00D85C65">
        <w:t>retailové expozície.</w:t>
      </w:r>
    </w:p>
    <w:p w14:paraId="3F014AD0" w14:textId="6E656089" w:rsidR="00235D9D" w:rsidRPr="00D85C65" w:rsidRDefault="00125707">
      <w:pPr>
        <w:pStyle w:val="InstructionsText2"/>
        <w:numPr>
          <w:ilvl w:val="0"/>
          <w:numId w:val="0"/>
        </w:numPr>
        <w:ind w:left="993"/>
      </w:pPr>
      <w:r w:rsidRPr="00D85C65">
        <w:t>65.</w:t>
      </w:r>
      <w:r w:rsidRPr="00D85C65">
        <w:tab/>
        <w:t>V prípade expozícií vo forme jednotiek alebo podielov</w:t>
      </w:r>
      <w:r w:rsidR="00D85C65">
        <w:t xml:space="preserve"> v </w:t>
      </w:r>
      <w:r w:rsidRPr="00D85C65">
        <w:t>podnikoch kolektívneho investovania</w:t>
      </w:r>
      <w:r w:rsidR="00D85C65">
        <w:t xml:space="preserve"> a </w:t>
      </w:r>
      <w:r w:rsidRPr="00D85C65">
        <w:t>keď sa používa prístup prezretia podkladových expozícií (článok 132 ods. 3, 4</w:t>
      </w:r>
      <w:r w:rsidR="00D85C65">
        <w:t xml:space="preserve"> a </w:t>
      </w:r>
      <w:r w:rsidRPr="00D85C65">
        <w:t>5 CRR), jednotlivé podkladové expozície sa posúdia</w:t>
      </w:r>
      <w:r w:rsidR="00D85C65">
        <w:t xml:space="preserve"> a </w:t>
      </w:r>
      <w:r w:rsidRPr="00D85C65">
        <w:t>zaradia do svojej príslušnej rizikovej váhy podľa svojho zaobchádzania, ale všetky jednotlivé expozície sa zaradia do triedy expozícií vo forme jednotiek alebo podielov</w:t>
      </w:r>
      <w:r w:rsidR="00D85C65">
        <w:t xml:space="preserve"> v </w:t>
      </w:r>
      <w:r w:rsidRPr="00D85C65">
        <w:t>podnikoch kolektívneho investovania (PKI).</w:t>
      </w:r>
    </w:p>
    <w:p w14:paraId="01645412" w14:textId="64AC5028" w:rsidR="00D85C65" w:rsidRDefault="00125707">
      <w:pPr>
        <w:pStyle w:val="InstructionsText2"/>
        <w:numPr>
          <w:ilvl w:val="0"/>
          <w:numId w:val="0"/>
        </w:numPr>
        <w:ind w:left="993"/>
      </w:pPr>
      <w:r w:rsidRPr="00D85C65">
        <w:t>66.</w:t>
      </w:r>
      <w:r w:rsidRPr="00D85C65">
        <w:tab/>
        <w:t xml:space="preserve"> Kreditné deriváty pre n-té zlyhanie, ako je stanovené</w:t>
      </w:r>
      <w:r w:rsidR="00D85C65">
        <w:t xml:space="preserve"> v </w:t>
      </w:r>
      <w:r w:rsidRPr="00D85C65">
        <w:t>článku 134 ods. 6 CRR, pre ktoré existuje ratingové hodnotenie, sa klasifikujú priamo ako sekuritizačné pozície. Keď nie je</w:t>
      </w:r>
      <w:r w:rsidR="00D85C65">
        <w:t xml:space="preserve"> k </w:t>
      </w:r>
      <w:r w:rsidRPr="00D85C65">
        <w:t>dispozícii ich ratingové hodnotenie, zaradia sa do triedy expozícií „iné položky“.</w:t>
      </w:r>
      <w:r w:rsidR="00D85C65">
        <w:t xml:space="preserve"> V </w:t>
      </w:r>
      <w:r w:rsidRPr="00D85C65">
        <w:t>druhom spomínanom prípade sa nominálna hodnota zmluvy vykáže ako pôvodná expozícia pred uplatnením konverzných faktorov</w:t>
      </w:r>
      <w:r w:rsidR="00D85C65">
        <w:t xml:space="preserve"> v </w:t>
      </w:r>
      <w:r w:rsidRPr="00D85C65">
        <w:t>riadku pre „iné rizikové váhy“ (použitá riziková váha je váha určená súčtom uvedeným</w:t>
      </w:r>
      <w:r w:rsidR="00D85C65">
        <w:t xml:space="preserve"> v </w:t>
      </w:r>
      <w:r w:rsidRPr="00D85C65">
        <w:t>článku 134 ods. 6 CRR)</w:t>
      </w:r>
      <w:r w:rsidR="00D85C65">
        <w:t>.</w:t>
      </w:r>
    </w:p>
    <w:p w14:paraId="23693882" w14:textId="214611CA" w:rsidR="00235D9D" w:rsidRPr="00D85C65" w:rsidRDefault="00125707">
      <w:pPr>
        <w:pStyle w:val="InstructionsText2"/>
        <w:numPr>
          <w:ilvl w:val="0"/>
          <w:numId w:val="0"/>
        </w:numPr>
        <w:ind w:left="993"/>
      </w:pPr>
      <w:r w:rsidRPr="00D85C65">
        <w:t>67.</w:t>
      </w:r>
      <w:r w:rsidRPr="00D85C65">
        <w:tab/>
        <w:t>V druhom kroku sa expozície</w:t>
      </w:r>
      <w:r w:rsidR="00D85C65">
        <w:t xml:space="preserve"> v </w:t>
      </w:r>
      <w:r w:rsidRPr="00D85C65">
        <w:t>dôsledku postupov na zmierňovanie kreditného rizika</w:t>
      </w:r>
      <w:r w:rsidR="00D85C65">
        <w:t xml:space="preserve"> s </w:t>
      </w:r>
      <w:r w:rsidRPr="00D85C65">
        <w:t>účinkami substitúcie preradia do triedy expozícií poskytovateľa zabezpečenia.</w:t>
      </w:r>
    </w:p>
    <w:p w14:paraId="528BC54C" w14:textId="77777777" w:rsidR="00D85C65" w:rsidRDefault="00464F34">
      <w:pPr>
        <w:pStyle w:val="InstructionsText"/>
      </w:pPr>
      <w:r w:rsidRPr="00D85C65">
        <w:br w:type="page"/>
      </w:r>
      <w:r w:rsidRPr="00D85C65">
        <w:lastRenderedPageBreak/>
        <w:t>SCHÉMA ROZHODOVANIA PRE PRIRADENIE PÔVODNEJ EXPOZÍCIE PRED UPLATNENÍM KONVERZNÝCH FAKTOROV DO TRIED EXPOZÍCIÍ</w:t>
      </w:r>
      <w:r w:rsidR="00D85C65">
        <w:t xml:space="preserve"> V </w:t>
      </w:r>
      <w:r w:rsidRPr="00D85C65">
        <w:t>RÁMCI ŠTANDARDIZOVANÉHO PRÍSTUPU PODĽA CRR</w:t>
      </w:r>
    </w:p>
    <w:p w14:paraId="025C2526" w14:textId="01D13931" w:rsidR="00235D9D" w:rsidRPr="00D85C65" w:rsidRDefault="00235D9D">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9"/>
        <w:gridCol w:w="1390"/>
        <w:gridCol w:w="3980"/>
      </w:tblGrid>
      <w:tr w:rsidR="00235D9D" w:rsidRPr="00D85C65" w14:paraId="2A889189" w14:textId="77777777" w:rsidTr="00672D2A">
        <w:tc>
          <w:tcPr>
            <w:tcW w:w="3761" w:type="dxa"/>
            <w:shd w:val="clear" w:color="auto" w:fill="auto"/>
          </w:tcPr>
          <w:p w14:paraId="2409E75E" w14:textId="1F29BACB" w:rsidR="00235D9D" w:rsidRPr="00D85C65" w:rsidRDefault="003A1B96">
            <w:pPr>
              <w:spacing w:before="0" w:after="0"/>
              <w:jc w:val="left"/>
              <w:rPr>
                <w:sz w:val="24"/>
              </w:rPr>
            </w:pPr>
            <w:r w:rsidRPr="00D85C65">
              <w:rPr>
                <w:rFonts w:ascii="Times New Roman" w:hAnsi="Times New Roman"/>
                <w:sz w:val="24"/>
              </w:rPr>
              <w:t>Pôvodná expozícia pred konverznými faktormi</w:t>
            </w:r>
          </w:p>
        </w:tc>
        <w:tc>
          <w:tcPr>
            <w:tcW w:w="1417" w:type="dxa"/>
            <w:shd w:val="clear" w:color="auto" w:fill="auto"/>
          </w:tcPr>
          <w:p w14:paraId="2AFDBC59" w14:textId="77777777" w:rsidR="00235D9D" w:rsidRPr="00D85C65" w:rsidRDefault="00235D9D">
            <w:pPr>
              <w:pStyle w:val="InstructionsText"/>
            </w:pPr>
          </w:p>
        </w:tc>
        <w:tc>
          <w:tcPr>
            <w:tcW w:w="4077" w:type="dxa"/>
            <w:shd w:val="clear" w:color="auto" w:fill="auto"/>
          </w:tcPr>
          <w:p w14:paraId="632F597A" w14:textId="77777777" w:rsidR="00235D9D" w:rsidRPr="00D85C65" w:rsidRDefault="00235D9D">
            <w:pPr>
              <w:pStyle w:val="InstructionsText"/>
            </w:pPr>
          </w:p>
        </w:tc>
      </w:tr>
      <w:tr w:rsidR="00235D9D" w:rsidRPr="00D85C65" w14:paraId="68AE611A" w14:textId="77777777" w:rsidTr="00672D2A">
        <w:tc>
          <w:tcPr>
            <w:tcW w:w="3761" w:type="dxa"/>
            <w:shd w:val="clear" w:color="auto" w:fill="auto"/>
          </w:tcPr>
          <w:p w14:paraId="5444040B" w14:textId="1EEFC05C" w:rsidR="00235D9D" w:rsidRPr="00D85C65" w:rsidRDefault="00581FA5">
            <w:pPr>
              <w:pStyle w:val="InstructionsText"/>
            </w:pPr>
            <w:r w:rsidRPr="00D85C65">
              <w:t>Vyhovuje zaradeniu do triedy expozície podľa článku 112 písm. m) CRR?</w:t>
            </w:r>
          </w:p>
        </w:tc>
        <w:tc>
          <w:tcPr>
            <w:tcW w:w="1417" w:type="dxa"/>
            <w:shd w:val="clear" w:color="auto" w:fill="auto"/>
          </w:tcPr>
          <w:p w14:paraId="505BFA94"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235D9D" w:rsidRPr="00D85C65" w:rsidRDefault="00235D9D">
            <w:pPr>
              <w:pStyle w:val="InstructionsText"/>
            </w:pPr>
          </w:p>
        </w:tc>
        <w:tc>
          <w:tcPr>
            <w:tcW w:w="4077" w:type="dxa"/>
            <w:shd w:val="clear" w:color="auto" w:fill="auto"/>
          </w:tcPr>
          <w:p w14:paraId="3077380F" w14:textId="77777777" w:rsidR="00235D9D" w:rsidRPr="00D85C65" w:rsidRDefault="00581FA5">
            <w:pPr>
              <w:pStyle w:val="InstructionsText"/>
            </w:pPr>
            <w:r w:rsidRPr="00D85C65">
              <w:t>Sekuritizačné pozície</w:t>
            </w:r>
          </w:p>
        </w:tc>
      </w:tr>
      <w:tr w:rsidR="00235D9D" w:rsidRPr="00D85C65" w14:paraId="1610BAB9" w14:textId="77777777" w:rsidTr="00672D2A">
        <w:tc>
          <w:tcPr>
            <w:tcW w:w="3761" w:type="dxa"/>
            <w:shd w:val="clear" w:color="auto" w:fill="auto"/>
          </w:tcPr>
          <w:p w14:paraId="04D0117E" w14:textId="77777777" w:rsidR="00235D9D" w:rsidRPr="00D85C65" w:rsidRDefault="00581FA5">
            <w:pPr>
              <w:pStyle w:val="InstructionsText"/>
            </w:pPr>
            <w:r w:rsidRPr="00D85C65">
              <w:t xml:space="preserve">NIE </w:t>
            </w:r>
            <w:r w:rsidRPr="00D85C65">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235D9D" w:rsidRPr="00D85C65" w:rsidRDefault="00235D9D">
            <w:pPr>
              <w:pStyle w:val="InstructionsText"/>
            </w:pPr>
          </w:p>
        </w:tc>
        <w:tc>
          <w:tcPr>
            <w:tcW w:w="1417" w:type="dxa"/>
            <w:shd w:val="clear" w:color="auto" w:fill="auto"/>
          </w:tcPr>
          <w:p w14:paraId="39B19640" w14:textId="77777777" w:rsidR="00235D9D" w:rsidRPr="00D85C65" w:rsidRDefault="00235D9D">
            <w:pPr>
              <w:pStyle w:val="InstructionsText"/>
            </w:pPr>
          </w:p>
        </w:tc>
        <w:tc>
          <w:tcPr>
            <w:tcW w:w="4077" w:type="dxa"/>
            <w:shd w:val="clear" w:color="auto" w:fill="auto"/>
          </w:tcPr>
          <w:p w14:paraId="6CDDDA68" w14:textId="77777777" w:rsidR="00235D9D" w:rsidRPr="00D85C65" w:rsidRDefault="00235D9D">
            <w:pPr>
              <w:pStyle w:val="InstructionsText"/>
            </w:pPr>
          </w:p>
        </w:tc>
      </w:tr>
      <w:tr w:rsidR="00235D9D" w:rsidRPr="00D85C65" w14:paraId="11996439" w14:textId="77777777" w:rsidTr="00672D2A">
        <w:tc>
          <w:tcPr>
            <w:tcW w:w="3761" w:type="dxa"/>
            <w:shd w:val="clear" w:color="auto" w:fill="auto"/>
          </w:tcPr>
          <w:p w14:paraId="1AD81743" w14:textId="6EB34F41" w:rsidR="00235D9D" w:rsidRPr="00D85C65" w:rsidRDefault="003A1B96">
            <w:pPr>
              <w:pStyle w:val="InstructionsText"/>
            </w:pPr>
            <w:r w:rsidRPr="00D85C65">
              <w:t>Vyhovuje zaradeniu do triedy expozície podľa článku 112 písm. k) CRR?</w:t>
            </w:r>
          </w:p>
        </w:tc>
        <w:tc>
          <w:tcPr>
            <w:tcW w:w="1417" w:type="dxa"/>
            <w:shd w:val="clear" w:color="auto" w:fill="auto"/>
          </w:tcPr>
          <w:p w14:paraId="6F0126D3" w14:textId="77777777" w:rsidR="00235D9D" w:rsidRPr="00D85C65" w:rsidRDefault="00974E3F">
            <w:pPr>
              <w:pStyle w:val="InstructionsText"/>
            </w:pPr>
            <w:r w:rsidRPr="00D85C65">
              <w:t xml:space="preserve">ÁNO </w:t>
            </w:r>
            <w:r w:rsidRPr="00D85C65">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235D9D" w:rsidRPr="00D85C65" w:rsidRDefault="00235D9D">
            <w:pPr>
              <w:pStyle w:val="InstructionsText"/>
            </w:pPr>
          </w:p>
          <w:p w14:paraId="7361AF99" w14:textId="77777777" w:rsidR="00235D9D" w:rsidRPr="00D85C65" w:rsidRDefault="00235D9D">
            <w:pPr>
              <w:pStyle w:val="InstructionsText"/>
            </w:pPr>
          </w:p>
        </w:tc>
        <w:tc>
          <w:tcPr>
            <w:tcW w:w="4077" w:type="dxa"/>
            <w:shd w:val="clear" w:color="auto" w:fill="auto"/>
          </w:tcPr>
          <w:p w14:paraId="059A7579" w14:textId="76F97B76" w:rsidR="00235D9D" w:rsidRPr="00D85C65" w:rsidRDefault="003A1B96">
            <w:pPr>
              <w:pStyle w:val="InstructionsText"/>
            </w:pPr>
            <w:r w:rsidRPr="00D85C65">
              <w:t>Položky spojené</w:t>
            </w:r>
            <w:r w:rsidR="00D85C65">
              <w:t xml:space="preserve"> s </w:t>
            </w:r>
            <w:r w:rsidRPr="00D85C65">
              <w:t>mimoriadne vysokým rizikom (pozri aj článok 128 CRR)</w:t>
            </w:r>
          </w:p>
        </w:tc>
      </w:tr>
      <w:tr w:rsidR="00235D9D" w:rsidRPr="00D85C65" w14:paraId="3BBC948D" w14:textId="77777777" w:rsidTr="00672D2A">
        <w:tc>
          <w:tcPr>
            <w:tcW w:w="3761" w:type="dxa"/>
            <w:shd w:val="clear" w:color="auto" w:fill="auto"/>
          </w:tcPr>
          <w:p w14:paraId="44A69A33"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235D9D" w:rsidRPr="00D85C65" w:rsidRDefault="00235D9D">
            <w:pPr>
              <w:pStyle w:val="InstructionsText"/>
            </w:pPr>
          </w:p>
        </w:tc>
        <w:tc>
          <w:tcPr>
            <w:tcW w:w="1417" w:type="dxa"/>
            <w:shd w:val="clear" w:color="auto" w:fill="auto"/>
          </w:tcPr>
          <w:p w14:paraId="4A094914" w14:textId="77777777" w:rsidR="00235D9D" w:rsidRPr="00D85C65" w:rsidRDefault="00235D9D">
            <w:pPr>
              <w:pStyle w:val="InstructionsText"/>
            </w:pPr>
          </w:p>
        </w:tc>
        <w:tc>
          <w:tcPr>
            <w:tcW w:w="4077" w:type="dxa"/>
            <w:shd w:val="clear" w:color="auto" w:fill="auto"/>
          </w:tcPr>
          <w:p w14:paraId="61455436" w14:textId="77777777" w:rsidR="00235D9D" w:rsidRPr="00D85C65" w:rsidRDefault="00235D9D">
            <w:pPr>
              <w:pStyle w:val="InstructionsText"/>
            </w:pPr>
          </w:p>
        </w:tc>
      </w:tr>
      <w:tr w:rsidR="00235D9D" w:rsidRPr="00D85C65" w14:paraId="7963147E" w14:textId="77777777" w:rsidTr="00672D2A">
        <w:tc>
          <w:tcPr>
            <w:tcW w:w="3761" w:type="dxa"/>
            <w:shd w:val="clear" w:color="auto" w:fill="auto"/>
          </w:tcPr>
          <w:p w14:paraId="4C9BC581" w14:textId="0B8282C0" w:rsidR="00235D9D" w:rsidRPr="00D85C65" w:rsidRDefault="003A1B96">
            <w:pPr>
              <w:pStyle w:val="InstructionsText"/>
            </w:pPr>
            <w:r w:rsidRPr="00D85C65">
              <w:t>Vyhovuje zaradeniu do triedy expozície podľa článku 112 písm. p) CRR?</w:t>
            </w:r>
          </w:p>
        </w:tc>
        <w:tc>
          <w:tcPr>
            <w:tcW w:w="1417" w:type="dxa"/>
            <w:shd w:val="clear" w:color="auto" w:fill="auto"/>
          </w:tcPr>
          <w:p w14:paraId="0EF4CF5E"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235D9D" w:rsidRPr="00D85C65" w:rsidRDefault="00235D9D">
            <w:pPr>
              <w:pStyle w:val="InstructionsText"/>
            </w:pPr>
          </w:p>
        </w:tc>
        <w:tc>
          <w:tcPr>
            <w:tcW w:w="4077" w:type="dxa"/>
            <w:shd w:val="clear" w:color="auto" w:fill="auto"/>
          </w:tcPr>
          <w:p w14:paraId="584F6859" w14:textId="28DEBDB8" w:rsidR="00235D9D" w:rsidRPr="00D85C65" w:rsidRDefault="003A1B96">
            <w:pPr>
              <w:pStyle w:val="InstructionsText"/>
            </w:pPr>
            <w:r w:rsidRPr="00D85C65">
              <w:t>Kapitálové expozície (pozri aj článok 133 CRR).</w:t>
            </w:r>
          </w:p>
        </w:tc>
      </w:tr>
      <w:tr w:rsidR="00235D9D" w:rsidRPr="00D85C65" w14:paraId="2D22D061" w14:textId="77777777" w:rsidTr="00672D2A">
        <w:tc>
          <w:tcPr>
            <w:tcW w:w="3761" w:type="dxa"/>
            <w:shd w:val="clear" w:color="auto" w:fill="auto"/>
          </w:tcPr>
          <w:p w14:paraId="691610C5"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235D9D" w:rsidRPr="00D85C65" w:rsidRDefault="00235D9D">
            <w:pPr>
              <w:pStyle w:val="InstructionsText"/>
            </w:pPr>
          </w:p>
        </w:tc>
        <w:tc>
          <w:tcPr>
            <w:tcW w:w="1417" w:type="dxa"/>
            <w:shd w:val="clear" w:color="auto" w:fill="auto"/>
          </w:tcPr>
          <w:p w14:paraId="01F0E11C" w14:textId="77777777" w:rsidR="00235D9D" w:rsidRPr="00D85C65" w:rsidRDefault="00235D9D">
            <w:pPr>
              <w:pStyle w:val="InstructionsText"/>
            </w:pPr>
          </w:p>
        </w:tc>
        <w:tc>
          <w:tcPr>
            <w:tcW w:w="4077" w:type="dxa"/>
            <w:shd w:val="clear" w:color="auto" w:fill="auto"/>
          </w:tcPr>
          <w:p w14:paraId="10F8A01A" w14:textId="77777777" w:rsidR="00235D9D" w:rsidRPr="00D85C65" w:rsidRDefault="00235D9D">
            <w:pPr>
              <w:pStyle w:val="InstructionsText"/>
            </w:pPr>
          </w:p>
        </w:tc>
      </w:tr>
      <w:tr w:rsidR="00235D9D" w:rsidRPr="00D85C65" w14:paraId="3AA08B7D" w14:textId="77777777" w:rsidTr="00672D2A">
        <w:tc>
          <w:tcPr>
            <w:tcW w:w="3761" w:type="dxa"/>
            <w:shd w:val="clear" w:color="auto" w:fill="auto"/>
          </w:tcPr>
          <w:p w14:paraId="2BA0D5EF" w14:textId="0420F7A4" w:rsidR="00235D9D" w:rsidRPr="00D85C65" w:rsidRDefault="00581FA5">
            <w:pPr>
              <w:pStyle w:val="InstructionsText"/>
            </w:pPr>
            <w:r w:rsidRPr="00D85C65">
              <w:t>Vyhovuje zaradeniu do triedy expozície podľa článku 112 písm. j) CRR?</w:t>
            </w:r>
          </w:p>
        </w:tc>
        <w:tc>
          <w:tcPr>
            <w:tcW w:w="1417" w:type="dxa"/>
            <w:shd w:val="clear" w:color="auto" w:fill="auto"/>
          </w:tcPr>
          <w:p w14:paraId="543BEA3F"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235D9D" w:rsidRPr="00D85C65" w:rsidRDefault="00235D9D">
            <w:pPr>
              <w:pStyle w:val="InstructionsText"/>
            </w:pPr>
          </w:p>
        </w:tc>
        <w:tc>
          <w:tcPr>
            <w:tcW w:w="4077" w:type="dxa"/>
            <w:shd w:val="clear" w:color="auto" w:fill="auto"/>
          </w:tcPr>
          <w:p w14:paraId="34BFBC1E" w14:textId="6491B5F0" w:rsidR="00235D9D" w:rsidRPr="00D85C65" w:rsidRDefault="00581FA5">
            <w:pPr>
              <w:pStyle w:val="InstructionsText"/>
            </w:pPr>
            <w:r w:rsidRPr="00D85C65">
              <w:t>Expozície</w:t>
            </w:r>
            <w:r w:rsidR="00D85C65">
              <w:t xml:space="preserve"> v </w:t>
            </w:r>
            <w:r w:rsidRPr="00D85C65">
              <w:t>stave zlyhania</w:t>
            </w:r>
          </w:p>
        </w:tc>
      </w:tr>
      <w:tr w:rsidR="00235D9D" w:rsidRPr="00D85C65" w14:paraId="43E73082" w14:textId="77777777" w:rsidTr="00672D2A">
        <w:tc>
          <w:tcPr>
            <w:tcW w:w="3761" w:type="dxa"/>
            <w:shd w:val="clear" w:color="auto" w:fill="auto"/>
          </w:tcPr>
          <w:p w14:paraId="3C1403EA"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235D9D" w:rsidRPr="00D85C65" w:rsidRDefault="00235D9D">
            <w:pPr>
              <w:pStyle w:val="InstructionsText"/>
            </w:pPr>
          </w:p>
        </w:tc>
        <w:tc>
          <w:tcPr>
            <w:tcW w:w="1417" w:type="dxa"/>
            <w:shd w:val="clear" w:color="auto" w:fill="auto"/>
          </w:tcPr>
          <w:p w14:paraId="485586F6" w14:textId="77777777" w:rsidR="00235D9D" w:rsidRPr="00D85C65" w:rsidRDefault="00235D9D">
            <w:pPr>
              <w:pStyle w:val="InstructionsText"/>
            </w:pPr>
          </w:p>
        </w:tc>
        <w:tc>
          <w:tcPr>
            <w:tcW w:w="4077" w:type="dxa"/>
            <w:shd w:val="clear" w:color="auto" w:fill="auto"/>
          </w:tcPr>
          <w:p w14:paraId="142754A6" w14:textId="77777777" w:rsidR="00235D9D" w:rsidRPr="00D85C65" w:rsidRDefault="00235D9D">
            <w:pPr>
              <w:pStyle w:val="InstructionsText"/>
            </w:pPr>
          </w:p>
        </w:tc>
      </w:tr>
      <w:tr w:rsidR="00235D9D" w:rsidRPr="00D85C65" w14:paraId="58B72B53" w14:textId="77777777" w:rsidTr="00672D2A">
        <w:tc>
          <w:tcPr>
            <w:tcW w:w="3761" w:type="dxa"/>
            <w:shd w:val="clear" w:color="auto" w:fill="auto"/>
          </w:tcPr>
          <w:p w14:paraId="173CBAA7" w14:textId="136FE966" w:rsidR="00235D9D" w:rsidRPr="00D85C65" w:rsidRDefault="00581FA5">
            <w:pPr>
              <w:pStyle w:val="InstructionsText"/>
            </w:pPr>
            <w:r w:rsidRPr="00D85C65">
              <w:t>Vyhovuje zaradeniu do tried expozícií podľa článku 112 písm. l)</w:t>
            </w:r>
            <w:r w:rsidR="00D85C65">
              <w:t xml:space="preserve"> a </w:t>
            </w:r>
            <w:r w:rsidRPr="00D85C65">
              <w:t>o) CRR?</w:t>
            </w:r>
          </w:p>
        </w:tc>
        <w:tc>
          <w:tcPr>
            <w:tcW w:w="1417" w:type="dxa"/>
            <w:shd w:val="clear" w:color="auto" w:fill="auto"/>
          </w:tcPr>
          <w:p w14:paraId="0FD160D4"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235D9D" w:rsidRPr="00D85C65" w:rsidRDefault="00235D9D">
            <w:pPr>
              <w:pStyle w:val="InstructionsText"/>
            </w:pPr>
          </w:p>
        </w:tc>
        <w:tc>
          <w:tcPr>
            <w:tcW w:w="4077" w:type="dxa"/>
            <w:shd w:val="clear" w:color="auto" w:fill="auto"/>
          </w:tcPr>
          <w:p w14:paraId="32E5D0C0" w14:textId="4F8A2032" w:rsidR="00235D9D" w:rsidRPr="00D85C65" w:rsidRDefault="00581FA5">
            <w:pPr>
              <w:pStyle w:val="InstructionsText"/>
            </w:pPr>
            <w:r w:rsidRPr="00D85C65">
              <w:t>Expozície vo forme jednotiek alebo podielov</w:t>
            </w:r>
            <w:r w:rsidR="00D85C65">
              <w:t xml:space="preserve"> v </w:t>
            </w:r>
            <w:r w:rsidRPr="00D85C65">
              <w:t>podnikoch kolektívneho investovania (PKI)</w:t>
            </w:r>
          </w:p>
          <w:p w14:paraId="3586185D" w14:textId="5D15E81E" w:rsidR="00235D9D" w:rsidRPr="00D85C65" w:rsidRDefault="00581FA5">
            <w:pPr>
              <w:pStyle w:val="InstructionsText"/>
            </w:pPr>
            <w:r w:rsidRPr="00D85C65">
              <w:t>Expozície vo forme krytých dlhopisov (pozri aj článok 129 CRR)</w:t>
            </w:r>
          </w:p>
          <w:p w14:paraId="74616D9E" w14:textId="7440E0DD" w:rsidR="00235D9D" w:rsidRPr="00D85C65" w:rsidRDefault="00581FA5">
            <w:pPr>
              <w:pStyle w:val="InstructionsText"/>
            </w:pPr>
            <w:r w:rsidRPr="00D85C65">
              <w:t>Tieto dve triedy expozícií sa voči sebe vylučujú (pozri pripomienky</w:t>
            </w:r>
            <w:r w:rsidR="00D85C65">
              <w:t xml:space="preserve"> k </w:t>
            </w:r>
            <w:r w:rsidRPr="00D85C65">
              <w:t>postupu prezretia</w:t>
            </w:r>
            <w:r w:rsidR="00D85C65">
              <w:t xml:space="preserve"> v </w:t>
            </w:r>
            <w:r w:rsidRPr="00D85C65">
              <w:t>odpovedi vyššie). Zaradenie do jednej</w:t>
            </w:r>
            <w:r w:rsidR="00D85C65">
              <w:t xml:space="preserve"> z </w:t>
            </w:r>
            <w:r w:rsidRPr="00D85C65">
              <w:t>nich je preto jasné.</w:t>
            </w:r>
          </w:p>
        </w:tc>
      </w:tr>
      <w:tr w:rsidR="00235D9D" w:rsidRPr="00D85C65" w14:paraId="42C71F00" w14:textId="77777777" w:rsidTr="00672D2A">
        <w:tc>
          <w:tcPr>
            <w:tcW w:w="3761" w:type="dxa"/>
            <w:shd w:val="clear" w:color="auto" w:fill="auto"/>
          </w:tcPr>
          <w:p w14:paraId="060602C5" w14:textId="77777777" w:rsidR="00235D9D" w:rsidRPr="00D85C65" w:rsidRDefault="007241D3">
            <w:pPr>
              <w:pStyle w:val="InstructionsText"/>
            </w:pPr>
            <w:r w:rsidRPr="00D85C65">
              <w:lastRenderedPageBreak/>
              <w:t xml:space="preserve">NIE </w:t>
            </w:r>
            <w:r w:rsidRPr="00D85C65">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235D9D" w:rsidRPr="00D85C65" w:rsidRDefault="00235D9D">
            <w:pPr>
              <w:pStyle w:val="InstructionsText"/>
            </w:pPr>
          </w:p>
        </w:tc>
        <w:tc>
          <w:tcPr>
            <w:tcW w:w="1417" w:type="dxa"/>
            <w:shd w:val="clear" w:color="auto" w:fill="auto"/>
          </w:tcPr>
          <w:p w14:paraId="679C4CB1" w14:textId="77777777" w:rsidR="00235D9D" w:rsidRPr="00D85C65" w:rsidRDefault="00235D9D">
            <w:pPr>
              <w:pStyle w:val="InstructionsText"/>
            </w:pPr>
          </w:p>
        </w:tc>
        <w:tc>
          <w:tcPr>
            <w:tcW w:w="4077" w:type="dxa"/>
            <w:shd w:val="clear" w:color="auto" w:fill="auto"/>
          </w:tcPr>
          <w:p w14:paraId="7236FE4F" w14:textId="77777777" w:rsidR="00235D9D" w:rsidRPr="00D85C65" w:rsidRDefault="00235D9D">
            <w:pPr>
              <w:pStyle w:val="InstructionsText"/>
            </w:pPr>
          </w:p>
        </w:tc>
      </w:tr>
      <w:tr w:rsidR="00235D9D" w:rsidRPr="00D85C65" w14:paraId="034A5765" w14:textId="77777777" w:rsidTr="00672D2A">
        <w:tc>
          <w:tcPr>
            <w:tcW w:w="3761" w:type="dxa"/>
            <w:shd w:val="clear" w:color="auto" w:fill="auto"/>
          </w:tcPr>
          <w:p w14:paraId="6BFD180B" w14:textId="2C76BEB6" w:rsidR="00235D9D" w:rsidRPr="00D85C65" w:rsidRDefault="00581FA5">
            <w:pPr>
              <w:pStyle w:val="InstructionsText"/>
            </w:pPr>
            <w:r w:rsidRPr="00D85C65">
              <w:t>Vyhovuje zaradeniu do triedy expozície podľa článku 112 písm. i) CRR?</w:t>
            </w:r>
          </w:p>
        </w:tc>
        <w:tc>
          <w:tcPr>
            <w:tcW w:w="1417" w:type="dxa"/>
            <w:shd w:val="clear" w:color="auto" w:fill="auto"/>
          </w:tcPr>
          <w:p w14:paraId="67903E0D"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235D9D" w:rsidRPr="00D85C65" w:rsidRDefault="00235D9D">
            <w:pPr>
              <w:pStyle w:val="InstructionsText"/>
            </w:pPr>
          </w:p>
        </w:tc>
        <w:tc>
          <w:tcPr>
            <w:tcW w:w="4077" w:type="dxa"/>
            <w:shd w:val="clear" w:color="auto" w:fill="auto"/>
          </w:tcPr>
          <w:p w14:paraId="36CD7691" w14:textId="627F109A" w:rsidR="00235D9D" w:rsidRPr="00D85C65" w:rsidRDefault="00581FA5">
            <w:pPr>
              <w:pStyle w:val="InstructionsText"/>
            </w:pPr>
            <w:r w:rsidRPr="00D85C65">
              <w:t>Expozície zabezpečené hypotékami na nehnuteľný majetok (pozri aj článok 124 CRR)</w:t>
            </w:r>
          </w:p>
        </w:tc>
      </w:tr>
      <w:tr w:rsidR="00235D9D" w:rsidRPr="00D85C65" w14:paraId="4CF22974" w14:textId="77777777" w:rsidTr="00672D2A">
        <w:tc>
          <w:tcPr>
            <w:tcW w:w="3761" w:type="dxa"/>
            <w:shd w:val="clear" w:color="auto" w:fill="auto"/>
          </w:tcPr>
          <w:p w14:paraId="56077271"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235D9D" w:rsidRPr="00D85C65" w:rsidRDefault="00235D9D">
            <w:pPr>
              <w:pStyle w:val="InstructionsText"/>
            </w:pPr>
          </w:p>
        </w:tc>
        <w:tc>
          <w:tcPr>
            <w:tcW w:w="1417" w:type="dxa"/>
            <w:shd w:val="clear" w:color="auto" w:fill="auto"/>
          </w:tcPr>
          <w:p w14:paraId="78FB45C7" w14:textId="77777777" w:rsidR="00235D9D" w:rsidRPr="00D85C65" w:rsidRDefault="00235D9D">
            <w:pPr>
              <w:pStyle w:val="InstructionsText"/>
            </w:pPr>
          </w:p>
        </w:tc>
        <w:tc>
          <w:tcPr>
            <w:tcW w:w="4077" w:type="dxa"/>
            <w:shd w:val="clear" w:color="auto" w:fill="auto"/>
          </w:tcPr>
          <w:p w14:paraId="5AB0D542" w14:textId="77777777" w:rsidR="00235D9D" w:rsidRPr="00D85C65" w:rsidRDefault="00235D9D">
            <w:pPr>
              <w:pStyle w:val="InstructionsText"/>
            </w:pPr>
          </w:p>
        </w:tc>
      </w:tr>
      <w:tr w:rsidR="00235D9D" w:rsidRPr="00D85C65" w14:paraId="15A2E16C" w14:textId="77777777" w:rsidTr="00672D2A">
        <w:tc>
          <w:tcPr>
            <w:tcW w:w="3761" w:type="dxa"/>
            <w:shd w:val="clear" w:color="auto" w:fill="auto"/>
          </w:tcPr>
          <w:p w14:paraId="012D373D" w14:textId="3FACBE89" w:rsidR="00235D9D" w:rsidRPr="00D85C65" w:rsidRDefault="00581FA5">
            <w:pPr>
              <w:pStyle w:val="InstructionsText"/>
            </w:pPr>
            <w:r w:rsidRPr="00D85C65">
              <w:t>Vyhovuje zaradeniu do triedy expozície podľa článku 112 písm. q) CRR?</w:t>
            </w:r>
          </w:p>
        </w:tc>
        <w:tc>
          <w:tcPr>
            <w:tcW w:w="1417" w:type="dxa"/>
            <w:shd w:val="clear" w:color="auto" w:fill="auto"/>
          </w:tcPr>
          <w:p w14:paraId="3EACC872" w14:textId="77777777" w:rsidR="00235D9D" w:rsidRPr="00D85C65" w:rsidRDefault="00BD52C3">
            <w:pPr>
              <w:pStyle w:val="InstructionsText"/>
            </w:pPr>
            <w:r w:rsidRPr="00D85C65">
              <w:t xml:space="preserve">ÁNO </w:t>
            </w:r>
            <w:r w:rsidRPr="00D85C65">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235D9D" w:rsidRPr="00D85C65" w:rsidRDefault="00235D9D">
            <w:pPr>
              <w:pStyle w:val="InstructionsText"/>
            </w:pPr>
          </w:p>
        </w:tc>
        <w:tc>
          <w:tcPr>
            <w:tcW w:w="4077" w:type="dxa"/>
            <w:shd w:val="clear" w:color="auto" w:fill="auto"/>
          </w:tcPr>
          <w:p w14:paraId="643D1030" w14:textId="77777777" w:rsidR="00235D9D" w:rsidRPr="00D85C65" w:rsidRDefault="00581FA5">
            <w:pPr>
              <w:pStyle w:val="InstructionsText"/>
            </w:pPr>
            <w:r w:rsidRPr="00D85C65">
              <w:t>Ostatné položky</w:t>
            </w:r>
          </w:p>
        </w:tc>
      </w:tr>
      <w:tr w:rsidR="00235D9D" w:rsidRPr="00D85C65" w14:paraId="402C8810" w14:textId="77777777" w:rsidTr="00672D2A">
        <w:tc>
          <w:tcPr>
            <w:tcW w:w="3761" w:type="dxa"/>
            <w:shd w:val="clear" w:color="auto" w:fill="auto"/>
          </w:tcPr>
          <w:p w14:paraId="24AEB9DD"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235D9D" w:rsidRPr="00D85C65" w:rsidRDefault="00235D9D">
            <w:pPr>
              <w:pStyle w:val="InstructionsText"/>
            </w:pPr>
          </w:p>
        </w:tc>
        <w:tc>
          <w:tcPr>
            <w:tcW w:w="1417" w:type="dxa"/>
            <w:shd w:val="clear" w:color="auto" w:fill="auto"/>
          </w:tcPr>
          <w:p w14:paraId="1BA1AC9E" w14:textId="77777777" w:rsidR="00235D9D" w:rsidRPr="00D85C65" w:rsidRDefault="00235D9D">
            <w:pPr>
              <w:pStyle w:val="InstructionsText"/>
            </w:pPr>
          </w:p>
        </w:tc>
        <w:tc>
          <w:tcPr>
            <w:tcW w:w="4077" w:type="dxa"/>
            <w:shd w:val="clear" w:color="auto" w:fill="auto"/>
          </w:tcPr>
          <w:p w14:paraId="2467E0EC" w14:textId="77777777" w:rsidR="00235D9D" w:rsidRPr="00D85C65" w:rsidRDefault="00235D9D">
            <w:pPr>
              <w:pStyle w:val="InstructionsText"/>
            </w:pPr>
          </w:p>
        </w:tc>
      </w:tr>
      <w:tr w:rsidR="00235D9D" w:rsidRPr="00D85C65" w14:paraId="54310255" w14:textId="77777777" w:rsidTr="00672D2A">
        <w:tc>
          <w:tcPr>
            <w:tcW w:w="3761" w:type="dxa"/>
            <w:shd w:val="clear" w:color="auto" w:fill="auto"/>
          </w:tcPr>
          <w:p w14:paraId="076CAED9" w14:textId="61165865" w:rsidR="00235D9D" w:rsidRPr="00D85C65" w:rsidRDefault="00581FA5">
            <w:pPr>
              <w:pStyle w:val="InstructionsText"/>
            </w:pPr>
            <w:r w:rsidRPr="00D85C65">
              <w:t>Vyhovuje zaradeniu do triedy expozície podľa článku 112 písm. n) CRR?</w:t>
            </w:r>
          </w:p>
        </w:tc>
        <w:tc>
          <w:tcPr>
            <w:tcW w:w="1417" w:type="dxa"/>
            <w:shd w:val="clear" w:color="auto" w:fill="auto"/>
          </w:tcPr>
          <w:p w14:paraId="6F7C76EC" w14:textId="77777777" w:rsidR="00235D9D" w:rsidRPr="00D85C65" w:rsidRDefault="0063493E">
            <w:pPr>
              <w:pStyle w:val="InstructionsText"/>
            </w:pPr>
            <w:r w:rsidRPr="00D85C65">
              <w:t xml:space="preserve">ÁNO </w:t>
            </w:r>
            <w:r w:rsidRPr="00D85C65">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235D9D" w:rsidRPr="00D85C65" w:rsidRDefault="00235D9D">
            <w:pPr>
              <w:pStyle w:val="InstructionsText"/>
            </w:pPr>
          </w:p>
        </w:tc>
        <w:tc>
          <w:tcPr>
            <w:tcW w:w="4077" w:type="dxa"/>
            <w:shd w:val="clear" w:color="auto" w:fill="auto"/>
          </w:tcPr>
          <w:p w14:paraId="1D8A0D68" w14:textId="57F7E926" w:rsidR="00235D9D" w:rsidRPr="00D85C65" w:rsidRDefault="00581FA5">
            <w:pPr>
              <w:pStyle w:val="InstructionsText"/>
            </w:pPr>
            <w:r w:rsidRPr="00D85C65">
              <w:t>Expozície voči inštitúciám</w:t>
            </w:r>
            <w:r w:rsidR="00D85C65">
              <w:t xml:space="preserve"> a </w:t>
            </w:r>
            <w:r w:rsidRPr="00D85C65">
              <w:t>podnikateľským subjektom</w:t>
            </w:r>
            <w:r w:rsidR="00D85C65">
              <w:t xml:space="preserve"> s </w:t>
            </w:r>
            <w:r w:rsidRPr="00D85C65">
              <w:t>krátkodobým ratingovým hodnotením</w:t>
            </w:r>
          </w:p>
        </w:tc>
      </w:tr>
      <w:tr w:rsidR="00235D9D" w:rsidRPr="00D85C65" w14:paraId="3C329ACB" w14:textId="77777777" w:rsidTr="00672D2A">
        <w:tc>
          <w:tcPr>
            <w:tcW w:w="3761" w:type="dxa"/>
            <w:shd w:val="clear" w:color="auto" w:fill="auto"/>
          </w:tcPr>
          <w:p w14:paraId="77334F84" w14:textId="77777777" w:rsidR="00235D9D" w:rsidRPr="00D85C65" w:rsidRDefault="007241D3">
            <w:pPr>
              <w:pStyle w:val="InstructionsText"/>
            </w:pPr>
            <w:r w:rsidRPr="00D85C65">
              <w:t xml:space="preserve">NIE </w:t>
            </w:r>
            <w:r w:rsidRPr="00D85C65">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235D9D" w:rsidRPr="00D85C65" w:rsidRDefault="00235D9D">
            <w:pPr>
              <w:pStyle w:val="InstructionsText"/>
            </w:pPr>
          </w:p>
        </w:tc>
        <w:tc>
          <w:tcPr>
            <w:tcW w:w="1417" w:type="dxa"/>
            <w:shd w:val="clear" w:color="auto" w:fill="auto"/>
          </w:tcPr>
          <w:p w14:paraId="3C98273E" w14:textId="77777777" w:rsidR="00235D9D" w:rsidRPr="00D85C65" w:rsidRDefault="00235D9D">
            <w:pPr>
              <w:pStyle w:val="InstructionsText"/>
            </w:pPr>
          </w:p>
        </w:tc>
        <w:tc>
          <w:tcPr>
            <w:tcW w:w="4077" w:type="dxa"/>
            <w:shd w:val="clear" w:color="auto" w:fill="auto"/>
          </w:tcPr>
          <w:p w14:paraId="34264BB1" w14:textId="77777777" w:rsidR="00235D9D" w:rsidRPr="00D85C65" w:rsidRDefault="00235D9D">
            <w:pPr>
              <w:pStyle w:val="InstructionsText"/>
            </w:pPr>
          </w:p>
        </w:tc>
      </w:tr>
      <w:tr w:rsidR="00235D9D" w:rsidRPr="00D85C65" w14:paraId="4599AE10" w14:textId="77777777" w:rsidTr="00672D2A">
        <w:tc>
          <w:tcPr>
            <w:tcW w:w="9255" w:type="dxa"/>
            <w:gridSpan w:val="3"/>
            <w:shd w:val="clear" w:color="auto" w:fill="auto"/>
          </w:tcPr>
          <w:p w14:paraId="7C69413F" w14:textId="20F783E6" w:rsidR="00235D9D" w:rsidRPr="00D85C65" w:rsidRDefault="00581FA5">
            <w:pPr>
              <w:pStyle w:val="InstructionsText"/>
            </w:pPr>
            <w:r w:rsidRPr="00D85C65">
              <w:t>Nižšie uvedené triedy expozícií sa navzájom vylučujú. Zaradenie do jednej</w:t>
            </w:r>
            <w:r w:rsidR="00D85C65">
              <w:t xml:space="preserve"> z </w:t>
            </w:r>
            <w:r w:rsidRPr="00D85C65">
              <w:t>nich je preto jasné.</w:t>
            </w:r>
          </w:p>
          <w:p w14:paraId="6CF9167B" w14:textId="77777777" w:rsidR="00235D9D" w:rsidRPr="00D85C65" w:rsidRDefault="00581FA5">
            <w:pPr>
              <w:pStyle w:val="InstructionsText"/>
            </w:pPr>
            <w:r w:rsidRPr="00D85C65">
              <w:t>Expozície voči ústredným vládam alebo centrálnym bankám</w:t>
            </w:r>
          </w:p>
          <w:p w14:paraId="2AE04B9F" w14:textId="77777777" w:rsidR="00235D9D" w:rsidRPr="00D85C65" w:rsidRDefault="00581FA5">
            <w:pPr>
              <w:pStyle w:val="InstructionsText"/>
            </w:pPr>
            <w:r w:rsidRPr="00D85C65">
              <w:t>Expozície voči regionálnym vládam alebo miestnym orgánom</w:t>
            </w:r>
          </w:p>
          <w:p w14:paraId="79C1CBA1" w14:textId="77777777" w:rsidR="00235D9D" w:rsidRPr="00D85C65" w:rsidRDefault="00581FA5">
            <w:pPr>
              <w:pStyle w:val="InstructionsText"/>
            </w:pPr>
            <w:r w:rsidRPr="00D85C65">
              <w:t>Expozície voči subjektom verejného sektora</w:t>
            </w:r>
          </w:p>
          <w:p w14:paraId="1AADDA86" w14:textId="77777777" w:rsidR="00235D9D" w:rsidRPr="00D85C65" w:rsidRDefault="00581FA5">
            <w:pPr>
              <w:pStyle w:val="InstructionsText"/>
            </w:pPr>
            <w:r w:rsidRPr="00D85C65">
              <w:t>Expozície voči multilaterálnym rozvojovým bankám</w:t>
            </w:r>
          </w:p>
          <w:p w14:paraId="1AA5040C" w14:textId="77777777" w:rsidR="00235D9D" w:rsidRPr="00D85C65" w:rsidRDefault="00581FA5">
            <w:pPr>
              <w:pStyle w:val="InstructionsText"/>
            </w:pPr>
            <w:r w:rsidRPr="00D85C65">
              <w:t>Expozície voči medzinárodným organizáciám</w:t>
            </w:r>
          </w:p>
          <w:p w14:paraId="47991122" w14:textId="77777777" w:rsidR="00235D9D" w:rsidRPr="00D85C65" w:rsidRDefault="00581FA5">
            <w:pPr>
              <w:pStyle w:val="InstructionsText"/>
            </w:pPr>
            <w:r w:rsidRPr="00D85C65">
              <w:t>Expozície voči inštitúciám</w:t>
            </w:r>
          </w:p>
          <w:p w14:paraId="563317D9" w14:textId="77777777" w:rsidR="00235D9D" w:rsidRPr="00D85C65" w:rsidRDefault="00581FA5">
            <w:pPr>
              <w:pStyle w:val="InstructionsText"/>
            </w:pPr>
            <w:r w:rsidRPr="00D85C65">
              <w:t>Expozície voči podnikateľským subjektom</w:t>
            </w:r>
          </w:p>
          <w:p w14:paraId="0126B927" w14:textId="77777777" w:rsidR="00235D9D" w:rsidRPr="00D85C65" w:rsidRDefault="00581FA5">
            <w:pPr>
              <w:pStyle w:val="InstructionsText"/>
            </w:pPr>
            <w:r w:rsidRPr="00D85C65">
              <w:t>Retailové expozície</w:t>
            </w:r>
          </w:p>
        </w:tc>
      </w:tr>
    </w:tbl>
    <w:p w14:paraId="33B76BB0" w14:textId="77777777" w:rsidR="00235D9D" w:rsidRPr="00D85C65" w:rsidRDefault="00235D9D">
      <w:pPr>
        <w:pStyle w:val="InstructionsText"/>
      </w:pPr>
    </w:p>
    <w:p w14:paraId="1EAB1602" w14:textId="77777777" w:rsidR="00235D9D" w:rsidRPr="00D85C65" w:rsidRDefault="00235D9D">
      <w:pPr>
        <w:pStyle w:val="InstructionsText"/>
      </w:pPr>
    </w:p>
    <w:p w14:paraId="247800C0" w14:textId="77777777" w:rsidR="00235D9D" w:rsidRPr="00D85C65" w:rsidRDefault="0073242B">
      <w:pPr>
        <w:spacing w:before="0" w:after="0"/>
        <w:jc w:val="left"/>
        <w:rPr>
          <w:rFonts w:ascii="Times New Roman" w:hAnsi="Times New Roman"/>
          <w:bCs/>
          <w:sz w:val="24"/>
        </w:rPr>
      </w:pPr>
      <w:r w:rsidRPr="00D85C65">
        <w:rPr>
          <w:sz w:val="24"/>
        </w:rPr>
        <w:br w:type="page"/>
      </w:r>
    </w:p>
    <w:p w14:paraId="2AC19E2B" w14:textId="77777777" w:rsidR="00235D9D" w:rsidRPr="00D85C65" w:rsidRDefault="00235D9D">
      <w:pPr>
        <w:pStyle w:val="InstructionsText"/>
      </w:pPr>
    </w:p>
    <w:p w14:paraId="60DD97FC" w14:textId="5DACB1E8" w:rsidR="00235D9D" w:rsidRPr="00D85C65" w:rsidRDefault="00125707">
      <w:pPr>
        <w:pStyle w:val="Instructionsberschrift2"/>
        <w:numPr>
          <w:ilvl w:val="0"/>
          <w:numId w:val="0"/>
        </w:numPr>
        <w:ind w:left="357" w:hanging="357"/>
        <w:rPr>
          <w:rFonts w:ascii="Times New Roman" w:hAnsi="Times New Roman" w:cs="Times New Roman"/>
          <w:sz w:val="24"/>
        </w:rPr>
      </w:pPr>
      <w:bookmarkStart w:id="37" w:name="_Toc29994480"/>
      <w:r w:rsidRPr="00D85C65">
        <w:rPr>
          <w:rFonts w:ascii="Times New Roman" w:hAnsi="Times New Roman"/>
          <w:sz w:val="24"/>
          <w:u w:val="none"/>
        </w:rPr>
        <w:t>3.2.4.</w:t>
      </w:r>
      <w:r w:rsidRPr="00D85C65">
        <w:rPr>
          <w:rFonts w:ascii="Times New Roman" w:hAnsi="Times New Roman"/>
          <w:sz w:val="24"/>
          <w:u w:val="none"/>
        </w:rPr>
        <w:tab/>
      </w:r>
      <w:r w:rsidRPr="00D85C65">
        <w:rPr>
          <w:rFonts w:ascii="Times New Roman" w:hAnsi="Times New Roman"/>
          <w:sz w:val="24"/>
        </w:rPr>
        <w:t>Vyjasnenie rozsahu niektorých konkrétnych tried expozícií uvedených</w:t>
      </w:r>
      <w:r w:rsidR="00D85C65">
        <w:rPr>
          <w:rFonts w:ascii="Times New Roman" w:hAnsi="Times New Roman"/>
          <w:sz w:val="24"/>
        </w:rPr>
        <w:t xml:space="preserve"> v </w:t>
      </w:r>
      <w:r w:rsidRPr="00D85C65">
        <w:rPr>
          <w:rFonts w:ascii="Times New Roman" w:hAnsi="Times New Roman"/>
          <w:sz w:val="24"/>
        </w:rPr>
        <w:t>článku 112 CRR</w:t>
      </w:r>
      <w:bookmarkEnd w:id="37"/>
    </w:p>
    <w:p w14:paraId="301C7983"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38" w:name="_Toc29994481"/>
      <w:r w:rsidRPr="00D85C65">
        <w:rPr>
          <w:rFonts w:ascii="Times New Roman" w:hAnsi="Times New Roman"/>
          <w:sz w:val="24"/>
          <w:u w:val="none"/>
        </w:rPr>
        <w:t>3.2.4.1.</w:t>
      </w:r>
      <w:r w:rsidRPr="00D85C65">
        <w:rPr>
          <w:rFonts w:ascii="Times New Roman" w:hAnsi="Times New Roman"/>
          <w:sz w:val="24"/>
          <w:u w:val="none"/>
        </w:rPr>
        <w:tab/>
      </w:r>
      <w:r w:rsidRPr="00D85C65">
        <w:rPr>
          <w:rFonts w:ascii="Times New Roman" w:hAnsi="Times New Roman"/>
          <w:sz w:val="24"/>
        </w:rPr>
        <w:t>Trieda expozícií „inštitúcie“</w:t>
      </w:r>
      <w:bookmarkEnd w:id="38"/>
    </w:p>
    <w:p w14:paraId="4F6E5DB2" w14:textId="24F1F04B" w:rsidR="00235D9D" w:rsidRPr="00D85C65" w:rsidRDefault="00125707">
      <w:pPr>
        <w:pStyle w:val="InstructionsText2"/>
        <w:numPr>
          <w:ilvl w:val="0"/>
          <w:numId w:val="0"/>
        </w:numPr>
        <w:ind w:left="993"/>
      </w:pPr>
      <w:r w:rsidRPr="00D85C65">
        <w:t>68.</w:t>
      </w:r>
      <w:r w:rsidRPr="00D85C65">
        <w:tab/>
        <w:t>Expozície</w:t>
      </w:r>
      <w:r w:rsidR="00D85C65">
        <w:t xml:space="preserve"> v </w:t>
      </w:r>
      <w:r w:rsidRPr="00D85C65">
        <w:t>rámci skupiny uvedené</w:t>
      </w:r>
      <w:r w:rsidR="00D85C65">
        <w:t xml:space="preserve"> v </w:t>
      </w:r>
      <w:r w:rsidRPr="00D85C65">
        <w:t>článku 113 ods. 6</w:t>
      </w:r>
      <w:r w:rsidR="00D85C65">
        <w:t xml:space="preserve"> a </w:t>
      </w:r>
      <w:r w:rsidRPr="00D85C65">
        <w:t>7 CRR sa vykazujú takto:</w:t>
      </w:r>
    </w:p>
    <w:p w14:paraId="580D5DF7" w14:textId="43ACAD3F" w:rsidR="00235D9D" w:rsidRPr="00D85C65" w:rsidRDefault="00125707">
      <w:pPr>
        <w:pStyle w:val="InstructionsText2"/>
        <w:numPr>
          <w:ilvl w:val="0"/>
          <w:numId w:val="0"/>
        </w:numPr>
        <w:ind w:left="993"/>
      </w:pPr>
      <w:r w:rsidRPr="00D85C65">
        <w:t>69.</w:t>
      </w:r>
      <w:r w:rsidRPr="00D85C65">
        <w:tab/>
        <w:t>Expozície, ktoré spĺňajú požiadavky článku 113 ods. 7 CRR, sa vykazujú</w:t>
      </w:r>
      <w:r w:rsidR="00D85C65">
        <w:t xml:space="preserve"> v </w:t>
      </w:r>
      <w:r w:rsidRPr="00D85C65">
        <w:t>príslušných triedach expozícií, kde by sa vykazovali, keby neboli expozíciami</w:t>
      </w:r>
      <w:r w:rsidR="00D85C65">
        <w:t xml:space="preserve"> v </w:t>
      </w:r>
      <w:r w:rsidRPr="00D85C65">
        <w:t>rámci skupiny.</w:t>
      </w:r>
    </w:p>
    <w:p w14:paraId="13DAA094" w14:textId="30A30AC0" w:rsidR="00235D9D" w:rsidRPr="00D85C65" w:rsidRDefault="00125707">
      <w:pPr>
        <w:pStyle w:val="InstructionsText2"/>
        <w:numPr>
          <w:ilvl w:val="0"/>
          <w:numId w:val="0"/>
        </w:numPr>
        <w:ind w:left="993"/>
      </w:pPr>
      <w:r w:rsidRPr="00D85C65">
        <w:t>70.</w:t>
      </w:r>
      <w:r w:rsidRPr="00D85C65">
        <w:tab/>
        <w:t>Podľa článku 113 ods. 6</w:t>
      </w:r>
      <w:r w:rsidR="00D85C65">
        <w:t xml:space="preserve"> a </w:t>
      </w:r>
      <w:r w:rsidRPr="00D85C65">
        <w:t>7 CRR sa inštitúcia</w:t>
      </w:r>
      <w:r w:rsidR="00D85C65">
        <w:t xml:space="preserve"> s </w:t>
      </w:r>
      <w:r w:rsidRPr="00D85C65">
        <w:t>výhradou predchádzajúceho súhlasu príslušných orgánov môže rozhodnúť, že nebude uplatňovať požiadavky odseku 1 uvedeného článku na expozície tejto inštitúcie voči protistrane, ktorá je jej materskou spoločnosťou, jej dcérskou spoločnosťou alebo dcérskou spoločnosťou jej materskej spoločnosti alebo podnikom, ktorý je prepojený vzťahom</w:t>
      </w:r>
      <w:r w:rsidR="00D85C65">
        <w:t xml:space="preserve"> v </w:t>
      </w:r>
      <w:r w:rsidRPr="00D85C65">
        <w:t>zmysle článku 12 ods. 1 smernice 83/349/EHS. Znamená to, že protistrany</w:t>
      </w:r>
      <w:r w:rsidR="00D85C65">
        <w:t xml:space="preserve"> v </w:t>
      </w:r>
      <w:r w:rsidRPr="00D85C65">
        <w:t>rámci skupiny nie sú nutne inštitúciami, ale aj podnikmi, ktoré sú zaradené do iných tried expozícií, napr. podniky pomocných služieb alebo podniky</w:t>
      </w:r>
      <w:r w:rsidR="00D85C65">
        <w:t xml:space="preserve"> v </w:t>
      </w:r>
      <w:r w:rsidRPr="00D85C65">
        <w:t>zmysle článku 12 ods. 1 smernice Rady 83/349/EHS</w:t>
      </w:r>
      <w:r w:rsidRPr="00D85C65">
        <w:rPr>
          <w:rStyle w:val="FootnoteReference"/>
          <w:sz w:val="24"/>
          <w:szCs w:val="24"/>
        </w:rPr>
        <w:footnoteReference w:id="9"/>
      </w:r>
      <w:r w:rsidRPr="00D85C65">
        <w:t>. Expozície</w:t>
      </w:r>
      <w:r w:rsidR="00D85C65">
        <w:t xml:space="preserve"> v </w:t>
      </w:r>
      <w:r w:rsidRPr="00D85C65">
        <w:t>rámci skupiny sa preto vykazujú</w:t>
      </w:r>
      <w:r w:rsidR="00D85C65">
        <w:t xml:space="preserve"> v </w:t>
      </w:r>
      <w:r w:rsidRPr="00D85C65">
        <w:t>príslušnej triede expozícií.</w:t>
      </w:r>
    </w:p>
    <w:p w14:paraId="454F0B0F" w14:textId="5B3FDFB7" w:rsidR="00235D9D" w:rsidRPr="00D85C65" w:rsidRDefault="00125707">
      <w:pPr>
        <w:pStyle w:val="Instructionsberschrift2"/>
        <w:numPr>
          <w:ilvl w:val="0"/>
          <w:numId w:val="0"/>
        </w:numPr>
        <w:ind w:left="357" w:hanging="357"/>
        <w:rPr>
          <w:rFonts w:ascii="Times New Roman" w:hAnsi="Times New Roman" w:cs="Times New Roman"/>
          <w:sz w:val="24"/>
        </w:rPr>
      </w:pPr>
      <w:bookmarkStart w:id="39" w:name="_Toc29994482"/>
      <w:r w:rsidRPr="00D85C65">
        <w:rPr>
          <w:rFonts w:ascii="Times New Roman" w:hAnsi="Times New Roman"/>
          <w:sz w:val="24"/>
          <w:u w:val="none"/>
        </w:rPr>
        <w:t>3.2.4.2.</w:t>
      </w:r>
      <w:r w:rsidRPr="00D85C65">
        <w:rPr>
          <w:rFonts w:ascii="Times New Roman" w:hAnsi="Times New Roman"/>
          <w:sz w:val="24"/>
          <w:u w:val="none"/>
        </w:rPr>
        <w:tab/>
      </w:r>
      <w:r w:rsidRPr="00D85C65">
        <w:rPr>
          <w:rFonts w:ascii="Times New Roman" w:hAnsi="Times New Roman"/>
          <w:sz w:val="24"/>
        </w:rPr>
        <w:t>Trieda expozícií „kryté dlhopisy“</w:t>
      </w:r>
      <w:bookmarkEnd w:id="39"/>
    </w:p>
    <w:p w14:paraId="04680842" w14:textId="05126E42" w:rsidR="00235D9D" w:rsidRPr="00D85C65" w:rsidRDefault="00125707">
      <w:pPr>
        <w:pStyle w:val="InstructionsText2"/>
        <w:numPr>
          <w:ilvl w:val="0"/>
          <w:numId w:val="0"/>
        </w:numPr>
        <w:ind w:left="993"/>
      </w:pPr>
      <w:r w:rsidRPr="00D85C65">
        <w:t>71.</w:t>
      </w:r>
      <w:r w:rsidRPr="00D85C65">
        <w:tab/>
        <w:t>Expozície SA zaraďujú do triedy expozícií „kryté dlhopisy“ takto:</w:t>
      </w:r>
    </w:p>
    <w:p w14:paraId="26117C3B" w14:textId="5C6683D1" w:rsidR="00235D9D" w:rsidRPr="00D85C65" w:rsidRDefault="00125707">
      <w:pPr>
        <w:pStyle w:val="InstructionsText2"/>
        <w:numPr>
          <w:ilvl w:val="0"/>
          <w:numId w:val="0"/>
        </w:numPr>
        <w:ind w:left="993"/>
      </w:pPr>
      <w:r w:rsidRPr="00D85C65">
        <w:t>72.</w:t>
      </w:r>
      <w:r w:rsidRPr="00D85C65">
        <w:tab/>
        <w:t>Dlhopisy uvedené</w:t>
      </w:r>
      <w:r w:rsidR="00D85C65">
        <w:t xml:space="preserve"> v </w:t>
      </w:r>
      <w:r w:rsidRPr="00D85C65">
        <w:t xml:space="preserve">článku 52 ods. 4 smernice </w:t>
      </w:r>
      <w:r w:rsidRPr="00D85C65">
        <w:rPr>
          <w:color w:val="444444"/>
        </w:rPr>
        <w:t>Európskeho parlamentu</w:t>
      </w:r>
      <w:r w:rsidR="00D85C65">
        <w:rPr>
          <w:color w:val="444444"/>
        </w:rPr>
        <w:t xml:space="preserve"> a </w:t>
      </w:r>
      <w:r w:rsidRPr="00D85C65">
        <w:rPr>
          <w:color w:val="444444"/>
        </w:rPr>
        <w:t xml:space="preserve">Rady </w:t>
      </w:r>
      <w:r w:rsidRPr="00D85C65">
        <w:t>2009/65/ES</w:t>
      </w:r>
      <w:r w:rsidRPr="00D85C65">
        <w:rPr>
          <w:rStyle w:val="FootnoteReference"/>
          <w:rFonts w:ascii="Times New Roman" w:hAnsi="Times New Roman"/>
          <w:sz w:val="24"/>
          <w:szCs w:val="24"/>
          <w:vertAlign w:val="superscript"/>
        </w:rPr>
        <w:footnoteReference w:id="10"/>
      </w:r>
      <w:r w:rsidRPr="00D85C65">
        <w:t xml:space="preserve"> musia spĺňať požiadavky článku 129 ods. 1</w:t>
      </w:r>
      <w:r w:rsidR="00D85C65">
        <w:t xml:space="preserve"> a </w:t>
      </w:r>
      <w:r w:rsidRPr="00D85C65">
        <w:t>2 CRR, aby sa mohli klasifikovať</w:t>
      </w:r>
      <w:r w:rsidR="00D85C65">
        <w:t xml:space="preserve"> v </w:t>
      </w:r>
      <w:r w:rsidRPr="00D85C65">
        <w:t>triede expozícií „kryté dlhopisy“. Splnenie týchto požiadaviek sa musí vždy skontrolovať. Dlhopisy uvedené</w:t>
      </w:r>
      <w:r w:rsidR="00D85C65">
        <w:t xml:space="preserve"> v </w:t>
      </w:r>
      <w:r w:rsidRPr="00D85C65">
        <w:t>článku 52 ods. 4 smernice 2009/65/ES</w:t>
      </w:r>
      <w:r w:rsidR="00D85C65">
        <w:t xml:space="preserve"> a </w:t>
      </w:r>
      <w:r w:rsidRPr="00D85C65">
        <w:t>emitované pred 31. decembrom 2007 sa na základe článku 129 ods. 6 CRR</w:t>
      </w:r>
      <w:r w:rsidR="00D85C65">
        <w:t xml:space="preserve"> v </w:t>
      </w:r>
      <w:r w:rsidRPr="00D85C65">
        <w:t>každom prípade takisto zaradia do triedy expozícií „kryté dlhopisy“.</w:t>
      </w:r>
    </w:p>
    <w:p w14:paraId="07D7BC61" w14:textId="0B859D54" w:rsidR="00235D9D" w:rsidRPr="00D85C65" w:rsidRDefault="00125707">
      <w:pPr>
        <w:pStyle w:val="Instructionsberschrift2"/>
        <w:numPr>
          <w:ilvl w:val="0"/>
          <w:numId w:val="0"/>
        </w:numPr>
        <w:ind w:left="357" w:hanging="357"/>
        <w:rPr>
          <w:rFonts w:ascii="Times New Roman" w:hAnsi="Times New Roman" w:cs="Times New Roman"/>
          <w:sz w:val="24"/>
        </w:rPr>
      </w:pPr>
      <w:bookmarkStart w:id="40" w:name="_Toc29994483"/>
      <w:r w:rsidRPr="00D85C65">
        <w:rPr>
          <w:rFonts w:ascii="Times New Roman" w:hAnsi="Times New Roman"/>
          <w:sz w:val="24"/>
          <w:u w:val="none"/>
        </w:rPr>
        <w:t>3.2.4.3.</w:t>
      </w:r>
      <w:r w:rsidRPr="00D85C65">
        <w:rPr>
          <w:rFonts w:ascii="Times New Roman" w:hAnsi="Times New Roman"/>
          <w:sz w:val="24"/>
          <w:u w:val="none"/>
        </w:rPr>
        <w:tab/>
      </w:r>
      <w:r w:rsidRPr="00D85C65">
        <w:rPr>
          <w:rFonts w:ascii="Times New Roman" w:hAnsi="Times New Roman"/>
          <w:sz w:val="24"/>
        </w:rPr>
        <w:t>Trieda expozícií „podniky kolektívneho investovania“</w:t>
      </w:r>
      <w:bookmarkEnd w:id="40"/>
    </w:p>
    <w:p w14:paraId="10E9523B" w14:textId="166BBF68" w:rsidR="00D85C65" w:rsidRDefault="00125707">
      <w:pPr>
        <w:pStyle w:val="InstructionsText2"/>
        <w:numPr>
          <w:ilvl w:val="0"/>
          <w:numId w:val="0"/>
        </w:numPr>
        <w:ind w:left="993"/>
      </w:pPr>
      <w:r w:rsidRPr="00D85C65">
        <w:t>73.</w:t>
      </w:r>
      <w:r w:rsidRPr="00D85C65">
        <w:tab/>
        <w:t>Keď sa využije možnosť uvedená</w:t>
      </w:r>
      <w:r w:rsidR="00D85C65">
        <w:t xml:space="preserve"> v </w:t>
      </w:r>
      <w:r w:rsidRPr="00D85C65">
        <w:t>článku 132 ods. 5 CRR, expozície vo forme jednotiek alebo podielov</w:t>
      </w:r>
      <w:r w:rsidR="00D85C65">
        <w:t xml:space="preserve"> v </w:t>
      </w:r>
      <w:r w:rsidRPr="00D85C65">
        <w:t>PKI sa vykazujú ako súvahové položky</w:t>
      </w:r>
      <w:r w:rsidR="00D85C65">
        <w:t xml:space="preserve"> v </w:t>
      </w:r>
      <w:r w:rsidRPr="00D85C65">
        <w:t>súlade</w:t>
      </w:r>
      <w:r w:rsidR="00D85C65">
        <w:t xml:space="preserve"> s </w:t>
      </w:r>
      <w:r w:rsidRPr="00D85C65">
        <w:t>článkom 111 ods. 1 prvou vetou CRR</w:t>
      </w:r>
      <w:r w:rsidR="00D85C65">
        <w:t>.</w:t>
      </w:r>
    </w:p>
    <w:p w14:paraId="2EE1E026" w14:textId="5F50C9A7" w:rsidR="00235D9D" w:rsidRPr="00D85C65" w:rsidRDefault="00125707">
      <w:pPr>
        <w:pStyle w:val="Instructionsberschrift2"/>
        <w:numPr>
          <w:ilvl w:val="0"/>
          <w:numId w:val="0"/>
        </w:numPr>
        <w:ind w:left="357" w:hanging="357"/>
        <w:rPr>
          <w:rFonts w:ascii="Times New Roman" w:hAnsi="Times New Roman" w:cs="Times New Roman"/>
          <w:sz w:val="24"/>
        </w:rPr>
      </w:pPr>
      <w:bookmarkStart w:id="41" w:name="_Toc29994484"/>
      <w:r w:rsidRPr="00D85C65">
        <w:rPr>
          <w:rFonts w:ascii="Times New Roman" w:hAnsi="Times New Roman"/>
          <w:sz w:val="24"/>
          <w:u w:val="none"/>
        </w:rPr>
        <w:lastRenderedPageBreak/>
        <w:t>3.2.5.</w:t>
      </w:r>
      <w:r w:rsidRPr="00D85C65">
        <w:rPr>
          <w:rFonts w:ascii="Times New Roman" w:hAnsi="Times New Roman"/>
          <w:sz w:val="24"/>
          <w:u w:val="none"/>
        </w:rPr>
        <w:tab/>
      </w:r>
      <w:r w:rsidRPr="00D85C65">
        <w:rPr>
          <w:rFonts w:ascii="Times New Roman" w:hAnsi="Times New Roman"/>
          <w:sz w:val="24"/>
        </w:rPr>
        <w:t>Pokyny týkajúce sa konkrétnych pozícií</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D85C65" w14:paraId="60D5C64A" w14:textId="77777777" w:rsidTr="00672D2A">
        <w:trPr>
          <w:trHeight w:val="581"/>
        </w:trPr>
        <w:tc>
          <w:tcPr>
            <w:tcW w:w="9828" w:type="dxa"/>
            <w:gridSpan w:val="2"/>
            <w:shd w:val="clear" w:color="auto" w:fill="CCCCCC"/>
          </w:tcPr>
          <w:p w14:paraId="2A60DB9C" w14:textId="77777777" w:rsidR="00235D9D" w:rsidRPr="00D85C65" w:rsidRDefault="00464F34" w:rsidP="00E13EA5">
            <w:pPr>
              <w:pStyle w:val="InstructionsText"/>
              <w:keepNext/>
              <w:keepLines/>
            </w:pPr>
            <w:r w:rsidRPr="00D85C65">
              <w:t>Stĺpce</w:t>
            </w:r>
          </w:p>
        </w:tc>
      </w:tr>
      <w:tr w:rsidR="00235D9D" w:rsidRPr="00D85C65" w14:paraId="0A756E82" w14:textId="77777777" w:rsidTr="00672D2A">
        <w:tc>
          <w:tcPr>
            <w:tcW w:w="1188" w:type="dxa"/>
          </w:tcPr>
          <w:p w14:paraId="0424DDD4" w14:textId="77777777" w:rsidR="00235D9D" w:rsidRPr="00D85C65" w:rsidRDefault="00464F34">
            <w:pPr>
              <w:pStyle w:val="InstructionsText"/>
            </w:pPr>
            <w:r w:rsidRPr="00D85C65">
              <w:t>010</w:t>
            </w:r>
          </w:p>
        </w:tc>
        <w:tc>
          <w:tcPr>
            <w:tcW w:w="8640" w:type="dxa"/>
          </w:tcPr>
          <w:p w14:paraId="155EB26F" w14:textId="47734983"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PÔVODNÁ EXPOZÍCIA PRED KONVERZNÝMI FAKTORMI</w:t>
            </w:r>
          </w:p>
          <w:p w14:paraId="6CF00A70" w14:textId="27E870BB" w:rsidR="00235D9D" w:rsidRPr="00D85C65" w:rsidRDefault="00464F34">
            <w:pPr>
              <w:pStyle w:val="InstructionsText"/>
            </w:pPr>
            <w:r w:rsidRPr="00D85C65">
              <w:t>Hodnota expozície vypočítaná</w:t>
            </w:r>
            <w:r w:rsidR="00D85C65">
              <w:t xml:space="preserve"> v </w:t>
            </w:r>
            <w:r w:rsidRPr="00D85C65">
              <w:t>súlade</w:t>
            </w:r>
            <w:r w:rsidR="00D85C65">
              <w:t xml:space="preserve"> s </w:t>
            </w:r>
            <w:r w:rsidRPr="00D85C65">
              <w:t>článkom 111 CRR bez zohľadnenia úprav ocenenia</w:t>
            </w:r>
            <w:r w:rsidR="00D85C65">
              <w:t xml:space="preserve"> a </w:t>
            </w:r>
            <w:r w:rsidRPr="00D85C65">
              <w:t>rezerv, konverzných faktorov</w:t>
            </w:r>
            <w:r w:rsidR="00D85C65">
              <w:t xml:space="preserve"> a </w:t>
            </w:r>
            <w:r w:rsidRPr="00D85C65">
              <w:t>účinku postupov na zmierňovanie kreditného rizika</w:t>
            </w:r>
            <w:r w:rsidR="00D85C65">
              <w:t xml:space="preserve"> s </w:t>
            </w:r>
            <w:r w:rsidRPr="00D85C65">
              <w:t>týmito obmedzeniami vyplývajúcimi</w:t>
            </w:r>
            <w:r w:rsidR="00D85C65">
              <w:t xml:space="preserve"> z </w:t>
            </w:r>
            <w:r w:rsidRPr="00D85C65">
              <w:t>článku 111 ods. 2 CRR:</w:t>
            </w:r>
          </w:p>
          <w:p w14:paraId="4FCD5AC8" w14:textId="0829D93E" w:rsidR="00235D9D" w:rsidRPr="00D85C65" w:rsidRDefault="00464F34">
            <w:pPr>
              <w:pStyle w:val="InstructionsText"/>
              <w:numPr>
                <w:ilvl w:val="0"/>
                <w:numId w:val="34"/>
              </w:numPr>
            </w:pPr>
            <w:r w:rsidRPr="00D85C65">
              <w:t>Pre derivátové nástroje, repo transakcie, transakcie požičiavania alebo vypožičiavania cenných papierov alebo komodít, transakcie</w:t>
            </w:r>
            <w:r w:rsidR="00D85C65">
              <w:t xml:space="preserve"> s </w:t>
            </w:r>
            <w:r w:rsidRPr="00D85C65">
              <w:t>dlhou dobou vyrovnania</w:t>
            </w:r>
            <w:r w:rsidR="00D85C65">
              <w:t xml:space="preserve"> a </w:t>
            </w:r>
            <w:r w:rsidRPr="00D85C65">
              <w:t>transakcie požičiavania</w:t>
            </w:r>
            <w:r w:rsidR="00D85C65">
              <w:t xml:space="preserve"> s </w:t>
            </w:r>
            <w:r w:rsidRPr="00D85C65">
              <w:t>dozabezpečením podľa tretej časti hlavy II kapitoly 6 CRR alebo podľa článku 92 ods. 3 písm. f) CRR zodpovedá pôvodná expozícia hodnote expozície voči kreditnému riziku protistrany vypočítanej</w:t>
            </w:r>
            <w:r w:rsidR="00D85C65">
              <w:t xml:space="preserve"> v </w:t>
            </w:r>
            <w:r w:rsidRPr="00D85C65">
              <w:t>súlade</w:t>
            </w:r>
            <w:r w:rsidR="00D85C65">
              <w:t xml:space="preserve"> s </w:t>
            </w:r>
            <w:r w:rsidRPr="00D85C65">
              <w:t>postupmi stanovenými</w:t>
            </w:r>
            <w:r w:rsidR="00D85C65">
              <w:t xml:space="preserve"> v </w:t>
            </w:r>
            <w:r w:rsidRPr="00D85C65">
              <w:t>tretej časti hlave II kapitole 6 CRR.</w:t>
            </w:r>
          </w:p>
          <w:p w14:paraId="5A27D2F3" w14:textId="34CDD943" w:rsidR="00D85C65" w:rsidRDefault="00464F34">
            <w:pPr>
              <w:pStyle w:val="InstructionsText"/>
              <w:numPr>
                <w:ilvl w:val="0"/>
                <w:numId w:val="34"/>
              </w:numPr>
            </w:pPr>
            <w:r w:rsidRPr="00D85C65">
              <w:t>Hodnoty expozícií</w:t>
            </w:r>
            <w:r w:rsidR="00D85C65">
              <w:t xml:space="preserve"> z </w:t>
            </w:r>
            <w:r w:rsidRPr="00D85C65">
              <w:t>prenájmu sa riadia článkom 134 ods. 7 CRR</w:t>
            </w:r>
            <w:r w:rsidR="00D85C65">
              <w:t>.</w:t>
            </w:r>
          </w:p>
          <w:p w14:paraId="3D00DF66" w14:textId="16DEAF3A" w:rsidR="00235D9D" w:rsidRPr="00D85C65" w:rsidRDefault="00464F34">
            <w:pPr>
              <w:pStyle w:val="InstructionsText"/>
              <w:numPr>
                <w:ilvl w:val="0"/>
                <w:numId w:val="34"/>
              </w:numPr>
            </w:pPr>
            <w:r w:rsidRPr="00D85C65">
              <w:t>V prípade vzájomného započítavania</w:t>
            </w:r>
            <w:r w:rsidR="00D85C65">
              <w:t xml:space="preserve"> v </w:t>
            </w:r>
            <w:r w:rsidRPr="00D85C65">
              <w:t>súvahe stanoveného</w:t>
            </w:r>
            <w:r w:rsidR="00D85C65">
              <w:t xml:space="preserve"> v </w:t>
            </w:r>
            <w:r w:rsidRPr="00D85C65">
              <w:t>článku 219 CRR sa hodnoty expozícií vykazujú pri zohľadnení prijatého peňažného kolaterálu.</w:t>
            </w:r>
          </w:p>
          <w:p w14:paraId="65871675" w14:textId="75B53DB2" w:rsidR="00235D9D" w:rsidRPr="00D85C65" w:rsidRDefault="00464F34">
            <w:pPr>
              <w:pStyle w:val="InstructionsText"/>
              <w:numPr>
                <w:ilvl w:val="0"/>
                <w:numId w:val="34"/>
              </w:numPr>
            </w:pPr>
            <w:r w:rsidRPr="00D85C65">
              <w:t>V prípade rámcových dohôd</w:t>
            </w:r>
            <w:r w:rsidR="00D85C65">
              <w:t xml:space="preserve"> o </w:t>
            </w:r>
            <w:r w:rsidRPr="00D85C65">
              <w:t>započítavaní, ktoré sa týkajú repo transakcií, transakcií požičiavania alebo vypožičiavania cenných papierov alebo komodít alebo iných transakcií kapitálového trhu podľa tretej časti hlavy II kapitoly 6 CRR, sa účinok financovaného zabezpečenia vo forme rámcových dohôd</w:t>
            </w:r>
            <w:r w:rsidR="00D85C65">
              <w:t xml:space="preserve"> o </w:t>
            </w:r>
            <w:r w:rsidRPr="00D85C65">
              <w:t>započítavaní podľa článku 220 ods. 4 CRR zahrnie do stĺpca 010.</w:t>
            </w:r>
            <w:r w:rsidR="00D85C65">
              <w:t xml:space="preserve"> V </w:t>
            </w:r>
            <w:r w:rsidRPr="00D85C65">
              <w:t>prípade rámcových dohôd</w:t>
            </w:r>
            <w:r w:rsidR="00D85C65">
              <w:t xml:space="preserve"> o </w:t>
            </w:r>
            <w:r w:rsidRPr="00D85C65">
              <w:t>započítavaní týkajúcich sa repo transakcií</w:t>
            </w:r>
            <w:r w:rsidR="00D85C65">
              <w:t xml:space="preserve"> a </w:t>
            </w:r>
            <w:r w:rsidRPr="00D85C65">
              <w:t>podliehajúcich tretej časti hlave II kapitole 6 CRR sa preto E*, vypočítané</w:t>
            </w:r>
            <w:r w:rsidR="00D85C65">
              <w:t xml:space="preserve"> v </w:t>
            </w:r>
            <w:r w:rsidRPr="00D85C65">
              <w:t>súlade</w:t>
            </w:r>
            <w:r w:rsidR="00D85C65">
              <w:t xml:space="preserve"> s </w:t>
            </w:r>
            <w:r w:rsidRPr="00D85C65">
              <w:t>článkami 220</w:t>
            </w:r>
            <w:r w:rsidR="00D85C65">
              <w:t xml:space="preserve"> a </w:t>
            </w:r>
            <w:r w:rsidRPr="00D85C65">
              <w:t>221 CRR, vykazuje</w:t>
            </w:r>
            <w:r w:rsidR="00D85C65">
              <w:t xml:space="preserve"> v </w:t>
            </w:r>
            <w:r w:rsidRPr="00D85C65">
              <w:t>stĺpci 010 vzoru CR SA.</w:t>
            </w:r>
          </w:p>
        </w:tc>
      </w:tr>
      <w:tr w:rsidR="00235D9D" w:rsidRPr="00D85C65" w14:paraId="06162BCB" w14:textId="77777777" w:rsidTr="00672D2A">
        <w:tc>
          <w:tcPr>
            <w:tcW w:w="1188" w:type="dxa"/>
          </w:tcPr>
          <w:p w14:paraId="561D2932" w14:textId="77777777" w:rsidR="00235D9D" w:rsidRPr="00D85C65" w:rsidRDefault="00464F34">
            <w:pPr>
              <w:pStyle w:val="InstructionsText"/>
            </w:pPr>
            <w:r w:rsidRPr="00D85C65">
              <w:t>030</w:t>
            </w:r>
          </w:p>
        </w:tc>
        <w:tc>
          <w:tcPr>
            <w:tcW w:w="8640" w:type="dxa"/>
          </w:tcPr>
          <w:p w14:paraId="37C2574E" w14:textId="1536CB16"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Úpravy ocenenia</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rezervy súvisiace</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pôvodnou expozíciou</w:t>
            </w:r>
          </w:p>
          <w:p w14:paraId="359C13A5" w14:textId="6025B958"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Články 24</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111 CRR.</w:t>
            </w:r>
          </w:p>
          <w:p w14:paraId="3FAA5F48" w14:textId="2F63DA49" w:rsidR="00235D9D" w:rsidRPr="00D85C65" w:rsidRDefault="00464F34">
            <w:pPr>
              <w:pStyle w:val="InstructionsText"/>
            </w:pPr>
            <w:r w:rsidRPr="00D85C65">
              <w:t>Úpravy ocenenia</w:t>
            </w:r>
            <w:r w:rsidR="00D85C65">
              <w:t xml:space="preserve"> a </w:t>
            </w:r>
            <w:r w:rsidRPr="00D85C65">
              <w:t>rezervy pre kreditné straty vykonané</w:t>
            </w:r>
            <w:r w:rsidR="00D85C65">
              <w:t xml:space="preserve"> v </w:t>
            </w:r>
            <w:r w:rsidRPr="00D85C65">
              <w:t>súlade</w:t>
            </w:r>
            <w:r w:rsidR="00D85C65">
              <w:t xml:space="preserve"> s </w:t>
            </w:r>
            <w:r w:rsidRPr="00D85C65">
              <w:t xml:space="preserve">účtovným rámcom, ktorý sa vzťahuje na vykazujúci subjekt. </w:t>
            </w:r>
          </w:p>
        </w:tc>
      </w:tr>
      <w:tr w:rsidR="00235D9D" w:rsidRPr="00D85C65" w14:paraId="71B0957F" w14:textId="77777777" w:rsidTr="00672D2A">
        <w:tc>
          <w:tcPr>
            <w:tcW w:w="1188" w:type="dxa"/>
          </w:tcPr>
          <w:p w14:paraId="1B9ACE09" w14:textId="77777777" w:rsidR="00235D9D" w:rsidRPr="00D85C65" w:rsidRDefault="00464F34">
            <w:pPr>
              <w:pStyle w:val="InstructionsText"/>
            </w:pPr>
            <w:r w:rsidRPr="00D85C65">
              <w:t>040</w:t>
            </w:r>
          </w:p>
        </w:tc>
        <w:tc>
          <w:tcPr>
            <w:tcW w:w="8640" w:type="dxa"/>
          </w:tcPr>
          <w:p w14:paraId="1CDEE718" w14:textId="0D2771B4" w:rsidR="00235D9D" w:rsidRPr="00D85C65" w:rsidRDefault="00464F34">
            <w:pPr>
              <w:pStyle w:val="InstructionsText"/>
            </w:pPr>
            <w:r w:rsidRPr="00D85C65">
              <w:rPr>
                <w:rStyle w:val="InstructionsTabelleberschrift"/>
                <w:rFonts w:ascii="Times New Roman" w:hAnsi="Times New Roman"/>
                <w:sz w:val="24"/>
              </w:rPr>
              <w:t>Expozícia po odpočítaní úprav ocenenia</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rezerv</w:t>
            </w:r>
          </w:p>
          <w:p w14:paraId="2E54438F" w14:textId="1C5958C6" w:rsidR="00235D9D" w:rsidRPr="00D85C65" w:rsidRDefault="00464F34">
            <w:pPr>
              <w:pStyle w:val="InstructionsText"/>
            </w:pPr>
            <w:r w:rsidRPr="00D85C65">
              <w:t>Súčet stĺpcov 010</w:t>
            </w:r>
            <w:r w:rsidR="00D85C65">
              <w:t xml:space="preserve"> a </w:t>
            </w:r>
            <w:r w:rsidRPr="00D85C65">
              <w:t>030.</w:t>
            </w:r>
          </w:p>
        </w:tc>
      </w:tr>
      <w:tr w:rsidR="00235D9D" w:rsidRPr="00D85C65" w14:paraId="2A8D0BE9" w14:textId="77777777" w:rsidTr="00672D2A">
        <w:tc>
          <w:tcPr>
            <w:tcW w:w="1188" w:type="dxa"/>
          </w:tcPr>
          <w:p w14:paraId="1E640D18" w14:textId="77777777" w:rsidR="00235D9D" w:rsidRPr="00D85C65" w:rsidRDefault="00464F34">
            <w:pPr>
              <w:pStyle w:val="InstructionsText"/>
            </w:pPr>
            <w:r w:rsidRPr="00D85C65">
              <w:t>050 – 100</w:t>
            </w:r>
          </w:p>
        </w:tc>
        <w:tc>
          <w:tcPr>
            <w:tcW w:w="8640" w:type="dxa"/>
          </w:tcPr>
          <w:p w14:paraId="7F57112E" w14:textId="74BE773C"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POSTUPY NA ZMIERŇOVANIE KREDITNÉHO RIZIKA (CRM)</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ÚČINKAMI SUBSTITÚCIE NA EXPOZÍCIU</w:t>
            </w:r>
          </w:p>
          <w:p w14:paraId="4A3B0C25" w14:textId="76CBF4C0" w:rsidR="00235D9D" w:rsidRPr="00D85C65" w:rsidRDefault="00464F34">
            <w:pPr>
              <w:pStyle w:val="InstructionsText"/>
            </w:pPr>
            <w:r w:rsidRPr="00D85C65">
              <w:t>Postupy na zmierňovanie kreditného rizika</w:t>
            </w:r>
            <w:r w:rsidR="00D85C65">
              <w:t xml:space="preserve"> v </w:t>
            </w:r>
            <w:r w:rsidRPr="00D85C65">
              <w:t>zmysle vymedzenia</w:t>
            </w:r>
            <w:r w:rsidR="00D85C65">
              <w:t xml:space="preserve"> v </w:t>
            </w:r>
            <w:r w:rsidRPr="00D85C65">
              <w:t>článku 4 ods. 1 bode 57 CRR, ktorými sa znižuje kreditné riziko expozície alebo expozícií substitúciou expozícií, ako je opísané nižšie</w:t>
            </w:r>
            <w:r w:rsidR="00D85C65">
              <w:t xml:space="preserve"> v </w:t>
            </w:r>
            <w:r w:rsidRPr="00D85C65">
              <w:t>„substitúcii expozície na základe zmierňovania kreditného rizika“.</w:t>
            </w:r>
          </w:p>
          <w:p w14:paraId="564DB9C9" w14:textId="4952E7DA" w:rsidR="00235D9D" w:rsidRPr="00D85C65" w:rsidRDefault="00D21B29">
            <w:pPr>
              <w:pStyle w:val="InstructionsText"/>
            </w:pPr>
            <w:r w:rsidRPr="00D85C65">
              <w:t>Keď má kolaterál účinok na hodnotu expozície (napr. keď sa používa pre postupy na zmierňovanie kreditného rizika</w:t>
            </w:r>
            <w:r w:rsidR="00D85C65">
              <w:t xml:space="preserve"> s </w:t>
            </w:r>
            <w:r w:rsidRPr="00D85C65">
              <w:t>účinkami substitúcie na expozíciu), jeho horná hranica sa obmedzí hodnotou expozície.</w:t>
            </w:r>
          </w:p>
          <w:p w14:paraId="7EDD45C2" w14:textId="77777777" w:rsidR="00235D9D" w:rsidRPr="00D85C65" w:rsidRDefault="00464F34">
            <w:pPr>
              <w:pStyle w:val="InstructionsText"/>
            </w:pPr>
            <w:r w:rsidRPr="00D85C65">
              <w:t>Položky, ktoré sa tu vykazujú:</w:t>
            </w:r>
          </w:p>
          <w:p w14:paraId="09CA1958" w14:textId="5C31585A" w:rsidR="00235D9D" w:rsidRPr="00D85C65" w:rsidRDefault="00125707">
            <w:pPr>
              <w:pStyle w:val="InstructionsText"/>
              <w:ind w:left="545" w:hanging="545"/>
            </w:pPr>
            <w:r w:rsidRPr="00D85C65">
              <w:rPr>
                <w:rFonts w:ascii="Arial" w:hAnsi="Arial"/>
              </w:rPr>
              <w:t>–</w:t>
            </w:r>
            <w:r w:rsidRPr="00D85C65">
              <w:rPr>
                <w:rFonts w:ascii="Arial" w:hAnsi="Arial"/>
              </w:rPr>
              <w:tab/>
            </w:r>
            <w:r w:rsidRPr="00D85C65">
              <w:t>kolaterál zahrnutý podľa jednoduchej metódy nakladania</w:t>
            </w:r>
            <w:r w:rsidR="00D85C65">
              <w:t xml:space="preserve"> s </w:t>
            </w:r>
            <w:r w:rsidRPr="00D85C65">
              <w:t>finančným kolaterálom;</w:t>
            </w:r>
          </w:p>
          <w:p w14:paraId="293AEDCE" w14:textId="77777777" w:rsidR="00235D9D" w:rsidRPr="00D85C65" w:rsidRDefault="00125707">
            <w:pPr>
              <w:pStyle w:val="InstructionsText"/>
              <w:ind w:left="545" w:hanging="545"/>
            </w:pPr>
            <w:r w:rsidRPr="00D85C65">
              <w:rPr>
                <w:rFonts w:ascii="Arial" w:hAnsi="Arial"/>
              </w:rPr>
              <w:lastRenderedPageBreak/>
              <w:t>–</w:t>
            </w:r>
            <w:r w:rsidRPr="00D85C65">
              <w:rPr>
                <w:rFonts w:ascii="Arial" w:hAnsi="Arial"/>
              </w:rPr>
              <w:tab/>
            </w:r>
            <w:r w:rsidRPr="00D85C65">
              <w:t>prípustné nefinancované zabezpečenie.</w:t>
            </w:r>
          </w:p>
          <w:p w14:paraId="54C1D173" w14:textId="1180CBCA" w:rsidR="00235D9D" w:rsidRPr="00D85C65" w:rsidRDefault="00464F34">
            <w:pPr>
              <w:pStyle w:val="InstructionsText"/>
            </w:pPr>
            <w:r w:rsidRPr="00D85C65">
              <w:t>Pozri aj pokyny</w:t>
            </w:r>
            <w:r w:rsidR="00D85C65">
              <w:t xml:space="preserve"> v </w:t>
            </w:r>
            <w:r w:rsidRPr="00D85C65">
              <w:t>bode 3.1.1.</w:t>
            </w:r>
          </w:p>
        </w:tc>
      </w:tr>
      <w:tr w:rsidR="00235D9D" w:rsidRPr="00D85C65" w14:paraId="48CAFA37" w14:textId="77777777" w:rsidTr="00672D2A">
        <w:tc>
          <w:tcPr>
            <w:tcW w:w="1188" w:type="dxa"/>
          </w:tcPr>
          <w:p w14:paraId="000EA90A" w14:textId="77777777" w:rsidR="00235D9D" w:rsidRPr="00D85C65" w:rsidRDefault="00464F34">
            <w:pPr>
              <w:pStyle w:val="InstructionsText"/>
            </w:pPr>
            <w:r w:rsidRPr="00D85C65">
              <w:lastRenderedPageBreak/>
              <w:t>050 – 060</w:t>
            </w:r>
          </w:p>
        </w:tc>
        <w:tc>
          <w:tcPr>
            <w:tcW w:w="8640" w:type="dxa"/>
          </w:tcPr>
          <w:p w14:paraId="4D778B5F" w14:textId="2090831F"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Nefinancované zabezpečenie: upravené hodnoty (G</w:t>
            </w:r>
            <w:r w:rsidRPr="00D85C65">
              <w:rPr>
                <w:rStyle w:val="InstructionsTabelleberschrift"/>
                <w:rFonts w:ascii="Times New Roman" w:hAnsi="Times New Roman"/>
                <w:sz w:val="24"/>
                <w:vertAlign w:val="subscript"/>
              </w:rPr>
              <w:t>A</w:t>
            </w:r>
            <w:r w:rsidRPr="00D85C65">
              <w:rPr>
                <w:rStyle w:val="InstructionsTabelleberschrift"/>
                <w:rFonts w:ascii="Times New Roman" w:hAnsi="Times New Roman"/>
                <w:sz w:val="24"/>
              </w:rPr>
              <w:t>)</w:t>
            </w:r>
          </w:p>
          <w:p w14:paraId="7E2A91D4" w14:textId="63031307" w:rsidR="00235D9D" w:rsidRPr="00D85C65" w:rsidRDefault="00464F34">
            <w:pPr>
              <w:pStyle w:val="InstructionsText"/>
            </w:pPr>
            <w:r w:rsidRPr="00D85C65">
              <w:t>Článok 235 CRR.</w:t>
            </w:r>
          </w:p>
          <w:p w14:paraId="42296315" w14:textId="643B51CB" w:rsidR="00235D9D" w:rsidRPr="00D85C65" w:rsidRDefault="00464F34">
            <w:pPr>
              <w:pStyle w:val="InstructionsText"/>
            </w:pPr>
            <w:r w:rsidRPr="00D85C65">
              <w:t>Článok 239 ods. 3 CRR obsahuje vzorec na výpočet upravenej hodnoty G</w:t>
            </w:r>
            <w:r w:rsidRPr="00D85C65">
              <w:rPr>
                <w:vertAlign w:val="subscript"/>
              </w:rPr>
              <w:t>A</w:t>
            </w:r>
            <w:r w:rsidRPr="00D85C65">
              <w:t xml:space="preserve"> nefinancovaného zabezpečenia.</w:t>
            </w:r>
          </w:p>
        </w:tc>
      </w:tr>
      <w:tr w:rsidR="00235D9D" w:rsidRPr="00D85C65" w14:paraId="6FCB536B" w14:textId="77777777" w:rsidTr="00672D2A">
        <w:tc>
          <w:tcPr>
            <w:tcW w:w="1188" w:type="dxa"/>
          </w:tcPr>
          <w:p w14:paraId="2DEDE4CD" w14:textId="77777777" w:rsidR="00235D9D" w:rsidRPr="00D85C65" w:rsidRDefault="00464F34">
            <w:pPr>
              <w:pStyle w:val="InstructionsText"/>
            </w:pPr>
            <w:r w:rsidRPr="00D85C65">
              <w:t>050</w:t>
            </w:r>
          </w:p>
        </w:tc>
        <w:tc>
          <w:tcPr>
            <w:tcW w:w="8640" w:type="dxa"/>
          </w:tcPr>
          <w:p w14:paraId="1A6F57A1"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Záruky</w:t>
            </w:r>
          </w:p>
          <w:p w14:paraId="3C817615" w14:textId="52BDCBE9" w:rsidR="00235D9D" w:rsidRPr="00D85C65" w:rsidRDefault="00464F34">
            <w:pPr>
              <w:pStyle w:val="InstructionsText"/>
            </w:pPr>
            <w:r w:rsidRPr="00D85C65">
              <w:t>Článok 203 CRR.</w:t>
            </w:r>
          </w:p>
          <w:p w14:paraId="4D9BDF1E" w14:textId="2D763072" w:rsidR="00235D9D" w:rsidRPr="00D85C65" w:rsidRDefault="00464F34">
            <w:pPr>
              <w:pStyle w:val="InstructionsText"/>
              <w:rPr>
                <w:b/>
                <w:u w:val="single"/>
              </w:rPr>
            </w:pPr>
            <w:r w:rsidRPr="00D85C65">
              <w:t>Nefinancované zabezpečenie</w:t>
            </w:r>
            <w:r w:rsidR="00D85C65">
              <w:t xml:space="preserve"> v </w:t>
            </w:r>
            <w:r w:rsidRPr="00D85C65">
              <w:t>zmysle vymedzenia</w:t>
            </w:r>
            <w:r w:rsidR="00D85C65">
              <w:t xml:space="preserve"> v </w:t>
            </w:r>
            <w:r w:rsidRPr="00D85C65">
              <w:t>článku 4 ods. 1 bode 59 CRR, ktoré nezahŕňa kreditné deriváty.</w:t>
            </w:r>
          </w:p>
        </w:tc>
      </w:tr>
      <w:tr w:rsidR="00235D9D" w:rsidRPr="00D85C65" w14:paraId="53EC46EE" w14:textId="77777777" w:rsidTr="00672D2A">
        <w:tc>
          <w:tcPr>
            <w:tcW w:w="1188" w:type="dxa"/>
          </w:tcPr>
          <w:p w14:paraId="664C21AF" w14:textId="77777777" w:rsidR="00235D9D" w:rsidRPr="00D85C65" w:rsidRDefault="00464F34">
            <w:pPr>
              <w:pStyle w:val="InstructionsText"/>
            </w:pPr>
            <w:r w:rsidRPr="00D85C65">
              <w:t>060</w:t>
            </w:r>
          </w:p>
        </w:tc>
        <w:tc>
          <w:tcPr>
            <w:tcW w:w="8640" w:type="dxa"/>
          </w:tcPr>
          <w:p w14:paraId="11B5337C"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Kreditné deriváty</w:t>
            </w:r>
          </w:p>
          <w:p w14:paraId="6F84C7A7" w14:textId="32C70D1A" w:rsidR="00235D9D" w:rsidRPr="00D85C65" w:rsidRDefault="00464F34">
            <w:pPr>
              <w:pStyle w:val="InstructionsText"/>
              <w:rPr>
                <w:b/>
                <w:u w:val="single"/>
              </w:rPr>
            </w:pPr>
            <w:r w:rsidRPr="00D85C65">
              <w:t>Článok 204 CRR.</w:t>
            </w:r>
          </w:p>
        </w:tc>
      </w:tr>
      <w:tr w:rsidR="00235D9D" w:rsidRPr="00D85C65" w14:paraId="33D7E361" w14:textId="77777777" w:rsidTr="00672D2A">
        <w:tc>
          <w:tcPr>
            <w:tcW w:w="1188" w:type="dxa"/>
          </w:tcPr>
          <w:p w14:paraId="2A69FCA4" w14:textId="77777777" w:rsidR="00235D9D" w:rsidRPr="00D85C65" w:rsidRDefault="00464F34">
            <w:pPr>
              <w:pStyle w:val="InstructionsText"/>
            </w:pPr>
            <w:r w:rsidRPr="00D85C65">
              <w:t>070 – 080</w:t>
            </w:r>
          </w:p>
          <w:p w14:paraId="3F0DF3CC" w14:textId="77777777" w:rsidR="00235D9D" w:rsidRPr="00D85C65" w:rsidRDefault="00235D9D">
            <w:pPr>
              <w:pStyle w:val="InstructionsText"/>
            </w:pPr>
          </w:p>
        </w:tc>
        <w:tc>
          <w:tcPr>
            <w:tcW w:w="8640" w:type="dxa"/>
          </w:tcPr>
          <w:p w14:paraId="154EB93F"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Financované zabezpečenie</w:t>
            </w:r>
          </w:p>
          <w:p w14:paraId="08255B17" w14:textId="210CE143" w:rsidR="00235D9D" w:rsidRPr="00D85C65" w:rsidRDefault="009C44E7">
            <w:pPr>
              <w:pStyle w:val="InstructionsText"/>
            </w:pPr>
            <w:r w:rsidRPr="00D85C65">
              <w:t>Tieto stĺpce odkazujú na financované zabezpečenie</w:t>
            </w:r>
            <w:r w:rsidR="00D85C65">
              <w:t xml:space="preserve"> v </w:t>
            </w:r>
            <w:r w:rsidRPr="00D85C65">
              <w:t>zmysle vymedzenia</w:t>
            </w:r>
            <w:r w:rsidR="00D85C65">
              <w:t xml:space="preserve"> v </w:t>
            </w:r>
            <w:r w:rsidRPr="00D85C65">
              <w:t>článku 4 ods. 1 bode 58 CRR</w:t>
            </w:r>
            <w:r w:rsidR="00D85C65">
              <w:t xml:space="preserve"> a </w:t>
            </w:r>
            <w:r w:rsidRPr="00D85C65">
              <w:t>podliehajú pravidlám uvedeným</w:t>
            </w:r>
            <w:r w:rsidR="00D85C65">
              <w:t xml:space="preserve"> v </w:t>
            </w:r>
            <w:r w:rsidRPr="00D85C65">
              <w:t>článkoch 196, 197</w:t>
            </w:r>
            <w:r w:rsidR="00D85C65">
              <w:t xml:space="preserve"> a </w:t>
            </w:r>
            <w:r w:rsidRPr="00D85C65">
              <w:t>200 CRR. Hodnoty nesmú obsahovať rámcové dohody</w:t>
            </w:r>
            <w:r w:rsidR="00D85C65">
              <w:t xml:space="preserve"> o </w:t>
            </w:r>
            <w:r w:rsidRPr="00D85C65">
              <w:t>vzájomnom započítavaní (už zahrnuté</w:t>
            </w:r>
            <w:r w:rsidR="00D85C65">
              <w:t xml:space="preserve"> v </w:t>
            </w:r>
            <w:r w:rsidRPr="00D85C65">
              <w:t>pôvodnej expozícii pred uplatnením konverzných faktorov).</w:t>
            </w:r>
          </w:p>
          <w:p w14:paraId="1C24337C" w14:textId="2751AE9E" w:rsidR="00235D9D" w:rsidRPr="00D85C65" w:rsidRDefault="00167619">
            <w:pPr>
              <w:pStyle w:val="InstructionsText"/>
            </w:pPr>
            <w:r w:rsidRPr="00D85C65">
              <w:t>S investíciami do dlhových nástrojov viazaných na úver podľa článku 218 CRR</w:t>
            </w:r>
            <w:r w:rsidR="00D85C65">
              <w:t xml:space="preserve"> a s </w:t>
            </w:r>
            <w:r w:rsidRPr="00D85C65">
              <w:t>pozíciami vzájomného započítavania</w:t>
            </w:r>
            <w:r w:rsidR="00D85C65">
              <w:t xml:space="preserve"> v </w:t>
            </w:r>
            <w:r w:rsidRPr="00D85C65">
              <w:t>súvahe vyplývajúcimi</w:t>
            </w:r>
            <w:r w:rsidR="00D85C65">
              <w:t xml:space="preserve"> z </w:t>
            </w:r>
            <w:r w:rsidRPr="00D85C65">
              <w:t>prípustných dohôd</w:t>
            </w:r>
            <w:r w:rsidR="00D85C65">
              <w:t xml:space="preserve"> o </w:t>
            </w:r>
            <w:r w:rsidRPr="00D85C65">
              <w:t>vzájomnom započítavaní</w:t>
            </w:r>
            <w:r w:rsidR="00D85C65">
              <w:t xml:space="preserve"> v </w:t>
            </w:r>
            <w:r w:rsidRPr="00D85C65">
              <w:t>súvahe podľa článku 219 CRR sa zaobchádza ako</w:t>
            </w:r>
            <w:r w:rsidR="00D85C65">
              <w:t xml:space="preserve"> s </w:t>
            </w:r>
            <w:r w:rsidRPr="00D85C65">
              <w:t>peňažným kolaterálom.</w:t>
            </w:r>
          </w:p>
        </w:tc>
      </w:tr>
      <w:tr w:rsidR="00235D9D" w:rsidRPr="00D85C65" w14:paraId="684855B2" w14:textId="77777777" w:rsidTr="00672D2A">
        <w:tc>
          <w:tcPr>
            <w:tcW w:w="1188" w:type="dxa"/>
          </w:tcPr>
          <w:p w14:paraId="7C3AD714" w14:textId="77777777" w:rsidR="00235D9D" w:rsidRPr="00D85C65" w:rsidRDefault="00464F34">
            <w:pPr>
              <w:pStyle w:val="InstructionsText"/>
            </w:pPr>
            <w:r w:rsidRPr="00D85C65">
              <w:t>070</w:t>
            </w:r>
          </w:p>
        </w:tc>
        <w:tc>
          <w:tcPr>
            <w:tcW w:w="8640" w:type="dxa"/>
          </w:tcPr>
          <w:p w14:paraId="785A081B" w14:textId="77777777" w:rsidR="00235D9D" w:rsidRPr="00D85C65" w:rsidRDefault="00464F34">
            <w:pPr>
              <w:pStyle w:val="InstructionsText"/>
            </w:pPr>
            <w:r w:rsidRPr="00D85C65">
              <w:rPr>
                <w:rStyle w:val="InstructionsTabelleberschrift"/>
                <w:rFonts w:ascii="Times New Roman" w:hAnsi="Times New Roman"/>
                <w:sz w:val="24"/>
              </w:rPr>
              <w:t>Finančný kolaterál: jednoduchá metóda</w:t>
            </w:r>
          </w:p>
          <w:p w14:paraId="30F5FF1A" w14:textId="5D50D4A1" w:rsidR="00235D9D" w:rsidRPr="00D85C65" w:rsidRDefault="00167619">
            <w:pPr>
              <w:pStyle w:val="InstructionsText"/>
            </w:pPr>
            <w:r w:rsidRPr="00D85C65">
              <w:t>Článok 222 ods. 1</w:t>
            </w:r>
            <w:r w:rsidR="00D85C65">
              <w:t xml:space="preserve"> a </w:t>
            </w:r>
            <w:r w:rsidRPr="00D85C65">
              <w:t>2 CRR.</w:t>
            </w:r>
          </w:p>
        </w:tc>
      </w:tr>
      <w:tr w:rsidR="00235D9D" w:rsidRPr="00D85C65" w14:paraId="4F0A954E" w14:textId="77777777" w:rsidTr="00672D2A">
        <w:tc>
          <w:tcPr>
            <w:tcW w:w="1188" w:type="dxa"/>
          </w:tcPr>
          <w:p w14:paraId="3A0C71EB" w14:textId="77777777" w:rsidR="00235D9D" w:rsidRPr="00D85C65" w:rsidRDefault="00464F34">
            <w:pPr>
              <w:pStyle w:val="InstructionsText"/>
            </w:pPr>
            <w:r w:rsidRPr="00D85C65">
              <w:t>080</w:t>
            </w:r>
          </w:p>
        </w:tc>
        <w:tc>
          <w:tcPr>
            <w:tcW w:w="8640" w:type="dxa"/>
          </w:tcPr>
          <w:p w14:paraId="0A7B1F90"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Iné financované zabezpečenie</w:t>
            </w:r>
          </w:p>
          <w:p w14:paraId="30768CF6" w14:textId="749ACE07" w:rsidR="00235D9D" w:rsidRPr="00D85C65" w:rsidRDefault="00464F34">
            <w:pPr>
              <w:pStyle w:val="InstructionsText"/>
            </w:pPr>
            <w:r w:rsidRPr="00D85C65">
              <w:t>Článok 232 CRR.</w:t>
            </w:r>
          </w:p>
        </w:tc>
      </w:tr>
      <w:tr w:rsidR="00235D9D" w:rsidRPr="00D85C65" w14:paraId="66728599" w14:textId="77777777" w:rsidTr="00672D2A">
        <w:tc>
          <w:tcPr>
            <w:tcW w:w="1188" w:type="dxa"/>
          </w:tcPr>
          <w:p w14:paraId="640EA64E" w14:textId="77777777" w:rsidR="00235D9D" w:rsidRPr="00D85C65" w:rsidRDefault="00464F34">
            <w:pPr>
              <w:pStyle w:val="InstructionsText"/>
            </w:pPr>
            <w:r w:rsidRPr="00D85C65">
              <w:t>090 – 100</w:t>
            </w:r>
          </w:p>
        </w:tc>
        <w:tc>
          <w:tcPr>
            <w:tcW w:w="8640" w:type="dxa"/>
          </w:tcPr>
          <w:p w14:paraId="210ED76E"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SUBSTITÚCIA EXPOZÍCIE NA ZÁKLADE ZMIERŇOVANIA KREDITNÉHO RIZIKA</w:t>
            </w:r>
          </w:p>
          <w:p w14:paraId="516B4950" w14:textId="2E2144E7" w:rsidR="00235D9D" w:rsidRPr="00D85C65" w:rsidRDefault="00464F34">
            <w:pPr>
              <w:pStyle w:val="InstructionsText"/>
            </w:pPr>
            <w:r w:rsidRPr="00D85C65">
              <w:t>Článok 222 ods. 3, článok 235 ods. 1</w:t>
            </w:r>
            <w:r w:rsidR="00D85C65">
              <w:t xml:space="preserve"> a </w:t>
            </w:r>
            <w:r w:rsidRPr="00D85C65">
              <w:t>2</w:t>
            </w:r>
            <w:r w:rsidR="00D85C65">
              <w:t xml:space="preserve"> a </w:t>
            </w:r>
            <w:r w:rsidRPr="00D85C65">
              <w:t>článok 236 CRR.</w:t>
            </w:r>
          </w:p>
          <w:p w14:paraId="1BE85E4D" w14:textId="0619049F" w:rsidR="00235D9D" w:rsidRPr="00D85C65" w:rsidRDefault="00464F34">
            <w:pPr>
              <w:pStyle w:val="InstructionsText"/>
            </w:pPr>
            <w:r w:rsidRPr="00D85C65">
              <w:t>Záporné toky zodpovedajú krytej časti pôvodnej expozície pred uplatnením konverzných faktorov, ktorá sa odpočíta od triedy expozícií dlžníka</w:t>
            </w:r>
            <w:r w:rsidR="00D85C65">
              <w:t xml:space="preserve"> a </w:t>
            </w:r>
            <w:r w:rsidRPr="00D85C65">
              <w:t>následne sa zaradí do triedy expozícií poskytovateľa zabezpečenia. Táto hodnota sa považuje za kladný tok do triedy expozícií poskytovateľa zabezpečenia.</w:t>
            </w:r>
          </w:p>
          <w:p w14:paraId="3C767A74" w14:textId="1E8D60E6" w:rsidR="00235D9D" w:rsidRPr="00D85C65" w:rsidRDefault="00464F34">
            <w:pPr>
              <w:pStyle w:val="InstructionsText"/>
              <w:rPr>
                <w:b/>
              </w:rPr>
            </w:pPr>
            <w:r w:rsidRPr="00D85C65">
              <w:t>Vykazujú sa kladné toky</w:t>
            </w:r>
            <w:r w:rsidR="00D85C65">
              <w:t xml:space="preserve"> a </w:t>
            </w:r>
            <w:r w:rsidRPr="00D85C65">
              <w:t>aj záporné toky</w:t>
            </w:r>
            <w:r w:rsidR="00D85C65">
              <w:t xml:space="preserve"> v </w:t>
            </w:r>
            <w:r w:rsidRPr="00D85C65">
              <w:t>rámci rovnakých tried expozícií.</w:t>
            </w:r>
          </w:p>
          <w:p w14:paraId="28447CBF" w14:textId="5AF6A1EE" w:rsidR="00235D9D" w:rsidRPr="00D85C65" w:rsidRDefault="00464F34">
            <w:pPr>
              <w:pStyle w:val="InstructionsText"/>
            </w:pPr>
            <w:r w:rsidRPr="00D85C65">
              <w:t>Zohľadnia sa expozície pochádzajúce</w:t>
            </w:r>
            <w:r w:rsidR="00D85C65">
              <w:t xml:space="preserve"> z </w:t>
            </w:r>
            <w:r w:rsidRPr="00D85C65">
              <w:t>možných kladných</w:t>
            </w:r>
            <w:r w:rsidR="00D85C65">
              <w:t xml:space="preserve"> a </w:t>
            </w:r>
            <w:r w:rsidRPr="00D85C65">
              <w:t>záporných tokov</w:t>
            </w:r>
            <w:r w:rsidR="00D85C65">
              <w:t xml:space="preserve"> z a </w:t>
            </w:r>
            <w:r w:rsidRPr="00D85C65">
              <w:t>do iných vzorov.</w:t>
            </w:r>
          </w:p>
        </w:tc>
      </w:tr>
      <w:tr w:rsidR="00235D9D" w:rsidRPr="00D85C65" w14:paraId="2CD19DE6" w14:textId="77777777" w:rsidTr="00672D2A">
        <w:tc>
          <w:tcPr>
            <w:tcW w:w="1188" w:type="dxa"/>
          </w:tcPr>
          <w:p w14:paraId="527C3318" w14:textId="77777777" w:rsidR="00235D9D" w:rsidRPr="00D85C65" w:rsidRDefault="00464F34">
            <w:pPr>
              <w:pStyle w:val="InstructionsText"/>
            </w:pPr>
            <w:r w:rsidRPr="00D85C65">
              <w:t>110</w:t>
            </w:r>
          </w:p>
        </w:tc>
        <w:tc>
          <w:tcPr>
            <w:tcW w:w="8640" w:type="dxa"/>
          </w:tcPr>
          <w:p w14:paraId="01C10ADF" w14:textId="2774256C"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ČISTÁ EXPOZÍCIA PO ÚČINKOCH SUBSTITÚCIE CRM PRED KONVERZNÝMI FAKTORMI</w:t>
            </w:r>
          </w:p>
          <w:p w14:paraId="65CAB6BF" w14:textId="4E89DBE1" w:rsidR="00235D9D" w:rsidRPr="00D85C65" w:rsidRDefault="00464F34">
            <w:pPr>
              <w:pStyle w:val="InstructionsText"/>
            </w:pPr>
            <w:r w:rsidRPr="00D85C65">
              <w:lastRenderedPageBreak/>
              <w:t>Hodnota expozície po odpočítaní úprav ocenení po zohľadnení záporných tokov</w:t>
            </w:r>
            <w:r w:rsidR="00D85C65">
              <w:t xml:space="preserve"> a </w:t>
            </w:r>
            <w:r w:rsidRPr="00D85C65">
              <w:t>kladných tokov na základe POSTUPOV NA ZMIERŇOVANIE KREDITNÉHO RIZIKA (CRM)</w:t>
            </w:r>
            <w:r w:rsidR="00D85C65">
              <w:t xml:space="preserve"> S </w:t>
            </w:r>
            <w:r w:rsidRPr="00D85C65">
              <w:t>ÚČINKAMI SUBSTITÚCIE NA EXPOZÍCIU</w:t>
            </w:r>
          </w:p>
        </w:tc>
      </w:tr>
      <w:tr w:rsidR="00235D9D" w:rsidRPr="00D85C65" w14:paraId="5C5D751D" w14:textId="77777777" w:rsidTr="00672D2A">
        <w:tc>
          <w:tcPr>
            <w:tcW w:w="1188" w:type="dxa"/>
          </w:tcPr>
          <w:p w14:paraId="00A3493D" w14:textId="77777777" w:rsidR="00235D9D" w:rsidRPr="00D85C65" w:rsidRDefault="00464F34">
            <w:pPr>
              <w:pStyle w:val="InstructionsText"/>
            </w:pPr>
            <w:r w:rsidRPr="00D85C65">
              <w:lastRenderedPageBreak/>
              <w:t>120 – 140</w:t>
            </w:r>
          </w:p>
        </w:tc>
        <w:tc>
          <w:tcPr>
            <w:tcW w:w="8640" w:type="dxa"/>
          </w:tcPr>
          <w:p w14:paraId="133D63FB" w14:textId="7BC85916" w:rsidR="00235D9D" w:rsidRPr="00D85C65" w:rsidRDefault="00464F34">
            <w:pPr>
              <w:pStyle w:val="InstructionsText"/>
            </w:pPr>
            <w:r w:rsidRPr="00D85C65">
              <w:rPr>
                <w:rStyle w:val="InstructionsTabelleberschrift"/>
                <w:rFonts w:ascii="Times New Roman" w:hAnsi="Times New Roman"/>
                <w:sz w:val="24"/>
              </w:rPr>
              <w:t>POSTUPY NA ZMIERŇOVANIE KREDITNÉHO RIZIKA OVPLYVŇUJÚCE HODNOTU EXPOZÍCIE. FINANCOVANÉ ZABEZPEČENIE, SÚHRNNÁ METÓDA NAKLADANIA</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FINANČNÝM KOLATERÁLOM</w:t>
            </w:r>
          </w:p>
          <w:p w14:paraId="35315E37" w14:textId="2F2FBDF5" w:rsidR="00235D9D" w:rsidRPr="00D85C65" w:rsidRDefault="00464F34">
            <w:pPr>
              <w:pStyle w:val="InstructionsText"/>
            </w:pPr>
            <w:r w:rsidRPr="00D85C65">
              <w:t>Články 223 až 228 CRR. Zahŕňajú aj dlhové nástroje viazané na úver (článok 218 CRR).</w:t>
            </w:r>
          </w:p>
          <w:p w14:paraId="41F834A4" w14:textId="389F9509" w:rsidR="00235D9D" w:rsidRPr="00D85C65" w:rsidRDefault="00464F34">
            <w:pPr>
              <w:pStyle w:val="InstructionsText"/>
            </w:pPr>
            <w:r w:rsidRPr="00D85C65">
              <w:t>S dlhovými nástrojmi viazanými na úver podľa článku 218 CRR</w:t>
            </w:r>
            <w:r w:rsidR="00D85C65">
              <w:t xml:space="preserve"> a s </w:t>
            </w:r>
            <w:r w:rsidRPr="00D85C65">
              <w:t>pozíciami vzájomného započítavania</w:t>
            </w:r>
            <w:r w:rsidR="00D85C65">
              <w:t xml:space="preserve"> v </w:t>
            </w:r>
            <w:r w:rsidRPr="00D85C65">
              <w:t>súvahe vyplývajúcimi</w:t>
            </w:r>
            <w:r w:rsidR="00D85C65">
              <w:t xml:space="preserve"> z </w:t>
            </w:r>
            <w:r w:rsidRPr="00D85C65">
              <w:t>prípustných dohôd</w:t>
            </w:r>
            <w:r w:rsidR="00D85C65">
              <w:t xml:space="preserve"> o </w:t>
            </w:r>
            <w:r w:rsidRPr="00D85C65">
              <w:t>vzájomnom započítavaní</w:t>
            </w:r>
            <w:r w:rsidR="00D85C65">
              <w:t xml:space="preserve"> v </w:t>
            </w:r>
            <w:r w:rsidRPr="00D85C65">
              <w:t>súvahe podľa článku 219 CRR sa zaobchádza ako</w:t>
            </w:r>
            <w:r w:rsidR="00D85C65">
              <w:t xml:space="preserve"> s </w:t>
            </w:r>
            <w:r w:rsidRPr="00D85C65">
              <w:t>peňažným kolaterálom.</w:t>
            </w:r>
          </w:p>
          <w:p w14:paraId="6A0852CD" w14:textId="19D74C77" w:rsidR="00235D9D" w:rsidRPr="00D85C65" w:rsidRDefault="00464F34">
            <w:pPr>
              <w:pStyle w:val="InstructionsText"/>
            </w:pPr>
            <w:r w:rsidRPr="00D85C65">
              <w:t>Účinok kolateralizácie súhrnnej metódy nakladania</w:t>
            </w:r>
            <w:r w:rsidR="00D85C65">
              <w:t xml:space="preserve"> s </w:t>
            </w:r>
            <w:r w:rsidRPr="00D85C65">
              <w:t>finančným kolaterálom uplatnenej na expozíciu, ktorá je zabezpečená prípustným finančným kolaterálom, sa vypočíta</w:t>
            </w:r>
            <w:r w:rsidR="00D85C65">
              <w:t xml:space="preserve"> v </w:t>
            </w:r>
            <w:r w:rsidRPr="00D85C65">
              <w:t>súlade</w:t>
            </w:r>
            <w:r w:rsidR="00D85C65">
              <w:t xml:space="preserve"> s </w:t>
            </w:r>
            <w:r w:rsidRPr="00D85C65">
              <w:t xml:space="preserve">článkami 223 až 228 CRR. </w:t>
            </w:r>
          </w:p>
        </w:tc>
      </w:tr>
      <w:tr w:rsidR="00235D9D" w:rsidRPr="00D85C65" w14:paraId="1A2DAD1A" w14:textId="77777777" w:rsidTr="00672D2A">
        <w:tc>
          <w:tcPr>
            <w:tcW w:w="1188" w:type="dxa"/>
          </w:tcPr>
          <w:p w14:paraId="0862AFEE" w14:textId="77777777" w:rsidR="00235D9D" w:rsidRPr="00D85C65" w:rsidRDefault="00464F34">
            <w:pPr>
              <w:pStyle w:val="InstructionsText"/>
            </w:pPr>
            <w:r w:rsidRPr="00D85C65">
              <w:t>120</w:t>
            </w:r>
          </w:p>
        </w:tc>
        <w:tc>
          <w:tcPr>
            <w:tcW w:w="8640" w:type="dxa"/>
          </w:tcPr>
          <w:p w14:paraId="4D04017F" w14:textId="0D2881BF"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Úprava expozície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volatility</w:t>
            </w:r>
          </w:p>
          <w:p w14:paraId="2DBA3C48" w14:textId="7BAE2CA0" w:rsidR="00235D9D" w:rsidRPr="00D85C65" w:rsidRDefault="00167619">
            <w:pPr>
              <w:pStyle w:val="InstructionsText"/>
            </w:pPr>
            <w:r w:rsidRPr="00D85C65">
              <w:t>Článok 223 ods. 2</w:t>
            </w:r>
            <w:r w:rsidR="00D85C65">
              <w:t xml:space="preserve"> a </w:t>
            </w:r>
            <w:r w:rsidRPr="00D85C65">
              <w:t>3 CRR.</w:t>
            </w:r>
          </w:p>
          <w:p w14:paraId="5CA75325" w14:textId="17B473F5" w:rsidR="00235D9D" w:rsidRPr="00D85C65" w:rsidRDefault="00464F34">
            <w:pPr>
              <w:pStyle w:val="InstructionsText"/>
            </w:pPr>
            <w:r w:rsidRPr="00D85C65">
              <w:t>Hodnota, ktorá sa má vykázať, je vplyv úpravy expozície</w:t>
            </w:r>
            <w:r w:rsidR="00D85C65">
              <w:t xml:space="preserve"> z </w:t>
            </w:r>
            <w:r w:rsidRPr="00D85C65">
              <w:t>dôvodu volatility (Eva – E) = E*He</w:t>
            </w:r>
          </w:p>
        </w:tc>
      </w:tr>
      <w:tr w:rsidR="00235D9D" w:rsidRPr="00D85C65" w14:paraId="1328FEEF" w14:textId="77777777" w:rsidTr="00672D2A">
        <w:tc>
          <w:tcPr>
            <w:tcW w:w="1188" w:type="dxa"/>
          </w:tcPr>
          <w:p w14:paraId="65567F2E" w14:textId="77777777" w:rsidR="00235D9D" w:rsidRPr="00D85C65" w:rsidRDefault="00464F34">
            <w:pPr>
              <w:pStyle w:val="InstructionsText"/>
            </w:pPr>
            <w:r w:rsidRPr="00D85C65">
              <w:t>130</w:t>
            </w:r>
          </w:p>
        </w:tc>
        <w:tc>
          <w:tcPr>
            <w:tcW w:w="8640" w:type="dxa"/>
          </w:tcPr>
          <w:p w14:paraId="425A0584" w14:textId="776C2A6F"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Hodnota kolaterálu upravená</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volatility (Cvam)</w:t>
            </w:r>
          </w:p>
          <w:p w14:paraId="129271D2" w14:textId="019500E0" w:rsidR="00235D9D" w:rsidRPr="00D85C65" w:rsidRDefault="00464F34">
            <w:pPr>
              <w:pStyle w:val="InstructionsText"/>
            </w:pPr>
            <w:r w:rsidRPr="00D85C65">
              <w:t>Článok 239 ods. 2 CRR.</w:t>
            </w:r>
          </w:p>
          <w:p w14:paraId="2C3705B9" w14:textId="7AAA28A4" w:rsidR="00D85C65" w:rsidRDefault="00464F34">
            <w:pPr>
              <w:pStyle w:val="InstructionsText"/>
            </w:pPr>
            <w:r w:rsidRPr="00D85C65">
              <w:t>Pre operácie obchodnej knihy sa zahrnú finančný kolaterál</w:t>
            </w:r>
            <w:r w:rsidR="00D85C65">
              <w:t xml:space="preserve"> a </w:t>
            </w:r>
            <w:r w:rsidRPr="00D85C65">
              <w:t>komodity prípustné pre expozície</w:t>
            </w:r>
            <w:r w:rsidR="00D85C65">
              <w:t xml:space="preserve"> v </w:t>
            </w:r>
            <w:r w:rsidRPr="00D85C65">
              <w:t>obchodnej knihe</w:t>
            </w:r>
            <w:r w:rsidR="00D85C65">
              <w:t xml:space="preserve"> v </w:t>
            </w:r>
            <w:r w:rsidRPr="00D85C65">
              <w:t>súlade</w:t>
            </w:r>
            <w:r w:rsidR="00D85C65">
              <w:t xml:space="preserve"> s </w:t>
            </w:r>
            <w:r w:rsidRPr="00D85C65">
              <w:t>článkom 299 ods. 2 písm. c) až f) CRR</w:t>
            </w:r>
            <w:r w:rsidR="00D85C65">
              <w:t>.</w:t>
            </w:r>
          </w:p>
          <w:p w14:paraId="0C722CAF" w14:textId="10406D34" w:rsidR="00235D9D" w:rsidRPr="00D85C65" w:rsidRDefault="00464F34">
            <w:pPr>
              <w:pStyle w:val="InstructionsText"/>
            </w:pPr>
            <w:r w:rsidRPr="00D85C65">
              <w:t>Hodnota, ktorá sa má vykázať, zodpovedá Cvam = C * (1 – Hc – Hfx) * (t – t*)/(T – t*). Vymedzenie C, Hc, Hfx, t, T</w:t>
            </w:r>
            <w:r w:rsidR="00D85C65">
              <w:t xml:space="preserve"> a </w:t>
            </w:r>
            <w:r w:rsidRPr="00D85C65">
              <w:t>t* je uvedené</w:t>
            </w:r>
            <w:r w:rsidR="00D85C65">
              <w:t xml:space="preserve"> v </w:t>
            </w:r>
            <w:r w:rsidRPr="00D85C65">
              <w:t>tretej časti hlave II kapitole 4 oddieloch 4</w:t>
            </w:r>
            <w:r w:rsidR="00D85C65">
              <w:t xml:space="preserve"> a </w:t>
            </w:r>
            <w:r w:rsidRPr="00D85C65">
              <w:t>5 CRR.</w:t>
            </w:r>
          </w:p>
        </w:tc>
      </w:tr>
      <w:tr w:rsidR="00235D9D" w:rsidRPr="00D85C65" w14:paraId="6DDB92B8" w14:textId="77777777" w:rsidTr="00672D2A">
        <w:tc>
          <w:tcPr>
            <w:tcW w:w="1188" w:type="dxa"/>
          </w:tcPr>
          <w:p w14:paraId="26C8C3A2" w14:textId="77777777" w:rsidR="00235D9D" w:rsidRPr="00D85C65" w:rsidRDefault="00464F34">
            <w:pPr>
              <w:pStyle w:val="InstructionsText"/>
            </w:pPr>
            <w:r w:rsidRPr="00D85C65">
              <w:t>140</w:t>
            </w:r>
          </w:p>
        </w:tc>
        <w:tc>
          <w:tcPr>
            <w:tcW w:w="8640" w:type="dxa"/>
          </w:tcPr>
          <w:p w14:paraId="7F05E927" w14:textId="234677B3" w:rsidR="00235D9D" w:rsidRPr="00D85C65" w:rsidRDefault="008932B5">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čoho: úprava</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volatility</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úprava</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splatnosti</w:t>
            </w:r>
          </w:p>
          <w:p w14:paraId="0DCD05B1" w14:textId="5BDE11DF" w:rsidR="00D85C65" w:rsidRDefault="00464F34">
            <w:pPr>
              <w:pStyle w:val="InstructionsText"/>
            </w:pPr>
            <w:r w:rsidRPr="00D85C65">
              <w:t>Článok 223 ods. 1 CRR</w:t>
            </w:r>
            <w:r w:rsidR="00D85C65">
              <w:t xml:space="preserve"> a </w:t>
            </w:r>
            <w:r w:rsidRPr="00D85C65">
              <w:t>článok 239 ods. 2 CRR</w:t>
            </w:r>
            <w:r w:rsidR="00D85C65">
              <w:t>.</w:t>
            </w:r>
          </w:p>
          <w:p w14:paraId="2A14750F" w14:textId="535E3181" w:rsidR="00235D9D" w:rsidRPr="00D85C65" w:rsidRDefault="00464F34">
            <w:pPr>
              <w:pStyle w:val="InstructionsText"/>
            </w:pPr>
            <w:r w:rsidRPr="00D85C65">
              <w:t>Hodnota, ktorá sa má vykázať, je spoločný vplyv úpravy</w:t>
            </w:r>
            <w:r w:rsidR="00D85C65">
              <w:t xml:space="preserve"> z </w:t>
            </w:r>
            <w:r w:rsidRPr="00D85C65">
              <w:t>dôvodu volatility</w:t>
            </w:r>
            <w:r w:rsidR="00D85C65">
              <w:t xml:space="preserve"> a </w:t>
            </w:r>
            <w:r w:rsidRPr="00D85C65">
              <w:t>úpravy</w:t>
            </w:r>
            <w:r w:rsidR="00D85C65">
              <w:t xml:space="preserve"> z </w:t>
            </w:r>
            <w:r w:rsidRPr="00D85C65">
              <w:t>dôvodu splatnosti (Cvam – C) = C * [(1 – Hc – Hfx) * (t – t*)/(T – t*) – 1], keď vplyv úpravy</w:t>
            </w:r>
            <w:r w:rsidR="00D85C65">
              <w:t xml:space="preserve"> z </w:t>
            </w:r>
            <w:r w:rsidRPr="00D85C65">
              <w:t>dôvodu volatility (Cva – C) = C * [(1 – Hc – Hfx) – 1]</w:t>
            </w:r>
            <w:r w:rsidR="00D85C65">
              <w:t xml:space="preserve"> a </w:t>
            </w:r>
            <w:r w:rsidRPr="00D85C65">
              <w:t>vplyv</w:t>
            </w:r>
            <w:r w:rsidR="00D85C65">
              <w:t xml:space="preserve"> z </w:t>
            </w:r>
            <w:r w:rsidRPr="00D85C65">
              <w:t>dôvodu splatnosti je (Cvam – Cva) = C * (1 – Hc – Hfx) * [(t – t*)/(T – t*) – 1].</w:t>
            </w:r>
          </w:p>
        </w:tc>
      </w:tr>
      <w:tr w:rsidR="00235D9D" w:rsidRPr="00D85C65" w14:paraId="5AC27CBC" w14:textId="77777777" w:rsidTr="00672D2A">
        <w:tc>
          <w:tcPr>
            <w:tcW w:w="1188" w:type="dxa"/>
          </w:tcPr>
          <w:p w14:paraId="1B98879E" w14:textId="77777777" w:rsidR="00235D9D" w:rsidRPr="00D85C65" w:rsidRDefault="00464F34">
            <w:pPr>
              <w:pStyle w:val="InstructionsText"/>
            </w:pPr>
            <w:r w:rsidRPr="00D85C65">
              <w:t>150</w:t>
            </w:r>
          </w:p>
        </w:tc>
        <w:tc>
          <w:tcPr>
            <w:tcW w:w="8640" w:type="dxa"/>
          </w:tcPr>
          <w:p w14:paraId="45978C18" w14:textId="77777777" w:rsidR="00235D9D" w:rsidRPr="00D85C65" w:rsidRDefault="00464F34">
            <w:pPr>
              <w:pStyle w:val="InstructionsText"/>
            </w:pPr>
            <w:r w:rsidRPr="00D85C65">
              <w:rPr>
                <w:rStyle w:val="InstructionsTabelleberschrift"/>
                <w:rFonts w:ascii="Times New Roman" w:hAnsi="Times New Roman"/>
                <w:sz w:val="24"/>
              </w:rPr>
              <w:t>Plne upravená hodnota expozície (E*)</w:t>
            </w:r>
          </w:p>
          <w:p w14:paraId="61E64A6F" w14:textId="4A6C3E76" w:rsidR="00235D9D" w:rsidRPr="00D85C65" w:rsidRDefault="00464F34">
            <w:pPr>
              <w:pStyle w:val="InstructionsText"/>
              <w:rPr>
                <w:b/>
                <w:u w:val="single"/>
              </w:rPr>
            </w:pPr>
            <w:r w:rsidRPr="00D85C65">
              <w:t>Článok 220 ods. 4, článok 223 ods. 2 až 5</w:t>
            </w:r>
            <w:r w:rsidR="00D85C65">
              <w:t xml:space="preserve"> a </w:t>
            </w:r>
            <w:r w:rsidRPr="00D85C65">
              <w:t>článok 228 ods. 1 CRR.</w:t>
            </w:r>
          </w:p>
        </w:tc>
      </w:tr>
      <w:tr w:rsidR="00235D9D" w:rsidRPr="00D85C65" w14:paraId="1C43E57B" w14:textId="77777777" w:rsidTr="00672D2A">
        <w:tc>
          <w:tcPr>
            <w:tcW w:w="1188" w:type="dxa"/>
          </w:tcPr>
          <w:p w14:paraId="72380E29" w14:textId="77777777" w:rsidR="00235D9D" w:rsidRPr="00D85C65" w:rsidRDefault="00464F34">
            <w:pPr>
              <w:pStyle w:val="InstructionsText"/>
            </w:pPr>
            <w:r w:rsidRPr="00D85C65">
              <w:t>160 – 190</w:t>
            </w:r>
          </w:p>
        </w:tc>
        <w:tc>
          <w:tcPr>
            <w:tcW w:w="8640" w:type="dxa"/>
          </w:tcPr>
          <w:p w14:paraId="6B84413D"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Rozčlenenie plne upravenej hodnoty expozície podsúvahových položiek podľa konverzných faktorov</w:t>
            </w:r>
          </w:p>
          <w:p w14:paraId="4BC7B539" w14:textId="123947D4" w:rsidR="00235D9D" w:rsidRPr="00D85C65" w:rsidRDefault="00464F34">
            <w:pPr>
              <w:pStyle w:val="InstructionsText"/>
            </w:pPr>
            <w:r w:rsidRPr="00D85C65">
              <w:t>Článok 111 ods. 1</w:t>
            </w:r>
            <w:r w:rsidR="00D85C65">
              <w:t xml:space="preserve"> a </w:t>
            </w:r>
            <w:r w:rsidRPr="00D85C65">
              <w:t>článok 4 ods. 1 bod 56 CRR. Pozri aj článok 222 ods. 3</w:t>
            </w:r>
            <w:r w:rsidR="00D85C65">
              <w:t xml:space="preserve"> a </w:t>
            </w:r>
            <w:r w:rsidRPr="00D85C65">
              <w:t>článok 228 ods. 1 CRR.</w:t>
            </w:r>
          </w:p>
          <w:p w14:paraId="4780337C" w14:textId="77777777" w:rsidR="00235D9D" w:rsidRPr="00D85C65" w:rsidRDefault="000A4C10">
            <w:pPr>
              <w:pStyle w:val="InstructionsText"/>
              <w:rPr>
                <w:b/>
                <w:u w:val="single"/>
              </w:rPr>
            </w:pPr>
            <w:r w:rsidRPr="00D85C65">
              <w:t>Vykazované čísla sú plne upravené hodnoty expozície pre uplatnením konverzného faktora.</w:t>
            </w:r>
          </w:p>
        </w:tc>
      </w:tr>
      <w:tr w:rsidR="00235D9D" w:rsidRPr="00D85C65" w14:paraId="2134E394" w14:textId="77777777" w:rsidTr="00672D2A">
        <w:tc>
          <w:tcPr>
            <w:tcW w:w="1188" w:type="dxa"/>
          </w:tcPr>
          <w:p w14:paraId="73C75375" w14:textId="77777777" w:rsidR="00235D9D" w:rsidRPr="00D85C65" w:rsidRDefault="00464F34">
            <w:pPr>
              <w:pStyle w:val="InstructionsText"/>
            </w:pPr>
            <w:r w:rsidRPr="00D85C65">
              <w:t>200</w:t>
            </w:r>
          </w:p>
        </w:tc>
        <w:tc>
          <w:tcPr>
            <w:tcW w:w="8640" w:type="dxa"/>
          </w:tcPr>
          <w:p w14:paraId="40D99D0D" w14:textId="77777777" w:rsidR="00235D9D" w:rsidRPr="00D85C65" w:rsidRDefault="00464F34">
            <w:pPr>
              <w:pStyle w:val="InstructionsText"/>
            </w:pPr>
            <w:r w:rsidRPr="00D85C65">
              <w:rPr>
                <w:rStyle w:val="InstructionsTabelleberschrift"/>
                <w:rFonts w:ascii="Times New Roman" w:hAnsi="Times New Roman"/>
                <w:sz w:val="24"/>
              </w:rPr>
              <w:t>Hodnota expozície</w:t>
            </w:r>
          </w:p>
          <w:p w14:paraId="776AC4C6" w14:textId="287D67CA" w:rsidR="00235D9D" w:rsidRPr="00D85C65" w:rsidRDefault="00531FC9">
            <w:pPr>
              <w:pStyle w:val="InstructionsText"/>
            </w:pPr>
            <w:r w:rsidRPr="00D85C65">
              <w:lastRenderedPageBreak/>
              <w:t>Článok 111 CRR</w:t>
            </w:r>
            <w:r w:rsidR="00D85C65">
              <w:t xml:space="preserve"> a </w:t>
            </w:r>
            <w:r w:rsidRPr="00D85C65">
              <w:t>tretia časť hlava II kapitola 4 oddiel 4 CRR.</w:t>
            </w:r>
          </w:p>
          <w:p w14:paraId="560BE3F4" w14:textId="10FE0395" w:rsidR="00235D9D" w:rsidRPr="00D85C65" w:rsidRDefault="00464F34">
            <w:pPr>
              <w:pStyle w:val="InstructionsText"/>
            </w:pPr>
            <w:r w:rsidRPr="00D85C65">
              <w:t>Hodnota expozície po zohľadnení úprav ocenení, všetkých zmiernení kreditného rizika</w:t>
            </w:r>
            <w:r w:rsidR="00D85C65">
              <w:t xml:space="preserve"> a </w:t>
            </w:r>
            <w:r w:rsidRPr="00D85C65">
              <w:t>konverzných faktorov, ktorá sa má priradiť rizikovým váham</w:t>
            </w:r>
            <w:r w:rsidR="00D85C65">
              <w:t xml:space="preserve"> v </w:t>
            </w:r>
            <w:r w:rsidRPr="00D85C65">
              <w:t>súlade</w:t>
            </w:r>
            <w:r w:rsidR="00D85C65">
              <w:t xml:space="preserve"> s </w:t>
            </w:r>
            <w:r w:rsidRPr="00D85C65">
              <w:t>článkom 113</w:t>
            </w:r>
            <w:r w:rsidR="00D85C65">
              <w:t xml:space="preserve"> a </w:t>
            </w:r>
            <w:r w:rsidRPr="00D85C65">
              <w:t>treťou časťou hlavou II kapitolou 2 oddielom 2 CRR.</w:t>
            </w:r>
          </w:p>
        </w:tc>
      </w:tr>
      <w:tr w:rsidR="00235D9D" w:rsidRPr="00D85C65" w14:paraId="31B06F73" w14:textId="77777777" w:rsidTr="00672D2A">
        <w:tc>
          <w:tcPr>
            <w:tcW w:w="1188" w:type="dxa"/>
          </w:tcPr>
          <w:p w14:paraId="050B79BD" w14:textId="77777777" w:rsidR="00235D9D" w:rsidRPr="00D85C65" w:rsidRDefault="00464F34">
            <w:pPr>
              <w:pStyle w:val="InstructionsText"/>
            </w:pPr>
            <w:r w:rsidRPr="00D85C65">
              <w:lastRenderedPageBreak/>
              <w:t>210</w:t>
            </w:r>
          </w:p>
        </w:tc>
        <w:tc>
          <w:tcPr>
            <w:tcW w:w="8640" w:type="dxa"/>
          </w:tcPr>
          <w:p w14:paraId="2449FA63" w14:textId="2B7CAA8E"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 vyplývajúca</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kreditného rizika protistrany</w:t>
            </w:r>
          </w:p>
          <w:p w14:paraId="451780AE" w14:textId="48215FE0" w:rsidR="00235D9D" w:rsidRPr="00D85C65" w:rsidRDefault="00464F34">
            <w:pPr>
              <w:pStyle w:val="InstructionsText"/>
              <w:rPr>
                <w:b/>
                <w:u w:val="single"/>
              </w:rPr>
            </w:pPr>
            <w:r w:rsidRPr="00D85C65">
              <w:t>Pre derivátové nástroje, repo transakcie, transakcie požičiavania alebo vypožičiavania cenných papierov alebo komodít, transakcie</w:t>
            </w:r>
            <w:r w:rsidR="00D85C65">
              <w:t xml:space="preserve"> s </w:t>
            </w:r>
            <w:r w:rsidRPr="00D85C65">
              <w:t>dlhou dobou vyrovnania</w:t>
            </w:r>
            <w:r w:rsidR="00D85C65">
              <w:t xml:space="preserve"> a </w:t>
            </w:r>
            <w:r w:rsidRPr="00D85C65">
              <w:t>transakcie požičiavania</w:t>
            </w:r>
            <w:r w:rsidR="00D85C65">
              <w:t xml:space="preserve"> s </w:t>
            </w:r>
            <w:r w:rsidRPr="00D85C65">
              <w:t>dozabezpečením podľa tretej časti hlavy II kapitoly 6 CRR hodnota expozície pre kreditné riziko protistrany vypočítaná</w:t>
            </w:r>
            <w:r w:rsidR="00D85C65">
              <w:t xml:space="preserve"> v </w:t>
            </w:r>
            <w:r w:rsidRPr="00D85C65">
              <w:t>súlade</w:t>
            </w:r>
            <w:r w:rsidR="00D85C65">
              <w:t xml:space="preserve"> s </w:t>
            </w:r>
            <w:r w:rsidRPr="00D85C65">
              <w:t>postupmi stanovenými</w:t>
            </w:r>
            <w:r w:rsidR="00D85C65">
              <w:t xml:space="preserve"> v </w:t>
            </w:r>
            <w:r w:rsidRPr="00D85C65">
              <w:t>tretej časti hlave II kapitole 6 oddieloch 2 až 5 CRR.</w:t>
            </w:r>
          </w:p>
        </w:tc>
      </w:tr>
      <w:tr w:rsidR="00235D9D" w:rsidRPr="00D85C65" w14:paraId="61787D1E" w14:textId="77777777" w:rsidTr="00672D2A">
        <w:tc>
          <w:tcPr>
            <w:tcW w:w="1188" w:type="dxa"/>
          </w:tcPr>
          <w:p w14:paraId="58B05941" w14:textId="77777777" w:rsidR="00235D9D" w:rsidRPr="00D85C65" w:rsidRDefault="00464F34">
            <w:pPr>
              <w:pStyle w:val="InstructionsText"/>
            </w:pPr>
            <w:r w:rsidRPr="00D85C65">
              <w:t>215</w:t>
            </w:r>
          </w:p>
        </w:tc>
        <w:tc>
          <w:tcPr>
            <w:tcW w:w="8640" w:type="dxa"/>
          </w:tcPr>
          <w:p w14:paraId="005D0196" w14:textId="04E588C3"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Hodnota rizikovo vážených expozícií pred uplatnením koeficientu na podporu malých</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stredných podnikov (MSP)</w:t>
            </w:r>
          </w:p>
          <w:p w14:paraId="0B128B59" w14:textId="2D34EC2D" w:rsidR="00235D9D" w:rsidRPr="00D85C65" w:rsidRDefault="00167619">
            <w:pPr>
              <w:pStyle w:val="InstructionsText"/>
              <w:rPr>
                <w:b/>
                <w:u w:val="single"/>
              </w:rPr>
            </w:pPr>
            <w:r w:rsidRPr="00D85C65">
              <w:t>Článok 113 ods. 1 až 5 CRR bez zohľadnenia koeficientu na podporu MSP podľa článku 501 CRR.</w:t>
            </w:r>
          </w:p>
        </w:tc>
      </w:tr>
      <w:tr w:rsidR="00235D9D" w:rsidRPr="00D85C65" w14:paraId="119C4055" w14:textId="77777777" w:rsidTr="00672D2A">
        <w:tc>
          <w:tcPr>
            <w:tcW w:w="1188" w:type="dxa"/>
          </w:tcPr>
          <w:p w14:paraId="6664E16C" w14:textId="77777777" w:rsidR="00235D9D" w:rsidRPr="00D85C65" w:rsidRDefault="00464F34">
            <w:pPr>
              <w:pStyle w:val="InstructionsText"/>
            </w:pPr>
            <w:r w:rsidRPr="00D85C65">
              <w:t>220</w:t>
            </w:r>
          </w:p>
        </w:tc>
        <w:tc>
          <w:tcPr>
            <w:tcW w:w="8640" w:type="dxa"/>
          </w:tcPr>
          <w:p w14:paraId="4728CE9D"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Hodnota rizikovo vážených expozícií po uplatnení koeficientu na podporu MSP</w:t>
            </w:r>
          </w:p>
          <w:p w14:paraId="038B49D6" w14:textId="62C3D46E" w:rsidR="00235D9D" w:rsidRPr="00D85C65" w:rsidRDefault="00167619">
            <w:pPr>
              <w:pStyle w:val="InstructionsText"/>
              <w:rPr>
                <w:b/>
                <w:u w:val="single"/>
              </w:rPr>
            </w:pPr>
            <w:r w:rsidRPr="00D85C65">
              <w:t>Článok 113 ods. 1 až 5 CRR so zohľadnením koeficientu na podporu MSP podľa článku 501 CRR.</w:t>
            </w:r>
          </w:p>
        </w:tc>
      </w:tr>
      <w:tr w:rsidR="00235D9D" w:rsidRPr="00D85C65" w14:paraId="1ADA61B6" w14:textId="77777777" w:rsidTr="00672D2A">
        <w:tc>
          <w:tcPr>
            <w:tcW w:w="1188" w:type="dxa"/>
            <w:shd w:val="clear" w:color="auto" w:fill="auto"/>
          </w:tcPr>
          <w:p w14:paraId="325CA916" w14:textId="77777777" w:rsidR="00235D9D" w:rsidRPr="00D85C65" w:rsidRDefault="00464F34">
            <w:pPr>
              <w:pStyle w:val="InstructionsText"/>
            </w:pPr>
            <w:r w:rsidRPr="00D85C65">
              <w:t>230</w:t>
            </w:r>
          </w:p>
        </w:tc>
        <w:tc>
          <w:tcPr>
            <w:tcW w:w="8640" w:type="dxa"/>
            <w:shd w:val="clear" w:color="auto" w:fill="auto"/>
          </w:tcPr>
          <w:p w14:paraId="27CF9147" w14:textId="573A7D85"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ratingovým hodnotením nominovanej ECAI</w:t>
            </w:r>
          </w:p>
          <w:p w14:paraId="610513ED" w14:textId="757D55CE" w:rsidR="00235D9D" w:rsidRPr="00D85C65" w:rsidRDefault="00D21B29">
            <w:pPr>
              <w:pStyle w:val="InstructionsText"/>
            </w:pPr>
            <w:r w:rsidRPr="00D85C65">
              <w:t>Článok 112 písm. a) až d), f), g), l), n), o)</w:t>
            </w:r>
            <w:r w:rsidR="00D85C65">
              <w:t xml:space="preserve"> a </w:t>
            </w:r>
            <w:r w:rsidRPr="00D85C65">
              <w:t>q) CRR.</w:t>
            </w:r>
          </w:p>
        </w:tc>
      </w:tr>
      <w:tr w:rsidR="00235D9D" w:rsidRPr="00D85C65" w14:paraId="65863454" w14:textId="77777777" w:rsidTr="00672D2A">
        <w:tc>
          <w:tcPr>
            <w:tcW w:w="1188" w:type="dxa"/>
            <w:shd w:val="clear" w:color="auto" w:fill="auto"/>
          </w:tcPr>
          <w:p w14:paraId="46E34B33" w14:textId="77777777" w:rsidR="00235D9D" w:rsidRPr="00D85C65" w:rsidRDefault="00464F34">
            <w:pPr>
              <w:pStyle w:val="InstructionsText"/>
            </w:pPr>
            <w:r w:rsidRPr="00D85C65">
              <w:t>240</w:t>
            </w:r>
          </w:p>
        </w:tc>
        <w:tc>
          <w:tcPr>
            <w:tcW w:w="8640" w:type="dxa"/>
            <w:shd w:val="clear" w:color="auto" w:fill="auto"/>
          </w:tcPr>
          <w:p w14:paraId="18C8B354" w14:textId="42A6F448"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ratingovým hodnotením odvodeným od ústrednej vlády</w:t>
            </w:r>
          </w:p>
          <w:p w14:paraId="66946226" w14:textId="2E4F9C3F" w:rsidR="00235D9D" w:rsidRPr="00D85C65" w:rsidRDefault="00D21B29">
            <w:pPr>
              <w:pStyle w:val="InstructionsText"/>
            </w:pPr>
            <w:r w:rsidRPr="00D85C65">
              <w:t>Článok 112 písm. b) až d), f), g), l)</w:t>
            </w:r>
            <w:r w:rsidR="00D85C65">
              <w:t xml:space="preserve"> a </w:t>
            </w:r>
            <w:r w:rsidRPr="00D85C65">
              <w:t>o) CRR.</w:t>
            </w:r>
          </w:p>
        </w:tc>
      </w:tr>
    </w:tbl>
    <w:p w14:paraId="68926343" w14:textId="77777777" w:rsidR="00235D9D" w:rsidRPr="00D85C65" w:rsidRDefault="00235D9D">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235D9D" w:rsidRPr="00D85C65" w14:paraId="0E4351BB" w14:textId="77777777" w:rsidTr="00672D2A">
        <w:tc>
          <w:tcPr>
            <w:tcW w:w="1188" w:type="dxa"/>
            <w:shd w:val="clear" w:color="auto" w:fill="CCCCCC"/>
          </w:tcPr>
          <w:p w14:paraId="52F6FEFE" w14:textId="77777777" w:rsidR="00235D9D" w:rsidRPr="00D85C65" w:rsidRDefault="007106FB">
            <w:pPr>
              <w:pStyle w:val="InstructionsText"/>
            </w:pPr>
            <w:r w:rsidRPr="00D85C65">
              <w:t>Riadky</w:t>
            </w:r>
          </w:p>
        </w:tc>
        <w:tc>
          <w:tcPr>
            <w:tcW w:w="8701" w:type="dxa"/>
            <w:shd w:val="clear" w:color="auto" w:fill="CCCCCC"/>
          </w:tcPr>
          <w:p w14:paraId="68A14790" w14:textId="77777777" w:rsidR="00235D9D" w:rsidRPr="00D85C65" w:rsidRDefault="00464F34">
            <w:pPr>
              <w:pStyle w:val="InstructionsText"/>
            </w:pPr>
            <w:r w:rsidRPr="00D85C65">
              <w:t>Pokyny</w:t>
            </w:r>
          </w:p>
        </w:tc>
      </w:tr>
      <w:tr w:rsidR="00235D9D" w:rsidRPr="00D85C65" w14:paraId="4B0F93DE" w14:textId="77777777" w:rsidTr="00672D2A">
        <w:tc>
          <w:tcPr>
            <w:tcW w:w="1188" w:type="dxa"/>
          </w:tcPr>
          <w:p w14:paraId="47A3346C" w14:textId="77777777" w:rsidR="00235D9D" w:rsidRPr="00D85C65" w:rsidRDefault="00464F34">
            <w:pPr>
              <w:pStyle w:val="InstructionsText"/>
            </w:pPr>
            <w:r w:rsidRPr="00D85C65">
              <w:t>010</w:t>
            </w:r>
          </w:p>
        </w:tc>
        <w:tc>
          <w:tcPr>
            <w:tcW w:w="8701" w:type="dxa"/>
          </w:tcPr>
          <w:p w14:paraId="5B1EE3A2" w14:textId="77777777" w:rsidR="00235D9D" w:rsidRPr="00D85C65" w:rsidRDefault="00464F34">
            <w:pPr>
              <w:pStyle w:val="InstructionsText"/>
            </w:pPr>
            <w:r w:rsidRPr="00D85C65">
              <w:rPr>
                <w:rStyle w:val="InstructionsTabelleberschrift"/>
                <w:rFonts w:ascii="Times New Roman" w:hAnsi="Times New Roman"/>
                <w:sz w:val="24"/>
              </w:rPr>
              <w:t>Celkové expozície</w:t>
            </w:r>
          </w:p>
        </w:tc>
      </w:tr>
      <w:tr w:rsidR="00235D9D" w:rsidRPr="00D85C65" w14:paraId="6FB1CA8B" w14:textId="77777777" w:rsidTr="00672D2A">
        <w:tc>
          <w:tcPr>
            <w:tcW w:w="1188" w:type="dxa"/>
          </w:tcPr>
          <w:p w14:paraId="2FA89992" w14:textId="77777777" w:rsidR="00235D9D" w:rsidRPr="00D85C65" w:rsidRDefault="00610B56">
            <w:pPr>
              <w:pStyle w:val="InstructionsText"/>
            </w:pPr>
            <w:r w:rsidRPr="00D85C65">
              <w:t>015</w:t>
            </w:r>
          </w:p>
        </w:tc>
        <w:tc>
          <w:tcPr>
            <w:tcW w:w="8701" w:type="dxa"/>
          </w:tcPr>
          <w:p w14:paraId="72183B6C" w14:textId="4347E4A7" w:rsidR="00235D9D" w:rsidRPr="00D85C65" w:rsidRDefault="00F5132F">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xml:space="preserve">z čoho: </w:t>
            </w:r>
            <w:r w:rsidR="00694DDE" w:rsidRPr="00D85C65">
              <w:rPr>
                <w:rStyle w:val="InstructionsTabelleberschrift"/>
                <w:rFonts w:ascii="Times New Roman" w:hAnsi="Times New Roman"/>
                <w:sz w:val="24"/>
              </w:rPr>
              <w:t>e</w:t>
            </w:r>
            <w:r w:rsidRPr="00D85C65">
              <w:rPr>
                <w:rStyle w:val="InstructionsTabelleberschrift"/>
                <w:rFonts w:ascii="Times New Roman" w:hAnsi="Times New Roman"/>
                <w:sz w:val="24"/>
              </w:rPr>
              <w:t>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stave zlyhania</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triedach expozícií „položky,</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ktorými súvisí osobitne vysoké riziko“</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„kapitálové expozície“</w:t>
            </w:r>
          </w:p>
          <w:p w14:paraId="26AC7FB8" w14:textId="77777777" w:rsidR="00235D9D" w:rsidRPr="00D85C65" w:rsidRDefault="00610B56">
            <w:pPr>
              <w:pStyle w:val="InstructionsText"/>
            </w:pPr>
            <w:r w:rsidRPr="00D85C65">
              <w:t>Článok 127 CRR.</w:t>
            </w:r>
          </w:p>
          <w:p w14:paraId="42AC7575" w14:textId="1BF0F97E" w:rsidR="00235D9D" w:rsidRPr="00D85C65" w:rsidRDefault="00610B56">
            <w:pPr>
              <w:pStyle w:val="InstructionsText"/>
            </w:pPr>
            <w:r w:rsidRPr="00D85C65">
              <w:t>Tento riadok sa vypĺňa len pre triedy expozícií „položky,</w:t>
            </w:r>
            <w:r w:rsidR="00D85C65">
              <w:t xml:space="preserve"> s </w:t>
            </w:r>
            <w:r w:rsidRPr="00D85C65">
              <w:t>ktorými súvisí osobitne vysoké riziko“</w:t>
            </w:r>
            <w:r w:rsidR="00D85C65">
              <w:t xml:space="preserve"> a </w:t>
            </w:r>
            <w:r w:rsidRPr="00D85C65">
              <w:t>„kapitálové expozície“.</w:t>
            </w:r>
          </w:p>
          <w:p w14:paraId="6D22EB82" w14:textId="47D806D7" w:rsidR="00235D9D" w:rsidRPr="00D85C65" w:rsidRDefault="00167619">
            <w:pPr>
              <w:pStyle w:val="InstructionsText"/>
            </w:pPr>
            <w:r w:rsidRPr="00D85C65">
              <w:t>Expozícia, ktorá sa buď uvádza</w:t>
            </w:r>
            <w:r w:rsidR="00D85C65">
              <w:t xml:space="preserve"> v </w:t>
            </w:r>
            <w:r w:rsidRPr="00D85C65">
              <w:t>článku 128 ods. 2 CRR alebo spĺňa kritériá stanovené</w:t>
            </w:r>
            <w:r w:rsidR="00D85C65">
              <w:t xml:space="preserve"> v </w:t>
            </w:r>
            <w:r w:rsidRPr="00D85C65">
              <w:t>článku 128 ods. 3 alebo článku 133 CRR, sa priradí</w:t>
            </w:r>
            <w:r w:rsidR="00D85C65">
              <w:t xml:space="preserve"> k </w:t>
            </w:r>
            <w:r w:rsidRPr="00D85C65">
              <w:t>triede expozícií „položky,</w:t>
            </w:r>
            <w:r w:rsidR="00D85C65">
              <w:t xml:space="preserve"> s </w:t>
            </w:r>
            <w:r w:rsidRPr="00D85C65">
              <w:t>ktorými súvisí osobitne vysoké riziko“ alebo „kapitálové expozície“. Neexistuje teda žiadne ďalšie pridelenie,</w:t>
            </w:r>
            <w:r w:rsidR="00D85C65">
              <w:t xml:space="preserve"> a </w:t>
            </w:r>
            <w:r w:rsidRPr="00D85C65">
              <w:t>to ani</w:t>
            </w:r>
            <w:r w:rsidR="00D85C65">
              <w:t xml:space="preserve"> v </w:t>
            </w:r>
            <w:r w:rsidRPr="00D85C65">
              <w:t>prípade, že expozícia je</w:t>
            </w:r>
            <w:r w:rsidR="00D85C65">
              <w:t xml:space="preserve"> v </w:t>
            </w:r>
            <w:r w:rsidRPr="00D85C65">
              <w:t>stave zlyhania podľa článku 127 CRR.</w:t>
            </w:r>
          </w:p>
        </w:tc>
      </w:tr>
      <w:tr w:rsidR="00235D9D" w:rsidRPr="00D85C65" w14:paraId="288A445F" w14:textId="77777777" w:rsidTr="00672D2A">
        <w:tc>
          <w:tcPr>
            <w:tcW w:w="1188" w:type="dxa"/>
            <w:shd w:val="clear" w:color="auto" w:fill="auto"/>
          </w:tcPr>
          <w:p w14:paraId="12B41B21" w14:textId="77777777" w:rsidR="00235D9D" w:rsidRPr="00D85C65" w:rsidRDefault="00462BAB">
            <w:pPr>
              <w:pStyle w:val="InstructionsText"/>
            </w:pPr>
            <w:r w:rsidRPr="00D85C65">
              <w:t>020</w:t>
            </w:r>
          </w:p>
        </w:tc>
        <w:tc>
          <w:tcPr>
            <w:tcW w:w="8701" w:type="dxa"/>
            <w:shd w:val="clear" w:color="auto" w:fill="auto"/>
          </w:tcPr>
          <w:p w14:paraId="2281725E"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 MSP</w:t>
            </w:r>
          </w:p>
          <w:p w14:paraId="5B0D4E86" w14:textId="77777777" w:rsidR="00235D9D" w:rsidRPr="00D85C65" w:rsidRDefault="00464F34">
            <w:pPr>
              <w:pStyle w:val="InstructionsText"/>
            </w:pPr>
            <w:r w:rsidRPr="00D85C65">
              <w:t xml:space="preserve">Vykazujú sa tu všetky expozície voči MSP. </w:t>
            </w:r>
          </w:p>
        </w:tc>
      </w:tr>
      <w:tr w:rsidR="00235D9D" w:rsidRPr="00D85C65" w14:paraId="18A6138B" w14:textId="77777777" w:rsidTr="00672D2A">
        <w:tc>
          <w:tcPr>
            <w:tcW w:w="1188" w:type="dxa"/>
            <w:shd w:val="clear" w:color="auto" w:fill="auto"/>
          </w:tcPr>
          <w:p w14:paraId="5B6DB43F" w14:textId="77777777" w:rsidR="00235D9D" w:rsidRPr="00D85C65" w:rsidRDefault="00462BAB">
            <w:pPr>
              <w:pStyle w:val="InstructionsText"/>
            </w:pPr>
            <w:r w:rsidRPr="00D85C65">
              <w:t>030</w:t>
            </w:r>
          </w:p>
        </w:tc>
        <w:tc>
          <w:tcPr>
            <w:tcW w:w="8701" w:type="dxa"/>
            <w:shd w:val="clear" w:color="auto" w:fill="auto"/>
          </w:tcPr>
          <w:p w14:paraId="1AA8B685" w14:textId="79589E38"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xml:space="preserve">z čoho: </w:t>
            </w:r>
            <w:r w:rsidR="00694DDE" w:rsidRPr="00D85C65">
              <w:rPr>
                <w:rStyle w:val="InstructionsTabelleberschrift"/>
                <w:rFonts w:ascii="Times New Roman" w:hAnsi="Times New Roman"/>
                <w:sz w:val="24"/>
              </w:rPr>
              <w:t>e</w:t>
            </w:r>
            <w:r w:rsidRPr="00D85C65">
              <w:rPr>
                <w:rStyle w:val="InstructionsTabelleberschrift"/>
                <w:rFonts w:ascii="Times New Roman" w:hAnsi="Times New Roman"/>
                <w:sz w:val="24"/>
              </w:rPr>
              <w:t>xpozície, na ktoré sa uplatňuje koeficient na podporu MSP</w:t>
            </w:r>
          </w:p>
          <w:p w14:paraId="556ED9CB" w14:textId="77777777" w:rsidR="00235D9D" w:rsidRPr="00D85C65" w:rsidRDefault="00464F34">
            <w:pPr>
              <w:pStyle w:val="InstructionsText"/>
            </w:pPr>
            <w:r w:rsidRPr="00D85C65">
              <w:t xml:space="preserve">Vykazujú sa tu len expozície, ktoré spĺňajú požiadavky článku 501 CRR. </w:t>
            </w:r>
          </w:p>
        </w:tc>
      </w:tr>
      <w:tr w:rsidR="00235D9D" w:rsidRPr="00D85C65" w14:paraId="3D1028AB" w14:textId="77777777" w:rsidTr="00672D2A">
        <w:tc>
          <w:tcPr>
            <w:tcW w:w="1188" w:type="dxa"/>
            <w:shd w:val="clear" w:color="auto" w:fill="auto"/>
          </w:tcPr>
          <w:p w14:paraId="36488A52" w14:textId="77777777" w:rsidR="00235D9D" w:rsidRPr="00D85C65" w:rsidRDefault="00462BAB">
            <w:pPr>
              <w:pStyle w:val="InstructionsText"/>
            </w:pPr>
            <w:r w:rsidRPr="00D85C65">
              <w:t>040</w:t>
            </w:r>
          </w:p>
        </w:tc>
        <w:tc>
          <w:tcPr>
            <w:tcW w:w="8701" w:type="dxa"/>
            <w:shd w:val="clear" w:color="auto" w:fill="auto"/>
          </w:tcPr>
          <w:p w14:paraId="17EF48ED"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 zabezpečené hypotékami na nehnuteľný majetok – určený na bývanie</w:t>
            </w:r>
          </w:p>
          <w:p w14:paraId="51CD7D78" w14:textId="6631FB20" w:rsidR="00235D9D" w:rsidRPr="00D85C65" w:rsidRDefault="00464F34">
            <w:pPr>
              <w:pStyle w:val="InstructionsText"/>
            </w:pPr>
            <w:r w:rsidRPr="00D85C65">
              <w:lastRenderedPageBreak/>
              <w:t>Článok 125 CRR.</w:t>
            </w:r>
          </w:p>
          <w:p w14:paraId="53534879" w14:textId="688AC5A8" w:rsidR="00235D9D" w:rsidRPr="00D85C65" w:rsidRDefault="00464F34">
            <w:pPr>
              <w:pStyle w:val="InstructionsText"/>
              <w:rPr>
                <w:b/>
                <w:u w:val="single"/>
              </w:rPr>
            </w:pPr>
            <w:r w:rsidRPr="00D85C65">
              <w:t>Vykazuje sa len</w:t>
            </w:r>
            <w:r w:rsidR="00D85C65">
              <w:t xml:space="preserve"> v </w:t>
            </w:r>
            <w:r w:rsidRPr="00D85C65">
              <w:t>triede expozícií „zabezpečené hypotékami na nehnuteľný majetok“.</w:t>
            </w:r>
          </w:p>
        </w:tc>
      </w:tr>
      <w:tr w:rsidR="00235D9D" w:rsidRPr="00D85C65" w14:paraId="273F4B3B" w14:textId="77777777" w:rsidTr="00672D2A">
        <w:tc>
          <w:tcPr>
            <w:tcW w:w="1188" w:type="dxa"/>
            <w:shd w:val="clear" w:color="auto" w:fill="auto"/>
          </w:tcPr>
          <w:p w14:paraId="2FF4F260" w14:textId="77777777" w:rsidR="00235D9D" w:rsidRPr="00D85C65" w:rsidRDefault="00462BAB">
            <w:pPr>
              <w:pStyle w:val="InstructionsText"/>
            </w:pPr>
            <w:r w:rsidRPr="00D85C65">
              <w:lastRenderedPageBreak/>
              <w:t>050</w:t>
            </w:r>
          </w:p>
        </w:tc>
        <w:tc>
          <w:tcPr>
            <w:tcW w:w="8701" w:type="dxa"/>
            <w:shd w:val="clear" w:color="auto" w:fill="auto"/>
          </w:tcPr>
          <w:p w14:paraId="630326F0" w14:textId="2552BD9E"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xml:space="preserve">z čoho: </w:t>
            </w:r>
            <w:r w:rsidR="00694DDE" w:rsidRPr="00D85C65">
              <w:rPr>
                <w:rStyle w:val="InstructionsTabelleberschrift"/>
                <w:rFonts w:ascii="Times New Roman" w:hAnsi="Times New Roman"/>
                <w:sz w:val="24"/>
              </w:rPr>
              <w:t>e</w:t>
            </w:r>
            <w:r w:rsidRPr="00D85C65">
              <w:rPr>
                <w:rStyle w:val="InstructionsTabelleberschrift"/>
                <w:rFonts w:ascii="Times New Roman" w:hAnsi="Times New Roman"/>
                <w:sz w:val="24"/>
              </w:rPr>
              <w:t>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trvalom čiastočnom používaní štandardizovaného prístupu</w:t>
            </w:r>
          </w:p>
          <w:p w14:paraId="0AF9ABC5" w14:textId="487D15FF" w:rsidR="00235D9D" w:rsidRPr="00D85C65" w:rsidRDefault="00464F34">
            <w:pPr>
              <w:pStyle w:val="InstructionsText"/>
            </w:pPr>
            <w:r w:rsidRPr="00D85C65">
              <w:t>Expozície, na ktoré sa uplatnil štandardizovaný prístup</w:t>
            </w:r>
            <w:r w:rsidR="00D85C65">
              <w:t xml:space="preserve"> v </w:t>
            </w:r>
            <w:r w:rsidRPr="00D85C65">
              <w:t>súlade</w:t>
            </w:r>
            <w:r w:rsidR="00D85C65">
              <w:t xml:space="preserve"> s </w:t>
            </w:r>
            <w:r w:rsidRPr="00D85C65">
              <w:t>článkom 150 ods. 1 CRR.</w:t>
            </w:r>
          </w:p>
        </w:tc>
      </w:tr>
      <w:tr w:rsidR="00235D9D" w:rsidRPr="00D85C65" w14:paraId="48E7C094" w14:textId="77777777" w:rsidTr="00672D2A">
        <w:tc>
          <w:tcPr>
            <w:tcW w:w="1188" w:type="dxa"/>
            <w:shd w:val="clear" w:color="auto" w:fill="auto"/>
          </w:tcPr>
          <w:p w14:paraId="4235E5C8" w14:textId="77777777" w:rsidR="00235D9D" w:rsidRPr="00D85C65" w:rsidRDefault="00462BAB">
            <w:pPr>
              <w:pStyle w:val="InstructionsText"/>
            </w:pPr>
            <w:r w:rsidRPr="00D85C65">
              <w:t>060</w:t>
            </w:r>
          </w:p>
        </w:tc>
        <w:tc>
          <w:tcPr>
            <w:tcW w:w="8701" w:type="dxa"/>
            <w:shd w:val="clear" w:color="auto" w:fill="auto"/>
          </w:tcPr>
          <w:p w14:paraId="28BD1135" w14:textId="01298B52"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 xml:space="preserve">z čoho: </w:t>
            </w:r>
            <w:r w:rsidR="00694DDE" w:rsidRPr="00D85C65">
              <w:rPr>
                <w:rStyle w:val="InstructionsTabelleberschrift"/>
                <w:rFonts w:ascii="Times New Roman" w:hAnsi="Times New Roman"/>
                <w:sz w:val="24"/>
              </w:rPr>
              <w:t>e</w:t>
            </w:r>
            <w:r w:rsidRPr="00D85C65">
              <w:rPr>
                <w:rStyle w:val="InstructionsTabelleberschrift"/>
                <w:rFonts w:ascii="Times New Roman" w:hAnsi="Times New Roman"/>
                <w:sz w:val="24"/>
              </w:rPr>
              <w:t>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štandardizovaného prístupu</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predchádzajúcim povolením orgánu dohľadu postupne začať uplatňovať IRB</w:t>
            </w:r>
          </w:p>
          <w:p w14:paraId="7849F924" w14:textId="0710D6C0" w:rsidR="00235D9D" w:rsidRPr="00D85C65" w:rsidRDefault="00464F34">
            <w:pPr>
              <w:pStyle w:val="InstructionsText"/>
            </w:pPr>
            <w:r w:rsidRPr="00D85C65">
              <w:t xml:space="preserve">Článok 148 ods. 1 CRR. </w:t>
            </w:r>
          </w:p>
        </w:tc>
      </w:tr>
      <w:tr w:rsidR="00235D9D" w:rsidRPr="00D85C65" w14:paraId="20C71889" w14:textId="77777777" w:rsidTr="00672D2A">
        <w:tc>
          <w:tcPr>
            <w:tcW w:w="1188" w:type="dxa"/>
          </w:tcPr>
          <w:p w14:paraId="7DD3DA2F" w14:textId="77777777" w:rsidR="00235D9D" w:rsidRPr="00D85C65" w:rsidRDefault="00462BAB">
            <w:pPr>
              <w:pStyle w:val="InstructionsText"/>
            </w:pPr>
            <w:r w:rsidRPr="00D85C65">
              <w:t>070 – 130</w:t>
            </w:r>
          </w:p>
        </w:tc>
        <w:tc>
          <w:tcPr>
            <w:tcW w:w="8701" w:type="dxa"/>
          </w:tcPr>
          <w:p w14:paraId="436636E8"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ROZČLENENIE CELKOVÝCH EXPOZÍCIÍ PODĽA DRUHOV EXPOZÍCIÍ</w:t>
            </w:r>
          </w:p>
          <w:p w14:paraId="3A5BF104" w14:textId="0A3AD76D" w:rsidR="00D85C65" w:rsidRDefault="00464F34">
            <w:pPr>
              <w:pStyle w:val="InstructionsText"/>
            </w:pPr>
            <w:r w:rsidRPr="00D85C65">
              <w:t>Pozície vykazujúcej inštitúcie</w:t>
            </w:r>
            <w:r w:rsidR="00D85C65">
              <w:t xml:space="preserve"> v </w:t>
            </w:r>
            <w:r w:rsidRPr="00D85C65">
              <w:t>„bankovej knihe“ sa rozčlenia na základe kritérií uvedených nižšie na súvahové expozície vystavené kreditnému riziku, podsúvahové expozície vystavené kreditnému riziku</w:t>
            </w:r>
            <w:r w:rsidR="00D85C65">
              <w:t xml:space="preserve"> a </w:t>
            </w:r>
            <w:r w:rsidRPr="00D85C65">
              <w:t>expozície vystavené kreditnému riziku protistrany</w:t>
            </w:r>
            <w:r w:rsidR="00D85C65">
              <w:t>.</w:t>
            </w:r>
          </w:p>
          <w:p w14:paraId="39F5ABA8" w14:textId="76503A33" w:rsidR="00235D9D" w:rsidRPr="00D85C65" w:rsidRDefault="009F45B7">
            <w:pPr>
              <w:pStyle w:val="InstructionsText"/>
            </w:pPr>
            <w:r w:rsidRPr="00D85C65">
              <w:t>Expozície voči kreditnému riziku protistrany vyplývajúcemu</w:t>
            </w:r>
            <w:r w:rsidR="00D85C65">
              <w:t xml:space="preserve"> z </w:t>
            </w:r>
            <w:r w:rsidRPr="00D85C65">
              <w:t>činností obchodnej knihy inštitúcie, ako je uvedené</w:t>
            </w:r>
            <w:r w:rsidR="00D85C65">
              <w:t xml:space="preserve"> v </w:t>
            </w:r>
            <w:r w:rsidRPr="00D85C65">
              <w:t>článku 92 ods. 3 písm. f)</w:t>
            </w:r>
            <w:r w:rsidR="00D85C65">
              <w:t xml:space="preserve"> a v </w:t>
            </w:r>
            <w:r w:rsidRPr="00D85C65">
              <w:t>článku 299 ods. 2 CRR, sa zaraďujú medzi expozície, na ktoré sa vzťahuje kreditné riziko protistrany. Inštitúcie, ktoré uplatňujú článok 94 ods. 1 CRR, rozčlenia aj svoje pozície</w:t>
            </w:r>
            <w:r w:rsidR="00D85C65">
              <w:t xml:space="preserve"> v </w:t>
            </w:r>
            <w:r w:rsidRPr="00D85C65">
              <w:t>„obchodnej knihe“ na základe kritérií uvedených nižšie na súvahové expozície vystavené kreditnému riziku, podsúvahové expozície vystavené kreditnému riziku</w:t>
            </w:r>
            <w:r w:rsidR="00D85C65">
              <w:t xml:space="preserve"> a </w:t>
            </w:r>
            <w:r w:rsidRPr="00D85C65">
              <w:t>expozície vystavené kreditnému riziku protistrany.</w:t>
            </w:r>
          </w:p>
        </w:tc>
      </w:tr>
      <w:tr w:rsidR="00235D9D" w:rsidRPr="00D85C65" w14:paraId="62D92739" w14:textId="77777777" w:rsidTr="00672D2A">
        <w:tc>
          <w:tcPr>
            <w:tcW w:w="1188" w:type="dxa"/>
          </w:tcPr>
          <w:p w14:paraId="110504B5" w14:textId="77777777" w:rsidR="00235D9D" w:rsidRPr="00D85C65" w:rsidRDefault="00462BAB">
            <w:pPr>
              <w:pStyle w:val="InstructionsText"/>
            </w:pPr>
            <w:r w:rsidRPr="00D85C65">
              <w:t>070</w:t>
            </w:r>
          </w:p>
        </w:tc>
        <w:tc>
          <w:tcPr>
            <w:tcW w:w="8701" w:type="dxa"/>
          </w:tcPr>
          <w:p w14:paraId="06E9BD4D" w14:textId="77777777" w:rsid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Súvahové expozície vystavené kreditnému riziku</w:t>
            </w:r>
          </w:p>
          <w:p w14:paraId="6F646CDC" w14:textId="571CCCCD" w:rsidR="00235D9D" w:rsidRPr="00D85C65" w:rsidRDefault="00464F34">
            <w:pPr>
              <w:pStyle w:val="InstructionsText"/>
            </w:pPr>
            <w:r w:rsidRPr="00D85C65">
              <w:t>Aktíva uvedené</w:t>
            </w:r>
            <w:r w:rsidR="00D85C65">
              <w:t xml:space="preserve"> v </w:t>
            </w:r>
            <w:r w:rsidRPr="00D85C65">
              <w:t>článku 24 CRR nezahrnuté</w:t>
            </w:r>
            <w:r w:rsidR="00D85C65">
              <w:t xml:space="preserve"> v </w:t>
            </w:r>
            <w:r w:rsidRPr="00D85C65">
              <w:t>inej kategórii.</w:t>
            </w:r>
          </w:p>
          <w:p w14:paraId="7AB13312" w14:textId="2D1A44CE" w:rsidR="00235D9D" w:rsidRPr="00D85C65" w:rsidRDefault="00464F34">
            <w:pPr>
              <w:pStyle w:val="InstructionsText"/>
            </w:pPr>
            <w:r w:rsidRPr="00D85C65">
              <w:t>Expozície, ktoré sú súvahovými položkami</w:t>
            </w:r>
            <w:r w:rsidR="00D85C65">
              <w:t xml:space="preserve"> a </w:t>
            </w:r>
            <w:r w:rsidRPr="00D85C65">
              <w:t>ktoré sú zahrnuté ako transakcie spočívajúce vo financovaní cenných papierov, deriváty</w:t>
            </w:r>
            <w:r w:rsidR="00D85C65">
              <w:t xml:space="preserve"> a </w:t>
            </w:r>
            <w:r w:rsidRPr="00D85C65">
              <w:t>transakcie</w:t>
            </w:r>
            <w:r w:rsidR="00D85C65">
              <w:t xml:space="preserve"> s </w:t>
            </w:r>
            <w:r w:rsidRPr="00D85C65">
              <w:t>dlhou dobou vyrovnania alebo expozície zo vzájomného krížového započítania produktov, sa vykazujú</w:t>
            </w:r>
            <w:r w:rsidR="00D85C65">
              <w:t xml:space="preserve"> v </w:t>
            </w:r>
            <w:r w:rsidRPr="00D85C65">
              <w:t>riadkoch 090, 110</w:t>
            </w:r>
            <w:r w:rsidR="00D85C65">
              <w:t xml:space="preserve"> a </w:t>
            </w:r>
            <w:r w:rsidRPr="00D85C65">
              <w:t>130,</w:t>
            </w:r>
            <w:r w:rsidR="00D85C65">
              <w:t xml:space="preserve"> a </w:t>
            </w:r>
            <w:r w:rsidRPr="00D85C65">
              <w:t>preto sa nevykazujú</w:t>
            </w:r>
            <w:r w:rsidR="00D85C65">
              <w:t xml:space="preserve"> v </w:t>
            </w:r>
            <w:r w:rsidRPr="00D85C65">
              <w:t>tomto riadku.</w:t>
            </w:r>
          </w:p>
          <w:p w14:paraId="7B01432E" w14:textId="3CCAD031" w:rsidR="00235D9D" w:rsidRPr="00D85C65" w:rsidRDefault="00464F34">
            <w:pPr>
              <w:pStyle w:val="InstructionsText"/>
            </w:pPr>
            <w:r w:rsidRPr="00D85C65">
              <w:t>Bezodplatné dodania uvedené</w:t>
            </w:r>
            <w:r w:rsidR="00D85C65">
              <w:t xml:space="preserve"> v </w:t>
            </w:r>
            <w:r w:rsidRPr="00D85C65">
              <w:t>článku 379 ods. 1 CRR (ak sa neodpočítavajú) síce nepredstavujú súvahovú položku, ale aj tak sa vykazujú</w:t>
            </w:r>
            <w:r w:rsidR="00D85C65">
              <w:t xml:space="preserve"> v </w:t>
            </w:r>
            <w:r w:rsidRPr="00D85C65">
              <w:t>tomto riadku.</w:t>
            </w:r>
          </w:p>
          <w:p w14:paraId="7A7B2F79" w14:textId="0DBE3D28" w:rsidR="00235D9D" w:rsidRPr="00D85C65" w:rsidRDefault="00464F34">
            <w:pPr>
              <w:pStyle w:val="InstructionsText"/>
              <w:rPr>
                <w:b/>
                <w:u w:val="single"/>
              </w:rPr>
            </w:pPr>
            <w:r w:rsidRPr="00D85C65">
              <w:t>Expozície vyplývajúce</w:t>
            </w:r>
            <w:r w:rsidR="00D85C65">
              <w:t xml:space="preserve"> z </w:t>
            </w:r>
            <w:r w:rsidRPr="00D85C65">
              <w:t>aktív poskytnutých CCP podľa vymedzenia</w:t>
            </w:r>
            <w:r w:rsidR="00D85C65">
              <w:t xml:space="preserve"> v </w:t>
            </w:r>
            <w:r w:rsidRPr="00D85C65">
              <w:t>článku 4 ods. 1 bode 90 CRR sa zahŕňajú, ak sa nevykazujú</w:t>
            </w:r>
            <w:r w:rsidR="00D85C65">
              <w:t xml:space="preserve"> v </w:t>
            </w:r>
            <w:r w:rsidRPr="00D85C65">
              <w:t xml:space="preserve">riadku 080. </w:t>
            </w:r>
          </w:p>
        </w:tc>
      </w:tr>
      <w:tr w:rsidR="00235D9D" w:rsidRPr="00D85C65" w14:paraId="73DA2F80" w14:textId="77777777" w:rsidTr="00672D2A">
        <w:tc>
          <w:tcPr>
            <w:tcW w:w="1188" w:type="dxa"/>
          </w:tcPr>
          <w:p w14:paraId="3FC28FB2" w14:textId="77777777" w:rsidR="00235D9D" w:rsidRPr="00D85C65" w:rsidRDefault="00462BAB">
            <w:pPr>
              <w:pStyle w:val="InstructionsText"/>
            </w:pPr>
            <w:r w:rsidRPr="00D85C65">
              <w:t>080</w:t>
            </w:r>
          </w:p>
        </w:tc>
        <w:tc>
          <w:tcPr>
            <w:tcW w:w="8701" w:type="dxa"/>
          </w:tcPr>
          <w:p w14:paraId="260F7F46"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Podsúvahové expozície vystavené kreditnému riziku</w:t>
            </w:r>
          </w:p>
          <w:p w14:paraId="3B927194" w14:textId="4E47E194" w:rsidR="00235D9D" w:rsidRPr="00D85C65" w:rsidRDefault="00464F34">
            <w:pPr>
              <w:pStyle w:val="InstructionsText"/>
            </w:pPr>
            <w:r w:rsidRPr="00D85C65">
              <w:t>Podsúvahové pozície tvoria položky uvedené</w:t>
            </w:r>
            <w:r w:rsidR="00D85C65">
              <w:t xml:space="preserve"> v </w:t>
            </w:r>
            <w:r w:rsidRPr="00D85C65">
              <w:t>prílohe I CRR.</w:t>
            </w:r>
          </w:p>
          <w:p w14:paraId="7C1C09BD" w14:textId="1EB7B5E6" w:rsidR="00235D9D" w:rsidRPr="00D85C65" w:rsidRDefault="00464F34">
            <w:pPr>
              <w:pStyle w:val="InstructionsText"/>
            </w:pPr>
            <w:r w:rsidRPr="00D85C65">
              <w:t>Expozície, ktoré sú podsúvahovými položkami</w:t>
            </w:r>
            <w:r w:rsidR="00D85C65">
              <w:t xml:space="preserve"> a </w:t>
            </w:r>
            <w:r w:rsidRPr="00D85C65">
              <w:t>ktoré sú zahrnuté ako transakcie spočívajúce vo financovaní cenných papierov, deriváty</w:t>
            </w:r>
            <w:r w:rsidR="00D85C65">
              <w:t xml:space="preserve"> a </w:t>
            </w:r>
            <w:r w:rsidRPr="00D85C65">
              <w:t>transakcie</w:t>
            </w:r>
            <w:r w:rsidR="00D85C65">
              <w:t xml:space="preserve"> s </w:t>
            </w:r>
            <w:r w:rsidRPr="00D85C65">
              <w:t>dlhou dobou vyrovnania alebo expozície zo vzájomného krížového započítania produktov, sa vykazujú</w:t>
            </w:r>
            <w:r w:rsidR="00D85C65">
              <w:t xml:space="preserve"> v </w:t>
            </w:r>
            <w:r w:rsidRPr="00D85C65">
              <w:t>riadkoch 090, 110</w:t>
            </w:r>
            <w:r w:rsidR="00D85C65">
              <w:t xml:space="preserve"> a </w:t>
            </w:r>
            <w:r w:rsidRPr="00D85C65">
              <w:t>130,</w:t>
            </w:r>
            <w:r w:rsidR="00D85C65">
              <w:t xml:space="preserve"> a </w:t>
            </w:r>
            <w:r w:rsidRPr="00D85C65">
              <w:t>preto sa nevykazujú</w:t>
            </w:r>
            <w:r w:rsidR="00D85C65">
              <w:t xml:space="preserve"> v </w:t>
            </w:r>
            <w:r w:rsidRPr="00D85C65">
              <w:t>tomto riadku.</w:t>
            </w:r>
          </w:p>
          <w:p w14:paraId="5AAE82BB" w14:textId="77E14AF0" w:rsidR="00235D9D" w:rsidRPr="00D85C65" w:rsidRDefault="00464F34">
            <w:pPr>
              <w:pStyle w:val="InstructionsText"/>
              <w:rPr>
                <w:b/>
                <w:u w:val="single"/>
              </w:rPr>
            </w:pPr>
            <w:r w:rsidRPr="00D85C65">
              <w:t>Expozície vyplývajúce</w:t>
            </w:r>
            <w:r w:rsidR="00D85C65">
              <w:t xml:space="preserve"> z </w:t>
            </w:r>
            <w:r w:rsidRPr="00D85C65">
              <w:t>aktív poskytnutých CCP podľa článku 4 ods. 1 bode 90 CRR sa zahrnú, ak sa považujú za podsúvahové položky.</w:t>
            </w:r>
          </w:p>
        </w:tc>
      </w:tr>
      <w:tr w:rsidR="00235D9D" w:rsidRPr="00D85C6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235D9D" w:rsidRPr="00D85C65" w:rsidRDefault="003C3168">
            <w:pPr>
              <w:pStyle w:val="InstructionsText"/>
            </w:pPr>
            <w:r w:rsidRPr="00D85C65">
              <w:t>090 – 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235D9D" w:rsidRPr="00D85C65" w:rsidRDefault="003C3168">
            <w:pPr>
              <w:pStyle w:val="InstructionsText"/>
            </w:pPr>
            <w:r w:rsidRPr="00D85C65">
              <w:rPr>
                <w:rStyle w:val="InstructionsTabelleberschrift"/>
                <w:rFonts w:ascii="Times New Roman" w:hAnsi="Times New Roman"/>
                <w:sz w:val="24"/>
              </w:rPr>
              <w:t>Expozície/transakcie vystavené kreditnému riziku protistrany</w:t>
            </w:r>
          </w:p>
        </w:tc>
      </w:tr>
      <w:tr w:rsidR="00235D9D" w:rsidRPr="00D85C65" w14:paraId="498A4859" w14:textId="77777777" w:rsidTr="00672D2A">
        <w:tc>
          <w:tcPr>
            <w:tcW w:w="1188" w:type="dxa"/>
          </w:tcPr>
          <w:p w14:paraId="23B5FC5B" w14:textId="77777777" w:rsidR="00235D9D" w:rsidRPr="00D85C65" w:rsidRDefault="00462BAB">
            <w:pPr>
              <w:pStyle w:val="InstructionsText"/>
            </w:pPr>
            <w:r w:rsidRPr="00D85C65">
              <w:t>090</w:t>
            </w:r>
          </w:p>
        </w:tc>
        <w:tc>
          <w:tcPr>
            <w:tcW w:w="8701" w:type="dxa"/>
          </w:tcPr>
          <w:p w14:paraId="0DB233D3" w14:textId="77777777" w:rsid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Transakcie spočívajúce vo financovaní cenných papierov</w:t>
            </w:r>
          </w:p>
          <w:p w14:paraId="4A701960" w14:textId="500FEADE" w:rsidR="00235D9D" w:rsidRPr="00D85C65" w:rsidRDefault="00464F34">
            <w:pPr>
              <w:pStyle w:val="InstructionsText"/>
            </w:pPr>
            <w:r w:rsidRPr="00D85C65">
              <w:lastRenderedPageBreak/>
              <w:t>Transakcie spočívajúce vo financovaní cenných papierov (SFT) vymedzené</w:t>
            </w:r>
            <w:r w:rsidR="00D85C65">
              <w:t xml:space="preserve"> v </w:t>
            </w:r>
            <w:r w:rsidRPr="00D85C65">
              <w:t>odseku 17 dokumentu Bazilejského výboru</w:t>
            </w:r>
            <w:r w:rsidR="00D85C65">
              <w:t xml:space="preserve"> s </w:t>
            </w:r>
            <w:r w:rsidRPr="00D85C65">
              <w:t>názvom „Uplatňovanie Bazileja II na obchodné činnosti</w:t>
            </w:r>
            <w:r w:rsidR="00D85C65">
              <w:t xml:space="preserve"> a </w:t>
            </w:r>
            <w:r w:rsidRPr="00D85C65">
              <w:t>zaobchádzanie</w:t>
            </w:r>
            <w:r w:rsidR="00D85C65">
              <w:t xml:space="preserve"> s </w:t>
            </w:r>
            <w:r w:rsidRPr="00D85C65">
              <w:t>účinkami dvojitého zlyhania“ zahŕňajú: i) zmluvy</w:t>
            </w:r>
            <w:r w:rsidR="00D85C65">
              <w:t xml:space="preserve"> o </w:t>
            </w:r>
            <w:r w:rsidRPr="00D85C65">
              <w:t>repo transakciách</w:t>
            </w:r>
            <w:r w:rsidR="00D85C65">
              <w:t xml:space="preserve"> a </w:t>
            </w:r>
            <w:r w:rsidRPr="00D85C65">
              <w:t>zmluvy</w:t>
            </w:r>
            <w:r w:rsidR="00D85C65">
              <w:t xml:space="preserve"> o </w:t>
            </w:r>
            <w:r w:rsidRPr="00D85C65">
              <w:t>obrátených repo transakciách vymedzené</w:t>
            </w:r>
            <w:r w:rsidR="00D85C65">
              <w:t xml:space="preserve"> v </w:t>
            </w:r>
            <w:r w:rsidRPr="00D85C65">
              <w:t>článku 4 ods. 1 bode 82 CRR, ako aj transakcie požičiavania alebo vypožičiavania cenných papierov alebo komodít; ii) transakcie požičiavania</w:t>
            </w:r>
            <w:r w:rsidR="00D85C65">
              <w:t xml:space="preserve"> s </w:t>
            </w:r>
            <w:r w:rsidRPr="00D85C65">
              <w:t>dozabezpečením podľa vymedzenia</w:t>
            </w:r>
            <w:r w:rsidR="00D85C65">
              <w:t xml:space="preserve"> v </w:t>
            </w:r>
            <w:r w:rsidRPr="00D85C65">
              <w:t>článku 272 ods. 3 CRR.</w:t>
            </w:r>
          </w:p>
        </w:tc>
      </w:tr>
      <w:tr w:rsidR="00235D9D" w:rsidRPr="00D85C65" w14:paraId="2DDF541E" w14:textId="77777777" w:rsidTr="00672D2A">
        <w:tc>
          <w:tcPr>
            <w:tcW w:w="1188" w:type="dxa"/>
          </w:tcPr>
          <w:p w14:paraId="59065B51" w14:textId="77777777" w:rsidR="00235D9D" w:rsidRPr="00D85C65" w:rsidRDefault="00462BAB">
            <w:pPr>
              <w:pStyle w:val="InstructionsText"/>
            </w:pPr>
            <w:r w:rsidRPr="00D85C65">
              <w:lastRenderedPageBreak/>
              <w:t>100</w:t>
            </w:r>
          </w:p>
        </w:tc>
        <w:tc>
          <w:tcPr>
            <w:tcW w:w="8701" w:type="dxa"/>
          </w:tcPr>
          <w:p w14:paraId="63EA1C39"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 čoho: centrálne zúčtované prostredníctvom kvalifikovanej CCP</w:t>
            </w:r>
          </w:p>
          <w:p w14:paraId="2749A2D5" w14:textId="5B1B6E71" w:rsidR="00235D9D" w:rsidRPr="00D85C65" w:rsidRDefault="00464F34">
            <w:pPr>
              <w:pStyle w:val="InstructionsText"/>
            </w:pPr>
            <w:r w:rsidRPr="00D85C65">
              <w:t>Článok 306 CRR pre kvalifikované CCP, ako sa vymedzuje</w:t>
            </w:r>
            <w:r w:rsidR="00D85C65">
              <w:t xml:space="preserve"> v </w:t>
            </w:r>
            <w:r w:rsidRPr="00D85C65">
              <w:t>článku 4 ods. 1 bode 88,</w:t>
            </w:r>
            <w:r w:rsidR="00D85C65">
              <w:t xml:space="preserve"> v </w:t>
            </w:r>
            <w:r w:rsidRPr="00D85C65">
              <w:t>súlade</w:t>
            </w:r>
            <w:r w:rsidR="00D85C65">
              <w:t xml:space="preserve"> s </w:t>
            </w:r>
            <w:r w:rsidRPr="00D85C65">
              <w:t>článkom 301 ods. 2 CRR.</w:t>
            </w:r>
          </w:p>
          <w:p w14:paraId="4EF87CFA" w14:textId="3B9E006E" w:rsidR="00235D9D" w:rsidRPr="00D85C65" w:rsidRDefault="00D02E89">
            <w:pPr>
              <w:pStyle w:val="InstructionsText"/>
            </w:pPr>
            <w:r w:rsidRPr="00D85C65">
              <w:t>Obchodné expozície, akú sú vymedzené</w:t>
            </w:r>
            <w:r w:rsidR="00D85C65">
              <w:t xml:space="preserve"> v </w:t>
            </w:r>
            <w:r w:rsidRPr="00D85C65">
              <w:t>článku 4 ods. 1 bode 91 CRR, voči CCP.</w:t>
            </w:r>
          </w:p>
        </w:tc>
      </w:tr>
      <w:tr w:rsidR="00235D9D" w:rsidRPr="00D85C65" w14:paraId="25C82359" w14:textId="77777777" w:rsidTr="00672D2A">
        <w:tc>
          <w:tcPr>
            <w:tcW w:w="1188" w:type="dxa"/>
          </w:tcPr>
          <w:p w14:paraId="6BAADFCF" w14:textId="77777777" w:rsidR="00235D9D" w:rsidRPr="00D85C65" w:rsidRDefault="00462BAB">
            <w:pPr>
              <w:pStyle w:val="InstructionsText"/>
            </w:pPr>
            <w:r w:rsidRPr="00D85C65">
              <w:t>110</w:t>
            </w:r>
          </w:p>
        </w:tc>
        <w:tc>
          <w:tcPr>
            <w:tcW w:w="8701" w:type="dxa"/>
          </w:tcPr>
          <w:p w14:paraId="69E60FCF" w14:textId="77777777" w:rsid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Deriváty</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transakcie</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dlhou dobou vyrovnania</w:t>
            </w:r>
          </w:p>
          <w:p w14:paraId="0F3D5BDD" w14:textId="087ACBB8" w:rsidR="00235D9D" w:rsidRPr="00D85C65" w:rsidRDefault="00464F34">
            <w:pPr>
              <w:pStyle w:val="InstructionsText"/>
            </w:pPr>
            <w:r w:rsidRPr="00D85C65">
              <w:t>Deriváty tvoria zmluvy uvedené</w:t>
            </w:r>
            <w:r w:rsidR="00D85C65">
              <w:t xml:space="preserve"> v </w:t>
            </w:r>
            <w:r w:rsidRPr="00D85C65">
              <w:t>prílohe II CRR.</w:t>
            </w:r>
          </w:p>
          <w:p w14:paraId="3FF9EB7A" w14:textId="21E04C97" w:rsidR="00235D9D" w:rsidRPr="00D85C65" w:rsidRDefault="00464F34">
            <w:pPr>
              <w:pStyle w:val="InstructionsText"/>
            </w:pPr>
            <w:r w:rsidRPr="00D85C65">
              <w:t>Transakcie</w:t>
            </w:r>
            <w:r w:rsidR="00D85C65">
              <w:t xml:space="preserve"> s </w:t>
            </w:r>
            <w:r w:rsidRPr="00D85C65">
              <w:t>dlhou dobou vyrovnania podľa vymedzenia</w:t>
            </w:r>
            <w:r w:rsidR="00D85C65">
              <w:t xml:space="preserve"> v </w:t>
            </w:r>
            <w:r w:rsidRPr="00D85C65">
              <w:t>článku 272 ods. 2 CRR.</w:t>
            </w:r>
          </w:p>
          <w:p w14:paraId="71CB7804" w14:textId="7CED23B2" w:rsidR="00235D9D" w:rsidRPr="00D85C65" w:rsidRDefault="00464F34">
            <w:pPr>
              <w:pStyle w:val="InstructionsText"/>
            </w:pPr>
            <w:r w:rsidRPr="00D85C65">
              <w:t>Deriváty</w:t>
            </w:r>
            <w:r w:rsidR="00D85C65">
              <w:t xml:space="preserve"> a </w:t>
            </w:r>
            <w:r w:rsidRPr="00D85C65">
              <w:t>transakcie</w:t>
            </w:r>
            <w:r w:rsidR="00D85C65">
              <w:t xml:space="preserve"> s </w:t>
            </w:r>
            <w:r w:rsidRPr="00D85C65">
              <w:t>dlhou dobou vyrovnania, ktoré sú zahrnuté vo vzájomnom krížovom započítavaní produktov,</w:t>
            </w:r>
            <w:r w:rsidR="00D85C65">
              <w:t xml:space="preserve"> a </w:t>
            </w:r>
            <w:r w:rsidRPr="00D85C65">
              <w:t>preto vykazované</w:t>
            </w:r>
            <w:r w:rsidR="00D85C65">
              <w:t xml:space="preserve"> v </w:t>
            </w:r>
            <w:r w:rsidRPr="00D85C65">
              <w:t>riadku 130, sa nevykazujú</w:t>
            </w:r>
            <w:r w:rsidR="00D85C65">
              <w:t xml:space="preserve"> v </w:t>
            </w:r>
            <w:r w:rsidRPr="00D85C65">
              <w:t>tomto riadku.</w:t>
            </w:r>
          </w:p>
        </w:tc>
      </w:tr>
      <w:tr w:rsidR="00235D9D" w:rsidRPr="00D85C65" w14:paraId="400D6268" w14:textId="77777777" w:rsidTr="00672D2A">
        <w:tc>
          <w:tcPr>
            <w:tcW w:w="1188" w:type="dxa"/>
          </w:tcPr>
          <w:p w14:paraId="0A00C468" w14:textId="77777777" w:rsidR="00235D9D" w:rsidRPr="00D85C65" w:rsidRDefault="00462BAB">
            <w:pPr>
              <w:pStyle w:val="InstructionsText"/>
            </w:pPr>
            <w:r w:rsidRPr="00D85C65">
              <w:t>120</w:t>
            </w:r>
          </w:p>
        </w:tc>
        <w:tc>
          <w:tcPr>
            <w:tcW w:w="8701" w:type="dxa"/>
          </w:tcPr>
          <w:p w14:paraId="5A7B90AA" w14:textId="77777777" w:rsidR="00235D9D" w:rsidRPr="00D85C65" w:rsidRDefault="00464F34">
            <w:pPr>
              <w:pStyle w:val="InstructionsText"/>
            </w:pPr>
            <w:r w:rsidRPr="00D85C65">
              <w:rPr>
                <w:rStyle w:val="InstructionsTabelleberschrift"/>
                <w:rFonts w:ascii="Times New Roman" w:hAnsi="Times New Roman"/>
                <w:sz w:val="24"/>
              </w:rPr>
              <w:t>Z čoho: centrálne zúčtované prostredníctvom kvalifikovanej CCP</w:t>
            </w:r>
          </w:p>
          <w:p w14:paraId="51699D27" w14:textId="7571F6C2" w:rsidR="00235D9D" w:rsidRPr="00D85C65" w:rsidRDefault="00464F34">
            <w:pPr>
              <w:pStyle w:val="InstructionsText"/>
            </w:pPr>
            <w:r w:rsidRPr="00D85C65">
              <w:t>Článok 306 CRR pre kvalifikované CCP, ako sa vymedzuje</w:t>
            </w:r>
            <w:r w:rsidR="00D85C65">
              <w:t xml:space="preserve"> v </w:t>
            </w:r>
            <w:r w:rsidRPr="00D85C65">
              <w:t>článku 4 ods. 1 bode 88,</w:t>
            </w:r>
            <w:r w:rsidR="00D85C65">
              <w:t xml:space="preserve"> v </w:t>
            </w:r>
            <w:r w:rsidRPr="00D85C65">
              <w:t>súlade</w:t>
            </w:r>
            <w:r w:rsidR="00D85C65">
              <w:t xml:space="preserve"> s </w:t>
            </w:r>
            <w:r w:rsidRPr="00D85C65">
              <w:t>článkom 301 ods. 2 CRR.</w:t>
            </w:r>
          </w:p>
          <w:p w14:paraId="5BBEC160" w14:textId="1C86C5B3" w:rsidR="00235D9D" w:rsidRPr="00D85C65" w:rsidRDefault="00770830">
            <w:pPr>
              <w:pStyle w:val="InstructionsText"/>
              <w:rPr>
                <w:b/>
                <w:u w:val="single"/>
              </w:rPr>
            </w:pPr>
            <w:r w:rsidRPr="00D85C65">
              <w:t>Obchodné expozície, akú sú vymedzené</w:t>
            </w:r>
            <w:r w:rsidR="00D85C65">
              <w:t xml:space="preserve"> v </w:t>
            </w:r>
            <w:r w:rsidRPr="00D85C65">
              <w:t>článku 4 ods. 1 bode 91 CRR, voči CCP.</w:t>
            </w:r>
          </w:p>
        </w:tc>
      </w:tr>
      <w:tr w:rsidR="00235D9D" w:rsidRPr="00D85C65" w14:paraId="0594C4E8" w14:textId="77777777" w:rsidTr="00672D2A">
        <w:tc>
          <w:tcPr>
            <w:tcW w:w="1188" w:type="dxa"/>
          </w:tcPr>
          <w:p w14:paraId="5C850426" w14:textId="77777777" w:rsidR="00235D9D" w:rsidRPr="00D85C65" w:rsidRDefault="00462BAB">
            <w:pPr>
              <w:pStyle w:val="InstructionsText"/>
            </w:pPr>
            <w:r w:rsidRPr="00D85C65">
              <w:t>130</w:t>
            </w:r>
          </w:p>
        </w:tc>
        <w:tc>
          <w:tcPr>
            <w:tcW w:w="8701" w:type="dxa"/>
          </w:tcPr>
          <w:p w14:paraId="75FD13DF"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Zo vzájomného krížového započítavania produktov</w:t>
            </w:r>
          </w:p>
          <w:p w14:paraId="08F04BB3" w14:textId="2243CC1B" w:rsidR="00235D9D" w:rsidRPr="00D85C65" w:rsidRDefault="00464F34">
            <w:pPr>
              <w:pStyle w:val="InstructionsText"/>
            </w:pPr>
            <w:r w:rsidRPr="00D85C65">
              <w:t>Expozície, ktoré sa</w:t>
            </w:r>
            <w:r w:rsidR="00D85C65">
              <w:t xml:space="preserve"> z </w:t>
            </w:r>
            <w:r w:rsidRPr="00D85C65">
              <w:t>dôvodu existencie vzájomného krížového započítania produktov (v zmysle vymedzenia</w:t>
            </w:r>
            <w:r w:rsidR="00D85C65">
              <w:t xml:space="preserve"> v </w:t>
            </w:r>
            <w:r w:rsidRPr="00D85C65">
              <w:t>článku 272 ods. 11 CRR) nemôžu zaradiť do derivátov</w:t>
            </w:r>
            <w:r w:rsidR="00D85C65">
              <w:t xml:space="preserve"> a </w:t>
            </w:r>
            <w:r w:rsidRPr="00D85C65">
              <w:t>transakcií</w:t>
            </w:r>
            <w:r w:rsidR="00D85C65">
              <w:t xml:space="preserve"> s </w:t>
            </w:r>
            <w:r w:rsidRPr="00D85C65">
              <w:t>dlhou dobou vyrovnania alebo transakcií spočívajúcich vo financovaní cenných papierov, sa začlenia do tohto riadku.</w:t>
            </w:r>
          </w:p>
        </w:tc>
      </w:tr>
      <w:tr w:rsidR="00235D9D" w:rsidRPr="00D85C65" w14:paraId="5DD9B910" w14:textId="77777777" w:rsidTr="00672D2A">
        <w:tc>
          <w:tcPr>
            <w:tcW w:w="1188" w:type="dxa"/>
          </w:tcPr>
          <w:p w14:paraId="3752B892" w14:textId="77777777" w:rsidR="00235D9D" w:rsidRPr="00D85C65" w:rsidRDefault="00462BAB">
            <w:pPr>
              <w:pStyle w:val="InstructionsText"/>
            </w:pPr>
            <w:r w:rsidRPr="00D85C65">
              <w:t>140 – 280</w:t>
            </w:r>
          </w:p>
        </w:tc>
        <w:tc>
          <w:tcPr>
            <w:tcW w:w="8701" w:type="dxa"/>
          </w:tcPr>
          <w:p w14:paraId="7B7F8D08" w14:textId="7777777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ROZČLENENIE EXPOZÍCIÍ PODĽA RIZIKOVÝCH VÁH</w:t>
            </w:r>
          </w:p>
          <w:p w14:paraId="67525D7F" w14:textId="77777777" w:rsidR="00235D9D" w:rsidRPr="00D85C65" w:rsidRDefault="00235D9D">
            <w:pPr>
              <w:pStyle w:val="InstructionsText"/>
            </w:pPr>
          </w:p>
        </w:tc>
      </w:tr>
      <w:tr w:rsidR="00235D9D" w:rsidRPr="00D85C65" w14:paraId="7D31A42B" w14:textId="77777777" w:rsidTr="00672D2A">
        <w:tc>
          <w:tcPr>
            <w:tcW w:w="1188" w:type="dxa"/>
            <w:shd w:val="clear" w:color="auto" w:fill="auto"/>
          </w:tcPr>
          <w:p w14:paraId="049D722F" w14:textId="77777777" w:rsidR="00235D9D" w:rsidRPr="00D85C65" w:rsidRDefault="00462BAB">
            <w:pPr>
              <w:pStyle w:val="InstructionsText"/>
            </w:pPr>
            <w:r w:rsidRPr="00D85C65">
              <w:t>140</w:t>
            </w:r>
          </w:p>
        </w:tc>
        <w:tc>
          <w:tcPr>
            <w:tcW w:w="8701" w:type="dxa"/>
            <w:shd w:val="clear" w:color="auto" w:fill="auto"/>
          </w:tcPr>
          <w:p w14:paraId="2732209C" w14:textId="67CDDE11"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0</w:t>
            </w:r>
            <w:r w:rsidR="00D85C65">
              <w:rPr>
                <w:rStyle w:val="InstructionsTabelleberschrift"/>
                <w:rFonts w:ascii="Times New Roman" w:hAnsi="Times New Roman"/>
                <w:sz w:val="24"/>
              </w:rPr>
              <w:t> %</w:t>
            </w:r>
          </w:p>
          <w:p w14:paraId="4919C89A" w14:textId="77777777" w:rsidR="00235D9D" w:rsidRPr="00D85C65" w:rsidRDefault="00235D9D">
            <w:pPr>
              <w:pStyle w:val="InstructionsText"/>
            </w:pPr>
          </w:p>
        </w:tc>
      </w:tr>
      <w:tr w:rsidR="00235D9D" w:rsidRPr="00D85C65" w14:paraId="13E4B14C" w14:textId="77777777" w:rsidTr="00672D2A">
        <w:tc>
          <w:tcPr>
            <w:tcW w:w="1188" w:type="dxa"/>
            <w:shd w:val="clear" w:color="auto" w:fill="auto"/>
          </w:tcPr>
          <w:p w14:paraId="7473F8DC" w14:textId="77777777" w:rsidR="00235D9D" w:rsidRPr="00D85C65" w:rsidRDefault="00462BAB">
            <w:pPr>
              <w:pStyle w:val="InstructionsText"/>
            </w:pPr>
            <w:r w:rsidRPr="00D85C65">
              <w:t>150</w:t>
            </w:r>
          </w:p>
        </w:tc>
        <w:tc>
          <w:tcPr>
            <w:tcW w:w="8701" w:type="dxa"/>
            <w:shd w:val="clear" w:color="auto" w:fill="auto"/>
          </w:tcPr>
          <w:p w14:paraId="201EF7DA" w14:textId="5C241B27" w:rsidR="00235D9D" w:rsidRPr="00D85C65" w:rsidRDefault="00464F34">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2</w:t>
            </w:r>
            <w:r w:rsidR="00D85C65">
              <w:rPr>
                <w:rStyle w:val="InstructionsTabelleberschrift"/>
                <w:rFonts w:ascii="Times New Roman" w:hAnsi="Times New Roman"/>
                <w:sz w:val="24"/>
              </w:rPr>
              <w:t> %</w:t>
            </w:r>
          </w:p>
          <w:p w14:paraId="5F171746" w14:textId="1821A69B" w:rsidR="00235D9D" w:rsidRPr="00D85C65" w:rsidRDefault="00464F34">
            <w:pPr>
              <w:pStyle w:val="InstructionsText"/>
              <w:rPr>
                <w:b/>
              </w:rPr>
            </w:pPr>
            <w:r w:rsidRPr="00D85C65">
              <w:t>Článok 306 ods. 1 CRR.</w:t>
            </w:r>
          </w:p>
        </w:tc>
      </w:tr>
      <w:tr w:rsidR="00235D9D" w:rsidRPr="00D85C65" w14:paraId="6EB8AC3B" w14:textId="77777777" w:rsidTr="00672D2A">
        <w:tc>
          <w:tcPr>
            <w:tcW w:w="1188" w:type="dxa"/>
            <w:shd w:val="clear" w:color="auto" w:fill="auto"/>
          </w:tcPr>
          <w:p w14:paraId="4772746B" w14:textId="77777777" w:rsidR="00235D9D" w:rsidRPr="00D85C65" w:rsidRDefault="00462BAB">
            <w:pPr>
              <w:pStyle w:val="InstructionsText"/>
            </w:pPr>
            <w:r w:rsidRPr="00D85C65">
              <w:t>160</w:t>
            </w:r>
          </w:p>
        </w:tc>
        <w:tc>
          <w:tcPr>
            <w:tcW w:w="8701" w:type="dxa"/>
            <w:shd w:val="clear" w:color="auto" w:fill="auto"/>
          </w:tcPr>
          <w:p w14:paraId="0CE91579" w14:textId="5F381C9E"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4</w:t>
            </w:r>
            <w:r w:rsidR="00D85C65">
              <w:rPr>
                <w:rStyle w:val="InstructionsTabelleberschrift"/>
                <w:rFonts w:ascii="Times New Roman" w:hAnsi="Times New Roman"/>
                <w:sz w:val="24"/>
              </w:rPr>
              <w:t> %</w:t>
            </w:r>
          </w:p>
          <w:p w14:paraId="64E98C4F" w14:textId="72286B20" w:rsidR="00235D9D" w:rsidRPr="00D85C65" w:rsidRDefault="00462BAB">
            <w:pPr>
              <w:pStyle w:val="InstructionsText"/>
              <w:rPr>
                <w:b/>
                <w:u w:val="single"/>
              </w:rPr>
            </w:pPr>
            <w:r w:rsidRPr="00D85C65">
              <w:t>Článok 305 ods. 3 CRR.</w:t>
            </w:r>
          </w:p>
        </w:tc>
      </w:tr>
      <w:tr w:rsidR="00235D9D" w:rsidRPr="00D85C65" w14:paraId="6DD4D856" w14:textId="77777777" w:rsidTr="00672D2A">
        <w:tc>
          <w:tcPr>
            <w:tcW w:w="1188" w:type="dxa"/>
            <w:shd w:val="clear" w:color="auto" w:fill="auto"/>
          </w:tcPr>
          <w:p w14:paraId="3DB4451A" w14:textId="77777777" w:rsidR="00235D9D" w:rsidRPr="00D85C65" w:rsidRDefault="00462BAB">
            <w:pPr>
              <w:pStyle w:val="InstructionsText"/>
            </w:pPr>
            <w:r w:rsidRPr="00D85C65">
              <w:t>170</w:t>
            </w:r>
          </w:p>
        </w:tc>
        <w:tc>
          <w:tcPr>
            <w:tcW w:w="8701" w:type="dxa"/>
            <w:shd w:val="clear" w:color="auto" w:fill="auto"/>
          </w:tcPr>
          <w:p w14:paraId="47CBBF0D" w14:textId="798BE0E5"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10</w:t>
            </w:r>
            <w:r w:rsidR="00D85C65">
              <w:rPr>
                <w:rStyle w:val="InstructionsTabelleberschrift"/>
                <w:rFonts w:ascii="Times New Roman" w:hAnsi="Times New Roman"/>
                <w:sz w:val="24"/>
              </w:rPr>
              <w:t> %</w:t>
            </w:r>
          </w:p>
          <w:p w14:paraId="6E6D2FEF" w14:textId="77777777" w:rsidR="00235D9D" w:rsidRPr="00D85C65" w:rsidRDefault="00235D9D">
            <w:pPr>
              <w:pStyle w:val="InstructionsText"/>
            </w:pPr>
          </w:p>
        </w:tc>
      </w:tr>
      <w:tr w:rsidR="00235D9D" w:rsidRPr="00D85C65" w14:paraId="06D0C5F2" w14:textId="77777777" w:rsidTr="00672D2A">
        <w:tc>
          <w:tcPr>
            <w:tcW w:w="1188" w:type="dxa"/>
            <w:shd w:val="clear" w:color="auto" w:fill="auto"/>
          </w:tcPr>
          <w:p w14:paraId="197C4678" w14:textId="77777777" w:rsidR="00235D9D" w:rsidRPr="00D85C65" w:rsidRDefault="00462BAB">
            <w:pPr>
              <w:pStyle w:val="InstructionsText"/>
            </w:pPr>
            <w:r w:rsidRPr="00D85C65">
              <w:t>180</w:t>
            </w:r>
          </w:p>
        </w:tc>
        <w:tc>
          <w:tcPr>
            <w:tcW w:w="8701" w:type="dxa"/>
            <w:shd w:val="clear" w:color="auto" w:fill="auto"/>
          </w:tcPr>
          <w:p w14:paraId="4FA81A5F" w14:textId="53490FAA"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20</w:t>
            </w:r>
            <w:r w:rsidR="00D85C65">
              <w:rPr>
                <w:rStyle w:val="InstructionsTabelleberschrift"/>
                <w:rFonts w:ascii="Times New Roman" w:hAnsi="Times New Roman"/>
                <w:sz w:val="24"/>
              </w:rPr>
              <w:t> %</w:t>
            </w:r>
          </w:p>
          <w:p w14:paraId="7F0891DD" w14:textId="77777777" w:rsidR="00235D9D" w:rsidRPr="00D85C65" w:rsidRDefault="00235D9D">
            <w:pPr>
              <w:pStyle w:val="InstructionsText"/>
            </w:pPr>
          </w:p>
        </w:tc>
      </w:tr>
      <w:tr w:rsidR="00235D9D" w:rsidRPr="00D85C65" w14:paraId="3197C9A6" w14:textId="77777777" w:rsidTr="00672D2A">
        <w:tc>
          <w:tcPr>
            <w:tcW w:w="1188" w:type="dxa"/>
            <w:shd w:val="clear" w:color="auto" w:fill="auto"/>
          </w:tcPr>
          <w:p w14:paraId="124695BB" w14:textId="77777777" w:rsidR="00235D9D" w:rsidRPr="00D85C65" w:rsidRDefault="00462BAB">
            <w:pPr>
              <w:pStyle w:val="InstructionsText"/>
            </w:pPr>
            <w:r w:rsidRPr="00D85C65">
              <w:lastRenderedPageBreak/>
              <w:t>190</w:t>
            </w:r>
          </w:p>
        </w:tc>
        <w:tc>
          <w:tcPr>
            <w:tcW w:w="8701" w:type="dxa"/>
            <w:shd w:val="clear" w:color="auto" w:fill="auto"/>
          </w:tcPr>
          <w:p w14:paraId="38EADEFB" w14:textId="2DBD8E29"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35</w:t>
            </w:r>
            <w:r w:rsidR="00D85C65">
              <w:rPr>
                <w:rStyle w:val="InstructionsTabelleberschrift"/>
                <w:rFonts w:ascii="Times New Roman" w:hAnsi="Times New Roman"/>
                <w:sz w:val="24"/>
              </w:rPr>
              <w:t> %</w:t>
            </w:r>
          </w:p>
          <w:p w14:paraId="257917EE" w14:textId="77777777" w:rsidR="00235D9D" w:rsidRPr="00D85C65" w:rsidRDefault="00235D9D">
            <w:pPr>
              <w:pStyle w:val="InstructionsText"/>
            </w:pPr>
          </w:p>
        </w:tc>
      </w:tr>
      <w:tr w:rsidR="00235D9D" w:rsidRPr="00D85C65" w14:paraId="04B675ED" w14:textId="77777777" w:rsidTr="00672D2A">
        <w:tc>
          <w:tcPr>
            <w:tcW w:w="1188" w:type="dxa"/>
            <w:shd w:val="clear" w:color="auto" w:fill="auto"/>
          </w:tcPr>
          <w:p w14:paraId="271FA406" w14:textId="77777777" w:rsidR="00235D9D" w:rsidRPr="00D85C65" w:rsidRDefault="00462BAB">
            <w:pPr>
              <w:pStyle w:val="InstructionsText"/>
            </w:pPr>
            <w:r w:rsidRPr="00D85C65">
              <w:t>200</w:t>
            </w:r>
          </w:p>
        </w:tc>
        <w:tc>
          <w:tcPr>
            <w:tcW w:w="8701" w:type="dxa"/>
            <w:shd w:val="clear" w:color="auto" w:fill="auto"/>
          </w:tcPr>
          <w:p w14:paraId="03E42EEF" w14:textId="0EEF732C"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50</w:t>
            </w:r>
            <w:r w:rsidR="00D85C65">
              <w:rPr>
                <w:rStyle w:val="InstructionsTabelleberschrift"/>
                <w:rFonts w:ascii="Times New Roman" w:hAnsi="Times New Roman"/>
                <w:sz w:val="24"/>
              </w:rPr>
              <w:t> %</w:t>
            </w:r>
          </w:p>
          <w:p w14:paraId="63E93581" w14:textId="77777777" w:rsidR="00235D9D" w:rsidRPr="00D85C65" w:rsidRDefault="00235D9D">
            <w:pPr>
              <w:pStyle w:val="InstructionsText"/>
            </w:pPr>
          </w:p>
        </w:tc>
      </w:tr>
      <w:tr w:rsidR="00235D9D" w:rsidRPr="00D85C65" w14:paraId="36DCC047" w14:textId="77777777" w:rsidTr="00672D2A">
        <w:tc>
          <w:tcPr>
            <w:tcW w:w="1188" w:type="dxa"/>
            <w:shd w:val="clear" w:color="auto" w:fill="auto"/>
          </w:tcPr>
          <w:p w14:paraId="66D6B354" w14:textId="77777777" w:rsidR="00235D9D" w:rsidRPr="00D85C65" w:rsidRDefault="00462BAB">
            <w:pPr>
              <w:pStyle w:val="InstructionsText"/>
            </w:pPr>
            <w:r w:rsidRPr="00D85C65">
              <w:t>210</w:t>
            </w:r>
          </w:p>
        </w:tc>
        <w:tc>
          <w:tcPr>
            <w:tcW w:w="8701" w:type="dxa"/>
            <w:shd w:val="clear" w:color="auto" w:fill="auto"/>
          </w:tcPr>
          <w:p w14:paraId="55AA7A20" w14:textId="1EC0584E"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70</w:t>
            </w:r>
            <w:r w:rsidR="00D85C65">
              <w:rPr>
                <w:rStyle w:val="InstructionsTabelleberschrift"/>
                <w:rFonts w:ascii="Times New Roman" w:hAnsi="Times New Roman"/>
                <w:sz w:val="24"/>
              </w:rPr>
              <w:t> %</w:t>
            </w:r>
          </w:p>
          <w:p w14:paraId="081C0AF3" w14:textId="31E9C078" w:rsidR="00235D9D" w:rsidRPr="00D85C65" w:rsidRDefault="00D21B29">
            <w:pPr>
              <w:pStyle w:val="InstructionsText"/>
            </w:pPr>
            <w:r w:rsidRPr="00D85C65">
              <w:t>Článok 232 ods. 3 písm. c) CRR.</w:t>
            </w:r>
          </w:p>
        </w:tc>
      </w:tr>
      <w:tr w:rsidR="00235D9D" w:rsidRPr="00D85C65" w14:paraId="5AB965D9" w14:textId="77777777" w:rsidTr="00672D2A">
        <w:tc>
          <w:tcPr>
            <w:tcW w:w="1188" w:type="dxa"/>
            <w:shd w:val="clear" w:color="auto" w:fill="auto"/>
          </w:tcPr>
          <w:p w14:paraId="4DC93FE1" w14:textId="77777777" w:rsidR="00235D9D" w:rsidRPr="00D85C65" w:rsidRDefault="00462BAB">
            <w:pPr>
              <w:pStyle w:val="InstructionsText"/>
            </w:pPr>
            <w:r w:rsidRPr="00D85C65">
              <w:t>220</w:t>
            </w:r>
          </w:p>
        </w:tc>
        <w:tc>
          <w:tcPr>
            <w:tcW w:w="8701" w:type="dxa"/>
            <w:shd w:val="clear" w:color="auto" w:fill="auto"/>
          </w:tcPr>
          <w:p w14:paraId="3CA47DA5" w14:textId="648DF47E"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75</w:t>
            </w:r>
            <w:r w:rsidR="00D85C65">
              <w:rPr>
                <w:rStyle w:val="InstructionsTabelleberschrift"/>
                <w:rFonts w:ascii="Times New Roman" w:hAnsi="Times New Roman"/>
                <w:sz w:val="24"/>
              </w:rPr>
              <w:t> %</w:t>
            </w:r>
          </w:p>
          <w:p w14:paraId="0D74F3CB" w14:textId="77777777" w:rsidR="00235D9D" w:rsidRPr="00D85C65" w:rsidRDefault="00235D9D">
            <w:pPr>
              <w:pStyle w:val="InstructionsText"/>
            </w:pPr>
          </w:p>
        </w:tc>
      </w:tr>
      <w:tr w:rsidR="00235D9D" w:rsidRPr="00D85C65" w14:paraId="644D7D63" w14:textId="77777777" w:rsidTr="00672D2A">
        <w:tc>
          <w:tcPr>
            <w:tcW w:w="1188" w:type="dxa"/>
            <w:shd w:val="clear" w:color="auto" w:fill="auto"/>
          </w:tcPr>
          <w:p w14:paraId="15850B07" w14:textId="77777777" w:rsidR="00235D9D" w:rsidRPr="00D85C65" w:rsidRDefault="00462BAB">
            <w:pPr>
              <w:pStyle w:val="InstructionsText"/>
            </w:pPr>
            <w:r w:rsidRPr="00D85C65">
              <w:t>230</w:t>
            </w:r>
          </w:p>
        </w:tc>
        <w:tc>
          <w:tcPr>
            <w:tcW w:w="8701" w:type="dxa"/>
            <w:shd w:val="clear" w:color="auto" w:fill="auto"/>
          </w:tcPr>
          <w:p w14:paraId="2C04D32D" w14:textId="7BFC8E0D"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100</w:t>
            </w:r>
            <w:r w:rsidR="00D85C65">
              <w:rPr>
                <w:rStyle w:val="InstructionsTabelleberschrift"/>
                <w:rFonts w:ascii="Times New Roman" w:hAnsi="Times New Roman"/>
                <w:sz w:val="24"/>
              </w:rPr>
              <w:t> %</w:t>
            </w:r>
          </w:p>
          <w:p w14:paraId="502631B3" w14:textId="77777777" w:rsidR="00235D9D" w:rsidRPr="00D85C65" w:rsidRDefault="00235D9D">
            <w:pPr>
              <w:pStyle w:val="InstructionsText"/>
            </w:pPr>
          </w:p>
        </w:tc>
      </w:tr>
      <w:tr w:rsidR="00235D9D" w:rsidRPr="00D85C65" w14:paraId="61E4A948" w14:textId="77777777" w:rsidTr="00672D2A">
        <w:tc>
          <w:tcPr>
            <w:tcW w:w="1188" w:type="dxa"/>
            <w:shd w:val="clear" w:color="auto" w:fill="auto"/>
          </w:tcPr>
          <w:p w14:paraId="0BD0253F" w14:textId="77777777" w:rsidR="00235D9D" w:rsidRPr="00D85C65" w:rsidRDefault="00462BAB">
            <w:pPr>
              <w:pStyle w:val="InstructionsText"/>
            </w:pPr>
            <w:r w:rsidRPr="00D85C65">
              <w:t>240</w:t>
            </w:r>
          </w:p>
        </w:tc>
        <w:tc>
          <w:tcPr>
            <w:tcW w:w="8701" w:type="dxa"/>
            <w:shd w:val="clear" w:color="auto" w:fill="auto"/>
          </w:tcPr>
          <w:p w14:paraId="4B31930A" w14:textId="68105964"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150</w:t>
            </w:r>
            <w:r w:rsidR="00D85C65">
              <w:rPr>
                <w:rStyle w:val="InstructionsTabelleberschrift"/>
                <w:rFonts w:ascii="Times New Roman" w:hAnsi="Times New Roman"/>
                <w:sz w:val="24"/>
              </w:rPr>
              <w:t> %</w:t>
            </w:r>
          </w:p>
          <w:p w14:paraId="47E2C677" w14:textId="77777777" w:rsidR="00235D9D" w:rsidRPr="00D85C65" w:rsidRDefault="00235D9D">
            <w:pPr>
              <w:pStyle w:val="InstructionsText"/>
            </w:pPr>
          </w:p>
        </w:tc>
      </w:tr>
      <w:tr w:rsidR="00235D9D" w:rsidRPr="00D85C65" w14:paraId="1AD3E98B" w14:textId="77777777" w:rsidTr="00672D2A">
        <w:tc>
          <w:tcPr>
            <w:tcW w:w="1188" w:type="dxa"/>
            <w:shd w:val="clear" w:color="auto" w:fill="auto"/>
          </w:tcPr>
          <w:p w14:paraId="1C3F1822" w14:textId="77777777" w:rsidR="00235D9D" w:rsidRPr="00D85C65" w:rsidRDefault="00462BAB">
            <w:pPr>
              <w:pStyle w:val="InstructionsText"/>
            </w:pPr>
            <w:r w:rsidRPr="00D85C65">
              <w:t>250</w:t>
            </w:r>
          </w:p>
        </w:tc>
        <w:tc>
          <w:tcPr>
            <w:tcW w:w="8701" w:type="dxa"/>
            <w:shd w:val="clear" w:color="auto" w:fill="auto"/>
          </w:tcPr>
          <w:p w14:paraId="3B8D962F" w14:textId="46E5DB1B"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250</w:t>
            </w:r>
            <w:r w:rsidR="00D85C65">
              <w:rPr>
                <w:rStyle w:val="InstructionsTabelleberschrift"/>
                <w:rFonts w:ascii="Times New Roman" w:hAnsi="Times New Roman"/>
                <w:sz w:val="24"/>
              </w:rPr>
              <w:t> %</w:t>
            </w:r>
          </w:p>
          <w:p w14:paraId="41C76E01" w14:textId="15EB2ADB" w:rsidR="00235D9D" w:rsidRPr="00D85C65" w:rsidRDefault="00462BAB">
            <w:pPr>
              <w:pStyle w:val="InstructionsText"/>
            </w:pPr>
            <w:r w:rsidRPr="00D85C65">
              <w:t>Článok 133 ods. 2</w:t>
            </w:r>
            <w:r w:rsidR="00D85C65">
              <w:t xml:space="preserve"> a </w:t>
            </w:r>
            <w:r w:rsidRPr="00D85C65">
              <w:t>článok 48 ods. 4 CRR.</w:t>
            </w:r>
          </w:p>
        </w:tc>
      </w:tr>
      <w:tr w:rsidR="00235D9D" w:rsidRPr="00D85C65" w14:paraId="2FC10DCB" w14:textId="77777777" w:rsidTr="00672D2A">
        <w:tc>
          <w:tcPr>
            <w:tcW w:w="1188" w:type="dxa"/>
            <w:shd w:val="clear" w:color="auto" w:fill="auto"/>
          </w:tcPr>
          <w:p w14:paraId="4EB3306B" w14:textId="77777777" w:rsidR="00235D9D" w:rsidRPr="00D85C65" w:rsidRDefault="00462BAB">
            <w:pPr>
              <w:pStyle w:val="InstructionsText"/>
            </w:pPr>
            <w:r w:rsidRPr="00D85C65">
              <w:t>260</w:t>
            </w:r>
          </w:p>
        </w:tc>
        <w:tc>
          <w:tcPr>
            <w:tcW w:w="8701" w:type="dxa"/>
            <w:shd w:val="clear" w:color="auto" w:fill="auto"/>
          </w:tcPr>
          <w:p w14:paraId="4B55582E" w14:textId="36F598E1"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370</w:t>
            </w:r>
            <w:r w:rsidR="00D85C65">
              <w:rPr>
                <w:rStyle w:val="InstructionsTabelleberschrift"/>
                <w:rFonts w:ascii="Times New Roman" w:hAnsi="Times New Roman"/>
                <w:sz w:val="24"/>
              </w:rPr>
              <w:t> %</w:t>
            </w:r>
          </w:p>
          <w:p w14:paraId="2424B85A" w14:textId="07D58770" w:rsidR="00235D9D" w:rsidRPr="00D85C65" w:rsidRDefault="00462BAB">
            <w:pPr>
              <w:pStyle w:val="InstructionsText"/>
              <w:rPr>
                <w:b/>
                <w:u w:val="single"/>
              </w:rPr>
            </w:pPr>
            <w:r w:rsidRPr="00D85C65">
              <w:t>Článok 471 CRR.</w:t>
            </w:r>
          </w:p>
        </w:tc>
      </w:tr>
      <w:tr w:rsidR="00235D9D" w:rsidRPr="00D85C65" w14:paraId="73D4C74B" w14:textId="77777777" w:rsidTr="00672D2A">
        <w:tc>
          <w:tcPr>
            <w:tcW w:w="1188" w:type="dxa"/>
            <w:shd w:val="clear" w:color="auto" w:fill="auto"/>
          </w:tcPr>
          <w:p w14:paraId="1C3AE7F6" w14:textId="77777777" w:rsidR="00235D9D" w:rsidRPr="00D85C65" w:rsidRDefault="00462BAB">
            <w:pPr>
              <w:pStyle w:val="InstructionsText"/>
            </w:pPr>
            <w:r w:rsidRPr="00D85C65">
              <w:t>270</w:t>
            </w:r>
          </w:p>
        </w:tc>
        <w:tc>
          <w:tcPr>
            <w:tcW w:w="8701" w:type="dxa"/>
            <w:shd w:val="clear" w:color="auto" w:fill="auto"/>
          </w:tcPr>
          <w:p w14:paraId="1AE17939" w14:textId="43979056"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1 250</w:t>
            </w:r>
            <w:r w:rsidR="00D85C65">
              <w:rPr>
                <w:rStyle w:val="InstructionsTabelleberschrift"/>
                <w:rFonts w:ascii="Times New Roman" w:hAnsi="Times New Roman"/>
                <w:sz w:val="24"/>
              </w:rPr>
              <w:t> %</w:t>
            </w:r>
          </w:p>
          <w:p w14:paraId="56F443AA" w14:textId="6A25E5F6" w:rsidR="00235D9D" w:rsidRPr="00D85C65" w:rsidRDefault="00462BAB">
            <w:pPr>
              <w:pStyle w:val="InstructionsText"/>
              <w:rPr>
                <w:b/>
                <w:u w:val="single"/>
              </w:rPr>
            </w:pPr>
            <w:r w:rsidRPr="00D85C65">
              <w:t>Článok 133 ods. 2</w:t>
            </w:r>
            <w:r w:rsidR="00D85C65">
              <w:t xml:space="preserve"> a </w:t>
            </w:r>
            <w:r w:rsidRPr="00D85C65">
              <w:t>článok 379 CRR.</w:t>
            </w:r>
          </w:p>
        </w:tc>
      </w:tr>
      <w:tr w:rsidR="00235D9D" w:rsidRPr="00D85C65" w14:paraId="5B803A89" w14:textId="77777777" w:rsidTr="00672D2A">
        <w:tc>
          <w:tcPr>
            <w:tcW w:w="1188" w:type="dxa"/>
            <w:shd w:val="clear" w:color="auto" w:fill="auto"/>
          </w:tcPr>
          <w:p w14:paraId="44EE6FB9" w14:textId="77777777" w:rsidR="00235D9D" w:rsidRPr="00D85C65" w:rsidRDefault="00462BAB">
            <w:pPr>
              <w:pStyle w:val="InstructionsText"/>
            </w:pPr>
            <w:r w:rsidRPr="00D85C65">
              <w:t>280</w:t>
            </w:r>
          </w:p>
        </w:tc>
        <w:tc>
          <w:tcPr>
            <w:tcW w:w="8701" w:type="dxa"/>
            <w:shd w:val="clear" w:color="auto" w:fill="auto"/>
          </w:tcPr>
          <w:p w14:paraId="0A40E035" w14:textId="77777777"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Iné rizikové váhy</w:t>
            </w:r>
          </w:p>
          <w:p w14:paraId="75E5F61E" w14:textId="0AE941E0" w:rsidR="00235D9D" w:rsidRPr="00D85C65" w:rsidRDefault="00462BAB">
            <w:pPr>
              <w:pStyle w:val="InstructionsText"/>
            </w:pPr>
            <w:r w:rsidRPr="00D85C65">
              <w:t>Tento riadok nie je</w:t>
            </w:r>
            <w:r w:rsidR="00D85C65">
              <w:t xml:space="preserve"> k </w:t>
            </w:r>
            <w:r w:rsidRPr="00D85C65">
              <w:t>dispozícii pre triedy expozícií: vlády, podnikateľské subjekty, inštitúcie</w:t>
            </w:r>
            <w:r w:rsidR="00D85C65">
              <w:t xml:space="preserve"> a </w:t>
            </w:r>
            <w:r w:rsidRPr="00D85C65">
              <w:t>retail.</w:t>
            </w:r>
          </w:p>
          <w:p w14:paraId="121FC4D4" w14:textId="77777777" w:rsidR="00235D9D" w:rsidRPr="00D85C65" w:rsidRDefault="00235D9D">
            <w:pPr>
              <w:pStyle w:val="InstructionsText"/>
            </w:pPr>
          </w:p>
          <w:p w14:paraId="67CEAA17" w14:textId="77777777" w:rsidR="00235D9D" w:rsidRPr="00D85C65" w:rsidRDefault="00462BAB">
            <w:pPr>
              <w:pStyle w:val="InstructionsText"/>
            </w:pPr>
            <w:r w:rsidRPr="00D85C65">
              <w:t>Na vykazovanie týchto expozícií, na ktoré sa neuplatňujú rizikové váhy uvedené vo vzore.</w:t>
            </w:r>
          </w:p>
          <w:p w14:paraId="6DC8AA55" w14:textId="77777777" w:rsidR="00D85C65" w:rsidRDefault="00167619">
            <w:pPr>
              <w:pStyle w:val="InstructionsText"/>
            </w:pPr>
            <w:r w:rsidRPr="00D85C65">
              <w:t>Článok 113 ods. 1 až 5 CRR</w:t>
            </w:r>
            <w:r w:rsidR="00D85C65">
              <w:t>.</w:t>
            </w:r>
          </w:p>
          <w:p w14:paraId="4BA7C54D" w14:textId="7439F068" w:rsidR="00235D9D" w:rsidRPr="00D85C65" w:rsidRDefault="00235D9D">
            <w:pPr>
              <w:pStyle w:val="InstructionsText"/>
            </w:pPr>
          </w:p>
          <w:p w14:paraId="7E4903A5" w14:textId="4B0E1270" w:rsidR="00235D9D" w:rsidRPr="00D85C65" w:rsidRDefault="00462BAB">
            <w:pPr>
              <w:pStyle w:val="InstructionsText"/>
            </w:pPr>
            <w:r w:rsidRPr="00D85C65">
              <w:t>Kreditné deriváty pre n-té zlyhanie bez ratingu</w:t>
            </w:r>
            <w:r w:rsidR="00D85C65">
              <w:t xml:space="preserve"> v </w:t>
            </w:r>
            <w:r w:rsidRPr="00D85C65">
              <w:t>rámci štandardizovaného prístupu (článok 134 ods. 6 CRR) sa vykazujú</w:t>
            </w:r>
            <w:r w:rsidR="00D85C65">
              <w:t xml:space="preserve"> v </w:t>
            </w:r>
            <w:r w:rsidRPr="00D85C65">
              <w:t>tomto riadku</w:t>
            </w:r>
            <w:r w:rsidR="00D85C65">
              <w:t xml:space="preserve"> v </w:t>
            </w:r>
            <w:r w:rsidRPr="00D85C65">
              <w:t>triede expozícií „iné položky“.</w:t>
            </w:r>
          </w:p>
          <w:p w14:paraId="521DC7A1" w14:textId="20E71AD5" w:rsidR="00235D9D" w:rsidRPr="00D85C65" w:rsidRDefault="00462BAB">
            <w:pPr>
              <w:pStyle w:val="InstructionsText"/>
            </w:pPr>
            <w:r w:rsidRPr="00D85C65">
              <w:t>Pozri aj článok 124 ods. 2</w:t>
            </w:r>
            <w:r w:rsidR="00D85C65">
              <w:t xml:space="preserve"> a </w:t>
            </w:r>
            <w:r w:rsidRPr="00D85C65">
              <w:t xml:space="preserve">článok 152 ods. 2 písm. b) CRR. </w:t>
            </w:r>
          </w:p>
        </w:tc>
      </w:tr>
      <w:tr w:rsidR="00235D9D" w:rsidRPr="00D85C65" w14:paraId="69F88F23" w14:textId="77777777" w:rsidTr="00672D2A">
        <w:tc>
          <w:tcPr>
            <w:tcW w:w="1188" w:type="dxa"/>
            <w:shd w:val="clear" w:color="auto" w:fill="auto"/>
          </w:tcPr>
          <w:p w14:paraId="61528BCF" w14:textId="77777777" w:rsidR="00235D9D" w:rsidRPr="00D85C65" w:rsidRDefault="00462BAB">
            <w:pPr>
              <w:pStyle w:val="InstructionsText"/>
            </w:pPr>
            <w:r w:rsidRPr="00D85C65">
              <w:t>290 – 320</w:t>
            </w:r>
          </w:p>
        </w:tc>
        <w:tc>
          <w:tcPr>
            <w:tcW w:w="8701" w:type="dxa"/>
            <w:shd w:val="clear" w:color="auto" w:fill="auto"/>
          </w:tcPr>
          <w:p w14:paraId="36CA6F93" w14:textId="77777777"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Doplňujúce položky</w:t>
            </w:r>
          </w:p>
          <w:p w14:paraId="0F27190C" w14:textId="77777777" w:rsidR="00235D9D" w:rsidRPr="00D85C65" w:rsidRDefault="00462BAB">
            <w:pPr>
              <w:pStyle w:val="InstructionsText"/>
              <w:rPr>
                <w:b/>
                <w:u w:val="single"/>
              </w:rPr>
            </w:pPr>
            <w:r w:rsidRPr="00D85C65">
              <w:t>Pozri aj vysvetlenie účelu doplňujúcich položiek vo všeobecnom oddiele vzoru CR SA.</w:t>
            </w:r>
          </w:p>
        </w:tc>
      </w:tr>
      <w:tr w:rsidR="00235D9D" w:rsidRPr="00D85C65" w14:paraId="5258B59B" w14:textId="77777777" w:rsidTr="00672D2A">
        <w:tc>
          <w:tcPr>
            <w:tcW w:w="1188" w:type="dxa"/>
            <w:shd w:val="clear" w:color="auto" w:fill="auto"/>
          </w:tcPr>
          <w:p w14:paraId="7F98313D" w14:textId="77777777" w:rsidR="00235D9D" w:rsidRPr="00D85C65" w:rsidRDefault="00462BAB">
            <w:pPr>
              <w:pStyle w:val="InstructionsText"/>
            </w:pPr>
            <w:r w:rsidRPr="00D85C65">
              <w:t>290</w:t>
            </w:r>
          </w:p>
          <w:p w14:paraId="0CA5F736" w14:textId="77777777" w:rsidR="00235D9D" w:rsidRPr="00D85C65" w:rsidRDefault="00235D9D">
            <w:pPr>
              <w:pStyle w:val="InstructionsText"/>
            </w:pPr>
          </w:p>
        </w:tc>
        <w:tc>
          <w:tcPr>
            <w:tcW w:w="8701" w:type="dxa"/>
            <w:shd w:val="clear" w:color="auto" w:fill="auto"/>
          </w:tcPr>
          <w:p w14:paraId="56098472" w14:textId="77777777"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Expozície zabezpečené hypotékami na nehnuteľný majetok určený na podnikanie</w:t>
            </w:r>
          </w:p>
          <w:p w14:paraId="462ADB3C" w14:textId="142A6AFA" w:rsidR="00235D9D" w:rsidRPr="00D85C65" w:rsidRDefault="00D21B29">
            <w:pPr>
              <w:pStyle w:val="InstructionsText"/>
            </w:pPr>
            <w:r w:rsidRPr="00D85C65">
              <w:t>Článok 112 písm. i) CRR.</w:t>
            </w:r>
          </w:p>
          <w:p w14:paraId="7529741F" w14:textId="6263DD72" w:rsidR="00235D9D" w:rsidRPr="00D85C65" w:rsidRDefault="00462BAB">
            <w:pPr>
              <w:pStyle w:val="InstructionsText"/>
            </w:pPr>
            <w:r w:rsidRPr="00D85C65">
              <w:t>Ide len</w:t>
            </w:r>
            <w:r w:rsidR="00D85C65">
              <w:t xml:space="preserve"> o </w:t>
            </w:r>
            <w:r w:rsidRPr="00D85C65">
              <w:t>doplňujúcu položku. Nezávisle od výpočtu hodnôt rizikových expozícií zabezpečených nehnuteľným majetkom určeným na podnikanie podľa článkov 124</w:t>
            </w:r>
            <w:r w:rsidR="00D85C65">
              <w:t xml:space="preserve"> a </w:t>
            </w:r>
            <w:r w:rsidRPr="00D85C65">
              <w:t xml:space="preserve">126 </w:t>
            </w:r>
            <w:r w:rsidRPr="00D85C65">
              <w:lastRenderedPageBreak/>
              <w:t>CRR sa expozície rozčlenia</w:t>
            </w:r>
            <w:r w:rsidR="00D85C65">
              <w:t xml:space="preserve"> a </w:t>
            </w:r>
            <w:r w:rsidRPr="00D85C65">
              <w:t>vykazujú</w:t>
            </w:r>
            <w:r w:rsidR="00D85C65">
              <w:t xml:space="preserve"> v </w:t>
            </w:r>
            <w:r w:rsidRPr="00D85C65">
              <w:t>tomto riadku, ak sú expozície zabezpečené nehnuteľným majetkom určeným na podnikanie.</w:t>
            </w:r>
          </w:p>
        </w:tc>
      </w:tr>
      <w:tr w:rsidR="00235D9D" w:rsidRPr="00D85C65" w14:paraId="0ECA48B5" w14:textId="77777777" w:rsidTr="00672D2A">
        <w:tc>
          <w:tcPr>
            <w:tcW w:w="1188" w:type="dxa"/>
            <w:shd w:val="clear" w:color="auto" w:fill="auto"/>
          </w:tcPr>
          <w:p w14:paraId="303BEE53" w14:textId="77777777" w:rsidR="00235D9D" w:rsidRPr="00D85C65" w:rsidRDefault="00462BAB">
            <w:pPr>
              <w:pStyle w:val="InstructionsText"/>
            </w:pPr>
            <w:r w:rsidRPr="00D85C65">
              <w:lastRenderedPageBreak/>
              <w:t>300</w:t>
            </w:r>
          </w:p>
        </w:tc>
        <w:tc>
          <w:tcPr>
            <w:tcW w:w="8701" w:type="dxa"/>
            <w:shd w:val="clear" w:color="auto" w:fill="auto"/>
          </w:tcPr>
          <w:p w14:paraId="0632B907" w14:textId="2C09F8D6" w:rsidR="00235D9D" w:rsidRP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Expozície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stave zlyhania, na ktoré sa uplatňuje riziková váha 100</w:t>
            </w:r>
            <w:r w:rsidR="00D85C65">
              <w:rPr>
                <w:rStyle w:val="InstructionsTabelleberschrift"/>
                <w:rFonts w:ascii="Times New Roman" w:hAnsi="Times New Roman"/>
                <w:sz w:val="24"/>
              </w:rPr>
              <w:t> %</w:t>
            </w:r>
          </w:p>
          <w:p w14:paraId="62F0F0F9" w14:textId="5689AF16" w:rsidR="00235D9D" w:rsidRPr="00D85C65" w:rsidRDefault="00D21B29">
            <w:pPr>
              <w:pStyle w:val="InstructionsText"/>
            </w:pPr>
            <w:r w:rsidRPr="00D85C65">
              <w:t>Článok 112 písm. j) CRR.</w:t>
            </w:r>
          </w:p>
          <w:p w14:paraId="50595979" w14:textId="4A5A853D" w:rsidR="00235D9D" w:rsidRPr="00D85C65" w:rsidRDefault="00462BAB">
            <w:pPr>
              <w:pStyle w:val="InstructionsText"/>
            </w:pPr>
            <w:r w:rsidRPr="00D85C65">
              <w:t>Expozície zaradené</w:t>
            </w:r>
            <w:r w:rsidR="00D85C65">
              <w:t xml:space="preserve"> v </w:t>
            </w:r>
            <w:r w:rsidRPr="00D85C65">
              <w:t>triede expozícií „expozície</w:t>
            </w:r>
            <w:r w:rsidR="00D85C65">
              <w:t xml:space="preserve"> v </w:t>
            </w:r>
            <w:r w:rsidRPr="00D85C65">
              <w:t>stave zlyhania“, ktoré sa zaradia do tejto triedy expozícií, ak neboli</w:t>
            </w:r>
            <w:r w:rsidR="00D85C65">
              <w:t xml:space="preserve"> v </w:t>
            </w:r>
            <w:r w:rsidRPr="00D85C65">
              <w:t>stave zlyhania.</w:t>
            </w:r>
          </w:p>
        </w:tc>
      </w:tr>
      <w:tr w:rsidR="00235D9D" w:rsidRPr="00D85C65" w14:paraId="4F3B943B" w14:textId="77777777" w:rsidTr="00672D2A">
        <w:tc>
          <w:tcPr>
            <w:tcW w:w="1188" w:type="dxa"/>
            <w:shd w:val="clear" w:color="auto" w:fill="auto"/>
          </w:tcPr>
          <w:p w14:paraId="015401C1" w14:textId="77777777" w:rsidR="00235D9D" w:rsidRPr="00D85C65" w:rsidRDefault="00462BAB">
            <w:pPr>
              <w:pStyle w:val="InstructionsText"/>
            </w:pPr>
            <w:r w:rsidRPr="00D85C65">
              <w:t>310</w:t>
            </w:r>
          </w:p>
        </w:tc>
        <w:tc>
          <w:tcPr>
            <w:tcW w:w="8701" w:type="dxa"/>
            <w:shd w:val="clear" w:color="auto" w:fill="auto"/>
          </w:tcPr>
          <w:p w14:paraId="2E0C2CF3" w14:textId="77777777" w:rsid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Expozície zabezpečené hypotékami na nehnuteľný majetok určený na bývanie</w:t>
            </w:r>
          </w:p>
          <w:p w14:paraId="733259AF" w14:textId="39F95A5B" w:rsidR="00235D9D" w:rsidRPr="00D85C65" w:rsidRDefault="00D21B29">
            <w:pPr>
              <w:pStyle w:val="InstructionsText"/>
            </w:pPr>
            <w:r w:rsidRPr="00D85C65">
              <w:t>Článok 112 písm. i) CRR.</w:t>
            </w:r>
          </w:p>
          <w:p w14:paraId="6DA788E4" w14:textId="2E849597" w:rsidR="00235D9D" w:rsidRPr="00D85C65" w:rsidRDefault="00462BAB">
            <w:pPr>
              <w:pStyle w:val="InstructionsText"/>
              <w:rPr>
                <w:b/>
                <w:u w:val="single"/>
              </w:rPr>
            </w:pPr>
            <w:r w:rsidRPr="00D85C65">
              <w:t>Ide len</w:t>
            </w:r>
            <w:r w:rsidR="00D85C65">
              <w:t xml:space="preserve"> o </w:t>
            </w:r>
            <w:r w:rsidRPr="00D85C65">
              <w:t>doplňujúcu položku. Nezávisle od výpočtu hodnôt rizikových expozícií zabezpečených hypotékami na nehnuteľný majetok určený na bývanie podľa článkov 124</w:t>
            </w:r>
            <w:r w:rsidR="00D85C65">
              <w:t xml:space="preserve"> a </w:t>
            </w:r>
            <w:r w:rsidRPr="00D85C65">
              <w:t>125 CRR sa expozície rozčlenia</w:t>
            </w:r>
            <w:r w:rsidR="00D85C65">
              <w:t xml:space="preserve"> a </w:t>
            </w:r>
            <w:r w:rsidRPr="00D85C65">
              <w:t>vykazujú</w:t>
            </w:r>
            <w:r w:rsidR="00D85C65">
              <w:t xml:space="preserve"> v </w:t>
            </w:r>
            <w:r w:rsidRPr="00D85C65">
              <w:t>tomto riadku vtedy, keď sú expozície zabezpečené nehnuteľným majetkom.</w:t>
            </w:r>
          </w:p>
        </w:tc>
      </w:tr>
      <w:tr w:rsidR="00235D9D" w:rsidRPr="00D85C65" w14:paraId="7BF1F948" w14:textId="77777777" w:rsidTr="00672D2A">
        <w:tc>
          <w:tcPr>
            <w:tcW w:w="1188" w:type="dxa"/>
            <w:shd w:val="clear" w:color="auto" w:fill="auto"/>
          </w:tcPr>
          <w:p w14:paraId="3BB26996" w14:textId="77777777" w:rsidR="00235D9D" w:rsidRPr="00D85C65" w:rsidRDefault="00462BAB">
            <w:pPr>
              <w:pStyle w:val="InstructionsText"/>
            </w:pPr>
            <w:r w:rsidRPr="00D85C65">
              <w:t>320</w:t>
            </w:r>
          </w:p>
        </w:tc>
        <w:tc>
          <w:tcPr>
            <w:tcW w:w="8701" w:type="dxa"/>
            <w:shd w:val="clear" w:color="auto" w:fill="auto"/>
          </w:tcPr>
          <w:p w14:paraId="44786C4D" w14:textId="1DB537A1" w:rsidR="00D85C65" w:rsidRDefault="00462BAB">
            <w:pPr>
              <w:pStyle w:val="InstructionsText"/>
              <w:rPr>
                <w:rStyle w:val="InstructionsTabelleberschrift"/>
                <w:rFonts w:ascii="Times New Roman" w:hAnsi="Times New Roman"/>
                <w:sz w:val="24"/>
              </w:rPr>
            </w:pPr>
            <w:r w:rsidRPr="00D85C65">
              <w:rPr>
                <w:rStyle w:val="InstructionsTabelleberschrift"/>
                <w:rFonts w:ascii="Times New Roman" w:hAnsi="Times New Roman"/>
                <w:sz w:val="24"/>
              </w:rPr>
              <w:t>Expozície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stave zlyhania, na ktoré sa uplatňuje riziková váha 150</w:t>
            </w:r>
            <w:r w:rsidR="00D85C65">
              <w:rPr>
                <w:rStyle w:val="InstructionsTabelleberschrift"/>
                <w:rFonts w:ascii="Times New Roman" w:hAnsi="Times New Roman"/>
                <w:sz w:val="24"/>
              </w:rPr>
              <w:t> %</w:t>
            </w:r>
          </w:p>
          <w:p w14:paraId="1FD8C7E5" w14:textId="24254297" w:rsidR="00235D9D" w:rsidRPr="00D85C65" w:rsidRDefault="00D21B29">
            <w:pPr>
              <w:pStyle w:val="InstructionsText"/>
            </w:pPr>
            <w:r w:rsidRPr="00D85C65">
              <w:t>Článok 112 písm. j) CRR.</w:t>
            </w:r>
          </w:p>
          <w:p w14:paraId="5A795656" w14:textId="78F27FC7" w:rsidR="00235D9D" w:rsidRPr="00D85C65" w:rsidRDefault="00462BAB">
            <w:pPr>
              <w:pStyle w:val="InstructionsText"/>
            </w:pPr>
            <w:r w:rsidRPr="00D85C65">
              <w:t>Expozície zaradené</w:t>
            </w:r>
            <w:r w:rsidR="00D85C65">
              <w:t xml:space="preserve"> v </w:t>
            </w:r>
            <w:r w:rsidRPr="00D85C65">
              <w:t>triede expozícií „expozície</w:t>
            </w:r>
            <w:r w:rsidR="00D85C65">
              <w:t xml:space="preserve"> v </w:t>
            </w:r>
            <w:r w:rsidRPr="00D85C65">
              <w:t>stave zlyhania“, ktoré sa zaradia do tejto triedy expozícií, ak neboli</w:t>
            </w:r>
            <w:r w:rsidR="00D85C65">
              <w:t xml:space="preserve"> v </w:t>
            </w:r>
            <w:r w:rsidRPr="00D85C65">
              <w:t>stave zlyhania.</w:t>
            </w:r>
          </w:p>
        </w:tc>
      </w:tr>
    </w:tbl>
    <w:p w14:paraId="0CF52968" w14:textId="77777777" w:rsidR="00235D9D" w:rsidRPr="00D85C65" w:rsidRDefault="00235D9D">
      <w:pPr>
        <w:spacing w:before="0" w:after="0"/>
        <w:jc w:val="left"/>
        <w:rPr>
          <w:rFonts w:ascii="Times New Roman" w:hAnsi="Times New Roman"/>
          <w:bCs/>
          <w:sz w:val="24"/>
        </w:rPr>
      </w:pPr>
    </w:p>
    <w:p w14:paraId="34424423" w14:textId="6DA1E56E" w:rsidR="00235D9D" w:rsidRPr="00D85C65" w:rsidRDefault="00125707">
      <w:pPr>
        <w:pStyle w:val="Instructionsberschrift2"/>
        <w:numPr>
          <w:ilvl w:val="0"/>
          <w:numId w:val="0"/>
        </w:numPr>
        <w:ind w:left="357" w:hanging="357"/>
        <w:rPr>
          <w:rFonts w:ascii="Times New Roman" w:hAnsi="Times New Roman" w:cs="Times New Roman"/>
          <w:sz w:val="24"/>
        </w:rPr>
      </w:pPr>
      <w:bookmarkStart w:id="42" w:name="_Toc29994485"/>
      <w:r w:rsidRPr="00D85C65">
        <w:rPr>
          <w:rFonts w:ascii="Times New Roman" w:hAnsi="Times New Roman"/>
          <w:sz w:val="24"/>
          <w:u w:val="none"/>
        </w:rPr>
        <w:t>3.3.</w:t>
      </w:r>
      <w:r w:rsidRPr="00D85C65">
        <w:rPr>
          <w:rFonts w:ascii="Times New Roman" w:hAnsi="Times New Roman"/>
          <w:sz w:val="24"/>
          <w:u w:val="none"/>
        </w:rPr>
        <w:tab/>
      </w:r>
      <w:r w:rsidRPr="00D85C65">
        <w:rPr>
          <w:rFonts w:ascii="Times New Roman" w:hAnsi="Times New Roman"/>
          <w:sz w:val="24"/>
        </w:rPr>
        <w:t>Kreditné riziko</w:t>
      </w:r>
      <w:r w:rsidR="00D85C65">
        <w:rPr>
          <w:rFonts w:ascii="Times New Roman" w:hAnsi="Times New Roman"/>
          <w:sz w:val="24"/>
        </w:rPr>
        <w:t xml:space="preserve"> a </w:t>
      </w:r>
      <w:r w:rsidRPr="00D85C65">
        <w:rPr>
          <w:rFonts w:ascii="Times New Roman" w:hAnsi="Times New Roman"/>
          <w:sz w:val="24"/>
        </w:rPr>
        <w:t>kreditné riziko protistrany</w:t>
      </w:r>
      <w:r w:rsidR="00D85C65">
        <w:rPr>
          <w:rFonts w:ascii="Times New Roman" w:hAnsi="Times New Roman"/>
          <w:sz w:val="24"/>
        </w:rPr>
        <w:t xml:space="preserve"> a </w:t>
      </w:r>
      <w:r w:rsidRPr="00D85C65">
        <w:rPr>
          <w:rFonts w:ascii="Times New Roman" w:hAnsi="Times New Roman"/>
          <w:sz w:val="24"/>
        </w:rPr>
        <w:t>bezodplatné dodanie: Prístup IRB</w:t>
      </w:r>
      <w:r w:rsidR="00D85C65">
        <w:rPr>
          <w:rFonts w:ascii="Times New Roman" w:hAnsi="Times New Roman"/>
          <w:sz w:val="24"/>
        </w:rPr>
        <w:t xml:space="preserve"> k </w:t>
      </w:r>
      <w:r w:rsidRPr="00D85C65">
        <w:rPr>
          <w:rFonts w:ascii="Times New Roman" w:hAnsi="Times New Roman"/>
          <w:sz w:val="24"/>
        </w:rPr>
        <w:t>požiadavkám na vlastné zdroje (CR IRB)</w:t>
      </w:r>
      <w:bookmarkEnd w:id="42"/>
    </w:p>
    <w:p w14:paraId="6D3CC5E2"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43" w:name="_Toc29994486"/>
      <w:r w:rsidRPr="00D85C65">
        <w:rPr>
          <w:rFonts w:ascii="Times New Roman" w:hAnsi="Times New Roman"/>
          <w:sz w:val="24"/>
          <w:u w:val="none"/>
        </w:rPr>
        <w:t>3.3.1.</w:t>
      </w:r>
      <w:r w:rsidRPr="00D85C65">
        <w:rPr>
          <w:rFonts w:ascii="Times New Roman" w:hAnsi="Times New Roman"/>
          <w:sz w:val="24"/>
          <w:u w:val="none"/>
        </w:rPr>
        <w:tab/>
      </w:r>
      <w:r w:rsidRPr="00D85C65">
        <w:rPr>
          <w:rFonts w:ascii="Times New Roman" w:hAnsi="Times New Roman"/>
          <w:sz w:val="24"/>
        </w:rPr>
        <w:t>Rozsah vzoru CR IRB</w:t>
      </w:r>
      <w:bookmarkEnd w:id="43"/>
    </w:p>
    <w:p w14:paraId="4F8060C4" w14:textId="77777777" w:rsidR="00235D9D" w:rsidRPr="00D85C65" w:rsidRDefault="00125707">
      <w:pPr>
        <w:pStyle w:val="InstructionsText2"/>
        <w:numPr>
          <w:ilvl w:val="0"/>
          <w:numId w:val="0"/>
        </w:numPr>
        <w:ind w:left="993"/>
      </w:pPr>
      <w:r w:rsidRPr="00D85C65">
        <w:t>74.</w:t>
      </w:r>
      <w:r w:rsidRPr="00D85C65">
        <w:tab/>
        <w:t>Rozsah vzoru CR IRB pokrýva požiadavky na vlastné zdroje pre:</w:t>
      </w:r>
    </w:p>
    <w:p w14:paraId="0B0D2E2D" w14:textId="10B0012B" w:rsidR="00235D9D" w:rsidRPr="00D85C65" w:rsidRDefault="00125707">
      <w:pPr>
        <w:pStyle w:val="InstructionsText2"/>
        <w:numPr>
          <w:ilvl w:val="0"/>
          <w:numId w:val="0"/>
        </w:numPr>
        <w:ind w:left="993"/>
      </w:pPr>
      <w:r w:rsidRPr="00D85C65">
        <w:t>i)</w:t>
      </w:r>
      <w:r w:rsidRPr="00D85C65">
        <w:tab/>
        <w:t>kreditné riziko</w:t>
      </w:r>
      <w:r w:rsidR="00D85C65">
        <w:t xml:space="preserve"> v </w:t>
      </w:r>
      <w:r w:rsidRPr="00D85C65">
        <w:t>bankovej knihe vrátane:</w:t>
      </w:r>
    </w:p>
    <w:p w14:paraId="13B12833" w14:textId="123FECF5" w:rsidR="00235D9D" w:rsidRPr="00D85C6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85C65">
        <w:rPr>
          <w:rFonts w:ascii="Wingdings" w:hAnsi="Wingdings"/>
          <w:sz w:val="24"/>
        </w:rPr>
        <w:t></w:t>
      </w:r>
      <w:r w:rsidRPr="00D85C65">
        <w:rPr>
          <w:rFonts w:ascii="Wingdings" w:hAnsi="Wingdings"/>
          <w:sz w:val="24"/>
        </w:rPr>
        <w:tab/>
      </w:r>
      <w:r w:rsidRPr="00D85C65">
        <w:rPr>
          <w:rFonts w:ascii="Times New Roman" w:hAnsi="Times New Roman"/>
          <w:sz w:val="24"/>
        </w:rPr>
        <w:t>kreditného rizika protistrany</w:t>
      </w:r>
      <w:r w:rsidR="00D85C65">
        <w:rPr>
          <w:rFonts w:ascii="Times New Roman" w:hAnsi="Times New Roman"/>
          <w:sz w:val="24"/>
        </w:rPr>
        <w:t xml:space="preserve"> v </w:t>
      </w:r>
      <w:r w:rsidRPr="00D85C65">
        <w:rPr>
          <w:rFonts w:ascii="Times New Roman" w:hAnsi="Times New Roman"/>
          <w:sz w:val="24"/>
        </w:rPr>
        <w:t>bankovej knihe;</w:t>
      </w:r>
    </w:p>
    <w:p w14:paraId="0E5FFAAE" w14:textId="217B2515" w:rsidR="00235D9D" w:rsidRPr="00D85C6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85C65">
        <w:rPr>
          <w:rFonts w:ascii="Wingdings" w:hAnsi="Wingdings"/>
          <w:sz w:val="24"/>
        </w:rPr>
        <w:t></w:t>
      </w:r>
      <w:r w:rsidRPr="00D85C65">
        <w:rPr>
          <w:rFonts w:ascii="Wingdings" w:hAnsi="Wingdings"/>
          <w:sz w:val="24"/>
        </w:rPr>
        <w:tab/>
      </w:r>
      <w:r w:rsidRPr="00D85C65">
        <w:rPr>
          <w:rFonts w:ascii="Times New Roman" w:hAnsi="Times New Roman"/>
          <w:sz w:val="24"/>
        </w:rPr>
        <w:t>rizika zníženia kvality odkúpených pohľadávok</w:t>
      </w:r>
      <w:r w:rsidR="00D85C65">
        <w:rPr>
          <w:rFonts w:ascii="Times New Roman" w:hAnsi="Times New Roman"/>
          <w:sz w:val="24"/>
        </w:rPr>
        <w:t xml:space="preserve"> z </w:t>
      </w:r>
      <w:r w:rsidRPr="00D85C65">
        <w:rPr>
          <w:rFonts w:ascii="Times New Roman" w:hAnsi="Times New Roman"/>
          <w:sz w:val="24"/>
        </w:rPr>
        <w:t>iných ako kreditných dôvodov;</w:t>
      </w:r>
    </w:p>
    <w:p w14:paraId="1320AA00" w14:textId="6A29FAA4" w:rsidR="00235D9D" w:rsidRPr="00D85C65" w:rsidRDefault="00125707">
      <w:pPr>
        <w:pStyle w:val="InstructionsText2"/>
        <w:numPr>
          <w:ilvl w:val="0"/>
          <w:numId w:val="0"/>
        </w:numPr>
        <w:ind w:left="993"/>
      </w:pPr>
      <w:r w:rsidRPr="00D85C65">
        <w:t>ii)</w:t>
      </w:r>
      <w:r w:rsidRPr="00D85C65">
        <w:tab/>
        <w:t>kreditné riziko protistrany</w:t>
      </w:r>
      <w:r w:rsidR="00D85C65">
        <w:t xml:space="preserve"> v </w:t>
      </w:r>
      <w:r w:rsidRPr="00D85C65">
        <w:t>obchodnej knihe;</w:t>
      </w:r>
    </w:p>
    <w:p w14:paraId="67266BBC" w14:textId="33C55E4A" w:rsidR="00235D9D" w:rsidRPr="00D85C65" w:rsidRDefault="00125707">
      <w:pPr>
        <w:pStyle w:val="InstructionsText2"/>
        <w:numPr>
          <w:ilvl w:val="0"/>
          <w:numId w:val="0"/>
        </w:numPr>
        <w:ind w:left="993"/>
      </w:pPr>
      <w:r w:rsidRPr="00D85C65">
        <w:t>iii)</w:t>
      </w:r>
      <w:r w:rsidRPr="00D85C65">
        <w:tab/>
        <w:t>bezodplatné dodanie vyplývajúce zo všetkých obchodných činností.</w:t>
      </w:r>
    </w:p>
    <w:p w14:paraId="722E29E4" w14:textId="658750BD" w:rsidR="00D85C65" w:rsidRDefault="00125707">
      <w:pPr>
        <w:pStyle w:val="InstructionsText2"/>
        <w:numPr>
          <w:ilvl w:val="0"/>
          <w:numId w:val="0"/>
        </w:numPr>
        <w:ind w:left="993"/>
      </w:pPr>
      <w:r w:rsidRPr="00D85C65">
        <w:t>75.</w:t>
      </w:r>
      <w:r w:rsidRPr="00D85C65">
        <w:tab/>
        <w:t>Rozsah vzoru sa vzťahuje na expozície, pre ktoré sa hodnoty rizikovo vážených expozícií vypočítavajú</w:t>
      </w:r>
      <w:r w:rsidR="00D85C65">
        <w:t xml:space="preserve"> v </w:t>
      </w:r>
      <w:r w:rsidRPr="00D85C65">
        <w:t>súlade</w:t>
      </w:r>
      <w:r w:rsidR="00D85C65">
        <w:t xml:space="preserve"> s </w:t>
      </w:r>
      <w:r w:rsidRPr="00D85C65">
        <w:t>treťou časťou hlavou II kapitolou 3 článkami 151 až 157 (prístup IRB)</w:t>
      </w:r>
      <w:r w:rsidR="00D85C65">
        <w:t>.</w:t>
      </w:r>
    </w:p>
    <w:p w14:paraId="605189D5" w14:textId="77777777" w:rsidR="00D85C65" w:rsidRDefault="00125707">
      <w:pPr>
        <w:pStyle w:val="InstructionsText2"/>
        <w:numPr>
          <w:ilvl w:val="0"/>
          <w:numId w:val="0"/>
        </w:numPr>
        <w:ind w:left="993"/>
      </w:pPr>
      <w:r w:rsidRPr="00D85C65">
        <w:t>76.</w:t>
      </w:r>
      <w:r w:rsidRPr="00D85C65">
        <w:tab/>
        <w:t>Vzor CR IRB sa nevzťahuje na tieto údaje</w:t>
      </w:r>
      <w:r w:rsidR="00D85C65">
        <w:t>:</w:t>
      </w:r>
    </w:p>
    <w:p w14:paraId="284B3924" w14:textId="03E0C0CF" w:rsidR="00D85C65" w:rsidRDefault="00125707">
      <w:pPr>
        <w:pStyle w:val="InstructionsText2"/>
        <w:numPr>
          <w:ilvl w:val="0"/>
          <w:numId w:val="0"/>
        </w:numPr>
        <w:ind w:left="993"/>
      </w:pPr>
      <w:r w:rsidRPr="00D85C65">
        <w:t>i)</w:t>
      </w:r>
      <w:r w:rsidRPr="00D85C65">
        <w:tab/>
        <w:t>kapitálové expozície, ktoré sa vykazujú vo vzore CR EQU IRB</w:t>
      </w:r>
      <w:r w:rsidR="00D85C65">
        <w:t>;</w:t>
      </w:r>
    </w:p>
    <w:p w14:paraId="4E90EF54" w14:textId="50CECAE9" w:rsidR="00235D9D" w:rsidRPr="00D85C65" w:rsidRDefault="00125707">
      <w:pPr>
        <w:pStyle w:val="InstructionsText2"/>
        <w:numPr>
          <w:ilvl w:val="0"/>
          <w:numId w:val="0"/>
        </w:numPr>
        <w:ind w:left="993"/>
      </w:pPr>
      <w:r w:rsidRPr="00D85C65">
        <w:t>ii)</w:t>
      </w:r>
      <w:r w:rsidRPr="00D85C65">
        <w:tab/>
        <w:t>sekuritizačné pozície, ktoré sa vykazujú vo vzore CR SEC a/alebo vo vzore CR SEC Details;</w:t>
      </w:r>
    </w:p>
    <w:p w14:paraId="293A551D" w14:textId="18C13DA0" w:rsidR="00235D9D" w:rsidRPr="00D85C65" w:rsidRDefault="00125707">
      <w:pPr>
        <w:pStyle w:val="InstructionsText2"/>
        <w:numPr>
          <w:ilvl w:val="0"/>
          <w:numId w:val="0"/>
        </w:numPr>
        <w:ind w:left="993"/>
      </w:pPr>
      <w:r w:rsidRPr="00D85C65">
        <w:lastRenderedPageBreak/>
        <w:t>iii)</w:t>
      </w:r>
      <w:r w:rsidRPr="00D85C65">
        <w:tab/>
        <w:t xml:space="preserve"> „iné aktíva, ktoré nemajú povahu kreditného záväzku“, ako sa uvádza</w:t>
      </w:r>
      <w:r w:rsidR="00D85C65">
        <w:t xml:space="preserve"> v </w:t>
      </w:r>
      <w:r w:rsidRPr="00D85C65">
        <w:t>článku 147 ods. 2 písm. g) CRR. Riziková váha tejto triedy expozície sa musí nastaviť na 100</w:t>
      </w:r>
      <w:r w:rsidR="00D85C65">
        <w:t> %</w:t>
      </w:r>
      <w:r w:rsidRPr="00D85C65">
        <w:t xml:space="preserve"> kedykoľvek okrem hotovosti, rovnocenných hotovostných prostriedkov</w:t>
      </w:r>
      <w:r w:rsidR="00D85C65">
        <w:t xml:space="preserve"> a </w:t>
      </w:r>
      <w:r w:rsidRPr="00D85C65">
        <w:t>expozícií, ktoré sú zostatkovými hodnotami prenajatého majetku,</w:t>
      </w:r>
      <w:r w:rsidR="00D85C65">
        <w:t xml:space="preserve"> v </w:t>
      </w:r>
      <w:r w:rsidRPr="00D85C65">
        <w:t>súlade</w:t>
      </w:r>
      <w:r w:rsidR="00D85C65">
        <w:t xml:space="preserve"> s </w:t>
      </w:r>
      <w:r w:rsidRPr="00D85C65">
        <w:t>článkom 156 CRR. Hodnoty rizikovo vážených expozícií pre túto triedu expozícií sa vykazujú priamo vo vzore CA;</w:t>
      </w:r>
    </w:p>
    <w:p w14:paraId="3DE00D15" w14:textId="77777777" w:rsidR="00235D9D" w:rsidRPr="00D85C65" w:rsidRDefault="00125707">
      <w:pPr>
        <w:pStyle w:val="InstructionsText2"/>
        <w:numPr>
          <w:ilvl w:val="0"/>
          <w:numId w:val="0"/>
        </w:numPr>
        <w:ind w:left="993"/>
      </w:pPr>
      <w:r w:rsidRPr="00D85C65">
        <w:t>iv)</w:t>
      </w:r>
      <w:r w:rsidRPr="00D85C65">
        <w:tab/>
        <w:t>riziko úpravy ocenenia pohľadávok, ktoré sa vykazujú vo vzore pre riziko CVA.</w:t>
      </w:r>
    </w:p>
    <w:p w14:paraId="4D6EF0B8" w14:textId="77777777" w:rsidR="00D85C65" w:rsidRDefault="001C7AB7">
      <w:pPr>
        <w:autoSpaceDE w:val="0"/>
        <w:autoSpaceDN w:val="0"/>
        <w:adjustRightInd w:val="0"/>
        <w:spacing w:before="0" w:after="240"/>
        <w:ind w:left="1440"/>
        <w:jc w:val="left"/>
        <w:rPr>
          <w:rFonts w:ascii="Times New Roman" w:hAnsi="Times New Roman"/>
          <w:sz w:val="24"/>
        </w:rPr>
      </w:pPr>
      <w:r w:rsidRPr="00D85C65">
        <w:rPr>
          <w:rFonts w:ascii="Times New Roman" w:hAnsi="Times New Roman"/>
          <w:sz w:val="24"/>
        </w:rPr>
        <w:t>Vo vzore CR IRB sa nevyžaduje geografické rozčlenenie expozícií IRB podľa sídla protistrany. Toto rozčlenenie sa vykazuje vo vzore CR GB</w:t>
      </w:r>
      <w:r w:rsidR="00D85C65">
        <w:rPr>
          <w:rFonts w:ascii="Times New Roman" w:hAnsi="Times New Roman"/>
          <w:sz w:val="24"/>
        </w:rPr>
        <w:t>.</w:t>
      </w:r>
    </w:p>
    <w:p w14:paraId="7E96E46E" w14:textId="700A125A" w:rsidR="00235D9D" w:rsidRPr="00D85C65" w:rsidRDefault="00125707">
      <w:pPr>
        <w:pStyle w:val="InstructionsText2"/>
        <w:numPr>
          <w:ilvl w:val="0"/>
          <w:numId w:val="0"/>
        </w:numPr>
        <w:ind w:left="993"/>
      </w:pPr>
      <w:r w:rsidRPr="00D85C65">
        <w:t>77.</w:t>
      </w:r>
      <w:r w:rsidRPr="00D85C65">
        <w:tab/>
        <w:t>Na vyjasnenie toho, či inštitúcia používa svoje vlastné odhady pre LGD alebo kreditné konverzné faktory, sa pre každú vykazovanú triedu expozícií uvedú tieto informácie:</w:t>
      </w:r>
    </w:p>
    <w:p w14:paraId="7DC64B70" w14:textId="63B108BF" w:rsidR="00235D9D" w:rsidRPr="00D85C65" w:rsidRDefault="001C7AB7">
      <w:pPr>
        <w:autoSpaceDE w:val="0"/>
        <w:autoSpaceDN w:val="0"/>
        <w:adjustRightInd w:val="0"/>
        <w:spacing w:before="0" w:after="240"/>
        <w:ind w:left="993"/>
        <w:jc w:val="left"/>
        <w:rPr>
          <w:rFonts w:ascii="Times New Roman" w:hAnsi="Times New Roman"/>
          <w:sz w:val="24"/>
        </w:rPr>
      </w:pPr>
      <w:r w:rsidRPr="00D85C65">
        <w:rPr>
          <w:rFonts w:ascii="Times New Roman" w:hAnsi="Times New Roman"/>
          <w:sz w:val="24"/>
        </w:rPr>
        <w:t>„NIE“ =</w:t>
      </w:r>
      <w:r w:rsidR="00D85C65">
        <w:rPr>
          <w:rFonts w:ascii="Times New Roman" w:hAnsi="Times New Roman"/>
          <w:sz w:val="24"/>
        </w:rPr>
        <w:t xml:space="preserve"> v </w:t>
      </w:r>
      <w:r w:rsidRPr="00D85C65">
        <w:rPr>
          <w:rFonts w:ascii="Times New Roman" w:hAnsi="Times New Roman"/>
          <w:sz w:val="24"/>
        </w:rPr>
        <w:t>prípade používania odhadov LGD</w:t>
      </w:r>
      <w:r w:rsidR="00D85C65">
        <w:rPr>
          <w:rFonts w:ascii="Times New Roman" w:hAnsi="Times New Roman"/>
          <w:sz w:val="24"/>
        </w:rPr>
        <w:t xml:space="preserve"> a </w:t>
      </w:r>
      <w:r w:rsidRPr="00D85C65">
        <w:rPr>
          <w:rFonts w:ascii="Times New Roman" w:hAnsi="Times New Roman"/>
          <w:sz w:val="24"/>
        </w:rPr>
        <w:t>kreditných konverzných faktorov od orgánov dohľadu (základný IRB)</w:t>
      </w:r>
    </w:p>
    <w:p w14:paraId="528F42E0" w14:textId="77777777" w:rsidR="00D85C65" w:rsidRDefault="001C7AB7">
      <w:pPr>
        <w:autoSpaceDE w:val="0"/>
        <w:autoSpaceDN w:val="0"/>
        <w:adjustRightInd w:val="0"/>
        <w:spacing w:before="0" w:after="240"/>
        <w:ind w:left="993"/>
        <w:jc w:val="left"/>
        <w:rPr>
          <w:rFonts w:ascii="Times New Roman" w:hAnsi="Times New Roman"/>
          <w:sz w:val="24"/>
        </w:rPr>
      </w:pPr>
      <w:r w:rsidRPr="00D85C65">
        <w:rPr>
          <w:rFonts w:ascii="Times New Roman" w:hAnsi="Times New Roman"/>
          <w:sz w:val="24"/>
        </w:rPr>
        <w:t>„ÁNO“ =</w:t>
      </w:r>
      <w:r w:rsidR="00D85C65">
        <w:rPr>
          <w:rFonts w:ascii="Times New Roman" w:hAnsi="Times New Roman"/>
          <w:sz w:val="24"/>
        </w:rPr>
        <w:t xml:space="preserve"> v </w:t>
      </w:r>
      <w:r w:rsidRPr="00D85C65">
        <w:rPr>
          <w:rFonts w:ascii="Times New Roman" w:hAnsi="Times New Roman"/>
          <w:sz w:val="24"/>
        </w:rPr>
        <w:t>prípade používania vlastných odhadov LGD</w:t>
      </w:r>
      <w:r w:rsidR="00D85C65">
        <w:rPr>
          <w:rFonts w:ascii="Times New Roman" w:hAnsi="Times New Roman"/>
          <w:sz w:val="24"/>
        </w:rPr>
        <w:t xml:space="preserve"> a </w:t>
      </w:r>
      <w:r w:rsidRPr="00D85C65">
        <w:rPr>
          <w:rFonts w:ascii="Times New Roman" w:hAnsi="Times New Roman"/>
          <w:sz w:val="24"/>
        </w:rPr>
        <w:t>kreditných konverzných faktorov (pokročilý IRB)</w:t>
      </w:r>
    </w:p>
    <w:p w14:paraId="7DBA70CF" w14:textId="5ADFB0D2" w:rsidR="00235D9D" w:rsidRPr="00D85C65" w:rsidRDefault="001C7AB7">
      <w:pPr>
        <w:autoSpaceDE w:val="0"/>
        <w:autoSpaceDN w:val="0"/>
        <w:adjustRightInd w:val="0"/>
        <w:spacing w:before="0" w:after="240"/>
        <w:ind w:left="993"/>
        <w:jc w:val="left"/>
        <w:rPr>
          <w:rFonts w:ascii="Times New Roman" w:hAnsi="Times New Roman"/>
          <w:sz w:val="24"/>
        </w:rPr>
      </w:pPr>
      <w:r w:rsidRPr="00D85C65">
        <w:rPr>
          <w:rFonts w:ascii="Times New Roman" w:hAnsi="Times New Roman"/>
          <w:sz w:val="24"/>
        </w:rPr>
        <w:t>V každom prípade sa pre vykazovanie retailových portfólií musí vykázať „ÁNO“.</w:t>
      </w:r>
    </w:p>
    <w:p w14:paraId="7486BF84" w14:textId="390DCBBE" w:rsidR="00235D9D" w:rsidRPr="00D85C65" w:rsidRDefault="001C7AB7">
      <w:pPr>
        <w:autoSpaceDE w:val="0"/>
        <w:autoSpaceDN w:val="0"/>
        <w:adjustRightInd w:val="0"/>
        <w:spacing w:before="0" w:after="240"/>
        <w:ind w:left="993"/>
        <w:jc w:val="left"/>
        <w:rPr>
          <w:rFonts w:ascii="Times New Roman" w:hAnsi="Times New Roman"/>
          <w:sz w:val="24"/>
        </w:rPr>
      </w:pPr>
      <w:r w:rsidRPr="00D85C65">
        <w:rPr>
          <w:rFonts w:ascii="Times New Roman" w:hAnsi="Times New Roman"/>
          <w:sz w:val="24"/>
        </w:rPr>
        <w:t xml:space="preserve">Keď inštitúcia používa vlastné odhady LGD na výpočet </w:t>
      </w:r>
      <w:r w:rsidRPr="00D85C65">
        <w:rPr>
          <w:rStyle w:val="InstructionsTabelleText"/>
          <w:rFonts w:ascii="Times New Roman" w:hAnsi="Times New Roman"/>
          <w:sz w:val="24"/>
        </w:rPr>
        <w:t>hodnôt rizikovo vážených expozícií</w:t>
      </w:r>
      <w:r w:rsidRPr="00D85C65">
        <w:rPr>
          <w:rFonts w:ascii="Times New Roman" w:hAnsi="Times New Roman"/>
          <w:sz w:val="24"/>
        </w:rPr>
        <w:t xml:space="preserve"> pre časť svojich expozícií IRB, ako aj LGD od orgánov dohľadu na výpočet </w:t>
      </w:r>
      <w:r w:rsidRPr="00D85C65">
        <w:rPr>
          <w:rStyle w:val="InstructionsTabelleText"/>
          <w:rFonts w:ascii="Times New Roman" w:hAnsi="Times New Roman"/>
          <w:sz w:val="24"/>
        </w:rPr>
        <w:t>hodnôt rizikovo vážených expozícií</w:t>
      </w:r>
      <w:r w:rsidRPr="00D85C65">
        <w:rPr>
          <w:rFonts w:ascii="Times New Roman" w:hAnsi="Times New Roman"/>
          <w:sz w:val="24"/>
        </w:rPr>
        <w:t xml:space="preserve"> pre zvyšnú časť svojich expozícií IRB, vypĺňajú sa vzory CR IRB spolu pre F-IRB pozície</w:t>
      </w:r>
      <w:r w:rsidR="00D85C65">
        <w:rPr>
          <w:rFonts w:ascii="Times New Roman" w:hAnsi="Times New Roman"/>
          <w:sz w:val="24"/>
        </w:rPr>
        <w:t xml:space="preserve"> a </w:t>
      </w:r>
      <w:r w:rsidRPr="00D85C65">
        <w:rPr>
          <w:rFonts w:ascii="Times New Roman" w:hAnsi="Times New Roman"/>
          <w:sz w:val="24"/>
        </w:rPr>
        <w:t>jeden vzor CR IRB spolu pre A-IRB pozície.</w:t>
      </w:r>
    </w:p>
    <w:p w14:paraId="706E10C7"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44" w:name="_Toc29994487"/>
      <w:r w:rsidRPr="00D85C65">
        <w:rPr>
          <w:rFonts w:ascii="Times New Roman" w:hAnsi="Times New Roman"/>
          <w:sz w:val="24"/>
          <w:u w:val="none"/>
        </w:rPr>
        <w:t>3.3.2.</w:t>
      </w:r>
      <w:r w:rsidRPr="00D85C65">
        <w:rPr>
          <w:rFonts w:ascii="Times New Roman" w:hAnsi="Times New Roman"/>
          <w:sz w:val="24"/>
          <w:u w:val="none"/>
        </w:rPr>
        <w:tab/>
      </w:r>
      <w:r w:rsidRPr="00D85C65">
        <w:rPr>
          <w:rFonts w:ascii="Times New Roman" w:hAnsi="Times New Roman"/>
          <w:sz w:val="24"/>
        </w:rPr>
        <w:t>Prehľad vzoru CR IRB</w:t>
      </w:r>
      <w:bookmarkEnd w:id="44"/>
    </w:p>
    <w:p w14:paraId="49869CCD" w14:textId="3359CA2B" w:rsidR="00235D9D" w:rsidRPr="00D85C65" w:rsidRDefault="00125707">
      <w:pPr>
        <w:pStyle w:val="InstructionsText2"/>
        <w:numPr>
          <w:ilvl w:val="0"/>
          <w:numId w:val="0"/>
        </w:numPr>
        <w:ind w:left="993"/>
      </w:pPr>
      <w:r w:rsidRPr="00D85C65">
        <w:t>78.</w:t>
      </w:r>
      <w:r w:rsidRPr="00D85C65">
        <w:tab/>
        <w:t>Vzor CR IRB tvoria dva vzory. Vzor CR IRB 1 poskytuje všeobecný prehľad expozícií IRB</w:t>
      </w:r>
      <w:r w:rsidR="00D85C65">
        <w:t xml:space="preserve"> a </w:t>
      </w:r>
      <w:r w:rsidRPr="00D85C65">
        <w:t>rôznych spôsobov výpočtu celkových hodnôt rizikových expozícií, ako aj rozčlenenie celkových expozícií podľa druhov expozícií. Vo vzore CR IRB 2 sa uvádza rozčlenenie celkových expozícií zaradených do ratingových stupňov alebo skupín dlžníkov. Vzory CR IRB 1</w:t>
      </w:r>
      <w:r w:rsidR="00D85C65">
        <w:t xml:space="preserve"> a </w:t>
      </w:r>
      <w:r w:rsidRPr="00D85C65">
        <w:t>CR IRB 2 sa vypĺňajú osobitne pre tieto triedy expozícií</w:t>
      </w:r>
      <w:r w:rsidR="00D85C65">
        <w:t xml:space="preserve"> a </w:t>
      </w:r>
      <w:r w:rsidRPr="00D85C65">
        <w:t>podexpozícií:</w:t>
      </w:r>
    </w:p>
    <w:p w14:paraId="4C3A3DB6" w14:textId="77777777" w:rsidR="00235D9D" w:rsidRPr="00D85C65" w:rsidRDefault="001C7AB7">
      <w:pPr>
        <w:autoSpaceDE w:val="0"/>
        <w:autoSpaceDN w:val="0"/>
        <w:adjustRightInd w:val="0"/>
        <w:spacing w:before="0" w:after="0"/>
        <w:ind w:left="1428" w:hanging="720"/>
        <w:jc w:val="left"/>
        <w:rPr>
          <w:rFonts w:ascii="Times New Roman" w:hAnsi="Times New Roman"/>
          <w:sz w:val="24"/>
        </w:rPr>
      </w:pPr>
      <w:r w:rsidRPr="00D85C65">
        <w:rPr>
          <w:rFonts w:ascii="Times New Roman" w:hAnsi="Times New Roman"/>
          <w:sz w:val="24"/>
        </w:rPr>
        <w:t>1.</w:t>
      </w:r>
      <w:r w:rsidRPr="00D85C65">
        <w:rPr>
          <w:rFonts w:ascii="Times New Roman" w:hAnsi="Times New Roman"/>
          <w:sz w:val="24"/>
        </w:rPr>
        <w:tab/>
        <w:t>Spolu</w:t>
      </w:r>
    </w:p>
    <w:p w14:paraId="715E55C4" w14:textId="20FE0CDE" w:rsidR="00235D9D" w:rsidRPr="00D85C65" w:rsidRDefault="001C7AB7">
      <w:pPr>
        <w:autoSpaceDE w:val="0"/>
        <w:autoSpaceDN w:val="0"/>
        <w:adjustRightInd w:val="0"/>
        <w:spacing w:before="0" w:after="0"/>
        <w:ind w:left="1428" w:hanging="720"/>
        <w:jc w:val="left"/>
        <w:rPr>
          <w:rFonts w:ascii="Times New Roman" w:hAnsi="Times New Roman"/>
          <w:sz w:val="24"/>
        </w:rPr>
      </w:pPr>
      <w:r w:rsidRPr="00D85C65">
        <w:rPr>
          <w:rFonts w:ascii="Times New Roman" w:hAnsi="Times New Roman"/>
          <w:sz w:val="24"/>
        </w:rPr>
        <w:tab/>
        <w:t>(Vzor Spolu sa vykazuje pre základný IRB</w:t>
      </w:r>
      <w:r w:rsidR="00D85C65">
        <w:rPr>
          <w:rFonts w:ascii="Times New Roman" w:hAnsi="Times New Roman"/>
          <w:sz w:val="24"/>
        </w:rPr>
        <w:t xml:space="preserve"> a </w:t>
      </w:r>
      <w:r w:rsidRPr="00D85C65">
        <w:rPr>
          <w:rFonts w:ascii="Times New Roman" w:hAnsi="Times New Roman"/>
          <w:sz w:val="24"/>
        </w:rPr>
        <w:t>osobitne pre pokročilý prístup IRB.)</w:t>
      </w:r>
    </w:p>
    <w:p w14:paraId="3680F8B1" w14:textId="77777777" w:rsidR="00D85C65" w:rsidRDefault="001C7AB7">
      <w:pPr>
        <w:autoSpaceDE w:val="0"/>
        <w:autoSpaceDN w:val="0"/>
        <w:adjustRightInd w:val="0"/>
        <w:spacing w:before="0" w:after="0"/>
        <w:ind w:left="1428" w:hanging="720"/>
        <w:jc w:val="left"/>
        <w:rPr>
          <w:rFonts w:ascii="Times New Roman" w:hAnsi="Times New Roman"/>
          <w:sz w:val="24"/>
        </w:rPr>
      </w:pPr>
      <w:r w:rsidRPr="00D85C65">
        <w:rPr>
          <w:rFonts w:ascii="Times New Roman" w:hAnsi="Times New Roman"/>
          <w:sz w:val="24"/>
        </w:rPr>
        <w:t>2.</w:t>
      </w:r>
      <w:r w:rsidRPr="00D85C65">
        <w:rPr>
          <w:rFonts w:ascii="Times New Roman" w:hAnsi="Times New Roman"/>
          <w:sz w:val="24"/>
        </w:rPr>
        <w:tab/>
        <w:t>Ústredné vlády</w:t>
      </w:r>
      <w:r w:rsidR="00D85C65">
        <w:rPr>
          <w:rFonts w:ascii="Times New Roman" w:hAnsi="Times New Roman"/>
          <w:sz w:val="24"/>
        </w:rPr>
        <w:t xml:space="preserve"> a </w:t>
      </w:r>
      <w:r w:rsidRPr="00D85C65">
        <w:rPr>
          <w:rFonts w:ascii="Times New Roman" w:hAnsi="Times New Roman"/>
          <w:sz w:val="24"/>
        </w:rPr>
        <w:t>centrálne banky</w:t>
      </w:r>
    </w:p>
    <w:p w14:paraId="558C719D" w14:textId="5D057C5E"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[článok 147 ods. 2 písm. a) CRR].</w:t>
      </w:r>
    </w:p>
    <w:p w14:paraId="07EF82EF" w14:textId="77777777" w:rsidR="00235D9D" w:rsidRPr="00D85C65" w:rsidRDefault="001C7AB7">
      <w:pPr>
        <w:autoSpaceDE w:val="0"/>
        <w:autoSpaceDN w:val="0"/>
        <w:adjustRightInd w:val="0"/>
        <w:spacing w:before="0" w:after="0"/>
        <w:ind w:left="708"/>
        <w:rPr>
          <w:rFonts w:ascii="Times New Roman" w:hAnsi="Times New Roman"/>
          <w:sz w:val="24"/>
        </w:rPr>
      </w:pPr>
      <w:r w:rsidRPr="00D85C65">
        <w:rPr>
          <w:rFonts w:ascii="Times New Roman" w:hAnsi="Times New Roman"/>
          <w:sz w:val="24"/>
        </w:rPr>
        <w:t>3.</w:t>
      </w:r>
      <w:r w:rsidRPr="00D85C65">
        <w:rPr>
          <w:rFonts w:ascii="Times New Roman" w:hAnsi="Times New Roman"/>
          <w:sz w:val="24"/>
        </w:rPr>
        <w:tab/>
        <w:t>Inštitúcie</w:t>
      </w:r>
    </w:p>
    <w:p w14:paraId="0A7EB7B6" w14:textId="0996937B" w:rsidR="00235D9D" w:rsidRPr="00D85C65" w:rsidRDefault="001C7AB7">
      <w:pPr>
        <w:autoSpaceDE w:val="0"/>
        <w:autoSpaceDN w:val="0"/>
        <w:adjustRightInd w:val="0"/>
        <w:spacing w:before="0" w:after="0"/>
        <w:ind w:left="708" w:firstLine="720"/>
        <w:rPr>
          <w:rFonts w:ascii="Times New Roman" w:hAnsi="Times New Roman"/>
          <w:sz w:val="24"/>
        </w:rPr>
      </w:pPr>
      <w:r w:rsidRPr="00D85C65">
        <w:rPr>
          <w:rFonts w:ascii="Times New Roman" w:hAnsi="Times New Roman"/>
          <w:sz w:val="24"/>
        </w:rPr>
        <w:t>[článok 147 ods. 2 písm. b) CRR].</w:t>
      </w:r>
    </w:p>
    <w:p w14:paraId="3A5A6D07" w14:textId="77777777" w:rsidR="00235D9D" w:rsidRPr="00D85C65" w:rsidRDefault="001C7AB7">
      <w:pPr>
        <w:autoSpaceDE w:val="0"/>
        <w:autoSpaceDN w:val="0"/>
        <w:adjustRightInd w:val="0"/>
        <w:spacing w:before="0" w:after="0"/>
        <w:ind w:left="1428" w:hanging="720"/>
        <w:jc w:val="left"/>
        <w:rPr>
          <w:rFonts w:ascii="Times New Roman" w:hAnsi="Times New Roman"/>
          <w:sz w:val="24"/>
        </w:rPr>
      </w:pPr>
      <w:r w:rsidRPr="00D85C65">
        <w:rPr>
          <w:rFonts w:ascii="Times New Roman" w:hAnsi="Times New Roman"/>
          <w:sz w:val="24"/>
        </w:rPr>
        <w:t>4.1.</w:t>
      </w:r>
      <w:r w:rsidRPr="00D85C65">
        <w:rPr>
          <w:rFonts w:ascii="Times New Roman" w:hAnsi="Times New Roman"/>
          <w:sz w:val="24"/>
        </w:rPr>
        <w:tab/>
        <w:t>Podnikateľské subjekty – MSP</w:t>
      </w:r>
    </w:p>
    <w:p w14:paraId="3C4B35B2" w14:textId="77777777" w:rsid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[článok 147 ods. 2 písm. c) CRR]</w:t>
      </w:r>
      <w:r w:rsidR="00D85C65">
        <w:rPr>
          <w:rFonts w:ascii="Times New Roman" w:hAnsi="Times New Roman"/>
          <w:sz w:val="24"/>
        </w:rPr>
        <w:t>.</w:t>
      </w:r>
    </w:p>
    <w:p w14:paraId="628E8942" w14:textId="34159D95" w:rsidR="00235D9D" w:rsidRP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4.2.</w:t>
      </w:r>
      <w:r w:rsidRPr="00D85C65">
        <w:rPr>
          <w:rFonts w:ascii="Times New Roman" w:hAnsi="Times New Roman"/>
          <w:sz w:val="24"/>
        </w:rPr>
        <w:tab/>
        <w:t>Podnikateľské subjekty – špecializované financovanie</w:t>
      </w:r>
    </w:p>
    <w:p w14:paraId="11349E18" w14:textId="41907546"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(Článok 147 ods. 8 CRR)</w:t>
      </w:r>
    </w:p>
    <w:p w14:paraId="59CCFC54" w14:textId="77777777" w:rsid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4.3.</w:t>
      </w:r>
      <w:r w:rsidRPr="00D85C65">
        <w:rPr>
          <w:rFonts w:ascii="Times New Roman" w:hAnsi="Times New Roman"/>
          <w:sz w:val="24"/>
        </w:rPr>
        <w:tab/>
        <w:t>Podnikateľské subjekty – iné</w:t>
      </w:r>
    </w:p>
    <w:p w14:paraId="17B1202D" w14:textId="0CD17047"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lastRenderedPageBreak/>
        <w:t>[Všetky expozície voči podnikateľským subjektom uvedeným</w:t>
      </w:r>
      <w:r w:rsidR="00D85C65">
        <w:rPr>
          <w:rFonts w:ascii="Times New Roman" w:hAnsi="Times New Roman"/>
          <w:sz w:val="24"/>
        </w:rPr>
        <w:t xml:space="preserve"> v </w:t>
      </w:r>
      <w:r w:rsidRPr="00D85C65">
        <w:rPr>
          <w:rFonts w:ascii="Times New Roman" w:hAnsi="Times New Roman"/>
          <w:sz w:val="24"/>
        </w:rPr>
        <w:t>článku 147 ods. 2 písm. c) CRR, ktoré nie sú vykázané</w:t>
      </w:r>
      <w:r w:rsidR="00D85C65">
        <w:rPr>
          <w:rFonts w:ascii="Times New Roman" w:hAnsi="Times New Roman"/>
          <w:sz w:val="24"/>
        </w:rPr>
        <w:t xml:space="preserve"> v </w:t>
      </w:r>
      <w:r w:rsidRPr="00D85C65">
        <w:rPr>
          <w:rFonts w:ascii="Times New Roman" w:hAnsi="Times New Roman"/>
          <w:sz w:val="24"/>
        </w:rPr>
        <w:t>bodoch 4.1</w:t>
      </w:r>
      <w:r w:rsidR="00D85C65">
        <w:rPr>
          <w:rFonts w:ascii="Times New Roman" w:hAnsi="Times New Roman"/>
          <w:sz w:val="24"/>
        </w:rPr>
        <w:t xml:space="preserve"> a </w:t>
      </w:r>
      <w:r w:rsidRPr="00D85C65">
        <w:rPr>
          <w:rFonts w:ascii="Times New Roman" w:hAnsi="Times New Roman"/>
          <w:sz w:val="24"/>
        </w:rPr>
        <w:t>4.2].</w:t>
      </w:r>
    </w:p>
    <w:p w14:paraId="012C1B7E" w14:textId="77777777" w:rsidR="00235D9D" w:rsidRP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5.1.</w:t>
      </w:r>
      <w:r w:rsidRPr="00D85C65">
        <w:rPr>
          <w:rFonts w:ascii="Times New Roman" w:hAnsi="Times New Roman"/>
          <w:sz w:val="24"/>
        </w:rPr>
        <w:tab/>
        <w:t>Retail – zabezpečené nehnuteľným majetkom MSP</w:t>
      </w:r>
    </w:p>
    <w:p w14:paraId="14276CA5" w14:textId="708BBA7F"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s </w:t>
      </w:r>
      <w:r w:rsidRPr="00D85C65">
        <w:rPr>
          <w:rFonts w:ascii="Times New Roman" w:hAnsi="Times New Roman"/>
          <w:sz w:val="24"/>
        </w:rPr>
        <w:t>článkom 154 ods. 3 CRR, ktoré sú zabezpečené nehnuteľným majetkom].</w:t>
      </w:r>
    </w:p>
    <w:p w14:paraId="477FAE70" w14:textId="77777777" w:rsidR="00235D9D" w:rsidRP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5.2.</w:t>
      </w:r>
      <w:r w:rsidRPr="00D85C65">
        <w:rPr>
          <w:rFonts w:ascii="Times New Roman" w:hAnsi="Times New Roman"/>
          <w:sz w:val="24"/>
        </w:rPr>
        <w:tab/>
        <w:t>Retail – zabezpečené nehnuteľným majetkom subjektov iných než MSP</w:t>
      </w:r>
    </w:p>
    <w:p w14:paraId="0853E262" w14:textId="2BB704A0"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ktoré sú zabezpečené nehnuteľným majetkom</w:t>
      </w:r>
      <w:r w:rsidR="00D85C65">
        <w:rPr>
          <w:rFonts w:ascii="Times New Roman" w:hAnsi="Times New Roman"/>
          <w:sz w:val="24"/>
        </w:rPr>
        <w:t xml:space="preserve"> a </w:t>
      </w:r>
      <w:r w:rsidRPr="00D85C65">
        <w:rPr>
          <w:rFonts w:ascii="Times New Roman" w:hAnsi="Times New Roman"/>
          <w:sz w:val="24"/>
        </w:rPr>
        <w:t>ktoré nie sú vykázané</w:t>
      </w:r>
      <w:r w:rsidR="00D85C65">
        <w:rPr>
          <w:rFonts w:ascii="Times New Roman" w:hAnsi="Times New Roman"/>
          <w:sz w:val="24"/>
        </w:rPr>
        <w:t xml:space="preserve"> v </w:t>
      </w:r>
      <w:r w:rsidRPr="00D85C65">
        <w:rPr>
          <w:rFonts w:ascii="Times New Roman" w:hAnsi="Times New Roman"/>
          <w:sz w:val="24"/>
        </w:rPr>
        <w:t>bode 5.1].</w:t>
      </w:r>
    </w:p>
    <w:p w14:paraId="152083C0" w14:textId="77777777" w:rsidR="00235D9D" w:rsidRP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5.3.</w:t>
      </w:r>
      <w:r w:rsidRPr="00D85C65">
        <w:rPr>
          <w:rFonts w:ascii="Times New Roman" w:hAnsi="Times New Roman"/>
          <w:sz w:val="24"/>
        </w:rPr>
        <w:tab/>
        <w:t>Retail – kvalifikovaný revolving</w:t>
      </w:r>
    </w:p>
    <w:p w14:paraId="3CD2C574" w14:textId="7B2AB29E" w:rsid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s </w:t>
      </w:r>
      <w:r w:rsidRPr="00D85C65">
        <w:rPr>
          <w:rFonts w:ascii="Times New Roman" w:hAnsi="Times New Roman"/>
          <w:sz w:val="24"/>
        </w:rPr>
        <w:t>článkom 154 ods. 4 CRR]</w:t>
      </w:r>
      <w:r w:rsidR="00D85C65">
        <w:rPr>
          <w:rFonts w:ascii="Times New Roman" w:hAnsi="Times New Roman"/>
          <w:sz w:val="24"/>
        </w:rPr>
        <w:t>.</w:t>
      </w:r>
    </w:p>
    <w:p w14:paraId="751555D8" w14:textId="5AE6C7C6" w:rsidR="00235D9D" w:rsidRPr="00D85C65" w:rsidRDefault="001C7AB7">
      <w:pPr>
        <w:autoSpaceDE w:val="0"/>
        <w:autoSpaceDN w:val="0"/>
        <w:adjustRightInd w:val="0"/>
        <w:spacing w:before="0" w:after="0"/>
        <w:ind w:left="708"/>
        <w:jc w:val="left"/>
        <w:rPr>
          <w:rFonts w:ascii="Times New Roman" w:hAnsi="Times New Roman"/>
          <w:sz w:val="24"/>
        </w:rPr>
      </w:pPr>
      <w:r w:rsidRPr="00D85C65">
        <w:rPr>
          <w:rFonts w:ascii="Times New Roman" w:hAnsi="Times New Roman"/>
          <w:sz w:val="24"/>
        </w:rPr>
        <w:t>5.4.</w:t>
      </w:r>
      <w:r w:rsidRPr="00D85C65">
        <w:rPr>
          <w:rFonts w:ascii="Times New Roman" w:hAnsi="Times New Roman"/>
          <w:sz w:val="24"/>
        </w:rPr>
        <w:tab/>
        <w:t>Retail – ostatné malé</w:t>
      </w:r>
      <w:r w:rsidR="00D85C65">
        <w:rPr>
          <w:rFonts w:ascii="Times New Roman" w:hAnsi="Times New Roman"/>
          <w:sz w:val="24"/>
        </w:rPr>
        <w:t xml:space="preserve"> a </w:t>
      </w:r>
      <w:r w:rsidRPr="00D85C65">
        <w:rPr>
          <w:rFonts w:ascii="Times New Roman" w:hAnsi="Times New Roman"/>
          <w:sz w:val="24"/>
        </w:rPr>
        <w:t>stredné podniky</w:t>
      </w:r>
    </w:p>
    <w:p w14:paraId="4E8B2F09" w14:textId="031BBFDF"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ktoré nie sú vykázané</w:t>
      </w:r>
      <w:r w:rsidR="00D85C65">
        <w:rPr>
          <w:rFonts w:ascii="Times New Roman" w:hAnsi="Times New Roman"/>
          <w:sz w:val="24"/>
        </w:rPr>
        <w:t xml:space="preserve"> v </w:t>
      </w:r>
      <w:r w:rsidRPr="00D85C65">
        <w:rPr>
          <w:rFonts w:ascii="Times New Roman" w:hAnsi="Times New Roman"/>
          <w:sz w:val="24"/>
        </w:rPr>
        <w:t>bodoch 5.1</w:t>
      </w:r>
      <w:r w:rsidR="00D85C65">
        <w:rPr>
          <w:rFonts w:ascii="Times New Roman" w:hAnsi="Times New Roman"/>
          <w:sz w:val="24"/>
        </w:rPr>
        <w:t xml:space="preserve"> a </w:t>
      </w:r>
      <w:r w:rsidRPr="00D85C65">
        <w:rPr>
          <w:rFonts w:ascii="Times New Roman" w:hAnsi="Times New Roman"/>
          <w:sz w:val="24"/>
        </w:rPr>
        <w:t>5.3].</w:t>
      </w:r>
    </w:p>
    <w:p w14:paraId="4C9857F1" w14:textId="77777777" w:rsidR="00235D9D" w:rsidRPr="00D85C65" w:rsidRDefault="00125707">
      <w:pPr>
        <w:pStyle w:val="ListParagraph1"/>
        <w:autoSpaceDE w:val="0"/>
        <w:autoSpaceDN w:val="0"/>
        <w:adjustRightInd w:val="0"/>
        <w:spacing w:before="0" w:after="0"/>
        <w:ind w:left="1428" w:hanging="720"/>
        <w:jc w:val="left"/>
        <w:rPr>
          <w:rFonts w:ascii="Times New Roman" w:hAnsi="Times New Roman"/>
          <w:sz w:val="24"/>
        </w:rPr>
      </w:pPr>
      <w:r w:rsidRPr="00D85C65">
        <w:rPr>
          <w:rFonts w:ascii="Times New Roman" w:hAnsi="Times New Roman"/>
          <w:sz w:val="24"/>
        </w:rPr>
        <w:t>5.5.</w:t>
      </w:r>
      <w:r w:rsidRPr="00D85C65">
        <w:rPr>
          <w:rFonts w:ascii="Times New Roman" w:hAnsi="Times New Roman"/>
          <w:sz w:val="24"/>
        </w:rPr>
        <w:tab/>
        <w:t>Retail – ostatné subjekty iné než MSP</w:t>
      </w:r>
    </w:p>
    <w:p w14:paraId="0B729311" w14:textId="405A1302" w:rsidR="00235D9D" w:rsidRPr="00D85C65" w:rsidRDefault="001C7AB7">
      <w:pPr>
        <w:autoSpaceDE w:val="0"/>
        <w:autoSpaceDN w:val="0"/>
        <w:adjustRightInd w:val="0"/>
        <w:spacing w:before="0" w:after="0"/>
        <w:ind w:left="1428"/>
        <w:jc w:val="left"/>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ktoré neboli vykázané</w:t>
      </w:r>
      <w:r w:rsidR="00D85C65">
        <w:rPr>
          <w:rFonts w:ascii="Times New Roman" w:hAnsi="Times New Roman"/>
          <w:sz w:val="24"/>
        </w:rPr>
        <w:t xml:space="preserve"> v </w:t>
      </w:r>
      <w:r w:rsidRPr="00D85C65">
        <w:rPr>
          <w:rFonts w:ascii="Times New Roman" w:hAnsi="Times New Roman"/>
          <w:sz w:val="24"/>
        </w:rPr>
        <w:t>bodoch 5.2</w:t>
      </w:r>
      <w:r w:rsidR="00D85C65">
        <w:rPr>
          <w:rFonts w:ascii="Times New Roman" w:hAnsi="Times New Roman"/>
          <w:sz w:val="24"/>
        </w:rPr>
        <w:t xml:space="preserve"> a </w:t>
      </w:r>
      <w:r w:rsidRPr="00D85C65">
        <w:rPr>
          <w:rFonts w:ascii="Times New Roman" w:hAnsi="Times New Roman"/>
          <w:sz w:val="24"/>
        </w:rPr>
        <w:t>5.3].</w:t>
      </w:r>
    </w:p>
    <w:p w14:paraId="4580B6D6" w14:textId="77777777" w:rsidR="00235D9D" w:rsidRPr="00D85C65" w:rsidRDefault="00235D9D">
      <w:pPr>
        <w:autoSpaceDE w:val="0"/>
        <w:autoSpaceDN w:val="0"/>
        <w:adjustRightInd w:val="0"/>
        <w:spacing w:before="0" w:after="240"/>
        <w:jc w:val="left"/>
        <w:rPr>
          <w:rFonts w:ascii="Times New Roman" w:hAnsi="Times New Roman"/>
          <w:sz w:val="24"/>
        </w:rPr>
      </w:pPr>
    </w:p>
    <w:p w14:paraId="75F30A67" w14:textId="6041C76E" w:rsidR="00235D9D" w:rsidRPr="00D85C65" w:rsidRDefault="00125707">
      <w:pPr>
        <w:pStyle w:val="Instructionsberschrift2"/>
        <w:numPr>
          <w:ilvl w:val="0"/>
          <w:numId w:val="0"/>
        </w:numPr>
        <w:ind w:left="357" w:hanging="357"/>
        <w:rPr>
          <w:rFonts w:ascii="Times New Roman" w:hAnsi="Times New Roman" w:cs="Times New Roman"/>
          <w:sz w:val="24"/>
        </w:rPr>
      </w:pPr>
      <w:bookmarkStart w:id="45" w:name="_Toc29994488"/>
      <w:r w:rsidRPr="00D85C65">
        <w:rPr>
          <w:rFonts w:ascii="Times New Roman" w:hAnsi="Times New Roman"/>
          <w:sz w:val="24"/>
          <w:u w:val="none"/>
        </w:rPr>
        <w:t>3.3.3.</w:t>
      </w:r>
      <w:r w:rsidRPr="00D85C65">
        <w:rPr>
          <w:rFonts w:ascii="Times New Roman" w:hAnsi="Times New Roman"/>
          <w:sz w:val="24"/>
          <w:u w:val="none"/>
        </w:rPr>
        <w:tab/>
      </w:r>
      <w:r w:rsidRPr="00D85C65">
        <w:rPr>
          <w:rFonts w:ascii="Times New Roman" w:hAnsi="Times New Roman"/>
          <w:sz w:val="24"/>
        </w:rPr>
        <w:t>C 08.01 – Kreditné riziko</w:t>
      </w:r>
      <w:r w:rsidR="00D85C65">
        <w:rPr>
          <w:rFonts w:ascii="Times New Roman" w:hAnsi="Times New Roman"/>
          <w:sz w:val="24"/>
        </w:rPr>
        <w:t xml:space="preserve"> a </w:t>
      </w:r>
      <w:r w:rsidRPr="00D85C65">
        <w:rPr>
          <w:rFonts w:ascii="Times New Roman" w:hAnsi="Times New Roman"/>
          <w:sz w:val="24"/>
        </w:rPr>
        <w:t>kreditné riziko protistrany</w:t>
      </w:r>
      <w:r w:rsidR="00D85C65">
        <w:rPr>
          <w:rFonts w:ascii="Times New Roman" w:hAnsi="Times New Roman"/>
          <w:sz w:val="24"/>
        </w:rPr>
        <w:t xml:space="preserve"> a </w:t>
      </w:r>
      <w:r w:rsidRPr="00D85C65">
        <w:rPr>
          <w:rFonts w:ascii="Times New Roman" w:hAnsi="Times New Roman"/>
          <w:sz w:val="24"/>
        </w:rPr>
        <w:t>bezodplatné dodanie: Prístup IRB ku kapitálovým požiadavkám (CR IRB 1)</w:t>
      </w:r>
      <w:bookmarkEnd w:id="45"/>
    </w:p>
    <w:p w14:paraId="07E30962" w14:textId="77777777" w:rsidR="00235D9D" w:rsidRPr="00D85C65" w:rsidRDefault="00125707">
      <w:pPr>
        <w:pStyle w:val="Instructionsberschrift2"/>
        <w:numPr>
          <w:ilvl w:val="0"/>
          <w:numId w:val="0"/>
        </w:numPr>
        <w:ind w:left="709" w:hanging="720"/>
        <w:rPr>
          <w:rFonts w:ascii="Times New Roman" w:hAnsi="Times New Roman" w:cs="Times New Roman"/>
          <w:sz w:val="24"/>
        </w:rPr>
      </w:pPr>
      <w:bookmarkStart w:id="46" w:name="_Toc29994489"/>
      <w:r w:rsidRPr="00D85C65">
        <w:rPr>
          <w:rFonts w:ascii="Times New Roman" w:hAnsi="Times New Roman"/>
          <w:sz w:val="24"/>
          <w:u w:val="none"/>
        </w:rPr>
        <w:t>3.3.3.1.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235D9D" w:rsidRPr="00D85C65" w14:paraId="60E9BF4A" w14:textId="77777777" w:rsidTr="00672D2A">
        <w:tc>
          <w:tcPr>
            <w:tcW w:w="1188" w:type="dxa"/>
            <w:shd w:val="clear" w:color="auto" w:fill="CCCCCC"/>
          </w:tcPr>
          <w:p w14:paraId="2BEBA0BC" w14:textId="77777777" w:rsidR="00235D9D" w:rsidRPr="00D85C65" w:rsidRDefault="001C7AB7">
            <w:pPr>
              <w:rPr>
                <w:rFonts w:ascii="Times New Roman" w:hAnsi="Times New Roman"/>
                <w:sz w:val="24"/>
              </w:rPr>
            </w:pPr>
            <w:r w:rsidRPr="00D85C65">
              <w:rPr>
                <w:rFonts w:ascii="Times New Roman" w:hAnsi="Times New Roman"/>
                <w:sz w:val="24"/>
              </w:rPr>
              <w:t>Stĺpce</w:t>
            </w:r>
          </w:p>
        </w:tc>
        <w:tc>
          <w:tcPr>
            <w:tcW w:w="8843" w:type="dxa"/>
            <w:shd w:val="clear" w:color="auto" w:fill="CCCCCC"/>
          </w:tcPr>
          <w:p w14:paraId="0982259D" w14:textId="77777777" w:rsidR="00235D9D" w:rsidRPr="00D85C65" w:rsidRDefault="001C7AB7">
            <w:pPr>
              <w:rPr>
                <w:rFonts w:ascii="Times New Roman" w:hAnsi="Times New Roman"/>
                <w:sz w:val="24"/>
              </w:rPr>
            </w:pPr>
            <w:r w:rsidRPr="00D85C65">
              <w:rPr>
                <w:rFonts w:ascii="Times New Roman" w:hAnsi="Times New Roman"/>
                <w:sz w:val="24"/>
              </w:rPr>
              <w:t>Pokyny</w:t>
            </w:r>
          </w:p>
        </w:tc>
      </w:tr>
      <w:tr w:rsidR="00235D9D" w:rsidRPr="00D85C65" w14:paraId="6BE64C9B" w14:textId="77777777" w:rsidTr="00672D2A">
        <w:tc>
          <w:tcPr>
            <w:tcW w:w="1188" w:type="dxa"/>
          </w:tcPr>
          <w:p w14:paraId="025C7020" w14:textId="77777777" w:rsidR="00235D9D" w:rsidRPr="00D85C65" w:rsidRDefault="001C7AB7">
            <w:pPr>
              <w:rPr>
                <w:rFonts w:ascii="Times New Roman" w:hAnsi="Times New Roman"/>
                <w:sz w:val="24"/>
              </w:rPr>
            </w:pPr>
            <w:r w:rsidRPr="00D85C65">
              <w:rPr>
                <w:rFonts w:ascii="Times New Roman" w:hAnsi="Times New Roman"/>
                <w:sz w:val="24"/>
              </w:rPr>
              <w:t>010</w:t>
            </w:r>
          </w:p>
        </w:tc>
        <w:tc>
          <w:tcPr>
            <w:tcW w:w="8843" w:type="dxa"/>
          </w:tcPr>
          <w:p w14:paraId="2F4620DE" w14:textId="77777777" w:rsidR="00235D9D" w:rsidRP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INTERNÝ RATINGOVÝ SYSTÉM/PD PRIRADENÁ RATINGOVÉMU STUPŇU ALEBO SKUPINE DLŽNÍKOV (%)</w:t>
            </w:r>
          </w:p>
          <w:p w14:paraId="3067A2B1" w14:textId="5223AC54" w:rsidR="00235D9D" w:rsidRPr="00D85C65" w:rsidRDefault="001C7AB7">
            <w:pPr>
              <w:rPr>
                <w:rFonts w:ascii="Times New Roman" w:hAnsi="Times New Roman"/>
                <w:sz w:val="24"/>
              </w:rPr>
            </w:pPr>
            <w:r w:rsidRPr="00D85C65">
              <w:rPr>
                <w:rStyle w:val="InstructionsTabelleText"/>
                <w:rFonts w:ascii="Times New Roman" w:hAnsi="Times New Roman"/>
                <w:sz w:val="24"/>
              </w:rPr>
              <w:t>Vykazovaná PD priradená ratingovému stupňu alebo skupine dlžníkov PD je založená na ustanoveniach stanovených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180 CRR. Vykazuje sa PD priradená konkrétnemu ratingovému stupňu alebo skupine dlžníkov pre každý jednotlivý ratingový stupeň alebo jednotlivú skupinu. Pre číselné údaje zodpovedajúce súhrnu ratingových stupňov alebo skupín dlžníkov (napr. celkové expozície) sa uvedie expozíciami vážený priemer PD priradených ratingovým stupňom alebo skupinám dlžníkov, ktoré sú zahrnuté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súhrne. Hodnota expozície (stĺpec 110) sa používa na výpočet expozíciami váženej priemernej PD</w:t>
            </w:r>
            <w:r w:rsidRPr="00D85C65">
              <w:rPr>
                <w:rFonts w:ascii="Times New Roman" w:hAnsi="Times New Roman"/>
                <w:sz w:val="24"/>
              </w:rPr>
              <w:t>.</w:t>
            </w:r>
          </w:p>
          <w:p w14:paraId="12D93A11" w14:textId="62328E03"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Vykazuje sa PD priradená konkrétnemu ratingovému stupňu alebo skupine dlžníkov pre každý jednotlivý ratingový stupeň alebo jednotlivú skupinu. Všetky vykazované parametre rizika sa odvodia od parametrov rizika používaných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internom ratingovom systéme schválenom príslušným orgánom.</w:t>
            </w:r>
          </w:p>
          <w:p w14:paraId="472BA9E5" w14:textId="525AE1BD" w:rsid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Neplánuje sa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ani nie je žiaduce mať hlavnú stupnicu orgánov dohľadu. Keď vykazujúca inštitúcia uplatňuje jedinečný ratingový systém alebo vie vykazovať podľa internej hlavnej stupnice, používa sa táto stupnica</w:t>
            </w:r>
            <w:r w:rsidR="00D85C65">
              <w:rPr>
                <w:rStyle w:val="InstructionsTabelleText"/>
                <w:rFonts w:ascii="Times New Roman" w:hAnsi="Times New Roman"/>
                <w:sz w:val="24"/>
              </w:rPr>
              <w:t>.</w:t>
            </w:r>
          </w:p>
          <w:p w14:paraId="28E55D40" w14:textId="378D1CE4"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Inak sa jednotlivé ratingové systémy zlúčia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zoradia podľa týchto kritérií: ratingové stupne dlžníkov rôznych ratingových systémov sa zoskupia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zoradia od najnižšej PD priradenej každému ratingovému stupňu dlžníkov po najvyššiu. Keď inštitúcia používa veľký počet ratingových stupňov alebo skupín,</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príslušnými orgánmi sa môže dohodnúť nižší počet ratingových stupňov alebo skupín.</w:t>
            </w:r>
          </w:p>
          <w:p w14:paraId="02372E1B" w14:textId="4B0A85A3"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lastRenderedPageBreak/>
              <w:t>Inštitúcie sa vopred spoja so svojím príslušným orgánom, keď chcú vykazovať iný počet ratingových stupňov</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porovnaní</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interným počtom ratingových stupňov.</w:t>
            </w:r>
          </w:p>
          <w:p w14:paraId="19F06AB9" w14:textId="05AD2635"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Na účely priradenia váhy priemernej PD sa používa hodnota expozície vykázaná</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110. Na účely výpočtu expozíciami váženej priemernej PD (napr. pre „celkovú expozíciu“) sa zoberú do úvahy všetky expozície vrátane expozícií</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sú tie, ktoré sú zaradené do posledného ratingového stupňa (stupňov)</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PD vo výške 100</w:t>
            </w:r>
            <w:r w:rsidR="00D85C65">
              <w:rPr>
                <w:rStyle w:val="InstructionsTabelleText"/>
                <w:rFonts w:ascii="Times New Roman" w:hAnsi="Times New Roman"/>
                <w:sz w:val="24"/>
              </w:rPr>
              <w:t> %</w:t>
            </w:r>
            <w:r w:rsidRPr="00D85C65">
              <w:rPr>
                <w:rStyle w:val="InstructionsTabelleText"/>
                <w:rFonts w:ascii="Times New Roman" w:hAnsi="Times New Roman"/>
                <w:sz w:val="24"/>
              </w:rPr>
              <w:t>.</w:t>
            </w:r>
          </w:p>
          <w:p w14:paraId="373AF56E" w14:textId="77777777" w:rsidR="00235D9D" w:rsidRPr="00D85C65" w:rsidRDefault="00235D9D">
            <w:pPr>
              <w:rPr>
                <w:rFonts w:ascii="Times New Roman" w:hAnsi="Times New Roman"/>
                <w:sz w:val="24"/>
              </w:rPr>
            </w:pPr>
          </w:p>
        </w:tc>
      </w:tr>
      <w:tr w:rsidR="00235D9D" w:rsidRPr="00D85C65" w14:paraId="3B380EDD" w14:textId="77777777" w:rsidTr="00672D2A">
        <w:tc>
          <w:tcPr>
            <w:tcW w:w="1188" w:type="dxa"/>
          </w:tcPr>
          <w:p w14:paraId="7D15D9BB" w14:textId="77777777" w:rsidR="00235D9D" w:rsidRPr="00D85C65" w:rsidRDefault="001C7AB7">
            <w:pPr>
              <w:rPr>
                <w:rFonts w:ascii="Times New Roman" w:hAnsi="Times New Roman"/>
                <w:sz w:val="24"/>
              </w:rPr>
            </w:pPr>
            <w:r w:rsidRPr="00D85C65">
              <w:rPr>
                <w:rFonts w:ascii="Times New Roman" w:hAnsi="Times New Roman"/>
                <w:sz w:val="24"/>
              </w:rPr>
              <w:lastRenderedPageBreak/>
              <w:t>020</w:t>
            </w:r>
          </w:p>
        </w:tc>
        <w:tc>
          <w:tcPr>
            <w:tcW w:w="8843" w:type="dxa"/>
          </w:tcPr>
          <w:p w14:paraId="4A4ECBDA" w14:textId="1BCAD522" w:rsidR="00235D9D" w:rsidRPr="00D85C65" w:rsidRDefault="001C7AB7">
            <w:pPr>
              <w:rPr>
                <w:rFonts w:ascii="Times New Roman" w:hAnsi="Times New Roman"/>
                <w:b/>
                <w:sz w:val="24"/>
                <w:u w:val="single"/>
              </w:rPr>
            </w:pPr>
            <w:r w:rsidRPr="00D85C65">
              <w:rPr>
                <w:rFonts w:ascii="Times New Roman" w:hAnsi="Times New Roman"/>
                <w:b/>
                <w:sz w:val="24"/>
                <w:u w:val="single"/>
              </w:rPr>
              <w:t>PÔVODNÁ EXPOZÍCIA PRED KONVERZNÝMI FAKTORMI</w:t>
            </w:r>
          </w:p>
          <w:p w14:paraId="2E51E395" w14:textId="19AD981D" w:rsidR="00D85C65" w:rsidRDefault="001C7AB7">
            <w:pPr>
              <w:rPr>
                <w:rFonts w:ascii="Times New Roman" w:hAnsi="Times New Roman"/>
                <w:sz w:val="24"/>
              </w:rPr>
            </w:pPr>
            <w:r w:rsidRPr="00D85C65">
              <w:rPr>
                <w:rFonts w:ascii="Times New Roman" w:hAnsi="Times New Roman"/>
                <w:sz w:val="24"/>
              </w:rPr>
              <w:t>Inštitúcie vykazujú hodnotu expozície pred zohľadnením prípadných úprav hodnoty, rezerv, účinkov</w:t>
            </w:r>
            <w:r w:rsidR="00D85C65">
              <w:rPr>
                <w:rFonts w:ascii="Times New Roman" w:hAnsi="Times New Roman"/>
                <w:sz w:val="24"/>
              </w:rPr>
              <w:t xml:space="preserve"> z </w:t>
            </w:r>
            <w:r w:rsidRPr="00D85C65">
              <w:rPr>
                <w:rFonts w:ascii="Times New Roman" w:hAnsi="Times New Roman"/>
                <w:sz w:val="24"/>
              </w:rPr>
              <w:t>dôvodu postupov na zmierňovanie kreditného rizika alebo kreditných konverzných faktorov</w:t>
            </w:r>
            <w:r w:rsidR="00D85C65">
              <w:rPr>
                <w:rFonts w:ascii="Times New Roman" w:hAnsi="Times New Roman"/>
                <w:sz w:val="24"/>
              </w:rPr>
              <w:t>.</w:t>
            </w:r>
          </w:p>
          <w:p w14:paraId="338AF088" w14:textId="0AEC2F5E" w:rsidR="00235D9D" w:rsidRPr="00D85C65" w:rsidRDefault="001C7AB7">
            <w:pPr>
              <w:rPr>
                <w:rFonts w:ascii="Times New Roman" w:hAnsi="Times New Roman"/>
                <w:sz w:val="24"/>
              </w:rPr>
            </w:pPr>
            <w:r w:rsidRPr="00D85C65">
              <w:rPr>
                <w:rFonts w:ascii="Times New Roman" w:hAnsi="Times New Roman"/>
                <w:sz w:val="24"/>
              </w:rPr>
              <w:t>Hodnota pôvodnej expozície sa vykazuje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 CRR</w:t>
            </w:r>
            <w:r w:rsidR="00D85C65">
              <w:rPr>
                <w:rFonts w:ascii="Times New Roman" w:hAnsi="Times New Roman"/>
                <w:sz w:val="24"/>
              </w:rPr>
              <w:t xml:space="preserve"> a </w:t>
            </w:r>
            <w:r w:rsidRPr="00D85C65">
              <w:rPr>
                <w:rFonts w:ascii="Times New Roman" w:hAnsi="Times New Roman"/>
                <w:sz w:val="24"/>
              </w:rPr>
              <w:t>článkom 166 ods. 1, 2, 4, 5, 6</w:t>
            </w:r>
            <w:r w:rsidR="00D85C65">
              <w:rPr>
                <w:rFonts w:ascii="Times New Roman" w:hAnsi="Times New Roman"/>
                <w:sz w:val="24"/>
              </w:rPr>
              <w:t xml:space="preserve"> a </w:t>
            </w:r>
            <w:r w:rsidRPr="00D85C65">
              <w:rPr>
                <w:rFonts w:ascii="Times New Roman" w:hAnsi="Times New Roman"/>
                <w:sz w:val="24"/>
              </w:rPr>
              <w:t>7 CRR.</w:t>
            </w:r>
          </w:p>
          <w:p w14:paraId="5C64B3FA" w14:textId="0A7D7E95" w:rsidR="00D85C65" w:rsidRDefault="001C7AB7">
            <w:pPr>
              <w:rPr>
                <w:rFonts w:ascii="Times New Roman" w:hAnsi="Times New Roman"/>
                <w:sz w:val="24"/>
              </w:rPr>
            </w:pPr>
            <w:r w:rsidRPr="00D85C65">
              <w:rPr>
                <w:rFonts w:ascii="Times New Roman" w:hAnsi="Times New Roman"/>
                <w:sz w:val="24"/>
              </w:rPr>
              <w:t>Účinok vyplývajúci</w:t>
            </w:r>
            <w:r w:rsidR="00D85C65">
              <w:rPr>
                <w:rFonts w:ascii="Times New Roman" w:hAnsi="Times New Roman"/>
                <w:sz w:val="24"/>
              </w:rPr>
              <w:t xml:space="preserve"> z </w:t>
            </w:r>
            <w:r w:rsidRPr="00D85C65">
              <w:rPr>
                <w:rFonts w:ascii="Times New Roman" w:hAnsi="Times New Roman"/>
                <w:sz w:val="24"/>
              </w:rPr>
              <w:t>článku 166 ods. 3 CRR (účinok vzájomného započítania úverov</w:t>
            </w:r>
            <w:r w:rsidR="00D85C65">
              <w:rPr>
                <w:rFonts w:ascii="Times New Roman" w:hAnsi="Times New Roman"/>
                <w:sz w:val="24"/>
              </w:rPr>
              <w:t xml:space="preserve"> a </w:t>
            </w:r>
            <w:r w:rsidRPr="00D85C65">
              <w:rPr>
                <w:rFonts w:ascii="Times New Roman" w:hAnsi="Times New Roman"/>
                <w:sz w:val="24"/>
              </w:rPr>
              <w:t>vkladov</w:t>
            </w:r>
            <w:r w:rsidR="00D85C65">
              <w:rPr>
                <w:rFonts w:ascii="Times New Roman" w:hAnsi="Times New Roman"/>
                <w:sz w:val="24"/>
              </w:rPr>
              <w:t xml:space="preserve"> v </w:t>
            </w:r>
            <w:r w:rsidRPr="00D85C65">
              <w:rPr>
                <w:rFonts w:ascii="Times New Roman" w:hAnsi="Times New Roman"/>
                <w:sz w:val="24"/>
              </w:rPr>
              <w:t>súvahe) sa vykazuje osobitne ako nefinancované zabezpečenie,</w:t>
            </w:r>
            <w:r w:rsidR="00D85C65">
              <w:rPr>
                <w:rFonts w:ascii="Times New Roman" w:hAnsi="Times New Roman"/>
                <w:sz w:val="24"/>
              </w:rPr>
              <w:t xml:space="preserve"> a </w:t>
            </w:r>
            <w:r w:rsidRPr="00D85C65">
              <w:rPr>
                <w:rFonts w:ascii="Times New Roman" w:hAnsi="Times New Roman"/>
                <w:sz w:val="24"/>
              </w:rPr>
              <w:t>preto neznižuje pôvodnú expozíciu</w:t>
            </w:r>
            <w:r w:rsidR="00D85C65">
              <w:rPr>
                <w:rFonts w:ascii="Times New Roman" w:hAnsi="Times New Roman"/>
                <w:sz w:val="24"/>
              </w:rPr>
              <w:t>.</w:t>
            </w:r>
          </w:p>
          <w:p w14:paraId="7DE0FC32" w14:textId="16948FFE" w:rsidR="00235D9D" w:rsidRPr="00D85C65" w:rsidRDefault="00235D9D">
            <w:pPr>
              <w:rPr>
                <w:rFonts w:ascii="Times New Roman" w:hAnsi="Times New Roman"/>
                <w:sz w:val="24"/>
              </w:rPr>
            </w:pPr>
          </w:p>
        </w:tc>
      </w:tr>
      <w:tr w:rsidR="00235D9D" w:rsidRPr="00D85C65" w14:paraId="61052186" w14:textId="77777777" w:rsidTr="00672D2A">
        <w:tc>
          <w:tcPr>
            <w:tcW w:w="1188" w:type="dxa"/>
          </w:tcPr>
          <w:p w14:paraId="709F0222" w14:textId="77777777" w:rsidR="00235D9D" w:rsidRPr="00D85C65" w:rsidRDefault="001C7AB7">
            <w:pPr>
              <w:rPr>
                <w:rFonts w:ascii="Times New Roman" w:hAnsi="Times New Roman"/>
                <w:sz w:val="24"/>
              </w:rPr>
            </w:pPr>
            <w:r w:rsidRPr="00D85C65">
              <w:rPr>
                <w:rFonts w:ascii="Times New Roman" w:hAnsi="Times New Roman"/>
                <w:sz w:val="24"/>
              </w:rPr>
              <w:t>030</w:t>
            </w:r>
          </w:p>
        </w:tc>
        <w:tc>
          <w:tcPr>
            <w:tcW w:w="8843" w:type="dxa"/>
          </w:tcPr>
          <w:p w14:paraId="1F21C7FE"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Z ČOHO: VEĽKÉ SUBJEKTY FINANČNÉHO SEKTORA A NEREGULOVANÉ FINANČNÉ SUBJEKTY</w:t>
            </w:r>
          </w:p>
          <w:p w14:paraId="6E0215A4" w14:textId="0DD1AC5B" w:rsidR="00235D9D" w:rsidRPr="00D85C65" w:rsidRDefault="001C7AB7">
            <w:pPr>
              <w:rPr>
                <w:rFonts w:ascii="Times New Roman" w:hAnsi="Times New Roman"/>
                <w:b/>
                <w:sz w:val="24"/>
                <w:u w:val="single"/>
              </w:rPr>
            </w:pPr>
            <w:r w:rsidRPr="00D85C65">
              <w:rPr>
                <w:rFonts w:ascii="Times New Roman" w:hAnsi="Times New Roman"/>
                <w:sz w:val="24"/>
              </w:rPr>
              <w:t>Rozčlenenie pôvodnej expozície pred uplatnením konverzného faktora pre všetky expozície subjektov uvedených</w:t>
            </w:r>
            <w:r w:rsidR="00D85C65">
              <w:rPr>
                <w:rFonts w:ascii="Times New Roman" w:hAnsi="Times New Roman"/>
                <w:sz w:val="24"/>
              </w:rPr>
              <w:t xml:space="preserve"> v </w:t>
            </w:r>
            <w:r w:rsidRPr="00D85C65">
              <w:rPr>
                <w:rFonts w:ascii="Times New Roman" w:hAnsi="Times New Roman"/>
                <w:sz w:val="24"/>
              </w:rPr>
              <w:t>článku 142 ods. 4</w:t>
            </w:r>
            <w:r w:rsidR="00D85C65">
              <w:rPr>
                <w:rFonts w:ascii="Times New Roman" w:hAnsi="Times New Roman"/>
                <w:sz w:val="24"/>
              </w:rPr>
              <w:t xml:space="preserve"> a </w:t>
            </w:r>
            <w:r w:rsidRPr="00D85C65">
              <w:rPr>
                <w:rFonts w:ascii="Times New Roman" w:hAnsi="Times New Roman"/>
                <w:sz w:val="24"/>
              </w:rPr>
              <w:t>5 CRR, na ktoré sa uplatňuje vyššia korelácia určená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153 ods. 2 CRR.</w:t>
            </w:r>
          </w:p>
        </w:tc>
      </w:tr>
      <w:tr w:rsidR="00235D9D" w:rsidRPr="00D85C65" w14:paraId="087C15D1" w14:textId="77777777" w:rsidTr="00672D2A">
        <w:tc>
          <w:tcPr>
            <w:tcW w:w="1188" w:type="dxa"/>
          </w:tcPr>
          <w:p w14:paraId="1CE3EFB8" w14:textId="77777777" w:rsidR="00235D9D" w:rsidRPr="00D85C65" w:rsidRDefault="001C7AB7">
            <w:pPr>
              <w:rPr>
                <w:rFonts w:ascii="Times New Roman" w:hAnsi="Times New Roman"/>
                <w:sz w:val="24"/>
              </w:rPr>
            </w:pPr>
            <w:r w:rsidRPr="00D85C65">
              <w:rPr>
                <w:rFonts w:ascii="Times New Roman" w:hAnsi="Times New Roman"/>
                <w:sz w:val="24"/>
              </w:rPr>
              <w:t>040 – 080</w:t>
            </w:r>
          </w:p>
        </w:tc>
        <w:tc>
          <w:tcPr>
            <w:tcW w:w="8843" w:type="dxa"/>
          </w:tcPr>
          <w:p w14:paraId="6F7017BE" w14:textId="5B8FF564" w:rsidR="00235D9D" w:rsidRPr="00D85C65" w:rsidRDefault="001C7AB7">
            <w:pPr>
              <w:rPr>
                <w:rFonts w:ascii="Times New Roman" w:hAnsi="Times New Roman"/>
                <w:b/>
                <w:sz w:val="24"/>
                <w:u w:val="single"/>
              </w:rPr>
            </w:pPr>
            <w:r w:rsidRPr="00D85C65">
              <w:rPr>
                <w:rFonts w:ascii="Times New Roman" w:hAnsi="Times New Roman"/>
                <w:b/>
                <w:sz w:val="24"/>
                <w:u w:val="single"/>
              </w:rPr>
              <w:t>POSTUPY NA ZMIERŇOVANIE KREDITNÉHO RIZIKA (CRM)</w:t>
            </w:r>
            <w:r w:rsidR="00D85C65">
              <w:rPr>
                <w:rFonts w:ascii="Times New Roman" w:hAnsi="Times New Roman"/>
                <w:b/>
                <w:sz w:val="24"/>
                <w:u w:val="single"/>
              </w:rPr>
              <w:t xml:space="preserve"> S </w:t>
            </w:r>
            <w:r w:rsidRPr="00D85C65">
              <w:rPr>
                <w:rFonts w:ascii="Times New Roman" w:hAnsi="Times New Roman"/>
                <w:b/>
                <w:sz w:val="24"/>
                <w:u w:val="single"/>
              </w:rPr>
              <w:t>ÚČINKAMI SUBSTITÚCIE NA EXPOZÍCIU</w:t>
            </w:r>
          </w:p>
          <w:p w14:paraId="3A4BD32D" w14:textId="7A785C29" w:rsidR="00235D9D" w:rsidRPr="00D85C65" w:rsidRDefault="001C7AB7">
            <w:pPr>
              <w:rPr>
                <w:rFonts w:ascii="Times New Roman" w:hAnsi="Times New Roman"/>
                <w:sz w:val="24"/>
              </w:rPr>
            </w:pPr>
            <w:r w:rsidRPr="00D85C65">
              <w:rPr>
                <w:rFonts w:ascii="Times New Roman" w:hAnsi="Times New Roman"/>
                <w:sz w:val="24"/>
              </w:rPr>
              <w:t>Zmierňovanie kreditného rizika</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57 CRR, ktoré znižuje kreditné riziko expozície alebo expozícií prostredníctvom substitúcie expozícií podľa nižšie uvedenej definície</w:t>
            </w:r>
            <w:r w:rsidR="00D85C65">
              <w:rPr>
                <w:rFonts w:ascii="Times New Roman" w:hAnsi="Times New Roman"/>
                <w:sz w:val="24"/>
              </w:rPr>
              <w:t xml:space="preserve"> v </w:t>
            </w:r>
            <w:r w:rsidRPr="00D85C65">
              <w:rPr>
                <w:rFonts w:ascii="Times New Roman" w:hAnsi="Times New Roman"/>
                <w:sz w:val="24"/>
              </w:rPr>
              <w:t>bode „SUBSTITÚCIA EXPOZÍCIE NA ZÁKLADE ZMIERŇOVANIA KREDITNÉHO RIZIKA“.</w:t>
            </w:r>
          </w:p>
          <w:p w14:paraId="09F148A2"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4FE2A744" w14:textId="77777777" w:rsidTr="00672D2A">
        <w:tc>
          <w:tcPr>
            <w:tcW w:w="1188" w:type="dxa"/>
          </w:tcPr>
          <w:p w14:paraId="1B5DB7CA" w14:textId="77777777" w:rsidR="00235D9D" w:rsidRPr="00D85C65" w:rsidRDefault="001C7AB7">
            <w:pPr>
              <w:rPr>
                <w:rFonts w:ascii="Times New Roman" w:hAnsi="Times New Roman"/>
                <w:sz w:val="24"/>
              </w:rPr>
            </w:pPr>
            <w:r w:rsidRPr="00D85C65">
              <w:rPr>
                <w:rFonts w:ascii="Times New Roman" w:hAnsi="Times New Roman"/>
                <w:sz w:val="24"/>
              </w:rPr>
              <w:t>040 – 050</w:t>
            </w:r>
          </w:p>
        </w:tc>
        <w:tc>
          <w:tcPr>
            <w:tcW w:w="8843" w:type="dxa"/>
          </w:tcPr>
          <w:p w14:paraId="75607115"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NEFINANCOVANÉ ZABEZPEČENIE</w:t>
            </w:r>
          </w:p>
          <w:p w14:paraId="0FDF3562" w14:textId="2E563F47"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Nefinancované zabezpečenie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zmysle vymedzenia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4 ods. 1 bode 59 CRR.</w:t>
            </w:r>
          </w:p>
          <w:p w14:paraId="010FA2BC" w14:textId="4E1B43C8" w:rsidR="00235D9D" w:rsidRPr="00D85C65" w:rsidRDefault="00BD6DB9">
            <w:pPr>
              <w:rPr>
                <w:rFonts w:ascii="Times New Roman" w:hAnsi="Times New Roman"/>
                <w:sz w:val="24"/>
              </w:rPr>
            </w:pPr>
            <w:r w:rsidRPr="00D85C65">
              <w:rPr>
                <w:rFonts w:ascii="Times New Roman" w:hAnsi="Times New Roman"/>
                <w:sz w:val="24"/>
              </w:rPr>
              <w:t>Keď má kolaterál účinok na expozíciu (napr. keď sa používa pre postupy na zmierňovanie kreditného rizika</w:t>
            </w:r>
            <w:r w:rsidR="00D85C65">
              <w:rPr>
                <w:rFonts w:ascii="Times New Roman" w:hAnsi="Times New Roman"/>
                <w:sz w:val="24"/>
              </w:rPr>
              <w:t xml:space="preserve"> s </w:t>
            </w:r>
            <w:r w:rsidRPr="00D85C65">
              <w:rPr>
                <w:rFonts w:ascii="Times New Roman" w:hAnsi="Times New Roman"/>
                <w:sz w:val="24"/>
              </w:rPr>
              <w:t>účinkami substitúcie na expozíciu), jeho horná hranica sa obmedzí hodnotou expozície.</w:t>
            </w:r>
          </w:p>
        </w:tc>
      </w:tr>
      <w:tr w:rsidR="00235D9D" w:rsidRPr="00D85C65" w14:paraId="15FEA964" w14:textId="77777777" w:rsidTr="00672D2A">
        <w:tc>
          <w:tcPr>
            <w:tcW w:w="1188" w:type="dxa"/>
          </w:tcPr>
          <w:p w14:paraId="4537B28C" w14:textId="77777777" w:rsidR="00235D9D" w:rsidRPr="00D85C65" w:rsidRDefault="001C7AB7">
            <w:pPr>
              <w:rPr>
                <w:rFonts w:ascii="Times New Roman" w:hAnsi="Times New Roman"/>
                <w:sz w:val="24"/>
              </w:rPr>
            </w:pPr>
            <w:r w:rsidRPr="00D85C65">
              <w:rPr>
                <w:rFonts w:ascii="Times New Roman" w:hAnsi="Times New Roman"/>
                <w:sz w:val="24"/>
              </w:rPr>
              <w:t>040</w:t>
            </w:r>
          </w:p>
        </w:tc>
        <w:tc>
          <w:tcPr>
            <w:tcW w:w="8843" w:type="dxa"/>
          </w:tcPr>
          <w:p w14:paraId="04C977CF" w14:textId="77777777" w:rsidR="00235D9D" w:rsidRPr="00D85C65" w:rsidRDefault="001C7AB7">
            <w:pPr>
              <w:jc w:val="left"/>
              <w:rPr>
                <w:rStyle w:val="InstructionsTabelleberschrift"/>
                <w:rFonts w:ascii="Times New Roman" w:hAnsi="Times New Roman"/>
                <w:sz w:val="24"/>
              </w:rPr>
            </w:pPr>
            <w:r w:rsidRPr="00D85C65">
              <w:rPr>
                <w:rStyle w:val="InstructionsTabelleberschrift"/>
                <w:rFonts w:ascii="Times New Roman" w:hAnsi="Times New Roman"/>
                <w:sz w:val="24"/>
              </w:rPr>
              <w:t>ZÁRUKY:</w:t>
            </w:r>
          </w:p>
          <w:p w14:paraId="4005F699" w14:textId="7AD5824B" w:rsidR="00235D9D" w:rsidRPr="00D85C65" w:rsidRDefault="001C7AB7">
            <w:pPr>
              <w:jc w:val="left"/>
              <w:rPr>
                <w:rFonts w:ascii="Times New Roman" w:hAnsi="Times New Roman"/>
                <w:sz w:val="24"/>
              </w:rPr>
            </w:pPr>
            <w:r w:rsidRPr="00D85C65">
              <w:rPr>
                <w:rFonts w:ascii="Times New Roman" w:hAnsi="Times New Roman"/>
                <w:sz w:val="24"/>
              </w:rPr>
              <w:t>Keď sa nepoužívajú vlastné odhady LGD, uvedie sa upravená hodnota (G</w:t>
            </w:r>
            <w:r w:rsidRPr="00D85C65">
              <w:rPr>
                <w:rFonts w:ascii="Times New Roman" w:hAnsi="Times New Roman"/>
                <w:sz w:val="24"/>
                <w:vertAlign w:val="subscript"/>
              </w:rPr>
              <w:t>A</w:t>
            </w:r>
            <w:r w:rsidRPr="00D85C65">
              <w:rPr>
                <w:rFonts w:ascii="Times New Roman" w:hAnsi="Times New Roman"/>
                <w:sz w:val="24"/>
              </w:rPr>
              <w:t>) vymedzená</w:t>
            </w:r>
            <w:r w:rsidR="00D85C65">
              <w:rPr>
                <w:rFonts w:ascii="Times New Roman" w:hAnsi="Times New Roman"/>
                <w:sz w:val="24"/>
              </w:rPr>
              <w:t xml:space="preserve"> v </w:t>
            </w:r>
            <w:r w:rsidRPr="00D85C65">
              <w:rPr>
                <w:rFonts w:ascii="Times New Roman" w:hAnsi="Times New Roman"/>
                <w:sz w:val="24"/>
              </w:rPr>
              <w:t>článku 236 ods. 3 CRR.</w:t>
            </w:r>
          </w:p>
          <w:p w14:paraId="64E67BAB" w14:textId="109FABDB" w:rsidR="00D85C65" w:rsidRDefault="001C7AB7">
            <w:pPr>
              <w:jc w:val="left"/>
              <w:rPr>
                <w:rFonts w:ascii="Times New Roman" w:hAnsi="Times New Roman"/>
                <w:sz w:val="24"/>
              </w:rPr>
            </w:pPr>
            <w:r w:rsidRPr="00D85C65">
              <w:rPr>
                <w:rFonts w:ascii="Times New Roman" w:hAnsi="Times New Roman"/>
                <w:sz w:val="24"/>
              </w:rPr>
              <w:t>Keď sa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183 CRR používajú vlastné odhady LGD, vykazuje sa relevantná hodnota použitá</w:t>
            </w:r>
            <w:r w:rsidR="00D85C65">
              <w:rPr>
                <w:rFonts w:ascii="Times New Roman" w:hAnsi="Times New Roman"/>
                <w:sz w:val="24"/>
              </w:rPr>
              <w:t xml:space="preserve"> v </w:t>
            </w:r>
            <w:r w:rsidRPr="00D85C65">
              <w:rPr>
                <w:rFonts w:ascii="Times New Roman" w:hAnsi="Times New Roman"/>
                <w:sz w:val="24"/>
              </w:rPr>
              <w:t>internom modeli</w:t>
            </w:r>
            <w:r w:rsidR="00D85C65">
              <w:rPr>
                <w:rFonts w:ascii="Times New Roman" w:hAnsi="Times New Roman"/>
                <w:sz w:val="24"/>
              </w:rPr>
              <w:t>.</w:t>
            </w:r>
          </w:p>
          <w:p w14:paraId="7B34BA70" w14:textId="62168A61" w:rsidR="00235D9D" w:rsidRPr="00D85C65" w:rsidRDefault="001C7AB7">
            <w:pPr>
              <w:jc w:val="left"/>
              <w:rPr>
                <w:rFonts w:ascii="Times New Roman" w:hAnsi="Times New Roman"/>
                <w:sz w:val="24"/>
              </w:rPr>
            </w:pPr>
            <w:r w:rsidRPr="00D85C65">
              <w:rPr>
                <w:rFonts w:ascii="Times New Roman" w:hAnsi="Times New Roman"/>
                <w:sz w:val="24"/>
              </w:rPr>
              <w:lastRenderedPageBreak/>
              <w:t>Záruky sa vykazujú</w:t>
            </w:r>
            <w:r w:rsidR="00D85C65">
              <w:rPr>
                <w:rFonts w:ascii="Times New Roman" w:hAnsi="Times New Roman"/>
                <w:sz w:val="24"/>
              </w:rPr>
              <w:t xml:space="preserve"> v </w:t>
            </w:r>
            <w:r w:rsidRPr="00D85C65">
              <w:rPr>
                <w:rFonts w:ascii="Times New Roman" w:hAnsi="Times New Roman"/>
                <w:sz w:val="24"/>
              </w:rPr>
              <w:t>stĺpci 040, keď sa úprava nerobí</w:t>
            </w:r>
            <w:r w:rsidR="00D85C65">
              <w:rPr>
                <w:rFonts w:ascii="Times New Roman" w:hAnsi="Times New Roman"/>
                <w:sz w:val="24"/>
              </w:rPr>
              <w:t xml:space="preserve"> v </w:t>
            </w:r>
            <w:r w:rsidRPr="00D85C65">
              <w:rPr>
                <w:rFonts w:ascii="Times New Roman" w:hAnsi="Times New Roman"/>
                <w:sz w:val="24"/>
              </w:rPr>
              <w:t>LGD. Keď sa úprava robí</w:t>
            </w:r>
            <w:r w:rsidR="00D85C65">
              <w:rPr>
                <w:rFonts w:ascii="Times New Roman" w:hAnsi="Times New Roman"/>
                <w:sz w:val="24"/>
              </w:rPr>
              <w:t xml:space="preserve"> v </w:t>
            </w:r>
            <w:r w:rsidRPr="00D85C65">
              <w:rPr>
                <w:rFonts w:ascii="Times New Roman" w:hAnsi="Times New Roman"/>
                <w:sz w:val="24"/>
              </w:rPr>
              <w:t>LGD, hodnota záruky sa vykazuje</w:t>
            </w:r>
            <w:r w:rsidR="00D85C65">
              <w:rPr>
                <w:rFonts w:ascii="Times New Roman" w:hAnsi="Times New Roman"/>
                <w:sz w:val="24"/>
              </w:rPr>
              <w:t xml:space="preserve"> v </w:t>
            </w:r>
            <w:r w:rsidRPr="00D85C65">
              <w:rPr>
                <w:rFonts w:ascii="Times New Roman" w:hAnsi="Times New Roman"/>
                <w:sz w:val="24"/>
              </w:rPr>
              <w:t>stĺpci 150.</w:t>
            </w:r>
          </w:p>
          <w:p w14:paraId="30E15DE3" w14:textId="22CD5BFE" w:rsidR="00235D9D" w:rsidRPr="00D85C65" w:rsidRDefault="00785F3E">
            <w:pPr>
              <w:jc w:val="left"/>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expozície,</w:t>
            </w:r>
            <w:r w:rsidR="00D85C65">
              <w:rPr>
                <w:rFonts w:ascii="Times New Roman" w:hAnsi="Times New Roman"/>
                <w:sz w:val="24"/>
              </w:rPr>
              <w:t xml:space="preserve"> s </w:t>
            </w:r>
            <w:r w:rsidRPr="00D85C65">
              <w:rPr>
                <w:rFonts w:ascii="Times New Roman" w:hAnsi="Times New Roman"/>
                <w:sz w:val="24"/>
              </w:rPr>
              <w:t>ktorými sa zaobchádza na základe dvojnásobného zlyhania, hodnota nefinancovaného zabezpečenia sa vykáže</w:t>
            </w:r>
            <w:r w:rsidR="00D85C65">
              <w:rPr>
                <w:rFonts w:ascii="Times New Roman" w:hAnsi="Times New Roman"/>
                <w:sz w:val="24"/>
              </w:rPr>
              <w:t xml:space="preserve"> v </w:t>
            </w:r>
            <w:r w:rsidRPr="00D85C65">
              <w:rPr>
                <w:rFonts w:ascii="Times New Roman" w:hAnsi="Times New Roman"/>
                <w:sz w:val="24"/>
              </w:rPr>
              <w:t>stĺpci 220.</w:t>
            </w:r>
          </w:p>
          <w:p w14:paraId="50DBA967" w14:textId="77777777" w:rsidR="00235D9D" w:rsidRPr="00D85C65" w:rsidRDefault="00235D9D">
            <w:pPr>
              <w:jc w:val="left"/>
              <w:rPr>
                <w:rFonts w:ascii="Times New Roman" w:hAnsi="Times New Roman"/>
                <w:sz w:val="24"/>
              </w:rPr>
            </w:pPr>
          </w:p>
        </w:tc>
      </w:tr>
      <w:tr w:rsidR="00235D9D" w:rsidRPr="00D85C65" w14:paraId="66F1FEC3" w14:textId="77777777" w:rsidTr="00672D2A">
        <w:tc>
          <w:tcPr>
            <w:tcW w:w="1188" w:type="dxa"/>
          </w:tcPr>
          <w:p w14:paraId="65B5140D" w14:textId="77777777" w:rsidR="00235D9D" w:rsidRPr="00D85C65" w:rsidRDefault="001C7AB7">
            <w:pPr>
              <w:rPr>
                <w:rFonts w:ascii="Times New Roman" w:hAnsi="Times New Roman"/>
                <w:sz w:val="24"/>
              </w:rPr>
            </w:pPr>
            <w:r w:rsidRPr="00D85C65">
              <w:rPr>
                <w:rFonts w:ascii="Times New Roman" w:hAnsi="Times New Roman"/>
                <w:sz w:val="24"/>
              </w:rPr>
              <w:lastRenderedPageBreak/>
              <w:t>050</w:t>
            </w:r>
          </w:p>
        </w:tc>
        <w:tc>
          <w:tcPr>
            <w:tcW w:w="8843" w:type="dxa"/>
          </w:tcPr>
          <w:p w14:paraId="6ECF35CC"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KREDITNÉ DERIVÁTY:</w:t>
            </w:r>
          </w:p>
          <w:p w14:paraId="56D5A0CB" w14:textId="5A3CDE51" w:rsidR="00D85C65" w:rsidRDefault="001C7AB7">
            <w:pPr>
              <w:rPr>
                <w:rFonts w:ascii="Times New Roman" w:hAnsi="Times New Roman"/>
                <w:sz w:val="24"/>
              </w:rPr>
            </w:pPr>
            <w:r w:rsidRPr="00D85C65">
              <w:rPr>
                <w:rFonts w:ascii="Times New Roman" w:hAnsi="Times New Roman"/>
                <w:sz w:val="24"/>
              </w:rPr>
              <w:t>Keď sa nepoužívajú vlastné odhady LGD, uvedie sa upravená hodnota (G</w:t>
            </w:r>
            <w:r w:rsidRPr="00D85C65">
              <w:rPr>
                <w:rFonts w:ascii="Times New Roman" w:hAnsi="Times New Roman"/>
                <w:sz w:val="24"/>
                <w:vertAlign w:val="subscript"/>
              </w:rPr>
              <w:t>A</w:t>
            </w:r>
            <w:r w:rsidRPr="00D85C65">
              <w:rPr>
                <w:rFonts w:ascii="Times New Roman" w:hAnsi="Times New Roman"/>
                <w:sz w:val="24"/>
              </w:rPr>
              <w:t>) vymedzená</w:t>
            </w:r>
            <w:r w:rsidR="00D85C65">
              <w:rPr>
                <w:rFonts w:ascii="Times New Roman" w:hAnsi="Times New Roman"/>
                <w:sz w:val="24"/>
              </w:rPr>
              <w:t xml:space="preserve"> v </w:t>
            </w:r>
            <w:r w:rsidRPr="00D85C65">
              <w:rPr>
                <w:rFonts w:ascii="Times New Roman" w:hAnsi="Times New Roman"/>
                <w:sz w:val="24"/>
              </w:rPr>
              <w:t>článku 236 ods. 3 CRR</w:t>
            </w:r>
            <w:r w:rsidR="00D85C65">
              <w:rPr>
                <w:rFonts w:ascii="Times New Roman" w:hAnsi="Times New Roman"/>
                <w:sz w:val="24"/>
              </w:rPr>
              <w:t>.</w:t>
            </w:r>
          </w:p>
          <w:p w14:paraId="77C671AB" w14:textId="70305682" w:rsidR="00235D9D" w:rsidRPr="00D85C65" w:rsidRDefault="00785F3E">
            <w:pPr>
              <w:rPr>
                <w:rFonts w:ascii="Times New Roman" w:hAnsi="Times New Roman"/>
                <w:sz w:val="24"/>
              </w:rPr>
            </w:pPr>
            <w:r w:rsidRPr="00D85C65">
              <w:rPr>
                <w:rFonts w:ascii="Times New Roman" w:hAnsi="Times New Roman"/>
                <w:sz w:val="24"/>
              </w:rPr>
              <w:t>Keď sa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183 CRR používajú vlastné odhady LGD, vykazuje sa relevantná hodnota použitá</w:t>
            </w:r>
            <w:r w:rsidR="00D85C65">
              <w:rPr>
                <w:rFonts w:ascii="Times New Roman" w:hAnsi="Times New Roman"/>
                <w:sz w:val="24"/>
              </w:rPr>
              <w:t xml:space="preserve"> v </w:t>
            </w:r>
            <w:r w:rsidRPr="00D85C65">
              <w:rPr>
                <w:rFonts w:ascii="Times New Roman" w:hAnsi="Times New Roman"/>
                <w:sz w:val="24"/>
              </w:rPr>
              <w:t>internom modelovaní.</w:t>
            </w:r>
          </w:p>
          <w:p w14:paraId="1303A310" w14:textId="19DED1BB" w:rsidR="00235D9D" w:rsidRPr="00D85C65" w:rsidRDefault="001C7AB7">
            <w:pPr>
              <w:rPr>
                <w:rFonts w:ascii="Times New Roman" w:hAnsi="Times New Roman"/>
                <w:sz w:val="24"/>
              </w:rPr>
            </w:pPr>
            <w:r w:rsidRPr="00D85C65">
              <w:rPr>
                <w:rFonts w:ascii="Times New Roman" w:hAnsi="Times New Roman"/>
                <w:sz w:val="24"/>
              </w:rPr>
              <w:t>Keď sa úprava robí</w:t>
            </w:r>
            <w:r w:rsidR="00D85C65">
              <w:rPr>
                <w:rFonts w:ascii="Times New Roman" w:hAnsi="Times New Roman"/>
                <w:sz w:val="24"/>
              </w:rPr>
              <w:t xml:space="preserve"> v </w:t>
            </w:r>
            <w:r w:rsidRPr="00D85C65">
              <w:rPr>
                <w:rFonts w:ascii="Times New Roman" w:hAnsi="Times New Roman"/>
                <w:sz w:val="24"/>
              </w:rPr>
              <w:t>LGD, hodnota kreditných derivátov sa uvedie</w:t>
            </w:r>
            <w:r w:rsidR="00D85C65">
              <w:rPr>
                <w:rFonts w:ascii="Times New Roman" w:hAnsi="Times New Roman"/>
                <w:sz w:val="24"/>
              </w:rPr>
              <w:t xml:space="preserve"> v </w:t>
            </w:r>
            <w:r w:rsidRPr="00D85C65">
              <w:rPr>
                <w:rFonts w:ascii="Times New Roman" w:hAnsi="Times New Roman"/>
                <w:sz w:val="24"/>
              </w:rPr>
              <w:t>stĺpci 160.</w:t>
            </w:r>
          </w:p>
          <w:p w14:paraId="0D934CB2" w14:textId="433E0016" w:rsidR="00235D9D" w:rsidRPr="00D85C65" w:rsidRDefault="001C7AB7">
            <w:pPr>
              <w:jc w:val="left"/>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expozície,</w:t>
            </w:r>
            <w:r w:rsidR="00D85C65">
              <w:rPr>
                <w:rFonts w:ascii="Times New Roman" w:hAnsi="Times New Roman"/>
                <w:sz w:val="24"/>
              </w:rPr>
              <w:t xml:space="preserve"> s </w:t>
            </w:r>
            <w:r w:rsidRPr="00D85C65">
              <w:rPr>
                <w:rFonts w:ascii="Times New Roman" w:hAnsi="Times New Roman"/>
                <w:sz w:val="24"/>
              </w:rPr>
              <w:t>ktorými sa zaobchádza na základe dvojnásobného zlyhania, hodnota nefinancovaného zabezpečenia sa vykáže</w:t>
            </w:r>
            <w:r w:rsidR="00D85C65">
              <w:rPr>
                <w:rFonts w:ascii="Times New Roman" w:hAnsi="Times New Roman"/>
                <w:sz w:val="24"/>
              </w:rPr>
              <w:t xml:space="preserve"> v </w:t>
            </w:r>
            <w:r w:rsidRPr="00D85C65">
              <w:rPr>
                <w:rFonts w:ascii="Times New Roman" w:hAnsi="Times New Roman"/>
                <w:sz w:val="24"/>
              </w:rPr>
              <w:t>stĺpci 220.</w:t>
            </w:r>
          </w:p>
        </w:tc>
      </w:tr>
      <w:tr w:rsidR="00235D9D" w:rsidRPr="00D85C65" w14:paraId="11BD9CAC" w14:textId="77777777" w:rsidTr="00672D2A">
        <w:tc>
          <w:tcPr>
            <w:tcW w:w="1188" w:type="dxa"/>
          </w:tcPr>
          <w:p w14:paraId="6CC75E39" w14:textId="77777777" w:rsidR="00235D9D" w:rsidRPr="00D85C65" w:rsidRDefault="001C7AB7">
            <w:pPr>
              <w:rPr>
                <w:rFonts w:ascii="Times New Roman" w:hAnsi="Times New Roman"/>
                <w:sz w:val="24"/>
              </w:rPr>
            </w:pPr>
            <w:r w:rsidRPr="00D85C65">
              <w:rPr>
                <w:rFonts w:ascii="Times New Roman" w:hAnsi="Times New Roman"/>
                <w:sz w:val="24"/>
              </w:rPr>
              <w:t>060</w:t>
            </w:r>
          </w:p>
        </w:tc>
        <w:tc>
          <w:tcPr>
            <w:tcW w:w="8843" w:type="dxa"/>
          </w:tcPr>
          <w:p w14:paraId="37769350"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INÉ FINANCOVANÉ ZABEZPEČENIE</w:t>
            </w:r>
          </w:p>
          <w:p w14:paraId="5AFE3F66" w14:textId="3D0A9F21" w:rsidR="00235D9D" w:rsidRPr="00D85C65" w:rsidRDefault="00BD6DB9">
            <w:pPr>
              <w:rPr>
                <w:rStyle w:val="InstructionsTabelleText"/>
                <w:rFonts w:ascii="Times New Roman" w:hAnsi="Times New Roman"/>
                <w:sz w:val="24"/>
              </w:rPr>
            </w:pPr>
            <w:r w:rsidRPr="00D85C65">
              <w:rPr>
                <w:rStyle w:val="InstructionsTabelleText"/>
                <w:rFonts w:ascii="Times New Roman" w:hAnsi="Times New Roman"/>
                <w:sz w:val="24"/>
              </w:rPr>
              <w:t>Keď má kolaterál účinok na expozíciu (napr. keď sa používa pre postupy na zmierňovanie kreditného rizika</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účinkami substitúcie na expozíciu), jeho horná hranica sa obmedzí hodnotou expozície.</w:t>
            </w:r>
          </w:p>
          <w:p w14:paraId="66D31600" w14:textId="21616AD6"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Keď sa nepoužívajú vlastné odhady LGD, uplatňuje sa článok 232 CRR.</w:t>
            </w:r>
          </w:p>
          <w:p w14:paraId="4AFFF80F" w14:textId="6C72F08E"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Keď sa používajú vlastné odhady LGD, vykazujú sa tie nástroje na zmierňovanie kreditného rizika, ktoré sú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podmienkami stanovenými</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212 CRR. Vykazuje sa relevantná hodnota použitá</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internom modeli.</w:t>
            </w:r>
          </w:p>
          <w:p w14:paraId="58DC2D2A" w14:textId="49959233" w:rsidR="00235D9D" w:rsidRPr="00D85C65" w:rsidRDefault="00A94F5F">
            <w:pPr>
              <w:rPr>
                <w:rFonts w:ascii="Times New Roman" w:hAnsi="Times New Roman"/>
                <w:sz w:val="24"/>
              </w:rPr>
            </w:pPr>
            <w:r w:rsidRPr="00D85C65">
              <w:rPr>
                <w:rStyle w:val="InstructionsTabelleText"/>
                <w:rFonts w:ascii="Times New Roman" w:hAnsi="Times New Roman"/>
                <w:sz w:val="24"/>
              </w:rPr>
              <w:t>Výška sa vykazuje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060, keď sa úprava nerobí</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LGD. Keď sa robí úprava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LGD, hodnota sa vykazuje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170.</w:t>
            </w:r>
          </w:p>
        </w:tc>
      </w:tr>
      <w:tr w:rsidR="00235D9D" w:rsidRPr="00D85C65" w14:paraId="75D7E7B4" w14:textId="77777777" w:rsidTr="00672D2A">
        <w:tc>
          <w:tcPr>
            <w:tcW w:w="1188" w:type="dxa"/>
          </w:tcPr>
          <w:p w14:paraId="323021FD" w14:textId="77777777" w:rsidR="00235D9D" w:rsidRPr="00D85C65" w:rsidRDefault="001C7AB7">
            <w:pPr>
              <w:rPr>
                <w:rFonts w:ascii="Times New Roman" w:hAnsi="Times New Roman"/>
                <w:sz w:val="24"/>
              </w:rPr>
            </w:pPr>
            <w:r w:rsidRPr="00D85C65">
              <w:rPr>
                <w:rFonts w:ascii="Times New Roman" w:hAnsi="Times New Roman"/>
                <w:sz w:val="24"/>
              </w:rPr>
              <w:t>070 – 080</w:t>
            </w:r>
          </w:p>
        </w:tc>
        <w:tc>
          <w:tcPr>
            <w:tcW w:w="8843" w:type="dxa"/>
          </w:tcPr>
          <w:p w14:paraId="7B94C6E4"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SUBSTITÚCIA EXPOZÍCIE NA ZÁKLADE ZMIERŇOVANIA KREDITNÉHO RIZIKA</w:t>
            </w:r>
          </w:p>
          <w:p w14:paraId="159F0CD2" w14:textId="05CB1A23" w:rsidR="00235D9D" w:rsidRPr="00D85C65" w:rsidRDefault="001C7AB7">
            <w:pPr>
              <w:rPr>
                <w:rFonts w:ascii="Times New Roman" w:hAnsi="Times New Roman"/>
                <w:sz w:val="24"/>
              </w:rPr>
            </w:pPr>
            <w:r w:rsidRPr="00D85C65">
              <w:rPr>
                <w:rFonts w:ascii="Times New Roman" w:hAnsi="Times New Roman"/>
                <w:sz w:val="24"/>
              </w:rPr>
              <w:t>Záporné toky zodpovedajú krytej časti pôvodnej expozície pred uplatnením konverzných faktorov, ktorá sa odpočíta od triedy expozícií dlžníka</w:t>
            </w:r>
            <w:r w:rsidR="00D85C65">
              <w:rPr>
                <w:rFonts w:ascii="Times New Roman" w:hAnsi="Times New Roman"/>
                <w:sz w:val="24"/>
              </w:rPr>
              <w:t xml:space="preserve"> a v </w:t>
            </w:r>
            <w:r w:rsidRPr="00D85C65">
              <w:rPr>
                <w:rFonts w:ascii="Times New Roman" w:hAnsi="Times New Roman"/>
                <w:sz w:val="24"/>
              </w:rPr>
              <w:t>náležitých prípadoch ratingového stupňa alebo skupiny dlžníkov,</w:t>
            </w:r>
            <w:r w:rsidR="00D85C65">
              <w:rPr>
                <w:rFonts w:ascii="Times New Roman" w:hAnsi="Times New Roman"/>
                <w:sz w:val="24"/>
              </w:rPr>
              <w:t xml:space="preserve"> a </w:t>
            </w:r>
            <w:r w:rsidRPr="00D85C65">
              <w:rPr>
                <w:rFonts w:ascii="Times New Roman" w:hAnsi="Times New Roman"/>
                <w:sz w:val="24"/>
              </w:rPr>
              <w:t>potom sa zaradí do triedy expozícií poskytovateľa zabezpečenia</w:t>
            </w:r>
            <w:r w:rsidR="00D85C65">
              <w:rPr>
                <w:rFonts w:ascii="Times New Roman" w:hAnsi="Times New Roman"/>
                <w:sz w:val="24"/>
              </w:rPr>
              <w:t xml:space="preserve"> a v </w:t>
            </w:r>
            <w:r w:rsidRPr="00D85C65">
              <w:rPr>
                <w:rFonts w:ascii="Times New Roman" w:hAnsi="Times New Roman"/>
                <w:sz w:val="24"/>
              </w:rPr>
              <w:t>náležitých prípadoch do ratingového stupňa alebo skupiny dlžníkov. Táto hodnota sa považuje za kladný tok do triedy expozícií poskytovateľa zabezpečenia</w:t>
            </w:r>
            <w:r w:rsidR="00D85C65">
              <w:rPr>
                <w:rFonts w:ascii="Times New Roman" w:hAnsi="Times New Roman"/>
                <w:sz w:val="24"/>
              </w:rPr>
              <w:t xml:space="preserve"> a v </w:t>
            </w:r>
            <w:r w:rsidRPr="00D85C65">
              <w:rPr>
                <w:rFonts w:ascii="Times New Roman" w:hAnsi="Times New Roman"/>
                <w:sz w:val="24"/>
              </w:rPr>
              <w:t>náležitých prípadoch do ratingových stupňov alebo skupín dlžníka.</w:t>
            </w:r>
          </w:p>
          <w:p w14:paraId="11BB8EA9" w14:textId="10AF7A38" w:rsidR="00235D9D" w:rsidRPr="00D85C65" w:rsidRDefault="001C7AB7">
            <w:pPr>
              <w:rPr>
                <w:rFonts w:ascii="Times New Roman" w:hAnsi="Times New Roman"/>
                <w:b/>
                <w:sz w:val="24"/>
              </w:rPr>
            </w:pPr>
            <w:r w:rsidRPr="00D85C65">
              <w:rPr>
                <w:rFonts w:ascii="Times New Roman" w:hAnsi="Times New Roman"/>
                <w:sz w:val="24"/>
              </w:rPr>
              <w:t>Kladné toky</w:t>
            </w:r>
            <w:r w:rsidR="00D85C65">
              <w:rPr>
                <w:rFonts w:ascii="Times New Roman" w:hAnsi="Times New Roman"/>
                <w:sz w:val="24"/>
              </w:rPr>
              <w:t xml:space="preserve"> a </w:t>
            </w:r>
            <w:r w:rsidRPr="00D85C65">
              <w:rPr>
                <w:rFonts w:ascii="Times New Roman" w:hAnsi="Times New Roman"/>
                <w:sz w:val="24"/>
              </w:rPr>
              <w:t>záporné toky</w:t>
            </w:r>
            <w:r w:rsidR="00D85C65">
              <w:rPr>
                <w:rFonts w:ascii="Times New Roman" w:hAnsi="Times New Roman"/>
                <w:sz w:val="24"/>
              </w:rPr>
              <w:t xml:space="preserve"> v </w:t>
            </w:r>
            <w:r w:rsidRPr="00D85C65">
              <w:rPr>
                <w:rFonts w:ascii="Times New Roman" w:hAnsi="Times New Roman"/>
                <w:sz w:val="24"/>
              </w:rPr>
              <w:t>rámci rovnakých tried expozícií</w:t>
            </w:r>
            <w:r w:rsidR="00D85C65">
              <w:rPr>
                <w:rFonts w:ascii="Times New Roman" w:hAnsi="Times New Roman"/>
                <w:sz w:val="24"/>
              </w:rPr>
              <w:t xml:space="preserve"> a v </w:t>
            </w:r>
            <w:r w:rsidRPr="00D85C65">
              <w:rPr>
                <w:rFonts w:ascii="Times New Roman" w:hAnsi="Times New Roman"/>
                <w:sz w:val="24"/>
              </w:rPr>
              <w:t>náležitých prípadoch</w:t>
            </w:r>
            <w:r w:rsidR="00D85C65">
              <w:rPr>
                <w:rFonts w:ascii="Times New Roman" w:hAnsi="Times New Roman"/>
                <w:sz w:val="24"/>
              </w:rPr>
              <w:t xml:space="preserve"> v </w:t>
            </w:r>
            <w:r w:rsidRPr="00D85C65">
              <w:rPr>
                <w:rFonts w:ascii="Times New Roman" w:hAnsi="Times New Roman"/>
                <w:sz w:val="24"/>
              </w:rPr>
              <w:t>rámci rovnakých ratingových stupňov alebo skupín dlžníkov sa tiež berú do úvahy.</w:t>
            </w:r>
          </w:p>
          <w:p w14:paraId="635CAFFA" w14:textId="25C30955" w:rsidR="00235D9D" w:rsidRPr="00D85C65" w:rsidRDefault="001C7AB7">
            <w:pPr>
              <w:rPr>
                <w:rFonts w:ascii="Times New Roman" w:hAnsi="Times New Roman"/>
                <w:sz w:val="24"/>
              </w:rPr>
            </w:pPr>
            <w:r w:rsidRPr="00D85C65">
              <w:rPr>
                <w:rFonts w:ascii="Times New Roman" w:hAnsi="Times New Roman"/>
                <w:sz w:val="24"/>
              </w:rPr>
              <w:t>Zohľadnia sa expozície pochádzajúce</w:t>
            </w:r>
            <w:r w:rsidR="00D85C65">
              <w:rPr>
                <w:rFonts w:ascii="Times New Roman" w:hAnsi="Times New Roman"/>
                <w:sz w:val="24"/>
              </w:rPr>
              <w:t xml:space="preserve"> z </w:t>
            </w:r>
            <w:r w:rsidRPr="00D85C65">
              <w:rPr>
                <w:rFonts w:ascii="Times New Roman" w:hAnsi="Times New Roman"/>
                <w:sz w:val="24"/>
              </w:rPr>
              <w:t>možných kladných</w:t>
            </w:r>
            <w:r w:rsidR="00D85C65">
              <w:rPr>
                <w:rFonts w:ascii="Times New Roman" w:hAnsi="Times New Roman"/>
                <w:sz w:val="24"/>
              </w:rPr>
              <w:t xml:space="preserve"> a </w:t>
            </w:r>
            <w:r w:rsidRPr="00D85C65">
              <w:rPr>
                <w:rFonts w:ascii="Times New Roman" w:hAnsi="Times New Roman"/>
                <w:sz w:val="24"/>
              </w:rPr>
              <w:t>záporných tokov</w:t>
            </w:r>
            <w:r w:rsidR="00D85C65">
              <w:rPr>
                <w:rFonts w:ascii="Times New Roman" w:hAnsi="Times New Roman"/>
                <w:sz w:val="24"/>
              </w:rPr>
              <w:t xml:space="preserve"> z a </w:t>
            </w:r>
            <w:r w:rsidRPr="00D85C65">
              <w:rPr>
                <w:rFonts w:ascii="Times New Roman" w:hAnsi="Times New Roman"/>
                <w:sz w:val="24"/>
              </w:rPr>
              <w:t>do iných vzorov.</w:t>
            </w:r>
          </w:p>
        </w:tc>
      </w:tr>
      <w:tr w:rsidR="00235D9D" w:rsidRPr="00D85C65" w14:paraId="39BE7878" w14:textId="77777777" w:rsidTr="00672D2A">
        <w:tc>
          <w:tcPr>
            <w:tcW w:w="1188" w:type="dxa"/>
          </w:tcPr>
          <w:p w14:paraId="76E0D514" w14:textId="77777777" w:rsidR="00235D9D" w:rsidRPr="00D85C65" w:rsidRDefault="001C7AB7">
            <w:pPr>
              <w:rPr>
                <w:rFonts w:ascii="Times New Roman" w:hAnsi="Times New Roman"/>
                <w:sz w:val="24"/>
              </w:rPr>
            </w:pPr>
            <w:r w:rsidRPr="00D85C65">
              <w:rPr>
                <w:rFonts w:ascii="Times New Roman" w:hAnsi="Times New Roman"/>
                <w:sz w:val="24"/>
              </w:rPr>
              <w:t>090</w:t>
            </w:r>
          </w:p>
        </w:tc>
        <w:tc>
          <w:tcPr>
            <w:tcW w:w="8843" w:type="dxa"/>
          </w:tcPr>
          <w:p w14:paraId="2A5B67AA" w14:textId="42DFA058" w:rsidR="00235D9D" w:rsidRPr="00D85C65" w:rsidRDefault="001C7AB7">
            <w:pPr>
              <w:rPr>
                <w:rFonts w:ascii="Times New Roman" w:hAnsi="Times New Roman"/>
                <w:b/>
                <w:sz w:val="24"/>
                <w:u w:val="single"/>
              </w:rPr>
            </w:pPr>
            <w:r w:rsidRPr="00D85C65">
              <w:rPr>
                <w:rFonts w:ascii="Times New Roman" w:hAnsi="Times New Roman"/>
                <w:b/>
                <w:sz w:val="24"/>
                <w:u w:val="single"/>
              </w:rPr>
              <w:t>EXPOZÍCIA PO ÚČINKOCH SUBSTITÚCIE CRM PRED UPLATNENÍM KONVERZNÝCH FAKTOROV</w:t>
            </w:r>
          </w:p>
          <w:p w14:paraId="0FA4A0EE" w14:textId="15D04973" w:rsidR="00235D9D" w:rsidRPr="00D85C65" w:rsidRDefault="001C7AB7">
            <w:pPr>
              <w:rPr>
                <w:rFonts w:ascii="Times New Roman" w:hAnsi="Times New Roman"/>
                <w:sz w:val="24"/>
              </w:rPr>
            </w:pPr>
            <w:r w:rsidRPr="00D85C65">
              <w:rPr>
                <w:rFonts w:ascii="Times New Roman" w:hAnsi="Times New Roman"/>
                <w:sz w:val="24"/>
              </w:rPr>
              <w:t>Expozícia zaradená do príslušného ratingového stupňa alebo skupiny dlžníkov po zohľadnení záporných tokov</w:t>
            </w:r>
            <w:r w:rsidR="00D85C65">
              <w:rPr>
                <w:rFonts w:ascii="Times New Roman" w:hAnsi="Times New Roman"/>
                <w:sz w:val="24"/>
              </w:rPr>
              <w:t xml:space="preserve"> a </w:t>
            </w:r>
            <w:r w:rsidRPr="00D85C65">
              <w:rPr>
                <w:rFonts w:ascii="Times New Roman" w:hAnsi="Times New Roman"/>
                <w:sz w:val="24"/>
              </w:rPr>
              <w:t>kladných tokov na základe postupov na zmierňovanie kreditného rizika</w:t>
            </w:r>
            <w:r w:rsidR="00D85C65">
              <w:rPr>
                <w:rFonts w:ascii="Times New Roman" w:hAnsi="Times New Roman"/>
                <w:sz w:val="24"/>
              </w:rPr>
              <w:t xml:space="preserve"> s </w:t>
            </w:r>
            <w:r w:rsidRPr="00D85C65">
              <w:rPr>
                <w:rFonts w:ascii="Times New Roman" w:hAnsi="Times New Roman"/>
                <w:sz w:val="24"/>
              </w:rPr>
              <w:t>účinkami substitúcie na expozíciu.</w:t>
            </w:r>
          </w:p>
        </w:tc>
      </w:tr>
      <w:tr w:rsidR="00235D9D" w:rsidRPr="00D85C65" w14:paraId="3BA745B3" w14:textId="77777777" w:rsidTr="00672D2A">
        <w:tc>
          <w:tcPr>
            <w:tcW w:w="1188" w:type="dxa"/>
          </w:tcPr>
          <w:p w14:paraId="5B205B4C" w14:textId="77777777" w:rsidR="00235D9D" w:rsidRPr="00D85C65" w:rsidRDefault="001C7AB7">
            <w:pPr>
              <w:rPr>
                <w:rFonts w:ascii="Times New Roman" w:hAnsi="Times New Roman"/>
                <w:sz w:val="24"/>
              </w:rPr>
            </w:pPr>
            <w:r w:rsidRPr="00D85C65">
              <w:rPr>
                <w:rFonts w:ascii="Times New Roman" w:hAnsi="Times New Roman"/>
                <w:sz w:val="24"/>
              </w:rPr>
              <w:lastRenderedPageBreak/>
              <w:t>100, 120</w:t>
            </w:r>
          </w:p>
        </w:tc>
        <w:tc>
          <w:tcPr>
            <w:tcW w:w="8843" w:type="dxa"/>
          </w:tcPr>
          <w:p w14:paraId="177FCF04" w14:textId="77777777" w:rsid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Z čoho: podsúvahové položky</w:t>
            </w:r>
          </w:p>
          <w:p w14:paraId="6556527C" w14:textId="27F9069F" w:rsidR="00235D9D" w:rsidRPr="00D85C65" w:rsidRDefault="001C7AB7">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vzoru CR-SA.</w:t>
            </w:r>
          </w:p>
        </w:tc>
      </w:tr>
      <w:tr w:rsidR="00235D9D" w:rsidRPr="00D85C65" w14:paraId="062B60D4" w14:textId="77777777" w:rsidTr="00672D2A">
        <w:tc>
          <w:tcPr>
            <w:tcW w:w="1188" w:type="dxa"/>
          </w:tcPr>
          <w:p w14:paraId="1B29B806" w14:textId="77777777" w:rsidR="00235D9D" w:rsidRPr="00D85C65" w:rsidRDefault="001C7AB7">
            <w:pPr>
              <w:rPr>
                <w:rFonts w:ascii="Times New Roman" w:hAnsi="Times New Roman"/>
                <w:sz w:val="24"/>
              </w:rPr>
            </w:pPr>
            <w:r w:rsidRPr="00D85C65">
              <w:rPr>
                <w:rFonts w:ascii="Times New Roman" w:hAnsi="Times New Roman"/>
                <w:sz w:val="24"/>
              </w:rPr>
              <w:t>110</w:t>
            </w:r>
          </w:p>
        </w:tc>
        <w:tc>
          <w:tcPr>
            <w:tcW w:w="8843" w:type="dxa"/>
          </w:tcPr>
          <w:p w14:paraId="2A858969"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HODNOTA EXPOZÍCIE</w:t>
            </w:r>
          </w:p>
          <w:p w14:paraId="5FF542B5" w14:textId="429FA1A4" w:rsidR="00235D9D" w:rsidRPr="00D85C65" w:rsidRDefault="001C7AB7">
            <w:pPr>
              <w:rPr>
                <w:rFonts w:ascii="Times New Roman" w:hAnsi="Times New Roman"/>
                <w:sz w:val="24"/>
              </w:rPr>
            </w:pPr>
            <w:r w:rsidRPr="00D85C65">
              <w:rPr>
                <w:rFonts w:ascii="Times New Roman" w:hAnsi="Times New Roman"/>
                <w:sz w:val="24"/>
              </w:rPr>
              <w:t>Vykazuje sa hodnota expozície určená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166 CRR</w:t>
            </w:r>
            <w:r w:rsidR="00D85C65">
              <w:rPr>
                <w:rFonts w:ascii="Times New Roman" w:hAnsi="Times New Roman"/>
                <w:sz w:val="24"/>
              </w:rPr>
              <w:t xml:space="preserve"> a </w:t>
            </w:r>
            <w:r w:rsidRPr="00D85C65">
              <w:rPr>
                <w:rFonts w:ascii="Times New Roman" w:hAnsi="Times New Roman"/>
                <w:sz w:val="24"/>
              </w:rPr>
              <w:t>článkom 230 ods. 1 druhou vetou CRR.</w:t>
            </w:r>
          </w:p>
          <w:p w14:paraId="5F0CF11E" w14:textId="4D97623C" w:rsidR="00235D9D" w:rsidRPr="00D85C65" w:rsidRDefault="001C7AB7">
            <w:pPr>
              <w:rPr>
                <w:rFonts w:ascii="Times New Roman" w:hAnsi="Times New Roman"/>
                <w:sz w:val="24"/>
              </w:rPr>
            </w:pPr>
            <w:r w:rsidRPr="00D85C65">
              <w:rPr>
                <w:rFonts w:ascii="Times New Roman" w:hAnsi="Times New Roman"/>
                <w:sz w:val="24"/>
              </w:rPr>
              <w:t>Pre nástroje uvedené</w:t>
            </w:r>
            <w:r w:rsidR="00D85C65">
              <w:rPr>
                <w:rFonts w:ascii="Times New Roman" w:hAnsi="Times New Roman"/>
                <w:sz w:val="24"/>
              </w:rPr>
              <w:t xml:space="preserve"> v </w:t>
            </w:r>
            <w:r w:rsidRPr="00D85C65">
              <w:rPr>
                <w:rFonts w:ascii="Times New Roman" w:hAnsi="Times New Roman"/>
                <w:sz w:val="24"/>
              </w:rPr>
              <w:t>prílohe I sa uplatňujú kreditné konverzné faktory (článok 166 ods. 8, 9</w:t>
            </w:r>
            <w:r w:rsidR="00D85C65">
              <w:rPr>
                <w:rFonts w:ascii="Times New Roman" w:hAnsi="Times New Roman"/>
                <w:sz w:val="24"/>
              </w:rPr>
              <w:t xml:space="preserve"> a </w:t>
            </w:r>
            <w:r w:rsidRPr="00D85C65">
              <w:rPr>
                <w:rFonts w:ascii="Times New Roman" w:hAnsi="Times New Roman"/>
                <w:sz w:val="24"/>
              </w:rPr>
              <w:t>10 CRR) bez ohľadu na prístup, ktorý si inštitúcia zvolila.</w:t>
            </w:r>
          </w:p>
          <w:p w14:paraId="0E8B0429" w14:textId="17F44BE5" w:rsidR="00235D9D" w:rsidRPr="00D85C65" w:rsidRDefault="001C7AB7">
            <w:pPr>
              <w:rPr>
                <w:rFonts w:ascii="Times New Roman" w:hAnsi="Times New Roman"/>
                <w:sz w:val="24"/>
              </w:rPr>
            </w:pPr>
            <w:r w:rsidRPr="00D85C65">
              <w:rPr>
                <w:rStyle w:val="InstructionsTabelleText"/>
                <w:rFonts w:ascii="Times New Roman" w:hAnsi="Times New Roman"/>
                <w:sz w:val="24"/>
              </w:rPr>
              <w:t>Pre riadky 040 až 060 (transakcie spočívajúce vo financovaní cenných papierov, deriváty</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transakcie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dlhou dobou vyrovnania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expozície</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dohôd</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krížovom vzájomnom započítavaní produktov) so zreteľom na tretiu časť hlavu II kapitolu 6 CRR je hodnota expozície rovnaká ako hodnota kreditného rizika protistrany vypočítaná</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treťou časťou hlavou II kapitolou 6 oddielmi 3 až 7 CRR. Uvedené hodnoty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stĺpci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nie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130 „Z čoho: vyplývajúce</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kreditného rizika protistrany“.</w:t>
            </w:r>
          </w:p>
        </w:tc>
      </w:tr>
      <w:tr w:rsidR="00235D9D" w:rsidRPr="00D85C65" w14:paraId="4A4D8CFE" w14:textId="77777777" w:rsidTr="00672D2A">
        <w:tc>
          <w:tcPr>
            <w:tcW w:w="1188" w:type="dxa"/>
          </w:tcPr>
          <w:p w14:paraId="492E66E1" w14:textId="77777777" w:rsidR="00235D9D" w:rsidRPr="00D85C65" w:rsidRDefault="001C7AB7">
            <w:pPr>
              <w:rPr>
                <w:rFonts w:ascii="Times New Roman" w:hAnsi="Times New Roman"/>
                <w:sz w:val="24"/>
              </w:rPr>
            </w:pPr>
            <w:r w:rsidRPr="00D85C65">
              <w:rPr>
                <w:rFonts w:ascii="Times New Roman" w:hAnsi="Times New Roman"/>
                <w:sz w:val="24"/>
              </w:rPr>
              <w:t>130</w:t>
            </w:r>
          </w:p>
        </w:tc>
        <w:tc>
          <w:tcPr>
            <w:tcW w:w="8843" w:type="dxa"/>
          </w:tcPr>
          <w:p w14:paraId="2A092D28" w14:textId="77777777" w:rsid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Z čoho: vyplývajúce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kreditného rizika protistrany</w:t>
            </w:r>
          </w:p>
          <w:p w14:paraId="335E78D0" w14:textId="1D358A59" w:rsidR="00235D9D" w:rsidRPr="00D85C65" w:rsidRDefault="001C7AB7">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vzoru CR SA.</w:t>
            </w:r>
            <w:r w:rsidRPr="00D85C65">
              <w:rPr>
                <w:rStyle w:val="InstructionsTabelleText"/>
                <w:rFonts w:ascii="Times New Roman" w:hAnsi="Times New Roman"/>
                <w:sz w:val="24"/>
              </w:rPr>
              <w:t xml:space="preserve"> </w:t>
            </w:r>
          </w:p>
        </w:tc>
      </w:tr>
      <w:tr w:rsidR="00235D9D" w:rsidRPr="00D85C65" w14:paraId="60CE02FA" w14:textId="77777777" w:rsidTr="00672D2A">
        <w:tc>
          <w:tcPr>
            <w:tcW w:w="1188" w:type="dxa"/>
          </w:tcPr>
          <w:p w14:paraId="1C26C66A" w14:textId="77777777" w:rsidR="00235D9D" w:rsidRPr="00D85C65" w:rsidRDefault="001C7AB7">
            <w:pPr>
              <w:rPr>
                <w:rFonts w:ascii="Times New Roman" w:hAnsi="Times New Roman"/>
                <w:sz w:val="24"/>
              </w:rPr>
            </w:pPr>
            <w:r w:rsidRPr="00D85C65">
              <w:rPr>
                <w:rFonts w:ascii="Times New Roman" w:hAnsi="Times New Roman"/>
                <w:sz w:val="24"/>
              </w:rPr>
              <w:t>140</w:t>
            </w:r>
          </w:p>
        </w:tc>
        <w:tc>
          <w:tcPr>
            <w:tcW w:w="8843" w:type="dxa"/>
          </w:tcPr>
          <w:p w14:paraId="169697B1"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Z ČOHO: VEĽKÉ SUBJEKTY FINANČNÉHO SEKTORA A NEREGULOVANÉ FINANČNÉ SUBJEKTY</w:t>
            </w:r>
          </w:p>
          <w:p w14:paraId="2A462A35" w14:textId="196D55D7" w:rsidR="00235D9D" w:rsidRPr="00D85C65" w:rsidRDefault="001C7AB7">
            <w:pPr>
              <w:rPr>
                <w:rFonts w:ascii="Times New Roman" w:hAnsi="Times New Roman"/>
                <w:b/>
                <w:sz w:val="24"/>
                <w:u w:val="single"/>
              </w:rPr>
            </w:pPr>
            <w:r w:rsidRPr="00D85C65">
              <w:rPr>
                <w:rFonts w:ascii="Times New Roman" w:hAnsi="Times New Roman"/>
                <w:sz w:val="24"/>
              </w:rPr>
              <w:t>Rozčlenenie hodnoty expozície pre všetky expozície voči subjektom uvedeným</w:t>
            </w:r>
            <w:r w:rsidR="00D85C65">
              <w:rPr>
                <w:rFonts w:ascii="Times New Roman" w:hAnsi="Times New Roman"/>
                <w:sz w:val="24"/>
              </w:rPr>
              <w:t xml:space="preserve"> v </w:t>
            </w:r>
            <w:r w:rsidRPr="00D85C65">
              <w:rPr>
                <w:rFonts w:ascii="Times New Roman" w:hAnsi="Times New Roman"/>
                <w:sz w:val="24"/>
              </w:rPr>
              <w:t>článku 142 ods. 4</w:t>
            </w:r>
            <w:r w:rsidR="00D85C65">
              <w:rPr>
                <w:rFonts w:ascii="Times New Roman" w:hAnsi="Times New Roman"/>
                <w:sz w:val="24"/>
              </w:rPr>
              <w:t xml:space="preserve"> a </w:t>
            </w:r>
            <w:r w:rsidRPr="00D85C65">
              <w:rPr>
                <w:rFonts w:ascii="Times New Roman" w:hAnsi="Times New Roman"/>
                <w:sz w:val="24"/>
              </w:rPr>
              <w:t>5 CRR, na ktoré sa uplatňuje vyššia korelácia určená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153 ods. 2 CRR.</w:t>
            </w:r>
          </w:p>
        </w:tc>
      </w:tr>
      <w:tr w:rsidR="00235D9D" w:rsidRPr="00D85C65" w14:paraId="4918FA04" w14:textId="77777777" w:rsidTr="00672D2A">
        <w:trPr>
          <w:trHeight w:val="2109"/>
        </w:trPr>
        <w:tc>
          <w:tcPr>
            <w:tcW w:w="1188" w:type="dxa"/>
          </w:tcPr>
          <w:p w14:paraId="5A5514D9" w14:textId="77777777" w:rsidR="00235D9D" w:rsidRPr="00D85C65" w:rsidDel="001D4BE0" w:rsidRDefault="001C7AB7">
            <w:pPr>
              <w:rPr>
                <w:rFonts w:ascii="Times New Roman" w:hAnsi="Times New Roman"/>
                <w:sz w:val="24"/>
              </w:rPr>
            </w:pPr>
            <w:r w:rsidRPr="00D85C65">
              <w:rPr>
                <w:rFonts w:ascii="Times New Roman" w:hAnsi="Times New Roman"/>
                <w:sz w:val="24"/>
              </w:rPr>
              <w:t>150 – 210</w:t>
            </w:r>
          </w:p>
        </w:tc>
        <w:tc>
          <w:tcPr>
            <w:tcW w:w="8843" w:type="dxa"/>
          </w:tcPr>
          <w:p w14:paraId="0D0DB57B" w14:textId="7B8686A3" w:rsidR="00235D9D" w:rsidRPr="00D85C65" w:rsidRDefault="001C7AB7">
            <w:pPr>
              <w:rPr>
                <w:rFonts w:ascii="Times New Roman" w:hAnsi="Times New Roman"/>
                <w:b/>
                <w:sz w:val="24"/>
                <w:u w:val="single"/>
              </w:rPr>
            </w:pPr>
            <w:r w:rsidRPr="00D85C65">
              <w:rPr>
                <w:rFonts w:ascii="Times New Roman" w:hAnsi="Times New Roman"/>
                <w:b/>
                <w:sz w:val="24"/>
                <w:u w:val="single"/>
              </w:rPr>
              <w:t>POSTUPY NA ZMIERŇOVANIE KREDITNÉHO RIZIKA ZOHĽADNENÉ</w:t>
            </w:r>
            <w:r w:rsidR="00D85C65">
              <w:rPr>
                <w:rFonts w:ascii="Times New Roman" w:hAnsi="Times New Roman"/>
                <w:b/>
                <w:sz w:val="24"/>
                <w:u w:val="single"/>
              </w:rPr>
              <w:t xml:space="preserve"> V </w:t>
            </w:r>
            <w:r w:rsidRPr="00D85C65">
              <w:rPr>
                <w:rFonts w:ascii="Times New Roman" w:hAnsi="Times New Roman"/>
                <w:b/>
                <w:sz w:val="24"/>
                <w:u w:val="single"/>
              </w:rPr>
              <w:t>ODHADOCH LGD BEZ PRÍSTUPU DVOJNÁSOBNÉHO ZLYHANIA</w:t>
            </w:r>
          </w:p>
          <w:p w14:paraId="61F7F1B2" w14:textId="079D2A3B" w:rsidR="00235D9D" w:rsidRPr="00D85C65" w:rsidRDefault="001C7AB7">
            <w:pPr>
              <w:rPr>
                <w:rFonts w:ascii="Times New Roman" w:hAnsi="Times New Roman"/>
                <w:sz w:val="24"/>
              </w:rPr>
            </w:pPr>
            <w:r w:rsidRPr="00D85C65">
              <w:rPr>
                <w:rFonts w:ascii="Times New Roman" w:hAnsi="Times New Roman"/>
                <w:sz w:val="24"/>
              </w:rPr>
              <w:t>Postupy na zmierňovanie kreditného rizika, ktoré ovplyvňujú LGD</w:t>
            </w:r>
            <w:r w:rsidR="00D85C65">
              <w:rPr>
                <w:rFonts w:ascii="Times New Roman" w:hAnsi="Times New Roman"/>
                <w:sz w:val="24"/>
              </w:rPr>
              <w:t xml:space="preserve"> v </w:t>
            </w:r>
            <w:r w:rsidRPr="00D85C65">
              <w:rPr>
                <w:rFonts w:ascii="Times New Roman" w:hAnsi="Times New Roman"/>
                <w:sz w:val="24"/>
              </w:rPr>
              <w:t>dôsledku uplatnenia účinku substitúcie postupov na zmierňovanie kreditného rizika, sa nezahŕňajú do týchto stĺpcov.</w:t>
            </w:r>
          </w:p>
          <w:p w14:paraId="0000147B" w14:textId="5EB92773" w:rsidR="00235D9D" w:rsidRPr="00D85C65" w:rsidRDefault="00C61FF5">
            <w:pPr>
              <w:rPr>
                <w:rFonts w:ascii="Times New Roman" w:hAnsi="Times New Roman"/>
                <w:sz w:val="24"/>
              </w:rPr>
            </w:pPr>
            <w:r w:rsidRPr="00D85C65">
              <w:rPr>
                <w:rFonts w:ascii="Times New Roman" w:hAnsi="Times New Roman"/>
                <w:sz w:val="24"/>
              </w:rPr>
              <w:t>Keď sa nepoužívajú vlastné odhady LGD, zohľadní sa článok 228 ods. 2, článok 230 ods. 1</w:t>
            </w:r>
            <w:r w:rsidR="00D85C65">
              <w:rPr>
                <w:rFonts w:ascii="Times New Roman" w:hAnsi="Times New Roman"/>
                <w:sz w:val="24"/>
              </w:rPr>
              <w:t xml:space="preserve"> a </w:t>
            </w:r>
            <w:r w:rsidRPr="00D85C65">
              <w:rPr>
                <w:rFonts w:ascii="Times New Roman" w:hAnsi="Times New Roman"/>
                <w:sz w:val="24"/>
              </w:rPr>
              <w:t>2</w:t>
            </w:r>
            <w:r w:rsidR="00D85C65">
              <w:rPr>
                <w:rFonts w:ascii="Times New Roman" w:hAnsi="Times New Roman"/>
                <w:sz w:val="24"/>
              </w:rPr>
              <w:t xml:space="preserve"> a </w:t>
            </w:r>
            <w:r w:rsidRPr="00D85C65">
              <w:rPr>
                <w:rFonts w:ascii="Times New Roman" w:hAnsi="Times New Roman"/>
                <w:sz w:val="24"/>
              </w:rPr>
              <w:t>článok 231 CRR.</w:t>
            </w:r>
          </w:p>
          <w:p w14:paraId="2AF3BEAB" w14:textId="77777777" w:rsidR="00D85C65" w:rsidRDefault="00C61FF5">
            <w:pPr>
              <w:rPr>
                <w:rFonts w:ascii="Times New Roman" w:hAnsi="Times New Roman"/>
                <w:sz w:val="24"/>
              </w:rPr>
            </w:pPr>
            <w:r w:rsidRPr="00D85C65">
              <w:rPr>
                <w:rFonts w:ascii="Times New Roman" w:hAnsi="Times New Roman"/>
                <w:sz w:val="24"/>
              </w:rPr>
              <w:t>Keď sa používajú vlastné odhady LGD</w:t>
            </w:r>
            <w:r w:rsidR="00D85C65">
              <w:rPr>
                <w:rFonts w:ascii="Times New Roman" w:hAnsi="Times New Roman"/>
                <w:sz w:val="24"/>
              </w:rPr>
              <w:t>:</w:t>
            </w:r>
          </w:p>
          <w:p w14:paraId="101C7ABE" w14:textId="18C7A323" w:rsidR="00235D9D" w:rsidRPr="00D85C65" w:rsidRDefault="001C7AB7">
            <w:pPr>
              <w:rPr>
                <w:rFonts w:ascii="Times New Roman" w:hAnsi="Times New Roman"/>
                <w:sz w:val="24"/>
              </w:rPr>
            </w:pPr>
            <w:r w:rsidRPr="00D85C65">
              <w:rPr>
                <w:rFonts w:ascii="Times New Roman" w:hAnsi="Times New Roman"/>
                <w:sz w:val="24"/>
              </w:rPr>
              <w:t>– pokiaľ ide</w:t>
            </w:r>
            <w:r w:rsidR="00D85C65">
              <w:rPr>
                <w:rFonts w:ascii="Times New Roman" w:hAnsi="Times New Roman"/>
                <w:sz w:val="24"/>
              </w:rPr>
              <w:t xml:space="preserve"> o </w:t>
            </w:r>
            <w:r w:rsidRPr="00D85C65">
              <w:rPr>
                <w:rFonts w:ascii="Times New Roman" w:hAnsi="Times New Roman"/>
                <w:sz w:val="24"/>
              </w:rPr>
              <w:t>nefinancované zabezpečenie,</w:t>
            </w:r>
            <w:r w:rsidR="00D85C65">
              <w:rPr>
                <w:rFonts w:ascii="Times New Roman" w:hAnsi="Times New Roman"/>
                <w:sz w:val="24"/>
              </w:rPr>
              <w:t xml:space="preserve"> v </w:t>
            </w:r>
            <w:r w:rsidRPr="00D85C65">
              <w:rPr>
                <w:rFonts w:ascii="Times New Roman" w:hAnsi="Times New Roman"/>
                <w:sz w:val="24"/>
              </w:rPr>
              <w:t>prípade expozícií voči ústredným vládam, centrálnym bankám, inštitúciám</w:t>
            </w:r>
            <w:r w:rsidR="00D85C65">
              <w:rPr>
                <w:rFonts w:ascii="Times New Roman" w:hAnsi="Times New Roman"/>
                <w:sz w:val="24"/>
              </w:rPr>
              <w:t xml:space="preserve"> a </w:t>
            </w:r>
            <w:r w:rsidRPr="00D85C65">
              <w:rPr>
                <w:rFonts w:ascii="Times New Roman" w:hAnsi="Times New Roman"/>
                <w:sz w:val="24"/>
              </w:rPr>
              <w:t>podnikateľským subjektom sa zohľadní článok 161 ods. 3 CRR. Pre retailové expozície sa zohľadní článok 164 ods. 2 CRR.</w:t>
            </w:r>
          </w:p>
          <w:p w14:paraId="2F9D858B" w14:textId="141EA8DB" w:rsidR="00235D9D" w:rsidRPr="00D85C65" w:rsidRDefault="001C7AB7">
            <w:pPr>
              <w:rPr>
                <w:rFonts w:ascii="Times New Roman" w:hAnsi="Times New Roman"/>
                <w:b/>
                <w:sz w:val="24"/>
                <w:u w:val="single"/>
              </w:rPr>
            </w:pPr>
            <w:r w:rsidRPr="00D85C65">
              <w:rPr>
                <w:rFonts w:ascii="Times New Roman" w:hAnsi="Times New Roman"/>
                <w:sz w:val="24"/>
              </w:rPr>
              <w:t>– pokiaľ ide financované zabezpečenie,</w:t>
            </w:r>
            <w:r w:rsidR="00D85C65">
              <w:rPr>
                <w:rFonts w:ascii="Times New Roman" w:hAnsi="Times New Roman"/>
                <w:sz w:val="24"/>
              </w:rPr>
              <w:t xml:space="preserve"> v </w:t>
            </w:r>
            <w:r w:rsidRPr="00D85C65">
              <w:rPr>
                <w:rFonts w:ascii="Times New Roman" w:hAnsi="Times New Roman"/>
                <w:sz w:val="24"/>
              </w:rPr>
              <w:t>odhadoch LGD podľa článku 181 ods. 1 písm. e)</w:t>
            </w:r>
            <w:r w:rsidR="00D85C65">
              <w:rPr>
                <w:rFonts w:ascii="Times New Roman" w:hAnsi="Times New Roman"/>
                <w:sz w:val="24"/>
              </w:rPr>
              <w:t xml:space="preserve"> a </w:t>
            </w:r>
            <w:r w:rsidRPr="00D85C65">
              <w:rPr>
                <w:rFonts w:ascii="Times New Roman" w:hAnsi="Times New Roman"/>
                <w:sz w:val="24"/>
              </w:rPr>
              <w:t>písm. f) CRR sa zohľadňuje kolaterál.</w:t>
            </w:r>
          </w:p>
        </w:tc>
      </w:tr>
      <w:tr w:rsidR="00235D9D" w:rsidRPr="00D85C65" w14:paraId="2B9CA2B6" w14:textId="77777777" w:rsidTr="00672D2A">
        <w:trPr>
          <w:trHeight w:val="957"/>
        </w:trPr>
        <w:tc>
          <w:tcPr>
            <w:tcW w:w="1188" w:type="dxa"/>
          </w:tcPr>
          <w:p w14:paraId="5E3C4118" w14:textId="77777777" w:rsidR="00235D9D" w:rsidRPr="00D85C65" w:rsidRDefault="001C7AB7">
            <w:pPr>
              <w:rPr>
                <w:rFonts w:ascii="Times New Roman" w:hAnsi="Times New Roman"/>
                <w:sz w:val="24"/>
              </w:rPr>
            </w:pPr>
            <w:r w:rsidRPr="00D85C65">
              <w:rPr>
                <w:rFonts w:ascii="Times New Roman" w:hAnsi="Times New Roman"/>
                <w:sz w:val="24"/>
              </w:rPr>
              <w:t>150</w:t>
            </w:r>
          </w:p>
        </w:tc>
        <w:tc>
          <w:tcPr>
            <w:tcW w:w="8843" w:type="dxa"/>
          </w:tcPr>
          <w:p w14:paraId="17C43770" w14:textId="77777777" w:rsidR="00D85C65" w:rsidRDefault="001C7AB7">
            <w:pPr>
              <w:rPr>
                <w:rFonts w:ascii="Times New Roman" w:hAnsi="Times New Roman"/>
                <w:b/>
                <w:sz w:val="24"/>
                <w:u w:val="single"/>
              </w:rPr>
            </w:pPr>
            <w:r w:rsidRPr="00D85C65">
              <w:rPr>
                <w:rFonts w:ascii="Times New Roman" w:hAnsi="Times New Roman"/>
                <w:b/>
                <w:sz w:val="24"/>
                <w:u w:val="single"/>
              </w:rPr>
              <w:t>ZÁRUKY</w:t>
            </w:r>
          </w:p>
          <w:p w14:paraId="5CDD29E2" w14:textId="3D16338B" w:rsidR="00235D9D" w:rsidRPr="00D85C65" w:rsidRDefault="001C7AB7">
            <w:pPr>
              <w:jc w:val="left"/>
              <w:rPr>
                <w:rFonts w:ascii="Times New Roman" w:hAnsi="Times New Roman"/>
                <w:b/>
                <w:sz w:val="24"/>
                <w:u w:val="single"/>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stĺpcu 040.</w:t>
            </w:r>
          </w:p>
        </w:tc>
      </w:tr>
      <w:tr w:rsidR="00235D9D" w:rsidRPr="00D85C65" w14:paraId="6B562DDD" w14:textId="77777777" w:rsidTr="00672D2A">
        <w:tc>
          <w:tcPr>
            <w:tcW w:w="1188" w:type="dxa"/>
          </w:tcPr>
          <w:p w14:paraId="331AF144" w14:textId="77777777" w:rsidR="00235D9D" w:rsidRPr="00D85C65" w:rsidRDefault="001C7AB7">
            <w:pPr>
              <w:rPr>
                <w:rFonts w:ascii="Times New Roman" w:hAnsi="Times New Roman"/>
                <w:sz w:val="24"/>
              </w:rPr>
            </w:pPr>
            <w:r w:rsidRPr="00D85C65">
              <w:rPr>
                <w:rFonts w:ascii="Times New Roman" w:hAnsi="Times New Roman"/>
                <w:sz w:val="24"/>
              </w:rPr>
              <w:t>160</w:t>
            </w:r>
          </w:p>
        </w:tc>
        <w:tc>
          <w:tcPr>
            <w:tcW w:w="8843" w:type="dxa"/>
          </w:tcPr>
          <w:p w14:paraId="63208056" w14:textId="77777777" w:rsidR="00D85C65" w:rsidRDefault="001C7AB7">
            <w:pPr>
              <w:rPr>
                <w:rFonts w:ascii="Times New Roman" w:hAnsi="Times New Roman"/>
                <w:b/>
                <w:sz w:val="24"/>
                <w:u w:val="single"/>
              </w:rPr>
            </w:pPr>
            <w:r w:rsidRPr="00D85C65">
              <w:rPr>
                <w:rFonts w:ascii="Times New Roman" w:hAnsi="Times New Roman"/>
                <w:b/>
                <w:sz w:val="24"/>
                <w:u w:val="single"/>
              </w:rPr>
              <w:t>KREDITNÉ DERIVÁTY</w:t>
            </w:r>
          </w:p>
          <w:p w14:paraId="2F6FB3EC" w14:textId="5D8F724B" w:rsidR="00235D9D" w:rsidRPr="00D85C65" w:rsidRDefault="001C7AB7">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stĺpcu 050.</w:t>
            </w:r>
          </w:p>
        </w:tc>
      </w:tr>
      <w:tr w:rsidR="00235D9D" w:rsidRPr="00D85C65" w14:paraId="5F49DF29" w14:textId="77777777" w:rsidTr="00672D2A">
        <w:tc>
          <w:tcPr>
            <w:tcW w:w="1188" w:type="dxa"/>
          </w:tcPr>
          <w:p w14:paraId="642A5BE9" w14:textId="77777777" w:rsidR="00235D9D" w:rsidRPr="00D85C65" w:rsidRDefault="001C7AB7">
            <w:pPr>
              <w:rPr>
                <w:rFonts w:ascii="Times New Roman" w:hAnsi="Times New Roman"/>
                <w:sz w:val="24"/>
              </w:rPr>
            </w:pPr>
            <w:r w:rsidRPr="00D85C65">
              <w:rPr>
                <w:rFonts w:ascii="Times New Roman" w:hAnsi="Times New Roman"/>
                <w:sz w:val="24"/>
              </w:rPr>
              <w:lastRenderedPageBreak/>
              <w:t>170</w:t>
            </w:r>
          </w:p>
        </w:tc>
        <w:tc>
          <w:tcPr>
            <w:tcW w:w="8843" w:type="dxa"/>
          </w:tcPr>
          <w:p w14:paraId="1851023E" w14:textId="77777777" w:rsidR="00D85C65" w:rsidRDefault="001C7AB7">
            <w:pPr>
              <w:rPr>
                <w:rFonts w:ascii="Times New Roman" w:hAnsi="Times New Roman"/>
                <w:b/>
                <w:sz w:val="24"/>
                <w:u w:val="single"/>
              </w:rPr>
            </w:pPr>
            <w:r w:rsidRPr="00D85C65">
              <w:rPr>
                <w:rFonts w:ascii="Times New Roman" w:hAnsi="Times New Roman"/>
                <w:b/>
                <w:sz w:val="24"/>
                <w:u w:val="single"/>
              </w:rPr>
              <w:t>POUŽÍVAJÚ SA VLASTNÉ ODHADY LGD: INÉ FINANCOVANÉ ZABEZPEČENIE</w:t>
            </w:r>
          </w:p>
          <w:p w14:paraId="67714F1F" w14:textId="70E83BF4"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Relevantná hodnota použitá</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internom modelovaní inštitúcie.</w:t>
            </w:r>
          </w:p>
          <w:p w14:paraId="00F55851" w14:textId="3404B98B" w:rsidR="00235D9D" w:rsidRPr="00D85C65" w:rsidRDefault="001C7AB7">
            <w:pPr>
              <w:rPr>
                <w:rFonts w:ascii="Times New Roman" w:hAnsi="Times New Roman"/>
                <w:sz w:val="24"/>
              </w:rPr>
            </w:pPr>
            <w:r w:rsidRPr="00D85C65">
              <w:rPr>
                <w:rFonts w:ascii="Times New Roman" w:hAnsi="Times New Roman"/>
                <w:sz w:val="24"/>
              </w:rPr>
              <w:t>Nástroje na zmierňovanie kreditného rizika, ktoré sú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kritériami stanovenými</w:t>
            </w:r>
            <w:r w:rsidR="00D85C65">
              <w:rPr>
                <w:rFonts w:ascii="Times New Roman" w:hAnsi="Times New Roman"/>
                <w:sz w:val="24"/>
              </w:rPr>
              <w:t xml:space="preserve"> v </w:t>
            </w:r>
            <w:r w:rsidRPr="00D85C65">
              <w:rPr>
                <w:rFonts w:ascii="Times New Roman" w:hAnsi="Times New Roman"/>
                <w:sz w:val="24"/>
              </w:rPr>
              <w:t xml:space="preserve">článku 212 CRR. </w:t>
            </w:r>
          </w:p>
        </w:tc>
      </w:tr>
      <w:tr w:rsidR="00235D9D" w:rsidRPr="00D85C65" w14:paraId="2B6B5990" w14:textId="77777777" w:rsidTr="00672D2A">
        <w:tc>
          <w:tcPr>
            <w:tcW w:w="1188" w:type="dxa"/>
          </w:tcPr>
          <w:p w14:paraId="30030987" w14:textId="77777777" w:rsidR="00235D9D" w:rsidRPr="00D85C65" w:rsidRDefault="001C7AB7">
            <w:pPr>
              <w:rPr>
                <w:rFonts w:ascii="Times New Roman" w:hAnsi="Times New Roman"/>
                <w:sz w:val="24"/>
              </w:rPr>
            </w:pPr>
            <w:r w:rsidRPr="00D85C65">
              <w:rPr>
                <w:rFonts w:ascii="Times New Roman" w:hAnsi="Times New Roman"/>
                <w:sz w:val="24"/>
              </w:rPr>
              <w:t>180</w:t>
            </w:r>
          </w:p>
        </w:tc>
        <w:tc>
          <w:tcPr>
            <w:tcW w:w="8843" w:type="dxa"/>
          </w:tcPr>
          <w:p w14:paraId="7F9158FB"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PRÍPUSTNÝ FINANČNÝ KOLATERÁL</w:t>
            </w:r>
          </w:p>
          <w:p w14:paraId="060F8654" w14:textId="007668B1" w:rsidR="00235D9D" w:rsidRPr="00D85C65" w:rsidRDefault="001C7AB7">
            <w:pPr>
              <w:rPr>
                <w:rFonts w:ascii="Times New Roman" w:hAnsi="Times New Roman"/>
                <w:sz w:val="24"/>
              </w:rPr>
            </w:pPr>
            <w:r w:rsidRPr="00D85C65">
              <w:rPr>
                <w:rFonts w:ascii="Times New Roman" w:hAnsi="Times New Roman"/>
                <w:sz w:val="24"/>
              </w:rPr>
              <w:t>Pre operácie obchodnej knihy sa zahrnú finančné nástroje</w:t>
            </w:r>
            <w:r w:rsidR="00D85C65">
              <w:rPr>
                <w:rFonts w:ascii="Times New Roman" w:hAnsi="Times New Roman"/>
                <w:sz w:val="24"/>
              </w:rPr>
              <w:t xml:space="preserve"> a </w:t>
            </w:r>
            <w:r w:rsidRPr="00D85C65">
              <w:rPr>
                <w:rFonts w:ascii="Times New Roman" w:hAnsi="Times New Roman"/>
                <w:sz w:val="24"/>
              </w:rPr>
              <w:t>komodity prípustné pre expozície</w:t>
            </w:r>
            <w:r w:rsidR="00D85C65">
              <w:rPr>
                <w:rFonts w:ascii="Times New Roman" w:hAnsi="Times New Roman"/>
                <w:sz w:val="24"/>
              </w:rPr>
              <w:t xml:space="preserve"> v </w:t>
            </w:r>
            <w:r w:rsidRPr="00D85C65">
              <w:rPr>
                <w:rFonts w:ascii="Times New Roman" w:hAnsi="Times New Roman"/>
                <w:sz w:val="24"/>
              </w:rPr>
              <w:t>obchodnej knihe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299 ods. 2 písm. c) až f) CRR.</w:t>
            </w:r>
            <w:r w:rsidR="00D85C65">
              <w:rPr>
                <w:rFonts w:ascii="Times New Roman" w:hAnsi="Times New Roman"/>
                <w:sz w:val="24"/>
              </w:rPr>
              <w:t xml:space="preserve"> S </w:t>
            </w:r>
            <w:r w:rsidRPr="00D85C65">
              <w:rPr>
                <w:rFonts w:ascii="Times New Roman" w:hAnsi="Times New Roman"/>
                <w:sz w:val="24"/>
              </w:rPr>
              <w:t>dlhovými nástrojmi viazanými na úver</w:t>
            </w:r>
            <w:r w:rsidR="00D85C65">
              <w:rPr>
                <w:rFonts w:ascii="Times New Roman" w:hAnsi="Times New Roman"/>
                <w:sz w:val="24"/>
              </w:rPr>
              <w:t xml:space="preserve"> a </w:t>
            </w:r>
            <w:r w:rsidRPr="00D85C65">
              <w:rPr>
                <w:rFonts w:ascii="Times New Roman" w:hAnsi="Times New Roman"/>
                <w:sz w:val="24"/>
              </w:rPr>
              <w:t>vzájomným započítavaním</w:t>
            </w:r>
            <w:r w:rsidR="00D85C65">
              <w:rPr>
                <w:rFonts w:ascii="Times New Roman" w:hAnsi="Times New Roman"/>
                <w:sz w:val="24"/>
              </w:rPr>
              <w:t xml:space="preserve"> v </w:t>
            </w:r>
            <w:r w:rsidRPr="00D85C65">
              <w:rPr>
                <w:rFonts w:ascii="Times New Roman" w:hAnsi="Times New Roman"/>
                <w:sz w:val="24"/>
              </w:rPr>
              <w:t>súvahe sa podľa tretej časti hlavy II kapitoly 4 oddielu 4 CRR zaobchádza ako</w:t>
            </w:r>
            <w:r w:rsidR="00D85C65">
              <w:rPr>
                <w:rFonts w:ascii="Times New Roman" w:hAnsi="Times New Roman"/>
                <w:sz w:val="24"/>
              </w:rPr>
              <w:t xml:space="preserve"> s </w:t>
            </w:r>
            <w:r w:rsidRPr="00D85C65">
              <w:rPr>
                <w:rFonts w:ascii="Times New Roman" w:hAnsi="Times New Roman"/>
                <w:sz w:val="24"/>
              </w:rPr>
              <w:t>peňažným kolaterálom.</w:t>
            </w:r>
          </w:p>
          <w:p w14:paraId="1CA102C9" w14:textId="27FC7F5C" w:rsidR="00235D9D" w:rsidRPr="00D85C65" w:rsidRDefault="001C7AB7">
            <w:pPr>
              <w:rPr>
                <w:rFonts w:ascii="Times New Roman" w:hAnsi="Times New Roman"/>
                <w:sz w:val="24"/>
              </w:rPr>
            </w:pPr>
            <w:r w:rsidRPr="00D85C65">
              <w:rPr>
                <w:rFonts w:ascii="Times New Roman" w:hAnsi="Times New Roman"/>
                <w:sz w:val="24"/>
              </w:rPr>
              <w:t>Ak sa nepoužívajú vlastné odhady LGD, hodnoty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193 ods. 1 až 4</w:t>
            </w:r>
            <w:r w:rsidR="00D85C65">
              <w:rPr>
                <w:rFonts w:ascii="Times New Roman" w:hAnsi="Times New Roman"/>
                <w:sz w:val="24"/>
              </w:rPr>
              <w:t xml:space="preserve"> a </w:t>
            </w:r>
            <w:r w:rsidRPr="00D85C65">
              <w:rPr>
                <w:rFonts w:ascii="Times New Roman" w:hAnsi="Times New Roman"/>
                <w:sz w:val="24"/>
              </w:rPr>
              <w:t>článkom 194 ods. 1 CRR. Vykazuje sa upravená hodnota (Cvam), ako je stanovená</w:t>
            </w:r>
            <w:r w:rsidR="00D85C65">
              <w:rPr>
                <w:rFonts w:ascii="Times New Roman" w:hAnsi="Times New Roman"/>
                <w:sz w:val="24"/>
              </w:rPr>
              <w:t xml:space="preserve"> v </w:t>
            </w:r>
            <w:r w:rsidRPr="00D85C65">
              <w:rPr>
                <w:rFonts w:ascii="Times New Roman" w:hAnsi="Times New Roman"/>
                <w:sz w:val="24"/>
              </w:rPr>
              <w:t>článku 223 ods. 2 CRR.</w:t>
            </w:r>
          </w:p>
          <w:p w14:paraId="67F48A52" w14:textId="7546E90C" w:rsidR="00235D9D" w:rsidRPr="00D85C65" w:rsidRDefault="001C7AB7">
            <w:pPr>
              <w:rPr>
                <w:rFonts w:ascii="Times New Roman" w:hAnsi="Times New Roman"/>
                <w:b/>
                <w:sz w:val="24"/>
                <w:u w:val="single"/>
              </w:rPr>
            </w:pPr>
            <w:r w:rsidRPr="00D85C65">
              <w:rPr>
                <w:rFonts w:ascii="Times New Roman" w:hAnsi="Times New Roman"/>
                <w:sz w:val="24"/>
              </w:rPr>
              <w:t>Ak sa používajú vlastné odhady LGD,</w:t>
            </w:r>
            <w:r w:rsidR="00D85C65">
              <w:rPr>
                <w:rFonts w:ascii="Times New Roman" w:hAnsi="Times New Roman"/>
                <w:sz w:val="24"/>
              </w:rPr>
              <w:t xml:space="preserve"> v </w:t>
            </w:r>
            <w:r w:rsidRPr="00D85C65">
              <w:rPr>
                <w:rFonts w:ascii="Times New Roman" w:hAnsi="Times New Roman"/>
                <w:sz w:val="24"/>
              </w:rPr>
              <w:t>odhadoch LGD sa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181 ods. 1 písm. e)</w:t>
            </w:r>
            <w:r w:rsidR="00D85C65">
              <w:rPr>
                <w:rFonts w:ascii="Times New Roman" w:hAnsi="Times New Roman"/>
                <w:sz w:val="24"/>
              </w:rPr>
              <w:t xml:space="preserve"> a </w:t>
            </w:r>
            <w:r w:rsidRPr="00D85C65">
              <w:rPr>
                <w:rFonts w:ascii="Times New Roman" w:hAnsi="Times New Roman"/>
                <w:sz w:val="24"/>
              </w:rPr>
              <w:t>f) CRR zohľadňuje finančný kolaterál. Vykazovaná hodnota je odhadovaná trhová hodnota kolaterálu.</w:t>
            </w:r>
          </w:p>
        </w:tc>
      </w:tr>
      <w:tr w:rsidR="00235D9D" w:rsidRPr="00D85C65" w14:paraId="457D2C2B" w14:textId="77777777" w:rsidTr="00672D2A">
        <w:tc>
          <w:tcPr>
            <w:tcW w:w="1188" w:type="dxa"/>
          </w:tcPr>
          <w:p w14:paraId="5057A0C2" w14:textId="77777777" w:rsidR="00235D9D" w:rsidRPr="00D85C65" w:rsidDel="001D4BE0" w:rsidRDefault="001C7AB7">
            <w:pPr>
              <w:rPr>
                <w:rFonts w:ascii="Times New Roman" w:hAnsi="Times New Roman"/>
                <w:sz w:val="24"/>
              </w:rPr>
            </w:pPr>
            <w:r w:rsidRPr="00D85C65">
              <w:rPr>
                <w:rFonts w:ascii="Times New Roman" w:hAnsi="Times New Roman"/>
                <w:sz w:val="24"/>
              </w:rPr>
              <w:t>190 – 210</w:t>
            </w:r>
          </w:p>
        </w:tc>
        <w:tc>
          <w:tcPr>
            <w:tcW w:w="8843" w:type="dxa"/>
          </w:tcPr>
          <w:p w14:paraId="4CBF1C33"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INÝ PRÍPUSTNÝ KOLATERÁL</w:t>
            </w:r>
          </w:p>
          <w:p w14:paraId="5AA9B5AE" w14:textId="66294251" w:rsidR="00235D9D" w:rsidRPr="00D85C65" w:rsidRDefault="00C61FF5">
            <w:pPr>
              <w:rPr>
                <w:rFonts w:ascii="Times New Roman" w:hAnsi="Times New Roman"/>
                <w:sz w:val="24"/>
              </w:rPr>
            </w:pPr>
            <w:r w:rsidRPr="00D85C65">
              <w:rPr>
                <w:rFonts w:ascii="Times New Roman" w:hAnsi="Times New Roman"/>
                <w:sz w:val="24"/>
              </w:rPr>
              <w:t>Ak sa nepoužívajú vlastné odhady LGD, hodnoty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199 ods. 1 až 8 CRR</w:t>
            </w:r>
            <w:r w:rsidR="00D85C65">
              <w:rPr>
                <w:rFonts w:ascii="Times New Roman" w:hAnsi="Times New Roman"/>
                <w:sz w:val="24"/>
              </w:rPr>
              <w:t xml:space="preserve"> a </w:t>
            </w:r>
            <w:r w:rsidRPr="00D85C65">
              <w:rPr>
                <w:rFonts w:ascii="Times New Roman" w:hAnsi="Times New Roman"/>
                <w:sz w:val="24"/>
              </w:rPr>
              <w:t>článkom 229 CRR.</w:t>
            </w:r>
          </w:p>
          <w:p w14:paraId="3BABB64B" w14:textId="17B46561" w:rsidR="00235D9D" w:rsidRPr="00D85C65" w:rsidRDefault="00C61FF5">
            <w:pPr>
              <w:rPr>
                <w:rFonts w:ascii="Times New Roman" w:hAnsi="Times New Roman"/>
                <w:b/>
                <w:sz w:val="24"/>
                <w:u w:val="single"/>
              </w:rPr>
            </w:pPr>
            <w:r w:rsidRPr="00D85C65">
              <w:rPr>
                <w:rFonts w:ascii="Times New Roman" w:hAnsi="Times New Roman"/>
                <w:sz w:val="24"/>
              </w:rPr>
              <w:t>Ak sa používajú vlastné odhady LGD,</w:t>
            </w:r>
            <w:r w:rsidR="00D85C65">
              <w:rPr>
                <w:rFonts w:ascii="Times New Roman" w:hAnsi="Times New Roman"/>
                <w:sz w:val="24"/>
              </w:rPr>
              <w:t xml:space="preserve"> v </w:t>
            </w:r>
            <w:r w:rsidRPr="00D85C65">
              <w:rPr>
                <w:rFonts w:ascii="Times New Roman" w:hAnsi="Times New Roman"/>
                <w:sz w:val="24"/>
              </w:rPr>
              <w:t>odhadoch LGD podľa článku 181 ods. 1 písm. e)</w:t>
            </w:r>
            <w:r w:rsidR="00D85C65">
              <w:rPr>
                <w:rFonts w:ascii="Times New Roman" w:hAnsi="Times New Roman"/>
                <w:sz w:val="24"/>
              </w:rPr>
              <w:t xml:space="preserve"> a </w:t>
            </w:r>
            <w:r w:rsidRPr="00D85C65">
              <w:rPr>
                <w:rFonts w:ascii="Times New Roman" w:hAnsi="Times New Roman"/>
                <w:sz w:val="24"/>
              </w:rPr>
              <w:t>písm. f) CRR sa zohľadňuje iný kolaterál.</w:t>
            </w:r>
          </w:p>
        </w:tc>
      </w:tr>
      <w:tr w:rsidR="00235D9D" w:rsidRPr="00D85C65" w14:paraId="0539FC4A" w14:textId="77777777" w:rsidTr="00672D2A">
        <w:tc>
          <w:tcPr>
            <w:tcW w:w="1188" w:type="dxa"/>
          </w:tcPr>
          <w:p w14:paraId="6E144E0D" w14:textId="77777777" w:rsidR="00235D9D" w:rsidRPr="00D85C65" w:rsidRDefault="001C7AB7">
            <w:pPr>
              <w:spacing w:line="240" w:lineRule="exact"/>
              <w:rPr>
                <w:rFonts w:ascii="Times New Roman" w:hAnsi="Times New Roman"/>
                <w:sz w:val="24"/>
              </w:rPr>
            </w:pPr>
            <w:r w:rsidRPr="00D85C65">
              <w:rPr>
                <w:rFonts w:ascii="Times New Roman" w:hAnsi="Times New Roman"/>
                <w:sz w:val="24"/>
              </w:rPr>
              <w:t>190</w:t>
            </w:r>
          </w:p>
        </w:tc>
        <w:tc>
          <w:tcPr>
            <w:tcW w:w="8843" w:type="dxa"/>
          </w:tcPr>
          <w:p w14:paraId="1C034029" w14:textId="77777777" w:rsidR="00235D9D" w:rsidRPr="00D85C65" w:rsidRDefault="001C7AB7">
            <w:pPr>
              <w:spacing w:line="240" w:lineRule="exact"/>
              <w:rPr>
                <w:rFonts w:ascii="Times New Roman" w:hAnsi="Times New Roman"/>
                <w:sz w:val="24"/>
              </w:rPr>
            </w:pPr>
            <w:r w:rsidRPr="00D85C65">
              <w:rPr>
                <w:rFonts w:ascii="Times New Roman" w:hAnsi="Times New Roman"/>
                <w:b/>
                <w:sz w:val="24"/>
                <w:u w:val="single"/>
              </w:rPr>
              <w:t>NEHNUTEĽNÝ MAJETOK</w:t>
            </w:r>
          </w:p>
          <w:p w14:paraId="43C12D0D" w14:textId="7455D950" w:rsidR="00235D9D" w:rsidRPr="00D85C65" w:rsidRDefault="00C61FF5">
            <w:pPr>
              <w:spacing w:line="240" w:lineRule="exact"/>
              <w:rPr>
                <w:rFonts w:ascii="Times New Roman" w:hAnsi="Times New Roman"/>
                <w:sz w:val="24"/>
              </w:rPr>
            </w:pPr>
            <w:r w:rsidRPr="00D85C65">
              <w:rPr>
                <w:rFonts w:ascii="Times New Roman" w:hAnsi="Times New Roman"/>
                <w:sz w:val="24"/>
              </w:rPr>
              <w:t>Ak sa nepoužívajú vlastné odhady LGD, hodnoty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199 ods. 2, 3</w:t>
            </w:r>
            <w:r w:rsidR="00D85C65">
              <w:rPr>
                <w:rFonts w:ascii="Times New Roman" w:hAnsi="Times New Roman"/>
                <w:sz w:val="24"/>
              </w:rPr>
              <w:t xml:space="preserve"> a </w:t>
            </w:r>
            <w:r w:rsidRPr="00D85C65">
              <w:rPr>
                <w:rFonts w:ascii="Times New Roman" w:hAnsi="Times New Roman"/>
                <w:sz w:val="24"/>
              </w:rPr>
              <w:t>4</w:t>
            </w:r>
            <w:r w:rsidR="00D85C65">
              <w:rPr>
                <w:rFonts w:ascii="Times New Roman" w:hAnsi="Times New Roman"/>
                <w:sz w:val="24"/>
              </w:rPr>
              <w:t xml:space="preserve"> a </w:t>
            </w:r>
            <w:r w:rsidRPr="00D85C65">
              <w:rPr>
                <w:rFonts w:ascii="Times New Roman" w:hAnsi="Times New Roman"/>
                <w:sz w:val="24"/>
              </w:rPr>
              <w:t>vykazujú sa</w:t>
            </w:r>
            <w:r w:rsidR="00D85C65">
              <w:rPr>
                <w:rFonts w:ascii="Times New Roman" w:hAnsi="Times New Roman"/>
                <w:sz w:val="24"/>
              </w:rPr>
              <w:t xml:space="preserve"> v </w:t>
            </w:r>
            <w:r w:rsidRPr="00D85C65">
              <w:rPr>
                <w:rFonts w:ascii="Times New Roman" w:hAnsi="Times New Roman"/>
                <w:sz w:val="24"/>
              </w:rPr>
              <w:t>tomto stĺpci. Zahrnutý je aj prenájom nehnuteľného majetku (pozri článok 199 ods. 7 CRR). Pozri aj článok 229 CRR.</w:t>
            </w:r>
          </w:p>
          <w:p w14:paraId="64EA227D" w14:textId="61CD192C" w:rsidR="00235D9D" w:rsidRPr="00D85C65" w:rsidRDefault="001C7AB7">
            <w:pPr>
              <w:spacing w:line="240" w:lineRule="exact"/>
              <w:rPr>
                <w:rFonts w:ascii="Times New Roman" w:hAnsi="Times New Roman"/>
                <w:sz w:val="24"/>
              </w:rPr>
            </w:pPr>
            <w:r w:rsidRPr="00D85C65">
              <w:rPr>
                <w:rFonts w:ascii="Times New Roman" w:hAnsi="Times New Roman"/>
                <w:sz w:val="24"/>
              </w:rPr>
              <w:t>Keď sa používajú vlastné odhady LGD, vykazovaná hodnota je odhadovaná trhová hodnota.</w:t>
            </w:r>
          </w:p>
        </w:tc>
      </w:tr>
      <w:tr w:rsidR="00235D9D" w:rsidRPr="00D85C65" w14:paraId="52B2ECF9" w14:textId="77777777" w:rsidTr="00672D2A">
        <w:tc>
          <w:tcPr>
            <w:tcW w:w="1188" w:type="dxa"/>
          </w:tcPr>
          <w:p w14:paraId="1C90656C" w14:textId="77777777" w:rsidR="00235D9D" w:rsidRPr="00D85C65" w:rsidRDefault="001C7AB7">
            <w:pPr>
              <w:rPr>
                <w:rFonts w:ascii="Times New Roman" w:hAnsi="Times New Roman"/>
                <w:sz w:val="24"/>
              </w:rPr>
            </w:pPr>
            <w:r w:rsidRPr="00D85C65">
              <w:rPr>
                <w:rFonts w:ascii="Times New Roman" w:hAnsi="Times New Roman"/>
                <w:sz w:val="24"/>
              </w:rPr>
              <w:t>200</w:t>
            </w:r>
          </w:p>
        </w:tc>
        <w:tc>
          <w:tcPr>
            <w:tcW w:w="8843" w:type="dxa"/>
          </w:tcPr>
          <w:p w14:paraId="6A8F9F19"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INÝ FYZICKÝ KOLATERÁL</w:t>
            </w:r>
          </w:p>
          <w:p w14:paraId="2DEADB06" w14:textId="56A1F787" w:rsidR="00D85C65" w:rsidRDefault="00C61FF5">
            <w:pPr>
              <w:rPr>
                <w:rFonts w:ascii="Times New Roman" w:hAnsi="Times New Roman"/>
                <w:sz w:val="24"/>
              </w:rPr>
            </w:pPr>
            <w:r w:rsidRPr="00D85C65">
              <w:rPr>
                <w:rFonts w:ascii="Times New Roman" w:hAnsi="Times New Roman"/>
                <w:sz w:val="24"/>
              </w:rPr>
              <w:t>Ak sa nepoužívajú vlastné odhady LGD, hodnoty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199 ods. 6</w:t>
            </w:r>
            <w:r w:rsidR="00D85C65">
              <w:rPr>
                <w:rFonts w:ascii="Times New Roman" w:hAnsi="Times New Roman"/>
                <w:sz w:val="24"/>
              </w:rPr>
              <w:t xml:space="preserve"> a </w:t>
            </w:r>
            <w:r w:rsidRPr="00D85C65">
              <w:rPr>
                <w:rFonts w:ascii="Times New Roman" w:hAnsi="Times New Roman"/>
                <w:sz w:val="24"/>
              </w:rPr>
              <w:t>8 CRR</w:t>
            </w:r>
            <w:r w:rsidR="00D85C65">
              <w:rPr>
                <w:rFonts w:ascii="Times New Roman" w:hAnsi="Times New Roman"/>
                <w:sz w:val="24"/>
              </w:rPr>
              <w:t xml:space="preserve"> a </w:t>
            </w:r>
            <w:r w:rsidRPr="00D85C65">
              <w:rPr>
                <w:rFonts w:ascii="Times New Roman" w:hAnsi="Times New Roman"/>
                <w:sz w:val="24"/>
              </w:rPr>
              <w:t>vykazujú sa</w:t>
            </w:r>
            <w:r w:rsidR="00D85C65">
              <w:rPr>
                <w:rFonts w:ascii="Times New Roman" w:hAnsi="Times New Roman"/>
                <w:sz w:val="24"/>
              </w:rPr>
              <w:t xml:space="preserve"> v </w:t>
            </w:r>
            <w:r w:rsidRPr="00D85C65">
              <w:rPr>
                <w:rFonts w:ascii="Times New Roman" w:hAnsi="Times New Roman"/>
                <w:sz w:val="24"/>
              </w:rPr>
              <w:t>tomto stĺpci. Zahrnutý je aj prenájom majetku iného než nehnuteľnosti (pozri článok 199 ods. 7 CRR). Pozri aj článok 229 ods. 3 CRR</w:t>
            </w:r>
            <w:r w:rsidR="00D85C65">
              <w:rPr>
                <w:rFonts w:ascii="Times New Roman" w:hAnsi="Times New Roman"/>
                <w:sz w:val="24"/>
              </w:rPr>
              <w:t>.</w:t>
            </w:r>
          </w:p>
          <w:p w14:paraId="3D35C427" w14:textId="5C86795D" w:rsidR="00235D9D" w:rsidRPr="00D85C65" w:rsidRDefault="00C61FF5">
            <w:pPr>
              <w:rPr>
                <w:rFonts w:ascii="Times New Roman" w:hAnsi="Times New Roman"/>
                <w:b/>
                <w:sz w:val="24"/>
                <w:u w:val="single"/>
              </w:rPr>
            </w:pPr>
            <w:r w:rsidRPr="00D85C65">
              <w:rPr>
                <w:rFonts w:ascii="Times New Roman" w:hAnsi="Times New Roman"/>
                <w:sz w:val="24"/>
              </w:rPr>
              <w:t>Keď sa používajú vlastné odhady LGD, vykazovaná hodnota je odhadovaná trhová hodnota kolaterálu.</w:t>
            </w:r>
          </w:p>
        </w:tc>
      </w:tr>
      <w:tr w:rsidR="00235D9D" w:rsidRPr="00D85C65" w14:paraId="7266AB27" w14:textId="77777777" w:rsidTr="00672D2A">
        <w:tc>
          <w:tcPr>
            <w:tcW w:w="1188" w:type="dxa"/>
          </w:tcPr>
          <w:p w14:paraId="353A005F" w14:textId="77777777" w:rsidR="00235D9D" w:rsidRPr="00D85C65" w:rsidRDefault="001C7AB7">
            <w:pPr>
              <w:rPr>
                <w:rFonts w:ascii="Times New Roman" w:hAnsi="Times New Roman"/>
                <w:sz w:val="24"/>
              </w:rPr>
            </w:pPr>
            <w:r w:rsidRPr="00D85C65">
              <w:rPr>
                <w:rFonts w:ascii="Times New Roman" w:hAnsi="Times New Roman"/>
                <w:sz w:val="24"/>
              </w:rPr>
              <w:t>210</w:t>
            </w:r>
          </w:p>
        </w:tc>
        <w:tc>
          <w:tcPr>
            <w:tcW w:w="8843" w:type="dxa"/>
          </w:tcPr>
          <w:p w14:paraId="0D2D1647"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POHĽADÁVKY</w:t>
            </w:r>
          </w:p>
          <w:p w14:paraId="15BC6C80" w14:textId="2B2AD087" w:rsidR="00235D9D" w:rsidRPr="00D85C65" w:rsidRDefault="001C7AB7">
            <w:pPr>
              <w:rPr>
                <w:rFonts w:ascii="Times New Roman" w:hAnsi="Times New Roman"/>
                <w:sz w:val="24"/>
              </w:rPr>
            </w:pPr>
            <w:r w:rsidRPr="00D85C65">
              <w:rPr>
                <w:rFonts w:ascii="Times New Roman" w:hAnsi="Times New Roman"/>
                <w:sz w:val="24"/>
              </w:rPr>
              <w:t>Ak sa nepoužívajú vlastné odhady LGD, hodnoty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199 ods. 5</w:t>
            </w:r>
            <w:r w:rsidR="00D85C65">
              <w:rPr>
                <w:rFonts w:ascii="Times New Roman" w:hAnsi="Times New Roman"/>
                <w:sz w:val="24"/>
              </w:rPr>
              <w:t xml:space="preserve"> a </w:t>
            </w:r>
            <w:r w:rsidRPr="00D85C65">
              <w:rPr>
                <w:rFonts w:ascii="Times New Roman" w:hAnsi="Times New Roman"/>
                <w:sz w:val="24"/>
              </w:rPr>
              <w:t>článkom 229 ods. 2 CRR</w:t>
            </w:r>
            <w:r w:rsidR="00D85C65">
              <w:rPr>
                <w:rFonts w:ascii="Times New Roman" w:hAnsi="Times New Roman"/>
                <w:sz w:val="24"/>
              </w:rPr>
              <w:t xml:space="preserve"> a </w:t>
            </w:r>
            <w:r w:rsidRPr="00D85C65">
              <w:rPr>
                <w:rFonts w:ascii="Times New Roman" w:hAnsi="Times New Roman"/>
                <w:sz w:val="24"/>
              </w:rPr>
              <w:t>vykazujú sa</w:t>
            </w:r>
            <w:r w:rsidR="00D85C65">
              <w:rPr>
                <w:rFonts w:ascii="Times New Roman" w:hAnsi="Times New Roman"/>
                <w:sz w:val="24"/>
              </w:rPr>
              <w:t xml:space="preserve"> v </w:t>
            </w:r>
            <w:r w:rsidRPr="00D85C65">
              <w:rPr>
                <w:rFonts w:ascii="Times New Roman" w:hAnsi="Times New Roman"/>
                <w:sz w:val="24"/>
              </w:rPr>
              <w:t>tomto stĺpci.</w:t>
            </w:r>
          </w:p>
          <w:p w14:paraId="789B21A5" w14:textId="4E85E5B3" w:rsidR="00235D9D" w:rsidRPr="00D85C65" w:rsidRDefault="001C7AB7">
            <w:pPr>
              <w:rPr>
                <w:rFonts w:ascii="Times New Roman" w:hAnsi="Times New Roman"/>
                <w:b/>
                <w:sz w:val="24"/>
                <w:u w:val="single"/>
              </w:rPr>
            </w:pPr>
            <w:r w:rsidRPr="00D85C65">
              <w:rPr>
                <w:rFonts w:ascii="Times New Roman" w:hAnsi="Times New Roman"/>
                <w:sz w:val="24"/>
              </w:rPr>
              <w:t>Keď sa používajú vlastné odhady LGD, vykazovaná hodnota je odhadovaná trhová hodnota kolaterálu.</w:t>
            </w:r>
          </w:p>
        </w:tc>
      </w:tr>
      <w:tr w:rsidR="00235D9D" w:rsidRPr="00D85C65" w14:paraId="160BD61D" w14:textId="77777777" w:rsidTr="00672D2A">
        <w:tc>
          <w:tcPr>
            <w:tcW w:w="1188" w:type="dxa"/>
          </w:tcPr>
          <w:p w14:paraId="67C0ECE1" w14:textId="77777777" w:rsidR="00235D9D" w:rsidRPr="00D85C65" w:rsidRDefault="001C7AB7">
            <w:pPr>
              <w:rPr>
                <w:rFonts w:ascii="Times New Roman" w:hAnsi="Times New Roman"/>
                <w:sz w:val="24"/>
              </w:rPr>
            </w:pPr>
            <w:r w:rsidRPr="00D85C65">
              <w:rPr>
                <w:rFonts w:ascii="Times New Roman" w:hAnsi="Times New Roman"/>
                <w:sz w:val="24"/>
              </w:rPr>
              <w:lastRenderedPageBreak/>
              <w:t>220</w:t>
            </w:r>
          </w:p>
        </w:tc>
        <w:tc>
          <w:tcPr>
            <w:tcW w:w="8843" w:type="dxa"/>
          </w:tcPr>
          <w:p w14:paraId="6F4C5B5D"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UPLATŇUJE SA DVOJNÁSOBNÉ ZLYHANIE: NEFINANCOVANÉ ZABEZPEČENIE</w:t>
            </w:r>
          </w:p>
          <w:p w14:paraId="5F59E0A4" w14:textId="4A9BC9FA" w:rsidR="00235D9D" w:rsidRPr="00D85C65" w:rsidRDefault="001C7AB7">
            <w:pPr>
              <w:rPr>
                <w:rFonts w:ascii="Times New Roman" w:hAnsi="Times New Roman"/>
                <w:b/>
                <w:sz w:val="24"/>
                <w:u w:val="single"/>
              </w:rPr>
            </w:pPr>
            <w:r w:rsidRPr="00D85C65">
              <w:rPr>
                <w:rFonts w:ascii="Times New Roman" w:hAnsi="Times New Roman"/>
                <w:sz w:val="24"/>
              </w:rPr>
              <w:t>Záruky</w:t>
            </w:r>
            <w:r w:rsidR="00D85C65">
              <w:rPr>
                <w:rFonts w:ascii="Times New Roman" w:hAnsi="Times New Roman"/>
                <w:sz w:val="24"/>
              </w:rPr>
              <w:t xml:space="preserve"> a </w:t>
            </w:r>
            <w:r w:rsidRPr="00D85C65">
              <w:rPr>
                <w:rFonts w:ascii="Times New Roman" w:hAnsi="Times New Roman"/>
                <w:sz w:val="24"/>
              </w:rPr>
              <w:t>kreditné deriváty, ktoré pokrývajú expozície, na ktoré sa uplatňuje dvojnásobné zlyhanie pri zohľadnení článku 202</w:t>
            </w:r>
            <w:r w:rsidR="00D85C65">
              <w:rPr>
                <w:rFonts w:ascii="Times New Roman" w:hAnsi="Times New Roman"/>
                <w:sz w:val="24"/>
              </w:rPr>
              <w:t xml:space="preserve"> a </w:t>
            </w:r>
            <w:r w:rsidRPr="00D85C65">
              <w:rPr>
                <w:rFonts w:ascii="Times New Roman" w:hAnsi="Times New Roman"/>
                <w:sz w:val="24"/>
              </w:rPr>
              <w:t>článku 217 ods. 1 CRR. Pozri aj stĺpce 040 „záruky“</w:t>
            </w:r>
            <w:r w:rsidR="00D85C65">
              <w:rPr>
                <w:rFonts w:ascii="Times New Roman" w:hAnsi="Times New Roman"/>
                <w:sz w:val="24"/>
              </w:rPr>
              <w:t xml:space="preserve"> a </w:t>
            </w:r>
            <w:r w:rsidRPr="00D85C65">
              <w:rPr>
                <w:rFonts w:ascii="Times New Roman" w:hAnsi="Times New Roman"/>
                <w:sz w:val="24"/>
              </w:rPr>
              <w:t xml:space="preserve">050 „kreditné deriváty“. </w:t>
            </w:r>
          </w:p>
        </w:tc>
      </w:tr>
      <w:tr w:rsidR="00235D9D" w:rsidRPr="00D85C65" w14:paraId="764740C6" w14:textId="77777777" w:rsidTr="00672D2A">
        <w:tc>
          <w:tcPr>
            <w:tcW w:w="1188" w:type="dxa"/>
          </w:tcPr>
          <w:p w14:paraId="5F21C48A" w14:textId="77777777" w:rsidR="00235D9D" w:rsidRPr="00D85C65" w:rsidRDefault="001C7AB7">
            <w:pPr>
              <w:rPr>
                <w:rFonts w:ascii="Times New Roman" w:hAnsi="Times New Roman"/>
                <w:sz w:val="24"/>
              </w:rPr>
            </w:pPr>
            <w:r w:rsidRPr="00D85C65">
              <w:rPr>
                <w:rFonts w:ascii="Times New Roman" w:hAnsi="Times New Roman"/>
                <w:sz w:val="24"/>
              </w:rPr>
              <w:t>230</w:t>
            </w:r>
          </w:p>
        </w:tc>
        <w:tc>
          <w:tcPr>
            <w:tcW w:w="8843" w:type="dxa"/>
          </w:tcPr>
          <w:p w14:paraId="2D7DD034"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EXPOZÍCIAMI VÁŽENÁ PRIEMERNÁ LGD (%)</w:t>
            </w:r>
          </w:p>
          <w:p w14:paraId="4EA92E36" w14:textId="05926895" w:rsidR="00235D9D" w:rsidRPr="00D85C65" w:rsidRDefault="001C7AB7">
            <w:pPr>
              <w:rPr>
                <w:rFonts w:ascii="Times New Roman" w:hAnsi="Times New Roman"/>
                <w:sz w:val="24"/>
              </w:rPr>
            </w:pPr>
            <w:r w:rsidRPr="00D85C65">
              <w:rPr>
                <w:rFonts w:ascii="Times New Roman" w:hAnsi="Times New Roman"/>
                <w:sz w:val="24"/>
              </w:rPr>
              <w:t>Zohľadňuje sa celý vplyv postupov na zmierňovanie kreditného rizika na hodnoty LGD podľa ustanovení tretej časti hlavy II kapitol 3</w:t>
            </w:r>
            <w:r w:rsidR="00D85C65">
              <w:rPr>
                <w:rFonts w:ascii="Times New Roman" w:hAnsi="Times New Roman"/>
                <w:sz w:val="24"/>
              </w:rPr>
              <w:t xml:space="preserve"> a </w:t>
            </w:r>
            <w:r w:rsidRPr="00D85C65">
              <w:rPr>
                <w:rFonts w:ascii="Times New Roman" w:hAnsi="Times New Roman"/>
                <w:sz w:val="24"/>
              </w:rPr>
              <w:t>4 CRR.</w:t>
            </w:r>
            <w:r w:rsidR="00D85C65">
              <w:rPr>
                <w:rFonts w:ascii="Times New Roman" w:hAnsi="Times New Roman"/>
                <w:sz w:val="24"/>
              </w:rPr>
              <w:t xml:space="preserve"> V </w:t>
            </w:r>
            <w:r w:rsidRPr="00D85C65">
              <w:rPr>
                <w:rFonts w:ascii="Times New Roman" w:hAnsi="Times New Roman"/>
                <w:sz w:val="24"/>
              </w:rPr>
              <w:t>prípade expozícií, na ktoré sa uplatňuje dvojnásobné zlyhanie, LGD, ktorá sa má vykázať, zodpovedá LGD zvolenej podľa článku 161 ods. 4 CRR.</w:t>
            </w:r>
          </w:p>
          <w:p w14:paraId="4B5EA6DB" w14:textId="3F5712B7" w:rsidR="00235D9D" w:rsidRPr="00D85C65" w:rsidRDefault="001C7AB7">
            <w:pPr>
              <w:rPr>
                <w:rFonts w:ascii="Times New Roman" w:hAnsi="Times New Roman"/>
                <w:sz w:val="24"/>
              </w:rPr>
            </w:pPr>
            <w:r w:rsidRPr="00D85C65">
              <w:rPr>
                <w:rFonts w:ascii="Times New Roman" w:hAnsi="Times New Roman"/>
                <w:sz w:val="24"/>
              </w:rPr>
              <w:t>Pre expozície</w:t>
            </w:r>
            <w:r w:rsidR="00D85C65">
              <w:rPr>
                <w:rFonts w:ascii="Times New Roman" w:hAnsi="Times New Roman"/>
                <w:sz w:val="24"/>
              </w:rPr>
              <w:t xml:space="preserve"> v </w:t>
            </w:r>
            <w:r w:rsidRPr="00D85C65">
              <w:rPr>
                <w:rFonts w:ascii="Times New Roman" w:hAnsi="Times New Roman"/>
                <w:sz w:val="24"/>
              </w:rPr>
              <w:t>stave zlyhania sa zohľadňuje článok 181 ods. 1 písm. h) CRR.</w:t>
            </w:r>
          </w:p>
          <w:p w14:paraId="09340637" w14:textId="638979AF" w:rsidR="00235D9D" w:rsidRPr="00D85C65" w:rsidRDefault="001C7AB7">
            <w:pPr>
              <w:rPr>
                <w:rFonts w:ascii="Times New Roman" w:hAnsi="Times New Roman"/>
                <w:sz w:val="24"/>
              </w:rPr>
            </w:pPr>
            <w:r w:rsidRPr="00D85C65">
              <w:rPr>
                <w:rFonts w:ascii="Times New Roman" w:hAnsi="Times New Roman"/>
                <w:sz w:val="24"/>
              </w:rPr>
              <w:t>Hodnota expozície uvedená</w:t>
            </w:r>
            <w:r w:rsidR="00D85C65">
              <w:rPr>
                <w:rFonts w:ascii="Times New Roman" w:hAnsi="Times New Roman"/>
                <w:sz w:val="24"/>
              </w:rPr>
              <w:t xml:space="preserve"> v </w:t>
            </w:r>
            <w:r w:rsidRPr="00D85C65">
              <w:rPr>
                <w:rFonts w:ascii="Times New Roman" w:hAnsi="Times New Roman"/>
                <w:sz w:val="24"/>
              </w:rPr>
              <w:t>stĺpci 110 sa používa na výpočet expozíciami vážených priemerov.</w:t>
            </w:r>
          </w:p>
          <w:p w14:paraId="2BDF199D" w14:textId="77777777" w:rsidR="00235D9D" w:rsidRPr="00D85C65" w:rsidRDefault="001C7AB7">
            <w:pPr>
              <w:rPr>
                <w:rFonts w:ascii="Times New Roman" w:hAnsi="Times New Roman"/>
                <w:sz w:val="24"/>
              </w:rPr>
            </w:pPr>
            <w:r w:rsidRPr="00D85C65">
              <w:rPr>
                <w:rFonts w:ascii="Times New Roman" w:hAnsi="Times New Roman"/>
                <w:sz w:val="24"/>
              </w:rPr>
              <w:t>Zohľadnia sa všetky účinky (takže do vykazovania sa zahrnie dolná hranica uplatniteľná na hypotéky).</w:t>
            </w:r>
          </w:p>
          <w:p w14:paraId="28E66744" w14:textId="3B7D5E22" w:rsidR="00235D9D" w:rsidRPr="00D85C65" w:rsidRDefault="001C7AB7">
            <w:pPr>
              <w:rPr>
                <w:rFonts w:ascii="Times New Roman" w:hAnsi="Times New Roman"/>
                <w:sz w:val="24"/>
              </w:rPr>
            </w:pPr>
            <w:r w:rsidRPr="00D85C65">
              <w:rPr>
                <w:rFonts w:ascii="Times New Roman" w:hAnsi="Times New Roman"/>
                <w:sz w:val="24"/>
              </w:rPr>
              <w:t>Pre inštitúcie, ktoré uplatňujú prístup IRB, ale nepoužívajú svoje vlastné odhady LGD, sa účinky zmierňovania rizika finančného kolaterálu zohľadňujú</w:t>
            </w:r>
            <w:r w:rsidR="00D85C65">
              <w:rPr>
                <w:rFonts w:ascii="Times New Roman" w:hAnsi="Times New Roman"/>
                <w:sz w:val="24"/>
              </w:rPr>
              <w:t xml:space="preserve"> v </w:t>
            </w:r>
            <w:r w:rsidRPr="00D85C65">
              <w:rPr>
                <w:rFonts w:ascii="Times New Roman" w:hAnsi="Times New Roman"/>
                <w:sz w:val="24"/>
              </w:rPr>
              <w:t>E*, čo je plne upravená hodnota expozície,</w:t>
            </w:r>
            <w:r w:rsidR="00D85C65">
              <w:rPr>
                <w:rFonts w:ascii="Times New Roman" w:hAnsi="Times New Roman"/>
                <w:sz w:val="24"/>
              </w:rPr>
              <w:t xml:space="preserve"> a </w:t>
            </w:r>
            <w:r w:rsidRPr="00D85C65">
              <w:rPr>
                <w:rFonts w:ascii="Times New Roman" w:hAnsi="Times New Roman"/>
                <w:sz w:val="24"/>
              </w:rPr>
              <w:t>potom sa zohľadnia</w:t>
            </w:r>
            <w:r w:rsidR="00D85C65">
              <w:rPr>
                <w:rFonts w:ascii="Times New Roman" w:hAnsi="Times New Roman"/>
                <w:sz w:val="24"/>
              </w:rPr>
              <w:t xml:space="preserve"> v </w:t>
            </w:r>
            <w:r w:rsidRPr="00D85C65">
              <w:rPr>
                <w:rFonts w:ascii="Times New Roman" w:hAnsi="Times New Roman"/>
                <w:sz w:val="24"/>
              </w:rPr>
              <w:t>LGD* podľa článku 228 ods. 2 CRR.</w:t>
            </w:r>
          </w:p>
          <w:p w14:paraId="2A145D44" w14:textId="45759EEA" w:rsidR="00235D9D" w:rsidRPr="00D85C65" w:rsidRDefault="001C7AB7">
            <w:pPr>
              <w:rPr>
                <w:rFonts w:ascii="Times New Roman" w:hAnsi="Times New Roman"/>
                <w:sz w:val="24"/>
              </w:rPr>
            </w:pPr>
            <w:r w:rsidRPr="00D85C65">
              <w:rPr>
                <w:rFonts w:ascii="Times New Roman" w:hAnsi="Times New Roman"/>
                <w:sz w:val="24"/>
              </w:rPr>
              <w:t>Expozíciami vážená priemerná LGD spojená</w:t>
            </w:r>
            <w:r w:rsidR="00D85C65">
              <w:rPr>
                <w:rFonts w:ascii="Times New Roman" w:hAnsi="Times New Roman"/>
                <w:sz w:val="24"/>
              </w:rPr>
              <w:t xml:space="preserve"> s </w:t>
            </w:r>
            <w:r w:rsidRPr="00D85C65">
              <w:rPr>
                <w:rFonts w:ascii="Times New Roman" w:hAnsi="Times New Roman"/>
                <w:sz w:val="24"/>
              </w:rPr>
              <w:t>každou PD „ratingového stupňa alebo skupiny dlžníkov“ vyplýva</w:t>
            </w:r>
            <w:r w:rsidR="00D85C65">
              <w:rPr>
                <w:rFonts w:ascii="Times New Roman" w:hAnsi="Times New Roman"/>
                <w:sz w:val="24"/>
              </w:rPr>
              <w:t xml:space="preserve"> z </w:t>
            </w:r>
            <w:r w:rsidRPr="00D85C65">
              <w:rPr>
                <w:rFonts w:ascii="Times New Roman" w:hAnsi="Times New Roman"/>
                <w:sz w:val="24"/>
              </w:rPr>
              <w:t>priemeru prudenciálnych LGD priradených expozíciám tejto PD ratingového stupňa/skupiny, vážených príslušnou hodnotou expozície stĺpca 110.</w:t>
            </w:r>
          </w:p>
          <w:p w14:paraId="6A4AD111" w14:textId="19FC5DD0" w:rsidR="00235D9D" w:rsidRPr="00D85C65" w:rsidRDefault="00BD6DB9">
            <w:pPr>
              <w:rPr>
                <w:rFonts w:ascii="Times New Roman" w:hAnsi="Times New Roman"/>
                <w:sz w:val="24"/>
              </w:rPr>
            </w:pPr>
            <w:r w:rsidRPr="00D85C65">
              <w:rPr>
                <w:rFonts w:ascii="Times New Roman" w:hAnsi="Times New Roman"/>
                <w:sz w:val="24"/>
              </w:rPr>
              <w:t>Keď sa používajú vlastné odhady LGD, zohľadňuje sa článok 175</w:t>
            </w:r>
            <w:r w:rsidR="00D85C65">
              <w:rPr>
                <w:rFonts w:ascii="Times New Roman" w:hAnsi="Times New Roman"/>
                <w:sz w:val="24"/>
              </w:rPr>
              <w:t xml:space="preserve"> a </w:t>
            </w:r>
            <w:r w:rsidRPr="00D85C65">
              <w:rPr>
                <w:rFonts w:ascii="Times New Roman" w:hAnsi="Times New Roman"/>
                <w:sz w:val="24"/>
              </w:rPr>
              <w:t>článok 181 ods. 1</w:t>
            </w:r>
            <w:r w:rsidR="00D85C65">
              <w:rPr>
                <w:rFonts w:ascii="Times New Roman" w:hAnsi="Times New Roman"/>
                <w:sz w:val="24"/>
              </w:rPr>
              <w:t xml:space="preserve"> a </w:t>
            </w:r>
            <w:r w:rsidRPr="00D85C65">
              <w:rPr>
                <w:rFonts w:ascii="Times New Roman" w:hAnsi="Times New Roman"/>
                <w:sz w:val="24"/>
              </w:rPr>
              <w:t>2 CRR.</w:t>
            </w:r>
          </w:p>
          <w:p w14:paraId="5343716F" w14:textId="49AD7810" w:rsidR="00235D9D" w:rsidRPr="00D85C65" w:rsidRDefault="001C7AB7">
            <w:pPr>
              <w:rPr>
                <w:rFonts w:ascii="Times New Roman" w:hAnsi="Times New Roman"/>
                <w:sz w:val="24"/>
              </w:rPr>
            </w:pPr>
            <w:r w:rsidRPr="00D85C65">
              <w:rPr>
                <w:rFonts w:ascii="Times New Roman" w:hAnsi="Times New Roman"/>
                <w:sz w:val="24"/>
              </w:rPr>
              <w:t>V prípade expozícií, na ktoré sa uplatňuje dvojnásobné zlyhanie, LGD, ktorá sa má vykázať, zodpovedá LGD zvolenej podľa článku 161 ods. 4 CRR.</w:t>
            </w:r>
          </w:p>
          <w:p w14:paraId="5D639D9E" w14:textId="47E9E06B" w:rsidR="00235D9D" w:rsidRPr="00D85C65" w:rsidRDefault="001C7AB7">
            <w:pPr>
              <w:rPr>
                <w:rFonts w:ascii="Times New Roman" w:hAnsi="Times New Roman"/>
                <w:sz w:val="24"/>
              </w:rPr>
            </w:pPr>
            <w:r w:rsidRPr="00D85C65">
              <w:rPr>
                <w:rFonts w:ascii="Times New Roman" w:hAnsi="Times New Roman"/>
                <w:sz w:val="24"/>
              </w:rPr>
              <w:t>Výpočet expozíciami váženej priemernej LGD je odvodený od parametrov rizika, ktoré sa</w:t>
            </w:r>
            <w:r w:rsidR="00D85C65">
              <w:rPr>
                <w:rFonts w:ascii="Times New Roman" w:hAnsi="Times New Roman"/>
                <w:sz w:val="24"/>
              </w:rPr>
              <w:t xml:space="preserve"> v </w:t>
            </w:r>
            <w:r w:rsidRPr="00D85C65">
              <w:rPr>
                <w:rFonts w:ascii="Times New Roman" w:hAnsi="Times New Roman"/>
                <w:sz w:val="24"/>
              </w:rPr>
              <w:t>skutočnosti používajú</w:t>
            </w:r>
            <w:r w:rsidR="00D85C65">
              <w:rPr>
                <w:rFonts w:ascii="Times New Roman" w:hAnsi="Times New Roman"/>
                <w:sz w:val="24"/>
              </w:rPr>
              <w:t xml:space="preserve"> v </w:t>
            </w:r>
            <w:r w:rsidRPr="00D85C65">
              <w:rPr>
                <w:rFonts w:ascii="Times New Roman" w:hAnsi="Times New Roman"/>
                <w:sz w:val="24"/>
              </w:rPr>
              <w:t>internom ratingovom systéme schválenom dotknutým príslušným orgánom.</w:t>
            </w:r>
          </w:p>
          <w:p w14:paraId="51A29E9F" w14:textId="0F3AA7AF" w:rsidR="00235D9D" w:rsidRPr="00D85C65" w:rsidRDefault="00224FE5">
            <w:pPr>
              <w:rPr>
                <w:rFonts w:ascii="Times New Roman" w:hAnsi="Times New Roman"/>
                <w:sz w:val="24"/>
              </w:rPr>
            </w:pPr>
            <w:r w:rsidRPr="00D85C65">
              <w:rPr>
                <w:rFonts w:ascii="Times New Roman" w:hAnsi="Times New Roman"/>
                <w:sz w:val="24"/>
              </w:rPr>
              <w:t>Údaje za expozície špecializovaného financovania podľa článku 153 ods. 5 sa nevykazujú.</w:t>
            </w:r>
          </w:p>
          <w:p w14:paraId="66AC2D00" w14:textId="62207EFB" w:rsidR="00235D9D" w:rsidRPr="00D85C65" w:rsidRDefault="001C7AB7">
            <w:pPr>
              <w:rPr>
                <w:rFonts w:ascii="Times New Roman" w:hAnsi="Times New Roman"/>
                <w:sz w:val="24"/>
              </w:rPr>
            </w:pPr>
            <w:r w:rsidRPr="00D85C65">
              <w:rPr>
                <w:rFonts w:ascii="Times New Roman" w:hAnsi="Times New Roman"/>
                <w:sz w:val="24"/>
              </w:rPr>
              <w:t>Expozície</w:t>
            </w:r>
            <w:r w:rsidR="00D85C65">
              <w:rPr>
                <w:rFonts w:ascii="Times New Roman" w:hAnsi="Times New Roman"/>
                <w:sz w:val="24"/>
              </w:rPr>
              <w:t xml:space="preserve"> a </w:t>
            </w:r>
            <w:r w:rsidRPr="00D85C65">
              <w:rPr>
                <w:rFonts w:ascii="Times New Roman" w:hAnsi="Times New Roman"/>
                <w:sz w:val="24"/>
              </w:rPr>
              <w:t>príslušné LGD pre veľké regulované subjekty finančného sektora</w:t>
            </w:r>
            <w:r w:rsidR="00D85C65">
              <w:rPr>
                <w:rFonts w:ascii="Times New Roman" w:hAnsi="Times New Roman"/>
                <w:sz w:val="24"/>
              </w:rPr>
              <w:t xml:space="preserve"> a </w:t>
            </w:r>
            <w:r w:rsidRPr="00D85C65">
              <w:rPr>
                <w:rFonts w:ascii="Times New Roman" w:hAnsi="Times New Roman"/>
                <w:sz w:val="24"/>
              </w:rPr>
              <w:t>neregulované finančné subjekty sa nezahrňujú do výpočtu</w:t>
            </w:r>
            <w:r w:rsidR="00D85C65">
              <w:rPr>
                <w:rFonts w:ascii="Times New Roman" w:hAnsi="Times New Roman"/>
                <w:sz w:val="24"/>
              </w:rPr>
              <w:t xml:space="preserve"> v </w:t>
            </w:r>
            <w:r w:rsidRPr="00D85C65">
              <w:rPr>
                <w:rFonts w:ascii="Times New Roman" w:hAnsi="Times New Roman"/>
                <w:sz w:val="24"/>
              </w:rPr>
              <w:t>stĺpci 230, ale zahrňujú sa len do výpočtu</w:t>
            </w:r>
            <w:r w:rsidR="00D85C65">
              <w:rPr>
                <w:rFonts w:ascii="Times New Roman" w:hAnsi="Times New Roman"/>
                <w:sz w:val="24"/>
              </w:rPr>
              <w:t xml:space="preserve"> v </w:t>
            </w:r>
            <w:r w:rsidRPr="00D85C65">
              <w:rPr>
                <w:rFonts w:ascii="Times New Roman" w:hAnsi="Times New Roman"/>
                <w:sz w:val="24"/>
              </w:rPr>
              <w:t xml:space="preserve">stĺpci 240. </w:t>
            </w:r>
          </w:p>
        </w:tc>
      </w:tr>
      <w:tr w:rsidR="00235D9D" w:rsidRPr="00D85C65" w14:paraId="1525CBDC" w14:textId="77777777" w:rsidTr="00672D2A">
        <w:tc>
          <w:tcPr>
            <w:tcW w:w="1188" w:type="dxa"/>
          </w:tcPr>
          <w:p w14:paraId="268CDBB9" w14:textId="77777777" w:rsidR="00235D9D" w:rsidRPr="00D85C65" w:rsidRDefault="001C7AB7">
            <w:pPr>
              <w:rPr>
                <w:rFonts w:ascii="Times New Roman" w:hAnsi="Times New Roman"/>
                <w:sz w:val="24"/>
              </w:rPr>
            </w:pPr>
            <w:r w:rsidRPr="00D85C65">
              <w:rPr>
                <w:rFonts w:ascii="Times New Roman" w:hAnsi="Times New Roman"/>
                <w:sz w:val="24"/>
              </w:rPr>
              <w:t>240</w:t>
            </w:r>
          </w:p>
        </w:tc>
        <w:tc>
          <w:tcPr>
            <w:tcW w:w="8843" w:type="dxa"/>
          </w:tcPr>
          <w:p w14:paraId="04D6225A"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EXPOZÍCIAMI VÁŽENÁ PRIEMERNÁ LGD (%) PRE VEĽKÉ SUBJEKTY FINANČNÉHO SEKTORA A NEREGULOVANÉ FINANČNÉ SUBJEKTY</w:t>
            </w:r>
          </w:p>
          <w:p w14:paraId="25F07784" w14:textId="09FC82A6" w:rsidR="00235D9D" w:rsidRPr="00D85C65" w:rsidRDefault="001C7AB7">
            <w:pPr>
              <w:rPr>
                <w:rFonts w:ascii="Times New Roman" w:hAnsi="Times New Roman"/>
                <w:sz w:val="24"/>
              </w:rPr>
            </w:pPr>
            <w:r w:rsidRPr="00D85C65">
              <w:rPr>
                <w:rFonts w:ascii="Times New Roman" w:hAnsi="Times New Roman"/>
                <w:sz w:val="24"/>
              </w:rPr>
              <w:t>Expozíciami vážená priemerná LGD (%) pre všetky expozície voči veľkým subjektom finančného sektora, ako sú vymedzené</w:t>
            </w:r>
            <w:r w:rsidR="00D85C65">
              <w:rPr>
                <w:rFonts w:ascii="Times New Roman" w:hAnsi="Times New Roman"/>
                <w:sz w:val="24"/>
              </w:rPr>
              <w:t xml:space="preserve"> v </w:t>
            </w:r>
            <w:r w:rsidRPr="00D85C65">
              <w:rPr>
                <w:rFonts w:ascii="Times New Roman" w:hAnsi="Times New Roman"/>
                <w:sz w:val="24"/>
              </w:rPr>
              <w:t>článku 142 ods. 4 CRR,</w:t>
            </w:r>
            <w:r w:rsidR="00D85C65">
              <w:rPr>
                <w:rFonts w:ascii="Times New Roman" w:hAnsi="Times New Roman"/>
                <w:sz w:val="24"/>
              </w:rPr>
              <w:t xml:space="preserve"> a </w:t>
            </w:r>
            <w:r w:rsidRPr="00D85C65">
              <w:rPr>
                <w:rFonts w:ascii="Times New Roman" w:hAnsi="Times New Roman"/>
                <w:sz w:val="24"/>
              </w:rPr>
              <w:t>voči neregulovaným subjektom finančného sektora, ako sú vymedzené</w:t>
            </w:r>
            <w:r w:rsidR="00D85C65">
              <w:rPr>
                <w:rFonts w:ascii="Times New Roman" w:hAnsi="Times New Roman"/>
                <w:sz w:val="24"/>
              </w:rPr>
              <w:t xml:space="preserve"> v </w:t>
            </w:r>
            <w:r w:rsidRPr="00D85C65">
              <w:rPr>
                <w:rFonts w:ascii="Times New Roman" w:hAnsi="Times New Roman"/>
                <w:sz w:val="24"/>
              </w:rPr>
              <w:t>článku 142 ods. 5 CRR, na ktoré sa uplatňuje vyššia korelácia určená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153 ods. 2 CRR.</w:t>
            </w:r>
          </w:p>
        </w:tc>
      </w:tr>
      <w:tr w:rsidR="00235D9D" w:rsidRPr="00D85C65" w14:paraId="72416014" w14:textId="77777777" w:rsidTr="00672D2A">
        <w:tc>
          <w:tcPr>
            <w:tcW w:w="1188" w:type="dxa"/>
          </w:tcPr>
          <w:p w14:paraId="660A86A5" w14:textId="77777777" w:rsidR="00235D9D" w:rsidRPr="00D85C65" w:rsidRDefault="001C7AB7">
            <w:pPr>
              <w:rPr>
                <w:rFonts w:ascii="Times New Roman" w:hAnsi="Times New Roman"/>
                <w:sz w:val="24"/>
              </w:rPr>
            </w:pPr>
            <w:r w:rsidRPr="00D85C65">
              <w:rPr>
                <w:rFonts w:ascii="Times New Roman" w:hAnsi="Times New Roman"/>
                <w:sz w:val="24"/>
              </w:rPr>
              <w:t>250</w:t>
            </w:r>
          </w:p>
        </w:tc>
        <w:tc>
          <w:tcPr>
            <w:tcW w:w="8843" w:type="dxa"/>
          </w:tcPr>
          <w:p w14:paraId="3CDC4BF9"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HODNOTA EXPOZÍCIAMI VÁŽENEJ PRIEMERNEJ SPLATNOSTI (DNI)</w:t>
            </w:r>
          </w:p>
          <w:p w14:paraId="6A5B55BD" w14:textId="5A55D8A9" w:rsidR="00235D9D" w:rsidRPr="00D85C65" w:rsidRDefault="001C7AB7">
            <w:pPr>
              <w:rPr>
                <w:rFonts w:ascii="Times New Roman" w:hAnsi="Times New Roman"/>
                <w:sz w:val="24"/>
              </w:rPr>
            </w:pPr>
            <w:r w:rsidRPr="00D85C65">
              <w:rPr>
                <w:rFonts w:ascii="Times New Roman" w:hAnsi="Times New Roman"/>
                <w:sz w:val="24"/>
              </w:rPr>
              <w:lastRenderedPageBreak/>
              <w:t>Vykazovaná hodnota sa určuje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162 CRR. Hodnota expozície (stĺpec 110) sa používa na výpočet expozíciami vážených priemerov. Priemerná splatnosť sa vykazuje</w:t>
            </w:r>
            <w:r w:rsidR="00D85C65">
              <w:rPr>
                <w:rFonts w:ascii="Times New Roman" w:hAnsi="Times New Roman"/>
                <w:sz w:val="24"/>
              </w:rPr>
              <w:t xml:space="preserve"> v </w:t>
            </w:r>
            <w:r w:rsidRPr="00D85C65">
              <w:rPr>
                <w:rFonts w:ascii="Times New Roman" w:hAnsi="Times New Roman"/>
                <w:sz w:val="24"/>
              </w:rPr>
              <w:t>dňoch.</w:t>
            </w:r>
          </w:p>
          <w:p w14:paraId="4CF51C09" w14:textId="6055FC34" w:rsidR="00235D9D" w:rsidRPr="00D85C65" w:rsidRDefault="001C7AB7">
            <w:pPr>
              <w:rPr>
                <w:rFonts w:ascii="Times New Roman" w:hAnsi="Times New Roman"/>
                <w:sz w:val="24"/>
              </w:rPr>
            </w:pPr>
            <w:r w:rsidRPr="00D85C65">
              <w:rPr>
                <w:rFonts w:ascii="Times New Roman" w:hAnsi="Times New Roman"/>
                <w:sz w:val="24"/>
              </w:rPr>
              <w:t xml:space="preserve">Tieto údaje sa nevykazujú pre hodnoty expozícií, pre ktoré splatnosť nie je prvkom vo výpočte </w:t>
            </w:r>
            <w:r w:rsidRPr="00D85C65">
              <w:rPr>
                <w:rStyle w:val="InstructionsTabelleText"/>
                <w:rFonts w:ascii="Times New Roman" w:hAnsi="Times New Roman"/>
                <w:sz w:val="24"/>
              </w:rPr>
              <w:t>hodnôt rizikovo vážených expozícií</w:t>
            </w:r>
            <w:r w:rsidRPr="00D85C65">
              <w:rPr>
                <w:rFonts w:ascii="Times New Roman" w:hAnsi="Times New Roman"/>
                <w:sz w:val="24"/>
              </w:rPr>
              <w:t>. Znamená to, že pre triedu expozícií „retail“ sa tento stĺpec nevypĺňa.</w:t>
            </w:r>
          </w:p>
        </w:tc>
      </w:tr>
      <w:tr w:rsidR="00235D9D" w:rsidRPr="00D85C65" w14:paraId="173F47EB" w14:textId="77777777" w:rsidTr="00672D2A">
        <w:tc>
          <w:tcPr>
            <w:tcW w:w="1188" w:type="dxa"/>
          </w:tcPr>
          <w:p w14:paraId="510FE529" w14:textId="77777777" w:rsidR="00235D9D" w:rsidRPr="00D85C65" w:rsidRDefault="001C7AB7">
            <w:pPr>
              <w:rPr>
                <w:rFonts w:ascii="Times New Roman" w:hAnsi="Times New Roman"/>
                <w:sz w:val="24"/>
              </w:rPr>
            </w:pPr>
            <w:r w:rsidRPr="00D85C65">
              <w:rPr>
                <w:rFonts w:ascii="Times New Roman" w:hAnsi="Times New Roman"/>
                <w:sz w:val="24"/>
              </w:rPr>
              <w:lastRenderedPageBreak/>
              <w:t>255</w:t>
            </w:r>
          </w:p>
        </w:tc>
        <w:tc>
          <w:tcPr>
            <w:tcW w:w="8843" w:type="dxa"/>
          </w:tcPr>
          <w:p w14:paraId="69D74682"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HODNOTA RIZIKOVO VÁŽENÝCH EXPOZÍCIÍ PRED UPLATNENÍM KOEFICIENTU NA PODPORU MSP</w:t>
            </w:r>
          </w:p>
          <w:p w14:paraId="4D7F1D0F" w14:textId="1801F0EA" w:rsidR="00D85C65" w:rsidRDefault="001C7AB7">
            <w:pPr>
              <w:rPr>
                <w:rFonts w:ascii="Times New Roman" w:hAnsi="Times New Roman"/>
                <w:sz w:val="24"/>
              </w:rPr>
            </w:pPr>
            <w:r w:rsidRPr="00D85C65">
              <w:rPr>
                <w:rFonts w:ascii="Times New Roman" w:hAnsi="Times New Roman"/>
                <w:sz w:val="24"/>
              </w:rPr>
              <w:t>Pre ústredné vlády</w:t>
            </w:r>
            <w:r w:rsidR="00D85C65">
              <w:rPr>
                <w:rFonts w:ascii="Times New Roman" w:hAnsi="Times New Roman"/>
                <w:sz w:val="24"/>
              </w:rPr>
              <w:t xml:space="preserve"> a </w:t>
            </w:r>
            <w:r w:rsidRPr="00D85C65">
              <w:rPr>
                <w:rFonts w:ascii="Times New Roman" w:hAnsi="Times New Roman"/>
                <w:sz w:val="24"/>
              </w:rPr>
              <w:t>centrálne banky, podnikateľské subjekty</w:t>
            </w:r>
            <w:r w:rsidR="00D85C65">
              <w:rPr>
                <w:rFonts w:ascii="Times New Roman" w:hAnsi="Times New Roman"/>
                <w:sz w:val="24"/>
              </w:rPr>
              <w:t xml:space="preserve"> a </w:t>
            </w:r>
            <w:r w:rsidRPr="00D85C65">
              <w:rPr>
                <w:rFonts w:ascii="Times New Roman" w:hAnsi="Times New Roman"/>
                <w:sz w:val="24"/>
              </w:rPr>
              <w:t>inštitúcie pozri článok 153 ods. 1</w:t>
            </w:r>
            <w:r w:rsidR="00D85C65">
              <w:rPr>
                <w:rFonts w:ascii="Times New Roman" w:hAnsi="Times New Roman"/>
                <w:sz w:val="24"/>
              </w:rPr>
              <w:t xml:space="preserve"> a </w:t>
            </w:r>
            <w:r w:rsidRPr="00D85C65">
              <w:rPr>
                <w:rFonts w:ascii="Times New Roman" w:hAnsi="Times New Roman"/>
                <w:sz w:val="24"/>
              </w:rPr>
              <w:t>3 CRR. Pre retail pozri článok 154 ods. 1 CRR</w:t>
            </w:r>
            <w:r w:rsidR="00D85C65">
              <w:rPr>
                <w:rFonts w:ascii="Times New Roman" w:hAnsi="Times New Roman"/>
                <w:sz w:val="24"/>
              </w:rPr>
              <w:t>.</w:t>
            </w:r>
          </w:p>
          <w:p w14:paraId="0AE89240" w14:textId="1BE4D96A" w:rsidR="00235D9D" w:rsidRPr="00D85C65" w:rsidRDefault="001C7AB7">
            <w:pPr>
              <w:rPr>
                <w:rFonts w:ascii="Times New Roman" w:hAnsi="Times New Roman"/>
                <w:b/>
                <w:sz w:val="24"/>
                <w:u w:val="single"/>
              </w:rPr>
            </w:pPr>
            <w:r w:rsidRPr="00D85C65">
              <w:rPr>
                <w:rFonts w:ascii="Times New Roman" w:hAnsi="Times New Roman"/>
                <w:sz w:val="24"/>
              </w:rPr>
              <w:t>Koeficient na podporu MSP uvedený</w:t>
            </w:r>
            <w:r w:rsidR="00D85C65">
              <w:rPr>
                <w:rFonts w:ascii="Times New Roman" w:hAnsi="Times New Roman"/>
                <w:sz w:val="24"/>
              </w:rPr>
              <w:t xml:space="preserve"> v </w:t>
            </w:r>
            <w:r w:rsidRPr="00D85C65">
              <w:rPr>
                <w:rFonts w:ascii="Times New Roman" w:hAnsi="Times New Roman"/>
                <w:sz w:val="24"/>
              </w:rPr>
              <w:t>článku 501 ods. 1 CRR sa nezohľadňuje.</w:t>
            </w:r>
          </w:p>
        </w:tc>
      </w:tr>
      <w:tr w:rsidR="00235D9D" w:rsidRPr="00D85C65" w14:paraId="72EE3687" w14:textId="77777777" w:rsidTr="00672D2A">
        <w:tc>
          <w:tcPr>
            <w:tcW w:w="1188" w:type="dxa"/>
            <w:shd w:val="clear" w:color="auto" w:fill="auto"/>
          </w:tcPr>
          <w:p w14:paraId="71B6C259" w14:textId="77777777" w:rsidR="00235D9D" w:rsidRPr="00D85C65" w:rsidRDefault="001C7AB7">
            <w:pPr>
              <w:rPr>
                <w:rFonts w:ascii="Times New Roman" w:hAnsi="Times New Roman"/>
                <w:sz w:val="24"/>
              </w:rPr>
            </w:pPr>
            <w:r w:rsidRPr="00D85C65">
              <w:rPr>
                <w:rFonts w:ascii="Times New Roman" w:hAnsi="Times New Roman"/>
                <w:sz w:val="24"/>
              </w:rPr>
              <w:t>260</w:t>
            </w:r>
          </w:p>
        </w:tc>
        <w:tc>
          <w:tcPr>
            <w:tcW w:w="8843" w:type="dxa"/>
            <w:shd w:val="clear" w:color="auto" w:fill="auto"/>
          </w:tcPr>
          <w:p w14:paraId="0B4AC5EF"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HODNOTA RIZIKOVO VÁŽENÝCH EXPOZÍCIÍ PO KOEFICIENTE NA PODPORU MSP</w:t>
            </w:r>
          </w:p>
          <w:p w14:paraId="4E982BC7" w14:textId="0EC071CB" w:rsidR="00235D9D" w:rsidRPr="00D85C65" w:rsidRDefault="001C7AB7">
            <w:pPr>
              <w:rPr>
                <w:rFonts w:ascii="Times New Roman" w:hAnsi="Times New Roman"/>
                <w:sz w:val="24"/>
              </w:rPr>
            </w:pPr>
            <w:r w:rsidRPr="00D85C65">
              <w:rPr>
                <w:rFonts w:ascii="Times New Roman" w:hAnsi="Times New Roman"/>
                <w:sz w:val="24"/>
              </w:rPr>
              <w:t>Pre ústredné vlády</w:t>
            </w:r>
            <w:r w:rsidR="00D85C65">
              <w:rPr>
                <w:rFonts w:ascii="Times New Roman" w:hAnsi="Times New Roman"/>
                <w:sz w:val="24"/>
              </w:rPr>
              <w:t xml:space="preserve"> a </w:t>
            </w:r>
            <w:r w:rsidRPr="00D85C65">
              <w:rPr>
                <w:rFonts w:ascii="Times New Roman" w:hAnsi="Times New Roman"/>
                <w:sz w:val="24"/>
              </w:rPr>
              <w:t>centrálne banky, podnikateľské subjekty</w:t>
            </w:r>
            <w:r w:rsidR="00D85C65">
              <w:rPr>
                <w:rFonts w:ascii="Times New Roman" w:hAnsi="Times New Roman"/>
                <w:sz w:val="24"/>
              </w:rPr>
              <w:t xml:space="preserve"> a </w:t>
            </w:r>
            <w:r w:rsidRPr="00D85C65">
              <w:rPr>
                <w:rFonts w:ascii="Times New Roman" w:hAnsi="Times New Roman"/>
                <w:sz w:val="24"/>
              </w:rPr>
              <w:t>inštitúcie pozri článok 153 ods. 1</w:t>
            </w:r>
            <w:r w:rsidR="00D85C65">
              <w:rPr>
                <w:rFonts w:ascii="Times New Roman" w:hAnsi="Times New Roman"/>
                <w:sz w:val="24"/>
              </w:rPr>
              <w:t xml:space="preserve"> a </w:t>
            </w:r>
            <w:r w:rsidRPr="00D85C65">
              <w:rPr>
                <w:rFonts w:ascii="Times New Roman" w:hAnsi="Times New Roman"/>
                <w:sz w:val="24"/>
              </w:rPr>
              <w:t>3 CRR. Pre retail pozri článok 154 ods. 1 CRR.</w:t>
            </w:r>
          </w:p>
          <w:p w14:paraId="3ED455D9" w14:textId="77BAF301" w:rsidR="00235D9D" w:rsidRPr="00D85C65" w:rsidRDefault="001C7AB7">
            <w:pPr>
              <w:rPr>
                <w:rFonts w:ascii="Times New Roman" w:hAnsi="Times New Roman"/>
                <w:b/>
                <w:sz w:val="24"/>
                <w:u w:val="single"/>
              </w:rPr>
            </w:pPr>
            <w:r w:rsidRPr="00D85C65">
              <w:rPr>
                <w:rFonts w:ascii="Times New Roman" w:hAnsi="Times New Roman"/>
                <w:sz w:val="24"/>
              </w:rPr>
              <w:t>Koeficient na podporu MSP uvedený</w:t>
            </w:r>
            <w:r w:rsidR="00D85C65">
              <w:rPr>
                <w:rFonts w:ascii="Times New Roman" w:hAnsi="Times New Roman"/>
                <w:sz w:val="24"/>
              </w:rPr>
              <w:t xml:space="preserve"> v </w:t>
            </w:r>
            <w:r w:rsidRPr="00D85C65">
              <w:rPr>
                <w:rFonts w:ascii="Times New Roman" w:hAnsi="Times New Roman"/>
                <w:sz w:val="24"/>
              </w:rPr>
              <w:t>článku 501 ods. 1 CRR sa zohľadňuje.</w:t>
            </w:r>
          </w:p>
        </w:tc>
      </w:tr>
      <w:tr w:rsidR="00235D9D" w:rsidRPr="00D85C65" w14:paraId="134DDB1B" w14:textId="77777777" w:rsidTr="00672D2A">
        <w:tc>
          <w:tcPr>
            <w:tcW w:w="1188" w:type="dxa"/>
            <w:shd w:val="clear" w:color="auto" w:fill="auto"/>
          </w:tcPr>
          <w:p w14:paraId="37AECAEF" w14:textId="77777777" w:rsidR="00235D9D" w:rsidRPr="00D85C65" w:rsidRDefault="001C7AB7">
            <w:pPr>
              <w:rPr>
                <w:rFonts w:ascii="Times New Roman" w:hAnsi="Times New Roman"/>
                <w:sz w:val="24"/>
              </w:rPr>
            </w:pPr>
            <w:r w:rsidRPr="00D85C65">
              <w:rPr>
                <w:rFonts w:ascii="Times New Roman" w:hAnsi="Times New Roman"/>
                <w:sz w:val="24"/>
              </w:rPr>
              <w:t>270</w:t>
            </w:r>
          </w:p>
        </w:tc>
        <w:tc>
          <w:tcPr>
            <w:tcW w:w="8843" w:type="dxa"/>
            <w:shd w:val="clear" w:color="auto" w:fill="auto"/>
          </w:tcPr>
          <w:p w14:paraId="47AC1042"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Z ČOHO: VEĽKÉ SUBJEKTY FINANČNÉHO SEKTORA A NEREGULOVANÉ FINANČNÉ SUBJEKTY</w:t>
            </w:r>
          </w:p>
          <w:p w14:paraId="2EF8A139" w14:textId="58B12EF0" w:rsidR="00235D9D" w:rsidRPr="00D85C65" w:rsidDel="005A2363" w:rsidRDefault="001C7AB7">
            <w:pPr>
              <w:rPr>
                <w:rFonts w:ascii="Times New Roman" w:hAnsi="Times New Roman"/>
                <w:sz w:val="24"/>
              </w:rPr>
            </w:pPr>
            <w:r w:rsidRPr="00D85C65">
              <w:rPr>
                <w:rFonts w:ascii="Times New Roman" w:hAnsi="Times New Roman"/>
                <w:sz w:val="24"/>
              </w:rPr>
              <w:t>Rozčlenenie hodnoty rizikovo vážených expozícií po uplatnení koeficientu na podporu MSP pre všetky expozície voči veľkým subjektom finančného sektora, ako sú vymedzené</w:t>
            </w:r>
            <w:r w:rsidR="00D85C65">
              <w:rPr>
                <w:rFonts w:ascii="Times New Roman" w:hAnsi="Times New Roman"/>
                <w:sz w:val="24"/>
              </w:rPr>
              <w:t xml:space="preserve"> v </w:t>
            </w:r>
            <w:r w:rsidRPr="00D85C65">
              <w:rPr>
                <w:rFonts w:ascii="Times New Roman" w:hAnsi="Times New Roman"/>
                <w:sz w:val="24"/>
              </w:rPr>
              <w:t>článku 142 ods. 4 CRR,</w:t>
            </w:r>
            <w:r w:rsidR="00D85C65">
              <w:rPr>
                <w:rFonts w:ascii="Times New Roman" w:hAnsi="Times New Roman"/>
                <w:sz w:val="24"/>
              </w:rPr>
              <w:t xml:space="preserve"> a </w:t>
            </w:r>
            <w:r w:rsidRPr="00D85C65">
              <w:rPr>
                <w:rFonts w:ascii="Times New Roman" w:hAnsi="Times New Roman"/>
                <w:sz w:val="24"/>
              </w:rPr>
              <w:t>voči neregulovaným subjektom finančného sektora, ako sú vymedzené</w:t>
            </w:r>
            <w:r w:rsidR="00D85C65">
              <w:rPr>
                <w:rFonts w:ascii="Times New Roman" w:hAnsi="Times New Roman"/>
                <w:sz w:val="24"/>
              </w:rPr>
              <w:t xml:space="preserve"> v </w:t>
            </w:r>
            <w:r w:rsidRPr="00D85C65">
              <w:rPr>
                <w:rFonts w:ascii="Times New Roman" w:hAnsi="Times New Roman"/>
                <w:sz w:val="24"/>
              </w:rPr>
              <w:t>článku 142 ods. 5 CRR, na ktoré sa uplatňuje vyššia korelácia určená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153 ods. 2 CRR.</w:t>
            </w:r>
          </w:p>
        </w:tc>
      </w:tr>
      <w:tr w:rsidR="00235D9D" w:rsidRPr="00D85C65" w14:paraId="16206C6A" w14:textId="77777777" w:rsidTr="00672D2A">
        <w:tc>
          <w:tcPr>
            <w:tcW w:w="1188" w:type="dxa"/>
          </w:tcPr>
          <w:p w14:paraId="2CDB54A8" w14:textId="77777777" w:rsidR="00235D9D" w:rsidRPr="00D85C65" w:rsidRDefault="001C7AB7">
            <w:pPr>
              <w:rPr>
                <w:rFonts w:ascii="Times New Roman" w:hAnsi="Times New Roman"/>
                <w:sz w:val="24"/>
              </w:rPr>
            </w:pPr>
            <w:r w:rsidRPr="00D85C65">
              <w:rPr>
                <w:rFonts w:ascii="Times New Roman" w:hAnsi="Times New Roman"/>
                <w:sz w:val="24"/>
              </w:rPr>
              <w:t>280</w:t>
            </w:r>
          </w:p>
        </w:tc>
        <w:tc>
          <w:tcPr>
            <w:tcW w:w="8843" w:type="dxa"/>
          </w:tcPr>
          <w:p w14:paraId="754B6D32"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HODNOTA OČAKÁVANEJ STRATY</w:t>
            </w:r>
          </w:p>
          <w:p w14:paraId="69A911E5" w14:textId="7FBA7F83" w:rsidR="00235D9D" w:rsidRPr="00D85C65" w:rsidRDefault="001C7AB7">
            <w:pPr>
              <w:jc w:val="left"/>
              <w:rPr>
                <w:rFonts w:ascii="Times New Roman" w:hAnsi="Times New Roman"/>
                <w:sz w:val="24"/>
              </w:rPr>
            </w:pPr>
            <w:r w:rsidRPr="00D85C65">
              <w:rPr>
                <w:rFonts w:ascii="Times New Roman" w:hAnsi="Times New Roman"/>
                <w:sz w:val="24"/>
              </w:rPr>
              <w:t>Pre vymedzenie očakávanej straty pozri článok 5 ods. 3 CRR</w:t>
            </w:r>
            <w:r w:rsidR="00D85C65">
              <w:rPr>
                <w:rFonts w:ascii="Times New Roman" w:hAnsi="Times New Roman"/>
                <w:sz w:val="24"/>
              </w:rPr>
              <w:t xml:space="preserve"> a </w:t>
            </w:r>
            <w:r w:rsidRPr="00D85C65">
              <w:rPr>
                <w:rFonts w:ascii="Times New Roman" w:hAnsi="Times New Roman"/>
                <w:sz w:val="24"/>
              </w:rPr>
              <w:t>pre výpočet hodnôt očakávanej straty pozri článok 158 CRR. Vykazovaná hodnota očakávanej straty je založená na parametroch rizika, ktoré sa skutočne používajú</w:t>
            </w:r>
            <w:r w:rsidR="00D85C65">
              <w:rPr>
                <w:rFonts w:ascii="Times New Roman" w:hAnsi="Times New Roman"/>
                <w:sz w:val="24"/>
              </w:rPr>
              <w:t xml:space="preserve"> v </w:t>
            </w:r>
            <w:r w:rsidRPr="00D85C65">
              <w:rPr>
                <w:rFonts w:ascii="Times New Roman" w:hAnsi="Times New Roman"/>
                <w:sz w:val="24"/>
              </w:rPr>
              <w:t>internom ratingovom systéme schválenom dotknutým príslušným orgánom.</w:t>
            </w:r>
          </w:p>
        </w:tc>
      </w:tr>
      <w:tr w:rsidR="00235D9D" w:rsidRPr="00D85C65" w14:paraId="040F1978" w14:textId="77777777" w:rsidTr="00672D2A">
        <w:tc>
          <w:tcPr>
            <w:tcW w:w="1188" w:type="dxa"/>
          </w:tcPr>
          <w:p w14:paraId="74EBD966" w14:textId="77777777" w:rsidR="00235D9D" w:rsidRPr="00D85C65" w:rsidRDefault="001C7AB7">
            <w:pPr>
              <w:rPr>
                <w:rFonts w:ascii="Times New Roman" w:hAnsi="Times New Roman"/>
                <w:sz w:val="24"/>
              </w:rPr>
            </w:pPr>
            <w:r w:rsidRPr="00D85C65">
              <w:rPr>
                <w:rFonts w:ascii="Times New Roman" w:hAnsi="Times New Roman"/>
                <w:sz w:val="24"/>
              </w:rPr>
              <w:t>290</w:t>
            </w:r>
          </w:p>
        </w:tc>
        <w:tc>
          <w:tcPr>
            <w:tcW w:w="8843" w:type="dxa"/>
          </w:tcPr>
          <w:p w14:paraId="1700156B"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 ÚPRAVY OCENENIA A REZERVY</w:t>
            </w:r>
          </w:p>
          <w:p w14:paraId="79426AFB" w14:textId="07B7D5F3" w:rsidR="00235D9D" w:rsidRPr="00D85C65" w:rsidRDefault="001C7AB7">
            <w:pPr>
              <w:rPr>
                <w:rFonts w:ascii="Times New Roman" w:hAnsi="Times New Roman"/>
                <w:sz w:val="24"/>
                <w:highlight w:val="yellow"/>
              </w:rPr>
            </w:pPr>
            <w:r w:rsidRPr="00D85C65">
              <w:rPr>
                <w:rFonts w:ascii="Times New Roman" w:hAnsi="Times New Roman"/>
                <w:sz w:val="24"/>
              </w:rPr>
              <w:t>Vykazujú sa úpravy ocenenia, ako aj špecifické</w:t>
            </w:r>
            <w:r w:rsidR="00D85C65">
              <w:rPr>
                <w:rFonts w:ascii="Times New Roman" w:hAnsi="Times New Roman"/>
                <w:sz w:val="24"/>
              </w:rPr>
              <w:t xml:space="preserve"> a </w:t>
            </w:r>
            <w:r w:rsidRPr="00D85C65">
              <w:rPr>
                <w:rFonts w:ascii="Times New Roman" w:hAnsi="Times New Roman"/>
                <w:sz w:val="24"/>
              </w:rPr>
              <w:t>všeobecné úpravy kreditného rizika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159 CRR. Všeobecné</w:t>
            </w:r>
            <w:r w:rsidRPr="00D85C65">
              <w:rPr>
                <w:rFonts w:ascii="Times New Roman" w:hAnsi="Times New Roman"/>
                <w:b/>
                <w:bCs/>
                <w:i/>
                <w:iCs/>
                <w:sz w:val="24"/>
              </w:rPr>
              <w:t xml:space="preserve"> </w:t>
            </w:r>
            <w:r w:rsidRPr="00D85C65">
              <w:rPr>
                <w:rFonts w:ascii="Times New Roman" w:hAnsi="Times New Roman"/>
                <w:sz w:val="24"/>
              </w:rPr>
              <w:t>úpravy kreditného rizika sa vykazujú zaradením na pomernom základe podľa očakávanej straty rôznych ratingových stupňov dlžníkov.</w:t>
            </w:r>
          </w:p>
        </w:tc>
      </w:tr>
      <w:tr w:rsidR="00235D9D" w:rsidRPr="00D85C65" w14:paraId="7AF7ED08" w14:textId="77777777" w:rsidTr="00672D2A">
        <w:tc>
          <w:tcPr>
            <w:tcW w:w="1188" w:type="dxa"/>
          </w:tcPr>
          <w:p w14:paraId="5250D4DA" w14:textId="77777777" w:rsidR="00235D9D" w:rsidRPr="00D85C65" w:rsidRDefault="001C7AB7">
            <w:pPr>
              <w:ind w:right="-288"/>
              <w:rPr>
                <w:rFonts w:ascii="Times New Roman" w:hAnsi="Times New Roman"/>
                <w:sz w:val="24"/>
              </w:rPr>
            </w:pPr>
            <w:r w:rsidRPr="00D85C65">
              <w:rPr>
                <w:rFonts w:ascii="Times New Roman" w:hAnsi="Times New Roman"/>
                <w:sz w:val="24"/>
              </w:rPr>
              <w:t>300</w:t>
            </w:r>
          </w:p>
        </w:tc>
        <w:tc>
          <w:tcPr>
            <w:tcW w:w="8843" w:type="dxa"/>
          </w:tcPr>
          <w:p w14:paraId="02029B3F" w14:textId="77777777" w:rsidR="00235D9D" w:rsidRPr="00D85C65" w:rsidRDefault="001C7AB7">
            <w:pPr>
              <w:ind w:right="-288"/>
              <w:rPr>
                <w:rFonts w:ascii="Times New Roman" w:hAnsi="Times New Roman"/>
                <w:b/>
                <w:sz w:val="24"/>
                <w:u w:val="single"/>
              </w:rPr>
            </w:pPr>
            <w:r w:rsidRPr="00D85C65">
              <w:rPr>
                <w:rFonts w:ascii="Times New Roman" w:hAnsi="Times New Roman"/>
                <w:b/>
                <w:sz w:val="24"/>
                <w:u w:val="single"/>
              </w:rPr>
              <w:t>POČET DLŽNÍKOV</w:t>
            </w:r>
          </w:p>
          <w:p w14:paraId="390A7084" w14:textId="7773B477" w:rsidR="00235D9D" w:rsidRPr="00D85C65" w:rsidRDefault="00BD6DB9">
            <w:pPr>
              <w:rPr>
                <w:rFonts w:ascii="Times New Roman" w:hAnsi="Times New Roman"/>
                <w:sz w:val="24"/>
              </w:rPr>
            </w:pPr>
            <w:r w:rsidRPr="00D85C65">
              <w:rPr>
                <w:rFonts w:ascii="Times New Roman" w:hAnsi="Times New Roman"/>
                <w:sz w:val="24"/>
              </w:rPr>
              <w:t>Článok 172 ods. 1</w:t>
            </w:r>
            <w:r w:rsidR="00D85C65">
              <w:rPr>
                <w:rFonts w:ascii="Times New Roman" w:hAnsi="Times New Roman"/>
                <w:sz w:val="24"/>
              </w:rPr>
              <w:t xml:space="preserve"> a </w:t>
            </w:r>
            <w:r w:rsidRPr="00D85C65">
              <w:rPr>
                <w:rFonts w:ascii="Times New Roman" w:hAnsi="Times New Roman"/>
                <w:sz w:val="24"/>
              </w:rPr>
              <w:t>2 CRR.</w:t>
            </w:r>
          </w:p>
          <w:p w14:paraId="03CB282D" w14:textId="09C81337" w:rsidR="00D85C65" w:rsidRDefault="001C7AB7">
            <w:pPr>
              <w:rPr>
                <w:rFonts w:ascii="Times New Roman" w:hAnsi="Times New Roman"/>
                <w:sz w:val="24"/>
              </w:rPr>
            </w:pPr>
            <w:r w:rsidRPr="00D85C65">
              <w:rPr>
                <w:rFonts w:ascii="Times New Roman" w:hAnsi="Times New Roman"/>
                <w:sz w:val="24"/>
              </w:rPr>
              <w:t>Inštitúcia vykazuje pre všetky triedy expozícií okrem triedy expozícií retail</w:t>
            </w:r>
            <w:r w:rsidR="00D85C65">
              <w:rPr>
                <w:rFonts w:ascii="Times New Roman" w:hAnsi="Times New Roman"/>
                <w:sz w:val="24"/>
              </w:rPr>
              <w:t xml:space="preserve"> a </w:t>
            </w:r>
            <w:r w:rsidRPr="00D85C65">
              <w:rPr>
                <w:rFonts w:ascii="Times New Roman" w:hAnsi="Times New Roman"/>
                <w:sz w:val="24"/>
              </w:rPr>
              <w:t>prípadov uvedených</w:t>
            </w:r>
            <w:r w:rsidR="00D85C65">
              <w:rPr>
                <w:rFonts w:ascii="Times New Roman" w:hAnsi="Times New Roman"/>
                <w:sz w:val="24"/>
              </w:rPr>
              <w:t xml:space="preserve"> v </w:t>
            </w:r>
            <w:r w:rsidRPr="00D85C65">
              <w:rPr>
                <w:rFonts w:ascii="Times New Roman" w:hAnsi="Times New Roman"/>
                <w:sz w:val="24"/>
              </w:rPr>
              <w:t>článku 172 ods. 1 písm. e) druhej vete CRR počet právnych subjektov/dlžníkov, pre ktorých sa jednotlivo vykonalo ratingové hodnotenie, bez ohľadu na počet jednotlivých úverov alebo poskytnutých expozícií</w:t>
            </w:r>
            <w:r w:rsidR="00D85C65">
              <w:rPr>
                <w:rFonts w:ascii="Times New Roman" w:hAnsi="Times New Roman"/>
                <w:sz w:val="24"/>
              </w:rPr>
              <w:t>.</w:t>
            </w:r>
          </w:p>
          <w:p w14:paraId="5B24290D" w14:textId="02CCE744" w:rsidR="00235D9D" w:rsidRPr="00D85C65" w:rsidRDefault="001C7AB7">
            <w:pPr>
              <w:rPr>
                <w:rFonts w:ascii="Times New Roman" w:hAnsi="Times New Roman"/>
                <w:sz w:val="24"/>
              </w:rPr>
            </w:pPr>
            <w:r w:rsidRPr="00D85C65">
              <w:rPr>
                <w:rFonts w:ascii="Times New Roman" w:hAnsi="Times New Roman"/>
                <w:sz w:val="24"/>
              </w:rPr>
              <w:t>V rámci triedy expozícií retail alebo ak sa samostatné expozície voči rovnakému dlžníkovi zaradia do rôznych ratingových stupňov dlžníkov</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172 ods. 1 písm. e) </w:t>
            </w:r>
            <w:r w:rsidRPr="00D85C65">
              <w:rPr>
                <w:rFonts w:ascii="Times New Roman" w:hAnsi="Times New Roman"/>
                <w:sz w:val="24"/>
              </w:rPr>
              <w:lastRenderedPageBreak/>
              <w:t>druhou vetou CRR</w:t>
            </w:r>
            <w:r w:rsidR="00D85C65">
              <w:rPr>
                <w:rFonts w:ascii="Times New Roman" w:hAnsi="Times New Roman"/>
                <w:sz w:val="24"/>
              </w:rPr>
              <w:t xml:space="preserve"> v </w:t>
            </w:r>
            <w:r w:rsidRPr="00D85C65">
              <w:rPr>
                <w:rFonts w:ascii="Times New Roman" w:hAnsi="Times New Roman"/>
                <w:sz w:val="24"/>
              </w:rPr>
              <w:t>iných triedach expozícií, inštitúcia vykazuje počet expozícií, ktoré boli samostatne zaradené do určitého ratingového stupňa alebo skupiny.</w:t>
            </w:r>
            <w:r w:rsidR="00D85C65">
              <w:rPr>
                <w:rFonts w:ascii="Times New Roman" w:hAnsi="Times New Roman"/>
                <w:sz w:val="24"/>
              </w:rPr>
              <w:t xml:space="preserve"> V </w:t>
            </w:r>
            <w:r w:rsidRPr="00D85C65">
              <w:rPr>
                <w:rFonts w:ascii="Times New Roman" w:hAnsi="Times New Roman"/>
                <w:sz w:val="24"/>
              </w:rPr>
              <w:t>prípade, že sa uplatňuje článok 172 ods. 2 CRR, dlžník môže byť zaradený do viacerých stupňov.</w:t>
            </w:r>
          </w:p>
          <w:p w14:paraId="1547B503" w14:textId="0F8588DA" w:rsidR="00235D9D" w:rsidRPr="00D85C65" w:rsidRDefault="001C7AB7">
            <w:pPr>
              <w:rPr>
                <w:rFonts w:ascii="Times New Roman" w:hAnsi="Times New Roman"/>
                <w:sz w:val="24"/>
              </w:rPr>
            </w:pPr>
            <w:r w:rsidRPr="00D85C65">
              <w:rPr>
                <w:rStyle w:val="InstructionsTabelleText"/>
                <w:rFonts w:ascii="Times New Roman" w:hAnsi="Times New Roman"/>
                <w:sz w:val="24"/>
              </w:rPr>
              <w:t>Keďže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stĺpci ide</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prvok štruktúry ratingových systémov, týka sa pôvodných expozícií pred uplatnením konverzného faktora priradeného každému ratingovému stupňu alebo skupine dlžníkov bez zohľadnenia účinku postupov na zmiernenie kreditného rizika (najmä účinkov preradenia).</w:t>
            </w:r>
          </w:p>
        </w:tc>
      </w:tr>
    </w:tbl>
    <w:p w14:paraId="144D4DE9" w14:textId="77777777" w:rsidR="00235D9D" w:rsidRPr="00D85C65" w:rsidRDefault="00235D9D">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235D9D" w:rsidRPr="00D85C65" w14:paraId="67A7870D" w14:textId="77777777" w:rsidTr="00672D2A">
        <w:tc>
          <w:tcPr>
            <w:tcW w:w="1242" w:type="dxa"/>
            <w:shd w:val="clear" w:color="auto" w:fill="CCCCCC"/>
          </w:tcPr>
          <w:p w14:paraId="74B29CD0" w14:textId="77777777" w:rsidR="00235D9D" w:rsidRPr="00D85C65" w:rsidRDefault="001C7AB7">
            <w:pPr>
              <w:rPr>
                <w:rFonts w:ascii="Times New Roman" w:hAnsi="Times New Roman"/>
                <w:sz w:val="24"/>
              </w:rPr>
            </w:pPr>
            <w:r w:rsidRPr="00D85C65">
              <w:rPr>
                <w:rFonts w:ascii="Times New Roman" w:hAnsi="Times New Roman"/>
                <w:sz w:val="24"/>
              </w:rPr>
              <w:t>Riadky</w:t>
            </w:r>
          </w:p>
        </w:tc>
        <w:tc>
          <w:tcPr>
            <w:tcW w:w="8789" w:type="dxa"/>
            <w:shd w:val="clear" w:color="auto" w:fill="CCCCCC"/>
          </w:tcPr>
          <w:p w14:paraId="0336C81C" w14:textId="77777777" w:rsidR="00235D9D" w:rsidRPr="00D85C65" w:rsidRDefault="001C7AB7">
            <w:pPr>
              <w:ind w:left="72"/>
              <w:rPr>
                <w:rFonts w:ascii="Times New Roman" w:hAnsi="Times New Roman"/>
                <w:sz w:val="24"/>
              </w:rPr>
            </w:pPr>
            <w:r w:rsidRPr="00D85C65">
              <w:rPr>
                <w:rFonts w:ascii="Times New Roman" w:hAnsi="Times New Roman"/>
                <w:sz w:val="24"/>
              </w:rPr>
              <w:t>Pokyny</w:t>
            </w:r>
          </w:p>
        </w:tc>
      </w:tr>
      <w:tr w:rsidR="00235D9D" w:rsidRPr="00D85C65" w14:paraId="2C25964C" w14:textId="77777777" w:rsidTr="00672D2A">
        <w:tc>
          <w:tcPr>
            <w:tcW w:w="1242" w:type="dxa"/>
          </w:tcPr>
          <w:p w14:paraId="20F4F65D" w14:textId="77777777" w:rsidR="00235D9D" w:rsidRPr="00D85C65" w:rsidRDefault="001C7AB7">
            <w:pPr>
              <w:rPr>
                <w:rFonts w:ascii="Times New Roman" w:hAnsi="Times New Roman"/>
                <w:sz w:val="24"/>
              </w:rPr>
            </w:pPr>
            <w:r w:rsidRPr="00D85C65">
              <w:rPr>
                <w:rFonts w:ascii="Times New Roman" w:hAnsi="Times New Roman"/>
                <w:sz w:val="24"/>
              </w:rPr>
              <w:t>010</w:t>
            </w:r>
          </w:p>
        </w:tc>
        <w:tc>
          <w:tcPr>
            <w:tcW w:w="8789" w:type="dxa"/>
          </w:tcPr>
          <w:p w14:paraId="709C02D5" w14:textId="77777777" w:rsidR="00235D9D" w:rsidRPr="00D85C65" w:rsidRDefault="001C7AB7">
            <w:pPr>
              <w:rPr>
                <w:rFonts w:ascii="Times New Roman" w:hAnsi="Times New Roman"/>
                <w:sz w:val="24"/>
              </w:rPr>
            </w:pPr>
            <w:r w:rsidRPr="00D85C65">
              <w:rPr>
                <w:rFonts w:ascii="Times New Roman" w:hAnsi="Times New Roman"/>
                <w:b/>
                <w:sz w:val="24"/>
                <w:u w:val="single"/>
              </w:rPr>
              <w:t>CELKOVÉ EXPOZÍCIE</w:t>
            </w:r>
          </w:p>
        </w:tc>
      </w:tr>
      <w:tr w:rsidR="00235D9D" w:rsidRPr="00D85C65" w14:paraId="00F02146" w14:textId="77777777" w:rsidTr="00672D2A">
        <w:tc>
          <w:tcPr>
            <w:tcW w:w="1242" w:type="dxa"/>
          </w:tcPr>
          <w:p w14:paraId="3903B142" w14:textId="77777777" w:rsidR="00235D9D" w:rsidRPr="00D85C65" w:rsidRDefault="003C3168">
            <w:pPr>
              <w:rPr>
                <w:rFonts w:ascii="Times New Roman" w:hAnsi="Times New Roman"/>
                <w:sz w:val="24"/>
              </w:rPr>
            </w:pPr>
            <w:r w:rsidRPr="00D85C65">
              <w:rPr>
                <w:rFonts w:ascii="Times New Roman" w:hAnsi="Times New Roman"/>
                <w:sz w:val="24"/>
              </w:rPr>
              <w:t>015</w:t>
            </w:r>
          </w:p>
        </w:tc>
        <w:tc>
          <w:tcPr>
            <w:tcW w:w="8789" w:type="dxa"/>
          </w:tcPr>
          <w:p w14:paraId="5DB40E09" w14:textId="77777777" w:rsidR="00235D9D" w:rsidRPr="00D85C65" w:rsidRDefault="00785F3E">
            <w:pPr>
              <w:rPr>
                <w:rFonts w:ascii="Times New Roman" w:hAnsi="Times New Roman"/>
                <w:b/>
                <w:sz w:val="24"/>
                <w:u w:val="single"/>
              </w:rPr>
            </w:pPr>
            <w:r w:rsidRPr="00D85C65">
              <w:rPr>
                <w:rFonts w:ascii="Times New Roman" w:hAnsi="Times New Roman"/>
                <w:b/>
                <w:sz w:val="24"/>
                <w:u w:val="single"/>
              </w:rPr>
              <w:t>z čoho: expozície, na ktoré sa uplatňuje koeficient na podporu MSP</w:t>
            </w:r>
          </w:p>
          <w:p w14:paraId="5F8B6009" w14:textId="77777777" w:rsidR="00235D9D" w:rsidRPr="00D85C65" w:rsidRDefault="00785F3E">
            <w:pPr>
              <w:rPr>
                <w:rFonts w:ascii="Times New Roman" w:hAnsi="Times New Roman"/>
                <w:sz w:val="24"/>
              </w:rPr>
            </w:pPr>
            <w:r w:rsidRPr="00D85C65">
              <w:rPr>
                <w:rFonts w:ascii="Times New Roman" w:hAnsi="Times New Roman"/>
                <w:sz w:val="24"/>
              </w:rPr>
              <w:t>Vykazujú sa tu len expozície, ktoré spĺňajú požiadavky článku 501 ods. 2 CRR.</w:t>
            </w:r>
          </w:p>
        </w:tc>
      </w:tr>
      <w:tr w:rsidR="00235D9D" w:rsidRPr="00D85C65" w14:paraId="6936BCF8" w14:textId="77777777" w:rsidTr="00672D2A">
        <w:tc>
          <w:tcPr>
            <w:tcW w:w="1242" w:type="dxa"/>
          </w:tcPr>
          <w:p w14:paraId="17393267" w14:textId="77777777" w:rsidR="00235D9D" w:rsidRPr="00D85C65" w:rsidRDefault="001C7AB7">
            <w:pPr>
              <w:rPr>
                <w:rFonts w:ascii="Times New Roman" w:hAnsi="Times New Roman"/>
                <w:sz w:val="24"/>
              </w:rPr>
            </w:pPr>
            <w:r w:rsidRPr="00D85C65">
              <w:rPr>
                <w:rFonts w:ascii="Times New Roman" w:hAnsi="Times New Roman"/>
                <w:sz w:val="24"/>
              </w:rPr>
              <w:t>020 – 060</w:t>
            </w:r>
          </w:p>
        </w:tc>
        <w:tc>
          <w:tcPr>
            <w:tcW w:w="8789" w:type="dxa"/>
          </w:tcPr>
          <w:p w14:paraId="084F6733" w14:textId="77777777" w:rsidR="00235D9D" w:rsidRPr="00D85C65" w:rsidRDefault="001C7AB7">
            <w:pPr>
              <w:rPr>
                <w:rFonts w:ascii="Times New Roman" w:hAnsi="Times New Roman"/>
                <w:sz w:val="24"/>
              </w:rPr>
            </w:pPr>
            <w:r w:rsidRPr="00D85C65">
              <w:rPr>
                <w:rFonts w:ascii="Times New Roman" w:hAnsi="Times New Roman"/>
                <w:sz w:val="24"/>
              </w:rPr>
              <w:t>ROZČLENENIE CELKOVÝCH EXPOZÍCIÍ PODĽA DRUHOV EXPOZÍCIÍ:</w:t>
            </w:r>
          </w:p>
        </w:tc>
      </w:tr>
      <w:tr w:rsidR="00235D9D" w:rsidRPr="00D85C65" w14:paraId="0C7A79BA" w14:textId="77777777" w:rsidTr="00672D2A">
        <w:tc>
          <w:tcPr>
            <w:tcW w:w="1242" w:type="dxa"/>
          </w:tcPr>
          <w:p w14:paraId="73FC6971" w14:textId="77777777" w:rsidR="00235D9D" w:rsidRPr="00D85C65" w:rsidRDefault="001C7AB7">
            <w:pPr>
              <w:rPr>
                <w:rFonts w:ascii="Times New Roman" w:hAnsi="Times New Roman"/>
                <w:sz w:val="24"/>
              </w:rPr>
            </w:pPr>
            <w:r w:rsidRPr="00D85C65">
              <w:rPr>
                <w:rFonts w:ascii="Times New Roman" w:hAnsi="Times New Roman"/>
                <w:sz w:val="24"/>
              </w:rPr>
              <w:t>020</w:t>
            </w:r>
          </w:p>
        </w:tc>
        <w:tc>
          <w:tcPr>
            <w:tcW w:w="8789" w:type="dxa"/>
          </w:tcPr>
          <w:p w14:paraId="1D4801D8" w14:textId="77777777" w:rsidR="00D85C65" w:rsidRDefault="001C7AB7">
            <w:pPr>
              <w:rPr>
                <w:rFonts w:ascii="Times New Roman" w:hAnsi="Times New Roman"/>
                <w:b/>
                <w:sz w:val="24"/>
                <w:u w:val="single"/>
              </w:rPr>
            </w:pPr>
            <w:r w:rsidRPr="00D85C65">
              <w:rPr>
                <w:rFonts w:ascii="Times New Roman" w:hAnsi="Times New Roman"/>
                <w:b/>
                <w:sz w:val="24"/>
                <w:u w:val="single"/>
              </w:rPr>
              <w:t>Súvahové položky podliehajúce kreditnému riziku</w:t>
            </w:r>
          </w:p>
          <w:p w14:paraId="28EA2A5D" w14:textId="76CFCF13"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Aktíva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24 CRR sa nezahŕňajú do žiadnej inej kategórie.</w:t>
            </w:r>
          </w:p>
          <w:p w14:paraId="3A67FB5E" w14:textId="3FA2C796"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Expozície, ktoré sú súvahovými položkami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ktoré sú zahrnuté ako transakcie spočívajúce vo financovaní cenných papierov, deriváty</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transakcie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dlhou dobou vyrovnania alebo expozície zo vzájomného krížového započítania produktov,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040 – 060,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preto sa nevykazujú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riadku.</w:t>
            </w:r>
          </w:p>
          <w:p w14:paraId="422306DC" w14:textId="00671B20"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Bezodplatné dodania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379 ods. 1 CRR (ak sa neodpočítavajú) síce nepredstavujú súvahovú položku, ale aj tak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riadku.</w:t>
            </w:r>
          </w:p>
          <w:p w14:paraId="54CB0B39" w14:textId="5B0B1296" w:rsidR="00235D9D" w:rsidRPr="00D85C65" w:rsidRDefault="001C7AB7">
            <w:pPr>
              <w:rPr>
                <w:rFonts w:ascii="Times New Roman" w:hAnsi="Times New Roman"/>
                <w:sz w:val="24"/>
              </w:rPr>
            </w:pPr>
            <w:r w:rsidRPr="00D85C65">
              <w:rPr>
                <w:rStyle w:val="InstructionsTabelleText"/>
                <w:rFonts w:ascii="Times New Roman" w:hAnsi="Times New Roman"/>
                <w:sz w:val="24"/>
              </w:rPr>
              <w:t>Expozície vyplývajúce</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aktív poskytnutých CCP podľa vymedzenia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4 ods. 1 bode 91 CRR sa zahrnú, ak sa nevykazujú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 xml:space="preserve">riadku 030. </w:t>
            </w:r>
          </w:p>
        </w:tc>
      </w:tr>
      <w:tr w:rsidR="00235D9D" w:rsidRPr="00D85C65" w14:paraId="6E8A95CE" w14:textId="77777777" w:rsidTr="00672D2A">
        <w:tc>
          <w:tcPr>
            <w:tcW w:w="1242" w:type="dxa"/>
          </w:tcPr>
          <w:p w14:paraId="519C9D40" w14:textId="77777777" w:rsidR="00235D9D" w:rsidRPr="00D85C65" w:rsidRDefault="001C7AB7">
            <w:pPr>
              <w:rPr>
                <w:rFonts w:ascii="Times New Roman" w:hAnsi="Times New Roman"/>
                <w:sz w:val="24"/>
              </w:rPr>
            </w:pPr>
            <w:r w:rsidRPr="00D85C65">
              <w:rPr>
                <w:rFonts w:ascii="Times New Roman" w:hAnsi="Times New Roman"/>
                <w:sz w:val="24"/>
              </w:rPr>
              <w:t>030</w:t>
            </w:r>
          </w:p>
        </w:tc>
        <w:tc>
          <w:tcPr>
            <w:tcW w:w="8789" w:type="dxa"/>
          </w:tcPr>
          <w:p w14:paraId="00498170"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Podsúvahové položky podliehajúce kreditnému riziku</w:t>
            </w:r>
          </w:p>
          <w:p w14:paraId="1EF7495B" w14:textId="7AED5CA7"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Podsúvahové položky tvoria položky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prílohe I CRR.</w:t>
            </w:r>
          </w:p>
          <w:p w14:paraId="0FC5ED39" w14:textId="4357825C" w:rsidR="00235D9D" w:rsidRPr="00D85C65" w:rsidRDefault="001C7AB7">
            <w:pPr>
              <w:rPr>
                <w:rStyle w:val="InstructionsTabelleText"/>
                <w:rFonts w:ascii="Times New Roman" w:hAnsi="Times New Roman"/>
                <w:sz w:val="24"/>
              </w:rPr>
            </w:pPr>
            <w:r w:rsidRPr="00D85C65">
              <w:rPr>
                <w:rStyle w:val="InstructionsTabelleText"/>
                <w:rFonts w:ascii="Times New Roman" w:hAnsi="Times New Roman"/>
                <w:sz w:val="24"/>
              </w:rPr>
              <w:t>Expozície, ktoré sú podsúvahovými položkami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ktoré sú zahrnuté ako transakcie spočívajúce vo financovaní cenných papierov, deriváty</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transakcie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dlhou dobou vyrovnania alebo expozície zo vzájomného krížového započítania produktov,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040 – 060,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preto sa nevykazujú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riadku.</w:t>
            </w:r>
          </w:p>
          <w:p w14:paraId="372A584F" w14:textId="4DF19710" w:rsidR="00235D9D" w:rsidRPr="00D85C65" w:rsidRDefault="001C7AB7">
            <w:pPr>
              <w:rPr>
                <w:rFonts w:ascii="Times New Roman" w:hAnsi="Times New Roman"/>
                <w:sz w:val="24"/>
              </w:rPr>
            </w:pPr>
            <w:r w:rsidRPr="00D85C65">
              <w:rPr>
                <w:rStyle w:val="InstructionsTabelleText"/>
                <w:rFonts w:ascii="Times New Roman" w:hAnsi="Times New Roman"/>
                <w:sz w:val="24"/>
              </w:rPr>
              <w:t>Expozície vyplývajúce</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aktív poskytnutých CCP podľa článku 4 ods. 1 bode 91 CRR sa zahrnú, ak sa považujú za podsúvahové položky.</w:t>
            </w:r>
          </w:p>
        </w:tc>
      </w:tr>
      <w:tr w:rsidR="00235D9D" w:rsidRPr="00D85C65" w14:paraId="7BC6039A" w14:textId="77777777" w:rsidTr="00672D2A">
        <w:tc>
          <w:tcPr>
            <w:tcW w:w="1242" w:type="dxa"/>
          </w:tcPr>
          <w:p w14:paraId="55A1E823" w14:textId="77777777" w:rsidR="00235D9D" w:rsidRPr="00D85C65" w:rsidRDefault="001C7AB7">
            <w:pPr>
              <w:rPr>
                <w:rFonts w:ascii="Times New Roman" w:hAnsi="Times New Roman"/>
                <w:sz w:val="24"/>
              </w:rPr>
            </w:pPr>
            <w:r w:rsidRPr="00D85C65">
              <w:rPr>
                <w:rStyle w:val="InstructionsTabelleText"/>
                <w:rFonts w:ascii="Times New Roman" w:hAnsi="Times New Roman"/>
                <w:sz w:val="24"/>
              </w:rPr>
              <w:t>040 – 060</w:t>
            </w:r>
          </w:p>
        </w:tc>
        <w:tc>
          <w:tcPr>
            <w:tcW w:w="8789" w:type="dxa"/>
          </w:tcPr>
          <w:p w14:paraId="3F535A8F" w14:textId="77777777" w:rsidR="00235D9D" w:rsidRPr="00D85C65" w:rsidRDefault="001C7AB7">
            <w:pPr>
              <w:rPr>
                <w:rFonts w:ascii="Times New Roman" w:hAnsi="Times New Roman"/>
                <w:b/>
                <w:sz w:val="24"/>
                <w:u w:val="single"/>
              </w:rPr>
            </w:pPr>
            <w:r w:rsidRPr="00D85C65">
              <w:rPr>
                <w:rStyle w:val="InstructionsTabelleberschrift"/>
                <w:rFonts w:ascii="Times New Roman" w:hAnsi="Times New Roman"/>
                <w:sz w:val="24"/>
              </w:rPr>
              <w:t>Expozície/transakcie vystavené kreditnému riziku protistrany</w:t>
            </w:r>
          </w:p>
        </w:tc>
      </w:tr>
      <w:tr w:rsidR="00235D9D" w:rsidRPr="00D85C65" w14:paraId="664A63CB" w14:textId="77777777" w:rsidTr="00672D2A">
        <w:tc>
          <w:tcPr>
            <w:tcW w:w="1242" w:type="dxa"/>
          </w:tcPr>
          <w:p w14:paraId="76851B1C" w14:textId="77777777" w:rsidR="00235D9D" w:rsidRPr="00D85C65" w:rsidRDefault="001C7AB7">
            <w:pPr>
              <w:rPr>
                <w:rFonts w:ascii="Times New Roman" w:hAnsi="Times New Roman"/>
                <w:sz w:val="24"/>
              </w:rPr>
            </w:pPr>
            <w:r w:rsidRPr="00D85C65">
              <w:rPr>
                <w:rFonts w:ascii="Times New Roman" w:hAnsi="Times New Roman"/>
                <w:sz w:val="24"/>
              </w:rPr>
              <w:t>040</w:t>
            </w:r>
          </w:p>
        </w:tc>
        <w:tc>
          <w:tcPr>
            <w:tcW w:w="8789" w:type="dxa"/>
          </w:tcPr>
          <w:p w14:paraId="0FD211CC" w14:textId="77777777" w:rsidR="00D85C65" w:rsidRDefault="001C7AB7">
            <w:pPr>
              <w:ind w:left="72"/>
              <w:rPr>
                <w:rStyle w:val="InstructionsTabelleberschrift"/>
                <w:rFonts w:ascii="Times New Roman" w:hAnsi="Times New Roman"/>
                <w:sz w:val="24"/>
              </w:rPr>
            </w:pPr>
            <w:r w:rsidRPr="00D85C65">
              <w:rPr>
                <w:rStyle w:val="InstructionsTabelleberschrift"/>
                <w:rFonts w:ascii="Times New Roman" w:hAnsi="Times New Roman"/>
                <w:sz w:val="24"/>
              </w:rPr>
              <w:t>Transakcie spočívajúce vo financovaní cenných papierov</w:t>
            </w:r>
          </w:p>
          <w:p w14:paraId="75BED70D" w14:textId="6E7B6B58" w:rsidR="00235D9D" w:rsidRPr="00D85C65" w:rsidRDefault="001C7AB7">
            <w:pPr>
              <w:ind w:left="72"/>
              <w:rPr>
                <w:rStyle w:val="InstructionsTabelleText"/>
                <w:rFonts w:ascii="Times New Roman" w:hAnsi="Times New Roman"/>
                <w:sz w:val="24"/>
              </w:rPr>
            </w:pPr>
            <w:r w:rsidRPr="00D85C65">
              <w:rPr>
                <w:rStyle w:val="InstructionsTabelleText"/>
                <w:rFonts w:ascii="Times New Roman" w:hAnsi="Times New Roman"/>
                <w:sz w:val="24"/>
              </w:rPr>
              <w:t>Transakcie spočívajúce vo financovaní cenných papierov (SFT) vymedzené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odseku 17 dokumentu Bazilejského výboru</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názvom „Uplatňovanie Bazileja II na obchodné činnosti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zaobchádzanie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účinkami dvojitého zlyhania“ zahŕňajú: i) zmluvy</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repo transakciách</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zmluvy</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obrátených repo transakciách vymedzené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 xml:space="preserve">článku 4 ods. 1 bode 82 CRR, ako aj transakcie požičiavania alebo vypožičiavania cenných papierov alebo </w:t>
            </w:r>
            <w:r w:rsidRPr="00D85C65">
              <w:rPr>
                <w:rStyle w:val="InstructionsTabelleText"/>
                <w:rFonts w:ascii="Times New Roman" w:hAnsi="Times New Roman"/>
                <w:sz w:val="24"/>
              </w:rPr>
              <w:lastRenderedPageBreak/>
              <w:t>komodít</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ii) transakcie požičiavania</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dozabezpečením vymedzené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272 ods. 3 CRR.</w:t>
            </w:r>
          </w:p>
          <w:p w14:paraId="354D01CA" w14:textId="2F47620D" w:rsidR="00235D9D" w:rsidRPr="00D85C65" w:rsidRDefault="001C7AB7">
            <w:pPr>
              <w:rPr>
                <w:rFonts w:ascii="Times New Roman" w:hAnsi="Times New Roman"/>
                <w:sz w:val="24"/>
              </w:rPr>
            </w:pPr>
            <w:r w:rsidRPr="00D85C65">
              <w:rPr>
                <w:rStyle w:val="InstructionsTabelleText"/>
                <w:rFonts w:ascii="Times New Roman" w:hAnsi="Times New Roman"/>
                <w:sz w:val="24"/>
              </w:rPr>
              <w:t>Transakcie spočívajúce vo financovaní cenných papierov, ktoré sú zahrnuté vo vzájomnom krížovom započítavaní produktov,</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preto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riadku 060, sa nevykazujú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riadku.</w:t>
            </w:r>
          </w:p>
        </w:tc>
      </w:tr>
      <w:tr w:rsidR="00235D9D" w:rsidRPr="00D85C65" w14:paraId="25EC65F2" w14:textId="77777777" w:rsidTr="00672D2A">
        <w:tc>
          <w:tcPr>
            <w:tcW w:w="1242" w:type="dxa"/>
          </w:tcPr>
          <w:p w14:paraId="4EE3528A" w14:textId="77777777" w:rsidR="00235D9D" w:rsidRPr="00D85C65" w:rsidRDefault="001C7AB7">
            <w:pPr>
              <w:rPr>
                <w:rFonts w:ascii="Times New Roman" w:hAnsi="Times New Roman"/>
                <w:sz w:val="24"/>
              </w:rPr>
            </w:pPr>
            <w:r w:rsidRPr="00D85C65">
              <w:rPr>
                <w:rFonts w:ascii="Times New Roman" w:hAnsi="Times New Roman"/>
                <w:sz w:val="24"/>
              </w:rPr>
              <w:lastRenderedPageBreak/>
              <w:t>050</w:t>
            </w:r>
          </w:p>
        </w:tc>
        <w:tc>
          <w:tcPr>
            <w:tcW w:w="8789" w:type="dxa"/>
          </w:tcPr>
          <w:p w14:paraId="01E25247" w14:textId="113EFEDA" w:rsidR="00235D9D" w:rsidRPr="00D85C65" w:rsidRDefault="001C7AB7">
            <w:pPr>
              <w:rPr>
                <w:rFonts w:ascii="Times New Roman" w:hAnsi="Times New Roman"/>
                <w:b/>
                <w:sz w:val="24"/>
                <w:u w:val="single"/>
              </w:rPr>
            </w:pPr>
            <w:r w:rsidRPr="00D85C65">
              <w:rPr>
                <w:rFonts w:ascii="Times New Roman" w:hAnsi="Times New Roman"/>
                <w:b/>
                <w:sz w:val="24"/>
                <w:u w:val="single"/>
              </w:rPr>
              <w:t>Deriváty</w:t>
            </w:r>
            <w:r w:rsidR="00D85C65">
              <w:rPr>
                <w:rFonts w:ascii="Times New Roman" w:hAnsi="Times New Roman"/>
                <w:sz w:val="24"/>
              </w:rPr>
              <w:t xml:space="preserve"> a </w:t>
            </w:r>
            <w:r w:rsidRPr="00D85C65">
              <w:rPr>
                <w:rStyle w:val="InstructionsTabelleberschrift"/>
                <w:rFonts w:ascii="Times New Roman" w:hAnsi="Times New Roman"/>
                <w:sz w:val="24"/>
              </w:rPr>
              <w:t>transakcie</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dlhou dobou vyrovnania</w:t>
            </w:r>
          </w:p>
          <w:p w14:paraId="627B0E9C" w14:textId="2833B42E" w:rsidR="00235D9D" w:rsidRPr="00D85C65" w:rsidRDefault="001C7AB7">
            <w:pPr>
              <w:ind w:left="72"/>
              <w:rPr>
                <w:rFonts w:ascii="Times New Roman" w:hAnsi="Times New Roman"/>
                <w:sz w:val="24"/>
              </w:rPr>
            </w:pPr>
            <w:r w:rsidRPr="00D85C65">
              <w:rPr>
                <w:rStyle w:val="InstructionsTabelleText"/>
                <w:rFonts w:ascii="Times New Roman" w:hAnsi="Times New Roman"/>
                <w:sz w:val="24"/>
              </w:rPr>
              <w:t>Deriváty tvoria tie zmluvy, ktoré sú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prílohe II CRR. Deriváty</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transakcie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dlhou dobou vyrovnania, ktoré sú zahrnuté vo vzájomnom krížovom započítavaní produktov,</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preto sa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riadku 060, sa nevykazujú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tomto riadku.</w:t>
            </w:r>
          </w:p>
        </w:tc>
      </w:tr>
      <w:tr w:rsidR="00235D9D" w:rsidRPr="00D85C65" w14:paraId="20C1482C" w14:textId="77777777" w:rsidTr="00672D2A">
        <w:tc>
          <w:tcPr>
            <w:tcW w:w="1242" w:type="dxa"/>
          </w:tcPr>
          <w:p w14:paraId="790FB546" w14:textId="77777777" w:rsidR="00235D9D" w:rsidRPr="00D85C65" w:rsidRDefault="001C7AB7">
            <w:pPr>
              <w:rPr>
                <w:rFonts w:ascii="Times New Roman" w:hAnsi="Times New Roman"/>
                <w:sz w:val="24"/>
              </w:rPr>
            </w:pPr>
            <w:r w:rsidRPr="00D85C65">
              <w:rPr>
                <w:rFonts w:ascii="Times New Roman" w:hAnsi="Times New Roman"/>
                <w:sz w:val="24"/>
              </w:rPr>
              <w:t>060</w:t>
            </w:r>
          </w:p>
        </w:tc>
        <w:tc>
          <w:tcPr>
            <w:tcW w:w="8789" w:type="dxa"/>
          </w:tcPr>
          <w:p w14:paraId="6AAA3FC1"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Zo vzájomného krížového započítavania produktov</w:t>
            </w:r>
          </w:p>
          <w:p w14:paraId="205CBCBC" w14:textId="636AF4BF" w:rsidR="00235D9D" w:rsidRPr="00D85C65" w:rsidRDefault="00FD6CCB">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vzoru CR SA.</w:t>
            </w:r>
          </w:p>
        </w:tc>
      </w:tr>
      <w:tr w:rsidR="00235D9D" w:rsidRPr="00D85C65" w14:paraId="4E7568B1" w14:textId="77777777" w:rsidTr="00672D2A">
        <w:tc>
          <w:tcPr>
            <w:tcW w:w="1242" w:type="dxa"/>
          </w:tcPr>
          <w:p w14:paraId="31FA8B97" w14:textId="77777777" w:rsidR="00235D9D" w:rsidRPr="00D85C65" w:rsidRDefault="001C7AB7">
            <w:pPr>
              <w:rPr>
                <w:rFonts w:ascii="Times New Roman" w:hAnsi="Times New Roman"/>
                <w:sz w:val="24"/>
              </w:rPr>
            </w:pPr>
            <w:r w:rsidRPr="00D85C65">
              <w:rPr>
                <w:rFonts w:ascii="Times New Roman" w:hAnsi="Times New Roman"/>
                <w:sz w:val="24"/>
              </w:rPr>
              <w:t>070</w:t>
            </w:r>
          </w:p>
        </w:tc>
        <w:tc>
          <w:tcPr>
            <w:tcW w:w="8789" w:type="dxa"/>
          </w:tcPr>
          <w:p w14:paraId="73C9DDE5" w14:textId="77777777" w:rsidR="00235D9D" w:rsidRPr="00D85C65" w:rsidRDefault="001C7AB7">
            <w:pPr>
              <w:rPr>
                <w:rFonts w:ascii="Times New Roman" w:hAnsi="Times New Roman"/>
                <w:b/>
                <w:sz w:val="24"/>
                <w:u w:val="single"/>
              </w:rPr>
            </w:pPr>
            <w:r w:rsidRPr="00D85C65">
              <w:rPr>
                <w:rFonts w:ascii="Times New Roman" w:hAnsi="Times New Roman"/>
                <w:b/>
                <w:sz w:val="24"/>
                <w:u w:val="single"/>
              </w:rPr>
              <w:t>EXPOZÍCIE ZARADENÉ DO RATINGOVÝCH STUPŇOV ALEBO TRIED DLŽNÍKA: SPOLU</w:t>
            </w:r>
          </w:p>
          <w:p w14:paraId="237A2069" w14:textId="46F6A783" w:rsidR="00D85C65" w:rsidRDefault="001C7AB7">
            <w:pPr>
              <w:rPr>
                <w:rFonts w:ascii="Times New Roman" w:hAnsi="Times New Roman"/>
                <w:sz w:val="24"/>
              </w:rPr>
            </w:pPr>
            <w:r w:rsidRPr="00D85C65">
              <w:rPr>
                <w:rFonts w:ascii="Times New Roman" w:hAnsi="Times New Roman"/>
                <w:sz w:val="24"/>
              </w:rPr>
              <w:t>Pre expozície voči podnikateľským subjektom, inštitúciám</w:t>
            </w:r>
            <w:r w:rsidR="00D85C65">
              <w:rPr>
                <w:rFonts w:ascii="Times New Roman" w:hAnsi="Times New Roman"/>
                <w:sz w:val="24"/>
              </w:rPr>
              <w:t xml:space="preserve"> a </w:t>
            </w:r>
            <w:r w:rsidRPr="00D85C65">
              <w:rPr>
                <w:rFonts w:ascii="Times New Roman" w:hAnsi="Times New Roman"/>
                <w:sz w:val="24"/>
              </w:rPr>
              <w:t>ústredným vládam</w:t>
            </w:r>
            <w:r w:rsidR="00D85C65">
              <w:rPr>
                <w:rFonts w:ascii="Times New Roman" w:hAnsi="Times New Roman"/>
                <w:sz w:val="24"/>
              </w:rPr>
              <w:t xml:space="preserve"> a </w:t>
            </w:r>
            <w:r w:rsidRPr="00D85C65">
              <w:rPr>
                <w:rFonts w:ascii="Times New Roman" w:hAnsi="Times New Roman"/>
                <w:sz w:val="24"/>
              </w:rPr>
              <w:t>centrálnym bankám pozri článok 142 ods. 1 bod 6</w:t>
            </w:r>
            <w:r w:rsidR="00D85C65">
              <w:rPr>
                <w:rFonts w:ascii="Times New Roman" w:hAnsi="Times New Roman"/>
                <w:sz w:val="24"/>
              </w:rPr>
              <w:t xml:space="preserve"> a </w:t>
            </w:r>
            <w:r w:rsidRPr="00D85C65">
              <w:rPr>
                <w:rFonts w:ascii="Times New Roman" w:hAnsi="Times New Roman"/>
                <w:sz w:val="24"/>
              </w:rPr>
              <w:t>článok 170 ods. 1 písm. c) CRR</w:t>
            </w:r>
            <w:r w:rsidR="00D85C65">
              <w:rPr>
                <w:rFonts w:ascii="Times New Roman" w:hAnsi="Times New Roman"/>
                <w:sz w:val="24"/>
              </w:rPr>
              <w:t>.</w:t>
            </w:r>
          </w:p>
          <w:p w14:paraId="16ABDC6E" w14:textId="6E0E697D" w:rsidR="00D85C65" w:rsidRDefault="001C7AB7">
            <w:pPr>
              <w:rPr>
                <w:rFonts w:ascii="Times New Roman" w:hAnsi="Times New Roman"/>
                <w:sz w:val="24"/>
              </w:rPr>
            </w:pPr>
            <w:r w:rsidRPr="00D85C65">
              <w:rPr>
                <w:rFonts w:ascii="Times New Roman" w:hAnsi="Times New Roman"/>
                <w:sz w:val="24"/>
              </w:rPr>
              <w:t>Pre retailové expozície pozri článok 170 ods. 3 písm. b) CRR. Pre expozície vyplývajúce</w:t>
            </w:r>
            <w:r w:rsidR="00D85C65">
              <w:rPr>
                <w:rFonts w:ascii="Times New Roman" w:hAnsi="Times New Roman"/>
                <w:sz w:val="24"/>
              </w:rPr>
              <w:t xml:space="preserve"> z </w:t>
            </w:r>
            <w:r w:rsidRPr="00D85C65">
              <w:rPr>
                <w:rFonts w:ascii="Times New Roman" w:hAnsi="Times New Roman"/>
                <w:sz w:val="24"/>
              </w:rPr>
              <w:t>odkúpených pohľadávok pozri článok 166 ods. 6 CRR</w:t>
            </w:r>
            <w:r w:rsidR="00D85C65">
              <w:rPr>
                <w:rFonts w:ascii="Times New Roman" w:hAnsi="Times New Roman"/>
                <w:sz w:val="24"/>
              </w:rPr>
              <w:t>.</w:t>
            </w:r>
          </w:p>
          <w:p w14:paraId="4252D0B9" w14:textId="33790C1D" w:rsidR="00235D9D" w:rsidRPr="00D85C65" w:rsidRDefault="001C7AB7">
            <w:pPr>
              <w:rPr>
                <w:rFonts w:ascii="Times New Roman" w:hAnsi="Times New Roman"/>
                <w:sz w:val="24"/>
              </w:rPr>
            </w:pPr>
            <w:r w:rsidRPr="00D85C65">
              <w:rPr>
                <w:rFonts w:ascii="Times New Roman" w:hAnsi="Times New Roman"/>
                <w:sz w:val="24"/>
              </w:rPr>
              <w:t>Expozície</w:t>
            </w:r>
            <w:r w:rsidR="00D85C65">
              <w:rPr>
                <w:rFonts w:ascii="Times New Roman" w:hAnsi="Times New Roman"/>
                <w:sz w:val="24"/>
              </w:rPr>
              <w:t xml:space="preserve"> v </w:t>
            </w:r>
            <w:r w:rsidRPr="00D85C65">
              <w:rPr>
                <w:rFonts w:ascii="Times New Roman" w:hAnsi="Times New Roman"/>
                <w:sz w:val="24"/>
              </w:rPr>
              <w:t>prípade rizika zníženia kvality odkúpených pohľadávok</w:t>
            </w:r>
            <w:r w:rsidR="00D85C65">
              <w:rPr>
                <w:rFonts w:ascii="Times New Roman" w:hAnsi="Times New Roman"/>
                <w:sz w:val="24"/>
              </w:rPr>
              <w:t xml:space="preserve"> z </w:t>
            </w:r>
            <w:r w:rsidRPr="00D85C65">
              <w:rPr>
                <w:rFonts w:ascii="Times New Roman" w:hAnsi="Times New Roman"/>
                <w:sz w:val="24"/>
              </w:rPr>
              <w:t>iných ako kreditných dôvodov sa nevykazujú podľa ratingových stupňov alebo skupín dlžníka</w:t>
            </w:r>
            <w:r w:rsidR="00D85C65">
              <w:rPr>
                <w:rFonts w:ascii="Times New Roman" w:hAnsi="Times New Roman"/>
                <w:sz w:val="24"/>
              </w:rPr>
              <w:t xml:space="preserve"> a </w:t>
            </w:r>
            <w:r w:rsidRPr="00D85C65">
              <w:rPr>
                <w:rFonts w:ascii="Times New Roman" w:hAnsi="Times New Roman"/>
                <w:sz w:val="24"/>
              </w:rPr>
              <w:t>vykazujú sa</w:t>
            </w:r>
            <w:r w:rsidR="00D85C65">
              <w:rPr>
                <w:rFonts w:ascii="Times New Roman" w:hAnsi="Times New Roman"/>
                <w:sz w:val="24"/>
              </w:rPr>
              <w:t xml:space="preserve"> v </w:t>
            </w:r>
            <w:r w:rsidRPr="00D85C65">
              <w:rPr>
                <w:rFonts w:ascii="Times New Roman" w:hAnsi="Times New Roman"/>
                <w:sz w:val="24"/>
              </w:rPr>
              <w:t>riadku 180.</w:t>
            </w:r>
          </w:p>
          <w:p w14:paraId="1CE21FCB" w14:textId="341F79F5" w:rsidR="00D85C65" w:rsidRDefault="001C7AB7">
            <w:pPr>
              <w:rPr>
                <w:rFonts w:ascii="Times New Roman" w:hAnsi="Times New Roman"/>
                <w:sz w:val="24"/>
              </w:rPr>
            </w:pPr>
            <w:r w:rsidRPr="00D85C65">
              <w:rPr>
                <w:rFonts w:ascii="Times New Roman" w:hAnsi="Times New Roman"/>
                <w:sz w:val="24"/>
              </w:rPr>
              <w:t>Keď inštitúcia používa veľký počet ratingových stupňov alebo skupín,</w:t>
            </w:r>
            <w:r w:rsidR="00D85C65">
              <w:rPr>
                <w:rFonts w:ascii="Times New Roman" w:hAnsi="Times New Roman"/>
                <w:sz w:val="24"/>
              </w:rPr>
              <w:t xml:space="preserve"> s </w:t>
            </w:r>
            <w:r w:rsidRPr="00D85C65">
              <w:rPr>
                <w:rFonts w:ascii="Times New Roman" w:hAnsi="Times New Roman"/>
                <w:sz w:val="24"/>
              </w:rPr>
              <w:t>príslušnými orgánmi sa môže dohodnúť nižší počet ratingových stupňov alebo skupín</w:t>
            </w:r>
            <w:r w:rsidR="00D85C65">
              <w:rPr>
                <w:rFonts w:ascii="Times New Roman" w:hAnsi="Times New Roman"/>
                <w:sz w:val="24"/>
              </w:rPr>
              <w:t>.</w:t>
            </w:r>
          </w:p>
          <w:p w14:paraId="62CC30B5" w14:textId="5A3420FB" w:rsidR="00235D9D" w:rsidRPr="00D85C65" w:rsidRDefault="00C93697">
            <w:pPr>
              <w:rPr>
                <w:rFonts w:ascii="Times New Roman" w:hAnsi="Times New Roman"/>
                <w:sz w:val="24"/>
              </w:rPr>
            </w:pPr>
            <w:r w:rsidRPr="00D85C65">
              <w:rPr>
                <w:rFonts w:ascii="Times New Roman" w:hAnsi="Times New Roman"/>
                <w:sz w:val="24"/>
              </w:rPr>
              <w:t xml:space="preserve">Hlavná stupnica sa nepoužíva. Inštitúcie namiesto toho samé určia stupnicu, ktorú budú používať. </w:t>
            </w:r>
          </w:p>
        </w:tc>
      </w:tr>
      <w:tr w:rsidR="00235D9D" w:rsidRPr="00D85C65" w14:paraId="5B21935D" w14:textId="77777777" w:rsidTr="00672D2A">
        <w:tc>
          <w:tcPr>
            <w:tcW w:w="1242" w:type="dxa"/>
          </w:tcPr>
          <w:p w14:paraId="093E3F72" w14:textId="77777777" w:rsidR="00235D9D" w:rsidRPr="00D85C65" w:rsidRDefault="001C7AB7">
            <w:pPr>
              <w:rPr>
                <w:rFonts w:ascii="Times New Roman" w:hAnsi="Times New Roman"/>
                <w:sz w:val="24"/>
              </w:rPr>
            </w:pPr>
            <w:r w:rsidRPr="00D85C65">
              <w:rPr>
                <w:rFonts w:ascii="Times New Roman" w:hAnsi="Times New Roman"/>
                <w:sz w:val="24"/>
              </w:rPr>
              <w:t>080</w:t>
            </w:r>
          </w:p>
        </w:tc>
        <w:tc>
          <w:tcPr>
            <w:tcW w:w="8789" w:type="dxa"/>
          </w:tcPr>
          <w:p w14:paraId="3414B688" w14:textId="4C7F2219" w:rsidR="00235D9D" w:rsidRPr="00D85C65" w:rsidRDefault="001C7AB7">
            <w:pPr>
              <w:rPr>
                <w:rFonts w:ascii="Times New Roman" w:hAnsi="Times New Roman"/>
                <w:sz w:val="24"/>
              </w:rPr>
            </w:pPr>
            <w:r w:rsidRPr="00D85C65">
              <w:rPr>
                <w:rFonts w:ascii="Times New Roman" w:hAnsi="Times New Roman"/>
                <w:b/>
                <w:sz w:val="24"/>
                <w:u w:val="single"/>
              </w:rPr>
              <w:t>KRITÉRIÁ NA ZARADENIE ŠPECIALIZOVANÉHO FINANCOVANIA: SPOLU</w:t>
            </w:r>
          </w:p>
          <w:p w14:paraId="19AB4923" w14:textId="37254E05" w:rsidR="00235D9D" w:rsidRPr="00D85C65" w:rsidRDefault="001C7AB7">
            <w:pPr>
              <w:rPr>
                <w:rFonts w:ascii="Times New Roman" w:hAnsi="Times New Roman"/>
                <w:sz w:val="24"/>
              </w:rPr>
            </w:pPr>
            <w:r w:rsidRPr="00D85C65">
              <w:rPr>
                <w:rFonts w:ascii="Times New Roman" w:hAnsi="Times New Roman"/>
                <w:sz w:val="24"/>
              </w:rPr>
              <w:t>Článok 153 ods. 5 CRR. Uplatňuje sa to len na triedy expozícií podnikateľské subjekty, inštitúcie</w:t>
            </w:r>
            <w:r w:rsidR="00D85C65">
              <w:rPr>
                <w:rFonts w:ascii="Times New Roman" w:hAnsi="Times New Roman"/>
                <w:sz w:val="24"/>
              </w:rPr>
              <w:t xml:space="preserve"> a </w:t>
            </w:r>
            <w:r w:rsidRPr="00D85C65">
              <w:rPr>
                <w:rFonts w:ascii="Times New Roman" w:hAnsi="Times New Roman"/>
                <w:sz w:val="24"/>
              </w:rPr>
              <w:t>ústredné vlády</w:t>
            </w:r>
            <w:r w:rsidR="00D85C65">
              <w:rPr>
                <w:rFonts w:ascii="Times New Roman" w:hAnsi="Times New Roman"/>
                <w:sz w:val="24"/>
              </w:rPr>
              <w:t xml:space="preserve"> a </w:t>
            </w:r>
            <w:r w:rsidRPr="00D85C65">
              <w:rPr>
                <w:rFonts w:ascii="Times New Roman" w:hAnsi="Times New Roman"/>
                <w:sz w:val="24"/>
              </w:rPr>
              <w:t xml:space="preserve">centrálne banky. </w:t>
            </w:r>
          </w:p>
        </w:tc>
      </w:tr>
      <w:tr w:rsidR="00235D9D" w:rsidRPr="00D85C65" w14:paraId="246BA3CD" w14:textId="77777777" w:rsidTr="00672D2A">
        <w:tc>
          <w:tcPr>
            <w:tcW w:w="1242" w:type="dxa"/>
          </w:tcPr>
          <w:p w14:paraId="321F33D9" w14:textId="77777777" w:rsidR="00235D9D" w:rsidRPr="00D85C65" w:rsidRDefault="001C7AB7">
            <w:pPr>
              <w:rPr>
                <w:rFonts w:ascii="Times New Roman" w:hAnsi="Times New Roman"/>
                <w:sz w:val="24"/>
              </w:rPr>
            </w:pPr>
            <w:r w:rsidRPr="00D85C65">
              <w:rPr>
                <w:rFonts w:ascii="Times New Roman" w:hAnsi="Times New Roman"/>
                <w:sz w:val="24"/>
              </w:rPr>
              <w:t>090 – 150</w:t>
            </w:r>
          </w:p>
        </w:tc>
        <w:tc>
          <w:tcPr>
            <w:tcW w:w="8789" w:type="dxa"/>
          </w:tcPr>
          <w:p w14:paraId="7214D63C" w14:textId="212ECF04" w:rsidR="00235D9D" w:rsidRP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ROZČLENENIE PODĽA RIZIKOVÝCH VÁH CELKOVÝCH EXPOZÍCIÍ NA ZÁKLADE KRITÉRIÍ NA ZARADENIE ŠPECIALIZOVANÉHO FINANCOVANIA:</w:t>
            </w:r>
          </w:p>
        </w:tc>
      </w:tr>
      <w:tr w:rsidR="00235D9D" w:rsidRPr="00D85C65" w14:paraId="57FD0E83" w14:textId="77777777" w:rsidTr="00672D2A">
        <w:tc>
          <w:tcPr>
            <w:tcW w:w="1242" w:type="dxa"/>
          </w:tcPr>
          <w:p w14:paraId="5077A772" w14:textId="77777777" w:rsidR="00235D9D" w:rsidRPr="00D85C65" w:rsidRDefault="001C7AB7">
            <w:pPr>
              <w:rPr>
                <w:rFonts w:ascii="Times New Roman" w:hAnsi="Times New Roman"/>
                <w:sz w:val="24"/>
              </w:rPr>
            </w:pPr>
            <w:r w:rsidRPr="00D85C65">
              <w:rPr>
                <w:rFonts w:ascii="Times New Roman" w:hAnsi="Times New Roman"/>
                <w:sz w:val="24"/>
              </w:rPr>
              <w:t>120</w:t>
            </w:r>
          </w:p>
        </w:tc>
        <w:tc>
          <w:tcPr>
            <w:tcW w:w="8789" w:type="dxa"/>
          </w:tcPr>
          <w:p w14:paraId="18702C57" w14:textId="77777777" w:rsid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Z čoho:</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kategórii 1</w:t>
            </w:r>
          </w:p>
          <w:p w14:paraId="01DEB61C" w14:textId="09017849" w:rsidR="00235D9D" w:rsidRPr="00D85C65" w:rsidRDefault="00133396">
            <w:pPr>
              <w:rPr>
                <w:rFonts w:ascii="Times New Roman" w:hAnsi="Times New Roman"/>
                <w:sz w:val="24"/>
              </w:rPr>
            </w:pPr>
            <w:r w:rsidRPr="00D85C65">
              <w:rPr>
                <w:rFonts w:ascii="Times New Roman" w:hAnsi="Times New Roman"/>
                <w:sz w:val="24"/>
              </w:rPr>
              <w:t>Článok 153 ods. 5 tabuľka 1 CRR.</w:t>
            </w:r>
          </w:p>
        </w:tc>
      </w:tr>
      <w:tr w:rsidR="00235D9D" w:rsidRPr="00D85C65" w14:paraId="19A70C29" w14:textId="77777777" w:rsidTr="00672D2A">
        <w:tc>
          <w:tcPr>
            <w:tcW w:w="1242" w:type="dxa"/>
          </w:tcPr>
          <w:p w14:paraId="2222963B" w14:textId="77777777" w:rsidR="00235D9D" w:rsidRPr="00D85C65" w:rsidRDefault="001C7AB7">
            <w:pPr>
              <w:rPr>
                <w:rFonts w:ascii="Times New Roman" w:hAnsi="Times New Roman"/>
                <w:sz w:val="24"/>
              </w:rPr>
            </w:pPr>
            <w:r w:rsidRPr="00D85C65">
              <w:rPr>
                <w:rFonts w:ascii="Times New Roman" w:hAnsi="Times New Roman"/>
                <w:sz w:val="24"/>
              </w:rPr>
              <w:t>160</w:t>
            </w:r>
          </w:p>
        </w:tc>
        <w:tc>
          <w:tcPr>
            <w:tcW w:w="8789" w:type="dxa"/>
          </w:tcPr>
          <w:p w14:paraId="23EA095C" w14:textId="77777777" w:rsidR="00235D9D" w:rsidRP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ALTERNATÍVNY PRÍSTUP: ZABEZPEČENÉ NEHNUTEĽNÝM MAJETKOM</w:t>
            </w:r>
          </w:p>
          <w:p w14:paraId="6475E38A" w14:textId="5D549B5B" w:rsidR="00235D9D" w:rsidRPr="00D85C65" w:rsidRDefault="00BD6DB9">
            <w:pPr>
              <w:rPr>
                <w:rFonts w:ascii="Times New Roman" w:hAnsi="Times New Roman"/>
                <w:sz w:val="24"/>
              </w:rPr>
            </w:pPr>
            <w:r w:rsidRPr="00D85C65">
              <w:rPr>
                <w:rFonts w:ascii="Times New Roman" w:hAnsi="Times New Roman"/>
                <w:sz w:val="24"/>
              </w:rPr>
              <w:t>Článok 193 ods. 1</w:t>
            </w:r>
            <w:r w:rsidR="00D85C65">
              <w:rPr>
                <w:rFonts w:ascii="Times New Roman" w:hAnsi="Times New Roman"/>
                <w:sz w:val="24"/>
              </w:rPr>
              <w:t xml:space="preserve"> a </w:t>
            </w:r>
            <w:r w:rsidRPr="00D85C65">
              <w:rPr>
                <w:rFonts w:ascii="Times New Roman" w:hAnsi="Times New Roman"/>
                <w:sz w:val="24"/>
              </w:rPr>
              <w:t>2, článok 194 ods. 1 až 7</w:t>
            </w:r>
            <w:r w:rsidR="00D85C65">
              <w:rPr>
                <w:rFonts w:ascii="Times New Roman" w:hAnsi="Times New Roman"/>
                <w:sz w:val="24"/>
              </w:rPr>
              <w:t xml:space="preserve"> a </w:t>
            </w:r>
            <w:r w:rsidRPr="00D85C65">
              <w:rPr>
                <w:rFonts w:ascii="Times New Roman" w:hAnsi="Times New Roman"/>
                <w:sz w:val="24"/>
              </w:rPr>
              <w:t>článok 230 ods. 3 CRR.</w:t>
            </w:r>
          </w:p>
        </w:tc>
      </w:tr>
      <w:tr w:rsidR="00235D9D" w:rsidRPr="00D85C65" w14:paraId="0474B7EE" w14:textId="77777777" w:rsidTr="00672D2A">
        <w:tc>
          <w:tcPr>
            <w:tcW w:w="1242" w:type="dxa"/>
          </w:tcPr>
          <w:p w14:paraId="388A515E" w14:textId="77777777" w:rsidR="00235D9D" w:rsidRPr="00D85C65" w:rsidRDefault="001C7AB7">
            <w:pPr>
              <w:rPr>
                <w:rFonts w:ascii="Times New Roman" w:hAnsi="Times New Roman"/>
                <w:sz w:val="24"/>
              </w:rPr>
            </w:pPr>
            <w:r w:rsidRPr="00D85C65">
              <w:rPr>
                <w:rFonts w:ascii="Times New Roman" w:hAnsi="Times New Roman"/>
                <w:sz w:val="24"/>
              </w:rPr>
              <w:t>170</w:t>
            </w:r>
          </w:p>
        </w:tc>
        <w:tc>
          <w:tcPr>
            <w:tcW w:w="8789" w:type="dxa"/>
          </w:tcPr>
          <w:p w14:paraId="2D606023" w14:textId="26CA788E" w:rsidR="00235D9D" w:rsidRP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EXPOZÍCIE VYPLÝVAJÚCE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BEZODPLATNÉHO DODANIA</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UPLATNENÍM RIZIKOVÝCH VÁH</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ALTERNATÍVNEHO PRÍSTUPU ALEBO 100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 xml:space="preserve"> A INÉ EXPOZÍCIE PODLIEHAJÚCE RIZIKOVÝM VÁHAM</w:t>
            </w:r>
          </w:p>
          <w:p w14:paraId="6554E226" w14:textId="7BEB7F71" w:rsidR="00235D9D" w:rsidRPr="00D85C65" w:rsidRDefault="001C7AB7">
            <w:pPr>
              <w:rPr>
                <w:rFonts w:ascii="Times New Roman" w:hAnsi="Times New Roman"/>
                <w:sz w:val="24"/>
              </w:rPr>
            </w:pPr>
            <w:r w:rsidRPr="00D85C65">
              <w:rPr>
                <w:rFonts w:ascii="Times New Roman" w:hAnsi="Times New Roman"/>
                <w:sz w:val="24"/>
              </w:rPr>
              <w:lastRenderedPageBreak/>
              <w:t>Expozície vyplývajúce</w:t>
            </w:r>
            <w:r w:rsidR="00D85C65">
              <w:rPr>
                <w:rFonts w:ascii="Times New Roman" w:hAnsi="Times New Roman"/>
                <w:sz w:val="24"/>
              </w:rPr>
              <w:t xml:space="preserve"> z </w:t>
            </w:r>
            <w:r w:rsidRPr="00D85C65">
              <w:rPr>
                <w:rFonts w:ascii="Times New Roman" w:hAnsi="Times New Roman"/>
                <w:sz w:val="24"/>
              </w:rPr>
              <w:t>bezodplatného dodania, na ktoré sa uplatňuje alternatívny prístup uvedený</w:t>
            </w:r>
            <w:r w:rsidR="00D85C65">
              <w:rPr>
                <w:rFonts w:ascii="Times New Roman" w:hAnsi="Times New Roman"/>
                <w:sz w:val="24"/>
              </w:rPr>
              <w:t xml:space="preserve"> v </w:t>
            </w:r>
            <w:r w:rsidRPr="00D85C65">
              <w:rPr>
                <w:rFonts w:ascii="Times New Roman" w:hAnsi="Times New Roman"/>
                <w:sz w:val="24"/>
              </w:rPr>
              <w:t>článku 379 ods. 2 prvom pododseku poslednej vete CRR alebo na ktoré sa uplatňuje riziková váha 100</w:t>
            </w:r>
            <w:r w:rsidR="00D85C65">
              <w:rPr>
                <w:rFonts w:ascii="Times New Roman" w:hAnsi="Times New Roman"/>
                <w:sz w:val="24"/>
              </w:rPr>
              <w:t> %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379 ods. 2 posledným pododsekom CRR.</w:t>
            </w:r>
            <w:r w:rsidR="00D85C65">
              <w:rPr>
                <w:rFonts w:ascii="Times New Roman" w:hAnsi="Times New Roman"/>
                <w:sz w:val="24"/>
              </w:rPr>
              <w:t xml:space="preserve"> V </w:t>
            </w:r>
            <w:r w:rsidRPr="00D85C65">
              <w:rPr>
                <w:rFonts w:ascii="Times New Roman" w:hAnsi="Times New Roman"/>
                <w:sz w:val="24"/>
              </w:rPr>
              <w:t>tomto riadku sa vykazujú kreditné deriváty pre n-té zlyhanie bez ratingového hodnotenia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153 ods. 8 CRR</w:t>
            </w:r>
            <w:r w:rsidR="00D85C65">
              <w:rPr>
                <w:rFonts w:ascii="Times New Roman" w:hAnsi="Times New Roman"/>
                <w:sz w:val="24"/>
              </w:rPr>
              <w:t xml:space="preserve"> a </w:t>
            </w:r>
            <w:r w:rsidRPr="00D85C65">
              <w:rPr>
                <w:rFonts w:ascii="Times New Roman" w:hAnsi="Times New Roman"/>
                <w:sz w:val="24"/>
              </w:rPr>
              <w:t>všetky ostatné expozície, na ktoré sa uplatňujú rizikové váhy, nezahrnuté</w:t>
            </w:r>
            <w:r w:rsidR="00D85C65">
              <w:rPr>
                <w:rFonts w:ascii="Times New Roman" w:hAnsi="Times New Roman"/>
                <w:sz w:val="24"/>
              </w:rPr>
              <w:t xml:space="preserve"> v </w:t>
            </w:r>
            <w:r w:rsidRPr="00D85C65">
              <w:rPr>
                <w:rFonts w:ascii="Times New Roman" w:hAnsi="Times New Roman"/>
                <w:sz w:val="24"/>
              </w:rPr>
              <w:t>inom riadku.</w:t>
            </w:r>
          </w:p>
        </w:tc>
      </w:tr>
      <w:tr w:rsidR="00235D9D" w:rsidRPr="00D85C65" w14:paraId="239C4002" w14:textId="77777777" w:rsidTr="00672D2A">
        <w:tc>
          <w:tcPr>
            <w:tcW w:w="1242" w:type="dxa"/>
          </w:tcPr>
          <w:p w14:paraId="0CC0DD10" w14:textId="77777777" w:rsidR="00235D9D" w:rsidRPr="00D85C65" w:rsidRDefault="001C7AB7">
            <w:pPr>
              <w:rPr>
                <w:rFonts w:ascii="Times New Roman" w:hAnsi="Times New Roman"/>
                <w:sz w:val="24"/>
              </w:rPr>
            </w:pPr>
            <w:r w:rsidRPr="00D85C65">
              <w:rPr>
                <w:rFonts w:ascii="Times New Roman" w:hAnsi="Times New Roman"/>
                <w:sz w:val="24"/>
              </w:rPr>
              <w:lastRenderedPageBreak/>
              <w:t>180</w:t>
            </w:r>
          </w:p>
        </w:tc>
        <w:tc>
          <w:tcPr>
            <w:tcW w:w="8789" w:type="dxa"/>
          </w:tcPr>
          <w:p w14:paraId="5DED59BF" w14:textId="13FBB7BD" w:rsidR="00235D9D" w:rsidRPr="00D85C65" w:rsidRDefault="001C7AB7">
            <w:pPr>
              <w:rPr>
                <w:rStyle w:val="InstructionsTabelleberschrift"/>
                <w:rFonts w:ascii="Times New Roman" w:hAnsi="Times New Roman"/>
                <w:sz w:val="24"/>
              </w:rPr>
            </w:pPr>
            <w:r w:rsidRPr="00D85C65">
              <w:rPr>
                <w:rStyle w:val="InstructionsTabelleberschrift"/>
                <w:rFonts w:ascii="Times New Roman" w:hAnsi="Times New Roman"/>
                <w:sz w:val="24"/>
              </w:rPr>
              <w:t>RIZIKO ZNÍŽENIA KVALITY: CELKOVÝCH ODKÚPENÝCH POHĽADÁVOK</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INÝCH AKO KREDITNÝCH DÔVODOV</w:t>
            </w:r>
          </w:p>
          <w:p w14:paraId="7598D14B" w14:textId="1C610100" w:rsidR="00235D9D" w:rsidRPr="00D85C65" w:rsidRDefault="001C7AB7">
            <w:pPr>
              <w:rPr>
                <w:rFonts w:ascii="Times New Roman" w:hAnsi="Times New Roman"/>
                <w:sz w:val="24"/>
              </w:rPr>
            </w:pPr>
            <w:r w:rsidRPr="00D85C65">
              <w:rPr>
                <w:rFonts w:ascii="Times New Roman" w:hAnsi="Times New Roman"/>
                <w:sz w:val="24"/>
              </w:rPr>
              <w:t>Pozri článok 4 ods. 1 bod 53 CRR pre vymedzenie rizika zníženia kvality pohľadávok</w:t>
            </w:r>
            <w:r w:rsidR="00D85C65">
              <w:rPr>
                <w:rFonts w:ascii="Times New Roman" w:hAnsi="Times New Roman"/>
                <w:sz w:val="24"/>
              </w:rPr>
              <w:t xml:space="preserve"> z </w:t>
            </w:r>
            <w:r w:rsidRPr="00D85C65">
              <w:rPr>
                <w:rFonts w:ascii="Times New Roman" w:hAnsi="Times New Roman"/>
                <w:sz w:val="24"/>
              </w:rPr>
              <w:t>iných ako kreditných dôvodov. Pre výpočet rizikovej váhy pre riziko zníženia kvality pohľadávok</w:t>
            </w:r>
            <w:r w:rsidR="00D85C65">
              <w:rPr>
                <w:rFonts w:ascii="Times New Roman" w:hAnsi="Times New Roman"/>
                <w:sz w:val="24"/>
              </w:rPr>
              <w:t xml:space="preserve"> z </w:t>
            </w:r>
            <w:r w:rsidRPr="00D85C65">
              <w:rPr>
                <w:rFonts w:ascii="Times New Roman" w:hAnsi="Times New Roman"/>
                <w:sz w:val="24"/>
              </w:rPr>
              <w:t>iných ako kreditných dôvodov pozri článok 157 ods. 1 CRR.</w:t>
            </w:r>
          </w:p>
          <w:p w14:paraId="02A23372" w14:textId="793D0712" w:rsidR="00235D9D" w:rsidRPr="00D85C65" w:rsidRDefault="00BB22D4">
            <w:pPr>
              <w:rPr>
                <w:rFonts w:ascii="Times New Roman" w:hAnsi="Times New Roman"/>
                <w:sz w:val="24"/>
              </w:rPr>
            </w:pPr>
            <w:r w:rsidRPr="00D85C65">
              <w:rPr>
                <w:rFonts w:ascii="Times New Roman" w:hAnsi="Times New Roman"/>
                <w:sz w:val="24"/>
              </w:rPr>
              <w:t xml:space="preserve">Podľa článku 166 ods. 6 CRR hodnota expozície odkúpených pohľadávok sa rovná nesplatenej sume bez </w:t>
            </w:r>
            <w:r w:rsidRPr="00D85C65">
              <w:rPr>
                <w:rStyle w:val="InstructionsTabelleText"/>
                <w:rFonts w:ascii="Times New Roman" w:hAnsi="Times New Roman"/>
                <w:sz w:val="24"/>
              </w:rPr>
              <w:t>hodnôt rizikovo vážených expozícií</w:t>
            </w:r>
            <w:r w:rsidRPr="00D85C65">
              <w:rPr>
                <w:rFonts w:ascii="Times New Roman" w:hAnsi="Times New Roman"/>
                <w:sz w:val="24"/>
              </w:rPr>
              <w:t xml:space="preserve"> pre riziko zníženia kvality pohľadávok</w:t>
            </w:r>
            <w:r w:rsidR="00D85C65">
              <w:rPr>
                <w:rFonts w:ascii="Times New Roman" w:hAnsi="Times New Roman"/>
                <w:sz w:val="24"/>
              </w:rPr>
              <w:t xml:space="preserve"> z </w:t>
            </w:r>
            <w:r w:rsidRPr="00D85C65">
              <w:rPr>
                <w:rFonts w:ascii="Times New Roman" w:hAnsi="Times New Roman"/>
                <w:sz w:val="24"/>
              </w:rPr>
              <w:t>iných ako kreditných dôvodov pred zmierňovaním kreditného rizika.</w:t>
            </w:r>
          </w:p>
        </w:tc>
      </w:tr>
    </w:tbl>
    <w:p w14:paraId="3C504AEC" w14:textId="77777777" w:rsidR="00235D9D" w:rsidRPr="00D85C65" w:rsidRDefault="00235D9D">
      <w:pPr>
        <w:autoSpaceDE w:val="0"/>
        <w:autoSpaceDN w:val="0"/>
        <w:adjustRightInd w:val="0"/>
        <w:spacing w:before="0" w:after="0"/>
        <w:ind w:left="284"/>
        <w:jc w:val="left"/>
        <w:rPr>
          <w:rFonts w:ascii="Times New Roman" w:hAnsi="Times New Roman"/>
          <w:sz w:val="24"/>
        </w:rPr>
      </w:pPr>
    </w:p>
    <w:p w14:paraId="6F570112" w14:textId="73D33780" w:rsidR="00235D9D" w:rsidRPr="00D85C65" w:rsidRDefault="00125707">
      <w:pPr>
        <w:pStyle w:val="Instructionsberschrift2"/>
        <w:numPr>
          <w:ilvl w:val="0"/>
          <w:numId w:val="0"/>
        </w:numPr>
        <w:ind w:left="357" w:hanging="357"/>
        <w:rPr>
          <w:rFonts w:ascii="Times New Roman" w:hAnsi="Times New Roman" w:cs="Times New Roman"/>
          <w:sz w:val="24"/>
        </w:rPr>
      </w:pPr>
      <w:bookmarkStart w:id="47" w:name="_Toc29994490"/>
      <w:r w:rsidRPr="00D85C65">
        <w:rPr>
          <w:rFonts w:ascii="Times New Roman" w:hAnsi="Times New Roman"/>
          <w:sz w:val="24"/>
          <w:u w:val="none"/>
        </w:rPr>
        <w:t>3.3.4.</w:t>
      </w:r>
      <w:r w:rsidRPr="00D85C65">
        <w:rPr>
          <w:rFonts w:ascii="Times New Roman" w:hAnsi="Times New Roman"/>
          <w:sz w:val="24"/>
          <w:u w:val="none"/>
        </w:rPr>
        <w:tab/>
      </w:r>
      <w:r w:rsidRPr="00D85C65">
        <w:rPr>
          <w:rFonts w:ascii="Times New Roman" w:hAnsi="Times New Roman"/>
          <w:sz w:val="24"/>
        </w:rPr>
        <w:t>C 08.02 – Kreditné riziko</w:t>
      </w:r>
      <w:r w:rsidR="00D85C65">
        <w:rPr>
          <w:rFonts w:ascii="Times New Roman" w:hAnsi="Times New Roman"/>
          <w:sz w:val="24"/>
        </w:rPr>
        <w:t xml:space="preserve"> a </w:t>
      </w:r>
      <w:r w:rsidRPr="00D85C65">
        <w:rPr>
          <w:rFonts w:ascii="Times New Roman" w:hAnsi="Times New Roman"/>
          <w:sz w:val="24"/>
        </w:rPr>
        <w:t>kreditné riziko protistrany</w:t>
      </w:r>
      <w:r w:rsidR="00D85C65">
        <w:rPr>
          <w:rFonts w:ascii="Times New Roman" w:hAnsi="Times New Roman"/>
          <w:sz w:val="24"/>
        </w:rPr>
        <w:t xml:space="preserve"> a </w:t>
      </w:r>
      <w:r w:rsidRPr="00D85C65">
        <w:rPr>
          <w:rFonts w:ascii="Times New Roman" w:hAnsi="Times New Roman"/>
          <w:sz w:val="24"/>
        </w:rPr>
        <w:t>bezodplatné dodanie: Prístup IRB ku kapitálovým požiadavkám: rozčlenenie podľa ratingových stupňov alebo skupín dlžníkov (vzor CR IRB 2)</w:t>
      </w:r>
      <w:bookmarkEnd w:id="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235D9D" w:rsidRPr="00D85C65" w14:paraId="508D011D" w14:textId="77777777" w:rsidTr="00672D2A">
        <w:tc>
          <w:tcPr>
            <w:tcW w:w="2024" w:type="dxa"/>
            <w:shd w:val="clear" w:color="auto" w:fill="BFBFBF"/>
          </w:tcPr>
          <w:p w14:paraId="77D0F85C" w14:textId="77777777" w:rsidR="00235D9D" w:rsidRPr="00D85C65" w:rsidRDefault="001C7AB7">
            <w:pPr>
              <w:rPr>
                <w:rFonts w:ascii="Times New Roman" w:hAnsi="Times New Roman"/>
                <w:sz w:val="24"/>
              </w:rPr>
            </w:pPr>
            <w:r w:rsidRPr="00D85C65">
              <w:rPr>
                <w:rFonts w:ascii="Times New Roman" w:hAnsi="Times New Roman"/>
                <w:sz w:val="24"/>
              </w:rPr>
              <w:t>Stĺpec</w:t>
            </w:r>
          </w:p>
        </w:tc>
        <w:tc>
          <w:tcPr>
            <w:tcW w:w="7804" w:type="dxa"/>
            <w:shd w:val="clear" w:color="auto" w:fill="BFBFBF"/>
          </w:tcPr>
          <w:p w14:paraId="26D4E61F" w14:textId="77777777" w:rsidR="00235D9D" w:rsidRPr="00D85C65" w:rsidRDefault="001C7AB7">
            <w:pPr>
              <w:rPr>
                <w:rFonts w:ascii="Times New Roman" w:hAnsi="Times New Roman"/>
                <w:sz w:val="24"/>
              </w:rPr>
            </w:pPr>
            <w:r w:rsidRPr="00D85C65">
              <w:rPr>
                <w:rFonts w:ascii="Times New Roman" w:hAnsi="Times New Roman"/>
                <w:sz w:val="24"/>
              </w:rPr>
              <w:t>Pokyny</w:t>
            </w:r>
          </w:p>
        </w:tc>
      </w:tr>
      <w:tr w:rsidR="00235D9D" w:rsidRPr="00D85C65" w14:paraId="1F7ADBE3" w14:textId="77777777" w:rsidTr="00672D2A">
        <w:tc>
          <w:tcPr>
            <w:tcW w:w="2024" w:type="dxa"/>
          </w:tcPr>
          <w:p w14:paraId="4C7084CF" w14:textId="77777777" w:rsidR="00235D9D" w:rsidRPr="00D85C65" w:rsidRDefault="00E97CD2">
            <w:pPr>
              <w:rPr>
                <w:rFonts w:ascii="Times New Roman" w:hAnsi="Times New Roman"/>
                <w:sz w:val="24"/>
              </w:rPr>
            </w:pPr>
            <w:r w:rsidRPr="00D85C65">
              <w:rPr>
                <w:rFonts w:ascii="Times New Roman" w:hAnsi="Times New Roman"/>
                <w:sz w:val="24"/>
              </w:rPr>
              <w:t>005</w:t>
            </w:r>
          </w:p>
        </w:tc>
        <w:tc>
          <w:tcPr>
            <w:tcW w:w="7804" w:type="dxa"/>
          </w:tcPr>
          <w:p w14:paraId="13A3D9C9" w14:textId="77777777" w:rsidR="00235D9D" w:rsidRPr="00D85C65" w:rsidRDefault="00E97CD2">
            <w:pPr>
              <w:rPr>
                <w:rFonts w:ascii="Times New Roman" w:hAnsi="Times New Roman"/>
                <w:b/>
                <w:sz w:val="24"/>
                <w:u w:val="single"/>
              </w:rPr>
            </w:pPr>
            <w:r w:rsidRPr="00D85C65">
              <w:rPr>
                <w:rFonts w:ascii="Times New Roman" w:hAnsi="Times New Roman"/>
                <w:b/>
                <w:sz w:val="24"/>
                <w:u w:val="single"/>
              </w:rPr>
              <w:t>Ratingový stupeň dlžníka (identifikátor riadku)</w:t>
            </w:r>
          </w:p>
          <w:p w14:paraId="0FE6ACAB" w14:textId="36851F7B" w:rsidR="00235D9D" w:rsidRPr="00D85C65" w:rsidRDefault="00E97CD2">
            <w:pPr>
              <w:rPr>
                <w:rFonts w:ascii="Times New Roman" w:hAnsi="Times New Roman"/>
                <w:sz w:val="24"/>
              </w:rPr>
            </w:pPr>
            <w:r w:rsidRPr="00D85C65">
              <w:rPr>
                <w:rFonts w:ascii="Times New Roman" w:hAnsi="Times New Roman"/>
                <w:sz w:val="24"/>
              </w:rPr>
              <w:t>Ide</w:t>
            </w:r>
            <w:r w:rsidR="00D85C65">
              <w:rPr>
                <w:rFonts w:ascii="Times New Roman" w:hAnsi="Times New Roman"/>
                <w:sz w:val="24"/>
              </w:rPr>
              <w:t xml:space="preserve"> o </w:t>
            </w:r>
            <w:r w:rsidRPr="00D85C65">
              <w:rPr>
                <w:rFonts w:ascii="Times New Roman" w:hAnsi="Times New Roman"/>
                <w:sz w:val="24"/>
              </w:rPr>
              <w:t>identifikátor riadku, ktorý musí byť jednoznačný pre každý riadok príslušného hárku vzoru. Riadi sa číselným poradím 1, 2, 3 atď.</w:t>
            </w:r>
          </w:p>
        </w:tc>
      </w:tr>
      <w:tr w:rsidR="00235D9D" w:rsidRPr="00D85C65" w14:paraId="49C132D8" w14:textId="77777777" w:rsidTr="00672D2A">
        <w:tc>
          <w:tcPr>
            <w:tcW w:w="2024" w:type="dxa"/>
          </w:tcPr>
          <w:p w14:paraId="47525D0B" w14:textId="77777777" w:rsidR="00235D9D" w:rsidRPr="00D85C65" w:rsidRDefault="001C7AB7">
            <w:pPr>
              <w:rPr>
                <w:rFonts w:ascii="Times New Roman" w:hAnsi="Times New Roman"/>
                <w:sz w:val="24"/>
              </w:rPr>
            </w:pPr>
            <w:r w:rsidRPr="00D85C65">
              <w:rPr>
                <w:rFonts w:ascii="Times New Roman" w:hAnsi="Times New Roman"/>
                <w:sz w:val="24"/>
              </w:rPr>
              <w:t>010 – 300</w:t>
            </w:r>
          </w:p>
        </w:tc>
        <w:tc>
          <w:tcPr>
            <w:tcW w:w="7804" w:type="dxa"/>
          </w:tcPr>
          <w:p w14:paraId="3DC85712" w14:textId="3C4774CE" w:rsidR="00235D9D" w:rsidRPr="00D85C65" w:rsidRDefault="001C7AB7">
            <w:pPr>
              <w:rPr>
                <w:rFonts w:ascii="Times New Roman" w:hAnsi="Times New Roman"/>
                <w:sz w:val="24"/>
              </w:rPr>
            </w:pPr>
            <w:r w:rsidRPr="00D85C65">
              <w:rPr>
                <w:rFonts w:ascii="Times New Roman" w:hAnsi="Times New Roman"/>
                <w:sz w:val="24"/>
              </w:rPr>
              <w:t>Pokyny ku každému</w:t>
            </w:r>
            <w:r w:rsidR="00D85C65">
              <w:rPr>
                <w:rFonts w:ascii="Times New Roman" w:hAnsi="Times New Roman"/>
                <w:sz w:val="24"/>
              </w:rPr>
              <w:t xml:space="preserve"> z </w:t>
            </w:r>
            <w:r w:rsidRPr="00D85C65">
              <w:rPr>
                <w:rFonts w:ascii="Times New Roman" w:hAnsi="Times New Roman"/>
                <w:sz w:val="24"/>
              </w:rPr>
              <w:t>týchto stĺpcov sú rovnaké ako pre zodpovedajúce očíslované stĺpce vo vzore CR IRB 1.</w:t>
            </w:r>
          </w:p>
        </w:tc>
      </w:tr>
    </w:tbl>
    <w:p w14:paraId="13C85220" w14:textId="77777777" w:rsidR="00235D9D" w:rsidRPr="00D85C65" w:rsidRDefault="00235D9D">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235D9D" w:rsidRPr="00D85C65" w14:paraId="389E3359" w14:textId="77777777" w:rsidTr="00672D2A">
        <w:tc>
          <w:tcPr>
            <w:tcW w:w="2024" w:type="dxa"/>
            <w:shd w:val="pct25" w:color="auto" w:fill="auto"/>
          </w:tcPr>
          <w:p w14:paraId="07035E4F" w14:textId="77777777" w:rsidR="00235D9D" w:rsidRPr="00D85C65" w:rsidRDefault="001C7AB7">
            <w:pPr>
              <w:rPr>
                <w:rFonts w:ascii="Times New Roman" w:hAnsi="Times New Roman"/>
                <w:sz w:val="24"/>
              </w:rPr>
            </w:pPr>
            <w:r w:rsidRPr="00D85C65">
              <w:rPr>
                <w:rFonts w:ascii="Times New Roman" w:hAnsi="Times New Roman"/>
                <w:sz w:val="24"/>
              </w:rPr>
              <w:t>Riadok</w:t>
            </w:r>
          </w:p>
        </w:tc>
        <w:tc>
          <w:tcPr>
            <w:tcW w:w="7804" w:type="dxa"/>
            <w:shd w:val="pct25" w:color="auto" w:fill="auto"/>
          </w:tcPr>
          <w:p w14:paraId="2745B785" w14:textId="77777777" w:rsidR="00235D9D" w:rsidRPr="00D85C65" w:rsidRDefault="001C7AB7">
            <w:pPr>
              <w:rPr>
                <w:rFonts w:ascii="Times New Roman" w:hAnsi="Times New Roman"/>
                <w:sz w:val="24"/>
              </w:rPr>
            </w:pPr>
            <w:r w:rsidRPr="00D85C65">
              <w:rPr>
                <w:rFonts w:ascii="Times New Roman" w:hAnsi="Times New Roman"/>
                <w:sz w:val="24"/>
              </w:rPr>
              <w:t>Pokyny</w:t>
            </w:r>
          </w:p>
        </w:tc>
      </w:tr>
      <w:tr w:rsidR="00235D9D" w:rsidRPr="00D85C65" w14:paraId="17CDB09A" w14:textId="77777777" w:rsidTr="00672D2A">
        <w:tc>
          <w:tcPr>
            <w:tcW w:w="2024" w:type="dxa"/>
          </w:tcPr>
          <w:p w14:paraId="2824A27E" w14:textId="77777777" w:rsidR="00235D9D" w:rsidRPr="00D85C65" w:rsidRDefault="001C7AB7">
            <w:pPr>
              <w:rPr>
                <w:rFonts w:ascii="Times New Roman" w:hAnsi="Times New Roman"/>
                <w:sz w:val="24"/>
              </w:rPr>
            </w:pPr>
            <w:r w:rsidRPr="00D85C65">
              <w:rPr>
                <w:rFonts w:ascii="Times New Roman" w:hAnsi="Times New Roman"/>
                <w:sz w:val="24"/>
              </w:rPr>
              <w:t>010 – 001 až 010 – NNN</w:t>
            </w:r>
          </w:p>
        </w:tc>
        <w:tc>
          <w:tcPr>
            <w:tcW w:w="7804" w:type="dxa"/>
          </w:tcPr>
          <w:p w14:paraId="207A885A" w14:textId="514ACBA7" w:rsidR="00235D9D" w:rsidRPr="00D85C65" w:rsidRDefault="001C7AB7">
            <w:pPr>
              <w:rPr>
                <w:rFonts w:ascii="Times New Roman" w:hAnsi="Times New Roman"/>
                <w:sz w:val="24"/>
              </w:rPr>
            </w:pPr>
            <w:r w:rsidRPr="00D85C65">
              <w:rPr>
                <w:rFonts w:ascii="Times New Roman" w:hAnsi="Times New Roman"/>
                <w:sz w:val="24"/>
              </w:rPr>
              <w:t>Hodnoty vykazované</w:t>
            </w:r>
            <w:r w:rsidR="00D85C65">
              <w:rPr>
                <w:rFonts w:ascii="Times New Roman" w:hAnsi="Times New Roman"/>
                <w:sz w:val="24"/>
              </w:rPr>
              <w:t xml:space="preserve"> v </w:t>
            </w:r>
            <w:r w:rsidRPr="00D85C65">
              <w:rPr>
                <w:rFonts w:ascii="Times New Roman" w:hAnsi="Times New Roman"/>
                <w:sz w:val="24"/>
              </w:rPr>
              <w:t>týchto riadkoch sa musia zoradiť od najnižších po najvyššie podľa PD priradenej ratingovému stupňu alebo skupine dlžníkov. PD dlžníkov</w:t>
            </w:r>
            <w:r w:rsidR="00D85C65">
              <w:rPr>
                <w:rFonts w:ascii="Times New Roman" w:hAnsi="Times New Roman"/>
                <w:sz w:val="24"/>
              </w:rPr>
              <w:t xml:space="preserve"> v </w:t>
            </w:r>
            <w:r w:rsidRPr="00D85C65">
              <w:rPr>
                <w:rFonts w:ascii="Times New Roman" w:hAnsi="Times New Roman"/>
                <w:sz w:val="24"/>
              </w:rPr>
              <w:t>stave zlyhania je 100</w:t>
            </w:r>
            <w:r w:rsidR="00D85C65">
              <w:rPr>
                <w:rFonts w:ascii="Times New Roman" w:hAnsi="Times New Roman"/>
                <w:sz w:val="24"/>
              </w:rPr>
              <w:t> %</w:t>
            </w:r>
            <w:r w:rsidRPr="00D85C65">
              <w:rPr>
                <w:rFonts w:ascii="Times New Roman" w:hAnsi="Times New Roman"/>
                <w:sz w:val="24"/>
              </w:rPr>
              <w:t>. Expozície, na ktoré sa uplatňuje alternatívne zaobchádzanie pre kolaterál vo forme nehnuteľného majetku (dostupný len vtedy, keď sa nepoužívajú vlastné odhady pre LGD), sa neprideľujú podľa PD dlžníka</w:t>
            </w:r>
            <w:r w:rsidR="00D85C65">
              <w:rPr>
                <w:rFonts w:ascii="Times New Roman" w:hAnsi="Times New Roman"/>
                <w:sz w:val="24"/>
              </w:rPr>
              <w:t xml:space="preserve"> a </w:t>
            </w:r>
            <w:r w:rsidRPr="00D85C65">
              <w:rPr>
                <w:rFonts w:ascii="Times New Roman" w:hAnsi="Times New Roman"/>
                <w:sz w:val="24"/>
              </w:rPr>
              <w:t>nevykazujú sa</w:t>
            </w:r>
            <w:r w:rsidR="00D85C65">
              <w:rPr>
                <w:rFonts w:ascii="Times New Roman" w:hAnsi="Times New Roman"/>
                <w:sz w:val="24"/>
              </w:rPr>
              <w:t xml:space="preserve"> v </w:t>
            </w:r>
            <w:r w:rsidRPr="00D85C65">
              <w:rPr>
                <w:rFonts w:ascii="Times New Roman" w:hAnsi="Times New Roman"/>
                <w:sz w:val="24"/>
              </w:rPr>
              <w:t>tomto vzore.</w:t>
            </w:r>
          </w:p>
        </w:tc>
      </w:tr>
    </w:tbl>
    <w:p w14:paraId="48FCB77F" w14:textId="77777777" w:rsidR="00235D9D" w:rsidRPr="00D85C65" w:rsidRDefault="00235D9D">
      <w:pPr>
        <w:pStyle w:val="InstructionsText"/>
      </w:pPr>
    </w:p>
    <w:p w14:paraId="22185BC7" w14:textId="0F8DE11F" w:rsidR="00235D9D" w:rsidRPr="00D85C65" w:rsidRDefault="00125707">
      <w:pPr>
        <w:pStyle w:val="Instructionsberschrift2"/>
        <w:numPr>
          <w:ilvl w:val="0"/>
          <w:numId w:val="0"/>
        </w:numPr>
        <w:ind w:left="357" w:hanging="357"/>
        <w:rPr>
          <w:rFonts w:ascii="Times New Roman" w:hAnsi="Times New Roman" w:cs="Times New Roman"/>
          <w:sz w:val="24"/>
        </w:rPr>
      </w:pPr>
      <w:bookmarkStart w:id="48" w:name="_Toc29994491"/>
      <w:r w:rsidRPr="00D85C65">
        <w:rPr>
          <w:rFonts w:ascii="Times New Roman" w:hAnsi="Times New Roman"/>
          <w:sz w:val="24"/>
          <w:u w:val="none"/>
        </w:rPr>
        <w:t>3.4.</w:t>
      </w:r>
      <w:r w:rsidRPr="00D85C65">
        <w:rPr>
          <w:rFonts w:ascii="Times New Roman" w:hAnsi="Times New Roman"/>
          <w:sz w:val="24"/>
          <w:u w:val="none"/>
        </w:rPr>
        <w:tab/>
      </w:r>
      <w:r w:rsidRPr="00D85C65">
        <w:rPr>
          <w:rFonts w:ascii="Times New Roman" w:hAnsi="Times New Roman"/>
          <w:sz w:val="24"/>
        </w:rPr>
        <w:t>Kreditné riziko</w:t>
      </w:r>
      <w:r w:rsidR="00D85C65">
        <w:rPr>
          <w:rFonts w:ascii="Times New Roman" w:hAnsi="Times New Roman"/>
          <w:sz w:val="24"/>
        </w:rPr>
        <w:t xml:space="preserve"> a </w:t>
      </w:r>
      <w:r w:rsidRPr="00D85C65">
        <w:rPr>
          <w:rFonts w:ascii="Times New Roman" w:hAnsi="Times New Roman"/>
          <w:sz w:val="24"/>
        </w:rPr>
        <w:t>kreditné riziko protistrany</w:t>
      </w:r>
      <w:r w:rsidR="00D85C65">
        <w:rPr>
          <w:rFonts w:ascii="Times New Roman" w:hAnsi="Times New Roman"/>
          <w:sz w:val="24"/>
        </w:rPr>
        <w:t xml:space="preserve"> a </w:t>
      </w:r>
      <w:r w:rsidRPr="00D85C65">
        <w:rPr>
          <w:rFonts w:ascii="Times New Roman" w:hAnsi="Times New Roman"/>
          <w:sz w:val="24"/>
        </w:rPr>
        <w:t>bezodplatné dodanie: Informácie</w:t>
      </w:r>
      <w:r w:rsidR="00D85C65">
        <w:rPr>
          <w:rFonts w:ascii="Times New Roman" w:hAnsi="Times New Roman"/>
          <w:sz w:val="24"/>
        </w:rPr>
        <w:t xml:space="preserve"> s </w:t>
      </w:r>
      <w:r w:rsidRPr="00D85C65">
        <w:rPr>
          <w:rFonts w:ascii="Times New Roman" w:hAnsi="Times New Roman"/>
          <w:sz w:val="24"/>
        </w:rPr>
        <w:t>geografickým rozčlenením</w:t>
      </w:r>
      <w:bookmarkEnd w:id="48"/>
    </w:p>
    <w:p w14:paraId="1B85B690" w14:textId="12787F82" w:rsidR="00235D9D" w:rsidRPr="00D85C65" w:rsidRDefault="00125707">
      <w:pPr>
        <w:pStyle w:val="InstructionsText2"/>
        <w:numPr>
          <w:ilvl w:val="0"/>
          <w:numId w:val="0"/>
        </w:numPr>
        <w:ind w:left="993"/>
      </w:pPr>
      <w:r w:rsidRPr="00D85C65">
        <w:t>79.</w:t>
      </w:r>
      <w:r w:rsidRPr="00D85C65">
        <w:tab/>
        <w:t>Všetky inštitúcie predkladajú informácie agregované na celkovej úrovni. Inštitúcie, ktoré spĺňajú prahovú hodnotu stanovenú</w:t>
      </w:r>
      <w:r w:rsidR="00D85C65">
        <w:t xml:space="preserve"> v </w:t>
      </w:r>
      <w:r w:rsidRPr="00D85C65">
        <w:t xml:space="preserve">článku 5 písm. a) bode 4 tohto vykonávacieho nariadenia, navyše predkladajú informácie rozčlenené podľa krajiny </w:t>
      </w:r>
      <w:r w:rsidRPr="00D85C65">
        <w:lastRenderedPageBreak/>
        <w:t>týkajúce sa domácej krajiny, ako aj nedomácej krajiny. Prahová hodnota sa zohľadňuje iba vo vzťahu</w:t>
      </w:r>
      <w:r w:rsidR="00D85C65">
        <w:t xml:space="preserve"> k </w:t>
      </w:r>
      <w:r w:rsidRPr="00D85C65">
        <w:t>vzorom CR GB 1</w:t>
      </w:r>
      <w:r w:rsidR="00D85C65">
        <w:t xml:space="preserve"> a </w:t>
      </w:r>
      <w:r w:rsidRPr="00D85C65">
        <w:t>CR GB 2. Expozície voči nadnárodným organizáciám sa priraďujú ku geografickej oblasti „ostatné krajiny“.</w:t>
      </w:r>
    </w:p>
    <w:p w14:paraId="73B980E9" w14:textId="77DF6BF6" w:rsidR="00235D9D" w:rsidRPr="00D85C65" w:rsidRDefault="00125707">
      <w:pPr>
        <w:pStyle w:val="InstructionsText2"/>
        <w:numPr>
          <w:ilvl w:val="0"/>
          <w:numId w:val="0"/>
        </w:numPr>
        <w:ind w:left="993"/>
      </w:pPr>
      <w:r w:rsidRPr="00D85C65">
        <w:t>80.</w:t>
      </w:r>
      <w:r w:rsidRPr="00D85C65">
        <w:tab/>
        <w:t>Pojem „sídlo dlžníka“ sa vzťahuje na krajinu založenia spoločnosti dlžníka. Tento pojem sa môže používať na základe priameho dlžníka</w:t>
      </w:r>
      <w:r w:rsidR="00D85C65">
        <w:t xml:space="preserve"> a </w:t>
      </w:r>
      <w:r w:rsidRPr="00D85C65">
        <w:t>na základe konečného rizika. Postupy na zmiernenie kreditného rizika</w:t>
      </w:r>
      <w:r w:rsidR="00D85C65">
        <w:t xml:space="preserve"> s </w:t>
      </w:r>
      <w:r w:rsidRPr="00D85C65">
        <w:t>účinkami substitúcie môžu teda zmeniť priradenie expozície ku krajine. Expozície voči nadnárodným organizáciám sa nepriraďujú ku krajine sídla danej inštitúcie, ale ku geografickej oblasti „ostatné krajiny“ bez ohľadu na triedu expozície, do ktorej sa priraďuje expozícia voči nadnárodným organizáciám.</w:t>
      </w:r>
    </w:p>
    <w:p w14:paraId="2E93593D" w14:textId="44C64969" w:rsidR="00235D9D" w:rsidRPr="00D85C65" w:rsidRDefault="00125707">
      <w:pPr>
        <w:pStyle w:val="InstructionsText2"/>
        <w:numPr>
          <w:ilvl w:val="0"/>
          <w:numId w:val="0"/>
        </w:numPr>
        <w:ind w:left="993"/>
      </w:pPr>
      <w:r w:rsidRPr="00D85C65">
        <w:t>81.</w:t>
      </w:r>
      <w:r w:rsidRPr="00D85C65">
        <w:tab/>
        <w:t>Údaje týkajúce sa „pôvodnej expozície pred uplatnením konverzných faktorov“ sa vykazujú vo vzťahu ku krajine sídla priameho dlžníka. Údaje týkajúce sa „hodnoty expozície“</w:t>
      </w:r>
      <w:r w:rsidR="00D85C65">
        <w:t xml:space="preserve"> a </w:t>
      </w:r>
      <w:r w:rsidRPr="00D85C65">
        <w:t>„hodnôt rizikovo vážených expozícií“ sa vykazujú podľa krajiny sídla konečného dlžníka.</w:t>
      </w:r>
    </w:p>
    <w:p w14:paraId="65D356E5" w14:textId="12D4AD1F" w:rsidR="00235D9D" w:rsidRPr="00E13EA5" w:rsidRDefault="00125707">
      <w:pPr>
        <w:pStyle w:val="Instructionsberschrift2"/>
        <w:numPr>
          <w:ilvl w:val="0"/>
          <w:numId w:val="0"/>
        </w:numPr>
        <w:ind w:left="357" w:hanging="357"/>
        <w:rPr>
          <w:rFonts w:ascii="Times New Roman" w:hAnsi="Times New Roman" w:cs="Times New Roman"/>
          <w:spacing w:val="-4"/>
          <w:sz w:val="24"/>
        </w:rPr>
      </w:pPr>
      <w:bookmarkStart w:id="49" w:name="_Toc29994492"/>
      <w:r w:rsidRPr="00D85C65">
        <w:rPr>
          <w:rFonts w:ascii="Times New Roman" w:hAnsi="Times New Roman"/>
          <w:sz w:val="24"/>
          <w:u w:val="none"/>
        </w:rPr>
        <w:t>3.4.1.</w:t>
      </w:r>
      <w:r w:rsidRPr="00D85C65">
        <w:rPr>
          <w:rFonts w:ascii="Times New Roman" w:hAnsi="Times New Roman"/>
          <w:sz w:val="24"/>
          <w:u w:val="none"/>
        </w:rPr>
        <w:tab/>
      </w:r>
      <w:r w:rsidRPr="00E13EA5">
        <w:rPr>
          <w:rFonts w:ascii="Times New Roman" w:hAnsi="Times New Roman"/>
          <w:spacing w:val="-4"/>
          <w:sz w:val="24"/>
        </w:rPr>
        <w:t>C 09.01 – Geografické rozčlenenie expozícií podľa sídla dlžníka: Expozície SA (CR GB 1)</w:t>
      </w:r>
      <w:bookmarkEnd w:id="49"/>
    </w:p>
    <w:p w14:paraId="77B971F2"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0" w:name="_Toc29994493"/>
      <w:r w:rsidRPr="00D85C65">
        <w:rPr>
          <w:rFonts w:ascii="Times New Roman" w:hAnsi="Times New Roman"/>
          <w:sz w:val="24"/>
          <w:u w:val="none"/>
        </w:rPr>
        <w:t>3.4.1.1.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D85C65" w14:paraId="00A62539" w14:textId="77777777" w:rsidTr="00672D2A">
        <w:trPr>
          <w:trHeight w:val="581"/>
        </w:trPr>
        <w:tc>
          <w:tcPr>
            <w:tcW w:w="9828" w:type="dxa"/>
            <w:gridSpan w:val="2"/>
            <w:shd w:val="clear" w:color="auto" w:fill="CCCCCC"/>
          </w:tcPr>
          <w:p w14:paraId="20553A31" w14:textId="77777777" w:rsidR="00235D9D" w:rsidRPr="00D85C65" w:rsidRDefault="004357B9">
            <w:pPr>
              <w:spacing w:after="0"/>
              <w:rPr>
                <w:rStyle w:val="InstructionsTabelleText"/>
                <w:rFonts w:ascii="Times New Roman" w:hAnsi="Times New Roman"/>
                <w:b/>
                <w:sz w:val="24"/>
              </w:rPr>
            </w:pPr>
            <w:r w:rsidRPr="00D85C65">
              <w:rPr>
                <w:rStyle w:val="InstructionsTabelleText"/>
                <w:rFonts w:ascii="Times New Roman" w:hAnsi="Times New Roman"/>
                <w:b/>
                <w:sz w:val="24"/>
              </w:rPr>
              <w:t>Stĺpce</w:t>
            </w:r>
          </w:p>
        </w:tc>
      </w:tr>
      <w:tr w:rsidR="00235D9D" w:rsidRPr="00D85C65" w14:paraId="326C18F6" w14:textId="77777777" w:rsidTr="00672D2A">
        <w:tc>
          <w:tcPr>
            <w:tcW w:w="1188" w:type="dxa"/>
          </w:tcPr>
          <w:p w14:paraId="00EEB0C3" w14:textId="77777777" w:rsidR="00235D9D" w:rsidRP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010</w:t>
            </w:r>
          </w:p>
        </w:tc>
        <w:tc>
          <w:tcPr>
            <w:tcW w:w="8640" w:type="dxa"/>
          </w:tcPr>
          <w:p w14:paraId="5FFFCD08" w14:textId="30C14346" w:rsidR="00235D9D" w:rsidRPr="00D85C65" w:rsidRDefault="004357B9">
            <w:pPr>
              <w:rPr>
                <w:rFonts w:ascii="Times New Roman" w:hAnsi="Times New Roman"/>
                <w:b/>
                <w:sz w:val="24"/>
                <w:u w:val="single"/>
              </w:rPr>
            </w:pPr>
            <w:r w:rsidRPr="00D85C65">
              <w:rPr>
                <w:rFonts w:ascii="Times New Roman" w:hAnsi="Times New Roman"/>
                <w:b/>
                <w:sz w:val="24"/>
                <w:u w:val="single"/>
              </w:rPr>
              <w:t>PÔVODNÁ EXPOZÍCIA PRED KONVERZNÝMI FAKTORMI</w:t>
            </w:r>
          </w:p>
          <w:p w14:paraId="736986FA" w14:textId="77777777" w:rsidR="00235D9D" w:rsidRPr="00D85C65" w:rsidRDefault="004357B9">
            <w:pPr>
              <w:rPr>
                <w:rFonts w:ascii="Times New Roman" w:hAnsi="Times New Roman"/>
                <w:sz w:val="24"/>
              </w:rPr>
            </w:pPr>
            <w:r w:rsidRPr="00D85C65">
              <w:rPr>
                <w:rFonts w:ascii="Times New Roman" w:hAnsi="Times New Roman"/>
                <w:sz w:val="24"/>
              </w:rPr>
              <w:t>Rovnaká definícia ako pre stĺpec 010 vzoru CR SA.</w:t>
            </w:r>
          </w:p>
        </w:tc>
      </w:tr>
      <w:tr w:rsidR="00235D9D" w:rsidRPr="00D85C65" w14:paraId="29EDD32F" w14:textId="77777777" w:rsidTr="00672D2A">
        <w:tc>
          <w:tcPr>
            <w:tcW w:w="1188" w:type="dxa"/>
          </w:tcPr>
          <w:p w14:paraId="78065DD2" w14:textId="77777777" w:rsidR="00235D9D" w:rsidRPr="00D85C65" w:rsidRDefault="004357B9">
            <w:pPr>
              <w:rPr>
                <w:rFonts w:ascii="Times New Roman" w:hAnsi="Times New Roman"/>
                <w:sz w:val="24"/>
              </w:rPr>
            </w:pPr>
            <w:r w:rsidRPr="00D85C65">
              <w:rPr>
                <w:rFonts w:ascii="Times New Roman" w:hAnsi="Times New Roman"/>
                <w:sz w:val="24"/>
              </w:rPr>
              <w:t>020</w:t>
            </w:r>
          </w:p>
        </w:tc>
        <w:tc>
          <w:tcPr>
            <w:tcW w:w="8640" w:type="dxa"/>
          </w:tcPr>
          <w:p w14:paraId="274A33EE" w14:textId="0B81465C" w:rsidR="00235D9D" w:rsidRPr="00D85C65" w:rsidRDefault="00771E97">
            <w:pPr>
              <w:rPr>
                <w:rFonts w:ascii="Times New Roman" w:hAnsi="Times New Roman"/>
                <w:b/>
                <w:sz w:val="24"/>
                <w:u w:val="single"/>
              </w:rPr>
            </w:pPr>
            <w:r w:rsidRPr="00D85C65">
              <w:rPr>
                <w:rFonts w:ascii="Times New Roman" w:hAnsi="Times New Roman"/>
                <w:b/>
                <w:sz w:val="24"/>
                <w:u w:val="single"/>
              </w:rPr>
              <w:t>Expozície</w:t>
            </w:r>
            <w:r w:rsidR="00D85C65">
              <w:rPr>
                <w:rFonts w:ascii="Times New Roman" w:hAnsi="Times New Roman"/>
                <w:b/>
                <w:sz w:val="24"/>
                <w:u w:val="single"/>
              </w:rPr>
              <w:t xml:space="preserve"> v </w:t>
            </w:r>
            <w:r w:rsidRPr="00D85C65">
              <w:rPr>
                <w:rFonts w:ascii="Times New Roman" w:hAnsi="Times New Roman"/>
                <w:b/>
                <w:sz w:val="24"/>
                <w:u w:val="single"/>
              </w:rPr>
              <w:t>stave zlyhania</w:t>
            </w:r>
          </w:p>
          <w:p w14:paraId="64B70800" w14:textId="0B83BB87" w:rsidR="00235D9D" w:rsidRP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Pôvodná expozícia pred uplatnením konverzných faktorov pre tie expozície, ktoré sa klasifikovali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pre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zaradené do triedy expozícií „expozície,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ktorými súvisí osobitne vysoké riziko“ alebo „kapitálové expozície“.</w:t>
            </w:r>
          </w:p>
          <w:p w14:paraId="200073CB" w14:textId="5B2C6C90" w:rsid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Táto „doplňujúca položka“ poskytuje ďalšie informácie</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štruktúre dlžníkov expozícií</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Expozície klasifikované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 xml:space="preserve">článku 112 písm. j) CRR sa vykazujú tak, ako by sa vykazovali dlžníci, </w:t>
            </w:r>
            <w:r w:rsidRPr="00D85C65">
              <w:rPr>
                <w:rStyle w:val="InstructionsTabelleText"/>
                <w:rFonts w:ascii="Times New Roman" w:hAnsi="Times New Roman"/>
                <w:sz w:val="24"/>
              </w:rPr>
              <w:br/>
              <w:t>ak by tieto expozície neboli zaradené do triedy expozícií „v stave zlyhania“</w:t>
            </w:r>
            <w:r w:rsidR="00D85C65">
              <w:rPr>
                <w:rStyle w:val="InstructionsTabelleText"/>
                <w:rFonts w:ascii="Times New Roman" w:hAnsi="Times New Roman"/>
                <w:sz w:val="24"/>
              </w:rPr>
              <w:t>.</w:t>
            </w:r>
          </w:p>
          <w:p w14:paraId="083D1225" w14:textId="291072B0" w:rsidR="00235D9D" w:rsidRPr="00D85C65" w:rsidRDefault="004357B9">
            <w:pPr>
              <w:rPr>
                <w:rFonts w:ascii="Times New Roman" w:hAnsi="Times New Roman"/>
                <w:sz w:val="24"/>
              </w:rPr>
            </w:pPr>
            <w:r w:rsidRPr="00D85C65">
              <w:rPr>
                <w:rStyle w:val="InstructionsTabelleText"/>
                <w:rFonts w:ascii="Times New Roman" w:hAnsi="Times New Roman"/>
                <w:sz w:val="24"/>
              </w:rPr>
              <w:t>Táto informácia je „doplňujúca položka“ – neovplyvňuje teda výpočet hodnôt rizikovo vážených expozícií triedy expozícií „v stave zlyhania“, „expozícií,</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ktorými súvisí osobitne vysoké riziko“ alebo „kapitálových expozícií“ podľa článku 112 písm. j), k)</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p) CRR.</w:t>
            </w:r>
          </w:p>
        </w:tc>
      </w:tr>
      <w:tr w:rsidR="00235D9D" w:rsidRPr="00D85C65" w14:paraId="2E3F251B" w14:textId="77777777" w:rsidTr="00672D2A">
        <w:tc>
          <w:tcPr>
            <w:tcW w:w="1188" w:type="dxa"/>
          </w:tcPr>
          <w:p w14:paraId="23CB7F54" w14:textId="77777777" w:rsidR="00235D9D" w:rsidRPr="00D85C65" w:rsidRDefault="004357B9">
            <w:pPr>
              <w:rPr>
                <w:rFonts w:ascii="Times New Roman" w:hAnsi="Times New Roman"/>
                <w:sz w:val="24"/>
              </w:rPr>
            </w:pPr>
            <w:r w:rsidRPr="00D85C65">
              <w:rPr>
                <w:rFonts w:ascii="Times New Roman" w:hAnsi="Times New Roman"/>
                <w:sz w:val="24"/>
              </w:rPr>
              <w:t>040</w:t>
            </w:r>
          </w:p>
        </w:tc>
        <w:tc>
          <w:tcPr>
            <w:tcW w:w="8640" w:type="dxa"/>
          </w:tcPr>
          <w:p w14:paraId="50E07768" w14:textId="0B654ABC" w:rsidR="00235D9D" w:rsidRPr="00D85C65" w:rsidRDefault="004357B9">
            <w:pPr>
              <w:rPr>
                <w:rFonts w:ascii="Times New Roman" w:hAnsi="Times New Roman"/>
                <w:b/>
                <w:sz w:val="24"/>
                <w:u w:val="single"/>
              </w:rPr>
            </w:pPr>
            <w:r w:rsidRPr="00D85C65">
              <w:rPr>
                <w:rFonts w:ascii="Times New Roman" w:hAnsi="Times New Roman"/>
                <w:b/>
                <w:sz w:val="24"/>
                <w:u w:val="single"/>
              </w:rPr>
              <w:t>Nové spozorované zlyhania</w:t>
            </w:r>
            <w:r w:rsidR="00D85C65">
              <w:rPr>
                <w:rFonts w:ascii="Times New Roman" w:hAnsi="Times New Roman"/>
                <w:b/>
                <w:sz w:val="24"/>
                <w:u w:val="single"/>
              </w:rPr>
              <w:t xml:space="preserve"> v </w:t>
            </w:r>
            <w:r w:rsidRPr="00D85C65">
              <w:rPr>
                <w:rFonts w:ascii="Times New Roman" w:hAnsi="Times New Roman"/>
                <w:b/>
                <w:sz w:val="24"/>
                <w:u w:val="single"/>
              </w:rPr>
              <w:t>danom období</w:t>
            </w:r>
          </w:p>
          <w:p w14:paraId="4E51ABF8" w14:textId="7D153A44" w:rsidR="00235D9D" w:rsidRPr="00D85C65" w:rsidRDefault="00DF70AE">
            <w:pPr>
              <w:rPr>
                <w:rFonts w:ascii="Times New Roman" w:hAnsi="Times New Roman"/>
                <w:b/>
                <w:sz w:val="24"/>
                <w:u w:val="single"/>
              </w:rPr>
            </w:pPr>
            <w:r w:rsidRPr="00D85C65">
              <w:rPr>
                <w:rStyle w:val="InstructionsTabelleText"/>
                <w:rFonts w:ascii="Times New Roman" w:hAnsi="Times New Roman"/>
                <w:sz w:val="24"/>
              </w:rPr>
              <w:t>Hodnota pôvodných expozícií, ktoré sa presunuli do triedy expozícií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počas trojmesačného obdobia od posledného referenčného dátumu vykazovania, sa vykazujú podľa triedy expozícií, do ktorej dlžník pôvodne patril.</w:t>
            </w:r>
          </w:p>
        </w:tc>
      </w:tr>
      <w:tr w:rsidR="00235D9D" w:rsidRPr="00D85C65" w14:paraId="762DAFD3" w14:textId="77777777" w:rsidTr="00672D2A">
        <w:tc>
          <w:tcPr>
            <w:tcW w:w="1188" w:type="dxa"/>
          </w:tcPr>
          <w:p w14:paraId="477F58BF" w14:textId="77777777" w:rsidR="00235D9D" w:rsidRPr="00D85C65" w:rsidRDefault="004357B9">
            <w:pPr>
              <w:rPr>
                <w:rFonts w:ascii="Times New Roman" w:hAnsi="Times New Roman"/>
                <w:sz w:val="24"/>
              </w:rPr>
            </w:pPr>
            <w:r w:rsidRPr="00D85C65">
              <w:rPr>
                <w:rFonts w:ascii="Times New Roman" w:hAnsi="Times New Roman"/>
                <w:sz w:val="24"/>
              </w:rPr>
              <w:t>050</w:t>
            </w:r>
          </w:p>
        </w:tc>
        <w:tc>
          <w:tcPr>
            <w:tcW w:w="8640" w:type="dxa"/>
          </w:tcPr>
          <w:p w14:paraId="7B7C6C5A"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Všeobecné úpravy kreditného rizika</w:t>
            </w:r>
          </w:p>
          <w:p w14:paraId="276EF2C5" w14:textId="77777777" w:rsidR="00D85C65" w:rsidRDefault="004357B9">
            <w:pPr>
              <w:rPr>
                <w:rFonts w:ascii="Times New Roman" w:hAnsi="Times New Roman"/>
                <w:sz w:val="24"/>
              </w:rPr>
            </w:pPr>
            <w:r w:rsidRPr="00D85C65">
              <w:rPr>
                <w:rFonts w:ascii="Times New Roman" w:hAnsi="Times New Roman"/>
                <w:sz w:val="24"/>
              </w:rPr>
              <w:t>Úpravy kreditného rizika podľa článku 110 CRR</w:t>
            </w:r>
            <w:r w:rsidR="00D85C65">
              <w:rPr>
                <w:rFonts w:ascii="Times New Roman" w:hAnsi="Times New Roman"/>
                <w:sz w:val="24"/>
              </w:rPr>
              <w:t>.</w:t>
            </w:r>
          </w:p>
          <w:p w14:paraId="46866298" w14:textId="0BFC073D" w:rsidR="00235D9D" w:rsidRPr="00D85C65" w:rsidRDefault="00D95045">
            <w:pPr>
              <w:rPr>
                <w:rFonts w:ascii="Times New Roman" w:hAnsi="Times New Roman"/>
                <w:sz w:val="24"/>
              </w:rPr>
            </w:pPr>
            <w:r w:rsidRPr="00D85C65">
              <w:rPr>
                <w:rFonts w:ascii="Times New Roman" w:hAnsi="Times New Roman"/>
                <w:sz w:val="24"/>
              </w:rPr>
              <w:lastRenderedPageBreak/>
              <w:t>Táto položka zahŕňa všeobecné úpravy kreditného rizika, ktoré sú prípustné na začlenenie do kapitálu T2, pred uplatnením horného ohraničenia uvedeného</w:t>
            </w:r>
            <w:r w:rsidR="00D85C65">
              <w:rPr>
                <w:rFonts w:ascii="Times New Roman" w:hAnsi="Times New Roman"/>
                <w:sz w:val="24"/>
              </w:rPr>
              <w:t xml:space="preserve"> v </w:t>
            </w:r>
            <w:r w:rsidRPr="00D85C65">
              <w:rPr>
                <w:rFonts w:ascii="Times New Roman" w:hAnsi="Times New Roman"/>
                <w:sz w:val="24"/>
              </w:rPr>
              <w:t>článku 62 písm. c) CRR.</w:t>
            </w:r>
          </w:p>
          <w:p w14:paraId="2C814480" w14:textId="77777777" w:rsidR="00235D9D" w:rsidRPr="00D85C65" w:rsidRDefault="00D95045">
            <w:pPr>
              <w:rPr>
                <w:rFonts w:ascii="Times New Roman" w:hAnsi="Times New Roman"/>
                <w:b/>
                <w:sz w:val="24"/>
                <w:u w:val="single"/>
              </w:rPr>
            </w:pPr>
            <w:r w:rsidRPr="00D85C65">
              <w:rPr>
                <w:rFonts w:ascii="Times New Roman" w:hAnsi="Times New Roman"/>
                <w:sz w:val="24"/>
              </w:rPr>
              <w:t>Vo vykazovanej hodnote sa nezohľadňujú daňové účinky.</w:t>
            </w:r>
          </w:p>
        </w:tc>
      </w:tr>
      <w:tr w:rsidR="00235D9D" w:rsidRPr="00D85C65" w14:paraId="7C2BFDFD" w14:textId="77777777" w:rsidTr="00672D2A">
        <w:tc>
          <w:tcPr>
            <w:tcW w:w="1188" w:type="dxa"/>
          </w:tcPr>
          <w:p w14:paraId="51BF1CE0" w14:textId="77777777" w:rsidR="00235D9D" w:rsidRPr="00D85C65" w:rsidRDefault="004357B9">
            <w:pPr>
              <w:rPr>
                <w:rFonts w:ascii="Times New Roman" w:hAnsi="Times New Roman"/>
                <w:sz w:val="24"/>
              </w:rPr>
            </w:pPr>
            <w:r w:rsidRPr="00D85C65">
              <w:rPr>
                <w:rFonts w:ascii="Times New Roman" w:hAnsi="Times New Roman"/>
                <w:sz w:val="24"/>
              </w:rPr>
              <w:lastRenderedPageBreak/>
              <w:t>055</w:t>
            </w:r>
          </w:p>
        </w:tc>
        <w:tc>
          <w:tcPr>
            <w:tcW w:w="8640" w:type="dxa"/>
          </w:tcPr>
          <w:p w14:paraId="2BC39485"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Špecifické úpravy kreditného rizika</w:t>
            </w:r>
          </w:p>
          <w:p w14:paraId="09256F50" w14:textId="72AF8530" w:rsidR="00235D9D" w:rsidRPr="00D85C65" w:rsidRDefault="004357B9">
            <w:pPr>
              <w:rPr>
                <w:rFonts w:ascii="Times New Roman" w:hAnsi="Times New Roman"/>
                <w:b/>
                <w:sz w:val="24"/>
                <w:u w:val="single"/>
              </w:rPr>
            </w:pPr>
            <w:r w:rsidRPr="00D85C65">
              <w:rPr>
                <w:rFonts w:ascii="Times New Roman" w:hAnsi="Times New Roman"/>
                <w:sz w:val="24"/>
              </w:rPr>
              <w:t>Úpravy kreditného rizika podľa článku 110 CRR.</w:t>
            </w:r>
          </w:p>
        </w:tc>
      </w:tr>
      <w:tr w:rsidR="00235D9D" w:rsidRPr="00D85C65" w14:paraId="7171770E" w14:textId="77777777" w:rsidTr="00672D2A">
        <w:tc>
          <w:tcPr>
            <w:tcW w:w="1188" w:type="dxa"/>
          </w:tcPr>
          <w:p w14:paraId="3EBBE060" w14:textId="77777777" w:rsidR="00235D9D" w:rsidRPr="00D85C65" w:rsidRDefault="004357B9">
            <w:pPr>
              <w:rPr>
                <w:rFonts w:ascii="Times New Roman" w:hAnsi="Times New Roman"/>
                <w:sz w:val="24"/>
              </w:rPr>
            </w:pPr>
            <w:r w:rsidRPr="00D85C65">
              <w:rPr>
                <w:rFonts w:ascii="Times New Roman" w:hAnsi="Times New Roman"/>
                <w:sz w:val="24"/>
              </w:rPr>
              <w:t>060</w:t>
            </w:r>
          </w:p>
        </w:tc>
        <w:tc>
          <w:tcPr>
            <w:tcW w:w="8640" w:type="dxa"/>
          </w:tcPr>
          <w:p w14:paraId="489B9A51"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Odpisy</w:t>
            </w:r>
          </w:p>
          <w:p w14:paraId="147BEE4B" w14:textId="3B35F7FE"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Odpisy zahŕňajú zníženia účtovnej hodnoty finančných aktív so zhoršenou kvalitou uznané priamo vo výsledku hospodárenia [IFRS 7.B5.d).i)]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zníženia hodnôt účtu opravných položiek</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súvislosti</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finančnými aktívami so zhoršenou kvalitou [IFRS 7.B5.d).ii)].</w:t>
            </w:r>
          </w:p>
        </w:tc>
      </w:tr>
      <w:tr w:rsidR="00235D9D" w:rsidRPr="00D85C65" w14:paraId="0ED5012D" w14:textId="77777777" w:rsidTr="00672D2A">
        <w:tc>
          <w:tcPr>
            <w:tcW w:w="1188" w:type="dxa"/>
          </w:tcPr>
          <w:p w14:paraId="28F13CB0" w14:textId="77777777" w:rsidR="00235D9D" w:rsidRPr="00D85C65" w:rsidRDefault="004357B9">
            <w:pPr>
              <w:rPr>
                <w:rFonts w:ascii="Times New Roman" w:hAnsi="Times New Roman"/>
                <w:sz w:val="24"/>
              </w:rPr>
            </w:pPr>
            <w:r w:rsidRPr="00D85C65">
              <w:rPr>
                <w:rFonts w:ascii="Times New Roman" w:hAnsi="Times New Roman"/>
                <w:sz w:val="24"/>
              </w:rPr>
              <w:t>070</w:t>
            </w:r>
          </w:p>
        </w:tc>
        <w:tc>
          <w:tcPr>
            <w:tcW w:w="8640" w:type="dxa"/>
          </w:tcPr>
          <w:p w14:paraId="49B1F54B"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Úpravy kreditného rizika/odpisy pre nové spozorované zlyhania</w:t>
            </w:r>
          </w:p>
          <w:p w14:paraId="4B1C116B" w14:textId="2642FB06"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Súčet úprav kreditného rizika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odpisov pre expozície klasifikované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počas trojmesačného obdobia od posledného dátumu predloženia údajov.</w:t>
            </w:r>
          </w:p>
        </w:tc>
      </w:tr>
      <w:tr w:rsidR="00235D9D" w:rsidRPr="00D85C65" w14:paraId="517526D9" w14:textId="77777777" w:rsidTr="00672D2A">
        <w:tc>
          <w:tcPr>
            <w:tcW w:w="1188" w:type="dxa"/>
          </w:tcPr>
          <w:p w14:paraId="1C9AE3E1" w14:textId="77777777" w:rsidR="00235D9D" w:rsidRPr="00D85C65" w:rsidRDefault="004357B9">
            <w:pPr>
              <w:rPr>
                <w:rFonts w:ascii="Times New Roman" w:hAnsi="Times New Roman"/>
                <w:sz w:val="24"/>
              </w:rPr>
            </w:pPr>
            <w:r w:rsidRPr="00D85C65">
              <w:rPr>
                <w:rFonts w:ascii="Times New Roman" w:hAnsi="Times New Roman"/>
                <w:sz w:val="24"/>
              </w:rPr>
              <w:t>075</w:t>
            </w:r>
          </w:p>
        </w:tc>
        <w:tc>
          <w:tcPr>
            <w:tcW w:w="8640" w:type="dxa"/>
          </w:tcPr>
          <w:p w14:paraId="7D2501FB"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expozície</w:t>
            </w:r>
          </w:p>
          <w:p w14:paraId="0FC9F2D2"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200 vzoru CR SA.</w:t>
            </w:r>
          </w:p>
        </w:tc>
      </w:tr>
      <w:tr w:rsidR="00235D9D" w:rsidRPr="00D85C65" w14:paraId="1E6CBFD9" w14:textId="77777777" w:rsidTr="00672D2A">
        <w:tc>
          <w:tcPr>
            <w:tcW w:w="1188" w:type="dxa"/>
          </w:tcPr>
          <w:p w14:paraId="16603464" w14:textId="77777777" w:rsidR="00235D9D" w:rsidRPr="00D85C65" w:rsidRDefault="004357B9">
            <w:pPr>
              <w:rPr>
                <w:rFonts w:ascii="Times New Roman" w:hAnsi="Times New Roman"/>
                <w:sz w:val="24"/>
              </w:rPr>
            </w:pPr>
            <w:r w:rsidRPr="00D85C65">
              <w:rPr>
                <w:rFonts w:ascii="Times New Roman" w:hAnsi="Times New Roman"/>
                <w:sz w:val="24"/>
              </w:rPr>
              <w:t>080</w:t>
            </w:r>
          </w:p>
        </w:tc>
        <w:tc>
          <w:tcPr>
            <w:tcW w:w="8640" w:type="dxa"/>
          </w:tcPr>
          <w:p w14:paraId="03C6A6D7"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RIZIKOVO VÁŽENÝCH EXPOZÍCIÍ PRED UPLATNENÍM KOEFICIENTU NA PODPORU MSP</w:t>
            </w:r>
          </w:p>
          <w:p w14:paraId="76FB36A8" w14:textId="77777777" w:rsidR="00235D9D" w:rsidRPr="00D85C65" w:rsidRDefault="004357B9">
            <w:pPr>
              <w:rPr>
                <w:rFonts w:ascii="Times New Roman" w:hAnsi="Times New Roman"/>
                <w:b/>
                <w:sz w:val="24"/>
                <w:u w:val="single"/>
              </w:rPr>
            </w:pPr>
            <w:r w:rsidRPr="00D85C65">
              <w:rPr>
                <w:rFonts w:ascii="Times New Roman" w:hAnsi="Times New Roman"/>
                <w:sz w:val="24"/>
              </w:rPr>
              <w:t>Rovnaká definícia ako pre stĺpec 215 vzoru CR SA.</w:t>
            </w:r>
          </w:p>
        </w:tc>
      </w:tr>
      <w:tr w:rsidR="00235D9D" w:rsidRPr="00D85C65" w14:paraId="7637CECB" w14:textId="77777777" w:rsidTr="00672D2A">
        <w:tc>
          <w:tcPr>
            <w:tcW w:w="1188" w:type="dxa"/>
          </w:tcPr>
          <w:p w14:paraId="4D08A233" w14:textId="77777777" w:rsidR="00235D9D" w:rsidRPr="00D85C65" w:rsidRDefault="004357B9">
            <w:pPr>
              <w:rPr>
                <w:rFonts w:ascii="Times New Roman" w:hAnsi="Times New Roman"/>
                <w:sz w:val="24"/>
              </w:rPr>
            </w:pPr>
            <w:r w:rsidRPr="00D85C65">
              <w:rPr>
                <w:rFonts w:ascii="Times New Roman" w:hAnsi="Times New Roman"/>
                <w:sz w:val="24"/>
              </w:rPr>
              <w:t>090</w:t>
            </w:r>
          </w:p>
        </w:tc>
        <w:tc>
          <w:tcPr>
            <w:tcW w:w="8640" w:type="dxa"/>
          </w:tcPr>
          <w:p w14:paraId="5F436B79"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RIZIKOVO VÁŽENÝCH EXPOZÍCIÍ PO KOEFICIENTE NA PODPORU MSP</w:t>
            </w:r>
          </w:p>
          <w:p w14:paraId="387EDED8" w14:textId="77777777" w:rsidR="00235D9D" w:rsidRPr="00D85C65" w:rsidRDefault="004357B9">
            <w:pPr>
              <w:rPr>
                <w:rFonts w:ascii="Times New Roman" w:hAnsi="Times New Roman"/>
                <w:b/>
                <w:sz w:val="24"/>
                <w:u w:val="single"/>
              </w:rPr>
            </w:pPr>
            <w:r w:rsidRPr="00D85C65">
              <w:rPr>
                <w:rFonts w:ascii="Times New Roman" w:hAnsi="Times New Roman"/>
                <w:sz w:val="24"/>
              </w:rPr>
              <w:t>Rovnaká definícia ako pre stĺpec 220 vzoru CR SA.</w:t>
            </w:r>
          </w:p>
        </w:tc>
      </w:tr>
    </w:tbl>
    <w:p w14:paraId="56054924" w14:textId="77777777" w:rsidR="00235D9D" w:rsidRPr="00D85C65" w:rsidRDefault="00235D9D">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235D9D" w:rsidRPr="00D85C65" w14:paraId="0F5D510B" w14:textId="77777777" w:rsidTr="00672D2A">
        <w:trPr>
          <w:gridAfter w:val="1"/>
          <w:wAfter w:w="61" w:type="dxa"/>
          <w:trHeight w:val="581"/>
        </w:trPr>
        <w:tc>
          <w:tcPr>
            <w:tcW w:w="9828" w:type="dxa"/>
            <w:gridSpan w:val="2"/>
            <w:shd w:val="clear" w:color="auto" w:fill="CCCCCC"/>
          </w:tcPr>
          <w:p w14:paraId="23D3CC9C" w14:textId="77777777" w:rsidR="00235D9D" w:rsidRPr="00D85C65" w:rsidRDefault="004357B9">
            <w:pPr>
              <w:spacing w:after="0"/>
              <w:rPr>
                <w:rStyle w:val="InstructionsTabelleText"/>
                <w:rFonts w:ascii="Times New Roman" w:hAnsi="Times New Roman"/>
                <w:b/>
                <w:sz w:val="24"/>
              </w:rPr>
            </w:pPr>
            <w:r w:rsidRPr="00D85C65">
              <w:rPr>
                <w:rStyle w:val="InstructionsTabelleText"/>
                <w:rFonts w:ascii="Times New Roman" w:hAnsi="Times New Roman"/>
                <w:b/>
                <w:sz w:val="24"/>
              </w:rPr>
              <w:t>Riadky</w:t>
            </w:r>
          </w:p>
        </w:tc>
      </w:tr>
      <w:tr w:rsidR="00235D9D" w:rsidRPr="00D85C65" w14:paraId="2F593AC9" w14:textId="77777777" w:rsidTr="00672D2A">
        <w:tc>
          <w:tcPr>
            <w:tcW w:w="1188" w:type="dxa"/>
            <w:shd w:val="clear" w:color="auto" w:fill="FFFFFF"/>
          </w:tcPr>
          <w:p w14:paraId="09FADAB5" w14:textId="77777777" w:rsidR="00235D9D" w:rsidRPr="00D85C65" w:rsidRDefault="004357B9">
            <w:pPr>
              <w:rPr>
                <w:rFonts w:ascii="Times New Roman" w:hAnsi="Times New Roman"/>
                <w:sz w:val="24"/>
              </w:rPr>
            </w:pPr>
            <w:r w:rsidRPr="00D85C65">
              <w:rPr>
                <w:rFonts w:ascii="Times New Roman" w:hAnsi="Times New Roman"/>
                <w:sz w:val="24"/>
              </w:rPr>
              <w:t>010</w:t>
            </w:r>
          </w:p>
        </w:tc>
        <w:tc>
          <w:tcPr>
            <w:tcW w:w="8701" w:type="dxa"/>
            <w:gridSpan w:val="2"/>
            <w:shd w:val="clear" w:color="auto" w:fill="FFFFFF"/>
          </w:tcPr>
          <w:p w14:paraId="77A4FEB5"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Ústredné vlády alebo centrálne banky</w:t>
            </w:r>
          </w:p>
          <w:p w14:paraId="0FCC655C" w14:textId="458570AF" w:rsidR="00235D9D" w:rsidRPr="00D85C65" w:rsidRDefault="00D21B29">
            <w:pPr>
              <w:ind w:left="72"/>
              <w:rPr>
                <w:rStyle w:val="InstructionsTabelleText"/>
                <w:rFonts w:ascii="Times New Roman" w:hAnsi="Times New Roman"/>
                <w:sz w:val="24"/>
              </w:rPr>
            </w:pPr>
            <w:r w:rsidRPr="00D85C65">
              <w:rPr>
                <w:rFonts w:ascii="Times New Roman" w:hAnsi="Times New Roman"/>
                <w:sz w:val="24"/>
              </w:rPr>
              <w:t>Článok 112 písm. a) CRR.</w:t>
            </w:r>
          </w:p>
        </w:tc>
      </w:tr>
      <w:tr w:rsidR="00235D9D" w:rsidRPr="00D85C65" w14:paraId="5D6B04F0" w14:textId="77777777" w:rsidTr="00672D2A">
        <w:tc>
          <w:tcPr>
            <w:tcW w:w="1188" w:type="dxa"/>
            <w:shd w:val="clear" w:color="auto" w:fill="FFFFFF"/>
          </w:tcPr>
          <w:p w14:paraId="0D310BFC" w14:textId="77777777" w:rsidR="00235D9D" w:rsidRPr="00D85C65" w:rsidRDefault="004357B9">
            <w:pPr>
              <w:rPr>
                <w:rFonts w:ascii="Times New Roman" w:hAnsi="Times New Roman"/>
                <w:sz w:val="24"/>
              </w:rPr>
            </w:pPr>
            <w:r w:rsidRPr="00D85C65">
              <w:rPr>
                <w:rFonts w:ascii="Times New Roman" w:hAnsi="Times New Roman"/>
                <w:sz w:val="24"/>
              </w:rPr>
              <w:t>020</w:t>
            </w:r>
          </w:p>
        </w:tc>
        <w:tc>
          <w:tcPr>
            <w:tcW w:w="8701" w:type="dxa"/>
            <w:gridSpan w:val="2"/>
            <w:shd w:val="clear" w:color="auto" w:fill="FFFFFF"/>
          </w:tcPr>
          <w:p w14:paraId="2DA589A8"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Regionálne vlády alebo miestne orgány</w:t>
            </w:r>
          </w:p>
          <w:p w14:paraId="429EB3F8" w14:textId="70223954"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b) CRR.</w:t>
            </w:r>
          </w:p>
        </w:tc>
      </w:tr>
      <w:tr w:rsidR="00235D9D" w:rsidRPr="00D85C65" w14:paraId="213DF72C" w14:textId="77777777" w:rsidTr="00672D2A">
        <w:tc>
          <w:tcPr>
            <w:tcW w:w="1188" w:type="dxa"/>
            <w:shd w:val="clear" w:color="auto" w:fill="FFFFFF"/>
          </w:tcPr>
          <w:p w14:paraId="6DA94ED7" w14:textId="77777777" w:rsidR="00235D9D" w:rsidRPr="00D85C65" w:rsidRDefault="004357B9">
            <w:pPr>
              <w:rPr>
                <w:rFonts w:ascii="Times New Roman" w:hAnsi="Times New Roman"/>
                <w:sz w:val="24"/>
              </w:rPr>
            </w:pPr>
            <w:r w:rsidRPr="00D85C65">
              <w:rPr>
                <w:rFonts w:ascii="Times New Roman" w:hAnsi="Times New Roman"/>
                <w:sz w:val="24"/>
              </w:rPr>
              <w:t>030</w:t>
            </w:r>
          </w:p>
        </w:tc>
        <w:tc>
          <w:tcPr>
            <w:tcW w:w="8701" w:type="dxa"/>
            <w:gridSpan w:val="2"/>
            <w:shd w:val="clear" w:color="auto" w:fill="FFFFFF"/>
          </w:tcPr>
          <w:p w14:paraId="13427E47"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Subjekty verejného sektora</w:t>
            </w:r>
          </w:p>
          <w:p w14:paraId="78F31A1E" w14:textId="23CA771B"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c) CRR.</w:t>
            </w:r>
          </w:p>
        </w:tc>
      </w:tr>
      <w:tr w:rsidR="00235D9D" w:rsidRPr="00D85C65" w14:paraId="690BBFE3" w14:textId="77777777" w:rsidTr="00672D2A">
        <w:tc>
          <w:tcPr>
            <w:tcW w:w="1188" w:type="dxa"/>
            <w:shd w:val="clear" w:color="auto" w:fill="FFFFFF"/>
          </w:tcPr>
          <w:p w14:paraId="614019A4" w14:textId="77777777" w:rsidR="00235D9D" w:rsidRPr="00D85C65" w:rsidRDefault="004357B9">
            <w:pPr>
              <w:rPr>
                <w:rFonts w:ascii="Times New Roman" w:hAnsi="Times New Roman"/>
                <w:sz w:val="24"/>
              </w:rPr>
            </w:pPr>
            <w:r w:rsidRPr="00D85C65">
              <w:rPr>
                <w:rFonts w:ascii="Times New Roman" w:hAnsi="Times New Roman"/>
                <w:sz w:val="24"/>
              </w:rPr>
              <w:t>040</w:t>
            </w:r>
          </w:p>
        </w:tc>
        <w:tc>
          <w:tcPr>
            <w:tcW w:w="8701" w:type="dxa"/>
            <w:gridSpan w:val="2"/>
            <w:shd w:val="clear" w:color="auto" w:fill="FFFFFF"/>
          </w:tcPr>
          <w:p w14:paraId="73248D6E"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Multilaterálne rozvojové banky</w:t>
            </w:r>
          </w:p>
          <w:p w14:paraId="5C52A188" w14:textId="11EE4A10"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w:t>
            </w:r>
            <w:r w:rsidRPr="00D85C65">
              <w:rPr>
                <w:rStyle w:val="InstructionsTabelleText"/>
                <w:rFonts w:ascii="Times New Roman" w:hAnsi="Times New Roman"/>
                <w:sz w:val="24"/>
              </w:rPr>
              <w:t xml:space="preserve"> písm. d)</w:t>
            </w:r>
            <w:r w:rsidRPr="00D85C65">
              <w:rPr>
                <w:rFonts w:ascii="Times New Roman" w:hAnsi="Times New Roman"/>
                <w:bCs/>
                <w:sz w:val="24"/>
              </w:rPr>
              <w:t xml:space="preserve"> CRR.</w:t>
            </w:r>
          </w:p>
        </w:tc>
      </w:tr>
      <w:tr w:rsidR="00235D9D" w:rsidRPr="00D85C65" w14:paraId="4D7CF9C5" w14:textId="77777777" w:rsidTr="00672D2A">
        <w:tc>
          <w:tcPr>
            <w:tcW w:w="1188" w:type="dxa"/>
            <w:shd w:val="clear" w:color="auto" w:fill="FFFFFF"/>
          </w:tcPr>
          <w:p w14:paraId="02CD4D5F" w14:textId="77777777" w:rsidR="00235D9D" w:rsidRPr="00D85C65" w:rsidRDefault="004357B9">
            <w:pPr>
              <w:rPr>
                <w:rFonts w:ascii="Times New Roman" w:hAnsi="Times New Roman"/>
                <w:sz w:val="24"/>
              </w:rPr>
            </w:pPr>
            <w:r w:rsidRPr="00D85C65">
              <w:rPr>
                <w:rFonts w:ascii="Times New Roman" w:hAnsi="Times New Roman"/>
                <w:sz w:val="24"/>
              </w:rPr>
              <w:lastRenderedPageBreak/>
              <w:t>050</w:t>
            </w:r>
          </w:p>
        </w:tc>
        <w:tc>
          <w:tcPr>
            <w:tcW w:w="8701" w:type="dxa"/>
            <w:gridSpan w:val="2"/>
            <w:shd w:val="clear" w:color="auto" w:fill="FFFFFF"/>
          </w:tcPr>
          <w:p w14:paraId="191DEA30"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Medzinárodné organizácie</w:t>
            </w:r>
          </w:p>
          <w:p w14:paraId="2BAE0184" w14:textId="48737763"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e) CRR.</w:t>
            </w:r>
          </w:p>
        </w:tc>
      </w:tr>
      <w:tr w:rsidR="00235D9D" w:rsidRPr="00D85C65" w14:paraId="38ABA1B5" w14:textId="77777777" w:rsidTr="00672D2A">
        <w:tc>
          <w:tcPr>
            <w:tcW w:w="1188" w:type="dxa"/>
            <w:shd w:val="clear" w:color="auto" w:fill="FFFFFF"/>
          </w:tcPr>
          <w:p w14:paraId="4E86EC15" w14:textId="77777777" w:rsidR="00235D9D" w:rsidRPr="00D85C65" w:rsidRDefault="004357B9">
            <w:pPr>
              <w:rPr>
                <w:rFonts w:ascii="Times New Roman" w:hAnsi="Times New Roman"/>
                <w:sz w:val="24"/>
              </w:rPr>
            </w:pPr>
            <w:r w:rsidRPr="00D85C65">
              <w:rPr>
                <w:rFonts w:ascii="Times New Roman" w:hAnsi="Times New Roman"/>
                <w:sz w:val="24"/>
              </w:rPr>
              <w:t>060</w:t>
            </w:r>
          </w:p>
        </w:tc>
        <w:tc>
          <w:tcPr>
            <w:tcW w:w="8701" w:type="dxa"/>
            <w:gridSpan w:val="2"/>
            <w:shd w:val="clear" w:color="auto" w:fill="FFFFFF"/>
          </w:tcPr>
          <w:p w14:paraId="291BC296"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Inštitúcie</w:t>
            </w:r>
          </w:p>
          <w:p w14:paraId="2904CFFB" w14:textId="566A617B"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f) CRR.</w:t>
            </w:r>
          </w:p>
        </w:tc>
      </w:tr>
      <w:tr w:rsidR="00235D9D" w:rsidRPr="00D85C65" w14:paraId="69E525A3" w14:textId="77777777" w:rsidTr="00672D2A">
        <w:tc>
          <w:tcPr>
            <w:tcW w:w="1188" w:type="dxa"/>
            <w:shd w:val="clear" w:color="auto" w:fill="FFFFFF"/>
          </w:tcPr>
          <w:p w14:paraId="2B676835" w14:textId="77777777" w:rsidR="00235D9D" w:rsidRPr="00D85C65" w:rsidRDefault="004357B9">
            <w:pPr>
              <w:rPr>
                <w:rFonts w:ascii="Times New Roman" w:hAnsi="Times New Roman"/>
                <w:sz w:val="24"/>
              </w:rPr>
            </w:pPr>
            <w:r w:rsidRPr="00D85C65">
              <w:rPr>
                <w:rFonts w:ascii="Times New Roman" w:hAnsi="Times New Roman"/>
                <w:sz w:val="24"/>
              </w:rPr>
              <w:t>070</w:t>
            </w:r>
          </w:p>
        </w:tc>
        <w:tc>
          <w:tcPr>
            <w:tcW w:w="8701" w:type="dxa"/>
            <w:gridSpan w:val="2"/>
            <w:shd w:val="clear" w:color="auto" w:fill="FFFFFF"/>
          </w:tcPr>
          <w:p w14:paraId="39158FB9"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Podnikateľské subjekty</w:t>
            </w:r>
          </w:p>
          <w:p w14:paraId="0B377737" w14:textId="4BFB5A58"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g) CRR.</w:t>
            </w:r>
          </w:p>
        </w:tc>
      </w:tr>
      <w:tr w:rsidR="00235D9D" w:rsidRPr="00D85C65" w14:paraId="2F441EB7" w14:textId="77777777" w:rsidTr="00672D2A">
        <w:tc>
          <w:tcPr>
            <w:tcW w:w="1188" w:type="dxa"/>
            <w:shd w:val="clear" w:color="auto" w:fill="FFFFFF"/>
          </w:tcPr>
          <w:p w14:paraId="16E1C1F2" w14:textId="77777777" w:rsidR="00235D9D" w:rsidRPr="00D85C65" w:rsidRDefault="004357B9">
            <w:pPr>
              <w:rPr>
                <w:rFonts w:ascii="Times New Roman" w:hAnsi="Times New Roman"/>
                <w:sz w:val="24"/>
              </w:rPr>
            </w:pPr>
            <w:r w:rsidRPr="00D85C65">
              <w:rPr>
                <w:rFonts w:ascii="Times New Roman" w:hAnsi="Times New Roman"/>
                <w:sz w:val="24"/>
              </w:rPr>
              <w:t>075</w:t>
            </w:r>
          </w:p>
        </w:tc>
        <w:tc>
          <w:tcPr>
            <w:tcW w:w="8701" w:type="dxa"/>
            <w:gridSpan w:val="2"/>
            <w:shd w:val="clear" w:color="auto" w:fill="FFFFFF"/>
          </w:tcPr>
          <w:p w14:paraId="6DDA31AF"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z čoho: MSP</w:t>
            </w:r>
          </w:p>
          <w:p w14:paraId="66B0FF6E" w14:textId="77777777" w:rsidR="00235D9D" w:rsidRPr="00D85C65" w:rsidRDefault="004357B9">
            <w:pPr>
              <w:ind w:left="72"/>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Rovnaká definícia ako pre riadok 020 vzoru CR SA.</w:t>
            </w:r>
          </w:p>
        </w:tc>
      </w:tr>
      <w:tr w:rsidR="00235D9D" w:rsidRPr="00D85C65" w14:paraId="61F699C5" w14:textId="77777777" w:rsidTr="00672D2A">
        <w:tc>
          <w:tcPr>
            <w:tcW w:w="1188" w:type="dxa"/>
            <w:shd w:val="clear" w:color="auto" w:fill="FFFFFF"/>
          </w:tcPr>
          <w:p w14:paraId="635B20B4" w14:textId="77777777" w:rsidR="00235D9D" w:rsidRPr="00D85C65" w:rsidRDefault="004357B9">
            <w:pPr>
              <w:rPr>
                <w:rFonts w:ascii="Times New Roman" w:hAnsi="Times New Roman"/>
                <w:sz w:val="24"/>
              </w:rPr>
            </w:pPr>
            <w:r w:rsidRPr="00D85C65">
              <w:rPr>
                <w:rFonts w:ascii="Times New Roman" w:hAnsi="Times New Roman"/>
                <w:sz w:val="24"/>
              </w:rPr>
              <w:t>080</w:t>
            </w:r>
          </w:p>
        </w:tc>
        <w:tc>
          <w:tcPr>
            <w:tcW w:w="8701" w:type="dxa"/>
            <w:gridSpan w:val="2"/>
            <w:shd w:val="clear" w:color="auto" w:fill="FFFFFF"/>
          </w:tcPr>
          <w:p w14:paraId="3A028B82"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Retailové subjekty</w:t>
            </w:r>
          </w:p>
          <w:p w14:paraId="0EAEC635" w14:textId="5AF25699"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h) CRR.</w:t>
            </w:r>
          </w:p>
        </w:tc>
      </w:tr>
      <w:tr w:rsidR="00235D9D" w:rsidRPr="00D85C65" w14:paraId="7B9A6B0C" w14:textId="77777777" w:rsidTr="00672D2A">
        <w:tc>
          <w:tcPr>
            <w:tcW w:w="1188" w:type="dxa"/>
            <w:shd w:val="clear" w:color="auto" w:fill="FFFFFF"/>
          </w:tcPr>
          <w:p w14:paraId="4C761573" w14:textId="77777777" w:rsidR="00235D9D" w:rsidRPr="00D85C65" w:rsidRDefault="004357B9">
            <w:pPr>
              <w:rPr>
                <w:rFonts w:ascii="Times New Roman" w:hAnsi="Times New Roman"/>
                <w:sz w:val="24"/>
              </w:rPr>
            </w:pPr>
            <w:r w:rsidRPr="00D85C65">
              <w:rPr>
                <w:rFonts w:ascii="Times New Roman" w:hAnsi="Times New Roman"/>
                <w:sz w:val="24"/>
              </w:rPr>
              <w:t>085</w:t>
            </w:r>
          </w:p>
        </w:tc>
        <w:tc>
          <w:tcPr>
            <w:tcW w:w="8701" w:type="dxa"/>
            <w:gridSpan w:val="2"/>
            <w:shd w:val="clear" w:color="auto" w:fill="FFFFFF"/>
          </w:tcPr>
          <w:p w14:paraId="6921B26B"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z čoho: MSP</w:t>
            </w:r>
          </w:p>
          <w:p w14:paraId="4CC6A450" w14:textId="77777777" w:rsidR="00235D9D" w:rsidRPr="00D85C65" w:rsidRDefault="004357B9">
            <w:pPr>
              <w:ind w:left="72"/>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Rovnaká definícia ako pre riadok 020 vzoru CR SA.</w:t>
            </w:r>
          </w:p>
        </w:tc>
      </w:tr>
      <w:tr w:rsidR="00235D9D" w:rsidRPr="00D85C65" w14:paraId="300D14E6" w14:textId="77777777" w:rsidTr="00672D2A">
        <w:tc>
          <w:tcPr>
            <w:tcW w:w="1188" w:type="dxa"/>
            <w:shd w:val="clear" w:color="auto" w:fill="FFFFFF"/>
          </w:tcPr>
          <w:p w14:paraId="6E09B154" w14:textId="77777777" w:rsidR="00235D9D" w:rsidRPr="00D85C65" w:rsidRDefault="004357B9">
            <w:pPr>
              <w:rPr>
                <w:rFonts w:ascii="Times New Roman" w:hAnsi="Times New Roman"/>
                <w:sz w:val="24"/>
              </w:rPr>
            </w:pPr>
            <w:r w:rsidRPr="00D85C65">
              <w:rPr>
                <w:rFonts w:ascii="Times New Roman" w:hAnsi="Times New Roman"/>
                <w:sz w:val="24"/>
              </w:rPr>
              <w:t>090</w:t>
            </w:r>
          </w:p>
        </w:tc>
        <w:tc>
          <w:tcPr>
            <w:tcW w:w="8701" w:type="dxa"/>
            <w:gridSpan w:val="2"/>
            <w:shd w:val="clear" w:color="auto" w:fill="FFFFFF"/>
          </w:tcPr>
          <w:p w14:paraId="04E4DB08"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Zabezpečené hypotékami na nehnuteľný majetok</w:t>
            </w:r>
          </w:p>
          <w:p w14:paraId="5AB36A97" w14:textId="648283A5" w:rsidR="00235D9D" w:rsidRPr="00D85C65" w:rsidRDefault="00D21B29">
            <w:pPr>
              <w:ind w:left="72"/>
              <w:rPr>
                <w:rStyle w:val="InstructionsTabelleText"/>
                <w:rFonts w:ascii="Times New Roman" w:hAnsi="Times New Roman"/>
                <w:sz w:val="24"/>
              </w:rPr>
            </w:pPr>
            <w:r w:rsidRPr="00D85C65">
              <w:rPr>
                <w:rFonts w:ascii="Times New Roman" w:hAnsi="Times New Roman"/>
                <w:bCs/>
                <w:sz w:val="24"/>
              </w:rPr>
              <w:t>Článok 112</w:t>
            </w:r>
            <w:r w:rsidRPr="00D85C65">
              <w:rPr>
                <w:rFonts w:ascii="Times New Roman" w:hAnsi="Times New Roman"/>
                <w:sz w:val="24"/>
              </w:rPr>
              <w:t xml:space="preserve"> písm. i) CRR.</w:t>
            </w:r>
          </w:p>
        </w:tc>
      </w:tr>
      <w:tr w:rsidR="00235D9D" w:rsidRPr="00D85C65" w14:paraId="10CA01AC" w14:textId="77777777" w:rsidTr="00672D2A">
        <w:tc>
          <w:tcPr>
            <w:tcW w:w="1188" w:type="dxa"/>
            <w:shd w:val="clear" w:color="auto" w:fill="FFFFFF"/>
          </w:tcPr>
          <w:p w14:paraId="00E78091" w14:textId="77777777" w:rsidR="00235D9D" w:rsidRPr="00D85C65" w:rsidRDefault="004357B9">
            <w:pPr>
              <w:rPr>
                <w:rFonts w:ascii="Times New Roman" w:hAnsi="Times New Roman"/>
                <w:sz w:val="24"/>
              </w:rPr>
            </w:pPr>
            <w:r w:rsidRPr="00D85C65">
              <w:rPr>
                <w:rFonts w:ascii="Times New Roman" w:hAnsi="Times New Roman"/>
                <w:sz w:val="24"/>
              </w:rPr>
              <w:t>095</w:t>
            </w:r>
          </w:p>
        </w:tc>
        <w:tc>
          <w:tcPr>
            <w:tcW w:w="8701" w:type="dxa"/>
            <w:gridSpan w:val="2"/>
            <w:shd w:val="clear" w:color="auto" w:fill="FFFFFF"/>
          </w:tcPr>
          <w:p w14:paraId="4C3BF951"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z čoho: MSP</w:t>
            </w:r>
          </w:p>
          <w:p w14:paraId="33D86C93" w14:textId="77777777" w:rsidR="00235D9D" w:rsidRPr="00D85C65" w:rsidRDefault="004357B9">
            <w:pPr>
              <w:ind w:left="72"/>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Rovnaká definícia ako pre riadok 020 vzoru CR SA.</w:t>
            </w:r>
          </w:p>
        </w:tc>
      </w:tr>
      <w:tr w:rsidR="00235D9D" w:rsidRPr="00D85C65" w14:paraId="36A48887" w14:textId="77777777" w:rsidTr="00672D2A">
        <w:tc>
          <w:tcPr>
            <w:tcW w:w="1188" w:type="dxa"/>
            <w:shd w:val="clear" w:color="auto" w:fill="FFFFFF"/>
          </w:tcPr>
          <w:p w14:paraId="30AED4CA" w14:textId="77777777" w:rsidR="00235D9D" w:rsidRPr="00D85C65" w:rsidRDefault="004357B9">
            <w:pPr>
              <w:rPr>
                <w:rFonts w:ascii="Times New Roman" w:hAnsi="Times New Roman"/>
                <w:sz w:val="24"/>
              </w:rPr>
            </w:pPr>
            <w:r w:rsidRPr="00D85C65">
              <w:rPr>
                <w:rFonts w:ascii="Times New Roman" w:hAnsi="Times New Roman"/>
                <w:sz w:val="24"/>
              </w:rPr>
              <w:t>100</w:t>
            </w:r>
          </w:p>
        </w:tc>
        <w:tc>
          <w:tcPr>
            <w:tcW w:w="8701" w:type="dxa"/>
            <w:gridSpan w:val="2"/>
            <w:shd w:val="clear" w:color="auto" w:fill="FFFFFF"/>
          </w:tcPr>
          <w:p w14:paraId="3E2610CA" w14:textId="7F79D14E"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Expozície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stave zlyhania</w:t>
            </w:r>
          </w:p>
          <w:p w14:paraId="555EF331" w14:textId="6662C3C8"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j) CRR.</w:t>
            </w:r>
          </w:p>
        </w:tc>
      </w:tr>
      <w:tr w:rsidR="00235D9D" w:rsidRPr="00D85C65" w14:paraId="2CD722D1" w14:textId="77777777" w:rsidTr="00672D2A">
        <w:tc>
          <w:tcPr>
            <w:tcW w:w="1188" w:type="dxa"/>
            <w:shd w:val="clear" w:color="auto" w:fill="FFFFFF"/>
          </w:tcPr>
          <w:p w14:paraId="611661D5" w14:textId="77777777" w:rsidR="00235D9D" w:rsidRPr="00D85C65" w:rsidRDefault="004357B9">
            <w:pPr>
              <w:rPr>
                <w:rFonts w:ascii="Times New Roman" w:hAnsi="Times New Roman"/>
                <w:sz w:val="24"/>
              </w:rPr>
            </w:pPr>
            <w:r w:rsidRPr="00D85C65">
              <w:rPr>
                <w:rFonts w:ascii="Times New Roman" w:hAnsi="Times New Roman"/>
                <w:sz w:val="24"/>
              </w:rPr>
              <w:t>110</w:t>
            </w:r>
          </w:p>
        </w:tc>
        <w:tc>
          <w:tcPr>
            <w:tcW w:w="8701" w:type="dxa"/>
            <w:gridSpan w:val="2"/>
            <w:shd w:val="clear" w:color="auto" w:fill="FFFFFF"/>
          </w:tcPr>
          <w:p w14:paraId="32B40A76" w14:textId="553D2031" w:rsidR="00235D9D" w:rsidRPr="00D85C65" w:rsidRDefault="000565B6">
            <w:pPr>
              <w:autoSpaceDE w:val="0"/>
              <w:autoSpaceDN w:val="0"/>
              <w:adjustRightInd w:val="0"/>
              <w:spacing w:before="0"/>
              <w:ind w:left="72"/>
              <w:jc w:val="left"/>
              <w:rPr>
                <w:rFonts w:ascii="Times New Roman" w:hAnsi="Times New Roman"/>
                <w:b/>
                <w:bCs/>
                <w:sz w:val="24"/>
                <w:u w:val="single"/>
              </w:rPr>
            </w:pPr>
            <w:r w:rsidRPr="00D85C65">
              <w:rPr>
                <w:rFonts w:ascii="Times New Roman" w:hAnsi="Times New Roman"/>
                <w:b/>
                <w:bCs/>
                <w:sz w:val="24"/>
                <w:u w:val="single"/>
              </w:rPr>
              <w:t>Položky,</w:t>
            </w:r>
            <w:r w:rsidR="00D85C65">
              <w:rPr>
                <w:rFonts w:ascii="Times New Roman" w:hAnsi="Times New Roman"/>
                <w:b/>
                <w:bCs/>
                <w:sz w:val="24"/>
                <w:u w:val="single"/>
              </w:rPr>
              <w:t xml:space="preserve"> s </w:t>
            </w:r>
            <w:r w:rsidRPr="00D85C65">
              <w:rPr>
                <w:rFonts w:ascii="Times New Roman" w:hAnsi="Times New Roman"/>
                <w:b/>
                <w:bCs/>
                <w:sz w:val="24"/>
                <w:u w:val="single"/>
              </w:rPr>
              <w:t>ktorými súvisí osobitne vysoké riziko</w:t>
            </w:r>
          </w:p>
          <w:p w14:paraId="400221CA" w14:textId="282ECE73" w:rsidR="00235D9D" w:rsidRPr="00D85C65" w:rsidRDefault="00D21B29">
            <w:pPr>
              <w:autoSpaceDE w:val="0"/>
              <w:autoSpaceDN w:val="0"/>
              <w:adjustRightInd w:val="0"/>
              <w:spacing w:before="0"/>
              <w:ind w:left="72"/>
              <w:jc w:val="left"/>
              <w:rPr>
                <w:rStyle w:val="InstructionsTabelleberschrift"/>
                <w:rFonts w:ascii="Times New Roman" w:hAnsi="Times New Roman"/>
                <w:sz w:val="24"/>
              </w:rPr>
            </w:pPr>
            <w:r w:rsidRPr="00D85C65">
              <w:rPr>
                <w:rFonts w:ascii="Times New Roman" w:hAnsi="Times New Roman"/>
                <w:bCs/>
                <w:sz w:val="24"/>
              </w:rPr>
              <w:t>Článok 112 písm. k) CRR.</w:t>
            </w:r>
          </w:p>
        </w:tc>
      </w:tr>
      <w:tr w:rsidR="00235D9D" w:rsidRPr="00D85C65" w14:paraId="0B3750B5" w14:textId="77777777" w:rsidTr="00672D2A">
        <w:tc>
          <w:tcPr>
            <w:tcW w:w="1188" w:type="dxa"/>
            <w:shd w:val="clear" w:color="auto" w:fill="FFFFFF"/>
          </w:tcPr>
          <w:p w14:paraId="545F7CFF" w14:textId="77777777" w:rsidR="00235D9D" w:rsidRPr="00D85C65" w:rsidRDefault="004357B9">
            <w:pPr>
              <w:rPr>
                <w:rFonts w:ascii="Times New Roman" w:hAnsi="Times New Roman"/>
                <w:sz w:val="24"/>
              </w:rPr>
            </w:pPr>
            <w:r w:rsidRPr="00D85C65">
              <w:rPr>
                <w:rFonts w:ascii="Times New Roman" w:hAnsi="Times New Roman"/>
                <w:sz w:val="24"/>
              </w:rPr>
              <w:t>120</w:t>
            </w:r>
          </w:p>
        </w:tc>
        <w:tc>
          <w:tcPr>
            <w:tcW w:w="8701" w:type="dxa"/>
            <w:gridSpan w:val="2"/>
            <w:shd w:val="clear" w:color="auto" w:fill="FFFFFF"/>
          </w:tcPr>
          <w:p w14:paraId="6E4B3101" w14:textId="77777777" w:rsidR="00235D9D" w:rsidRPr="00D85C65" w:rsidRDefault="004357B9">
            <w:pPr>
              <w:autoSpaceDE w:val="0"/>
              <w:autoSpaceDN w:val="0"/>
              <w:adjustRightInd w:val="0"/>
              <w:spacing w:before="0"/>
              <w:ind w:left="72"/>
              <w:jc w:val="left"/>
              <w:rPr>
                <w:rStyle w:val="InstructionsTabelleberschrift"/>
                <w:rFonts w:ascii="Times New Roman" w:hAnsi="Times New Roman"/>
                <w:sz w:val="24"/>
              </w:rPr>
            </w:pPr>
            <w:r w:rsidRPr="00D85C65">
              <w:rPr>
                <w:rStyle w:val="InstructionsTabelleberschrift"/>
                <w:rFonts w:ascii="Times New Roman" w:hAnsi="Times New Roman"/>
                <w:sz w:val="24"/>
              </w:rPr>
              <w:t>Kryté dlhopisy</w:t>
            </w:r>
          </w:p>
          <w:p w14:paraId="55A3E28E" w14:textId="1072B586" w:rsidR="00235D9D" w:rsidRPr="00D85C65" w:rsidRDefault="00D21B29">
            <w:pPr>
              <w:autoSpaceDE w:val="0"/>
              <w:autoSpaceDN w:val="0"/>
              <w:adjustRightInd w:val="0"/>
              <w:spacing w:before="0"/>
              <w:ind w:left="72"/>
              <w:jc w:val="left"/>
              <w:rPr>
                <w:rStyle w:val="InstructionsTabelleText"/>
                <w:rFonts w:ascii="Times New Roman" w:hAnsi="Times New Roman"/>
                <w:bCs/>
                <w:sz w:val="24"/>
                <w:u w:val="single"/>
              </w:rPr>
            </w:pPr>
            <w:r w:rsidRPr="00D85C65">
              <w:rPr>
                <w:rFonts w:ascii="Times New Roman" w:hAnsi="Times New Roman"/>
                <w:bCs/>
                <w:sz w:val="24"/>
                <w:u w:val="single"/>
              </w:rPr>
              <w:t>Článok 112</w:t>
            </w:r>
            <w:r w:rsidRPr="00D85C65">
              <w:rPr>
                <w:rFonts w:ascii="Times New Roman" w:hAnsi="Times New Roman"/>
                <w:bCs/>
                <w:sz w:val="24"/>
              </w:rPr>
              <w:t xml:space="preserve"> písm. l) CRR.</w:t>
            </w:r>
          </w:p>
        </w:tc>
      </w:tr>
      <w:tr w:rsidR="00235D9D" w:rsidRPr="00D85C65" w14:paraId="31AA3E6C" w14:textId="77777777" w:rsidTr="00672D2A">
        <w:tc>
          <w:tcPr>
            <w:tcW w:w="1188" w:type="dxa"/>
            <w:shd w:val="clear" w:color="auto" w:fill="FFFFFF"/>
          </w:tcPr>
          <w:p w14:paraId="641FF18A" w14:textId="77777777" w:rsidR="00235D9D" w:rsidRPr="00D85C65" w:rsidRDefault="004357B9">
            <w:pPr>
              <w:rPr>
                <w:rFonts w:ascii="Times New Roman" w:hAnsi="Times New Roman"/>
                <w:sz w:val="24"/>
              </w:rPr>
            </w:pPr>
            <w:r w:rsidRPr="00D85C65">
              <w:rPr>
                <w:rFonts w:ascii="Times New Roman" w:hAnsi="Times New Roman"/>
                <w:sz w:val="24"/>
              </w:rPr>
              <w:t>130</w:t>
            </w:r>
          </w:p>
          <w:p w14:paraId="38822768" w14:textId="77777777" w:rsidR="00235D9D" w:rsidRPr="00D85C65" w:rsidRDefault="00235D9D">
            <w:pPr>
              <w:rPr>
                <w:rFonts w:ascii="Times New Roman" w:hAnsi="Times New Roman"/>
                <w:sz w:val="24"/>
              </w:rPr>
            </w:pPr>
          </w:p>
        </w:tc>
        <w:tc>
          <w:tcPr>
            <w:tcW w:w="8701" w:type="dxa"/>
            <w:gridSpan w:val="2"/>
            <w:shd w:val="clear" w:color="auto" w:fill="FFFFFF"/>
          </w:tcPr>
          <w:p w14:paraId="742E8650" w14:textId="39140B49" w:rsidR="00235D9D" w:rsidRPr="00D85C65" w:rsidRDefault="004357B9">
            <w:pPr>
              <w:ind w:left="72"/>
              <w:rPr>
                <w:rStyle w:val="InstructionsTabelleberschrift"/>
                <w:rFonts w:ascii="Times New Roman" w:hAnsi="Times New Roman"/>
                <w:bCs w:val="0"/>
                <w:sz w:val="24"/>
              </w:rPr>
            </w:pPr>
            <w:r w:rsidRPr="00D85C65">
              <w:rPr>
                <w:rStyle w:val="InstructionsTabelleberschrift"/>
                <w:rFonts w:ascii="Times New Roman" w:hAnsi="Times New Roman"/>
                <w:bCs w:val="0"/>
                <w:sz w:val="24"/>
              </w:rPr>
              <w:t>Pohľadávky voči inštitúciám</w:t>
            </w:r>
            <w:r w:rsidR="00D85C65">
              <w:rPr>
                <w:rStyle w:val="InstructionsTabelleberschrift"/>
                <w:rFonts w:ascii="Times New Roman" w:hAnsi="Times New Roman"/>
                <w:bCs w:val="0"/>
                <w:sz w:val="24"/>
              </w:rPr>
              <w:t xml:space="preserve"> a </w:t>
            </w:r>
            <w:r w:rsidRPr="00D85C65">
              <w:rPr>
                <w:rStyle w:val="InstructionsTabelleberschrift"/>
                <w:rFonts w:ascii="Times New Roman" w:hAnsi="Times New Roman"/>
                <w:bCs w:val="0"/>
                <w:sz w:val="24"/>
              </w:rPr>
              <w:t>podnikateľským subjektom</w:t>
            </w:r>
            <w:r w:rsidR="00D85C65">
              <w:rPr>
                <w:rStyle w:val="InstructionsTabelleberschrift"/>
                <w:rFonts w:ascii="Times New Roman" w:hAnsi="Times New Roman"/>
                <w:bCs w:val="0"/>
                <w:sz w:val="24"/>
              </w:rPr>
              <w:t xml:space="preserve"> s </w:t>
            </w:r>
            <w:r w:rsidRPr="00D85C65">
              <w:rPr>
                <w:rStyle w:val="InstructionsTabelleberschrift"/>
                <w:rFonts w:ascii="Times New Roman" w:hAnsi="Times New Roman"/>
                <w:bCs w:val="0"/>
                <w:sz w:val="24"/>
              </w:rPr>
              <w:t>krátkodobým ratingovým hodnotením</w:t>
            </w:r>
          </w:p>
          <w:p w14:paraId="37E39A7B" w14:textId="6AD9224A" w:rsidR="00235D9D" w:rsidRPr="00D85C65" w:rsidRDefault="00D21B29">
            <w:pPr>
              <w:ind w:left="72"/>
              <w:rPr>
                <w:rFonts w:ascii="Times New Roman" w:hAnsi="Times New Roman"/>
                <w:sz w:val="24"/>
              </w:rPr>
            </w:pPr>
            <w:r w:rsidRPr="00D85C65">
              <w:rPr>
                <w:rFonts w:ascii="Times New Roman" w:hAnsi="Times New Roman"/>
                <w:bCs/>
                <w:sz w:val="24"/>
              </w:rPr>
              <w:t>Článok 112</w:t>
            </w:r>
            <w:r w:rsidRPr="00D85C65">
              <w:rPr>
                <w:rFonts w:ascii="Times New Roman" w:hAnsi="Times New Roman"/>
                <w:sz w:val="24"/>
              </w:rPr>
              <w:t xml:space="preserve"> písm. n) CRR.</w:t>
            </w:r>
          </w:p>
        </w:tc>
      </w:tr>
      <w:tr w:rsidR="00235D9D" w:rsidRPr="00D85C65" w14:paraId="26489F28" w14:textId="77777777" w:rsidTr="00672D2A">
        <w:tc>
          <w:tcPr>
            <w:tcW w:w="1188" w:type="dxa"/>
            <w:shd w:val="clear" w:color="auto" w:fill="FFFFFF"/>
          </w:tcPr>
          <w:p w14:paraId="6B2971A0" w14:textId="77777777" w:rsidR="00235D9D" w:rsidRPr="00D85C65" w:rsidRDefault="004357B9">
            <w:pPr>
              <w:rPr>
                <w:rFonts w:ascii="Times New Roman" w:hAnsi="Times New Roman"/>
                <w:sz w:val="24"/>
              </w:rPr>
            </w:pPr>
            <w:r w:rsidRPr="00D85C65">
              <w:rPr>
                <w:rFonts w:ascii="Times New Roman" w:hAnsi="Times New Roman"/>
                <w:sz w:val="24"/>
              </w:rPr>
              <w:t>140</w:t>
            </w:r>
          </w:p>
        </w:tc>
        <w:tc>
          <w:tcPr>
            <w:tcW w:w="8701" w:type="dxa"/>
            <w:gridSpan w:val="2"/>
            <w:shd w:val="clear" w:color="auto" w:fill="FFFFFF"/>
          </w:tcPr>
          <w:p w14:paraId="2FF8F067" w14:textId="77777777" w:rsidR="00235D9D" w:rsidRPr="00D85C65" w:rsidRDefault="00A402A8">
            <w:pPr>
              <w:ind w:left="72"/>
              <w:rPr>
                <w:rStyle w:val="InstructionsTabelleberschrift"/>
                <w:rFonts w:ascii="Times New Roman" w:hAnsi="Times New Roman"/>
                <w:sz w:val="24"/>
              </w:rPr>
            </w:pPr>
            <w:r w:rsidRPr="00D85C65">
              <w:rPr>
                <w:rStyle w:val="InstructionsTabelleberschrift"/>
                <w:rFonts w:ascii="Times New Roman" w:hAnsi="Times New Roman"/>
                <w:sz w:val="24"/>
              </w:rPr>
              <w:t>Podniky kolektívneho investovania (PKI)</w:t>
            </w:r>
          </w:p>
          <w:p w14:paraId="7C2B5AD5" w14:textId="06433ADD" w:rsidR="00235D9D" w:rsidRPr="00D85C65" w:rsidRDefault="00D21B29">
            <w:pPr>
              <w:ind w:left="72"/>
              <w:rPr>
                <w:rStyle w:val="InstructionsTabelleberschrift"/>
                <w:rFonts w:ascii="Times New Roman" w:hAnsi="Times New Roman"/>
                <w:b w:val="0"/>
                <w:bCs w:val="0"/>
                <w:sz w:val="24"/>
                <w:u w:val="none"/>
              </w:rPr>
            </w:pPr>
            <w:r w:rsidRPr="00D85C65">
              <w:rPr>
                <w:rFonts w:ascii="Times New Roman" w:hAnsi="Times New Roman"/>
                <w:bCs/>
                <w:sz w:val="24"/>
              </w:rPr>
              <w:t>Článok 112 písm. o) CRR.</w:t>
            </w:r>
          </w:p>
        </w:tc>
      </w:tr>
      <w:tr w:rsidR="00235D9D" w:rsidRPr="00D85C65" w14:paraId="19559318" w14:textId="77777777" w:rsidTr="00672D2A">
        <w:tc>
          <w:tcPr>
            <w:tcW w:w="1188" w:type="dxa"/>
            <w:shd w:val="clear" w:color="auto" w:fill="FFFFFF"/>
          </w:tcPr>
          <w:p w14:paraId="4B0E8C16" w14:textId="77777777" w:rsidR="00235D9D" w:rsidRPr="00D85C65" w:rsidRDefault="004357B9">
            <w:pPr>
              <w:rPr>
                <w:rFonts w:ascii="Times New Roman" w:hAnsi="Times New Roman"/>
                <w:sz w:val="24"/>
              </w:rPr>
            </w:pPr>
            <w:r w:rsidRPr="00D85C65">
              <w:rPr>
                <w:rFonts w:ascii="Times New Roman" w:hAnsi="Times New Roman"/>
                <w:sz w:val="24"/>
              </w:rPr>
              <w:t>150</w:t>
            </w:r>
          </w:p>
        </w:tc>
        <w:tc>
          <w:tcPr>
            <w:tcW w:w="8701" w:type="dxa"/>
            <w:gridSpan w:val="2"/>
            <w:shd w:val="clear" w:color="auto" w:fill="FFFFFF"/>
          </w:tcPr>
          <w:p w14:paraId="0820F792"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Kapitálové expozície</w:t>
            </w:r>
          </w:p>
          <w:p w14:paraId="73C64BC4" w14:textId="0213202A"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p) CRR.</w:t>
            </w:r>
          </w:p>
        </w:tc>
      </w:tr>
      <w:tr w:rsidR="00235D9D" w:rsidRPr="00D85C65" w14:paraId="1A1787E4" w14:textId="77777777" w:rsidTr="00672D2A">
        <w:tc>
          <w:tcPr>
            <w:tcW w:w="1188" w:type="dxa"/>
            <w:shd w:val="clear" w:color="auto" w:fill="FFFFFF"/>
          </w:tcPr>
          <w:p w14:paraId="02F8C0FC" w14:textId="77777777" w:rsidR="00235D9D" w:rsidRPr="00D85C65" w:rsidRDefault="004357B9">
            <w:pPr>
              <w:rPr>
                <w:rFonts w:ascii="Times New Roman" w:hAnsi="Times New Roman"/>
                <w:sz w:val="24"/>
              </w:rPr>
            </w:pPr>
            <w:r w:rsidRPr="00D85C65">
              <w:rPr>
                <w:rFonts w:ascii="Times New Roman" w:hAnsi="Times New Roman"/>
                <w:sz w:val="24"/>
              </w:rPr>
              <w:t>160</w:t>
            </w:r>
          </w:p>
        </w:tc>
        <w:tc>
          <w:tcPr>
            <w:tcW w:w="8701" w:type="dxa"/>
            <w:gridSpan w:val="2"/>
            <w:shd w:val="clear" w:color="auto" w:fill="FFFFFF"/>
          </w:tcPr>
          <w:p w14:paraId="1C103F0B" w14:textId="77777777" w:rsidR="00235D9D" w:rsidRPr="00D85C65" w:rsidRDefault="004357B9">
            <w:pPr>
              <w:ind w:left="72"/>
              <w:rPr>
                <w:rStyle w:val="InstructionsTabelleberschrift"/>
                <w:rFonts w:ascii="Times New Roman" w:hAnsi="Times New Roman"/>
                <w:sz w:val="24"/>
              </w:rPr>
            </w:pPr>
            <w:r w:rsidRPr="00D85C65">
              <w:rPr>
                <w:rStyle w:val="InstructionsTabelleberschrift"/>
                <w:rFonts w:ascii="Times New Roman" w:hAnsi="Times New Roman"/>
                <w:sz w:val="24"/>
              </w:rPr>
              <w:t>Iné expozície</w:t>
            </w:r>
          </w:p>
          <w:p w14:paraId="364F4504" w14:textId="44EE6D62" w:rsidR="00235D9D" w:rsidRPr="00D85C65" w:rsidRDefault="00D21B29">
            <w:pPr>
              <w:ind w:left="72"/>
              <w:rPr>
                <w:rStyle w:val="InstructionsTabelleberschrift"/>
                <w:rFonts w:ascii="Times New Roman" w:hAnsi="Times New Roman"/>
                <w:sz w:val="24"/>
              </w:rPr>
            </w:pPr>
            <w:r w:rsidRPr="00D85C65">
              <w:rPr>
                <w:rFonts w:ascii="Times New Roman" w:hAnsi="Times New Roman"/>
                <w:bCs/>
                <w:sz w:val="24"/>
              </w:rPr>
              <w:t>Článok 112 písm. q) CRR.</w:t>
            </w:r>
          </w:p>
        </w:tc>
      </w:tr>
      <w:tr w:rsidR="00235D9D" w:rsidRPr="00D85C65" w14:paraId="641D72CC" w14:textId="77777777" w:rsidTr="00672D2A">
        <w:tc>
          <w:tcPr>
            <w:tcW w:w="1188" w:type="dxa"/>
            <w:shd w:val="clear" w:color="auto" w:fill="FFFFFF"/>
          </w:tcPr>
          <w:p w14:paraId="13C4FCB7" w14:textId="77777777" w:rsidR="00235D9D" w:rsidRPr="00D85C65" w:rsidRDefault="007A49AC">
            <w:pPr>
              <w:rPr>
                <w:rFonts w:ascii="Times New Roman" w:hAnsi="Times New Roman"/>
                <w:sz w:val="24"/>
              </w:rPr>
            </w:pPr>
            <w:r w:rsidRPr="00D85C65">
              <w:rPr>
                <w:rFonts w:ascii="Times New Roman" w:hAnsi="Times New Roman"/>
                <w:sz w:val="24"/>
              </w:rPr>
              <w:lastRenderedPageBreak/>
              <w:t>170</w:t>
            </w:r>
          </w:p>
        </w:tc>
        <w:tc>
          <w:tcPr>
            <w:tcW w:w="8701" w:type="dxa"/>
            <w:gridSpan w:val="2"/>
            <w:shd w:val="clear" w:color="auto" w:fill="FFFFFF"/>
          </w:tcPr>
          <w:p w14:paraId="071FA584" w14:textId="77777777" w:rsidR="00235D9D" w:rsidRPr="00D85C65" w:rsidRDefault="007A49AC">
            <w:pPr>
              <w:ind w:left="72"/>
              <w:rPr>
                <w:rStyle w:val="InstructionsTabelleberschrift"/>
                <w:rFonts w:ascii="Times New Roman" w:hAnsi="Times New Roman"/>
                <w:sz w:val="24"/>
              </w:rPr>
            </w:pPr>
            <w:r w:rsidRPr="00D85C65">
              <w:rPr>
                <w:rStyle w:val="InstructionsTabelleberschrift"/>
                <w:rFonts w:ascii="Times New Roman" w:hAnsi="Times New Roman"/>
                <w:sz w:val="24"/>
              </w:rPr>
              <w:t>Celkové expozície</w:t>
            </w:r>
          </w:p>
        </w:tc>
      </w:tr>
    </w:tbl>
    <w:p w14:paraId="58C9DEA4" w14:textId="77777777" w:rsidR="00235D9D" w:rsidRPr="00D85C65" w:rsidRDefault="00235D9D">
      <w:pPr>
        <w:spacing w:before="0" w:after="200" w:line="312" w:lineRule="auto"/>
        <w:jc w:val="left"/>
        <w:rPr>
          <w:rFonts w:ascii="Times New Roman" w:hAnsi="Times New Roman"/>
          <w:sz w:val="24"/>
        </w:rPr>
      </w:pPr>
    </w:p>
    <w:p w14:paraId="536F0DF2"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1" w:name="_Toc29994494"/>
      <w:r w:rsidRPr="00D85C65">
        <w:rPr>
          <w:rFonts w:ascii="Times New Roman" w:hAnsi="Times New Roman"/>
          <w:sz w:val="24"/>
          <w:u w:val="none"/>
        </w:rPr>
        <w:t>3.4.2.</w:t>
      </w:r>
      <w:r w:rsidRPr="00D85C65">
        <w:rPr>
          <w:rFonts w:ascii="Times New Roman" w:hAnsi="Times New Roman"/>
          <w:sz w:val="24"/>
          <w:u w:val="none"/>
        </w:rPr>
        <w:tab/>
      </w:r>
      <w:r w:rsidRPr="00D85C65">
        <w:rPr>
          <w:rFonts w:ascii="Times New Roman" w:hAnsi="Times New Roman"/>
          <w:sz w:val="24"/>
        </w:rPr>
        <w:t>C 09.02 – Geografické rozčlenenie expozícií podľa sídla dlžníka: Expozície IRB (CR GB 2)</w:t>
      </w:r>
      <w:bookmarkEnd w:id="51"/>
    </w:p>
    <w:p w14:paraId="6676EAFB"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2" w:name="_Toc29994495"/>
      <w:r w:rsidRPr="00D85C65">
        <w:rPr>
          <w:rFonts w:ascii="Times New Roman" w:hAnsi="Times New Roman"/>
          <w:sz w:val="24"/>
          <w:u w:val="none"/>
        </w:rPr>
        <w:t>3.4.2.1.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5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235D9D" w:rsidRPr="00D85C65" w14:paraId="35D5CC31" w14:textId="77777777" w:rsidTr="00672D2A">
        <w:tc>
          <w:tcPr>
            <w:tcW w:w="1188" w:type="dxa"/>
            <w:shd w:val="clear" w:color="auto" w:fill="CCCCCC"/>
          </w:tcPr>
          <w:p w14:paraId="7B2198DD" w14:textId="77777777" w:rsidR="00235D9D" w:rsidRPr="00D85C65" w:rsidRDefault="004357B9">
            <w:pPr>
              <w:rPr>
                <w:rFonts w:ascii="Times New Roman" w:hAnsi="Times New Roman"/>
                <w:b/>
                <w:sz w:val="24"/>
              </w:rPr>
            </w:pPr>
            <w:r w:rsidRPr="00D85C65">
              <w:rPr>
                <w:rFonts w:ascii="Times New Roman" w:hAnsi="Times New Roman"/>
                <w:b/>
                <w:sz w:val="24"/>
              </w:rPr>
              <w:t>Stĺpce</w:t>
            </w:r>
          </w:p>
        </w:tc>
        <w:tc>
          <w:tcPr>
            <w:tcW w:w="8640" w:type="dxa"/>
            <w:shd w:val="clear" w:color="auto" w:fill="CCCCCC"/>
          </w:tcPr>
          <w:p w14:paraId="52F255E3" w14:textId="77777777" w:rsidR="00235D9D" w:rsidRPr="00D85C65" w:rsidRDefault="00235D9D">
            <w:pPr>
              <w:ind w:left="72"/>
              <w:rPr>
                <w:rFonts w:ascii="Times New Roman" w:hAnsi="Times New Roman"/>
                <w:sz w:val="24"/>
              </w:rPr>
            </w:pPr>
          </w:p>
        </w:tc>
      </w:tr>
      <w:tr w:rsidR="00235D9D" w:rsidRPr="00D85C65" w14:paraId="689E92D8" w14:textId="77777777" w:rsidTr="00672D2A">
        <w:tc>
          <w:tcPr>
            <w:tcW w:w="1188" w:type="dxa"/>
          </w:tcPr>
          <w:p w14:paraId="66074EC3" w14:textId="77777777" w:rsidR="00235D9D" w:rsidRP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010</w:t>
            </w:r>
          </w:p>
        </w:tc>
        <w:tc>
          <w:tcPr>
            <w:tcW w:w="8640" w:type="dxa"/>
          </w:tcPr>
          <w:p w14:paraId="41657C4F" w14:textId="09E717BB" w:rsidR="00235D9D" w:rsidRPr="00D85C65" w:rsidRDefault="004357B9">
            <w:pPr>
              <w:rPr>
                <w:rStyle w:val="InstructionsTabelleberschrift"/>
                <w:rFonts w:ascii="Times New Roman" w:hAnsi="Times New Roman"/>
                <w:sz w:val="24"/>
              </w:rPr>
            </w:pPr>
            <w:r w:rsidRPr="00D85C65">
              <w:rPr>
                <w:rStyle w:val="InstructionsTabelleberschrift"/>
                <w:rFonts w:ascii="Times New Roman" w:hAnsi="Times New Roman"/>
                <w:sz w:val="24"/>
              </w:rPr>
              <w:t>PÔVODNÁ EXPOZÍCIA PRED KONVERZNÝMI FAKTORMI</w:t>
            </w:r>
          </w:p>
          <w:p w14:paraId="6D5ECAFF" w14:textId="77777777" w:rsidR="00235D9D" w:rsidRPr="00D85C65" w:rsidRDefault="004357B9">
            <w:pPr>
              <w:autoSpaceDE w:val="0"/>
              <w:autoSpaceDN w:val="0"/>
              <w:adjustRightInd w:val="0"/>
              <w:spacing w:before="0" w:after="0"/>
              <w:jc w:val="left"/>
              <w:rPr>
                <w:rStyle w:val="InstructionsTabelleText"/>
                <w:rFonts w:ascii="Times New Roman" w:hAnsi="Times New Roman"/>
                <w:sz w:val="24"/>
              </w:rPr>
            </w:pPr>
            <w:r w:rsidRPr="00D85C65">
              <w:rPr>
                <w:rFonts w:ascii="Times New Roman" w:hAnsi="Times New Roman"/>
                <w:sz w:val="24"/>
              </w:rPr>
              <w:t>Rovnaká definícia ako pre stĺpec 020 vzoru CR IRB.</w:t>
            </w:r>
          </w:p>
        </w:tc>
      </w:tr>
      <w:tr w:rsidR="00235D9D" w:rsidRPr="00D85C65" w14:paraId="78B699E8" w14:textId="77777777" w:rsidTr="00672D2A">
        <w:tc>
          <w:tcPr>
            <w:tcW w:w="1188" w:type="dxa"/>
          </w:tcPr>
          <w:p w14:paraId="26744C33" w14:textId="77777777" w:rsidR="00235D9D" w:rsidRPr="00D85C65" w:rsidRDefault="004357B9">
            <w:pPr>
              <w:rPr>
                <w:rFonts w:ascii="Times New Roman" w:hAnsi="Times New Roman"/>
                <w:sz w:val="24"/>
              </w:rPr>
            </w:pPr>
            <w:r w:rsidRPr="00D85C65">
              <w:rPr>
                <w:rFonts w:ascii="Times New Roman" w:hAnsi="Times New Roman"/>
                <w:sz w:val="24"/>
              </w:rPr>
              <w:t>030</w:t>
            </w:r>
          </w:p>
        </w:tc>
        <w:tc>
          <w:tcPr>
            <w:tcW w:w="8640" w:type="dxa"/>
          </w:tcPr>
          <w:p w14:paraId="569C114D" w14:textId="1187B054" w:rsidR="00235D9D" w:rsidRPr="00D85C65" w:rsidRDefault="004357B9">
            <w:pPr>
              <w:rPr>
                <w:rFonts w:ascii="Times New Roman" w:hAnsi="Times New Roman"/>
                <w:b/>
                <w:sz w:val="24"/>
                <w:u w:val="single"/>
              </w:rPr>
            </w:pPr>
            <w:r w:rsidRPr="00D85C65">
              <w:rPr>
                <w:rFonts w:ascii="Times New Roman" w:hAnsi="Times New Roman"/>
                <w:b/>
                <w:sz w:val="24"/>
                <w:u w:val="single"/>
              </w:rPr>
              <w:t>Z čoho:</w:t>
            </w:r>
            <w:r w:rsidR="00D85C65">
              <w:rPr>
                <w:rFonts w:ascii="Times New Roman" w:hAnsi="Times New Roman"/>
                <w:b/>
                <w:sz w:val="24"/>
                <w:u w:val="single"/>
              </w:rPr>
              <w:t xml:space="preserve"> v </w:t>
            </w:r>
            <w:r w:rsidRPr="00D85C65">
              <w:rPr>
                <w:rFonts w:ascii="Times New Roman" w:hAnsi="Times New Roman"/>
                <w:b/>
                <w:sz w:val="24"/>
                <w:u w:val="single"/>
              </w:rPr>
              <w:t>stave zlyhania</w:t>
            </w:r>
          </w:p>
          <w:p w14:paraId="3C508978" w14:textId="776EF763" w:rsidR="00235D9D" w:rsidRP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Hodnota pôvodnej expozície tých expozícií, ktoré sa klasifikovali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podľa článku 178 CRR.</w:t>
            </w:r>
          </w:p>
        </w:tc>
      </w:tr>
      <w:tr w:rsidR="00235D9D" w:rsidRPr="00D85C65" w14:paraId="52CB92A0" w14:textId="77777777" w:rsidTr="00672D2A">
        <w:tc>
          <w:tcPr>
            <w:tcW w:w="1188" w:type="dxa"/>
          </w:tcPr>
          <w:p w14:paraId="103B46E8" w14:textId="77777777" w:rsidR="00235D9D" w:rsidRPr="00D85C65" w:rsidRDefault="004357B9">
            <w:pPr>
              <w:rPr>
                <w:rFonts w:ascii="Times New Roman" w:hAnsi="Times New Roman"/>
                <w:sz w:val="24"/>
              </w:rPr>
            </w:pPr>
            <w:r w:rsidRPr="00D85C65">
              <w:rPr>
                <w:rFonts w:ascii="Times New Roman" w:hAnsi="Times New Roman"/>
                <w:sz w:val="24"/>
              </w:rPr>
              <w:t>040</w:t>
            </w:r>
          </w:p>
        </w:tc>
        <w:tc>
          <w:tcPr>
            <w:tcW w:w="8640" w:type="dxa"/>
          </w:tcPr>
          <w:p w14:paraId="4D1BDBDE" w14:textId="10273F1D" w:rsidR="00235D9D" w:rsidRPr="00D85C65" w:rsidRDefault="004357B9">
            <w:pPr>
              <w:rPr>
                <w:rFonts w:ascii="Times New Roman" w:hAnsi="Times New Roman"/>
                <w:b/>
                <w:sz w:val="24"/>
                <w:u w:val="single"/>
              </w:rPr>
            </w:pPr>
            <w:r w:rsidRPr="00D85C65">
              <w:rPr>
                <w:rFonts w:ascii="Times New Roman" w:hAnsi="Times New Roman"/>
                <w:b/>
                <w:sz w:val="24"/>
                <w:u w:val="single"/>
              </w:rPr>
              <w:t>Nové spozorované zlyhania</w:t>
            </w:r>
            <w:r w:rsidR="00D85C65">
              <w:rPr>
                <w:rFonts w:ascii="Times New Roman" w:hAnsi="Times New Roman"/>
                <w:b/>
                <w:sz w:val="24"/>
                <w:u w:val="single"/>
              </w:rPr>
              <w:t xml:space="preserve"> v </w:t>
            </w:r>
            <w:r w:rsidRPr="00D85C65">
              <w:rPr>
                <w:rFonts w:ascii="Times New Roman" w:hAnsi="Times New Roman"/>
                <w:b/>
                <w:sz w:val="24"/>
                <w:u w:val="single"/>
              </w:rPr>
              <w:t>danom období</w:t>
            </w:r>
          </w:p>
          <w:p w14:paraId="40CEA638" w14:textId="23C13C17" w:rsidR="00235D9D" w:rsidRPr="00D85C65" w:rsidRDefault="00DF70AE">
            <w:pPr>
              <w:rPr>
                <w:rFonts w:ascii="Times New Roman" w:hAnsi="Times New Roman"/>
                <w:b/>
                <w:sz w:val="24"/>
                <w:u w:val="single"/>
              </w:rPr>
            </w:pPr>
            <w:r w:rsidRPr="00D85C65">
              <w:rPr>
                <w:rStyle w:val="InstructionsTabelleText"/>
                <w:rFonts w:ascii="Times New Roman" w:hAnsi="Times New Roman"/>
                <w:sz w:val="24"/>
              </w:rPr>
              <w:t>Hodnota pôvodných expozícií, ktoré sa presunuli do triedy expozícií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počas trojmesačného obdobia od posledného referenčného dátumu vykazovania, sa vykazujú podľa triedy expozícií, do ktorej dlžník pôvodne patril.</w:t>
            </w:r>
          </w:p>
        </w:tc>
      </w:tr>
      <w:tr w:rsidR="00235D9D" w:rsidRPr="00D85C65" w14:paraId="5D5103CD" w14:textId="77777777" w:rsidTr="00672D2A">
        <w:tc>
          <w:tcPr>
            <w:tcW w:w="1188" w:type="dxa"/>
          </w:tcPr>
          <w:p w14:paraId="66C4ED9F" w14:textId="77777777" w:rsidR="00235D9D" w:rsidRPr="00D85C65" w:rsidRDefault="004357B9">
            <w:pPr>
              <w:rPr>
                <w:rFonts w:ascii="Times New Roman" w:hAnsi="Times New Roman"/>
                <w:sz w:val="24"/>
              </w:rPr>
            </w:pPr>
            <w:r w:rsidRPr="00D85C65">
              <w:rPr>
                <w:rFonts w:ascii="Times New Roman" w:hAnsi="Times New Roman"/>
                <w:sz w:val="24"/>
              </w:rPr>
              <w:t>050</w:t>
            </w:r>
          </w:p>
        </w:tc>
        <w:tc>
          <w:tcPr>
            <w:tcW w:w="8640" w:type="dxa"/>
          </w:tcPr>
          <w:p w14:paraId="2BDCE360"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Všeobecné úpravy kreditného rizika</w:t>
            </w:r>
          </w:p>
          <w:p w14:paraId="540BA1F5" w14:textId="74F87362" w:rsidR="00235D9D" w:rsidRPr="00D85C65" w:rsidRDefault="004357B9">
            <w:pPr>
              <w:rPr>
                <w:rFonts w:ascii="Times New Roman" w:hAnsi="Times New Roman"/>
                <w:b/>
                <w:sz w:val="24"/>
                <w:u w:val="single"/>
              </w:rPr>
            </w:pPr>
            <w:r w:rsidRPr="00D85C65">
              <w:rPr>
                <w:rFonts w:ascii="Times New Roman" w:hAnsi="Times New Roman"/>
                <w:sz w:val="24"/>
              </w:rPr>
              <w:t xml:space="preserve">Úpravy kreditného rizika podľa článku 110 CRR. </w:t>
            </w:r>
          </w:p>
        </w:tc>
      </w:tr>
      <w:tr w:rsidR="00235D9D" w:rsidRPr="00D85C65" w14:paraId="5AE1C898" w14:textId="77777777" w:rsidTr="00672D2A">
        <w:tc>
          <w:tcPr>
            <w:tcW w:w="1188" w:type="dxa"/>
          </w:tcPr>
          <w:p w14:paraId="080BBA79" w14:textId="77777777" w:rsidR="00235D9D" w:rsidRPr="00D85C65" w:rsidRDefault="004357B9">
            <w:pPr>
              <w:rPr>
                <w:rFonts w:ascii="Times New Roman" w:hAnsi="Times New Roman"/>
                <w:sz w:val="24"/>
              </w:rPr>
            </w:pPr>
            <w:r w:rsidRPr="00D85C65">
              <w:rPr>
                <w:rFonts w:ascii="Times New Roman" w:hAnsi="Times New Roman"/>
                <w:sz w:val="24"/>
              </w:rPr>
              <w:t>055</w:t>
            </w:r>
          </w:p>
        </w:tc>
        <w:tc>
          <w:tcPr>
            <w:tcW w:w="8640" w:type="dxa"/>
          </w:tcPr>
          <w:p w14:paraId="44FD761E"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Špecifické úpravy kreditného rizika</w:t>
            </w:r>
          </w:p>
          <w:p w14:paraId="4AA945A6" w14:textId="7E55F311" w:rsidR="00235D9D" w:rsidRPr="00D85C65" w:rsidRDefault="004357B9">
            <w:pPr>
              <w:rPr>
                <w:rFonts w:ascii="Times New Roman" w:hAnsi="Times New Roman"/>
                <w:b/>
                <w:sz w:val="24"/>
                <w:u w:val="single"/>
              </w:rPr>
            </w:pPr>
            <w:r w:rsidRPr="00D85C65">
              <w:rPr>
                <w:rFonts w:ascii="Times New Roman" w:hAnsi="Times New Roman"/>
                <w:sz w:val="24"/>
              </w:rPr>
              <w:t>Úpravy kreditného rizika podľa článku 110 CRR.</w:t>
            </w:r>
          </w:p>
        </w:tc>
      </w:tr>
      <w:tr w:rsidR="00235D9D" w:rsidRPr="00D85C65" w14:paraId="392A705C" w14:textId="77777777" w:rsidTr="00672D2A">
        <w:tc>
          <w:tcPr>
            <w:tcW w:w="1188" w:type="dxa"/>
          </w:tcPr>
          <w:p w14:paraId="22D96083" w14:textId="77777777" w:rsidR="00235D9D" w:rsidRPr="00D85C65" w:rsidRDefault="004357B9">
            <w:pPr>
              <w:rPr>
                <w:rFonts w:ascii="Times New Roman" w:hAnsi="Times New Roman"/>
                <w:sz w:val="24"/>
              </w:rPr>
            </w:pPr>
            <w:r w:rsidRPr="00D85C65">
              <w:rPr>
                <w:rFonts w:ascii="Times New Roman" w:hAnsi="Times New Roman"/>
                <w:sz w:val="24"/>
              </w:rPr>
              <w:t>060</w:t>
            </w:r>
          </w:p>
        </w:tc>
        <w:tc>
          <w:tcPr>
            <w:tcW w:w="8640" w:type="dxa"/>
          </w:tcPr>
          <w:p w14:paraId="08584DA5"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Odpisy</w:t>
            </w:r>
          </w:p>
          <w:p w14:paraId="3EA7746E" w14:textId="4DD8919C"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Odpisy zahŕňajú zníženia účtovnej hodnoty finančných aktív so zhoršenou kvalitou uznané priamo vo výsledku hospodárenia [IFRS 7.B5.d).i)]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zníženia hodnôt účtu opravných položiek</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súvislosti</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finančnými aktívami so zhoršenou kvalitou [IFRS 7.B5.d).ii)].</w:t>
            </w:r>
          </w:p>
        </w:tc>
      </w:tr>
      <w:tr w:rsidR="00235D9D" w:rsidRPr="00D85C65" w14:paraId="77F93991" w14:textId="77777777" w:rsidTr="00672D2A">
        <w:tc>
          <w:tcPr>
            <w:tcW w:w="1188" w:type="dxa"/>
          </w:tcPr>
          <w:p w14:paraId="2C254F71" w14:textId="77777777" w:rsidR="00235D9D" w:rsidRPr="00D85C65" w:rsidRDefault="004357B9">
            <w:pPr>
              <w:rPr>
                <w:rFonts w:ascii="Times New Roman" w:hAnsi="Times New Roman"/>
                <w:sz w:val="24"/>
              </w:rPr>
            </w:pPr>
            <w:r w:rsidRPr="00D85C65">
              <w:rPr>
                <w:rFonts w:ascii="Times New Roman" w:hAnsi="Times New Roman"/>
                <w:sz w:val="24"/>
              </w:rPr>
              <w:t>070</w:t>
            </w:r>
          </w:p>
        </w:tc>
        <w:tc>
          <w:tcPr>
            <w:tcW w:w="8640" w:type="dxa"/>
          </w:tcPr>
          <w:p w14:paraId="2E65699C"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Úpravy kreditného rizika/odpisy pre nové spozorované zlyhania</w:t>
            </w:r>
          </w:p>
          <w:p w14:paraId="03914B0F" w14:textId="08BD211C"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Súčet úprav kreditného rizika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odpisov pre expozície klasifikované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počas trojmesačného obdobia od posledného dátumu predloženia údajov.</w:t>
            </w:r>
          </w:p>
        </w:tc>
      </w:tr>
      <w:tr w:rsidR="00235D9D" w:rsidRPr="00D85C65" w14:paraId="66123BD2" w14:textId="77777777" w:rsidTr="00672D2A">
        <w:tc>
          <w:tcPr>
            <w:tcW w:w="1188" w:type="dxa"/>
          </w:tcPr>
          <w:p w14:paraId="2F225594" w14:textId="77777777" w:rsidR="00235D9D" w:rsidRPr="00D85C65" w:rsidRDefault="004357B9">
            <w:pPr>
              <w:rPr>
                <w:rFonts w:ascii="Times New Roman" w:hAnsi="Times New Roman"/>
                <w:sz w:val="24"/>
              </w:rPr>
            </w:pPr>
            <w:r w:rsidRPr="00D85C65">
              <w:rPr>
                <w:rFonts w:ascii="Times New Roman" w:hAnsi="Times New Roman"/>
                <w:sz w:val="24"/>
              </w:rPr>
              <w:t>080</w:t>
            </w:r>
          </w:p>
        </w:tc>
        <w:tc>
          <w:tcPr>
            <w:tcW w:w="8640" w:type="dxa"/>
          </w:tcPr>
          <w:p w14:paraId="5339E9CD" w14:textId="77777777" w:rsidR="00235D9D" w:rsidRPr="00D85C65" w:rsidRDefault="004357B9">
            <w:pPr>
              <w:rPr>
                <w:rStyle w:val="InstructionsTabelleberschrift"/>
                <w:rFonts w:ascii="Times New Roman" w:hAnsi="Times New Roman"/>
                <w:bCs w:val="0"/>
                <w:sz w:val="24"/>
              </w:rPr>
            </w:pPr>
            <w:r w:rsidRPr="00D85C65">
              <w:rPr>
                <w:rStyle w:val="InstructionsTabelleberschrift"/>
                <w:rFonts w:ascii="Times New Roman" w:hAnsi="Times New Roman"/>
                <w:bCs w:val="0"/>
                <w:sz w:val="24"/>
              </w:rPr>
              <w:t>INTERNÝ RATINGOVÝ SYSTÉM/PD PRIRADENÁ RATINGOVÉMU STUPŇU ALEBO SKUPINE DLŽNÍKOV (%)</w:t>
            </w:r>
          </w:p>
          <w:p w14:paraId="6FCB51E9"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010 vzoru CR IRB.</w:t>
            </w:r>
          </w:p>
        </w:tc>
      </w:tr>
      <w:tr w:rsidR="00235D9D" w:rsidRPr="00D85C65" w14:paraId="6493BD42" w14:textId="77777777" w:rsidTr="00672D2A">
        <w:tc>
          <w:tcPr>
            <w:tcW w:w="1188" w:type="dxa"/>
          </w:tcPr>
          <w:p w14:paraId="648DE1F2" w14:textId="77777777" w:rsidR="00235D9D" w:rsidRPr="00D85C65" w:rsidRDefault="004357B9">
            <w:pPr>
              <w:rPr>
                <w:rFonts w:ascii="Times New Roman" w:hAnsi="Times New Roman"/>
                <w:sz w:val="24"/>
              </w:rPr>
            </w:pPr>
            <w:r w:rsidRPr="00D85C65">
              <w:rPr>
                <w:rFonts w:ascii="Times New Roman" w:hAnsi="Times New Roman"/>
                <w:sz w:val="24"/>
              </w:rPr>
              <w:t>090</w:t>
            </w:r>
          </w:p>
        </w:tc>
        <w:tc>
          <w:tcPr>
            <w:tcW w:w="8640" w:type="dxa"/>
          </w:tcPr>
          <w:p w14:paraId="3221E804"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EXPOZÍCIAMI VÁŽENÁ PRIEMERNÁ LGD (%)</w:t>
            </w:r>
          </w:p>
          <w:p w14:paraId="59CEB8E5" w14:textId="4D14BD57" w:rsidR="00235D9D" w:rsidRPr="00D85C65" w:rsidRDefault="004357B9">
            <w:pPr>
              <w:rPr>
                <w:rStyle w:val="InstructionsTabelleText"/>
                <w:rFonts w:ascii="Times New Roman" w:hAnsi="Times New Roman"/>
                <w:sz w:val="24"/>
              </w:rPr>
            </w:pPr>
            <w:r w:rsidRPr="00D85C65">
              <w:rPr>
                <w:rStyle w:val="InstructionsTabelleText"/>
                <w:rFonts w:ascii="Times New Roman" w:hAnsi="Times New Roman"/>
                <w:sz w:val="24"/>
              </w:rPr>
              <w:t>Rovnaká definícia ako pre stĺpec 230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 xml:space="preserve">stĺpec 240 vzoru CR IRB: expozíciami vážená priemerná LGD (%) zahŕňa všetky expozície vrátane expozícií voči veľkým subjektom </w:t>
            </w:r>
            <w:r w:rsidRPr="00D85C65">
              <w:rPr>
                <w:rStyle w:val="InstructionsTabelleText"/>
                <w:rFonts w:ascii="Times New Roman" w:hAnsi="Times New Roman"/>
                <w:sz w:val="24"/>
              </w:rPr>
              <w:lastRenderedPageBreak/>
              <w:t>finančného sektora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neregulovaným finančným subjektom. Uplatňuje sa článok 181 ods. 1 písm. h) CRR.</w:t>
            </w:r>
          </w:p>
          <w:p w14:paraId="6A98020E" w14:textId="5E11BAD9" w:rsidR="00235D9D" w:rsidRPr="00D85C65" w:rsidRDefault="0042766A">
            <w:pPr>
              <w:rPr>
                <w:rFonts w:ascii="Times New Roman" w:hAnsi="Times New Roman"/>
                <w:b/>
                <w:sz w:val="24"/>
                <w:u w:val="single"/>
              </w:rPr>
            </w:pPr>
            <w:r w:rsidRPr="00D85C65">
              <w:rPr>
                <w:rFonts w:ascii="Times New Roman" w:hAnsi="Times New Roman"/>
                <w:sz w:val="24"/>
              </w:rPr>
              <w:t>Údaje za expozície špecializovaného financovania podľa článku 153 ods. 5 CRR sa nevykazujú.</w:t>
            </w:r>
          </w:p>
        </w:tc>
      </w:tr>
      <w:tr w:rsidR="00235D9D" w:rsidRPr="00D85C65" w14:paraId="188F3DA1" w14:textId="77777777" w:rsidTr="00672D2A">
        <w:tc>
          <w:tcPr>
            <w:tcW w:w="1188" w:type="dxa"/>
          </w:tcPr>
          <w:p w14:paraId="12D07594" w14:textId="77777777" w:rsidR="00235D9D" w:rsidRPr="00D85C65" w:rsidRDefault="004357B9">
            <w:pPr>
              <w:rPr>
                <w:rFonts w:ascii="Times New Roman" w:hAnsi="Times New Roman"/>
                <w:sz w:val="24"/>
              </w:rPr>
            </w:pPr>
            <w:r w:rsidRPr="00D85C65">
              <w:rPr>
                <w:rFonts w:ascii="Times New Roman" w:hAnsi="Times New Roman"/>
                <w:sz w:val="24"/>
              </w:rPr>
              <w:lastRenderedPageBreak/>
              <w:t>100</w:t>
            </w:r>
          </w:p>
        </w:tc>
        <w:tc>
          <w:tcPr>
            <w:tcW w:w="8640" w:type="dxa"/>
          </w:tcPr>
          <w:p w14:paraId="623B781E" w14:textId="3D7C5A33" w:rsidR="00235D9D" w:rsidRPr="00D85C65" w:rsidRDefault="004357B9">
            <w:pPr>
              <w:rPr>
                <w:rFonts w:ascii="Times New Roman" w:hAnsi="Times New Roman"/>
                <w:b/>
                <w:sz w:val="24"/>
                <w:u w:val="single"/>
              </w:rPr>
            </w:pPr>
            <w:r w:rsidRPr="00D85C65">
              <w:rPr>
                <w:rFonts w:ascii="Times New Roman" w:hAnsi="Times New Roman"/>
                <w:b/>
                <w:sz w:val="24"/>
                <w:u w:val="single"/>
              </w:rPr>
              <w:t>Z čoho:</w:t>
            </w:r>
            <w:r w:rsidR="00D85C65">
              <w:rPr>
                <w:rFonts w:ascii="Times New Roman" w:hAnsi="Times New Roman"/>
                <w:b/>
                <w:sz w:val="24"/>
                <w:u w:val="single"/>
              </w:rPr>
              <w:t xml:space="preserve"> v </w:t>
            </w:r>
            <w:r w:rsidRPr="00D85C65">
              <w:rPr>
                <w:rFonts w:ascii="Times New Roman" w:hAnsi="Times New Roman"/>
                <w:b/>
                <w:sz w:val="24"/>
                <w:u w:val="single"/>
              </w:rPr>
              <w:t>stave zlyhania</w:t>
            </w:r>
          </w:p>
          <w:p w14:paraId="1E7C106F" w14:textId="3707BB50"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Expozíciami vážená LGD pre tie expozície, ktoré sa klasifikovali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podľa článku 178 CRR.</w:t>
            </w:r>
          </w:p>
        </w:tc>
      </w:tr>
      <w:tr w:rsidR="00235D9D" w:rsidRPr="00D85C65" w14:paraId="59532D8D" w14:textId="77777777" w:rsidTr="00672D2A">
        <w:tc>
          <w:tcPr>
            <w:tcW w:w="1188" w:type="dxa"/>
          </w:tcPr>
          <w:p w14:paraId="4A3C1205" w14:textId="77777777" w:rsidR="00235D9D" w:rsidRPr="00D85C65" w:rsidRDefault="00F45359">
            <w:pPr>
              <w:rPr>
                <w:rFonts w:ascii="Times New Roman" w:hAnsi="Times New Roman"/>
                <w:sz w:val="24"/>
              </w:rPr>
            </w:pPr>
            <w:r w:rsidRPr="00D85C65">
              <w:rPr>
                <w:rFonts w:ascii="Times New Roman" w:hAnsi="Times New Roman"/>
                <w:sz w:val="24"/>
              </w:rPr>
              <w:t>105</w:t>
            </w:r>
          </w:p>
        </w:tc>
        <w:tc>
          <w:tcPr>
            <w:tcW w:w="8640" w:type="dxa"/>
          </w:tcPr>
          <w:p w14:paraId="7D8C1D0F"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expozície</w:t>
            </w:r>
          </w:p>
          <w:p w14:paraId="0343C116"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110 vzoru CR IRB.</w:t>
            </w:r>
          </w:p>
        </w:tc>
      </w:tr>
      <w:tr w:rsidR="00235D9D" w:rsidRPr="00D85C65" w14:paraId="2E53A13C" w14:textId="77777777" w:rsidTr="00672D2A">
        <w:tc>
          <w:tcPr>
            <w:tcW w:w="1188" w:type="dxa"/>
          </w:tcPr>
          <w:p w14:paraId="67075BC8" w14:textId="77777777" w:rsidR="00235D9D" w:rsidRPr="00D85C65" w:rsidRDefault="004357B9">
            <w:pPr>
              <w:rPr>
                <w:rFonts w:ascii="Times New Roman" w:hAnsi="Times New Roman"/>
                <w:sz w:val="24"/>
              </w:rPr>
            </w:pPr>
            <w:r w:rsidRPr="00D85C65">
              <w:rPr>
                <w:rFonts w:ascii="Times New Roman" w:hAnsi="Times New Roman"/>
                <w:sz w:val="24"/>
              </w:rPr>
              <w:t>110</w:t>
            </w:r>
          </w:p>
        </w:tc>
        <w:tc>
          <w:tcPr>
            <w:tcW w:w="8640" w:type="dxa"/>
          </w:tcPr>
          <w:p w14:paraId="2058E52B"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RIZIKOVO VÁŽENÝCH EXPOZÍCIÍ PRED UPLATNENÍM KOEFICIENTU NA PODPORU MSP</w:t>
            </w:r>
          </w:p>
          <w:p w14:paraId="0D5C707A"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255 vzoru CR IRB.</w:t>
            </w:r>
          </w:p>
        </w:tc>
      </w:tr>
      <w:tr w:rsidR="00235D9D" w:rsidRPr="00D85C65" w14:paraId="75AC0537" w14:textId="77777777" w:rsidTr="00672D2A">
        <w:tc>
          <w:tcPr>
            <w:tcW w:w="1188" w:type="dxa"/>
          </w:tcPr>
          <w:p w14:paraId="595D3504" w14:textId="77777777" w:rsidR="00235D9D" w:rsidRPr="00D85C65" w:rsidRDefault="004357B9">
            <w:pPr>
              <w:rPr>
                <w:rFonts w:ascii="Times New Roman" w:hAnsi="Times New Roman"/>
                <w:sz w:val="24"/>
              </w:rPr>
            </w:pPr>
            <w:r w:rsidRPr="00D85C65">
              <w:rPr>
                <w:rFonts w:ascii="Times New Roman" w:hAnsi="Times New Roman"/>
                <w:sz w:val="24"/>
              </w:rPr>
              <w:t>120</w:t>
            </w:r>
          </w:p>
        </w:tc>
        <w:tc>
          <w:tcPr>
            <w:tcW w:w="8640" w:type="dxa"/>
          </w:tcPr>
          <w:p w14:paraId="67C7B976" w14:textId="117627F7" w:rsidR="00235D9D" w:rsidRPr="00D85C65" w:rsidRDefault="004357B9">
            <w:pPr>
              <w:rPr>
                <w:rFonts w:ascii="Times New Roman" w:hAnsi="Times New Roman"/>
                <w:b/>
                <w:sz w:val="24"/>
                <w:u w:val="single"/>
              </w:rPr>
            </w:pPr>
            <w:r w:rsidRPr="00D85C65">
              <w:rPr>
                <w:rFonts w:ascii="Times New Roman" w:hAnsi="Times New Roman"/>
                <w:b/>
                <w:sz w:val="24"/>
                <w:u w:val="single"/>
              </w:rPr>
              <w:t>Z čoho:</w:t>
            </w:r>
            <w:r w:rsidR="00D85C65">
              <w:rPr>
                <w:rFonts w:ascii="Times New Roman" w:hAnsi="Times New Roman"/>
                <w:b/>
                <w:sz w:val="24"/>
                <w:u w:val="single"/>
              </w:rPr>
              <w:t xml:space="preserve"> v </w:t>
            </w:r>
            <w:r w:rsidRPr="00D85C65">
              <w:rPr>
                <w:rFonts w:ascii="Times New Roman" w:hAnsi="Times New Roman"/>
                <w:b/>
                <w:sz w:val="24"/>
                <w:u w:val="single"/>
              </w:rPr>
              <w:t>stave zlyhania</w:t>
            </w:r>
          </w:p>
          <w:p w14:paraId="7422C9FE" w14:textId="6781B58D"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Hodnota rizikovo vážených expozícií pre tie expozície, ktoré sa klasifikovali ako „expozície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stave zlyhania“ podľa článku 178 ods. 1 CRR.</w:t>
            </w:r>
          </w:p>
        </w:tc>
      </w:tr>
      <w:tr w:rsidR="00235D9D" w:rsidRPr="00D85C65" w14:paraId="213E6887" w14:textId="77777777" w:rsidTr="00672D2A">
        <w:tc>
          <w:tcPr>
            <w:tcW w:w="1188" w:type="dxa"/>
          </w:tcPr>
          <w:p w14:paraId="6350F734" w14:textId="77777777" w:rsidR="00235D9D" w:rsidRPr="00D85C65" w:rsidRDefault="004357B9">
            <w:pPr>
              <w:rPr>
                <w:rFonts w:ascii="Times New Roman" w:hAnsi="Times New Roman"/>
                <w:sz w:val="24"/>
              </w:rPr>
            </w:pPr>
            <w:r w:rsidRPr="00D85C65">
              <w:rPr>
                <w:rFonts w:ascii="Times New Roman" w:hAnsi="Times New Roman"/>
                <w:sz w:val="24"/>
              </w:rPr>
              <w:t>125</w:t>
            </w:r>
          </w:p>
        </w:tc>
        <w:tc>
          <w:tcPr>
            <w:tcW w:w="8640" w:type="dxa"/>
          </w:tcPr>
          <w:p w14:paraId="34287935"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RIZIKOVO VÁŽENÝCH EXPOZÍCIÍ PO KOEFICIENTE NA PODPORU MSP</w:t>
            </w:r>
          </w:p>
          <w:p w14:paraId="0FBEAEA3"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260 vzoru CR IRB.</w:t>
            </w:r>
          </w:p>
        </w:tc>
      </w:tr>
      <w:tr w:rsidR="00235D9D" w:rsidRPr="00D85C65" w14:paraId="494565E5" w14:textId="77777777" w:rsidTr="00672D2A">
        <w:tc>
          <w:tcPr>
            <w:tcW w:w="1188" w:type="dxa"/>
          </w:tcPr>
          <w:p w14:paraId="723CB731" w14:textId="77777777" w:rsidR="00235D9D" w:rsidRPr="00D85C65" w:rsidRDefault="004357B9">
            <w:pPr>
              <w:rPr>
                <w:rFonts w:ascii="Times New Roman" w:hAnsi="Times New Roman"/>
                <w:sz w:val="24"/>
              </w:rPr>
            </w:pPr>
            <w:r w:rsidRPr="00D85C65">
              <w:rPr>
                <w:rFonts w:ascii="Times New Roman" w:hAnsi="Times New Roman"/>
                <w:sz w:val="24"/>
              </w:rPr>
              <w:t>130</w:t>
            </w:r>
          </w:p>
        </w:tc>
        <w:tc>
          <w:tcPr>
            <w:tcW w:w="8640" w:type="dxa"/>
          </w:tcPr>
          <w:p w14:paraId="1E4CBCD4"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HODNOTA OČAKÁVANEJ STRATY</w:t>
            </w:r>
          </w:p>
          <w:p w14:paraId="00F4C565" w14:textId="77777777" w:rsidR="00235D9D" w:rsidRPr="00D85C65" w:rsidRDefault="004357B9">
            <w:pPr>
              <w:rPr>
                <w:rFonts w:ascii="Times New Roman" w:hAnsi="Times New Roman"/>
                <w:b/>
                <w:sz w:val="24"/>
                <w:u w:val="single"/>
              </w:rPr>
            </w:pPr>
            <w:r w:rsidRPr="00D85C65">
              <w:rPr>
                <w:rStyle w:val="InstructionsTabelleText"/>
                <w:rFonts w:ascii="Times New Roman" w:hAnsi="Times New Roman"/>
                <w:sz w:val="24"/>
              </w:rPr>
              <w:t>Rovnaká definícia ako pre stĺpec 280 vzoru CR IRB.</w:t>
            </w:r>
            <w:r w:rsidRPr="00D85C65">
              <w:rPr>
                <w:rFonts w:ascii="Times New Roman" w:hAnsi="Times New Roman"/>
                <w:b/>
                <w:sz w:val="24"/>
                <w:u w:val="single"/>
              </w:rPr>
              <w:t xml:space="preserve"> </w:t>
            </w:r>
          </w:p>
        </w:tc>
      </w:tr>
    </w:tbl>
    <w:p w14:paraId="0662D07F" w14:textId="77777777" w:rsidR="00235D9D" w:rsidRPr="00D85C65" w:rsidRDefault="00235D9D">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235D9D" w:rsidRPr="00D85C65" w14:paraId="58C6D1CD" w14:textId="77777777" w:rsidTr="00672D2A">
        <w:tc>
          <w:tcPr>
            <w:tcW w:w="1188" w:type="dxa"/>
            <w:shd w:val="clear" w:color="auto" w:fill="CCCCCC"/>
          </w:tcPr>
          <w:p w14:paraId="17E54FF6" w14:textId="77777777" w:rsidR="00235D9D" w:rsidRPr="00D85C65" w:rsidRDefault="004357B9">
            <w:pPr>
              <w:rPr>
                <w:rFonts w:ascii="Times New Roman" w:hAnsi="Times New Roman"/>
                <w:b/>
                <w:sz w:val="24"/>
              </w:rPr>
            </w:pPr>
            <w:r w:rsidRPr="00D85C65">
              <w:rPr>
                <w:rFonts w:ascii="Times New Roman" w:hAnsi="Times New Roman"/>
                <w:b/>
                <w:sz w:val="24"/>
              </w:rPr>
              <w:t>Riadky</w:t>
            </w:r>
          </w:p>
        </w:tc>
        <w:tc>
          <w:tcPr>
            <w:tcW w:w="8640" w:type="dxa"/>
            <w:shd w:val="clear" w:color="auto" w:fill="CCCCCC"/>
          </w:tcPr>
          <w:p w14:paraId="53395035" w14:textId="77777777" w:rsidR="00235D9D" w:rsidRPr="00D85C65" w:rsidRDefault="00235D9D">
            <w:pPr>
              <w:ind w:left="72"/>
              <w:rPr>
                <w:rFonts w:ascii="Times New Roman" w:hAnsi="Times New Roman"/>
                <w:sz w:val="24"/>
              </w:rPr>
            </w:pPr>
          </w:p>
        </w:tc>
      </w:tr>
      <w:tr w:rsidR="00235D9D" w:rsidRPr="00D85C65" w14:paraId="15EB838A" w14:textId="77777777" w:rsidTr="00672D2A">
        <w:tc>
          <w:tcPr>
            <w:tcW w:w="1188" w:type="dxa"/>
          </w:tcPr>
          <w:p w14:paraId="5E6B896D" w14:textId="77777777" w:rsidR="00235D9D" w:rsidRPr="00D85C65" w:rsidRDefault="004357B9">
            <w:pPr>
              <w:rPr>
                <w:rFonts w:ascii="Times New Roman" w:hAnsi="Times New Roman"/>
                <w:sz w:val="24"/>
              </w:rPr>
            </w:pPr>
            <w:r w:rsidRPr="00D85C65">
              <w:rPr>
                <w:rFonts w:ascii="Times New Roman" w:hAnsi="Times New Roman"/>
                <w:sz w:val="24"/>
              </w:rPr>
              <w:t>010</w:t>
            </w:r>
          </w:p>
        </w:tc>
        <w:tc>
          <w:tcPr>
            <w:tcW w:w="8640" w:type="dxa"/>
          </w:tcPr>
          <w:p w14:paraId="190377F1" w14:textId="77777777" w:rsidR="00D85C65" w:rsidRDefault="004357B9">
            <w:pPr>
              <w:rPr>
                <w:rFonts w:ascii="Times New Roman" w:hAnsi="Times New Roman"/>
                <w:b/>
                <w:sz w:val="24"/>
                <w:u w:val="single"/>
              </w:rPr>
            </w:pPr>
            <w:r w:rsidRPr="00D85C65">
              <w:rPr>
                <w:rFonts w:ascii="Times New Roman" w:hAnsi="Times New Roman"/>
                <w:b/>
                <w:sz w:val="24"/>
                <w:u w:val="single"/>
              </w:rPr>
              <w:t>Ústredné vlády</w:t>
            </w:r>
            <w:r w:rsidR="00D85C65">
              <w:rPr>
                <w:rFonts w:ascii="Times New Roman" w:hAnsi="Times New Roman"/>
                <w:b/>
                <w:sz w:val="24"/>
                <w:u w:val="single"/>
              </w:rPr>
              <w:t xml:space="preserve"> a </w:t>
            </w:r>
            <w:r w:rsidRPr="00D85C65">
              <w:rPr>
                <w:rFonts w:ascii="Times New Roman" w:hAnsi="Times New Roman"/>
                <w:b/>
                <w:sz w:val="24"/>
                <w:u w:val="single"/>
              </w:rPr>
              <w:t>centrálne banky</w:t>
            </w:r>
          </w:p>
          <w:p w14:paraId="090B69EE" w14:textId="2261B257" w:rsidR="00235D9D" w:rsidRPr="00D85C65" w:rsidRDefault="00D21B29">
            <w:pPr>
              <w:rPr>
                <w:rFonts w:ascii="Times New Roman" w:hAnsi="Times New Roman"/>
                <w:sz w:val="24"/>
              </w:rPr>
            </w:pPr>
            <w:r w:rsidRPr="00D85C65">
              <w:rPr>
                <w:rFonts w:ascii="Times New Roman" w:hAnsi="Times New Roman"/>
                <w:sz w:val="24"/>
              </w:rPr>
              <w:t xml:space="preserve">Článok 147 ods. 2 </w:t>
            </w:r>
            <w:r w:rsidRPr="00D85C65">
              <w:rPr>
                <w:rFonts w:ascii="Times New Roman" w:hAnsi="Times New Roman"/>
                <w:bCs/>
                <w:sz w:val="24"/>
              </w:rPr>
              <w:t>písm. a)</w:t>
            </w:r>
            <w:r w:rsidRPr="00D85C65">
              <w:rPr>
                <w:rFonts w:ascii="Times New Roman" w:hAnsi="Times New Roman"/>
                <w:sz w:val="24"/>
              </w:rPr>
              <w:t xml:space="preserve"> CRR.</w:t>
            </w:r>
          </w:p>
        </w:tc>
      </w:tr>
      <w:tr w:rsidR="00235D9D" w:rsidRPr="00D85C65" w14:paraId="524F7F96" w14:textId="77777777" w:rsidTr="00672D2A">
        <w:tc>
          <w:tcPr>
            <w:tcW w:w="1188" w:type="dxa"/>
          </w:tcPr>
          <w:p w14:paraId="072201D4" w14:textId="77777777" w:rsidR="00235D9D" w:rsidRPr="00D85C65" w:rsidRDefault="004357B9">
            <w:pPr>
              <w:rPr>
                <w:rFonts w:ascii="Times New Roman" w:hAnsi="Times New Roman"/>
                <w:sz w:val="24"/>
              </w:rPr>
            </w:pPr>
            <w:r w:rsidRPr="00D85C65">
              <w:rPr>
                <w:rFonts w:ascii="Times New Roman" w:hAnsi="Times New Roman"/>
                <w:sz w:val="24"/>
              </w:rPr>
              <w:t>020</w:t>
            </w:r>
          </w:p>
        </w:tc>
        <w:tc>
          <w:tcPr>
            <w:tcW w:w="8640" w:type="dxa"/>
          </w:tcPr>
          <w:p w14:paraId="3EACDA70"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Inštitúcie</w:t>
            </w:r>
          </w:p>
          <w:p w14:paraId="0844CBEA" w14:textId="0B333C5A" w:rsidR="00235D9D" w:rsidRPr="00D85C65" w:rsidRDefault="00D21B29">
            <w:pPr>
              <w:rPr>
                <w:rFonts w:ascii="Times New Roman" w:hAnsi="Times New Roman"/>
                <w:sz w:val="24"/>
              </w:rPr>
            </w:pPr>
            <w:r w:rsidRPr="00D85C65">
              <w:rPr>
                <w:rFonts w:ascii="Times New Roman" w:hAnsi="Times New Roman"/>
                <w:sz w:val="24"/>
              </w:rPr>
              <w:t>Článok 147 ods. 2 písm. b) CRR.</w:t>
            </w:r>
          </w:p>
        </w:tc>
      </w:tr>
      <w:tr w:rsidR="00235D9D" w:rsidRPr="00D85C65" w14:paraId="45F9CBBF" w14:textId="77777777" w:rsidTr="00672D2A">
        <w:tc>
          <w:tcPr>
            <w:tcW w:w="1188" w:type="dxa"/>
          </w:tcPr>
          <w:p w14:paraId="4EDE8471" w14:textId="77777777" w:rsidR="00235D9D" w:rsidRPr="00D85C65" w:rsidRDefault="004357B9">
            <w:pPr>
              <w:rPr>
                <w:rFonts w:ascii="Times New Roman" w:hAnsi="Times New Roman"/>
                <w:sz w:val="24"/>
              </w:rPr>
            </w:pPr>
            <w:r w:rsidRPr="00D85C65">
              <w:rPr>
                <w:rFonts w:ascii="Times New Roman" w:hAnsi="Times New Roman"/>
                <w:sz w:val="24"/>
              </w:rPr>
              <w:t>030</w:t>
            </w:r>
          </w:p>
        </w:tc>
        <w:tc>
          <w:tcPr>
            <w:tcW w:w="8640" w:type="dxa"/>
          </w:tcPr>
          <w:p w14:paraId="3A290EC3" w14:textId="77777777" w:rsidR="00D85C65" w:rsidRDefault="004357B9">
            <w:pPr>
              <w:rPr>
                <w:rFonts w:ascii="Times New Roman" w:hAnsi="Times New Roman"/>
                <w:b/>
                <w:sz w:val="24"/>
                <w:u w:val="single"/>
              </w:rPr>
            </w:pPr>
            <w:r w:rsidRPr="00D85C65">
              <w:rPr>
                <w:rFonts w:ascii="Times New Roman" w:hAnsi="Times New Roman"/>
                <w:b/>
                <w:sz w:val="24"/>
                <w:u w:val="single"/>
              </w:rPr>
              <w:t>Podnikateľské subjekty</w:t>
            </w:r>
          </w:p>
          <w:p w14:paraId="1427627B" w14:textId="351D2534" w:rsidR="00235D9D" w:rsidRPr="00D85C65" w:rsidRDefault="004357B9">
            <w:pPr>
              <w:pStyle w:val="ListParagraph"/>
              <w:ind w:left="0"/>
              <w:rPr>
                <w:rFonts w:ascii="Times New Roman" w:hAnsi="Times New Roman"/>
                <w:sz w:val="24"/>
              </w:rPr>
            </w:pPr>
            <w:r w:rsidRPr="00D85C65">
              <w:rPr>
                <w:rFonts w:ascii="Times New Roman" w:hAnsi="Times New Roman"/>
                <w:sz w:val="24"/>
              </w:rPr>
              <w:t>Všetky expozície voči podnikateľským subjektom uvedeným</w:t>
            </w:r>
            <w:r w:rsidR="00D85C65">
              <w:rPr>
                <w:rFonts w:ascii="Times New Roman" w:hAnsi="Times New Roman"/>
                <w:sz w:val="24"/>
              </w:rPr>
              <w:t xml:space="preserve"> v </w:t>
            </w:r>
            <w:r w:rsidRPr="00D85C65">
              <w:rPr>
                <w:rFonts w:ascii="Times New Roman" w:hAnsi="Times New Roman"/>
                <w:sz w:val="24"/>
              </w:rPr>
              <w:t xml:space="preserve">článku 147 ods. 2 </w:t>
            </w:r>
            <w:r w:rsidRPr="00D85C65">
              <w:rPr>
                <w:rFonts w:ascii="Times New Roman" w:hAnsi="Times New Roman"/>
                <w:bCs/>
                <w:sz w:val="24"/>
              </w:rPr>
              <w:t>písm. c)</w:t>
            </w:r>
            <w:r w:rsidRPr="00D85C65">
              <w:rPr>
                <w:rFonts w:ascii="Times New Roman" w:hAnsi="Times New Roman"/>
                <w:sz w:val="24"/>
              </w:rPr>
              <w:t xml:space="preserve"> CRR.</w:t>
            </w:r>
          </w:p>
        </w:tc>
      </w:tr>
      <w:tr w:rsidR="00235D9D" w:rsidRPr="00D85C65" w14:paraId="2BB19F94" w14:textId="77777777" w:rsidTr="00672D2A">
        <w:tc>
          <w:tcPr>
            <w:tcW w:w="1188" w:type="dxa"/>
          </w:tcPr>
          <w:p w14:paraId="1B0A27AB" w14:textId="77777777" w:rsidR="00235D9D" w:rsidRPr="00D85C65" w:rsidRDefault="004357B9">
            <w:pPr>
              <w:rPr>
                <w:rFonts w:ascii="Times New Roman" w:hAnsi="Times New Roman"/>
                <w:sz w:val="24"/>
              </w:rPr>
            </w:pPr>
            <w:r w:rsidRPr="00D85C65">
              <w:rPr>
                <w:rFonts w:ascii="Times New Roman" w:hAnsi="Times New Roman"/>
                <w:sz w:val="24"/>
              </w:rPr>
              <w:t>042</w:t>
            </w:r>
          </w:p>
        </w:tc>
        <w:tc>
          <w:tcPr>
            <w:tcW w:w="8640" w:type="dxa"/>
          </w:tcPr>
          <w:p w14:paraId="6FA09752" w14:textId="572D0545" w:rsidR="00235D9D" w:rsidRPr="00D85C65" w:rsidRDefault="004357B9">
            <w:pPr>
              <w:rPr>
                <w:rFonts w:ascii="Times New Roman" w:hAnsi="Times New Roman"/>
                <w:b/>
                <w:sz w:val="24"/>
                <w:u w:val="single"/>
              </w:rPr>
            </w:pPr>
            <w:r w:rsidRPr="00D85C65">
              <w:rPr>
                <w:rFonts w:ascii="Times New Roman" w:hAnsi="Times New Roman"/>
                <w:b/>
                <w:sz w:val="24"/>
                <w:u w:val="single"/>
              </w:rPr>
              <w:t>Z čoho: Špecializované financovanie (okrem špecializovaného financovania, na ktoré sa uplatňujú kritériá na zaradenie)</w:t>
            </w:r>
          </w:p>
          <w:p w14:paraId="7EDA1A93" w14:textId="4FA807E5" w:rsidR="00235D9D" w:rsidRPr="00D85C65" w:rsidRDefault="00D21B29">
            <w:pPr>
              <w:pStyle w:val="ListParagraph"/>
              <w:ind w:left="0"/>
              <w:rPr>
                <w:rFonts w:ascii="Times New Roman" w:hAnsi="Times New Roman"/>
                <w:sz w:val="24"/>
              </w:rPr>
            </w:pPr>
            <w:r w:rsidRPr="00D85C65">
              <w:rPr>
                <w:rFonts w:ascii="Times New Roman" w:hAnsi="Times New Roman"/>
                <w:sz w:val="24"/>
              </w:rPr>
              <w:t xml:space="preserve">Článok 147 ods. </w:t>
            </w:r>
            <w:r w:rsidRPr="00D85C65">
              <w:rPr>
                <w:rFonts w:ascii="Times New Roman" w:hAnsi="Times New Roman"/>
                <w:bCs/>
                <w:sz w:val="24"/>
              </w:rPr>
              <w:t>8 písm. a)</w:t>
            </w:r>
            <w:r w:rsidRPr="00D85C65">
              <w:rPr>
                <w:rFonts w:ascii="Times New Roman" w:hAnsi="Times New Roman"/>
                <w:sz w:val="24"/>
              </w:rPr>
              <w:t xml:space="preserve"> CRR.</w:t>
            </w:r>
          </w:p>
          <w:p w14:paraId="103A67ED" w14:textId="4F740281" w:rsidR="00235D9D" w:rsidRPr="00D85C65" w:rsidRDefault="0042766A">
            <w:pPr>
              <w:pStyle w:val="ListParagraph"/>
              <w:ind w:left="0"/>
              <w:rPr>
                <w:rFonts w:ascii="Times New Roman" w:hAnsi="Times New Roman"/>
                <w:sz w:val="24"/>
              </w:rPr>
            </w:pPr>
            <w:r w:rsidRPr="00D85C65">
              <w:rPr>
                <w:rFonts w:ascii="Times New Roman" w:hAnsi="Times New Roman"/>
                <w:sz w:val="24"/>
              </w:rPr>
              <w:lastRenderedPageBreak/>
              <w:t>Údaje za expozície špecializovaného financovania podľa článku 153 ods. 5 CRR sa nevykazujú.</w:t>
            </w:r>
          </w:p>
        </w:tc>
      </w:tr>
      <w:tr w:rsidR="00235D9D" w:rsidRPr="00D85C65" w14:paraId="1F8186F4" w14:textId="77777777" w:rsidTr="00672D2A">
        <w:tc>
          <w:tcPr>
            <w:tcW w:w="1188" w:type="dxa"/>
          </w:tcPr>
          <w:p w14:paraId="5843B83F" w14:textId="77777777" w:rsidR="00235D9D" w:rsidRPr="00D85C65" w:rsidRDefault="000E093A">
            <w:pPr>
              <w:rPr>
                <w:rFonts w:ascii="Times New Roman" w:hAnsi="Times New Roman"/>
                <w:sz w:val="24"/>
              </w:rPr>
            </w:pPr>
            <w:r w:rsidRPr="00D85C65">
              <w:rPr>
                <w:rFonts w:ascii="Times New Roman" w:hAnsi="Times New Roman"/>
                <w:sz w:val="24"/>
              </w:rPr>
              <w:lastRenderedPageBreak/>
              <w:t>045</w:t>
            </w:r>
          </w:p>
        </w:tc>
        <w:tc>
          <w:tcPr>
            <w:tcW w:w="8640" w:type="dxa"/>
          </w:tcPr>
          <w:p w14:paraId="39002DAB" w14:textId="3090F631" w:rsidR="00235D9D" w:rsidRPr="00D85C65" w:rsidRDefault="000E093A">
            <w:pPr>
              <w:rPr>
                <w:rFonts w:ascii="Times New Roman" w:hAnsi="Times New Roman"/>
                <w:b/>
                <w:sz w:val="24"/>
                <w:u w:val="single"/>
              </w:rPr>
            </w:pPr>
            <w:r w:rsidRPr="00D85C65">
              <w:rPr>
                <w:rFonts w:ascii="Times New Roman" w:hAnsi="Times New Roman"/>
                <w:b/>
                <w:sz w:val="24"/>
                <w:u w:val="single"/>
              </w:rPr>
              <w:t>Z čoho: Špecializované financovanie, na ktoré sa uplatňujú kritériá na zaradenie</w:t>
            </w:r>
          </w:p>
          <w:p w14:paraId="56E4B85C" w14:textId="0500952F" w:rsidR="00235D9D" w:rsidRPr="00D85C65" w:rsidRDefault="00D21B29">
            <w:pPr>
              <w:rPr>
                <w:rFonts w:ascii="Times New Roman" w:hAnsi="Times New Roman"/>
                <w:b/>
                <w:sz w:val="24"/>
                <w:u w:val="single"/>
              </w:rPr>
            </w:pPr>
            <w:r w:rsidRPr="00D85C65">
              <w:rPr>
                <w:rFonts w:ascii="Times New Roman" w:hAnsi="Times New Roman"/>
                <w:sz w:val="24"/>
              </w:rPr>
              <w:t>Článok 147 ods. 8 písm. a)</w:t>
            </w:r>
            <w:r w:rsidR="00D85C65">
              <w:rPr>
                <w:rFonts w:ascii="Times New Roman" w:hAnsi="Times New Roman"/>
                <w:sz w:val="24"/>
              </w:rPr>
              <w:t xml:space="preserve"> a </w:t>
            </w:r>
            <w:r w:rsidRPr="00D85C65">
              <w:rPr>
                <w:rFonts w:ascii="Times New Roman" w:hAnsi="Times New Roman"/>
                <w:sz w:val="24"/>
              </w:rPr>
              <w:t>článok 153 ods. 5 CRR</w:t>
            </w:r>
          </w:p>
        </w:tc>
      </w:tr>
      <w:tr w:rsidR="00235D9D" w:rsidRPr="00D85C65" w14:paraId="4D8522F6" w14:textId="77777777" w:rsidTr="00672D2A">
        <w:tc>
          <w:tcPr>
            <w:tcW w:w="1188" w:type="dxa"/>
          </w:tcPr>
          <w:p w14:paraId="4722F6D6" w14:textId="77777777" w:rsidR="00235D9D" w:rsidRPr="00D85C65" w:rsidRDefault="004357B9">
            <w:pPr>
              <w:rPr>
                <w:rFonts w:ascii="Times New Roman" w:hAnsi="Times New Roman"/>
                <w:sz w:val="24"/>
              </w:rPr>
            </w:pPr>
            <w:r w:rsidRPr="00D85C65">
              <w:rPr>
                <w:rFonts w:ascii="Times New Roman" w:hAnsi="Times New Roman"/>
                <w:sz w:val="24"/>
              </w:rPr>
              <w:t>050</w:t>
            </w:r>
          </w:p>
        </w:tc>
        <w:tc>
          <w:tcPr>
            <w:tcW w:w="8640" w:type="dxa"/>
          </w:tcPr>
          <w:p w14:paraId="2364526D"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Z čoho: MSP</w:t>
            </w:r>
          </w:p>
          <w:p w14:paraId="5ABADB8A" w14:textId="07271DA1" w:rsidR="00235D9D" w:rsidRPr="00D85C65" w:rsidRDefault="00D21B29">
            <w:pPr>
              <w:pStyle w:val="ListParagraph"/>
              <w:ind w:left="0"/>
              <w:rPr>
                <w:rFonts w:ascii="Times New Roman" w:hAnsi="Times New Roman"/>
                <w:sz w:val="24"/>
              </w:rPr>
            </w:pPr>
            <w:r w:rsidRPr="00D85C65">
              <w:rPr>
                <w:rFonts w:ascii="Times New Roman" w:hAnsi="Times New Roman"/>
                <w:sz w:val="24"/>
              </w:rPr>
              <w:t xml:space="preserve">Článok 147 ods. 2 </w:t>
            </w:r>
            <w:r w:rsidRPr="00D85C65">
              <w:rPr>
                <w:rFonts w:ascii="Times New Roman" w:hAnsi="Times New Roman"/>
                <w:bCs/>
                <w:sz w:val="24"/>
              </w:rPr>
              <w:t>písm. c)</w:t>
            </w:r>
            <w:r w:rsidRPr="00D85C65">
              <w:rPr>
                <w:rFonts w:ascii="Times New Roman" w:hAnsi="Times New Roman"/>
                <w:sz w:val="24"/>
              </w:rPr>
              <w:t xml:space="preserve"> CRR.</w:t>
            </w:r>
          </w:p>
        </w:tc>
      </w:tr>
      <w:tr w:rsidR="00235D9D" w:rsidRPr="00D85C65" w14:paraId="4E60DA06" w14:textId="77777777" w:rsidTr="00672D2A">
        <w:tc>
          <w:tcPr>
            <w:tcW w:w="1188" w:type="dxa"/>
          </w:tcPr>
          <w:p w14:paraId="079B0B71" w14:textId="77777777" w:rsidR="00235D9D" w:rsidRPr="00D85C65" w:rsidRDefault="004357B9">
            <w:pPr>
              <w:rPr>
                <w:rFonts w:ascii="Times New Roman" w:hAnsi="Times New Roman"/>
                <w:sz w:val="24"/>
              </w:rPr>
            </w:pPr>
            <w:r w:rsidRPr="00D85C65">
              <w:rPr>
                <w:rFonts w:ascii="Times New Roman" w:hAnsi="Times New Roman"/>
                <w:sz w:val="24"/>
              </w:rPr>
              <w:t>060</w:t>
            </w:r>
          </w:p>
        </w:tc>
        <w:tc>
          <w:tcPr>
            <w:tcW w:w="8640" w:type="dxa"/>
          </w:tcPr>
          <w:p w14:paraId="621299E2"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Retailové subjekty</w:t>
            </w:r>
          </w:p>
          <w:p w14:paraId="7EA656E7" w14:textId="214441AF" w:rsidR="00235D9D" w:rsidRPr="00D85C65" w:rsidRDefault="004357B9">
            <w:pPr>
              <w:rPr>
                <w:rFonts w:ascii="Times New Roman" w:hAnsi="Times New Roman"/>
                <w:sz w:val="24"/>
              </w:rPr>
            </w:pPr>
            <w:r w:rsidRPr="00D85C65">
              <w:rPr>
                <w:rFonts w:ascii="Times New Roman" w:hAnsi="Times New Roman"/>
                <w:sz w:val="24"/>
              </w:rPr>
              <w:t>Všetky 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w:t>
            </w:r>
          </w:p>
        </w:tc>
      </w:tr>
      <w:tr w:rsidR="00235D9D" w:rsidRPr="00D85C65" w14:paraId="5B12FE9E" w14:textId="77777777" w:rsidTr="00672D2A">
        <w:tc>
          <w:tcPr>
            <w:tcW w:w="1188" w:type="dxa"/>
          </w:tcPr>
          <w:p w14:paraId="7498E6A0" w14:textId="77777777" w:rsidR="00235D9D" w:rsidRPr="00D85C65" w:rsidRDefault="004357B9">
            <w:pPr>
              <w:rPr>
                <w:rFonts w:ascii="Times New Roman" w:hAnsi="Times New Roman"/>
                <w:sz w:val="24"/>
              </w:rPr>
            </w:pPr>
            <w:r w:rsidRPr="00D85C65">
              <w:rPr>
                <w:rFonts w:ascii="Times New Roman" w:hAnsi="Times New Roman"/>
                <w:sz w:val="24"/>
              </w:rPr>
              <w:t>070</w:t>
            </w:r>
          </w:p>
        </w:tc>
        <w:tc>
          <w:tcPr>
            <w:tcW w:w="8640" w:type="dxa"/>
          </w:tcPr>
          <w:p w14:paraId="28D48F26"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Retail – zabezpečené nehnuteľným majetkom</w:t>
            </w:r>
          </w:p>
          <w:p w14:paraId="7D846491" w14:textId="44C07AAF" w:rsidR="00235D9D" w:rsidRPr="00D85C65" w:rsidRDefault="003B2712">
            <w:pPr>
              <w:pStyle w:val="ListParagraph"/>
              <w:ind w:left="0"/>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ktoré sú zabezpečené nehnuteľnosťou.</w:t>
            </w:r>
          </w:p>
        </w:tc>
      </w:tr>
      <w:tr w:rsidR="00235D9D" w:rsidRPr="00D85C65" w14:paraId="72C223B9" w14:textId="77777777" w:rsidTr="00672D2A">
        <w:tc>
          <w:tcPr>
            <w:tcW w:w="1188" w:type="dxa"/>
          </w:tcPr>
          <w:p w14:paraId="02BEDBA1" w14:textId="77777777" w:rsidR="00235D9D" w:rsidRPr="00D85C65" w:rsidRDefault="004357B9">
            <w:pPr>
              <w:rPr>
                <w:rFonts w:ascii="Times New Roman" w:hAnsi="Times New Roman"/>
                <w:sz w:val="24"/>
              </w:rPr>
            </w:pPr>
            <w:r w:rsidRPr="00D85C65">
              <w:rPr>
                <w:rFonts w:ascii="Times New Roman" w:hAnsi="Times New Roman"/>
                <w:sz w:val="24"/>
              </w:rPr>
              <w:t>080</w:t>
            </w:r>
          </w:p>
        </w:tc>
        <w:tc>
          <w:tcPr>
            <w:tcW w:w="8640" w:type="dxa"/>
          </w:tcPr>
          <w:p w14:paraId="6EFC5600"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MSP</w:t>
            </w:r>
          </w:p>
          <w:p w14:paraId="617C25C7" w14:textId="68CC554D" w:rsidR="00235D9D" w:rsidRPr="00D85C65" w:rsidRDefault="004357B9">
            <w:pPr>
              <w:pStyle w:val="ListParagraph"/>
              <w:ind w:left="0"/>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w:t>
            </w:r>
            <w:r w:rsidR="00D85C65">
              <w:rPr>
                <w:rFonts w:ascii="Times New Roman" w:hAnsi="Times New Roman"/>
                <w:sz w:val="24"/>
              </w:rPr>
              <w:t xml:space="preserve"> a </w:t>
            </w:r>
            <w:r w:rsidRPr="00D85C65">
              <w:rPr>
                <w:rFonts w:ascii="Times New Roman" w:hAnsi="Times New Roman"/>
                <w:sz w:val="24"/>
              </w:rPr>
              <w:t>článku 154 ods. 3 CRR, ktoré sú zabezpečené nehnuteľnosťou.</w:t>
            </w:r>
          </w:p>
        </w:tc>
      </w:tr>
      <w:tr w:rsidR="00235D9D" w:rsidRPr="00D85C65" w14:paraId="739DA1B5" w14:textId="77777777" w:rsidTr="00672D2A">
        <w:tc>
          <w:tcPr>
            <w:tcW w:w="1188" w:type="dxa"/>
          </w:tcPr>
          <w:p w14:paraId="1CE167A5" w14:textId="77777777" w:rsidR="00235D9D" w:rsidRPr="00D85C65" w:rsidRDefault="004357B9">
            <w:pPr>
              <w:rPr>
                <w:rFonts w:ascii="Times New Roman" w:hAnsi="Times New Roman"/>
                <w:sz w:val="24"/>
              </w:rPr>
            </w:pPr>
            <w:r w:rsidRPr="00D85C65">
              <w:rPr>
                <w:rFonts w:ascii="Times New Roman" w:hAnsi="Times New Roman"/>
                <w:sz w:val="24"/>
              </w:rPr>
              <w:t>090</w:t>
            </w:r>
          </w:p>
        </w:tc>
        <w:tc>
          <w:tcPr>
            <w:tcW w:w="8640" w:type="dxa"/>
          </w:tcPr>
          <w:p w14:paraId="0E51ED1A"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Iné ako MSP</w:t>
            </w:r>
          </w:p>
          <w:p w14:paraId="7801AED9" w14:textId="12CFA56B" w:rsidR="00235D9D" w:rsidRPr="00D85C65" w:rsidRDefault="004357B9">
            <w:pPr>
              <w:pStyle w:val="ListParagraph"/>
              <w:ind w:left="0"/>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článku 147 ods. 2 písm. d), ktoré sú zabezpečené nehnuteľnosťou.</w:t>
            </w:r>
          </w:p>
        </w:tc>
      </w:tr>
      <w:tr w:rsidR="00235D9D" w:rsidRPr="00D85C65" w14:paraId="69310AEB" w14:textId="77777777" w:rsidTr="00672D2A">
        <w:tc>
          <w:tcPr>
            <w:tcW w:w="1188" w:type="dxa"/>
          </w:tcPr>
          <w:p w14:paraId="015185BC" w14:textId="77777777" w:rsidR="00235D9D" w:rsidRPr="00D85C65" w:rsidRDefault="004357B9">
            <w:pPr>
              <w:rPr>
                <w:rFonts w:ascii="Times New Roman" w:hAnsi="Times New Roman"/>
                <w:sz w:val="24"/>
              </w:rPr>
            </w:pPr>
            <w:r w:rsidRPr="00D85C65">
              <w:rPr>
                <w:rFonts w:ascii="Times New Roman" w:hAnsi="Times New Roman"/>
                <w:sz w:val="24"/>
              </w:rPr>
              <w:t>100</w:t>
            </w:r>
          </w:p>
        </w:tc>
        <w:tc>
          <w:tcPr>
            <w:tcW w:w="8640" w:type="dxa"/>
          </w:tcPr>
          <w:p w14:paraId="2F841CD8"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Retail – kvalifikovaný revolving</w:t>
            </w:r>
          </w:p>
          <w:p w14:paraId="7A535000" w14:textId="4A146DB6" w:rsidR="00235D9D" w:rsidRPr="00D85C65" w:rsidRDefault="003B2712">
            <w:pPr>
              <w:pStyle w:val="ListParagraph"/>
              <w:ind w:left="0"/>
              <w:rPr>
                <w:rFonts w:ascii="Times New Roman" w:hAnsi="Times New Roman"/>
                <w:sz w:val="24"/>
              </w:rPr>
            </w:pPr>
            <w:r w:rsidRPr="00D85C65">
              <w:rPr>
                <w:rFonts w:ascii="Times New Roman" w:hAnsi="Times New Roman"/>
                <w:sz w:val="24"/>
              </w:rPr>
              <w:t>Retailové expozície uvedené</w:t>
            </w:r>
            <w:r w:rsidR="00D85C65">
              <w:rPr>
                <w:rFonts w:ascii="Times New Roman" w:hAnsi="Times New Roman"/>
                <w:sz w:val="24"/>
              </w:rPr>
              <w:t xml:space="preserve"> v </w:t>
            </w:r>
            <w:r w:rsidRPr="00D85C65">
              <w:rPr>
                <w:rFonts w:ascii="Times New Roman" w:hAnsi="Times New Roman"/>
                <w:sz w:val="24"/>
              </w:rPr>
              <w:t xml:space="preserve">článku 147 ods. 2 </w:t>
            </w:r>
            <w:r w:rsidRPr="00D85C65">
              <w:rPr>
                <w:rFonts w:ascii="Times New Roman" w:hAnsi="Times New Roman"/>
                <w:bCs/>
                <w:sz w:val="24"/>
              </w:rPr>
              <w:t>písm. d)</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s </w:t>
            </w:r>
            <w:r w:rsidRPr="00D85C65">
              <w:rPr>
                <w:rFonts w:ascii="Times New Roman" w:hAnsi="Times New Roman"/>
                <w:sz w:val="24"/>
              </w:rPr>
              <w:t xml:space="preserve">článkom 154 ods. 4 CRR. </w:t>
            </w:r>
          </w:p>
        </w:tc>
      </w:tr>
      <w:tr w:rsidR="00235D9D" w:rsidRPr="00D85C65" w14:paraId="310E9DF1" w14:textId="77777777" w:rsidTr="00672D2A">
        <w:tc>
          <w:tcPr>
            <w:tcW w:w="1188" w:type="dxa"/>
          </w:tcPr>
          <w:p w14:paraId="197CC5CC" w14:textId="77777777" w:rsidR="00235D9D" w:rsidRPr="00D85C65" w:rsidRDefault="004357B9">
            <w:pPr>
              <w:rPr>
                <w:rFonts w:ascii="Times New Roman" w:hAnsi="Times New Roman"/>
                <w:sz w:val="24"/>
              </w:rPr>
            </w:pPr>
            <w:r w:rsidRPr="00D85C65">
              <w:rPr>
                <w:rFonts w:ascii="Times New Roman" w:hAnsi="Times New Roman"/>
                <w:sz w:val="24"/>
              </w:rPr>
              <w:t>110</w:t>
            </w:r>
          </w:p>
        </w:tc>
        <w:tc>
          <w:tcPr>
            <w:tcW w:w="8640" w:type="dxa"/>
          </w:tcPr>
          <w:p w14:paraId="62BCD037"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Iný retail</w:t>
            </w:r>
          </w:p>
          <w:p w14:paraId="008CB529" w14:textId="7947A1A3" w:rsidR="00235D9D" w:rsidRPr="00D85C65" w:rsidRDefault="004357B9">
            <w:pPr>
              <w:pStyle w:val="ListParagraph"/>
              <w:ind w:left="0"/>
              <w:rPr>
                <w:rFonts w:ascii="Times New Roman" w:hAnsi="Times New Roman"/>
                <w:sz w:val="24"/>
              </w:rPr>
            </w:pPr>
            <w:r w:rsidRPr="00D85C65">
              <w:rPr>
                <w:rFonts w:ascii="Times New Roman" w:hAnsi="Times New Roman"/>
                <w:sz w:val="24"/>
              </w:rPr>
              <w:t>Iné 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ktoré nie sú vykázané</w:t>
            </w:r>
            <w:r w:rsidR="00D85C65">
              <w:rPr>
                <w:rFonts w:ascii="Times New Roman" w:hAnsi="Times New Roman"/>
                <w:sz w:val="24"/>
              </w:rPr>
              <w:t xml:space="preserve"> v </w:t>
            </w:r>
            <w:r w:rsidRPr="00D85C65">
              <w:rPr>
                <w:rFonts w:ascii="Times New Roman" w:hAnsi="Times New Roman"/>
                <w:sz w:val="24"/>
              </w:rPr>
              <w:t>riadkoch 070 až 100.</w:t>
            </w:r>
          </w:p>
        </w:tc>
      </w:tr>
      <w:tr w:rsidR="00235D9D" w:rsidRPr="00D85C65" w14:paraId="03E08DFC" w14:textId="77777777" w:rsidTr="00672D2A">
        <w:tc>
          <w:tcPr>
            <w:tcW w:w="1188" w:type="dxa"/>
          </w:tcPr>
          <w:p w14:paraId="18CDFB4C" w14:textId="77777777" w:rsidR="00235D9D" w:rsidRPr="00D85C65" w:rsidRDefault="004357B9">
            <w:pPr>
              <w:rPr>
                <w:rFonts w:ascii="Times New Roman" w:hAnsi="Times New Roman"/>
                <w:sz w:val="24"/>
              </w:rPr>
            </w:pPr>
            <w:r w:rsidRPr="00D85C65">
              <w:rPr>
                <w:rFonts w:ascii="Times New Roman" w:hAnsi="Times New Roman"/>
                <w:sz w:val="24"/>
              </w:rPr>
              <w:t>120</w:t>
            </w:r>
          </w:p>
        </w:tc>
        <w:tc>
          <w:tcPr>
            <w:tcW w:w="8640" w:type="dxa"/>
          </w:tcPr>
          <w:p w14:paraId="312E624C"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MSP</w:t>
            </w:r>
          </w:p>
          <w:p w14:paraId="5B7DCAF9" w14:textId="3F48C4B1" w:rsidR="00235D9D" w:rsidRPr="00D85C65" w:rsidRDefault="004357B9">
            <w:pPr>
              <w:pStyle w:val="ListParagraph"/>
              <w:ind w:left="0"/>
              <w:rPr>
                <w:rFonts w:ascii="Times New Roman" w:hAnsi="Times New Roman"/>
                <w:sz w:val="24"/>
              </w:rPr>
            </w:pPr>
            <w:r w:rsidRPr="00D85C65">
              <w:rPr>
                <w:rFonts w:ascii="Times New Roman" w:hAnsi="Times New Roman"/>
                <w:sz w:val="24"/>
              </w:rPr>
              <w:t>Iné 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voči MSP.</w:t>
            </w:r>
          </w:p>
        </w:tc>
      </w:tr>
      <w:tr w:rsidR="00235D9D" w:rsidRPr="00D85C65" w14:paraId="46163273" w14:textId="77777777" w:rsidTr="00672D2A">
        <w:tc>
          <w:tcPr>
            <w:tcW w:w="1188" w:type="dxa"/>
          </w:tcPr>
          <w:p w14:paraId="58B3BE55" w14:textId="77777777" w:rsidR="00235D9D" w:rsidRPr="00D85C65" w:rsidRDefault="004357B9">
            <w:pPr>
              <w:rPr>
                <w:rFonts w:ascii="Times New Roman" w:hAnsi="Times New Roman"/>
                <w:sz w:val="24"/>
              </w:rPr>
            </w:pPr>
            <w:r w:rsidRPr="00D85C65">
              <w:rPr>
                <w:rFonts w:ascii="Times New Roman" w:hAnsi="Times New Roman"/>
                <w:sz w:val="24"/>
              </w:rPr>
              <w:t>130</w:t>
            </w:r>
          </w:p>
        </w:tc>
        <w:tc>
          <w:tcPr>
            <w:tcW w:w="8640" w:type="dxa"/>
          </w:tcPr>
          <w:p w14:paraId="0299AF28"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Iné ako MSP</w:t>
            </w:r>
          </w:p>
          <w:p w14:paraId="5CE130B3" w14:textId="740EAAEA" w:rsidR="00235D9D" w:rsidRPr="00D85C65" w:rsidRDefault="004357B9">
            <w:pPr>
              <w:rPr>
                <w:rFonts w:ascii="Times New Roman" w:hAnsi="Times New Roman"/>
                <w:sz w:val="24"/>
              </w:rPr>
            </w:pPr>
            <w:r w:rsidRPr="00D85C65">
              <w:rPr>
                <w:rFonts w:ascii="Times New Roman" w:hAnsi="Times New Roman"/>
                <w:sz w:val="24"/>
              </w:rPr>
              <w:t>Iné retailové expozície uvedené</w:t>
            </w:r>
            <w:r w:rsidR="00D85C65">
              <w:rPr>
                <w:rFonts w:ascii="Times New Roman" w:hAnsi="Times New Roman"/>
                <w:sz w:val="24"/>
              </w:rPr>
              <w:t xml:space="preserve"> v </w:t>
            </w:r>
            <w:r w:rsidRPr="00D85C65">
              <w:rPr>
                <w:rFonts w:ascii="Times New Roman" w:hAnsi="Times New Roman"/>
                <w:sz w:val="24"/>
              </w:rPr>
              <w:t>článku 147 ods. 2 písm. d) CRR voči subjektom iným než MSP.</w:t>
            </w:r>
          </w:p>
        </w:tc>
      </w:tr>
      <w:tr w:rsidR="00235D9D" w:rsidRPr="00D85C6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235D9D" w:rsidRPr="00D85C65" w:rsidRDefault="004357B9">
            <w:pPr>
              <w:rPr>
                <w:rFonts w:ascii="Times New Roman" w:hAnsi="Times New Roman"/>
                <w:sz w:val="24"/>
              </w:rPr>
            </w:pPr>
            <w:r w:rsidRPr="00D85C6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235D9D" w:rsidRPr="00D85C65" w:rsidRDefault="004357B9">
            <w:pPr>
              <w:rPr>
                <w:rFonts w:ascii="Times New Roman" w:hAnsi="Times New Roman"/>
                <w:b/>
                <w:sz w:val="24"/>
                <w:u w:val="single"/>
              </w:rPr>
            </w:pPr>
            <w:r w:rsidRPr="00D85C65">
              <w:rPr>
                <w:rFonts w:ascii="Times New Roman" w:hAnsi="Times New Roman"/>
                <w:b/>
                <w:sz w:val="24"/>
                <w:u w:val="single"/>
              </w:rPr>
              <w:t>Vlastné imanie</w:t>
            </w:r>
          </w:p>
          <w:p w14:paraId="226E72C5" w14:textId="63BB16F5" w:rsidR="00235D9D" w:rsidRPr="00D85C65" w:rsidRDefault="004357B9">
            <w:pPr>
              <w:rPr>
                <w:rFonts w:ascii="Times New Roman" w:hAnsi="Times New Roman"/>
                <w:b/>
                <w:sz w:val="24"/>
                <w:u w:val="single"/>
              </w:rPr>
            </w:pPr>
            <w:r w:rsidRPr="00D85C65">
              <w:rPr>
                <w:rFonts w:ascii="Times New Roman" w:hAnsi="Times New Roman"/>
                <w:sz w:val="24"/>
              </w:rPr>
              <w:t>Kapitálové expozície uvedené</w:t>
            </w:r>
            <w:r w:rsidR="00D85C65">
              <w:rPr>
                <w:rFonts w:ascii="Times New Roman" w:hAnsi="Times New Roman"/>
                <w:sz w:val="24"/>
              </w:rPr>
              <w:t xml:space="preserve"> v </w:t>
            </w:r>
            <w:r w:rsidRPr="00D85C65">
              <w:rPr>
                <w:rFonts w:ascii="Times New Roman" w:hAnsi="Times New Roman"/>
                <w:sz w:val="24"/>
              </w:rPr>
              <w:t>článku 147 ods. 2 písm. e) CRR.</w:t>
            </w:r>
          </w:p>
        </w:tc>
      </w:tr>
      <w:tr w:rsidR="00235D9D" w:rsidRPr="00D85C6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235D9D" w:rsidRPr="00D85C65" w:rsidRDefault="007A49AC">
            <w:pPr>
              <w:rPr>
                <w:rFonts w:ascii="Times New Roman" w:hAnsi="Times New Roman"/>
                <w:sz w:val="24"/>
              </w:rPr>
            </w:pPr>
            <w:r w:rsidRPr="00D85C6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235D9D" w:rsidRPr="00D85C65" w:rsidRDefault="007A49AC">
            <w:pPr>
              <w:rPr>
                <w:rFonts w:ascii="Times New Roman" w:hAnsi="Times New Roman"/>
                <w:b/>
                <w:sz w:val="24"/>
                <w:u w:val="single"/>
              </w:rPr>
            </w:pPr>
            <w:r w:rsidRPr="00D85C65">
              <w:rPr>
                <w:rFonts w:ascii="Times New Roman" w:hAnsi="Times New Roman"/>
                <w:b/>
                <w:sz w:val="24"/>
                <w:u w:val="single"/>
              </w:rPr>
              <w:t>Celkové expozície</w:t>
            </w:r>
          </w:p>
        </w:tc>
      </w:tr>
    </w:tbl>
    <w:p w14:paraId="2736D670" w14:textId="77777777" w:rsidR="00235D9D" w:rsidRPr="00D85C65" w:rsidRDefault="00235D9D">
      <w:pPr>
        <w:spacing w:before="0" w:after="200" w:line="312" w:lineRule="auto"/>
        <w:jc w:val="left"/>
        <w:rPr>
          <w:rFonts w:ascii="Times New Roman" w:hAnsi="Times New Roman"/>
          <w:sz w:val="24"/>
        </w:rPr>
      </w:pPr>
    </w:p>
    <w:p w14:paraId="7DCD41BA" w14:textId="2530CB75" w:rsidR="00235D9D" w:rsidRPr="00D85C65" w:rsidRDefault="00125707">
      <w:pPr>
        <w:pStyle w:val="Instructionsberschrift2"/>
        <w:numPr>
          <w:ilvl w:val="0"/>
          <w:numId w:val="0"/>
        </w:numPr>
        <w:ind w:left="357" w:hanging="357"/>
        <w:rPr>
          <w:rFonts w:ascii="Times New Roman" w:hAnsi="Times New Roman" w:cs="Times New Roman"/>
          <w:sz w:val="24"/>
        </w:rPr>
      </w:pPr>
      <w:bookmarkStart w:id="53" w:name="_Toc29994496"/>
      <w:r w:rsidRPr="00D85C65">
        <w:rPr>
          <w:rFonts w:ascii="Times New Roman" w:hAnsi="Times New Roman"/>
          <w:sz w:val="24"/>
          <w:u w:val="none"/>
        </w:rPr>
        <w:lastRenderedPageBreak/>
        <w:t>3.4.3.</w:t>
      </w:r>
      <w:r w:rsidRPr="00D85C65">
        <w:rPr>
          <w:rFonts w:ascii="Times New Roman" w:hAnsi="Times New Roman"/>
          <w:sz w:val="24"/>
          <w:u w:val="none"/>
        </w:rPr>
        <w:tab/>
      </w:r>
      <w:r w:rsidRPr="00D85C65">
        <w:rPr>
          <w:rFonts w:ascii="Times New Roman" w:hAnsi="Times New Roman"/>
          <w:sz w:val="24"/>
        </w:rPr>
        <w:t>C 09.04 – Rozčlenenie expozícií voči kreditnému riziku relevantných pre výpočet proticyklického kapitálového vankúša podľa krajín</w:t>
      </w:r>
      <w:r w:rsidR="00D85C65">
        <w:rPr>
          <w:rFonts w:ascii="Times New Roman" w:hAnsi="Times New Roman"/>
          <w:sz w:val="24"/>
        </w:rPr>
        <w:t xml:space="preserve"> a </w:t>
      </w:r>
      <w:r w:rsidRPr="00D85C65">
        <w:rPr>
          <w:rFonts w:ascii="Times New Roman" w:hAnsi="Times New Roman"/>
          <w:sz w:val="24"/>
        </w:rPr>
        <w:t>miery proticyklického kapitálového vankúša špecifického pre inštitúciu (CCB)</w:t>
      </w:r>
      <w:bookmarkEnd w:id="53"/>
    </w:p>
    <w:p w14:paraId="465F81DE"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4" w:name="_Toc29994497"/>
      <w:r w:rsidRPr="00D85C65">
        <w:rPr>
          <w:rFonts w:ascii="Times New Roman" w:hAnsi="Times New Roman"/>
          <w:sz w:val="24"/>
          <w:u w:val="none"/>
        </w:rPr>
        <w:t>3.4.3.1.</w:t>
      </w:r>
      <w:r w:rsidRPr="00D85C65">
        <w:rPr>
          <w:rFonts w:ascii="Times New Roman" w:hAnsi="Times New Roman"/>
          <w:sz w:val="24"/>
          <w:u w:val="none"/>
        </w:rPr>
        <w:tab/>
      </w:r>
      <w:r w:rsidRPr="00D85C65">
        <w:rPr>
          <w:rFonts w:ascii="Times New Roman" w:hAnsi="Times New Roman"/>
          <w:sz w:val="24"/>
        </w:rPr>
        <w:t>Všeobecné poznámky</w:t>
      </w:r>
      <w:bookmarkEnd w:id="54"/>
    </w:p>
    <w:p w14:paraId="2F35F9E8" w14:textId="2CBA29ED" w:rsidR="00D85C65" w:rsidRDefault="00125707">
      <w:pPr>
        <w:pStyle w:val="InstructionsText2"/>
        <w:numPr>
          <w:ilvl w:val="0"/>
          <w:numId w:val="0"/>
        </w:numPr>
        <w:ind w:left="993"/>
      </w:pPr>
      <w:r w:rsidRPr="00D85C65">
        <w:t>82.</w:t>
      </w:r>
      <w:r w:rsidRPr="00D85C65">
        <w:tab/>
        <w:t>Účelom tohto vzoru je získať viac informácií</w:t>
      </w:r>
      <w:r w:rsidR="00D85C65">
        <w:t xml:space="preserve"> o </w:t>
      </w:r>
      <w:r w:rsidRPr="00D85C65">
        <w:t>prvkoch proticyklického kapitálového vankúša špecifického pre inštitúciu. Požadované informácie sa týkajú požiadaviek na vlastné zdroje určených</w:t>
      </w:r>
      <w:r w:rsidR="00D85C65">
        <w:t xml:space="preserve"> v </w:t>
      </w:r>
      <w:r w:rsidRPr="00D85C65">
        <w:t>súlade</w:t>
      </w:r>
      <w:r w:rsidR="00D85C65">
        <w:t xml:space="preserve"> s </w:t>
      </w:r>
      <w:r w:rsidRPr="00D85C65">
        <w:t>treťou časťou hlavou II</w:t>
      </w:r>
      <w:r w:rsidR="00D85C65">
        <w:t xml:space="preserve"> a </w:t>
      </w:r>
      <w:r w:rsidRPr="00D85C65">
        <w:t>hlavou IV CRR</w:t>
      </w:r>
      <w:r w:rsidR="00D85C65">
        <w:t xml:space="preserve"> a </w:t>
      </w:r>
      <w:r w:rsidRPr="00D85C65">
        <w:t>geografického umiestnenia pre expozície voči kreditnému riziku, sekuritizačné expozície</w:t>
      </w:r>
      <w:r w:rsidR="00D85C65">
        <w:t xml:space="preserve"> a </w:t>
      </w:r>
      <w:r w:rsidRPr="00D85C65">
        <w:t>expozície</w:t>
      </w:r>
      <w:r w:rsidR="00D85C65">
        <w:t xml:space="preserve"> v </w:t>
      </w:r>
      <w:r w:rsidRPr="00D85C65">
        <w:t>bankovej knihe relevantné pre výpočet proticyklického kapitálového vankúša špecifického pre inštitúciu</w:t>
      </w:r>
      <w:r w:rsidR="00D85C65">
        <w:t xml:space="preserve"> v </w:t>
      </w:r>
      <w:r w:rsidRPr="00D85C65">
        <w:t>súlade</w:t>
      </w:r>
      <w:r w:rsidR="00D85C65">
        <w:t xml:space="preserve"> s </w:t>
      </w:r>
      <w:r w:rsidRPr="00D85C65">
        <w:t>článkom 140 CRD (príslušné expozície voči kreditnému riziku)</w:t>
      </w:r>
      <w:r w:rsidR="00D85C65">
        <w:t>.</w:t>
      </w:r>
    </w:p>
    <w:p w14:paraId="3933558B" w14:textId="006B4419" w:rsidR="00D85C65" w:rsidRDefault="00125707">
      <w:pPr>
        <w:pStyle w:val="InstructionsText2"/>
        <w:numPr>
          <w:ilvl w:val="0"/>
          <w:numId w:val="0"/>
        </w:numPr>
        <w:ind w:left="993"/>
      </w:pPr>
      <w:r w:rsidRPr="00D85C65">
        <w:t>83.</w:t>
      </w:r>
      <w:r w:rsidRPr="00D85C65">
        <w:tab/>
        <w:t>Informácie vo vzore C 09.04 sa vykazujú pre riadok „spolu“ odkazujúci na súčet príslušných expozícií voči kreditnému riziku vo všetkých jurisdikciách,</w:t>
      </w:r>
      <w:r w:rsidR="00D85C65">
        <w:t xml:space="preserve"> v </w:t>
      </w:r>
      <w:r w:rsidRPr="00D85C65">
        <w:t>ktorých sa tieto expozície nachádzajú,</w:t>
      </w:r>
      <w:r w:rsidR="00D85C65">
        <w:t xml:space="preserve"> a </w:t>
      </w:r>
      <w:r w:rsidRPr="00D85C65">
        <w:t>jednotlivo pre každú jurisdikciu,</w:t>
      </w:r>
      <w:r w:rsidR="00D85C65">
        <w:t xml:space="preserve"> v </w:t>
      </w:r>
      <w:r w:rsidRPr="00D85C65">
        <w:t>ktorej sa nachádzajú príslušné expozície voči kreditnému riziku. Celkové údaje</w:t>
      </w:r>
      <w:r w:rsidR="00D85C65">
        <w:t xml:space="preserve"> a </w:t>
      </w:r>
      <w:r w:rsidRPr="00D85C65">
        <w:t>informácie</w:t>
      </w:r>
      <w:r w:rsidR="00D85C65">
        <w:t xml:space="preserve"> o </w:t>
      </w:r>
      <w:r w:rsidRPr="00D85C65">
        <w:t>jednotlivých jurisdikciách sa vykazujú osobitne</w:t>
      </w:r>
      <w:r w:rsidR="00D85C65">
        <w:t>.</w:t>
      </w:r>
    </w:p>
    <w:p w14:paraId="3D431326" w14:textId="6E858A13" w:rsidR="00235D9D" w:rsidRPr="00D85C65" w:rsidRDefault="00125707">
      <w:pPr>
        <w:pStyle w:val="InstructionsText2"/>
        <w:numPr>
          <w:ilvl w:val="0"/>
          <w:numId w:val="0"/>
        </w:numPr>
        <w:ind w:left="993"/>
      </w:pPr>
      <w:r w:rsidRPr="00D85C65">
        <w:t>84.</w:t>
      </w:r>
      <w:r w:rsidRPr="00D85C65">
        <w:tab/>
        <w:t>Prahová hodnota stanovená</w:t>
      </w:r>
      <w:r w:rsidR="00D85C65">
        <w:t xml:space="preserve"> v </w:t>
      </w:r>
      <w:r w:rsidRPr="00D85C65">
        <w:t>článku 5 písm. a) bode 4 tohto vykonávacieho nariadenia sa nevzťahuje na vykazovanie tohto rozčlenenia.</w:t>
      </w:r>
    </w:p>
    <w:p w14:paraId="51425BA4" w14:textId="14401CE9" w:rsidR="00235D9D" w:rsidRPr="00D85C65" w:rsidRDefault="00125707">
      <w:pPr>
        <w:pStyle w:val="InstructionsText2"/>
        <w:numPr>
          <w:ilvl w:val="0"/>
          <w:numId w:val="0"/>
        </w:numPr>
        <w:ind w:left="993"/>
      </w:pPr>
      <w:r w:rsidRPr="00D85C65">
        <w:t>85.</w:t>
      </w:r>
      <w:r w:rsidRPr="00D85C65">
        <w:tab/>
        <w:t>S cieľom určiť geografické umiestnenie sa expozície zaraďujú na základe bezprostredného dlžníka, ako sa uvádza</w:t>
      </w:r>
      <w:r w:rsidR="00D85C65">
        <w:t xml:space="preserve"> v </w:t>
      </w:r>
      <w:r w:rsidRPr="00D85C65">
        <w:t>delegovanom nariadení Komisie (EÚ) č. 1152/2014</w:t>
      </w:r>
      <w:r w:rsidRPr="00D85C65">
        <w:rPr>
          <w:rStyle w:val="FootnoteReference"/>
          <w:rFonts w:ascii="Times New Roman" w:hAnsi="Times New Roman"/>
          <w:sz w:val="24"/>
          <w:szCs w:val="24"/>
          <w:vertAlign w:val="superscript"/>
        </w:rPr>
        <w:footnoteReference w:id="11"/>
      </w:r>
      <w:r w:rsidRPr="00D85C65">
        <w:t>. Postupmi zmierňovania kreditného rizika sa preto nemení pridelenie expozície ku geografickému umiestneniu na účely vykazovania informácií stanovených</w:t>
      </w:r>
      <w:r w:rsidR="00D85C65">
        <w:t xml:space="preserve"> v </w:t>
      </w:r>
      <w:r w:rsidRPr="00D85C65">
        <w:t>tomto vzore.</w:t>
      </w:r>
    </w:p>
    <w:p w14:paraId="79C27D50" w14:textId="35AA6D7E" w:rsidR="00235D9D" w:rsidRPr="00D85C65" w:rsidRDefault="00125707">
      <w:pPr>
        <w:pStyle w:val="Instructionsberschrift2"/>
        <w:numPr>
          <w:ilvl w:val="0"/>
          <w:numId w:val="0"/>
        </w:numPr>
        <w:ind w:left="357" w:hanging="357"/>
        <w:rPr>
          <w:rFonts w:ascii="Times New Roman" w:hAnsi="Times New Roman" w:cs="Times New Roman"/>
          <w:sz w:val="24"/>
        </w:rPr>
      </w:pPr>
      <w:bookmarkStart w:id="55" w:name="_Toc29994498"/>
      <w:r w:rsidRPr="00D85C65">
        <w:rPr>
          <w:rFonts w:ascii="Times New Roman" w:hAnsi="Times New Roman"/>
          <w:sz w:val="24"/>
          <w:u w:val="none"/>
        </w:rPr>
        <w:t>3.4.3.2.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235D9D" w:rsidRPr="00D85C65" w14:paraId="5FF7C3DD" w14:textId="77777777" w:rsidTr="00672D2A">
        <w:tc>
          <w:tcPr>
            <w:tcW w:w="1697" w:type="dxa"/>
            <w:shd w:val="clear" w:color="auto" w:fill="CCCCCC"/>
          </w:tcPr>
          <w:p w14:paraId="354E64FE" w14:textId="77777777" w:rsidR="00235D9D" w:rsidRPr="00D85C65" w:rsidRDefault="00154859">
            <w:pPr>
              <w:rPr>
                <w:rFonts w:ascii="Times New Roman" w:hAnsi="Times New Roman"/>
                <w:b/>
                <w:sz w:val="24"/>
              </w:rPr>
            </w:pPr>
            <w:r w:rsidRPr="00D85C65">
              <w:rPr>
                <w:rFonts w:ascii="Times New Roman" w:hAnsi="Times New Roman"/>
                <w:b/>
                <w:sz w:val="24"/>
              </w:rPr>
              <w:t>Stĺpce</w:t>
            </w:r>
          </w:p>
        </w:tc>
        <w:tc>
          <w:tcPr>
            <w:tcW w:w="8131" w:type="dxa"/>
            <w:shd w:val="clear" w:color="auto" w:fill="CCCCCC"/>
          </w:tcPr>
          <w:p w14:paraId="1B8532BA" w14:textId="77777777" w:rsidR="00235D9D" w:rsidRPr="00D85C65" w:rsidRDefault="00235D9D">
            <w:pPr>
              <w:ind w:left="72"/>
              <w:rPr>
                <w:rFonts w:ascii="Times New Roman" w:hAnsi="Times New Roman"/>
                <w:sz w:val="24"/>
              </w:rPr>
            </w:pPr>
          </w:p>
        </w:tc>
      </w:tr>
      <w:tr w:rsidR="00235D9D" w:rsidRPr="00D85C65" w14:paraId="49520813" w14:textId="77777777" w:rsidTr="00672D2A">
        <w:tc>
          <w:tcPr>
            <w:tcW w:w="1697" w:type="dxa"/>
          </w:tcPr>
          <w:p w14:paraId="3F21DB43" w14:textId="77777777" w:rsidR="00235D9D" w:rsidRPr="00D85C65" w:rsidRDefault="00154859">
            <w:pPr>
              <w:rPr>
                <w:rStyle w:val="InstructionsTabelleText"/>
                <w:rFonts w:ascii="Times New Roman" w:hAnsi="Times New Roman"/>
                <w:sz w:val="24"/>
              </w:rPr>
            </w:pPr>
            <w:r w:rsidRPr="00D85C65">
              <w:rPr>
                <w:rFonts w:ascii="Times New Roman" w:hAnsi="Times New Roman"/>
                <w:sz w:val="24"/>
              </w:rPr>
              <w:t>010</w:t>
            </w:r>
          </w:p>
        </w:tc>
        <w:tc>
          <w:tcPr>
            <w:tcW w:w="8131" w:type="dxa"/>
          </w:tcPr>
          <w:p w14:paraId="10E57B59" w14:textId="77777777" w:rsidR="00235D9D" w:rsidRPr="00D85C65" w:rsidRDefault="00154859">
            <w:pPr>
              <w:rPr>
                <w:rFonts w:ascii="Times New Roman" w:hAnsi="Times New Roman"/>
                <w:b/>
                <w:bCs/>
                <w:sz w:val="24"/>
                <w:u w:val="single"/>
              </w:rPr>
            </w:pPr>
            <w:r w:rsidRPr="00D85C65">
              <w:rPr>
                <w:rFonts w:ascii="Times New Roman" w:hAnsi="Times New Roman"/>
                <w:b/>
                <w:bCs/>
                <w:sz w:val="24"/>
                <w:u w:val="single"/>
              </w:rPr>
              <w:t>Hodnota</w:t>
            </w:r>
          </w:p>
          <w:p w14:paraId="4EB9CF49" w14:textId="229C4BD0" w:rsidR="00235D9D" w:rsidRPr="00D85C65" w:rsidRDefault="006E3440">
            <w:pPr>
              <w:rPr>
                <w:rFonts w:ascii="Times New Roman" w:hAnsi="Times New Roman"/>
                <w:b/>
                <w:sz w:val="24"/>
                <w:u w:val="single"/>
              </w:rPr>
            </w:pPr>
            <w:r w:rsidRPr="00D85C65">
              <w:rPr>
                <w:rFonts w:ascii="Times New Roman" w:hAnsi="Times New Roman"/>
                <w:bCs/>
                <w:sz w:val="24"/>
              </w:rPr>
              <w:t>Hodnota príslušných expozícií voči kreditnému riziku</w:t>
            </w:r>
            <w:r w:rsidR="00D85C65">
              <w:rPr>
                <w:rFonts w:ascii="Times New Roman" w:hAnsi="Times New Roman"/>
                <w:bCs/>
                <w:sz w:val="24"/>
              </w:rPr>
              <w:t xml:space="preserve"> a </w:t>
            </w:r>
            <w:r w:rsidRPr="00D85C65">
              <w:rPr>
                <w:rFonts w:ascii="Times New Roman" w:hAnsi="Times New Roman"/>
                <w:bCs/>
                <w:sz w:val="24"/>
              </w:rPr>
              <w:t>súvisiacich požiadaviek na vlastné zdroje určená</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pokynmi pre jednotlivé riadky.</w:t>
            </w:r>
          </w:p>
        </w:tc>
      </w:tr>
      <w:tr w:rsidR="00235D9D" w:rsidRPr="00D85C65" w14:paraId="268C7893" w14:textId="77777777" w:rsidTr="00672D2A">
        <w:tc>
          <w:tcPr>
            <w:tcW w:w="1697" w:type="dxa"/>
          </w:tcPr>
          <w:p w14:paraId="6B0C9199" w14:textId="77777777" w:rsidR="00235D9D" w:rsidRPr="00D85C65" w:rsidRDefault="00154859">
            <w:pPr>
              <w:rPr>
                <w:sz w:val="24"/>
              </w:rPr>
            </w:pPr>
            <w:r w:rsidRPr="00D85C65">
              <w:rPr>
                <w:rFonts w:ascii="Times New Roman" w:hAnsi="Times New Roman"/>
                <w:sz w:val="24"/>
              </w:rPr>
              <w:t>020</w:t>
            </w:r>
          </w:p>
        </w:tc>
        <w:tc>
          <w:tcPr>
            <w:tcW w:w="8131" w:type="dxa"/>
          </w:tcPr>
          <w:p w14:paraId="5C3A8C79" w14:textId="77777777" w:rsidR="00235D9D" w:rsidRPr="00D85C65" w:rsidRDefault="00154859">
            <w:pPr>
              <w:rPr>
                <w:rFonts w:ascii="Times New Roman" w:hAnsi="Times New Roman"/>
                <w:b/>
                <w:bCs/>
                <w:sz w:val="24"/>
                <w:u w:val="single"/>
              </w:rPr>
            </w:pPr>
            <w:r w:rsidRPr="00D85C65">
              <w:rPr>
                <w:rFonts w:ascii="Times New Roman" w:hAnsi="Times New Roman"/>
                <w:b/>
                <w:bCs/>
                <w:sz w:val="24"/>
                <w:u w:val="single"/>
              </w:rPr>
              <w:t>Percentuálny podiel</w:t>
            </w:r>
          </w:p>
          <w:p w14:paraId="4D2BDB64" w14:textId="77777777" w:rsidR="00235D9D" w:rsidRPr="00D85C65" w:rsidRDefault="00235D9D">
            <w:pPr>
              <w:rPr>
                <w:rFonts w:ascii="Times New Roman" w:hAnsi="Times New Roman"/>
                <w:b/>
                <w:bCs/>
                <w:sz w:val="24"/>
                <w:u w:val="single"/>
              </w:rPr>
            </w:pPr>
          </w:p>
        </w:tc>
      </w:tr>
      <w:tr w:rsidR="00235D9D" w:rsidRPr="00D85C65" w14:paraId="1550E296" w14:textId="77777777" w:rsidTr="00672D2A">
        <w:tc>
          <w:tcPr>
            <w:tcW w:w="1697" w:type="dxa"/>
          </w:tcPr>
          <w:p w14:paraId="75FA72CB" w14:textId="77777777" w:rsidR="00235D9D" w:rsidRPr="00D85C65" w:rsidRDefault="00154859">
            <w:pPr>
              <w:rPr>
                <w:rFonts w:ascii="Times New Roman" w:hAnsi="Times New Roman"/>
                <w:sz w:val="24"/>
              </w:rPr>
            </w:pPr>
            <w:r w:rsidRPr="00D85C65">
              <w:rPr>
                <w:rFonts w:ascii="Times New Roman" w:hAnsi="Times New Roman"/>
                <w:sz w:val="24"/>
              </w:rPr>
              <w:t>030</w:t>
            </w:r>
          </w:p>
        </w:tc>
        <w:tc>
          <w:tcPr>
            <w:tcW w:w="8131" w:type="dxa"/>
          </w:tcPr>
          <w:p w14:paraId="2412DC52" w14:textId="77777777" w:rsidR="00235D9D" w:rsidRPr="00D85C65" w:rsidRDefault="00187348">
            <w:pPr>
              <w:autoSpaceDE w:val="0"/>
              <w:autoSpaceDN w:val="0"/>
              <w:adjustRightInd w:val="0"/>
              <w:rPr>
                <w:rFonts w:ascii="Times New Roman" w:hAnsi="Times New Roman"/>
                <w:b/>
                <w:bCs/>
                <w:sz w:val="24"/>
                <w:u w:val="single"/>
              </w:rPr>
            </w:pPr>
            <w:r w:rsidRPr="00D85C65">
              <w:rPr>
                <w:rFonts w:ascii="Times New Roman" w:hAnsi="Times New Roman"/>
                <w:b/>
                <w:bCs/>
                <w:sz w:val="24"/>
                <w:u w:val="single"/>
              </w:rPr>
              <w:t>Kvalitatívne informácie</w:t>
            </w:r>
          </w:p>
          <w:p w14:paraId="31411C04" w14:textId="06B05362" w:rsidR="00D85C65" w:rsidRDefault="00CA270D">
            <w:pPr>
              <w:autoSpaceDE w:val="0"/>
              <w:autoSpaceDN w:val="0"/>
              <w:adjustRightInd w:val="0"/>
              <w:rPr>
                <w:rFonts w:ascii="Times New Roman" w:hAnsi="Times New Roman"/>
                <w:sz w:val="24"/>
              </w:rPr>
            </w:pPr>
            <w:r w:rsidRPr="00D85C65">
              <w:rPr>
                <w:rFonts w:ascii="Times New Roman" w:hAnsi="Times New Roman"/>
                <w:sz w:val="24"/>
              </w:rPr>
              <w:t>Tieto informácie sa vykazujú iba pre krajinu sídla inštitúcie (jurisdikcia zodpovedajúca jej domovskému členskému štátu)</w:t>
            </w:r>
            <w:r w:rsidR="00D85C65">
              <w:rPr>
                <w:rFonts w:ascii="Times New Roman" w:hAnsi="Times New Roman"/>
                <w:sz w:val="24"/>
              </w:rPr>
              <w:t xml:space="preserve"> a </w:t>
            </w:r>
            <w:r w:rsidRPr="00D85C65">
              <w:rPr>
                <w:rFonts w:ascii="Times New Roman" w:hAnsi="Times New Roman"/>
                <w:sz w:val="24"/>
              </w:rPr>
              <w:t>pre riadok „spolu“, ktorý odkazuje na súčet všetkých krajín</w:t>
            </w:r>
            <w:r w:rsidR="00D85C65">
              <w:rPr>
                <w:rFonts w:ascii="Times New Roman" w:hAnsi="Times New Roman"/>
                <w:sz w:val="24"/>
              </w:rPr>
              <w:t>.</w:t>
            </w:r>
          </w:p>
          <w:p w14:paraId="0D411860" w14:textId="3FCCB6B9" w:rsidR="00235D9D" w:rsidRPr="00D85C65" w:rsidRDefault="00514783">
            <w:pPr>
              <w:autoSpaceDE w:val="0"/>
              <w:autoSpaceDN w:val="0"/>
              <w:adjustRightInd w:val="0"/>
              <w:rPr>
                <w:rFonts w:ascii="Times New Roman" w:hAnsi="Times New Roman"/>
                <w:b/>
                <w:bCs/>
                <w:sz w:val="24"/>
                <w:u w:val="single"/>
              </w:rPr>
            </w:pPr>
            <w:r w:rsidRPr="00D85C65">
              <w:rPr>
                <w:rFonts w:ascii="Times New Roman" w:hAnsi="Times New Roman"/>
                <w:sz w:val="24"/>
              </w:rPr>
              <w:t>Inštitúcie vykážu buď {á} alebo {n}</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pokynmi pre príslušný riadok.</w:t>
            </w:r>
          </w:p>
        </w:tc>
      </w:tr>
    </w:tbl>
    <w:p w14:paraId="5B115871" w14:textId="77777777" w:rsidR="00235D9D" w:rsidRPr="00D85C65" w:rsidRDefault="00235D9D">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235D9D" w:rsidRPr="00D85C65" w14:paraId="221B0333" w14:textId="77777777" w:rsidTr="00672D2A">
        <w:tc>
          <w:tcPr>
            <w:tcW w:w="1697" w:type="dxa"/>
            <w:shd w:val="clear" w:color="auto" w:fill="CCCCCC"/>
          </w:tcPr>
          <w:p w14:paraId="437ACE57" w14:textId="77777777" w:rsidR="00235D9D" w:rsidRPr="00D85C65" w:rsidRDefault="00BD5485">
            <w:pPr>
              <w:rPr>
                <w:rFonts w:ascii="Times New Roman" w:hAnsi="Times New Roman"/>
                <w:b/>
                <w:sz w:val="24"/>
              </w:rPr>
            </w:pPr>
            <w:r w:rsidRPr="00D85C65">
              <w:rPr>
                <w:rFonts w:ascii="Times New Roman" w:hAnsi="Times New Roman"/>
                <w:b/>
                <w:sz w:val="24"/>
              </w:rPr>
              <w:t>Riadky</w:t>
            </w:r>
          </w:p>
        </w:tc>
        <w:tc>
          <w:tcPr>
            <w:tcW w:w="8131" w:type="dxa"/>
            <w:shd w:val="clear" w:color="auto" w:fill="CCCCCC"/>
          </w:tcPr>
          <w:p w14:paraId="594AB552" w14:textId="77777777" w:rsidR="00235D9D" w:rsidRPr="00D85C65" w:rsidRDefault="00235D9D">
            <w:pPr>
              <w:ind w:left="72"/>
              <w:rPr>
                <w:rFonts w:ascii="Times New Roman" w:hAnsi="Times New Roman"/>
                <w:sz w:val="24"/>
              </w:rPr>
            </w:pPr>
          </w:p>
        </w:tc>
      </w:tr>
      <w:tr w:rsidR="00235D9D" w:rsidRPr="00D85C65" w14:paraId="573D073A" w14:textId="77777777" w:rsidTr="00672D2A">
        <w:tc>
          <w:tcPr>
            <w:tcW w:w="1697" w:type="dxa"/>
          </w:tcPr>
          <w:p w14:paraId="01569166" w14:textId="77777777" w:rsidR="00235D9D" w:rsidRPr="00D85C65" w:rsidRDefault="00BD5485">
            <w:pPr>
              <w:rPr>
                <w:rStyle w:val="InstructionsTabelleText"/>
                <w:rFonts w:ascii="Times New Roman" w:hAnsi="Times New Roman"/>
                <w:sz w:val="24"/>
              </w:rPr>
            </w:pPr>
            <w:r w:rsidRPr="00D85C65">
              <w:rPr>
                <w:rFonts w:ascii="Times New Roman" w:hAnsi="Times New Roman"/>
                <w:sz w:val="24"/>
              </w:rPr>
              <w:t>010 – 020</w:t>
            </w:r>
          </w:p>
        </w:tc>
        <w:tc>
          <w:tcPr>
            <w:tcW w:w="8131" w:type="dxa"/>
          </w:tcPr>
          <w:p w14:paraId="7114AFAC" w14:textId="77777777" w:rsidR="00235D9D" w:rsidRPr="00D85C65" w:rsidRDefault="00BD5485">
            <w:pPr>
              <w:rPr>
                <w:rFonts w:ascii="Times New Roman" w:hAnsi="Times New Roman"/>
                <w:b/>
                <w:bCs/>
                <w:sz w:val="24"/>
                <w:u w:val="single"/>
              </w:rPr>
            </w:pPr>
            <w:r w:rsidRPr="00D85C65">
              <w:rPr>
                <w:rFonts w:ascii="Times New Roman" w:hAnsi="Times New Roman"/>
                <w:b/>
                <w:bCs/>
                <w:sz w:val="24"/>
                <w:u w:val="single"/>
              </w:rPr>
              <w:t>Príslušné expozície voči kreditnému riziku – Úverové riziko</w:t>
            </w:r>
          </w:p>
          <w:p w14:paraId="41A44D7A" w14:textId="01413BD9" w:rsidR="00235D9D" w:rsidRPr="00D85C65" w:rsidRDefault="00BD5485">
            <w:pPr>
              <w:rPr>
                <w:rFonts w:ascii="Times New Roman" w:hAnsi="Times New Roman"/>
                <w:b/>
                <w:sz w:val="24"/>
                <w:u w:val="single"/>
              </w:rPr>
            </w:pPr>
            <w:r w:rsidRPr="00D85C65">
              <w:rPr>
                <w:rFonts w:ascii="Times New Roman" w:hAnsi="Times New Roman"/>
                <w:sz w:val="24"/>
              </w:rPr>
              <w:t>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a) CRD.</w:t>
            </w:r>
          </w:p>
        </w:tc>
      </w:tr>
      <w:tr w:rsidR="00235D9D" w:rsidRPr="00D85C65" w14:paraId="25827097" w14:textId="77777777" w:rsidTr="00672D2A">
        <w:tc>
          <w:tcPr>
            <w:tcW w:w="1697" w:type="dxa"/>
          </w:tcPr>
          <w:p w14:paraId="5B4B27F7" w14:textId="77777777" w:rsidR="00235D9D" w:rsidRPr="00D85C65" w:rsidRDefault="00BD5485">
            <w:pPr>
              <w:rPr>
                <w:sz w:val="24"/>
              </w:rPr>
            </w:pPr>
            <w:r w:rsidRPr="00D85C65">
              <w:rPr>
                <w:rFonts w:ascii="Times New Roman" w:hAnsi="Times New Roman"/>
                <w:sz w:val="24"/>
              </w:rPr>
              <w:t>010</w:t>
            </w:r>
          </w:p>
        </w:tc>
        <w:tc>
          <w:tcPr>
            <w:tcW w:w="8131" w:type="dxa"/>
          </w:tcPr>
          <w:p w14:paraId="6D491E25" w14:textId="5A57567A" w:rsidR="00235D9D" w:rsidRPr="00D85C65" w:rsidRDefault="00BD5485">
            <w:pPr>
              <w:rPr>
                <w:rFonts w:ascii="Times New Roman" w:hAnsi="Times New Roman"/>
                <w:b/>
                <w:bCs/>
                <w:sz w:val="24"/>
                <w:u w:val="single"/>
              </w:rPr>
            </w:pPr>
            <w:r w:rsidRPr="00D85C65">
              <w:rPr>
                <w:rFonts w:ascii="Times New Roman" w:hAnsi="Times New Roman"/>
                <w:b/>
                <w:bCs/>
                <w:sz w:val="24"/>
                <w:u w:val="single"/>
              </w:rPr>
              <w:t>Hodnota expozície</w:t>
            </w:r>
            <w:r w:rsidR="00D85C65">
              <w:rPr>
                <w:rFonts w:ascii="Times New Roman" w:hAnsi="Times New Roman"/>
                <w:b/>
                <w:bCs/>
                <w:sz w:val="24"/>
                <w:u w:val="single"/>
              </w:rPr>
              <w:t xml:space="preserve"> v </w:t>
            </w:r>
            <w:r w:rsidRPr="00D85C65">
              <w:rPr>
                <w:rFonts w:ascii="Times New Roman" w:hAnsi="Times New Roman"/>
                <w:b/>
                <w:bCs/>
                <w:sz w:val="24"/>
                <w:u w:val="single"/>
              </w:rPr>
              <w:t>rámci štandardizovaného prístupu</w:t>
            </w:r>
          </w:p>
          <w:p w14:paraId="10731670" w14:textId="0599866A" w:rsidR="00D85C65" w:rsidRDefault="00BD5485">
            <w:pPr>
              <w:autoSpaceDE w:val="0"/>
              <w:autoSpaceDN w:val="0"/>
              <w:adjustRightInd w:val="0"/>
              <w:rPr>
                <w:rFonts w:ascii="Times New Roman" w:hAnsi="Times New Roman"/>
                <w:sz w:val="24"/>
              </w:rPr>
            </w:pPr>
            <w:r w:rsidRPr="00D85C65">
              <w:rPr>
                <w:rFonts w:ascii="Times New Roman" w:hAnsi="Times New Roman"/>
                <w:sz w:val="24"/>
              </w:rPr>
              <w:t>Hodnota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111 CRR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a) CRD</w:t>
            </w:r>
            <w:r w:rsidR="00D85C65">
              <w:rPr>
                <w:rFonts w:ascii="Times New Roman" w:hAnsi="Times New Roman"/>
                <w:sz w:val="24"/>
              </w:rPr>
              <w:t>.</w:t>
            </w:r>
          </w:p>
          <w:p w14:paraId="5DA5322A" w14:textId="617AFB45" w:rsidR="00235D9D" w:rsidRPr="00D85C65" w:rsidRDefault="00BD5485">
            <w:pPr>
              <w:autoSpaceDE w:val="0"/>
              <w:autoSpaceDN w:val="0"/>
              <w:adjustRightInd w:val="0"/>
              <w:rPr>
                <w:rFonts w:ascii="Times New Roman" w:hAnsi="Times New Roman"/>
                <w:b/>
                <w:bCs/>
                <w:sz w:val="24"/>
                <w:u w:val="single"/>
              </w:rPr>
            </w:pPr>
            <w:r w:rsidRPr="00D85C65">
              <w:rPr>
                <w:rFonts w:ascii="Times New Roman" w:hAnsi="Times New Roman"/>
                <w:sz w:val="24"/>
              </w:rPr>
              <w:t>Hodnota expozície pre sekuritizačné pozície</w:t>
            </w:r>
            <w:r w:rsidR="00D85C65">
              <w:rPr>
                <w:rFonts w:ascii="Times New Roman" w:hAnsi="Times New Roman"/>
                <w:sz w:val="24"/>
              </w:rPr>
              <w:t xml:space="preserve"> v </w:t>
            </w:r>
            <w:r w:rsidRPr="00D85C65">
              <w:rPr>
                <w:rFonts w:ascii="Times New Roman" w:hAnsi="Times New Roman"/>
                <w:sz w:val="24"/>
              </w:rPr>
              <w:t>bankovej knihe sa vylučuje</w:t>
            </w:r>
            <w:r w:rsidR="00D85C65">
              <w:rPr>
                <w:rFonts w:ascii="Times New Roman" w:hAnsi="Times New Roman"/>
                <w:sz w:val="24"/>
              </w:rPr>
              <w:t xml:space="preserve"> z </w:t>
            </w:r>
            <w:r w:rsidRPr="00D85C65">
              <w:rPr>
                <w:rFonts w:ascii="Times New Roman" w:hAnsi="Times New Roman"/>
                <w:sz w:val="24"/>
              </w:rPr>
              <w:t>tohto riadku</w:t>
            </w:r>
            <w:r w:rsidR="00D85C65">
              <w:rPr>
                <w:rFonts w:ascii="Times New Roman" w:hAnsi="Times New Roman"/>
                <w:sz w:val="24"/>
              </w:rPr>
              <w:t xml:space="preserve"> a </w:t>
            </w:r>
            <w:r w:rsidRPr="00D85C65">
              <w:rPr>
                <w:rFonts w:ascii="Times New Roman" w:hAnsi="Times New Roman"/>
                <w:sz w:val="24"/>
              </w:rPr>
              <w:t>vykazuje sa</w:t>
            </w:r>
            <w:r w:rsidR="00D85C65">
              <w:rPr>
                <w:rFonts w:ascii="Times New Roman" w:hAnsi="Times New Roman"/>
                <w:sz w:val="24"/>
              </w:rPr>
              <w:t xml:space="preserve"> v </w:t>
            </w:r>
            <w:r w:rsidRPr="00D85C65">
              <w:rPr>
                <w:rFonts w:ascii="Times New Roman" w:hAnsi="Times New Roman"/>
                <w:sz w:val="24"/>
              </w:rPr>
              <w:t>riadku 055.</w:t>
            </w:r>
          </w:p>
        </w:tc>
      </w:tr>
      <w:tr w:rsidR="00235D9D" w:rsidRPr="00D85C65" w14:paraId="4FA25E7A" w14:textId="77777777" w:rsidTr="00672D2A">
        <w:tc>
          <w:tcPr>
            <w:tcW w:w="1697" w:type="dxa"/>
          </w:tcPr>
          <w:p w14:paraId="182629F3" w14:textId="77777777" w:rsidR="00235D9D" w:rsidRPr="00D85C65" w:rsidRDefault="00BD5485">
            <w:pPr>
              <w:rPr>
                <w:rFonts w:ascii="Times New Roman" w:hAnsi="Times New Roman"/>
                <w:sz w:val="24"/>
              </w:rPr>
            </w:pPr>
            <w:r w:rsidRPr="00D85C65">
              <w:rPr>
                <w:rFonts w:ascii="Times New Roman" w:hAnsi="Times New Roman"/>
                <w:sz w:val="24"/>
              </w:rPr>
              <w:t>020</w:t>
            </w:r>
          </w:p>
        </w:tc>
        <w:tc>
          <w:tcPr>
            <w:tcW w:w="8131" w:type="dxa"/>
          </w:tcPr>
          <w:p w14:paraId="0B2401A2" w14:textId="7D9FD418" w:rsidR="00235D9D" w:rsidRPr="00D85C65" w:rsidRDefault="00BD5485">
            <w:pPr>
              <w:rPr>
                <w:rFonts w:ascii="Times New Roman" w:hAnsi="Times New Roman"/>
                <w:b/>
                <w:bCs/>
                <w:sz w:val="24"/>
                <w:u w:val="single"/>
              </w:rPr>
            </w:pPr>
            <w:r w:rsidRPr="00D85C65">
              <w:rPr>
                <w:rFonts w:ascii="Times New Roman" w:hAnsi="Times New Roman"/>
                <w:b/>
                <w:bCs/>
                <w:sz w:val="24"/>
                <w:u w:val="single"/>
              </w:rPr>
              <w:t>Hodnota expozície</w:t>
            </w:r>
            <w:r w:rsidR="00D85C65">
              <w:rPr>
                <w:rFonts w:ascii="Times New Roman" w:hAnsi="Times New Roman"/>
                <w:b/>
                <w:bCs/>
                <w:sz w:val="24"/>
                <w:u w:val="single"/>
              </w:rPr>
              <w:t xml:space="preserve"> v </w:t>
            </w:r>
            <w:r w:rsidRPr="00D85C65">
              <w:rPr>
                <w:rFonts w:ascii="Times New Roman" w:hAnsi="Times New Roman"/>
                <w:b/>
                <w:bCs/>
                <w:sz w:val="24"/>
                <w:u w:val="single"/>
              </w:rPr>
              <w:t>rámci prístupu IRB</w:t>
            </w:r>
          </w:p>
          <w:p w14:paraId="2411593C" w14:textId="4E44D565" w:rsidR="00D85C65" w:rsidRDefault="00BD5485">
            <w:pPr>
              <w:autoSpaceDE w:val="0"/>
              <w:autoSpaceDN w:val="0"/>
              <w:adjustRightInd w:val="0"/>
              <w:rPr>
                <w:rFonts w:ascii="Times New Roman" w:hAnsi="Times New Roman"/>
                <w:sz w:val="24"/>
              </w:rPr>
            </w:pPr>
            <w:r w:rsidRPr="00D85C65">
              <w:rPr>
                <w:rFonts w:ascii="Times New Roman" w:hAnsi="Times New Roman"/>
                <w:sz w:val="24"/>
              </w:rPr>
              <w:t>Hodnota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166 CRR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a) CRD</w:t>
            </w:r>
            <w:r w:rsidR="00D85C65">
              <w:rPr>
                <w:rFonts w:ascii="Times New Roman" w:hAnsi="Times New Roman"/>
                <w:sz w:val="24"/>
              </w:rPr>
              <w:t>.</w:t>
            </w:r>
          </w:p>
          <w:p w14:paraId="0801FF0E" w14:textId="7F7FE318" w:rsidR="00235D9D" w:rsidRPr="00D85C65" w:rsidRDefault="00BD5485">
            <w:pPr>
              <w:rPr>
                <w:rFonts w:ascii="Times New Roman" w:hAnsi="Times New Roman"/>
                <w:b/>
                <w:bCs/>
                <w:sz w:val="24"/>
                <w:u w:val="single"/>
              </w:rPr>
            </w:pPr>
            <w:r w:rsidRPr="00D85C65">
              <w:rPr>
                <w:rFonts w:ascii="Times New Roman" w:hAnsi="Times New Roman"/>
                <w:sz w:val="24"/>
              </w:rPr>
              <w:t>Hodnota expozície pre sekuritizačné pozície</w:t>
            </w:r>
            <w:r w:rsidR="00D85C65">
              <w:rPr>
                <w:rFonts w:ascii="Times New Roman" w:hAnsi="Times New Roman"/>
                <w:sz w:val="24"/>
              </w:rPr>
              <w:t xml:space="preserve"> v </w:t>
            </w:r>
            <w:r w:rsidRPr="00D85C65">
              <w:rPr>
                <w:rFonts w:ascii="Times New Roman" w:hAnsi="Times New Roman"/>
                <w:sz w:val="24"/>
              </w:rPr>
              <w:t>bankovej knihe sa vylučuje</w:t>
            </w:r>
            <w:r w:rsidR="00D85C65">
              <w:rPr>
                <w:rFonts w:ascii="Times New Roman" w:hAnsi="Times New Roman"/>
                <w:sz w:val="24"/>
              </w:rPr>
              <w:t xml:space="preserve"> z </w:t>
            </w:r>
            <w:r w:rsidRPr="00D85C65">
              <w:rPr>
                <w:rFonts w:ascii="Times New Roman" w:hAnsi="Times New Roman"/>
                <w:sz w:val="24"/>
              </w:rPr>
              <w:t>tohto riadku</w:t>
            </w:r>
            <w:r w:rsidR="00D85C65">
              <w:rPr>
                <w:rFonts w:ascii="Times New Roman" w:hAnsi="Times New Roman"/>
                <w:sz w:val="24"/>
              </w:rPr>
              <w:t xml:space="preserve"> a </w:t>
            </w:r>
            <w:r w:rsidRPr="00D85C65">
              <w:rPr>
                <w:rFonts w:ascii="Times New Roman" w:hAnsi="Times New Roman"/>
                <w:sz w:val="24"/>
              </w:rPr>
              <w:t>vykazuje sa</w:t>
            </w:r>
            <w:r w:rsidR="00D85C65">
              <w:rPr>
                <w:rFonts w:ascii="Times New Roman" w:hAnsi="Times New Roman"/>
                <w:sz w:val="24"/>
              </w:rPr>
              <w:t xml:space="preserve"> v </w:t>
            </w:r>
            <w:r w:rsidRPr="00D85C65">
              <w:rPr>
                <w:rFonts w:ascii="Times New Roman" w:hAnsi="Times New Roman"/>
                <w:sz w:val="24"/>
              </w:rPr>
              <w:t>riadku 055.</w:t>
            </w:r>
          </w:p>
        </w:tc>
      </w:tr>
      <w:tr w:rsidR="00235D9D" w:rsidRPr="00D85C65" w14:paraId="51948321" w14:textId="77777777" w:rsidTr="00672D2A">
        <w:tc>
          <w:tcPr>
            <w:tcW w:w="1697" w:type="dxa"/>
          </w:tcPr>
          <w:p w14:paraId="230F5679" w14:textId="77777777" w:rsidR="00235D9D" w:rsidRPr="00D85C65" w:rsidRDefault="00BD5485">
            <w:pPr>
              <w:rPr>
                <w:rFonts w:ascii="Times New Roman" w:hAnsi="Times New Roman"/>
                <w:sz w:val="24"/>
              </w:rPr>
            </w:pPr>
            <w:r w:rsidRPr="00D85C65">
              <w:rPr>
                <w:rFonts w:ascii="Times New Roman" w:hAnsi="Times New Roman"/>
                <w:sz w:val="24"/>
              </w:rPr>
              <w:t>030 – 040</w:t>
            </w:r>
          </w:p>
        </w:tc>
        <w:tc>
          <w:tcPr>
            <w:tcW w:w="8131" w:type="dxa"/>
          </w:tcPr>
          <w:p w14:paraId="1E7525DE" w14:textId="77777777" w:rsidR="00235D9D" w:rsidRPr="00D85C65" w:rsidRDefault="00BD5485">
            <w:pPr>
              <w:rPr>
                <w:rFonts w:ascii="Times New Roman" w:hAnsi="Times New Roman"/>
                <w:b/>
                <w:bCs/>
                <w:sz w:val="24"/>
                <w:u w:val="single"/>
              </w:rPr>
            </w:pPr>
            <w:r w:rsidRPr="00D85C65">
              <w:rPr>
                <w:rFonts w:ascii="Times New Roman" w:hAnsi="Times New Roman"/>
                <w:b/>
                <w:bCs/>
                <w:sz w:val="24"/>
                <w:u w:val="single"/>
              </w:rPr>
              <w:t>Príslušné expozície voči kreditnému riziku – Trhové riziko</w:t>
            </w:r>
          </w:p>
          <w:p w14:paraId="0F3A7B2F" w14:textId="694D48E0" w:rsidR="00235D9D" w:rsidRPr="00D85C65" w:rsidRDefault="00BD5485">
            <w:pPr>
              <w:rPr>
                <w:rFonts w:ascii="Times New Roman" w:hAnsi="Times New Roman"/>
                <w:b/>
                <w:bCs/>
                <w:sz w:val="24"/>
                <w:u w:val="single"/>
              </w:rPr>
            </w:pPr>
            <w:r w:rsidRPr="00D85C65">
              <w:rPr>
                <w:rFonts w:ascii="Times New Roman" w:hAnsi="Times New Roman"/>
                <w:sz w:val="24"/>
              </w:rPr>
              <w:t>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b) CRD.</w:t>
            </w:r>
          </w:p>
        </w:tc>
      </w:tr>
      <w:tr w:rsidR="00235D9D" w:rsidRPr="00D85C65" w14:paraId="79FC1A80" w14:textId="77777777" w:rsidTr="00672D2A">
        <w:tc>
          <w:tcPr>
            <w:tcW w:w="1697" w:type="dxa"/>
          </w:tcPr>
          <w:p w14:paraId="497766A6" w14:textId="77777777" w:rsidR="00235D9D" w:rsidRPr="00D85C65" w:rsidRDefault="00BD5485">
            <w:pPr>
              <w:rPr>
                <w:rFonts w:ascii="Times New Roman" w:hAnsi="Times New Roman"/>
                <w:sz w:val="24"/>
              </w:rPr>
            </w:pPr>
            <w:r w:rsidRPr="00D85C65">
              <w:rPr>
                <w:rFonts w:ascii="Times New Roman" w:hAnsi="Times New Roman"/>
                <w:sz w:val="24"/>
              </w:rPr>
              <w:t>030</w:t>
            </w:r>
          </w:p>
        </w:tc>
        <w:tc>
          <w:tcPr>
            <w:tcW w:w="8131" w:type="dxa"/>
          </w:tcPr>
          <w:p w14:paraId="04A9CA19" w14:textId="48D34D8C" w:rsidR="00235D9D" w:rsidRPr="00D85C65" w:rsidRDefault="00BD5485">
            <w:pPr>
              <w:rPr>
                <w:rFonts w:ascii="Times New Roman" w:hAnsi="Times New Roman"/>
                <w:b/>
                <w:bCs/>
                <w:sz w:val="24"/>
                <w:u w:val="single"/>
              </w:rPr>
            </w:pPr>
            <w:r w:rsidRPr="00D85C65">
              <w:rPr>
                <w:rFonts w:ascii="Times New Roman" w:hAnsi="Times New Roman"/>
                <w:b/>
                <w:bCs/>
                <w:sz w:val="24"/>
                <w:u w:val="single"/>
              </w:rPr>
              <w:t>Súčet dlhých</w:t>
            </w:r>
            <w:r w:rsidR="00D85C65">
              <w:rPr>
                <w:rFonts w:ascii="Times New Roman" w:hAnsi="Times New Roman"/>
                <w:b/>
                <w:bCs/>
                <w:sz w:val="24"/>
                <w:u w:val="single"/>
              </w:rPr>
              <w:t xml:space="preserve"> a </w:t>
            </w:r>
            <w:r w:rsidRPr="00D85C65">
              <w:rPr>
                <w:rFonts w:ascii="Times New Roman" w:hAnsi="Times New Roman"/>
                <w:b/>
                <w:bCs/>
                <w:sz w:val="24"/>
                <w:u w:val="single"/>
              </w:rPr>
              <w:t>krátkych pozícií expozícií</w:t>
            </w:r>
            <w:r w:rsidR="00D85C65">
              <w:rPr>
                <w:rFonts w:ascii="Times New Roman" w:hAnsi="Times New Roman"/>
                <w:b/>
                <w:bCs/>
                <w:sz w:val="24"/>
                <w:u w:val="single"/>
              </w:rPr>
              <w:t xml:space="preserve"> v </w:t>
            </w:r>
            <w:r w:rsidRPr="00D85C65">
              <w:rPr>
                <w:rFonts w:ascii="Times New Roman" w:hAnsi="Times New Roman"/>
                <w:b/>
                <w:bCs/>
                <w:sz w:val="24"/>
                <w:u w:val="single"/>
              </w:rPr>
              <w:t>obchodnej knihe pre štandardizovaný prístup</w:t>
            </w:r>
          </w:p>
          <w:p w14:paraId="1C661670" w14:textId="1F701DC2" w:rsidR="00D85C65" w:rsidRDefault="00BD5485">
            <w:pPr>
              <w:autoSpaceDE w:val="0"/>
              <w:autoSpaceDN w:val="0"/>
              <w:adjustRightInd w:val="0"/>
              <w:rPr>
                <w:rFonts w:ascii="Times New Roman" w:hAnsi="Times New Roman"/>
                <w:sz w:val="24"/>
              </w:rPr>
            </w:pPr>
            <w:r w:rsidRPr="00D85C65">
              <w:rPr>
                <w:rFonts w:ascii="Times New Roman" w:hAnsi="Times New Roman"/>
                <w:sz w:val="24"/>
              </w:rPr>
              <w:t>Súčet čistých dlhých</w:t>
            </w:r>
            <w:r w:rsidR="00D85C65">
              <w:rPr>
                <w:rFonts w:ascii="Times New Roman" w:hAnsi="Times New Roman"/>
                <w:sz w:val="24"/>
              </w:rPr>
              <w:t xml:space="preserve"> a </w:t>
            </w:r>
            <w:r w:rsidRPr="00D85C65">
              <w:rPr>
                <w:rFonts w:ascii="Times New Roman" w:hAnsi="Times New Roman"/>
                <w:sz w:val="24"/>
              </w:rPr>
              <w:t>čistých krátkych pozícií</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327 CRR</w:t>
            </w:r>
            <w:r w:rsidR="00D85C65">
              <w:rPr>
                <w:rFonts w:ascii="Times New Roman" w:hAnsi="Times New Roman"/>
                <w:sz w:val="24"/>
              </w:rPr>
              <w:t xml:space="preserve"> v </w:t>
            </w:r>
            <w:r w:rsidRPr="00D85C65">
              <w:rPr>
                <w:rFonts w:ascii="Times New Roman" w:hAnsi="Times New Roman"/>
                <w:sz w:val="24"/>
              </w:rPr>
              <w:t>súvislosti</w:t>
            </w:r>
            <w:r w:rsidR="00D85C65">
              <w:rPr>
                <w:rFonts w:ascii="Times New Roman" w:hAnsi="Times New Roman"/>
                <w:sz w:val="24"/>
              </w:rPr>
              <w:t xml:space="preserve"> s </w:t>
            </w:r>
            <w:r w:rsidRPr="00D85C65">
              <w:rPr>
                <w:rFonts w:ascii="Times New Roman" w:hAnsi="Times New Roman"/>
                <w:sz w:val="24"/>
              </w:rPr>
              <w:t>expozíciami voči kreditnému riziku uvedenými</w:t>
            </w:r>
            <w:r w:rsidR="00D85C65">
              <w:rPr>
                <w:rFonts w:ascii="Times New Roman" w:hAnsi="Times New Roman"/>
                <w:sz w:val="24"/>
              </w:rPr>
              <w:t xml:space="preserve"> v </w:t>
            </w:r>
            <w:r w:rsidRPr="00D85C65">
              <w:rPr>
                <w:rFonts w:ascii="Times New Roman" w:hAnsi="Times New Roman"/>
                <w:sz w:val="24"/>
              </w:rPr>
              <w:t>článku 140 ods. 4 písm. b) CRD, na ktoré sa vzťahujú požiadavky na vlastné zdroje podľa tretej časti hlavy IV kapitoly 2 CRR</w:t>
            </w:r>
            <w:r w:rsidR="00D85C65">
              <w:rPr>
                <w:rFonts w:ascii="Times New Roman" w:hAnsi="Times New Roman"/>
                <w:sz w:val="24"/>
              </w:rPr>
              <w:t>:</w:t>
            </w:r>
          </w:p>
          <w:p w14:paraId="17A7C416" w14:textId="63E67D69" w:rsidR="00235D9D" w:rsidRPr="00D85C65" w:rsidRDefault="00125707">
            <w:pPr>
              <w:autoSpaceDE w:val="0"/>
              <w:autoSpaceDN w:val="0"/>
              <w:adjustRightInd w:val="0"/>
              <w:ind w:left="357" w:hanging="357"/>
              <w:contextualSpacing/>
              <w:rPr>
                <w:rFonts w:ascii="Times New Roman" w:hAnsi="Times New Roman"/>
                <w:sz w:val="24"/>
              </w:rPr>
            </w:pPr>
            <w:r w:rsidRPr="00D85C65">
              <w:rPr>
                <w:rFonts w:ascii="Times New Roman" w:hAnsi="Times New Roman"/>
                <w:sz w:val="24"/>
              </w:rPr>
              <w:t>–</w:t>
            </w:r>
            <w:r w:rsidRPr="00D85C65">
              <w:rPr>
                <w:rFonts w:ascii="Times New Roman" w:hAnsi="Times New Roman"/>
                <w:sz w:val="24"/>
              </w:rPr>
              <w:tab/>
              <w:t>expozície voči dlhovým nástrojom iným než sekuritizácii;</w:t>
            </w:r>
          </w:p>
          <w:p w14:paraId="1A1A3199" w14:textId="09950513" w:rsidR="00235D9D" w:rsidRPr="00D85C65" w:rsidRDefault="00125707">
            <w:pPr>
              <w:autoSpaceDE w:val="0"/>
              <w:autoSpaceDN w:val="0"/>
              <w:adjustRightInd w:val="0"/>
              <w:ind w:left="357" w:hanging="357"/>
              <w:contextualSpacing/>
              <w:rPr>
                <w:rFonts w:ascii="Times New Roman" w:hAnsi="Times New Roman"/>
                <w:sz w:val="24"/>
              </w:rPr>
            </w:pPr>
            <w:r w:rsidRPr="00D85C65">
              <w:rPr>
                <w:rFonts w:ascii="Times New Roman" w:hAnsi="Times New Roman"/>
                <w:sz w:val="24"/>
              </w:rPr>
              <w:t>–</w:t>
            </w:r>
            <w:r w:rsidRPr="00D85C65">
              <w:rPr>
                <w:rFonts w:ascii="Times New Roman" w:hAnsi="Times New Roman"/>
                <w:sz w:val="24"/>
              </w:rPr>
              <w:tab/>
              <w:t>expozície voči sekuritizačným pozíciám</w:t>
            </w:r>
            <w:r w:rsidR="00D85C65">
              <w:rPr>
                <w:rFonts w:ascii="Times New Roman" w:hAnsi="Times New Roman"/>
                <w:sz w:val="24"/>
              </w:rPr>
              <w:t xml:space="preserve"> v </w:t>
            </w:r>
            <w:r w:rsidRPr="00D85C65">
              <w:rPr>
                <w:rFonts w:ascii="Times New Roman" w:hAnsi="Times New Roman"/>
                <w:sz w:val="24"/>
              </w:rPr>
              <w:t>obchodnej knihe;</w:t>
            </w:r>
          </w:p>
          <w:p w14:paraId="79ED82FF" w14:textId="3468B88E" w:rsidR="00235D9D" w:rsidRPr="00D85C65" w:rsidRDefault="00125707">
            <w:pPr>
              <w:autoSpaceDE w:val="0"/>
              <w:autoSpaceDN w:val="0"/>
              <w:adjustRightInd w:val="0"/>
              <w:ind w:left="357" w:hanging="357"/>
              <w:contextualSpacing/>
              <w:rPr>
                <w:rFonts w:ascii="Times New Roman" w:hAnsi="Times New Roman"/>
                <w:sz w:val="24"/>
              </w:rPr>
            </w:pPr>
            <w:r w:rsidRPr="00D85C65">
              <w:rPr>
                <w:rFonts w:ascii="Times New Roman" w:hAnsi="Times New Roman"/>
                <w:sz w:val="24"/>
              </w:rPr>
              <w:t>–</w:t>
            </w:r>
            <w:r w:rsidRPr="00D85C65">
              <w:rPr>
                <w:rFonts w:ascii="Times New Roman" w:hAnsi="Times New Roman"/>
                <w:sz w:val="24"/>
              </w:rPr>
              <w:tab/>
              <w:t>expozície voči korelačným obchodným portfóliám;</w:t>
            </w:r>
          </w:p>
          <w:p w14:paraId="27C772FA" w14:textId="307CF54E" w:rsidR="00235D9D" w:rsidRPr="00D85C65" w:rsidRDefault="00125707">
            <w:pPr>
              <w:autoSpaceDE w:val="0"/>
              <w:autoSpaceDN w:val="0"/>
              <w:adjustRightInd w:val="0"/>
              <w:ind w:left="357" w:hanging="357"/>
              <w:contextualSpacing/>
              <w:rPr>
                <w:rFonts w:ascii="Times New Roman" w:hAnsi="Times New Roman"/>
                <w:sz w:val="24"/>
              </w:rPr>
            </w:pPr>
            <w:r w:rsidRPr="00D85C65">
              <w:rPr>
                <w:rFonts w:ascii="Times New Roman" w:hAnsi="Times New Roman"/>
                <w:sz w:val="24"/>
              </w:rPr>
              <w:t>–</w:t>
            </w:r>
            <w:r w:rsidRPr="00D85C65">
              <w:rPr>
                <w:rFonts w:ascii="Times New Roman" w:hAnsi="Times New Roman"/>
                <w:sz w:val="24"/>
              </w:rPr>
              <w:tab/>
              <w:t>expozície voči majetkovým cenným papierom;</w:t>
            </w:r>
          </w:p>
          <w:p w14:paraId="2992A621" w14:textId="071DE2AD" w:rsidR="00235D9D" w:rsidRPr="00D85C65" w:rsidRDefault="00125707">
            <w:pPr>
              <w:autoSpaceDE w:val="0"/>
              <w:autoSpaceDN w:val="0"/>
              <w:adjustRightInd w:val="0"/>
              <w:ind w:left="357" w:hanging="357"/>
              <w:contextualSpacing/>
              <w:rPr>
                <w:rFonts w:ascii="Times New Roman" w:hAnsi="Times New Roman"/>
                <w:b/>
                <w:bCs/>
                <w:sz w:val="24"/>
                <w:u w:val="single"/>
              </w:rPr>
            </w:pPr>
            <w:r w:rsidRPr="00D85C65">
              <w:rPr>
                <w:rFonts w:ascii="Times New Roman" w:hAnsi="Times New Roman"/>
                <w:bCs/>
                <w:sz w:val="24"/>
              </w:rPr>
              <w:t>–</w:t>
            </w:r>
            <w:r w:rsidRPr="00D85C65">
              <w:rPr>
                <w:rFonts w:ascii="Times New Roman" w:hAnsi="Times New Roman"/>
                <w:bCs/>
                <w:sz w:val="24"/>
              </w:rPr>
              <w:tab/>
            </w:r>
            <w:r w:rsidRPr="00D85C65">
              <w:rPr>
                <w:rFonts w:ascii="Times New Roman" w:hAnsi="Times New Roman"/>
                <w:sz w:val="24"/>
              </w:rPr>
              <w:t>expozície voči PKI, ak sa kapitálové požiadavky vypočítavajú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348 CRR.</w:t>
            </w:r>
          </w:p>
        </w:tc>
      </w:tr>
      <w:tr w:rsidR="00235D9D" w:rsidRPr="00D85C65" w14:paraId="1FED66B6" w14:textId="77777777" w:rsidTr="00672D2A">
        <w:tc>
          <w:tcPr>
            <w:tcW w:w="1697" w:type="dxa"/>
          </w:tcPr>
          <w:p w14:paraId="57918A86" w14:textId="77777777" w:rsidR="00235D9D" w:rsidRPr="00D85C65" w:rsidRDefault="00BD5485">
            <w:pPr>
              <w:rPr>
                <w:rFonts w:ascii="Times New Roman" w:hAnsi="Times New Roman"/>
                <w:sz w:val="24"/>
              </w:rPr>
            </w:pPr>
            <w:r w:rsidRPr="00D85C65">
              <w:rPr>
                <w:rFonts w:ascii="Times New Roman" w:hAnsi="Times New Roman"/>
                <w:sz w:val="24"/>
              </w:rPr>
              <w:t>040</w:t>
            </w:r>
          </w:p>
        </w:tc>
        <w:tc>
          <w:tcPr>
            <w:tcW w:w="8131" w:type="dxa"/>
          </w:tcPr>
          <w:p w14:paraId="057C116C" w14:textId="2C0CCEC3" w:rsidR="00235D9D" w:rsidRPr="00D85C65" w:rsidRDefault="00BD5485">
            <w:pPr>
              <w:rPr>
                <w:rFonts w:ascii="Times New Roman" w:hAnsi="Times New Roman"/>
                <w:b/>
                <w:bCs/>
                <w:sz w:val="24"/>
                <w:u w:val="single"/>
              </w:rPr>
            </w:pPr>
            <w:r w:rsidRPr="00D85C65">
              <w:rPr>
                <w:rFonts w:ascii="Times New Roman" w:hAnsi="Times New Roman"/>
                <w:b/>
                <w:bCs/>
                <w:sz w:val="24"/>
                <w:u w:val="single"/>
              </w:rPr>
              <w:t>Hodnota expozícií</w:t>
            </w:r>
            <w:r w:rsidR="00D85C65">
              <w:rPr>
                <w:rFonts w:ascii="Times New Roman" w:hAnsi="Times New Roman"/>
                <w:b/>
                <w:bCs/>
                <w:sz w:val="24"/>
                <w:u w:val="single"/>
              </w:rPr>
              <w:t xml:space="preserve"> v </w:t>
            </w:r>
            <w:r w:rsidRPr="00D85C65">
              <w:rPr>
                <w:rFonts w:ascii="Times New Roman" w:hAnsi="Times New Roman"/>
                <w:b/>
                <w:bCs/>
                <w:sz w:val="24"/>
                <w:u w:val="single"/>
              </w:rPr>
              <w:t>obchodnej knihe</w:t>
            </w:r>
            <w:r w:rsidR="00D85C65">
              <w:rPr>
                <w:rFonts w:ascii="Times New Roman" w:hAnsi="Times New Roman"/>
                <w:b/>
                <w:bCs/>
                <w:sz w:val="24"/>
                <w:u w:val="single"/>
              </w:rPr>
              <w:t xml:space="preserve"> v </w:t>
            </w:r>
            <w:r w:rsidRPr="00D85C65">
              <w:rPr>
                <w:rFonts w:ascii="Times New Roman" w:hAnsi="Times New Roman"/>
                <w:b/>
                <w:bCs/>
                <w:sz w:val="24"/>
                <w:u w:val="single"/>
              </w:rPr>
              <w:t>rámci prístupu interných modelov</w:t>
            </w:r>
          </w:p>
          <w:p w14:paraId="03B50E71" w14:textId="46AC5A0D" w:rsidR="00235D9D" w:rsidRPr="00D85C65" w:rsidRDefault="00BD5485">
            <w:pPr>
              <w:autoSpaceDE w:val="0"/>
              <w:autoSpaceDN w:val="0"/>
              <w:adjustRightInd w:val="0"/>
              <w:rPr>
                <w:rFonts w:ascii="Times New Roman" w:hAnsi="Times New Roman"/>
                <w:sz w:val="24"/>
              </w:rPr>
            </w:pPr>
            <w:r w:rsidRPr="00D85C65">
              <w:rPr>
                <w:rFonts w:ascii="Times New Roman" w:hAnsi="Times New Roman"/>
                <w:sz w:val="24"/>
              </w:rPr>
              <w:t>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b) CRD, na ktoré sa vzťahujú požiadavky na vlastné zdroje podľa tretej časti hlavy IV kapitol 2</w:t>
            </w:r>
            <w:r w:rsidR="00D85C65">
              <w:rPr>
                <w:rFonts w:ascii="Times New Roman" w:hAnsi="Times New Roman"/>
                <w:sz w:val="24"/>
              </w:rPr>
              <w:t xml:space="preserve"> a </w:t>
            </w:r>
            <w:r w:rsidRPr="00D85C65">
              <w:rPr>
                <w:rFonts w:ascii="Times New Roman" w:hAnsi="Times New Roman"/>
                <w:sz w:val="24"/>
              </w:rPr>
              <w:t>5 CRR, sa vykazuje súčet týchto hodnôt:</w:t>
            </w:r>
          </w:p>
          <w:p w14:paraId="53F7ACFD" w14:textId="71E8BE3B" w:rsidR="00235D9D" w:rsidRPr="00D85C65" w:rsidRDefault="00125707">
            <w:pPr>
              <w:autoSpaceDE w:val="0"/>
              <w:autoSpaceDN w:val="0"/>
              <w:adjustRightInd w:val="0"/>
              <w:ind w:left="357" w:hanging="357"/>
              <w:contextualSpacing/>
              <w:rPr>
                <w:rFonts w:ascii="Times New Roman" w:hAnsi="Times New Roman"/>
                <w:sz w:val="24"/>
              </w:rPr>
            </w:pPr>
            <w:r w:rsidRPr="00D85C65">
              <w:rPr>
                <w:rFonts w:ascii="Calibri" w:hAnsi="Calibri"/>
                <w:sz w:val="24"/>
              </w:rPr>
              <w:t>–</w:t>
            </w:r>
            <w:r w:rsidRPr="00D85C65">
              <w:rPr>
                <w:rFonts w:ascii="Calibri" w:hAnsi="Calibri"/>
                <w:sz w:val="24"/>
              </w:rPr>
              <w:tab/>
            </w:r>
            <w:r w:rsidRPr="00D85C65">
              <w:rPr>
                <w:rFonts w:ascii="Times New Roman" w:hAnsi="Times New Roman"/>
                <w:sz w:val="24"/>
              </w:rPr>
              <w:t>Reálnej hodnoty nederivátových pozícií, ktoré predstavujú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b) CRD, určenej</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104 CRR.</w:t>
            </w:r>
          </w:p>
          <w:p w14:paraId="5FB438A1" w14:textId="67DC0414" w:rsidR="00235D9D" w:rsidRPr="00D85C65" w:rsidRDefault="00125707">
            <w:pPr>
              <w:autoSpaceDE w:val="0"/>
              <w:autoSpaceDN w:val="0"/>
              <w:adjustRightInd w:val="0"/>
              <w:ind w:left="357" w:hanging="357"/>
              <w:contextualSpacing/>
              <w:rPr>
                <w:rFonts w:ascii="Times New Roman" w:hAnsi="Times New Roman"/>
                <w:b/>
                <w:bCs/>
                <w:sz w:val="24"/>
                <w:u w:val="single"/>
              </w:rPr>
            </w:pPr>
            <w:r w:rsidRPr="00D85C65">
              <w:rPr>
                <w:rFonts w:ascii="Calibri" w:hAnsi="Calibri"/>
                <w:bCs/>
                <w:sz w:val="24"/>
              </w:rPr>
              <w:t>–</w:t>
            </w:r>
            <w:r w:rsidRPr="00D85C65">
              <w:rPr>
                <w:rFonts w:ascii="Calibri" w:hAnsi="Calibri"/>
                <w:bCs/>
                <w:sz w:val="24"/>
              </w:rPr>
              <w:tab/>
            </w:r>
            <w:r w:rsidRPr="00D85C65">
              <w:rPr>
                <w:rFonts w:ascii="Times New Roman" w:hAnsi="Times New Roman"/>
                <w:sz w:val="24"/>
              </w:rPr>
              <w:t>Pomyselnej hodnoty derivátov, ktoré predstavujú príslušné expozície voči kreditnému riziku</w:t>
            </w:r>
            <w:r w:rsidR="00D85C65">
              <w:rPr>
                <w:rFonts w:ascii="Times New Roman" w:hAnsi="Times New Roman"/>
                <w:sz w:val="24"/>
              </w:rPr>
              <w:t xml:space="preserve"> v </w:t>
            </w:r>
            <w:r w:rsidRPr="00D85C65">
              <w:rPr>
                <w:rFonts w:ascii="Times New Roman" w:hAnsi="Times New Roman"/>
                <w:sz w:val="24"/>
              </w:rPr>
              <w:t>uvedené</w:t>
            </w:r>
            <w:r w:rsidR="00D85C65">
              <w:rPr>
                <w:rFonts w:ascii="Times New Roman" w:hAnsi="Times New Roman"/>
                <w:sz w:val="24"/>
              </w:rPr>
              <w:t xml:space="preserve"> v </w:t>
            </w:r>
            <w:r w:rsidRPr="00D85C65">
              <w:rPr>
                <w:rFonts w:ascii="Times New Roman" w:hAnsi="Times New Roman"/>
                <w:sz w:val="24"/>
              </w:rPr>
              <w:t>článku 140 ods. 4 písm. b) CRD.</w:t>
            </w:r>
          </w:p>
        </w:tc>
      </w:tr>
      <w:tr w:rsidR="00235D9D" w:rsidRPr="00D85C65" w14:paraId="0C9C0584" w14:textId="77777777" w:rsidTr="00672D2A">
        <w:tc>
          <w:tcPr>
            <w:tcW w:w="1697" w:type="dxa"/>
          </w:tcPr>
          <w:p w14:paraId="718A0F02" w14:textId="77777777" w:rsidR="00235D9D" w:rsidRPr="00D85C65" w:rsidRDefault="008B6B86">
            <w:pPr>
              <w:rPr>
                <w:rFonts w:ascii="Times New Roman" w:hAnsi="Times New Roman"/>
                <w:sz w:val="24"/>
              </w:rPr>
            </w:pPr>
            <w:r w:rsidRPr="00D85C65">
              <w:rPr>
                <w:rFonts w:ascii="Times New Roman" w:hAnsi="Times New Roman"/>
                <w:sz w:val="24"/>
              </w:rPr>
              <w:lastRenderedPageBreak/>
              <w:t>055</w:t>
            </w:r>
          </w:p>
        </w:tc>
        <w:tc>
          <w:tcPr>
            <w:tcW w:w="8131" w:type="dxa"/>
          </w:tcPr>
          <w:p w14:paraId="586EB716" w14:textId="40F833C4" w:rsidR="00235D9D" w:rsidRPr="00D85C65" w:rsidRDefault="00BD5485">
            <w:pPr>
              <w:rPr>
                <w:rFonts w:ascii="Times New Roman" w:hAnsi="Times New Roman"/>
                <w:b/>
                <w:bCs/>
                <w:sz w:val="24"/>
                <w:u w:val="single"/>
              </w:rPr>
            </w:pPr>
            <w:r w:rsidRPr="00D85C65">
              <w:rPr>
                <w:rFonts w:ascii="Times New Roman" w:hAnsi="Times New Roman"/>
                <w:b/>
                <w:bCs/>
                <w:sz w:val="24"/>
                <w:u w:val="single"/>
              </w:rPr>
              <w:t>Príslušné expozície voči kreditnému riziku – Sekuritizačné pozície</w:t>
            </w:r>
            <w:r w:rsidR="00D85C65">
              <w:rPr>
                <w:rFonts w:ascii="Times New Roman" w:hAnsi="Times New Roman"/>
                <w:b/>
                <w:bCs/>
                <w:sz w:val="24"/>
                <w:u w:val="single"/>
              </w:rPr>
              <w:t xml:space="preserve"> v </w:t>
            </w:r>
            <w:r w:rsidRPr="00D85C65">
              <w:rPr>
                <w:rFonts w:ascii="Times New Roman" w:hAnsi="Times New Roman"/>
                <w:b/>
                <w:bCs/>
                <w:sz w:val="24"/>
                <w:u w:val="single"/>
              </w:rPr>
              <w:t>bankovej knihe</w:t>
            </w:r>
          </w:p>
          <w:p w14:paraId="2A72AE78" w14:textId="693DF83D" w:rsidR="00235D9D" w:rsidRPr="00D85C65" w:rsidRDefault="00C44421">
            <w:pPr>
              <w:rPr>
                <w:rFonts w:ascii="Times New Roman" w:hAnsi="Times New Roman"/>
                <w:sz w:val="24"/>
              </w:rPr>
            </w:pPr>
            <w:r w:rsidRPr="00D85C65">
              <w:rPr>
                <w:rFonts w:ascii="Times New Roman" w:hAnsi="Times New Roman"/>
                <w:sz w:val="24"/>
              </w:rPr>
              <w:t>Hodnota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CRR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c) CRD.</w:t>
            </w:r>
          </w:p>
        </w:tc>
      </w:tr>
      <w:tr w:rsidR="00235D9D" w:rsidRPr="00D85C65" w14:paraId="1A186CC1" w14:textId="77777777" w:rsidTr="00672D2A">
        <w:tc>
          <w:tcPr>
            <w:tcW w:w="1697" w:type="dxa"/>
          </w:tcPr>
          <w:p w14:paraId="588C5D36" w14:textId="77777777" w:rsidR="00235D9D" w:rsidRPr="00D85C65" w:rsidRDefault="00BD5485">
            <w:pPr>
              <w:rPr>
                <w:rFonts w:ascii="Times New Roman" w:hAnsi="Times New Roman"/>
                <w:sz w:val="24"/>
              </w:rPr>
            </w:pPr>
            <w:r w:rsidRPr="00D85C65">
              <w:rPr>
                <w:rFonts w:ascii="Times New Roman" w:hAnsi="Times New Roman"/>
                <w:sz w:val="24"/>
              </w:rPr>
              <w:t>070 – 110</w:t>
            </w:r>
          </w:p>
        </w:tc>
        <w:tc>
          <w:tcPr>
            <w:tcW w:w="8131" w:type="dxa"/>
          </w:tcPr>
          <w:p w14:paraId="1BE0CCAB" w14:textId="02B4B5D1" w:rsidR="00235D9D" w:rsidRPr="00D85C65" w:rsidRDefault="00BD5485">
            <w:pPr>
              <w:rPr>
                <w:rFonts w:ascii="Times New Roman" w:hAnsi="Times New Roman"/>
                <w:b/>
                <w:bCs/>
                <w:sz w:val="24"/>
                <w:u w:val="single"/>
              </w:rPr>
            </w:pPr>
            <w:r w:rsidRPr="00D85C65">
              <w:rPr>
                <w:rFonts w:ascii="Times New Roman" w:hAnsi="Times New Roman"/>
                <w:b/>
                <w:bCs/>
                <w:sz w:val="24"/>
                <w:u w:val="single"/>
              </w:rPr>
              <w:t>Požiadavky na vlastné zdroje</w:t>
            </w:r>
            <w:r w:rsidR="00D85C65">
              <w:rPr>
                <w:rFonts w:ascii="Times New Roman" w:hAnsi="Times New Roman"/>
                <w:b/>
                <w:bCs/>
                <w:sz w:val="24"/>
                <w:u w:val="single"/>
              </w:rPr>
              <w:t xml:space="preserve"> a </w:t>
            </w:r>
            <w:r w:rsidRPr="00D85C65">
              <w:rPr>
                <w:rFonts w:ascii="Times New Roman" w:hAnsi="Times New Roman"/>
                <w:b/>
                <w:bCs/>
                <w:sz w:val="24"/>
                <w:u w:val="single"/>
              </w:rPr>
              <w:t>ich váženie</w:t>
            </w:r>
          </w:p>
        </w:tc>
      </w:tr>
      <w:tr w:rsidR="00235D9D" w:rsidRPr="00D85C65" w14:paraId="5EEE0196" w14:textId="77777777" w:rsidTr="00672D2A">
        <w:tc>
          <w:tcPr>
            <w:tcW w:w="1697" w:type="dxa"/>
          </w:tcPr>
          <w:p w14:paraId="3610D72B" w14:textId="77777777" w:rsidR="00235D9D" w:rsidRPr="00D85C65" w:rsidRDefault="00BD5485">
            <w:pPr>
              <w:rPr>
                <w:rFonts w:ascii="Times New Roman" w:hAnsi="Times New Roman"/>
                <w:sz w:val="24"/>
              </w:rPr>
            </w:pPr>
            <w:r w:rsidRPr="00D85C65">
              <w:rPr>
                <w:rFonts w:ascii="Times New Roman" w:hAnsi="Times New Roman"/>
                <w:sz w:val="24"/>
              </w:rPr>
              <w:t>070</w:t>
            </w:r>
          </w:p>
        </w:tc>
        <w:tc>
          <w:tcPr>
            <w:tcW w:w="8131" w:type="dxa"/>
          </w:tcPr>
          <w:p w14:paraId="3F1B6928" w14:textId="77777777" w:rsidR="00235D9D" w:rsidRPr="00D85C65" w:rsidRDefault="00BD5485">
            <w:pPr>
              <w:rPr>
                <w:rFonts w:ascii="Times New Roman" w:hAnsi="Times New Roman"/>
                <w:b/>
                <w:bCs/>
                <w:sz w:val="24"/>
                <w:u w:val="single"/>
              </w:rPr>
            </w:pPr>
            <w:r w:rsidRPr="00D85C65">
              <w:rPr>
                <w:rFonts w:ascii="Times New Roman" w:hAnsi="Times New Roman"/>
                <w:b/>
                <w:bCs/>
                <w:sz w:val="24"/>
                <w:u w:val="single"/>
              </w:rPr>
              <w:t>Požiadavky na celkové vlastné zdroje pre proticyklický kapitálový vankúš</w:t>
            </w:r>
          </w:p>
          <w:p w14:paraId="199E09E3" w14:textId="183B6502" w:rsidR="00235D9D" w:rsidRPr="00D85C65" w:rsidRDefault="00BD5485">
            <w:pPr>
              <w:rPr>
                <w:rFonts w:ascii="Times New Roman" w:hAnsi="Times New Roman"/>
                <w:b/>
                <w:bCs/>
                <w:sz w:val="24"/>
                <w:u w:val="single"/>
              </w:rPr>
            </w:pPr>
            <w:r w:rsidRPr="00D85C65">
              <w:rPr>
                <w:rFonts w:ascii="Times New Roman" w:hAnsi="Times New Roman"/>
                <w:sz w:val="24"/>
              </w:rPr>
              <w:t>Súčet riadkov 080, 090</w:t>
            </w:r>
            <w:r w:rsidR="00D85C65">
              <w:rPr>
                <w:rFonts w:ascii="Times New Roman" w:hAnsi="Times New Roman"/>
                <w:sz w:val="24"/>
              </w:rPr>
              <w:t xml:space="preserve"> a </w:t>
            </w:r>
            <w:r w:rsidRPr="00D85C65">
              <w:rPr>
                <w:rFonts w:ascii="Times New Roman" w:hAnsi="Times New Roman"/>
                <w:sz w:val="24"/>
              </w:rPr>
              <w:t>100.</w:t>
            </w:r>
          </w:p>
        </w:tc>
      </w:tr>
      <w:tr w:rsidR="00235D9D" w:rsidRPr="00D85C65" w14:paraId="161C6590" w14:textId="77777777" w:rsidTr="00672D2A">
        <w:tc>
          <w:tcPr>
            <w:tcW w:w="1697" w:type="dxa"/>
          </w:tcPr>
          <w:p w14:paraId="6BBFB334" w14:textId="77777777" w:rsidR="00235D9D" w:rsidRPr="00D85C65" w:rsidRDefault="00BD5485">
            <w:pPr>
              <w:rPr>
                <w:rFonts w:ascii="Times New Roman" w:hAnsi="Times New Roman"/>
                <w:sz w:val="24"/>
              </w:rPr>
            </w:pPr>
            <w:r w:rsidRPr="00D85C65">
              <w:rPr>
                <w:rFonts w:ascii="Times New Roman" w:hAnsi="Times New Roman"/>
                <w:sz w:val="24"/>
              </w:rPr>
              <w:t>080</w:t>
            </w:r>
          </w:p>
        </w:tc>
        <w:tc>
          <w:tcPr>
            <w:tcW w:w="8131" w:type="dxa"/>
          </w:tcPr>
          <w:p w14:paraId="231233DE" w14:textId="77777777" w:rsidR="00D85C65" w:rsidRDefault="00C211DC">
            <w:pPr>
              <w:rPr>
                <w:rFonts w:ascii="Times New Roman" w:hAnsi="Times New Roman"/>
                <w:b/>
                <w:bCs/>
                <w:sz w:val="24"/>
                <w:u w:val="single"/>
              </w:rPr>
            </w:pPr>
            <w:r w:rsidRPr="00D85C65">
              <w:rPr>
                <w:rFonts w:ascii="Times New Roman" w:hAnsi="Times New Roman"/>
                <w:b/>
                <w:sz w:val="24"/>
                <w:u w:val="single"/>
              </w:rPr>
              <w:t>Požiadavky na vlastné zdroje</w:t>
            </w:r>
            <w:r w:rsidRPr="00D85C65">
              <w:rPr>
                <w:rFonts w:ascii="Times New Roman" w:hAnsi="Times New Roman"/>
                <w:b/>
                <w:bCs/>
                <w:sz w:val="24"/>
                <w:u w:val="single"/>
              </w:rPr>
              <w:t xml:space="preserve"> pre príslušné expozície voči kreditnému riziku – úverové riziko</w:t>
            </w:r>
          </w:p>
          <w:p w14:paraId="318DE0F4" w14:textId="542824A2" w:rsidR="00235D9D" w:rsidRPr="00D85C65" w:rsidRDefault="00BD5485">
            <w:pPr>
              <w:autoSpaceDE w:val="0"/>
              <w:autoSpaceDN w:val="0"/>
              <w:adjustRightInd w:val="0"/>
              <w:rPr>
                <w:rFonts w:ascii="Times New Roman" w:hAnsi="Times New Roman"/>
                <w:sz w:val="24"/>
              </w:rPr>
            </w:pPr>
            <w:r w:rsidRPr="00D85C65">
              <w:rPr>
                <w:rFonts w:ascii="Times New Roman" w:hAnsi="Times New Roman"/>
                <w:sz w:val="24"/>
              </w:rPr>
              <w:t>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kapitolami 1 až 4</w:t>
            </w:r>
            <w:r w:rsidR="00D85C65">
              <w:rPr>
                <w:rFonts w:ascii="Times New Roman" w:hAnsi="Times New Roman"/>
                <w:sz w:val="24"/>
              </w:rPr>
              <w:t xml:space="preserve"> a </w:t>
            </w:r>
            <w:r w:rsidRPr="00D85C65">
              <w:rPr>
                <w:rFonts w:ascii="Times New Roman" w:hAnsi="Times New Roman"/>
                <w:sz w:val="24"/>
              </w:rPr>
              <w:t>kapitolou 6 CRR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a) CRD</w:t>
            </w:r>
            <w:r w:rsidR="00D85C65">
              <w:rPr>
                <w:rFonts w:ascii="Times New Roman" w:hAnsi="Times New Roman"/>
                <w:sz w:val="24"/>
              </w:rPr>
              <w:t xml:space="preserve"> v </w:t>
            </w:r>
            <w:r w:rsidRPr="00D85C65">
              <w:rPr>
                <w:rFonts w:ascii="Times New Roman" w:hAnsi="Times New Roman"/>
                <w:sz w:val="24"/>
              </w:rPr>
              <w:t>dotknutej krajine.</w:t>
            </w:r>
          </w:p>
          <w:p w14:paraId="2AFBCF34" w14:textId="4F78D750" w:rsidR="00235D9D" w:rsidRPr="00D85C65" w:rsidRDefault="00BD5485">
            <w:pPr>
              <w:autoSpaceDE w:val="0"/>
              <w:autoSpaceDN w:val="0"/>
              <w:adjustRightInd w:val="0"/>
              <w:rPr>
                <w:rFonts w:ascii="Times New Roman" w:hAnsi="Times New Roman"/>
                <w:sz w:val="24"/>
              </w:rPr>
            </w:pPr>
            <w:r w:rsidRPr="00D85C65">
              <w:rPr>
                <w:rFonts w:ascii="Times New Roman" w:hAnsi="Times New Roman"/>
                <w:sz w:val="24"/>
              </w:rPr>
              <w:t>Požiadavky na vlastné zdroje pre sekuritizačné pozície</w:t>
            </w:r>
            <w:r w:rsidR="00D85C65">
              <w:rPr>
                <w:rFonts w:ascii="Times New Roman" w:hAnsi="Times New Roman"/>
                <w:sz w:val="24"/>
              </w:rPr>
              <w:t xml:space="preserve"> v </w:t>
            </w:r>
            <w:r w:rsidRPr="00D85C65">
              <w:rPr>
                <w:rFonts w:ascii="Times New Roman" w:hAnsi="Times New Roman"/>
                <w:sz w:val="24"/>
              </w:rPr>
              <w:t>bankovej knihe sa vylučujú</w:t>
            </w:r>
            <w:r w:rsidR="00D85C65">
              <w:rPr>
                <w:rFonts w:ascii="Times New Roman" w:hAnsi="Times New Roman"/>
                <w:sz w:val="24"/>
              </w:rPr>
              <w:t xml:space="preserve"> z </w:t>
            </w:r>
            <w:r w:rsidRPr="00D85C65">
              <w:rPr>
                <w:rFonts w:ascii="Times New Roman" w:hAnsi="Times New Roman"/>
                <w:sz w:val="24"/>
              </w:rPr>
              <w:t>tohto riadku</w:t>
            </w:r>
            <w:r w:rsidR="00D85C65">
              <w:rPr>
                <w:rFonts w:ascii="Times New Roman" w:hAnsi="Times New Roman"/>
                <w:sz w:val="24"/>
              </w:rPr>
              <w:t xml:space="preserve"> a </w:t>
            </w:r>
            <w:r w:rsidRPr="00D85C65">
              <w:rPr>
                <w:rFonts w:ascii="Times New Roman" w:hAnsi="Times New Roman"/>
                <w:sz w:val="24"/>
              </w:rPr>
              <w:t>uvádzajú sa</w:t>
            </w:r>
            <w:r w:rsidR="00D85C65">
              <w:rPr>
                <w:rFonts w:ascii="Times New Roman" w:hAnsi="Times New Roman"/>
                <w:sz w:val="24"/>
              </w:rPr>
              <w:t xml:space="preserve"> v </w:t>
            </w:r>
            <w:r w:rsidRPr="00D85C65">
              <w:rPr>
                <w:rFonts w:ascii="Times New Roman" w:hAnsi="Times New Roman"/>
                <w:sz w:val="24"/>
              </w:rPr>
              <w:t>riadku 100.</w:t>
            </w:r>
          </w:p>
          <w:p w14:paraId="1948BA36" w14:textId="167BFE42" w:rsidR="00235D9D" w:rsidRPr="00D85C65" w:rsidRDefault="00BD5485">
            <w:pPr>
              <w:rPr>
                <w:rFonts w:ascii="Times New Roman" w:hAnsi="Times New Roman"/>
                <w:b/>
                <w:bCs/>
                <w:sz w:val="24"/>
                <w:u w:val="single"/>
              </w:rPr>
            </w:pPr>
            <w:r w:rsidRPr="00D85C65">
              <w:rPr>
                <w:rFonts w:ascii="Times New Roman" w:hAnsi="Times New Roman"/>
                <w:sz w:val="24"/>
              </w:rPr>
              <w:t>Požiadavky na vlastné zdroje predstavujú 8</w:t>
            </w:r>
            <w:r w:rsidR="00D85C65">
              <w:rPr>
                <w:rFonts w:ascii="Times New Roman" w:hAnsi="Times New Roman"/>
                <w:sz w:val="24"/>
              </w:rPr>
              <w:t> %</w:t>
            </w:r>
            <w:r w:rsidRPr="00D85C65">
              <w:rPr>
                <w:rFonts w:ascii="Times New Roman" w:hAnsi="Times New Roman"/>
                <w:sz w:val="24"/>
              </w:rPr>
              <w:t xml:space="preserve"> hodnoty rizikovo váženej expozície určenej</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kapitolami 1 až 4</w:t>
            </w:r>
            <w:r w:rsidR="00D85C65">
              <w:rPr>
                <w:rFonts w:ascii="Times New Roman" w:hAnsi="Times New Roman"/>
                <w:sz w:val="24"/>
              </w:rPr>
              <w:t xml:space="preserve"> a </w:t>
            </w:r>
            <w:r w:rsidRPr="00D85C65">
              <w:rPr>
                <w:rFonts w:ascii="Times New Roman" w:hAnsi="Times New Roman"/>
                <w:sz w:val="24"/>
              </w:rPr>
              <w:t>kapitolou 6 CRR.</w:t>
            </w:r>
          </w:p>
        </w:tc>
      </w:tr>
      <w:tr w:rsidR="00235D9D" w:rsidRPr="00D85C65" w14:paraId="7D6F4CA6" w14:textId="77777777" w:rsidTr="00672D2A">
        <w:tc>
          <w:tcPr>
            <w:tcW w:w="1697" w:type="dxa"/>
          </w:tcPr>
          <w:p w14:paraId="5A7104C7" w14:textId="77777777" w:rsidR="00235D9D" w:rsidRPr="00D85C65" w:rsidRDefault="00BD5485">
            <w:pPr>
              <w:rPr>
                <w:rFonts w:ascii="Times New Roman" w:hAnsi="Times New Roman"/>
                <w:sz w:val="24"/>
              </w:rPr>
            </w:pPr>
            <w:r w:rsidRPr="00D85C65">
              <w:rPr>
                <w:rFonts w:ascii="Times New Roman" w:hAnsi="Times New Roman"/>
                <w:sz w:val="24"/>
              </w:rPr>
              <w:t>090</w:t>
            </w:r>
          </w:p>
        </w:tc>
        <w:tc>
          <w:tcPr>
            <w:tcW w:w="8131" w:type="dxa"/>
          </w:tcPr>
          <w:p w14:paraId="580F0C0C" w14:textId="77777777" w:rsidR="00D85C65" w:rsidRDefault="00C211DC">
            <w:pPr>
              <w:rPr>
                <w:rFonts w:ascii="Times New Roman" w:hAnsi="Times New Roman"/>
                <w:b/>
                <w:bCs/>
                <w:sz w:val="24"/>
                <w:u w:val="single"/>
              </w:rPr>
            </w:pPr>
            <w:r w:rsidRPr="00D85C65">
              <w:rPr>
                <w:rFonts w:ascii="Times New Roman" w:hAnsi="Times New Roman"/>
                <w:b/>
                <w:sz w:val="24"/>
                <w:u w:val="single"/>
              </w:rPr>
              <w:t>Požiadavky na vlastné zdroje</w:t>
            </w:r>
            <w:r w:rsidRPr="00D85C65">
              <w:rPr>
                <w:rFonts w:ascii="Times New Roman" w:hAnsi="Times New Roman"/>
                <w:b/>
                <w:bCs/>
                <w:sz w:val="24"/>
                <w:u w:val="single"/>
              </w:rPr>
              <w:t xml:space="preserve"> pre príslušné expozície voči kreditnému riziku – trhové riziko</w:t>
            </w:r>
          </w:p>
          <w:p w14:paraId="3293C187" w14:textId="0C5C9D66" w:rsidR="00D85C65" w:rsidRDefault="00BD5485">
            <w:pPr>
              <w:autoSpaceDE w:val="0"/>
              <w:autoSpaceDN w:val="0"/>
              <w:adjustRightInd w:val="0"/>
              <w:rPr>
                <w:rFonts w:ascii="Times New Roman" w:hAnsi="Times New Roman"/>
                <w:sz w:val="24"/>
              </w:rPr>
            </w:pPr>
            <w:r w:rsidRPr="00D85C65">
              <w:rPr>
                <w:rFonts w:ascii="Times New Roman" w:hAnsi="Times New Roman"/>
                <w:sz w:val="24"/>
              </w:rPr>
              <w:t>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2 CRR pre špecifické riziko alebo</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5 CRR pre inkrementálne riziko zlyhania</w:t>
            </w:r>
            <w:r w:rsidR="00D85C65">
              <w:rPr>
                <w:rFonts w:ascii="Times New Roman" w:hAnsi="Times New Roman"/>
                <w:sz w:val="24"/>
              </w:rPr>
              <w:t xml:space="preserve"> a </w:t>
            </w:r>
            <w:r w:rsidRPr="00D85C65">
              <w:rPr>
                <w:rFonts w:ascii="Times New Roman" w:hAnsi="Times New Roman"/>
                <w:sz w:val="24"/>
              </w:rPr>
              <w:t>riziko migrácie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b) CRD</w:t>
            </w:r>
            <w:r w:rsidR="00D85C65">
              <w:rPr>
                <w:rFonts w:ascii="Times New Roman" w:hAnsi="Times New Roman"/>
                <w:sz w:val="24"/>
              </w:rPr>
              <w:t xml:space="preserve"> v </w:t>
            </w:r>
            <w:r w:rsidRPr="00D85C65">
              <w:rPr>
                <w:rFonts w:ascii="Times New Roman" w:hAnsi="Times New Roman"/>
                <w:sz w:val="24"/>
              </w:rPr>
              <w:t>dotknutej krajine</w:t>
            </w:r>
            <w:r w:rsidR="00D85C65">
              <w:rPr>
                <w:rFonts w:ascii="Times New Roman" w:hAnsi="Times New Roman"/>
                <w:sz w:val="24"/>
              </w:rPr>
              <w:t>.</w:t>
            </w:r>
          </w:p>
          <w:p w14:paraId="72F007FC" w14:textId="1EEC31F0" w:rsidR="00235D9D" w:rsidRPr="00D85C65" w:rsidRDefault="00BD5485">
            <w:pPr>
              <w:autoSpaceDE w:val="0"/>
              <w:autoSpaceDN w:val="0"/>
              <w:adjustRightInd w:val="0"/>
              <w:rPr>
                <w:rFonts w:ascii="Times New Roman" w:hAnsi="Times New Roman"/>
                <w:b/>
                <w:bCs/>
                <w:sz w:val="24"/>
                <w:u w:val="single"/>
              </w:rPr>
            </w:pPr>
            <w:r w:rsidRPr="00D85C65">
              <w:rPr>
                <w:rFonts w:ascii="Times New Roman" w:hAnsi="Times New Roman"/>
                <w:sz w:val="24"/>
              </w:rPr>
              <w:t>K požiadavkám na vlastné zdroje pre príslušné expozície voči kreditnému riziku</w:t>
            </w:r>
            <w:r w:rsidR="00D85C65">
              <w:rPr>
                <w:rFonts w:ascii="Times New Roman" w:hAnsi="Times New Roman"/>
                <w:sz w:val="24"/>
              </w:rPr>
              <w:t xml:space="preserve"> v </w:t>
            </w:r>
            <w:r w:rsidRPr="00D85C65">
              <w:rPr>
                <w:rFonts w:ascii="Times New Roman" w:hAnsi="Times New Roman"/>
                <w:sz w:val="24"/>
              </w:rPr>
              <w:t>rámci trhového rizika patria okrem iného požiadavky na vlastné zdroje pre sekuritizačné pozície podľa tretej časti hlavy IV kapitoly 2 CRR</w:t>
            </w:r>
            <w:r w:rsidR="00D85C65">
              <w:rPr>
                <w:rFonts w:ascii="Times New Roman" w:hAnsi="Times New Roman"/>
                <w:sz w:val="24"/>
              </w:rPr>
              <w:t xml:space="preserve"> a </w:t>
            </w:r>
            <w:r w:rsidRPr="00D85C65">
              <w:rPr>
                <w:rFonts w:ascii="Times New Roman" w:hAnsi="Times New Roman"/>
                <w:sz w:val="24"/>
              </w:rPr>
              <w:t>požiadavky na vlastné zdroje pre expozície voči podnikom kolektívneho investovania určené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348 CRR.</w:t>
            </w:r>
          </w:p>
        </w:tc>
      </w:tr>
      <w:tr w:rsidR="00235D9D" w:rsidRPr="00D85C65" w14:paraId="208072B1" w14:textId="77777777" w:rsidTr="00672D2A">
        <w:tc>
          <w:tcPr>
            <w:tcW w:w="1697" w:type="dxa"/>
          </w:tcPr>
          <w:p w14:paraId="31DC711E" w14:textId="77777777" w:rsidR="00235D9D" w:rsidRPr="00D85C65" w:rsidRDefault="00BD5485">
            <w:pPr>
              <w:rPr>
                <w:rFonts w:ascii="Times New Roman" w:hAnsi="Times New Roman"/>
                <w:sz w:val="24"/>
              </w:rPr>
            </w:pPr>
            <w:r w:rsidRPr="00D85C65">
              <w:rPr>
                <w:rFonts w:ascii="Times New Roman" w:hAnsi="Times New Roman"/>
                <w:sz w:val="24"/>
              </w:rPr>
              <w:t>100</w:t>
            </w:r>
          </w:p>
        </w:tc>
        <w:tc>
          <w:tcPr>
            <w:tcW w:w="8131" w:type="dxa"/>
          </w:tcPr>
          <w:p w14:paraId="70EC6CA1" w14:textId="2E15C7D6" w:rsidR="00235D9D" w:rsidRPr="00D85C65" w:rsidRDefault="00C211DC">
            <w:pPr>
              <w:rPr>
                <w:rFonts w:ascii="Times New Roman" w:hAnsi="Times New Roman"/>
                <w:b/>
                <w:bCs/>
                <w:sz w:val="24"/>
                <w:u w:val="single"/>
              </w:rPr>
            </w:pPr>
            <w:r w:rsidRPr="00D85C65">
              <w:rPr>
                <w:rFonts w:ascii="Times New Roman" w:hAnsi="Times New Roman"/>
                <w:b/>
                <w:sz w:val="24"/>
                <w:u w:val="single"/>
              </w:rPr>
              <w:t>Požiadavky na vlastné zdroje</w:t>
            </w:r>
            <w:r w:rsidRPr="00D85C65">
              <w:rPr>
                <w:rFonts w:ascii="Times New Roman" w:hAnsi="Times New Roman"/>
                <w:b/>
                <w:bCs/>
                <w:sz w:val="24"/>
                <w:u w:val="single"/>
              </w:rPr>
              <w:t xml:space="preserve"> pre príslušné expozície voči kreditnému riziku – sekuritizačné pozície</w:t>
            </w:r>
            <w:r w:rsidR="00D85C65">
              <w:rPr>
                <w:rFonts w:ascii="Times New Roman" w:hAnsi="Times New Roman"/>
                <w:b/>
                <w:bCs/>
                <w:sz w:val="24"/>
                <w:u w:val="single"/>
              </w:rPr>
              <w:t xml:space="preserve"> v </w:t>
            </w:r>
            <w:r w:rsidRPr="00D85C65">
              <w:rPr>
                <w:rFonts w:ascii="Times New Roman" w:hAnsi="Times New Roman"/>
                <w:b/>
                <w:bCs/>
                <w:sz w:val="24"/>
                <w:u w:val="single"/>
              </w:rPr>
              <w:t>bankovej knihe</w:t>
            </w:r>
          </w:p>
          <w:p w14:paraId="3910496F" w14:textId="5DA88050" w:rsidR="00235D9D" w:rsidRPr="00D85C65" w:rsidRDefault="00BD5485">
            <w:pPr>
              <w:autoSpaceDE w:val="0"/>
              <w:autoSpaceDN w:val="0"/>
              <w:adjustRightInd w:val="0"/>
              <w:rPr>
                <w:rFonts w:ascii="Times New Roman" w:hAnsi="Times New Roman"/>
                <w:sz w:val="24"/>
              </w:rPr>
            </w:pPr>
            <w:r w:rsidRPr="00D85C65">
              <w:rPr>
                <w:rFonts w:ascii="Times New Roman" w:hAnsi="Times New Roman"/>
                <w:sz w:val="24"/>
              </w:rPr>
              <w:t>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5 CRR pre príslušné expozície voči kreditnému riziku uvedené</w:t>
            </w:r>
            <w:r w:rsidR="00D85C65">
              <w:rPr>
                <w:rFonts w:ascii="Times New Roman" w:hAnsi="Times New Roman"/>
                <w:sz w:val="24"/>
              </w:rPr>
              <w:t xml:space="preserve"> v </w:t>
            </w:r>
            <w:r w:rsidRPr="00D85C65">
              <w:rPr>
                <w:rFonts w:ascii="Times New Roman" w:hAnsi="Times New Roman"/>
                <w:sz w:val="24"/>
              </w:rPr>
              <w:t>článku 140 ods. 4 písm. c) CRD</w:t>
            </w:r>
            <w:r w:rsidR="00D85C65">
              <w:rPr>
                <w:rFonts w:ascii="Times New Roman" w:hAnsi="Times New Roman"/>
                <w:sz w:val="24"/>
              </w:rPr>
              <w:t xml:space="preserve"> v </w:t>
            </w:r>
            <w:r w:rsidRPr="00D85C65">
              <w:rPr>
                <w:rFonts w:ascii="Times New Roman" w:hAnsi="Times New Roman"/>
                <w:sz w:val="24"/>
              </w:rPr>
              <w:t>dotknutej krajine.</w:t>
            </w:r>
          </w:p>
          <w:p w14:paraId="40DE055C" w14:textId="001C22A3" w:rsidR="00235D9D" w:rsidRPr="00D85C65" w:rsidRDefault="00BD5485">
            <w:pPr>
              <w:rPr>
                <w:rFonts w:ascii="Times New Roman" w:hAnsi="Times New Roman"/>
                <w:b/>
                <w:bCs/>
                <w:sz w:val="24"/>
                <w:u w:val="single"/>
              </w:rPr>
            </w:pPr>
            <w:r w:rsidRPr="00D85C65">
              <w:rPr>
                <w:rFonts w:ascii="Times New Roman" w:hAnsi="Times New Roman"/>
                <w:sz w:val="24"/>
              </w:rPr>
              <w:t>Požiadavky na vlastné zdroje predstavujú 8</w:t>
            </w:r>
            <w:r w:rsidR="00D85C65">
              <w:rPr>
                <w:rFonts w:ascii="Times New Roman" w:hAnsi="Times New Roman"/>
                <w:sz w:val="24"/>
              </w:rPr>
              <w:t> %</w:t>
            </w:r>
            <w:r w:rsidRPr="00D85C65">
              <w:rPr>
                <w:rFonts w:ascii="Times New Roman" w:hAnsi="Times New Roman"/>
                <w:sz w:val="24"/>
              </w:rPr>
              <w:t xml:space="preserve"> hodnoty rizikovo váženej expozície vypočítanej</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5 CRR.</w:t>
            </w:r>
          </w:p>
        </w:tc>
      </w:tr>
      <w:tr w:rsidR="00235D9D" w:rsidRPr="00D85C65" w14:paraId="5C913484" w14:textId="77777777" w:rsidTr="00672D2A">
        <w:tc>
          <w:tcPr>
            <w:tcW w:w="1697" w:type="dxa"/>
          </w:tcPr>
          <w:p w14:paraId="7ABCA2B9" w14:textId="77777777" w:rsidR="00235D9D" w:rsidRPr="00D85C65" w:rsidRDefault="00BD5485">
            <w:pPr>
              <w:rPr>
                <w:rFonts w:ascii="Times New Roman" w:hAnsi="Times New Roman"/>
                <w:sz w:val="24"/>
              </w:rPr>
            </w:pPr>
            <w:r w:rsidRPr="00D85C65">
              <w:rPr>
                <w:rFonts w:ascii="Times New Roman" w:hAnsi="Times New Roman"/>
                <w:sz w:val="24"/>
              </w:rPr>
              <w:t>110</w:t>
            </w:r>
          </w:p>
        </w:tc>
        <w:tc>
          <w:tcPr>
            <w:tcW w:w="8131" w:type="dxa"/>
          </w:tcPr>
          <w:p w14:paraId="31BB9CC7" w14:textId="77777777" w:rsidR="00235D9D" w:rsidRPr="00D85C65" w:rsidRDefault="00966663">
            <w:pPr>
              <w:rPr>
                <w:rFonts w:ascii="Times New Roman" w:hAnsi="Times New Roman"/>
                <w:b/>
                <w:bCs/>
                <w:sz w:val="24"/>
                <w:u w:val="single"/>
              </w:rPr>
            </w:pPr>
            <w:r w:rsidRPr="00D85C65">
              <w:rPr>
                <w:rFonts w:ascii="Times New Roman" w:hAnsi="Times New Roman"/>
                <w:b/>
                <w:bCs/>
                <w:sz w:val="24"/>
                <w:u w:val="single"/>
              </w:rPr>
              <w:t>Váženie požiadaviek na vlastné zdroje</w:t>
            </w:r>
          </w:p>
          <w:p w14:paraId="057A44A8" w14:textId="4AFFB251" w:rsidR="00235D9D" w:rsidRPr="00D85C65" w:rsidRDefault="00966663">
            <w:pPr>
              <w:rPr>
                <w:rFonts w:ascii="Times New Roman" w:hAnsi="Times New Roman"/>
                <w:sz w:val="24"/>
              </w:rPr>
            </w:pPr>
            <w:r w:rsidRPr="00D85C65">
              <w:rPr>
                <w:rFonts w:ascii="Times New Roman" w:hAnsi="Times New Roman"/>
                <w:sz w:val="24"/>
              </w:rPr>
              <w:t>Váha uplatňovaná na mieru proticyklického vankúša sa</w:t>
            </w:r>
            <w:r w:rsidR="00D85C65">
              <w:rPr>
                <w:rFonts w:ascii="Times New Roman" w:hAnsi="Times New Roman"/>
                <w:sz w:val="24"/>
              </w:rPr>
              <w:t xml:space="preserve"> v </w:t>
            </w:r>
            <w:r w:rsidRPr="00D85C65">
              <w:rPr>
                <w:rFonts w:ascii="Times New Roman" w:hAnsi="Times New Roman"/>
                <w:sz w:val="24"/>
              </w:rPr>
              <w:t>jednotlivých krajinách vypočítava ako pomer požiadaviek na vlastné zdroje určených takto:</w:t>
            </w:r>
          </w:p>
          <w:p w14:paraId="28EFA52E" w14:textId="1DB80677" w:rsidR="00D85C65" w:rsidRDefault="00966663">
            <w:pPr>
              <w:rPr>
                <w:rFonts w:ascii="Times New Roman" w:hAnsi="Times New Roman"/>
                <w:sz w:val="24"/>
              </w:rPr>
            </w:pPr>
            <w:r w:rsidRPr="00D85C65">
              <w:rPr>
                <w:rFonts w:ascii="Times New Roman" w:hAnsi="Times New Roman"/>
                <w:sz w:val="24"/>
              </w:rPr>
              <w:lastRenderedPageBreak/>
              <w:t>1.</w:t>
            </w:r>
            <w:r w:rsidRPr="00D85C65">
              <w:rPr>
                <w:rFonts w:ascii="Times New Roman" w:hAnsi="Times New Roman"/>
                <w:sz w:val="24"/>
              </w:rPr>
              <w:tab/>
              <w:t>Čitateľ: Požiadavky na celkové vlastné zdroje, ktoré sa týkajú príslušných expozícií voči kreditnému riziku</w:t>
            </w:r>
            <w:r w:rsidR="00D85C65">
              <w:rPr>
                <w:rFonts w:ascii="Times New Roman" w:hAnsi="Times New Roman"/>
                <w:sz w:val="24"/>
              </w:rPr>
              <w:t xml:space="preserve"> v </w:t>
            </w:r>
            <w:r w:rsidRPr="00D85C65">
              <w:rPr>
                <w:rFonts w:ascii="Times New Roman" w:hAnsi="Times New Roman"/>
                <w:sz w:val="24"/>
              </w:rPr>
              <w:t>dotknutej krajine [r070; c010; informačný list krajiny]</w:t>
            </w:r>
            <w:r w:rsidR="00D85C65">
              <w:rPr>
                <w:rFonts w:ascii="Times New Roman" w:hAnsi="Times New Roman"/>
                <w:sz w:val="24"/>
              </w:rPr>
              <w:t>.</w:t>
            </w:r>
          </w:p>
          <w:p w14:paraId="61CF4DFF" w14:textId="69742D02" w:rsidR="00235D9D" w:rsidRPr="00D85C65" w:rsidRDefault="00966663">
            <w:pPr>
              <w:rPr>
                <w:rFonts w:ascii="Times New Roman" w:hAnsi="Times New Roman"/>
                <w:b/>
                <w:bCs/>
                <w:sz w:val="24"/>
                <w:u w:val="single"/>
              </w:rPr>
            </w:pPr>
            <w:r w:rsidRPr="00D85C65">
              <w:rPr>
                <w:rFonts w:ascii="Times New Roman" w:hAnsi="Times New Roman"/>
                <w:sz w:val="24"/>
              </w:rPr>
              <w:t>2.</w:t>
            </w:r>
            <w:r w:rsidRPr="00D85C65">
              <w:rPr>
                <w:rFonts w:ascii="Times New Roman" w:hAnsi="Times New Roman"/>
                <w:sz w:val="24"/>
              </w:rPr>
              <w:tab/>
              <w:t>Menovateľ: Požiadavky na celkové vlastné zdroje, ktoré sa týkajú všetkých expozícií voči kreditnému riziku relevantných pre výpočet proticyklického kapitálového vankúša podľa článku 140 ods. 4 CRD [r070; c010; „Spolu“].</w:t>
            </w:r>
          </w:p>
          <w:p w14:paraId="68F00F8B" w14:textId="2030E653" w:rsidR="00235D9D" w:rsidRPr="00D85C65" w:rsidRDefault="003B00F4">
            <w:pPr>
              <w:rPr>
                <w:rFonts w:ascii="Times New Roman" w:hAnsi="Times New Roman"/>
                <w:b/>
                <w:bCs/>
                <w:sz w:val="24"/>
                <w:u w:val="single"/>
              </w:rPr>
            </w:pPr>
            <w:r w:rsidRPr="00D85C65">
              <w:rPr>
                <w:rFonts w:ascii="Times New Roman" w:hAnsi="Times New Roman"/>
                <w:sz w:val="24"/>
              </w:rPr>
              <w:t>Informácie</w:t>
            </w:r>
            <w:r w:rsidR="00D85C65">
              <w:rPr>
                <w:rFonts w:ascii="Times New Roman" w:hAnsi="Times New Roman"/>
                <w:sz w:val="24"/>
              </w:rPr>
              <w:t xml:space="preserve"> o </w:t>
            </w:r>
            <w:r w:rsidRPr="00D85C65">
              <w:rPr>
                <w:rFonts w:ascii="Times New Roman" w:hAnsi="Times New Roman"/>
                <w:sz w:val="24"/>
              </w:rPr>
              <w:t>vážení požiadaviek na vlastné zdroje sa nevykazujú pre riadok „spolu“, ktorý odkazuje na súčet všetkých krajín.</w:t>
            </w:r>
          </w:p>
        </w:tc>
      </w:tr>
      <w:tr w:rsidR="00235D9D" w:rsidRPr="00D85C65" w14:paraId="55404630" w14:textId="77777777" w:rsidTr="00672D2A">
        <w:tc>
          <w:tcPr>
            <w:tcW w:w="1697" w:type="dxa"/>
          </w:tcPr>
          <w:p w14:paraId="499890CE" w14:textId="77777777" w:rsidR="00235D9D" w:rsidRPr="00D85C65" w:rsidRDefault="00966663">
            <w:pPr>
              <w:rPr>
                <w:rFonts w:ascii="Times New Roman" w:hAnsi="Times New Roman"/>
                <w:sz w:val="24"/>
              </w:rPr>
            </w:pPr>
            <w:r w:rsidRPr="00D85C65">
              <w:rPr>
                <w:rFonts w:ascii="Times New Roman" w:hAnsi="Times New Roman"/>
                <w:sz w:val="24"/>
              </w:rPr>
              <w:lastRenderedPageBreak/>
              <w:t>120 – 140</w:t>
            </w:r>
          </w:p>
        </w:tc>
        <w:tc>
          <w:tcPr>
            <w:tcW w:w="8131" w:type="dxa"/>
          </w:tcPr>
          <w:p w14:paraId="7CF81B67" w14:textId="77777777" w:rsidR="00235D9D" w:rsidRPr="00D85C65" w:rsidRDefault="00966663">
            <w:pPr>
              <w:rPr>
                <w:rFonts w:ascii="Times New Roman" w:hAnsi="Times New Roman"/>
                <w:b/>
                <w:bCs/>
                <w:sz w:val="24"/>
                <w:u w:val="single"/>
              </w:rPr>
            </w:pPr>
            <w:r w:rsidRPr="00D85C65">
              <w:rPr>
                <w:rFonts w:ascii="Times New Roman" w:hAnsi="Times New Roman"/>
                <w:b/>
                <w:bCs/>
                <w:sz w:val="24"/>
                <w:u w:val="single"/>
              </w:rPr>
              <w:t>Miery proticyklického kapitálového vankúša</w:t>
            </w:r>
          </w:p>
        </w:tc>
      </w:tr>
      <w:tr w:rsidR="00235D9D" w:rsidRPr="00D85C65" w14:paraId="0F379AD6" w14:textId="77777777" w:rsidTr="00672D2A">
        <w:tc>
          <w:tcPr>
            <w:tcW w:w="1697" w:type="dxa"/>
          </w:tcPr>
          <w:p w14:paraId="1DD17E60" w14:textId="77777777" w:rsidR="00235D9D" w:rsidRPr="00D85C65" w:rsidRDefault="00966663">
            <w:pPr>
              <w:rPr>
                <w:rFonts w:ascii="Times New Roman" w:hAnsi="Times New Roman"/>
                <w:sz w:val="24"/>
              </w:rPr>
            </w:pPr>
            <w:r w:rsidRPr="00D85C65">
              <w:rPr>
                <w:rFonts w:ascii="Times New Roman" w:hAnsi="Times New Roman"/>
                <w:sz w:val="24"/>
              </w:rPr>
              <w:t>120</w:t>
            </w:r>
          </w:p>
        </w:tc>
        <w:tc>
          <w:tcPr>
            <w:tcW w:w="8131" w:type="dxa"/>
          </w:tcPr>
          <w:p w14:paraId="08E9E1AD" w14:textId="77777777" w:rsidR="00235D9D" w:rsidRPr="00D85C65" w:rsidRDefault="00966663">
            <w:pPr>
              <w:rPr>
                <w:rFonts w:ascii="Times New Roman" w:hAnsi="Times New Roman"/>
                <w:b/>
                <w:bCs/>
                <w:sz w:val="24"/>
                <w:u w:val="single"/>
              </w:rPr>
            </w:pPr>
            <w:r w:rsidRPr="00D85C65">
              <w:rPr>
                <w:rFonts w:ascii="Times New Roman" w:hAnsi="Times New Roman"/>
                <w:b/>
                <w:bCs/>
                <w:sz w:val="24"/>
                <w:u w:val="single"/>
              </w:rPr>
              <w:t>Miera proticyklického kapitálového vankúša stanovená určeným orgánom</w:t>
            </w:r>
          </w:p>
          <w:p w14:paraId="0F835130" w14:textId="5F622081" w:rsidR="00235D9D" w:rsidRPr="00D85C65" w:rsidRDefault="00966663">
            <w:pPr>
              <w:autoSpaceDE w:val="0"/>
              <w:autoSpaceDN w:val="0"/>
              <w:adjustRightInd w:val="0"/>
              <w:rPr>
                <w:rFonts w:ascii="Times New Roman" w:hAnsi="Times New Roman"/>
                <w:sz w:val="24"/>
              </w:rPr>
            </w:pPr>
            <w:r w:rsidRPr="00D85C65">
              <w:rPr>
                <w:rFonts w:ascii="Times New Roman" w:hAnsi="Times New Roman"/>
                <w:sz w:val="24"/>
              </w:rPr>
              <w:t>Miera proticyklického kapitálového vankúša stanovená pre dotknutú krajinu určeným orgánom danej krajiny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136, 137, 139, článkom 140 ods. 2 písm. a)</w:t>
            </w:r>
            <w:r w:rsidR="00D85C65">
              <w:rPr>
                <w:rFonts w:ascii="Times New Roman" w:hAnsi="Times New Roman"/>
                <w:sz w:val="24"/>
              </w:rPr>
              <w:t xml:space="preserve"> a </w:t>
            </w:r>
            <w:r w:rsidRPr="00D85C65">
              <w:rPr>
                <w:rFonts w:ascii="Times New Roman" w:hAnsi="Times New Roman"/>
                <w:sz w:val="24"/>
              </w:rPr>
              <w:t>c)</w:t>
            </w:r>
            <w:r w:rsidR="00D85C65">
              <w:rPr>
                <w:rFonts w:ascii="Times New Roman" w:hAnsi="Times New Roman"/>
                <w:sz w:val="24"/>
              </w:rPr>
              <w:t xml:space="preserve"> a </w:t>
            </w:r>
            <w:r w:rsidRPr="00D85C65">
              <w:rPr>
                <w:rFonts w:ascii="Times New Roman" w:hAnsi="Times New Roman"/>
                <w:sz w:val="24"/>
              </w:rPr>
              <w:t>článkom 140 ods. 3 písm. b) CRD.</w:t>
            </w:r>
          </w:p>
          <w:p w14:paraId="3BCE5FC7" w14:textId="77777777" w:rsidR="00235D9D" w:rsidRPr="00D85C65" w:rsidRDefault="00966663">
            <w:pPr>
              <w:autoSpaceDE w:val="0"/>
              <w:autoSpaceDN w:val="0"/>
              <w:adjustRightInd w:val="0"/>
              <w:rPr>
                <w:rFonts w:ascii="Times New Roman" w:hAnsi="Times New Roman"/>
                <w:sz w:val="24"/>
              </w:rPr>
            </w:pPr>
            <w:r w:rsidRPr="00D85C65">
              <w:rPr>
                <w:rFonts w:ascii="Times New Roman" w:hAnsi="Times New Roman"/>
                <w:sz w:val="24"/>
              </w:rPr>
              <w:t>Tento riadok sa nevypĺňa, ak určený orgán dotknutej krajiny nestanovil pre uvedenú krajinu žiadnu mieru proticyklického kapitálového vankúša.</w:t>
            </w:r>
          </w:p>
          <w:p w14:paraId="773D17C0" w14:textId="65CE0B1B" w:rsidR="00235D9D" w:rsidRPr="00D85C65" w:rsidRDefault="00966663">
            <w:pPr>
              <w:autoSpaceDE w:val="0"/>
              <w:autoSpaceDN w:val="0"/>
              <w:adjustRightInd w:val="0"/>
              <w:rPr>
                <w:rFonts w:ascii="Times New Roman" w:hAnsi="Times New Roman"/>
                <w:sz w:val="24"/>
              </w:rPr>
            </w:pPr>
            <w:r w:rsidRPr="00D85C65">
              <w:rPr>
                <w:rFonts w:ascii="Times New Roman" w:hAnsi="Times New Roman"/>
                <w:sz w:val="24"/>
              </w:rPr>
              <w:t>Miery proticyklického kapitálového vankúša, ktoré stanovil určený orgán, ale ktoré sa</w:t>
            </w:r>
            <w:r w:rsidR="00D85C65">
              <w:rPr>
                <w:rFonts w:ascii="Times New Roman" w:hAnsi="Times New Roman"/>
                <w:sz w:val="24"/>
              </w:rPr>
              <w:t xml:space="preserve"> v </w:t>
            </w:r>
            <w:r w:rsidRPr="00D85C65">
              <w:rPr>
                <w:rFonts w:ascii="Times New Roman" w:hAnsi="Times New Roman"/>
                <w:sz w:val="24"/>
              </w:rPr>
              <w:t>dotknutej krajine</w:t>
            </w:r>
            <w:r w:rsidR="00D85C65">
              <w:rPr>
                <w:rFonts w:ascii="Times New Roman" w:hAnsi="Times New Roman"/>
                <w:sz w:val="24"/>
              </w:rPr>
              <w:t xml:space="preserve"> k </w:t>
            </w:r>
            <w:r w:rsidRPr="00D85C65">
              <w:rPr>
                <w:rFonts w:ascii="Times New Roman" w:hAnsi="Times New Roman"/>
                <w:sz w:val="24"/>
              </w:rPr>
              <w:t>referenčnému dátumu vykazovania ešte neuplatňujú, sa nevykazujú.</w:t>
            </w:r>
          </w:p>
          <w:p w14:paraId="7DC5255F" w14:textId="2DE3E306" w:rsidR="00235D9D" w:rsidRPr="00D85C65" w:rsidRDefault="00966663">
            <w:pPr>
              <w:rPr>
                <w:rFonts w:ascii="Times New Roman" w:hAnsi="Times New Roman"/>
                <w:b/>
                <w:bCs/>
                <w:sz w:val="24"/>
                <w:u w:val="single"/>
              </w:rPr>
            </w:pPr>
            <w:r w:rsidRPr="00D85C65">
              <w:rPr>
                <w:rFonts w:ascii="Times New Roman" w:hAnsi="Times New Roman"/>
                <w:sz w:val="24"/>
              </w:rPr>
              <w:t>Informácie</w:t>
            </w:r>
            <w:r w:rsidR="00D85C65">
              <w:rPr>
                <w:rFonts w:ascii="Times New Roman" w:hAnsi="Times New Roman"/>
                <w:sz w:val="24"/>
              </w:rPr>
              <w:t xml:space="preserve"> o </w:t>
            </w:r>
            <w:r w:rsidRPr="00D85C65">
              <w:rPr>
                <w:rFonts w:ascii="Times New Roman" w:hAnsi="Times New Roman"/>
                <w:sz w:val="24"/>
              </w:rPr>
              <w:t xml:space="preserve">miere proticyklického kapitálového vankúša, ktorú stanovil určený orgán, sa nevykazujú pre riadok „spolu“, ktorý odkazuje na súčet všetkých krajín. </w:t>
            </w:r>
          </w:p>
        </w:tc>
      </w:tr>
      <w:tr w:rsidR="00235D9D" w:rsidRPr="00D85C65" w14:paraId="22D3265F" w14:textId="77777777" w:rsidTr="00672D2A">
        <w:tc>
          <w:tcPr>
            <w:tcW w:w="1697" w:type="dxa"/>
          </w:tcPr>
          <w:p w14:paraId="633BB7D1" w14:textId="77777777" w:rsidR="00235D9D" w:rsidRPr="00D85C65" w:rsidRDefault="00966663">
            <w:pPr>
              <w:rPr>
                <w:rFonts w:ascii="Times New Roman" w:hAnsi="Times New Roman"/>
                <w:sz w:val="24"/>
              </w:rPr>
            </w:pPr>
            <w:r w:rsidRPr="00D85C65">
              <w:rPr>
                <w:rFonts w:ascii="Times New Roman" w:hAnsi="Times New Roman"/>
                <w:sz w:val="24"/>
              </w:rPr>
              <w:t>130</w:t>
            </w:r>
          </w:p>
        </w:tc>
        <w:tc>
          <w:tcPr>
            <w:tcW w:w="8131" w:type="dxa"/>
          </w:tcPr>
          <w:p w14:paraId="0507AFFC" w14:textId="77777777" w:rsidR="00235D9D" w:rsidRPr="00D85C65" w:rsidRDefault="00966663">
            <w:pPr>
              <w:rPr>
                <w:rFonts w:ascii="Times New Roman" w:hAnsi="Times New Roman"/>
                <w:b/>
                <w:bCs/>
                <w:sz w:val="24"/>
                <w:u w:val="single"/>
              </w:rPr>
            </w:pPr>
            <w:r w:rsidRPr="00D85C65">
              <w:rPr>
                <w:rFonts w:ascii="Times New Roman" w:hAnsi="Times New Roman"/>
                <w:b/>
                <w:bCs/>
                <w:sz w:val="24"/>
                <w:u w:val="single"/>
              </w:rPr>
              <w:t>Miera proticyklického kapitálového vankúša uplatniteľná pre krajinu inštitúcie</w:t>
            </w:r>
          </w:p>
          <w:p w14:paraId="12F70EF9" w14:textId="230F22C2" w:rsidR="00235D9D" w:rsidRPr="00D85C65" w:rsidRDefault="00966663">
            <w:pPr>
              <w:autoSpaceDE w:val="0"/>
              <w:autoSpaceDN w:val="0"/>
              <w:adjustRightInd w:val="0"/>
              <w:rPr>
                <w:rFonts w:ascii="Times New Roman" w:hAnsi="Times New Roman"/>
                <w:sz w:val="24"/>
              </w:rPr>
            </w:pPr>
            <w:r w:rsidRPr="00D85C65">
              <w:rPr>
                <w:rFonts w:ascii="Times New Roman" w:hAnsi="Times New Roman"/>
                <w:sz w:val="24"/>
              </w:rPr>
              <w:t>Miera proticyklického kapitálového vankúša uplatniteľná pre dotknutú krajinu, ktorú stanovil určený orgán krajiny sídla inštitúcie,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137, 138</w:t>
            </w:r>
            <w:r w:rsidR="00D85C65">
              <w:rPr>
                <w:rFonts w:ascii="Times New Roman" w:hAnsi="Times New Roman"/>
                <w:sz w:val="24"/>
              </w:rPr>
              <w:t xml:space="preserve"> a </w:t>
            </w:r>
            <w:r w:rsidRPr="00D85C65">
              <w:rPr>
                <w:rFonts w:ascii="Times New Roman" w:hAnsi="Times New Roman"/>
                <w:sz w:val="24"/>
              </w:rPr>
              <w:t>139, článkom 140 ods. 2 písm. b)</w:t>
            </w:r>
            <w:r w:rsidR="00D85C65">
              <w:rPr>
                <w:rFonts w:ascii="Times New Roman" w:hAnsi="Times New Roman"/>
                <w:sz w:val="24"/>
              </w:rPr>
              <w:t xml:space="preserve"> a </w:t>
            </w:r>
            <w:r w:rsidRPr="00D85C65">
              <w:rPr>
                <w:rFonts w:ascii="Times New Roman" w:hAnsi="Times New Roman"/>
                <w:sz w:val="24"/>
              </w:rPr>
              <w:t>článkom140 ods. 3 písm. a) CRD. Miery proticyklického kapitálového vankúša, ktoré sa</w:t>
            </w:r>
            <w:r w:rsidR="00D85C65">
              <w:rPr>
                <w:rFonts w:ascii="Times New Roman" w:hAnsi="Times New Roman"/>
                <w:sz w:val="24"/>
              </w:rPr>
              <w:t xml:space="preserve"> k </w:t>
            </w:r>
            <w:r w:rsidRPr="00D85C65">
              <w:rPr>
                <w:rFonts w:ascii="Times New Roman" w:hAnsi="Times New Roman"/>
                <w:sz w:val="24"/>
              </w:rPr>
              <w:t>referenčnému dátumu vykazovania ešte neuplatňujú, sa nevykazujú.</w:t>
            </w:r>
          </w:p>
          <w:p w14:paraId="2B061151" w14:textId="34E36CA6" w:rsidR="00235D9D" w:rsidRPr="00D85C65" w:rsidRDefault="00966663">
            <w:pPr>
              <w:rPr>
                <w:rFonts w:ascii="Times New Roman" w:hAnsi="Times New Roman"/>
                <w:b/>
                <w:bCs/>
                <w:sz w:val="24"/>
                <w:u w:val="single"/>
              </w:rPr>
            </w:pPr>
            <w:r w:rsidRPr="00D85C65">
              <w:rPr>
                <w:rFonts w:ascii="Times New Roman" w:hAnsi="Times New Roman"/>
                <w:sz w:val="24"/>
              </w:rPr>
              <w:t>Informácie</w:t>
            </w:r>
            <w:r w:rsidR="00D85C65">
              <w:rPr>
                <w:rFonts w:ascii="Times New Roman" w:hAnsi="Times New Roman"/>
                <w:sz w:val="24"/>
              </w:rPr>
              <w:t xml:space="preserve"> o </w:t>
            </w:r>
            <w:r w:rsidRPr="00D85C65">
              <w:rPr>
                <w:rFonts w:ascii="Times New Roman" w:hAnsi="Times New Roman"/>
                <w:sz w:val="24"/>
              </w:rPr>
              <w:t>miere proticyklického kapitálového vankúša</w:t>
            </w:r>
            <w:r w:rsidR="00D85C65">
              <w:rPr>
                <w:rFonts w:ascii="Times New Roman" w:hAnsi="Times New Roman"/>
                <w:sz w:val="24"/>
              </w:rPr>
              <w:t xml:space="preserve"> v </w:t>
            </w:r>
            <w:r w:rsidRPr="00D85C65">
              <w:rPr>
                <w:rFonts w:ascii="Times New Roman" w:hAnsi="Times New Roman"/>
                <w:sz w:val="24"/>
              </w:rPr>
              <w:t>krajine inštitúcie sa nevykazujú pre riadok „spolu“, ktorý odkazuje na súčet všetkých krajín.</w:t>
            </w:r>
          </w:p>
        </w:tc>
      </w:tr>
      <w:tr w:rsidR="00235D9D" w:rsidRPr="00D85C65" w14:paraId="262440CD" w14:textId="77777777" w:rsidTr="00672D2A">
        <w:tc>
          <w:tcPr>
            <w:tcW w:w="1697" w:type="dxa"/>
          </w:tcPr>
          <w:p w14:paraId="1973CB1A" w14:textId="77777777" w:rsidR="00235D9D" w:rsidRPr="00D85C65" w:rsidRDefault="00966663">
            <w:pPr>
              <w:rPr>
                <w:rFonts w:ascii="Times New Roman" w:hAnsi="Times New Roman"/>
                <w:sz w:val="24"/>
              </w:rPr>
            </w:pPr>
            <w:r w:rsidRPr="00D85C65">
              <w:rPr>
                <w:rFonts w:ascii="Times New Roman" w:hAnsi="Times New Roman"/>
                <w:sz w:val="24"/>
              </w:rPr>
              <w:t>140</w:t>
            </w:r>
          </w:p>
        </w:tc>
        <w:tc>
          <w:tcPr>
            <w:tcW w:w="8131" w:type="dxa"/>
          </w:tcPr>
          <w:p w14:paraId="531B4924" w14:textId="77777777" w:rsidR="00D85C65" w:rsidRDefault="00966663">
            <w:pPr>
              <w:rPr>
                <w:rFonts w:ascii="Times New Roman" w:hAnsi="Times New Roman"/>
                <w:b/>
                <w:bCs/>
                <w:sz w:val="24"/>
                <w:u w:val="single"/>
              </w:rPr>
            </w:pPr>
            <w:r w:rsidRPr="00D85C65">
              <w:rPr>
                <w:rFonts w:ascii="Times New Roman" w:hAnsi="Times New Roman"/>
                <w:b/>
                <w:bCs/>
                <w:sz w:val="24"/>
                <w:u w:val="single"/>
              </w:rPr>
              <w:t>Miera proticyklického kapitálového vankúša špecifického pre inštitúciu</w:t>
            </w:r>
          </w:p>
          <w:p w14:paraId="0B5067D7" w14:textId="544E18D3" w:rsidR="00D85C65" w:rsidRDefault="00966663">
            <w:pPr>
              <w:autoSpaceDE w:val="0"/>
              <w:autoSpaceDN w:val="0"/>
              <w:adjustRightInd w:val="0"/>
              <w:rPr>
                <w:rFonts w:ascii="Times New Roman" w:hAnsi="Times New Roman"/>
                <w:sz w:val="24"/>
              </w:rPr>
            </w:pPr>
            <w:r w:rsidRPr="00D85C65">
              <w:rPr>
                <w:rFonts w:ascii="Times New Roman" w:hAnsi="Times New Roman"/>
                <w:sz w:val="24"/>
              </w:rPr>
              <w:t>Miera proticyklického kapitálového vankúša špecifického pre inštitúciu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140 ods. 1 CRD</w:t>
            </w:r>
            <w:r w:rsidR="00D85C65">
              <w:rPr>
                <w:rFonts w:ascii="Times New Roman" w:hAnsi="Times New Roman"/>
                <w:sz w:val="24"/>
              </w:rPr>
              <w:t>.</w:t>
            </w:r>
          </w:p>
          <w:p w14:paraId="768F6D06" w14:textId="40FC70D4" w:rsidR="00235D9D" w:rsidRPr="00D85C65" w:rsidRDefault="00966663">
            <w:pPr>
              <w:autoSpaceDE w:val="0"/>
              <w:autoSpaceDN w:val="0"/>
              <w:adjustRightInd w:val="0"/>
              <w:rPr>
                <w:rFonts w:ascii="Times New Roman" w:hAnsi="Times New Roman"/>
                <w:sz w:val="24"/>
              </w:rPr>
            </w:pPr>
            <w:r w:rsidRPr="00D85C65">
              <w:rPr>
                <w:rFonts w:ascii="Times New Roman" w:hAnsi="Times New Roman"/>
                <w:sz w:val="24"/>
              </w:rPr>
              <w:t>Miera proticyklického kapitálového vankúša špecifického pre inštitúciu sa vypočítava ako vážený priemer mier proticyklického kapitálového vankúša, ktoré sa uplatňujú</w:t>
            </w:r>
            <w:r w:rsidR="00D85C65">
              <w:rPr>
                <w:rFonts w:ascii="Times New Roman" w:hAnsi="Times New Roman"/>
                <w:sz w:val="24"/>
              </w:rPr>
              <w:t xml:space="preserve"> v </w:t>
            </w:r>
            <w:r w:rsidRPr="00D85C65">
              <w:rPr>
                <w:rFonts w:ascii="Times New Roman" w:hAnsi="Times New Roman"/>
                <w:sz w:val="24"/>
              </w:rPr>
              <w:t>jurisdikciách,</w:t>
            </w:r>
            <w:r w:rsidR="00D85C65">
              <w:rPr>
                <w:rFonts w:ascii="Times New Roman" w:hAnsi="Times New Roman"/>
                <w:sz w:val="24"/>
              </w:rPr>
              <w:t xml:space="preserve"> v </w:t>
            </w:r>
            <w:r w:rsidRPr="00D85C65">
              <w:rPr>
                <w:rFonts w:ascii="Times New Roman" w:hAnsi="Times New Roman"/>
                <w:sz w:val="24"/>
              </w:rPr>
              <w:t>ktorých sa príslušné expozície voči kreditnému riziku inštitúcie nachádzajú, alebo ktoré sa na základe článku 139 ods. 2 alebo 3 CRD uplatňujú na účely článku 140. Príslušná miera proticyklického kapitálového vankúša sa uvádza</w:t>
            </w:r>
            <w:r w:rsidR="00D85C65">
              <w:rPr>
                <w:rFonts w:ascii="Times New Roman" w:hAnsi="Times New Roman"/>
                <w:sz w:val="24"/>
              </w:rPr>
              <w:t xml:space="preserve"> v </w:t>
            </w:r>
            <w:r w:rsidRPr="00D85C65">
              <w:rPr>
                <w:rFonts w:ascii="Times New Roman" w:hAnsi="Times New Roman"/>
                <w:sz w:val="24"/>
              </w:rPr>
              <w:t>[r120; c020; ], alebo [informačnom liste krajiny r130; c020; informačný list krajiny] podľa toho, ktorý sa uplatňuje.</w:t>
            </w:r>
          </w:p>
          <w:p w14:paraId="3A351E50" w14:textId="42DEA888" w:rsidR="00D85C65" w:rsidRDefault="00966663">
            <w:pPr>
              <w:autoSpaceDE w:val="0"/>
              <w:autoSpaceDN w:val="0"/>
              <w:adjustRightInd w:val="0"/>
              <w:rPr>
                <w:rFonts w:ascii="Times New Roman" w:hAnsi="Times New Roman"/>
                <w:sz w:val="24"/>
              </w:rPr>
            </w:pPr>
            <w:r w:rsidRPr="00D85C65">
              <w:rPr>
                <w:rFonts w:ascii="Times New Roman" w:hAnsi="Times New Roman"/>
                <w:sz w:val="24"/>
              </w:rPr>
              <w:lastRenderedPageBreak/>
              <w:t>Váha uplatnená na mieru proticyklického kapitálového vankúša</w:t>
            </w:r>
            <w:r w:rsidR="00D85C65">
              <w:rPr>
                <w:rFonts w:ascii="Times New Roman" w:hAnsi="Times New Roman"/>
                <w:sz w:val="24"/>
              </w:rPr>
              <w:t xml:space="preserve"> v </w:t>
            </w:r>
            <w:r w:rsidRPr="00D85C65">
              <w:rPr>
                <w:rFonts w:ascii="Times New Roman" w:hAnsi="Times New Roman"/>
                <w:sz w:val="24"/>
              </w:rPr>
              <w:t>jednotlivých krajinách je podiel požiadaviek na vlastné zdroje na požiadavkách na celkové vlastné zdroje</w:t>
            </w:r>
            <w:r w:rsidR="00D85C65">
              <w:rPr>
                <w:rFonts w:ascii="Times New Roman" w:hAnsi="Times New Roman"/>
                <w:sz w:val="24"/>
              </w:rPr>
              <w:t xml:space="preserve"> a </w:t>
            </w:r>
            <w:r w:rsidRPr="00D85C65">
              <w:rPr>
                <w:rFonts w:ascii="Times New Roman" w:hAnsi="Times New Roman"/>
                <w:sz w:val="24"/>
              </w:rPr>
              <w:t>vykazuje sa</w:t>
            </w:r>
            <w:r w:rsidR="00D85C65">
              <w:rPr>
                <w:rFonts w:ascii="Times New Roman" w:hAnsi="Times New Roman"/>
                <w:sz w:val="24"/>
              </w:rPr>
              <w:t xml:space="preserve"> v </w:t>
            </w:r>
            <w:r w:rsidRPr="00D85C65">
              <w:rPr>
                <w:rFonts w:ascii="Times New Roman" w:hAnsi="Times New Roman"/>
                <w:sz w:val="24"/>
              </w:rPr>
              <w:t>[r110; c020; ]</w:t>
            </w:r>
            <w:r w:rsidR="00D85C65">
              <w:rPr>
                <w:rFonts w:ascii="Times New Roman" w:hAnsi="Times New Roman"/>
                <w:sz w:val="24"/>
              </w:rPr>
              <w:t>.</w:t>
            </w:r>
          </w:p>
          <w:p w14:paraId="49E66101" w14:textId="1CE4BAAB" w:rsidR="00235D9D" w:rsidRPr="00D85C65" w:rsidRDefault="00966663">
            <w:pPr>
              <w:rPr>
                <w:rFonts w:ascii="Times New Roman" w:hAnsi="Times New Roman"/>
                <w:b/>
                <w:bCs/>
                <w:sz w:val="24"/>
                <w:u w:val="single"/>
              </w:rPr>
            </w:pPr>
            <w:r w:rsidRPr="00D85C65">
              <w:rPr>
                <w:rFonts w:ascii="Times New Roman" w:hAnsi="Times New Roman"/>
                <w:sz w:val="24"/>
              </w:rPr>
              <w:t>Informácie</w:t>
            </w:r>
            <w:r w:rsidR="00D85C65">
              <w:rPr>
                <w:rFonts w:ascii="Times New Roman" w:hAnsi="Times New Roman"/>
                <w:sz w:val="24"/>
              </w:rPr>
              <w:t xml:space="preserve"> o </w:t>
            </w:r>
            <w:r w:rsidRPr="00D85C65">
              <w:rPr>
                <w:rFonts w:ascii="Times New Roman" w:hAnsi="Times New Roman"/>
                <w:sz w:val="24"/>
              </w:rPr>
              <w:t>miere proticyklického kapitálového vankúša špecifického pre inštitúciu sa vykazujú iba pre riadok „spolu“, ktorý odkazuje na súčet všetkých krajín,</w:t>
            </w:r>
            <w:r w:rsidR="00D85C65">
              <w:rPr>
                <w:rFonts w:ascii="Times New Roman" w:hAnsi="Times New Roman"/>
                <w:sz w:val="24"/>
              </w:rPr>
              <w:t xml:space="preserve"> a </w:t>
            </w:r>
            <w:r w:rsidRPr="00D85C65">
              <w:rPr>
                <w:rFonts w:ascii="Times New Roman" w:hAnsi="Times New Roman"/>
                <w:sz w:val="24"/>
              </w:rPr>
              <w:t>nie pre každú krajinu osobitne.</w:t>
            </w:r>
          </w:p>
        </w:tc>
      </w:tr>
      <w:tr w:rsidR="00235D9D" w:rsidRPr="00D85C65" w14:paraId="64DE1759" w14:textId="77777777" w:rsidTr="00672D2A">
        <w:tc>
          <w:tcPr>
            <w:tcW w:w="1697" w:type="dxa"/>
          </w:tcPr>
          <w:p w14:paraId="57D6BF5B" w14:textId="77777777" w:rsidR="00235D9D" w:rsidRPr="00D85C65" w:rsidRDefault="006B1A77">
            <w:pPr>
              <w:rPr>
                <w:rFonts w:ascii="Times New Roman" w:hAnsi="Times New Roman"/>
                <w:sz w:val="24"/>
              </w:rPr>
            </w:pPr>
            <w:r w:rsidRPr="00D85C65">
              <w:rPr>
                <w:rFonts w:ascii="Times New Roman" w:hAnsi="Times New Roman"/>
                <w:sz w:val="24"/>
              </w:rPr>
              <w:lastRenderedPageBreak/>
              <w:t>150 – 160</w:t>
            </w:r>
          </w:p>
        </w:tc>
        <w:tc>
          <w:tcPr>
            <w:tcW w:w="8131" w:type="dxa"/>
          </w:tcPr>
          <w:p w14:paraId="6477D974" w14:textId="77777777" w:rsidR="00235D9D" w:rsidRPr="00D85C65" w:rsidRDefault="006B1A77">
            <w:pPr>
              <w:rPr>
                <w:rFonts w:ascii="Times New Roman" w:hAnsi="Times New Roman"/>
                <w:b/>
                <w:bCs/>
                <w:sz w:val="24"/>
                <w:u w:val="single"/>
              </w:rPr>
            </w:pPr>
            <w:r w:rsidRPr="00D85C65">
              <w:rPr>
                <w:rFonts w:ascii="Times New Roman" w:hAnsi="Times New Roman"/>
                <w:b/>
                <w:bCs/>
                <w:sz w:val="24"/>
                <w:u w:val="single"/>
              </w:rPr>
              <w:t>Použitie 2-percentnej prahovej hodnoty</w:t>
            </w:r>
          </w:p>
        </w:tc>
      </w:tr>
      <w:tr w:rsidR="00235D9D" w:rsidRPr="00D85C65" w14:paraId="27996DE3" w14:textId="77777777" w:rsidTr="00672D2A">
        <w:tc>
          <w:tcPr>
            <w:tcW w:w="1697" w:type="dxa"/>
          </w:tcPr>
          <w:p w14:paraId="373293DD" w14:textId="77777777" w:rsidR="00235D9D" w:rsidRPr="00D85C65" w:rsidRDefault="00966663">
            <w:pPr>
              <w:rPr>
                <w:rFonts w:ascii="Times New Roman" w:hAnsi="Times New Roman"/>
                <w:sz w:val="24"/>
              </w:rPr>
            </w:pPr>
            <w:r w:rsidRPr="00D85C65">
              <w:rPr>
                <w:rFonts w:ascii="Times New Roman" w:hAnsi="Times New Roman"/>
                <w:sz w:val="24"/>
              </w:rPr>
              <w:t>150</w:t>
            </w:r>
          </w:p>
        </w:tc>
        <w:tc>
          <w:tcPr>
            <w:tcW w:w="8131" w:type="dxa"/>
          </w:tcPr>
          <w:p w14:paraId="057ABBD6" w14:textId="77777777" w:rsidR="00D85C65" w:rsidRDefault="00FC0B81">
            <w:pPr>
              <w:autoSpaceDE w:val="0"/>
              <w:autoSpaceDN w:val="0"/>
              <w:adjustRightInd w:val="0"/>
              <w:rPr>
                <w:rFonts w:ascii="Times New Roman" w:hAnsi="Times New Roman"/>
                <w:sz w:val="24"/>
              </w:rPr>
            </w:pPr>
            <w:r w:rsidRPr="00D85C65">
              <w:rPr>
                <w:rFonts w:ascii="Times New Roman" w:hAnsi="Times New Roman"/>
                <w:b/>
                <w:bCs/>
                <w:sz w:val="24"/>
                <w:u w:val="single"/>
              </w:rPr>
              <w:t>Použitie 2-percentnej prahovej hodnoty pre všeobecné expozície voči kreditnému riziku</w:t>
            </w:r>
          </w:p>
          <w:p w14:paraId="26FF49BD" w14:textId="7E1E7229" w:rsidR="00235D9D" w:rsidRPr="00D85C65" w:rsidRDefault="006A3A82">
            <w:pPr>
              <w:autoSpaceDE w:val="0"/>
              <w:autoSpaceDN w:val="0"/>
              <w:adjustRightInd w:val="0"/>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 ods. 5 písm. b) delegova</w:t>
            </w:r>
            <w:r w:rsidR="00E13EA5">
              <w:rPr>
                <w:rFonts w:ascii="Times New Roman" w:hAnsi="Times New Roman"/>
                <w:sz w:val="24"/>
              </w:rPr>
              <w:t>ného nariadenia Komisie (EÚ) č. </w:t>
            </w:r>
            <w:r w:rsidRPr="00D85C65">
              <w:rPr>
                <w:rFonts w:ascii="Times New Roman" w:hAnsi="Times New Roman"/>
                <w:sz w:val="24"/>
              </w:rPr>
              <w:t>1152/2014 zahraničné všeobecné expozície voči kreditnému riziku, ktorých súhrn nepresahuje 2</w:t>
            </w:r>
            <w:r w:rsidR="00D85C65">
              <w:rPr>
                <w:rFonts w:ascii="Times New Roman" w:hAnsi="Times New Roman"/>
                <w:sz w:val="24"/>
              </w:rPr>
              <w:t> %</w:t>
            </w:r>
            <w:r w:rsidRPr="00D85C65">
              <w:rPr>
                <w:rFonts w:ascii="Times New Roman" w:hAnsi="Times New Roman"/>
                <w:sz w:val="24"/>
              </w:rPr>
              <w:t xml:space="preserve"> súhrnu všeobecných expozícií voči kreditnému riziku, expozícií</w:t>
            </w:r>
            <w:r w:rsidR="00D85C65">
              <w:rPr>
                <w:rFonts w:ascii="Times New Roman" w:hAnsi="Times New Roman"/>
                <w:sz w:val="24"/>
              </w:rPr>
              <w:t xml:space="preserve"> v </w:t>
            </w:r>
            <w:r w:rsidRPr="00D85C65">
              <w:rPr>
                <w:rFonts w:ascii="Times New Roman" w:hAnsi="Times New Roman"/>
                <w:sz w:val="24"/>
              </w:rPr>
              <w:t>obchodnej knihe</w:t>
            </w:r>
            <w:r w:rsidR="00D85C65">
              <w:rPr>
                <w:rFonts w:ascii="Times New Roman" w:hAnsi="Times New Roman"/>
                <w:sz w:val="24"/>
              </w:rPr>
              <w:t xml:space="preserve"> a </w:t>
            </w:r>
            <w:r w:rsidRPr="00D85C65">
              <w:rPr>
                <w:rFonts w:ascii="Times New Roman" w:hAnsi="Times New Roman"/>
                <w:sz w:val="24"/>
              </w:rPr>
              <w:t>sekuritizačných expozícií uvedenej inštitúcie, možno prideliť domovskému členskému štátu inštitúcií. Súhrn všeobecných expozícií voči kreditnému riziku, expozícií</w:t>
            </w:r>
            <w:r w:rsidR="00D85C65">
              <w:rPr>
                <w:rFonts w:ascii="Times New Roman" w:hAnsi="Times New Roman"/>
                <w:sz w:val="24"/>
              </w:rPr>
              <w:t xml:space="preserve"> v </w:t>
            </w:r>
            <w:r w:rsidRPr="00D85C65">
              <w:rPr>
                <w:rFonts w:ascii="Times New Roman" w:hAnsi="Times New Roman"/>
                <w:sz w:val="24"/>
              </w:rPr>
              <w:t>obchodnej knihe</w:t>
            </w:r>
            <w:r w:rsidR="00D85C65">
              <w:rPr>
                <w:rFonts w:ascii="Times New Roman" w:hAnsi="Times New Roman"/>
                <w:sz w:val="24"/>
              </w:rPr>
              <w:t xml:space="preserve"> a </w:t>
            </w:r>
            <w:r w:rsidRPr="00D85C65">
              <w:rPr>
                <w:rFonts w:ascii="Times New Roman" w:hAnsi="Times New Roman"/>
                <w:sz w:val="24"/>
              </w:rPr>
              <w:t>sekuritizačných expozícií sa vypočítava tak, že sa vylúčia všeobecné expozície voči kreditnému riziku umiestnené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 ods. 5 písm. a)</w:t>
            </w:r>
            <w:r w:rsidR="00D85C65">
              <w:rPr>
                <w:rFonts w:ascii="Times New Roman" w:hAnsi="Times New Roman"/>
                <w:sz w:val="24"/>
              </w:rPr>
              <w:t xml:space="preserve"> a </w:t>
            </w:r>
            <w:r w:rsidRPr="00D85C65">
              <w:rPr>
                <w:rFonts w:ascii="Times New Roman" w:hAnsi="Times New Roman"/>
                <w:sz w:val="24"/>
              </w:rPr>
              <w:t>článkom 2 ods. 4 delegovaného nariadenia Komisie (EÚ) č. 1152/2014.</w:t>
            </w:r>
          </w:p>
          <w:p w14:paraId="2ABCAAFB" w14:textId="63CEE3E9" w:rsidR="00235D9D" w:rsidRPr="00D85C65" w:rsidRDefault="006A3A82">
            <w:pPr>
              <w:autoSpaceDE w:val="0"/>
              <w:autoSpaceDN w:val="0"/>
              <w:adjustRightInd w:val="0"/>
              <w:rPr>
                <w:rFonts w:ascii="Times New Roman" w:hAnsi="Times New Roman"/>
                <w:sz w:val="24"/>
              </w:rPr>
            </w:pPr>
            <w:r w:rsidRPr="00D85C65">
              <w:rPr>
                <w:rFonts w:ascii="Times New Roman" w:hAnsi="Times New Roman"/>
                <w:sz w:val="24"/>
              </w:rPr>
              <w:t>Ak inštitúcia využije túto odchýlku, uvedie vo vzore pre jurisdikciu zodpovedajúcu jej domovskému členskému štátu</w:t>
            </w:r>
            <w:r w:rsidR="00D85C65">
              <w:rPr>
                <w:rFonts w:ascii="Times New Roman" w:hAnsi="Times New Roman"/>
                <w:sz w:val="24"/>
              </w:rPr>
              <w:t xml:space="preserve"> a </w:t>
            </w:r>
            <w:r w:rsidRPr="00D85C65">
              <w:rPr>
                <w:rFonts w:ascii="Times New Roman" w:hAnsi="Times New Roman"/>
                <w:sz w:val="24"/>
              </w:rPr>
              <w:t>pre riadok „spolu“, ktorý odkazuje na súčet všetkých krajín, hodnotu „y“.</w:t>
            </w:r>
          </w:p>
          <w:p w14:paraId="22F8386D" w14:textId="47D593C5" w:rsidR="00235D9D" w:rsidRPr="00D85C65" w:rsidRDefault="006A3A82">
            <w:pPr>
              <w:autoSpaceDE w:val="0"/>
              <w:autoSpaceDN w:val="0"/>
              <w:adjustRightInd w:val="0"/>
              <w:rPr>
                <w:rFonts w:ascii="Times New Roman" w:hAnsi="Times New Roman"/>
                <w:sz w:val="24"/>
              </w:rPr>
            </w:pPr>
            <w:r w:rsidRPr="00D85C65">
              <w:rPr>
                <w:rFonts w:ascii="Times New Roman" w:hAnsi="Times New Roman"/>
                <w:sz w:val="24"/>
              </w:rPr>
              <w:t>Ak inštitúcia túto výnimku nevyužije, uvedie</w:t>
            </w:r>
            <w:r w:rsidR="00D85C65">
              <w:rPr>
                <w:rFonts w:ascii="Times New Roman" w:hAnsi="Times New Roman"/>
                <w:sz w:val="24"/>
              </w:rPr>
              <w:t xml:space="preserve"> v </w:t>
            </w:r>
            <w:r w:rsidRPr="00D85C65">
              <w:rPr>
                <w:rFonts w:ascii="Times New Roman" w:hAnsi="Times New Roman"/>
                <w:sz w:val="24"/>
              </w:rPr>
              <w:t>príslušnej bunke hodnotu „n“.</w:t>
            </w:r>
          </w:p>
        </w:tc>
      </w:tr>
      <w:tr w:rsidR="00235D9D" w:rsidRPr="00D85C65" w14:paraId="72684D83" w14:textId="77777777" w:rsidTr="00672D2A">
        <w:tc>
          <w:tcPr>
            <w:tcW w:w="1697" w:type="dxa"/>
          </w:tcPr>
          <w:p w14:paraId="44197176" w14:textId="77777777" w:rsidR="00235D9D" w:rsidRPr="00D85C65" w:rsidRDefault="00966663">
            <w:pPr>
              <w:rPr>
                <w:rFonts w:ascii="Times New Roman" w:hAnsi="Times New Roman"/>
                <w:sz w:val="24"/>
              </w:rPr>
            </w:pPr>
            <w:r w:rsidRPr="00D85C65">
              <w:rPr>
                <w:rFonts w:ascii="Times New Roman" w:hAnsi="Times New Roman"/>
                <w:sz w:val="24"/>
              </w:rPr>
              <w:t>160</w:t>
            </w:r>
          </w:p>
        </w:tc>
        <w:tc>
          <w:tcPr>
            <w:tcW w:w="8131" w:type="dxa"/>
          </w:tcPr>
          <w:p w14:paraId="1F228719" w14:textId="0595CCAA" w:rsidR="00235D9D" w:rsidRPr="00D85C65" w:rsidRDefault="00FC0B81">
            <w:pPr>
              <w:autoSpaceDE w:val="0"/>
              <w:autoSpaceDN w:val="0"/>
              <w:adjustRightInd w:val="0"/>
              <w:rPr>
                <w:rFonts w:ascii="Times New Roman" w:hAnsi="Times New Roman"/>
                <w:sz w:val="24"/>
              </w:rPr>
            </w:pPr>
            <w:r w:rsidRPr="00D85C65">
              <w:rPr>
                <w:rFonts w:ascii="Times New Roman" w:hAnsi="Times New Roman"/>
                <w:b/>
                <w:bCs/>
                <w:sz w:val="24"/>
                <w:u w:val="single"/>
              </w:rPr>
              <w:t>Použitie 2-percentnej prahovej hodnoty pre expozíciu</w:t>
            </w:r>
            <w:r w:rsidR="00D85C65">
              <w:rPr>
                <w:rFonts w:ascii="Times New Roman" w:hAnsi="Times New Roman"/>
                <w:b/>
                <w:bCs/>
                <w:sz w:val="24"/>
                <w:u w:val="single"/>
              </w:rPr>
              <w:t xml:space="preserve"> v </w:t>
            </w:r>
            <w:r w:rsidRPr="00D85C65">
              <w:rPr>
                <w:rFonts w:ascii="Times New Roman" w:hAnsi="Times New Roman"/>
                <w:b/>
                <w:bCs/>
                <w:sz w:val="24"/>
                <w:u w:val="single"/>
              </w:rPr>
              <w:t>obchodnej knihe</w:t>
            </w:r>
          </w:p>
          <w:p w14:paraId="0AA58BA6" w14:textId="1C014DC7" w:rsidR="00235D9D" w:rsidRPr="00D85C65" w:rsidRDefault="006A3A82">
            <w:pPr>
              <w:autoSpaceDE w:val="0"/>
              <w:autoSpaceDN w:val="0"/>
              <w:adjustRightInd w:val="0"/>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3 ods. 3 delegovaného nariadenia Komisie (EÚ) č. 1152/2014 môžu inštitúcie prideliť expozície</w:t>
            </w:r>
            <w:r w:rsidR="00D85C65">
              <w:rPr>
                <w:rFonts w:ascii="Times New Roman" w:hAnsi="Times New Roman"/>
                <w:sz w:val="24"/>
              </w:rPr>
              <w:t xml:space="preserve"> v </w:t>
            </w:r>
            <w:r w:rsidRPr="00D85C65">
              <w:rPr>
                <w:rFonts w:ascii="Times New Roman" w:hAnsi="Times New Roman"/>
                <w:sz w:val="24"/>
              </w:rPr>
              <w:t>obchodnej knihe svojmu domovskému členskému štátu, ak celkové expozície</w:t>
            </w:r>
            <w:r w:rsidR="00D85C65">
              <w:rPr>
                <w:rFonts w:ascii="Times New Roman" w:hAnsi="Times New Roman"/>
                <w:sz w:val="24"/>
              </w:rPr>
              <w:t xml:space="preserve"> v </w:t>
            </w:r>
            <w:r w:rsidRPr="00D85C65">
              <w:rPr>
                <w:rFonts w:ascii="Times New Roman" w:hAnsi="Times New Roman"/>
                <w:sz w:val="24"/>
              </w:rPr>
              <w:t>obchodnej knihe nepresahujú 2</w:t>
            </w:r>
            <w:r w:rsidR="00D85C65">
              <w:rPr>
                <w:rFonts w:ascii="Times New Roman" w:hAnsi="Times New Roman"/>
                <w:sz w:val="24"/>
              </w:rPr>
              <w:t> %</w:t>
            </w:r>
            <w:r w:rsidRPr="00D85C65">
              <w:rPr>
                <w:rFonts w:ascii="Times New Roman" w:hAnsi="Times New Roman"/>
                <w:sz w:val="24"/>
              </w:rPr>
              <w:t xml:space="preserve"> ich celkových všeobecných expozícií voči kreditnému riziku, celkových všeobecných expozícií</w:t>
            </w:r>
            <w:r w:rsidR="00D85C65">
              <w:rPr>
                <w:rFonts w:ascii="Times New Roman" w:hAnsi="Times New Roman"/>
                <w:sz w:val="24"/>
              </w:rPr>
              <w:t xml:space="preserve"> v </w:t>
            </w:r>
            <w:r w:rsidRPr="00D85C65">
              <w:rPr>
                <w:rFonts w:ascii="Times New Roman" w:hAnsi="Times New Roman"/>
                <w:sz w:val="24"/>
              </w:rPr>
              <w:t>obchodnej knihe</w:t>
            </w:r>
            <w:r w:rsidR="00D85C65">
              <w:rPr>
                <w:rFonts w:ascii="Times New Roman" w:hAnsi="Times New Roman"/>
                <w:sz w:val="24"/>
              </w:rPr>
              <w:t xml:space="preserve"> a </w:t>
            </w:r>
            <w:r w:rsidRPr="00D85C65">
              <w:rPr>
                <w:rFonts w:ascii="Times New Roman" w:hAnsi="Times New Roman"/>
                <w:sz w:val="24"/>
              </w:rPr>
              <w:t>celkových všeobecných sekuritizačných expozícií.</w:t>
            </w:r>
          </w:p>
          <w:p w14:paraId="0BEB1050" w14:textId="390E6F33" w:rsidR="00235D9D" w:rsidRPr="00D85C65" w:rsidRDefault="006A3A82">
            <w:pPr>
              <w:rPr>
                <w:rFonts w:ascii="Times New Roman" w:hAnsi="Times New Roman"/>
                <w:sz w:val="24"/>
              </w:rPr>
            </w:pPr>
            <w:r w:rsidRPr="00D85C65">
              <w:rPr>
                <w:rFonts w:ascii="Times New Roman" w:hAnsi="Times New Roman"/>
                <w:sz w:val="24"/>
              </w:rPr>
              <w:t>Ak inštitúcia využije túto odchýlku, uvedie vo vzore pre jurisdikciu zodpovedajúcu jej domovskému členskému štátu</w:t>
            </w:r>
            <w:r w:rsidR="00D85C65">
              <w:rPr>
                <w:rFonts w:ascii="Times New Roman" w:hAnsi="Times New Roman"/>
                <w:sz w:val="24"/>
              </w:rPr>
              <w:t xml:space="preserve"> a </w:t>
            </w:r>
            <w:r w:rsidRPr="00D85C65">
              <w:rPr>
                <w:rFonts w:ascii="Times New Roman" w:hAnsi="Times New Roman"/>
                <w:sz w:val="24"/>
              </w:rPr>
              <w:t>pre riadok „spolu“, ktorý odkazuje na súčet všetkých krajín, hodnotu „y“.</w:t>
            </w:r>
          </w:p>
          <w:p w14:paraId="53DD7898" w14:textId="697145DC" w:rsidR="00235D9D" w:rsidRPr="00D85C65" w:rsidRDefault="006A3A82">
            <w:pPr>
              <w:rPr>
                <w:rFonts w:ascii="Times New Roman" w:hAnsi="Times New Roman"/>
                <w:b/>
                <w:bCs/>
                <w:sz w:val="24"/>
                <w:u w:val="single"/>
              </w:rPr>
            </w:pPr>
            <w:r w:rsidRPr="00D85C65">
              <w:rPr>
                <w:rFonts w:ascii="Times New Roman" w:hAnsi="Times New Roman"/>
                <w:sz w:val="24"/>
              </w:rPr>
              <w:t>Ak inštitúcia túto výnimku nevyužije, uvedie</w:t>
            </w:r>
            <w:r w:rsidR="00D85C65">
              <w:rPr>
                <w:rFonts w:ascii="Times New Roman" w:hAnsi="Times New Roman"/>
                <w:sz w:val="24"/>
              </w:rPr>
              <w:t xml:space="preserve"> v </w:t>
            </w:r>
            <w:r w:rsidRPr="00D85C65">
              <w:rPr>
                <w:rFonts w:ascii="Times New Roman" w:hAnsi="Times New Roman"/>
                <w:sz w:val="24"/>
              </w:rPr>
              <w:t>príslušnej bunke hodnotu „n“.</w:t>
            </w:r>
          </w:p>
        </w:tc>
      </w:tr>
    </w:tbl>
    <w:p w14:paraId="267282D1" w14:textId="77777777" w:rsidR="00235D9D" w:rsidRPr="00D85C65" w:rsidRDefault="00235D9D">
      <w:pPr>
        <w:spacing w:before="0" w:after="0"/>
        <w:jc w:val="left"/>
        <w:rPr>
          <w:rFonts w:ascii="Times New Roman" w:hAnsi="Times New Roman"/>
          <w:bCs/>
          <w:sz w:val="24"/>
        </w:rPr>
      </w:pPr>
    </w:p>
    <w:p w14:paraId="121158E1" w14:textId="28E49254" w:rsidR="00235D9D" w:rsidRPr="00D85C65" w:rsidRDefault="00125707">
      <w:pPr>
        <w:pStyle w:val="Instructionsberschrift2"/>
        <w:numPr>
          <w:ilvl w:val="0"/>
          <w:numId w:val="0"/>
        </w:numPr>
        <w:ind w:left="357" w:hanging="357"/>
        <w:rPr>
          <w:rFonts w:ascii="Times New Roman" w:hAnsi="Times New Roman" w:cs="Times New Roman"/>
          <w:sz w:val="24"/>
        </w:rPr>
      </w:pPr>
      <w:bookmarkStart w:id="56" w:name="_Toc29994499"/>
      <w:r w:rsidRPr="00D85C65">
        <w:rPr>
          <w:rFonts w:ascii="Times New Roman" w:hAnsi="Times New Roman"/>
          <w:sz w:val="24"/>
          <w:u w:val="none"/>
        </w:rPr>
        <w:t>3.5.</w:t>
      </w:r>
      <w:r w:rsidRPr="00D85C65">
        <w:rPr>
          <w:rFonts w:ascii="Times New Roman" w:hAnsi="Times New Roman"/>
          <w:sz w:val="24"/>
          <w:u w:val="none"/>
        </w:rPr>
        <w:tab/>
      </w:r>
      <w:r w:rsidRPr="00D85C65">
        <w:rPr>
          <w:rFonts w:ascii="Times New Roman" w:hAnsi="Times New Roman"/>
          <w:sz w:val="24"/>
        </w:rPr>
        <w:t>C 10.01</w:t>
      </w:r>
      <w:r w:rsidR="00D85C65">
        <w:rPr>
          <w:rFonts w:ascii="Times New Roman" w:hAnsi="Times New Roman"/>
          <w:sz w:val="24"/>
        </w:rPr>
        <w:t xml:space="preserve"> a </w:t>
      </w:r>
      <w:r w:rsidRPr="00D85C65">
        <w:rPr>
          <w:rFonts w:ascii="Times New Roman" w:hAnsi="Times New Roman"/>
          <w:sz w:val="24"/>
        </w:rPr>
        <w:t>C 10.02 – Kapitálové expozície na základe prístupu interných ratingov (CR EQU IRB 1</w:t>
      </w:r>
      <w:r w:rsidR="00D85C65">
        <w:rPr>
          <w:rFonts w:ascii="Times New Roman" w:hAnsi="Times New Roman"/>
          <w:sz w:val="24"/>
        </w:rPr>
        <w:t xml:space="preserve"> a </w:t>
      </w:r>
      <w:r w:rsidRPr="00D85C65">
        <w:rPr>
          <w:rFonts w:ascii="Times New Roman" w:hAnsi="Times New Roman"/>
          <w:sz w:val="24"/>
        </w:rPr>
        <w:t>CR EQU IRB 2)</w:t>
      </w:r>
      <w:bookmarkEnd w:id="56"/>
    </w:p>
    <w:p w14:paraId="3E8B781F"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7" w:name="_Toc29994500"/>
      <w:r w:rsidRPr="00D85C65">
        <w:rPr>
          <w:rFonts w:ascii="Times New Roman" w:hAnsi="Times New Roman"/>
          <w:sz w:val="24"/>
          <w:u w:val="none"/>
        </w:rPr>
        <w:t>3.5.1.</w:t>
      </w:r>
      <w:r w:rsidRPr="00D85C65">
        <w:rPr>
          <w:rFonts w:ascii="Times New Roman" w:hAnsi="Times New Roman"/>
          <w:sz w:val="24"/>
          <w:u w:val="none"/>
        </w:rPr>
        <w:tab/>
      </w:r>
      <w:r w:rsidRPr="00D85C65">
        <w:rPr>
          <w:rFonts w:ascii="Times New Roman" w:hAnsi="Times New Roman"/>
          <w:sz w:val="24"/>
        </w:rPr>
        <w:t>Všeobecné poznámky</w:t>
      </w:r>
      <w:bookmarkEnd w:id="57"/>
    </w:p>
    <w:p w14:paraId="078C0293" w14:textId="4E71F8FD" w:rsidR="00235D9D" w:rsidRPr="00D85C65" w:rsidRDefault="00125707">
      <w:pPr>
        <w:pStyle w:val="InstructionsText2"/>
        <w:numPr>
          <w:ilvl w:val="0"/>
          <w:numId w:val="0"/>
        </w:numPr>
        <w:ind w:left="993"/>
      </w:pPr>
      <w:r w:rsidRPr="00D85C65">
        <w:t>86.</w:t>
      </w:r>
      <w:r w:rsidRPr="00D85C65">
        <w:tab/>
        <w:t>Vzor CR EQU IRB tvoria dva vzory: vzor CR EQU IRB 1 poskytuje všeobecný prehľad</w:t>
      </w:r>
      <w:r w:rsidR="00D85C65">
        <w:t xml:space="preserve"> o </w:t>
      </w:r>
      <w:r w:rsidRPr="00D85C65">
        <w:t>expozíciách IRB triedy kapitálových expozícií</w:t>
      </w:r>
      <w:r w:rsidR="00D85C65">
        <w:t xml:space="preserve"> a o </w:t>
      </w:r>
      <w:r w:rsidRPr="00D85C65">
        <w:t>rôznych metódach výpočtu celkových hodnôt rizikových expozícií. Vo vzore CR EQU IRB 2 sa uvádza rozčlenenie celkových expozícií priradených ratingovým stupňom dlžníkov</w:t>
      </w:r>
      <w:r w:rsidR="00D85C65">
        <w:t xml:space="preserve"> v </w:t>
      </w:r>
      <w:r w:rsidRPr="00D85C65">
        <w:t xml:space="preserve">rámci </w:t>
      </w:r>
      <w:r w:rsidRPr="00D85C65">
        <w:lastRenderedPageBreak/>
        <w:t>prístupu PD/LGD. Vzor „CR EQU IRB“ sa</w:t>
      </w:r>
      <w:r w:rsidR="00D85C65">
        <w:t xml:space="preserve"> v </w:t>
      </w:r>
      <w:r w:rsidRPr="00D85C65">
        <w:t>týchto pokynoch vzťahuje na obidva vzory „CR EQU IRB 1“</w:t>
      </w:r>
      <w:r w:rsidR="00D85C65">
        <w:t xml:space="preserve"> a </w:t>
      </w:r>
      <w:r w:rsidRPr="00D85C65">
        <w:t>„CR EQU IRB 2“, podľa toho, ktorý sa uplatňuje.</w:t>
      </w:r>
    </w:p>
    <w:p w14:paraId="214B758E" w14:textId="248BE32D" w:rsidR="00235D9D" w:rsidRPr="00D85C65" w:rsidRDefault="00125707">
      <w:pPr>
        <w:pStyle w:val="InstructionsText2"/>
        <w:numPr>
          <w:ilvl w:val="0"/>
          <w:numId w:val="0"/>
        </w:numPr>
        <w:ind w:left="993"/>
      </w:pPr>
      <w:r w:rsidRPr="00D85C65">
        <w:t>87.</w:t>
      </w:r>
      <w:r w:rsidRPr="00D85C65">
        <w:tab/>
        <w:t>Vo vzore CR EQU IRB sa uvádzajú informácie</w:t>
      </w:r>
      <w:r w:rsidR="00D85C65">
        <w:t xml:space="preserve"> o </w:t>
      </w:r>
      <w:r w:rsidRPr="00D85C65">
        <w:t>výpočte hodnôt rizikovo vážených expozícií pre kreditné riziko [článok 92 ods. 3 písm. a) CRR]</w:t>
      </w:r>
      <w:r w:rsidR="00D85C65">
        <w:t xml:space="preserve"> v </w:t>
      </w:r>
      <w:r w:rsidRPr="00D85C65">
        <w:t>súlade</w:t>
      </w:r>
      <w:r w:rsidR="00D85C65">
        <w:t xml:space="preserve"> s </w:t>
      </w:r>
      <w:r w:rsidRPr="00D85C65">
        <w:t>treťou časťou hlavou II kapitolou 3 CRR pre kapitálové expozície uvedené</w:t>
      </w:r>
      <w:r w:rsidR="00D85C65">
        <w:t xml:space="preserve"> v </w:t>
      </w:r>
      <w:r w:rsidRPr="00D85C65">
        <w:t>článku 147 ods. 2 písm. e) CRR.</w:t>
      </w:r>
    </w:p>
    <w:p w14:paraId="66E98C3E" w14:textId="233622D6" w:rsidR="00235D9D" w:rsidRPr="00D85C65" w:rsidRDefault="00125707">
      <w:pPr>
        <w:pStyle w:val="InstructionsText2"/>
        <w:numPr>
          <w:ilvl w:val="0"/>
          <w:numId w:val="0"/>
        </w:numPr>
        <w:ind w:left="993"/>
      </w:pPr>
      <w:r w:rsidRPr="00D85C65">
        <w:t>88.</w:t>
      </w:r>
      <w:r w:rsidRPr="00D85C65">
        <w:tab/>
        <w:t>V súlade</w:t>
      </w:r>
      <w:r w:rsidR="00D85C65">
        <w:t xml:space="preserve"> s </w:t>
      </w:r>
      <w:r w:rsidRPr="00D85C65">
        <w:t>článkom 147 ods. 6 CRR sa do triedy kapitálových expozícií zaradia tieto expozície:</w:t>
      </w:r>
    </w:p>
    <w:p w14:paraId="28B6278D" w14:textId="3E5AFA22" w:rsidR="00235D9D" w:rsidRPr="00D85C65" w:rsidRDefault="00125707">
      <w:pPr>
        <w:pStyle w:val="InstructionsText2"/>
        <w:numPr>
          <w:ilvl w:val="0"/>
          <w:numId w:val="0"/>
        </w:numPr>
        <w:ind w:left="993"/>
      </w:pPr>
      <w:r w:rsidRPr="00D85C65">
        <w:t>a)</w:t>
      </w:r>
      <w:r w:rsidRPr="00D85C65">
        <w:tab/>
        <w:t>nedlhové expozície vyjadrujúce podriadenú, zostatkovú pohľadávku voči aktívam alebo príjmu emitenta</w:t>
      </w:r>
    </w:p>
    <w:p w14:paraId="6F181DD1" w14:textId="4B0310B2" w:rsidR="00235D9D" w:rsidRPr="00D85C65" w:rsidRDefault="00125707">
      <w:pPr>
        <w:pStyle w:val="InstructionsText2"/>
        <w:numPr>
          <w:ilvl w:val="0"/>
          <w:numId w:val="0"/>
        </w:numPr>
        <w:ind w:left="993"/>
      </w:pPr>
      <w:r w:rsidRPr="00D85C65">
        <w:t>b)</w:t>
      </w:r>
      <w:r w:rsidRPr="00D85C65">
        <w:tab/>
        <w:t>dlhové expozície</w:t>
      </w:r>
      <w:r w:rsidR="00D85C65">
        <w:t xml:space="preserve"> a </w:t>
      </w:r>
      <w:r w:rsidRPr="00D85C65">
        <w:t>iné cenné papiere, partnerstvá, deriváty alebo iné prostriedky, ktorých ekonomický význam je podobný expozíciám uvedeným</w:t>
      </w:r>
      <w:r w:rsidR="00D85C65">
        <w:t xml:space="preserve"> v </w:t>
      </w:r>
      <w:r w:rsidRPr="00D85C65">
        <w:t>písmene a).</w:t>
      </w:r>
    </w:p>
    <w:p w14:paraId="0B3CD3B7" w14:textId="67630B3E" w:rsidR="00235D9D" w:rsidRPr="00D85C65" w:rsidRDefault="00125707">
      <w:pPr>
        <w:pStyle w:val="InstructionsText2"/>
        <w:numPr>
          <w:ilvl w:val="0"/>
          <w:numId w:val="0"/>
        </w:numPr>
        <w:ind w:left="993"/>
      </w:pPr>
      <w:r w:rsidRPr="00D85C65">
        <w:t>89.</w:t>
      </w:r>
      <w:r w:rsidRPr="00D85C65">
        <w:tab/>
        <w:t>Podniky kolektívneho investovania,</w:t>
      </w:r>
      <w:r w:rsidR="00D85C65">
        <w:t xml:space="preserve"> s </w:t>
      </w:r>
      <w:r w:rsidRPr="00D85C65">
        <w:t>ktorými sa zaobchádza</w:t>
      </w:r>
      <w:r w:rsidR="00D85C65">
        <w:t xml:space="preserve"> v </w:t>
      </w:r>
      <w:r w:rsidRPr="00D85C65">
        <w:t>súlade</w:t>
      </w:r>
      <w:r w:rsidR="00D85C65">
        <w:t xml:space="preserve"> s </w:t>
      </w:r>
      <w:r w:rsidRPr="00D85C65">
        <w:t>jednoduchým prístupom založeným na použití rizikovej váhy stanoveným</w:t>
      </w:r>
      <w:r w:rsidR="00D85C65">
        <w:t xml:space="preserve"> v </w:t>
      </w:r>
      <w:r w:rsidRPr="00D85C65">
        <w:t>článku 152 CRR, sa takisto vykazujú vo vzore CR EQU IRB.</w:t>
      </w:r>
    </w:p>
    <w:p w14:paraId="6D454482" w14:textId="0CE657A2" w:rsidR="00D85C65" w:rsidRDefault="00125707">
      <w:pPr>
        <w:pStyle w:val="InstructionsText2"/>
        <w:numPr>
          <w:ilvl w:val="0"/>
          <w:numId w:val="0"/>
        </w:numPr>
        <w:ind w:left="993"/>
      </w:pPr>
      <w:r w:rsidRPr="00D85C65">
        <w:t>90.</w:t>
      </w:r>
      <w:r w:rsidRPr="00D85C65">
        <w:tab/>
        <w:t>Inštitúcie</w:t>
      </w:r>
      <w:r w:rsidR="00D85C65">
        <w:t xml:space="preserve"> v </w:t>
      </w:r>
      <w:r w:rsidRPr="00D85C65">
        <w:t>súlade</w:t>
      </w:r>
      <w:r w:rsidR="00D85C65">
        <w:t xml:space="preserve"> s </w:t>
      </w:r>
      <w:r w:rsidRPr="00D85C65">
        <w:t>článkom 151 ods. 1 CRR vypĺňajú vzor CR EQU IRB, keď uplatňujú jeden</w:t>
      </w:r>
      <w:r w:rsidR="00D85C65">
        <w:t xml:space="preserve"> z </w:t>
      </w:r>
      <w:r w:rsidRPr="00D85C65">
        <w:t>týchto troch prístupov uvedených</w:t>
      </w:r>
      <w:r w:rsidR="00D85C65">
        <w:t xml:space="preserve"> v </w:t>
      </w:r>
      <w:r w:rsidRPr="00D85C65">
        <w:t>článku 155 CRR</w:t>
      </w:r>
      <w:r w:rsidR="00D85C65">
        <w:t>:</w:t>
      </w:r>
    </w:p>
    <w:p w14:paraId="13C8039D" w14:textId="137792BE" w:rsidR="00235D9D" w:rsidRPr="00D85C65" w:rsidRDefault="00C61FF5">
      <w:pPr>
        <w:pStyle w:val="InstructionsText"/>
        <w:ind w:left="993"/>
      </w:pPr>
      <w:r w:rsidRPr="00D85C65">
        <w:t>– jednoduchý prístup založený na použití rizikovej váhy;</w:t>
      </w:r>
    </w:p>
    <w:p w14:paraId="7B3F472B" w14:textId="58A7BD8E" w:rsidR="00235D9D" w:rsidRPr="00D85C65" w:rsidRDefault="00C61FF5">
      <w:pPr>
        <w:pStyle w:val="InstructionsText"/>
        <w:ind w:left="993"/>
      </w:pPr>
      <w:r w:rsidRPr="00D85C65">
        <w:t>– prístup PD/LGD;</w:t>
      </w:r>
    </w:p>
    <w:p w14:paraId="459A321C" w14:textId="77777777" w:rsidR="00235D9D" w:rsidRPr="00D85C65" w:rsidRDefault="00C61FF5">
      <w:pPr>
        <w:pStyle w:val="InstructionsText"/>
        <w:ind w:left="993"/>
      </w:pPr>
      <w:r w:rsidRPr="00D85C65">
        <w:t>– prístup interných modelov.</w:t>
      </w:r>
    </w:p>
    <w:p w14:paraId="47812ED1" w14:textId="791672D4" w:rsidR="00235D9D" w:rsidRPr="00D85C65" w:rsidRDefault="00C61FF5">
      <w:pPr>
        <w:pStyle w:val="InstructionsText"/>
        <w:ind w:left="993"/>
      </w:pPr>
      <w:r w:rsidRPr="00D85C65">
        <w:t>Inštitúcie, ktoré používajú prístup IRB, navyše vypĺňajú vo vzore CR EQU IRB aj hodnoty rizikovo vážených expozícií pre kapitálové expozície, ktoré priťahujú zaobchádzanie na základe pevnej rizikovej váhy [avšak bez toho, aby sa</w:t>
      </w:r>
      <w:r w:rsidR="00D85C65">
        <w:t xml:space="preserve"> s </w:t>
      </w:r>
      <w:r w:rsidRPr="00D85C65">
        <w:t>nimi výslovne zaobchádzalo podľa jednoduchého prístupu založeného na použití rizikovej váhy alebo sa (dočasne alebo trvalo) čiastočne uplatnil štandardizovaný prístup ku kreditnému riziku], napr. kapitálové expozície, ktoré priťahujú rizikovú váhu vo výške 250</w:t>
      </w:r>
      <w:r w:rsidR="00D85C65">
        <w:t> % v </w:t>
      </w:r>
      <w:r w:rsidRPr="00D85C65">
        <w:t>súlade</w:t>
      </w:r>
      <w:r w:rsidR="00D85C65">
        <w:t xml:space="preserve"> s </w:t>
      </w:r>
      <w:r w:rsidRPr="00D85C65">
        <w:t>článkom 48 ods. 4 CRR, prípadne rizikovú váhu vo výške 370</w:t>
      </w:r>
      <w:r w:rsidR="00D85C65">
        <w:t> % v </w:t>
      </w:r>
      <w:r w:rsidRPr="00D85C65">
        <w:t>súlade</w:t>
      </w:r>
      <w:r w:rsidR="00D85C65">
        <w:t xml:space="preserve"> s </w:t>
      </w:r>
      <w:r w:rsidRPr="00D85C65">
        <w:t>článkom 471 ods. 2 CRR.</w:t>
      </w:r>
    </w:p>
    <w:p w14:paraId="41EDEF2D" w14:textId="77777777" w:rsidR="00235D9D" w:rsidRPr="00D85C65" w:rsidRDefault="00125707">
      <w:pPr>
        <w:pStyle w:val="InstructionsText2"/>
        <w:numPr>
          <w:ilvl w:val="0"/>
          <w:numId w:val="0"/>
        </w:numPr>
        <w:ind w:left="993"/>
      </w:pPr>
      <w:r w:rsidRPr="00D85C65">
        <w:t>91.</w:t>
      </w:r>
      <w:r w:rsidRPr="00D85C65">
        <w:tab/>
        <w:t>Vo vzore CR EQU IRB sa nevykazujú tieto kapitálové pohľadávky:</w:t>
      </w:r>
    </w:p>
    <w:p w14:paraId="59404F02" w14:textId="527F873C" w:rsidR="00D85C65" w:rsidRDefault="00C61FF5">
      <w:pPr>
        <w:pStyle w:val="InstructionsText"/>
        <w:ind w:left="993"/>
      </w:pPr>
      <w:r w:rsidRPr="00D85C65">
        <w:t>– kapitálové expozície</w:t>
      </w:r>
      <w:r w:rsidR="00D85C65">
        <w:t xml:space="preserve"> v </w:t>
      </w:r>
      <w:r w:rsidRPr="00D85C65">
        <w:t>obchodnej knihe [keď inštitúcie nie sú oslobodené od výpočtu požiadaviek na vlastné zdroje pre pozície</w:t>
      </w:r>
      <w:r w:rsidR="00D85C65">
        <w:t xml:space="preserve"> v </w:t>
      </w:r>
      <w:r w:rsidRPr="00D85C65">
        <w:t>obchodnej knihe (článok 94 CRR)]</w:t>
      </w:r>
      <w:r w:rsidR="00D85C65">
        <w:t>;</w:t>
      </w:r>
    </w:p>
    <w:p w14:paraId="19C08E32" w14:textId="68DBF484" w:rsidR="00235D9D" w:rsidRPr="00D85C65" w:rsidRDefault="00C61FF5">
      <w:pPr>
        <w:pStyle w:val="InstructionsText"/>
        <w:ind w:left="993"/>
      </w:pPr>
      <w:r w:rsidRPr="00D85C65">
        <w:t>– kapitálové expozície, na ktoré sa uplatňuje čiastočné použitie štandardizovaného prístupu (článok 150 CRR), vrátane:</w:t>
      </w:r>
    </w:p>
    <w:p w14:paraId="0B1BD8BA" w14:textId="69D77CE4" w:rsidR="00235D9D" w:rsidRPr="00D85C65" w:rsidRDefault="00C61FF5">
      <w:pPr>
        <w:pStyle w:val="InstructionsText"/>
        <w:ind w:left="993"/>
      </w:pPr>
      <w:r w:rsidRPr="00D85C65">
        <w:t>– kapitálových expozícií zachovaných</w:t>
      </w:r>
      <w:r w:rsidR="00D85C65">
        <w:t xml:space="preserve"> v </w:t>
      </w:r>
      <w:r w:rsidRPr="00D85C65">
        <w:t>predchádzajúcom stave</w:t>
      </w:r>
      <w:r w:rsidR="00D85C65">
        <w:t xml:space="preserve"> v </w:t>
      </w:r>
      <w:r w:rsidRPr="00D85C65">
        <w:t>súlade</w:t>
      </w:r>
      <w:r w:rsidR="00D85C65">
        <w:t xml:space="preserve"> s </w:t>
      </w:r>
      <w:r w:rsidRPr="00D85C65">
        <w:t>článkom 495 ods. 1 CRR;</w:t>
      </w:r>
    </w:p>
    <w:p w14:paraId="465612C3" w14:textId="199A826B" w:rsidR="00235D9D" w:rsidRPr="00D85C65" w:rsidRDefault="00C61FF5">
      <w:pPr>
        <w:pStyle w:val="InstructionsText"/>
        <w:ind w:left="993"/>
      </w:pPr>
      <w:r w:rsidRPr="00D85C65">
        <w:t>– kapitálových expozícií voči subjektom, ktorých kreditné záväzky majú priradenú rizikovú váhu 0</w:t>
      </w:r>
      <w:r w:rsidR="00D85C65">
        <w:t> % v </w:t>
      </w:r>
      <w:r w:rsidRPr="00D85C65">
        <w:t>rámci štandardizovaného prístupu, vrátane verejne sponzorovaných subjektov, pri ktorých sa môže uplatniť riziková váha 0</w:t>
      </w:r>
      <w:r w:rsidR="00D85C65">
        <w:t> %</w:t>
      </w:r>
      <w:r w:rsidRPr="00D85C65">
        <w:t xml:space="preserve"> [článok 150 ods. 1 písm. g) CRR];</w:t>
      </w:r>
    </w:p>
    <w:p w14:paraId="6F1AAFB5" w14:textId="3D594E1D" w:rsidR="00235D9D" w:rsidRPr="00D85C65" w:rsidRDefault="00C61FF5">
      <w:pPr>
        <w:pStyle w:val="InstructionsText"/>
        <w:ind w:left="993"/>
      </w:pPr>
      <w:r w:rsidRPr="00D85C65">
        <w:lastRenderedPageBreak/>
        <w:t>– kapitálových expozícií, ktoré vznikli podľa legislatívnych programov na podporu určitých hospodárskych odvetví poskytujúcich významné dotácie na investovanie inštitúcii</w:t>
      </w:r>
      <w:r w:rsidR="00D85C65">
        <w:t xml:space="preserve"> a </w:t>
      </w:r>
      <w:r w:rsidRPr="00D85C65">
        <w:t>zahŕňajú určitú formu vládneho dozoru</w:t>
      </w:r>
      <w:r w:rsidR="00D85C65">
        <w:t xml:space="preserve"> a </w:t>
      </w:r>
      <w:r w:rsidRPr="00D85C65">
        <w:t>reštrikcií akciových investícií [článok 150 ods. 1 písm. h) CRR];</w:t>
      </w:r>
    </w:p>
    <w:p w14:paraId="6DD3B008" w14:textId="52DE89DA" w:rsidR="00235D9D" w:rsidRPr="00D85C65" w:rsidRDefault="00C61FF5">
      <w:pPr>
        <w:pStyle w:val="InstructionsText"/>
        <w:ind w:left="993"/>
      </w:pPr>
      <w:r w:rsidRPr="00D85C65">
        <w:t>– kapitálových expozícií voči podnikom pomocných služieb, ktorých hodnoty rizikovo vážených expozícií sa môžu vypočítať</w:t>
      </w:r>
      <w:r w:rsidR="00D85C65">
        <w:t xml:space="preserve"> v </w:t>
      </w:r>
      <w:r w:rsidRPr="00D85C65">
        <w:t>súlade</w:t>
      </w:r>
      <w:r w:rsidR="00D85C65">
        <w:t xml:space="preserve"> s </w:t>
      </w:r>
      <w:r w:rsidRPr="00D85C65">
        <w:t>prístupom</w:t>
      </w:r>
      <w:r w:rsidR="00D85C65">
        <w:t xml:space="preserve"> k </w:t>
      </w:r>
      <w:r w:rsidRPr="00D85C65">
        <w:t>„iným aktívam, ktoré nemajú povahu kreditného záväzku“ (článok 155 ods. 1 CRR);</w:t>
      </w:r>
    </w:p>
    <w:p w14:paraId="6D1517B8" w14:textId="46FF5921" w:rsidR="00235D9D" w:rsidRPr="00D85C65" w:rsidRDefault="00C61FF5">
      <w:pPr>
        <w:pStyle w:val="InstructionsText"/>
        <w:ind w:left="993"/>
      </w:pPr>
      <w:r w:rsidRPr="00D85C65">
        <w:t>– kapitálových pohľadávok odpočítaných od vlastných zdrojov</w:t>
      </w:r>
      <w:r w:rsidR="00D85C65">
        <w:t xml:space="preserve"> v </w:t>
      </w:r>
      <w:r w:rsidRPr="00D85C65">
        <w:t>súlade</w:t>
      </w:r>
      <w:r w:rsidR="00D85C65">
        <w:t xml:space="preserve"> s </w:t>
      </w:r>
      <w:r w:rsidRPr="00D85C65">
        <w:t>článkami 46</w:t>
      </w:r>
      <w:r w:rsidR="00D85C65">
        <w:t xml:space="preserve"> a </w:t>
      </w:r>
      <w:r w:rsidRPr="00D85C65">
        <w:t>48 CRR.</w:t>
      </w:r>
    </w:p>
    <w:p w14:paraId="5D3BCE93" w14:textId="77777777" w:rsidR="00235D9D" w:rsidRPr="00D85C65" w:rsidRDefault="00235D9D">
      <w:pPr>
        <w:pStyle w:val="InstructionsText"/>
      </w:pPr>
    </w:p>
    <w:p w14:paraId="5A70CA6C" w14:textId="1ABAB2C5" w:rsidR="00235D9D" w:rsidRPr="00D85C65" w:rsidRDefault="00125707">
      <w:pPr>
        <w:pStyle w:val="Instructionsberschrift2"/>
        <w:numPr>
          <w:ilvl w:val="0"/>
          <w:numId w:val="0"/>
        </w:numPr>
        <w:ind w:left="357" w:hanging="357"/>
        <w:rPr>
          <w:rFonts w:ascii="Times New Roman" w:hAnsi="Times New Roman" w:cs="Times New Roman"/>
          <w:sz w:val="24"/>
        </w:rPr>
      </w:pPr>
      <w:bookmarkStart w:id="58" w:name="_Toc29994501"/>
      <w:r w:rsidRPr="00D85C65">
        <w:rPr>
          <w:rFonts w:ascii="Times New Roman" w:hAnsi="Times New Roman"/>
          <w:sz w:val="24"/>
          <w:u w:val="none"/>
        </w:rPr>
        <w:t>3.5.2.</w:t>
      </w:r>
      <w:r w:rsidRPr="00D85C65">
        <w:rPr>
          <w:rFonts w:ascii="Times New Roman" w:hAnsi="Times New Roman"/>
          <w:sz w:val="24"/>
          <w:u w:val="none"/>
        </w:rPr>
        <w:tab/>
      </w:r>
      <w:r w:rsidRPr="00D85C65">
        <w:rPr>
          <w:rFonts w:ascii="Times New Roman" w:hAnsi="Times New Roman"/>
          <w:sz w:val="24"/>
        </w:rPr>
        <w:t>Pokyny týkajúce sa konkrétnych pozícií (uplatniteľné na obidva vzory CR EQU IRB 1</w:t>
      </w:r>
      <w:r w:rsidR="00D85C65">
        <w:rPr>
          <w:rFonts w:ascii="Times New Roman" w:hAnsi="Times New Roman"/>
          <w:sz w:val="24"/>
        </w:rPr>
        <w:t xml:space="preserve"> a </w:t>
      </w:r>
      <w:r w:rsidRPr="00D85C65">
        <w:rPr>
          <w:rFonts w:ascii="Times New Roman" w:hAnsi="Times New Roman"/>
          <w:sz w:val="24"/>
        </w:rPr>
        <w:t>CR EQU IRB 2)</w:t>
      </w:r>
      <w:bookmarkEnd w:id="58"/>
    </w:p>
    <w:tbl>
      <w:tblPr>
        <w:tblW w:w="0" w:type="auto"/>
        <w:tblLook w:val="01E0" w:firstRow="1" w:lastRow="1" w:firstColumn="1" w:lastColumn="1" w:noHBand="0" w:noVBand="0"/>
      </w:tblPr>
      <w:tblGrid>
        <w:gridCol w:w="852"/>
        <w:gridCol w:w="8004"/>
      </w:tblGrid>
      <w:tr w:rsidR="00235D9D" w:rsidRPr="00D85C6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235D9D" w:rsidRPr="00D85C65" w:rsidRDefault="00C61FF5">
            <w:pPr>
              <w:spacing w:beforeLines="60" w:before="144" w:afterLines="60" w:after="144"/>
              <w:rPr>
                <w:rStyle w:val="InstructionsTabelleText"/>
                <w:rFonts w:ascii="Times New Roman" w:hAnsi="Times New Roman"/>
                <w:b/>
                <w:sz w:val="24"/>
              </w:rPr>
            </w:pPr>
            <w:r w:rsidRPr="00D85C65">
              <w:rPr>
                <w:rStyle w:val="InstructionsTabelleText"/>
                <w:rFonts w:ascii="Times New Roman" w:hAnsi="Times New Roman"/>
                <w:b/>
                <w:sz w:val="24"/>
              </w:rPr>
              <w:t>Stĺpce</w:t>
            </w:r>
          </w:p>
        </w:tc>
      </w:tr>
      <w:tr w:rsidR="00235D9D" w:rsidRPr="00D85C6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235D9D" w:rsidRPr="00D85C65" w:rsidRDefault="003F05A0">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005</w:t>
            </w:r>
          </w:p>
        </w:tc>
        <w:tc>
          <w:tcPr>
            <w:tcW w:w="8004" w:type="dxa"/>
          </w:tcPr>
          <w:p w14:paraId="47AB38C7" w14:textId="77777777" w:rsidR="00235D9D" w:rsidRPr="00D85C65" w:rsidRDefault="003F05A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RATINGOVÝ STUPEŇ DLŽNÍKA (IDENTIFIKÁTOR RIADKU)</w:t>
            </w:r>
          </w:p>
          <w:p w14:paraId="0EAE0975" w14:textId="38C43034" w:rsidR="00235D9D" w:rsidRPr="00D85C65" w:rsidRDefault="003F05A0">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Ratingový stupeň dlžníka je identifikátorom riadku</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musí byť jednoznačný pre každý riadok vzoru. </w:t>
            </w:r>
            <w:r w:rsidRPr="00D85C65">
              <w:rPr>
                <w:rFonts w:ascii="Times New Roman" w:hAnsi="Times New Roman"/>
                <w:sz w:val="24"/>
              </w:rPr>
              <w:t>Riadi sa číselným poradím 1, 2, 3 atď.</w:t>
            </w:r>
          </w:p>
        </w:tc>
      </w:tr>
      <w:tr w:rsidR="00235D9D" w:rsidRPr="00D85C6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010</w:t>
            </w:r>
          </w:p>
        </w:tc>
        <w:tc>
          <w:tcPr>
            <w:tcW w:w="8004" w:type="dxa"/>
          </w:tcPr>
          <w:p w14:paraId="0D7E5FF8" w14:textId="77777777" w:rsid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INTERNÝ RATINGOVÝ SYSTÉM</w:t>
            </w:r>
          </w:p>
          <w:p w14:paraId="3BEB17A8" w14:textId="5084B0C5"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PD PRIRADENÁ RATINGOVÉMU STUPŇU DLŽNÍKA (%)</w:t>
            </w:r>
          </w:p>
          <w:p w14:paraId="44F74EFD" w14:textId="03AA1AE0"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prístup PD/LGD,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010 pravdepodobnosť zlyhania (PD) vypočítanú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165 ods. 1 CRR.</w:t>
            </w:r>
          </w:p>
          <w:p w14:paraId="5E9E1A46" w14:textId="0DED0F4F"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Vykazovaná PD priradená ratingovému stupňu alebo skupine dlžníkov musí byť</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minimálnymi požiadavkami stanovenými</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tretej časti hlave II kapitole 3 oddiele 6 CRR. Pre každý jednotlivý ratingový stupeň alebo skupinu sa vykazuje PD priradená tomuto ratingovému stupňu alebo skupine dlžníkov. Všetky vykazované parametre rizika sa odvodia od parametrov rizika používaných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internom ratingovom systéme schválenom príslušným orgánom.</w:t>
            </w:r>
          </w:p>
          <w:p w14:paraId="7262CB84" w14:textId="4D573848"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Pre číselné údaje zodpovedajúce súhrnu ratingových stupňov alebo skupín dlžníkov (napr. „celkové expozície“) sa uvedie expozíciami vážený priemer PD priradených ratingovým stupňom alebo skupinám dlžníkov, ktoré sú zahrnuté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súhrne. Na účely výpočtu expozíciami váženej priemernej PD sa zoberú do úvahy všetky expozície vrátane expozícií</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 xml:space="preserve">stave zlyhania. Na výpočet expozíciami váženej priemernej PD sa na účely váženia použije hodnota expozície so zohľadnením nefinancovaného zabezpečenia (stĺpec 060). </w:t>
            </w:r>
          </w:p>
        </w:tc>
      </w:tr>
      <w:tr w:rsidR="00235D9D" w:rsidRPr="00D85C6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020</w:t>
            </w:r>
          </w:p>
        </w:tc>
        <w:tc>
          <w:tcPr>
            <w:tcW w:w="8004" w:type="dxa"/>
          </w:tcPr>
          <w:p w14:paraId="42297808" w14:textId="7964ADCA"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PÔVODNÁ EXPOZÍCIA PRED KONVERZNÝMI FAKTORMI</w:t>
            </w:r>
          </w:p>
          <w:p w14:paraId="4BEEA019" w14:textId="4F520612" w:rsidR="00235D9D" w:rsidRPr="00D85C65" w:rsidRDefault="00C61FF5">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Inštitúcie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020 hodnotu pôvodnej expozície (pred uplatnením konverzných faktorov).</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167 CRR je hodnotou expozície pre kapitálové expozície účtovná hodnota, ktorá zostane po uplatnení špecifických úprav kreditného rizika. Hodnota</w:t>
            </w:r>
            <w:r w:rsidRPr="00D85C65">
              <w:rPr>
                <w:rFonts w:ascii="Times New Roman" w:hAnsi="Times New Roman"/>
                <w:sz w:val="24"/>
              </w:rPr>
              <w:t xml:space="preserve"> podsúvahových kapitálových expozícií je ich nominálna hodnota po uplatnení špecifických úprav kreditného rizika.</w:t>
            </w:r>
          </w:p>
          <w:p w14:paraId="1C80CD14" w14:textId="1E19D972"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lastRenderedPageBreak/>
              <w:t>Inštitúcie do stĺpca 020 zahrnú aj podsúvahové položky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prílohe I CRR zaradené do triedy kapitálových expozícií (napr. „nesplatená časť čiastočne splatených akcií“).</w:t>
            </w:r>
          </w:p>
          <w:p w14:paraId="1448449F" w14:textId="32225C14"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jednoduchý prístup založený na použití rizikovej váhy alebo prístup PD/LGD (ako sa uvádza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165 ods. 1 CRR), zohľadnia aj kompenzácie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 xml:space="preserve">článku 155 ods. 2 druhom pododseku CRR. </w:t>
            </w:r>
          </w:p>
        </w:tc>
      </w:tr>
      <w:tr w:rsidR="00235D9D" w:rsidRPr="00D85C6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lastRenderedPageBreak/>
              <w:t>030 – 040</w:t>
            </w:r>
          </w:p>
        </w:tc>
        <w:tc>
          <w:tcPr>
            <w:tcW w:w="8004" w:type="dxa"/>
          </w:tcPr>
          <w:p w14:paraId="5A5489A1" w14:textId="71106CD0"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POSTUPY NA ZMIERŇOVANIE KREDITNÉHO RIZIKA (CRM)</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ÚČINKAMI SUBSTITÚCIE NA EXPOZÍCIU</w:t>
            </w:r>
          </w:p>
          <w:p w14:paraId="7830C552"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NEFINANCOVANÉ ZABEZPEČENIE</w:t>
            </w:r>
          </w:p>
          <w:p w14:paraId="020EC0D8"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ZÁRUKY</w:t>
            </w:r>
          </w:p>
          <w:p w14:paraId="0B08E13C"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KREDITNÉ DERIVÁTY</w:t>
            </w:r>
          </w:p>
          <w:p w14:paraId="6EB56834" w14:textId="3414912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bez ohľadu na prístup použitý na výpočet hodnôt rizikovo vážených kapitálových expozícií môžu vykázať nefinancované zabezpečenie získané pre kapitálové expozície (článok 155 ods. 2, 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4 CRR). Inštitúcie, ktoré používajú jednoduchý prístup založený na použití rizikovej váhy alebo prístup PD/LGD,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stĺpcoch 030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040 hodnotu nefinancovaného zabezpečenia vo forme záruk (stĺpec 030) alebo kreditných derivátov (stĺpec 040) vykazovaných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postupmi stanovenými</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tretej časti hlave II kapitole 4 CRR.</w:t>
            </w:r>
          </w:p>
        </w:tc>
      </w:tr>
      <w:tr w:rsidR="00235D9D" w:rsidRPr="00D85C6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050</w:t>
            </w:r>
          </w:p>
        </w:tc>
        <w:tc>
          <w:tcPr>
            <w:tcW w:w="8004" w:type="dxa"/>
          </w:tcPr>
          <w:p w14:paraId="0F188D89" w14:textId="7F899AC8"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POSTUPY NA ZMIERŇOVANIE KREDITNÉHO RIZIKA (CRM)</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ÚČINKAMI SUBSTITÚCIE NA EXPOZÍCIU</w:t>
            </w:r>
          </w:p>
          <w:p w14:paraId="3BFA6B41"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SUBSTITÚCIA EXPOZÍCIE NA ZÁKLADE ZMIERŇOVANIA KREDITNÉHO RIZIKA</w:t>
            </w:r>
          </w:p>
          <w:p w14:paraId="10F17615"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 CELKOVÉ ZÁPORNÉ TOKY</w:t>
            </w:r>
          </w:p>
          <w:p w14:paraId="1A4BB276" w14:textId="15CA34CF"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050 časť pôvodnej expozície pred uplatnením konverzných faktorov krytú nefinancovaným zabezpečením vykázaným</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postupmi stanovenými</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tretej časti hlavy II kapitoly 4 CRR.</w:t>
            </w:r>
          </w:p>
        </w:tc>
      </w:tr>
      <w:tr w:rsidR="00235D9D" w:rsidRPr="00D85C6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060</w:t>
            </w:r>
          </w:p>
        </w:tc>
        <w:tc>
          <w:tcPr>
            <w:tcW w:w="8004" w:type="dxa"/>
          </w:tcPr>
          <w:p w14:paraId="637A7A8E"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HODNOTA EXPOZÍCIE</w:t>
            </w:r>
          </w:p>
          <w:p w14:paraId="6CBC7FDC" w14:textId="58768984"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jednoduchý prístup založený na použití rizikovej váhy alebo prístup PD/LGD,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060 hodnotu expozície so zohľadnením účinkov substitúcie, ktoré pochádzajú</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nefinancovaného zabezpečenia (článok 155 ods. 2</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167 CRR).</w:t>
            </w:r>
          </w:p>
          <w:p w14:paraId="168218CE" w14:textId="6661DDAE" w:rsidR="00235D9D" w:rsidRPr="00D85C65" w:rsidRDefault="00A16FFF">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V prípade podsúvahových kapitálových expozícií je hodnotou expozície nominálna hodnota po uplatnení špecifických úprav kreditného rizika (článok 167 CRR).</w:t>
            </w:r>
          </w:p>
        </w:tc>
      </w:tr>
      <w:tr w:rsidR="00235D9D" w:rsidRPr="00D85C6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070</w:t>
            </w:r>
          </w:p>
        </w:tc>
        <w:tc>
          <w:tcPr>
            <w:tcW w:w="8004" w:type="dxa"/>
          </w:tcPr>
          <w:p w14:paraId="610B0CF0"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EXPOZÍCIAMI VÁŽENÁ PRIEMERNÁ LGD (%)</w:t>
            </w:r>
          </w:p>
          <w:p w14:paraId="6FE21AF1" w14:textId="42325E01" w:rsid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prístup PD/LGD, vykazujú expozíciami vážený priemer LGD priradených ratingovým stupňom alebo skupinám dlžníkov zahrnutých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súhrne</w:t>
            </w:r>
            <w:r w:rsidR="00D85C65">
              <w:rPr>
                <w:rStyle w:val="InstructionsTabelleText"/>
                <w:rFonts w:ascii="Times New Roman" w:hAnsi="Times New Roman"/>
                <w:sz w:val="24"/>
              </w:rPr>
              <w:t>.</w:t>
            </w:r>
          </w:p>
          <w:p w14:paraId="6EDFF546" w14:textId="77777777" w:rsid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lastRenderedPageBreak/>
              <w:t>Hodnota expozície so zohľadnením nefinancovaného zabezpečenia (stĺpec 060) sa použije na výpočet expozíciami váženej priemernej LGD</w:t>
            </w:r>
            <w:r w:rsidR="00D85C65">
              <w:rPr>
                <w:rStyle w:val="InstructionsTabelleText"/>
                <w:rFonts w:ascii="Times New Roman" w:hAnsi="Times New Roman"/>
                <w:sz w:val="24"/>
              </w:rPr>
              <w:t>.</w:t>
            </w:r>
          </w:p>
          <w:p w14:paraId="44AE69A8" w14:textId="50307AB3"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zohľadňujú článok 165 ods. 2 CRR.</w:t>
            </w:r>
          </w:p>
        </w:tc>
      </w:tr>
      <w:tr w:rsidR="00235D9D" w:rsidRPr="00D85C6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lastRenderedPageBreak/>
              <w:t>080</w:t>
            </w:r>
          </w:p>
        </w:tc>
        <w:tc>
          <w:tcPr>
            <w:tcW w:w="8004" w:type="dxa"/>
          </w:tcPr>
          <w:p w14:paraId="39CF20D7"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HODNOTA RIZIKOVO VÁŽENEJ EXPOZÍCIE</w:t>
            </w:r>
          </w:p>
          <w:p w14:paraId="5A2BBB02" w14:textId="25D6C08D"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vykazujú hodnoty rizikovo vážených kapitálových expozícií vypočítané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155 CRR.</w:t>
            </w:r>
          </w:p>
          <w:p w14:paraId="1D4A9D53" w14:textId="7EB65824" w:rsidR="00D85C65" w:rsidRDefault="00D021AF">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Ak inštitúcie, ktoré používajú prístup PD/LGD, nemajú dostatok informácií na použitie definície zlyhania uvedenej</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článku 178 CRR, rizikovým váham sa pri výpočte hodnôt rizikovo vážených expozícií priradí koeficient vo výške 1,5 (článok 155 ods. 3 CRR)</w:t>
            </w:r>
            <w:r w:rsidR="00D85C65">
              <w:rPr>
                <w:rStyle w:val="InstructionsTabelleText"/>
                <w:rFonts w:ascii="Times New Roman" w:hAnsi="Times New Roman"/>
                <w:sz w:val="24"/>
              </w:rPr>
              <w:t>.</w:t>
            </w:r>
          </w:p>
          <w:p w14:paraId="0158FAA8" w14:textId="7146151F"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Pokiaľ ide</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vstupný parameter M (splatnosť)</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súvislosti</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funkciou rizikovej váhy, splatnosť priradená kapitálovým expozíciám sa rovná 5 rokom (článok 165 ods. 3 CRR).</w:t>
            </w:r>
          </w:p>
        </w:tc>
      </w:tr>
      <w:tr w:rsidR="00235D9D" w:rsidRPr="00D85C6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090</w:t>
            </w:r>
          </w:p>
        </w:tc>
        <w:tc>
          <w:tcPr>
            <w:tcW w:w="8004" w:type="dxa"/>
          </w:tcPr>
          <w:p w14:paraId="0B4F1531" w14:textId="77777777" w:rsidR="00235D9D" w:rsidRPr="00D85C65" w:rsidRDefault="00C61FF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DOPLŇUJÚCA POLOŽKA: HODNOTA OČAKÁVANEJ STRATY</w:t>
            </w:r>
          </w:p>
          <w:p w14:paraId="73ECA7C7" w14:textId="7D53293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090 hodnotu očakávanej straty pre kapitálové expozície vypočítanú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158 ods. 4, 7, 8</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 xml:space="preserve">9 CRR. </w:t>
            </w:r>
          </w:p>
        </w:tc>
      </w:tr>
    </w:tbl>
    <w:p w14:paraId="29506A55" w14:textId="77777777" w:rsidR="00235D9D" w:rsidRPr="00D85C65" w:rsidRDefault="00235D9D">
      <w:pPr>
        <w:pStyle w:val="InstructionsText"/>
      </w:pPr>
    </w:p>
    <w:p w14:paraId="0D0C0491" w14:textId="4F2E3516" w:rsidR="00235D9D" w:rsidRPr="00D85C65" w:rsidRDefault="00125707">
      <w:pPr>
        <w:pStyle w:val="InstructionsText2"/>
        <w:numPr>
          <w:ilvl w:val="0"/>
          <w:numId w:val="0"/>
        </w:numPr>
        <w:ind w:left="993"/>
      </w:pPr>
      <w:r w:rsidRPr="00D85C65">
        <w:t>92.</w:t>
      </w:r>
      <w:r w:rsidRPr="00D85C65">
        <w:tab/>
        <w:t>Inštitúcie môžu</w:t>
      </w:r>
      <w:r w:rsidR="00D85C65">
        <w:t xml:space="preserve"> v </w:t>
      </w:r>
      <w:r w:rsidRPr="00D85C65">
        <w:t>súlade</w:t>
      </w:r>
      <w:r w:rsidR="00D85C65">
        <w:t xml:space="preserve"> s </w:t>
      </w:r>
      <w:r w:rsidRPr="00D85C65">
        <w:t>článkom 155 CRR použiť rôzne prístupy (jednoduchý prístup založený na použití rizikovej váhy, prístup PD/LGD alebo prístup interných modelov) pre rôzne portfólia, keď interne používajú tieto rôzne prístupy. Inštitúcie musia vo vzore CR EQU IRB 1 vykázať aj hodnoty rizikovo vážených expozícií pre tie kapitálové expozície, ktoré priťahujú zaobchádzanie na základe pevnej rizikovej váhy [avšak bez toho, aby sa</w:t>
      </w:r>
      <w:r w:rsidR="00D85C65">
        <w:t xml:space="preserve"> s </w:t>
      </w:r>
      <w:r w:rsidRPr="00D85C65">
        <w:t>nimi výslovne zaobchádzalo podľa jednoduchého prístupu založeného na použití rizikovej váhy alebo sa (dočasne alebo trvalo) čiastočne uplatnil štandardizovaný prístup ku kreditnému riziku].</w:t>
      </w:r>
    </w:p>
    <w:tbl>
      <w:tblPr>
        <w:tblW w:w="9524" w:type="dxa"/>
        <w:tblLook w:val="01E0" w:firstRow="1" w:lastRow="1" w:firstColumn="1" w:lastColumn="1" w:noHBand="0" w:noVBand="0"/>
      </w:tblPr>
      <w:tblGrid>
        <w:gridCol w:w="1608"/>
        <w:gridCol w:w="7916"/>
      </w:tblGrid>
      <w:tr w:rsidR="00235D9D" w:rsidRPr="00D85C6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235D9D" w:rsidRPr="00D85C65" w:rsidRDefault="00C61FF5">
            <w:pPr>
              <w:spacing w:beforeLines="60" w:before="144" w:afterLines="60" w:after="144"/>
              <w:rPr>
                <w:rStyle w:val="InstructionsTabelleText"/>
                <w:rFonts w:ascii="Times New Roman" w:hAnsi="Times New Roman"/>
                <w:b/>
                <w:sz w:val="24"/>
              </w:rPr>
            </w:pPr>
            <w:r w:rsidRPr="00D85C65">
              <w:rPr>
                <w:rStyle w:val="InstructionsTabelleText"/>
                <w:rFonts w:ascii="Times New Roman" w:hAnsi="Times New Roman"/>
                <w:b/>
                <w:sz w:val="24"/>
              </w:rPr>
              <w:t>Riadky</w:t>
            </w:r>
          </w:p>
        </w:tc>
      </w:tr>
      <w:tr w:rsidR="00235D9D" w:rsidRPr="00D85C6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CR EQU IRB 1 – riadok 020,</w:t>
            </w:r>
          </w:p>
          <w:p w14:paraId="612436A8" w14:textId="77777777" w:rsidR="00235D9D" w:rsidRPr="00D85C65" w:rsidRDefault="00235D9D">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2802175E" w14:textId="77777777" w:rsidR="00D85C65" w:rsidRDefault="00C61FF5">
            <w:pPr>
              <w:keepNext/>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PRÍSTUP PD/LGD: SPOLU</w:t>
            </w:r>
          </w:p>
          <w:p w14:paraId="68E108AA" w14:textId="44345DDF" w:rsidR="00235D9D" w:rsidRPr="00D85C65" w:rsidRDefault="00C61FF5">
            <w:pPr>
              <w:keepNext/>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prístup PD/LGD (článok 155 ods. 3 CRR), vykazujú požadované informácie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riadku 020 vzoru CR EQU IRB 1.</w:t>
            </w:r>
          </w:p>
        </w:tc>
      </w:tr>
      <w:tr w:rsidR="00235D9D" w:rsidRPr="00D85C6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CR EQU IRB 1 – riadky 050 –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235D9D" w:rsidRPr="00D85C65" w:rsidRDefault="00C61FF5">
            <w:pPr>
              <w:rPr>
                <w:rStyle w:val="InstructionsTabelleText"/>
                <w:rFonts w:ascii="Times New Roman" w:hAnsi="Times New Roman"/>
                <w:b/>
                <w:sz w:val="24"/>
                <w:u w:val="single"/>
              </w:rPr>
            </w:pPr>
            <w:r w:rsidRPr="00D85C65">
              <w:rPr>
                <w:rStyle w:val="InstructionsTabelleText"/>
                <w:rFonts w:ascii="Times New Roman" w:hAnsi="Times New Roman"/>
                <w:b/>
                <w:sz w:val="24"/>
                <w:u w:val="single"/>
              </w:rPr>
              <w:t>JEDNODUCHÝ PRÍSTUP ZALOŽENÝ NA POUŽITÍ RIZIKOVEJ VÁHY: SPOLU</w:t>
            </w:r>
          </w:p>
          <w:p w14:paraId="365B8FA7" w14:textId="0D07DC4E" w:rsidR="00235D9D" w:rsidRPr="00D85C65" w:rsidRDefault="00C61FF5">
            <w:pPr>
              <w:rPr>
                <w:rStyle w:val="InstructionsTabelleText"/>
                <w:rFonts w:ascii="Times New Roman" w:hAnsi="Times New Roman"/>
                <w:b/>
                <w:sz w:val="24"/>
                <w:u w:val="single"/>
              </w:rPr>
            </w:pPr>
            <w:r w:rsidRPr="00D85C65">
              <w:rPr>
                <w:rStyle w:val="InstructionsTabelleText"/>
                <w:rFonts w:ascii="Times New Roman" w:hAnsi="Times New Roman"/>
                <w:b/>
                <w:sz w:val="24"/>
                <w:u w:val="single"/>
              </w:rPr>
              <w:t>ROZČLENENIE CELKOVÝCH EXPOZÍCIÍ</w:t>
            </w:r>
            <w:r w:rsidR="00D85C65">
              <w:rPr>
                <w:rStyle w:val="InstructionsTabelleText"/>
                <w:rFonts w:ascii="Times New Roman" w:hAnsi="Times New Roman"/>
                <w:b/>
                <w:sz w:val="24"/>
                <w:u w:val="single"/>
              </w:rPr>
              <w:t xml:space="preserve"> V </w:t>
            </w:r>
            <w:r w:rsidRPr="00D85C65">
              <w:rPr>
                <w:rStyle w:val="InstructionsTabelleText"/>
                <w:rFonts w:ascii="Times New Roman" w:hAnsi="Times New Roman"/>
                <w:b/>
                <w:sz w:val="24"/>
                <w:u w:val="single"/>
              </w:rPr>
              <w:t>RÁMCI JEDNODUCHÉHO PRÍSTUPU ZALOŽENÉHO NA POUŽITÍ RIZIKOVEJ VÁHY PODĽA RIZIKOVÝCH VÁH:</w:t>
            </w:r>
          </w:p>
          <w:p w14:paraId="71A2DB99" w14:textId="275AC079" w:rsidR="00235D9D" w:rsidRPr="00D85C65" w:rsidRDefault="00C61FF5">
            <w:pPr>
              <w:keepNext/>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jednoduchý prístup založený na použití rizikovej váhy (článok 155 ods. 2 CRR), vykazujú požadované informácie podľa charakteristík podkladových expozícií</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050 až 090.</w:t>
            </w:r>
          </w:p>
        </w:tc>
      </w:tr>
      <w:tr w:rsidR="00235D9D" w:rsidRPr="00D85C6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235D9D" w:rsidRPr="00D85C65" w:rsidRDefault="00C61FF5">
            <w:pPr>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lastRenderedPageBreak/>
              <w:t>CR EQU IRB 1 – riadok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235D9D" w:rsidRPr="00D85C65" w:rsidRDefault="00C61FF5">
            <w:pPr>
              <w:rPr>
                <w:rStyle w:val="InstructionsTabelleberschrift"/>
                <w:rFonts w:ascii="Times New Roman" w:hAnsi="Times New Roman"/>
                <w:sz w:val="24"/>
              </w:rPr>
            </w:pPr>
            <w:r w:rsidRPr="00D85C65">
              <w:rPr>
                <w:rStyle w:val="InstructionsTabelleberschrift"/>
                <w:rFonts w:ascii="Times New Roman" w:hAnsi="Times New Roman"/>
                <w:sz w:val="24"/>
              </w:rPr>
              <w:t>PRÍSTUP INTERNÝCH MODELOV</w:t>
            </w:r>
          </w:p>
          <w:p w14:paraId="7303F976" w14:textId="308202E4" w:rsidR="00235D9D" w:rsidRPr="00D85C65" w:rsidRDefault="00C61FF5">
            <w:pPr>
              <w:pStyle w:val="InstructionsText"/>
              <w:rPr>
                <w:rStyle w:val="FormatvorlageInstructionsTabelleText"/>
                <w:rFonts w:ascii="Times New Roman" w:hAnsi="Times New Roman"/>
                <w:bCs w:val="0"/>
                <w:sz w:val="24"/>
              </w:rPr>
            </w:pPr>
            <w:r w:rsidRPr="00D85C65">
              <w:rPr>
                <w:rStyle w:val="FormatvorlageInstructionsTabelleText"/>
                <w:rFonts w:ascii="Times New Roman" w:hAnsi="Times New Roman"/>
                <w:sz w:val="24"/>
              </w:rPr>
              <w:t>Inštitúcie, ktoré používajú prístup interných modelov (článok 155 ods. 4 CRR), vykazujú požadované informácie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riadku 100.</w:t>
            </w:r>
          </w:p>
        </w:tc>
      </w:tr>
      <w:tr w:rsidR="00235D9D" w:rsidRPr="00D85C6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235D9D" w:rsidRPr="00D85C65" w:rsidRDefault="00C61FF5">
            <w:pPr>
              <w:spacing w:beforeLines="60" w:before="144" w:afterLines="60" w:after="144"/>
              <w:rPr>
                <w:rStyle w:val="InstructionsTabelleText"/>
                <w:rFonts w:ascii="Times New Roman" w:hAnsi="Times New Roman"/>
                <w:bCs/>
                <w:sz w:val="24"/>
              </w:rPr>
            </w:pPr>
            <w:r w:rsidRPr="00D85C65">
              <w:rPr>
                <w:rStyle w:val="InstructionsTabelleText"/>
                <w:rFonts w:ascii="Times New Roman" w:hAnsi="Times New Roman"/>
                <w:sz w:val="24"/>
              </w:rPr>
              <w:t>CR EQU IRB 1 – riadok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235D9D" w:rsidRPr="00D85C65" w:rsidRDefault="00C61FF5">
            <w:pPr>
              <w:rPr>
                <w:rStyle w:val="InstructionsTabelleberschrift"/>
                <w:rFonts w:ascii="Times New Roman" w:hAnsi="Times New Roman"/>
                <w:sz w:val="24"/>
              </w:rPr>
            </w:pPr>
            <w:r w:rsidRPr="00D85C65">
              <w:rPr>
                <w:rStyle w:val="InstructionsTabelleberschrift"/>
                <w:rFonts w:ascii="Times New Roman" w:hAnsi="Times New Roman"/>
                <w:sz w:val="24"/>
              </w:rPr>
              <w:t>KAPITÁLOVÉ EXPOZÍCIE, NA KTORÉ SA UPLATŇUJÚ RIZIKOVÉ VÁHY</w:t>
            </w:r>
          </w:p>
          <w:p w14:paraId="4B76CB87" w14:textId="7588566D" w:rsidR="00235D9D" w:rsidRPr="00D85C65" w:rsidRDefault="00C61FF5">
            <w:pPr>
              <w:rPr>
                <w:rFonts w:ascii="Times New Roman" w:hAnsi="Times New Roman"/>
                <w:sz w:val="24"/>
              </w:rPr>
            </w:pPr>
            <w:r w:rsidRPr="00D85C65">
              <w:rPr>
                <w:rFonts w:ascii="Times New Roman" w:hAnsi="Times New Roman"/>
                <w:sz w:val="24"/>
              </w:rPr>
              <w:t>Inštitúcie, ktoré používajú prístup IRB, vykazujú hodnoty rizikovo vážených expozícií pre tie kapitálové expozície, ktoré priťahujú zaobchádzanie na základe pevnej rizikovej váhy [avšak bez toho, aby sa</w:t>
            </w:r>
            <w:r w:rsidR="00D85C65">
              <w:rPr>
                <w:rFonts w:ascii="Times New Roman" w:hAnsi="Times New Roman"/>
                <w:sz w:val="24"/>
              </w:rPr>
              <w:t xml:space="preserve"> s </w:t>
            </w:r>
            <w:r w:rsidRPr="00D85C65">
              <w:rPr>
                <w:rFonts w:ascii="Times New Roman" w:hAnsi="Times New Roman"/>
                <w:sz w:val="24"/>
              </w:rPr>
              <w:t>nimi výslovne zaobchádzalo podľa jednoduchého prístupu založeného na použití rizikovej váhy alebo sa (dočasne alebo trvalo) čiastočne uplatnil štandardizovaný prístup ku kreditnému riziku]. Napríklad:</w:t>
            </w:r>
          </w:p>
          <w:p w14:paraId="276AD23C" w14:textId="0515BB29" w:rsidR="00235D9D" w:rsidRPr="00D85C65" w:rsidRDefault="00C61FF5">
            <w:pPr>
              <w:rPr>
                <w:rStyle w:val="FormatvorlageInstructionsTabelleText"/>
                <w:rFonts w:ascii="Times New Roman" w:hAnsi="Times New Roman"/>
                <w:sz w:val="24"/>
              </w:rPr>
            </w:pPr>
            <w:r w:rsidRPr="00D85C65">
              <w:rPr>
                <w:rFonts w:ascii="Times New Roman" w:hAnsi="Times New Roman"/>
                <w:sz w:val="24"/>
              </w:rPr>
              <w:t>–</w:t>
            </w:r>
            <w:r w:rsidRPr="00D85C65">
              <w:rPr>
                <w:rStyle w:val="FormatvorlageInstructionsTabelleText"/>
                <w:rFonts w:ascii="Times New Roman" w:hAnsi="Times New Roman"/>
                <w:sz w:val="24"/>
              </w:rPr>
              <w:t xml:space="preserve"> hodnota rizikovo vážených expozícií pre kapitálové pozície</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subjektoch finančného sektora,</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ktorými sa zaobchádza podľa článku 48 ods. 4 CRR, ako aj</w:t>
            </w:r>
          </w:p>
          <w:p w14:paraId="103FE728" w14:textId="61C55120" w:rsidR="00D85C65" w:rsidRDefault="00C61FF5">
            <w:pPr>
              <w:rPr>
                <w:rStyle w:val="FormatvorlageInstructionsTabelleText"/>
                <w:rFonts w:ascii="Times New Roman" w:hAnsi="Times New Roman"/>
                <w:sz w:val="24"/>
              </w:rPr>
            </w:pPr>
            <w:r w:rsidRPr="00D85C65">
              <w:rPr>
                <w:rStyle w:val="FormatvorlageInstructionsTabelleText"/>
                <w:rFonts w:ascii="Times New Roman" w:hAnsi="Times New Roman"/>
                <w:sz w:val="24"/>
              </w:rPr>
              <w:t>– kapitálové pozície, na ktoré sa uplatnila riziková váha vo výške 370</w:t>
            </w:r>
            <w:r w:rsidR="00D85C65">
              <w:rPr>
                <w:rStyle w:val="FormatvorlageInstructionsTabelleText"/>
                <w:rFonts w:ascii="Times New Roman" w:hAnsi="Times New Roman"/>
                <w:sz w:val="24"/>
              </w:rPr>
              <w:t> % v </w:t>
            </w:r>
            <w:r w:rsidRPr="00D85C65">
              <w:rPr>
                <w:rStyle w:val="FormatvorlageInstructionsTabelleText"/>
                <w:rFonts w:ascii="Times New Roman" w:hAnsi="Times New Roman"/>
                <w:sz w:val="24"/>
              </w:rPr>
              <w:t>súlade</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článkom 471 ods. 2 CRR</w:t>
            </w:r>
          </w:p>
          <w:p w14:paraId="2CB3A9BA" w14:textId="73474571" w:rsidR="00235D9D" w:rsidRPr="00D85C65" w:rsidRDefault="00C61FF5">
            <w:pPr>
              <w:rPr>
                <w:rStyle w:val="FormatvorlageInstructionsTabelleText"/>
                <w:rFonts w:ascii="Times New Roman" w:hAnsi="Times New Roman"/>
                <w:sz w:val="24"/>
              </w:rPr>
            </w:pPr>
            <w:r w:rsidRPr="00D85C65">
              <w:rPr>
                <w:rStyle w:val="FormatvorlageInstructionsTabelleText"/>
                <w:rFonts w:ascii="Times New Roman" w:hAnsi="Times New Roman"/>
                <w:sz w:val="24"/>
              </w:rPr>
              <w:t>sa vykazujú</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riadku 110.</w:t>
            </w:r>
          </w:p>
        </w:tc>
      </w:tr>
      <w:tr w:rsidR="00235D9D" w:rsidRPr="00D85C6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235D9D" w:rsidRPr="00D85C65" w:rsidRDefault="00C61FF5">
            <w:pPr>
              <w:rPr>
                <w:rStyle w:val="InstructionsTabelleText"/>
                <w:rFonts w:ascii="Times New Roman" w:hAnsi="Times New Roman"/>
                <w:sz w:val="24"/>
              </w:rPr>
            </w:pPr>
            <w:r w:rsidRPr="00D85C65">
              <w:rPr>
                <w:rStyle w:val="InstructionsTabelleText"/>
                <w:rFonts w:ascii="Times New Roman" w:hAnsi="Times New Roman"/>
                <w:sz w:val="24"/>
              </w:rPr>
              <w:t>CR EQU IRB 2</w:t>
            </w:r>
          </w:p>
          <w:p w14:paraId="7BAE5549" w14:textId="77777777" w:rsidR="00235D9D" w:rsidRPr="00D85C65" w:rsidRDefault="00235D9D">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3D015F5E" w:rsidR="00235D9D" w:rsidRPr="00D85C65" w:rsidRDefault="00C61FF5">
            <w:pPr>
              <w:keepNext/>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ROZČLENENIE CELKOVÝCH EXPOZÍCIÍ</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RÁMCI PRÍSTUPU PD/LGD PODĽA RATINGOVÝCH STUPŇOV DLŽNÍKOV:</w:t>
            </w:r>
          </w:p>
          <w:p w14:paraId="3CBD70B6" w14:textId="37C022DE" w:rsidR="00235D9D" w:rsidRPr="00D85C65" w:rsidRDefault="00C61FF5">
            <w:pPr>
              <w:keepNext/>
              <w:spacing w:beforeLines="60" w:before="144" w:afterLines="60" w:after="144"/>
              <w:rPr>
                <w:rStyle w:val="InstructionsTabelleText"/>
                <w:rFonts w:ascii="Times New Roman" w:hAnsi="Times New Roman"/>
                <w:sz w:val="24"/>
              </w:rPr>
            </w:pPr>
            <w:r w:rsidRPr="00D85C65">
              <w:rPr>
                <w:rStyle w:val="InstructionsTabelleText"/>
                <w:rFonts w:ascii="Times New Roman" w:hAnsi="Times New Roman"/>
                <w:sz w:val="24"/>
              </w:rPr>
              <w:t>Inštitúcie, ktoré používajú prístup PD/LGD (článok 155 ods. 3 CRR), vykazujú požadované informácie vo vzore CR EQU IRB 2.</w:t>
            </w:r>
          </w:p>
          <w:p w14:paraId="4A99D5E0" w14:textId="500E2595" w:rsidR="00235D9D" w:rsidRPr="00D85C65" w:rsidRDefault="00D021AF">
            <w:pPr>
              <w:rPr>
                <w:rStyle w:val="InstructionsTabelleberschrift"/>
                <w:rFonts w:ascii="Times New Roman" w:hAnsi="Times New Roman"/>
                <w:b w:val="0"/>
                <w:bCs w:val="0"/>
                <w:sz w:val="24"/>
                <w:u w:val="none"/>
              </w:rPr>
            </w:pPr>
            <w:r w:rsidRPr="00D85C65">
              <w:rPr>
                <w:rStyle w:val="InstructionsTabelleText"/>
                <w:rFonts w:ascii="Times New Roman" w:hAnsi="Times New Roman"/>
                <w:sz w:val="24"/>
              </w:rPr>
              <w:t>Inštitúcie, ktoré používajú prístup PD/LGD</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ktoré uplatňujú jedinečný ratingový systém alebo dokážu vykazovať podľa internej hlavnej stupnice, vykazujú vo vzore CR EQU IRB 2 ratingové stupne alebo skupiny podľa tohto jedinečného ratingového systému/hlavnej stupnice.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každom inom prípade sa rôzne ratingové systémy zlúčia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zoradia podľa týchto kritérií: ratingové stupne alebo skupiny dlžníkov rôznych ratingových systémov sa zlúčia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zoradia od najnižšej PD priradenej jednotlivým ratingovým stupňom alebo skupinám dlžníkov po najvyššiu.</w:t>
            </w:r>
          </w:p>
        </w:tc>
      </w:tr>
    </w:tbl>
    <w:p w14:paraId="6FA66299" w14:textId="77777777" w:rsidR="00235D9D" w:rsidRPr="00D85C65" w:rsidRDefault="00235D9D">
      <w:pPr>
        <w:spacing w:before="0" w:after="0"/>
        <w:jc w:val="left"/>
        <w:rPr>
          <w:rStyle w:val="InstructionsTabelleText"/>
          <w:rFonts w:ascii="Times New Roman" w:hAnsi="Times New Roman"/>
          <w:sz w:val="24"/>
        </w:rPr>
      </w:pPr>
    </w:p>
    <w:p w14:paraId="5D217367"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59" w:name="_Toc29994502"/>
      <w:r w:rsidRPr="00D85C65">
        <w:rPr>
          <w:rFonts w:ascii="Times New Roman" w:hAnsi="Times New Roman"/>
          <w:sz w:val="24"/>
          <w:u w:val="none"/>
        </w:rPr>
        <w:t>3.6.</w:t>
      </w:r>
      <w:r w:rsidRPr="00D85C65">
        <w:rPr>
          <w:rFonts w:ascii="Times New Roman" w:hAnsi="Times New Roman"/>
          <w:sz w:val="24"/>
          <w:u w:val="none"/>
        </w:rPr>
        <w:tab/>
      </w:r>
      <w:r w:rsidRPr="00D85C65">
        <w:rPr>
          <w:rFonts w:ascii="Times New Roman" w:hAnsi="Times New Roman"/>
          <w:sz w:val="24"/>
        </w:rPr>
        <w:t>C 11.00 – Riziko vyrovnania/dodania (CR SETT)</w:t>
      </w:r>
      <w:bookmarkEnd w:id="59"/>
    </w:p>
    <w:p w14:paraId="67551EF1"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60" w:name="_Toc29994503"/>
      <w:r w:rsidRPr="00D85C65">
        <w:rPr>
          <w:rFonts w:ascii="Times New Roman" w:hAnsi="Times New Roman"/>
          <w:sz w:val="24"/>
          <w:u w:val="none"/>
        </w:rPr>
        <w:t>3.6.1.</w:t>
      </w:r>
      <w:r w:rsidRPr="00D85C65">
        <w:rPr>
          <w:rFonts w:ascii="Times New Roman" w:hAnsi="Times New Roman"/>
          <w:sz w:val="24"/>
          <w:u w:val="none"/>
        </w:rPr>
        <w:tab/>
      </w:r>
      <w:r w:rsidRPr="00D85C65">
        <w:rPr>
          <w:rFonts w:ascii="Times New Roman" w:hAnsi="Times New Roman"/>
          <w:sz w:val="24"/>
        </w:rPr>
        <w:t>Všeobecné poznámky</w:t>
      </w:r>
      <w:bookmarkEnd w:id="60"/>
    </w:p>
    <w:p w14:paraId="6B9FD87D" w14:textId="10D6EEC3" w:rsidR="00D85C65" w:rsidRDefault="00125707">
      <w:pPr>
        <w:pStyle w:val="InstructionsText2"/>
        <w:numPr>
          <w:ilvl w:val="0"/>
          <w:numId w:val="0"/>
        </w:numPr>
        <w:ind w:left="993"/>
      </w:pPr>
      <w:r w:rsidRPr="00D85C65">
        <w:t>93.</w:t>
      </w:r>
      <w:r w:rsidRPr="00D85C65">
        <w:tab/>
        <w:t>V tomto vzore sa vyžadujú informácie</w:t>
      </w:r>
      <w:r w:rsidR="00D85C65">
        <w:t xml:space="preserve"> o </w:t>
      </w:r>
      <w:r w:rsidRPr="00D85C65">
        <w:t>transakciách</w:t>
      </w:r>
      <w:r w:rsidR="00D85C65">
        <w:t xml:space="preserve"> v </w:t>
      </w:r>
      <w:r w:rsidRPr="00D85C65">
        <w:t>obchodnej</w:t>
      </w:r>
      <w:r w:rsidR="00D85C65">
        <w:t xml:space="preserve"> i </w:t>
      </w:r>
      <w:r w:rsidRPr="00D85C65">
        <w:t>neobchodnej knihe, ktoré sú nevyrovnané po dátume ich riadneho dodania,</w:t>
      </w:r>
      <w:r w:rsidR="00D85C65">
        <w:t xml:space="preserve"> a </w:t>
      </w:r>
      <w:r w:rsidRPr="00D85C65">
        <w:t>ich zodpovedajúce požiadavky na vlastné zdroje pre riziko vyrovnania podľa článku 92 ods. 3 písm. c) bodu ii)</w:t>
      </w:r>
      <w:r w:rsidR="00D85C65">
        <w:t xml:space="preserve"> a </w:t>
      </w:r>
      <w:r w:rsidRPr="00D85C65">
        <w:t>článku 378 CRR</w:t>
      </w:r>
      <w:r w:rsidR="00D85C65">
        <w:t>.</w:t>
      </w:r>
    </w:p>
    <w:p w14:paraId="52FEE6E4" w14:textId="2A11F7C4" w:rsidR="00D85C65" w:rsidRDefault="00125707">
      <w:pPr>
        <w:pStyle w:val="InstructionsText2"/>
        <w:numPr>
          <w:ilvl w:val="0"/>
          <w:numId w:val="0"/>
        </w:numPr>
        <w:ind w:left="993"/>
      </w:pPr>
      <w:r w:rsidRPr="00D85C65">
        <w:t>94.</w:t>
      </w:r>
      <w:r w:rsidRPr="00D85C65">
        <w:tab/>
        <w:t>Inštitúcie vo vzore CR SETT vykazujú informácie</w:t>
      </w:r>
      <w:r w:rsidR="00D85C65">
        <w:t xml:space="preserve"> o </w:t>
      </w:r>
      <w:r w:rsidRPr="00D85C65">
        <w:t>riziku vyrovnania/dodania</w:t>
      </w:r>
      <w:r w:rsidR="00D85C65">
        <w:t xml:space="preserve"> v </w:t>
      </w:r>
      <w:r w:rsidRPr="00D85C65">
        <w:t>spojení</w:t>
      </w:r>
      <w:r w:rsidR="00D85C65">
        <w:t xml:space="preserve"> s </w:t>
      </w:r>
      <w:r w:rsidRPr="00D85C65">
        <w:t>dlhovými nástrojmi, kapitálovými cennými papiermi, cudzími menami</w:t>
      </w:r>
      <w:r w:rsidR="00D85C65">
        <w:t xml:space="preserve"> a </w:t>
      </w:r>
      <w:r w:rsidRPr="00D85C65">
        <w:t>komoditami držanými</w:t>
      </w:r>
      <w:r w:rsidR="00D85C65">
        <w:t xml:space="preserve"> v </w:t>
      </w:r>
      <w:r w:rsidRPr="00D85C65">
        <w:t>ich obchodnej alebo neobchodnej knihe</w:t>
      </w:r>
      <w:r w:rsidR="00D85C65">
        <w:t>.</w:t>
      </w:r>
    </w:p>
    <w:p w14:paraId="545D84A1" w14:textId="2EB1DB26" w:rsidR="00235D9D" w:rsidRPr="00D85C65" w:rsidRDefault="00125707">
      <w:pPr>
        <w:pStyle w:val="InstructionsText2"/>
        <w:numPr>
          <w:ilvl w:val="0"/>
          <w:numId w:val="0"/>
        </w:numPr>
        <w:ind w:left="993"/>
      </w:pPr>
      <w:r w:rsidRPr="00D85C65">
        <w:lastRenderedPageBreak/>
        <w:t>95.</w:t>
      </w:r>
      <w:r w:rsidRPr="00D85C65">
        <w:tab/>
        <w:t>V súlade</w:t>
      </w:r>
      <w:r w:rsidR="00D85C65">
        <w:t xml:space="preserve"> s </w:t>
      </w:r>
      <w:r w:rsidRPr="00D85C65">
        <w:t>článkom 378 CRR repo transakcie, pôžičky</w:t>
      </w:r>
      <w:r w:rsidR="00D85C65">
        <w:t xml:space="preserve"> a </w:t>
      </w:r>
      <w:r w:rsidRPr="00D85C65">
        <w:t>výpožičky cenných papierov alebo komodít</w:t>
      </w:r>
      <w:r w:rsidR="00D85C65">
        <w:t xml:space="preserve"> v </w:t>
      </w:r>
      <w:r w:rsidRPr="00D85C65">
        <w:t>spojení</w:t>
      </w:r>
      <w:r w:rsidR="00D85C65">
        <w:t xml:space="preserve"> s </w:t>
      </w:r>
      <w:r w:rsidRPr="00D85C65">
        <w:t>dlhovými nástrojmi, kapitálovými cennými papiermi, cudzími menami</w:t>
      </w:r>
      <w:r w:rsidR="00D85C65">
        <w:t xml:space="preserve"> a </w:t>
      </w:r>
      <w:r w:rsidRPr="00D85C65">
        <w:t>komoditami nepodliehajú požiadavkám na vlastné zdroje pre riziko vyrovnania/dodania. Treba však poznamenať, že deriváty</w:t>
      </w:r>
      <w:r w:rsidR="00D85C65">
        <w:t xml:space="preserve"> a </w:t>
      </w:r>
      <w:r w:rsidRPr="00D85C65">
        <w:t>transakcie</w:t>
      </w:r>
      <w:r w:rsidR="00D85C65">
        <w:t xml:space="preserve"> s </w:t>
      </w:r>
      <w:r w:rsidRPr="00D85C65">
        <w:t>dlhou dobou vyrovnania, ktoré nie sú vyrovnané po riadnom dátume ich dodania, podliehajú požiadavkám na vlastné zdroje pre riziko vyrovnania/dodania, ako sa stanovuje</w:t>
      </w:r>
      <w:r w:rsidR="00D85C65">
        <w:t xml:space="preserve"> v </w:t>
      </w:r>
      <w:r w:rsidRPr="00D85C65">
        <w:t>článku 378 CRR.</w:t>
      </w:r>
    </w:p>
    <w:p w14:paraId="6CDCD819" w14:textId="0E3FA479" w:rsidR="00D85C65" w:rsidRDefault="00125707">
      <w:pPr>
        <w:pStyle w:val="InstructionsText2"/>
        <w:numPr>
          <w:ilvl w:val="0"/>
          <w:numId w:val="0"/>
        </w:numPr>
        <w:ind w:left="993"/>
      </w:pPr>
      <w:r w:rsidRPr="00D85C65">
        <w:t>96.</w:t>
      </w:r>
      <w:r w:rsidRPr="00D85C65">
        <w:tab/>
        <w:t>V prípade transakcií, ktoré nie sú vyrovnané po riadnom dátume ich dodania, inštitúcie vypočítajú cenový rozdiel, ktorý sa na ne uplatňuje. Ide</w:t>
      </w:r>
      <w:r w:rsidR="00D85C65">
        <w:t xml:space="preserve"> o </w:t>
      </w:r>
      <w:r w:rsidRPr="00D85C65">
        <w:t>rozdiel medzi dohodnutou cenou vyrovnania za príslušný dlhový nástroj, kapitálové cenné papiere, cudziu menu alebo komoditu</w:t>
      </w:r>
      <w:r w:rsidR="00D85C65">
        <w:t xml:space="preserve"> a </w:t>
      </w:r>
      <w:r w:rsidRPr="00D85C65">
        <w:t>jeho aktuálnou trhovou hodnotou, pričom rozdiel môže pre inštitúciu znamenať stratu</w:t>
      </w:r>
      <w:r w:rsidR="00D85C65">
        <w:t>.</w:t>
      </w:r>
    </w:p>
    <w:p w14:paraId="3C33B3C5" w14:textId="7D517DED" w:rsidR="00235D9D" w:rsidRPr="00D85C65" w:rsidRDefault="00125707">
      <w:pPr>
        <w:pStyle w:val="InstructionsText2"/>
        <w:numPr>
          <w:ilvl w:val="0"/>
          <w:numId w:val="0"/>
        </w:numPr>
        <w:ind w:left="993"/>
      </w:pPr>
      <w:r w:rsidRPr="00D85C65">
        <w:t>97.</w:t>
      </w:r>
      <w:r w:rsidRPr="00D85C65">
        <w:tab/>
        <w:t>Inštitúcie na určenie svojich príslušných požiadaviek na vlastné zdroje vynásobia tento rozdiel príslušným koeficientom uvedeným</w:t>
      </w:r>
      <w:r w:rsidR="00D85C65">
        <w:t xml:space="preserve"> v </w:t>
      </w:r>
      <w:r w:rsidRPr="00D85C65">
        <w:t>tabuľke 1 článku 378 CRR.</w:t>
      </w:r>
    </w:p>
    <w:p w14:paraId="26845CF7" w14:textId="0F5BB5DE" w:rsidR="00235D9D" w:rsidRPr="00D85C65" w:rsidRDefault="00125707">
      <w:pPr>
        <w:pStyle w:val="InstructionsText2"/>
        <w:numPr>
          <w:ilvl w:val="0"/>
          <w:numId w:val="0"/>
        </w:numPr>
        <w:ind w:left="993"/>
      </w:pPr>
      <w:r w:rsidRPr="00D85C65">
        <w:t>98.</w:t>
      </w:r>
      <w:r w:rsidRPr="00D85C65">
        <w:tab/>
        <w:t>V súlade</w:t>
      </w:r>
      <w:r w:rsidR="00D85C65">
        <w:t xml:space="preserve"> s </w:t>
      </w:r>
      <w:r w:rsidRPr="00D85C65">
        <w:t>článkom 92 ods. 4 písm. b) CRR sa požiadavky na vlastné zdroje pre riziko vyrovnania/dodania na vypočítanie hodnoty rizikovej expozície vynásobujú koeficientom 12,5.</w:t>
      </w:r>
    </w:p>
    <w:p w14:paraId="3EEF45C0" w14:textId="08416D19" w:rsidR="00235D9D" w:rsidRPr="00D85C65" w:rsidRDefault="00125707">
      <w:pPr>
        <w:pStyle w:val="InstructionsText2"/>
        <w:numPr>
          <w:ilvl w:val="0"/>
          <w:numId w:val="0"/>
        </w:numPr>
        <w:ind w:left="993"/>
      </w:pPr>
      <w:r w:rsidRPr="00D85C65">
        <w:t>99.</w:t>
      </w:r>
      <w:r w:rsidRPr="00D85C65">
        <w:tab/>
        <w:t>Treba poznamenať, že požiadavky na vlastné zdroje pre bezodplatné dodania stanovené</w:t>
      </w:r>
      <w:r w:rsidR="00D85C65">
        <w:t xml:space="preserve"> v </w:t>
      </w:r>
      <w:r w:rsidRPr="00D85C65">
        <w:t>článku 379 CRR nie sú</w:t>
      </w:r>
      <w:r w:rsidR="00D85C65">
        <w:t xml:space="preserve"> v </w:t>
      </w:r>
      <w:r w:rsidRPr="00D85C65">
        <w:t>rozsahu pôsobnosti vzoru CR SETT. Uvedené požiadavky na vlastné zdroje sa vykazujú vo vzoroch pre kreditné riziko (CR SA, CR IRB).</w:t>
      </w:r>
    </w:p>
    <w:p w14:paraId="7C539E4E" w14:textId="7E0DB3AE" w:rsidR="00235D9D" w:rsidRPr="00D85C65" w:rsidRDefault="00125707">
      <w:pPr>
        <w:pStyle w:val="Instructionsberschrift2"/>
        <w:numPr>
          <w:ilvl w:val="0"/>
          <w:numId w:val="0"/>
        </w:numPr>
        <w:ind w:left="357" w:hanging="357"/>
        <w:rPr>
          <w:rFonts w:ascii="Times New Roman" w:hAnsi="Times New Roman" w:cs="Times New Roman"/>
          <w:sz w:val="24"/>
        </w:rPr>
      </w:pPr>
      <w:bookmarkStart w:id="61" w:name="_Toc29994504"/>
      <w:r w:rsidRPr="00D85C65">
        <w:rPr>
          <w:rFonts w:ascii="Times New Roman" w:hAnsi="Times New Roman"/>
          <w:sz w:val="24"/>
          <w:u w:val="none"/>
        </w:rPr>
        <w:t>3.6.2.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235D9D" w:rsidRPr="00D85C65" w14:paraId="5575C142" w14:textId="77777777" w:rsidTr="00672D2A">
        <w:tc>
          <w:tcPr>
            <w:tcW w:w="8856" w:type="dxa"/>
            <w:gridSpan w:val="2"/>
            <w:shd w:val="clear" w:color="auto" w:fill="CCCCCC"/>
          </w:tcPr>
          <w:p w14:paraId="2EED0216" w14:textId="77777777" w:rsidR="00235D9D" w:rsidRPr="00D85C65" w:rsidRDefault="00612780">
            <w:pPr>
              <w:spacing w:beforeLines="60" w:before="144" w:afterLines="60" w:after="144"/>
              <w:rPr>
                <w:rFonts w:ascii="Times New Roman" w:hAnsi="Times New Roman"/>
                <w:b/>
                <w:sz w:val="24"/>
              </w:rPr>
            </w:pPr>
            <w:r w:rsidRPr="00D85C65">
              <w:rPr>
                <w:rFonts w:ascii="Times New Roman" w:hAnsi="Times New Roman"/>
                <w:b/>
                <w:sz w:val="24"/>
              </w:rPr>
              <w:t>Stĺpce</w:t>
            </w:r>
          </w:p>
        </w:tc>
      </w:tr>
      <w:tr w:rsidR="00235D9D" w:rsidRPr="00D85C65" w14:paraId="60A7F75E" w14:textId="77777777" w:rsidTr="00672D2A">
        <w:tc>
          <w:tcPr>
            <w:tcW w:w="852" w:type="dxa"/>
          </w:tcPr>
          <w:p w14:paraId="2183F4D1"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010</w:t>
            </w:r>
          </w:p>
        </w:tc>
        <w:tc>
          <w:tcPr>
            <w:tcW w:w="8004" w:type="dxa"/>
          </w:tcPr>
          <w:p w14:paraId="5E53C8B8" w14:textId="497A4DC9"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NEVYROVNANÉ TRANSAKCIE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CENE VYROVNANIA</w:t>
            </w:r>
          </w:p>
          <w:p w14:paraId="159928FB" w14:textId="17C9F713" w:rsidR="00D85C65" w:rsidRDefault="00A16FFF">
            <w:pPr>
              <w:spacing w:beforeLines="60" w:before="144" w:afterLines="60" w:after="144"/>
              <w:rPr>
                <w:rFonts w:ascii="Times New Roman" w:hAnsi="Times New Roman"/>
                <w:sz w:val="24"/>
              </w:rPr>
            </w:pPr>
            <w:r w:rsidRPr="00D85C65">
              <w:rPr>
                <w:rFonts w:ascii="Times New Roman" w:hAnsi="Times New Roman"/>
                <w:sz w:val="24"/>
              </w:rPr>
              <w:t>Inštitúcie vykazujú nevyrovnané transakcie po riadnom dátume ich dodania</w:t>
            </w:r>
            <w:r w:rsidR="00D85C65">
              <w:rPr>
                <w:rFonts w:ascii="Times New Roman" w:hAnsi="Times New Roman"/>
                <w:sz w:val="24"/>
              </w:rPr>
              <w:t xml:space="preserve"> v </w:t>
            </w:r>
            <w:r w:rsidRPr="00D85C65">
              <w:rPr>
                <w:rFonts w:ascii="Times New Roman" w:hAnsi="Times New Roman"/>
                <w:sz w:val="24"/>
              </w:rPr>
              <w:t>príslušnej dohodnutej cene vyrovnania, ako sa uvádza</w:t>
            </w:r>
            <w:r w:rsidR="00D85C65">
              <w:rPr>
                <w:rFonts w:ascii="Times New Roman" w:hAnsi="Times New Roman"/>
                <w:sz w:val="24"/>
              </w:rPr>
              <w:t xml:space="preserve"> v </w:t>
            </w:r>
            <w:r w:rsidRPr="00D85C65">
              <w:rPr>
                <w:rFonts w:ascii="Times New Roman" w:hAnsi="Times New Roman"/>
                <w:sz w:val="24"/>
              </w:rPr>
              <w:t>článku 378 CRR</w:t>
            </w:r>
            <w:r w:rsidR="00D85C65">
              <w:rPr>
                <w:rFonts w:ascii="Times New Roman" w:hAnsi="Times New Roman"/>
                <w:sz w:val="24"/>
              </w:rPr>
              <w:t>.</w:t>
            </w:r>
          </w:p>
          <w:p w14:paraId="1F67800B" w14:textId="6F5B1DF5"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Všetky nevyrovnané transakcie sa zahrnú do tohto stĺpca bez ohľadu na to, či predstavujú zisk alebo stratu po riadnom termíne vyrovnania.</w:t>
            </w:r>
          </w:p>
        </w:tc>
      </w:tr>
      <w:tr w:rsidR="00235D9D" w:rsidRPr="00D85C65" w14:paraId="7D156DB1" w14:textId="77777777" w:rsidTr="00672D2A">
        <w:tc>
          <w:tcPr>
            <w:tcW w:w="852" w:type="dxa"/>
          </w:tcPr>
          <w:p w14:paraId="26C9B508"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020</w:t>
            </w:r>
          </w:p>
        </w:tc>
        <w:tc>
          <w:tcPr>
            <w:tcW w:w="8004" w:type="dxa"/>
          </w:tcPr>
          <w:p w14:paraId="2332AC41" w14:textId="1FE5AA07"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EXPOZÍCIA VOČI CENOVÉMU ROZDIELU</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NEVYROVNANÝCH TRANSAKCIÍ</w:t>
            </w:r>
          </w:p>
          <w:p w14:paraId="56D8BD40" w14:textId="0F28EDF3" w:rsidR="00D85C65" w:rsidRDefault="00A16FFF">
            <w:pPr>
              <w:spacing w:beforeLines="60" w:before="144" w:afterLines="60" w:after="144"/>
              <w:rPr>
                <w:rFonts w:ascii="Times New Roman" w:hAnsi="Times New Roman"/>
                <w:sz w:val="24"/>
              </w:rPr>
            </w:pPr>
            <w:r w:rsidRPr="00D85C65">
              <w:rPr>
                <w:rFonts w:ascii="Times New Roman" w:hAnsi="Times New Roman"/>
                <w:sz w:val="24"/>
              </w:rPr>
              <w:t>Inštitúcie vykazujú cenový rozdiel medzi dohodnutou cenou vyrovnania</w:t>
            </w:r>
            <w:r w:rsidR="00D85C65">
              <w:rPr>
                <w:rFonts w:ascii="Times New Roman" w:hAnsi="Times New Roman"/>
                <w:sz w:val="24"/>
              </w:rPr>
              <w:t xml:space="preserve"> a </w:t>
            </w:r>
            <w:r w:rsidRPr="00D85C65">
              <w:rPr>
                <w:rFonts w:ascii="Times New Roman" w:hAnsi="Times New Roman"/>
                <w:sz w:val="24"/>
              </w:rPr>
              <w:t>aktuálnou trhovou hodnotou za príslušný dlhový nástroj, kapitálové cenné papiere, cudziu menu alebo komoditu, pričom rozdiel by mohol zahŕňať stratu pre inštitúciu, ako sa uvádza</w:t>
            </w:r>
            <w:r w:rsidR="00D85C65">
              <w:rPr>
                <w:rFonts w:ascii="Times New Roman" w:hAnsi="Times New Roman"/>
                <w:sz w:val="24"/>
              </w:rPr>
              <w:t xml:space="preserve"> v </w:t>
            </w:r>
            <w:r w:rsidRPr="00D85C65">
              <w:rPr>
                <w:rFonts w:ascii="Times New Roman" w:hAnsi="Times New Roman"/>
                <w:sz w:val="24"/>
              </w:rPr>
              <w:t>článku 378 CRR</w:t>
            </w:r>
            <w:r w:rsidR="00D85C65">
              <w:rPr>
                <w:rFonts w:ascii="Times New Roman" w:hAnsi="Times New Roman"/>
                <w:sz w:val="24"/>
              </w:rPr>
              <w:t>.</w:t>
            </w:r>
          </w:p>
          <w:p w14:paraId="2A2C35B7" w14:textId="33AE96AC"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V tomto stĺpci sa vykazujú len nevyrovnané transakcie</w:t>
            </w:r>
            <w:r w:rsidR="00D85C65">
              <w:rPr>
                <w:rFonts w:ascii="Times New Roman" w:hAnsi="Times New Roman"/>
                <w:sz w:val="24"/>
              </w:rPr>
              <w:t xml:space="preserve"> v </w:t>
            </w:r>
            <w:r w:rsidRPr="00D85C65">
              <w:rPr>
                <w:rFonts w:ascii="Times New Roman" w:hAnsi="Times New Roman"/>
                <w:sz w:val="24"/>
              </w:rPr>
              <w:t>strate po riadnom termíne vyrovnania.</w:t>
            </w:r>
          </w:p>
        </w:tc>
      </w:tr>
      <w:tr w:rsidR="00235D9D" w:rsidRPr="00D85C65" w14:paraId="50BA0E72" w14:textId="77777777" w:rsidTr="00672D2A">
        <w:tc>
          <w:tcPr>
            <w:tcW w:w="852" w:type="dxa"/>
          </w:tcPr>
          <w:p w14:paraId="3A1E12B1"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030</w:t>
            </w:r>
          </w:p>
        </w:tc>
        <w:tc>
          <w:tcPr>
            <w:tcW w:w="8004" w:type="dxa"/>
          </w:tcPr>
          <w:p w14:paraId="2EBFDFA7" w14:textId="77777777"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POŽIADAVKY NA VLASTNÉ ZDROJE</w:t>
            </w:r>
          </w:p>
          <w:p w14:paraId="11F3CADC" w14:textId="1396EBA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lastRenderedPageBreak/>
              <w:t>Inštitúcie vykazujú 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378 CRR.</w:t>
            </w:r>
          </w:p>
        </w:tc>
      </w:tr>
      <w:tr w:rsidR="00235D9D" w:rsidRPr="00D85C65" w14:paraId="30291023" w14:textId="77777777" w:rsidTr="00672D2A">
        <w:tc>
          <w:tcPr>
            <w:tcW w:w="852" w:type="dxa"/>
          </w:tcPr>
          <w:p w14:paraId="0CC911EB"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lastRenderedPageBreak/>
              <w:t>040</w:t>
            </w:r>
          </w:p>
        </w:tc>
        <w:tc>
          <w:tcPr>
            <w:tcW w:w="8004" w:type="dxa"/>
          </w:tcPr>
          <w:p w14:paraId="18C12A6F" w14:textId="77777777"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CELKOVÁ HODNOTA EXPOZÍCIE VOČI RIZIKU VYROVNANIA</w:t>
            </w:r>
          </w:p>
          <w:p w14:paraId="4585916E" w14:textId="668B96C2"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92 ods. 4 písm. b) CRR na vypočítanie hodnoty expozície voči riziku vyrovnania vynásobia svoje požiadavky na vlastné zdroje vykázané</w:t>
            </w:r>
            <w:r w:rsidR="00D85C65">
              <w:rPr>
                <w:rFonts w:ascii="Times New Roman" w:hAnsi="Times New Roman"/>
                <w:sz w:val="24"/>
              </w:rPr>
              <w:t xml:space="preserve"> v </w:t>
            </w:r>
            <w:r w:rsidRPr="00D85C65">
              <w:rPr>
                <w:rFonts w:ascii="Times New Roman" w:hAnsi="Times New Roman"/>
                <w:sz w:val="24"/>
              </w:rPr>
              <w:t>stĺpci 030 koeficientom 12,5.</w:t>
            </w:r>
          </w:p>
        </w:tc>
      </w:tr>
    </w:tbl>
    <w:p w14:paraId="325CED20" w14:textId="77777777" w:rsidR="00235D9D" w:rsidRPr="00D85C65" w:rsidRDefault="00235D9D">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235D9D" w:rsidRPr="00D85C65" w14:paraId="073135B3" w14:textId="77777777" w:rsidTr="00672D2A">
        <w:tc>
          <w:tcPr>
            <w:tcW w:w="8862" w:type="dxa"/>
            <w:gridSpan w:val="2"/>
            <w:shd w:val="clear" w:color="auto" w:fill="CCCCCC"/>
          </w:tcPr>
          <w:p w14:paraId="3201B95F" w14:textId="77777777" w:rsidR="00235D9D" w:rsidRPr="00D85C65" w:rsidRDefault="00612780">
            <w:pPr>
              <w:spacing w:beforeLines="60" w:before="144" w:afterLines="60" w:after="144"/>
              <w:rPr>
                <w:rFonts w:ascii="Times New Roman" w:hAnsi="Times New Roman"/>
                <w:b/>
                <w:sz w:val="24"/>
              </w:rPr>
            </w:pPr>
            <w:r w:rsidRPr="00D85C65">
              <w:rPr>
                <w:rFonts w:ascii="Times New Roman" w:hAnsi="Times New Roman"/>
                <w:b/>
                <w:sz w:val="24"/>
              </w:rPr>
              <w:t>Riadky</w:t>
            </w:r>
          </w:p>
        </w:tc>
      </w:tr>
      <w:tr w:rsidR="00235D9D" w:rsidRPr="00D85C65" w14:paraId="0189EB04" w14:textId="77777777" w:rsidTr="00672D2A">
        <w:tc>
          <w:tcPr>
            <w:tcW w:w="852" w:type="dxa"/>
          </w:tcPr>
          <w:p w14:paraId="05E5D2BF"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010</w:t>
            </w:r>
          </w:p>
        </w:tc>
        <w:tc>
          <w:tcPr>
            <w:tcW w:w="8010" w:type="dxa"/>
          </w:tcPr>
          <w:p w14:paraId="5CD29E23" w14:textId="317B2B84"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Celkové nevyrovnané transakcie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neobchodnej knihe</w:t>
            </w:r>
          </w:p>
          <w:p w14:paraId="170979C3" w14:textId="39A941EC"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 vykazujú súhrnné informácie</w:t>
            </w:r>
            <w:r w:rsidR="00D85C65">
              <w:rPr>
                <w:rFonts w:ascii="Times New Roman" w:hAnsi="Times New Roman"/>
                <w:sz w:val="24"/>
              </w:rPr>
              <w:t xml:space="preserve"> o </w:t>
            </w:r>
            <w:r w:rsidRPr="00D85C65">
              <w:rPr>
                <w:rFonts w:ascii="Times New Roman" w:hAnsi="Times New Roman"/>
                <w:sz w:val="24"/>
              </w:rPr>
              <w:t>riziku vyrovnania/dodania pre pozície</w:t>
            </w:r>
            <w:r w:rsidR="00D85C65">
              <w:rPr>
                <w:rFonts w:ascii="Times New Roman" w:hAnsi="Times New Roman"/>
                <w:sz w:val="24"/>
              </w:rPr>
              <w:t xml:space="preserve"> v </w:t>
            </w:r>
            <w:r w:rsidRPr="00D85C65">
              <w:rPr>
                <w:rFonts w:ascii="Times New Roman" w:hAnsi="Times New Roman"/>
                <w:sz w:val="24"/>
              </w:rPr>
              <w:t>neobchodnej knihe [ako sa uvádza</w:t>
            </w:r>
            <w:r w:rsidR="00D85C65">
              <w:rPr>
                <w:rFonts w:ascii="Times New Roman" w:hAnsi="Times New Roman"/>
                <w:sz w:val="24"/>
              </w:rPr>
              <w:t xml:space="preserve"> v </w:t>
            </w:r>
            <w:r w:rsidRPr="00D85C65">
              <w:rPr>
                <w:rFonts w:ascii="Times New Roman" w:hAnsi="Times New Roman"/>
                <w:sz w:val="24"/>
              </w:rPr>
              <w:t>článku 92 ods. 3 písm. c) bode ii)</w:t>
            </w:r>
            <w:r w:rsidR="00D85C65">
              <w:rPr>
                <w:rFonts w:ascii="Times New Roman" w:hAnsi="Times New Roman"/>
                <w:sz w:val="24"/>
              </w:rPr>
              <w:t xml:space="preserve"> a </w:t>
            </w:r>
            <w:r w:rsidRPr="00D85C65">
              <w:rPr>
                <w:rFonts w:ascii="Times New Roman" w:hAnsi="Times New Roman"/>
                <w:sz w:val="24"/>
              </w:rPr>
              <w:t>článku 378 CRR].</w:t>
            </w:r>
          </w:p>
          <w:p w14:paraId="6190E788" w14:textId="161C8271" w:rsidR="00235D9D" w:rsidRPr="00D85C65" w:rsidRDefault="00612780">
            <w:pPr>
              <w:spacing w:beforeLines="60" w:before="144"/>
              <w:rPr>
                <w:rFonts w:ascii="Times New Roman" w:hAnsi="Times New Roman"/>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{r010;c010} súhrnnú hodnotu transakcií nevyrovnaných po riadnom dátume ich dodania</w:t>
            </w:r>
            <w:r w:rsidR="00D85C65">
              <w:rPr>
                <w:rFonts w:ascii="Times New Roman" w:hAnsi="Times New Roman"/>
                <w:sz w:val="24"/>
              </w:rPr>
              <w:t xml:space="preserve"> v </w:t>
            </w:r>
            <w:r w:rsidRPr="00D85C65">
              <w:rPr>
                <w:rFonts w:ascii="Times New Roman" w:hAnsi="Times New Roman"/>
                <w:sz w:val="24"/>
              </w:rPr>
              <w:t>príslušných dohodnutých cenách vyrovnania.</w:t>
            </w:r>
          </w:p>
          <w:p w14:paraId="0F0F475E" w14:textId="663D32CF" w:rsidR="00235D9D" w:rsidRPr="00D85C65" w:rsidRDefault="00612780">
            <w:pPr>
              <w:spacing w:beforeLines="60" w:before="144"/>
              <w:rPr>
                <w:rFonts w:ascii="Times New Roman" w:hAnsi="Times New Roman"/>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{r010;c020} súhrnné informácie</w:t>
            </w:r>
            <w:r w:rsidR="00D85C65">
              <w:rPr>
                <w:rFonts w:ascii="Times New Roman" w:hAnsi="Times New Roman"/>
                <w:sz w:val="24"/>
              </w:rPr>
              <w:t xml:space="preserve"> o </w:t>
            </w:r>
            <w:r w:rsidRPr="00D85C65">
              <w:rPr>
                <w:rFonts w:ascii="Times New Roman" w:hAnsi="Times New Roman"/>
                <w:sz w:val="24"/>
              </w:rPr>
              <w:t>expozícii voči cenovému rozdielu</w:t>
            </w:r>
            <w:r w:rsidR="00D85C65">
              <w:rPr>
                <w:rFonts w:ascii="Times New Roman" w:hAnsi="Times New Roman"/>
                <w:sz w:val="24"/>
              </w:rPr>
              <w:t xml:space="preserve"> z </w:t>
            </w:r>
            <w:r w:rsidRPr="00D85C65">
              <w:rPr>
                <w:rFonts w:ascii="Times New Roman" w:hAnsi="Times New Roman"/>
                <w:sz w:val="24"/>
              </w:rPr>
              <w:t>nevyrovnaných transakcií</w:t>
            </w:r>
            <w:r w:rsidR="00D85C65">
              <w:rPr>
                <w:rFonts w:ascii="Times New Roman" w:hAnsi="Times New Roman"/>
                <w:sz w:val="24"/>
              </w:rPr>
              <w:t xml:space="preserve"> v </w:t>
            </w:r>
            <w:r w:rsidRPr="00D85C65">
              <w:rPr>
                <w:rFonts w:ascii="Times New Roman" w:hAnsi="Times New Roman"/>
                <w:sz w:val="24"/>
              </w:rPr>
              <w:t>strate.</w:t>
            </w:r>
          </w:p>
          <w:p w14:paraId="58319765" w14:textId="1B5C7126"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{r010;c030} súhrnné požiadavky na vlastné zdroje, ktoré sa odvodzujú zo súčtu požiadaviek na vlastné zdroje pre nevyrovnané transakcie vynásobením „cenového rozdielu“ vykázaného</w:t>
            </w:r>
            <w:r w:rsidR="00D85C65">
              <w:rPr>
                <w:rFonts w:ascii="Times New Roman" w:hAnsi="Times New Roman"/>
                <w:sz w:val="24"/>
              </w:rPr>
              <w:t xml:space="preserve"> v </w:t>
            </w:r>
            <w:r w:rsidRPr="00D85C65">
              <w:rPr>
                <w:rFonts w:ascii="Times New Roman" w:hAnsi="Times New Roman"/>
                <w:sz w:val="24"/>
              </w:rPr>
              <w:t>stĺpci 020 príslušným koeficientom podľa počtu pracovných dní po riadnom termíne vyrovnania (kategórie uvedené</w:t>
            </w:r>
            <w:r w:rsidR="00D85C65">
              <w:rPr>
                <w:rFonts w:ascii="Times New Roman" w:hAnsi="Times New Roman"/>
                <w:sz w:val="24"/>
              </w:rPr>
              <w:t xml:space="preserve"> v </w:t>
            </w:r>
            <w:r w:rsidRPr="00D85C65">
              <w:rPr>
                <w:rFonts w:ascii="Times New Roman" w:hAnsi="Times New Roman"/>
                <w:sz w:val="24"/>
              </w:rPr>
              <w:t>tabuľke 1 článku 378 CRR).</w:t>
            </w:r>
          </w:p>
        </w:tc>
      </w:tr>
      <w:tr w:rsidR="00235D9D" w:rsidRPr="00D85C65" w14:paraId="1878C2AF" w14:textId="77777777" w:rsidTr="00672D2A">
        <w:tc>
          <w:tcPr>
            <w:tcW w:w="852" w:type="dxa"/>
          </w:tcPr>
          <w:p w14:paraId="2309AC75"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020 až 060</w:t>
            </w:r>
          </w:p>
        </w:tc>
        <w:tc>
          <w:tcPr>
            <w:tcW w:w="8010" w:type="dxa"/>
          </w:tcPr>
          <w:p w14:paraId="7F9F2B89" w14:textId="700CA1E6" w:rsid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do 4 dní (koeficient 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6CDA317A" w14:textId="7021E784"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5 do 15 dní (koeficient 8</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09A8F4C8" w14:textId="3FC92C36"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16 do 30 dní (koeficient 50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31C36005" w14:textId="7B1D9C9D"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31 do 45 dní (koeficient 75</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2F475E9C" w14:textId="4CD66815"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46 dní</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dlhšie (koeficient 100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00EE90C9" w14:textId="04B352E6" w:rsid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w:t>
            </w:r>
            <w:r w:rsidR="00D85C65">
              <w:rPr>
                <w:rFonts w:ascii="Times New Roman" w:hAnsi="Times New Roman"/>
                <w:sz w:val="24"/>
              </w:rPr>
              <w:t xml:space="preserve"> v </w:t>
            </w:r>
            <w:r w:rsidRPr="00D85C65">
              <w:rPr>
                <w:rFonts w:ascii="Times New Roman" w:hAnsi="Times New Roman"/>
                <w:sz w:val="24"/>
              </w:rPr>
              <w:t>riadkoch 020 až 060 vykazujú informácie týkajúce sa rizika vyrovnania/dodania pre pozície</w:t>
            </w:r>
            <w:r w:rsidR="00D85C65">
              <w:rPr>
                <w:rFonts w:ascii="Times New Roman" w:hAnsi="Times New Roman"/>
                <w:sz w:val="24"/>
              </w:rPr>
              <w:t xml:space="preserve"> v </w:t>
            </w:r>
            <w:r w:rsidRPr="00D85C65">
              <w:rPr>
                <w:rFonts w:ascii="Times New Roman" w:hAnsi="Times New Roman"/>
                <w:sz w:val="24"/>
              </w:rPr>
              <w:t>neobchodnej knihe podľa kategórií uvedených</w:t>
            </w:r>
            <w:r w:rsidR="00D85C65">
              <w:rPr>
                <w:rFonts w:ascii="Times New Roman" w:hAnsi="Times New Roman"/>
                <w:sz w:val="24"/>
              </w:rPr>
              <w:t xml:space="preserve"> v </w:t>
            </w:r>
            <w:r w:rsidRPr="00D85C65">
              <w:rPr>
                <w:rFonts w:ascii="Times New Roman" w:hAnsi="Times New Roman"/>
                <w:sz w:val="24"/>
              </w:rPr>
              <w:t>tabuľke 1 článku 378 CRR</w:t>
            </w:r>
            <w:r w:rsidR="00D85C65">
              <w:rPr>
                <w:rFonts w:ascii="Times New Roman" w:hAnsi="Times New Roman"/>
                <w:sz w:val="24"/>
              </w:rPr>
              <w:t>.</w:t>
            </w:r>
          </w:p>
          <w:p w14:paraId="44D0C740" w14:textId="53E12FAB"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V prípade transakcií, ktoré sú nevyrovnané menej než 5 pracovných dní po riadnom termíne vyrovnania, sa nevyžadujú požiadavky na vlastné zdroje pre riziko vyrovnania/dodania.</w:t>
            </w:r>
          </w:p>
        </w:tc>
      </w:tr>
      <w:tr w:rsidR="00235D9D" w:rsidRPr="00D85C65" w14:paraId="2C66FCE5" w14:textId="77777777" w:rsidTr="00672D2A">
        <w:tc>
          <w:tcPr>
            <w:tcW w:w="852" w:type="dxa"/>
          </w:tcPr>
          <w:p w14:paraId="6BD184A5"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070</w:t>
            </w:r>
          </w:p>
        </w:tc>
        <w:tc>
          <w:tcPr>
            <w:tcW w:w="8010" w:type="dxa"/>
          </w:tcPr>
          <w:p w14:paraId="5FDA9C4F" w14:textId="3F43D5EE"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Celkové nevyrovnané transakcie</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obchodnej knihe</w:t>
            </w:r>
          </w:p>
          <w:p w14:paraId="60AB71F7" w14:textId="424FA6F8"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 vykazujú súhrnné informácie</w:t>
            </w:r>
            <w:r w:rsidR="00D85C65">
              <w:rPr>
                <w:rFonts w:ascii="Times New Roman" w:hAnsi="Times New Roman"/>
                <w:sz w:val="24"/>
              </w:rPr>
              <w:t xml:space="preserve"> o </w:t>
            </w:r>
            <w:r w:rsidRPr="00D85C65">
              <w:rPr>
                <w:rFonts w:ascii="Times New Roman" w:hAnsi="Times New Roman"/>
                <w:sz w:val="24"/>
              </w:rPr>
              <w:t>riziku vyrovnania/dodania pre pozície</w:t>
            </w:r>
            <w:r w:rsidR="00D85C65">
              <w:rPr>
                <w:rFonts w:ascii="Times New Roman" w:hAnsi="Times New Roman"/>
                <w:sz w:val="24"/>
              </w:rPr>
              <w:t xml:space="preserve"> v </w:t>
            </w:r>
            <w:r w:rsidRPr="00D85C65">
              <w:rPr>
                <w:rFonts w:ascii="Times New Roman" w:hAnsi="Times New Roman"/>
                <w:sz w:val="24"/>
              </w:rPr>
              <w:t>obchodnej knihe [ako sa uvádza</w:t>
            </w:r>
            <w:r w:rsidR="00D85C65">
              <w:rPr>
                <w:rFonts w:ascii="Times New Roman" w:hAnsi="Times New Roman"/>
                <w:sz w:val="24"/>
              </w:rPr>
              <w:t xml:space="preserve"> v </w:t>
            </w:r>
            <w:r w:rsidRPr="00D85C65">
              <w:rPr>
                <w:rFonts w:ascii="Times New Roman" w:hAnsi="Times New Roman"/>
                <w:sz w:val="24"/>
              </w:rPr>
              <w:t>článku 92 ods. 3 písm. c) bode ii)</w:t>
            </w:r>
            <w:r w:rsidR="00D85C65">
              <w:rPr>
                <w:rFonts w:ascii="Times New Roman" w:hAnsi="Times New Roman"/>
                <w:sz w:val="24"/>
              </w:rPr>
              <w:t xml:space="preserve"> a </w:t>
            </w:r>
            <w:r w:rsidRPr="00D85C65">
              <w:rPr>
                <w:rFonts w:ascii="Times New Roman" w:hAnsi="Times New Roman"/>
                <w:sz w:val="24"/>
              </w:rPr>
              <w:t>článku 378 CRR].</w:t>
            </w:r>
          </w:p>
          <w:p w14:paraId="2C4006D2" w14:textId="5DA77612"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lastRenderedPageBreak/>
              <w:t>Inštitúcie vykazujú</w:t>
            </w:r>
            <w:r w:rsidR="00D85C65">
              <w:rPr>
                <w:rFonts w:ascii="Times New Roman" w:hAnsi="Times New Roman"/>
                <w:sz w:val="24"/>
              </w:rPr>
              <w:t xml:space="preserve"> v </w:t>
            </w:r>
            <w:r w:rsidRPr="00D85C65">
              <w:rPr>
                <w:rFonts w:ascii="Times New Roman" w:hAnsi="Times New Roman"/>
                <w:sz w:val="24"/>
              </w:rPr>
              <w:t>{r070;c010} súhrnnú hodnotu transakcií nevyrovnaných po riadnom dátume ich dodania</w:t>
            </w:r>
            <w:r w:rsidR="00D85C65">
              <w:rPr>
                <w:rFonts w:ascii="Times New Roman" w:hAnsi="Times New Roman"/>
                <w:sz w:val="24"/>
              </w:rPr>
              <w:t xml:space="preserve"> v </w:t>
            </w:r>
            <w:r w:rsidRPr="00D85C65">
              <w:rPr>
                <w:rFonts w:ascii="Times New Roman" w:hAnsi="Times New Roman"/>
                <w:sz w:val="24"/>
              </w:rPr>
              <w:t>príslušných dohodnutých cenách vyrovnania.</w:t>
            </w:r>
          </w:p>
          <w:p w14:paraId="2F5263F5" w14:textId="447DD7B6"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{r070;c020} súhrnné informácie</w:t>
            </w:r>
            <w:r w:rsidR="00D85C65">
              <w:rPr>
                <w:rFonts w:ascii="Times New Roman" w:hAnsi="Times New Roman"/>
                <w:sz w:val="24"/>
              </w:rPr>
              <w:t xml:space="preserve"> o </w:t>
            </w:r>
            <w:r w:rsidRPr="00D85C65">
              <w:rPr>
                <w:rFonts w:ascii="Times New Roman" w:hAnsi="Times New Roman"/>
                <w:sz w:val="24"/>
              </w:rPr>
              <w:t>expozícii voči cenovému rozdielu</w:t>
            </w:r>
            <w:r w:rsidR="00D85C65">
              <w:rPr>
                <w:rFonts w:ascii="Times New Roman" w:hAnsi="Times New Roman"/>
                <w:sz w:val="24"/>
              </w:rPr>
              <w:t xml:space="preserve"> z </w:t>
            </w:r>
            <w:r w:rsidRPr="00D85C65">
              <w:rPr>
                <w:rFonts w:ascii="Times New Roman" w:hAnsi="Times New Roman"/>
                <w:sz w:val="24"/>
              </w:rPr>
              <w:t>nevyrovnaných transakcií</w:t>
            </w:r>
            <w:r w:rsidR="00D85C65">
              <w:rPr>
                <w:rFonts w:ascii="Times New Roman" w:hAnsi="Times New Roman"/>
                <w:sz w:val="24"/>
              </w:rPr>
              <w:t xml:space="preserve"> v </w:t>
            </w:r>
            <w:r w:rsidRPr="00D85C65">
              <w:rPr>
                <w:rFonts w:ascii="Times New Roman" w:hAnsi="Times New Roman"/>
                <w:sz w:val="24"/>
              </w:rPr>
              <w:t>strate.</w:t>
            </w:r>
          </w:p>
          <w:p w14:paraId="06D1744A" w14:textId="2A63B08C" w:rsidR="00235D9D" w:rsidRPr="00D85C65" w:rsidRDefault="00612780">
            <w:pPr>
              <w:spacing w:beforeLines="60" w:before="144" w:afterLines="60" w:after="144"/>
              <w:rPr>
                <w:rFonts w:ascii="Times New Roman" w:hAnsi="Times New Roman"/>
                <w:b/>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{r070;c030} súhrnné požiadavky na vlastné zdroje, ktoré sa odvodzujú zo súčtu požiadaviek na vlastné zdroje pre nevyrovnané transakcie vynásobením „cenového rozdielu“ vykázaného</w:t>
            </w:r>
            <w:r w:rsidR="00D85C65">
              <w:rPr>
                <w:rFonts w:ascii="Times New Roman" w:hAnsi="Times New Roman"/>
                <w:sz w:val="24"/>
              </w:rPr>
              <w:t xml:space="preserve"> v </w:t>
            </w:r>
            <w:r w:rsidRPr="00D85C65">
              <w:rPr>
                <w:rFonts w:ascii="Times New Roman" w:hAnsi="Times New Roman"/>
                <w:sz w:val="24"/>
              </w:rPr>
              <w:t>stĺpci 020 príslušným koeficientom podľa počtu pracovných dní po riadnom termíne vyrovnania (kategórie uvedené</w:t>
            </w:r>
            <w:r w:rsidR="00D85C65">
              <w:rPr>
                <w:rFonts w:ascii="Times New Roman" w:hAnsi="Times New Roman"/>
                <w:sz w:val="24"/>
              </w:rPr>
              <w:t xml:space="preserve"> v </w:t>
            </w:r>
            <w:r w:rsidRPr="00D85C65">
              <w:rPr>
                <w:rFonts w:ascii="Times New Roman" w:hAnsi="Times New Roman"/>
                <w:sz w:val="24"/>
              </w:rPr>
              <w:t>tabuľke 1 článku 378 CRR).</w:t>
            </w:r>
          </w:p>
        </w:tc>
      </w:tr>
      <w:tr w:rsidR="00235D9D" w:rsidRPr="00D85C65" w14:paraId="256C4BD4" w14:textId="77777777" w:rsidTr="00672D2A">
        <w:tc>
          <w:tcPr>
            <w:tcW w:w="852" w:type="dxa"/>
          </w:tcPr>
          <w:p w14:paraId="0600B802" w14:textId="77777777" w:rsidR="00235D9D" w:rsidRPr="00D85C65" w:rsidRDefault="00612780">
            <w:pPr>
              <w:spacing w:beforeLines="60" w:before="144" w:afterLines="60" w:after="144"/>
              <w:rPr>
                <w:rFonts w:ascii="Times New Roman" w:hAnsi="Times New Roman"/>
                <w:sz w:val="24"/>
              </w:rPr>
            </w:pPr>
            <w:r w:rsidRPr="00D85C65">
              <w:rPr>
                <w:rFonts w:ascii="Times New Roman" w:hAnsi="Times New Roman"/>
                <w:sz w:val="24"/>
              </w:rPr>
              <w:lastRenderedPageBreak/>
              <w:t>080 až 120</w:t>
            </w:r>
          </w:p>
        </w:tc>
        <w:tc>
          <w:tcPr>
            <w:tcW w:w="8010" w:type="dxa"/>
          </w:tcPr>
          <w:p w14:paraId="38DA95F8" w14:textId="08D3A228" w:rsid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do 4 dní (koeficient 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64108ABB" w14:textId="3FD7739E"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5 do 15 dní (koeficient 8</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69A72164" w14:textId="60167019"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16 do 30 dní (koeficient 50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4BB8E407" w14:textId="7C261419"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od 31 do 45 dní (koeficient 75</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0F10AD33" w14:textId="6D3F8FB6" w:rsidR="00235D9D" w:rsidRPr="00D85C65" w:rsidRDefault="00612780">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Transakcie nevyrovnané 46 dní</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dlhšie (koeficient 100</w:t>
            </w:r>
            <w:r w:rsidR="00D85C65">
              <w:rPr>
                <w:rStyle w:val="InstructionsTabelleberschrift"/>
                <w:rFonts w:ascii="Times New Roman" w:hAnsi="Times New Roman"/>
                <w:sz w:val="24"/>
              </w:rPr>
              <w:t> %</w:t>
            </w:r>
            <w:r w:rsidRPr="00D85C65">
              <w:rPr>
                <w:rStyle w:val="InstructionsTabelleberschrift"/>
                <w:rFonts w:ascii="Times New Roman" w:hAnsi="Times New Roman"/>
                <w:sz w:val="24"/>
              </w:rPr>
              <w:t>)</w:t>
            </w:r>
          </w:p>
          <w:p w14:paraId="20C3F073" w14:textId="3E427B06" w:rsidR="00D85C65" w:rsidRDefault="00612780">
            <w:pPr>
              <w:spacing w:beforeLines="60" w:before="144" w:afterLines="60" w:after="144"/>
              <w:rPr>
                <w:rFonts w:ascii="Times New Roman" w:hAnsi="Times New Roman"/>
                <w:sz w:val="24"/>
              </w:rPr>
            </w:pPr>
            <w:r w:rsidRPr="00D85C65">
              <w:rPr>
                <w:rFonts w:ascii="Times New Roman" w:hAnsi="Times New Roman"/>
                <w:sz w:val="24"/>
              </w:rPr>
              <w:t>Inštitúcie vykazujú</w:t>
            </w:r>
            <w:r w:rsidR="00D85C65">
              <w:rPr>
                <w:rFonts w:ascii="Times New Roman" w:hAnsi="Times New Roman"/>
                <w:sz w:val="24"/>
              </w:rPr>
              <w:t xml:space="preserve"> v </w:t>
            </w:r>
            <w:r w:rsidRPr="00D85C65">
              <w:rPr>
                <w:rFonts w:ascii="Times New Roman" w:hAnsi="Times New Roman"/>
                <w:sz w:val="24"/>
              </w:rPr>
              <w:t>riadkoch 080 až 120 informácie týkajúce sa rizika vyrovnania/dodania pre pozície</w:t>
            </w:r>
            <w:r w:rsidR="00D85C65">
              <w:rPr>
                <w:rFonts w:ascii="Times New Roman" w:hAnsi="Times New Roman"/>
                <w:sz w:val="24"/>
              </w:rPr>
              <w:t xml:space="preserve"> v </w:t>
            </w:r>
            <w:r w:rsidRPr="00D85C65">
              <w:rPr>
                <w:rFonts w:ascii="Times New Roman" w:hAnsi="Times New Roman"/>
                <w:sz w:val="24"/>
              </w:rPr>
              <w:t>obchodnej knihe podľa kategórií uvedených</w:t>
            </w:r>
            <w:r w:rsidR="00D85C65">
              <w:rPr>
                <w:rFonts w:ascii="Times New Roman" w:hAnsi="Times New Roman"/>
                <w:sz w:val="24"/>
              </w:rPr>
              <w:t xml:space="preserve"> v </w:t>
            </w:r>
            <w:r w:rsidRPr="00D85C65">
              <w:rPr>
                <w:rFonts w:ascii="Times New Roman" w:hAnsi="Times New Roman"/>
                <w:sz w:val="24"/>
              </w:rPr>
              <w:t>tabuľke 1 článku 378 CRR</w:t>
            </w:r>
            <w:r w:rsidR="00D85C65">
              <w:rPr>
                <w:rFonts w:ascii="Times New Roman" w:hAnsi="Times New Roman"/>
                <w:sz w:val="24"/>
              </w:rPr>
              <w:t>.</w:t>
            </w:r>
          </w:p>
          <w:p w14:paraId="2C467110" w14:textId="5B352471" w:rsidR="00235D9D" w:rsidRPr="00D85C65" w:rsidRDefault="00612780">
            <w:pPr>
              <w:spacing w:beforeLines="60" w:before="144" w:afterLines="60" w:after="144"/>
              <w:rPr>
                <w:rFonts w:ascii="Times New Roman" w:hAnsi="Times New Roman"/>
                <w:b/>
                <w:sz w:val="24"/>
              </w:rPr>
            </w:pPr>
            <w:r w:rsidRPr="00D85C65">
              <w:rPr>
                <w:rFonts w:ascii="Times New Roman" w:hAnsi="Times New Roman"/>
                <w:sz w:val="24"/>
              </w:rPr>
              <w:t>V prípade transakcií, ktoré sú nevyrovnané menej než 5 pracovných dní po riadnom termíne vyrovnania, sa nevyžadujú požiadavky na vlastné zdroje pre riziko vyrovnania/dodania.</w:t>
            </w:r>
          </w:p>
        </w:tc>
      </w:tr>
    </w:tbl>
    <w:p w14:paraId="46A5D5C3" w14:textId="77777777" w:rsidR="00235D9D" w:rsidRPr="00D85C65" w:rsidRDefault="00235D9D">
      <w:pPr>
        <w:spacing w:after="0"/>
        <w:rPr>
          <w:rFonts w:ascii="Times New Roman" w:hAnsi="Times New Roman"/>
          <w:sz w:val="24"/>
        </w:rPr>
      </w:pPr>
    </w:p>
    <w:p w14:paraId="63067A32" w14:textId="77777777" w:rsidR="00235D9D" w:rsidRPr="00D85C65" w:rsidRDefault="00612780">
      <w:pPr>
        <w:spacing w:before="0" w:after="0"/>
        <w:jc w:val="left"/>
        <w:rPr>
          <w:rStyle w:val="InstructionsTabelleText"/>
          <w:rFonts w:ascii="Times New Roman" w:hAnsi="Times New Roman"/>
          <w:sz w:val="24"/>
        </w:rPr>
      </w:pPr>
      <w:r w:rsidRPr="00D85C65">
        <w:rPr>
          <w:sz w:val="24"/>
        </w:rPr>
        <w:br w:type="page"/>
      </w:r>
    </w:p>
    <w:p w14:paraId="0A8AC0A3" w14:textId="77777777" w:rsidR="00235D9D" w:rsidRPr="00D85C65" w:rsidRDefault="00235D9D">
      <w:pPr>
        <w:autoSpaceDE w:val="0"/>
        <w:autoSpaceDN w:val="0"/>
        <w:adjustRightInd w:val="0"/>
        <w:spacing w:before="0" w:after="0"/>
        <w:jc w:val="left"/>
        <w:rPr>
          <w:rFonts w:ascii="Times New Roman" w:hAnsi="Times New Roman"/>
          <w:sz w:val="24"/>
        </w:rPr>
      </w:pPr>
    </w:p>
    <w:p w14:paraId="080CD2FC" w14:textId="77777777" w:rsidR="00235D9D" w:rsidRPr="00D85C65" w:rsidRDefault="00E026FB">
      <w:pPr>
        <w:pStyle w:val="Instructionsberschrift2"/>
        <w:numPr>
          <w:ilvl w:val="0"/>
          <w:numId w:val="0"/>
        </w:numPr>
        <w:ind w:left="357" w:hanging="357"/>
        <w:rPr>
          <w:rFonts w:ascii="Times New Roman" w:hAnsi="Times New Roman" w:cs="Times New Roman"/>
          <w:sz w:val="24"/>
        </w:rPr>
      </w:pPr>
      <w:bookmarkStart w:id="62" w:name="_Toc29994505"/>
      <w:r w:rsidRPr="00D85C65">
        <w:rPr>
          <w:rFonts w:ascii="Times New Roman" w:hAnsi="Times New Roman"/>
          <w:sz w:val="24"/>
          <w:u w:val="none"/>
        </w:rPr>
        <w:t>3.7.</w:t>
      </w:r>
      <w:r w:rsidRPr="00D85C65">
        <w:rPr>
          <w:rFonts w:ascii="Times New Roman" w:hAnsi="Times New Roman"/>
          <w:sz w:val="24"/>
          <w:u w:val="none"/>
        </w:rPr>
        <w:tab/>
      </w:r>
      <w:r w:rsidRPr="00D85C65">
        <w:rPr>
          <w:rFonts w:ascii="Times New Roman" w:hAnsi="Times New Roman"/>
          <w:sz w:val="24"/>
        </w:rPr>
        <w:t>C 13.01 – Kreditné riziko – Sekuritizácie (CR SEC)</w:t>
      </w:r>
      <w:bookmarkEnd w:id="62"/>
    </w:p>
    <w:p w14:paraId="6F06AFA3" w14:textId="77777777" w:rsidR="00235D9D" w:rsidRPr="00D85C65" w:rsidRDefault="00E026FB">
      <w:pPr>
        <w:pStyle w:val="Instructionsberschrift2"/>
        <w:numPr>
          <w:ilvl w:val="0"/>
          <w:numId w:val="0"/>
        </w:numPr>
        <w:ind w:left="357" w:hanging="357"/>
        <w:rPr>
          <w:rFonts w:ascii="Times New Roman" w:hAnsi="Times New Roman" w:cs="Times New Roman"/>
          <w:sz w:val="24"/>
        </w:rPr>
      </w:pPr>
      <w:bookmarkStart w:id="63" w:name="_Toc29994506"/>
      <w:r w:rsidRPr="00D85C65">
        <w:rPr>
          <w:rFonts w:ascii="Times New Roman" w:hAnsi="Times New Roman"/>
          <w:sz w:val="24"/>
          <w:u w:val="none"/>
        </w:rPr>
        <w:t>3.7.1.</w:t>
      </w:r>
      <w:r w:rsidRPr="00D85C65">
        <w:rPr>
          <w:rFonts w:ascii="Times New Roman" w:hAnsi="Times New Roman"/>
          <w:sz w:val="24"/>
          <w:u w:val="none"/>
        </w:rPr>
        <w:tab/>
      </w:r>
      <w:r w:rsidRPr="00D85C65">
        <w:rPr>
          <w:rFonts w:ascii="Times New Roman" w:hAnsi="Times New Roman"/>
          <w:sz w:val="24"/>
        </w:rPr>
        <w:t>Všeobecné poznámky</w:t>
      </w:r>
      <w:bookmarkEnd w:id="63"/>
    </w:p>
    <w:p w14:paraId="5B4F1190" w14:textId="3734717A" w:rsidR="00D85C65" w:rsidRDefault="00E026FB">
      <w:pPr>
        <w:pStyle w:val="InstructionsText2"/>
        <w:numPr>
          <w:ilvl w:val="0"/>
          <w:numId w:val="0"/>
        </w:numPr>
        <w:ind w:left="993"/>
      </w:pPr>
      <w:r w:rsidRPr="00D85C65">
        <w:t>100. Keď inštitúcia vystupuje ako originátor, informácie</w:t>
      </w:r>
      <w:r w:rsidR="00D85C65">
        <w:t xml:space="preserve"> v </w:t>
      </w:r>
      <w:r w:rsidRPr="00D85C65">
        <w:t>tomto vzore sa vyžadujú pre všetky sekuritizácie, pri ktorých sa uznal presun významného rizika. Keď inštitúcia vystupuje ako investor, vykazujú sa všetky expozície</w:t>
      </w:r>
      <w:r w:rsidR="00D85C65">
        <w:t>.</w:t>
      </w:r>
    </w:p>
    <w:p w14:paraId="304D921A" w14:textId="7C4767FE" w:rsidR="00235D9D" w:rsidRPr="00D85C65" w:rsidRDefault="00E026FB">
      <w:pPr>
        <w:pStyle w:val="InstructionsText2"/>
        <w:numPr>
          <w:ilvl w:val="0"/>
          <w:numId w:val="0"/>
        </w:numPr>
        <w:ind w:left="993"/>
      </w:pPr>
      <w:r w:rsidRPr="00D85C65">
        <w:t>101.</w:t>
      </w:r>
      <w:r w:rsidRPr="00D85C65">
        <w:tab/>
        <w:t xml:space="preserve"> Vykazované informácie závisia od úlohy inštitúcie</w:t>
      </w:r>
      <w:r w:rsidR="00D85C65">
        <w:t xml:space="preserve"> v </w:t>
      </w:r>
      <w:r w:rsidRPr="00D85C65">
        <w:t>sekuritizačnom procese. Preto sa na originátorov, sponzorov</w:t>
      </w:r>
      <w:r w:rsidR="00D85C65">
        <w:t xml:space="preserve"> a </w:t>
      </w:r>
      <w:r w:rsidRPr="00D85C65">
        <w:t>investorov vzťahujú špecifické vykazovacie položky.</w:t>
      </w:r>
    </w:p>
    <w:p w14:paraId="5732E32B" w14:textId="494598EC" w:rsidR="00D85C65" w:rsidRDefault="00E026FB">
      <w:pPr>
        <w:pStyle w:val="InstructionsText2"/>
        <w:numPr>
          <w:ilvl w:val="0"/>
          <w:numId w:val="0"/>
        </w:numPr>
        <w:ind w:left="993"/>
      </w:pPr>
      <w:r w:rsidRPr="00D85C65">
        <w:t>102.</w:t>
      </w:r>
      <w:r w:rsidR="00D85C65">
        <w:t xml:space="preserve"> V </w:t>
      </w:r>
      <w:r w:rsidRPr="00D85C65">
        <w:t>tomto vzore sa zhromažďujú spoločné informácie</w:t>
      </w:r>
      <w:r w:rsidR="00D85C65">
        <w:t xml:space="preserve"> o </w:t>
      </w:r>
      <w:r w:rsidRPr="00D85C65">
        <w:t>tradičných</w:t>
      </w:r>
      <w:r w:rsidR="00D85C65">
        <w:t xml:space="preserve"> i </w:t>
      </w:r>
      <w:r w:rsidRPr="00D85C65">
        <w:t>syntetických sekuritizáciách držaných</w:t>
      </w:r>
      <w:r w:rsidR="00D85C65">
        <w:t xml:space="preserve"> v </w:t>
      </w:r>
      <w:r w:rsidRPr="00D85C65">
        <w:t>bankovej knihe</w:t>
      </w:r>
      <w:r w:rsidR="00D85C65">
        <w:t>.</w:t>
      </w:r>
    </w:p>
    <w:p w14:paraId="0B0DD4A5" w14:textId="24F0D8BE" w:rsidR="00235D9D" w:rsidRPr="00D85C65" w:rsidRDefault="00E026FB">
      <w:pPr>
        <w:pStyle w:val="Instructionsberschrift2"/>
        <w:numPr>
          <w:ilvl w:val="0"/>
          <w:numId w:val="0"/>
        </w:numPr>
        <w:ind w:left="357" w:hanging="357"/>
        <w:rPr>
          <w:rFonts w:ascii="Times New Roman" w:hAnsi="Times New Roman" w:cs="Times New Roman"/>
          <w:sz w:val="24"/>
        </w:rPr>
      </w:pPr>
      <w:bookmarkStart w:id="64" w:name="_Toc29994507"/>
      <w:r w:rsidRPr="00D85C65">
        <w:rPr>
          <w:rFonts w:ascii="Times New Roman" w:hAnsi="Times New Roman"/>
          <w:sz w:val="24"/>
          <w:u w:val="none"/>
        </w:rPr>
        <w:t>3.7.2.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6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235D9D" w:rsidRPr="00D85C65" w14:paraId="739CBB50" w14:textId="77777777" w:rsidTr="00E10B85">
        <w:tc>
          <w:tcPr>
            <w:tcW w:w="9004" w:type="dxa"/>
            <w:gridSpan w:val="2"/>
            <w:shd w:val="clear" w:color="auto" w:fill="CCCCCC"/>
          </w:tcPr>
          <w:p w14:paraId="2CA37790" w14:textId="77777777" w:rsidR="00235D9D" w:rsidRPr="00D85C65" w:rsidRDefault="00235D9D">
            <w:pPr>
              <w:autoSpaceDE w:val="0"/>
              <w:autoSpaceDN w:val="0"/>
              <w:adjustRightInd w:val="0"/>
              <w:spacing w:before="0" w:after="0"/>
              <w:ind w:left="426"/>
              <w:jc w:val="left"/>
              <w:rPr>
                <w:rFonts w:ascii="Times New Roman" w:hAnsi="Times New Roman"/>
                <w:sz w:val="24"/>
              </w:rPr>
            </w:pPr>
          </w:p>
          <w:p w14:paraId="162E9CF1" w14:textId="77777777" w:rsidR="00235D9D" w:rsidRPr="00D85C65" w:rsidRDefault="00E026FB">
            <w:pPr>
              <w:autoSpaceDE w:val="0"/>
              <w:autoSpaceDN w:val="0"/>
              <w:adjustRightInd w:val="0"/>
              <w:spacing w:before="0" w:after="0"/>
              <w:rPr>
                <w:rFonts w:ascii="Times New Roman" w:hAnsi="Times New Roman"/>
                <w:b/>
                <w:bCs/>
                <w:sz w:val="24"/>
              </w:rPr>
            </w:pPr>
            <w:r w:rsidRPr="00D85C65">
              <w:rPr>
                <w:rFonts w:ascii="Times New Roman" w:hAnsi="Times New Roman"/>
                <w:b/>
                <w:sz w:val="24"/>
              </w:rPr>
              <w:t>Stĺpce</w:t>
            </w:r>
          </w:p>
          <w:p w14:paraId="154783EC"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192E1531" w14:textId="77777777" w:rsidTr="00E10B85">
        <w:tc>
          <w:tcPr>
            <w:tcW w:w="1568" w:type="dxa"/>
          </w:tcPr>
          <w:p w14:paraId="5ECAF04F"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0010</w:t>
            </w:r>
          </w:p>
        </w:tc>
        <w:tc>
          <w:tcPr>
            <w:tcW w:w="7436" w:type="dxa"/>
          </w:tcPr>
          <w:p w14:paraId="2A71F778" w14:textId="77777777" w:rsidR="00235D9D" w:rsidRPr="00D85C65" w:rsidRDefault="00E026FB">
            <w:pPr>
              <w:spacing w:before="0" w:after="0"/>
              <w:jc w:val="left"/>
              <w:rPr>
                <w:rFonts w:ascii="Times New Roman" w:hAnsi="Times New Roman"/>
                <w:sz w:val="24"/>
              </w:rPr>
            </w:pPr>
            <w:r w:rsidRPr="00D85C65">
              <w:rPr>
                <w:rFonts w:ascii="Times New Roman" w:hAnsi="Times New Roman"/>
                <w:b/>
                <w:sz w:val="24"/>
                <w:u w:val="single"/>
              </w:rPr>
              <w:t>CELKOVÁ HODNOTA VZNIKNUTÝCH SEKURITIZAČNÝCH EXPOZÍCIÍ</w:t>
            </w:r>
          </w:p>
          <w:p w14:paraId="712F783A" w14:textId="77777777" w:rsidR="00235D9D" w:rsidRPr="00D85C65" w:rsidRDefault="00235D9D">
            <w:pPr>
              <w:spacing w:before="0" w:after="0"/>
              <w:jc w:val="left"/>
              <w:rPr>
                <w:rFonts w:ascii="Times New Roman" w:hAnsi="Times New Roman"/>
                <w:sz w:val="24"/>
              </w:rPr>
            </w:pPr>
          </w:p>
          <w:p w14:paraId="3F5A1E13" w14:textId="2F9780E7"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Inštitúcie, ktoré sú originátormi, vykazujú</w:t>
            </w:r>
            <w:r w:rsidR="00D85C65">
              <w:rPr>
                <w:rFonts w:ascii="Times New Roman" w:hAnsi="Times New Roman"/>
                <w:sz w:val="24"/>
              </w:rPr>
              <w:t xml:space="preserve"> k </w:t>
            </w:r>
            <w:r w:rsidRPr="00D85C65">
              <w:rPr>
                <w:rFonts w:ascii="Times New Roman" w:hAnsi="Times New Roman"/>
                <w:sz w:val="24"/>
              </w:rPr>
              <w:t>dátumu vykazovania nesplatenú hodnotu všetkých aktuálnych sekuritizačných expozícií, ktoré vznikli</w:t>
            </w:r>
            <w:r w:rsidR="00D85C65">
              <w:rPr>
                <w:rFonts w:ascii="Times New Roman" w:hAnsi="Times New Roman"/>
                <w:sz w:val="24"/>
              </w:rPr>
              <w:t xml:space="preserve"> v </w:t>
            </w:r>
            <w:r w:rsidRPr="00D85C65">
              <w:rPr>
                <w:rFonts w:ascii="Times New Roman" w:hAnsi="Times New Roman"/>
                <w:sz w:val="24"/>
              </w:rPr>
              <w:t>rámci sekuritizačnej transakcie, bez ohľadu na to, kto drží pozície. Vykazujú sa súvahové sekuritizačné expozície (napr. dlhopisy, podriadené úvery)</w:t>
            </w:r>
            <w:r w:rsidR="00D85C65">
              <w:rPr>
                <w:rFonts w:ascii="Times New Roman" w:hAnsi="Times New Roman"/>
                <w:sz w:val="24"/>
              </w:rPr>
              <w:t xml:space="preserve"> a </w:t>
            </w:r>
            <w:r w:rsidRPr="00D85C65">
              <w:rPr>
                <w:rFonts w:ascii="Times New Roman" w:hAnsi="Times New Roman"/>
                <w:sz w:val="24"/>
              </w:rPr>
              <w:t>podsúvahové expozície</w:t>
            </w:r>
            <w:r w:rsidR="00D85C65">
              <w:rPr>
                <w:rFonts w:ascii="Times New Roman" w:hAnsi="Times New Roman"/>
                <w:sz w:val="24"/>
              </w:rPr>
              <w:t xml:space="preserve"> a </w:t>
            </w:r>
            <w:r w:rsidRPr="00D85C65">
              <w:rPr>
                <w:rFonts w:ascii="Times New Roman" w:hAnsi="Times New Roman"/>
                <w:sz w:val="24"/>
              </w:rPr>
              <w:t>deriváty (napr. podriadené úverové linky, facility likvidity, úrokové swapy, swapy na kreditné zlyhanie atď.), ktoré vznikli</w:t>
            </w:r>
            <w:r w:rsidR="00D85C65">
              <w:rPr>
                <w:rFonts w:ascii="Times New Roman" w:hAnsi="Times New Roman"/>
                <w:sz w:val="24"/>
              </w:rPr>
              <w:t xml:space="preserve"> v </w:t>
            </w:r>
            <w:r w:rsidRPr="00D85C65">
              <w:rPr>
                <w:rFonts w:ascii="Times New Roman" w:hAnsi="Times New Roman"/>
                <w:sz w:val="24"/>
              </w:rPr>
              <w:t>rámci sekuritizácie</w:t>
            </w:r>
            <w:r w:rsidR="00D85C65">
              <w:rPr>
                <w:rFonts w:ascii="Times New Roman" w:hAnsi="Times New Roman"/>
                <w:sz w:val="24"/>
              </w:rPr>
              <w:t>.</w:t>
            </w:r>
          </w:p>
          <w:p w14:paraId="1CC84C6B" w14:textId="51A84489" w:rsidR="00235D9D" w:rsidRPr="00D85C65" w:rsidRDefault="00235D9D">
            <w:pPr>
              <w:autoSpaceDE w:val="0"/>
              <w:autoSpaceDN w:val="0"/>
              <w:adjustRightInd w:val="0"/>
              <w:spacing w:before="0" w:after="0"/>
              <w:rPr>
                <w:rFonts w:ascii="Times New Roman" w:hAnsi="Times New Roman"/>
                <w:sz w:val="24"/>
              </w:rPr>
            </w:pPr>
          </w:p>
          <w:p w14:paraId="4B287425" w14:textId="704BAADC"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Keď originátor</w:t>
            </w:r>
            <w:r w:rsidR="00D85C65">
              <w:rPr>
                <w:rFonts w:ascii="Times New Roman" w:hAnsi="Times New Roman"/>
                <w:sz w:val="24"/>
              </w:rPr>
              <w:t xml:space="preserve"> v </w:t>
            </w:r>
            <w:r w:rsidRPr="00D85C65">
              <w:rPr>
                <w:rFonts w:ascii="Times New Roman" w:hAnsi="Times New Roman"/>
                <w:sz w:val="24"/>
              </w:rPr>
              <w:t>prípade tradičných sekuritizácií nedrží žiadne pozície, pri vypĺňaní tohto vzoru neposudzuje túto sekuritizáciu. Na tento účel sekuritizačné pozície držané originátorom zahŕňajú ustanovenia</w:t>
            </w:r>
            <w:r w:rsidR="00D85C65">
              <w:rPr>
                <w:rFonts w:ascii="Times New Roman" w:hAnsi="Times New Roman"/>
                <w:sz w:val="24"/>
              </w:rPr>
              <w:t xml:space="preserve"> o </w:t>
            </w:r>
            <w:r w:rsidRPr="00D85C65">
              <w:rPr>
                <w:rFonts w:ascii="Times New Roman" w:hAnsi="Times New Roman"/>
                <w:sz w:val="24"/>
              </w:rPr>
              <w:t>predčasnom splatení,</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242 ods. 16 CRR,</w:t>
            </w:r>
            <w:r w:rsidR="00D85C65">
              <w:rPr>
                <w:rFonts w:ascii="Times New Roman" w:hAnsi="Times New Roman"/>
                <w:sz w:val="24"/>
              </w:rPr>
              <w:t xml:space="preserve"> v </w:t>
            </w:r>
            <w:r w:rsidRPr="00D85C65">
              <w:rPr>
                <w:rFonts w:ascii="Times New Roman" w:hAnsi="Times New Roman"/>
                <w:sz w:val="24"/>
              </w:rPr>
              <w:t>sekuritizácii revolvingových expozícií.</w:t>
            </w:r>
          </w:p>
          <w:p w14:paraId="69FC9006"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4D946982" w14:textId="77777777" w:rsidTr="00E10B85">
        <w:tc>
          <w:tcPr>
            <w:tcW w:w="1568" w:type="dxa"/>
          </w:tcPr>
          <w:p w14:paraId="17EFB891"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0020 – 0040</w:t>
            </w:r>
          </w:p>
        </w:tc>
        <w:tc>
          <w:tcPr>
            <w:tcW w:w="7436" w:type="dxa"/>
          </w:tcPr>
          <w:p w14:paraId="62885C41"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SYNTENTICKÉ SEKURITIZÁCIE: ZABEZPEČENIE SEKURITIZOVANÝCH EXPOZÍCIÍ</w:t>
            </w:r>
          </w:p>
          <w:p w14:paraId="244811B1" w14:textId="77777777" w:rsidR="00235D9D" w:rsidRPr="00D85C65" w:rsidRDefault="00235D9D">
            <w:pPr>
              <w:spacing w:before="0" w:after="0"/>
              <w:jc w:val="left"/>
              <w:rPr>
                <w:rFonts w:ascii="Times New Roman" w:hAnsi="Times New Roman"/>
                <w:sz w:val="24"/>
              </w:rPr>
            </w:pPr>
          </w:p>
          <w:p w14:paraId="6DFC6E00" w14:textId="3CF33141" w:rsidR="00D85C65" w:rsidRDefault="00E026FB">
            <w:pPr>
              <w:spacing w:before="0" w:after="0"/>
              <w:rPr>
                <w:rFonts w:ascii="Times New Roman" w:hAnsi="Times New Roman"/>
                <w:sz w:val="24"/>
              </w:rPr>
            </w:pPr>
            <w:r w:rsidRPr="00D85C65">
              <w:rPr>
                <w:rFonts w:ascii="Times New Roman" w:hAnsi="Times New Roman"/>
                <w:sz w:val="24"/>
              </w:rPr>
              <w:t>Články 251</w:t>
            </w:r>
            <w:r w:rsidR="00D85C65">
              <w:rPr>
                <w:rFonts w:ascii="Times New Roman" w:hAnsi="Times New Roman"/>
                <w:sz w:val="24"/>
              </w:rPr>
              <w:t xml:space="preserve"> a </w:t>
            </w:r>
            <w:r w:rsidRPr="00D85C65">
              <w:rPr>
                <w:rFonts w:ascii="Times New Roman" w:hAnsi="Times New Roman"/>
                <w:sz w:val="24"/>
              </w:rPr>
              <w:t>252 CRR</w:t>
            </w:r>
            <w:r w:rsidR="00D85C65">
              <w:rPr>
                <w:rFonts w:ascii="Times New Roman" w:hAnsi="Times New Roman"/>
                <w:sz w:val="24"/>
              </w:rPr>
              <w:t>.</w:t>
            </w:r>
          </w:p>
          <w:p w14:paraId="2CBA7E2E" w14:textId="7F40A4BA" w:rsidR="00235D9D" w:rsidRPr="00D85C65" w:rsidRDefault="00235D9D">
            <w:pPr>
              <w:spacing w:before="0" w:after="0"/>
              <w:rPr>
                <w:rFonts w:ascii="Times New Roman" w:hAnsi="Times New Roman"/>
                <w:sz w:val="24"/>
              </w:rPr>
            </w:pPr>
          </w:p>
          <w:p w14:paraId="26168792" w14:textId="77777777" w:rsidR="00D85C65" w:rsidRDefault="00E026FB">
            <w:pPr>
              <w:spacing w:before="0" w:after="0"/>
              <w:rPr>
                <w:rFonts w:ascii="Times New Roman" w:hAnsi="Times New Roman"/>
                <w:sz w:val="24"/>
              </w:rPr>
            </w:pPr>
            <w:r w:rsidRPr="00D85C65">
              <w:rPr>
                <w:rFonts w:ascii="Times New Roman" w:hAnsi="Times New Roman"/>
                <w:sz w:val="24"/>
              </w:rPr>
              <w:t>V upravenej hodnote postupov na zmierňovanie kreditného rizika, ktoré sú súčasťou sekuritizačnej štruktúry, sa nezohľadňuje nesúlad splatností</w:t>
            </w:r>
            <w:r w:rsidR="00D85C65">
              <w:rPr>
                <w:rFonts w:ascii="Times New Roman" w:hAnsi="Times New Roman"/>
                <w:sz w:val="24"/>
              </w:rPr>
              <w:t>.</w:t>
            </w:r>
          </w:p>
          <w:p w14:paraId="2C658462" w14:textId="0814EEB7" w:rsidR="00235D9D" w:rsidRPr="00D85C65" w:rsidRDefault="00235D9D">
            <w:pPr>
              <w:spacing w:before="0" w:after="0"/>
              <w:rPr>
                <w:rFonts w:ascii="Times New Roman" w:hAnsi="Times New Roman"/>
                <w:bCs/>
                <w:sz w:val="24"/>
              </w:rPr>
            </w:pPr>
          </w:p>
        </w:tc>
      </w:tr>
      <w:tr w:rsidR="00235D9D" w:rsidRPr="00D85C65" w14:paraId="39646F32" w14:textId="77777777" w:rsidTr="00E10B85">
        <w:tc>
          <w:tcPr>
            <w:tcW w:w="1568" w:type="dxa"/>
          </w:tcPr>
          <w:p w14:paraId="51A08C1F"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0020</w:t>
            </w:r>
          </w:p>
        </w:tc>
        <w:tc>
          <w:tcPr>
            <w:tcW w:w="7436" w:type="dxa"/>
          </w:tcPr>
          <w:p w14:paraId="14C47526" w14:textId="77777777" w:rsid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FINANCOVANÉ ZABEZPEČENIE (C</w:t>
            </w:r>
            <w:r w:rsidRPr="00D85C65">
              <w:rPr>
                <w:rFonts w:ascii="Times New Roman" w:hAnsi="Times New Roman"/>
                <w:b/>
                <w:sz w:val="24"/>
                <w:u w:val="single"/>
                <w:vertAlign w:val="subscript"/>
              </w:rPr>
              <w:t>VA</w:t>
            </w:r>
            <w:r w:rsidRPr="00D85C65">
              <w:rPr>
                <w:rFonts w:ascii="Times New Roman" w:hAnsi="Times New Roman"/>
                <w:b/>
                <w:sz w:val="24"/>
                <w:u w:val="single"/>
              </w:rPr>
              <w:t>)</w:t>
            </w:r>
          </w:p>
          <w:p w14:paraId="1EEBA0E0" w14:textId="34B8132D" w:rsidR="00235D9D" w:rsidRPr="00D85C65" w:rsidRDefault="00235D9D">
            <w:pPr>
              <w:spacing w:before="0" w:after="0"/>
              <w:jc w:val="left"/>
              <w:rPr>
                <w:rFonts w:ascii="Times New Roman" w:hAnsi="Times New Roman"/>
                <w:sz w:val="24"/>
              </w:rPr>
            </w:pPr>
          </w:p>
          <w:p w14:paraId="508766CC" w14:textId="04E1DAF0"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Podrobný výpočet hodnoty kolaterálu upravenej</w:t>
            </w:r>
            <w:r w:rsidR="00D85C65">
              <w:rPr>
                <w:rFonts w:ascii="Times New Roman" w:hAnsi="Times New Roman"/>
                <w:sz w:val="24"/>
              </w:rPr>
              <w:t xml:space="preserve"> z </w:t>
            </w:r>
            <w:r w:rsidRPr="00D85C65">
              <w:rPr>
                <w:rFonts w:ascii="Times New Roman" w:hAnsi="Times New Roman"/>
                <w:sz w:val="24"/>
              </w:rPr>
              <w:t>dôvodu volatility (C</w:t>
            </w:r>
            <w:r w:rsidRPr="00D85C65">
              <w:rPr>
                <w:rFonts w:ascii="Times New Roman" w:hAnsi="Times New Roman"/>
                <w:sz w:val="24"/>
                <w:vertAlign w:val="subscript"/>
              </w:rPr>
              <w:t>VA</w:t>
            </w:r>
            <w:r w:rsidRPr="00D85C65">
              <w:rPr>
                <w:rFonts w:ascii="Times New Roman" w:hAnsi="Times New Roman"/>
                <w:sz w:val="24"/>
              </w:rPr>
              <w:t>), ktorá sa vykazuje</w:t>
            </w:r>
            <w:r w:rsidR="00D85C65">
              <w:rPr>
                <w:rFonts w:ascii="Times New Roman" w:hAnsi="Times New Roman"/>
                <w:sz w:val="24"/>
              </w:rPr>
              <w:t xml:space="preserve"> v </w:t>
            </w:r>
            <w:r w:rsidRPr="00D85C65">
              <w:rPr>
                <w:rFonts w:ascii="Times New Roman" w:hAnsi="Times New Roman"/>
                <w:sz w:val="24"/>
              </w:rPr>
              <w:t>tomto stĺpci, sa stanovuje</w:t>
            </w:r>
            <w:r w:rsidR="00D85C65">
              <w:rPr>
                <w:rFonts w:ascii="Times New Roman" w:hAnsi="Times New Roman"/>
                <w:sz w:val="24"/>
              </w:rPr>
              <w:t xml:space="preserve"> v </w:t>
            </w:r>
            <w:r w:rsidRPr="00D85C65">
              <w:rPr>
                <w:rFonts w:ascii="Times New Roman" w:hAnsi="Times New Roman"/>
                <w:sz w:val="24"/>
              </w:rPr>
              <w:t>článku 223 ods. 2 CRR.</w:t>
            </w:r>
          </w:p>
          <w:p w14:paraId="757F8D80" w14:textId="77777777" w:rsidR="00235D9D" w:rsidRPr="00D85C65" w:rsidRDefault="00235D9D">
            <w:pPr>
              <w:spacing w:before="0" w:after="0"/>
              <w:jc w:val="left"/>
              <w:rPr>
                <w:rFonts w:ascii="Times New Roman" w:hAnsi="Times New Roman"/>
                <w:b/>
                <w:sz w:val="24"/>
                <w:u w:val="single"/>
              </w:rPr>
            </w:pPr>
          </w:p>
        </w:tc>
      </w:tr>
      <w:tr w:rsidR="00235D9D" w:rsidRPr="00D85C65" w14:paraId="6D3E24DA" w14:textId="77777777" w:rsidTr="00E10B85">
        <w:tc>
          <w:tcPr>
            <w:tcW w:w="1568" w:type="dxa"/>
          </w:tcPr>
          <w:p w14:paraId="5D0AA934"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0030</w:t>
            </w:r>
          </w:p>
        </w:tc>
        <w:tc>
          <w:tcPr>
            <w:tcW w:w="7436" w:type="dxa"/>
          </w:tcPr>
          <w:p w14:paraId="51F76C36" w14:textId="77777777" w:rsid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CELKOVÉ ZÁPORNÉ TOKY: UPRAVENÉ HODNOTY NEFINANCOVANÉHO ZABEZPEČENIA (G*)</w:t>
            </w:r>
          </w:p>
          <w:p w14:paraId="0799A049" w14:textId="4FCEF770" w:rsidR="00235D9D" w:rsidRPr="00D85C65" w:rsidRDefault="00235D9D">
            <w:pPr>
              <w:spacing w:before="0" w:after="0"/>
              <w:jc w:val="left"/>
              <w:rPr>
                <w:rFonts w:ascii="Times New Roman" w:hAnsi="Times New Roman"/>
                <w:sz w:val="24"/>
              </w:rPr>
            </w:pPr>
          </w:p>
          <w:p w14:paraId="2BA6D5D4" w14:textId="31FB34B5" w:rsidR="00235D9D" w:rsidRPr="00D85C65" w:rsidRDefault="00E026FB">
            <w:pPr>
              <w:spacing w:before="0" w:after="0"/>
              <w:rPr>
                <w:rFonts w:ascii="Times New Roman" w:hAnsi="Times New Roman"/>
                <w:sz w:val="24"/>
              </w:rPr>
            </w:pPr>
            <w:r w:rsidRPr="00D85C65">
              <w:rPr>
                <w:rFonts w:ascii="Times New Roman" w:hAnsi="Times New Roman"/>
                <w:sz w:val="24"/>
              </w:rPr>
              <w:t>Hodnoty vykazované</w:t>
            </w:r>
            <w:r w:rsidR="00D85C65">
              <w:rPr>
                <w:rFonts w:ascii="Times New Roman" w:hAnsi="Times New Roman"/>
                <w:sz w:val="24"/>
              </w:rPr>
              <w:t xml:space="preserve"> v </w:t>
            </w:r>
            <w:r w:rsidRPr="00D85C65">
              <w:rPr>
                <w:rFonts w:ascii="Times New Roman" w:hAnsi="Times New Roman"/>
                <w:sz w:val="24"/>
              </w:rPr>
              <w:t>tomto stĺpci sa na základe všeobecného pravidla pre „kladné toky“</w:t>
            </w:r>
            <w:r w:rsidR="00D85C65">
              <w:rPr>
                <w:rFonts w:ascii="Times New Roman" w:hAnsi="Times New Roman"/>
                <w:sz w:val="24"/>
              </w:rPr>
              <w:t xml:space="preserve"> a </w:t>
            </w:r>
            <w:r w:rsidRPr="00D85C65">
              <w:rPr>
                <w:rFonts w:ascii="Times New Roman" w:hAnsi="Times New Roman"/>
                <w:sz w:val="24"/>
              </w:rPr>
              <w:t>„záporné toky“ vykazujú ako „kladné toky“</w:t>
            </w:r>
            <w:r w:rsidR="00D85C65">
              <w:rPr>
                <w:rFonts w:ascii="Times New Roman" w:hAnsi="Times New Roman"/>
                <w:sz w:val="24"/>
              </w:rPr>
              <w:t xml:space="preserve"> v </w:t>
            </w:r>
            <w:r w:rsidRPr="00D85C65">
              <w:rPr>
                <w:rFonts w:ascii="Times New Roman" w:hAnsi="Times New Roman"/>
                <w:sz w:val="24"/>
              </w:rPr>
              <w:t>príslušnom vzore pre kreditné riziko (CR SA alebo CR IRB)</w:t>
            </w:r>
            <w:r w:rsidR="00D85C65">
              <w:rPr>
                <w:rFonts w:ascii="Times New Roman" w:hAnsi="Times New Roman"/>
                <w:sz w:val="24"/>
              </w:rPr>
              <w:t xml:space="preserve"> a v </w:t>
            </w:r>
            <w:r w:rsidRPr="00D85C65">
              <w:rPr>
                <w:rFonts w:ascii="Times New Roman" w:hAnsi="Times New Roman"/>
                <w:sz w:val="24"/>
              </w:rPr>
              <w:t>triede expozícií, do ktorej vykazujúci subjekt zaraďuje poskytovateľa zabezpečenia (t. j. tretia strana, na ktorú sa prostredníctvom nefinancovaného zabezpečenia prenáša tranža).</w:t>
            </w:r>
          </w:p>
          <w:p w14:paraId="3A660088" w14:textId="77777777" w:rsidR="00235D9D" w:rsidRPr="00D85C65" w:rsidRDefault="00235D9D">
            <w:pPr>
              <w:spacing w:before="0" w:after="0"/>
              <w:jc w:val="left"/>
              <w:rPr>
                <w:rFonts w:ascii="Times New Roman" w:hAnsi="Times New Roman"/>
                <w:sz w:val="24"/>
              </w:rPr>
            </w:pPr>
          </w:p>
          <w:p w14:paraId="762F2510" w14:textId="48D59148"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Postup výpočtu nominálnej hodnoty zabezpečenia upravenej</w:t>
            </w:r>
            <w:r w:rsidR="00D85C65">
              <w:rPr>
                <w:rFonts w:ascii="Times New Roman" w:hAnsi="Times New Roman"/>
                <w:sz w:val="24"/>
              </w:rPr>
              <w:t xml:space="preserve"> o </w:t>
            </w:r>
            <w:r w:rsidRPr="00D85C65">
              <w:rPr>
                <w:rFonts w:ascii="Times New Roman" w:hAnsi="Times New Roman"/>
                <w:sz w:val="24"/>
              </w:rPr>
              <w:t>„devízové riziko“ (G*) sa stanovuje</w:t>
            </w:r>
            <w:r w:rsidR="00D85C65">
              <w:rPr>
                <w:rFonts w:ascii="Times New Roman" w:hAnsi="Times New Roman"/>
                <w:sz w:val="24"/>
              </w:rPr>
              <w:t xml:space="preserve"> v </w:t>
            </w:r>
            <w:r w:rsidRPr="00D85C65">
              <w:rPr>
                <w:rFonts w:ascii="Times New Roman" w:hAnsi="Times New Roman"/>
                <w:sz w:val="24"/>
              </w:rPr>
              <w:t>článku 233 ods. 3 CRR.</w:t>
            </w:r>
          </w:p>
          <w:p w14:paraId="09ADD7D8"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352BC6C4" w14:textId="77777777" w:rsidTr="00E10B85">
        <w:tc>
          <w:tcPr>
            <w:tcW w:w="1568" w:type="dxa"/>
          </w:tcPr>
          <w:p w14:paraId="04189F8F"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0040</w:t>
            </w:r>
          </w:p>
        </w:tc>
        <w:tc>
          <w:tcPr>
            <w:tcW w:w="7436" w:type="dxa"/>
          </w:tcPr>
          <w:p w14:paraId="3FADD4D7"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PONECHANÁ ALEBO SPÄTNE ODKÚPENÁ POMYSELNÁ HODNOTA ZABEZPEČENIA</w:t>
            </w:r>
          </w:p>
          <w:p w14:paraId="0ACB162C" w14:textId="77777777" w:rsidR="00235D9D" w:rsidRPr="00D85C65" w:rsidRDefault="00235D9D">
            <w:pPr>
              <w:spacing w:before="0" w:after="0"/>
              <w:jc w:val="left"/>
              <w:rPr>
                <w:rFonts w:ascii="Times New Roman" w:hAnsi="Times New Roman"/>
                <w:sz w:val="24"/>
              </w:rPr>
            </w:pPr>
          </w:p>
          <w:p w14:paraId="2C1E5633"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Všetky tranže, ktoré boli ponechané alebo spätne odkúpené, napr. ponechané pozície prvej straty, sa vykazujú vo svojich nominálnych hodnotách.</w:t>
            </w:r>
          </w:p>
          <w:p w14:paraId="22DDAF8E" w14:textId="77777777" w:rsidR="00235D9D" w:rsidRPr="00D85C65" w:rsidRDefault="00235D9D">
            <w:pPr>
              <w:autoSpaceDE w:val="0"/>
              <w:autoSpaceDN w:val="0"/>
              <w:adjustRightInd w:val="0"/>
              <w:spacing w:before="0" w:after="0"/>
              <w:rPr>
                <w:rFonts w:ascii="Times New Roman" w:hAnsi="Times New Roman"/>
                <w:bCs/>
                <w:sz w:val="24"/>
              </w:rPr>
            </w:pPr>
          </w:p>
          <w:p w14:paraId="2DA4A9F0" w14:textId="00A5AD94"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Pri výpočte ponechanej alebo spätne odkúpenej hodnoty zabezpečenia sa nezohľadňuje účinok haircutov dohľadu</w:t>
            </w:r>
            <w:r w:rsidR="00D85C65">
              <w:rPr>
                <w:rFonts w:ascii="Times New Roman" w:hAnsi="Times New Roman"/>
                <w:sz w:val="24"/>
              </w:rPr>
              <w:t xml:space="preserve"> v </w:t>
            </w:r>
            <w:r w:rsidRPr="00D85C65">
              <w:rPr>
                <w:rFonts w:ascii="Times New Roman" w:hAnsi="Times New Roman"/>
                <w:sz w:val="24"/>
              </w:rPr>
              <w:t>zabezpečení.</w:t>
            </w:r>
          </w:p>
          <w:p w14:paraId="21181D61"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5DCAA2E7" w14:textId="77777777" w:rsidTr="00E10B85">
        <w:tc>
          <w:tcPr>
            <w:tcW w:w="1568" w:type="dxa"/>
          </w:tcPr>
          <w:p w14:paraId="6B750D57"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0050</w:t>
            </w:r>
          </w:p>
        </w:tc>
        <w:tc>
          <w:tcPr>
            <w:tcW w:w="7436" w:type="dxa"/>
          </w:tcPr>
          <w:p w14:paraId="29BBB971" w14:textId="77777777" w:rsidR="00D85C65" w:rsidRDefault="00E026FB">
            <w:pPr>
              <w:spacing w:before="0" w:after="0"/>
              <w:rPr>
                <w:rFonts w:ascii="Times New Roman" w:hAnsi="Times New Roman"/>
                <w:b/>
                <w:sz w:val="24"/>
                <w:u w:val="single"/>
              </w:rPr>
            </w:pPr>
            <w:r w:rsidRPr="00D85C65">
              <w:rPr>
                <w:rFonts w:ascii="Times New Roman" w:hAnsi="Times New Roman"/>
                <w:b/>
                <w:sz w:val="24"/>
                <w:u w:val="single"/>
              </w:rPr>
              <w:t>SEKURITIZAČNÉ POZÍCIE: PÔVODNÁ EXPOZÍCIA PRED KONVERZNÝMI FAKTORMI</w:t>
            </w:r>
          </w:p>
          <w:p w14:paraId="4A807316" w14:textId="1BFF3C5F" w:rsidR="00235D9D" w:rsidRPr="00D85C65" w:rsidRDefault="00235D9D">
            <w:pPr>
              <w:spacing w:before="0" w:after="0"/>
              <w:jc w:val="left"/>
              <w:rPr>
                <w:rFonts w:ascii="Times New Roman" w:hAnsi="Times New Roman"/>
                <w:sz w:val="24"/>
              </w:rPr>
            </w:pPr>
          </w:p>
          <w:p w14:paraId="3CCC0123" w14:textId="79FD011B" w:rsidR="00235D9D" w:rsidRPr="00D85C65" w:rsidRDefault="00A16FFF">
            <w:pPr>
              <w:autoSpaceDE w:val="0"/>
              <w:autoSpaceDN w:val="0"/>
              <w:adjustRightInd w:val="0"/>
              <w:spacing w:before="0" w:after="0"/>
              <w:jc w:val="left"/>
              <w:rPr>
                <w:rFonts w:ascii="Times New Roman" w:hAnsi="Times New Roman"/>
                <w:sz w:val="24"/>
              </w:rPr>
            </w:pPr>
            <w:r w:rsidRPr="00D85C65">
              <w:rPr>
                <w:rFonts w:ascii="Times New Roman" w:hAnsi="Times New Roman"/>
                <w:sz w:val="24"/>
              </w:rPr>
              <w:t>Tento stĺpec zahŕňa hodnoty expozícií sekuritizačných pozícií, ktoré drží vykazujúca inštitúcia,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ods. 1</w:t>
            </w:r>
            <w:r w:rsidR="00D85C65">
              <w:rPr>
                <w:rFonts w:ascii="Times New Roman" w:hAnsi="Times New Roman"/>
                <w:sz w:val="24"/>
              </w:rPr>
              <w:t xml:space="preserve"> a </w:t>
            </w:r>
            <w:r w:rsidRPr="00D85C65">
              <w:rPr>
                <w:rFonts w:ascii="Times New Roman" w:hAnsi="Times New Roman"/>
                <w:sz w:val="24"/>
              </w:rPr>
              <w:t>2 CRR bez toho, aby sa uplatnili kreditné konverzné faktory, bez úprav ocenenia</w:t>
            </w:r>
            <w:r w:rsidR="00D85C65">
              <w:rPr>
                <w:rFonts w:ascii="Times New Roman" w:hAnsi="Times New Roman"/>
                <w:sz w:val="24"/>
              </w:rPr>
              <w:t xml:space="preserve"> a </w:t>
            </w:r>
            <w:r w:rsidRPr="00D85C65">
              <w:rPr>
                <w:rFonts w:ascii="Times New Roman" w:hAnsi="Times New Roman"/>
                <w:sz w:val="24"/>
              </w:rPr>
              <w:t>rezerv,</w:t>
            </w:r>
            <w:r w:rsidR="00D85C65">
              <w:rPr>
                <w:rFonts w:ascii="Times New Roman" w:hAnsi="Times New Roman"/>
                <w:sz w:val="24"/>
              </w:rPr>
              <w:t xml:space="preserve"> a </w:t>
            </w:r>
            <w:r w:rsidRPr="00D85C65">
              <w:rPr>
                <w:rFonts w:ascii="Times New Roman" w:hAnsi="Times New Roman"/>
                <w:sz w:val="24"/>
              </w:rPr>
              <w:t>akékoľvek nerefinancovateľné nákupné cenové diskonty pri sekuritizovaných expozíciách, ako sa uvádza</w:t>
            </w:r>
            <w:r w:rsidR="00D85C65">
              <w:rPr>
                <w:rFonts w:ascii="Times New Roman" w:hAnsi="Times New Roman"/>
                <w:sz w:val="24"/>
              </w:rPr>
              <w:t xml:space="preserve"> v </w:t>
            </w:r>
            <w:r w:rsidRPr="00D85C65">
              <w:rPr>
                <w:rFonts w:ascii="Times New Roman" w:hAnsi="Times New Roman"/>
                <w:sz w:val="24"/>
              </w:rPr>
              <w:t>článku 248 ods. 1 písm. d) CRR,</w:t>
            </w:r>
            <w:r w:rsidR="00D85C65">
              <w:rPr>
                <w:rFonts w:ascii="Times New Roman" w:hAnsi="Times New Roman"/>
                <w:sz w:val="24"/>
              </w:rPr>
              <w:t xml:space="preserve"> a </w:t>
            </w:r>
            <w:r w:rsidRPr="00D85C65">
              <w:rPr>
                <w:rFonts w:ascii="Times New Roman" w:hAnsi="Times New Roman"/>
                <w:sz w:val="24"/>
              </w:rPr>
              <w:t>bez úprav ocenenia</w:t>
            </w:r>
            <w:r w:rsidR="00D85C65">
              <w:rPr>
                <w:rFonts w:ascii="Times New Roman" w:hAnsi="Times New Roman"/>
                <w:sz w:val="24"/>
              </w:rPr>
              <w:t xml:space="preserve"> a </w:t>
            </w:r>
            <w:r w:rsidRPr="00D85C65">
              <w:rPr>
                <w:rFonts w:ascii="Times New Roman" w:hAnsi="Times New Roman"/>
                <w:sz w:val="24"/>
              </w:rPr>
              <w:t>rezerv na sekuritizačnú pozíciu.</w:t>
            </w:r>
          </w:p>
          <w:p w14:paraId="79547600" w14:textId="2EF32B47" w:rsidR="00235D9D" w:rsidRPr="00D85C65" w:rsidRDefault="00235D9D">
            <w:pPr>
              <w:autoSpaceDE w:val="0"/>
              <w:autoSpaceDN w:val="0"/>
              <w:adjustRightInd w:val="0"/>
              <w:spacing w:before="0" w:after="0"/>
              <w:jc w:val="left"/>
              <w:rPr>
                <w:rFonts w:ascii="Times New Roman" w:hAnsi="Times New Roman"/>
                <w:sz w:val="24"/>
              </w:rPr>
            </w:pPr>
          </w:p>
          <w:p w14:paraId="6041C03A" w14:textId="20586C28"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Započítavanie je relevantné, len pokiaľ ide</w:t>
            </w:r>
            <w:r w:rsidR="00D85C65">
              <w:rPr>
                <w:rFonts w:ascii="Times New Roman" w:hAnsi="Times New Roman"/>
                <w:sz w:val="24"/>
              </w:rPr>
              <w:t xml:space="preserve"> o </w:t>
            </w:r>
            <w:r w:rsidRPr="00D85C65">
              <w:rPr>
                <w:rFonts w:ascii="Times New Roman" w:hAnsi="Times New Roman"/>
                <w:sz w:val="24"/>
              </w:rPr>
              <w:t>viacnásobné derivátové zmluvy poskytnuté rovnakému účelovému subjektu zaoberajúcemu sa sekuritizáciou (SSPE) kryté prípustnou dohodou</w:t>
            </w:r>
            <w:r w:rsidR="00D85C65">
              <w:rPr>
                <w:rFonts w:ascii="Times New Roman" w:hAnsi="Times New Roman"/>
                <w:sz w:val="24"/>
              </w:rPr>
              <w:t xml:space="preserve"> o </w:t>
            </w:r>
            <w:r w:rsidRPr="00D85C65">
              <w:rPr>
                <w:rFonts w:ascii="Times New Roman" w:hAnsi="Times New Roman"/>
                <w:sz w:val="24"/>
              </w:rPr>
              <w:t>vzájomnom započítavaní</w:t>
            </w:r>
            <w:r w:rsidR="00D85C65">
              <w:rPr>
                <w:rFonts w:ascii="Times New Roman" w:hAnsi="Times New Roman"/>
                <w:sz w:val="24"/>
              </w:rPr>
              <w:t>.</w:t>
            </w:r>
          </w:p>
          <w:p w14:paraId="04872AB7" w14:textId="495BC282" w:rsidR="00235D9D" w:rsidRPr="00D85C65" w:rsidRDefault="00235D9D">
            <w:pPr>
              <w:autoSpaceDE w:val="0"/>
              <w:autoSpaceDN w:val="0"/>
              <w:adjustRightInd w:val="0"/>
              <w:spacing w:before="0" w:after="0"/>
              <w:rPr>
                <w:rFonts w:ascii="Times New Roman" w:hAnsi="Times New Roman"/>
                <w:sz w:val="24"/>
              </w:rPr>
            </w:pPr>
          </w:p>
          <w:p w14:paraId="507E5897"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 prípade syntetických sekuritizácií sú pozície držané originátorom vo forme súvahových položiek a/alebo podielu investora výsledkom súhrnu stĺpcov 0010 až 0040.</w:t>
            </w:r>
          </w:p>
          <w:p w14:paraId="1A1975D8"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03FDE2C8" w14:textId="77777777" w:rsidTr="00E10B85">
        <w:tc>
          <w:tcPr>
            <w:tcW w:w="1568" w:type="dxa"/>
          </w:tcPr>
          <w:p w14:paraId="41D8640A"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0060</w:t>
            </w:r>
          </w:p>
        </w:tc>
        <w:tc>
          <w:tcPr>
            <w:tcW w:w="7436" w:type="dxa"/>
          </w:tcPr>
          <w:p w14:paraId="416DDF3C" w14:textId="77777777" w:rsid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ÚPRAVY OCENENIA A REZERVY</w:t>
            </w:r>
          </w:p>
          <w:p w14:paraId="21E3E585" w14:textId="21C5EEFB" w:rsidR="00235D9D" w:rsidRPr="00D85C65" w:rsidRDefault="00235D9D">
            <w:pPr>
              <w:pStyle w:val="ListParagraph"/>
              <w:spacing w:before="0" w:after="0"/>
              <w:ind w:left="284" w:hanging="284"/>
              <w:rPr>
                <w:rFonts w:ascii="Times New Roman" w:hAnsi="Times New Roman"/>
                <w:sz w:val="24"/>
              </w:rPr>
            </w:pPr>
          </w:p>
          <w:p w14:paraId="3EE8D5DD" w14:textId="45950A6D"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Článok 248 CRR. Úpravy ocenenia</w:t>
            </w:r>
            <w:r w:rsidR="00D85C65">
              <w:rPr>
                <w:rFonts w:ascii="Times New Roman" w:hAnsi="Times New Roman"/>
                <w:sz w:val="24"/>
              </w:rPr>
              <w:t xml:space="preserve"> a </w:t>
            </w:r>
            <w:r w:rsidRPr="00D85C65">
              <w:rPr>
                <w:rFonts w:ascii="Times New Roman" w:hAnsi="Times New Roman"/>
                <w:sz w:val="24"/>
              </w:rPr>
              <w:t>rezervy, ktoré sa vykazujú</w:t>
            </w:r>
            <w:r w:rsidR="00D85C65">
              <w:rPr>
                <w:rFonts w:ascii="Times New Roman" w:hAnsi="Times New Roman"/>
                <w:sz w:val="24"/>
              </w:rPr>
              <w:t xml:space="preserve"> v </w:t>
            </w:r>
            <w:r w:rsidRPr="00D85C65">
              <w:rPr>
                <w:rFonts w:ascii="Times New Roman" w:hAnsi="Times New Roman"/>
                <w:sz w:val="24"/>
              </w:rPr>
              <w:t>tomto stĺpci, sa vzťahujú len na sekuritizačné pozície. Úpravy ocenenia sekuritizovaných expozícií sa nezohľadňujú.</w:t>
            </w:r>
          </w:p>
          <w:p w14:paraId="0561621F"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230FB5A4" w14:textId="77777777" w:rsidTr="00E10B85">
        <w:tc>
          <w:tcPr>
            <w:tcW w:w="1568" w:type="dxa"/>
          </w:tcPr>
          <w:p w14:paraId="3DF1C9E1"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0070</w:t>
            </w:r>
          </w:p>
        </w:tc>
        <w:tc>
          <w:tcPr>
            <w:tcW w:w="7436" w:type="dxa"/>
          </w:tcPr>
          <w:p w14:paraId="7FDA918E"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EXPOZÍCIA PO ODPOČÍTANÍ ÚPRAV OCENENIA A REZERV</w:t>
            </w:r>
          </w:p>
          <w:p w14:paraId="7F0EE619" w14:textId="77777777" w:rsidR="00235D9D" w:rsidRPr="00D85C65" w:rsidRDefault="00235D9D">
            <w:pPr>
              <w:spacing w:before="0" w:after="0"/>
              <w:jc w:val="left"/>
              <w:rPr>
                <w:rFonts w:ascii="Times New Roman" w:hAnsi="Times New Roman"/>
                <w:sz w:val="24"/>
              </w:rPr>
            </w:pPr>
          </w:p>
          <w:p w14:paraId="799E5479" w14:textId="385192BC" w:rsidR="00235D9D" w:rsidRPr="00D85C65" w:rsidRDefault="00A16FFF">
            <w:pPr>
              <w:autoSpaceDE w:val="0"/>
              <w:autoSpaceDN w:val="0"/>
              <w:adjustRightInd w:val="0"/>
              <w:spacing w:before="0" w:after="0"/>
              <w:jc w:val="left"/>
              <w:rPr>
                <w:rFonts w:ascii="Times New Roman" w:hAnsi="Times New Roman"/>
                <w:sz w:val="24"/>
              </w:rPr>
            </w:pPr>
            <w:r w:rsidRPr="00D85C65">
              <w:rPr>
                <w:rFonts w:ascii="Times New Roman" w:hAnsi="Times New Roman"/>
                <w:sz w:val="24"/>
              </w:rPr>
              <w:t>Tento stĺpec zahŕňa hodnoty expozícií sekuritizačných pozícií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ods. 1</w:t>
            </w:r>
            <w:r w:rsidR="00D85C65">
              <w:rPr>
                <w:rFonts w:ascii="Times New Roman" w:hAnsi="Times New Roman"/>
                <w:sz w:val="24"/>
              </w:rPr>
              <w:t xml:space="preserve"> a </w:t>
            </w:r>
            <w:r w:rsidRPr="00D85C65">
              <w:rPr>
                <w:rFonts w:ascii="Times New Roman" w:hAnsi="Times New Roman"/>
                <w:sz w:val="24"/>
              </w:rPr>
              <w:t>2 CRR, po započítaní úprav ocenenia</w:t>
            </w:r>
            <w:r w:rsidR="00D85C65">
              <w:rPr>
                <w:rFonts w:ascii="Times New Roman" w:hAnsi="Times New Roman"/>
                <w:sz w:val="24"/>
              </w:rPr>
              <w:t xml:space="preserve"> a </w:t>
            </w:r>
            <w:r w:rsidRPr="00D85C65">
              <w:rPr>
                <w:rFonts w:ascii="Times New Roman" w:hAnsi="Times New Roman"/>
                <w:sz w:val="24"/>
              </w:rPr>
              <w:t>rezerv, bez toho, aby sa uplatnili konverzné faktory,</w:t>
            </w:r>
            <w:r w:rsidR="00D85C65">
              <w:rPr>
                <w:rFonts w:ascii="Times New Roman" w:hAnsi="Times New Roman"/>
                <w:sz w:val="24"/>
              </w:rPr>
              <w:t xml:space="preserve"> a </w:t>
            </w:r>
            <w:r w:rsidRPr="00D85C65">
              <w:rPr>
                <w:rFonts w:ascii="Times New Roman" w:hAnsi="Times New Roman"/>
                <w:sz w:val="24"/>
              </w:rPr>
              <w:t>bez akýchkoľvek nerefinancovateľných nákupných cenových diskontov pri sekuritizovaných expozíciách, ako sa uvádza</w:t>
            </w:r>
            <w:r w:rsidR="00D85C65">
              <w:rPr>
                <w:rFonts w:ascii="Times New Roman" w:hAnsi="Times New Roman"/>
                <w:sz w:val="24"/>
              </w:rPr>
              <w:t xml:space="preserve"> v </w:t>
            </w:r>
            <w:r w:rsidRPr="00D85C65">
              <w:rPr>
                <w:rFonts w:ascii="Times New Roman" w:hAnsi="Times New Roman"/>
                <w:sz w:val="24"/>
              </w:rPr>
              <w:t>článku 248 ods. 1 písm. d) CRR,</w:t>
            </w:r>
            <w:r w:rsidR="00D85C65">
              <w:rPr>
                <w:rFonts w:ascii="Times New Roman" w:hAnsi="Times New Roman"/>
                <w:sz w:val="24"/>
              </w:rPr>
              <w:t xml:space="preserve"> a </w:t>
            </w:r>
            <w:r w:rsidRPr="00D85C65">
              <w:rPr>
                <w:rFonts w:ascii="Times New Roman" w:hAnsi="Times New Roman"/>
                <w:sz w:val="24"/>
              </w:rPr>
              <w:t>po započítaní úprav ocenenia</w:t>
            </w:r>
            <w:r w:rsidR="00D85C65">
              <w:rPr>
                <w:rFonts w:ascii="Times New Roman" w:hAnsi="Times New Roman"/>
                <w:sz w:val="24"/>
              </w:rPr>
              <w:t xml:space="preserve"> a </w:t>
            </w:r>
            <w:r w:rsidRPr="00D85C65">
              <w:rPr>
                <w:rFonts w:ascii="Times New Roman" w:hAnsi="Times New Roman"/>
                <w:sz w:val="24"/>
              </w:rPr>
              <w:t>rezerv na sekuritizačnú pozíciu.</w:t>
            </w:r>
          </w:p>
          <w:p w14:paraId="4A1BAEDA"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C818E24" w14:textId="77777777" w:rsidTr="00E10B85">
        <w:tc>
          <w:tcPr>
            <w:tcW w:w="1568" w:type="dxa"/>
          </w:tcPr>
          <w:p w14:paraId="2CB82341"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0080 – 0110</w:t>
            </w:r>
          </w:p>
        </w:tc>
        <w:tc>
          <w:tcPr>
            <w:tcW w:w="7436" w:type="dxa"/>
          </w:tcPr>
          <w:p w14:paraId="2F2D43D0" w14:textId="7864821D"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POSTUPY NA ZMIERŇOVANIE KREDITNÉHO RIZIKA (CRM)</w:t>
            </w:r>
            <w:r w:rsidR="00D85C65">
              <w:rPr>
                <w:rFonts w:ascii="Times New Roman" w:hAnsi="Times New Roman"/>
                <w:b/>
                <w:sz w:val="24"/>
                <w:u w:val="single"/>
              </w:rPr>
              <w:t xml:space="preserve"> S </w:t>
            </w:r>
            <w:r w:rsidRPr="00D85C65">
              <w:rPr>
                <w:rFonts w:ascii="Times New Roman" w:hAnsi="Times New Roman"/>
                <w:b/>
                <w:sz w:val="24"/>
                <w:u w:val="single"/>
              </w:rPr>
              <w:t>ÚČINKAMI SUBSTITÚCIE NA EXPOZÍCIU</w:t>
            </w:r>
          </w:p>
          <w:p w14:paraId="768F5C2C" w14:textId="77777777" w:rsidR="00235D9D" w:rsidRPr="00D85C65" w:rsidRDefault="00235D9D">
            <w:pPr>
              <w:spacing w:before="0" w:after="0"/>
              <w:jc w:val="left"/>
              <w:rPr>
                <w:rFonts w:ascii="Times New Roman" w:hAnsi="Times New Roman"/>
                <w:sz w:val="24"/>
              </w:rPr>
            </w:pPr>
          </w:p>
          <w:p w14:paraId="74D00D7A" w14:textId="6BF85FCF" w:rsidR="00235D9D" w:rsidRPr="00D85C65" w:rsidRDefault="00A16FFF">
            <w:pPr>
              <w:spacing w:before="0" w:after="0"/>
              <w:rPr>
                <w:rFonts w:ascii="Times New Roman" w:hAnsi="Times New Roman"/>
                <w:sz w:val="24"/>
              </w:rPr>
            </w:pPr>
            <w:r w:rsidRPr="00D85C65">
              <w:rPr>
                <w:rFonts w:ascii="Times New Roman" w:hAnsi="Times New Roman"/>
                <w:sz w:val="24"/>
              </w:rPr>
              <w:t>Článok 4 ods. 1 bod 57 CRR, tretia časť hlava II kapitola 4 CRR</w:t>
            </w:r>
            <w:r w:rsidR="00D85C65">
              <w:rPr>
                <w:rFonts w:ascii="Times New Roman" w:hAnsi="Times New Roman"/>
                <w:sz w:val="24"/>
              </w:rPr>
              <w:t xml:space="preserve"> a </w:t>
            </w:r>
            <w:r w:rsidRPr="00D85C65">
              <w:rPr>
                <w:rFonts w:ascii="Times New Roman" w:hAnsi="Times New Roman"/>
                <w:sz w:val="24"/>
              </w:rPr>
              <w:t>článok 249 CRR.</w:t>
            </w:r>
          </w:p>
          <w:p w14:paraId="6CA1E725" w14:textId="77777777" w:rsidR="00235D9D" w:rsidRPr="00D85C65" w:rsidRDefault="00235D9D">
            <w:pPr>
              <w:spacing w:before="0" w:after="0"/>
              <w:rPr>
                <w:rFonts w:ascii="Times New Roman" w:hAnsi="Times New Roman"/>
                <w:sz w:val="24"/>
              </w:rPr>
            </w:pPr>
          </w:p>
          <w:p w14:paraId="1A2D70F4" w14:textId="0884C32A" w:rsidR="00235D9D" w:rsidRPr="00D85C65" w:rsidRDefault="007A00D6">
            <w:pPr>
              <w:spacing w:before="0" w:after="0"/>
              <w:rPr>
                <w:rFonts w:ascii="Times New Roman" w:hAnsi="Times New Roman"/>
                <w:sz w:val="24"/>
              </w:rPr>
            </w:pPr>
            <w:r w:rsidRPr="00D85C65">
              <w:rPr>
                <w:rFonts w:ascii="Times New Roman" w:hAnsi="Times New Roman"/>
                <w:sz w:val="24"/>
              </w:rPr>
              <w:t>V týchto stĺpcoch inštitúcie vykazujú informácie</w:t>
            </w:r>
            <w:r w:rsidR="00D85C65">
              <w:rPr>
                <w:rFonts w:ascii="Times New Roman" w:hAnsi="Times New Roman"/>
                <w:sz w:val="24"/>
              </w:rPr>
              <w:t xml:space="preserve"> o </w:t>
            </w:r>
            <w:r w:rsidRPr="00D85C65">
              <w:rPr>
                <w:rFonts w:ascii="Times New Roman" w:hAnsi="Times New Roman"/>
                <w:sz w:val="24"/>
              </w:rPr>
              <w:t>postupoch na zmierňovanie kreditného rizika, ktorými sa znižuje kreditné riziko expozície alebo expozícií prostredníctvom substitúcie expozícií (ako je uvedené nižšie pre kladné toky</w:t>
            </w:r>
            <w:r w:rsidR="00D85C65">
              <w:rPr>
                <w:rFonts w:ascii="Times New Roman" w:hAnsi="Times New Roman"/>
                <w:sz w:val="24"/>
              </w:rPr>
              <w:t xml:space="preserve"> a </w:t>
            </w:r>
            <w:r w:rsidRPr="00D85C65">
              <w:rPr>
                <w:rFonts w:ascii="Times New Roman" w:hAnsi="Times New Roman"/>
                <w:sz w:val="24"/>
              </w:rPr>
              <w:t>záporné toky).</w:t>
            </w:r>
          </w:p>
          <w:p w14:paraId="5C52F384" w14:textId="77777777" w:rsidR="00235D9D" w:rsidRPr="00D85C65" w:rsidRDefault="00235D9D">
            <w:pPr>
              <w:spacing w:before="0" w:after="0"/>
              <w:rPr>
                <w:rFonts w:ascii="Times New Roman" w:hAnsi="Times New Roman"/>
                <w:sz w:val="24"/>
              </w:rPr>
            </w:pPr>
          </w:p>
          <w:p w14:paraId="7554F59A" w14:textId="202F001C" w:rsidR="00235D9D" w:rsidRPr="00D85C65" w:rsidRDefault="00D021AF">
            <w:pPr>
              <w:pStyle w:val="InstructionsText"/>
            </w:pPr>
            <w:r w:rsidRPr="00D85C65">
              <w:t>Keď má kolaterál účinok na hodnotu expozície (napr. keď sa používa pre postupy na zmierňovanie kreditného rizika</w:t>
            </w:r>
            <w:r w:rsidR="00D85C65">
              <w:t xml:space="preserve"> s </w:t>
            </w:r>
            <w:r w:rsidRPr="00D85C65">
              <w:t>účinkami substitúcie na expozíciu), jeho horná hranica sa obmedzí hodnotou expozície.</w:t>
            </w:r>
          </w:p>
          <w:p w14:paraId="575F0F4D" w14:textId="77777777" w:rsidR="00235D9D" w:rsidRPr="00D85C65" w:rsidRDefault="00E026FB">
            <w:pPr>
              <w:pStyle w:val="InstructionsText"/>
            </w:pPr>
            <w:r w:rsidRPr="00D85C65">
              <w:t>Položky, ktoré sa tu vykazujú:</w:t>
            </w:r>
          </w:p>
          <w:p w14:paraId="74DAEEA3" w14:textId="2C17212C" w:rsidR="00235D9D" w:rsidRPr="00D85C65" w:rsidRDefault="00E026FB">
            <w:pPr>
              <w:pStyle w:val="ListParagraph"/>
              <w:numPr>
                <w:ilvl w:val="0"/>
                <w:numId w:val="37"/>
              </w:numPr>
              <w:tabs>
                <w:tab w:val="num" w:pos="360"/>
              </w:tabs>
              <w:spacing w:before="0" w:after="0"/>
              <w:rPr>
                <w:rFonts w:ascii="Times New Roman" w:hAnsi="Times New Roman"/>
                <w:sz w:val="24"/>
              </w:rPr>
            </w:pPr>
            <w:r w:rsidRPr="00D85C65">
              <w:rPr>
                <w:rFonts w:ascii="Times New Roman" w:hAnsi="Times New Roman"/>
                <w:sz w:val="24"/>
              </w:rPr>
              <w:t>kolaterál zahrnutý</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222 CRR (jednoduchá metóda nakladania</w:t>
            </w:r>
            <w:r w:rsidR="00D85C65">
              <w:rPr>
                <w:rFonts w:ascii="Times New Roman" w:hAnsi="Times New Roman"/>
                <w:sz w:val="24"/>
              </w:rPr>
              <w:t xml:space="preserve"> s </w:t>
            </w:r>
            <w:r w:rsidRPr="00D85C65">
              <w:rPr>
                <w:rFonts w:ascii="Times New Roman" w:hAnsi="Times New Roman"/>
                <w:sz w:val="24"/>
              </w:rPr>
              <w:t>finančným kolaterálom);</w:t>
            </w:r>
          </w:p>
          <w:p w14:paraId="0E01D21D" w14:textId="77777777" w:rsidR="00235D9D" w:rsidRPr="00D85C65" w:rsidRDefault="00E026FB">
            <w:pPr>
              <w:pStyle w:val="ListParagraph"/>
              <w:numPr>
                <w:ilvl w:val="0"/>
                <w:numId w:val="37"/>
              </w:numPr>
              <w:tabs>
                <w:tab w:val="num" w:pos="360"/>
              </w:tabs>
              <w:spacing w:before="0" w:after="0"/>
              <w:rPr>
                <w:rFonts w:ascii="Times New Roman" w:hAnsi="Times New Roman"/>
                <w:sz w:val="24"/>
              </w:rPr>
            </w:pPr>
            <w:r w:rsidRPr="00D85C65">
              <w:rPr>
                <w:rFonts w:ascii="Times New Roman" w:hAnsi="Times New Roman"/>
                <w:sz w:val="24"/>
              </w:rPr>
              <w:t>prípustné nefinancované zabezpečenie.</w:t>
            </w:r>
          </w:p>
          <w:p w14:paraId="76E64F6A" w14:textId="77777777" w:rsidR="00235D9D" w:rsidRPr="00D85C65" w:rsidRDefault="00235D9D">
            <w:pPr>
              <w:spacing w:before="0" w:after="0"/>
              <w:rPr>
                <w:rFonts w:ascii="Times New Roman" w:hAnsi="Times New Roman"/>
                <w:b/>
                <w:sz w:val="24"/>
                <w:u w:val="single"/>
              </w:rPr>
            </w:pPr>
          </w:p>
        </w:tc>
      </w:tr>
      <w:tr w:rsidR="00235D9D" w:rsidRPr="00D85C65" w14:paraId="795C8CE5" w14:textId="77777777" w:rsidTr="00E10B85">
        <w:tc>
          <w:tcPr>
            <w:tcW w:w="1568" w:type="dxa"/>
          </w:tcPr>
          <w:p w14:paraId="1136E601"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0080</w:t>
            </w:r>
          </w:p>
        </w:tc>
        <w:tc>
          <w:tcPr>
            <w:tcW w:w="7436" w:type="dxa"/>
          </w:tcPr>
          <w:p w14:paraId="0FFEF8B5" w14:textId="77777777" w:rsid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NEFINANCOVANÉ ZABEZPEČENIE: UPRAVENÉ HODNOTY (G</w:t>
            </w:r>
            <w:r w:rsidRPr="00D85C65">
              <w:rPr>
                <w:rFonts w:ascii="Times New Roman" w:hAnsi="Times New Roman"/>
                <w:b/>
                <w:sz w:val="24"/>
                <w:u w:val="single"/>
                <w:vertAlign w:val="subscript"/>
              </w:rPr>
              <w:t>A</w:t>
            </w:r>
            <w:r w:rsidRPr="00D85C65">
              <w:rPr>
                <w:rFonts w:ascii="Times New Roman" w:hAnsi="Times New Roman"/>
                <w:b/>
                <w:sz w:val="24"/>
                <w:u w:val="single"/>
              </w:rPr>
              <w:t>)</w:t>
            </w:r>
          </w:p>
          <w:p w14:paraId="7E216753" w14:textId="2F19E8A6" w:rsidR="00235D9D" w:rsidRPr="00D85C65" w:rsidRDefault="00235D9D">
            <w:pPr>
              <w:spacing w:before="0" w:after="0"/>
              <w:jc w:val="left"/>
              <w:rPr>
                <w:rFonts w:ascii="Times New Roman" w:hAnsi="Times New Roman"/>
                <w:b/>
                <w:sz w:val="24"/>
                <w:u w:val="single"/>
              </w:rPr>
            </w:pPr>
          </w:p>
          <w:p w14:paraId="6285D450" w14:textId="75B4EAEC"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Nefinancované zabezpečenie</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59</w:t>
            </w:r>
            <w:r w:rsidR="00D85C65">
              <w:rPr>
                <w:rFonts w:ascii="Times New Roman" w:hAnsi="Times New Roman"/>
                <w:sz w:val="24"/>
              </w:rPr>
              <w:t xml:space="preserve"> a </w:t>
            </w:r>
            <w:r w:rsidRPr="00D85C65">
              <w:rPr>
                <w:rFonts w:ascii="Times New Roman" w:hAnsi="Times New Roman"/>
                <w:sz w:val="24"/>
              </w:rPr>
              <w:t>článkoch 234 až 236 CRR.</w:t>
            </w:r>
          </w:p>
          <w:p w14:paraId="432EE6E4"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7F05EE55" w14:textId="77777777" w:rsidTr="00E10B85">
        <w:tc>
          <w:tcPr>
            <w:tcW w:w="1568" w:type="dxa"/>
          </w:tcPr>
          <w:p w14:paraId="6E9625C0"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0090</w:t>
            </w:r>
          </w:p>
        </w:tc>
        <w:tc>
          <w:tcPr>
            <w:tcW w:w="7436" w:type="dxa"/>
          </w:tcPr>
          <w:p w14:paraId="11331AA2"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 FINANCOVANÉ ZABEZPEČENIE</w:t>
            </w:r>
          </w:p>
          <w:p w14:paraId="70917145" w14:textId="77777777" w:rsidR="00235D9D" w:rsidRPr="00D85C65" w:rsidRDefault="00235D9D">
            <w:pPr>
              <w:spacing w:before="0" w:after="0"/>
              <w:rPr>
                <w:rFonts w:ascii="Times New Roman" w:hAnsi="Times New Roman"/>
                <w:sz w:val="24"/>
              </w:rPr>
            </w:pPr>
          </w:p>
          <w:p w14:paraId="16B35BA8" w14:textId="191D668D"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Financované zabezpečenie</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58 CRR, ako sa uvádza</w:t>
            </w:r>
            <w:r w:rsidR="00D85C65">
              <w:rPr>
                <w:rFonts w:ascii="Times New Roman" w:hAnsi="Times New Roman"/>
                <w:sz w:val="24"/>
              </w:rPr>
              <w:t xml:space="preserve"> v </w:t>
            </w:r>
            <w:r w:rsidRPr="00D85C65">
              <w:rPr>
                <w:rFonts w:ascii="Times New Roman" w:hAnsi="Times New Roman"/>
                <w:sz w:val="24"/>
              </w:rPr>
              <w:t>článku 249 ods. 2 prvom pododseku CRR</w:t>
            </w:r>
            <w:r w:rsidR="00D85C65">
              <w:rPr>
                <w:rFonts w:ascii="Times New Roman" w:hAnsi="Times New Roman"/>
                <w:sz w:val="24"/>
              </w:rPr>
              <w:t xml:space="preserve"> a </w:t>
            </w:r>
            <w:r w:rsidRPr="00D85C65">
              <w:rPr>
                <w:rFonts w:ascii="Times New Roman" w:hAnsi="Times New Roman"/>
                <w:sz w:val="24"/>
              </w:rPr>
              <w:t>ako sa stanovuje</w:t>
            </w:r>
            <w:r w:rsidR="00D85C65">
              <w:rPr>
                <w:rFonts w:ascii="Times New Roman" w:hAnsi="Times New Roman"/>
                <w:sz w:val="24"/>
              </w:rPr>
              <w:t xml:space="preserve"> v </w:t>
            </w:r>
            <w:r w:rsidRPr="00D85C65">
              <w:rPr>
                <w:rFonts w:ascii="Times New Roman" w:hAnsi="Times New Roman"/>
                <w:sz w:val="24"/>
              </w:rPr>
              <w:t>článkoch 195, 197</w:t>
            </w:r>
            <w:r w:rsidR="00D85C65">
              <w:rPr>
                <w:rFonts w:ascii="Times New Roman" w:hAnsi="Times New Roman"/>
                <w:sz w:val="24"/>
              </w:rPr>
              <w:t xml:space="preserve"> a </w:t>
            </w:r>
            <w:r w:rsidRPr="00D85C65">
              <w:rPr>
                <w:rFonts w:ascii="Times New Roman" w:hAnsi="Times New Roman"/>
                <w:sz w:val="24"/>
              </w:rPr>
              <w:t>200 CRR.</w:t>
            </w:r>
          </w:p>
          <w:p w14:paraId="79CFEB9C" w14:textId="77777777" w:rsidR="00235D9D" w:rsidRPr="00D85C65" w:rsidRDefault="00235D9D">
            <w:pPr>
              <w:autoSpaceDE w:val="0"/>
              <w:autoSpaceDN w:val="0"/>
              <w:adjustRightInd w:val="0"/>
              <w:spacing w:before="0" w:after="0"/>
              <w:ind w:left="284" w:hanging="284"/>
              <w:rPr>
                <w:rFonts w:ascii="Times New Roman" w:hAnsi="Times New Roman"/>
                <w:sz w:val="24"/>
              </w:rPr>
            </w:pPr>
          </w:p>
          <w:p w14:paraId="388EA6A0" w14:textId="0A5A1F2A" w:rsidR="00235D9D" w:rsidRPr="00D85C65" w:rsidRDefault="00E026FB">
            <w:pPr>
              <w:spacing w:before="0" w:after="0"/>
              <w:rPr>
                <w:rFonts w:ascii="Times New Roman" w:hAnsi="Times New Roman"/>
                <w:sz w:val="24"/>
              </w:rPr>
            </w:pPr>
            <w:r w:rsidRPr="00D85C65">
              <w:rPr>
                <w:rFonts w:ascii="Times New Roman" w:hAnsi="Times New Roman"/>
                <w:sz w:val="24"/>
              </w:rPr>
              <w:t>S dlhovými nástrojmi viazanými na úver</w:t>
            </w:r>
            <w:r w:rsidR="00D85C65">
              <w:rPr>
                <w:rFonts w:ascii="Times New Roman" w:hAnsi="Times New Roman"/>
                <w:sz w:val="24"/>
              </w:rPr>
              <w:t xml:space="preserve"> a </w:t>
            </w:r>
            <w:r w:rsidRPr="00D85C65">
              <w:rPr>
                <w:rFonts w:ascii="Times New Roman" w:hAnsi="Times New Roman"/>
                <w:sz w:val="24"/>
              </w:rPr>
              <w:t>vzájomným započítavaním</w:t>
            </w:r>
            <w:r w:rsidR="00D85C65">
              <w:rPr>
                <w:rFonts w:ascii="Times New Roman" w:hAnsi="Times New Roman"/>
                <w:sz w:val="24"/>
              </w:rPr>
              <w:t xml:space="preserve"> v </w:t>
            </w:r>
            <w:r w:rsidRPr="00D85C65">
              <w:rPr>
                <w:rFonts w:ascii="Times New Roman" w:hAnsi="Times New Roman"/>
                <w:sz w:val="24"/>
              </w:rPr>
              <w:t>súvahe sa podľa článkov 218</w:t>
            </w:r>
            <w:r w:rsidR="00D85C65">
              <w:rPr>
                <w:rFonts w:ascii="Times New Roman" w:hAnsi="Times New Roman"/>
                <w:sz w:val="24"/>
              </w:rPr>
              <w:t xml:space="preserve"> a </w:t>
            </w:r>
            <w:r w:rsidRPr="00D85C65">
              <w:rPr>
                <w:rFonts w:ascii="Times New Roman" w:hAnsi="Times New Roman"/>
                <w:sz w:val="24"/>
              </w:rPr>
              <w:t>219 CRR zaobchádza ako</w:t>
            </w:r>
            <w:r w:rsidR="00D85C65">
              <w:rPr>
                <w:rFonts w:ascii="Times New Roman" w:hAnsi="Times New Roman"/>
                <w:sz w:val="24"/>
              </w:rPr>
              <w:t xml:space="preserve"> s </w:t>
            </w:r>
            <w:r w:rsidRPr="00D85C65">
              <w:rPr>
                <w:rFonts w:ascii="Times New Roman" w:hAnsi="Times New Roman"/>
                <w:sz w:val="24"/>
              </w:rPr>
              <w:t>peňažným kolaterálom.</w:t>
            </w:r>
          </w:p>
          <w:p w14:paraId="539B11C7"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510C1FA5" w14:textId="77777777" w:rsidTr="00E10B85">
        <w:tc>
          <w:tcPr>
            <w:tcW w:w="1568" w:type="dxa"/>
          </w:tcPr>
          <w:p w14:paraId="21953A6D"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0100 – 0110</w:t>
            </w:r>
          </w:p>
        </w:tc>
        <w:tc>
          <w:tcPr>
            <w:tcW w:w="7436" w:type="dxa"/>
          </w:tcPr>
          <w:p w14:paraId="74EF31B3" w14:textId="77777777"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SUBSTITÚCIA EXPOZÍCIE NA ZÁKLADE ZMIERŇOVANIA KREDITNÉHO RIZIKA:</w:t>
            </w:r>
          </w:p>
          <w:p w14:paraId="17529285" w14:textId="77777777" w:rsidR="00235D9D" w:rsidRPr="00D85C65" w:rsidRDefault="00235D9D">
            <w:pPr>
              <w:spacing w:before="0" w:after="0"/>
              <w:rPr>
                <w:rFonts w:ascii="Times New Roman" w:hAnsi="Times New Roman"/>
                <w:b/>
                <w:sz w:val="24"/>
                <w:u w:val="single"/>
              </w:rPr>
            </w:pPr>
          </w:p>
          <w:p w14:paraId="55CBC0C5" w14:textId="7AFA127B"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Vykazujú sa kladné toky</w:t>
            </w:r>
            <w:r w:rsidR="00D85C65">
              <w:rPr>
                <w:rFonts w:ascii="Times New Roman" w:hAnsi="Times New Roman"/>
                <w:sz w:val="24"/>
              </w:rPr>
              <w:t xml:space="preserve"> a </w:t>
            </w:r>
            <w:r w:rsidRPr="00D85C65">
              <w:rPr>
                <w:rFonts w:ascii="Times New Roman" w:hAnsi="Times New Roman"/>
                <w:sz w:val="24"/>
              </w:rPr>
              <w:t>záporné toky</w:t>
            </w:r>
            <w:r w:rsidR="00D85C65">
              <w:rPr>
                <w:rFonts w:ascii="Times New Roman" w:hAnsi="Times New Roman"/>
                <w:sz w:val="24"/>
              </w:rPr>
              <w:t xml:space="preserve"> v </w:t>
            </w:r>
            <w:r w:rsidRPr="00D85C65">
              <w:rPr>
                <w:rFonts w:ascii="Times New Roman" w:hAnsi="Times New Roman"/>
                <w:sz w:val="24"/>
              </w:rPr>
              <w:t>rámci rovnakých tried expozícií</w:t>
            </w:r>
            <w:r w:rsidR="00D85C65">
              <w:rPr>
                <w:rFonts w:ascii="Times New Roman" w:hAnsi="Times New Roman"/>
                <w:sz w:val="24"/>
              </w:rPr>
              <w:t xml:space="preserve"> a v </w:t>
            </w:r>
            <w:r w:rsidRPr="00D85C65">
              <w:rPr>
                <w:rFonts w:ascii="Times New Roman" w:hAnsi="Times New Roman"/>
                <w:sz w:val="24"/>
              </w:rPr>
              <w:t>náležitých prípadoch</w:t>
            </w:r>
            <w:r w:rsidR="00D85C65">
              <w:rPr>
                <w:rFonts w:ascii="Times New Roman" w:hAnsi="Times New Roman"/>
                <w:sz w:val="24"/>
              </w:rPr>
              <w:t xml:space="preserve"> v </w:t>
            </w:r>
            <w:r w:rsidRPr="00D85C65">
              <w:rPr>
                <w:rFonts w:ascii="Times New Roman" w:hAnsi="Times New Roman"/>
                <w:sz w:val="24"/>
              </w:rPr>
              <w:t>rizikových váhach alebo ratingových stupňoch dlžníkov.</w:t>
            </w:r>
          </w:p>
          <w:p w14:paraId="04AF3836" w14:textId="77777777" w:rsidR="00235D9D" w:rsidRPr="00D85C65" w:rsidRDefault="00235D9D">
            <w:pPr>
              <w:spacing w:before="0" w:after="0"/>
              <w:rPr>
                <w:rFonts w:ascii="Times New Roman" w:hAnsi="Times New Roman"/>
                <w:b/>
                <w:sz w:val="24"/>
                <w:u w:val="single"/>
              </w:rPr>
            </w:pPr>
          </w:p>
        </w:tc>
      </w:tr>
      <w:tr w:rsidR="00235D9D" w:rsidRPr="00D85C65" w14:paraId="12F37967" w14:textId="77777777" w:rsidTr="00E10B85">
        <w:tc>
          <w:tcPr>
            <w:tcW w:w="1568" w:type="dxa"/>
          </w:tcPr>
          <w:p w14:paraId="5926E757"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0100</w:t>
            </w:r>
          </w:p>
        </w:tc>
        <w:tc>
          <w:tcPr>
            <w:tcW w:w="7436" w:type="dxa"/>
          </w:tcPr>
          <w:p w14:paraId="4485CBBF" w14:textId="77777777"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 CELKOVÉ ZÁPORNÉ TOKY</w:t>
            </w:r>
          </w:p>
          <w:p w14:paraId="5BE641BE" w14:textId="77777777" w:rsidR="00235D9D" w:rsidRPr="00D85C65" w:rsidRDefault="00235D9D">
            <w:pPr>
              <w:autoSpaceDE w:val="0"/>
              <w:autoSpaceDN w:val="0"/>
              <w:adjustRightInd w:val="0"/>
              <w:spacing w:before="0" w:after="0"/>
              <w:jc w:val="left"/>
              <w:rPr>
                <w:rFonts w:ascii="Times New Roman" w:hAnsi="Times New Roman"/>
                <w:sz w:val="24"/>
              </w:rPr>
            </w:pPr>
          </w:p>
          <w:p w14:paraId="0798C7E0" w14:textId="6D103B5E"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Článok 222 ods. 3, článok 235 ods. 1</w:t>
            </w:r>
            <w:r w:rsidR="00D85C65">
              <w:rPr>
                <w:rFonts w:ascii="Times New Roman" w:hAnsi="Times New Roman"/>
                <w:sz w:val="24"/>
              </w:rPr>
              <w:t xml:space="preserve"> a </w:t>
            </w:r>
            <w:r w:rsidRPr="00D85C65">
              <w:rPr>
                <w:rFonts w:ascii="Times New Roman" w:hAnsi="Times New Roman"/>
                <w:sz w:val="24"/>
              </w:rPr>
              <w:t>2</w:t>
            </w:r>
            <w:r w:rsidR="00D85C65">
              <w:rPr>
                <w:rFonts w:ascii="Times New Roman" w:hAnsi="Times New Roman"/>
                <w:sz w:val="24"/>
              </w:rPr>
              <w:t xml:space="preserve"> a </w:t>
            </w:r>
            <w:r w:rsidRPr="00D85C65">
              <w:rPr>
                <w:rFonts w:ascii="Times New Roman" w:hAnsi="Times New Roman"/>
                <w:sz w:val="24"/>
              </w:rPr>
              <w:t>článok 236 CRR</w:t>
            </w:r>
            <w:r w:rsidR="00D85C65">
              <w:rPr>
                <w:rFonts w:ascii="Times New Roman" w:hAnsi="Times New Roman"/>
                <w:sz w:val="24"/>
              </w:rPr>
              <w:t>.</w:t>
            </w:r>
          </w:p>
          <w:p w14:paraId="3F4E0C87" w14:textId="55786A74" w:rsidR="00235D9D" w:rsidRPr="00D85C65" w:rsidRDefault="00235D9D">
            <w:pPr>
              <w:autoSpaceDE w:val="0"/>
              <w:autoSpaceDN w:val="0"/>
              <w:adjustRightInd w:val="0"/>
              <w:spacing w:before="0" w:after="0"/>
              <w:rPr>
                <w:rFonts w:ascii="Times New Roman" w:hAnsi="Times New Roman"/>
                <w:sz w:val="24"/>
              </w:rPr>
            </w:pPr>
          </w:p>
          <w:p w14:paraId="12979F85" w14:textId="690666DC"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Záporné toky zodpovedajú krytej časti „expozícií po odpočítaní úprav ocenení</w:t>
            </w:r>
            <w:r w:rsidR="00D85C65">
              <w:rPr>
                <w:rFonts w:ascii="Times New Roman" w:hAnsi="Times New Roman"/>
                <w:sz w:val="24"/>
              </w:rPr>
              <w:t xml:space="preserve"> a </w:t>
            </w:r>
            <w:r w:rsidRPr="00D85C65">
              <w:rPr>
                <w:rFonts w:ascii="Times New Roman" w:hAnsi="Times New Roman"/>
                <w:sz w:val="24"/>
              </w:rPr>
              <w:t>rezerv“, ktorá sa odpočítava od triedy expozícií dlžníka</w:t>
            </w:r>
            <w:r w:rsidR="00D85C65">
              <w:rPr>
                <w:rFonts w:ascii="Times New Roman" w:hAnsi="Times New Roman"/>
                <w:sz w:val="24"/>
              </w:rPr>
              <w:t xml:space="preserve"> a v </w:t>
            </w:r>
            <w:r w:rsidRPr="00D85C65">
              <w:rPr>
                <w:rFonts w:ascii="Times New Roman" w:hAnsi="Times New Roman"/>
                <w:sz w:val="24"/>
              </w:rPr>
              <w:t>náležitých prípadoch od rizikovej váhy alebo ratingového stupňa dlžníka</w:t>
            </w:r>
            <w:r w:rsidR="00D85C65">
              <w:rPr>
                <w:rFonts w:ascii="Times New Roman" w:hAnsi="Times New Roman"/>
                <w:sz w:val="24"/>
              </w:rPr>
              <w:t xml:space="preserve"> a </w:t>
            </w:r>
            <w:r w:rsidRPr="00D85C65">
              <w:rPr>
                <w:rFonts w:ascii="Times New Roman" w:hAnsi="Times New Roman"/>
                <w:sz w:val="24"/>
              </w:rPr>
              <w:t>potom sa zaradí do triedy expozícií poskytovateľa zabezpečenia</w:t>
            </w:r>
            <w:r w:rsidR="00D85C65">
              <w:rPr>
                <w:rFonts w:ascii="Times New Roman" w:hAnsi="Times New Roman"/>
                <w:sz w:val="24"/>
              </w:rPr>
              <w:t xml:space="preserve"> a v </w:t>
            </w:r>
            <w:r w:rsidRPr="00D85C65">
              <w:rPr>
                <w:rFonts w:ascii="Times New Roman" w:hAnsi="Times New Roman"/>
                <w:sz w:val="24"/>
              </w:rPr>
              <w:t>náležitých prípadoch do rizikovej váhy alebo ratingového stupňa dlžníka</w:t>
            </w:r>
            <w:r w:rsidR="00D85C65">
              <w:rPr>
                <w:rFonts w:ascii="Times New Roman" w:hAnsi="Times New Roman"/>
                <w:sz w:val="24"/>
              </w:rPr>
              <w:t>.</w:t>
            </w:r>
          </w:p>
          <w:p w14:paraId="25F263EA" w14:textId="0B3886CA" w:rsidR="00235D9D" w:rsidRPr="00D85C65" w:rsidRDefault="00235D9D">
            <w:pPr>
              <w:autoSpaceDE w:val="0"/>
              <w:autoSpaceDN w:val="0"/>
              <w:adjustRightInd w:val="0"/>
              <w:spacing w:before="0" w:after="0"/>
              <w:rPr>
                <w:rFonts w:ascii="Times New Roman" w:hAnsi="Times New Roman"/>
                <w:sz w:val="24"/>
              </w:rPr>
            </w:pPr>
          </w:p>
          <w:p w14:paraId="5EEFCBD1" w14:textId="152B3F58"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Táto hodnota sa považuje za kladný tok do triedy expozícií poskytovateľa zabezpečenia</w:t>
            </w:r>
            <w:r w:rsidR="00D85C65">
              <w:rPr>
                <w:rFonts w:ascii="Times New Roman" w:hAnsi="Times New Roman"/>
                <w:sz w:val="24"/>
              </w:rPr>
              <w:t xml:space="preserve"> a v </w:t>
            </w:r>
            <w:r w:rsidRPr="00D85C65">
              <w:rPr>
                <w:rFonts w:ascii="Times New Roman" w:hAnsi="Times New Roman"/>
                <w:sz w:val="24"/>
              </w:rPr>
              <w:t>náležitých prípadoch do rizikových váh alebo ratingových stupňov dlžníka.</w:t>
            </w:r>
          </w:p>
          <w:p w14:paraId="306AF987"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5A37FD56" w14:textId="77777777" w:rsidTr="00E10B85">
        <w:tc>
          <w:tcPr>
            <w:tcW w:w="1568" w:type="dxa"/>
          </w:tcPr>
          <w:p w14:paraId="2185113A"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0110</w:t>
            </w:r>
          </w:p>
        </w:tc>
        <w:tc>
          <w:tcPr>
            <w:tcW w:w="7436" w:type="dxa"/>
          </w:tcPr>
          <w:p w14:paraId="08F2A960" w14:textId="77777777" w:rsidR="00235D9D" w:rsidRPr="00D85C65" w:rsidRDefault="00E026FB">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CELKOVÉ KLADNÉ TOKY</w:t>
            </w:r>
          </w:p>
          <w:p w14:paraId="60589067"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0A8B907" w14:textId="2B779E22" w:rsidR="00235D9D" w:rsidRPr="00D85C65" w:rsidRDefault="00E026FB">
            <w:pPr>
              <w:spacing w:before="0" w:after="0"/>
              <w:rPr>
                <w:rFonts w:ascii="Times New Roman" w:hAnsi="Times New Roman"/>
                <w:sz w:val="24"/>
              </w:rPr>
            </w:pPr>
            <w:r w:rsidRPr="00D85C65">
              <w:rPr>
                <w:rFonts w:ascii="Times New Roman" w:hAnsi="Times New Roman"/>
                <w:sz w:val="24"/>
              </w:rPr>
              <w:t>Sekuritizačné pozície, ktoré sú dlhovými cennými papiermi</w:t>
            </w:r>
            <w:r w:rsidR="00D85C65">
              <w:rPr>
                <w:rFonts w:ascii="Times New Roman" w:hAnsi="Times New Roman"/>
                <w:sz w:val="24"/>
              </w:rPr>
              <w:t xml:space="preserve"> a </w:t>
            </w:r>
            <w:r w:rsidRPr="00D85C65">
              <w:rPr>
                <w:rFonts w:ascii="Times New Roman" w:hAnsi="Times New Roman"/>
                <w:sz w:val="24"/>
              </w:rPr>
              <w:t>používajú sa ako prípustný finančný kolaterál</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197 ods. 1 CRR,</w:t>
            </w:r>
            <w:r w:rsidR="00D85C65">
              <w:rPr>
                <w:rFonts w:ascii="Times New Roman" w:hAnsi="Times New Roman"/>
                <w:sz w:val="24"/>
              </w:rPr>
              <w:t xml:space="preserve"> a </w:t>
            </w:r>
            <w:r w:rsidRPr="00D85C65">
              <w:rPr>
                <w:rFonts w:ascii="Times New Roman" w:hAnsi="Times New Roman"/>
                <w:sz w:val="24"/>
              </w:rPr>
              <w:t>keď sa používa jednoduchá metóda nakladania</w:t>
            </w:r>
            <w:r w:rsidR="00D85C65">
              <w:rPr>
                <w:rFonts w:ascii="Times New Roman" w:hAnsi="Times New Roman"/>
                <w:sz w:val="24"/>
              </w:rPr>
              <w:t xml:space="preserve"> s </w:t>
            </w:r>
            <w:r w:rsidRPr="00D85C65">
              <w:rPr>
                <w:rFonts w:ascii="Times New Roman" w:hAnsi="Times New Roman"/>
                <w:sz w:val="24"/>
              </w:rPr>
              <w:t>finančným kolaterálom, sa vykazujú</w:t>
            </w:r>
            <w:r w:rsidR="00D85C65">
              <w:rPr>
                <w:rFonts w:ascii="Times New Roman" w:hAnsi="Times New Roman"/>
                <w:sz w:val="24"/>
              </w:rPr>
              <w:t xml:space="preserve"> v </w:t>
            </w:r>
            <w:r w:rsidRPr="00D85C65">
              <w:rPr>
                <w:rFonts w:ascii="Times New Roman" w:hAnsi="Times New Roman"/>
                <w:sz w:val="24"/>
              </w:rPr>
              <w:t>tomto stĺpci ako kladné toky.</w:t>
            </w:r>
          </w:p>
          <w:p w14:paraId="23CF13D1"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79317135" w14:textId="77777777" w:rsidTr="00E10B85">
        <w:tc>
          <w:tcPr>
            <w:tcW w:w="1568" w:type="dxa"/>
          </w:tcPr>
          <w:p w14:paraId="30FE9FDD"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0120</w:t>
            </w:r>
          </w:p>
        </w:tc>
        <w:tc>
          <w:tcPr>
            <w:tcW w:w="7436" w:type="dxa"/>
          </w:tcPr>
          <w:p w14:paraId="3347B009" w14:textId="329D9D02" w:rsidR="00235D9D" w:rsidRPr="00D85C65" w:rsidRDefault="00E026FB">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ČISTÁ EXPOZÍCIA PO ÚČINKOCH SUBSTITÚCIE CRM PRED KONVERZNÝMI FAKTORMI</w:t>
            </w:r>
          </w:p>
          <w:p w14:paraId="60391F6F" w14:textId="77777777" w:rsidR="00235D9D" w:rsidRPr="00D85C65" w:rsidRDefault="00235D9D">
            <w:pPr>
              <w:autoSpaceDE w:val="0"/>
              <w:autoSpaceDN w:val="0"/>
              <w:adjustRightInd w:val="0"/>
              <w:spacing w:before="0" w:after="0"/>
              <w:jc w:val="left"/>
              <w:rPr>
                <w:rStyle w:val="FormatvorlageInstructionsTabelleText"/>
                <w:rFonts w:ascii="Times New Roman" w:hAnsi="Times New Roman"/>
                <w:sz w:val="24"/>
              </w:rPr>
            </w:pPr>
          </w:p>
          <w:p w14:paraId="0A77E12F" w14:textId="20A0849D" w:rsidR="00235D9D" w:rsidRPr="00D85C65" w:rsidRDefault="00A16FFF">
            <w:pPr>
              <w:autoSpaceDE w:val="0"/>
              <w:autoSpaceDN w:val="0"/>
              <w:adjustRightInd w:val="0"/>
              <w:spacing w:before="0" w:after="0"/>
              <w:jc w:val="left"/>
              <w:rPr>
                <w:rStyle w:val="FormatvorlageInstructionsTabelleText"/>
                <w:rFonts w:ascii="Times New Roman" w:hAnsi="Times New Roman"/>
                <w:sz w:val="24"/>
              </w:rPr>
            </w:pPr>
            <w:r w:rsidRPr="00D85C65">
              <w:rPr>
                <w:rStyle w:val="FormatvorlageInstructionsTabelleText"/>
                <w:rFonts w:ascii="Times New Roman" w:hAnsi="Times New Roman"/>
                <w:sz w:val="24"/>
              </w:rPr>
              <w:t>Tento stĺpec zahŕňa expozície zaradené do príslušnej rizikovej váhy</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triedy expozícií po zohľadnení záporných tokov</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kladných tokov na základe „postupov na zmierňovanie kreditného rizika (CRM)</w:t>
            </w:r>
            <w:r w:rsidR="00D85C65">
              <w:rPr>
                <w:rStyle w:val="FormatvorlageInstructionsTabelleText"/>
                <w:rFonts w:ascii="Times New Roman" w:hAnsi="Times New Roman"/>
                <w:sz w:val="24"/>
              </w:rPr>
              <w:t xml:space="preserve"> s </w:t>
            </w:r>
            <w:r w:rsidRPr="00D85C65">
              <w:rPr>
                <w:rStyle w:val="FormatvorlageInstructionsTabelleText"/>
                <w:rFonts w:ascii="Times New Roman" w:hAnsi="Times New Roman"/>
                <w:sz w:val="24"/>
              </w:rPr>
              <w:t>účinkami substitúcie na expozíciu“.</w:t>
            </w:r>
          </w:p>
          <w:p w14:paraId="34068537" w14:textId="77777777" w:rsidR="00235D9D" w:rsidRPr="00D85C65" w:rsidRDefault="00235D9D">
            <w:pPr>
              <w:autoSpaceDE w:val="0"/>
              <w:autoSpaceDN w:val="0"/>
              <w:adjustRightInd w:val="0"/>
              <w:spacing w:before="0" w:after="0"/>
              <w:jc w:val="left"/>
              <w:rPr>
                <w:rStyle w:val="InstructionsTabelleberschrift"/>
                <w:rFonts w:ascii="Times New Roman" w:hAnsi="Times New Roman"/>
                <w:sz w:val="24"/>
              </w:rPr>
            </w:pPr>
          </w:p>
        </w:tc>
      </w:tr>
      <w:tr w:rsidR="00235D9D" w:rsidRPr="00D85C65" w14:paraId="602C6CFB" w14:textId="77777777" w:rsidTr="00E10B85">
        <w:tc>
          <w:tcPr>
            <w:tcW w:w="1568" w:type="dxa"/>
          </w:tcPr>
          <w:p w14:paraId="78D10379"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0130</w:t>
            </w:r>
          </w:p>
        </w:tc>
        <w:tc>
          <w:tcPr>
            <w:tcW w:w="7436" w:type="dxa"/>
          </w:tcPr>
          <w:p w14:paraId="057F37AA" w14:textId="54B13E61" w:rsidR="00235D9D" w:rsidRPr="00D85C65" w:rsidRDefault="00E026FB">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 POSTUPY NA ZMIERŇOVANIE KREDITNÉHO RIZIKA</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VPLYVOM NA HODNOTU EXPOZÍCIE: HODNOTA FINANCOVANÉHO ZABEZPEČENIA UPRAVENÁ NA ZÁKLADE SÚHRNNEJ METÓDY NAKLADANIA</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FINANČNÝM KOLATERÁLOM (CVAM)</w:t>
            </w:r>
          </w:p>
          <w:p w14:paraId="7C872E39" w14:textId="77777777" w:rsidR="00235D9D" w:rsidRPr="00D85C65" w:rsidRDefault="00235D9D">
            <w:pPr>
              <w:autoSpaceDE w:val="0"/>
              <w:autoSpaceDN w:val="0"/>
              <w:adjustRightInd w:val="0"/>
              <w:spacing w:before="0" w:after="0"/>
              <w:jc w:val="left"/>
              <w:rPr>
                <w:rStyle w:val="FormatvorlageInstructionsTabelleText"/>
                <w:rFonts w:ascii="Times New Roman" w:hAnsi="Times New Roman"/>
                <w:sz w:val="24"/>
              </w:rPr>
            </w:pPr>
          </w:p>
          <w:p w14:paraId="78467252" w14:textId="77777777" w:rsidR="00D85C65" w:rsidRDefault="00E026FB">
            <w:pPr>
              <w:pStyle w:val="InstructionsText"/>
            </w:pPr>
            <w:r w:rsidRPr="00D85C65">
              <w:t>Články 223 až 228 CRR</w:t>
            </w:r>
            <w:r w:rsidR="00D85C65">
              <w:t>.</w:t>
            </w:r>
          </w:p>
          <w:p w14:paraId="0B6C8764" w14:textId="5DCF6444" w:rsidR="00235D9D" w:rsidRPr="00D85C65" w:rsidRDefault="00A16FFF">
            <w:pPr>
              <w:pStyle w:val="InstructionsText"/>
            </w:pPr>
            <w:r w:rsidRPr="00D85C65">
              <w:t>Vykazovaná hodnota zahŕňa aj dlhové nástroje viazané na úver (článok 218 CRR).</w:t>
            </w:r>
          </w:p>
          <w:p w14:paraId="5D92B4BC" w14:textId="77777777" w:rsidR="00235D9D" w:rsidRPr="00D85C65" w:rsidRDefault="00235D9D">
            <w:pPr>
              <w:autoSpaceDE w:val="0"/>
              <w:autoSpaceDN w:val="0"/>
              <w:adjustRightInd w:val="0"/>
              <w:spacing w:before="0" w:after="0"/>
              <w:jc w:val="left"/>
              <w:rPr>
                <w:rStyle w:val="InstructionsTabelleberschrift"/>
                <w:rFonts w:ascii="Times New Roman" w:hAnsi="Times New Roman"/>
                <w:sz w:val="24"/>
              </w:rPr>
            </w:pPr>
          </w:p>
        </w:tc>
      </w:tr>
      <w:tr w:rsidR="00235D9D" w:rsidRPr="00D85C65" w14:paraId="73A95B88" w14:textId="77777777" w:rsidTr="00E10B85">
        <w:tc>
          <w:tcPr>
            <w:tcW w:w="1568" w:type="dxa"/>
          </w:tcPr>
          <w:p w14:paraId="235DCD79"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0140</w:t>
            </w:r>
          </w:p>
        </w:tc>
        <w:tc>
          <w:tcPr>
            <w:tcW w:w="7436" w:type="dxa"/>
          </w:tcPr>
          <w:p w14:paraId="60A07133"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PLNE UPRAVENÁ HODNOTA EXPOZÍCIE (E*)</w:t>
            </w:r>
          </w:p>
          <w:p w14:paraId="06238DFE" w14:textId="77777777" w:rsidR="00235D9D" w:rsidRPr="00D85C65" w:rsidRDefault="00235D9D">
            <w:pPr>
              <w:pStyle w:val="Heading1"/>
              <w:rPr>
                <w:rFonts w:ascii="Times New Roman" w:eastAsia="Times New Roman" w:hAnsi="Times New Roman"/>
                <w:sz w:val="24"/>
                <w:szCs w:val="24"/>
              </w:rPr>
            </w:pPr>
          </w:p>
          <w:p w14:paraId="32339A4C" w14:textId="7D2E3E1F" w:rsidR="00D85C65" w:rsidRDefault="00D021AF">
            <w:pPr>
              <w:autoSpaceDE w:val="0"/>
              <w:autoSpaceDN w:val="0"/>
              <w:adjustRightInd w:val="0"/>
              <w:spacing w:before="0" w:after="0"/>
              <w:rPr>
                <w:rFonts w:ascii="Times New Roman" w:hAnsi="Times New Roman"/>
                <w:sz w:val="24"/>
              </w:rPr>
            </w:pPr>
            <w:r w:rsidRPr="00D85C65">
              <w:rPr>
                <w:rFonts w:ascii="Times New Roman" w:hAnsi="Times New Roman"/>
                <w:sz w:val="24"/>
              </w:rPr>
              <w:t>Hodnota expozície sekuritizačných pozícií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CRR, no bez uplatnenia konverzných faktorov uvedených</w:t>
            </w:r>
            <w:r w:rsidR="00D85C65">
              <w:rPr>
                <w:rFonts w:ascii="Times New Roman" w:hAnsi="Times New Roman"/>
                <w:sz w:val="24"/>
              </w:rPr>
              <w:t xml:space="preserve"> v </w:t>
            </w:r>
            <w:r w:rsidRPr="00D85C65">
              <w:rPr>
                <w:rFonts w:ascii="Times New Roman" w:hAnsi="Times New Roman"/>
                <w:sz w:val="24"/>
              </w:rPr>
              <w:t>článku 248 ods. 1 písm. b) CRR</w:t>
            </w:r>
            <w:r w:rsidR="00D85C65">
              <w:rPr>
                <w:rFonts w:ascii="Times New Roman" w:hAnsi="Times New Roman"/>
                <w:sz w:val="24"/>
              </w:rPr>
              <w:t>.</w:t>
            </w:r>
          </w:p>
          <w:p w14:paraId="4A63D9DA" w14:textId="419CAA0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35F69331" w14:textId="77777777" w:rsidTr="00E10B85">
        <w:tc>
          <w:tcPr>
            <w:tcW w:w="1568" w:type="dxa"/>
          </w:tcPr>
          <w:p w14:paraId="43295A5B"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0150</w:t>
            </w:r>
          </w:p>
        </w:tc>
        <w:tc>
          <w:tcPr>
            <w:tcW w:w="7436" w:type="dxa"/>
          </w:tcPr>
          <w:p w14:paraId="247C28E8" w14:textId="5739F4E1"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Z ČOHO: PODLIEHA KONVERZNÉMU FAKTORU VO VÝŠKE 0</w:t>
            </w:r>
            <w:r w:rsidR="00D85C65">
              <w:rPr>
                <w:rFonts w:ascii="Times New Roman" w:hAnsi="Times New Roman"/>
                <w:b/>
                <w:sz w:val="24"/>
                <w:u w:val="single"/>
              </w:rPr>
              <w:t> %</w:t>
            </w:r>
          </w:p>
          <w:p w14:paraId="4A3A0993" w14:textId="77777777" w:rsidR="00235D9D" w:rsidRPr="00D85C65" w:rsidRDefault="00235D9D">
            <w:pPr>
              <w:spacing w:before="0" w:after="0"/>
              <w:rPr>
                <w:rFonts w:ascii="Times New Roman" w:hAnsi="Times New Roman"/>
                <w:b/>
                <w:sz w:val="24"/>
                <w:u w:val="single"/>
              </w:rPr>
            </w:pPr>
          </w:p>
          <w:p w14:paraId="731C585F" w14:textId="77777777"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248 ods. 1 písm. b) CRR</w:t>
            </w:r>
            <w:r w:rsidR="00D85C65">
              <w:rPr>
                <w:rFonts w:ascii="Times New Roman" w:hAnsi="Times New Roman"/>
                <w:sz w:val="24"/>
              </w:rPr>
              <w:t>.</w:t>
            </w:r>
          </w:p>
          <w:p w14:paraId="78F6C5DE" w14:textId="00B32197" w:rsidR="00235D9D" w:rsidRPr="00D85C65" w:rsidRDefault="00235D9D">
            <w:pPr>
              <w:autoSpaceDE w:val="0"/>
              <w:autoSpaceDN w:val="0"/>
              <w:adjustRightInd w:val="0"/>
              <w:spacing w:before="0" w:after="0"/>
              <w:rPr>
                <w:rFonts w:ascii="Times New Roman" w:hAnsi="Times New Roman"/>
                <w:sz w:val="24"/>
              </w:rPr>
            </w:pPr>
          </w:p>
          <w:p w14:paraId="2E11D4F4" w14:textId="3A968E88"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 tejto súvislosti sa konverzný faktor vymedzuje</w:t>
            </w:r>
            <w:r w:rsidR="00D85C65">
              <w:rPr>
                <w:rFonts w:ascii="Times New Roman" w:hAnsi="Times New Roman"/>
                <w:sz w:val="24"/>
              </w:rPr>
              <w:t xml:space="preserve"> v </w:t>
            </w:r>
            <w:r w:rsidRPr="00D85C65">
              <w:rPr>
                <w:rFonts w:ascii="Times New Roman" w:hAnsi="Times New Roman"/>
                <w:sz w:val="24"/>
              </w:rPr>
              <w:t>článku 4 ods. 1 bode 56 CRR.</w:t>
            </w:r>
          </w:p>
          <w:p w14:paraId="7D235F7E" w14:textId="77777777" w:rsidR="00235D9D" w:rsidRPr="00D85C65" w:rsidRDefault="00235D9D">
            <w:pPr>
              <w:autoSpaceDE w:val="0"/>
              <w:autoSpaceDN w:val="0"/>
              <w:adjustRightInd w:val="0"/>
              <w:spacing w:before="0" w:after="0"/>
              <w:jc w:val="left"/>
              <w:rPr>
                <w:rFonts w:ascii="Times New Roman" w:hAnsi="Times New Roman"/>
                <w:sz w:val="24"/>
              </w:rPr>
            </w:pPr>
          </w:p>
          <w:p w14:paraId="51135038" w14:textId="359FE74B"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Na účely vykazovania sa pre konverzný faktor 0</w:t>
            </w:r>
            <w:r w:rsidR="00D85C65">
              <w:rPr>
                <w:rFonts w:ascii="Times New Roman" w:hAnsi="Times New Roman"/>
                <w:sz w:val="24"/>
              </w:rPr>
              <w:t> %</w:t>
            </w:r>
            <w:r w:rsidRPr="00D85C65">
              <w:rPr>
                <w:rFonts w:ascii="Times New Roman" w:hAnsi="Times New Roman"/>
                <w:sz w:val="24"/>
              </w:rPr>
              <w:t xml:space="preserve"> vykazujú plne upravené hodnoty expozície (E*).</w:t>
            </w:r>
          </w:p>
          <w:p w14:paraId="6CF96076" w14:textId="77777777" w:rsidR="00235D9D" w:rsidRPr="00D85C65" w:rsidRDefault="00235D9D">
            <w:pPr>
              <w:spacing w:before="0" w:after="0"/>
              <w:rPr>
                <w:rFonts w:ascii="Times New Roman" w:hAnsi="Times New Roman"/>
                <w:b/>
                <w:sz w:val="24"/>
                <w:u w:val="single"/>
              </w:rPr>
            </w:pPr>
          </w:p>
        </w:tc>
      </w:tr>
      <w:tr w:rsidR="00235D9D" w:rsidRPr="00D85C65" w14:paraId="5EDAFED5" w14:textId="77777777" w:rsidTr="00E10B85">
        <w:tc>
          <w:tcPr>
            <w:tcW w:w="1568" w:type="dxa"/>
          </w:tcPr>
          <w:p w14:paraId="4F79903F"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0160</w:t>
            </w:r>
          </w:p>
        </w:tc>
        <w:tc>
          <w:tcPr>
            <w:tcW w:w="7436" w:type="dxa"/>
          </w:tcPr>
          <w:p w14:paraId="059FABBD"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NEREFINANCOVATEĽNÝ NÁKUPNÝ CENOVÝ DISKONT</w:t>
            </w:r>
          </w:p>
          <w:p w14:paraId="598C25E2" w14:textId="77777777" w:rsidR="00235D9D" w:rsidRPr="00D85C65" w:rsidRDefault="00235D9D">
            <w:pPr>
              <w:spacing w:before="0" w:after="0"/>
              <w:jc w:val="left"/>
              <w:rPr>
                <w:rFonts w:ascii="Times New Roman" w:hAnsi="Times New Roman"/>
                <w:b/>
                <w:sz w:val="24"/>
                <w:u w:val="single"/>
              </w:rPr>
            </w:pPr>
          </w:p>
          <w:p w14:paraId="4F25AF43" w14:textId="057D4CBF" w:rsidR="00235D9D" w:rsidRPr="00D85C65" w:rsidRDefault="00BB22D4">
            <w:pPr>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248 ods. 1 písm. d) CRR môže inštitúcia, ktorá je originátorom, odpočítať od hodnoty expozície sekuritizačnej pozície, ktorej je priradená riziková váha 1 250</w:t>
            </w:r>
            <w:r w:rsidR="00D85C65">
              <w:rPr>
                <w:rFonts w:ascii="Times New Roman" w:hAnsi="Times New Roman"/>
                <w:sz w:val="24"/>
              </w:rPr>
              <w:t> %</w:t>
            </w:r>
            <w:r w:rsidRPr="00D85C65">
              <w:rPr>
                <w:rFonts w:ascii="Times New Roman" w:hAnsi="Times New Roman"/>
                <w:sz w:val="24"/>
              </w:rPr>
              <w:t>, akékoľvek nerefinancovateľné nákupné cenové diskonty spojené</w:t>
            </w:r>
            <w:r w:rsidR="00D85C65">
              <w:rPr>
                <w:rFonts w:ascii="Times New Roman" w:hAnsi="Times New Roman"/>
                <w:sz w:val="24"/>
              </w:rPr>
              <w:t xml:space="preserve"> s </w:t>
            </w:r>
            <w:r w:rsidRPr="00D85C65">
              <w:rPr>
                <w:rFonts w:ascii="Times New Roman" w:hAnsi="Times New Roman"/>
                <w:sz w:val="24"/>
              </w:rPr>
              <w:t>takýmito podkladovými expozíciami</w:t>
            </w:r>
            <w:r w:rsidR="00D85C65">
              <w:rPr>
                <w:rFonts w:ascii="Times New Roman" w:hAnsi="Times New Roman"/>
                <w:sz w:val="24"/>
              </w:rPr>
              <w:t xml:space="preserve"> v </w:t>
            </w:r>
            <w:r w:rsidRPr="00D85C65">
              <w:rPr>
                <w:rFonts w:ascii="Times New Roman" w:hAnsi="Times New Roman"/>
                <w:sz w:val="24"/>
              </w:rPr>
              <w:t>rozsahu,</w:t>
            </w:r>
            <w:r w:rsidR="00D85C65">
              <w:rPr>
                <w:rFonts w:ascii="Times New Roman" w:hAnsi="Times New Roman"/>
                <w:sz w:val="24"/>
              </w:rPr>
              <w:t xml:space="preserve"> v </w:t>
            </w:r>
            <w:r w:rsidRPr="00D85C65">
              <w:rPr>
                <w:rFonts w:ascii="Times New Roman" w:hAnsi="Times New Roman"/>
                <w:sz w:val="24"/>
              </w:rPr>
              <w:t>akom tieto zľavy spôsobili zníženie vlastných zdrojov.</w:t>
            </w:r>
          </w:p>
          <w:p w14:paraId="73C16F62" w14:textId="77777777" w:rsidR="00235D9D" w:rsidRPr="00D85C65" w:rsidRDefault="00235D9D">
            <w:pPr>
              <w:spacing w:before="0" w:after="0"/>
              <w:jc w:val="left"/>
              <w:rPr>
                <w:rFonts w:ascii="Times New Roman" w:hAnsi="Times New Roman"/>
                <w:b/>
                <w:sz w:val="24"/>
                <w:u w:val="single"/>
              </w:rPr>
            </w:pPr>
          </w:p>
        </w:tc>
      </w:tr>
      <w:tr w:rsidR="00235D9D" w:rsidRPr="00D85C65" w14:paraId="08AFADB1" w14:textId="77777777" w:rsidTr="00E10B85">
        <w:tc>
          <w:tcPr>
            <w:tcW w:w="1568" w:type="dxa"/>
          </w:tcPr>
          <w:p w14:paraId="126F1184"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0170</w:t>
            </w:r>
          </w:p>
        </w:tc>
        <w:tc>
          <w:tcPr>
            <w:tcW w:w="7436" w:type="dxa"/>
          </w:tcPr>
          <w:p w14:paraId="49FFAA27"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ŠPECIFICKÉ ÚPRAVY KREDITNÉHO RIZIKA PODKLADOVÝCH EXPOZÍCIÍ</w:t>
            </w:r>
          </w:p>
          <w:p w14:paraId="702F72A8" w14:textId="77777777" w:rsidR="00235D9D" w:rsidRPr="00D85C65" w:rsidRDefault="00235D9D">
            <w:pPr>
              <w:spacing w:before="0" w:after="0"/>
              <w:jc w:val="left"/>
              <w:rPr>
                <w:rFonts w:ascii="Times New Roman" w:hAnsi="Times New Roman"/>
                <w:b/>
                <w:sz w:val="24"/>
                <w:u w:val="single"/>
              </w:rPr>
            </w:pPr>
          </w:p>
          <w:p w14:paraId="746216DF" w14:textId="22B664FB" w:rsidR="00D85C65" w:rsidRDefault="00BB22D4">
            <w:pPr>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248 ods. 1 písm. d) CRR môže inštitúcia, ktorá je originátorom, odpočítať od hodnoty expozície sekuritizačnej pozície, ktorej je priradená riziková váha 1 250</w:t>
            </w:r>
            <w:r w:rsidR="00D85C65">
              <w:rPr>
                <w:rFonts w:ascii="Times New Roman" w:hAnsi="Times New Roman"/>
                <w:sz w:val="24"/>
              </w:rPr>
              <w:t> %</w:t>
            </w:r>
            <w:r w:rsidRPr="00D85C65">
              <w:rPr>
                <w:rFonts w:ascii="Times New Roman" w:hAnsi="Times New Roman"/>
                <w:sz w:val="24"/>
              </w:rPr>
              <w:t xml:space="preserve"> alebo ktorá je odpočítaná od vlastného kapitálu Tier 1, hodnotu špecifických úprav kreditného rizika podkladových expozícií určenú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110 CRR</w:t>
            </w:r>
            <w:r w:rsidR="00D85C65">
              <w:rPr>
                <w:rFonts w:ascii="Times New Roman" w:hAnsi="Times New Roman"/>
                <w:sz w:val="24"/>
              </w:rPr>
              <w:t>.</w:t>
            </w:r>
          </w:p>
          <w:p w14:paraId="14046BFE" w14:textId="21772F66" w:rsidR="00235D9D" w:rsidRPr="00D85C65" w:rsidRDefault="00235D9D">
            <w:pPr>
              <w:spacing w:before="0" w:after="0"/>
              <w:jc w:val="left"/>
              <w:rPr>
                <w:rFonts w:ascii="Times New Roman" w:hAnsi="Times New Roman"/>
                <w:b/>
                <w:sz w:val="24"/>
                <w:u w:val="single"/>
              </w:rPr>
            </w:pPr>
          </w:p>
        </w:tc>
      </w:tr>
      <w:tr w:rsidR="00235D9D" w:rsidRPr="00D85C65" w14:paraId="78CB838B" w14:textId="77777777" w:rsidTr="00E10B85">
        <w:tc>
          <w:tcPr>
            <w:tcW w:w="1568" w:type="dxa"/>
          </w:tcPr>
          <w:p w14:paraId="56A71E8A"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0180</w:t>
            </w:r>
          </w:p>
        </w:tc>
        <w:tc>
          <w:tcPr>
            <w:tcW w:w="7436" w:type="dxa"/>
          </w:tcPr>
          <w:p w14:paraId="644B79A9"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HODNOTA EXPOZÍCIE</w:t>
            </w:r>
          </w:p>
          <w:p w14:paraId="3E8726F4" w14:textId="77777777" w:rsidR="00235D9D" w:rsidRPr="00D85C65" w:rsidRDefault="00235D9D">
            <w:pPr>
              <w:spacing w:before="0" w:after="0"/>
              <w:jc w:val="left"/>
              <w:rPr>
                <w:rFonts w:ascii="Times New Roman" w:hAnsi="Times New Roman"/>
                <w:b/>
                <w:sz w:val="24"/>
                <w:u w:val="single"/>
              </w:rPr>
            </w:pPr>
          </w:p>
          <w:p w14:paraId="61EE4152" w14:textId="4BD684DE" w:rsidR="00235D9D" w:rsidRPr="00D85C65" w:rsidRDefault="00D021AF">
            <w:pPr>
              <w:autoSpaceDE w:val="0"/>
              <w:autoSpaceDN w:val="0"/>
              <w:adjustRightInd w:val="0"/>
              <w:spacing w:before="0" w:after="0"/>
              <w:rPr>
                <w:rFonts w:ascii="Times New Roman" w:hAnsi="Times New Roman"/>
                <w:sz w:val="24"/>
              </w:rPr>
            </w:pPr>
            <w:r w:rsidRPr="00D85C65">
              <w:rPr>
                <w:rFonts w:ascii="Times New Roman" w:hAnsi="Times New Roman"/>
                <w:sz w:val="24"/>
              </w:rPr>
              <w:t>Hodnota expozície sekuritizačných pozícií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CRR.</w:t>
            </w:r>
          </w:p>
          <w:p w14:paraId="0C4CC919" w14:textId="77777777" w:rsidR="00235D9D" w:rsidRPr="00D85C65" w:rsidRDefault="00235D9D">
            <w:pPr>
              <w:spacing w:before="0" w:after="0"/>
              <w:jc w:val="left"/>
              <w:rPr>
                <w:rFonts w:ascii="Times New Roman" w:hAnsi="Times New Roman"/>
                <w:b/>
                <w:sz w:val="24"/>
                <w:u w:val="single"/>
              </w:rPr>
            </w:pPr>
          </w:p>
        </w:tc>
      </w:tr>
      <w:tr w:rsidR="00235D9D" w:rsidRPr="00D85C65" w14:paraId="545D8C88" w14:textId="77777777" w:rsidTr="00E10B85">
        <w:tc>
          <w:tcPr>
            <w:tcW w:w="1568" w:type="dxa"/>
          </w:tcPr>
          <w:p w14:paraId="328265EE"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0190</w:t>
            </w:r>
          </w:p>
        </w:tc>
        <w:tc>
          <w:tcPr>
            <w:tcW w:w="7436" w:type="dxa"/>
          </w:tcPr>
          <w:p w14:paraId="4F8D2DCE"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HODNOTA EXPOZÍCIE ODPOČÍTANÁ OD VLASTNÝCH ZDROJOV</w:t>
            </w:r>
          </w:p>
          <w:p w14:paraId="76232993" w14:textId="77777777" w:rsidR="00235D9D" w:rsidRPr="00D85C65" w:rsidRDefault="00235D9D">
            <w:pPr>
              <w:spacing w:before="0" w:after="0"/>
              <w:jc w:val="left"/>
              <w:rPr>
                <w:rFonts w:ascii="Times New Roman" w:hAnsi="Times New Roman"/>
                <w:sz w:val="24"/>
              </w:rPr>
            </w:pPr>
          </w:p>
          <w:p w14:paraId="3DFEE244" w14:textId="7CC2719E" w:rsidR="00235D9D" w:rsidRPr="00D85C65" w:rsidRDefault="00BB22D4">
            <w:pPr>
              <w:spacing w:before="0" w:after="0"/>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 xml:space="preserve">článkom 244 ods. 1 </w:t>
            </w:r>
            <w:r w:rsidRPr="00D85C65">
              <w:rPr>
                <w:rStyle w:val="FormatvorlageInstructionsTabelleText"/>
                <w:rFonts w:ascii="Times New Roman" w:hAnsi="Times New Roman"/>
                <w:sz w:val="24"/>
              </w:rPr>
              <w:t>písm. b)</w:t>
            </w:r>
            <w:r w:rsidRPr="00D85C65">
              <w:rPr>
                <w:rFonts w:ascii="Times New Roman" w:hAnsi="Times New Roman"/>
                <w:sz w:val="24"/>
              </w:rPr>
              <w:t xml:space="preserve">, článkom </w:t>
            </w:r>
            <w:r w:rsidRPr="00D85C65">
              <w:rPr>
                <w:rStyle w:val="FormatvorlageInstructionsTabelleText"/>
                <w:rFonts w:ascii="Times New Roman" w:hAnsi="Times New Roman"/>
                <w:sz w:val="24"/>
              </w:rPr>
              <w:t>245 ods. 1 písm. b)</w:t>
            </w:r>
            <w:r w:rsidR="00D85C65">
              <w:rPr>
                <w:rStyle w:val="FormatvorlageInstructionsTabelleText"/>
                <w:rFonts w:ascii="Times New Roman" w:hAnsi="Times New Roman"/>
                <w:sz w:val="24"/>
              </w:rPr>
              <w:t xml:space="preserve"> a </w:t>
            </w:r>
            <w:r w:rsidRPr="00D85C65">
              <w:rPr>
                <w:rFonts w:ascii="Times New Roman" w:hAnsi="Times New Roman"/>
                <w:sz w:val="24"/>
              </w:rPr>
              <w:t>článkom 253 ods. 1 CRR sa stanovuje, že</w:t>
            </w:r>
            <w:r w:rsidR="00D85C65">
              <w:rPr>
                <w:rFonts w:ascii="Times New Roman" w:hAnsi="Times New Roman"/>
                <w:sz w:val="24"/>
              </w:rPr>
              <w:t xml:space="preserve"> v </w:t>
            </w:r>
            <w:r w:rsidRPr="00D85C65">
              <w:rPr>
                <w:rFonts w:ascii="Times New Roman" w:hAnsi="Times New Roman"/>
                <w:sz w:val="24"/>
              </w:rPr>
              <w:t>prípade sekuritizačnej pozície, na ktorú sa vzťahuje riziková váha 1 250</w:t>
            </w:r>
            <w:r w:rsidR="00D85C65">
              <w:rPr>
                <w:rFonts w:ascii="Times New Roman" w:hAnsi="Times New Roman"/>
                <w:sz w:val="24"/>
              </w:rPr>
              <w:t> %</w:t>
            </w:r>
            <w:r w:rsidRPr="00D85C65">
              <w:rPr>
                <w:rFonts w:ascii="Times New Roman" w:hAnsi="Times New Roman"/>
                <w:sz w:val="24"/>
              </w:rPr>
              <w:t>, môžu inštitúcie ako alternatívu</w:t>
            </w:r>
            <w:r w:rsidR="00D85C65">
              <w:rPr>
                <w:rFonts w:ascii="Times New Roman" w:hAnsi="Times New Roman"/>
                <w:sz w:val="24"/>
              </w:rPr>
              <w:t xml:space="preserve"> k </w:t>
            </w:r>
            <w:r w:rsidRPr="00D85C65">
              <w:rPr>
                <w:rFonts w:ascii="Times New Roman" w:hAnsi="Times New Roman"/>
                <w:sz w:val="24"/>
              </w:rPr>
              <w:t>zahrnutiu pozície do svojho výpočtu hodnoty rizikovo vážených expozícií odpočítať hodnotu expozície pozície od vlastných zdrojov.</w:t>
            </w:r>
          </w:p>
          <w:p w14:paraId="763B19E6" w14:textId="77777777" w:rsidR="00235D9D" w:rsidRPr="00D85C65" w:rsidRDefault="00235D9D">
            <w:pPr>
              <w:autoSpaceDE w:val="0"/>
              <w:autoSpaceDN w:val="0"/>
              <w:adjustRightInd w:val="0"/>
              <w:spacing w:before="0" w:after="0"/>
              <w:ind w:left="284" w:hanging="284"/>
              <w:jc w:val="left"/>
              <w:rPr>
                <w:rFonts w:ascii="Times New Roman" w:hAnsi="Times New Roman"/>
                <w:sz w:val="24"/>
              </w:rPr>
            </w:pPr>
          </w:p>
        </w:tc>
      </w:tr>
      <w:tr w:rsidR="00235D9D" w:rsidRPr="00D85C65" w14:paraId="32DF26BB" w14:textId="77777777" w:rsidTr="00E10B85">
        <w:tc>
          <w:tcPr>
            <w:tcW w:w="1568" w:type="dxa"/>
          </w:tcPr>
          <w:p w14:paraId="23E5208A"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0200</w:t>
            </w:r>
          </w:p>
        </w:tc>
        <w:tc>
          <w:tcPr>
            <w:tcW w:w="7436" w:type="dxa"/>
          </w:tcPr>
          <w:p w14:paraId="281E0D86"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HODNOTA EXPOZÍCIE, NA KTORÚ SA UPLATŇUJÚ RIZIKOVÉ VÁHY</w:t>
            </w:r>
          </w:p>
          <w:p w14:paraId="23F99AC8" w14:textId="77777777" w:rsidR="00235D9D" w:rsidRPr="00D85C65" w:rsidRDefault="00235D9D">
            <w:pPr>
              <w:spacing w:before="0" w:after="0"/>
              <w:jc w:val="left"/>
              <w:rPr>
                <w:rFonts w:ascii="Times New Roman" w:hAnsi="Times New Roman"/>
                <w:b/>
                <w:sz w:val="24"/>
                <w:u w:val="single"/>
              </w:rPr>
            </w:pPr>
          </w:p>
          <w:p w14:paraId="39B3C0F9" w14:textId="77777777" w:rsidR="00235D9D" w:rsidRPr="00D85C65" w:rsidRDefault="00E026FB">
            <w:pPr>
              <w:spacing w:before="0" w:after="0"/>
              <w:rPr>
                <w:rFonts w:ascii="Times New Roman" w:hAnsi="Times New Roman"/>
                <w:sz w:val="24"/>
              </w:rPr>
            </w:pPr>
            <w:r w:rsidRPr="00D85C65">
              <w:rPr>
                <w:rFonts w:ascii="Times New Roman" w:hAnsi="Times New Roman"/>
                <w:sz w:val="24"/>
              </w:rPr>
              <w:t>Hodnota expozície mínus hodnota expozície odpočítaná od vlastných zdrojov.</w:t>
            </w:r>
          </w:p>
          <w:p w14:paraId="3FFEF3E3" w14:textId="77777777" w:rsidR="00235D9D" w:rsidRPr="00D85C65" w:rsidRDefault="00235D9D">
            <w:pPr>
              <w:pStyle w:val="Heading1"/>
              <w:rPr>
                <w:rFonts w:ascii="Times New Roman" w:eastAsia="Times New Roman" w:hAnsi="Times New Roman"/>
                <w:sz w:val="24"/>
                <w:szCs w:val="24"/>
              </w:rPr>
            </w:pPr>
          </w:p>
        </w:tc>
      </w:tr>
      <w:tr w:rsidR="00235D9D" w:rsidRPr="00D85C65" w14:paraId="1DFD4FCD" w14:textId="77777777" w:rsidTr="00E10B85">
        <w:tc>
          <w:tcPr>
            <w:tcW w:w="1568" w:type="dxa"/>
          </w:tcPr>
          <w:p w14:paraId="35DD908D"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0210</w:t>
            </w:r>
          </w:p>
        </w:tc>
        <w:tc>
          <w:tcPr>
            <w:tcW w:w="7436" w:type="dxa"/>
          </w:tcPr>
          <w:p w14:paraId="0FFF490B"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SEC-IRBA</w:t>
            </w:r>
          </w:p>
          <w:p w14:paraId="4FA1D9FA" w14:textId="77777777" w:rsidR="00235D9D" w:rsidRPr="00D85C65" w:rsidRDefault="00235D9D">
            <w:pPr>
              <w:spacing w:before="0" w:after="0"/>
              <w:jc w:val="left"/>
              <w:rPr>
                <w:rFonts w:ascii="Times New Roman" w:hAnsi="Times New Roman"/>
                <w:b/>
                <w:sz w:val="24"/>
                <w:u w:val="single"/>
              </w:rPr>
            </w:pPr>
          </w:p>
          <w:p w14:paraId="0F342164" w14:textId="74871240" w:rsidR="00235D9D" w:rsidRPr="00D85C65" w:rsidRDefault="001E0C80">
            <w:pPr>
              <w:spacing w:before="0" w:after="0"/>
              <w:jc w:val="left"/>
              <w:rPr>
                <w:rFonts w:ascii="Times New Roman" w:hAnsi="Times New Roman"/>
                <w:sz w:val="24"/>
              </w:rPr>
            </w:pPr>
            <w:r w:rsidRPr="00D85C65">
              <w:rPr>
                <w:rFonts w:ascii="Times New Roman" w:hAnsi="Times New Roman"/>
                <w:sz w:val="24"/>
              </w:rPr>
              <w:t>Článok 254 ods. 1 písm. a) CRR.</w:t>
            </w:r>
          </w:p>
          <w:p w14:paraId="5DF1BD70" w14:textId="77777777" w:rsidR="00235D9D" w:rsidRPr="00D85C65" w:rsidRDefault="00235D9D">
            <w:pPr>
              <w:spacing w:before="0" w:after="0"/>
              <w:jc w:val="left"/>
              <w:rPr>
                <w:rFonts w:ascii="Times New Roman" w:hAnsi="Times New Roman"/>
                <w:sz w:val="24"/>
              </w:rPr>
            </w:pPr>
          </w:p>
        </w:tc>
      </w:tr>
      <w:tr w:rsidR="00235D9D" w:rsidRPr="00D85C65" w14:paraId="0DF54B21" w14:textId="77777777" w:rsidTr="00E10B85">
        <w:tc>
          <w:tcPr>
            <w:tcW w:w="1568" w:type="dxa"/>
          </w:tcPr>
          <w:p w14:paraId="19EB2459"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0220 – 0260</w:t>
            </w:r>
          </w:p>
        </w:tc>
        <w:tc>
          <w:tcPr>
            <w:tcW w:w="7436" w:type="dxa"/>
          </w:tcPr>
          <w:p w14:paraId="6CDE18A3"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ROZČLENENIE PODĽA PÁSIEM RIZIKOVÝCH VÁH</w:t>
            </w:r>
          </w:p>
          <w:p w14:paraId="1F6408CC" w14:textId="77777777" w:rsidR="00235D9D" w:rsidRPr="00D85C65" w:rsidRDefault="00235D9D">
            <w:pPr>
              <w:spacing w:before="0" w:after="0"/>
              <w:jc w:val="left"/>
              <w:rPr>
                <w:rFonts w:ascii="Times New Roman" w:hAnsi="Times New Roman"/>
                <w:sz w:val="24"/>
              </w:rPr>
            </w:pPr>
          </w:p>
          <w:p w14:paraId="5BB23D05" w14:textId="77777777" w:rsidR="00235D9D" w:rsidRPr="00D85C65" w:rsidRDefault="00E026FB">
            <w:pPr>
              <w:spacing w:before="0" w:after="0"/>
              <w:jc w:val="left"/>
              <w:rPr>
                <w:rFonts w:ascii="Times New Roman" w:hAnsi="Times New Roman"/>
                <w:sz w:val="24"/>
              </w:rPr>
            </w:pPr>
            <w:r w:rsidRPr="00D85C65">
              <w:rPr>
                <w:rFonts w:ascii="Times New Roman" w:hAnsi="Times New Roman"/>
                <w:sz w:val="24"/>
              </w:rPr>
              <w:t>Expozície SEC-IRBA rozčlenené podľa pásiem rizikových váh.</w:t>
            </w:r>
          </w:p>
          <w:p w14:paraId="5FDBCA85" w14:textId="77777777" w:rsidR="00235D9D" w:rsidRPr="00D85C65" w:rsidRDefault="00235D9D">
            <w:pPr>
              <w:spacing w:before="0" w:after="0"/>
              <w:jc w:val="left"/>
              <w:rPr>
                <w:rFonts w:ascii="Times New Roman" w:hAnsi="Times New Roman"/>
                <w:b/>
                <w:sz w:val="24"/>
                <w:u w:val="single"/>
              </w:rPr>
            </w:pPr>
          </w:p>
        </w:tc>
      </w:tr>
      <w:tr w:rsidR="00235D9D" w:rsidRPr="00D85C65" w14:paraId="73AB4ED3" w14:textId="77777777" w:rsidTr="00E10B85">
        <w:tc>
          <w:tcPr>
            <w:tcW w:w="1568" w:type="dxa"/>
          </w:tcPr>
          <w:p w14:paraId="164FD94D"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0270</w:t>
            </w:r>
          </w:p>
        </w:tc>
        <w:tc>
          <w:tcPr>
            <w:tcW w:w="7436" w:type="dxa"/>
          </w:tcPr>
          <w:p w14:paraId="35956EB4" w14:textId="77777777" w:rsid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Z ČOHO: VYPOČÍTANÉ NA ZÁKLADE ČLÁNKU 255 ODS. 4 (ODKÚPENÉ POHĽADÁVKY)</w:t>
            </w:r>
          </w:p>
          <w:p w14:paraId="6F082799" w14:textId="4397E769" w:rsidR="00235D9D" w:rsidRPr="00D85C65" w:rsidRDefault="00235D9D">
            <w:pPr>
              <w:spacing w:before="0" w:after="0"/>
              <w:jc w:val="left"/>
              <w:rPr>
                <w:rFonts w:ascii="Times New Roman" w:hAnsi="Times New Roman"/>
                <w:sz w:val="24"/>
              </w:rPr>
            </w:pPr>
          </w:p>
          <w:p w14:paraId="26E3FBB7" w14:textId="56238375" w:rsidR="00235D9D" w:rsidRPr="00D85C65" w:rsidRDefault="00E026FB">
            <w:pPr>
              <w:spacing w:before="0" w:after="0"/>
              <w:jc w:val="left"/>
              <w:rPr>
                <w:rFonts w:ascii="Times New Roman" w:hAnsi="Times New Roman"/>
                <w:sz w:val="24"/>
              </w:rPr>
            </w:pPr>
            <w:r w:rsidRPr="00D85C65">
              <w:rPr>
                <w:rFonts w:ascii="Times New Roman" w:hAnsi="Times New Roman"/>
                <w:sz w:val="24"/>
              </w:rPr>
              <w:t>Článok 255 ods. 4 CRR.</w:t>
            </w:r>
          </w:p>
          <w:p w14:paraId="40C4B4C6" w14:textId="77777777" w:rsidR="00D85C65" w:rsidRDefault="00D85C65">
            <w:pPr>
              <w:spacing w:before="0" w:after="0"/>
              <w:jc w:val="left"/>
              <w:rPr>
                <w:rFonts w:ascii="Times New Roman" w:hAnsi="Times New Roman"/>
                <w:sz w:val="24"/>
              </w:rPr>
            </w:pPr>
          </w:p>
          <w:p w14:paraId="0D79C9FD" w14:textId="7C207692" w:rsidR="00235D9D" w:rsidRPr="00D85C65" w:rsidRDefault="00E026FB">
            <w:pPr>
              <w:spacing w:before="0" w:after="0"/>
              <w:jc w:val="left"/>
              <w:rPr>
                <w:rFonts w:ascii="Times New Roman" w:hAnsi="Times New Roman"/>
                <w:sz w:val="24"/>
              </w:rPr>
            </w:pPr>
            <w:r w:rsidRPr="00D85C65">
              <w:rPr>
                <w:rFonts w:ascii="Times New Roman" w:hAnsi="Times New Roman"/>
                <w:sz w:val="24"/>
              </w:rPr>
              <w:t>Na účely tohto stĺpca sa</w:t>
            </w:r>
            <w:r w:rsidR="00D85C65">
              <w:rPr>
                <w:rFonts w:ascii="Times New Roman" w:hAnsi="Times New Roman"/>
                <w:sz w:val="24"/>
              </w:rPr>
              <w:t xml:space="preserve"> s </w:t>
            </w:r>
            <w:r w:rsidRPr="00D85C65">
              <w:rPr>
                <w:rFonts w:ascii="Times New Roman" w:hAnsi="Times New Roman"/>
                <w:sz w:val="24"/>
              </w:rPr>
              <w:t>retailovými expozíciami zaobchádza ako</w:t>
            </w:r>
            <w:r w:rsidR="00D85C65">
              <w:rPr>
                <w:rFonts w:ascii="Times New Roman" w:hAnsi="Times New Roman"/>
                <w:sz w:val="24"/>
              </w:rPr>
              <w:t xml:space="preserve"> s </w:t>
            </w:r>
            <w:r w:rsidRPr="00D85C65">
              <w:rPr>
                <w:rFonts w:ascii="Times New Roman" w:hAnsi="Times New Roman"/>
                <w:sz w:val="24"/>
              </w:rPr>
              <w:t>odkúpenými retailovými pohľadávkami</w:t>
            </w:r>
            <w:r w:rsidR="00D85C65">
              <w:rPr>
                <w:rFonts w:ascii="Times New Roman" w:hAnsi="Times New Roman"/>
                <w:sz w:val="24"/>
              </w:rPr>
              <w:t xml:space="preserve"> a s </w:t>
            </w:r>
            <w:r w:rsidRPr="00D85C65">
              <w:rPr>
                <w:rFonts w:ascii="Times New Roman" w:hAnsi="Times New Roman"/>
                <w:sz w:val="24"/>
              </w:rPr>
              <w:t>neretailovými expozíciami sa zaobchádza ako</w:t>
            </w:r>
            <w:r w:rsidR="00D85C65">
              <w:rPr>
                <w:rFonts w:ascii="Times New Roman" w:hAnsi="Times New Roman"/>
                <w:sz w:val="24"/>
              </w:rPr>
              <w:t xml:space="preserve"> s </w:t>
            </w:r>
            <w:r w:rsidRPr="00D85C65">
              <w:rPr>
                <w:rFonts w:ascii="Times New Roman" w:hAnsi="Times New Roman"/>
                <w:sz w:val="24"/>
              </w:rPr>
              <w:t>odkúpenými podnikovými pohľadávkami.</w:t>
            </w:r>
          </w:p>
          <w:p w14:paraId="14469ABF" w14:textId="77777777" w:rsidR="00235D9D" w:rsidRPr="00D85C65" w:rsidRDefault="00235D9D">
            <w:pPr>
              <w:spacing w:before="0" w:after="0"/>
              <w:jc w:val="left"/>
              <w:rPr>
                <w:rFonts w:ascii="Times New Roman" w:hAnsi="Times New Roman"/>
                <w:sz w:val="24"/>
              </w:rPr>
            </w:pPr>
          </w:p>
        </w:tc>
      </w:tr>
      <w:tr w:rsidR="00235D9D" w:rsidRPr="00D85C65" w14:paraId="7AB9FDBC" w14:textId="77777777" w:rsidTr="00E10B85">
        <w:tc>
          <w:tcPr>
            <w:tcW w:w="1568" w:type="dxa"/>
          </w:tcPr>
          <w:p w14:paraId="0DFBF2C3"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0280</w:t>
            </w:r>
          </w:p>
        </w:tc>
        <w:tc>
          <w:tcPr>
            <w:tcW w:w="7436" w:type="dxa"/>
          </w:tcPr>
          <w:p w14:paraId="159CCAEE"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SEC-SA</w:t>
            </w:r>
          </w:p>
          <w:p w14:paraId="3B21C6C1" w14:textId="77777777" w:rsidR="00235D9D" w:rsidRPr="00D85C65" w:rsidRDefault="00235D9D">
            <w:pPr>
              <w:spacing w:before="0" w:after="0"/>
              <w:jc w:val="left"/>
              <w:rPr>
                <w:rFonts w:ascii="Times New Roman" w:hAnsi="Times New Roman"/>
                <w:b/>
                <w:sz w:val="24"/>
                <w:u w:val="single"/>
              </w:rPr>
            </w:pPr>
          </w:p>
          <w:p w14:paraId="19D2C018" w14:textId="0E190AF8" w:rsidR="00235D9D" w:rsidRPr="00D85C65" w:rsidRDefault="001E0C80">
            <w:pPr>
              <w:spacing w:before="0" w:after="0"/>
              <w:jc w:val="left"/>
              <w:rPr>
                <w:rFonts w:ascii="Times New Roman" w:hAnsi="Times New Roman"/>
                <w:b/>
                <w:sz w:val="24"/>
                <w:u w:val="single"/>
              </w:rPr>
            </w:pPr>
            <w:r w:rsidRPr="00D85C65">
              <w:rPr>
                <w:rFonts w:ascii="Times New Roman" w:hAnsi="Times New Roman"/>
                <w:sz w:val="24"/>
              </w:rPr>
              <w:t>Článok 254 ods. 1 písm. b) CRR.</w:t>
            </w:r>
          </w:p>
          <w:p w14:paraId="4520145D" w14:textId="77777777" w:rsidR="00235D9D" w:rsidRPr="00D85C65" w:rsidRDefault="00235D9D">
            <w:pPr>
              <w:spacing w:before="0" w:after="0"/>
              <w:jc w:val="left"/>
              <w:rPr>
                <w:rFonts w:ascii="Times New Roman" w:hAnsi="Times New Roman"/>
                <w:sz w:val="24"/>
              </w:rPr>
            </w:pPr>
          </w:p>
        </w:tc>
      </w:tr>
      <w:tr w:rsidR="00235D9D" w:rsidRPr="00D85C65" w14:paraId="7E678937" w14:textId="77777777" w:rsidTr="00E10B85">
        <w:tc>
          <w:tcPr>
            <w:tcW w:w="1568" w:type="dxa"/>
          </w:tcPr>
          <w:p w14:paraId="4C482037"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0290 – 0340</w:t>
            </w:r>
          </w:p>
        </w:tc>
        <w:tc>
          <w:tcPr>
            <w:tcW w:w="7436" w:type="dxa"/>
          </w:tcPr>
          <w:p w14:paraId="0608AED5"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ROZČLENENIE PODĽA PÁSIEM RIZIKOVÝCH VÁH</w:t>
            </w:r>
          </w:p>
          <w:p w14:paraId="1627D47C" w14:textId="77777777" w:rsidR="00235D9D" w:rsidRPr="00D85C65" w:rsidRDefault="00235D9D">
            <w:pPr>
              <w:spacing w:before="0" w:after="0"/>
              <w:jc w:val="left"/>
              <w:rPr>
                <w:rFonts w:ascii="Times New Roman" w:hAnsi="Times New Roman"/>
                <w:sz w:val="24"/>
              </w:rPr>
            </w:pPr>
          </w:p>
          <w:p w14:paraId="110F47E1" w14:textId="77777777" w:rsidR="00235D9D" w:rsidRPr="00D85C65" w:rsidRDefault="00E026FB">
            <w:pPr>
              <w:spacing w:before="0" w:after="0"/>
              <w:jc w:val="left"/>
              <w:rPr>
                <w:rFonts w:ascii="Times New Roman" w:hAnsi="Times New Roman"/>
                <w:sz w:val="24"/>
              </w:rPr>
            </w:pPr>
            <w:r w:rsidRPr="00D85C65">
              <w:rPr>
                <w:rFonts w:ascii="Times New Roman" w:hAnsi="Times New Roman"/>
                <w:sz w:val="24"/>
              </w:rPr>
              <w:t>Expozície SEC-SA rozčlenené podľa pásiem rizikových váh.</w:t>
            </w:r>
          </w:p>
          <w:p w14:paraId="12454A5F" w14:textId="77777777" w:rsidR="00235D9D" w:rsidRPr="00D85C65" w:rsidRDefault="00235D9D">
            <w:pPr>
              <w:spacing w:before="0" w:after="0"/>
              <w:jc w:val="left"/>
              <w:rPr>
                <w:rFonts w:ascii="Times New Roman" w:hAnsi="Times New Roman"/>
                <w:sz w:val="24"/>
                <w:u w:val="single"/>
              </w:rPr>
            </w:pPr>
          </w:p>
          <w:p w14:paraId="0742EADE" w14:textId="79788A8D" w:rsidR="00235D9D" w:rsidRPr="00D85C65" w:rsidRDefault="00E026FB">
            <w:pPr>
              <w:spacing w:before="0" w:after="0"/>
              <w:jc w:val="left"/>
              <w:rPr>
                <w:rFonts w:ascii="Times New Roman" w:hAnsi="Times New Roman"/>
                <w:sz w:val="24"/>
              </w:rPr>
            </w:pPr>
            <w:r w:rsidRPr="00D85C65">
              <w:rPr>
                <w:rFonts w:ascii="Times New Roman" w:hAnsi="Times New Roman"/>
                <w:sz w:val="24"/>
              </w:rPr>
              <w:t>Pre RW = 1 250</w:t>
            </w:r>
            <w:r w:rsidR="00D85C65">
              <w:rPr>
                <w:rFonts w:ascii="Times New Roman" w:hAnsi="Times New Roman"/>
                <w:sz w:val="24"/>
              </w:rPr>
              <w:t> %</w:t>
            </w:r>
            <w:r w:rsidRPr="00D85C65">
              <w:rPr>
                <w:rFonts w:ascii="Times New Roman" w:hAnsi="Times New Roman"/>
                <w:sz w:val="24"/>
              </w:rPr>
              <w:t xml:space="preserve"> (W neznáme) sa</w:t>
            </w:r>
            <w:r w:rsidR="00D85C65">
              <w:rPr>
                <w:rFonts w:ascii="Times New Roman" w:hAnsi="Times New Roman"/>
                <w:sz w:val="24"/>
              </w:rPr>
              <w:t xml:space="preserve"> v </w:t>
            </w:r>
            <w:r w:rsidRPr="00D85C65">
              <w:rPr>
                <w:rFonts w:ascii="Times New Roman" w:hAnsi="Times New Roman"/>
                <w:sz w:val="24"/>
              </w:rPr>
              <w:t>článku 261 ods. 2 písm. b) štvrtom pododseku CRR stanovuje, že pozícii</w:t>
            </w:r>
            <w:r w:rsidR="00D85C65">
              <w:rPr>
                <w:rFonts w:ascii="Times New Roman" w:hAnsi="Times New Roman"/>
                <w:sz w:val="24"/>
              </w:rPr>
              <w:t xml:space="preserve"> v </w:t>
            </w:r>
            <w:r w:rsidRPr="00D85C65">
              <w:rPr>
                <w:rFonts w:ascii="Times New Roman" w:hAnsi="Times New Roman"/>
                <w:sz w:val="24"/>
              </w:rPr>
              <w:t>sekuritizácii sa pridelí riziková váha 1 250</w:t>
            </w:r>
            <w:r w:rsidR="00D85C65">
              <w:rPr>
                <w:rFonts w:ascii="Times New Roman" w:hAnsi="Times New Roman"/>
                <w:sz w:val="24"/>
              </w:rPr>
              <w:t> %</w:t>
            </w:r>
            <w:r w:rsidRPr="00D85C65">
              <w:rPr>
                <w:rFonts w:ascii="Times New Roman" w:hAnsi="Times New Roman"/>
                <w:sz w:val="24"/>
              </w:rPr>
              <w:t xml:space="preserve"> vtedy, keď inštitúcia nepozná mieru platobnej disciplinovanosti pri viac než 5</w:t>
            </w:r>
            <w:r w:rsidR="00D85C65">
              <w:rPr>
                <w:rFonts w:ascii="Times New Roman" w:hAnsi="Times New Roman"/>
                <w:sz w:val="24"/>
              </w:rPr>
              <w:t> %</w:t>
            </w:r>
            <w:r w:rsidRPr="00D85C65">
              <w:rPr>
                <w:rFonts w:ascii="Times New Roman" w:hAnsi="Times New Roman"/>
                <w:sz w:val="24"/>
              </w:rPr>
              <w:t xml:space="preserve"> podkladových expozícií</w:t>
            </w:r>
            <w:r w:rsidR="00D85C65">
              <w:rPr>
                <w:rFonts w:ascii="Times New Roman" w:hAnsi="Times New Roman"/>
                <w:sz w:val="24"/>
              </w:rPr>
              <w:t xml:space="preserve"> v </w:t>
            </w:r>
            <w:r w:rsidRPr="00D85C65">
              <w:rPr>
                <w:rFonts w:ascii="Times New Roman" w:hAnsi="Times New Roman"/>
                <w:sz w:val="24"/>
              </w:rPr>
              <w:t>skupine.</w:t>
            </w:r>
          </w:p>
          <w:p w14:paraId="2D38FDA6" w14:textId="77777777" w:rsidR="00235D9D" w:rsidRPr="00D85C65" w:rsidRDefault="00235D9D">
            <w:pPr>
              <w:spacing w:before="0" w:after="0"/>
              <w:jc w:val="left"/>
              <w:rPr>
                <w:rFonts w:ascii="Times New Roman" w:hAnsi="Times New Roman"/>
                <w:sz w:val="24"/>
                <w:u w:val="single"/>
              </w:rPr>
            </w:pPr>
          </w:p>
        </w:tc>
      </w:tr>
      <w:tr w:rsidR="00235D9D" w:rsidRPr="00D85C65" w14:paraId="793A2558" w14:textId="77777777" w:rsidTr="00E10B85">
        <w:tc>
          <w:tcPr>
            <w:tcW w:w="1568" w:type="dxa"/>
          </w:tcPr>
          <w:p w14:paraId="650800DC" w14:textId="77777777" w:rsidR="00235D9D" w:rsidRPr="00D85C65" w:rsidDel="002122FF"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0350</w:t>
            </w:r>
          </w:p>
        </w:tc>
        <w:tc>
          <w:tcPr>
            <w:tcW w:w="7436" w:type="dxa"/>
          </w:tcPr>
          <w:p w14:paraId="7F15D7C0"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SEC-ERBA</w:t>
            </w:r>
          </w:p>
          <w:p w14:paraId="0402ED2B" w14:textId="77777777" w:rsidR="00235D9D" w:rsidRPr="00D85C65" w:rsidRDefault="00235D9D">
            <w:pPr>
              <w:spacing w:before="0" w:after="0"/>
              <w:rPr>
                <w:rFonts w:ascii="Times New Roman" w:hAnsi="Times New Roman"/>
                <w:sz w:val="24"/>
              </w:rPr>
            </w:pPr>
          </w:p>
          <w:p w14:paraId="11B6AFF1" w14:textId="77777777" w:rsidR="00D85C65" w:rsidRDefault="001E0C80">
            <w:pPr>
              <w:spacing w:before="0" w:after="0"/>
              <w:jc w:val="left"/>
              <w:rPr>
                <w:rFonts w:ascii="Times New Roman" w:hAnsi="Times New Roman"/>
                <w:sz w:val="24"/>
              </w:rPr>
            </w:pPr>
            <w:r w:rsidRPr="00D85C65">
              <w:rPr>
                <w:rFonts w:ascii="Times New Roman" w:hAnsi="Times New Roman"/>
                <w:sz w:val="24"/>
              </w:rPr>
              <w:t>Článok 254 ods. 1 písm. c) CRR</w:t>
            </w:r>
            <w:r w:rsidR="00D85C65">
              <w:rPr>
                <w:rFonts w:ascii="Times New Roman" w:hAnsi="Times New Roman"/>
                <w:sz w:val="24"/>
              </w:rPr>
              <w:t>.</w:t>
            </w:r>
          </w:p>
          <w:p w14:paraId="6D127C5E" w14:textId="72145967" w:rsidR="00235D9D" w:rsidRPr="00D85C65" w:rsidRDefault="00235D9D">
            <w:pPr>
              <w:spacing w:before="0" w:after="0"/>
              <w:rPr>
                <w:rFonts w:ascii="Times New Roman" w:hAnsi="Times New Roman"/>
                <w:b/>
                <w:sz w:val="24"/>
                <w:u w:val="single"/>
              </w:rPr>
            </w:pPr>
          </w:p>
        </w:tc>
      </w:tr>
      <w:tr w:rsidR="00235D9D" w:rsidRPr="00D85C65" w14:paraId="5BC56A45" w14:textId="77777777" w:rsidTr="00E10B85">
        <w:tc>
          <w:tcPr>
            <w:tcW w:w="1568" w:type="dxa"/>
          </w:tcPr>
          <w:p w14:paraId="46B7A345"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0360 – 0570</w:t>
            </w:r>
          </w:p>
        </w:tc>
        <w:tc>
          <w:tcPr>
            <w:tcW w:w="7436" w:type="dxa"/>
          </w:tcPr>
          <w:p w14:paraId="0DFF631D"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ROZČLENENIE PODĽA STUPŇOV KREDITNEJ KVALITY (KRÁTKODOBÉ/DLHODOBÉ STUPNE KREDITNEJ KVALITY)</w:t>
            </w:r>
          </w:p>
          <w:p w14:paraId="198A093C" w14:textId="77777777" w:rsidR="00235D9D" w:rsidRPr="00D85C65" w:rsidRDefault="00235D9D">
            <w:pPr>
              <w:spacing w:before="0" w:after="0"/>
              <w:rPr>
                <w:rFonts w:ascii="Times New Roman" w:hAnsi="Times New Roman"/>
                <w:sz w:val="24"/>
              </w:rPr>
            </w:pPr>
          </w:p>
          <w:p w14:paraId="5F90F107" w14:textId="6FF8522B" w:rsidR="00235D9D" w:rsidRPr="00D85C65" w:rsidRDefault="00E026FB">
            <w:pPr>
              <w:spacing w:before="0" w:after="0"/>
              <w:rPr>
                <w:rFonts w:ascii="Times New Roman" w:hAnsi="Times New Roman"/>
                <w:sz w:val="24"/>
              </w:rPr>
            </w:pPr>
            <w:r w:rsidRPr="00D85C65">
              <w:rPr>
                <w:rFonts w:ascii="Times New Roman" w:hAnsi="Times New Roman"/>
                <w:sz w:val="24"/>
              </w:rPr>
              <w:t>Článok 263 CRR.</w:t>
            </w:r>
          </w:p>
          <w:p w14:paraId="567B7627" w14:textId="77777777" w:rsidR="00235D9D" w:rsidRPr="00D85C65" w:rsidRDefault="00235D9D">
            <w:pPr>
              <w:spacing w:before="0" w:after="0"/>
              <w:rPr>
                <w:rFonts w:ascii="Times New Roman" w:hAnsi="Times New Roman"/>
                <w:sz w:val="24"/>
              </w:rPr>
            </w:pPr>
          </w:p>
          <w:p w14:paraId="5970A37D" w14:textId="2786D3AF" w:rsidR="00235D9D" w:rsidRPr="00D85C65" w:rsidRDefault="00E026FB">
            <w:pPr>
              <w:spacing w:before="0" w:after="0"/>
              <w:rPr>
                <w:rFonts w:ascii="Times New Roman" w:hAnsi="Times New Roman"/>
                <w:sz w:val="24"/>
              </w:rPr>
            </w:pPr>
            <w:r w:rsidRPr="00D85C65">
              <w:rPr>
                <w:rFonts w:ascii="Times New Roman" w:hAnsi="Times New Roman"/>
                <w:sz w:val="24"/>
              </w:rPr>
              <w:t>SEC-ERBA sekuritizačné pozície</w:t>
            </w:r>
            <w:r w:rsidR="00D85C65">
              <w:rPr>
                <w:rFonts w:ascii="Times New Roman" w:hAnsi="Times New Roman"/>
                <w:sz w:val="24"/>
              </w:rPr>
              <w:t xml:space="preserve"> s </w:t>
            </w:r>
            <w:r w:rsidRPr="00D85C65">
              <w:rPr>
                <w:rFonts w:ascii="Times New Roman" w:hAnsi="Times New Roman"/>
                <w:sz w:val="24"/>
              </w:rPr>
              <w:t>odvodeným ratingom podľa článku 254 ods. 2 CRR sa vykazujú ako pozície</w:t>
            </w:r>
            <w:r w:rsidR="00D85C65">
              <w:rPr>
                <w:rFonts w:ascii="Times New Roman" w:hAnsi="Times New Roman"/>
                <w:sz w:val="24"/>
              </w:rPr>
              <w:t xml:space="preserve"> s </w:t>
            </w:r>
            <w:r w:rsidRPr="00D85C65">
              <w:rPr>
                <w:rFonts w:ascii="Times New Roman" w:hAnsi="Times New Roman"/>
                <w:sz w:val="24"/>
              </w:rPr>
              <w:t>ratingom.</w:t>
            </w:r>
          </w:p>
          <w:p w14:paraId="513CCCC6" w14:textId="77777777" w:rsidR="00235D9D" w:rsidRPr="00D85C65" w:rsidRDefault="00235D9D">
            <w:pPr>
              <w:spacing w:before="0" w:after="0"/>
              <w:rPr>
                <w:rFonts w:ascii="Times New Roman" w:hAnsi="Times New Roman"/>
                <w:sz w:val="24"/>
              </w:rPr>
            </w:pPr>
          </w:p>
          <w:p w14:paraId="173806C4" w14:textId="53ABE908"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Hodnoty expozícií, na ktoré sa vzťahujú rizikové váhy, sa rozčleňujú podľa krátkodobých</w:t>
            </w:r>
            <w:r w:rsidR="00D85C65">
              <w:rPr>
                <w:rFonts w:ascii="Times New Roman" w:hAnsi="Times New Roman"/>
                <w:sz w:val="24"/>
              </w:rPr>
              <w:t xml:space="preserve"> a </w:t>
            </w:r>
            <w:r w:rsidRPr="00D85C65">
              <w:rPr>
                <w:rFonts w:ascii="Times New Roman" w:hAnsi="Times New Roman"/>
                <w:sz w:val="24"/>
              </w:rPr>
              <w:t>dlhodobých stupňov kreditnej kvality (CQS), ako sa stanovuje</w:t>
            </w:r>
            <w:r w:rsidR="00D85C65">
              <w:rPr>
                <w:rFonts w:ascii="Times New Roman" w:hAnsi="Times New Roman"/>
                <w:sz w:val="24"/>
              </w:rPr>
              <w:t xml:space="preserve"> v </w:t>
            </w:r>
            <w:r w:rsidRPr="00D85C65">
              <w:rPr>
                <w:rFonts w:ascii="Times New Roman" w:hAnsi="Times New Roman"/>
                <w:sz w:val="24"/>
              </w:rPr>
              <w:t>tabuľkách 1</w:t>
            </w:r>
            <w:r w:rsidR="00D85C65">
              <w:rPr>
                <w:rFonts w:ascii="Times New Roman" w:hAnsi="Times New Roman"/>
                <w:sz w:val="24"/>
              </w:rPr>
              <w:t xml:space="preserve"> a </w:t>
            </w:r>
            <w:r w:rsidRPr="00D85C65">
              <w:rPr>
                <w:rFonts w:ascii="Times New Roman" w:hAnsi="Times New Roman"/>
                <w:sz w:val="24"/>
              </w:rPr>
              <w:t>2 článku 263</w:t>
            </w:r>
            <w:r w:rsidR="00D85C65">
              <w:rPr>
                <w:rFonts w:ascii="Times New Roman" w:hAnsi="Times New Roman"/>
                <w:sz w:val="24"/>
              </w:rPr>
              <w:t xml:space="preserve"> a </w:t>
            </w:r>
            <w:r w:rsidRPr="00D85C65">
              <w:rPr>
                <w:rFonts w:ascii="Times New Roman" w:hAnsi="Times New Roman"/>
                <w:sz w:val="24"/>
              </w:rPr>
              <w:t>tabuľkách 3</w:t>
            </w:r>
            <w:r w:rsidR="00D85C65">
              <w:rPr>
                <w:rFonts w:ascii="Times New Roman" w:hAnsi="Times New Roman"/>
                <w:sz w:val="24"/>
              </w:rPr>
              <w:t xml:space="preserve"> a </w:t>
            </w:r>
            <w:r w:rsidRPr="00D85C65">
              <w:rPr>
                <w:rFonts w:ascii="Times New Roman" w:hAnsi="Times New Roman"/>
                <w:sz w:val="24"/>
              </w:rPr>
              <w:t>4 článku 264 CRR</w:t>
            </w:r>
            <w:r w:rsidR="00D85C65">
              <w:rPr>
                <w:rFonts w:ascii="Times New Roman" w:hAnsi="Times New Roman"/>
                <w:sz w:val="24"/>
              </w:rPr>
              <w:t>.</w:t>
            </w:r>
          </w:p>
          <w:p w14:paraId="2909105C" w14:textId="28887D34" w:rsidR="00235D9D" w:rsidRPr="00D85C65" w:rsidRDefault="00235D9D">
            <w:pPr>
              <w:pStyle w:val="Heading1"/>
              <w:rPr>
                <w:rFonts w:ascii="Times New Roman" w:eastAsia="Times New Roman" w:hAnsi="Times New Roman"/>
                <w:sz w:val="24"/>
                <w:szCs w:val="24"/>
              </w:rPr>
            </w:pPr>
          </w:p>
        </w:tc>
      </w:tr>
      <w:tr w:rsidR="00235D9D" w:rsidRPr="00D85C65" w14:paraId="23D98720" w14:textId="77777777" w:rsidTr="00E10B85">
        <w:tc>
          <w:tcPr>
            <w:tcW w:w="1568" w:type="dxa"/>
          </w:tcPr>
          <w:p w14:paraId="3F8AB288"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0580 – 0630</w:t>
            </w:r>
          </w:p>
        </w:tc>
        <w:tc>
          <w:tcPr>
            <w:tcW w:w="7436" w:type="dxa"/>
          </w:tcPr>
          <w:p w14:paraId="46EFE09A"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ROZČLENENIE PODĽA DÔVODU UPLATŇOVANIA SEC-ERBA</w:t>
            </w:r>
          </w:p>
          <w:p w14:paraId="7B883B93" w14:textId="77777777" w:rsidR="00235D9D" w:rsidRPr="00D85C65" w:rsidRDefault="00235D9D">
            <w:pPr>
              <w:spacing w:before="0" w:after="0"/>
              <w:rPr>
                <w:rFonts w:ascii="Times New Roman" w:hAnsi="Times New Roman"/>
                <w:b/>
                <w:sz w:val="24"/>
                <w:u w:val="single"/>
              </w:rPr>
            </w:pPr>
          </w:p>
          <w:p w14:paraId="3462691E" w14:textId="6F8129FA" w:rsidR="00235D9D" w:rsidRPr="00D85C65" w:rsidRDefault="00E026FB">
            <w:pPr>
              <w:spacing w:before="0" w:after="0"/>
              <w:rPr>
                <w:rFonts w:ascii="Times New Roman" w:hAnsi="Times New Roman"/>
                <w:sz w:val="24"/>
              </w:rPr>
            </w:pPr>
            <w:r w:rsidRPr="00D85C65">
              <w:rPr>
                <w:rFonts w:ascii="Times New Roman" w:hAnsi="Times New Roman"/>
                <w:sz w:val="24"/>
              </w:rPr>
              <w:t>Pri každej sekuritizačnej pozícii inštitúcie zvažujú jednu</w:t>
            </w:r>
            <w:r w:rsidR="00D85C65">
              <w:rPr>
                <w:rFonts w:ascii="Times New Roman" w:hAnsi="Times New Roman"/>
                <w:sz w:val="24"/>
              </w:rPr>
              <w:t xml:space="preserve"> z </w:t>
            </w:r>
            <w:r w:rsidRPr="00D85C65">
              <w:rPr>
                <w:rFonts w:ascii="Times New Roman" w:hAnsi="Times New Roman"/>
                <w:sz w:val="24"/>
              </w:rPr>
              <w:t>týchto možností uvedených</w:t>
            </w:r>
            <w:r w:rsidR="00D85C65">
              <w:rPr>
                <w:rFonts w:ascii="Times New Roman" w:hAnsi="Times New Roman"/>
                <w:sz w:val="24"/>
              </w:rPr>
              <w:t xml:space="preserve"> v </w:t>
            </w:r>
            <w:r w:rsidRPr="00D85C65">
              <w:rPr>
                <w:rFonts w:ascii="Times New Roman" w:hAnsi="Times New Roman"/>
                <w:sz w:val="24"/>
              </w:rPr>
              <w:t>stĺpcoch 0580 až 0620.</w:t>
            </w:r>
          </w:p>
          <w:p w14:paraId="3E678156" w14:textId="77777777" w:rsidR="00235D9D" w:rsidRPr="00D85C65" w:rsidRDefault="00235D9D">
            <w:pPr>
              <w:spacing w:before="0" w:after="0"/>
              <w:rPr>
                <w:rFonts w:ascii="Times New Roman" w:hAnsi="Times New Roman"/>
                <w:sz w:val="24"/>
                <w:u w:val="single"/>
              </w:rPr>
            </w:pPr>
          </w:p>
        </w:tc>
      </w:tr>
      <w:tr w:rsidR="00235D9D" w:rsidRPr="00D85C65" w14:paraId="1C6448C8" w14:textId="77777777" w:rsidTr="00E10B85">
        <w:tc>
          <w:tcPr>
            <w:tcW w:w="1568" w:type="dxa"/>
          </w:tcPr>
          <w:p w14:paraId="6B21AA05"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0580</w:t>
            </w:r>
          </w:p>
        </w:tc>
        <w:tc>
          <w:tcPr>
            <w:tcW w:w="7436" w:type="dxa"/>
          </w:tcPr>
          <w:p w14:paraId="05846207"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ÚVERY NA MOTOROVÉ VOZIDLÁ, LÍZINGY NA MOTOROVÉ VOZIDLÁ A LÍZINGY ZARIADENÍ</w:t>
            </w:r>
          </w:p>
          <w:p w14:paraId="42B162B6" w14:textId="77777777" w:rsidR="00235D9D" w:rsidRPr="00D85C65" w:rsidRDefault="00235D9D">
            <w:pPr>
              <w:spacing w:before="0" w:after="0"/>
              <w:rPr>
                <w:rFonts w:ascii="Times New Roman" w:hAnsi="Times New Roman"/>
                <w:b/>
                <w:sz w:val="24"/>
                <w:u w:val="single"/>
              </w:rPr>
            </w:pPr>
          </w:p>
          <w:p w14:paraId="48EAEBDE" w14:textId="77777777" w:rsidR="00D85C65" w:rsidRDefault="001E0C80">
            <w:pPr>
              <w:spacing w:before="0" w:after="0"/>
              <w:rPr>
                <w:rFonts w:ascii="Times New Roman" w:hAnsi="Times New Roman"/>
                <w:sz w:val="24"/>
              </w:rPr>
            </w:pPr>
            <w:r w:rsidRPr="00D85C65">
              <w:rPr>
                <w:rFonts w:ascii="Times New Roman" w:hAnsi="Times New Roman"/>
                <w:sz w:val="24"/>
              </w:rPr>
              <w:lastRenderedPageBreak/>
              <w:t>Článok 254 ods. 2 písm. c) CRR</w:t>
            </w:r>
            <w:r w:rsidR="00D85C65">
              <w:rPr>
                <w:rFonts w:ascii="Times New Roman" w:hAnsi="Times New Roman"/>
                <w:sz w:val="24"/>
              </w:rPr>
              <w:t>.</w:t>
            </w:r>
          </w:p>
          <w:p w14:paraId="5D2CE71D" w14:textId="5B683CA2" w:rsidR="00235D9D" w:rsidRPr="00D85C65" w:rsidRDefault="00235D9D">
            <w:pPr>
              <w:spacing w:before="0" w:after="0"/>
              <w:rPr>
                <w:rFonts w:ascii="Times New Roman" w:hAnsi="Times New Roman"/>
                <w:sz w:val="24"/>
              </w:rPr>
            </w:pPr>
          </w:p>
          <w:p w14:paraId="2A586696" w14:textId="6F926D45" w:rsidR="00235D9D" w:rsidRPr="00D85C65" w:rsidRDefault="00FC5515">
            <w:pPr>
              <w:spacing w:before="0" w:after="0"/>
              <w:rPr>
                <w:rFonts w:ascii="Times New Roman" w:hAnsi="Times New Roman"/>
                <w:b/>
                <w:sz w:val="24"/>
                <w:u w:val="single"/>
              </w:rPr>
            </w:pPr>
            <w:r w:rsidRPr="00D85C65">
              <w:rPr>
                <w:rFonts w:ascii="Times New Roman" w:hAnsi="Times New Roman"/>
                <w:sz w:val="24"/>
              </w:rPr>
              <w:t>Všetky úvery na motorové vozidlá, lízingy na motorové vozidlá</w:t>
            </w:r>
            <w:r w:rsidR="00D85C65">
              <w:rPr>
                <w:rFonts w:ascii="Times New Roman" w:hAnsi="Times New Roman"/>
                <w:sz w:val="24"/>
              </w:rPr>
              <w:t xml:space="preserve"> a </w:t>
            </w:r>
            <w:r w:rsidRPr="00D85C65">
              <w:rPr>
                <w:rFonts w:ascii="Times New Roman" w:hAnsi="Times New Roman"/>
                <w:sz w:val="24"/>
              </w:rPr>
              <w:t>lízingy zariadení sa vykazujú</w:t>
            </w:r>
            <w:r w:rsidR="00D85C65">
              <w:rPr>
                <w:rFonts w:ascii="Times New Roman" w:hAnsi="Times New Roman"/>
                <w:sz w:val="24"/>
              </w:rPr>
              <w:t xml:space="preserve"> v </w:t>
            </w:r>
            <w:r w:rsidRPr="00D85C65">
              <w:rPr>
                <w:rFonts w:ascii="Times New Roman" w:hAnsi="Times New Roman"/>
                <w:sz w:val="24"/>
              </w:rPr>
              <w:t>tomto stĺpci,</w:t>
            </w:r>
            <w:r w:rsidR="00D85C65">
              <w:rPr>
                <w:rFonts w:ascii="Times New Roman" w:hAnsi="Times New Roman"/>
                <w:sz w:val="24"/>
              </w:rPr>
              <w:t xml:space="preserve"> a </w:t>
            </w:r>
            <w:r w:rsidRPr="00D85C65">
              <w:rPr>
                <w:rFonts w:ascii="Times New Roman" w:hAnsi="Times New Roman"/>
                <w:sz w:val="24"/>
              </w:rPr>
              <w:t>to aj vtedy, keď spĺňajú náležitosti článku 254 ods. 2 písm. a) alebo b) CRR.</w:t>
            </w:r>
          </w:p>
        </w:tc>
      </w:tr>
      <w:tr w:rsidR="00235D9D" w:rsidRPr="00D85C65" w14:paraId="61107D9E" w14:textId="77777777" w:rsidTr="00E10B85">
        <w:tc>
          <w:tcPr>
            <w:tcW w:w="1568" w:type="dxa"/>
          </w:tcPr>
          <w:p w14:paraId="4E48F4A6"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0590</w:t>
            </w:r>
          </w:p>
        </w:tc>
        <w:tc>
          <w:tcPr>
            <w:tcW w:w="7436" w:type="dxa"/>
          </w:tcPr>
          <w:p w14:paraId="5FDE75E5" w14:textId="77777777"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MOŽNOSŤ UPLATŇOVAŤ SEC-ERBA</w:t>
            </w:r>
          </w:p>
          <w:p w14:paraId="745DBA1D" w14:textId="77777777" w:rsidR="00235D9D" w:rsidRPr="00D85C65" w:rsidRDefault="00235D9D">
            <w:pPr>
              <w:spacing w:before="0" w:after="0"/>
              <w:rPr>
                <w:rFonts w:ascii="Times New Roman" w:hAnsi="Times New Roman"/>
                <w:b/>
                <w:sz w:val="24"/>
                <w:u w:val="single"/>
              </w:rPr>
            </w:pPr>
          </w:p>
          <w:p w14:paraId="4AB9E844" w14:textId="0224B0AE" w:rsidR="00235D9D" w:rsidRPr="00D85C65" w:rsidRDefault="00E026FB">
            <w:pPr>
              <w:spacing w:before="0" w:after="0"/>
              <w:rPr>
                <w:rFonts w:ascii="Times New Roman" w:hAnsi="Times New Roman"/>
                <w:sz w:val="24"/>
              </w:rPr>
            </w:pPr>
            <w:r w:rsidRPr="00D85C65">
              <w:rPr>
                <w:rFonts w:ascii="Times New Roman" w:hAnsi="Times New Roman"/>
                <w:sz w:val="24"/>
              </w:rPr>
              <w:t>Článok 254 ods. 3 CRR.</w:t>
            </w:r>
          </w:p>
          <w:p w14:paraId="59104AC0" w14:textId="77777777" w:rsidR="00235D9D" w:rsidRPr="00D85C65" w:rsidRDefault="00235D9D">
            <w:pPr>
              <w:spacing w:before="0" w:after="0"/>
              <w:rPr>
                <w:rFonts w:ascii="Times New Roman" w:hAnsi="Times New Roman"/>
                <w:b/>
                <w:sz w:val="24"/>
                <w:u w:val="single"/>
              </w:rPr>
            </w:pPr>
          </w:p>
        </w:tc>
      </w:tr>
      <w:tr w:rsidR="00235D9D" w:rsidRPr="00D85C65" w14:paraId="3BE197CE" w14:textId="77777777" w:rsidTr="00E10B85">
        <w:tc>
          <w:tcPr>
            <w:tcW w:w="1568" w:type="dxa"/>
          </w:tcPr>
          <w:p w14:paraId="50AFF662"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0600</w:t>
            </w:r>
          </w:p>
        </w:tc>
        <w:tc>
          <w:tcPr>
            <w:tcW w:w="7436" w:type="dxa"/>
          </w:tcPr>
          <w:p w14:paraId="098BDB3B" w14:textId="60FD329F" w:rsidR="00235D9D" w:rsidRPr="00D85C65" w:rsidRDefault="00E026FB">
            <w:pPr>
              <w:spacing w:before="0" w:after="0"/>
              <w:rPr>
                <w:rFonts w:ascii="Times New Roman" w:hAnsi="Times New Roman"/>
                <w:b/>
                <w:bCs/>
                <w:sz w:val="24"/>
                <w:u w:val="single"/>
              </w:rPr>
            </w:pPr>
            <w:r w:rsidRPr="00D85C65">
              <w:rPr>
                <w:rFonts w:ascii="Times New Roman" w:hAnsi="Times New Roman"/>
                <w:b/>
                <w:bCs/>
                <w:sz w:val="24"/>
                <w:u w:val="single"/>
              </w:rPr>
              <w:t>POZÍCIE, NA KTORÉ SA VZŤAHUJE ČLÁNOK 254 ODS. 2 PÍSM. a) CRR</w:t>
            </w:r>
          </w:p>
          <w:p w14:paraId="556620CD" w14:textId="77777777" w:rsidR="00235D9D" w:rsidRPr="00D85C65" w:rsidRDefault="00235D9D">
            <w:pPr>
              <w:spacing w:before="0" w:after="0"/>
              <w:rPr>
                <w:rFonts w:ascii="Times New Roman" w:hAnsi="Times New Roman"/>
                <w:b/>
                <w:bCs/>
                <w:sz w:val="24"/>
                <w:u w:val="single"/>
              </w:rPr>
            </w:pPr>
          </w:p>
          <w:p w14:paraId="4A05456B" w14:textId="66D8DC30" w:rsidR="00235D9D" w:rsidRPr="00D85C65" w:rsidRDefault="001E0C80">
            <w:pPr>
              <w:spacing w:before="0" w:after="0"/>
              <w:rPr>
                <w:rFonts w:ascii="Times New Roman" w:hAnsi="Times New Roman"/>
                <w:sz w:val="24"/>
              </w:rPr>
            </w:pPr>
            <w:r w:rsidRPr="00D85C65">
              <w:rPr>
                <w:rFonts w:ascii="Times New Roman" w:hAnsi="Times New Roman"/>
                <w:sz w:val="24"/>
              </w:rPr>
              <w:t>Článok 254 ods. 2 písm. a) CRR.</w:t>
            </w:r>
          </w:p>
          <w:p w14:paraId="4744F7C2" w14:textId="77777777" w:rsidR="00235D9D" w:rsidRPr="00D85C65" w:rsidRDefault="00235D9D">
            <w:pPr>
              <w:spacing w:before="0" w:after="0"/>
              <w:rPr>
                <w:rFonts w:ascii="Times New Roman" w:hAnsi="Times New Roman"/>
                <w:sz w:val="24"/>
              </w:rPr>
            </w:pPr>
          </w:p>
        </w:tc>
      </w:tr>
      <w:tr w:rsidR="00235D9D" w:rsidRPr="00D85C65" w14:paraId="501BCF2F" w14:textId="77777777" w:rsidTr="00E10B85">
        <w:tc>
          <w:tcPr>
            <w:tcW w:w="1568" w:type="dxa"/>
          </w:tcPr>
          <w:p w14:paraId="58899ADE"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0610</w:t>
            </w:r>
          </w:p>
        </w:tc>
        <w:tc>
          <w:tcPr>
            <w:tcW w:w="7436" w:type="dxa"/>
          </w:tcPr>
          <w:p w14:paraId="29D52F0C" w14:textId="77777777" w:rsidR="00D85C65" w:rsidRDefault="00E026FB">
            <w:pPr>
              <w:spacing w:before="0" w:after="0"/>
              <w:rPr>
                <w:rFonts w:ascii="Times New Roman" w:hAnsi="Times New Roman"/>
                <w:b/>
                <w:sz w:val="24"/>
                <w:u w:val="single"/>
              </w:rPr>
            </w:pPr>
            <w:r w:rsidRPr="00D85C65">
              <w:rPr>
                <w:rFonts w:ascii="Times New Roman" w:hAnsi="Times New Roman"/>
                <w:b/>
                <w:sz w:val="24"/>
                <w:u w:val="single"/>
              </w:rPr>
              <w:t>POZÍCIE, NA KTORÉ SA VZŤAHUJE ČLÁNOK 254 ODS. 2 PÍSM. b) CRR</w:t>
            </w:r>
          </w:p>
          <w:p w14:paraId="555AEE35" w14:textId="5557F169" w:rsidR="00235D9D" w:rsidRPr="00D85C65" w:rsidRDefault="00235D9D">
            <w:pPr>
              <w:spacing w:before="0" w:after="0"/>
              <w:rPr>
                <w:rFonts w:ascii="Times New Roman" w:hAnsi="Times New Roman"/>
                <w:b/>
                <w:sz w:val="24"/>
                <w:u w:val="single"/>
              </w:rPr>
            </w:pPr>
          </w:p>
          <w:p w14:paraId="1C715972" w14:textId="06F7C58E" w:rsidR="00235D9D" w:rsidRPr="00D85C65" w:rsidRDefault="001E0C80">
            <w:pPr>
              <w:spacing w:before="0" w:after="0"/>
              <w:rPr>
                <w:rFonts w:ascii="Times New Roman" w:hAnsi="Times New Roman"/>
                <w:sz w:val="24"/>
              </w:rPr>
            </w:pPr>
            <w:r w:rsidRPr="00D85C65">
              <w:rPr>
                <w:rFonts w:ascii="Times New Roman" w:hAnsi="Times New Roman"/>
                <w:sz w:val="24"/>
              </w:rPr>
              <w:t>Článok 254 ods. 2 písm. b) CRR.</w:t>
            </w:r>
          </w:p>
          <w:p w14:paraId="43813D5C" w14:textId="77777777" w:rsidR="00235D9D" w:rsidRPr="00D85C65" w:rsidRDefault="00235D9D">
            <w:pPr>
              <w:spacing w:before="0" w:after="0"/>
              <w:rPr>
                <w:rFonts w:ascii="Times New Roman" w:hAnsi="Times New Roman"/>
                <w:b/>
                <w:sz w:val="24"/>
                <w:u w:val="single"/>
              </w:rPr>
            </w:pPr>
          </w:p>
        </w:tc>
      </w:tr>
      <w:tr w:rsidR="00235D9D" w:rsidRPr="00D85C65" w14:paraId="5778B0D0" w14:textId="77777777" w:rsidTr="00E10B85">
        <w:tc>
          <w:tcPr>
            <w:tcW w:w="1568" w:type="dxa"/>
          </w:tcPr>
          <w:p w14:paraId="55E812F8"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0620</w:t>
            </w:r>
          </w:p>
        </w:tc>
        <w:tc>
          <w:tcPr>
            <w:tcW w:w="7436" w:type="dxa"/>
          </w:tcPr>
          <w:p w14:paraId="432C8637" w14:textId="338BC9D0" w:rsidR="00235D9D" w:rsidRPr="00D85C65" w:rsidRDefault="00E026FB">
            <w:pPr>
              <w:spacing w:before="0" w:after="0"/>
              <w:rPr>
                <w:rFonts w:ascii="Times New Roman" w:hAnsi="Times New Roman"/>
                <w:b/>
                <w:bCs/>
                <w:sz w:val="24"/>
                <w:u w:val="single"/>
              </w:rPr>
            </w:pPr>
            <w:r w:rsidRPr="00D85C65">
              <w:rPr>
                <w:rFonts w:ascii="Times New Roman" w:hAnsi="Times New Roman"/>
                <w:b/>
                <w:bCs/>
                <w:sz w:val="24"/>
                <w:u w:val="single"/>
              </w:rPr>
              <w:t>POZÍCIE, NA KTORÉ SA VZŤAHUJE ČLÁNOK 254 ODS. 4 ALEBO ČLÁNOK 258 ODS. 2 CRR</w:t>
            </w:r>
          </w:p>
          <w:p w14:paraId="1E25C8D2" w14:textId="22017101" w:rsidR="00235D9D" w:rsidRPr="00D85C65" w:rsidRDefault="00235D9D">
            <w:pPr>
              <w:spacing w:before="0" w:after="0"/>
              <w:rPr>
                <w:rFonts w:ascii="Times New Roman" w:hAnsi="Times New Roman"/>
                <w:sz w:val="24"/>
              </w:rPr>
            </w:pPr>
          </w:p>
          <w:p w14:paraId="2A95D5CA" w14:textId="2A173C52" w:rsidR="00235D9D" w:rsidRPr="00D85C65" w:rsidRDefault="00E026FB">
            <w:pPr>
              <w:spacing w:before="0" w:after="0"/>
              <w:rPr>
                <w:rFonts w:ascii="Times New Roman" w:hAnsi="Times New Roman"/>
                <w:sz w:val="24"/>
              </w:rPr>
            </w:pPr>
            <w:r w:rsidRPr="00D85C65">
              <w:rPr>
                <w:rFonts w:ascii="Times New Roman" w:hAnsi="Times New Roman"/>
                <w:sz w:val="24"/>
              </w:rPr>
              <w:t>Sekuritizačné pozície, na ktoré sa vzťahuje SEC-ERBA, keď uplatňovaniu SEC-IRBA alebo SEC-SA zabránili príslušné orgány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254 ods. 4 alebo článkom 258 ods. 2 CRR.</w:t>
            </w:r>
          </w:p>
          <w:p w14:paraId="51377462" w14:textId="77777777" w:rsidR="00235D9D" w:rsidRPr="00D85C65" w:rsidRDefault="00235D9D">
            <w:pPr>
              <w:spacing w:before="0" w:after="0"/>
              <w:rPr>
                <w:rFonts w:ascii="Times New Roman" w:hAnsi="Times New Roman"/>
                <w:b/>
                <w:sz w:val="24"/>
                <w:u w:val="single"/>
              </w:rPr>
            </w:pPr>
          </w:p>
        </w:tc>
      </w:tr>
      <w:tr w:rsidR="00235D9D" w:rsidRPr="00D85C65" w14:paraId="0DE28F3C" w14:textId="77777777" w:rsidTr="00E10B85">
        <w:tc>
          <w:tcPr>
            <w:tcW w:w="1568" w:type="dxa"/>
          </w:tcPr>
          <w:p w14:paraId="4C23F3E7"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0630</w:t>
            </w:r>
          </w:p>
        </w:tc>
        <w:tc>
          <w:tcPr>
            <w:tcW w:w="7436" w:type="dxa"/>
          </w:tcPr>
          <w:p w14:paraId="694DA921" w14:textId="77777777" w:rsidR="00D85C65" w:rsidRDefault="00E026FB">
            <w:pPr>
              <w:spacing w:before="0" w:after="0"/>
              <w:rPr>
                <w:rFonts w:ascii="Times New Roman" w:hAnsi="Times New Roman"/>
                <w:b/>
                <w:sz w:val="24"/>
                <w:u w:val="single"/>
              </w:rPr>
            </w:pPr>
            <w:r w:rsidRPr="00D85C65">
              <w:rPr>
                <w:rFonts w:ascii="Times New Roman" w:hAnsi="Times New Roman"/>
                <w:b/>
                <w:sz w:val="24"/>
                <w:u w:val="single"/>
              </w:rPr>
              <w:t>DODRŽIAVANIE HIERARCHIE PRÍSTUPOV</w:t>
            </w:r>
          </w:p>
          <w:p w14:paraId="2795FFEF" w14:textId="727ABA65" w:rsidR="00235D9D" w:rsidRPr="00D85C65" w:rsidRDefault="00235D9D">
            <w:pPr>
              <w:spacing w:before="0" w:after="0"/>
              <w:rPr>
                <w:rFonts w:ascii="Times New Roman" w:hAnsi="Times New Roman"/>
                <w:b/>
                <w:sz w:val="24"/>
                <w:u w:val="single"/>
              </w:rPr>
            </w:pPr>
          </w:p>
          <w:p w14:paraId="40883A8F" w14:textId="77ACF014" w:rsidR="00235D9D" w:rsidRPr="00D85C65" w:rsidRDefault="00E026FB">
            <w:pPr>
              <w:spacing w:before="0" w:after="0"/>
              <w:rPr>
                <w:rFonts w:ascii="Times New Roman" w:hAnsi="Times New Roman"/>
                <w:sz w:val="24"/>
              </w:rPr>
            </w:pPr>
            <w:r w:rsidRPr="00D85C65">
              <w:rPr>
                <w:rFonts w:ascii="Times New Roman" w:hAnsi="Times New Roman"/>
                <w:sz w:val="24"/>
              </w:rPr>
              <w:t>Sekuritizačné pozície, keď sa SEC-ERBA uplatňuje</w:t>
            </w:r>
            <w:r w:rsidR="00D85C65">
              <w:rPr>
                <w:rFonts w:ascii="Times New Roman" w:hAnsi="Times New Roman"/>
                <w:sz w:val="24"/>
              </w:rPr>
              <w:t xml:space="preserve"> z </w:t>
            </w:r>
            <w:r w:rsidRPr="00D85C65">
              <w:rPr>
                <w:rFonts w:ascii="Times New Roman" w:hAnsi="Times New Roman"/>
                <w:sz w:val="24"/>
              </w:rPr>
              <w:t>dôvodu dodržiavania hierarchie prístupov, ako je stanovené</w:t>
            </w:r>
            <w:r w:rsidR="00D85C65">
              <w:rPr>
                <w:rFonts w:ascii="Times New Roman" w:hAnsi="Times New Roman"/>
                <w:sz w:val="24"/>
              </w:rPr>
              <w:t xml:space="preserve"> v </w:t>
            </w:r>
            <w:r w:rsidRPr="00D85C65">
              <w:rPr>
                <w:rFonts w:ascii="Times New Roman" w:hAnsi="Times New Roman"/>
                <w:sz w:val="24"/>
              </w:rPr>
              <w:t>článku 254 ods. 1 CRR.</w:t>
            </w:r>
          </w:p>
          <w:p w14:paraId="453B4568" w14:textId="77777777" w:rsidR="00235D9D" w:rsidRPr="00D85C65" w:rsidRDefault="00235D9D">
            <w:pPr>
              <w:spacing w:before="0" w:after="0"/>
              <w:rPr>
                <w:rFonts w:ascii="Times New Roman" w:hAnsi="Times New Roman"/>
                <w:b/>
                <w:sz w:val="24"/>
                <w:u w:val="single"/>
              </w:rPr>
            </w:pPr>
          </w:p>
        </w:tc>
      </w:tr>
      <w:tr w:rsidR="00235D9D" w:rsidRPr="00D85C65" w14:paraId="56DC25F7" w14:textId="77777777" w:rsidTr="00E10B85">
        <w:tc>
          <w:tcPr>
            <w:tcW w:w="1568" w:type="dxa"/>
          </w:tcPr>
          <w:p w14:paraId="479DAC37"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0640</w:t>
            </w:r>
          </w:p>
        </w:tc>
        <w:tc>
          <w:tcPr>
            <w:tcW w:w="7436" w:type="dxa"/>
          </w:tcPr>
          <w:p w14:paraId="06E49566"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PRÍSTUP INTERNÉHO HODNOTENIA</w:t>
            </w:r>
          </w:p>
          <w:p w14:paraId="0A440E40" w14:textId="77777777" w:rsidR="00235D9D" w:rsidRPr="00D85C65" w:rsidRDefault="00235D9D">
            <w:pPr>
              <w:spacing w:before="0" w:after="0"/>
              <w:jc w:val="left"/>
              <w:rPr>
                <w:rFonts w:ascii="Times New Roman" w:hAnsi="Times New Roman"/>
                <w:sz w:val="24"/>
              </w:rPr>
            </w:pPr>
          </w:p>
          <w:p w14:paraId="6FE35675" w14:textId="158A196A" w:rsidR="00235D9D" w:rsidRPr="00D85C65" w:rsidRDefault="008F2C6B">
            <w:pPr>
              <w:spacing w:before="0" w:after="0"/>
              <w:rPr>
                <w:rFonts w:ascii="Times New Roman" w:hAnsi="Times New Roman"/>
                <w:sz w:val="24"/>
              </w:rPr>
            </w:pPr>
            <w:r w:rsidRPr="00D85C65">
              <w:rPr>
                <w:rFonts w:ascii="Times New Roman" w:hAnsi="Times New Roman"/>
                <w:sz w:val="24"/>
              </w:rPr>
              <w:t>Článok 254 ods. 5 CRR</w:t>
            </w:r>
            <w:r w:rsidR="00D85C65">
              <w:rPr>
                <w:rFonts w:ascii="Times New Roman" w:hAnsi="Times New Roman"/>
                <w:sz w:val="24"/>
              </w:rPr>
              <w:t xml:space="preserve"> o </w:t>
            </w:r>
            <w:r w:rsidRPr="00D85C65">
              <w:rPr>
                <w:rFonts w:ascii="Times New Roman" w:hAnsi="Times New Roman"/>
                <w:sz w:val="24"/>
              </w:rPr>
              <w:t>„prístupe interného hodnotenia“ (IAA) pre pozície</w:t>
            </w:r>
            <w:r w:rsidR="00D85C65">
              <w:rPr>
                <w:rFonts w:ascii="Times New Roman" w:hAnsi="Times New Roman"/>
                <w:sz w:val="24"/>
              </w:rPr>
              <w:t xml:space="preserve"> v </w:t>
            </w:r>
            <w:r w:rsidRPr="00D85C65">
              <w:rPr>
                <w:rFonts w:ascii="Times New Roman" w:hAnsi="Times New Roman"/>
                <w:sz w:val="24"/>
              </w:rPr>
              <w:t>programoch ABCP.</w:t>
            </w:r>
          </w:p>
          <w:p w14:paraId="7F78C2F5" w14:textId="77777777" w:rsidR="00235D9D" w:rsidRPr="00D85C65" w:rsidRDefault="00235D9D">
            <w:pPr>
              <w:spacing w:before="0" w:after="0"/>
              <w:jc w:val="left"/>
              <w:rPr>
                <w:rFonts w:ascii="Times New Roman" w:hAnsi="Times New Roman"/>
                <w:sz w:val="24"/>
              </w:rPr>
            </w:pPr>
          </w:p>
        </w:tc>
      </w:tr>
      <w:tr w:rsidR="00235D9D" w:rsidRPr="00D85C65" w14:paraId="0615923D" w14:textId="77777777" w:rsidTr="00E10B85">
        <w:tc>
          <w:tcPr>
            <w:tcW w:w="1568" w:type="dxa"/>
          </w:tcPr>
          <w:p w14:paraId="56A96366" w14:textId="77777777" w:rsidR="00235D9D" w:rsidRPr="00D85C65" w:rsidDel="002122FF"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0650 – 0690</w:t>
            </w:r>
          </w:p>
        </w:tc>
        <w:tc>
          <w:tcPr>
            <w:tcW w:w="7436" w:type="dxa"/>
          </w:tcPr>
          <w:p w14:paraId="3B5724C2"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ROZČLENENIE PODĽA PÁSIEM RIZIKOVÝCH VÁH</w:t>
            </w:r>
          </w:p>
          <w:p w14:paraId="192A051D" w14:textId="77777777" w:rsidR="00235D9D" w:rsidRPr="00D85C65" w:rsidRDefault="00235D9D">
            <w:pPr>
              <w:spacing w:before="0" w:after="0"/>
              <w:jc w:val="left"/>
              <w:rPr>
                <w:rFonts w:ascii="Times New Roman" w:hAnsi="Times New Roman"/>
                <w:sz w:val="24"/>
              </w:rPr>
            </w:pPr>
          </w:p>
          <w:p w14:paraId="7C12ECD1" w14:textId="3B4FAC48" w:rsidR="00235D9D" w:rsidRPr="00D85C65" w:rsidRDefault="00E026FB">
            <w:pPr>
              <w:spacing w:before="0" w:after="0"/>
              <w:jc w:val="left"/>
              <w:rPr>
                <w:rFonts w:ascii="Times New Roman" w:hAnsi="Times New Roman"/>
                <w:sz w:val="24"/>
              </w:rPr>
            </w:pPr>
            <w:r w:rsidRPr="00D85C65">
              <w:rPr>
                <w:rFonts w:ascii="Times New Roman" w:hAnsi="Times New Roman"/>
                <w:sz w:val="24"/>
              </w:rPr>
              <w:t>Expozície</w:t>
            </w:r>
            <w:r w:rsidR="00D85C65">
              <w:rPr>
                <w:rFonts w:ascii="Times New Roman" w:hAnsi="Times New Roman"/>
                <w:sz w:val="24"/>
              </w:rPr>
              <w:t xml:space="preserve"> v </w:t>
            </w:r>
            <w:r w:rsidRPr="00D85C65">
              <w:rPr>
                <w:rFonts w:ascii="Times New Roman" w:hAnsi="Times New Roman"/>
                <w:sz w:val="24"/>
              </w:rPr>
              <w:t>rámci prístupu interného hodnotenia rozčlenené podľa pásiem rizikových váh.</w:t>
            </w:r>
          </w:p>
          <w:p w14:paraId="7D141278" w14:textId="77777777" w:rsidR="00235D9D" w:rsidRPr="00D85C65" w:rsidRDefault="00235D9D">
            <w:pPr>
              <w:spacing w:before="0" w:after="0"/>
              <w:jc w:val="left"/>
              <w:rPr>
                <w:rFonts w:ascii="Times New Roman" w:hAnsi="Times New Roman"/>
                <w:b/>
                <w:sz w:val="24"/>
                <w:u w:val="single"/>
              </w:rPr>
            </w:pPr>
          </w:p>
        </w:tc>
      </w:tr>
      <w:tr w:rsidR="00235D9D" w:rsidRPr="00D85C65" w14:paraId="6B79B5B6" w14:textId="77777777" w:rsidTr="00E10B85">
        <w:tc>
          <w:tcPr>
            <w:tcW w:w="1568" w:type="dxa"/>
          </w:tcPr>
          <w:p w14:paraId="0497DF64"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0700</w:t>
            </w:r>
          </w:p>
        </w:tc>
        <w:tc>
          <w:tcPr>
            <w:tcW w:w="7436" w:type="dxa"/>
          </w:tcPr>
          <w:p w14:paraId="5161BFC4" w14:textId="595A30A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INÉ (RW = 1 250</w:t>
            </w:r>
            <w:r w:rsidR="00D85C65">
              <w:rPr>
                <w:rFonts w:ascii="Times New Roman" w:hAnsi="Times New Roman"/>
                <w:b/>
                <w:sz w:val="24"/>
                <w:u w:val="single"/>
              </w:rPr>
              <w:t> %</w:t>
            </w:r>
            <w:r w:rsidRPr="00D85C65">
              <w:rPr>
                <w:rFonts w:ascii="Times New Roman" w:hAnsi="Times New Roman"/>
                <w:b/>
                <w:sz w:val="24"/>
                <w:u w:val="single"/>
              </w:rPr>
              <w:t>)</w:t>
            </w:r>
          </w:p>
          <w:p w14:paraId="2E06A423" w14:textId="77777777" w:rsidR="00235D9D" w:rsidRPr="00D85C65" w:rsidRDefault="00235D9D">
            <w:pPr>
              <w:spacing w:before="0" w:after="0"/>
              <w:jc w:val="left"/>
              <w:rPr>
                <w:rFonts w:ascii="Times New Roman" w:hAnsi="Times New Roman"/>
                <w:b/>
                <w:sz w:val="24"/>
                <w:u w:val="single"/>
              </w:rPr>
            </w:pPr>
          </w:p>
          <w:p w14:paraId="4FD395B3" w14:textId="273F5BEC" w:rsidR="00235D9D" w:rsidRPr="00D85C65" w:rsidRDefault="00D021AF">
            <w:pPr>
              <w:spacing w:before="0" w:after="0"/>
              <w:jc w:val="left"/>
              <w:rPr>
                <w:rFonts w:ascii="Times New Roman" w:hAnsi="Times New Roman"/>
                <w:sz w:val="24"/>
              </w:rPr>
            </w:pPr>
            <w:r w:rsidRPr="00D85C65">
              <w:rPr>
                <w:rFonts w:ascii="Times New Roman" w:hAnsi="Times New Roman"/>
                <w:sz w:val="24"/>
              </w:rPr>
              <w:t>Keď sa neuplatňuje žiadny</w:t>
            </w:r>
            <w:r w:rsidR="00D85C65">
              <w:rPr>
                <w:rFonts w:ascii="Times New Roman" w:hAnsi="Times New Roman"/>
                <w:sz w:val="24"/>
              </w:rPr>
              <w:t xml:space="preserve"> z </w:t>
            </w:r>
            <w:r w:rsidRPr="00D85C65">
              <w:rPr>
                <w:rFonts w:ascii="Times New Roman" w:hAnsi="Times New Roman"/>
                <w:sz w:val="24"/>
              </w:rPr>
              <w:t>predchádzajúcich prístupov, sekuritizačným pozíciám sa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254 ods. 7 CRR prideľuje riziková váha 1 250</w:t>
            </w:r>
            <w:r w:rsidR="00D85C65">
              <w:rPr>
                <w:rFonts w:ascii="Times New Roman" w:hAnsi="Times New Roman"/>
                <w:sz w:val="24"/>
              </w:rPr>
              <w:t> %</w:t>
            </w:r>
            <w:r w:rsidRPr="00D85C65">
              <w:rPr>
                <w:rFonts w:ascii="Times New Roman" w:hAnsi="Times New Roman"/>
                <w:sz w:val="24"/>
              </w:rPr>
              <w:t>.</w:t>
            </w:r>
          </w:p>
          <w:p w14:paraId="0322DCB5" w14:textId="77777777" w:rsidR="00235D9D" w:rsidRPr="00D85C65" w:rsidRDefault="00235D9D">
            <w:pPr>
              <w:spacing w:before="0" w:after="0"/>
              <w:jc w:val="left"/>
              <w:rPr>
                <w:rFonts w:ascii="Times New Roman" w:hAnsi="Times New Roman"/>
                <w:b/>
                <w:sz w:val="24"/>
                <w:u w:val="single"/>
              </w:rPr>
            </w:pPr>
          </w:p>
        </w:tc>
      </w:tr>
      <w:tr w:rsidR="00235D9D" w:rsidRPr="00D85C65" w14:paraId="575497AC" w14:textId="77777777" w:rsidTr="00E10B85">
        <w:tc>
          <w:tcPr>
            <w:tcW w:w="1568" w:type="dxa"/>
          </w:tcPr>
          <w:p w14:paraId="373CFC88"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0710 – 0860</w:t>
            </w:r>
          </w:p>
        </w:tc>
        <w:tc>
          <w:tcPr>
            <w:tcW w:w="7436" w:type="dxa"/>
          </w:tcPr>
          <w:p w14:paraId="39B0D016"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HODNOTA RIZIKOVO VÁŽENEJ EXPOZÍCIE</w:t>
            </w:r>
          </w:p>
          <w:p w14:paraId="4F2BBE4C" w14:textId="77777777" w:rsidR="00235D9D" w:rsidRPr="00D85C65" w:rsidRDefault="00235D9D">
            <w:pPr>
              <w:spacing w:before="0" w:after="0"/>
              <w:jc w:val="left"/>
              <w:rPr>
                <w:rFonts w:ascii="Times New Roman" w:hAnsi="Times New Roman"/>
                <w:sz w:val="24"/>
              </w:rPr>
            </w:pPr>
          </w:p>
          <w:p w14:paraId="570F840C" w14:textId="703D00C6" w:rsidR="00D85C65" w:rsidRDefault="00E026FB">
            <w:pPr>
              <w:spacing w:before="0" w:after="0"/>
              <w:rPr>
                <w:rFonts w:ascii="Times New Roman" w:hAnsi="Times New Roman"/>
                <w:sz w:val="24"/>
              </w:rPr>
            </w:pPr>
            <w:r w:rsidRPr="00D85C65">
              <w:rPr>
                <w:rFonts w:ascii="Times New Roman" w:hAnsi="Times New Roman"/>
                <w:sz w:val="24"/>
              </w:rPr>
              <w:lastRenderedPageBreak/>
              <w:t>Hodnota celkovej rizikovo váženej expozície vypočítaná podľa tretej časti hlavy II kapitoly 5 oddielu 3 CRR pred úpravami</w:t>
            </w:r>
            <w:r w:rsidR="00D85C65">
              <w:rPr>
                <w:rFonts w:ascii="Times New Roman" w:hAnsi="Times New Roman"/>
                <w:sz w:val="24"/>
              </w:rPr>
              <w:t xml:space="preserve"> z </w:t>
            </w:r>
            <w:r w:rsidRPr="00D85C65">
              <w:rPr>
                <w:rFonts w:ascii="Times New Roman" w:hAnsi="Times New Roman"/>
                <w:sz w:val="24"/>
              </w:rPr>
              <w:t>dôvodu nesúladu splatností alebo porušenia ustanovení</w:t>
            </w:r>
            <w:r w:rsidR="00D85C65">
              <w:rPr>
                <w:rFonts w:ascii="Times New Roman" w:hAnsi="Times New Roman"/>
                <w:sz w:val="24"/>
              </w:rPr>
              <w:t xml:space="preserve"> o </w:t>
            </w:r>
            <w:r w:rsidRPr="00D85C65">
              <w:rPr>
                <w:rFonts w:ascii="Times New Roman" w:hAnsi="Times New Roman"/>
                <w:sz w:val="24"/>
              </w:rPr>
              <w:t>náležitej starostlivosti</w:t>
            </w:r>
            <w:r w:rsidR="00D85C65">
              <w:rPr>
                <w:rFonts w:ascii="Times New Roman" w:hAnsi="Times New Roman"/>
                <w:sz w:val="24"/>
              </w:rPr>
              <w:t xml:space="preserve"> a </w:t>
            </w:r>
            <w:r w:rsidRPr="00D85C65">
              <w:rPr>
                <w:rFonts w:ascii="Times New Roman" w:hAnsi="Times New Roman"/>
                <w:sz w:val="24"/>
              </w:rPr>
              <w:t>bez hodnoty rizikovo váženej expozície, ktorá zodpovedá expozíciám preradeným prostredníctvom záporných tokov do iného vzoru</w:t>
            </w:r>
            <w:r w:rsidR="00D85C65">
              <w:rPr>
                <w:rFonts w:ascii="Times New Roman" w:hAnsi="Times New Roman"/>
                <w:sz w:val="24"/>
              </w:rPr>
              <w:t>.</w:t>
            </w:r>
          </w:p>
          <w:p w14:paraId="44644FC2" w14:textId="77677564" w:rsidR="00235D9D" w:rsidRPr="00D85C65" w:rsidRDefault="00235D9D">
            <w:pPr>
              <w:spacing w:before="0" w:after="0"/>
              <w:rPr>
                <w:rFonts w:ascii="Times New Roman" w:hAnsi="Times New Roman"/>
                <w:sz w:val="24"/>
              </w:rPr>
            </w:pPr>
          </w:p>
        </w:tc>
      </w:tr>
      <w:tr w:rsidR="00235D9D" w:rsidRPr="00D85C65" w14:paraId="3B5BB759" w14:textId="77777777" w:rsidTr="00E10B85">
        <w:tc>
          <w:tcPr>
            <w:tcW w:w="1568" w:type="dxa"/>
          </w:tcPr>
          <w:p w14:paraId="634B8549"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0840</w:t>
            </w:r>
          </w:p>
        </w:tc>
        <w:tc>
          <w:tcPr>
            <w:tcW w:w="7436" w:type="dxa"/>
          </w:tcPr>
          <w:p w14:paraId="63453F9F"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PRÍSTUP INTERNÉHO HODNOTENIA: PRIEMERNÁ RIZIKOVÁ VÁHA (%)</w:t>
            </w:r>
          </w:p>
          <w:p w14:paraId="72A6AB7F" w14:textId="77777777" w:rsidR="00235D9D" w:rsidRPr="00D85C65" w:rsidRDefault="00235D9D">
            <w:pPr>
              <w:spacing w:before="0" w:after="0"/>
              <w:rPr>
                <w:rFonts w:ascii="Times New Roman" w:hAnsi="Times New Roman"/>
                <w:sz w:val="24"/>
              </w:rPr>
            </w:pPr>
          </w:p>
          <w:p w14:paraId="7F0E2730" w14:textId="77777777" w:rsidR="00235D9D" w:rsidRPr="00D85C65" w:rsidRDefault="00E026FB">
            <w:pPr>
              <w:spacing w:before="0" w:after="0"/>
              <w:jc w:val="left"/>
              <w:rPr>
                <w:rFonts w:ascii="Times New Roman" w:hAnsi="Times New Roman"/>
                <w:sz w:val="24"/>
              </w:rPr>
            </w:pPr>
            <w:r w:rsidRPr="00D85C65">
              <w:rPr>
                <w:rFonts w:ascii="Times New Roman" w:hAnsi="Times New Roman"/>
                <w:sz w:val="24"/>
              </w:rPr>
              <w:t>V tomto stĺpci sa vykazujú expozíciami vážené priemerné rizikové váhy sekuritizačných pozícií.</w:t>
            </w:r>
          </w:p>
          <w:p w14:paraId="5D02469C" w14:textId="77777777" w:rsidR="00235D9D" w:rsidRPr="00D85C65" w:rsidRDefault="00235D9D">
            <w:pPr>
              <w:spacing w:before="0" w:after="0"/>
              <w:jc w:val="left"/>
              <w:rPr>
                <w:rFonts w:ascii="Times New Roman" w:hAnsi="Times New Roman"/>
                <w:sz w:val="24"/>
              </w:rPr>
            </w:pPr>
          </w:p>
        </w:tc>
      </w:tr>
      <w:tr w:rsidR="00235D9D" w:rsidRPr="00D85C65" w14:paraId="12CC8BA0" w14:textId="77777777" w:rsidTr="00E10B85">
        <w:tc>
          <w:tcPr>
            <w:tcW w:w="1568" w:type="dxa"/>
          </w:tcPr>
          <w:p w14:paraId="4895A1A8"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sz w:val="24"/>
              </w:rPr>
              <w:t>0860</w:t>
            </w:r>
          </w:p>
        </w:tc>
        <w:tc>
          <w:tcPr>
            <w:tcW w:w="7436" w:type="dxa"/>
          </w:tcPr>
          <w:p w14:paraId="2F677915" w14:textId="6A803E8E"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HODNOTA RIZIKOVO VÁŽENEJ EXPOZÍCIE,</w:t>
            </w:r>
            <w:r w:rsidR="00D85C65">
              <w:rPr>
                <w:rFonts w:ascii="Times New Roman" w:hAnsi="Times New Roman"/>
                <w:b/>
                <w:sz w:val="24"/>
                <w:u w:val="single"/>
              </w:rPr>
              <w:t xml:space="preserve"> Z </w:t>
            </w:r>
            <w:r w:rsidRPr="00D85C65">
              <w:rPr>
                <w:rFonts w:ascii="Times New Roman" w:hAnsi="Times New Roman"/>
                <w:b/>
                <w:sz w:val="24"/>
                <w:u w:val="single"/>
              </w:rPr>
              <w:t>ČOHO: SYNTETICKÉ SEKURITIZÁCIE</w:t>
            </w:r>
          </w:p>
          <w:p w14:paraId="2F9CE64F" w14:textId="77777777" w:rsidR="00235D9D" w:rsidRPr="00D85C65" w:rsidRDefault="00235D9D">
            <w:pPr>
              <w:spacing w:before="0" w:after="0"/>
              <w:jc w:val="left"/>
              <w:rPr>
                <w:rFonts w:ascii="Times New Roman" w:hAnsi="Times New Roman"/>
                <w:sz w:val="24"/>
              </w:rPr>
            </w:pPr>
          </w:p>
          <w:p w14:paraId="313C29B6" w14:textId="71422081" w:rsidR="00235D9D" w:rsidRPr="00D85C65" w:rsidRDefault="00E026FB">
            <w:pPr>
              <w:spacing w:before="0" w:after="0"/>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syntetické sekuritizácie</w:t>
            </w:r>
            <w:r w:rsidR="00D85C65">
              <w:rPr>
                <w:rFonts w:ascii="Times New Roman" w:hAnsi="Times New Roman"/>
                <w:sz w:val="24"/>
              </w:rPr>
              <w:t xml:space="preserve"> s </w:t>
            </w:r>
            <w:r w:rsidRPr="00D85C65">
              <w:rPr>
                <w:rFonts w:ascii="Times New Roman" w:hAnsi="Times New Roman"/>
                <w:sz w:val="24"/>
              </w:rPr>
              <w:t>nesúladom splatností,</w:t>
            </w:r>
            <w:r w:rsidR="00D85C65">
              <w:rPr>
                <w:rFonts w:ascii="Times New Roman" w:hAnsi="Times New Roman"/>
                <w:sz w:val="24"/>
              </w:rPr>
              <w:t xml:space="preserve"> v </w:t>
            </w:r>
            <w:r w:rsidRPr="00D85C65">
              <w:rPr>
                <w:rFonts w:ascii="Times New Roman" w:hAnsi="Times New Roman"/>
                <w:sz w:val="24"/>
              </w:rPr>
              <w:t>hodnote vykazovanej</w:t>
            </w:r>
            <w:r w:rsidR="00D85C65">
              <w:rPr>
                <w:rFonts w:ascii="Times New Roman" w:hAnsi="Times New Roman"/>
                <w:sz w:val="24"/>
              </w:rPr>
              <w:t xml:space="preserve"> v </w:t>
            </w:r>
            <w:r w:rsidRPr="00D85C65">
              <w:rPr>
                <w:rFonts w:ascii="Times New Roman" w:hAnsi="Times New Roman"/>
                <w:sz w:val="24"/>
              </w:rPr>
              <w:t>tomto stĺpci sa nezohľadňuje nesúlad splatností.</w:t>
            </w:r>
          </w:p>
          <w:p w14:paraId="6C18E9C1" w14:textId="77777777" w:rsidR="00235D9D" w:rsidRPr="00D85C65" w:rsidRDefault="00235D9D">
            <w:pPr>
              <w:spacing w:before="0" w:after="0"/>
              <w:jc w:val="left"/>
              <w:rPr>
                <w:rFonts w:ascii="Times New Roman" w:hAnsi="Times New Roman"/>
                <w:sz w:val="24"/>
              </w:rPr>
            </w:pPr>
          </w:p>
        </w:tc>
      </w:tr>
      <w:tr w:rsidR="00235D9D" w:rsidRPr="00D85C65" w14:paraId="01314054" w14:textId="77777777" w:rsidTr="00E10B85">
        <w:tc>
          <w:tcPr>
            <w:tcW w:w="1568" w:type="dxa"/>
          </w:tcPr>
          <w:p w14:paraId="4C152C00"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0870</w:t>
            </w:r>
          </w:p>
        </w:tc>
        <w:tc>
          <w:tcPr>
            <w:tcW w:w="7436" w:type="dxa"/>
          </w:tcPr>
          <w:p w14:paraId="6345E2A6" w14:textId="174A01FA"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ÚPRAVA HODNOTY RIZIKOVO VÁŽENEJ EXPOZÍCIE</w:t>
            </w:r>
            <w:r w:rsidR="00D85C65">
              <w:rPr>
                <w:rFonts w:ascii="Times New Roman" w:hAnsi="Times New Roman"/>
                <w:b/>
                <w:sz w:val="24"/>
                <w:u w:val="single"/>
              </w:rPr>
              <w:t xml:space="preserve"> Z </w:t>
            </w:r>
            <w:r w:rsidRPr="00D85C65">
              <w:rPr>
                <w:rFonts w:ascii="Times New Roman" w:hAnsi="Times New Roman"/>
                <w:b/>
                <w:sz w:val="24"/>
                <w:u w:val="single"/>
              </w:rPr>
              <w:t>DÔVODU NESÚLADU SPLATNOSTÍ</w:t>
            </w:r>
          </w:p>
          <w:p w14:paraId="0B14F4AB" w14:textId="77777777" w:rsidR="00235D9D" w:rsidRPr="00D85C65" w:rsidRDefault="00235D9D">
            <w:pPr>
              <w:spacing w:before="0" w:after="0"/>
              <w:jc w:val="left"/>
              <w:rPr>
                <w:rFonts w:ascii="Times New Roman" w:hAnsi="Times New Roman"/>
                <w:b/>
                <w:sz w:val="24"/>
                <w:u w:val="single"/>
              </w:rPr>
            </w:pPr>
          </w:p>
          <w:p w14:paraId="3DFAE8FC" w14:textId="1D6E21B8" w:rsidR="00235D9D" w:rsidRPr="00D85C65" w:rsidRDefault="008F2C6B">
            <w:pPr>
              <w:spacing w:before="0" w:after="0"/>
              <w:rPr>
                <w:rFonts w:ascii="Times New Roman" w:hAnsi="Times New Roman"/>
                <w:sz w:val="24"/>
              </w:rPr>
            </w:pPr>
            <w:r w:rsidRPr="00D85C65">
              <w:rPr>
                <w:rFonts w:ascii="Times New Roman" w:hAnsi="Times New Roman"/>
                <w:sz w:val="24"/>
              </w:rPr>
              <w:t>Zahrnú sa nesúlady splatností</w:t>
            </w:r>
            <w:r w:rsidR="00D85C65">
              <w:rPr>
                <w:rFonts w:ascii="Times New Roman" w:hAnsi="Times New Roman"/>
                <w:sz w:val="24"/>
              </w:rPr>
              <w:t xml:space="preserve"> v </w:t>
            </w:r>
            <w:r w:rsidRPr="00D85C65">
              <w:rPr>
                <w:rFonts w:ascii="Times New Roman" w:hAnsi="Times New Roman"/>
                <w:sz w:val="24"/>
              </w:rPr>
              <w:t>syntetických sekuritizáciách RW* – RW(SP)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252 CRR, okrem prípadu, keď tranže, ktoré sú zaťažené rizikovou váhou vo výške 1 250</w:t>
            </w:r>
            <w:r w:rsidR="00D85C65">
              <w:rPr>
                <w:rFonts w:ascii="Times New Roman" w:hAnsi="Times New Roman"/>
                <w:sz w:val="24"/>
              </w:rPr>
              <w:t> %</w:t>
            </w:r>
            <w:r w:rsidRPr="00D85C65">
              <w:rPr>
                <w:rFonts w:ascii="Times New Roman" w:hAnsi="Times New Roman"/>
                <w:sz w:val="24"/>
              </w:rPr>
              <w:t>, keď sa vykazovaná hodnota rovná nule. RW(SP) zahŕňa nielen hodnoty rizikovo vážených expozícií vykázané</w:t>
            </w:r>
            <w:r w:rsidR="00D85C65">
              <w:rPr>
                <w:rFonts w:ascii="Times New Roman" w:hAnsi="Times New Roman"/>
                <w:sz w:val="24"/>
              </w:rPr>
              <w:t xml:space="preserve"> v </w:t>
            </w:r>
            <w:r w:rsidRPr="00D85C65">
              <w:rPr>
                <w:rFonts w:ascii="Times New Roman" w:hAnsi="Times New Roman"/>
                <w:sz w:val="24"/>
              </w:rPr>
              <w:t>stĺpci 0650, ale aj hodnoty rizikovo vážených expozícií, ktoré zodpovedajú expozíciám preradeným prostredníctvom záporných tokov do iných vzorov.</w:t>
            </w:r>
          </w:p>
          <w:p w14:paraId="5DC8F379" w14:textId="77777777" w:rsidR="00235D9D" w:rsidRPr="00D85C65" w:rsidRDefault="00235D9D">
            <w:pPr>
              <w:spacing w:before="0" w:after="0"/>
              <w:rPr>
                <w:rFonts w:ascii="Times New Roman" w:hAnsi="Times New Roman"/>
                <w:sz w:val="24"/>
              </w:rPr>
            </w:pPr>
          </w:p>
        </w:tc>
      </w:tr>
      <w:tr w:rsidR="00235D9D" w:rsidRPr="00D85C65" w14:paraId="2ED3783F" w14:textId="77777777" w:rsidTr="00E10B85">
        <w:tc>
          <w:tcPr>
            <w:tcW w:w="1568" w:type="dxa"/>
          </w:tcPr>
          <w:p w14:paraId="597D820C" w14:textId="77777777" w:rsidR="00235D9D" w:rsidRPr="00D85C65" w:rsidDel="002122FF"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0880</w:t>
            </w:r>
          </w:p>
        </w:tc>
        <w:tc>
          <w:tcPr>
            <w:tcW w:w="7436" w:type="dxa"/>
          </w:tcPr>
          <w:p w14:paraId="3EF2F4A8" w14:textId="743A313F"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CELKOVÝ ÚČINOK (ÚPRAVA)</w:t>
            </w:r>
            <w:r w:rsidR="00D85C65">
              <w:rPr>
                <w:rFonts w:ascii="Times New Roman" w:hAnsi="Times New Roman"/>
                <w:b/>
                <w:sz w:val="24"/>
                <w:u w:val="single"/>
              </w:rPr>
              <w:t xml:space="preserve"> V </w:t>
            </w:r>
            <w:r w:rsidRPr="00D85C65">
              <w:rPr>
                <w:rFonts w:ascii="Times New Roman" w:hAnsi="Times New Roman"/>
                <w:b/>
                <w:sz w:val="24"/>
                <w:u w:val="single"/>
              </w:rPr>
              <w:t>DÔSLEDKU PORUŠENIA KAPITOLY 2 NARIADENIA (EÚ) 2017/2402</w:t>
            </w:r>
            <w:r w:rsidRPr="00D85C65">
              <w:rPr>
                <w:rStyle w:val="FootnoteReference"/>
                <w:rFonts w:ascii="Times New Roman" w:hAnsi="Times New Roman"/>
                <w:sz w:val="24"/>
                <w:szCs w:val="24"/>
                <w:vertAlign w:val="superscript"/>
              </w:rPr>
              <w:footnoteReference w:id="12"/>
            </w:r>
          </w:p>
          <w:p w14:paraId="09A09E5C" w14:textId="77777777" w:rsidR="00235D9D" w:rsidRPr="00D85C65" w:rsidRDefault="00235D9D">
            <w:pPr>
              <w:spacing w:before="0" w:after="0"/>
              <w:jc w:val="left"/>
              <w:rPr>
                <w:rFonts w:ascii="Times New Roman" w:hAnsi="Times New Roman"/>
                <w:sz w:val="24"/>
              </w:rPr>
            </w:pPr>
          </w:p>
          <w:p w14:paraId="6B1740E2" w14:textId="5E8F6871" w:rsidR="00D85C65" w:rsidRDefault="00BB22D4">
            <w:pPr>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270a CRR vždy, keď inštitúcia nespĺňa určité požiadavky, príslušné orgány uložia primeranú dodatočnú rizikovú váhu vo výške minimálne 250</w:t>
            </w:r>
            <w:r w:rsidR="00D85C65">
              <w:rPr>
                <w:rFonts w:ascii="Times New Roman" w:hAnsi="Times New Roman"/>
                <w:sz w:val="24"/>
              </w:rPr>
              <w:t> %</w:t>
            </w:r>
            <w:r w:rsidRPr="00D85C65">
              <w:rPr>
                <w:rFonts w:ascii="Times New Roman" w:hAnsi="Times New Roman"/>
                <w:sz w:val="24"/>
              </w:rPr>
              <w:t xml:space="preserve"> rizikovej váhy (s horným ohraničením vo výške 1 250</w:t>
            </w:r>
            <w:r w:rsidR="00D85C65">
              <w:rPr>
                <w:rFonts w:ascii="Times New Roman" w:hAnsi="Times New Roman"/>
                <w:sz w:val="24"/>
              </w:rPr>
              <w:t> %</w:t>
            </w:r>
            <w:r w:rsidRPr="00D85C65">
              <w:rPr>
                <w:rFonts w:ascii="Times New Roman" w:hAnsi="Times New Roman"/>
                <w:sz w:val="24"/>
              </w:rPr>
              <w:t>), ktorá by sa uplatňovala na príslušné sekuritizačné pozície podľa tretej časti hlavy II kapitoly 5 oddielu 3 CRR</w:t>
            </w:r>
            <w:r w:rsidR="00D85C65">
              <w:rPr>
                <w:rFonts w:ascii="Times New Roman" w:hAnsi="Times New Roman"/>
                <w:sz w:val="24"/>
              </w:rPr>
              <w:t>.</w:t>
            </w:r>
          </w:p>
          <w:p w14:paraId="6A934538" w14:textId="0949B0FB" w:rsidR="00235D9D" w:rsidRPr="00D85C65" w:rsidRDefault="00235D9D">
            <w:pPr>
              <w:spacing w:before="0" w:after="0"/>
              <w:jc w:val="left"/>
              <w:rPr>
                <w:rFonts w:ascii="Times New Roman" w:hAnsi="Times New Roman"/>
                <w:b/>
                <w:sz w:val="24"/>
                <w:u w:val="single"/>
              </w:rPr>
            </w:pPr>
          </w:p>
        </w:tc>
      </w:tr>
      <w:tr w:rsidR="00235D9D" w:rsidRPr="00D85C65" w14:paraId="3D1344FD" w14:textId="77777777" w:rsidTr="00E10B85">
        <w:tc>
          <w:tcPr>
            <w:tcW w:w="1568" w:type="dxa"/>
          </w:tcPr>
          <w:p w14:paraId="01B8C8E1"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0890</w:t>
            </w:r>
          </w:p>
        </w:tc>
        <w:tc>
          <w:tcPr>
            <w:tcW w:w="7436" w:type="dxa"/>
          </w:tcPr>
          <w:p w14:paraId="28FF17DC"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PRED UPLATNENÍM HORNÉHO OHRANIČENIA</w:t>
            </w:r>
          </w:p>
          <w:p w14:paraId="5D432EA3" w14:textId="77777777" w:rsidR="00235D9D" w:rsidRPr="00D85C65" w:rsidRDefault="00235D9D">
            <w:pPr>
              <w:spacing w:before="0" w:after="0"/>
              <w:jc w:val="left"/>
              <w:rPr>
                <w:rFonts w:ascii="Times New Roman" w:hAnsi="Times New Roman"/>
                <w:b/>
                <w:sz w:val="24"/>
                <w:u w:val="single"/>
              </w:rPr>
            </w:pPr>
          </w:p>
          <w:p w14:paraId="6BBD544F" w14:textId="77728C82" w:rsidR="00D85C65" w:rsidRDefault="00E026FB">
            <w:pPr>
              <w:spacing w:before="0" w:after="0"/>
              <w:jc w:val="left"/>
              <w:rPr>
                <w:rFonts w:ascii="Times New Roman" w:hAnsi="Times New Roman"/>
                <w:sz w:val="24"/>
              </w:rPr>
            </w:pPr>
            <w:r w:rsidRPr="00D85C65">
              <w:rPr>
                <w:rFonts w:ascii="Times New Roman" w:hAnsi="Times New Roman"/>
                <w:sz w:val="24"/>
              </w:rPr>
              <w:t>Celková hodnota rizikovo váženej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5 oddielom 3 CRR, pred uplatnením limitov uvedených</w:t>
            </w:r>
            <w:r w:rsidR="00D85C65">
              <w:rPr>
                <w:rFonts w:ascii="Times New Roman" w:hAnsi="Times New Roman"/>
                <w:sz w:val="24"/>
              </w:rPr>
              <w:t xml:space="preserve"> v </w:t>
            </w:r>
            <w:r w:rsidRPr="00D85C65">
              <w:rPr>
                <w:rFonts w:ascii="Times New Roman" w:hAnsi="Times New Roman"/>
                <w:sz w:val="24"/>
              </w:rPr>
              <w:t>článkoch 267</w:t>
            </w:r>
            <w:r w:rsidR="00D85C65">
              <w:rPr>
                <w:rFonts w:ascii="Times New Roman" w:hAnsi="Times New Roman"/>
                <w:sz w:val="24"/>
              </w:rPr>
              <w:t xml:space="preserve"> a </w:t>
            </w:r>
            <w:r w:rsidRPr="00D85C65">
              <w:rPr>
                <w:rFonts w:ascii="Times New Roman" w:hAnsi="Times New Roman"/>
                <w:sz w:val="24"/>
              </w:rPr>
              <w:t>268 CRR</w:t>
            </w:r>
            <w:r w:rsidR="00D85C65">
              <w:rPr>
                <w:rFonts w:ascii="Times New Roman" w:hAnsi="Times New Roman"/>
                <w:sz w:val="24"/>
              </w:rPr>
              <w:t>.</w:t>
            </w:r>
          </w:p>
          <w:p w14:paraId="246E788B" w14:textId="762104AD" w:rsidR="00235D9D" w:rsidRPr="00D85C65" w:rsidRDefault="00235D9D">
            <w:pPr>
              <w:spacing w:before="0" w:after="0"/>
              <w:jc w:val="left"/>
              <w:rPr>
                <w:rFonts w:ascii="Times New Roman" w:hAnsi="Times New Roman"/>
                <w:b/>
                <w:sz w:val="24"/>
                <w:u w:val="single"/>
              </w:rPr>
            </w:pPr>
          </w:p>
        </w:tc>
      </w:tr>
      <w:tr w:rsidR="00235D9D" w:rsidRPr="00D85C65" w14:paraId="13A017A6" w14:textId="77777777" w:rsidTr="00E10B85">
        <w:tc>
          <w:tcPr>
            <w:tcW w:w="1568" w:type="dxa"/>
          </w:tcPr>
          <w:p w14:paraId="274A653E"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0900</w:t>
            </w:r>
          </w:p>
        </w:tc>
        <w:tc>
          <w:tcPr>
            <w:tcW w:w="7436" w:type="dxa"/>
          </w:tcPr>
          <w:p w14:paraId="6C1AD25D" w14:textId="09BEB970"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ZNÍŽENIE</w:t>
            </w:r>
            <w:r w:rsidR="00D85C65">
              <w:rPr>
                <w:rFonts w:ascii="Times New Roman" w:hAnsi="Times New Roman"/>
                <w:b/>
                <w:sz w:val="24"/>
                <w:u w:val="single"/>
              </w:rPr>
              <w:t xml:space="preserve"> V </w:t>
            </w:r>
            <w:r w:rsidRPr="00D85C65">
              <w:rPr>
                <w:rFonts w:ascii="Times New Roman" w:hAnsi="Times New Roman"/>
                <w:b/>
                <w:sz w:val="24"/>
                <w:u w:val="single"/>
              </w:rPr>
              <w:t>DÔSLEDKU HORNÉHO OHRANIČENIA RIZIKOVEJ VÁHY</w:t>
            </w:r>
          </w:p>
          <w:p w14:paraId="5C0527A1" w14:textId="77777777" w:rsidR="00235D9D" w:rsidRPr="00D85C65" w:rsidRDefault="00235D9D">
            <w:pPr>
              <w:spacing w:before="0" w:after="0"/>
              <w:jc w:val="left"/>
              <w:rPr>
                <w:rFonts w:ascii="Times New Roman" w:hAnsi="Times New Roman"/>
                <w:b/>
                <w:sz w:val="24"/>
                <w:u w:val="single"/>
              </w:rPr>
            </w:pPr>
          </w:p>
          <w:p w14:paraId="4CCE306B" w14:textId="5B438893" w:rsidR="00235D9D" w:rsidRPr="00D85C65" w:rsidRDefault="00BB22D4">
            <w:pPr>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267 CRR môže inštitúcia, ktorá neustále pozná zloženie podkladových expozícií, nadriadenej sekuritizačnej pozícii priradiť maximálnu rizikovú váhu rovnajúcu sa expozíciou váženej priemernej rizikovej váhe, ktorá by sa uplatnila na podkladové expozície, ak by podkladové expozície neboli sekuritizované.</w:t>
            </w:r>
          </w:p>
          <w:p w14:paraId="1D24460D" w14:textId="77777777" w:rsidR="00235D9D" w:rsidRPr="00D85C65" w:rsidRDefault="00235D9D">
            <w:pPr>
              <w:spacing w:before="0" w:after="0"/>
              <w:jc w:val="left"/>
              <w:rPr>
                <w:rFonts w:ascii="Times New Roman" w:hAnsi="Times New Roman"/>
                <w:b/>
                <w:sz w:val="24"/>
                <w:u w:val="single"/>
              </w:rPr>
            </w:pPr>
          </w:p>
        </w:tc>
      </w:tr>
      <w:tr w:rsidR="00235D9D" w:rsidRPr="00D85C65" w14:paraId="6A644888" w14:textId="77777777" w:rsidTr="00E10B85">
        <w:tc>
          <w:tcPr>
            <w:tcW w:w="1568" w:type="dxa"/>
          </w:tcPr>
          <w:p w14:paraId="7FB7F43F"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0910</w:t>
            </w:r>
          </w:p>
        </w:tc>
        <w:tc>
          <w:tcPr>
            <w:tcW w:w="7436" w:type="dxa"/>
          </w:tcPr>
          <w:p w14:paraId="4F2216E3" w14:textId="54540999"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 ZNÍŽENIE</w:t>
            </w:r>
            <w:r w:rsidR="00D85C65">
              <w:rPr>
                <w:rFonts w:ascii="Times New Roman" w:hAnsi="Times New Roman"/>
                <w:b/>
                <w:sz w:val="24"/>
                <w:u w:val="single"/>
              </w:rPr>
              <w:t xml:space="preserve"> V </w:t>
            </w:r>
            <w:r w:rsidRPr="00D85C65">
              <w:rPr>
                <w:rFonts w:ascii="Times New Roman" w:hAnsi="Times New Roman"/>
                <w:b/>
                <w:sz w:val="24"/>
                <w:u w:val="single"/>
              </w:rPr>
              <w:t>DÔSLEDKU CELKOVÉHO HORNÉHO OHRANIČENIA</w:t>
            </w:r>
          </w:p>
          <w:p w14:paraId="69D4E1FF" w14:textId="77777777" w:rsidR="00235D9D" w:rsidRPr="00D85C65" w:rsidRDefault="00235D9D">
            <w:pPr>
              <w:spacing w:before="0" w:after="0"/>
              <w:jc w:val="left"/>
              <w:rPr>
                <w:rFonts w:ascii="Times New Roman" w:hAnsi="Times New Roman"/>
                <w:b/>
                <w:sz w:val="24"/>
                <w:u w:val="single"/>
              </w:rPr>
            </w:pPr>
          </w:p>
          <w:p w14:paraId="26EEE42E" w14:textId="0E8ECFFE" w:rsidR="00235D9D" w:rsidRPr="00D85C65" w:rsidRDefault="00BB22D4">
            <w:pPr>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268 CRR môže inštitúcia, ktorá je originátorom alebo sponzorom, alebo iná inštitúcia používajúca SEC-IRBA alebo inštitúcia, ktorá je originátorom alebo sponzorom používajúca SEC-SA alebo SEC-ERBA, uplatniť maximálnu kapitálovú požiadavku</w:t>
            </w:r>
            <w:r w:rsidR="00D85C65">
              <w:rPr>
                <w:rFonts w:ascii="Times New Roman" w:hAnsi="Times New Roman"/>
                <w:sz w:val="24"/>
              </w:rPr>
              <w:t xml:space="preserve"> v </w:t>
            </w:r>
            <w:r w:rsidRPr="00D85C65">
              <w:rPr>
                <w:rFonts w:ascii="Times New Roman" w:hAnsi="Times New Roman"/>
                <w:sz w:val="24"/>
              </w:rPr>
              <w:t>súvislosti so sekuritizačnou pozíciou, ktorú drží, rovnajúcu sa kapitálovým požiadavkám, ktoré by sa vypočítali podľa tretej časti hlavy II kapitoly 2 alebo 3, pokiaľ ide</w:t>
            </w:r>
            <w:r w:rsidR="00D85C65">
              <w:rPr>
                <w:rFonts w:ascii="Times New Roman" w:hAnsi="Times New Roman"/>
                <w:sz w:val="24"/>
              </w:rPr>
              <w:t xml:space="preserve"> o </w:t>
            </w:r>
            <w:r w:rsidRPr="00D85C65">
              <w:rPr>
                <w:rFonts w:ascii="Times New Roman" w:hAnsi="Times New Roman"/>
                <w:sz w:val="24"/>
              </w:rPr>
              <w:t>podkladové expozície, ak by neboli sekuritizované.</w:t>
            </w:r>
          </w:p>
          <w:p w14:paraId="35B48BCF" w14:textId="77777777" w:rsidR="00235D9D" w:rsidRPr="00D85C65" w:rsidRDefault="00235D9D">
            <w:pPr>
              <w:spacing w:before="0" w:after="0"/>
              <w:jc w:val="left"/>
              <w:rPr>
                <w:rFonts w:ascii="Times New Roman" w:hAnsi="Times New Roman"/>
                <w:b/>
                <w:sz w:val="24"/>
                <w:u w:val="single"/>
              </w:rPr>
            </w:pPr>
          </w:p>
        </w:tc>
      </w:tr>
      <w:tr w:rsidR="00235D9D" w:rsidRPr="00D85C65" w14:paraId="72F6EAE4" w14:textId="77777777" w:rsidTr="00E10B85">
        <w:tc>
          <w:tcPr>
            <w:tcW w:w="1568" w:type="dxa"/>
          </w:tcPr>
          <w:p w14:paraId="243F7C6C" w14:textId="777777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0920</w:t>
            </w:r>
          </w:p>
        </w:tc>
        <w:tc>
          <w:tcPr>
            <w:tcW w:w="7436" w:type="dxa"/>
          </w:tcPr>
          <w:p w14:paraId="32950E1B"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CELKOVÁ HODNOTA RIZIKOVO VÁŽENEJ EXPOZÍCIE</w:t>
            </w:r>
          </w:p>
          <w:p w14:paraId="1B4AF79B" w14:textId="77777777" w:rsidR="00235D9D" w:rsidRPr="00D85C65" w:rsidRDefault="00235D9D">
            <w:pPr>
              <w:spacing w:before="0" w:after="0"/>
              <w:jc w:val="left"/>
              <w:rPr>
                <w:rFonts w:ascii="Times New Roman" w:hAnsi="Times New Roman"/>
                <w:b/>
                <w:sz w:val="24"/>
                <w:u w:val="single"/>
              </w:rPr>
            </w:pPr>
          </w:p>
          <w:p w14:paraId="2609A7F6" w14:textId="52CADD92" w:rsidR="00235D9D" w:rsidRPr="00D85C65" w:rsidRDefault="00E026FB">
            <w:pPr>
              <w:spacing w:before="0" w:after="0"/>
              <w:jc w:val="left"/>
              <w:rPr>
                <w:rFonts w:ascii="Times New Roman" w:hAnsi="Times New Roman"/>
                <w:b/>
                <w:sz w:val="24"/>
                <w:u w:val="single"/>
              </w:rPr>
            </w:pPr>
            <w:r w:rsidRPr="00D85C65">
              <w:rPr>
                <w:rFonts w:ascii="Times New Roman" w:hAnsi="Times New Roman"/>
                <w:sz w:val="24"/>
              </w:rPr>
              <w:t>Celková hodnota rizikovo váženej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5 oddielom 3 CRR pri zvážení celkovej rizikovej váhy podľa článku 247 ods. 6 CRR.</w:t>
            </w:r>
          </w:p>
          <w:p w14:paraId="5B7D5A1D" w14:textId="77777777" w:rsidR="00235D9D" w:rsidRPr="00D85C65" w:rsidRDefault="00235D9D">
            <w:pPr>
              <w:spacing w:before="0" w:after="0"/>
              <w:jc w:val="left"/>
              <w:rPr>
                <w:rFonts w:ascii="Times New Roman" w:hAnsi="Times New Roman"/>
                <w:b/>
                <w:sz w:val="24"/>
                <w:u w:val="single"/>
              </w:rPr>
            </w:pPr>
          </w:p>
        </w:tc>
      </w:tr>
      <w:tr w:rsidR="00235D9D" w:rsidRPr="00D85C65" w14:paraId="000B7A6E" w14:textId="77777777" w:rsidTr="00E10B85">
        <w:tc>
          <w:tcPr>
            <w:tcW w:w="1568" w:type="dxa"/>
          </w:tcPr>
          <w:p w14:paraId="059E1D4D"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0930</w:t>
            </w:r>
          </w:p>
        </w:tc>
        <w:tc>
          <w:tcPr>
            <w:tcW w:w="7436" w:type="dxa"/>
          </w:tcPr>
          <w:p w14:paraId="1DD6B8D0" w14:textId="77777777" w:rsidR="00235D9D" w:rsidRPr="00D85C65" w:rsidRDefault="00E026FB">
            <w:pPr>
              <w:spacing w:before="0" w:after="0"/>
              <w:jc w:val="left"/>
              <w:rPr>
                <w:rFonts w:ascii="Times New Roman" w:hAnsi="Times New Roman"/>
                <w:b/>
                <w:sz w:val="24"/>
                <w:u w:val="single"/>
              </w:rPr>
            </w:pPr>
            <w:r w:rsidRPr="00D85C65">
              <w:rPr>
                <w:rFonts w:ascii="Times New Roman" w:hAnsi="Times New Roman"/>
                <w:b/>
                <w:sz w:val="24"/>
                <w:u w:val="single"/>
              </w:rPr>
              <w:t>DOPLŇUJÚCA POLOŽKA: HODNOTA RIZIKOVO VÁŽENEJ EXPOZÍCIE ZODPOVEDAJÚCA ZÁPORNÝM TOKOM ZO SEKURITIZÁCIÍ DO INÝCH TRIED EXPOZÍCIÍ</w:t>
            </w:r>
          </w:p>
          <w:p w14:paraId="517CD2FC" w14:textId="77777777" w:rsidR="00235D9D" w:rsidRPr="00D85C65" w:rsidRDefault="00235D9D">
            <w:pPr>
              <w:spacing w:before="0" w:after="0"/>
              <w:jc w:val="left"/>
              <w:rPr>
                <w:rFonts w:ascii="Times New Roman" w:hAnsi="Times New Roman"/>
                <w:sz w:val="24"/>
              </w:rPr>
            </w:pPr>
          </w:p>
          <w:p w14:paraId="3CB6FC11" w14:textId="1444820F" w:rsidR="00235D9D" w:rsidRPr="00D85C65" w:rsidRDefault="00E026FB">
            <w:pPr>
              <w:spacing w:before="0" w:after="0"/>
              <w:rPr>
                <w:rFonts w:ascii="Times New Roman" w:hAnsi="Times New Roman"/>
                <w:sz w:val="24"/>
              </w:rPr>
            </w:pPr>
            <w:r w:rsidRPr="00D85C65">
              <w:rPr>
                <w:rFonts w:ascii="Times New Roman" w:hAnsi="Times New Roman"/>
                <w:sz w:val="24"/>
              </w:rPr>
              <w:t>Hodnota rizikovo váženej expozície pochádzajúcej</w:t>
            </w:r>
            <w:r w:rsidR="00D85C65">
              <w:rPr>
                <w:rFonts w:ascii="Times New Roman" w:hAnsi="Times New Roman"/>
                <w:sz w:val="24"/>
              </w:rPr>
              <w:t xml:space="preserve"> z </w:t>
            </w:r>
            <w:r w:rsidRPr="00D85C65">
              <w:rPr>
                <w:rFonts w:ascii="Times New Roman" w:hAnsi="Times New Roman"/>
                <w:sz w:val="24"/>
              </w:rPr>
              <w:t>expozícií preradených poskytovateľovi nástrojov na zmiernenie rizika, ktoré sa preto vypočítavajú</w:t>
            </w:r>
            <w:r w:rsidR="00D85C65">
              <w:rPr>
                <w:rFonts w:ascii="Times New Roman" w:hAnsi="Times New Roman"/>
                <w:sz w:val="24"/>
              </w:rPr>
              <w:t xml:space="preserve"> v </w:t>
            </w:r>
            <w:r w:rsidRPr="00D85C65">
              <w:rPr>
                <w:rFonts w:ascii="Times New Roman" w:hAnsi="Times New Roman"/>
                <w:sz w:val="24"/>
              </w:rPr>
              <w:t>príslušnom vzore</w:t>
            </w:r>
            <w:r w:rsidR="00D85C65">
              <w:rPr>
                <w:rFonts w:ascii="Times New Roman" w:hAnsi="Times New Roman"/>
                <w:sz w:val="24"/>
              </w:rPr>
              <w:t xml:space="preserve"> a </w:t>
            </w:r>
            <w:r w:rsidRPr="00D85C65">
              <w:rPr>
                <w:rFonts w:ascii="Times New Roman" w:hAnsi="Times New Roman"/>
                <w:sz w:val="24"/>
              </w:rPr>
              <w:t>ktoré sa zohľadňujú pri výpočte horného ohraničenia pre sekuritizačné pozície.</w:t>
            </w:r>
          </w:p>
          <w:p w14:paraId="52F0EEF1" w14:textId="77777777" w:rsidR="00235D9D" w:rsidRPr="00D85C65" w:rsidRDefault="00235D9D">
            <w:pPr>
              <w:spacing w:before="0" w:after="0"/>
              <w:jc w:val="left"/>
              <w:rPr>
                <w:rFonts w:ascii="Times New Roman" w:hAnsi="Times New Roman"/>
                <w:sz w:val="24"/>
              </w:rPr>
            </w:pPr>
          </w:p>
        </w:tc>
      </w:tr>
    </w:tbl>
    <w:p w14:paraId="5364907F" w14:textId="77777777" w:rsidR="00235D9D" w:rsidRPr="00D85C65" w:rsidRDefault="00235D9D">
      <w:pPr>
        <w:spacing w:before="0" w:after="0"/>
        <w:rPr>
          <w:rFonts w:ascii="Times New Roman" w:hAnsi="Times New Roman"/>
          <w:sz w:val="24"/>
        </w:rPr>
      </w:pPr>
    </w:p>
    <w:p w14:paraId="54083D5E" w14:textId="77777777" w:rsidR="00235D9D" w:rsidRPr="00D85C65" w:rsidRDefault="00235D9D">
      <w:pPr>
        <w:spacing w:before="0" w:after="0"/>
        <w:rPr>
          <w:rFonts w:ascii="Times New Roman" w:hAnsi="Times New Roman"/>
          <w:sz w:val="24"/>
        </w:rPr>
      </w:pPr>
    </w:p>
    <w:p w14:paraId="5B270F78" w14:textId="5C60C9C2" w:rsidR="00235D9D" w:rsidRPr="00D85C65" w:rsidRDefault="00E026FB">
      <w:pPr>
        <w:pStyle w:val="InstructionsText2"/>
        <w:numPr>
          <w:ilvl w:val="0"/>
          <w:numId w:val="0"/>
        </w:numPr>
        <w:ind w:left="993"/>
      </w:pPr>
      <w:r w:rsidRPr="00D85C65">
        <w:t>103.</w:t>
      </w:r>
      <w:r w:rsidRPr="00D85C65">
        <w:tab/>
        <w:t xml:space="preserve"> Vzor je rozdelený na tri hlavné bloky riadkov,</w:t>
      </w:r>
      <w:r w:rsidR="00D85C65">
        <w:t xml:space="preserve"> v </w:t>
      </w:r>
      <w:r w:rsidRPr="00D85C65">
        <w:t>ktorých sa zhromažďujú údaje</w:t>
      </w:r>
      <w:r w:rsidR="00D85C65">
        <w:t xml:space="preserve"> o </w:t>
      </w:r>
      <w:r w:rsidRPr="00D85C65">
        <w:t>vzniknutých/sponzorovaných/ponechaných alebo kúpených expozíciách podľa originátorov, investorov</w:t>
      </w:r>
      <w:r w:rsidR="00D85C65">
        <w:t xml:space="preserve"> a </w:t>
      </w:r>
      <w:r w:rsidRPr="00D85C65">
        <w:t>sponzorov. Pre každého</w:t>
      </w:r>
      <w:r w:rsidR="00D85C65">
        <w:t xml:space="preserve"> z </w:t>
      </w:r>
      <w:r w:rsidRPr="00D85C65">
        <w:t>týchto aktérov sa informácie rozčleňujú podľa súvahových</w:t>
      </w:r>
      <w:r w:rsidR="00D85C65">
        <w:t xml:space="preserve"> a </w:t>
      </w:r>
      <w:r w:rsidRPr="00D85C65">
        <w:t>podsúvahových položiek</w:t>
      </w:r>
      <w:r w:rsidR="00D85C65">
        <w:t xml:space="preserve"> a </w:t>
      </w:r>
      <w:r w:rsidRPr="00D85C65">
        <w:t>derivátov, ako aj podľa toho, či podliehajú zaobchádzaniu</w:t>
      </w:r>
      <w:r w:rsidR="00D85C65">
        <w:t xml:space="preserve"> s </w:t>
      </w:r>
      <w:r w:rsidRPr="00D85C65">
        <w:t>diferencovaným kapitálom.</w:t>
      </w:r>
    </w:p>
    <w:p w14:paraId="04896403" w14:textId="27457083" w:rsidR="00235D9D" w:rsidRPr="00D85C65" w:rsidRDefault="00E026FB">
      <w:pPr>
        <w:pStyle w:val="InstructionsText2"/>
        <w:numPr>
          <w:ilvl w:val="0"/>
          <w:numId w:val="0"/>
        </w:numPr>
        <w:ind w:left="993"/>
      </w:pPr>
      <w:r w:rsidRPr="00D85C65">
        <w:t>104. Pozície,</w:t>
      </w:r>
      <w:r w:rsidR="00D85C65">
        <w:t xml:space="preserve"> s </w:t>
      </w:r>
      <w:r w:rsidRPr="00D85C65">
        <w:t>ktorými sa zaobchádza</w:t>
      </w:r>
      <w:r w:rsidR="00D85C65">
        <w:t xml:space="preserve"> v </w:t>
      </w:r>
      <w:r w:rsidRPr="00D85C65">
        <w:t>súlade so SEC-ERBA,</w:t>
      </w:r>
      <w:r w:rsidR="00D85C65">
        <w:t xml:space="preserve"> a </w:t>
      </w:r>
      <w:r w:rsidRPr="00D85C65">
        <w:t>pozície bez ratingu (expozície</w:t>
      </w:r>
      <w:r w:rsidR="00D85C65">
        <w:t xml:space="preserve"> v </w:t>
      </w:r>
      <w:r w:rsidRPr="00D85C65">
        <w:t>čase vykázania) sa rozčleňujú podľa stupňov kreditnej kvality uplatnených pri vzniku (posledný blok riadkov). Tieto informácie vykazujú originátori, sponzori, ako aj investori.</w:t>
      </w:r>
    </w:p>
    <w:p w14:paraId="25CE6C68" w14:textId="77777777" w:rsidR="00235D9D" w:rsidRPr="00D85C65" w:rsidRDefault="00235D9D">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235D9D" w:rsidRPr="00D85C65" w14:paraId="5F17B556" w14:textId="77777777" w:rsidTr="00E10B85">
        <w:tc>
          <w:tcPr>
            <w:tcW w:w="9145" w:type="dxa"/>
            <w:gridSpan w:val="2"/>
            <w:shd w:val="clear" w:color="auto" w:fill="CCCCCC"/>
          </w:tcPr>
          <w:p w14:paraId="7B2196C9" w14:textId="77777777" w:rsidR="00235D9D" w:rsidRPr="00D85C65" w:rsidRDefault="00235D9D">
            <w:pPr>
              <w:autoSpaceDE w:val="0"/>
              <w:autoSpaceDN w:val="0"/>
              <w:adjustRightInd w:val="0"/>
              <w:spacing w:before="0" w:after="0"/>
              <w:rPr>
                <w:rFonts w:ascii="Times New Roman" w:hAnsi="Times New Roman"/>
                <w:bCs/>
                <w:sz w:val="24"/>
              </w:rPr>
            </w:pPr>
          </w:p>
          <w:p w14:paraId="52A2A863" w14:textId="77777777" w:rsidR="00235D9D" w:rsidRPr="00D85C65" w:rsidRDefault="00E026FB">
            <w:pPr>
              <w:autoSpaceDE w:val="0"/>
              <w:autoSpaceDN w:val="0"/>
              <w:adjustRightInd w:val="0"/>
              <w:spacing w:before="0" w:after="0"/>
              <w:rPr>
                <w:rFonts w:ascii="Times New Roman" w:hAnsi="Times New Roman"/>
                <w:b/>
                <w:bCs/>
                <w:sz w:val="24"/>
              </w:rPr>
            </w:pPr>
            <w:r w:rsidRPr="00D85C65">
              <w:rPr>
                <w:rFonts w:ascii="Times New Roman" w:hAnsi="Times New Roman"/>
                <w:b/>
                <w:bCs/>
                <w:sz w:val="24"/>
              </w:rPr>
              <w:t>Riadky</w:t>
            </w:r>
          </w:p>
          <w:p w14:paraId="4522B21C"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4720E70A" w14:textId="77777777" w:rsidTr="00E10B85">
        <w:tc>
          <w:tcPr>
            <w:tcW w:w="1256" w:type="dxa"/>
          </w:tcPr>
          <w:p w14:paraId="2B9483ED"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0010</w:t>
            </w:r>
          </w:p>
        </w:tc>
        <w:tc>
          <w:tcPr>
            <w:tcW w:w="7889" w:type="dxa"/>
          </w:tcPr>
          <w:p w14:paraId="31167495"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CELKOVÉ EXPOZÍCIE</w:t>
            </w:r>
          </w:p>
          <w:p w14:paraId="42A04FD6" w14:textId="635E3B51" w:rsidR="00235D9D" w:rsidRPr="00D85C65" w:rsidRDefault="00235D9D">
            <w:pPr>
              <w:autoSpaceDE w:val="0"/>
              <w:autoSpaceDN w:val="0"/>
              <w:adjustRightInd w:val="0"/>
              <w:spacing w:before="0" w:after="0"/>
              <w:jc w:val="left"/>
              <w:rPr>
                <w:rFonts w:ascii="Times New Roman" w:hAnsi="Times New Roman"/>
                <w:sz w:val="24"/>
              </w:rPr>
            </w:pPr>
          </w:p>
          <w:p w14:paraId="1B2389E7" w14:textId="08DC6459"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Celkové expozície sa vzťahujú na celkovú hodnotu zostávajúcich sekuritizácií</w:t>
            </w:r>
            <w:r w:rsidR="00D85C65">
              <w:rPr>
                <w:rFonts w:ascii="Times New Roman" w:hAnsi="Times New Roman"/>
                <w:sz w:val="24"/>
              </w:rPr>
              <w:t xml:space="preserve"> a </w:t>
            </w:r>
            <w:r w:rsidRPr="00D85C65">
              <w:rPr>
                <w:rFonts w:ascii="Times New Roman" w:hAnsi="Times New Roman"/>
                <w:sz w:val="24"/>
              </w:rPr>
              <w:t>resekuritizácií.</w:t>
            </w:r>
            <w:r w:rsidR="00D85C65">
              <w:rPr>
                <w:rFonts w:ascii="Times New Roman" w:hAnsi="Times New Roman"/>
                <w:sz w:val="24"/>
              </w:rPr>
              <w:t xml:space="preserve"> V </w:t>
            </w:r>
            <w:r w:rsidRPr="00D85C65">
              <w:rPr>
                <w:rFonts w:ascii="Times New Roman" w:hAnsi="Times New Roman"/>
                <w:sz w:val="24"/>
              </w:rPr>
              <w:t>tomto riadku sa sumarizujú všetky informácie vykázané originátormi, sponzormi</w:t>
            </w:r>
            <w:r w:rsidR="00D85C65">
              <w:rPr>
                <w:rFonts w:ascii="Times New Roman" w:hAnsi="Times New Roman"/>
                <w:sz w:val="24"/>
              </w:rPr>
              <w:t xml:space="preserve"> a </w:t>
            </w:r>
            <w:r w:rsidRPr="00D85C65">
              <w:rPr>
                <w:rFonts w:ascii="Times New Roman" w:hAnsi="Times New Roman"/>
                <w:sz w:val="24"/>
              </w:rPr>
              <w:t>investormi</w:t>
            </w:r>
            <w:r w:rsidR="00D85C65">
              <w:rPr>
                <w:rFonts w:ascii="Times New Roman" w:hAnsi="Times New Roman"/>
                <w:sz w:val="24"/>
              </w:rPr>
              <w:t xml:space="preserve"> v </w:t>
            </w:r>
            <w:r w:rsidRPr="00D85C65">
              <w:rPr>
                <w:rFonts w:ascii="Times New Roman" w:hAnsi="Times New Roman"/>
                <w:sz w:val="24"/>
              </w:rPr>
              <w:t>nasledujúcich riadkoch.</w:t>
            </w:r>
          </w:p>
          <w:p w14:paraId="3D6E2F7F"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75E477ED" w14:textId="77777777" w:rsidTr="00E10B85">
        <w:tc>
          <w:tcPr>
            <w:tcW w:w="1256" w:type="dxa"/>
          </w:tcPr>
          <w:p w14:paraId="544C448C"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0020</w:t>
            </w:r>
          </w:p>
        </w:tc>
        <w:tc>
          <w:tcPr>
            <w:tcW w:w="7889" w:type="dxa"/>
          </w:tcPr>
          <w:p w14:paraId="0CEE8781" w14:textId="01CF1853"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SEKURITIZAČNÉ POZÍCIE</w:t>
            </w:r>
          </w:p>
          <w:p w14:paraId="35D10EC5"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30306A2B" w14:textId="50B6FF26"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nesplatených sekuritizačných pozícií, ako sú vymedzené</w:t>
            </w:r>
            <w:r w:rsidR="00D85C65">
              <w:rPr>
                <w:rFonts w:ascii="Times New Roman" w:hAnsi="Times New Roman"/>
                <w:sz w:val="24"/>
              </w:rPr>
              <w:t xml:space="preserve"> v </w:t>
            </w:r>
            <w:r w:rsidRPr="00D85C65">
              <w:rPr>
                <w:rFonts w:ascii="Times New Roman" w:hAnsi="Times New Roman"/>
                <w:sz w:val="24"/>
              </w:rPr>
              <w:t>článku 4 ods. 1 bode 62 CRR, ktoré nie sú resekuritizáciami</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63 CRR.</w:t>
            </w:r>
          </w:p>
          <w:p w14:paraId="4C65BBDA" w14:textId="77777777" w:rsidR="00235D9D" w:rsidRPr="00D85C65" w:rsidDel="002866DB" w:rsidRDefault="00235D9D">
            <w:pPr>
              <w:autoSpaceDE w:val="0"/>
              <w:autoSpaceDN w:val="0"/>
              <w:adjustRightInd w:val="0"/>
              <w:spacing w:before="0" w:after="0"/>
              <w:jc w:val="left"/>
              <w:rPr>
                <w:rFonts w:ascii="Times New Roman" w:hAnsi="Times New Roman"/>
                <w:b/>
                <w:sz w:val="24"/>
                <w:u w:val="single"/>
              </w:rPr>
            </w:pPr>
          </w:p>
        </w:tc>
      </w:tr>
      <w:tr w:rsidR="00235D9D" w:rsidRPr="00D85C65" w14:paraId="2BC883E2" w14:textId="77777777" w:rsidTr="00E10B85">
        <w:tc>
          <w:tcPr>
            <w:tcW w:w="1256" w:type="dxa"/>
          </w:tcPr>
          <w:p w14:paraId="58D9C837"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0030</w:t>
            </w:r>
          </w:p>
        </w:tc>
        <w:tc>
          <w:tcPr>
            <w:tcW w:w="7889" w:type="dxa"/>
          </w:tcPr>
          <w:p w14:paraId="35E2CF68" w14:textId="248FA8CE"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SPĹŇAJÚCE PODMIENKY PRE ZAOBCHÁDZANIE</w:t>
            </w:r>
            <w:r w:rsidR="00D85C65">
              <w:rPr>
                <w:rFonts w:ascii="Times New Roman" w:hAnsi="Times New Roman"/>
                <w:b/>
                <w:sz w:val="24"/>
                <w:u w:val="single"/>
              </w:rPr>
              <w:t xml:space="preserve"> S </w:t>
            </w:r>
            <w:r w:rsidRPr="00D85C65">
              <w:rPr>
                <w:rFonts w:ascii="Times New Roman" w:hAnsi="Times New Roman"/>
                <w:b/>
                <w:sz w:val="24"/>
                <w:u w:val="single"/>
              </w:rPr>
              <w:t>DIFERENCOVANÝM KAPITÁLOM</w:t>
            </w:r>
          </w:p>
          <w:p w14:paraId="593B920F"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F8F63E5" w14:textId="17DE3F7C"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sekuritizačných pozícií, ktoré spĺňajú kritériá článku 243 alebo článku 270 CRR,</w:t>
            </w:r>
            <w:r w:rsidR="00D85C65">
              <w:rPr>
                <w:rFonts w:ascii="Times New Roman" w:hAnsi="Times New Roman"/>
                <w:sz w:val="24"/>
              </w:rPr>
              <w:t xml:space="preserve"> a </w:t>
            </w:r>
            <w:r w:rsidRPr="00D85C65">
              <w:rPr>
                <w:rFonts w:ascii="Times New Roman" w:hAnsi="Times New Roman"/>
                <w:sz w:val="24"/>
              </w:rPr>
              <w:t>ktoré teda spĺňajú podmienky pre zaobchádzanie</w:t>
            </w:r>
            <w:r w:rsidR="00D85C65">
              <w:rPr>
                <w:rFonts w:ascii="Times New Roman" w:hAnsi="Times New Roman"/>
                <w:sz w:val="24"/>
              </w:rPr>
              <w:t xml:space="preserve"> s </w:t>
            </w:r>
            <w:r w:rsidRPr="00D85C65">
              <w:rPr>
                <w:rFonts w:ascii="Times New Roman" w:hAnsi="Times New Roman"/>
                <w:sz w:val="24"/>
              </w:rPr>
              <w:t>diferencovaným kapitálom.</w:t>
            </w:r>
          </w:p>
          <w:p w14:paraId="4AF81EF5" w14:textId="77777777" w:rsidR="00235D9D" w:rsidRPr="00D85C65" w:rsidDel="002866DB" w:rsidRDefault="00235D9D">
            <w:pPr>
              <w:autoSpaceDE w:val="0"/>
              <w:autoSpaceDN w:val="0"/>
              <w:adjustRightInd w:val="0"/>
              <w:spacing w:before="0" w:after="0"/>
              <w:jc w:val="left"/>
              <w:rPr>
                <w:rFonts w:ascii="Times New Roman" w:hAnsi="Times New Roman"/>
                <w:b/>
                <w:sz w:val="24"/>
                <w:u w:val="single"/>
              </w:rPr>
            </w:pPr>
          </w:p>
        </w:tc>
      </w:tr>
      <w:tr w:rsidR="00235D9D" w:rsidRPr="00D85C65" w14:paraId="5948BE37" w14:textId="77777777" w:rsidTr="00E10B85">
        <w:tc>
          <w:tcPr>
            <w:tcW w:w="1256" w:type="dxa"/>
          </w:tcPr>
          <w:p w14:paraId="467837A3"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0040</w:t>
            </w:r>
          </w:p>
        </w:tc>
        <w:tc>
          <w:tcPr>
            <w:tcW w:w="7889" w:type="dxa"/>
          </w:tcPr>
          <w:p w14:paraId="59A1AC20"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EXPOZÍCIE STS</w:t>
            </w:r>
          </w:p>
          <w:p w14:paraId="1FD6D11A" w14:textId="45835005" w:rsidR="00235D9D" w:rsidRPr="00D85C65" w:rsidRDefault="00235D9D">
            <w:pPr>
              <w:autoSpaceDE w:val="0"/>
              <w:autoSpaceDN w:val="0"/>
              <w:adjustRightInd w:val="0"/>
              <w:spacing w:before="0" w:after="0"/>
              <w:jc w:val="left"/>
              <w:rPr>
                <w:rFonts w:ascii="Times New Roman" w:hAnsi="Times New Roman"/>
                <w:b/>
                <w:sz w:val="24"/>
                <w:u w:val="single"/>
              </w:rPr>
            </w:pPr>
          </w:p>
          <w:p w14:paraId="0F209F40" w14:textId="6BF6C74D"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STS sekuritizačných pozícií, ktoré spĺňajú požiadavky uvedené</w:t>
            </w:r>
            <w:r w:rsidR="00D85C65">
              <w:rPr>
                <w:rFonts w:ascii="Times New Roman" w:hAnsi="Times New Roman"/>
                <w:sz w:val="24"/>
              </w:rPr>
              <w:t xml:space="preserve"> v </w:t>
            </w:r>
            <w:r w:rsidRPr="00D85C65">
              <w:rPr>
                <w:rFonts w:ascii="Times New Roman" w:hAnsi="Times New Roman"/>
                <w:sz w:val="24"/>
              </w:rPr>
              <w:t>článku 243 CRR.</w:t>
            </w:r>
          </w:p>
          <w:p w14:paraId="718A14B1" w14:textId="77777777" w:rsidR="00235D9D" w:rsidRPr="00D85C65" w:rsidDel="002866DB" w:rsidRDefault="00235D9D">
            <w:pPr>
              <w:autoSpaceDE w:val="0"/>
              <w:autoSpaceDN w:val="0"/>
              <w:adjustRightInd w:val="0"/>
              <w:spacing w:before="0" w:after="0"/>
              <w:jc w:val="left"/>
              <w:rPr>
                <w:rFonts w:ascii="Times New Roman" w:hAnsi="Times New Roman"/>
                <w:b/>
                <w:sz w:val="24"/>
                <w:u w:val="single"/>
              </w:rPr>
            </w:pPr>
          </w:p>
        </w:tc>
      </w:tr>
      <w:tr w:rsidR="00235D9D" w:rsidRPr="00D85C65" w14:paraId="7897C86A" w14:textId="77777777" w:rsidTr="00E10B85">
        <w:tc>
          <w:tcPr>
            <w:tcW w:w="1256" w:type="dxa"/>
          </w:tcPr>
          <w:p w14:paraId="56B61DD2"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0050</w:t>
            </w:r>
          </w:p>
        </w:tc>
        <w:tc>
          <w:tcPr>
            <w:tcW w:w="7889" w:type="dxa"/>
          </w:tcPr>
          <w:p w14:paraId="236F702D"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NADRIADENÉ POZÍCIE</w:t>
            </w:r>
            <w:r w:rsidR="00D85C65">
              <w:rPr>
                <w:rFonts w:ascii="Times New Roman" w:hAnsi="Times New Roman"/>
                <w:b/>
                <w:sz w:val="24"/>
                <w:u w:val="single"/>
              </w:rPr>
              <w:t xml:space="preserve"> V </w:t>
            </w:r>
            <w:r w:rsidRPr="00D85C65">
              <w:rPr>
                <w:rFonts w:ascii="Times New Roman" w:hAnsi="Times New Roman"/>
                <w:b/>
                <w:sz w:val="24"/>
                <w:u w:val="single"/>
              </w:rPr>
              <w:t>SEKURITIZÁCIÁCH</w:t>
            </w:r>
            <w:r w:rsidR="00D85C65">
              <w:rPr>
                <w:rFonts w:ascii="Times New Roman" w:hAnsi="Times New Roman"/>
                <w:b/>
                <w:sz w:val="24"/>
                <w:u w:val="single"/>
              </w:rPr>
              <w:t xml:space="preserve"> V </w:t>
            </w:r>
            <w:r w:rsidRPr="00D85C65">
              <w:rPr>
                <w:rFonts w:ascii="Times New Roman" w:hAnsi="Times New Roman"/>
                <w:b/>
                <w:sz w:val="24"/>
                <w:u w:val="single"/>
              </w:rPr>
              <w:t>MSP</w:t>
            </w:r>
          </w:p>
          <w:p w14:paraId="388400C2" w14:textId="2A553F70" w:rsidR="00235D9D" w:rsidRPr="00D85C65" w:rsidRDefault="00235D9D">
            <w:pPr>
              <w:autoSpaceDE w:val="0"/>
              <w:autoSpaceDN w:val="0"/>
              <w:adjustRightInd w:val="0"/>
              <w:spacing w:before="0" w:after="0"/>
              <w:jc w:val="left"/>
              <w:rPr>
                <w:rFonts w:ascii="Times New Roman" w:hAnsi="Times New Roman"/>
                <w:b/>
                <w:sz w:val="24"/>
                <w:u w:val="single"/>
              </w:rPr>
            </w:pPr>
          </w:p>
          <w:p w14:paraId="3B1DE0B4" w14:textId="63FF19A2"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nadriadených sekuritizačných pozícií</w:t>
            </w:r>
            <w:r w:rsidR="00D85C65">
              <w:rPr>
                <w:rFonts w:ascii="Times New Roman" w:hAnsi="Times New Roman"/>
                <w:sz w:val="24"/>
              </w:rPr>
              <w:t xml:space="preserve"> v </w:t>
            </w:r>
            <w:r w:rsidRPr="00D85C65">
              <w:rPr>
                <w:rFonts w:ascii="Times New Roman" w:hAnsi="Times New Roman"/>
                <w:sz w:val="24"/>
              </w:rPr>
              <w:t>MSP, ktoré spĺňajú podmienky uvedené</w:t>
            </w:r>
            <w:r w:rsidR="00D85C65">
              <w:rPr>
                <w:rFonts w:ascii="Times New Roman" w:hAnsi="Times New Roman"/>
                <w:sz w:val="24"/>
              </w:rPr>
              <w:t xml:space="preserve"> v </w:t>
            </w:r>
            <w:r w:rsidRPr="00D85C65">
              <w:rPr>
                <w:rFonts w:ascii="Times New Roman" w:hAnsi="Times New Roman"/>
                <w:sz w:val="24"/>
              </w:rPr>
              <w:t>článku 270 CRR.</w:t>
            </w:r>
          </w:p>
          <w:p w14:paraId="04422526" w14:textId="77777777" w:rsidR="00235D9D" w:rsidRPr="00D85C65" w:rsidDel="002866DB" w:rsidRDefault="00235D9D">
            <w:pPr>
              <w:autoSpaceDE w:val="0"/>
              <w:autoSpaceDN w:val="0"/>
              <w:adjustRightInd w:val="0"/>
              <w:spacing w:before="0" w:after="0"/>
              <w:jc w:val="left"/>
              <w:rPr>
                <w:rFonts w:ascii="Times New Roman" w:hAnsi="Times New Roman"/>
                <w:b/>
                <w:sz w:val="24"/>
                <w:u w:val="single"/>
              </w:rPr>
            </w:pPr>
          </w:p>
        </w:tc>
      </w:tr>
      <w:tr w:rsidR="00235D9D" w:rsidRPr="00D85C65" w14:paraId="2FFCA40F" w14:textId="77777777" w:rsidTr="00E10B85">
        <w:tc>
          <w:tcPr>
            <w:tcW w:w="1256" w:type="dxa"/>
          </w:tcPr>
          <w:p w14:paraId="71F091C0" w14:textId="7104B940"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0060, 0120, 0170, 0240, 0290, 0360</w:t>
            </w:r>
            <w:r w:rsidR="00D85C65">
              <w:rPr>
                <w:rFonts w:ascii="Times New Roman" w:hAnsi="Times New Roman"/>
                <w:bCs/>
                <w:sz w:val="24"/>
              </w:rPr>
              <w:t xml:space="preserve"> a </w:t>
            </w:r>
            <w:r w:rsidRPr="00D85C65">
              <w:rPr>
                <w:rFonts w:ascii="Times New Roman" w:hAnsi="Times New Roman"/>
                <w:bCs/>
                <w:sz w:val="24"/>
              </w:rPr>
              <w:t>0410</w:t>
            </w:r>
          </w:p>
        </w:tc>
        <w:tc>
          <w:tcPr>
            <w:tcW w:w="7889" w:type="dxa"/>
          </w:tcPr>
          <w:p w14:paraId="35146DB5" w14:textId="1048BFC2"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NESPĹŇAJÚCE PODMIENKY PRE ZAOBCHÁDZANIE</w:t>
            </w:r>
            <w:r w:rsidR="00D85C65">
              <w:rPr>
                <w:rFonts w:ascii="Times New Roman" w:hAnsi="Times New Roman"/>
                <w:b/>
                <w:sz w:val="24"/>
                <w:u w:val="single"/>
              </w:rPr>
              <w:t xml:space="preserve"> S </w:t>
            </w:r>
            <w:r w:rsidRPr="00D85C65">
              <w:rPr>
                <w:rFonts w:ascii="Times New Roman" w:hAnsi="Times New Roman"/>
                <w:b/>
                <w:sz w:val="24"/>
                <w:u w:val="single"/>
              </w:rPr>
              <w:t>DIFERENCOVANÝM KAPITÁLOM</w:t>
            </w:r>
          </w:p>
          <w:p w14:paraId="6BC19570"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7C8EDDF9" w14:textId="6BF31EE9" w:rsidR="00235D9D" w:rsidRPr="00D85C65" w:rsidRDefault="002409C1">
            <w:pPr>
              <w:autoSpaceDE w:val="0"/>
              <w:autoSpaceDN w:val="0"/>
              <w:adjustRightInd w:val="0"/>
              <w:spacing w:before="0" w:after="0"/>
              <w:jc w:val="left"/>
              <w:rPr>
                <w:rFonts w:ascii="Times New Roman" w:hAnsi="Times New Roman"/>
                <w:sz w:val="24"/>
              </w:rPr>
            </w:pPr>
            <w:r w:rsidRPr="00D85C65">
              <w:rPr>
                <w:rFonts w:ascii="Times New Roman" w:hAnsi="Times New Roman"/>
                <w:sz w:val="24"/>
              </w:rPr>
              <w:t>Článok 254 ods. 1, 4, 5</w:t>
            </w:r>
            <w:r w:rsidR="00D85C65">
              <w:rPr>
                <w:rFonts w:ascii="Times New Roman" w:hAnsi="Times New Roman"/>
                <w:sz w:val="24"/>
              </w:rPr>
              <w:t xml:space="preserve"> a </w:t>
            </w:r>
            <w:r w:rsidRPr="00D85C65">
              <w:rPr>
                <w:rFonts w:ascii="Times New Roman" w:hAnsi="Times New Roman"/>
                <w:sz w:val="24"/>
              </w:rPr>
              <w:t>6</w:t>
            </w:r>
            <w:r w:rsidR="00D85C65">
              <w:rPr>
                <w:rFonts w:ascii="Times New Roman" w:hAnsi="Times New Roman"/>
                <w:sz w:val="24"/>
              </w:rPr>
              <w:t xml:space="preserve"> a </w:t>
            </w:r>
            <w:r w:rsidRPr="00D85C65">
              <w:rPr>
                <w:rFonts w:ascii="Times New Roman" w:hAnsi="Times New Roman"/>
                <w:sz w:val="24"/>
              </w:rPr>
              <w:t>články 259, 261, 263, 265, 266</w:t>
            </w:r>
            <w:r w:rsidR="00D85C65">
              <w:rPr>
                <w:rFonts w:ascii="Times New Roman" w:hAnsi="Times New Roman"/>
                <w:sz w:val="24"/>
              </w:rPr>
              <w:t xml:space="preserve"> a </w:t>
            </w:r>
            <w:r w:rsidRPr="00D85C65">
              <w:rPr>
                <w:rFonts w:ascii="Times New Roman" w:hAnsi="Times New Roman"/>
                <w:sz w:val="24"/>
              </w:rPr>
              <w:t>269 CRR.</w:t>
            </w:r>
          </w:p>
          <w:p w14:paraId="0FE69611" w14:textId="77777777" w:rsidR="00235D9D" w:rsidRPr="00D85C65" w:rsidRDefault="00235D9D">
            <w:pPr>
              <w:autoSpaceDE w:val="0"/>
              <w:autoSpaceDN w:val="0"/>
              <w:adjustRightInd w:val="0"/>
              <w:spacing w:before="0" w:after="0"/>
              <w:jc w:val="left"/>
              <w:rPr>
                <w:rFonts w:ascii="Times New Roman" w:hAnsi="Times New Roman"/>
                <w:sz w:val="24"/>
              </w:rPr>
            </w:pPr>
          </w:p>
          <w:p w14:paraId="1C17C05A" w14:textId="0CF2BB7D"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sekuritizačných pozícií, ktoré nespĺňajú podmienky pre zaobchádzanie</w:t>
            </w:r>
            <w:r w:rsidR="00D85C65">
              <w:rPr>
                <w:rFonts w:ascii="Times New Roman" w:hAnsi="Times New Roman"/>
                <w:sz w:val="24"/>
              </w:rPr>
              <w:t xml:space="preserve"> s </w:t>
            </w:r>
            <w:r w:rsidRPr="00D85C65">
              <w:rPr>
                <w:rFonts w:ascii="Times New Roman" w:hAnsi="Times New Roman"/>
                <w:sz w:val="24"/>
              </w:rPr>
              <w:t>diferencovaným kapitálom.</w:t>
            </w:r>
          </w:p>
          <w:p w14:paraId="563AFCAF"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361D432D" w14:textId="77777777" w:rsidTr="00E10B85">
        <w:tc>
          <w:tcPr>
            <w:tcW w:w="1256" w:type="dxa"/>
          </w:tcPr>
          <w:p w14:paraId="0A2EAF2A" w14:textId="399C03AE"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0070, 0190, 0310</w:t>
            </w:r>
            <w:r w:rsidR="00D85C65">
              <w:rPr>
                <w:rFonts w:ascii="Times New Roman" w:hAnsi="Times New Roman"/>
                <w:bCs/>
                <w:sz w:val="24"/>
              </w:rPr>
              <w:t xml:space="preserve"> a </w:t>
            </w:r>
            <w:r w:rsidRPr="00D85C65">
              <w:rPr>
                <w:rFonts w:ascii="Times New Roman" w:hAnsi="Times New Roman"/>
                <w:bCs/>
                <w:sz w:val="24"/>
              </w:rPr>
              <w:t>0430</w:t>
            </w:r>
          </w:p>
        </w:tc>
        <w:tc>
          <w:tcPr>
            <w:tcW w:w="7889" w:type="dxa"/>
          </w:tcPr>
          <w:p w14:paraId="3C029E52" w14:textId="5B9570D4"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RESEKURITIZAČNÉ POZÍCIE</w:t>
            </w:r>
          </w:p>
          <w:p w14:paraId="4B80953E"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1EEA431E" w14:textId="7F875AE5"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nesplatených resekuritizačných pozícií podľa vymedzenia</w:t>
            </w:r>
            <w:r w:rsidR="00D85C65">
              <w:rPr>
                <w:rFonts w:ascii="Times New Roman" w:hAnsi="Times New Roman"/>
                <w:sz w:val="24"/>
              </w:rPr>
              <w:t xml:space="preserve"> v </w:t>
            </w:r>
            <w:r w:rsidRPr="00D85C65">
              <w:rPr>
                <w:rFonts w:ascii="Times New Roman" w:hAnsi="Times New Roman"/>
                <w:sz w:val="24"/>
              </w:rPr>
              <w:t>článku 4 ods. 1 bode 64 CRR.</w:t>
            </w:r>
          </w:p>
          <w:p w14:paraId="1C1D9657"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0F58EDFB" w14:textId="77777777" w:rsidTr="00E10B85">
        <w:tc>
          <w:tcPr>
            <w:tcW w:w="1256" w:type="dxa"/>
          </w:tcPr>
          <w:p w14:paraId="1BA6D856" w14:textId="77777777" w:rsidR="00235D9D" w:rsidRPr="00D85C65" w:rsidRDefault="00E026FB">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0080</w:t>
            </w:r>
          </w:p>
        </w:tc>
        <w:tc>
          <w:tcPr>
            <w:tcW w:w="7889" w:type="dxa"/>
          </w:tcPr>
          <w:p w14:paraId="7C4E2C07"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ORIGINÁTOR: CELKOVÉ EXPOZÍCIE</w:t>
            </w:r>
          </w:p>
          <w:p w14:paraId="4D68A0E9" w14:textId="052F2294" w:rsidR="00235D9D" w:rsidRPr="00D85C65" w:rsidRDefault="00235D9D">
            <w:pPr>
              <w:autoSpaceDE w:val="0"/>
              <w:autoSpaceDN w:val="0"/>
              <w:adjustRightInd w:val="0"/>
              <w:spacing w:before="0" w:after="0"/>
              <w:jc w:val="left"/>
              <w:rPr>
                <w:rFonts w:ascii="Times New Roman" w:hAnsi="Times New Roman"/>
                <w:sz w:val="24"/>
              </w:rPr>
            </w:pPr>
          </w:p>
          <w:p w14:paraId="41F1D9B2" w14:textId="293D5B7D"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 tomto riadku sa sumarizujú informácie</w:t>
            </w:r>
            <w:r w:rsidR="00D85C65">
              <w:rPr>
                <w:rFonts w:ascii="Times New Roman" w:hAnsi="Times New Roman"/>
                <w:sz w:val="24"/>
              </w:rPr>
              <w:t xml:space="preserve"> o </w:t>
            </w:r>
            <w:r w:rsidRPr="00D85C65">
              <w:rPr>
                <w:rFonts w:ascii="Times New Roman" w:hAnsi="Times New Roman"/>
                <w:sz w:val="24"/>
              </w:rPr>
              <w:t>súvahových položkách, podsúvahových položkách</w:t>
            </w:r>
            <w:r w:rsidR="00D85C65">
              <w:rPr>
                <w:rFonts w:ascii="Times New Roman" w:hAnsi="Times New Roman"/>
                <w:sz w:val="24"/>
              </w:rPr>
              <w:t xml:space="preserve"> a </w:t>
            </w:r>
            <w:r w:rsidRPr="00D85C65">
              <w:rPr>
                <w:rFonts w:ascii="Times New Roman" w:hAnsi="Times New Roman"/>
                <w:sz w:val="24"/>
              </w:rPr>
              <w:t>derivátoch uvedených sekuritizačných</w:t>
            </w:r>
            <w:r w:rsidR="00D85C65">
              <w:rPr>
                <w:rFonts w:ascii="Times New Roman" w:hAnsi="Times New Roman"/>
                <w:sz w:val="24"/>
              </w:rPr>
              <w:t xml:space="preserve"> a </w:t>
            </w:r>
            <w:r w:rsidRPr="00D85C65">
              <w:rPr>
                <w:rFonts w:ascii="Times New Roman" w:hAnsi="Times New Roman"/>
                <w:sz w:val="24"/>
              </w:rPr>
              <w:t>resekuritizačných pozícií,</w:t>
            </w:r>
            <w:r w:rsidR="00D85C65">
              <w:rPr>
                <w:rFonts w:ascii="Times New Roman" w:hAnsi="Times New Roman"/>
                <w:sz w:val="24"/>
              </w:rPr>
              <w:t xml:space="preserve"> v </w:t>
            </w:r>
            <w:r w:rsidRPr="00D85C65">
              <w:rPr>
                <w:rFonts w:ascii="Times New Roman" w:hAnsi="Times New Roman"/>
                <w:sz w:val="24"/>
              </w:rPr>
              <w:t>prípade ktorých zohráva inštitúcia úlohu originátora podľa vymedzenia</w:t>
            </w:r>
            <w:r w:rsidR="00D85C65">
              <w:rPr>
                <w:rFonts w:ascii="Times New Roman" w:hAnsi="Times New Roman"/>
                <w:sz w:val="24"/>
              </w:rPr>
              <w:t xml:space="preserve"> v </w:t>
            </w:r>
            <w:r w:rsidRPr="00D85C65">
              <w:rPr>
                <w:rFonts w:ascii="Times New Roman" w:hAnsi="Times New Roman"/>
                <w:sz w:val="24"/>
              </w:rPr>
              <w:t>článku 4 ods. 1 bode 13 CRR.</w:t>
            </w:r>
          </w:p>
          <w:p w14:paraId="76394D57" w14:textId="77777777" w:rsidR="00235D9D" w:rsidRPr="00D85C65" w:rsidRDefault="00E026FB">
            <w:pPr>
              <w:autoSpaceDE w:val="0"/>
              <w:autoSpaceDN w:val="0"/>
              <w:adjustRightInd w:val="0"/>
              <w:spacing w:before="0" w:after="0"/>
              <w:rPr>
                <w:rFonts w:ascii="Times New Roman" w:hAnsi="Times New Roman"/>
                <w:b/>
                <w:sz w:val="24"/>
                <w:u w:val="single"/>
              </w:rPr>
            </w:pPr>
            <w:r w:rsidRPr="00D85C65">
              <w:rPr>
                <w:rFonts w:ascii="Times New Roman" w:hAnsi="Times New Roman"/>
                <w:b/>
                <w:sz w:val="24"/>
                <w:u w:val="single"/>
              </w:rPr>
              <w:t xml:space="preserve"> </w:t>
            </w:r>
          </w:p>
        </w:tc>
      </w:tr>
      <w:tr w:rsidR="00235D9D" w:rsidRPr="00D85C65" w14:paraId="73B6FD08" w14:textId="77777777" w:rsidTr="00E10B85">
        <w:tc>
          <w:tcPr>
            <w:tcW w:w="1256" w:type="dxa"/>
          </w:tcPr>
          <w:p w14:paraId="61AE74E6" w14:textId="339F4FBF"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0090 až 0130, 0210 až 0250</w:t>
            </w:r>
            <w:r w:rsidR="00D85C65">
              <w:rPr>
                <w:rFonts w:ascii="Times New Roman" w:hAnsi="Times New Roman"/>
                <w:bCs/>
                <w:sz w:val="24"/>
              </w:rPr>
              <w:t xml:space="preserve"> a </w:t>
            </w:r>
            <w:r w:rsidRPr="00D85C65">
              <w:rPr>
                <w:rFonts w:ascii="Times New Roman" w:hAnsi="Times New Roman"/>
                <w:bCs/>
                <w:sz w:val="24"/>
              </w:rPr>
              <w:t>0330 až 0370</w:t>
            </w:r>
          </w:p>
        </w:tc>
        <w:tc>
          <w:tcPr>
            <w:tcW w:w="7889" w:type="dxa"/>
          </w:tcPr>
          <w:p w14:paraId="2869DED3"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SEKURITIZAČNÉ POZÍCIE: SÚVAHOVÉ POLOŽKY</w:t>
            </w:r>
          </w:p>
          <w:p w14:paraId="0B20532B" w14:textId="5DFC0572" w:rsidR="00235D9D" w:rsidRPr="00D85C65" w:rsidRDefault="00235D9D">
            <w:pPr>
              <w:autoSpaceDE w:val="0"/>
              <w:autoSpaceDN w:val="0"/>
              <w:adjustRightInd w:val="0"/>
              <w:spacing w:before="0" w:after="0"/>
              <w:jc w:val="left"/>
              <w:rPr>
                <w:rFonts w:ascii="Times New Roman" w:hAnsi="Times New Roman"/>
                <w:sz w:val="24"/>
              </w:rPr>
            </w:pPr>
          </w:p>
          <w:p w14:paraId="72235263" w14:textId="501E4662" w:rsidR="00235D9D" w:rsidRPr="00D85C65" w:rsidRDefault="00BB22D4">
            <w:pPr>
              <w:autoSpaceDE w:val="0"/>
              <w:autoSpaceDN w:val="0"/>
              <w:adjustRightInd w:val="0"/>
              <w:spacing w:before="0" w:after="0"/>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248 ods. 1 písm. a) CRR je hodnotou expozície súvahovej sekuritizačnej pozície jej účtovná hodnota zostávajúca po tom, ako boli</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110 CRR na sekuritizačnú pozíciu uplatnené prípadné relevantné špecifické úpravy kreditného rizika.</w:t>
            </w:r>
          </w:p>
          <w:p w14:paraId="757B8077" w14:textId="0D54EC50"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Súvahové položky sa rozčlenia tak, aby</w:t>
            </w:r>
            <w:r w:rsidR="00D85C65">
              <w:rPr>
                <w:rFonts w:ascii="Times New Roman" w:hAnsi="Times New Roman"/>
                <w:sz w:val="24"/>
              </w:rPr>
              <w:t xml:space="preserve"> v </w:t>
            </w:r>
            <w:r w:rsidRPr="00D85C65">
              <w:rPr>
                <w:rFonts w:ascii="Times New Roman" w:hAnsi="Times New Roman"/>
                <w:sz w:val="24"/>
              </w:rPr>
              <w:t>riadkoch 0100</w:t>
            </w:r>
            <w:r w:rsidR="00D85C65">
              <w:rPr>
                <w:rFonts w:ascii="Times New Roman" w:hAnsi="Times New Roman"/>
                <w:sz w:val="24"/>
              </w:rPr>
              <w:t xml:space="preserve"> a </w:t>
            </w:r>
            <w:r w:rsidRPr="00D85C65">
              <w:rPr>
                <w:rFonts w:ascii="Times New Roman" w:hAnsi="Times New Roman"/>
                <w:sz w:val="24"/>
              </w:rPr>
              <w:t>0120 zachytávali informácie týkajúce sa zaobchádzania</w:t>
            </w:r>
            <w:r w:rsidR="00D85C65">
              <w:rPr>
                <w:rFonts w:ascii="Times New Roman" w:hAnsi="Times New Roman"/>
                <w:sz w:val="24"/>
              </w:rPr>
              <w:t xml:space="preserve"> s </w:t>
            </w:r>
            <w:r w:rsidRPr="00D85C65">
              <w:rPr>
                <w:rFonts w:ascii="Times New Roman" w:hAnsi="Times New Roman"/>
                <w:sz w:val="24"/>
              </w:rPr>
              <w:t>diferencovaným kapitálom, ako sa uvádza</w:t>
            </w:r>
            <w:r w:rsidR="00D85C65">
              <w:rPr>
                <w:rFonts w:ascii="Times New Roman" w:hAnsi="Times New Roman"/>
                <w:sz w:val="24"/>
              </w:rPr>
              <w:t xml:space="preserve"> v </w:t>
            </w:r>
            <w:r w:rsidRPr="00D85C65">
              <w:rPr>
                <w:rFonts w:ascii="Times New Roman" w:hAnsi="Times New Roman"/>
                <w:sz w:val="24"/>
              </w:rPr>
              <w:t>článku 243 CRR,</w:t>
            </w:r>
            <w:r w:rsidR="00D85C65">
              <w:rPr>
                <w:rFonts w:ascii="Times New Roman" w:hAnsi="Times New Roman"/>
                <w:sz w:val="24"/>
              </w:rPr>
              <w:t xml:space="preserve"> a </w:t>
            </w:r>
            <w:r w:rsidRPr="00D85C65">
              <w:rPr>
                <w:rFonts w:ascii="Times New Roman" w:hAnsi="Times New Roman"/>
                <w:sz w:val="24"/>
              </w:rPr>
              <w:t>aby</w:t>
            </w:r>
            <w:r w:rsidR="00D85C65">
              <w:rPr>
                <w:rFonts w:ascii="Times New Roman" w:hAnsi="Times New Roman"/>
                <w:sz w:val="24"/>
              </w:rPr>
              <w:t xml:space="preserve"> v </w:t>
            </w:r>
            <w:r w:rsidRPr="00D85C65">
              <w:rPr>
                <w:rFonts w:ascii="Times New Roman" w:hAnsi="Times New Roman"/>
                <w:sz w:val="24"/>
              </w:rPr>
              <w:t>riadkoch 0110</w:t>
            </w:r>
            <w:r w:rsidR="00D85C65">
              <w:rPr>
                <w:rFonts w:ascii="Times New Roman" w:hAnsi="Times New Roman"/>
                <w:sz w:val="24"/>
              </w:rPr>
              <w:t xml:space="preserve"> a </w:t>
            </w:r>
            <w:r w:rsidRPr="00D85C65">
              <w:rPr>
                <w:rFonts w:ascii="Times New Roman" w:hAnsi="Times New Roman"/>
                <w:sz w:val="24"/>
              </w:rPr>
              <w:t>0130 zachytávali informácie</w:t>
            </w:r>
            <w:r w:rsidR="00D85C65">
              <w:rPr>
                <w:rFonts w:ascii="Times New Roman" w:hAnsi="Times New Roman"/>
                <w:sz w:val="24"/>
              </w:rPr>
              <w:t xml:space="preserve"> o </w:t>
            </w:r>
            <w:r w:rsidRPr="00D85C65">
              <w:rPr>
                <w:rFonts w:ascii="Times New Roman" w:hAnsi="Times New Roman"/>
                <w:sz w:val="24"/>
              </w:rPr>
              <w:t>celkovej hodnote nadriadených sekuritizačných pozícií, ako sú vymedzené</w:t>
            </w:r>
            <w:r w:rsidR="00D85C65">
              <w:rPr>
                <w:rFonts w:ascii="Times New Roman" w:hAnsi="Times New Roman"/>
                <w:sz w:val="24"/>
              </w:rPr>
              <w:t xml:space="preserve"> v </w:t>
            </w:r>
            <w:r w:rsidRPr="00D85C65">
              <w:rPr>
                <w:rFonts w:ascii="Times New Roman" w:hAnsi="Times New Roman"/>
                <w:sz w:val="24"/>
              </w:rPr>
              <w:t>článku 242 ods. 6 CRR.</w:t>
            </w:r>
          </w:p>
          <w:p w14:paraId="1DFC50DD"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4D2F6B40" w14:textId="77777777" w:rsidTr="00E10B85">
        <w:tc>
          <w:tcPr>
            <w:tcW w:w="1256" w:type="dxa"/>
          </w:tcPr>
          <w:p w14:paraId="4E161870" w14:textId="5CE8E75F"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0100, 0220</w:t>
            </w:r>
            <w:r w:rsidR="00D85C65">
              <w:rPr>
                <w:rFonts w:ascii="Times New Roman" w:hAnsi="Times New Roman"/>
                <w:bCs/>
                <w:sz w:val="24"/>
              </w:rPr>
              <w:t xml:space="preserve"> a </w:t>
            </w:r>
            <w:r w:rsidRPr="00D85C65">
              <w:rPr>
                <w:rFonts w:ascii="Times New Roman" w:hAnsi="Times New Roman"/>
                <w:bCs/>
                <w:sz w:val="24"/>
              </w:rPr>
              <w:t>0340</w:t>
            </w:r>
          </w:p>
        </w:tc>
        <w:tc>
          <w:tcPr>
            <w:tcW w:w="7889" w:type="dxa"/>
          </w:tcPr>
          <w:p w14:paraId="40B45655" w14:textId="2F29A2DF"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SPĹŇAJÚCE PODMIENKY PRE ZAOBCHÁDZANIE</w:t>
            </w:r>
            <w:r w:rsidR="00D85C65">
              <w:rPr>
                <w:rFonts w:ascii="Times New Roman" w:hAnsi="Times New Roman"/>
                <w:b/>
                <w:sz w:val="24"/>
                <w:u w:val="single"/>
              </w:rPr>
              <w:t xml:space="preserve"> S </w:t>
            </w:r>
            <w:r w:rsidRPr="00D85C65">
              <w:rPr>
                <w:rFonts w:ascii="Times New Roman" w:hAnsi="Times New Roman"/>
                <w:b/>
                <w:sz w:val="24"/>
                <w:u w:val="single"/>
              </w:rPr>
              <w:t>DIFERENCOVANÝM KAPITÁLOM</w:t>
            </w:r>
          </w:p>
          <w:p w14:paraId="6160C5F5"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589721FE" w14:textId="37B4AA55"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sekuritizačných pozícií, ktoré spĺňajú kritériá článku 243 CRR,</w:t>
            </w:r>
            <w:r w:rsidR="00D85C65">
              <w:rPr>
                <w:rFonts w:ascii="Times New Roman" w:hAnsi="Times New Roman"/>
                <w:sz w:val="24"/>
              </w:rPr>
              <w:t xml:space="preserve"> a </w:t>
            </w:r>
            <w:r w:rsidRPr="00D85C65">
              <w:rPr>
                <w:rFonts w:ascii="Times New Roman" w:hAnsi="Times New Roman"/>
                <w:sz w:val="24"/>
              </w:rPr>
              <w:t>ktoré teda spĺňajú podmienky pre zaobchádzanie</w:t>
            </w:r>
            <w:r w:rsidR="00D85C65">
              <w:rPr>
                <w:rFonts w:ascii="Times New Roman" w:hAnsi="Times New Roman"/>
                <w:sz w:val="24"/>
              </w:rPr>
              <w:t xml:space="preserve"> s </w:t>
            </w:r>
            <w:r w:rsidRPr="00D85C65">
              <w:rPr>
                <w:rFonts w:ascii="Times New Roman" w:hAnsi="Times New Roman"/>
                <w:sz w:val="24"/>
              </w:rPr>
              <w:t>diferencovaným kapitálom.</w:t>
            </w:r>
          </w:p>
          <w:p w14:paraId="38FFECE2"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467718DD" w14:textId="77777777" w:rsidTr="00E10B85">
        <w:tc>
          <w:tcPr>
            <w:tcW w:w="1256" w:type="dxa"/>
          </w:tcPr>
          <w:p w14:paraId="2F32453A" w14:textId="34D6D3B9"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0110, 0130, 0160, 0180, 0230, 0250, 0280, 0300, 0350, 0370, 400</w:t>
            </w:r>
            <w:r w:rsidR="00D85C65">
              <w:rPr>
                <w:rFonts w:ascii="Times New Roman" w:hAnsi="Times New Roman"/>
                <w:bCs/>
                <w:sz w:val="24"/>
              </w:rPr>
              <w:t xml:space="preserve"> a </w:t>
            </w:r>
            <w:r w:rsidRPr="00D85C65">
              <w:rPr>
                <w:rFonts w:ascii="Times New Roman" w:hAnsi="Times New Roman"/>
                <w:bCs/>
                <w:sz w:val="24"/>
              </w:rPr>
              <w:t>420</w:t>
            </w:r>
          </w:p>
        </w:tc>
        <w:tc>
          <w:tcPr>
            <w:tcW w:w="7889" w:type="dxa"/>
          </w:tcPr>
          <w:p w14:paraId="369686C8" w14:textId="77777777"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Z ČOHO: NADRIADENÉ EXPOZÍCIE</w:t>
            </w:r>
          </w:p>
          <w:p w14:paraId="47BD6FC9"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97656A6" w14:textId="719141AF"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nadriadených sekuritizačných pozícií podľa vymedzenia</w:t>
            </w:r>
            <w:r w:rsidR="00D85C65">
              <w:rPr>
                <w:rFonts w:ascii="Times New Roman" w:hAnsi="Times New Roman"/>
                <w:sz w:val="24"/>
              </w:rPr>
              <w:t xml:space="preserve"> v </w:t>
            </w:r>
            <w:r w:rsidRPr="00D85C65">
              <w:rPr>
                <w:rFonts w:ascii="Times New Roman" w:hAnsi="Times New Roman"/>
                <w:sz w:val="24"/>
              </w:rPr>
              <w:t>článku 242 ods. 6 CRR.</w:t>
            </w:r>
          </w:p>
          <w:p w14:paraId="5BE6F5F8"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D7442D1" w14:textId="77777777" w:rsidTr="00E10B85">
        <w:tc>
          <w:tcPr>
            <w:tcW w:w="1256" w:type="dxa"/>
          </w:tcPr>
          <w:p w14:paraId="6201B418" w14:textId="003F04FC" w:rsidR="00235D9D" w:rsidRPr="00D85C65" w:rsidRDefault="00E026FB">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0140 až 0180, 0260 až 0300</w:t>
            </w:r>
            <w:r w:rsidR="00D85C65">
              <w:rPr>
                <w:rFonts w:ascii="Times New Roman" w:hAnsi="Times New Roman"/>
                <w:bCs/>
                <w:sz w:val="24"/>
              </w:rPr>
              <w:t xml:space="preserve"> a </w:t>
            </w:r>
            <w:r w:rsidRPr="00D85C65">
              <w:rPr>
                <w:rFonts w:ascii="Times New Roman" w:hAnsi="Times New Roman"/>
                <w:bCs/>
                <w:sz w:val="24"/>
              </w:rPr>
              <w:t>0380 až 0420</w:t>
            </w:r>
          </w:p>
        </w:tc>
        <w:tc>
          <w:tcPr>
            <w:tcW w:w="7889" w:type="dxa"/>
          </w:tcPr>
          <w:p w14:paraId="7666E671" w14:textId="159866FD" w:rsidR="00235D9D" w:rsidRPr="00D85C65" w:rsidRDefault="00E026FB">
            <w:pPr>
              <w:spacing w:before="0" w:after="0"/>
              <w:rPr>
                <w:rFonts w:ascii="Times New Roman" w:hAnsi="Times New Roman"/>
                <w:b/>
                <w:sz w:val="24"/>
                <w:u w:val="single"/>
              </w:rPr>
            </w:pPr>
            <w:r w:rsidRPr="00D85C65">
              <w:rPr>
                <w:rFonts w:ascii="Times New Roman" w:hAnsi="Times New Roman"/>
                <w:b/>
                <w:sz w:val="24"/>
                <w:u w:val="single"/>
              </w:rPr>
              <w:t>SEKURITIZAČNÉ POZÍCIE: PODSÚVAHOVÉ POLOŽKY A DERIVÁTY</w:t>
            </w:r>
          </w:p>
          <w:p w14:paraId="64A36234" w14:textId="77777777" w:rsidR="00235D9D" w:rsidRPr="00D85C65" w:rsidRDefault="00235D9D">
            <w:pPr>
              <w:autoSpaceDE w:val="0"/>
              <w:autoSpaceDN w:val="0"/>
              <w:adjustRightInd w:val="0"/>
              <w:spacing w:before="0" w:after="0"/>
              <w:jc w:val="left"/>
              <w:rPr>
                <w:rFonts w:ascii="Times New Roman" w:hAnsi="Times New Roman"/>
                <w:sz w:val="24"/>
              </w:rPr>
            </w:pPr>
          </w:p>
          <w:p w14:paraId="6AFB471F" w14:textId="18D49833" w:rsidR="00235D9D" w:rsidRPr="00D85C65" w:rsidRDefault="00E026FB">
            <w:pPr>
              <w:autoSpaceDE w:val="0"/>
              <w:autoSpaceDN w:val="0"/>
              <w:adjustRightInd w:val="0"/>
              <w:spacing w:before="0" w:after="0"/>
              <w:rPr>
                <w:rFonts w:ascii="Times New Roman" w:hAnsi="Times New Roman"/>
                <w:i/>
                <w:sz w:val="24"/>
              </w:rPr>
            </w:pPr>
            <w:r w:rsidRPr="00D85C65">
              <w:rPr>
                <w:rFonts w:ascii="Times New Roman" w:hAnsi="Times New Roman"/>
                <w:sz w:val="24"/>
              </w:rPr>
              <w:t>V týchto riadkoch sa zhromažďujú informácie</w:t>
            </w:r>
            <w:r w:rsidR="00D85C65">
              <w:rPr>
                <w:rFonts w:ascii="Times New Roman" w:hAnsi="Times New Roman"/>
                <w:sz w:val="24"/>
              </w:rPr>
              <w:t xml:space="preserve"> o </w:t>
            </w:r>
            <w:r w:rsidRPr="00D85C65">
              <w:rPr>
                <w:rFonts w:ascii="Times New Roman" w:hAnsi="Times New Roman"/>
                <w:sz w:val="24"/>
              </w:rPr>
              <w:t>podsúvahových položkách</w:t>
            </w:r>
            <w:r w:rsidR="00D85C65">
              <w:rPr>
                <w:rFonts w:ascii="Times New Roman" w:hAnsi="Times New Roman"/>
                <w:sz w:val="24"/>
              </w:rPr>
              <w:t xml:space="preserve"> a </w:t>
            </w:r>
            <w:r w:rsidRPr="00D85C65">
              <w:rPr>
                <w:rFonts w:ascii="Times New Roman" w:hAnsi="Times New Roman"/>
                <w:sz w:val="24"/>
              </w:rPr>
              <w:t>derivátových sekuritizačných pozíciách, na ktoré sa uplatňuje konverzný faktor podľa rámca pre sekuritizáciu. Hodnotou expozície podsúvahovej sekuritizačnej pozície je jej nominálna hodnota po vykonaní špecifických úprav kreditného rizika tejto sekuritizačnej pozície vynásobená konverzným faktorom vo výške 100</w:t>
            </w:r>
            <w:r w:rsidR="00D85C65">
              <w:rPr>
                <w:rFonts w:ascii="Times New Roman" w:hAnsi="Times New Roman"/>
                <w:sz w:val="24"/>
              </w:rPr>
              <w:t> %</w:t>
            </w:r>
            <w:r w:rsidRPr="00D85C65">
              <w:rPr>
                <w:rFonts w:ascii="Times New Roman" w:hAnsi="Times New Roman"/>
                <w:sz w:val="24"/>
              </w:rPr>
              <w:t>, pokiaľ sa nestanovuje inak.</w:t>
            </w:r>
          </w:p>
          <w:p w14:paraId="44E44F1F" w14:textId="77777777" w:rsidR="00235D9D" w:rsidRPr="00D85C65" w:rsidRDefault="00235D9D">
            <w:pPr>
              <w:autoSpaceDE w:val="0"/>
              <w:autoSpaceDN w:val="0"/>
              <w:adjustRightInd w:val="0"/>
              <w:spacing w:before="0" w:after="0"/>
              <w:rPr>
                <w:rFonts w:ascii="Times New Roman" w:hAnsi="Times New Roman"/>
                <w:i/>
                <w:sz w:val="24"/>
              </w:rPr>
            </w:pPr>
          </w:p>
          <w:p w14:paraId="2D1FE79D" w14:textId="1F242F67" w:rsid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Podsúvahové sekuritizačné pozície vyplývajúce</w:t>
            </w:r>
            <w:r w:rsidR="00D85C65">
              <w:rPr>
                <w:rFonts w:ascii="Times New Roman" w:hAnsi="Times New Roman"/>
                <w:sz w:val="24"/>
              </w:rPr>
              <w:t xml:space="preserve"> z </w:t>
            </w:r>
            <w:r w:rsidRPr="00D85C65">
              <w:rPr>
                <w:rFonts w:ascii="Times New Roman" w:hAnsi="Times New Roman"/>
                <w:sz w:val="24"/>
              </w:rPr>
              <w:t>derivátového nástroja uvedeného</w:t>
            </w:r>
            <w:r w:rsidR="00D85C65">
              <w:rPr>
                <w:rFonts w:ascii="Times New Roman" w:hAnsi="Times New Roman"/>
                <w:sz w:val="24"/>
              </w:rPr>
              <w:t xml:space="preserve"> v </w:t>
            </w:r>
            <w:r w:rsidRPr="00D85C65">
              <w:rPr>
                <w:rFonts w:ascii="Times New Roman" w:hAnsi="Times New Roman"/>
                <w:sz w:val="24"/>
              </w:rPr>
              <w:t>prílohe II CRR sa určujú</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6 CRR. Hodnota expozície voči kreditnému riziku protistrany derivátového nástroja uvedeného</w:t>
            </w:r>
            <w:r w:rsidR="00D85C65">
              <w:rPr>
                <w:rFonts w:ascii="Times New Roman" w:hAnsi="Times New Roman"/>
                <w:sz w:val="24"/>
              </w:rPr>
              <w:t xml:space="preserve"> v </w:t>
            </w:r>
            <w:r w:rsidRPr="00D85C65">
              <w:rPr>
                <w:rFonts w:ascii="Times New Roman" w:hAnsi="Times New Roman"/>
                <w:sz w:val="24"/>
              </w:rPr>
              <w:t>prílohe II CRR sa určuje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6 CRR</w:t>
            </w:r>
            <w:r w:rsidR="00D85C65">
              <w:rPr>
                <w:rFonts w:ascii="Times New Roman" w:hAnsi="Times New Roman"/>
                <w:sz w:val="24"/>
              </w:rPr>
              <w:t>.</w:t>
            </w:r>
          </w:p>
          <w:p w14:paraId="1FA163B5" w14:textId="59585774" w:rsidR="00235D9D" w:rsidRPr="00D85C65" w:rsidRDefault="00235D9D">
            <w:pPr>
              <w:autoSpaceDE w:val="0"/>
              <w:autoSpaceDN w:val="0"/>
              <w:adjustRightInd w:val="0"/>
              <w:spacing w:before="0" w:after="0"/>
              <w:rPr>
                <w:rFonts w:ascii="Times New Roman" w:hAnsi="Times New Roman"/>
                <w:sz w:val="24"/>
              </w:rPr>
            </w:pPr>
          </w:p>
          <w:p w14:paraId="0D7ACF7A" w14:textId="50ECB677"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Pre facility likvidity, kreditné facility</w:t>
            </w:r>
            <w:r w:rsidR="00D85C65">
              <w:rPr>
                <w:rFonts w:ascii="Times New Roman" w:hAnsi="Times New Roman"/>
                <w:sz w:val="24"/>
              </w:rPr>
              <w:t xml:space="preserve"> a </w:t>
            </w:r>
            <w:r w:rsidRPr="00D85C65">
              <w:rPr>
                <w:rFonts w:ascii="Times New Roman" w:hAnsi="Times New Roman"/>
                <w:sz w:val="24"/>
              </w:rPr>
              <w:t>hotovostné zálohy správcu inštitúcie vykazujú nečerpané sumy.</w:t>
            </w:r>
          </w:p>
          <w:p w14:paraId="3B76420E" w14:textId="77777777" w:rsidR="00235D9D" w:rsidRPr="00D85C65" w:rsidRDefault="00235D9D">
            <w:pPr>
              <w:autoSpaceDE w:val="0"/>
              <w:autoSpaceDN w:val="0"/>
              <w:adjustRightInd w:val="0"/>
              <w:spacing w:before="0" w:after="0"/>
              <w:rPr>
                <w:rFonts w:ascii="Times New Roman" w:hAnsi="Times New Roman"/>
                <w:sz w:val="24"/>
              </w:rPr>
            </w:pPr>
          </w:p>
          <w:p w14:paraId="42D0D88B" w14:textId="1A77A0F4"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Pre úrokové</w:t>
            </w:r>
            <w:r w:rsidR="00D85C65">
              <w:rPr>
                <w:rFonts w:ascii="Times New Roman" w:hAnsi="Times New Roman"/>
                <w:sz w:val="24"/>
              </w:rPr>
              <w:t xml:space="preserve"> a </w:t>
            </w:r>
            <w:r w:rsidRPr="00D85C65">
              <w:rPr>
                <w:rFonts w:ascii="Times New Roman" w:hAnsi="Times New Roman"/>
                <w:sz w:val="24"/>
              </w:rPr>
              <w:t>menové swapy sa poskytuje hodnota expozície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248 ods. 1 CRR).</w:t>
            </w:r>
          </w:p>
          <w:p w14:paraId="611034F2" w14:textId="77777777" w:rsidR="00235D9D" w:rsidRPr="00D85C65" w:rsidRDefault="00235D9D">
            <w:pPr>
              <w:autoSpaceDE w:val="0"/>
              <w:autoSpaceDN w:val="0"/>
              <w:adjustRightInd w:val="0"/>
              <w:spacing w:before="0" w:after="0"/>
              <w:rPr>
                <w:rFonts w:ascii="Times New Roman" w:hAnsi="Times New Roman"/>
                <w:sz w:val="24"/>
              </w:rPr>
            </w:pPr>
          </w:p>
          <w:p w14:paraId="45CC09B2" w14:textId="5B9FAE7E"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Podsúvahové položky</w:t>
            </w:r>
            <w:r w:rsidR="00D85C65">
              <w:rPr>
                <w:rFonts w:ascii="Times New Roman" w:hAnsi="Times New Roman"/>
                <w:sz w:val="24"/>
              </w:rPr>
              <w:t xml:space="preserve"> a </w:t>
            </w:r>
            <w:r w:rsidRPr="00D85C65">
              <w:rPr>
                <w:rFonts w:ascii="Times New Roman" w:hAnsi="Times New Roman"/>
                <w:sz w:val="24"/>
              </w:rPr>
              <w:t>deriváty sa rozčleňujú tak, aby</w:t>
            </w:r>
            <w:r w:rsidR="00D85C65">
              <w:rPr>
                <w:rFonts w:ascii="Times New Roman" w:hAnsi="Times New Roman"/>
                <w:sz w:val="24"/>
              </w:rPr>
              <w:t xml:space="preserve"> v </w:t>
            </w:r>
            <w:r w:rsidRPr="00D85C65">
              <w:rPr>
                <w:rFonts w:ascii="Times New Roman" w:hAnsi="Times New Roman"/>
                <w:sz w:val="24"/>
              </w:rPr>
              <w:t>riadkoch 0150</w:t>
            </w:r>
            <w:r w:rsidR="00D85C65">
              <w:rPr>
                <w:rFonts w:ascii="Times New Roman" w:hAnsi="Times New Roman"/>
                <w:sz w:val="24"/>
              </w:rPr>
              <w:t xml:space="preserve"> a </w:t>
            </w:r>
            <w:r w:rsidRPr="00D85C65">
              <w:rPr>
                <w:rFonts w:ascii="Times New Roman" w:hAnsi="Times New Roman"/>
                <w:sz w:val="24"/>
              </w:rPr>
              <w:t>0170 zachytávali informácie týkajúce sa zaobchádzania</w:t>
            </w:r>
            <w:r w:rsidR="00D85C65">
              <w:rPr>
                <w:rFonts w:ascii="Times New Roman" w:hAnsi="Times New Roman"/>
                <w:sz w:val="24"/>
              </w:rPr>
              <w:t xml:space="preserve"> s </w:t>
            </w:r>
            <w:r w:rsidRPr="00D85C65">
              <w:rPr>
                <w:rFonts w:ascii="Times New Roman" w:hAnsi="Times New Roman"/>
                <w:sz w:val="24"/>
              </w:rPr>
              <w:t>diferencovaným kapitálom, ako sa uvádza</w:t>
            </w:r>
            <w:r w:rsidR="00D85C65">
              <w:rPr>
                <w:rFonts w:ascii="Times New Roman" w:hAnsi="Times New Roman"/>
                <w:sz w:val="24"/>
              </w:rPr>
              <w:t xml:space="preserve"> v </w:t>
            </w:r>
            <w:r w:rsidRPr="00D85C65">
              <w:rPr>
                <w:rFonts w:ascii="Times New Roman" w:hAnsi="Times New Roman"/>
                <w:sz w:val="24"/>
              </w:rPr>
              <w:t>článku 270 CRR,</w:t>
            </w:r>
            <w:r w:rsidR="00D85C65">
              <w:rPr>
                <w:rFonts w:ascii="Times New Roman" w:hAnsi="Times New Roman"/>
                <w:sz w:val="24"/>
              </w:rPr>
              <w:t xml:space="preserve"> a </w:t>
            </w:r>
            <w:r w:rsidRPr="00D85C65">
              <w:rPr>
                <w:rFonts w:ascii="Times New Roman" w:hAnsi="Times New Roman"/>
                <w:sz w:val="24"/>
              </w:rPr>
              <w:t>aby</w:t>
            </w:r>
            <w:r w:rsidR="00D85C65">
              <w:rPr>
                <w:rFonts w:ascii="Times New Roman" w:hAnsi="Times New Roman"/>
                <w:sz w:val="24"/>
              </w:rPr>
              <w:t xml:space="preserve"> v </w:t>
            </w:r>
            <w:r w:rsidRPr="00D85C65">
              <w:rPr>
                <w:rFonts w:ascii="Times New Roman" w:hAnsi="Times New Roman"/>
                <w:sz w:val="24"/>
              </w:rPr>
              <w:t>riadkoch 0160</w:t>
            </w:r>
            <w:r w:rsidR="00D85C65">
              <w:rPr>
                <w:rFonts w:ascii="Times New Roman" w:hAnsi="Times New Roman"/>
                <w:sz w:val="24"/>
              </w:rPr>
              <w:t xml:space="preserve"> a </w:t>
            </w:r>
            <w:r w:rsidRPr="00D85C65">
              <w:rPr>
                <w:rFonts w:ascii="Times New Roman" w:hAnsi="Times New Roman"/>
                <w:sz w:val="24"/>
              </w:rPr>
              <w:t>0180 zachytávali informácie</w:t>
            </w:r>
            <w:r w:rsidR="00D85C65">
              <w:rPr>
                <w:rFonts w:ascii="Times New Roman" w:hAnsi="Times New Roman"/>
                <w:sz w:val="24"/>
              </w:rPr>
              <w:t xml:space="preserve"> o </w:t>
            </w:r>
            <w:r w:rsidRPr="00D85C65">
              <w:rPr>
                <w:rFonts w:ascii="Times New Roman" w:hAnsi="Times New Roman"/>
                <w:sz w:val="24"/>
              </w:rPr>
              <w:t>celkovej hodnote nadriadených sekuritizačných pozícií, ako sú vymedzené</w:t>
            </w:r>
            <w:r w:rsidR="00D85C65">
              <w:rPr>
                <w:rFonts w:ascii="Times New Roman" w:hAnsi="Times New Roman"/>
                <w:sz w:val="24"/>
              </w:rPr>
              <w:t xml:space="preserve"> v </w:t>
            </w:r>
            <w:r w:rsidRPr="00D85C65">
              <w:rPr>
                <w:rFonts w:ascii="Times New Roman" w:hAnsi="Times New Roman"/>
                <w:sz w:val="24"/>
              </w:rPr>
              <w:t>článku 242 ods. 6 CRR. Uplatňujú sa odkazy na tie isté právne predpisy ako pri riadkoch 0100 až 0130.</w:t>
            </w:r>
          </w:p>
          <w:p w14:paraId="3F9CCD14"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16F69C0F" w14:textId="77777777" w:rsidTr="00E10B85">
        <w:tc>
          <w:tcPr>
            <w:tcW w:w="1256" w:type="dxa"/>
          </w:tcPr>
          <w:p w14:paraId="703441DC" w14:textId="515424EE"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0150, 0270</w:t>
            </w:r>
            <w:r w:rsidR="00D85C65">
              <w:rPr>
                <w:rFonts w:ascii="Times New Roman" w:hAnsi="Times New Roman"/>
                <w:bCs/>
                <w:sz w:val="24"/>
              </w:rPr>
              <w:t xml:space="preserve"> a </w:t>
            </w:r>
            <w:r w:rsidRPr="00D85C65">
              <w:rPr>
                <w:rFonts w:ascii="Times New Roman" w:hAnsi="Times New Roman"/>
                <w:bCs/>
                <w:sz w:val="24"/>
              </w:rPr>
              <w:t>0390</w:t>
            </w:r>
          </w:p>
        </w:tc>
        <w:tc>
          <w:tcPr>
            <w:tcW w:w="7889" w:type="dxa"/>
          </w:tcPr>
          <w:p w14:paraId="1FCF9188" w14:textId="76E93635"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SPĹŇAJÚCE PODMIENKY PRE ZAOBCHÁDZANIE</w:t>
            </w:r>
            <w:r w:rsidR="00D85C65">
              <w:rPr>
                <w:rFonts w:ascii="Times New Roman" w:hAnsi="Times New Roman"/>
                <w:b/>
                <w:sz w:val="24"/>
                <w:u w:val="single"/>
              </w:rPr>
              <w:t xml:space="preserve"> S </w:t>
            </w:r>
            <w:r w:rsidRPr="00D85C65">
              <w:rPr>
                <w:rFonts w:ascii="Times New Roman" w:hAnsi="Times New Roman"/>
                <w:b/>
                <w:sz w:val="24"/>
                <w:u w:val="single"/>
              </w:rPr>
              <w:t>DIFERENCOVANÝM KAPITÁLOM</w:t>
            </w:r>
          </w:p>
          <w:p w14:paraId="790EC494"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698481E" w14:textId="06EE7CE3" w:rsidR="00235D9D" w:rsidRPr="00D85C65" w:rsidRDefault="00E026FB">
            <w:pPr>
              <w:autoSpaceDE w:val="0"/>
              <w:autoSpaceDN w:val="0"/>
              <w:adjustRightInd w:val="0"/>
              <w:spacing w:before="0" w:after="0"/>
              <w:jc w:val="left"/>
              <w:rPr>
                <w:rFonts w:ascii="Times New Roman" w:hAnsi="Times New Roman"/>
                <w:sz w:val="24"/>
              </w:rPr>
            </w:pPr>
            <w:r w:rsidRPr="00D85C65">
              <w:rPr>
                <w:rFonts w:ascii="Times New Roman" w:hAnsi="Times New Roman"/>
                <w:sz w:val="24"/>
              </w:rPr>
              <w:t>Celková hodnota sekuritizačných pozícií, ktoré spĺňajú kritériá článku 243 alebo článku 270 CRR,</w:t>
            </w:r>
            <w:r w:rsidR="00D85C65">
              <w:rPr>
                <w:rFonts w:ascii="Times New Roman" w:hAnsi="Times New Roman"/>
                <w:sz w:val="24"/>
              </w:rPr>
              <w:t xml:space="preserve"> a </w:t>
            </w:r>
            <w:r w:rsidRPr="00D85C65">
              <w:rPr>
                <w:rFonts w:ascii="Times New Roman" w:hAnsi="Times New Roman"/>
                <w:sz w:val="24"/>
              </w:rPr>
              <w:t>ktoré teda spĺňajú podmienky pre zaobchádzanie</w:t>
            </w:r>
            <w:r w:rsidR="00D85C65">
              <w:rPr>
                <w:rFonts w:ascii="Times New Roman" w:hAnsi="Times New Roman"/>
                <w:sz w:val="24"/>
              </w:rPr>
              <w:t xml:space="preserve"> s </w:t>
            </w:r>
            <w:r w:rsidRPr="00D85C65">
              <w:rPr>
                <w:rFonts w:ascii="Times New Roman" w:hAnsi="Times New Roman"/>
                <w:sz w:val="24"/>
              </w:rPr>
              <w:t>diferencovaným kapitálom.</w:t>
            </w:r>
          </w:p>
          <w:p w14:paraId="5B138588" w14:textId="77777777" w:rsidR="00235D9D" w:rsidRPr="00D85C65" w:rsidRDefault="00235D9D">
            <w:pPr>
              <w:spacing w:before="0" w:after="0"/>
              <w:rPr>
                <w:rFonts w:ascii="Times New Roman" w:hAnsi="Times New Roman"/>
                <w:b/>
                <w:sz w:val="24"/>
                <w:u w:val="single"/>
              </w:rPr>
            </w:pPr>
          </w:p>
        </w:tc>
      </w:tr>
      <w:tr w:rsidR="00235D9D" w:rsidRPr="00D85C65" w14:paraId="5CE68763" w14:textId="77777777" w:rsidTr="00E10B85">
        <w:tc>
          <w:tcPr>
            <w:tcW w:w="1256" w:type="dxa"/>
          </w:tcPr>
          <w:p w14:paraId="0DCDA346"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0200</w:t>
            </w:r>
          </w:p>
        </w:tc>
        <w:tc>
          <w:tcPr>
            <w:tcW w:w="7889" w:type="dxa"/>
          </w:tcPr>
          <w:p w14:paraId="1984404D"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INVESTOR: CELKOVÉ EXPOZÍCIE</w:t>
            </w:r>
          </w:p>
          <w:p w14:paraId="2A624B9E" w14:textId="00961A86" w:rsidR="00235D9D" w:rsidRPr="00D85C65" w:rsidRDefault="00235D9D">
            <w:pPr>
              <w:autoSpaceDE w:val="0"/>
              <w:autoSpaceDN w:val="0"/>
              <w:adjustRightInd w:val="0"/>
              <w:spacing w:before="0" w:after="0"/>
              <w:jc w:val="left"/>
              <w:rPr>
                <w:rFonts w:ascii="Times New Roman" w:hAnsi="Times New Roman"/>
                <w:sz w:val="24"/>
              </w:rPr>
            </w:pPr>
          </w:p>
          <w:p w14:paraId="32E07AAD" w14:textId="3A96BB3B" w:rsidR="00D85C65" w:rsidRDefault="00E026FB">
            <w:pPr>
              <w:autoSpaceDE w:val="0"/>
              <w:autoSpaceDN w:val="0"/>
              <w:adjustRightInd w:val="0"/>
              <w:spacing w:before="0" w:after="0"/>
              <w:rPr>
                <w:rStyle w:val="FormatvorlageInstructionsTabelleText"/>
                <w:rFonts w:ascii="Times New Roman" w:hAnsi="Times New Roman"/>
                <w:sz w:val="24"/>
              </w:rPr>
            </w:pPr>
            <w:r w:rsidRPr="00D85C65">
              <w:rPr>
                <w:rStyle w:val="FormatvorlageInstructionsTabelleText"/>
                <w:rFonts w:ascii="Times New Roman" w:hAnsi="Times New Roman"/>
                <w:sz w:val="24"/>
              </w:rPr>
              <w:t>V tomto riadku sa sumarizujú informácie</w:t>
            </w:r>
            <w:r w:rsidR="00D85C65">
              <w:rPr>
                <w:rStyle w:val="FormatvorlageInstructionsTabelleText"/>
                <w:rFonts w:ascii="Times New Roman" w:hAnsi="Times New Roman"/>
                <w:sz w:val="24"/>
              </w:rPr>
              <w:t xml:space="preserve"> o </w:t>
            </w:r>
            <w:r w:rsidRPr="00D85C65">
              <w:rPr>
                <w:rStyle w:val="FormatvorlageInstructionsTabelleText"/>
                <w:rFonts w:ascii="Times New Roman" w:hAnsi="Times New Roman"/>
                <w:sz w:val="24"/>
              </w:rPr>
              <w:t>súvahových</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podsúvahových položkách</w:t>
            </w:r>
            <w:r w:rsidR="00D85C65">
              <w:rPr>
                <w:rStyle w:val="FormatvorlageInstructionsTabelleText"/>
                <w:rFonts w:ascii="Times New Roman" w:hAnsi="Times New Roman"/>
                <w:sz w:val="24"/>
              </w:rPr>
              <w:t xml:space="preserve"> a </w:t>
            </w:r>
            <w:r w:rsidRPr="00D85C65">
              <w:rPr>
                <w:rStyle w:val="FormatvorlageInstructionsTabelleText"/>
                <w:rFonts w:ascii="Times New Roman" w:hAnsi="Times New Roman"/>
                <w:sz w:val="24"/>
              </w:rPr>
              <w:t>derivátoch tých sekuritizačných</w:t>
            </w:r>
            <w:r w:rsidR="00D85C65">
              <w:rPr>
                <w:rFonts w:ascii="Times New Roman" w:hAnsi="Times New Roman"/>
                <w:sz w:val="24"/>
              </w:rPr>
              <w:t xml:space="preserve"> a </w:t>
            </w:r>
            <w:r w:rsidRPr="00D85C65">
              <w:rPr>
                <w:rFonts w:ascii="Times New Roman" w:hAnsi="Times New Roman"/>
                <w:sz w:val="24"/>
              </w:rPr>
              <w:t xml:space="preserve">resekuritizačných </w:t>
            </w:r>
            <w:r w:rsidRPr="00D85C65">
              <w:rPr>
                <w:rStyle w:val="FormatvorlageInstructionsTabelleText"/>
                <w:rFonts w:ascii="Times New Roman" w:hAnsi="Times New Roman"/>
                <w:sz w:val="24"/>
              </w:rPr>
              <w:t>pozícií,</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prípade ktorých zohráva inštitúcia úlohu investora</w:t>
            </w:r>
            <w:r w:rsidR="00D85C65">
              <w:rPr>
                <w:rStyle w:val="FormatvorlageInstructionsTabelleText"/>
                <w:rFonts w:ascii="Times New Roman" w:hAnsi="Times New Roman"/>
                <w:sz w:val="24"/>
              </w:rPr>
              <w:t>.</w:t>
            </w:r>
          </w:p>
          <w:p w14:paraId="2CB53497" w14:textId="3C055025" w:rsidR="00235D9D" w:rsidRPr="00D85C65" w:rsidRDefault="00235D9D">
            <w:pPr>
              <w:autoSpaceDE w:val="0"/>
              <w:autoSpaceDN w:val="0"/>
              <w:adjustRightInd w:val="0"/>
              <w:spacing w:before="0" w:after="0"/>
              <w:rPr>
                <w:rStyle w:val="FormatvorlageInstructionsTabelleText"/>
                <w:rFonts w:ascii="Times New Roman" w:hAnsi="Times New Roman"/>
                <w:sz w:val="24"/>
              </w:rPr>
            </w:pPr>
          </w:p>
          <w:p w14:paraId="3EAF4AFD" w14:textId="3FA0613D" w:rsidR="00235D9D" w:rsidRPr="00D85C65" w:rsidRDefault="00E20FAC">
            <w:pPr>
              <w:autoSpaceDE w:val="0"/>
              <w:autoSpaceDN w:val="0"/>
              <w:adjustRightInd w:val="0"/>
              <w:spacing w:before="0" w:after="0"/>
              <w:rPr>
                <w:rStyle w:val="FormatvorlageInstructionsTabelleText"/>
                <w:rFonts w:ascii="Times New Roman" w:hAnsi="Times New Roman"/>
                <w:sz w:val="24"/>
              </w:rPr>
            </w:pPr>
            <w:r w:rsidRPr="00D85C65">
              <w:rPr>
                <w:rStyle w:val="FormatvorlageInstructionsTabelleText"/>
                <w:rFonts w:ascii="Times New Roman" w:hAnsi="Times New Roman"/>
                <w:sz w:val="24"/>
              </w:rPr>
              <w:t>Na účely tohto vzoru sa pod pojmom investor rozumie inštitúcia, ktorá drží sekuritizačnú pozíciu</w:t>
            </w:r>
            <w:r w:rsidR="00D85C65">
              <w:rPr>
                <w:rStyle w:val="FormatvorlageInstructionsTabelleText"/>
                <w:rFonts w:ascii="Times New Roman" w:hAnsi="Times New Roman"/>
                <w:sz w:val="24"/>
              </w:rPr>
              <w:t xml:space="preserve"> v </w:t>
            </w:r>
            <w:r w:rsidRPr="00D85C65">
              <w:rPr>
                <w:rStyle w:val="FormatvorlageInstructionsTabelleText"/>
                <w:rFonts w:ascii="Times New Roman" w:hAnsi="Times New Roman"/>
                <w:sz w:val="24"/>
              </w:rPr>
              <w:t>sekuritizačnej transakcii, pre ktorú nie je originátorom ani sponzorom.</w:t>
            </w:r>
          </w:p>
          <w:p w14:paraId="65DCA659"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32F3D76F" w14:textId="77777777" w:rsidTr="00E10B85">
        <w:tc>
          <w:tcPr>
            <w:tcW w:w="1256" w:type="dxa"/>
          </w:tcPr>
          <w:p w14:paraId="12E4BFC1" w14:textId="77777777" w:rsidR="00235D9D" w:rsidRPr="00D85C65" w:rsidRDefault="00E026FB">
            <w:pPr>
              <w:autoSpaceDE w:val="0"/>
              <w:autoSpaceDN w:val="0"/>
              <w:adjustRightInd w:val="0"/>
              <w:spacing w:before="0" w:after="0"/>
              <w:rPr>
                <w:rFonts w:ascii="Times New Roman" w:hAnsi="Times New Roman"/>
                <w:bCs/>
                <w:sz w:val="24"/>
              </w:rPr>
            </w:pPr>
            <w:r w:rsidRPr="00D85C65">
              <w:rPr>
                <w:rFonts w:ascii="Times New Roman" w:hAnsi="Times New Roman"/>
                <w:bCs/>
                <w:sz w:val="24"/>
              </w:rPr>
              <w:t>0320</w:t>
            </w:r>
          </w:p>
        </w:tc>
        <w:tc>
          <w:tcPr>
            <w:tcW w:w="7889" w:type="dxa"/>
          </w:tcPr>
          <w:p w14:paraId="7BFBB4D0" w14:textId="77777777" w:rsid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SPONZOR: CELKOVÉ EXPOZÍCIE</w:t>
            </w:r>
          </w:p>
          <w:p w14:paraId="5D2E9B66" w14:textId="01A3979B" w:rsidR="00235D9D" w:rsidRPr="00D85C65" w:rsidRDefault="00235D9D">
            <w:pPr>
              <w:autoSpaceDE w:val="0"/>
              <w:autoSpaceDN w:val="0"/>
              <w:adjustRightInd w:val="0"/>
              <w:spacing w:before="0" w:after="0"/>
              <w:jc w:val="left"/>
              <w:rPr>
                <w:rFonts w:ascii="Times New Roman" w:hAnsi="Times New Roman"/>
                <w:sz w:val="24"/>
              </w:rPr>
            </w:pPr>
          </w:p>
          <w:p w14:paraId="600C7F14" w14:textId="782B1435"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 tomto riadku sa sumarizujú informácie</w:t>
            </w:r>
            <w:r w:rsidR="00D85C65">
              <w:rPr>
                <w:rFonts w:ascii="Times New Roman" w:hAnsi="Times New Roman"/>
                <w:sz w:val="24"/>
              </w:rPr>
              <w:t xml:space="preserve"> o </w:t>
            </w:r>
            <w:r w:rsidRPr="00D85C65">
              <w:rPr>
                <w:rFonts w:ascii="Times New Roman" w:hAnsi="Times New Roman"/>
                <w:sz w:val="24"/>
              </w:rPr>
              <w:t>súvahových položkách, podsúvahových položkách</w:t>
            </w:r>
            <w:r w:rsidR="00D85C65">
              <w:rPr>
                <w:rFonts w:ascii="Times New Roman" w:hAnsi="Times New Roman"/>
                <w:sz w:val="24"/>
              </w:rPr>
              <w:t xml:space="preserve"> a </w:t>
            </w:r>
            <w:r w:rsidRPr="00D85C65">
              <w:rPr>
                <w:rFonts w:ascii="Times New Roman" w:hAnsi="Times New Roman"/>
                <w:sz w:val="24"/>
              </w:rPr>
              <w:t>derivátoch uvedených sekuritizačných</w:t>
            </w:r>
            <w:r w:rsidR="00D85C65">
              <w:rPr>
                <w:rFonts w:ascii="Times New Roman" w:hAnsi="Times New Roman"/>
                <w:sz w:val="24"/>
              </w:rPr>
              <w:t xml:space="preserve"> a </w:t>
            </w:r>
            <w:r w:rsidRPr="00D85C65">
              <w:rPr>
                <w:rFonts w:ascii="Times New Roman" w:hAnsi="Times New Roman"/>
                <w:sz w:val="24"/>
              </w:rPr>
              <w:t>resekuritizačných pozícií,</w:t>
            </w:r>
            <w:r w:rsidR="00D85C65">
              <w:rPr>
                <w:rFonts w:ascii="Times New Roman" w:hAnsi="Times New Roman"/>
                <w:sz w:val="24"/>
              </w:rPr>
              <w:t xml:space="preserve"> v </w:t>
            </w:r>
            <w:r w:rsidRPr="00D85C65">
              <w:rPr>
                <w:rFonts w:ascii="Times New Roman" w:hAnsi="Times New Roman"/>
                <w:sz w:val="24"/>
              </w:rPr>
              <w:t>prípade ktorých zohráva inštitúcia úlohu sponzora podľa vymedzenia</w:t>
            </w:r>
            <w:r w:rsidR="00D85C65">
              <w:rPr>
                <w:rFonts w:ascii="Times New Roman" w:hAnsi="Times New Roman"/>
                <w:sz w:val="24"/>
              </w:rPr>
              <w:t xml:space="preserve"> v </w:t>
            </w:r>
            <w:r w:rsidRPr="00D85C65">
              <w:rPr>
                <w:rFonts w:ascii="Times New Roman" w:hAnsi="Times New Roman"/>
                <w:sz w:val="24"/>
              </w:rPr>
              <w:t>článku 4 ods. 1 bode 14 CRR. Ak sponzor sekuritizuje aj svoje vlastné aktíva,</w:t>
            </w:r>
            <w:r w:rsidR="00D85C65">
              <w:rPr>
                <w:rFonts w:ascii="Times New Roman" w:hAnsi="Times New Roman"/>
                <w:sz w:val="24"/>
              </w:rPr>
              <w:t xml:space="preserve"> v </w:t>
            </w:r>
            <w:r w:rsidRPr="00D85C65">
              <w:rPr>
                <w:rFonts w:ascii="Times New Roman" w:hAnsi="Times New Roman"/>
                <w:sz w:val="24"/>
              </w:rPr>
              <w:t>riadkoch originátora uvedie informácie týkajúce sa svojich vlastných sekuritizovaných aktív.</w:t>
            </w:r>
          </w:p>
          <w:p w14:paraId="5A74191A"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581F91D8" w14:textId="77777777" w:rsidTr="00E10B85">
        <w:tc>
          <w:tcPr>
            <w:tcW w:w="1256" w:type="dxa"/>
          </w:tcPr>
          <w:p w14:paraId="4F9C80C2" w14:textId="77777777" w:rsidR="00235D9D" w:rsidRPr="00D85C65" w:rsidRDefault="00E026FB">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0440 – 0670</w:t>
            </w:r>
          </w:p>
        </w:tc>
        <w:tc>
          <w:tcPr>
            <w:tcW w:w="7889" w:type="dxa"/>
          </w:tcPr>
          <w:p w14:paraId="42047E99" w14:textId="2205750A" w:rsidR="00235D9D" w:rsidRPr="00D85C65" w:rsidRDefault="00E026FB">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ROZČLENENIE ZOSTÁVAJÚCICH POZÍCIÍ PODĽA CQS</w:t>
            </w:r>
            <w:r w:rsidR="00D85C65">
              <w:rPr>
                <w:rFonts w:ascii="Times New Roman" w:hAnsi="Times New Roman"/>
                <w:b/>
                <w:sz w:val="24"/>
                <w:u w:val="single"/>
              </w:rPr>
              <w:t xml:space="preserve"> V </w:t>
            </w:r>
            <w:r w:rsidRPr="00D85C65">
              <w:rPr>
                <w:rFonts w:ascii="Times New Roman" w:hAnsi="Times New Roman"/>
                <w:b/>
                <w:sz w:val="24"/>
                <w:u w:val="single"/>
              </w:rPr>
              <w:t>ČASE VZNIKU</w:t>
            </w:r>
          </w:p>
          <w:p w14:paraId="4179918B"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6FD152CA" w14:textId="7A7B5589"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V týchto riadkoch sa zhromažďujú informácie</w:t>
            </w:r>
            <w:r w:rsidR="00D85C65">
              <w:rPr>
                <w:rFonts w:ascii="Times New Roman" w:hAnsi="Times New Roman"/>
                <w:sz w:val="24"/>
              </w:rPr>
              <w:t xml:space="preserve"> o </w:t>
            </w:r>
            <w:r w:rsidRPr="00D85C65">
              <w:rPr>
                <w:rFonts w:ascii="Times New Roman" w:hAnsi="Times New Roman"/>
                <w:sz w:val="24"/>
              </w:rPr>
              <w:t>nesplatených pozíciách (k dátumu vykazovania), pre ktoré bol</w:t>
            </w:r>
            <w:r w:rsidR="00D85C65">
              <w:rPr>
                <w:rFonts w:ascii="Times New Roman" w:hAnsi="Times New Roman"/>
                <w:sz w:val="24"/>
              </w:rPr>
              <w:t xml:space="preserve"> k </w:t>
            </w:r>
            <w:r w:rsidRPr="00D85C65">
              <w:rPr>
                <w:rFonts w:ascii="Times New Roman" w:hAnsi="Times New Roman"/>
                <w:sz w:val="24"/>
              </w:rPr>
              <w:t>dátumu vzniku určený stupeň kreditnej kvality (ako je stanovené</w:t>
            </w:r>
            <w:r w:rsidR="00D85C65">
              <w:rPr>
                <w:rFonts w:ascii="Times New Roman" w:hAnsi="Times New Roman"/>
                <w:sz w:val="24"/>
              </w:rPr>
              <w:t xml:space="preserve"> v </w:t>
            </w:r>
            <w:r w:rsidRPr="00D85C65">
              <w:rPr>
                <w:rFonts w:ascii="Times New Roman" w:hAnsi="Times New Roman"/>
                <w:sz w:val="24"/>
              </w:rPr>
              <w:t>tabuľkách 1</w:t>
            </w:r>
            <w:r w:rsidR="00D85C65">
              <w:rPr>
                <w:rFonts w:ascii="Times New Roman" w:hAnsi="Times New Roman"/>
                <w:sz w:val="24"/>
              </w:rPr>
              <w:t xml:space="preserve"> a </w:t>
            </w:r>
            <w:r w:rsidRPr="00D85C65">
              <w:rPr>
                <w:rFonts w:ascii="Times New Roman" w:hAnsi="Times New Roman"/>
                <w:sz w:val="24"/>
              </w:rPr>
              <w:t>2 článku 263</w:t>
            </w:r>
            <w:r w:rsidR="00D85C65">
              <w:rPr>
                <w:rFonts w:ascii="Times New Roman" w:hAnsi="Times New Roman"/>
                <w:sz w:val="24"/>
              </w:rPr>
              <w:t xml:space="preserve"> a </w:t>
            </w:r>
            <w:r w:rsidRPr="00D85C65">
              <w:rPr>
                <w:rFonts w:ascii="Times New Roman" w:hAnsi="Times New Roman"/>
                <w:sz w:val="24"/>
              </w:rPr>
              <w:t>tabuľkách 3</w:t>
            </w:r>
            <w:r w:rsidR="00D85C65">
              <w:rPr>
                <w:rFonts w:ascii="Times New Roman" w:hAnsi="Times New Roman"/>
                <w:sz w:val="24"/>
              </w:rPr>
              <w:t xml:space="preserve"> a </w:t>
            </w:r>
            <w:r w:rsidRPr="00D85C65">
              <w:rPr>
                <w:rFonts w:ascii="Times New Roman" w:hAnsi="Times New Roman"/>
                <w:sz w:val="24"/>
              </w:rPr>
              <w:t>4 článku 264 CRR). Pri sekuritizačných pozíciách,</w:t>
            </w:r>
            <w:r w:rsidR="00D85C65">
              <w:rPr>
                <w:rFonts w:ascii="Times New Roman" w:hAnsi="Times New Roman"/>
                <w:sz w:val="24"/>
              </w:rPr>
              <w:t xml:space="preserve"> s </w:t>
            </w:r>
            <w:r w:rsidRPr="00D85C65">
              <w:rPr>
                <w:rFonts w:ascii="Times New Roman" w:hAnsi="Times New Roman"/>
                <w:sz w:val="24"/>
              </w:rPr>
              <w:t>ktorými sa zaobchádza podľa IAA, je stupňom kreditnej kvality stupeň, ktorý bol priradený</w:t>
            </w:r>
            <w:r w:rsidR="00D85C65">
              <w:rPr>
                <w:rFonts w:ascii="Times New Roman" w:hAnsi="Times New Roman"/>
                <w:sz w:val="24"/>
              </w:rPr>
              <w:t xml:space="preserve"> v </w:t>
            </w:r>
            <w:r w:rsidRPr="00D85C65">
              <w:rPr>
                <w:rFonts w:ascii="Times New Roman" w:hAnsi="Times New Roman"/>
                <w:sz w:val="24"/>
              </w:rPr>
              <w:t>čase, keď bolo po prvýkrát priradené ratingové hodnotenie IAA. Keď tieto informácie nie sú</w:t>
            </w:r>
            <w:r w:rsidR="00D85C65">
              <w:rPr>
                <w:rFonts w:ascii="Times New Roman" w:hAnsi="Times New Roman"/>
                <w:sz w:val="24"/>
              </w:rPr>
              <w:t xml:space="preserve"> k </w:t>
            </w:r>
            <w:r w:rsidRPr="00D85C65">
              <w:rPr>
                <w:rFonts w:ascii="Times New Roman" w:hAnsi="Times New Roman"/>
                <w:sz w:val="24"/>
              </w:rPr>
              <w:t>dispozícii, vykazujú sa najskoršie údaje rovnocenné</w:t>
            </w:r>
            <w:r w:rsidR="00D85C65">
              <w:rPr>
                <w:rFonts w:ascii="Times New Roman" w:hAnsi="Times New Roman"/>
                <w:sz w:val="24"/>
              </w:rPr>
              <w:t xml:space="preserve"> s </w:t>
            </w:r>
            <w:r w:rsidRPr="00D85C65">
              <w:rPr>
                <w:rFonts w:ascii="Times New Roman" w:hAnsi="Times New Roman"/>
                <w:sz w:val="24"/>
              </w:rPr>
              <w:t>CQS.</w:t>
            </w:r>
          </w:p>
          <w:p w14:paraId="4C6212A8" w14:textId="77777777" w:rsidR="00235D9D" w:rsidRPr="00D85C65" w:rsidRDefault="00235D9D">
            <w:pPr>
              <w:autoSpaceDE w:val="0"/>
              <w:autoSpaceDN w:val="0"/>
              <w:adjustRightInd w:val="0"/>
              <w:spacing w:before="0" w:after="0"/>
              <w:jc w:val="left"/>
              <w:rPr>
                <w:rFonts w:ascii="Times New Roman" w:hAnsi="Times New Roman"/>
                <w:sz w:val="24"/>
              </w:rPr>
            </w:pPr>
          </w:p>
          <w:p w14:paraId="697299DC" w14:textId="11A6B543" w:rsidR="00235D9D" w:rsidRPr="00D85C65" w:rsidRDefault="00E026FB">
            <w:pPr>
              <w:autoSpaceDE w:val="0"/>
              <w:autoSpaceDN w:val="0"/>
              <w:adjustRightInd w:val="0"/>
              <w:spacing w:before="0" w:after="0"/>
              <w:rPr>
                <w:rFonts w:ascii="Times New Roman" w:hAnsi="Times New Roman"/>
                <w:sz w:val="24"/>
              </w:rPr>
            </w:pPr>
            <w:r w:rsidRPr="00D85C65">
              <w:rPr>
                <w:rFonts w:ascii="Times New Roman" w:hAnsi="Times New Roman"/>
                <w:sz w:val="24"/>
              </w:rPr>
              <w:t>Tieto riadky sa vypĺňajú len pre stĺpce 0180 až 0210, 0280, 0350 až 0640, 0700 až 0720, 0740, 0760 až 0830</w:t>
            </w:r>
            <w:r w:rsidR="00D85C65">
              <w:rPr>
                <w:rFonts w:ascii="Times New Roman" w:hAnsi="Times New Roman"/>
                <w:sz w:val="24"/>
              </w:rPr>
              <w:t xml:space="preserve"> a </w:t>
            </w:r>
            <w:r w:rsidRPr="00D85C65">
              <w:rPr>
                <w:rFonts w:ascii="Times New Roman" w:hAnsi="Times New Roman"/>
                <w:sz w:val="24"/>
              </w:rPr>
              <w:t>0850.</w:t>
            </w:r>
          </w:p>
          <w:p w14:paraId="6C857D29"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bl>
    <w:p w14:paraId="4E2AE05D" w14:textId="77777777" w:rsidR="00235D9D" w:rsidRPr="00D85C65" w:rsidRDefault="00235D9D">
      <w:pPr>
        <w:autoSpaceDE w:val="0"/>
        <w:autoSpaceDN w:val="0"/>
        <w:adjustRightInd w:val="0"/>
        <w:spacing w:before="0" w:after="0"/>
        <w:jc w:val="left"/>
        <w:rPr>
          <w:rFonts w:ascii="Times New Roman" w:hAnsi="Times New Roman"/>
          <w:sz w:val="24"/>
        </w:rPr>
      </w:pPr>
    </w:p>
    <w:p w14:paraId="5DEE21E8" w14:textId="04E7BFB4" w:rsidR="00235D9D" w:rsidRPr="00D85C65" w:rsidRDefault="00125707">
      <w:pPr>
        <w:pStyle w:val="Instructionsberschrift2"/>
        <w:numPr>
          <w:ilvl w:val="0"/>
          <w:numId w:val="0"/>
        </w:numPr>
        <w:ind w:left="357" w:hanging="357"/>
        <w:rPr>
          <w:rFonts w:ascii="Times New Roman" w:hAnsi="Times New Roman" w:cs="Times New Roman"/>
          <w:sz w:val="24"/>
        </w:rPr>
      </w:pPr>
      <w:bookmarkStart w:id="65" w:name="_Toc29994508"/>
      <w:r w:rsidRPr="00D85C65">
        <w:rPr>
          <w:rFonts w:ascii="Times New Roman" w:hAnsi="Times New Roman"/>
          <w:sz w:val="24"/>
          <w:u w:val="none"/>
        </w:rPr>
        <w:t>3.9.</w:t>
      </w:r>
      <w:r w:rsidRPr="00D85C65">
        <w:rPr>
          <w:rFonts w:ascii="Times New Roman" w:hAnsi="Times New Roman"/>
          <w:sz w:val="24"/>
          <w:u w:val="none"/>
        </w:rPr>
        <w:tab/>
      </w:r>
      <w:r w:rsidRPr="00D85C65">
        <w:rPr>
          <w:rFonts w:ascii="Times New Roman" w:hAnsi="Times New Roman"/>
          <w:sz w:val="24"/>
        </w:rPr>
        <w:t>Podrobné informácie</w:t>
      </w:r>
      <w:r w:rsidR="00D85C65">
        <w:rPr>
          <w:rFonts w:ascii="Times New Roman" w:hAnsi="Times New Roman"/>
          <w:sz w:val="24"/>
        </w:rPr>
        <w:t xml:space="preserve"> o </w:t>
      </w:r>
      <w:r w:rsidRPr="00D85C65">
        <w:rPr>
          <w:rFonts w:ascii="Times New Roman" w:hAnsi="Times New Roman"/>
          <w:sz w:val="24"/>
        </w:rPr>
        <w:t>sekuritizáciách (SEC DETAILS)</w:t>
      </w:r>
      <w:bookmarkEnd w:id="65"/>
    </w:p>
    <w:p w14:paraId="13979E1F" w14:textId="77777777" w:rsidR="00235D9D" w:rsidRPr="00D85C65" w:rsidRDefault="00125707">
      <w:pPr>
        <w:pStyle w:val="Instructionsberschrift2"/>
        <w:numPr>
          <w:ilvl w:val="0"/>
          <w:numId w:val="0"/>
        </w:numPr>
        <w:ind w:left="357" w:hanging="357"/>
        <w:rPr>
          <w:rFonts w:ascii="Times New Roman" w:hAnsi="Times New Roman" w:cs="Times New Roman"/>
          <w:sz w:val="24"/>
          <w:u w:val="none"/>
        </w:rPr>
      </w:pPr>
      <w:bookmarkStart w:id="66" w:name="_Toc29994509"/>
      <w:r w:rsidRPr="00D85C65">
        <w:rPr>
          <w:rFonts w:ascii="Times New Roman" w:hAnsi="Times New Roman"/>
          <w:sz w:val="24"/>
          <w:u w:val="none"/>
        </w:rPr>
        <w:t>3.9.1.</w:t>
      </w:r>
      <w:r w:rsidRPr="00D85C65">
        <w:rPr>
          <w:rFonts w:ascii="Times New Roman" w:hAnsi="Times New Roman"/>
          <w:sz w:val="24"/>
          <w:u w:val="none"/>
        </w:rPr>
        <w:tab/>
        <w:t>Rozsah vzoru SEC DETAILS</w:t>
      </w:r>
      <w:bookmarkEnd w:id="66"/>
    </w:p>
    <w:p w14:paraId="6B2C9288" w14:textId="573BAA4F" w:rsidR="00D85C65" w:rsidRDefault="00062A1F">
      <w:pPr>
        <w:pStyle w:val="InstructionsText2"/>
        <w:numPr>
          <w:ilvl w:val="0"/>
          <w:numId w:val="0"/>
        </w:numPr>
        <w:ind w:left="993"/>
      </w:pPr>
      <w:r w:rsidRPr="00D85C65">
        <w:t>109.</w:t>
      </w:r>
      <w:r w:rsidRPr="00D85C65">
        <w:tab/>
      </w:r>
      <w:r w:rsidR="00D85C65">
        <w:t xml:space="preserve"> V </w:t>
      </w:r>
      <w:r w:rsidRPr="00D85C65">
        <w:t>týchto vzoroch sa zhromažďujú informácie na základe jednotlivých transakcií (na rozdiel od súhrnných informácií vykazovaných vo vzoroch CR SEC, MKR SA SEC, MKR SA CTP, CA1</w:t>
      </w:r>
      <w:r w:rsidR="00D85C65">
        <w:t xml:space="preserve"> a </w:t>
      </w:r>
      <w:r w:rsidRPr="00D85C65">
        <w:t>CA2)</w:t>
      </w:r>
      <w:r w:rsidR="00D85C65">
        <w:t xml:space="preserve"> o </w:t>
      </w:r>
      <w:r w:rsidRPr="00D85C65">
        <w:t>všetkých sekuritizáciách, do ktorých je vykazovaná inštitúcia zapojená. Vykazujú sa hlavné prvky každej sekuritizácie, ako napríklad povaha podkladovej skupiny</w:t>
      </w:r>
      <w:r w:rsidR="00D85C65">
        <w:t xml:space="preserve"> a </w:t>
      </w:r>
      <w:r w:rsidRPr="00D85C65">
        <w:t>požiadavky na vlastné zdroje</w:t>
      </w:r>
      <w:r w:rsidR="00D85C65">
        <w:t>.</w:t>
      </w:r>
    </w:p>
    <w:p w14:paraId="3784C6D7" w14:textId="4BB97C89" w:rsidR="00235D9D" w:rsidRPr="00D85C65" w:rsidRDefault="00062A1F">
      <w:pPr>
        <w:pStyle w:val="InstructionsText2"/>
        <w:numPr>
          <w:ilvl w:val="0"/>
          <w:numId w:val="0"/>
        </w:numPr>
        <w:ind w:left="993"/>
      </w:pPr>
      <w:r w:rsidRPr="00D85C65">
        <w:t>110.</w:t>
      </w:r>
      <w:r w:rsidRPr="00D85C65">
        <w:tab/>
      </w:r>
      <w:r w:rsidR="00D85C65">
        <w:t xml:space="preserve"> V </w:t>
      </w:r>
      <w:r w:rsidRPr="00D85C65">
        <w:t>týchto vzoroch sa vykazujú:</w:t>
      </w:r>
    </w:p>
    <w:p w14:paraId="7BCD0350" w14:textId="53C00B8F" w:rsidR="00235D9D" w:rsidRPr="00D85C65" w:rsidRDefault="00062A1F">
      <w:pPr>
        <w:pStyle w:val="InstructionsText2"/>
        <w:numPr>
          <w:ilvl w:val="0"/>
          <w:numId w:val="0"/>
        </w:numPr>
        <w:ind w:left="993"/>
      </w:pPr>
      <w:r w:rsidRPr="00D85C65">
        <w:t>a)</w:t>
      </w:r>
      <w:r w:rsidRPr="00D85C65">
        <w:tab/>
        <w:t>Sekuritizácie,</w:t>
      </w:r>
      <w:r w:rsidR="00D85C65">
        <w:t xml:space="preserve"> v </w:t>
      </w:r>
      <w:r w:rsidRPr="00D85C65">
        <w:t>prípade ktorých je vykazujúca inštitúcia originátorom/sponzorom,</w:t>
      </w:r>
      <w:r w:rsidR="00D85C65">
        <w:t xml:space="preserve"> a </w:t>
      </w:r>
      <w:r w:rsidRPr="00D85C65">
        <w:t>to aj vtedy, keď</w:t>
      </w:r>
      <w:r w:rsidR="00D85C65">
        <w:t xml:space="preserve"> v </w:t>
      </w:r>
      <w:r w:rsidRPr="00D85C65">
        <w:t>sekuritizácii nedrží žiadnu pozíciu.</w:t>
      </w:r>
      <w:r w:rsidR="00D85C65">
        <w:t xml:space="preserve"> V </w:t>
      </w:r>
      <w:r w:rsidRPr="00D85C65">
        <w:t>prípadoch, keď inštitúcie držia</w:t>
      </w:r>
      <w:r w:rsidR="00D85C65">
        <w:t xml:space="preserve"> v </w:t>
      </w:r>
      <w:r w:rsidRPr="00D85C65">
        <w:t>sekuritizácii aspoň jednu pozíciu, bez ohľadu na to, či nastal presun významného rizika alebo nie, inštitúcie vykazujú informácie</w:t>
      </w:r>
      <w:r w:rsidR="00D85C65">
        <w:t xml:space="preserve"> o </w:t>
      </w:r>
      <w:r w:rsidRPr="00D85C65">
        <w:t>všetkých pozíciách, ktoré držia (v bankovej knihe alebo obchodnej knihe). Držané pozície zahŕňajú pozície, ktoré boli ponechané</w:t>
      </w:r>
      <w:r w:rsidR="00D85C65">
        <w:t xml:space="preserve"> v </w:t>
      </w:r>
      <w:r w:rsidRPr="00D85C65">
        <w:t>dôsledku uplatnenia článku 6 nariadenia (EÚ) 2017/2402,</w:t>
      </w:r>
      <w:r w:rsidR="00D85C65">
        <w:t xml:space="preserve"> a </w:t>
      </w:r>
      <w:r w:rsidRPr="00D85C65">
        <w:t>keď sa uplatňuje článok 43 ods. 6 uvedeného nariadenia,</w:t>
      </w:r>
      <w:r w:rsidR="00D85C65">
        <w:t xml:space="preserve"> v </w:t>
      </w:r>
      <w:r w:rsidRPr="00D85C65">
        <w:t>dôsledku uplatnenia článku 405 CRR vo verzii, ktorá bola uplatniteľná</w:t>
      </w:r>
      <w:r w:rsidR="00D85C65">
        <w:t xml:space="preserve"> k </w:t>
      </w:r>
      <w:r w:rsidRPr="00D85C65">
        <w:t>31. decembru 2018.</w:t>
      </w:r>
    </w:p>
    <w:p w14:paraId="030512C5" w14:textId="3938546C" w:rsidR="00235D9D" w:rsidRPr="00D85C65" w:rsidRDefault="00062A1F">
      <w:pPr>
        <w:pStyle w:val="InstructionsText2"/>
        <w:numPr>
          <w:ilvl w:val="0"/>
          <w:numId w:val="0"/>
        </w:numPr>
        <w:ind w:left="993"/>
      </w:pPr>
      <w:r w:rsidRPr="00D85C65">
        <w:t>b)</w:t>
      </w:r>
      <w:r w:rsidRPr="00D85C65">
        <w:tab/>
        <w:t>Sekuritizácie, ktorých základným podkladovým aktívom sú finančné záväzky pôvodne emitované vykazujúcou inštitúciou</w:t>
      </w:r>
      <w:r w:rsidR="00D85C65">
        <w:t xml:space="preserve"> a </w:t>
      </w:r>
      <w:r w:rsidRPr="00D85C65">
        <w:t>(čiastočne) nadobudnuté sekuritizačným subjektom. Toto podkladové aktívum by mohlo zahŕňať kryté dlhopisy alebo iné záväzky,</w:t>
      </w:r>
      <w:r w:rsidR="00D85C65">
        <w:t xml:space="preserve"> a v </w:t>
      </w:r>
      <w:r w:rsidRPr="00D85C65">
        <w:t>stĺpci 160 sa teda musí takto aj označiť.</w:t>
      </w:r>
    </w:p>
    <w:p w14:paraId="74ADC909" w14:textId="71D41338" w:rsidR="00235D9D" w:rsidRPr="00D85C65" w:rsidRDefault="002409C1">
      <w:pPr>
        <w:pStyle w:val="InstructionsText2"/>
        <w:numPr>
          <w:ilvl w:val="0"/>
          <w:numId w:val="0"/>
        </w:numPr>
        <w:ind w:left="993"/>
      </w:pPr>
      <w:r w:rsidRPr="00D85C65">
        <w:t>c)</w:t>
      </w:r>
      <w:r w:rsidRPr="00D85C65">
        <w:tab/>
        <w:t>Pozície držané</w:t>
      </w:r>
      <w:r w:rsidR="00D85C65">
        <w:t xml:space="preserve"> v </w:t>
      </w:r>
      <w:r w:rsidRPr="00D85C65">
        <w:t>sekuritizáciách, keď vykazujúca inštitúcia nie je originátorom ani sponzorom (t. j. investori</w:t>
      </w:r>
      <w:r w:rsidR="00D85C65">
        <w:t xml:space="preserve"> a </w:t>
      </w:r>
      <w:r w:rsidRPr="00D85C65">
        <w:t>pôvodní veritelia).</w:t>
      </w:r>
    </w:p>
    <w:p w14:paraId="6300990C" w14:textId="3D34EC70" w:rsidR="00D85C65" w:rsidRDefault="00062A1F">
      <w:pPr>
        <w:pStyle w:val="InstructionsText2"/>
        <w:numPr>
          <w:ilvl w:val="0"/>
          <w:numId w:val="0"/>
        </w:numPr>
        <w:ind w:left="993"/>
      </w:pPr>
      <w:r w:rsidRPr="00D85C65">
        <w:t>111.</w:t>
      </w:r>
      <w:r w:rsidRPr="00D85C65">
        <w:tab/>
        <w:t xml:space="preserve"> Tieto vzory vykazujú konsolidované skupiny</w:t>
      </w:r>
      <w:r w:rsidR="00D85C65">
        <w:t xml:space="preserve"> a </w:t>
      </w:r>
      <w:r w:rsidRPr="00D85C65">
        <w:t>samostatné inštitúcie</w:t>
      </w:r>
      <w:r w:rsidRPr="00D85C65">
        <w:rPr>
          <w:vertAlign w:val="superscript"/>
        </w:rPr>
        <w:footnoteReference w:id="13"/>
      </w:r>
      <w:r w:rsidRPr="00D85C65">
        <w:t xml:space="preserve"> so sídlom</w:t>
      </w:r>
      <w:r w:rsidR="00D85C65">
        <w:t xml:space="preserve"> v </w:t>
      </w:r>
      <w:r w:rsidRPr="00D85C65">
        <w:t>tej istej krajine, kde sa na ne vzťahujú požiadavky na vlastné zdroje.</w:t>
      </w:r>
      <w:r w:rsidR="00D85C65">
        <w:t xml:space="preserve"> V </w:t>
      </w:r>
      <w:r w:rsidRPr="00D85C65">
        <w:t>prípade sekuritizácií, ktoré sa týkajú viacerých subjektov tej istej konsolidovanej skupiny, sa uvedie podrobné rozčlenenie podľa subjektov</w:t>
      </w:r>
      <w:r w:rsidR="00D85C65">
        <w:t>.</w:t>
      </w:r>
    </w:p>
    <w:p w14:paraId="6D77FDD7" w14:textId="4C19C74A" w:rsidR="00235D9D" w:rsidRPr="00D85C65" w:rsidRDefault="00062A1F">
      <w:pPr>
        <w:pStyle w:val="InstructionsText2"/>
        <w:numPr>
          <w:ilvl w:val="0"/>
          <w:numId w:val="0"/>
        </w:numPr>
        <w:ind w:left="993"/>
      </w:pPr>
      <w:r w:rsidRPr="00D85C65">
        <w:t>112.</w:t>
      </w:r>
      <w:r w:rsidRPr="00D85C65">
        <w:tab/>
      </w:r>
      <w:r w:rsidR="00D85C65">
        <w:t xml:space="preserve"> V </w:t>
      </w:r>
      <w:r w:rsidRPr="00D85C65">
        <w:t>dôsledku článku 5 nariadenia (EÚ) 2017/2402,</w:t>
      </w:r>
      <w:r w:rsidR="00D85C65">
        <w:t xml:space="preserve"> v </w:t>
      </w:r>
      <w:r w:rsidRPr="00D85C65">
        <w:t>ktorom sa stanovuje, že inštitúcie investujúce do sekuritizačných pozícií získavajú</w:t>
      </w:r>
      <w:r w:rsidR="00D85C65">
        <w:t xml:space="preserve"> o </w:t>
      </w:r>
      <w:r w:rsidRPr="00D85C65">
        <w:t>nich množstvo informácií</w:t>
      </w:r>
      <w:r w:rsidR="00D85C65">
        <w:t xml:space="preserve"> s </w:t>
      </w:r>
      <w:r w:rsidRPr="00D85C65">
        <w:t>cieľom dodržať požiadavky na náležitú starostlivosť, rozsah vykazovania vzoru sa na investorov uplatňuje</w:t>
      </w:r>
      <w:r w:rsidR="00D85C65">
        <w:t xml:space="preserve"> v </w:t>
      </w:r>
      <w:r w:rsidRPr="00D85C65">
        <w:t>obmedzenom rozsahu. Vykazujú najmä stĺpce 010 – 040; 070 – 110; 161; 190; 290 – 300; 310 – 470.</w:t>
      </w:r>
    </w:p>
    <w:p w14:paraId="2F520B35" w14:textId="20FFCF1B" w:rsidR="00235D9D" w:rsidRPr="00D85C65" w:rsidRDefault="00062A1F">
      <w:pPr>
        <w:pStyle w:val="InstructionsText2"/>
        <w:numPr>
          <w:ilvl w:val="0"/>
          <w:numId w:val="0"/>
        </w:numPr>
        <w:ind w:left="993"/>
      </w:pPr>
      <w:r w:rsidRPr="00D85C65">
        <w:t>113.</w:t>
      </w:r>
      <w:r w:rsidRPr="00D85C65">
        <w:tab/>
        <w:t xml:space="preserve"> Inštitúcie</w:t>
      </w:r>
      <w:r w:rsidR="00D85C65">
        <w:t xml:space="preserve"> v </w:t>
      </w:r>
      <w:r w:rsidRPr="00D85C65">
        <w:t>úlohe pôvodných veriteľov (ktoré nevykonávajú aj úlohu originátorov alebo sponzorov</w:t>
      </w:r>
      <w:r w:rsidR="00D85C65">
        <w:t xml:space="preserve"> v </w:t>
      </w:r>
      <w:r w:rsidRPr="00D85C65">
        <w:t>rovnakej sekuritizácii) vypĺňajú vzor spravidla</w:t>
      </w:r>
      <w:r w:rsidR="00D85C65">
        <w:t xml:space="preserve"> v </w:t>
      </w:r>
      <w:r w:rsidRPr="00D85C65">
        <w:t>rovnakom rozsahu ako investori.</w:t>
      </w:r>
    </w:p>
    <w:p w14:paraId="7984AB85" w14:textId="019A5FD2" w:rsidR="00235D9D" w:rsidRPr="00D85C65" w:rsidRDefault="00062A1F">
      <w:pPr>
        <w:pStyle w:val="Instructionsberschrift2"/>
        <w:numPr>
          <w:ilvl w:val="0"/>
          <w:numId w:val="0"/>
        </w:numPr>
        <w:ind w:left="357" w:hanging="357"/>
        <w:rPr>
          <w:rFonts w:ascii="Times New Roman" w:hAnsi="Times New Roman" w:cs="Times New Roman"/>
          <w:sz w:val="24"/>
          <w:u w:val="none"/>
        </w:rPr>
      </w:pPr>
      <w:bookmarkStart w:id="67" w:name="_Toc29994510"/>
      <w:r w:rsidRPr="00D85C65">
        <w:rPr>
          <w:rFonts w:ascii="Times New Roman" w:hAnsi="Times New Roman"/>
          <w:sz w:val="24"/>
          <w:u w:val="none"/>
        </w:rPr>
        <w:lastRenderedPageBreak/>
        <w:t>3.9.2. Rozčlenenie vzoru SEC DETAILS</w:t>
      </w:r>
      <w:bookmarkEnd w:id="67"/>
    </w:p>
    <w:p w14:paraId="6F470765" w14:textId="0E3EC3CA" w:rsidR="00D85C65" w:rsidRDefault="00CA4EB2">
      <w:pPr>
        <w:pStyle w:val="InstructionsText2"/>
        <w:numPr>
          <w:ilvl w:val="0"/>
          <w:numId w:val="0"/>
        </w:numPr>
        <w:ind w:left="993"/>
      </w:pPr>
      <w:r w:rsidRPr="00D85C65">
        <w:t>113a. Vzor SEC DETAILS tvoria dva vzory. Vzor SEC DETAILS poskytuje všeobecný prehľad</w:t>
      </w:r>
      <w:r w:rsidR="00D85C65">
        <w:t xml:space="preserve"> o </w:t>
      </w:r>
      <w:r w:rsidRPr="00D85C65">
        <w:t>sekuritizáciách</w:t>
      </w:r>
      <w:r w:rsidR="00D85C65">
        <w:t xml:space="preserve"> a </w:t>
      </w:r>
      <w:r w:rsidRPr="00D85C65">
        <w:t>vzor SEC DETAILS 2 poskytuje rozčlenenie tých istých sekuritizácií podľa uplatneného prístupu</w:t>
      </w:r>
      <w:r w:rsidR="00D85C65">
        <w:t>.</w:t>
      </w:r>
    </w:p>
    <w:p w14:paraId="2851E827" w14:textId="3B191C56" w:rsidR="00D85C65" w:rsidRDefault="00CA4EB2">
      <w:pPr>
        <w:pStyle w:val="InstructionsText2"/>
        <w:numPr>
          <w:ilvl w:val="0"/>
          <w:numId w:val="0"/>
        </w:numPr>
        <w:ind w:left="1353" w:hanging="360"/>
      </w:pPr>
      <w:r w:rsidRPr="00D85C65">
        <w:t>113b. Sekuritizačné pozície</w:t>
      </w:r>
      <w:r w:rsidR="00D85C65">
        <w:t xml:space="preserve"> v </w:t>
      </w:r>
      <w:r w:rsidRPr="00D85C65">
        <w:t>obchodnej knihe sa vykazujú len</w:t>
      </w:r>
      <w:r w:rsidR="00D85C65">
        <w:t xml:space="preserve"> v </w:t>
      </w:r>
      <w:r w:rsidRPr="00D85C65">
        <w:t>stĺpcoch 005 až 020, 420, 430, 431, 432, 440</w:t>
      </w:r>
      <w:r w:rsidR="00D85C65">
        <w:t xml:space="preserve"> a </w:t>
      </w:r>
      <w:r w:rsidRPr="00D85C65">
        <w:t>450 až 470. Pri stĺpcoch 420, 430</w:t>
      </w:r>
      <w:r w:rsidR="00D85C65">
        <w:t xml:space="preserve"> a </w:t>
      </w:r>
      <w:r w:rsidRPr="00D85C65">
        <w:t>440 inštitúcie zohľadňujú rizikovú váhu zodpovedajúcu požiadavke na vlastné zdroje čistej pozície</w:t>
      </w:r>
      <w:r w:rsidR="00D85C65">
        <w:t>.</w:t>
      </w:r>
    </w:p>
    <w:p w14:paraId="63D5DB28" w14:textId="706E0FC5" w:rsidR="00235D9D" w:rsidRPr="00D85C65" w:rsidRDefault="00FC6275">
      <w:pPr>
        <w:pStyle w:val="Instructionsberschrift2"/>
        <w:numPr>
          <w:ilvl w:val="0"/>
          <w:numId w:val="0"/>
        </w:numPr>
        <w:ind w:left="357" w:hanging="357"/>
        <w:rPr>
          <w:rFonts w:ascii="Times New Roman" w:hAnsi="Times New Roman" w:cs="Times New Roman"/>
          <w:sz w:val="24"/>
          <w:u w:val="none"/>
        </w:rPr>
      </w:pPr>
      <w:bookmarkStart w:id="68" w:name="_Toc29994511"/>
      <w:r w:rsidRPr="00D85C65">
        <w:rPr>
          <w:rFonts w:ascii="Times New Roman" w:hAnsi="Times New Roman"/>
          <w:sz w:val="24"/>
          <w:u w:val="none"/>
        </w:rPr>
        <w:t>3.9.3. C 14.00 – Podrobné informácie</w:t>
      </w:r>
      <w:r w:rsidR="00D85C65">
        <w:rPr>
          <w:rFonts w:ascii="Times New Roman" w:hAnsi="Times New Roman"/>
          <w:sz w:val="24"/>
          <w:u w:val="none"/>
        </w:rPr>
        <w:t xml:space="preserve"> o </w:t>
      </w:r>
      <w:r w:rsidRPr="00D85C65">
        <w:rPr>
          <w:rFonts w:ascii="Times New Roman" w:hAnsi="Times New Roman"/>
          <w:sz w:val="24"/>
          <w:u w:val="none"/>
        </w:rPr>
        <w:t>sekuritizáciách (SEC DETAILS)</w:t>
      </w:r>
      <w:bookmarkEnd w:id="6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235D9D" w:rsidRPr="00D85C65" w14:paraId="26A3EDEF" w14:textId="77777777" w:rsidTr="00E10B85">
        <w:tc>
          <w:tcPr>
            <w:tcW w:w="9004" w:type="dxa"/>
            <w:gridSpan w:val="2"/>
            <w:shd w:val="clear" w:color="auto" w:fill="CCCCCC"/>
          </w:tcPr>
          <w:p w14:paraId="1E456965" w14:textId="77777777" w:rsidR="00235D9D" w:rsidRPr="00D85C65" w:rsidRDefault="00235D9D">
            <w:pPr>
              <w:autoSpaceDE w:val="0"/>
              <w:autoSpaceDN w:val="0"/>
              <w:adjustRightInd w:val="0"/>
              <w:spacing w:before="0" w:after="0"/>
              <w:rPr>
                <w:rFonts w:ascii="Times New Roman" w:hAnsi="Times New Roman"/>
                <w:bCs/>
                <w:sz w:val="24"/>
              </w:rPr>
            </w:pPr>
          </w:p>
          <w:p w14:paraId="67E915B1" w14:textId="77777777" w:rsidR="00235D9D" w:rsidRPr="00D85C65" w:rsidRDefault="00C55547">
            <w:pPr>
              <w:autoSpaceDE w:val="0"/>
              <w:autoSpaceDN w:val="0"/>
              <w:adjustRightInd w:val="0"/>
              <w:spacing w:before="0" w:after="0"/>
              <w:rPr>
                <w:rFonts w:ascii="Times New Roman" w:hAnsi="Times New Roman"/>
                <w:b/>
                <w:bCs/>
                <w:sz w:val="24"/>
              </w:rPr>
            </w:pPr>
            <w:r w:rsidRPr="00D85C65">
              <w:rPr>
                <w:rFonts w:ascii="Times New Roman" w:hAnsi="Times New Roman"/>
                <w:b/>
                <w:sz w:val="24"/>
              </w:rPr>
              <w:t>Stĺpce</w:t>
            </w:r>
          </w:p>
          <w:p w14:paraId="73F20482"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61E4AA35" w14:textId="77777777" w:rsidTr="00E10B85">
        <w:tc>
          <w:tcPr>
            <w:tcW w:w="1101" w:type="dxa"/>
          </w:tcPr>
          <w:p w14:paraId="79EBA34A"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005</w:t>
            </w:r>
          </w:p>
        </w:tc>
        <w:tc>
          <w:tcPr>
            <w:tcW w:w="7903" w:type="dxa"/>
          </w:tcPr>
          <w:p w14:paraId="5FE45A4C"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ČÍSLO RIADKU</w:t>
            </w:r>
          </w:p>
          <w:p w14:paraId="5668FEBC" w14:textId="77777777" w:rsidR="00235D9D" w:rsidRPr="00D85C65" w:rsidRDefault="00235D9D">
            <w:pPr>
              <w:spacing w:before="0" w:after="0"/>
              <w:jc w:val="left"/>
              <w:rPr>
                <w:rFonts w:ascii="Times New Roman" w:hAnsi="Times New Roman"/>
                <w:b/>
                <w:sz w:val="24"/>
                <w:u w:val="single"/>
              </w:rPr>
            </w:pPr>
          </w:p>
          <w:p w14:paraId="15014612" w14:textId="185F2D60"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Číslo riadku je identifikátorom riadku</w:t>
            </w:r>
            <w:r w:rsidR="00D85C65">
              <w:rPr>
                <w:rFonts w:ascii="Times New Roman" w:hAnsi="Times New Roman"/>
                <w:sz w:val="24"/>
              </w:rPr>
              <w:t xml:space="preserve"> a </w:t>
            </w:r>
            <w:r w:rsidRPr="00D85C65">
              <w:rPr>
                <w:rFonts w:ascii="Times New Roman" w:hAnsi="Times New Roman"/>
                <w:sz w:val="24"/>
              </w:rPr>
              <w:t>musí byť jednoznačné pre každý riadok vzoru. Riadi sa číselným poradím 1, 2, 3 atď.</w:t>
            </w:r>
          </w:p>
          <w:p w14:paraId="6CE9D6DC"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3BDF78D0" w14:textId="77777777" w:rsidTr="00E10B85">
        <w:tc>
          <w:tcPr>
            <w:tcW w:w="1101" w:type="dxa"/>
          </w:tcPr>
          <w:p w14:paraId="1C62AFDD"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010</w:t>
            </w:r>
          </w:p>
        </w:tc>
        <w:tc>
          <w:tcPr>
            <w:tcW w:w="7903" w:type="dxa"/>
          </w:tcPr>
          <w:p w14:paraId="11016763"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INTERNÝ KÓD</w:t>
            </w:r>
          </w:p>
          <w:p w14:paraId="7DE7F9FB" w14:textId="77777777" w:rsidR="00235D9D" w:rsidRPr="00D85C65" w:rsidRDefault="00235D9D">
            <w:pPr>
              <w:spacing w:before="0" w:after="0"/>
              <w:jc w:val="left"/>
              <w:rPr>
                <w:rFonts w:ascii="Times New Roman" w:hAnsi="Times New Roman"/>
                <w:sz w:val="24"/>
              </w:rPr>
            </w:pPr>
          </w:p>
          <w:p w14:paraId="476E1B27" w14:textId="77777777" w:rsidR="00235D9D" w:rsidRPr="00D85C65" w:rsidRDefault="00D956C2">
            <w:pPr>
              <w:autoSpaceDE w:val="0"/>
              <w:autoSpaceDN w:val="0"/>
              <w:adjustRightInd w:val="0"/>
              <w:spacing w:before="0" w:after="0"/>
              <w:rPr>
                <w:rFonts w:ascii="Times New Roman" w:hAnsi="Times New Roman"/>
                <w:sz w:val="24"/>
              </w:rPr>
            </w:pPr>
            <w:r w:rsidRPr="00D85C65">
              <w:rPr>
                <w:rFonts w:ascii="Times New Roman" w:hAnsi="Times New Roman"/>
                <w:sz w:val="24"/>
              </w:rPr>
              <w:t>Interný (alfanumerický) kód, ktorý inštitúcia používa na identifikáciu sekuritizácie. Interný kód je priradený identifikátoru sekuritizačnej transakcie.</w:t>
            </w:r>
          </w:p>
          <w:p w14:paraId="66148281"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3DA7E308" w14:textId="77777777" w:rsidTr="00E10B85">
        <w:tc>
          <w:tcPr>
            <w:tcW w:w="1101" w:type="dxa"/>
          </w:tcPr>
          <w:p w14:paraId="072A9743"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sz w:val="24"/>
              </w:rPr>
              <w:t>020</w:t>
            </w:r>
          </w:p>
        </w:tc>
        <w:tc>
          <w:tcPr>
            <w:tcW w:w="7903" w:type="dxa"/>
          </w:tcPr>
          <w:p w14:paraId="07F994B3"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IDENTIFIKÁTOR SEKURITIZÁCIE</w:t>
            </w:r>
            <w:r w:rsidRPr="00D85C65">
              <w:rPr>
                <w:rFonts w:ascii="Times New Roman" w:hAnsi="Times New Roman"/>
                <w:b/>
                <w:sz w:val="24"/>
              </w:rPr>
              <w:t xml:space="preserve"> (Kód/Názov)</w:t>
            </w:r>
          </w:p>
          <w:p w14:paraId="0CCA42B7" w14:textId="77777777" w:rsidR="00235D9D" w:rsidRPr="00D85C65" w:rsidRDefault="00235D9D">
            <w:pPr>
              <w:spacing w:before="0" w:after="0"/>
              <w:jc w:val="left"/>
              <w:rPr>
                <w:rFonts w:ascii="Times New Roman" w:hAnsi="Times New Roman"/>
                <w:sz w:val="24"/>
              </w:rPr>
            </w:pPr>
          </w:p>
          <w:p w14:paraId="466E15FC" w14:textId="184CDB6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Kód používaný na zákonnú registráciu sekuritizačnej transakcie alebo, ak nie je</w:t>
            </w:r>
            <w:r w:rsidR="00D85C65">
              <w:rPr>
                <w:rFonts w:ascii="Times New Roman" w:hAnsi="Times New Roman"/>
                <w:sz w:val="24"/>
              </w:rPr>
              <w:t xml:space="preserve"> k </w:t>
            </w:r>
            <w:r w:rsidRPr="00D85C65">
              <w:rPr>
                <w:rFonts w:ascii="Times New Roman" w:hAnsi="Times New Roman"/>
                <w:sz w:val="24"/>
              </w:rPr>
              <w:t>dispozícii, názov, pod ktorým je sekuritizačná transakcia známa na trhu alebo</w:t>
            </w:r>
            <w:r w:rsidR="00D85C65">
              <w:rPr>
                <w:rFonts w:ascii="Times New Roman" w:hAnsi="Times New Roman"/>
                <w:sz w:val="24"/>
              </w:rPr>
              <w:t xml:space="preserve"> v </w:t>
            </w:r>
            <w:r w:rsidRPr="00D85C65">
              <w:rPr>
                <w:rFonts w:ascii="Times New Roman" w:hAnsi="Times New Roman"/>
                <w:sz w:val="24"/>
              </w:rPr>
              <w:t>rámci inštitúcie, ak ide</w:t>
            </w:r>
            <w:r w:rsidR="00D85C65">
              <w:rPr>
                <w:rFonts w:ascii="Times New Roman" w:hAnsi="Times New Roman"/>
                <w:sz w:val="24"/>
              </w:rPr>
              <w:t xml:space="preserve"> o </w:t>
            </w:r>
            <w:r w:rsidRPr="00D85C65">
              <w:rPr>
                <w:rFonts w:ascii="Times New Roman" w:hAnsi="Times New Roman"/>
                <w:sz w:val="24"/>
              </w:rPr>
              <w:t>internú alebo súkromnú sekuritizáciu. Keď je</w:t>
            </w:r>
            <w:r w:rsidR="00D85C65">
              <w:rPr>
                <w:rFonts w:ascii="Times New Roman" w:hAnsi="Times New Roman"/>
                <w:sz w:val="24"/>
              </w:rPr>
              <w:t xml:space="preserve"> k </w:t>
            </w:r>
            <w:r w:rsidRPr="00D85C65">
              <w:rPr>
                <w:rFonts w:ascii="Times New Roman" w:hAnsi="Times New Roman"/>
                <w:sz w:val="24"/>
              </w:rPr>
              <w:t>dispozícii medzinárodné identifikačné číslo cenného papiera ISIN (t. j. pre verejné transakcie),</w:t>
            </w:r>
            <w:r w:rsidR="00D85C65">
              <w:rPr>
                <w:rFonts w:ascii="Times New Roman" w:hAnsi="Times New Roman"/>
                <w:sz w:val="24"/>
              </w:rPr>
              <w:t xml:space="preserve"> v </w:t>
            </w:r>
            <w:r w:rsidRPr="00D85C65">
              <w:rPr>
                <w:rFonts w:ascii="Times New Roman" w:hAnsi="Times New Roman"/>
                <w:sz w:val="24"/>
              </w:rPr>
              <w:t>tomto stĺpci sa vykazujú znaky, ktoré sú spoločné pre všetky tranže sekuritizácie.</w:t>
            </w:r>
          </w:p>
          <w:p w14:paraId="084E4489"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6B879E4A" w14:textId="77777777" w:rsidTr="00E10B85">
        <w:tc>
          <w:tcPr>
            <w:tcW w:w="1101" w:type="dxa"/>
          </w:tcPr>
          <w:p w14:paraId="6CBD8AA3"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021</w:t>
            </w:r>
          </w:p>
        </w:tc>
        <w:tc>
          <w:tcPr>
            <w:tcW w:w="7903" w:type="dxa"/>
          </w:tcPr>
          <w:p w14:paraId="3E7C7C29" w14:textId="450712D3"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SEKURITIZÁCIA</w:t>
            </w:r>
            <w:r w:rsidR="00D85C65">
              <w:rPr>
                <w:rFonts w:ascii="Times New Roman" w:hAnsi="Times New Roman"/>
                <w:b/>
                <w:sz w:val="24"/>
                <w:u w:val="single"/>
              </w:rPr>
              <w:t xml:space="preserve"> V </w:t>
            </w:r>
            <w:r w:rsidRPr="00D85C65">
              <w:rPr>
                <w:rFonts w:ascii="Times New Roman" w:hAnsi="Times New Roman"/>
                <w:b/>
                <w:sz w:val="24"/>
                <w:u w:val="single"/>
              </w:rPr>
              <w:t>RÁMCI SKUPINY, SÚKROMNÁ ALEBO VEREJNÁ SEKURITIZÁCIA?</w:t>
            </w:r>
          </w:p>
          <w:p w14:paraId="48B40EEE"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3EAD98BA" w14:textId="78949E1E"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V tomto stĺpci sa identifikuje, či je daná sekuritizácia sekuritizáciou</w:t>
            </w:r>
            <w:r w:rsidR="00D85C65">
              <w:rPr>
                <w:rFonts w:ascii="Times New Roman" w:hAnsi="Times New Roman"/>
                <w:sz w:val="24"/>
              </w:rPr>
              <w:t xml:space="preserve"> v </w:t>
            </w:r>
            <w:r w:rsidRPr="00D85C65">
              <w:rPr>
                <w:rFonts w:ascii="Times New Roman" w:hAnsi="Times New Roman"/>
                <w:sz w:val="24"/>
              </w:rPr>
              <w:t>rámci skupiny, súkromnou alebo verejnou sekuritizáciou.</w:t>
            </w:r>
          </w:p>
          <w:p w14:paraId="24C8F05D" w14:textId="77777777" w:rsidR="00235D9D" w:rsidRPr="00D85C65" w:rsidRDefault="00235D9D">
            <w:pPr>
              <w:autoSpaceDE w:val="0"/>
              <w:autoSpaceDN w:val="0"/>
              <w:adjustRightInd w:val="0"/>
              <w:spacing w:before="0" w:after="0"/>
              <w:jc w:val="left"/>
              <w:rPr>
                <w:rFonts w:ascii="Times New Roman" w:hAnsi="Times New Roman"/>
                <w:sz w:val="24"/>
              </w:rPr>
            </w:pPr>
          </w:p>
          <w:p w14:paraId="4BB9DCA0" w14:textId="6001DC29" w:rsidR="00235D9D" w:rsidRPr="00D85C65" w:rsidRDefault="00E20FAC">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Inštitúcie vykazujú jednu</w:t>
            </w:r>
            <w:r w:rsidR="00D85C65">
              <w:rPr>
                <w:rFonts w:ascii="Times New Roman" w:hAnsi="Times New Roman"/>
                <w:sz w:val="24"/>
              </w:rPr>
              <w:t xml:space="preserve"> z </w:t>
            </w:r>
            <w:r w:rsidRPr="00D85C65">
              <w:rPr>
                <w:rFonts w:ascii="Times New Roman" w:hAnsi="Times New Roman"/>
                <w:sz w:val="24"/>
              </w:rPr>
              <w:t>týchto skratiek:</w:t>
            </w:r>
          </w:p>
          <w:p w14:paraId="3451D2D9" w14:textId="77777777" w:rsidR="00235D9D" w:rsidRPr="00D85C65" w:rsidRDefault="00235D9D">
            <w:pPr>
              <w:autoSpaceDE w:val="0"/>
              <w:autoSpaceDN w:val="0"/>
              <w:adjustRightInd w:val="0"/>
              <w:spacing w:before="0" w:after="0"/>
              <w:jc w:val="left"/>
              <w:rPr>
                <w:rFonts w:ascii="Times New Roman" w:hAnsi="Times New Roman"/>
                <w:sz w:val="24"/>
              </w:rPr>
            </w:pPr>
          </w:p>
          <w:p w14:paraId="421297D0" w14:textId="77777777" w:rsidR="00235D9D" w:rsidRPr="00D85C6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85C65">
              <w:rPr>
                <w:rFonts w:ascii="Times New Roman" w:hAnsi="Times New Roman"/>
                <w:sz w:val="24"/>
              </w:rPr>
              <w:t>„PRI“ pre súkromné sekuritizácie;</w:t>
            </w:r>
          </w:p>
          <w:p w14:paraId="4572E686" w14:textId="4FDB50C8" w:rsidR="00235D9D" w:rsidRPr="00D85C65"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D85C65">
              <w:rPr>
                <w:rFonts w:ascii="Times New Roman" w:hAnsi="Times New Roman"/>
                <w:sz w:val="24"/>
              </w:rPr>
              <w:t>„INT“ pre sekuritizácie</w:t>
            </w:r>
            <w:r w:rsidR="00D85C65">
              <w:rPr>
                <w:rFonts w:ascii="Times New Roman" w:hAnsi="Times New Roman"/>
                <w:sz w:val="24"/>
              </w:rPr>
              <w:t xml:space="preserve"> v </w:t>
            </w:r>
            <w:r w:rsidRPr="00D85C65">
              <w:rPr>
                <w:rFonts w:ascii="Times New Roman" w:hAnsi="Times New Roman"/>
                <w:sz w:val="24"/>
              </w:rPr>
              <w:t>rámci skupiny;</w:t>
            </w:r>
          </w:p>
          <w:p w14:paraId="64026956" w14:textId="77777777" w:rsidR="00235D9D" w:rsidRPr="00D85C6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85C65">
              <w:rPr>
                <w:rFonts w:ascii="Times New Roman" w:hAnsi="Times New Roman"/>
                <w:sz w:val="24"/>
              </w:rPr>
              <w:t>„PUB“ pre verejné sekuritizácie.</w:t>
            </w:r>
          </w:p>
          <w:p w14:paraId="4B8FED18"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1FD2A43D" w14:textId="77777777" w:rsidTr="00E10B85">
        <w:tc>
          <w:tcPr>
            <w:tcW w:w="1101" w:type="dxa"/>
            <w:shd w:val="clear" w:color="auto" w:fill="auto"/>
          </w:tcPr>
          <w:p w14:paraId="4CD05E4A"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110</w:t>
            </w:r>
          </w:p>
        </w:tc>
        <w:tc>
          <w:tcPr>
            <w:tcW w:w="7903" w:type="dxa"/>
            <w:shd w:val="clear" w:color="auto" w:fill="auto"/>
          </w:tcPr>
          <w:p w14:paraId="70BE1BD0"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ÚLOHA INŠTITÚCIE: (ORIGINÁTOR/SPONZOR/PÔVODNÝ VERITEĽ/INVESTOR)</w:t>
            </w:r>
          </w:p>
          <w:p w14:paraId="483E0016" w14:textId="77777777" w:rsidR="00235D9D" w:rsidRPr="00D85C65" w:rsidRDefault="00235D9D">
            <w:pPr>
              <w:autoSpaceDE w:val="0"/>
              <w:autoSpaceDN w:val="0"/>
              <w:adjustRightInd w:val="0"/>
              <w:spacing w:before="0" w:after="0"/>
              <w:jc w:val="left"/>
              <w:rPr>
                <w:rFonts w:ascii="Times New Roman" w:hAnsi="Times New Roman"/>
                <w:sz w:val="24"/>
              </w:rPr>
            </w:pPr>
          </w:p>
          <w:p w14:paraId="71583100" w14:textId="77777777" w:rsidR="00D85C65" w:rsidRDefault="00E20FAC">
            <w:pPr>
              <w:autoSpaceDE w:val="0"/>
              <w:autoSpaceDN w:val="0"/>
              <w:adjustRightInd w:val="0"/>
              <w:spacing w:before="0" w:after="0"/>
              <w:jc w:val="left"/>
              <w:rPr>
                <w:rFonts w:ascii="Times New Roman" w:hAnsi="Times New Roman"/>
                <w:sz w:val="24"/>
              </w:rPr>
            </w:pPr>
            <w:r w:rsidRPr="00D85C65">
              <w:rPr>
                <w:rFonts w:ascii="Times New Roman" w:hAnsi="Times New Roman"/>
                <w:sz w:val="24"/>
              </w:rPr>
              <w:lastRenderedPageBreak/>
              <w:t>Inštitúcie vykazujú tieto skratky</w:t>
            </w:r>
            <w:r w:rsidR="00D85C65">
              <w:rPr>
                <w:rFonts w:ascii="Times New Roman" w:hAnsi="Times New Roman"/>
                <w:sz w:val="24"/>
              </w:rPr>
              <w:t>:</w:t>
            </w:r>
          </w:p>
          <w:p w14:paraId="526A42BE" w14:textId="156225FE"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„O“ pre originátora,</w:t>
            </w:r>
          </w:p>
          <w:p w14:paraId="518F539B"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„S“ pre sponzora,</w:t>
            </w:r>
          </w:p>
          <w:p w14:paraId="55E9F24E"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„I“ pre investora</w:t>
            </w:r>
            <w:r w:rsidR="00D85C65">
              <w:rPr>
                <w:rFonts w:ascii="Times New Roman" w:hAnsi="Times New Roman"/>
                <w:sz w:val="24"/>
              </w:rPr>
              <w:t>.</w:t>
            </w:r>
          </w:p>
          <w:p w14:paraId="19BB498E" w14:textId="46696F91"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„L“ pre pôvodného veriteľa,</w:t>
            </w:r>
          </w:p>
          <w:p w14:paraId="4101962B" w14:textId="77777777" w:rsidR="00235D9D" w:rsidRPr="00D85C65" w:rsidRDefault="00235D9D">
            <w:pPr>
              <w:autoSpaceDE w:val="0"/>
              <w:autoSpaceDN w:val="0"/>
              <w:adjustRightInd w:val="0"/>
              <w:spacing w:before="0" w:after="0"/>
              <w:jc w:val="left"/>
              <w:rPr>
                <w:rFonts w:ascii="Times New Roman" w:hAnsi="Times New Roman"/>
                <w:sz w:val="24"/>
              </w:rPr>
            </w:pPr>
          </w:p>
          <w:p w14:paraId="74EAC855" w14:textId="17CAA9E0" w:rsidR="00235D9D" w:rsidRPr="00D85C65" w:rsidRDefault="00E20FAC">
            <w:pPr>
              <w:autoSpaceDE w:val="0"/>
              <w:autoSpaceDN w:val="0"/>
              <w:adjustRightInd w:val="0"/>
              <w:spacing w:before="0" w:after="0"/>
              <w:jc w:val="left"/>
              <w:rPr>
                <w:rFonts w:ascii="Times New Roman" w:hAnsi="Times New Roman"/>
                <w:sz w:val="24"/>
              </w:rPr>
            </w:pPr>
            <w:r w:rsidRPr="00D85C65">
              <w:rPr>
                <w:rFonts w:ascii="Times New Roman" w:hAnsi="Times New Roman"/>
                <w:sz w:val="24"/>
              </w:rPr>
              <w:t>Originátor</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13 CRR</w:t>
            </w:r>
            <w:r w:rsidR="00D85C65">
              <w:rPr>
                <w:rFonts w:ascii="Times New Roman" w:hAnsi="Times New Roman"/>
                <w:sz w:val="24"/>
              </w:rPr>
              <w:t xml:space="preserve"> a </w:t>
            </w:r>
            <w:r w:rsidRPr="00D85C65">
              <w:rPr>
                <w:rFonts w:ascii="Times New Roman" w:hAnsi="Times New Roman"/>
                <w:sz w:val="24"/>
              </w:rPr>
              <w:t>sponzor</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4 ods. 1 bode 14 CRR. Pri investoroch sa predpokladá, že ide</w:t>
            </w:r>
            <w:r w:rsidR="00D85C65">
              <w:rPr>
                <w:rFonts w:ascii="Times New Roman" w:hAnsi="Times New Roman"/>
                <w:sz w:val="24"/>
              </w:rPr>
              <w:t xml:space="preserve"> o </w:t>
            </w:r>
            <w:r w:rsidRPr="00D85C65">
              <w:rPr>
                <w:rFonts w:ascii="Times New Roman" w:hAnsi="Times New Roman"/>
                <w:sz w:val="24"/>
              </w:rPr>
              <w:t>tie inštitúcie, na ktoré sa vzťahuje článok 5 nariadenia (EÚ) 2017/2402. Ak sa uplatňuje článok 43 ods. 5 nariadenia (EÚ) 2017/2402, uplatňujú sa články 406</w:t>
            </w:r>
            <w:r w:rsidR="00D85C65">
              <w:rPr>
                <w:rFonts w:ascii="Times New Roman" w:hAnsi="Times New Roman"/>
                <w:sz w:val="24"/>
              </w:rPr>
              <w:t xml:space="preserve"> a </w:t>
            </w:r>
            <w:r w:rsidRPr="00D85C65">
              <w:rPr>
                <w:rFonts w:ascii="Times New Roman" w:hAnsi="Times New Roman"/>
                <w:sz w:val="24"/>
              </w:rPr>
              <w:t>407 CRR vo verzii, ktorá bola uplatniteľná</w:t>
            </w:r>
            <w:r w:rsidR="00D85C65">
              <w:rPr>
                <w:rFonts w:ascii="Times New Roman" w:hAnsi="Times New Roman"/>
                <w:sz w:val="24"/>
              </w:rPr>
              <w:t xml:space="preserve"> k </w:t>
            </w:r>
            <w:r w:rsidRPr="00D85C65">
              <w:rPr>
                <w:rFonts w:ascii="Times New Roman" w:hAnsi="Times New Roman"/>
                <w:sz w:val="24"/>
              </w:rPr>
              <w:t>31. decembru 2018.</w:t>
            </w:r>
          </w:p>
          <w:p w14:paraId="6E14677A"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7C1F8386" w14:textId="77777777" w:rsidTr="00E10B85">
        <w:tc>
          <w:tcPr>
            <w:tcW w:w="1101" w:type="dxa"/>
          </w:tcPr>
          <w:p w14:paraId="6EF387CE"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sz w:val="24"/>
              </w:rPr>
              <w:lastRenderedPageBreak/>
              <w:t>030</w:t>
            </w:r>
          </w:p>
        </w:tc>
        <w:tc>
          <w:tcPr>
            <w:tcW w:w="7903" w:type="dxa"/>
          </w:tcPr>
          <w:p w14:paraId="0FADED43"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IDENTIFIKÁTOR ORIGINÁTORA</w:t>
            </w:r>
            <w:r w:rsidRPr="00D85C65">
              <w:rPr>
                <w:rFonts w:ascii="Times New Roman" w:hAnsi="Times New Roman"/>
                <w:b/>
                <w:sz w:val="24"/>
              </w:rPr>
              <w:t xml:space="preserve"> (Kód/Názov)</w:t>
            </w:r>
          </w:p>
          <w:p w14:paraId="1E73EDE5" w14:textId="77777777" w:rsidR="00235D9D" w:rsidRPr="00D85C65" w:rsidRDefault="00235D9D">
            <w:pPr>
              <w:autoSpaceDE w:val="0"/>
              <w:autoSpaceDN w:val="0"/>
              <w:adjustRightInd w:val="0"/>
              <w:spacing w:before="0" w:after="0"/>
              <w:jc w:val="left"/>
              <w:rPr>
                <w:rFonts w:ascii="Times New Roman" w:hAnsi="Times New Roman"/>
                <w:sz w:val="24"/>
              </w:rPr>
            </w:pPr>
          </w:p>
          <w:p w14:paraId="607A39C3" w14:textId="34A7A8B8"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vykazuje kód LEI, ktorý je uplatniteľný pre originátora, alebo, ak nie je</w:t>
            </w:r>
            <w:r w:rsidR="00D85C65">
              <w:rPr>
                <w:rFonts w:ascii="Times New Roman" w:hAnsi="Times New Roman"/>
                <w:sz w:val="24"/>
              </w:rPr>
              <w:t xml:space="preserve"> k </w:t>
            </w:r>
            <w:r w:rsidRPr="00D85C65">
              <w:rPr>
                <w:rFonts w:ascii="Times New Roman" w:hAnsi="Times New Roman"/>
                <w:sz w:val="24"/>
              </w:rPr>
              <w:t>dispozícii, kód, ktorý originátorovi pridelil orgán dohľadu, alebo, ak nie je</w:t>
            </w:r>
            <w:r w:rsidR="00D85C65">
              <w:rPr>
                <w:rFonts w:ascii="Times New Roman" w:hAnsi="Times New Roman"/>
                <w:sz w:val="24"/>
              </w:rPr>
              <w:t xml:space="preserve"> k </w:t>
            </w:r>
            <w:r w:rsidRPr="00D85C65">
              <w:rPr>
                <w:rFonts w:ascii="Times New Roman" w:hAnsi="Times New Roman"/>
                <w:sz w:val="24"/>
              </w:rPr>
              <w:t>dispozícii, názov samotnej inštitúcie.</w:t>
            </w:r>
          </w:p>
          <w:p w14:paraId="4C06EA4C" w14:textId="77777777" w:rsidR="00235D9D" w:rsidRPr="00D85C65" w:rsidRDefault="00235D9D">
            <w:pPr>
              <w:autoSpaceDE w:val="0"/>
              <w:autoSpaceDN w:val="0"/>
              <w:adjustRightInd w:val="0"/>
              <w:spacing w:before="0" w:after="0"/>
              <w:rPr>
                <w:rFonts w:ascii="Times New Roman" w:hAnsi="Times New Roman"/>
                <w:sz w:val="24"/>
              </w:rPr>
            </w:pPr>
          </w:p>
          <w:p w14:paraId="40573422" w14:textId="5435AD7A"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sekuritizácií</w:t>
            </w:r>
            <w:r w:rsidR="00D85C65">
              <w:rPr>
                <w:rFonts w:ascii="Times New Roman" w:hAnsi="Times New Roman"/>
                <w:sz w:val="24"/>
              </w:rPr>
              <w:t xml:space="preserve"> s </w:t>
            </w:r>
            <w:r w:rsidRPr="00D85C65">
              <w:rPr>
                <w:rFonts w:ascii="Times New Roman" w:hAnsi="Times New Roman"/>
                <w:sz w:val="24"/>
              </w:rPr>
              <w:t>viacerými predávajúcimi, do ktorých je vykazujúca inštitúcia zapojená ako originátor, sponzor alebo pôvodný veriteľ, vykazujúca inštitúcia vykazuje identifikátor všetkých subjektov</w:t>
            </w:r>
            <w:r w:rsidR="00D85C65">
              <w:rPr>
                <w:rFonts w:ascii="Times New Roman" w:hAnsi="Times New Roman"/>
                <w:sz w:val="24"/>
              </w:rPr>
              <w:t xml:space="preserve"> v </w:t>
            </w:r>
            <w:r w:rsidRPr="00D85C65">
              <w:rPr>
                <w:rFonts w:ascii="Times New Roman" w:hAnsi="Times New Roman"/>
                <w:sz w:val="24"/>
              </w:rPr>
              <w:t>rámci svojej konsolidovanej skupiny, ktoré sú do transakcie zapojené (ako originátor, sponzor alebo pôvodný veriteľ). Ak kód nie je</w:t>
            </w:r>
            <w:r w:rsidR="00D85C65">
              <w:rPr>
                <w:rFonts w:ascii="Times New Roman" w:hAnsi="Times New Roman"/>
                <w:sz w:val="24"/>
              </w:rPr>
              <w:t xml:space="preserve"> k </w:t>
            </w:r>
            <w:r w:rsidRPr="00D85C65">
              <w:rPr>
                <w:rFonts w:ascii="Times New Roman" w:hAnsi="Times New Roman"/>
                <w:sz w:val="24"/>
              </w:rPr>
              <w:t>dispozícii alebo ho vykazujúca inštitúcia nevie, vykazuje sa názov inštitúcie.</w:t>
            </w:r>
          </w:p>
          <w:p w14:paraId="6C77E3FA" w14:textId="77777777" w:rsidR="00235D9D" w:rsidRPr="00D85C65" w:rsidRDefault="00235D9D">
            <w:pPr>
              <w:autoSpaceDE w:val="0"/>
              <w:autoSpaceDN w:val="0"/>
              <w:adjustRightInd w:val="0"/>
              <w:spacing w:before="0" w:after="0"/>
              <w:rPr>
                <w:rFonts w:ascii="Times New Roman" w:hAnsi="Times New Roman"/>
                <w:sz w:val="24"/>
              </w:rPr>
            </w:pPr>
          </w:p>
          <w:p w14:paraId="4E71CFAD" w14:textId="674C0585"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sekuritizácií</w:t>
            </w:r>
            <w:r w:rsidR="00D85C65">
              <w:rPr>
                <w:rFonts w:ascii="Times New Roman" w:hAnsi="Times New Roman"/>
                <w:sz w:val="24"/>
              </w:rPr>
              <w:t xml:space="preserve"> s </w:t>
            </w:r>
            <w:r w:rsidRPr="00D85C65">
              <w:rPr>
                <w:rFonts w:ascii="Times New Roman" w:hAnsi="Times New Roman"/>
                <w:sz w:val="24"/>
              </w:rPr>
              <w:t>viacerými predávajúcimi, keď vykazujúca inštitúcia drží</w:t>
            </w:r>
            <w:r w:rsidR="00D85C65">
              <w:rPr>
                <w:rFonts w:ascii="Times New Roman" w:hAnsi="Times New Roman"/>
                <w:sz w:val="24"/>
              </w:rPr>
              <w:t xml:space="preserve"> v </w:t>
            </w:r>
            <w:r w:rsidRPr="00D85C65">
              <w:rPr>
                <w:rFonts w:ascii="Times New Roman" w:hAnsi="Times New Roman"/>
                <w:sz w:val="24"/>
              </w:rPr>
              <w:t>sekuritizácii pozíciu ako investor, vykazujúca inštitúcia uvedie identifikátor všetkých jednotlivých originátorov zapojených do sekuritizácie, alebo, ak nie je</w:t>
            </w:r>
            <w:r w:rsidR="00D85C65">
              <w:rPr>
                <w:rFonts w:ascii="Times New Roman" w:hAnsi="Times New Roman"/>
                <w:sz w:val="24"/>
              </w:rPr>
              <w:t xml:space="preserve"> k </w:t>
            </w:r>
            <w:r w:rsidRPr="00D85C65">
              <w:rPr>
                <w:rFonts w:ascii="Times New Roman" w:hAnsi="Times New Roman"/>
                <w:sz w:val="24"/>
              </w:rPr>
              <w:t>dispozícii, názvy jednotlivých originátorov. Keď tieto názvy vykazujúcej inštitúcii nie sú známe, vykazujúca inštitúcia vykáže, že ide</w:t>
            </w:r>
            <w:r w:rsidR="00D85C65">
              <w:rPr>
                <w:rFonts w:ascii="Times New Roman" w:hAnsi="Times New Roman"/>
                <w:sz w:val="24"/>
              </w:rPr>
              <w:t xml:space="preserve"> o </w:t>
            </w:r>
            <w:r w:rsidRPr="00D85C65">
              <w:rPr>
                <w:rFonts w:ascii="Times New Roman" w:hAnsi="Times New Roman"/>
                <w:sz w:val="24"/>
              </w:rPr>
              <w:t>sekuritizáciu</w:t>
            </w:r>
            <w:r w:rsidR="00D85C65">
              <w:rPr>
                <w:rFonts w:ascii="Times New Roman" w:hAnsi="Times New Roman"/>
                <w:sz w:val="24"/>
              </w:rPr>
              <w:t xml:space="preserve"> s </w:t>
            </w:r>
            <w:r w:rsidRPr="00D85C65">
              <w:rPr>
                <w:rFonts w:ascii="Times New Roman" w:hAnsi="Times New Roman"/>
                <w:sz w:val="24"/>
              </w:rPr>
              <w:t>„viacerými predávajúcimi“ (</w:t>
            </w:r>
            <w:r w:rsidRPr="00D85C65">
              <w:rPr>
                <w:rFonts w:ascii="Times New Roman" w:hAnsi="Times New Roman"/>
                <w:i/>
                <w:sz w:val="24"/>
              </w:rPr>
              <w:t>multi-seller</w:t>
            </w:r>
            <w:r w:rsidRPr="00D85C65">
              <w:rPr>
                <w:rFonts w:ascii="Times New Roman" w:hAnsi="Times New Roman"/>
                <w:sz w:val="24"/>
              </w:rPr>
              <w:t>).</w:t>
            </w:r>
          </w:p>
          <w:p w14:paraId="7F390260" w14:textId="77777777" w:rsidR="00235D9D" w:rsidRPr="00D85C65" w:rsidRDefault="00235D9D">
            <w:pPr>
              <w:autoSpaceDE w:val="0"/>
              <w:autoSpaceDN w:val="0"/>
              <w:adjustRightInd w:val="0"/>
              <w:spacing w:before="0" w:after="0"/>
              <w:rPr>
                <w:rFonts w:ascii="Times New Roman" w:hAnsi="Times New Roman"/>
                <w:sz w:val="24"/>
              </w:rPr>
            </w:pPr>
          </w:p>
          <w:p w14:paraId="491D179B"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1F46A12A" w14:textId="77777777" w:rsidTr="00E10B85">
        <w:tc>
          <w:tcPr>
            <w:tcW w:w="1101" w:type="dxa"/>
          </w:tcPr>
          <w:p w14:paraId="6005B34C"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040</w:t>
            </w:r>
          </w:p>
        </w:tc>
        <w:tc>
          <w:tcPr>
            <w:tcW w:w="7903" w:type="dxa"/>
          </w:tcPr>
          <w:p w14:paraId="006B6769" w14:textId="77777777" w:rsid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TYP SEKURITIZÁCIE: (TRADIČNÁ/SYNTETICKÁ/PROGRAM ABCP/TRANSAKCIA ABCP)</w:t>
            </w:r>
          </w:p>
          <w:p w14:paraId="370D0E3D" w14:textId="02548B29" w:rsidR="00235D9D" w:rsidRPr="00D85C65" w:rsidRDefault="00235D9D">
            <w:pPr>
              <w:spacing w:before="0" w:after="0"/>
              <w:jc w:val="left"/>
              <w:rPr>
                <w:rFonts w:ascii="Times New Roman" w:hAnsi="Times New Roman"/>
                <w:sz w:val="24"/>
              </w:rPr>
            </w:pPr>
          </w:p>
          <w:p w14:paraId="0AE7FEDF" w14:textId="77777777" w:rsidR="00235D9D" w:rsidRPr="00D85C65" w:rsidRDefault="00E20FAC">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Inštitúcie vykazujú tieto skratky:</w:t>
            </w:r>
            <w:r w:rsidRPr="00D85C65">
              <w:rPr>
                <w:rFonts w:ascii="Times New Roman" w:hAnsi="Times New Roman"/>
                <w:sz w:val="24"/>
              </w:rPr>
              <w:br/>
              <w:t>– „AP“ pre program ABCP;</w:t>
            </w:r>
          </w:p>
          <w:p w14:paraId="01297A25"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„AT“ pre transakciu ABCP;</w:t>
            </w:r>
          </w:p>
          <w:p w14:paraId="2F3F9BB5"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„T“ pre tradičnú sekuritizáciu,</w:t>
            </w:r>
          </w:p>
          <w:p w14:paraId="517F57C5"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„S“ pre syntetickú sekuritizáciu</w:t>
            </w:r>
            <w:r w:rsidR="00D85C65">
              <w:rPr>
                <w:rFonts w:ascii="Times New Roman" w:hAnsi="Times New Roman"/>
                <w:sz w:val="24"/>
              </w:rPr>
              <w:t>.</w:t>
            </w:r>
          </w:p>
          <w:p w14:paraId="1AAB7025" w14:textId="0B017201" w:rsidR="00235D9D" w:rsidRPr="00D85C65" w:rsidRDefault="00235D9D">
            <w:pPr>
              <w:autoSpaceDE w:val="0"/>
              <w:autoSpaceDN w:val="0"/>
              <w:adjustRightInd w:val="0"/>
              <w:spacing w:before="0" w:after="0"/>
              <w:jc w:val="left"/>
              <w:rPr>
                <w:rFonts w:ascii="Times New Roman" w:hAnsi="Times New Roman"/>
                <w:sz w:val="24"/>
              </w:rPr>
            </w:pPr>
          </w:p>
          <w:p w14:paraId="3DFA0193" w14:textId="3C82072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Vymedzenie pojmov „program krátkodobých obchodných cenných papierov zabezpečených aktívami“, „transakcia</w:t>
            </w:r>
            <w:r w:rsidR="00D85C65">
              <w:rPr>
                <w:rFonts w:ascii="Times New Roman" w:hAnsi="Times New Roman"/>
                <w:sz w:val="24"/>
              </w:rPr>
              <w:t xml:space="preserve"> s </w:t>
            </w:r>
            <w:r w:rsidRPr="00D85C65">
              <w:rPr>
                <w:rFonts w:ascii="Times New Roman" w:hAnsi="Times New Roman"/>
                <w:sz w:val="24"/>
              </w:rPr>
              <w:t>krátkodobými obchodovateľnými cennými papiermi zabezpečenými aktívami“, „tradičná sekuritizácia“</w:t>
            </w:r>
            <w:r w:rsidR="00D85C65">
              <w:rPr>
                <w:rFonts w:ascii="Times New Roman" w:hAnsi="Times New Roman"/>
                <w:sz w:val="24"/>
              </w:rPr>
              <w:t xml:space="preserve"> a </w:t>
            </w:r>
            <w:r w:rsidRPr="00D85C65">
              <w:rPr>
                <w:rFonts w:ascii="Times New Roman" w:hAnsi="Times New Roman"/>
                <w:sz w:val="24"/>
              </w:rPr>
              <w:t>„syntetická sekuritizácia“ je uvedené</w:t>
            </w:r>
            <w:r w:rsidR="00D85C65">
              <w:rPr>
                <w:rFonts w:ascii="Times New Roman" w:hAnsi="Times New Roman"/>
                <w:sz w:val="24"/>
              </w:rPr>
              <w:t xml:space="preserve"> v </w:t>
            </w:r>
            <w:r w:rsidRPr="00D85C65">
              <w:rPr>
                <w:rFonts w:ascii="Times New Roman" w:hAnsi="Times New Roman"/>
                <w:sz w:val="24"/>
              </w:rPr>
              <w:t>článku 242 ods. 11 až 14 CRR.</w:t>
            </w:r>
          </w:p>
          <w:p w14:paraId="3B1B3ED7"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38B30F06" w14:textId="77777777" w:rsidTr="00E10B85">
        <w:tc>
          <w:tcPr>
            <w:tcW w:w="1101" w:type="dxa"/>
          </w:tcPr>
          <w:p w14:paraId="73A180AD"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sz w:val="24"/>
              </w:rPr>
              <w:t>051</w:t>
            </w:r>
          </w:p>
        </w:tc>
        <w:tc>
          <w:tcPr>
            <w:tcW w:w="7903" w:type="dxa"/>
          </w:tcPr>
          <w:p w14:paraId="15D26470" w14:textId="6A538B72"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ÚČTOVANIE: VEDÚ SA SEKURITIZOVANÉ EXPOZÍCIE</w:t>
            </w:r>
            <w:r w:rsidR="00D85C65">
              <w:rPr>
                <w:rFonts w:ascii="Times New Roman" w:hAnsi="Times New Roman"/>
                <w:b/>
                <w:sz w:val="24"/>
                <w:u w:val="single"/>
              </w:rPr>
              <w:t xml:space="preserve"> V </w:t>
            </w:r>
            <w:r w:rsidRPr="00D85C65">
              <w:rPr>
                <w:rFonts w:ascii="Times New Roman" w:hAnsi="Times New Roman"/>
                <w:b/>
                <w:sz w:val="24"/>
                <w:u w:val="single"/>
              </w:rPr>
              <w:t>SÚVAHE ALEBO SA ODTIAĽ VYLÚČIA?</w:t>
            </w:r>
          </w:p>
          <w:p w14:paraId="4363CC44" w14:textId="77777777" w:rsidR="00235D9D" w:rsidRPr="00D85C65" w:rsidRDefault="00235D9D">
            <w:pPr>
              <w:autoSpaceDE w:val="0"/>
              <w:autoSpaceDN w:val="0"/>
              <w:adjustRightInd w:val="0"/>
              <w:spacing w:before="0" w:after="0"/>
              <w:jc w:val="left"/>
              <w:rPr>
                <w:rFonts w:ascii="Times New Roman" w:hAnsi="Times New Roman"/>
                <w:sz w:val="24"/>
              </w:rPr>
            </w:pPr>
          </w:p>
          <w:p w14:paraId="66A033A7" w14:textId="0AC7048C" w:rsidR="00235D9D" w:rsidRPr="00D85C65" w:rsidRDefault="00784A19">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Inštitúcie ako originátori, sponzori</w:t>
            </w:r>
            <w:r w:rsidR="00D85C65">
              <w:rPr>
                <w:rFonts w:ascii="Times New Roman" w:hAnsi="Times New Roman"/>
                <w:sz w:val="24"/>
              </w:rPr>
              <w:t xml:space="preserve"> a </w:t>
            </w:r>
            <w:r w:rsidRPr="00D85C65">
              <w:rPr>
                <w:rFonts w:ascii="Times New Roman" w:hAnsi="Times New Roman"/>
                <w:sz w:val="24"/>
              </w:rPr>
              <w:t>pôvodní veritelia vykazujú jednu</w:t>
            </w:r>
            <w:r w:rsidR="00D85C65">
              <w:rPr>
                <w:rFonts w:ascii="Times New Roman" w:hAnsi="Times New Roman"/>
                <w:sz w:val="24"/>
              </w:rPr>
              <w:t xml:space="preserve"> z </w:t>
            </w:r>
            <w:r w:rsidRPr="00D85C65">
              <w:rPr>
                <w:rFonts w:ascii="Times New Roman" w:hAnsi="Times New Roman"/>
                <w:sz w:val="24"/>
              </w:rPr>
              <w:t>týchto skratiek:</w:t>
            </w:r>
          </w:p>
          <w:p w14:paraId="2AEA7D8A" w14:textId="4F9E9017" w:rsidR="00235D9D" w:rsidRPr="00D85C65" w:rsidRDefault="00C55547">
            <w:pPr>
              <w:autoSpaceDE w:val="0"/>
              <w:autoSpaceDN w:val="0"/>
              <w:adjustRightInd w:val="0"/>
              <w:spacing w:before="0" w:after="0"/>
              <w:ind w:left="1440" w:hanging="1440"/>
              <w:jc w:val="left"/>
              <w:rPr>
                <w:rFonts w:ascii="Times New Roman" w:hAnsi="Times New Roman"/>
                <w:sz w:val="24"/>
              </w:rPr>
            </w:pPr>
            <w:r w:rsidRPr="00D85C65">
              <w:rPr>
                <w:rFonts w:ascii="Times New Roman" w:hAnsi="Times New Roman"/>
                <w:sz w:val="24"/>
              </w:rPr>
              <w:t>– „K“, keď sa vykazujú</w:t>
            </w:r>
            <w:r w:rsidR="00D85C65">
              <w:rPr>
                <w:rFonts w:ascii="Times New Roman" w:hAnsi="Times New Roman"/>
                <w:sz w:val="24"/>
              </w:rPr>
              <w:t xml:space="preserve"> v </w:t>
            </w:r>
            <w:r w:rsidRPr="00D85C65">
              <w:rPr>
                <w:rFonts w:ascii="Times New Roman" w:hAnsi="Times New Roman"/>
                <w:sz w:val="24"/>
              </w:rPr>
              <w:t>plnom rozsahu;</w:t>
            </w:r>
          </w:p>
          <w:p w14:paraId="00DED1E1"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„P“, keď sa ich vykazovanie čiastočne ukončilo;</w:t>
            </w:r>
          </w:p>
          <w:p w14:paraId="7F2667CC" w14:textId="611C648E"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„R“, keď sa ich vykazovanie ukončilo</w:t>
            </w:r>
            <w:r w:rsidR="00D85C65">
              <w:rPr>
                <w:rFonts w:ascii="Times New Roman" w:hAnsi="Times New Roman"/>
                <w:sz w:val="24"/>
              </w:rPr>
              <w:t xml:space="preserve"> v </w:t>
            </w:r>
            <w:r w:rsidRPr="00D85C65">
              <w:rPr>
                <w:rFonts w:ascii="Times New Roman" w:hAnsi="Times New Roman"/>
                <w:sz w:val="24"/>
              </w:rPr>
              <w:t>plnom rozsahu;</w:t>
            </w:r>
          </w:p>
          <w:p w14:paraId="7F68ECC0" w14:textId="5C47BD13"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„N“</w:t>
            </w:r>
            <w:r w:rsidR="00D85C65">
              <w:rPr>
                <w:rFonts w:ascii="Times New Roman" w:hAnsi="Times New Roman"/>
                <w:sz w:val="24"/>
              </w:rPr>
              <w:t xml:space="preserve"> v </w:t>
            </w:r>
            <w:r w:rsidRPr="00D85C65">
              <w:rPr>
                <w:rFonts w:ascii="Times New Roman" w:hAnsi="Times New Roman"/>
                <w:sz w:val="24"/>
              </w:rPr>
              <w:t>prípade neuplatňovania.</w:t>
            </w:r>
          </w:p>
          <w:p w14:paraId="774F7FDA" w14:textId="77777777" w:rsidR="00235D9D" w:rsidRPr="00D85C65" w:rsidRDefault="00235D9D">
            <w:pPr>
              <w:autoSpaceDE w:val="0"/>
              <w:autoSpaceDN w:val="0"/>
              <w:adjustRightInd w:val="0"/>
              <w:spacing w:before="0" w:after="0"/>
              <w:jc w:val="left"/>
              <w:rPr>
                <w:rFonts w:ascii="Times New Roman" w:hAnsi="Times New Roman"/>
                <w:sz w:val="24"/>
              </w:rPr>
            </w:pPr>
          </w:p>
          <w:p w14:paraId="3FE8C302" w14:textId="58A794A9"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sumarizuje účtovanie transakcie. Presun významného rizika (SRT) podľa článkov 244</w:t>
            </w:r>
            <w:r w:rsidR="00D85C65">
              <w:rPr>
                <w:rFonts w:ascii="Times New Roman" w:hAnsi="Times New Roman"/>
                <w:sz w:val="24"/>
              </w:rPr>
              <w:t xml:space="preserve"> a </w:t>
            </w:r>
            <w:r w:rsidRPr="00D85C65">
              <w:rPr>
                <w:rFonts w:ascii="Times New Roman" w:hAnsi="Times New Roman"/>
                <w:sz w:val="24"/>
              </w:rPr>
              <w:t>245 CRR nemá vplyv na účtovné zaobchádzanie</w:t>
            </w:r>
            <w:r w:rsidR="00D85C65">
              <w:rPr>
                <w:rFonts w:ascii="Times New Roman" w:hAnsi="Times New Roman"/>
                <w:sz w:val="24"/>
              </w:rPr>
              <w:t xml:space="preserve"> s </w:t>
            </w:r>
            <w:r w:rsidRPr="00D85C65">
              <w:rPr>
                <w:rFonts w:ascii="Times New Roman" w:hAnsi="Times New Roman"/>
                <w:sz w:val="24"/>
              </w:rPr>
              <w:t>transakciou na základe príslušného účtovného rámca.</w:t>
            </w:r>
          </w:p>
          <w:p w14:paraId="5F8E0475" w14:textId="77777777" w:rsidR="00235D9D" w:rsidRPr="00D85C65" w:rsidRDefault="00235D9D">
            <w:pPr>
              <w:autoSpaceDE w:val="0"/>
              <w:autoSpaceDN w:val="0"/>
              <w:adjustRightInd w:val="0"/>
              <w:spacing w:before="0" w:after="0"/>
              <w:rPr>
                <w:rFonts w:ascii="Times New Roman" w:hAnsi="Times New Roman"/>
                <w:sz w:val="24"/>
              </w:rPr>
            </w:pPr>
          </w:p>
          <w:p w14:paraId="664DE973" w14:textId="1B7EB95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sekuritizácií záväzkov originátori tento stĺpec nevypĺňajú.</w:t>
            </w:r>
          </w:p>
          <w:p w14:paraId="5601BEA9" w14:textId="013C0EAB"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Možnosť „P“ (čiastočné vylúčenie) sa vykazuje, keď sa sekuritizované aktíva vykázali</w:t>
            </w:r>
            <w:r w:rsidR="00D85C65">
              <w:rPr>
                <w:rFonts w:ascii="Times New Roman" w:hAnsi="Times New Roman"/>
                <w:sz w:val="24"/>
              </w:rPr>
              <w:t xml:space="preserve"> v </w:t>
            </w:r>
            <w:r w:rsidRPr="00D85C65">
              <w:rPr>
                <w:rFonts w:ascii="Times New Roman" w:hAnsi="Times New Roman"/>
                <w:sz w:val="24"/>
              </w:rPr>
              <w:t>súvahe</w:t>
            </w:r>
            <w:r w:rsidR="00D85C65">
              <w:rPr>
                <w:rFonts w:ascii="Times New Roman" w:hAnsi="Times New Roman"/>
                <w:sz w:val="24"/>
              </w:rPr>
              <w:t xml:space="preserve"> v </w:t>
            </w:r>
            <w:r w:rsidRPr="00D85C65">
              <w:rPr>
                <w:rFonts w:ascii="Times New Roman" w:hAnsi="Times New Roman"/>
                <w:sz w:val="24"/>
              </w:rPr>
              <w:t>miere pokračujúceho zapojenia vykazujúceho subjektu</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IFRS 9 ods. 3.2.16 až 3.2.21.</w:t>
            </w:r>
          </w:p>
          <w:p w14:paraId="1BFC4A17"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29433D54" w14:textId="77777777" w:rsidTr="00E10B85">
        <w:tc>
          <w:tcPr>
            <w:tcW w:w="1101" w:type="dxa"/>
          </w:tcPr>
          <w:p w14:paraId="48543BA3"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sz w:val="24"/>
              </w:rPr>
              <w:lastRenderedPageBreak/>
              <w:t>060</w:t>
            </w:r>
          </w:p>
        </w:tc>
        <w:tc>
          <w:tcPr>
            <w:tcW w:w="7903" w:type="dxa"/>
          </w:tcPr>
          <w:p w14:paraId="6280A99D"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PLATOBNÁ SCHOPNOSŤ: VZŤAHUJÚ SA NA SEKURITIZAČNÉ POZÍCIE POŽIADAVKY NA VLASTNÉ ZDROJE?</w:t>
            </w:r>
          </w:p>
          <w:p w14:paraId="7CF7DE39" w14:textId="77777777" w:rsidR="00235D9D" w:rsidRPr="00D85C65" w:rsidRDefault="00235D9D">
            <w:pPr>
              <w:autoSpaceDE w:val="0"/>
              <w:autoSpaceDN w:val="0"/>
              <w:adjustRightInd w:val="0"/>
              <w:spacing w:before="0" w:after="0"/>
              <w:jc w:val="left"/>
              <w:rPr>
                <w:rFonts w:ascii="Times New Roman" w:hAnsi="Times New Roman"/>
                <w:sz w:val="24"/>
              </w:rPr>
            </w:pPr>
          </w:p>
          <w:p w14:paraId="04870918"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Len originátori vykazujú tieto skratky</w:t>
            </w:r>
            <w:r w:rsidR="00D85C65">
              <w:rPr>
                <w:rFonts w:ascii="Times New Roman" w:hAnsi="Times New Roman"/>
                <w:sz w:val="24"/>
              </w:rPr>
              <w:t>:</w:t>
            </w:r>
          </w:p>
          <w:p w14:paraId="62F9B84A" w14:textId="5F5CC1E3"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„N“ nepodliehajú požiadavkám na vlastné zdroje,</w:t>
            </w:r>
          </w:p>
          <w:p w14:paraId="211FCABF"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„B“ banková kniha,</w:t>
            </w:r>
          </w:p>
          <w:p w14:paraId="5BB1CF63"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„T“ obchodná kniha,</w:t>
            </w:r>
          </w:p>
          <w:p w14:paraId="2D69929A" w14:textId="686629AF"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„A“ čiastočne</w:t>
            </w:r>
            <w:r w:rsidR="00D85C65">
              <w:rPr>
                <w:rFonts w:ascii="Times New Roman" w:hAnsi="Times New Roman"/>
                <w:sz w:val="24"/>
              </w:rPr>
              <w:t xml:space="preserve"> v </w:t>
            </w:r>
            <w:r w:rsidRPr="00D85C65">
              <w:rPr>
                <w:rFonts w:ascii="Times New Roman" w:hAnsi="Times New Roman"/>
                <w:sz w:val="24"/>
              </w:rPr>
              <w:t>obidvoch knihách</w:t>
            </w:r>
            <w:r w:rsidR="00D85C65">
              <w:rPr>
                <w:rFonts w:ascii="Times New Roman" w:hAnsi="Times New Roman"/>
                <w:sz w:val="24"/>
              </w:rPr>
              <w:t>.</w:t>
            </w:r>
          </w:p>
          <w:p w14:paraId="462424B0" w14:textId="1D56FE61" w:rsidR="00235D9D" w:rsidRPr="00D85C65" w:rsidRDefault="00235D9D">
            <w:pPr>
              <w:autoSpaceDE w:val="0"/>
              <w:autoSpaceDN w:val="0"/>
              <w:adjustRightInd w:val="0"/>
              <w:spacing w:before="0" w:after="0"/>
              <w:jc w:val="left"/>
              <w:rPr>
                <w:rFonts w:ascii="Times New Roman" w:hAnsi="Times New Roman"/>
                <w:sz w:val="24"/>
              </w:rPr>
            </w:pPr>
          </w:p>
          <w:p w14:paraId="73A053B1" w14:textId="6384B071"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Články 109, 244</w:t>
            </w:r>
            <w:r w:rsidR="00D85C65">
              <w:rPr>
                <w:rFonts w:ascii="Times New Roman" w:hAnsi="Times New Roman"/>
                <w:sz w:val="24"/>
              </w:rPr>
              <w:t xml:space="preserve"> a </w:t>
            </w:r>
            <w:r w:rsidRPr="00D85C65">
              <w:rPr>
                <w:rFonts w:ascii="Times New Roman" w:hAnsi="Times New Roman"/>
                <w:sz w:val="24"/>
              </w:rPr>
              <w:t>245 CRR.</w:t>
            </w:r>
          </w:p>
          <w:p w14:paraId="68B7B2BF" w14:textId="77777777" w:rsidR="00235D9D" w:rsidRPr="00D85C65" w:rsidRDefault="00235D9D">
            <w:pPr>
              <w:autoSpaceDE w:val="0"/>
              <w:autoSpaceDN w:val="0"/>
              <w:adjustRightInd w:val="0"/>
              <w:spacing w:before="0" w:after="0"/>
              <w:rPr>
                <w:rFonts w:ascii="Times New Roman" w:hAnsi="Times New Roman"/>
                <w:sz w:val="24"/>
              </w:rPr>
            </w:pPr>
          </w:p>
          <w:p w14:paraId="4F05FA61" w14:textId="77777777"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sumarizuje platobná schopnosť sekuritizačnej schémy originátora. Udáva, či sa požiadavky na vlastné zdroje vypočítavajú na základe sekuritizovaných expozícií alebo sekuritizačných pozícií (banková kniha/obchodná kniha)</w:t>
            </w:r>
            <w:r w:rsidR="00D85C65">
              <w:rPr>
                <w:rFonts w:ascii="Times New Roman" w:hAnsi="Times New Roman"/>
                <w:sz w:val="24"/>
              </w:rPr>
              <w:t>.</w:t>
            </w:r>
          </w:p>
          <w:p w14:paraId="48A6D860" w14:textId="4629DCBC" w:rsidR="00235D9D" w:rsidRPr="00D85C65" w:rsidRDefault="00235D9D">
            <w:pPr>
              <w:autoSpaceDE w:val="0"/>
              <w:autoSpaceDN w:val="0"/>
              <w:adjustRightInd w:val="0"/>
              <w:spacing w:before="0" w:after="0"/>
              <w:rPr>
                <w:rFonts w:ascii="Times New Roman" w:hAnsi="Times New Roman"/>
                <w:sz w:val="24"/>
              </w:rPr>
            </w:pPr>
          </w:p>
          <w:p w14:paraId="43C7BF34" w14:textId="067CC044" w:rsidR="00235D9D" w:rsidRPr="00D85C65" w:rsidRDefault="007F1970">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Keď sú požiadavky na vlastné zdroje založené na </w:t>
            </w:r>
            <w:r w:rsidRPr="00D85C65">
              <w:rPr>
                <w:rFonts w:ascii="Times New Roman" w:hAnsi="Times New Roman"/>
                <w:i/>
                <w:sz w:val="24"/>
              </w:rPr>
              <w:t>sekuritizovaných expozíciách</w:t>
            </w:r>
            <w:r w:rsidRPr="00D85C65">
              <w:rPr>
                <w:rFonts w:ascii="Times New Roman" w:hAnsi="Times New Roman"/>
                <w:sz w:val="24"/>
              </w:rPr>
              <w:t xml:space="preserve"> (</w:t>
            </w:r>
            <w:r w:rsidRPr="00D85C65">
              <w:rPr>
                <w:rFonts w:ascii="Times New Roman" w:hAnsi="Times New Roman"/>
                <w:sz w:val="24"/>
                <w:highlight w:val="cyan"/>
              </w:rPr>
              <w:t>keďže sa nedosiahol</w:t>
            </w:r>
            <w:r w:rsidRPr="00D85C65">
              <w:rPr>
                <w:rFonts w:ascii="Times New Roman" w:hAnsi="Times New Roman"/>
                <w:sz w:val="24"/>
              </w:rPr>
              <w:t xml:space="preserve"> </w:t>
            </w:r>
            <w:r w:rsidRPr="00D85C65">
              <w:rPr>
                <w:rFonts w:ascii="Times New Roman" w:hAnsi="Times New Roman"/>
                <w:sz w:val="24"/>
                <w:highlight w:val="cyan"/>
              </w:rPr>
              <w:t>žiadny</w:t>
            </w:r>
            <w:r w:rsidRPr="00D85C65">
              <w:rPr>
                <w:rFonts w:ascii="Times New Roman" w:hAnsi="Times New Roman"/>
                <w:sz w:val="24"/>
              </w:rPr>
              <w:t xml:space="preserve"> presun významného rizika), výpočet požiadaviek na vlastné zdroje pre kreditné riziko sa vykazuje vo vzore CR SA pre tie sekuritizované expozície, pre ktoré sa používa štandardizovaný prístup, alebo vo vzore CR IRB pre tie sekuritizované expozície, pre ktoré inštitúcia používa prístup interných ratingov.</w:t>
            </w:r>
          </w:p>
          <w:p w14:paraId="60FF100C" w14:textId="77777777" w:rsidR="00235D9D" w:rsidRPr="00D85C65" w:rsidRDefault="00235D9D">
            <w:pPr>
              <w:autoSpaceDE w:val="0"/>
              <w:autoSpaceDN w:val="0"/>
              <w:adjustRightInd w:val="0"/>
              <w:spacing w:before="0" w:after="0"/>
              <w:rPr>
                <w:rFonts w:ascii="Times New Roman" w:hAnsi="Times New Roman"/>
                <w:sz w:val="24"/>
              </w:rPr>
            </w:pPr>
          </w:p>
          <w:p w14:paraId="34177440" w14:textId="49CBF4A1"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Ak sú naopak požiadavky na vlastné zdroje založené na </w:t>
            </w:r>
            <w:r w:rsidRPr="00D85C65">
              <w:rPr>
                <w:rFonts w:ascii="Times New Roman" w:hAnsi="Times New Roman"/>
                <w:i/>
                <w:sz w:val="24"/>
              </w:rPr>
              <w:t>sekuritizačných pozíciách držaných</w:t>
            </w:r>
            <w:r w:rsidR="00D85C65">
              <w:rPr>
                <w:rFonts w:ascii="Times New Roman" w:hAnsi="Times New Roman"/>
                <w:i/>
                <w:sz w:val="24"/>
              </w:rPr>
              <w:t xml:space="preserve"> v </w:t>
            </w:r>
            <w:r w:rsidRPr="00D85C65">
              <w:rPr>
                <w:rFonts w:ascii="Times New Roman" w:hAnsi="Times New Roman"/>
                <w:i/>
                <w:sz w:val="24"/>
              </w:rPr>
              <w:t>bankovej knihe</w:t>
            </w:r>
            <w:r w:rsidRPr="00D85C65">
              <w:rPr>
                <w:rFonts w:ascii="Times New Roman" w:hAnsi="Times New Roman"/>
                <w:sz w:val="24"/>
              </w:rPr>
              <w:t xml:space="preserve"> (keďže sa dosiahol presun významného rizika), informácie</w:t>
            </w:r>
            <w:r w:rsidR="00D85C65">
              <w:rPr>
                <w:rFonts w:ascii="Times New Roman" w:hAnsi="Times New Roman"/>
                <w:sz w:val="24"/>
              </w:rPr>
              <w:t xml:space="preserve"> o </w:t>
            </w:r>
            <w:r w:rsidRPr="00D85C65">
              <w:rPr>
                <w:rFonts w:ascii="Times New Roman" w:hAnsi="Times New Roman"/>
                <w:sz w:val="24"/>
              </w:rPr>
              <w:t>výpočte požiadaviek na vlastné zdroje pre kreditné riziko sa vykazujú vo vzore CR SEC.</w:t>
            </w:r>
            <w:r w:rsidR="00D85C65">
              <w:rPr>
                <w:rFonts w:ascii="Times New Roman" w:hAnsi="Times New Roman"/>
                <w:sz w:val="24"/>
              </w:rPr>
              <w:t xml:space="preserve"> V </w:t>
            </w:r>
            <w:r w:rsidRPr="00D85C65">
              <w:rPr>
                <w:rFonts w:ascii="Times New Roman" w:hAnsi="Times New Roman"/>
                <w:sz w:val="24"/>
              </w:rPr>
              <w:t xml:space="preserve">prípade </w:t>
            </w:r>
            <w:r w:rsidRPr="00D85C65">
              <w:rPr>
                <w:rFonts w:ascii="Times New Roman" w:hAnsi="Times New Roman"/>
                <w:i/>
                <w:sz w:val="24"/>
              </w:rPr>
              <w:t>sekuritizačných pozícií vedených</w:t>
            </w:r>
            <w:r w:rsidR="00D85C65">
              <w:rPr>
                <w:rFonts w:ascii="Times New Roman" w:hAnsi="Times New Roman"/>
                <w:i/>
                <w:sz w:val="24"/>
              </w:rPr>
              <w:t xml:space="preserve"> v </w:t>
            </w:r>
            <w:r w:rsidRPr="00D85C65">
              <w:rPr>
                <w:rFonts w:ascii="Times New Roman" w:hAnsi="Times New Roman"/>
                <w:i/>
                <w:sz w:val="24"/>
              </w:rPr>
              <w:t>obchodnej knihe</w:t>
            </w:r>
            <w:r w:rsidRPr="00D85C65">
              <w:rPr>
                <w:rFonts w:ascii="Times New Roman" w:hAnsi="Times New Roman"/>
                <w:sz w:val="24"/>
              </w:rPr>
              <w:t xml:space="preserve"> sa informácie</w:t>
            </w:r>
            <w:r w:rsidR="00D85C65">
              <w:rPr>
                <w:rFonts w:ascii="Times New Roman" w:hAnsi="Times New Roman"/>
                <w:sz w:val="24"/>
              </w:rPr>
              <w:t xml:space="preserve"> o </w:t>
            </w:r>
            <w:r w:rsidRPr="00D85C65">
              <w:rPr>
                <w:rFonts w:ascii="Times New Roman" w:hAnsi="Times New Roman"/>
                <w:sz w:val="24"/>
              </w:rPr>
              <w:t>výpočte požiadaviek na vlastné zdroje pre trhové riziko vykazujú vo vzore MKR SA TDI (štandardizované všeobecné pozičné riziko)</w:t>
            </w:r>
            <w:r w:rsidR="00D85C65">
              <w:rPr>
                <w:rFonts w:ascii="Times New Roman" w:hAnsi="Times New Roman"/>
                <w:sz w:val="24"/>
              </w:rPr>
              <w:t xml:space="preserve"> a </w:t>
            </w:r>
            <w:r w:rsidRPr="00D85C65">
              <w:rPr>
                <w:rFonts w:ascii="Times New Roman" w:hAnsi="Times New Roman"/>
                <w:sz w:val="24"/>
              </w:rPr>
              <w:t>vo vzore MKR SA SEC alebo MKR SA CTP (štandardizované špecifické pozičné riziko) alebo vo vzore MKR IM (interné modely).</w:t>
            </w:r>
          </w:p>
          <w:p w14:paraId="02D39791"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sekuritizácií záväzkov originátori tento stĺpec nevypĺňajú.</w:t>
            </w:r>
          </w:p>
          <w:p w14:paraId="0A6A40C3"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083C831B" w14:textId="77777777" w:rsidTr="00E10B85">
        <w:tc>
          <w:tcPr>
            <w:tcW w:w="1101" w:type="dxa"/>
          </w:tcPr>
          <w:p w14:paraId="13948ABD"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061</w:t>
            </w:r>
          </w:p>
        </w:tc>
        <w:tc>
          <w:tcPr>
            <w:tcW w:w="7903" w:type="dxa"/>
          </w:tcPr>
          <w:p w14:paraId="449B26F9"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PRESUN VÝZNAMNÉHO RIZIKA</w:t>
            </w:r>
          </w:p>
          <w:p w14:paraId="0F330A65"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34227E16"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Len originátori vykazujú tieto skratky:</w:t>
            </w:r>
          </w:p>
          <w:p w14:paraId="2A4BF114" w14:textId="057A87BA"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„N“ neuplatňuje sa na presun významného rizika (SRT)</w:t>
            </w:r>
            <w:r w:rsidR="00D85C65">
              <w:rPr>
                <w:rFonts w:ascii="Times New Roman" w:hAnsi="Times New Roman"/>
                <w:sz w:val="24"/>
              </w:rPr>
              <w:t xml:space="preserve"> a </w:t>
            </w:r>
            <w:r w:rsidRPr="00D85C65">
              <w:rPr>
                <w:rFonts w:ascii="Times New Roman" w:hAnsi="Times New Roman"/>
                <w:sz w:val="24"/>
              </w:rPr>
              <w:t>vykazujúci subjekt rizikovo váži svoje sekuritizované expozície.</w:t>
            </w:r>
          </w:p>
          <w:p w14:paraId="3E6C5300" w14:textId="0D21DE8D"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„A“ presun významného rizika dosiahnutý podľa článku 244 ods. 2 písm. a) alebo podľa článku 245 ods. 2 písm. a) CRR;</w:t>
            </w:r>
          </w:p>
          <w:p w14:paraId="5CB8EC75" w14:textId="39B63EB9"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„B“ presun významného rizika dosiahnutý podľa článku 244 ods. 2 písm. b) alebo podľa článku 245 ods. 2 písm. b) CRR;</w:t>
            </w:r>
          </w:p>
          <w:p w14:paraId="3D542CF4" w14:textId="71196BBB"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„C“ presun významného rizika dosiahnutý podľa článku 244 ods. 3 písm. a) alebo podľa článku 245 ods. 3 písm. a) CRR;</w:t>
            </w:r>
          </w:p>
          <w:p w14:paraId="614D6E6C" w14:textId="52595FE3"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„D“ uplatňuje sa riziková váha 1 250</w:t>
            </w:r>
            <w:r w:rsidR="00D85C65">
              <w:rPr>
                <w:rFonts w:ascii="Times New Roman" w:hAnsi="Times New Roman"/>
                <w:sz w:val="24"/>
              </w:rPr>
              <w:t> %</w:t>
            </w:r>
            <w:r w:rsidRPr="00D85C65">
              <w:rPr>
                <w:rFonts w:ascii="Times New Roman" w:hAnsi="Times New Roman"/>
                <w:sz w:val="24"/>
              </w:rPr>
              <w:t xml:space="preserve"> alebo sa odpočítavajú ponechané pozície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244 ods. 1 písm. b) alebo</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245 ods. 1 písm. b) CRR.</w:t>
            </w:r>
          </w:p>
          <w:p w14:paraId="729200A5" w14:textId="77777777" w:rsidR="00235D9D" w:rsidRPr="00D85C65" w:rsidRDefault="00235D9D">
            <w:pPr>
              <w:autoSpaceDE w:val="0"/>
              <w:autoSpaceDN w:val="0"/>
              <w:adjustRightInd w:val="0"/>
              <w:spacing w:before="0" w:after="0"/>
              <w:jc w:val="left"/>
              <w:rPr>
                <w:rFonts w:ascii="Times New Roman" w:hAnsi="Times New Roman"/>
                <w:sz w:val="24"/>
              </w:rPr>
            </w:pPr>
          </w:p>
          <w:p w14:paraId="662FAADB" w14:textId="78499D60"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highlight w:val="yellow"/>
              </w:rPr>
              <w:t>V tomto stĺpci je zhrnuté, či bol dosiahnutý presun významného rizika,</w:t>
            </w:r>
            <w:r w:rsidR="00D85C65">
              <w:rPr>
                <w:rFonts w:ascii="Times New Roman" w:hAnsi="Times New Roman"/>
                <w:sz w:val="24"/>
                <w:highlight w:val="yellow"/>
              </w:rPr>
              <w:t xml:space="preserve"> a </w:t>
            </w:r>
            <w:r w:rsidRPr="00D85C65">
              <w:rPr>
                <w:rFonts w:ascii="Times New Roman" w:hAnsi="Times New Roman"/>
                <w:sz w:val="24"/>
                <w:highlight w:val="yellow"/>
              </w:rPr>
              <w:t>ak áno, akým spôsobom. Dosiahnutím presunu významného rizika sa určí príslušný spôsob zaobchádzania</w:t>
            </w:r>
            <w:r w:rsidR="00D85C65">
              <w:rPr>
                <w:rFonts w:ascii="Times New Roman" w:hAnsi="Times New Roman"/>
                <w:sz w:val="24"/>
                <w:highlight w:val="yellow"/>
              </w:rPr>
              <w:t xml:space="preserve"> s </w:t>
            </w:r>
            <w:r w:rsidRPr="00D85C65">
              <w:rPr>
                <w:rFonts w:ascii="Times New Roman" w:hAnsi="Times New Roman"/>
                <w:sz w:val="24"/>
                <w:highlight w:val="yellow"/>
              </w:rPr>
              <w:t>platobnou schopnosťou zo strany originátora.</w:t>
            </w:r>
          </w:p>
          <w:p w14:paraId="4DBA8992" w14:textId="77777777" w:rsidR="00235D9D" w:rsidRPr="00D85C65" w:rsidRDefault="00235D9D">
            <w:pPr>
              <w:spacing w:before="0" w:after="0"/>
              <w:jc w:val="left"/>
              <w:rPr>
                <w:sz w:val="24"/>
              </w:rPr>
            </w:pPr>
          </w:p>
        </w:tc>
      </w:tr>
      <w:tr w:rsidR="00235D9D" w:rsidRPr="00D85C65" w14:paraId="73D0A23B" w14:textId="77777777" w:rsidTr="00E10B85">
        <w:tc>
          <w:tcPr>
            <w:tcW w:w="1101" w:type="dxa"/>
          </w:tcPr>
          <w:p w14:paraId="147E46DA"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903" w:type="dxa"/>
          </w:tcPr>
          <w:p w14:paraId="4B70DAD5"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SEKURITIZÁCIA ALEBO RESEKURITIZÁCIA?</w:t>
            </w:r>
          </w:p>
          <w:p w14:paraId="4387FBB7" w14:textId="77777777" w:rsidR="00235D9D" w:rsidRPr="00D85C65" w:rsidRDefault="00235D9D">
            <w:pPr>
              <w:autoSpaceDE w:val="0"/>
              <w:autoSpaceDN w:val="0"/>
              <w:adjustRightInd w:val="0"/>
              <w:spacing w:before="0" w:after="0"/>
              <w:jc w:val="left"/>
              <w:rPr>
                <w:rFonts w:ascii="Times New Roman" w:hAnsi="Times New Roman"/>
                <w:sz w:val="24"/>
              </w:rPr>
            </w:pPr>
          </w:p>
          <w:p w14:paraId="52D06941" w14:textId="72A94A2A" w:rsidR="00235D9D" w:rsidRPr="00D85C65" w:rsidRDefault="00BB22D4">
            <w:pPr>
              <w:autoSpaceDE w:val="0"/>
              <w:autoSpaceDN w:val="0"/>
              <w:adjustRightInd w:val="0"/>
              <w:spacing w:before="0" w:after="0"/>
              <w:jc w:val="left"/>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vymedzením „sekuritizácie“</w:t>
            </w:r>
            <w:r w:rsidR="00D85C65">
              <w:rPr>
                <w:rFonts w:ascii="Times New Roman" w:hAnsi="Times New Roman"/>
                <w:sz w:val="24"/>
              </w:rPr>
              <w:t xml:space="preserve"> v </w:t>
            </w:r>
            <w:r w:rsidRPr="00D85C65">
              <w:rPr>
                <w:rFonts w:ascii="Times New Roman" w:hAnsi="Times New Roman"/>
                <w:sz w:val="24"/>
              </w:rPr>
              <w:t>článku 4 ods. 1 bode 61 CRR</w:t>
            </w:r>
            <w:r w:rsidR="00D85C65">
              <w:rPr>
                <w:rFonts w:ascii="Times New Roman" w:hAnsi="Times New Roman"/>
                <w:sz w:val="24"/>
              </w:rPr>
              <w:t xml:space="preserve"> a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vymedzením „resekuritizácie“</w:t>
            </w:r>
            <w:r w:rsidR="00D85C65">
              <w:rPr>
                <w:rFonts w:ascii="Times New Roman" w:hAnsi="Times New Roman"/>
                <w:sz w:val="24"/>
              </w:rPr>
              <w:t xml:space="preserve"> v </w:t>
            </w:r>
            <w:r w:rsidRPr="00D85C65">
              <w:rPr>
                <w:rFonts w:ascii="Times New Roman" w:hAnsi="Times New Roman"/>
                <w:sz w:val="24"/>
              </w:rPr>
              <w:t>článku 4 ods. 1 bode 64 CRR uveďte typ podkladového aktíva pomocou týchto skratiek:</w:t>
            </w:r>
          </w:p>
          <w:p w14:paraId="2062D149"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„S“ pre sekuritizáciu,</w:t>
            </w:r>
          </w:p>
          <w:p w14:paraId="0A039BDD"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 „R“ pre resekuritizáciu.</w:t>
            </w:r>
          </w:p>
          <w:p w14:paraId="477F258E" w14:textId="77777777" w:rsidR="00235D9D" w:rsidRPr="00D85C65" w:rsidRDefault="00235D9D">
            <w:pPr>
              <w:spacing w:before="0" w:after="0"/>
              <w:jc w:val="left"/>
              <w:rPr>
                <w:rFonts w:ascii="Times New Roman" w:hAnsi="Times New Roman"/>
                <w:b/>
                <w:sz w:val="24"/>
                <w:u w:val="single"/>
              </w:rPr>
            </w:pPr>
          </w:p>
        </w:tc>
      </w:tr>
      <w:tr w:rsidR="00235D9D" w:rsidRPr="00D85C65" w14:paraId="1B9412A4" w14:textId="77777777" w:rsidTr="00E10B85">
        <w:tc>
          <w:tcPr>
            <w:tcW w:w="1101" w:type="dxa"/>
          </w:tcPr>
          <w:p w14:paraId="25ECB5F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075</w:t>
            </w:r>
          </w:p>
        </w:tc>
        <w:tc>
          <w:tcPr>
            <w:tcW w:w="7903" w:type="dxa"/>
          </w:tcPr>
          <w:p w14:paraId="050E4477" w14:textId="77777777" w:rsidR="00235D9D" w:rsidRPr="00D85C65" w:rsidRDefault="00C55547">
            <w:pPr>
              <w:tabs>
                <w:tab w:val="left" w:pos="3274"/>
              </w:tabs>
              <w:spacing w:before="0" w:after="0"/>
              <w:jc w:val="left"/>
              <w:rPr>
                <w:rFonts w:ascii="Times New Roman" w:hAnsi="Times New Roman"/>
                <w:b/>
                <w:sz w:val="24"/>
                <w:u w:val="single"/>
              </w:rPr>
            </w:pPr>
            <w:r w:rsidRPr="00D85C65">
              <w:rPr>
                <w:rFonts w:ascii="Times New Roman" w:hAnsi="Times New Roman"/>
                <w:b/>
                <w:sz w:val="24"/>
                <w:u w:val="single"/>
              </w:rPr>
              <w:t>STS SEKURITIZÁCIA</w:t>
            </w:r>
          </w:p>
          <w:p w14:paraId="0F653A63" w14:textId="77777777" w:rsidR="00235D9D" w:rsidRPr="00D85C65" w:rsidRDefault="00235D9D">
            <w:pPr>
              <w:spacing w:before="0" w:after="0"/>
              <w:jc w:val="left"/>
              <w:rPr>
                <w:rFonts w:ascii="Times New Roman" w:hAnsi="Times New Roman"/>
                <w:sz w:val="24"/>
              </w:rPr>
            </w:pPr>
          </w:p>
          <w:p w14:paraId="397DA170"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článok 18 nariadenia (EÚ) 2017/2402</w:t>
            </w:r>
          </w:p>
          <w:p w14:paraId="23A70561" w14:textId="77777777" w:rsidR="00235D9D" w:rsidRPr="00D85C65" w:rsidRDefault="00235D9D">
            <w:pPr>
              <w:spacing w:before="0" w:after="0"/>
              <w:jc w:val="left"/>
              <w:rPr>
                <w:rFonts w:ascii="Times New Roman" w:hAnsi="Times New Roman"/>
                <w:sz w:val="24"/>
              </w:rPr>
            </w:pPr>
          </w:p>
          <w:p w14:paraId="59861CD9"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Vykazujú sa tieto skratky:</w:t>
            </w:r>
          </w:p>
          <w:p w14:paraId="090D9D08"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Y – áno,</w:t>
            </w:r>
          </w:p>
          <w:p w14:paraId="6A4DFA78"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N – nie.</w:t>
            </w:r>
          </w:p>
          <w:p w14:paraId="4C8EC122" w14:textId="77777777" w:rsidR="00235D9D" w:rsidRPr="00D85C65" w:rsidRDefault="00235D9D">
            <w:pPr>
              <w:spacing w:before="0" w:after="0"/>
              <w:jc w:val="left"/>
              <w:rPr>
                <w:rFonts w:ascii="Times New Roman" w:hAnsi="Times New Roman"/>
                <w:b/>
                <w:sz w:val="24"/>
                <w:u w:val="single"/>
              </w:rPr>
            </w:pPr>
          </w:p>
        </w:tc>
      </w:tr>
      <w:tr w:rsidR="00235D9D" w:rsidRPr="00D85C65" w14:paraId="5C84F17B" w14:textId="77777777" w:rsidTr="00E10B85">
        <w:tc>
          <w:tcPr>
            <w:tcW w:w="1101" w:type="dxa"/>
          </w:tcPr>
          <w:p w14:paraId="1A9BD687"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446</w:t>
            </w:r>
          </w:p>
        </w:tc>
        <w:tc>
          <w:tcPr>
            <w:tcW w:w="7903" w:type="dxa"/>
          </w:tcPr>
          <w:p w14:paraId="6781AE51" w14:textId="5F62A54E"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SEKURITIZÁCIE SPĹŇAJÚCE PODMIENKY PRE ZAOBCHÁDZANIE</w:t>
            </w:r>
            <w:r w:rsidR="00D85C65">
              <w:rPr>
                <w:rFonts w:ascii="Times New Roman" w:hAnsi="Times New Roman"/>
                <w:b/>
                <w:sz w:val="24"/>
                <w:u w:val="single"/>
              </w:rPr>
              <w:t xml:space="preserve"> S </w:t>
            </w:r>
            <w:r w:rsidRPr="00D85C65">
              <w:rPr>
                <w:rFonts w:ascii="Times New Roman" w:hAnsi="Times New Roman"/>
                <w:b/>
                <w:sz w:val="24"/>
                <w:u w:val="single"/>
              </w:rPr>
              <w:t>DIFERENCOVANÝM KAPITÁLOM</w:t>
            </w:r>
          </w:p>
          <w:p w14:paraId="750938E2" w14:textId="77777777" w:rsidR="00235D9D" w:rsidRPr="00D85C65" w:rsidRDefault="00235D9D">
            <w:pPr>
              <w:spacing w:before="0" w:after="0"/>
              <w:jc w:val="left"/>
              <w:rPr>
                <w:rFonts w:ascii="Times New Roman" w:hAnsi="Times New Roman"/>
                <w:sz w:val="24"/>
              </w:rPr>
            </w:pPr>
          </w:p>
          <w:p w14:paraId="7DD81FAC" w14:textId="05B34659" w:rsidR="00235D9D" w:rsidRPr="00D85C65" w:rsidRDefault="00C55547">
            <w:pPr>
              <w:spacing w:before="0" w:after="0"/>
              <w:jc w:val="left"/>
              <w:rPr>
                <w:rFonts w:ascii="Times New Roman" w:hAnsi="Times New Roman"/>
                <w:sz w:val="24"/>
              </w:rPr>
            </w:pPr>
            <w:r w:rsidRPr="00D85C65">
              <w:rPr>
                <w:rFonts w:ascii="Times New Roman" w:hAnsi="Times New Roman"/>
                <w:sz w:val="24"/>
              </w:rPr>
              <w:t>Články 243</w:t>
            </w:r>
            <w:r w:rsidR="00D85C65">
              <w:rPr>
                <w:rFonts w:ascii="Times New Roman" w:hAnsi="Times New Roman"/>
                <w:sz w:val="24"/>
              </w:rPr>
              <w:t xml:space="preserve"> a </w:t>
            </w:r>
            <w:r w:rsidRPr="00D85C65">
              <w:rPr>
                <w:rFonts w:ascii="Times New Roman" w:hAnsi="Times New Roman"/>
                <w:sz w:val="24"/>
              </w:rPr>
              <w:t>270 CRR.</w:t>
            </w:r>
          </w:p>
          <w:p w14:paraId="67440723" w14:textId="77777777" w:rsidR="00235D9D" w:rsidRPr="00D85C65" w:rsidRDefault="00235D9D">
            <w:pPr>
              <w:spacing w:before="0" w:after="0"/>
              <w:jc w:val="left"/>
              <w:rPr>
                <w:rFonts w:ascii="Times New Roman" w:hAnsi="Times New Roman"/>
                <w:sz w:val="24"/>
              </w:rPr>
            </w:pPr>
          </w:p>
          <w:p w14:paraId="37D2BB15" w14:textId="2B09424A" w:rsidR="00235D9D" w:rsidRPr="00D85C65" w:rsidRDefault="00EE2BEA">
            <w:pPr>
              <w:spacing w:before="0" w:after="0"/>
              <w:jc w:val="left"/>
              <w:rPr>
                <w:rFonts w:ascii="Times New Roman" w:hAnsi="Times New Roman"/>
                <w:sz w:val="24"/>
              </w:rPr>
            </w:pPr>
            <w:r w:rsidRPr="00D85C65">
              <w:rPr>
                <w:rFonts w:ascii="Times New Roman" w:hAnsi="Times New Roman"/>
                <w:sz w:val="24"/>
              </w:rPr>
              <w:t>Inštitúcie vykazujú jednu</w:t>
            </w:r>
            <w:r w:rsidR="00D85C65">
              <w:rPr>
                <w:rFonts w:ascii="Times New Roman" w:hAnsi="Times New Roman"/>
                <w:sz w:val="24"/>
              </w:rPr>
              <w:t xml:space="preserve"> z </w:t>
            </w:r>
            <w:r w:rsidRPr="00D85C65">
              <w:rPr>
                <w:rFonts w:ascii="Times New Roman" w:hAnsi="Times New Roman"/>
                <w:sz w:val="24"/>
              </w:rPr>
              <w:t>týchto skratiek:</w:t>
            </w:r>
          </w:p>
          <w:p w14:paraId="2A5FE7A7"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Y</w:t>
            </w:r>
            <w:r w:rsidRPr="00D85C65">
              <w:rPr>
                <w:rFonts w:ascii="Times New Roman" w:hAnsi="Times New Roman"/>
                <w:sz w:val="24"/>
              </w:rPr>
              <w:tab/>
              <w:t>– áno</w:t>
            </w:r>
          </w:p>
          <w:p w14:paraId="3C46AF09" w14:textId="77777777" w:rsidR="00235D9D" w:rsidRPr="00D85C65" w:rsidRDefault="00C55547">
            <w:pPr>
              <w:spacing w:before="0" w:after="0"/>
              <w:jc w:val="left"/>
              <w:rPr>
                <w:rFonts w:ascii="Times New Roman" w:hAnsi="Times New Roman"/>
                <w:sz w:val="24"/>
              </w:rPr>
            </w:pPr>
            <w:r w:rsidRPr="00D85C65">
              <w:rPr>
                <w:rFonts w:ascii="Times New Roman" w:hAnsi="Times New Roman"/>
                <w:sz w:val="24"/>
              </w:rPr>
              <w:t>N</w:t>
            </w:r>
            <w:r w:rsidRPr="00D85C65">
              <w:rPr>
                <w:rFonts w:ascii="Times New Roman" w:hAnsi="Times New Roman"/>
                <w:sz w:val="24"/>
              </w:rPr>
              <w:tab/>
              <w:t>– nie</w:t>
            </w:r>
          </w:p>
          <w:p w14:paraId="7EB5BD0A" w14:textId="77777777" w:rsidR="00235D9D" w:rsidRPr="00D85C65" w:rsidRDefault="00235D9D">
            <w:pPr>
              <w:spacing w:before="0" w:after="0"/>
              <w:jc w:val="left"/>
              <w:rPr>
                <w:rFonts w:ascii="Times New Roman" w:hAnsi="Times New Roman"/>
                <w:b/>
                <w:sz w:val="24"/>
                <w:u w:val="single"/>
              </w:rPr>
            </w:pPr>
          </w:p>
          <w:p w14:paraId="1D22217F" w14:textId="1C855E11" w:rsidR="00235D9D" w:rsidRPr="00D85C65" w:rsidRDefault="00C55547">
            <w:pPr>
              <w:spacing w:before="0" w:after="0"/>
              <w:jc w:val="left"/>
              <w:rPr>
                <w:rFonts w:ascii="Times New Roman" w:hAnsi="Times New Roman"/>
                <w:sz w:val="24"/>
              </w:rPr>
            </w:pPr>
            <w:r w:rsidRPr="00D85C65">
              <w:rPr>
                <w:rFonts w:ascii="Times New Roman" w:hAnsi="Times New Roman"/>
                <w:sz w:val="24"/>
              </w:rPr>
              <w:t>Možnosť „áno“ (Yes) sa vykazuje</w:t>
            </w:r>
            <w:r w:rsidR="00D85C65">
              <w:rPr>
                <w:rFonts w:ascii="Times New Roman" w:hAnsi="Times New Roman"/>
                <w:sz w:val="24"/>
              </w:rPr>
              <w:t xml:space="preserve"> v </w:t>
            </w:r>
            <w:r w:rsidRPr="00D85C65">
              <w:rPr>
                <w:rFonts w:ascii="Times New Roman" w:hAnsi="Times New Roman"/>
                <w:sz w:val="24"/>
              </w:rPr>
              <w:t>prípade STS sekuritizácií spĺňajúcich podmienky pre zaobchádzanie</w:t>
            </w:r>
            <w:r w:rsidR="00D85C65">
              <w:rPr>
                <w:rFonts w:ascii="Times New Roman" w:hAnsi="Times New Roman"/>
                <w:sz w:val="24"/>
              </w:rPr>
              <w:t xml:space="preserve"> s </w:t>
            </w:r>
            <w:r w:rsidRPr="00D85C65">
              <w:rPr>
                <w:rFonts w:ascii="Times New Roman" w:hAnsi="Times New Roman"/>
                <w:sz w:val="24"/>
              </w:rPr>
              <w:t>diferencovaným kapitálom podľa článku 243 CRR aj</w:t>
            </w:r>
            <w:r w:rsidR="00D85C65">
              <w:rPr>
                <w:rFonts w:ascii="Times New Roman" w:hAnsi="Times New Roman"/>
                <w:sz w:val="24"/>
              </w:rPr>
              <w:t xml:space="preserve"> v </w:t>
            </w:r>
            <w:r w:rsidRPr="00D85C65">
              <w:rPr>
                <w:rFonts w:ascii="Times New Roman" w:hAnsi="Times New Roman"/>
                <w:sz w:val="24"/>
              </w:rPr>
              <w:t>prípade nadriadených pozícií (iných ako STS)</w:t>
            </w:r>
            <w:r w:rsidR="00D85C65">
              <w:rPr>
                <w:rFonts w:ascii="Times New Roman" w:hAnsi="Times New Roman"/>
                <w:sz w:val="24"/>
              </w:rPr>
              <w:t xml:space="preserve"> v </w:t>
            </w:r>
            <w:r w:rsidRPr="00D85C65">
              <w:rPr>
                <w:rFonts w:ascii="Times New Roman" w:hAnsi="Times New Roman"/>
                <w:sz w:val="24"/>
              </w:rPr>
              <w:t>sekuritizáciách MSP spĺňajúcich podmienky pre toto zaobchádzanie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270 CRR.</w:t>
            </w:r>
          </w:p>
          <w:p w14:paraId="416BB82A" w14:textId="77777777" w:rsidR="00235D9D" w:rsidRPr="00D85C65" w:rsidRDefault="00235D9D">
            <w:pPr>
              <w:tabs>
                <w:tab w:val="left" w:pos="3274"/>
              </w:tabs>
              <w:spacing w:before="0" w:after="0"/>
              <w:jc w:val="left"/>
              <w:rPr>
                <w:rFonts w:ascii="Times New Roman" w:hAnsi="Times New Roman"/>
                <w:b/>
                <w:sz w:val="24"/>
                <w:u w:val="single"/>
              </w:rPr>
            </w:pPr>
          </w:p>
        </w:tc>
      </w:tr>
      <w:tr w:rsidR="00235D9D" w:rsidRPr="00D85C65" w14:paraId="2D795827" w14:textId="77777777" w:rsidTr="00E10B85">
        <w:tc>
          <w:tcPr>
            <w:tcW w:w="1101" w:type="dxa"/>
          </w:tcPr>
          <w:p w14:paraId="7330EDCC" w14:textId="77777777" w:rsidR="00235D9D" w:rsidRPr="00D85C65" w:rsidRDefault="00C55547">
            <w:pPr>
              <w:autoSpaceDE w:val="0"/>
              <w:autoSpaceDN w:val="0"/>
              <w:adjustRightInd w:val="0"/>
              <w:spacing w:before="0" w:after="0"/>
              <w:rPr>
                <w:rFonts w:ascii="Times New Roman" w:hAnsi="Times New Roman"/>
                <w:sz w:val="24"/>
                <w:highlight w:val="yellow"/>
              </w:rPr>
            </w:pPr>
            <w:r w:rsidRPr="00D85C65">
              <w:rPr>
                <w:rFonts w:ascii="Times New Roman" w:hAnsi="Times New Roman"/>
                <w:sz w:val="24"/>
              </w:rPr>
              <w:lastRenderedPageBreak/>
              <w:t>080 – 100</w:t>
            </w:r>
          </w:p>
        </w:tc>
        <w:tc>
          <w:tcPr>
            <w:tcW w:w="7903" w:type="dxa"/>
          </w:tcPr>
          <w:p w14:paraId="371F9D73" w14:textId="77777777" w:rsidR="00235D9D" w:rsidRPr="00D85C65" w:rsidRDefault="00C55547">
            <w:pPr>
              <w:spacing w:before="0" w:after="0"/>
              <w:jc w:val="left"/>
              <w:rPr>
                <w:rFonts w:ascii="Times New Roman" w:hAnsi="Times New Roman"/>
                <w:sz w:val="24"/>
              </w:rPr>
            </w:pPr>
            <w:r w:rsidRPr="00D85C65">
              <w:rPr>
                <w:rFonts w:ascii="Times New Roman" w:hAnsi="Times New Roman"/>
                <w:b/>
                <w:sz w:val="24"/>
                <w:u w:val="single"/>
              </w:rPr>
              <w:t>PONECHANIE SI</w:t>
            </w:r>
          </w:p>
          <w:p w14:paraId="52E825CF" w14:textId="77777777" w:rsidR="00235D9D" w:rsidRPr="00D85C65" w:rsidRDefault="00235D9D">
            <w:pPr>
              <w:spacing w:before="0" w:after="0"/>
              <w:rPr>
                <w:rFonts w:ascii="Times New Roman" w:hAnsi="Times New Roman"/>
                <w:sz w:val="24"/>
              </w:rPr>
            </w:pPr>
          </w:p>
          <w:p w14:paraId="7EA20153" w14:textId="23C8905C" w:rsidR="00D85C65" w:rsidRDefault="00C55547">
            <w:pPr>
              <w:spacing w:before="0" w:after="0"/>
              <w:rPr>
                <w:rFonts w:ascii="Times New Roman" w:hAnsi="Times New Roman"/>
                <w:sz w:val="24"/>
              </w:rPr>
            </w:pPr>
            <w:r w:rsidRPr="00D85C65">
              <w:rPr>
                <w:rFonts w:ascii="Times New Roman" w:hAnsi="Times New Roman"/>
                <w:sz w:val="24"/>
              </w:rPr>
              <w:t>Článok 6 nariadenia (EÚ) 2017/2402. Ak sa uplatňuje článok 43 ods. 6 nariadenia (EÚ) 2017/2402, uplatňuje sa článok 405 CRR vo verzii, ktorá bola uplatniteľná</w:t>
            </w:r>
            <w:r w:rsidR="00D85C65">
              <w:rPr>
                <w:rFonts w:ascii="Times New Roman" w:hAnsi="Times New Roman"/>
                <w:sz w:val="24"/>
              </w:rPr>
              <w:t xml:space="preserve"> k </w:t>
            </w:r>
            <w:r w:rsidRPr="00D85C65">
              <w:rPr>
                <w:rFonts w:ascii="Times New Roman" w:hAnsi="Times New Roman"/>
                <w:sz w:val="24"/>
              </w:rPr>
              <w:t>31. decembru 2018</w:t>
            </w:r>
            <w:r w:rsidR="00D85C65">
              <w:rPr>
                <w:rFonts w:ascii="Times New Roman" w:hAnsi="Times New Roman"/>
                <w:sz w:val="24"/>
              </w:rPr>
              <w:t>.</w:t>
            </w:r>
          </w:p>
          <w:p w14:paraId="14F8F26F" w14:textId="33632C29" w:rsidR="00235D9D" w:rsidRPr="00D85C65" w:rsidRDefault="00235D9D">
            <w:pPr>
              <w:spacing w:before="0" w:after="0"/>
              <w:jc w:val="left"/>
              <w:rPr>
                <w:rFonts w:ascii="Times New Roman" w:hAnsi="Times New Roman"/>
                <w:sz w:val="24"/>
              </w:rPr>
            </w:pPr>
          </w:p>
        </w:tc>
      </w:tr>
      <w:tr w:rsidR="00235D9D" w:rsidRPr="00D85C65" w14:paraId="2129CABA" w14:textId="77777777" w:rsidTr="00E10B85">
        <w:tc>
          <w:tcPr>
            <w:tcW w:w="1101" w:type="dxa"/>
          </w:tcPr>
          <w:p w14:paraId="2337A31E"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080</w:t>
            </w:r>
          </w:p>
        </w:tc>
        <w:tc>
          <w:tcPr>
            <w:tcW w:w="7903" w:type="dxa"/>
          </w:tcPr>
          <w:p w14:paraId="28796C4C"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TYP UPLATNENÉHO PONECHANIA SI</w:t>
            </w:r>
          </w:p>
          <w:p w14:paraId="553C7481" w14:textId="77777777" w:rsidR="00235D9D" w:rsidRPr="00D85C65" w:rsidRDefault="00235D9D">
            <w:pPr>
              <w:spacing w:before="0" w:after="0"/>
              <w:jc w:val="left"/>
              <w:rPr>
                <w:rFonts w:ascii="Times New Roman" w:hAnsi="Times New Roman"/>
                <w:sz w:val="24"/>
              </w:rPr>
            </w:pPr>
          </w:p>
          <w:p w14:paraId="0B4E4AFD" w14:textId="2F8B5053" w:rsidR="00235D9D" w:rsidRPr="00D85C65" w:rsidRDefault="00C55547">
            <w:pPr>
              <w:spacing w:before="0" w:after="0"/>
              <w:rPr>
                <w:rFonts w:ascii="Times New Roman" w:hAnsi="Times New Roman"/>
                <w:sz w:val="24"/>
              </w:rPr>
            </w:pPr>
            <w:r w:rsidRPr="00D85C65">
              <w:rPr>
                <w:rFonts w:ascii="Times New Roman" w:hAnsi="Times New Roman"/>
                <w:sz w:val="24"/>
              </w:rPr>
              <w:t>Pre každú vzniknutú sekuritizačnú schému sa vykazuje príslušný typ ponechania si čistého hospodárskeho podielu, ako sa uvádza</w:t>
            </w:r>
            <w:r w:rsidR="00D85C65">
              <w:rPr>
                <w:rFonts w:ascii="Times New Roman" w:hAnsi="Times New Roman"/>
                <w:sz w:val="24"/>
              </w:rPr>
              <w:t xml:space="preserve"> v </w:t>
            </w:r>
            <w:r w:rsidRPr="00D85C65">
              <w:rPr>
                <w:rFonts w:ascii="Times New Roman" w:hAnsi="Times New Roman"/>
                <w:sz w:val="24"/>
              </w:rPr>
              <w:t>článku 6 nariadenia (EÚ) 2017/2402:</w:t>
            </w:r>
          </w:p>
          <w:p w14:paraId="559F8262" w14:textId="77777777" w:rsidR="00235D9D" w:rsidRPr="00D85C65" w:rsidRDefault="00235D9D">
            <w:pPr>
              <w:spacing w:before="0" w:after="0"/>
              <w:rPr>
                <w:rFonts w:ascii="Times New Roman" w:hAnsi="Times New Roman"/>
                <w:sz w:val="24"/>
              </w:rPr>
            </w:pPr>
          </w:p>
          <w:p w14:paraId="7F979D02" w14:textId="75A69064" w:rsidR="00D85C65" w:rsidRDefault="00C55547">
            <w:pPr>
              <w:spacing w:before="0" w:after="0"/>
              <w:rPr>
                <w:rFonts w:ascii="Times New Roman" w:hAnsi="Times New Roman"/>
                <w:i/>
                <w:sz w:val="24"/>
              </w:rPr>
            </w:pPr>
            <w:r w:rsidRPr="00D85C65">
              <w:rPr>
                <w:rFonts w:ascii="Times New Roman" w:hAnsi="Times New Roman"/>
                <w:sz w:val="24"/>
              </w:rPr>
              <w:t xml:space="preserve">A – vertikálna časť (sekuritizačné pozície): </w:t>
            </w:r>
            <w:r w:rsidRPr="00D85C65">
              <w:rPr>
                <w:rFonts w:ascii="Times New Roman" w:hAnsi="Times New Roman"/>
                <w:i/>
                <w:sz w:val="24"/>
              </w:rPr>
              <w:t>„ponechanie si minimálne 5</w:t>
            </w:r>
            <w:r w:rsidR="00D85C65">
              <w:rPr>
                <w:rFonts w:ascii="Times New Roman" w:hAnsi="Times New Roman"/>
                <w:i/>
                <w:sz w:val="24"/>
              </w:rPr>
              <w:t> %</w:t>
            </w:r>
            <w:r w:rsidRPr="00D85C65">
              <w:rPr>
                <w:rFonts w:ascii="Times New Roman" w:hAnsi="Times New Roman"/>
                <w:i/>
                <w:sz w:val="24"/>
              </w:rPr>
              <w:t xml:space="preserve"> nominálnej hodnoty každej tranže predanej alebo prevedenej investorovi“</w:t>
            </w:r>
            <w:r w:rsidR="00D85C65">
              <w:rPr>
                <w:rFonts w:ascii="Times New Roman" w:hAnsi="Times New Roman"/>
                <w:i/>
                <w:sz w:val="24"/>
              </w:rPr>
              <w:t>.</w:t>
            </w:r>
          </w:p>
          <w:p w14:paraId="05F9343C" w14:textId="2819C497" w:rsidR="00235D9D" w:rsidRPr="00D85C65" w:rsidRDefault="00235D9D">
            <w:pPr>
              <w:spacing w:before="0" w:after="0"/>
              <w:rPr>
                <w:rFonts w:ascii="Times New Roman" w:hAnsi="Times New Roman"/>
                <w:sz w:val="24"/>
              </w:rPr>
            </w:pPr>
          </w:p>
          <w:p w14:paraId="445598A5" w14:textId="62ED792F" w:rsidR="00235D9D" w:rsidRPr="00D85C65" w:rsidRDefault="00C55547">
            <w:pPr>
              <w:spacing w:before="0" w:after="0"/>
              <w:rPr>
                <w:rFonts w:ascii="Times New Roman" w:hAnsi="Times New Roman"/>
                <w:sz w:val="24"/>
              </w:rPr>
            </w:pPr>
            <w:r w:rsidRPr="00D85C65">
              <w:rPr>
                <w:rFonts w:ascii="Times New Roman" w:hAnsi="Times New Roman"/>
                <w:sz w:val="24"/>
              </w:rPr>
              <w:t>V – vertikálna časť (sekuritizované expozície): ponechanie si minimálne</w:t>
            </w:r>
            <w:r w:rsidRPr="00D85C65">
              <w:rPr>
                <w:rFonts w:ascii="Times New Roman" w:hAnsi="Times New Roman"/>
                <w:i/>
                <w:sz w:val="24"/>
              </w:rPr>
              <w:t xml:space="preserve"> </w:t>
            </w:r>
            <w:r w:rsidRPr="00D85C65">
              <w:rPr>
                <w:rFonts w:ascii="Times New Roman" w:hAnsi="Times New Roman"/>
                <w:sz w:val="24"/>
              </w:rPr>
              <w:t>5</w:t>
            </w:r>
            <w:r w:rsidR="00D85C65">
              <w:rPr>
                <w:rFonts w:ascii="Times New Roman" w:hAnsi="Times New Roman"/>
                <w:sz w:val="24"/>
              </w:rPr>
              <w:t> %</w:t>
            </w:r>
            <w:r w:rsidRPr="00D85C65">
              <w:rPr>
                <w:rFonts w:ascii="Times New Roman" w:hAnsi="Times New Roman"/>
                <w:sz w:val="24"/>
              </w:rPr>
              <w:t xml:space="preserve"> kreditného rizika každej sekuritizovanej expozície, ak takto ponechané kreditné riziko vo vzťahu</w:t>
            </w:r>
            <w:r w:rsidR="00D85C65">
              <w:rPr>
                <w:rFonts w:ascii="Times New Roman" w:hAnsi="Times New Roman"/>
                <w:sz w:val="24"/>
              </w:rPr>
              <w:t xml:space="preserve"> k </w:t>
            </w:r>
            <w:r w:rsidRPr="00D85C65">
              <w:rPr>
                <w:rFonts w:ascii="Times New Roman" w:hAnsi="Times New Roman"/>
                <w:sz w:val="24"/>
              </w:rPr>
              <w:t xml:space="preserve">týmto sekuritizovaným expozíciám je vždy </w:t>
            </w:r>
            <w:r w:rsidRPr="00D85C65">
              <w:rPr>
                <w:rFonts w:ascii="Times New Roman" w:hAnsi="Times New Roman"/>
                <w:i/>
                <w:sz w:val="24"/>
              </w:rPr>
              <w:t>rovnocenné</w:t>
            </w:r>
            <w:r w:rsidR="00D85C65">
              <w:rPr>
                <w:rFonts w:ascii="Times New Roman" w:hAnsi="Times New Roman"/>
                <w:sz w:val="24"/>
              </w:rPr>
              <w:t xml:space="preserve"> s </w:t>
            </w:r>
            <w:r w:rsidRPr="00D85C65">
              <w:rPr>
                <w:rFonts w:ascii="Times New Roman" w:hAnsi="Times New Roman"/>
                <w:sz w:val="24"/>
              </w:rPr>
              <w:t>kreditným rizikom, ktoré sa sekuritizovalo vo vzťahu</w:t>
            </w:r>
            <w:r w:rsidR="00D85C65">
              <w:rPr>
                <w:rFonts w:ascii="Times New Roman" w:hAnsi="Times New Roman"/>
                <w:sz w:val="24"/>
              </w:rPr>
              <w:t xml:space="preserve"> k </w:t>
            </w:r>
            <w:r w:rsidRPr="00D85C65">
              <w:rPr>
                <w:rFonts w:ascii="Times New Roman" w:hAnsi="Times New Roman"/>
                <w:sz w:val="24"/>
              </w:rPr>
              <w:t>tým istým expozíciám, alebo mu je podriadené.</w:t>
            </w:r>
          </w:p>
          <w:p w14:paraId="22CDCA49" w14:textId="77777777" w:rsidR="00235D9D" w:rsidRPr="00D85C65" w:rsidRDefault="00235D9D">
            <w:pPr>
              <w:spacing w:before="0" w:after="0"/>
              <w:rPr>
                <w:rFonts w:ascii="Times New Roman" w:hAnsi="Times New Roman"/>
                <w:sz w:val="24"/>
              </w:rPr>
            </w:pPr>
          </w:p>
          <w:p w14:paraId="27CA8296" w14:textId="2E9FAE6D" w:rsidR="00D85C65" w:rsidRDefault="00C55547">
            <w:pPr>
              <w:spacing w:before="0" w:after="0"/>
              <w:rPr>
                <w:rFonts w:ascii="Times New Roman" w:hAnsi="Times New Roman"/>
                <w:sz w:val="24"/>
              </w:rPr>
            </w:pPr>
            <w:r w:rsidRPr="00D85C65">
              <w:rPr>
                <w:rFonts w:ascii="Times New Roman" w:hAnsi="Times New Roman"/>
                <w:sz w:val="24"/>
              </w:rPr>
              <w:t>B – revolvingové expozície: „</w:t>
            </w:r>
            <w:r w:rsidRPr="00D85C65">
              <w:rPr>
                <w:rFonts w:ascii="Times New Roman" w:hAnsi="Times New Roman"/>
                <w:i/>
                <w:sz w:val="24"/>
              </w:rPr>
              <w:t>v prípade sekuritizácií revolvingových expozícií, ponechanie si podielu originátora vo výške minimálne 5</w:t>
            </w:r>
            <w:r w:rsidR="00D85C65">
              <w:rPr>
                <w:rFonts w:ascii="Times New Roman" w:hAnsi="Times New Roman"/>
                <w:i/>
                <w:sz w:val="24"/>
              </w:rPr>
              <w:t> %</w:t>
            </w:r>
            <w:r w:rsidRPr="00D85C65">
              <w:rPr>
                <w:rFonts w:ascii="Times New Roman" w:hAnsi="Times New Roman"/>
                <w:i/>
                <w:sz w:val="24"/>
              </w:rPr>
              <w:t xml:space="preserve"> nominálnej hodnoty sekuritizovaných expozícií</w:t>
            </w:r>
            <w:r w:rsidRPr="00D85C65">
              <w:rPr>
                <w:rFonts w:ascii="Times New Roman" w:hAnsi="Times New Roman"/>
                <w:sz w:val="24"/>
              </w:rPr>
              <w:t>“</w:t>
            </w:r>
            <w:r w:rsidR="00D85C65">
              <w:rPr>
                <w:rFonts w:ascii="Times New Roman" w:hAnsi="Times New Roman"/>
                <w:sz w:val="24"/>
              </w:rPr>
              <w:t>.</w:t>
            </w:r>
          </w:p>
          <w:p w14:paraId="6D93EF17" w14:textId="766F52DB" w:rsidR="00235D9D" w:rsidRPr="00D85C65" w:rsidRDefault="00235D9D">
            <w:pPr>
              <w:spacing w:before="0" w:after="0"/>
              <w:rPr>
                <w:rFonts w:ascii="Times New Roman" w:hAnsi="Times New Roman"/>
                <w:sz w:val="24"/>
              </w:rPr>
            </w:pPr>
          </w:p>
          <w:p w14:paraId="5F483273" w14:textId="18EC3DDB" w:rsidR="00235D9D" w:rsidRPr="00D85C65" w:rsidRDefault="00C55547">
            <w:pPr>
              <w:spacing w:before="0" w:after="0"/>
              <w:rPr>
                <w:rFonts w:ascii="Times New Roman" w:hAnsi="Times New Roman"/>
                <w:sz w:val="24"/>
              </w:rPr>
            </w:pPr>
            <w:r w:rsidRPr="00D85C65">
              <w:rPr>
                <w:rFonts w:ascii="Times New Roman" w:hAnsi="Times New Roman"/>
                <w:sz w:val="24"/>
              </w:rPr>
              <w:t>C – súvaha: „</w:t>
            </w:r>
            <w:r w:rsidRPr="00D85C65">
              <w:rPr>
                <w:rFonts w:ascii="Times New Roman" w:hAnsi="Times New Roman"/>
                <w:i/>
                <w:sz w:val="24"/>
              </w:rPr>
              <w:t>ponechanie si náhodne zvolených expozícií, ktoré predstavujú minimálne 5</w:t>
            </w:r>
            <w:r w:rsidR="00D85C65">
              <w:rPr>
                <w:rFonts w:ascii="Times New Roman" w:hAnsi="Times New Roman"/>
                <w:i/>
                <w:sz w:val="24"/>
              </w:rPr>
              <w:t> %</w:t>
            </w:r>
            <w:r w:rsidRPr="00D85C65">
              <w:rPr>
                <w:rFonts w:ascii="Times New Roman" w:hAnsi="Times New Roman"/>
                <w:i/>
                <w:sz w:val="24"/>
              </w:rPr>
              <w:t xml:space="preserve"> nominálnej hodnoty sekuritizovaných expozícií</w:t>
            </w:r>
            <w:r w:rsidR="00D85C65">
              <w:rPr>
                <w:rFonts w:ascii="Times New Roman" w:hAnsi="Times New Roman"/>
                <w:i/>
                <w:sz w:val="24"/>
              </w:rPr>
              <w:t xml:space="preserve"> v </w:t>
            </w:r>
            <w:r w:rsidRPr="00D85C65">
              <w:rPr>
                <w:rFonts w:ascii="Times New Roman" w:hAnsi="Times New Roman"/>
                <w:i/>
                <w:sz w:val="24"/>
              </w:rPr>
              <w:t>prípade, keď by sa inak tieto expozície sekuritizovali, pod podmienkou, že počet potenciálne sekuritizovaných expozícií nie je pri vzniku nižší než 100</w:t>
            </w:r>
            <w:r w:rsidRPr="00D85C65">
              <w:rPr>
                <w:rFonts w:ascii="Times New Roman" w:hAnsi="Times New Roman"/>
                <w:sz w:val="24"/>
              </w:rPr>
              <w:t>“.</w:t>
            </w:r>
          </w:p>
          <w:p w14:paraId="6FC45199" w14:textId="77777777" w:rsidR="00235D9D" w:rsidRPr="00D85C65" w:rsidRDefault="00235D9D">
            <w:pPr>
              <w:spacing w:before="0" w:after="0"/>
              <w:rPr>
                <w:rFonts w:ascii="Times New Roman" w:hAnsi="Times New Roman"/>
                <w:sz w:val="24"/>
              </w:rPr>
            </w:pPr>
          </w:p>
          <w:p w14:paraId="597B4308" w14:textId="3BDCE9CB" w:rsidR="00235D9D" w:rsidRPr="00D85C65" w:rsidRDefault="00C55547">
            <w:pPr>
              <w:spacing w:before="0" w:after="0"/>
              <w:rPr>
                <w:rFonts w:ascii="Times New Roman" w:hAnsi="Times New Roman"/>
                <w:sz w:val="24"/>
              </w:rPr>
            </w:pPr>
            <w:r w:rsidRPr="00D85C65">
              <w:rPr>
                <w:rFonts w:ascii="Times New Roman" w:hAnsi="Times New Roman"/>
                <w:sz w:val="24"/>
              </w:rPr>
              <w:t>D – prvá strata: „</w:t>
            </w:r>
            <w:r w:rsidRPr="00D85C65">
              <w:rPr>
                <w:rFonts w:ascii="Times New Roman" w:hAnsi="Times New Roman"/>
                <w:i/>
                <w:sz w:val="24"/>
              </w:rPr>
              <w:t>ponechanie si tranže prvej straty</w:t>
            </w:r>
            <w:r w:rsidR="00D85C65">
              <w:rPr>
                <w:rFonts w:ascii="Times New Roman" w:hAnsi="Times New Roman"/>
                <w:i/>
                <w:sz w:val="24"/>
              </w:rPr>
              <w:t xml:space="preserve"> a v </w:t>
            </w:r>
            <w:r w:rsidRPr="00D85C65">
              <w:rPr>
                <w:rFonts w:ascii="Times New Roman" w:hAnsi="Times New Roman"/>
                <w:i/>
                <w:sz w:val="24"/>
              </w:rPr>
              <w:t>prípade potreby iných tranží, ktoré majú rovnaký alebo vyšší rizikový profil než tranže prevedené alebo predané investorom</w:t>
            </w:r>
            <w:r w:rsidR="00D85C65">
              <w:rPr>
                <w:rFonts w:ascii="Times New Roman" w:hAnsi="Times New Roman"/>
                <w:i/>
                <w:sz w:val="24"/>
              </w:rPr>
              <w:t xml:space="preserve"> a </w:t>
            </w:r>
            <w:r w:rsidRPr="00D85C65">
              <w:rPr>
                <w:rFonts w:ascii="Times New Roman" w:hAnsi="Times New Roman"/>
                <w:i/>
                <w:sz w:val="24"/>
              </w:rPr>
              <w:t>ktorých splatnosť nenastáva skôr než splatnosť tranží prevedených alebo predaných investorom,</w:t>
            </w:r>
            <w:r w:rsidR="00D85C65">
              <w:rPr>
                <w:rFonts w:ascii="Times New Roman" w:hAnsi="Times New Roman"/>
                <w:i/>
                <w:sz w:val="24"/>
              </w:rPr>
              <w:t xml:space="preserve"> a </w:t>
            </w:r>
            <w:r w:rsidRPr="00D85C65">
              <w:rPr>
                <w:rFonts w:ascii="Times New Roman" w:hAnsi="Times New Roman"/>
                <w:i/>
                <w:sz w:val="24"/>
              </w:rPr>
              <w:t>to tak, že ponechanie predstavuje celkom minimálne 5</w:t>
            </w:r>
            <w:r w:rsidR="00D85C65">
              <w:rPr>
                <w:rFonts w:ascii="Times New Roman" w:hAnsi="Times New Roman"/>
                <w:i/>
                <w:sz w:val="24"/>
              </w:rPr>
              <w:t> %</w:t>
            </w:r>
            <w:r w:rsidRPr="00D85C65">
              <w:rPr>
                <w:rFonts w:ascii="Times New Roman" w:hAnsi="Times New Roman"/>
                <w:i/>
                <w:sz w:val="24"/>
              </w:rPr>
              <w:t xml:space="preserve"> nominálnej hodnoty sekuritizovaných expozícií</w:t>
            </w:r>
            <w:r w:rsidRPr="00D85C65">
              <w:rPr>
                <w:rFonts w:ascii="Times New Roman" w:hAnsi="Times New Roman"/>
                <w:sz w:val="24"/>
              </w:rPr>
              <w:t>“.</w:t>
            </w:r>
          </w:p>
          <w:p w14:paraId="68C76BD6" w14:textId="77777777" w:rsidR="00235D9D" w:rsidRPr="00D85C65" w:rsidRDefault="00235D9D">
            <w:pPr>
              <w:spacing w:before="0" w:after="0"/>
              <w:rPr>
                <w:rFonts w:ascii="Times New Roman" w:hAnsi="Times New Roman"/>
                <w:sz w:val="24"/>
              </w:rPr>
            </w:pPr>
          </w:p>
          <w:p w14:paraId="4580DA17" w14:textId="08CAEFFF" w:rsidR="00235D9D" w:rsidRPr="00D85C65" w:rsidRDefault="00C55547">
            <w:pPr>
              <w:spacing w:before="0" w:after="0"/>
              <w:rPr>
                <w:rFonts w:ascii="Times New Roman" w:hAnsi="Times New Roman"/>
                <w:sz w:val="24"/>
              </w:rPr>
            </w:pPr>
            <w:r w:rsidRPr="00D85C65">
              <w:rPr>
                <w:rFonts w:ascii="Times New Roman" w:hAnsi="Times New Roman"/>
                <w:sz w:val="24"/>
              </w:rPr>
              <w:t>E – oslobodené. Tento kód sa vypĺňa pre sekuritizácie, na ktoré má vplyv uplatňovanie článku 6 ods. 6 nariadenia (EÚ) 2017/2402.</w:t>
            </w:r>
          </w:p>
          <w:p w14:paraId="7B3B8D07" w14:textId="77777777" w:rsidR="00235D9D" w:rsidRPr="00D85C65" w:rsidRDefault="00235D9D">
            <w:pPr>
              <w:spacing w:before="0" w:after="0"/>
              <w:rPr>
                <w:rFonts w:ascii="Times New Roman" w:hAnsi="Times New Roman"/>
                <w:sz w:val="24"/>
              </w:rPr>
            </w:pPr>
          </w:p>
          <w:p w14:paraId="369E3C3B" w14:textId="139F6771" w:rsidR="00235D9D" w:rsidRPr="00D85C65" w:rsidRDefault="00C55547">
            <w:pPr>
              <w:spacing w:before="0" w:after="0"/>
              <w:rPr>
                <w:rFonts w:ascii="Times New Roman" w:hAnsi="Times New Roman"/>
                <w:sz w:val="24"/>
              </w:rPr>
            </w:pPr>
            <w:r w:rsidRPr="00D85C65">
              <w:rPr>
                <w:rFonts w:ascii="Times New Roman" w:hAnsi="Times New Roman"/>
                <w:sz w:val="24"/>
              </w:rPr>
              <w:t>U –</w:t>
            </w:r>
            <w:r w:rsidR="00D85C65">
              <w:rPr>
                <w:rFonts w:ascii="Times New Roman" w:hAnsi="Times New Roman"/>
                <w:sz w:val="24"/>
              </w:rPr>
              <w:t xml:space="preserve"> v </w:t>
            </w:r>
            <w:r w:rsidRPr="00D85C65">
              <w:rPr>
                <w:rFonts w:ascii="Times New Roman" w:hAnsi="Times New Roman"/>
                <w:sz w:val="24"/>
              </w:rPr>
              <w:t>rozpore alebo neznáme. Tento kód sa vyplní, keď vykazujúca inštitúcia nevie</w:t>
            </w:r>
            <w:r w:rsidR="00D85C65">
              <w:rPr>
                <w:rFonts w:ascii="Times New Roman" w:hAnsi="Times New Roman"/>
                <w:sz w:val="24"/>
              </w:rPr>
              <w:t xml:space="preserve"> s </w:t>
            </w:r>
            <w:r w:rsidRPr="00D85C65">
              <w:rPr>
                <w:rFonts w:ascii="Times New Roman" w:hAnsi="Times New Roman"/>
                <w:sz w:val="24"/>
              </w:rPr>
              <w:t>istotou, ktorý typ ponechania si sa uplatňuje, alebo</w:t>
            </w:r>
            <w:r w:rsidR="00D85C65">
              <w:rPr>
                <w:rFonts w:ascii="Times New Roman" w:hAnsi="Times New Roman"/>
                <w:sz w:val="24"/>
              </w:rPr>
              <w:t xml:space="preserve"> v </w:t>
            </w:r>
            <w:r w:rsidRPr="00D85C65">
              <w:rPr>
                <w:rFonts w:ascii="Times New Roman" w:hAnsi="Times New Roman"/>
                <w:sz w:val="24"/>
              </w:rPr>
              <w:t>prípade porušenia predpisov.</w:t>
            </w:r>
          </w:p>
          <w:p w14:paraId="6F79727B"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4BA4A4DE" w14:textId="77777777" w:rsidTr="00E10B85">
        <w:tc>
          <w:tcPr>
            <w:tcW w:w="1101" w:type="dxa"/>
          </w:tcPr>
          <w:p w14:paraId="5B5306BA"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090</w:t>
            </w:r>
          </w:p>
        </w:tc>
        <w:tc>
          <w:tcPr>
            <w:tcW w:w="7903" w:type="dxa"/>
          </w:tcPr>
          <w:p w14:paraId="1B360083" w14:textId="4B4C295C"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 PONECHANIA SI</w:t>
            </w:r>
            <w:r w:rsidR="00D85C65">
              <w:rPr>
                <w:rFonts w:ascii="Times New Roman" w:hAnsi="Times New Roman"/>
                <w:b/>
                <w:sz w:val="24"/>
                <w:u w:val="single"/>
              </w:rPr>
              <w:t xml:space="preserve"> V </w:t>
            </w:r>
            <w:r w:rsidRPr="00D85C65">
              <w:rPr>
                <w:rFonts w:ascii="Times New Roman" w:hAnsi="Times New Roman"/>
                <w:b/>
                <w:sz w:val="24"/>
                <w:u w:val="single"/>
              </w:rPr>
              <w:t>ČASE VYKAZOVANIA</w:t>
            </w:r>
          </w:p>
          <w:p w14:paraId="01BE6D7F" w14:textId="77777777" w:rsidR="00235D9D" w:rsidRPr="00D85C65" w:rsidRDefault="00235D9D">
            <w:pPr>
              <w:spacing w:before="0" w:after="0"/>
              <w:jc w:val="left"/>
              <w:rPr>
                <w:rFonts w:ascii="Times New Roman" w:hAnsi="Times New Roman"/>
                <w:sz w:val="24"/>
              </w:rPr>
            </w:pPr>
          </w:p>
          <w:p w14:paraId="017B54B1" w14:textId="542FBE12" w:rsidR="00235D9D" w:rsidRPr="00D85C65" w:rsidRDefault="00C55547">
            <w:pPr>
              <w:spacing w:before="0" w:after="0"/>
              <w:rPr>
                <w:rFonts w:ascii="Times New Roman" w:hAnsi="Times New Roman"/>
                <w:i/>
                <w:sz w:val="24"/>
              </w:rPr>
            </w:pPr>
            <w:r w:rsidRPr="00D85C65">
              <w:rPr>
                <w:rFonts w:ascii="Times New Roman" w:hAnsi="Times New Roman"/>
                <w:sz w:val="24"/>
              </w:rPr>
              <w:t xml:space="preserve">Ponechanie si </w:t>
            </w:r>
            <w:r w:rsidRPr="00D85C65">
              <w:rPr>
                <w:rFonts w:ascii="Times New Roman" w:hAnsi="Times New Roman"/>
                <w:i/>
                <w:sz w:val="24"/>
              </w:rPr>
              <w:t>významného čistého hospodárskeho podielu zo strany originátora, sponzora alebo pôvodného veriteľa</w:t>
            </w:r>
            <w:r w:rsidRPr="00D85C65">
              <w:rPr>
                <w:rFonts w:ascii="Times New Roman" w:hAnsi="Times New Roman"/>
                <w:sz w:val="24"/>
              </w:rPr>
              <w:t xml:space="preserve"> sekuritizácie je najmenej 5</w:t>
            </w:r>
            <w:r w:rsidR="00D85C65">
              <w:rPr>
                <w:rFonts w:ascii="Times New Roman" w:hAnsi="Times New Roman"/>
                <w:sz w:val="24"/>
              </w:rPr>
              <w:t> %</w:t>
            </w:r>
            <w:r w:rsidRPr="00D85C65">
              <w:rPr>
                <w:rFonts w:ascii="Times New Roman" w:hAnsi="Times New Roman"/>
                <w:sz w:val="24"/>
              </w:rPr>
              <w:t xml:space="preserve"> (k dátumu vzniku).</w:t>
            </w:r>
          </w:p>
          <w:p w14:paraId="736CBC94" w14:textId="77777777" w:rsidR="00235D9D" w:rsidRPr="00D85C65" w:rsidRDefault="00235D9D">
            <w:pPr>
              <w:spacing w:before="0" w:after="0"/>
              <w:rPr>
                <w:rFonts w:ascii="Times New Roman" w:hAnsi="Times New Roman"/>
                <w:i/>
                <w:sz w:val="24"/>
              </w:rPr>
            </w:pPr>
          </w:p>
          <w:p w14:paraId="2D8B6608" w14:textId="6F5640F3" w:rsidR="00235D9D" w:rsidRPr="00D85C65" w:rsidRDefault="00C55547">
            <w:pPr>
              <w:autoSpaceDE w:val="0"/>
              <w:autoSpaceDN w:val="0"/>
              <w:adjustRightInd w:val="0"/>
              <w:spacing w:before="0" w:after="0"/>
              <w:rPr>
                <w:rFonts w:ascii="Times New Roman" w:hAnsi="Times New Roman"/>
                <w:i/>
                <w:sz w:val="24"/>
              </w:rPr>
            </w:pPr>
            <w:r w:rsidRPr="00D85C65">
              <w:rPr>
                <w:rFonts w:ascii="Times New Roman" w:hAnsi="Times New Roman"/>
                <w:sz w:val="24"/>
              </w:rPr>
              <w:lastRenderedPageBreak/>
              <w:t>Tento stĺpec sa nevypĺňa</w:t>
            </w:r>
            <w:r w:rsidR="00D85C65">
              <w:rPr>
                <w:rFonts w:ascii="Times New Roman" w:hAnsi="Times New Roman"/>
                <w:sz w:val="24"/>
              </w:rPr>
              <w:t xml:space="preserve"> v </w:t>
            </w:r>
            <w:r w:rsidRPr="00D85C65">
              <w:rPr>
                <w:rFonts w:ascii="Times New Roman" w:hAnsi="Times New Roman"/>
                <w:sz w:val="24"/>
              </w:rPr>
              <w:t>prípade, že</w:t>
            </w:r>
            <w:r w:rsidR="00D85C65">
              <w:rPr>
                <w:rFonts w:ascii="Times New Roman" w:hAnsi="Times New Roman"/>
                <w:sz w:val="24"/>
              </w:rPr>
              <w:t xml:space="preserve"> v </w:t>
            </w:r>
            <w:r w:rsidRPr="00D85C65">
              <w:rPr>
                <w:rFonts w:ascii="Times New Roman" w:hAnsi="Times New Roman"/>
                <w:sz w:val="24"/>
              </w:rPr>
              <w:t>stĺpci 080 (Typ uplatneného ponechania si) sa vykázali kódy „E“ (oslobodené) alebo „N“ (neuplatňuje sa).</w:t>
            </w:r>
          </w:p>
          <w:p w14:paraId="57D619B2" w14:textId="77777777" w:rsidR="00235D9D" w:rsidRPr="00D85C65" w:rsidRDefault="00235D9D">
            <w:pPr>
              <w:spacing w:before="0" w:after="0"/>
              <w:jc w:val="left"/>
              <w:rPr>
                <w:rFonts w:ascii="Times New Roman" w:hAnsi="Times New Roman"/>
                <w:sz w:val="24"/>
              </w:rPr>
            </w:pPr>
          </w:p>
        </w:tc>
      </w:tr>
      <w:tr w:rsidR="00235D9D" w:rsidRPr="00D85C65" w14:paraId="40B36568" w14:textId="77777777" w:rsidTr="00E10B85">
        <w:tc>
          <w:tcPr>
            <w:tcW w:w="1101" w:type="dxa"/>
          </w:tcPr>
          <w:p w14:paraId="0655C560"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100</w:t>
            </w:r>
          </w:p>
        </w:tc>
        <w:tc>
          <w:tcPr>
            <w:tcW w:w="7903" w:type="dxa"/>
          </w:tcPr>
          <w:p w14:paraId="2381967E"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DODRŽIAVANIE POŽIADAVKY NA PONECHANIE SI?</w:t>
            </w:r>
          </w:p>
          <w:p w14:paraId="3D773677" w14:textId="77777777" w:rsidR="00235D9D" w:rsidRPr="00D85C65" w:rsidRDefault="00235D9D">
            <w:pPr>
              <w:spacing w:before="0" w:after="0"/>
              <w:jc w:val="left"/>
              <w:rPr>
                <w:rFonts w:ascii="Times New Roman" w:hAnsi="Times New Roman"/>
                <w:b/>
                <w:sz w:val="24"/>
                <w:u w:val="single"/>
              </w:rPr>
            </w:pPr>
          </w:p>
          <w:p w14:paraId="21715324" w14:textId="77777777" w:rsidR="00235D9D" w:rsidRPr="00D85C65" w:rsidRDefault="00EE2BEA">
            <w:pPr>
              <w:spacing w:before="0" w:after="0"/>
              <w:jc w:val="left"/>
              <w:rPr>
                <w:rFonts w:ascii="Times New Roman" w:hAnsi="Times New Roman"/>
                <w:sz w:val="24"/>
              </w:rPr>
            </w:pPr>
            <w:r w:rsidRPr="00D85C65">
              <w:rPr>
                <w:rFonts w:ascii="Times New Roman" w:hAnsi="Times New Roman"/>
                <w:sz w:val="24"/>
              </w:rPr>
              <w:t>Inštitúcie vykazujú tieto skratky:</w:t>
            </w:r>
          </w:p>
          <w:p w14:paraId="138F52BD" w14:textId="77777777" w:rsidR="00235D9D" w:rsidRPr="00D85C65" w:rsidRDefault="00C55547">
            <w:pPr>
              <w:tabs>
                <w:tab w:val="left" w:pos="317"/>
                <w:tab w:val="left" w:pos="600"/>
              </w:tabs>
              <w:spacing w:before="0" w:after="0"/>
              <w:jc w:val="left"/>
              <w:rPr>
                <w:rFonts w:ascii="Times New Roman" w:hAnsi="Times New Roman"/>
                <w:sz w:val="24"/>
              </w:rPr>
            </w:pPr>
            <w:r w:rsidRPr="00D85C65">
              <w:rPr>
                <w:rFonts w:ascii="Times New Roman" w:hAnsi="Times New Roman"/>
                <w:sz w:val="24"/>
              </w:rPr>
              <w:t>Y</w:t>
            </w:r>
            <w:r w:rsidRPr="00D85C65">
              <w:rPr>
                <w:rFonts w:ascii="Times New Roman" w:hAnsi="Times New Roman"/>
                <w:sz w:val="24"/>
              </w:rPr>
              <w:tab/>
              <w:t>–</w:t>
            </w:r>
            <w:r w:rsidRPr="00D85C65">
              <w:rPr>
                <w:rFonts w:ascii="Times New Roman" w:hAnsi="Times New Roman"/>
                <w:sz w:val="24"/>
              </w:rPr>
              <w:tab/>
              <w:t>áno,</w:t>
            </w:r>
          </w:p>
          <w:p w14:paraId="7C65DB26" w14:textId="77777777" w:rsidR="00235D9D" w:rsidRPr="00D85C65" w:rsidRDefault="00C55547">
            <w:pPr>
              <w:tabs>
                <w:tab w:val="left" w:pos="317"/>
                <w:tab w:val="left" w:pos="600"/>
              </w:tabs>
              <w:spacing w:before="0" w:after="0"/>
              <w:jc w:val="left"/>
              <w:rPr>
                <w:rFonts w:ascii="Times New Roman" w:hAnsi="Times New Roman"/>
                <w:sz w:val="24"/>
              </w:rPr>
            </w:pPr>
            <w:r w:rsidRPr="00D85C65">
              <w:rPr>
                <w:rFonts w:ascii="Times New Roman" w:hAnsi="Times New Roman"/>
                <w:sz w:val="24"/>
              </w:rPr>
              <w:t>N</w:t>
            </w:r>
            <w:r w:rsidRPr="00D85C65">
              <w:rPr>
                <w:rFonts w:ascii="Times New Roman" w:hAnsi="Times New Roman"/>
                <w:sz w:val="24"/>
              </w:rPr>
              <w:tab/>
              <w:t>–</w:t>
            </w:r>
            <w:r w:rsidRPr="00D85C65">
              <w:rPr>
                <w:rFonts w:ascii="Times New Roman" w:hAnsi="Times New Roman"/>
                <w:sz w:val="24"/>
              </w:rPr>
              <w:tab/>
              <w:t>nie.</w:t>
            </w:r>
          </w:p>
          <w:p w14:paraId="6A952D60" w14:textId="77777777" w:rsidR="00235D9D" w:rsidRPr="00D85C65" w:rsidRDefault="00235D9D">
            <w:pPr>
              <w:spacing w:before="0" w:after="0"/>
              <w:jc w:val="left"/>
              <w:rPr>
                <w:rFonts w:ascii="Times New Roman" w:hAnsi="Times New Roman"/>
                <w:sz w:val="24"/>
              </w:rPr>
            </w:pPr>
          </w:p>
          <w:p w14:paraId="77FA9D5B" w14:textId="294801DE" w:rsidR="00235D9D" w:rsidRPr="00D85C65" w:rsidRDefault="00C55547">
            <w:pPr>
              <w:autoSpaceDE w:val="0"/>
              <w:autoSpaceDN w:val="0"/>
              <w:adjustRightInd w:val="0"/>
              <w:spacing w:before="0" w:after="0"/>
              <w:rPr>
                <w:rFonts w:ascii="Times New Roman" w:hAnsi="Times New Roman"/>
                <w:i/>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že</w:t>
            </w:r>
            <w:r w:rsidR="00D85C65">
              <w:rPr>
                <w:rFonts w:ascii="Times New Roman" w:hAnsi="Times New Roman"/>
                <w:sz w:val="24"/>
              </w:rPr>
              <w:t xml:space="preserve"> v </w:t>
            </w:r>
            <w:r w:rsidRPr="00D85C65">
              <w:rPr>
                <w:rFonts w:ascii="Times New Roman" w:hAnsi="Times New Roman"/>
                <w:sz w:val="24"/>
              </w:rPr>
              <w:t>stĺpci 080 (Typ uplatneného ponechania si) sa vykázal kód „E“ (oslobodené).</w:t>
            </w:r>
          </w:p>
          <w:p w14:paraId="647391F6" w14:textId="77777777" w:rsidR="00235D9D" w:rsidRPr="00D85C65" w:rsidRDefault="00235D9D">
            <w:pPr>
              <w:spacing w:before="0" w:after="0"/>
              <w:jc w:val="left"/>
              <w:rPr>
                <w:rFonts w:ascii="Times New Roman" w:hAnsi="Times New Roman"/>
                <w:b/>
                <w:sz w:val="24"/>
                <w:u w:val="single"/>
              </w:rPr>
            </w:pPr>
          </w:p>
        </w:tc>
      </w:tr>
      <w:tr w:rsidR="00235D9D" w:rsidRPr="00D85C65" w14:paraId="3B97E3E5" w14:textId="77777777" w:rsidTr="00E10B85">
        <w:tc>
          <w:tcPr>
            <w:tcW w:w="1101" w:type="dxa"/>
          </w:tcPr>
          <w:p w14:paraId="3D4614DB"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120 – 130</w:t>
            </w:r>
          </w:p>
        </w:tc>
        <w:tc>
          <w:tcPr>
            <w:tcW w:w="7903" w:type="dxa"/>
          </w:tcPr>
          <w:p w14:paraId="449AF9BD" w14:textId="77777777" w:rsidR="00235D9D" w:rsidRPr="00D85C65" w:rsidRDefault="00C55547">
            <w:pPr>
              <w:autoSpaceDE w:val="0"/>
              <w:autoSpaceDN w:val="0"/>
              <w:adjustRightInd w:val="0"/>
              <w:spacing w:before="0" w:after="0"/>
              <w:jc w:val="left"/>
              <w:rPr>
                <w:rFonts w:ascii="Times New Roman" w:hAnsi="Times New Roman"/>
                <w:b/>
                <w:sz w:val="24"/>
              </w:rPr>
            </w:pPr>
            <w:r w:rsidRPr="00D85C65">
              <w:rPr>
                <w:rFonts w:ascii="Times New Roman" w:hAnsi="Times New Roman"/>
                <w:b/>
                <w:sz w:val="24"/>
              </w:rPr>
              <w:t>PROGRAMY INÉ AKO PROGRAMY ABCP</w:t>
            </w:r>
          </w:p>
          <w:p w14:paraId="086B9BE2" w14:textId="77777777" w:rsidR="00235D9D" w:rsidRPr="00D85C65" w:rsidRDefault="00235D9D">
            <w:pPr>
              <w:autoSpaceDE w:val="0"/>
              <w:autoSpaceDN w:val="0"/>
              <w:adjustRightInd w:val="0"/>
              <w:spacing w:before="0" w:after="0"/>
              <w:jc w:val="left"/>
              <w:rPr>
                <w:rFonts w:ascii="Times New Roman" w:hAnsi="Times New Roman"/>
                <w:sz w:val="24"/>
              </w:rPr>
            </w:pPr>
          </w:p>
          <w:p w14:paraId="2347E6E0" w14:textId="45E3D46E"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Vzhľadom na osobitný charakter programov ABCP, ktorý vyplýva</w:t>
            </w:r>
            <w:r w:rsidR="00D85C65">
              <w:rPr>
                <w:rFonts w:ascii="Times New Roman" w:hAnsi="Times New Roman"/>
                <w:sz w:val="24"/>
              </w:rPr>
              <w:t xml:space="preserve"> z </w:t>
            </w:r>
            <w:r w:rsidRPr="00D85C65">
              <w:rPr>
                <w:rFonts w:ascii="Times New Roman" w:hAnsi="Times New Roman"/>
                <w:sz w:val="24"/>
              </w:rPr>
              <w:t>toho, že zahŕňajú viaceré jednotlivé sekuritizačné pozície, programy ABCP (v zmysle vymedzenia</w:t>
            </w:r>
            <w:r w:rsidR="00D85C65">
              <w:rPr>
                <w:rFonts w:ascii="Times New Roman" w:hAnsi="Times New Roman"/>
                <w:sz w:val="24"/>
              </w:rPr>
              <w:t xml:space="preserve"> v </w:t>
            </w:r>
            <w:r w:rsidRPr="00D85C65">
              <w:rPr>
                <w:rFonts w:ascii="Times New Roman" w:hAnsi="Times New Roman"/>
                <w:sz w:val="24"/>
              </w:rPr>
              <w:t>článku 242 ods. 11 CRR) sú oslobodené od vykazovania</w:t>
            </w:r>
            <w:r w:rsidR="00D85C65">
              <w:rPr>
                <w:rFonts w:ascii="Times New Roman" w:hAnsi="Times New Roman"/>
                <w:sz w:val="24"/>
              </w:rPr>
              <w:t xml:space="preserve"> v </w:t>
            </w:r>
            <w:r w:rsidRPr="00D85C65">
              <w:rPr>
                <w:rFonts w:ascii="Times New Roman" w:hAnsi="Times New Roman"/>
                <w:sz w:val="24"/>
              </w:rPr>
              <w:t>stĺpcoch 120, 121</w:t>
            </w:r>
            <w:r w:rsidR="00D85C65">
              <w:rPr>
                <w:rFonts w:ascii="Times New Roman" w:hAnsi="Times New Roman"/>
                <w:sz w:val="24"/>
              </w:rPr>
              <w:t xml:space="preserve"> a </w:t>
            </w:r>
            <w:r w:rsidRPr="00D85C65">
              <w:rPr>
                <w:rFonts w:ascii="Times New Roman" w:hAnsi="Times New Roman"/>
                <w:sz w:val="24"/>
              </w:rPr>
              <w:t>130.</w:t>
            </w:r>
          </w:p>
          <w:p w14:paraId="1870D494" w14:textId="77777777" w:rsidR="00235D9D" w:rsidRPr="00D85C65" w:rsidRDefault="00235D9D">
            <w:pPr>
              <w:spacing w:before="0" w:after="0"/>
              <w:jc w:val="left"/>
              <w:rPr>
                <w:rFonts w:ascii="Times New Roman" w:hAnsi="Times New Roman"/>
                <w:sz w:val="24"/>
              </w:rPr>
            </w:pPr>
          </w:p>
        </w:tc>
      </w:tr>
      <w:tr w:rsidR="00235D9D" w:rsidRPr="00D85C65" w14:paraId="29BDE928" w14:textId="77777777" w:rsidTr="00E10B85">
        <w:tc>
          <w:tcPr>
            <w:tcW w:w="1101" w:type="dxa"/>
          </w:tcPr>
          <w:p w14:paraId="4D0E8F86"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120</w:t>
            </w:r>
          </w:p>
        </w:tc>
        <w:tc>
          <w:tcPr>
            <w:tcW w:w="7903" w:type="dxa"/>
          </w:tcPr>
          <w:p w14:paraId="42A4DE86" w14:textId="77777777" w:rsidR="00235D9D" w:rsidRPr="00D85C65" w:rsidRDefault="00C55547">
            <w:pPr>
              <w:spacing w:before="0" w:after="0"/>
              <w:jc w:val="left"/>
              <w:rPr>
                <w:rFonts w:ascii="Times New Roman" w:hAnsi="Times New Roman"/>
                <w:b/>
                <w:sz w:val="24"/>
              </w:rPr>
            </w:pPr>
            <w:r w:rsidRPr="00D85C65">
              <w:rPr>
                <w:rFonts w:ascii="Times New Roman" w:hAnsi="Times New Roman"/>
                <w:b/>
                <w:sz w:val="24"/>
              </w:rPr>
              <w:t>DÁTUM VZNIKU (mm/rrrr)</w:t>
            </w:r>
          </w:p>
          <w:p w14:paraId="49F98229" w14:textId="77777777" w:rsidR="00235D9D" w:rsidRPr="00D85C65" w:rsidRDefault="00235D9D">
            <w:pPr>
              <w:spacing w:before="0" w:after="0"/>
              <w:jc w:val="left"/>
              <w:rPr>
                <w:rFonts w:ascii="Times New Roman" w:hAnsi="Times New Roman"/>
                <w:sz w:val="24"/>
              </w:rPr>
            </w:pPr>
          </w:p>
          <w:p w14:paraId="040343AD" w14:textId="0F77D7E8"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Mesiac</w:t>
            </w:r>
            <w:r w:rsidR="00D85C65">
              <w:rPr>
                <w:rFonts w:ascii="Times New Roman" w:hAnsi="Times New Roman"/>
                <w:sz w:val="24"/>
              </w:rPr>
              <w:t xml:space="preserve"> a </w:t>
            </w:r>
            <w:r w:rsidRPr="00D85C65">
              <w:rPr>
                <w:rFonts w:ascii="Times New Roman" w:hAnsi="Times New Roman"/>
                <w:sz w:val="24"/>
              </w:rPr>
              <w:t>rok dátumu vzniku (t. j. dátum prerušenia alebo zatvorenia skupiny) sekuritizácie sa vykazuje</w:t>
            </w:r>
            <w:r w:rsidR="00D85C65">
              <w:rPr>
                <w:rFonts w:ascii="Times New Roman" w:hAnsi="Times New Roman"/>
                <w:sz w:val="24"/>
              </w:rPr>
              <w:t xml:space="preserve"> v </w:t>
            </w:r>
            <w:r w:rsidRPr="00D85C65">
              <w:rPr>
                <w:rFonts w:ascii="Times New Roman" w:hAnsi="Times New Roman"/>
                <w:sz w:val="24"/>
              </w:rPr>
              <w:t>tomto formáte: „mm/rrrr“.</w:t>
            </w:r>
          </w:p>
          <w:p w14:paraId="0C480317" w14:textId="77777777" w:rsidR="00235D9D" w:rsidRPr="00D85C65" w:rsidRDefault="00235D9D">
            <w:pPr>
              <w:autoSpaceDE w:val="0"/>
              <w:autoSpaceDN w:val="0"/>
              <w:adjustRightInd w:val="0"/>
              <w:spacing w:before="0" w:after="0"/>
              <w:rPr>
                <w:rFonts w:ascii="Times New Roman" w:hAnsi="Times New Roman"/>
                <w:sz w:val="24"/>
              </w:rPr>
            </w:pPr>
          </w:p>
          <w:p w14:paraId="71FCB496" w14:textId="57328D95"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Dátum vzniku sa pre jednotlivé sekuritizačné schémy nesmie medzi dátumami vykazovania meniť.</w:t>
            </w:r>
            <w:r w:rsidR="00D85C65">
              <w:rPr>
                <w:rFonts w:ascii="Times New Roman" w:hAnsi="Times New Roman"/>
                <w:sz w:val="24"/>
              </w:rPr>
              <w:t xml:space="preserve"> V </w:t>
            </w:r>
            <w:r w:rsidRPr="00D85C65">
              <w:rPr>
                <w:rFonts w:ascii="Times New Roman" w:hAnsi="Times New Roman"/>
                <w:sz w:val="24"/>
              </w:rPr>
              <w:t>osobitnom prípade sekuritizačných schém založených na otvorených skupinách je dátumom vzniku dátum prvej emisie cenných papierov</w:t>
            </w:r>
            <w:r w:rsidR="00D85C65">
              <w:rPr>
                <w:rFonts w:ascii="Times New Roman" w:hAnsi="Times New Roman"/>
                <w:sz w:val="24"/>
              </w:rPr>
              <w:t>.</w:t>
            </w:r>
          </w:p>
          <w:p w14:paraId="6309F4E0" w14:textId="1F00850B" w:rsidR="00235D9D" w:rsidRPr="00D85C65" w:rsidRDefault="00235D9D">
            <w:pPr>
              <w:autoSpaceDE w:val="0"/>
              <w:autoSpaceDN w:val="0"/>
              <w:adjustRightInd w:val="0"/>
              <w:spacing w:before="0" w:after="0"/>
              <w:rPr>
                <w:rFonts w:ascii="Times New Roman" w:hAnsi="Times New Roman"/>
                <w:sz w:val="24"/>
              </w:rPr>
            </w:pPr>
          </w:p>
          <w:p w14:paraId="1004180F" w14:textId="6BE0586A"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p>
          <w:p w14:paraId="081BB365"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14C2F7C0" w14:textId="77777777" w:rsidTr="00E10B85">
        <w:tc>
          <w:tcPr>
            <w:tcW w:w="1101" w:type="dxa"/>
          </w:tcPr>
          <w:p w14:paraId="75A67799"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121</w:t>
            </w:r>
          </w:p>
        </w:tc>
        <w:tc>
          <w:tcPr>
            <w:tcW w:w="7903" w:type="dxa"/>
          </w:tcPr>
          <w:p w14:paraId="0E472125"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DÁTUM POSLEDNEJ EMISIE (mm/rrrr)</w:t>
            </w:r>
          </w:p>
          <w:p w14:paraId="59CF45F5" w14:textId="77777777" w:rsidR="00235D9D" w:rsidRPr="00D85C65" w:rsidRDefault="00235D9D">
            <w:pPr>
              <w:spacing w:before="0" w:after="0"/>
              <w:jc w:val="left"/>
              <w:rPr>
                <w:rFonts w:ascii="Times New Roman" w:hAnsi="Times New Roman"/>
                <w:b/>
                <w:sz w:val="24"/>
                <w:u w:val="single"/>
              </w:rPr>
            </w:pPr>
          </w:p>
          <w:p w14:paraId="7FBBA6B6" w14:textId="0EBCAFF6" w:rsidR="00235D9D" w:rsidRPr="00D85C65" w:rsidRDefault="00C55547">
            <w:pPr>
              <w:spacing w:before="0" w:after="0"/>
              <w:jc w:val="left"/>
              <w:rPr>
                <w:rFonts w:ascii="Times New Roman" w:hAnsi="Times New Roman"/>
                <w:sz w:val="24"/>
              </w:rPr>
            </w:pPr>
            <w:r w:rsidRPr="00D85C65">
              <w:rPr>
                <w:rFonts w:ascii="Times New Roman" w:hAnsi="Times New Roman"/>
                <w:sz w:val="24"/>
              </w:rPr>
              <w:t>Mesiac</w:t>
            </w:r>
            <w:r w:rsidR="00D85C65">
              <w:rPr>
                <w:rFonts w:ascii="Times New Roman" w:hAnsi="Times New Roman"/>
                <w:sz w:val="24"/>
              </w:rPr>
              <w:t xml:space="preserve"> a </w:t>
            </w:r>
            <w:r w:rsidRPr="00D85C65">
              <w:rPr>
                <w:rFonts w:ascii="Times New Roman" w:hAnsi="Times New Roman"/>
                <w:sz w:val="24"/>
              </w:rPr>
              <w:t>rok dátumu poslednej emisie cenných papierov</w:t>
            </w:r>
            <w:r w:rsidR="00D85C65">
              <w:rPr>
                <w:rFonts w:ascii="Times New Roman" w:hAnsi="Times New Roman"/>
                <w:sz w:val="24"/>
              </w:rPr>
              <w:t xml:space="preserve"> v </w:t>
            </w:r>
            <w:r w:rsidRPr="00D85C65">
              <w:rPr>
                <w:rFonts w:ascii="Times New Roman" w:hAnsi="Times New Roman"/>
                <w:sz w:val="24"/>
              </w:rPr>
              <w:t>sekuritizácii sa vykazuje</w:t>
            </w:r>
            <w:r w:rsidR="00D85C65">
              <w:rPr>
                <w:rFonts w:ascii="Times New Roman" w:hAnsi="Times New Roman"/>
                <w:sz w:val="24"/>
              </w:rPr>
              <w:t xml:space="preserve"> v </w:t>
            </w:r>
            <w:r w:rsidRPr="00D85C65">
              <w:rPr>
                <w:rFonts w:ascii="Times New Roman" w:hAnsi="Times New Roman"/>
                <w:sz w:val="24"/>
              </w:rPr>
              <w:t>tomto formáte: „mm/rrrr“.</w:t>
            </w:r>
          </w:p>
          <w:p w14:paraId="5CF784BC" w14:textId="77777777" w:rsidR="00235D9D" w:rsidRPr="00D85C65" w:rsidRDefault="00235D9D">
            <w:pPr>
              <w:spacing w:before="0" w:after="0"/>
              <w:jc w:val="left"/>
              <w:rPr>
                <w:rFonts w:ascii="Times New Roman" w:hAnsi="Times New Roman"/>
                <w:sz w:val="24"/>
              </w:rPr>
            </w:pPr>
          </w:p>
          <w:p w14:paraId="1EABFA70" w14:textId="423609A8" w:rsidR="00235D9D" w:rsidRPr="00D85C65" w:rsidRDefault="00C55547">
            <w:pPr>
              <w:spacing w:before="0" w:after="0"/>
              <w:jc w:val="left"/>
              <w:rPr>
                <w:rFonts w:ascii="Times New Roman" w:hAnsi="Times New Roman"/>
                <w:sz w:val="24"/>
              </w:rPr>
            </w:pPr>
            <w:r w:rsidRPr="00D85C65">
              <w:rPr>
                <w:rFonts w:ascii="Times New Roman" w:hAnsi="Times New Roman"/>
                <w:sz w:val="24"/>
              </w:rPr>
              <w:t>Nariadenie (EÚ) 2017/2402 sa vzťahuje len na sekuritizácie,</w:t>
            </w:r>
            <w:r w:rsidR="00D85C65">
              <w:rPr>
                <w:rFonts w:ascii="Times New Roman" w:hAnsi="Times New Roman"/>
                <w:sz w:val="24"/>
              </w:rPr>
              <w:t xml:space="preserve"> v </w:t>
            </w:r>
            <w:r w:rsidRPr="00D85C65">
              <w:rPr>
                <w:rFonts w:ascii="Times New Roman" w:hAnsi="Times New Roman"/>
                <w:sz w:val="24"/>
              </w:rPr>
              <w:t>rámci ktorých boli cenné papiere emitované 1</w:t>
            </w:r>
            <w:r w:rsidR="00D85C65">
              <w:rPr>
                <w:rFonts w:ascii="Times New Roman" w:hAnsi="Times New Roman"/>
                <w:sz w:val="24"/>
              </w:rPr>
              <w:t>. januára</w:t>
            </w:r>
            <w:r w:rsidRPr="00D85C65">
              <w:rPr>
                <w:rFonts w:ascii="Times New Roman" w:hAnsi="Times New Roman"/>
                <w:sz w:val="24"/>
              </w:rPr>
              <w:t xml:space="preserve"> 2019 alebo neskôr. Na základe dátumu poslednej emisie cenných papierov sa určuje, či príslušná sekuritizačná schéma patrí do rozsahu pôsobnosti nariadenia (EÚ) 2017/2402.</w:t>
            </w:r>
          </w:p>
          <w:p w14:paraId="46B361DF" w14:textId="77777777" w:rsidR="00235D9D" w:rsidRPr="00D85C65" w:rsidRDefault="00235D9D">
            <w:pPr>
              <w:spacing w:before="0" w:after="0"/>
              <w:jc w:val="left"/>
              <w:rPr>
                <w:rFonts w:ascii="Times New Roman" w:hAnsi="Times New Roman"/>
                <w:sz w:val="24"/>
              </w:rPr>
            </w:pPr>
          </w:p>
          <w:p w14:paraId="6ABE70EA" w14:textId="0EC5EB6A" w:rsidR="00235D9D" w:rsidRPr="00D85C65" w:rsidRDefault="00C55547">
            <w:pPr>
              <w:spacing w:before="0" w:after="0"/>
              <w:jc w:val="left"/>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p>
          <w:p w14:paraId="26FEB719" w14:textId="77777777" w:rsidR="00235D9D" w:rsidRPr="00D85C65" w:rsidRDefault="00235D9D">
            <w:pPr>
              <w:spacing w:before="0" w:after="0"/>
              <w:jc w:val="left"/>
              <w:rPr>
                <w:rFonts w:ascii="Times New Roman" w:hAnsi="Times New Roman"/>
                <w:b/>
                <w:sz w:val="24"/>
                <w:u w:val="single"/>
              </w:rPr>
            </w:pPr>
          </w:p>
        </w:tc>
      </w:tr>
      <w:tr w:rsidR="00235D9D" w:rsidRPr="00D85C65" w14:paraId="04911088" w14:textId="77777777" w:rsidTr="00E10B85">
        <w:tc>
          <w:tcPr>
            <w:tcW w:w="1101" w:type="dxa"/>
          </w:tcPr>
          <w:p w14:paraId="16A74709"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130</w:t>
            </w:r>
          </w:p>
        </w:tc>
        <w:tc>
          <w:tcPr>
            <w:tcW w:w="7903" w:type="dxa"/>
          </w:tcPr>
          <w:p w14:paraId="2A5CE648" w14:textId="2B139ED8"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CELKOVÁ HODNOTA SEKURITIZOVANÝCH EXPOZÍCIÍ</w:t>
            </w:r>
            <w:r w:rsidR="00D85C65">
              <w:rPr>
                <w:rFonts w:ascii="Times New Roman" w:hAnsi="Times New Roman"/>
                <w:b/>
                <w:sz w:val="24"/>
                <w:u w:val="single"/>
              </w:rPr>
              <w:t xml:space="preserve"> K </w:t>
            </w:r>
            <w:r w:rsidRPr="00D85C65">
              <w:rPr>
                <w:rFonts w:ascii="Times New Roman" w:hAnsi="Times New Roman"/>
                <w:b/>
                <w:sz w:val="24"/>
                <w:u w:val="single"/>
              </w:rPr>
              <w:t>DÁTUMU VZNIKU</w:t>
            </w:r>
          </w:p>
          <w:p w14:paraId="48FB32F8" w14:textId="77777777" w:rsidR="00235D9D" w:rsidRPr="00D85C65" w:rsidRDefault="00235D9D">
            <w:pPr>
              <w:spacing w:before="0" w:after="0"/>
              <w:jc w:val="left"/>
              <w:rPr>
                <w:rFonts w:ascii="Times New Roman" w:hAnsi="Times New Roman"/>
                <w:sz w:val="24"/>
              </w:rPr>
            </w:pPr>
          </w:p>
          <w:p w14:paraId="137A9232" w14:textId="0B5310B2"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vykazuje hodnota (vypočítaná na základe pôvodných expozícií pred uplatnením konverzných faktorov) sekuritizovaného portfólia</w:t>
            </w:r>
            <w:r w:rsidR="00D85C65">
              <w:rPr>
                <w:rFonts w:ascii="Times New Roman" w:hAnsi="Times New Roman"/>
                <w:sz w:val="24"/>
              </w:rPr>
              <w:t xml:space="preserve"> k </w:t>
            </w:r>
            <w:r w:rsidRPr="00D85C65">
              <w:rPr>
                <w:rFonts w:ascii="Times New Roman" w:hAnsi="Times New Roman"/>
                <w:sz w:val="24"/>
              </w:rPr>
              <w:t>dátumu vzniku</w:t>
            </w:r>
            <w:r w:rsidR="00D85C65">
              <w:rPr>
                <w:rFonts w:ascii="Times New Roman" w:hAnsi="Times New Roman"/>
                <w:sz w:val="24"/>
              </w:rPr>
              <w:t>.</w:t>
            </w:r>
          </w:p>
          <w:p w14:paraId="78CC71AA" w14:textId="06A8C42C" w:rsidR="00235D9D" w:rsidRPr="00D85C65" w:rsidRDefault="00235D9D">
            <w:pPr>
              <w:autoSpaceDE w:val="0"/>
              <w:autoSpaceDN w:val="0"/>
              <w:adjustRightInd w:val="0"/>
              <w:spacing w:before="0" w:after="0"/>
              <w:rPr>
                <w:rFonts w:ascii="Times New Roman" w:hAnsi="Times New Roman"/>
                <w:sz w:val="24"/>
              </w:rPr>
            </w:pPr>
          </w:p>
          <w:p w14:paraId="56318037" w14:textId="53F70B97" w:rsidR="00235D9D" w:rsidRPr="00D85C65" w:rsidRDefault="005E5070">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sekuritizačných schém založených na otvorených skupinách sa vykazuje hodnota vzťahujúca sa na dátum vzniku prvej emisie cenných papierov.</w:t>
            </w:r>
            <w:r w:rsidR="00D85C65">
              <w:rPr>
                <w:rFonts w:ascii="Times New Roman" w:hAnsi="Times New Roman"/>
                <w:sz w:val="24"/>
              </w:rPr>
              <w:t xml:space="preserve"> V </w:t>
            </w:r>
            <w:r w:rsidRPr="00D85C65">
              <w:rPr>
                <w:rFonts w:ascii="Times New Roman" w:hAnsi="Times New Roman"/>
                <w:sz w:val="24"/>
              </w:rPr>
              <w:t>prípade tradičných sekuritizácií sa nezahrnú žiadne iné aktíva sekuritizačnej skupiny.</w:t>
            </w:r>
            <w:r w:rsidR="00D85C65">
              <w:rPr>
                <w:rFonts w:ascii="Times New Roman" w:hAnsi="Times New Roman"/>
                <w:sz w:val="24"/>
              </w:rPr>
              <w:t xml:space="preserve"> V </w:t>
            </w:r>
            <w:r w:rsidRPr="00D85C65">
              <w:rPr>
                <w:rFonts w:ascii="Times New Roman" w:hAnsi="Times New Roman"/>
                <w:sz w:val="24"/>
              </w:rPr>
              <w:t>prípade sekuritizačných schém</w:t>
            </w:r>
            <w:r w:rsidR="00D85C65">
              <w:rPr>
                <w:rFonts w:ascii="Times New Roman" w:hAnsi="Times New Roman"/>
                <w:sz w:val="24"/>
              </w:rPr>
              <w:t xml:space="preserve"> s </w:t>
            </w:r>
            <w:r w:rsidRPr="00D85C65">
              <w:rPr>
                <w:rFonts w:ascii="Times New Roman" w:hAnsi="Times New Roman"/>
                <w:sz w:val="24"/>
              </w:rPr>
              <w:t>viacerými predávajúcimi (t. j.</w:t>
            </w:r>
            <w:r w:rsidR="00D85C65">
              <w:rPr>
                <w:rFonts w:ascii="Times New Roman" w:hAnsi="Times New Roman"/>
                <w:sz w:val="24"/>
              </w:rPr>
              <w:t xml:space="preserve"> s </w:t>
            </w:r>
            <w:r w:rsidRPr="00D85C65">
              <w:rPr>
                <w:rFonts w:ascii="Times New Roman" w:hAnsi="Times New Roman"/>
                <w:sz w:val="24"/>
              </w:rPr>
              <w:t>viacerými originátormi) sa vykazuje len hodnota zodpovedajúca príspevku vykazujúceho subjektu do sekuritizovaného portfólia.</w:t>
            </w:r>
            <w:r w:rsidR="00D85C65">
              <w:rPr>
                <w:rFonts w:ascii="Times New Roman" w:hAnsi="Times New Roman"/>
                <w:sz w:val="24"/>
              </w:rPr>
              <w:t xml:space="preserve"> V </w:t>
            </w:r>
            <w:r w:rsidRPr="00D85C65">
              <w:rPr>
                <w:rFonts w:ascii="Times New Roman" w:hAnsi="Times New Roman"/>
                <w:sz w:val="24"/>
              </w:rPr>
              <w:t>prípade sekuritizácií záväzkov sa vykazujú len hodnoty vydané vykazujúcim subjektom.</w:t>
            </w:r>
          </w:p>
          <w:p w14:paraId="4410A8C1" w14:textId="77777777" w:rsidR="00235D9D" w:rsidRPr="00D85C65" w:rsidRDefault="00235D9D">
            <w:pPr>
              <w:autoSpaceDE w:val="0"/>
              <w:autoSpaceDN w:val="0"/>
              <w:adjustRightInd w:val="0"/>
              <w:spacing w:before="0" w:after="0"/>
              <w:rPr>
                <w:rFonts w:ascii="Times New Roman" w:hAnsi="Times New Roman"/>
                <w:sz w:val="24"/>
              </w:rPr>
            </w:pPr>
          </w:p>
          <w:p w14:paraId="4E26C7BC" w14:textId="3FDF15F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p>
          <w:p w14:paraId="40C9460C"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0034138D" w14:textId="77777777" w:rsidTr="00E10B85">
        <w:tc>
          <w:tcPr>
            <w:tcW w:w="1101" w:type="dxa"/>
          </w:tcPr>
          <w:p w14:paraId="4C33E089"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lastRenderedPageBreak/>
              <w:t>140 – 225</w:t>
            </w:r>
          </w:p>
        </w:tc>
        <w:tc>
          <w:tcPr>
            <w:tcW w:w="7903" w:type="dxa"/>
          </w:tcPr>
          <w:p w14:paraId="7D39CB45"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SEKURITIZOVANÉ EXPOZÍCIE</w:t>
            </w:r>
          </w:p>
          <w:p w14:paraId="2D381EAA" w14:textId="77777777" w:rsidR="00235D9D" w:rsidRPr="00D85C65" w:rsidRDefault="00235D9D">
            <w:pPr>
              <w:autoSpaceDE w:val="0"/>
              <w:autoSpaceDN w:val="0"/>
              <w:adjustRightInd w:val="0"/>
              <w:spacing w:before="0" w:after="0"/>
              <w:jc w:val="left"/>
              <w:rPr>
                <w:rFonts w:ascii="Times New Roman" w:hAnsi="Times New Roman"/>
                <w:sz w:val="24"/>
              </w:rPr>
            </w:pPr>
          </w:p>
          <w:p w14:paraId="5CFD1854" w14:textId="6B2F8436"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stĺpcoch 140 až 225 sa od vykazujúceho subjektu požadujú informácie</w:t>
            </w:r>
            <w:r w:rsidR="00D85C65">
              <w:rPr>
                <w:rFonts w:ascii="Times New Roman" w:hAnsi="Times New Roman"/>
                <w:sz w:val="24"/>
              </w:rPr>
              <w:t xml:space="preserve"> o </w:t>
            </w:r>
            <w:r w:rsidRPr="00D85C65">
              <w:rPr>
                <w:rFonts w:ascii="Times New Roman" w:hAnsi="Times New Roman"/>
                <w:sz w:val="24"/>
              </w:rPr>
              <w:t>viacerých vlastnostiach sekuritizovaného portfólia.</w:t>
            </w:r>
          </w:p>
          <w:p w14:paraId="749B2DAC"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0AB7A1D4" w14:textId="77777777" w:rsidTr="00E10B85">
        <w:tc>
          <w:tcPr>
            <w:tcW w:w="1101" w:type="dxa"/>
          </w:tcPr>
          <w:p w14:paraId="68DEC9A2"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140</w:t>
            </w:r>
          </w:p>
        </w:tc>
        <w:tc>
          <w:tcPr>
            <w:tcW w:w="7903" w:type="dxa"/>
          </w:tcPr>
          <w:p w14:paraId="45EA3BA5"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CELKOVÁ HODNOTA</w:t>
            </w:r>
          </w:p>
          <w:p w14:paraId="45FF1177" w14:textId="77777777" w:rsidR="00235D9D" w:rsidRPr="00D85C65" w:rsidRDefault="00235D9D">
            <w:pPr>
              <w:spacing w:before="0" w:after="0"/>
              <w:jc w:val="left"/>
              <w:rPr>
                <w:rFonts w:ascii="Times New Roman" w:hAnsi="Times New Roman"/>
                <w:sz w:val="24"/>
              </w:rPr>
            </w:pPr>
          </w:p>
          <w:p w14:paraId="654DEAFA" w14:textId="3462731E"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Inštitúcie vykazujú hodnotu sekuritizovaného portfólia</w:t>
            </w:r>
            <w:r w:rsidR="00D85C65">
              <w:rPr>
                <w:rFonts w:ascii="Times New Roman" w:hAnsi="Times New Roman"/>
                <w:sz w:val="24"/>
              </w:rPr>
              <w:t xml:space="preserve"> k </w:t>
            </w:r>
            <w:r w:rsidRPr="00D85C65">
              <w:rPr>
                <w:rFonts w:ascii="Times New Roman" w:hAnsi="Times New Roman"/>
                <w:sz w:val="24"/>
              </w:rPr>
              <w:t>dátumu vykazovania, t. j. zostávajúca hodnota sekuritizovaných expozícií.</w:t>
            </w:r>
            <w:r w:rsidR="00D85C65">
              <w:rPr>
                <w:rFonts w:ascii="Times New Roman" w:hAnsi="Times New Roman"/>
                <w:sz w:val="24"/>
              </w:rPr>
              <w:t xml:space="preserve"> V </w:t>
            </w:r>
            <w:r w:rsidRPr="00D85C65">
              <w:rPr>
                <w:rFonts w:ascii="Times New Roman" w:hAnsi="Times New Roman"/>
                <w:sz w:val="24"/>
              </w:rPr>
              <w:t>prípade tradičných sekuritizácií sa nezahrnú žiadne iné aktíva sekuritizačnej skupiny.</w:t>
            </w:r>
            <w:r w:rsidR="00D85C65">
              <w:rPr>
                <w:rFonts w:ascii="Times New Roman" w:hAnsi="Times New Roman"/>
                <w:sz w:val="24"/>
              </w:rPr>
              <w:t xml:space="preserve"> V </w:t>
            </w:r>
            <w:r w:rsidRPr="00D85C65">
              <w:rPr>
                <w:rFonts w:ascii="Times New Roman" w:hAnsi="Times New Roman"/>
                <w:sz w:val="24"/>
              </w:rPr>
              <w:t>prípade sekuritizačných schém</w:t>
            </w:r>
            <w:r w:rsidR="00D85C65">
              <w:rPr>
                <w:rFonts w:ascii="Times New Roman" w:hAnsi="Times New Roman"/>
                <w:sz w:val="24"/>
              </w:rPr>
              <w:t xml:space="preserve"> s </w:t>
            </w:r>
            <w:r w:rsidRPr="00D85C65">
              <w:rPr>
                <w:rFonts w:ascii="Times New Roman" w:hAnsi="Times New Roman"/>
                <w:sz w:val="24"/>
              </w:rPr>
              <w:t>viacerými predávajúcimi (t. j.</w:t>
            </w:r>
            <w:r w:rsidR="00D85C65">
              <w:rPr>
                <w:rFonts w:ascii="Times New Roman" w:hAnsi="Times New Roman"/>
                <w:sz w:val="24"/>
              </w:rPr>
              <w:t xml:space="preserve"> s </w:t>
            </w:r>
            <w:r w:rsidRPr="00D85C65">
              <w:rPr>
                <w:rFonts w:ascii="Times New Roman" w:hAnsi="Times New Roman"/>
                <w:sz w:val="24"/>
              </w:rPr>
              <w:t>viacerými originátormi) sa vykazuje len hodnota zodpovedajúca príspevku vykazujúceho subjektu do sekuritizovaného portfólia.</w:t>
            </w:r>
            <w:r w:rsidR="00D85C65">
              <w:rPr>
                <w:rFonts w:ascii="Times New Roman" w:hAnsi="Times New Roman"/>
                <w:sz w:val="24"/>
              </w:rPr>
              <w:t xml:space="preserve"> V </w:t>
            </w:r>
            <w:r w:rsidRPr="00D85C65">
              <w:rPr>
                <w:rFonts w:ascii="Times New Roman" w:hAnsi="Times New Roman"/>
                <w:sz w:val="24"/>
              </w:rPr>
              <w:t>prípade sekuritizačných schém založených na zatvorených skupinách (t. j. portfólio sekuritizovaných aktív nemožno po dátume vzniku rozšíriť) sa bude hodnota postupne znižovať.</w:t>
            </w:r>
          </w:p>
          <w:p w14:paraId="793C7679" w14:textId="77777777" w:rsidR="00235D9D" w:rsidRPr="00D85C65" w:rsidRDefault="00235D9D">
            <w:pPr>
              <w:autoSpaceDE w:val="0"/>
              <w:autoSpaceDN w:val="0"/>
              <w:adjustRightInd w:val="0"/>
              <w:spacing w:before="0" w:after="0"/>
              <w:rPr>
                <w:rFonts w:ascii="Times New Roman" w:hAnsi="Times New Roman"/>
                <w:sz w:val="24"/>
              </w:rPr>
            </w:pPr>
          </w:p>
          <w:p w14:paraId="1F99F140" w14:textId="0532B998"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p>
          <w:p w14:paraId="6FC8F04D"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73C7DA2A" w14:textId="77777777" w:rsidTr="00E10B85">
        <w:tc>
          <w:tcPr>
            <w:tcW w:w="1101" w:type="dxa"/>
          </w:tcPr>
          <w:p w14:paraId="41C7EC33"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150</w:t>
            </w:r>
          </w:p>
        </w:tc>
        <w:tc>
          <w:tcPr>
            <w:tcW w:w="7903" w:type="dxa"/>
          </w:tcPr>
          <w:p w14:paraId="2DBD447C"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PODIEL INŠTITÚCIE (%)</w:t>
            </w:r>
          </w:p>
          <w:p w14:paraId="50F9085C" w14:textId="77777777" w:rsidR="00235D9D" w:rsidRPr="00D85C65" w:rsidRDefault="00235D9D">
            <w:pPr>
              <w:spacing w:before="0" w:after="0"/>
              <w:jc w:val="left"/>
              <w:rPr>
                <w:rFonts w:ascii="Times New Roman" w:hAnsi="Times New Roman"/>
                <w:sz w:val="24"/>
              </w:rPr>
            </w:pPr>
          </w:p>
          <w:p w14:paraId="7CC29DEA" w14:textId="5A737797" w:rsidR="00235D9D" w:rsidRPr="00D85C65" w:rsidRDefault="00EE2BEA">
            <w:pPr>
              <w:spacing w:before="0" w:after="0"/>
              <w:rPr>
                <w:rFonts w:ascii="Times New Roman" w:hAnsi="Times New Roman"/>
                <w:sz w:val="24"/>
              </w:rPr>
            </w:pPr>
            <w:r w:rsidRPr="00D85C65">
              <w:rPr>
                <w:rFonts w:ascii="Times New Roman" w:hAnsi="Times New Roman"/>
                <w:sz w:val="24"/>
              </w:rPr>
              <w:t>Podiel inštitúcie (percentuálny podiel</w:t>
            </w:r>
            <w:r w:rsidR="00D85C65">
              <w:rPr>
                <w:rFonts w:ascii="Times New Roman" w:hAnsi="Times New Roman"/>
                <w:sz w:val="24"/>
              </w:rPr>
              <w:t xml:space="preserve"> s </w:t>
            </w:r>
            <w:r w:rsidRPr="00D85C65">
              <w:rPr>
                <w:rFonts w:ascii="Times New Roman" w:hAnsi="Times New Roman"/>
                <w:sz w:val="24"/>
              </w:rPr>
              <w:t>dvoma desatinnými miestami)</w:t>
            </w:r>
            <w:r w:rsidR="00D85C65">
              <w:rPr>
                <w:rFonts w:ascii="Times New Roman" w:hAnsi="Times New Roman"/>
                <w:sz w:val="24"/>
              </w:rPr>
              <w:t xml:space="preserve"> v </w:t>
            </w:r>
            <w:r w:rsidRPr="00D85C65">
              <w:rPr>
                <w:rFonts w:ascii="Times New Roman" w:hAnsi="Times New Roman"/>
                <w:sz w:val="24"/>
              </w:rPr>
              <w:t>sekuritizovanom portfóliu</w:t>
            </w:r>
            <w:r w:rsidR="00D85C65">
              <w:rPr>
                <w:rFonts w:ascii="Times New Roman" w:hAnsi="Times New Roman"/>
                <w:sz w:val="24"/>
              </w:rPr>
              <w:t xml:space="preserve"> k </w:t>
            </w:r>
            <w:r w:rsidRPr="00D85C65">
              <w:rPr>
                <w:rFonts w:ascii="Times New Roman" w:hAnsi="Times New Roman"/>
                <w:sz w:val="24"/>
              </w:rPr>
              <w:t>dátumu vykazovania. Hodnota vykazovaná</w:t>
            </w:r>
            <w:r w:rsidR="00D85C65">
              <w:rPr>
                <w:rFonts w:ascii="Times New Roman" w:hAnsi="Times New Roman"/>
                <w:sz w:val="24"/>
              </w:rPr>
              <w:t xml:space="preserve"> v </w:t>
            </w:r>
            <w:r w:rsidRPr="00D85C65">
              <w:rPr>
                <w:rFonts w:ascii="Times New Roman" w:hAnsi="Times New Roman"/>
                <w:sz w:val="24"/>
              </w:rPr>
              <w:t>tomto stĺpci je zvyčajne 100</w:t>
            </w:r>
            <w:r w:rsidR="00D85C65">
              <w:rPr>
                <w:rFonts w:ascii="Times New Roman" w:hAnsi="Times New Roman"/>
                <w:sz w:val="24"/>
              </w:rPr>
              <w:t> %</w:t>
            </w:r>
            <w:r w:rsidRPr="00D85C65">
              <w:rPr>
                <w:rFonts w:ascii="Times New Roman" w:hAnsi="Times New Roman"/>
                <w:sz w:val="24"/>
              </w:rPr>
              <w:t xml:space="preserve"> okrem sekuritizačných schém</w:t>
            </w:r>
            <w:r w:rsidR="00D85C65">
              <w:rPr>
                <w:rFonts w:ascii="Times New Roman" w:hAnsi="Times New Roman"/>
                <w:sz w:val="24"/>
              </w:rPr>
              <w:t xml:space="preserve"> s </w:t>
            </w:r>
            <w:r w:rsidRPr="00D85C65">
              <w:rPr>
                <w:rFonts w:ascii="Times New Roman" w:hAnsi="Times New Roman"/>
                <w:sz w:val="24"/>
              </w:rPr>
              <w:t>viacerými predávajúcimi. Vykazujúci subjekt</w:t>
            </w:r>
            <w:r w:rsidR="00D85C65">
              <w:rPr>
                <w:rFonts w:ascii="Times New Roman" w:hAnsi="Times New Roman"/>
                <w:sz w:val="24"/>
              </w:rPr>
              <w:t xml:space="preserve"> v </w:t>
            </w:r>
            <w:r w:rsidRPr="00D85C65">
              <w:rPr>
                <w:rFonts w:ascii="Times New Roman" w:hAnsi="Times New Roman"/>
                <w:sz w:val="24"/>
              </w:rPr>
              <w:t>tomto prípade vykáže svoj aktuálny príspevok do sekuritizovaného portfólia (relatívny ekvivalent stĺpca 140).</w:t>
            </w:r>
          </w:p>
          <w:p w14:paraId="51311ACF" w14:textId="77777777" w:rsidR="00235D9D" w:rsidRPr="00D85C65" w:rsidRDefault="00235D9D">
            <w:pPr>
              <w:spacing w:before="0" w:after="0"/>
              <w:rPr>
                <w:rFonts w:ascii="Times New Roman" w:hAnsi="Times New Roman"/>
                <w:sz w:val="24"/>
              </w:rPr>
            </w:pPr>
          </w:p>
          <w:p w14:paraId="63DE5A54" w14:textId="485C0DA1"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p>
          <w:p w14:paraId="643C2E44"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7A56B349" w14:textId="77777777" w:rsidTr="00E10B85">
        <w:tc>
          <w:tcPr>
            <w:tcW w:w="1101" w:type="dxa"/>
          </w:tcPr>
          <w:p w14:paraId="550979F0" w14:textId="77777777" w:rsidR="00235D9D" w:rsidRPr="00D85C65" w:rsidDel="00817047"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160</w:t>
            </w:r>
          </w:p>
        </w:tc>
        <w:tc>
          <w:tcPr>
            <w:tcW w:w="7903" w:type="dxa"/>
          </w:tcPr>
          <w:p w14:paraId="6797CF9E"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TYP</w:t>
            </w:r>
          </w:p>
          <w:p w14:paraId="4604BBA9" w14:textId="77777777" w:rsidR="00235D9D" w:rsidRPr="00D85C65" w:rsidRDefault="00235D9D">
            <w:pPr>
              <w:autoSpaceDE w:val="0"/>
              <w:autoSpaceDN w:val="0"/>
              <w:adjustRightInd w:val="0"/>
              <w:spacing w:before="0" w:after="0"/>
              <w:rPr>
                <w:rFonts w:ascii="Times New Roman" w:hAnsi="Times New Roman"/>
                <w:sz w:val="24"/>
              </w:rPr>
            </w:pPr>
          </w:p>
          <w:p w14:paraId="3EA02560" w14:textId="4ABB468D"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zhromažďujú informácie</w:t>
            </w:r>
            <w:r w:rsidR="00D85C65">
              <w:rPr>
                <w:rFonts w:ascii="Times New Roman" w:hAnsi="Times New Roman"/>
                <w:sz w:val="24"/>
              </w:rPr>
              <w:t xml:space="preserve"> o </w:t>
            </w:r>
            <w:r w:rsidRPr="00D85C65">
              <w:rPr>
                <w:rFonts w:ascii="Times New Roman" w:hAnsi="Times New Roman"/>
                <w:sz w:val="24"/>
              </w:rPr>
              <w:t>type aktív („Hypotéky na nehnuteľný majetok určený na bývanie“ až „Iné veľkoobchodné expozície“) alebo záväzkov („Kryté dlhopisy“</w:t>
            </w:r>
            <w:r w:rsidR="00D85C65">
              <w:rPr>
                <w:rFonts w:ascii="Times New Roman" w:hAnsi="Times New Roman"/>
                <w:sz w:val="24"/>
              </w:rPr>
              <w:t xml:space="preserve"> a </w:t>
            </w:r>
            <w:r w:rsidRPr="00D85C65">
              <w:rPr>
                <w:rFonts w:ascii="Times New Roman" w:hAnsi="Times New Roman"/>
                <w:sz w:val="24"/>
              </w:rPr>
              <w:t>„Iné záväzky“) sekuritizovaného portfólia. Inštitúcia vykazuje jednu</w:t>
            </w:r>
            <w:r w:rsidR="00D85C65">
              <w:rPr>
                <w:rFonts w:ascii="Times New Roman" w:hAnsi="Times New Roman"/>
                <w:sz w:val="24"/>
              </w:rPr>
              <w:t xml:space="preserve"> z </w:t>
            </w:r>
            <w:r w:rsidRPr="00D85C65">
              <w:rPr>
                <w:rFonts w:ascii="Times New Roman" w:hAnsi="Times New Roman"/>
                <w:sz w:val="24"/>
              </w:rPr>
              <w:t>nasledujúcich možností, pričom zohľadňuje najvyšší EAD:</w:t>
            </w:r>
          </w:p>
          <w:p w14:paraId="20C6ABB1" w14:textId="77777777" w:rsidR="00235D9D" w:rsidRPr="00D85C65" w:rsidRDefault="00235D9D">
            <w:pPr>
              <w:autoSpaceDE w:val="0"/>
              <w:autoSpaceDN w:val="0"/>
              <w:adjustRightInd w:val="0"/>
              <w:spacing w:before="0" w:after="0"/>
              <w:jc w:val="left"/>
              <w:rPr>
                <w:rFonts w:ascii="Times New Roman" w:hAnsi="Times New Roman"/>
                <w:sz w:val="24"/>
              </w:rPr>
            </w:pPr>
          </w:p>
          <w:p w14:paraId="00B57AA6" w14:textId="77777777" w:rsidR="00235D9D" w:rsidRPr="00D85C65" w:rsidRDefault="00C55547">
            <w:pPr>
              <w:autoSpaceDE w:val="0"/>
              <w:autoSpaceDN w:val="0"/>
              <w:adjustRightInd w:val="0"/>
              <w:spacing w:before="0" w:after="0"/>
              <w:jc w:val="left"/>
              <w:rPr>
                <w:rFonts w:ascii="Times New Roman" w:hAnsi="Times New Roman"/>
                <w:b/>
                <w:sz w:val="24"/>
              </w:rPr>
            </w:pPr>
            <w:r w:rsidRPr="00D85C65">
              <w:rPr>
                <w:rFonts w:ascii="Times New Roman" w:hAnsi="Times New Roman"/>
                <w:b/>
                <w:sz w:val="24"/>
              </w:rPr>
              <w:lastRenderedPageBreak/>
              <w:t>Retailové subjekty:</w:t>
            </w:r>
          </w:p>
          <w:p w14:paraId="621C18CF"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hypotéky na nehnuteľný majetok určený na bývanie</w:t>
            </w:r>
            <w:r w:rsidR="00D85C65">
              <w:rPr>
                <w:rFonts w:ascii="Times New Roman" w:hAnsi="Times New Roman"/>
                <w:sz w:val="24"/>
              </w:rPr>
              <w:t>;</w:t>
            </w:r>
          </w:p>
          <w:p w14:paraId="300970D1" w14:textId="009A90DB"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pohľadávky</w:t>
            </w:r>
            <w:r w:rsidR="00D85C65">
              <w:rPr>
                <w:rFonts w:ascii="Times New Roman" w:hAnsi="Times New Roman"/>
                <w:sz w:val="24"/>
              </w:rPr>
              <w:t xml:space="preserve"> z </w:t>
            </w:r>
            <w:r w:rsidRPr="00D85C65">
              <w:rPr>
                <w:rFonts w:ascii="Times New Roman" w:hAnsi="Times New Roman"/>
                <w:sz w:val="24"/>
              </w:rPr>
              <w:t>kreditných kariet</w:t>
            </w:r>
            <w:r w:rsidR="00D85C65">
              <w:rPr>
                <w:rFonts w:ascii="Times New Roman" w:hAnsi="Times New Roman"/>
                <w:sz w:val="24"/>
              </w:rPr>
              <w:t>;</w:t>
            </w:r>
          </w:p>
          <w:p w14:paraId="59D6169A" w14:textId="6AF0B981"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spotrebiteľské úvery;</w:t>
            </w:r>
          </w:p>
          <w:p w14:paraId="052DE92A" w14:textId="17D9CA2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úvery poskytnuté MSP (s ktorými sa zaobchádza ako</w:t>
            </w:r>
            <w:r w:rsidR="00D85C65">
              <w:rPr>
                <w:rFonts w:ascii="Times New Roman" w:hAnsi="Times New Roman"/>
                <w:sz w:val="24"/>
              </w:rPr>
              <w:t xml:space="preserve"> s </w:t>
            </w:r>
            <w:r w:rsidRPr="00D85C65">
              <w:rPr>
                <w:rFonts w:ascii="Times New Roman" w:hAnsi="Times New Roman"/>
                <w:sz w:val="24"/>
              </w:rPr>
              <w:t>retailovými subjektmi);</w:t>
            </w:r>
          </w:p>
          <w:p w14:paraId="4D56B438"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iné retailové expozície.</w:t>
            </w:r>
          </w:p>
          <w:p w14:paraId="124C9885" w14:textId="77777777" w:rsidR="00235D9D" w:rsidRPr="00D85C65" w:rsidRDefault="00235D9D">
            <w:pPr>
              <w:autoSpaceDE w:val="0"/>
              <w:autoSpaceDN w:val="0"/>
              <w:adjustRightInd w:val="0"/>
              <w:spacing w:before="0" w:after="0"/>
              <w:jc w:val="left"/>
              <w:rPr>
                <w:rFonts w:ascii="Times New Roman" w:hAnsi="Times New Roman"/>
                <w:sz w:val="24"/>
              </w:rPr>
            </w:pPr>
          </w:p>
          <w:p w14:paraId="1F83E76E" w14:textId="77777777" w:rsidR="00235D9D" w:rsidRPr="00D85C65" w:rsidRDefault="00C55547">
            <w:pPr>
              <w:autoSpaceDE w:val="0"/>
              <w:autoSpaceDN w:val="0"/>
              <w:adjustRightInd w:val="0"/>
              <w:spacing w:before="0" w:after="0"/>
              <w:jc w:val="left"/>
              <w:rPr>
                <w:rFonts w:ascii="Times New Roman" w:hAnsi="Times New Roman"/>
                <w:b/>
                <w:sz w:val="24"/>
              </w:rPr>
            </w:pPr>
            <w:r w:rsidRPr="00D85C65">
              <w:rPr>
                <w:rFonts w:ascii="Times New Roman" w:hAnsi="Times New Roman"/>
                <w:b/>
                <w:sz w:val="24"/>
              </w:rPr>
              <w:t>Veľkoobchodné:</w:t>
            </w:r>
          </w:p>
          <w:p w14:paraId="4543DBCF"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hypotéky na nehnuteľný majetok určený na podnikanie</w:t>
            </w:r>
            <w:r w:rsidR="00D85C65">
              <w:rPr>
                <w:rFonts w:ascii="Times New Roman" w:hAnsi="Times New Roman"/>
                <w:sz w:val="24"/>
              </w:rPr>
              <w:t>;</w:t>
            </w:r>
          </w:p>
          <w:p w14:paraId="5E2DBA5F"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lízing</w:t>
            </w:r>
            <w:r w:rsidR="00D85C65">
              <w:rPr>
                <w:rFonts w:ascii="Times New Roman" w:hAnsi="Times New Roman"/>
                <w:sz w:val="24"/>
              </w:rPr>
              <w:t>;</w:t>
            </w:r>
          </w:p>
          <w:p w14:paraId="54791978" w14:textId="57547588"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úvery poskytnuté podnikovým subjektom;</w:t>
            </w:r>
          </w:p>
          <w:p w14:paraId="74D88612" w14:textId="6DB96CAF"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úvery poskytnuté MSP (s ktorými sa zaobchádza ako</w:t>
            </w:r>
            <w:r w:rsidR="00D85C65">
              <w:rPr>
                <w:rFonts w:ascii="Times New Roman" w:hAnsi="Times New Roman"/>
                <w:sz w:val="24"/>
              </w:rPr>
              <w:t xml:space="preserve"> s </w:t>
            </w:r>
            <w:r w:rsidRPr="00D85C65">
              <w:rPr>
                <w:rFonts w:ascii="Times New Roman" w:hAnsi="Times New Roman"/>
                <w:sz w:val="24"/>
              </w:rPr>
              <w:t>podnikateľskými subjektmi)</w:t>
            </w:r>
            <w:r w:rsidR="00D85C65">
              <w:rPr>
                <w:rFonts w:ascii="Times New Roman" w:hAnsi="Times New Roman"/>
                <w:sz w:val="24"/>
              </w:rPr>
              <w:t>;</w:t>
            </w:r>
          </w:p>
          <w:p w14:paraId="6A0B3AE8" w14:textId="1B53B1CB"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obchodné pohľadávky;</w:t>
            </w:r>
          </w:p>
          <w:p w14:paraId="28EA2731" w14:textId="77777777"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iné veľkoobchodné expozície</w:t>
            </w:r>
            <w:r w:rsidR="00D85C65">
              <w:rPr>
                <w:rFonts w:ascii="Times New Roman" w:hAnsi="Times New Roman"/>
                <w:sz w:val="24"/>
              </w:rPr>
              <w:t>.</w:t>
            </w:r>
          </w:p>
          <w:p w14:paraId="659BA010" w14:textId="60474335" w:rsidR="00235D9D" w:rsidRPr="00D85C65" w:rsidRDefault="00235D9D">
            <w:pPr>
              <w:autoSpaceDE w:val="0"/>
              <w:autoSpaceDN w:val="0"/>
              <w:adjustRightInd w:val="0"/>
              <w:spacing w:before="0" w:after="0"/>
              <w:jc w:val="left"/>
              <w:rPr>
                <w:rFonts w:ascii="Times New Roman" w:hAnsi="Times New Roman"/>
                <w:sz w:val="24"/>
              </w:rPr>
            </w:pPr>
          </w:p>
          <w:p w14:paraId="1E58644D" w14:textId="77777777" w:rsidR="00235D9D" w:rsidRPr="00D85C65" w:rsidRDefault="00C55547">
            <w:pPr>
              <w:autoSpaceDE w:val="0"/>
              <w:autoSpaceDN w:val="0"/>
              <w:adjustRightInd w:val="0"/>
              <w:spacing w:before="0" w:after="0"/>
              <w:jc w:val="left"/>
              <w:rPr>
                <w:rFonts w:ascii="Times New Roman" w:hAnsi="Times New Roman"/>
                <w:b/>
                <w:sz w:val="24"/>
              </w:rPr>
            </w:pPr>
            <w:r w:rsidRPr="00D85C65">
              <w:rPr>
                <w:rFonts w:ascii="Times New Roman" w:hAnsi="Times New Roman"/>
                <w:b/>
                <w:sz w:val="24"/>
              </w:rPr>
              <w:t>Záväzky:</w:t>
            </w:r>
          </w:p>
          <w:p w14:paraId="400C9352"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kryté dlhopisy;</w:t>
            </w:r>
          </w:p>
          <w:p w14:paraId="3D7C9737"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iné záväzky.</w:t>
            </w:r>
          </w:p>
          <w:p w14:paraId="6FC1FE6E" w14:textId="77777777" w:rsidR="00235D9D" w:rsidRPr="00D85C65" w:rsidRDefault="00235D9D">
            <w:pPr>
              <w:autoSpaceDE w:val="0"/>
              <w:autoSpaceDN w:val="0"/>
              <w:adjustRightInd w:val="0"/>
              <w:spacing w:before="0" w:after="0"/>
              <w:jc w:val="left"/>
              <w:rPr>
                <w:rFonts w:ascii="Times New Roman" w:hAnsi="Times New Roman"/>
                <w:sz w:val="24"/>
              </w:rPr>
            </w:pPr>
          </w:p>
          <w:p w14:paraId="004ABFEB" w14:textId="2AEE61A9" w:rsidR="00235D9D" w:rsidRPr="00D85C65" w:rsidRDefault="005E5070">
            <w:pPr>
              <w:autoSpaceDE w:val="0"/>
              <w:autoSpaceDN w:val="0"/>
              <w:adjustRightInd w:val="0"/>
              <w:spacing w:before="0" w:after="0"/>
              <w:rPr>
                <w:rFonts w:ascii="Times New Roman" w:hAnsi="Times New Roman"/>
                <w:sz w:val="24"/>
              </w:rPr>
            </w:pPr>
            <w:r w:rsidRPr="00D85C65">
              <w:rPr>
                <w:rFonts w:ascii="Times New Roman" w:hAnsi="Times New Roman"/>
                <w:sz w:val="24"/>
              </w:rPr>
              <w:t>Ak je skupina sekuritizovaných expozícií mixom vyššie uvedených typov, inštitúcia uvedie najdôležitejší typ. Inštitúcia</w:t>
            </w:r>
            <w:r w:rsidR="00D85C65">
              <w:rPr>
                <w:rFonts w:ascii="Times New Roman" w:hAnsi="Times New Roman"/>
                <w:sz w:val="24"/>
              </w:rPr>
              <w:t xml:space="preserve"> v </w:t>
            </w:r>
            <w:r w:rsidRPr="00D85C65">
              <w:rPr>
                <w:rFonts w:ascii="Times New Roman" w:hAnsi="Times New Roman"/>
                <w:sz w:val="24"/>
              </w:rPr>
              <w:t>prípade resekuritizácie uvedie základnú podkladovú skupinu aktív. Typ „iné záväzky“ zahŕňa vládne dlhopisy</w:t>
            </w:r>
            <w:r w:rsidR="00D85C65">
              <w:rPr>
                <w:rFonts w:ascii="Times New Roman" w:hAnsi="Times New Roman"/>
                <w:sz w:val="24"/>
              </w:rPr>
              <w:t xml:space="preserve"> a </w:t>
            </w:r>
            <w:r w:rsidRPr="00D85C65">
              <w:rPr>
                <w:rFonts w:ascii="Times New Roman" w:hAnsi="Times New Roman"/>
                <w:sz w:val="24"/>
              </w:rPr>
              <w:t>dlhové nástroje viazané na úver.</w:t>
            </w:r>
          </w:p>
          <w:p w14:paraId="4EB15AE2" w14:textId="77777777" w:rsidR="00235D9D" w:rsidRPr="00D85C65" w:rsidRDefault="00235D9D">
            <w:pPr>
              <w:autoSpaceDE w:val="0"/>
              <w:autoSpaceDN w:val="0"/>
              <w:adjustRightInd w:val="0"/>
              <w:spacing w:before="0" w:after="0"/>
              <w:rPr>
                <w:rFonts w:ascii="Times New Roman" w:hAnsi="Times New Roman"/>
                <w:sz w:val="24"/>
              </w:rPr>
            </w:pPr>
          </w:p>
          <w:p w14:paraId="04F87902"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prípade sekuritizačných schém založených na zatvorených skupinách sa medzi dátumami vykazovania nesmie meniť ich typ.</w:t>
            </w:r>
          </w:p>
          <w:p w14:paraId="4B46E89D" w14:textId="77777777" w:rsidR="00235D9D" w:rsidRPr="00D85C65" w:rsidRDefault="00235D9D">
            <w:pPr>
              <w:spacing w:before="0" w:after="0"/>
              <w:jc w:val="left"/>
              <w:rPr>
                <w:rFonts w:ascii="Times New Roman" w:hAnsi="Times New Roman"/>
                <w:b/>
                <w:sz w:val="24"/>
                <w:u w:val="single"/>
              </w:rPr>
            </w:pPr>
          </w:p>
        </w:tc>
      </w:tr>
      <w:tr w:rsidR="00235D9D" w:rsidRPr="00D85C65" w14:paraId="646A03A8" w14:textId="77777777" w:rsidTr="00E10B85">
        <w:tc>
          <w:tcPr>
            <w:tcW w:w="1101" w:type="dxa"/>
          </w:tcPr>
          <w:p w14:paraId="6B28F911"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171</w:t>
            </w:r>
          </w:p>
        </w:tc>
        <w:tc>
          <w:tcPr>
            <w:tcW w:w="7903" w:type="dxa"/>
          </w:tcPr>
          <w:p w14:paraId="1DE803A1" w14:textId="201B4E72"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 IRB</w:t>
            </w:r>
            <w:r w:rsidR="00D85C65">
              <w:rPr>
                <w:rFonts w:ascii="Times New Roman" w:hAnsi="Times New Roman"/>
                <w:b/>
                <w:sz w:val="24"/>
                <w:u w:val="single"/>
              </w:rPr>
              <w:t xml:space="preserve"> V </w:t>
            </w:r>
            <w:r w:rsidRPr="00D85C65">
              <w:rPr>
                <w:rFonts w:ascii="Times New Roman" w:hAnsi="Times New Roman"/>
                <w:b/>
                <w:sz w:val="24"/>
                <w:u w:val="single"/>
              </w:rPr>
              <w:t>UPLATNENOM PRÍSTUPE</w:t>
            </w:r>
          </w:p>
          <w:p w14:paraId="68DFF41A" w14:textId="77777777" w:rsidR="00235D9D" w:rsidRPr="00D85C65" w:rsidRDefault="00235D9D">
            <w:pPr>
              <w:spacing w:before="0" w:after="0"/>
              <w:jc w:val="left"/>
              <w:rPr>
                <w:rFonts w:ascii="Times New Roman" w:hAnsi="Times New Roman"/>
                <w:sz w:val="24"/>
              </w:rPr>
            </w:pPr>
          </w:p>
          <w:p w14:paraId="72A4879F" w14:textId="72C7C45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vykazujú informácie</w:t>
            </w:r>
            <w:r w:rsidR="00D85C65">
              <w:rPr>
                <w:rFonts w:ascii="Times New Roman" w:hAnsi="Times New Roman"/>
                <w:sz w:val="24"/>
              </w:rPr>
              <w:t xml:space="preserve"> o </w:t>
            </w:r>
            <w:r w:rsidRPr="00D85C65">
              <w:rPr>
                <w:rFonts w:ascii="Times New Roman" w:hAnsi="Times New Roman"/>
                <w:sz w:val="24"/>
              </w:rPr>
              <w:t>prístupe/prístupoch, ktoré inštitúcia používa vo vzťahu</w:t>
            </w:r>
            <w:r w:rsidR="00D85C65">
              <w:rPr>
                <w:rFonts w:ascii="Times New Roman" w:hAnsi="Times New Roman"/>
                <w:sz w:val="24"/>
              </w:rPr>
              <w:t xml:space="preserve"> k </w:t>
            </w:r>
            <w:r w:rsidRPr="00D85C65">
              <w:rPr>
                <w:rFonts w:ascii="Times New Roman" w:hAnsi="Times New Roman"/>
                <w:sz w:val="24"/>
              </w:rPr>
              <w:t>sekuritizovaným expozíciám</w:t>
            </w:r>
            <w:r w:rsidR="00D85C65">
              <w:rPr>
                <w:rFonts w:ascii="Times New Roman" w:hAnsi="Times New Roman"/>
                <w:sz w:val="24"/>
              </w:rPr>
              <w:t xml:space="preserve"> k </w:t>
            </w:r>
            <w:r w:rsidRPr="00D85C65">
              <w:rPr>
                <w:rFonts w:ascii="Times New Roman" w:hAnsi="Times New Roman"/>
                <w:sz w:val="24"/>
              </w:rPr>
              <w:t>dátumu vykazovania.</w:t>
            </w:r>
          </w:p>
          <w:p w14:paraId="2CF3DA78" w14:textId="77777777" w:rsidR="00235D9D" w:rsidRPr="00D85C65" w:rsidRDefault="00235D9D">
            <w:pPr>
              <w:autoSpaceDE w:val="0"/>
              <w:autoSpaceDN w:val="0"/>
              <w:adjustRightInd w:val="0"/>
              <w:spacing w:before="0" w:after="0"/>
              <w:jc w:val="left"/>
              <w:rPr>
                <w:rFonts w:ascii="Times New Roman" w:hAnsi="Times New Roman"/>
                <w:sz w:val="24"/>
              </w:rPr>
            </w:pPr>
          </w:p>
          <w:p w14:paraId="03712A49" w14:textId="4090FF7F"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Inštitúcie vykazujú percentuálny podiel sekuritizovaných expozícií (meraný podľa hodnoty expozície), na ktoré sa</w:t>
            </w:r>
            <w:r w:rsidR="00D85C65">
              <w:rPr>
                <w:rFonts w:ascii="Times New Roman" w:hAnsi="Times New Roman"/>
                <w:sz w:val="24"/>
              </w:rPr>
              <w:t xml:space="preserve"> k </w:t>
            </w:r>
            <w:r w:rsidRPr="00D85C65">
              <w:rPr>
                <w:rFonts w:ascii="Times New Roman" w:hAnsi="Times New Roman"/>
                <w:sz w:val="24"/>
              </w:rPr>
              <w:t>dátumu vykazovania uplatňuje prístup interných ratingov</w:t>
            </w:r>
            <w:r w:rsidR="00D85C65">
              <w:rPr>
                <w:rFonts w:ascii="Times New Roman" w:hAnsi="Times New Roman"/>
                <w:sz w:val="24"/>
              </w:rPr>
              <w:t>.</w:t>
            </w:r>
          </w:p>
          <w:p w14:paraId="01B6063E" w14:textId="39EE3B99" w:rsidR="00235D9D" w:rsidRPr="00D85C65" w:rsidRDefault="00235D9D">
            <w:pPr>
              <w:autoSpaceDE w:val="0"/>
              <w:autoSpaceDN w:val="0"/>
              <w:adjustRightInd w:val="0"/>
              <w:spacing w:before="0" w:after="0"/>
              <w:rPr>
                <w:rFonts w:ascii="Times New Roman" w:hAnsi="Times New Roman"/>
                <w:sz w:val="24"/>
              </w:rPr>
            </w:pPr>
          </w:p>
          <w:p w14:paraId="0CEB0163" w14:textId="2D76B3C4"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 Tento stĺpec sa však nepoužíva pre sekuritizácie záväzkov</w:t>
            </w:r>
            <w:r w:rsidR="00D85C65">
              <w:rPr>
                <w:rFonts w:ascii="Times New Roman" w:hAnsi="Times New Roman"/>
                <w:sz w:val="24"/>
              </w:rPr>
              <w:t>.</w:t>
            </w:r>
          </w:p>
          <w:p w14:paraId="6A1C8D6A" w14:textId="276FF3DC"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6E9ED292" w14:textId="77777777" w:rsidTr="00E10B85">
        <w:tc>
          <w:tcPr>
            <w:tcW w:w="1101" w:type="dxa"/>
          </w:tcPr>
          <w:p w14:paraId="521B304D"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180</w:t>
            </w:r>
          </w:p>
        </w:tc>
        <w:tc>
          <w:tcPr>
            <w:tcW w:w="7903" w:type="dxa"/>
            <w:shd w:val="clear" w:color="auto" w:fill="auto"/>
          </w:tcPr>
          <w:p w14:paraId="7818E5DE"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POČET EXPOZÍCIÍ</w:t>
            </w:r>
          </w:p>
          <w:p w14:paraId="6E376510" w14:textId="77777777" w:rsidR="00235D9D" w:rsidRPr="00D85C65" w:rsidRDefault="00235D9D">
            <w:pPr>
              <w:spacing w:before="0" w:after="0"/>
              <w:jc w:val="left"/>
              <w:rPr>
                <w:rFonts w:ascii="Times New Roman" w:hAnsi="Times New Roman"/>
                <w:sz w:val="24"/>
              </w:rPr>
            </w:pPr>
          </w:p>
          <w:p w14:paraId="5E2D1AE9" w14:textId="70024D4C"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Článok 259 ods. 4 CRR.</w:t>
            </w:r>
          </w:p>
          <w:p w14:paraId="036E3F7B" w14:textId="77777777" w:rsidR="00235D9D" w:rsidRPr="00D85C65" w:rsidRDefault="00235D9D">
            <w:pPr>
              <w:autoSpaceDE w:val="0"/>
              <w:autoSpaceDN w:val="0"/>
              <w:adjustRightInd w:val="0"/>
              <w:spacing w:before="0" w:after="0"/>
              <w:jc w:val="left"/>
              <w:rPr>
                <w:rFonts w:ascii="Times New Roman" w:hAnsi="Times New Roman"/>
                <w:sz w:val="24"/>
              </w:rPr>
            </w:pPr>
          </w:p>
          <w:p w14:paraId="3785F533" w14:textId="473A2461"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Tento stĺpec je povinný len pre inštitúcie, ktoré používajú prístup SEC-IRBA</w:t>
            </w:r>
            <w:r w:rsidR="00D85C65">
              <w:rPr>
                <w:rFonts w:ascii="Times New Roman" w:hAnsi="Times New Roman"/>
                <w:sz w:val="24"/>
              </w:rPr>
              <w:t xml:space="preserve"> k </w:t>
            </w:r>
            <w:r w:rsidRPr="00D85C65">
              <w:rPr>
                <w:rFonts w:ascii="Times New Roman" w:hAnsi="Times New Roman"/>
                <w:sz w:val="24"/>
              </w:rPr>
              <w:t>sekuritizačným pozíciám (a preto</w:t>
            </w:r>
            <w:r w:rsidR="00D85C65">
              <w:rPr>
                <w:rFonts w:ascii="Times New Roman" w:hAnsi="Times New Roman"/>
                <w:sz w:val="24"/>
              </w:rPr>
              <w:t xml:space="preserve"> v </w:t>
            </w:r>
            <w:r w:rsidRPr="00D85C65">
              <w:rPr>
                <w:rFonts w:ascii="Times New Roman" w:hAnsi="Times New Roman"/>
                <w:sz w:val="24"/>
              </w:rPr>
              <w:t>stĺpci 171 vykazujú viac než 95</w:t>
            </w:r>
            <w:r w:rsidR="00D85C65">
              <w:rPr>
                <w:rFonts w:ascii="Times New Roman" w:hAnsi="Times New Roman"/>
                <w:sz w:val="24"/>
              </w:rPr>
              <w:t> %</w:t>
            </w:r>
            <w:r w:rsidRPr="00D85C65">
              <w:rPr>
                <w:rFonts w:ascii="Times New Roman" w:hAnsi="Times New Roman"/>
                <w:sz w:val="24"/>
              </w:rPr>
              <w:t>). Inštitúcia vykazuje skutočný počet expozícií.</w:t>
            </w:r>
          </w:p>
          <w:p w14:paraId="291C831D" w14:textId="235C5911" w:rsidR="00235D9D" w:rsidRPr="00D85C65" w:rsidRDefault="00235D9D">
            <w:pPr>
              <w:autoSpaceDE w:val="0"/>
              <w:autoSpaceDN w:val="0"/>
              <w:adjustRightInd w:val="0"/>
              <w:spacing w:before="0" w:after="0"/>
              <w:jc w:val="left"/>
              <w:rPr>
                <w:rFonts w:ascii="Times New Roman" w:hAnsi="Times New Roman"/>
                <w:sz w:val="24"/>
              </w:rPr>
            </w:pPr>
          </w:p>
          <w:p w14:paraId="45DEC45B" w14:textId="55DFC5C3"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 xml:space="preserve">prípade sekuritizácie záväzkov, alebo keď sú požiadavky na vlastné zdroje založené na sekuritizovaných expozíciách (v </w:t>
            </w:r>
            <w:r w:rsidRPr="00D85C65">
              <w:rPr>
                <w:rFonts w:ascii="Times New Roman" w:hAnsi="Times New Roman"/>
                <w:sz w:val="24"/>
              </w:rPr>
              <w:lastRenderedPageBreak/>
              <w:t>prípade sekuritizácie aktív). Tento stĺpec sa nevypĺňa, keď vykazujúca inštitúcia nedrží žiadne pozície</w:t>
            </w:r>
            <w:r w:rsidR="00D85C65">
              <w:rPr>
                <w:rFonts w:ascii="Times New Roman" w:hAnsi="Times New Roman"/>
                <w:sz w:val="24"/>
              </w:rPr>
              <w:t xml:space="preserve"> v </w:t>
            </w:r>
            <w:r w:rsidRPr="00D85C65">
              <w:rPr>
                <w:rFonts w:ascii="Times New Roman" w:hAnsi="Times New Roman"/>
                <w:sz w:val="24"/>
              </w:rPr>
              <w:t>sekuritizácii. Investori tento stĺpec nevykazujú.</w:t>
            </w:r>
          </w:p>
          <w:p w14:paraId="0E1FA237"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6B1AC828" w14:textId="77777777" w:rsidTr="00E10B85">
        <w:tc>
          <w:tcPr>
            <w:tcW w:w="1101" w:type="dxa"/>
            <w:shd w:val="clear" w:color="auto" w:fill="auto"/>
          </w:tcPr>
          <w:p w14:paraId="5E012CE3"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181</w:t>
            </w:r>
          </w:p>
        </w:tc>
        <w:tc>
          <w:tcPr>
            <w:tcW w:w="7903" w:type="dxa"/>
            <w:shd w:val="clear" w:color="auto" w:fill="auto"/>
          </w:tcPr>
          <w:p w14:paraId="6E23F86C" w14:textId="75DE4723"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EXPOZÍCIE</w:t>
            </w:r>
            <w:r w:rsidR="00D85C65">
              <w:rPr>
                <w:rFonts w:ascii="Times New Roman" w:hAnsi="Times New Roman"/>
                <w:b/>
                <w:sz w:val="24"/>
                <w:u w:val="single"/>
              </w:rPr>
              <w:t xml:space="preserve"> V </w:t>
            </w:r>
            <w:r w:rsidRPr="00D85C65">
              <w:rPr>
                <w:rFonts w:ascii="Times New Roman" w:hAnsi="Times New Roman"/>
                <w:b/>
                <w:sz w:val="24"/>
                <w:u w:val="single"/>
              </w:rPr>
              <w:t>STAVE ZLYHANIA „W“ (%)</w:t>
            </w:r>
          </w:p>
          <w:p w14:paraId="74FE4004" w14:textId="77777777" w:rsidR="00235D9D" w:rsidRPr="00D85C65" w:rsidRDefault="00235D9D">
            <w:pPr>
              <w:spacing w:before="0" w:after="0"/>
              <w:jc w:val="left"/>
              <w:rPr>
                <w:rFonts w:ascii="Times New Roman" w:hAnsi="Times New Roman"/>
                <w:b/>
                <w:sz w:val="24"/>
                <w:u w:val="single"/>
              </w:rPr>
            </w:pPr>
          </w:p>
          <w:p w14:paraId="58EAD229" w14:textId="384C4B6A" w:rsidR="00235D9D" w:rsidRPr="00D85C65" w:rsidRDefault="00C55547">
            <w:pPr>
              <w:spacing w:before="0" w:after="0"/>
              <w:jc w:val="left"/>
              <w:rPr>
                <w:rFonts w:ascii="Times New Roman" w:hAnsi="Times New Roman"/>
                <w:sz w:val="24"/>
              </w:rPr>
            </w:pPr>
            <w:r w:rsidRPr="00D85C65">
              <w:rPr>
                <w:rFonts w:ascii="Times New Roman" w:hAnsi="Times New Roman"/>
                <w:sz w:val="24"/>
              </w:rPr>
              <w:t>Článok 261 ods. 2 CRR.</w:t>
            </w:r>
          </w:p>
          <w:p w14:paraId="438D60B6" w14:textId="77777777" w:rsidR="00235D9D" w:rsidRPr="00D85C65" w:rsidRDefault="00235D9D">
            <w:pPr>
              <w:spacing w:before="0" w:after="0"/>
              <w:jc w:val="left"/>
              <w:rPr>
                <w:rFonts w:ascii="Times New Roman" w:hAnsi="Times New Roman"/>
                <w:sz w:val="24"/>
              </w:rPr>
            </w:pPr>
          </w:p>
          <w:p w14:paraId="6E5EE717" w14:textId="0F099528" w:rsidR="00D85C65" w:rsidRDefault="00C55547">
            <w:pPr>
              <w:spacing w:before="0" w:after="0"/>
              <w:jc w:val="left"/>
              <w:rPr>
                <w:rFonts w:ascii="Times New Roman" w:hAnsi="Times New Roman"/>
                <w:sz w:val="24"/>
              </w:rPr>
            </w:pPr>
            <w:r w:rsidRPr="00D85C65">
              <w:rPr>
                <w:rFonts w:ascii="Times New Roman" w:hAnsi="Times New Roman"/>
                <w:sz w:val="24"/>
              </w:rPr>
              <w:t>Aj keď inštitúcia neuplatňuje na sekuritizačné pozície prístup SEC-SA, vykazuje koeficient „W“ (súvisiaci</w:t>
            </w:r>
            <w:r w:rsidR="00D85C65">
              <w:rPr>
                <w:rFonts w:ascii="Times New Roman" w:hAnsi="Times New Roman"/>
                <w:sz w:val="24"/>
              </w:rPr>
              <w:t xml:space="preserve"> s </w:t>
            </w:r>
            <w:r w:rsidRPr="00D85C65">
              <w:rPr>
                <w:rFonts w:ascii="Times New Roman" w:hAnsi="Times New Roman"/>
                <w:sz w:val="24"/>
              </w:rPr>
              <w:t>podkladovými expozíciami</w:t>
            </w:r>
            <w:r w:rsidR="00D85C65">
              <w:rPr>
                <w:rFonts w:ascii="Times New Roman" w:hAnsi="Times New Roman"/>
                <w:sz w:val="24"/>
              </w:rPr>
              <w:t xml:space="preserve"> v </w:t>
            </w:r>
            <w:r w:rsidRPr="00D85C65">
              <w:rPr>
                <w:rFonts w:ascii="Times New Roman" w:hAnsi="Times New Roman"/>
                <w:sz w:val="24"/>
              </w:rPr>
              <w:t>stave zlyhania), ktorý sa vypočíta tak, ako je uvedené</w:t>
            </w:r>
            <w:r w:rsidR="00D85C65">
              <w:rPr>
                <w:rFonts w:ascii="Times New Roman" w:hAnsi="Times New Roman"/>
                <w:sz w:val="24"/>
              </w:rPr>
              <w:t xml:space="preserve"> v </w:t>
            </w:r>
            <w:r w:rsidRPr="00D85C65">
              <w:rPr>
                <w:rFonts w:ascii="Times New Roman" w:hAnsi="Times New Roman"/>
                <w:sz w:val="24"/>
              </w:rPr>
              <w:t>článku 261 ods. 2 CRR</w:t>
            </w:r>
            <w:r w:rsidR="00D85C65">
              <w:rPr>
                <w:rFonts w:ascii="Times New Roman" w:hAnsi="Times New Roman"/>
                <w:sz w:val="24"/>
              </w:rPr>
              <w:t>.</w:t>
            </w:r>
          </w:p>
          <w:p w14:paraId="76BDD17E" w14:textId="2EA0EADD" w:rsidR="00235D9D" w:rsidRPr="00D85C65" w:rsidRDefault="00235D9D">
            <w:pPr>
              <w:spacing w:before="0" w:after="0"/>
              <w:jc w:val="left"/>
              <w:rPr>
                <w:rFonts w:ascii="Times New Roman" w:hAnsi="Times New Roman"/>
                <w:b/>
                <w:sz w:val="24"/>
                <w:u w:val="single"/>
              </w:rPr>
            </w:pPr>
          </w:p>
        </w:tc>
      </w:tr>
      <w:tr w:rsidR="00235D9D" w:rsidRPr="00D85C65" w14:paraId="730B382C" w14:textId="77777777" w:rsidTr="00E10B85">
        <w:tc>
          <w:tcPr>
            <w:tcW w:w="1101" w:type="dxa"/>
            <w:shd w:val="clear" w:color="auto" w:fill="auto"/>
          </w:tcPr>
          <w:p w14:paraId="7D7D8A42" w14:textId="77777777" w:rsidR="00235D9D" w:rsidRPr="00D85C65" w:rsidDel="00A749EA"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190</w:t>
            </w:r>
          </w:p>
        </w:tc>
        <w:tc>
          <w:tcPr>
            <w:tcW w:w="7903" w:type="dxa"/>
            <w:shd w:val="clear" w:color="auto" w:fill="auto"/>
          </w:tcPr>
          <w:p w14:paraId="542DFD30"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KRAJINA</w:t>
            </w:r>
          </w:p>
          <w:p w14:paraId="0356F3FB" w14:textId="77777777" w:rsidR="00235D9D" w:rsidRPr="00D85C65" w:rsidRDefault="00235D9D">
            <w:pPr>
              <w:spacing w:before="0" w:after="0"/>
              <w:jc w:val="left"/>
              <w:rPr>
                <w:rFonts w:ascii="Times New Roman" w:hAnsi="Times New Roman"/>
                <w:sz w:val="24"/>
              </w:rPr>
            </w:pPr>
          </w:p>
          <w:p w14:paraId="39DA99FC" w14:textId="3AF4A02B" w:rsidR="00235D9D" w:rsidRPr="00D85C65" w:rsidRDefault="00EE2BEA">
            <w:pPr>
              <w:spacing w:before="0" w:after="0"/>
              <w:rPr>
                <w:rFonts w:ascii="Times New Roman" w:hAnsi="Times New Roman"/>
                <w:sz w:val="24"/>
              </w:rPr>
            </w:pPr>
            <w:r w:rsidRPr="00D85C65">
              <w:rPr>
                <w:rFonts w:ascii="Times New Roman" w:hAnsi="Times New Roman"/>
                <w:sz w:val="24"/>
              </w:rPr>
              <w:t>Inštitúcie vykazujú kód (ISO 3166-1 alfa-2) krajiny vzniku základnej podkladovej transakcie, t. j. krajiny priameho dlžníka pôvodných sekuritizovaných expozícií (prezretie). Ak skupina sekuritizácie pozostáva</w:t>
            </w:r>
            <w:r w:rsidR="00D85C65">
              <w:rPr>
                <w:rFonts w:ascii="Times New Roman" w:hAnsi="Times New Roman"/>
                <w:sz w:val="24"/>
              </w:rPr>
              <w:t xml:space="preserve"> z </w:t>
            </w:r>
            <w:r w:rsidRPr="00D85C65">
              <w:rPr>
                <w:rFonts w:ascii="Times New Roman" w:hAnsi="Times New Roman"/>
                <w:sz w:val="24"/>
              </w:rPr>
              <w:t>rôznych krajín, inštitúcia uvedie najdôležitejšiu krajinu. Ak žiadna krajina na základe hodnoty aktív/záväzkov nepresahuje prahovú hodnotu 20</w:t>
            </w:r>
            <w:r w:rsidR="00D85C65">
              <w:rPr>
                <w:rFonts w:ascii="Times New Roman" w:hAnsi="Times New Roman"/>
                <w:sz w:val="24"/>
              </w:rPr>
              <w:t> %</w:t>
            </w:r>
            <w:r w:rsidRPr="00D85C65">
              <w:rPr>
                <w:rFonts w:ascii="Times New Roman" w:hAnsi="Times New Roman"/>
                <w:sz w:val="24"/>
              </w:rPr>
              <w:t>, vykazuje sa možnosť „ostatné krajiny“.</w:t>
            </w:r>
          </w:p>
          <w:p w14:paraId="12521C0F" w14:textId="77777777" w:rsidR="00235D9D" w:rsidRPr="00D85C65" w:rsidRDefault="00235D9D">
            <w:pPr>
              <w:spacing w:before="0" w:after="0"/>
              <w:rPr>
                <w:rFonts w:ascii="Times New Roman" w:hAnsi="Times New Roman"/>
                <w:sz w:val="24"/>
              </w:rPr>
            </w:pPr>
          </w:p>
        </w:tc>
      </w:tr>
      <w:tr w:rsidR="00235D9D" w:rsidRPr="00D85C65" w14:paraId="3BEDBFD7" w14:textId="77777777" w:rsidTr="00E10B85">
        <w:tc>
          <w:tcPr>
            <w:tcW w:w="1101" w:type="dxa"/>
          </w:tcPr>
          <w:p w14:paraId="1076F031"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201</w:t>
            </w:r>
          </w:p>
        </w:tc>
        <w:tc>
          <w:tcPr>
            <w:tcW w:w="7903" w:type="dxa"/>
          </w:tcPr>
          <w:p w14:paraId="235AE511" w14:textId="77777777" w:rsid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LGD (%)</w:t>
            </w:r>
          </w:p>
          <w:p w14:paraId="365D726F" w14:textId="336ACD83" w:rsidR="00235D9D" w:rsidRPr="00D85C65" w:rsidRDefault="00235D9D">
            <w:pPr>
              <w:spacing w:before="0" w:after="0"/>
              <w:jc w:val="left"/>
              <w:rPr>
                <w:rFonts w:ascii="Times New Roman" w:hAnsi="Times New Roman"/>
                <w:sz w:val="24"/>
              </w:rPr>
            </w:pPr>
          </w:p>
          <w:p w14:paraId="71137FC5" w14:textId="13ADB172"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Expozíciami váženú priemernú stratu</w:t>
            </w:r>
            <w:r w:rsidR="00D85C65">
              <w:rPr>
                <w:rFonts w:ascii="Times New Roman" w:hAnsi="Times New Roman"/>
                <w:sz w:val="24"/>
              </w:rPr>
              <w:t xml:space="preserve"> v </w:t>
            </w:r>
            <w:r w:rsidRPr="00D85C65">
              <w:rPr>
                <w:rFonts w:ascii="Times New Roman" w:hAnsi="Times New Roman"/>
                <w:sz w:val="24"/>
              </w:rPr>
              <w:t>prípade zlyhania (LGD) vykazujú len inštitúcie, ktoré používajú prístup SEC-IRBA (a preto</w:t>
            </w:r>
            <w:r w:rsidR="00D85C65">
              <w:rPr>
                <w:rFonts w:ascii="Times New Roman" w:hAnsi="Times New Roman"/>
                <w:sz w:val="24"/>
              </w:rPr>
              <w:t xml:space="preserve"> v </w:t>
            </w:r>
            <w:r w:rsidRPr="00D85C65">
              <w:rPr>
                <w:rFonts w:ascii="Times New Roman" w:hAnsi="Times New Roman"/>
                <w:sz w:val="24"/>
              </w:rPr>
              <w:t>stĺpci 170 vykazujú 95</w:t>
            </w:r>
            <w:r w:rsidR="00D85C65">
              <w:rPr>
                <w:rFonts w:ascii="Times New Roman" w:hAnsi="Times New Roman"/>
                <w:sz w:val="24"/>
              </w:rPr>
              <w:t> %</w:t>
            </w:r>
            <w:r w:rsidRPr="00D85C65">
              <w:rPr>
                <w:rFonts w:ascii="Times New Roman" w:hAnsi="Times New Roman"/>
                <w:sz w:val="24"/>
              </w:rPr>
              <w:t xml:space="preserve"> alebo viac). LGD sa vypočítava podľa článku 259 ods. 5 CRR</w:t>
            </w:r>
            <w:r w:rsidR="00D85C65">
              <w:rPr>
                <w:rFonts w:ascii="Times New Roman" w:hAnsi="Times New Roman"/>
                <w:sz w:val="24"/>
              </w:rPr>
              <w:t>.</w:t>
            </w:r>
          </w:p>
          <w:p w14:paraId="32EBB340" w14:textId="33A3725B"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 alebo keď sú požiadavky na vlastné zdroje založené na sekuritizovaných expozíciách (v prípade sekuritizácie aktív)</w:t>
            </w:r>
            <w:r w:rsidR="00D85C65">
              <w:rPr>
                <w:rFonts w:ascii="Times New Roman" w:hAnsi="Times New Roman"/>
                <w:sz w:val="24"/>
              </w:rPr>
              <w:t>.</w:t>
            </w:r>
          </w:p>
          <w:p w14:paraId="6B1C68CF" w14:textId="14198ABA" w:rsidR="00235D9D" w:rsidRPr="00D85C65" w:rsidRDefault="00235D9D">
            <w:pPr>
              <w:spacing w:before="0" w:after="0"/>
              <w:jc w:val="left"/>
              <w:rPr>
                <w:rFonts w:ascii="Times New Roman" w:hAnsi="Times New Roman"/>
                <w:sz w:val="24"/>
              </w:rPr>
            </w:pPr>
          </w:p>
        </w:tc>
      </w:tr>
      <w:tr w:rsidR="00235D9D" w:rsidRPr="00D85C65" w14:paraId="1293712A" w14:textId="77777777" w:rsidTr="00E10B85">
        <w:tc>
          <w:tcPr>
            <w:tcW w:w="1101" w:type="dxa"/>
          </w:tcPr>
          <w:p w14:paraId="2AE571A6"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202</w:t>
            </w:r>
          </w:p>
        </w:tc>
        <w:tc>
          <w:tcPr>
            <w:tcW w:w="7903" w:type="dxa"/>
          </w:tcPr>
          <w:p w14:paraId="3F45BF47"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EL (%)</w:t>
            </w:r>
          </w:p>
          <w:p w14:paraId="71C7D5B1" w14:textId="77777777" w:rsidR="00235D9D" w:rsidRPr="00D85C65" w:rsidRDefault="00235D9D">
            <w:pPr>
              <w:spacing w:before="0" w:after="0"/>
              <w:jc w:val="left"/>
              <w:rPr>
                <w:rFonts w:ascii="Times New Roman" w:hAnsi="Times New Roman"/>
                <w:b/>
                <w:sz w:val="24"/>
                <w:u w:val="single"/>
              </w:rPr>
            </w:pPr>
          </w:p>
          <w:p w14:paraId="1A5DCB68" w14:textId="2058AB02"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Expozíciami váženú priemernú očakávanú stratu (EL) sekuritizovaných aktív vykazujú len inštitúcie, ktoré používajú prístup SEC-IRBA (a ktoré preto</w:t>
            </w:r>
            <w:r w:rsidR="00D85C65">
              <w:rPr>
                <w:rFonts w:ascii="Times New Roman" w:hAnsi="Times New Roman"/>
                <w:sz w:val="24"/>
              </w:rPr>
              <w:t xml:space="preserve"> v </w:t>
            </w:r>
            <w:r w:rsidRPr="00D85C65">
              <w:rPr>
                <w:rFonts w:ascii="Times New Roman" w:hAnsi="Times New Roman"/>
                <w:sz w:val="24"/>
              </w:rPr>
              <w:t>stĺpci 171 vykazujú 95</w:t>
            </w:r>
            <w:r w:rsidR="00D85C65">
              <w:rPr>
                <w:rFonts w:ascii="Times New Roman" w:hAnsi="Times New Roman"/>
                <w:sz w:val="24"/>
              </w:rPr>
              <w:t> %</w:t>
            </w:r>
            <w:r w:rsidRPr="00D85C65">
              <w:rPr>
                <w:rFonts w:ascii="Times New Roman" w:hAnsi="Times New Roman"/>
                <w:sz w:val="24"/>
              </w:rPr>
              <w:t xml:space="preserve"> alebo viac).</w:t>
            </w:r>
            <w:r w:rsidR="00D85C65">
              <w:rPr>
                <w:rFonts w:ascii="Times New Roman" w:hAnsi="Times New Roman"/>
                <w:sz w:val="24"/>
              </w:rPr>
              <w:t xml:space="preserve"> V </w:t>
            </w:r>
            <w:r w:rsidRPr="00D85C65">
              <w:rPr>
                <w:rFonts w:ascii="Times New Roman" w:hAnsi="Times New Roman"/>
                <w:sz w:val="24"/>
              </w:rPr>
              <w:t>prípade sekuritizovaných aktív podľa SA sú vykazovanou očakávanou stratou špecifické úpravy kreditného rizika podľa článku 111 CRR. EL sa vypočítava tak, ako sa uvádza</w:t>
            </w:r>
            <w:r w:rsidR="00D85C65">
              <w:rPr>
                <w:rFonts w:ascii="Times New Roman" w:hAnsi="Times New Roman"/>
                <w:sz w:val="24"/>
              </w:rPr>
              <w:t xml:space="preserve"> v </w:t>
            </w:r>
            <w:r w:rsidRPr="00D85C65">
              <w:rPr>
                <w:rFonts w:ascii="Times New Roman" w:hAnsi="Times New Roman"/>
                <w:sz w:val="24"/>
              </w:rPr>
              <w:t>tretej časti hlave II kapitole 3 oddiele 3 CRR. 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 alebo keď sú požiadavky na vlastné zdroje založené na sekuritizovaných expozíciách (v prípade sekuritizácie aktív).</w:t>
            </w:r>
          </w:p>
          <w:p w14:paraId="1B512209" w14:textId="77777777" w:rsidR="00235D9D" w:rsidRPr="00D85C65" w:rsidRDefault="00235D9D">
            <w:pPr>
              <w:spacing w:before="0" w:after="0"/>
              <w:jc w:val="left"/>
              <w:rPr>
                <w:rFonts w:ascii="Times New Roman" w:hAnsi="Times New Roman"/>
                <w:b/>
                <w:sz w:val="24"/>
                <w:u w:val="single"/>
              </w:rPr>
            </w:pPr>
          </w:p>
        </w:tc>
      </w:tr>
      <w:tr w:rsidR="00235D9D" w:rsidRPr="00D85C65" w14:paraId="2CA50EAA" w14:textId="77777777" w:rsidTr="00E10B85">
        <w:tc>
          <w:tcPr>
            <w:tcW w:w="1101" w:type="dxa"/>
          </w:tcPr>
          <w:p w14:paraId="3D690D15"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203</w:t>
            </w:r>
          </w:p>
        </w:tc>
        <w:tc>
          <w:tcPr>
            <w:tcW w:w="7903" w:type="dxa"/>
          </w:tcPr>
          <w:p w14:paraId="0227BAA5"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UL (%)</w:t>
            </w:r>
          </w:p>
          <w:p w14:paraId="49300184" w14:textId="77777777" w:rsidR="00235D9D" w:rsidRPr="00D85C65" w:rsidRDefault="00235D9D">
            <w:pPr>
              <w:spacing w:before="0" w:after="0"/>
              <w:jc w:val="left"/>
              <w:rPr>
                <w:rFonts w:ascii="Times New Roman" w:hAnsi="Times New Roman"/>
                <w:b/>
                <w:sz w:val="24"/>
                <w:u w:val="single"/>
              </w:rPr>
            </w:pPr>
          </w:p>
          <w:p w14:paraId="51B6F9EC" w14:textId="385408B4"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Expozíciami váženú priemernú neočakávanú stratu (UL) sekuritizovaných aktív vykazujú len inštitúcie, ktoré používajú prístup SEC-IRBA (a preto</w:t>
            </w:r>
            <w:r w:rsidR="00D85C65">
              <w:rPr>
                <w:rFonts w:ascii="Times New Roman" w:hAnsi="Times New Roman"/>
                <w:sz w:val="24"/>
              </w:rPr>
              <w:t xml:space="preserve"> v </w:t>
            </w:r>
            <w:r w:rsidRPr="00D85C65">
              <w:rPr>
                <w:rFonts w:ascii="Times New Roman" w:hAnsi="Times New Roman"/>
                <w:sz w:val="24"/>
              </w:rPr>
              <w:t>stĺpci 170 vykazujú 95</w:t>
            </w:r>
            <w:r w:rsidR="00D85C65">
              <w:rPr>
                <w:rFonts w:ascii="Times New Roman" w:hAnsi="Times New Roman"/>
                <w:sz w:val="24"/>
              </w:rPr>
              <w:t> %</w:t>
            </w:r>
            <w:r w:rsidRPr="00D85C65">
              <w:rPr>
                <w:rFonts w:ascii="Times New Roman" w:hAnsi="Times New Roman"/>
                <w:sz w:val="24"/>
              </w:rPr>
              <w:t xml:space="preserve"> alebo viac). UL aktív sa rovná hodnote rizikovo váženej expozície (RWEA) vynásobenej 8</w:t>
            </w:r>
            <w:r w:rsidR="00D85C65">
              <w:rPr>
                <w:rFonts w:ascii="Times New Roman" w:hAnsi="Times New Roman"/>
                <w:sz w:val="24"/>
              </w:rPr>
              <w:t> %</w:t>
            </w:r>
            <w:r w:rsidRPr="00D85C65">
              <w:rPr>
                <w:rFonts w:ascii="Times New Roman" w:hAnsi="Times New Roman"/>
                <w:sz w:val="24"/>
              </w:rPr>
              <w:t>. RWEA sa vypočítava tak, ako sa uvádza</w:t>
            </w:r>
            <w:r w:rsidR="00D85C65">
              <w:rPr>
                <w:rFonts w:ascii="Times New Roman" w:hAnsi="Times New Roman"/>
                <w:sz w:val="24"/>
              </w:rPr>
              <w:t xml:space="preserve"> v </w:t>
            </w:r>
            <w:r w:rsidRPr="00D85C65">
              <w:rPr>
                <w:rFonts w:ascii="Times New Roman" w:hAnsi="Times New Roman"/>
                <w:sz w:val="24"/>
              </w:rPr>
              <w:t>tretej časti hlave II kapitole 3 oddiele 2 CRR. 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 alebo keď sú požiadavky na vlastné zdroje založené na sekuritizovaných expozíciách (v prípade sekuritizácie aktív).</w:t>
            </w:r>
          </w:p>
          <w:p w14:paraId="739EC2D3" w14:textId="77777777" w:rsidR="00235D9D" w:rsidRPr="00D85C65" w:rsidRDefault="00235D9D">
            <w:pPr>
              <w:spacing w:before="0" w:after="0"/>
              <w:jc w:val="left"/>
              <w:rPr>
                <w:rFonts w:ascii="Times New Roman" w:hAnsi="Times New Roman"/>
                <w:b/>
                <w:sz w:val="24"/>
                <w:u w:val="single"/>
              </w:rPr>
            </w:pPr>
          </w:p>
        </w:tc>
      </w:tr>
      <w:tr w:rsidR="00235D9D" w:rsidRPr="00D85C65" w14:paraId="7F4B9387" w14:textId="77777777" w:rsidTr="00E10B85">
        <w:tc>
          <w:tcPr>
            <w:tcW w:w="1101" w:type="dxa"/>
          </w:tcPr>
          <w:p w14:paraId="53306CE5"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204</w:t>
            </w:r>
          </w:p>
        </w:tc>
        <w:tc>
          <w:tcPr>
            <w:tcW w:w="7903" w:type="dxa"/>
          </w:tcPr>
          <w:p w14:paraId="03CE5E91"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EXPOZÍCIAMI VÁŽENÁ PRIEMERNÁ SPLATNOSŤ AKTÍV</w:t>
            </w:r>
          </w:p>
          <w:p w14:paraId="1F0E9E32" w14:textId="77777777" w:rsidR="00235D9D" w:rsidRPr="00D85C65" w:rsidRDefault="00235D9D">
            <w:pPr>
              <w:spacing w:before="0" w:after="0"/>
              <w:jc w:val="left"/>
              <w:rPr>
                <w:rFonts w:ascii="Times New Roman" w:hAnsi="Times New Roman"/>
                <w:b/>
                <w:sz w:val="24"/>
                <w:u w:val="single"/>
              </w:rPr>
            </w:pPr>
          </w:p>
          <w:p w14:paraId="0ED79C83" w14:textId="28408490" w:rsidR="00235D9D" w:rsidRPr="00D85C65" w:rsidRDefault="00C55547">
            <w:pPr>
              <w:spacing w:before="0" w:after="0"/>
              <w:jc w:val="left"/>
              <w:rPr>
                <w:rFonts w:ascii="Times New Roman" w:hAnsi="Times New Roman"/>
                <w:b/>
                <w:sz w:val="24"/>
                <w:u w:val="single"/>
              </w:rPr>
            </w:pPr>
            <w:r w:rsidRPr="00D85C65">
              <w:rPr>
                <w:rFonts w:ascii="Times New Roman" w:hAnsi="Times New Roman"/>
                <w:sz w:val="24"/>
              </w:rPr>
              <w:t>Expozíciami váženú priemernú splatnosť (WAM) sekuritizovaných aktív</w:t>
            </w:r>
            <w:r w:rsidR="00D85C65">
              <w:rPr>
                <w:rFonts w:ascii="Times New Roman" w:hAnsi="Times New Roman"/>
                <w:sz w:val="24"/>
              </w:rPr>
              <w:t xml:space="preserve"> k </w:t>
            </w:r>
            <w:r w:rsidRPr="00D85C65">
              <w:rPr>
                <w:rFonts w:ascii="Times New Roman" w:hAnsi="Times New Roman"/>
                <w:sz w:val="24"/>
              </w:rPr>
              <w:t>dátumu vykazovania vykazujú všetky inštitúcie bez ohľadu na prístup použitý na výpočet kapitálových požiadaviek. Inštitúcie vypočítavajú splatnosť každého aktíva tak, ako sa uvádza</w:t>
            </w:r>
            <w:r w:rsidR="00D85C65">
              <w:rPr>
                <w:rFonts w:ascii="Times New Roman" w:hAnsi="Times New Roman"/>
                <w:sz w:val="24"/>
              </w:rPr>
              <w:t xml:space="preserve"> v </w:t>
            </w:r>
            <w:r w:rsidRPr="00D85C65">
              <w:rPr>
                <w:rFonts w:ascii="Times New Roman" w:hAnsi="Times New Roman"/>
                <w:sz w:val="24"/>
              </w:rPr>
              <w:t>článku 162 ods. 2 písm. a)</w:t>
            </w:r>
            <w:r w:rsidR="00D85C65">
              <w:rPr>
                <w:rFonts w:ascii="Times New Roman" w:hAnsi="Times New Roman"/>
                <w:sz w:val="24"/>
              </w:rPr>
              <w:t xml:space="preserve"> a </w:t>
            </w:r>
            <w:r w:rsidRPr="00D85C65">
              <w:rPr>
                <w:rFonts w:ascii="Times New Roman" w:hAnsi="Times New Roman"/>
                <w:sz w:val="24"/>
              </w:rPr>
              <w:t>f) CRR,</w:t>
            </w:r>
            <w:r w:rsidR="00D85C65">
              <w:rPr>
                <w:rFonts w:ascii="Times New Roman" w:hAnsi="Times New Roman"/>
                <w:sz w:val="24"/>
              </w:rPr>
              <w:t xml:space="preserve"> a </w:t>
            </w:r>
            <w:r w:rsidRPr="00D85C65">
              <w:rPr>
                <w:rFonts w:ascii="Times New Roman" w:hAnsi="Times New Roman"/>
                <w:sz w:val="24"/>
              </w:rPr>
              <w:t>to bez uplatnenia 5-ročného horného ohraničenia.</w:t>
            </w:r>
          </w:p>
          <w:p w14:paraId="009C17D9" w14:textId="77777777" w:rsidR="00235D9D" w:rsidRPr="00D85C65" w:rsidRDefault="00235D9D">
            <w:pPr>
              <w:spacing w:before="0" w:after="0"/>
              <w:jc w:val="left"/>
              <w:rPr>
                <w:rFonts w:ascii="Times New Roman" w:hAnsi="Times New Roman"/>
                <w:b/>
                <w:sz w:val="24"/>
                <w:u w:val="single"/>
              </w:rPr>
            </w:pPr>
          </w:p>
        </w:tc>
      </w:tr>
      <w:tr w:rsidR="00235D9D" w:rsidRPr="00D85C65" w14:paraId="51C4B4B4" w14:textId="77777777" w:rsidTr="00E10B85">
        <w:tc>
          <w:tcPr>
            <w:tcW w:w="1101" w:type="dxa"/>
          </w:tcPr>
          <w:p w14:paraId="1167AEFD"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210</w:t>
            </w:r>
          </w:p>
        </w:tc>
        <w:tc>
          <w:tcPr>
            <w:tcW w:w="7903" w:type="dxa"/>
          </w:tcPr>
          <w:p w14:paraId="51B0D230"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 ÚPRAVY OCENENIA A REZERVY</w:t>
            </w:r>
          </w:p>
          <w:p w14:paraId="077C50B6" w14:textId="77777777" w:rsidR="00235D9D" w:rsidRPr="00D85C65" w:rsidRDefault="00235D9D">
            <w:pPr>
              <w:spacing w:before="0" w:after="0"/>
              <w:jc w:val="left"/>
              <w:rPr>
                <w:rFonts w:ascii="Times New Roman" w:hAnsi="Times New Roman"/>
                <w:sz w:val="24"/>
              </w:rPr>
            </w:pPr>
          </w:p>
          <w:p w14:paraId="4730FE5B" w14:textId="4697B6CB"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Úpravy ocenenia</w:t>
            </w:r>
            <w:r w:rsidR="00D85C65">
              <w:rPr>
                <w:rFonts w:ascii="Times New Roman" w:hAnsi="Times New Roman"/>
                <w:sz w:val="24"/>
              </w:rPr>
              <w:t xml:space="preserve"> a </w:t>
            </w:r>
            <w:r w:rsidRPr="00D85C65">
              <w:rPr>
                <w:rFonts w:ascii="Times New Roman" w:hAnsi="Times New Roman"/>
                <w:sz w:val="24"/>
              </w:rPr>
              <w:t>rezervy (článok 159 CRR) pre kreditné straty vykonané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účtovným rámcom, ktorý sa vzťahuje na vykazujúci subjekt. Úpravy ocenenia zahŕňajú všetky hodnoty vykázané vo výsledku hospodárenia pre kreditné straty finančných aktív od ich počiatočného vykázania</w:t>
            </w:r>
            <w:r w:rsidR="00D85C65">
              <w:rPr>
                <w:rFonts w:ascii="Times New Roman" w:hAnsi="Times New Roman"/>
                <w:sz w:val="24"/>
              </w:rPr>
              <w:t xml:space="preserve"> v </w:t>
            </w:r>
            <w:r w:rsidRPr="00D85C65">
              <w:rPr>
                <w:rFonts w:ascii="Times New Roman" w:hAnsi="Times New Roman"/>
                <w:sz w:val="24"/>
              </w:rPr>
              <w:t>súvahe (vrátane strát</w:t>
            </w:r>
            <w:r w:rsidR="00D85C65">
              <w:rPr>
                <w:rFonts w:ascii="Times New Roman" w:hAnsi="Times New Roman"/>
                <w:sz w:val="24"/>
              </w:rPr>
              <w:t xml:space="preserve"> z </w:t>
            </w:r>
            <w:r w:rsidRPr="00D85C65">
              <w:rPr>
                <w:rFonts w:ascii="Times New Roman" w:hAnsi="Times New Roman"/>
                <w:sz w:val="24"/>
              </w:rPr>
              <w:t>dôvodu kreditného rizika finančných aktív ocenených reálnou hodnotou, ktoré sa neodpočítavajú od hodnoty expozície) plus zníženia aktív kúpených</w:t>
            </w:r>
            <w:r w:rsidR="00D85C65">
              <w:rPr>
                <w:rFonts w:ascii="Times New Roman" w:hAnsi="Times New Roman"/>
                <w:sz w:val="24"/>
              </w:rPr>
              <w:t xml:space="preserve"> v </w:t>
            </w:r>
            <w:r w:rsidRPr="00D85C65">
              <w:rPr>
                <w:rFonts w:ascii="Times New Roman" w:hAnsi="Times New Roman"/>
                <w:sz w:val="24"/>
              </w:rPr>
              <w:t>stave zlyhania podľa článku 166 ods. 1 CRR. Rezervy zahŕňajú akumulované hodnoty kreditných strát</w:t>
            </w:r>
            <w:r w:rsidR="00D85C65">
              <w:rPr>
                <w:rFonts w:ascii="Times New Roman" w:hAnsi="Times New Roman"/>
                <w:sz w:val="24"/>
              </w:rPr>
              <w:t xml:space="preserve"> v </w:t>
            </w:r>
            <w:r w:rsidRPr="00D85C65">
              <w:rPr>
                <w:rFonts w:ascii="Times New Roman" w:hAnsi="Times New Roman"/>
                <w:sz w:val="24"/>
              </w:rPr>
              <w:t>podsúvahových položkách.</w:t>
            </w:r>
          </w:p>
          <w:p w14:paraId="3D9AB14A" w14:textId="77777777" w:rsidR="00235D9D" w:rsidRPr="00D85C65" w:rsidRDefault="00235D9D">
            <w:pPr>
              <w:autoSpaceDE w:val="0"/>
              <w:autoSpaceDN w:val="0"/>
              <w:adjustRightInd w:val="0"/>
              <w:spacing w:before="0" w:after="0"/>
              <w:jc w:val="left"/>
              <w:rPr>
                <w:rFonts w:ascii="Times New Roman" w:hAnsi="Times New Roman"/>
                <w:sz w:val="24"/>
              </w:rPr>
            </w:pPr>
          </w:p>
          <w:p w14:paraId="7290419E" w14:textId="20612E79"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stĺpci sa vykazujú informácie</w:t>
            </w:r>
            <w:r w:rsidR="00D85C65">
              <w:rPr>
                <w:rFonts w:ascii="Times New Roman" w:hAnsi="Times New Roman"/>
                <w:sz w:val="24"/>
              </w:rPr>
              <w:t xml:space="preserve"> o </w:t>
            </w:r>
            <w:r w:rsidRPr="00D85C65">
              <w:rPr>
                <w:rFonts w:ascii="Times New Roman" w:hAnsi="Times New Roman"/>
                <w:sz w:val="24"/>
              </w:rPr>
              <w:t>úpravách ocenení</w:t>
            </w:r>
            <w:r w:rsidR="00D85C65">
              <w:rPr>
                <w:rFonts w:ascii="Times New Roman" w:hAnsi="Times New Roman"/>
                <w:sz w:val="24"/>
              </w:rPr>
              <w:t xml:space="preserve"> a </w:t>
            </w:r>
            <w:r w:rsidRPr="00D85C65">
              <w:rPr>
                <w:rFonts w:ascii="Times New Roman" w:hAnsi="Times New Roman"/>
                <w:sz w:val="24"/>
              </w:rPr>
              <w:t>rezerv uplatnených na sekuritizované expozície. 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w:t>
            </w:r>
          </w:p>
          <w:p w14:paraId="23322D28" w14:textId="77777777" w:rsidR="00235D9D" w:rsidRPr="00D85C65" w:rsidRDefault="00235D9D">
            <w:pPr>
              <w:autoSpaceDE w:val="0"/>
              <w:autoSpaceDN w:val="0"/>
              <w:adjustRightInd w:val="0"/>
              <w:spacing w:before="0" w:after="0"/>
              <w:rPr>
                <w:rFonts w:ascii="Times New Roman" w:hAnsi="Times New Roman"/>
                <w:sz w:val="24"/>
              </w:rPr>
            </w:pPr>
          </w:p>
          <w:p w14:paraId="4EE9A1EB" w14:textId="2584E559"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Táto informácia sa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r w:rsidR="00D85C65">
              <w:rPr>
                <w:rFonts w:ascii="Times New Roman" w:hAnsi="Times New Roman"/>
                <w:sz w:val="24"/>
              </w:rPr>
              <w:t>.</w:t>
            </w:r>
          </w:p>
          <w:p w14:paraId="7A38027F" w14:textId="17486223"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557AB33B" w14:textId="77777777" w:rsidTr="00E10B85">
        <w:tc>
          <w:tcPr>
            <w:tcW w:w="1101" w:type="dxa"/>
          </w:tcPr>
          <w:p w14:paraId="02552CE5"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sz w:val="24"/>
              </w:rPr>
              <w:t>221</w:t>
            </w:r>
          </w:p>
        </w:tc>
        <w:tc>
          <w:tcPr>
            <w:tcW w:w="7903" w:type="dxa"/>
          </w:tcPr>
          <w:p w14:paraId="18A7F5F5" w14:textId="77777777" w:rsidR="00235D9D" w:rsidRPr="00D85C65" w:rsidRDefault="00C55547">
            <w:pPr>
              <w:spacing w:before="0" w:after="0"/>
              <w:jc w:val="left"/>
              <w:rPr>
                <w:rFonts w:ascii="Times New Roman" w:hAnsi="Times New Roman"/>
                <w:b/>
                <w:sz w:val="24"/>
                <w:u w:val="single"/>
                <w:vertAlign w:val="subscript"/>
              </w:rPr>
            </w:pPr>
            <w:r w:rsidRPr="00D85C65">
              <w:rPr>
                <w:rFonts w:ascii="Times New Roman" w:hAnsi="Times New Roman"/>
                <w:b/>
                <w:sz w:val="24"/>
                <w:u w:val="single"/>
              </w:rPr>
              <w:t>POŽIADAVKY NA VLASTNÉ ZDROJE PRED SEKURITIZÁCIOU (%) K</w:t>
            </w:r>
            <w:r w:rsidRPr="00D85C65">
              <w:rPr>
                <w:rFonts w:ascii="Times New Roman" w:hAnsi="Times New Roman"/>
                <w:b/>
                <w:sz w:val="24"/>
                <w:u w:val="single"/>
                <w:vertAlign w:val="subscript"/>
              </w:rPr>
              <w:t>IRB</w:t>
            </w:r>
          </w:p>
          <w:p w14:paraId="7E936449" w14:textId="77777777" w:rsidR="00235D9D" w:rsidRPr="00D85C65" w:rsidRDefault="00235D9D">
            <w:pPr>
              <w:spacing w:before="0" w:after="0"/>
              <w:jc w:val="left"/>
              <w:rPr>
                <w:rFonts w:ascii="Times New Roman" w:hAnsi="Times New Roman"/>
                <w:sz w:val="24"/>
              </w:rPr>
            </w:pPr>
          </w:p>
          <w:p w14:paraId="777B42C5" w14:textId="1EB8CCF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Tento stĺpec vykazujú len inštitúcie, ktoré uplatňujú prístup SEC-IRBA (a preto</w:t>
            </w:r>
            <w:r w:rsidR="00D85C65">
              <w:rPr>
                <w:rFonts w:ascii="Times New Roman" w:hAnsi="Times New Roman"/>
                <w:sz w:val="24"/>
              </w:rPr>
              <w:t xml:space="preserve"> v </w:t>
            </w:r>
            <w:r w:rsidRPr="00D85C65">
              <w:rPr>
                <w:rFonts w:ascii="Times New Roman" w:hAnsi="Times New Roman"/>
                <w:sz w:val="24"/>
              </w:rPr>
              <w:t>stĺpci 171 vykazujú 95</w:t>
            </w:r>
            <w:r w:rsidR="00D85C65">
              <w:rPr>
                <w:rFonts w:ascii="Times New Roman" w:hAnsi="Times New Roman"/>
                <w:sz w:val="24"/>
              </w:rPr>
              <w:t> %</w:t>
            </w:r>
            <w:r w:rsidRPr="00D85C65">
              <w:rPr>
                <w:rFonts w:ascii="Times New Roman" w:hAnsi="Times New Roman"/>
                <w:sz w:val="24"/>
              </w:rPr>
              <w:t xml:space="preserve"> alebo viac),</w:t>
            </w:r>
            <w:r w:rsidR="00D85C65">
              <w:rPr>
                <w:rFonts w:ascii="Times New Roman" w:hAnsi="Times New Roman"/>
                <w:sz w:val="24"/>
              </w:rPr>
              <w:t xml:space="preserve"> a </w:t>
            </w:r>
            <w:r w:rsidRPr="00D85C65">
              <w:rPr>
                <w:rFonts w:ascii="Times New Roman" w:hAnsi="Times New Roman"/>
                <w:sz w:val="24"/>
              </w:rPr>
              <w:t>zhromažďujú sa</w:t>
            </w:r>
            <w:r w:rsidR="00D85C65">
              <w:rPr>
                <w:rFonts w:ascii="Times New Roman" w:hAnsi="Times New Roman"/>
                <w:sz w:val="24"/>
              </w:rPr>
              <w:t xml:space="preserve"> v </w:t>
            </w:r>
            <w:r w:rsidRPr="00D85C65">
              <w:rPr>
                <w:rFonts w:ascii="Times New Roman" w:hAnsi="Times New Roman"/>
                <w:sz w:val="24"/>
              </w:rPr>
              <w:t>ňom informácie</w:t>
            </w:r>
            <w:r w:rsidR="00D85C65">
              <w:rPr>
                <w:rFonts w:ascii="Times New Roman" w:hAnsi="Times New Roman"/>
                <w:sz w:val="24"/>
              </w:rPr>
              <w:t xml:space="preserve"> o </w:t>
            </w:r>
            <w:r w:rsidRPr="00D85C65">
              <w:rPr>
                <w:rFonts w:ascii="Times New Roman" w:hAnsi="Times New Roman"/>
                <w:sz w:val="24"/>
              </w:rPr>
              <w:t>K</w:t>
            </w:r>
            <w:r w:rsidRPr="00D85C65">
              <w:rPr>
                <w:rFonts w:ascii="Times New Roman" w:hAnsi="Times New Roman"/>
                <w:sz w:val="24"/>
                <w:vertAlign w:val="subscript"/>
              </w:rPr>
              <w:t>IRB</w:t>
            </w:r>
            <w:r w:rsidRPr="00D85C65">
              <w:rPr>
                <w:rFonts w:ascii="Times New Roman" w:hAnsi="Times New Roman"/>
                <w:sz w:val="24"/>
              </w:rPr>
              <w:t>, ako sa uvádza</w:t>
            </w:r>
            <w:r w:rsidR="00D85C65">
              <w:rPr>
                <w:rFonts w:ascii="Times New Roman" w:hAnsi="Times New Roman"/>
                <w:sz w:val="24"/>
              </w:rPr>
              <w:t xml:space="preserve"> v </w:t>
            </w:r>
            <w:r w:rsidRPr="00D85C65">
              <w:rPr>
                <w:rFonts w:ascii="Times New Roman" w:hAnsi="Times New Roman"/>
                <w:sz w:val="24"/>
              </w:rPr>
              <w:t>článku 255 CRR. K</w:t>
            </w:r>
            <w:r w:rsidRPr="00D85C65">
              <w:rPr>
                <w:rFonts w:ascii="Times New Roman" w:hAnsi="Times New Roman"/>
                <w:sz w:val="24"/>
                <w:vertAlign w:val="subscript"/>
              </w:rPr>
              <w:t>IRB</w:t>
            </w:r>
            <w:r w:rsidRPr="00D85C65">
              <w:rPr>
                <w:rFonts w:ascii="Times New Roman" w:hAnsi="Times New Roman"/>
                <w:sz w:val="24"/>
              </w:rPr>
              <w:t xml:space="preserve"> sa vyjadruje ako percentuálny podiel (s dvoma desatinnými miestami).</w:t>
            </w:r>
          </w:p>
          <w:p w14:paraId="4EBD8251" w14:textId="77777777" w:rsidR="00235D9D" w:rsidRPr="00D85C65" w:rsidRDefault="00235D9D">
            <w:pPr>
              <w:autoSpaceDE w:val="0"/>
              <w:autoSpaceDN w:val="0"/>
              <w:adjustRightInd w:val="0"/>
              <w:spacing w:before="0" w:after="0"/>
              <w:rPr>
                <w:rFonts w:ascii="Times New Roman" w:hAnsi="Times New Roman"/>
                <w:sz w:val="24"/>
              </w:rPr>
            </w:pPr>
          </w:p>
          <w:p w14:paraId="3106C0A4" w14:textId="6DD5D402"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w:t>
            </w:r>
            <w:r w:rsidR="00D85C65">
              <w:rPr>
                <w:rFonts w:ascii="Times New Roman" w:hAnsi="Times New Roman"/>
                <w:sz w:val="24"/>
              </w:rPr>
              <w:t xml:space="preserve"> V </w:t>
            </w:r>
            <w:r w:rsidRPr="00D85C65">
              <w:rPr>
                <w:rFonts w:ascii="Times New Roman" w:hAnsi="Times New Roman"/>
                <w:sz w:val="24"/>
              </w:rPr>
              <w:t>prípade sekuritizácie aktív sa táto informácia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r w:rsidR="00D85C65">
              <w:rPr>
                <w:rFonts w:ascii="Times New Roman" w:hAnsi="Times New Roman"/>
                <w:sz w:val="24"/>
              </w:rPr>
              <w:t>.</w:t>
            </w:r>
          </w:p>
          <w:p w14:paraId="624A3FB3" w14:textId="73F59FF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2E47BDD5" w14:textId="77777777" w:rsidTr="00E10B85">
        <w:tc>
          <w:tcPr>
            <w:tcW w:w="1101" w:type="dxa"/>
          </w:tcPr>
          <w:p w14:paraId="5F3ACC47"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222</w:t>
            </w:r>
          </w:p>
        </w:tc>
        <w:tc>
          <w:tcPr>
            <w:tcW w:w="7903" w:type="dxa"/>
          </w:tcPr>
          <w:p w14:paraId="6DBBA492" w14:textId="2BC36E18"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 RETAILOVÝCH EXPOZÍCIÍ</w:t>
            </w:r>
            <w:r w:rsidR="00D85C65">
              <w:rPr>
                <w:rFonts w:ascii="Times New Roman" w:hAnsi="Times New Roman"/>
                <w:b/>
                <w:sz w:val="24"/>
                <w:u w:val="single"/>
              </w:rPr>
              <w:t xml:space="preserve"> V </w:t>
            </w:r>
            <w:r w:rsidRPr="00D85C65">
              <w:rPr>
                <w:rFonts w:ascii="Times New Roman" w:hAnsi="Times New Roman"/>
                <w:b/>
                <w:sz w:val="24"/>
                <w:u w:val="single"/>
              </w:rPr>
              <w:t>SKUPINÁCH IRB</w:t>
            </w:r>
          </w:p>
          <w:p w14:paraId="52A55AA4" w14:textId="77777777" w:rsidR="00235D9D" w:rsidRPr="00D85C65" w:rsidRDefault="00235D9D">
            <w:pPr>
              <w:autoSpaceDE w:val="0"/>
              <w:autoSpaceDN w:val="0"/>
              <w:adjustRightInd w:val="0"/>
              <w:spacing w:before="0" w:after="0"/>
              <w:jc w:val="left"/>
              <w:rPr>
                <w:rFonts w:ascii="Times New Roman" w:hAnsi="Times New Roman"/>
                <w:sz w:val="24"/>
              </w:rPr>
            </w:pPr>
          </w:p>
          <w:p w14:paraId="3D3E5295" w14:textId="4010ED31"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Skupiny IRB</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242 ods. 7 CRR za predpokladu, že inštitúcia dokáže vypočítať K</w:t>
            </w:r>
            <w:r w:rsidRPr="00D85C65">
              <w:rPr>
                <w:rFonts w:ascii="Times New Roman" w:hAnsi="Times New Roman"/>
                <w:sz w:val="24"/>
                <w:vertAlign w:val="subscript"/>
              </w:rPr>
              <w:t>IRB</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II kapitolou 6 oddielom 3 CRR minimálne pre 95</w:t>
            </w:r>
            <w:r w:rsidR="00D85C65">
              <w:rPr>
                <w:rFonts w:ascii="Times New Roman" w:hAnsi="Times New Roman"/>
                <w:sz w:val="24"/>
              </w:rPr>
              <w:t> %</w:t>
            </w:r>
            <w:r w:rsidRPr="00D85C65">
              <w:rPr>
                <w:rFonts w:ascii="Times New Roman" w:hAnsi="Times New Roman"/>
                <w:sz w:val="24"/>
              </w:rPr>
              <w:t xml:space="preserve"> hodnoty podkladovej expozície (článok 259 ods. 2 CRR)</w:t>
            </w:r>
            <w:r w:rsidR="00D85C65">
              <w:rPr>
                <w:rFonts w:ascii="Times New Roman" w:hAnsi="Times New Roman"/>
                <w:sz w:val="24"/>
              </w:rPr>
              <w:t>.</w:t>
            </w:r>
          </w:p>
          <w:p w14:paraId="24E9895F" w14:textId="6B191B6F"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60E48A4A" w14:textId="77777777" w:rsidTr="00E10B85">
        <w:tc>
          <w:tcPr>
            <w:tcW w:w="1101" w:type="dxa"/>
          </w:tcPr>
          <w:p w14:paraId="114A5053"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223</w:t>
            </w:r>
          </w:p>
        </w:tc>
        <w:tc>
          <w:tcPr>
            <w:tcW w:w="7903" w:type="dxa"/>
          </w:tcPr>
          <w:p w14:paraId="6AF83F9D"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POŽIADAVKY NA VLASTNÉ ZDROJE PRED SEKURITIZÁCIOU (%) K</w:t>
            </w:r>
            <w:r w:rsidRPr="00D85C65">
              <w:rPr>
                <w:rFonts w:ascii="Times New Roman" w:hAnsi="Times New Roman"/>
                <w:b/>
                <w:sz w:val="24"/>
                <w:u w:val="single"/>
                <w:vertAlign w:val="subscript"/>
              </w:rPr>
              <w:t>sa</w:t>
            </w:r>
          </w:p>
          <w:p w14:paraId="50AD6478"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26F421F1" w14:textId="13BE1504"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Aj keď inštitúcia neuplatňuje na sekuritizačné pozície prístup SEC-SA, vykáže tento stĺpec.</w:t>
            </w:r>
            <w:r w:rsidR="00D85C65">
              <w:rPr>
                <w:rFonts w:ascii="Times New Roman" w:hAnsi="Times New Roman"/>
                <w:sz w:val="24"/>
              </w:rPr>
              <w:t xml:space="preserve"> V </w:t>
            </w:r>
            <w:r w:rsidRPr="00D85C65">
              <w:rPr>
                <w:rFonts w:ascii="Times New Roman" w:hAnsi="Times New Roman"/>
                <w:sz w:val="24"/>
              </w:rPr>
              <w:t>tomto stĺpci sa zhromažďujú informácie</w:t>
            </w:r>
            <w:r w:rsidR="00D85C65">
              <w:rPr>
                <w:rFonts w:ascii="Times New Roman" w:hAnsi="Times New Roman"/>
                <w:sz w:val="24"/>
              </w:rPr>
              <w:t xml:space="preserve"> o </w:t>
            </w:r>
            <w:r w:rsidRPr="00D85C65">
              <w:rPr>
                <w:rFonts w:ascii="Times New Roman" w:hAnsi="Times New Roman"/>
                <w:sz w:val="24"/>
              </w:rPr>
              <w:t>K</w:t>
            </w:r>
            <w:r w:rsidRPr="00D85C65">
              <w:rPr>
                <w:rFonts w:ascii="Times New Roman" w:hAnsi="Times New Roman"/>
                <w:sz w:val="24"/>
                <w:vertAlign w:val="subscript"/>
              </w:rPr>
              <w:t>SA</w:t>
            </w:r>
            <w:r w:rsidRPr="00D85C65">
              <w:rPr>
                <w:rFonts w:ascii="Times New Roman" w:hAnsi="Times New Roman"/>
                <w:sz w:val="24"/>
              </w:rPr>
              <w:t>, ako sa uvádza</w:t>
            </w:r>
            <w:r w:rsidR="00D85C65">
              <w:rPr>
                <w:rFonts w:ascii="Times New Roman" w:hAnsi="Times New Roman"/>
                <w:sz w:val="24"/>
              </w:rPr>
              <w:t xml:space="preserve"> </w:t>
            </w:r>
            <w:r w:rsidR="00D85C65">
              <w:rPr>
                <w:rFonts w:ascii="Times New Roman" w:hAnsi="Times New Roman"/>
                <w:sz w:val="24"/>
              </w:rPr>
              <w:lastRenderedPageBreak/>
              <w:t>v </w:t>
            </w:r>
            <w:r w:rsidRPr="00D85C65">
              <w:rPr>
                <w:rFonts w:ascii="Times New Roman" w:hAnsi="Times New Roman"/>
                <w:sz w:val="24"/>
              </w:rPr>
              <w:t>článku 255 ods. 6 CRR. K</w:t>
            </w:r>
            <w:r w:rsidRPr="00D85C65">
              <w:rPr>
                <w:rFonts w:ascii="Times New Roman" w:hAnsi="Times New Roman"/>
                <w:sz w:val="24"/>
                <w:vertAlign w:val="subscript"/>
              </w:rPr>
              <w:t>SA</w:t>
            </w:r>
            <w:r w:rsidRPr="00D85C65">
              <w:rPr>
                <w:rFonts w:ascii="Times New Roman" w:hAnsi="Times New Roman"/>
                <w:sz w:val="24"/>
              </w:rPr>
              <w:t xml:space="preserve"> sa vyjadruje ako percentuálny podiel (s dvoma desatinnými miestami).</w:t>
            </w:r>
          </w:p>
          <w:p w14:paraId="7EC6E5ED" w14:textId="77777777" w:rsidR="00235D9D" w:rsidRPr="00D85C65" w:rsidRDefault="00235D9D">
            <w:pPr>
              <w:autoSpaceDE w:val="0"/>
              <w:autoSpaceDN w:val="0"/>
              <w:adjustRightInd w:val="0"/>
              <w:spacing w:before="0" w:after="0"/>
              <w:rPr>
                <w:rFonts w:ascii="Times New Roman" w:hAnsi="Times New Roman"/>
                <w:sz w:val="24"/>
              </w:rPr>
            </w:pPr>
          </w:p>
          <w:p w14:paraId="74D245C4" w14:textId="6D090738"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sekuritizácie záväzkov.</w:t>
            </w:r>
            <w:r w:rsidR="00D85C65">
              <w:rPr>
                <w:rFonts w:ascii="Times New Roman" w:hAnsi="Times New Roman"/>
                <w:sz w:val="24"/>
              </w:rPr>
              <w:t xml:space="preserve"> V </w:t>
            </w:r>
            <w:r w:rsidRPr="00D85C65">
              <w:rPr>
                <w:rFonts w:ascii="Times New Roman" w:hAnsi="Times New Roman"/>
                <w:sz w:val="24"/>
              </w:rPr>
              <w:t>prípade sekuritizácie aktív sa táto informácia vykazuje, aj keď vykazujúci subjekt nedrží žiadne pozície</w:t>
            </w:r>
            <w:r w:rsidR="00D85C65">
              <w:rPr>
                <w:rFonts w:ascii="Times New Roman" w:hAnsi="Times New Roman"/>
                <w:sz w:val="24"/>
              </w:rPr>
              <w:t xml:space="preserve"> v </w:t>
            </w:r>
            <w:r w:rsidRPr="00D85C65">
              <w:rPr>
                <w:rFonts w:ascii="Times New Roman" w:hAnsi="Times New Roman"/>
                <w:sz w:val="24"/>
              </w:rPr>
              <w:t>sekuritizácii</w:t>
            </w:r>
            <w:r w:rsidR="00D85C65">
              <w:rPr>
                <w:rFonts w:ascii="Times New Roman" w:hAnsi="Times New Roman"/>
                <w:sz w:val="24"/>
              </w:rPr>
              <w:t>.</w:t>
            </w:r>
          </w:p>
          <w:p w14:paraId="69FE6E90" w14:textId="1AF2EF4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17C21F93" w14:textId="77777777" w:rsidTr="00E10B85">
        <w:tc>
          <w:tcPr>
            <w:tcW w:w="1101" w:type="dxa"/>
          </w:tcPr>
          <w:p w14:paraId="3A9A1C03"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225</w:t>
            </w:r>
          </w:p>
        </w:tc>
        <w:tc>
          <w:tcPr>
            <w:tcW w:w="7903" w:type="dxa"/>
          </w:tcPr>
          <w:p w14:paraId="453184D8"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DOPLŇUJÚCE POLOŽKY</w:t>
            </w:r>
          </w:p>
        </w:tc>
      </w:tr>
      <w:tr w:rsidR="00235D9D" w:rsidRPr="00D85C65" w14:paraId="7F0CF1B3" w14:textId="77777777" w:rsidTr="00E10B85">
        <w:tc>
          <w:tcPr>
            <w:tcW w:w="1101" w:type="dxa"/>
          </w:tcPr>
          <w:p w14:paraId="0D41FA5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225</w:t>
            </w:r>
          </w:p>
        </w:tc>
        <w:tc>
          <w:tcPr>
            <w:tcW w:w="7903" w:type="dxa"/>
          </w:tcPr>
          <w:p w14:paraId="6BC4B4E9" w14:textId="77777777" w:rsid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ÚPRAVY KREDITNÉHO RIZIKA POČAS BEŽNÉHO OBDOBIA</w:t>
            </w:r>
          </w:p>
          <w:p w14:paraId="08058EAD" w14:textId="711272A2" w:rsidR="00235D9D" w:rsidRPr="00D85C65" w:rsidRDefault="00235D9D">
            <w:pPr>
              <w:autoSpaceDE w:val="0"/>
              <w:autoSpaceDN w:val="0"/>
              <w:adjustRightInd w:val="0"/>
              <w:spacing w:before="0" w:after="0"/>
              <w:jc w:val="left"/>
              <w:rPr>
                <w:rFonts w:ascii="Times New Roman" w:hAnsi="Times New Roman"/>
                <w:b/>
                <w:sz w:val="24"/>
                <w:u w:val="single"/>
              </w:rPr>
            </w:pPr>
          </w:p>
          <w:p w14:paraId="583F3F77" w14:textId="549E1A72"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Článok 110 CRR.</w:t>
            </w:r>
          </w:p>
          <w:p w14:paraId="0D72900D"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5A9945E1" w14:textId="77777777" w:rsidTr="00E10B85">
        <w:tc>
          <w:tcPr>
            <w:tcW w:w="1101" w:type="dxa"/>
          </w:tcPr>
          <w:p w14:paraId="2EA15BF6" w14:textId="77777777" w:rsidR="00235D9D" w:rsidRPr="00D85C65" w:rsidRDefault="00C55547">
            <w:pPr>
              <w:autoSpaceDE w:val="0"/>
              <w:autoSpaceDN w:val="0"/>
              <w:adjustRightInd w:val="0"/>
              <w:spacing w:before="0" w:after="0"/>
              <w:rPr>
                <w:rFonts w:ascii="Times New Roman" w:hAnsi="Times New Roman"/>
                <w:bCs/>
                <w:sz w:val="24"/>
                <w:highlight w:val="yellow"/>
              </w:rPr>
            </w:pPr>
            <w:r w:rsidRPr="00D85C65">
              <w:rPr>
                <w:rFonts w:ascii="Times New Roman" w:hAnsi="Times New Roman"/>
                <w:sz w:val="24"/>
              </w:rPr>
              <w:t>230 – 304</w:t>
            </w:r>
          </w:p>
        </w:tc>
        <w:tc>
          <w:tcPr>
            <w:tcW w:w="7903" w:type="dxa"/>
          </w:tcPr>
          <w:p w14:paraId="7F51B0A0"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ŠTRUKTÚRA SEKURITIZÁCIE</w:t>
            </w:r>
          </w:p>
          <w:p w14:paraId="7BF1D62B" w14:textId="77777777" w:rsidR="00235D9D" w:rsidRPr="00D85C65" w:rsidRDefault="00235D9D">
            <w:pPr>
              <w:autoSpaceDE w:val="0"/>
              <w:autoSpaceDN w:val="0"/>
              <w:adjustRightInd w:val="0"/>
              <w:spacing w:before="0" w:after="0"/>
              <w:jc w:val="left"/>
              <w:rPr>
                <w:rFonts w:ascii="Times New Roman" w:hAnsi="Times New Roman"/>
                <w:sz w:val="24"/>
                <w:u w:val="single"/>
              </w:rPr>
            </w:pPr>
          </w:p>
          <w:p w14:paraId="31797C00" w14:textId="24141FE8" w:rsid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 tomto bloku stĺpcov sa zhromažďujú informácie</w:t>
            </w:r>
            <w:r w:rsidR="00D85C65">
              <w:rPr>
                <w:rFonts w:ascii="Times New Roman" w:hAnsi="Times New Roman"/>
                <w:sz w:val="24"/>
              </w:rPr>
              <w:t xml:space="preserve"> o </w:t>
            </w:r>
            <w:r w:rsidRPr="00D85C65">
              <w:rPr>
                <w:rFonts w:ascii="Times New Roman" w:hAnsi="Times New Roman"/>
                <w:sz w:val="24"/>
              </w:rPr>
              <w:t>štruktúre sekuritizácie na základe súvahových/podsúvahových pozícií, tranží (nadriadené/mezanínové/prvá strata)</w:t>
            </w:r>
            <w:r w:rsidR="00D85C65">
              <w:rPr>
                <w:rFonts w:ascii="Times New Roman" w:hAnsi="Times New Roman"/>
                <w:sz w:val="24"/>
              </w:rPr>
              <w:t xml:space="preserve"> a </w:t>
            </w:r>
            <w:r w:rsidRPr="00D85C65">
              <w:rPr>
                <w:rFonts w:ascii="Times New Roman" w:hAnsi="Times New Roman"/>
                <w:sz w:val="24"/>
              </w:rPr>
              <w:t>splatností</w:t>
            </w:r>
            <w:r w:rsidR="00D85C65">
              <w:rPr>
                <w:rFonts w:ascii="Times New Roman" w:hAnsi="Times New Roman"/>
                <w:sz w:val="24"/>
              </w:rPr>
              <w:t xml:space="preserve"> k </w:t>
            </w:r>
            <w:r w:rsidRPr="00D85C65">
              <w:rPr>
                <w:rFonts w:ascii="Times New Roman" w:hAnsi="Times New Roman"/>
                <w:sz w:val="24"/>
              </w:rPr>
              <w:t>dátumu vykazovania</w:t>
            </w:r>
            <w:r w:rsidR="00D85C65">
              <w:rPr>
                <w:rFonts w:ascii="Times New Roman" w:hAnsi="Times New Roman"/>
                <w:sz w:val="24"/>
              </w:rPr>
              <w:t>.</w:t>
            </w:r>
          </w:p>
          <w:p w14:paraId="597A080E" w14:textId="41CB5B47" w:rsidR="00235D9D" w:rsidRPr="00D85C65" w:rsidRDefault="00235D9D">
            <w:pPr>
              <w:autoSpaceDE w:val="0"/>
              <w:autoSpaceDN w:val="0"/>
              <w:adjustRightInd w:val="0"/>
              <w:spacing w:before="0" w:after="0"/>
              <w:rPr>
                <w:rFonts w:ascii="Times New Roman" w:hAnsi="Times New Roman"/>
                <w:sz w:val="24"/>
              </w:rPr>
            </w:pPr>
          </w:p>
          <w:p w14:paraId="3993DC59" w14:textId="040994A7" w:rsidR="00235D9D" w:rsidRPr="00D85C65" w:rsidRDefault="005E5070">
            <w:pPr>
              <w:spacing w:before="0" w:after="0"/>
              <w:rPr>
                <w:rFonts w:ascii="Times New Roman" w:hAnsi="Times New Roman"/>
                <w:sz w:val="24"/>
              </w:rPr>
            </w:pPr>
            <w:r w:rsidRPr="00D85C65">
              <w:rPr>
                <w:rFonts w:ascii="Times New Roman" w:hAnsi="Times New Roman"/>
                <w:sz w:val="24"/>
              </w:rPr>
              <w:t>Pri sekuritizáciách</w:t>
            </w:r>
            <w:r w:rsidR="00D85C65">
              <w:rPr>
                <w:rFonts w:ascii="Times New Roman" w:hAnsi="Times New Roman"/>
                <w:sz w:val="24"/>
              </w:rPr>
              <w:t xml:space="preserve"> s </w:t>
            </w:r>
            <w:r w:rsidRPr="00D85C65">
              <w:rPr>
                <w:rFonts w:ascii="Times New Roman" w:hAnsi="Times New Roman"/>
                <w:sz w:val="24"/>
              </w:rPr>
              <w:t>viacerými predávajúcimi sa vykazuje len hodnota zodpovedajúca alebo priradená vykazujúcej inštitúcii.</w:t>
            </w:r>
          </w:p>
          <w:p w14:paraId="7879254F" w14:textId="77777777" w:rsidR="00235D9D" w:rsidRPr="00D85C65" w:rsidRDefault="00235D9D">
            <w:pPr>
              <w:spacing w:before="0" w:after="0"/>
              <w:jc w:val="left"/>
              <w:rPr>
                <w:rFonts w:ascii="Times New Roman" w:hAnsi="Times New Roman"/>
                <w:sz w:val="24"/>
              </w:rPr>
            </w:pPr>
          </w:p>
        </w:tc>
      </w:tr>
      <w:tr w:rsidR="00235D9D" w:rsidRPr="00D85C65" w14:paraId="030979A3" w14:textId="77777777" w:rsidTr="00E10B85">
        <w:tc>
          <w:tcPr>
            <w:tcW w:w="1101" w:type="dxa"/>
          </w:tcPr>
          <w:p w14:paraId="451A9E15" w14:textId="77777777" w:rsidR="00235D9D" w:rsidRPr="00D85C65" w:rsidRDefault="00C55547">
            <w:pPr>
              <w:autoSpaceDE w:val="0"/>
              <w:autoSpaceDN w:val="0"/>
              <w:adjustRightInd w:val="0"/>
              <w:spacing w:before="0" w:after="0"/>
              <w:rPr>
                <w:rFonts w:ascii="Times New Roman" w:hAnsi="Times New Roman"/>
                <w:sz w:val="24"/>
                <w:highlight w:val="yellow"/>
              </w:rPr>
            </w:pPr>
            <w:r w:rsidRPr="00D85C65">
              <w:rPr>
                <w:rFonts w:ascii="Times New Roman" w:hAnsi="Times New Roman"/>
                <w:sz w:val="24"/>
              </w:rPr>
              <w:t>230 – 252</w:t>
            </w:r>
          </w:p>
        </w:tc>
        <w:tc>
          <w:tcPr>
            <w:tcW w:w="7903" w:type="dxa"/>
          </w:tcPr>
          <w:p w14:paraId="292F6133"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SÚVAHOVÉ POLOŽKY</w:t>
            </w:r>
          </w:p>
          <w:p w14:paraId="19B0A5A4"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28CF3C54" w14:textId="44C8E800"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V tomto bloku stĺpcov sa zhromažďujú informácie</w:t>
            </w:r>
            <w:r w:rsidR="00D85C65">
              <w:rPr>
                <w:rFonts w:ascii="Times New Roman" w:hAnsi="Times New Roman"/>
                <w:sz w:val="24"/>
              </w:rPr>
              <w:t xml:space="preserve"> o </w:t>
            </w:r>
            <w:r w:rsidRPr="00D85C65">
              <w:rPr>
                <w:rFonts w:ascii="Times New Roman" w:hAnsi="Times New Roman"/>
                <w:sz w:val="24"/>
              </w:rPr>
              <w:t>súvahových položkách rozčlenené podľa tranží (nadriadené/mezanínové/prvá strata).</w:t>
            </w:r>
          </w:p>
          <w:p w14:paraId="314A1B63"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37F222B7" w14:textId="77777777" w:rsidTr="00E10B85">
        <w:tc>
          <w:tcPr>
            <w:tcW w:w="1101" w:type="dxa"/>
          </w:tcPr>
          <w:p w14:paraId="1D8C1F6F"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230 – 232</w:t>
            </w:r>
          </w:p>
        </w:tc>
        <w:tc>
          <w:tcPr>
            <w:tcW w:w="7903" w:type="dxa"/>
          </w:tcPr>
          <w:p w14:paraId="239EA82A"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NADRIADENÉ</w:t>
            </w:r>
          </w:p>
          <w:p w14:paraId="18A61EA3"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AB80D13" w14:textId="77777777" w:rsidTr="00E10B85">
        <w:tc>
          <w:tcPr>
            <w:tcW w:w="1101" w:type="dxa"/>
          </w:tcPr>
          <w:p w14:paraId="5F2A959A"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230</w:t>
            </w:r>
          </w:p>
        </w:tc>
        <w:tc>
          <w:tcPr>
            <w:tcW w:w="7903" w:type="dxa"/>
          </w:tcPr>
          <w:p w14:paraId="7FBA2DF3"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HODNOTA</w:t>
            </w:r>
          </w:p>
          <w:p w14:paraId="2481D0E5"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2337A05C" w14:textId="25CDB749"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Hodnota nadriadených sekuritizačných pozícií podľa vymedzenia</w:t>
            </w:r>
            <w:r w:rsidR="00D85C65">
              <w:rPr>
                <w:rFonts w:ascii="Times New Roman" w:hAnsi="Times New Roman"/>
                <w:sz w:val="24"/>
              </w:rPr>
              <w:t xml:space="preserve"> v </w:t>
            </w:r>
            <w:r w:rsidRPr="00D85C65">
              <w:rPr>
                <w:rFonts w:ascii="Times New Roman" w:hAnsi="Times New Roman"/>
                <w:sz w:val="24"/>
              </w:rPr>
              <w:t>článku 242 ods. 6 CRR.</w:t>
            </w:r>
          </w:p>
          <w:p w14:paraId="280FA19F"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4EF90DC" w14:textId="77777777" w:rsidTr="00E10B85">
        <w:tc>
          <w:tcPr>
            <w:tcW w:w="1101" w:type="dxa"/>
          </w:tcPr>
          <w:p w14:paraId="01DA9A93"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231</w:t>
            </w:r>
          </w:p>
        </w:tc>
        <w:tc>
          <w:tcPr>
            <w:tcW w:w="7903" w:type="dxa"/>
          </w:tcPr>
          <w:p w14:paraId="3A68B8DE"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BOD PRIRADENIA (%)</w:t>
            </w:r>
          </w:p>
          <w:p w14:paraId="5E88F0B8"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687AC0B" w14:textId="2D2DBE94"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Bod priradenia (%) podľa článku 256 ods. 1 CRR.</w:t>
            </w:r>
          </w:p>
          <w:p w14:paraId="5DDFFCBC"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6863D268" w14:textId="77777777" w:rsidTr="00E10B85">
        <w:tc>
          <w:tcPr>
            <w:tcW w:w="1101" w:type="dxa"/>
          </w:tcPr>
          <w:p w14:paraId="25953C96" w14:textId="56BBB668"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232</w:t>
            </w:r>
            <w:r w:rsidR="00D85C65">
              <w:rPr>
                <w:rFonts w:ascii="Times New Roman" w:hAnsi="Times New Roman"/>
                <w:sz w:val="24"/>
              </w:rPr>
              <w:t xml:space="preserve"> a </w:t>
            </w:r>
            <w:r w:rsidRPr="00D85C65">
              <w:rPr>
                <w:rFonts w:ascii="Times New Roman" w:hAnsi="Times New Roman"/>
                <w:sz w:val="24"/>
              </w:rPr>
              <w:t>252</w:t>
            </w:r>
          </w:p>
        </w:tc>
        <w:tc>
          <w:tcPr>
            <w:tcW w:w="7903" w:type="dxa"/>
          </w:tcPr>
          <w:p w14:paraId="69421949"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STUPNE KREDITNEJ KVALITY</w:t>
            </w:r>
          </w:p>
          <w:p w14:paraId="27D0FAB6"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172ECEE5" w14:textId="1012A3F5"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sz w:val="24"/>
              </w:rPr>
              <w:t>Stupne kreditnej kvality (CQS), ako sú stanovené pre inštitúcie uplatňujúce SEC-ERBA (tabuľky 1</w:t>
            </w:r>
            <w:r w:rsidR="00D85C65">
              <w:rPr>
                <w:rFonts w:ascii="Times New Roman" w:hAnsi="Times New Roman"/>
                <w:sz w:val="24"/>
              </w:rPr>
              <w:t xml:space="preserve"> a </w:t>
            </w:r>
            <w:r w:rsidRPr="00D85C65">
              <w:rPr>
                <w:rFonts w:ascii="Times New Roman" w:hAnsi="Times New Roman"/>
                <w:sz w:val="24"/>
              </w:rPr>
              <w:t>2</w:t>
            </w:r>
            <w:r w:rsidR="00D85C65">
              <w:rPr>
                <w:rFonts w:ascii="Times New Roman" w:hAnsi="Times New Roman"/>
                <w:sz w:val="24"/>
              </w:rPr>
              <w:t xml:space="preserve"> v </w:t>
            </w:r>
            <w:r w:rsidRPr="00D85C65">
              <w:rPr>
                <w:rFonts w:ascii="Times New Roman" w:hAnsi="Times New Roman"/>
                <w:sz w:val="24"/>
              </w:rPr>
              <w:t>článku 263</w:t>
            </w:r>
            <w:r w:rsidR="00D85C65">
              <w:rPr>
                <w:rFonts w:ascii="Times New Roman" w:hAnsi="Times New Roman"/>
                <w:sz w:val="24"/>
              </w:rPr>
              <w:t xml:space="preserve"> a </w:t>
            </w:r>
            <w:r w:rsidRPr="00D85C65">
              <w:rPr>
                <w:rFonts w:ascii="Times New Roman" w:hAnsi="Times New Roman"/>
                <w:sz w:val="24"/>
              </w:rPr>
              <w:t>tabuľky 3</w:t>
            </w:r>
            <w:r w:rsidR="00D85C65">
              <w:rPr>
                <w:rFonts w:ascii="Times New Roman" w:hAnsi="Times New Roman"/>
                <w:sz w:val="24"/>
              </w:rPr>
              <w:t xml:space="preserve"> a </w:t>
            </w:r>
            <w:r w:rsidRPr="00D85C65">
              <w:rPr>
                <w:rFonts w:ascii="Times New Roman" w:hAnsi="Times New Roman"/>
                <w:sz w:val="24"/>
              </w:rPr>
              <w:t>4</w:t>
            </w:r>
            <w:r w:rsidR="00D85C65">
              <w:rPr>
                <w:rFonts w:ascii="Times New Roman" w:hAnsi="Times New Roman"/>
                <w:sz w:val="24"/>
              </w:rPr>
              <w:t xml:space="preserve"> v </w:t>
            </w:r>
            <w:r w:rsidRPr="00D85C65">
              <w:rPr>
                <w:rFonts w:ascii="Times New Roman" w:hAnsi="Times New Roman"/>
                <w:sz w:val="24"/>
              </w:rPr>
              <w:t>článku 264 CRR). Tieto stĺpce sa vykazujú pre všetky transakcie</w:t>
            </w:r>
            <w:r w:rsidR="00D85C65">
              <w:rPr>
                <w:rFonts w:ascii="Times New Roman" w:hAnsi="Times New Roman"/>
                <w:sz w:val="24"/>
              </w:rPr>
              <w:t xml:space="preserve"> s </w:t>
            </w:r>
            <w:r w:rsidRPr="00D85C65">
              <w:rPr>
                <w:rFonts w:ascii="Times New Roman" w:hAnsi="Times New Roman"/>
                <w:sz w:val="24"/>
              </w:rPr>
              <w:t>ratingovým hodnotením bez ohľadu na uplatnený prístup.</w:t>
            </w:r>
          </w:p>
          <w:p w14:paraId="79C3D232"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05A5C118" w14:textId="77777777" w:rsidTr="00E10B85">
        <w:tc>
          <w:tcPr>
            <w:tcW w:w="1101" w:type="dxa"/>
          </w:tcPr>
          <w:p w14:paraId="588BBE90"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240 – 242</w:t>
            </w:r>
          </w:p>
        </w:tc>
        <w:tc>
          <w:tcPr>
            <w:tcW w:w="7903" w:type="dxa"/>
          </w:tcPr>
          <w:p w14:paraId="041A91E7"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MEZANÍNOVÉ</w:t>
            </w:r>
          </w:p>
          <w:p w14:paraId="0A5BFA80"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4A86FB45" w14:textId="77777777" w:rsidTr="00E10B85">
        <w:tc>
          <w:tcPr>
            <w:tcW w:w="1101" w:type="dxa"/>
          </w:tcPr>
          <w:p w14:paraId="42ED58D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240</w:t>
            </w:r>
          </w:p>
        </w:tc>
        <w:tc>
          <w:tcPr>
            <w:tcW w:w="7903" w:type="dxa"/>
          </w:tcPr>
          <w:p w14:paraId="2676D108"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HODNOTA</w:t>
            </w:r>
          </w:p>
          <w:p w14:paraId="373DE2F8"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5C390D5F"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Vykazovaná hodnota zahŕňa:</w:t>
            </w:r>
          </w:p>
          <w:p w14:paraId="13C2E815" w14:textId="3A4CBB2D" w:rsidR="00235D9D" w:rsidRPr="00D85C6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85C65">
              <w:rPr>
                <w:rFonts w:ascii="Times New Roman" w:hAnsi="Times New Roman"/>
                <w:sz w:val="24"/>
              </w:rPr>
              <w:lastRenderedPageBreak/>
              <w:t>mezanínové sekuritizačné pozície podľa vymedzenia</w:t>
            </w:r>
            <w:r w:rsidR="00D85C65">
              <w:rPr>
                <w:rFonts w:ascii="Times New Roman" w:hAnsi="Times New Roman"/>
                <w:sz w:val="24"/>
              </w:rPr>
              <w:t xml:space="preserve"> v </w:t>
            </w:r>
            <w:r w:rsidRPr="00D85C65">
              <w:rPr>
                <w:rFonts w:ascii="Times New Roman" w:hAnsi="Times New Roman"/>
                <w:sz w:val="24"/>
              </w:rPr>
              <w:t>článku 242 ods. 18 CRR;</w:t>
            </w:r>
          </w:p>
          <w:p w14:paraId="374E16B1" w14:textId="4C1E41F4" w:rsidR="00235D9D" w:rsidRPr="00D85C6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85C65">
              <w:rPr>
                <w:rFonts w:ascii="Times New Roman" w:hAnsi="Times New Roman"/>
                <w:sz w:val="24"/>
              </w:rPr>
              <w:t>dodatočné sekuritizačné pozície, ktoré nie sú pozíciami vymedzenými</w:t>
            </w:r>
            <w:r w:rsidR="00D85C65">
              <w:rPr>
                <w:rFonts w:ascii="Times New Roman" w:hAnsi="Times New Roman"/>
                <w:sz w:val="24"/>
              </w:rPr>
              <w:t xml:space="preserve"> v </w:t>
            </w:r>
            <w:r w:rsidRPr="00D85C65">
              <w:rPr>
                <w:rFonts w:ascii="Times New Roman" w:hAnsi="Times New Roman"/>
                <w:sz w:val="24"/>
              </w:rPr>
              <w:t>článku 242 ods. 6, 17 alebo 18 CRR.</w:t>
            </w:r>
          </w:p>
          <w:p w14:paraId="49C94C75"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2F145853" w14:textId="77777777" w:rsidTr="00E10B85">
        <w:tc>
          <w:tcPr>
            <w:tcW w:w="1101" w:type="dxa"/>
          </w:tcPr>
          <w:p w14:paraId="37626CF2"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241</w:t>
            </w:r>
          </w:p>
        </w:tc>
        <w:tc>
          <w:tcPr>
            <w:tcW w:w="7903" w:type="dxa"/>
          </w:tcPr>
          <w:p w14:paraId="55FA4273"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POČET TRANŽÍ</w:t>
            </w:r>
          </w:p>
          <w:p w14:paraId="7CD41B01"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701CDE69" w14:textId="77777777"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Počet mezanínových tranží.</w:t>
            </w:r>
          </w:p>
          <w:p w14:paraId="1E8D5576"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6EF4716" w14:textId="77777777" w:rsidTr="00E10B85">
        <w:tc>
          <w:tcPr>
            <w:tcW w:w="1101" w:type="dxa"/>
          </w:tcPr>
          <w:p w14:paraId="3A8D346E"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242</w:t>
            </w:r>
          </w:p>
        </w:tc>
        <w:tc>
          <w:tcPr>
            <w:tcW w:w="7903" w:type="dxa"/>
          </w:tcPr>
          <w:p w14:paraId="5621365A"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CQS NAJVIAC PODRIADENEJ TRANŽE</w:t>
            </w:r>
          </w:p>
          <w:p w14:paraId="532F0518"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60E5BE57" w14:textId="51460C28" w:rsid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Stupeň kreditnej kvality (CQS) najviac podriadenej mezanínovej tranže, určený</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tabuľkou 2 článku 263</w:t>
            </w:r>
            <w:r w:rsidR="00D85C65">
              <w:rPr>
                <w:rFonts w:ascii="Times New Roman" w:hAnsi="Times New Roman"/>
                <w:sz w:val="24"/>
              </w:rPr>
              <w:t xml:space="preserve"> a </w:t>
            </w:r>
            <w:r w:rsidRPr="00D85C65">
              <w:rPr>
                <w:rFonts w:ascii="Times New Roman" w:hAnsi="Times New Roman"/>
                <w:sz w:val="24"/>
              </w:rPr>
              <w:t>tabuľkou 3 článku 264 CRR</w:t>
            </w:r>
            <w:r w:rsidR="00D85C65">
              <w:rPr>
                <w:rFonts w:ascii="Times New Roman" w:hAnsi="Times New Roman"/>
                <w:sz w:val="24"/>
              </w:rPr>
              <w:t>.</w:t>
            </w:r>
          </w:p>
          <w:p w14:paraId="223C1B47" w14:textId="1C96D13C"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2C48CBA7" w14:textId="77777777" w:rsidTr="00E10B85">
        <w:tc>
          <w:tcPr>
            <w:tcW w:w="1101" w:type="dxa"/>
          </w:tcPr>
          <w:p w14:paraId="5486FE18"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250 – 252</w:t>
            </w:r>
          </w:p>
        </w:tc>
        <w:tc>
          <w:tcPr>
            <w:tcW w:w="7903" w:type="dxa"/>
          </w:tcPr>
          <w:p w14:paraId="59CEB629"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PRVEJ STRATY</w:t>
            </w:r>
          </w:p>
          <w:p w14:paraId="6A2F1BC2"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472C1508" w14:textId="77777777" w:rsidTr="00E10B85">
        <w:tc>
          <w:tcPr>
            <w:tcW w:w="1101" w:type="dxa"/>
          </w:tcPr>
          <w:p w14:paraId="7FB987E7"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250</w:t>
            </w:r>
          </w:p>
        </w:tc>
        <w:tc>
          <w:tcPr>
            <w:tcW w:w="7903" w:type="dxa"/>
          </w:tcPr>
          <w:p w14:paraId="0B9F98A4"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HODNOTA</w:t>
            </w:r>
          </w:p>
          <w:p w14:paraId="04AF7877"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5AAD1923" w14:textId="38DDEDA6"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sz w:val="24"/>
              </w:rPr>
              <w:t>Hodnota tranže prvej straty podľa vymedzenia</w:t>
            </w:r>
            <w:r w:rsidR="00D85C65">
              <w:rPr>
                <w:rFonts w:ascii="Times New Roman" w:hAnsi="Times New Roman"/>
                <w:sz w:val="24"/>
              </w:rPr>
              <w:t xml:space="preserve"> v </w:t>
            </w:r>
            <w:r w:rsidRPr="00D85C65">
              <w:rPr>
                <w:rFonts w:ascii="Times New Roman" w:hAnsi="Times New Roman"/>
                <w:sz w:val="24"/>
              </w:rPr>
              <w:t>článku 242 ods. 17 CRR.</w:t>
            </w:r>
          </w:p>
          <w:p w14:paraId="3DAA3E7D"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5503E2EE" w14:textId="77777777" w:rsidTr="00E10B85">
        <w:tc>
          <w:tcPr>
            <w:tcW w:w="1101" w:type="dxa"/>
          </w:tcPr>
          <w:p w14:paraId="012FA2A9"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251</w:t>
            </w:r>
          </w:p>
        </w:tc>
        <w:tc>
          <w:tcPr>
            <w:tcW w:w="7903" w:type="dxa"/>
          </w:tcPr>
          <w:p w14:paraId="1B7FDD34"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BOD VYRADENIA (%)</w:t>
            </w:r>
          </w:p>
          <w:p w14:paraId="1355C306"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5C2785D2" w14:textId="4DBEC623"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Bod vyradenia (%) podľa článku 256 ods. 2 CRR.</w:t>
            </w:r>
          </w:p>
          <w:p w14:paraId="7345BA2A"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105D61AE" w14:textId="77777777" w:rsidTr="00E10B85">
        <w:tc>
          <w:tcPr>
            <w:tcW w:w="1101" w:type="dxa"/>
          </w:tcPr>
          <w:p w14:paraId="1125A01A"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260 – 280</w:t>
            </w:r>
          </w:p>
        </w:tc>
        <w:tc>
          <w:tcPr>
            <w:tcW w:w="7903" w:type="dxa"/>
          </w:tcPr>
          <w:p w14:paraId="6B7BBE8A" w14:textId="77777777" w:rsidR="00235D9D" w:rsidRPr="00D85C65" w:rsidRDefault="00C55547">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PODSÚVAHOVÉ POLOŽKY A DERIVÁTY</w:t>
            </w:r>
          </w:p>
          <w:p w14:paraId="05499DB6"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7434000B" w14:textId="362725F9" w:rsidR="00235D9D" w:rsidRPr="00D85C65" w:rsidRDefault="00C55547">
            <w:pPr>
              <w:autoSpaceDE w:val="0"/>
              <w:autoSpaceDN w:val="0"/>
              <w:adjustRightInd w:val="0"/>
              <w:spacing w:before="0" w:after="0"/>
              <w:jc w:val="left"/>
              <w:rPr>
                <w:rFonts w:ascii="Times New Roman" w:hAnsi="Times New Roman"/>
                <w:sz w:val="24"/>
              </w:rPr>
            </w:pPr>
            <w:r w:rsidRPr="00D85C65">
              <w:rPr>
                <w:rFonts w:ascii="Times New Roman" w:hAnsi="Times New Roman"/>
                <w:sz w:val="24"/>
              </w:rPr>
              <w:t>V tomto bloku stĺpcov sa vykazujú informácie</w:t>
            </w:r>
            <w:r w:rsidR="00D85C65">
              <w:rPr>
                <w:rFonts w:ascii="Times New Roman" w:hAnsi="Times New Roman"/>
                <w:sz w:val="24"/>
              </w:rPr>
              <w:t xml:space="preserve"> o </w:t>
            </w:r>
            <w:r w:rsidRPr="00D85C65">
              <w:rPr>
                <w:rFonts w:ascii="Times New Roman" w:hAnsi="Times New Roman"/>
                <w:sz w:val="24"/>
              </w:rPr>
              <w:t>podsúvahových položkách</w:t>
            </w:r>
            <w:r w:rsidR="00D85C65">
              <w:rPr>
                <w:rFonts w:ascii="Times New Roman" w:hAnsi="Times New Roman"/>
                <w:sz w:val="24"/>
              </w:rPr>
              <w:t xml:space="preserve"> a </w:t>
            </w:r>
            <w:r w:rsidRPr="00D85C65">
              <w:rPr>
                <w:rFonts w:ascii="Times New Roman" w:hAnsi="Times New Roman"/>
                <w:sz w:val="24"/>
              </w:rPr>
              <w:t>derivátoch rozčlenené podľa tranží (nadriadené/mezanínové/prvá strata).</w:t>
            </w:r>
          </w:p>
          <w:p w14:paraId="09F2974B"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Na klasifikáciu tranží sa používajú rovnaké kritériá ako na klasifikáciu súvahových položiek.</w:t>
            </w:r>
          </w:p>
          <w:p w14:paraId="3AA2BDF0"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673943D6" w14:textId="77777777" w:rsidTr="00E10B85">
        <w:tc>
          <w:tcPr>
            <w:tcW w:w="1101" w:type="dxa"/>
            <w:shd w:val="clear" w:color="auto" w:fill="auto"/>
          </w:tcPr>
          <w:p w14:paraId="6978FA3E"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290 – 300</w:t>
            </w:r>
          </w:p>
        </w:tc>
        <w:tc>
          <w:tcPr>
            <w:tcW w:w="7903" w:type="dxa"/>
            <w:shd w:val="clear" w:color="auto" w:fill="auto"/>
          </w:tcPr>
          <w:p w14:paraId="612518E7"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SPLATNOSŤ</w:t>
            </w:r>
          </w:p>
        </w:tc>
      </w:tr>
      <w:tr w:rsidR="00235D9D" w:rsidRPr="00D85C65" w14:paraId="6AA63705" w14:textId="77777777" w:rsidTr="00E10B85">
        <w:tc>
          <w:tcPr>
            <w:tcW w:w="1101" w:type="dxa"/>
            <w:shd w:val="clear" w:color="auto" w:fill="auto"/>
          </w:tcPr>
          <w:p w14:paraId="1AEC547E" w14:textId="77777777" w:rsidR="00235D9D" w:rsidRPr="00D85C65" w:rsidDel="00304CB1"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290</w:t>
            </w:r>
          </w:p>
        </w:tc>
        <w:tc>
          <w:tcPr>
            <w:tcW w:w="7903" w:type="dxa"/>
            <w:shd w:val="clear" w:color="auto" w:fill="auto"/>
          </w:tcPr>
          <w:p w14:paraId="777220E4"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PRVÝ PREDPOKLADANÝ DÁTUM UKONČENIA</w:t>
            </w:r>
          </w:p>
          <w:p w14:paraId="7064B0BA" w14:textId="77777777" w:rsidR="00235D9D" w:rsidRPr="00D85C65" w:rsidRDefault="00235D9D">
            <w:pPr>
              <w:spacing w:before="0" w:after="0"/>
              <w:jc w:val="left"/>
              <w:rPr>
                <w:rFonts w:ascii="Times New Roman" w:hAnsi="Times New Roman"/>
                <w:b/>
                <w:sz w:val="24"/>
                <w:u w:val="single"/>
              </w:rPr>
            </w:pPr>
          </w:p>
          <w:p w14:paraId="53268EFF" w14:textId="714A8A6E" w:rsidR="00D85C65" w:rsidRDefault="00C55547">
            <w:pPr>
              <w:spacing w:before="0" w:after="0"/>
              <w:jc w:val="left"/>
              <w:rPr>
                <w:rFonts w:ascii="Times New Roman" w:hAnsi="Times New Roman"/>
                <w:sz w:val="24"/>
              </w:rPr>
            </w:pPr>
            <w:r w:rsidRPr="00D85C65">
              <w:rPr>
                <w:rFonts w:ascii="Times New Roman" w:hAnsi="Times New Roman"/>
                <w:sz w:val="24"/>
              </w:rPr>
              <w:t>Pravdepodobný dátum ukončenia celej sekuritizácie so zreteľom na jej zmluvné ustanovenia</w:t>
            </w:r>
            <w:r w:rsidR="00D85C65">
              <w:rPr>
                <w:rFonts w:ascii="Times New Roman" w:hAnsi="Times New Roman"/>
                <w:sz w:val="24"/>
              </w:rPr>
              <w:t xml:space="preserve"> a </w:t>
            </w:r>
            <w:r w:rsidRPr="00D85C65">
              <w:rPr>
                <w:rFonts w:ascii="Times New Roman" w:hAnsi="Times New Roman"/>
                <w:sz w:val="24"/>
              </w:rPr>
              <w:t>momentálne očakávané finančné podmienky. Vo všeobecnosti by to mal byť najskorší</w:t>
            </w:r>
            <w:r w:rsidR="00D85C65">
              <w:rPr>
                <w:rFonts w:ascii="Times New Roman" w:hAnsi="Times New Roman"/>
                <w:sz w:val="24"/>
              </w:rPr>
              <w:t xml:space="preserve"> z </w:t>
            </w:r>
            <w:r w:rsidRPr="00D85C65">
              <w:rPr>
                <w:rFonts w:ascii="Times New Roman" w:hAnsi="Times New Roman"/>
                <w:sz w:val="24"/>
              </w:rPr>
              <w:t>týchto dátumov</w:t>
            </w:r>
            <w:r w:rsidR="00D85C65">
              <w:rPr>
                <w:rFonts w:ascii="Times New Roman" w:hAnsi="Times New Roman"/>
                <w:sz w:val="24"/>
              </w:rPr>
              <w:t>:</w:t>
            </w:r>
          </w:p>
          <w:p w14:paraId="6F49AE9B" w14:textId="4B749936" w:rsidR="00235D9D" w:rsidRPr="00D85C65" w:rsidRDefault="00235D9D">
            <w:pPr>
              <w:spacing w:before="0" w:after="0"/>
              <w:jc w:val="left"/>
              <w:rPr>
                <w:rFonts w:ascii="Times New Roman" w:hAnsi="Times New Roman"/>
                <w:sz w:val="24"/>
              </w:rPr>
            </w:pPr>
          </w:p>
          <w:p w14:paraId="78BC5B74" w14:textId="44BF386B" w:rsidR="00235D9D" w:rsidRPr="00D85C65" w:rsidRDefault="00C55547">
            <w:pPr>
              <w:spacing w:before="0" w:after="0"/>
              <w:jc w:val="left"/>
              <w:rPr>
                <w:rFonts w:ascii="Times New Roman" w:hAnsi="Times New Roman"/>
                <w:sz w:val="24"/>
              </w:rPr>
            </w:pPr>
            <w:r w:rsidRPr="00D85C65">
              <w:rPr>
                <w:rFonts w:ascii="Times New Roman" w:hAnsi="Times New Roman"/>
                <w:sz w:val="24"/>
              </w:rPr>
              <w:t>i)</w:t>
            </w:r>
            <w:r w:rsidRPr="00D85C65">
              <w:rPr>
                <w:rFonts w:ascii="Times New Roman" w:hAnsi="Times New Roman"/>
                <w:sz w:val="24"/>
              </w:rPr>
              <w:tab/>
              <w:t>dátum, kedy sa prvýkrát môže uplatniť kúpna clean-up opcia (vymedzená</w:t>
            </w:r>
            <w:r w:rsidR="00D85C65">
              <w:rPr>
                <w:rFonts w:ascii="Times New Roman" w:hAnsi="Times New Roman"/>
                <w:sz w:val="24"/>
              </w:rPr>
              <w:t xml:space="preserve"> v </w:t>
            </w:r>
            <w:r w:rsidRPr="00D85C65">
              <w:rPr>
                <w:rFonts w:ascii="Times New Roman" w:hAnsi="Times New Roman"/>
                <w:sz w:val="24"/>
              </w:rPr>
              <w:t>článku 242 ods. 1 CRR) so zohľadnením splatnosti podkladových expozícií</w:t>
            </w:r>
            <w:r w:rsidR="00D85C65">
              <w:rPr>
                <w:rFonts w:ascii="Times New Roman" w:hAnsi="Times New Roman"/>
                <w:sz w:val="24"/>
              </w:rPr>
              <w:t xml:space="preserve"> a </w:t>
            </w:r>
            <w:r w:rsidRPr="00D85C65">
              <w:rPr>
                <w:rFonts w:ascii="Times New Roman" w:hAnsi="Times New Roman"/>
                <w:sz w:val="24"/>
              </w:rPr>
              <w:t>ich miery predbežných platieb alebo možných nových rokovaní;</w:t>
            </w:r>
          </w:p>
          <w:p w14:paraId="6D0D67C0" w14:textId="77777777" w:rsidR="00235D9D" w:rsidRPr="00D85C65" w:rsidRDefault="00235D9D">
            <w:pPr>
              <w:spacing w:before="0" w:after="0"/>
              <w:jc w:val="left"/>
              <w:rPr>
                <w:rFonts w:ascii="Times New Roman" w:hAnsi="Times New Roman"/>
                <w:sz w:val="24"/>
              </w:rPr>
            </w:pPr>
          </w:p>
          <w:p w14:paraId="36521F45" w14:textId="58CAEBCD" w:rsidR="00235D9D" w:rsidRPr="00D85C65" w:rsidRDefault="00C55547">
            <w:pPr>
              <w:spacing w:before="0" w:after="0"/>
              <w:jc w:val="left"/>
              <w:rPr>
                <w:rFonts w:ascii="Times New Roman" w:hAnsi="Times New Roman"/>
                <w:sz w:val="24"/>
              </w:rPr>
            </w:pPr>
            <w:r w:rsidRPr="00D85C65">
              <w:rPr>
                <w:rFonts w:ascii="Times New Roman" w:hAnsi="Times New Roman"/>
                <w:sz w:val="24"/>
              </w:rPr>
              <w:t>ii)</w:t>
            </w:r>
            <w:r w:rsidRPr="00D85C65">
              <w:rPr>
                <w:rFonts w:ascii="Times New Roman" w:hAnsi="Times New Roman"/>
                <w:sz w:val="24"/>
              </w:rPr>
              <w:tab/>
              <w:t>dátum, kedy originátor môže prvýkrát uplatniť akúkoľvek kúpnu opciu zahrnutú</w:t>
            </w:r>
            <w:r w:rsidR="00D85C65">
              <w:rPr>
                <w:rFonts w:ascii="Times New Roman" w:hAnsi="Times New Roman"/>
                <w:sz w:val="24"/>
              </w:rPr>
              <w:t xml:space="preserve"> v </w:t>
            </w:r>
            <w:r w:rsidRPr="00D85C65">
              <w:rPr>
                <w:rFonts w:ascii="Times New Roman" w:hAnsi="Times New Roman"/>
                <w:sz w:val="24"/>
              </w:rPr>
              <w:t>zmluvných ustanoveniach sekuritizácie, čo by viedlo</w:t>
            </w:r>
            <w:r w:rsidR="00D85C65">
              <w:rPr>
                <w:rFonts w:ascii="Times New Roman" w:hAnsi="Times New Roman"/>
                <w:sz w:val="24"/>
              </w:rPr>
              <w:t xml:space="preserve"> k </w:t>
            </w:r>
            <w:r w:rsidRPr="00D85C65">
              <w:rPr>
                <w:rFonts w:ascii="Times New Roman" w:hAnsi="Times New Roman"/>
                <w:sz w:val="24"/>
              </w:rPr>
              <w:t>úplnému splateniu sekuritizácie.</w:t>
            </w:r>
          </w:p>
          <w:p w14:paraId="078670E9" w14:textId="77777777" w:rsidR="00235D9D" w:rsidRPr="00D85C65" w:rsidRDefault="00235D9D">
            <w:pPr>
              <w:spacing w:before="0" w:after="0"/>
              <w:jc w:val="left"/>
              <w:rPr>
                <w:rFonts w:ascii="Times New Roman" w:hAnsi="Times New Roman"/>
                <w:sz w:val="24"/>
              </w:rPr>
            </w:pPr>
          </w:p>
          <w:p w14:paraId="4BA66220" w14:textId="2D1D44BF"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Vykazuje sa deň, mesiac</w:t>
            </w:r>
            <w:r w:rsidR="00D85C65">
              <w:rPr>
                <w:rFonts w:ascii="Times New Roman" w:hAnsi="Times New Roman"/>
                <w:sz w:val="24"/>
              </w:rPr>
              <w:t xml:space="preserve"> a </w:t>
            </w:r>
            <w:r w:rsidRPr="00D85C65">
              <w:rPr>
                <w:rFonts w:ascii="Times New Roman" w:hAnsi="Times New Roman"/>
                <w:sz w:val="24"/>
              </w:rPr>
              <w:t>rok prvého predpokladaného dátumu ukončenia. Presný deň sa vykazuje vtedy, keď je táto informácia dostupná, inak sa vykazuje prvý deň</w:t>
            </w:r>
            <w:r w:rsidR="00D85C65">
              <w:rPr>
                <w:rFonts w:ascii="Times New Roman" w:hAnsi="Times New Roman"/>
                <w:sz w:val="24"/>
              </w:rPr>
              <w:t xml:space="preserve"> v </w:t>
            </w:r>
            <w:r w:rsidRPr="00D85C65">
              <w:rPr>
                <w:rFonts w:ascii="Times New Roman" w:hAnsi="Times New Roman"/>
                <w:sz w:val="24"/>
              </w:rPr>
              <w:t>mesiaci.</w:t>
            </w:r>
          </w:p>
          <w:p w14:paraId="490F4A67" w14:textId="77777777" w:rsidR="00235D9D" w:rsidRPr="00D85C65" w:rsidRDefault="00235D9D">
            <w:pPr>
              <w:spacing w:before="0" w:after="0"/>
              <w:jc w:val="left"/>
              <w:rPr>
                <w:rFonts w:ascii="Times New Roman" w:hAnsi="Times New Roman"/>
                <w:sz w:val="24"/>
              </w:rPr>
            </w:pPr>
          </w:p>
        </w:tc>
      </w:tr>
      <w:tr w:rsidR="00235D9D" w:rsidRPr="00D85C65" w14:paraId="24FD7BB3" w14:textId="77777777" w:rsidTr="00E10B85">
        <w:tc>
          <w:tcPr>
            <w:tcW w:w="1101" w:type="dxa"/>
            <w:shd w:val="clear" w:color="auto" w:fill="auto"/>
          </w:tcPr>
          <w:p w14:paraId="0599A059"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bCs/>
                <w:sz w:val="24"/>
              </w:rPr>
              <w:lastRenderedPageBreak/>
              <w:t>291</w:t>
            </w:r>
          </w:p>
        </w:tc>
        <w:tc>
          <w:tcPr>
            <w:tcW w:w="7903" w:type="dxa"/>
            <w:shd w:val="clear" w:color="auto" w:fill="auto"/>
          </w:tcPr>
          <w:p w14:paraId="71A92E87"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KÚPNE OPCIE ORIGINÁTORA ZAHRNUTÉ DO TRANSAKCIE</w:t>
            </w:r>
          </w:p>
          <w:p w14:paraId="026AD3BA" w14:textId="77777777" w:rsidR="00235D9D" w:rsidRPr="00D85C65" w:rsidRDefault="00235D9D">
            <w:pPr>
              <w:spacing w:before="0" w:after="0"/>
              <w:jc w:val="left"/>
              <w:rPr>
                <w:rFonts w:ascii="Times New Roman" w:hAnsi="Times New Roman"/>
                <w:b/>
                <w:sz w:val="24"/>
                <w:u w:val="single"/>
              </w:rPr>
            </w:pPr>
          </w:p>
          <w:p w14:paraId="57494296" w14:textId="149BA8DC" w:rsidR="00235D9D" w:rsidRPr="00D85C65" w:rsidRDefault="00C55547">
            <w:pPr>
              <w:spacing w:before="0" w:after="0"/>
              <w:jc w:val="left"/>
              <w:rPr>
                <w:rFonts w:ascii="Times New Roman" w:hAnsi="Times New Roman"/>
                <w:sz w:val="24"/>
              </w:rPr>
            </w:pPr>
            <w:r w:rsidRPr="00D85C65">
              <w:rPr>
                <w:rFonts w:ascii="Times New Roman" w:hAnsi="Times New Roman"/>
                <w:sz w:val="24"/>
              </w:rPr>
              <w:t>Typ kúpnej opcie relevantný pre prvý očakávaný dátum ukončenia:</w:t>
            </w:r>
          </w:p>
          <w:p w14:paraId="308C614B" w14:textId="32A9BFE9" w:rsidR="00235D9D" w:rsidRPr="00D85C65" w:rsidRDefault="00C55547">
            <w:pPr>
              <w:pStyle w:val="ListParagraph"/>
              <w:numPr>
                <w:ilvl w:val="0"/>
                <w:numId w:val="29"/>
              </w:numPr>
              <w:spacing w:before="0" w:after="0"/>
              <w:jc w:val="left"/>
              <w:rPr>
                <w:rFonts w:ascii="Times New Roman" w:hAnsi="Times New Roman"/>
                <w:sz w:val="24"/>
              </w:rPr>
            </w:pPr>
            <w:r w:rsidRPr="00D85C65">
              <w:rPr>
                <w:rFonts w:ascii="Times New Roman" w:hAnsi="Times New Roman"/>
                <w:sz w:val="24"/>
              </w:rPr>
              <w:t>kúpna clean-up opcia spĺňajúca požiadavky článku 244 ods. 4 písm. g) CRR;</w:t>
            </w:r>
          </w:p>
          <w:p w14:paraId="147D3AD6" w14:textId="77777777" w:rsidR="00235D9D" w:rsidRPr="00D85C65" w:rsidRDefault="00C55547">
            <w:pPr>
              <w:pStyle w:val="ListParagraph"/>
              <w:numPr>
                <w:ilvl w:val="0"/>
                <w:numId w:val="29"/>
              </w:numPr>
              <w:spacing w:before="0" w:after="0"/>
              <w:jc w:val="left"/>
              <w:rPr>
                <w:rFonts w:ascii="Times New Roman" w:hAnsi="Times New Roman"/>
                <w:sz w:val="24"/>
              </w:rPr>
            </w:pPr>
            <w:r w:rsidRPr="00D85C65">
              <w:rPr>
                <w:rFonts w:ascii="Times New Roman" w:hAnsi="Times New Roman"/>
                <w:sz w:val="24"/>
              </w:rPr>
              <w:t>iná kúpna clean-up opcia;</w:t>
            </w:r>
          </w:p>
          <w:p w14:paraId="2346ED40" w14:textId="35342C21" w:rsidR="00235D9D" w:rsidRPr="00D85C65" w:rsidRDefault="00C55547">
            <w:pPr>
              <w:pStyle w:val="ListParagraph"/>
              <w:numPr>
                <w:ilvl w:val="0"/>
                <w:numId w:val="29"/>
              </w:numPr>
              <w:spacing w:before="0" w:after="0"/>
              <w:jc w:val="left"/>
              <w:rPr>
                <w:rFonts w:ascii="Times New Roman" w:hAnsi="Times New Roman"/>
                <w:sz w:val="24"/>
              </w:rPr>
            </w:pPr>
            <w:r w:rsidRPr="00D85C65">
              <w:rPr>
                <w:rFonts w:ascii="Times New Roman" w:hAnsi="Times New Roman"/>
                <w:sz w:val="24"/>
              </w:rPr>
              <w:t>iný typ kúpnej opcie.</w:t>
            </w:r>
          </w:p>
          <w:p w14:paraId="73086AFE" w14:textId="77777777" w:rsidR="00235D9D" w:rsidRPr="00D85C65" w:rsidRDefault="00235D9D">
            <w:pPr>
              <w:spacing w:before="0" w:after="0"/>
              <w:jc w:val="left"/>
              <w:rPr>
                <w:rFonts w:ascii="Times New Roman" w:hAnsi="Times New Roman"/>
                <w:b/>
                <w:sz w:val="24"/>
                <w:u w:val="single"/>
              </w:rPr>
            </w:pPr>
          </w:p>
        </w:tc>
      </w:tr>
      <w:tr w:rsidR="00235D9D" w:rsidRPr="00D85C65" w14:paraId="228A076D" w14:textId="77777777" w:rsidTr="00E10B85">
        <w:tc>
          <w:tcPr>
            <w:tcW w:w="1101" w:type="dxa"/>
            <w:shd w:val="clear" w:color="auto" w:fill="auto"/>
          </w:tcPr>
          <w:p w14:paraId="2B7F4B62" w14:textId="77777777" w:rsidR="00235D9D" w:rsidRPr="00D85C65" w:rsidDel="00304CB1"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300</w:t>
            </w:r>
          </w:p>
        </w:tc>
        <w:tc>
          <w:tcPr>
            <w:tcW w:w="7903" w:type="dxa"/>
            <w:shd w:val="clear" w:color="auto" w:fill="auto"/>
          </w:tcPr>
          <w:p w14:paraId="4D7BC1C5"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PRÁVNY KONEČNÝ DÁTUM SPLATNOSTI</w:t>
            </w:r>
          </w:p>
          <w:p w14:paraId="1FC5943C" w14:textId="77777777" w:rsidR="00235D9D" w:rsidRPr="00D85C65" w:rsidRDefault="00235D9D">
            <w:pPr>
              <w:spacing w:before="0" w:after="0"/>
              <w:jc w:val="left"/>
              <w:rPr>
                <w:rFonts w:ascii="Times New Roman" w:hAnsi="Times New Roman"/>
                <w:b/>
                <w:sz w:val="24"/>
                <w:u w:val="single"/>
              </w:rPr>
            </w:pPr>
          </w:p>
          <w:p w14:paraId="79D48A53" w14:textId="6325A8EE" w:rsidR="00235D9D" w:rsidRPr="00D85C65" w:rsidRDefault="00C55547">
            <w:pPr>
              <w:spacing w:before="0" w:after="0"/>
              <w:jc w:val="left"/>
              <w:rPr>
                <w:rFonts w:ascii="Times New Roman" w:hAnsi="Times New Roman"/>
                <w:sz w:val="24"/>
              </w:rPr>
            </w:pPr>
            <w:r w:rsidRPr="00D85C65">
              <w:rPr>
                <w:rFonts w:ascii="Times New Roman" w:hAnsi="Times New Roman"/>
                <w:sz w:val="24"/>
              </w:rPr>
              <w:t>Dátum, kedy sa musí</w:t>
            </w:r>
            <w:r w:rsidR="00D85C65">
              <w:rPr>
                <w:rFonts w:ascii="Times New Roman" w:hAnsi="Times New Roman"/>
                <w:sz w:val="24"/>
              </w:rPr>
              <w:t xml:space="preserve"> z </w:t>
            </w:r>
            <w:r w:rsidRPr="00D85C65">
              <w:rPr>
                <w:rFonts w:ascii="Times New Roman" w:hAnsi="Times New Roman"/>
                <w:sz w:val="24"/>
              </w:rPr>
              <w:t>právneho hľadiska (na základe obchodnej dokumentácie) splatiť istina</w:t>
            </w:r>
            <w:r w:rsidR="00D85C65">
              <w:rPr>
                <w:rFonts w:ascii="Times New Roman" w:hAnsi="Times New Roman"/>
                <w:sz w:val="24"/>
              </w:rPr>
              <w:t xml:space="preserve"> a </w:t>
            </w:r>
            <w:r w:rsidRPr="00D85C65">
              <w:rPr>
                <w:rFonts w:ascii="Times New Roman" w:hAnsi="Times New Roman"/>
                <w:sz w:val="24"/>
              </w:rPr>
              <w:t>úroky sekuritizácie.</w:t>
            </w:r>
          </w:p>
          <w:p w14:paraId="69CB8BC2" w14:textId="77777777" w:rsidR="00235D9D" w:rsidRPr="00D85C65" w:rsidRDefault="00235D9D">
            <w:pPr>
              <w:spacing w:before="0" w:after="0"/>
              <w:jc w:val="left"/>
              <w:rPr>
                <w:rFonts w:ascii="Times New Roman" w:hAnsi="Times New Roman"/>
                <w:sz w:val="24"/>
              </w:rPr>
            </w:pPr>
          </w:p>
          <w:p w14:paraId="40BD8A30" w14:textId="3258790D"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Vykazuje sa deň, mesiac</w:t>
            </w:r>
            <w:r w:rsidR="00D85C65">
              <w:rPr>
                <w:rFonts w:ascii="Times New Roman" w:hAnsi="Times New Roman"/>
                <w:sz w:val="24"/>
              </w:rPr>
              <w:t xml:space="preserve"> a </w:t>
            </w:r>
            <w:r w:rsidRPr="00D85C65">
              <w:rPr>
                <w:rFonts w:ascii="Times New Roman" w:hAnsi="Times New Roman"/>
                <w:sz w:val="24"/>
              </w:rPr>
              <w:t>rok právneho konečného dátumu splatnosti. Presný deň sa vykazuje vtedy, keď je táto informácia dostupná, inak sa vykazuje prvý deň</w:t>
            </w:r>
            <w:r w:rsidR="00D85C65">
              <w:rPr>
                <w:rFonts w:ascii="Times New Roman" w:hAnsi="Times New Roman"/>
                <w:sz w:val="24"/>
              </w:rPr>
              <w:t xml:space="preserve"> v </w:t>
            </w:r>
            <w:r w:rsidRPr="00D85C65">
              <w:rPr>
                <w:rFonts w:ascii="Times New Roman" w:hAnsi="Times New Roman"/>
                <w:sz w:val="24"/>
              </w:rPr>
              <w:t>mesiaci.</w:t>
            </w:r>
          </w:p>
          <w:p w14:paraId="426B1ED1" w14:textId="77777777" w:rsidR="00235D9D" w:rsidRPr="00D85C65" w:rsidRDefault="00235D9D">
            <w:pPr>
              <w:spacing w:before="0" w:after="0"/>
              <w:jc w:val="left"/>
              <w:rPr>
                <w:rFonts w:ascii="Times New Roman" w:hAnsi="Times New Roman"/>
                <w:sz w:val="24"/>
              </w:rPr>
            </w:pPr>
          </w:p>
        </w:tc>
      </w:tr>
      <w:tr w:rsidR="00235D9D" w:rsidRPr="00D85C65" w14:paraId="6E297872" w14:textId="77777777" w:rsidTr="00E10B85">
        <w:tc>
          <w:tcPr>
            <w:tcW w:w="1101" w:type="dxa"/>
            <w:shd w:val="clear" w:color="auto" w:fill="auto"/>
          </w:tcPr>
          <w:p w14:paraId="244BAFB9" w14:textId="77777777"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302 – 304</w:t>
            </w:r>
          </w:p>
        </w:tc>
        <w:tc>
          <w:tcPr>
            <w:tcW w:w="7903" w:type="dxa"/>
            <w:shd w:val="clear" w:color="auto" w:fill="auto"/>
          </w:tcPr>
          <w:p w14:paraId="06A11EDB"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 xml:space="preserve">DOPLŇUJÚCE POLOŽKY </w:t>
            </w:r>
          </w:p>
        </w:tc>
      </w:tr>
      <w:tr w:rsidR="00235D9D" w:rsidRPr="00D85C65" w14:paraId="72A5FF23" w14:textId="77777777" w:rsidTr="00E10B85">
        <w:tc>
          <w:tcPr>
            <w:tcW w:w="1101" w:type="dxa"/>
            <w:shd w:val="clear" w:color="auto" w:fill="auto"/>
          </w:tcPr>
          <w:p w14:paraId="47FE92CB"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bCs/>
                <w:sz w:val="24"/>
              </w:rPr>
              <w:t>302</w:t>
            </w:r>
          </w:p>
        </w:tc>
        <w:tc>
          <w:tcPr>
            <w:tcW w:w="7903" w:type="dxa"/>
            <w:shd w:val="clear" w:color="auto" w:fill="auto"/>
          </w:tcPr>
          <w:p w14:paraId="0C524673"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BOD PRIRADENIA PREDANÉHO RIZIKA (%)</w:t>
            </w:r>
          </w:p>
          <w:p w14:paraId="4B654EF1" w14:textId="77777777" w:rsidR="00235D9D" w:rsidRPr="00D85C65" w:rsidRDefault="00235D9D">
            <w:pPr>
              <w:spacing w:before="0" w:after="0"/>
              <w:jc w:val="left"/>
              <w:rPr>
                <w:rFonts w:ascii="Times New Roman" w:hAnsi="Times New Roman"/>
                <w:b/>
                <w:sz w:val="24"/>
                <w:u w:val="single"/>
              </w:rPr>
            </w:pPr>
          </w:p>
          <w:p w14:paraId="089250FD" w14:textId="60722CEE" w:rsidR="00235D9D" w:rsidRPr="00D85C65" w:rsidRDefault="00C55547">
            <w:pPr>
              <w:spacing w:before="0" w:after="0"/>
              <w:jc w:val="left"/>
              <w:rPr>
                <w:rFonts w:ascii="Times New Roman" w:hAnsi="Times New Roman"/>
                <w:b/>
                <w:sz w:val="24"/>
                <w:u w:val="single"/>
              </w:rPr>
            </w:pPr>
            <w:r w:rsidRPr="00D85C65">
              <w:rPr>
                <w:rFonts w:ascii="Times New Roman" w:hAnsi="Times New Roman"/>
                <w:sz w:val="24"/>
              </w:rPr>
              <w:t>Bod priradenia najviac podriadenej tranže predanej tretím stranám pri tradičných sekuritizáciách alebo chránenej tretími stranami pri syntetických sekuritizáciách vykazujú len originátori.</w:t>
            </w:r>
          </w:p>
          <w:p w14:paraId="7039C0CA" w14:textId="77777777" w:rsidR="00235D9D" w:rsidRPr="00D85C65" w:rsidRDefault="00235D9D">
            <w:pPr>
              <w:spacing w:before="0" w:after="0"/>
              <w:jc w:val="left"/>
              <w:rPr>
                <w:rFonts w:ascii="Times New Roman" w:hAnsi="Times New Roman"/>
                <w:b/>
                <w:sz w:val="24"/>
                <w:u w:val="single"/>
              </w:rPr>
            </w:pPr>
          </w:p>
        </w:tc>
      </w:tr>
      <w:tr w:rsidR="00235D9D" w:rsidRPr="00D85C65" w14:paraId="279000E3" w14:textId="77777777" w:rsidTr="00E10B85">
        <w:tc>
          <w:tcPr>
            <w:tcW w:w="1101" w:type="dxa"/>
            <w:shd w:val="clear" w:color="auto" w:fill="auto"/>
          </w:tcPr>
          <w:p w14:paraId="6539E85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bCs/>
                <w:sz w:val="24"/>
              </w:rPr>
              <w:t>303</w:t>
            </w:r>
          </w:p>
        </w:tc>
        <w:tc>
          <w:tcPr>
            <w:tcW w:w="7903" w:type="dxa"/>
            <w:shd w:val="clear" w:color="auto" w:fill="auto"/>
          </w:tcPr>
          <w:p w14:paraId="7993FAFE"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BOD VYRADENIA PREDANÉHO RIZIKA (%)</w:t>
            </w:r>
          </w:p>
          <w:p w14:paraId="3D10DFDB" w14:textId="77777777" w:rsidR="00235D9D" w:rsidRPr="00D85C65" w:rsidRDefault="00235D9D">
            <w:pPr>
              <w:spacing w:before="0" w:after="0"/>
              <w:jc w:val="left"/>
              <w:rPr>
                <w:rFonts w:ascii="Times New Roman" w:hAnsi="Times New Roman"/>
                <w:b/>
                <w:sz w:val="24"/>
                <w:u w:val="single"/>
              </w:rPr>
            </w:pPr>
          </w:p>
          <w:p w14:paraId="4B689885" w14:textId="3A96C1B3" w:rsidR="00235D9D" w:rsidRPr="00D85C65" w:rsidRDefault="00C55547">
            <w:pPr>
              <w:spacing w:before="0" w:after="0"/>
              <w:jc w:val="left"/>
              <w:rPr>
                <w:rFonts w:ascii="Times New Roman" w:hAnsi="Times New Roman"/>
                <w:sz w:val="24"/>
              </w:rPr>
            </w:pPr>
            <w:r w:rsidRPr="00D85C65">
              <w:rPr>
                <w:rFonts w:ascii="Times New Roman" w:hAnsi="Times New Roman"/>
                <w:sz w:val="24"/>
              </w:rPr>
              <w:t>Bod vyradenia najviac nadriadenej tranže predanej tretím stranám pri tradičných sekuritizáciách alebo chránenej tretími stranami pri syntetických sekuritizáciách vykazujú len originátori.</w:t>
            </w:r>
          </w:p>
          <w:p w14:paraId="06AFF67E" w14:textId="77777777" w:rsidR="00235D9D" w:rsidRPr="00D85C65" w:rsidRDefault="00235D9D">
            <w:pPr>
              <w:spacing w:before="0" w:after="0"/>
              <w:jc w:val="left"/>
              <w:rPr>
                <w:rFonts w:ascii="Times New Roman" w:hAnsi="Times New Roman"/>
                <w:b/>
                <w:sz w:val="24"/>
                <w:u w:val="single"/>
              </w:rPr>
            </w:pPr>
          </w:p>
        </w:tc>
      </w:tr>
      <w:tr w:rsidR="00235D9D" w:rsidRPr="00D85C65" w14:paraId="5F86659B" w14:textId="77777777" w:rsidTr="00E10B85">
        <w:tc>
          <w:tcPr>
            <w:tcW w:w="1101" w:type="dxa"/>
            <w:shd w:val="clear" w:color="auto" w:fill="auto"/>
          </w:tcPr>
          <w:p w14:paraId="5A7ED862"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bCs/>
                <w:sz w:val="24"/>
              </w:rPr>
              <w:t>304</w:t>
            </w:r>
          </w:p>
        </w:tc>
        <w:tc>
          <w:tcPr>
            <w:tcW w:w="7903" w:type="dxa"/>
            <w:shd w:val="clear" w:color="auto" w:fill="auto"/>
          </w:tcPr>
          <w:p w14:paraId="4F401239" w14:textId="77777777" w:rsidR="00235D9D" w:rsidRPr="00D85C65" w:rsidRDefault="00C55547">
            <w:pPr>
              <w:spacing w:before="0" w:after="0"/>
              <w:jc w:val="left"/>
              <w:rPr>
                <w:rFonts w:ascii="Times New Roman" w:hAnsi="Times New Roman"/>
                <w:b/>
                <w:sz w:val="24"/>
                <w:u w:val="single"/>
              </w:rPr>
            </w:pPr>
            <w:r w:rsidRPr="00D85C65">
              <w:rPr>
                <w:rFonts w:ascii="Times New Roman" w:hAnsi="Times New Roman"/>
                <w:b/>
                <w:sz w:val="24"/>
                <w:u w:val="single"/>
              </w:rPr>
              <w:t>PRESUN RIZIKA, NA KTORÝ SI ROBÍ NÁROK INŠTITÚCIA, KTORÁ JE ORIGINÁTOROM (%)</w:t>
            </w:r>
          </w:p>
          <w:p w14:paraId="680800C0" w14:textId="77777777" w:rsidR="00235D9D" w:rsidRPr="00D85C65" w:rsidRDefault="00235D9D">
            <w:pPr>
              <w:spacing w:before="0" w:after="0"/>
              <w:jc w:val="left"/>
              <w:rPr>
                <w:rFonts w:ascii="Times New Roman" w:hAnsi="Times New Roman"/>
                <w:b/>
                <w:sz w:val="24"/>
                <w:u w:val="single"/>
              </w:rPr>
            </w:pPr>
          </w:p>
          <w:p w14:paraId="41EA890A" w14:textId="7B506180" w:rsidR="00D85C65" w:rsidRDefault="00C55547">
            <w:pPr>
              <w:spacing w:before="0" w:after="0"/>
              <w:jc w:val="left"/>
              <w:rPr>
                <w:rFonts w:ascii="Times New Roman" w:hAnsi="Times New Roman"/>
                <w:sz w:val="24"/>
              </w:rPr>
            </w:pPr>
            <w:r w:rsidRPr="00D85C65">
              <w:rPr>
                <w:rFonts w:ascii="Times New Roman" w:hAnsi="Times New Roman"/>
                <w:sz w:val="24"/>
              </w:rPr>
              <w:t>Očakávanú stratu (EL) plus neočakávanú stratu (UL) týkajúcu sa sekuritizovaných aktív presunutých na tretie strany vykazujú ako percentuálny podiel na celkových EL plus UL len originátori. EL</w:t>
            </w:r>
            <w:r w:rsidR="00D85C65">
              <w:rPr>
                <w:rFonts w:ascii="Times New Roman" w:hAnsi="Times New Roman"/>
                <w:sz w:val="24"/>
              </w:rPr>
              <w:t xml:space="preserve"> a </w:t>
            </w:r>
            <w:r w:rsidRPr="00D85C65">
              <w:rPr>
                <w:rFonts w:ascii="Times New Roman" w:hAnsi="Times New Roman"/>
                <w:sz w:val="24"/>
              </w:rPr>
              <w:t>UL podkladových expozícií sa vykážu</w:t>
            </w:r>
            <w:r w:rsidR="00D85C65">
              <w:rPr>
                <w:rFonts w:ascii="Times New Roman" w:hAnsi="Times New Roman"/>
                <w:sz w:val="24"/>
              </w:rPr>
              <w:t xml:space="preserve"> a </w:t>
            </w:r>
            <w:r w:rsidRPr="00D85C65">
              <w:rPr>
                <w:rFonts w:ascii="Times New Roman" w:hAnsi="Times New Roman"/>
                <w:sz w:val="24"/>
              </w:rPr>
              <w:t>následne sa prostredníctvom sekuritizačnej kaskády pridelia do príslušných tranží danej sekuritizácie. Pre banky</w:t>
            </w:r>
            <w:r w:rsidR="00D85C65">
              <w:rPr>
                <w:rFonts w:ascii="Times New Roman" w:hAnsi="Times New Roman"/>
                <w:sz w:val="24"/>
              </w:rPr>
              <w:t xml:space="preserve"> v </w:t>
            </w:r>
            <w:r w:rsidRPr="00D85C65">
              <w:rPr>
                <w:rFonts w:ascii="Times New Roman" w:hAnsi="Times New Roman"/>
                <w:sz w:val="24"/>
              </w:rPr>
              <w:t>rámci SA je EL špecifickou úpravou kreditného rizika sekuritizovaných aktív</w:t>
            </w:r>
            <w:r w:rsidR="00D85C65">
              <w:rPr>
                <w:rFonts w:ascii="Times New Roman" w:hAnsi="Times New Roman"/>
                <w:sz w:val="24"/>
              </w:rPr>
              <w:t xml:space="preserve"> a </w:t>
            </w:r>
            <w:r w:rsidRPr="00D85C65">
              <w:rPr>
                <w:rFonts w:ascii="Times New Roman" w:hAnsi="Times New Roman"/>
                <w:sz w:val="24"/>
              </w:rPr>
              <w:t>UL je kapitálovou požiadavkou sekuritizovaných expozícií</w:t>
            </w:r>
            <w:r w:rsidR="00D85C65">
              <w:rPr>
                <w:rFonts w:ascii="Times New Roman" w:hAnsi="Times New Roman"/>
                <w:sz w:val="24"/>
              </w:rPr>
              <w:t>.</w:t>
            </w:r>
          </w:p>
          <w:p w14:paraId="4276B83A" w14:textId="68C3FDBF" w:rsidR="00235D9D" w:rsidRPr="00D85C65" w:rsidRDefault="00235D9D">
            <w:pPr>
              <w:spacing w:before="0" w:after="0"/>
              <w:jc w:val="left"/>
              <w:rPr>
                <w:rFonts w:ascii="Times New Roman" w:hAnsi="Times New Roman"/>
                <w:b/>
                <w:sz w:val="24"/>
                <w:u w:val="single"/>
              </w:rPr>
            </w:pPr>
          </w:p>
        </w:tc>
      </w:tr>
    </w:tbl>
    <w:p w14:paraId="41F4D1A9" w14:textId="77777777" w:rsidR="00235D9D" w:rsidRPr="00D85C65" w:rsidRDefault="00235D9D">
      <w:pPr>
        <w:spacing w:before="0" w:after="0"/>
        <w:jc w:val="left"/>
        <w:rPr>
          <w:rStyle w:val="InstructionsTabelleText"/>
          <w:rFonts w:ascii="Times New Roman" w:hAnsi="Times New Roman"/>
          <w:sz w:val="24"/>
        </w:rPr>
      </w:pPr>
    </w:p>
    <w:p w14:paraId="681C1EE1" w14:textId="6DA4AC22" w:rsidR="00235D9D" w:rsidRPr="00D85C65" w:rsidRDefault="00FC6275">
      <w:pPr>
        <w:pStyle w:val="Instructionsberschrift2"/>
        <w:numPr>
          <w:ilvl w:val="0"/>
          <w:numId w:val="0"/>
        </w:numPr>
        <w:ind w:left="357" w:hanging="357"/>
        <w:rPr>
          <w:rFonts w:ascii="Times New Roman" w:hAnsi="Times New Roman" w:cs="Times New Roman"/>
          <w:sz w:val="24"/>
        </w:rPr>
      </w:pPr>
      <w:bookmarkStart w:id="69" w:name="_Toc29994512"/>
      <w:r w:rsidRPr="00D85C65">
        <w:rPr>
          <w:rFonts w:ascii="Times New Roman" w:hAnsi="Times New Roman"/>
          <w:sz w:val="24"/>
          <w:u w:val="none"/>
        </w:rPr>
        <w:lastRenderedPageBreak/>
        <w:t>3.9.4.</w:t>
      </w:r>
      <w:r w:rsidRPr="00D85C65">
        <w:rPr>
          <w:rFonts w:ascii="Times New Roman" w:hAnsi="Times New Roman"/>
          <w:sz w:val="24"/>
          <w:u w:val="none"/>
        </w:rPr>
        <w:tab/>
      </w:r>
      <w:r w:rsidRPr="00D85C65">
        <w:rPr>
          <w:rFonts w:ascii="Times New Roman" w:hAnsi="Times New Roman"/>
          <w:sz w:val="24"/>
        </w:rPr>
        <w:t>C 14.01 – Podrobné informácie</w:t>
      </w:r>
      <w:r w:rsidR="00D85C65">
        <w:rPr>
          <w:rFonts w:ascii="Times New Roman" w:hAnsi="Times New Roman"/>
          <w:sz w:val="24"/>
        </w:rPr>
        <w:t xml:space="preserve"> o </w:t>
      </w:r>
      <w:r w:rsidRPr="00D85C65">
        <w:rPr>
          <w:rFonts w:ascii="Times New Roman" w:hAnsi="Times New Roman"/>
          <w:sz w:val="24"/>
        </w:rPr>
        <w:t>sekuritizáciách (SEC DETAILS 2)</w:t>
      </w:r>
      <w:bookmarkEnd w:id="69"/>
    </w:p>
    <w:p w14:paraId="19D97974" w14:textId="77777777" w:rsidR="00235D9D" w:rsidRPr="00D85C65" w:rsidRDefault="00CA4EB2">
      <w:pPr>
        <w:pStyle w:val="InstructionsText2"/>
        <w:numPr>
          <w:ilvl w:val="0"/>
          <w:numId w:val="0"/>
        </w:numPr>
      </w:pPr>
      <w:r w:rsidRPr="00D85C65">
        <w:t>113c. Vzor SEC DETAILS 2 sa vykazuje samostatne pre tieto prístupy:</w:t>
      </w:r>
    </w:p>
    <w:p w14:paraId="47151734" w14:textId="77777777" w:rsidR="00235D9D" w:rsidRPr="00D85C65" w:rsidRDefault="00CA4EB2">
      <w:pPr>
        <w:pStyle w:val="InstructionsText2"/>
        <w:numPr>
          <w:ilvl w:val="0"/>
          <w:numId w:val="0"/>
        </w:numPr>
        <w:ind w:firstLine="423"/>
      </w:pPr>
      <w:r w:rsidRPr="00D85C65">
        <w:t>1. SEC-IRBA;</w:t>
      </w:r>
    </w:p>
    <w:p w14:paraId="0F280B59" w14:textId="77777777" w:rsidR="00235D9D" w:rsidRPr="00D85C65" w:rsidRDefault="00CA4EB2">
      <w:pPr>
        <w:pStyle w:val="InstructionsText2"/>
        <w:numPr>
          <w:ilvl w:val="0"/>
          <w:numId w:val="0"/>
        </w:numPr>
        <w:ind w:firstLine="423"/>
      </w:pPr>
      <w:r w:rsidRPr="00D85C65">
        <w:t>2. SEC-SA;</w:t>
      </w:r>
    </w:p>
    <w:p w14:paraId="0E480690" w14:textId="77777777" w:rsidR="00235D9D" w:rsidRPr="00D85C65" w:rsidRDefault="00CA4EB2">
      <w:pPr>
        <w:pStyle w:val="InstructionsText2"/>
        <w:numPr>
          <w:ilvl w:val="0"/>
          <w:numId w:val="0"/>
        </w:numPr>
        <w:ind w:firstLine="423"/>
      </w:pPr>
      <w:r w:rsidRPr="00D85C65">
        <w:t>3. SEC-ERBA;</w:t>
      </w:r>
    </w:p>
    <w:p w14:paraId="7C3082BF" w14:textId="0E831895" w:rsidR="00235D9D" w:rsidRPr="00D85C65" w:rsidRDefault="00CA4EB2">
      <w:pPr>
        <w:pStyle w:val="InstructionsText2"/>
        <w:numPr>
          <w:ilvl w:val="0"/>
          <w:numId w:val="0"/>
        </w:numPr>
        <w:ind w:firstLine="423"/>
      </w:pPr>
      <w:r w:rsidRPr="00D85C65">
        <w:t>4. 1 250</w:t>
      </w:r>
      <w:r w:rsidR="00D85C65">
        <w:t> %</w:t>
      </w:r>
      <w:r w:rsidRPr="00D85C65">
        <w:t>.</w:t>
      </w:r>
    </w:p>
    <w:p w14:paraId="6C14E1AE" w14:textId="77777777" w:rsidR="00235D9D" w:rsidRPr="00D85C65" w:rsidRDefault="00235D9D">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235D9D" w:rsidRPr="00D85C65" w14:paraId="24B629CB" w14:textId="77777777" w:rsidTr="00E10B85">
        <w:tc>
          <w:tcPr>
            <w:tcW w:w="9004" w:type="dxa"/>
            <w:gridSpan w:val="2"/>
            <w:shd w:val="clear" w:color="auto" w:fill="CCCCCC"/>
          </w:tcPr>
          <w:p w14:paraId="7822B9A2" w14:textId="77777777" w:rsidR="00235D9D" w:rsidRPr="00D85C65" w:rsidRDefault="00235D9D">
            <w:pPr>
              <w:autoSpaceDE w:val="0"/>
              <w:autoSpaceDN w:val="0"/>
              <w:adjustRightInd w:val="0"/>
              <w:spacing w:before="0" w:after="0"/>
              <w:rPr>
                <w:rFonts w:ascii="Times New Roman" w:hAnsi="Times New Roman"/>
                <w:bCs/>
                <w:sz w:val="24"/>
              </w:rPr>
            </w:pPr>
          </w:p>
          <w:p w14:paraId="67386B91" w14:textId="77777777" w:rsidR="00235D9D" w:rsidRPr="00D85C65" w:rsidRDefault="00FC6275">
            <w:pPr>
              <w:autoSpaceDE w:val="0"/>
              <w:autoSpaceDN w:val="0"/>
              <w:adjustRightInd w:val="0"/>
              <w:spacing w:before="0" w:after="0"/>
              <w:rPr>
                <w:rFonts w:ascii="Times New Roman" w:hAnsi="Times New Roman"/>
                <w:b/>
                <w:bCs/>
                <w:sz w:val="24"/>
              </w:rPr>
            </w:pPr>
            <w:r w:rsidRPr="00D85C65">
              <w:rPr>
                <w:rFonts w:ascii="Times New Roman" w:hAnsi="Times New Roman"/>
                <w:b/>
                <w:sz w:val="24"/>
              </w:rPr>
              <w:t>Stĺpce</w:t>
            </w:r>
          </w:p>
          <w:p w14:paraId="7A839348"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46BFB097" w14:textId="77777777" w:rsidTr="00E10B85">
        <w:tc>
          <w:tcPr>
            <w:tcW w:w="1101" w:type="dxa"/>
          </w:tcPr>
          <w:p w14:paraId="7B6E154D"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005</w:t>
            </w:r>
          </w:p>
        </w:tc>
        <w:tc>
          <w:tcPr>
            <w:tcW w:w="7903" w:type="dxa"/>
          </w:tcPr>
          <w:p w14:paraId="493432E4"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ČÍSLO RIADKU</w:t>
            </w:r>
          </w:p>
          <w:p w14:paraId="729141D9" w14:textId="77777777" w:rsidR="00235D9D" w:rsidRPr="00D85C65" w:rsidRDefault="00235D9D">
            <w:pPr>
              <w:spacing w:before="0" w:after="0"/>
              <w:jc w:val="left"/>
              <w:rPr>
                <w:rFonts w:ascii="Times New Roman" w:hAnsi="Times New Roman"/>
                <w:b/>
                <w:sz w:val="24"/>
                <w:u w:val="single"/>
              </w:rPr>
            </w:pPr>
          </w:p>
          <w:p w14:paraId="499806AF" w14:textId="45E42472"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Číslo riadku je identifikátorom riadku</w:t>
            </w:r>
            <w:r w:rsidR="00D85C65">
              <w:rPr>
                <w:rFonts w:ascii="Times New Roman" w:hAnsi="Times New Roman"/>
                <w:sz w:val="24"/>
              </w:rPr>
              <w:t xml:space="preserve"> a </w:t>
            </w:r>
            <w:r w:rsidRPr="00D85C65">
              <w:rPr>
                <w:rFonts w:ascii="Times New Roman" w:hAnsi="Times New Roman"/>
                <w:sz w:val="24"/>
              </w:rPr>
              <w:t>musí byť jednoznačné pre každý riadok vzoru. Riadi sa číselným poradím 1, 2, 3 atď.</w:t>
            </w:r>
          </w:p>
          <w:p w14:paraId="6845544B" w14:textId="77777777" w:rsidR="00235D9D" w:rsidRPr="00D85C65" w:rsidRDefault="00235D9D">
            <w:pPr>
              <w:autoSpaceDE w:val="0"/>
              <w:autoSpaceDN w:val="0"/>
              <w:adjustRightInd w:val="0"/>
              <w:spacing w:before="0" w:after="0"/>
              <w:rPr>
                <w:rFonts w:ascii="Times New Roman" w:hAnsi="Times New Roman"/>
                <w:b/>
                <w:sz w:val="24"/>
                <w:u w:val="single"/>
              </w:rPr>
            </w:pPr>
          </w:p>
        </w:tc>
      </w:tr>
      <w:tr w:rsidR="00235D9D" w:rsidRPr="00D85C65" w14:paraId="59423977" w14:textId="77777777" w:rsidTr="00E10B85">
        <w:tc>
          <w:tcPr>
            <w:tcW w:w="1101" w:type="dxa"/>
          </w:tcPr>
          <w:p w14:paraId="42E6678C" w14:textId="77777777" w:rsidR="00235D9D" w:rsidRPr="00D85C65" w:rsidRDefault="00FC6275">
            <w:pPr>
              <w:autoSpaceDE w:val="0"/>
              <w:autoSpaceDN w:val="0"/>
              <w:adjustRightInd w:val="0"/>
              <w:spacing w:before="0" w:after="0"/>
              <w:rPr>
                <w:rFonts w:ascii="Times New Roman" w:hAnsi="Times New Roman"/>
                <w:bCs/>
                <w:sz w:val="24"/>
                <w:highlight w:val="yellow"/>
              </w:rPr>
            </w:pPr>
            <w:r w:rsidRPr="00D85C65">
              <w:rPr>
                <w:rFonts w:ascii="Times New Roman" w:hAnsi="Times New Roman"/>
                <w:bCs/>
                <w:sz w:val="24"/>
              </w:rPr>
              <w:t>010</w:t>
            </w:r>
          </w:p>
        </w:tc>
        <w:tc>
          <w:tcPr>
            <w:tcW w:w="7903" w:type="dxa"/>
          </w:tcPr>
          <w:p w14:paraId="1C1F45C5"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INTERNÝ KÓD</w:t>
            </w:r>
          </w:p>
          <w:p w14:paraId="76C45D39" w14:textId="77777777" w:rsidR="00235D9D" w:rsidRPr="00D85C65" w:rsidRDefault="00235D9D">
            <w:pPr>
              <w:spacing w:before="0" w:after="0"/>
              <w:jc w:val="left"/>
              <w:rPr>
                <w:rFonts w:ascii="Times New Roman" w:hAnsi="Times New Roman"/>
                <w:sz w:val="24"/>
              </w:rPr>
            </w:pPr>
          </w:p>
          <w:p w14:paraId="6639388F"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Interný (alfanumerický) kód, ktorý inštitúcia používa na identifikáciu sekuritizácie. Interný kód je priradený identifikátoru sekuritizačnej transakcie.</w:t>
            </w:r>
          </w:p>
          <w:p w14:paraId="3C3BB2AC"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57044FE5" w14:textId="77777777" w:rsidTr="00E10B85">
        <w:tc>
          <w:tcPr>
            <w:tcW w:w="1101" w:type="dxa"/>
          </w:tcPr>
          <w:p w14:paraId="5CA360EC"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sz w:val="24"/>
              </w:rPr>
              <w:t>020</w:t>
            </w:r>
          </w:p>
        </w:tc>
        <w:tc>
          <w:tcPr>
            <w:tcW w:w="7903" w:type="dxa"/>
          </w:tcPr>
          <w:p w14:paraId="02CA1DA6" w14:textId="77777777" w:rsidR="00235D9D" w:rsidRPr="00D85C65" w:rsidRDefault="00FC6275">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IDENTIFIKÁTOR SEKURITIZÁCIE</w:t>
            </w:r>
            <w:r w:rsidRPr="00D85C65">
              <w:rPr>
                <w:rFonts w:ascii="Times New Roman" w:hAnsi="Times New Roman"/>
                <w:b/>
                <w:sz w:val="24"/>
              </w:rPr>
              <w:t xml:space="preserve"> (Kód/Názov)</w:t>
            </w:r>
          </w:p>
          <w:p w14:paraId="1EE0099A" w14:textId="77777777" w:rsidR="00235D9D" w:rsidRPr="00D85C65" w:rsidRDefault="00235D9D">
            <w:pPr>
              <w:spacing w:before="0" w:after="0"/>
              <w:jc w:val="left"/>
              <w:rPr>
                <w:rFonts w:ascii="Times New Roman" w:hAnsi="Times New Roman"/>
                <w:sz w:val="24"/>
              </w:rPr>
            </w:pPr>
          </w:p>
          <w:p w14:paraId="13DD1771" w14:textId="21405CB4"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Kód používaný na zákonnú registráciu sekuritizačnej pozície alebo transakcie</w:t>
            </w:r>
            <w:r w:rsidR="00D85C65">
              <w:rPr>
                <w:rFonts w:ascii="Times New Roman" w:hAnsi="Times New Roman"/>
                <w:sz w:val="24"/>
              </w:rPr>
              <w:t xml:space="preserve"> v </w:t>
            </w:r>
            <w:r w:rsidRPr="00D85C65">
              <w:rPr>
                <w:rFonts w:ascii="Times New Roman" w:hAnsi="Times New Roman"/>
                <w:sz w:val="24"/>
              </w:rPr>
              <w:t>prípade niekoľkých pozícií, ktoré možno vykázať</w:t>
            </w:r>
            <w:r w:rsidR="00D85C65">
              <w:rPr>
                <w:rFonts w:ascii="Times New Roman" w:hAnsi="Times New Roman"/>
                <w:sz w:val="24"/>
              </w:rPr>
              <w:t xml:space="preserve"> v </w:t>
            </w:r>
            <w:r w:rsidRPr="00D85C65">
              <w:rPr>
                <w:rFonts w:ascii="Times New Roman" w:hAnsi="Times New Roman"/>
                <w:sz w:val="24"/>
              </w:rPr>
              <w:t>tom istom riadku, alebo, ak nie je</w:t>
            </w:r>
            <w:r w:rsidR="00D85C65">
              <w:rPr>
                <w:rFonts w:ascii="Times New Roman" w:hAnsi="Times New Roman"/>
                <w:sz w:val="24"/>
              </w:rPr>
              <w:t xml:space="preserve"> k </w:t>
            </w:r>
            <w:r w:rsidRPr="00D85C65">
              <w:rPr>
                <w:rFonts w:ascii="Times New Roman" w:hAnsi="Times New Roman"/>
                <w:sz w:val="24"/>
              </w:rPr>
              <w:t>dispozícii, názov, pod ktorým je sekuritizačná pozícia alebo transakcia známa na trhu alebo</w:t>
            </w:r>
            <w:r w:rsidR="00D85C65">
              <w:rPr>
                <w:rFonts w:ascii="Times New Roman" w:hAnsi="Times New Roman"/>
                <w:sz w:val="24"/>
              </w:rPr>
              <w:t xml:space="preserve"> v </w:t>
            </w:r>
            <w:r w:rsidRPr="00D85C65">
              <w:rPr>
                <w:rFonts w:ascii="Times New Roman" w:hAnsi="Times New Roman"/>
                <w:sz w:val="24"/>
              </w:rPr>
              <w:t>rámci inštitúcie, ak ide</w:t>
            </w:r>
            <w:r w:rsidR="00D85C65">
              <w:rPr>
                <w:rFonts w:ascii="Times New Roman" w:hAnsi="Times New Roman"/>
                <w:sz w:val="24"/>
              </w:rPr>
              <w:t xml:space="preserve"> o </w:t>
            </w:r>
            <w:r w:rsidRPr="00D85C65">
              <w:rPr>
                <w:rFonts w:ascii="Times New Roman" w:hAnsi="Times New Roman"/>
                <w:sz w:val="24"/>
              </w:rPr>
              <w:t>internú alebo súkromnú sekuritizáciu. Keď je</w:t>
            </w:r>
            <w:r w:rsidR="00D85C65">
              <w:rPr>
                <w:rFonts w:ascii="Times New Roman" w:hAnsi="Times New Roman"/>
                <w:sz w:val="24"/>
              </w:rPr>
              <w:t xml:space="preserve"> k </w:t>
            </w:r>
            <w:r w:rsidRPr="00D85C65">
              <w:rPr>
                <w:rFonts w:ascii="Times New Roman" w:hAnsi="Times New Roman"/>
                <w:sz w:val="24"/>
              </w:rPr>
              <w:t>dispozícii medzinárodné identifikačné číslo cenného papiera ISIN (t. j. pre verejné transakcie),</w:t>
            </w:r>
            <w:r w:rsidR="00D85C65">
              <w:rPr>
                <w:rFonts w:ascii="Times New Roman" w:hAnsi="Times New Roman"/>
                <w:sz w:val="24"/>
              </w:rPr>
              <w:t xml:space="preserve"> v </w:t>
            </w:r>
            <w:r w:rsidRPr="00D85C65">
              <w:rPr>
                <w:rFonts w:ascii="Times New Roman" w:hAnsi="Times New Roman"/>
                <w:sz w:val="24"/>
              </w:rPr>
              <w:t>tomto stĺpci sa vykazujú znaky, ktoré sú spoločné pre všetky tranže sekuritizácie.</w:t>
            </w:r>
          </w:p>
          <w:p w14:paraId="23D900E6"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553DE7E4" w14:textId="77777777" w:rsidTr="00E10B85">
        <w:tc>
          <w:tcPr>
            <w:tcW w:w="1101" w:type="dxa"/>
          </w:tcPr>
          <w:p w14:paraId="5B79E3F3"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sz w:val="24"/>
              </w:rPr>
              <w:t>310 – 400</w:t>
            </w:r>
          </w:p>
        </w:tc>
        <w:tc>
          <w:tcPr>
            <w:tcW w:w="7903" w:type="dxa"/>
          </w:tcPr>
          <w:p w14:paraId="6E2AC05C" w14:textId="71DC1195"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SEKURITIZAČNÉ POZÍCIE: PÔVODNÁ EXPOZÍCIA PRED KONVERZNÝMI FAKTORMI</w:t>
            </w:r>
          </w:p>
          <w:p w14:paraId="79227684" w14:textId="77777777" w:rsidR="00235D9D" w:rsidRPr="00D85C65" w:rsidRDefault="00235D9D">
            <w:pPr>
              <w:spacing w:before="0" w:after="0"/>
              <w:jc w:val="left"/>
              <w:rPr>
                <w:rFonts w:ascii="Times New Roman" w:hAnsi="Times New Roman"/>
                <w:sz w:val="24"/>
              </w:rPr>
            </w:pPr>
          </w:p>
          <w:p w14:paraId="2F20C1C7" w14:textId="13B128EE" w:rsidR="00D85C65" w:rsidRDefault="00FC6275">
            <w:pPr>
              <w:spacing w:before="0" w:after="0"/>
              <w:rPr>
                <w:rFonts w:ascii="Times New Roman" w:hAnsi="Times New Roman"/>
                <w:sz w:val="24"/>
              </w:rPr>
            </w:pPr>
            <w:r w:rsidRPr="00D85C65">
              <w:rPr>
                <w:rFonts w:ascii="Times New Roman" w:hAnsi="Times New Roman"/>
                <w:sz w:val="24"/>
              </w:rPr>
              <w:t>V tomto bloku stĺpcov sa vykazujú informácie</w:t>
            </w:r>
            <w:r w:rsidR="00D85C65">
              <w:rPr>
                <w:rFonts w:ascii="Times New Roman" w:hAnsi="Times New Roman"/>
                <w:sz w:val="24"/>
              </w:rPr>
              <w:t xml:space="preserve"> o </w:t>
            </w:r>
            <w:r w:rsidRPr="00D85C65">
              <w:rPr>
                <w:rFonts w:ascii="Times New Roman" w:hAnsi="Times New Roman"/>
                <w:sz w:val="24"/>
              </w:rPr>
              <w:t>sekuritizačných pozíciách</w:t>
            </w:r>
            <w:r w:rsidR="00D85C65">
              <w:rPr>
                <w:rFonts w:ascii="Times New Roman" w:hAnsi="Times New Roman"/>
                <w:sz w:val="24"/>
              </w:rPr>
              <w:t xml:space="preserve"> v </w:t>
            </w:r>
            <w:r w:rsidRPr="00D85C65">
              <w:rPr>
                <w:rFonts w:ascii="Times New Roman" w:hAnsi="Times New Roman"/>
                <w:sz w:val="24"/>
              </w:rPr>
              <w:t>členení podľa súvahových/podsúvahových pozícií</w:t>
            </w:r>
            <w:r w:rsidR="00D85C65">
              <w:rPr>
                <w:rFonts w:ascii="Times New Roman" w:hAnsi="Times New Roman"/>
                <w:sz w:val="24"/>
              </w:rPr>
              <w:t xml:space="preserve"> a </w:t>
            </w:r>
            <w:r w:rsidRPr="00D85C65">
              <w:rPr>
                <w:rFonts w:ascii="Times New Roman" w:hAnsi="Times New Roman"/>
                <w:sz w:val="24"/>
              </w:rPr>
              <w:t>tranží (nadriadené/mezanínové/prvá strata)</w:t>
            </w:r>
            <w:r w:rsidR="00D85C65">
              <w:rPr>
                <w:rFonts w:ascii="Times New Roman" w:hAnsi="Times New Roman"/>
                <w:sz w:val="24"/>
              </w:rPr>
              <w:t xml:space="preserve"> k </w:t>
            </w:r>
            <w:r w:rsidRPr="00D85C65">
              <w:rPr>
                <w:rFonts w:ascii="Times New Roman" w:hAnsi="Times New Roman"/>
                <w:sz w:val="24"/>
              </w:rPr>
              <w:t>dátumu vykazovania</w:t>
            </w:r>
            <w:r w:rsidR="00D85C65">
              <w:rPr>
                <w:rFonts w:ascii="Times New Roman" w:hAnsi="Times New Roman"/>
                <w:sz w:val="24"/>
              </w:rPr>
              <w:t>.</w:t>
            </w:r>
          </w:p>
          <w:p w14:paraId="67CA4174" w14:textId="5D9819C0" w:rsidR="00235D9D" w:rsidRPr="00D85C65" w:rsidRDefault="00235D9D">
            <w:pPr>
              <w:spacing w:before="0" w:after="0"/>
              <w:jc w:val="left"/>
              <w:rPr>
                <w:rFonts w:ascii="Times New Roman" w:hAnsi="Times New Roman"/>
                <w:sz w:val="24"/>
              </w:rPr>
            </w:pPr>
          </w:p>
        </w:tc>
      </w:tr>
      <w:tr w:rsidR="00235D9D" w:rsidRPr="00D85C65" w14:paraId="18FAD142" w14:textId="77777777" w:rsidTr="00E10B85">
        <w:tc>
          <w:tcPr>
            <w:tcW w:w="1101" w:type="dxa"/>
          </w:tcPr>
          <w:p w14:paraId="42F5ED1F"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sz w:val="24"/>
              </w:rPr>
              <w:t>310 – 330</w:t>
            </w:r>
          </w:p>
        </w:tc>
        <w:tc>
          <w:tcPr>
            <w:tcW w:w="7903" w:type="dxa"/>
          </w:tcPr>
          <w:p w14:paraId="389B841E" w14:textId="77777777" w:rsid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SÚVAHOVÉ POLOŽKY</w:t>
            </w:r>
          </w:p>
          <w:p w14:paraId="7D19E8D9" w14:textId="745D4135" w:rsidR="00235D9D" w:rsidRPr="00D85C65" w:rsidRDefault="00235D9D">
            <w:pPr>
              <w:spacing w:before="0" w:after="0"/>
              <w:jc w:val="left"/>
              <w:rPr>
                <w:rFonts w:ascii="Times New Roman" w:hAnsi="Times New Roman"/>
                <w:sz w:val="24"/>
              </w:rPr>
            </w:pPr>
          </w:p>
          <w:p w14:paraId="6606DB1E" w14:textId="45A931E6" w:rsidR="00235D9D" w:rsidRPr="00D85C65" w:rsidRDefault="00FC6275">
            <w:pPr>
              <w:spacing w:before="0" w:after="0"/>
              <w:jc w:val="left"/>
              <w:rPr>
                <w:rFonts w:ascii="Times New Roman" w:hAnsi="Times New Roman"/>
                <w:sz w:val="24"/>
              </w:rPr>
            </w:pPr>
            <w:r w:rsidRPr="00D85C65">
              <w:rPr>
                <w:rFonts w:ascii="Times New Roman" w:hAnsi="Times New Roman"/>
                <w:sz w:val="24"/>
              </w:rPr>
              <w:t>Uplatňujú sa tu rovnaké kritériá na klasifikáciu tranží ako pre stĺpce 230, 240</w:t>
            </w:r>
            <w:r w:rsidR="00D85C65">
              <w:rPr>
                <w:rFonts w:ascii="Times New Roman" w:hAnsi="Times New Roman"/>
                <w:sz w:val="24"/>
              </w:rPr>
              <w:t xml:space="preserve"> a </w:t>
            </w:r>
            <w:r w:rsidRPr="00D85C65">
              <w:rPr>
                <w:rFonts w:ascii="Times New Roman" w:hAnsi="Times New Roman"/>
                <w:sz w:val="24"/>
              </w:rPr>
              <w:t>250.</w:t>
            </w:r>
          </w:p>
          <w:p w14:paraId="30110BB4" w14:textId="77777777" w:rsidR="00235D9D" w:rsidRPr="00D85C65" w:rsidRDefault="00235D9D">
            <w:pPr>
              <w:spacing w:before="0" w:after="0"/>
              <w:jc w:val="left"/>
              <w:rPr>
                <w:rFonts w:ascii="Times New Roman" w:hAnsi="Times New Roman"/>
                <w:sz w:val="24"/>
              </w:rPr>
            </w:pPr>
          </w:p>
        </w:tc>
      </w:tr>
      <w:tr w:rsidR="00235D9D" w:rsidRPr="00D85C65" w14:paraId="63BABDFF" w14:textId="77777777" w:rsidTr="00E10B85">
        <w:tc>
          <w:tcPr>
            <w:tcW w:w="1101" w:type="dxa"/>
          </w:tcPr>
          <w:p w14:paraId="693A94C9"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340 – 361</w:t>
            </w:r>
          </w:p>
        </w:tc>
        <w:tc>
          <w:tcPr>
            <w:tcW w:w="7903" w:type="dxa"/>
          </w:tcPr>
          <w:p w14:paraId="076ACBA0"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PODSÚVAHOVÉ POLOŽKY A DERIVÁTY</w:t>
            </w:r>
          </w:p>
          <w:p w14:paraId="27125C1E" w14:textId="77777777" w:rsidR="00235D9D" w:rsidRPr="00D85C65" w:rsidRDefault="00235D9D">
            <w:pPr>
              <w:spacing w:before="0" w:after="0"/>
              <w:jc w:val="left"/>
              <w:rPr>
                <w:rFonts w:ascii="Times New Roman" w:hAnsi="Times New Roman"/>
                <w:sz w:val="24"/>
              </w:rPr>
            </w:pPr>
          </w:p>
          <w:p w14:paraId="0664BE13" w14:textId="77777777" w:rsidR="00235D9D" w:rsidRPr="00D85C65" w:rsidRDefault="00FC6275">
            <w:pPr>
              <w:spacing w:before="0" w:after="0"/>
              <w:jc w:val="left"/>
              <w:rPr>
                <w:rFonts w:ascii="Times New Roman" w:hAnsi="Times New Roman"/>
                <w:sz w:val="24"/>
              </w:rPr>
            </w:pPr>
            <w:r w:rsidRPr="00D85C65">
              <w:rPr>
                <w:rFonts w:ascii="Times New Roman" w:hAnsi="Times New Roman"/>
                <w:sz w:val="24"/>
              </w:rPr>
              <w:lastRenderedPageBreak/>
              <w:t>Uplatňujú sa tu rovnaké kritériá na klasifikáciu tranží ako pre stĺpce 260 až 280.</w:t>
            </w:r>
          </w:p>
          <w:p w14:paraId="61DC83D7" w14:textId="77777777" w:rsidR="00235D9D" w:rsidRPr="00D85C65" w:rsidRDefault="00235D9D">
            <w:pPr>
              <w:spacing w:before="0" w:after="0"/>
              <w:jc w:val="left"/>
              <w:rPr>
                <w:rFonts w:ascii="Times New Roman" w:hAnsi="Times New Roman"/>
                <w:sz w:val="24"/>
              </w:rPr>
            </w:pPr>
          </w:p>
        </w:tc>
      </w:tr>
      <w:tr w:rsidR="00235D9D" w:rsidRPr="00D85C65" w14:paraId="49D31348" w14:textId="77777777" w:rsidTr="00E10B85">
        <w:tc>
          <w:tcPr>
            <w:tcW w:w="1101" w:type="dxa"/>
          </w:tcPr>
          <w:p w14:paraId="0E17D940" w14:textId="2A2907F2"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351</w:t>
            </w:r>
            <w:r w:rsidR="00D85C65">
              <w:rPr>
                <w:rFonts w:ascii="Times New Roman" w:hAnsi="Times New Roman"/>
                <w:sz w:val="24"/>
              </w:rPr>
              <w:t xml:space="preserve"> a </w:t>
            </w:r>
            <w:r w:rsidRPr="00D85C65">
              <w:rPr>
                <w:rFonts w:ascii="Times New Roman" w:hAnsi="Times New Roman"/>
                <w:sz w:val="24"/>
              </w:rPr>
              <w:t>361</w:t>
            </w:r>
          </w:p>
        </w:tc>
        <w:tc>
          <w:tcPr>
            <w:tcW w:w="7903" w:type="dxa"/>
          </w:tcPr>
          <w:p w14:paraId="43F61828" w14:textId="77777777" w:rsidR="00235D9D" w:rsidRPr="00D85C65" w:rsidRDefault="00FC6275">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RIZIKOVÉ VÁHY ZODPOVEDAJÚCE POSKYTOVATEĽOVI/NÁSTROJU ZABEZPEČENIA</w:t>
            </w:r>
          </w:p>
          <w:p w14:paraId="5309A14E"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337E00F5" w14:textId="41C0D5A2" w:rsidR="00235D9D" w:rsidRPr="00D85C65" w:rsidRDefault="00FC6275">
            <w:pPr>
              <w:autoSpaceDE w:val="0"/>
              <w:autoSpaceDN w:val="0"/>
              <w:adjustRightInd w:val="0"/>
              <w:spacing w:before="0" w:after="0"/>
              <w:jc w:val="left"/>
              <w:rPr>
                <w:rFonts w:ascii="Times New Roman" w:hAnsi="Times New Roman"/>
                <w:sz w:val="24"/>
              </w:rPr>
            </w:pPr>
            <w:r w:rsidRPr="00D85C65">
              <w:rPr>
                <w:rFonts w:ascii="Times New Roman" w:hAnsi="Times New Roman"/>
                <w:sz w:val="24"/>
              </w:rPr>
              <w:t>% rizikovej váhy prípustného ručiteľa alebo</w:t>
            </w:r>
            <w:r w:rsidR="00D85C65">
              <w:rPr>
                <w:rFonts w:ascii="Times New Roman" w:hAnsi="Times New Roman"/>
                <w:sz w:val="24"/>
              </w:rPr>
              <w:t> %</w:t>
            </w:r>
            <w:r w:rsidRPr="00D85C65">
              <w:rPr>
                <w:rFonts w:ascii="Times New Roman" w:hAnsi="Times New Roman"/>
                <w:sz w:val="24"/>
              </w:rPr>
              <w:t xml:space="preserve"> rizikovej váhy príslušného nástroja, ktorým sa poskytuje zabezpečenie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249 CRR.</w:t>
            </w:r>
          </w:p>
          <w:p w14:paraId="03F785C2"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20282866" w14:textId="77777777" w:rsidTr="00E10B85">
        <w:tc>
          <w:tcPr>
            <w:tcW w:w="1101" w:type="dxa"/>
          </w:tcPr>
          <w:p w14:paraId="419786A6" w14:textId="77777777" w:rsidR="00235D9D" w:rsidRPr="00D85C65" w:rsidRDefault="00FC6275">
            <w:pPr>
              <w:autoSpaceDE w:val="0"/>
              <w:autoSpaceDN w:val="0"/>
              <w:adjustRightInd w:val="0"/>
              <w:spacing w:before="0" w:after="0"/>
              <w:rPr>
                <w:rFonts w:ascii="Times New Roman" w:hAnsi="Times New Roman"/>
                <w:sz w:val="24"/>
                <w:highlight w:val="yellow"/>
              </w:rPr>
            </w:pPr>
            <w:r w:rsidRPr="00D85C65">
              <w:rPr>
                <w:rFonts w:ascii="Times New Roman" w:hAnsi="Times New Roman"/>
                <w:sz w:val="24"/>
              </w:rPr>
              <w:t>370 – 400</w:t>
            </w:r>
          </w:p>
        </w:tc>
        <w:tc>
          <w:tcPr>
            <w:tcW w:w="7903" w:type="dxa"/>
          </w:tcPr>
          <w:p w14:paraId="6D1571CF" w14:textId="554B7FD2" w:rsidR="00235D9D" w:rsidRPr="00D85C65" w:rsidRDefault="00FC6275">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DOPLŇUJÚCE POLOŽKY: PODSÚVAHOVÉ POLOŽKY A DERIVÁTY PRED UPLATNENÍM KONVERZNÝCH FAKTOROV</w:t>
            </w:r>
          </w:p>
          <w:p w14:paraId="6ABBF46E"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479CFEE5" w14:textId="5F7AD648"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V tomto bloku stĺpcov sa vykazujú dodatočné informácie</w:t>
            </w:r>
            <w:r w:rsidR="00D85C65">
              <w:rPr>
                <w:rFonts w:ascii="Times New Roman" w:hAnsi="Times New Roman"/>
                <w:sz w:val="24"/>
              </w:rPr>
              <w:t xml:space="preserve"> o </w:t>
            </w:r>
            <w:r w:rsidRPr="00D85C65">
              <w:rPr>
                <w:rFonts w:ascii="Times New Roman" w:hAnsi="Times New Roman"/>
                <w:sz w:val="24"/>
              </w:rPr>
              <w:t>celkových podsúvahových položkách</w:t>
            </w:r>
            <w:r w:rsidR="00D85C65">
              <w:rPr>
                <w:rFonts w:ascii="Times New Roman" w:hAnsi="Times New Roman"/>
                <w:sz w:val="24"/>
              </w:rPr>
              <w:t xml:space="preserve"> a </w:t>
            </w:r>
            <w:r w:rsidRPr="00D85C65">
              <w:rPr>
                <w:rFonts w:ascii="Times New Roman" w:hAnsi="Times New Roman"/>
                <w:sz w:val="24"/>
              </w:rPr>
              <w:t>derivátoch (ktoré sa už vykázali</w:t>
            </w:r>
            <w:r w:rsidR="00D85C65">
              <w:rPr>
                <w:rFonts w:ascii="Times New Roman" w:hAnsi="Times New Roman"/>
                <w:sz w:val="24"/>
              </w:rPr>
              <w:t xml:space="preserve"> v </w:t>
            </w:r>
            <w:r w:rsidRPr="00D85C65">
              <w:rPr>
                <w:rFonts w:ascii="Times New Roman" w:hAnsi="Times New Roman"/>
                <w:sz w:val="24"/>
              </w:rPr>
              <w:t>inom rozčlenení</w:t>
            </w:r>
            <w:r w:rsidR="00D85C65">
              <w:rPr>
                <w:rFonts w:ascii="Times New Roman" w:hAnsi="Times New Roman"/>
                <w:sz w:val="24"/>
              </w:rPr>
              <w:t xml:space="preserve"> v </w:t>
            </w:r>
            <w:r w:rsidRPr="00D85C65">
              <w:rPr>
                <w:rFonts w:ascii="Times New Roman" w:hAnsi="Times New Roman"/>
                <w:sz w:val="24"/>
              </w:rPr>
              <w:t>stĺpcoch 340 – 361).</w:t>
            </w:r>
          </w:p>
          <w:p w14:paraId="6CEB7659" w14:textId="77777777" w:rsidR="00235D9D" w:rsidRPr="00D85C65" w:rsidRDefault="00235D9D">
            <w:pPr>
              <w:autoSpaceDE w:val="0"/>
              <w:autoSpaceDN w:val="0"/>
              <w:adjustRightInd w:val="0"/>
              <w:spacing w:before="0" w:after="0"/>
              <w:jc w:val="left"/>
              <w:rPr>
                <w:rFonts w:ascii="Times New Roman" w:hAnsi="Times New Roman"/>
                <w:sz w:val="24"/>
              </w:rPr>
            </w:pPr>
          </w:p>
        </w:tc>
      </w:tr>
      <w:tr w:rsidR="00235D9D" w:rsidRPr="00D85C65" w14:paraId="1450EA12" w14:textId="77777777" w:rsidTr="00E10B85">
        <w:tc>
          <w:tcPr>
            <w:tcW w:w="1101" w:type="dxa"/>
          </w:tcPr>
          <w:p w14:paraId="3FA29278"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370</w:t>
            </w:r>
          </w:p>
        </w:tc>
        <w:tc>
          <w:tcPr>
            <w:tcW w:w="7903" w:type="dxa"/>
          </w:tcPr>
          <w:p w14:paraId="5AD9CF06" w14:textId="77777777" w:rsidR="00235D9D" w:rsidRPr="00D85C65" w:rsidRDefault="00FC6275">
            <w:pPr>
              <w:autoSpaceDE w:val="0"/>
              <w:autoSpaceDN w:val="0"/>
              <w:adjustRightInd w:val="0"/>
              <w:spacing w:before="0" w:after="0"/>
              <w:jc w:val="left"/>
              <w:rPr>
                <w:rFonts w:ascii="Times New Roman" w:hAnsi="Times New Roman"/>
                <w:b/>
                <w:sz w:val="24"/>
                <w:u w:val="single"/>
              </w:rPr>
            </w:pPr>
            <w:r w:rsidRPr="00D85C65">
              <w:rPr>
                <w:rFonts w:ascii="Times New Roman" w:hAnsi="Times New Roman"/>
                <w:b/>
                <w:sz w:val="24"/>
                <w:u w:val="single"/>
              </w:rPr>
              <w:t>PRIAME ÚVEROVÉ SUBSTITÚTY (DCS)</w:t>
            </w:r>
          </w:p>
          <w:p w14:paraId="70E7F351" w14:textId="77777777" w:rsidR="00235D9D" w:rsidRPr="00D85C65" w:rsidRDefault="00235D9D">
            <w:pPr>
              <w:autoSpaceDE w:val="0"/>
              <w:autoSpaceDN w:val="0"/>
              <w:adjustRightInd w:val="0"/>
              <w:spacing w:before="0" w:after="0"/>
              <w:jc w:val="left"/>
              <w:rPr>
                <w:rFonts w:ascii="Times New Roman" w:hAnsi="Times New Roman"/>
                <w:b/>
                <w:sz w:val="24"/>
                <w:u w:val="single"/>
              </w:rPr>
            </w:pPr>
          </w:p>
          <w:p w14:paraId="0D6E57F9" w14:textId="47FAEA56" w:rsidR="00235D9D" w:rsidRPr="00D85C65" w:rsidRDefault="00FC6275">
            <w:pPr>
              <w:spacing w:before="0" w:after="0"/>
              <w:rPr>
                <w:rFonts w:ascii="Times New Roman" w:hAnsi="Times New Roman"/>
                <w:sz w:val="24"/>
              </w:rPr>
            </w:pPr>
            <w:r w:rsidRPr="00D85C65">
              <w:rPr>
                <w:rFonts w:ascii="Times New Roman" w:hAnsi="Times New Roman"/>
                <w:sz w:val="24"/>
              </w:rPr>
              <w:t>Tento stĺpec sa uplatňuje na sekuritizačné pozície držané originátorom</w:t>
            </w:r>
            <w:r w:rsidR="00D85C65">
              <w:rPr>
                <w:rFonts w:ascii="Times New Roman" w:hAnsi="Times New Roman"/>
                <w:sz w:val="24"/>
              </w:rPr>
              <w:t xml:space="preserve"> a </w:t>
            </w:r>
            <w:r w:rsidRPr="00D85C65">
              <w:rPr>
                <w:rFonts w:ascii="Times New Roman" w:hAnsi="Times New Roman"/>
                <w:sz w:val="24"/>
              </w:rPr>
              <w:t>zaručené priamymi úverovými substitútmi (DCS).</w:t>
            </w:r>
          </w:p>
          <w:p w14:paraId="5D31B483" w14:textId="77777777" w:rsidR="00235D9D" w:rsidRPr="00D85C65" w:rsidRDefault="00235D9D">
            <w:pPr>
              <w:spacing w:before="0" w:after="0"/>
              <w:rPr>
                <w:rFonts w:ascii="Times New Roman" w:hAnsi="Times New Roman"/>
                <w:sz w:val="24"/>
              </w:rPr>
            </w:pPr>
          </w:p>
          <w:p w14:paraId="56E6E340" w14:textId="5D17F7FB" w:rsidR="00235D9D" w:rsidRPr="00D85C65" w:rsidRDefault="00BB22D4">
            <w:pPr>
              <w:spacing w:before="0" w:after="0"/>
              <w:rPr>
                <w:rFonts w:ascii="Times New Roman" w:hAnsi="Times New Roman"/>
                <w:sz w:val="24"/>
              </w:rPr>
            </w:pPr>
            <w:r w:rsidRPr="00D85C65">
              <w:rPr>
                <w:rFonts w:ascii="Times New Roman" w:hAnsi="Times New Roman"/>
                <w:sz w:val="24"/>
              </w:rPr>
              <w:t>Podľa prílohy I CRR sa za DCS považujú tieto vysoko rizikové podsúvahové položky:</w:t>
            </w:r>
          </w:p>
          <w:p w14:paraId="72A8EA09" w14:textId="77777777" w:rsidR="00235D9D" w:rsidRPr="00D85C65" w:rsidRDefault="00235D9D">
            <w:pPr>
              <w:spacing w:before="0" w:after="0"/>
              <w:rPr>
                <w:rFonts w:ascii="Times New Roman" w:hAnsi="Times New Roman"/>
                <w:sz w:val="24"/>
              </w:rPr>
            </w:pPr>
          </w:p>
          <w:p w14:paraId="552748AA" w14:textId="4D782606" w:rsidR="00235D9D" w:rsidRPr="00D85C65" w:rsidRDefault="00FC6275">
            <w:pPr>
              <w:spacing w:before="0" w:after="0"/>
              <w:rPr>
                <w:rFonts w:ascii="Times New Roman" w:hAnsi="Times New Roman"/>
                <w:i/>
                <w:sz w:val="24"/>
              </w:rPr>
            </w:pPr>
            <w:r w:rsidRPr="00D85C65">
              <w:rPr>
                <w:rFonts w:ascii="Times New Roman" w:hAnsi="Times New Roman"/>
                <w:i/>
                <w:sz w:val="24"/>
              </w:rPr>
              <w:t>– záruky</w:t>
            </w:r>
            <w:r w:rsidR="00D85C65">
              <w:rPr>
                <w:rFonts w:ascii="Times New Roman" w:hAnsi="Times New Roman"/>
                <w:i/>
                <w:sz w:val="24"/>
              </w:rPr>
              <w:t xml:space="preserve"> s </w:t>
            </w:r>
            <w:r w:rsidRPr="00D85C65">
              <w:rPr>
                <w:rFonts w:ascii="Times New Roman" w:hAnsi="Times New Roman"/>
                <w:i/>
                <w:sz w:val="24"/>
              </w:rPr>
              <w:t>charakterom úverových substitútov,</w:t>
            </w:r>
          </w:p>
          <w:p w14:paraId="5F1B8317" w14:textId="59077D79" w:rsidR="00235D9D" w:rsidRPr="00D85C65" w:rsidRDefault="00FC6275">
            <w:pPr>
              <w:spacing w:before="0" w:after="0"/>
              <w:rPr>
                <w:rFonts w:ascii="Times New Roman" w:hAnsi="Times New Roman"/>
                <w:i/>
                <w:sz w:val="24"/>
              </w:rPr>
            </w:pPr>
            <w:r w:rsidRPr="00D85C65">
              <w:rPr>
                <w:rFonts w:ascii="Times New Roman" w:hAnsi="Times New Roman"/>
                <w:i/>
                <w:sz w:val="24"/>
              </w:rPr>
              <w:t>– neodvolateľné standby akreditívy</w:t>
            </w:r>
            <w:r w:rsidR="00D85C65">
              <w:rPr>
                <w:rFonts w:ascii="Times New Roman" w:hAnsi="Times New Roman"/>
                <w:i/>
                <w:sz w:val="24"/>
              </w:rPr>
              <w:t xml:space="preserve"> s </w:t>
            </w:r>
            <w:r w:rsidRPr="00D85C65">
              <w:rPr>
                <w:rFonts w:ascii="Times New Roman" w:hAnsi="Times New Roman"/>
                <w:i/>
                <w:sz w:val="24"/>
              </w:rPr>
              <w:t>charakterom úverových substitútov.</w:t>
            </w:r>
          </w:p>
          <w:p w14:paraId="3D80E152" w14:textId="77777777" w:rsidR="00235D9D" w:rsidRPr="00D85C65" w:rsidRDefault="00235D9D">
            <w:pPr>
              <w:autoSpaceDE w:val="0"/>
              <w:autoSpaceDN w:val="0"/>
              <w:adjustRightInd w:val="0"/>
              <w:spacing w:before="0" w:after="0"/>
              <w:jc w:val="left"/>
              <w:rPr>
                <w:rFonts w:ascii="Times New Roman" w:hAnsi="Times New Roman"/>
                <w:b/>
                <w:sz w:val="24"/>
                <w:u w:val="single"/>
              </w:rPr>
            </w:pPr>
          </w:p>
        </w:tc>
      </w:tr>
      <w:tr w:rsidR="00235D9D" w:rsidRPr="00D85C65" w14:paraId="78D623ED" w14:textId="77777777" w:rsidTr="00E10B85">
        <w:tc>
          <w:tcPr>
            <w:tcW w:w="1101" w:type="dxa"/>
          </w:tcPr>
          <w:p w14:paraId="7F3081DD"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380</w:t>
            </w:r>
          </w:p>
        </w:tc>
        <w:tc>
          <w:tcPr>
            <w:tcW w:w="7903" w:type="dxa"/>
          </w:tcPr>
          <w:p w14:paraId="02F2E683"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IRS/CRS</w:t>
            </w:r>
          </w:p>
          <w:p w14:paraId="3B81E05E" w14:textId="77777777" w:rsidR="00235D9D" w:rsidRPr="00D85C65" w:rsidRDefault="00235D9D">
            <w:pPr>
              <w:spacing w:before="0" w:after="0"/>
              <w:jc w:val="left"/>
              <w:rPr>
                <w:rFonts w:ascii="Times New Roman" w:hAnsi="Times New Roman"/>
                <w:sz w:val="24"/>
              </w:rPr>
            </w:pPr>
          </w:p>
          <w:p w14:paraId="00895983" w14:textId="1D32E634" w:rsidR="00235D9D" w:rsidRPr="00D85C65" w:rsidRDefault="00FC6275">
            <w:pPr>
              <w:spacing w:before="0" w:after="0"/>
              <w:rPr>
                <w:rFonts w:ascii="Times New Roman" w:hAnsi="Times New Roman"/>
                <w:sz w:val="24"/>
              </w:rPr>
            </w:pPr>
            <w:r w:rsidRPr="00D85C65">
              <w:rPr>
                <w:rFonts w:ascii="Times New Roman" w:hAnsi="Times New Roman"/>
                <w:sz w:val="24"/>
              </w:rPr>
              <w:t>Skratka IRS označuje úrokové swapy</w:t>
            </w:r>
            <w:r w:rsidR="00D85C65">
              <w:rPr>
                <w:rFonts w:ascii="Times New Roman" w:hAnsi="Times New Roman"/>
                <w:sz w:val="24"/>
              </w:rPr>
              <w:t xml:space="preserve"> a </w:t>
            </w:r>
            <w:r w:rsidRPr="00D85C65">
              <w:rPr>
                <w:rFonts w:ascii="Times New Roman" w:hAnsi="Times New Roman"/>
                <w:sz w:val="24"/>
              </w:rPr>
              <w:t>skratka CRS označuje menové swapy. Tieto deriváty sú uvedené</w:t>
            </w:r>
            <w:r w:rsidR="00D85C65">
              <w:rPr>
                <w:rFonts w:ascii="Times New Roman" w:hAnsi="Times New Roman"/>
                <w:sz w:val="24"/>
              </w:rPr>
              <w:t xml:space="preserve"> v </w:t>
            </w:r>
            <w:r w:rsidRPr="00D85C65">
              <w:rPr>
                <w:rFonts w:ascii="Times New Roman" w:hAnsi="Times New Roman"/>
                <w:sz w:val="24"/>
              </w:rPr>
              <w:t>prílohe II CRR.</w:t>
            </w:r>
          </w:p>
          <w:p w14:paraId="303B9529" w14:textId="77777777" w:rsidR="00235D9D" w:rsidRPr="00D85C65" w:rsidRDefault="00235D9D">
            <w:pPr>
              <w:spacing w:before="0" w:after="0"/>
              <w:jc w:val="left"/>
              <w:rPr>
                <w:rFonts w:ascii="Times New Roman" w:hAnsi="Times New Roman"/>
                <w:sz w:val="24"/>
              </w:rPr>
            </w:pPr>
          </w:p>
        </w:tc>
      </w:tr>
      <w:tr w:rsidR="00235D9D" w:rsidRPr="00D85C65" w14:paraId="185C7415" w14:textId="77777777" w:rsidTr="00E10B85">
        <w:tc>
          <w:tcPr>
            <w:tcW w:w="1101" w:type="dxa"/>
          </w:tcPr>
          <w:p w14:paraId="4A2D453A"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390</w:t>
            </w:r>
          </w:p>
        </w:tc>
        <w:tc>
          <w:tcPr>
            <w:tcW w:w="7903" w:type="dxa"/>
          </w:tcPr>
          <w:p w14:paraId="45C5A98C"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FACILITY LIKVIDITY</w:t>
            </w:r>
          </w:p>
          <w:p w14:paraId="4B0633C7" w14:textId="77777777" w:rsidR="00235D9D" w:rsidRPr="00D85C65" w:rsidRDefault="00235D9D">
            <w:pPr>
              <w:spacing w:before="0" w:after="0"/>
              <w:jc w:val="left"/>
              <w:rPr>
                <w:rFonts w:ascii="Times New Roman" w:hAnsi="Times New Roman"/>
                <w:sz w:val="24"/>
              </w:rPr>
            </w:pPr>
          </w:p>
          <w:p w14:paraId="47FD43EA" w14:textId="6E37086D" w:rsidR="00235D9D" w:rsidRPr="00D85C65" w:rsidRDefault="00FC6275">
            <w:pPr>
              <w:spacing w:before="0" w:after="0"/>
              <w:rPr>
                <w:rFonts w:ascii="Times New Roman" w:hAnsi="Times New Roman"/>
                <w:sz w:val="24"/>
              </w:rPr>
            </w:pPr>
            <w:r w:rsidRPr="00D85C65">
              <w:rPr>
                <w:rFonts w:ascii="Times New Roman" w:hAnsi="Times New Roman"/>
                <w:sz w:val="24"/>
              </w:rPr>
              <w:t>Facility likvidity (LF)</w:t>
            </w:r>
            <w:r w:rsidR="00D85C65">
              <w:rPr>
                <w:rFonts w:ascii="Times New Roman" w:hAnsi="Times New Roman"/>
                <w:sz w:val="24"/>
              </w:rPr>
              <w:t xml:space="preserve"> v </w:t>
            </w:r>
            <w:r w:rsidRPr="00D85C65">
              <w:rPr>
                <w:rFonts w:ascii="Times New Roman" w:hAnsi="Times New Roman"/>
                <w:sz w:val="24"/>
              </w:rPr>
              <w:t>zmysle vymedzenia</w:t>
            </w:r>
            <w:r w:rsidR="00D85C65">
              <w:rPr>
                <w:rFonts w:ascii="Times New Roman" w:hAnsi="Times New Roman"/>
                <w:sz w:val="24"/>
              </w:rPr>
              <w:t xml:space="preserve"> v </w:t>
            </w:r>
            <w:r w:rsidRPr="00D85C65">
              <w:rPr>
                <w:rFonts w:ascii="Times New Roman" w:hAnsi="Times New Roman"/>
                <w:sz w:val="24"/>
              </w:rPr>
              <w:t>článku 242 ods. 3 CRR.</w:t>
            </w:r>
          </w:p>
          <w:p w14:paraId="5A23540E" w14:textId="77777777" w:rsidR="00235D9D" w:rsidRPr="00D85C65" w:rsidRDefault="00235D9D">
            <w:pPr>
              <w:spacing w:before="0" w:after="0"/>
              <w:rPr>
                <w:rFonts w:ascii="Times New Roman" w:hAnsi="Times New Roman"/>
                <w:sz w:val="24"/>
              </w:rPr>
            </w:pPr>
          </w:p>
        </w:tc>
      </w:tr>
      <w:tr w:rsidR="00235D9D" w:rsidRPr="00D85C65" w14:paraId="0D87AF86" w14:textId="77777777" w:rsidTr="00E10B85">
        <w:tc>
          <w:tcPr>
            <w:tcW w:w="1101" w:type="dxa"/>
          </w:tcPr>
          <w:p w14:paraId="2DDDF8AF"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400</w:t>
            </w:r>
          </w:p>
        </w:tc>
        <w:tc>
          <w:tcPr>
            <w:tcW w:w="7903" w:type="dxa"/>
          </w:tcPr>
          <w:p w14:paraId="407C92B2" w14:textId="77777777" w:rsid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INÉ</w:t>
            </w:r>
          </w:p>
          <w:p w14:paraId="30E7CE86" w14:textId="41284219" w:rsidR="00235D9D" w:rsidRPr="00D85C65" w:rsidRDefault="00235D9D">
            <w:pPr>
              <w:spacing w:before="0" w:after="0"/>
              <w:jc w:val="left"/>
              <w:rPr>
                <w:rFonts w:ascii="Times New Roman" w:hAnsi="Times New Roman"/>
                <w:sz w:val="24"/>
              </w:rPr>
            </w:pPr>
          </w:p>
          <w:p w14:paraId="47EAC92A" w14:textId="7EB306EE" w:rsidR="00235D9D" w:rsidRPr="00D85C65" w:rsidRDefault="001C3443">
            <w:pPr>
              <w:spacing w:before="0" w:after="0"/>
              <w:rPr>
                <w:rFonts w:ascii="Times New Roman" w:hAnsi="Times New Roman"/>
                <w:sz w:val="24"/>
              </w:rPr>
            </w:pPr>
            <w:r w:rsidRPr="00D85C65">
              <w:rPr>
                <w:rFonts w:ascii="Times New Roman" w:hAnsi="Times New Roman"/>
                <w:sz w:val="24"/>
              </w:rPr>
              <w:t>Zostávajúce podsúvahové položky.</w:t>
            </w:r>
          </w:p>
          <w:p w14:paraId="15342BF9" w14:textId="77777777" w:rsidR="00235D9D" w:rsidRPr="00D85C65" w:rsidRDefault="00235D9D">
            <w:pPr>
              <w:spacing w:before="0" w:after="0"/>
              <w:jc w:val="left"/>
              <w:rPr>
                <w:rFonts w:ascii="Times New Roman" w:hAnsi="Times New Roman"/>
                <w:sz w:val="24"/>
              </w:rPr>
            </w:pPr>
          </w:p>
        </w:tc>
      </w:tr>
      <w:tr w:rsidR="00235D9D" w:rsidRPr="00D85C65" w14:paraId="123D3B8A" w14:textId="77777777" w:rsidTr="00E10B85">
        <w:tc>
          <w:tcPr>
            <w:tcW w:w="1101" w:type="dxa"/>
          </w:tcPr>
          <w:p w14:paraId="296566C5"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411</w:t>
            </w:r>
          </w:p>
        </w:tc>
        <w:tc>
          <w:tcPr>
            <w:tcW w:w="7903" w:type="dxa"/>
          </w:tcPr>
          <w:p w14:paraId="32246B29"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HODNOTA EXPOZÍCIE</w:t>
            </w:r>
          </w:p>
          <w:p w14:paraId="3A2FC455" w14:textId="77777777" w:rsidR="00235D9D" w:rsidRPr="00D85C65" w:rsidRDefault="00235D9D">
            <w:pPr>
              <w:spacing w:before="0" w:after="0"/>
              <w:jc w:val="left"/>
              <w:rPr>
                <w:rFonts w:ascii="Times New Roman" w:hAnsi="Times New Roman"/>
                <w:b/>
                <w:sz w:val="24"/>
                <w:u w:val="single"/>
              </w:rPr>
            </w:pPr>
          </w:p>
          <w:p w14:paraId="558BD2CF" w14:textId="77777777" w:rsidR="00235D9D" w:rsidRPr="00D85C65" w:rsidRDefault="00FC6275">
            <w:pPr>
              <w:spacing w:before="0" w:after="0"/>
              <w:rPr>
                <w:rFonts w:ascii="Times New Roman" w:hAnsi="Times New Roman"/>
                <w:sz w:val="24"/>
              </w:rPr>
            </w:pPr>
            <w:r w:rsidRPr="00D85C65">
              <w:rPr>
                <w:rFonts w:ascii="Times New Roman" w:hAnsi="Times New Roman"/>
                <w:sz w:val="24"/>
              </w:rPr>
              <w:t>Táto informácia úzko súvisí so stĺpcom 0180 vzoru CR SEC.</w:t>
            </w:r>
          </w:p>
          <w:p w14:paraId="7023388C" w14:textId="77777777" w:rsidR="00235D9D" w:rsidRPr="00D85C65" w:rsidRDefault="00235D9D">
            <w:pPr>
              <w:spacing w:before="0" w:after="0"/>
              <w:jc w:val="left"/>
              <w:rPr>
                <w:rFonts w:ascii="Times New Roman" w:hAnsi="Times New Roman"/>
                <w:b/>
                <w:sz w:val="24"/>
                <w:u w:val="single"/>
              </w:rPr>
            </w:pPr>
          </w:p>
        </w:tc>
      </w:tr>
      <w:tr w:rsidR="00235D9D" w:rsidRPr="00D85C65" w14:paraId="418CFD31" w14:textId="77777777" w:rsidTr="00E10B85">
        <w:tc>
          <w:tcPr>
            <w:tcW w:w="1101" w:type="dxa"/>
          </w:tcPr>
          <w:p w14:paraId="5221C72B"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t>420</w:t>
            </w:r>
          </w:p>
        </w:tc>
        <w:tc>
          <w:tcPr>
            <w:tcW w:w="7903" w:type="dxa"/>
          </w:tcPr>
          <w:p w14:paraId="74E292A3"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 HODNOTA EXPOZÍCIE ODPOČÍTANÁ OD VLASTNÝCH ZDROJOV</w:t>
            </w:r>
          </w:p>
          <w:p w14:paraId="33206523" w14:textId="77777777" w:rsidR="00235D9D" w:rsidRPr="00D85C65" w:rsidRDefault="00235D9D">
            <w:pPr>
              <w:spacing w:before="0" w:after="0"/>
              <w:jc w:val="left"/>
              <w:rPr>
                <w:rFonts w:ascii="Times New Roman" w:hAnsi="Times New Roman"/>
                <w:sz w:val="24"/>
              </w:rPr>
            </w:pPr>
          </w:p>
          <w:p w14:paraId="7CD4B52C" w14:textId="77777777" w:rsidR="00235D9D" w:rsidRPr="00D85C65" w:rsidRDefault="00FC6275">
            <w:pPr>
              <w:spacing w:before="0" w:after="0"/>
              <w:rPr>
                <w:rFonts w:ascii="Times New Roman" w:hAnsi="Times New Roman"/>
                <w:sz w:val="24"/>
              </w:rPr>
            </w:pPr>
            <w:r w:rsidRPr="00D85C65">
              <w:rPr>
                <w:rFonts w:ascii="Times New Roman" w:hAnsi="Times New Roman"/>
                <w:sz w:val="24"/>
              </w:rPr>
              <w:t>Táto informácia úzko súvisí so stĺpcom 0190 vzoru CR SEC.</w:t>
            </w:r>
          </w:p>
          <w:p w14:paraId="07374170" w14:textId="77777777" w:rsidR="00235D9D" w:rsidRPr="00D85C65" w:rsidRDefault="00235D9D">
            <w:pPr>
              <w:spacing w:before="0" w:after="0"/>
              <w:rPr>
                <w:rFonts w:ascii="Times New Roman" w:hAnsi="Times New Roman"/>
                <w:sz w:val="24"/>
              </w:rPr>
            </w:pPr>
          </w:p>
          <w:p w14:paraId="6DD62141" w14:textId="77777777" w:rsidR="00235D9D" w:rsidRPr="00D85C65" w:rsidRDefault="00FC6275">
            <w:pPr>
              <w:spacing w:before="0" w:after="0"/>
              <w:rPr>
                <w:rFonts w:ascii="Times New Roman" w:hAnsi="Times New Roman"/>
                <w:sz w:val="24"/>
              </w:rPr>
            </w:pPr>
            <w:r w:rsidRPr="00D85C65">
              <w:rPr>
                <w:rFonts w:ascii="Times New Roman" w:hAnsi="Times New Roman"/>
                <w:sz w:val="24"/>
              </w:rPr>
              <w:t>V tomto stĺpci sa vykazuje záporná hodnota.</w:t>
            </w:r>
          </w:p>
          <w:p w14:paraId="4AC6A3F6" w14:textId="77777777" w:rsidR="00235D9D" w:rsidRPr="00D85C65" w:rsidRDefault="00235D9D">
            <w:pPr>
              <w:spacing w:before="0" w:after="0"/>
              <w:jc w:val="left"/>
              <w:rPr>
                <w:rFonts w:ascii="Times New Roman" w:hAnsi="Times New Roman"/>
                <w:sz w:val="24"/>
              </w:rPr>
            </w:pPr>
          </w:p>
        </w:tc>
      </w:tr>
      <w:tr w:rsidR="00235D9D" w:rsidRPr="00D85C65" w14:paraId="7B6F2701" w14:textId="77777777" w:rsidTr="00E10B85">
        <w:tc>
          <w:tcPr>
            <w:tcW w:w="1101" w:type="dxa"/>
          </w:tcPr>
          <w:p w14:paraId="58DA1F0F" w14:textId="77777777" w:rsidR="00235D9D" w:rsidRPr="00D85C65" w:rsidDel="00304CB1" w:rsidRDefault="00FC6275">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430</w:t>
            </w:r>
          </w:p>
        </w:tc>
        <w:tc>
          <w:tcPr>
            <w:tcW w:w="7903" w:type="dxa"/>
          </w:tcPr>
          <w:p w14:paraId="42E66F9F"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CELKOVÁ HODNOTA RIZIKOVO VÁŽENEJ EXPOZÍCIE PRED OHRANIČENÍM</w:t>
            </w:r>
          </w:p>
          <w:p w14:paraId="1D54F331" w14:textId="77777777" w:rsidR="00235D9D" w:rsidRPr="00D85C65" w:rsidRDefault="00235D9D">
            <w:pPr>
              <w:spacing w:before="0" w:after="0"/>
              <w:jc w:val="left"/>
              <w:rPr>
                <w:rFonts w:ascii="Times New Roman" w:hAnsi="Times New Roman"/>
                <w:sz w:val="24"/>
              </w:rPr>
            </w:pPr>
          </w:p>
          <w:p w14:paraId="5F025CC4" w14:textId="1D2BE92E" w:rsidR="00235D9D" w:rsidRPr="00D85C65" w:rsidRDefault="00FC6275">
            <w:pPr>
              <w:spacing w:before="0" w:after="0"/>
              <w:rPr>
                <w:rFonts w:ascii="Times New Roman" w:hAnsi="Times New Roman"/>
                <w:sz w:val="24"/>
              </w:rPr>
            </w:pPr>
            <w:r w:rsidRPr="00D85C65">
              <w:rPr>
                <w:rFonts w:ascii="Times New Roman" w:hAnsi="Times New Roman"/>
                <w:sz w:val="24"/>
              </w:rPr>
              <w:t>V tomto stĺpci sa vykazujú informácie</w:t>
            </w:r>
            <w:r w:rsidR="00D85C65">
              <w:rPr>
                <w:rFonts w:ascii="Times New Roman" w:hAnsi="Times New Roman"/>
                <w:sz w:val="24"/>
              </w:rPr>
              <w:t xml:space="preserve"> o </w:t>
            </w:r>
            <w:r w:rsidRPr="00D85C65">
              <w:rPr>
                <w:rFonts w:ascii="Times New Roman" w:hAnsi="Times New Roman"/>
                <w:sz w:val="24"/>
              </w:rPr>
              <w:t>hodnote rizikovo vážených expozícií pred uplatnením ohraničenia, ktoré sa vzťahuje na sekuritizačné pozície (t. j.</w:t>
            </w:r>
            <w:r w:rsidR="00D85C65">
              <w:rPr>
                <w:rFonts w:ascii="Times New Roman" w:hAnsi="Times New Roman"/>
                <w:sz w:val="24"/>
              </w:rPr>
              <w:t xml:space="preserve"> v </w:t>
            </w:r>
            <w:r w:rsidRPr="00D85C65">
              <w:rPr>
                <w:rFonts w:ascii="Times New Roman" w:hAnsi="Times New Roman"/>
                <w:sz w:val="24"/>
              </w:rPr>
              <w:t>prípade schém sekuritizácií</w:t>
            </w:r>
            <w:r w:rsidR="00D85C65">
              <w:rPr>
                <w:rFonts w:ascii="Times New Roman" w:hAnsi="Times New Roman"/>
                <w:sz w:val="24"/>
              </w:rPr>
              <w:t xml:space="preserve"> s </w:t>
            </w:r>
            <w:r w:rsidRPr="00D85C65">
              <w:rPr>
                <w:rFonts w:ascii="Times New Roman" w:hAnsi="Times New Roman"/>
                <w:sz w:val="24"/>
              </w:rPr>
              <w:t>presunom významného rizika).</w:t>
            </w:r>
            <w:r w:rsidR="00D85C65">
              <w:rPr>
                <w:rFonts w:ascii="Times New Roman" w:hAnsi="Times New Roman"/>
                <w:sz w:val="24"/>
              </w:rPr>
              <w:t xml:space="preserve"> V </w:t>
            </w:r>
            <w:r w:rsidRPr="00D85C65">
              <w:rPr>
                <w:rFonts w:ascii="Times New Roman" w:hAnsi="Times New Roman"/>
                <w:sz w:val="24"/>
              </w:rPr>
              <w:t>prípade schém sekuritizácií bez presunu významného rizika (t. j. hodnota rizikovo vážených expozícií určená na základe sekuritizovaných expozícií) sa tento stĺpec nevypĺňa.</w:t>
            </w:r>
          </w:p>
          <w:p w14:paraId="78ADAD5B" w14:textId="77777777" w:rsidR="00235D9D" w:rsidRPr="00D85C65" w:rsidRDefault="00235D9D">
            <w:pPr>
              <w:spacing w:before="0" w:after="0"/>
              <w:jc w:val="left"/>
              <w:rPr>
                <w:rFonts w:ascii="Times New Roman" w:hAnsi="Times New Roman"/>
                <w:sz w:val="24"/>
              </w:rPr>
            </w:pPr>
          </w:p>
          <w:p w14:paraId="7BE79F30" w14:textId="0EB7B498" w:rsidR="00D85C65" w:rsidRDefault="00FC6275">
            <w:pPr>
              <w:spacing w:before="0" w:after="0"/>
              <w:jc w:val="left"/>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sekuritizácií záväzkov</w:t>
            </w:r>
            <w:r w:rsidR="00D85C65">
              <w:rPr>
                <w:rFonts w:ascii="Times New Roman" w:hAnsi="Times New Roman"/>
                <w:sz w:val="24"/>
              </w:rPr>
              <w:t>.</w:t>
            </w:r>
          </w:p>
          <w:p w14:paraId="73C12B72" w14:textId="16B6BFC5" w:rsidR="00235D9D" w:rsidRPr="00D85C65" w:rsidRDefault="00235D9D">
            <w:pPr>
              <w:spacing w:before="0" w:after="0"/>
              <w:jc w:val="left"/>
              <w:rPr>
                <w:rFonts w:ascii="Times New Roman" w:hAnsi="Times New Roman"/>
                <w:sz w:val="24"/>
              </w:rPr>
            </w:pPr>
          </w:p>
          <w:p w14:paraId="57A48FEB" w14:textId="164D4C1A" w:rsidR="00D85C65" w:rsidRDefault="00FC6275">
            <w:pPr>
              <w:spacing w:before="0" w:after="0"/>
              <w:jc w:val="left"/>
              <w:rPr>
                <w:rFonts w:ascii="Times New Roman" w:hAnsi="Times New Roman"/>
                <w:sz w:val="24"/>
              </w:rPr>
            </w:pPr>
            <w:r w:rsidRPr="00D85C65">
              <w:rPr>
                <w:rFonts w:ascii="Times New Roman" w:hAnsi="Times New Roman"/>
                <w:sz w:val="24"/>
              </w:rPr>
              <w:t>V prípade sekuritizácií</w:t>
            </w:r>
            <w:r w:rsidR="00D85C65">
              <w:rPr>
                <w:rFonts w:ascii="Times New Roman" w:hAnsi="Times New Roman"/>
                <w:sz w:val="24"/>
              </w:rPr>
              <w:t xml:space="preserve"> v </w:t>
            </w:r>
            <w:r w:rsidRPr="00D85C65">
              <w:rPr>
                <w:rFonts w:ascii="Times New Roman" w:hAnsi="Times New Roman"/>
                <w:sz w:val="24"/>
              </w:rPr>
              <w:t>obchodnej knihe sa vykazuje RWEA týkajúca sa špecifického rizika. Pozri stĺpec 570 vzoru MKR SA SEC, resp. stĺpce 410</w:t>
            </w:r>
            <w:r w:rsidR="00D85C65">
              <w:rPr>
                <w:rFonts w:ascii="Times New Roman" w:hAnsi="Times New Roman"/>
                <w:sz w:val="24"/>
              </w:rPr>
              <w:t xml:space="preserve"> a </w:t>
            </w:r>
            <w:r w:rsidRPr="00D85C65">
              <w:rPr>
                <w:rFonts w:ascii="Times New Roman" w:hAnsi="Times New Roman"/>
                <w:sz w:val="24"/>
              </w:rPr>
              <w:t>420 (relevantný stĺpec pre požiadavku na vlastné zdroje) vzoru MKR SA CTP</w:t>
            </w:r>
            <w:r w:rsidR="00D85C65">
              <w:rPr>
                <w:rFonts w:ascii="Times New Roman" w:hAnsi="Times New Roman"/>
                <w:sz w:val="24"/>
              </w:rPr>
              <w:t>.</w:t>
            </w:r>
          </w:p>
          <w:p w14:paraId="00634588" w14:textId="7FD2DE3C" w:rsidR="00235D9D" w:rsidRPr="00D85C65" w:rsidRDefault="00235D9D">
            <w:pPr>
              <w:spacing w:before="0" w:after="0"/>
              <w:jc w:val="left"/>
              <w:rPr>
                <w:rFonts w:ascii="Times New Roman" w:hAnsi="Times New Roman"/>
                <w:b/>
                <w:sz w:val="24"/>
                <w:u w:val="single"/>
              </w:rPr>
            </w:pPr>
          </w:p>
        </w:tc>
      </w:tr>
      <w:tr w:rsidR="00235D9D" w:rsidRPr="00D85C65" w14:paraId="75EBB5F1" w14:textId="77777777" w:rsidTr="00E10B85">
        <w:tc>
          <w:tcPr>
            <w:tcW w:w="1101" w:type="dxa"/>
          </w:tcPr>
          <w:p w14:paraId="72383ED5"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431</w:t>
            </w:r>
          </w:p>
        </w:tc>
        <w:tc>
          <w:tcPr>
            <w:tcW w:w="7903" w:type="dxa"/>
          </w:tcPr>
          <w:p w14:paraId="72CF6823" w14:textId="03F08439"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 ZNÍŽENIE</w:t>
            </w:r>
            <w:r w:rsidR="00D85C65">
              <w:rPr>
                <w:rFonts w:ascii="Times New Roman" w:hAnsi="Times New Roman"/>
                <w:b/>
                <w:sz w:val="24"/>
                <w:u w:val="single"/>
              </w:rPr>
              <w:t xml:space="preserve"> V </w:t>
            </w:r>
            <w:r w:rsidRPr="00D85C65">
              <w:rPr>
                <w:rFonts w:ascii="Times New Roman" w:hAnsi="Times New Roman"/>
                <w:b/>
                <w:sz w:val="24"/>
                <w:u w:val="single"/>
              </w:rPr>
              <w:t>DÔSLEDKU HORNÉHO OHRANIČENIA RIZIKOVEJ VÁHY</w:t>
            </w:r>
          </w:p>
          <w:p w14:paraId="19DB032C" w14:textId="77777777" w:rsidR="00235D9D" w:rsidRPr="00D85C65" w:rsidRDefault="00235D9D">
            <w:pPr>
              <w:spacing w:before="0" w:after="0"/>
              <w:jc w:val="left"/>
              <w:rPr>
                <w:rFonts w:ascii="Times New Roman" w:hAnsi="Times New Roman"/>
                <w:b/>
                <w:sz w:val="24"/>
                <w:u w:val="single"/>
              </w:rPr>
            </w:pPr>
          </w:p>
          <w:p w14:paraId="02157D97" w14:textId="1AFC0212" w:rsidR="00235D9D" w:rsidRPr="00D85C65" w:rsidRDefault="00FC6275">
            <w:pPr>
              <w:spacing w:before="0" w:after="0"/>
              <w:jc w:val="left"/>
              <w:rPr>
                <w:rFonts w:ascii="Times New Roman" w:hAnsi="Times New Roman"/>
                <w:sz w:val="24"/>
              </w:rPr>
            </w:pPr>
            <w:r w:rsidRPr="00D85C65">
              <w:rPr>
                <w:rFonts w:ascii="Times New Roman" w:hAnsi="Times New Roman"/>
                <w:sz w:val="24"/>
              </w:rPr>
              <w:t>Článok 267 CRR.</w:t>
            </w:r>
          </w:p>
          <w:p w14:paraId="0D7FABBA" w14:textId="77777777" w:rsidR="00235D9D" w:rsidRPr="00D85C65" w:rsidRDefault="00235D9D">
            <w:pPr>
              <w:spacing w:before="0" w:after="0"/>
              <w:jc w:val="left"/>
              <w:rPr>
                <w:rFonts w:ascii="Times New Roman" w:hAnsi="Times New Roman"/>
                <w:b/>
                <w:sz w:val="24"/>
                <w:u w:val="single"/>
              </w:rPr>
            </w:pPr>
          </w:p>
        </w:tc>
      </w:tr>
      <w:tr w:rsidR="00235D9D" w:rsidRPr="00D85C65" w14:paraId="0BCA0CA8" w14:textId="77777777" w:rsidTr="00E10B85">
        <w:tc>
          <w:tcPr>
            <w:tcW w:w="1101" w:type="dxa"/>
          </w:tcPr>
          <w:p w14:paraId="6EAFD84F"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432</w:t>
            </w:r>
          </w:p>
        </w:tc>
        <w:tc>
          <w:tcPr>
            <w:tcW w:w="7903" w:type="dxa"/>
          </w:tcPr>
          <w:p w14:paraId="6B0A2EFB" w14:textId="40CC09E8"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 ZNÍŽENIE</w:t>
            </w:r>
            <w:r w:rsidR="00D85C65">
              <w:rPr>
                <w:rFonts w:ascii="Times New Roman" w:hAnsi="Times New Roman"/>
                <w:b/>
                <w:sz w:val="24"/>
                <w:u w:val="single"/>
              </w:rPr>
              <w:t xml:space="preserve"> V </w:t>
            </w:r>
            <w:r w:rsidRPr="00D85C65">
              <w:rPr>
                <w:rFonts w:ascii="Times New Roman" w:hAnsi="Times New Roman"/>
                <w:b/>
                <w:sz w:val="24"/>
                <w:u w:val="single"/>
              </w:rPr>
              <w:t>DÔSLEDKU CELKOVÉHO HORNÉHO OHRANIČENIA</w:t>
            </w:r>
          </w:p>
          <w:p w14:paraId="00B93CC3" w14:textId="77777777" w:rsidR="00235D9D" w:rsidRPr="00D85C65" w:rsidRDefault="00235D9D">
            <w:pPr>
              <w:spacing w:before="0" w:after="0"/>
              <w:jc w:val="left"/>
              <w:rPr>
                <w:rFonts w:ascii="Times New Roman" w:hAnsi="Times New Roman"/>
                <w:b/>
                <w:sz w:val="24"/>
                <w:u w:val="single"/>
              </w:rPr>
            </w:pPr>
          </w:p>
          <w:p w14:paraId="5D5CB5C4" w14:textId="74AB04EA" w:rsidR="00235D9D" w:rsidRPr="00D85C65" w:rsidRDefault="00FC6275">
            <w:pPr>
              <w:spacing w:before="0" w:after="0"/>
              <w:jc w:val="left"/>
              <w:rPr>
                <w:rFonts w:ascii="Times New Roman" w:hAnsi="Times New Roman"/>
                <w:sz w:val="24"/>
              </w:rPr>
            </w:pPr>
            <w:r w:rsidRPr="00D85C65">
              <w:rPr>
                <w:rFonts w:ascii="Times New Roman" w:hAnsi="Times New Roman"/>
                <w:sz w:val="24"/>
              </w:rPr>
              <w:t>Článok 268 CRR.</w:t>
            </w:r>
          </w:p>
          <w:p w14:paraId="48B6117F" w14:textId="77777777" w:rsidR="00235D9D" w:rsidRPr="00D85C65" w:rsidRDefault="00235D9D">
            <w:pPr>
              <w:spacing w:before="0" w:after="0"/>
              <w:jc w:val="left"/>
              <w:rPr>
                <w:rFonts w:ascii="Times New Roman" w:hAnsi="Times New Roman"/>
                <w:b/>
                <w:sz w:val="24"/>
                <w:u w:val="single"/>
              </w:rPr>
            </w:pPr>
          </w:p>
        </w:tc>
      </w:tr>
      <w:tr w:rsidR="00235D9D" w:rsidRPr="00D85C65" w14:paraId="5507B657" w14:textId="77777777" w:rsidTr="00E10B85">
        <w:tc>
          <w:tcPr>
            <w:tcW w:w="1101" w:type="dxa"/>
          </w:tcPr>
          <w:p w14:paraId="61544280" w14:textId="77777777" w:rsidR="00235D9D" w:rsidRPr="00D85C65" w:rsidRDefault="00FC6275">
            <w:pPr>
              <w:autoSpaceDE w:val="0"/>
              <w:autoSpaceDN w:val="0"/>
              <w:adjustRightInd w:val="0"/>
              <w:spacing w:before="0" w:after="0"/>
              <w:rPr>
                <w:rFonts w:ascii="Times New Roman" w:hAnsi="Times New Roman"/>
                <w:bCs/>
                <w:sz w:val="24"/>
              </w:rPr>
            </w:pPr>
            <w:r w:rsidRPr="00D85C65">
              <w:rPr>
                <w:rFonts w:ascii="Times New Roman" w:hAnsi="Times New Roman"/>
                <w:sz w:val="24"/>
              </w:rPr>
              <w:t>440</w:t>
            </w:r>
          </w:p>
        </w:tc>
        <w:tc>
          <w:tcPr>
            <w:tcW w:w="7903" w:type="dxa"/>
          </w:tcPr>
          <w:p w14:paraId="78880E8D"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CELKOVÁ HODNOTA RIZIKOVO VÁŽENEJ EXPOZÍCIE PO OHRANIČENÍ</w:t>
            </w:r>
          </w:p>
          <w:p w14:paraId="16A32033" w14:textId="77777777" w:rsidR="00235D9D" w:rsidRPr="00D85C65" w:rsidRDefault="00235D9D">
            <w:pPr>
              <w:spacing w:before="0" w:after="0"/>
              <w:jc w:val="left"/>
              <w:rPr>
                <w:rFonts w:ascii="Times New Roman" w:hAnsi="Times New Roman"/>
                <w:sz w:val="24"/>
              </w:rPr>
            </w:pPr>
          </w:p>
          <w:p w14:paraId="0B170A70" w14:textId="46DACBBC" w:rsidR="00235D9D" w:rsidRPr="00D85C65" w:rsidRDefault="00FC6275">
            <w:pPr>
              <w:spacing w:before="0" w:after="0"/>
              <w:rPr>
                <w:rFonts w:ascii="Times New Roman" w:hAnsi="Times New Roman"/>
                <w:sz w:val="24"/>
              </w:rPr>
            </w:pPr>
            <w:r w:rsidRPr="00D85C65">
              <w:rPr>
                <w:rFonts w:ascii="Times New Roman" w:hAnsi="Times New Roman"/>
                <w:sz w:val="24"/>
              </w:rPr>
              <w:t>V tomto stĺpci sa vykazujú informácie</w:t>
            </w:r>
            <w:r w:rsidR="00D85C65">
              <w:rPr>
                <w:rFonts w:ascii="Times New Roman" w:hAnsi="Times New Roman"/>
                <w:sz w:val="24"/>
              </w:rPr>
              <w:t xml:space="preserve"> o </w:t>
            </w:r>
            <w:r w:rsidRPr="00D85C65">
              <w:rPr>
                <w:rFonts w:ascii="Times New Roman" w:hAnsi="Times New Roman"/>
                <w:sz w:val="24"/>
              </w:rPr>
              <w:t>hodnote rizikovo vážených expozícií po uplatnení ohraničenia, ktoré sa vzťahuje na sekuritizačné pozície (t. j.</w:t>
            </w:r>
            <w:r w:rsidR="00D85C65">
              <w:rPr>
                <w:rFonts w:ascii="Times New Roman" w:hAnsi="Times New Roman"/>
                <w:sz w:val="24"/>
              </w:rPr>
              <w:t xml:space="preserve"> v </w:t>
            </w:r>
            <w:r w:rsidRPr="00D85C65">
              <w:rPr>
                <w:rFonts w:ascii="Times New Roman" w:hAnsi="Times New Roman"/>
                <w:sz w:val="24"/>
              </w:rPr>
              <w:t>prípade schém sekuritizácií</w:t>
            </w:r>
            <w:r w:rsidR="00D85C65">
              <w:rPr>
                <w:rFonts w:ascii="Times New Roman" w:hAnsi="Times New Roman"/>
                <w:sz w:val="24"/>
              </w:rPr>
              <w:t xml:space="preserve"> s </w:t>
            </w:r>
            <w:r w:rsidRPr="00D85C65">
              <w:rPr>
                <w:rFonts w:ascii="Times New Roman" w:hAnsi="Times New Roman"/>
                <w:sz w:val="24"/>
              </w:rPr>
              <w:t>presunom významného rizika).</w:t>
            </w:r>
            <w:r w:rsidR="00D85C65">
              <w:rPr>
                <w:rFonts w:ascii="Times New Roman" w:hAnsi="Times New Roman"/>
                <w:sz w:val="24"/>
              </w:rPr>
              <w:t xml:space="preserve"> V </w:t>
            </w:r>
            <w:r w:rsidRPr="00D85C65">
              <w:rPr>
                <w:rFonts w:ascii="Times New Roman" w:hAnsi="Times New Roman"/>
                <w:sz w:val="24"/>
              </w:rPr>
              <w:t>prípade sekuritizačných schém bez presunu významného rizika (t. j. požiadavky na vlastné zdroje určené na základe sekuritizovaných expozícií) sa tento stĺpec nevypĺňa.</w:t>
            </w:r>
          </w:p>
          <w:p w14:paraId="0DF83039" w14:textId="77777777" w:rsidR="00235D9D" w:rsidRPr="00D85C65" w:rsidRDefault="00235D9D">
            <w:pPr>
              <w:spacing w:before="0" w:after="0"/>
              <w:rPr>
                <w:rFonts w:ascii="Times New Roman" w:hAnsi="Times New Roman"/>
                <w:sz w:val="24"/>
              </w:rPr>
            </w:pPr>
          </w:p>
          <w:p w14:paraId="1D79560D" w14:textId="44DE0BE5" w:rsidR="00D85C65" w:rsidRDefault="00FC6275">
            <w:pPr>
              <w:spacing w:before="0" w:after="0"/>
              <w:rPr>
                <w:rFonts w:ascii="Times New Roman" w:hAnsi="Times New Roman"/>
                <w:sz w:val="24"/>
              </w:rPr>
            </w:pPr>
            <w:r w:rsidRPr="00D85C65">
              <w:rPr>
                <w:rFonts w:ascii="Times New Roman" w:hAnsi="Times New Roman"/>
                <w:sz w:val="24"/>
              </w:rPr>
              <w:t>Tento stĺpec sa nevypĺňa</w:t>
            </w:r>
            <w:r w:rsidR="00D85C65">
              <w:rPr>
                <w:rFonts w:ascii="Times New Roman" w:hAnsi="Times New Roman"/>
                <w:sz w:val="24"/>
              </w:rPr>
              <w:t xml:space="preserve"> v </w:t>
            </w:r>
            <w:r w:rsidRPr="00D85C65">
              <w:rPr>
                <w:rFonts w:ascii="Times New Roman" w:hAnsi="Times New Roman"/>
                <w:sz w:val="24"/>
              </w:rPr>
              <w:t>prípade sekuritizácií záväzkov</w:t>
            </w:r>
            <w:r w:rsidR="00D85C65">
              <w:rPr>
                <w:rFonts w:ascii="Times New Roman" w:hAnsi="Times New Roman"/>
                <w:sz w:val="24"/>
              </w:rPr>
              <w:t>.</w:t>
            </w:r>
          </w:p>
          <w:p w14:paraId="1F88ED81" w14:textId="5F320868" w:rsidR="00235D9D" w:rsidRPr="00D85C65" w:rsidRDefault="00235D9D">
            <w:pPr>
              <w:spacing w:before="0" w:after="0"/>
              <w:rPr>
                <w:rFonts w:ascii="Times New Roman" w:hAnsi="Times New Roman"/>
                <w:sz w:val="24"/>
              </w:rPr>
            </w:pPr>
          </w:p>
          <w:p w14:paraId="630C2349" w14:textId="2E8A234A" w:rsidR="00235D9D" w:rsidRPr="00D85C65" w:rsidRDefault="00FC6275">
            <w:pPr>
              <w:spacing w:before="0" w:after="0"/>
              <w:rPr>
                <w:rFonts w:ascii="Times New Roman" w:hAnsi="Times New Roman"/>
                <w:sz w:val="24"/>
              </w:rPr>
            </w:pPr>
            <w:r w:rsidRPr="00D85C65">
              <w:rPr>
                <w:rFonts w:ascii="Times New Roman" w:hAnsi="Times New Roman"/>
                <w:sz w:val="24"/>
              </w:rPr>
              <w:t>V prípade sekuritizácií</w:t>
            </w:r>
            <w:r w:rsidR="00D85C65">
              <w:rPr>
                <w:rFonts w:ascii="Times New Roman" w:hAnsi="Times New Roman"/>
                <w:sz w:val="24"/>
              </w:rPr>
              <w:t xml:space="preserve"> v </w:t>
            </w:r>
            <w:r w:rsidRPr="00D85C65">
              <w:rPr>
                <w:rFonts w:ascii="Times New Roman" w:hAnsi="Times New Roman"/>
                <w:sz w:val="24"/>
              </w:rPr>
              <w:t>obchodnej knihe sa vykazuje RWEA týkajúca sa špecifického rizika. Pozri stĺpec 600 vzoru MKR SA SEC alebo prípadne stĺpec 450 vzoru MKR SA CTP.</w:t>
            </w:r>
          </w:p>
          <w:p w14:paraId="63B294EA" w14:textId="77777777" w:rsidR="00235D9D" w:rsidRPr="00D85C65" w:rsidRDefault="00235D9D">
            <w:pPr>
              <w:spacing w:before="0" w:after="0"/>
              <w:jc w:val="left"/>
              <w:rPr>
                <w:rFonts w:ascii="Times New Roman" w:hAnsi="Times New Roman"/>
                <w:sz w:val="24"/>
              </w:rPr>
            </w:pPr>
          </w:p>
        </w:tc>
      </w:tr>
      <w:tr w:rsidR="00235D9D" w:rsidRPr="00D85C65" w14:paraId="1297821E" w14:textId="77777777" w:rsidTr="00E10B85">
        <w:tc>
          <w:tcPr>
            <w:tcW w:w="1101" w:type="dxa"/>
          </w:tcPr>
          <w:p w14:paraId="23EAFF93"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447 – 448</w:t>
            </w:r>
          </w:p>
        </w:tc>
        <w:tc>
          <w:tcPr>
            <w:tcW w:w="7903" w:type="dxa"/>
          </w:tcPr>
          <w:p w14:paraId="095B6753"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DOPLŇUJÚCE POLOŽKY</w:t>
            </w:r>
          </w:p>
        </w:tc>
      </w:tr>
      <w:tr w:rsidR="00235D9D" w:rsidRPr="00D85C65" w14:paraId="29E4D611" w14:textId="77777777" w:rsidTr="00E10B85">
        <w:tc>
          <w:tcPr>
            <w:tcW w:w="1101" w:type="dxa"/>
          </w:tcPr>
          <w:p w14:paraId="59677DC2"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447</w:t>
            </w:r>
          </w:p>
        </w:tc>
        <w:tc>
          <w:tcPr>
            <w:tcW w:w="7903" w:type="dxa"/>
          </w:tcPr>
          <w:p w14:paraId="7250528A" w14:textId="2F771686"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HODNOTA RIZIKOVO VÁŽENEJ EXPOZÍCIE</w:t>
            </w:r>
            <w:r w:rsidR="00D85C65">
              <w:rPr>
                <w:rFonts w:ascii="Times New Roman" w:hAnsi="Times New Roman"/>
                <w:b/>
                <w:sz w:val="24"/>
                <w:u w:val="single"/>
              </w:rPr>
              <w:t xml:space="preserve"> V </w:t>
            </w:r>
            <w:r w:rsidRPr="00D85C65">
              <w:rPr>
                <w:rFonts w:ascii="Times New Roman" w:hAnsi="Times New Roman"/>
                <w:b/>
                <w:sz w:val="24"/>
                <w:u w:val="single"/>
              </w:rPr>
              <w:t>RÁMCI SEC-ERBA</w:t>
            </w:r>
          </w:p>
          <w:p w14:paraId="0E7B7AE3" w14:textId="77777777" w:rsidR="00235D9D" w:rsidRPr="00D85C65" w:rsidRDefault="00235D9D">
            <w:pPr>
              <w:spacing w:before="0" w:after="0"/>
              <w:jc w:val="left"/>
              <w:rPr>
                <w:rFonts w:ascii="Times New Roman" w:hAnsi="Times New Roman"/>
                <w:b/>
                <w:sz w:val="24"/>
                <w:u w:val="single"/>
              </w:rPr>
            </w:pPr>
          </w:p>
          <w:p w14:paraId="7EA50C02" w14:textId="2DCADC76" w:rsidR="00D85C65" w:rsidRDefault="00FC6275">
            <w:pPr>
              <w:spacing w:before="0" w:after="0"/>
              <w:jc w:val="left"/>
              <w:rPr>
                <w:rFonts w:ascii="Times New Roman" w:hAnsi="Times New Roman"/>
                <w:sz w:val="24"/>
              </w:rPr>
            </w:pPr>
            <w:r w:rsidRPr="00D85C65">
              <w:rPr>
                <w:rFonts w:ascii="Times New Roman" w:hAnsi="Times New Roman"/>
                <w:sz w:val="24"/>
              </w:rPr>
              <w:t>Články 263</w:t>
            </w:r>
            <w:r w:rsidR="00D85C65">
              <w:rPr>
                <w:rFonts w:ascii="Times New Roman" w:hAnsi="Times New Roman"/>
                <w:sz w:val="24"/>
              </w:rPr>
              <w:t xml:space="preserve"> a </w:t>
            </w:r>
            <w:r w:rsidRPr="00D85C65">
              <w:rPr>
                <w:rFonts w:ascii="Times New Roman" w:hAnsi="Times New Roman"/>
                <w:sz w:val="24"/>
              </w:rPr>
              <w:t>264 CRR. Tento stĺpec sa vykazuje len pre transakcie</w:t>
            </w:r>
            <w:r w:rsidR="00D85C65">
              <w:rPr>
                <w:rFonts w:ascii="Times New Roman" w:hAnsi="Times New Roman"/>
                <w:sz w:val="24"/>
              </w:rPr>
              <w:t xml:space="preserve"> s </w:t>
            </w:r>
            <w:r w:rsidRPr="00D85C65">
              <w:rPr>
                <w:rFonts w:ascii="Times New Roman" w:hAnsi="Times New Roman"/>
                <w:sz w:val="24"/>
              </w:rPr>
              <w:t>ratingovým hodnotením pred uplatnením horného ohraničenia, pričom pre transakcie</w:t>
            </w:r>
            <w:r w:rsidR="00D85C65">
              <w:rPr>
                <w:rFonts w:ascii="Times New Roman" w:hAnsi="Times New Roman"/>
                <w:sz w:val="24"/>
              </w:rPr>
              <w:t xml:space="preserve"> v </w:t>
            </w:r>
            <w:r w:rsidRPr="00D85C65">
              <w:rPr>
                <w:rFonts w:ascii="Times New Roman" w:hAnsi="Times New Roman"/>
                <w:sz w:val="24"/>
              </w:rPr>
              <w:t>rámci SEC-ERBA sa nevykazuje</w:t>
            </w:r>
            <w:r w:rsidR="00D85C65">
              <w:rPr>
                <w:rFonts w:ascii="Times New Roman" w:hAnsi="Times New Roman"/>
                <w:sz w:val="24"/>
              </w:rPr>
              <w:t>.</w:t>
            </w:r>
          </w:p>
          <w:p w14:paraId="7824768C" w14:textId="52E6E326" w:rsidR="00235D9D" w:rsidRPr="00D85C65" w:rsidRDefault="00235D9D">
            <w:pPr>
              <w:spacing w:before="0" w:after="0"/>
              <w:jc w:val="left"/>
              <w:rPr>
                <w:rFonts w:ascii="Times New Roman" w:hAnsi="Times New Roman"/>
                <w:b/>
                <w:sz w:val="24"/>
                <w:u w:val="single"/>
              </w:rPr>
            </w:pPr>
          </w:p>
        </w:tc>
      </w:tr>
      <w:tr w:rsidR="00235D9D" w:rsidRPr="00D85C65" w14:paraId="46017789" w14:textId="77777777" w:rsidTr="00E10B85">
        <w:tc>
          <w:tcPr>
            <w:tcW w:w="1101" w:type="dxa"/>
          </w:tcPr>
          <w:p w14:paraId="4AF511BB" w14:textId="77777777" w:rsidR="00235D9D" w:rsidRPr="00D85C65"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448</w:t>
            </w:r>
          </w:p>
        </w:tc>
        <w:tc>
          <w:tcPr>
            <w:tcW w:w="7903" w:type="dxa"/>
          </w:tcPr>
          <w:p w14:paraId="36B61EAE" w14:textId="72F5BE50"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HODNOTA RIZIKOVO VÁŽENEJ EXPOZÍCIE</w:t>
            </w:r>
            <w:r w:rsidR="00D85C65">
              <w:rPr>
                <w:rFonts w:ascii="Times New Roman" w:hAnsi="Times New Roman"/>
                <w:b/>
                <w:sz w:val="24"/>
                <w:u w:val="single"/>
              </w:rPr>
              <w:t xml:space="preserve"> V </w:t>
            </w:r>
            <w:r w:rsidRPr="00D85C65">
              <w:rPr>
                <w:rFonts w:ascii="Times New Roman" w:hAnsi="Times New Roman"/>
                <w:b/>
                <w:sz w:val="24"/>
                <w:u w:val="single"/>
              </w:rPr>
              <w:t>RÁMCI SEC-SA</w:t>
            </w:r>
          </w:p>
          <w:p w14:paraId="03C3DAB2" w14:textId="77777777" w:rsidR="00235D9D" w:rsidRPr="00D85C65" w:rsidRDefault="00235D9D">
            <w:pPr>
              <w:spacing w:before="0" w:after="0"/>
              <w:jc w:val="left"/>
              <w:rPr>
                <w:rFonts w:ascii="Times New Roman" w:hAnsi="Times New Roman"/>
                <w:b/>
                <w:sz w:val="24"/>
                <w:u w:val="single"/>
              </w:rPr>
            </w:pPr>
          </w:p>
          <w:p w14:paraId="0BA99E35" w14:textId="574DB604" w:rsidR="00235D9D" w:rsidRPr="00D85C65" w:rsidRDefault="00FC6275">
            <w:pPr>
              <w:spacing w:before="0" w:after="0"/>
              <w:jc w:val="left"/>
              <w:rPr>
                <w:rFonts w:ascii="Times New Roman" w:hAnsi="Times New Roman"/>
                <w:sz w:val="24"/>
              </w:rPr>
            </w:pPr>
            <w:r w:rsidRPr="00D85C65">
              <w:rPr>
                <w:rFonts w:ascii="Times New Roman" w:hAnsi="Times New Roman"/>
                <w:sz w:val="24"/>
              </w:rPr>
              <w:t>Články 261</w:t>
            </w:r>
            <w:r w:rsidR="00D85C65">
              <w:rPr>
                <w:rFonts w:ascii="Times New Roman" w:hAnsi="Times New Roman"/>
                <w:sz w:val="24"/>
              </w:rPr>
              <w:t xml:space="preserve"> a </w:t>
            </w:r>
            <w:r w:rsidRPr="00D85C65">
              <w:rPr>
                <w:rFonts w:ascii="Times New Roman" w:hAnsi="Times New Roman"/>
                <w:sz w:val="24"/>
              </w:rPr>
              <w:t>262 CRR. Tento stĺpec sa vykazuje pred uplatnením horného ohraničenia, pričom pre transakcie</w:t>
            </w:r>
            <w:r w:rsidR="00D85C65">
              <w:rPr>
                <w:rFonts w:ascii="Times New Roman" w:hAnsi="Times New Roman"/>
                <w:sz w:val="24"/>
              </w:rPr>
              <w:t xml:space="preserve"> v </w:t>
            </w:r>
            <w:r w:rsidRPr="00D85C65">
              <w:rPr>
                <w:rFonts w:ascii="Times New Roman" w:hAnsi="Times New Roman"/>
                <w:sz w:val="24"/>
              </w:rPr>
              <w:t>rámci SEC-SA sa nevykazuje.</w:t>
            </w:r>
          </w:p>
          <w:p w14:paraId="05270BEF" w14:textId="77777777" w:rsidR="00235D9D" w:rsidRPr="00D85C65" w:rsidRDefault="00235D9D">
            <w:pPr>
              <w:spacing w:before="0" w:after="0"/>
              <w:jc w:val="left"/>
              <w:rPr>
                <w:rFonts w:ascii="Times New Roman" w:hAnsi="Times New Roman"/>
                <w:b/>
                <w:sz w:val="24"/>
                <w:u w:val="single"/>
              </w:rPr>
            </w:pPr>
          </w:p>
        </w:tc>
      </w:tr>
      <w:tr w:rsidR="00235D9D" w:rsidRPr="00D85C65" w14:paraId="1AE066A2" w14:textId="77777777" w:rsidTr="00E10B85">
        <w:tc>
          <w:tcPr>
            <w:tcW w:w="1101" w:type="dxa"/>
            <w:shd w:val="clear" w:color="auto" w:fill="auto"/>
          </w:tcPr>
          <w:p w14:paraId="4153A6F3" w14:textId="77777777" w:rsidR="00235D9D" w:rsidRPr="00D85C65" w:rsidRDefault="00677A91">
            <w:pPr>
              <w:autoSpaceDE w:val="0"/>
              <w:autoSpaceDN w:val="0"/>
              <w:adjustRightInd w:val="0"/>
              <w:spacing w:before="0" w:after="0"/>
              <w:rPr>
                <w:rFonts w:ascii="Times New Roman" w:hAnsi="Times New Roman"/>
                <w:sz w:val="24"/>
              </w:rPr>
            </w:pPr>
            <w:r w:rsidRPr="00D85C65">
              <w:rPr>
                <w:rFonts w:ascii="Times New Roman" w:hAnsi="Times New Roman"/>
                <w:sz w:val="24"/>
              </w:rPr>
              <w:t>450 – 470</w:t>
            </w:r>
          </w:p>
        </w:tc>
        <w:tc>
          <w:tcPr>
            <w:tcW w:w="7903" w:type="dxa"/>
            <w:shd w:val="clear" w:color="auto" w:fill="auto"/>
          </w:tcPr>
          <w:p w14:paraId="41388C7F"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SEKURITIZAČNÉ POZÍCIE – OBCHODNÁ KNIHA</w:t>
            </w:r>
          </w:p>
          <w:p w14:paraId="3172C445" w14:textId="77777777" w:rsidR="00235D9D" w:rsidRPr="00D85C65" w:rsidRDefault="00235D9D">
            <w:pPr>
              <w:spacing w:before="0" w:after="0"/>
              <w:jc w:val="left"/>
              <w:rPr>
                <w:rFonts w:ascii="Times New Roman" w:hAnsi="Times New Roman"/>
                <w:b/>
                <w:sz w:val="24"/>
                <w:u w:val="single"/>
              </w:rPr>
            </w:pPr>
          </w:p>
        </w:tc>
      </w:tr>
      <w:tr w:rsidR="00235D9D" w:rsidRPr="00D85C6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235D9D" w:rsidRPr="00D85C65" w:rsidDel="00304CB1"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235D9D" w:rsidRPr="00D85C65" w:rsidRDefault="00FC6275">
            <w:pPr>
              <w:spacing w:before="0" w:after="0"/>
              <w:jc w:val="left"/>
              <w:rPr>
                <w:rFonts w:ascii="Times New Roman" w:hAnsi="Times New Roman"/>
                <w:b/>
                <w:sz w:val="24"/>
                <w:u w:val="single"/>
              </w:rPr>
            </w:pPr>
            <w:r w:rsidRPr="00D85C65">
              <w:rPr>
                <w:rFonts w:ascii="Times New Roman" w:hAnsi="Times New Roman"/>
                <w:b/>
                <w:sz w:val="24"/>
                <w:u w:val="single"/>
              </w:rPr>
              <w:t>KORELAČNÉ OBCHODNÉ PORTFÓLIO ALEBO INÉ AKO KORELAČNÉ OBCHODNÉ PORTFÓLIO?</w:t>
            </w:r>
          </w:p>
          <w:p w14:paraId="0277A8CD" w14:textId="77777777" w:rsidR="00235D9D" w:rsidRPr="00D85C65" w:rsidRDefault="00235D9D">
            <w:pPr>
              <w:spacing w:before="0" w:after="0"/>
              <w:jc w:val="left"/>
              <w:rPr>
                <w:rStyle w:val="InstructionsTabelleText"/>
                <w:rFonts w:ascii="Times New Roman" w:hAnsi="Times New Roman"/>
                <w:sz w:val="24"/>
              </w:rPr>
            </w:pPr>
          </w:p>
          <w:p w14:paraId="43936197" w14:textId="77777777" w:rsidR="00235D9D" w:rsidRPr="00D85C65" w:rsidRDefault="00037FCC">
            <w:pPr>
              <w:spacing w:before="0" w:after="0"/>
              <w:jc w:val="left"/>
              <w:rPr>
                <w:rStyle w:val="InstructionsTabelleText"/>
                <w:rFonts w:ascii="Times New Roman" w:hAnsi="Times New Roman"/>
                <w:sz w:val="24"/>
              </w:rPr>
            </w:pPr>
            <w:r w:rsidRPr="00D85C65">
              <w:rPr>
                <w:rStyle w:val="InstructionsTabelleText"/>
                <w:rFonts w:ascii="Times New Roman" w:hAnsi="Times New Roman"/>
                <w:sz w:val="24"/>
              </w:rPr>
              <w:t>Inštitúcie vykazujú tieto skratky:</w:t>
            </w:r>
          </w:p>
          <w:p w14:paraId="0813C2A4" w14:textId="77777777" w:rsidR="00235D9D" w:rsidRPr="00D85C65" w:rsidRDefault="00FC6275">
            <w:pPr>
              <w:spacing w:before="0" w:after="0"/>
              <w:jc w:val="left"/>
              <w:rPr>
                <w:rStyle w:val="InstructionsTabelleText"/>
                <w:rFonts w:ascii="Times New Roman" w:hAnsi="Times New Roman"/>
                <w:sz w:val="24"/>
              </w:rPr>
            </w:pPr>
            <w:r w:rsidRPr="00D85C65">
              <w:rPr>
                <w:rStyle w:val="InstructionsTabelleText"/>
                <w:rFonts w:ascii="Times New Roman" w:hAnsi="Times New Roman"/>
                <w:sz w:val="24"/>
              </w:rPr>
              <w:t>C – korelačné obchodné portfólio (CTP),</w:t>
            </w:r>
          </w:p>
          <w:p w14:paraId="791EBD74" w14:textId="77777777" w:rsidR="00235D9D" w:rsidRPr="00D85C65" w:rsidRDefault="00FC6275">
            <w:pPr>
              <w:spacing w:before="0" w:after="0"/>
              <w:jc w:val="left"/>
              <w:rPr>
                <w:rStyle w:val="InstructionsTabelleText"/>
                <w:rFonts w:ascii="Times New Roman" w:hAnsi="Times New Roman"/>
                <w:sz w:val="24"/>
              </w:rPr>
            </w:pPr>
            <w:r w:rsidRPr="00D85C65">
              <w:rPr>
                <w:rStyle w:val="InstructionsTabelleText"/>
                <w:rFonts w:ascii="Times New Roman" w:hAnsi="Times New Roman"/>
                <w:sz w:val="24"/>
              </w:rPr>
              <w:t>N – iné ako korelačné obchodné portfólio.</w:t>
            </w:r>
          </w:p>
          <w:p w14:paraId="2B570DF8" w14:textId="77777777" w:rsidR="00235D9D" w:rsidRPr="00D85C65" w:rsidRDefault="00235D9D">
            <w:pPr>
              <w:spacing w:before="0" w:after="0"/>
              <w:jc w:val="left"/>
              <w:rPr>
                <w:rFonts w:ascii="Times New Roman" w:hAnsi="Times New Roman"/>
                <w:b/>
                <w:sz w:val="24"/>
                <w:u w:val="single"/>
              </w:rPr>
            </w:pPr>
          </w:p>
        </w:tc>
      </w:tr>
      <w:tr w:rsidR="00235D9D" w:rsidRPr="00D85C6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235D9D" w:rsidRPr="00D85C65" w:rsidDel="00304CB1" w:rsidRDefault="00FC6275">
            <w:pPr>
              <w:autoSpaceDE w:val="0"/>
              <w:autoSpaceDN w:val="0"/>
              <w:adjustRightInd w:val="0"/>
              <w:spacing w:before="0" w:after="0"/>
              <w:rPr>
                <w:rFonts w:ascii="Times New Roman" w:hAnsi="Times New Roman"/>
                <w:sz w:val="24"/>
              </w:rPr>
            </w:pPr>
            <w:r w:rsidRPr="00D85C65">
              <w:rPr>
                <w:rFonts w:ascii="Times New Roman" w:hAnsi="Times New Roman"/>
                <w:sz w:val="24"/>
              </w:rPr>
              <w:t>460 – 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235D9D" w:rsidRPr="00D85C65" w:rsidRDefault="00FC6275">
            <w:pPr>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ČISTÉ POZÍCIE – DLHÉ/KRÁTKE</w:t>
            </w:r>
          </w:p>
          <w:p w14:paraId="4D8B0BDD" w14:textId="77777777" w:rsidR="00235D9D" w:rsidRPr="00D85C65" w:rsidRDefault="00235D9D">
            <w:pPr>
              <w:spacing w:before="0" w:after="0"/>
              <w:jc w:val="left"/>
              <w:rPr>
                <w:rFonts w:ascii="Times New Roman" w:hAnsi="Times New Roman"/>
                <w:b/>
                <w:sz w:val="24"/>
                <w:u w:val="single"/>
              </w:rPr>
            </w:pPr>
          </w:p>
          <w:p w14:paraId="22D425D6" w14:textId="77777777" w:rsidR="00D85C65" w:rsidRDefault="00FC6275">
            <w:pPr>
              <w:spacing w:before="0" w:after="0"/>
              <w:jc w:val="left"/>
              <w:rPr>
                <w:rStyle w:val="InstructionsTabelleText"/>
                <w:rFonts w:ascii="Times New Roman" w:hAnsi="Times New Roman"/>
                <w:sz w:val="24"/>
              </w:rPr>
            </w:pPr>
            <w:r w:rsidRPr="00D85C65">
              <w:rPr>
                <w:rStyle w:val="InstructionsTabelleText"/>
                <w:rFonts w:ascii="Times New Roman" w:hAnsi="Times New Roman"/>
                <w:sz w:val="24"/>
              </w:rPr>
              <w:t>Pozri stĺpce 050/060 vzoru MKR SA SEC alebo vzoru MKR SA CTP</w:t>
            </w:r>
            <w:r w:rsidR="00D85C65">
              <w:rPr>
                <w:rStyle w:val="InstructionsTabelleText"/>
                <w:rFonts w:ascii="Times New Roman" w:hAnsi="Times New Roman"/>
                <w:sz w:val="24"/>
              </w:rPr>
              <w:t>.</w:t>
            </w:r>
          </w:p>
          <w:p w14:paraId="09E56F10" w14:textId="1CCA9573" w:rsidR="00235D9D" w:rsidRPr="00D85C65" w:rsidRDefault="00235D9D">
            <w:pPr>
              <w:spacing w:before="0" w:after="0"/>
              <w:jc w:val="left"/>
              <w:rPr>
                <w:rFonts w:ascii="Times New Roman" w:hAnsi="Times New Roman"/>
                <w:b/>
                <w:sz w:val="24"/>
                <w:u w:val="single"/>
              </w:rPr>
            </w:pPr>
          </w:p>
        </w:tc>
      </w:tr>
    </w:tbl>
    <w:p w14:paraId="25C5EB8A" w14:textId="77777777" w:rsidR="00235D9D" w:rsidRPr="00D85C65" w:rsidRDefault="00235D9D">
      <w:pPr>
        <w:spacing w:before="0" w:after="0"/>
        <w:jc w:val="left"/>
        <w:rPr>
          <w:rStyle w:val="InstructionsTabelleText"/>
          <w:rFonts w:ascii="Times New Roman" w:hAnsi="Times New Roman"/>
          <w:b/>
          <w:sz w:val="24"/>
        </w:rPr>
      </w:pPr>
    </w:p>
    <w:p w14:paraId="34E9DEE1" w14:textId="77777777" w:rsidR="00235D9D" w:rsidRPr="00D85C65" w:rsidRDefault="00CE4C49">
      <w:pPr>
        <w:pStyle w:val="Instructionsberschrift2"/>
        <w:numPr>
          <w:ilvl w:val="0"/>
          <w:numId w:val="0"/>
        </w:numPr>
        <w:ind w:left="357" w:hanging="357"/>
        <w:rPr>
          <w:rFonts w:ascii="Times New Roman" w:hAnsi="Times New Roman" w:cs="Times New Roman"/>
          <w:sz w:val="24"/>
        </w:rPr>
      </w:pPr>
      <w:bookmarkStart w:id="70" w:name="_Toc29994513"/>
      <w:r w:rsidRPr="00D85C65">
        <w:rPr>
          <w:rFonts w:ascii="Times New Roman" w:hAnsi="Times New Roman"/>
          <w:sz w:val="24"/>
        </w:rPr>
        <w:t>4.</w:t>
      </w:r>
      <w:r w:rsidRPr="00D85C65">
        <w:rPr>
          <w:rFonts w:ascii="Times New Roman" w:hAnsi="Times New Roman"/>
          <w:sz w:val="24"/>
        </w:rPr>
        <w:tab/>
        <w:t>Vzory pre operačné riziko</w:t>
      </w:r>
      <w:bookmarkEnd w:id="70"/>
    </w:p>
    <w:p w14:paraId="0B183E1A" w14:textId="77777777" w:rsidR="00235D9D" w:rsidRPr="00D85C65" w:rsidRDefault="00CE4C49">
      <w:pPr>
        <w:pStyle w:val="Instructionsberschrift2"/>
        <w:numPr>
          <w:ilvl w:val="0"/>
          <w:numId w:val="0"/>
        </w:numPr>
        <w:ind w:left="357" w:hanging="357"/>
        <w:rPr>
          <w:rFonts w:ascii="Times New Roman" w:hAnsi="Times New Roman" w:cs="Times New Roman"/>
          <w:sz w:val="24"/>
        </w:rPr>
      </w:pPr>
      <w:bookmarkStart w:id="71" w:name="_Toc29994514"/>
      <w:r w:rsidRPr="00D85C65">
        <w:rPr>
          <w:rFonts w:ascii="Times New Roman" w:hAnsi="Times New Roman"/>
          <w:sz w:val="24"/>
        </w:rPr>
        <w:t>4.1.</w:t>
      </w:r>
      <w:r w:rsidRPr="00D85C65">
        <w:rPr>
          <w:rFonts w:ascii="Times New Roman" w:hAnsi="Times New Roman"/>
          <w:sz w:val="24"/>
        </w:rPr>
        <w:tab/>
      </w:r>
      <w:r w:rsidRPr="00D85C65">
        <w:rPr>
          <w:rFonts w:ascii="Times New Roman" w:hAnsi="Times New Roman"/>
          <w:sz w:val="24"/>
        </w:rPr>
        <w:tab/>
        <w:t>C 16.00 – Operačné riziko (OPR)</w:t>
      </w:r>
      <w:bookmarkEnd w:id="71"/>
    </w:p>
    <w:p w14:paraId="5F5CE67F" w14:textId="77777777" w:rsidR="00D85C65" w:rsidRDefault="00CE4C49">
      <w:pPr>
        <w:pStyle w:val="Instructionsberschrift2"/>
        <w:numPr>
          <w:ilvl w:val="0"/>
          <w:numId w:val="0"/>
        </w:numPr>
        <w:ind w:left="357" w:hanging="357"/>
        <w:rPr>
          <w:rFonts w:ascii="Times New Roman" w:hAnsi="Times New Roman"/>
          <w:sz w:val="24"/>
          <w:u w:val="none"/>
        </w:rPr>
      </w:pPr>
      <w:bookmarkStart w:id="72" w:name="_Toc29994515"/>
      <w:r w:rsidRPr="00D85C65">
        <w:rPr>
          <w:rFonts w:ascii="Times New Roman" w:hAnsi="Times New Roman"/>
          <w:sz w:val="24"/>
          <w:u w:val="none"/>
        </w:rPr>
        <w:t>4.1.1.</w:t>
      </w:r>
      <w:r w:rsidRPr="00D85C65">
        <w:rPr>
          <w:rFonts w:ascii="Times New Roman" w:hAnsi="Times New Roman"/>
          <w:sz w:val="24"/>
          <w:u w:val="none"/>
        </w:rPr>
        <w:tab/>
        <w:t>Všeobecné poznámky</w:t>
      </w:r>
      <w:bookmarkEnd w:id="72"/>
    </w:p>
    <w:p w14:paraId="423A7091" w14:textId="061499CC" w:rsidR="00235D9D" w:rsidRPr="00D85C65" w:rsidRDefault="006660B9">
      <w:pPr>
        <w:pStyle w:val="InstructionsText2"/>
        <w:numPr>
          <w:ilvl w:val="0"/>
          <w:numId w:val="0"/>
        </w:numPr>
        <w:ind w:left="993"/>
      </w:pPr>
      <w:r w:rsidRPr="00D85C65">
        <w:t>114.</w:t>
      </w:r>
      <w:r w:rsidRPr="00D85C65">
        <w:tab/>
      </w:r>
      <w:r w:rsidR="00D85C65">
        <w:t xml:space="preserve"> V </w:t>
      </w:r>
      <w:r w:rsidRPr="00D85C65">
        <w:t>tomto vzore sa uvádzajú informácie</w:t>
      </w:r>
      <w:r w:rsidR="00D85C65">
        <w:t xml:space="preserve"> o </w:t>
      </w:r>
      <w:r w:rsidRPr="00D85C65">
        <w:t>výpočte požiadaviek na vlastné zdroje</w:t>
      </w:r>
      <w:r w:rsidR="00D85C65">
        <w:t xml:space="preserve"> v </w:t>
      </w:r>
      <w:r w:rsidRPr="00D85C65">
        <w:t>súlade</w:t>
      </w:r>
      <w:r w:rsidR="00D85C65">
        <w:t xml:space="preserve"> s </w:t>
      </w:r>
      <w:r w:rsidRPr="00D85C65">
        <w:t>článkami 312 až 324 CRR pre operačné riziko</w:t>
      </w:r>
      <w:r w:rsidR="00D85C65">
        <w:t xml:space="preserve"> v </w:t>
      </w:r>
      <w:r w:rsidRPr="00D85C65">
        <w:t>rámci prístupu základného ukazovateľa (BIA), štandardizovaného prístupu (TSA), alternatívneho štandardizovaného prístupu (ASA)</w:t>
      </w:r>
      <w:r w:rsidR="00D85C65">
        <w:t xml:space="preserve"> a </w:t>
      </w:r>
      <w:r w:rsidRPr="00D85C65">
        <w:t>pokročilých prístupov merania (AMA). Inštitúcia nemôže</w:t>
      </w:r>
      <w:r w:rsidR="00D85C65">
        <w:t xml:space="preserve"> v </w:t>
      </w:r>
      <w:r w:rsidRPr="00D85C65">
        <w:t>rovnakom čase na samostatnej úrovni používať TSA</w:t>
      </w:r>
      <w:r w:rsidR="00D85C65">
        <w:t xml:space="preserve"> a </w:t>
      </w:r>
      <w:r w:rsidRPr="00D85C65">
        <w:t>ASA pre obchodné línie „retailové bankovníctvo“</w:t>
      </w:r>
      <w:r w:rsidR="00D85C65">
        <w:t xml:space="preserve"> a </w:t>
      </w:r>
      <w:r w:rsidRPr="00D85C65">
        <w:t>„komerčné bankovníctvo“.</w:t>
      </w:r>
    </w:p>
    <w:p w14:paraId="330B6D6C" w14:textId="77777777" w:rsidR="00D85C65" w:rsidRDefault="00125707">
      <w:pPr>
        <w:pStyle w:val="InstructionsText2"/>
        <w:numPr>
          <w:ilvl w:val="0"/>
          <w:numId w:val="0"/>
        </w:numPr>
        <w:ind w:left="993"/>
      </w:pPr>
      <w:r w:rsidRPr="00D85C65">
        <w:t>115. Inštitúcie, ktoré používajú prístupy BIA, TSA alebo ASA, vypočítavajú svoje požiadavky na vlastné zdroje na základe informácií ku koncu finančného roka. Keď nie sú dostupné údaje overené audítorom, inštitúcie môžu použiť obchodné odhady. Keď sa používajú údaje overené audítorom, inštitúcie vykazujú údaje overené audítorom, ktoré majú ostať nezmenené. Odchýlky od tejto zásady „nezmenenosti“ sú možné napríklad vtedy, keď počas daného obdobia nastanú výnimočné okolnosti, ako napríklad nedávne akvizície alebo predaj subjektov alebo činností</w:t>
      </w:r>
      <w:r w:rsidR="00D85C65">
        <w:t>.</w:t>
      </w:r>
    </w:p>
    <w:p w14:paraId="4A9F6BA1" w14:textId="6C648140" w:rsidR="00235D9D" w:rsidRPr="00D85C65" w:rsidRDefault="00125707">
      <w:pPr>
        <w:pStyle w:val="InstructionsText2"/>
        <w:numPr>
          <w:ilvl w:val="0"/>
          <w:numId w:val="0"/>
        </w:numPr>
        <w:ind w:left="993"/>
      </w:pPr>
      <w:r w:rsidRPr="00D85C65">
        <w:t>116.</w:t>
      </w:r>
      <w:r w:rsidRPr="00D85C65">
        <w:tab/>
        <w:t xml:space="preserve"> Keď inštitúcia vie príslušnému orgánu odôvodniť, že –</w:t>
      </w:r>
      <w:r w:rsidR="00D85C65">
        <w:t xml:space="preserve"> z </w:t>
      </w:r>
      <w:r w:rsidRPr="00D85C65">
        <w:t>dôvodu výnimočných okolností, ako sú napríklad zlúčenie alebo predaj subjektov</w:t>
      </w:r>
      <w:r w:rsidR="00D85C65">
        <w:t xml:space="preserve"> a </w:t>
      </w:r>
      <w:r w:rsidRPr="00D85C65">
        <w:t>činností – použitie trojročného priemeru na výpočet príslušného ukazovateľa by viedlo</w:t>
      </w:r>
      <w:r w:rsidR="00D85C65">
        <w:t xml:space="preserve"> k </w:t>
      </w:r>
      <w:r w:rsidRPr="00D85C65">
        <w:t>zaujatému odhadu požiadavky na vlastné zdroje pre operačné riziko, príslušný orgán môže inštitúciám povoliť upraviť výpočet tak, aby sa takéto prípady zohľadnili. Príslušný orgán môže</w:t>
      </w:r>
      <w:r w:rsidR="00D85C65">
        <w:t xml:space="preserve"> z </w:t>
      </w:r>
      <w:r w:rsidRPr="00D85C65">
        <w:t>vlastného podnetu od inštitúcie zároveň požadovať, aby upravila výpočet. Inštitúcia, ktorá funguje menej než tri roky, môže na výpočet príslušného ukazovateľa použiť výhľadové obchodné odhady za predpokladu, že historické údaje začne používať hneď, ako budú</w:t>
      </w:r>
      <w:r w:rsidR="00D85C65">
        <w:t xml:space="preserve"> k </w:t>
      </w:r>
      <w:r w:rsidRPr="00D85C65">
        <w:t>dispozícii.</w:t>
      </w:r>
    </w:p>
    <w:p w14:paraId="60F0D5E1" w14:textId="6E2EE3F2" w:rsidR="00235D9D" w:rsidRPr="00D85C65" w:rsidRDefault="00125707">
      <w:pPr>
        <w:pStyle w:val="InstructionsText2"/>
        <w:numPr>
          <w:ilvl w:val="0"/>
          <w:numId w:val="0"/>
        </w:numPr>
        <w:ind w:left="993"/>
      </w:pPr>
      <w:r w:rsidRPr="00D85C65">
        <w:lastRenderedPageBreak/>
        <w:t>117.</w:t>
      </w:r>
      <w:r w:rsidRPr="00D85C65">
        <w:tab/>
      </w:r>
      <w:r w:rsidR="00D85C65">
        <w:t xml:space="preserve"> V </w:t>
      </w:r>
      <w:r w:rsidRPr="00D85C65">
        <w:t>tomto vzore sa podľa stĺpcov uvádzajú informácie za posledné tri roky</w:t>
      </w:r>
      <w:r w:rsidR="00D85C65">
        <w:t xml:space="preserve"> o </w:t>
      </w:r>
      <w:r w:rsidRPr="00D85C65">
        <w:t>výške relevantného ukazovateľa bankových činností, ktoré sú vystavené operačnému riziku,</w:t>
      </w:r>
      <w:r w:rsidR="00D85C65">
        <w:t xml:space="preserve"> a o </w:t>
      </w:r>
      <w:r w:rsidRPr="00D85C65">
        <w:t>výške úverov</w:t>
      </w:r>
      <w:r w:rsidR="00D85C65">
        <w:t xml:space="preserve"> a </w:t>
      </w:r>
      <w:r w:rsidRPr="00D85C65">
        <w:t>preddavkov (preddavky sa uplatňujú len</w:t>
      </w:r>
      <w:r w:rsidR="00D85C65">
        <w:t xml:space="preserve"> v </w:t>
      </w:r>
      <w:r w:rsidRPr="00D85C65">
        <w:t>prípade prístupu ASA). Ďalej sa vykazujú informácie</w:t>
      </w:r>
      <w:r w:rsidR="00D85C65">
        <w:t xml:space="preserve"> o </w:t>
      </w:r>
      <w:r w:rsidRPr="00D85C65">
        <w:t>výške požiadavky na vlastné zdroje pre operačné riziko.</w:t>
      </w:r>
      <w:r w:rsidR="00D85C65">
        <w:t xml:space="preserve"> V </w:t>
      </w:r>
      <w:r w:rsidRPr="00D85C65">
        <w:t>náležitých prípadoch sa musí podrobne uviesť, ktorá časť hodnoty prislúcha mechanizmu alokácie. Pokiaľ ide</w:t>
      </w:r>
      <w:r w:rsidR="00D85C65">
        <w:t xml:space="preserve"> o </w:t>
      </w:r>
      <w:r w:rsidRPr="00D85C65">
        <w:t>prístup AMA, pridávajú sa doplňujúce položky na popísanie účinku očakávanej straty, diverzifikácie</w:t>
      </w:r>
      <w:r w:rsidR="00D85C65">
        <w:t xml:space="preserve"> a </w:t>
      </w:r>
      <w:r w:rsidRPr="00D85C65">
        <w:t>postupov na zmierňovanie rizika na požiadavku na vlastné zdroje pre operačné riziko.</w:t>
      </w:r>
    </w:p>
    <w:p w14:paraId="124A0324" w14:textId="4898E9AE" w:rsidR="00235D9D" w:rsidRPr="00D85C65" w:rsidRDefault="00125707">
      <w:pPr>
        <w:pStyle w:val="InstructionsText2"/>
        <w:numPr>
          <w:ilvl w:val="0"/>
          <w:numId w:val="0"/>
        </w:numPr>
        <w:ind w:left="993"/>
      </w:pPr>
      <w:r w:rsidRPr="00D85C65">
        <w:t>118.</w:t>
      </w:r>
      <w:r w:rsidRPr="00D85C65">
        <w:tab/>
      </w:r>
      <w:r w:rsidR="00D85C65">
        <w:t xml:space="preserve"> V </w:t>
      </w:r>
      <w:r w:rsidRPr="00D85C65">
        <w:t>riadkoch sa uvádzajú informácie podľa postupov výpočtu požiadavky na vlastné zdroje pre operačné riziko so spresnením obchodných línií pre prístupy TSA</w:t>
      </w:r>
      <w:r w:rsidR="00D85C65">
        <w:t xml:space="preserve"> a </w:t>
      </w:r>
      <w:r w:rsidRPr="00D85C65">
        <w:t>ASA.</w:t>
      </w:r>
    </w:p>
    <w:p w14:paraId="3C672CDB" w14:textId="77777777" w:rsidR="00235D9D" w:rsidRPr="00D85C65" w:rsidRDefault="00125707">
      <w:pPr>
        <w:pStyle w:val="InstructionsText2"/>
        <w:numPr>
          <w:ilvl w:val="0"/>
          <w:numId w:val="0"/>
        </w:numPr>
        <w:ind w:left="993"/>
      </w:pPr>
      <w:r w:rsidRPr="00D85C65">
        <w:t>119.</w:t>
      </w:r>
      <w:r w:rsidRPr="00D85C65">
        <w:tab/>
        <w:t xml:space="preserve"> Tento vzor predkladajú všetky inštitúcie, na ktoré sa vzťahuje požiadavka na vlastné zdroje pre operačné riziko.</w:t>
      </w:r>
    </w:p>
    <w:p w14:paraId="5D30B0E9" w14:textId="466D89C9" w:rsidR="00235D9D" w:rsidRPr="00D85C65" w:rsidRDefault="00125707">
      <w:pPr>
        <w:pStyle w:val="Instructionsberschrift2"/>
        <w:numPr>
          <w:ilvl w:val="0"/>
          <w:numId w:val="0"/>
        </w:numPr>
        <w:ind w:left="357" w:hanging="357"/>
        <w:rPr>
          <w:rFonts w:ascii="Times New Roman" w:hAnsi="Times New Roman" w:cs="Times New Roman"/>
          <w:sz w:val="24"/>
        </w:rPr>
      </w:pPr>
      <w:bookmarkStart w:id="73" w:name="_Toc29994516"/>
      <w:r w:rsidRPr="00D85C65">
        <w:rPr>
          <w:rFonts w:ascii="Times New Roman" w:hAnsi="Times New Roman"/>
          <w:sz w:val="24"/>
          <w:u w:val="none"/>
        </w:rPr>
        <w:t>4.1.2.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73"/>
    </w:p>
    <w:p w14:paraId="2FFFD54E"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235D9D" w:rsidRPr="00D85C65" w14:paraId="0ED5FA59" w14:textId="77777777" w:rsidTr="00672D2A">
        <w:trPr>
          <w:trHeight w:val="553"/>
        </w:trPr>
        <w:tc>
          <w:tcPr>
            <w:tcW w:w="8862" w:type="dxa"/>
            <w:gridSpan w:val="2"/>
            <w:shd w:val="clear" w:color="auto" w:fill="CCCCCC"/>
          </w:tcPr>
          <w:p w14:paraId="04A6D214" w14:textId="77777777" w:rsidR="00235D9D" w:rsidRPr="00D85C65" w:rsidRDefault="00AC6255">
            <w:pPr>
              <w:autoSpaceDE w:val="0"/>
              <w:autoSpaceDN w:val="0"/>
              <w:adjustRightInd w:val="0"/>
              <w:spacing w:after="0"/>
              <w:rPr>
                <w:rFonts w:ascii="Times New Roman" w:hAnsi="Times New Roman"/>
                <w:b/>
                <w:bCs/>
                <w:sz w:val="24"/>
              </w:rPr>
            </w:pPr>
            <w:r w:rsidRPr="00D85C65">
              <w:rPr>
                <w:rFonts w:ascii="Times New Roman" w:hAnsi="Times New Roman"/>
                <w:b/>
                <w:bCs/>
                <w:sz w:val="24"/>
              </w:rPr>
              <w:t>Stĺpce</w:t>
            </w:r>
          </w:p>
        </w:tc>
      </w:tr>
      <w:tr w:rsidR="00235D9D" w:rsidRPr="00D85C65" w14:paraId="75B0A424" w14:textId="77777777" w:rsidTr="00672D2A">
        <w:tc>
          <w:tcPr>
            <w:tcW w:w="985" w:type="dxa"/>
          </w:tcPr>
          <w:p w14:paraId="41F1DAD5"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010 – 030</w:t>
            </w:r>
          </w:p>
        </w:tc>
        <w:tc>
          <w:tcPr>
            <w:tcW w:w="7877" w:type="dxa"/>
          </w:tcPr>
          <w:p w14:paraId="7665078D"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PRÍSLUŠNÝ UKAZOVATEĽ</w:t>
            </w:r>
          </w:p>
          <w:p w14:paraId="1CDF94D3" w14:textId="77777777" w:rsidR="00235D9D" w:rsidRPr="00D85C65" w:rsidRDefault="00235D9D">
            <w:pPr>
              <w:autoSpaceDE w:val="0"/>
              <w:autoSpaceDN w:val="0"/>
              <w:adjustRightInd w:val="0"/>
              <w:spacing w:before="0" w:after="0"/>
              <w:jc w:val="left"/>
              <w:rPr>
                <w:rFonts w:ascii="Times New Roman" w:hAnsi="Times New Roman"/>
                <w:bCs/>
                <w:sz w:val="24"/>
              </w:rPr>
            </w:pPr>
          </w:p>
          <w:p w14:paraId="485D2C02" w14:textId="784A075A" w:rsidR="00235D9D" w:rsidRP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Inštitúcie, ktoré používajú príslušný ukazovateľ na výpočet požiadavky na vlastné zdroje pre operačné riziko (BIA, TSA</w:t>
            </w:r>
            <w:r w:rsidR="00D85C65">
              <w:rPr>
                <w:rFonts w:ascii="Times New Roman" w:hAnsi="Times New Roman"/>
                <w:sz w:val="24"/>
              </w:rPr>
              <w:t xml:space="preserve"> a </w:t>
            </w:r>
            <w:r w:rsidRPr="00D85C65">
              <w:rPr>
                <w:rFonts w:ascii="Times New Roman" w:hAnsi="Times New Roman"/>
                <w:sz w:val="24"/>
              </w:rPr>
              <w:t>ASA), tento príslušný ukazovateľ vykazujú za príslušné roky</w:t>
            </w:r>
            <w:r w:rsidR="00D85C65">
              <w:rPr>
                <w:rFonts w:ascii="Times New Roman" w:hAnsi="Times New Roman"/>
                <w:sz w:val="24"/>
              </w:rPr>
              <w:t xml:space="preserve"> v </w:t>
            </w:r>
            <w:r w:rsidRPr="00D85C65">
              <w:rPr>
                <w:rFonts w:ascii="Times New Roman" w:hAnsi="Times New Roman"/>
                <w:sz w:val="24"/>
              </w:rPr>
              <w:t>stĺpcoch 010 až 030.</w:t>
            </w:r>
            <w:r w:rsidR="00D85C65">
              <w:rPr>
                <w:rFonts w:ascii="Times New Roman" w:hAnsi="Times New Roman"/>
                <w:sz w:val="24"/>
              </w:rPr>
              <w:t xml:space="preserve"> V </w:t>
            </w:r>
            <w:r w:rsidRPr="00D85C65">
              <w:rPr>
                <w:rFonts w:ascii="Times New Roman" w:hAnsi="Times New Roman"/>
                <w:sz w:val="24"/>
              </w:rPr>
              <w:t>prípade kombinovaného použitia rôznych prístupov podľa článku 314 CRR inštitúcie zároveň navyše na informačné účely vykazujú príslušný ukazovateľ pre tie činnosti, na ktoré sa uplatňuje AMA. To isté platí pre všetky ostatné banky AMA.</w:t>
            </w:r>
          </w:p>
          <w:p w14:paraId="396E1BE6" w14:textId="77777777" w:rsidR="00235D9D" w:rsidRPr="00D85C65" w:rsidRDefault="00235D9D">
            <w:pPr>
              <w:autoSpaceDE w:val="0"/>
              <w:autoSpaceDN w:val="0"/>
              <w:adjustRightInd w:val="0"/>
              <w:spacing w:before="0" w:after="0"/>
              <w:rPr>
                <w:rFonts w:ascii="Times New Roman" w:hAnsi="Times New Roman"/>
                <w:bCs/>
                <w:strike/>
                <w:sz w:val="24"/>
              </w:rPr>
            </w:pPr>
          </w:p>
          <w:p w14:paraId="1792050A" w14:textId="1D646CF1" w:rsid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Ďalej sa výraz „príslušný ukazovateľ“ vzťahuje na „súčet položiek“ na konci finančného roka podľa článku 316 bodu 1</w:t>
            </w:r>
            <w:r w:rsidR="00D85C65">
              <w:rPr>
                <w:rFonts w:ascii="Times New Roman" w:hAnsi="Times New Roman"/>
                <w:sz w:val="24"/>
              </w:rPr>
              <w:t xml:space="preserve"> v </w:t>
            </w:r>
            <w:r w:rsidRPr="00D85C65">
              <w:rPr>
                <w:rFonts w:ascii="Times New Roman" w:hAnsi="Times New Roman"/>
                <w:sz w:val="24"/>
              </w:rPr>
              <w:t>tabuľke 1 CRR</w:t>
            </w:r>
            <w:r w:rsidR="00D85C65">
              <w:rPr>
                <w:rFonts w:ascii="Times New Roman" w:hAnsi="Times New Roman"/>
                <w:sz w:val="24"/>
              </w:rPr>
              <w:t>.</w:t>
            </w:r>
          </w:p>
          <w:p w14:paraId="0586ED75" w14:textId="58718F44" w:rsidR="00235D9D" w:rsidRPr="00D85C65" w:rsidRDefault="00235D9D">
            <w:pPr>
              <w:autoSpaceDE w:val="0"/>
              <w:autoSpaceDN w:val="0"/>
              <w:adjustRightInd w:val="0"/>
              <w:spacing w:before="0" w:after="0"/>
              <w:rPr>
                <w:rFonts w:ascii="Times New Roman" w:hAnsi="Times New Roman"/>
                <w:sz w:val="24"/>
              </w:rPr>
            </w:pPr>
          </w:p>
          <w:p w14:paraId="24504E63" w14:textId="32E5C6B9" w:rsidR="00235D9D" w:rsidRPr="00D85C65" w:rsidRDefault="001C3443">
            <w:pPr>
              <w:autoSpaceDE w:val="0"/>
              <w:autoSpaceDN w:val="0"/>
              <w:adjustRightInd w:val="0"/>
              <w:spacing w:before="0" w:after="0"/>
              <w:rPr>
                <w:rFonts w:ascii="Times New Roman" w:hAnsi="Times New Roman"/>
                <w:sz w:val="24"/>
              </w:rPr>
            </w:pPr>
            <w:r w:rsidRPr="00D85C65">
              <w:rPr>
                <w:rFonts w:ascii="Times New Roman" w:hAnsi="Times New Roman"/>
                <w:sz w:val="24"/>
              </w:rPr>
              <w:t>Ak má inštitúcia</w:t>
            </w:r>
            <w:r w:rsidR="00D85C65">
              <w:rPr>
                <w:rFonts w:ascii="Times New Roman" w:hAnsi="Times New Roman"/>
                <w:sz w:val="24"/>
              </w:rPr>
              <w:t xml:space="preserve"> k </w:t>
            </w:r>
            <w:r w:rsidRPr="00D85C65">
              <w:rPr>
                <w:rFonts w:ascii="Times New Roman" w:hAnsi="Times New Roman"/>
                <w:sz w:val="24"/>
              </w:rPr>
              <w:t>dispozícii údaje</w:t>
            </w:r>
            <w:r w:rsidR="00D85C65">
              <w:rPr>
                <w:rFonts w:ascii="Times New Roman" w:hAnsi="Times New Roman"/>
                <w:sz w:val="24"/>
              </w:rPr>
              <w:t xml:space="preserve"> o </w:t>
            </w:r>
            <w:r w:rsidRPr="00D85C65">
              <w:rPr>
                <w:rFonts w:ascii="Times New Roman" w:hAnsi="Times New Roman"/>
                <w:sz w:val="24"/>
              </w:rPr>
              <w:t>„príslušnom ukazovateli“ za obdobie kratšie než tri roky, dostupné historické údaje (údaje overené audítorom) sa podľa priority zaradia do príslušných stĺpcov vo vzore. Ak sú napríklad historické údaje</w:t>
            </w:r>
            <w:r w:rsidR="00D85C65">
              <w:rPr>
                <w:rFonts w:ascii="Times New Roman" w:hAnsi="Times New Roman"/>
                <w:sz w:val="24"/>
              </w:rPr>
              <w:t xml:space="preserve"> k </w:t>
            </w:r>
            <w:r w:rsidRPr="00D85C65">
              <w:rPr>
                <w:rFonts w:ascii="Times New Roman" w:hAnsi="Times New Roman"/>
                <w:sz w:val="24"/>
              </w:rPr>
              <w:t>dispozícii len za jeden rok, tieto údaje sa vykazujú</w:t>
            </w:r>
            <w:r w:rsidR="00D85C65">
              <w:rPr>
                <w:rFonts w:ascii="Times New Roman" w:hAnsi="Times New Roman"/>
                <w:sz w:val="24"/>
              </w:rPr>
              <w:t xml:space="preserve"> v </w:t>
            </w:r>
            <w:r w:rsidRPr="00D85C65">
              <w:rPr>
                <w:rFonts w:ascii="Times New Roman" w:hAnsi="Times New Roman"/>
                <w:sz w:val="24"/>
              </w:rPr>
              <w:t>stĺpci 030. Ak sa to zdá vhodné, do stĺpca 020 (odhad na nasledujúci rok)</w:t>
            </w:r>
            <w:r w:rsidR="00D85C65">
              <w:rPr>
                <w:rFonts w:ascii="Times New Roman" w:hAnsi="Times New Roman"/>
                <w:sz w:val="24"/>
              </w:rPr>
              <w:t xml:space="preserve"> a </w:t>
            </w:r>
            <w:r w:rsidRPr="00D85C65">
              <w:rPr>
                <w:rFonts w:ascii="Times New Roman" w:hAnsi="Times New Roman"/>
                <w:sz w:val="24"/>
              </w:rPr>
              <w:t>do stĺpca 010 (odhad na rok +2) sa zahrnú výhľadové odhady.</w:t>
            </w:r>
          </w:p>
          <w:p w14:paraId="37DBFE3D" w14:textId="77777777" w:rsidR="00235D9D" w:rsidRPr="00D85C65" w:rsidRDefault="00235D9D">
            <w:pPr>
              <w:autoSpaceDE w:val="0"/>
              <w:autoSpaceDN w:val="0"/>
              <w:adjustRightInd w:val="0"/>
              <w:spacing w:before="0" w:after="0"/>
              <w:rPr>
                <w:rFonts w:ascii="Times New Roman" w:hAnsi="Times New Roman"/>
                <w:i/>
                <w:sz w:val="24"/>
              </w:rPr>
            </w:pPr>
          </w:p>
          <w:p w14:paraId="0DB52E93" w14:textId="46B0426C" w:rsidR="00235D9D" w:rsidRP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Ak navyše nie sú</w:t>
            </w:r>
            <w:r w:rsidR="00D85C65">
              <w:rPr>
                <w:rFonts w:ascii="Times New Roman" w:hAnsi="Times New Roman"/>
                <w:sz w:val="24"/>
              </w:rPr>
              <w:t xml:space="preserve"> k </w:t>
            </w:r>
            <w:r w:rsidRPr="00D85C65">
              <w:rPr>
                <w:rFonts w:ascii="Times New Roman" w:hAnsi="Times New Roman"/>
                <w:sz w:val="24"/>
              </w:rPr>
              <w:t>dispozícii žiadne údaje</w:t>
            </w:r>
            <w:r w:rsidR="00D85C65">
              <w:rPr>
                <w:rFonts w:ascii="Times New Roman" w:hAnsi="Times New Roman"/>
                <w:sz w:val="24"/>
              </w:rPr>
              <w:t xml:space="preserve"> o </w:t>
            </w:r>
            <w:r w:rsidRPr="00D85C65">
              <w:rPr>
                <w:rFonts w:ascii="Times New Roman" w:hAnsi="Times New Roman"/>
                <w:sz w:val="24"/>
              </w:rPr>
              <w:t>„príslušnom ukazovateli“, inštitúcia môže použiť výhľadové obchodné odhady.</w:t>
            </w:r>
          </w:p>
          <w:p w14:paraId="7AC86AA8"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0E3385AA" w14:textId="77777777" w:rsidTr="00672D2A">
        <w:tc>
          <w:tcPr>
            <w:tcW w:w="985" w:type="dxa"/>
          </w:tcPr>
          <w:p w14:paraId="1495F5B0"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040 – 060</w:t>
            </w:r>
          </w:p>
        </w:tc>
        <w:tc>
          <w:tcPr>
            <w:tcW w:w="7877" w:type="dxa"/>
          </w:tcPr>
          <w:p w14:paraId="57FF171C"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ÚVERY A PREDDAVKY (V PRÍPADE UPLATŇOVANIA PRÍSTUPU ASA)</w:t>
            </w:r>
          </w:p>
          <w:p w14:paraId="70267385" w14:textId="77777777" w:rsidR="00235D9D" w:rsidRPr="00D85C65" w:rsidRDefault="00235D9D">
            <w:pPr>
              <w:autoSpaceDE w:val="0"/>
              <w:autoSpaceDN w:val="0"/>
              <w:adjustRightInd w:val="0"/>
              <w:spacing w:before="0" w:after="0"/>
              <w:jc w:val="left"/>
              <w:rPr>
                <w:rFonts w:ascii="Times New Roman" w:hAnsi="Times New Roman"/>
                <w:bCs/>
                <w:sz w:val="24"/>
              </w:rPr>
            </w:pPr>
          </w:p>
          <w:p w14:paraId="14DA9B14" w14:textId="49B9CD50" w:rsid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Tieto stĺpce sa používajú na vykázanie hodnôt úverov</w:t>
            </w:r>
            <w:r w:rsidR="00D85C65">
              <w:rPr>
                <w:rFonts w:ascii="Times New Roman" w:hAnsi="Times New Roman"/>
                <w:sz w:val="24"/>
              </w:rPr>
              <w:t xml:space="preserve"> a </w:t>
            </w:r>
            <w:r w:rsidRPr="00D85C65">
              <w:rPr>
                <w:rFonts w:ascii="Times New Roman" w:hAnsi="Times New Roman"/>
                <w:sz w:val="24"/>
              </w:rPr>
              <w:t>preddavkov, ako sa uvádza</w:t>
            </w:r>
            <w:r w:rsidR="00D85C65">
              <w:rPr>
                <w:rFonts w:ascii="Times New Roman" w:hAnsi="Times New Roman"/>
                <w:sz w:val="24"/>
              </w:rPr>
              <w:t xml:space="preserve"> v </w:t>
            </w:r>
            <w:r w:rsidRPr="00D85C65">
              <w:rPr>
                <w:rFonts w:ascii="Times New Roman" w:hAnsi="Times New Roman"/>
                <w:sz w:val="24"/>
              </w:rPr>
              <w:t xml:space="preserve">článku 319 ods. 1 písm. b) CRR, pre obchodné línie „komerčné </w:t>
            </w:r>
            <w:r w:rsidRPr="00D85C65">
              <w:rPr>
                <w:rFonts w:ascii="Times New Roman" w:hAnsi="Times New Roman"/>
                <w:sz w:val="24"/>
              </w:rPr>
              <w:lastRenderedPageBreak/>
              <w:t>bankovníctvo“</w:t>
            </w:r>
            <w:r w:rsidR="00D85C65">
              <w:rPr>
                <w:rFonts w:ascii="Times New Roman" w:hAnsi="Times New Roman"/>
                <w:sz w:val="24"/>
              </w:rPr>
              <w:t xml:space="preserve"> a </w:t>
            </w:r>
            <w:r w:rsidRPr="00D85C65">
              <w:rPr>
                <w:rFonts w:ascii="Times New Roman" w:hAnsi="Times New Roman"/>
                <w:sz w:val="24"/>
              </w:rPr>
              <w:t>„retailové bankovníctvo“. Tieto hodnoty sa používajú na výpočet alternatívneho príslušného ukazovateľa, ktorý vedie</w:t>
            </w:r>
            <w:r w:rsidR="00D85C65">
              <w:rPr>
                <w:rFonts w:ascii="Times New Roman" w:hAnsi="Times New Roman"/>
                <w:sz w:val="24"/>
              </w:rPr>
              <w:t xml:space="preserve"> k </w:t>
            </w:r>
            <w:r w:rsidRPr="00D85C65">
              <w:rPr>
                <w:rFonts w:ascii="Times New Roman" w:hAnsi="Times New Roman"/>
                <w:sz w:val="24"/>
              </w:rPr>
              <w:t>požiadavkám na vlastné zdroje zodpovedajúcim činnostiam, na ktoré sa vzťahuje prístup alternatívny štandardizovaný prístup [článok 319 ods. 1 písm. a) CRR]</w:t>
            </w:r>
            <w:r w:rsidR="00D85C65">
              <w:rPr>
                <w:rFonts w:ascii="Times New Roman" w:hAnsi="Times New Roman"/>
                <w:sz w:val="24"/>
              </w:rPr>
              <w:t>.</w:t>
            </w:r>
          </w:p>
          <w:p w14:paraId="1834B90C" w14:textId="57D8023C" w:rsidR="00235D9D" w:rsidRPr="00D85C65" w:rsidRDefault="00235D9D">
            <w:pPr>
              <w:autoSpaceDE w:val="0"/>
              <w:autoSpaceDN w:val="0"/>
              <w:adjustRightInd w:val="0"/>
              <w:spacing w:before="0" w:after="0"/>
              <w:rPr>
                <w:rFonts w:ascii="Times New Roman" w:hAnsi="Times New Roman"/>
                <w:sz w:val="24"/>
              </w:rPr>
            </w:pPr>
          </w:p>
          <w:p w14:paraId="39ABC864" w14:textId="67BFDFA6"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sz w:val="24"/>
              </w:rPr>
              <w:t>V prípade obchodnej línie „komerčné bankovníctvo“ sa zahrnú aj cenné papiere vedené</w:t>
            </w:r>
            <w:r w:rsidR="00D85C65">
              <w:rPr>
                <w:rFonts w:ascii="Times New Roman" w:hAnsi="Times New Roman"/>
                <w:sz w:val="24"/>
              </w:rPr>
              <w:t xml:space="preserve"> v </w:t>
            </w:r>
            <w:r w:rsidRPr="00D85C65">
              <w:rPr>
                <w:rFonts w:ascii="Times New Roman" w:hAnsi="Times New Roman"/>
                <w:sz w:val="24"/>
              </w:rPr>
              <w:t>neobchodnej knihe.</w:t>
            </w:r>
          </w:p>
        </w:tc>
      </w:tr>
      <w:tr w:rsidR="00235D9D" w:rsidRPr="00D85C65" w14:paraId="47DB7975" w14:textId="77777777" w:rsidTr="00672D2A">
        <w:tc>
          <w:tcPr>
            <w:tcW w:w="985" w:type="dxa"/>
          </w:tcPr>
          <w:p w14:paraId="699B7C5C"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070</w:t>
            </w:r>
          </w:p>
        </w:tc>
        <w:tc>
          <w:tcPr>
            <w:tcW w:w="7877" w:type="dxa"/>
          </w:tcPr>
          <w:p w14:paraId="0CFEB8B5"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POŽIADAVKA NA VLASTNÉ ZDROJE</w:t>
            </w:r>
          </w:p>
          <w:p w14:paraId="23009EB8" w14:textId="77777777" w:rsidR="00235D9D" w:rsidRPr="00D85C65" w:rsidRDefault="00235D9D">
            <w:pPr>
              <w:autoSpaceDE w:val="0"/>
              <w:autoSpaceDN w:val="0"/>
              <w:adjustRightInd w:val="0"/>
              <w:spacing w:before="0" w:after="0"/>
              <w:jc w:val="left"/>
              <w:rPr>
                <w:rFonts w:ascii="Times New Roman" w:hAnsi="Times New Roman"/>
                <w:sz w:val="24"/>
              </w:rPr>
            </w:pPr>
          </w:p>
          <w:p w14:paraId="69D5BDB3" w14:textId="265C3545" w:rsidR="00235D9D" w:rsidRPr="00D85C65" w:rsidRDefault="00AC6255">
            <w:pPr>
              <w:autoSpaceDE w:val="0"/>
              <w:autoSpaceDN w:val="0"/>
              <w:adjustRightInd w:val="0"/>
              <w:spacing w:before="0" w:after="0"/>
              <w:jc w:val="left"/>
              <w:rPr>
                <w:rFonts w:ascii="Times New Roman" w:hAnsi="Times New Roman"/>
                <w:bCs/>
                <w:sz w:val="24"/>
              </w:rPr>
            </w:pPr>
            <w:r w:rsidRPr="00D85C65">
              <w:rPr>
                <w:rFonts w:ascii="Times New Roman" w:hAnsi="Times New Roman"/>
                <w:sz w:val="24"/>
              </w:rPr>
              <w:t>Požiadavka na vlastné zdroje sa vypočítava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použitými prístupmi</w:t>
            </w:r>
            <w:r w:rsidR="00D85C65">
              <w:rPr>
                <w:rFonts w:ascii="Times New Roman" w:hAnsi="Times New Roman"/>
                <w:sz w:val="24"/>
              </w:rPr>
              <w:t xml:space="preserve"> a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312 až 324 CRR. Výsledná hodnota sa vykazuje</w:t>
            </w:r>
            <w:r w:rsidR="00D85C65">
              <w:rPr>
                <w:rFonts w:ascii="Times New Roman" w:hAnsi="Times New Roman"/>
                <w:sz w:val="24"/>
              </w:rPr>
              <w:t xml:space="preserve"> v </w:t>
            </w:r>
            <w:r w:rsidRPr="00D85C65">
              <w:rPr>
                <w:rFonts w:ascii="Times New Roman" w:hAnsi="Times New Roman"/>
                <w:sz w:val="24"/>
              </w:rPr>
              <w:t>stĺpci 070.</w:t>
            </w:r>
          </w:p>
        </w:tc>
      </w:tr>
      <w:tr w:rsidR="00235D9D" w:rsidRPr="00D85C65" w14:paraId="49D9544B" w14:textId="77777777" w:rsidTr="00672D2A">
        <w:tc>
          <w:tcPr>
            <w:tcW w:w="985" w:type="dxa"/>
          </w:tcPr>
          <w:p w14:paraId="49CF59E4"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071</w:t>
            </w:r>
          </w:p>
        </w:tc>
        <w:tc>
          <w:tcPr>
            <w:tcW w:w="7877" w:type="dxa"/>
          </w:tcPr>
          <w:p w14:paraId="32B8583F"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CELKOVÁ HODNOTA EXPOZÍCIE VOČI OPERAČNÉMU RIZIKU</w:t>
            </w:r>
          </w:p>
          <w:p w14:paraId="44C2AF43" w14:textId="77777777" w:rsidR="00D85C65" w:rsidRPr="00E13EA5" w:rsidRDefault="00AC6255">
            <w:pPr>
              <w:rPr>
                <w:szCs w:val="20"/>
              </w:rPr>
            </w:pPr>
            <w:r w:rsidRPr="00E13EA5">
              <w:rPr>
                <w:szCs w:val="20"/>
              </w:rPr>
              <w:t>Článok 92 ods. 4 CRR</w:t>
            </w:r>
          </w:p>
          <w:p w14:paraId="071BA017" w14:textId="0A03899B" w:rsidR="00235D9D" w:rsidRPr="00D85C65" w:rsidRDefault="00AC6255">
            <w:pPr>
              <w:rPr>
                <w:rStyle w:val="InstructionsTabelleberschrift"/>
                <w:rFonts w:ascii="Times New Roman" w:hAnsi="Times New Roman"/>
                <w:b w:val="0"/>
                <w:sz w:val="24"/>
              </w:rPr>
            </w:pPr>
            <w:r w:rsidRPr="00E13EA5">
              <w:rPr>
                <w:szCs w:val="20"/>
              </w:rPr>
              <w:t>Požiadavky na vlastné zdroje</w:t>
            </w:r>
            <w:r w:rsidR="00D85C65" w:rsidRPr="00E13EA5">
              <w:rPr>
                <w:szCs w:val="20"/>
              </w:rPr>
              <w:t xml:space="preserve"> v </w:t>
            </w:r>
            <w:r w:rsidRPr="00E13EA5">
              <w:rPr>
                <w:szCs w:val="20"/>
              </w:rPr>
              <w:t>stĺpci 070 vynásobené koeficientom 12,5.</w:t>
            </w:r>
          </w:p>
        </w:tc>
      </w:tr>
      <w:tr w:rsidR="00235D9D" w:rsidRPr="00D85C65" w14:paraId="3915C7EF" w14:textId="77777777" w:rsidTr="00672D2A">
        <w:tc>
          <w:tcPr>
            <w:tcW w:w="985" w:type="dxa"/>
          </w:tcPr>
          <w:p w14:paraId="31839518"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080</w:t>
            </w:r>
          </w:p>
        </w:tc>
        <w:tc>
          <w:tcPr>
            <w:tcW w:w="7877" w:type="dxa"/>
          </w:tcPr>
          <w:p w14:paraId="1FFB7703"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D85C65">
              <w:rPr>
                <w:rStyle w:val="InstructionsTabelleberschrift"/>
                <w:rFonts w:ascii="Times New Roman" w:hAnsi="Times New Roman"/>
                <w:sz w:val="24"/>
                <w:highlight w:val="yellow"/>
              </w:rPr>
              <w:t>Z ČOHO: PRISLÚCHAJÚCE MECHANIZMU ALOKÁCIE</w:t>
            </w:r>
          </w:p>
          <w:p w14:paraId="0D1177E6" w14:textId="77777777" w:rsidR="00235D9D" w:rsidRPr="00D85C65" w:rsidRDefault="00235D9D">
            <w:pPr>
              <w:autoSpaceDE w:val="0"/>
              <w:autoSpaceDN w:val="0"/>
              <w:adjustRightInd w:val="0"/>
              <w:spacing w:before="0" w:after="0"/>
              <w:jc w:val="left"/>
              <w:rPr>
                <w:rFonts w:ascii="Times New Roman" w:hAnsi="Times New Roman"/>
                <w:bCs/>
                <w:sz w:val="24"/>
                <w:highlight w:val="yellow"/>
              </w:rPr>
            </w:pPr>
          </w:p>
          <w:p w14:paraId="313B5B14" w14:textId="1FD567DF" w:rsidR="00D85C65" w:rsidRDefault="003E7AEC">
            <w:pPr>
              <w:jc w:val="left"/>
              <w:rPr>
                <w:rFonts w:ascii="Times New Roman" w:hAnsi="Times New Roman"/>
                <w:sz w:val="24"/>
                <w:highlight w:val="yellow"/>
              </w:rPr>
            </w:pPr>
            <w:r w:rsidRPr="00D85C65">
              <w:rPr>
                <w:rFonts w:ascii="Times New Roman" w:hAnsi="Times New Roman"/>
                <w:bCs/>
                <w:sz w:val="24"/>
                <w:highlight w:val="yellow"/>
              </w:rPr>
              <w:t>Keď bolo povolenie na používanie prístupu AMA na konsolidovanej úrovni (článok 18 ods. 1 CRR) udelené</w:t>
            </w:r>
            <w:r w:rsidR="00D85C65">
              <w:rPr>
                <w:rFonts w:ascii="Times New Roman" w:hAnsi="Times New Roman"/>
                <w:bCs/>
                <w:sz w:val="24"/>
                <w:highlight w:val="yellow"/>
              </w:rPr>
              <w:t xml:space="preserve"> v </w:t>
            </w:r>
            <w:r w:rsidRPr="00D85C65">
              <w:rPr>
                <w:rFonts w:ascii="Times New Roman" w:hAnsi="Times New Roman"/>
                <w:sz w:val="24"/>
                <w:highlight w:val="yellow"/>
              </w:rPr>
              <w:t>súlade</w:t>
            </w:r>
            <w:r w:rsidR="00D85C65">
              <w:rPr>
                <w:rFonts w:ascii="Times New Roman" w:hAnsi="Times New Roman"/>
                <w:sz w:val="24"/>
                <w:highlight w:val="yellow"/>
              </w:rPr>
              <w:t xml:space="preserve"> s </w:t>
            </w:r>
            <w:r w:rsidRPr="00D85C65">
              <w:rPr>
                <w:rFonts w:ascii="Times New Roman" w:hAnsi="Times New Roman"/>
                <w:sz w:val="24"/>
                <w:highlight w:val="yellow"/>
              </w:rPr>
              <w:t>článkom 312 ods. 2 CRR, kapitál na operačné riziko sa alokuje medzi jednotlivé subjekty skupiny na základe metodiky, ktorú uplatňujú inštitúcie pri zohľadňovaní účinkov diverzifikácie</w:t>
            </w:r>
            <w:r w:rsidR="00D85C65">
              <w:rPr>
                <w:rFonts w:ascii="Times New Roman" w:hAnsi="Times New Roman"/>
                <w:sz w:val="24"/>
                <w:highlight w:val="yellow"/>
              </w:rPr>
              <w:t xml:space="preserve"> v </w:t>
            </w:r>
            <w:r w:rsidRPr="00D85C65">
              <w:rPr>
                <w:rFonts w:ascii="Times New Roman" w:hAnsi="Times New Roman"/>
                <w:sz w:val="24"/>
                <w:highlight w:val="yellow"/>
              </w:rPr>
              <w:t>systéme oceňovania rizík, ktorý používa materská úverová inštitúcia</w:t>
            </w:r>
            <w:r w:rsidR="00D85C65">
              <w:rPr>
                <w:rFonts w:ascii="Times New Roman" w:hAnsi="Times New Roman"/>
                <w:sz w:val="24"/>
                <w:highlight w:val="yellow"/>
              </w:rPr>
              <w:t xml:space="preserve"> v </w:t>
            </w:r>
            <w:r w:rsidRPr="00D85C65">
              <w:rPr>
                <w:rFonts w:ascii="Times New Roman" w:hAnsi="Times New Roman"/>
                <w:sz w:val="24"/>
                <w:highlight w:val="yellow"/>
              </w:rPr>
              <w:t>EÚ</w:t>
            </w:r>
            <w:r w:rsidR="00D85C65">
              <w:rPr>
                <w:rFonts w:ascii="Times New Roman" w:hAnsi="Times New Roman"/>
                <w:sz w:val="24"/>
                <w:highlight w:val="yellow"/>
              </w:rPr>
              <w:t xml:space="preserve"> a </w:t>
            </w:r>
            <w:r w:rsidRPr="00D85C65">
              <w:rPr>
                <w:rFonts w:ascii="Times New Roman" w:hAnsi="Times New Roman"/>
                <w:sz w:val="24"/>
                <w:highlight w:val="yellow"/>
              </w:rPr>
              <w:t>jej dcérske spoločnosti alebo spoločne dcérske spoločnosti materskej finančnej holdingovej spoločnosti</w:t>
            </w:r>
            <w:r w:rsidR="00D85C65">
              <w:rPr>
                <w:rFonts w:ascii="Times New Roman" w:hAnsi="Times New Roman"/>
                <w:sz w:val="24"/>
                <w:highlight w:val="yellow"/>
              </w:rPr>
              <w:t xml:space="preserve"> v </w:t>
            </w:r>
            <w:r w:rsidRPr="00D85C65">
              <w:rPr>
                <w:rFonts w:ascii="Times New Roman" w:hAnsi="Times New Roman"/>
                <w:sz w:val="24"/>
                <w:highlight w:val="yellow"/>
              </w:rPr>
              <w:t>EÚ alebo materskej zmiešanej finančnej holdingovej spoločnosti</w:t>
            </w:r>
            <w:r w:rsidR="00D85C65">
              <w:rPr>
                <w:rFonts w:ascii="Times New Roman" w:hAnsi="Times New Roman"/>
                <w:sz w:val="24"/>
                <w:highlight w:val="yellow"/>
              </w:rPr>
              <w:t xml:space="preserve"> v </w:t>
            </w:r>
            <w:r w:rsidRPr="00D85C65">
              <w:rPr>
                <w:rFonts w:ascii="Times New Roman" w:hAnsi="Times New Roman"/>
                <w:sz w:val="24"/>
                <w:highlight w:val="yellow"/>
              </w:rPr>
              <w:t>EÚ. Výsledok tejto alokácie sa vykazuje</w:t>
            </w:r>
            <w:r w:rsidR="00D85C65">
              <w:rPr>
                <w:rFonts w:ascii="Times New Roman" w:hAnsi="Times New Roman"/>
                <w:sz w:val="24"/>
                <w:highlight w:val="yellow"/>
              </w:rPr>
              <w:t xml:space="preserve"> v </w:t>
            </w:r>
            <w:r w:rsidRPr="00D85C65">
              <w:rPr>
                <w:rFonts w:ascii="Times New Roman" w:hAnsi="Times New Roman"/>
                <w:sz w:val="24"/>
                <w:highlight w:val="yellow"/>
              </w:rPr>
              <w:t>tomto stĺpci</w:t>
            </w:r>
            <w:r w:rsidR="00D85C65">
              <w:rPr>
                <w:rFonts w:ascii="Times New Roman" w:hAnsi="Times New Roman"/>
                <w:sz w:val="24"/>
                <w:highlight w:val="yellow"/>
              </w:rPr>
              <w:t>.</w:t>
            </w:r>
          </w:p>
          <w:p w14:paraId="6BA87823" w14:textId="217C1B98" w:rsidR="00235D9D" w:rsidRPr="00D85C65" w:rsidRDefault="00235D9D">
            <w:pPr>
              <w:autoSpaceDE w:val="0"/>
              <w:autoSpaceDN w:val="0"/>
              <w:adjustRightInd w:val="0"/>
              <w:spacing w:before="0" w:after="0"/>
              <w:jc w:val="left"/>
              <w:rPr>
                <w:rFonts w:ascii="Times New Roman" w:hAnsi="Times New Roman"/>
                <w:bCs/>
                <w:sz w:val="24"/>
                <w:highlight w:val="yellow"/>
              </w:rPr>
            </w:pPr>
          </w:p>
        </w:tc>
      </w:tr>
      <w:tr w:rsidR="00235D9D" w:rsidRPr="00D85C65" w14:paraId="05DAC788" w14:textId="77777777" w:rsidTr="00672D2A">
        <w:tc>
          <w:tcPr>
            <w:tcW w:w="985" w:type="dxa"/>
          </w:tcPr>
          <w:p w14:paraId="13A3E0FC"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090 – 120</w:t>
            </w:r>
          </w:p>
        </w:tc>
        <w:tc>
          <w:tcPr>
            <w:tcW w:w="7877" w:type="dxa"/>
          </w:tcPr>
          <w:p w14:paraId="10FAF020" w14:textId="52B0696B"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DOPLŇUJÚCE POLOŽKY AMA, KTORÉ SA VYKAZUJÚ</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NÁLEŽITÝCH PRÍPADOCH</w:t>
            </w:r>
          </w:p>
        </w:tc>
      </w:tr>
      <w:tr w:rsidR="00235D9D" w:rsidRPr="00D85C65" w14:paraId="35EEC7EB" w14:textId="77777777" w:rsidTr="00672D2A">
        <w:tc>
          <w:tcPr>
            <w:tcW w:w="985" w:type="dxa"/>
          </w:tcPr>
          <w:p w14:paraId="35255FF5"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090</w:t>
            </w:r>
          </w:p>
        </w:tc>
        <w:tc>
          <w:tcPr>
            <w:tcW w:w="7877" w:type="dxa"/>
          </w:tcPr>
          <w:p w14:paraId="75DF12A4" w14:textId="1C002248"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POŽIADAVKY NA VLASTNÉ ZDROJE PRED ZMIERNENÍM</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OČAKÁVANEJ STRATY, DIVERZIFIKÁCIE A POSTUPOV NA ZMIERŇOVANIE RIZIKA</w:t>
            </w:r>
          </w:p>
          <w:p w14:paraId="09DB1937" w14:textId="77777777" w:rsidR="00235D9D" w:rsidRPr="00D85C65" w:rsidRDefault="00235D9D">
            <w:pPr>
              <w:autoSpaceDE w:val="0"/>
              <w:autoSpaceDN w:val="0"/>
              <w:adjustRightInd w:val="0"/>
              <w:spacing w:before="0" w:after="0"/>
              <w:jc w:val="left"/>
              <w:rPr>
                <w:rFonts w:ascii="Times New Roman" w:hAnsi="Times New Roman"/>
                <w:bCs/>
                <w:sz w:val="24"/>
              </w:rPr>
            </w:pPr>
          </w:p>
          <w:p w14:paraId="3562FB5E" w14:textId="3854CD6D" w:rsidR="00235D9D" w:rsidRP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Požiadavka na vlastné zdroje vykázaná</w:t>
            </w:r>
            <w:r w:rsidR="00D85C65">
              <w:rPr>
                <w:rFonts w:ascii="Times New Roman" w:hAnsi="Times New Roman"/>
                <w:sz w:val="24"/>
              </w:rPr>
              <w:t xml:space="preserve"> v </w:t>
            </w:r>
            <w:r w:rsidRPr="00D85C65">
              <w:rPr>
                <w:rFonts w:ascii="Times New Roman" w:hAnsi="Times New Roman"/>
                <w:sz w:val="24"/>
              </w:rPr>
              <w:t>stĺpci 090 je tá istá ako</w:t>
            </w:r>
            <w:r w:rsidR="00D85C65">
              <w:rPr>
                <w:rFonts w:ascii="Times New Roman" w:hAnsi="Times New Roman"/>
                <w:sz w:val="24"/>
              </w:rPr>
              <w:t xml:space="preserve"> v </w:t>
            </w:r>
            <w:r w:rsidRPr="00D85C65">
              <w:rPr>
                <w:rFonts w:ascii="Times New Roman" w:hAnsi="Times New Roman"/>
                <w:sz w:val="24"/>
              </w:rPr>
              <w:t>stĺpci 070, vypočítava sa však pred zohľadnením zmierňujúcich účinkov</w:t>
            </w:r>
            <w:r w:rsidR="00D85C65">
              <w:rPr>
                <w:rFonts w:ascii="Times New Roman" w:hAnsi="Times New Roman"/>
                <w:sz w:val="24"/>
              </w:rPr>
              <w:t xml:space="preserve"> z </w:t>
            </w:r>
            <w:r w:rsidRPr="00D85C65">
              <w:rPr>
                <w:rFonts w:ascii="Times New Roman" w:hAnsi="Times New Roman"/>
                <w:sz w:val="24"/>
              </w:rPr>
              <w:t>dôvodu očakávanej straty, diverzifikácie</w:t>
            </w:r>
            <w:r w:rsidR="00D85C65">
              <w:rPr>
                <w:rFonts w:ascii="Times New Roman" w:hAnsi="Times New Roman"/>
                <w:sz w:val="24"/>
              </w:rPr>
              <w:t xml:space="preserve"> a </w:t>
            </w:r>
            <w:r w:rsidRPr="00D85C65">
              <w:rPr>
                <w:rFonts w:ascii="Times New Roman" w:hAnsi="Times New Roman"/>
                <w:sz w:val="24"/>
              </w:rPr>
              <w:t>postupov na zmierňovanie rizika (pozri ďalej).</w:t>
            </w:r>
          </w:p>
          <w:p w14:paraId="31521B51"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62BCB1ED" w14:textId="77777777" w:rsidTr="00672D2A">
        <w:tc>
          <w:tcPr>
            <w:tcW w:w="985" w:type="dxa"/>
          </w:tcPr>
          <w:p w14:paraId="247865E1"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100</w:t>
            </w:r>
          </w:p>
        </w:tc>
        <w:tc>
          <w:tcPr>
            <w:tcW w:w="7877" w:type="dxa"/>
          </w:tcPr>
          <w:p w14:paraId="39E9249B" w14:textId="62D1EF20"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 ZMIERNENIE POŽIADAVIEK NA VLASTNÉ ZDROJE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OČAKÁVANEJ STRATY ZACHYTENEJ</w:t>
            </w:r>
            <w:r w:rsidR="00D85C65">
              <w:rPr>
                <w:rStyle w:val="InstructionsTabelleberschrift"/>
                <w:rFonts w:ascii="Times New Roman" w:hAnsi="Times New Roman"/>
                <w:sz w:val="24"/>
              </w:rPr>
              <w:t xml:space="preserve"> V </w:t>
            </w:r>
            <w:r w:rsidRPr="00D85C65">
              <w:rPr>
                <w:rStyle w:val="InstructionsTabelleberschrift"/>
                <w:rFonts w:ascii="Times New Roman" w:hAnsi="Times New Roman"/>
                <w:sz w:val="24"/>
              </w:rPr>
              <w:t>OBCHODNÝCH POSTUPOCH</w:t>
            </w:r>
          </w:p>
          <w:p w14:paraId="402E2D2B" w14:textId="77777777" w:rsidR="00235D9D" w:rsidRPr="00D85C65" w:rsidRDefault="00235D9D">
            <w:pPr>
              <w:autoSpaceDE w:val="0"/>
              <w:autoSpaceDN w:val="0"/>
              <w:adjustRightInd w:val="0"/>
              <w:spacing w:before="0" w:after="0"/>
              <w:jc w:val="left"/>
              <w:rPr>
                <w:rFonts w:ascii="Times New Roman" w:hAnsi="Times New Roman"/>
                <w:bCs/>
                <w:sz w:val="24"/>
              </w:rPr>
            </w:pPr>
          </w:p>
          <w:p w14:paraId="4687A2D0" w14:textId="2E1D3A3B" w:rsidR="00235D9D" w:rsidRP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V stĺpci 100 sa vykazuje zmiernenie požiadaviek na vlastné zdroje</w:t>
            </w:r>
            <w:r w:rsidR="00D85C65">
              <w:rPr>
                <w:rFonts w:ascii="Times New Roman" w:hAnsi="Times New Roman"/>
                <w:sz w:val="24"/>
              </w:rPr>
              <w:t xml:space="preserve"> z </w:t>
            </w:r>
            <w:r w:rsidRPr="00D85C65">
              <w:rPr>
                <w:rFonts w:ascii="Times New Roman" w:hAnsi="Times New Roman"/>
                <w:sz w:val="24"/>
              </w:rPr>
              <w:t>dôvodu očakávanej straty zachytenej</w:t>
            </w:r>
            <w:r w:rsidR="00D85C65">
              <w:rPr>
                <w:rFonts w:ascii="Times New Roman" w:hAnsi="Times New Roman"/>
                <w:sz w:val="24"/>
              </w:rPr>
              <w:t xml:space="preserve"> v </w:t>
            </w:r>
            <w:r w:rsidRPr="00D85C65">
              <w:rPr>
                <w:rFonts w:ascii="Times New Roman" w:hAnsi="Times New Roman"/>
                <w:sz w:val="24"/>
              </w:rPr>
              <w:t>interných obchodných postupoch [podľa článku 322 ods. 2 písm. a) CRR].</w:t>
            </w:r>
          </w:p>
          <w:p w14:paraId="5C7DD762"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1ABEA2AC" w14:textId="77777777" w:rsidTr="00672D2A">
        <w:tc>
          <w:tcPr>
            <w:tcW w:w="985" w:type="dxa"/>
          </w:tcPr>
          <w:p w14:paraId="7C02BD71"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110</w:t>
            </w:r>
          </w:p>
        </w:tc>
        <w:tc>
          <w:tcPr>
            <w:tcW w:w="7877" w:type="dxa"/>
          </w:tcPr>
          <w:p w14:paraId="102A8AEB" w14:textId="763BA8A8"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 ZMIERNENIE POŽIADAVIEK NA VLASTNÉ ZDROJE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DIVERZIFIKÁCIE</w:t>
            </w:r>
          </w:p>
          <w:p w14:paraId="4B201E61" w14:textId="1152652B" w:rsidR="00235D9D" w:rsidRPr="00D85C65" w:rsidRDefault="00AC6255">
            <w:pPr>
              <w:rPr>
                <w:rFonts w:ascii="Times New Roman" w:hAnsi="Times New Roman"/>
                <w:sz w:val="24"/>
              </w:rPr>
            </w:pPr>
            <w:r w:rsidRPr="00D85C65">
              <w:rPr>
                <w:rFonts w:ascii="Times New Roman" w:hAnsi="Times New Roman"/>
                <w:sz w:val="24"/>
              </w:rPr>
              <w:lastRenderedPageBreak/>
              <w:t>Účinok diverzifikácie</w:t>
            </w:r>
            <w:r w:rsidR="00D85C65">
              <w:rPr>
                <w:rFonts w:ascii="Times New Roman" w:hAnsi="Times New Roman"/>
                <w:sz w:val="24"/>
              </w:rPr>
              <w:t xml:space="preserve"> v </w:t>
            </w:r>
            <w:r w:rsidRPr="00D85C65">
              <w:rPr>
                <w:rFonts w:ascii="Times New Roman" w:hAnsi="Times New Roman"/>
                <w:sz w:val="24"/>
              </w:rPr>
              <w:t>stĺpci 110 sa vypočíta ako rozdiel medzi hodnotou požiadaviek na vlastné zdroje vypočítanou osobitne pre každú triedu operačného rizika (t. j. situácia „dokonalej závislosti“)</w:t>
            </w:r>
            <w:r w:rsidR="00D85C65">
              <w:rPr>
                <w:rFonts w:ascii="Times New Roman" w:hAnsi="Times New Roman"/>
                <w:sz w:val="24"/>
              </w:rPr>
              <w:t xml:space="preserve"> a </w:t>
            </w:r>
            <w:r w:rsidRPr="00D85C65">
              <w:rPr>
                <w:rFonts w:ascii="Times New Roman" w:hAnsi="Times New Roman"/>
                <w:sz w:val="24"/>
              </w:rPr>
              <w:t>diverzifikovanou požiadavkou na vlastné zdroje vypočítanou pomocou zohľadnenia korelácií</w:t>
            </w:r>
            <w:r w:rsidR="00D85C65">
              <w:rPr>
                <w:rFonts w:ascii="Times New Roman" w:hAnsi="Times New Roman"/>
                <w:sz w:val="24"/>
              </w:rPr>
              <w:t xml:space="preserve"> a </w:t>
            </w:r>
            <w:r w:rsidRPr="00D85C65">
              <w:rPr>
                <w:rFonts w:ascii="Times New Roman" w:hAnsi="Times New Roman"/>
                <w:sz w:val="24"/>
              </w:rPr>
              <w:t>závislostí (t. j. pri predpoklade nie až takej „dokonalej závislosti“ medzi triedami rizík). Situácia „dokonalej závislosti“ nastane</w:t>
            </w:r>
            <w:r w:rsidR="00D85C65">
              <w:rPr>
                <w:rFonts w:ascii="Times New Roman" w:hAnsi="Times New Roman"/>
                <w:sz w:val="24"/>
              </w:rPr>
              <w:t xml:space="preserve"> v </w:t>
            </w:r>
            <w:r w:rsidRPr="00D85C65">
              <w:rPr>
                <w:rFonts w:ascii="Times New Roman" w:hAnsi="Times New Roman"/>
                <w:sz w:val="24"/>
              </w:rPr>
              <w:t>„stave zlyhania“, t. j. keď inštitúcia nepoužíva štruktúru explicitných korelácií medzi triedami rizík, takže kapitál AMA sa počíta ako súčet jednotlivých meraní operačného rizika vybraných tried rizík.</w:t>
            </w:r>
            <w:r w:rsidR="00D85C65">
              <w:rPr>
                <w:rFonts w:ascii="Times New Roman" w:hAnsi="Times New Roman"/>
                <w:sz w:val="24"/>
              </w:rPr>
              <w:t xml:space="preserve"> V </w:t>
            </w:r>
            <w:r w:rsidRPr="00D85C65">
              <w:rPr>
                <w:rFonts w:ascii="Times New Roman" w:hAnsi="Times New Roman"/>
                <w:sz w:val="24"/>
              </w:rPr>
              <w:t>tomto prípade sa predpokladá korelácia medzi triedami rizík vo výške 100</w:t>
            </w:r>
            <w:r w:rsidR="00D85C65">
              <w:rPr>
                <w:rFonts w:ascii="Times New Roman" w:hAnsi="Times New Roman"/>
                <w:sz w:val="24"/>
              </w:rPr>
              <w:t> % a </w:t>
            </w:r>
            <w:r w:rsidRPr="00D85C65">
              <w:rPr>
                <w:rFonts w:ascii="Times New Roman" w:hAnsi="Times New Roman"/>
                <w:sz w:val="24"/>
              </w:rPr>
              <w:t>hodnota</w:t>
            </w:r>
            <w:r w:rsidR="00D85C65">
              <w:rPr>
                <w:rFonts w:ascii="Times New Roman" w:hAnsi="Times New Roman"/>
                <w:sz w:val="24"/>
              </w:rPr>
              <w:t xml:space="preserve"> v </w:t>
            </w:r>
            <w:r w:rsidRPr="00D85C65">
              <w:rPr>
                <w:rFonts w:ascii="Times New Roman" w:hAnsi="Times New Roman"/>
                <w:sz w:val="24"/>
              </w:rPr>
              <w:t>stĺpci sa musí nastaviť na nulu. Naopak, keď inštitúcia vypočítava štruktúru explicitných korelácií medzi triedami rizík, zahrnie do tohto stĺpca rozdiel medzi kapitálom AMA, ako keby pochádzal zo „stavu zlyhania“,</w:t>
            </w:r>
            <w:r w:rsidR="00D85C65">
              <w:rPr>
                <w:rFonts w:ascii="Times New Roman" w:hAnsi="Times New Roman"/>
                <w:sz w:val="24"/>
              </w:rPr>
              <w:t xml:space="preserve"> a </w:t>
            </w:r>
            <w:r w:rsidRPr="00D85C65">
              <w:rPr>
                <w:rFonts w:ascii="Times New Roman" w:hAnsi="Times New Roman"/>
                <w:sz w:val="24"/>
              </w:rPr>
              <w:t>kapitálom AMA získaným po uplatnení štruktúry korelácií medzi triedami rizík. Táto hodnota vyjadruje „schopnosť diverzifikácie“ modelu AMA, čo je schopnosť modelu zachytiť nesimultánny výskyt závažných prípadov strát</w:t>
            </w:r>
            <w:r w:rsidR="00D85C65">
              <w:rPr>
                <w:rFonts w:ascii="Times New Roman" w:hAnsi="Times New Roman"/>
                <w:sz w:val="24"/>
              </w:rPr>
              <w:t xml:space="preserve"> z </w:t>
            </w:r>
            <w:r w:rsidRPr="00D85C65">
              <w:rPr>
                <w:rFonts w:ascii="Times New Roman" w:hAnsi="Times New Roman"/>
                <w:sz w:val="24"/>
              </w:rPr>
              <w:t>operačného rizika.</w:t>
            </w:r>
            <w:r w:rsidR="00D85C65">
              <w:rPr>
                <w:rFonts w:ascii="Times New Roman" w:hAnsi="Times New Roman"/>
                <w:sz w:val="24"/>
              </w:rPr>
              <w:t xml:space="preserve"> V </w:t>
            </w:r>
            <w:r w:rsidRPr="00D85C65">
              <w:rPr>
                <w:rFonts w:ascii="Times New Roman" w:hAnsi="Times New Roman"/>
                <w:sz w:val="24"/>
              </w:rPr>
              <w:t>stĺpci 110 sa vykazuje hodnota,</w:t>
            </w:r>
            <w:r w:rsidR="00D85C65">
              <w:rPr>
                <w:rFonts w:ascii="Times New Roman" w:hAnsi="Times New Roman"/>
                <w:sz w:val="24"/>
              </w:rPr>
              <w:t xml:space="preserve"> o </w:t>
            </w:r>
            <w:r w:rsidRPr="00D85C65">
              <w:rPr>
                <w:rFonts w:ascii="Times New Roman" w:hAnsi="Times New Roman"/>
                <w:sz w:val="24"/>
              </w:rPr>
              <w:t>ktorú predpokladaná štruktúra korelácií znižuje kapitál AMA</w:t>
            </w:r>
            <w:r w:rsidR="00D85C65">
              <w:rPr>
                <w:rFonts w:ascii="Times New Roman" w:hAnsi="Times New Roman"/>
                <w:sz w:val="24"/>
              </w:rPr>
              <w:t xml:space="preserve"> v </w:t>
            </w:r>
            <w:r w:rsidRPr="00D85C65">
              <w:rPr>
                <w:rFonts w:ascii="Times New Roman" w:hAnsi="Times New Roman"/>
                <w:sz w:val="24"/>
              </w:rPr>
              <w:t>pomere</w:t>
            </w:r>
            <w:r w:rsidR="00D85C65">
              <w:rPr>
                <w:rFonts w:ascii="Times New Roman" w:hAnsi="Times New Roman"/>
                <w:sz w:val="24"/>
              </w:rPr>
              <w:t xml:space="preserve"> k </w:t>
            </w:r>
            <w:r w:rsidRPr="00D85C65">
              <w:rPr>
                <w:rFonts w:ascii="Times New Roman" w:hAnsi="Times New Roman"/>
                <w:sz w:val="24"/>
              </w:rPr>
              <w:t>predpokladanej korelácii vo výške 100</w:t>
            </w:r>
            <w:r w:rsidR="00D85C65">
              <w:rPr>
                <w:rFonts w:ascii="Times New Roman" w:hAnsi="Times New Roman"/>
                <w:sz w:val="24"/>
              </w:rPr>
              <w:t> %</w:t>
            </w:r>
            <w:r w:rsidRPr="00D85C65">
              <w:rPr>
                <w:rFonts w:ascii="Times New Roman" w:hAnsi="Times New Roman"/>
                <w:sz w:val="24"/>
              </w:rPr>
              <w:t>.</w:t>
            </w:r>
          </w:p>
          <w:p w14:paraId="2A3A543E" w14:textId="77777777" w:rsidR="00235D9D" w:rsidRPr="00D85C65" w:rsidRDefault="00235D9D">
            <w:pPr>
              <w:autoSpaceDE w:val="0"/>
              <w:autoSpaceDN w:val="0"/>
              <w:adjustRightInd w:val="0"/>
              <w:spacing w:before="0" w:after="0"/>
              <w:jc w:val="left"/>
              <w:rPr>
                <w:rFonts w:ascii="Times New Roman" w:hAnsi="Times New Roman"/>
                <w:bCs/>
                <w:sz w:val="24"/>
              </w:rPr>
            </w:pPr>
          </w:p>
        </w:tc>
      </w:tr>
      <w:tr w:rsidR="00235D9D" w:rsidRPr="00D85C65" w14:paraId="3B67DD76" w14:textId="77777777" w:rsidTr="00672D2A">
        <w:tc>
          <w:tcPr>
            <w:tcW w:w="985" w:type="dxa"/>
          </w:tcPr>
          <w:p w14:paraId="1E73534A"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120</w:t>
            </w:r>
          </w:p>
        </w:tc>
        <w:tc>
          <w:tcPr>
            <w:tcW w:w="7877" w:type="dxa"/>
          </w:tcPr>
          <w:p w14:paraId="494EF734" w14:textId="57B270E0" w:rsidR="00235D9D" w:rsidRPr="00D85C65" w:rsidRDefault="00AC6255">
            <w:pPr>
              <w:autoSpaceDE w:val="0"/>
              <w:autoSpaceDN w:val="0"/>
              <w:adjustRightInd w:val="0"/>
              <w:spacing w:before="0" w:after="0"/>
              <w:jc w:val="left"/>
              <w:rPr>
                <w:rFonts w:ascii="Times New Roman" w:hAnsi="Times New Roman"/>
                <w:sz w:val="24"/>
              </w:rPr>
            </w:pPr>
            <w:r w:rsidRPr="00D85C65">
              <w:rPr>
                <w:rStyle w:val="InstructionsTabelleberschrift"/>
                <w:rFonts w:ascii="Times New Roman" w:hAnsi="Times New Roman"/>
                <w:sz w:val="24"/>
              </w:rPr>
              <w:t>(-) ZMIERNENIE POŽIADAVIEK NA VLASTNÉ ZDROJE</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DÔVODU POSTUPOV NA ZMIERŇOVANIE RIZIKA (POISTENIE A INÉ MECHANIZMY PRESUNU RIZIKA)</w:t>
            </w:r>
          </w:p>
          <w:p w14:paraId="756E5E01" w14:textId="77777777" w:rsidR="00235D9D" w:rsidRPr="00D85C65" w:rsidRDefault="00235D9D">
            <w:pPr>
              <w:autoSpaceDE w:val="0"/>
              <w:autoSpaceDN w:val="0"/>
              <w:adjustRightInd w:val="0"/>
              <w:spacing w:before="0" w:after="0"/>
              <w:jc w:val="left"/>
              <w:rPr>
                <w:rFonts w:ascii="Times New Roman" w:hAnsi="Times New Roman"/>
                <w:sz w:val="24"/>
              </w:rPr>
            </w:pPr>
          </w:p>
          <w:p w14:paraId="26193D95" w14:textId="4DF398D7" w:rsidR="00235D9D" w:rsidRPr="00D85C65" w:rsidRDefault="00AC6255">
            <w:pPr>
              <w:autoSpaceDE w:val="0"/>
              <w:autoSpaceDN w:val="0"/>
              <w:adjustRightInd w:val="0"/>
              <w:spacing w:before="0" w:after="0"/>
              <w:jc w:val="left"/>
              <w:rPr>
                <w:rFonts w:ascii="Times New Roman" w:hAnsi="Times New Roman"/>
                <w:sz w:val="24"/>
              </w:rPr>
            </w:pPr>
            <w:r w:rsidRPr="00D85C65">
              <w:rPr>
                <w:rFonts w:ascii="Times New Roman" w:hAnsi="Times New Roman"/>
                <w:sz w:val="24"/>
              </w:rPr>
              <w:t>V stĺpci 120 sa vykazuje vplyv poistenia</w:t>
            </w:r>
            <w:r w:rsidR="00D85C65">
              <w:rPr>
                <w:rFonts w:ascii="Times New Roman" w:hAnsi="Times New Roman"/>
                <w:sz w:val="24"/>
              </w:rPr>
              <w:t xml:space="preserve"> a </w:t>
            </w:r>
            <w:r w:rsidRPr="00D85C65">
              <w:rPr>
                <w:rFonts w:ascii="Times New Roman" w:hAnsi="Times New Roman"/>
                <w:sz w:val="24"/>
              </w:rPr>
              <w:t>iných mechanizmov presunu rizika podľa článku 323 CRR.</w:t>
            </w:r>
          </w:p>
          <w:p w14:paraId="315C424A" w14:textId="77777777" w:rsidR="00235D9D" w:rsidRPr="00D85C65" w:rsidRDefault="00235D9D">
            <w:pPr>
              <w:autoSpaceDE w:val="0"/>
              <w:autoSpaceDN w:val="0"/>
              <w:adjustRightInd w:val="0"/>
              <w:spacing w:before="0" w:after="0"/>
              <w:jc w:val="left"/>
              <w:rPr>
                <w:rFonts w:ascii="Times New Roman" w:hAnsi="Times New Roman"/>
                <w:bCs/>
                <w:sz w:val="24"/>
              </w:rPr>
            </w:pPr>
          </w:p>
        </w:tc>
      </w:tr>
    </w:tbl>
    <w:p w14:paraId="1AA7C3C6" w14:textId="77777777" w:rsidR="00235D9D" w:rsidRPr="00D85C65" w:rsidRDefault="00235D9D">
      <w:pPr>
        <w:autoSpaceDE w:val="0"/>
        <w:autoSpaceDN w:val="0"/>
        <w:adjustRightInd w:val="0"/>
        <w:spacing w:before="0" w:after="0"/>
        <w:rPr>
          <w:rFonts w:ascii="Times New Roman" w:hAnsi="Times New Roman"/>
          <w:sz w:val="24"/>
        </w:rPr>
      </w:pPr>
    </w:p>
    <w:p w14:paraId="310E367B" w14:textId="77777777" w:rsidR="00235D9D" w:rsidRPr="00D85C65" w:rsidRDefault="00235D9D">
      <w:pPr>
        <w:autoSpaceDE w:val="0"/>
        <w:autoSpaceDN w:val="0"/>
        <w:adjustRightInd w:val="0"/>
        <w:spacing w:before="0" w:after="0"/>
        <w:rPr>
          <w:rFonts w:ascii="Times New Roman" w:hAnsi="Times New Roman"/>
          <w:sz w:val="24"/>
        </w:rPr>
      </w:pPr>
    </w:p>
    <w:p w14:paraId="094CE554" w14:textId="77777777" w:rsidR="00235D9D" w:rsidRPr="00D85C65" w:rsidRDefault="00235D9D">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235D9D" w:rsidRPr="00D85C65" w14:paraId="20F9DBD6" w14:textId="77777777" w:rsidTr="00672D2A">
        <w:trPr>
          <w:trHeight w:val="518"/>
        </w:trPr>
        <w:tc>
          <w:tcPr>
            <w:tcW w:w="8862" w:type="dxa"/>
            <w:gridSpan w:val="2"/>
            <w:shd w:val="clear" w:color="auto" w:fill="CCCCCC"/>
          </w:tcPr>
          <w:p w14:paraId="6606766B" w14:textId="77777777" w:rsidR="00235D9D" w:rsidRPr="00D85C65" w:rsidRDefault="00AC6255">
            <w:pPr>
              <w:autoSpaceDE w:val="0"/>
              <w:autoSpaceDN w:val="0"/>
              <w:adjustRightInd w:val="0"/>
              <w:spacing w:after="0"/>
              <w:rPr>
                <w:rFonts w:ascii="Times New Roman" w:hAnsi="Times New Roman"/>
                <w:b/>
                <w:bCs/>
                <w:sz w:val="24"/>
              </w:rPr>
            </w:pPr>
            <w:r w:rsidRPr="00D85C65">
              <w:rPr>
                <w:rFonts w:ascii="Times New Roman" w:hAnsi="Times New Roman"/>
                <w:b/>
                <w:bCs/>
                <w:sz w:val="24"/>
              </w:rPr>
              <w:t>Riadky</w:t>
            </w:r>
          </w:p>
        </w:tc>
      </w:tr>
      <w:tr w:rsidR="00235D9D" w:rsidRPr="00D85C65" w14:paraId="02B071F0" w14:textId="77777777" w:rsidTr="00672D2A">
        <w:tc>
          <w:tcPr>
            <w:tcW w:w="985" w:type="dxa"/>
          </w:tcPr>
          <w:p w14:paraId="2C7368F9"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 xml:space="preserve">010 </w:t>
            </w:r>
          </w:p>
        </w:tc>
        <w:tc>
          <w:tcPr>
            <w:tcW w:w="7877" w:type="dxa"/>
          </w:tcPr>
          <w:p w14:paraId="628EF631" w14:textId="77777777" w:rsidR="00235D9D" w:rsidRPr="00D85C65" w:rsidRDefault="00AC6255">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BANKOVÉ ČINNOSTI, NA KTORÉ SA UPLATŇUJE PRÍSTUP ZÁKLADNÉHO UKAZOVATEĽA (BIA)</w:t>
            </w:r>
          </w:p>
          <w:p w14:paraId="2187988F" w14:textId="77777777" w:rsidR="00235D9D" w:rsidRPr="00D85C65" w:rsidRDefault="00235D9D">
            <w:pPr>
              <w:pStyle w:val="PlainText"/>
              <w:jc w:val="both"/>
              <w:rPr>
                <w:rFonts w:ascii="Times New Roman" w:eastAsia="Times New Roman" w:hAnsi="Times New Roman"/>
                <w:sz w:val="24"/>
                <w:szCs w:val="24"/>
              </w:rPr>
            </w:pPr>
          </w:p>
          <w:p w14:paraId="69F468DC" w14:textId="1CF2AD36" w:rsidR="00235D9D" w:rsidRPr="00D85C65" w:rsidRDefault="00AC6255">
            <w:pPr>
              <w:pStyle w:val="PlainText"/>
              <w:jc w:val="both"/>
              <w:rPr>
                <w:rFonts w:ascii="Times New Roman" w:eastAsia="Times New Roman" w:hAnsi="Times New Roman"/>
                <w:sz w:val="24"/>
                <w:szCs w:val="24"/>
              </w:rPr>
            </w:pPr>
            <w:r w:rsidRPr="00D85C65">
              <w:rPr>
                <w:rFonts w:ascii="Times New Roman" w:hAnsi="Times New Roman"/>
                <w:sz w:val="24"/>
                <w:szCs w:val="24"/>
              </w:rPr>
              <w:t>V tomto riadku sa vykazujú hodnoty zodpovedajúce činnostiam, na ktoré sa na výpočet požiadavky na vlastné zdroje pre operačné riziko uplatňuje prístup BIA (články 315</w:t>
            </w:r>
            <w:r w:rsidR="00D85C65">
              <w:rPr>
                <w:rFonts w:ascii="Times New Roman" w:hAnsi="Times New Roman"/>
                <w:sz w:val="24"/>
                <w:szCs w:val="24"/>
              </w:rPr>
              <w:t xml:space="preserve"> a </w:t>
            </w:r>
            <w:r w:rsidRPr="00D85C65">
              <w:rPr>
                <w:rFonts w:ascii="Times New Roman" w:hAnsi="Times New Roman"/>
                <w:sz w:val="24"/>
                <w:szCs w:val="24"/>
              </w:rPr>
              <w:t>316 CRR).</w:t>
            </w:r>
          </w:p>
          <w:p w14:paraId="6067A1A0" w14:textId="77777777" w:rsidR="00235D9D" w:rsidRPr="00D85C65" w:rsidRDefault="00235D9D">
            <w:pPr>
              <w:pStyle w:val="PlainText"/>
              <w:jc w:val="both"/>
              <w:rPr>
                <w:rFonts w:ascii="Times New Roman" w:eastAsia="Times New Roman" w:hAnsi="Times New Roman"/>
                <w:bCs/>
                <w:sz w:val="24"/>
                <w:szCs w:val="24"/>
              </w:rPr>
            </w:pPr>
          </w:p>
        </w:tc>
      </w:tr>
      <w:tr w:rsidR="00235D9D" w:rsidRPr="00D85C65" w14:paraId="155512A8" w14:textId="77777777" w:rsidTr="00672D2A">
        <w:tc>
          <w:tcPr>
            <w:tcW w:w="985" w:type="dxa"/>
          </w:tcPr>
          <w:p w14:paraId="460FAC80"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020</w:t>
            </w:r>
          </w:p>
        </w:tc>
        <w:tc>
          <w:tcPr>
            <w:tcW w:w="7877" w:type="dxa"/>
          </w:tcPr>
          <w:p w14:paraId="625979B3" w14:textId="77777777" w:rsidR="00235D9D" w:rsidRPr="00D85C65" w:rsidRDefault="00AC6255">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BANKOVÉ ČINNOSTI, NA KTORÉ SA UPLATŇUJE ŠTANDARDIZOVANÝ (TSA)/ALTERNATÍVNY ŠTANDARDIZOVANÝ (ASA) PRÍSTUP</w:t>
            </w:r>
          </w:p>
          <w:p w14:paraId="1D9EB8A6" w14:textId="77777777" w:rsidR="00235D9D" w:rsidRPr="00D85C65" w:rsidRDefault="00235D9D">
            <w:pPr>
              <w:autoSpaceDE w:val="0"/>
              <w:autoSpaceDN w:val="0"/>
              <w:adjustRightInd w:val="0"/>
              <w:spacing w:before="0" w:after="0"/>
              <w:rPr>
                <w:rFonts w:ascii="Times New Roman" w:hAnsi="Times New Roman"/>
                <w:sz w:val="24"/>
              </w:rPr>
            </w:pPr>
          </w:p>
          <w:p w14:paraId="6D1E6C01" w14:textId="0A837F85" w:rsidR="00235D9D" w:rsidRP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Vykazuje sa požiadavka na vlastné zdroje vypočítaná podľa prístupov TSA</w:t>
            </w:r>
            <w:r w:rsidR="00D85C65">
              <w:rPr>
                <w:rFonts w:ascii="Times New Roman" w:hAnsi="Times New Roman"/>
                <w:sz w:val="24"/>
              </w:rPr>
              <w:t xml:space="preserve"> a </w:t>
            </w:r>
            <w:r w:rsidRPr="00D85C65">
              <w:rPr>
                <w:rFonts w:ascii="Times New Roman" w:hAnsi="Times New Roman"/>
                <w:sz w:val="24"/>
              </w:rPr>
              <w:t>ASA (články 317, 318</w:t>
            </w:r>
            <w:r w:rsidR="00D85C65">
              <w:rPr>
                <w:rFonts w:ascii="Times New Roman" w:hAnsi="Times New Roman"/>
                <w:sz w:val="24"/>
              </w:rPr>
              <w:t xml:space="preserve"> a </w:t>
            </w:r>
            <w:r w:rsidRPr="00D85C65">
              <w:rPr>
                <w:rFonts w:ascii="Times New Roman" w:hAnsi="Times New Roman"/>
                <w:sz w:val="24"/>
              </w:rPr>
              <w:t>319 CRR).</w:t>
            </w:r>
          </w:p>
          <w:p w14:paraId="432248F1"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6228067A" w14:textId="77777777" w:rsidTr="00672D2A">
        <w:trPr>
          <w:trHeight w:val="1705"/>
        </w:trPr>
        <w:tc>
          <w:tcPr>
            <w:tcW w:w="985" w:type="dxa"/>
          </w:tcPr>
          <w:p w14:paraId="7BB966FB"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030 – 100</w:t>
            </w:r>
          </w:p>
        </w:tc>
        <w:tc>
          <w:tcPr>
            <w:tcW w:w="7877" w:type="dxa"/>
          </w:tcPr>
          <w:p w14:paraId="12B0B4FB" w14:textId="77777777" w:rsidR="00235D9D" w:rsidRPr="00D85C65" w:rsidRDefault="00AC6255">
            <w:pPr>
              <w:rPr>
                <w:rStyle w:val="InstructionsTabelleberschrift"/>
                <w:rFonts w:ascii="Times New Roman" w:hAnsi="Times New Roman"/>
                <w:sz w:val="24"/>
              </w:rPr>
            </w:pPr>
            <w:r w:rsidRPr="00D85C65">
              <w:rPr>
                <w:rStyle w:val="InstructionsTabelleberschrift"/>
                <w:rFonts w:ascii="Times New Roman" w:hAnsi="Times New Roman"/>
                <w:sz w:val="24"/>
              </w:rPr>
              <w:t>UPLATŇOVANIE PRÍSTUPU TSA</w:t>
            </w:r>
          </w:p>
          <w:p w14:paraId="201BB629" w14:textId="0ADF75D7" w:rsidR="00235D9D" w:rsidRPr="00D85C65" w:rsidRDefault="001C3443">
            <w:pPr>
              <w:autoSpaceDE w:val="0"/>
              <w:autoSpaceDN w:val="0"/>
              <w:adjustRightInd w:val="0"/>
              <w:spacing w:before="0" w:after="0"/>
              <w:jc w:val="left"/>
              <w:rPr>
                <w:rFonts w:ascii="Times New Roman" w:hAnsi="Times New Roman"/>
                <w:bCs/>
                <w:sz w:val="24"/>
              </w:rPr>
            </w:pPr>
            <w:r w:rsidRPr="00D85C65">
              <w:rPr>
                <w:rFonts w:ascii="Times New Roman" w:hAnsi="Times New Roman"/>
                <w:sz w:val="24"/>
              </w:rPr>
              <w:t>Keď sa používa prístup TSA, príslušný ukazovateľ pre každý príslušný rok sa rozdelí</w:t>
            </w:r>
            <w:r w:rsidR="00D85C65">
              <w:rPr>
                <w:rFonts w:ascii="Times New Roman" w:hAnsi="Times New Roman"/>
                <w:sz w:val="24"/>
              </w:rPr>
              <w:t xml:space="preserve"> v </w:t>
            </w:r>
            <w:r w:rsidRPr="00D85C65">
              <w:rPr>
                <w:rFonts w:ascii="Times New Roman" w:hAnsi="Times New Roman"/>
                <w:sz w:val="24"/>
              </w:rPr>
              <w:t>riadkoch 030 až 100 medzi obchodné línie uvedené</w:t>
            </w:r>
            <w:r w:rsidR="00D85C65">
              <w:rPr>
                <w:rFonts w:ascii="Times New Roman" w:hAnsi="Times New Roman"/>
                <w:sz w:val="24"/>
              </w:rPr>
              <w:t xml:space="preserve"> v </w:t>
            </w:r>
            <w:r w:rsidRPr="00D85C65">
              <w:rPr>
                <w:rFonts w:ascii="Times New Roman" w:hAnsi="Times New Roman"/>
                <w:sz w:val="24"/>
              </w:rPr>
              <w:t>tabuľke 2 článku 317 CRR. Zaraďovanie činností do obchodných línií sa riadi zásadami popísanými</w:t>
            </w:r>
            <w:r w:rsidR="00D85C65">
              <w:rPr>
                <w:rFonts w:ascii="Times New Roman" w:hAnsi="Times New Roman"/>
                <w:sz w:val="24"/>
              </w:rPr>
              <w:t xml:space="preserve"> v </w:t>
            </w:r>
            <w:r w:rsidRPr="00D85C65">
              <w:rPr>
                <w:rFonts w:ascii="Times New Roman" w:hAnsi="Times New Roman"/>
                <w:sz w:val="24"/>
              </w:rPr>
              <w:t>článku 318 CRR.</w:t>
            </w:r>
          </w:p>
        </w:tc>
      </w:tr>
      <w:tr w:rsidR="00235D9D" w:rsidRPr="00D85C65" w14:paraId="76BCFFD6" w14:textId="77777777" w:rsidTr="00672D2A">
        <w:tc>
          <w:tcPr>
            <w:tcW w:w="985" w:type="dxa"/>
          </w:tcPr>
          <w:p w14:paraId="348D7061"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110 – 120</w:t>
            </w:r>
          </w:p>
        </w:tc>
        <w:tc>
          <w:tcPr>
            <w:tcW w:w="7877" w:type="dxa"/>
          </w:tcPr>
          <w:p w14:paraId="311D0EF5" w14:textId="77777777" w:rsidR="00235D9D" w:rsidRPr="00D85C65" w:rsidRDefault="00AC6255">
            <w:pPr>
              <w:autoSpaceDE w:val="0"/>
              <w:autoSpaceDN w:val="0"/>
              <w:adjustRightInd w:val="0"/>
              <w:spacing w:before="0" w:after="0"/>
              <w:jc w:val="left"/>
              <w:rPr>
                <w:rStyle w:val="InstructionsTabelleberschrift"/>
                <w:rFonts w:ascii="Times New Roman" w:hAnsi="Times New Roman"/>
                <w:sz w:val="24"/>
              </w:rPr>
            </w:pPr>
            <w:r w:rsidRPr="00D85C65">
              <w:rPr>
                <w:rStyle w:val="InstructionsTabelleberschrift"/>
                <w:rFonts w:ascii="Times New Roman" w:hAnsi="Times New Roman"/>
                <w:sz w:val="24"/>
              </w:rPr>
              <w:t>UPLATŇOVANIE PRÍSTUPU ASA</w:t>
            </w:r>
          </w:p>
          <w:p w14:paraId="2867CA44" w14:textId="627FD382" w:rsidR="00D85C65" w:rsidRDefault="00AC6255">
            <w:pPr>
              <w:rPr>
                <w:rFonts w:ascii="Times New Roman" w:hAnsi="Times New Roman"/>
                <w:sz w:val="24"/>
              </w:rPr>
            </w:pPr>
            <w:r w:rsidRPr="00D85C65">
              <w:rPr>
                <w:rFonts w:ascii="Times New Roman" w:hAnsi="Times New Roman"/>
                <w:sz w:val="24"/>
              </w:rPr>
              <w:t>Inštitúcie, ktoré používajú prístup ASA (článok 319 CRR), vykazujú pre príslušné roky príslušný ukazovateľ osobitne pre každú obchodnú líniu</w:t>
            </w:r>
            <w:r w:rsidR="00D85C65">
              <w:rPr>
                <w:rFonts w:ascii="Times New Roman" w:hAnsi="Times New Roman"/>
                <w:sz w:val="24"/>
              </w:rPr>
              <w:t xml:space="preserve"> v </w:t>
            </w:r>
            <w:r w:rsidRPr="00D85C65">
              <w:rPr>
                <w:rFonts w:ascii="Times New Roman" w:hAnsi="Times New Roman"/>
                <w:sz w:val="24"/>
              </w:rPr>
              <w:t>riadkoch 030 až 050</w:t>
            </w:r>
            <w:r w:rsidR="00D85C65">
              <w:rPr>
                <w:rFonts w:ascii="Times New Roman" w:hAnsi="Times New Roman"/>
                <w:sz w:val="24"/>
              </w:rPr>
              <w:t xml:space="preserve"> a </w:t>
            </w:r>
            <w:r w:rsidRPr="00D85C65">
              <w:rPr>
                <w:rFonts w:ascii="Times New Roman" w:hAnsi="Times New Roman"/>
                <w:sz w:val="24"/>
              </w:rPr>
              <w:t>riadkoch 080 až 100</w:t>
            </w:r>
            <w:r w:rsidR="00D85C65">
              <w:rPr>
                <w:rFonts w:ascii="Times New Roman" w:hAnsi="Times New Roman"/>
                <w:sz w:val="24"/>
              </w:rPr>
              <w:t xml:space="preserve"> a v </w:t>
            </w:r>
            <w:r w:rsidRPr="00D85C65">
              <w:rPr>
                <w:rFonts w:ascii="Times New Roman" w:hAnsi="Times New Roman"/>
                <w:sz w:val="24"/>
              </w:rPr>
              <w:t>riadkoch 110</w:t>
            </w:r>
            <w:r w:rsidR="00D85C65">
              <w:rPr>
                <w:rFonts w:ascii="Times New Roman" w:hAnsi="Times New Roman"/>
                <w:sz w:val="24"/>
              </w:rPr>
              <w:t xml:space="preserve"> a </w:t>
            </w:r>
            <w:r w:rsidRPr="00D85C65">
              <w:rPr>
                <w:rFonts w:ascii="Times New Roman" w:hAnsi="Times New Roman"/>
                <w:sz w:val="24"/>
              </w:rPr>
              <w:t>120 pre obchodné línie „komerčné bankovníctvo“</w:t>
            </w:r>
            <w:r w:rsidR="00D85C65">
              <w:rPr>
                <w:rFonts w:ascii="Times New Roman" w:hAnsi="Times New Roman"/>
                <w:sz w:val="24"/>
              </w:rPr>
              <w:t xml:space="preserve"> a </w:t>
            </w:r>
            <w:r w:rsidRPr="00D85C65">
              <w:rPr>
                <w:rFonts w:ascii="Times New Roman" w:hAnsi="Times New Roman"/>
                <w:sz w:val="24"/>
              </w:rPr>
              <w:t>„retailové bankovníctvo“</w:t>
            </w:r>
            <w:r w:rsidR="00D85C65">
              <w:rPr>
                <w:rFonts w:ascii="Times New Roman" w:hAnsi="Times New Roman"/>
                <w:sz w:val="24"/>
              </w:rPr>
              <w:t>.</w:t>
            </w:r>
          </w:p>
          <w:p w14:paraId="4B898B97" w14:textId="32296BE5" w:rsidR="00235D9D" w:rsidRPr="00D85C65" w:rsidRDefault="00AC6255">
            <w:pPr>
              <w:autoSpaceDE w:val="0"/>
              <w:autoSpaceDN w:val="0"/>
              <w:adjustRightInd w:val="0"/>
              <w:spacing w:before="0" w:after="0"/>
              <w:rPr>
                <w:rFonts w:ascii="Times New Roman" w:hAnsi="Times New Roman"/>
                <w:bCs/>
                <w:sz w:val="24"/>
              </w:rPr>
            </w:pPr>
            <w:r w:rsidRPr="00D85C65">
              <w:rPr>
                <w:rStyle w:val="InstructionsTabelleText"/>
                <w:rFonts w:ascii="Times New Roman" w:hAnsi="Times New Roman"/>
                <w:sz w:val="24"/>
              </w:rPr>
              <w:t>Riadky 110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120 predstavujú hodnotu</w:t>
            </w:r>
            <w:r w:rsidRPr="00D85C65">
              <w:rPr>
                <w:rFonts w:ascii="Times New Roman" w:hAnsi="Times New Roman"/>
                <w:sz w:val="24"/>
              </w:rPr>
              <w:t xml:space="preserve"> príslušného ukazovateľa </w:t>
            </w:r>
            <w:r w:rsidRPr="00D85C65">
              <w:rPr>
                <w:rStyle w:val="InstructionsTabelleText"/>
                <w:rFonts w:ascii="Times New Roman" w:hAnsi="Times New Roman"/>
                <w:sz w:val="24"/>
              </w:rPr>
              <w:t>činností, na ktoré sa uplatňuje prístup ASA, pričom sa rozlišuje medzi hodnotou zodpovedajúcou obchodnej línii „komerčné bankovníctvo“</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hodnotami zodpovedajúcimi obchodnej línii „retailové bankovníctvo“ (článok 319</w:t>
            </w:r>
            <w:r w:rsidRPr="00D85C65">
              <w:rPr>
                <w:rFonts w:ascii="Times New Roman" w:hAnsi="Times New Roman"/>
                <w:sz w:val="24"/>
              </w:rPr>
              <w:t xml:space="preserve"> CRR</w:t>
            </w:r>
            <w:r w:rsidRPr="00D85C65">
              <w:rPr>
                <w:rStyle w:val="InstructionsTabelleText"/>
                <w:rFonts w:ascii="Times New Roman" w:hAnsi="Times New Roman"/>
                <w:sz w:val="24"/>
              </w:rPr>
              <w:t>). Hodnoty môžu byť uvedené</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zodpovedajúcich „komerčnému bankovníctvu“</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„retailovému bankovníctvu“</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rámci prístupu TSA (riadky 060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070), ako aj</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rámci prístupu ASA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110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120 (napr. keď dcérska spoločnosť uplatňuje prístup TSA, zatiaľ čo materský subjekt uplatňuje prístup ASA).</w:t>
            </w:r>
          </w:p>
        </w:tc>
      </w:tr>
      <w:tr w:rsidR="00235D9D" w:rsidRPr="00D85C65" w14:paraId="29C852E3" w14:textId="77777777" w:rsidTr="00672D2A">
        <w:tc>
          <w:tcPr>
            <w:tcW w:w="985" w:type="dxa"/>
          </w:tcPr>
          <w:p w14:paraId="4BAFA8BB" w14:textId="77777777" w:rsidR="00235D9D" w:rsidRPr="00D85C65" w:rsidRDefault="00AC6255">
            <w:pPr>
              <w:autoSpaceDE w:val="0"/>
              <w:autoSpaceDN w:val="0"/>
              <w:adjustRightInd w:val="0"/>
              <w:spacing w:before="0" w:after="0"/>
              <w:rPr>
                <w:rFonts w:ascii="Times New Roman" w:hAnsi="Times New Roman"/>
                <w:bCs/>
                <w:sz w:val="24"/>
              </w:rPr>
            </w:pPr>
            <w:r w:rsidRPr="00D85C65">
              <w:rPr>
                <w:rFonts w:ascii="Times New Roman" w:hAnsi="Times New Roman"/>
                <w:bCs/>
                <w:sz w:val="24"/>
              </w:rPr>
              <w:t>130</w:t>
            </w:r>
          </w:p>
        </w:tc>
        <w:tc>
          <w:tcPr>
            <w:tcW w:w="7877" w:type="dxa"/>
          </w:tcPr>
          <w:p w14:paraId="2CE8EEAB" w14:textId="77777777" w:rsidR="00235D9D" w:rsidRPr="00D85C65" w:rsidRDefault="00AC6255">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BANKOVÉ ČINNOSTI, NA KTORÉ SA UPLATŇUJÚ POKROČILÉ PRÍSTUPY MERANIA (AMA)</w:t>
            </w:r>
          </w:p>
          <w:p w14:paraId="7F18DCB3" w14:textId="77777777" w:rsidR="00235D9D" w:rsidRPr="00D85C65" w:rsidRDefault="00235D9D">
            <w:pPr>
              <w:autoSpaceDE w:val="0"/>
              <w:autoSpaceDN w:val="0"/>
              <w:adjustRightInd w:val="0"/>
              <w:spacing w:before="0" w:after="0"/>
              <w:rPr>
                <w:rFonts w:ascii="Times New Roman" w:hAnsi="Times New Roman"/>
                <w:bCs/>
                <w:sz w:val="24"/>
              </w:rPr>
            </w:pPr>
          </w:p>
          <w:p w14:paraId="6D65449F" w14:textId="46D7C237" w:rsidR="00D85C65" w:rsidRDefault="00AC6255">
            <w:pPr>
              <w:autoSpaceDE w:val="0"/>
              <w:autoSpaceDN w:val="0"/>
              <w:adjustRightInd w:val="0"/>
              <w:spacing w:before="0" w:after="0"/>
              <w:rPr>
                <w:rFonts w:ascii="Times New Roman" w:hAnsi="Times New Roman"/>
                <w:sz w:val="24"/>
              </w:rPr>
            </w:pPr>
            <w:r w:rsidRPr="00D85C65">
              <w:rPr>
                <w:rFonts w:ascii="Times New Roman" w:hAnsi="Times New Roman"/>
                <w:sz w:val="24"/>
              </w:rPr>
              <w:t>Vykazujú sa príslušné údaje pre inštitúcie používajúce prístup AMA (článok 312 ods. 2</w:t>
            </w:r>
            <w:r w:rsidR="00D85C65">
              <w:rPr>
                <w:rFonts w:ascii="Times New Roman" w:hAnsi="Times New Roman"/>
                <w:sz w:val="24"/>
              </w:rPr>
              <w:t xml:space="preserve"> a </w:t>
            </w:r>
            <w:r w:rsidRPr="00D85C65">
              <w:rPr>
                <w:rFonts w:ascii="Times New Roman" w:hAnsi="Times New Roman"/>
                <w:sz w:val="24"/>
              </w:rPr>
              <w:t>články 321, 322</w:t>
            </w:r>
            <w:r w:rsidR="00D85C65">
              <w:rPr>
                <w:rFonts w:ascii="Times New Roman" w:hAnsi="Times New Roman"/>
                <w:sz w:val="24"/>
              </w:rPr>
              <w:t xml:space="preserve"> a </w:t>
            </w:r>
            <w:r w:rsidRPr="00D85C65">
              <w:rPr>
                <w:rFonts w:ascii="Times New Roman" w:hAnsi="Times New Roman"/>
                <w:sz w:val="24"/>
              </w:rPr>
              <w:t>323 CRR)</w:t>
            </w:r>
            <w:r w:rsidR="00D85C65">
              <w:rPr>
                <w:rFonts w:ascii="Times New Roman" w:hAnsi="Times New Roman"/>
                <w:sz w:val="24"/>
              </w:rPr>
              <w:t>.</w:t>
            </w:r>
          </w:p>
          <w:p w14:paraId="2B6B4533" w14:textId="30C76B1F" w:rsidR="00235D9D" w:rsidRPr="00D85C65" w:rsidRDefault="00235D9D">
            <w:pPr>
              <w:autoSpaceDE w:val="0"/>
              <w:autoSpaceDN w:val="0"/>
              <w:adjustRightInd w:val="0"/>
              <w:spacing w:before="0" w:after="0"/>
              <w:rPr>
                <w:rFonts w:ascii="Times New Roman" w:hAnsi="Times New Roman"/>
                <w:sz w:val="24"/>
              </w:rPr>
            </w:pPr>
          </w:p>
          <w:p w14:paraId="4D4A773D" w14:textId="5935FE25" w:rsidR="00235D9D" w:rsidRPr="00D85C65" w:rsidRDefault="00A369C3">
            <w:pPr>
              <w:autoSpaceDE w:val="0"/>
              <w:autoSpaceDN w:val="0"/>
              <w:adjustRightInd w:val="0"/>
              <w:spacing w:before="0" w:after="0"/>
              <w:rPr>
                <w:rFonts w:ascii="Times New Roman" w:hAnsi="Times New Roman"/>
                <w:sz w:val="24"/>
              </w:rPr>
            </w:pPr>
            <w:r w:rsidRPr="00D85C65">
              <w:rPr>
                <w:rFonts w:ascii="Times New Roman" w:hAnsi="Times New Roman"/>
                <w:sz w:val="24"/>
              </w:rPr>
              <w:t>Keď sa kombinujú rôzne prístupy, ako je uvedené</w:t>
            </w:r>
            <w:r w:rsidR="00D85C65">
              <w:rPr>
                <w:rFonts w:ascii="Times New Roman" w:hAnsi="Times New Roman"/>
                <w:sz w:val="24"/>
              </w:rPr>
              <w:t xml:space="preserve"> v </w:t>
            </w:r>
            <w:r w:rsidRPr="00D85C65">
              <w:rPr>
                <w:rFonts w:ascii="Times New Roman" w:hAnsi="Times New Roman"/>
                <w:sz w:val="24"/>
              </w:rPr>
              <w:t>článku 314 CRR, vykazujú sa informácie</w:t>
            </w:r>
            <w:r w:rsidR="00D85C65">
              <w:rPr>
                <w:rFonts w:ascii="Times New Roman" w:hAnsi="Times New Roman"/>
                <w:sz w:val="24"/>
              </w:rPr>
              <w:t xml:space="preserve"> o </w:t>
            </w:r>
            <w:r w:rsidRPr="00D85C65">
              <w:rPr>
                <w:rFonts w:ascii="Times New Roman" w:hAnsi="Times New Roman"/>
                <w:sz w:val="24"/>
              </w:rPr>
              <w:t>príslušnom ukazovateli pre činnosti, na ktoré sa uplatňuje AMA. To isté platí pre všetky ostatné banky AMA.</w:t>
            </w:r>
          </w:p>
          <w:p w14:paraId="3CCD4477" w14:textId="77777777" w:rsidR="00235D9D" w:rsidRPr="00D85C65" w:rsidRDefault="00235D9D">
            <w:pPr>
              <w:autoSpaceDE w:val="0"/>
              <w:autoSpaceDN w:val="0"/>
              <w:adjustRightInd w:val="0"/>
              <w:spacing w:before="0" w:after="0"/>
              <w:rPr>
                <w:rFonts w:ascii="Times New Roman" w:hAnsi="Times New Roman"/>
                <w:bCs/>
                <w:sz w:val="24"/>
              </w:rPr>
            </w:pPr>
          </w:p>
        </w:tc>
      </w:tr>
    </w:tbl>
    <w:p w14:paraId="05209726" w14:textId="77777777" w:rsidR="00235D9D" w:rsidRPr="00D85C65" w:rsidRDefault="00235D9D">
      <w:pPr>
        <w:pStyle w:val="PlainText"/>
        <w:jc w:val="both"/>
        <w:rPr>
          <w:rFonts w:ascii="Times New Roman" w:hAnsi="Times New Roman"/>
          <w:sz w:val="24"/>
          <w:szCs w:val="24"/>
        </w:rPr>
      </w:pPr>
    </w:p>
    <w:p w14:paraId="4E53479F" w14:textId="77777777" w:rsidR="00235D9D" w:rsidRPr="00D85C65" w:rsidRDefault="00235D9D">
      <w:pPr>
        <w:rPr>
          <w:rFonts w:ascii="Times New Roman" w:hAnsi="Times New Roman"/>
          <w:sz w:val="24"/>
        </w:rPr>
      </w:pPr>
    </w:p>
    <w:p w14:paraId="6BEF8F27" w14:textId="18A2B8D1" w:rsidR="00235D9D" w:rsidRPr="00D85C65" w:rsidRDefault="00125707">
      <w:pPr>
        <w:pStyle w:val="Instructionsberschrift2"/>
        <w:numPr>
          <w:ilvl w:val="0"/>
          <w:numId w:val="0"/>
        </w:numPr>
        <w:ind w:left="357" w:hanging="357"/>
        <w:rPr>
          <w:rFonts w:ascii="Times New Roman" w:hAnsi="Times New Roman" w:cs="Times New Roman"/>
          <w:sz w:val="24"/>
        </w:rPr>
      </w:pPr>
      <w:bookmarkStart w:id="74" w:name="_Toc29994517"/>
      <w:r w:rsidRPr="00D85C65">
        <w:rPr>
          <w:rFonts w:ascii="Times New Roman" w:hAnsi="Times New Roman"/>
          <w:sz w:val="24"/>
          <w:u w:val="none"/>
        </w:rPr>
        <w:t>4.2.</w:t>
      </w:r>
      <w:r w:rsidRPr="00D85C65">
        <w:rPr>
          <w:rFonts w:ascii="Times New Roman" w:hAnsi="Times New Roman"/>
          <w:sz w:val="24"/>
          <w:u w:val="none"/>
        </w:rPr>
        <w:tab/>
      </w:r>
      <w:r w:rsidRPr="00D85C65">
        <w:rPr>
          <w:rFonts w:ascii="Times New Roman" w:hAnsi="Times New Roman"/>
          <w:sz w:val="24"/>
        </w:rPr>
        <w:t>Operačné riziko: Podrobné informácie</w:t>
      </w:r>
      <w:r w:rsidR="00D85C65">
        <w:rPr>
          <w:rFonts w:ascii="Times New Roman" w:hAnsi="Times New Roman"/>
          <w:sz w:val="24"/>
        </w:rPr>
        <w:t xml:space="preserve"> o </w:t>
      </w:r>
      <w:r w:rsidRPr="00D85C65">
        <w:rPr>
          <w:rFonts w:ascii="Times New Roman" w:hAnsi="Times New Roman"/>
          <w:sz w:val="24"/>
        </w:rPr>
        <w:t>stratách</w:t>
      </w:r>
      <w:r w:rsidR="00D85C65">
        <w:rPr>
          <w:rFonts w:ascii="Times New Roman" w:hAnsi="Times New Roman"/>
          <w:sz w:val="24"/>
        </w:rPr>
        <w:t xml:space="preserve"> v </w:t>
      </w:r>
      <w:r w:rsidRPr="00D85C65">
        <w:rPr>
          <w:rFonts w:ascii="Times New Roman" w:hAnsi="Times New Roman"/>
          <w:sz w:val="24"/>
        </w:rPr>
        <w:t>poslednom roku (OPR DETAILS)</w:t>
      </w:r>
      <w:bookmarkEnd w:id="74"/>
    </w:p>
    <w:p w14:paraId="6053B6B0"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75" w:name="_Toc29994518"/>
      <w:r w:rsidRPr="00D85C65">
        <w:rPr>
          <w:rFonts w:ascii="Times New Roman" w:hAnsi="Times New Roman"/>
          <w:sz w:val="24"/>
          <w:u w:val="none"/>
        </w:rPr>
        <w:t>4.2.1.</w:t>
      </w:r>
      <w:r w:rsidRPr="00D85C65">
        <w:rPr>
          <w:rFonts w:ascii="Times New Roman" w:hAnsi="Times New Roman"/>
          <w:sz w:val="24"/>
          <w:u w:val="none"/>
        </w:rPr>
        <w:tab/>
      </w:r>
      <w:r w:rsidRPr="00D85C65">
        <w:rPr>
          <w:rFonts w:ascii="Times New Roman" w:hAnsi="Times New Roman"/>
          <w:sz w:val="24"/>
        </w:rPr>
        <w:t>Všeobecné poznámky</w:t>
      </w:r>
      <w:bookmarkEnd w:id="75"/>
    </w:p>
    <w:p w14:paraId="52C5FE9D" w14:textId="7FDFD07F" w:rsidR="00D85C65" w:rsidRDefault="00125707">
      <w:pPr>
        <w:pStyle w:val="InstructionsText2"/>
        <w:numPr>
          <w:ilvl w:val="0"/>
          <w:numId w:val="0"/>
        </w:numPr>
        <w:ind w:left="993"/>
      </w:pPr>
      <w:r w:rsidRPr="00D85C65">
        <w:t>120.</w:t>
      </w:r>
      <w:r w:rsidRPr="00D85C65">
        <w:tab/>
        <w:t xml:space="preserve"> Vo vzore C 17.01 (OPR DETAILS 1) sa sumarizujú informácie</w:t>
      </w:r>
      <w:r w:rsidR="00D85C65">
        <w:t xml:space="preserve"> o </w:t>
      </w:r>
      <w:r w:rsidRPr="00D85C65">
        <w:t>hrubých stratách</w:t>
      </w:r>
      <w:r w:rsidR="00D85C65">
        <w:t xml:space="preserve"> a </w:t>
      </w:r>
      <w:r w:rsidRPr="00D85C65">
        <w:t>náhradách strát evidovaných inštitúciou</w:t>
      </w:r>
      <w:r w:rsidR="00D85C65">
        <w:t xml:space="preserve"> v </w:t>
      </w:r>
      <w:r w:rsidRPr="00D85C65">
        <w:t>poslednom roku podľa druhov udalostí</w:t>
      </w:r>
      <w:r w:rsidR="00D85C65">
        <w:t xml:space="preserve"> a </w:t>
      </w:r>
      <w:r w:rsidRPr="00D85C65">
        <w:t>obchodných línií. Vo vzore C 17.02 (OPR DETAILS 2) sa uvádzajú podrobné informácie</w:t>
      </w:r>
      <w:r w:rsidR="00D85C65">
        <w:t xml:space="preserve"> o </w:t>
      </w:r>
      <w:r w:rsidRPr="00D85C65">
        <w:t>najväčších stratových udalostiach</w:t>
      </w:r>
      <w:r w:rsidR="00D85C65">
        <w:t xml:space="preserve"> v </w:t>
      </w:r>
      <w:r w:rsidRPr="00D85C65">
        <w:t>poslednom roku</w:t>
      </w:r>
      <w:r w:rsidR="00D85C65">
        <w:t>.</w:t>
      </w:r>
    </w:p>
    <w:p w14:paraId="07BE1384" w14:textId="0917A04A" w:rsidR="00235D9D" w:rsidRPr="00D85C65" w:rsidRDefault="00125707">
      <w:pPr>
        <w:pStyle w:val="InstructionsText2"/>
        <w:numPr>
          <w:ilvl w:val="0"/>
          <w:numId w:val="0"/>
        </w:numPr>
        <w:ind w:left="993"/>
      </w:pPr>
      <w:r w:rsidRPr="00D85C65">
        <w:t>121. Vzor C 17.01 ani vzor C 17.02 sa nevzťahujú na straty</w:t>
      </w:r>
      <w:r w:rsidR="00D85C65">
        <w:t xml:space="preserve"> z </w:t>
      </w:r>
      <w:r w:rsidRPr="00D85C65">
        <w:t>operačného rizika, ktoré sa týkajú kreditného rizika</w:t>
      </w:r>
      <w:r w:rsidR="00D85C65">
        <w:t xml:space="preserve"> a </w:t>
      </w:r>
      <w:r w:rsidRPr="00D85C65">
        <w:t>na ktoré sa vzťahujú požiadavky na vlastné zdroje pre kreditné riziko (hraničné udalosti kreditného operačného rizika).</w:t>
      </w:r>
    </w:p>
    <w:p w14:paraId="21FF5E63" w14:textId="66CF9645" w:rsidR="00235D9D" w:rsidRPr="00D85C65" w:rsidRDefault="00125707">
      <w:pPr>
        <w:pStyle w:val="InstructionsText2"/>
        <w:numPr>
          <w:ilvl w:val="0"/>
          <w:numId w:val="0"/>
        </w:numPr>
        <w:ind w:left="993"/>
      </w:pPr>
      <w:r w:rsidRPr="00D85C65">
        <w:t>122.</w:t>
      </w:r>
      <w:r w:rsidR="00D85C65">
        <w:t xml:space="preserve"> V </w:t>
      </w:r>
      <w:r w:rsidRPr="00D85C65">
        <w:t>prípade kombinovaného použitia rôznych prístupov na výpočet požiadaviek na vlastné zdroje pre operačné riziko</w:t>
      </w:r>
      <w:r w:rsidR="00D85C65">
        <w:t xml:space="preserve"> v </w:t>
      </w:r>
      <w:r w:rsidRPr="00D85C65">
        <w:t>súlade</w:t>
      </w:r>
      <w:r w:rsidR="00D85C65">
        <w:t xml:space="preserve"> s </w:t>
      </w:r>
      <w:r w:rsidRPr="00D85C65">
        <w:t>článkom 314 CRR sa straty</w:t>
      </w:r>
      <w:r w:rsidR="00D85C65">
        <w:t xml:space="preserve"> a </w:t>
      </w:r>
      <w:r w:rsidRPr="00D85C65">
        <w:t xml:space="preserve">náhrady </w:t>
      </w:r>
      <w:r w:rsidRPr="00D85C65">
        <w:lastRenderedPageBreak/>
        <w:t>evidované inštitúciou vykazujú vo vzoroch C 17.01</w:t>
      </w:r>
      <w:r w:rsidR="00D85C65">
        <w:t xml:space="preserve"> a </w:t>
      </w:r>
      <w:r w:rsidRPr="00D85C65">
        <w:t>C 17.02 bez ohľadu na prístup použitý na výpočet požiadaviek na vlastné zdroje.</w:t>
      </w:r>
    </w:p>
    <w:p w14:paraId="08216240" w14:textId="1A2FD648" w:rsidR="00D85C65" w:rsidRDefault="00125707">
      <w:pPr>
        <w:pStyle w:val="InstructionsText2"/>
        <w:numPr>
          <w:ilvl w:val="0"/>
          <w:numId w:val="0"/>
        </w:numPr>
        <w:ind w:left="993"/>
      </w:pPr>
      <w:r w:rsidRPr="00D85C65">
        <w:t>123. „Hrubá strata“ je strata – ako sa uvádza</w:t>
      </w:r>
      <w:r w:rsidR="00D85C65">
        <w:t xml:space="preserve"> v </w:t>
      </w:r>
      <w:r w:rsidRPr="00D85C65">
        <w:t>článku 322 ods. 3 písm. b) CRR – vyplývajúca</w:t>
      </w:r>
      <w:r w:rsidR="00D85C65">
        <w:t xml:space="preserve"> z </w:t>
      </w:r>
      <w:r w:rsidRPr="00D85C65">
        <w:t>udalosti operačného rizika alebo druhu stratovej udalosti pred náhradami akéhokoľvek druhu bez toho, aby boli dotknuté „udalosti rýchlo nahradenej straty“, ako sú vymedzené ďalej</w:t>
      </w:r>
      <w:r w:rsidR="00D85C65">
        <w:t>.</w:t>
      </w:r>
    </w:p>
    <w:p w14:paraId="663BB525" w14:textId="69706569" w:rsidR="00235D9D" w:rsidRPr="00D85C65" w:rsidRDefault="00125707">
      <w:pPr>
        <w:pStyle w:val="InstructionsText2"/>
        <w:numPr>
          <w:ilvl w:val="0"/>
          <w:numId w:val="0"/>
        </w:numPr>
        <w:ind w:left="993"/>
      </w:pPr>
      <w:r w:rsidRPr="00D85C65">
        <w:t>124. „Náhrada“ je nezávislá udalosť súvisiaca</w:t>
      </w:r>
      <w:r w:rsidR="00D85C65">
        <w:t xml:space="preserve"> s </w:t>
      </w:r>
      <w:r w:rsidRPr="00D85C65">
        <w:t>pôvodnou stratou</w:t>
      </w:r>
      <w:r w:rsidR="00D85C65">
        <w:t xml:space="preserve"> z </w:t>
      </w:r>
      <w:r w:rsidRPr="00D85C65">
        <w:t>operačného rizika, ktorá je oddelená</w:t>
      </w:r>
      <w:r w:rsidR="00D85C65">
        <w:t xml:space="preserve"> v </w:t>
      </w:r>
      <w:r w:rsidRPr="00D85C65">
        <w:t>čase, pri ktorej sa prijímajú zdroje alebo kladné toky hospodárskych úžitkov od prvej alebo tretej strany, napríklad od poisťovní alebo iných strán. Náhrady sa rozčleňujú na náhrady</w:t>
      </w:r>
      <w:r w:rsidR="00D85C65">
        <w:t xml:space="preserve"> z </w:t>
      </w:r>
      <w:r w:rsidRPr="00D85C65">
        <w:t>poistenia</w:t>
      </w:r>
      <w:r w:rsidR="00D85C65">
        <w:t xml:space="preserve"> a </w:t>
      </w:r>
      <w:r w:rsidRPr="00D85C65">
        <w:t>iných mechanizmov presunu rizika</w:t>
      </w:r>
      <w:r w:rsidR="00D85C65">
        <w:t xml:space="preserve"> a </w:t>
      </w:r>
      <w:r w:rsidRPr="00D85C65">
        <w:t>priame náhrady.</w:t>
      </w:r>
    </w:p>
    <w:p w14:paraId="1BA12CCD" w14:textId="5055E1C6" w:rsidR="00235D9D" w:rsidRPr="00D85C65" w:rsidRDefault="00125707">
      <w:pPr>
        <w:pStyle w:val="InstructionsText2"/>
        <w:numPr>
          <w:ilvl w:val="0"/>
          <w:numId w:val="0"/>
        </w:numPr>
        <w:ind w:left="993"/>
      </w:pPr>
      <w:r w:rsidRPr="00D85C65">
        <w:t>125.</w:t>
      </w:r>
      <w:r w:rsidRPr="00D85C65">
        <w:tab/>
        <w:t xml:space="preserve"> „Udalosti rýchlo nahradenej straty“ sú udalosti operačného rizika, ktoré vedú</w:t>
      </w:r>
      <w:r w:rsidR="00D85C65">
        <w:t xml:space="preserve"> k </w:t>
      </w:r>
      <w:r w:rsidRPr="00D85C65">
        <w:t>stratám, ktoré sú čiastočne alebo plne nahradené do piatich pracovných dní.</w:t>
      </w:r>
      <w:r w:rsidR="00D85C65">
        <w:t xml:space="preserve"> V </w:t>
      </w:r>
      <w:r w:rsidRPr="00D85C65">
        <w:t>prípade udalosti rýchlo nahradenej straty sa do vymedzenia hrubej straty zahŕňa len tá časť straty, ktorá nie je plne nahradená (t. j. čistá strata čiastočného rýchleho nahradenia).</w:t>
      </w:r>
      <w:r w:rsidR="00D85C65">
        <w:t xml:space="preserve"> V </w:t>
      </w:r>
      <w:r w:rsidRPr="00D85C65">
        <w:t>dôsledku toho sa stratové udalosti, ktoré vedú</w:t>
      </w:r>
      <w:r w:rsidR="00D85C65">
        <w:t xml:space="preserve"> k </w:t>
      </w:r>
      <w:r w:rsidRPr="00D85C65">
        <w:t>stratám, ktoré sú plne nahradené do piatich pracovných dní, nezahŕňajú do vymedzenia hrubej straty, ani do vykazovania</w:t>
      </w:r>
      <w:r w:rsidR="00D85C65">
        <w:t xml:space="preserve"> v </w:t>
      </w:r>
      <w:r w:rsidRPr="00D85C65">
        <w:t>rámci OPR DETAILS.</w:t>
      </w:r>
    </w:p>
    <w:p w14:paraId="6862D301" w14:textId="74498B92" w:rsidR="00D85C65" w:rsidRDefault="00125707">
      <w:pPr>
        <w:pStyle w:val="InstructionsText2"/>
        <w:numPr>
          <w:ilvl w:val="0"/>
          <w:numId w:val="0"/>
        </w:numPr>
        <w:ind w:left="993"/>
      </w:pPr>
      <w:r w:rsidRPr="00D85C65">
        <w:t>126.</w:t>
      </w:r>
      <w:r w:rsidRPr="00D85C65">
        <w:tab/>
        <w:t xml:space="preserve"> „Dátum zaúčtovania“ je dátum, keď bola strata alebo rezerva prvýkrát vykázaná vo výkaze ziskov</w:t>
      </w:r>
      <w:r w:rsidR="00D85C65">
        <w:t xml:space="preserve"> a </w:t>
      </w:r>
      <w:r w:rsidRPr="00D85C65">
        <w:t>strát oproti strate</w:t>
      </w:r>
      <w:r w:rsidR="00D85C65">
        <w:t xml:space="preserve"> z </w:t>
      </w:r>
      <w:r w:rsidRPr="00D85C65">
        <w:t>operačného rizika. Tento dátum logicky nasleduje po „dátume výskytu udalosti“ (t. j. dátume, kedy nastala alebo sa prvýkrát začala udalosť operačného rizika)</w:t>
      </w:r>
      <w:r w:rsidR="00D85C65">
        <w:t xml:space="preserve"> a </w:t>
      </w:r>
      <w:r w:rsidRPr="00D85C65">
        <w:t>„dátume zistenia“ (t. j. dátume, keď sa inštitúcia dozvedela</w:t>
      </w:r>
      <w:r w:rsidR="00D85C65">
        <w:t xml:space="preserve"> o </w:t>
      </w:r>
      <w:r w:rsidRPr="00D85C65">
        <w:t>udalosti operačného rizika)</w:t>
      </w:r>
      <w:r w:rsidR="00D85C65">
        <w:t>.</w:t>
      </w:r>
    </w:p>
    <w:p w14:paraId="7244BFE4" w14:textId="5B03DCE5" w:rsidR="00235D9D" w:rsidRPr="00D85C65" w:rsidRDefault="00125707">
      <w:pPr>
        <w:pStyle w:val="InstructionsText2"/>
        <w:numPr>
          <w:ilvl w:val="0"/>
          <w:numId w:val="0"/>
        </w:numPr>
        <w:ind w:left="993"/>
      </w:pPr>
      <w:r w:rsidRPr="00D85C65">
        <w:t>127.</w:t>
      </w:r>
      <w:r w:rsidRPr="00D85C65">
        <w:tab/>
        <w:t xml:space="preserve"> Straty spôsobené spoločnou udalosťou operačného rizika alebo viacerými udalosťami súvisiacimi</w:t>
      </w:r>
      <w:r w:rsidR="00D85C65">
        <w:t xml:space="preserve"> s </w:t>
      </w:r>
      <w:r w:rsidRPr="00D85C65">
        <w:t>počiatočnou udalosťou operačného rizika, ktorá zapríčinila udalosti alebo straty („základná udalosť“), sa zoskupujú. Zoskupené udalosti sa považujú za jednu udalosť</w:t>
      </w:r>
      <w:r w:rsidR="00D85C65">
        <w:t xml:space="preserve"> a </w:t>
      </w:r>
      <w:r w:rsidRPr="00D85C65">
        <w:t>vykazujú sa ako jedna udalosť,</w:t>
      </w:r>
      <w:r w:rsidR="00D85C65">
        <w:t xml:space="preserve"> a </w:t>
      </w:r>
      <w:r w:rsidRPr="00D85C65">
        <w:t>preto sa súvisiace výšky hrubých strát, resp. výšky stratových úprav spočítavajú.</w:t>
      </w:r>
    </w:p>
    <w:p w14:paraId="52827CA5" w14:textId="54956CD1" w:rsidR="00235D9D" w:rsidRPr="00D85C65" w:rsidRDefault="00125707">
      <w:pPr>
        <w:pStyle w:val="InstructionsText2"/>
        <w:numPr>
          <w:ilvl w:val="0"/>
          <w:numId w:val="0"/>
        </w:numPr>
        <w:ind w:left="993"/>
      </w:pPr>
      <w:r w:rsidRPr="00D85C65">
        <w:t>128.</w:t>
      </w:r>
      <w:r w:rsidRPr="00D85C65">
        <w:tab/>
        <w:t xml:space="preserve"> Čísla vykázané</w:t>
      </w:r>
      <w:r w:rsidR="00D85C65">
        <w:t xml:space="preserve"> v </w:t>
      </w:r>
      <w:r w:rsidRPr="00D85C65">
        <w:t>júni príslušného roku sú predbežné čísla, pričom konečné čísla sa vykazujú</w:t>
      </w:r>
      <w:r w:rsidR="00D85C65">
        <w:t xml:space="preserve"> v </w:t>
      </w:r>
      <w:r w:rsidRPr="00D85C65">
        <w:t>decembri. Preto majú čísla</w:t>
      </w:r>
      <w:r w:rsidR="00D85C65">
        <w:t xml:space="preserve"> v </w:t>
      </w:r>
      <w:r w:rsidRPr="00D85C65">
        <w:t>júni šesťmesačné referenčné obdobie (t. j. od 1</w:t>
      </w:r>
      <w:r w:rsidR="00D85C65">
        <w:t>. januára</w:t>
      </w:r>
      <w:r w:rsidRPr="00D85C65">
        <w:t xml:space="preserve"> do 30</w:t>
      </w:r>
      <w:r w:rsidR="00D85C65">
        <w:t>. júna</w:t>
      </w:r>
      <w:r w:rsidRPr="00D85C65">
        <w:t xml:space="preserve"> kalendárneho roka), zatiaľ čo čísla</w:t>
      </w:r>
      <w:r w:rsidR="00D85C65">
        <w:t xml:space="preserve"> v </w:t>
      </w:r>
      <w:r w:rsidRPr="00D85C65">
        <w:t>decembri majú dvanásťmesačné referenčné obdobie (t. j. od 1</w:t>
      </w:r>
      <w:r w:rsidR="00D85C65">
        <w:t>. januára</w:t>
      </w:r>
      <w:r w:rsidRPr="00D85C65">
        <w:t xml:space="preserve"> do 31</w:t>
      </w:r>
      <w:r w:rsidR="00D85C65">
        <w:t>. decembra</w:t>
      </w:r>
      <w:r w:rsidRPr="00D85C65">
        <w:t xml:space="preserve"> kalendárneho roka). Pri údajoch vykazovaných</w:t>
      </w:r>
      <w:r w:rsidR="00D85C65">
        <w:t xml:space="preserve"> v </w:t>
      </w:r>
      <w:r w:rsidRPr="00D85C65">
        <w:t>júni aj</w:t>
      </w:r>
      <w:r w:rsidR="00D85C65">
        <w:t xml:space="preserve"> v </w:t>
      </w:r>
      <w:r w:rsidRPr="00D85C65">
        <w:t>decembri sú „predchádzajúce referenčné obdobia vykazovania“ všetky referenčné obdobia vykazovania, až do obdobia vykazovania, ktoré sa končí na konci predchádzajúceho kalendárneho roka, vrátane tohto obdobia.</w:t>
      </w:r>
    </w:p>
    <w:p w14:paraId="72F4B8A7" w14:textId="67572D3A" w:rsidR="00235D9D" w:rsidRPr="00D85C65" w:rsidRDefault="00125707">
      <w:pPr>
        <w:pStyle w:val="InstructionsText2"/>
        <w:numPr>
          <w:ilvl w:val="0"/>
          <w:numId w:val="0"/>
        </w:numPr>
        <w:ind w:left="993"/>
      </w:pPr>
      <w:r w:rsidRPr="00D85C65">
        <w:t>129.</w:t>
      </w:r>
      <w:r w:rsidRPr="00D85C65">
        <w:tab/>
      </w:r>
      <w:r w:rsidR="00D85C65">
        <w:t xml:space="preserve"> S </w:t>
      </w:r>
      <w:r w:rsidRPr="00D85C65">
        <w:t>cieľom overiť súlad</w:t>
      </w:r>
      <w:r w:rsidR="00D85C65">
        <w:t xml:space="preserve"> s </w:t>
      </w:r>
      <w:r w:rsidRPr="00D85C65">
        <w:t>kritériom stanoveným</w:t>
      </w:r>
      <w:r w:rsidR="00D85C65">
        <w:t xml:space="preserve"> v </w:t>
      </w:r>
      <w:r w:rsidRPr="00D85C65">
        <w:t>článku 5 bode b) ods. 2 písm. b) bode i) tohto vykonávacieho nariadenia používa inštitúcia na získanie „súčtu individuálnych celkových súvah všetkých inštitúcií</w:t>
      </w:r>
      <w:r w:rsidR="00D85C65">
        <w:t xml:space="preserve"> v </w:t>
      </w:r>
      <w:r w:rsidRPr="00D85C65">
        <w:t>rámci toho istého členského štátu“ najnovšie štatistické údaje dostupné na webovej stránke zverejňovania informácií dohľadu orgánu EBA. Na overenie kritérií stanovených</w:t>
      </w:r>
      <w:r w:rsidR="00D85C65">
        <w:t xml:space="preserve"> v </w:t>
      </w:r>
      <w:r w:rsidRPr="00D85C65">
        <w:t>článku 5 bode b) ods. 2 písm. b) bode iii) tohto vykonávacieho nariadenia sa používa hrubý domáci produkt</w:t>
      </w:r>
      <w:r w:rsidR="00D85C65">
        <w:t xml:space="preserve"> v </w:t>
      </w:r>
      <w:r w:rsidRPr="00D85C65">
        <w:t>trhových cenách, ako je vymedzený</w:t>
      </w:r>
      <w:r w:rsidR="00D85C65">
        <w:t xml:space="preserve"> v </w:t>
      </w:r>
      <w:r w:rsidRPr="00D85C65">
        <w:t>bode 8.89 prílohy A</w:t>
      </w:r>
      <w:r w:rsidR="00D85C65">
        <w:t xml:space="preserve"> </w:t>
      </w:r>
      <w:r w:rsidR="00D85C65">
        <w:lastRenderedPageBreak/>
        <w:t>k </w:t>
      </w:r>
      <w:r w:rsidRPr="00D85C65">
        <w:t>nariadeniu Európskeho parlamentu</w:t>
      </w:r>
      <w:r w:rsidR="00D85C65">
        <w:t xml:space="preserve"> a </w:t>
      </w:r>
      <w:r w:rsidRPr="00D85C65">
        <w:t>Rady (EÚ) č. 549/2013 (ESA 2010)</w:t>
      </w:r>
      <w:r w:rsidRPr="00D85C65">
        <w:rPr>
          <w:rStyle w:val="FootnoteReference"/>
          <w:rFonts w:ascii="Times New Roman" w:hAnsi="Times New Roman"/>
          <w:sz w:val="24"/>
          <w:szCs w:val="24"/>
          <w:vertAlign w:val="superscript"/>
        </w:rPr>
        <w:footnoteReference w:id="14"/>
      </w:r>
      <w:r w:rsidR="00D85C65">
        <w:t xml:space="preserve"> a </w:t>
      </w:r>
      <w:r w:rsidRPr="00D85C65">
        <w:t>uverejnený Eurostatom</w:t>
      </w:r>
      <w:r w:rsidR="00D85C65">
        <w:t xml:space="preserve"> v </w:t>
      </w:r>
      <w:r w:rsidRPr="00D85C65">
        <w:t>predchádzajúcom kalendárnom roku.</w:t>
      </w:r>
    </w:p>
    <w:p w14:paraId="315CE265" w14:textId="7AF36B83" w:rsidR="00235D9D" w:rsidRPr="00D85C65" w:rsidRDefault="00125707">
      <w:pPr>
        <w:pStyle w:val="Instructionsberschrift2"/>
        <w:numPr>
          <w:ilvl w:val="0"/>
          <w:numId w:val="0"/>
        </w:numPr>
        <w:ind w:left="357" w:hanging="357"/>
        <w:rPr>
          <w:rFonts w:ascii="Times New Roman" w:hAnsi="Times New Roman" w:cs="Times New Roman"/>
          <w:sz w:val="24"/>
        </w:rPr>
      </w:pPr>
      <w:bookmarkStart w:id="76" w:name="_Toc29994519"/>
      <w:r w:rsidRPr="00D85C65">
        <w:rPr>
          <w:rFonts w:ascii="Times New Roman" w:hAnsi="Times New Roman"/>
          <w:sz w:val="24"/>
          <w:u w:val="none"/>
        </w:rPr>
        <w:t>4.2.2.</w:t>
      </w:r>
      <w:r w:rsidRPr="00D85C65">
        <w:rPr>
          <w:rFonts w:ascii="Times New Roman" w:hAnsi="Times New Roman"/>
          <w:sz w:val="24"/>
          <w:u w:val="none"/>
        </w:rPr>
        <w:tab/>
      </w:r>
      <w:r w:rsidRPr="00D85C65">
        <w:rPr>
          <w:rFonts w:ascii="Times New Roman" w:hAnsi="Times New Roman"/>
          <w:sz w:val="24"/>
        </w:rPr>
        <w:t>C 17.01: Straty</w:t>
      </w:r>
      <w:r w:rsidR="00D85C65">
        <w:rPr>
          <w:rFonts w:ascii="Times New Roman" w:hAnsi="Times New Roman"/>
          <w:sz w:val="24"/>
        </w:rPr>
        <w:t xml:space="preserve"> a </w:t>
      </w:r>
      <w:r w:rsidRPr="00D85C65">
        <w:rPr>
          <w:rFonts w:ascii="Times New Roman" w:hAnsi="Times New Roman"/>
          <w:sz w:val="24"/>
        </w:rPr>
        <w:t>náhrady</w:t>
      </w:r>
      <w:r w:rsidR="00D85C65">
        <w:rPr>
          <w:rFonts w:ascii="Times New Roman" w:hAnsi="Times New Roman"/>
          <w:sz w:val="24"/>
        </w:rPr>
        <w:t xml:space="preserve"> z </w:t>
      </w:r>
      <w:r w:rsidRPr="00D85C65">
        <w:rPr>
          <w:rFonts w:ascii="Times New Roman" w:hAnsi="Times New Roman"/>
          <w:sz w:val="24"/>
        </w:rPr>
        <w:t>operačného rizika podľa obchodných línií</w:t>
      </w:r>
      <w:r w:rsidR="00D85C65">
        <w:rPr>
          <w:rFonts w:ascii="Times New Roman" w:hAnsi="Times New Roman"/>
          <w:sz w:val="24"/>
        </w:rPr>
        <w:t xml:space="preserve"> a </w:t>
      </w:r>
      <w:r w:rsidRPr="00D85C65">
        <w:rPr>
          <w:rFonts w:ascii="Times New Roman" w:hAnsi="Times New Roman"/>
          <w:sz w:val="24"/>
        </w:rPr>
        <w:t>druhov stratových udalostí</w:t>
      </w:r>
      <w:r w:rsidR="00D85C65">
        <w:rPr>
          <w:rFonts w:ascii="Times New Roman" w:hAnsi="Times New Roman"/>
          <w:sz w:val="24"/>
        </w:rPr>
        <w:t xml:space="preserve"> v </w:t>
      </w:r>
      <w:r w:rsidRPr="00D85C65">
        <w:rPr>
          <w:rFonts w:ascii="Times New Roman" w:hAnsi="Times New Roman"/>
          <w:sz w:val="24"/>
        </w:rPr>
        <w:t>poslednom roku (OPR DETAILS 1)</w:t>
      </w:r>
      <w:bookmarkEnd w:id="76"/>
    </w:p>
    <w:p w14:paraId="5365FCC1"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77" w:name="_Toc29994520"/>
      <w:r w:rsidRPr="00D85C65">
        <w:rPr>
          <w:rFonts w:ascii="Times New Roman" w:hAnsi="Times New Roman"/>
          <w:sz w:val="24"/>
          <w:u w:val="none"/>
        </w:rPr>
        <w:t>4.2.2.1.</w:t>
      </w:r>
      <w:r w:rsidRPr="00D85C65">
        <w:rPr>
          <w:rFonts w:ascii="Times New Roman" w:hAnsi="Times New Roman"/>
          <w:sz w:val="24"/>
          <w:u w:val="none"/>
        </w:rPr>
        <w:tab/>
      </w:r>
      <w:r w:rsidRPr="00D85C65">
        <w:rPr>
          <w:rFonts w:ascii="Times New Roman" w:hAnsi="Times New Roman"/>
          <w:sz w:val="24"/>
        </w:rPr>
        <w:t>Všeobecné poznámky</w:t>
      </w:r>
      <w:bookmarkEnd w:id="77"/>
    </w:p>
    <w:p w14:paraId="0A9E5D92" w14:textId="09704315" w:rsidR="00235D9D" w:rsidRPr="00D85C65" w:rsidRDefault="00125707">
      <w:pPr>
        <w:pStyle w:val="InstructionsText2"/>
        <w:numPr>
          <w:ilvl w:val="0"/>
          <w:numId w:val="0"/>
        </w:numPr>
        <w:ind w:left="993"/>
      </w:pPr>
      <w:r w:rsidRPr="00D85C65">
        <w:t>130. Vo vzore C 17.01 sa informácie prezentujú tak, že sa straty</w:t>
      </w:r>
      <w:r w:rsidR="00D85C65">
        <w:t xml:space="preserve"> a </w:t>
      </w:r>
      <w:r w:rsidRPr="00D85C65">
        <w:t>náhrady nad úrovňou interných prahových hodnôt rozdelia medzi obchodné línie [ako sa uvádza</w:t>
      </w:r>
      <w:r w:rsidR="00D85C65">
        <w:t xml:space="preserve"> v </w:t>
      </w:r>
      <w:r w:rsidRPr="00D85C65">
        <w:t>tabuľke 2 článku 317 CRR, vrátane dodatočnej obchodnej línie „podnikové položky“ podľa článku 322 ods. 3 písm. b) CRR]</w:t>
      </w:r>
      <w:r w:rsidR="00D85C65">
        <w:t xml:space="preserve"> a </w:t>
      </w:r>
      <w:r w:rsidRPr="00D85C65">
        <w:t>druhy stratových udalostí (podľa článku 324 CRR). Je možné, že straty prislúchajúce jednej stratovej udalosti sa rozdelia medzi viaceré obchodné línie.</w:t>
      </w:r>
    </w:p>
    <w:p w14:paraId="78785B44" w14:textId="167DD25B" w:rsidR="00235D9D" w:rsidRPr="00D85C65" w:rsidRDefault="00125707">
      <w:pPr>
        <w:pStyle w:val="InstructionsText2"/>
        <w:numPr>
          <w:ilvl w:val="0"/>
          <w:numId w:val="0"/>
        </w:numPr>
        <w:ind w:left="993"/>
      </w:pPr>
      <w:r w:rsidRPr="00D85C65">
        <w:t>131. Stĺpce predstavujú rôzne druhy stratových udalostí</w:t>
      </w:r>
      <w:r w:rsidR="00D85C65">
        <w:t xml:space="preserve"> a </w:t>
      </w:r>
      <w:r w:rsidRPr="00D85C65">
        <w:t>celkové hodnoty pre každú obchodnú líniu spoločne</w:t>
      </w:r>
      <w:r w:rsidR="00D85C65">
        <w:t xml:space="preserve"> s </w:t>
      </w:r>
      <w:r w:rsidRPr="00D85C65">
        <w:t>doplňujúcou položkou,</w:t>
      </w:r>
      <w:r w:rsidR="00D85C65">
        <w:t xml:space="preserve"> v </w:t>
      </w:r>
      <w:r w:rsidRPr="00D85C65">
        <w:t>ktorej sa uvádza najnižšia interná prahová hodnota uplatňovaná pri zbere údajov</w:t>
      </w:r>
      <w:r w:rsidR="00D85C65">
        <w:t xml:space="preserve"> o </w:t>
      </w:r>
      <w:r w:rsidRPr="00D85C65">
        <w:t>stratách</w:t>
      </w:r>
      <w:r w:rsidR="00D85C65">
        <w:t xml:space="preserve"> a v </w:t>
      </w:r>
      <w:r w:rsidRPr="00D85C65">
        <w:t>rámci každej obchodnej línie sa uvádza najnižšia</w:t>
      </w:r>
      <w:r w:rsidR="00D85C65">
        <w:t xml:space="preserve"> a </w:t>
      </w:r>
      <w:r w:rsidRPr="00D85C65">
        <w:t>najvyššia prahová hodnota, ak je prahových hodnôt viac.</w:t>
      </w:r>
    </w:p>
    <w:p w14:paraId="3C522681" w14:textId="32C270B1" w:rsidR="00235D9D" w:rsidRPr="00D85C65" w:rsidRDefault="00125707">
      <w:pPr>
        <w:pStyle w:val="InstructionsText2"/>
        <w:numPr>
          <w:ilvl w:val="0"/>
          <w:numId w:val="0"/>
        </w:numPr>
        <w:ind w:left="993"/>
      </w:pPr>
      <w:r w:rsidRPr="00D85C65">
        <w:t>132.</w:t>
      </w:r>
      <w:r w:rsidRPr="00D85C65">
        <w:tab/>
        <w:t xml:space="preserve"> Riadky predstavujú obchodné línie</w:t>
      </w:r>
      <w:r w:rsidR="00D85C65">
        <w:t xml:space="preserve"> a v </w:t>
      </w:r>
      <w:r w:rsidRPr="00D85C65">
        <w:t>rámci každej obchodnej línie informácie</w:t>
      </w:r>
      <w:r w:rsidR="00D85C65">
        <w:t xml:space="preserve"> o </w:t>
      </w:r>
      <w:r w:rsidRPr="00D85C65">
        <w:t>počte stratových udalostí (nové stratové udalosti), výške hrubej straty (nové stratové udalosti), počte stratových udalostí podliehajúcich stratovým úpravám, stratových úprav týkajúcich sa predchádzajúcich období vykazovania, maximálnej samostatnej strate, súčte piatich najväčších strát</w:t>
      </w:r>
      <w:r w:rsidR="00D85C65">
        <w:t xml:space="preserve"> a </w:t>
      </w:r>
      <w:r w:rsidRPr="00D85C65">
        <w:t>celkových náhrad strát (priame náhrady strát, ako aj náhrady</w:t>
      </w:r>
      <w:r w:rsidR="00D85C65">
        <w:t xml:space="preserve"> z </w:t>
      </w:r>
      <w:r w:rsidRPr="00D85C65">
        <w:t>poistenia</w:t>
      </w:r>
      <w:r w:rsidR="00D85C65">
        <w:t xml:space="preserve"> a </w:t>
      </w:r>
      <w:r w:rsidRPr="00D85C65">
        <w:t>iných mechanizmov presunu rizika).</w:t>
      </w:r>
    </w:p>
    <w:p w14:paraId="369C04CC" w14:textId="53461D36" w:rsidR="00235D9D" w:rsidRPr="00D85C65" w:rsidRDefault="00125707">
      <w:pPr>
        <w:pStyle w:val="InstructionsText2"/>
        <w:numPr>
          <w:ilvl w:val="0"/>
          <w:numId w:val="0"/>
        </w:numPr>
        <w:ind w:left="993"/>
      </w:pPr>
      <w:r w:rsidRPr="00D85C65">
        <w:t>133. Pri určitých rozpätiach založených na určených prahových hodnotách, t. j. 10 000, 20 000, 100 000</w:t>
      </w:r>
      <w:r w:rsidR="00D85C65">
        <w:t xml:space="preserve"> a </w:t>
      </w:r>
      <w:r w:rsidRPr="00D85C65">
        <w:t>1 000 000, sa pre celkové obchodné línie vykazujú aj údaje</w:t>
      </w:r>
      <w:r w:rsidR="00D85C65">
        <w:t xml:space="preserve"> o </w:t>
      </w:r>
      <w:r w:rsidRPr="00D85C65">
        <w:t>počte stratových udalostí</w:t>
      </w:r>
      <w:r w:rsidR="00D85C65">
        <w:t xml:space="preserve"> a </w:t>
      </w:r>
      <w:r w:rsidRPr="00D85C65">
        <w:t>výška hrubej straty. Prahové hodnoty sú stanovené</w:t>
      </w:r>
      <w:r w:rsidR="00D85C65">
        <w:t xml:space="preserve"> v </w:t>
      </w:r>
      <w:r w:rsidRPr="00D85C65">
        <w:t>eurách</w:t>
      </w:r>
      <w:r w:rsidR="00D85C65">
        <w:t xml:space="preserve"> a </w:t>
      </w:r>
      <w:r w:rsidRPr="00D85C65">
        <w:t>zahŕňajú sa na účely porovnateľnosti vykázaných strát medzi inštitúciami. Uvedené prahové hodnoty sa preto nemusia týkať minimálnych prahových hodnôt straty používaných na zber interných údajov</w:t>
      </w:r>
      <w:r w:rsidR="00D85C65">
        <w:t xml:space="preserve"> o </w:t>
      </w:r>
      <w:r w:rsidRPr="00D85C65">
        <w:t>strate, ktoré sa majú vykazovať</w:t>
      </w:r>
      <w:r w:rsidR="00D85C65">
        <w:t xml:space="preserve"> v </w:t>
      </w:r>
      <w:r w:rsidRPr="00D85C65">
        <w:t>inej časti vzoru.</w:t>
      </w:r>
    </w:p>
    <w:p w14:paraId="1A70C919" w14:textId="52108657" w:rsidR="00235D9D" w:rsidRPr="00D85C65" w:rsidRDefault="00125707">
      <w:pPr>
        <w:pStyle w:val="Instructionsberschrift2"/>
        <w:numPr>
          <w:ilvl w:val="0"/>
          <w:numId w:val="0"/>
        </w:numPr>
        <w:ind w:left="357" w:hanging="357"/>
        <w:rPr>
          <w:rFonts w:ascii="Times New Roman" w:hAnsi="Times New Roman" w:cs="Times New Roman"/>
          <w:sz w:val="24"/>
        </w:rPr>
      </w:pPr>
      <w:bookmarkStart w:id="78" w:name="_Toc29994521"/>
      <w:r w:rsidRPr="00D85C65">
        <w:rPr>
          <w:rFonts w:ascii="Times New Roman" w:hAnsi="Times New Roman"/>
          <w:sz w:val="24"/>
          <w:u w:val="none"/>
        </w:rPr>
        <w:t>4.2.2.2.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235D9D" w:rsidRPr="00D85C65" w14:paraId="6133A103" w14:textId="77777777" w:rsidTr="00672D2A">
        <w:trPr>
          <w:trHeight w:val="576"/>
        </w:trPr>
        <w:tc>
          <w:tcPr>
            <w:tcW w:w="9180" w:type="dxa"/>
            <w:gridSpan w:val="2"/>
            <w:shd w:val="clear" w:color="auto" w:fill="CCCCCC"/>
          </w:tcPr>
          <w:p w14:paraId="73DF8664" w14:textId="77777777" w:rsidR="00235D9D" w:rsidRPr="00D85C65" w:rsidRDefault="00FD54FC">
            <w:pPr>
              <w:autoSpaceDE w:val="0"/>
              <w:autoSpaceDN w:val="0"/>
              <w:adjustRightInd w:val="0"/>
              <w:spacing w:after="0"/>
              <w:rPr>
                <w:rFonts w:ascii="Times New Roman" w:hAnsi="Times New Roman"/>
                <w:b/>
                <w:bCs/>
                <w:sz w:val="24"/>
              </w:rPr>
            </w:pPr>
            <w:r w:rsidRPr="00D85C65">
              <w:rPr>
                <w:rFonts w:ascii="Times New Roman" w:hAnsi="Times New Roman"/>
                <w:b/>
                <w:bCs/>
                <w:sz w:val="24"/>
              </w:rPr>
              <w:t>Stĺpce</w:t>
            </w:r>
          </w:p>
        </w:tc>
      </w:tr>
      <w:tr w:rsidR="00235D9D" w:rsidRPr="00D85C65" w14:paraId="512463AA" w14:textId="77777777" w:rsidTr="00672D2A">
        <w:tc>
          <w:tcPr>
            <w:tcW w:w="985" w:type="dxa"/>
          </w:tcPr>
          <w:p w14:paraId="14B4E581" w14:textId="77777777" w:rsidR="00235D9D" w:rsidRPr="00D85C65" w:rsidRDefault="00C93FC2">
            <w:pPr>
              <w:autoSpaceDE w:val="0"/>
              <w:autoSpaceDN w:val="0"/>
              <w:adjustRightInd w:val="0"/>
              <w:spacing w:before="0" w:after="0"/>
              <w:rPr>
                <w:rFonts w:ascii="Times New Roman" w:hAnsi="Times New Roman"/>
                <w:bCs/>
                <w:sz w:val="24"/>
              </w:rPr>
            </w:pPr>
            <w:r w:rsidRPr="00D85C65">
              <w:rPr>
                <w:rFonts w:ascii="Times New Roman" w:hAnsi="Times New Roman"/>
                <w:bCs/>
                <w:sz w:val="24"/>
              </w:rPr>
              <w:t>0010 – 0070</w:t>
            </w:r>
          </w:p>
        </w:tc>
        <w:tc>
          <w:tcPr>
            <w:tcW w:w="8195" w:type="dxa"/>
          </w:tcPr>
          <w:p w14:paraId="7AD5518A" w14:textId="77777777" w:rsidR="00235D9D" w:rsidRPr="00D85C65" w:rsidRDefault="00FD54FC">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DRUHY UDALOSTÍ</w:t>
            </w:r>
          </w:p>
          <w:p w14:paraId="3A032FD3" w14:textId="1B049602" w:rsidR="00D85C65" w:rsidRDefault="00FD54FC">
            <w:pPr>
              <w:rPr>
                <w:rFonts w:ascii="Times New Roman" w:hAnsi="Times New Roman"/>
                <w:sz w:val="24"/>
              </w:rPr>
            </w:pPr>
            <w:r w:rsidRPr="00D85C65">
              <w:rPr>
                <w:rFonts w:ascii="Times New Roman" w:hAnsi="Times New Roman"/>
                <w:sz w:val="24"/>
              </w:rPr>
              <w:t>Inštitúcie vykazujú straty</w:t>
            </w:r>
            <w:r w:rsidR="00D85C65">
              <w:rPr>
                <w:rFonts w:ascii="Times New Roman" w:hAnsi="Times New Roman"/>
                <w:sz w:val="24"/>
              </w:rPr>
              <w:t xml:space="preserve"> v </w:t>
            </w:r>
            <w:r w:rsidRPr="00D85C65">
              <w:rPr>
                <w:rFonts w:ascii="Times New Roman" w:hAnsi="Times New Roman"/>
                <w:sz w:val="24"/>
              </w:rPr>
              <w:t>príslušných stĺpcoch 010 až 070 podľa druhov stratových udalostí, ako sú uvedené</w:t>
            </w:r>
            <w:r w:rsidR="00D85C65">
              <w:rPr>
                <w:rFonts w:ascii="Times New Roman" w:hAnsi="Times New Roman"/>
                <w:sz w:val="24"/>
              </w:rPr>
              <w:t xml:space="preserve"> v </w:t>
            </w:r>
            <w:r w:rsidRPr="00D85C65">
              <w:rPr>
                <w:rFonts w:ascii="Times New Roman" w:hAnsi="Times New Roman"/>
                <w:sz w:val="24"/>
              </w:rPr>
              <w:t>článku 324 CRR</w:t>
            </w:r>
            <w:r w:rsidR="00D85C65">
              <w:rPr>
                <w:rFonts w:ascii="Times New Roman" w:hAnsi="Times New Roman"/>
                <w:sz w:val="24"/>
              </w:rPr>
              <w:t>.</w:t>
            </w:r>
          </w:p>
          <w:p w14:paraId="505467F1" w14:textId="5672027C" w:rsidR="00235D9D" w:rsidRPr="00D85C65" w:rsidRDefault="00FD54FC">
            <w:pPr>
              <w:rPr>
                <w:rFonts w:ascii="Times New Roman" w:hAnsi="Times New Roman"/>
                <w:bCs/>
                <w:sz w:val="24"/>
              </w:rPr>
            </w:pPr>
            <w:r w:rsidRPr="00D85C65">
              <w:rPr>
                <w:rFonts w:ascii="Times New Roman" w:hAnsi="Times New Roman"/>
                <w:bCs/>
                <w:sz w:val="24"/>
              </w:rPr>
              <w:t>Inštitúcie, ktoré vypočítavajú svoju požiadavku na vlastné zdroje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prístupom BIA, môžu vykázať straty, pre ktoré sa neurčil druh stratovej udalosti, len</w:t>
            </w:r>
            <w:r w:rsidR="00D85C65">
              <w:rPr>
                <w:rFonts w:ascii="Times New Roman" w:hAnsi="Times New Roman"/>
                <w:bCs/>
                <w:sz w:val="24"/>
              </w:rPr>
              <w:t xml:space="preserve"> v </w:t>
            </w:r>
            <w:r w:rsidRPr="00D85C65">
              <w:rPr>
                <w:rFonts w:ascii="Times New Roman" w:hAnsi="Times New Roman"/>
                <w:bCs/>
                <w:sz w:val="24"/>
              </w:rPr>
              <w:t>stĺpci 080.</w:t>
            </w:r>
          </w:p>
        </w:tc>
      </w:tr>
      <w:tr w:rsidR="00235D9D" w:rsidRPr="00D85C65" w14:paraId="7B954609" w14:textId="77777777" w:rsidTr="00672D2A">
        <w:tc>
          <w:tcPr>
            <w:tcW w:w="985" w:type="dxa"/>
          </w:tcPr>
          <w:p w14:paraId="7C1045CC" w14:textId="77777777" w:rsidR="00235D9D" w:rsidRPr="00D85C65" w:rsidRDefault="00C93FC2">
            <w:pPr>
              <w:autoSpaceDE w:val="0"/>
              <w:autoSpaceDN w:val="0"/>
              <w:adjustRightInd w:val="0"/>
              <w:spacing w:before="0" w:after="0"/>
              <w:rPr>
                <w:rFonts w:ascii="Times New Roman" w:hAnsi="Times New Roman"/>
                <w:bCs/>
                <w:sz w:val="24"/>
              </w:rPr>
            </w:pPr>
            <w:r w:rsidRPr="00D85C65">
              <w:rPr>
                <w:rFonts w:ascii="Times New Roman" w:hAnsi="Times New Roman"/>
                <w:bCs/>
                <w:sz w:val="24"/>
              </w:rPr>
              <w:t>0080</w:t>
            </w:r>
          </w:p>
        </w:tc>
        <w:tc>
          <w:tcPr>
            <w:tcW w:w="8195" w:type="dxa"/>
          </w:tcPr>
          <w:p w14:paraId="1752A989" w14:textId="77777777" w:rsidR="00235D9D" w:rsidRPr="00D85C65" w:rsidRDefault="00FD54FC">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DRUHY STRATOVÝCH UDALOSTÍ SPOLU</w:t>
            </w:r>
          </w:p>
          <w:p w14:paraId="593E9B26" w14:textId="5F454CC5" w:rsidR="00235D9D" w:rsidRPr="00D85C65" w:rsidRDefault="00FD54FC">
            <w:pPr>
              <w:rPr>
                <w:rStyle w:val="InstructionsTabelleText"/>
                <w:rFonts w:ascii="Times New Roman" w:hAnsi="Times New Roman"/>
                <w:sz w:val="24"/>
              </w:rPr>
            </w:pPr>
            <w:r w:rsidRPr="00D85C65">
              <w:rPr>
                <w:rStyle w:val="InstructionsTabelleText"/>
                <w:rFonts w:ascii="Times New Roman" w:hAnsi="Times New Roman"/>
                <w:sz w:val="24"/>
              </w:rPr>
              <w:lastRenderedPageBreak/>
              <w:t>Inštitúcie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080 pre každú obchodnú líniu celkový „počet stratových udalostí (nové stratové udalosti)“, celkovú „výšku hrubej straty (nové stratové udalosti)“, celkový „počet stratových udalostí podliehajúcich stratovým úpravám“, celkové „stratové úpravy týkajúce sa predchádzajúcich období vykazovania“, „maximálnu samostatnú stratu“, „súčet piatich najväčších strát“, „celkové náhrady strát“</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„celkové náhrady</w:t>
            </w:r>
            <w:r w:rsidR="00D85C65">
              <w:rPr>
                <w:rStyle w:val="InstructionsTabelleText"/>
                <w:rFonts w:ascii="Times New Roman" w:hAnsi="Times New Roman"/>
                <w:sz w:val="24"/>
              </w:rPr>
              <w:t xml:space="preserve"> z </w:t>
            </w:r>
            <w:r w:rsidRPr="00D85C65">
              <w:rPr>
                <w:rStyle w:val="InstructionsTabelleText"/>
                <w:rFonts w:ascii="Times New Roman" w:hAnsi="Times New Roman"/>
                <w:sz w:val="24"/>
              </w:rPr>
              <w:t>poistenia</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iných mechanizmov presunu rizika“.</w:t>
            </w:r>
          </w:p>
          <w:p w14:paraId="09812703" w14:textId="6F252AAF" w:rsidR="00D85C65" w:rsidRDefault="00FD54FC">
            <w:pPr>
              <w:rPr>
                <w:rStyle w:val="InstructionsTabelleText"/>
                <w:rFonts w:ascii="Times New Roman" w:hAnsi="Times New Roman"/>
                <w:sz w:val="24"/>
              </w:rPr>
            </w:pPr>
            <w:r w:rsidRPr="00D85C65">
              <w:rPr>
                <w:rStyle w:val="InstructionsTabelleText"/>
                <w:rFonts w:ascii="Times New Roman" w:hAnsi="Times New Roman"/>
                <w:sz w:val="24"/>
              </w:rPr>
              <w:t>Za predpokladu, že inštitúcia identifikovala druhy stratových udalostí pri všetkých stratách, sa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080 uvádza jednoduchý súhrn počtu stratových udalostí, celkovej výšky hrubých strát, celkovej výšky náhrad strát</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„stratových úprav týkajúcich sa predchádzajúcich období vykazovania“ vykázaných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stĺpcoch 010 až 070</w:t>
            </w:r>
            <w:r w:rsidR="00D85C65">
              <w:rPr>
                <w:rStyle w:val="InstructionsTabelleText"/>
                <w:rFonts w:ascii="Times New Roman" w:hAnsi="Times New Roman"/>
                <w:sz w:val="24"/>
              </w:rPr>
              <w:t>.</w:t>
            </w:r>
          </w:p>
          <w:p w14:paraId="4C2494D2" w14:textId="5089F29F" w:rsidR="00D85C65" w:rsidRDefault="00FD54FC">
            <w:pPr>
              <w:rPr>
                <w:rStyle w:val="InstructionsTabelleText"/>
                <w:rFonts w:ascii="Times New Roman" w:hAnsi="Times New Roman"/>
                <w:sz w:val="24"/>
              </w:rPr>
            </w:pPr>
            <w:r w:rsidRPr="00D85C65">
              <w:rPr>
                <w:rStyle w:val="InstructionsTabelleText"/>
                <w:rFonts w:ascii="Times New Roman" w:hAnsi="Times New Roman"/>
                <w:sz w:val="24"/>
              </w:rPr>
              <w:t>„Maximálna samostatná strata“ vykázaná</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080 je maximálna samostatná strata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rámci obchodnej línie</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rovná sa maximálnej výške „maximálnych samostatných strát“ vykázaných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stĺpcoch 010 až 070 za predpokladu, že inštitúcia identifikovala druhy stratových udalostí pri všetkých stratách</w:t>
            </w:r>
            <w:r w:rsidR="00D85C65">
              <w:rPr>
                <w:rStyle w:val="InstructionsTabelleText"/>
                <w:rFonts w:ascii="Times New Roman" w:hAnsi="Times New Roman"/>
                <w:sz w:val="24"/>
              </w:rPr>
              <w:t>.</w:t>
            </w:r>
          </w:p>
          <w:p w14:paraId="293F470B" w14:textId="35BF9115" w:rsidR="00235D9D" w:rsidRPr="00D85C65" w:rsidRDefault="00FD54FC">
            <w:pPr>
              <w:rPr>
                <w:rFonts w:ascii="Times New Roman" w:hAnsi="Times New Roman"/>
                <w:bCs/>
                <w:sz w:val="24"/>
              </w:rPr>
            </w:pPr>
            <w:r w:rsidRPr="00D85C65">
              <w:rPr>
                <w:rStyle w:val="InstructionsTabelleText"/>
                <w:rFonts w:ascii="Times New Roman" w:hAnsi="Times New Roman"/>
                <w:sz w:val="24"/>
              </w:rPr>
              <w:t>Pre súčet piatich najväčších strát sa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stĺpci 080 vykazuje súčet piatich najväčších strát</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rámci jednej obchodnej línie.</w:t>
            </w:r>
          </w:p>
        </w:tc>
      </w:tr>
      <w:tr w:rsidR="00235D9D" w:rsidRPr="00D85C65" w14:paraId="3B74DBFF" w14:textId="77777777" w:rsidTr="00672D2A">
        <w:tc>
          <w:tcPr>
            <w:tcW w:w="985" w:type="dxa"/>
          </w:tcPr>
          <w:p w14:paraId="28ACCDB1" w14:textId="77777777" w:rsidR="00235D9D" w:rsidRPr="00D85C65" w:rsidRDefault="00C93FC2">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0090 – 0100</w:t>
            </w:r>
          </w:p>
        </w:tc>
        <w:tc>
          <w:tcPr>
            <w:tcW w:w="8195" w:type="dxa"/>
          </w:tcPr>
          <w:p w14:paraId="085BD40C" w14:textId="77777777" w:rsidR="00235D9D" w:rsidRPr="00D85C65" w:rsidRDefault="00FD54FC">
            <w:pPr>
              <w:autoSpaceDE w:val="0"/>
              <w:autoSpaceDN w:val="0"/>
              <w:adjustRightInd w:val="0"/>
              <w:spacing w:before="0" w:after="0"/>
              <w:rPr>
                <w:rFonts w:ascii="Times New Roman" w:hAnsi="Times New Roman"/>
                <w:sz w:val="24"/>
              </w:rPr>
            </w:pPr>
            <w:r w:rsidRPr="00D85C65">
              <w:rPr>
                <w:rStyle w:val="InstructionsTabelleberschrift"/>
                <w:rFonts w:ascii="Times New Roman" w:hAnsi="Times New Roman"/>
                <w:sz w:val="24"/>
              </w:rPr>
              <w:t>DOPLŇUJÚCA POLOŽKA: PRAHOVÁ HODNOTA POUŽITÁ PRI ZBERE ÚDAJOV</w:t>
            </w:r>
          </w:p>
          <w:p w14:paraId="45A41287" w14:textId="0C936FCF" w:rsidR="00D85C65" w:rsidRDefault="00FD54FC">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Inštitúcie vykazujú</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stĺpcoch 090</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100 minimálne prahové hodnoty pre straty, ktoré používajú na zber interných údajov</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strate</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súlade</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322 ods. 3 písm. c) poslednou vetou CRR</w:t>
            </w:r>
            <w:r w:rsidR="00D85C65">
              <w:rPr>
                <w:rStyle w:val="InstructionsTabelleText"/>
                <w:rFonts w:ascii="Times New Roman" w:hAnsi="Times New Roman"/>
                <w:sz w:val="24"/>
              </w:rPr>
              <w:t>.</w:t>
            </w:r>
          </w:p>
          <w:p w14:paraId="1EB119F8" w14:textId="7AA4EF88" w:rsidR="00D85C65" w:rsidRDefault="001F6487">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Ak inštitúcia používa len jednu prahovú hodnotu</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každej obchodnej línii, vypĺňa len stĺpec 090</w:t>
            </w:r>
            <w:r w:rsidR="00D85C65">
              <w:rPr>
                <w:rStyle w:val="InstructionsTabelleText"/>
                <w:rFonts w:ascii="Times New Roman" w:hAnsi="Times New Roman"/>
                <w:sz w:val="24"/>
              </w:rPr>
              <w:t>.</w:t>
            </w:r>
          </w:p>
          <w:p w14:paraId="0A034B85" w14:textId="4A556529" w:rsidR="00235D9D" w:rsidRPr="00D85C65" w:rsidRDefault="001F6487">
            <w:pPr>
              <w:rPr>
                <w:rStyle w:val="InstructionsTabelleText"/>
                <w:rFonts w:ascii="Times New Roman" w:hAnsi="Times New Roman"/>
                <w:sz w:val="24"/>
              </w:rPr>
            </w:pPr>
            <w:r w:rsidRPr="00D85C65">
              <w:rPr>
                <w:rStyle w:val="InstructionsTabelleText"/>
                <w:rFonts w:ascii="Times New Roman" w:hAnsi="Times New Roman"/>
                <w:sz w:val="24"/>
              </w:rPr>
              <w:t>Ak používa rôzne prahové hodnoty</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rámci jednej regulačnej obchodnej línie, uvedie aj najvyššiu uplatniteľnú prahovú hodnotu (stĺpec 100).</w:t>
            </w:r>
          </w:p>
        </w:tc>
      </w:tr>
    </w:tbl>
    <w:p w14:paraId="0D28A5B3" w14:textId="77777777" w:rsidR="00235D9D" w:rsidRPr="00D85C65" w:rsidRDefault="00235D9D">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235D9D" w:rsidRPr="00D85C65" w14:paraId="47512A96" w14:textId="77777777" w:rsidTr="00672D2A">
        <w:trPr>
          <w:trHeight w:val="504"/>
        </w:trPr>
        <w:tc>
          <w:tcPr>
            <w:tcW w:w="9180" w:type="dxa"/>
            <w:gridSpan w:val="2"/>
            <w:shd w:val="clear" w:color="auto" w:fill="CCCCCC"/>
          </w:tcPr>
          <w:p w14:paraId="6B697241" w14:textId="77777777" w:rsidR="00235D9D" w:rsidRPr="00D85C65" w:rsidRDefault="00FD54FC">
            <w:pPr>
              <w:autoSpaceDE w:val="0"/>
              <w:autoSpaceDN w:val="0"/>
              <w:adjustRightInd w:val="0"/>
              <w:spacing w:after="0"/>
              <w:rPr>
                <w:rFonts w:ascii="Times New Roman" w:hAnsi="Times New Roman"/>
                <w:b/>
                <w:bCs/>
                <w:sz w:val="24"/>
              </w:rPr>
            </w:pPr>
            <w:r w:rsidRPr="00D85C65">
              <w:rPr>
                <w:rFonts w:ascii="Times New Roman" w:hAnsi="Times New Roman"/>
                <w:b/>
                <w:bCs/>
                <w:sz w:val="24"/>
              </w:rPr>
              <w:t>Riadky</w:t>
            </w:r>
          </w:p>
        </w:tc>
      </w:tr>
      <w:tr w:rsidR="00235D9D" w:rsidRPr="00D85C65" w14:paraId="06F4EB44" w14:textId="77777777" w:rsidTr="00672D2A">
        <w:tc>
          <w:tcPr>
            <w:tcW w:w="1101" w:type="dxa"/>
          </w:tcPr>
          <w:p w14:paraId="0FDBA9D1" w14:textId="77777777" w:rsidR="00235D9D" w:rsidRPr="00D85C65" w:rsidRDefault="00C93FC2">
            <w:pPr>
              <w:rPr>
                <w:rFonts w:ascii="Times New Roman" w:hAnsi="Times New Roman"/>
                <w:bCs/>
                <w:sz w:val="24"/>
              </w:rPr>
            </w:pPr>
            <w:r w:rsidRPr="00D85C65">
              <w:rPr>
                <w:rFonts w:ascii="Times New Roman" w:hAnsi="Times New Roman"/>
                <w:sz w:val="24"/>
              </w:rPr>
              <w:t>0010</w:t>
            </w:r>
            <w:r w:rsidRPr="00D85C65">
              <w:rPr>
                <w:rFonts w:ascii="Times New Roman" w:hAnsi="Times New Roman"/>
                <w:bCs/>
                <w:sz w:val="24"/>
              </w:rPr>
              <w:t xml:space="preserve"> – 0880</w:t>
            </w:r>
          </w:p>
        </w:tc>
        <w:tc>
          <w:tcPr>
            <w:tcW w:w="8079" w:type="dxa"/>
          </w:tcPr>
          <w:p w14:paraId="790E6AEC" w14:textId="06C33CFA"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OBCHODNÉ LÍNIE: PODNIKOVÉ FINANCIE, OBCHODOVANIE NA FINANČNÝCH TRHOCH, RETAILOVÉ MAKLÉRSTVO, KOMERČNÉ BANKOVNÍCTVO, RETAILOVÉ BANKOVNÍCTVO, PLATOBNÝ STYK A VYROVNANIE, SLUŽBY</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POVERENIA, SPRÁVA AKTÍV, PODNIKOVÉ POLOŽKY</w:t>
            </w:r>
          </w:p>
          <w:p w14:paraId="3928E22F" w14:textId="29252F4E" w:rsidR="00235D9D" w:rsidRPr="00D85C65" w:rsidRDefault="00FD54FC">
            <w:pPr>
              <w:pStyle w:val="PlainText"/>
              <w:jc w:val="both"/>
              <w:rPr>
                <w:rFonts w:ascii="Times New Roman" w:hAnsi="Times New Roman"/>
                <w:sz w:val="24"/>
                <w:szCs w:val="24"/>
              </w:rPr>
            </w:pPr>
            <w:r w:rsidRPr="00D85C65">
              <w:rPr>
                <w:rFonts w:ascii="Times New Roman" w:hAnsi="Times New Roman"/>
                <w:sz w:val="24"/>
                <w:szCs w:val="24"/>
              </w:rPr>
              <w:t>Inštitúcia pre každú obchodnú líniu uvedenú</w:t>
            </w:r>
            <w:r w:rsidR="00D85C65">
              <w:rPr>
                <w:rFonts w:ascii="Times New Roman" w:hAnsi="Times New Roman"/>
                <w:sz w:val="24"/>
                <w:szCs w:val="24"/>
              </w:rPr>
              <w:t xml:space="preserve"> v </w:t>
            </w:r>
            <w:r w:rsidRPr="00D85C65">
              <w:rPr>
                <w:rFonts w:ascii="Times New Roman" w:hAnsi="Times New Roman"/>
                <w:sz w:val="24"/>
                <w:szCs w:val="24"/>
              </w:rPr>
              <w:t>tabuľke 2 článku 317 ods. 4 CRR, vrátane dodatočnej obchodnej línie „podnikové položky“, ako sa uvádza</w:t>
            </w:r>
            <w:r w:rsidR="00D85C65">
              <w:rPr>
                <w:rFonts w:ascii="Times New Roman" w:hAnsi="Times New Roman"/>
                <w:sz w:val="24"/>
                <w:szCs w:val="24"/>
              </w:rPr>
              <w:t xml:space="preserve"> v </w:t>
            </w:r>
            <w:r w:rsidRPr="00D85C65">
              <w:rPr>
                <w:rFonts w:ascii="Times New Roman" w:hAnsi="Times New Roman"/>
                <w:sz w:val="24"/>
                <w:szCs w:val="24"/>
              </w:rPr>
              <w:t>článku 322 ods. 3 písm. b) CRR,</w:t>
            </w:r>
            <w:r w:rsidR="00D85C65">
              <w:rPr>
                <w:rFonts w:ascii="Times New Roman" w:hAnsi="Times New Roman"/>
                <w:sz w:val="24"/>
                <w:szCs w:val="24"/>
              </w:rPr>
              <w:t xml:space="preserve"> a </w:t>
            </w:r>
            <w:r w:rsidRPr="00D85C65">
              <w:rPr>
                <w:rFonts w:ascii="Times New Roman" w:hAnsi="Times New Roman"/>
                <w:sz w:val="24"/>
                <w:szCs w:val="24"/>
              </w:rPr>
              <w:t>pre každý druh stratovej udalosti vykazuje podľa interných prahových hodnôt tieto informácie: počet stratových udalostí (nové stratové udalosti), výšku hrubej straty (nové stratové udalosti), počet stratových udalostí podliehajúcich stratovým úpravám, stratové úpravy týkajúce sa predchádzajúcich období vykazovania, maximálnu samostatnú stratu, súčet piatich najväčších strát, celkové náhrady strát</w:t>
            </w:r>
            <w:r w:rsidR="00D85C65">
              <w:rPr>
                <w:rFonts w:ascii="Times New Roman" w:hAnsi="Times New Roman"/>
                <w:sz w:val="24"/>
                <w:szCs w:val="24"/>
              </w:rPr>
              <w:t xml:space="preserve"> a </w:t>
            </w:r>
            <w:r w:rsidRPr="00D85C65">
              <w:rPr>
                <w:rFonts w:ascii="Times New Roman" w:hAnsi="Times New Roman"/>
                <w:sz w:val="24"/>
                <w:szCs w:val="24"/>
              </w:rPr>
              <w:t>celkové náhrady</w:t>
            </w:r>
            <w:r w:rsidR="00D85C65">
              <w:rPr>
                <w:rFonts w:ascii="Times New Roman" w:hAnsi="Times New Roman"/>
                <w:sz w:val="24"/>
                <w:szCs w:val="24"/>
              </w:rPr>
              <w:t xml:space="preserve"> z </w:t>
            </w:r>
            <w:r w:rsidRPr="00D85C65">
              <w:rPr>
                <w:rFonts w:ascii="Times New Roman" w:hAnsi="Times New Roman"/>
                <w:sz w:val="24"/>
                <w:szCs w:val="24"/>
              </w:rPr>
              <w:t>poistenia</w:t>
            </w:r>
            <w:r w:rsidR="00D85C65">
              <w:rPr>
                <w:rFonts w:ascii="Times New Roman" w:hAnsi="Times New Roman"/>
                <w:sz w:val="24"/>
                <w:szCs w:val="24"/>
              </w:rPr>
              <w:t xml:space="preserve"> a </w:t>
            </w:r>
            <w:r w:rsidRPr="00D85C65">
              <w:rPr>
                <w:rFonts w:ascii="Times New Roman" w:hAnsi="Times New Roman"/>
                <w:sz w:val="24"/>
                <w:szCs w:val="24"/>
              </w:rPr>
              <w:t>iných mechanizmov presunu rizika.</w:t>
            </w:r>
          </w:p>
          <w:p w14:paraId="707A080D" w14:textId="3AB3AFF2" w:rsidR="00235D9D" w:rsidRPr="00D85C65" w:rsidRDefault="00FD54FC">
            <w:pPr>
              <w:rPr>
                <w:rFonts w:ascii="Times New Roman" w:hAnsi="Times New Roman"/>
                <w:sz w:val="24"/>
              </w:rPr>
            </w:pPr>
            <w:r w:rsidRPr="00D85C65">
              <w:rPr>
                <w:rFonts w:ascii="Times New Roman" w:hAnsi="Times New Roman"/>
                <w:sz w:val="24"/>
              </w:rPr>
              <w:lastRenderedPageBreak/>
              <w:t>V prípade stratovej udalosti, ktorá postihuje viaceré obchodné línie, sa „výška hrubej straty“ rozdelí medzi všetky postihnuté obchodné línie.</w:t>
            </w:r>
          </w:p>
          <w:p w14:paraId="1493D8E8" w14:textId="058378E3" w:rsidR="00235D9D" w:rsidRPr="00D85C65" w:rsidRDefault="00FD54FC">
            <w:pPr>
              <w:rPr>
                <w:rFonts w:ascii="Times New Roman" w:hAnsi="Times New Roman"/>
                <w:bCs/>
                <w:sz w:val="24"/>
              </w:rPr>
            </w:pPr>
            <w:r w:rsidRPr="00D85C65">
              <w:rPr>
                <w:rFonts w:ascii="Times New Roman" w:hAnsi="Times New Roman"/>
                <w:sz w:val="24"/>
              </w:rPr>
              <w:t>Inštitúcie, ktoré vypočítavajú svoju požiadavku na vlastné zdroje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prístupom BIA, môžu vykázať straty, pre ktoré sa neurčila obchodná línia, len</w:t>
            </w:r>
            <w:r w:rsidR="00D85C65">
              <w:rPr>
                <w:rFonts w:ascii="Times New Roman" w:hAnsi="Times New Roman"/>
                <w:sz w:val="24"/>
              </w:rPr>
              <w:t xml:space="preserve"> v </w:t>
            </w:r>
            <w:r w:rsidRPr="00D85C65">
              <w:rPr>
                <w:rFonts w:ascii="Times New Roman" w:hAnsi="Times New Roman"/>
                <w:sz w:val="24"/>
              </w:rPr>
              <w:t>stĺpcoch 910 až 980.</w:t>
            </w:r>
          </w:p>
        </w:tc>
      </w:tr>
      <w:tr w:rsidR="00235D9D" w:rsidRPr="00D85C65" w14:paraId="6A147BD6" w14:textId="77777777" w:rsidTr="00672D2A">
        <w:tc>
          <w:tcPr>
            <w:tcW w:w="1101" w:type="dxa"/>
          </w:tcPr>
          <w:p w14:paraId="7CF23EE8" w14:textId="77777777" w:rsidR="00235D9D" w:rsidRPr="00D85C65" w:rsidRDefault="00C93FC2">
            <w:pPr>
              <w:rPr>
                <w:rFonts w:ascii="Times New Roman" w:hAnsi="Times New Roman"/>
                <w:bCs/>
                <w:sz w:val="24"/>
              </w:rPr>
            </w:pPr>
            <w:r w:rsidRPr="00D85C65">
              <w:rPr>
                <w:rFonts w:ascii="Times New Roman" w:hAnsi="Times New Roman"/>
                <w:bCs/>
                <w:sz w:val="24"/>
              </w:rPr>
              <w:lastRenderedPageBreak/>
              <w:t>0010, 0110, 0210, 0310, 0410, 0510, 0610, 0710, 0810</w:t>
            </w:r>
          </w:p>
        </w:tc>
        <w:tc>
          <w:tcPr>
            <w:tcW w:w="8079" w:type="dxa"/>
          </w:tcPr>
          <w:p w14:paraId="746434C0"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Počet stratových udalostí (nové stratové udalosti)</w:t>
            </w:r>
          </w:p>
          <w:p w14:paraId="4348AE4C" w14:textId="589AB41A" w:rsidR="00235D9D" w:rsidRPr="00D85C65" w:rsidRDefault="00FD54FC">
            <w:pPr>
              <w:rPr>
                <w:rFonts w:ascii="Times New Roman" w:hAnsi="Times New Roman"/>
                <w:sz w:val="24"/>
              </w:rPr>
            </w:pPr>
            <w:r w:rsidRPr="00D85C65">
              <w:rPr>
                <w:rFonts w:ascii="Times New Roman" w:hAnsi="Times New Roman"/>
                <w:sz w:val="24"/>
              </w:rPr>
              <w:t>Počet stratových udalostí je počet stratových udalostí, pri ktorých sa počas referenčného obdobia vykazovania zaúčtovali hrubé straty.</w:t>
            </w:r>
          </w:p>
          <w:p w14:paraId="56537FE3" w14:textId="02E49BF5" w:rsidR="00235D9D" w:rsidRPr="00D85C65" w:rsidRDefault="00FD54FC">
            <w:pPr>
              <w:rPr>
                <w:rFonts w:ascii="Times New Roman" w:hAnsi="Times New Roman"/>
                <w:sz w:val="24"/>
              </w:rPr>
            </w:pPr>
            <w:r w:rsidRPr="00D85C65">
              <w:rPr>
                <w:rFonts w:ascii="Times New Roman" w:hAnsi="Times New Roman"/>
                <w:sz w:val="24"/>
              </w:rPr>
              <w:t>Pri počte stratových udalostí sa uvádzajú „nové udalosti“, t. j. udalosti operačného rizika:</w:t>
            </w:r>
          </w:p>
          <w:p w14:paraId="5C5DFEFB" w14:textId="77777777"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t>i)</w:t>
            </w:r>
            <w:r w:rsidRPr="00D85C65">
              <w:rPr>
                <w:rFonts w:ascii="Times New Roman" w:hAnsi="Times New Roman"/>
                <w:sz w:val="24"/>
              </w:rPr>
              <w:tab/>
              <w:t>„zaúčtované prvýkrát“ počas referenčného obdobia vykazovania; alebo</w:t>
            </w:r>
          </w:p>
          <w:p w14:paraId="1D0BC305" w14:textId="3DCD2C68"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t>ii)</w:t>
            </w:r>
            <w:r w:rsidRPr="00D85C65">
              <w:rPr>
                <w:rFonts w:ascii="Times New Roman" w:hAnsi="Times New Roman"/>
                <w:sz w:val="24"/>
              </w:rPr>
              <w:tab/>
              <w:t>„zaúčtované prvýkrát“ počas predchádzajúceho referenčného obdobia vykazovania, ak stratová udalosť nebola zahrnutá</w:t>
            </w:r>
            <w:r w:rsidR="00D85C65">
              <w:rPr>
                <w:rFonts w:ascii="Times New Roman" w:hAnsi="Times New Roman"/>
                <w:sz w:val="24"/>
              </w:rPr>
              <w:t xml:space="preserve"> v </w:t>
            </w:r>
            <w:r w:rsidRPr="00D85C65">
              <w:rPr>
                <w:rFonts w:ascii="Times New Roman" w:hAnsi="Times New Roman"/>
                <w:sz w:val="24"/>
              </w:rPr>
              <w:t>žiadnej predchádzajúcej správe orgánom dohľadu, napr. preto, že bola identifikovaná ako stratová udalosť operačného rizika len</w:t>
            </w:r>
            <w:r w:rsidR="00D85C65">
              <w:rPr>
                <w:rFonts w:ascii="Times New Roman" w:hAnsi="Times New Roman"/>
                <w:sz w:val="24"/>
              </w:rPr>
              <w:t xml:space="preserve"> v </w:t>
            </w:r>
            <w:r w:rsidRPr="00D85C65">
              <w:rPr>
                <w:rFonts w:ascii="Times New Roman" w:hAnsi="Times New Roman"/>
                <w:sz w:val="24"/>
              </w:rPr>
              <w:t>súčasnom referenčnom období vykazovania alebo preto, že akumulovaná strata pripísateľná danej stratovej udalosti (t. j. pôvodná strata plus/mínus všetky stratové úpravy vykonané</w:t>
            </w:r>
            <w:r w:rsidR="00D85C65">
              <w:rPr>
                <w:rFonts w:ascii="Times New Roman" w:hAnsi="Times New Roman"/>
                <w:sz w:val="24"/>
              </w:rPr>
              <w:t xml:space="preserve"> v </w:t>
            </w:r>
            <w:r w:rsidRPr="00D85C65">
              <w:rPr>
                <w:rFonts w:ascii="Times New Roman" w:hAnsi="Times New Roman"/>
                <w:sz w:val="24"/>
              </w:rPr>
              <w:t>predchádzajúcich referenčných obdobiach vykazovania) presiahla prahovú hodnotu pre zber interných údajov iba</w:t>
            </w:r>
            <w:r w:rsidR="00D85C65">
              <w:rPr>
                <w:rFonts w:ascii="Times New Roman" w:hAnsi="Times New Roman"/>
                <w:sz w:val="24"/>
              </w:rPr>
              <w:t xml:space="preserve"> v </w:t>
            </w:r>
            <w:r w:rsidRPr="00D85C65">
              <w:rPr>
                <w:rFonts w:ascii="Times New Roman" w:hAnsi="Times New Roman"/>
                <w:sz w:val="24"/>
              </w:rPr>
              <w:t>súčasnom referenčnom období vykazovania.</w:t>
            </w:r>
          </w:p>
          <w:p w14:paraId="67455681" w14:textId="7DB22505" w:rsidR="00235D9D" w:rsidRPr="00D85C65" w:rsidRDefault="00FD54FC">
            <w:pPr>
              <w:rPr>
                <w:rStyle w:val="InstructionsTabelleberschrift"/>
                <w:rFonts w:ascii="Times New Roman" w:hAnsi="Times New Roman"/>
                <w:sz w:val="24"/>
              </w:rPr>
            </w:pPr>
            <w:r w:rsidRPr="00D85C65">
              <w:rPr>
                <w:rFonts w:ascii="Times New Roman" w:hAnsi="Times New Roman"/>
                <w:sz w:val="24"/>
              </w:rPr>
              <w:t>Medzi „nové stratové udalosti“ nepatria stratové udalosti „zaúčtované prvýkrát“ počas predchádzajúceho referenčného obdobia vykazovania, ktoré už boli zahrnuté</w:t>
            </w:r>
            <w:r w:rsidR="00D85C65">
              <w:rPr>
                <w:rFonts w:ascii="Times New Roman" w:hAnsi="Times New Roman"/>
                <w:sz w:val="24"/>
              </w:rPr>
              <w:t xml:space="preserve"> v </w:t>
            </w:r>
            <w:r w:rsidRPr="00D85C65">
              <w:rPr>
                <w:rFonts w:ascii="Times New Roman" w:hAnsi="Times New Roman"/>
                <w:sz w:val="24"/>
              </w:rPr>
              <w:t>predchádzajúcich správach orgánom dohľadu.</w:t>
            </w:r>
          </w:p>
        </w:tc>
      </w:tr>
      <w:tr w:rsidR="00235D9D" w:rsidRPr="00D85C65" w14:paraId="280792D0" w14:textId="77777777" w:rsidTr="00672D2A">
        <w:tc>
          <w:tcPr>
            <w:tcW w:w="1101" w:type="dxa"/>
          </w:tcPr>
          <w:p w14:paraId="2EDFACF1" w14:textId="77777777" w:rsidR="00235D9D" w:rsidRPr="00D85C65" w:rsidRDefault="00C93FC2">
            <w:pPr>
              <w:rPr>
                <w:rFonts w:ascii="Times New Roman" w:hAnsi="Times New Roman"/>
                <w:bCs/>
                <w:sz w:val="24"/>
              </w:rPr>
            </w:pPr>
            <w:r w:rsidRPr="00D85C65">
              <w:rPr>
                <w:rFonts w:ascii="Times New Roman" w:hAnsi="Times New Roman"/>
                <w:bCs/>
                <w:sz w:val="24"/>
              </w:rPr>
              <w:t>0020, 0120, 0220, 0320, 0420, 0520, 0620, 0720, 0820</w:t>
            </w:r>
          </w:p>
        </w:tc>
        <w:tc>
          <w:tcPr>
            <w:tcW w:w="8079" w:type="dxa"/>
          </w:tcPr>
          <w:p w14:paraId="55FA581D"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Výška hrubej straty (nové stratové udalosti)</w:t>
            </w:r>
          </w:p>
          <w:p w14:paraId="00134414" w14:textId="67CC56A2" w:rsidR="00235D9D" w:rsidRPr="00D85C65" w:rsidRDefault="00FD54FC">
            <w:pPr>
              <w:rPr>
                <w:rFonts w:ascii="Times New Roman" w:hAnsi="Times New Roman"/>
                <w:sz w:val="24"/>
              </w:rPr>
            </w:pPr>
            <w:r w:rsidRPr="00D85C65">
              <w:rPr>
                <w:rFonts w:ascii="Times New Roman" w:hAnsi="Times New Roman"/>
                <w:sz w:val="24"/>
              </w:rPr>
              <w:t>Výška hrubej straty sú výšky hrubých strát týkajúcich sa stratových udalostí operačného rizika (napr. priame poplatky, rezervy, vyrovnania). Všetky straty súvisiace</w:t>
            </w:r>
            <w:r w:rsidR="00D85C65">
              <w:rPr>
                <w:rFonts w:ascii="Times New Roman" w:hAnsi="Times New Roman"/>
                <w:sz w:val="24"/>
              </w:rPr>
              <w:t xml:space="preserve"> s </w:t>
            </w:r>
            <w:r w:rsidRPr="00D85C65">
              <w:rPr>
                <w:rFonts w:ascii="Times New Roman" w:hAnsi="Times New Roman"/>
                <w:sz w:val="24"/>
              </w:rPr>
              <w:t>jednou stratovou udalosťou zaúčtované počas referenčného obdobia vykazovania sa spočítavajú</w:t>
            </w:r>
            <w:r w:rsidR="00D85C65">
              <w:rPr>
                <w:rFonts w:ascii="Times New Roman" w:hAnsi="Times New Roman"/>
                <w:sz w:val="24"/>
              </w:rPr>
              <w:t xml:space="preserve"> a </w:t>
            </w:r>
            <w:r w:rsidRPr="00D85C65">
              <w:rPr>
                <w:rFonts w:ascii="Times New Roman" w:hAnsi="Times New Roman"/>
                <w:sz w:val="24"/>
              </w:rPr>
              <w:t>považujú sa za hrubé straty pre danú stratovú udalosť za dané referenčné obdobie vykazovania.</w:t>
            </w:r>
          </w:p>
          <w:p w14:paraId="7E276A2F" w14:textId="76D4201B" w:rsidR="00235D9D" w:rsidRPr="00D85C65" w:rsidRDefault="00FD54FC">
            <w:pPr>
              <w:rPr>
                <w:rFonts w:ascii="Times New Roman" w:hAnsi="Times New Roman"/>
                <w:sz w:val="24"/>
              </w:rPr>
            </w:pPr>
            <w:r w:rsidRPr="00D85C65">
              <w:rPr>
                <w:rFonts w:ascii="Times New Roman" w:hAnsi="Times New Roman"/>
                <w:sz w:val="24"/>
              </w:rPr>
              <w:t>Vykazovaná výška hrubej straty odkazuje na „nové stratové udalosti“, ako sa uvádza</w:t>
            </w:r>
            <w:r w:rsidR="00D85C65">
              <w:rPr>
                <w:rFonts w:ascii="Times New Roman" w:hAnsi="Times New Roman"/>
                <w:sz w:val="24"/>
              </w:rPr>
              <w:t xml:space="preserve"> v </w:t>
            </w:r>
            <w:r w:rsidRPr="00D85C65">
              <w:rPr>
                <w:rFonts w:ascii="Times New Roman" w:hAnsi="Times New Roman"/>
                <w:sz w:val="24"/>
              </w:rPr>
              <w:t>riadku nad touto tabuľkou. Pri stratových udalostiach „zaúčtovaných prvýkrát“ počas predchádzajúceho referenčného obdobia vykazovania, ktoré neboli zahrnuté</w:t>
            </w:r>
            <w:r w:rsidR="00D85C65">
              <w:rPr>
                <w:rFonts w:ascii="Times New Roman" w:hAnsi="Times New Roman"/>
                <w:sz w:val="24"/>
              </w:rPr>
              <w:t xml:space="preserve"> v </w:t>
            </w:r>
            <w:r w:rsidRPr="00D85C65">
              <w:rPr>
                <w:rFonts w:ascii="Times New Roman" w:hAnsi="Times New Roman"/>
                <w:sz w:val="24"/>
              </w:rPr>
              <w:t>žiadnej predchádzajúcej správe orgánom dohľadu, sa celková strata akumulovaná do referenčného dátumu vykazovania (t. j. pôvodná strata plus/mínus všetky stratové úpravy vykonané</w:t>
            </w:r>
            <w:r w:rsidR="00D85C65">
              <w:rPr>
                <w:rFonts w:ascii="Times New Roman" w:hAnsi="Times New Roman"/>
                <w:sz w:val="24"/>
              </w:rPr>
              <w:t xml:space="preserve"> v </w:t>
            </w:r>
            <w:r w:rsidRPr="00D85C65">
              <w:rPr>
                <w:rFonts w:ascii="Times New Roman" w:hAnsi="Times New Roman"/>
                <w:sz w:val="24"/>
              </w:rPr>
              <w:t>predchádzajúcich referenčných obdobiach vykazovania) vykazuje ako hrubá strata</w:t>
            </w:r>
            <w:r w:rsidR="00D85C65">
              <w:rPr>
                <w:rFonts w:ascii="Times New Roman" w:hAnsi="Times New Roman"/>
                <w:sz w:val="24"/>
              </w:rPr>
              <w:t xml:space="preserve"> k </w:t>
            </w:r>
            <w:r w:rsidRPr="00D85C65">
              <w:rPr>
                <w:rFonts w:ascii="Times New Roman" w:hAnsi="Times New Roman"/>
                <w:sz w:val="24"/>
              </w:rPr>
              <w:t>referenčnému dátumu vykazovania.</w:t>
            </w:r>
          </w:p>
          <w:p w14:paraId="492192BF" w14:textId="047AC907" w:rsidR="00235D9D" w:rsidRPr="00D85C65" w:rsidRDefault="00FD54FC">
            <w:pPr>
              <w:rPr>
                <w:rStyle w:val="InstructionsTabelleberschrift"/>
                <w:rFonts w:ascii="Times New Roman" w:hAnsi="Times New Roman"/>
                <w:sz w:val="24"/>
              </w:rPr>
            </w:pPr>
            <w:r w:rsidRPr="00D85C65">
              <w:rPr>
                <w:rFonts w:ascii="Times New Roman" w:hAnsi="Times New Roman"/>
                <w:sz w:val="24"/>
              </w:rPr>
              <w:t>Hodnoty, ktoré sa majú vykázať, nezohľadňujú získané náhrady.</w:t>
            </w:r>
          </w:p>
        </w:tc>
      </w:tr>
      <w:tr w:rsidR="00235D9D" w:rsidRPr="00D85C65" w14:paraId="2F31663E" w14:textId="77777777" w:rsidTr="00672D2A">
        <w:tc>
          <w:tcPr>
            <w:tcW w:w="1101" w:type="dxa"/>
          </w:tcPr>
          <w:p w14:paraId="4597FED8" w14:textId="77777777" w:rsidR="00235D9D" w:rsidRPr="00D85C65" w:rsidRDefault="00C93FC2">
            <w:pPr>
              <w:rPr>
                <w:rFonts w:ascii="Times New Roman" w:hAnsi="Times New Roman"/>
                <w:bCs/>
                <w:sz w:val="24"/>
              </w:rPr>
            </w:pPr>
            <w:r w:rsidRPr="00D85C65">
              <w:rPr>
                <w:rFonts w:ascii="Times New Roman" w:hAnsi="Times New Roman"/>
                <w:bCs/>
                <w:sz w:val="24"/>
              </w:rPr>
              <w:t xml:space="preserve">0030, 0130, 0230, 0330, 0430, </w:t>
            </w:r>
            <w:r w:rsidRPr="00D85C65">
              <w:rPr>
                <w:rFonts w:ascii="Times New Roman" w:hAnsi="Times New Roman"/>
                <w:bCs/>
                <w:sz w:val="24"/>
              </w:rPr>
              <w:lastRenderedPageBreak/>
              <w:t>0530, 0630, 0730, 0830</w:t>
            </w:r>
          </w:p>
        </w:tc>
        <w:tc>
          <w:tcPr>
            <w:tcW w:w="8079" w:type="dxa"/>
          </w:tcPr>
          <w:p w14:paraId="731870AB"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lastRenderedPageBreak/>
              <w:t>Počet stratových udalostí podliehajúcich stratovým úpravám</w:t>
            </w:r>
          </w:p>
          <w:p w14:paraId="67B1419B" w14:textId="02B2B70D" w:rsidR="00D85C65" w:rsidRDefault="00FD54FC">
            <w:pPr>
              <w:rPr>
                <w:rFonts w:ascii="Times New Roman" w:hAnsi="Times New Roman"/>
                <w:sz w:val="24"/>
              </w:rPr>
            </w:pPr>
            <w:r w:rsidRPr="00D85C65">
              <w:rPr>
                <w:rFonts w:ascii="Times New Roman" w:hAnsi="Times New Roman"/>
                <w:sz w:val="24"/>
              </w:rPr>
              <w:t>Počet stratových udalostí podliehajúcich stratovým úpravám je počet stratových udalostí operačného rizika „zaúčtovaných prvýkrát“</w:t>
            </w:r>
            <w:r w:rsidR="00D85C65">
              <w:rPr>
                <w:rFonts w:ascii="Times New Roman" w:hAnsi="Times New Roman"/>
                <w:sz w:val="24"/>
              </w:rPr>
              <w:t xml:space="preserve"> v </w:t>
            </w:r>
            <w:r w:rsidRPr="00D85C65">
              <w:rPr>
                <w:rFonts w:ascii="Times New Roman" w:hAnsi="Times New Roman"/>
                <w:sz w:val="24"/>
              </w:rPr>
              <w:t>predchádzajúcich referenčných obdobiach vykazovania</w:t>
            </w:r>
            <w:r w:rsidR="00D85C65">
              <w:rPr>
                <w:rFonts w:ascii="Times New Roman" w:hAnsi="Times New Roman"/>
                <w:sz w:val="24"/>
              </w:rPr>
              <w:t xml:space="preserve"> a </w:t>
            </w:r>
            <w:r w:rsidRPr="00D85C65">
              <w:rPr>
                <w:rFonts w:ascii="Times New Roman" w:hAnsi="Times New Roman"/>
                <w:sz w:val="24"/>
              </w:rPr>
              <w:t>už zahrnutých</w:t>
            </w:r>
            <w:r w:rsidR="00D85C65">
              <w:rPr>
                <w:rFonts w:ascii="Times New Roman" w:hAnsi="Times New Roman"/>
                <w:sz w:val="24"/>
              </w:rPr>
              <w:t xml:space="preserve"> v </w:t>
            </w:r>
            <w:r w:rsidRPr="00D85C65">
              <w:rPr>
                <w:rFonts w:ascii="Times New Roman" w:hAnsi="Times New Roman"/>
                <w:sz w:val="24"/>
              </w:rPr>
              <w:t xml:space="preserve">predchádzajúcich </w:t>
            </w:r>
            <w:r w:rsidRPr="00D85C65">
              <w:rPr>
                <w:rFonts w:ascii="Times New Roman" w:hAnsi="Times New Roman"/>
                <w:sz w:val="24"/>
              </w:rPr>
              <w:lastRenderedPageBreak/>
              <w:t>správach, pri ktorých boli</w:t>
            </w:r>
            <w:r w:rsidR="00D85C65">
              <w:rPr>
                <w:rFonts w:ascii="Times New Roman" w:hAnsi="Times New Roman"/>
                <w:sz w:val="24"/>
              </w:rPr>
              <w:t xml:space="preserve"> v </w:t>
            </w:r>
            <w:r w:rsidRPr="00D85C65">
              <w:rPr>
                <w:rFonts w:ascii="Times New Roman" w:hAnsi="Times New Roman"/>
                <w:sz w:val="24"/>
              </w:rPr>
              <w:t>súčasnom období vykazovania vykonané stratové úpravy</w:t>
            </w:r>
            <w:r w:rsidR="00D85C65">
              <w:rPr>
                <w:rFonts w:ascii="Times New Roman" w:hAnsi="Times New Roman"/>
                <w:sz w:val="24"/>
              </w:rPr>
              <w:t>.</w:t>
            </w:r>
          </w:p>
          <w:p w14:paraId="2B31C3CD" w14:textId="77754792" w:rsidR="00235D9D" w:rsidRPr="00D85C65" w:rsidRDefault="001F6487">
            <w:pPr>
              <w:rPr>
                <w:b/>
                <w:sz w:val="24"/>
              </w:rPr>
            </w:pPr>
            <w:r w:rsidRPr="00D85C65">
              <w:rPr>
                <w:rFonts w:ascii="Times New Roman" w:hAnsi="Times New Roman"/>
                <w:sz w:val="24"/>
              </w:rPr>
              <w:t>Ak sa počas referenčného obdobia vykazovania pri stratovej udalosti vykonala viac než jedna stratová úprava, súčet týchto stratových úprav sa počíta ako jedna úprava</w:t>
            </w:r>
            <w:r w:rsidR="00D85C65">
              <w:rPr>
                <w:rFonts w:ascii="Times New Roman" w:hAnsi="Times New Roman"/>
                <w:sz w:val="24"/>
              </w:rPr>
              <w:t xml:space="preserve"> v </w:t>
            </w:r>
            <w:r w:rsidRPr="00D85C65">
              <w:rPr>
                <w:rFonts w:ascii="Times New Roman" w:hAnsi="Times New Roman"/>
                <w:sz w:val="24"/>
              </w:rPr>
              <w:t>danom období.</w:t>
            </w:r>
          </w:p>
        </w:tc>
      </w:tr>
      <w:tr w:rsidR="00235D9D" w:rsidRPr="00D85C65" w14:paraId="24028166" w14:textId="77777777" w:rsidTr="00672D2A">
        <w:tc>
          <w:tcPr>
            <w:tcW w:w="1101" w:type="dxa"/>
          </w:tcPr>
          <w:p w14:paraId="152C190A" w14:textId="77777777" w:rsidR="00235D9D" w:rsidRPr="00D85C65" w:rsidRDefault="00C93FC2">
            <w:pPr>
              <w:rPr>
                <w:rFonts w:ascii="Times New Roman" w:hAnsi="Times New Roman"/>
                <w:bCs/>
                <w:sz w:val="24"/>
              </w:rPr>
            </w:pPr>
            <w:r w:rsidRPr="00D85C65">
              <w:rPr>
                <w:rFonts w:ascii="Times New Roman" w:hAnsi="Times New Roman"/>
                <w:bCs/>
                <w:sz w:val="24"/>
              </w:rPr>
              <w:lastRenderedPageBreak/>
              <w:t>0040, 0140, 0240, 0340, 0440, 0540, 0640, 0</w:t>
            </w:r>
            <w:r w:rsidRPr="00D85C65">
              <w:rPr>
                <w:rFonts w:ascii="Times New Roman" w:hAnsi="Times New Roman"/>
                <w:sz w:val="24"/>
              </w:rPr>
              <w:t>740</w:t>
            </w:r>
            <w:r w:rsidRPr="00D85C65">
              <w:rPr>
                <w:rFonts w:ascii="Times New Roman" w:hAnsi="Times New Roman"/>
                <w:bCs/>
                <w:sz w:val="24"/>
              </w:rPr>
              <w:t>, 0840</w:t>
            </w:r>
          </w:p>
        </w:tc>
        <w:tc>
          <w:tcPr>
            <w:tcW w:w="8079" w:type="dxa"/>
          </w:tcPr>
          <w:p w14:paraId="57C9572B"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Stratové úpravy týkajúce sa predchádzajúcich období vykazovania</w:t>
            </w:r>
          </w:p>
          <w:p w14:paraId="6221F1D9" w14:textId="3EB9E979" w:rsidR="00235D9D" w:rsidRPr="00D85C65" w:rsidRDefault="00FD54FC">
            <w:pPr>
              <w:rPr>
                <w:rFonts w:ascii="Times New Roman" w:hAnsi="Times New Roman"/>
                <w:sz w:val="24"/>
              </w:rPr>
            </w:pPr>
            <w:r w:rsidRPr="00D85C65">
              <w:rPr>
                <w:rFonts w:ascii="Times New Roman" w:hAnsi="Times New Roman"/>
                <w:sz w:val="24"/>
              </w:rPr>
              <w:t>Stratové úpravy týkajúce sa predchádzajúcich referenčných období vykazovania sú súčtom týchto prvkov (kladných alebo záporných):</w:t>
            </w:r>
          </w:p>
          <w:p w14:paraId="4B47FAE2" w14:textId="327AAA18"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t>i)</w:t>
            </w:r>
            <w:r w:rsidRPr="00D85C65">
              <w:rPr>
                <w:rFonts w:ascii="Times New Roman" w:hAnsi="Times New Roman"/>
                <w:sz w:val="24"/>
              </w:rPr>
              <w:tab/>
              <w:t>súm hrubých strát týkajúcich sa kladných stratových úprav vykonaných počas referenčného obdobia vykazovania (napr. zvýšenie rezerv, udalosti súvisiacich strát, dodatočné vyrovnania) udalostí operačného rizika „zaúčtovaných prvýkrát“</w:t>
            </w:r>
            <w:r w:rsidR="00D85C65">
              <w:rPr>
                <w:rFonts w:ascii="Times New Roman" w:hAnsi="Times New Roman"/>
                <w:sz w:val="24"/>
              </w:rPr>
              <w:t xml:space="preserve"> a </w:t>
            </w:r>
            <w:r w:rsidRPr="00D85C65">
              <w:rPr>
                <w:rFonts w:ascii="Times New Roman" w:hAnsi="Times New Roman"/>
                <w:sz w:val="24"/>
              </w:rPr>
              <w:t>vykázaných</w:t>
            </w:r>
            <w:r w:rsidR="00D85C65">
              <w:rPr>
                <w:rFonts w:ascii="Times New Roman" w:hAnsi="Times New Roman"/>
                <w:sz w:val="24"/>
              </w:rPr>
              <w:t xml:space="preserve"> v </w:t>
            </w:r>
            <w:r w:rsidRPr="00D85C65">
              <w:rPr>
                <w:rFonts w:ascii="Times New Roman" w:hAnsi="Times New Roman"/>
                <w:sz w:val="24"/>
              </w:rPr>
              <w:t>predchádzajúcich referenčných obdobiach vykazovania;</w:t>
            </w:r>
          </w:p>
          <w:p w14:paraId="1D76351E" w14:textId="668EBE00" w:rsidR="00D85C65" w:rsidRDefault="00FD54FC">
            <w:pPr>
              <w:tabs>
                <w:tab w:val="left" w:pos="459"/>
              </w:tabs>
              <w:ind w:left="459" w:hanging="459"/>
              <w:rPr>
                <w:rFonts w:ascii="Times New Roman" w:hAnsi="Times New Roman"/>
                <w:sz w:val="24"/>
              </w:rPr>
            </w:pPr>
            <w:r w:rsidRPr="00D85C65">
              <w:rPr>
                <w:rFonts w:ascii="Times New Roman" w:hAnsi="Times New Roman"/>
                <w:sz w:val="24"/>
              </w:rPr>
              <w:t>ii)</w:t>
            </w:r>
            <w:r w:rsidRPr="00D85C65">
              <w:rPr>
                <w:rFonts w:ascii="Times New Roman" w:hAnsi="Times New Roman"/>
                <w:sz w:val="24"/>
              </w:rPr>
              <w:tab/>
              <w:t>súm hrubých strát týkajúcich sa záporných stratových úprav vykonaných počas referenčného obdobia vykazovania (napr.</w:t>
            </w:r>
            <w:r w:rsidR="00D85C65">
              <w:rPr>
                <w:rFonts w:ascii="Times New Roman" w:hAnsi="Times New Roman"/>
                <w:sz w:val="24"/>
              </w:rPr>
              <w:t xml:space="preserve"> v </w:t>
            </w:r>
            <w:r w:rsidRPr="00D85C65">
              <w:rPr>
                <w:rFonts w:ascii="Times New Roman" w:hAnsi="Times New Roman"/>
                <w:sz w:val="24"/>
              </w:rPr>
              <w:t>dôsledku zníženia rezerv) stratových udalostí operačného rizika „zaúčtovaných prvýkrát“</w:t>
            </w:r>
            <w:r w:rsidR="00D85C65">
              <w:rPr>
                <w:rFonts w:ascii="Times New Roman" w:hAnsi="Times New Roman"/>
                <w:sz w:val="24"/>
              </w:rPr>
              <w:t xml:space="preserve"> a </w:t>
            </w:r>
            <w:r w:rsidRPr="00D85C65">
              <w:rPr>
                <w:rFonts w:ascii="Times New Roman" w:hAnsi="Times New Roman"/>
                <w:sz w:val="24"/>
              </w:rPr>
              <w:t>vykázaných</w:t>
            </w:r>
            <w:r w:rsidR="00D85C65">
              <w:rPr>
                <w:rFonts w:ascii="Times New Roman" w:hAnsi="Times New Roman"/>
                <w:sz w:val="24"/>
              </w:rPr>
              <w:t xml:space="preserve"> v </w:t>
            </w:r>
            <w:r w:rsidRPr="00D85C65">
              <w:rPr>
                <w:rFonts w:ascii="Times New Roman" w:hAnsi="Times New Roman"/>
                <w:sz w:val="24"/>
              </w:rPr>
              <w:t>predchádzajúcich referenčných obdobiach vykazovania</w:t>
            </w:r>
            <w:r w:rsidR="00D85C65">
              <w:rPr>
                <w:rFonts w:ascii="Times New Roman" w:hAnsi="Times New Roman"/>
                <w:sz w:val="24"/>
              </w:rPr>
              <w:t>.</w:t>
            </w:r>
          </w:p>
          <w:p w14:paraId="2D748ABA" w14:textId="162ED38B" w:rsidR="00235D9D" w:rsidRPr="00D85C65" w:rsidRDefault="001F6487">
            <w:pPr>
              <w:rPr>
                <w:rFonts w:ascii="Times New Roman" w:hAnsi="Times New Roman"/>
                <w:sz w:val="24"/>
              </w:rPr>
            </w:pPr>
            <w:r w:rsidRPr="00D85C65">
              <w:rPr>
                <w:rFonts w:ascii="Times New Roman" w:hAnsi="Times New Roman"/>
                <w:sz w:val="24"/>
              </w:rPr>
              <w:t>Ak sa počas referenčného obdobia vykazovania pri stratovej udalosti vykonala viac než jedna stratová úprava, hodnoty týchto stratových úprav sa spočítajú, pričom sa berie do úvahy znamienko úprav (kladné, záporné). Táto suma sa považuje za stratovú úpravu pre danú stratovú udalosť za dané referenčné obdobie vykazovania.</w:t>
            </w:r>
          </w:p>
          <w:p w14:paraId="6AFACF1E" w14:textId="06971108" w:rsidR="00235D9D" w:rsidRPr="00D85C65" w:rsidRDefault="001F6487">
            <w:pPr>
              <w:rPr>
                <w:rFonts w:ascii="Times New Roman" w:hAnsi="Times New Roman"/>
                <w:sz w:val="24"/>
              </w:rPr>
            </w:pPr>
            <w:r w:rsidRPr="00D85C65">
              <w:rPr>
                <w:rFonts w:ascii="Times New Roman" w:hAnsi="Times New Roman"/>
                <w:sz w:val="24"/>
              </w:rPr>
              <w:t>Ak sa</w:t>
            </w:r>
            <w:r w:rsidR="00D85C65">
              <w:rPr>
                <w:rFonts w:ascii="Times New Roman" w:hAnsi="Times New Roman"/>
                <w:sz w:val="24"/>
              </w:rPr>
              <w:t xml:space="preserve"> v </w:t>
            </w:r>
            <w:r w:rsidRPr="00D85C65">
              <w:rPr>
                <w:rFonts w:ascii="Times New Roman" w:hAnsi="Times New Roman"/>
                <w:sz w:val="24"/>
              </w:rPr>
              <w:t>dôsledku zápornej stratovej úpravy upravená výška straty pripísateľná stratovej udalosti ocitne pod prahovou hodnotou pre zber interných údajov inštitúcie, inštitúcia vykáže celkovú výšku straty pre danú stratovú udalosť akumulovanú do momentu, keď sa udalosť poslednýkrát vykázala</w:t>
            </w:r>
            <w:r w:rsidR="00D85C65">
              <w:rPr>
                <w:rFonts w:ascii="Times New Roman" w:hAnsi="Times New Roman"/>
                <w:sz w:val="24"/>
              </w:rPr>
              <w:t xml:space="preserve"> v </w:t>
            </w:r>
            <w:r w:rsidRPr="00D85C65">
              <w:rPr>
                <w:rFonts w:ascii="Times New Roman" w:hAnsi="Times New Roman"/>
                <w:sz w:val="24"/>
              </w:rPr>
              <w:t>súvislosti</w:t>
            </w:r>
            <w:r w:rsidR="00D85C65">
              <w:rPr>
                <w:rFonts w:ascii="Times New Roman" w:hAnsi="Times New Roman"/>
                <w:sz w:val="24"/>
              </w:rPr>
              <w:t xml:space="preserve"> s </w:t>
            </w:r>
            <w:r w:rsidRPr="00D85C65">
              <w:rPr>
                <w:rFonts w:ascii="Times New Roman" w:hAnsi="Times New Roman"/>
                <w:sz w:val="24"/>
              </w:rPr>
              <w:t>decembrovým referenčným dátumom (t. j. pôvodná strata plus/mínus všetky stratové úpravy vykonané</w:t>
            </w:r>
            <w:r w:rsidR="00D85C65">
              <w:rPr>
                <w:rFonts w:ascii="Times New Roman" w:hAnsi="Times New Roman"/>
                <w:sz w:val="24"/>
              </w:rPr>
              <w:t xml:space="preserve"> v </w:t>
            </w:r>
            <w:r w:rsidRPr="00D85C65">
              <w:rPr>
                <w:rFonts w:ascii="Times New Roman" w:hAnsi="Times New Roman"/>
                <w:sz w:val="24"/>
              </w:rPr>
              <w:t>predchádzajúcich referenčných obdobiach vykazovania), so záporným znamienkom,</w:t>
            </w:r>
            <w:r w:rsidR="00D85C65">
              <w:rPr>
                <w:rFonts w:ascii="Times New Roman" w:hAnsi="Times New Roman"/>
                <w:sz w:val="24"/>
              </w:rPr>
              <w:t xml:space="preserve"> a </w:t>
            </w:r>
            <w:r w:rsidRPr="00D85C65">
              <w:rPr>
                <w:rFonts w:ascii="Times New Roman" w:hAnsi="Times New Roman"/>
                <w:sz w:val="24"/>
              </w:rPr>
              <w:t>nie samotnú výšku zápornej stratovej úpravy.</w:t>
            </w:r>
          </w:p>
          <w:p w14:paraId="32E8B207" w14:textId="1128A6E7" w:rsidR="00235D9D" w:rsidRPr="00D85C65" w:rsidRDefault="00FD54FC">
            <w:pPr>
              <w:rPr>
                <w:b/>
                <w:sz w:val="24"/>
              </w:rPr>
            </w:pPr>
            <w:r w:rsidRPr="00D85C65">
              <w:rPr>
                <w:rFonts w:ascii="Times New Roman" w:hAnsi="Times New Roman"/>
                <w:sz w:val="24"/>
              </w:rPr>
              <w:t>Hodnoty, ktoré sa majú vykázať, nezohľadňujú získané náhrady.</w:t>
            </w:r>
          </w:p>
        </w:tc>
      </w:tr>
      <w:tr w:rsidR="00235D9D" w:rsidRPr="00D85C65" w14:paraId="57752AD3" w14:textId="77777777" w:rsidTr="00672D2A">
        <w:tc>
          <w:tcPr>
            <w:tcW w:w="1101" w:type="dxa"/>
          </w:tcPr>
          <w:p w14:paraId="0F2AEB24" w14:textId="77777777" w:rsidR="00235D9D" w:rsidRPr="00D85C65" w:rsidRDefault="00C93FC2">
            <w:pPr>
              <w:rPr>
                <w:rFonts w:ascii="Times New Roman" w:hAnsi="Times New Roman"/>
                <w:bCs/>
                <w:sz w:val="24"/>
              </w:rPr>
            </w:pPr>
            <w:r w:rsidRPr="00D85C65">
              <w:rPr>
                <w:rFonts w:ascii="Times New Roman" w:hAnsi="Times New Roman"/>
                <w:bCs/>
                <w:sz w:val="24"/>
              </w:rPr>
              <w:t>0050, 0150, 0250, 0350, 0450, 0550, 0650, 0750, 0850</w:t>
            </w:r>
          </w:p>
        </w:tc>
        <w:tc>
          <w:tcPr>
            <w:tcW w:w="8079" w:type="dxa"/>
          </w:tcPr>
          <w:p w14:paraId="7C8B89AF"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Maximálna samostatná strata</w:t>
            </w:r>
          </w:p>
          <w:p w14:paraId="102DF4F7" w14:textId="6BFDDC6A" w:rsidR="00235D9D" w:rsidRPr="00D85C65" w:rsidRDefault="00FD54FC">
            <w:pPr>
              <w:rPr>
                <w:rFonts w:ascii="Times New Roman" w:hAnsi="Times New Roman"/>
                <w:sz w:val="24"/>
              </w:rPr>
            </w:pPr>
            <w:r w:rsidRPr="00D85C65">
              <w:rPr>
                <w:rFonts w:ascii="Times New Roman" w:hAnsi="Times New Roman"/>
                <w:sz w:val="24"/>
              </w:rPr>
              <w:t>Maximálna samostatná strata je vyššia</w:t>
            </w:r>
            <w:r w:rsidR="00D85C65">
              <w:rPr>
                <w:rFonts w:ascii="Times New Roman" w:hAnsi="Times New Roman"/>
                <w:sz w:val="24"/>
              </w:rPr>
              <w:t xml:space="preserve"> z </w:t>
            </w:r>
            <w:r w:rsidRPr="00D85C65">
              <w:rPr>
                <w:rFonts w:ascii="Times New Roman" w:hAnsi="Times New Roman"/>
                <w:sz w:val="24"/>
              </w:rPr>
              <w:t>týchto hodnôt:</w:t>
            </w:r>
          </w:p>
          <w:p w14:paraId="4E1B5AE8" w14:textId="5623FEDD"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t>i)</w:t>
            </w:r>
            <w:r w:rsidRPr="00D85C65">
              <w:rPr>
                <w:rFonts w:ascii="Times New Roman" w:hAnsi="Times New Roman"/>
                <w:sz w:val="24"/>
              </w:rPr>
              <w:tab/>
              <w:t>najvyššej sumy hrubej straty súvisiacej so stratovou udalosťou vykázanou prvýkrát počas referenčného obdobia vykazovania; a</w:t>
            </w:r>
          </w:p>
          <w:p w14:paraId="0A7B5272" w14:textId="4FE70A3F"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highlight w:val="yellow"/>
              </w:rPr>
              <w:t>ii)</w:t>
            </w:r>
            <w:r w:rsidRPr="00D85C65">
              <w:rPr>
                <w:rFonts w:ascii="Times New Roman" w:hAnsi="Times New Roman"/>
                <w:sz w:val="24"/>
                <w:highlight w:val="yellow"/>
              </w:rPr>
              <w:tab/>
              <w:t>najvyššej sumy kladnej stratovej úpravy (ako sa uvádza</w:t>
            </w:r>
            <w:r w:rsidR="00D85C65">
              <w:rPr>
                <w:rFonts w:ascii="Times New Roman" w:hAnsi="Times New Roman"/>
                <w:sz w:val="24"/>
                <w:highlight w:val="yellow"/>
              </w:rPr>
              <w:t xml:space="preserve"> v </w:t>
            </w:r>
            <w:r w:rsidRPr="00D85C65">
              <w:rPr>
                <w:rFonts w:ascii="Times New Roman" w:hAnsi="Times New Roman"/>
                <w:sz w:val="24"/>
                <w:highlight w:val="yellow"/>
              </w:rPr>
              <w:t>riadkoch 0040, 0140, …, 0840 vyššie)</w:t>
            </w:r>
            <w:r w:rsidR="00D85C65">
              <w:rPr>
                <w:rFonts w:ascii="Times New Roman" w:hAnsi="Times New Roman"/>
                <w:sz w:val="24"/>
                <w:highlight w:val="yellow"/>
              </w:rPr>
              <w:t xml:space="preserve"> v </w:t>
            </w:r>
            <w:r w:rsidRPr="00D85C65">
              <w:rPr>
                <w:rFonts w:ascii="Times New Roman" w:hAnsi="Times New Roman"/>
                <w:sz w:val="24"/>
                <w:highlight w:val="yellow"/>
              </w:rPr>
              <w:t>súvislosti so stratovou udalosťou vykázanou prvýkrát počas predchádzajúceho referenčného obdobia vykazovania.</w:t>
            </w:r>
          </w:p>
          <w:p w14:paraId="3816A2ED" w14:textId="1AF42AAC" w:rsidR="00235D9D" w:rsidRPr="00D85C65" w:rsidRDefault="00FD54FC">
            <w:pPr>
              <w:rPr>
                <w:sz w:val="24"/>
              </w:rPr>
            </w:pPr>
            <w:r w:rsidRPr="00D85C65">
              <w:rPr>
                <w:rFonts w:ascii="Times New Roman" w:hAnsi="Times New Roman"/>
                <w:sz w:val="24"/>
              </w:rPr>
              <w:t>Hodnoty, ktoré sa majú vykázať, nezohľadňujú získané náhrady.</w:t>
            </w:r>
          </w:p>
        </w:tc>
      </w:tr>
      <w:tr w:rsidR="00235D9D" w:rsidRPr="00D85C65" w14:paraId="4B199E8D" w14:textId="77777777" w:rsidTr="00672D2A">
        <w:tc>
          <w:tcPr>
            <w:tcW w:w="1101" w:type="dxa"/>
          </w:tcPr>
          <w:p w14:paraId="44F8BA7E" w14:textId="77777777" w:rsidR="00235D9D" w:rsidRPr="00D85C65" w:rsidRDefault="00C93FC2">
            <w:pPr>
              <w:rPr>
                <w:rFonts w:ascii="Times New Roman" w:hAnsi="Times New Roman"/>
                <w:bCs/>
                <w:sz w:val="24"/>
              </w:rPr>
            </w:pPr>
            <w:r w:rsidRPr="00D85C65">
              <w:rPr>
                <w:rFonts w:ascii="Times New Roman" w:hAnsi="Times New Roman"/>
                <w:bCs/>
                <w:sz w:val="24"/>
              </w:rPr>
              <w:t xml:space="preserve">0060, 0160, 0260, 0360, </w:t>
            </w:r>
            <w:r w:rsidRPr="00D85C65">
              <w:rPr>
                <w:rFonts w:ascii="Times New Roman" w:hAnsi="Times New Roman"/>
                <w:bCs/>
                <w:sz w:val="24"/>
              </w:rPr>
              <w:lastRenderedPageBreak/>
              <w:t>0460, 0560, 0660, 0760, 0860</w:t>
            </w:r>
          </w:p>
        </w:tc>
        <w:tc>
          <w:tcPr>
            <w:tcW w:w="8079" w:type="dxa"/>
          </w:tcPr>
          <w:p w14:paraId="15174573"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lastRenderedPageBreak/>
              <w:t>Súčet piatich najväčších strát</w:t>
            </w:r>
          </w:p>
          <w:p w14:paraId="38CFFFCE" w14:textId="2415CD6C" w:rsidR="00235D9D" w:rsidRPr="00D85C65" w:rsidRDefault="00FD54FC">
            <w:pPr>
              <w:rPr>
                <w:rFonts w:ascii="Times New Roman" w:hAnsi="Times New Roman"/>
                <w:sz w:val="24"/>
              </w:rPr>
            </w:pPr>
            <w:r w:rsidRPr="00D85C65">
              <w:rPr>
                <w:rFonts w:ascii="Times New Roman" w:hAnsi="Times New Roman"/>
                <w:sz w:val="24"/>
              </w:rPr>
              <w:t>Súčet piatich najväčších strát je súčet piatich najväčších súm spomedzi týchto hodnôt:</w:t>
            </w:r>
          </w:p>
          <w:p w14:paraId="1E955010" w14:textId="77777777"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lastRenderedPageBreak/>
              <w:t>i)</w:t>
            </w:r>
            <w:r w:rsidRPr="00D85C65">
              <w:rPr>
                <w:rFonts w:ascii="Times New Roman" w:hAnsi="Times New Roman"/>
                <w:sz w:val="24"/>
              </w:rPr>
              <w:tab/>
              <w:t>výšky hrubej straty pre stratové udalosti vykázané prvýkrát počas referenčného obdobia vykazovania; a</w:t>
            </w:r>
          </w:p>
          <w:p w14:paraId="612D4190" w14:textId="132D303D" w:rsidR="00235D9D" w:rsidRPr="00D85C65" w:rsidRDefault="00FD54FC">
            <w:pPr>
              <w:tabs>
                <w:tab w:val="left" w:pos="459"/>
              </w:tabs>
              <w:ind w:left="459" w:hanging="459"/>
              <w:rPr>
                <w:rFonts w:ascii="Times New Roman" w:hAnsi="Times New Roman"/>
                <w:sz w:val="24"/>
              </w:rPr>
            </w:pPr>
            <w:r w:rsidRPr="00D85C65">
              <w:rPr>
                <w:rFonts w:ascii="Times New Roman" w:hAnsi="Times New Roman"/>
                <w:sz w:val="24"/>
              </w:rPr>
              <w:t>ii)</w:t>
            </w:r>
            <w:r w:rsidRPr="00D85C65">
              <w:rPr>
                <w:rFonts w:ascii="Times New Roman" w:hAnsi="Times New Roman"/>
                <w:sz w:val="24"/>
              </w:rPr>
              <w:tab/>
              <w:t>hodnôt kladných stratových úprav (v zmysle vymedzenia pre riadky 0040, 0140, ..., 0840 vyššie)</w:t>
            </w:r>
            <w:r w:rsidR="00D85C65">
              <w:rPr>
                <w:rFonts w:ascii="Times New Roman" w:hAnsi="Times New Roman"/>
                <w:sz w:val="24"/>
              </w:rPr>
              <w:t xml:space="preserve"> v </w:t>
            </w:r>
            <w:r w:rsidRPr="00D85C65">
              <w:rPr>
                <w:rFonts w:ascii="Times New Roman" w:hAnsi="Times New Roman"/>
                <w:sz w:val="24"/>
              </w:rPr>
              <w:t>súvislosti so stratovými udalosťami vykázanými prvýkrát počas predchádzajúceho referenčného obdobia vykazovania. Suma, ktorá sa môže považovať za jednu</w:t>
            </w:r>
            <w:r w:rsidR="00D85C65">
              <w:rPr>
                <w:rFonts w:ascii="Times New Roman" w:hAnsi="Times New Roman"/>
                <w:sz w:val="24"/>
              </w:rPr>
              <w:t xml:space="preserve"> z </w:t>
            </w:r>
            <w:r w:rsidRPr="00D85C65">
              <w:rPr>
                <w:rFonts w:ascii="Times New Roman" w:hAnsi="Times New Roman"/>
                <w:sz w:val="24"/>
              </w:rPr>
              <w:t>piatich najvyšších, je suma samotnej stratovej úpravy, nie celková strata spojená</w:t>
            </w:r>
            <w:r w:rsidR="00D85C65">
              <w:rPr>
                <w:rFonts w:ascii="Times New Roman" w:hAnsi="Times New Roman"/>
                <w:sz w:val="24"/>
              </w:rPr>
              <w:t xml:space="preserve"> s </w:t>
            </w:r>
            <w:r w:rsidRPr="00D85C65">
              <w:rPr>
                <w:rFonts w:ascii="Times New Roman" w:hAnsi="Times New Roman"/>
                <w:sz w:val="24"/>
              </w:rPr>
              <w:t>príslušnou stratovou udalosťou pred stratovou úpravou alebo po nej.</w:t>
            </w:r>
          </w:p>
          <w:p w14:paraId="203923A8" w14:textId="1F4A1F8D" w:rsidR="00235D9D" w:rsidRPr="00D85C65" w:rsidRDefault="00FD54FC">
            <w:pPr>
              <w:rPr>
                <w:sz w:val="24"/>
              </w:rPr>
            </w:pPr>
            <w:r w:rsidRPr="00D85C65">
              <w:rPr>
                <w:rFonts w:ascii="Times New Roman" w:hAnsi="Times New Roman"/>
                <w:sz w:val="24"/>
              </w:rPr>
              <w:t>Hodnoty, ktoré sa majú vykázať, nezohľadňujú získané náhrady.</w:t>
            </w:r>
          </w:p>
        </w:tc>
      </w:tr>
      <w:tr w:rsidR="00235D9D" w:rsidRPr="00D85C65" w14:paraId="413941A3" w14:textId="77777777" w:rsidTr="00672D2A">
        <w:tc>
          <w:tcPr>
            <w:tcW w:w="1101" w:type="dxa"/>
          </w:tcPr>
          <w:p w14:paraId="30E45BBE" w14:textId="77777777" w:rsidR="00235D9D" w:rsidRPr="00D85C65" w:rsidRDefault="00C93FC2">
            <w:pPr>
              <w:rPr>
                <w:rFonts w:ascii="Times New Roman" w:hAnsi="Times New Roman"/>
                <w:bCs/>
                <w:sz w:val="24"/>
              </w:rPr>
            </w:pPr>
            <w:r w:rsidRPr="00D85C65">
              <w:rPr>
                <w:rFonts w:ascii="Times New Roman" w:hAnsi="Times New Roman"/>
                <w:bCs/>
                <w:sz w:val="24"/>
              </w:rPr>
              <w:lastRenderedPageBreak/>
              <w:t>0070, 0170, 0270, 0370, 0470, 0570, 0670, 0770, 0870</w:t>
            </w:r>
          </w:p>
        </w:tc>
        <w:tc>
          <w:tcPr>
            <w:tcW w:w="8079" w:type="dxa"/>
          </w:tcPr>
          <w:p w14:paraId="43A05DAB" w14:textId="77777777" w:rsidR="00235D9D" w:rsidRPr="00D85C65" w:rsidRDefault="00B34B0B">
            <w:pPr>
              <w:rPr>
                <w:sz w:val="24"/>
              </w:rPr>
            </w:pPr>
            <w:r w:rsidRPr="00D85C65">
              <w:rPr>
                <w:rStyle w:val="InstructionsTabelleberschrift"/>
                <w:rFonts w:ascii="Times New Roman" w:hAnsi="Times New Roman"/>
                <w:sz w:val="24"/>
              </w:rPr>
              <w:t>Celkové priame náhrady straty</w:t>
            </w:r>
          </w:p>
          <w:p w14:paraId="73A22E69" w14:textId="5581CEF5" w:rsidR="00D85C65" w:rsidRDefault="00FD54FC">
            <w:pPr>
              <w:rPr>
                <w:rFonts w:ascii="Times New Roman" w:hAnsi="Times New Roman"/>
                <w:sz w:val="24"/>
              </w:rPr>
            </w:pPr>
            <w:r w:rsidRPr="00D85C65">
              <w:rPr>
                <w:rFonts w:ascii="Times New Roman" w:hAnsi="Times New Roman"/>
                <w:sz w:val="24"/>
              </w:rPr>
              <w:t>Priame náhrady straty sú všetky získané náhrady straty okrem tých, na ktoré sa vzťahuje článok 323 CRR, ako je uvedené</w:t>
            </w:r>
            <w:r w:rsidR="00D85C65">
              <w:rPr>
                <w:rFonts w:ascii="Times New Roman" w:hAnsi="Times New Roman"/>
                <w:sz w:val="24"/>
              </w:rPr>
              <w:t xml:space="preserve"> v </w:t>
            </w:r>
            <w:r w:rsidRPr="00D85C65">
              <w:rPr>
                <w:rFonts w:ascii="Times New Roman" w:hAnsi="Times New Roman"/>
                <w:sz w:val="24"/>
              </w:rPr>
              <w:t>riadku nižšie tejto tabuľky</w:t>
            </w:r>
            <w:r w:rsidR="00D85C65">
              <w:rPr>
                <w:rFonts w:ascii="Times New Roman" w:hAnsi="Times New Roman"/>
                <w:sz w:val="24"/>
              </w:rPr>
              <w:t>.</w:t>
            </w:r>
          </w:p>
          <w:p w14:paraId="0C7D6285" w14:textId="5C409190" w:rsidR="00235D9D" w:rsidRPr="00D85C65" w:rsidRDefault="00FD54FC">
            <w:pPr>
              <w:rPr>
                <w:b/>
                <w:sz w:val="24"/>
              </w:rPr>
            </w:pPr>
            <w:r w:rsidRPr="00D85C65">
              <w:rPr>
                <w:rFonts w:ascii="Times New Roman" w:hAnsi="Times New Roman"/>
                <w:sz w:val="24"/>
              </w:rPr>
              <w:t>Celkové priame náhrady straty sú súčtom všetkých priamych náhrad</w:t>
            </w:r>
            <w:r w:rsidR="00D85C65">
              <w:rPr>
                <w:rFonts w:ascii="Times New Roman" w:hAnsi="Times New Roman"/>
                <w:sz w:val="24"/>
              </w:rPr>
              <w:t xml:space="preserve"> a </w:t>
            </w:r>
            <w:r w:rsidRPr="00D85C65">
              <w:rPr>
                <w:rFonts w:ascii="Times New Roman" w:hAnsi="Times New Roman"/>
                <w:sz w:val="24"/>
              </w:rPr>
              <w:t>úprav priamych náhrad zaúčtovaných počas obdobia vykazovania</w:t>
            </w:r>
            <w:r w:rsidR="00D85C65">
              <w:rPr>
                <w:rFonts w:ascii="Times New Roman" w:hAnsi="Times New Roman"/>
                <w:sz w:val="24"/>
              </w:rPr>
              <w:t xml:space="preserve"> a </w:t>
            </w:r>
            <w:r w:rsidRPr="00D85C65">
              <w:rPr>
                <w:rFonts w:ascii="Times New Roman" w:hAnsi="Times New Roman"/>
                <w:sz w:val="24"/>
              </w:rPr>
              <w:t>súvisiacich so stratovými udalosťami operačného rizika zaúčtovanými prvýkrát počas obdobia vykazovania alebo</w:t>
            </w:r>
            <w:r w:rsidR="00D85C65">
              <w:rPr>
                <w:rFonts w:ascii="Times New Roman" w:hAnsi="Times New Roman"/>
                <w:sz w:val="24"/>
              </w:rPr>
              <w:t xml:space="preserve"> v </w:t>
            </w:r>
            <w:r w:rsidRPr="00D85C65">
              <w:rPr>
                <w:rFonts w:ascii="Times New Roman" w:hAnsi="Times New Roman"/>
                <w:sz w:val="24"/>
              </w:rPr>
              <w:t>predchádzajúcich referenčných obdobiach vykazovania.</w:t>
            </w:r>
          </w:p>
        </w:tc>
      </w:tr>
      <w:tr w:rsidR="00235D9D" w:rsidRPr="00D85C65" w14:paraId="05698663" w14:textId="77777777" w:rsidTr="00672D2A">
        <w:tc>
          <w:tcPr>
            <w:tcW w:w="1101" w:type="dxa"/>
          </w:tcPr>
          <w:p w14:paraId="4C97E254" w14:textId="77777777" w:rsidR="00235D9D" w:rsidRPr="00D85C65" w:rsidRDefault="00C93FC2">
            <w:pPr>
              <w:rPr>
                <w:rFonts w:ascii="Times New Roman" w:hAnsi="Times New Roman"/>
                <w:bCs/>
                <w:sz w:val="24"/>
              </w:rPr>
            </w:pPr>
            <w:r w:rsidRPr="00D85C65">
              <w:rPr>
                <w:rFonts w:ascii="Times New Roman" w:hAnsi="Times New Roman"/>
                <w:bCs/>
                <w:sz w:val="24"/>
              </w:rPr>
              <w:t>0080, 0180, 0</w:t>
            </w:r>
            <w:r w:rsidRPr="00D85C65">
              <w:rPr>
                <w:rFonts w:ascii="Times New Roman" w:hAnsi="Times New Roman"/>
                <w:sz w:val="24"/>
              </w:rPr>
              <w:t>280</w:t>
            </w:r>
            <w:r w:rsidRPr="00D85C65">
              <w:rPr>
                <w:rFonts w:ascii="Times New Roman" w:hAnsi="Times New Roman"/>
                <w:bCs/>
                <w:sz w:val="24"/>
              </w:rPr>
              <w:t>, 0380, 0480, 0580, 0680, 0780, 0880</w:t>
            </w:r>
          </w:p>
        </w:tc>
        <w:tc>
          <w:tcPr>
            <w:tcW w:w="8079" w:type="dxa"/>
          </w:tcPr>
          <w:p w14:paraId="79D2A1BB" w14:textId="5EAF95EC"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Celkové náhrady</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poistenia</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iných mechanizmov presunu rizika</w:t>
            </w:r>
          </w:p>
          <w:p w14:paraId="0DDBD365" w14:textId="4796D21C" w:rsidR="00D85C65" w:rsidRDefault="00FD54FC">
            <w:pPr>
              <w:rPr>
                <w:rFonts w:ascii="Times New Roman" w:hAnsi="Times New Roman"/>
                <w:sz w:val="24"/>
              </w:rPr>
            </w:pPr>
            <w:r w:rsidRPr="00D85C65">
              <w:rPr>
                <w:rFonts w:ascii="Times New Roman" w:hAnsi="Times New Roman"/>
                <w:sz w:val="24"/>
              </w:rPr>
              <w:t>Náhrady</w:t>
            </w:r>
            <w:r w:rsidR="00D85C65">
              <w:rPr>
                <w:rFonts w:ascii="Times New Roman" w:hAnsi="Times New Roman"/>
                <w:sz w:val="24"/>
              </w:rPr>
              <w:t xml:space="preserve"> z </w:t>
            </w:r>
            <w:r w:rsidRPr="00D85C65">
              <w:rPr>
                <w:rFonts w:ascii="Times New Roman" w:hAnsi="Times New Roman"/>
                <w:sz w:val="24"/>
              </w:rPr>
              <w:t>poistenia</w:t>
            </w:r>
            <w:r w:rsidR="00D85C65">
              <w:rPr>
                <w:rFonts w:ascii="Times New Roman" w:hAnsi="Times New Roman"/>
                <w:sz w:val="24"/>
              </w:rPr>
              <w:t xml:space="preserve"> a </w:t>
            </w:r>
            <w:r w:rsidRPr="00D85C65">
              <w:rPr>
                <w:rFonts w:ascii="Times New Roman" w:hAnsi="Times New Roman"/>
                <w:sz w:val="24"/>
              </w:rPr>
              <w:t>iných mechanizmov presunu rizika sú tie náhrady, na ktoré sa vzťahuje článok 323 CRR</w:t>
            </w:r>
            <w:r w:rsidR="00D85C65">
              <w:rPr>
                <w:rFonts w:ascii="Times New Roman" w:hAnsi="Times New Roman"/>
                <w:sz w:val="24"/>
              </w:rPr>
              <w:t>.</w:t>
            </w:r>
          </w:p>
          <w:p w14:paraId="52FE6B5C" w14:textId="722795CE" w:rsidR="00235D9D" w:rsidRPr="00D85C65" w:rsidRDefault="00FD54FC">
            <w:pPr>
              <w:rPr>
                <w:sz w:val="24"/>
              </w:rPr>
            </w:pPr>
            <w:r w:rsidRPr="00D85C65">
              <w:rPr>
                <w:rFonts w:ascii="Times New Roman" w:hAnsi="Times New Roman"/>
                <w:sz w:val="24"/>
              </w:rPr>
              <w:t>Celkové náhrady</w:t>
            </w:r>
            <w:r w:rsidR="00D85C65">
              <w:rPr>
                <w:rFonts w:ascii="Times New Roman" w:hAnsi="Times New Roman"/>
                <w:sz w:val="24"/>
              </w:rPr>
              <w:t xml:space="preserve"> z </w:t>
            </w:r>
            <w:r w:rsidRPr="00D85C65">
              <w:rPr>
                <w:rFonts w:ascii="Times New Roman" w:hAnsi="Times New Roman"/>
                <w:sz w:val="24"/>
              </w:rPr>
              <w:t>poistenia</w:t>
            </w:r>
            <w:r w:rsidR="00D85C65">
              <w:rPr>
                <w:rFonts w:ascii="Times New Roman" w:hAnsi="Times New Roman"/>
                <w:sz w:val="24"/>
              </w:rPr>
              <w:t xml:space="preserve"> a </w:t>
            </w:r>
            <w:r w:rsidRPr="00D85C65">
              <w:rPr>
                <w:rFonts w:ascii="Times New Roman" w:hAnsi="Times New Roman"/>
                <w:sz w:val="24"/>
              </w:rPr>
              <w:t>iných mechanizmov presunu rizika sú súčtom všetkých náhrad</w:t>
            </w:r>
            <w:r w:rsidR="00D85C65">
              <w:rPr>
                <w:rFonts w:ascii="Times New Roman" w:hAnsi="Times New Roman"/>
                <w:sz w:val="24"/>
              </w:rPr>
              <w:t xml:space="preserve"> z </w:t>
            </w:r>
            <w:r w:rsidRPr="00D85C65">
              <w:rPr>
                <w:rFonts w:ascii="Times New Roman" w:hAnsi="Times New Roman"/>
                <w:sz w:val="24"/>
              </w:rPr>
              <w:t>poistenia</w:t>
            </w:r>
            <w:r w:rsidR="00D85C65">
              <w:rPr>
                <w:rFonts w:ascii="Times New Roman" w:hAnsi="Times New Roman"/>
                <w:sz w:val="24"/>
              </w:rPr>
              <w:t xml:space="preserve"> a </w:t>
            </w:r>
            <w:r w:rsidRPr="00D85C65">
              <w:rPr>
                <w:rFonts w:ascii="Times New Roman" w:hAnsi="Times New Roman"/>
                <w:sz w:val="24"/>
              </w:rPr>
              <w:t>iných mechanizmov presunu rizika</w:t>
            </w:r>
            <w:r w:rsidR="00D85C65">
              <w:rPr>
                <w:rFonts w:ascii="Times New Roman" w:hAnsi="Times New Roman"/>
                <w:sz w:val="24"/>
              </w:rPr>
              <w:t xml:space="preserve"> a </w:t>
            </w:r>
            <w:r w:rsidRPr="00D85C65">
              <w:rPr>
                <w:rFonts w:ascii="Times New Roman" w:hAnsi="Times New Roman"/>
                <w:sz w:val="24"/>
              </w:rPr>
              <w:t>úprav takýchto náhrad zaúčtovaných počas obdobia vykazovania</w:t>
            </w:r>
            <w:r w:rsidR="00D85C65">
              <w:rPr>
                <w:rFonts w:ascii="Times New Roman" w:hAnsi="Times New Roman"/>
                <w:sz w:val="24"/>
              </w:rPr>
              <w:t xml:space="preserve"> a </w:t>
            </w:r>
            <w:r w:rsidRPr="00D85C65">
              <w:rPr>
                <w:rFonts w:ascii="Times New Roman" w:hAnsi="Times New Roman"/>
                <w:sz w:val="24"/>
              </w:rPr>
              <w:t>súvisiacich so stratovými udalosťami operačného rizika zaúčtovanými prvýkrát počas obdobia vykazovania alebo</w:t>
            </w:r>
            <w:r w:rsidR="00D85C65">
              <w:rPr>
                <w:rFonts w:ascii="Times New Roman" w:hAnsi="Times New Roman"/>
                <w:sz w:val="24"/>
              </w:rPr>
              <w:t xml:space="preserve"> v </w:t>
            </w:r>
            <w:r w:rsidRPr="00D85C65">
              <w:rPr>
                <w:rFonts w:ascii="Times New Roman" w:hAnsi="Times New Roman"/>
                <w:sz w:val="24"/>
              </w:rPr>
              <w:t>predchádzajúcich referenčných obdobiach vykazovania.</w:t>
            </w:r>
          </w:p>
        </w:tc>
      </w:tr>
      <w:tr w:rsidR="00235D9D" w:rsidRPr="00D85C65" w14:paraId="1D4EE1B2" w14:textId="77777777" w:rsidTr="00672D2A">
        <w:tc>
          <w:tcPr>
            <w:tcW w:w="1101" w:type="dxa"/>
          </w:tcPr>
          <w:p w14:paraId="3C552EE6" w14:textId="77777777" w:rsidR="00235D9D" w:rsidRPr="00D85C65" w:rsidRDefault="00C93FC2">
            <w:pPr>
              <w:rPr>
                <w:rFonts w:ascii="Times New Roman" w:hAnsi="Times New Roman"/>
                <w:bCs/>
                <w:sz w:val="24"/>
              </w:rPr>
            </w:pPr>
            <w:r w:rsidRPr="00D85C65">
              <w:rPr>
                <w:rFonts w:ascii="Times New Roman" w:hAnsi="Times New Roman"/>
                <w:sz w:val="24"/>
              </w:rPr>
              <w:t>0910</w:t>
            </w:r>
            <w:r w:rsidRPr="00D85C65">
              <w:rPr>
                <w:rFonts w:ascii="Times New Roman" w:hAnsi="Times New Roman"/>
                <w:bCs/>
                <w:sz w:val="24"/>
              </w:rPr>
              <w:t xml:space="preserve"> – 0980</w:t>
            </w:r>
          </w:p>
        </w:tc>
        <w:tc>
          <w:tcPr>
            <w:tcW w:w="8079" w:type="dxa"/>
          </w:tcPr>
          <w:p w14:paraId="2AF50A78"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CELKOVÉ OBCHODNÉ LÍNIE</w:t>
            </w:r>
          </w:p>
          <w:p w14:paraId="159F5A10" w14:textId="24F1A46A" w:rsidR="00235D9D" w:rsidRPr="00D85C65" w:rsidRDefault="00FD54FC">
            <w:pPr>
              <w:rPr>
                <w:rFonts w:ascii="Times New Roman" w:hAnsi="Times New Roman"/>
                <w:sz w:val="24"/>
              </w:rPr>
            </w:pPr>
            <w:r w:rsidRPr="00D85C65">
              <w:rPr>
                <w:rFonts w:ascii="Times New Roman" w:hAnsi="Times New Roman"/>
                <w:sz w:val="24"/>
              </w:rPr>
              <w:t>Pre každý druh stratovej udalosti (stĺpce 0010 až 0080) sa musia vykazovať informácie</w:t>
            </w:r>
            <w:r w:rsidR="00D85C65">
              <w:rPr>
                <w:rFonts w:ascii="Times New Roman" w:hAnsi="Times New Roman"/>
                <w:sz w:val="24"/>
              </w:rPr>
              <w:t xml:space="preserve"> o </w:t>
            </w:r>
            <w:r w:rsidRPr="00D85C65">
              <w:rPr>
                <w:rFonts w:ascii="Times New Roman" w:hAnsi="Times New Roman"/>
                <w:sz w:val="24"/>
              </w:rPr>
              <w:t>celkových obchodných líniách.</w:t>
            </w:r>
          </w:p>
        </w:tc>
      </w:tr>
      <w:tr w:rsidR="00235D9D" w:rsidRPr="00D85C65" w14:paraId="52871EAA" w14:textId="77777777" w:rsidTr="00672D2A">
        <w:tc>
          <w:tcPr>
            <w:tcW w:w="1101" w:type="dxa"/>
          </w:tcPr>
          <w:p w14:paraId="763520E2" w14:textId="77777777" w:rsidR="00235D9D" w:rsidRPr="00D85C65" w:rsidRDefault="00C93FC2">
            <w:pPr>
              <w:rPr>
                <w:rFonts w:ascii="Times New Roman" w:hAnsi="Times New Roman"/>
                <w:bCs/>
                <w:sz w:val="24"/>
              </w:rPr>
            </w:pPr>
            <w:r w:rsidRPr="00D85C65">
              <w:rPr>
                <w:rFonts w:ascii="Times New Roman" w:hAnsi="Times New Roman"/>
                <w:bCs/>
                <w:sz w:val="24"/>
              </w:rPr>
              <w:t>0910 – 0914</w:t>
            </w:r>
          </w:p>
        </w:tc>
        <w:tc>
          <w:tcPr>
            <w:tcW w:w="8079" w:type="dxa"/>
          </w:tcPr>
          <w:p w14:paraId="6F3B7948" w14:textId="0F1C3828"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Počet stratových udalostí</w:t>
            </w:r>
          </w:p>
          <w:p w14:paraId="57A8B0AC" w14:textId="1E9AEE80" w:rsidR="00235D9D" w:rsidRPr="00D85C65" w:rsidRDefault="00FD54FC">
            <w:pPr>
              <w:rPr>
                <w:rFonts w:ascii="Times New Roman" w:hAnsi="Times New Roman"/>
                <w:sz w:val="24"/>
              </w:rPr>
            </w:pPr>
            <w:r w:rsidRPr="00D85C65">
              <w:rPr>
                <w:rFonts w:ascii="Times New Roman" w:hAnsi="Times New Roman"/>
                <w:sz w:val="24"/>
              </w:rPr>
              <w:t>V riadku 0910 sa vykazuje počet stratových udalostí nad internou prahovou hodnotou podľa druhov stratových udalostí pre celkové obchodné línie. Tento údaj môže byť nižší než súhrn počtu stratových udalostí podľa obchodných línií, keďže stratové udalosti</w:t>
            </w:r>
            <w:r w:rsidR="00D85C65">
              <w:rPr>
                <w:rFonts w:ascii="Times New Roman" w:hAnsi="Times New Roman"/>
                <w:sz w:val="24"/>
              </w:rPr>
              <w:t xml:space="preserve"> s </w:t>
            </w:r>
            <w:r w:rsidRPr="00D85C65">
              <w:rPr>
                <w:rFonts w:ascii="Times New Roman" w:hAnsi="Times New Roman"/>
                <w:sz w:val="24"/>
              </w:rPr>
              <w:t>viacnásobným dosahom (dosah vo viacerých obchodných líniách) sa považujú za jednu udalosť. Môže byť vyšší, ak inštitúcia, ktorá vypočítava svoje požiadavky na vlastné zdroje podľa BIA, nedokáže</w:t>
            </w:r>
            <w:r w:rsidR="00D85C65">
              <w:rPr>
                <w:rFonts w:ascii="Times New Roman" w:hAnsi="Times New Roman"/>
                <w:sz w:val="24"/>
              </w:rPr>
              <w:t xml:space="preserve"> v </w:t>
            </w:r>
            <w:r w:rsidRPr="00D85C65">
              <w:rPr>
                <w:rFonts w:ascii="Times New Roman" w:hAnsi="Times New Roman"/>
                <w:sz w:val="24"/>
              </w:rPr>
              <w:t>každom prípade identifikovať obchodnú líniu/obchodné línie ovplyvnené stratou.</w:t>
            </w:r>
          </w:p>
          <w:p w14:paraId="7D8E9783" w14:textId="3E7A9A2D" w:rsidR="00235D9D" w:rsidRPr="00D85C65" w:rsidRDefault="00FD54FC">
            <w:pPr>
              <w:rPr>
                <w:rFonts w:ascii="Times New Roman" w:hAnsi="Times New Roman"/>
                <w:sz w:val="24"/>
              </w:rPr>
            </w:pPr>
            <w:r w:rsidRPr="00D85C65">
              <w:rPr>
                <w:rFonts w:ascii="Times New Roman" w:hAnsi="Times New Roman"/>
                <w:sz w:val="24"/>
              </w:rPr>
              <w:t>V riadkoch 0911 až 0914 sa vykazuje počet stratových udalostí</w:t>
            </w:r>
            <w:r w:rsidR="00D85C65">
              <w:rPr>
                <w:rFonts w:ascii="Times New Roman" w:hAnsi="Times New Roman"/>
                <w:sz w:val="24"/>
              </w:rPr>
              <w:t xml:space="preserve"> s </w:t>
            </w:r>
            <w:r w:rsidRPr="00D85C65">
              <w:rPr>
                <w:rFonts w:ascii="Times New Roman" w:hAnsi="Times New Roman"/>
                <w:sz w:val="24"/>
              </w:rPr>
              <w:t>výškou hrubej straty</w:t>
            </w:r>
            <w:r w:rsidR="00D85C65">
              <w:rPr>
                <w:rFonts w:ascii="Times New Roman" w:hAnsi="Times New Roman"/>
                <w:sz w:val="24"/>
              </w:rPr>
              <w:t xml:space="preserve"> v </w:t>
            </w:r>
            <w:r w:rsidRPr="00D85C65">
              <w:rPr>
                <w:rFonts w:ascii="Times New Roman" w:hAnsi="Times New Roman"/>
                <w:sz w:val="24"/>
              </w:rPr>
              <w:t>rozpätiach vymedzených</w:t>
            </w:r>
            <w:r w:rsidR="00D85C65">
              <w:rPr>
                <w:rFonts w:ascii="Times New Roman" w:hAnsi="Times New Roman"/>
                <w:sz w:val="24"/>
              </w:rPr>
              <w:t xml:space="preserve"> v </w:t>
            </w:r>
            <w:r w:rsidRPr="00D85C65">
              <w:rPr>
                <w:rFonts w:ascii="Times New Roman" w:hAnsi="Times New Roman"/>
                <w:sz w:val="24"/>
              </w:rPr>
              <w:t>príslušných riadkoch vzoru.</w:t>
            </w:r>
          </w:p>
          <w:p w14:paraId="62578568" w14:textId="548EE0D7" w:rsidR="00235D9D" w:rsidRPr="00D85C65" w:rsidRDefault="00FD54FC">
            <w:pPr>
              <w:rPr>
                <w:rFonts w:ascii="Times New Roman" w:hAnsi="Times New Roman"/>
                <w:sz w:val="24"/>
              </w:rPr>
            </w:pPr>
            <w:r w:rsidRPr="00D85C65">
              <w:rPr>
                <w:rFonts w:ascii="Times New Roman" w:hAnsi="Times New Roman"/>
                <w:sz w:val="24"/>
              </w:rPr>
              <w:t>Za predpokladu, že inštitúcia zaradila všetky svoje straty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 xml:space="preserve">článku 322 ods. 3 písm. b) CRR, resp. že </w:t>
            </w:r>
            <w:r w:rsidRPr="00D85C65">
              <w:rPr>
                <w:rFonts w:ascii="Times New Roman" w:hAnsi="Times New Roman"/>
                <w:sz w:val="24"/>
              </w:rPr>
              <w:lastRenderedPageBreak/>
              <w:t>identifikovala druhy stratových udalostí pre všetky straty, pre stĺpec 080 podľa príslušného prípadu platí:</w:t>
            </w:r>
          </w:p>
          <w:p w14:paraId="52A5DAB2" w14:textId="77AF013C" w:rsidR="00235D9D" w:rsidRPr="00D85C65" w:rsidRDefault="00125707">
            <w:pPr>
              <w:ind w:left="360" w:hanging="360"/>
              <w:rPr>
                <w:rFonts w:ascii="Times New Roman" w:hAnsi="Times New Roman"/>
                <w:sz w:val="24"/>
              </w:rPr>
            </w:pPr>
            <w:r w:rsidRPr="00D85C65">
              <w:rPr>
                <w:rFonts w:ascii="Times New Roman" w:hAnsi="Times New Roman"/>
                <w:sz w:val="24"/>
              </w:rPr>
              <w:t>–</w:t>
            </w:r>
            <w:r w:rsidRPr="00D85C65">
              <w:rPr>
                <w:rFonts w:ascii="Times New Roman" w:hAnsi="Times New Roman"/>
                <w:sz w:val="24"/>
              </w:rPr>
              <w:tab/>
              <w:t>Celkový počet stratových udalostí vykázaný</w:t>
            </w:r>
            <w:r w:rsidR="00D85C65">
              <w:rPr>
                <w:rFonts w:ascii="Times New Roman" w:hAnsi="Times New Roman"/>
                <w:sz w:val="24"/>
              </w:rPr>
              <w:t xml:space="preserve"> v </w:t>
            </w:r>
            <w:r w:rsidRPr="00D85C65">
              <w:rPr>
                <w:rFonts w:ascii="Times New Roman" w:hAnsi="Times New Roman"/>
                <w:sz w:val="24"/>
              </w:rPr>
              <w:t>riadkoch 0910 až 0914 sa rovná horizontálnemu súhrnu počtu stratových udalostí</w:t>
            </w:r>
            <w:r w:rsidR="00D85C65">
              <w:rPr>
                <w:rFonts w:ascii="Times New Roman" w:hAnsi="Times New Roman"/>
                <w:sz w:val="24"/>
              </w:rPr>
              <w:t xml:space="preserve"> v </w:t>
            </w:r>
            <w:r w:rsidRPr="00D85C65">
              <w:rPr>
                <w:rFonts w:ascii="Times New Roman" w:hAnsi="Times New Roman"/>
                <w:sz w:val="24"/>
              </w:rPr>
              <w:t>zodpovedajúcom riadku, keďže</w:t>
            </w:r>
            <w:r w:rsidR="00D85C65">
              <w:rPr>
                <w:rFonts w:ascii="Times New Roman" w:hAnsi="Times New Roman"/>
                <w:sz w:val="24"/>
              </w:rPr>
              <w:t xml:space="preserve"> v </w:t>
            </w:r>
            <w:r w:rsidRPr="00D85C65">
              <w:rPr>
                <w:rFonts w:ascii="Times New Roman" w:hAnsi="Times New Roman"/>
                <w:sz w:val="24"/>
              </w:rPr>
              <w:t>týchto údajoch sa stratové udalosti</w:t>
            </w:r>
            <w:r w:rsidR="00D85C65">
              <w:rPr>
                <w:rFonts w:ascii="Times New Roman" w:hAnsi="Times New Roman"/>
                <w:sz w:val="24"/>
              </w:rPr>
              <w:t xml:space="preserve"> s </w:t>
            </w:r>
            <w:r w:rsidRPr="00D85C65">
              <w:rPr>
                <w:rFonts w:ascii="Times New Roman" w:hAnsi="Times New Roman"/>
                <w:sz w:val="24"/>
              </w:rPr>
              <w:t>vplyvom na viaceré obchodné línie už považujú za jednu stratovú udalosť.</w:t>
            </w:r>
          </w:p>
          <w:p w14:paraId="3FC3B86E" w14:textId="41F007FE" w:rsidR="00235D9D" w:rsidRPr="00D85C65" w:rsidRDefault="00125707">
            <w:pPr>
              <w:ind w:left="360" w:hanging="360"/>
              <w:rPr>
                <w:rStyle w:val="InstructionsTabelleberschrift"/>
                <w:rFonts w:ascii="Times New Roman" w:hAnsi="Times New Roman"/>
                <w:b w:val="0"/>
                <w:bCs w:val="0"/>
                <w:sz w:val="24"/>
                <w:u w:val="none"/>
              </w:rPr>
            </w:pPr>
            <w:r w:rsidRPr="00D85C65">
              <w:rPr>
                <w:rStyle w:val="InstructionsTabelleberschrift"/>
                <w:rFonts w:ascii="Times New Roman" w:hAnsi="Times New Roman"/>
                <w:b w:val="0"/>
                <w:bCs w:val="0"/>
                <w:sz w:val="24"/>
                <w:u w:val="none"/>
              </w:rPr>
              <w:t>–</w:t>
            </w:r>
            <w:r w:rsidRPr="00D85C65">
              <w:rPr>
                <w:rStyle w:val="InstructionsTabelleberschrift"/>
                <w:rFonts w:ascii="Times New Roman" w:hAnsi="Times New Roman"/>
                <w:b w:val="0"/>
                <w:bCs w:val="0"/>
                <w:sz w:val="24"/>
                <w:u w:val="none"/>
              </w:rPr>
              <w:tab/>
            </w:r>
            <w:r w:rsidRPr="00D85C65">
              <w:rPr>
                <w:rFonts w:ascii="Times New Roman" w:hAnsi="Times New Roman"/>
                <w:sz w:val="24"/>
              </w:rPr>
              <w:t>Údaj vykázaný</w:t>
            </w:r>
            <w:r w:rsidR="00D85C65">
              <w:rPr>
                <w:rFonts w:ascii="Times New Roman" w:hAnsi="Times New Roman"/>
                <w:sz w:val="24"/>
              </w:rPr>
              <w:t xml:space="preserve"> v </w:t>
            </w:r>
            <w:r w:rsidRPr="00D85C65">
              <w:rPr>
                <w:rFonts w:ascii="Times New Roman" w:hAnsi="Times New Roman"/>
                <w:sz w:val="24"/>
              </w:rPr>
              <w:t>stĺpci 0080, riadku 0910 sa nemusí nutne rovnať vertikálnemu súhrnu počtu stratových udalostí, ktoré sú zahrnuté</w:t>
            </w:r>
            <w:r w:rsidR="00D85C65">
              <w:rPr>
                <w:rFonts w:ascii="Times New Roman" w:hAnsi="Times New Roman"/>
                <w:sz w:val="24"/>
              </w:rPr>
              <w:t xml:space="preserve"> v </w:t>
            </w:r>
            <w:r w:rsidRPr="00D85C65">
              <w:rPr>
                <w:rFonts w:ascii="Times New Roman" w:hAnsi="Times New Roman"/>
                <w:sz w:val="24"/>
              </w:rPr>
              <w:t>stĺpci 080, pretože jedna stratová udalosť môže mať súčasne vplyv na viaceré obchodné línie.</w:t>
            </w:r>
          </w:p>
        </w:tc>
      </w:tr>
      <w:tr w:rsidR="00235D9D" w:rsidRPr="00D85C65" w14:paraId="17C91CB1" w14:textId="77777777" w:rsidTr="00672D2A">
        <w:tc>
          <w:tcPr>
            <w:tcW w:w="1101" w:type="dxa"/>
          </w:tcPr>
          <w:p w14:paraId="24B03D45" w14:textId="77777777" w:rsidR="00235D9D" w:rsidRPr="00D85C65" w:rsidRDefault="00C93FC2">
            <w:pPr>
              <w:rPr>
                <w:rFonts w:ascii="Times New Roman" w:hAnsi="Times New Roman"/>
                <w:bCs/>
                <w:sz w:val="24"/>
              </w:rPr>
            </w:pPr>
            <w:r w:rsidRPr="00D85C65">
              <w:rPr>
                <w:rFonts w:ascii="Times New Roman" w:hAnsi="Times New Roman"/>
                <w:bCs/>
                <w:sz w:val="24"/>
              </w:rPr>
              <w:lastRenderedPageBreak/>
              <w:t>0920 – 0924</w:t>
            </w:r>
          </w:p>
        </w:tc>
        <w:tc>
          <w:tcPr>
            <w:tcW w:w="8079" w:type="dxa"/>
          </w:tcPr>
          <w:p w14:paraId="182B4DEB"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Výška hrubej straty (nové stratové udalosti)</w:t>
            </w:r>
          </w:p>
          <w:p w14:paraId="2F174F03" w14:textId="0F36E3E7" w:rsidR="00D85C65" w:rsidRDefault="00FD54FC">
            <w:pPr>
              <w:rPr>
                <w:rFonts w:ascii="Times New Roman" w:hAnsi="Times New Roman"/>
                <w:sz w:val="24"/>
              </w:rPr>
            </w:pPr>
            <w:r w:rsidRPr="00D85C65">
              <w:rPr>
                <w:rFonts w:ascii="Times New Roman" w:hAnsi="Times New Roman"/>
                <w:sz w:val="24"/>
              </w:rPr>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výška hrubej straty (nové stratové udalosti) vykázaná</w:t>
            </w:r>
            <w:r w:rsidR="00D85C65">
              <w:rPr>
                <w:rFonts w:ascii="Times New Roman" w:hAnsi="Times New Roman"/>
                <w:sz w:val="24"/>
              </w:rPr>
              <w:t xml:space="preserve"> v </w:t>
            </w:r>
            <w:r w:rsidRPr="00D85C65">
              <w:rPr>
                <w:rFonts w:ascii="Times New Roman" w:hAnsi="Times New Roman"/>
                <w:sz w:val="24"/>
              </w:rPr>
              <w:t>riadku 0920 je jednoduchý súhrn súm hrubej straty nových stratových udalostí za každú obchodnú líniu</w:t>
            </w:r>
            <w:r w:rsidR="00D85C65">
              <w:rPr>
                <w:rFonts w:ascii="Times New Roman" w:hAnsi="Times New Roman"/>
                <w:sz w:val="24"/>
              </w:rPr>
              <w:t>.</w:t>
            </w:r>
          </w:p>
          <w:p w14:paraId="01543D87" w14:textId="3D0DA03F" w:rsidR="00235D9D" w:rsidRPr="00D85C65" w:rsidRDefault="00FD54FC">
            <w:pPr>
              <w:rPr>
                <w:rStyle w:val="InstructionsTabelleberschrift"/>
                <w:rFonts w:ascii="Times New Roman" w:hAnsi="Times New Roman"/>
                <w:sz w:val="24"/>
              </w:rPr>
            </w:pPr>
            <w:r w:rsidRPr="00D85C65">
              <w:rPr>
                <w:rFonts w:ascii="Times New Roman" w:hAnsi="Times New Roman"/>
                <w:sz w:val="24"/>
              </w:rPr>
              <w:t>V riadkoch 0921 až 0924 sa vykazuje výška hrubej straty pre stratové udalosti</w:t>
            </w:r>
            <w:r w:rsidR="00D85C65">
              <w:rPr>
                <w:rFonts w:ascii="Times New Roman" w:hAnsi="Times New Roman"/>
                <w:sz w:val="24"/>
              </w:rPr>
              <w:t xml:space="preserve"> s </w:t>
            </w:r>
            <w:r w:rsidRPr="00D85C65">
              <w:rPr>
                <w:rFonts w:ascii="Times New Roman" w:hAnsi="Times New Roman"/>
                <w:sz w:val="24"/>
              </w:rPr>
              <w:t>výškou hrubej straty</w:t>
            </w:r>
            <w:r w:rsidR="00D85C65">
              <w:rPr>
                <w:rFonts w:ascii="Times New Roman" w:hAnsi="Times New Roman"/>
                <w:sz w:val="24"/>
              </w:rPr>
              <w:t xml:space="preserve"> v </w:t>
            </w:r>
            <w:r w:rsidRPr="00D85C65">
              <w:rPr>
                <w:rFonts w:ascii="Times New Roman" w:hAnsi="Times New Roman"/>
                <w:sz w:val="24"/>
              </w:rPr>
              <w:t>rozpätiach vymedzených</w:t>
            </w:r>
            <w:r w:rsidR="00D85C65">
              <w:rPr>
                <w:rFonts w:ascii="Times New Roman" w:hAnsi="Times New Roman"/>
                <w:sz w:val="24"/>
              </w:rPr>
              <w:t xml:space="preserve"> v </w:t>
            </w:r>
            <w:r w:rsidRPr="00D85C65">
              <w:rPr>
                <w:rFonts w:ascii="Times New Roman" w:hAnsi="Times New Roman"/>
                <w:sz w:val="24"/>
              </w:rPr>
              <w:t>príslušných riadkoch.</w:t>
            </w:r>
          </w:p>
        </w:tc>
      </w:tr>
      <w:tr w:rsidR="00235D9D" w:rsidRPr="00D85C65" w14:paraId="0F05F6E4" w14:textId="77777777" w:rsidTr="00672D2A">
        <w:tc>
          <w:tcPr>
            <w:tcW w:w="1101" w:type="dxa"/>
          </w:tcPr>
          <w:p w14:paraId="195E7212" w14:textId="77777777" w:rsidR="00235D9D" w:rsidRPr="00D85C65" w:rsidRDefault="00C93FC2">
            <w:pPr>
              <w:rPr>
                <w:rFonts w:ascii="Times New Roman" w:hAnsi="Times New Roman"/>
                <w:bCs/>
                <w:sz w:val="24"/>
              </w:rPr>
            </w:pPr>
            <w:r w:rsidRPr="00D85C65">
              <w:rPr>
                <w:rFonts w:ascii="Times New Roman" w:hAnsi="Times New Roman"/>
                <w:sz w:val="24"/>
              </w:rPr>
              <w:t>0930, 0</w:t>
            </w:r>
            <w:r w:rsidRPr="00D85C65">
              <w:rPr>
                <w:rFonts w:ascii="Times New Roman" w:hAnsi="Times New Roman"/>
                <w:bCs/>
                <w:sz w:val="24"/>
              </w:rPr>
              <w:t>935, 0936</w:t>
            </w:r>
          </w:p>
        </w:tc>
        <w:tc>
          <w:tcPr>
            <w:tcW w:w="8079" w:type="dxa"/>
          </w:tcPr>
          <w:p w14:paraId="574ACB41" w14:textId="77777777" w:rsidR="00235D9D" w:rsidRPr="00D85C65" w:rsidRDefault="00FD54FC">
            <w:pPr>
              <w:rPr>
                <w:rFonts w:ascii="Times New Roman" w:hAnsi="Times New Roman"/>
                <w:sz w:val="24"/>
              </w:rPr>
            </w:pPr>
            <w:r w:rsidRPr="00D85C65">
              <w:rPr>
                <w:rStyle w:val="InstructionsTabelleberschrift"/>
                <w:rFonts w:ascii="Times New Roman" w:hAnsi="Times New Roman"/>
                <w:sz w:val="24"/>
              </w:rPr>
              <w:t>Počet stratových udalostí podliehajúcich stratovým úpravám</w:t>
            </w:r>
          </w:p>
          <w:p w14:paraId="6B647356" w14:textId="7DF54A8A" w:rsidR="00235D9D" w:rsidRPr="00D85C65" w:rsidRDefault="00FD54FC">
            <w:pPr>
              <w:rPr>
                <w:rFonts w:ascii="Times New Roman" w:hAnsi="Times New Roman"/>
                <w:sz w:val="24"/>
              </w:rPr>
            </w:pPr>
            <w:r w:rsidRPr="00D85C65">
              <w:rPr>
                <w:rFonts w:ascii="Times New Roman" w:hAnsi="Times New Roman"/>
                <w:sz w:val="24"/>
              </w:rPr>
              <w:t>V riadku 0930 sa vykazuje celkový počet stratových udalostí podliehajúcich stratovým úpravám, ako sú vykázané</w:t>
            </w:r>
            <w:r w:rsidR="00D85C65">
              <w:rPr>
                <w:rFonts w:ascii="Times New Roman" w:hAnsi="Times New Roman"/>
                <w:sz w:val="24"/>
              </w:rPr>
              <w:t xml:space="preserve"> v </w:t>
            </w:r>
            <w:r w:rsidRPr="00D85C65">
              <w:rPr>
                <w:rFonts w:ascii="Times New Roman" w:hAnsi="Times New Roman"/>
                <w:sz w:val="24"/>
              </w:rPr>
              <w:t>riadkoch 0030, 0130, ..., 0830. Tento údaj môže byť nižší než súhrn počtu stratových udalostí podliehajúcich stratovým úpravám podľa obchodných línií, keďže stratové udalosti</w:t>
            </w:r>
            <w:r w:rsidR="00D85C65">
              <w:rPr>
                <w:rFonts w:ascii="Times New Roman" w:hAnsi="Times New Roman"/>
                <w:sz w:val="24"/>
              </w:rPr>
              <w:t xml:space="preserve"> s </w:t>
            </w:r>
            <w:r w:rsidRPr="00D85C65">
              <w:rPr>
                <w:rFonts w:ascii="Times New Roman" w:hAnsi="Times New Roman"/>
                <w:sz w:val="24"/>
              </w:rPr>
              <w:t>viacnásobným dosahom (vplyv na viaceré obchodné línie) sa považujú za jednu udalosť. Môže byť vyšší, ak inštitúcia, ktorá vypočítava svoje požiadavky na vlastné zdroje podľa BIA, nedokáže</w:t>
            </w:r>
            <w:r w:rsidR="00D85C65">
              <w:rPr>
                <w:rFonts w:ascii="Times New Roman" w:hAnsi="Times New Roman"/>
                <w:sz w:val="24"/>
              </w:rPr>
              <w:t xml:space="preserve"> v </w:t>
            </w:r>
            <w:r w:rsidRPr="00D85C65">
              <w:rPr>
                <w:rFonts w:ascii="Times New Roman" w:hAnsi="Times New Roman"/>
                <w:sz w:val="24"/>
              </w:rPr>
              <w:t>každom prípade identifikovať obchodnú líniu/obchodné línie ovplyvnené stratou.</w:t>
            </w:r>
          </w:p>
          <w:p w14:paraId="07A99000" w14:textId="7FEE6B3E" w:rsidR="00235D9D" w:rsidRPr="00D85C65" w:rsidRDefault="00FD54FC">
            <w:pPr>
              <w:rPr>
                <w:rStyle w:val="InstructionsTabelleberschrift"/>
                <w:rFonts w:ascii="Times New Roman" w:hAnsi="Times New Roman"/>
                <w:sz w:val="24"/>
              </w:rPr>
            </w:pPr>
            <w:r w:rsidRPr="00D85C65">
              <w:rPr>
                <w:rFonts w:ascii="Times New Roman" w:hAnsi="Times New Roman"/>
                <w:sz w:val="24"/>
              </w:rPr>
              <w:t>Počet udalostí podliehajúcich stratovým úpravám sa rozčlení na počet stratových udalostí, pri ktorých sa počas referenčného obdobia vykazovania vykonala kladná stratová úprava,</w:t>
            </w:r>
            <w:r w:rsidR="00D85C65">
              <w:rPr>
                <w:rFonts w:ascii="Times New Roman" w:hAnsi="Times New Roman"/>
                <w:sz w:val="24"/>
              </w:rPr>
              <w:t xml:space="preserve"> a </w:t>
            </w:r>
            <w:r w:rsidRPr="00D85C65">
              <w:rPr>
                <w:rFonts w:ascii="Times New Roman" w:hAnsi="Times New Roman"/>
                <w:sz w:val="24"/>
              </w:rPr>
              <w:t>počet stratových udalostí, pri ktorých sa počas obdobia vykazovania vykonala záporná stratová úprava (všetky sa vykazujú</w:t>
            </w:r>
            <w:r w:rsidR="00D85C65">
              <w:rPr>
                <w:rFonts w:ascii="Times New Roman" w:hAnsi="Times New Roman"/>
                <w:sz w:val="24"/>
              </w:rPr>
              <w:t xml:space="preserve"> s </w:t>
            </w:r>
            <w:r w:rsidRPr="00D85C65">
              <w:rPr>
                <w:rFonts w:ascii="Times New Roman" w:hAnsi="Times New Roman"/>
                <w:sz w:val="24"/>
              </w:rPr>
              <w:t>kladným znamienkom).</w:t>
            </w:r>
          </w:p>
        </w:tc>
      </w:tr>
      <w:tr w:rsidR="00235D9D" w:rsidRPr="00D85C65" w14:paraId="7291468E" w14:textId="77777777" w:rsidTr="00672D2A">
        <w:tc>
          <w:tcPr>
            <w:tcW w:w="1101" w:type="dxa"/>
          </w:tcPr>
          <w:p w14:paraId="72DD46B7" w14:textId="77777777" w:rsidR="00235D9D" w:rsidRPr="00D85C65" w:rsidRDefault="00C93FC2">
            <w:pPr>
              <w:rPr>
                <w:rFonts w:ascii="Times New Roman" w:hAnsi="Times New Roman"/>
                <w:sz w:val="24"/>
              </w:rPr>
            </w:pPr>
            <w:r w:rsidRPr="00D85C65">
              <w:rPr>
                <w:rFonts w:ascii="Times New Roman" w:hAnsi="Times New Roman"/>
                <w:sz w:val="24"/>
              </w:rPr>
              <w:t>0940, 0945, 0946</w:t>
            </w:r>
          </w:p>
        </w:tc>
        <w:tc>
          <w:tcPr>
            <w:tcW w:w="8079" w:type="dxa"/>
          </w:tcPr>
          <w:p w14:paraId="2DEEDC08" w14:textId="77777777" w:rsidR="00235D9D" w:rsidRPr="00D85C65" w:rsidRDefault="00FD54FC">
            <w:pPr>
              <w:rPr>
                <w:rFonts w:ascii="Times New Roman" w:hAnsi="Times New Roman"/>
                <w:sz w:val="24"/>
              </w:rPr>
            </w:pPr>
            <w:r w:rsidRPr="00D85C65">
              <w:rPr>
                <w:rStyle w:val="InstructionsTabelleberschrift"/>
                <w:rFonts w:ascii="Times New Roman" w:hAnsi="Times New Roman"/>
                <w:sz w:val="24"/>
              </w:rPr>
              <w:t>Stratové úpravy týkajúce sa predchádzajúcich období vykazovania</w:t>
            </w:r>
          </w:p>
          <w:p w14:paraId="3F7BFAFE" w14:textId="5DC2FFC9" w:rsidR="00235D9D" w:rsidRPr="00D85C65" w:rsidRDefault="00FD54FC">
            <w:pPr>
              <w:rPr>
                <w:rFonts w:ascii="Times New Roman" w:hAnsi="Times New Roman"/>
                <w:sz w:val="24"/>
              </w:rPr>
            </w:pPr>
            <w:r w:rsidRPr="00D85C65">
              <w:rPr>
                <w:rFonts w:ascii="Times New Roman" w:hAnsi="Times New Roman"/>
                <w:sz w:val="24"/>
              </w:rPr>
              <w:t>V riadku 0940 sa vykazuje celková výška stratových úprav týkajúcich sa predchádzajúcich období vykazovania za obchodné línie (ako sú vykázané</w:t>
            </w:r>
            <w:r w:rsidR="00D85C65">
              <w:rPr>
                <w:rFonts w:ascii="Times New Roman" w:hAnsi="Times New Roman"/>
                <w:sz w:val="24"/>
              </w:rPr>
              <w:t xml:space="preserve"> v </w:t>
            </w:r>
            <w:r w:rsidRPr="00D85C65">
              <w:rPr>
                <w:rFonts w:ascii="Times New Roman" w:hAnsi="Times New Roman"/>
                <w:sz w:val="24"/>
              </w:rPr>
              <w:t>riadkoch 0040, 0140, ..., 0840). 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hodnota vykázaná</w:t>
            </w:r>
            <w:r w:rsidR="00D85C65">
              <w:rPr>
                <w:rFonts w:ascii="Times New Roman" w:hAnsi="Times New Roman"/>
                <w:sz w:val="24"/>
              </w:rPr>
              <w:t xml:space="preserve"> v </w:t>
            </w:r>
            <w:r w:rsidRPr="00D85C65">
              <w:rPr>
                <w:rFonts w:ascii="Times New Roman" w:hAnsi="Times New Roman"/>
                <w:sz w:val="24"/>
              </w:rPr>
              <w:t>riadku 0940 je jednoduchý súhrn stratových úprav týkajúcich sa predchádzajúcich období vykazovania vykázaných za rôzne obchodné línie.</w:t>
            </w:r>
          </w:p>
          <w:p w14:paraId="1258C52F" w14:textId="7FD0824E" w:rsidR="00235D9D" w:rsidRPr="00D85C65" w:rsidRDefault="00FD54FC">
            <w:pPr>
              <w:rPr>
                <w:rFonts w:ascii="Times New Roman" w:hAnsi="Times New Roman"/>
                <w:sz w:val="24"/>
              </w:rPr>
            </w:pPr>
            <w:r w:rsidRPr="00D85C65">
              <w:rPr>
                <w:rFonts w:ascii="Times New Roman" w:hAnsi="Times New Roman"/>
                <w:sz w:val="24"/>
              </w:rPr>
              <w:t>Výška stratových úprav sa rozčlení na sumu súvisiacu so stratovými udalosťami, pri ktorých sa počas referenčného obdobia vykazovania vykonala kladná stratová úprava (riadok 0945, vykazuje sa ako kladné číslo),</w:t>
            </w:r>
            <w:r w:rsidR="00D85C65">
              <w:rPr>
                <w:rFonts w:ascii="Times New Roman" w:hAnsi="Times New Roman"/>
                <w:sz w:val="24"/>
              </w:rPr>
              <w:t xml:space="preserve"> a </w:t>
            </w:r>
            <w:r w:rsidRPr="00D85C65">
              <w:rPr>
                <w:rFonts w:ascii="Times New Roman" w:hAnsi="Times New Roman"/>
                <w:sz w:val="24"/>
              </w:rPr>
              <w:t xml:space="preserve">sumu súvisiacu so </w:t>
            </w:r>
            <w:r w:rsidRPr="00D85C65">
              <w:rPr>
                <w:rFonts w:ascii="Times New Roman" w:hAnsi="Times New Roman"/>
                <w:sz w:val="24"/>
              </w:rPr>
              <w:lastRenderedPageBreak/>
              <w:t>stratovými udalosťami, pri ktorých sa počas obdobia vykazovania vykonala záporná stratová úprava (riadok 0946, vykazuje sa ako záporné číslo). Ak sa</w:t>
            </w:r>
            <w:r w:rsidR="00D85C65">
              <w:rPr>
                <w:rFonts w:ascii="Times New Roman" w:hAnsi="Times New Roman"/>
                <w:sz w:val="24"/>
              </w:rPr>
              <w:t xml:space="preserve"> v </w:t>
            </w:r>
            <w:r w:rsidRPr="00D85C65">
              <w:rPr>
                <w:rFonts w:ascii="Times New Roman" w:hAnsi="Times New Roman"/>
                <w:sz w:val="24"/>
              </w:rPr>
              <w:t>dôsledku zápornej stratovej úpravy upravená výška straty pripísateľná stratovej udalosti ocitne pod prahovou hodnotou pre zber interných údajov inštitúcie, inštitúcia vykazuje</w:t>
            </w:r>
            <w:r w:rsidR="00D85C65">
              <w:rPr>
                <w:rFonts w:ascii="Times New Roman" w:hAnsi="Times New Roman"/>
                <w:sz w:val="24"/>
              </w:rPr>
              <w:t xml:space="preserve"> v </w:t>
            </w:r>
            <w:r w:rsidRPr="00D85C65">
              <w:rPr>
                <w:rFonts w:ascii="Times New Roman" w:hAnsi="Times New Roman"/>
                <w:sz w:val="24"/>
              </w:rPr>
              <w:t>riadku 946 celkovú výšku straty pre danú stratovú udalosť akumulovanú do momentu, keď sa stratová udalosť poslednýkrát vykázala</w:t>
            </w:r>
            <w:r w:rsidR="00D85C65">
              <w:rPr>
                <w:rFonts w:ascii="Times New Roman" w:hAnsi="Times New Roman"/>
                <w:sz w:val="24"/>
              </w:rPr>
              <w:t xml:space="preserve"> v </w:t>
            </w:r>
            <w:r w:rsidRPr="00D85C65">
              <w:rPr>
                <w:rFonts w:ascii="Times New Roman" w:hAnsi="Times New Roman"/>
                <w:sz w:val="24"/>
              </w:rPr>
              <w:t>súvislosti</w:t>
            </w:r>
            <w:r w:rsidR="00D85C65">
              <w:rPr>
                <w:rFonts w:ascii="Times New Roman" w:hAnsi="Times New Roman"/>
                <w:sz w:val="24"/>
              </w:rPr>
              <w:t xml:space="preserve"> s </w:t>
            </w:r>
            <w:r w:rsidRPr="00D85C65">
              <w:rPr>
                <w:rFonts w:ascii="Times New Roman" w:hAnsi="Times New Roman"/>
                <w:sz w:val="24"/>
              </w:rPr>
              <w:t>decembrovým referenčným dátumom (t. j. pôvodná strata plus/mínus všetky stratové úpravy vykonané</w:t>
            </w:r>
            <w:r w:rsidR="00D85C65">
              <w:rPr>
                <w:rFonts w:ascii="Times New Roman" w:hAnsi="Times New Roman"/>
                <w:sz w:val="24"/>
              </w:rPr>
              <w:t xml:space="preserve"> v </w:t>
            </w:r>
            <w:r w:rsidRPr="00D85C65">
              <w:rPr>
                <w:rFonts w:ascii="Times New Roman" w:hAnsi="Times New Roman"/>
                <w:sz w:val="24"/>
              </w:rPr>
              <w:t>predchádzajúcich referenčných obdobiach vykazovania), so záporným znamienkom,</w:t>
            </w:r>
            <w:r w:rsidR="00D85C65">
              <w:rPr>
                <w:rFonts w:ascii="Times New Roman" w:hAnsi="Times New Roman"/>
                <w:sz w:val="24"/>
              </w:rPr>
              <w:t xml:space="preserve"> a </w:t>
            </w:r>
            <w:r w:rsidRPr="00D85C65">
              <w:rPr>
                <w:rFonts w:ascii="Times New Roman" w:hAnsi="Times New Roman"/>
                <w:sz w:val="24"/>
              </w:rPr>
              <w:t>nie samotnú výšku zápornej stratovej úpravy.</w:t>
            </w:r>
          </w:p>
        </w:tc>
      </w:tr>
      <w:tr w:rsidR="00235D9D" w:rsidRPr="00D85C6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235D9D" w:rsidRPr="00D85C65" w:rsidRDefault="00C93FC2">
            <w:pPr>
              <w:rPr>
                <w:rFonts w:ascii="Times New Roman" w:hAnsi="Times New Roman"/>
                <w:sz w:val="24"/>
              </w:rPr>
            </w:pPr>
            <w:r w:rsidRPr="00D85C65">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Maximálna samostatná strata</w:t>
            </w:r>
          </w:p>
          <w:p w14:paraId="3AA118C4" w14:textId="4EB12523" w:rsidR="00235D9D" w:rsidRPr="00D85C65" w:rsidRDefault="00FD54FC">
            <w:pPr>
              <w:rPr>
                <w:rFonts w:ascii="Times New Roman" w:hAnsi="Times New Roman"/>
                <w:sz w:val="24"/>
              </w:rPr>
            </w:pPr>
            <w:r w:rsidRPr="00D85C65">
              <w:rPr>
                <w:rFonts w:ascii="Times New Roman" w:hAnsi="Times New Roman"/>
                <w:sz w:val="24"/>
              </w:rPr>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maximálna samostatná strata je maximálna strata nad internou prahovou hodnotou pre každý druh stratovej udalosti spomedzi všetkých obchodných línií. Tieto hodnoty môžu byť vyššie než najvyššia samostatná strata zaznamenaná</w:t>
            </w:r>
            <w:r w:rsidR="00D85C65">
              <w:rPr>
                <w:rFonts w:ascii="Times New Roman" w:hAnsi="Times New Roman"/>
                <w:sz w:val="24"/>
              </w:rPr>
              <w:t xml:space="preserve"> v </w:t>
            </w:r>
            <w:r w:rsidRPr="00D85C65">
              <w:rPr>
                <w:rFonts w:ascii="Times New Roman" w:hAnsi="Times New Roman"/>
                <w:sz w:val="24"/>
              </w:rPr>
              <w:t>jednotlivých obchodných líniách, ak stratová udalosť postihuje rôzne obchodné línie.</w:t>
            </w:r>
          </w:p>
          <w:p w14:paraId="513FDB76" w14:textId="3A278D25" w:rsidR="00235D9D" w:rsidRPr="00D85C65" w:rsidRDefault="00FD54FC">
            <w:pPr>
              <w:rPr>
                <w:rFonts w:ascii="Times New Roman" w:hAnsi="Times New Roman"/>
                <w:sz w:val="24"/>
              </w:rPr>
            </w:pPr>
            <w:r w:rsidRPr="00D85C65">
              <w:rPr>
                <w:rFonts w:ascii="Times New Roman" w:hAnsi="Times New Roman"/>
                <w:sz w:val="24"/>
              </w:rPr>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resp. že identifikovala druhy stratových udalostí pre všetky straty, pre stĺpec 0080 platí:</w:t>
            </w:r>
          </w:p>
          <w:p w14:paraId="19D329EB" w14:textId="53698B65" w:rsidR="00235D9D" w:rsidRPr="00D85C65" w:rsidRDefault="00125707">
            <w:pPr>
              <w:ind w:left="360" w:hanging="360"/>
              <w:rPr>
                <w:rFonts w:ascii="Times New Roman" w:hAnsi="Times New Roman"/>
                <w:b/>
                <w:bCs/>
                <w:sz w:val="24"/>
                <w:u w:val="single"/>
              </w:rPr>
            </w:pPr>
            <w:r w:rsidRPr="00D85C65">
              <w:rPr>
                <w:rFonts w:ascii="Times New Roman" w:hAnsi="Times New Roman"/>
                <w:bCs/>
                <w:sz w:val="24"/>
              </w:rPr>
              <w:t>–</w:t>
            </w:r>
            <w:r w:rsidRPr="00D85C65">
              <w:rPr>
                <w:rFonts w:ascii="Times New Roman" w:hAnsi="Times New Roman"/>
                <w:bCs/>
                <w:sz w:val="24"/>
              </w:rPr>
              <w:tab/>
            </w:r>
            <w:r w:rsidRPr="00D85C65">
              <w:rPr>
                <w:rFonts w:ascii="Times New Roman" w:hAnsi="Times New Roman"/>
                <w:sz w:val="24"/>
              </w:rPr>
              <w:t>Maximálna samostatná strata sa rovná najvyššej</w:t>
            </w:r>
            <w:r w:rsidR="00D85C65">
              <w:rPr>
                <w:rFonts w:ascii="Times New Roman" w:hAnsi="Times New Roman"/>
                <w:sz w:val="24"/>
              </w:rPr>
              <w:t xml:space="preserve"> z </w:t>
            </w:r>
            <w:r w:rsidRPr="00D85C65">
              <w:rPr>
                <w:rFonts w:ascii="Times New Roman" w:hAnsi="Times New Roman"/>
                <w:sz w:val="24"/>
              </w:rPr>
              <w:t>hodnôt vykázaných</w:t>
            </w:r>
            <w:r w:rsidR="00D85C65">
              <w:rPr>
                <w:rFonts w:ascii="Times New Roman" w:hAnsi="Times New Roman"/>
                <w:sz w:val="24"/>
              </w:rPr>
              <w:t xml:space="preserve"> v </w:t>
            </w:r>
            <w:r w:rsidRPr="00D85C65">
              <w:rPr>
                <w:rFonts w:ascii="Times New Roman" w:hAnsi="Times New Roman"/>
                <w:sz w:val="24"/>
              </w:rPr>
              <w:t>stĺpcoch 0010 až 0070</w:t>
            </w:r>
            <w:r w:rsidR="00D85C65">
              <w:rPr>
                <w:rFonts w:ascii="Times New Roman" w:hAnsi="Times New Roman"/>
                <w:sz w:val="24"/>
              </w:rPr>
              <w:t xml:space="preserve"> v </w:t>
            </w:r>
            <w:r w:rsidRPr="00D85C65">
              <w:rPr>
                <w:rFonts w:ascii="Times New Roman" w:hAnsi="Times New Roman"/>
                <w:sz w:val="24"/>
              </w:rPr>
              <w:t>tomto riadku.</w:t>
            </w:r>
          </w:p>
          <w:p w14:paraId="54FBCD00" w14:textId="24FE0150" w:rsidR="00235D9D" w:rsidRPr="00D85C65" w:rsidRDefault="00125707">
            <w:pPr>
              <w:ind w:left="360" w:hanging="360"/>
              <w:rPr>
                <w:rStyle w:val="InstructionsTabelleberschrift"/>
                <w:rFonts w:ascii="Times New Roman" w:hAnsi="Times New Roman"/>
                <w:bCs w:val="0"/>
                <w:sz w:val="24"/>
              </w:rPr>
            </w:pPr>
            <w:r w:rsidRPr="00D85C65">
              <w:rPr>
                <w:rStyle w:val="InstructionsTabelleberschrift"/>
                <w:rFonts w:ascii="Times New Roman" w:hAnsi="Times New Roman"/>
                <w:b w:val="0"/>
                <w:bCs w:val="0"/>
                <w:sz w:val="24"/>
                <w:u w:val="none"/>
              </w:rPr>
              <w:t>–</w:t>
            </w:r>
            <w:r w:rsidRPr="00D85C65">
              <w:rPr>
                <w:rStyle w:val="InstructionsTabelleberschrift"/>
                <w:rFonts w:ascii="Times New Roman" w:hAnsi="Times New Roman"/>
                <w:b w:val="0"/>
                <w:bCs w:val="0"/>
                <w:sz w:val="24"/>
                <w:u w:val="none"/>
              </w:rPr>
              <w:tab/>
            </w:r>
            <w:r w:rsidRPr="00D85C65">
              <w:rPr>
                <w:rFonts w:ascii="Times New Roman" w:hAnsi="Times New Roman"/>
                <w:sz w:val="24"/>
              </w:rPr>
              <w:t>Ak existujú stratové udalosti</w:t>
            </w:r>
            <w:r w:rsidR="00D85C65">
              <w:rPr>
                <w:rFonts w:ascii="Times New Roman" w:hAnsi="Times New Roman"/>
                <w:sz w:val="24"/>
              </w:rPr>
              <w:t xml:space="preserve"> s </w:t>
            </w:r>
            <w:r w:rsidRPr="00D85C65">
              <w:rPr>
                <w:rFonts w:ascii="Times New Roman" w:hAnsi="Times New Roman"/>
                <w:sz w:val="24"/>
              </w:rPr>
              <w:t>vplyvom na viaceré obchodné línie, hodnota vykázaná</w:t>
            </w:r>
            <w:r w:rsidR="00D85C65">
              <w:rPr>
                <w:rFonts w:ascii="Times New Roman" w:hAnsi="Times New Roman"/>
                <w:sz w:val="24"/>
              </w:rPr>
              <w:t xml:space="preserve"> v </w:t>
            </w:r>
            <w:r w:rsidRPr="00D85C65">
              <w:rPr>
                <w:rFonts w:ascii="Times New Roman" w:hAnsi="Times New Roman"/>
                <w:sz w:val="24"/>
              </w:rPr>
              <w:t>{r950, c080} môže byť vyššia než výška „maximálnej samostatnej straty“ za obchodnú líniu vykázaná</w:t>
            </w:r>
            <w:r w:rsidR="00D85C65">
              <w:rPr>
                <w:rFonts w:ascii="Times New Roman" w:hAnsi="Times New Roman"/>
                <w:sz w:val="24"/>
              </w:rPr>
              <w:t xml:space="preserve"> v </w:t>
            </w:r>
            <w:r w:rsidRPr="00D85C65">
              <w:rPr>
                <w:rFonts w:ascii="Times New Roman" w:hAnsi="Times New Roman"/>
                <w:sz w:val="24"/>
              </w:rPr>
              <w:t xml:space="preserve">ostatných riadkoch stĺpca 080. </w:t>
            </w:r>
          </w:p>
        </w:tc>
      </w:tr>
      <w:tr w:rsidR="00235D9D" w:rsidRPr="00D85C6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235D9D" w:rsidRPr="00D85C65" w:rsidRDefault="00C93FC2">
            <w:pPr>
              <w:rPr>
                <w:rFonts w:ascii="Times New Roman" w:hAnsi="Times New Roman"/>
                <w:sz w:val="24"/>
              </w:rPr>
            </w:pPr>
            <w:r w:rsidRPr="00D85C65">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Súčet piatich najväčších strát</w:t>
            </w:r>
          </w:p>
          <w:p w14:paraId="0394B130" w14:textId="70E63BF6" w:rsidR="00D85C65" w:rsidRDefault="00FD54FC">
            <w:pPr>
              <w:rPr>
                <w:rFonts w:ascii="Times New Roman" w:hAnsi="Times New Roman"/>
                <w:sz w:val="24"/>
              </w:rPr>
            </w:pPr>
            <w:r w:rsidRPr="00D85C65">
              <w:rPr>
                <w:rFonts w:ascii="Times New Roman" w:hAnsi="Times New Roman"/>
                <w:sz w:val="24"/>
              </w:rPr>
              <w:t>Vykazuje sa súčet piatich najväčších hrubých strát pre každý druh stratovej udalosti spomedzi všetkých obchodných línií. Tento súčet môže byť vyšší než najvyšší súčet piatich najväčších strát zaznamenaných</w:t>
            </w:r>
            <w:r w:rsidR="00D85C65">
              <w:rPr>
                <w:rFonts w:ascii="Times New Roman" w:hAnsi="Times New Roman"/>
                <w:sz w:val="24"/>
              </w:rPr>
              <w:t xml:space="preserve"> v </w:t>
            </w:r>
            <w:r w:rsidRPr="00D85C65">
              <w:rPr>
                <w:rFonts w:ascii="Times New Roman" w:hAnsi="Times New Roman"/>
                <w:sz w:val="24"/>
              </w:rPr>
              <w:t>jednotlivých obchodných líniách. Tento súčet sa musí vykázať bez ohľadu na počet strát</w:t>
            </w:r>
            <w:r w:rsidR="00D85C65">
              <w:rPr>
                <w:rFonts w:ascii="Times New Roman" w:hAnsi="Times New Roman"/>
                <w:sz w:val="24"/>
              </w:rPr>
              <w:t>.</w:t>
            </w:r>
          </w:p>
          <w:p w14:paraId="166ECE75" w14:textId="467940D9" w:rsidR="00235D9D" w:rsidRPr="00D85C65" w:rsidRDefault="00FD54FC">
            <w:pPr>
              <w:rPr>
                <w:rStyle w:val="InstructionsTabelleberschrift"/>
                <w:rFonts w:ascii="Times New Roman" w:hAnsi="Times New Roman"/>
                <w:sz w:val="24"/>
              </w:rPr>
            </w:pPr>
            <w:r w:rsidRPr="00D85C65">
              <w:rPr>
                <w:rFonts w:ascii="Times New Roman" w:hAnsi="Times New Roman"/>
                <w:sz w:val="24"/>
              </w:rPr>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tabuľke 2 článku 317 ods. 4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resp. že identifikovala druhy stratových udalostí pre všetky straty,</w:t>
            </w:r>
            <w:r w:rsidR="00D85C65">
              <w:rPr>
                <w:rFonts w:ascii="Times New Roman" w:hAnsi="Times New Roman"/>
                <w:sz w:val="24"/>
              </w:rPr>
              <w:t xml:space="preserve"> v </w:t>
            </w:r>
            <w:r w:rsidRPr="00D85C65">
              <w:rPr>
                <w:rFonts w:ascii="Times New Roman" w:hAnsi="Times New Roman"/>
                <w:sz w:val="24"/>
              </w:rPr>
              <w:t>stĺpci 0080 je súčet piatich najvyšších strát súčtom piatich najvyšších strát</w:t>
            </w:r>
            <w:r w:rsidR="00D85C65">
              <w:rPr>
                <w:rFonts w:ascii="Times New Roman" w:hAnsi="Times New Roman"/>
                <w:sz w:val="24"/>
              </w:rPr>
              <w:t xml:space="preserve"> v </w:t>
            </w:r>
            <w:r w:rsidRPr="00D85C65">
              <w:rPr>
                <w:rFonts w:ascii="Times New Roman" w:hAnsi="Times New Roman"/>
                <w:sz w:val="24"/>
              </w:rPr>
              <w:t>celej matici, čo znamená, že sa nemusí nutne rovnať maximálnej hodnote „súčtu piatich najvyšších strát“</w:t>
            </w:r>
            <w:r w:rsidR="00D85C65">
              <w:rPr>
                <w:rFonts w:ascii="Times New Roman" w:hAnsi="Times New Roman"/>
                <w:sz w:val="24"/>
              </w:rPr>
              <w:t xml:space="preserve"> v </w:t>
            </w:r>
            <w:r w:rsidRPr="00D85C65">
              <w:rPr>
                <w:rFonts w:ascii="Times New Roman" w:hAnsi="Times New Roman"/>
                <w:sz w:val="24"/>
              </w:rPr>
              <w:t>riadku 0960 ani maximálnej hodnote „súčtu piatich najväčších strát“</w:t>
            </w:r>
            <w:r w:rsidR="00D85C65">
              <w:rPr>
                <w:rFonts w:ascii="Times New Roman" w:hAnsi="Times New Roman"/>
                <w:sz w:val="24"/>
              </w:rPr>
              <w:t xml:space="preserve"> v </w:t>
            </w:r>
            <w:r w:rsidRPr="00D85C65">
              <w:rPr>
                <w:rFonts w:ascii="Times New Roman" w:hAnsi="Times New Roman"/>
                <w:sz w:val="24"/>
              </w:rPr>
              <w:t>stĺpci 0080.</w:t>
            </w:r>
          </w:p>
        </w:tc>
      </w:tr>
      <w:tr w:rsidR="00235D9D" w:rsidRPr="00D85C6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235D9D" w:rsidRPr="00D85C65" w:rsidRDefault="00C93FC2">
            <w:pPr>
              <w:rPr>
                <w:rFonts w:ascii="Times New Roman" w:hAnsi="Times New Roman"/>
                <w:sz w:val="24"/>
              </w:rPr>
            </w:pPr>
            <w:r w:rsidRPr="00D85C65">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Celkové priame náhrady straty</w:t>
            </w:r>
          </w:p>
          <w:p w14:paraId="7FEE4F90" w14:textId="181793B1" w:rsidR="00235D9D" w:rsidRPr="00D85C65" w:rsidRDefault="00FD54FC">
            <w:pPr>
              <w:rPr>
                <w:rStyle w:val="InstructionsTabelleberschrift"/>
                <w:rFonts w:ascii="Times New Roman" w:hAnsi="Times New Roman"/>
                <w:sz w:val="24"/>
              </w:rPr>
            </w:pPr>
            <w:r w:rsidRPr="00D85C65">
              <w:rPr>
                <w:rFonts w:ascii="Times New Roman" w:hAnsi="Times New Roman"/>
                <w:sz w:val="24"/>
              </w:rPr>
              <w:lastRenderedPageBreak/>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celkové priame náhrady straty sú jednoduchým súhrnom celkových priamych náhrad strát za každú obchodnú líniu.</w:t>
            </w:r>
          </w:p>
        </w:tc>
      </w:tr>
      <w:tr w:rsidR="00235D9D" w:rsidRPr="00D85C6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235D9D" w:rsidRPr="00D85C65" w:rsidRDefault="00C93FC2">
            <w:pPr>
              <w:rPr>
                <w:rFonts w:ascii="Times New Roman" w:hAnsi="Times New Roman"/>
                <w:sz w:val="24"/>
              </w:rPr>
            </w:pPr>
            <w:r w:rsidRPr="00D85C65">
              <w:rPr>
                <w:rFonts w:ascii="Times New Roman" w:hAnsi="Times New Roman"/>
                <w:sz w:val="24"/>
              </w:rPr>
              <w:lastRenderedPageBreak/>
              <w:t>0980</w:t>
            </w:r>
          </w:p>
        </w:tc>
        <w:tc>
          <w:tcPr>
            <w:tcW w:w="8079" w:type="dxa"/>
            <w:tcBorders>
              <w:top w:val="single" w:sz="4" w:space="0" w:color="auto"/>
              <w:left w:val="single" w:sz="4" w:space="0" w:color="auto"/>
              <w:bottom w:val="single" w:sz="4" w:space="0" w:color="auto"/>
              <w:right w:val="single" w:sz="4" w:space="0" w:color="auto"/>
            </w:tcBorders>
          </w:tcPr>
          <w:p w14:paraId="5E33B3A6" w14:textId="64235650"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Celkové náhrady</w:t>
            </w:r>
            <w:r w:rsidR="00D85C65">
              <w:rPr>
                <w:rStyle w:val="InstructionsTabelleberschrift"/>
                <w:rFonts w:ascii="Times New Roman" w:hAnsi="Times New Roman"/>
                <w:sz w:val="24"/>
              </w:rPr>
              <w:t xml:space="preserve"> z </w:t>
            </w:r>
            <w:r w:rsidRPr="00D85C65">
              <w:rPr>
                <w:rStyle w:val="InstructionsTabelleberschrift"/>
                <w:rFonts w:ascii="Times New Roman" w:hAnsi="Times New Roman"/>
                <w:sz w:val="24"/>
              </w:rPr>
              <w:t>poistenia</w:t>
            </w:r>
            <w:r w:rsidR="00D85C65">
              <w:rPr>
                <w:rStyle w:val="InstructionsTabelleberschrift"/>
                <w:rFonts w:ascii="Times New Roman" w:hAnsi="Times New Roman"/>
                <w:sz w:val="24"/>
              </w:rPr>
              <w:t xml:space="preserve"> a </w:t>
            </w:r>
            <w:r w:rsidRPr="00D85C65">
              <w:rPr>
                <w:rStyle w:val="InstructionsTabelleberschrift"/>
                <w:rFonts w:ascii="Times New Roman" w:hAnsi="Times New Roman"/>
                <w:sz w:val="24"/>
              </w:rPr>
              <w:t>iných mechanizmov presunu rizika</w:t>
            </w:r>
          </w:p>
          <w:p w14:paraId="007FE0EB" w14:textId="66754B1D" w:rsidR="00235D9D" w:rsidRPr="00D85C65" w:rsidRDefault="00FD54FC">
            <w:pPr>
              <w:rPr>
                <w:rFonts w:ascii="Times New Roman" w:hAnsi="Times New Roman"/>
                <w:b/>
                <w:bCs/>
                <w:sz w:val="24"/>
                <w:u w:val="single"/>
              </w:rPr>
            </w:pPr>
            <w:r w:rsidRPr="00D85C65">
              <w:rPr>
                <w:rFonts w:ascii="Times New Roman" w:hAnsi="Times New Roman"/>
                <w:sz w:val="24"/>
              </w:rPr>
              <w:t>Za predpokladu, že inštitúcia zaradila všetky svoje straty buď do obchodnej línie uvedenej</w:t>
            </w:r>
            <w:r w:rsidR="00D85C65">
              <w:rPr>
                <w:rFonts w:ascii="Times New Roman" w:hAnsi="Times New Roman"/>
                <w:sz w:val="24"/>
              </w:rPr>
              <w:t xml:space="preserve"> v </w:t>
            </w:r>
            <w:r w:rsidRPr="00D85C65">
              <w:rPr>
                <w:rFonts w:ascii="Times New Roman" w:hAnsi="Times New Roman"/>
                <w:sz w:val="24"/>
              </w:rPr>
              <w:t>článku 317 ods. 4 tabuľke 2 CRR alebo do obchodnej línie „podnikové položky“, ako sa uvádza</w:t>
            </w:r>
            <w:r w:rsidR="00D85C65">
              <w:rPr>
                <w:rFonts w:ascii="Times New Roman" w:hAnsi="Times New Roman"/>
                <w:sz w:val="24"/>
              </w:rPr>
              <w:t xml:space="preserve"> v </w:t>
            </w:r>
            <w:r w:rsidRPr="00D85C65">
              <w:rPr>
                <w:rFonts w:ascii="Times New Roman" w:hAnsi="Times New Roman"/>
                <w:sz w:val="24"/>
              </w:rPr>
              <w:t>článku 322 ods. 3 písm. b) CRR, celkové náhrady</w:t>
            </w:r>
            <w:r w:rsidR="00D85C65">
              <w:rPr>
                <w:rFonts w:ascii="Times New Roman" w:hAnsi="Times New Roman"/>
                <w:sz w:val="24"/>
              </w:rPr>
              <w:t xml:space="preserve"> z </w:t>
            </w:r>
            <w:r w:rsidRPr="00D85C65">
              <w:rPr>
                <w:rFonts w:ascii="Times New Roman" w:hAnsi="Times New Roman"/>
                <w:sz w:val="24"/>
              </w:rPr>
              <w:t>poistenia</w:t>
            </w:r>
            <w:r w:rsidR="00D85C65">
              <w:rPr>
                <w:rFonts w:ascii="Times New Roman" w:hAnsi="Times New Roman"/>
                <w:sz w:val="24"/>
              </w:rPr>
              <w:t xml:space="preserve"> a </w:t>
            </w:r>
            <w:r w:rsidRPr="00D85C65">
              <w:rPr>
                <w:rFonts w:ascii="Times New Roman" w:hAnsi="Times New Roman"/>
                <w:sz w:val="24"/>
              </w:rPr>
              <w:t>iných mechanizmov presunu rizika sú jednoduchým súhrnom celkových náhrad</w:t>
            </w:r>
            <w:r w:rsidR="00D85C65">
              <w:rPr>
                <w:rFonts w:ascii="Times New Roman" w:hAnsi="Times New Roman"/>
                <w:sz w:val="24"/>
              </w:rPr>
              <w:t xml:space="preserve"> z </w:t>
            </w:r>
            <w:r w:rsidRPr="00D85C65">
              <w:rPr>
                <w:rFonts w:ascii="Times New Roman" w:hAnsi="Times New Roman"/>
                <w:sz w:val="24"/>
              </w:rPr>
              <w:t>poistenia</w:t>
            </w:r>
            <w:r w:rsidR="00D85C65">
              <w:rPr>
                <w:rFonts w:ascii="Times New Roman" w:hAnsi="Times New Roman"/>
                <w:sz w:val="24"/>
              </w:rPr>
              <w:t xml:space="preserve"> a </w:t>
            </w:r>
            <w:r w:rsidRPr="00D85C65">
              <w:rPr>
                <w:rFonts w:ascii="Times New Roman" w:hAnsi="Times New Roman"/>
                <w:sz w:val="24"/>
              </w:rPr>
              <w:t>iných mechanizmov presunu rizika za každú obchodnú líniu.</w:t>
            </w:r>
          </w:p>
        </w:tc>
      </w:tr>
    </w:tbl>
    <w:p w14:paraId="03F5E592" w14:textId="77777777" w:rsidR="00235D9D" w:rsidRPr="00D85C65" w:rsidRDefault="00235D9D">
      <w:pPr>
        <w:spacing w:before="0" w:after="0"/>
        <w:jc w:val="left"/>
        <w:rPr>
          <w:rStyle w:val="InstructionsTabelleText"/>
          <w:rFonts w:ascii="Times New Roman" w:hAnsi="Times New Roman"/>
          <w:sz w:val="24"/>
        </w:rPr>
      </w:pPr>
    </w:p>
    <w:p w14:paraId="0B74CAC3" w14:textId="37B7D723" w:rsidR="00235D9D" w:rsidRPr="00D85C65" w:rsidRDefault="00125707">
      <w:pPr>
        <w:pStyle w:val="Instructionsberschrift2"/>
        <w:numPr>
          <w:ilvl w:val="0"/>
          <w:numId w:val="0"/>
        </w:numPr>
        <w:ind w:left="357" w:hanging="357"/>
        <w:rPr>
          <w:rFonts w:ascii="Times New Roman" w:hAnsi="Times New Roman" w:cs="Times New Roman"/>
          <w:sz w:val="24"/>
        </w:rPr>
      </w:pPr>
      <w:bookmarkStart w:id="79" w:name="_Toc29994522"/>
      <w:r w:rsidRPr="00D85C65">
        <w:rPr>
          <w:rFonts w:ascii="Times New Roman" w:hAnsi="Times New Roman"/>
          <w:sz w:val="24"/>
          <w:u w:val="none"/>
        </w:rPr>
        <w:t>4.2.3.</w:t>
      </w:r>
      <w:r w:rsidRPr="00D85C65">
        <w:rPr>
          <w:rFonts w:ascii="Times New Roman" w:hAnsi="Times New Roman"/>
          <w:sz w:val="24"/>
          <w:u w:val="none"/>
        </w:rPr>
        <w:tab/>
      </w:r>
      <w:r w:rsidRPr="00D85C65">
        <w:rPr>
          <w:rFonts w:ascii="Times New Roman" w:hAnsi="Times New Roman"/>
          <w:sz w:val="24"/>
        </w:rPr>
        <w:t>C 17.02: Operačné riziko: Podrobné informácie</w:t>
      </w:r>
      <w:r w:rsidR="00D85C65">
        <w:rPr>
          <w:rFonts w:ascii="Times New Roman" w:hAnsi="Times New Roman"/>
          <w:sz w:val="24"/>
        </w:rPr>
        <w:t xml:space="preserve"> o </w:t>
      </w:r>
      <w:r w:rsidRPr="00D85C65">
        <w:rPr>
          <w:rFonts w:ascii="Times New Roman" w:hAnsi="Times New Roman"/>
          <w:sz w:val="24"/>
        </w:rPr>
        <w:t>najväčších stratových udalostiach</w:t>
      </w:r>
      <w:r w:rsidR="00D85C65">
        <w:rPr>
          <w:rFonts w:ascii="Times New Roman" w:hAnsi="Times New Roman"/>
          <w:sz w:val="24"/>
        </w:rPr>
        <w:t xml:space="preserve"> v </w:t>
      </w:r>
      <w:r w:rsidRPr="00D85C65">
        <w:rPr>
          <w:rFonts w:ascii="Times New Roman" w:hAnsi="Times New Roman"/>
          <w:sz w:val="24"/>
        </w:rPr>
        <w:t>poslednom roku (OPR DETAILS 2)</w:t>
      </w:r>
      <w:bookmarkEnd w:id="79"/>
    </w:p>
    <w:p w14:paraId="1A936193"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80" w:name="_Toc29994523"/>
      <w:r w:rsidRPr="00D85C65">
        <w:rPr>
          <w:rFonts w:ascii="Times New Roman" w:hAnsi="Times New Roman"/>
          <w:sz w:val="24"/>
          <w:u w:val="none"/>
        </w:rPr>
        <w:t>4.2.3.1.</w:t>
      </w:r>
      <w:r w:rsidRPr="00D85C65">
        <w:rPr>
          <w:rFonts w:ascii="Times New Roman" w:hAnsi="Times New Roman"/>
          <w:sz w:val="24"/>
          <w:u w:val="none"/>
        </w:rPr>
        <w:tab/>
      </w:r>
      <w:r w:rsidRPr="00D85C65">
        <w:rPr>
          <w:rFonts w:ascii="Times New Roman" w:hAnsi="Times New Roman"/>
          <w:sz w:val="24"/>
        </w:rPr>
        <w:t>Všeobecné poznámky</w:t>
      </w:r>
      <w:bookmarkEnd w:id="80"/>
    </w:p>
    <w:p w14:paraId="231309DD" w14:textId="46DA6469" w:rsidR="00235D9D" w:rsidRPr="00D85C65" w:rsidRDefault="00125707">
      <w:pPr>
        <w:pStyle w:val="InstructionsText2"/>
        <w:numPr>
          <w:ilvl w:val="0"/>
          <w:numId w:val="0"/>
        </w:numPr>
        <w:ind w:left="993"/>
      </w:pPr>
      <w:r w:rsidRPr="00D85C65">
        <w:t>134. Vo vzore C 17.02 sa poskytujú informácie</w:t>
      </w:r>
      <w:r w:rsidR="00D85C65">
        <w:t xml:space="preserve"> o </w:t>
      </w:r>
      <w:r w:rsidRPr="00D85C65">
        <w:t>jednotlivých stratových udalostiach</w:t>
      </w:r>
      <w:r w:rsidR="00D85C65">
        <w:t xml:space="preserve"> s </w:t>
      </w:r>
      <w:r w:rsidRPr="00D85C65">
        <w:t>(jeden riadok na každú stratovú udalosť).</w:t>
      </w:r>
    </w:p>
    <w:p w14:paraId="2C6E2560" w14:textId="733D3AFB" w:rsidR="00235D9D" w:rsidRPr="00D85C65" w:rsidRDefault="00125707">
      <w:pPr>
        <w:pStyle w:val="InstructionsText2"/>
        <w:numPr>
          <w:ilvl w:val="0"/>
          <w:numId w:val="0"/>
        </w:numPr>
        <w:ind w:left="993"/>
      </w:pPr>
      <w:r w:rsidRPr="00D85C65">
        <w:t>135.</w:t>
      </w:r>
      <w:r w:rsidRPr="00D85C65">
        <w:tab/>
        <w:t xml:space="preserve"> Informácie vykázané</w:t>
      </w:r>
      <w:r w:rsidR="00D85C65">
        <w:t xml:space="preserve"> v </w:t>
      </w:r>
      <w:r w:rsidRPr="00D85C65">
        <w:t>tomto vzore odkazujú na „nové stratové udalosti“, t. j. udalosti operačného rizika:</w:t>
      </w:r>
    </w:p>
    <w:p w14:paraId="189C8F4C" w14:textId="77777777" w:rsidR="00235D9D" w:rsidRPr="00D85C65" w:rsidRDefault="00125707">
      <w:pPr>
        <w:pStyle w:val="InstructionsText2"/>
        <w:numPr>
          <w:ilvl w:val="0"/>
          <w:numId w:val="0"/>
        </w:numPr>
        <w:ind w:left="993"/>
      </w:pPr>
      <w:r w:rsidRPr="00D85C65">
        <w:t>a)</w:t>
      </w:r>
      <w:r w:rsidRPr="00D85C65">
        <w:tab/>
        <w:t>„zaúčtované prvýkrát“ počas referenčného obdobia vykazovania; alebo</w:t>
      </w:r>
    </w:p>
    <w:p w14:paraId="49320BA9" w14:textId="6AD67844" w:rsidR="00235D9D" w:rsidRPr="00D85C65" w:rsidRDefault="00125707">
      <w:pPr>
        <w:pStyle w:val="InstructionsText2"/>
        <w:numPr>
          <w:ilvl w:val="0"/>
          <w:numId w:val="0"/>
        </w:numPr>
        <w:ind w:left="993"/>
      </w:pPr>
      <w:r w:rsidRPr="00D85C65">
        <w:t>b)</w:t>
      </w:r>
      <w:r w:rsidRPr="00D85C65">
        <w:tab/>
        <w:t>„zaúčtované prvýkrát“ počas predchádzajúceho referenčného obdobia vykazovania, ak stratová udalosť nebola zahrnutá</w:t>
      </w:r>
      <w:r w:rsidR="00D85C65">
        <w:t xml:space="preserve"> v </w:t>
      </w:r>
      <w:r w:rsidRPr="00D85C65">
        <w:t>žiadnej predchádzajúcej správe orgánom dohľadu, napr. preto, že bola identifikovaná ako stratová udalosť operačného rizika len</w:t>
      </w:r>
      <w:r w:rsidR="00D85C65">
        <w:t xml:space="preserve"> v </w:t>
      </w:r>
      <w:r w:rsidRPr="00D85C65">
        <w:t>súčasnom referenčnom období vykazovania alebo preto, že akumulovaná strata pripísateľná danej stratovej udalosti (t. j. pôvodná strata plus/mínus všetky stratové úpravy vykonané</w:t>
      </w:r>
      <w:r w:rsidR="00D85C65">
        <w:t xml:space="preserve"> v </w:t>
      </w:r>
      <w:r w:rsidRPr="00D85C65">
        <w:t>predchádzajúcich referenčných obdobiach vykazovania) presiahla prahovú hodnotu pre zber interných údajov iba</w:t>
      </w:r>
      <w:r w:rsidR="00D85C65">
        <w:t xml:space="preserve"> v </w:t>
      </w:r>
      <w:r w:rsidRPr="00D85C65">
        <w:t>súčasnom referenčnom období vykazovania.</w:t>
      </w:r>
    </w:p>
    <w:p w14:paraId="1FF61CF3" w14:textId="2367ED3C" w:rsidR="00235D9D" w:rsidRPr="00D85C65" w:rsidRDefault="00125707">
      <w:pPr>
        <w:pStyle w:val="InstructionsText2"/>
        <w:numPr>
          <w:ilvl w:val="0"/>
          <w:numId w:val="0"/>
        </w:numPr>
        <w:ind w:left="993"/>
      </w:pPr>
      <w:r w:rsidRPr="00D85C65">
        <w:t>136. Vykazujú sa iba stratové udalosti,</w:t>
      </w:r>
      <w:r w:rsidR="00D85C65">
        <w:t xml:space="preserve"> v </w:t>
      </w:r>
      <w:r w:rsidRPr="00D85C65">
        <w:t>prípade ktorých je výška hrubej straty 100 000 EUR alebo viac.</w:t>
      </w:r>
    </w:p>
    <w:p w14:paraId="3FC165DA" w14:textId="638133E6" w:rsidR="00235D9D" w:rsidRPr="00D85C65" w:rsidRDefault="00FD54FC">
      <w:pPr>
        <w:pStyle w:val="InstructionsText2"/>
        <w:numPr>
          <w:ilvl w:val="0"/>
          <w:numId w:val="0"/>
        </w:numPr>
        <w:ind w:left="993"/>
      </w:pPr>
      <w:r w:rsidRPr="00D85C65">
        <w:t>Pri uplatnení tejto prahovej hodnoty sa vo vzore uvádza:</w:t>
      </w:r>
    </w:p>
    <w:p w14:paraId="796D3249" w14:textId="77777777" w:rsidR="00235D9D" w:rsidRPr="00D85C65" w:rsidRDefault="00125707">
      <w:pPr>
        <w:pStyle w:val="InstructionsText2"/>
        <w:numPr>
          <w:ilvl w:val="0"/>
          <w:numId w:val="0"/>
        </w:numPr>
        <w:ind w:left="993"/>
      </w:pPr>
      <w:r w:rsidRPr="00D85C65">
        <w:t>a)</w:t>
      </w:r>
      <w:r w:rsidRPr="00D85C65">
        <w:tab/>
        <w:t>najväčšia udalosť za každý druh udalosti za predpokladu, že inštitúcia identifikovala druhy udalostí pre straty; a</w:t>
      </w:r>
    </w:p>
    <w:p w14:paraId="6D2F0F68" w14:textId="2B4462A0" w:rsidR="00235D9D" w:rsidRPr="00D85C65" w:rsidRDefault="00125707">
      <w:pPr>
        <w:pStyle w:val="InstructionsText2"/>
        <w:numPr>
          <w:ilvl w:val="0"/>
          <w:numId w:val="0"/>
        </w:numPr>
        <w:ind w:left="993"/>
      </w:pPr>
      <w:r w:rsidRPr="00D85C65">
        <w:t>b)</w:t>
      </w:r>
      <w:r w:rsidRPr="00D85C65">
        <w:tab/>
        <w:t xml:space="preserve"> desať najväčších zostávajúcich udalostí, či už</w:t>
      </w:r>
      <w:r w:rsidR="00D85C65">
        <w:t xml:space="preserve"> s </w:t>
      </w:r>
      <w:r w:rsidRPr="00D85C65">
        <w:t>identifikovaným druhom udalosti alebo bez neho, podľa výšky hrubej straty.</w:t>
      </w:r>
    </w:p>
    <w:p w14:paraId="416EF068" w14:textId="194599A2" w:rsidR="00235D9D" w:rsidRPr="00D85C65" w:rsidRDefault="00125707">
      <w:pPr>
        <w:pStyle w:val="InstructionsText2"/>
        <w:numPr>
          <w:ilvl w:val="0"/>
          <w:numId w:val="0"/>
        </w:numPr>
        <w:ind w:left="993"/>
      </w:pPr>
      <w:r w:rsidRPr="00D85C65">
        <w:t>c)</w:t>
      </w:r>
      <w:r w:rsidRPr="00D85C65">
        <w:tab/>
        <w:t>Stratové udalosti sú zoradené na základe hrubej straty, ktorá im bola pripísaná.</w:t>
      </w:r>
    </w:p>
    <w:p w14:paraId="5809A7B6" w14:textId="1E238DAE" w:rsidR="00235D9D" w:rsidRPr="00D85C65" w:rsidRDefault="00125707">
      <w:pPr>
        <w:pStyle w:val="InstructionsText2"/>
        <w:numPr>
          <w:ilvl w:val="0"/>
          <w:numId w:val="0"/>
        </w:numPr>
        <w:ind w:left="993"/>
      </w:pPr>
      <w:r w:rsidRPr="00D85C65">
        <w:t>d)</w:t>
      </w:r>
      <w:r w:rsidRPr="00D85C65">
        <w:tab/>
        <w:t>Stratová udalosť sa zohľadňuje len raz.</w:t>
      </w:r>
    </w:p>
    <w:p w14:paraId="0573DA78" w14:textId="2945F859" w:rsidR="00235D9D" w:rsidRPr="00D85C65" w:rsidRDefault="00125707">
      <w:pPr>
        <w:pStyle w:val="Instructionsberschrift2"/>
        <w:numPr>
          <w:ilvl w:val="0"/>
          <w:numId w:val="0"/>
        </w:numPr>
        <w:ind w:left="357" w:hanging="357"/>
        <w:rPr>
          <w:rFonts w:ascii="Times New Roman" w:hAnsi="Times New Roman" w:cs="Times New Roman"/>
          <w:sz w:val="24"/>
        </w:rPr>
      </w:pPr>
      <w:bookmarkStart w:id="81" w:name="_Toc29994524"/>
      <w:r w:rsidRPr="00D85C65">
        <w:rPr>
          <w:rFonts w:ascii="Times New Roman" w:hAnsi="Times New Roman"/>
          <w:sz w:val="24"/>
          <w:u w:val="none"/>
        </w:rPr>
        <w:lastRenderedPageBreak/>
        <w:t>4.2.3.2.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235D9D" w:rsidRPr="00D85C65" w14:paraId="7B50679A" w14:textId="77777777" w:rsidTr="00672D2A">
        <w:tc>
          <w:tcPr>
            <w:tcW w:w="9288" w:type="dxa"/>
            <w:gridSpan w:val="2"/>
            <w:shd w:val="clear" w:color="auto" w:fill="BFBFBF"/>
          </w:tcPr>
          <w:p w14:paraId="4890EFE8" w14:textId="77777777" w:rsidR="00235D9D" w:rsidRPr="00D85C65" w:rsidRDefault="00FD54FC">
            <w:pPr>
              <w:rPr>
                <w:rFonts w:ascii="Times New Roman" w:hAnsi="Times New Roman"/>
                <w:sz w:val="24"/>
              </w:rPr>
            </w:pPr>
            <w:r w:rsidRPr="00D85C65">
              <w:rPr>
                <w:rFonts w:ascii="Times New Roman" w:hAnsi="Times New Roman"/>
                <w:b/>
                <w:bCs/>
                <w:sz w:val="24"/>
              </w:rPr>
              <w:t>Stĺpce</w:t>
            </w:r>
          </w:p>
        </w:tc>
      </w:tr>
      <w:tr w:rsidR="00235D9D" w:rsidRPr="00D85C65" w14:paraId="748A91C9" w14:textId="77777777" w:rsidTr="00672D2A">
        <w:tc>
          <w:tcPr>
            <w:tcW w:w="959" w:type="dxa"/>
            <w:shd w:val="clear" w:color="auto" w:fill="auto"/>
          </w:tcPr>
          <w:p w14:paraId="56A3745B" w14:textId="77777777" w:rsidR="00235D9D" w:rsidRPr="00D85C65" w:rsidRDefault="00C93FC2">
            <w:pPr>
              <w:rPr>
                <w:rFonts w:ascii="Times New Roman" w:hAnsi="Times New Roman"/>
                <w:sz w:val="24"/>
              </w:rPr>
            </w:pPr>
            <w:r w:rsidRPr="00D85C65">
              <w:rPr>
                <w:rFonts w:ascii="Times New Roman" w:hAnsi="Times New Roman"/>
                <w:sz w:val="24"/>
              </w:rPr>
              <w:t>0010</w:t>
            </w:r>
          </w:p>
        </w:tc>
        <w:tc>
          <w:tcPr>
            <w:tcW w:w="8329" w:type="dxa"/>
            <w:shd w:val="clear" w:color="auto" w:fill="auto"/>
          </w:tcPr>
          <w:p w14:paraId="57B3B92C" w14:textId="77777777" w:rsidR="00235D9D" w:rsidRPr="00D85C65" w:rsidRDefault="00FD54FC">
            <w:pPr>
              <w:rPr>
                <w:rFonts w:ascii="Times New Roman" w:hAnsi="Times New Roman"/>
                <w:sz w:val="24"/>
              </w:rPr>
            </w:pPr>
            <w:r w:rsidRPr="00D85C65">
              <w:rPr>
                <w:rStyle w:val="InstructionsTabelleberschrift"/>
                <w:rFonts w:ascii="Times New Roman" w:hAnsi="Times New Roman"/>
                <w:sz w:val="24"/>
              </w:rPr>
              <w:t>Identifikačný kód udalosti</w:t>
            </w:r>
          </w:p>
          <w:p w14:paraId="0826ECC8" w14:textId="021149F1" w:rsidR="00D85C65" w:rsidRDefault="00FD54FC">
            <w:pPr>
              <w:rPr>
                <w:rFonts w:ascii="Times New Roman" w:hAnsi="Times New Roman"/>
                <w:sz w:val="24"/>
              </w:rPr>
            </w:pPr>
            <w:r w:rsidRPr="00D85C65">
              <w:rPr>
                <w:rFonts w:ascii="Times New Roman" w:hAnsi="Times New Roman"/>
                <w:sz w:val="24"/>
              </w:rPr>
              <w:t>Identifikačný kód udalosti je identifikátorom riadku</w:t>
            </w:r>
            <w:r w:rsidR="00D85C65">
              <w:rPr>
                <w:rFonts w:ascii="Times New Roman" w:hAnsi="Times New Roman"/>
                <w:sz w:val="24"/>
              </w:rPr>
              <w:t xml:space="preserve"> a </w:t>
            </w:r>
            <w:r w:rsidRPr="00D85C65">
              <w:rPr>
                <w:rFonts w:ascii="Times New Roman" w:hAnsi="Times New Roman"/>
                <w:sz w:val="24"/>
              </w:rPr>
              <w:t>musí byť pre každý riadok vzoru jednoznačný</w:t>
            </w:r>
            <w:r w:rsidR="00D85C65">
              <w:rPr>
                <w:rFonts w:ascii="Times New Roman" w:hAnsi="Times New Roman"/>
                <w:sz w:val="24"/>
              </w:rPr>
              <w:t>.</w:t>
            </w:r>
          </w:p>
          <w:p w14:paraId="6A5FB408" w14:textId="266628E4" w:rsidR="00235D9D" w:rsidRPr="00D85C65" w:rsidRDefault="00FD54FC">
            <w:pPr>
              <w:rPr>
                <w:rFonts w:ascii="Times New Roman" w:hAnsi="Times New Roman"/>
                <w:sz w:val="24"/>
              </w:rPr>
            </w:pPr>
            <w:r w:rsidRPr="00D85C65">
              <w:rPr>
                <w:rFonts w:ascii="Times New Roman" w:hAnsi="Times New Roman"/>
                <w:sz w:val="24"/>
              </w:rPr>
              <w:t>Keď je dostupný interný identifikačný kód, inštitúcie poskytnú interný identifikačný kód.</w:t>
            </w:r>
            <w:r w:rsidR="00D85C65">
              <w:rPr>
                <w:rFonts w:ascii="Times New Roman" w:hAnsi="Times New Roman"/>
                <w:sz w:val="24"/>
              </w:rPr>
              <w:t xml:space="preserve"> V </w:t>
            </w:r>
            <w:r w:rsidRPr="00D85C65">
              <w:rPr>
                <w:rFonts w:ascii="Times New Roman" w:hAnsi="Times New Roman"/>
                <w:sz w:val="24"/>
              </w:rPr>
              <w:t>opačnom prípade sa vykázaný identifikačný kód riadi číselným poradím 1, 2, 3 atď.</w:t>
            </w:r>
          </w:p>
        </w:tc>
      </w:tr>
      <w:tr w:rsidR="00235D9D" w:rsidRPr="00D85C65" w14:paraId="3170B641" w14:textId="77777777" w:rsidTr="00672D2A">
        <w:tc>
          <w:tcPr>
            <w:tcW w:w="959" w:type="dxa"/>
            <w:shd w:val="clear" w:color="auto" w:fill="auto"/>
          </w:tcPr>
          <w:p w14:paraId="0307C808" w14:textId="77777777" w:rsidR="00235D9D" w:rsidRPr="00D85C65" w:rsidRDefault="00C93FC2">
            <w:pPr>
              <w:rPr>
                <w:rFonts w:ascii="Times New Roman" w:hAnsi="Times New Roman"/>
                <w:sz w:val="24"/>
              </w:rPr>
            </w:pPr>
            <w:r w:rsidRPr="00D85C65">
              <w:rPr>
                <w:rFonts w:ascii="Times New Roman" w:hAnsi="Times New Roman"/>
                <w:sz w:val="24"/>
              </w:rPr>
              <w:t>0020</w:t>
            </w:r>
          </w:p>
        </w:tc>
        <w:tc>
          <w:tcPr>
            <w:tcW w:w="8329" w:type="dxa"/>
            <w:shd w:val="clear" w:color="auto" w:fill="auto"/>
          </w:tcPr>
          <w:p w14:paraId="5C917FB2"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Dátum zaúčtovania</w:t>
            </w:r>
          </w:p>
          <w:p w14:paraId="54DCB09F" w14:textId="131C29AC" w:rsidR="00235D9D" w:rsidRPr="00D85C65" w:rsidRDefault="00FD54FC">
            <w:pPr>
              <w:rPr>
                <w:rFonts w:ascii="Times New Roman" w:hAnsi="Times New Roman"/>
                <w:sz w:val="24"/>
              </w:rPr>
            </w:pPr>
            <w:r w:rsidRPr="00D85C65">
              <w:rPr>
                <w:rFonts w:ascii="Times New Roman" w:hAnsi="Times New Roman"/>
                <w:sz w:val="24"/>
              </w:rPr>
              <w:t>Dátum zaúčtovania je dátum, keď bola strata alebo rezerva na straty</w:t>
            </w:r>
            <w:r w:rsidR="00D85C65">
              <w:rPr>
                <w:rFonts w:ascii="Times New Roman" w:hAnsi="Times New Roman"/>
                <w:sz w:val="24"/>
              </w:rPr>
              <w:t xml:space="preserve"> z </w:t>
            </w:r>
            <w:r w:rsidRPr="00D85C65">
              <w:rPr>
                <w:rFonts w:ascii="Times New Roman" w:hAnsi="Times New Roman"/>
                <w:sz w:val="24"/>
              </w:rPr>
              <w:t>operačného rizika prvýkrát vykázaná vo výkaze ziskov</w:t>
            </w:r>
            <w:r w:rsidR="00D85C65">
              <w:rPr>
                <w:rFonts w:ascii="Times New Roman" w:hAnsi="Times New Roman"/>
                <w:sz w:val="24"/>
              </w:rPr>
              <w:t xml:space="preserve"> a </w:t>
            </w:r>
            <w:r w:rsidRPr="00D85C65">
              <w:rPr>
                <w:rFonts w:ascii="Times New Roman" w:hAnsi="Times New Roman"/>
                <w:sz w:val="24"/>
              </w:rPr>
              <w:t xml:space="preserve">strát. </w:t>
            </w:r>
          </w:p>
        </w:tc>
      </w:tr>
      <w:tr w:rsidR="00235D9D" w:rsidRPr="00D85C65" w14:paraId="41A2B7D3" w14:textId="77777777" w:rsidTr="00672D2A">
        <w:tc>
          <w:tcPr>
            <w:tcW w:w="959" w:type="dxa"/>
            <w:shd w:val="clear" w:color="auto" w:fill="auto"/>
          </w:tcPr>
          <w:p w14:paraId="4C0CA412" w14:textId="77777777" w:rsidR="00235D9D" w:rsidRPr="00D85C65" w:rsidRDefault="00C93FC2">
            <w:pPr>
              <w:rPr>
                <w:rFonts w:ascii="Times New Roman" w:hAnsi="Times New Roman"/>
                <w:sz w:val="24"/>
              </w:rPr>
            </w:pPr>
            <w:r w:rsidRPr="00D85C65">
              <w:rPr>
                <w:rFonts w:ascii="Times New Roman" w:hAnsi="Times New Roman"/>
                <w:sz w:val="24"/>
              </w:rPr>
              <w:t>0030</w:t>
            </w:r>
          </w:p>
        </w:tc>
        <w:tc>
          <w:tcPr>
            <w:tcW w:w="8329" w:type="dxa"/>
            <w:shd w:val="clear" w:color="auto" w:fill="auto"/>
          </w:tcPr>
          <w:p w14:paraId="1BFF12D2"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Dátum výskytu udalosti</w:t>
            </w:r>
          </w:p>
          <w:p w14:paraId="2381B252" w14:textId="6CB49C28" w:rsidR="00235D9D" w:rsidRPr="00D85C65" w:rsidRDefault="00FD54FC">
            <w:pPr>
              <w:rPr>
                <w:rFonts w:ascii="Times New Roman" w:hAnsi="Times New Roman"/>
                <w:sz w:val="24"/>
              </w:rPr>
            </w:pPr>
            <w:r w:rsidRPr="00D85C65">
              <w:rPr>
                <w:rFonts w:ascii="Times New Roman" w:hAnsi="Times New Roman"/>
                <w:sz w:val="24"/>
              </w:rPr>
              <w:t>Dátum výskytu udalosti je dátum, kedy nastala alebo sa prvýkrát začala stratová udalosť operačného rizika.</w:t>
            </w:r>
          </w:p>
        </w:tc>
      </w:tr>
      <w:tr w:rsidR="00235D9D" w:rsidRPr="00D85C65" w14:paraId="4AC525C3" w14:textId="77777777" w:rsidTr="00672D2A">
        <w:tc>
          <w:tcPr>
            <w:tcW w:w="959" w:type="dxa"/>
            <w:shd w:val="clear" w:color="auto" w:fill="auto"/>
          </w:tcPr>
          <w:p w14:paraId="1A72F0CC" w14:textId="77777777" w:rsidR="00235D9D" w:rsidRPr="00D85C65" w:rsidRDefault="00C93FC2">
            <w:pPr>
              <w:rPr>
                <w:rFonts w:ascii="Times New Roman" w:hAnsi="Times New Roman"/>
                <w:sz w:val="24"/>
              </w:rPr>
            </w:pPr>
            <w:r w:rsidRPr="00D85C65">
              <w:rPr>
                <w:rFonts w:ascii="Times New Roman" w:hAnsi="Times New Roman"/>
                <w:sz w:val="24"/>
              </w:rPr>
              <w:t>0040</w:t>
            </w:r>
          </w:p>
        </w:tc>
        <w:tc>
          <w:tcPr>
            <w:tcW w:w="8329" w:type="dxa"/>
            <w:shd w:val="clear" w:color="auto" w:fill="auto"/>
          </w:tcPr>
          <w:p w14:paraId="468C7F1A"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Dátum zistenia</w:t>
            </w:r>
          </w:p>
          <w:p w14:paraId="16F4DCBE" w14:textId="5729F619" w:rsidR="00235D9D" w:rsidRPr="00D85C65" w:rsidRDefault="00FD54FC">
            <w:pPr>
              <w:rPr>
                <w:rFonts w:ascii="Times New Roman" w:hAnsi="Times New Roman"/>
                <w:sz w:val="24"/>
              </w:rPr>
            </w:pPr>
            <w:r w:rsidRPr="00D85C65">
              <w:rPr>
                <w:rFonts w:ascii="Times New Roman" w:hAnsi="Times New Roman"/>
                <w:sz w:val="24"/>
              </w:rPr>
              <w:t>Dátum zistenia je dátum, keď sa inštitúcia dozvedela</w:t>
            </w:r>
            <w:r w:rsidR="00D85C65">
              <w:rPr>
                <w:rFonts w:ascii="Times New Roman" w:hAnsi="Times New Roman"/>
                <w:sz w:val="24"/>
              </w:rPr>
              <w:t xml:space="preserve"> o </w:t>
            </w:r>
            <w:r w:rsidRPr="00D85C65">
              <w:rPr>
                <w:rFonts w:ascii="Times New Roman" w:hAnsi="Times New Roman"/>
                <w:sz w:val="24"/>
              </w:rPr>
              <w:t>stratovej udalosti operačného rizika.</w:t>
            </w:r>
          </w:p>
        </w:tc>
      </w:tr>
      <w:tr w:rsidR="00235D9D" w:rsidRPr="00D85C65" w14:paraId="5D4DB782" w14:textId="77777777" w:rsidTr="00672D2A">
        <w:tc>
          <w:tcPr>
            <w:tcW w:w="959" w:type="dxa"/>
            <w:shd w:val="clear" w:color="auto" w:fill="auto"/>
          </w:tcPr>
          <w:p w14:paraId="08468149" w14:textId="77777777" w:rsidR="00235D9D" w:rsidRPr="00D85C65" w:rsidRDefault="00C93FC2">
            <w:pPr>
              <w:rPr>
                <w:rFonts w:ascii="Times New Roman" w:hAnsi="Times New Roman"/>
                <w:sz w:val="24"/>
              </w:rPr>
            </w:pPr>
            <w:r w:rsidRPr="00D85C65">
              <w:rPr>
                <w:rFonts w:ascii="Times New Roman" w:hAnsi="Times New Roman"/>
                <w:sz w:val="24"/>
              </w:rPr>
              <w:t>0050</w:t>
            </w:r>
          </w:p>
        </w:tc>
        <w:tc>
          <w:tcPr>
            <w:tcW w:w="8329" w:type="dxa"/>
            <w:shd w:val="clear" w:color="auto" w:fill="auto"/>
          </w:tcPr>
          <w:p w14:paraId="13DA8006" w14:textId="650648BF" w:rsidR="00235D9D" w:rsidRPr="00D85C65" w:rsidRDefault="00F41508">
            <w:pPr>
              <w:rPr>
                <w:rStyle w:val="InstructionsTabelleberschrift"/>
                <w:rFonts w:ascii="Times New Roman" w:hAnsi="Times New Roman"/>
                <w:sz w:val="24"/>
              </w:rPr>
            </w:pPr>
            <w:r w:rsidRPr="00D85C65">
              <w:rPr>
                <w:rStyle w:val="InstructionsTabelleberschrift"/>
                <w:rFonts w:ascii="Times New Roman" w:hAnsi="Times New Roman"/>
                <w:sz w:val="24"/>
              </w:rPr>
              <w:t>Druhy stratových udalostí</w:t>
            </w:r>
          </w:p>
          <w:p w14:paraId="406E29FD" w14:textId="533AC5CE" w:rsidR="00235D9D" w:rsidRPr="00D85C65" w:rsidRDefault="00F41508">
            <w:pPr>
              <w:rPr>
                <w:rFonts w:ascii="Times New Roman" w:hAnsi="Times New Roman"/>
                <w:sz w:val="24"/>
              </w:rPr>
            </w:pPr>
            <w:r w:rsidRPr="00D85C65">
              <w:rPr>
                <w:rFonts w:ascii="Times New Roman" w:hAnsi="Times New Roman"/>
                <w:sz w:val="24"/>
              </w:rPr>
              <w:t>Druhy stratových udalostí podľa článku 324 CRR.</w:t>
            </w:r>
          </w:p>
        </w:tc>
      </w:tr>
      <w:tr w:rsidR="00235D9D" w:rsidRPr="00D85C65" w14:paraId="1D660F38" w14:textId="77777777" w:rsidTr="00672D2A">
        <w:tc>
          <w:tcPr>
            <w:tcW w:w="959" w:type="dxa"/>
            <w:shd w:val="clear" w:color="auto" w:fill="auto"/>
          </w:tcPr>
          <w:p w14:paraId="0985E5F3" w14:textId="77777777" w:rsidR="00235D9D" w:rsidRPr="00D85C65" w:rsidRDefault="00C93FC2">
            <w:pPr>
              <w:rPr>
                <w:rFonts w:ascii="Times New Roman" w:hAnsi="Times New Roman"/>
                <w:sz w:val="24"/>
              </w:rPr>
            </w:pPr>
            <w:r w:rsidRPr="00D85C65">
              <w:rPr>
                <w:rFonts w:ascii="Times New Roman" w:hAnsi="Times New Roman"/>
                <w:sz w:val="24"/>
              </w:rPr>
              <w:t>0060</w:t>
            </w:r>
          </w:p>
        </w:tc>
        <w:tc>
          <w:tcPr>
            <w:tcW w:w="8329" w:type="dxa"/>
            <w:shd w:val="clear" w:color="auto" w:fill="auto"/>
          </w:tcPr>
          <w:p w14:paraId="70D34815"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Hrubá strata</w:t>
            </w:r>
          </w:p>
          <w:p w14:paraId="74813F4B" w14:textId="091A9431" w:rsidR="00235D9D" w:rsidRPr="00D85C65" w:rsidRDefault="00FD54FC">
            <w:pPr>
              <w:rPr>
                <w:rFonts w:ascii="Times New Roman" w:hAnsi="Times New Roman"/>
                <w:sz w:val="24"/>
              </w:rPr>
            </w:pPr>
            <w:r w:rsidRPr="00D85C65">
              <w:rPr>
                <w:rFonts w:ascii="Times New Roman" w:hAnsi="Times New Roman"/>
                <w:sz w:val="24"/>
              </w:rPr>
              <w:t>Hrubá strata súvisiaca so stratovou udalosťou vykázaná</w:t>
            </w:r>
            <w:r w:rsidR="00D85C65">
              <w:rPr>
                <w:rFonts w:ascii="Times New Roman" w:hAnsi="Times New Roman"/>
                <w:sz w:val="24"/>
              </w:rPr>
              <w:t xml:space="preserve"> v </w:t>
            </w:r>
            <w:r w:rsidRPr="00D85C65">
              <w:rPr>
                <w:rFonts w:ascii="Times New Roman" w:hAnsi="Times New Roman"/>
                <w:sz w:val="24"/>
              </w:rPr>
              <w:t>riadkoch 0020, 0120 atď. vzoru C 17.01.</w:t>
            </w:r>
          </w:p>
        </w:tc>
      </w:tr>
      <w:tr w:rsidR="00235D9D" w:rsidRPr="00D85C65" w14:paraId="566DE2EB" w14:textId="77777777" w:rsidTr="00672D2A">
        <w:tc>
          <w:tcPr>
            <w:tcW w:w="959" w:type="dxa"/>
            <w:shd w:val="clear" w:color="auto" w:fill="auto"/>
          </w:tcPr>
          <w:p w14:paraId="6F628B44" w14:textId="77777777" w:rsidR="00235D9D" w:rsidRPr="00D85C65" w:rsidRDefault="00C93FC2">
            <w:pPr>
              <w:rPr>
                <w:rFonts w:ascii="Times New Roman" w:hAnsi="Times New Roman"/>
                <w:sz w:val="24"/>
              </w:rPr>
            </w:pPr>
            <w:r w:rsidRPr="00D85C65">
              <w:rPr>
                <w:rFonts w:ascii="Times New Roman" w:hAnsi="Times New Roman"/>
                <w:sz w:val="24"/>
              </w:rPr>
              <w:t>0070</w:t>
            </w:r>
          </w:p>
        </w:tc>
        <w:tc>
          <w:tcPr>
            <w:tcW w:w="8329" w:type="dxa"/>
            <w:shd w:val="clear" w:color="auto" w:fill="auto"/>
          </w:tcPr>
          <w:p w14:paraId="3285AB30"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Hrubá strata po odpočítaní priamych náhrad</w:t>
            </w:r>
          </w:p>
          <w:p w14:paraId="4D05111A" w14:textId="1E656E79" w:rsidR="00235D9D" w:rsidRPr="00D85C65" w:rsidRDefault="00FD54FC">
            <w:pPr>
              <w:rPr>
                <w:rFonts w:ascii="Times New Roman" w:hAnsi="Times New Roman"/>
                <w:sz w:val="24"/>
              </w:rPr>
            </w:pPr>
            <w:r w:rsidRPr="00D85C65">
              <w:rPr>
                <w:rFonts w:ascii="Times New Roman" w:hAnsi="Times New Roman"/>
                <w:sz w:val="24"/>
              </w:rPr>
              <w:t>Hrubá strata súvisiaca so stratovou udalosťou vykázaná</w:t>
            </w:r>
            <w:r w:rsidR="00D85C65">
              <w:rPr>
                <w:rFonts w:ascii="Times New Roman" w:hAnsi="Times New Roman"/>
                <w:sz w:val="24"/>
              </w:rPr>
              <w:t xml:space="preserve"> v </w:t>
            </w:r>
            <w:r w:rsidRPr="00D85C65">
              <w:rPr>
                <w:rFonts w:ascii="Times New Roman" w:hAnsi="Times New Roman"/>
                <w:sz w:val="24"/>
              </w:rPr>
              <w:t>riadkoch 0020, 0120 atď. vzoru C 17.01 po odpočítaní priamych náhrad súvisiacich</w:t>
            </w:r>
            <w:r w:rsidR="00D85C65">
              <w:rPr>
                <w:rFonts w:ascii="Times New Roman" w:hAnsi="Times New Roman"/>
                <w:sz w:val="24"/>
              </w:rPr>
              <w:t xml:space="preserve"> s </w:t>
            </w:r>
            <w:r w:rsidRPr="00D85C65">
              <w:rPr>
                <w:rFonts w:ascii="Times New Roman" w:hAnsi="Times New Roman"/>
                <w:sz w:val="24"/>
              </w:rPr>
              <w:t>danou stratovou udalosťou.</w:t>
            </w:r>
          </w:p>
        </w:tc>
      </w:tr>
      <w:tr w:rsidR="00235D9D" w:rsidRPr="00D85C65" w14:paraId="333A6C2C" w14:textId="77777777" w:rsidTr="00672D2A">
        <w:tc>
          <w:tcPr>
            <w:tcW w:w="959" w:type="dxa"/>
            <w:shd w:val="clear" w:color="auto" w:fill="auto"/>
          </w:tcPr>
          <w:p w14:paraId="50A72E5B" w14:textId="77777777" w:rsidR="00235D9D" w:rsidRPr="00D85C65" w:rsidRDefault="00C93FC2">
            <w:pPr>
              <w:rPr>
                <w:rFonts w:ascii="Times New Roman" w:hAnsi="Times New Roman"/>
                <w:sz w:val="24"/>
              </w:rPr>
            </w:pPr>
            <w:r w:rsidRPr="00D85C65">
              <w:rPr>
                <w:rFonts w:ascii="Times New Roman" w:hAnsi="Times New Roman"/>
                <w:sz w:val="24"/>
              </w:rPr>
              <w:t>0080 – 0160</w:t>
            </w:r>
          </w:p>
        </w:tc>
        <w:tc>
          <w:tcPr>
            <w:tcW w:w="8329" w:type="dxa"/>
            <w:shd w:val="clear" w:color="auto" w:fill="auto"/>
          </w:tcPr>
          <w:p w14:paraId="38AA42DC"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Hrubá strata podľa obchodnej línie</w:t>
            </w:r>
          </w:p>
          <w:p w14:paraId="76D3B7AD" w14:textId="0F2424D2" w:rsidR="00235D9D" w:rsidRPr="00D85C65" w:rsidRDefault="00FD54FC">
            <w:pPr>
              <w:rPr>
                <w:rFonts w:ascii="Times New Roman" w:hAnsi="Times New Roman"/>
                <w:sz w:val="24"/>
              </w:rPr>
            </w:pPr>
            <w:r w:rsidRPr="00D85C65">
              <w:rPr>
                <w:rFonts w:ascii="Times New Roman" w:hAnsi="Times New Roman"/>
                <w:sz w:val="24"/>
              </w:rPr>
              <w:t>Hrubá strata, ako sa vykazuje</w:t>
            </w:r>
            <w:r w:rsidR="00D85C65">
              <w:rPr>
                <w:rFonts w:ascii="Times New Roman" w:hAnsi="Times New Roman"/>
                <w:sz w:val="24"/>
              </w:rPr>
              <w:t xml:space="preserve"> v </w:t>
            </w:r>
            <w:r w:rsidRPr="00D85C65">
              <w:rPr>
                <w:rFonts w:ascii="Times New Roman" w:hAnsi="Times New Roman"/>
                <w:sz w:val="24"/>
              </w:rPr>
              <w:t>stĺpci 0060, sa pridelí</w:t>
            </w:r>
            <w:r w:rsidR="00D85C65">
              <w:rPr>
                <w:rFonts w:ascii="Times New Roman" w:hAnsi="Times New Roman"/>
                <w:sz w:val="24"/>
              </w:rPr>
              <w:t xml:space="preserve"> k </w:t>
            </w:r>
            <w:r w:rsidRPr="00D85C65">
              <w:rPr>
                <w:rFonts w:ascii="Times New Roman" w:hAnsi="Times New Roman"/>
                <w:sz w:val="24"/>
              </w:rPr>
              <w:t>príslušným obchodným líniám, ako sú uvedené</w:t>
            </w:r>
            <w:r w:rsidR="00D85C65">
              <w:rPr>
                <w:rFonts w:ascii="Times New Roman" w:hAnsi="Times New Roman"/>
                <w:sz w:val="24"/>
              </w:rPr>
              <w:t xml:space="preserve"> v </w:t>
            </w:r>
            <w:r w:rsidRPr="00D85C65">
              <w:rPr>
                <w:rFonts w:ascii="Times New Roman" w:hAnsi="Times New Roman"/>
                <w:sz w:val="24"/>
              </w:rPr>
              <w:t>tabuľke 2 článku 317 ods. 4</w:t>
            </w:r>
            <w:r w:rsidR="00D85C65">
              <w:rPr>
                <w:rFonts w:ascii="Times New Roman" w:hAnsi="Times New Roman"/>
                <w:sz w:val="24"/>
              </w:rPr>
              <w:t xml:space="preserve"> a </w:t>
            </w:r>
            <w:r w:rsidRPr="00D85C65">
              <w:rPr>
                <w:rFonts w:ascii="Times New Roman" w:hAnsi="Times New Roman"/>
                <w:sz w:val="24"/>
              </w:rPr>
              <w:t>článku 322 ods. 3 písm. b) CRR.</w:t>
            </w:r>
          </w:p>
        </w:tc>
      </w:tr>
      <w:tr w:rsidR="00235D9D" w:rsidRPr="00D85C65" w14:paraId="26276203" w14:textId="77777777" w:rsidTr="00672D2A">
        <w:tc>
          <w:tcPr>
            <w:tcW w:w="959" w:type="dxa"/>
            <w:shd w:val="clear" w:color="auto" w:fill="auto"/>
          </w:tcPr>
          <w:p w14:paraId="6354A56E" w14:textId="77777777" w:rsidR="00235D9D" w:rsidRPr="00D85C65" w:rsidRDefault="00C93FC2">
            <w:pPr>
              <w:rPr>
                <w:rFonts w:ascii="Times New Roman" w:hAnsi="Times New Roman"/>
                <w:sz w:val="24"/>
              </w:rPr>
            </w:pPr>
            <w:r w:rsidRPr="00D85C65">
              <w:rPr>
                <w:rFonts w:ascii="Times New Roman" w:hAnsi="Times New Roman"/>
                <w:sz w:val="24"/>
              </w:rPr>
              <w:t>0170</w:t>
            </w:r>
          </w:p>
        </w:tc>
        <w:tc>
          <w:tcPr>
            <w:tcW w:w="8329" w:type="dxa"/>
            <w:shd w:val="clear" w:color="auto" w:fill="auto"/>
          </w:tcPr>
          <w:p w14:paraId="415B57CF"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Názov právneho subjektu</w:t>
            </w:r>
          </w:p>
          <w:p w14:paraId="68447AC9" w14:textId="2F3AB662" w:rsidR="00235D9D" w:rsidRPr="00D85C65" w:rsidRDefault="00FD54FC">
            <w:pPr>
              <w:rPr>
                <w:rFonts w:ascii="Times New Roman" w:hAnsi="Times New Roman"/>
                <w:sz w:val="24"/>
              </w:rPr>
            </w:pPr>
            <w:r w:rsidRPr="00D85C65">
              <w:rPr>
                <w:rFonts w:ascii="Times New Roman" w:hAnsi="Times New Roman"/>
                <w:sz w:val="24"/>
              </w:rPr>
              <w:t>Názov právneho subjektu, ako sa vykazuje</w:t>
            </w:r>
            <w:r w:rsidR="00D85C65">
              <w:rPr>
                <w:rFonts w:ascii="Times New Roman" w:hAnsi="Times New Roman"/>
                <w:sz w:val="24"/>
              </w:rPr>
              <w:t xml:space="preserve"> v </w:t>
            </w:r>
            <w:r w:rsidRPr="00D85C65">
              <w:rPr>
                <w:rFonts w:ascii="Times New Roman" w:hAnsi="Times New Roman"/>
                <w:sz w:val="24"/>
              </w:rPr>
              <w:t>stĺpci 010 vzoru C 06.02,</w:t>
            </w:r>
            <w:r w:rsidR="00D85C65">
              <w:rPr>
                <w:rFonts w:ascii="Times New Roman" w:hAnsi="Times New Roman"/>
                <w:sz w:val="24"/>
              </w:rPr>
              <w:t xml:space="preserve"> v </w:t>
            </w:r>
            <w:r w:rsidRPr="00D85C65">
              <w:rPr>
                <w:rFonts w:ascii="Times New Roman" w:hAnsi="Times New Roman"/>
                <w:sz w:val="24"/>
              </w:rPr>
              <w:t>ktorom nastala strata (alebo najväčší podiel strát</w:t>
            </w:r>
            <w:r w:rsidR="00D85C65">
              <w:rPr>
                <w:rFonts w:ascii="Times New Roman" w:hAnsi="Times New Roman"/>
                <w:sz w:val="24"/>
              </w:rPr>
              <w:t xml:space="preserve"> v </w:t>
            </w:r>
            <w:r w:rsidRPr="00D85C65">
              <w:rPr>
                <w:rFonts w:ascii="Times New Roman" w:hAnsi="Times New Roman"/>
                <w:sz w:val="24"/>
              </w:rPr>
              <w:t>prípade, že bolo zasiahnutých niekoľko subjektov).</w:t>
            </w:r>
          </w:p>
        </w:tc>
      </w:tr>
      <w:tr w:rsidR="00235D9D" w:rsidRPr="00D85C65" w14:paraId="7F2AE553" w14:textId="77777777" w:rsidTr="00672D2A">
        <w:tc>
          <w:tcPr>
            <w:tcW w:w="959" w:type="dxa"/>
            <w:shd w:val="clear" w:color="auto" w:fill="auto"/>
          </w:tcPr>
          <w:p w14:paraId="4FE7E3A2" w14:textId="77777777" w:rsidR="00235D9D" w:rsidRPr="00D85C65" w:rsidRDefault="00C93FC2">
            <w:pPr>
              <w:rPr>
                <w:rFonts w:ascii="Times New Roman" w:hAnsi="Times New Roman"/>
                <w:sz w:val="24"/>
              </w:rPr>
            </w:pPr>
            <w:r w:rsidRPr="00D85C65">
              <w:rPr>
                <w:rFonts w:ascii="Times New Roman" w:hAnsi="Times New Roman"/>
                <w:sz w:val="24"/>
              </w:rPr>
              <w:t>0180</w:t>
            </w:r>
          </w:p>
        </w:tc>
        <w:tc>
          <w:tcPr>
            <w:tcW w:w="8329" w:type="dxa"/>
            <w:shd w:val="clear" w:color="auto" w:fill="auto"/>
          </w:tcPr>
          <w:p w14:paraId="0E148FD4"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Identifikačný kód právneho subjektu</w:t>
            </w:r>
          </w:p>
          <w:p w14:paraId="45DE608D" w14:textId="300F4D5E" w:rsidR="00235D9D" w:rsidRPr="00D85C65" w:rsidRDefault="00FD54FC">
            <w:pPr>
              <w:rPr>
                <w:rFonts w:ascii="Times New Roman" w:hAnsi="Times New Roman"/>
                <w:sz w:val="24"/>
              </w:rPr>
            </w:pPr>
            <w:r w:rsidRPr="00D85C65">
              <w:rPr>
                <w:rFonts w:ascii="Times New Roman" w:hAnsi="Times New Roman"/>
                <w:sz w:val="24"/>
              </w:rPr>
              <w:lastRenderedPageBreak/>
              <w:t>Kód LEI právneho subjektu, ako sa vykazuje</w:t>
            </w:r>
            <w:r w:rsidR="00D85C65">
              <w:rPr>
                <w:rFonts w:ascii="Times New Roman" w:hAnsi="Times New Roman"/>
                <w:sz w:val="24"/>
              </w:rPr>
              <w:t xml:space="preserve"> v </w:t>
            </w:r>
            <w:r w:rsidRPr="00D85C65">
              <w:rPr>
                <w:rFonts w:ascii="Times New Roman" w:hAnsi="Times New Roman"/>
                <w:sz w:val="24"/>
              </w:rPr>
              <w:t>stĺpci 025 vzoru C 06.02,</w:t>
            </w:r>
            <w:r w:rsidR="00D85C65">
              <w:rPr>
                <w:rFonts w:ascii="Times New Roman" w:hAnsi="Times New Roman"/>
                <w:sz w:val="24"/>
              </w:rPr>
              <w:t xml:space="preserve"> v </w:t>
            </w:r>
            <w:r w:rsidRPr="00D85C65">
              <w:rPr>
                <w:rFonts w:ascii="Times New Roman" w:hAnsi="Times New Roman"/>
                <w:sz w:val="24"/>
              </w:rPr>
              <w:t>ktorom nastala strata (alebo najväčší podiel strát</w:t>
            </w:r>
            <w:r w:rsidR="00D85C65">
              <w:rPr>
                <w:rFonts w:ascii="Times New Roman" w:hAnsi="Times New Roman"/>
                <w:sz w:val="24"/>
              </w:rPr>
              <w:t xml:space="preserve"> v </w:t>
            </w:r>
            <w:r w:rsidRPr="00D85C65">
              <w:rPr>
                <w:rFonts w:ascii="Times New Roman" w:hAnsi="Times New Roman"/>
                <w:sz w:val="24"/>
              </w:rPr>
              <w:t>prípade, že bolo zasiahnutých niekoľko subjektov).</w:t>
            </w:r>
          </w:p>
        </w:tc>
      </w:tr>
      <w:tr w:rsidR="00235D9D" w:rsidRPr="00D85C65" w14:paraId="14CE4235" w14:textId="77777777" w:rsidTr="00672D2A">
        <w:tc>
          <w:tcPr>
            <w:tcW w:w="959" w:type="dxa"/>
            <w:shd w:val="clear" w:color="auto" w:fill="auto"/>
          </w:tcPr>
          <w:p w14:paraId="2BAC94C5" w14:textId="77777777" w:rsidR="00235D9D" w:rsidRPr="00D85C65" w:rsidRDefault="00C93FC2">
            <w:pPr>
              <w:rPr>
                <w:rFonts w:ascii="Times New Roman" w:hAnsi="Times New Roman"/>
                <w:sz w:val="24"/>
              </w:rPr>
            </w:pPr>
            <w:r w:rsidRPr="00D85C65">
              <w:rPr>
                <w:rFonts w:ascii="Times New Roman" w:hAnsi="Times New Roman"/>
                <w:sz w:val="24"/>
              </w:rPr>
              <w:lastRenderedPageBreak/>
              <w:t>0190</w:t>
            </w:r>
          </w:p>
        </w:tc>
        <w:tc>
          <w:tcPr>
            <w:tcW w:w="8329" w:type="dxa"/>
            <w:shd w:val="clear" w:color="auto" w:fill="auto"/>
          </w:tcPr>
          <w:p w14:paraId="16D40789"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Obchodný útvar</w:t>
            </w:r>
          </w:p>
          <w:p w14:paraId="5F31CE90" w14:textId="08EAF8A8" w:rsidR="00235D9D" w:rsidRPr="00D85C65" w:rsidRDefault="00FD54FC">
            <w:pPr>
              <w:rPr>
                <w:rFonts w:ascii="Times New Roman" w:hAnsi="Times New Roman"/>
                <w:sz w:val="24"/>
              </w:rPr>
            </w:pPr>
            <w:r w:rsidRPr="00D85C65">
              <w:rPr>
                <w:rFonts w:ascii="Times New Roman" w:hAnsi="Times New Roman"/>
                <w:sz w:val="24"/>
              </w:rPr>
              <w:t>Obchodný útvar alebo podnikové oddelenie inštitúcie,</w:t>
            </w:r>
            <w:r w:rsidR="00D85C65">
              <w:rPr>
                <w:rFonts w:ascii="Times New Roman" w:hAnsi="Times New Roman"/>
                <w:sz w:val="24"/>
              </w:rPr>
              <w:t xml:space="preserve"> v </w:t>
            </w:r>
            <w:r w:rsidRPr="00D85C65">
              <w:rPr>
                <w:rFonts w:ascii="Times New Roman" w:hAnsi="Times New Roman"/>
                <w:sz w:val="24"/>
              </w:rPr>
              <w:t>ktorom nastala strata (alebo najväčší podiel strát</w:t>
            </w:r>
            <w:r w:rsidR="00D85C65">
              <w:rPr>
                <w:rFonts w:ascii="Times New Roman" w:hAnsi="Times New Roman"/>
                <w:sz w:val="24"/>
              </w:rPr>
              <w:t xml:space="preserve"> v </w:t>
            </w:r>
            <w:r w:rsidRPr="00D85C65">
              <w:rPr>
                <w:rFonts w:ascii="Times New Roman" w:hAnsi="Times New Roman"/>
                <w:sz w:val="24"/>
              </w:rPr>
              <w:t>prípade, že bolo zasiahnutých niekoľko obchodných útvarov alebo podnikových oddelení).</w:t>
            </w:r>
          </w:p>
        </w:tc>
      </w:tr>
      <w:tr w:rsidR="00235D9D" w:rsidRPr="00D85C65" w14:paraId="2E2FC3F2" w14:textId="77777777" w:rsidTr="00672D2A">
        <w:tc>
          <w:tcPr>
            <w:tcW w:w="959" w:type="dxa"/>
            <w:shd w:val="clear" w:color="auto" w:fill="auto"/>
          </w:tcPr>
          <w:p w14:paraId="47CEA134" w14:textId="77777777" w:rsidR="00235D9D" w:rsidRPr="00D85C65" w:rsidRDefault="00C93FC2">
            <w:pPr>
              <w:rPr>
                <w:rFonts w:ascii="Times New Roman" w:hAnsi="Times New Roman"/>
                <w:sz w:val="24"/>
              </w:rPr>
            </w:pPr>
            <w:r w:rsidRPr="00D85C65">
              <w:rPr>
                <w:rFonts w:ascii="Times New Roman" w:hAnsi="Times New Roman"/>
                <w:sz w:val="24"/>
              </w:rPr>
              <w:t>0200</w:t>
            </w:r>
          </w:p>
        </w:tc>
        <w:tc>
          <w:tcPr>
            <w:tcW w:w="8329" w:type="dxa"/>
            <w:shd w:val="clear" w:color="auto" w:fill="auto"/>
          </w:tcPr>
          <w:p w14:paraId="5D0B1956" w14:textId="77777777" w:rsidR="00235D9D" w:rsidRPr="00D85C65" w:rsidRDefault="00FD54FC">
            <w:pPr>
              <w:rPr>
                <w:rStyle w:val="InstructionsTabelleberschrift"/>
                <w:rFonts w:ascii="Times New Roman" w:hAnsi="Times New Roman"/>
                <w:sz w:val="24"/>
              </w:rPr>
            </w:pPr>
            <w:r w:rsidRPr="00D85C65">
              <w:rPr>
                <w:rStyle w:val="InstructionsTabelleberschrift"/>
                <w:rFonts w:ascii="Times New Roman" w:hAnsi="Times New Roman"/>
                <w:sz w:val="24"/>
              </w:rPr>
              <w:t>Opis</w:t>
            </w:r>
          </w:p>
          <w:p w14:paraId="0DD7E318" w14:textId="281963FB" w:rsidR="00235D9D" w:rsidRPr="00D85C65" w:rsidRDefault="00FD54FC">
            <w:pPr>
              <w:rPr>
                <w:rFonts w:ascii="Times New Roman" w:hAnsi="Times New Roman"/>
                <w:sz w:val="24"/>
              </w:rPr>
            </w:pPr>
            <w:r w:rsidRPr="00D85C65">
              <w:rPr>
                <w:rFonts w:ascii="Times New Roman" w:hAnsi="Times New Roman"/>
                <w:sz w:val="24"/>
              </w:rPr>
              <w:t>Podrobný opis stratovej udalosti,</w:t>
            </w:r>
            <w:r w:rsidR="00D85C65">
              <w:rPr>
                <w:rFonts w:ascii="Times New Roman" w:hAnsi="Times New Roman"/>
                <w:sz w:val="24"/>
              </w:rPr>
              <w:t xml:space="preserve"> v </w:t>
            </w:r>
            <w:r w:rsidRPr="00D85C65">
              <w:rPr>
                <w:rFonts w:ascii="Times New Roman" w:hAnsi="Times New Roman"/>
                <w:sz w:val="24"/>
              </w:rPr>
              <w:t>prípade potreby všeobecný alebo anonymizovaný, ktorý obsahuje aspoň informácie</w:t>
            </w:r>
            <w:r w:rsidR="00D85C65">
              <w:rPr>
                <w:rFonts w:ascii="Times New Roman" w:hAnsi="Times New Roman"/>
                <w:sz w:val="24"/>
              </w:rPr>
              <w:t xml:space="preserve"> o </w:t>
            </w:r>
            <w:r w:rsidRPr="00D85C65">
              <w:rPr>
                <w:rFonts w:ascii="Times New Roman" w:hAnsi="Times New Roman"/>
                <w:sz w:val="24"/>
              </w:rPr>
              <w:t>samotnej udalosti</w:t>
            </w:r>
            <w:r w:rsidR="00D85C65">
              <w:rPr>
                <w:rFonts w:ascii="Times New Roman" w:hAnsi="Times New Roman"/>
                <w:sz w:val="24"/>
              </w:rPr>
              <w:t xml:space="preserve"> a </w:t>
            </w:r>
            <w:r w:rsidRPr="00D85C65">
              <w:rPr>
                <w:rFonts w:ascii="Times New Roman" w:hAnsi="Times New Roman"/>
                <w:sz w:val="24"/>
              </w:rPr>
              <w:t>informácie</w:t>
            </w:r>
            <w:r w:rsidR="00D85C65">
              <w:rPr>
                <w:rFonts w:ascii="Times New Roman" w:hAnsi="Times New Roman"/>
                <w:sz w:val="24"/>
              </w:rPr>
              <w:t xml:space="preserve"> o </w:t>
            </w:r>
            <w:r w:rsidRPr="00D85C65">
              <w:rPr>
                <w:rFonts w:ascii="Times New Roman" w:hAnsi="Times New Roman"/>
                <w:sz w:val="24"/>
              </w:rPr>
              <w:t>faktoroch</w:t>
            </w:r>
            <w:r w:rsidR="00D85C65">
              <w:rPr>
                <w:rFonts w:ascii="Times New Roman" w:hAnsi="Times New Roman"/>
                <w:sz w:val="24"/>
              </w:rPr>
              <w:t xml:space="preserve"> a </w:t>
            </w:r>
            <w:r w:rsidRPr="00D85C65">
              <w:rPr>
                <w:rFonts w:ascii="Times New Roman" w:hAnsi="Times New Roman"/>
                <w:sz w:val="24"/>
              </w:rPr>
              <w:t>príčinách stratovej udalosti, ak sú známe.</w:t>
            </w:r>
          </w:p>
        </w:tc>
      </w:tr>
    </w:tbl>
    <w:p w14:paraId="797CE58A" w14:textId="77777777" w:rsidR="00235D9D" w:rsidRPr="00D85C65" w:rsidRDefault="00235D9D">
      <w:pPr>
        <w:spacing w:after="0"/>
        <w:rPr>
          <w:rFonts w:ascii="Times New Roman" w:hAnsi="Times New Roman"/>
          <w:sz w:val="24"/>
        </w:rPr>
      </w:pPr>
    </w:p>
    <w:p w14:paraId="477EDC0A" w14:textId="77777777" w:rsidR="00235D9D" w:rsidRPr="00D85C65" w:rsidRDefault="00AC6255">
      <w:pPr>
        <w:spacing w:before="0" w:after="0"/>
        <w:jc w:val="left"/>
        <w:rPr>
          <w:rStyle w:val="InstructionsTabelleText"/>
          <w:rFonts w:ascii="Times New Roman" w:hAnsi="Times New Roman"/>
          <w:sz w:val="24"/>
        </w:rPr>
      </w:pPr>
      <w:r w:rsidRPr="00D85C65">
        <w:rPr>
          <w:sz w:val="24"/>
        </w:rPr>
        <w:br w:type="page"/>
      </w:r>
    </w:p>
    <w:p w14:paraId="68CC3DAD"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82" w:name="_Toc29994525"/>
      <w:r w:rsidRPr="00D85C65">
        <w:rPr>
          <w:rFonts w:ascii="Times New Roman" w:hAnsi="Times New Roman"/>
          <w:sz w:val="24"/>
          <w:u w:val="none"/>
        </w:rPr>
        <w:lastRenderedPageBreak/>
        <w:t>5.</w:t>
      </w:r>
      <w:r w:rsidRPr="00D85C65">
        <w:rPr>
          <w:rFonts w:ascii="Times New Roman" w:hAnsi="Times New Roman"/>
          <w:sz w:val="24"/>
          <w:u w:val="none"/>
        </w:rPr>
        <w:tab/>
      </w:r>
      <w:r w:rsidRPr="00D85C65">
        <w:rPr>
          <w:rFonts w:ascii="Times New Roman" w:hAnsi="Times New Roman"/>
          <w:sz w:val="24"/>
        </w:rPr>
        <w:t>Vzory pre trhové riziko</w:t>
      </w:r>
      <w:bookmarkEnd w:id="82"/>
    </w:p>
    <w:p w14:paraId="06D1676C" w14:textId="0C6F8344" w:rsidR="00D85C65" w:rsidRDefault="00125707">
      <w:pPr>
        <w:pStyle w:val="InstructionsText2"/>
        <w:numPr>
          <w:ilvl w:val="0"/>
          <w:numId w:val="0"/>
        </w:numPr>
        <w:ind w:left="993"/>
      </w:pPr>
      <w:r w:rsidRPr="00D85C65">
        <w:t>137.</w:t>
      </w:r>
      <w:r w:rsidRPr="00D85C65">
        <w:tab/>
        <w:t xml:space="preserve"> Tieto pokyny sa vzťahujú na vzory,</w:t>
      </w:r>
      <w:r w:rsidR="00D85C65">
        <w:t xml:space="preserve"> v </w:t>
      </w:r>
      <w:r w:rsidRPr="00D85C65">
        <w:t>ktorých sa vykazuje výpočet požiadaviek na vlastné zdroje podľa štandardizovaného prístupu pre devízové riziko (MKR SA FX), komoditné riziko (MKR SA COM), úrokové riziko (MKR SA TDI, MKR SA SEC, MKR SA CTP)</w:t>
      </w:r>
      <w:r w:rsidR="00D85C65">
        <w:t xml:space="preserve"> a </w:t>
      </w:r>
      <w:r w:rsidRPr="00D85C65">
        <w:t>kapitálové riziko (MKR SA EQU). Okrem toho sa</w:t>
      </w:r>
      <w:r w:rsidR="00D85C65">
        <w:t xml:space="preserve"> v </w:t>
      </w:r>
      <w:r w:rsidRPr="00D85C65">
        <w:t>tejto časti uvádzajú aj pokyny pre vzor pre vykazovanie výpočtu požiadaviek na vlastné zdroje podľa prístupu interných modelov (MKR IM)</w:t>
      </w:r>
      <w:r w:rsidR="00D85C65">
        <w:t>.</w:t>
      </w:r>
    </w:p>
    <w:p w14:paraId="0BAF84E5" w14:textId="2E8C8DD9" w:rsidR="00D85C65" w:rsidRDefault="00125707">
      <w:pPr>
        <w:pStyle w:val="InstructionsText2"/>
        <w:numPr>
          <w:ilvl w:val="0"/>
          <w:numId w:val="0"/>
        </w:numPr>
        <w:ind w:left="993"/>
      </w:pPr>
      <w:r w:rsidRPr="00D85C65">
        <w:t>138.</w:t>
      </w:r>
      <w:r w:rsidRPr="00D85C65">
        <w:tab/>
        <w:t xml:space="preserve"> Pozičné riziko obchodovaných dlhových nástrojov alebo kapitálových cenných papierov (alebo dlhového alebo akciového derivátu) sa rozdeľuje na dve zložky, aby sa mohol vypočítať kapitál požadovaný na krytie tohto rizika. Prvá zložka je pre špecifické riziko – ide</w:t>
      </w:r>
      <w:r w:rsidR="00D85C65">
        <w:t xml:space="preserve"> o </w:t>
      </w:r>
      <w:r w:rsidRPr="00D85C65">
        <w:t>riziko zmeny ceny príslušného nástroja</w:t>
      </w:r>
      <w:r w:rsidR="00D85C65">
        <w:t xml:space="preserve"> v </w:t>
      </w:r>
      <w:r w:rsidRPr="00D85C65">
        <w:t>dôsledku skutočností spojených</w:t>
      </w:r>
      <w:r w:rsidR="00D85C65">
        <w:t xml:space="preserve"> s </w:t>
      </w:r>
      <w:r w:rsidRPr="00D85C65">
        <w:t>jeho emitentom alebo</w:t>
      </w:r>
      <w:r w:rsidR="00D85C65">
        <w:t xml:space="preserve"> v </w:t>
      </w:r>
      <w:r w:rsidRPr="00D85C65">
        <w:t>prípade derivátu</w:t>
      </w:r>
      <w:r w:rsidR="00D85C65">
        <w:t xml:space="preserve"> s </w:t>
      </w:r>
      <w:r w:rsidRPr="00D85C65">
        <w:t>emitentom podkladového nástroja. Druhá zložka pokrýva jeho všeobecné riziko – ide</w:t>
      </w:r>
      <w:r w:rsidR="00D85C65">
        <w:t xml:space="preserve"> o </w:t>
      </w:r>
      <w:r w:rsidRPr="00D85C65">
        <w:t>riziko zmeny ceny nástroja</w:t>
      </w:r>
      <w:r w:rsidR="00D85C65">
        <w:t xml:space="preserve"> v </w:t>
      </w:r>
      <w:r w:rsidRPr="00D85C65">
        <w:t>dôsledku (v prípade obchodovaného dlhového nástroja alebo dlhového derivátu) zmeny úrovne úrokových sadzieb alebo (v prípade kapitálového cenného papiera alebo akciového derivátu)</w:t>
      </w:r>
      <w:r w:rsidR="00D85C65">
        <w:t xml:space="preserve"> v </w:t>
      </w:r>
      <w:r w:rsidRPr="00D85C65">
        <w:t>dôsledku zmien na akciovom trhu zo širšieho pohľadu bez vzťahu</w:t>
      </w:r>
      <w:r w:rsidR="00D85C65">
        <w:t xml:space="preserve"> k </w:t>
      </w:r>
      <w:r w:rsidRPr="00D85C65">
        <w:t>akýmkoľvek špecifickým atribútom jednotlivých cenných papierov. Všeobecné zaobchádzanie</w:t>
      </w:r>
      <w:r w:rsidR="00D85C65">
        <w:t xml:space="preserve"> s </w:t>
      </w:r>
      <w:r w:rsidRPr="00D85C65">
        <w:t>konkrétnymi nástrojmi</w:t>
      </w:r>
      <w:r w:rsidR="00D85C65">
        <w:t xml:space="preserve"> a </w:t>
      </w:r>
      <w:r w:rsidRPr="00D85C65">
        <w:t>postupmi započítavania sa uvádza</w:t>
      </w:r>
      <w:r w:rsidR="00D85C65">
        <w:t xml:space="preserve"> v </w:t>
      </w:r>
      <w:r w:rsidRPr="00D85C65">
        <w:t>článkoch 326 až 333 CRR</w:t>
      </w:r>
      <w:r w:rsidR="00D85C65">
        <w:t>.</w:t>
      </w:r>
    </w:p>
    <w:p w14:paraId="102B89F4" w14:textId="122E7867" w:rsidR="00235D9D" w:rsidRPr="00D85C65" w:rsidRDefault="00125707">
      <w:pPr>
        <w:pStyle w:val="Instructionsberschrift2"/>
        <w:numPr>
          <w:ilvl w:val="0"/>
          <w:numId w:val="0"/>
        </w:numPr>
        <w:ind w:left="357" w:hanging="357"/>
        <w:rPr>
          <w:rFonts w:ascii="Times New Roman" w:hAnsi="Times New Roman" w:cs="Times New Roman"/>
          <w:sz w:val="24"/>
        </w:rPr>
      </w:pPr>
      <w:bookmarkStart w:id="83" w:name="_Toc29994526"/>
      <w:r w:rsidRPr="00D85C65">
        <w:rPr>
          <w:rFonts w:ascii="Times New Roman" w:hAnsi="Times New Roman"/>
          <w:sz w:val="24"/>
          <w:u w:val="none"/>
        </w:rPr>
        <w:t>5.1.</w:t>
      </w:r>
      <w:r w:rsidRPr="00D85C65">
        <w:rPr>
          <w:rFonts w:ascii="Times New Roman" w:hAnsi="Times New Roman"/>
          <w:sz w:val="24"/>
          <w:u w:val="none"/>
        </w:rPr>
        <w:tab/>
      </w:r>
      <w:r w:rsidRPr="00D85C65">
        <w:rPr>
          <w:rFonts w:ascii="Times New Roman" w:hAnsi="Times New Roman"/>
          <w:sz w:val="24"/>
        </w:rPr>
        <w:t>C 18.00 – Trhové riziko: Štandardizovaný prístup pre pozičné riziká obchodovaných dlhových nástrojov (MKR SA TDI)</w:t>
      </w:r>
      <w:bookmarkEnd w:id="83"/>
    </w:p>
    <w:p w14:paraId="715816FA"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84" w:name="_Toc29994527"/>
      <w:r w:rsidRPr="00D85C65">
        <w:rPr>
          <w:rFonts w:ascii="Times New Roman" w:hAnsi="Times New Roman"/>
          <w:sz w:val="24"/>
          <w:u w:val="none"/>
        </w:rPr>
        <w:t>5.1.1.</w:t>
      </w:r>
      <w:r w:rsidRPr="00D85C65">
        <w:rPr>
          <w:rFonts w:ascii="Times New Roman" w:hAnsi="Times New Roman"/>
          <w:sz w:val="24"/>
          <w:u w:val="none"/>
        </w:rPr>
        <w:tab/>
      </w:r>
      <w:r w:rsidRPr="00D85C65">
        <w:rPr>
          <w:rFonts w:ascii="Times New Roman" w:hAnsi="Times New Roman"/>
          <w:sz w:val="24"/>
        </w:rPr>
        <w:t>Všeobecné poznámky</w:t>
      </w:r>
      <w:bookmarkEnd w:id="84"/>
    </w:p>
    <w:p w14:paraId="5B765DA5" w14:textId="679A28A9" w:rsidR="00235D9D" w:rsidRPr="00D85C65" w:rsidRDefault="00125707">
      <w:pPr>
        <w:pStyle w:val="InstructionsText2"/>
        <w:numPr>
          <w:ilvl w:val="0"/>
          <w:numId w:val="0"/>
        </w:numPr>
        <w:ind w:left="993"/>
      </w:pPr>
      <w:r w:rsidRPr="00D85C65">
        <w:t>139.</w:t>
      </w:r>
      <w:r w:rsidRPr="00D85C65">
        <w:tab/>
      </w:r>
      <w:r w:rsidR="00D85C65">
        <w:t xml:space="preserve"> V </w:t>
      </w:r>
      <w:r w:rsidRPr="00D85C65">
        <w:t>tomto vzore sa uvádzajú pozície</w:t>
      </w:r>
      <w:r w:rsidR="00D85C65">
        <w:t xml:space="preserve"> a </w:t>
      </w:r>
      <w:r w:rsidRPr="00D85C65">
        <w:t>súvisiace požiadavky na vlastné zdroje pre pozičné riziká obchodovaných dlhových nástrojov</w:t>
      </w:r>
      <w:r w:rsidR="00D85C65">
        <w:t xml:space="preserve"> v </w:t>
      </w:r>
      <w:r w:rsidRPr="00D85C65">
        <w:t>rámci štandardizovaného prístupu (článok 102</w:t>
      </w:r>
      <w:r w:rsidR="00D85C65">
        <w:t xml:space="preserve"> a </w:t>
      </w:r>
      <w:r w:rsidRPr="00D85C65">
        <w:t>článok 105 ods. 1 CRR). Jednotlivé riziká</w:t>
      </w:r>
      <w:r w:rsidR="00D85C65">
        <w:t xml:space="preserve"> a </w:t>
      </w:r>
      <w:r w:rsidRPr="00D85C65">
        <w:t>metódy</w:t>
      </w:r>
      <w:r w:rsidR="00D85C65">
        <w:t xml:space="preserve"> k </w:t>
      </w:r>
      <w:r w:rsidRPr="00D85C65">
        <w:t>dispozícii</w:t>
      </w:r>
      <w:r w:rsidR="00D85C65">
        <w:t xml:space="preserve"> v </w:t>
      </w:r>
      <w:r w:rsidRPr="00D85C65">
        <w:t>rámci CRR sa posudzujú podľa riadkov. Špecifické riziko spojené</w:t>
      </w:r>
      <w:r w:rsidR="00D85C65">
        <w:t xml:space="preserve"> s </w:t>
      </w:r>
      <w:r w:rsidRPr="00D85C65">
        <w:t>expozíciami zahrnutými vo vzore MKR SA SEC</w:t>
      </w:r>
      <w:r w:rsidR="00D85C65">
        <w:t xml:space="preserve"> a </w:t>
      </w:r>
      <w:r w:rsidRPr="00D85C65">
        <w:t>vo vzore MKR SA CTP sa vykazuje len vo vzore Spolu MKR SA TDI. Požiadavky na vlastné zdroje vykázané</w:t>
      </w:r>
      <w:r w:rsidR="00D85C65">
        <w:t xml:space="preserve"> v </w:t>
      </w:r>
      <w:r w:rsidRPr="00D85C65">
        <w:t>týchto vzoroch sa prenášajú do bunky {325;060} (sekuritizácie), resp. do bunky {330;060} (CTP).</w:t>
      </w:r>
    </w:p>
    <w:p w14:paraId="0BFB0C72" w14:textId="0EBE47D7" w:rsidR="00D85C65" w:rsidRDefault="00125707">
      <w:pPr>
        <w:pStyle w:val="InstructionsText2"/>
        <w:numPr>
          <w:ilvl w:val="0"/>
          <w:numId w:val="0"/>
        </w:numPr>
        <w:ind w:left="993"/>
      </w:pPr>
      <w:r w:rsidRPr="00D85C65">
        <w:t>140.</w:t>
      </w:r>
      <w:r w:rsidRPr="00D85C65">
        <w:tab/>
        <w:t xml:space="preserve"> Vzor sa vypĺňa osobitne pre „spolu“</w:t>
      </w:r>
      <w:r w:rsidR="00D85C65">
        <w:t xml:space="preserve"> a </w:t>
      </w:r>
      <w:r w:rsidRPr="00D85C65">
        <w:t>pre vopred stanovený zoznam týchto mien: EUR, ALL, BGN, CZK, DKK, EGP, GBP, HRK, HUF, ISK, JPY, LTL, MKD, NOK, PLN, RON, RUB, RSD, SEK, CHF, TRY, UAH, USD</w:t>
      </w:r>
      <w:r w:rsidR="00D85C65">
        <w:t xml:space="preserve"> a </w:t>
      </w:r>
      <w:r w:rsidRPr="00D85C65">
        <w:t>jeden vzor pre všetky ostatné meny</w:t>
      </w:r>
      <w:r w:rsidR="00D85C65">
        <w:t>.</w:t>
      </w:r>
    </w:p>
    <w:p w14:paraId="21E7AE92" w14:textId="657EB0F8" w:rsidR="00235D9D" w:rsidRPr="00D85C65" w:rsidRDefault="00125707">
      <w:pPr>
        <w:pStyle w:val="Instructionsberschrift2"/>
        <w:numPr>
          <w:ilvl w:val="0"/>
          <w:numId w:val="0"/>
        </w:numPr>
        <w:ind w:left="357" w:hanging="357"/>
        <w:rPr>
          <w:rFonts w:ascii="Times New Roman" w:hAnsi="Times New Roman" w:cs="Times New Roman"/>
          <w:sz w:val="24"/>
        </w:rPr>
      </w:pPr>
      <w:bookmarkStart w:id="85" w:name="_Toc29994528"/>
      <w:r w:rsidRPr="00D85C65">
        <w:rPr>
          <w:rFonts w:ascii="Times New Roman" w:hAnsi="Times New Roman"/>
          <w:sz w:val="24"/>
          <w:u w:val="none"/>
        </w:rPr>
        <w:t>5.1.2.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235D9D" w:rsidRPr="00D85C65" w14:paraId="182517AD" w14:textId="77777777" w:rsidTr="00672D2A">
        <w:trPr>
          <w:trHeight w:val="569"/>
        </w:trPr>
        <w:tc>
          <w:tcPr>
            <w:tcW w:w="8862" w:type="dxa"/>
            <w:gridSpan w:val="2"/>
            <w:shd w:val="clear" w:color="auto" w:fill="CCCCCC"/>
          </w:tcPr>
          <w:p w14:paraId="5020DF58"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74254EDB" w14:textId="77777777" w:rsidTr="00672D2A">
        <w:tc>
          <w:tcPr>
            <w:tcW w:w="988" w:type="dxa"/>
          </w:tcPr>
          <w:p w14:paraId="620A001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 – 020</w:t>
            </w:r>
          </w:p>
        </w:tc>
        <w:tc>
          <w:tcPr>
            <w:tcW w:w="7874" w:type="dxa"/>
          </w:tcPr>
          <w:p w14:paraId="34B3688C"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VŠETKY POZÍCIE (DLHÉ A KRÁTKE)</w:t>
            </w:r>
          </w:p>
          <w:p w14:paraId="32AEBA14" w14:textId="7A040A68" w:rsidR="00235D9D" w:rsidRPr="00D85C65" w:rsidRDefault="000B0B09">
            <w:pPr>
              <w:rPr>
                <w:rFonts w:ascii="Times New Roman" w:hAnsi="Times New Roman"/>
                <w:sz w:val="24"/>
              </w:rPr>
            </w:pPr>
            <w:r w:rsidRPr="00D85C65">
              <w:rPr>
                <w:rFonts w:ascii="Times New Roman" w:hAnsi="Times New Roman"/>
                <w:sz w:val="24"/>
              </w:rPr>
              <w:t>Článok 102</w:t>
            </w:r>
            <w:r w:rsidR="00D85C65">
              <w:rPr>
                <w:rFonts w:ascii="Times New Roman" w:hAnsi="Times New Roman"/>
                <w:sz w:val="24"/>
              </w:rPr>
              <w:t xml:space="preserve"> a </w:t>
            </w:r>
            <w:r w:rsidRPr="00D85C65">
              <w:rPr>
                <w:rFonts w:ascii="Times New Roman" w:hAnsi="Times New Roman"/>
                <w:sz w:val="24"/>
              </w:rPr>
              <w:t>článok 105 ods. 1 CRR. Sú to hrubé pozície bez započítania nástrojov, ale bez pozícií</w:t>
            </w:r>
            <w:r w:rsidR="00D85C65">
              <w:rPr>
                <w:rFonts w:ascii="Times New Roman" w:hAnsi="Times New Roman"/>
                <w:sz w:val="24"/>
              </w:rPr>
              <w:t xml:space="preserve"> z </w:t>
            </w:r>
            <w:r w:rsidRPr="00D85C65">
              <w:rPr>
                <w:rFonts w:ascii="Times New Roman" w:hAnsi="Times New Roman"/>
                <w:sz w:val="24"/>
              </w:rPr>
              <w:t>upísania, ktoré sú upísané alebo podupísané tretími osobami</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345 ods. 1 prvým pododsekom druhou vetou CRR. </w:t>
            </w:r>
            <w:r w:rsidRPr="00D85C65">
              <w:rPr>
                <w:rFonts w:ascii="Times New Roman" w:hAnsi="Times New Roman"/>
                <w:sz w:val="24"/>
              </w:rPr>
              <w:lastRenderedPageBreak/>
              <w:t>Pokiaľ ide</w:t>
            </w:r>
            <w:r w:rsidR="00D85C65">
              <w:rPr>
                <w:rFonts w:ascii="Times New Roman" w:hAnsi="Times New Roman"/>
                <w:sz w:val="24"/>
              </w:rPr>
              <w:t xml:space="preserve"> o </w:t>
            </w:r>
            <w:r w:rsidRPr="00D85C65">
              <w:rPr>
                <w:rFonts w:ascii="Times New Roman" w:hAnsi="Times New Roman"/>
                <w:sz w:val="24"/>
              </w:rPr>
              <w:t>rozdiel medzi dlhými</w:t>
            </w:r>
            <w:r w:rsidR="00D85C65">
              <w:rPr>
                <w:rFonts w:ascii="Times New Roman" w:hAnsi="Times New Roman"/>
                <w:sz w:val="24"/>
              </w:rPr>
              <w:t xml:space="preserve"> a </w:t>
            </w:r>
            <w:r w:rsidRPr="00D85C65">
              <w:rPr>
                <w:rFonts w:ascii="Times New Roman" w:hAnsi="Times New Roman"/>
                <w:sz w:val="24"/>
              </w:rPr>
              <w:t>krátkymi pozíciami, ktorý sa uplatňuje aj na tieto hrubé pozície, pozri článok 328 ods. 2 CRR.</w:t>
            </w:r>
          </w:p>
        </w:tc>
      </w:tr>
      <w:tr w:rsidR="00235D9D" w:rsidRPr="00D85C65" w14:paraId="58994B05" w14:textId="77777777" w:rsidTr="00672D2A">
        <w:tc>
          <w:tcPr>
            <w:tcW w:w="988" w:type="dxa"/>
          </w:tcPr>
          <w:p w14:paraId="564F0D3C"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030 – 040</w:t>
            </w:r>
          </w:p>
        </w:tc>
        <w:tc>
          <w:tcPr>
            <w:tcW w:w="7874" w:type="dxa"/>
          </w:tcPr>
          <w:p w14:paraId="31BBA35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ČISTÉ POZÍCIE (DLHÉ A KRÁTKE)</w:t>
            </w:r>
          </w:p>
          <w:p w14:paraId="6AB5B979" w14:textId="3248805E" w:rsidR="00235D9D" w:rsidRPr="00D85C65" w:rsidRDefault="000B0B09">
            <w:pPr>
              <w:rPr>
                <w:rFonts w:ascii="Times New Roman" w:hAnsi="Times New Roman"/>
                <w:sz w:val="24"/>
              </w:rPr>
            </w:pPr>
            <w:r w:rsidRPr="00D85C65">
              <w:rPr>
                <w:rFonts w:ascii="Times New Roman" w:hAnsi="Times New Roman"/>
                <w:sz w:val="24"/>
              </w:rPr>
              <w:t>Články 327 až 329</w:t>
            </w:r>
            <w:r w:rsidR="00D85C65">
              <w:rPr>
                <w:rFonts w:ascii="Times New Roman" w:hAnsi="Times New Roman"/>
                <w:sz w:val="24"/>
              </w:rPr>
              <w:t xml:space="preserve"> a </w:t>
            </w:r>
            <w:r w:rsidRPr="00D85C65">
              <w:rPr>
                <w:rFonts w:ascii="Times New Roman" w:hAnsi="Times New Roman"/>
                <w:sz w:val="24"/>
              </w:rPr>
              <w:t>článok 334 CRR. Pokiaľ ide</w:t>
            </w:r>
            <w:r w:rsidR="00D85C65">
              <w:rPr>
                <w:rFonts w:ascii="Times New Roman" w:hAnsi="Times New Roman"/>
                <w:sz w:val="24"/>
              </w:rPr>
              <w:t xml:space="preserve"> o </w:t>
            </w:r>
            <w:r w:rsidRPr="00D85C65">
              <w:rPr>
                <w:rFonts w:ascii="Times New Roman" w:hAnsi="Times New Roman"/>
                <w:sz w:val="24"/>
              </w:rPr>
              <w:t>rozdiel medzi dlhými</w:t>
            </w:r>
            <w:r w:rsidR="00D85C65">
              <w:rPr>
                <w:rFonts w:ascii="Times New Roman" w:hAnsi="Times New Roman"/>
                <w:sz w:val="24"/>
              </w:rPr>
              <w:t xml:space="preserve"> a </w:t>
            </w:r>
            <w:r w:rsidRPr="00D85C65">
              <w:rPr>
                <w:rFonts w:ascii="Times New Roman" w:hAnsi="Times New Roman"/>
                <w:sz w:val="24"/>
              </w:rPr>
              <w:t>krátkymi pozíciami, pozri článok 328 ods. 2 CRR.</w:t>
            </w:r>
          </w:p>
        </w:tc>
      </w:tr>
      <w:tr w:rsidR="00235D9D" w:rsidRPr="00D85C65" w14:paraId="557B6B1E" w14:textId="77777777" w:rsidTr="00672D2A">
        <w:tc>
          <w:tcPr>
            <w:tcW w:w="988" w:type="dxa"/>
          </w:tcPr>
          <w:p w14:paraId="0BDFE68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w:t>
            </w:r>
          </w:p>
        </w:tc>
        <w:tc>
          <w:tcPr>
            <w:tcW w:w="7874" w:type="dxa"/>
          </w:tcPr>
          <w:p w14:paraId="279B3EC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NA KTORÉ SA VZŤAHUJE KAPITÁLOVÁ POŽIADAVKA</w:t>
            </w:r>
          </w:p>
          <w:p w14:paraId="476DAC65" w14:textId="793B6F0B" w:rsidR="00235D9D" w:rsidRPr="00D85C65" w:rsidRDefault="000B0B09">
            <w:pPr>
              <w:rPr>
                <w:rFonts w:ascii="Times New Roman" w:hAnsi="Times New Roman"/>
                <w:b/>
                <w:bCs/>
                <w:sz w:val="24"/>
                <w:u w:val="single"/>
              </w:rPr>
            </w:pPr>
            <w:r w:rsidRPr="00D85C65">
              <w:rPr>
                <w:rFonts w:ascii="Times New Roman" w:hAnsi="Times New Roman"/>
                <w:sz w:val="24"/>
              </w:rPr>
              <w:t>Čisté pozície, na ktoré sa podľa rôznych prístupov</w:t>
            </w:r>
            <w:r w:rsidR="00D85C65">
              <w:rPr>
                <w:rFonts w:ascii="Times New Roman" w:hAnsi="Times New Roman"/>
                <w:sz w:val="24"/>
              </w:rPr>
              <w:t xml:space="preserve"> v </w:t>
            </w:r>
            <w:r w:rsidRPr="00D85C65">
              <w:rPr>
                <w:rFonts w:ascii="Times New Roman" w:hAnsi="Times New Roman"/>
                <w:sz w:val="24"/>
              </w:rPr>
              <w:t>tretej časti hlave IV kapitole 2 CRR vzťahuje kapitálová požiadavka.</w:t>
            </w:r>
          </w:p>
        </w:tc>
      </w:tr>
      <w:tr w:rsidR="00235D9D" w:rsidRPr="00D85C65" w14:paraId="5EAA7670" w14:textId="77777777" w:rsidTr="00672D2A">
        <w:tc>
          <w:tcPr>
            <w:tcW w:w="988" w:type="dxa"/>
          </w:tcPr>
          <w:p w14:paraId="7AC9423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060</w:t>
            </w:r>
          </w:p>
        </w:tc>
        <w:tc>
          <w:tcPr>
            <w:tcW w:w="7874" w:type="dxa"/>
          </w:tcPr>
          <w:p w14:paraId="15FE8D3B"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POŽIADAVKY NA VLASTNÉ ZDROJE</w:t>
            </w:r>
          </w:p>
          <w:p w14:paraId="0A2F966C" w14:textId="7C99B76D" w:rsidR="00235D9D" w:rsidRPr="00D85C65" w:rsidRDefault="000B0B09">
            <w:pPr>
              <w:rPr>
                <w:rFonts w:ascii="Times New Roman" w:hAnsi="Times New Roman"/>
                <w:b/>
                <w:bCs/>
                <w:sz w:val="24"/>
                <w:u w:val="single"/>
              </w:rPr>
            </w:pPr>
            <w:r w:rsidRPr="00D85C65">
              <w:rPr>
                <w:rFonts w:ascii="Times New Roman" w:hAnsi="Times New Roman"/>
                <w:sz w:val="24"/>
              </w:rPr>
              <w:t>Kapitálová požiadavka pre všetky relevantné pozície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2 CRR.</w:t>
            </w:r>
          </w:p>
        </w:tc>
      </w:tr>
      <w:tr w:rsidR="00235D9D" w:rsidRPr="00D85C65" w14:paraId="15A8F05E" w14:textId="77777777" w:rsidTr="00672D2A">
        <w:tc>
          <w:tcPr>
            <w:tcW w:w="988" w:type="dxa"/>
          </w:tcPr>
          <w:p w14:paraId="4C8E924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874" w:type="dxa"/>
          </w:tcPr>
          <w:p w14:paraId="148ECE11"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RIZIKOVÝCH EXPOZÍCIÍ</w:t>
            </w:r>
          </w:p>
          <w:p w14:paraId="7A4A764A" w14:textId="0AB379D0" w:rsidR="00235D9D" w:rsidRPr="00D85C65" w:rsidRDefault="00D21B29">
            <w:pPr>
              <w:rPr>
                <w:rFonts w:ascii="Times New Roman" w:hAnsi="Times New Roman"/>
                <w:b/>
                <w:bCs/>
                <w:sz w:val="24"/>
                <w:u w:val="single"/>
              </w:rPr>
            </w:pPr>
            <w:r w:rsidRPr="00D85C65">
              <w:rPr>
                <w:rFonts w:ascii="Times New Roman" w:hAnsi="Times New Roman"/>
                <w:sz w:val="24"/>
              </w:rPr>
              <w:t xml:space="preserve">Článok 92 ods. 4 písm. b) CRR. Výsledok vynásobenia požiadaviek na vlastné zdroje koeficientom 12,5. </w:t>
            </w:r>
          </w:p>
        </w:tc>
      </w:tr>
    </w:tbl>
    <w:p w14:paraId="0D1A06D1" w14:textId="77777777" w:rsidR="00235D9D" w:rsidRPr="00D85C65" w:rsidRDefault="00235D9D">
      <w:pPr>
        <w:autoSpaceDE w:val="0"/>
        <w:autoSpaceDN w:val="0"/>
        <w:adjustRightInd w:val="0"/>
        <w:spacing w:before="0" w:after="0"/>
        <w:rPr>
          <w:rFonts w:ascii="Times New Roman" w:hAnsi="Times New Roman"/>
          <w:sz w:val="24"/>
        </w:rPr>
      </w:pPr>
    </w:p>
    <w:p w14:paraId="3A842A09"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235D9D" w:rsidRPr="00D85C65" w14:paraId="660B3F69" w14:textId="77777777" w:rsidTr="00672D2A">
        <w:trPr>
          <w:trHeight w:val="533"/>
        </w:trPr>
        <w:tc>
          <w:tcPr>
            <w:tcW w:w="8862" w:type="dxa"/>
            <w:gridSpan w:val="2"/>
            <w:shd w:val="clear" w:color="auto" w:fill="CCCCCC"/>
          </w:tcPr>
          <w:p w14:paraId="7B4D7841"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6E8D9E7C" w14:textId="77777777" w:rsidTr="00672D2A">
        <w:trPr>
          <w:trHeight w:val="1168"/>
        </w:trPr>
        <w:tc>
          <w:tcPr>
            <w:tcW w:w="987" w:type="dxa"/>
          </w:tcPr>
          <w:p w14:paraId="22C78DAA" w14:textId="2254D038"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 – 350</w:t>
            </w:r>
          </w:p>
          <w:p w14:paraId="5C92840E" w14:textId="77777777" w:rsidR="00235D9D" w:rsidRPr="00D85C65" w:rsidRDefault="00235D9D">
            <w:pPr>
              <w:autoSpaceDE w:val="0"/>
              <w:autoSpaceDN w:val="0"/>
              <w:adjustRightInd w:val="0"/>
              <w:spacing w:before="0" w:after="0"/>
              <w:rPr>
                <w:rFonts w:ascii="Times New Roman" w:hAnsi="Times New Roman"/>
                <w:sz w:val="24"/>
              </w:rPr>
            </w:pPr>
          </w:p>
        </w:tc>
        <w:tc>
          <w:tcPr>
            <w:tcW w:w="7875" w:type="dxa"/>
          </w:tcPr>
          <w:p w14:paraId="7BE0E9FE" w14:textId="6FB0FC31"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OBCHODOVANÉ DLHOVÉ NÁSTROJE</w:t>
            </w:r>
            <w:r w:rsidR="00D85C65">
              <w:rPr>
                <w:rFonts w:ascii="Times New Roman" w:hAnsi="Times New Roman"/>
                <w:b/>
                <w:bCs/>
                <w:sz w:val="24"/>
                <w:u w:val="single"/>
              </w:rPr>
              <w:t xml:space="preserve"> V </w:t>
            </w:r>
            <w:r w:rsidRPr="00D85C65">
              <w:rPr>
                <w:rFonts w:ascii="Times New Roman" w:hAnsi="Times New Roman"/>
                <w:b/>
                <w:bCs/>
                <w:sz w:val="24"/>
                <w:u w:val="single"/>
              </w:rPr>
              <w:t>OBCHODNEJ KNIHE</w:t>
            </w:r>
          </w:p>
          <w:p w14:paraId="3900CB8C" w14:textId="22FEAC5F" w:rsidR="00235D9D" w:rsidRPr="00D85C65" w:rsidRDefault="000B0B09">
            <w:pPr>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obchodovaných dlhových nástrojoch</w:t>
            </w:r>
            <w:r w:rsidR="00D85C65">
              <w:rPr>
                <w:rFonts w:ascii="Times New Roman" w:hAnsi="Times New Roman"/>
                <w:sz w:val="24"/>
              </w:rPr>
              <w:t xml:space="preserve"> v </w:t>
            </w:r>
            <w:r w:rsidRPr="00D85C65">
              <w:rPr>
                <w:rFonts w:ascii="Times New Roman" w:hAnsi="Times New Roman"/>
                <w:sz w:val="24"/>
              </w:rPr>
              <w:t>obchodnej knihe</w:t>
            </w:r>
            <w:r w:rsidR="00D85C65">
              <w:rPr>
                <w:rFonts w:ascii="Times New Roman" w:hAnsi="Times New Roman"/>
                <w:sz w:val="24"/>
              </w:rPr>
              <w:t xml:space="preserve"> a </w:t>
            </w:r>
            <w:r w:rsidRPr="00D85C65">
              <w:rPr>
                <w:rFonts w:ascii="Times New Roman" w:hAnsi="Times New Roman"/>
                <w:sz w:val="24"/>
              </w:rPr>
              <w:t>ich zodpovedajúce požiadavky na vlastné zdroje pre pozičné riziko</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92 ods. 3 písm. b) bodom i) CRR</w:t>
            </w:r>
            <w:r w:rsidR="00D85C65">
              <w:rPr>
                <w:rFonts w:ascii="Times New Roman" w:hAnsi="Times New Roman"/>
                <w:sz w:val="24"/>
              </w:rPr>
              <w:t xml:space="preserve"> a </w:t>
            </w:r>
            <w:r w:rsidRPr="00D85C65">
              <w:rPr>
                <w:rFonts w:ascii="Times New Roman" w:hAnsi="Times New Roman"/>
                <w:sz w:val="24"/>
              </w:rPr>
              <w:t>treťou časťou hlavou IV kapitolou 2 CRR sa vykazujú</w:t>
            </w:r>
            <w:r w:rsidR="00D85C65">
              <w:rPr>
                <w:rFonts w:ascii="Times New Roman" w:hAnsi="Times New Roman"/>
                <w:sz w:val="24"/>
              </w:rPr>
              <w:t xml:space="preserve"> v </w:t>
            </w:r>
            <w:r w:rsidRPr="00D85C65">
              <w:rPr>
                <w:rFonts w:ascii="Times New Roman" w:hAnsi="Times New Roman"/>
                <w:sz w:val="24"/>
              </w:rPr>
              <w:t>závislosti od kategórie rizika, splatnosti</w:t>
            </w:r>
            <w:r w:rsidR="00D85C65">
              <w:rPr>
                <w:rFonts w:ascii="Times New Roman" w:hAnsi="Times New Roman"/>
                <w:sz w:val="24"/>
              </w:rPr>
              <w:t xml:space="preserve"> a </w:t>
            </w:r>
            <w:r w:rsidRPr="00D85C65">
              <w:rPr>
                <w:rFonts w:ascii="Times New Roman" w:hAnsi="Times New Roman"/>
                <w:sz w:val="24"/>
              </w:rPr>
              <w:t>použitého prístupu.</w:t>
            </w:r>
          </w:p>
        </w:tc>
      </w:tr>
      <w:tr w:rsidR="00235D9D" w:rsidRPr="00D85C65" w14:paraId="15D0D30A" w14:textId="77777777" w:rsidTr="00672D2A">
        <w:tc>
          <w:tcPr>
            <w:tcW w:w="987" w:type="dxa"/>
          </w:tcPr>
          <w:p w14:paraId="4A05F913"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011</w:t>
            </w:r>
          </w:p>
        </w:tc>
        <w:tc>
          <w:tcPr>
            <w:tcW w:w="7875" w:type="dxa"/>
          </w:tcPr>
          <w:p w14:paraId="62313BD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b/>
                <w:bCs/>
                <w:sz w:val="24"/>
                <w:u w:val="single"/>
              </w:rPr>
              <w:t xml:space="preserve">VŠEOBECNÉ RIZIKO. </w:t>
            </w:r>
          </w:p>
        </w:tc>
      </w:tr>
      <w:tr w:rsidR="00235D9D" w:rsidRPr="00D85C65" w14:paraId="1A597333" w14:textId="77777777" w:rsidTr="00672D2A">
        <w:tc>
          <w:tcPr>
            <w:tcW w:w="987" w:type="dxa"/>
          </w:tcPr>
          <w:p w14:paraId="073CE1C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012</w:t>
            </w:r>
          </w:p>
        </w:tc>
        <w:tc>
          <w:tcPr>
            <w:tcW w:w="7875" w:type="dxa"/>
          </w:tcPr>
          <w:p w14:paraId="45AD68A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b/>
                <w:bCs/>
                <w:sz w:val="24"/>
                <w:u w:val="single"/>
              </w:rPr>
              <w:t>Deriváty</w:t>
            </w:r>
          </w:p>
          <w:p w14:paraId="6A3F52D4" w14:textId="1D8C2055" w:rsidR="00235D9D" w:rsidRPr="00D85C65" w:rsidRDefault="000B0B09">
            <w:pPr>
              <w:rPr>
                <w:rFonts w:ascii="Times New Roman" w:hAnsi="Times New Roman"/>
                <w:b/>
                <w:bCs/>
                <w:sz w:val="24"/>
                <w:u w:val="single"/>
              </w:rPr>
            </w:pPr>
            <w:r w:rsidRPr="00D85C65">
              <w:rPr>
                <w:rFonts w:ascii="Times New Roman" w:hAnsi="Times New Roman"/>
                <w:sz w:val="24"/>
              </w:rPr>
              <w:t>Deriváty zahrnuté vo výpočte úrokového rizika pozícií</w:t>
            </w:r>
            <w:r w:rsidR="00D85C65">
              <w:rPr>
                <w:rFonts w:ascii="Times New Roman" w:hAnsi="Times New Roman"/>
                <w:sz w:val="24"/>
              </w:rPr>
              <w:t xml:space="preserve"> v </w:t>
            </w:r>
            <w:r w:rsidRPr="00D85C65">
              <w:rPr>
                <w:rFonts w:ascii="Times New Roman" w:hAnsi="Times New Roman"/>
                <w:sz w:val="24"/>
              </w:rPr>
              <w:t>obchodnej knihe so zohľadnením článkov 328 až 331 CRR, ak sú uplatniteľné.</w:t>
            </w:r>
          </w:p>
        </w:tc>
      </w:tr>
      <w:tr w:rsidR="00235D9D" w:rsidRPr="00D85C65" w14:paraId="4066369A" w14:textId="77777777" w:rsidTr="00672D2A">
        <w:tc>
          <w:tcPr>
            <w:tcW w:w="987" w:type="dxa"/>
          </w:tcPr>
          <w:p w14:paraId="74A5196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013</w:t>
            </w:r>
          </w:p>
        </w:tc>
        <w:tc>
          <w:tcPr>
            <w:tcW w:w="7875" w:type="dxa"/>
          </w:tcPr>
          <w:p w14:paraId="7CCBA4BB" w14:textId="4AFE45B0"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Iné aktíva</w:t>
            </w:r>
            <w:r w:rsidR="00D85C65">
              <w:rPr>
                <w:rFonts w:ascii="Times New Roman" w:hAnsi="Times New Roman"/>
                <w:b/>
                <w:bCs/>
                <w:sz w:val="24"/>
                <w:u w:val="single"/>
              </w:rPr>
              <w:t xml:space="preserve"> a </w:t>
            </w:r>
            <w:r w:rsidRPr="00D85C65">
              <w:rPr>
                <w:rFonts w:ascii="Times New Roman" w:hAnsi="Times New Roman"/>
                <w:b/>
                <w:bCs/>
                <w:sz w:val="24"/>
                <w:u w:val="single"/>
              </w:rPr>
              <w:t>záväzky</w:t>
            </w:r>
          </w:p>
          <w:p w14:paraId="4019FF5C" w14:textId="401BEA8D" w:rsidR="00235D9D" w:rsidRPr="00D85C65" w:rsidRDefault="000B0B09">
            <w:pPr>
              <w:rPr>
                <w:rFonts w:ascii="Times New Roman" w:hAnsi="Times New Roman"/>
                <w:b/>
                <w:bCs/>
                <w:sz w:val="24"/>
                <w:u w:val="single"/>
              </w:rPr>
            </w:pPr>
            <w:r w:rsidRPr="00D85C65">
              <w:rPr>
                <w:rFonts w:ascii="Times New Roman" w:hAnsi="Times New Roman"/>
                <w:sz w:val="24"/>
              </w:rPr>
              <w:t>Nástroje iné než deriváty zahrnuté vo výpočte úrokového rizika pozícií</w:t>
            </w:r>
            <w:r w:rsidR="00D85C65">
              <w:rPr>
                <w:rFonts w:ascii="Times New Roman" w:hAnsi="Times New Roman"/>
                <w:sz w:val="24"/>
              </w:rPr>
              <w:t xml:space="preserve"> v </w:t>
            </w:r>
            <w:r w:rsidRPr="00D85C65">
              <w:rPr>
                <w:rFonts w:ascii="Times New Roman" w:hAnsi="Times New Roman"/>
                <w:sz w:val="24"/>
              </w:rPr>
              <w:t xml:space="preserve">obchodnej knihe. </w:t>
            </w:r>
          </w:p>
        </w:tc>
      </w:tr>
      <w:tr w:rsidR="00235D9D" w:rsidRPr="00D85C65" w14:paraId="40B19596" w14:textId="77777777" w:rsidTr="00672D2A">
        <w:tc>
          <w:tcPr>
            <w:tcW w:w="987" w:type="dxa"/>
          </w:tcPr>
          <w:p w14:paraId="2C49850B"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 – 200</w:t>
            </w:r>
          </w:p>
        </w:tc>
        <w:tc>
          <w:tcPr>
            <w:tcW w:w="7875" w:type="dxa"/>
          </w:tcPr>
          <w:p w14:paraId="1B81BB55"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PRÍSTUP ZALOŽENÝ NA SPLATNOSTI</w:t>
            </w:r>
          </w:p>
          <w:p w14:paraId="22A8CC47" w14:textId="020A61DD" w:rsidR="00235D9D" w:rsidRPr="00D85C65" w:rsidRDefault="000B0B09">
            <w:pPr>
              <w:rPr>
                <w:rFonts w:ascii="Times New Roman" w:hAnsi="Times New Roman"/>
                <w:b/>
                <w:bCs/>
                <w:sz w:val="24"/>
                <w:u w:val="single"/>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obchodovaných dlhových nástrojoch, na ktoré sa uplatňuje prístup založený na splatnosti podľa článku 339 ods. 1 až 8 CRR</w:t>
            </w:r>
            <w:r w:rsidR="00D85C65">
              <w:rPr>
                <w:rFonts w:ascii="Times New Roman" w:hAnsi="Times New Roman"/>
                <w:sz w:val="24"/>
              </w:rPr>
              <w:t xml:space="preserve"> a </w:t>
            </w:r>
            <w:r w:rsidRPr="00D85C65">
              <w:rPr>
                <w:rFonts w:ascii="Times New Roman" w:hAnsi="Times New Roman"/>
                <w:sz w:val="24"/>
              </w:rPr>
              <w:t>zodpovedajúce 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339 ods. 9 CRR. Pozícia sa rozdelí podľa zón 1, 2</w:t>
            </w:r>
            <w:r w:rsidR="00D85C65">
              <w:rPr>
                <w:rFonts w:ascii="Times New Roman" w:hAnsi="Times New Roman"/>
                <w:sz w:val="24"/>
              </w:rPr>
              <w:t xml:space="preserve"> a </w:t>
            </w:r>
            <w:r w:rsidRPr="00D85C65">
              <w:rPr>
                <w:rFonts w:ascii="Times New Roman" w:hAnsi="Times New Roman"/>
                <w:sz w:val="24"/>
              </w:rPr>
              <w:t>3</w:t>
            </w:r>
            <w:r w:rsidR="00D85C65">
              <w:rPr>
                <w:rFonts w:ascii="Times New Roman" w:hAnsi="Times New Roman"/>
                <w:sz w:val="24"/>
              </w:rPr>
              <w:t xml:space="preserve"> a </w:t>
            </w:r>
            <w:r w:rsidRPr="00D85C65">
              <w:rPr>
                <w:rFonts w:ascii="Times New Roman" w:hAnsi="Times New Roman"/>
                <w:sz w:val="24"/>
              </w:rPr>
              <w:t>tieto zóny sa rozdelia podľa splatnosti nástrojov.</w:t>
            </w:r>
          </w:p>
        </w:tc>
      </w:tr>
      <w:tr w:rsidR="00235D9D" w:rsidRPr="00D85C65" w14:paraId="401470EE" w14:textId="77777777" w:rsidTr="00672D2A">
        <w:tc>
          <w:tcPr>
            <w:tcW w:w="987" w:type="dxa"/>
          </w:tcPr>
          <w:p w14:paraId="77C4748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210 – 240</w:t>
            </w:r>
          </w:p>
        </w:tc>
        <w:tc>
          <w:tcPr>
            <w:tcW w:w="7875" w:type="dxa"/>
          </w:tcPr>
          <w:p w14:paraId="46B670F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b/>
                <w:bCs/>
                <w:sz w:val="24"/>
                <w:u w:val="single"/>
              </w:rPr>
              <w:t>VŠEOBECNÉ RIZIKO. PRÍSTUP ZALOŽENÝ NA DURÁCII</w:t>
            </w:r>
          </w:p>
          <w:p w14:paraId="656A74EC" w14:textId="490CB7B7" w:rsidR="00235D9D" w:rsidRPr="00D85C65" w:rsidRDefault="000B0B09">
            <w:pPr>
              <w:rPr>
                <w:rFonts w:ascii="Times New Roman" w:hAnsi="Times New Roman"/>
                <w:b/>
                <w:bCs/>
                <w:sz w:val="24"/>
                <w:u w:val="single"/>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obchodovaných dlhových nástrojoch, na ktoré sa uplatňuje prístup založený na durácii podľa článku 340 ods. 1 až 6 CRR</w:t>
            </w:r>
            <w:r w:rsidR="00D85C65">
              <w:rPr>
                <w:rFonts w:ascii="Times New Roman" w:hAnsi="Times New Roman"/>
                <w:sz w:val="24"/>
              </w:rPr>
              <w:t xml:space="preserve"> a </w:t>
            </w:r>
            <w:r w:rsidRPr="00D85C65">
              <w:rPr>
                <w:rFonts w:ascii="Times New Roman" w:hAnsi="Times New Roman"/>
                <w:sz w:val="24"/>
              </w:rPr>
              <w:t xml:space="preserve">zodpovedajúce </w:t>
            </w:r>
            <w:r w:rsidRPr="00D85C65">
              <w:rPr>
                <w:rFonts w:ascii="Times New Roman" w:hAnsi="Times New Roman"/>
                <w:sz w:val="24"/>
              </w:rPr>
              <w:lastRenderedPageBreak/>
              <w:t>požiadavky na vlastné zdroje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340 ods. 7 CRR. Pozícia sa rozdelí podľa zón 1, 2</w:t>
            </w:r>
            <w:r w:rsidR="00D85C65">
              <w:rPr>
                <w:rFonts w:ascii="Times New Roman" w:hAnsi="Times New Roman"/>
                <w:sz w:val="24"/>
              </w:rPr>
              <w:t xml:space="preserve"> a </w:t>
            </w:r>
            <w:r w:rsidRPr="00D85C65">
              <w:rPr>
                <w:rFonts w:ascii="Times New Roman" w:hAnsi="Times New Roman"/>
                <w:sz w:val="24"/>
              </w:rPr>
              <w:t>3.</w:t>
            </w:r>
          </w:p>
        </w:tc>
      </w:tr>
      <w:tr w:rsidR="00235D9D" w:rsidRPr="00D85C65" w14:paraId="56133F49" w14:textId="77777777" w:rsidTr="00672D2A">
        <w:tc>
          <w:tcPr>
            <w:tcW w:w="987" w:type="dxa"/>
          </w:tcPr>
          <w:p w14:paraId="6B3D233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250</w:t>
            </w:r>
          </w:p>
        </w:tc>
        <w:tc>
          <w:tcPr>
            <w:tcW w:w="7875" w:type="dxa"/>
          </w:tcPr>
          <w:p w14:paraId="237CDD2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ŠPECIFICKÉ RIZIKO</w:t>
            </w:r>
          </w:p>
          <w:p w14:paraId="1DAC4612" w14:textId="3A23F93D" w:rsidR="00D85C65" w:rsidRDefault="000B0B09">
            <w:pPr>
              <w:rPr>
                <w:rFonts w:ascii="Times New Roman" w:hAnsi="Times New Roman"/>
                <w:sz w:val="24"/>
              </w:rPr>
            </w:pPr>
            <w:r w:rsidRPr="00D85C65">
              <w:rPr>
                <w:rFonts w:ascii="Times New Roman" w:hAnsi="Times New Roman"/>
                <w:sz w:val="24"/>
              </w:rPr>
              <w:t>Súčet hodnôt vykázaných</w:t>
            </w:r>
            <w:r w:rsidR="00D85C65">
              <w:rPr>
                <w:rFonts w:ascii="Times New Roman" w:hAnsi="Times New Roman"/>
                <w:sz w:val="24"/>
              </w:rPr>
              <w:t xml:space="preserve"> v </w:t>
            </w:r>
            <w:r w:rsidRPr="00D85C65">
              <w:rPr>
                <w:rFonts w:ascii="Times New Roman" w:hAnsi="Times New Roman"/>
                <w:sz w:val="24"/>
              </w:rPr>
              <w:t>riadkoch 251, 325</w:t>
            </w:r>
            <w:r w:rsidR="00D85C65">
              <w:rPr>
                <w:rFonts w:ascii="Times New Roman" w:hAnsi="Times New Roman"/>
                <w:sz w:val="24"/>
              </w:rPr>
              <w:t xml:space="preserve"> a </w:t>
            </w:r>
            <w:r w:rsidRPr="00D85C65">
              <w:rPr>
                <w:rFonts w:ascii="Times New Roman" w:hAnsi="Times New Roman"/>
                <w:sz w:val="24"/>
              </w:rPr>
              <w:t>330</w:t>
            </w:r>
            <w:r w:rsidR="00D85C65">
              <w:rPr>
                <w:rFonts w:ascii="Times New Roman" w:hAnsi="Times New Roman"/>
                <w:sz w:val="24"/>
              </w:rPr>
              <w:t>.</w:t>
            </w:r>
          </w:p>
          <w:p w14:paraId="3C48F607" w14:textId="385A5E9B" w:rsidR="00235D9D" w:rsidRPr="00D85C65" w:rsidRDefault="000B0B09">
            <w:pPr>
              <w:rPr>
                <w:rFonts w:ascii="Times New Roman" w:hAnsi="Times New Roman"/>
                <w:b/>
                <w:bCs/>
                <w:sz w:val="24"/>
                <w:u w:val="single"/>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obchodovaných dlhových nástrojoch, na ktoré sa uplatňujú kapitálové požiadavky pre špecifické riziko</w:t>
            </w:r>
            <w:r w:rsidR="00D85C65">
              <w:rPr>
                <w:rFonts w:ascii="Times New Roman" w:hAnsi="Times New Roman"/>
                <w:sz w:val="24"/>
              </w:rPr>
              <w:t xml:space="preserve"> a </w:t>
            </w:r>
            <w:r w:rsidRPr="00D85C65">
              <w:rPr>
                <w:rFonts w:ascii="Times New Roman" w:hAnsi="Times New Roman"/>
                <w:sz w:val="24"/>
              </w:rPr>
              <w:t>ich zodpovedajúce kapitálové požiadavky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92 ods. 3 písm. b), článkom 335, článkom 336 ods. 1, 2</w:t>
            </w:r>
            <w:r w:rsidR="00D85C65">
              <w:rPr>
                <w:rFonts w:ascii="Times New Roman" w:hAnsi="Times New Roman"/>
                <w:sz w:val="24"/>
              </w:rPr>
              <w:t xml:space="preserve"> a </w:t>
            </w:r>
            <w:r w:rsidRPr="00D85C65">
              <w:rPr>
                <w:rFonts w:ascii="Times New Roman" w:hAnsi="Times New Roman"/>
                <w:sz w:val="24"/>
              </w:rPr>
              <w:t>3</w:t>
            </w:r>
            <w:r w:rsidR="00D85C65">
              <w:rPr>
                <w:rFonts w:ascii="Times New Roman" w:hAnsi="Times New Roman"/>
                <w:sz w:val="24"/>
              </w:rPr>
              <w:t xml:space="preserve"> a </w:t>
            </w:r>
            <w:r w:rsidRPr="00D85C65">
              <w:rPr>
                <w:rFonts w:ascii="Times New Roman" w:hAnsi="Times New Roman"/>
                <w:sz w:val="24"/>
              </w:rPr>
              <w:t>článkami 337</w:t>
            </w:r>
            <w:r w:rsidR="00D85C65">
              <w:rPr>
                <w:rFonts w:ascii="Times New Roman" w:hAnsi="Times New Roman"/>
                <w:sz w:val="24"/>
              </w:rPr>
              <w:t xml:space="preserve"> a </w:t>
            </w:r>
            <w:r w:rsidRPr="00D85C65">
              <w:rPr>
                <w:rFonts w:ascii="Times New Roman" w:hAnsi="Times New Roman"/>
                <w:sz w:val="24"/>
              </w:rPr>
              <w:t>338 CRR. Upozorňujeme aj na poslednú vetu článku 327 ods. 1 CRR.</w:t>
            </w:r>
          </w:p>
        </w:tc>
      </w:tr>
      <w:tr w:rsidR="00235D9D" w:rsidRPr="00D85C65" w14:paraId="592D5F2E" w14:textId="77777777" w:rsidTr="00672D2A">
        <w:tc>
          <w:tcPr>
            <w:tcW w:w="987" w:type="dxa"/>
          </w:tcPr>
          <w:p w14:paraId="3B6FBE1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251 – 321</w:t>
            </w:r>
          </w:p>
        </w:tc>
        <w:tc>
          <w:tcPr>
            <w:tcW w:w="7875" w:type="dxa"/>
          </w:tcPr>
          <w:p w14:paraId="48DB7741"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Požiadavka na vlastné zdroje pre nesekuritizačné dlhové nástroje</w:t>
            </w:r>
          </w:p>
          <w:p w14:paraId="51195B9D" w14:textId="797510E3" w:rsidR="00235D9D" w:rsidRPr="00D85C65" w:rsidRDefault="000B0B09">
            <w:pPr>
              <w:rPr>
                <w:rFonts w:ascii="Times New Roman" w:hAnsi="Times New Roman"/>
                <w:sz w:val="24"/>
              </w:rPr>
            </w:pPr>
            <w:r w:rsidRPr="00D85C65">
              <w:rPr>
                <w:rFonts w:ascii="Times New Roman" w:hAnsi="Times New Roman"/>
                <w:sz w:val="24"/>
              </w:rPr>
              <w:t>Súčet hodnôt vykázaných</w:t>
            </w:r>
            <w:r w:rsidR="00D85C65">
              <w:rPr>
                <w:rFonts w:ascii="Times New Roman" w:hAnsi="Times New Roman"/>
                <w:sz w:val="24"/>
              </w:rPr>
              <w:t xml:space="preserve"> v </w:t>
            </w:r>
            <w:r w:rsidRPr="00D85C65">
              <w:rPr>
                <w:rFonts w:ascii="Times New Roman" w:hAnsi="Times New Roman"/>
                <w:sz w:val="24"/>
              </w:rPr>
              <w:t>riadkoch 260 až 321.</w:t>
            </w:r>
          </w:p>
          <w:p w14:paraId="71BCCC77" w14:textId="67F5F2B4" w:rsidR="00D85C65" w:rsidRDefault="000B0B09">
            <w:pPr>
              <w:rPr>
                <w:rFonts w:ascii="Times New Roman" w:hAnsi="Times New Roman"/>
                <w:sz w:val="24"/>
              </w:rPr>
            </w:pPr>
            <w:r w:rsidRPr="00D85C65">
              <w:rPr>
                <w:rFonts w:ascii="Times New Roman" w:hAnsi="Times New Roman"/>
                <w:sz w:val="24"/>
              </w:rPr>
              <w:t>Požiadavka na vlastné zdroje pre kreditné deriváty pre n-té zlyhanie, ktoré nemajú externý rating, sa vypočítava spočítaním rizikových váh referenčných subjektov [článok 332 ods. 1 písm. e) CRR</w:t>
            </w:r>
            <w:r w:rsidR="00D85C65">
              <w:rPr>
                <w:rFonts w:ascii="Times New Roman" w:hAnsi="Times New Roman"/>
                <w:sz w:val="24"/>
              </w:rPr>
              <w:t xml:space="preserve"> a </w:t>
            </w:r>
            <w:r w:rsidRPr="00D85C65">
              <w:rPr>
                <w:rFonts w:ascii="Times New Roman" w:hAnsi="Times New Roman"/>
                <w:sz w:val="24"/>
              </w:rPr>
              <w:t>článok 332 ods. 1 druhý pododsek CRR – „prezretie“]. Kreditné deriváty pre n-té zlyhanie, ktoré majú externý rating (článok 332 ods. 1 tretí pododsek CRR), sa vykazujú osobitne</w:t>
            </w:r>
            <w:r w:rsidR="00D85C65">
              <w:rPr>
                <w:rFonts w:ascii="Times New Roman" w:hAnsi="Times New Roman"/>
                <w:sz w:val="24"/>
              </w:rPr>
              <w:t xml:space="preserve"> v </w:t>
            </w:r>
            <w:r w:rsidRPr="00D85C65">
              <w:rPr>
                <w:rFonts w:ascii="Times New Roman" w:hAnsi="Times New Roman"/>
                <w:sz w:val="24"/>
              </w:rPr>
              <w:t>riadku 321</w:t>
            </w:r>
            <w:r w:rsidR="00D85C65">
              <w:rPr>
                <w:rFonts w:ascii="Times New Roman" w:hAnsi="Times New Roman"/>
                <w:sz w:val="24"/>
              </w:rPr>
              <w:t>.</w:t>
            </w:r>
          </w:p>
          <w:p w14:paraId="7D406BCD" w14:textId="105B1F0D" w:rsidR="00235D9D" w:rsidRPr="00D85C65" w:rsidRDefault="000B0B09">
            <w:pPr>
              <w:rPr>
                <w:rFonts w:ascii="Times New Roman" w:hAnsi="Times New Roman"/>
                <w:sz w:val="24"/>
              </w:rPr>
            </w:pPr>
            <w:r w:rsidRPr="00D85C65">
              <w:rPr>
                <w:rFonts w:ascii="Times New Roman" w:hAnsi="Times New Roman"/>
                <w:sz w:val="24"/>
              </w:rPr>
              <w:t>Vykazovanie pozícií, na ktoré sa uplatňuje článok 336 ods. 3 CRR: Pre dlhopisy, ktoré spĺňajú podmienky na 10</w:t>
            </w:r>
            <w:r w:rsidR="00D85C65">
              <w:rPr>
                <w:rFonts w:ascii="Times New Roman" w:hAnsi="Times New Roman"/>
                <w:sz w:val="24"/>
              </w:rPr>
              <w:t> %</w:t>
            </w:r>
            <w:r w:rsidRPr="00D85C65">
              <w:rPr>
                <w:rFonts w:ascii="Times New Roman" w:hAnsi="Times New Roman"/>
                <w:sz w:val="24"/>
              </w:rPr>
              <w:t xml:space="preserve"> rizikovú váhu</w:t>
            </w:r>
            <w:r w:rsidR="00D85C65">
              <w:rPr>
                <w:rFonts w:ascii="Times New Roman" w:hAnsi="Times New Roman"/>
                <w:sz w:val="24"/>
              </w:rPr>
              <w:t xml:space="preserve"> v </w:t>
            </w:r>
            <w:r w:rsidRPr="00D85C65">
              <w:rPr>
                <w:rFonts w:ascii="Times New Roman" w:hAnsi="Times New Roman"/>
                <w:sz w:val="24"/>
              </w:rPr>
              <w:t>bankovej knihe podľa článku 129 ods. 3 CRR (kryté dlhopisy), existuje špeciálne zaobchádzanie. Osobitné požiadavky na vlastné zdroje sú polovicou percentuálnej miery druhej kategórie uvedenej</w:t>
            </w:r>
            <w:r w:rsidR="00D85C65">
              <w:rPr>
                <w:rFonts w:ascii="Times New Roman" w:hAnsi="Times New Roman"/>
                <w:sz w:val="24"/>
              </w:rPr>
              <w:t xml:space="preserve"> v </w:t>
            </w:r>
            <w:r w:rsidRPr="00D85C65">
              <w:rPr>
                <w:rFonts w:ascii="Times New Roman" w:hAnsi="Times New Roman"/>
                <w:sz w:val="24"/>
              </w:rPr>
              <w:t>tabuľke 1 článku 336 CRR. Tieto pozície sa musia priradiť riadkom 280 až 300 podľa zostávajúcej doby do konečnej splatnosti.</w:t>
            </w:r>
          </w:p>
          <w:p w14:paraId="176001AF" w14:textId="252B4085" w:rsidR="00235D9D" w:rsidRPr="00D85C65" w:rsidRDefault="00F41508">
            <w:pPr>
              <w:rPr>
                <w:rFonts w:ascii="Times New Roman" w:hAnsi="Times New Roman"/>
                <w:b/>
                <w:bCs/>
                <w:sz w:val="24"/>
                <w:u w:val="single"/>
              </w:rPr>
            </w:pPr>
            <w:r w:rsidRPr="00D85C65">
              <w:rPr>
                <w:rFonts w:ascii="Times New Roman" w:hAnsi="Times New Roman"/>
                <w:sz w:val="24"/>
              </w:rPr>
              <w:t>Keď sa všeobecné riziko úrokových pozícií hedžuje kreditným derivátom, uplatňujú sa články 346</w:t>
            </w:r>
            <w:r w:rsidR="00D85C65">
              <w:rPr>
                <w:rFonts w:ascii="Times New Roman" w:hAnsi="Times New Roman"/>
                <w:sz w:val="24"/>
              </w:rPr>
              <w:t xml:space="preserve"> a </w:t>
            </w:r>
            <w:r w:rsidRPr="00D85C65">
              <w:rPr>
                <w:rFonts w:ascii="Times New Roman" w:hAnsi="Times New Roman"/>
                <w:sz w:val="24"/>
              </w:rPr>
              <w:t xml:space="preserve">347 CRR. </w:t>
            </w:r>
          </w:p>
        </w:tc>
      </w:tr>
      <w:tr w:rsidR="00235D9D" w:rsidRPr="00D85C65" w14:paraId="17067F13" w14:textId="77777777" w:rsidTr="00672D2A">
        <w:tc>
          <w:tcPr>
            <w:tcW w:w="987" w:type="dxa"/>
          </w:tcPr>
          <w:p w14:paraId="3CA941ED" w14:textId="77777777" w:rsidR="00235D9D" w:rsidRPr="00D85C65" w:rsidDel="00F27BD6"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325</w:t>
            </w:r>
          </w:p>
        </w:tc>
        <w:tc>
          <w:tcPr>
            <w:tcW w:w="7875" w:type="dxa"/>
          </w:tcPr>
          <w:p w14:paraId="4452EF3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Požiadavka na vlastné zdroje pre sekuritizačné nástroje</w:t>
            </w:r>
          </w:p>
          <w:p w14:paraId="1126C2A9" w14:textId="66D3C985" w:rsidR="00235D9D" w:rsidRPr="00D85C65" w:rsidDel="00F27BD6" w:rsidRDefault="000B0B09">
            <w:pPr>
              <w:rPr>
                <w:rFonts w:ascii="Times New Roman" w:hAnsi="Times New Roman"/>
                <w:b/>
                <w:bCs/>
                <w:sz w:val="24"/>
                <w:u w:val="single"/>
              </w:rPr>
            </w:pPr>
            <w:r w:rsidRPr="00D85C65">
              <w:rPr>
                <w:rFonts w:ascii="Times New Roman" w:hAnsi="Times New Roman"/>
                <w:sz w:val="24"/>
              </w:rPr>
              <w:t>Požiadavky na celkové vlastné zdroje vykázané</w:t>
            </w:r>
            <w:r w:rsidR="00D85C65">
              <w:rPr>
                <w:rFonts w:ascii="Times New Roman" w:hAnsi="Times New Roman"/>
                <w:sz w:val="24"/>
              </w:rPr>
              <w:t xml:space="preserve"> v </w:t>
            </w:r>
            <w:r w:rsidRPr="00D85C65">
              <w:rPr>
                <w:rFonts w:ascii="Times New Roman" w:hAnsi="Times New Roman"/>
                <w:sz w:val="24"/>
              </w:rPr>
              <w:t>stĺpci 610 vzoru MKR SA SEC. Tieto požiadavky na celkové vlastné zdroje sa vykazujú len na celkovej úrovni vzoru MKR SA TDI.</w:t>
            </w:r>
          </w:p>
        </w:tc>
      </w:tr>
      <w:tr w:rsidR="00235D9D" w:rsidRPr="00D85C65" w14:paraId="55601A85" w14:textId="77777777" w:rsidTr="00672D2A">
        <w:tc>
          <w:tcPr>
            <w:tcW w:w="987" w:type="dxa"/>
          </w:tcPr>
          <w:p w14:paraId="6F45BFC9" w14:textId="77777777" w:rsidR="00235D9D" w:rsidRPr="00D85C65" w:rsidDel="00F27BD6"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330</w:t>
            </w:r>
          </w:p>
        </w:tc>
        <w:tc>
          <w:tcPr>
            <w:tcW w:w="7875" w:type="dxa"/>
          </w:tcPr>
          <w:p w14:paraId="61DB719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Požiadavka na vlastné zdroje pre korelačné obchodné portfólio</w:t>
            </w:r>
          </w:p>
          <w:p w14:paraId="50472B97" w14:textId="63C658C7" w:rsidR="00235D9D" w:rsidRPr="00D85C65" w:rsidDel="00F27BD6" w:rsidRDefault="000B0B09">
            <w:pPr>
              <w:rPr>
                <w:rFonts w:ascii="Times New Roman" w:hAnsi="Times New Roman"/>
                <w:b/>
                <w:bCs/>
                <w:sz w:val="24"/>
                <w:u w:val="single"/>
              </w:rPr>
            </w:pPr>
            <w:r w:rsidRPr="00D85C65">
              <w:rPr>
                <w:rFonts w:ascii="Times New Roman" w:hAnsi="Times New Roman"/>
                <w:sz w:val="24"/>
              </w:rPr>
              <w:t>Požiadavky na celkové vlastné zdroje vykázané</w:t>
            </w:r>
            <w:r w:rsidR="00D85C65">
              <w:rPr>
                <w:rFonts w:ascii="Times New Roman" w:hAnsi="Times New Roman"/>
                <w:sz w:val="24"/>
              </w:rPr>
              <w:t xml:space="preserve"> v </w:t>
            </w:r>
            <w:r w:rsidRPr="00D85C65">
              <w:rPr>
                <w:rFonts w:ascii="Times New Roman" w:hAnsi="Times New Roman"/>
                <w:sz w:val="24"/>
              </w:rPr>
              <w:t>stĺpci 450 vzoru MKR SA CTP. Uvedené požiadavky na celkové vlastné zdroje sa vykazujú len na celkovej úrovni vzoru MKR SA TDI.</w:t>
            </w:r>
          </w:p>
        </w:tc>
      </w:tr>
      <w:tr w:rsidR="00235D9D" w:rsidRPr="00D85C65" w14:paraId="3E08FD25" w14:textId="77777777" w:rsidTr="00672D2A">
        <w:tc>
          <w:tcPr>
            <w:tcW w:w="987" w:type="dxa"/>
          </w:tcPr>
          <w:p w14:paraId="62E631E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350 – 390</w:t>
            </w:r>
          </w:p>
        </w:tc>
        <w:tc>
          <w:tcPr>
            <w:tcW w:w="7875" w:type="dxa"/>
          </w:tcPr>
          <w:p w14:paraId="22BAE0D5" w14:textId="77777777" w:rsidR="00D85C65" w:rsidRDefault="000B0B09">
            <w:pPr>
              <w:autoSpaceDE w:val="0"/>
              <w:autoSpaceDN w:val="0"/>
              <w:adjustRightInd w:val="0"/>
              <w:spacing w:before="0" w:after="0"/>
              <w:rPr>
                <w:rStyle w:val="InstructionsTabelleberschrift"/>
                <w:rFonts w:ascii="Times New Roman" w:hAnsi="Times New Roman"/>
                <w:sz w:val="24"/>
              </w:rPr>
            </w:pPr>
            <w:r w:rsidRPr="00D85C65">
              <w:rPr>
                <w:rStyle w:val="InstructionsTabelleberschrift"/>
                <w:rFonts w:ascii="Times New Roman" w:hAnsi="Times New Roman"/>
                <w:sz w:val="24"/>
              </w:rPr>
              <w:t>DODATOČNÉ POŽIADAVKY PRE OPCIE (RIZIKÁ INÉ NEŽ DELTA)</w:t>
            </w:r>
          </w:p>
          <w:p w14:paraId="06492815" w14:textId="7BCA80C4" w:rsidR="00235D9D" w:rsidRPr="00D85C65" w:rsidRDefault="000B0B09">
            <w:pPr>
              <w:rPr>
                <w:rFonts w:ascii="Times New Roman" w:hAnsi="Times New Roman"/>
                <w:sz w:val="24"/>
              </w:rPr>
            </w:pPr>
            <w:r w:rsidRPr="00D85C65">
              <w:rPr>
                <w:rFonts w:ascii="Times New Roman" w:hAnsi="Times New Roman"/>
                <w:sz w:val="24"/>
              </w:rPr>
              <w:t>Článok 329 ods. 3 CRR.</w:t>
            </w:r>
          </w:p>
          <w:p w14:paraId="176CA52A" w14:textId="3ECA4722" w:rsidR="00235D9D" w:rsidRPr="00D85C65" w:rsidRDefault="000B0B09">
            <w:pPr>
              <w:rPr>
                <w:rFonts w:ascii="Times New Roman" w:hAnsi="Times New Roman"/>
                <w:bCs/>
                <w:sz w:val="24"/>
              </w:rPr>
            </w:pPr>
            <w:r w:rsidRPr="00D85C65">
              <w:rPr>
                <w:rFonts w:ascii="Times New Roman" w:hAnsi="Times New Roman"/>
                <w:sz w:val="24"/>
              </w:rPr>
              <w:t>Dodatočné požiadavky pre opcie, ktoré súvisia</w:t>
            </w:r>
            <w:r w:rsidR="00D85C65">
              <w:rPr>
                <w:rFonts w:ascii="Times New Roman" w:hAnsi="Times New Roman"/>
                <w:sz w:val="24"/>
              </w:rPr>
              <w:t xml:space="preserve"> s </w:t>
            </w:r>
            <w:r w:rsidRPr="00D85C65">
              <w:rPr>
                <w:rFonts w:ascii="Times New Roman" w:hAnsi="Times New Roman"/>
                <w:sz w:val="24"/>
              </w:rPr>
              <w:t>rizikami inými než delta, sa vykazujú</w:t>
            </w:r>
            <w:r w:rsidR="00D85C65">
              <w:rPr>
                <w:rFonts w:ascii="Times New Roman" w:hAnsi="Times New Roman"/>
                <w:sz w:val="24"/>
              </w:rPr>
              <w:t xml:space="preserve"> v </w:t>
            </w:r>
            <w:r w:rsidRPr="00D85C65">
              <w:rPr>
                <w:rFonts w:ascii="Times New Roman" w:hAnsi="Times New Roman"/>
                <w:sz w:val="24"/>
              </w:rPr>
              <w:t>rozčlenení podľa metódy použitej na ich výpočet.</w:t>
            </w:r>
          </w:p>
        </w:tc>
      </w:tr>
    </w:tbl>
    <w:p w14:paraId="79E459D1" w14:textId="77777777" w:rsidR="00235D9D" w:rsidRPr="00D85C65" w:rsidRDefault="00235D9D">
      <w:pPr>
        <w:autoSpaceDE w:val="0"/>
        <w:autoSpaceDN w:val="0"/>
        <w:adjustRightInd w:val="0"/>
        <w:spacing w:before="0" w:after="0"/>
        <w:rPr>
          <w:rFonts w:ascii="Times New Roman" w:hAnsi="Times New Roman"/>
          <w:bCs/>
          <w:sz w:val="24"/>
        </w:rPr>
      </w:pPr>
    </w:p>
    <w:p w14:paraId="48569DE9" w14:textId="532FF264" w:rsidR="00235D9D" w:rsidRPr="00D85C65" w:rsidRDefault="00125707">
      <w:pPr>
        <w:pStyle w:val="Instructionsberschrift2"/>
        <w:numPr>
          <w:ilvl w:val="0"/>
          <w:numId w:val="0"/>
        </w:numPr>
        <w:ind w:left="357" w:hanging="357"/>
        <w:rPr>
          <w:rFonts w:ascii="Times New Roman" w:hAnsi="Times New Roman" w:cs="Times New Roman"/>
          <w:sz w:val="24"/>
        </w:rPr>
      </w:pPr>
      <w:bookmarkStart w:id="86" w:name="_Toc29994529"/>
      <w:r w:rsidRPr="00D85C65">
        <w:rPr>
          <w:rFonts w:ascii="Times New Roman" w:hAnsi="Times New Roman"/>
          <w:sz w:val="24"/>
          <w:u w:val="none"/>
        </w:rPr>
        <w:lastRenderedPageBreak/>
        <w:t>5.2.</w:t>
      </w:r>
      <w:r w:rsidRPr="00D85C65">
        <w:rPr>
          <w:rFonts w:ascii="Times New Roman" w:hAnsi="Times New Roman"/>
          <w:sz w:val="24"/>
          <w:u w:val="none"/>
        </w:rPr>
        <w:tab/>
      </w:r>
      <w:r w:rsidRPr="00D85C65">
        <w:rPr>
          <w:rFonts w:ascii="Times New Roman" w:hAnsi="Times New Roman"/>
          <w:sz w:val="24"/>
        </w:rPr>
        <w:t>C 19.00 – TRHOVÉ RIZIKO: ŠTANDARDIZOVANÝ PRÍSTUP PRE ŠPECIFICKÉ RIZIKO</w:t>
      </w:r>
      <w:r w:rsidR="00D85C65">
        <w:rPr>
          <w:rFonts w:ascii="Times New Roman" w:hAnsi="Times New Roman"/>
          <w:sz w:val="24"/>
        </w:rPr>
        <w:t xml:space="preserve"> V </w:t>
      </w:r>
      <w:r w:rsidRPr="00D85C65">
        <w:rPr>
          <w:rFonts w:ascii="Times New Roman" w:hAnsi="Times New Roman"/>
          <w:sz w:val="24"/>
        </w:rPr>
        <w:t>SEKURITIZÁCIÁCH (VZOR MKR SA SEC)</w:t>
      </w:r>
      <w:bookmarkEnd w:id="86"/>
    </w:p>
    <w:p w14:paraId="3DF4DE91"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87" w:name="_Toc29994530"/>
      <w:r w:rsidRPr="00D85C65">
        <w:rPr>
          <w:rFonts w:ascii="Times New Roman" w:hAnsi="Times New Roman"/>
          <w:sz w:val="24"/>
          <w:u w:val="none"/>
        </w:rPr>
        <w:t>5.2.1.</w:t>
      </w:r>
      <w:r w:rsidRPr="00D85C65">
        <w:rPr>
          <w:rFonts w:ascii="Times New Roman" w:hAnsi="Times New Roman"/>
          <w:sz w:val="24"/>
          <w:u w:val="none"/>
        </w:rPr>
        <w:tab/>
      </w:r>
      <w:r w:rsidRPr="00D85C65">
        <w:rPr>
          <w:rFonts w:ascii="Times New Roman" w:hAnsi="Times New Roman"/>
          <w:sz w:val="24"/>
        </w:rPr>
        <w:t>Všeobecné poznámky</w:t>
      </w:r>
      <w:bookmarkEnd w:id="87"/>
    </w:p>
    <w:p w14:paraId="683235D5" w14:textId="796C03E6" w:rsidR="00D85C65" w:rsidRDefault="00FC6275">
      <w:pPr>
        <w:pStyle w:val="InstructionsText2"/>
        <w:numPr>
          <w:ilvl w:val="0"/>
          <w:numId w:val="0"/>
        </w:numPr>
        <w:ind w:left="993"/>
      </w:pPr>
      <w:r w:rsidRPr="00D85C65">
        <w:t>141.</w:t>
      </w:r>
      <w:r w:rsidRPr="00D85C65">
        <w:tab/>
      </w:r>
      <w:r w:rsidR="00D85C65">
        <w:t xml:space="preserve"> V </w:t>
      </w:r>
      <w:r w:rsidRPr="00D85C65">
        <w:t>tomto vzore sa požadujú informácie</w:t>
      </w:r>
      <w:r w:rsidR="00D85C65">
        <w:t xml:space="preserve"> o </w:t>
      </w:r>
      <w:r w:rsidRPr="00D85C65">
        <w:t>pozíciách (všetky/čisté</w:t>
      </w:r>
      <w:r w:rsidR="00D85C65">
        <w:t xml:space="preserve"> a </w:t>
      </w:r>
      <w:r w:rsidRPr="00D85C65">
        <w:t>dlhé/krátke)</w:t>
      </w:r>
      <w:r w:rsidR="00D85C65">
        <w:t xml:space="preserve"> a </w:t>
      </w:r>
      <w:r w:rsidRPr="00D85C65">
        <w:t>súvisiacich požiadavkách na vlastné zdroje pre zložku špecifického rizika pozičného rizika</w:t>
      </w:r>
      <w:r w:rsidR="00D85C65">
        <w:t xml:space="preserve"> v </w:t>
      </w:r>
      <w:r w:rsidRPr="00D85C65">
        <w:t>sekuritizáciách/resekuritizáciách držaných</w:t>
      </w:r>
      <w:r w:rsidR="00D85C65">
        <w:t xml:space="preserve"> v </w:t>
      </w:r>
      <w:r w:rsidRPr="00D85C65">
        <w:t>obchodnej knihe (neprípustné pre korelačné obchodné portfólio)</w:t>
      </w:r>
      <w:r w:rsidR="00D85C65">
        <w:t xml:space="preserve"> v </w:t>
      </w:r>
      <w:r w:rsidRPr="00D85C65">
        <w:t>rámci štandardizovaného prístupu</w:t>
      </w:r>
      <w:r w:rsidR="00D85C65">
        <w:t>.</w:t>
      </w:r>
    </w:p>
    <w:p w14:paraId="28F8BE4E" w14:textId="5714C5DD" w:rsidR="00235D9D" w:rsidRPr="00D85C65" w:rsidRDefault="00FC6275">
      <w:pPr>
        <w:pStyle w:val="InstructionsText2"/>
        <w:numPr>
          <w:ilvl w:val="0"/>
          <w:numId w:val="0"/>
        </w:numPr>
        <w:ind w:left="993"/>
      </w:pPr>
      <w:r w:rsidRPr="00D85C65">
        <w:t>142.</w:t>
      </w:r>
      <w:r w:rsidRPr="00D85C65">
        <w:tab/>
        <w:t xml:space="preserve"> Vo vzore MKR SA SEC sa požiadavka na vlastné zdroje určuje len pre špecifické riziko sekuritizačných pozícií podľa článku 335 CRR</w:t>
      </w:r>
      <w:r w:rsidR="00D85C65">
        <w:t xml:space="preserve"> v </w:t>
      </w:r>
      <w:r w:rsidRPr="00D85C65">
        <w:t>spojení</w:t>
      </w:r>
      <w:r w:rsidR="00D85C65">
        <w:t xml:space="preserve"> s </w:t>
      </w:r>
      <w:r w:rsidRPr="00D85C65">
        <w:t>článkom 337 CRR. Keď sa sekuritizačné pozície obchodnej knihy hedžujú kreditnými derivátmi, uplatňujú sa články 346</w:t>
      </w:r>
      <w:r w:rsidR="00D85C65">
        <w:t xml:space="preserve"> a </w:t>
      </w:r>
      <w:r w:rsidRPr="00D85C65">
        <w:t>347 CRR. Existuje len jeden vzor pre všetky pozície obchodnej knihy bez ohľadu na prístup, ktorý inštitúcie uplatňujú na určenie rizikovej váhy každej</w:t>
      </w:r>
      <w:r w:rsidR="00D85C65">
        <w:t xml:space="preserve"> z </w:t>
      </w:r>
      <w:r w:rsidRPr="00D85C65">
        <w:t>pozícií</w:t>
      </w:r>
      <w:r w:rsidR="00D85C65">
        <w:t xml:space="preserve"> v </w:t>
      </w:r>
      <w:r w:rsidRPr="00D85C65">
        <w:t>súlade</w:t>
      </w:r>
      <w:r w:rsidR="00D85C65">
        <w:t xml:space="preserve"> s </w:t>
      </w:r>
      <w:r w:rsidRPr="00D85C65">
        <w:t>treťou časťou hlavou II kapitolou 5 CRR. Požiadavky na vlastné zdroje pre všeobecné riziko týchto pozícií sa vykazujú vo vzore MKR SA TDI alebo vo vzore MKR IM.</w:t>
      </w:r>
    </w:p>
    <w:p w14:paraId="69A98D53" w14:textId="5D7B788A" w:rsidR="00235D9D" w:rsidRPr="00D85C65" w:rsidRDefault="00FC6275">
      <w:pPr>
        <w:pStyle w:val="InstructionsText2"/>
        <w:numPr>
          <w:ilvl w:val="0"/>
          <w:numId w:val="0"/>
        </w:numPr>
        <w:ind w:left="993"/>
      </w:pPr>
      <w:r w:rsidRPr="00D85C65">
        <w:t>143. Pozície, ktoré dostanú rizikovú váhu 1 250</w:t>
      </w:r>
      <w:r w:rsidR="00D85C65">
        <w:t> %</w:t>
      </w:r>
      <w:r w:rsidRPr="00D85C65">
        <w:t>, možno alternatívne odpočítať od CET1 [pozri článok 244 ods. 1 písm. b), článok 245 ods. 1 písm. b)</w:t>
      </w:r>
      <w:r w:rsidR="00D85C65">
        <w:t xml:space="preserve"> a </w:t>
      </w:r>
      <w:r w:rsidRPr="00D85C65">
        <w:t>článok 253 CRR].</w:t>
      </w:r>
      <w:r w:rsidR="00D85C65">
        <w:t xml:space="preserve"> V </w:t>
      </w:r>
      <w:r w:rsidRPr="00D85C65">
        <w:t>takomto prípade sa tieto pozície musia vykázať</w:t>
      </w:r>
      <w:r w:rsidR="00D85C65">
        <w:t xml:space="preserve"> v </w:t>
      </w:r>
      <w:r w:rsidRPr="00D85C65">
        <w:t>riadku 460 vzoru CA1.</w:t>
      </w:r>
    </w:p>
    <w:p w14:paraId="289FA4F0" w14:textId="5464ABCA" w:rsidR="00235D9D" w:rsidRPr="00D85C65" w:rsidRDefault="00125707">
      <w:pPr>
        <w:pStyle w:val="Instructionsberschrift2"/>
        <w:numPr>
          <w:ilvl w:val="0"/>
          <w:numId w:val="0"/>
        </w:numPr>
        <w:ind w:left="357" w:hanging="357"/>
        <w:rPr>
          <w:rFonts w:ascii="Times New Roman" w:hAnsi="Times New Roman" w:cs="Times New Roman"/>
          <w:sz w:val="24"/>
        </w:rPr>
      </w:pPr>
      <w:bookmarkStart w:id="88" w:name="_Toc29994531"/>
      <w:r w:rsidRPr="00D85C65">
        <w:rPr>
          <w:rFonts w:ascii="Times New Roman" w:hAnsi="Times New Roman"/>
          <w:sz w:val="24"/>
          <w:u w:val="none"/>
        </w:rPr>
        <w:t>5.2.2.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235D9D" w:rsidRPr="00D85C65" w14:paraId="52E34CC6" w14:textId="77777777" w:rsidTr="00E10B85">
        <w:trPr>
          <w:trHeight w:val="631"/>
        </w:trPr>
        <w:tc>
          <w:tcPr>
            <w:tcW w:w="9018" w:type="dxa"/>
            <w:gridSpan w:val="2"/>
            <w:shd w:val="clear" w:color="auto" w:fill="CCCCCC"/>
          </w:tcPr>
          <w:p w14:paraId="0F87415D" w14:textId="77777777" w:rsidR="00235D9D" w:rsidRPr="00D85C65" w:rsidRDefault="00C55547">
            <w:pPr>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799318A8" w14:textId="77777777" w:rsidTr="00E10B85">
        <w:tc>
          <w:tcPr>
            <w:tcW w:w="1144" w:type="dxa"/>
          </w:tcPr>
          <w:p w14:paraId="75052669"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010 – 020</w:t>
            </w:r>
          </w:p>
        </w:tc>
        <w:tc>
          <w:tcPr>
            <w:tcW w:w="7874" w:type="dxa"/>
          </w:tcPr>
          <w:p w14:paraId="619F8C38"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VŠETKY POZÍCIE (DLHÉ A KRÁTKE)</w:t>
            </w:r>
          </w:p>
          <w:p w14:paraId="682F4C68" w14:textId="2C5E8A2E" w:rsidR="00235D9D" w:rsidRPr="00D85C65" w:rsidRDefault="00C55547">
            <w:pPr>
              <w:rPr>
                <w:rFonts w:ascii="Times New Roman" w:hAnsi="Times New Roman"/>
                <w:sz w:val="24"/>
              </w:rPr>
            </w:pPr>
            <w:r w:rsidRPr="00D85C65">
              <w:rPr>
                <w:rFonts w:ascii="Times New Roman" w:hAnsi="Times New Roman"/>
                <w:sz w:val="24"/>
              </w:rPr>
              <w:t xml:space="preserve">Článok </w:t>
            </w:r>
            <w:r w:rsidRPr="00D85C65">
              <w:rPr>
                <w:rStyle w:val="InstructionsTabelleText"/>
                <w:rFonts w:ascii="Times New Roman" w:hAnsi="Times New Roman"/>
                <w:sz w:val="24"/>
              </w:rPr>
              <w:t>102</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105 ods. 1 CRR</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spojení</w:t>
            </w:r>
            <w:r w:rsidR="00D85C65">
              <w:rPr>
                <w:rStyle w:val="InstructionsTabelleText"/>
                <w:rFonts w:ascii="Times New Roman" w:hAnsi="Times New Roman"/>
                <w:sz w:val="24"/>
              </w:rPr>
              <w:t xml:space="preserve"> s </w:t>
            </w:r>
            <w:r w:rsidRPr="00D85C65">
              <w:rPr>
                <w:rStyle w:val="InstructionsTabelleText"/>
                <w:rFonts w:ascii="Times New Roman" w:hAnsi="Times New Roman"/>
                <w:sz w:val="24"/>
              </w:rPr>
              <w:t>článkom 337 CRR (sekuritizačné pozície). Pokiaľ ide</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rozdiel medzi dlhými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 xml:space="preserve">krátkymi pozíciami, ktorý sa uplatňuje aj na tieto hrubé pozície, pozri článok 328 ods. 2 CRR. </w:t>
            </w:r>
          </w:p>
        </w:tc>
      </w:tr>
      <w:tr w:rsidR="00235D9D" w:rsidRPr="00D85C65" w14:paraId="6199F4EC" w14:textId="77777777" w:rsidTr="00E10B85">
        <w:tc>
          <w:tcPr>
            <w:tcW w:w="1144" w:type="dxa"/>
          </w:tcPr>
          <w:p w14:paraId="1B25CDEF"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030 – 040</w:t>
            </w:r>
          </w:p>
        </w:tc>
        <w:tc>
          <w:tcPr>
            <w:tcW w:w="7874" w:type="dxa"/>
          </w:tcPr>
          <w:p w14:paraId="145A08B1"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 POZÍCIE ODPOČÍTANÉ OD VLASTNÝCH ZDROJOV</w:t>
            </w:r>
            <w:r w:rsidRPr="00D85C65">
              <w:rPr>
                <w:rFonts w:ascii="Times New Roman" w:hAnsi="Times New Roman"/>
                <w:b/>
                <w:bCs/>
                <w:sz w:val="24"/>
                <w:u w:val="single"/>
              </w:rPr>
              <w:t xml:space="preserve"> (DLHÉ A KRÁTKE)</w:t>
            </w:r>
          </w:p>
          <w:p w14:paraId="37C026B6" w14:textId="72BC0227" w:rsidR="00235D9D" w:rsidRPr="00D85C65" w:rsidRDefault="00705025">
            <w:pPr>
              <w:rPr>
                <w:rStyle w:val="InstructionsTabelleText"/>
                <w:rFonts w:ascii="Times New Roman" w:hAnsi="Times New Roman"/>
                <w:sz w:val="24"/>
              </w:rPr>
            </w:pPr>
            <w:r w:rsidRPr="00D85C65">
              <w:rPr>
                <w:rStyle w:val="InstructionsTabelleText"/>
                <w:rFonts w:ascii="Times New Roman" w:hAnsi="Times New Roman"/>
                <w:sz w:val="24"/>
              </w:rPr>
              <w:t>Článok 244 ods. 1 písm. b), článok 245 ods. 1 písm. b)</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253 CRR.</w:t>
            </w:r>
          </w:p>
        </w:tc>
      </w:tr>
      <w:tr w:rsidR="00235D9D" w:rsidRPr="00D85C65" w14:paraId="024C5AFF" w14:textId="77777777" w:rsidTr="00E10B85">
        <w:tc>
          <w:tcPr>
            <w:tcW w:w="1144" w:type="dxa"/>
          </w:tcPr>
          <w:p w14:paraId="6A55F5A5"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050 – 060</w:t>
            </w:r>
          </w:p>
        </w:tc>
        <w:tc>
          <w:tcPr>
            <w:tcW w:w="7874" w:type="dxa"/>
          </w:tcPr>
          <w:p w14:paraId="7EBDBB11"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ČISTÉ POZÍCIE</w:t>
            </w:r>
            <w:r w:rsidRPr="00D85C65">
              <w:rPr>
                <w:rFonts w:ascii="Times New Roman" w:hAnsi="Times New Roman"/>
                <w:b/>
                <w:bCs/>
                <w:sz w:val="24"/>
                <w:u w:val="single"/>
              </w:rPr>
              <w:t xml:space="preserve"> (DLHÉ A KRÁTKE)</w:t>
            </w:r>
          </w:p>
          <w:p w14:paraId="574B641C" w14:textId="72296368" w:rsidR="00235D9D" w:rsidRPr="00D85C65" w:rsidRDefault="00C55547">
            <w:pPr>
              <w:rPr>
                <w:rStyle w:val="InstructionsTabelleText"/>
                <w:rFonts w:ascii="Times New Roman" w:hAnsi="Times New Roman"/>
                <w:sz w:val="24"/>
              </w:rPr>
            </w:pPr>
            <w:r w:rsidRPr="00D85C65">
              <w:rPr>
                <w:rFonts w:ascii="Times New Roman" w:hAnsi="Times New Roman"/>
                <w:sz w:val="24"/>
              </w:rPr>
              <w:t xml:space="preserve">Články </w:t>
            </w:r>
            <w:r w:rsidRPr="00D85C65">
              <w:rPr>
                <w:rStyle w:val="InstructionsTabelleText"/>
                <w:rFonts w:ascii="Times New Roman" w:hAnsi="Times New Roman"/>
                <w:sz w:val="24"/>
              </w:rPr>
              <w:t>327, 328, 329</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334 CRR. Pokiaľ ide</w:t>
            </w:r>
            <w:r w:rsidR="00D85C65">
              <w:rPr>
                <w:rStyle w:val="InstructionsTabelleText"/>
                <w:rFonts w:ascii="Times New Roman" w:hAnsi="Times New Roman"/>
                <w:sz w:val="24"/>
              </w:rPr>
              <w:t xml:space="preserve"> o </w:t>
            </w:r>
            <w:r w:rsidRPr="00D85C65">
              <w:rPr>
                <w:rStyle w:val="InstructionsTabelleText"/>
                <w:rFonts w:ascii="Times New Roman" w:hAnsi="Times New Roman"/>
                <w:sz w:val="24"/>
              </w:rPr>
              <w:t>rozdiel medzi dlhými</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krátkymi pozíciami, pozri článok 328 ods. 2 CRR.</w:t>
            </w:r>
          </w:p>
        </w:tc>
      </w:tr>
      <w:tr w:rsidR="00235D9D" w:rsidRPr="00D85C65" w14:paraId="546368FA" w14:textId="77777777" w:rsidTr="00E10B85">
        <w:tc>
          <w:tcPr>
            <w:tcW w:w="1144" w:type="dxa"/>
          </w:tcPr>
          <w:p w14:paraId="464B8D6D"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061 – 104</w:t>
            </w:r>
          </w:p>
        </w:tc>
        <w:tc>
          <w:tcPr>
            <w:tcW w:w="7874" w:type="dxa"/>
          </w:tcPr>
          <w:p w14:paraId="5B7D6F8E" w14:textId="30FD8284"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ROZČLENENIE ČISTÝCH POZÍCIÍ PODĽA RIZIKOVÝCH VÁH</w:t>
            </w:r>
          </w:p>
          <w:p w14:paraId="10E321CE" w14:textId="2B269E8D" w:rsidR="00D85C65" w:rsidRDefault="00C55547">
            <w:pPr>
              <w:rPr>
                <w:rStyle w:val="InstructionsTabelleText"/>
                <w:rFonts w:ascii="Times New Roman" w:hAnsi="Times New Roman"/>
                <w:sz w:val="24"/>
              </w:rPr>
            </w:pPr>
            <w:r w:rsidRPr="00D85C65">
              <w:rPr>
                <w:rStyle w:val="InstructionsTabelleText"/>
                <w:rFonts w:ascii="Times New Roman" w:hAnsi="Times New Roman"/>
                <w:sz w:val="24"/>
              </w:rPr>
              <w:t>Články 259 až 262, tabuľky 1</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 článku 263, tabuľky 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4 článku 264</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266 CRR</w:t>
            </w:r>
            <w:r w:rsidR="00D85C65">
              <w:rPr>
                <w:rStyle w:val="InstructionsTabelleText"/>
                <w:rFonts w:ascii="Times New Roman" w:hAnsi="Times New Roman"/>
                <w:sz w:val="24"/>
              </w:rPr>
              <w:t>.</w:t>
            </w:r>
          </w:p>
          <w:p w14:paraId="76F29C4F" w14:textId="42772FF9" w:rsidR="00235D9D" w:rsidRPr="00D85C65" w:rsidRDefault="00C55547">
            <w:pPr>
              <w:rPr>
                <w:rStyle w:val="InstructionsTabelleText"/>
                <w:rFonts w:ascii="Times New Roman" w:hAnsi="Times New Roman"/>
                <w:sz w:val="24"/>
              </w:rPr>
            </w:pPr>
            <w:r w:rsidRPr="00D85C65">
              <w:rPr>
                <w:rStyle w:val="InstructionsTabelleText"/>
                <w:rFonts w:ascii="Times New Roman" w:hAnsi="Times New Roman"/>
                <w:sz w:val="24"/>
              </w:rPr>
              <w:t>Dlhé</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krátke pozície sa rozčleňujú osobitne.</w:t>
            </w:r>
          </w:p>
        </w:tc>
      </w:tr>
      <w:tr w:rsidR="00235D9D" w:rsidRPr="00D85C65" w14:paraId="4849CE02" w14:textId="77777777" w:rsidTr="00E10B85">
        <w:tc>
          <w:tcPr>
            <w:tcW w:w="1144" w:type="dxa"/>
          </w:tcPr>
          <w:p w14:paraId="04BF166A"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402 – 406</w:t>
            </w:r>
          </w:p>
        </w:tc>
        <w:tc>
          <w:tcPr>
            <w:tcW w:w="7874" w:type="dxa"/>
          </w:tcPr>
          <w:p w14:paraId="31CBA0F3" w14:textId="4539ACE1"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ROZČLENENIE ČISTÝCH POZÍCIÍ PODĽA PRÍSTUPOV</w:t>
            </w:r>
          </w:p>
          <w:p w14:paraId="5E0A32C0" w14:textId="2170528B" w:rsidR="00235D9D" w:rsidRPr="00D85C65" w:rsidRDefault="00C55547">
            <w:pPr>
              <w:rPr>
                <w:rFonts w:ascii="Times New Roman" w:hAnsi="Times New Roman"/>
                <w:b/>
                <w:bCs/>
                <w:sz w:val="24"/>
                <w:u w:val="single"/>
              </w:rPr>
            </w:pPr>
            <w:r w:rsidRPr="00D85C65">
              <w:rPr>
                <w:rFonts w:ascii="Times New Roman" w:hAnsi="Times New Roman"/>
                <w:sz w:val="24"/>
              </w:rPr>
              <w:t>Článok</w:t>
            </w:r>
            <w:r w:rsidRPr="00D85C65">
              <w:rPr>
                <w:rStyle w:val="InstructionsTabelleText"/>
                <w:rFonts w:ascii="Times New Roman" w:hAnsi="Times New Roman"/>
                <w:sz w:val="24"/>
              </w:rPr>
              <w:t xml:space="preserve"> 254 CRR</w:t>
            </w:r>
            <w:r w:rsidRPr="00D85C65">
              <w:rPr>
                <w:rFonts w:ascii="Times New Roman" w:hAnsi="Times New Roman"/>
                <w:sz w:val="24"/>
              </w:rPr>
              <w:t>.</w:t>
            </w:r>
            <w:r w:rsidRPr="00D85C65">
              <w:rPr>
                <w:rStyle w:val="InstructionsTabelleText"/>
                <w:rFonts w:ascii="Times New Roman" w:hAnsi="Times New Roman"/>
                <w:sz w:val="24"/>
              </w:rPr>
              <w:t xml:space="preserve"> </w:t>
            </w:r>
          </w:p>
        </w:tc>
      </w:tr>
      <w:tr w:rsidR="00235D9D" w:rsidRPr="00D85C65" w14:paraId="04E9E548" w14:textId="77777777" w:rsidTr="00E10B85">
        <w:tc>
          <w:tcPr>
            <w:tcW w:w="1144" w:type="dxa"/>
          </w:tcPr>
          <w:p w14:paraId="52710FE5"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402</w:t>
            </w:r>
          </w:p>
        </w:tc>
        <w:tc>
          <w:tcPr>
            <w:tcW w:w="7874" w:type="dxa"/>
          </w:tcPr>
          <w:p w14:paraId="567BB6FB"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SEC-IRBA</w:t>
            </w:r>
          </w:p>
          <w:p w14:paraId="021F46C0" w14:textId="2F2483A4" w:rsidR="00235D9D" w:rsidRPr="00D85C65" w:rsidRDefault="00C55547">
            <w:pPr>
              <w:rPr>
                <w:rFonts w:ascii="Times New Roman" w:hAnsi="Times New Roman"/>
                <w:b/>
                <w:bCs/>
                <w:sz w:val="24"/>
                <w:u w:val="single"/>
              </w:rPr>
            </w:pPr>
            <w:r w:rsidRPr="00D85C65">
              <w:rPr>
                <w:rStyle w:val="InstructionsTabelleText"/>
                <w:rFonts w:ascii="Times New Roman" w:hAnsi="Times New Roman"/>
                <w:sz w:val="24"/>
              </w:rPr>
              <w:lastRenderedPageBreak/>
              <w:t>Články 259</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260 CRR.</w:t>
            </w:r>
          </w:p>
        </w:tc>
      </w:tr>
      <w:tr w:rsidR="00235D9D" w:rsidRPr="00D85C65" w14:paraId="6AA0D3A8" w14:textId="77777777" w:rsidTr="00E10B85">
        <w:tc>
          <w:tcPr>
            <w:tcW w:w="1144" w:type="dxa"/>
          </w:tcPr>
          <w:p w14:paraId="1C0DB11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403</w:t>
            </w:r>
          </w:p>
        </w:tc>
        <w:tc>
          <w:tcPr>
            <w:tcW w:w="7874" w:type="dxa"/>
          </w:tcPr>
          <w:p w14:paraId="54504140"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SEC-SA</w:t>
            </w:r>
          </w:p>
          <w:p w14:paraId="37E5169A" w14:textId="3A7657DB" w:rsidR="00235D9D" w:rsidRPr="00D85C65" w:rsidRDefault="00C55547">
            <w:pPr>
              <w:autoSpaceDE w:val="0"/>
              <w:autoSpaceDN w:val="0"/>
              <w:adjustRightInd w:val="0"/>
              <w:jc w:val="left"/>
              <w:rPr>
                <w:rFonts w:ascii="Times New Roman" w:hAnsi="Times New Roman"/>
                <w:b/>
                <w:bCs/>
                <w:sz w:val="24"/>
                <w:u w:val="single"/>
              </w:rPr>
            </w:pPr>
            <w:r w:rsidRPr="00D85C65">
              <w:rPr>
                <w:rStyle w:val="InstructionsTabelleText"/>
                <w:rFonts w:ascii="Times New Roman" w:hAnsi="Times New Roman"/>
                <w:sz w:val="24"/>
              </w:rPr>
              <w:t>Články 261</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262 CRR.</w:t>
            </w:r>
          </w:p>
        </w:tc>
      </w:tr>
      <w:tr w:rsidR="00235D9D" w:rsidRPr="00D85C65" w14:paraId="7C8171F3" w14:textId="77777777" w:rsidTr="00E10B85">
        <w:tc>
          <w:tcPr>
            <w:tcW w:w="1144" w:type="dxa"/>
          </w:tcPr>
          <w:p w14:paraId="36E4B956"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404</w:t>
            </w:r>
          </w:p>
        </w:tc>
        <w:tc>
          <w:tcPr>
            <w:tcW w:w="7874" w:type="dxa"/>
          </w:tcPr>
          <w:p w14:paraId="7FA6E1E5"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SEC-ERBA</w:t>
            </w:r>
          </w:p>
          <w:p w14:paraId="4BE3C821" w14:textId="6EA25B17" w:rsidR="00235D9D" w:rsidRPr="00D85C65" w:rsidRDefault="00C55547">
            <w:pPr>
              <w:rPr>
                <w:rFonts w:ascii="Times New Roman" w:hAnsi="Times New Roman"/>
                <w:b/>
                <w:bCs/>
                <w:sz w:val="24"/>
                <w:u w:val="single"/>
              </w:rPr>
            </w:pPr>
            <w:r w:rsidRPr="00D85C65">
              <w:rPr>
                <w:rStyle w:val="InstructionsTabelleText"/>
                <w:rFonts w:ascii="Times New Roman" w:hAnsi="Times New Roman"/>
                <w:sz w:val="24"/>
              </w:rPr>
              <w:t>Články 263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264 CRR.</w:t>
            </w:r>
          </w:p>
        </w:tc>
      </w:tr>
      <w:tr w:rsidR="00235D9D" w:rsidRPr="00D85C65" w14:paraId="31ABA7E3" w14:textId="77777777" w:rsidTr="00E10B85">
        <w:tc>
          <w:tcPr>
            <w:tcW w:w="1144" w:type="dxa"/>
          </w:tcPr>
          <w:p w14:paraId="0CFD80ED"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405</w:t>
            </w:r>
          </w:p>
        </w:tc>
        <w:tc>
          <w:tcPr>
            <w:tcW w:w="7874" w:type="dxa"/>
          </w:tcPr>
          <w:p w14:paraId="7447AB22"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PRÍSTUP INTERNÉHO HODNOTENIA</w:t>
            </w:r>
          </w:p>
          <w:p w14:paraId="68AF8C71" w14:textId="4AA256C3" w:rsidR="00235D9D" w:rsidRPr="00D85C65" w:rsidRDefault="00C55547">
            <w:pPr>
              <w:rPr>
                <w:rFonts w:ascii="Times New Roman" w:hAnsi="Times New Roman"/>
                <w:bCs/>
                <w:sz w:val="24"/>
                <w:u w:val="single"/>
              </w:rPr>
            </w:pPr>
            <w:r w:rsidRPr="00D85C65">
              <w:rPr>
                <w:rStyle w:val="InstructionsTabelleText"/>
                <w:rFonts w:ascii="Times New Roman" w:hAnsi="Times New Roman"/>
                <w:sz w:val="24"/>
              </w:rPr>
              <w:t>Články 254</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265 CRR</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266 ods. 5 CRR.</w:t>
            </w:r>
          </w:p>
        </w:tc>
      </w:tr>
      <w:tr w:rsidR="00235D9D" w:rsidRPr="00D85C65" w14:paraId="11417FB2" w14:textId="77777777" w:rsidTr="00E10B85">
        <w:tc>
          <w:tcPr>
            <w:tcW w:w="1144" w:type="dxa"/>
          </w:tcPr>
          <w:p w14:paraId="21548B54"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406</w:t>
            </w:r>
          </w:p>
        </w:tc>
        <w:tc>
          <w:tcPr>
            <w:tcW w:w="7874" w:type="dxa"/>
          </w:tcPr>
          <w:p w14:paraId="4371E384" w14:textId="071897F1"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INÉ (RW = 1 250</w:t>
            </w:r>
            <w:r w:rsidR="00D85C65">
              <w:rPr>
                <w:rFonts w:ascii="Times New Roman" w:hAnsi="Times New Roman"/>
                <w:b/>
                <w:bCs/>
                <w:sz w:val="24"/>
                <w:u w:val="single"/>
              </w:rPr>
              <w:t> %</w:t>
            </w:r>
            <w:r w:rsidRPr="00D85C65">
              <w:rPr>
                <w:rFonts w:ascii="Times New Roman" w:hAnsi="Times New Roman"/>
                <w:b/>
                <w:bCs/>
                <w:sz w:val="24"/>
                <w:u w:val="single"/>
              </w:rPr>
              <w:t>)</w:t>
            </w:r>
          </w:p>
          <w:p w14:paraId="2D4D8058" w14:textId="7ADB34D6" w:rsidR="00235D9D" w:rsidRPr="00D85C65" w:rsidRDefault="00C55547">
            <w:pPr>
              <w:rPr>
                <w:rFonts w:ascii="Times New Roman" w:hAnsi="Times New Roman"/>
                <w:b/>
                <w:bCs/>
                <w:sz w:val="24"/>
                <w:u w:val="single"/>
              </w:rPr>
            </w:pPr>
            <w:r w:rsidRPr="00D85C65">
              <w:rPr>
                <w:rStyle w:val="InstructionsTabelleText"/>
                <w:rFonts w:ascii="Times New Roman" w:hAnsi="Times New Roman"/>
                <w:sz w:val="24"/>
              </w:rPr>
              <w:t>Článok 254 ods. 7 CRR.</w:t>
            </w:r>
          </w:p>
        </w:tc>
      </w:tr>
      <w:tr w:rsidR="00235D9D" w:rsidRPr="00D85C65" w14:paraId="2E14A25F" w14:textId="77777777" w:rsidTr="00E10B85">
        <w:tc>
          <w:tcPr>
            <w:tcW w:w="1144" w:type="dxa"/>
          </w:tcPr>
          <w:p w14:paraId="18CC8D55"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530 – 540</w:t>
            </w:r>
          </w:p>
        </w:tc>
        <w:tc>
          <w:tcPr>
            <w:tcW w:w="7874" w:type="dxa"/>
          </w:tcPr>
          <w:p w14:paraId="7A56BC29" w14:textId="55354D50"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CELKOVÝ ÚČINOK (ÚPRAVA)</w:t>
            </w:r>
            <w:r w:rsidR="00D85C65">
              <w:rPr>
                <w:rFonts w:ascii="Times New Roman" w:hAnsi="Times New Roman"/>
                <w:b/>
                <w:bCs/>
                <w:sz w:val="24"/>
                <w:u w:val="single"/>
              </w:rPr>
              <w:t xml:space="preserve"> V </w:t>
            </w:r>
            <w:r w:rsidRPr="00D85C65">
              <w:rPr>
                <w:rFonts w:ascii="Times New Roman" w:hAnsi="Times New Roman"/>
                <w:b/>
                <w:bCs/>
                <w:sz w:val="24"/>
                <w:u w:val="single"/>
              </w:rPr>
              <w:t>DÔSLEDKU PORUŠENIA KAPITOLY 2 NARIADENIA (EÚ) 2017/2402</w:t>
            </w:r>
          </w:p>
          <w:p w14:paraId="04042539" w14:textId="2BE104C4" w:rsidR="00235D9D" w:rsidRPr="00D85C65" w:rsidRDefault="00C55547">
            <w:pPr>
              <w:rPr>
                <w:rFonts w:ascii="Times New Roman" w:hAnsi="Times New Roman"/>
                <w:b/>
                <w:bCs/>
                <w:sz w:val="24"/>
                <w:u w:val="single"/>
              </w:rPr>
            </w:pPr>
            <w:r w:rsidRPr="00D85C65">
              <w:rPr>
                <w:rStyle w:val="InstructionsTabelleText"/>
                <w:rFonts w:ascii="Times New Roman" w:hAnsi="Times New Roman"/>
                <w:sz w:val="24"/>
              </w:rPr>
              <w:t>Článok 270a CRR.</w:t>
            </w:r>
          </w:p>
        </w:tc>
      </w:tr>
      <w:tr w:rsidR="00235D9D" w:rsidRPr="00D85C65" w14:paraId="3ABCF96D" w14:textId="77777777" w:rsidTr="00E10B85">
        <w:tc>
          <w:tcPr>
            <w:tcW w:w="1144" w:type="dxa"/>
          </w:tcPr>
          <w:p w14:paraId="68A5E5D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570</w:t>
            </w:r>
          </w:p>
        </w:tc>
        <w:tc>
          <w:tcPr>
            <w:tcW w:w="7874" w:type="dxa"/>
          </w:tcPr>
          <w:p w14:paraId="77555931" w14:textId="77777777" w:rsid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PRED UPLATNENÍM HORNÉHO OHRANIČENIA</w:t>
            </w:r>
          </w:p>
          <w:p w14:paraId="5BCBF683" w14:textId="76500825" w:rsidR="00235D9D" w:rsidRPr="00D85C65" w:rsidRDefault="00C55547">
            <w:pPr>
              <w:rPr>
                <w:rFonts w:ascii="Times New Roman" w:hAnsi="Times New Roman"/>
                <w:bCs/>
                <w:sz w:val="24"/>
              </w:rPr>
            </w:pPr>
            <w:r w:rsidRPr="00D85C65">
              <w:rPr>
                <w:rFonts w:ascii="Times New Roman" w:hAnsi="Times New Roman"/>
                <w:bCs/>
                <w:sz w:val="24"/>
              </w:rPr>
              <w:t>Článok 337 CRR bez zohľadnenia možnosti podľa článku 335 CRR, ktorá inštitúcii umožňuje uplatniť horné ohraničenie na súčin váhy</w:t>
            </w:r>
            <w:r w:rsidR="00D85C65">
              <w:rPr>
                <w:rFonts w:ascii="Times New Roman" w:hAnsi="Times New Roman"/>
                <w:bCs/>
                <w:sz w:val="24"/>
              </w:rPr>
              <w:t xml:space="preserve"> a </w:t>
            </w:r>
            <w:r w:rsidRPr="00D85C65">
              <w:rPr>
                <w:rFonts w:ascii="Times New Roman" w:hAnsi="Times New Roman"/>
                <w:bCs/>
                <w:sz w:val="24"/>
              </w:rPr>
              <w:t>čistej pozície vo výške maximálnej možnej straty súvisiacej</w:t>
            </w:r>
            <w:r w:rsidR="00D85C65">
              <w:rPr>
                <w:rFonts w:ascii="Times New Roman" w:hAnsi="Times New Roman"/>
                <w:bCs/>
                <w:sz w:val="24"/>
              </w:rPr>
              <w:t xml:space="preserve"> s </w:t>
            </w:r>
            <w:r w:rsidRPr="00D85C65">
              <w:rPr>
                <w:rFonts w:ascii="Times New Roman" w:hAnsi="Times New Roman"/>
                <w:bCs/>
                <w:sz w:val="24"/>
              </w:rPr>
              <w:t>rizikom zlyhania.</w:t>
            </w:r>
          </w:p>
        </w:tc>
      </w:tr>
      <w:tr w:rsidR="00235D9D" w:rsidRPr="00D85C65" w14:paraId="42B025F1" w14:textId="77777777" w:rsidTr="00E10B85">
        <w:tc>
          <w:tcPr>
            <w:tcW w:w="1144" w:type="dxa"/>
          </w:tcPr>
          <w:p w14:paraId="7EB98B68" w14:textId="77777777" w:rsidR="00235D9D" w:rsidRPr="00D85C65" w:rsidRDefault="00EE079A">
            <w:pPr>
              <w:autoSpaceDE w:val="0"/>
              <w:autoSpaceDN w:val="0"/>
              <w:adjustRightInd w:val="0"/>
              <w:spacing w:before="0" w:after="0"/>
              <w:rPr>
                <w:rFonts w:ascii="Times New Roman" w:hAnsi="Times New Roman"/>
                <w:sz w:val="24"/>
              </w:rPr>
            </w:pPr>
            <w:r w:rsidRPr="00D85C65">
              <w:rPr>
                <w:rFonts w:ascii="Times New Roman" w:hAnsi="Times New Roman"/>
                <w:sz w:val="24"/>
              </w:rPr>
              <w:t>601</w:t>
            </w:r>
          </w:p>
        </w:tc>
        <w:tc>
          <w:tcPr>
            <w:tcW w:w="7874" w:type="dxa"/>
          </w:tcPr>
          <w:p w14:paraId="1055E6D7" w14:textId="77777777" w:rsid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 UPLATNENÍ HORNÉHO OHRANIČENIA/CELKOVÉ POŽIADAVKY NA VLASTNÉ ZDROJE</w:t>
            </w:r>
          </w:p>
          <w:p w14:paraId="6733A0E4" w14:textId="204BA06B" w:rsidR="00235D9D" w:rsidRPr="00D85C65" w:rsidRDefault="00C55547">
            <w:pPr>
              <w:rPr>
                <w:rFonts w:ascii="Times New Roman" w:hAnsi="Times New Roman"/>
                <w:bCs/>
                <w:sz w:val="24"/>
              </w:rPr>
            </w:pPr>
            <w:r w:rsidRPr="00D85C65">
              <w:rPr>
                <w:rFonts w:ascii="Times New Roman" w:hAnsi="Times New Roman"/>
                <w:bCs/>
                <w:sz w:val="24"/>
              </w:rPr>
              <w:t xml:space="preserve">Článok 337 CRR </w:t>
            </w:r>
            <w:r w:rsidRPr="00D85C65">
              <w:rPr>
                <w:rStyle w:val="InstructionsTabelleText"/>
                <w:rFonts w:ascii="Times New Roman" w:hAnsi="Times New Roman"/>
                <w:sz w:val="24"/>
              </w:rPr>
              <w:t>so</w:t>
            </w:r>
            <w:r w:rsidRPr="00D85C65">
              <w:rPr>
                <w:rFonts w:ascii="Times New Roman" w:hAnsi="Times New Roman"/>
                <w:bCs/>
                <w:sz w:val="24"/>
              </w:rPr>
              <w:t xml:space="preserve"> zohľadnením možnosti podľa článku 335 CRR.</w:t>
            </w:r>
          </w:p>
        </w:tc>
      </w:tr>
    </w:tbl>
    <w:p w14:paraId="7AAC6397"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235D9D" w:rsidRPr="00D85C65" w14:paraId="3545DE8A" w14:textId="77777777" w:rsidTr="00E10B85">
        <w:trPr>
          <w:trHeight w:val="537"/>
        </w:trPr>
        <w:tc>
          <w:tcPr>
            <w:tcW w:w="8950" w:type="dxa"/>
            <w:gridSpan w:val="2"/>
            <w:shd w:val="clear" w:color="auto" w:fill="BFBFBF"/>
          </w:tcPr>
          <w:p w14:paraId="42759E47" w14:textId="77777777" w:rsidR="00235D9D" w:rsidRPr="00D85C65" w:rsidRDefault="00C55547">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212CE458" w14:textId="77777777" w:rsidTr="00E10B85">
        <w:tc>
          <w:tcPr>
            <w:tcW w:w="1056" w:type="dxa"/>
          </w:tcPr>
          <w:p w14:paraId="54771851"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010</w:t>
            </w:r>
          </w:p>
        </w:tc>
        <w:tc>
          <w:tcPr>
            <w:tcW w:w="7894" w:type="dxa"/>
          </w:tcPr>
          <w:p w14:paraId="77ECC080" w14:textId="77777777" w:rsidR="00235D9D" w:rsidRPr="00D85C65" w:rsidRDefault="00C55547">
            <w:pPr>
              <w:rPr>
                <w:rFonts w:ascii="Times New Roman" w:hAnsi="Times New Roman"/>
                <w:sz w:val="24"/>
              </w:rPr>
            </w:pPr>
            <w:r w:rsidRPr="00D85C65">
              <w:rPr>
                <w:rStyle w:val="InstructionsTabelleberschrift"/>
                <w:rFonts w:ascii="Times New Roman" w:hAnsi="Times New Roman"/>
                <w:sz w:val="24"/>
              </w:rPr>
              <w:t>CELKOVÉ EXPOZÍCIE</w:t>
            </w:r>
          </w:p>
          <w:p w14:paraId="6F801EDD" w14:textId="4C9B47DD" w:rsidR="00235D9D" w:rsidRPr="00D85C65" w:rsidRDefault="00C55547">
            <w:pPr>
              <w:autoSpaceDE w:val="0"/>
              <w:autoSpaceDN w:val="0"/>
              <w:adjustRightInd w:val="0"/>
              <w:spacing w:before="0" w:after="0"/>
              <w:rPr>
                <w:rFonts w:ascii="Times New Roman" w:hAnsi="Times New Roman"/>
                <w:sz w:val="24"/>
              </w:rPr>
            </w:pPr>
            <w:r w:rsidRPr="00D85C65">
              <w:rPr>
                <w:rStyle w:val="InstructionsTabelleText"/>
                <w:rFonts w:ascii="Times New Roman" w:hAnsi="Times New Roman"/>
                <w:sz w:val="24"/>
              </w:rPr>
              <w:t>Celková hodnota zostávajúcich sekuritizácií</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resekuritizácií (držaných</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obchodnej knihe) vykázaných inštitúciou, ktorá zohráva úlohu originátora alebo investora alebo sponzora.</w:t>
            </w:r>
          </w:p>
        </w:tc>
      </w:tr>
      <w:tr w:rsidR="00235D9D" w:rsidRPr="00D85C65" w14:paraId="3CD58C01" w14:textId="77777777" w:rsidTr="00E10B85">
        <w:tc>
          <w:tcPr>
            <w:tcW w:w="1056" w:type="dxa"/>
          </w:tcPr>
          <w:p w14:paraId="5240D8B6"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040, 070 a</w:t>
            </w:r>
          </w:p>
          <w:p w14:paraId="1CC6A8AB"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100</w:t>
            </w:r>
          </w:p>
        </w:tc>
        <w:tc>
          <w:tcPr>
            <w:tcW w:w="7894" w:type="dxa"/>
          </w:tcPr>
          <w:p w14:paraId="0C4166D7" w14:textId="6255869B"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SEKURITIZAČNÉ POZÍCIE</w:t>
            </w:r>
          </w:p>
          <w:p w14:paraId="4412FADB" w14:textId="18AF4CF6" w:rsidR="00235D9D" w:rsidRPr="00D85C65" w:rsidRDefault="00532026">
            <w:pPr>
              <w:autoSpaceDE w:val="0"/>
              <w:autoSpaceDN w:val="0"/>
              <w:adjustRightInd w:val="0"/>
              <w:spacing w:before="0" w:after="0"/>
              <w:rPr>
                <w:rFonts w:ascii="Times New Roman" w:hAnsi="Times New Roman"/>
                <w:bCs/>
                <w:sz w:val="24"/>
              </w:rPr>
            </w:pPr>
            <w:r w:rsidRPr="00D85C65">
              <w:rPr>
                <w:rFonts w:ascii="Times New Roman" w:hAnsi="Times New Roman"/>
                <w:bCs/>
                <w:sz w:val="24"/>
              </w:rPr>
              <w:t>Článok 4 ods. 1 bod 62 CRR.</w:t>
            </w:r>
          </w:p>
          <w:p w14:paraId="272E789B"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2E87B5B2" w14:textId="77777777" w:rsidTr="00E10B85">
        <w:tc>
          <w:tcPr>
            <w:tcW w:w="1056" w:type="dxa"/>
          </w:tcPr>
          <w:p w14:paraId="6768D6F5"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020, 050,</w:t>
            </w:r>
          </w:p>
          <w:p w14:paraId="3C0B519E" w14:textId="11ECFD2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080</w:t>
            </w:r>
            <w:r w:rsidR="00D85C65">
              <w:rPr>
                <w:rFonts w:ascii="Times New Roman" w:hAnsi="Times New Roman"/>
                <w:sz w:val="24"/>
              </w:rPr>
              <w:t xml:space="preserve"> a </w:t>
            </w:r>
            <w:r w:rsidRPr="00D85C65">
              <w:rPr>
                <w:rFonts w:ascii="Times New Roman" w:hAnsi="Times New Roman"/>
                <w:sz w:val="24"/>
              </w:rPr>
              <w:t>110</w:t>
            </w:r>
          </w:p>
        </w:tc>
        <w:tc>
          <w:tcPr>
            <w:tcW w:w="7894" w:type="dxa"/>
          </w:tcPr>
          <w:p w14:paraId="1946E15C" w14:textId="182828A6"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RESEKURITIZAČNÉ POZÍCIE</w:t>
            </w:r>
          </w:p>
          <w:p w14:paraId="4F403A6C" w14:textId="56FCB660" w:rsidR="00235D9D" w:rsidRPr="00D85C65" w:rsidRDefault="00532026">
            <w:pPr>
              <w:autoSpaceDE w:val="0"/>
              <w:autoSpaceDN w:val="0"/>
              <w:adjustRightInd w:val="0"/>
              <w:spacing w:before="0" w:after="0"/>
              <w:rPr>
                <w:rFonts w:ascii="Times New Roman" w:hAnsi="Times New Roman"/>
                <w:bCs/>
                <w:sz w:val="24"/>
              </w:rPr>
            </w:pPr>
            <w:r w:rsidRPr="00D85C65">
              <w:rPr>
                <w:rFonts w:ascii="Times New Roman" w:hAnsi="Times New Roman"/>
                <w:bCs/>
                <w:sz w:val="24"/>
              </w:rPr>
              <w:t>Článok 4 ods. 1 bod 64 CRR.</w:t>
            </w:r>
          </w:p>
          <w:p w14:paraId="6E0E1D52"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31E7E238" w14:textId="77777777" w:rsidTr="00E10B85">
        <w:tc>
          <w:tcPr>
            <w:tcW w:w="1056" w:type="dxa"/>
          </w:tcPr>
          <w:p w14:paraId="27523E83" w14:textId="7D00FF63"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041, 071</w:t>
            </w:r>
            <w:r w:rsidR="00D85C65">
              <w:rPr>
                <w:rFonts w:ascii="Times New Roman" w:hAnsi="Times New Roman"/>
                <w:sz w:val="24"/>
              </w:rPr>
              <w:t xml:space="preserve"> a </w:t>
            </w:r>
            <w:r w:rsidRPr="00D85C65">
              <w:rPr>
                <w:rFonts w:ascii="Times New Roman" w:hAnsi="Times New Roman"/>
                <w:sz w:val="24"/>
              </w:rPr>
              <w:t>101</w:t>
            </w:r>
          </w:p>
        </w:tc>
        <w:tc>
          <w:tcPr>
            <w:tcW w:w="7894" w:type="dxa"/>
          </w:tcPr>
          <w:p w14:paraId="1935010F" w14:textId="39DE3B5F"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Z ČOHO: SPĹŇAJÚCE PODMIENKY PRE ZAOBCHÁDZANIE</w:t>
            </w:r>
            <w:r w:rsidR="00D85C65">
              <w:rPr>
                <w:rStyle w:val="InstructionsTabelleberschrift"/>
                <w:rFonts w:ascii="Times New Roman" w:hAnsi="Times New Roman"/>
                <w:sz w:val="24"/>
              </w:rPr>
              <w:t xml:space="preserve"> S </w:t>
            </w:r>
            <w:r w:rsidRPr="00D85C65">
              <w:rPr>
                <w:rStyle w:val="InstructionsTabelleberschrift"/>
                <w:rFonts w:ascii="Times New Roman" w:hAnsi="Times New Roman"/>
                <w:sz w:val="24"/>
              </w:rPr>
              <w:t>DIFERENCOVANÝM KAPITÁLOM</w:t>
            </w:r>
          </w:p>
          <w:p w14:paraId="1D3FC150" w14:textId="39893229" w:rsidR="00235D9D" w:rsidRPr="00D85C65" w:rsidRDefault="00C55547">
            <w:pPr>
              <w:rPr>
                <w:rStyle w:val="InstructionsTabelleberschrift"/>
                <w:rFonts w:ascii="Times New Roman" w:hAnsi="Times New Roman"/>
                <w:sz w:val="24"/>
              </w:rPr>
            </w:pPr>
            <w:r w:rsidRPr="00D85C65">
              <w:rPr>
                <w:rFonts w:ascii="Times New Roman" w:hAnsi="Times New Roman"/>
                <w:bCs/>
                <w:sz w:val="24"/>
              </w:rPr>
              <w:t>Celková hodnota sekuritizačných pozícií, ktoré spĺňajú kritériá článku 243 CRR alebo článku 270 CRR,</w:t>
            </w:r>
            <w:r w:rsidR="00D85C65">
              <w:rPr>
                <w:rFonts w:ascii="Times New Roman" w:hAnsi="Times New Roman"/>
                <w:bCs/>
                <w:sz w:val="24"/>
              </w:rPr>
              <w:t xml:space="preserve"> a </w:t>
            </w:r>
            <w:r w:rsidRPr="00D85C65">
              <w:rPr>
                <w:rFonts w:ascii="Times New Roman" w:hAnsi="Times New Roman"/>
                <w:bCs/>
                <w:sz w:val="24"/>
              </w:rPr>
              <w:t>ktoré teda spĺňajú podmienky pre zaobchádzanie</w:t>
            </w:r>
            <w:r w:rsidR="00D85C65">
              <w:rPr>
                <w:rFonts w:ascii="Times New Roman" w:hAnsi="Times New Roman"/>
                <w:bCs/>
                <w:sz w:val="24"/>
              </w:rPr>
              <w:t xml:space="preserve"> s </w:t>
            </w:r>
            <w:r w:rsidRPr="00D85C65">
              <w:rPr>
                <w:rFonts w:ascii="Times New Roman" w:hAnsi="Times New Roman"/>
                <w:bCs/>
                <w:sz w:val="24"/>
              </w:rPr>
              <w:t>diferencovaným kapitálom.</w:t>
            </w:r>
          </w:p>
        </w:tc>
      </w:tr>
      <w:tr w:rsidR="00235D9D" w:rsidRPr="00D85C65" w14:paraId="17F2B7F1" w14:textId="77777777" w:rsidTr="00E10B85">
        <w:tc>
          <w:tcPr>
            <w:tcW w:w="1056" w:type="dxa"/>
          </w:tcPr>
          <w:p w14:paraId="27DE551D"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030 – 050</w:t>
            </w:r>
          </w:p>
        </w:tc>
        <w:tc>
          <w:tcPr>
            <w:tcW w:w="7894" w:type="dxa"/>
          </w:tcPr>
          <w:p w14:paraId="1773FA0D"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ORIGINÁTOR</w:t>
            </w:r>
          </w:p>
          <w:p w14:paraId="574C8742" w14:textId="359823E4" w:rsidR="00235D9D" w:rsidRPr="00D85C65" w:rsidRDefault="000242CC">
            <w:pPr>
              <w:autoSpaceDE w:val="0"/>
              <w:autoSpaceDN w:val="0"/>
              <w:adjustRightInd w:val="0"/>
              <w:spacing w:before="0" w:after="0"/>
              <w:rPr>
                <w:rFonts w:ascii="Times New Roman" w:hAnsi="Times New Roman"/>
                <w:bCs/>
                <w:sz w:val="24"/>
              </w:rPr>
            </w:pPr>
            <w:r w:rsidRPr="00D85C65">
              <w:rPr>
                <w:rFonts w:ascii="Times New Roman" w:hAnsi="Times New Roman"/>
                <w:bCs/>
                <w:sz w:val="24"/>
              </w:rPr>
              <w:lastRenderedPageBreak/>
              <w:t>Článok 4 ods. 1 bod 13 CRR.</w:t>
            </w:r>
          </w:p>
          <w:p w14:paraId="2DEDD435"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501C8C22" w14:textId="77777777" w:rsidTr="00E10B85">
        <w:tc>
          <w:tcPr>
            <w:tcW w:w="1056" w:type="dxa"/>
          </w:tcPr>
          <w:p w14:paraId="5587655A"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060 – 080</w:t>
            </w:r>
          </w:p>
        </w:tc>
        <w:tc>
          <w:tcPr>
            <w:tcW w:w="7894" w:type="dxa"/>
          </w:tcPr>
          <w:p w14:paraId="46480E81"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INVESTOR</w:t>
            </w:r>
          </w:p>
          <w:p w14:paraId="5561386A" w14:textId="3215A9C0" w:rsidR="00235D9D" w:rsidRPr="00D85C65" w:rsidRDefault="00C55547">
            <w:pPr>
              <w:autoSpaceDE w:val="0"/>
              <w:autoSpaceDN w:val="0"/>
              <w:adjustRightInd w:val="0"/>
              <w:spacing w:before="0" w:after="0"/>
              <w:rPr>
                <w:rFonts w:ascii="Times New Roman" w:hAnsi="Times New Roman"/>
                <w:bCs/>
                <w:sz w:val="24"/>
              </w:rPr>
            </w:pPr>
            <w:r w:rsidRPr="00D85C65">
              <w:rPr>
                <w:rFonts w:ascii="Times New Roman" w:hAnsi="Times New Roman"/>
                <w:bCs/>
                <w:sz w:val="24"/>
              </w:rPr>
              <w:t>Úverová inštitúcia, ktorá drží sekuritizačné pozície</w:t>
            </w:r>
            <w:r w:rsidR="00D85C65">
              <w:rPr>
                <w:rFonts w:ascii="Times New Roman" w:hAnsi="Times New Roman"/>
                <w:bCs/>
                <w:sz w:val="24"/>
              </w:rPr>
              <w:t xml:space="preserve"> v </w:t>
            </w:r>
            <w:r w:rsidRPr="00D85C65">
              <w:rPr>
                <w:rFonts w:ascii="Times New Roman" w:hAnsi="Times New Roman"/>
                <w:bCs/>
                <w:sz w:val="24"/>
              </w:rPr>
              <w:t>sekuritizačnej transakcii,</w:t>
            </w:r>
            <w:r w:rsidR="00D85C65">
              <w:rPr>
                <w:rFonts w:ascii="Times New Roman" w:hAnsi="Times New Roman"/>
                <w:bCs/>
                <w:sz w:val="24"/>
              </w:rPr>
              <w:t xml:space="preserve"> v </w:t>
            </w:r>
            <w:r w:rsidRPr="00D85C65">
              <w:rPr>
                <w:rFonts w:ascii="Times New Roman" w:hAnsi="Times New Roman"/>
                <w:bCs/>
                <w:sz w:val="24"/>
              </w:rPr>
              <w:t>ktorej nie je originátorom, sponzorom ani pôvodným veriteľom.</w:t>
            </w:r>
          </w:p>
          <w:p w14:paraId="0DBE1446" w14:textId="77777777" w:rsidR="00235D9D" w:rsidRPr="00D85C65" w:rsidRDefault="00235D9D">
            <w:pPr>
              <w:autoSpaceDE w:val="0"/>
              <w:autoSpaceDN w:val="0"/>
              <w:adjustRightInd w:val="0"/>
              <w:spacing w:before="0" w:after="0"/>
              <w:rPr>
                <w:rFonts w:ascii="Times New Roman" w:hAnsi="Times New Roman"/>
                <w:bCs/>
                <w:sz w:val="24"/>
              </w:rPr>
            </w:pPr>
          </w:p>
        </w:tc>
      </w:tr>
      <w:tr w:rsidR="00235D9D" w:rsidRPr="00D85C65" w14:paraId="488BF2FC" w14:textId="77777777" w:rsidTr="00E10B85">
        <w:tc>
          <w:tcPr>
            <w:tcW w:w="1056" w:type="dxa"/>
          </w:tcPr>
          <w:p w14:paraId="7238D1D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090 – 110</w:t>
            </w:r>
          </w:p>
        </w:tc>
        <w:tc>
          <w:tcPr>
            <w:tcW w:w="7894" w:type="dxa"/>
          </w:tcPr>
          <w:p w14:paraId="08D7D924"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SPONZOR</w:t>
            </w:r>
          </w:p>
          <w:p w14:paraId="02398284" w14:textId="77777777" w:rsidR="00D85C65" w:rsidRDefault="000242CC">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Článok 4 ods. 1 bod 14 CRR</w:t>
            </w:r>
            <w:r w:rsidR="00D85C65">
              <w:rPr>
                <w:rStyle w:val="InstructionsTabelleText"/>
                <w:rFonts w:ascii="Times New Roman" w:hAnsi="Times New Roman"/>
                <w:sz w:val="24"/>
              </w:rPr>
              <w:t>.</w:t>
            </w:r>
          </w:p>
          <w:p w14:paraId="6559FEAC" w14:textId="0C2D62DA" w:rsidR="00235D9D" w:rsidRPr="00D85C65" w:rsidRDefault="00532026">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Sponzor, ktorý zároveň sekuritizuje svoje vlastné aktíva,</w:t>
            </w:r>
            <w:r w:rsidR="00D85C65">
              <w:rPr>
                <w:rStyle w:val="InstructionsTabelleText"/>
                <w:rFonts w:ascii="Times New Roman" w:hAnsi="Times New Roman"/>
                <w:sz w:val="24"/>
              </w:rPr>
              <w:t xml:space="preserve"> v </w:t>
            </w:r>
            <w:r w:rsidRPr="00D85C65">
              <w:rPr>
                <w:rStyle w:val="InstructionsTabelleText"/>
                <w:rFonts w:ascii="Times New Roman" w:hAnsi="Times New Roman"/>
                <w:sz w:val="24"/>
              </w:rPr>
              <w:t>riadkoch originátora uvedie informácie týkajúce sa svojich vlastných sekuritizovaných aktív.</w:t>
            </w:r>
          </w:p>
        </w:tc>
      </w:tr>
    </w:tbl>
    <w:p w14:paraId="3BF599F8" w14:textId="77777777" w:rsidR="00235D9D" w:rsidRPr="00D85C65" w:rsidRDefault="00235D9D">
      <w:pPr>
        <w:autoSpaceDE w:val="0"/>
        <w:autoSpaceDN w:val="0"/>
        <w:adjustRightInd w:val="0"/>
        <w:spacing w:before="0" w:after="0"/>
        <w:rPr>
          <w:rFonts w:ascii="Times New Roman" w:hAnsi="Times New Roman"/>
          <w:sz w:val="24"/>
        </w:rPr>
      </w:pPr>
    </w:p>
    <w:p w14:paraId="58209290" w14:textId="77777777" w:rsidR="00235D9D" w:rsidRPr="00D85C65" w:rsidRDefault="00235D9D">
      <w:pPr>
        <w:autoSpaceDE w:val="0"/>
        <w:autoSpaceDN w:val="0"/>
        <w:adjustRightInd w:val="0"/>
        <w:spacing w:before="0" w:after="0"/>
        <w:rPr>
          <w:rFonts w:ascii="Times New Roman" w:hAnsi="Times New Roman"/>
          <w:sz w:val="24"/>
        </w:rPr>
      </w:pPr>
    </w:p>
    <w:p w14:paraId="74A3857C"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89" w:name="_Toc29994532"/>
      <w:r w:rsidRPr="00D85C65">
        <w:rPr>
          <w:rFonts w:ascii="Times New Roman" w:hAnsi="Times New Roman"/>
          <w:sz w:val="24"/>
          <w:u w:val="none"/>
        </w:rPr>
        <w:t>5.3.</w:t>
      </w:r>
      <w:r w:rsidRPr="00D85C65">
        <w:rPr>
          <w:rFonts w:ascii="Times New Roman" w:hAnsi="Times New Roman"/>
          <w:sz w:val="24"/>
          <w:u w:val="none"/>
        </w:rPr>
        <w:tab/>
      </w:r>
      <w:r w:rsidRPr="00D85C65">
        <w:rPr>
          <w:rFonts w:ascii="Times New Roman" w:hAnsi="Times New Roman"/>
          <w:sz w:val="24"/>
        </w:rPr>
        <w:t>C 20.00 – TRHOVÉ RIZIKO: ŠTANDARDIZOVANÝ PRÍSTUP PRE ŠPECIFICKÉ RIZIKO PRE POZÍCIE ZARADENÉ DO KORELAČNÉHO OBCHODNÉHO PORTFÓLIA (MKR SA CTP)</w:t>
      </w:r>
      <w:bookmarkEnd w:id="89"/>
    </w:p>
    <w:p w14:paraId="4044EAD2"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90" w:name="_Toc29994533"/>
      <w:r w:rsidRPr="00D85C65">
        <w:rPr>
          <w:rFonts w:ascii="Times New Roman" w:hAnsi="Times New Roman"/>
          <w:sz w:val="24"/>
          <w:u w:val="none"/>
        </w:rPr>
        <w:t>5.3.1.</w:t>
      </w:r>
      <w:r w:rsidRPr="00D85C65">
        <w:rPr>
          <w:rFonts w:ascii="Times New Roman" w:hAnsi="Times New Roman"/>
          <w:sz w:val="24"/>
          <w:u w:val="none"/>
        </w:rPr>
        <w:tab/>
      </w:r>
      <w:r w:rsidRPr="00D85C65">
        <w:rPr>
          <w:rFonts w:ascii="Times New Roman" w:hAnsi="Times New Roman"/>
          <w:sz w:val="24"/>
        </w:rPr>
        <w:t>Všeobecné poznámky</w:t>
      </w:r>
      <w:bookmarkEnd w:id="90"/>
    </w:p>
    <w:p w14:paraId="2EF14F09" w14:textId="7CB918B0" w:rsidR="00235D9D" w:rsidRPr="00D85C65" w:rsidRDefault="00C55547">
      <w:pPr>
        <w:pStyle w:val="InstructionsText2"/>
        <w:numPr>
          <w:ilvl w:val="0"/>
          <w:numId w:val="0"/>
        </w:numPr>
        <w:ind w:left="993"/>
      </w:pPr>
      <w:r w:rsidRPr="00D85C65">
        <w:t>144.</w:t>
      </w:r>
      <w:r w:rsidR="00D85C65">
        <w:t xml:space="preserve"> V </w:t>
      </w:r>
      <w:r w:rsidRPr="00D85C65">
        <w:t>tomto vzore sa požadujú informácie</w:t>
      </w:r>
      <w:r w:rsidR="00D85C65">
        <w:t xml:space="preserve"> o </w:t>
      </w:r>
      <w:r w:rsidRPr="00D85C65">
        <w:t>pozíciách korelačného obchodného portfólia (CTP, ktoré obsahuje sekuritizácie, kreditné deriváty pre n-té zlyhanie</w:t>
      </w:r>
      <w:r w:rsidR="00D85C65">
        <w:t xml:space="preserve"> a </w:t>
      </w:r>
      <w:r w:rsidRPr="00D85C65">
        <w:t>iné pozície korelačného obchodného portfólia zahrnuté</w:t>
      </w:r>
      <w:r w:rsidR="00D85C65">
        <w:t xml:space="preserve"> v </w:t>
      </w:r>
      <w:r w:rsidRPr="00D85C65">
        <w:t>súlade</w:t>
      </w:r>
      <w:r w:rsidR="00D85C65">
        <w:t xml:space="preserve"> s </w:t>
      </w:r>
      <w:r w:rsidRPr="00D85C65">
        <w:t>článkom 338 ods. 3 CRR)</w:t>
      </w:r>
      <w:r w:rsidR="00D85C65">
        <w:t xml:space="preserve"> a </w:t>
      </w:r>
      <w:r w:rsidRPr="00D85C65">
        <w:t>zodpovedajúcich požiadavkách na vlastné zdroje</w:t>
      </w:r>
      <w:r w:rsidR="00D85C65">
        <w:t xml:space="preserve"> v </w:t>
      </w:r>
      <w:r w:rsidRPr="00D85C65">
        <w:t>rámci štandardizovaného prístupu.</w:t>
      </w:r>
    </w:p>
    <w:p w14:paraId="7A71D073" w14:textId="268E1713" w:rsidR="00235D9D" w:rsidRPr="00D85C65" w:rsidRDefault="00C55547">
      <w:pPr>
        <w:pStyle w:val="InstructionsText2"/>
        <w:numPr>
          <w:ilvl w:val="0"/>
          <w:numId w:val="0"/>
        </w:numPr>
        <w:ind w:left="993"/>
      </w:pPr>
      <w:r w:rsidRPr="00D85C65">
        <w:t>145.</w:t>
      </w:r>
      <w:r w:rsidRPr="00D85C65">
        <w:tab/>
        <w:t xml:space="preserve"> Vo vzore MKR SA CTP sa požiadavka na vlastné zdroje určuje len pre špecifické riziko pozícií zaradených do korelačného obchodného portfólia</w:t>
      </w:r>
      <w:r w:rsidR="00D85C65">
        <w:t xml:space="preserve"> v </w:t>
      </w:r>
      <w:r w:rsidRPr="00D85C65">
        <w:t>súlade</w:t>
      </w:r>
      <w:r w:rsidR="00D85C65">
        <w:t xml:space="preserve"> s </w:t>
      </w:r>
      <w:r w:rsidRPr="00D85C65">
        <w:t>článkom 335 CRR</w:t>
      </w:r>
      <w:r w:rsidR="00D85C65">
        <w:t xml:space="preserve"> v </w:t>
      </w:r>
      <w:r w:rsidRPr="00D85C65">
        <w:t>spojení</w:t>
      </w:r>
      <w:r w:rsidR="00D85C65">
        <w:t xml:space="preserve"> s </w:t>
      </w:r>
      <w:r w:rsidRPr="00D85C65">
        <w:t>článkom 338 ods. 2</w:t>
      </w:r>
      <w:r w:rsidR="00D85C65">
        <w:t xml:space="preserve"> a </w:t>
      </w:r>
      <w:r w:rsidRPr="00D85C65">
        <w:t>3 CRR. Keď sa pozície korelačného obchodného portfólia obchodnej knihy hedžujú kreditnými derivátmi, uplatňujú sa články 346</w:t>
      </w:r>
      <w:r w:rsidR="00D85C65">
        <w:t xml:space="preserve"> a </w:t>
      </w:r>
      <w:r w:rsidRPr="00D85C65">
        <w:t>347 CRR. Existuje len jeden vzor pre všetky pozície korelačného obchodného portfólia obchodnej knihy bez ohľadu na prístup, ktorý inštitúcie uplatňujú na určenie rizikovej váhy každej</w:t>
      </w:r>
      <w:r w:rsidR="00D85C65">
        <w:t xml:space="preserve"> z </w:t>
      </w:r>
      <w:r w:rsidRPr="00D85C65">
        <w:t>pozícií</w:t>
      </w:r>
      <w:r w:rsidR="00D85C65">
        <w:t xml:space="preserve"> v </w:t>
      </w:r>
      <w:r w:rsidRPr="00D85C65">
        <w:t>súlade</w:t>
      </w:r>
      <w:r w:rsidR="00D85C65">
        <w:t xml:space="preserve"> s </w:t>
      </w:r>
      <w:r w:rsidRPr="00D85C65">
        <w:t>treťou časťou hlavou II kapitolou 5 CRR. Požiadavky na vlastné zdroje pre všeobecné riziko týchto pozícií sa vykazujú vo vzore MKR SA TDI alebo vo vzore MKR IM.</w:t>
      </w:r>
    </w:p>
    <w:p w14:paraId="7830A6F2" w14:textId="14B81E8B" w:rsidR="00D85C65" w:rsidRDefault="00C55547">
      <w:pPr>
        <w:pStyle w:val="InstructionsText2"/>
        <w:numPr>
          <w:ilvl w:val="0"/>
          <w:numId w:val="0"/>
        </w:numPr>
        <w:ind w:left="993"/>
      </w:pPr>
      <w:r w:rsidRPr="00D85C65">
        <w:t>146.</w:t>
      </w:r>
      <w:r w:rsidRPr="00D85C65">
        <w:tab/>
      </w:r>
      <w:r w:rsidR="00D85C65">
        <w:t xml:space="preserve"> V </w:t>
      </w:r>
      <w:r w:rsidRPr="00D85C65">
        <w:t>rámci tohto vzoru sa rozdeľujú sekuritizačné pozície, kreditné deriváty pre n-té zlyhanie</w:t>
      </w:r>
      <w:r w:rsidR="00D85C65">
        <w:t xml:space="preserve"> a </w:t>
      </w:r>
      <w:r w:rsidRPr="00D85C65">
        <w:t>iné pozície korelačného obchodného portfólia. Sekuritizačné pozície sa vykazujú vždy</w:t>
      </w:r>
      <w:r w:rsidR="00D85C65">
        <w:t xml:space="preserve"> v </w:t>
      </w:r>
      <w:r w:rsidRPr="00D85C65">
        <w:t>riadkoch 030, 060 alebo 090 (v závislosti od úlohy inštitúcie</w:t>
      </w:r>
      <w:r w:rsidR="00D85C65">
        <w:t xml:space="preserve"> v </w:t>
      </w:r>
      <w:r w:rsidRPr="00D85C65">
        <w:t>sekuritizácii). Kreditné deriváty pre n-té zlyhanie sa vykazujú vždy</w:t>
      </w:r>
      <w:r w:rsidR="00D85C65">
        <w:t xml:space="preserve"> v </w:t>
      </w:r>
      <w:r w:rsidRPr="00D85C65">
        <w:t>riadku 110. Pozície „iné pozície korelačného obchodného portfólia“ sú pozície, ktoré nie sú sekuritizačnými pozíciami ani kreditnými derivátmi pre n-té zlyhanie (pozri článok 338 ods. 3 CRR), ale sú výslovne „spojené“</w:t>
      </w:r>
      <w:r w:rsidR="00D85C65">
        <w:t xml:space="preserve"> s </w:t>
      </w:r>
      <w:r w:rsidRPr="00D85C65">
        <w:t>jednou</w:t>
      </w:r>
      <w:r w:rsidR="00D85C65">
        <w:t xml:space="preserve"> z </w:t>
      </w:r>
      <w:r w:rsidRPr="00D85C65">
        <w:t>týchto dvoch pozícií (na základe zámeru hedžingu)</w:t>
      </w:r>
      <w:r w:rsidR="00D85C65">
        <w:t>.</w:t>
      </w:r>
    </w:p>
    <w:p w14:paraId="4D8B5A88" w14:textId="1DC75826" w:rsidR="00235D9D" w:rsidRPr="00D85C65" w:rsidRDefault="00C55547">
      <w:pPr>
        <w:pStyle w:val="InstructionsText2"/>
        <w:numPr>
          <w:ilvl w:val="0"/>
          <w:numId w:val="0"/>
        </w:numPr>
        <w:ind w:left="993"/>
      </w:pPr>
      <w:r w:rsidRPr="00D85C65">
        <w:t>147.</w:t>
      </w:r>
      <w:r w:rsidRPr="00D85C65">
        <w:tab/>
        <w:t xml:space="preserve"> Pozície, ktoré dostanú rizikovú váhu 1 250</w:t>
      </w:r>
      <w:r w:rsidR="00D85C65">
        <w:t> %</w:t>
      </w:r>
      <w:r w:rsidRPr="00D85C65">
        <w:t>, možno alternatívne odpočítať od CET1 [pozri článok 244 ods. 1 písm. b), článok 245 ods. 1 písm. b)</w:t>
      </w:r>
      <w:r w:rsidR="00D85C65">
        <w:t xml:space="preserve"> a </w:t>
      </w:r>
      <w:r w:rsidRPr="00D85C65">
        <w:t>článok 253 CRR].</w:t>
      </w:r>
      <w:r w:rsidR="00D85C65">
        <w:t xml:space="preserve"> V </w:t>
      </w:r>
      <w:r w:rsidRPr="00D85C65">
        <w:t>takomto prípade sa tieto pozície musia vykázať</w:t>
      </w:r>
      <w:r w:rsidR="00D85C65">
        <w:t xml:space="preserve"> v </w:t>
      </w:r>
      <w:r w:rsidRPr="00D85C65">
        <w:t>riadku 460 vzoru CA1.</w:t>
      </w:r>
    </w:p>
    <w:p w14:paraId="761CEF7D" w14:textId="479D2EEB" w:rsidR="00235D9D" w:rsidRPr="00D85C65" w:rsidRDefault="00125707">
      <w:pPr>
        <w:pStyle w:val="Instructionsberschrift2"/>
        <w:numPr>
          <w:ilvl w:val="0"/>
          <w:numId w:val="0"/>
        </w:numPr>
        <w:ind w:left="357" w:hanging="357"/>
        <w:rPr>
          <w:rFonts w:ascii="Times New Roman" w:hAnsi="Times New Roman" w:cs="Times New Roman"/>
          <w:sz w:val="24"/>
        </w:rPr>
      </w:pPr>
      <w:bookmarkStart w:id="91" w:name="_Toc29994534"/>
      <w:r w:rsidRPr="00D85C65">
        <w:rPr>
          <w:rFonts w:ascii="Times New Roman" w:hAnsi="Times New Roman"/>
          <w:sz w:val="24"/>
          <w:u w:val="none"/>
        </w:rPr>
        <w:lastRenderedPageBreak/>
        <w:t>5.3.2.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91"/>
    </w:p>
    <w:p w14:paraId="4F1C97AE"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235D9D" w:rsidRPr="00D85C65" w14:paraId="279F9534" w14:textId="77777777" w:rsidTr="00E10B85">
        <w:trPr>
          <w:trHeight w:val="602"/>
        </w:trPr>
        <w:tc>
          <w:tcPr>
            <w:tcW w:w="8890" w:type="dxa"/>
            <w:gridSpan w:val="2"/>
            <w:shd w:val="clear" w:color="auto" w:fill="CCCCCC"/>
          </w:tcPr>
          <w:p w14:paraId="1FF57BEA" w14:textId="77777777" w:rsidR="00235D9D" w:rsidRPr="00D85C65" w:rsidRDefault="00C55547">
            <w:pPr>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4222B4BB" w14:textId="77777777" w:rsidTr="00E10B85">
        <w:tc>
          <w:tcPr>
            <w:tcW w:w="1016" w:type="dxa"/>
          </w:tcPr>
          <w:p w14:paraId="302BB386"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010 – 020</w:t>
            </w:r>
          </w:p>
        </w:tc>
        <w:tc>
          <w:tcPr>
            <w:tcW w:w="7874" w:type="dxa"/>
          </w:tcPr>
          <w:p w14:paraId="1792E809"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VŠETKY POZÍCIE (DLHÉ A KRÁTKE)</w:t>
            </w:r>
          </w:p>
          <w:p w14:paraId="79DC5844" w14:textId="7396E82E" w:rsidR="00235D9D" w:rsidRPr="00D85C65" w:rsidRDefault="00C55547">
            <w:pPr>
              <w:rPr>
                <w:rFonts w:ascii="Times New Roman" w:hAnsi="Times New Roman"/>
                <w:sz w:val="24"/>
              </w:rPr>
            </w:pPr>
            <w:r w:rsidRPr="00D85C65">
              <w:rPr>
                <w:rFonts w:ascii="Times New Roman" w:hAnsi="Times New Roman"/>
                <w:sz w:val="24"/>
              </w:rPr>
              <w:t>Článok 102</w:t>
            </w:r>
            <w:r w:rsidR="00D85C65">
              <w:rPr>
                <w:rFonts w:ascii="Times New Roman" w:hAnsi="Times New Roman"/>
                <w:sz w:val="24"/>
              </w:rPr>
              <w:t xml:space="preserve"> a </w:t>
            </w:r>
            <w:r w:rsidRPr="00D85C65">
              <w:rPr>
                <w:rFonts w:ascii="Times New Roman" w:hAnsi="Times New Roman"/>
                <w:sz w:val="24"/>
              </w:rPr>
              <w:t>článok 105 ods. 1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s </w:t>
            </w:r>
            <w:r w:rsidRPr="00D85C65">
              <w:rPr>
                <w:rFonts w:ascii="Times New Roman" w:hAnsi="Times New Roman"/>
                <w:sz w:val="24"/>
              </w:rPr>
              <w:t>článkom 338 ods. 2</w:t>
            </w:r>
            <w:r w:rsidR="00D85C65">
              <w:rPr>
                <w:rFonts w:ascii="Times New Roman" w:hAnsi="Times New Roman"/>
                <w:sz w:val="24"/>
              </w:rPr>
              <w:t xml:space="preserve"> a </w:t>
            </w:r>
            <w:r w:rsidRPr="00D85C65">
              <w:rPr>
                <w:rFonts w:ascii="Times New Roman" w:hAnsi="Times New Roman"/>
                <w:sz w:val="24"/>
              </w:rPr>
              <w:t>3 CRR (pozície zaradené do korelačného obchodného portfólia).</w:t>
            </w:r>
          </w:p>
          <w:p w14:paraId="62D28AC6" w14:textId="266DB11F" w:rsidR="00235D9D" w:rsidRPr="00D85C65" w:rsidRDefault="00C55547">
            <w:pPr>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rozdiel medzi dlhými</w:t>
            </w:r>
            <w:r w:rsidR="00D85C65">
              <w:rPr>
                <w:rFonts w:ascii="Times New Roman" w:hAnsi="Times New Roman"/>
                <w:sz w:val="24"/>
              </w:rPr>
              <w:t xml:space="preserve"> a </w:t>
            </w:r>
            <w:r w:rsidRPr="00D85C65">
              <w:rPr>
                <w:rFonts w:ascii="Times New Roman" w:hAnsi="Times New Roman"/>
                <w:sz w:val="24"/>
              </w:rPr>
              <w:t>krátkymi pozíciami, ktorý sa uplatňuje aj na tieto hrubé pozície, pozri článok 328 ods. 2 CRR.</w:t>
            </w:r>
          </w:p>
        </w:tc>
      </w:tr>
      <w:tr w:rsidR="00235D9D" w:rsidRPr="00D85C65" w14:paraId="04A72934" w14:textId="77777777" w:rsidTr="00E10B85">
        <w:tc>
          <w:tcPr>
            <w:tcW w:w="1016" w:type="dxa"/>
          </w:tcPr>
          <w:p w14:paraId="487C4BDD"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030 – 040</w:t>
            </w:r>
          </w:p>
        </w:tc>
        <w:tc>
          <w:tcPr>
            <w:tcW w:w="7874" w:type="dxa"/>
          </w:tcPr>
          <w:p w14:paraId="637746A2"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 POZÍCIE ODPOČÍTANÉ OD VLASTNÝCH ZDROJOV (DLHÉ A KRÁTKE)</w:t>
            </w:r>
          </w:p>
          <w:p w14:paraId="5DF1145D" w14:textId="6BD2217C" w:rsidR="00235D9D" w:rsidRPr="00D85C65" w:rsidRDefault="00C55547">
            <w:pPr>
              <w:rPr>
                <w:rFonts w:ascii="Times New Roman" w:hAnsi="Times New Roman"/>
                <w:sz w:val="24"/>
              </w:rPr>
            </w:pPr>
            <w:r w:rsidRPr="00D85C65">
              <w:rPr>
                <w:rFonts w:ascii="Times New Roman" w:hAnsi="Times New Roman"/>
                <w:sz w:val="24"/>
              </w:rPr>
              <w:t xml:space="preserve">Článok 253 CRR. </w:t>
            </w:r>
          </w:p>
        </w:tc>
      </w:tr>
      <w:tr w:rsidR="00235D9D" w:rsidRPr="00D85C65" w14:paraId="5D2995B6" w14:textId="77777777" w:rsidTr="00E10B85">
        <w:tc>
          <w:tcPr>
            <w:tcW w:w="1016" w:type="dxa"/>
          </w:tcPr>
          <w:p w14:paraId="1BE45535"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050 – 060</w:t>
            </w:r>
          </w:p>
        </w:tc>
        <w:tc>
          <w:tcPr>
            <w:tcW w:w="7874" w:type="dxa"/>
          </w:tcPr>
          <w:p w14:paraId="21A59744"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ČISTÉ POZÍCIE (DLHÉ A KRÁTKE)</w:t>
            </w:r>
          </w:p>
          <w:p w14:paraId="6D9328DE" w14:textId="3CC5B924" w:rsidR="00D85C65" w:rsidRDefault="00C55547">
            <w:pPr>
              <w:rPr>
                <w:rFonts w:ascii="Times New Roman" w:hAnsi="Times New Roman"/>
                <w:sz w:val="24"/>
              </w:rPr>
            </w:pPr>
            <w:r w:rsidRPr="00D85C65">
              <w:rPr>
                <w:rFonts w:ascii="Times New Roman" w:hAnsi="Times New Roman"/>
                <w:sz w:val="24"/>
              </w:rPr>
              <w:t>Články 327, 328, 329</w:t>
            </w:r>
            <w:r w:rsidR="00D85C65">
              <w:rPr>
                <w:rFonts w:ascii="Times New Roman" w:hAnsi="Times New Roman"/>
                <w:sz w:val="24"/>
              </w:rPr>
              <w:t xml:space="preserve"> a </w:t>
            </w:r>
            <w:r w:rsidRPr="00D85C65">
              <w:rPr>
                <w:rFonts w:ascii="Times New Roman" w:hAnsi="Times New Roman"/>
                <w:sz w:val="24"/>
              </w:rPr>
              <w:t>334 CRR</w:t>
            </w:r>
            <w:r w:rsidR="00D85C65">
              <w:rPr>
                <w:rFonts w:ascii="Times New Roman" w:hAnsi="Times New Roman"/>
                <w:sz w:val="24"/>
              </w:rPr>
              <w:t>.</w:t>
            </w:r>
          </w:p>
          <w:p w14:paraId="4FC53FB3" w14:textId="5B5F6C7E" w:rsidR="00235D9D" w:rsidRPr="00D85C65" w:rsidRDefault="00C55547">
            <w:pPr>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rozdiel medzi dlhými</w:t>
            </w:r>
            <w:r w:rsidR="00D85C65">
              <w:rPr>
                <w:rFonts w:ascii="Times New Roman" w:hAnsi="Times New Roman"/>
                <w:sz w:val="24"/>
              </w:rPr>
              <w:t xml:space="preserve"> a </w:t>
            </w:r>
            <w:r w:rsidRPr="00D85C65">
              <w:rPr>
                <w:rFonts w:ascii="Times New Roman" w:hAnsi="Times New Roman"/>
                <w:sz w:val="24"/>
              </w:rPr>
              <w:t>krátkymi pozíciami, pozri článok 328 ods. 2 CRR.</w:t>
            </w:r>
          </w:p>
        </w:tc>
      </w:tr>
      <w:tr w:rsidR="00235D9D" w:rsidRPr="00D85C65" w14:paraId="588F4FF8" w14:textId="77777777" w:rsidTr="00E10B85">
        <w:tc>
          <w:tcPr>
            <w:tcW w:w="1016" w:type="dxa"/>
          </w:tcPr>
          <w:p w14:paraId="1F613F3C"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071 – 097</w:t>
            </w:r>
          </w:p>
        </w:tc>
        <w:tc>
          <w:tcPr>
            <w:tcW w:w="7874" w:type="dxa"/>
          </w:tcPr>
          <w:p w14:paraId="70C3ABA6" w14:textId="059BA50B"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ROZČLENENIE ČISTÝCH POZÍCIÍ PODĽA RIZIKOVÝCH VÁH</w:t>
            </w:r>
          </w:p>
          <w:p w14:paraId="27E6B3E0" w14:textId="169BE35D" w:rsidR="00235D9D" w:rsidRPr="00D85C65" w:rsidRDefault="00133396">
            <w:pPr>
              <w:rPr>
                <w:rFonts w:ascii="Times New Roman" w:hAnsi="Times New Roman"/>
                <w:sz w:val="24"/>
              </w:rPr>
            </w:pPr>
            <w:r w:rsidRPr="00D85C65">
              <w:rPr>
                <w:rStyle w:val="InstructionsTabelleText"/>
                <w:rFonts w:ascii="Times New Roman" w:hAnsi="Times New Roman"/>
                <w:sz w:val="24"/>
              </w:rPr>
              <w:t>Články 259 až 262, tabuľky 1</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 článku 263, tabuľky 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4 článku 264</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266 CRR.</w:t>
            </w:r>
          </w:p>
        </w:tc>
      </w:tr>
      <w:tr w:rsidR="00235D9D" w:rsidRPr="00D85C65" w14:paraId="512F98C5" w14:textId="77777777" w:rsidTr="00E10B85">
        <w:tc>
          <w:tcPr>
            <w:tcW w:w="1016" w:type="dxa"/>
          </w:tcPr>
          <w:p w14:paraId="0CFBD4C2" w14:textId="77777777" w:rsidR="00235D9D" w:rsidRPr="00D85C65" w:rsidRDefault="00C55547">
            <w:pPr>
              <w:rPr>
                <w:rFonts w:ascii="Times New Roman" w:hAnsi="Times New Roman"/>
                <w:sz w:val="24"/>
              </w:rPr>
            </w:pPr>
            <w:r w:rsidRPr="00D85C65">
              <w:rPr>
                <w:rFonts w:ascii="Times New Roman" w:hAnsi="Times New Roman"/>
                <w:sz w:val="24"/>
              </w:rPr>
              <w:t>402 – 406</w:t>
            </w:r>
          </w:p>
        </w:tc>
        <w:tc>
          <w:tcPr>
            <w:tcW w:w="7874" w:type="dxa"/>
          </w:tcPr>
          <w:p w14:paraId="341DCD07" w14:textId="1AD9FC1D" w:rsidR="00235D9D" w:rsidRPr="00D85C65" w:rsidRDefault="00543964">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ROZČLENENIE ČISTÝCH POZÍCIÍ PODĽA PRÍSTUPOV</w:t>
            </w:r>
          </w:p>
          <w:p w14:paraId="0BDDA5D5" w14:textId="368D3A2B" w:rsidR="00235D9D" w:rsidRPr="00D85C65" w:rsidRDefault="00C55547">
            <w:pPr>
              <w:autoSpaceDE w:val="0"/>
              <w:autoSpaceDN w:val="0"/>
              <w:adjustRightInd w:val="0"/>
              <w:spacing w:before="0" w:after="0"/>
              <w:rPr>
                <w:rStyle w:val="InstructionsTabelleberschrift"/>
                <w:rFonts w:ascii="Times New Roman" w:hAnsi="Times New Roman"/>
                <w:sz w:val="24"/>
              </w:rPr>
            </w:pPr>
            <w:r w:rsidRPr="00D85C65">
              <w:rPr>
                <w:rStyle w:val="InstructionsTabelleText"/>
                <w:rFonts w:ascii="Times New Roman" w:hAnsi="Times New Roman"/>
                <w:sz w:val="24"/>
              </w:rPr>
              <w:t xml:space="preserve">Článok 254 CRR. </w:t>
            </w:r>
          </w:p>
        </w:tc>
      </w:tr>
      <w:tr w:rsidR="00235D9D" w:rsidRPr="00D85C65" w14:paraId="7D6C10C3" w14:textId="77777777" w:rsidTr="00E10B85">
        <w:tc>
          <w:tcPr>
            <w:tcW w:w="1016" w:type="dxa"/>
          </w:tcPr>
          <w:p w14:paraId="2A04A6D8" w14:textId="77777777" w:rsidR="00235D9D" w:rsidRPr="00D85C65" w:rsidRDefault="00C55547">
            <w:pPr>
              <w:rPr>
                <w:rFonts w:ascii="Times New Roman" w:hAnsi="Times New Roman"/>
                <w:sz w:val="24"/>
              </w:rPr>
            </w:pPr>
            <w:r w:rsidRPr="00D85C65">
              <w:rPr>
                <w:rFonts w:ascii="Times New Roman" w:hAnsi="Times New Roman"/>
                <w:sz w:val="24"/>
              </w:rPr>
              <w:t>402</w:t>
            </w:r>
          </w:p>
        </w:tc>
        <w:tc>
          <w:tcPr>
            <w:tcW w:w="7874" w:type="dxa"/>
          </w:tcPr>
          <w:p w14:paraId="0F8167D1"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SEC-IRBA</w:t>
            </w:r>
          </w:p>
          <w:p w14:paraId="10ADFA68" w14:textId="1F78E568" w:rsidR="00235D9D" w:rsidRPr="00D85C65" w:rsidRDefault="00C55547">
            <w:pPr>
              <w:autoSpaceDE w:val="0"/>
              <w:autoSpaceDN w:val="0"/>
              <w:adjustRightInd w:val="0"/>
              <w:jc w:val="left"/>
              <w:rPr>
                <w:rStyle w:val="InstructionsTabelleberschrift"/>
                <w:rFonts w:ascii="Times New Roman" w:hAnsi="Times New Roman"/>
                <w:sz w:val="24"/>
              </w:rPr>
            </w:pPr>
            <w:r w:rsidRPr="00D85C65">
              <w:rPr>
                <w:rStyle w:val="InstructionsTabelleText"/>
                <w:rFonts w:ascii="Times New Roman" w:hAnsi="Times New Roman"/>
                <w:sz w:val="24"/>
              </w:rPr>
              <w:t>Články 259</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260 CRR.</w:t>
            </w:r>
          </w:p>
        </w:tc>
      </w:tr>
      <w:tr w:rsidR="00235D9D" w:rsidRPr="00D85C65" w14:paraId="1603725B" w14:textId="77777777" w:rsidTr="00E10B85">
        <w:tc>
          <w:tcPr>
            <w:tcW w:w="1016" w:type="dxa"/>
          </w:tcPr>
          <w:p w14:paraId="35CC16C1" w14:textId="77777777" w:rsidR="00235D9D" w:rsidRPr="00D85C65" w:rsidRDefault="00C55547">
            <w:pPr>
              <w:rPr>
                <w:rFonts w:ascii="Times New Roman" w:hAnsi="Times New Roman"/>
                <w:sz w:val="24"/>
              </w:rPr>
            </w:pPr>
            <w:r w:rsidRPr="00D85C65">
              <w:rPr>
                <w:rFonts w:ascii="Times New Roman" w:hAnsi="Times New Roman"/>
                <w:sz w:val="24"/>
              </w:rPr>
              <w:t>403</w:t>
            </w:r>
          </w:p>
        </w:tc>
        <w:tc>
          <w:tcPr>
            <w:tcW w:w="7874" w:type="dxa"/>
          </w:tcPr>
          <w:p w14:paraId="7191C526"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SEC-SA</w:t>
            </w:r>
          </w:p>
          <w:p w14:paraId="7A6529D9" w14:textId="7AAB7693" w:rsidR="00235D9D" w:rsidRPr="00D85C65" w:rsidRDefault="00C55547">
            <w:pPr>
              <w:autoSpaceDE w:val="0"/>
              <w:autoSpaceDN w:val="0"/>
              <w:adjustRightInd w:val="0"/>
              <w:jc w:val="left"/>
              <w:rPr>
                <w:rStyle w:val="InstructionsTabelleberschrift"/>
                <w:rFonts w:ascii="Times New Roman" w:hAnsi="Times New Roman"/>
                <w:sz w:val="24"/>
              </w:rPr>
            </w:pPr>
            <w:r w:rsidRPr="00D85C65">
              <w:rPr>
                <w:rStyle w:val="InstructionsTabelleText"/>
                <w:rFonts w:ascii="Times New Roman" w:hAnsi="Times New Roman"/>
                <w:sz w:val="24"/>
              </w:rPr>
              <w:t>Články 261</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262 CRR.</w:t>
            </w:r>
          </w:p>
        </w:tc>
      </w:tr>
      <w:tr w:rsidR="00235D9D" w:rsidRPr="00D85C65" w14:paraId="787A44CC" w14:textId="77777777" w:rsidTr="00E10B85">
        <w:tc>
          <w:tcPr>
            <w:tcW w:w="1016" w:type="dxa"/>
          </w:tcPr>
          <w:p w14:paraId="1D46CCFA" w14:textId="77777777" w:rsidR="00235D9D" w:rsidRPr="00D85C65" w:rsidRDefault="00C55547">
            <w:pPr>
              <w:rPr>
                <w:rFonts w:ascii="Times New Roman" w:hAnsi="Times New Roman"/>
                <w:sz w:val="24"/>
              </w:rPr>
            </w:pPr>
            <w:r w:rsidRPr="00D85C65">
              <w:rPr>
                <w:rFonts w:ascii="Times New Roman" w:hAnsi="Times New Roman"/>
                <w:sz w:val="24"/>
              </w:rPr>
              <w:t>404</w:t>
            </w:r>
          </w:p>
        </w:tc>
        <w:tc>
          <w:tcPr>
            <w:tcW w:w="7874" w:type="dxa"/>
          </w:tcPr>
          <w:p w14:paraId="403243F9"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SEC-ERBA</w:t>
            </w:r>
          </w:p>
          <w:p w14:paraId="6F6107EF" w14:textId="19914979" w:rsidR="00235D9D" w:rsidRPr="00D85C65" w:rsidRDefault="00C55547">
            <w:pPr>
              <w:autoSpaceDE w:val="0"/>
              <w:autoSpaceDN w:val="0"/>
              <w:adjustRightInd w:val="0"/>
              <w:jc w:val="left"/>
              <w:rPr>
                <w:rStyle w:val="InstructionsTabelleberschrift"/>
                <w:rFonts w:ascii="Times New Roman" w:hAnsi="Times New Roman"/>
                <w:sz w:val="24"/>
              </w:rPr>
            </w:pPr>
            <w:r w:rsidRPr="00D85C65">
              <w:rPr>
                <w:rStyle w:val="InstructionsTabelleText"/>
                <w:rFonts w:ascii="Times New Roman" w:hAnsi="Times New Roman"/>
                <w:sz w:val="24"/>
              </w:rPr>
              <w:t>Články 263</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264 CRR.</w:t>
            </w:r>
          </w:p>
        </w:tc>
      </w:tr>
      <w:tr w:rsidR="00235D9D" w:rsidRPr="00D85C65" w14:paraId="74126E0F" w14:textId="77777777" w:rsidTr="00E10B85">
        <w:tc>
          <w:tcPr>
            <w:tcW w:w="1016" w:type="dxa"/>
          </w:tcPr>
          <w:p w14:paraId="05AE3262" w14:textId="77777777" w:rsidR="00235D9D" w:rsidRPr="00D85C65" w:rsidRDefault="00C55547">
            <w:pPr>
              <w:rPr>
                <w:rFonts w:ascii="Times New Roman" w:hAnsi="Times New Roman"/>
                <w:sz w:val="24"/>
              </w:rPr>
            </w:pPr>
            <w:r w:rsidRPr="00D85C65">
              <w:rPr>
                <w:rFonts w:ascii="Times New Roman" w:hAnsi="Times New Roman"/>
                <w:sz w:val="24"/>
              </w:rPr>
              <w:t>405</w:t>
            </w:r>
          </w:p>
        </w:tc>
        <w:tc>
          <w:tcPr>
            <w:tcW w:w="7874" w:type="dxa"/>
          </w:tcPr>
          <w:p w14:paraId="06CF9F37" w14:textId="77777777"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PRÍSTUP INTERNÉHO HODNOTENIA</w:t>
            </w:r>
          </w:p>
          <w:p w14:paraId="4E6E2F1E" w14:textId="35A2F9B9" w:rsidR="00235D9D" w:rsidRPr="00D85C65" w:rsidRDefault="00C55547">
            <w:pPr>
              <w:autoSpaceDE w:val="0"/>
              <w:autoSpaceDN w:val="0"/>
              <w:adjustRightInd w:val="0"/>
              <w:jc w:val="left"/>
              <w:rPr>
                <w:rStyle w:val="InstructionsTabelleberschrift"/>
                <w:rFonts w:ascii="Times New Roman" w:hAnsi="Times New Roman"/>
                <w:sz w:val="24"/>
              </w:rPr>
            </w:pPr>
            <w:r w:rsidRPr="00D85C65">
              <w:rPr>
                <w:rStyle w:val="InstructionsTabelleText"/>
                <w:rFonts w:ascii="Times New Roman" w:hAnsi="Times New Roman"/>
                <w:sz w:val="24"/>
              </w:rPr>
              <w:t>Články 254</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265 CRR</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článok 266 ods. 5 CRR.</w:t>
            </w:r>
          </w:p>
        </w:tc>
      </w:tr>
      <w:tr w:rsidR="00235D9D" w:rsidRPr="00D85C65" w14:paraId="2935A030" w14:textId="77777777" w:rsidTr="00E10B85">
        <w:tc>
          <w:tcPr>
            <w:tcW w:w="1016" w:type="dxa"/>
          </w:tcPr>
          <w:p w14:paraId="02151F54" w14:textId="77777777" w:rsidR="00235D9D" w:rsidRPr="00D85C65" w:rsidRDefault="00C55547">
            <w:pPr>
              <w:rPr>
                <w:rFonts w:ascii="Times New Roman" w:hAnsi="Times New Roman"/>
                <w:sz w:val="24"/>
              </w:rPr>
            </w:pPr>
            <w:r w:rsidRPr="00D85C65">
              <w:rPr>
                <w:rFonts w:ascii="Times New Roman" w:hAnsi="Times New Roman"/>
                <w:sz w:val="24"/>
              </w:rPr>
              <w:t>406</w:t>
            </w:r>
          </w:p>
        </w:tc>
        <w:tc>
          <w:tcPr>
            <w:tcW w:w="7874" w:type="dxa"/>
          </w:tcPr>
          <w:p w14:paraId="7F5F7FF3" w14:textId="62CD12FB" w:rsidR="00235D9D" w:rsidRPr="00D85C65" w:rsidRDefault="00C55547">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INÉ (RW = 1 250</w:t>
            </w:r>
            <w:r w:rsidR="00D85C65">
              <w:rPr>
                <w:rFonts w:ascii="Times New Roman" w:hAnsi="Times New Roman"/>
                <w:b/>
                <w:bCs/>
                <w:sz w:val="24"/>
                <w:u w:val="single"/>
              </w:rPr>
              <w:t> %</w:t>
            </w:r>
            <w:r w:rsidRPr="00D85C65">
              <w:rPr>
                <w:rFonts w:ascii="Times New Roman" w:hAnsi="Times New Roman"/>
                <w:b/>
                <w:bCs/>
                <w:sz w:val="24"/>
                <w:u w:val="single"/>
              </w:rPr>
              <w:t>)</w:t>
            </w:r>
          </w:p>
          <w:p w14:paraId="5C224172" w14:textId="0BD89175" w:rsidR="00235D9D" w:rsidRPr="00D85C65" w:rsidRDefault="00C55547">
            <w:pPr>
              <w:autoSpaceDE w:val="0"/>
              <w:autoSpaceDN w:val="0"/>
              <w:adjustRightInd w:val="0"/>
              <w:jc w:val="left"/>
              <w:rPr>
                <w:rStyle w:val="InstructionsTabelleberschrift"/>
                <w:rFonts w:ascii="Times New Roman" w:hAnsi="Times New Roman"/>
                <w:sz w:val="24"/>
              </w:rPr>
            </w:pPr>
            <w:r w:rsidRPr="00D85C65">
              <w:rPr>
                <w:rStyle w:val="InstructionsTabelleText"/>
                <w:rFonts w:ascii="Times New Roman" w:hAnsi="Times New Roman"/>
                <w:sz w:val="24"/>
              </w:rPr>
              <w:t>Článok 254 ods. 7 CRR.</w:t>
            </w:r>
          </w:p>
        </w:tc>
      </w:tr>
      <w:tr w:rsidR="00235D9D" w:rsidRPr="00D85C65" w14:paraId="415733AE" w14:textId="77777777" w:rsidTr="00E10B85">
        <w:tc>
          <w:tcPr>
            <w:tcW w:w="1016" w:type="dxa"/>
          </w:tcPr>
          <w:p w14:paraId="3814AFD4" w14:textId="0E50F3FF" w:rsidR="00235D9D" w:rsidRPr="00D85C65" w:rsidRDefault="00C55547">
            <w:pPr>
              <w:rPr>
                <w:rFonts w:ascii="Times New Roman" w:hAnsi="Times New Roman"/>
                <w:sz w:val="24"/>
              </w:rPr>
            </w:pPr>
            <w:r w:rsidRPr="00D85C65">
              <w:rPr>
                <w:rFonts w:ascii="Times New Roman" w:hAnsi="Times New Roman"/>
                <w:sz w:val="24"/>
              </w:rPr>
              <w:t>410 – 420</w:t>
            </w:r>
          </w:p>
        </w:tc>
        <w:tc>
          <w:tcPr>
            <w:tcW w:w="7874" w:type="dxa"/>
          </w:tcPr>
          <w:p w14:paraId="0CAA16CF"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PRED HORNÝM OHRANIČENÍM – VÁŽENÉ ČISTÉ DLHÉ/KRÁTKE POZÍCIE</w:t>
            </w:r>
          </w:p>
          <w:p w14:paraId="665E0E4B" w14:textId="0378EE50" w:rsidR="00235D9D" w:rsidRPr="00D85C65" w:rsidRDefault="00C55547">
            <w:pPr>
              <w:rPr>
                <w:rFonts w:ascii="Times New Roman" w:hAnsi="Times New Roman"/>
                <w:sz w:val="24"/>
              </w:rPr>
            </w:pPr>
            <w:r w:rsidRPr="00D85C65">
              <w:rPr>
                <w:rFonts w:ascii="Times New Roman" w:hAnsi="Times New Roman"/>
                <w:sz w:val="24"/>
              </w:rPr>
              <w:t>Článok 338 CRR bez zohľadnenia možnosti podľa článku 335 CRR.</w:t>
            </w:r>
          </w:p>
        </w:tc>
      </w:tr>
      <w:tr w:rsidR="00235D9D" w:rsidRPr="00D85C65" w14:paraId="7E47DA23" w14:textId="77777777" w:rsidTr="00E10B85">
        <w:tc>
          <w:tcPr>
            <w:tcW w:w="1016" w:type="dxa"/>
          </w:tcPr>
          <w:p w14:paraId="792E9786" w14:textId="515B2BDB" w:rsidR="00235D9D" w:rsidRPr="00D85C65" w:rsidRDefault="00C55547">
            <w:pPr>
              <w:rPr>
                <w:rFonts w:ascii="Times New Roman" w:hAnsi="Times New Roman"/>
                <w:sz w:val="24"/>
              </w:rPr>
            </w:pPr>
            <w:r w:rsidRPr="00D85C65">
              <w:rPr>
                <w:rFonts w:ascii="Times New Roman" w:hAnsi="Times New Roman"/>
                <w:sz w:val="24"/>
              </w:rPr>
              <w:lastRenderedPageBreak/>
              <w:t>430 – 440</w:t>
            </w:r>
          </w:p>
        </w:tc>
        <w:tc>
          <w:tcPr>
            <w:tcW w:w="7874" w:type="dxa"/>
          </w:tcPr>
          <w:p w14:paraId="0B77DEE0"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PO HORNOM OHRANIČENÍ – VÁŽENÉ ČISTÉ DLHÉ/KRÁTKE POZÍCIE</w:t>
            </w:r>
          </w:p>
          <w:p w14:paraId="10AE0022" w14:textId="0A570F77" w:rsidR="00235D9D" w:rsidRPr="00D85C65" w:rsidRDefault="00C55547">
            <w:pPr>
              <w:rPr>
                <w:rFonts w:ascii="Times New Roman" w:hAnsi="Times New Roman"/>
                <w:sz w:val="24"/>
              </w:rPr>
            </w:pPr>
            <w:r w:rsidRPr="00D85C65">
              <w:rPr>
                <w:rFonts w:ascii="Times New Roman" w:hAnsi="Times New Roman"/>
                <w:sz w:val="24"/>
              </w:rPr>
              <w:t xml:space="preserve">Článok 338 CRR so zohľadnením možnosti podľa článku 335 CRR. </w:t>
            </w:r>
          </w:p>
        </w:tc>
      </w:tr>
      <w:tr w:rsidR="00235D9D" w:rsidRPr="00D85C65" w14:paraId="6533939A" w14:textId="77777777" w:rsidTr="00E10B85">
        <w:tc>
          <w:tcPr>
            <w:tcW w:w="1016" w:type="dxa"/>
          </w:tcPr>
          <w:p w14:paraId="7B641B84" w14:textId="48F90AB1" w:rsidR="00235D9D" w:rsidRPr="00D85C65" w:rsidRDefault="00C55547">
            <w:pPr>
              <w:rPr>
                <w:rFonts w:ascii="Times New Roman" w:hAnsi="Times New Roman"/>
                <w:sz w:val="24"/>
              </w:rPr>
            </w:pPr>
            <w:r w:rsidRPr="00D85C65">
              <w:rPr>
                <w:rFonts w:ascii="Times New Roman" w:hAnsi="Times New Roman"/>
                <w:sz w:val="24"/>
              </w:rPr>
              <w:t>450</w:t>
            </w:r>
          </w:p>
        </w:tc>
        <w:tc>
          <w:tcPr>
            <w:tcW w:w="7874" w:type="dxa"/>
          </w:tcPr>
          <w:p w14:paraId="4A808D57"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POŽIADAVKY NA CELKOVÉ VLASTNÉ ZDROJE</w:t>
            </w:r>
          </w:p>
          <w:p w14:paraId="40BB1C25" w14:textId="23C013C5" w:rsidR="00235D9D" w:rsidRPr="00D85C65" w:rsidRDefault="00C55547">
            <w:pPr>
              <w:rPr>
                <w:rFonts w:ascii="Times New Roman" w:hAnsi="Times New Roman"/>
                <w:sz w:val="24"/>
              </w:rPr>
            </w:pPr>
            <w:r w:rsidRPr="00D85C65">
              <w:rPr>
                <w:rFonts w:ascii="Times New Roman" w:hAnsi="Times New Roman"/>
                <w:sz w:val="24"/>
              </w:rPr>
              <w:t>Požiadavka na vlastné zdroje sa určuje ako väčšia</w:t>
            </w:r>
            <w:r w:rsidR="00D85C65">
              <w:rPr>
                <w:rFonts w:ascii="Times New Roman" w:hAnsi="Times New Roman"/>
                <w:sz w:val="24"/>
              </w:rPr>
              <w:t xml:space="preserve"> z </w:t>
            </w:r>
            <w:r w:rsidRPr="00D85C65">
              <w:rPr>
                <w:rFonts w:ascii="Times New Roman" w:hAnsi="Times New Roman"/>
                <w:sz w:val="24"/>
              </w:rPr>
              <w:t>týchto hodnôt: i) požiadavka na krytie špecifického rizika, ktorá by sa uplatňovala len na čisté dlhé pozície (stĺpec 430), alebo ii) požiadavka na krytie špecifického rizika, ktorá by sa uplatňovala len na čisté krátke pozície (stĺpec 440).</w:t>
            </w:r>
          </w:p>
        </w:tc>
      </w:tr>
    </w:tbl>
    <w:p w14:paraId="06B264D3" w14:textId="77777777" w:rsidR="00235D9D" w:rsidRPr="00D85C65" w:rsidRDefault="00235D9D">
      <w:pPr>
        <w:autoSpaceDE w:val="0"/>
        <w:autoSpaceDN w:val="0"/>
        <w:adjustRightInd w:val="0"/>
        <w:spacing w:before="0" w:after="0"/>
        <w:rPr>
          <w:rFonts w:ascii="Times New Roman" w:hAnsi="Times New Roman"/>
          <w:sz w:val="24"/>
        </w:rPr>
      </w:pPr>
    </w:p>
    <w:p w14:paraId="04D29905"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235D9D" w:rsidRPr="00D85C65" w14:paraId="595BF6EB" w14:textId="77777777" w:rsidTr="00E10B85">
        <w:trPr>
          <w:trHeight w:val="642"/>
        </w:trPr>
        <w:tc>
          <w:tcPr>
            <w:tcW w:w="9212" w:type="dxa"/>
            <w:gridSpan w:val="2"/>
            <w:shd w:val="clear" w:color="auto" w:fill="CCCCCC"/>
          </w:tcPr>
          <w:p w14:paraId="1E45084B" w14:textId="77777777" w:rsidR="00235D9D" w:rsidRPr="00D85C65" w:rsidRDefault="00C55547">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4355B670" w14:textId="77777777" w:rsidTr="00E10B85">
        <w:tc>
          <w:tcPr>
            <w:tcW w:w="1008" w:type="dxa"/>
          </w:tcPr>
          <w:p w14:paraId="381C6EC3"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010</w:t>
            </w:r>
          </w:p>
        </w:tc>
        <w:tc>
          <w:tcPr>
            <w:tcW w:w="8204" w:type="dxa"/>
          </w:tcPr>
          <w:p w14:paraId="35D1FD11"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CELKOVÉ EXPOZÍCIE</w:t>
            </w:r>
          </w:p>
          <w:p w14:paraId="53E640ED" w14:textId="75ABC746" w:rsidR="00235D9D" w:rsidRPr="00D85C65" w:rsidRDefault="00C55547">
            <w:pPr>
              <w:rPr>
                <w:rFonts w:ascii="Times New Roman" w:hAnsi="Times New Roman"/>
                <w:sz w:val="24"/>
              </w:rPr>
            </w:pPr>
            <w:r w:rsidRPr="00D85C65">
              <w:rPr>
                <w:rFonts w:ascii="Times New Roman" w:hAnsi="Times New Roman"/>
                <w:sz w:val="24"/>
              </w:rPr>
              <w:t>Celková hodnota zostávajúcich pozícií (držaných</w:t>
            </w:r>
            <w:r w:rsidR="00D85C65">
              <w:rPr>
                <w:rFonts w:ascii="Times New Roman" w:hAnsi="Times New Roman"/>
                <w:sz w:val="24"/>
              </w:rPr>
              <w:t xml:space="preserve"> v </w:t>
            </w:r>
            <w:r w:rsidRPr="00D85C65">
              <w:rPr>
                <w:rFonts w:ascii="Times New Roman" w:hAnsi="Times New Roman"/>
                <w:sz w:val="24"/>
              </w:rPr>
              <w:t>korelačnom obchodnom portfóliu) vykázaných inštitúciou, ktorá zohráva úlohu originátora, investora alebo sponzora.</w:t>
            </w:r>
          </w:p>
        </w:tc>
      </w:tr>
      <w:tr w:rsidR="00235D9D" w:rsidRPr="00D85C65" w14:paraId="3938E94C" w14:textId="77777777" w:rsidTr="00E10B85">
        <w:tc>
          <w:tcPr>
            <w:tcW w:w="1008" w:type="dxa"/>
          </w:tcPr>
          <w:p w14:paraId="4A44C792"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020 – 040</w:t>
            </w:r>
          </w:p>
        </w:tc>
        <w:tc>
          <w:tcPr>
            <w:tcW w:w="8204" w:type="dxa"/>
          </w:tcPr>
          <w:p w14:paraId="4BA9008F"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ORIGINÁTOR</w:t>
            </w:r>
          </w:p>
          <w:p w14:paraId="2D874398" w14:textId="57A7E244" w:rsidR="00235D9D" w:rsidRPr="00D85C65" w:rsidRDefault="00E64BFE">
            <w:pPr>
              <w:rPr>
                <w:rFonts w:ascii="Times New Roman" w:hAnsi="Times New Roman"/>
                <w:sz w:val="24"/>
              </w:rPr>
            </w:pPr>
            <w:r w:rsidRPr="00D85C65">
              <w:rPr>
                <w:rFonts w:ascii="Times New Roman" w:hAnsi="Times New Roman"/>
                <w:sz w:val="24"/>
              </w:rPr>
              <w:t xml:space="preserve">Článok 4 ods. 1 bod 13 CRR. </w:t>
            </w:r>
          </w:p>
        </w:tc>
      </w:tr>
      <w:tr w:rsidR="00235D9D" w:rsidRPr="00D85C65" w14:paraId="1B3F2041" w14:textId="77777777" w:rsidTr="00E10B85">
        <w:tc>
          <w:tcPr>
            <w:tcW w:w="1008" w:type="dxa"/>
          </w:tcPr>
          <w:p w14:paraId="575AE299"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050 – 070</w:t>
            </w:r>
          </w:p>
        </w:tc>
        <w:tc>
          <w:tcPr>
            <w:tcW w:w="8204" w:type="dxa"/>
          </w:tcPr>
          <w:p w14:paraId="54B3E731"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INVESTOR</w:t>
            </w:r>
          </w:p>
          <w:p w14:paraId="14B913F3" w14:textId="0323FB63" w:rsidR="00235D9D" w:rsidRPr="00D85C65" w:rsidRDefault="00C55547">
            <w:pPr>
              <w:rPr>
                <w:rFonts w:ascii="Times New Roman" w:hAnsi="Times New Roman"/>
                <w:sz w:val="24"/>
              </w:rPr>
            </w:pPr>
            <w:r w:rsidRPr="00D85C65">
              <w:rPr>
                <w:rFonts w:ascii="Times New Roman" w:hAnsi="Times New Roman"/>
                <w:sz w:val="24"/>
              </w:rPr>
              <w:t>Úverová inštitúcia, ktorá drží sekuritizačné pozície</w:t>
            </w:r>
            <w:r w:rsidR="00D85C65">
              <w:rPr>
                <w:rFonts w:ascii="Times New Roman" w:hAnsi="Times New Roman"/>
                <w:sz w:val="24"/>
              </w:rPr>
              <w:t xml:space="preserve"> v </w:t>
            </w:r>
            <w:r w:rsidRPr="00D85C65">
              <w:rPr>
                <w:rFonts w:ascii="Times New Roman" w:hAnsi="Times New Roman"/>
                <w:sz w:val="24"/>
              </w:rPr>
              <w:t>sekuritizačnej transakcii,</w:t>
            </w:r>
            <w:r w:rsidR="00D85C65">
              <w:rPr>
                <w:rFonts w:ascii="Times New Roman" w:hAnsi="Times New Roman"/>
                <w:sz w:val="24"/>
              </w:rPr>
              <w:t xml:space="preserve"> v </w:t>
            </w:r>
            <w:r w:rsidRPr="00D85C65">
              <w:rPr>
                <w:rFonts w:ascii="Times New Roman" w:hAnsi="Times New Roman"/>
                <w:sz w:val="24"/>
              </w:rPr>
              <w:t>ktorej nie je originátorom, sponzorom ani pôvodným veriteľom.</w:t>
            </w:r>
          </w:p>
        </w:tc>
      </w:tr>
      <w:tr w:rsidR="00235D9D" w:rsidRPr="00D85C65" w14:paraId="64F90258" w14:textId="77777777" w:rsidTr="00E10B85">
        <w:tc>
          <w:tcPr>
            <w:tcW w:w="1008" w:type="dxa"/>
          </w:tcPr>
          <w:p w14:paraId="5FC52252"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080 – 100</w:t>
            </w:r>
          </w:p>
        </w:tc>
        <w:tc>
          <w:tcPr>
            <w:tcW w:w="8204" w:type="dxa"/>
          </w:tcPr>
          <w:p w14:paraId="28C29349"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SPONZOR</w:t>
            </w:r>
          </w:p>
          <w:p w14:paraId="5E1559B7" w14:textId="77777777" w:rsidR="00D85C65" w:rsidRDefault="00E64BFE">
            <w:pPr>
              <w:rPr>
                <w:rFonts w:ascii="Times New Roman" w:hAnsi="Times New Roman"/>
                <w:sz w:val="24"/>
              </w:rPr>
            </w:pPr>
            <w:r w:rsidRPr="00D85C65">
              <w:rPr>
                <w:rFonts w:ascii="Times New Roman" w:hAnsi="Times New Roman"/>
                <w:sz w:val="24"/>
              </w:rPr>
              <w:t>Článok 4 ods. 1 bod 14 CRR</w:t>
            </w:r>
            <w:r w:rsidR="00D85C65">
              <w:rPr>
                <w:rFonts w:ascii="Times New Roman" w:hAnsi="Times New Roman"/>
                <w:sz w:val="24"/>
              </w:rPr>
              <w:t>.</w:t>
            </w:r>
          </w:p>
          <w:p w14:paraId="4AE597AF" w14:textId="572EB6C9" w:rsidR="00235D9D" w:rsidRPr="00D85C65" w:rsidRDefault="005F3BBE">
            <w:pPr>
              <w:rPr>
                <w:rFonts w:ascii="Times New Roman" w:hAnsi="Times New Roman"/>
                <w:sz w:val="24"/>
              </w:rPr>
            </w:pPr>
            <w:r w:rsidRPr="00D85C65">
              <w:rPr>
                <w:rFonts w:ascii="Times New Roman" w:hAnsi="Times New Roman"/>
                <w:sz w:val="24"/>
              </w:rPr>
              <w:t>Sponzor, ktorý zároveň sekuritizuje svoje vlastné aktíva,</w:t>
            </w:r>
            <w:r w:rsidR="00D85C65">
              <w:rPr>
                <w:rFonts w:ascii="Times New Roman" w:hAnsi="Times New Roman"/>
                <w:sz w:val="24"/>
              </w:rPr>
              <w:t xml:space="preserve"> v </w:t>
            </w:r>
            <w:r w:rsidRPr="00D85C65">
              <w:rPr>
                <w:rFonts w:ascii="Times New Roman" w:hAnsi="Times New Roman"/>
                <w:sz w:val="24"/>
              </w:rPr>
              <w:t>riadkoch originátora uvedie informácie týkajúce sa svojich vlastných sekuritizovaných aktív.</w:t>
            </w:r>
          </w:p>
        </w:tc>
      </w:tr>
      <w:tr w:rsidR="00235D9D" w:rsidRPr="00D85C65" w14:paraId="5F06ED76" w14:textId="77777777" w:rsidTr="00E10B85">
        <w:tc>
          <w:tcPr>
            <w:tcW w:w="1008" w:type="dxa"/>
          </w:tcPr>
          <w:p w14:paraId="3FDBC7C8" w14:textId="338E0FDC"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030, 060</w:t>
            </w:r>
            <w:r w:rsidR="00D85C65">
              <w:rPr>
                <w:rFonts w:ascii="Times New Roman" w:hAnsi="Times New Roman"/>
                <w:sz w:val="24"/>
              </w:rPr>
              <w:t xml:space="preserve"> a </w:t>
            </w:r>
            <w:r w:rsidRPr="00D85C65">
              <w:rPr>
                <w:rFonts w:ascii="Times New Roman" w:hAnsi="Times New Roman"/>
                <w:sz w:val="24"/>
              </w:rPr>
              <w:t>090</w:t>
            </w:r>
          </w:p>
        </w:tc>
        <w:tc>
          <w:tcPr>
            <w:tcW w:w="8204" w:type="dxa"/>
          </w:tcPr>
          <w:p w14:paraId="6D8C0704" w14:textId="1BC5BEA9"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SEKURITIZAČNÉ POZÍCIE</w:t>
            </w:r>
          </w:p>
          <w:p w14:paraId="2FF6099C" w14:textId="51EF5B39" w:rsidR="00235D9D" w:rsidRPr="00D85C65" w:rsidRDefault="00C55547">
            <w:pPr>
              <w:rPr>
                <w:rFonts w:ascii="Times New Roman" w:hAnsi="Times New Roman"/>
                <w:sz w:val="24"/>
              </w:rPr>
            </w:pPr>
            <w:r w:rsidRPr="00D85C65">
              <w:rPr>
                <w:rFonts w:ascii="Times New Roman" w:hAnsi="Times New Roman"/>
                <w:sz w:val="24"/>
              </w:rPr>
              <w:t>Korelačné obchodné portfóliá tvoria sekuritizácie, kreditné deriváty pre n-té zlyhania</w:t>
            </w:r>
            <w:r w:rsidR="00D85C65">
              <w:rPr>
                <w:rFonts w:ascii="Times New Roman" w:hAnsi="Times New Roman"/>
                <w:sz w:val="24"/>
              </w:rPr>
              <w:t xml:space="preserve"> a </w:t>
            </w:r>
            <w:r w:rsidRPr="00D85C65">
              <w:rPr>
                <w:rFonts w:ascii="Times New Roman" w:hAnsi="Times New Roman"/>
                <w:sz w:val="24"/>
              </w:rPr>
              <w:t>možno iné hedžingové pozície, ktoré spĺňajú kritériá stanovené</w:t>
            </w:r>
            <w:r w:rsidR="00D85C65">
              <w:rPr>
                <w:rFonts w:ascii="Times New Roman" w:hAnsi="Times New Roman"/>
                <w:sz w:val="24"/>
              </w:rPr>
              <w:t xml:space="preserve"> v </w:t>
            </w:r>
            <w:r w:rsidRPr="00D85C65">
              <w:rPr>
                <w:rFonts w:ascii="Times New Roman" w:hAnsi="Times New Roman"/>
                <w:sz w:val="24"/>
              </w:rPr>
              <w:t>článku 338 ods. 2</w:t>
            </w:r>
            <w:r w:rsidR="00D85C65">
              <w:rPr>
                <w:rFonts w:ascii="Times New Roman" w:hAnsi="Times New Roman"/>
                <w:sz w:val="24"/>
              </w:rPr>
              <w:t xml:space="preserve"> a </w:t>
            </w:r>
            <w:r w:rsidRPr="00D85C65">
              <w:rPr>
                <w:rFonts w:ascii="Times New Roman" w:hAnsi="Times New Roman"/>
                <w:sz w:val="24"/>
              </w:rPr>
              <w:t>3 CRR.</w:t>
            </w:r>
          </w:p>
          <w:p w14:paraId="5739C9FE" w14:textId="77777777" w:rsidR="00235D9D" w:rsidRPr="00D85C65" w:rsidRDefault="00C55547">
            <w:pPr>
              <w:rPr>
                <w:rFonts w:ascii="Times New Roman" w:hAnsi="Times New Roman"/>
                <w:sz w:val="24"/>
              </w:rPr>
            </w:pPr>
            <w:r w:rsidRPr="00D85C65">
              <w:rPr>
                <w:rFonts w:ascii="Times New Roman" w:hAnsi="Times New Roman"/>
                <w:sz w:val="24"/>
              </w:rPr>
              <w:t>Deriváty sekuritizačných expozícií, ktoré poskytujú pomerný podiel, ako aj pozície, ktorými sa hedžujú pozície korelačného obchodného portfólia, sa začlenia do riadku „Iné pozície korelačného obchodného portfólia“.</w:t>
            </w:r>
          </w:p>
        </w:tc>
      </w:tr>
      <w:tr w:rsidR="00235D9D" w:rsidRPr="00D85C65" w14:paraId="184CDEEA" w14:textId="77777777" w:rsidTr="00E10B85">
        <w:tc>
          <w:tcPr>
            <w:tcW w:w="1008" w:type="dxa"/>
          </w:tcPr>
          <w:p w14:paraId="27D0C00E" w14:textId="77777777"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t>110</w:t>
            </w:r>
          </w:p>
        </w:tc>
        <w:tc>
          <w:tcPr>
            <w:tcW w:w="8204" w:type="dxa"/>
          </w:tcPr>
          <w:p w14:paraId="0E649A0D"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KREDITNÉ DERIVÁTY PRE N-TÉ ZLYHANIE</w:t>
            </w:r>
          </w:p>
          <w:p w14:paraId="4476AAB5" w14:textId="6E8CCB76" w:rsidR="00235D9D" w:rsidRPr="00D85C65" w:rsidRDefault="00C55547">
            <w:pPr>
              <w:rPr>
                <w:rFonts w:ascii="Times New Roman" w:hAnsi="Times New Roman"/>
                <w:sz w:val="24"/>
              </w:rPr>
            </w:pPr>
            <w:r w:rsidRPr="00D85C65">
              <w:rPr>
                <w:rFonts w:ascii="Times New Roman" w:hAnsi="Times New Roman"/>
                <w:sz w:val="24"/>
              </w:rPr>
              <w:t>Vykazujú sa tu kreditné deriváty pre n-té zlyhanie, ktoré sú hedžované kreditnými derivátmi pre n-té zlyhanie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347 CRR.</w:t>
            </w:r>
          </w:p>
          <w:p w14:paraId="177FAE42" w14:textId="1194343D" w:rsidR="00235D9D" w:rsidRPr="00D85C65" w:rsidRDefault="00C55547">
            <w:pPr>
              <w:rPr>
                <w:rFonts w:ascii="Times New Roman" w:hAnsi="Times New Roman"/>
                <w:sz w:val="24"/>
              </w:rPr>
            </w:pPr>
            <w:r w:rsidRPr="00D85C65">
              <w:rPr>
                <w:rFonts w:ascii="Times New Roman" w:hAnsi="Times New Roman"/>
                <w:sz w:val="24"/>
              </w:rPr>
              <w:t>Originátor, investor</w:t>
            </w:r>
            <w:r w:rsidR="00D85C65">
              <w:rPr>
                <w:rFonts w:ascii="Times New Roman" w:hAnsi="Times New Roman"/>
                <w:sz w:val="24"/>
              </w:rPr>
              <w:t xml:space="preserve"> a </w:t>
            </w:r>
            <w:r w:rsidRPr="00D85C65">
              <w:rPr>
                <w:rFonts w:ascii="Times New Roman" w:hAnsi="Times New Roman"/>
                <w:sz w:val="24"/>
              </w:rPr>
              <w:t>sponzor pozícií sa pri kreditných derivátov pre n-té zlyhanie nekategorizujú. Preto sa nemôže uviesť rozčlenenie sekuritizačných pozícií pre kreditné deriváty pre n-té zlyhanie.</w:t>
            </w:r>
          </w:p>
        </w:tc>
      </w:tr>
      <w:tr w:rsidR="00235D9D" w:rsidRPr="00D85C65" w14:paraId="29930146" w14:textId="77777777" w:rsidTr="00E10B85">
        <w:tc>
          <w:tcPr>
            <w:tcW w:w="1008" w:type="dxa"/>
          </w:tcPr>
          <w:p w14:paraId="58106EAE" w14:textId="33B3AE68" w:rsidR="00235D9D" w:rsidRPr="00D85C65" w:rsidRDefault="00C55547">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040, 070, 100</w:t>
            </w:r>
            <w:r w:rsidR="00D85C65">
              <w:rPr>
                <w:rFonts w:ascii="Times New Roman" w:hAnsi="Times New Roman"/>
                <w:sz w:val="24"/>
              </w:rPr>
              <w:t xml:space="preserve"> a </w:t>
            </w:r>
            <w:r w:rsidRPr="00D85C65">
              <w:rPr>
                <w:rFonts w:ascii="Times New Roman" w:hAnsi="Times New Roman"/>
                <w:sz w:val="24"/>
              </w:rPr>
              <w:t>120</w:t>
            </w:r>
          </w:p>
        </w:tc>
        <w:tc>
          <w:tcPr>
            <w:tcW w:w="8204" w:type="dxa"/>
          </w:tcPr>
          <w:p w14:paraId="0972E17B" w14:textId="77777777" w:rsidR="00235D9D" w:rsidRPr="00D85C65" w:rsidRDefault="00C55547">
            <w:pPr>
              <w:rPr>
                <w:rStyle w:val="InstructionsTabelleberschrift"/>
                <w:rFonts w:ascii="Times New Roman" w:hAnsi="Times New Roman"/>
                <w:sz w:val="24"/>
              </w:rPr>
            </w:pPr>
            <w:r w:rsidRPr="00D85C65">
              <w:rPr>
                <w:rStyle w:val="InstructionsTabelleberschrift"/>
                <w:rFonts w:ascii="Times New Roman" w:hAnsi="Times New Roman"/>
                <w:sz w:val="24"/>
              </w:rPr>
              <w:t>INÉ POZÍCIE KORELAČNÉHO OBCHODNÉHO PORTFÓLIA</w:t>
            </w:r>
          </w:p>
          <w:p w14:paraId="45FEA746" w14:textId="77777777" w:rsidR="00D85C65" w:rsidRDefault="00C55547">
            <w:pPr>
              <w:rPr>
                <w:rFonts w:ascii="Times New Roman" w:hAnsi="Times New Roman"/>
                <w:sz w:val="24"/>
              </w:rPr>
            </w:pPr>
            <w:r w:rsidRPr="00D85C65">
              <w:rPr>
                <w:rFonts w:ascii="Times New Roman" w:hAnsi="Times New Roman"/>
                <w:sz w:val="24"/>
              </w:rPr>
              <w:t>Zahrnuté sú tieto pozície</w:t>
            </w:r>
            <w:r w:rsidR="00D85C65">
              <w:rPr>
                <w:rFonts w:ascii="Times New Roman" w:hAnsi="Times New Roman"/>
                <w:sz w:val="24"/>
              </w:rPr>
              <w:t>:</w:t>
            </w:r>
          </w:p>
          <w:p w14:paraId="2E95BB61" w14:textId="35128BE0" w:rsidR="00235D9D" w:rsidRPr="00D85C65" w:rsidRDefault="00C55547">
            <w:pPr>
              <w:tabs>
                <w:tab w:val="left" w:pos="720"/>
              </w:tabs>
              <w:ind w:left="720" w:hanging="360"/>
              <w:rPr>
                <w:rFonts w:ascii="Times New Roman" w:hAnsi="Times New Roman"/>
                <w:sz w:val="24"/>
              </w:rPr>
            </w:pPr>
            <w:r w:rsidRPr="00D85C65">
              <w:rPr>
                <w:rFonts w:ascii="Symbol" w:hAnsi="Symbol"/>
                <w:sz w:val="24"/>
              </w:rPr>
              <w:t></w:t>
            </w:r>
            <w:r w:rsidRPr="00D85C65">
              <w:rPr>
                <w:rFonts w:ascii="Symbol" w:hAnsi="Symbol"/>
                <w:sz w:val="24"/>
              </w:rPr>
              <w:tab/>
            </w: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derivátoch sekuritizačných expozícií, ktoré poskytujú pomerný podiel, ako aj pozície, ktorými sa hedžujú pozície korelačného obchodného portfólia;</w:t>
            </w:r>
          </w:p>
          <w:p w14:paraId="41423E99" w14:textId="6EBD4043" w:rsidR="00235D9D" w:rsidRPr="00D85C65" w:rsidRDefault="00C55547">
            <w:pPr>
              <w:tabs>
                <w:tab w:val="left" w:pos="720"/>
              </w:tabs>
              <w:ind w:left="720" w:hanging="360"/>
              <w:rPr>
                <w:rFonts w:ascii="Times New Roman" w:hAnsi="Times New Roman"/>
                <w:sz w:val="24"/>
              </w:rPr>
            </w:pPr>
            <w:r w:rsidRPr="00D85C65">
              <w:rPr>
                <w:rFonts w:ascii="Symbol" w:hAnsi="Symbol"/>
                <w:sz w:val="24"/>
              </w:rPr>
              <w:t></w:t>
            </w:r>
            <w:r w:rsidRPr="00D85C65">
              <w:rPr>
                <w:rFonts w:ascii="Symbol" w:hAnsi="Symbol"/>
                <w:sz w:val="24"/>
              </w:rPr>
              <w:tab/>
            </w:r>
            <w:r w:rsidRPr="00D85C65">
              <w:rPr>
                <w:rFonts w:ascii="Times New Roman" w:hAnsi="Times New Roman"/>
                <w:sz w:val="24"/>
              </w:rPr>
              <w:t>pozície korelačného obchodného portfólia hedžované kreditnými derivátmi</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346 CRR;</w:t>
            </w:r>
          </w:p>
          <w:p w14:paraId="2AE83702" w14:textId="6649D035" w:rsidR="00235D9D" w:rsidRPr="00D85C65" w:rsidRDefault="00C55547">
            <w:pPr>
              <w:tabs>
                <w:tab w:val="left" w:pos="720"/>
              </w:tabs>
              <w:ind w:left="720" w:hanging="360"/>
              <w:rPr>
                <w:rFonts w:ascii="Times New Roman" w:hAnsi="Times New Roman"/>
                <w:sz w:val="24"/>
              </w:rPr>
            </w:pPr>
            <w:r w:rsidRPr="00D85C65">
              <w:rPr>
                <w:rFonts w:ascii="Symbol" w:hAnsi="Symbol"/>
                <w:sz w:val="24"/>
              </w:rPr>
              <w:t></w:t>
            </w:r>
            <w:r w:rsidRPr="00D85C65">
              <w:rPr>
                <w:rFonts w:ascii="Symbol" w:hAnsi="Symbol"/>
                <w:sz w:val="24"/>
              </w:rPr>
              <w:tab/>
            </w:r>
            <w:r w:rsidRPr="00D85C65">
              <w:rPr>
                <w:rFonts w:ascii="Times New Roman" w:hAnsi="Times New Roman"/>
                <w:sz w:val="24"/>
              </w:rPr>
              <w:t>iné pozície, ktoré spĺňajú ustanovenia článku 338 ods. 3 CRR.</w:t>
            </w:r>
          </w:p>
        </w:tc>
      </w:tr>
    </w:tbl>
    <w:p w14:paraId="07A4A117" w14:textId="77777777" w:rsidR="00235D9D" w:rsidRPr="00D85C65" w:rsidRDefault="00235D9D">
      <w:pPr>
        <w:autoSpaceDE w:val="0"/>
        <w:autoSpaceDN w:val="0"/>
        <w:adjustRightInd w:val="0"/>
        <w:spacing w:before="0" w:after="0"/>
        <w:rPr>
          <w:rFonts w:ascii="Times New Roman" w:hAnsi="Times New Roman"/>
          <w:sz w:val="24"/>
        </w:rPr>
      </w:pPr>
    </w:p>
    <w:p w14:paraId="51C4ADD8" w14:textId="498E5FC3" w:rsidR="00235D9D" w:rsidRPr="00D85C65" w:rsidRDefault="00125707">
      <w:pPr>
        <w:pStyle w:val="Instructionsberschrift2"/>
        <w:numPr>
          <w:ilvl w:val="0"/>
          <w:numId w:val="0"/>
        </w:numPr>
        <w:ind w:left="357" w:hanging="357"/>
        <w:rPr>
          <w:rFonts w:ascii="Times New Roman" w:hAnsi="Times New Roman" w:cs="Times New Roman"/>
          <w:sz w:val="24"/>
        </w:rPr>
      </w:pPr>
      <w:bookmarkStart w:id="92" w:name="_Toc29994535"/>
      <w:r w:rsidRPr="00D85C65">
        <w:rPr>
          <w:rFonts w:ascii="Times New Roman" w:hAnsi="Times New Roman"/>
          <w:sz w:val="24"/>
          <w:u w:val="none"/>
        </w:rPr>
        <w:t>5.4.</w:t>
      </w:r>
      <w:r w:rsidRPr="00D85C65">
        <w:rPr>
          <w:rFonts w:ascii="Times New Roman" w:hAnsi="Times New Roman"/>
          <w:sz w:val="24"/>
          <w:u w:val="none"/>
        </w:rPr>
        <w:tab/>
      </w:r>
      <w:r w:rsidRPr="00D85C65">
        <w:rPr>
          <w:rFonts w:ascii="Times New Roman" w:hAnsi="Times New Roman"/>
          <w:sz w:val="24"/>
        </w:rPr>
        <w:t>C 21.00 – Trhové riziko: Štandardizovaný prístup pre pozičné riziko</w:t>
      </w:r>
      <w:r w:rsidR="00D85C65">
        <w:rPr>
          <w:rFonts w:ascii="Times New Roman" w:hAnsi="Times New Roman"/>
          <w:sz w:val="24"/>
        </w:rPr>
        <w:t xml:space="preserve"> v </w:t>
      </w:r>
      <w:r w:rsidRPr="00D85C65">
        <w:rPr>
          <w:rFonts w:ascii="Times New Roman" w:hAnsi="Times New Roman"/>
          <w:sz w:val="24"/>
        </w:rPr>
        <w:t>kapitálových cenných papieroch (MKR SA EQU)</w:t>
      </w:r>
      <w:bookmarkEnd w:id="92"/>
    </w:p>
    <w:p w14:paraId="014E240B"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93" w:name="_Toc29994536"/>
      <w:r w:rsidRPr="00D85C65">
        <w:rPr>
          <w:rFonts w:ascii="Times New Roman" w:hAnsi="Times New Roman"/>
          <w:sz w:val="24"/>
          <w:u w:val="none"/>
        </w:rPr>
        <w:t>5.4.1.</w:t>
      </w:r>
      <w:r w:rsidRPr="00D85C65">
        <w:rPr>
          <w:rFonts w:ascii="Times New Roman" w:hAnsi="Times New Roman"/>
          <w:sz w:val="24"/>
          <w:u w:val="none"/>
        </w:rPr>
        <w:tab/>
      </w:r>
      <w:r w:rsidRPr="00D85C65">
        <w:rPr>
          <w:rFonts w:ascii="Times New Roman" w:hAnsi="Times New Roman"/>
          <w:sz w:val="24"/>
        </w:rPr>
        <w:t>Všeobecné poznámky</w:t>
      </w:r>
      <w:bookmarkEnd w:id="93"/>
    </w:p>
    <w:p w14:paraId="2DC9750B" w14:textId="3B29BCB7" w:rsidR="00235D9D" w:rsidRPr="00D85C65" w:rsidRDefault="00125707">
      <w:pPr>
        <w:pStyle w:val="InstructionsText2"/>
        <w:numPr>
          <w:ilvl w:val="0"/>
          <w:numId w:val="0"/>
        </w:numPr>
        <w:ind w:left="993"/>
      </w:pPr>
      <w:r w:rsidRPr="00D85C65">
        <w:t>148.</w:t>
      </w:r>
      <w:r w:rsidRPr="00D85C65">
        <w:tab/>
      </w:r>
      <w:r w:rsidR="00D85C65">
        <w:t xml:space="preserve"> V </w:t>
      </w:r>
      <w:r w:rsidRPr="00D85C65">
        <w:t>tomto vzore sa požadujú informácie</w:t>
      </w:r>
      <w:r w:rsidR="00D85C65">
        <w:t xml:space="preserve"> o </w:t>
      </w:r>
      <w:r w:rsidRPr="00D85C65">
        <w:t>pozíciách</w:t>
      </w:r>
      <w:r w:rsidR="00D85C65">
        <w:t xml:space="preserve"> a </w:t>
      </w:r>
      <w:r w:rsidRPr="00D85C65">
        <w:t>zodpovedajúcich požiadavkách na vlastné zdroje pre pozičné riziko kapitálových cenných papierov vedených</w:t>
      </w:r>
      <w:r w:rsidR="00D85C65">
        <w:t xml:space="preserve"> v </w:t>
      </w:r>
      <w:r w:rsidRPr="00D85C65">
        <w:t>obchodnej knihe</w:t>
      </w:r>
      <w:r w:rsidR="00D85C65">
        <w:t xml:space="preserve"> v </w:t>
      </w:r>
      <w:r w:rsidRPr="00D85C65">
        <w:t>rámci štandardizovaného prístupu.</w:t>
      </w:r>
    </w:p>
    <w:p w14:paraId="249BDF92" w14:textId="4F68B0F9" w:rsidR="00235D9D" w:rsidRPr="00D85C65" w:rsidRDefault="00125707">
      <w:pPr>
        <w:pStyle w:val="InstructionsText2"/>
        <w:numPr>
          <w:ilvl w:val="0"/>
          <w:numId w:val="0"/>
        </w:numPr>
        <w:ind w:left="993"/>
      </w:pPr>
      <w:r w:rsidRPr="00D85C65">
        <w:t>149.</w:t>
      </w:r>
      <w:r w:rsidRPr="00D85C65">
        <w:tab/>
        <w:t xml:space="preserve"> Tento vzor sa vypĺňa osobitne pre „spolu“</w:t>
      </w:r>
      <w:r w:rsidR="00D85C65">
        <w:t xml:space="preserve"> a </w:t>
      </w:r>
      <w:r w:rsidRPr="00D85C65">
        <w:t>pre nemenný, vopred definovaný zoznam týchto trhov: Bulharsko, Chorvátsko, Česká republika, Dánsko, Egypt, Maďarsko, Island, Lichtenštajnsko, Nórsko, Poľsko, Rumunsko, Švédsko, Spojené kráľovstvo, Albánsko, Japonsko, bývalá Juhoslovanská republika Macedónsko, Ruská federácia, Srbsko, Švajčiarsko, Turecko, Ukrajina, USA, eurozóna</w:t>
      </w:r>
      <w:r w:rsidR="00D85C65">
        <w:t xml:space="preserve"> a </w:t>
      </w:r>
      <w:r w:rsidRPr="00D85C65">
        <w:t>jeden vzor pre všetky ostatné trhy. Na účely tejto požiadavky vykazovania sa pod pojmom „trh“ rozumie „krajina“ [s výnimkou krajín eurozóny, pozri delegované nariadenie Komisie (EÚ) č. 525/2014</w:t>
      </w:r>
      <w:r w:rsidRPr="00D85C65">
        <w:rPr>
          <w:rStyle w:val="FootnoteReference"/>
          <w:rFonts w:ascii="Times New Roman" w:hAnsi="Times New Roman"/>
          <w:sz w:val="24"/>
          <w:szCs w:val="24"/>
          <w:vertAlign w:val="superscript"/>
        </w:rPr>
        <w:footnoteReference w:id="15"/>
      </w:r>
      <w:r w:rsidRPr="00D85C65">
        <w:t>].</w:t>
      </w:r>
    </w:p>
    <w:p w14:paraId="0ADCA857" w14:textId="7C413039" w:rsidR="00235D9D" w:rsidRPr="00D85C65" w:rsidRDefault="00125707">
      <w:pPr>
        <w:pStyle w:val="Instructionsberschrift2"/>
        <w:numPr>
          <w:ilvl w:val="0"/>
          <w:numId w:val="0"/>
        </w:numPr>
        <w:ind w:left="357" w:hanging="357"/>
        <w:rPr>
          <w:rFonts w:ascii="Times New Roman" w:hAnsi="Times New Roman" w:cs="Times New Roman"/>
          <w:sz w:val="24"/>
        </w:rPr>
      </w:pPr>
      <w:bookmarkStart w:id="94" w:name="_Toc29994537"/>
      <w:r w:rsidRPr="00D85C65">
        <w:rPr>
          <w:rFonts w:ascii="Times New Roman" w:hAnsi="Times New Roman"/>
          <w:sz w:val="24"/>
          <w:u w:val="none"/>
        </w:rPr>
        <w:t>5.4.2.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235D9D" w:rsidRPr="00D85C65" w14:paraId="0D1FD3F9" w14:textId="77777777" w:rsidTr="00672D2A">
        <w:trPr>
          <w:trHeight w:val="626"/>
        </w:trPr>
        <w:tc>
          <w:tcPr>
            <w:tcW w:w="8862" w:type="dxa"/>
            <w:gridSpan w:val="2"/>
            <w:shd w:val="clear" w:color="auto" w:fill="CCCCCC"/>
          </w:tcPr>
          <w:p w14:paraId="4E32C797"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44C5D299" w14:textId="77777777" w:rsidTr="00672D2A">
        <w:tc>
          <w:tcPr>
            <w:tcW w:w="988" w:type="dxa"/>
          </w:tcPr>
          <w:p w14:paraId="1913A6AA"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 – 020</w:t>
            </w:r>
          </w:p>
        </w:tc>
        <w:tc>
          <w:tcPr>
            <w:tcW w:w="7874" w:type="dxa"/>
          </w:tcPr>
          <w:p w14:paraId="21ED8BDF" w14:textId="77777777"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b/>
                <w:bCs/>
                <w:sz w:val="24"/>
                <w:u w:val="single"/>
              </w:rPr>
              <w:t>VŠETKY POZÍCIE (DLHÉ A KRÁTKE)</w:t>
            </w:r>
          </w:p>
          <w:p w14:paraId="00451489" w14:textId="612E4D19" w:rsid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Článok 102</w:t>
            </w:r>
            <w:r w:rsidR="00D85C65">
              <w:rPr>
                <w:rFonts w:ascii="Times New Roman" w:hAnsi="Times New Roman"/>
                <w:sz w:val="24"/>
              </w:rPr>
              <w:t xml:space="preserve"> a </w:t>
            </w:r>
            <w:r w:rsidRPr="00D85C65">
              <w:rPr>
                <w:rFonts w:ascii="Times New Roman" w:hAnsi="Times New Roman"/>
                <w:sz w:val="24"/>
              </w:rPr>
              <w:t>článok 105 ods. 1 CRR</w:t>
            </w:r>
            <w:r w:rsidR="00D85C65">
              <w:rPr>
                <w:rFonts w:ascii="Times New Roman" w:hAnsi="Times New Roman"/>
                <w:sz w:val="24"/>
              </w:rPr>
              <w:t>.</w:t>
            </w:r>
          </w:p>
          <w:p w14:paraId="46B910C9" w14:textId="4DD5F375"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Sú to hrubé pozície bez započítania nástrojov, ale bez pozícií</w:t>
            </w:r>
            <w:r w:rsidR="00D85C65">
              <w:rPr>
                <w:rFonts w:ascii="Times New Roman" w:hAnsi="Times New Roman"/>
                <w:sz w:val="24"/>
              </w:rPr>
              <w:t xml:space="preserve"> z </w:t>
            </w:r>
            <w:r w:rsidRPr="00D85C65">
              <w:rPr>
                <w:rFonts w:ascii="Times New Roman" w:hAnsi="Times New Roman"/>
                <w:sz w:val="24"/>
              </w:rPr>
              <w:t xml:space="preserve">upísania, ktoré sú upísané alebo podupísané tretími osobami podľa článku 345 ods. 1 prvého pododseku druhej vety CRR. </w:t>
            </w:r>
          </w:p>
        </w:tc>
      </w:tr>
      <w:tr w:rsidR="00235D9D" w:rsidRPr="00D85C65" w14:paraId="5BB4F368" w14:textId="77777777" w:rsidTr="00672D2A">
        <w:tc>
          <w:tcPr>
            <w:tcW w:w="988" w:type="dxa"/>
          </w:tcPr>
          <w:p w14:paraId="742D20C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030 – 040 </w:t>
            </w:r>
          </w:p>
        </w:tc>
        <w:tc>
          <w:tcPr>
            <w:tcW w:w="7874" w:type="dxa"/>
          </w:tcPr>
          <w:p w14:paraId="024F736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ČISTÉ POZÍCIE (DLHÉ A KRÁTKE)</w:t>
            </w:r>
          </w:p>
          <w:p w14:paraId="60CE0C26" w14:textId="5AB7E5D4"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Články 327, 329, 332, 341</w:t>
            </w:r>
            <w:r w:rsidR="00D85C65">
              <w:rPr>
                <w:rFonts w:ascii="Times New Roman" w:hAnsi="Times New Roman"/>
                <w:sz w:val="24"/>
              </w:rPr>
              <w:t xml:space="preserve"> a </w:t>
            </w:r>
            <w:r w:rsidRPr="00D85C65">
              <w:rPr>
                <w:rFonts w:ascii="Times New Roman" w:hAnsi="Times New Roman"/>
                <w:sz w:val="24"/>
              </w:rPr>
              <w:t xml:space="preserve">345 CRR. </w:t>
            </w:r>
          </w:p>
        </w:tc>
      </w:tr>
      <w:tr w:rsidR="00235D9D" w:rsidRPr="00D85C65" w14:paraId="6D268F9B" w14:textId="77777777" w:rsidTr="00672D2A">
        <w:tc>
          <w:tcPr>
            <w:tcW w:w="988" w:type="dxa"/>
          </w:tcPr>
          <w:p w14:paraId="47EAC24F"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w:t>
            </w:r>
          </w:p>
        </w:tc>
        <w:tc>
          <w:tcPr>
            <w:tcW w:w="7874" w:type="dxa"/>
          </w:tcPr>
          <w:p w14:paraId="142D2F43" w14:textId="77777777" w:rsidR="00235D9D" w:rsidRPr="00D85C65" w:rsidRDefault="000B0B09">
            <w:pPr>
              <w:tabs>
                <w:tab w:val="left" w:pos="579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NA KTORÉ SA VZŤAHUJE KAPITÁLOVÁ POŽIADAVKA</w:t>
            </w:r>
          </w:p>
          <w:p w14:paraId="17FCE457" w14:textId="18176AA9"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lastRenderedPageBreak/>
              <w:t>Čisté pozície, na ktoré sa podľa rôznych prístupov</w:t>
            </w:r>
            <w:r w:rsidR="00D85C65">
              <w:rPr>
                <w:rFonts w:ascii="Times New Roman" w:hAnsi="Times New Roman"/>
                <w:sz w:val="24"/>
              </w:rPr>
              <w:t xml:space="preserve"> v </w:t>
            </w:r>
            <w:r w:rsidRPr="00D85C65">
              <w:rPr>
                <w:rFonts w:ascii="Times New Roman" w:hAnsi="Times New Roman"/>
                <w:sz w:val="24"/>
              </w:rPr>
              <w:t>tretej časti hlave IV kapitole 2 CRR vzťahuje kapitálová požiadavka. Kapitálová požiadavka sa počíta samostatne pre každý vnútroštátny trh. Do tohto stĺpca sa podľa článku 344 ods. 4 druhej vety CRR nezahŕňajú pozície vo futures na akciový index.</w:t>
            </w:r>
          </w:p>
          <w:p w14:paraId="5BD09D12"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1A0ACA66" w14:textId="77777777" w:rsidTr="00672D2A">
        <w:tc>
          <w:tcPr>
            <w:tcW w:w="988" w:type="dxa"/>
          </w:tcPr>
          <w:p w14:paraId="7B6025DD"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060</w:t>
            </w:r>
          </w:p>
        </w:tc>
        <w:tc>
          <w:tcPr>
            <w:tcW w:w="7874" w:type="dxa"/>
          </w:tcPr>
          <w:p w14:paraId="32999987"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POŽIADAVKY NA VLASTNÉ ZDROJE</w:t>
            </w:r>
          </w:p>
          <w:p w14:paraId="2776CC3D" w14:textId="6A9455FF"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t>Požiadavka na vlastné zdroje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2 CRR pre akúkoľvek relevantnú pozíciu.</w:t>
            </w:r>
          </w:p>
          <w:p w14:paraId="1386161B" w14:textId="77777777" w:rsidR="00235D9D" w:rsidRPr="00D85C65" w:rsidRDefault="00235D9D">
            <w:pPr>
              <w:tabs>
                <w:tab w:val="left" w:pos="1665"/>
              </w:tabs>
              <w:autoSpaceDE w:val="0"/>
              <w:autoSpaceDN w:val="0"/>
              <w:adjustRightInd w:val="0"/>
              <w:spacing w:before="0" w:after="0"/>
              <w:rPr>
                <w:rFonts w:ascii="Times New Roman" w:hAnsi="Times New Roman"/>
                <w:b/>
                <w:bCs/>
                <w:sz w:val="24"/>
                <w:u w:val="single"/>
              </w:rPr>
            </w:pPr>
          </w:p>
        </w:tc>
      </w:tr>
      <w:tr w:rsidR="00235D9D" w:rsidRPr="00D85C65" w14:paraId="16CCEF26" w14:textId="77777777" w:rsidTr="00672D2A">
        <w:tc>
          <w:tcPr>
            <w:tcW w:w="988" w:type="dxa"/>
          </w:tcPr>
          <w:p w14:paraId="2B03749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874" w:type="dxa"/>
          </w:tcPr>
          <w:p w14:paraId="3E9B730F"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RIZIKOVÝCH EXPOZÍCIÍ</w:t>
            </w:r>
          </w:p>
          <w:p w14:paraId="080AD8A2" w14:textId="77777777" w:rsidR="00D85C65" w:rsidRDefault="00D21B29">
            <w:pPr>
              <w:tabs>
                <w:tab w:val="left" w:pos="1665"/>
              </w:tabs>
              <w:autoSpaceDE w:val="0"/>
              <w:autoSpaceDN w:val="0"/>
              <w:adjustRightInd w:val="0"/>
              <w:spacing w:after="0"/>
              <w:rPr>
                <w:rFonts w:ascii="Times New Roman" w:hAnsi="Times New Roman"/>
                <w:sz w:val="24"/>
              </w:rPr>
            </w:pPr>
            <w:r w:rsidRPr="00D85C65">
              <w:rPr>
                <w:rFonts w:ascii="Times New Roman" w:hAnsi="Times New Roman"/>
                <w:sz w:val="24"/>
              </w:rPr>
              <w:t>Článok 92 ods. 4 písm. b) CRR</w:t>
            </w:r>
            <w:r w:rsidR="00D85C65">
              <w:rPr>
                <w:rFonts w:ascii="Times New Roman" w:hAnsi="Times New Roman"/>
                <w:sz w:val="24"/>
              </w:rPr>
              <w:t>.</w:t>
            </w:r>
          </w:p>
          <w:p w14:paraId="0AD48A5E" w14:textId="753186BC" w:rsidR="00235D9D" w:rsidRPr="00D85C65" w:rsidRDefault="000B0B09">
            <w:pPr>
              <w:tabs>
                <w:tab w:val="left" w:pos="1665"/>
              </w:tabs>
              <w:autoSpaceDE w:val="0"/>
              <w:autoSpaceDN w:val="0"/>
              <w:adjustRightInd w:val="0"/>
              <w:spacing w:after="0"/>
              <w:rPr>
                <w:rFonts w:ascii="Times New Roman" w:hAnsi="Times New Roman"/>
                <w:b/>
                <w:bCs/>
                <w:sz w:val="24"/>
                <w:u w:val="single"/>
              </w:rPr>
            </w:pPr>
            <w:r w:rsidRPr="00D85C65">
              <w:rPr>
                <w:rFonts w:ascii="Times New Roman" w:hAnsi="Times New Roman"/>
                <w:sz w:val="24"/>
              </w:rPr>
              <w:t xml:space="preserve">Výsledok vynásobenia požiadaviek na vlastné zdroje koeficientom 12,5. </w:t>
            </w:r>
          </w:p>
        </w:tc>
      </w:tr>
    </w:tbl>
    <w:p w14:paraId="4EFF44B8" w14:textId="77777777" w:rsidR="00235D9D" w:rsidRPr="00D85C65" w:rsidRDefault="00235D9D">
      <w:pPr>
        <w:autoSpaceDE w:val="0"/>
        <w:autoSpaceDN w:val="0"/>
        <w:adjustRightInd w:val="0"/>
        <w:spacing w:before="0" w:after="0"/>
        <w:rPr>
          <w:rFonts w:ascii="Times New Roman" w:hAnsi="Times New Roman"/>
          <w:sz w:val="24"/>
        </w:rPr>
      </w:pPr>
    </w:p>
    <w:p w14:paraId="31FC1E5C" w14:textId="77777777" w:rsidR="00235D9D" w:rsidRPr="00D85C65" w:rsidRDefault="00235D9D">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8064"/>
      </w:tblGrid>
      <w:tr w:rsidR="00235D9D" w:rsidRPr="00D85C65" w14:paraId="2BF596AB" w14:textId="77777777" w:rsidTr="00672D2A">
        <w:trPr>
          <w:trHeight w:val="662"/>
        </w:trPr>
        <w:tc>
          <w:tcPr>
            <w:tcW w:w="9212" w:type="dxa"/>
            <w:gridSpan w:val="2"/>
            <w:shd w:val="clear" w:color="auto" w:fill="CCCCCC"/>
          </w:tcPr>
          <w:p w14:paraId="30258F42"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53CC4F42" w14:textId="77777777" w:rsidTr="00672D2A">
        <w:tc>
          <w:tcPr>
            <w:tcW w:w="1008" w:type="dxa"/>
          </w:tcPr>
          <w:p w14:paraId="07A1E0BC"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 – 130</w:t>
            </w:r>
          </w:p>
        </w:tc>
        <w:tc>
          <w:tcPr>
            <w:tcW w:w="8204" w:type="dxa"/>
          </w:tcPr>
          <w:p w14:paraId="68375221" w14:textId="541E2851"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KAPITÁLOVÉ CENNÉ PAPIERE</w:t>
            </w:r>
            <w:r w:rsidR="00D85C65">
              <w:rPr>
                <w:rFonts w:ascii="Times New Roman" w:hAnsi="Times New Roman"/>
                <w:b/>
                <w:bCs/>
                <w:sz w:val="24"/>
                <w:u w:val="single"/>
              </w:rPr>
              <w:t xml:space="preserve"> V </w:t>
            </w:r>
            <w:r w:rsidRPr="00D85C65">
              <w:rPr>
                <w:rFonts w:ascii="Times New Roman" w:hAnsi="Times New Roman"/>
                <w:b/>
                <w:bCs/>
                <w:sz w:val="24"/>
                <w:u w:val="single"/>
              </w:rPr>
              <w:t>OBCHODNEJ KNIHE</w:t>
            </w:r>
          </w:p>
          <w:p w14:paraId="2D56A0EB" w14:textId="77777777" w:rsidR="00235D9D" w:rsidRPr="00D85C65" w:rsidRDefault="00235D9D">
            <w:pPr>
              <w:autoSpaceDE w:val="0"/>
              <w:autoSpaceDN w:val="0"/>
              <w:adjustRightInd w:val="0"/>
              <w:spacing w:before="0" w:after="0"/>
              <w:rPr>
                <w:rFonts w:ascii="Times New Roman" w:hAnsi="Times New Roman"/>
                <w:sz w:val="24"/>
              </w:rPr>
            </w:pPr>
          </w:p>
          <w:p w14:paraId="6F68248B" w14:textId="7710AAC6"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Požiadavky na vlastné zdroje pre pozičné riziko podľa článku 92 ods. 3 písm. b) bodu i) CRR</w:t>
            </w:r>
            <w:r w:rsidR="00D85C65">
              <w:rPr>
                <w:rFonts w:ascii="Times New Roman" w:hAnsi="Times New Roman"/>
                <w:sz w:val="24"/>
              </w:rPr>
              <w:t xml:space="preserve"> a </w:t>
            </w:r>
            <w:r w:rsidRPr="00D85C65">
              <w:rPr>
                <w:rFonts w:ascii="Times New Roman" w:hAnsi="Times New Roman"/>
                <w:sz w:val="24"/>
              </w:rPr>
              <w:t>tretej časti hlavy IV kapitoly 2 oddielu 3 CRR.</w:t>
            </w:r>
          </w:p>
          <w:p w14:paraId="33C626D4"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0D311520" w14:textId="77777777" w:rsidTr="00672D2A">
        <w:tc>
          <w:tcPr>
            <w:tcW w:w="1008" w:type="dxa"/>
          </w:tcPr>
          <w:p w14:paraId="6009725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 – 040</w:t>
            </w:r>
          </w:p>
        </w:tc>
        <w:tc>
          <w:tcPr>
            <w:tcW w:w="8204" w:type="dxa"/>
          </w:tcPr>
          <w:p w14:paraId="6573510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VŠEOBECNÉ RIZIKO</w:t>
            </w:r>
          </w:p>
          <w:p w14:paraId="20B8FBBD" w14:textId="6E16A714"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kapitálových cenných papieroch, ktoré sú vystavené všeobecnému riziku (článok 343 CRR),</w:t>
            </w:r>
            <w:r w:rsidR="00D85C65">
              <w:rPr>
                <w:rFonts w:ascii="Times New Roman" w:hAnsi="Times New Roman"/>
                <w:sz w:val="24"/>
              </w:rPr>
              <w:t xml:space="preserve"> a </w:t>
            </w:r>
            <w:r w:rsidRPr="00D85C65">
              <w:rPr>
                <w:rFonts w:ascii="Times New Roman" w:hAnsi="Times New Roman"/>
                <w:sz w:val="24"/>
              </w:rPr>
              <w:t>ich zodpovedajúca požiadavka na vlastné zdroje podľa tretej časti hlavy IV kapitoly 2 oddielu 3 CRR.</w:t>
            </w:r>
          </w:p>
          <w:p w14:paraId="1BFE1CA0" w14:textId="77777777"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Obidve rozčlenenia (021/022 aj 030/040) sú rozčlenenia týkajúce sa všetkých pozícií vystavených všeobecnému riziku.</w:t>
            </w:r>
          </w:p>
          <w:p w14:paraId="6C722B46" w14:textId="11B17135"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V riadkoch 021</w:t>
            </w:r>
            <w:r w:rsidR="00D85C65">
              <w:rPr>
                <w:rFonts w:ascii="Times New Roman" w:hAnsi="Times New Roman"/>
                <w:sz w:val="24"/>
              </w:rPr>
              <w:t xml:space="preserve"> a </w:t>
            </w:r>
            <w:r w:rsidRPr="00D85C65">
              <w:rPr>
                <w:rFonts w:ascii="Times New Roman" w:hAnsi="Times New Roman"/>
                <w:sz w:val="24"/>
              </w:rPr>
              <w:t>022 sa vyžadujú informácie</w:t>
            </w:r>
            <w:r w:rsidR="00D85C65">
              <w:rPr>
                <w:rFonts w:ascii="Times New Roman" w:hAnsi="Times New Roman"/>
                <w:sz w:val="24"/>
              </w:rPr>
              <w:t xml:space="preserve"> o </w:t>
            </w:r>
            <w:r w:rsidRPr="00D85C65">
              <w:rPr>
                <w:rFonts w:ascii="Times New Roman" w:hAnsi="Times New Roman"/>
                <w:sz w:val="24"/>
              </w:rPr>
              <w:t>rozčlenení podľa nástrojov</w:t>
            </w:r>
            <w:r w:rsidR="00D85C65">
              <w:rPr>
                <w:rFonts w:ascii="Times New Roman" w:hAnsi="Times New Roman"/>
                <w:sz w:val="24"/>
              </w:rPr>
              <w:t>.</w:t>
            </w:r>
          </w:p>
          <w:p w14:paraId="16A2D7C2" w14:textId="39347CC6"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Ako základ na výpočet požiadaviek na vlastné zdroje sa používa len rozčlenenie</w:t>
            </w:r>
            <w:r w:rsidR="00D85C65">
              <w:rPr>
                <w:rFonts w:ascii="Times New Roman" w:hAnsi="Times New Roman"/>
                <w:sz w:val="24"/>
              </w:rPr>
              <w:t xml:space="preserve"> v </w:t>
            </w:r>
            <w:r w:rsidRPr="00D85C65">
              <w:rPr>
                <w:rFonts w:ascii="Times New Roman" w:hAnsi="Times New Roman"/>
                <w:sz w:val="24"/>
              </w:rPr>
              <w:t>riadkoch 030</w:t>
            </w:r>
            <w:r w:rsidR="00D85C65">
              <w:rPr>
                <w:rFonts w:ascii="Times New Roman" w:hAnsi="Times New Roman"/>
                <w:sz w:val="24"/>
              </w:rPr>
              <w:t xml:space="preserve"> a </w:t>
            </w:r>
            <w:r w:rsidRPr="00D85C65">
              <w:rPr>
                <w:rFonts w:ascii="Times New Roman" w:hAnsi="Times New Roman"/>
                <w:sz w:val="24"/>
              </w:rPr>
              <w:t>040.</w:t>
            </w:r>
          </w:p>
          <w:p w14:paraId="13826A34"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5713A497" w14:textId="77777777" w:rsidTr="00672D2A">
        <w:tc>
          <w:tcPr>
            <w:tcW w:w="1008" w:type="dxa"/>
          </w:tcPr>
          <w:p w14:paraId="2F04325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021</w:t>
            </w:r>
          </w:p>
        </w:tc>
        <w:tc>
          <w:tcPr>
            <w:tcW w:w="8204" w:type="dxa"/>
          </w:tcPr>
          <w:p w14:paraId="4F0CFF98" w14:textId="77777777" w:rsidR="00235D9D" w:rsidRPr="00D85C65" w:rsidRDefault="000B0B09">
            <w:pPr>
              <w:autoSpaceDE w:val="0"/>
              <w:autoSpaceDN w:val="0"/>
              <w:adjustRightInd w:val="0"/>
              <w:spacing w:before="0" w:after="0"/>
              <w:rPr>
                <w:rFonts w:ascii="Times New Roman" w:hAnsi="Times New Roman"/>
                <w:b/>
                <w:sz w:val="24"/>
                <w:u w:val="single"/>
              </w:rPr>
            </w:pPr>
            <w:r w:rsidRPr="00D85C65">
              <w:rPr>
                <w:rFonts w:ascii="Times New Roman" w:hAnsi="Times New Roman"/>
                <w:b/>
                <w:sz w:val="24"/>
                <w:u w:val="single"/>
              </w:rPr>
              <w:t>Deriváty</w:t>
            </w:r>
          </w:p>
          <w:p w14:paraId="2BAE4180" w14:textId="768C4AB4"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Deriváty zahrnuté vo výpočte kapitálového rizika pozícií</w:t>
            </w:r>
            <w:r w:rsidR="00D85C65">
              <w:rPr>
                <w:rFonts w:ascii="Times New Roman" w:hAnsi="Times New Roman"/>
                <w:sz w:val="24"/>
              </w:rPr>
              <w:t xml:space="preserve"> v </w:t>
            </w:r>
            <w:r w:rsidRPr="00D85C65">
              <w:rPr>
                <w:rFonts w:ascii="Times New Roman" w:hAnsi="Times New Roman"/>
                <w:sz w:val="24"/>
              </w:rPr>
              <w:t>obchodnej knihe so zohľadnením článkov 329</w:t>
            </w:r>
            <w:r w:rsidR="00D85C65">
              <w:rPr>
                <w:rFonts w:ascii="Times New Roman" w:hAnsi="Times New Roman"/>
                <w:sz w:val="24"/>
              </w:rPr>
              <w:t xml:space="preserve"> a </w:t>
            </w:r>
            <w:r w:rsidRPr="00D85C65">
              <w:rPr>
                <w:rFonts w:ascii="Times New Roman" w:hAnsi="Times New Roman"/>
                <w:sz w:val="24"/>
              </w:rPr>
              <w:t>332 CRR, ak sú uplatniteľné.</w:t>
            </w:r>
          </w:p>
        </w:tc>
      </w:tr>
      <w:tr w:rsidR="00235D9D" w:rsidRPr="00D85C65" w14:paraId="6B052FFA" w14:textId="77777777" w:rsidTr="00672D2A">
        <w:tc>
          <w:tcPr>
            <w:tcW w:w="1008" w:type="dxa"/>
          </w:tcPr>
          <w:p w14:paraId="279E0D93"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022</w:t>
            </w:r>
          </w:p>
        </w:tc>
        <w:tc>
          <w:tcPr>
            <w:tcW w:w="8204" w:type="dxa"/>
          </w:tcPr>
          <w:p w14:paraId="757B7646" w14:textId="40B85262" w:rsidR="00235D9D" w:rsidRPr="00D85C65" w:rsidRDefault="000B0B09">
            <w:pPr>
              <w:autoSpaceDE w:val="0"/>
              <w:autoSpaceDN w:val="0"/>
              <w:adjustRightInd w:val="0"/>
              <w:spacing w:before="0" w:after="0"/>
              <w:rPr>
                <w:rFonts w:ascii="Times New Roman" w:hAnsi="Times New Roman"/>
                <w:b/>
                <w:sz w:val="24"/>
                <w:u w:val="single"/>
              </w:rPr>
            </w:pPr>
            <w:r w:rsidRPr="00D85C65">
              <w:rPr>
                <w:rFonts w:ascii="Times New Roman" w:hAnsi="Times New Roman"/>
                <w:b/>
                <w:sz w:val="24"/>
                <w:u w:val="single"/>
              </w:rPr>
              <w:t>Iné aktíva</w:t>
            </w:r>
            <w:r w:rsidR="00D85C65">
              <w:rPr>
                <w:rFonts w:ascii="Times New Roman" w:hAnsi="Times New Roman"/>
                <w:b/>
                <w:sz w:val="24"/>
                <w:u w:val="single"/>
              </w:rPr>
              <w:t xml:space="preserve"> a </w:t>
            </w:r>
            <w:r w:rsidRPr="00D85C65">
              <w:rPr>
                <w:rFonts w:ascii="Times New Roman" w:hAnsi="Times New Roman"/>
                <w:b/>
                <w:sz w:val="24"/>
                <w:u w:val="single"/>
              </w:rPr>
              <w:t>záväzky</w:t>
            </w:r>
          </w:p>
          <w:p w14:paraId="0C210D3A" w14:textId="39C4E930"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Nástroje iné než deriváty zahrnuté vo výpočte kapitálového rizika pozícií</w:t>
            </w:r>
            <w:r w:rsidR="00D85C65">
              <w:rPr>
                <w:rFonts w:ascii="Times New Roman" w:hAnsi="Times New Roman"/>
                <w:sz w:val="24"/>
              </w:rPr>
              <w:t xml:space="preserve"> v </w:t>
            </w:r>
            <w:r w:rsidRPr="00D85C65">
              <w:rPr>
                <w:rFonts w:ascii="Times New Roman" w:hAnsi="Times New Roman"/>
                <w:sz w:val="24"/>
              </w:rPr>
              <w:t xml:space="preserve">obchodnej knihe. </w:t>
            </w:r>
          </w:p>
        </w:tc>
      </w:tr>
      <w:tr w:rsidR="00235D9D" w:rsidRPr="00D85C65" w14:paraId="0BFC1543" w14:textId="77777777" w:rsidTr="00672D2A">
        <w:tc>
          <w:tcPr>
            <w:tcW w:w="1008" w:type="dxa"/>
          </w:tcPr>
          <w:p w14:paraId="410E75B8"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030</w:t>
            </w:r>
          </w:p>
        </w:tc>
        <w:tc>
          <w:tcPr>
            <w:tcW w:w="8204" w:type="dxa"/>
          </w:tcPr>
          <w:p w14:paraId="62C6DCE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Značne diverzifikované futures na akciový index obchodované na burze, na ktoré sa uplatňuje osobitný prístup</w:t>
            </w:r>
          </w:p>
          <w:p w14:paraId="02154138" w14:textId="77777777" w:rsidR="00235D9D" w:rsidRPr="00D85C65" w:rsidRDefault="00235D9D">
            <w:pPr>
              <w:autoSpaceDE w:val="0"/>
              <w:autoSpaceDN w:val="0"/>
              <w:adjustRightInd w:val="0"/>
              <w:spacing w:before="0" w:after="0"/>
              <w:rPr>
                <w:rFonts w:ascii="Times New Roman" w:hAnsi="Times New Roman"/>
                <w:sz w:val="24"/>
              </w:rPr>
            </w:pPr>
          </w:p>
          <w:p w14:paraId="0473B6C6" w14:textId="4ABE316F"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Značne diverzifikované futures na akciový index obchodované na burze, na ktoré sa uplatňuje osobitný prístup</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vykonáv</w:t>
            </w:r>
            <w:r w:rsidR="00E13EA5">
              <w:rPr>
                <w:rFonts w:ascii="Times New Roman" w:hAnsi="Times New Roman"/>
                <w:sz w:val="24"/>
              </w:rPr>
              <w:t>acím nariadením Komisie (EÚ) č. </w:t>
            </w:r>
            <w:r w:rsidRPr="00D85C65">
              <w:rPr>
                <w:rFonts w:ascii="Times New Roman" w:hAnsi="Times New Roman"/>
                <w:sz w:val="24"/>
              </w:rPr>
              <w:t>945/2014.</w:t>
            </w:r>
            <w:r w:rsidRPr="00530AC2">
              <w:rPr>
                <w:rStyle w:val="FootnoteReference"/>
                <w:rFonts w:ascii="Times New Roman" w:hAnsi="Times New Roman"/>
                <w:sz w:val="20"/>
                <w:szCs w:val="20"/>
              </w:rPr>
              <w:footnoteReference w:id="16"/>
            </w:r>
          </w:p>
          <w:p w14:paraId="770167E8" w14:textId="200CCCD3"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Tieto pozície sú vystavené len všeobecnému riziku,</w:t>
            </w:r>
            <w:r w:rsidR="00D85C65">
              <w:rPr>
                <w:rFonts w:ascii="Times New Roman" w:hAnsi="Times New Roman"/>
                <w:sz w:val="24"/>
              </w:rPr>
              <w:t xml:space="preserve"> a </w:t>
            </w:r>
            <w:r w:rsidRPr="00D85C65">
              <w:rPr>
                <w:rFonts w:ascii="Times New Roman" w:hAnsi="Times New Roman"/>
                <w:sz w:val="24"/>
              </w:rPr>
              <w:t>preto sa nesmú vykazovať</w:t>
            </w:r>
            <w:r w:rsidR="00D85C65">
              <w:rPr>
                <w:rFonts w:ascii="Times New Roman" w:hAnsi="Times New Roman"/>
                <w:sz w:val="24"/>
              </w:rPr>
              <w:t xml:space="preserve"> v </w:t>
            </w:r>
            <w:r w:rsidRPr="00D85C65">
              <w:rPr>
                <w:rFonts w:ascii="Times New Roman" w:hAnsi="Times New Roman"/>
                <w:sz w:val="24"/>
              </w:rPr>
              <w:t>riadku 050.</w:t>
            </w:r>
          </w:p>
        </w:tc>
      </w:tr>
      <w:tr w:rsidR="00235D9D" w:rsidRPr="00D85C65" w14:paraId="75CC6FFE" w14:textId="77777777" w:rsidTr="00672D2A">
        <w:tc>
          <w:tcPr>
            <w:tcW w:w="1008" w:type="dxa"/>
          </w:tcPr>
          <w:p w14:paraId="60C8670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040</w:t>
            </w:r>
          </w:p>
        </w:tc>
        <w:tc>
          <w:tcPr>
            <w:tcW w:w="8204" w:type="dxa"/>
          </w:tcPr>
          <w:p w14:paraId="03267B60"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Kapitálové cenné papiere iné než značne diverzifikované futures na akciový index obchodované na burze</w:t>
            </w:r>
          </w:p>
          <w:p w14:paraId="2137D3FE" w14:textId="62BA0EB9"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Iné pozície</w:t>
            </w:r>
            <w:r w:rsidR="00D85C65">
              <w:rPr>
                <w:rFonts w:ascii="Times New Roman" w:hAnsi="Times New Roman"/>
                <w:sz w:val="24"/>
              </w:rPr>
              <w:t xml:space="preserve"> v </w:t>
            </w:r>
            <w:r w:rsidRPr="00D85C65">
              <w:rPr>
                <w:rFonts w:ascii="Times New Roman" w:hAnsi="Times New Roman"/>
                <w:sz w:val="24"/>
              </w:rPr>
              <w:t>kapitálových cenných papieroch, ktoré sú vystavené špecifickému riziku,</w:t>
            </w:r>
            <w:r w:rsidR="00D85C65">
              <w:rPr>
                <w:rFonts w:ascii="Times New Roman" w:hAnsi="Times New Roman"/>
                <w:sz w:val="24"/>
              </w:rPr>
              <w:t xml:space="preserve"> a </w:t>
            </w:r>
            <w:r w:rsidRPr="00D85C65">
              <w:rPr>
                <w:rFonts w:ascii="Times New Roman" w:hAnsi="Times New Roman"/>
                <w:sz w:val="24"/>
              </w:rPr>
              <w:t>zodpovedajúce požiadavky na vlastné zdroje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343 CRR vrátane pozícií vo futures na akciový index,</w:t>
            </w:r>
            <w:r w:rsidR="00D85C65">
              <w:rPr>
                <w:rFonts w:ascii="Times New Roman" w:hAnsi="Times New Roman"/>
                <w:sz w:val="24"/>
              </w:rPr>
              <w:t xml:space="preserve"> s </w:t>
            </w:r>
            <w:r w:rsidRPr="00D85C65">
              <w:rPr>
                <w:rFonts w:ascii="Times New Roman" w:hAnsi="Times New Roman"/>
                <w:sz w:val="24"/>
              </w:rPr>
              <w:t>ktorými sa zaobchádza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344 ods. 3 CRR. </w:t>
            </w:r>
          </w:p>
        </w:tc>
      </w:tr>
      <w:tr w:rsidR="00235D9D" w:rsidRPr="00D85C65" w14:paraId="60F1FFCE" w14:textId="77777777" w:rsidTr="00672D2A">
        <w:tc>
          <w:tcPr>
            <w:tcW w:w="1008" w:type="dxa"/>
          </w:tcPr>
          <w:p w14:paraId="3EF1505F"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050 </w:t>
            </w:r>
          </w:p>
        </w:tc>
        <w:tc>
          <w:tcPr>
            <w:tcW w:w="8204" w:type="dxa"/>
          </w:tcPr>
          <w:p w14:paraId="4AA511F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ŠPECIFICKÉ RIZIKO</w:t>
            </w:r>
          </w:p>
          <w:p w14:paraId="24761435" w14:textId="52E62D90"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kapitálových cenných papieroch, ktoré sú vystavené špecifickému riziku,</w:t>
            </w:r>
            <w:r w:rsidR="00D85C65">
              <w:rPr>
                <w:rFonts w:ascii="Times New Roman" w:hAnsi="Times New Roman"/>
                <w:sz w:val="24"/>
              </w:rPr>
              <w:t xml:space="preserve"> a </w:t>
            </w:r>
            <w:r w:rsidRPr="00D85C65">
              <w:rPr>
                <w:rFonts w:ascii="Times New Roman" w:hAnsi="Times New Roman"/>
                <w:sz w:val="24"/>
              </w:rPr>
              <w:t>zodpovedajúca požiadavka na vlastné zdroje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342 CRR, okrem pozícií vo futures na akciový index,</w:t>
            </w:r>
            <w:r w:rsidR="00D85C65">
              <w:rPr>
                <w:rFonts w:ascii="Times New Roman" w:hAnsi="Times New Roman"/>
                <w:sz w:val="24"/>
              </w:rPr>
              <w:t xml:space="preserve"> s </w:t>
            </w:r>
            <w:r w:rsidRPr="00D85C65">
              <w:rPr>
                <w:rFonts w:ascii="Times New Roman" w:hAnsi="Times New Roman"/>
                <w:sz w:val="24"/>
              </w:rPr>
              <w:t>ktorými sa zaobchádza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344 ods. 4 druhou vetou CRR. </w:t>
            </w:r>
          </w:p>
        </w:tc>
      </w:tr>
      <w:tr w:rsidR="00235D9D" w:rsidRPr="00D85C65" w14:paraId="605363C2" w14:textId="77777777" w:rsidTr="00672D2A">
        <w:tc>
          <w:tcPr>
            <w:tcW w:w="1008" w:type="dxa"/>
          </w:tcPr>
          <w:p w14:paraId="3EEF77C6"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 – 130</w:t>
            </w:r>
          </w:p>
        </w:tc>
        <w:tc>
          <w:tcPr>
            <w:tcW w:w="8204" w:type="dxa"/>
          </w:tcPr>
          <w:p w14:paraId="03D2BD07"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Style w:val="InstructionsTabelleberschrift"/>
                <w:rFonts w:ascii="Times New Roman" w:hAnsi="Times New Roman"/>
                <w:sz w:val="24"/>
              </w:rPr>
              <w:t>DODATOČNÉ POŽIADAVKY PRE OPCIE (RIZIKÁ INÉ NEŽ DELTA)</w:t>
            </w:r>
          </w:p>
          <w:p w14:paraId="72A14FFA" w14:textId="2CC0EA7F" w:rsidR="00D85C65" w:rsidRDefault="00F2521E">
            <w:pPr>
              <w:autoSpaceDE w:val="0"/>
              <w:autoSpaceDN w:val="0"/>
              <w:adjustRightInd w:val="0"/>
              <w:rPr>
                <w:rFonts w:ascii="Times New Roman" w:hAnsi="Times New Roman"/>
                <w:sz w:val="24"/>
              </w:rPr>
            </w:pPr>
            <w:r w:rsidRPr="00D85C65">
              <w:rPr>
                <w:rFonts w:ascii="Times New Roman" w:hAnsi="Times New Roman"/>
                <w:sz w:val="24"/>
              </w:rPr>
              <w:t>Článok 329 ods. 2</w:t>
            </w:r>
            <w:r w:rsidR="00D85C65">
              <w:rPr>
                <w:rFonts w:ascii="Times New Roman" w:hAnsi="Times New Roman"/>
                <w:sz w:val="24"/>
              </w:rPr>
              <w:t xml:space="preserve"> a </w:t>
            </w:r>
            <w:r w:rsidRPr="00D85C65">
              <w:rPr>
                <w:rFonts w:ascii="Times New Roman" w:hAnsi="Times New Roman"/>
                <w:sz w:val="24"/>
              </w:rPr>
              <w:t>3 CRR</w:t>
            </w:r>
            <w:r w:rsidR="00D85C65">
              <w:rPr>
                <w:rFonts w:ascii="Times New Roman" w:hAnsi="Times New Roman"/>
                <w:sz w:val="24"/>
              </w:rPr>
              <w:t>.</w:t>
            </w:r>
          </w:p>
          <w:p w14:paraId="13F60611" w14:textId="506001F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Dodatočné požiadavky pre opcie, ktoré súvisia</w:t>
            </w:r>
            <w:r w:rsidR="00D85C65">
              <w:rPr>
                <w:rFonts w:ascii="Times New Roman" w:hAnsi="Times New Roman"/>
                <w:sz w:val="24"/>
              </w:rPr>
              <w:t xml:space="preserve"> s </w:t>
            </w:r>
            <w:r w:rsidRPr="00D85C65">
              <w:rPr>
                <w:rFonts w:ascii="Times New Roman" w:hAnsi="Times New Roman"/>
                <w:sz w:val="24"/>
              </w:rPr>
              <w:t>rizikami inými než delta, sa vykazujú</w:t>
            </w:r>
            <w:r w:rsidR="00D85C65">
              <w:rPr>
                <w:rFonts w:ascii="Times New Roman" w:hAnsi="Times New Roman"/>
                <w:sz w:val="24"/>
              </w:rPr>
              <w:t xml:space="preserve"> v </w:t>
            </w:r>
            <w:r w:rsidRPr="00D85C65">
              <w:rPr>
                <w:rFonts w:ascii="Times New Roman" w:hAnsi="Times New Roman"/>
                <w:sz w:val="24"/>
              </w:rPr>
              <w:t>metóde použitej na ich výpočet.</w:t>
            </w:r>
          </w:p>
        </w:tc>
      </w:tr>
    </w:tbl>
    <w:p w14:paraId="7A270268" w14:textId="77777777" w:rsidR="00235D9D" w:rsidRPr="00D85C65" w:rsidRDefault="00235D9D">
      <w:pPr>
        <w:autoSpaceDE w:val="0"/>
        <w:autoSpaceDN w:val="0"/>
        <w:adjustRightInd w:val="0"/>
        <w:spacing w:before="0" w:after="0"/>
        <w:rPr>
          <w:rFonts w:ascii="Times New Roman" w:hAnsi="Times New Roman"/>
          <w:bCs/>
          <w:sz w:val="24"/>
        </w:rPr>
      </w:pPr>
    </w:p>
    <w:p w14:paraId="4594566D"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95" w:name="_Toc29994538"/>
      <w:r w:rsidRPr="00D85C65">
        <w:rPr>
          <w:rFonts w:ascii="Times New Roman" w:hAnsi="Times New Roman"/>
          <w:sz w:val="24"/>
          <w:u w:val="none"/>
        </w:rPr>
        <w:t>5.5.</w:t>
      </w:r>
      <w:r w:rsidRPr="00D85C65">
        <w:rPr>
          <w:rFonts w:ascii="Times New Roman" w:hAnsi="Times New Roman"/>
          <w:sz w:val="24"/>
          <w:u w:val="none"/>
        </w:rPr>
        <w:tab/>
      </w:r>
      <w:r w:rsidRPr="00D85C65">
        <w:rPr>
          <w:rFonts w:ascii="Times New Roman" w:hAnsi="Times New Roman"/>
          <w:sz w:val="24"/>
        </w:rPr>
        <w:t>C 22.00 – Trhové riziko: Štandardizované prístupy pre devízové riziko (MKR SA FX)</w:t>
      </w:r>
      <w:bookmarkEnd w:id="95"/>
    </w:p>
    <w:p w14:paraId="66C47D2B"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96" w:name="_Toc29994539"/>
      <w:r w:rsidRPr="00D85C65">
        <w:rPr>
          <w:rFonts w:ascii="Times New Roman" w:hAnsi="Times New Roman"/>
          <w:sz w:val="24"/>
          <w:u w:val="none"/>
        </w:rPr>
        <w:t>5.5.1.</w:t>
      </w:r>
      <w:r w:rsidRPr="00D85C65">
        <w:rPr>
          <w:rFonts w:ascii="Times New Roman" w:hAnsi="Times New Roman"/>
          <w:sz w:val="24"/>
          <w:u w:val="none"/>
        </w:rPr>
        <w:tab/>
      </w:r>
      <w:r w:rsidRPr="00D85C65">
        <w:rPr>
          <w:rFonts w:ascii="Times New Roman" w:hAnsi="Times New Roman"/>
          <w:sz w:val="24"/>
        </w:rPr>
        <w:t>Všeobecné poznámky</w:t>
      </w:r>
      <w:bookmarkEnd w:id="96"/>
    </w:p>
    <w:p w14:paraId="1B02D834" w14:textId="28A1E0A1" w:rsidR="00235D9D" w:rsidRPr="00D85C65" w:rsidRDefault="00125707">
      <w:pPr>
        <w:pStyle w:val="InstructionsText2"/>
        <w:numPr>
          <w:ilvl w:val="0"/>
          <w:numId w:val="0"/>
        </w:numPr>
        <w:ind w:left="993"/>
      </w:pPr>
      <w:r w:rsidRPr="00D85C65">
        <w:t>150. Inštitúcie vykazujú informácie</w:t>
      </w:r>
      <w:r w:rsidR="00D85C65">
        <w:t xml:space="preserve"> o </w:t>
      </w:r>
      <w:r w:rsidRPr="00D85C65">
        <w:t>pozíciách</w:t>
      </w:r>
      <w:r w:rsidR="00D85C65">
        <w:t xml:space="preserve"> v </w:t>
      </w:r>
      <w:r w:rsidRPr="00D85C65">
        <w:t>jednotlivých menách (vrátane meny vykazovania)</w:t>
      </w:r>
      <w:r w:rsidR="00D85C65">
        <w:t xml:space="preserve"> a o </w:t>
      </w:r>
      <w:r w:rsidRPr="00D85C65">
        <w:t>zodpovedajúcich požiadavkách na vlastné zdroje pre devízové riziko</w:t>
      </w:r>
      <w:r w:rsidR="00D85C65">
        <w:t xml:space="preserve"> v </w:t>
      </w:r>
      <w:r w:rsidRPr="00D85C65">
        <w:t>rámci štandardizovaného prístupu. Pozícia sa počíta pre každú menu (vrátane EUR), zlato</w:t>
      </w:r>
      <w:r w:rsidR="00D85C65">
        <w:t xml:space="preserve"> a </w:t>
      </w:r>
      <w:r w:rsidRPr="00D85C65">
        <w:t>pozície PKI.</w:t>
      </w:r>
    </w:p>
    <w:p w14:paraId="572D06D9" w14:textId="78E19673" w:rsidR="00235D9D" w:rsidRPr="00D85C65" w:rsidRDefault="00125707">
      <w:pPr>
        <w:pStyle w:val="InstructionsText2"/>
        <w:numPr>
          <w:ilvl w:val="0"/>
          <w:numId w:val="0"/>
        </w:numPr>
        <w:ind w:left="993"/>
      </w:pPr>
      <w:r w:rsidRPr="00D85C65">
        <w:t>151.</w:t>
      </w:r>
      <w:r w:rsidRPr="00D85C65">
        <w:tab/>
        <w:t xml:space="preserve"> Riadky 100 až 480 tohto vzoru sa vykazujú aj vtedy, keď sa od inštitúcií nevyžaduje, aby vypočítavali požiadavky na vlastné zdroje pre devízové riziko podľa článku 351 CRR.</w:t>
      </w:r>
      <w:r w:rsidR="00D85C65">
        <w:t xml:space="preserve"> V </w:t>
      </w:r>
      <w:r w:rsidRPr="00D85C65">
        <w:t>týchto doplňujúcich položkách sú zahrnuté všetky pozície</w:t>
      </w:r>
      <w:r w:rsidR="00D85C65">
        <w:t xml:space="preserve"> v </w:t>
      </w:r>
      <w:r w:rsidRPr="00D85C65">
        <w:t>mene vykazovania bez ohľadu na to, či sa berú do úvahy na účely článku 354 CRR. Riadky 130 až 480 doplňujúcich položiek vzoru sa vypĺňajú samostatne pre všetky meny členských štátov Únie, meny: USD, CHF, JPY, RUB, TRY, AUD, CAD, RSD, ALL, UAH, MKD, EGP, ARS, BRL, MXN, HKD, ICK, TWD, NZD, NOK, SGD, KRW, CNY</w:t>
      </w:r>
      <w:r w:rsidR="00D85C65">
        <w:t xml:space="preserve"> a </w:t>
      </w:r>
      <w:r w:rsidRPr="00D85C65">
        <w:t>všetky ostatné meny.</w:t>
      </w:r>
    </w:p>
    <w:p w14:paraId="756CA95E" w14:textId="1250BF44" w:rsidR="00235D9D" w:rsidRPr="00D85C65" w:rsidRDefault="00125707" w:rsidP="00530AC2">
      <w:pPr>
        <w:pStyle w:val="Instructionsberschrift2"/>
        <w:keepLines/>
        <w:numPr>
          <w:ilvl w:val="0"/>
          <w:numId w:val="0"/>
        </w:numPr>
        <w:ind w:left="357" w:hanging="357"/>
        <w:rPr>
          <w:rFonts w:ascii="Times New Roman" w:hAnsi="Times New Roman" w:cs="Times New Roman"/>
          <w:sz w:val="24"/>
        </w:rPr>
      </w:pPr>
      <w:bookmarkStart w:id="97" w:name="_Toc29994540"/>
      <w:r w:rsidRPr="00D85C65">
        <w:rPr>
          <w:rFonts w:ascii="Times New Roman" w:hAnsi="Times New Roman"/>
          <w:sz w:val="24"/>
          <w:u w:val="none"/>
        </w:rPr>
        <w:lastRenderedPageBreak/>
        <w:t>5.5.2.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235D9D" w:rsidRPr="00D85C65" w14:paraId="7796681E" w14:textId="77777777" w:rsidTr="00672D2A">
        <w:trPr>
          <w:trHeight w:val="595"/>
        </w:trPr>
        <w:tc>
          <w:tcPr>
            <w:tcW w:w="8862" w:type="dxa"/>
            <w:gridSpan w:val="2"/>
            <w:shd w:val="clear" w:color="auto" w:fill="CCCCCC"/>
          </w:tcPr>
          <w:p w14:paraId="64AA629F" w14:textId="77777777" w:rsidR="00235D9D" w:rsidRPr="00D85C65" w:rsidRDefault="000B0B09" w:rsidP="00530AC2">
            <w:pPr>
              <w:keepNext/>
              <w:keepLines/>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48023067" w14:textId="77777777" w:rsidTr="00672D2A">
        <w:tc>
          <w:tcPr>
            <w:tcW w:w="988" w:type="dxa"/>
          </w:tcPr>
          <w:p w14:paraId="6025387D"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 – 030</w:t>
            </w:r>
          </w:p>
          <w:p w14:paraId="0EF4FB57" w14:textId="77777777" w:rsidR="00235D9D" w:rsidRPr="00D85C65" w:rsidRDefault="00235D9D">
            <w:pPr>
              <w:autoSpaceDE w:val="0"/>
              <w:autoSpaceDN w:val="0"/>
              <w:adjustRightInd w:val="0"/>
              <w:spacing w:before="0" w:after="0"/>
              <w:rPr>
                <w:rFonts w:ascii="Times New Roman" w:hAnsi="Times New Roman"/>
                <w:sz w:val="24"/>
              </w:rPr>
            </w:pPr>
          </w:p>
        </w:tc>
        <w:tc>
          <w:tcPr>
            <w:tcW w:w="7874" w:type="dxa"/>
          </w:tcPr>
          <w:p w14:paraId="675AE99B"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VŠETKY POZÍCIE (DLHÉ A KRÁTKE)</w:t>
            </w:r>
          </w:p>
          <w:p w14:paraId="25C0D792" w14:textId="77777777" w:rsidR="00235D9D" w:rsidRPr="00D85C65" w:rsidRDefault="00235D9D">
            <w:pPr>
              <w:autoSpaceDE w:val="0"/>
              <w:autoSpaceDN w:val="0"/>
              <w:adjustRightInd w:val="0"/>
              <w:spacing w:before="0" w:after="0"/>
              <w:rPr>
                <w:rFonts w:ascii="Times New Roman" w:hAnsi="Times New Roman"/>
                <w:sz w:val="24"/>
              </w:rPr>
            </w:pPr>
          </w:p>
          <w:p w14:paraId="721AC3F8" w14:textId="5111A0D3"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Hrubé pozície na základe aktív, súm, ktoré majú byť prijaté,</w:t>
            </w:r>
            <w:r w:rsidR="00D85C65">
              <w:rPr>
                <w:rFonts w:ascii="Times New Roman" w:hAnsi="Times New Roman"/>
                <w:sz w:val="24"/>
              </w:rPr>
              <w:t xml:space="preserve"> a </w:t>
            </w:r>
            <w:r w:rsidRPr="00D85C65">
              <w:rPr>
                <w:rFonts w:ascii="Times New Roman" w:hAnsi="Times New Roman"/>
                <w:sz w:val="24"/>
              </w:rPr>
              <w:t>podobných položiek uvedených</w:t>
            </w:r>
            <w:r w:rsidR="00D85C65">
              <w:rPr>
                <w:rFonts w:ascii="Times New Roman" w:hAnsi="Times New Roman"/>
                <w:sz w:val="24"/>
              </w:rPr>
              <w:t xml:space="preserve"> v </w:t>
            </w:r>
            <w:r w:rsidRPr="00D85C65">
              <w:rPr>
                <w:rFonts w:ascii="Times New Roman" w:hAnsi="Times New Roman"/>
                <w:sz w:val="24"/>
              </w:rPr>
              <w:t>článku 352 ods. 1 CRR.</w:t>
            </w:r>
          </w:p>
          <w:p w14:paraId="07DCE953" w14:textId="6A33DCC5" w:rsidR="00235D9D" w:rsidRPr="00D85C65" w:rsidRDefault="00BB22D4">
            <w:pPr>
              <w:autoSpaceDE w:val="0"/>
              <w:autoSpaceDN w:val="0"/>
              <w:adjustRightInd w:val="0"/>
              <w:spacing w:before="0" w:after="0"/>
              <w:rPr>
                <w:rFonts w:ascii="Times New Roman" w:hAnsi="Times New Roman"/>
                <w:sz w:val="24"/>
              </w:rPr>
            </w:pPr>
            <w:r w:rsidRPr="00D85C65">
              <w:rPr>
                <w:rFonts w:ascii="Times New Roman" w:hAnsi="Times New Roman"/>
                <w:sz w:val="24"/>
              </w:rPr>
              <w:t>V súlade</w:t>
            </w:r>
            <w:r w:rsidR="00D85C65">
              <w:rPr>
                <w:rFonts w:ascii="Times New Roman" w:hAnsi="Times New Roman"/>
                <w:sz w:val="24"/>
              </w:rPr>
              <w:t xml:space="preserve"> s </w:t>
            </w:r>
            <w:r w:rsidRPr="00D85C65">
              <w:rPr>
                <w:rFonts w:ascii="Times New Roman" w:hAnsi="Times New Roman"/>
                <w:sz w:val="24"/>
              </w:rPr>
              <w:t>článkom 352 ods. 2 CRR</w:t>
            </w:r>
            <w:r w:rsidR="00D85C65">
              <w:rPr>
                <w:rFonts w:ascii="Times New Roman" w:hAnsi="Times New Roman"/>
                <w:sz w:val="24"/>
              </w:rPr>
              <w:t xml:space="preserve"> a </w:t>
            </w:r>
            <w:r w:rsidRPr="00D85C65">
              <w:rPr>
                <w:rFonts w:ascii="Times New Roman" w:hAnsi="Times New Roman"/>
                <w:sz w:val="24"/>
              </w:rPr>
              <w:t>pod podmienkou súhlasu príslušných orgánov sa pozície zaujaté</w:t>
            </w:r>
            <w:r w:rsidR="00D85C65">
              <w:rPr>
                <w:rFonts w:ascii="Times New Roman" w:hAnsi="Times New Roman"/>
                <w:sz w:val="24"/>
              </w:rPr>
              <w:t xml:space="preserve"> s </w:t>
            </w:r>
            <w:r w:rsidRPr="00D85C65">
              <w:rPr>
                <w:rFonts w:ascii="Times New Roman" w:hAnsi="Times New Roman"/>
                <w:sz w:val="24"/>
              </w:rPr>
              <w:t>cieľom hedžovať proti nepriaznivým účinkom výmenného kurzu na ich podiely podľa článku 92 ods. 1 CRR</w:t>
            </w:r>
            <w:r w:rsidR="00D85C65">
              <w:rPr>
                <w:rFonts w:ascii="Times New Roman" w:hAnsi="Times New Roman"/>
                <w:sz w:val="24"/>
              </w:rPr>
              <w:t xml:space="preserve"> a </w:t>
            </w:r>
            <w:r w:rsidRPr="00D85C65">
              <w:rPr>
                <w:rFonts w:ascii="Times New Roman" w:hAnsi="Times New Roman"/>
                <w:sz w:val="24"/>
              </w:rPr>
              <w:t>pozície súvisiace</w:t>
            </w:r>
            <w:r w:rsidR="00D85C65">
              <w:rPr>
                <w:rFonts w:ascii="Times New Roman" w:hAnsi="Times New Roman"/>
                <w:sz w:val="24"/>
              </w:rPr>
              <w:t xml:space="preserve"> s </w:t>
            </w:r>
            <w:r w:rsidRPr="00D85C65">
              <w:rPr>
                <w:rFonts w:ascii="Times New Roman" w:hAnsi="Times New Roman"/>
                <w:sz w:val="24"/>
              </w:rPr>
              <w:t>položkami, ktoré už sú odpočítané vo výpočte vlastných zdrojov, nevykazujú.</w:t>
            </w:r>
          </w:p>
          <w:p w14:paraId="40EFBBBE"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76AE6473" w14:textId="77777777" w:rsidTr="00672D2A">
        <w:tc>
          <w:tcPr>
            <w:tcW w:w="988" w:type="dxa"/>
          </w:tcPr>
          <w:p w14:paraId="1707CB18"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040 – 050</w:t>
            </w:r>
          </w:p>
        </w:tc>
        <w:tc>
          <w:tcPr>
            <w:tcW w:w="7874" w:type="dxa"/>
          </w:tcPr>
          <w:p w14:paraId="21070BD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ČISTÉ POZÍCIE (DLHÉ A KRÁTKE)</w:t>
            </w:r>
          </w:p>
          <w:p w14:paraId="265F2DAD" w14:textId="77777777" w:rsidR="00235D9D" w:rsidRPr="00D85C65" w:rsidRDefault="00235D9D">
            <w:pPr>
              <w:autoSpaceDE w:val="0"/>
              <w:autoSpaceDN w:val="0"/>
              <w:adjustRightInd w:val="0"/>
              <w:spacing w:before="0" w:after="0"/>
              <w:rPr>
                <w:rFonts w:ascii="Times New Roman" w:hAnsi="Times New Roman"/>
                <w:sz w:val="24"/>
              </w:rPr>
            </w:pPr>
          </w:p>
          <w:p w14:paraId="2C67FA26" w14:textId="158A91C4"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Článok 352 ods. 3, článok 352 ods. 4 prvé dve vety</w:t>
            </w:r>
            <w:r w:rsidR="00D85C65">
              <w:rPr>
                <w:rFonts w:ascii="Times New Roman" w:hAnsi="Times New Roman"/>
                <w:sz w:val="24"/>
              </w:rPr>
              <w:t xml:space="preserve"> a </w:t>
            </w:r>
            <w:r w:rsidRPr="00D85C65">
              <w:rPr>
                <w:rFonts w:ascii="Times New Roman" w:hAnsi="Times New Roman"/>
                <w:sz w:val="24"/>
              </w:rPr>
              <w:t>článok 353 CRR.</w:t>
            </w:r>
          </w:p>
          <w:p w14:paraId="2BF45567" w14:textId="060E22D2"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Čisté pozície sa vy</w:t>
            </w:r>
            <w:bookmarkStart w:id="98" w:name="_GoBack"/>
            <w:bookmarkEnd w:id="98"/>
            <w:r w:rsidRPr="00D85C65">
              <w:rPr>
                <w:rFonts w:ascii="Times New Roman" w:hAnsi="Times New Roman"/>
                <w:sz w:val="24"/>
              </w:rPr>
              <w:t>počítavajú podľa každej meny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352 ods. 1 CRR. Dlhé</w:t>
            </w:r>
            <w:r w:rsidR="00D85C65">
              <w:rPr>
                <w:rFonts w:ascii="Times New Roman" w:hAnsi="Times New Roman"/>
                <w:sz w:val="24"/>
              </w:rPr>
              <w:t xml:space="preserve"> i </w:t>
            </w:r>
            <w:r w:rsidRPr="00D85C65">
              <w:rPr>
                <w:rFonts w:ascii="Times New Roman" w:hAnsi="Times New Roman"/>
                <w:sz w:val="24"/>
              </w:rPr>
              <w:t>krátke pozície následne možno vykazovať</w:t>
            </w:r>
            <w:r w:rsidR="00D85C65">
              <w:rPr>
                <w:rFonts w:ascii="Times New Roman" w:hAnsi="Times New Roman"/>
                <w:sz w:val="24"/>
              </w:rPr>
              <w:t xml:space="preserve"> k </w:t>
            </w:r>
            <w:r w:rsidRPr="00D85C65">
              <w:rPr>
                <w:rFonts w:ascii="Times New Roman" w:hAnsi="Times New Roman"/>
                <w:sz w:val="24"/>
              </w:rPr>
              <w:t>tomu istému dátumu.</w:t>
            </w:r>
          </w:p>
          <w:p w14:paraId="577D22D7"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3D0085D3" w14:textId="77777777" w:rsidTr="00672D2A">
        <w:tc>
          <w:tcPr>
            <w:tcW w:w="988" w:type="dxa"/>
          </w:tcPr>
          <w:p w14:paraId="1B50818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060 – 080</w:t>
            </w:r>
          </w:p>
        </w:tc>
        <w:tc>
          <w:tcPr>
            <w:tcW w:w="7874" w:type="dxa"/>
          </w:tcPr>
          <w:p w14:paraId="7A859AF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NA KTORÉ SA VZŤAHUJE KAPITÁLOVÁ POŽIADAVKA</w:t>
            </w:r>
          </w:p>
          <w:p w14:paraId="7296D2CA" w14:textId="77777777" w:rsidR="00235D9D" w:rsidRPr="00D85C65" w:rsidRDefault="00235D9D">
            <w:pPr>
              <w:autoSpaceDE w:val="0"/>
              <w:autoSpaceDN w:val="0"/>
              <w:adjustRightInd w:val="0"/>
              <w:spacing w:before="0" w:after="0"/>
              <w:rPr>
                <w:rFonts w:ascii="Times New Roman" w:hAnsi="Times New Roman"/>
                <w:sz w:val="24"/>
              </w:rPr>
            </w:pPr>
          </w:p>
          <w:p w14:paraId="00DF12C3" w14:textId="701102F3"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352 ods. 4 tretia veta</w:t>
            </w:r>
            <w:r w:rsidR="00D85C65">
              <w:rPr>
                <w:rFonts w:ascii="Times New Roman" w:hAnsi="Times New Roman"/>
                <w:sz w:val="24"/>
              </w:rPr>
              <w:t xml:space="preserve"> a </w:t>
            </w:r>
            <w:r w:rsidRPr="00D85C65">
              <w:rPr>
                <w:rFonts w:ascii="Times New Roman" w:hAnsi="Times New Roman"/>
                <w:sz w:val="24"/>
              </w:rPr>
              <w:t>články 353</w:t>
            </w:r>
            <w:r w:rsidR="00D85C65">
              <w:rPr>
                <w:rFonts w:ascii="Times New Roman" w:hAnsi="Times New Roman"/>
                <w:sz w:val="24"/>
              </w:rPr>
              <w:t xml:space="preserve"> a </w:t>
            </w:r>
            <w:r w:rsidRPr="00D85C65">
              <w:rPr>
                <w:rFonts w:ascii="Times New Roman" w:hAnsi="Times New Roman"/>
                <w:sz w:val="24"/>
              </w:rPr>
              <w:t>354 CRR</w:t>
            </w:r>
            <w:r w:rsidR="00D85C65">
              <w:rPr>
                <w:rFonts w:ascii="Times New Roman" w:hAnsi="Times New Roman"/>
                <w:sz w:val="24"/>
              </w:rPr>
              <w:t>.</w:t>
            </w:r>
          </w:p>
          <w:p w14:paraId="6343D99F" w14:textId="31861BA3"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5EB37095" w14:textId="77777777" w:rsidTr="00672D2A">
        <w:tc>
          <w:tcPr>
            <w:tcW w:w="988" w:type="dxa"/>
          </w:tcPr>
          <w:p w14:paraId="581ABA0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060 – 070</w:t>
            </w:r>
          </w:p>
        </w:tc>
        <w:tc>
          <w:tcPr>
            <w:tcW w:w="7874" w:type="dxa"/>
          </w:tcPr>
          <w:p w14:paraId="1460931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b/>
                <w:bCs/>
                <w:sz w:val="24"/>
                <w:u w:val="single"/>
              </w:rPr>
              <w:t>POZÍCIE, NA KTORÉ SA VZŤAHUJE KAPITÁLOVÁ POŽIADAVKA (DLHÉ A KRÁTKE)</w:t>
            </w:r>
          </w:p>
          <w:p w14:paraId="57F79153" w14:textId="5BF3D0CF"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t>Dlhé</w:t>
            </w:r>
            <w:r w:rsidR="00D85C65">
              <w:rPr>
                <w:rFonts w:ascii="Times New Roman" w:hAnsi="Times New Roman"/>
                <w:sz w:val="24"/>
              </w:rPr>
              <w:t xml:space="preserve"> a </w:t>
            </w:r>
            <w:r w:rsidRPr="00D85C65">
              <w:rPr>
                <w:rFonts w:ascii="Times New Roman" w:hAnsi="Times New Roman"/>
                <w:sz w:val="24"/>
              </w:rPr>
              <w:t>krátke čisté pozície pre každú menu sa počítajú odpočítaním celkovej výšky krátkych pozícií od celkovej výšky dlhých pozícií.</w:t>
            </w:r>
          </w:p>
          <w:p w14:paraId="4F8F114A" w14:textId="3A03AFF9"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t>Na vypočítanie dlhej čistej pozície</w:t>
            </w:r>
            <w:r w:rsidR="00D85C65">
              <w:rPr>
                <w:rFonts w:ascii="Times New Roman" w:hAnsi="Times New Roman"/>
                <w:sz w:val="24"/>
              </w:rPr>
              <w:t xml:space="preserve"> v </w:t>
            </w:r>
            <w:r w:rsidRPr="00D85C65">
              <w:rPr>
                <w:rFonts w:ascii="Times New Roman" w:hAnsi="Times New Roman"/>
                <w:sz w:val="24"/>
              </w:rPr>
              <w:t>mene sa spočítajú dlhé čisté pozície pre každú operáciu</w:t>
            </w:r>
            <w:r w:rsidR="00D85C65">
              <w:rPr>
                <w:rFonts w:ascii="Times New Roman" w:hAnsi="Times New Roman"/>
                <w:sz w:val="24"/>
              </w:rPr>
              <w:t xml:space="preserve"> v </w:t>
            </w:r>
            <w:r w:rsidRPr="00D85C65">
              <w:rPr>
                <w:rFonts w:ascii="Times New Roman" w:hAnsi="Times New Roman"/>
                <w:sz w:val="24"/>
              </w:rPr>
              <w:t>tejto mene.</w:t>
            </w:r>
          </w:p>
          <w:p w14:paraId="3E97328D" w14:textId="3D8706C9"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t>Na vypočítanie krátkej čistej pozície</w:t>
            </w:r>
            <w:r w:rsidR="00D85C65">
              <w:rPr>
                <w:rFonts w:ascii="Times New Roman" w:hAnsi="Times New Roman"/>
                <w:sz w:val="24"/>
              </w:rPr>
              <w:t xml:space="preserve"> v </w:t>
            </w:r>
            <w:r w:rsidRPr="00D85C65">
              <w:rPr>
                <w:rFonts w:ascii="Times New Roman" w:hAnsi="Times New Roman"/>
                <w:sz w:val="24"/>
              </w:rPr>
              <w:t>mene sa spočítajú krátke čisté pozície pre každú operáciu</w:t>
            </w:r>
            <w:r w:rsidR="00D85C65">
              <w:rPr>
                <w:rFonts w:ascii="Times New Roman" w:hAnsi="Times New Roman"/>
                <w:sz w:val="24"/>
              </w:rPr>
              <w:t xml:space="preserve"> v </w:t>
            </w:r>
            <w:r w:rsidRPr="00D85C65">
              <w:rPr>
                <w:rFonts w:ascii="Times New Roman" w:hAnsi="Times New Roman"/>
                <w:sz w:val="24"/>
              </w:rPr>
              <w:t>tejto mene.</w:t>
            </w:r>
          </w:p>
          <w:p w14:paraId="497B2FED" w14:textId="0466D2F7" w:rsidR="00235D9D" w:rsidRPr="00D85C65" w:rsidRDefault="000B0B09">
            <w:pPr>
              <w:autoSpaceDE w:val="0"/>
              <w:autoSpaceDN w:val="0"/>
              <w:adjustRightInd w:val="0"/>
              <w:spacing w:after="0"/>
              <w:rPr>
                <w:rFonts w:ascii="Times New Roman" w:hAnsi="Times New Roman"/>
                <w:sz w:val="24"/>
              </w:rPr>
            </w:pPr>
            <w:r w:rsidRPr="00D85C65">
              <w:rPr>
                <w:rFonts w:ascii="Times New Roman" w:hAnsi="Times New Roman"/>
                <w:sz w:val="24"/>
              </w:rPr>
              <w:t>Nespárované pozície</w:t>
            </w:r>
            <w:r w:rsidR="00D85C65">
              <w:rPr>
                <w:rFonts w:ascii="Times New Roman" w:hAnsi="Times New Roman"/>
                <w:sz w:val="24"/>
              </w:rPr>
              <w:t xml:space="preserve"> v </w:t>
            </w:r>
            <w:r w:rsidRPr="00D85C65">
              <w:rPr>
                <w:rFonts w:ascii="Times New Roman" w:hAnsi="Times New Roman"/>
                <w:sz w:val="24"/>
              </w:rPr>
              <w:t>menách iných, než je mena vykazovania, sa pripočítajú</w:t>
            </w:r>
            <w:r w:rsidR="00D85C65">
              <w:rPr>
                <w:rFonts w:ascii="Times New Roman" w:hAnsi="Times New Roman"/>
                <w:sz w:val="24"/>
              </w:rPr>
              <w:t xml:space="preserve"> k </w:t>
            </w:r>
            <w:r w:rsidRPr="00D85C65">
              <w:rPr>
                <w:rFonts w:ascii="Times New Roman" w:hAnsi="Times New Roman"/>
                <w:sz w:val="24"/>
              </w:rPr>
              <w:t>pozíciám, na ktoré sa vzťahujú kapitálové požiadavky pre iné meny (riadok 030)</w:t>
            </w:r>
            <w:r w:rsidR="00D85C65">
              <w:rPr>
                <w:rFonts w:ascii="Times New Roman" w:hAnsi="Times New Roman"/>
                <w:sz w:val="24"/>
              </w:rPr>
              <w:t xml:space="preserve"> v </w:t>
            </w:r>
            <w:r w:rsidRPr="00D85C65">
              <w:rPr>
                <w:rFonts w:ascii="Times New Roman" w:hAnsi="Times New Roman"/>
                <w:sz w:val="24"/>
              </w:rPr>
              <w:t>stĺpci 060 alebo 070</w:t>
            </w:r>
            <w:r w:rsidR="00D85C65">
              <w:rPr>
                <w:rFonts w:ascii="Times New Roman" w:hAnsi="Times New Roman"/>
                <w:sz w:val="24"/>
              </w:rPr>
              <w:t xml:space="preserve"> v </w:t>
            </w:r>
            <w:r w:rsidRPr="00D85C65">
              <w:rPr>
                <w:rFonts w:ascii="Times New Roman" w:hAnsi="Times New Roman"/>
                <w:sz w:val="24"/>
              </w:rPr>
              <w:t>závislosti od toho, či sú krátke alebo dlhé.</w:t>
            </w:r>
          </w:p>
          <w:p w14:paraId="15EA75BC"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2AF0BC2C" w14:textId="77777777" w:rsidTr="00672D2A">
        <w:tc>
          <w:tcPr>
            <w:tcW w:w="988" w:type="dxa"/>
          </w:tcPr>
          <w:p w14:paraId="24F2E25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080</w:t>
            </w:r>
          </w:p>
        </w:tc>
        <w:tc>
          <w:tcPr>
            <w:tcW w:w="7874" w:type="dxa"/>
          </w:tcPr>
          <w:p w14:paraId="14E0FD45"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NA KTORÉ SA VZŤAHUJE KAPITÁLOVÁ POŽIADAVKA (SPÁROVANÉ)</w:t>
            </w:r>
          </w:p>
          <w:p w14:paraId="1660EA41" w14:textId="77777777" w:rsidR="00235D9D" w:rsidRPr="00D85C65" w:rsidRDefault="00235D9D">
            <w:pPr>
              <w:autoSpaceDE w:val="0"/>
              <w:autoSpaceDN w:val="0"/>
              <w:adjustRightInd w:val="0"/>
              <w:spacing w:before="0" w:after="0"/>
              <w:rPr>
                <w:rFonts w:ascii="Times New Roman" w:hAnsi="Times New Roman"/>
                <w:sz w:val="24"/>
              </w:rPr>
            </w:pPr>
          </w:p>
          <w:p w14:paraId="1F077D3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Spárované pozície pre úzko korelované meny.</w:t>
            </w:r>
          </w:p>
          <w:p w14:paraId="7D5B1991"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666A5D00" w14:textId="77777777" w:rsidTr="00672D2A">
        <w:tc>
          <w:tcPr>
            <w:tcW w:w="988" w:type="dxa"/>
          </w:tcPr>
          <w:p w14:paraId="706FBE6C"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w:t>
            </w:r>
          </w:p>
        </w:tc>
        <w:tc>
          <w:tcPr>
            <w:tcW w:w="7874" w:type="dxa"/>
          </w:tcPr>
          <w:p w14:paraId="09E9184B"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POŽIADAVKY NA VLASTNÉ ZDROJE</w:t>
            </w:r>
          </w:p>
          <w:p w14:paraId="4E55ADD1" w14:textId="77777777" w:rsidR="00235D9D" w:rsidRPr="00D85C65" w:rsidRDefault="00235D9D">
            <w:pPr>
              <w:autoSpaceDE w:val="0"/>
              <w:autoSpaceDN w:val="0"/>
              <w:adjustRightInd w:val="0"/>
              <w:spacing w:before="0" w:after="0"/>
              <w:rPr>
                <w:rFonts w:ascii="Times New Roman" w:hAnsi="Times New Roman"/>
                <w:b/>
                <w:bCs/>
                <w:sz w:val="24"/>
                <w:u w:val="single"/>
              </w:rPr>
            </w:pPr>
          </w:p>
          <w:p w14:paraId="7E9D00AD" w14:textId="6884D653"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Kapitálová požiadavka pre všetky relevantné pozície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3 CRR</w:t>
            </w:r>
            <w:r w:rsidR="00D85C65">
              <w:rPr>
                <w:rFonts w:ascii="Times New Roman" w:hAnsi="Times New Roman"/>
                <w:sz w:val="24"/>
              </w:rPr>
              <w:t>.</w:t>
            </w:r>
          </w:p>
          <w:p w14:paraId="5E61BBB1" w14:textId="08DF6E74"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2368BE23" w14:textId="77777777" w:rsidTr="00672D2A">
        <w:tc>
          <w:tcPr>
            <w:tcW w:w="988" w:type="dxa"/>
          </w:tcPr>
          <w:p w14:paraId="197EB1D4"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100</w:t>
            </w:r>
          </w:p>
        </w:tc>
        <w:tc>
          <w:tcPr>
            <w:tcW w:w="7874" w:type="dxa"/>
          </w:tcPr>
          <w:p w14:paraId="2C78C9EA"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RIZIKOVÝCH EXPOZÍCIÍ</w:t>
            </w:r>
          </w:p>
          <w:p w14:paraId="30E6DCD1" w14:textId="77777777" w:rsidR="00235D9D" w:rsidRPr="00D85C65" w:rsidRDefault="00235D9D">
            <w:pPr>
              <w:tabs>
                <w:tab w:val="left" w:pos="1665"/>
              </w:tabs>
              <w:autoSpaceDE w:val="0"/>
              <w:autoSpaceDN w:val="0"/>
              <w:adjustRightInd w:val="0"/>
              <w:spacing w:before="0" w:after="0"/>
              <w:rPr>
                <w:rFonts w:ascii="Times New Roman" w:hAnsi="Times New Roman"/>
                <w:b/>
                <w:bCs/>
                <w:sz w:val="24"/>
                <w:u w:val="single"/>
              </w:rPr>
            </w:pPr>
          </w:p>
          <w:p w14:paraId="23B20A5B" w14:textId="7DA97E3B" w:rsidR="00235D9D" w:rsidRPr="00D85C65" w:rsidRDefault="00D21B29">
            <w:pPr>
              <w:tabs>
                <w:tab w:val="left" w:pos="1665"/>
              </w:tabs>
              <w:autoSpaceDE w:val="0"/>
              <w:autoSpaceDN w:val="0"/>
              <w:adjustRightInd w:val="0"/>
              <w:spacing w:before="0"/>
              <w:rPr>
                <w:rFonts w:ascii="Times New Roman" w:hAnsi="Times New Roman"/>
                <w:sz w:val="24"/>
              </w:rPr>
            </w:pPr>
            <w:r w:rsidRPr="00D85C65">
              <w:rPr>
                <w:rFonts w:ascii="Times New Roman" w:hAnsi="Times New Roman"/>
                <w:sz w:val="24"/>
              </w:rPr>
              <w:lastRenderedPageBreak/>
              <w:t>Článok 92 ods. 4 písm. b) CRR.</w:t>
            </w:r>
          </w:p>
          <w:p w14:paraId="0F292A15" w14:textId="77777777" w:rsidR="00D85C65" w:rsidRDefault="000B0B09">
            <w:pPr>
              <w:tabs>
                <w:tab w:val="left" w:pos="1665"/>
              </w:tabs>
              <w:autoSpaceDE w:val="0"/>
              <w:autoSpaceDN w:val="0"/>
              <w:adjustRightInd w:val="0"/>
              <w:spacing w:before="0" w:after="0"/>
              <w:rPr>
                <w:rFonts w:ascii="Times New Roman" w:hAnsi="Times New Roman"/>
                <w:sz w:val="24"/>
              </w:rPr>
            </w:pPr>
            <w:r w:rsidRPr="00D85C65">
              <w:rPr>
                <w:rFonts w:ascii="Times New Roman" w:hAnsi="Times New Roman"/>
                <w:sz w:val="24"/>
              </w:rPr>
              <w:t>Výsledok vynásobenia požiadaviek na vlastné zdroje koeficientom 12,5</w:t>
            </w:r>
            <w:r w:rsidR="00D85C65">
              <w:rPr>
                <w:rFonts w:ascii="Times New Roman" w:hAnsi="Times New Roman"/>
                <w:sz w:val="24"/>
              </w:rPr>
              <w:t>.</w:t>
            </w:r>
          </w:p>
          <w:p w14:paraId="4C34DF56" w14:textId="682FDC74" w:rsidR="00235D9D" w:rsidRPr="00D85C65" w:rsidRDefault="00235D9D">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235D9D" w:rsidRPr="00D85C65" w:rsidRDefault="00235D9D">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235D9D" w:rsidRPr="00D85C65" w14:paraId="09A7A9C0" w14:textId="77777777" w:rsidTr="00672D2A">
        <w:trPr>
          <w:trHeight w:val="497"/>
        </w:trPr>
        <w:tc>
          <w:tcPr>
            <w:tcW w:w="8862" w:type="dxa"/>
            <w:gridSpan w:val="2"/>
            <w:shd w:val="clear" w:color="auto" w:fill="CCCCCC"/>
          </w:tcPr>
          <w:p w14:paraId="008F0461"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5C001F68" w14:textId="77777777" w:rsidTr="00672D2A">
        <w:tc>
          <w:tcPr>
            <w:tcW w:w="991" w:type="dxa"/>
          </w:tcPr>
          <w:p w14:paraId="0027DA2F"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w:t>
            </w:r>
          </w:p>
        </w:tc>
        <w:tc>
          <w:tcPr>
            <w:tcW w:w="7871" w:type="dxa"/>
          </w:tcPr>
          <w:p w14:paraId="13E9FB3B"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CELKOVÉ POZÍCIE</w:t>
            </w:r>
          </w:p>
          <w:p w14:paraId="1257C078" w14:textId="77777777" w:rsidR="00235D9D" w:rsidRPr="00D85C65" w:rsidRDefault="00235D9D">
            <w:pPr>
              <w:autoSpaceDE w:val="0"/>
              <w:autoSpaceDN w:val="0"/>
              <w:adjustRightInd w:val="0"/>
              <w:spacing w:before="0" w:after="0"/>
              <w:rPr>
                <w:rFonts w:ascii="Times New Roman" w:hAnsi="Times New Roman"/>
                <w:sz w:val="24"/>
              </w:rPr>
            </w:pPr>
          </w:p>
          <w:p w14:paraId="4B7F845E" w14:textId="2E0137A0" w:rsidR="00235D9D" w:rsidRPr="00D85C65" w:rsidRDefault="00491F4D">
            <w:pPr>
              <w:autoSpaceDE w:val="0"/>
              <w:autoSpaceDN w:val="0"/>
              <w:adjustRightInd w:val="0"/>
              <w:spacing w:before="0" w:after="0"/>
              <w:rPr>
                <w:rFonts w:ascii="Times New Roman" w:hAnsi="Times New Roman"/>
                <w:sz w:val="24"/>
              </w:rPr>
            </w:pPr>
            <w:r w:rsidRPr="00D85C65">
              <w:rPr>
                <w:rFonts w:ascii="Times New Roman" w:hAnsi="Times New Roman"/>
                <w:sz w:val="24"/>
              </w:rPr>
              <w:t>Všetky pozície</w:t>
            </w:r>
            <w:r w:rsidR="00D85C65">
              <w:rPr>
                <w:rFonts w:ascii="Times New Roman" w:hAnsi="Times New Roman"/>
                <w:sz w:val="24"/>
              </w:rPr>
              <w:t xml:space="preserve"> v </w:t>
            </w:r>
            <w:r w:rsidRPr="00D85C65">
              <w:rPr>
                <w:rFonts w:ascii="Times New Roman" w:hAnsi="Times New Roman"/>
                <w:sz w:val="24"/>
              </w:rPr>
              <w:t>menách iných, než je mena vykazovania,</w:t>
            </w:r>
            <w:r w:rsidR="00D85C65">
              <w:rPr>
                <w:rFonts w:ascii="Times New Roman" w:hAnsi="Times New Roman"/>
                <w:sz w:val="24"/>
              </w:rPr>
              <w:t xml:space="preserve"> a </w:t>
            </w:r>
            <w:r w:rsidRPr="00D85C65">
              <w:rPr>
                <w:rFonts w:ascii="Times New Roman" w:hAnsi="Times New Roman"/>
                <w:sz w:val="24"/>
              </w:rPr>
              <w:t>tie pozície</w:t>
            </w:r>
            <w:r w:rsidR="00D85C65">
              <w:rPr>
                <w:rFonts w:ascii="Times New Roman" w:hAnsi="Times New Roman"/>
                <w:sz w:val="24"/>
              </w:rPr>
              <w:t xml:space="preserve"> v </w:t>
            </w:r>
            <w:r w:rsidRPr="00D85C65">
              <w:rPr>
                <w:rFonts w:ascii="Times New Roman" w:hAnsi="Times New Roman"/>
                <w:sz w:val="24"/>
              </w:rPr>
              <w:t>mene vykazovania, ktoré sa berú do úvahy na účely článku 354 CRR, ako aj ich zodpovedajúce požiadavky na vlastné zdroje pre devízové riziko podľa článku 92 ods. 3 písm. c) bodu i), berúc do úvahy článok 352 ods. 2</w:t>
            </w:r>
            <w:r w:rsidR="00D85C65">
              <w:rPr>
                <w:rFonts w:ascii="Times New Roman" w:hAnsi="Times New Roman"/>
                <w:sz w:val="24"/>
              </w:rPr>
              <w:t xml:space="preserve"> a </w:t>
            </w:r>
            <w:r w:rsidRPr="00D85C65">
              <w:rPr>
                <w:rFonts w:ascii="Times New Roman" w:hAnsi="Times New Roman"/>
                <w:sz w:val="24"/>
              </w:rPr>
              <w:t>4 CRR (na prepočet do meny vykazovania).</w:t>
            </w:r>
          </w:p>
          <w:p w14:paraId="7605EA72"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30F009A5" w14:textId="77777777" w:rsidTr="00672D2A">
        <w:tc>
          <w:tcPr>
            <w:tcW w:w="991" w:type="dxa"/>
          </w:tcPr>
          <w:p w14:paraId="0BC1CCB3"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w:t>
            </w:r>
          </w:p>
        </w:tc>
        <w:tc>
          <w:tcPr>
            <w:tcW w:w="7871" w:type="dxa"/>
          </w:tcPr>
          <w:p w14:paraId="24D6A26E"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ÚZKO KORELOVANÉ MENY</w:t>
            </w:r>
          </w:p>
          <w:p w14:paraId="592220AA" w14:textId="77777777" w:rsidR="00235D9D" w:rsidRPr="00D85C65" w:rsidRDefault="00235D9D">
            <w:pPr>
              <w:autoSpaceDE w:val="0"/>
              <w:autoSpaceDN w:val="0"/>
              <w:adjustRightInd w:val="0"/>
              <w:spacing w:before="0" w:after="0"/>
              <w:rPr>
                <w:rFonts w:ascii="Times New Roman" w:hAnsi="Times New Roman"/>
                <w:sz w:val="24"/>
              </w:rPr>
            </w:pPr>
          </w:p>
          <w:p w14:paraId="0D4BF746" w14:textId="7C87CA7E"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a </w:t>
            </w:r>
            <w:r w:rsidRPr="00D85C65">
              <w:rPr>
                <w:rFonts w:ascii="Times New Roman" w:hAnsi="Times New Roman"/>
                <w:sz w:val="24"/>
              </w:rPr>
              <w:t>ich zodpovedajúce požiadavky na vlastné zdroje pre úzko korelované meny uvedené</w:t>
            </w:r>
            <w:r w:rsidR="00D85C65">
              <w:rPr>
                <w:rFonts w:ascii="Times New Roman" w:hAnsi="Times New Roman"/>
                <w:sz w:val="24"/>
              </w:rPr>
              <w:t xml:space="preserve"> v </w:t>
            </w:r>
            <w:r w:rsidRPr="00D85C65">
              <w:rPr>
                <w:rFonts w:ascii="Times New Roman" w:hAnsi="Times New Roman"/>
                <w:sz w:val="24"/>
              </w:rPr>
              <w:t>článku 354 CRR.</w:t>
            </w:r>
          </w:p>
          <w:p w14:paraId="3659DFEB"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41510BBE" w14:textId="77777777" w:rsidTr="00672D2A">
        <w:tc>
          <w:tcPr>
            <w:tcW w:w="991" w:type="dxa"/>
          </w:tcPr>
          <w:p w14:paraId="03AEDF87" w14:textId="77777777" w:rsidR="00235D9D" w:rsidRPr="00D85C65" w:rsidRDefault="00491F4D">
            <w:pPr>
              <w:autoSpaceDE w:val="0"/>
              <w:autoSpaceDN w:val="0"/>
              <w:adjustRightInd w:val="0"/>
              <w:spacing w:before="0" w:after="0"/>
              <w:rPr>
                <w:rFonts w:ascii="Times New Roman" w:hAnsi="Times New Roman"/>
                <w:sz w:val="24"/>
              </w:rPr>
            </w:pPr>
            <w:r w:rsidRPr="00D85C65">
              <w:rPr>
                <w:rFonts w:ascii="Times New Roman" w:hAnsi="Times New Roman"/>
                <w:sz w:val="24"/>
              </w:rPr>
              <w:t>025</w:t>
            </w:r>
          </w:p>
        </w:tc>
        <w:tc>
          <w:tcPr>
            <w:tcW w:w="7871" w:type="dxa"/>
          </w:tcPr>
          <w:p w14:paraId="66C1F6B0" w14:textId="558E2C97" w:rsidR="00235D9D" w:rsidRPr="00D85C65" w:rsidRDefault="00491F4D">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Úzko korelované meny</w:t>
            </w:r>
            <w:r w:rsidR="00D85C65">
              <w:rPr>
                <w:rFonts w:ascii="Times New Roman" w:hAnsi="Times New Roman"/>
                <w:b/>
                <w:bCs/>
                <w:sz w:val="24"/>
                <w:u w:val="single"/>
              </w:rPr>
              <w:t xml:space="preserve"> z </w:t>
            </w:r>
            <w:r w:rsidRPr="00D85C65">
              <w:rPr>
                <w:rFonts w:ascii="Times New Roman" w:hAnsi="Times New Roman"/>
                <w:b/>
                <w:bCs/>
                <w:i/>
                <w:sz w:val="24"/>
                <w:u w:val="single"/>
              </w:rPr>
              <w:t>čoho</w:t>
            </w:r>
            <w:r w:rsidRPr="00D85C65">
              <w:rPr>
                <w:rFonts w:ascii="Times New Roman" w:hAnsi="Times New Roman"/>
                <w:b/>
                <w:bCs/>
                <w:sz w:val="24"/>
                <w:u w:val="single"/>
              </w:rPr>
              <w:t>: mena vykazovania;</w:t>
            </w:r>
          </w:p>
          <w:p w14:paraId="3A21A411" w14:textId="77777777" w:rsidR="00235D9D" w:rsidRPr="00D85C65" w:rsidRDefault="00235D9D">
            <w:pPr>
              <w:autoSpaceDE w:val="0"/>
              <w:autoSpaceDN w:val="0"/>
              <w:adjustRightInd w:val="0"/>
              <w:spacing w:before="0" w:after="0"/>
              <w:rPr>
                <w:rFonts w:ascii="Times New Roman" w:hAnsi="Times New Roman"/>
                <w:sz w:val="24"/>
              </w:rPr>
            </w:pPr>
          </w:p>
          <w:p w14:paraId="379FE9C2" w14:textId="2DEB3D8E" w:rsidR="00235D9D" w:rsidRPr="00D85C65" w:rsidRDefault="00491F4D">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mene vykazovania, ktoré prispievajú</w:t>
            </w:r>
            <w:r w:rsidR="00D85C65">
              <w:rPr>
                <w:rFonts w:ascii="Times New Roman" w:hAnsi="Times New Roman"/>
                <w:sz w:val="24"/>
              </w:rPr>
              <w:t xml:space="preserve"> k </w:t>
            </w:r>
            <w:r w:rsidRPr="00D85C65">
              <w:rPr>
                <w:rFonts w:ascii="Times New Roman" w:hAnsi="Times New Roman"/>
                <w:sz w:val="24"/>
              </w:rPr>
              <w:t>výpočtu kapitálových požiadaviek podľa článku 354 CRR.</w:t>
            </w:r>
          </w:p>
          <w:p w14:paraId="0CD77931"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304C357C" w14:textId="77777777" w:rsidTr="00672D2A">
        <w:tc>
          <w:tcPr>
            <w:tcW w:w="991" w:type="dxa"/>
          </w:tcPr>
          <w:p w14:paraId="5D3C41AD"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030</w:t>
            </w:r>
          </w:p>
        </w:tc>
        <w:tc>
          <w:tcPr>
            <w:tcW w:w="7871" w:type="dxa"/>
          </w:tcPr>
          <w:p w14:paraId="6BB078E4" w14:textId="1AF9C59E"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VŠETKY OSTATNÉ MENY (vrátane PKI,</w:t>
            </w:r>
            <w:r w:rsidR="00D85C65">
              <w:rPr>
                <w:rFonts w:ascii="Times New Roman" w:hAnsi="Times New Roman"/>
                <w:b/>
                <w:bCs/>
                <w:sz w:val="24"/>
                <w:u w:val="single"/>
              </w:rPr>
              <w:t xml:space="preserve"> s </w:t>
            </w:r>
            <w:r w:rsidRPr="00D85C65">
              <w:rPr>
                <w:rFonts w:ascii="Times New Roman" w:hAnsi="Times New Roman"/>
                <w:b/>
                <w:bCs/>
                <w:sz w:val="24"/>
                <w:u w:val="single"/>
              </w:rPr>
              <w:t>ktorými sa zaobchádza ako</w:t>
            </w:r>
            <w:r w:rsidR="00D85C65">
              <w:rPr>
                <w:rFonts w:ascii="Times New Roman" w:hAnsi="Times New Roman"/>
                <w:b/>
                <w:bCs/>
                <w:sz w:val="24"/>
                <w:u w:val="single"/>
              </w:rPr>
              <w:t xml:space="preserve"> s </w:t>
            </w:r>
            <w:r w:rsidRPr="00D85C65">
              <w:rPr>
                <w:rFonts w:ascii="Times New Roman" w:hAnsi="Times New Roman"/>
                <w:b/>
                <w:bCs/>
                <w:sz w:val="24"/>
                <w:u w:val="single"/>
              </w:rPr>
              <w:t>rôznymi menami)</w:t>
            </w:r>
          </w:p>
          <w:p w14:paraId="6C1AA402"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512D131" w14:textId="42DAE891"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a </w:t>
            </w:r>
            <w:r w:rsidRPr="00D85C65">
              <w:rPr>
                <w:rFonts w:ascii="Times New Roman" w:hAnsi="Times New Roman"/>
                <w:sz w:val="24"/>
              </w:rPr>
              <w:t>ich zodpovedajúce požiadavky na vlastné zdroje pre meny, na ktoré sa uplatňuje všeobecný postup uvedený</w:t>
            </w:r>
            <w:r w:rsidR="00D85C65">
              <w:rPr>
                <w:rFonts w:ascii="Times New Roman" w:hAnsi="Times New Roman"/>
                <w:sz w:val="24"/>
              </w:rPr>
              <w:t xml:space="preserve"> v </w:t>
            </w:r>
            <w:r w:rsidRPr="00D85C65">
              <w:rPr>
                <w:rFonts w:ascii="Times New Roman" w:hAnsi="Times New Roman"/>
                <w:sz w:val="24"/>
              </w:rPr>
              <w:t>článku 351</w:t>
            </w:r>
            <w:r w:rsidR="00D85C65">
              <w:rPr>
                <w:rFonts w:ascii="Times New Roman" w:hAnsi="Times New Roman"/>
                <w:sz w:val="24"/>
              </w:rPr>
              <w:t xml:space="preserve"> a </w:t>
            </w:r>
            <w:r w:rsidRPr="00D85C65">
              <w:rPr>
                <w:rFonts w:ascii="Times New Roman" w:hAnsi="Times New Roman"/>
                <w:sz w:val="24"/>
              </w:rPr>
              <w:t>článku 352 ods. 2</w:t>
            </w:r>
            <w:r w:rsidR="00D85C65">
              <w:rPr>
                <w:rFonts w:ascii="Times New Roman" w:hAnsi="Times New Roman"/>
                <w:sz w:val="24"/>
              </w:rPr>
              <w:t xml:space="preserve"> a </w:t>
            </w:r>
            <w:r w:rsidRPr="00D85C65">
              <w:rPr>
                <w:rFonts w:ascii="Times New Roman" w:hAnsi="Times New Roman"/>
                <w:sz w:val="24"/>
              </w:rPr>
              <w:t>4 CRR.</w:t>
            </w:r>
          </w:p>
          <w:p w14:paraId="4DF0375E" w14:textId="77777777" w:rsidR="00235D9D" w:rsidRPr="00D85C65" w:rsidRDefault="00235D9D">
            <w:pPr>
              <w:autoSpaceDE w:val="0"/>
              <w:autoSpaceDN w:val="0"/>
              <w:adjustRightInd w:val="0"/>
              <w:spacing w:before="0" w:after="0"/>
              <w:rPr>
                <w:rFonts w:ascii="Times New Roman" w:hAnsi="Times New Roman"/>
                <w:b/>
                <w:bCs/>
                <w:sz w:val="24"/>
                <w:u w:val="single"/>
              </w:rPr>
            </w:pPr>
          </w:p>
          <w:p w14:paraId="1388E093" w14:textId="70A18878" w:rsidR="00235D9D" w:rsidRPr="00D85C65" w:rsidRDefault="000B0B09">
            <w:pPr>
              <w:autoSpaceDE w:val="0"/>
              <w:autoSpaceDN w:val="0"/>
              <w:adjustRightInd w:val="0"/>
              <w:spacing w:before="0" w:after="0"/>
              <w:rPr>
                <w:rFonts w:ascii="Times New Roman" w:hAnsi="Times New Roman"/>
                <w:bCs/>
                <w:sz w:val="24"/>
                <w:u w:val="single"/>
              </w:rPr>
            </w:pPr>
            <w:r w:rsidRPr="00D85C65">
              <w:rPr>
                <w:rFonts w:ascii="Times New Roman" w:hAnsi="Times New Roman"/>
                <w:bCs/>
                <w:sz w:val="24"/>
                <w:u w:val="single"/>
              </w:rPr>
              <w:t>Vykazovanie PKI,</w:t>
            </w:r>
            <w:r w:rsidR="00D85C65">
              <w:rPr>
                <w:rFonts w:ascii="Times New Roman" w:hAnsi="Times New Roman"/>
                <w:bCs/>
                <w:sz w:val="24"/>
                <w:u w:val="single"/>
              </w:rPr>
              <w:t xml:space="preserve"> s </w:t>
            </w:r>
            <w:r w:rsidRPr="00D85C65">
              <w:rPr>
                <w:rFonts w:ascii="Times New Roman" w:hAnsi="Times New Roman"/>
                <w:bCs/>
                <w:sz w:val="24"/>
                <w:u w:val="single"/>
              </w:rPr>
              <w:t>ktorými sa zaobchádza ako so samostatnými menami podľa článku 353 CRR:</w:t>
            </w:r>
          </w:p>
          <w:p w14:paraId="051C2F90" w14:textId="3796D319" w:rsidR="00235D9D" w:rsidRPr="00D85C65" w:rsidRDefault="000B0B09">
            <w:pPr>
              <w:autoSpaceDE w:val="0"/>
              <w:autoSpaceDN w:val="0"/>
              <w:adjustRightInd w:val="0"/>
              <w:spacing w:before="0" w:after="0"/>
              <w:rPr>
                <w:rFonts w:ascii="Times New Roman" w:hAnsi="Times New Roman"/>
                <w:bCs/>
                <w:sz w:val="24"/>
              </w:rPr>
            </w:pPr>
            <w:r w:rsidRPr="00D85C65">
              <w:rPr>
                <w:rFonts w:ascii="Times New Roman" w:hAnsi="Times New Roman"/>
                <w:bCs/>
                <w:sz w:val="24"/>
              </w:rPr>
              <w:t>Na výpočet kapitálových požiadaviek existujú dva rôzne spôsoby zaobchádzania</w:t>
            </w:r>
            <w:r w:rsidR="00D85C65">
              <w:rPr>
                <w:rFonts w:ascii="Times New Roman" w:hAnsi="Times New Roman"/>
                <w:bCs/>
                <w:sz w:val="24"/>
              </w:rPr>
              <w:t xml:space="preserve"> s </w:t>
            </w:r>
            <w:r w:rsidRPr="00D85C65">
              <w:rPr>
                <w:rFonts w:ascii="Times New Roman" w:hAnsi="Times New Roman"/>
                <w:bCs/>
                <w:sz w:val="24"/>
              </w:rPr>
              <w:t>PKI ako so samostatnými menami:</w:t>
            </w:r>
          </w:p>
          <w:p w14:paraId="255957B8" w14:textId="0018238A" w:rsidR="00235D9D" w:rsidRPr="00D85C65" w:rsidRDefault="00125707">
            <w:pPr>
              <w:autoSpaceDE w:val="0"/>
              <w:autoSpaceDN w:val="0"/>
              <w:adjustRightInd w:val="0"/>
              <w:spacing w:before="0" w:after="0"/>
              <w:ind w:left="720" w:hanging="360"/>
              <w:rPr>
                <w:rFonts w:ascii="Times New Roman" w:hAnsi="Times New Roman"/>
                <w:bCs/>
                <w:sz w:val="24"/>
              </w:rPr>
            </w:pPr>
            <w:r w:rsidRPr="00D85C65">
              <w:rPr>
                <w:rFonts w:ascii="Times New Roman" w:hAnsi="Times New Roman"/>
                <w:bCs/>
                <w:sz w:val="24"/>
              </w:rPr>
              <w:t>1.</w:t>
            </w:r>
            <w:r w:rsidRPr="00D85C65">
              <w:rPr>
                <w:rFonts w:ascii="Times New Roman" w:hAnsi="Times New Roman"/>
                <w:bCs/>
                <w:sz w:val="24"/>
              </w:rPr>
              <w:tab/>
              <w:t>Modifikovaná metóda pre zlato, ak nie je známe smerovanie investícií PKI (tieto PKI sa pripočítajú</w:t>
            </w:r>
            <w:r w:rsidR="00D85C65">
              <w:rPr>
                <w:rFonts w:ascii="Times New Roman" w:hAnsi="Times New Roman"/>
                <w:bCs/>
                <w:sz w:val="24"/>
              </w:rPr>
              <w:t xml:space="preserve"> k </w:t>
            </w:r>
            <w:r w:rsidRPr="00D85C65">
              <w:rPr>
                <w:rFonts w:ascii="Times New Roman" w:hAnsi="Times New Roman"/>
                <w:bCs/>
                <w:sz w:val="24"/>
              </w:rPr>
              <w:t>celkovej čistej devízovej pozícii inštitúcie).</w:t>
            </w:r>
          </w:p>
          <w:p w14:paraId="6F86EE5B" w14:textId="699AE230" w:rsidR="00235D9D" w:rsidRPr="00D85C65" w:rsidRDefault="00125707">
            <w:pPr>
              <w:autoSpaceDE w:val="0"/>
              <w:autoSpaceDN w:val="0"/>
              <w:adjustRightInd w:val="0"/>
              <w:spacing w:before="0" w:after="0"/>
              <w:ind w:left="720" w:hanging="360"/>
              <w:rPr>
                <w:rFonts w:ascii="Times New Roman" w:hAnsi="Times New Roman"/>
                <w:bCs/>
                <w:sz w:val="24"/>
              </w:rPr>
            </w:pPr>
            <w:r w:rsidRPr="00D85C65">
              <w:rPr>
                <w:rFonts w:ascii="Times New Roman" w:hAnsi="Times New Roman"/>
                <w:bCs/>
                <w:sz w:val="24"/>
              </w:rPr>
              <w:t>2.</w:t>
            </w:r>
            <w:r w:rsidRPr="00D85C65">
              <w:rPr>
                <w:rFonts w:ascii="Times New Roman" w:hAnsi="Times New Roman"/>
                <w:bCs/>
                <w:sz w:val="24"/>
              </w:rPr>
              <w:tab/>
              <w:t>Ak je známe smerovanie investícií PKI, tieto PKI sa pripočítajú</w:t>
            </w:r>
            <w:r w:rsidR="00D85C65">
              <w:rPr>
                <w:rFonts w:ascii="Times New Roman" w:hAnsi="Times New Roman"/>
                <w:bCs/>
                <w:sz w:val="24"/>
              </w:rPr>
              <w:t xml:space="preserve"> k </w:t>
            </w:r>
            <w:r w:rsidRPr="00D85C65">
              <w:rPr>
                <w:rFonts w:ascii="Times New Roman" w:hAnsi="Times New Roman"/>
                <w:bCs/>
                <w:sz w:val="24"/>
              </w:rPr>
              <w:t>celkovej otvorenej devízovej pozícii (dlhej alebo krátkej podľa smerovania PKI).</w:t>
            </w:r>
          </w:p>
          <w:p w14:paraId="267301F6" w14:textId="733FB10D" w:rsidR="00235D9D" w:rsidRPr="00D85C65" w:rsidRDefault="000B0B09">
            <w:pPr>
              <w:autoSpaceDE w:val="0"/>
              <w:autoSpaceDN w:val="0"/>
              <w:adjustRightInd w:val="0"/>
              <w:spacing w:before="0" w:after="0"/>
              <w:rPr>
                <w:rFonts w:ascii="Times New Roman" w:hAnsi="Times New Roman"/>
                <w:bCs/>
                <w:sz w:val="24"/>
                <w:u w:val="single"/>
              </w:rPr>
            </w:pPr>
            <w:r w:rsidRPr="00D85C65">
              <w:rPr>
                <w:rFonts w:ascii="Times New Roman" w:hAnsi="Times New Roman"/>
                <w:bCs/>
                <w:sz w:val="24"/>
              </w:rPr>
              <w:t>Vykazovanie týchto PKI sa riadi výpočtom kapitálových požiadaviek.</w:t>
            </w:r>
          </w:p>
          <w:p w14:paraId="251EF93C"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062E0484" w14:textId="77777777" w:rsidTr="00672D2A">
        <w:tc>
          <w:tcPr>
            <w:tcW w:w="991" w:type="dxa"/>
          </w:tcPr>
          <w:p w14:paraId="76ACA2D8"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040</w:t>
            </w:r>
          </w:p>
        </w:tc>
        <w:tc>
          <w:tcPr>
            <w:tcW w:w="7871" w:type="dxa"/>
          </w:tcPr>
          <w:p w14:paraId="57F03FA3"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ZLATO</w:t>
            </w:r>
          </w:p>
          <w:p w14:paraId="36C64421" w14:textId="77777777" w:rsidR="00235D9D" w:rsidRPr="00D85C65" w:rsidRDefault="00235D9D">
            <w:pPr>
              <w:autoSpaceDE w:val="0"/>
              <w:autoSpaceDN w:val="0"/>
              <w:adjustRightInd w:val="0"/>
              <w:spacing w:before="0" w:after="0"/>
              <w:rPr>
                <w:rFonts w:ascii="Times New Roman" w:hAnsi="Times New Roman"/>
                <w:b/>
                <w:bCs/>
                <w:sz w:val="24"/>
                <w:u w:val="single"/>
              </w:rPr>
            </w:pPr>
          </w:p>
          <w:p w14:paraId="6AA1D4E2" w14:textId="51016B10"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a </w:t>
            </w:r>
            <w:r w:rsidRPr="00D85C65">
              <w:rPr>
                <w:rFonts w:ascii="Times New Roman" w:hAnsi="Times New Roman"/>
                <w:sz w:val="24"/>
              </w:rPr>
              <w:t>ich zodpovedajúce požiadavky na vlastné zdroje pre meny, na ktoré sa uplatňuje všeobecný postup uvedený</w:t>
            </w:r>
            <w:r w:rsidR="00D85C65">
              <w:rPr>
                <w:rFonts w:ascii="Times New Roman" w:hAnsi="Times New Roman"/>
                <w:sz w:val="24"/>
              </w:rPr>
              <w:t xml:space="preserve"> v </w:t>
            </w:r>
            <w:r w:rsidRPr="00D85C65">
              <w:rPr>
                <w:rFonts w:ascii="Times New Roman" w:hAnsi="Times New Roman"/>
                <w:sz w:val="24"/>
              </w:rPr>
              <w:t>článku 351</w:t>
            </w:r>
            <w:r w:rsidR="00D85C65">
              <w:rPr>
                <w:rFonts w:ascii="Times New Roman" w:hAnsi="Times New Roman"/>
                <w:sz w:val="24"/>
              </w:rPr>
              <w:t xml:space="preserve"> a </w:t>
            </w:r>
            <w:r w:rsidRPr="00D85C65">
              <w:rPr>
                <w:rFonts w:ascii="Times New Roman" w:hAnsi="Times New Roman"/>
                <w:sz w:val="24"/>
              </w:rPr>
              <w:t>článku 352 ods. 2</w:t>
            </w:r>
            <w:r w:rsidR="00D85C65">
              <w:rPr>
                <w:rFonts w:ascii="Times New Roman" w:hAnsi="Times New Roman"/>
                <w:sz w:val="24"/>
              </w:rPr>
              <w:t xml:space="preserve"> a </w:t>
            </w:r>
            <w:r w:rsidRPr="00D85C65">
              <w:rPr>
                <w:rFonts w:ascii="Times New Roman" w:hAnsi="Times New Roman"/>
                <w:sz w:val="24"/>
              </w:rPr>
              <w:t>4 CRR</w:t>
            </w:r>
            <w:r w:rsidR="00D85C65">
              <w:rPr>
                <w:rFonts w:ascii="Times New Roman" w:hAnsi="Times New Roman"/>
                <w:sz w:val="24"/>
              </w:rPr>
              <w:t>.</w:t>
            </w:r>
          </w:p>
          <w:p w14:paraId="32A1D9D1" w14:textId="3940163C"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63E78194" w14:textId="77777777" w:rsidTr="00672D2A">
        <w:tc>
          <w:tcPr>
            <w:tcW w:w="991" w:type="dxa"/>
          </w:tcPr>
          <w:p w14:paraId="2E6FEA6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 – 090</w:t>
            </w:r>
          </w:p>
        </w:tc>
        <w:tc>
          <w:tcPr>
            <w:tcW w:w="7871" w:type="dxa"/>
          </w:tcPr>
          <w:p w14:paraId="1680894D"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Style w:val="InstructionsTabelleberschrift"/>
                <w:rFonts w:ascii="Times New Roman" w:hAnsi="Times New Roman"/>
                <w:sz w:val="24"/>
              </w:rPr>
              <w:t>DODATOČNÉ POŽIADAVKY PRE OPCIE (RIZIKÁ INÉ NEŽ DELTA)</w:t>
            </w:r>
          </w:p>
          <w:p w14:paraId="4E7B7DF2" w14:textId="2D652702" w:rsidR="00D85C65" w:rsidRDefault="001A0143">
            <w:pPr>
              <w:autoSpaceDE w:val="0"/>
              <w:autoSpaceDN w:val="0"/>
              <w:adjustRightInd w:val="0"/>
              <w:spacing w:after="0"/>
              <w:rPr>
                <w:rFonts w:ascii="Times New Roman" w:hAnsi="Times New Roman"/>
                <w:sz w:val="24"/>
              </w:rPr>
            </w:pPr>
            <w:r w:rsidRPr="00D85C65">
              <w:rPr>
                <w:rFonts w:ascii="Times New Roman" w:hAnsi="Times New Roman"/>
                <w:sz w:val="24"/>
              </w:rPr>
              <w:lastRenderedPageBreak/>
              <w:t>Článok 352 ods. 5</w:t>
            </w:r>
            <w:r w:rsidR="00D85C65">
              <w:rPr>
                <w:rFonts w:ascii="Times New Roman" w:hAnsi="Times New Roman"/>
                <w:sz w:val="24"/>
              </w:rPr>
              <w:t xml:space="preserve"> a </w:t>
            </w:r>
            <w:r w:rsidRPr="00D85C65">
              <w:rPr>
                <w:rFonts w:ascii="Times New Roman" w:hAnsi="Times New Roman"/>
                <w:sz w:val="24"/>
              </w:rPr>
              <w:t>6 CRR</w:t>
            </w:r>
            <w:r w:rsidR="00D85C65">
              <w:rPr>
                <w:rFonts w:ascii="Times New Roman" w:hAnsi="Times New Roman"/>
                <w:sz w:val="24"/>
              </w:rPr>
              <w:t>.</w:t>
            </w:r>
          </w:p>
          <w:p w14:paraId="541BDB2A" w14:textId="5D70E12E" w:rsidR="00235D9D" w:rsidRPr="00D85C65" w:rsidRDefault="00235D9D">
            <w:pPr>
              <w:autoSpaceDE w:val="0"/>
              <w:autoSpaceDN w:val="0"/>
              <w:adjustRightInd w:val="0"/>
              <w:spacing w:before="0" w:after="0"/>
              <w:rPr>
                <w:rFonts w:ascii="Times New Roman" w:hAnsi="Times New Roman"/>
                <w:sz w:val="24"/>
              </w:rPr>
            </w:pPr>
          </w:p>
          <w:p w14:paraId="56FFE415" w14:textId="4DD08572"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Dodatočné požiadavky pre opcie, ktoré súvisia</w:t>
            </w:r>
            <w:r w:rsidR="00D85C65">
              <w:rPr>
                <w:rFonts w:ascii="Times New Roman" w:hAnsi="Times New Roman"/>
                <w:sz w:val="24"/>
              </w:rPr>
              <w:t xml:space="preserve"> s </w:t>
            </w:r>
            <w:r w:rsidRPr="00D85C65">
              <w:rPr>
                <w:rFonts w:ascii="Times New Roman" w:hAnsi="Times New Roman"/>
                <w:sz w:val="24"/>
              </w:rPr>
              <w:t>rizikami inými než delta, sa vykazujú</w:t>
            </w:r>
            <w:r w:rsidR="00D85C65">
              <w:rPr>
                <w:rFonts w:ascii="Times New Roman" w:hAnsi="Times New Roman"/>
                <w:sz w:val="24"/>
              </w:rPr>
              <w:t xml:space="preserve"> v </w:t>
            </w:r>
            <w:r w:rsidRPr="00D85C65">
              <w:rPr>
                <w:rFonts w:ascii="Times New Roman" w:hAnsi="Times New Roman"/>
                <w:sz w:val="24"/>
              </w:rPr>
              <w:t>rozčlenení podľa metódy použitej na ich výpočet</w:t>
            </w:r>
            <w:r w:rsidR="00D85C65">
              <w:rPr>
                <w:rFonts w:ascii="Times New Roman" w:hAnsi="Times New Roman"/>
                <w:sz w:val="24"/>
              </w:rPr>
              <w:t>.</w:t>
            </w:r>
          </w:p>
          <w:p w14:paraId="7D027FA3" w14:textId="729B9DC1"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74B7B704" w14:textId="77777777" w:rsidTr="00672D2A">
        <w:tc>
          <w:tcPr>
            <w:tcW w:w="991" w:type="dxa"/>
          </w:tcPr>
          <w:p w14:paraId="4363043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100 – 120</w:t>
            </w:r>
          </w:p>
        </w:tc>
        <w:tc>
          <w:tcPr>
            <w:tcW w:w="7871" w:type="dxa"/>
          </w:tcPr>
          <w:p w14:paraId="48A5E96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Rozčlenenie celkových pozícií (vrátane meny vykazovania) podľa druhov expozícií</w:t>
            </w:r>
          </w:p>
          <w:p w14:paraId="1FF8076F" w14:textId="77777777" w:rsidR="00235D9D" w:rsidRPr="00D85C65" w:rsidRDefault="00235D9D">
            <w:pPr>
              <w:autoSpaceDE w:val="0"/>
              <w:autoSpaceDN w:val="0"/>
              <w:adjustRightInd w:val="0"/>
              <w:spacing w:before="0" w:after="0"/>
              <w:rPr>
                <w:rFonts w:ascii="Times New Roman" w:hAnsi="Times New Roman"/>
                <w:b/>
                <w:bCs/>
                <w:sz w:val="24"/>
                <w:u w:val="single"/>
              </w:rPr>
            </w:pPr>
          </w:p>
          <w:p w14:paraId="09420033" w14:textId="7C0A76E0"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Celkové pozície sa rozčlenia na deriváty, ostatné aktíva</w:t>
            </w:r>
            <w:r w:rsidR="00D85C65">
              <w:rPr>
                <w:rFonts w:ascii="Times New Roman" w:hAnsi="Times New Roman"/>
                <w:sz w:val="24"/>
              </w:rPr>
              <w:t xml:space="preserve"> a </w:t>
            </w:r>
            <w:r w:rsidRPr="00D85C65">
              <w:rPr>
                <w:rFonts w:ascii="Times New Roman" w:hAnsi="Times New Roman"/>
                <w:sz w:val="24"/>
              </w:rPr>
              <w:t>záväzky</w:t>
            </w:r>
            <w:r w:rsidR="00D85C65">
              <w:rPr>
                <w:rFonts w:ascii="Times New Roman" w:hAnsi="Times New Roman"/>
                <w:sz w:val="24"/>
              </w:rPr>
              <w:t xml:space="preserve"> a </w:t>
            </w:r>
            <w:r w:rsidRPr="00D85C65">
              <w:rPr>
                <w:rFonts w:ascii="Times New Roman" w:hAnsi="Times New Roman"/>
                <w:sz w:val="24"/>
              </w:rPr>
              <w:t>podsúvahové položky.</w:t>
            </w:r>
          </w:p>
          <w:p w14:paraId="440E53F5"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37181203" w14:textId="77777777" w:rsidTr="00672D2A">
        <w:tc>
          <w:tcPr>
            <w:tcW w:w="991" w:type="dxa"/>
          </w:tcPr>
          <w:p w14:paraId="46F50C9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100</w:t>
            </w:r>
          </w:p>
        </w:tc>
        <w:tc>
          <w:tcPr>
            <w:tcW w:w="7871" w:type="dxa"/>
          </w:tcPr>
          <w:p w14:paraId="41EFD0BF" w14:textId="2EF4C426"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Ostatné aktíva</w:t>
            </w:r>
            <w:r w:rsidR="00D85C65">
              <w:rPr>
                <w:rFonts w:ascii="Times New Roman" w:hAnsi="Times New Roman"/>
                <w:b/>
                <w:bCs/>
                <w:sz w:val="24"/>
                <w:u w:val="single"/>
              </w:rPr>
              <w:t xml:space="preserve"> a </w:t>
            </w:r>
            <w:r w:rsidRPr="00D85C65">
              <w:rPr>
                <w:rFonts w:ascii="Times New Roman" w:hAnsi="Times New Roman"/>
                <w:b/>
                <w:bCs/>
                <w:sz w:val="24"/>
                <w:u w:val="single"/>
              </w:rPr>
              <w:t>záväzky iné než podsúvahové položky</w:t>
            </w:r>
            <w:r w:rsidR="00D85C65">
              <w:rPr>
                <w:rFonts w:ascii="Times New Roman" w:hAnsi="Times New Roman"/>
                <w:b/>
                <w:bCs/>
                <w:sz w:val="24"/>
                <w:u w:val="single"/>
              </w:rPr>
              <w:t xml:space="preserve"> a </w:t>
            </w:r>
            <w:r w:rsidRPr="00D85C65">
              <w:rPr>
                <w:rFonts w:ascii="Times New Roman" w:hAnsi="Times New Roman"/>
                <w:b/>
                <w:bCs/>
                <w:sz w:val="24"/>
                <w:u w:val="single"/>
              </w:rPr>
              <w:t>deriváty</w:t>
            </w:r>
          </w:p>
          <w:p w14:paraId="28280076" w14:textId="77777777" w:rsidR="00235D9D" w:rsidRPr="00D85C65" w:rsidRDefault="00235D9D">
            <w:pPr>
              <w:autoSpaceDE w:val="0"/>
              <w:autoSpaceDN w:val="0"/>
              <w:adjustRightInd w:val="0"/>
              <w:spacing w:before="0" w:after="0"/>
              <w:rPr>
                <w:rFonts w:ascii="Times New Roman" w:hAnsi="Times New Roman"/>
                <w:b/>
                <w:bCs/>
                <w:sz w:val="24"/>
                <w:u w:val="single"/>
              </w:rPr>
            </w:pPr>
          </w:p>
          <w:p w14:paraId="2617B37E" w14:textId="2CCCCA1D"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Vykazujú sa tu pozície nezahrnuté</w:t>
            </w:r>
            <w:r w:rsidR="00D85C65">
              <w:rPr>
                <w:rFonts w:ascii="Times New Roman" w:hAnsi="Times New Roman"/>
                <w:sz w:val="24"/>
              </w:rPr>
              <w:t xml:space="preserve"> v </w:t>
            </w:r>
            <w:r w:rsidRPr="00D85C65">
              <w:rPr>
                <w:rFonts w:ascii="Times New Roman" w:hAnsi="Times New Roman"/>
                <w:sz w:val="24"/>
              </w:rPr>
              <w:t>riadku 110 alebo 120</w:t>
            </w:r>
            <w:r w:rsidR="00D85C65">
              <w:rPr>
                <w:rFonts w:ascii="Times New Roman" w:hAnsi="Times New Roman"/>
                <w:sz w:val="24"/>
              </w:rPr>
              <w:t>.</w:t>
            </w:r>
          </w:p>
          <w:p w14:paraId="0A2B3835" w14:textId="31DDD3EB"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sz w:val="24"/>
              </w:rPr>
              <w:t xml:space="preserve"> </w:t>
            </w:r>
          </w:p>
        </w:tc>
      </w:tr>
      <w:tr w:rsidR="00235D9D" w:rsidRPr="00D85C65" w14:paraId="66AED25F" w14:textId="77777777" w:rsidTr="00672D2A">
        <w:tc>
          <w:tcPr>
            <w:tcW w:w="991" w:type="dxa"/>
          </w:tcPr>
          <w:p w14:paraId="3177BEE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110</w:t>
            </w:r>
          </w:p>
        </w:tc>
        <w:tc>
          <w:tcPr>
            <w:tcW w:w="7871" w:type="dxa"/>
          </w:tcPr>
          <w:p w14:paraId="59E283A5"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Podsúvahové položky</w:t>
            </w:r>
          </w:p>
          <w:p w14:paraId="61E13CD6" w14:textId="77777777" w:rsidR="00235D9D" w:rsidRPr="00D85C65" w:rsidRDefault="00235D9D">
            <w:pPr>
              <w:autoSpaceDE w:val="0"/>
              <w:autoSpaceDN w:val="0"/>
              <w:adjustRightInd w:val="0"/>
              <w:spacing w:before="0" w:after="0"/>
              <w:rPr>
                <w:rFonts w:ascii="Times New Roman" w:hAnsi="Times New Roman"/>
                <w:b/>
                <w:bCs/>
                <w:sz w:val="24"/>
                <w:u w:val="single"/>
              </w:rPr>
            </w:pPr>
          </w:p>
          <w:p w14:paraId="18E7CD2A" w14:textId="7F26DCF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Položky patriace do rozsahu pôsobnosti článku 352 CRR bez ohľadu na menu denominácie, ktoré sú zahrnuté</w:t>
            </w:r>
            <w:r w:rsidR="00D85C65">
              <w:rPr>
                <w:rFonts w:ascii="Times New Roman" w:hAnsi="Times New Roman"/>
                <w:sz w:val="24"/>
              </w:rPr>
              <w:t xml:space="preserve"> v </w:t>
            </w:r>
            <w:r w:rsidRPr="00D85C65">
              <w:rPr>
                <w:rFonts w:ascii="Times New Roman" w:hAnsi="Times New Roman"/>
                <w:sz w:val="24"/>
              </w:rPr>
              <w:t>prílohe I</w:t>
            </w:r>
            <w:r w:rsidR="00D85C65">
              <w:rPr>
                <w:rFonts w:ascii="Times New Roman" w:hAnsi="Times New Roman"/>
                <w:sz w:val="24"/>
              </w:rPr>
              <w:t xml:space="preserve"> k </w:t>
            </w:r>
            <w:r w:rsidRPr="00D85C65">
              <w:rPr>
                <w:rFonts w:ascii="Times New Roman" w:hAnsi="Times New Roman"/>
                <w:sz w:val="24"/>
              </w:rPr>
              <w:t>CRR, okrem položiek zahrnutých ako transakcie spočívajúce vo financovaní cenných papierov</w:t>
            </w:r>
            <w:r w:rsidR="00D85C65">
              <w:rPr>
                <w:rFonts w:ascii="Times New Roman" w:hAnsi="Times New Roman"/>
                <w:sz w:val="24"/>
              </w:rPr>
              <w:t xml:space="preserve"> a </w:t>
            </w:r>
            <w:r w:rsidRPr="00D85C65">
              <w:rPr>
                <w:rFonts w:ascii="Times New Roman" w:hAnsi="Times New Roman"/>
                <w:sz w:val="24"/>
              </w:rPr>
              <w:t>transakcie</w:t>
            </w:r>
            <w:r w:rsidR="00D85C65">
              <w:rPr>
                <w:rFonts w:ascii="Times New Roman" w:hAnsi="Times New Roman"/>
                <w:sz w:val="24"/>
              </w:rPr>
              <w:t xml:space="preserve"> s </w:t>
            </w:r>
            <w:r w:rsidRPr="00D85C65">
              <w:rPr>
                <w:rFonts w:ascii="Times New Roman" w:hAnsi="Times New Roman"/>
                <w:sz w:val="24"/>
              </w:rPr>
              <w:t>dlhou dobou vyrovnania alebo zo vzájomného krížového započítavania produktov.</w:t>
            </w:r>
          </w:p>
          <w:p w14:paraId="0FB67B8F"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03B0796D" w14:textId="77777777" w:rsidTr="00672D2A">
        <w:tc>
          <w:tcPr>
            <w:tcW w:w="991" w:type="dxa"/>
          </w:tcPr>
          <w:p w14:paraId="5BC973E8"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120</w:t>
            </w:r>
          </w:p>
          <w:p w14:paraId="5A706C9D" w14:textId="77777777" w:rsidR="00235D9D" w:rsidRPr="00D85C65" w:rsidRDefault="00235D9D">
            <w:pPr>
              <w:autoSpaceDE w:val="0"/>
              <w:autoSpaceDN w:val="0"/>
              <w:adjustRightInd w:val="0"/>
              <w:spacing w:before="0" w:after="0"/>
              <w:rPr>
                <w:rFonts w:ascii="Times New Roman" w:hAnsi="Times New Roman"/>
                <w:sz w:val="24"/>
              </w:rPr>
            </w:pPr>
          </w:p>
        </w:tc>
        <w:tc>
          <w:tcPr>
            <w:tcW w:w="7871" w:type="dxa"/>
          </w:tcPr>
          <w:p w14:paraId="26039B01"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Deriváty</w:t>
            </w:r>
          </w:p>
          <w:p w14:paraId="735E3247" w14:textId="77777777" w:rsidR="00235D9D" w:rsidRPr="00D85C65" w:rsidRDefault="00235D9D">
            <w:pPr>
              <w:autoSpaceDE w:val="0"/>
              <w:autoSpaceDN w:val="0"/>
              <w:adjustRightInd w:val="0"/>
              <w:spacing w:before="0" w:after="0"/>
              <w:rPr>
                <w:rFonts w:ascii="Times New Roman" w:hAnsi="Times New Roman"/>
                <w:b/>
                <w:bCs/>
                <w:sz w:val="24"/>
                <w:u w:val="single"/>
              </w:rPr>
            </w:pPr>
          </w:p>
          <w:p w14:paraId="7FBBC17B" w14:textId="6D72C500"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 ocenené podľa článku 352 CRR.</w:t>
            </w:r>
          </w:p>
          <w:p w14:paraId="60FA76E8"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4E1851B6" w14:textId="77777777" w:rsidTr="00672D2A">
        <w:tc>
          <w:tcPr>
            <w:tcW w:w="991" w:type="dxa"/>
          </w:tcPr>
          <w:p w14:paraId="242F079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130 – 480</w:t>
            </w:r>
          </w:p>
          <w:p w14:paraId="3B430027" w14:textId="77777777" w:rsidR="00235D9D" w:rsidRPr="00D85C65" w:rsidRDefault="00235D9D">
            <w:pPr>
              <w:autoSpaceDE w:val="0"/>
              <w:autoSpaceDN w:val="0"/>
              <w:adjustRightInd w:val="0"/>
              <w:spacing w:before="0" w:after="0"/>
              <w:rPr>
                <w:rFonts w:ascii="Times New Roman" w:hAnsi="Times New Roman"/>
                <w:sz w:val="24"/>
              </w:rPr>
            </w:pPr>
          </w:p>
        </w:tc>
        <w:tc>
          <w:tcPr>
            <w:tcW w:w="7871" w:type="dxa"/>
          </w:tcPr>
          <w:p w14:paraId="146998E9"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b/>
                <w:bCs/>
                <w:sz w:val="24"/>
                <w:u w:val="single"/>
              </w:rPr>
              <w:t>DOPLŇUJÚCE POLOŽKY: MENOVÉ POZÍCIE</w:t>
            </w:r>
          </w:p>
          <w:p w14:paraId="321BD3B9" w14:textId="77777777" w:rsidR="00235D9D" w:rsidRPr="00D85C65" w:rsidRDefault="00235D9D">
            <w:pPr>
              <w:autoSpaceDE w:val="0"/>
              <w:autoSpaceDN w:val="0"/>
              <w:adjustRightInd w:val="0"/>
              <w:spacing w:before="0" w:after="0"/>
              <w:rPr>
                <w:rFonts w:ascii="Times New Roman" w:hAnsi="Times New Roman"/>
                <w:b/>
                <w:bCs/>
                <w:sz w:val="24"/>
              </w:rPr>
            </w:pPr>
          </w:p>
          <w:p w14:paraId="70963912" w14:textId="123DFB44" w:rsidR="00235D9D" w:rsidRPr="00D85C65" w:rsidRDefault="000B0B09">
            <w:pPr>
              <w:autoSpaceDE w:val="0"/>
              <w:autoSpaceDN w:val="0"/>
              <w:adjustRightInd w:val="0"/>
              <w:spacing w:before="0" w:after="0"/>
              <w:rPr>
                <w:rStyle w:val="InstructionsTabelleText"/>
                <w:rFonts w:ascii="Times New Roman" w:hAnsi="Times New Roman"/>
                <w:sz w:val="24"/>
              </w:rPr>
            </w:pPr>
            <w:r w:rsidRPr="00D85C65">
              <w:rPr>
                <w:rFonts w:ascii="Times New Roman" w:hAnsi="Times New Roman"/>
                <w:sz w:val="24"/>
              </w:rPr>
              <w:t>Doplňujúce položky vzoru sa vypĺňajú samostatne pre všetky meny členských štátov Únie, USD, CHF, JPY, RUB, TRY, AUD, CAD, RSD, ALL, UAH, MKD, EGP, ARS, BRL, MXN, HKD, ICK, TWD, NZD, NOK, SGD, KRW, CNY</w:t>
            </w:r>
            <w:r w:rsidR="00D85C65">
              <w:rPr>
                <w:rFonts w:ascii="Times New Roman" w:hAnsi="Times New Roman"/>
                <w:sz w:val="24"/>
              </w:rPr>
              <w:t xml:space="preserve"> a </w:t>
            </w:r>
            <w:r w:rsidRPr="00D85C65">
              <w:rPr>
                <w:rFonts w:ascii="Times New Roman" w:hAnsi="Times New Roman"/>
                <w:sz w:val="24"/>
              </w:rPr>
              <w:t xml:space="preserve">všetky ostatné meny. </w:t>
            </w:r>
          </w:p>
        </w:tc>
      </w:tr>
    </w:tbl>
    <w:p w14:paraId="16039BCB" w14:textId="77777777" w:rsidR="00235D9D" w:rsidRPr="00D85C65" w:rsidRDefault="00235D9D">
      <w:pPr>
        <w:rPr>
          <w:rFonts w:ascii="Times New Roman" w:hAnsi="Times New Roman"/>
          <w:sz w:val="24"/>
        </w:rPr>
      </w:pPr>
    </w:p>
    <w:p w14:paraId="237C8B12"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99" w:name="_Toc29994541"/>
      <w:r w:rsidRPr="00D85C65">
        <w:rPr>
          <w:rFonts w:ascii="Times New Roman" w:hAnsi="Times New Roman"/>
          <w:sz w:val="24"/>
          <w:u w:val="none"/>
        </w:rPr>
        <w:t>5.6.</w:t>
      </w:r>
      <w:r w:rsidRPr="00D85C65">
        <w:rPr>
          <w:rFonts w:ascii="Times New Roman" w:hAnsi="Times New Roman"/>
          <w:sz w:val="24"/>
          <w:u w:val="none"/>
        </w:rPr>
        <w:tab/>
      </w:r>
      <w:r w:rsidRPr="00D85C65">
        <w:rPr>
          <w:rFonts w:ascii="Times New Roman" w:hAnsi="Times New Roman"/>
          <w:sz w:val="24"/>
        </w:rPr>
        <w:t>C 23.00 – Trhové riziko: Štandardizované prístupy pre komodity (MKR SA COM)</w:t>
      </w:r>
      <w:bookmarkEnd w:id="99"/>
    </w:p>
    <w:p w14:paraId="7BF00096"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100" w:name="_Toc29994542"/>
      <w:r w:rsidRPr="00D85C65">
        <w:rPr>
          <w:rFonts w:ascii="Times New Roman" w:hAnsi="Times New Roman"/>
          <w:sz w:val="24"/>
          <w:u w:val="none"/>
        </w:rPr>
        <w:t>5.6.1.</w:t>
      </w:r>
      <w:r w:rsidRPr="00D85C65">
        <w:rPr>
          <w:rFonts w:ascii="Times New Roman" w:hAnsi="Times New Roman"/>
          <w:sz w:val="24"/>
          <w:u w:val="none"/>
        </w:rPr>
        <w:tab/>
      </w:r>
      <w:r w:rsidRPr="00D85C65">
        <w:rPr>
          <w:rFonts w:ascii="Times New Roman" w:hAnsi="Times New Roman"/>
          <w:sz w:val="24"/>
        </w:rPr>
        <w:t>Všeobecné poznámky</w:t>
      </w:r>
      <w:bookmarkEnd w:id="100"/>
    </w:p>
    <w:p w14:paraId="41536C89" w14:textId="319D443D" w:rsidR="00235D9D" w:rsidRPr="00D85C65" w:rsidRDefault="00125707">
      <w:pPr>
        <w:pStyle w:val="InstructionsText2"/>
        <w:numPr>
          <w:ilvl w:val="0"/>
          <w:numId w:val="0"/>
        </w:numPr>
        <w:ind w:left="993"/>
      </w:pPr>
      <w:r w:rsidRPr="00D85C65">
        <w:t>152.</w:t>
      </w:r>
      <w:r w:rsidRPr="00D85C65">
        <w:tab/>
      </w:r>
      <w:r w:rsidR="00D85C65">
        <w:t xml:space="preserve"> V </w:t>
      </w:r>
      <w:r w:rsidRPr="00D85C65">
        <w:t>tomto vzore sa vyžadujú informácie</w:t>
      </w:r>
      <w:r w:rsidR="00D85C65">
        <w:t xml:space="preserve"> o </w:t>
      </w:r>
      <w:r w:rsidRPr="00D85C65">
        <w:t>pozíciách</w:t>
      </w:r>
      <w:r w:rsidR="00D85C65">
        <w:t xml:space="preserve"> v </w:t>
      </w:r>
      <w:r w:rsidRPr="00D85C65">
        <w:t>komoditách</w:t>
      </w:r>
      <w:r w:rsidR="00D85C65">
        <w:t xml:space="preserve"> a </w:t>
      </w:r>
      <w:r w:rsidRPr="00D85C65">
        <w:t>zodpovedajúcich požiadavkách na vlastné zdroje</w:t>
      </w:r>
      <w:r w:rsidR="00D85C65">
        <w:t xml:space="preserve"> v </w:t>
      </w:r>
      <w:r w:rsidRPr="00D85C65">
        <w:t>rámci štandardizovaného prístupu.</w:t>
      </w:r>
    </w:p>
    <w:p w14:paraId="387788EE" w14:textId="4CF21C5E" w:rsidR="00235D9D" w:rsidRPr="00D85C65" w:rsidRDefault="00125707">
      <w:pPr>
        <w:pStyle w:val="Instructionsberschrift2"/>
        <w:numPr>
          <w:ilvl w:val="0"/>
          <w:numId w:val="0"/>
        </w:numPr>
        <w:ind w:left="357" w:hanging="357"/>
        <w:rPr>
          <w:rFonts w:ascii="Times New Roman" w:hAnsi="Times New Roman" w:cs="Times New Roman"/>
          <w:sz w:val="24"/>
        </w:rPr>
      </w:pPr>
      <w:bookmarkStart w:id="101" w:name="_Toc29994543"/>
      <w:r w:rsidRPr="00D85C65">
        <w:rPr>
          <w:rFonts w:ascii="Times New Roman" w:hAnsi="Times New Roman"/>
          <w:sz w:val="24"/>
          <w:u w:val="none"/>
        </w:rPr>
        <w:t>5.6.2.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235D9D" w:rsidRPr="00D85C65" w14:paraId="3A954E89" w14:textId="77777777" w:rsidTr="00672D2A">
        <w:trPr>
          <w:trHeight w:val="591"/>
        </w:trPr>
        <w:tc>
          <w:tcPr>
            <w:tcW w:w="8862" w:type="dxa"/>
            <w:gridSpan w:val="2"/>
            <w:shd w:val="clear" w:color="auto" w:fill="CCCCCC"/>
          </w:tcPr>
          <w:p w14:paraId="5CCCDF09"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Stĺpce</w:t>
            </w:r>
          </w:p>
        </w:tc>
      </w:tr>
      <w:tr w:rsidR="00235D9D" w:rsidRPr="00D85C65" w14:paraId="4954C355" w14:textId="77777777" w:rsidTr="00672D2A">
        <w:tc>
          <w:tcPr>
            <w:tcW w:w="986" w:type="dxa"/>
          </w:tcPr>
          <w:p w14:paraId="0CF2B7B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 – 020</w:t>
            </w:r>
          </w:p>
        </w:tc>
        <w:tc>
          <w:tcPr>
            <w:tcW w:w="7876" w:type="dxa"/>
          </w:tcPr>
          <w:p w14:paraId="567D8D37"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VŠETKY POZÍCIE (DLHÉ A KRÁTKE)</w:t>
            </w:r>
          </w:p>
          <w:p w14:paraId="299F4C40"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F3D01D9" w14:textId="39E23BA0"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Hrubé dlhé/krátke pozície, ktoré sa považujú za pozície</w:t>
            </w:r>
            <w:r w:rsidR="00D85C65">
              <w:rPr>
                <w:rFonts w:ascii="Times New Roman" w:hAnsi="Times New Roman"/>
                <w:sz w:val="24"/>
              </w:rPr>
              <w:t xml:space="preserve"> v </w:t>
            </w:r>
            <w:r w:rsidRPr="00D85C65">
              <w:rPr>
                <w:rFonts w:ascii="Times New Roman" w:hAnsi="Times New Roman"/>
                <w:sz w:val="24"/>
              </w:rPr>
              <w:t>rovnakej komodite</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357 ods. 4 CRR (pozri aj článok 359 ods. 1 CRR).</w:t>
            </w:r>
          </w:p>
          <w:p w14:paraId="427CD06D"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 </w:t>
            </w:r>
          </w:p>
        </w:tc>
      </w:tr>
      <w:tr w:rsidR="00235D9D" w:rsidRPr="00D85C65" w14:paraId="404D06D4" w14:textId="77777777" w:rsidTr="00672D2A">
        <w:tc>
          <w:tcPr>
            <w:tcW w:w="986" w:type="dxa"/>
          </w:tcPr>
          <w:p w14:paraId="53D676A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 xml:space="preserve">030 – 040 </w:t>
            </w:r>
          </w:p>
        </w:tc>
        <w:tc>
          <w:tcPr>
            <w:tcW w:w="7876" w:type="dxa"/>
          </w:tcPr>
          <w:p w14:paraId="65920E20"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ČISTÉ POZÍCIE (DLHÉ A KRÁTKE)</w:t>
            </w:r>
          </w:p>
          <w:p w14:paraId="2F34C355" w14:textId="77777777" w:rsidR="00235D9D" w:rsidRPr="00D85C65" w:rsidRDefault="00235D9D">
            <w:pPr>
              <w:autoSpaceDE w:val="0"/>
              <w:autoSpaceDN w:val="0"/>
              <w:adjustRightInd w:val="0"/>
              <w:spacing w:before="0" w:after="0"/>
              <w:rPr>
                <w:rFonts w:ascii="Times New Roman" w:hAnsi="Times New Roman"/>
                <w:sz w:val="24"/>
              </w:rPr>
            </w:pPr>
          </w:p>
          <w:p w14:paraId="16366853" w14:textId="6C72AB22"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Podľa vymedzenia</w:t>
            </w:r>
            <w:r w:rsidR="00D85C65">
              <w:rPr>
                <w:rFonts w:ascii="Times New Roman" w:hAnsi="Times New Roman"/>
                <w:sz w:val="24"/>
              </w:rPr>
              <w:t xml:space="preserve"> v </w:t>
            </w:r>
            <w:r w:rsidRPr="00D85C65">
              <w:rPr>
                <w:rFonts w:ascii="Times New Roman" w:hAnsi="Times New Roman"/>
                <w:sz w:val="24"/>
              </w:rPr>
              <w:t xml:space="preserve">článku 357 ods. 3 CRR. </w:t>
            </w:r>
          </w:p>
        </w:tc>
      </w:tr>
      <w:tr w:rsidR="00235D9D" w:rsidRPr="00D85C65" w14:paraId="1E20BCEE" w14:textId="77777777" w:rsidTr="00672D2A">
        <w:tc>
          <w:tcPr>
            <w:tcW w:w="986" w:type="dxa"/>
          </w:tcPr>
          <w:p w14:paraId="660BC236"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w:t>
            </w:r>
          </w:p>
        </w:tc>
        <w:tc>
          <w:tcPr>
            <w:tcW w:w="7876" w:type="dxa"/>
          </w:tcPr>
          <w:p w14:paraId="6C26919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NA KTORÉ SA VZŤAHUJE KAPITÁLOVÁ POŽIADAVKA</w:t>
            </w:r>
          </w:p>
          <w:p w14:paraId="1EAC575A" w14:textId="77777777" w:rsidR="00235D9D" w:rsidRPr="00D85C65" w:rsidRDefault="00235D9D">
            <w:pPr>
              <w:autoSpaceDE w:val="0"/>
              <w:autoSpaceDN w:val="0"/>
              <w:adjustRightInd w:val="0"/>
              <w:spacing w:before="0" w:after="0"/>
              <w:rPr>
                <w:rFonts w:ascii="Times New Roman" w:hAnsi="Times New Roman"/>
                <w:sz w:val="24"/>
              </w:rPr>
            </w:pPr>
          </w:p>
          <w:p w14:paraId="549FD729" w14:textId="0058D945"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Čisté pozície, na ktoré sa podľa rôznych prístupov</w:t>
            </w:r>
            <w:r w:rsidR="00D85C65">
              <w:rPr>
                <w:rFonts w:ascii="Times New Roman" w:hAnsi="Times New Roman"/>
                <w:sz w:val="24"/>
              </w:rPr>
              <w:t xml:space="preserve"> v </w:t>
            </w:r>
            <w:r w:rsidRPr="00D85C65">
              <w:rPr>
                <w:rFonts w:ascii="Times New Roman" w:hAnsi="Times New Roman"/>
                <w:sz w:val="24"/>
              </w:rPr>
              <w:t>tretej časti hlave IV kapitole 4 CRR vzťahuje kapitálová požiadavka.</w:t>
            </w:r>
          </w:p>
          <w:p w14:paraId="130E13F8"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268A7FB7" w14:textId="77777777" w:rsidTr="00672D2A">
        <w:tc>
          <w:tcPr>
            <w:tcW w:w="986" w:type="dxa"/>
          </w:tcPr>
          <w:p w14:paraId="68FCB3E6"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060</w:t>
            </w:r>
          </w:p>
        </w:tc>
        <w:tc>
          <w:tcPr>
            <w:tcW w:w="7876" w:type="dxa"/>
          </w:tcPr>
          <w:p w14:paraId="418E7CA9"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POŽIADAVKY NA VLASTNÉ ZDROJE</w:t>
            </w:r>
          </w:p>
          <w:p w14:paraId="12512DC6" w14:textId="77777777" w:rsidR="00235D9D" w:rsidRPr="00D85C65" w:rsidRDefault="00235D9D">
            <w:pPr>
              <w:autoSpaceDE w:val="0"/>
              <w:autoSpaceDN w:val="0"/>
              <w:adjustRightInd w:val="0"/>
              <w:spacing w:before="0" w:after="0"/>
              <w:rPr>
                <w:rFonts w:ascii="Times New Roman" w:hAnsi="Times New Roman"/>
                <w:b/>
                <w:bCs/>
                <w:sz w:val="24"/>
                <w:u w:val="single"/>
              </w:rPr>
            </w:pPr>
          </w:p>
          <w:p w14:paraId="4F55B841" w14:textId="22C2CB5F" w:rsidR="00235D9D" w:rsidRPr="00D85C65" w:rsidRDefault="000B0B09">
            <w:pPr>
              <w:autoSpaceDE w:val="0"/>
              <w:autoSpaceDN w:val="0"/>
              <w:adjustRightInd w:val="0"/>
              <w:spacing w:before="0"/>
              <w:rPr>
                <w:rFonts w:ascii="Times New Roman" w:hAnsi="Times New Roman"/>
                <w:b/>
                <w:bCs/>
                <w:sz w:val="24"/>
                <w:u w:val="single"/>
              </w:rPr>
            </w:pPr>
            <w:r w:rsidRPr="00D85C65">
              <w:rPr>
                <w:rFonts w:ascii="Times New Roman" w:hAnsi="Times New Roman"/>
                <w:sz w:val="24"/>
              </w:rPr>
              <w:t>Požiadavka na vlastné zdroje vypočítaná</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treťou časťou hlavou IV kapitolou 4 CRR pre akúkoľvek relevantnú pozíciu.</w:t>
            </w:r>
          </w:p>
        </w:tc>
      </w:tr>
      <w:tr w:rsidR="00235D9D" w:rsidRPr="00D85C65" w14:paraId="15C10C2B" w14:textId="77777777" w:rsidTr="00672D2A">
        <w:tc>
          <w:tcPr>
            <w:tcW w:w="986" w:type="dxa"/>
          </w:tcPr>
          <w:p w14:paraId="2A524AC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876" w:type="dxa"/>
          </w:tcPr>
          <w:p w14:paraId="320A753A" w14:textId="77777777" w:rsidR="00235D9D" w:rsidRPr="00D85C65" w:rsidRDefault="000B0B09">
            <w:pPr>
              <w:tabs>
                <w:tab w:val="left" w:pos="1665"/>
              </w:tabs>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RIZIKOVÝCH EXPOZÍCIÍ</w:t>
            </w:r>
          </w:p>
          <w:p w14:paraId="564004DD" w14:textId="77777777" w:rsidR="00235D9D" w:rsidRPr="00D85C65" w:rsidRDefault="00235D9D">
            <w:pPr>
              <w:tabs>
                <w:tab w:val="left" w:pos="1665"/>
              </w:tabs>
              <w:autoSpaceDE w:val="0"/>
              <w:autoSpaceDN w:val="0"/>
              <w:adjustRightInd w:val="0"/>
              <w:spacing w:before="0" w:after="0"/>
              <w:rPr>
                <w:rFonts w:ascii="Times New Roman" w:hAnsi="Times New Roman"/>
                <w:b/>
                <w:bCs/>
                <w:sz w:val="24"/>
                <w:u w:val="single"/>
              </w:rPr>
            </w:pPr>
          </w:p>
          <w:p w14:paraId="1C69FE2A" w14:textId="77777777" w:rsidR="00D85C65" w:rsidRDefault="00D21B29">
            <w:pPr>
              <w:tabs>
                <w:tab w:val="left" w:pos="1665"/>
              </w:tabs>
              <w:autoSpaceDE w:val="0"/>
              <w:autoSpaceDN w:val="0"/>
              <w:adjustRightInd w:val="0"/>
              <w:spacing w:before="0"/>
              <w:rPr>
                <w:rFonts w:ascii="Times New Roman" w:hAnsi="Times New Roman"/>
                <w:sz w:val="24"/>
              </w:rPr>
            </w:pPr>
            <w:r w:rsidRPr="00D85C65">
              <w:rPr>
                <w:rFonts w:ascii="Times New Roman" w:hAnsi="Times New Roman"/>
                <w:sz w:val="24"/>
              </w:rPr>
              <w:t>Článok 92 ods. 4 písm. b) CRR</w:t>
            </w:r>
            <w:r w:rsidR="00D85C65">
              <w:rPr>
                <w:rFonts w:ascii="Times New Roman" w:hAnsi="Times New Roman"/>
                <w:sz w:val="24"/>
              </w:rPr>
              <w:t>.</w:t>
            </w:r>
          </w:p>
          <w:p w14:paraId="48E50A18" w14:textId="764DA96F" w:rsidR="00235D9D" w:rsidRPr="00D85C65" w:rsidRDefault="000B0B09">
            <w:pPr>
              <w:tabs>
                <w:tab w:val="left" w:pos="1665"/>
              </w:tabs>
              <w:autoSpaceDE w:val="0"/>
              <w:autoSpaceDN w:val="0"/>
              <w:adjustRightInd w:val="0"/>
              <w:spacing w:before="0"/>
              <w:rPr>
                <w:rFonts w:ascii="Times New Roman" w:hAnsi="Times New Roman"/>
                <w:b/>
                <w:bCs/>
                <w:sz w:val="24"/>
                <w:u w:val="single"/>
              </w:rPr>
            </w:pPr>
            <w:r w:rsidRPr="00D85C65">
              <w:rPr>
                <w:rFonts w:ascii="Times New Roman" w:hAnsi="Times New Roman"/>
                <w:sz w:val="24"/>
              </w:rPr>
              <w:t>Výsledok vynásobenia požiadaviek na vlastné zdroje koeficientom 12,5.</w:t>
            </w:r>
          </w:p>
        </w:tc>
      </w:tr>
    </w:tbl>
    <w:p w14:paraId="29FC921B" w14:textId="77777777" w:rsidR="00235D9D" w:rsidRPr="00D85C65" w:rsidRDefault="00235D9D">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235D9D" w:rsidRPr="00D85C65" w14:paraId="4F7C43AF" w14:textId="77777777" w:rsidTr="00672D2A">
        <w:trPr>
          <w:trHeight w:val="483"/>
        </w:trPr>
        <w:tc>
          <w:tcPr>
            <w:tcW w:w="8862" w:type="dxa"/>
            <w:gridSpan w:val="2"/>
            <w:shd w:val="clear" w:color="auto" w:fill="CCCCCC"/>
          </w:tcPr>
          <w:p w14:paraId="597DF065"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3070A4EF" w14:textId="77777777" w:rsidTr="00672D2A">
        <w:tc>
          <w:tcPr>
            <w:tcW w:w="987" w:type="dxa"/>
          </w:tcPr>
          <w:p w14:paraId="6D3D671D"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w:t>
            </w:r>
          </w:p>
        </w:tc>
        <w:tc>
          <w:tcPr>
            <w:tcW w:w="7875" w:type="dxa"/>
          </w:tcPr>
          <w:p w14:paraId="67A9BBDE" w14:textId="4536E82F"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CELKOVÉ POZÍCIE</w:t>
            </w:r>
            <w:r w:rsidR="00D85C65">
              <w:rPr>
                <w:rFonts w:ascii="Times New Roman" w:hAnsi="Times New Roman"/>
                <w:b/>
                <w:bCs/>
                <w:sz w:val="24"/>
                <w:u w:val="single"/>
              </w:rPr>
              <w:t xml:space="preserve"> V </w:t>
            </w:r>
            <w:r w:rsidRPr="00D85C65">
              <w:rPr>
                <w:rFonts w:ascii="Times New Roman" w:hAnsi="Times New Roman"/>
                <w:b/>
                <w:bCs/>
                <w:sz w:val="24"/>
                <w:u w:val="single"/>
              </w:rPr>
              <w:t>KOMODITÁCH</w:t>
            </w:r>
          </w:p>
          <w:p w14:paraId="7599290F" w14:textId="77777777" w:rsidR="00235D9D" w:rsidRPr="00D85C65" w:rsidRDefault="00235D9D">
            <w:pPr>
              <w:autoSpaceDE w:val="0"/>
              <w:autoSpaceDN w:val="0"/>
              <w:adjustRightInd w:val="0"/>
              <w:spacing w:before="0" w:after="0"/>
              <w:rPr>
                <w:rFonts w:ascii="Times New Roman" w:hAnsi="Times New Roman"/>
                <w:sz w:val="24"/>
              </w:rPr>
            </w:pPr>
          </w:p>
          <w:p w14:paraId="0FC9167E" w14:textId="1780F4D4"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komoditách</w:t>
            </w:r>
            <w:r w:rsidR="00D85C65">
              <w:rPr>
                <w:rFonts w:ascii="Times New Roman" w:hAnsi="Times New Roman"/>
                <w:sz w:val="24"/>
              </w:rPr>
              <w:t xml:space="preserve"> a </w:t>
            </w:r>
            <w:r w:rsidRPr="00D85C65">
              <w:rPr>
                <w:rFonts w:ascii="Times New Roman" w:hAnsi="Times New Roman"/>
                <w:sz w:val="24"/>
              </w:rPr>
              <w:t>ich zodpovedajúce požiadavky na vlastné zdroje pre trhové riziko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92 ods. 3 písm. c) bodom iii) CRR</w:t>
            </w:r>
            <w:r w:rsidR="00D85C65">
              <w:rPr>
                <w:rFonts w:ascii="Times New Roman" w:hAnsi="Times New Roman"/>
                <w:sz w:val="24"/>
              </w:rPr>
              <w:t xml:space="preserve"> a </w:t>
            </w:r>
            <w:r w:rsidRPr="00D85C65">
              <w:rPr>
                <w:rFonts w:ascii="Times New Roman" w:hAnsi="Times New Roman"/>
                <w:sz w:val="24"/>
              </w:rPr>
              <w:t xml:space="preserve">treťou časťou hlavou IV kapitolou 4 CRR. </w:t>
            </w:r>
          </w:p>
        </w:tc>
      </w:tr>
      <w:tr w:rsidR="00235D9D" w:rsidRPr="00D85C65" w14:paraId="5922DE26" w14:textId="77777777" w:rsidTr="00672D2A">
        <w:tc>
          <w:tcPr>
            <w:tcW w:w="987" w:type="dxa"/>
          </w:tcPr>
          <w:p w14:paraId="6C743166"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 – 060</w:t>
            </w:r>
          </w:p>
        </w:tc>
        <w:tc>
          <w:tcPr>
            <w:tcW w:w="7875" w:type="dxa"/>
          </w:tcPr>
          <w:p w14:paraId="4098085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POZÍCIE PODĽA KATEGÓRIE KOMODITY</w:t>
            </w:r>
          </w:p>
          <w:p w14:paraId="23840BC8" w14:textId="77777777" w:rsidR="00235D9D" w:rsidRPr="00D85C65" w:rsidRDefault="00235D9D">
            <w:pPr>
              <w:autoSpaceDE w:val="0"/>
              <w:autoSpaceDN w:val="0"/>
              <w:adjustRightInd w:val="0"/>
              <w:spacing w:before="0" w:after="0"/>
              <w:rPr>
                <w:rFonts w:ascii="Times New Roman" w:hAnsi="Times New Roman"/>
                <w:sz w:val="24"/>
              </w:rPr>
            </w:pPr>
          </w:p>
          <w:p w14:paraId="1BC4B0E7" w14:textId="709B5E21"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Komodity sa na účely vykazovania zoskupia do štyroch skupín komodít uvedených</w:t>
            </w:r>
            <w:r w:rsidR="00D85C65">
              <w:rPr>
                <w:rFonts w:ascii="Times New Roman" w:hAnsi="Times New Roman"/>
                <w:sz w:val="24"/>
              </w:rPr>
              <w:t xml:space="preserve"> v </w:t>
            </w:r>
            <w:r w:rsidRPr="00D85C65">
              <w:rPr>
                <w:rFonts w:ascii="Times New Roman" w:hAnsi="Times New Roman"/>
                <w:sz w:val="24"/>
              </w:rPr>
              <w:t>tabuľke 2 článku 361 CRR.</w:t>
            </w:r>
          </w:p>
          <w:p w14:paraId="63C35F10"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 xml:space="preserve"> </w:t>
            </w:r>
          </w:p>
        </w:tc>
      </w:tr>
      <w:tr w:rsidR="00235D9D" w:rsidRPr="00D85C65" w14:paraId="45E2333D" w14:textId="77777777" w:rsidTr="00672D2A">
        <w:tc>
          <w:tcPr>
            <w:tcW w:w="987" w:type="dxa"/>
          </w:tcPr>
          <w:p w14:paraId="29B142E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875" w:type="dxa"/>
          </w:tcPr>
          <w:p w14:paraId="105F7AD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POSTUP STUPNICE SPLATNOSTI</w:t>
            </w:r>
          </w:p>
          <w:p w14:paraId="39F97B47" w14:textId="77777777" w:rsidR="00235D9D" w:rsidRPr="00D85C65" w:rsidRDefault="00235D9D">
            <w:pPr>
              <w:autoSpaceDE w:val="0"/>
              <w:autoSpaceDN w:val="0"/>
              <w:adjustRightInd w:val="0"/>
              <w:spacing w:before="0" w:after="0"/>
              <w:rPr>
                <w:rFonts w:ascii="Times New Roman" w:hAnsi="Times New Roman"/>
                <w:sz w:val="24"/>
              </w:rPr>
            </w:pPr>
          </w:p>
          <w:p w14:paraId="32FB2A76" w14:textId="7CBE1C2B"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komoditách, na ktoré sa uplatňuje postup stupnice splatnosti uvedený</w:t>
            </w:r>
            <w:r w:rsidR="00D85C65">
              <w:rPr>
                <w:rFonts w:ascii="Times New Roman" w:hAnsi="Times New Roman"/>
                <w:sz w:val="24"/>
              </w:rPr>
              <w:t xml:space="preserve"> v </w:t>
            </w:r>
            <w:r w:rsidRPr="00D85C65">
              <w:rPr>
                <w:rFonts w:ascii="Times New Roman" w:hAnsi="Times New Roman"/>
                <w:sz w:val="24"/>
              </w:rPr>
              <w:t>článku 359 CRR.</w:t>
            </w:r>
          </w:p>
          <w:p w14:paraId="6898B846"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4B767E2B" w14:textId="77777777" w:rsidTr="00672D2A">
        <w:tc>
          <w:tcPr>
            <w:tcW w:w="987" w:type="dxa"/>
          </w:tcPr>
          <w:p w14:paraId="11D494E3"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080</w:t>
            </w:r>
          </w:p>
        </w:tc>
        <w:tc>
          <w:tcPr>
            <w:tcW w:w="7875" w:type="dxa"/>
          </w:tcPr>
          <w:p w14:paraId="2360874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ROZŠÍRENÝ POSTUP STUPNICE SPLATNOSTI</w:t>
            </w:r>
          </w:p>
          <w:p w14:paraId="4931AAB2" w14:textId="77777777" w:rsidR="00235D9D" w:rsidRPr="00D85C65" w:rsidRDefault="00235D9D">
            <w:pPr>
              <w:autoSpaceDE w:val="0"/>
              <w:autoSpaceDN w:val="0"/>
              <w:adjustRightInd w:val="0"/>
              <w:spacing w:before="0" w:after="0"/>
              <w:rPr>
                <w:rFonts w:ascii="Times New Roman" w:hAnsi="Times New Roman"/>
                <w:sz w:val="24"/>
              </w:rPr>
            </w:pPr>
          </w:p>
          <w:p w14:paraId="116E3F97" w14:textId="38634B82"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komoditách, na ktoré sa uplatňuje rozšírený postup stupnice splatnosti uvedený</w:t>
            </w:r>
            <w:r w:rsidR="00D85C65">
              <w:rPr>
                <w:rFonts w:ascii="Times New Roman" w:hAnsi="Times New Roman"/>
                <w:sz w:val="24"/>
              </w:rPr>
              <w:t xml:space="preserve"> v </w:t>
            </w:r>
            <w:r w:rsidRPr="00D85C65">
              <w:rPr>
                <w:rFonts w:ascii="Times New Roman" w:hAnsi="Times New Roman"/>
                <w:sz w:val="24"/>
              </w:rPr>
              <w:t>článku 361 CRR.</w:t>
            </w:r>
          </w:p>
          <w:p w14:paraId="4D8A3DED"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723D639C" w14:textId="77777777" w:rsidTr="00672D2A">
        <w:tc>
          <w:tcPr>
            <w:tcW w:w="987" w:type="dxa"/>
          </w:tcPr>
          <w:p w14:paraId="1BD325F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w:t>
            </w:r>
          </w:p>
        </w:tc>
        <w:tc>
          <w:tcPr>
            <w:tcW w:w="7875" w:type="dxa"/>
          </w:tcPr>
          <w:p w14:paraId="0E654A1B"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ZJEDNODUŠENÝ POSTUP</w:t>
            </w:r>
          </w:p>
          <w:p w14:paraId="5ED8B690"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5002C47" w14:textId="7AE52A4A"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Pozície</w:t>
            </w:r>
            <w:r w:rsidR="00D85C65">
              <w:rPr>
                <w:rFonts w:ascii="Times New Roman" w:hAnsi="Times New Roman"/>
                <w:sz w:val="24"/>
              </w:rPr>
              <w:t xml:space="preserve"> v </w:t>
            </w:r>
            <w:r w:rsidRPr="00D85C65">
              <w:rPr>
                <w:rFonts w:ascii="Times New Roman" w:hAnsi="Times New Roman"/>
                <w:sz w:val="24"/>
              </w:rPr>
              <w:t>komoditách, na ktoré sa uplatňuje zjednodušený prístup uvedený</w:t>
            </w:r>
            <w:r w:rsidR="00D85C65">
              <w:rPr>
                <w:rFonts w:ascii="Times New Roman" w:hAnsi="Times New Roman"/>
                <w:sz w:val="24"/>
              </w:rPr>
              <w:t xml:space="preserve"> v </w:t>
            </w:r>
            <w:r w:rsidRPr="00D85C65">
              <w:rPr>
                <w:rFonts w:ascii="Times New Roman" w:hAnsi="Times New Roman"/>
                <w:sz w:val="24"/>
              </w:rPr>
              <w:t>článku 360 CRR</w:t>
            </w:r>
            <w:r w:rsidR="00D85C65">
              <w:rPr>
                <w:rFonts w:ascii="Times New Roman" w:hAnsi="Times New Roman"/>
                <w:sz w:val="24"/>
              </w:rPr>
              <w:t>.</w:t>
            </w:r>
          </w:p>
          <w:p w14:paraId="55928D23" w14:textId="29484808"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3BB179E1" w14:textId="77777777" w:rsidTr="00672D2A">
        <w:tc>
          <w:tcPr>
            <w:tcW w:w="987" w:type="dxa"/>
          </w:tcPr>
          <w:p w14:paraId="3823471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100 – 140</w:t>
            </w:r>
          </w:p>
        </w:tc>
        <w:tc>
          <w:tcPr>
            <w:tcW w:w="7875" w:type="dxa"/>
          </w:tcPr>
          <w:p w14:paraId="3C6B1B17"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Style w:val="InstructionsTabelleberschrift"/>
                <w:rFonts w:ascii="Times New Roman" w:hAnsi="Times New Roman"/>
                <w:sz w:val="24"/>
              </w:rPr>
              <w:t>DODATOČNÉ POŽIADAVKY PRE OPCIE (RIZIKÁ INÉ NEŽ DELTA)</w:t>
            </w:r>
          </w:p>
          <w:p w14:paraId="225B3C32" w14:textId="77777777" w:rsidR="00D85C65" w:rsidRDefault="000B0B09">
            <w:pPr>
              <w:autoSpaceDE w:val="0"/>
              <w:autoSpaceDN w:val="0"/>
              <w:adjustRightInd w:val="0"/>
              <w:rPr>
                <w:rFonts w:ascii="Times New Roman" w:hAnsi="Times New Roman"/>
                <w:sz w:val="24"/>
              </w:rPr>
            </w:pPr>
            <w:r w:rsidRPr="00D85C65">
              <w:rPr>
                <w:rFonts w:ascii="Times New Roman" w:hAnsi="Times New Roman"/>
                <w:sz w:val="24"/>
              </w:rPr>
              <w:t>Článok 358 ods. 4 CRR</w:t>
            </w:r>
            <w:r w:rsidR="00D85C65">
              <w:rPr>
                <w:rFonts w:ascii="Times New Roman" w:hAnsi="Times New Roman"/>
                <w:sz w:val="24"/>
              </w:rPr>
              <w:t>.</w:t>
            </w:r>
          </w:p>
          <w:p w14:paraId="0A912753" w14:textId="07841143"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Dodatočné požiadavky pre opcie, ktoré súvisia</w:t>
            </w:r>
            <w:r w:rsidR="00D85C65">
              <w:rPr>
                <w:rFonts w:ascii="Times New Roman" w:hAnsi="Times New Roman"/>
                <w:sz w:val="24"/>
              </w:rPr>
              <w:t xml:space="preserve"> s </w:t>
            </w:r>
            <w:r w:rsidRPr="00D85C65">
              <w:rPr>
                <w:rFonts w:ascii="Times New Roman" w:hAnsi="Times New Roman"/>
                <w:sz w:val="24"/>
              </w:rPr>
              <w:t>rizikami inými než delta, sa vykazujú</w:t>
            </w:r>
            <w:r w:rsidR="00D85C65">
              <w:rPr>
                <w:rFonts w:ascii="Times New Roman" w:hAnsi="Times New Roman"/>
                <w:sz w:val="24"/>
              </w:rPr>
              <w:t xml:space="preserve"> v </w:t>
            </w:r>
            <w:r w:rsidRPr="00D85C65">
              <w:rPr>
                <w:rFonts w:ascii="Times New Roman" w:hAnsi="Times New Roman"/>
                <w:sz w:val="24"/>
              </w:rPr>
              <w:t>metóde použitej na ich výpočet.</w:t>
            </w:r>
          </w:p>
          <w:p w14:paraId="7D9E445C" w14:textId="77777777" w:rsidR="00235D9D" w:rsidRPr="00D85C65" w:rsidRDefault="00235D9D">
            <w:pPr>
              <w:autoSpaceDE w:val="0"/>
              <w:autoSpaceDN w:val="0"/>
              <w:adjustRightInd w:val="0"/>
              <w:spacing w:before="0" w:after="0"/>
              <w:rPr>
                <w:rFonts w:ascii="Times New Roman" w:hAnsi="Times New Roman"/>
                <w:sz w:val="24"/>
              </w:rPr>
            </w:pPr>
          </w:p>
        </w:tc>
      </w:tr>
    </w:tbl>
    <w:p w14:paraId="229D7B57" w14:textId="77777777" w:rsidR="00235D9D" w:rsidRPr="00D85C65" w:rsidRDefault="00235D9D">
      <w:pPr>
        <w:rPr>
          <w:rFonts w:ascii="Times New Roman" w:hAnsi="Times New Roman"/>
          <w:sz w:val="24"/>
        </w:rPr>
      </w:pPr>
    </w:p>
    <w:p w14:paraId="0E9180D7" w14:textId="77777777" w:rsidR="00235D9D" w:rsidRPr="00D85C65" w:rsidRDefault="00125707">
      <w:pPr>
        <w:pStyle w:val="Instructionsberschrift2"/>
        <w:numPr>
          <w:ilvl w:val="0"/>
          <w:numId w:val="0"/>
        </w:numPr>
        <w:ind w:left="357" w:hanging="357"/>
        <w:rPr>
          <w:rFonts w:ascii="Times New Roman" w:hAnsi="Times New Roman"/>
          <w:sz w:val="24"/>
        </w:rPr>
      </w:pPr>
      <w:bookmarkStart w:id="102" w:name="_Toc29994544"/>
      <w:r w:rsidRPr="00D85C65">
        <w:rPr>
          <w:rFonts w:ascii="Times New Roman" w:hAnsi="Times New Roman"/>
          <w:sz w:val="24"/>
          <w:u w:val="none"/>
        </w:rPr>
        <w:t>5.7.</w:t>
      </w:r>
      <w:r w:rsidRPr="00D85C65">
        <w:rPr>
          <w:rFonts w:ascii="Times New Roman" w:hAnsi="Times New Roman"/>
          <w:sz w:val="24"/>
          <w:u w:val="none"/>
        </w:rPr>
        <w:tab/>
      </w:r>
      <w:r w:rsidRPr="00D85C65">
        <w:rPr>
          <w:rFonts w:ascii="Times New Roman" w:hAnsi="Times New Roman"/>
          <w:sz w:val="24"/>
        </w:rPr>
        <w:t>C 24.00 – Interný model trhového rizika (MKR IM)</w:t>
      </w:r>
      <w:bookmarkEnd w:id="102"/>
    </w:p>
    <w:p w14:paraId="7F086F79"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103" w:name="_Toc29994545"/>
      <w:r w:rsidRPr="00D85C65">
        <w:rPr>
          <w:rFonts w:ascii="Times New Roman" w:hAnsi="Times New Roman"/>
          <w:sz w:val="24"/>
          <w:u w:val="none"/>
        </w:rPr>
        <w:t>5.7.1.</w:t>
      </w:r>
      <w:r w:rsidRPr="00D85C65">
        <w:rPr>
          <w:rFonts w:ascii="Times New Roman" w:hAnsi="Times New Roman"/>
          <w:sz w:val="24"/>
          <w:u w:val="none"/>
        </w:rPr>
        <w:tab/>
      </w:r>
      <w:r w:rsidRPr="00D85C65">
        <w:rPr>
          <w:rFonts w:ascii="Times New Roman" w:hAnsi="Times New Roman"/>
          <w:sz w:val="24"/>
        </w:rPr>
        <w:t>Všeobecné poznámky</w:t>
      </w:r>
      <w:bookmarkEnd w:id="103"/>
    </w:p>
    <w:p w14:paraId="01A97E14" w14:textId="6F69816F" w:rsidR="00235D9D" w:rsidRPr="00D85C65" w:rsidRDefault="00125707">
      <w:pPr>
        <w:pStyle w:val="InstructionsText2"/>
        <w:numPr>
          <w:ilvl w:val="0"/>
          <w:numId w:val="0"/>
        </w:numPr>
        <w:ind w:left="993"/>
      </w:pPr>
      <w:r w:rsidRPr="00D85C65">
        <w:t>153.</w:t>
      </w:r>
      <w:r w:rsidRPr="00D85C65">
        <w:tab/>
      </w:r>
      <w:r w:rsidR="00D85C65">
        <w:t xml:space="preserve"> V </w:t>
      </w:r>
      <w:r w:rsidRPr="00D85C65">
        <w:t>tomto vzore sa vykazuje rozčlenenie na hodnoty</w:t>
      </w:r>
      <w:r w:rsidR="00D85C65">
        <w:t xml:space="preserve"> v </w:t>
      </w:r>
      <w:r w:rsidRPr="00D85C65">
        <w:t>riziku (VaR)</w:t>
      </w:r>
      <w:r w:rsidR="00D85C65">
        <w:t xml:space="preserve"> a </w:t>
      </w:r>
      <w:r w:rsidRPr="00D85C65">
        <w:t>stresované hodnoty</w:t>
      </w:r>
      <w:r w:rsidR="00D85C65">
        <w:t xml:space="preserve"> v </w:t>
      </w:r>
      <w:r w:rsidRPr="00D85C65">
        <w:t>riziku (sVaR) podľa rôznych trhových rizík (dlhové, kapitálové, devízové, komoditné)</w:t>
      </w:r>
      <w:r w:rsidR="00D85C65">
        <w:t xml:space="preserve"> a </w:t>
      </w:r>
      <w:r w:rsidRPr="00D85C65">
        <w:t>ostatné informácie relevantné na výpočet požiadaviek na vlastné zdroje.</w:t>
      </w:r>
    </w:p>
    <w:p w14:paraId="0D193DF1" w14:textId="1133C091" w:rsidR="00D85C65" w:rsidRDefault="00125707">
      <w:pPr>
        <w:pStyle w:val="InstructionsText2"/>
        <w:numPr>
          <w:ilvl w:val="0"/>
          <w:numId w:val="0"/>
        </w:numPr>
        <w:ind w:left="993"/>
      </w:pPr>
      <w:r w:rsidRPr="00D85C65">
        <w:t>154.</w:t>
      </w:r>
      <w:r w:rsidRPr="00D85C65">
        <w:tab/>
        <w:t xml:space="preserve"> Vo všeobecnosti závisí od štruktúry modelu inštitúcií, či údaje pre všeobecné</w:t>
      </w:r>
      <w:r w:rsidR="00D85C65">
        <w:t xml:space="preserve"> a </w:t>
      </w:r>
      <w:r w:rsidRPr="00D85C65">
        <w:t>špecifické riziko možno určiť</w:t>
      </w:r>
      <w:r w:rsidR="00D85C65">
        <w:t xml:space="preserve"> a </w:t>
      </w:r>
      <w:r w:rsidRPr="00D85C65">
        <w:t>vykázať osobitne alebo len spolu. To isté sa vzťahuje na rozdelenie hodnôt VaR/sVaR do kategórií rizík (úrokové riziko, kapitálové riziko, komoditné riziko</w:t>
      </w:r>
      <w:r w:rsidR="00D85C65">
        <w:t xml:space="preserve"> a </w:t>
      </w:r>
      <w:r w:rsidRPr="00D85C65">
        <w:t>devízové riziko). Inštitúcia môže upustiť od vykazovania tohto rozdelenia, ak preukáže, že vykazovanie týchto hodnôt by predstavovalo príliš veľké zaťaženie</w:t>
      </w:r>
      <w:r w:rsidR="00D85C65">
        <w:t>.</w:t>
      </w:r>
    </w:p>
    <w:p w14:paraId="38B8C7CC" w14:textId="5BCDBAFB" w:rsidR="00235D9D" w:rsidRPr="00D85C65" w:rsidRDefault="00125707">
      <w:pPr>
        <w:pStyle w:val="Instructionsberschrift2"/>
        <w:numPr>
          <w:ilvl w:val="0"/>
          <w:numId w:val="0"/>
        </w:numPr>
        <w:ind w:left="357" w:hanging="357"/>
        <w:rPr>
          <w:rFonts w:ascii="Times New Roman" w:hAnsi="Times New Roman" w:cs="Times New Roman"/>
          <w:sz w:val="24"/>
        </w:rPr>
      </w:pPr>
      <w:bookmarkStart w:id="104" w:name="_Toc29994546"/>
      <w:r w:rsidRPr="00D85C65">
        <w:rPr>
          <w:rFonts w:ascii="Times New Roman" w:hAnsi="Times New Roman"/>
          <w:sz w:val="24"/>
          <w:u w:val="none"/>
        </w:rPr>
        <w:t>5.7.2.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235D9D" w:rsidRPr="00D85C65" w14:paraId="5884FDB3" w14:textId="77777777" w:rsidTr="00672D2A">
        <w:tc>
          <w:tcPr>
            <w:tcW w:w="8862" w:type="dxa"/>
            <w:gridSpan w:val="2"/>
            <w:shd w:val="clear" w:color="auto" w:fill="BFBFBF"/>
          </w:tcPr>
          <w:p w14:paraId="23D5B4C7" w14:textId="77777777" w:rsidR="00235D9D" w:rsidRPr="00D85C65" w:rsidRDefault="0034786E">
            <w:pPr>
              <w:autoSpaceDE w:val="0"/>
              <w:autoSpaceDN w:val="0"/>
              <w:adjustRightInd w:val="0"/>
              <w:spacing w:before="0" w:after="0"/>
              <w:rPr>
                <w:rFonts w:ascii="Times New Roman" w:hAnsi="Times New Roman"/>
                <w:sz w:val="24"/>
              </w:rPr>
            </w:pPr>
            <w:r w:rsidRPr="00D85C65">
              <w:rPr>
                <w:rFonts w:ascii="Times New Roman" w:hAnsi="Times New Roman"/>
                <w:sz w:val="24"/>
              </w:rPr>
              <w:t>Stĺpce</w:t>
            </w:r>
          </w:p>
        </w:tc>
      </w:tr>
      <w:tr w:rsidR="00235D9D" w:rsidRPr="00D85C65" w14:paraId="55253F25" w14:textId="77777777" w:rsidTr="00672D2A">
        <w:tc>
          <w:tcPr>
            <w:tcW w:w="993" w:type="dxa"/>
          </w:tcPr>
          <w:p w14:paraId="010599D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030 – 040</w:t>
            </w:r>
          </w:p>
        </w:tc>
        <w:tc>
          <w:tcPr>
            <w:tcW w:w="7869" w:type="dxa"/>
          </w:tcPr>
          <w:p w14:paraId="4EEB9077" w14:textId="0CD0367B" w:rsidR="00235D9D" w:rsidRPr="00D85C65" w:rsidRDefault="0016282F">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Hodnota</w:t>
            </w:r>
            <w:r w:rsidR="00D85C65">
              <w:rPr>
                <w:rFonts w:ascii="Times New Roman" w:hAnsi="Times New Roman"/>
                <w:b/>
                <w:bCs/>
                <w:sz w:val="24"/>
                <w:u w:val="single"/>
              </w:rPr>
              <w:t xml:space="preserve"> v </w:t>
            </w:r>
            <w:r w:rsidRPr="00D85C65">
              <w:rPr>
                <w:rFonts w:ascii="Times New Roman" w:hAnsi="Times New Roman"/>
                <w:b/>
                <w:bCs/>
                <w:sz w:val="24"/>
                <w:u w:val="single"/>
              </w:rPr>
              <w:t>riziku (VaR)</w:t>
            </w:r>
          </w:p>
          <w:p w14:paraId="3E120A63" w14:textId="25F4B480" w:rsidR="00235D9D" w:rsidRPr="00D85C65" w:rsidRDefault="0016282F">
            <w:pPr>
              <w:autoSpaceDE w:val="0"/>
              <w:autoSpaceDN w:val="0"/>
              <w:adjustRightInd w:val="0"/>
              <w:rPr>
                <w:rFonts w:ascii="Times New Roman" w:hAnsi="Times New Roman"/>
                <w:b/>
                <w:bCs/>
                <w:sz w:val="24"/>
                <w:u w:val="single"/>
              </w:rPr>
            </w:pPr>
            <w:r w:rsidRPr="00D85C65">
              <w:rPr>
                <w:rFonts w:ascii="Times New Roman" w:hAnsi="Times New Roman"/>
                <w:sz w:val="24"/>
              </w:rPr>
              <w:t>VaR znamená maximálnu možnú stratu, ktorá by vyplynula zo zmeny ceny</w:t>
            </w:r>
            <w:r w:rsidR="00D85C65">
              <w:rPr>
                <w:rFonts w:ascii="Times New Roman" w:hAnsi="Times New Roman"/>
                <w:sz w:val="24"/>
              </w:rPr>
              <w:t xml:space="preserve"> s </w:t>
            </w:r>
            <w:r w:rsidRPr="00D85C65">
              <w:rPr>
                <w:rFonts w:ascii="Times New Roman" w:hAnsi="Times New Roman"/>
                <w:sz w:val="24"/>
              </w:rPr>
              <w:t>danou pravdepodobnosťou</w:t>
            </w:r>
            <w:r w:rsidR="00D85C65">
              <w:rPr>
                <w:rFonts w:ascii="Times New Roman" w:hAnsi="Times New Roman"/>
                <w:sz w:val="24"/>
              </w:rPr>
              <w:t xml:space="preserve"> v </w:t>
            </w:r>
            <w:r w:rsidRPr="00D85C65">
              <w:rPr>
                <w:rFonts w:ascii="Times New Roman" w:hAnsi="Times New Roman"/>
                <w:sz w:val="24"/>
              </w:rPr>
              <w:t>priebehu špecifického časového horizontu.</w:t>
            </w:r>
          </w:p>
        </w:tc>
      </w:tr>
      <w:tr w:rsidR="00235D9D" w:rsidRPr="00D85C65" w14:paraId="3FC67EE7" w14:textId="77777777" w:rsidTr="00672D2A">
        <w:tc>
          <w:tcPr>
            <w:tcW w:w="993" w:type="dxa"/>
          </w:tcPr>
          <w:p w14:paraId="10F45DB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030</w:t>
            </w:r>
          </w:p>
        </w:tc>
        <w:tc>
          <w:tcPr>
            <w:tcW w:w="7869" w:type="dxa"/>
          </w:tcPr>
          <w:p w14:paraId="09BBDED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Multiplikačný koeficient (mc) x priemer VaR za predchádzajúcich 60 pracovných dní (VaRavg)</w:t>
            </w:r>
          </w:p>
          <w:p w14:paraId="0760C223" w14:textId="77777777" w:rsidR="00235D9D" w:rsidRPr="00D85C65" w:rsidRDefault="00235D9D">
            <w:pPr>
              <w:autoSpaceDE w:val="0"/>
              <w:autoSpaceDN w:val="0"/>
              <w:adjustRightInd w:val="0"/>
              <w:spacing w:before="0" w:after="0"/>
              <w:rPr>
                <w:rFonts w:ascii="Times New Roman" w:hAnsi="Times New Roman"/>
                <w:b/>
                <w:bCs/>
                <w:sz w:val="24"/>
                <w:u w:val="single"/>
              </w:rPr>
            </w:pPr>
          </w:p>
          <w:p w14:paraId="2025E95B" w14:textId="0C8BFA57"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364 ods. 1 písm. a) bod ii)</w:t>
            </w:r>
            <w:r w:rsidR="00D85C65">
              <w:rPr>
                <w:rFonts w:ascii="Times New Roman" w:hAnsi="Times New Roman"/>
                <w:sz w:val="24"/>
              </w:rPr>
              <w:t xml:space="preserve"> a </w:t>
            </w:r>
            <w:r w:rsidRPr="00D85C65">
              <w:rPr>
                <w:rFonts w:ascii="Times New Roman" w:hAnsi="Times New Roman"/>
                <w:sz w:val="24"/>
              </w:rPr>
              <w:t>článok 365 ods. 1 CRR</w:t>
            </w:r>
            <w:r w:rsidR="00D85C65">
              <w:rPr>
                <w:rFonts w:ascii="Times New Roman" w:hAnsi="Times New Roman"/>
                <w:sz w:val="24"/>
              </w:rPr>
              <w:t>.</w:t>
            </w:r>
          </w:p>
          <w:p w14:paraId="1588E504" w14:textId="7F23EC1C"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013A7680" w14:textId="77777777" w:rsidTr="00672D2A">
        <w:tc>
          <w:tcPr>
            <w:tcW w:w="993" w:type="dxa"/>
          </w:tcPr>
          <w:p w14:paraId="3CFF4374"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040</w:t>
            </w:r>
          </w:p>
        </w:tc>
        <w:tc>
          <w:tcPr>
            <w:tcW w:w="7869" w:type="dxa"/>
          </w:tcPr>
          <w:p w14:paraId="27CB8352" w14:textId="31DBE0FE"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VaR</w:t>
            </w:r>
            <w:r w:rsidR="00D85C65">
              <w:rPr>
                <w:rFonts w:ascii="Times New Roman" w:hAnsi="Times New Roman"/>
                <w:b/>
                <w:bCs/>
                <w:sz w:val="24"/>
                <w:u w:val="single"/>
              </w:rPr>
              <w:t xml:space="preserve"> z </w:t>
            </w:r>
            <w:r w:rsidRPr="00D85C65">
              <w:rPr>
                <w:rFonts w:ascii="Times New Roman" w:hAnsi="Times New Roman"/>
                <w:b/>
                <w:bCs/>
                <w:sz w:val="24"/>
                <w:u w:val="single"/>
              </w:rPr>
              <w:t>predchádzajúceho dňa (VaRt-1)</w:t>
            </w:r>
          </w:p>
          <w:p w14:paraId="4579B3E2" w14:textId="77777777" w:rsidR="00235D9D" w:rsidRPr="00D85C65" w:rsidRDefault="00235D9D">
            <w:pPr>
              <w:autoSpaceDE w:val="0"/>
              <w:autoSpaceDN w:val="0"/>
              <w:adjustRightInd w:val="0"/>
              <w:spacing w:before="0" w:after="0"/>
              <w:rPr>
                <w:rFonts w:ascii="Times New Roman" w:hAnsi="Times New Roman"/>
                <w:b/>
                <w:bCs/>
                <w:sz w:val="24"/>
                <w:u w:val="single"/>
              </w:rPr>
            </w:pPr>
          </w:p>
          <w:p w14:paraId="71CBDF92" w14:textId="7BFF7529"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364 ods. 1 písm. a) bod i)</w:t>
            </w:r>
            <w:r w:rsidR="00D85C65">
              <w:rPr>
                <w:rFonts w:ascii="Times New Roman" w:hAnsi="Times New Roman"/>
                <w:sz w:val="24"/>
              </w:rPr>
              <w:t xml:space="preserve"> a </w:t>
            </w:r>
            <w:r w:rsidRPr="00D85C65">
              <w:rPr>
                <w:rFonts w:ascii="Times New Roman" w:hAnsi="Times New Roman"/>
                <w:sz w:val="24"/>
              </w:rPr>
              <w:t>článok 365 ods. 1 CRR</w:t>
            </w:r>
            <w:r w:rsidR="00D85C65">
              <w:rPr>
                <w:rFonts w:ascii="Times New Roman" w:hAnsi="Times New Roman"/>
                <w:sz w:val="24"/>
              </w:rPr>
              <w:t>.</w:t>
            </w:r>
          </w:p>
          <w:p w14:paraId="5F8EB81F" w14:textId="69761336"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0D767B26" w14:textId="77777777" w:rsidTr="00672D2A">
        <w:tc>
          <w:tcPr>
            <w:tcW w:w="993" w:type="dxa"/>
          </w:tcPr>
          <w:p w14:paraId="3AE0BBEE"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 – 060</w:t>
            </w:r>
          </w:p>
        </w:tc>
        <w:tc>
          <w:tcPr>
            <w:tcW w:w="7869" w:type="dxa"/>
          </w:tcPr>
          <w:p w14:paraId="5A96727A"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Stresovaná VaR</w:t>
            </w:r>
          </w:p>
          <w:p w14:paraId="58B28F88"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5392CBF" w14:textId="247A55C7" w:rsidR="00235D9D" w:rsidRPr="00D85C65" w:rsidRDefault="0016282F">
            <w:pPr>
              <w:autoSpaceDE w:val="0"/>
              <w:autoSpaceDN w:val="0"/>
              <w:adjustRightInd w:val="0"/>
              <w:spacing w:before="0"/>
              <w:rPr>
                <w:rFonts w:ascii="Times New Roman" w:hAnsi="Times New Roman"/>
                <w:sz w:val="24"/>
              </w:rPr>
            </w:pPr>
            <w:r w:rsidRPr="00D85C65">
              <w:rPr>
                <w:rFonts w:ascii="Times New Roman" w:hAnsi="Times New Roman"/>
                <w:sz w:val="24"/>
              </w:rPr>
              <w:t>Stresovaná VaR znamená maximálnu možnú stratu, ktorá by vyplynula zo zmeny ceny</w:t>
            </w:r>
            <w:r w:rsidR="00D85C65">
              <w:rPr>
                <w:rFonts w:ascii="Times New Roman" w:hAnsi="Times New Roman"/>
                <w:sz w:val="24"/>
              </w:rPr>
              <w:t xml:space="preserve"> s </w:t>
            </w:r>
            <w:r w:rsidRPr="00D85C65">
              <w:rPr>
                <w:rFonts w:ascii="Times New Roman" w:hAnsi="Times New Roman"/>
                <w:sz w:val="24"/>
              </w:rPr>
              <w:t>danou pravdepodobnosťou</w:t>
            </w:r>
            <w:r w:rsidR="00D85C65">
              <w:rPr>
                <w:rFonts w:ascii="Times New Roman" w:hAnsi="Times New Roman"/>
                <w:sz w:val="24"/>
              </w:rPr>
              <w:t xml:space="preserve"> v </w:t>
            </w:r>
            <w:r w:rsidRPr="00D85C65">
              <w:rPr>
                <w:rFonts w:ascii="Times New Roman" w:hAnsi="Times New Roman"/>
                <w:sz w:val="24"/>
              </w:rPr>
              <w:t>priebehu špecifického časového obdobia</w:t>
            </w:r>
            <w:r w:rsidR="00D85C65">
              <w:rPr>
                <w:rFonts w:ascii="Times New Roman" w:hAnsi="Times New Roman"/>
                <w:sz w:val="24"/>
              </w:rPr>
              <w:t xml:space="preserve"> s </w:t>
            </w:r>
            <w:r w:rsidRPr="00D85C65">
              <w:rPr>
                <w:rFonts w:ascii="Times New Roman" w:hAnsi="Times New Roman"/>
                <w:sz w:val="24"/>
              </w:rPr>
              <w:t>použitím vstupov kalibrovaných podľa historických údajov</w:t>
            </w:r>
            <w:r w:rsidR="00D85C65">
              <w:rPr>
                <w:rFonts w:ascii="Times New Roman" w:hAnsi="Times New Roman"/>
                <w:sz w:val="24"/>
              </w:rPr>
              <w:t xml:space="preserve"> z </w:t>
            </w:r>
            <w:r w:rsidRPr="00D85C65">
              <w:rPr>
                <w:rFonts w:ascii="Times New Roman" w:hAnsi="Times New Roman"/>
                <w:sz w:val="24"/>
              </w:rPr>
              <w:t>nepretržitého 12-mesačného obdobia finančného stresu týkajúceho sa portfólia inštitúcie.</w:t>
            </w:r>
          </w:p>
        </w:tc>
      </w:tr>
      <w:tr w:rsidR="00235D9D" w:rsidRPr="00D85C65" w14:paraId="44735C81" w14:textId="77777777" w:rsidTr="00672D2A">
        <w:tc>
          <w:tcPr>
            <w:tcW w:w="993" w:type="dxa"/>
          </w:tcPr>
          <w:p w14:paraId="155F198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w:t>
            </w:r>
          </w:p>
        </w:tc>
        <w:tc>
          <w:tcPr>
            <w:tcW w:w="7869" w:type="dxa"/>
          </w:tcPr>
          <w:p w14:paraId="7C6316C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Multiplikačný koeficient (ms) x priemer za predchádzajúcich 60 pracovných dní (SVaRavg)</w:t>
            </w:r>
          </w:p>
          <w:p w14:paraId="006D95C1" w14:textId="77777777" w:rsidR="00235D9D" w:rsidRPr="00D85C65" w:rsidRDefault="00235D9D">
            <w:pPr>
              <w:autoSpaceDE w:val="0"/>
              <w:autoSpaceDN w:val="0"/>
              <w:adjustRightInd w:val="0"/>
              <w:spacing w:before="0" w:after="0"/>
              <w:rPr>
                <w:rStyle w:val="InstructionsTabelleberschrift"/>
                <w:rFonts w:ascii="Times New Roman" w:hAnsi="Times New Roman"/>
                <w:sz w:val="24"/>
              </w:rPr>
            </w:pPr>
          </w:p>
          <w:p w14:paraId="621C2D6C" w14:textId="088DDDCC"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Článok 364 ods. 1 písm. b) bod ii)</w:t>
            </w:r>
            <w:r w:rsidR="00D85C65">
              <w:rPr>
                <w:rFonts w:ascii="Times New Roman" w:hAnsi="Times New Roman"/>
                <w:sz w:val="24"/>
              </w:rPr>
              <w:t xml:space="preserve"> a </w:t>
            </w:r>
            <w:r w:rsidRPr="00D85C65">
              <w:rPr>
                <w:rFonts w:ascii="Times New Roman" w:hAnsi="Times New Roman"/>
                <w:sz w:val="24"/>
              </w:rPr>
              <w:t>článok 365 ods. 1 CRR</w:t>
            </w:r>
            <w:r w:rsidR="00D85C65">
              <w:rPr>
                <w:rFonts w:ascii="Times New Roman" w:hAnsi="Times New Roman"/>
                <w:sz w:val="24"/>
              </w:rPr>
              <w:t>.</w:t>
            </w:r>
          </w:p>
          <w:p w14:paraId="111A992F" w14:textId="354CE5E4" w:rsidR="00235D9D" w:rsidRPr="00D85C65" w:rsidRDefault="00235D9D">
            <w:pPr>
              <w:autoSpaceDE w:val="0"/>
              <w:autoSpaceDN w:val="0"/>
              <w:adjustRightInd w:val="0"/>
              <w:spacing w:before="0" w:after="0"/>
              <w:rPr>
                <w:rStyle w:val="InstructionsTabelleberschrift"/>
                <w:rFonts w:ascii="Times New Roman" w:hAnsi="Times New Roman"/>
                <w:sz w:val="24"/>
              </w:rPr>
            </w:pPr>
          </w:p>
        </w:tc>
      </w:tr>
      <w:tr w:rsidR="00235D9D" w:rsidRPr="00D85C65" w14:paraId="441907CA" w14:textId="77777777" w:rsidTr="00672D2A">
        <w:tc>
          <w:tcPr>
            <w:tcW w:w="993" w:type="dxa"/>
          </w:tcPr>
          <w:p w14:paraId="18B09A7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060</w:t>
            </w:r>
          </w:p>
        </w:tc>
        <w:tc>
          <w:tcPr>
            <w:tcW w:w="7869" w:type="dxa"/>
          </w:tcPr>
          <w:p w14:paraId="4A21AD7A"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Najnovšia dostupná hodnota (SVaRt-1)</w:t>
            </w:r>
          </w:p>
          <w:p w14:paraId="090905A7" w14:textId="77777777" w:rsidR="00235D9D" w:rsidRPr="00D85C65" w:rsidRDefault="00235D9D">
            <w:pPr>
              <w:autoSpaceDE w:val="0"/>
              <w:autoSpaceDN w:val="0"/>
              <w:adjustRightInd w:val="0"/>
              <w:spacing w:before="0" w:after="0"/>
              <w:rPr>
                <w:rFonts w:ascii="Times New Roman" w:hAnsi="Times New Roman"/>
                <w:sz w:val="24"/>
              </w:rPr>
            </w:pPr>
          </w:p>
          <w:p w14:paraId="30ED6F2A" w14:textId="3E6DED9A" w:rsid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364 ods. 1 písm. b) bod i)</w:t>
            </w:r>
            <w:r w:rsidR="00D85C65">
              <w:rPr>
                <w:rFonts w:ascii="Times New Roman" w:hAnsi="Times New Roman"/>
                <w:sz w:val="24"/>
              </w:rPr>
              <w:t xml:space="preserve"> a </w:t>
            </w:r>
            <w:r w:rsidRPr="00D85C65">
              <w:rPr>
                <w:rFonts w:ascii="Times New Roman" w:hAnsi="Times New Roman"/>
                <w:sz w:val="24"/>
              </w:rPr>
              <w:t>článok 365 ods. 1 CRR</w:t>
            </w:r>
            <w:r w:rsidR="00D85C65">
              <w:rPr>
                <w:rFonts w:ascii="Times New Roman" w:hAnsi="Times New Roman"/>
                <w:sz w:val="24"/>
              </w:rPr>
              <w:t>.</w:t>
            </w:r>
          </w:p>
          <w:p w14:paraId="0E67EDC3" w14:textId="6E078104"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53582240" w14:textId="77777777" w:rsidTr="00672D2A">
        <w:tc>
          <w:tcPr>
            <w:tcW w:w="993" w:type="dxa"/>
          </w:tcPr>
          <w:p w14:paraId="0F4CA1D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 – 080</w:t>
            </w:r>
          </w:p>
        </w:tc>
        <w:tc>
          <w:tcPr>
            <w:tcW w:w="7869" w:type="dxa"/>
          </w:tcPr>
          <w:p w14:paraId="09E92CDE"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KAPITÁLOVÁ POŽIADAVKA PRE INKREMENTÁLNE RIZIKO ZLYHANIA A RIZIKO MIGRÁCIE</w:t>
            </w:r>
          </w:p>
          <w:p w14:paraId="4BA9FCE8" w14:textId="0F67AC00" w:rsidR="00235D9D" w:rsidRPr="00D85C65" w:rsidRDefault="0016282F">
            <w:pPr>
              <w:rPr>
                <w:rFonts w:ascii="Times New Roman" w:hAnsi="Times New Roman"/>
                <w:b/>
                <w:bCs/>
                <w:sz w:val="24"/>
                <w:u w:val="single"/>
              </w:rPr>
            </w:pPr>
            <w:r w:rsidRPr="00D85C65">
              <w:rPr>
                <w:rFonts w:ascii="Times New Roman" w:hAnsi="Times New Roman"/>
                <w:sz w:val="24"/>
              </w:rPr>
              <w:t>Kapitálová požiadavka pre inkrementálne riziko zlyhania</w:t>
            </w:r>
            <w:r w:rsidR="00D85C65">
              <w:rPr>
                <w:rFonts w:ascii="Times New Roman" w:hAnsi="Times New Roman"/>
                <w:sz w:val="24"/>
              </w:rPr>
              <w:t xml:space="preserve"> a </w:t>
            </w:r>
            <w:r w:rsidRPr="00D85C65">
              <w:rPr>
                <w:rFonts w:ascii="Times New Roman" w:hAnsi="Times New Roman"/>
                <w:sz w:val="24"/>
              </w:rPr>
              <w:t>riziko migrácie je maximálna potenciálna strata, ktorá by vyplývala zo zmeny ceny súvisiacej</w:t>
            </w:r>
            <w:r w:rsidR="00D85C65">
              <w:rPr>
                <w:rFonts w:ascii="Times New Roman" w:hAnsi="Times New Roman"/>
                <w:sz w:val="24"/>
              </w:rPr>
              <w:t xml:space="preserve"> s </w:t>
            </w:r>
            <w:r w:rsidRPr="00D85C65">
              <w:rPr>
                <w:rFonts w:ascii="Times New Roman" w:hAnsi="Times New Roman"/>
                <w:sz w:val="24"/>
              </w:rPr>
              <w:t>rizikom zlyhania</w:t>
            </w:r>
            <w:r w:rsidR="00D85C65">
              <w:rPr>
                <w:rFonts w:ascii="Times New Roman" w:hAnsi="Times New Roman"/>
                <w:sz w:val="24"/>
              </w:rPr>
              <w:t xml:space="preserve"> a </w:t>
            </w:r>
            <w:r w:rsidRPr="00D85C65">
              <w:rPr>
                <w:rFonts w:ascii="Times New Roman" w:hAnsi="Times New Roman"/>
                <w:sz w:val="24"/>
              </w:rPr>
              <w:t>migrácie vypočítaným</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364 ods. 2 písm. b)</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 xml:space="preserve">treťou časťou hlavou IV kapitolou 5 oddielom 4 CRR. </w:t>
            </w:r>
          </w:p>
        </w:tc>
      </w:tr>
      <w:tr w:rsidR="00235D9D" w:rsidRPr="00D85C65" w14:paraId="23B42927" w14:textId="77777777" w:rsidTr="00672D2A">
        <w:tc>
          <w:tcPr>
            <w:tcW w:w="993" w:type="dxa"/>
          </w:tcPr>
          <w:p w14:paraId="7726E68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869" w:type="dxa"/>
          </w:tcPr>
          <w:p w14:paraId="2A6613B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Priemerná hodnota za 12 týždňov</w:t>
            </w:r>
          </w:p>
          <w:p w14:paraId="27A8D544" w14:textId="77777777" w:rsidR="00235D9D" w:rsidRPr="00D85C65" w:rsidRDefault="00235D9D">
            <w:pPr>
              <w:autoSpaceDE w:val="0"/>
              <w:autoSpaceDN w:val="0"/>
              <w:adjustRightInd w:val="0"/>
              <w:spacing w:before="0" w:after="0"/>
              <w:rPr>
                <w:rFonts w:ascii="Times New Roman" w:hAnsi="Times New Roman"/>
                <w:sz w:val="24"/>
              </w:rPr>
            </w:pPr>
          </w:p>
          <w:p w14:paraId="130A4688" w14:textId="34B4491D" w:rsidR="00235D9D" w:rsidRP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364 ods. 2 písm. b) bod ii)</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treťou časťou hlavou IV kapitolou 5 oddielom 4 CRR.</w:t>
            </w:r>
          </w:p>
          <w:p w14:paraId="223D4606"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3223CCB2" w14:textId="77777777" w:rsidTr="00672D2A">
        <w:tc>
          <w:tcPr>
            <w:tcW w:w="993" w:type="dxa"/>
          </w:tcPr>
          <w:p w14:paraId="519B6FE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080</w:t>
            </w:r>
          </w:p>
        </w:tc>
        <w:tc>
          <w:tcPr>
            <w:tcW w:w="7869" w:type="dxa"/>
          </w:tcPr>
          <w:p w14:paraId="53207CE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Najnovšia hodnota</w:t>
            </w:r>
          </w:p>
          <w:p w14:paraId="2064AC85"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13B34CB" w14:textId="188DCABF" w:rsidR="00235D9D" w:rsidRPr="00D85C65" w:rsidRDefault="00705025">
            <w:pPr>
              <w:autoSpaceDE w:val="0"/>
              <w:autoSpaceDN w:val="0"/>
              <w:adjustRightInd w:val="0"/>
              <w:spacing w:before="0" w:after="0"/>
              <w:rPr>
                <w:rFonts w:ascii="Times New Roman" w:hAnsi="Times New Roman"/>
                <w:sz w:val="24"/>
              </w:rPr>
            </w:pPr>
            <w:r w:rsidRPr="00D85C65">
              <w:rPr>
                <w:rFonts w:ascii="Times New Roman" w:hAnsi="Times New Roman"/>
                <w:sz w:val="24"/>
              </w:rPr>
              <w:t>Článok 364 ods. 2 písm. b) bod i)</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treťou časťou hlavou IV kapitolou 5 oddielom 4 CRR.</w:t>
            </w:r>
          </w:p>
          <w:p w14:paraId="67653EB6"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7B27507C" w14:textId="77777777" w:rsidTr="00672D2A">
        <w:tc>
          <w:tcPr>
            <w:tcW w:w="993" w:type="dxa"/>
          </w:tcPr>
          <w:p w14:paraId="227096D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 – 110</w:t>
            </w:r>
          </w:p>
        </w:tc>
        <w:tc>
          <w:tcPr>
            <w:tcW w:w="7869" w:type="dxa"/>
          </w:tcPr>
          <w:p w14:paraId="545694B6"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KAPITÁLOVÁ POŽIADAVKA NA KRYTIE VŠETKÝCH CENOVÝCH RIZÍK PRE KORELAČNÉ OBCHODNÉ PORTFÓLIO</w:t>
            </w:r>
          </w:p>
          <w:p w14:paraId="1893DA38"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219582DF" w14:textId="77777777" w:rsidTr="00672D2A">
        <w:tc>
          <w:tcPr>
            <w:tcW w:w="993" w:type="dxa"/>
          </w:tcPr>
          <w:p w14:paraId="2E47A374"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w:t>
            </w:r>
          </w:p>
        </w:tc>
        <w:tc>
          <w:tcPr>
            <w:tcW w:w="7869" w:type="dxa"/>
          </w:tcPr>
          <w:p w14:paraId="0D565D1B"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MINIMÁLNA HRANICA</w:t>
            </w:r>
          </w:p>
          <w:p w14:paraId="453E7E9E" w14:textId="0056C5C0" w:rsidR="00235D9D" w:rsidRPr="00D85C65" w:rsidRDefault="00705025">
            <w:pPr>
              <w:rPr>
                <w:rFonts w:ascii="Times New Roman" w:hAnsi="Times New Roman"/>
                <w:sz w:val="24"/>
              </w:rPr>
            </w:pPr>
            <w:r w:rsidRPr="00D85C65">
              <w:rPr>
                <w:rFonts w:ascii="Times New Roman" w:hAnsi="Times New Roman"/>
                <w:sz w:val="24"/>
              </w:rPr>
              <w:t>Článok 364 ods. 3 písm. c) CRR.</w:t>
            </w:r>
          </w:p>
          <w:p w14:paraId="4CBA4196" w14:textId="624B89FD"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 8</w:t>
            </w:r>
            <w:r w:rsidR="00D85C65">
              <w:rPr>
                <w:rFonts w:ascii="Times New Roman" w:hAnsi="Times New Roman"/>
                <w:sz w:val="24"/>
              </w:rPr>
              <w:t> % z </w:t>
            </w:r>
            <w:r w:rsidRPr="00D85C65">
              <w:rPr>
                <w:rFonts w:ascii="Times New Roman" w:hAnsi="Times New Roman"/>
                <w:sz w:val="24"/>
              </w:rPr>
              <w:t>kapitálovej požiadavky, ktorá by sa vypočítala podľa článku 338 ods. 1 CRR pre všetky pozície</w:t>
            </w:r>
            <w:r w:rsidR="00D85C65">
              <w:rPr>
                <w:rFonts w:ascii="Times New Roman" w:hAnsi="Times New Roman"/>
                <w:sz w:val="24"/>
              </w:rPr>
              <w:t xml:space="preserve"> v </w:t>
            </w:r>
            <w:r w:rsidRPr="00D85C65">
              <w:rPr>
                <w:rFonts w:ascii="Times New Roman" w:hAnsi="Times New Roman"/>
                <w:sz w:val="24"/>
              </w:rPr>
              <w:t>kapitálovej požiadavke pre „všetky cenové riziká“</w:t>
            </w:r>
            <w:r w:rsidR="00D85C65">
              <w:rPr>
                <w:rFonts w:ascii="Times New Roman" w:hAnsi="Times New Roman"/>
                <w:sz w:val="24"/>
              </w:rPr>
              <w:t>.</w:t>
            </w:r>
          </w:p>
          <w:p w14:paraId="6887174B" w14:textId="1FCE69B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1D33B04F" w14:textId="77777777" w:rsidTr="00672D2A">
        <w:tc>
          <w:tcPr>
            <w:tcW w:w="993" w:type="dxa"/>
          </w:tcPr>
          <w:p w14:paraId="7FCA6AB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100 – 110</w:t>
            </w:r>
          </w:p>
        </w:tc>
        <w:tc>
          <w:tcPr>
            <w:tcW w:w="7869" w:type="dxa"/>
          </w:tcPr>
          <w:p w14:paraId="136C05A9"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PRIEMERNÁ HODNOTA ZA 12 TÝŽDŇOV A NAJNOVŠIA HODNOTA</w:t>
            </w:r>
          </w:p>
          <w:p w14:paraId="3221D387" w14:textId="467DE778" w:rsidR="00235D9D" w:rsidRPr="00D85C65" w:rsidRDefault="00705025">
            <w:pPr>
              <w:autoSpaceDE w:val="0"/>
              <w:autoSpaceDN w:val="0"/>
              <w:adjustRightInd w:val="0"/>
              <w:spacing w:after="0"/>
              <w:rPr>
                <w:rFonts w:ascii="Times New Roman" w:hAnsi="Times New Roman"/>
                <w:bCs/>
                <w:sz w:val="24"/>
              </w:rPr>
            </w:pPr>
            <w:r w:rsidRPr="00D85C65">
              <w:rPr>
                <w:rFonts w:ascii="Times New Roman" w:hAnsi="Times New Roman"/>
                <w:bCs/>
                <w:sz w:val="24"/>
              </w:rPr>
              <w:t>Článok 364 ods. 3 písm. b) CRR.</w:t>
            </w:r>
          </w:p>
          <w:p w14:paraId="56BC9F2F" w14:textId="77777777" w:rsidR="00235D9D" w:rsidRPr="00D85C65" w:rsidRDefault="00235D9D">
            <w:pPr>
              <w:autoSpaceDE w:val="0"/>
              <w:autoSpaceDN w:val="0"/>
              <w:adjustRightInd w:val="0"/>
              <w:spacing w:before="0" w:after="0"/>
              <w:rPr>
                <w:rFonts w:ascii="Times New Roman" w:hAnsi="Times New Roman"/>
                <w:bCs/>
                <w:sz w:val="24"/>
                <w:u w:val="single"/>
              </w:rPr>
            </w:pPr>
          </w:p>
        </w:tc>
      </w:tr>
      <w:tr w:rsidR="00235D9D" w:rsidRPr="00D85C65" w14:paraId="75D9D0FC" w14:textId="77777777" w:rsidTr="00672D2A">
        <w:tc>
          <w:tcPr>
            <w:tcW w:w="993" w:type="dxa"/>
          </w:tcPr>
          <w:p w14:paraId="62FF7F3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110</w:t>
            </w:r>
          </w:p>
        </w:tc>
        <w:tc>
          <w:tcPr>
            <w:tcW w:w="7869" w:type="dxa"/>
          </w:tcPr>
          <w:p w14:paraId="7EBF795A" w14:textId="77777777" w:rsidR="00235D9D" w:rsidRPr="00D85C65" w:rsidRDefault="000B0B09">
            <w:pPr>
              <w:autoSpaceDE w:val="0"/>
              <w:autoSpaceDN w:val="0"/>
              <w:adjustRightInd w:val="0"/>
              <w:spacing w:before="0"/>
              <w:rPr>
                <w:rFonts w:ascii="Times New Roman" w:hAnsi="Times New Roman"/>
                <w:b/>
                <w:bCs/>
                <w:sz w:val="24"/>
                <w:u w:val="single"/>
              </w:rPr>
            </w:pPr>
            <w:r w:rsidRPr="00D85C65">
              <w:rPr>
                <w:rFonts w:ascii="Times New Roman" w:hAnsi="Times New Roman"/>
                <w:b/>
                <w:bCs/>
                <w:sz w:val="24"/>
                <w:u w:val="single"/>
              </w:rPr>
              <w:t>NAJNOVŠIA HODNOTA</w:t>
            </w:r>
          </w:p>
          <w:p w14:paraId="08ADC411" w14:textId="77777777" w:rsidR="00235D9D" w:rsidRPr="00D85C65" w:rsidRDefault="00705025">
            <w:pPr>
              <w:autoSpaceDE w:val="0"/>
              <w:autoSpaceDN w:val="0"/>
              <w:adjustRightInd w:val="0"/>
              <w:spacing w:before="0" w:after="0"/>
              <w:rPr>
                <w:rFonts w:ascii="Times New Roman" w:hAnsi="Times New Roman"/>
                <w:bCs/>
                <w:sz w:val="24"/>
              </w:rPr>
            </w:pPr>
            <w:r w:rsidRPr="00D85C65">
              <w:rPr>
                <w:rFonts w:ascii="Times New Roman" w:hAnsi="Times New Roman"/>
                <w:bCs/>
                <w:sz w:val="24"/>
              </w:rPr>
              <w:t>Článok 364 ods. 3 písm. a) CRR.</w:t>
            </w:r>
          </w:p>
          <w:p w14:paraId="0BF29F66"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07E3D7C2" w14:textId="77777777" w:rsidTr="00672D2A">
        <w:tc>
          <w:tcPr>
            <w:tcW w:w="993" w:type="dxa"/>
          </w:tcPr>
          <w:p w14:paraId="403357F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120</w:t>
            </w:r>
          </w:p>
        </w:tc>
        <w:tc>
          <w:tcPr>
            <w:tcW w:w="7869" w:type="dxa"/>
          </w:tcPr>
          <w:p w14:paraId="0CC1B742"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POŽIADAVKY NA VLASTNÉ ZDROJE</w:t>
            </w:r>
          </w:p>
          <w:p w14:paraId="7F695B63" w14:textId="5FFD0382" w:rsidR="00235D9D" w:rsidRPr="00D85C65" w:rsidRDefault="00BE0363">
            <w:pPr>
              <w:autoSpaceDE w:val="0"/>
              <w:autoSpaceDN w:val="0"/>
              <w:adjustRightInd w:val="0"/>
              <w:rPr>
                <w:rFonts w:ascii="Times New Roman" w:hAnsi="Times New Roman"/>
                <w:b/>
                <w:bCs/>
                <w:sz w:val="24"/>
                <w:u w:val="single"/>
              </w:rPr>
            </w:pPr>
            <w:r w:rsidRPr="00D85C65">
              <w:rPr>
                <w:rFonts w:ascii="Times New Roman" w:hAnsi="Times New Roman"/>
                <w:bCs/>
                <w:sz w:val="24"/>
              </w:rPr>
              <w:t>Požiadavky na vlastné zdroje</w:t>
            </w:r>
            <w:r w:rsidRPr="00D85C65">
              <w:rPr>
                <w:rFonts w:ascii="Times New Roman" w:hAnsi="Times New Roman"/>
                <w:sz w:val="24"/>
              </w:rPr>
              <w:t xml:space="preserve"> uvedené</w:t>
            </w:r>
            <w:r w:rsidR="00D85C65">
              <w:rPr>
                <w:rFonts w:ascii="Times New Roman" w:hAnsi="Times New Roman"/>
                <w:sz w:val="24"/>
              </w:rPr>
              <w:t xml:space="preserve"> v </w:t>
            </w:r>
            <w:r w:rsidRPr="00D85C65">
              <w:rPr>
                <w:rFonts w:ascii="Times New Roman" w:hAnsi="Times New Roman"/>
                <w:sz w:val="24"/>
              </w:rPr>
              <w:t>článku 364 CRR pre všetky rizikové faktory so zohľadnením účinkov korelácie, ak sú uplatniteľné, inkrementálneho rizika zlyhania, rizika migrácie</w:t>
            </w:r>
            <w:r w:rsidR="00D85C65">
              <w:rPr>
                <w:rFonts w:ascii="Times New Roman" w:hAnsi="Times New Roman"/>
                <w:sz w:val="24"/>
              </w:rPr>
              <w:t xml:space="preserve"> a </w:t>
            </w:r>
            <w:r w:rsidRPr="00D85C65">
              <w:rPr>
                <w:rFonts w:ascii="Times New Roman" w:hAnsi="Times New Roman"/>
                <w:sz w:val="24"/>
              </w:rPr>
              <w:t>všetkých cien rizík pre korelačné obchodné portfólio, ale bez kapitálových požiadaviek pre sekuritizácie</w:t>
            </w:r>
            <w:r w:rsidR="00D85C65">
              <w:rPr>
                <w:rFonts w:ascii="Times New Roman" w:hAnsi="Times New Roman"/>
                <w:sz w:val="24"/>
              </w:rPr>
              <w:t xml:space="preserve"> a </w:t>
            </w:r>
            <w:r w:rsidRPr="00D85C65">
              <w:rPr>
                <w:rFonts w:ascii="Times New Roman" w:hAnsi="Times New Roman"/>
                <w:sz w:val="24"/>
              </w:rPr>
              <w:t xml:space="preserve">kreditné deriváty pre n-té zlyhanie podľa článku 364 ods. 2 CRR. </w:t>
            </w:r>
          </w:p>
        </w:tc>
      </w:tr>
      <w:tr w:rsidR="00235D9D" w:rsidRPr="00D85C65" w14:paraId="5330A5E6" w14:textId="77777777" w:rsidTr="00672D2A">
        <w:tc>
          <w:tcPr>
            <w:tcW w:w="993" w:type="dxa"/>
          </w:tcPr>
          <w:p w14:paraId="4AD8EB71"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130</w:t>
            </w:r>
          </w:p>
        </w:tc>
        <w:tc>
          <w:tcPr>
            <w:tcW w:w="7869" w:type="dxa"/>
          </w:tcPr>
          <w:p w14:paraId="7ECD3034"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RIZIKOVÝCH EXPOZÍCIÍ</w:t>
            </w:r>
          </w:p>
          <w:p w14:paraId="20BF3926" w14:textId="77777777" w:rsidR="00235D9D" w:rsidRPr="00D85C65" w:rsidRDefault="00235D9D">
            <w:pPr>
              <w:autoSpaceDE w:val="0"/>
              <w:autoSpaceDN w:val="0"/>
              <w:adjustRightInd w:val="0"/>
              <w:spacing w:before="0" w:after="0"/>
              <w:rPr>
                <w:rFonts w:ascii="Times New Roman" w:hAnsi="Times New Roman"/>
                <w:b/>
                <w:bCs/>
                <w:sz w:val="24"/>
                <w:u w:val="single"/>
              </w:rPr>
            </w:pPr>
          </w:p>
          <w:p w14:paraId="7267F528" w14:textId="77777777" w:rsidR="00D85C65" w:rsidRDefault="00D21B29">
            <w:pPr>
              <w:autoSpaceDE w:val="0"/>
              <w:autoSpaceDN w:val="0"/>
              <w:adjustRightInd w:val="0"/>
              <w:spacing w:before="0" w:after="0"/>
              <w:rPr>
                <w:rFonts w:ascii="Times New Roman" w:hAnsi="Times New Roman"/>
                <w:sz w:val="24"/>
              </w:rPr>
            </w:pPr>
            <w:r w:rsidRPr="00D85C65">
              <w:rPr>
                <w:rFonts w:ascii="Times New Roman" w:hAnsi="Times New Roman"/>
                <w:sz w:val="24"/>
              </w:rPr>
              <w:t>Článok 92 ods. 4 písm. b) CRR</w:t>
            </w:r>
            <w:r w:rsidR="00D85C65">
              <w:rPr>
                <w:rFonts w:ascii="Times New Roman" w:hAnsi="Times New Roman"/>
                <w:sz w:val="24"/>
              </w:rPr>
              <w:t>.</w:t>
            </w:r>
          </w:p>
          <w:p w14:paraId="165EC96F" w14:textId="2072E27F"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Výsledok vynásobenia požiadaviek na vlastné zdroje koeficientom 12,5.</w:t>
            </w:r>
          </w:p>
          <w:p w14:paraId="4D6267B0"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1A4AC48C" w14:textId="77777777" w:rsidTr="00672D2A">
        <w:tc>
          <w:tcPr>
            <w:tcW w:w="993" w:type="dxa"/>
          </w:tcPr>
          <w:p w14:paraId="0C595607"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140</w:t>
            </w:r>
          </w:p>
        </w:tc>
        <w:tc>
          <w:tcPr>
            <w:tcW w:w="7869" w:type="dxa"/>
          </w:tcPr>
          <w:p w14:paraId="5A460C7B" w14:textId="77777777" w:rsidR="00235D9D" w:rsidRPr="00D85C65" w:rsidRDefault="000B0B09">
            <w:pPr>
              <w:autoSpaceDE w:val="0"/>
              <w:autoSpaceDN w:val="0"/>
              <w:adjustRightInd w:val="0"/>
              <w:spacing w:before="0"/>
              <w:rPr>
                <w:rFonts w:ascii="Times New Roman" w:hAnsi="Times New Roman"/>
                <w:b/>
                <w:bCs/>
                <w:sz w:val="24"/>
                <w:u w:val="single"/>
              </w:rPr>
            </w:pPr>
            <w:r w:rsidRPr="00D85C65">
              <w:rPr>
                <w:rFonts w:ascii="Times New Roman" w:hAnsi="Times New Roman"/>
                <w:b/>
                <w:bCs/>
                <w:sz w:val="24"/>
                <w:u w:val="single"/>
              </w:rPr>
              <w:t>Počet prekročení (počas predchádzajúcich 250 pracovných dní)</w:t>
            </w:r>
          </w:p>
          <w:p w14:paraId="5EA690D5" w14:textId="66434B91"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Uvedené</w:t>
            </w:r>
            <w:r w:rsidR="00D85C65">
              <w:rPr>
                <w:rFonts w:ascii="Times New Roman" w:hAnsi="Times New Roman"/>
                <w:sz w:val="24"/>
              </w:rPr>
              <w:t xml:space="preserve"> v </w:t>
            </w:r>
            <w:r w:rsidRPr="00D85C65">
              <w:rPr>
                <w:rFonts w:ascii="Times New Roman" w:hAnsi="Times New Roman"/>
                <w:sz w:val="24"/>
              </w:rPr>
              <w:t>článku 366 CRR.</w:t>
            </w:r>
          </w:p>
          <w:p w14:paraId="58323C93" w14:textId="4049091C" w:rsidR="00235D9D" w:rsidRPr="00D85C65" w:rsidRDefault="00A92CFF">
            <w:pPr>
              <w:autoSpaceDE w:val="0"/>
              <w:autoSpaceDN w:val="0"/>
              <w:adjustRightInd w:val="0"/>
              <w:spacing w:before="0"/>
              <w:rPr>
                <w:rFonts w:ascii="Times New Roman" w:hAnsi="Times New Roman"/>
                <w:b/>
                <w:bCs/>
                <w:sz w:val="24"/>
                <w:u w:val="single"/>
              </w:rPr>
            </w:pPr>
            <w:r w:rsidRPr="00D85C65">
              <w:rPr>
                <w:rFonts w:ascii="Times New Roman" w:hAnsi="Times New Roman"/>
                <w:sz w:val="24"/>
              </w:rPr>
              <w:t>Vykazuje sa počet prekročení, podľa ktorého sa určuje sčítanec.</w:t>
            </w:r>
          </w:p>
        </w:tc>
      </w:tr>
      <w:tr w:rsidR="00235D9D" w:rsidRPr="00D85C65" w14:paraId="4A919894" w14:textId="77777777" w:rsidTr="00672D2A">
        <w:tc>
          <w:tcPr>
            <w:tcW w:w="993" w:type="dxa"/>
          </w:tcPr>
          <w:p w14:paraId="4162ECFA"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150 – 160</w:t>
            </w:r>
          </w:p>
        </w:tc>
        <w:tc>
          <w:tcPr>
            <w:tcW w:w="7869" w:type="dxa"/>
          </w:tcPr>
          <w:p w14:paraId="0B29FC8E" w14:textId="28EE727A" w:rsidR="00235D9D" w:rsidRPr="00D85C65" w:rsidRDefault="000B0B09">
            <w:pPr>
              <w:autoSpaceDE w:val="0"/>
              <w:autoSpaceDN w:val="0"/>
              <w:adjustRightInd w:val="0"/>
              <w:spacing w:before="0"/>
              <w:rPr>
                <w:rFonts w:ascii="Times New Roman" w:hAnsi="Times New Roman"/>
                <w:b/>
                <w:bCs/>
                <w:sz w:val="24"/>
                <w:u w:val="single"/>
              </w:rPr>
            </w:pPr>
            <w:r w:rsidRPr="00D85C65">
              <w:rPr>
                <w:rFonts w:ascii="Times New Roman" w:hAnsi="Times New Roman"/>
                <w:b/>
                <w:bCs/>
                <w:sz w:val="24"/>
                <w:u w:val="single"/>
              </w:rPr>
              <w:t>Multiplikačný koeficient VaR (mc)</w:t>
            </w:r>
            <w:r w:rsidR="00D85C65">
              <w:rPr>
                <w:rFonts w:ascii="Times New Roman" w:hAnsi="Times New Roman"/>
                <w:b/>
                <w:bCs/>
                <w:sz w:val="24"/>
                <w:u w:val="single"/>
              </w:rPr>
              <w:t xml:space="preserve"> a </w:t>
            </w:r>
            <w:r w:rsidRPr="00D85C65">
              <w:rPr>
                <w:rFonts w:ascii="Times New Roman" w:hAnsi="Times New Roman"/>
                <w:b/>
                <w:bCs/>
                <w:sz w:val="24"/>
                <w:u w:val="single"/>
              </w:rPr>
              <w:t>multiplikačný koeficient SVaR (ms)</w:t>
            </w:r>
          </w:p>
          <w:p w14:paraId="47255413" w14:textId="0C2A0396" w:rsidR="00235D9D" w:rsidRPr="00D85C65" w:rsidRDefault="000B0B09">
            <w:pPr>
              <w:autoSpaceDE w:val="0"/>
              <w:autoSpaceDN w:val="0"/>
              <w:adjustRightInd w:val="0"/>
              <w:spacing w:before="0" w:after="0"/>
              <w:rPr>
                <w:rStyle w:val="InstructionsTabelleberschrift"/>
                <w:sz w:val="24"/>
              </w:rPr>
            </w:pPr>
            <w:r w:rsidRPr="00D85C65">
              <w:rPr>
                <w:rFonts w:ascii="Times New Roman" w:hAnsi="Times New Roman"/>
                <w:sz w:val="24"/>
              </w:rPr>
              <w:t>Ako sa uvádza</w:t>
            </w:r>
            <w:r w:rsidR="00D85C65">
              <w:rPr>
                <w:rFonts w:ascii="Times New Roman" w:hAnsi="Times New Roman"/>
                <w:sz w:val="24"/>
              </w:rPr>
              <w:t xml:space="preserve"> v </w:t>
            </w:r>
            <w:r w:rsidRPr="00D85C65">
              <w:rPr>
                <w:rFonts w:ascii="Times New Roman" w:hAnsi="Times New Roman"/>
                <w:sz w:val="24"/>
              </w:rPr>
              <w:t>článku 366 CRR.</w:t>
            </w:r>
          </w:p>
          <w:p w14:paraId="594BC356" w14:textId="77777777"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40219790" w14:textId="77777777" w:rsidTr="00672D2A">
        <w:tc>
          <w:tcPr>
            <w:tcW w:w="993" w:type="dxa"/>
          </w:tcPr>
          <w:p w14:paraId="4E97338A"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170 – 180</w:t>
            </w:r>
          </w:p>
        </w:tc>
        <w:tc>
          <w:tcPr>
            <w:tcW w:w="7869" w:type="dxa"/>
          </w:tcPr>
          <w:p w14:paraId="19A123CE"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PREDPOKLADANÁ POŽIADAVKA PRE MINIMÁLNU HRANICU KORELAČNÉHO OBCHODNÉHO PORTFÓLIA – VÁŽENÉ ČISTÉ DLHÉ/KRÁTKE POZÍCIE PO OHRANIČENÍ</w:t>
            </w:r>
          </w:p>
          <w:p w14:paraId="421F26D5" w14:textId="4F097B7D" w:rsidR="00235D9D" w:rsidRPr="00D85C65" w:rsidRDefault="000B0B09">
            <w:pPr>
              <w:autoSpaceDE w:val="0"/>
              <w:autoSpaceDN w:val="0"/>
              <w:adjustRightInd w:val="0"/>
              <w:rPr>
                <w:rStyle w:val="InstructionsTabelleberschrift"/>
                <w:rFonts w:ascii="Times New Roman" w:hAnsi="Times New Roman"/>
                <w:sz w:val="24"/>
              </w:rPr>
            </w:pPr>
            <w:r w:rsidRPr="00D85C65">
              <w:rPr>
                <w:rFonts w:ascii="Times New Roman" w:hAnsi="Times New Roman"/>
                <w:sz w:val="24"/>
              </w:rPr>
              <w:t xml:space="preserve">Vykazovaná hodnota slúžiaca ako základ na výpočet minimálnej kapitálovej požiadavky pre všetky cenové riziká podľa </w:t>
            </w:r>
            <w:r w:rsidRPr="00D85C65">
              <w:rPr>
                <w:rFonts w:ascii="Times New Roman" w:hAnsi="Times New Roman"/>
                <w:bCs/>
                <w:sz w:val="24"/>
              </w:rPr>
              <w:t>článku 364 ods. 3 písm. c) CRR</w:t>
            </w:r>
            <w:r w:rsidRPr="00D85C65">
              <w:rPr>
                <w:rFonts w:ascii="Times New Roman" w:hAnsi="Times New Roman"/>
                <w:sz w:val="24"/>
              </w:rPr>
              <w:t>, zohľadňujúc možnosť stanovenú</w:t>
            </w:r>
            <w:r w:rsidR="00D85C65">
              <w:rPr>
                <w:rFonts w:ascii="Times New Roman" w:hAnsi="Times New Roman"/>
                <w:sz w:val="24"/>
              </w:rPr>
              <w:t xml:space="preserve"> v </w:t>
            </w:r>
            <w:r w:rsidRPr="00D85C65">
              <w:rPr>
                <w:rFonts w:ascii="Times New Roman" w:hAnsi="Times New Roman"/>
                <w:sz w:val="24"/>
              </w:rPr>
              <w:t>článku 335 CRR,</w:t>
            </w:r>
            <w:r w:rsidR="00D85C65">
              <w:rPr>
                <w:rFonts w:ascii="Times New Roman" w:hAnsi="Times New Roman"/>
                <w:sz w:val="24"/>
              </w:rPr>
              <w:t xml:space="preserve"> v </w:t>
            </w:r>
            <w:r w:rsidRPr="00D85C65">
              <w:rPr>
                <w:rFonts w:ascii="Times New Roman" w:hAnsi="Times New Roman"/>
                <w:sz w:val="24"/>
              </w:rPr>
              <w:t>ktorej sa stanovuje, že inštitúcia môže stanoviť horné ohraničenie súčinu váhy</w:t>
            </w:r>
            <w:r w:rsidR="00D85C65">
              <w:rPr>
                <w:rFonts w:ascii="Times New Roman" w:hAnsi="Times New Roman"/>
                <w:sz w:val="24"/>
              </w:rPr>
              <w:t xml:space="preserve"> a </w:t>
            </w:r>
            <w:r w:rsidRPr="00D85C65">
              <w:rPr>
                <w:rFonts w:ascii="Times New Roman" w:hAnsi="Times New Roman"/>
                <w:sz w:val="24"/>
              </w:rPr>
              <w:t>čistej pozície vo výške maximálnej možnej straty súvisiacej</w:t>
            </w:r>
            <w:r w:rsidR="00D85C65">
              <w:rPr>
                <w:rFonts w:ascii="Times New Roman" w:hAnsi="Times New Roman"/>
                <w:sz w:val="24"/>
              </w:rPr>
              <w:t xml:space="preserve"> s </w:t>
            </w:r>
            <w:r w:rsidRPr="00D85C65">
              <w:rPr>
                <w:rFonts w:ascii="Times New Roman" w:hAnsi="Times New Roman"/>
                <w:sz w:val="24"/>
              </w:rPr>
              <w:t xml:space="preserve">rizikom zlyhania. </w:t>
            </w:r>
          </w:p>
        </w:tc>
      </w:tr>
    </w:tbl>
    <w:p w14:paraId="63C05583" w14:textId="77777777" w:rsidR="00235D9D" w:rsidRPr="00D85C65" w:rsidRDefault="00235D9D">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235D9D" w:rsidRPr="00D85C65" w14:paraId="084B0775" w14:textId="77777777" w:rsidTr="00672D2A">
        <w:trPr>
          <w:trHeight w:val="566"/>
        </w:trPr>
        <w:tc>
          <w:tcPr>
            <w:tcW w:w="8896" w:type="dxa"/>
            <w:gridSpan w:val="2"/>
            <w:shd w:val="clear" w:color="auto" w:fill="CCCCCC"/>
          </w:tcPr>
          <w:p w14:paraId="649D7980" w14:textId="77777777" w:rsidR="00235D9D" w:rsidRPr="00D85C65" w:rsidRDefault="000B0B09">
            <w:pPr>
              <w:autoSpaceDE w:val="0"/>
              <w:autoSpaceDN w:val="0"/>
              <w:adjustRightInd w:val="0"/>
              <w:spacing w:after="0"/>
              <w:rPr>
                <w:rFonts w:ascii="Times New Roman" w:hAnsi="Times New Roman"/>
                <w:b/>
                <w:sz w:val="24"/>
              </w:rPr>
            </w:pPr>
            <w:r w:rsidRPr="00D85C65">
              <w:rPr>
                <w:rFonts w:ascii="Times New Roman" w:hAnsi="Times New Roman"/>
                <w:b/>
                <w:sz w:val="24"/>
              </w:rPr>
              <w:t>Riadky</w:t>
            </w:r>
          </w:p>
        </w:tc>
      </w:tr>
      <w:tr w:rsidR="00235D9D" w:rsidRPr="00D85C65" w14:paraId="6031AED8" w14:textId="77777777" w:rsidTr="00672D2A">
        <w:tc>
          <w:tcPr>
            <w:tcW w:w="993" w:type="dxa"/>
          </w:tcPr>
          <w:p w14:paraId="4169D2D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010</w:t>
            </w:r>
          </w:p>
        </w:tc>
        <w:tc>
          <w:tcPr>
            <w:tcW w:w="7903" w:type="dxa"/>
          </w:tcPr>
          <w:p w14:paraId="13C9886D"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CELKOVÉ POZÍCIE</w:t>
            </w:r>
          </w:p>
          <w:p w14:paraId="358371AC" w14:textId="77777777" w:rsidR="00235D9D" w:rsidRPr="00D85C65" w:rsidRDefault="00235D9D">
            <w:pPr>
              <w:autoSpaceDE w:val="0"/>
              <w:autoSpaceDN w:val="0"/>
              <w:adjustRightInd w:val="0"/>
              <w:spacing w:before="0" w:after="0"/>
              <w:rPr>
                <w:rFonts w:ascii="Times New Roman" w:hAnsi="Times New Roman"/>
                <w:b/>
                <w:bCs/>
                <w:sz w:val="24"/>
                <w:u w:val="single"/>
              </w:rPr>
            </w:pPr>
          </w:p>
          <w:p w14:paraId="0EACB68B" w14:textId="7B3B6268" w:rsidR="00235D9D" w:rsidRPr="00D85C65" w:rsidRDefault="000B0B09">
            <w:pPr>
              <w:autoSpaceDE w:val="0"/>
              <w:autoSpaceDN w:val="0"/>
              <w:adjustRightInd w:val="0"/>
              <w:spacing w:before="0"/>
              <w:rPr>
                <w:rFonts w:ascii="Times New Roman" w:hAnsi="Times New Roman"/>
                <w:sz w:val="24"/>
              </w:rPr>
            </w:pPr>
            <w:r w:rsidRPr="00D85C65">
              <w:rPr>
                <w:rFonts w:ascii="Times New Roman" w:hAnsi="Times New Roman"/>
                <w:sz w:val="24"/>
              </w:rPr>
              <w:t>Zodpovedá časti pozičného, devízového</w:t>
            </w:r>
            <w:r w:rsidR="00D85C65">
              <w:rPr>
                <w:rFonts w:ascii="Times New Roman" w:hAnsi="Times New Roman"/>
                <w:sz w:val="24"/>
              </w:rPr>
              <w:t xml:space="preserve"> a </w:t>
            </w:r>
            <w:r w:rsidRPr="00D85C65">
              <w:rPr>
                <w:rFonts w:ascii="Times New Roman" w:hAnsi="Times New Roman"/>
                <w:sz w:val="24"/>
              </w:rPr>
              <w:t>komoditného rizika uvedenej</w:t>
            </w:r>
            <w:r w:rsidR="00D85C65">
              <w:rPr>
                <w:rFonts w:ascii="Times New Roman" w:hAnsi="Times New Roman"/>
                <w:sz w:val="24"/>
              </w:rPr>
              <w:t xml:space="preserve"> v </w:t>
            </w:r>
            <w:r w:rsidRPr="00D85C65">
              <w:rPr>
                <w:rFonts w:ascii="Times New Roman" w:hAnsi="Times New Roman"/>
                <w:sz w:val="24"/>
              </w:rPr>
              <w:t>článku 363 ods. 1 CRR spojenej</w:t>
            </w:r>
            <w:r w:rsidR="00D85C65">
              <w:rPr>
                <w:rFonts w:ascii="Times New Roman" w:hAnsi="Times New Roman"/>
                <w:sz w:val="24"/>
              </w:rPr>
              <w:t xml:space="preserve"> s </w:t>
            </w:r>
            <w:r w:rsidRPr="00D85C65">
              <w:rPr>
                <w:rFonts w:ascii="Times New Roman" w:hAnsi="Times New Roman"/>
                <w:sz w:val="24"/>
              </w:rPr>
              <w:t>rizikovými faktormi stanovenými</w:t>
            </w:r>
            <w:r w:rsidR="00D85C65">
              <w:rPr>
                <w:rFonts w:ascii="Times New Roman" w:hAnsi="Times New Roman"/>
                <w:sz w:val="24"/>
              </w:rPr>
              <w:t xml:space="preserve"> v </w:t>
            </w:r>
            <w:r w:rsidRPr="00D85C65">
              <w:rPr>
                <w:rFonts w:ascii="Times New Roman" w:hAnsi="Times New Roman"/>
                <w:sz w:val="24"/>
              </w:rPr>
              <w:t>článku 367 ods. 2 CRR.</w:t>
            </w:r>
          </w:p>
          <w:p w14:paraId="12E3AAEC" w14:textId="697BCA91"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Pokiaľ ide</w:t>
            </w:r>
            <w:r w:rsidR="00D85C65">
              <w:rPr>
                <w:rFonts w:ascii="Times New Roman" w:hAnsi="Times New Roman"/>
                <w:sz w:val="24"/>
              </w:rPr>
              <w:t xml:space="preserve"> o </w:t>
            </w:r>
            <w:r w:rsidRPr="00D85C65">
              <w:rPr>
                <w:rFonts w:ascii="Times New Roman" w:hAnsi="Times New Roman"/>
                <w:sz w:val="24"/>
              </w:rPr>
              <w:t>stĺpce 030 až 060 (VAR</w:t>
            </w:r>
            <w:r w:rsidR="00D85C65">
              <w:rPr>
                <w:rFonts w:ascii="Times New Roman" w:hAnsi="Times New Roman"/>
                <w:sz w:val="24"/>
              </w:rPr>
              <w:t xml:space="preserve"> a </w:t>
            </w:r>
            <w:r w:rsidRPr="00D85C65">
              <w:rPr>
                <w:rFonts w:ascii="Times New Roman" w:hAnsi="Times New Roman"/>
                <w:sz w:val="24"/>
              </w:rPr>
              <w:t>sVAR), hodnoty</w:t>
            </w:r>
            <w:r w:rsidR="00D85C65">
              <w:rPr>
                <w:rFonts w:ascii="Times New Roman" w:hAnsi="Times New Roman"/>
                <w:sz w:val="24"/>
              </w:rPr>
              <w:t xml:space="preserve"> v </w:t>
            </w:r>
            <w:r w:rsidRPr="00D85C65">
              <w:rPr>
                <w:rFonts w:ascii="Times New Roman" w:hAnsi="Times New Roman"/>
                <w:sz w:val="24"/>
              </w:rPr>
              <w:t>riadku spolu sa nerovnajú rozloženiu hodnôt pre VaR/sVaR relevantných zložiek rizika.</w:t>
            </w:r>
          </w:p>
          <w:p w14:paraId="5C08FF29" w14:textId="77777777" w:rsidR="00235D9D" w:rsidRPr="00D85C65" w:rsidRDefault="00235D9D">
            <w:pPr>
              <w:autoSpaceDE w:val="0"/>
              <w:autoSpaceDN w:val="0"/>
              <w:adjustRightInd w:val="0"/>
              <w:spacing w:before="0" w:after="0"/>
              <w:rPr>
                <w:rFonts w:ascii="Times New Roman" w:hAnsi="Times New Roman"/>
                <w:sz w:val="24"/>
              </w:rPr>
            </w:pPr>
          </w:p>
        </w:tc>
      </w:tr>
      <w:tr w:rsidR="00235D9D" w:rsidRPr="00D85C65" w14:paraId="05C47CAF" w14:textId="77777777" w:rsidTr="00672D2A">
        <w:tc>
          <w:tcPr>
            <w:tcW w:w="993" w:type="dxa"/>
          </w:tcPr>
          <w:p w14:paraId="6D0D8456"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020</w:t>
            </w:r>
          </w:p>
        </w:tc>
        <w:tc>
          <w:tcPr>
            <w:tcW w:w="7903" w:type="dxa"/>
          </w:tcPr>
          <w:p w14:paraId="3A9AB85A"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OBCHODOVANÉ DLHOVÉ NÁSTROJE (TDI)</w:t>
            </w:r>
          </w:p>
          <w:p w14:paraId="5E5F36C1" w14:textId="48E5A15B"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Zodpovedá časti pozičného rizika uvedenej</w:t>
            </w:r>
            <w:r w:rsidR="00D85C65">
              <w:rPr>
                <w:rFonts w:ascii="Times New Roman" w:hAnsi="Times New Roman"/>
                <w:sz w:val="24"/>
              </w:rPr>
              <w:t xml:space="preserve"> v </w:t>
            </w:r>
            <w:r w:rsidRPr="00D85C65">
              <w:rPr>
                <w:rFonts w:ascii="Times New Roman" w:hAnsi="Times New Roman"/>
                <w:sz w:val="24"/>
              </w:rPr>
              <w:t>článku 363 ods. 1 CRR spojenej</w:t>
            </w:r>
            <w:r w:rsidR="00D85C65">
              <w:rPr>
                <w:rFonts w:ascii="Times New Roman" w:hAnsi="Times New Roman"/>
                <w:sz w:val="24"/>
              </w:rPr>
              <w:t xml:space="preserve"> s </w:t>
            </w:r>
            <w:r w:rsidRPr="00D85C65">
              <w:rPr>
                <w:rFonts w:ascii="Times New Roman" w:hAnsi="Times New Roman"/>
                <w:sz w:val="24"/>
              </w:rPr>
              <w:t>faktormi úrokového rizika stanovenými</w:t>
            </w:r>
            <w:r w:rsidR="00D85C65">
              <w:rPr>
                <w:rFonts w:ascii="Times New Roman" w:hAnsi="Times New Roman"/>
                <w:sz w:val="24"/>
              </w:rPr>
              <w:t xml:space="preserve"> v </w:t>
            </w:r>
            <w:r w:rsidRPr="00D85C65">
              <w:rPr>
                <w:rFonts w:ascii="Times New Roman" w:hAnsi="Times New Roman"/>
                <w:sz w:val="24"/>
              </w:rPr>
              <w:t>článku 367 ods. 2 písm. a) CRR.</w:t>
            </w:r>
          </w:p>
        </w:tc>
      </w:tr>
      <w:tr w:rsidR="00235D9D" w:rsidRPr="00D85C65" w14:paraId="253DED19" w14:textId="77777777" w:rsidTr="00672D2A">
        <w:tc>
          <w:tcPr>
            <w:tcW w:w="993" w:type="dxa"/>
          </w:tcPr>
          <w:p w14:paraId="5DEFEEA2"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030</w:t>
            </w:r>
          </w:p>
        </w:tc>
        <w:tc>
          <w:tcPr>
            <w:tcW w:w="7903" w:type="dxa"/>
          </w:tcPr>
          <w:p w14:paraId="58A2AB5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TDI – VŠEOBECNÉ RIZIKO</w:t>
            </w:r>
          </w:p>
          <w:p w14:paraId="3DB6B4AC" w14:textId="65116B44" w:rsidR="00235D9D" w:rsidRPr="00D85C65" w:rsidRDefault="000B0B09">
            <w:pPr>
              <w:autoSpaceDE w:val="0"/>
              <w:autoSpaceDN w:val="0"/>
              <w:adjustRightInd w:val="0"/>
              <w:rPr>
                <w:rFonts w:ascii="Times New Roman" w:hAnsi="Times New Roman"/>
                <w:sz w:val="24"/>
              </w:rPr>
            </w:pPr>
            <w:r w:rsidRPr="00D85C65">
              <w:rPr>
                <w:rFonts w:ascii="Times New Roman" w:hAnsi="Times New Roman"/>
                <w:sz w:val="24"/>
              </w:rPr>
              <w:t xml:space="preserve">Zložka všeobecného rizika podľa článku 362 CRR. </w:t>
            </w:r>
          </w:p>
        </w:tc>
      </w:tr>
      <w:tr w:rsidR="00235D9D" w:rsidRPr="00D85C65" w14:paraId="3A87E4EC" w14:textId="77777777" w:rsidTr="00672D2A">
        <w:tc>
          <w:tcPr>
            <w:tcW w:w="993" w:type="dxa"/>
          </w:tcPr>
          <w:p w14:paraId="53BD9DEA"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040</w:t>
            </w:r>
          </w:p>
        </w:tc>
        <w:tc>
          <w:tcPr>
            <w:tcW w:w="7903" w:type="dxa"/>
          </w:tcPr>
          <w:p w14:paraId="2C5FFEF0"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TDI – ŠPECIFICKÉ RIZIKO</w:t>
            </w:r>
          </w:p>
          <w:p w14:paraId="79C40A5C" w14:textId="77777777" w:rsidR="00235D9D" w:rsidRPr="00D85C65" w:rsidRDefault="00235D9D">
            <w:pPr>
              <w:autoSpaceDE w:val="0"/>
              <w:autoSpaceDN w:val="0"/>
              <w:adjustRightInd w:val="0"/>
              <w:spacing w:before="0" w:after="0"/>
              <w:rPr>
                <w:rFonts w:ascii="Times New Roman" w:hAnsi="Times New Roman"/>
                <w:sz w:val="24"/>
              </w:rPr>
            </w:pPr>
          </w:p>
          <w:p w14:paraId="70CE6F11" w14:textId="252F0D72"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 xml:space="preserve">Zložka špecifického rizika podľa článku 362 CRR. </w:t>
            </w:r>
          </w:p>
        </w:tc>
      </w:tr>
      <w:tr w:rsidR="00235D9D" w:rsidRPr="00D85C65" w14:paraId="7E61770D" w14:textId="77777777" w:rsidTr="00672D2A">
        <w:tc>
          <w:tcPr>
            <w:tcW w:w="993" w:type="dxa"/>
          </w:tcPr>
          <w:p w14:paraId="0A66146B"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050</w:t>
            </w:r>
          </w:p>
        </w:tc>
        <w:tc>
          <w:tcPr>
            <w:tcW w:w="7903" w:type="dxa"/>
          </w:tcPr>
          <w:p w14:paraId="092A08D1"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KAPITÁLOVÉ CENNÉ PAPIERE</w:t>
            </w:r>
          </w:p>
          <w:p w14:paraId="2CA0F964" w14:textId="77777777" w:rsidR="00235D9D" w:rsidRPr="00D85C65" w:rsidRDefault="00235D9D">
            <w:pPr>
              <w:autoSpaceDE w:val="0"/>
              <w:autoSpaceDN w:val="0"/>
              <w:adjustRightInd w:val="0"/>
              <w:spacing w:before="0" w:after="0"/>
              <w:rPr>
                <w:rFonts w:ascii="Times New Roman" w:hAnsi="Times New Roman"/>
                <w:sz w:val="24"/>
              </w:rPr>
            </w:pPr>
          </w:p>
          <w:p w14:paraId="1CFF5231" w14:textId="30FC52CA" w:rsid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Zodpovedá časti pozičného rizika uvedenej</w:t>
            </w:r>
            <w:r w:rsidR="00D85C65">
              <w:rPr>
                <w:rFonts w:ascii="Times New Roman" w:hAnsi="Times New Roman"/>
                <w:sz w:val="24"/>
              </w:rPr>
              <w:t xml:space="preserve"> v </w:t>
            </w:r>
            <w:r w:rsidRPr="00D85C65">
              <w:rPr>
                <w:rFonts w:ascii="Times New Roman" w:hAnsi="Times New Roman"/>
                <w:sz w:val="24"/>
              </w:rPr>
              <w:t>článku 363 ods. 1 CRR spojenej</w:t>
            </w:r>
            <w:r w:rsidR="00D85C65">
              <w:rPr>
                <w:rFonts w:ascii="Times New Roman" w:hAnsi="Times New Roman"/>
                <w:sz w:val="24"/>
              </w:rPr>
              <w:t xml:space="preserve"> s </w:t>
            </w:r>
            <w:r w:rsidRPr="00D85C65">
              <w:rPr>
                <w:rFonts w:ascii="Times New Roman" w:hAnsi="Times New Roman"/>
                <w:sz w:val="24"/>
              </w:rPr>
              <w:t>faktormi kapitálového rizika stanovenými</w:t>
            </w:r>
            <w:r w:rsidR="00D85C65">
              <w:rPr>
                <w:rFonts w:ascii="Times New Roman" w:hAnsi="Times New Roman"/>
                <w:sz w:val="24"/>
              </w:rPr>
              <w:t xml:space="preserve"> v </w:t>
            </w:r>
            <w:r w:rsidRPr="00D85C65">
              <w:rPr>
                <w:rFonts w:ascii="Times New Roman" w:hAnsi="Times New Roman"/>
                <w:sz w:val="24"/>
              </w:rPr>
              <w:t>článku 367 ods. 2 písm. c) CRR</w:t>
            </w:r>
            <w:r w:rsidR="00D85C65">
              <w:rPr>
                <w:rFonts w:ascii="Times New Roman" w:hAnsi="Times New Roman"/>
                <w:sz w:val="24"/>
              </w:rPr>
              <w:t>.</w:t>
            </w:r>
          </w:p>
          <w:p w14:paraId="3E4F2C40" w14:textId="1934E343"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750053F2" w14:textId="77777777" w:rsidTr="00672D2A">
        <w:tc>
          <w:tcPr>
            <w:tcW w:w="993" w:type="dxa"/>
          </w:tcPr>
          <w:p w14:paraId="7C212BD3"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060</w:t>
            </w:r>
          </w:p>
        </w:tc>
        <w:tc>
          <w:tcPr>
            <w:tcW w:w="7903" w:type="dxa"/>
          </w:tcPr>
          <w:p w14:paraId="1F9B3278"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KAPITÁLOVÉ CENNÉ PAPIERE – VŠEOBECNÉ RIZIKO</w:t>
            </w:r>
          </w:p>
          <w:p w14:paraId="36FBCD50" w14:textId="57AA9076"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Zložka všeobecného rizika podľa článku 362 CRR.</w:t>
            </w:r>
          </w:p>
        </w:tc>
      </w:tr>
      <w:tr w:rsidR="00235D9D" w:rsidRPr="00D85C65" w14:paraId="24E7AECF" w14:textId="77777777" w:rsidTr="00672D2A">
        <w:tc>
          <w:tcPr>
            <w:tcW w:w="993" w:type="dxa"/>
          </w:tcPr>
          <w:p w14:paraId="28A15B9C"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070</w:t>
            </w:r>
          </w:p>
        </w:tc>
        <w:tc>
          <w:tcPr>
            <w:tcW w:w="7903" w:type="dxa"/>
          </w:tcPr>
          <w:p w14:paraId="51442A57"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KAPITÁLOVÉ CENNÉ PAPIERE – ŠPECIFICKÉ RIZIKO</w:t>
            </w:r>
          </w:p>
          <w:p w14:paraId="4408E937" w14:textId="1F9AC85D"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lastRenderedPageBreak/>
              <w:t xml:space="preserve">Zložka špecifického rizika podľa článku 362 CRR. </w:t>
            </w:r>
          </w:p>
        </w:tc>
      </w:tr>
      <w:tr w:rsidR="00235D9D" w:rsidRPr="00D85C65" w14:paraId="7C991BE9" w14:textId="77777777" w:rsidTr="00672D2A">
        <w:tc>
          <w:tcPr>
            <w:tcW w:w="993" w:type="dxa"/>
          </w:tcPr>
          <w:p w14:paraId="672A0E2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lastRenderedPageBreak/>
              <w:t>080</w:t>
            </w:r>
          </w:p>
        </w:tc>
        <w:tc>
          <w:tcPr>
            <w:tcW w:w="7903" w:type="dxa"/>
          </w:tcPr>
          <w:p w14:paraId="536D7E34"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DEVÍZOVÉ RIZIKO</w:t>
            </w:r>
          </w:p>
          <w:p w14:paraId="5A40A224" w14:textId="06018BDC"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Článok 363 ods. 1</w:t>
            </w:r>
            <w:r w:rsidR="00D85C65">
              <w:rPr>
                <w:rFonts w:ascii="Times New Roman" w:hAnsi="Times New Roman"/>
                <w:sz w:val="24"/>
              </w:rPr>
              <w:t xml:space="preserve"> a </w:t>
            </w:r>
            <w:r w:rsidRPr="00D85C65">
              <w:rPr>
                <w:rFonts w:ascii="Times New Roman" w:hAnsi="Times New Roman"/>
                <w:sz w:val="24"/>
              </w:rPr>
              <w:t>článok 367 ods. 2 písm. b) CRR.</w:t>
            </w:r>
          </w:p>
        </w:tc>
      </w:tr>
      <w:tr w:rsidR="00235D9D" w:rsidRPr="00D85C65" w14:paraId="16B1AF4E" w14:textId="77777777" w:rsidTr="00672D2A">
        <w:tc>
          <w:tcPr>
            <w:tcW w:w="993" w:type="dxa"/>
          </w:tcPr>
          <w:p w14:paraId="18D0BBDF"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090</w:t>
            </w:r>
          </w:p>
        </w:tc>
        <w:tc>
          <w:tcPr>
            <w:tcW w:w="7903" w:type="dxa"/>
          </w:tcPr>
          <w:p w14:paraId="1AC4282A"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KOMODITNÉ RIZIKO</w:t>
            </w:r>
          </w:p>
          <w:p w14:paraId="72E6AE17" w14:textId="5323AEA1" w:rsidR="00235D9D" w:rsidRPr="00D85C65" w:rsidRDefault="000B0B09">
            <w:pPr>
              <w:autoSpaceDE w:val="0"/>
              <w:autoSpaceDN w:val="0"/>
              <w:adjustRightInd w:val="0"/>
              <w:rPr>
                <w:rFonts w:ascii="Times New Roman" w:hAnsi="Times New Roman"/>
                <w:b/>
                <w:bCs/>
                <w:sz w:val="24"/>
                <w:u w:val="single"/>
              </w:rPr>
            </w:pPr>
            <w:r w:rsidRPr="00D85C65">
              <w:rPr>
                <w:rFonts w:ascii="Times New Roman" w:hAnsi="Times New Roman"/>
                <w:sz w:val="24"/>
              </w:rPr>
              <w:t>Článok 363 ods. 1</w:t>
            </w:r>
            <w:r w:rsidR="00D85C65">
              <w:rPr>
                <w:rFonts w:ascii="Times New Roman" w:hAnsi="Times New Roman"/>
                <w:sz w:val="24"/>
              </w:rPr>
              <w:t xml:space="preserve"> a </w:t>
            </w:r>
            <w:r w:rsidRPr="00D85C65">
              <w:rPr>
                <w:rFonts w:ascii="Times New Roman" w:hAnsi="Times New Roman"/>
                <w:sz w:val="24"/>
              </w:rPr>
              <w:t xml:space="preserve">článok 367 ods. 2 písm. d) CRR. </w:t>
            </w:r>
          </w:p>
        </w:tc>
      </w:tr>
      <w:tr w:rsidR="00235D9D" w:rsidRPr="00D85C65" w14:paraId="606DE515" w14:textId="77777777" w:rsidTr="00672D2A">
        <w:tc>
          <w:tcPr>
            <w:tcW w:w="993" w:type="dxa"/>
          </w:tcPr>
          <w:p w14:paraId="399EFC0F"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100</w:t>
            </w:r>
          </w:p>
        </w:tc>
        <w:tc>
          <w:tcPr>
            <w:tcW w:w="7903" w:type="dxa"/>
          </w:tcPr>
          <w:p w14:paraId="2338922F"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PRE VŠEOBECNÉ RIZIKO</w:t>
            </w:r>
          </w:p>
          <w:p w14:paraId="4C4CDA88" w14:textId="77777777" w:rsidR="00235D9D" w:rsidRPr="00D85C65" w:rsidRDefault="00235D9D">
            <w:pPr>
              <w:autoSpaceDE w:val="0"/>
              <w:autoSpaceDN w:val="0"/>
              <w:adjustRightInd w:val="0"/>
              <w:spacing w:before="0" w:after="0"/>
              <w:rPr>
                <w:rFonts w:ascii="Times New Roman" w:hAnsi="Times New Roman"/>
                <w:b/>
                <w:bCs/>
                <w:sz w:val="24"/>
                <w:u w:val="single"/>
              </w:rPr>
            </w:pPr>
          </w:p>
          <w:p w14:paraId="588DB963" w14:textId="66B8E5B1" w:rsidR="00D85C65" w:rsidRDefault="000B0B09">
            <w:pPr>
              <w:autoSpaceDE w:val="0"/>
              <w:autoSpaceDN w:val="0"/>
              <w:adjustRightInd w:val="0"/>
              <w:spacing w:before="0" w:after="0"/>
              <w:rPr>
                <w:rStyle w:val="InstructionsTabelleText"/>
                <w:rFonts w:ascii="Times New Roman" w:hAnsi="Times New Roman"/>
                <w:sz w:val="24"/>
              </w:rPr>
            </w:pPr>
            <w:r w:rsidRPr="00D85C65">
              <w:rPr>
                <w:rStyle w:val="InstructionsTabelleText"/>
                <w:rFonts w:ascii="Times New Roman" w:hAnsi="Times New Roman"/>
                <w:sz w:val="24"/>
              </w:rPr>
              <w:t>Trhové riziko spôsobené všeobecnými pohybmi obchodovaných dlhových nástrojov, kapitálových cenných papierov, devíz</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komodít na trhu. VaR pre všeobecné riziko všetkých rizikových faktorov (v náležitých prípadoch so zohľadnením účinkov korelácie)</w:t>
            </w:r>
            <w:r w:rsidR="00D85C65">
              <w:rPr>
                <w:rStyle w:val="InstructionsTabelleText"/>
                <w:rFonts w:ascii="Times New Roman" w:hAnsi="Times New Roman"/>
                <w:sz w:val="24"/>
              </w:rPr>
              <w:t>.</w:t>
            </w:r>
          </w:p>
          <w:p w14:paraId="169EAD5F" w14:textId="2C8A8143" w:rsidR="00235D9D" w:rsidRPr="00D85C65" w:rsidRDefault="00235D9D">
            <w:pPr>
              <w:autoSpaceDE w:val="0"/>
              <w:autoSpaceDN w:val="0"/>
              <w:adjustRightInd w:val="0"/>
              <w:spacing w:before="0" w:after="0"/>
              <w:rPr>
                <w:rFonts w:ascii="Times New Roman" w:hAnsi="Times New Roman"/>
                <w:b/>
                <w:bCs/>
                <w:sz w:val="24"/>
                <w:u w:val="single"/>
              </w:rPr>
            </w:pPr>
          </w:p>
        </w:tc>
      </w:tr>
      <w:tr w:rsidR="00235D9D" w:rsidRPr="00D85C65" w14:paraId="1CAFB2E0" w14:textId="77777777" w:rsidTr="00672D2A">
        <w:tc>
          <w:tcPr>
            <w:tcW w:w="993" w:type="dxa"/>
          </w:tcPr>
          <w:p w14:paraId="72FA5315" w14:textId="77777777" w:rsidR="00235D9D" w:rsidRPr="00D85C65" w:rsidRDefault="000B0B09">
            <w:pPr>
              <w:autoSpaceDE w:val="0"/>
              <w:autoSpaceDN w:val="0"/>
              <w:adjustRightInd w:val="0"/>
              <w:spacing w:before="0" w:after="0"/>
              <w:rPr>
                <w:rFonts w:ascii="Times New Roman" w:hAnsi="Times New Roman"/>
                <w:sz w:val="24"/>
              </w:rPr>
            </w:pPr>
            <w:r w:rsidRPr="00D85C65">
              <w:rPr>
                <w:rFonts w:ascii="Times New Roman" w:hAnsi="Times New Roman"/>
                <w:sz w:val="24"/>
              </w:rPr>
              <w:t>110</w:t>
            </w:r>
          </w:p>
          <w:p w14:paraId="08524185" w14:textId="77777777" w:rsidR="00235D9D" w:rsidRPr="00D85C65" w:rsidRDefault="00235D9D">
            <w:pPr>
              <w:jc w:val="center"/>
              <w:rPr>
                <w:rFonts w:ascii="Times New Roman" w:hAnsi="Times New Roman"/>
                <w:sz w:val="24"/>
              </w:rPr>
            </w:pPr>
          </w:p>
        </w:tc>
        <w:tc>
          <w:tcPr>
            <w:tcW w:w="7903" w:type="dxa"/>
          </w:tcPr>
          <w:p w14:paraId="56A84C94" w14:textId="77777777" w:rsidR="00235D9D" w:rsidRPr="00D85C65" w:rsidRDefault="000B0B09">
            <w:pPr>
              <w:autoSpaceDE w:val="0"/>
              <w:autoSpaceDN w:val="0"/>
              <w:adjustRightInd w:val="0"/>
              <w:spacing w:before="0" w:after="0"/>
              <w:rPr>
                <w:rFonts w:ascii="Times New Roman" w:hAnsi="Times New Roman"/>
                <w:b/>
                <w:bCs/>
                <w:sz w:val="24"/>
                <w:u w:val="single"/>
              </w:rPr>
            </w:pPr>
            <w:r w:rsidRPr="00D85C65">
              <w:rPr>
                <w:rFonts w:ascii="Times New Roman" w:hAnsi="Times New Roman"/>
                <w:b/>
                <w:bCs/>
                <w:sz w:val="24"/>
                <w:u w:val="single"/>
              </w:rPr>
              <w:t>CELKOVÁ HODNOTA PRE ŠPECIFICKÉ RIZIKO</w:t>
            </w:r>
          </w:p>
          <w:p w14:paraId="295AD525" w14:textId="1280C265" w:rsidR="00235D9D" w:rsidRPr="00D85C65" w:rsidRDefault="000B0B09">
            <w:pPr>
              <w:autoSpaceDE w:val="0"/>
              <w:autoSpaceDN w:val="0"/>
              <w:adjustRightInd w:val="0"/>
              <w:rPr>
                <w:rFonts w:ascii="Times New Roman" w:hAnsi="Times New Roman"/>
                <w:b/>
                <w:bCs/>
                <w:sz w:val="24"/>
                <w:u w:val="single"/>
              </w:rPr>
            </w:pPr>
            <w:r w:rsidRPr="00D85C65">
              <w:rPr>
                <w:rStyle w:val="InstructionsTabelleText"/>
                <w:rFonts w:ascii="Times New Roman" w:hAnsi="Times New Roman"/>
                <w:sz w:val="24"/>
              </w:rPr>
              <w:t>Zložka špecifického rizika obchodovaných dlhových nástrojov</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kapitálových cenných papierov. VaR pre špecifické riziko kapitálových cenných papierov</w:t>
            </w:r>
            <w:r w:rsidR="00D85C65">
              <w:rPr>
                <w:rStyle w:val="InstructionsTabelleText"/>
                <w:rFonts w:ascii="Times New Roman" w:hAnsi="Times New Roman"/>
                <w:sz w:val="24"/>
              </w:rPr>
              <w:t xml:space="preserve"> a </w:t>
            </w:r>
            <w:r w:rsidRPr="00D85C65">
              <w:rPr>
                <w:rStyle w:val="InstructionsTabelleText"/>
                <w:rFonts w:ascii="Times New Roman" w:hAnsi="Times New Roman"/>
                <w:sz w:val="24"/>
              </w:rPr>
              <w:t>obchodovaných dlhových nástrojov obchodnej knihy (v náležitých prípadoch so zohľadnením účinkov korelácie).</w:t>
            </w:r>
          </w:p>
        </w:tc>
      </w:tr>
    </w:tbl>
    <w:p w14:paraId="1B6E0B53" w14:textId="77777777" w:rsidR="00235D9D" w:rsidRPr="00D85C65" w:rsidRDefault="00235D9D">
      <w:pPr>
        <w:spacing w:before="0" w:after="0"/>
        <w:jc w:val="left"/>
        <w:rPr>
          <w:rStyle w:val="InstructionsTabelleText"/>
          <w:rFonts w:ascii="Times New Roman" w:hAnsi="Times New Roman"/>
          <w:sz w:val="24"/>
        </w:rPr>
      </w:pPr>
    </w:p>
    <w:p w14:paraId="67B541B9"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105" w:name="_Toc29994547"/>
      <w:r w:rsidRPr="00D85C65">
        <w:rPr>
          <w:rFonts w:ascii="Times New Roman" w:hAnsi="Times New Roman"/>
          <w:sz w:val="24"/>
          <w:u w:val="none"/>
        </w:rPr>
        <w:t>5.8.</w:t>
      </w:r>
      <w:r w:rsidRPr="00D85C65">
        <w:rPr>
          <w:rFonts w:ascii="Times New Roman" w:hAnsi="Times New Roman"/>
          <w:sz w:val="24"/>
          <w:u w:val="none"/>
        </w:rPr>
        <w:tab/>
      </w:r>
      <w:r w:rsidRPr="00D85C65">
        <w:rPr>
          <w:rFonts w:ascii="Times New Roman" w:hAnsi="Times New Roman"/>
          <w:sz w:val="24"/>
        </w:rPr>
        <w:t>C 25.00 – RIZIKO ÚPRAVY OCENENIA POHĽADÁVOK (CVA)</w:t>
      </w:r>
      <w:bookmarkEnd w:id="105"/>
    </w:p>
    <w:p w14:paraId="2FA7367E" w14:textId="77777777" w:rsidR="00235D9D" w:rsidRPr="00D85C65" w:rsidRDefault="00125707">
      <w:pPr>
        <w:pStyle w:val="Instructionsberschrift2"/>
        <w:numPr>
          <w:ilvl w:val="0"/>
          <w:numId w:val="0"/>
        </w:numPr>
        <w:ind w:left="357" w:hanging="357"/>
        <w:rPr>
          <w:rFonts w:ascii="Times New Roman" w:hAnsi="Times New Roman" w:cs="Times New Roman"/>
          <w:sz w:val="24"/>
        </w:rPr>
      </w:pPr>
      <w:bookmarkStart w:id="106" w:name="_Toc29994548"/>
      <w:r w:rsidRPr="00D85C65">
        <w:rPr>
          <w:rFonts w:ascii="Times New Roman" w:hAnsi="Times New Roman"/>
          <w:sz w:val="24"/>
          <w:u w:val="none"/>
        </w:rPr>
        <w:t>5.8.1.</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235D9D" w:rsidRPr="00D85C65" w14:paraId="4F2DB4E4" w14:textId="77777777" w:rsidTr="00672D2A">
        <w:tc>
          <w:tcPr>
            <w:tcW w:w="8856" w:type="dxa"/>
            <w:gridSpan w:val="2"/>
            <w:shd w:val="clear" w:color="auto" w:fill="CCCCCC"/>
          </w:tcPr>
          <w:p w14:paraId="3CE242E9" w14:textId="77777777" w:rsidR="00235D9D" w:rsidRPr="00D85C65" w:rsidRDefault="000B0B09">
            <w:pPr>
              <w:rPr>
                <w:rFonts w:ascii="Times New Roman" w:hAnsi="Times New Roman"/>
                <w:b/>
                <w:sz w:val="24"/>
              </w:rPr>
            </w:pPr>
            <w:r w:rsidRPr="00D85C65">
              <w:rPr>
                <w:rFonts w:ascii="Times New Roman" w:hAnsi="Times New Roman"/>
                <w:b/>
                <w:sz w:val="24"/>
              </w:rPr>
              <w:t>Stĺpce</w:t>
            </w:r>
          </w:p>
        </w:tc>
      </w:tr>
      <w:tr w:rsidR="00235D9D" w:rsidRPr="00D85C65" w14:paraId="03BEE9C8" w14:textId="77777777" w:rsidTr="00672D2A">
        <w:tc>
          <w:tcPr>
            <w:tcW w:w="852" w:type="dxa"/>
          </w:tcPr>
          <w:p w14:paraId="27817D46" w14:textId="77777777" w:rsidR="00235D9D" w:rsidRPr="00D85C65" w:rsidRDefault="000B0B09">
            <w:pPr>
              <w:rPr>
                <w:rFonts w:ascii="Times New Roman" w:hAnsi="Times New Roman"/>
                <w:sz w:val="24"/>
              </w:rPr>
            </w:pPr>
            <w:r w:rsidRPr="00D85C65">
              <w:rPr>
                <w:rFonts w:ascii="Times New Roman" w:hAnsi="Times New Roman"/>
                <w:sz w:val="24"/>
              </w:rPr>
              <w:t>010</w:t>
            </w:r>
          </w:p>
        </w:tc>
        <w:tc>
          <w:tcPr>
            <w:tcW w:w="8004" w:type="dxa"/>
          </w:tcPr>
          <w:p w14:paraId="7ED52C71" w14:textId="77777777" w:rsidR="00D85C65" w:rsidRDefault="000B0B09">
            <w:pPr>
              <w:rPr>
                <w:rFonts w:ascii="Times New Roman" w:hAnsi="Times New Roman"/>
                <w:b/>
                <w:bCs/>
                <w:sz w:val="24"/>
                <w:u w:val="single"/>
              </w:rPr>
            </w:pPr>
            <w:r w:rsidRPr="00D85C65">
              <w:rPr>
                <w:rFonts w:ascii="Times New Roman" w:hAnsi="Times New Roman"/>
                <w:b/>
                <w:bCs/>
                <w:sz w:val="24"/>
                <w:u w:val="single"/>
              </w:rPr>
              <w:t>Hodnota expozície</w:t>
            </w:r>
          </w:p>
          <w:p w14:paraId="48EEBA11" w14:textId="4A8581E6" w:rsidR="00235D9D" w:rsidRPr="00D85C65" w:rsidRDefault="000B0B09">
            <w:pPr>
              <w:rPr>
                <w:rFonts w:ascii="Times New Roman" w:hAnsi="Times New Roman"/>
                <w:sz w:val="24"/>
              </w:rPr>
            </w:pPr>
            <w:r w:rsidRPr="00D85C65">
              <w:rPr>
                <w:rFonts w:ascii="Times New Roman" w:hAnsi="Times New Roman"/>
                <w:sz w:val="24"/>
              </w:rPr>
              <w:t>Článok 271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článkom 382 CRR.</w:t>
            </w:r>
          </w:p>
          <w:p w14:paraId="096506B4" w14:textId="086B62FB" w:rsidR="00235D9D" w:rsidRPr="00D85C65" w:rsidRDefault="000B0B09">
            <w:pPr>
              <w:rPr>
                <w:rFonts w:ascii="Times New Roman" w:hAnsi="Times New Roman"/>
                <w:sz w:val="24"/>
              </w:rPr>
            </w:pPr>
            <w:r w:rsidRPr="00D85C65">
              <w:rPr>
                <w:rFonts w:ascii="Times New Roman" w:hAnsi="Times New Roman"/>
                <w:sz w:val="24"/>
              </w:rPr>
              <w:t>Celkový EAD zo všetkých transakcií, na ktoré sa uplatňuje požiadavka na vlastné zdroje pre riziko úpravy ocenenia pohľadávok.</w:t>
            </w:r>
          </w:p>
        </w:tc>
      </w:tr>
      <w:tr w:rsidR="00235D9D" w:rsidRPr="00D85C65" w14:paraId="66299EE8" w14:textId="77777777" w:rsidTr="00672D2A">
        <w:tc>
          <w:tcPr>
            <w:tcW w:w="852" w:type="dxa"/>
          </w:tcPr>
          <w:p w14:paraId="4E1B4E95" w14:textId="77777777" w:rsidR="00235D9D" w:rsidRPr="00D85C65" w:rsidRDefault="000B0B09">
            <w:pPr>
              <w:rPr>
                <w:rFonts w:ascii="Times New Roman" w:hAnsi="Times New Roman"/>
                <w:sz w:val="24"/>
              </w:rPr>
            </w:pPr>
            <w:r w:rsidRPr="00D85C65">
              <w:rPr>
                <w:rFonts w:ascii="Times New Roman" w:hAnsi="Times New Roman"/>
                <w:sz w:val="24"/>
              </w:rPr>
              <w:t>020</w:t>
            </w:r>
          </w:p>
        </w:tc>
        <w:tc>
          <w:tcPr>
            <w:tcW w:w="8004" w:type="dxa"/>
          </w:tcPr>
          <w:p w14:paraId="31AACA05" w14:textId="77777777" w:rsidR="00D85C65" w:rsidRDefault="000B0B09">
            <w:pPr>
              <w:rPr>
                <w:rFonts w:ascii="Times New Roman" w:hAnsi="Times New Roman"/>
                <w:b/>
                <w:bCs/>
                <w:sz w:val="24"/>
                <w:u w:val="single"/>
              </w:rPr>
            </w:pPr>
            <w:r w:rsidRPr="00D85C65">
              <w:rPr>
                <w:rFonts w:ascii="Times New Roman" w:hAnsi="Times New Roman"/>
                <w:b/>
                <w:bCs/>
                <w:sz w:val="24"/>
                <w:u w:val="single"/>
              </w:rPr>
              <w:t>Z čoho: OTC deriváty</w:t>
            </w:r>
          </w:p>
          <w:p w14:paraId="61314A49" w14:textId="5316EDBA" w:rsidR="00235D9D" w:rsidRPr="00D85C65" w:rsidRDefault="000B0B09">
            <w:pPr>
              <w:rPr>
                <w:rFonts w:ascii="Times New Roman" w:hAnsi="Times New Roman"/>
                <w:sz w:val="24"/>
              </w:rPr>
            </w:pPr>
            <w:r w:rsidRPr="00D85C65">
              <w:rPr>
                <w:rFonts w:ascii="Times New Roman" w:hAnsi="Times New Roman"/>
                <w:sz w:val="24"/>
              </w:rPr>
              <w:t>Článok 271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článkom 382 ods. 1 CRR.</w:t>
            </w:r>
          </w:p>
          <w:p w14:paraId="3AFBBA5F" w14:textId="6800E59E" w:rsidR="00235D9D" w:rsidRPr="00D85C65" w:rsidRDefault="000B0B09">
            <w:pPr>
              <w:rPr>
                <w:rFonts w:ascii="Times New Roman" w:hAnsi="Times New Roman"/>
                <w:sz w:val="24"/>
              </w:rPr>
            </w:pPr>
            <w:r w:rsidRPr="00D85C65">
              <w:rPr>
                <w:rFonts w:ascii="Times New Roman" w:hAnsi="Times New Roman"/>
                <w:sz w:val="24"/>
              </w:rPr>
              <w:t>Časť celkovej expozície voči kreditnému riziku protistrany založená výlučne na OTC derivátoch. Táto informácia sa nepožaduje od inštitúcií, ktoré používajú metódu interných modelov (IMM)</w:t>
            </w:r>
            <w:r w:rsidR="00D85C65">
              <w:rPr>
                <w:rFonts w:ascii="Times New Roman" w:hAnsi="Times New Roman"/>
                <w:sz w:val="24"/>
              </w:rPr>
              <w:t xml:space="preserve"> a </w:t>
            </w:r>
            <w:r w:rsidRPr="00D85C65">
              <w:rPr>
                <w:rFonts w:ascii="Times New Roman" w:hAnsi="Times New Roman"/>
                <w:sz w:val="24"/>
              </w:rPr>
              <w:t>držia OTC deriváty</w:t>
            </w:r>
            <w:r w:rsidR="00D85C65">
              <w:rPr>
                <w:rFonts w:ascii="Times New Roman" w:hAnsi="Times New Roman"/>
                <w:sz w:val="24"/>
              </w:rPr>
              <w:t xml:space="preserve"> a </w:t>
            </w:r>
            <w:r w:rsidRPr="00D85C65">
              <w:rPr>
                <w:rFonts w:ascii="Times New Roman" w:hAnsi="Times New Roman"/>
                <w:sz w:val="24"/>
              </w:rPr>
              <w:t>transakcie spočívajúce vo financovaní cenných papierov</w:t>
            </w:r>
            <w:r w:rsidR="00D85C65">
              <w:rPr>
                <w:rFonts w:ascii="Times New Roman" w:hAnsi="Times New Roman"/>
                <w:sz w:val="24"/>
              </w:rPr>
              <w:t xml:space="preserve"> v </w:t>
            </w:r>
            <w:r w:rsidRPr="00D85C65">
              <w:rPr>
                <w:rFonts w:ascii="Times New Roman" w:hAnsi="Times New Roman"/>
                <w:sz w:val="24"/>
              </w:rPr>
              <w:t>rovnakom súbore vzájomného započítavania.</w:t>
            </w:r>
          </w:p>
        </w:tc>
      </w:tr>
      <w:tr w:rsidR="00235D9D" w:rsidRPr="00D85C65" w14:paraId="2E65FA1D" w14:textId="77777777" w:rsidTr="00672D2A">
        <w:tc>
          <w:tcPr>
            <w:tcW w:w="852" w:type="dxa"/>
          </w:tcPr>
          <w:p w14:paraId="65C226A9" w14:textId="77777777" w:rsidR="00235D9D" w:rsidRPr="00D85C65" w:rsidRDefault="000B0B09">
            <w:pPr>
              <w:rPr>
                <w:rFonts w:ascii="Times New Roman" w:hAnsi="Times New Roman"/>
                <w:sz w:val="24"/>
              </w:rPr>
            </w:pPr>
            <w:r w:rsidRPr="00D85C65">
              <w:rPr>
                <w:rFonts w:ascii="Times New Roman" w:hAnsi="Times New Roman"/>
                <w:sz w:val="24"/>
              </w:rPr>
              <w:t>030</w:t>
            </w:r>
          </w:p>
        </w:tc>
        <w:tc>
          <w:tcPr>
            <w:tcW w:w="8004" w:type="dxa"/>
          </w:tcPr>
          <w:p w14:paraId="3CD3F290" w14:textId="77777777" w:rsidR="00D85C65" w:rsidRDefault="000B0B09">
            <w:pPr>
              <w:rPr>
                <w:rFonts w:ascii="Times New Roman" w:hAnsi="Times New Roman"/>
                <w:b/>
                <w:bCs/>
                <w:sz w:val="24"/>
                <w:u w:val="single"/>
              </w:rPr>
            </w:pPr>
            <w:r w:rsidRPr="00D85C65">
              <w:rPr>
                <w:rFonts w:ascii="Times New Roman" w:hAnsi="Times New Roman"/>
                <w:b/>
                <w:bCs/>
                <w:sz w:val="24"/>
                <w:u w:val="single"/>
              </w:rPr>
              <w:t>Z čoho: transakcie spočívajúce vo financovaní cenných papierov (SFT)</w:t>
            </w:r>
          </w:p>
          <w:p w14:paraId="3B225BCF" w14:textId="0014E64E" w:rsidR="00235D9D" w:rsidRPr="00D85C65" w:rsidRDefault="000B0B09">
            <w:pPr>
              <w:rPr>
                <w:rFonts w:ascii="Times New Roman" w:hAnsi="Times New Roman"/>
                <w:sz w:val="24"/>
              </w:rPr>
            </w:pPr>
            <w:r w:rsidRPr="00D85C65">
              <w:rPr>
                <w:rFonts w:ascii="Times New Roman" w:hAnsi="Times New Roman"/>
                <w:sz w:val="24"/>
              </w:rPr>
              <w:t>Článok 271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článkom 382 ods. 2 CRR.</w:t>
            </w:r>
          </w:p>
          <w:p w14:paraId="3028F5AF" w14:textId="16B58AAD" w:rsidR="00235D9D" w:rsidRPr="00D85C65" w:rsidRDefault="000B0B09">
            <w:pPr>
              <w:rPr>
                <w:rFonts w:ascii="Times New Roman" w:hAnsi="Times New Roman"/>
                <w:sz w:val="24"/>
              </w:rPr>
            </w:pPr>
            <w:r w:rsidRPr="00D85C65">
              <w:rPr>
                <w:rFonts w:ascii="Times New Roman" w:hAnsi="Times New Roman"/>
                <w:sz w:val="24"/>
              </w:rPr>
              <w:t>Časť celkovej expozície voči kreditnému riziku protistrany založená výlučne na derivátoch transakcií spočívajúcich vo financovaní cenných papierov. Táto informácia sa nepožaduje od inštitúcií, ktoré používajú metódu interných modelov (IMM)</w:t>
            </w:r>
            <w:r w:rsidR="00D85C65">
              <w:rPr>
                <w:rFonts w:ascii="Times New Roman" w:hAnsi="Times New Roman"/>
                <w:sz w:val="24"/>
              </w:rPr>
              <w:t xml:space="preserve"> a </w:t>
            </w:r>
            <w:r w:rsidRPr="00D85C65">
              <w:rPr>
                <w:rFonts w:ascii="Times New Roman" w:hAnsi="Times New Roman"/>
                <w:sz w:val="24"/>
              </w:rPr>
              <w:t>držia OTC deriváty</w:t>
            </w:r>
            <w:r w:rsidR="00D85C65">
              <w:rPr>
                <w:rFonts w:ascii="Times New Roman" w:hAnsi="Times New Roman"/>
                <w:sz w:val="24"/>
              </w:rPr>
              <w:t xml:space="preserve"> a </w:t>
            </w:r>
            <w:r w:rsidRPr="00D85C65">
              <w:rPr>
                <w:rFonts w:ascii="Times New Roman" w:hAnsi="Times New Roman"/>
                <w:sz w:val="24"/>
              </w:rPr>
              <w:t>transakcie spočívajúce vo financovaní cenných papierov</w:t>
            </w:r>
            <w:r w:rsidR="00D85C65">
              <w:rPr>
                <w:rFonts w:ascii="Times New Roman" w:hAnsi="Times New Roman"/>
                <w:sz w:val="24"/>
              </w:rPr>
              <w:t xml:space="preserve"> v </w:t>
            </w:r>
            <w:r w:rsidRPr="00D85C65">
              <w:rPr>
                <w:rFonts w:ascii="Times New Roman" w:hAnsi="Times New Roman"/>
                <w:sz w:val="24"/>
              </w:rPr>
              <w:t>rovnakom súbore vzájomného započítavania.</w:t>
            </w:r>
          </w:p>
        </w:tc>
      </w:tr>
      <w:tr w:rsidR="00235D9D" w:rsidRPr="00D85C65" w14:paraId="75FFB061" w14:textId="77777777" w:rsidTr="00672D2A">
        <w:tc>
          <w:tcPr>
            <w:tcW w:w="852" w:type="dxa"/>
          </w:tcPr>
          <w:p w14:paraId="19390593" w14:textId="77777777" w:rsidR="00235D9D" w:rsidRPr="00D85C65" w:rsidRDefault="000B0B09">
            <w:pPr>
              <w:rPr>
                <w:rFonts w:ascii="Times New Roman" w:hAnsi="Times New Roman"/>
                <w:sz w:val="24"/>
              </w:rPr>
            </w:pPr>
            <w:r w:rsidRPr="00D85C65">
              <w:rPr>
                <w:rFonts w:ascii="Times New Roman" w:hAnsi="Times New Roman"/>
                <w:sz w:val="24"/>
              </w:rPr>
              <w:lastRenderedPageBreak/>
              <w:t>040</w:t>
            </w:r>
          </w:p>
        </w:tc>
        <w:tc>
          <w:tcPr>
            <w:tcW w:w="8004" w:type="dxa"/>
          </w:tcPr>
          <w:p w14:paraId="3B97A67A"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MULTIPLIKAČNÝ KOEFICIENT (mc) x PRIEMER ZA PREDCHÁDZAJÚCICH 60 PRACOVNÝCH DNÍ (VaRavg)</w:t>
            </w:r>
          </w:p>
          <w:p w14:paraId="5CF4771C" w14:textId="70E041EA" w:rsidR="00D85C65" w:rsidRDefault="000B0B09">
            <w:pPr>
              <w:rPr>
                <w:rFonts w:ascii="Times New Roman" w:hAnsi="Times New Roman"/>
                <w:sz w:val="24"/>
              </w:rPr>
            </w:pPr>
            <w:r w:rsidRPr="00D85C65">
              <w:rPr>
                <w:rFonts w:ascii="Times New Roman" w:hAnsi="Times New Roman"/>
                <w:sz w:val="24"/>
              </w:rPr>
              <w:t>Článok 383 CRR</w:t>
            </w:r>
            <w:r w:rsidR="00D85C65">
              <w:rPr>
                <w:rFonts w:ascii="Times New Roman" w:hAnsi="Times New Roman"/>
                <w:sz w:val="24"/>
              </w:rPr>
              <w:t xml:space="preserve"> v </w:t>
            </w:r>
            <w:r w:rsidRPr="00D85C65">
              <w:rPr>
                <w:rFonts w:ascii="Times New Roman" w:hAnsi="Times New Roman"/>
                <w:sz w:val="24"/>
              </w:rPr>
              <w:t>spojení</w:t>
            </w:r>
            <w:r w:rsidR="00D85C65">
              <w:rPr>
                <w:rFonts w:ascii="Times New Roman" w:hAnsi="Times New Roman"/>
                <w:sz w:val="24"/>
              </w:rPr>
              <w:t xml:space="preserve"> v </w:t>
            </w:r>
            <w:r w:rsidRPr="00D85C65">
              <w:rPr>
                <w:rFonts w:ascii="Times New Roman" w:hAnsi="Times New Roman"/>
                <w:sz w:val="24"/>
              </w:rPr>
              <w:t>článkom 363 ods. 1 písm. d) CRR</w:t>
            </w:r>
            <w:r w:rsidR="00D85C65">
              <w:rPr>
                <w:rFonts w:ascii="Times New Roman" w:hAnsi="Times New Roman"/>
                <w:sz w:val="24"/>
              </w:rPr>
              <w:t>.</w:t>
            </w:r>
          </w:p>
          <w:p w14:paraId="4EB0F6FA" w14:textId="0A00D4E8" w:rsidR="00235D9D" w:rsidRPr="00D85C65" w:rsidRDefault="000B0B09">
            <w:pPr>
              <w:rPr>
                <w:rFonts w:ascii="Times New Roman" w:hAnsi="Times New Roman"/>
                <w:sz w:val="24"/>
              </w:rPr>
            </w:pPr>
            <w:r w:rsidRPr="00D85C65">
              <w:rPr>
                <w:rFonts w:ascii="Times New Roman" w:hAnsi="Times New Roman"/>
                <w:sz w:val="24"/>
              </w:rPr>
              <w:t xml:space="preserve">Výpočet VaR založený na interných modeloch pre trhové riziko. </w:t>
            </w:r>
          </w:p>
        </w:tc>
      </w:tr>
      <w:tr w:rsidR="00235D9D" w:rsidRPr="00D85C65" w14:paraId="5DB488EB" w14:textId="77777777" w:rsidTr="00672D2A">
        <w:tc>
          <w:tcPr>
            <w:tcW w:w="852" w:type="dxa"/>
          </w:tcPr>
          <w:p w14:paraId="6D1E7817" w14:textId="77777777" w:rsidR="00235D9D" w:rsidRPr="00D85C65" w:rsidRDefault="000B0B09">
            <w:pPr>
              <w:rPr>
                <w:rFonts w:ascii="Times New Roman" w:hAnsi="Times New Roman"/>
                <w:sz w:val="24"/>
              </w:rPr>
            </w:pPr>
            <w:r w:rsidRPr="00D85C65">
              <w:rPr>
                <w:rFonts w:ascii="Times New Roman" w:hAnsi="Times New Roman"/>
                <w:sz w:val="24"/>
              </w:rPr>
              <w:t>050</w:t>
            </w:r>
          </w:p>
        </w:tc>
        <w:tc>
          <w:tcPr>
            <w:tcW w:w="8004" w:type="dxa"/>
          </w:tcPr>
          <w:p w14:paraId="44F1F820" w14:textId="77777777" w:rsidR="00235D9D" w:rsidRPr="00D85C65" w:rsidRDefault="000B0B09">
            <w:pPr>
              <w:rPr>
                <w:rFonts w:ascii="Times New Roman" w:hAnsi="Times New Roman"/>
                <w:b/>
                <w:bCs/>
                <w:sz w:val="24"/>
                <w:u w:val="single"/>
              </w:rPr>
            </w:pPr>
            <w:r w:rsidRPr="00D85C65">
              <w:rPr>
                <w:rFonts w:ascii="Times New Roman" w:hAnsi="Times New Roman"/>
                <w:b/>
                <w:bCs/>
                <w:sz w:val="24"/>
                <w:u w:val="single"/>
              </w:rPr>
              <w:t>PREDCHÁDZAJÚCI DEŇ (VaRt-1)</w:t>
            </w:r>
          </w:p>
          <w:p w14:paraId="11C8C183" w14:textId="5C34DBB3" w:rsidR="00235D9D" w:rsidRPr="00D85C65" w:rsidRDefault="000B0B09">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stĺpcu 040.</w:t>
            </w:r>
          </w:p>
        </w:tc>
      </w:tr>
      <w:tr w:rsidR="00235D9D" w:rsidRPr="00D85C65" w14:paraId="02D09CF1" w14:textId="77777777" w:rsidTr="00672D2A">
        <w:tc>
          <w:tcPr>
            <w:tcW w:w="852" w:type="dxa"/>
          </w:tcPr>
          <w:p w14:paraId="71F58067" w14:textId="77777777" w:rsidR="00235D9D" w:rsidRPr="00D85C65" w:rsidRDefault="000B0B09">
            <w:pPr>
              <w:rPr>
                <w:rFonts w:ascii="Times New Roman" w:hAnsi="Times New Roman"/>
                <w:sz w:val="24"/>
              </w:rPr>
            </w:pPr>
            <w:r w:rsidRPr="00D85C65">
              <w:rPr>
                <w:rFonts w:ascii="Times New Roman" w:hAnsi="Times New Roman"/>
                <w:sz w:val="24"/>
              </w:rPr>
              <w:t>060</w:t>
            </w:r>
          </w:p>
        </w:tc>
        <w:tc>
          <w:tcPr>
            <w:tcW w:w="8004" w:type="dxa"/>
          </w:tcPr>
          <w:p w14:paraId="724BD1DF" w14:textId="77777777" w:rsidR="00235D9D" w:rsidRPr="00D85C65" w:rsidRDefault="000B0B09">
            <w:pPr>
              <w:rPr>
                <w:rFonts w:ascii="Times New Roman" w:hAnsi="Times New Roman"/>
                <w:b/>
                <w:bCs/>
                <w:sz w:val="24"/>
                <w:u w:val="single"/>
              </w:rPr>
            </w:pPr>
            <w:r w:rsidRPr="00D85C65">
              <w:rPr>
                <w:rFonts w:ascii="Times New Roman" w:hAnsi="Times New Roman"/>
                <w:b/>
                <w:bCs/>
                <w:sz w:val="24"/>
                <w:u w:val="single"/>
              </w:rPr>
              <w:t>MULTIPLIKAČNÝ KOEFICIENT (ms) x PRIEMER ZA PREDCHÁDZAJÚCICH 60 PRACOVNÝCH DNÍ (SVaRavg)</w:t>
            </w:r>
          </w:p>
          <w:p w14:paraId="61BF4BED" w14:textId="2F56A267" w:rsidR="00235D9D" w:rsidRPr="00D85C65" w:rsidRDefault="000B0B09">
            <w:pPr>
              <w:rPr>
                <w:rFonts w:ascii="Times New Roman" w:hAnsi="Times New Roman"/>
                <w:sz w:val="24"/>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stĺpcu 040.</w:t>
            </w:r>
          </w:p>
        </w:tc>
      </w:tr>
      <w:tr w:rsidR="00235D9D" w:rsidRPr="00D85C65" w14:paraId="753B76EE" w14:textId="77777777" w:rsidTr="00672D2A">
        <w:tc>
          <w:tcPr>
            <w:tcW w:w="852" w:type="dxa"/>
          </w:tcPr>
          <w:p w14:paraId="182174DD" w14:textId="77777777" w:rsidR="00235D9D" w:rsidRPr="00D85C65" w:rsidRDefault="000B0B09">
            <w:pPr>
              <w:rPr>
                <w:rFonts w:ascii="Times New Roman" w:hAnsi="Times New Roman"/>
                <w:sz w:val="24"/>
              </w:rPr>
            </w:pPr>
            <w:r w:rsidRPr="00D85C65">
              <w:rPr>
                <w:rFonts w:ascii="Times New Roman" w:hAnsi="Times New Roman"/>
                <w:sz w:val="24"/>
              </w:rPr>
              <w:t>070</w:t>
            </w:r>
          </w:p>
        </w:tc>
        <w:tc>
          <w:tcPr>
            <w:tcW w:w="8004" w:type="dxa"/>
          </w:tcPr>
          <w:p w14:paraId="568CF550"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NAJNOVŠIA DOSTUPNÁ HODNOTA (SVaRt-1)</w:t>
            </w:r>
          </w:p>
          <w:p w14:paraId="78ABE34A" w14:textId="25BB6DAF" w:rsidR="00235D9D" w:rsidRPr="00D85C65" w:rsidRDefault="000B0B09">
            <w:pPr>
              <w:rPr>
                <w:rFonts w:ascii="Times New Roman" w:hAnsi="Times New Roman"/>
                <w:b/>
                <w:sz w:val="24"/>
                <w:u w:val="single"/>
              </w:rPr>
            </w:pPr>
            <w:r w:rsidRPr="00D85C65">
              <w:rPr>
                <w:rFonts w:ascii="Times New Roman" w:hAnsi="Times New Roman"/>
                <w:sz w:val="24"/>
              </w:rPr>
              <w:t>Pozri pokyny</w:t>
            </w:r>
            <w:r w:rsidR="00D85C65">
              <w:rPr>
                <w:rFonts w:ascii="Times New Roman" w:hAnsi="Times New Roman"/>
                <w:sz w:val="24"/>
              </w:rPr>
              <w:t xml:space="preserve"> k </w:t>
            </w:r>
            <w:r w:rsidRPr="00D85C65">
              <w:rPr>
                <w:rFonts w:ascii="Times New Roman" w:hAnsi="Times New Roman"/>
                <w:sz w:val="24"/>
              </w:rPr>
              <w:t>stĺpcu 040.</w:t>
            </w:r>
          </w:p>
        </w:tc>
      </w:tr>
      <w:tr w:rsidR="00235D9D" w:rsidRPr="00D85C65" w14:paraId="62E535D9" w14:textId="77777777" w:rsidTr="00672D2A">
        <w:tc>
          <w:tcPr>
            <w:tcW w:w="852" w:type="dxa"/>
          </w:tcPr>
          <w:p w14:paraId="054E7BC8" w14:textId="77777777" w:rsidR="00235D9D" w:rsidRPr="00D85C65" w:rsidRDefault="000B0B09">
            <w:pPr>
              <w:rPr>
                <w:rFonts w:ascii="Times New Roman" w:hAnsi="Times New Roman"/>
                <w:sz w:val="24"/>
              </w:rPr>
            </w:pPr>
            <w:r w:rsidRPr="00D85C65">
              <w:rPr>
                <w:rFonts w:ascii="Times New Roman" w:hAnsi="Times New Roman"/>
                <w:sz w:val="24"/>
              </w:rPr>
              <w:t>080</w:t>
            </w:r>
          </w:p>
        </w:tc>
        <w:tc>
          <w:tcPr>
            <w:tcW w:w="8004" w:type="dxa"/>
          </w:tcPr>
          <w:p w14:paraId="2EEF49C0"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POŽIADAVKY NA VLASTNÉ ZDROJE</w:t>
            </w:r>
          </w:p>
          <w:p w14:paraId="3BD84CF9" w14:textId="77777777" w:rsidR="00D85C65" w:rsidRDefault="001E0C80">
            <w:pPr>
              <w:rPr>
                <w:rFonts w:ascii="Times New Roman" w:hAnsi="Times New Roman"/>
                <w:sz w:val="24"/>
              </w:rPr>
            </w:pPr>
            <w:r w:rsidRPr="00D85C65">
              <w:rPr>
                <w:rFonts w:ascii="Times New Roman" w:hAnsi="Times New Roman"/>
                <w:sz w:val="24"/>
              </w:rPr>
              <w:t>Článok 92 ods. 3 písm. d) CRR</w:t>
            </w:r>
            <w:r w:rsidR="00D85C65">
              <w:rPr>
                <w:rFonts w:ascii="Times New Roman" w:hAnsi="Times New Roman"/>
                <w:sz w:val="24"/>
              </w:rPr>
              <w:t>.</w:t>
            </w:r>
          </w:p>
          <w:p w14:paraId="77E9E438" w14:textId="298A5B2B" w:rsidR="00235D9D" w:rsidRPr="00D85C65" w:rsidRDefault="000B0B09">
            <w:pPr>
              <w:rPr>
                <w:rFonts w:ascii="Times New Roman" w:hAnsi="Times New Roman"/>
                <w:sz w:val="24"/>
              </w:rPr>
            </w:pPr>
            <w:r w:rsidRPr="00D85C65">
              <w:rPr>
                <w:rFonts w:ascii="Times New Roman" w:hAnsi="Times New Roman"/>
                <w:sz w:val="24"/>
              </w:rPr>
              <w:t>Požiadavky na vlastné zdroje pre riziko úpravy ocenenia pohľadávok vypočítané pomocou zvolenej metódy.</w:t>
            </w:r>
          </w:p>
        </w:tc>
      </w:tr>
      <w:tr w:rsidR="00235D9D" w:rsidRPr="00D85C65" w14:paraId="7C5E8B43" w14:textId="77777777" w:rsidTr="00672D2A">
        <w:tc>
          <w:tcPr>
            <w:tcW w:w="852" w:type="dxa"/>
          </w:tcPr>
          <w:p w14:paraId="0E4FA944" w14:textId="77777777" w:rsidR="00235D9D" w:rsidRPr="00D85C65" w:rsidRDefault="000B0B09">
            <w:pPr>
              <w:rPr>
                <w:rFonts w:ascii="Times New Roman" w:hAnsi="Times New Roman"/>
                <w:sz w:val="24"/>
              </w:rPr>
            </w:pPr>
            <w:r w:rsidRPr="00D85C65">
              <w:rPr>
                <w:rFonts w:ascii="Times New Roman" w:hAnsi="Times New Roman"/>
                <w:sz w:val="24"/>
              </w:rPr>
              <w:t>090</w:t>
            </w:r>
          </w:p>
        </w:tc>
        <w:tc>
          <w:tcPr>
            <w:tcW w:w="8004" w:type="dxa"/>
          </w:tcPr>
          <w:p w14:paraId="211D4A9B"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CELKOVÁ HODNOTA RIZIKOVÝCH EXPOZÍCIÍ</w:t>
            </w:r>
          </w:p>
          <w:p w14:paraId="2365D3EA" w14:textId="4F13113B" w:rsidR="00235D9D" w:rsidRPr="00D85C65" w:rsidRDefault="001E0C80">
            <w:pPr>
              <w:rPr>
                <w:rFonts w:ascii="Times New Roman" w:hAnsi="Times New Roman"/>
                <w:sz w:val="24"/>
              </w:rPr>
            </w:pPr>
            <w:r w:rsidRPr="00D85C65">
              <w:rPr>
                <w:rFonts w:ascii="Times New Roman" w:hAnsi="Times New Roman"/>
                <w:sz w:val="24"/>
              </w:rPr>
              <w:t>Článok 92 ods. 4 písm. b) CRR.</w:t>
            </w:r>
          </w:p>
          <w:p w14:paraId="147F8D5B" w14:textId="0392EBCB" w:rsidR="00235D9D" w:rsidRPr="00D85C65" w:rsidRDefault="000B0B09">
            <w:pPr>
              <w:rPr>
                <w:rFonts w:ascii="Times New Roman" w:hAnsi="Times New Roman"/>
                <w:sz w:val="24"/>
              </w:rPr>
            </w:pPr>
            <w:r w:rsidRPr="00D85C65">
              <w:rPr>
                <w:rFonts w:ascii="Times New Roman" w:hAnsi="Times New Roman"/>
                <w:sz w:val="24"/>
              </w:rPr>
              <w:t>Požiadavka na vlastné zdroje vynásobená koeficientom 12,5.</w:t>
            </w:r>
          </w:p>
        </w:tc>
      </w:tr>
      <w:tr w:rsidR="00235D9D" w:rsidRPr="00D85C65" w14:paraId="22191597" w14:textId="77777777" w:rsidTr="00672D2A">
        <w:tc>
          <w:tcPr>
            <w:tcW w:w="852" w:type="dxa"/>
          </w:tcPr>
          <w:p w14:paraId="521173D0" w14:textId="77777777" w:rsidR="00235D9D" w:rsidRPr="00D85C65" w:rsidRDefault="00235D9D">
            <w:pPr>
              <w:rPr>
                <w:rFonts w:ascii="Times New Roman" w:hAnsi="Times New Roman"/>
                <w:sz w:val="24"/>
              </w:rPr>
            </w:pPr>
          </w:p>
        </w:tc>
        <w:tc>
          <w:tcPr>
            <w:tcW w:w="8004" w:type="dxa"/>
          </w:tcPr>
          <w:p w14:paraId="0294D0C0"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Doplňujúce položky</w:t>
            </w:r>
          </w:p>
        </w:tc>
      </w:tr>
      <w:tr w:rsidR="00235D9D" w:rsidRPr="00D85C65" w14:paraId="22282EAE" w14:textId="77777777" w:rsidTr="00672D2A">
        <w:tc>
          <w:tcPr>
            <w:tcW w:w="852" w:type="dxa"/>
          </w:tcPr>
          <w:p w14:paraId="375E1268" w14:textId="77777777" w:rsidR="00235D9D" w:rsidRPr="00D85C65" w:rsidRDefault="000B0B09">
            <w:pPr>
              <w:rPr>
                <w:rFonts w:ascii="Times New Roman" w:hAnsi="Times New Roman"/>
                <w:sz w:val="24"/>
              </w:rPr>
            </w:pPr>
            <w:r w:rsidRPr="00D85C65">
              <w:rPr>
                <w:rFonts w:ascii="Times New Roman" w:hAnsi="Times New Roman"/>
                <w:sz w:val="24"/>
              </w:rPr>
              <w:t>100</w:t>
            </w:r>
          </w:p>
        </w:tc>
        <w:tc>
          <w:tcPr>
            <w:tcW w:w="8004" w:type="dxa"/>
          </w:tcPr>
          <w:p w14:paraId="2EF4F460"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Počet protistrán</w:t>
            </w:r>
          </w:p>
          <w:p w14:paraId="064FE37D" w14:textId="366C87F7" w:rsidR="00235D9D" w:rsidRPr="00D85C65" w:rsidRDefault="000B0B09">
            <w:pPr>
              <w:rPr>
                <w:rFonts w:ascii="Times New Roman" w:hAnsi="Times New Roman"/>
                <w:sz w:val="24"/>
              </w:rPr>
            </w:pPr>
            <w:r w:rsidRPr="00D85C65">
              <w:rPr>
                <w:rFonts w:ascii="Times New Roman" w:hAnsi="Times New Roman"/>
                <w:sz w:val="24"/>
              </w:rPr>
              <w:t>Článok 382 CRR.</w:t>
            </w:r>
          </w:p>
          <w:p w14:paraId="41D6F95E" w14:textId="77777777" w:rsidR="00235D9D" w:rsidRPr="00D85C65" w:rsidRDefault="000B0B09">
            <w:pPr>
              <w:rPr>
                <w:rFonts w:ascii="Times New Roman" w:hAnsi="Times New Roman"/>
                <w:sz w:val="24"/>
              </w:rPr>
            </w:pPr>
            <w:r w:rsidRPr="00D85C65">
              <w:rPr>
                <w:rFonts w:ascii="Times New Roman" w:hAnsi="Times New Roman"/>
                <w:sz w:val="24"/>
              </w:rPr>
              <w:t>Počet protistrán zahrnutých vo výpočte vlastných zdrojov pre riziko úpravy ocenenia pohľadávok.</w:t>
            </w:r>
          </w:p>
          <w:p w14:paraId="6F296582" w14:textId="000ACB26" w:rsidR="00235D9D" w:rsidRPr="00D85C65" w:rsidRDefault="000B0B09">
            <w:pPr>
              <w:rPr>
                <w:rFonts w:ascii="Times New Roman" w:hAnsi="Times New Roman"/>
                <w:sz w:val="24"/>
              </w:rPr>
            </w:pPr>
            <w:r w:rsidRPr="00D85C65">
              <w:rPr>
                <w:rFonts w:ascii="Times New Roman" w:hAnsi="Times New Roman"/>
                <w:sz w:val="24"/>
              </w:rPr>
              <w:t>Protistrany predstavujú podsúbor dlžníkov. Existujú len</w:t>
            </w:r>
            <w:r w:rsidR="00D85C65">
              <w:rPr>
                <w:rFonts w:ascii="Times New Roman" w:hAnsi="Times New Roman"/>
                <w:sz w:val="24"/>
              </w:rPr>
              <w:t xml:space="preserve"> v </w:t>
            </w:r>
            <w:r w:rsidRPr="00D85C65">
              <w:rPr>
                <w:rFonts w:ascii="Times New Roman" w:hAnsi="Times New Roman"/>
                <w:sz w:val="24"/>
              </w:rPr>
              <w:t>prípade derivátových transakcií alebo transakcií spočívajúcich vo financovaní cenných papierov,</w:t>
            </w:r>
            <w:r w:rsidR="00D85C65">
              <w:rPr>
                <w:rFonts w:ascii="Times New Roman" w:hAnsi="Times New Roman"/>
                <w:sz w:val="24"/>
              </w:rPr>
              <w:t xml:space="preserve"> v </w:t>
            </w:r>
            <w:r w:rsidRPr="00D85C65">
              <w:rPr>
                <w:rFonts w:ascii="Times New Roman" w:hAnsi="Times New Roman"/>
                <w:sz w:val="24"/>
              </w:rPr>
              <w:t xml:space="preserve">ktorých sú druhou zmluvnou stranou. </w:t>
            </w:r>
          </w:p>
        </w:tc>
      </w:tr>
      <w:tr w:rsidR="00235D9D" w:rsidRPr="00D85C65" w14:paraId="208E8D8E" w14:textId="77777777" w:rsidTr="00672D2A">
        <w:tc>
          <w:tcPr>
            <w:tcW w:w="852" w:type="dxa"/>
          </w:tcPr>
          <w:p w14:paraId="7A9385D3" w14:textId="77777777" w:rsidR="00235D9D" w:rsidRPr="00D85C65" w:rsidRDefault="000B0B09">
            <w:pPr>
              <w:rPr>
                <w:rFonts w:ascii="Times New Roman" w:hAnsi="Times New Roman"/>
                <w:sz w:val="24"/>
              </w:rPr>
            </w:pPr>
            <w:r w:rsidRPr="00D85C65">
              <w:rPr>
                <w:rFonts w:ascii="Times New Roman" w:hAnsi="Times New Roman"/>
                <w:sz w:val="24"/>
              </w:rPr>
              <w:t>110</w:t>
            </w:r>
          </w:p>
        </w:tc>
        <w:tc>
          <w:tcPr>
            <w:tcW w:w="8004" w:type="dxa"/>
          </w:tcPr>
          <w:p w14:paraId="0881EDD6"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Z čoho: na určenie kreditného rozpätia sa použili proxy údaje</w:t>
            </w:r>
          </w:p>
          <w:p w14:paraId="0BE663C7" w14:textId="0AA3F527" w:rsidR="00235D9D" w:rsidRPr="00D85C65" w:rsidRDefault="005C14B0">
            <w:pPr>
              <w:rPr>
                <w:rFonts w:ascii="Times New Roman" w:hAnsi="Times New Roman"/>
                <w:b/>
                <w:sz w:val="24"/>
                <w:u w:val="single"/>
              </w:rPr>
            </w:pPr>
            <w:r w:rsidRPr="00D85C65">
              <w:rPr>
                <w:rFonts w:ascii="Times New Roman" w:hAnsi="Times New Roman"/>
                <w:sz w:val="24"/>
              </w:rPr>
              <w:t>Počet protistrán, kde sa kreditné rozpätie určilo použitím proxy údajov namiesto priamo pozorovaných trhových údajov.</w:t>
            </w:r>
          </w:p>
        </w:tc>
      </w:tr>
      <w:tr w:rsidR="00235D9D" w:rsidRPr="00D85C65" w14:paraId="5146AE6D" w14:textId="77777777" w:rsidTr="00672D2A">
        <w:tc>
          <w:tcPr>
            <w:tcW w:w="852" w:type="dxa"/>
          </w:tcPr>
          <w:p w14:paraId="17D94646" w14:textId="77777777" w:rsidR="00235D9D" w:rsidRPr="00D85C65" w:rsidRDefault="000B0B09">
            <w:pPr>
              <w:rPr>
                <w:rFonts w:ascii="Times New Roman" w:hAnsi="Times New Roman"/>
                <w:sz w:val="24"/>
              </w:rPr>
            </w:pPr>
            <w:r w:rsidRPr="00D85C65">
              <w:rPr>
                <w:rFonts w:ascii="Times New Roman" w:hAnsi="Times New Roman"/>
                <w:sz w:val="24"/>
              </w:rPr>
              <w:t>120</w:t>
            </w:r>
          </w:p>
        </w:tc>
        <w:tc>
          <w:tcPr>
            <w:tcW w:w="8004" w:type="dxa"/>
          </w:tcPr>
          <w:p w14:paraId="05699C10"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SPÔSOBENÉ ÚPRAVY OCENENIA POHĽADÁVOK</w:t>
            </w:r>
          </w:p>
          <w:p w14:paraId="48B7E12F" w14:textId="630B86C6" w:rsidR="00235D9D" w:rsidRPr="00D85C65" w:rsidRDefault="000B0B09">
            <w:pPr>
              <w:rPr>
                <w:rFonts w:ascii="Times New Roman" w:hAnsi="Times New Roman"/>
                <w:sz w:val="24"/>
              </w:rPr>
            </w:pPr>
            <w:r w:rsidRPr="00D85C65">
              <w:rPr>
                <w:rFonts w:ascii="Times New Roman" w:hAnsi="Times New Roman"/>
                <w:sz w:val="24"/>
              </w:rPr>
              <w:t>Účtovné opatrenia</w:t>
            </w:r>
            <w:r w:rsidR="00D85C65">
              <w:rPr>
                <w:rFonts w:ascii="Times New Roman" w:hAnsi="Times New Roman"/>
                <w:sz w:val="24"/>
              </w:rPr>
              <w:t xml:space="preserve"> z </w:t>
            </w:r>
            <w:r w:rsidRPr="00D85C65">
              <w:rPr>
                <w:rFonts w:ascii="Times New Roman" w:hAnsi="Times New Roman"/>
                <w:sz w:val="24"/>
              </w:rPr>
              <w:t>dôvodu zníženej kreditnej spoľahlivosti derivátových protistrán.</w:t>
            </w:r>
          </w:p>
        </w:tc>
      </w:tr>
      <w:tr w:rsidR="00235D9D" w:rsidRPr="00D85C65" w14:paraId="2C695804" w14:textId="77777777" w:rsidTr="00672D2A">
        <w:tc>
          <w:tcPr>
            <w:tcW w:w="852" w:type="dxa"/>
          </w:tcPr>
          <w:p w14:paraId="1F9E6A16" w14:textId="77777777" w:rsidR="00235D9D" w:rsidRPr="00D85C65" w:rsidRDefault="000B0B09">
            <w:pPr>
              <w:rPr>
                <w:rFonts w:ascii="Times New Roman" w:hAnsi="Times New Roman"/>
                <w:sz w:val="24"/>
              </w:rPr>
            </w:pPr>
            <w:r w:rsidRPr="00D85C65">
              <w:rPr>
                <w:rFonts w:ascii="Times New Roman" w:hAnsi="Times New Roman"/>
                <w:sz w:val="24"/>
              </w:rPr>
              <w:t>130</w:t>
            </w:r>
          </w:p>
        </w:tc>
        <w:tc>
          <w:tcPr>
            <w:tcW w:w="8004" w:type="dxa"/>
          </w:tcPr>
          <w:p w14:paraId="1B588358"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SWAPY NA KREDITNÉ ZLYHANIE ZMIERŇUJÚCE KREDITNÉ RIZIKO LEN JEDNEJ PROTISTRANY</w:t>
            </w:r>
          </w:p>
          <w:p w14:paraId="50043D34" w14:textId="77777777" w:rsidR="00D85C65" w:rsidRDefault="00D21B29">
            <w:pPr>
              <w:rPr>
                <w:rFonts w:ascii="Times New Roman" w:hAnsi="Times New Roman"/>
                <w:sz w:val="24"/>
              </w:rPr>
            </w:pPr>
            <w:r w:rsidRPr="00D85C65">
              <w:rPr>
                <w:rFonts w:ascii="Times New Roman" w:hAnsi="Times New Roman"/>
                <w:sz w:val="24"/>
              </w:rPr>
              <w:lastRenderedPageBreak/>
              <w:t>Článok 386 ods. 1 písm. a) CRR</w:t>
            </w:r>
            <w:r w:rsidR="00D85C65">
              <w:rPr>
                <w:rFonts w:ascii="Times New Roman" w:hAnsi="Times New Roman"/>
                <w:sz w:val="24"/>
              </w:rPr>
              <w:t>.</w:t>
            </w:r>
          </w:p>
          <w:p w14:paraId="5B50235C" w14:textId="740DC9D1" w:rsidR="00235D9D" w:rsidRPr="00D85C65" w:rsidRDefault="000B0B09">
            <w:pPr>
              <w:rPr>
                <w:rFonts w:ascii="Times New Roman" w:hAnsi="Times New Roman"/>
                <w:sz w:val="24"/>
              </w:rPr>
            </w:pPr>
            <w:r w:rsidRPr="00D85C65">
              <w:rPr>
                <w:rFonts w:ascii="Times New Roman" w:hAnsi="Times New Roman"/>
                <w:sz w:val="24"/>
              </w:rPr>
              <w:t>Celkové pomyselné hodnoty swapov na kreditné zlyhanie zmierňujúce kreditné riziko len jednej protistrany používané na hedžovanie rizika úpravy ocenenia pohľadávok.</w:t>
            </w:r>
          </w:p>
        </w:tc>
      </w:tr>
      <w:tr w:rsidR="00235D9D" w:rsidRPr="00D85C65" w14:paraId="39BBE1D7" w14:textId="77777777" w:rsidTr="00672D2A">
        <w:tc>
          <w:tcPr>
            <w:tcW w:w="852" w:type="dxa"/>
          </w:tcPr>
          <w:p w14:paraId="606251E4" w14:textId="77777777" w:rsidR="00235D9D" w:rsidRPr="00D85C65" w:rsidRDefault="000B0B09">
            <w:pPr>
              <w:rPr>
                <w:rFonts w:ascii="Times New Roman" w:hAnsi="Times New Roman"/>
                <w:sz w:val="24"/>
              </w:rPr>
            </w:pPr>
            <w:r w:rsidRPr="00D85C65">
              <w:rPr>
                <w:rFonts w:ascii="Times New Roman" w:hAnsi="Times New Roman"/>
                <w:sz w:val="24"/>
              </w:rPr>
              <w:lastRenderedPageBreak/>
              <w:t>140</w:t>
            </w:r>
          </w:p>
        </w:tc>
        <w:tc>
          <w:tcPr>
            <w:tcW w:w="8004" w:type="dxa"/>
          </w:tcPr>
          <w:p w14:paraId="36EC79C3" w14:textId="77777777" w:rsidR="00235D9D" w:rsidRPr="00D85C65" w:rsidRDefault="000B0B09">
            <w:pPr>
              <w:rPr>
                <w:rFonts w:ascii="Times New Roman" w:hAnsi="Times New Roman"/>
                <w:b/>
                <w:sz w:val="24"/>
                <w:u w:val="single"/>
              </w:rPr>
            </w:pPr>
            <w:r w:rsidRPr="00D85C65">
              <w:rPr>
                <w:rFonts w:ascii="Times New Roman" w:hAnsi="Times New Roman"/>
                <w:b/>
                <w:sz w:val="24"/>
                <w:u w:val="single"/>
              </w:rPr>
              <w:t>INDEXOVÉ SWAPY NA KREDITNÉ ZLYHANIE</w:t>
            </w:r>
          </w:p>
          <w:p w14:paraId="2907F0D4" w14:textId="0A02CB18" w:rsidR="00235D9D" w:rsidRPr="00D85C65" w:rsidRDefault="00D21B29">
            <w:pPr>
              <w:rPr>
                <w:rFonts w:ascii="Times New Roman" w:hAnsi="Times New Roman"/>
                <w:sz w:val="24"/>
              </w:rPr>
            </w:pPr>
            <w:r w:rsidRPr="00D85C65">
              <w:rPr>
                <w:rFonts w:ascii="Times New Roman" w:hAnsi="Times New Roman"/>
                <w:sz w:val="24"/>
              </w:rPr>
              <w:t>Článok 386 ods. 1 písm. b) CRR.</w:t>
            </w:r>
          </w:p>
          <w:p w14:paraId="30AEB754" w14:textId="28361AA2" w:rsidR="00235D9D" w:rsidRPr="00D85C65" w:rsidRDefault="000B0B09">
            <w:pPr>
              <w:rPr>
                <w:rFonts w:ascii="Times New Roman" w:hAnsi="Times New Roman"/>
                <w:b/>
                <w:sz w:val="24"/>
                <w:u w:val="single"/>
              </w:rPr>
            </w:pPr>
            <w:r w:rsidRPr="00D85C65">
              <w:rPr>
                <w:rFonts w:ascii="Times New Roman" w:hAnsi="Times New Roman"/>
                <w:sz w:val="24"/>
              </w:rPr>
              <w:t>Celkové pomyselné hodnoty indexových swapov na kreditné zlyhanie používané na hedžovanie rizika úpravy ocenenia pohľadávok.</w:t>
            </w:r>
          </w:p>
        </w:tc>
      </w:tr>
    </w:tbl>
    <w:p w14:paraId="77D3C427" w14:textId="77777777" w:rsidR="00235D9D" w:rsidRPr="00D85C65" w:rsidRDefault="00235D9D">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235D9D" w:rsidRPr="00D85C65" w14:paraId="63DD22C6" w14:textId="77777777" w:rsidTr="00672D2A">
        <w:tc>
          <w:tcPr>
            <w:tcW w:w="8856" w:type="dxa"/>
            <w:gridSpan w:val="2"/>
            <w:shd w:val="clear" w:color="auto" w:fill="CCCCCC"/>
          </w:tcPr>
          <w:p w14:paraId="1218FE36" w14:textId="77777777" w:rsidR="00235D9D" w:rsidRPr="00D85C65" w:rsidRDefault="000B0B09">
            <w:pPr>
              <w:rPr>
                <w:rFonts w:ascii="Times New Roman" w:hAnsi="Times New Roman"/>
                <w:b/>
                <w:sz w:val="24"/>
              </w:rPr>
            </w:pPr>
            <w:r w:rsidRPr="00D85C65">
              <w:rPr>
                <w:rFonts w:ascii="Times New Roman" w:hAnsi="Times New Roman"/>
                <w:b/>
                <w:sz w:val="24"/>
              </w:rPr>
              <w:t>Riadky</w:t>
            </w:r>
          </w:p>
        </w:tc>
      </w:tr>
      <w:tr w:rsidR="00235D9D" w:rsidRPr="00D85C65" w14:paraId="24F67660" w14:textId="77777777" w:rsidTr="00672D2A">
        <w:tc>
          <w:tcPr>
            <w:tcW w:w="852" w:type="dxa"/>
          </w:tcPr>
          <w:p w14:paraId="358BF8DF" w14:textId="77777777" w:rsidR="00235D9D" w:rsidRPr="00D85C65" w:rsidRDefault="000B0B09">
            <w:pPr>
              <w:rPr>
                <w:rFonts w:ascii="Times New Roman" w:hAnsi="Times New Roman"/>
                <w:sz w:val="24"/>
              </w:rPr>
            </w:pPr>
            <w:r w:rsidRPr="00D85C65">
              <w:rPr>
                <w:rFonts w:ascii="Times New Roman" w:hAnsi="Times New Roman"/>
                <w:sz w:val="24"/>
              </w:rPr>
              <w:t>010</w:t>
            </w:r>
          </w:p>
        </w:tc>
        <w:tc>
          <w:tcPr>
            <w:tcW w:w="8004" w:type="dxa"/>
          </w:tcPr>
          <w:p w14:paraId="55D74EEA" w14:textId="77777777" w:rsidR="00235D9D" w:rsidRPr="00D85C65" w:rsidRDefault="000B0B09">
            <w:pPr>
              <w:rPr>
                <w:rFonts w:ascii="Times New Roman" w:hAnsi="Times New Roman"/>
                <w:b/>
                <w:bCs/>
                <w:sz w:val="24"/>
                <w:u w:val="single"/>
              </w:rPr>
            </w:pPr>
            <w:r w:rsidRPr="00D85C65">
              <w:rPr>
                <w:rFonts w:ascii="Times New Roman" w:hAnsi="Times New Roman"/>
                <w:b/>
                <w:bCs/>
                <w:sz w:val="24"/>
                <w:u w:val="single"/>
              </w:rPr>
              <w:t>Celkové riziko úpravy ocenenia pohľadávok</w:t>
            </w:r>
          </w:p>
          <w:p w14:paraId="3FFB40EC" w14:textId="11990D5A" w:rsidR="00235D9D" w:rsidRPr="00D85C65" w:rsidRDefault="000B0B09">
            <w:pPr>
              <w:rPr>
                <w:rFonts w:ascii="Times New Roman" w:hAnsi="Times New Roman"/>
                <w:bCs/>
                <w:sz w:val="24"/>
              </w:rPr>
            </w:pPr>
            <w:r w:rsidRPr="00D85C65">
              <w:rPr>
                <w:rFonts w:ascii="Times New Roman" w:hAnsi="Times New Roman"/>
                <w:bCs/>
                <w:sz w:val="24"/>
              </w:rPr>
              <w:t>Súčet riadkov 020 až 040.</w:t>
            </w:r>
          </w:p>
        </w:tc>
      </w:tr>
      <w:tr w:rsidR="00235D9D" w:rsidRPr="00D85C65" w14:paraId="117A9CD0" w14:textId="77777777" w:rsidTr="00672D2A">
        <w:tc>
          <w:tcPr>
            <w:tcW w:w="852" w:type="dxa"/>
          </w:tcPr>
          <w:p w14:paraId="1E281625" w14:textId="77777777" w:rsidR="00235D9D" w:rsidRPr="00D85C65" w:rsidRDefault="000B0B09">
            <w:pPr>
              <w:rPr>
                <w:rFonts w:ascii="Times New Roman" w:hAnsi="Times New Roman"/>
                <w:sz w:val="24"/>
              </w:rPr>
            </w:pPr>
            <w:r w:rsidRPr="00D85C65">
              <w:rPr>
                <w:rFonts w:ascii="Times New Roman" w:hAnsi="Times New Roman"/>
                <w:sz w:val="24"/>
              </w:rPr>
              <w:t xml:space="preserve">020 </w:t>
            </w:r>
          </w:p>
        </w:tc>
        <w:tc>
          <w:tcPr>
            <w:tcW w:w="8004" w:type="dxa"/>
          </w:tcPr>
          <w:p w14:paraId="02E6580C" w14:textId="35DF5FF3" w:rsidR="00235D9D" w:rsidRPr="00D85C65" w:rsidRDefault="000B0B09">
            <w:pPr>
              <w:rPr>
                <w:rFonts w:ascii="Times New Roman" w:hAnsi="Times New Roman"/>
                <w:b/>
                <w:bCs/>
                <w:sz w:val="24"/>
                <w:u w:val="single"/>
              </w:rPr>
            </w:pPr>
            <w:r w:rsidRPr="00D85C65">
              <w:rPr>
                <w:rFonts w:ascii="Times New Roman" w:hAnsi="Times New Roman"/>
                <w:b/>
                <w:bCs/>
                <w:sz w:val="24"/>
                <w:u w:val="single"/>
              </w:rPr>
              <w:t>Pokročilá metóda</w:t>
            </w:r>
          </w:p>
          <w:p w14:paraId="59CC663A" w14:textId="214D8DA2" w:rsidR="00235D9D" w:rsidRPr="00D85C65" w:rsidRDefault="000B0B09">
            <w:pPr>
              <w:rPr>
                <w:rFonts w:ascii="Times New Roman" w:hAnsi="Times New Roman"/>
                <w:bCs/>
                <w:sz w:val="24"/>
              </w:rPr>
            </w:pPr>
            <w:r w:rsidRPr="00D85C65">
              <w:rPr>
                <w:rFonts w:ascii="Times New Roman" w:hAnsi="Times New Roman"/>
                <w:bCs/>
                <w:sz w:val="24"/>
              </w:rPr>
              <w:t>Pokročilá metóda pre riziko úpravy ocenenia pohľadávok stanovená</w:t>
            </w:r>
            <w:r w:rsidR="00D85C65">
              <w:rPr>
                <w:rFonts w:ascii="Times New Roman" w:hAnsi="Times New Roman"/>
                <w:bCs/>
                <w:sz w:val="24"/>
              </w:rPr>
              <w:t xml:space="preserve"> v </w:t>
            </w:r>
            <w:r w:rsidRPr="00D85C65">
              <w:rPr>
                <w:rFonts w:ascii="Times New Roman" w:hAnsi="Times New Roman"/>
                <w:bCs/>
                <w:sz w:val="24"/>
              </w:rPr>
              <w:t>článku 383</w:t>
            </w:r>
            <w:r w:rsidRPr="00D85C65">
              <w:rPr>
                <w:rFonts w:ascii="Times New Roman" w:hAnsi="Times New Roman"/>
                <w:sz w:val="24"/>
              </w:rPr>
              <w:t xml:space="preserve"> CRR.</w:t>
            </w:r>
            <w:r w:rsidRPr="00D85C65">
              <w:rPr>
                <w:rFonts w:ascii="Times New Roman" w:hAnsi="Times New Roman"/>
                <w:bCs/>
                <w:sz w:val="24"/>
              </w:rPr>
              <w:t xml:space="preserve"> </w:t>
            </w:r>
          </w:p>
        </w:tc>
      </w:tr>
      <w:tr w:rsidR="00235D9D" w:rsidRPr="00D85C65" w14:paraId="6FC0D15B" w14:textId="77777777" w:rsidTr="00672D2A">
        <w:tc>
          <w:tcPr>
            <w:tcW w:w="852" w:type="dxa"/>
          </w:tcPr>
          <w:p w14:paraId="27DE8499" w14:textId="77777777" w:rsidR="00235D9D" w:rsidRPr="00D85C65" w:rsidRDefault="000B0B09">
            <w:pPr>
              <w:rPr>
                <w:rFonts w:ascii="Times New Roman" w:hAnsi="Times New Roman"/>
                <w:sz w:val="24"/>
              </w:rPr>
            </w:pPr>
            <w:r w:rsidRPr="00D85C65">
              <w:rPr>
                <w:rFonts w:ascii="Times New Roman" w:hAnsi="Times New Roman"/>
                <w:sz w:val="24"/>
              </w:rPr>
              <w:t>030</w:t>
            </w:r>
          </w:p>
        </w:tc>
        <w:tc>
          <w:tcPr>
            <w:tcW w:w="8004" w:type="dxa"/>
          </w:tcPr>
          <w:p w14:paraId="1E919B6E" w14:textId="607AF6EF" w:rsidR="00235D9D" w:rsidRPr="00D85C65" w:rsidRDefault="000B0B09">
            <w:pPr>
              <w:rPr>
                <w:rFonts w:ascii="Times New Roman" w:hAnsi="Times New Roman"/>
                <w:b/>
                <w:bCs/>
                <w:sz w:val="24"/>
                <w:u w:val="single"/>
              </w:rPr>
            </w:pPr>
            <w:r w:rsidRPr="00D85C65">
              <w:rPr>
                <w:rFonts w:ascii="Times New Roman" w:hAnsi="Times New Roman"/>
                <w:b/>
                <w:bCs/>
                <w:sz w:val="24"/>
                <w:u w:val="single"/>
              </w:rPr>
              <w:t>Štandardizovaná metóda</w:t>
            </w:r>
          </w:p>
          <w:p w14:paraId="53048721" w14:textId="119AACEB" w:rsidR="00235D9D" w:rsidRPr="00D85C65" w:rsidRDefault="000B0B09">
            <w:pPr>
              <w:rPr>
                <w:rFonts w:ascii="Times New Roman" w:hAnsi="Times New Roman"/>
                <w:bCs/>
                <w:sz w:val="24"/>
              </w:rPr>
            </w:pPr>
            <w:r w:rsidRPr="00D85C65">
              <w:rPr>
                <w:rFonts w:ascii="Times New Roman" w:hAnsi="Times New Roman"/>
                <w:bCs/>
                <w:sz w:val="24"/>
              </w:rPr>
              <w:t>Štandardizovaná metóda pre riziko úpravy ocenenia pohľadávok stanovená</w:t>
            </w:r>
            <w:r w:rsidR="00D85C65">
              <w:rPr>
                <w:rFonts w:ascii="Times New Roman" w:hAnsi="Times New Roman"/>
                <w:bCs/>
                <w:sz w:val="24"/>
              </w:rPr>
              <w:t xml:space="preserve"> v </w:t>
            </w:r>
            <w:r w:rsidRPr="00D85C65">
              <w:rPr>
                <w:rFonts w:ascii="Times New Roman" w:hAnsi="Times New Roman"/>
                <w:bCs/>
                <w:sz w:val="24"/>
              </w:rPr>
              <w:t>článku 384</w:t>
            </w:r>
            <w:r w:rsidRPr="00D85C65">
              <w:rPr>
                <w:rFonts w:ascii="Times New Roman" w:hAnsi="Times New Roman"/>
                <w:sz w:val="24"/>
              </w:rPr>
              <w:t xml:space="preserve"> CRR.</w:t>
            </w:r>
            <w:r w:rsidRPr="00D85C65">
              <w:rPr>
                <w:rFonts w:ascii="Times New Roman" w:hAnsi="Times New Roman"/>
                <w:bCs/>
                <w:sz w:val="24"/>
              </w:rPr>
              <w:t xml:space="preserve"> </w:t>
            </w:r>
          </w:p>
        </w:tc>
      </w:tr>
      <w:tr w:rsidR="00235D9D" w:rsidRPr="00D85C65" w14:paraId="221BFDBB" w14:textId="77777777" w:rsidTr="00672D2A">
        <w:tc>
          <w:tcPr>
            <w:tcW w:w="852" w:type="dxa"/>
          </w:tcPr>
          <w:p w14:paraId="532C7E21" w14:textId="77777777" w:rsidR="00235D9D" w:rsidRPr="00D85C65" w:rsidRDefault="000B0B09">
            <w:pPr>
              <w:rPr>
                <w:rFonts w:ascii="Times New Roman" w:hAnsi="Times New Roman"/>
                <w:sz w:val="24"/>
              </w:rPr>
            </w:pPr>
            <w:r w:rsidRPr="00D85C65">
              <w:rPr>
                <w:rFonts w:ascii="Times New Roman" w:hAnsi="Times New Roman"/>
                <w:sz w:val="24"/>
              </w:rPr>
              <w:t>040</w:t>
            </w:r>
          </w:p>
        </w:tc>
        <w:tc>
          <w:tcPr>
            <w:tcW w:w="8004" w:type="dxa"/>
          </w:tcPr>
          <w:p w14:paraId="6CEF8B62" w14:textId="77777777" w:rsidR="00235D9D" w:rsidRPr="00D85C65" w:rsidRDefault="000B0B09">
            <w:pPr>
              <w:rPr>
                <w:rFonts w:ascii="Times New Roman" w:hAnsi="Times New Roman"/>
                <w:b/>
                <w:bCs/>
                <w:sz w:val="24"/>
                <w:u w:val="single"/>
              </w:rPr>
            </w:pPr>
            <w:r w:rsidRPr="00D85C65">
              <w:rPr>
                <w:rFonts w:ascii="Times New Roman" w:hAnsi="Times New Roman"/>
                <w:b/>
                <w:bCs/>
                <w:sz w:val="24"/>
                <w:u w:val="single"/>
              </w:rPr>
              <w:t>Na základe metódy pôvodnej expozície</w:t>
            </w:r>
          </w:p>
          <w:p w14:paraId="3CC30ECF" w14:textId="4897E3A7" w:rsidR="00235D9D" w:rsidRPr="00D85C65" w:rsidRDefault="000B0B09">
            <w:pPr>
              <w:rPr>
                <w:rFonts w:ascii="Times New Roman" w:hAnsi="Times New Roman"/>
                <w:bCs/>
                <w:sz w:val="24"/>
              </w:rPr>
            </w:pPr>
            <w:r w:rsidRPr="00D85C65">
              <w:rPr>
                <w:rFonts w:ascii="Times New Roman" w:hAnsi="Times New Roman"/>
                <w:bCs/>
                <w:sz w:val="24"/>
              </w:rPr>
              <w:t>Hodnoty, na ktoré sa uplatňuje článok 385</w:t>
            </w:r>
            <w:r w:rsidRPr="00D85C65">
              <w:rPr>
                <w:rFonts w:ascii="Times New Roman" w:hAnsi="Times New Roman"/>
                <w:sz w:val="24"/>
              </w:rPr>
              <w:t xml:space="preserve"> CRR.</w:t>
            </w:r>
          </w:p>
        </w:tc>
      </w:tr>
    </w:tbl>
    <w:p w14:paraId="26E1C34E" w14:textId="77777777" w:rsidR="00235D9D" w:rsidRPr="00D85C65" w:rsidRDefault="00235D9D">
      <w:pPr>
        <w:rPr>
          <w:rStyle w:val="InstructionsTabelleText"/>
          <w:rFonts w:ascii="Times New Roman" w:hAnsi="Times New Roman"/>
          <w:sz w:val="24"/>
        </w:rPr>
      </w:pPr>
    </w:p>
    <w:p w14:paraId="3E0E4F0B" w14:textId="77777777" w:rsidR="00235D9D" w:rsidRPr="00D85C65" w:rsidRDefault="00995A7F">
      <w:pPr>
        <w:pStyle w:val="Instructionsberschrift2"/>
        <w:numPr>
          <w:ilvl w:val="0"/>
          <w:numId w:val="0"/>
        </w:numPr>
        <w:ind w:left="357" w:hanging="357"/>
        <w:rPr>
          <w:rFonts w:ascii="Times New Roman" w:hAnsi="Times New Roman" w:cs="Times New Roman"/>
          <w:sz w:val="24"/>
        </w:rPr>
      </w:pPr>
      <w:bookmarkStart w:id="107" w:name="_Toc29994549"/>
      <w:r w:rsidRPr="00D85C65">
        <w:rPr>
          <w:rFonts w:ascii="Times New Roman" w:hAnsi="Times New Roman"/>
          <w:sz w:val="24"/>
          <w:u w:val="none"/>
        </w:rPr>
        <w:t>6.</w:t>
      </w:r>
      <w:r w:rsidRPr="00D85C65">
        <w:rPr>
          <w:rFonts w:ascii="Times New Roman" w:hAnsi="Times New Roman"/>
          <w:sz w:val="24"/>
          <w:u w:val="none"/>
        </w:rPr>
        <w:tab/>
      </w:r>
      <w:r w:rsidRPr="00D85C65">
        <w:rPr>
          <w:rFonts w:ascii="Times New Roman" w:hAnsi="Times New Roman"/>
          <w:sz w:val="24"/>
        </w:rPr>
        <w:t>Obozretné oceňovanie (PruVal)</w:t>
      </w:r>
      <w:bookmarkEnd w:id="107"/>
    </w:p>
    <w:p w14:paraId="45FB2C51" w14:textId="060D532A" w:rsidR="00235D9D" w:rsidRPr="00D85C65" w:rsidRDefault="00995A7F">
      <w:pPr>
        <w:pStyle w:val="Instructionsberschrift2"/>
        <w:numPr>
          <w:ilvl w:val="0"/>
          <w:numId w:val="0"/>
        </w:numPr>
        <w:ind w:left="357" w:hanging="357"/>
        <w:rPr>
          <w:rFonts w:ascii="Times New Roman" w:hAnsi="Times New Roman" w:cs="Times New Roman"/>
          <w:sz w:val="24"/>
          <w:u w:val="none"/>
        </w:rPr>
      </w:pPr>
      <w:bookmarkStart w:id="108" w:name="_Toc29994550"/>
      <w:r w:rsidRPr="00D85C65">
        <w:rPr>
          <w:rFonts w:ascii="Times New Roman" w:hAnsi="Times New Roman"/>
          <w:sz w:val="24"/>
          <w:u w:val="none"/>
        </w:rPr>
        <w:t>6.1.</w:t>
      </w:r>
      <w:r w:rsidRPr="00D85C65">
        <w:rPr>
          <w:rFonts w:ascii="Times New Roman" w:hAnsi="Times New Roman"/>
          <w:sz w:val="24"/>
          <w:u w:val="none"/>
        </w:rPr>
        <w:tab/>
      </w:r>
      <w:r w:rsidRPr="00D85C65">
        <w:rPr>
          <w:rFonts w:ascii="Times New Roman" w:hAnsi="Times New Roman"/>
          <w:sz w:val="24"/>
        </w:rPr>
        <w:t>C 32.01 – Obozretné oceňovanie: reálnou hodnotou ocenené aktíva</w:t>
      </w:r>
      <w:r w:rsidR="00D85C65">
        <w:rPr>
          <w:rFonts w:ascii="Times New Roman" w:hAnsi="Times New Roman"/>
          <w:sz w:val="24"/>
        </w:rPr>
        <w:t xml:space="preserve"> a </w:t>
      </w:r>
      <w:r w:rsidRPr="00D85C65">
        <w:rPr>
          <w:rFonts w:ascii="Times New Roman" w:hAnsi="Times New Roman"/>
          <w:sz w:val="24"/>
        </w:rPr>
        <w:t>záväzky (PruVal 1)</w:t>
      </w:r>
      <w:bookmarkEnd w:id="108"/>
    </w:p>
    <w:p w14:paraId="5AB429BB" w14:textId="77777777" w:rsidR="00D85C65" w:rsidRDefault="00995A7F">
      <w:pPr>
        <w:pStyle w:val="Instructionsberschrift2"/>
        <w:numPr>
          <w:ilvl w:val="0"/>
          <w:numId w:val="0"/>
        </w:numPr>
        <w:ind w:left="357" w:hanging="357"/>
        <w:rPr>
          <w:rFonts w:ascii="Times New Roman" w:hAnsi="Times New Roman"/>
          <w:sz w:val="24"/>
          <w:u w:val="none"/>
        </w:rPr>
      </w:pPr>
      <w:bookmarkStart w:id="109" w:name="_Toc29994551"/>
      <w:r w:rsidRPr="00D85C65">
        <w:rPr>
          <w:rFonts w:ascii="Times New Roman" w:hAnsi="Times New Roman"/>
          <w:sz w:val="24"/>
          <w:u w:val="none"/>
        </w:rPr>
        <w:t>6.1.1.</w:t>
      </w:r>
      <w:r w:rsidRPr="00D85C65">
        <w:rPr>
          <w:rFonts w:ascii="Times New Roman" w:hAnsi="Times New Roman"/>
          <w:sz w:val="24"/>
          <w:u w:val="none"/>
        </w:rPr>
        <w:tab/>
      </w:r>
      <w:r w:rsidRPr="00D85C65">
        <w:rPr>
          <w:rFonts w:ascii="Times New Roman" w:hAnsi="Times New Roman"/>
          <w:sz w:val="24"/>
        </w:rPr>
        <w:t>Všeobecné poznámky</w:t>
      </w:r>
      <w:bookmarkEnd w:id="109"/>
    </w:p>
    <w:p w14:paraId="5E537868" w14:textId="2A0D48F2" w:rsidR="00235D9D" w:rsidRPr="00D85C65" w:rsidRDefault="00995A7F">
      <w:pPr>
        <w:pStyle w:val="InstructionsText2"/>
        <w:numPr>
          <w:ilvl w:val="0"/>
          <w:numId w:val="0"/>
        </w:numPr>
        <w:ind w:left="993"/>
      </w:pPr>
      <w:r w:rsidRPr="00D85C65">
        <w:t>154a. Tento vzor vypĺňajú všetky inštitúcie bez ohľadu na to, či prijali zjednodušený prístup na určovanie dodatočných úprav ocenenia (AVA). Tento vzor je vyhradený pre absolútnu hodnotu reálnou hodnotou ocenených aktív</w:t>
      </w:r>
      <w:r w:rsidR="00D85C65">
        <w:t xml:space="preserve"> a </w:t>
      </w:r>
      <w:r w:rsidRPr="00D85C65">
        <w:t>záväzkov použitých na určenie, či sú splnené podmienky stanovené</w:t>
      </w:r>
      <w:r w:rsidR="00D85C65">
        <w:t xml:space="preserve"> v </w:t>
      </w:r>
      <w:r w:rsidRPr="00D85C65">
        <w:t>článku 4 delegovaného nariadenia Komisie (EÚ) 2016/101</w:t>
      </w:r>
      <w:r w:rsidRPr="00D85C65">
        <w:rPr>
          <w:rStyle w:val="FootnoteReference"/>
          <w:rFonts w:ascii="Times New Roman" w:hAnsi="Times New Roman"/>
          <w:sz w:val="24"/>
          <w:szCs w:val="24"/>
          <w:vertAlign w:val="superscript"/>
        </w:rPr>
        <w:footnoteReference w:id="17"/>
      </w:r>
      <w:r w:rsidRPr="00D85C65">
        <w:t xml:space="preserve"> na použitie zjednodušeného prístupu na určovanie dodatočných úprav ocenenia.</w:t>
      </w:r>
    </w:p>
    <w:p w14:paraId="433F2824" w14:textId="35887298" w:rsidR="00235D9D" w:rsidRPr="00D85C65" w:rsidRDefault="00B93FA1">
      <w:pPr>
        <w:pStyle w:val="InstructionsText2"/>
        <w:numPr>
          <w:ilvl w:val="0"/>
          <w:numId w:val="0"/>
        </w:numPr>
        <w:ind w:left="993"/>
      </w:pPr>
      <w:r w:rsidRPr="00D85C65">
        <w:lastRenderedPageBreak/>
        <w:t>154b. Pokiaľ ide</w:t>
      </w:r>
      <w:r w:rsidR="00D85C65">
        <w:t xml:space="preserve"> o </w:t>
      </w:r>
      <w:r w:rsidRPr="00D85C65">
        <w:t>inštitúcie využívajúce zjednodušený prístup,</w:t>
      </w:r>
      <w:r w:rsidR="00D85C65">
        <w:t xml:space="preserve"> v </w:t>
      </w:r>
      <w:r w:rsidRPr="00D85C65">
        <w:t>tomto vzore sa uvádza celková dodatočná úprava ocenenia, ktorá sa odpočítava od vlastných zdrojov podľa článkov 34</w:t>
      </w:r>
      <w:r w:rsidR="00D85C65">
        <w:t xml:space="preserve"> a </w:t>
      </w:r>
      <w:r w:rsidRPr="00D85C65">
        <w:t>105 CRR, ako je stanovené</w:t>
      </w:r>
      <w:r w:rsidR="00D85C65">
        <w:t xml:space="preserve"> v </w:t>
      </w:r>
      <w:r w:rsidRPr="00D85C65">
        <w:t>článku 5 delegovaného nariadenia (EÚ) 2016/101, čo sa zodpovedajúcim spôsobom vykazuje</w:t>
      </w:r>
      <w:r w:rsidR="00D85C65">
        <w:t xml:space="preserve"> v </w:t>
      </w:r>
      <w:r w:rsidRPr="00D85C65">
        <w:t>riadku 290 vzoru C 01.00.</w:t>
      </w:r>
    </w:p>
    <w:p w14:paraId="68F3B84E" w14:textId="72AD494C" w:rsidR="00235D9D" w:rsidRPr="00D85C65" w:rsidRDefault="00B93FA1">
      <w:pPr>
        <w:pStyle w:val="Instructionsberschrift2"/>
        <w:numPr>
          <w:ilvl w:val="0"/>
          <w:numId w:val="0"/>
        </w:numPr>
        <w:ind w:left="357" w:hanging="357"/>
        <w:rPr>
          <w:rFonts w:ascii="Times New Roman" w:hAnsi="Times New Roman" w:cs="Times New Roman"/>
          <w:sz w:val="24"/>
          <w:u w:val="none"/>
        </w:rPr>
      </w:pPr>
      <w:bookmarkStart w:id="110" w:name="_Toc29994552"/>
      <w:r w:rsidRPr="00D85C65">
        <w:rPr>
          <w:rFonts w:ascii="Times New Roman" w:hAnsi="Times New Roman"/>
          <w:sz w:val="24"/>
          <w:u w:val="none"/>
        </w:rPr>
        <w:t>6.1.2.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235D9D" w:rsidRPr="00D85C65" w14:paraId="37C991B5" w14:textId="77777777" w:rsidTr="00672D2A">
        <w:tc>
          <w:tcPr>
            <w:tcW w:w="9291" w:type="dxa"/>
            <w:gridSpan w:val="2"/>
            <w:shd w:val="clear" w:color="auto" w:fill="CCCCCC"/>
          </w:tcPr>
          <w:p w14:paraId="68F27042" w14:textId="77777777" w:rsidR="00235D9D" w:rsidRPr="00D85C65" w:rsidRDefault="00B93FA1">
            <w:pPr>
              <w:spacing w:beforeLines="60" w:before="144" w:afterLines="60" w:after="144"/>
              <w:rPr>
                <w:rFonts w:ascii="Times New Roman" w:hAnsi="Times New Roman"/>
                <w:b/>
                <w:sz w:val="24"/>
              </w:rPr>
            </w:pPr>
            <w:r w:rsidRPr="00D85C65">
              <w:rPr>
                <w:rFonts w:ascii="Times New Roman" w:hAnsi="Times New Roman"/>
                <w:b/>
                <w:sz w:val="24"/>
              </w:rPr>
              <w:t>Stĺpce</w:t>
            </w:r>
          </w:p>
        </w:tc>
      </w:tr>
      <w:tr w:rsidR="00235D9D" w:rsidRPr="00D85C65" w14:paraId="58890713" w14:textId="77777777" w:rsidTr="00672D2A">
        <w:tc>
          <w:tcPr>
            <w:tcW w:w="1101" w:type="dxa"/>
          </w:tcPr>
          <w:p w14:paraId="4AE79EA6"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0010</w:t>
            </w:r>
          </w:p>
        </w:tc>
        <w:tc>
          <w:tcPr>
            <w:tcW w:w="8190" w:type="dxa"/>
          </w:tcPr>
          <w:p w14:paraId="32BE349A"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REÁLNOU HODNOTOU OCENENÉ AKTÍVA A ZÁVÄZKY</w:t>
            </w:r>
          </w:p>
          <w:p w14:paraId="45F4B9CF" w14:textId="0FCB174F"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ako je uvedená vo finančných výkazoch podľa uplatniteľného účtovného rámca, ako je uvedené</w:t>
            </w:r>
            <w:r w:rsidR="00D85C65">
              <w:rPr>
                <w:rFonts w:ascii="Times New Roman" w:hAnsi="Times New Roman"/>
                <w:sz w:val="24"/>
              </w:rPr>
              <w:t xml:space="preserve"> v </w:t>
            </w:r>
            <w:r w:rsidRPr="00D85C65">
              <w:rPr>
                <w:rFonts w:ascii="Times New Roman" w:hAnsi="Times New Roman"/>
                <w:sz w:val="24"/>
              </w:rPr>
              <w:t>článku 4 ods. 1 delegovaného nariadenia (EÚ) 2016/101, pred akýmkoľvek vyňatím podľa článku 4 ods. 2 delegovaného nariadenia (EÚ) 2016/101.</w:t>
            </w:r>
          </w:p>
        </w:tc>
      </w:tr>
      <w:tr w:rsidR="00235D9D" w:rsidRPr="00D85C65" w14:paraId="0ADC2607" w14:textId="77777777" w:rsidTr="00672D2A">
        <w:tc>
          <w:tcPr>
            <w:tcW w:w="1101" w:type="dxa"/>
          </w:tcPr>
          <w:p w14:paraId="1BE14BAE"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0020</w:t>
            </w:r>
          </w:p>
        </w:tc>
        <w:tc>
          <w:tcPr>
            <w:tcW w:w="8190" w:type="dxa"/>
          </w:tcPr>
          <w:p w14:paraId="2D211BA4"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Z ČOHO: obchodná kniha</w:t>
            </w:r>
          </w:p>
          <w:p w14:paraId="6A2E3CB7" w14:textId="1A003D75"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ako je vykázaná</w:t>
            </w:r>
            <w:r w:rsidR="00D85C65">
              <w:rPr>
                <w:rFonts w:ascii="Times New Roman" w:hAnsi="Times New Roman"/>
                <w:sz w:val="24"/>
              </w:rPr>
              <w:t xml:space="preserve"> v </w:t>
            </w:r>
            <w:r w:rsidRPr="00D85C65">
              <w:rPr>
                <w:rFonts w:ascii="Times New Roman" w:hAnsi="Times New Roman"/>
                <w:sz w:val="24"/>
              </w:rPr>
              <w:t>stĺpci 010, zodpovedajúca pozíciám vedeným</w:t>
            </w:r>
            <w:r w:rsidR="00D85C65">
              <w:rPr>
                <w:rFonts w:ascii="Times New Roman" w:hAnsi="Times New Roman"/>
                <w:sz w:val="24"/>
              </w:rPr>
              <w:t xml:space="preserve"> v </w:t>
            </w:r>
            <w:r w:rsidRPr="00D85C65">
              <w:rPr>
                <w:rFonts w:ascii="Times New Roman" w:hAnsi="Times New Roman"/>
                <w:sz w:val="24"/>
              </w:rPr>
              <w:t xml:space="preserve">obchodnej knihe. </w:t>
            </w:r>
          </w:p>
        </w:tc>
      </w:tr>
      <w:tr w:rsidR="00235D9D" w:rsidRPr="00D85C65" w14:paraId="7BDB83B0" w14:textId="77777777" w:rsidTr="00672D2A">
        <w:tc>
          <w:tcPr>
            <w:tcW w:w="1101" w:type="dxa"/>
          </w:tcPr>
          <w:p w14:paraId="3AABA373"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0030 – 0070</w:t>
            </w:r>
          </w:p>
        </w:tc>
        <w:tc>
          <w:tcPr>
            <w:tcW w:w="8190" w:type="dxa"/>
          </w:tcPr>
          <w:p w14:paraId="65AA4280"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REÁLNOU HODNOTOU OCENENÉ AKTÍVA A ZÁVÄZKY VYLÚČENÉ KVÔLI ČIASTOČNÉMU VPLYVU NA CET1</w:t>
            </w:r>
          </w:p>
          <w:p w14:paraId="4FC60C87" w14:textId="0EBDE51D"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vylúčených</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2 delegovaného nariadenia (EÚ) 2016/101.</w:t>
            </w:r>
          </w:p>
        </w:tc>
      </w:tr>
      <w:tr w:rsidR="00235D9D" w:rsidRPr="00D85C65" w14:paraId="341FF8B7" w14:textId="77777777" w:rsidTr="00672D2A">
        <w:tc>
          <w:tcPr>
            <w:tcW w:w="1101" w:type="dxa"/>
          </w:tcPr>
          <w:p w14:paraId="2F57DF50"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0030</w:t>
            </w:r>
          </w:p>
        </w:tc>
        <w:tc>
          <w:tcPr>
            <w:tcW w:w="8190" w:type="dxa"/>
          </w:tcPr>
          <w:p w14:paraId="591EDAF3"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Presne zodpovedajúce</w:t>
            </w:r>
          </w:p>
          <w:p w14:paraId="0FC282C8" w14:textId="19CE5B24"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Presne zodpovedajúce spárované aktíva</w:t>
            </w:r>
            <w:r w:rsidR="00D85C65">
              <w:rPr>
                <w:rFonts w:ascii="Times New Roman" w:hAnsi="Times New Roman"/>
                <w:sz w:val="24"/>
              </w:rPr>
              <w:t xml:space="preserve"> a </w:t>
            </w:r>
            <w:r w:rsidRPr="00D85C65">
              <w:rPr>
                <w:rFonts w:ascii="Times New Roman" w:hAnsi="Times New Roman"/>
                <w:sz w:val="24"/>
              </w:rPr>
              <w:t>záväzky ocenené reálnou hodnotou vylúčené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2 delegovaného nariadenia (EÚ) 2016/101.</w:t>
            </w:r>
          </w:p>
        </w:tc>
      </w:tr>
      <w:tr w:rsidR="00235D9D" w:rsidRPr="00D85C65" w14:paraId="750781F7" w14:textId="77777777" w:rsidTr="00672D2A">
        <w:tc>
          <w:tcPr>
            <w:tcW w:w="1101" w:type="dxa"/>
          </w:tcPr>
          <w:p w14:paraId="499557F3"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0040</w:t>
            </w:r>
          </w:p>
        </w:tc>
        <w:tc>
          <w:tcPr>
            <w:tcW w:w="8190" w:type="dxa"/>
          </w:tcPr>
          <w:p w14:paraId="015BEC75"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Účtovanie zabezpečenia</w:t>
            </w:r>
          </w:p>
          <w:p w14:paraId="3E8AFC8D" w14:textId="2475E1DC"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Pre pozície, ktoré sú na základe uplatniteľného účtovného rámca predmetom účtovania zabezpečenia,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vylúčených proporčne podľa vplyvu príslušných zmien oceňovania na kapitál CET1 podľa článku 4 ods. 2 delegovaného nariadenia (EÚ) 2016/101.</w:t>
            </w:r>
          </w:p>
        </w:tc>
      </w:tr>
      <w:tr w:rsidR="00235D9D" w:rsidRPr="00D85C65" w14:paraId="40FA2695" w14:textId="77777777" w:rsidTr="00672D2A">
        <w:tc>
          <w:tcPr>
            <w:tcW w:w="1101" w:type="dxa"/>
          </w:tcPr>
          <w:p w14:paraId="3C11D6BE"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0050</w:t>
            </w:r>
          </w:p>
        </w:tc>
        <w:tc>
          <w:tcPr>
            <w:tcW w:w="8190" w:type="dxa"/>
          </w:tcPr>
          <w:p w14:paraId="59FF1B4D" w14:textId="77777777" w:rsid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PRUDENCIÁLNE FILTRE</w:t>
            </w:r>
          </w:p>
          <w:p w14:paraId="1ADA3A45" w14:textId="4CB1BF2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vylúčených</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2 delegovaného nariadenia (EÚ) 2016/101</w:t>
            </w:r>
            <w:r w:rsidR="00D85C65">
              <w:rPr>
                <w:rFonts w:ascii="Times New Roman" w:hAnsi="Times New Roman"/>
                <w:sz w:val="24"/>
              </w:rPr>
              <w:t xml:space="preserve"> v </w:t>
            </w:r>
            <w:r w:rsidRPr="00D85C65">
              <w:rPr>
                <w:rFonts w:ascii="Times New Roman" w:hAnsi="Times New Roman"/>
                <w:sz w:val="24"/>
              </w:rPr>
              <w:t>dôsledku prechodného uplatňovania prudenciálnych filtrov uvedených</w:t>
            </w:r>
            <w:r w:rsidR="00D85C65">
              <w:rPr>
                <w:rFonts w:ascii="Times New Roman" w:hAnsi="Times New Roman"/>
                <w:sz w:val="24"/>
              </w:rPr>
              <w:t xml:space="preserve"> v </w:t>
            </w:r>
            <w:r w:rsidRPr="00D85C65">
              <w:rPr>
                <w:rFonts w:ascii="Times New Roman" w:hAnsi="Times New Roman"/>
                <w:sz w:val="24"/>
              </w:rPr>
              <w:t>článkoch 467</w:t>
            </w:r>
            <w:r w:rsidR="00D85C65">
              <w:rPr>
                <w:rFonts w:ascii="Times New Roman" w:hAnsi="Times New Roman"/>
                <w:sz w:val="24"/>
              </w:rPr>
              <w:t xml:space="preserve"> a </w:t>
            </w:r>
            <w:r w:rsidRPr="00D85C65">
              <w:rPr>
                <w:rFonts w:ascii="Times New Roman" w:hAnsi="Times New Roman"/>
                <w:sz w:val="24"/>
              </w:rPr>
              <w:t>468 CRR.</w:t>
            </w:r>
          </w:p>
        </w:tc>
      </w:tr>
      <w:tr w:rsidR="00235D9D" w:rsidRPr="00D85C65" w14:paraId="48DF7B27" w14:textId="77777777" w:rsidTr="00672D2A">
        <w:tc>
          <w:tcPr>
            <w:tcW w:w="1101" w:type="dxa"/>
          </w:tcPr>
          <w:p w14:paraId="57A700D6"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0060</w:t>
            </w:r>
          </w:p>
        </w:tc>
        <w:tc>
          <w:tcPr>
            <w:tcW w:w="8190" w:type="dxa"/>
          </w:tcPr>
          <w:p w14:paraId="3CD8025C"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Iné</w:t>
            </w:r>
          </w:p>
          <w:p w14:paraId="45DF5D7C" w14:textId="2B16A403"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Všetky ostatné pozície vylúčené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2 delegovaného nariadenia (EÚ) 2016/101, pretože úpravy ich účtovnej hodnoty majú iba pomerný účinok na kapitál CET1.</w:t>
            </w:r>
          </w:p>
          <w:p w14:paraId="251244A0" w14:textId="6691C5AA"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lastRenderedPageBreak/>
              <w:t>Tento riadok sa vypĺňa iba</w:t>
            </w:r>
            <w:r w:rsidR="00D85C65">
              <w:rPr>
                <w:rFonts w:ascii="Times New Roman" w:hAnsi="Times New Roman"/>
                <w:sz w:val="24"/>
              </w:rPr>
              <w:t xml:space="preserve"> v </w:t>
            </w:r>
            <w:r w:rsidRPr="00D85C65">
              <w:rPr>
                <w:rFonts w:ascii="Times New Roman" w:hAnsi="Times New Roman"/>
                <w:sz w:val="24"/>
              </w:rPr>
              <w:t>ojedinelých prípadoch, keď prvky vylúčené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2 delegovaného nariadenia (EÚ) 2016/101 nemožno priradiť</w:t>
            </w:r>
            <w:r w:rsidR="00D85C65">
              <w:rPr>
                <w:rFonts w:ascii="Times New Roman" w:hAnsi="Times New Roman"/>
                <w:sz w:val="24"/>
              </w:rPr>
              <w:t xml:space="preserve"> k </w:t>
            </w:r>
            <w:r w:rsidRPr="00D85C65">
              <w:rPr>
                <w:rFonts w:ascii="Times New Roman" w:hAnsi="Times New Roman"/>
                <w:sz w:val="24"/>
              </w:rPr>
              <w:t>stĺpcom 0030, 0040 ani 0050 tohto vzoru.</w:t>
            </w:r>
          </w:p>
        </w:tc>
      </w:tr>
      <w:tr w:rsidR="00235D9D" w:rsidRPr="00D85C65" w14:paraId="4376D441" w14:textId="77777777" w:rsidTr="00672D2A">
        <w:tc>
          <w:tcPr>
            <w:tcW w:w="1101" w:type="dxa"/>
          </w:tcPr>
          <w:p w14:paraId="40845684"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lastRenderedPageBreak/>
              <w:t>0070</w:t>
            </w:r>
          </w:p>
        </w:tc>
        <w:tc>
          <w:tcPr>
            <w:tcW w:w="8190" w:type="dxa"/>
          </w:tcPr>
          <w:p w14:paraId="37374443" w14:textId="77777777" w:rsidR="00D85C65" w:rsidRDefault="00B93FA1">
            <w:pPr>
              <w:spacing w:beforeLines="60" w:before="144" w:afterLines="60" w:after="144"/>
              <w:rPr>
                <w:rFonts w:ascii="Times New Roman" w:hAnsi="Times New Roman"/>
                <w:sz w:val="24"/>
              </w:rPr>
            </w:pPr>
            <w:r w:rsidRPr="00D85C65">
              <w:rPr>
                <w:rFonts w:ascii="Times New Roman" w:hAnsi="Times New Roman"/>
                <w:b/>
                <w:caps/>
                <w:sz w:val="24"/>
                <w:u w:val="single"/>
              </w:rPr>
              <w:t>Poznámka</w:t>
            </w:r>
            <w:r w:rsidR="00D85C65">
              <w:rPr>
                <w:rFonts w:ascii="Times New Roman" w:hAnsi="Times New Roman"/>
                <w:b/>
                <w:caps/>
                <w:sz w:val="24"/>
                <w:u w:val="single"/>
              </w:rPr>
              <w:t xml:space="preserve"> k </w:t>
            </w:r>
            <w:r w:rsidRPr="00D85C65">
              <w:rPr>
                <w:rFonts w:ascii="Times New Roman" w:hAnsi="Times New Roman"/>
                <w:b/>
                <w:caps/>
                <w:sz w:val="24"/>
                <w:u w:val="single"/>
              </w:rPr>
              <w:t>položke iné</w:t>
            </w:r>
          </w:p>
          <w:p w14:paraId="555F48C0" w14:textId="2AC73489" w:rsidR="00235D9D" w:rsidRPr="00D85C65" w:rsidRDefault="00C11B8D">
            <w:pPr>
              <w:spacing w:beforeLines="60" w:before="144" w:afterLines="60" w:after="144"/>
              <w:rPr>
                <w:rFonts w:ascii="Times New Roman" w:hAnsi="Times New Roman"/>
                <w:b/>
                <w:caps/>
                <w:sz w:val="24"/>
                <w:u w:val="single"/>
              </w:rPr>
            </w:pPr>
            <w:r w:rsidRPr="00D85C65">
              <w:rPr>
                <w:rFonts w:ascii="Times New Roman" w:hAnsi="Times New Roman"/>
                <w:sz w:val="24"/>
              </w:rPr>
              <w:t>Uvádzajú sa hlavné dôvody, pre ktoré boli vylúčené pozície vykázané</w:t>
            </w:r>
            <w:r w:rsidR="00D85C65">
              <w:rPr>
                <w:rFonts w:ascii="Times New Roman" w:hAnsi="Times New Roman"/>
                <w:sz w:val="24"/>
              </w:rPr>
              <w:t xml:space="preserve"> v </w:t>
            </w:r>
            <w:r w:rsidRPr="00D85C65">
              <w:rPr>
                <w:rFonts w:ascii="Times New Roman" w:hAnsi="Times New Roman"/>
                <w:sz w:val="24"/>
              </w:rPr>
              <w:t>stĺpci 0060.</w:t>
            </w:r>
          </w:p>
        </w:tc>
      </w:tr>
      <w:tr w:rsidR="00235D9D" w:rsidRPr="00D85C65" w14:paraId="45292F56" w14:textId="77777777" w:rsidTr="00672D2A">
        <w:tc>
          <w:tcPr>
            <w:tcW w:w="1101" w:type="dxa"/>
          </w:tcPr>
          <w:p w14:paraId="40B987AC"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0080</w:t>
            </w:r>
          </w:p>
        </w:tc>
        <w:tc>
          <w:tcPr>
            <w:tcW w:w="8190" w:type="dxa"/>
          </w:tcPr>
          <w:p w14:paraId="2896A4F5" w14:textId="25D8EB9A"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REÁLNOU HODNOTOU OCENENÉ aktíva</w:t>
            </w:r>
            <w:r w:rsidR="00D85C65">
              <w:rPr>
                <w:rFonts w:ascii="Times New Roman" w:hAnsi="Times New Roman"/>
                <w:b/>
                <w:caps/>
                <w:sz w:val="24"/>
                <w:u w:val="single"/>
              </w:rPr>
              <w:t xml:space="preserve"> a </w:t>
            </w:r>
            <w:r w:rsidRPr="00D85C65">
              <w:rPr>
                <w:rFonts w:ascii="Times New Roman" w:hAnsi="Times New Roman"/>
                <w:b/>
                <w:caps/>
                <w:sz w:val="24"/>
                <w:u w:val="single"/>
              </w:rPr>
              <w:t>záväzky zahrnuté</w:t>
            </w:r>
            <w:r w:rsidR="00D85C65">
              <w:rPr>
                <w:rFonts w:ascii="Times New Roman" w:hAnsi="Times New Roman"/>
                <w:b/>
                <w:caps/>
                <w:sz w:val="24"/>
                <w:u w:val="single"/>
              </w:rPr>
              <w:t xml:space="preserve"> v </w:t>
            </w:r>
            <w:r w:rsidRPr="00D85C65">
              <w:rPr>
                <w:rFonts w:ascii="Times New Roman" w:hAnsi="Times New Roman"/>
                <w:b/>
                <w:caps/>
                <w:sz w:val="24"/>
                <w:u w:val="single"/>
              </w:rPr>
              <w:t>prahovej hodnote podľa ČLÁNKU 4 ods. 1</w:t>
            </w:r>
          </w:p>
          <w:p w14:paraId="36430BD1" w14:textId="7B896B78"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skutočne zahrnutých do výpočtu prahovej hodnoty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1 delegovaného nariadenia (EÚ) 2016/101.</w:t>
            </w:r>
          </w:p>
        </w:tc>
      </w:tr>
      <w:tr w:rsidR="00235D9D" w:rsidRPr="00D85C65" w14:paraId="55F86639" w14:textId="77777777" w:rsidTr="00672D2A">
        <w:tc>
          <w:tcPr>
            <w:tcW w:w="1101" w:type="dxa"/>
          </w:tcPr>
          <w:p w14:paraId="5809CAFC"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0090</w:t>
            </w:r>
          </w:p>
        </w:tc>
        <w:tc>
          <w:tcPr>
            <w:tcW w:w="8190" w:type="dxa"/>
          </w:tcPr>
          <w:p w14:paraId="0ABD1019" w14:textId="7777777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Z ČOHO: obchodná kniha</w:t>
            </w:r>
          </w:p>
          <w:p w14:paraId="121F4DCD" w14:textId="54033357" w:rsidR="00235D9D" w:rsidRPr="00D85C65" w:rsidRDefault="00B93FA1">
            <w:pPr>
              <w:spacing w:beforeLines="60" w:before="144" w:afterLines="60" w:after="144"/>
              <w:rPr>
                <w:rFonts w:ascii="Times New Roman" w:hAnsi="Times New Roman"/>
                <w:b/>
                <w:caps/>
                <w:sz w:val="24"/>
                <w:u w:val="single"/>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ako je vykázaná</w:t>
            </w:r>
            <w:r w:rsidR="00D85C65">
              <w:rPr>
                <w:rFonts w:ascii="Times New Roman" w:hAnsi="Times New Roman"/>
                <w:sz w:val="24"/>
              </w:rPr>
              <w:t xml:space="preserve"> v </w:t>
            </w:r>
            <w:r w:rsidRPr="00D85C65">
              <w:rPr>
                <w:rFonts w:ascii="Times New Roman" w:hAnsi="Times New Roman"/>
                <w:sz w:val="24"/>
              </w:rPr>
              <w:t>stĺpci 0080, zodpovedajúca pozíciám vedeným</w:t>
            </w:r>
            <w:r w:rsidR="00D85C65">
              <w:rPr>
                <w:rFonts w:ascii="Times New Roman" w:hAnsi="Times New Roman"/>
                <w:sz w:val="24"/>
              </w:rPr>
              <w:t xml:space="preserve"> v </w:t>
            </w:r>
            <w:r w:rsidRPr="00D85C65">
              <w:rPr>
                <w:rFonts w:ascii="Times New Roman" w:hAnsi="Times New Roman"/>
                <w:sz w:val="24"/>
              </w:rPr>
              <w:t>obchodnej knihe.</w:t>
            </w:r>
          </w:p>
        </w:tc>
      </w:tr>
    </w:tbl>
    <w:p w14:paraId="35766DC0" w14:textId="77777777" w:rsidR="00235D9D" w:rsidRPr="00D85C65" w:rsidRDefault="00235D9D">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235D9D" w:rsidRPr="00D85C65" w14:paraId="633F5FCB" w14:textId="77777777" w:rsidTr="00672D2A">
        <w:tc>
          <w:tcPr>
            <w:tcW w:w="9291" w:type="dxa"/>
            <w:gridSpan w:val="2"/>
            <w:shd w:val="clear" w:color="auto" w:fill="CCCCCC"/>
          </w:tcPr>
          <w:p w14:paraId="1B5D3ED0" w14:textId="77777777" w:rsidR="00235D9D" w:rsidRPr="00D85C65" w:rsidRDefault="00B93FA1">
            <w:pPr>
              <w:spacing w:beforeLines="60" w:before="144" w:afterLines="60" w:after="144"/>
              <w:rPr>
                <w:rFonts w:ascii="Times New Roman" w:hAnsi="Times New Roman"/>
                <w:b/>
                <w:sz w:val="24"/>
              </w:rPr>
            </w:pPr>
            <w:r w:rsidRPr="00D85C65">
              <w:rPr>
                <w:rFonts w:ascii="Times New Roman" w:hAnsi="Times New Roman"/>
                <w:b/>
                <w:sz w:val="24"/>
              </w:rPr>
              <w:t>Riadky</w:t>
            </w:r>
          </w:p>
        </w:tc>
      </w:tr>
      <w:tr w:rsidR="00235D9D" w:rsidRPr="00D85C65" w14:paraId="25BA169B" w14:textId="77777777" w:rsidTr="00672D2A">
        <w:tc>
          <w:tcPr>
            <w:tcW w:w="1101" w:type="dxa"/>
          </w:tcPr>
          <w:p w14:paraId="114ACB5C"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0010 – 0210</w:t>
            </w:r>
          </w:p>
        </w:tc>
        <w:tc>
          <w:tcPr>
            <w:tcW w:w="8190" w:type="dxa"/>
          </w:tcPr>
          <w:p w14:paraId="7D684F60" w14:textId="2F2FDD3F"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Vymedzenia týchto kategórií sa zhodujú</w:t>
            </w:r>
            <w:r w:rsidR="00D85C65">
              <w:rPr>
                <w:rFonts w:ascii="Times New Roman" w:hAnsi="Times New Roman"/>
                <w:sz w:val="24"/>
              </w:rPr>
              <w:t xml:space="preserve"> s </w:t>
            </w:r>
            <w:r w:rsidRPr="00D85C65">
              <w:rPr>
                <w:rFonts w:ascii="Times New Roman" w:hAnsi="Times New Roman"/>
                <w:sz w:val="24"/>
              </w:rPr>
              <w:t>príslušnými riadkami vzorov FINREP 1.1</w:t>
            </w:r>
            <w:r w:rsidR="00D85C65">
              <w:rPr>
                <w:rFonts w:ascii="Times New Roman" w:hAnsi="Times New Roman"/>
                <w:sz w:val="24"/>
              </w:rPr>
              <w:t xml:space="preserve"> a </w:t>
            </w:r>
            <w:r w:rsidRPr="00D85C65">
              <w:rPr>
                <w:rFonts w:ascii="Times New Roman" w:hAnsi="Times New Roman"/>
                <w:sz w:val="24"/>
              </w:rPr>
              <w:t xml:space="preserve">1.2. </w:t>
            </w:r>
          </w:p>
        </w:tc>
      </w:tr>
      <w:tr w:rsidR="00235D9D" w:rsidRPr="00D85C65" w14:paraId="2DA6A4C2" w14:textId="77777777" w:rsidTr="00672D2A">
        <w:tc>
          <w:tcPr>
            <w:tcW w:w="1101" w:type="dxa"/>
          </w:tcPr>
          <w:p w14:paraId="6F01EE2E"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0010</w:t>
            </w:r>
          </w:p>
        </w:tc>
        <w:tc>
          <w:tcPr>
            <w:tcW w:w="8190" w:type="dxa"/>
          </w:tcPr>
          <w:p w14:paraId="381B4B8E"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 REÁLNOU HODNOTOU OCENENÉ AKTÍVA A ZÁVÄZKY CELKOVE</w:t>
            </w:r>
          </w:p>
          <w:p w14:paraId="0A2E4F58" w14:textId="04859492"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Celková hodnota reálnou hodnotou ocenených aktív</w:t>
            </w:r>
            <w:r w:rsidR="00D85C65">
              <w:rPr>
                <w:rFonts w:ascii="Times New Roman" w:hAnsi="Times New Roman"/>
                <w:sz w:val="24"/>
              </w:rPr>
              <w:t xml:space="preserve"> a </w:t>
            </w:r>
            <w:r w:rsidRPr="00D85C65">
              <w:rPr>
                <w:rFonts w:ascii="Times New Roman" w:hAnsi="Times New Roman"/>
                <w:sz w:val="24"/>
              </w:rPr>
              <w:t>záväzkov vykázaných</w:t>
            </w:r>
            <w:r w:rsidR="00D85C65">
              <w:rPr>
                <w:rFonts w:ascii="Times New Roman" w:hAnsi="Times New Roman"/>
                <w:sz w:val="24"/>
              </w:rPr>
              <w:t xml:space="preserve"> v </w:t>
            </w:r>
            <w:r w:rsidRPr="00D85C65">
              <w:rPr>
                <w:rFonts w:ascii="Times New Roman" w:hAnsi="Times New Roman"/>
                <w:sz w:val="24"/>
              </w:rPr>
              <w:t>riadkoch 20 až 210.</w:t>
            </w:r>
          </w:p>
        </w:tc>
      </w:tr>
      <w:tr w:rsidR="00235D9D" w:rsidRPr="00D85C65" w14:paraId="7BB10580" w14:textId="77777777" w:rsidTr="00672D2A">
        <w:tc>
          <w:tcPr>
            <w:tcW w:w="1101" w:type="dxa"/>
          </w:tcPr>
          <w:p w14:paraId="6D0B6C62"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0020</w:t>
            </w:r>
          </w:p>
        </w:tc>
        <w:tc>
          <w:tcPr>
            <w:tcW w:w="8190" w:type="dxa"/>
          </w:tcPr>
          <w:p w14:paraId="6A49D77F"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 REÁLNOU HODNOTOU OCENENÉ AKTÍVA CELKOVO</w:t>
            </w:r>
          </w:p>
          <w:p w14:paraId="7907147B" w14:textId="567BD69E" w:rsidR="00D85C65" w:rsidRDefault="00B93FA1">
            <w:pPr>
              <w:spacing w:beforeLines="60" w:before="144" w:afterLines="60" w:after="144"/>
              <w:rPr>
                <w:rFonts w:ascii="Times New Roman" w:hAnsi="Times New Roman"/>
                <w:sz w:val="24"/>
              </w:rPr>
            </w:pPr>
            <w:r w:rsidRPr="00D85C65">
              <w:rPr>
                <w:rFonts w:ascii="Times New Roman" w:hAnsi="Times New Roman"/>
                <w:sz w:val="24"/>
              </w:rPr>
              <w:t>Celková hodnota reálnou hodnotou ocenených aktív vykázaných</w:t>
            </w:r>
            <w:r w:rsidR="00D85C65">
              <w:rPr>
                <w:rFonts w:ascii="Times New Roman" w:hAnsi="Times New Roman"/>
                <w:sz w:val="24"/>
              </w:rPr>
              <w:t xml:space="preserve"> v </w:t>
            </w:r>
            <w:r w:rsidRPr="00D85C65">
              <w:rPr>
                <w:rFonts w:ascii="Times New Roman" w:hAnsi="Times New Roman"/>
                <w:sz w:val="24"/>
              </w:rPr>
              <w:t>riadkoch 0030 až 0140</w:t>
            </w:r>
            <w:r w:rsidR="00D85C65">
              <w:rPr>
                <w:rFonts w:ascii="Times New Roman" w:hAnsi="Times New Roman"/>
                <w:sz w:val="24"/>
              </w:rPr>
              <w:t>.</w:t>
            </w:r>
          </w:p>
          <w:p w14:paraId="151DAF40" w14:textId="2D01D1D4"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Príslušné bunky riadkov 0030 až 0130 sa vykazujú</w:t>
            </w:r>
            <w:r w:rsidR="00D85C65">
              <w:rPr>
                <w:rFonts w:ascii="Times New Roman" w:hAnsi="Times New Roman"/>
                <w:sz w:val="24"/>
              </w:rPr>
              <w:t xml:space="preserve"> v </w:t>
            </w:r>
            <w:r w:rsidRPr="00D85C65">
              <w:rPr>
                <w:rFonts w:ascii="Times New Roman" w:hAnsi="Times New Roman"/>
                <w:sz w:val="24"/>
              </w:rPr>
              <w:t>súlade so vzorom FINREP F 01.01</w:t>
            </w:r>
            <w:r w:rsidR="00D85C65">
              <w:rPr>
                <w:rFonts w:ascii="Times New Roman" w:hAnsi="Times New Roman"/>
                <w:sz w:val="24"/>
              </w:rPr>
              <w:t xml:space="preserve"> v </w:t>
            </w:r>
            <w:r w:rsidRPr="00D85C65">
              <w:rPr>
                <w:rFonts w:ascii="Times New Roman" w:hAnsi="Times New Roman"/>
                <w:sz w:val="24"/>
              </w:rPr>
              <w:t>prílohe III</w:t>
            </w:r>
            <w:r w:rsidR="00D85C65">
              <w:rPr>
                <w:rFonts w:ascii="Times New Roman" w:hAnsi="Times New Roman"/>
                <w:sz w:val="24"/>
              </w:rPr>
              <w:t xml:space="preserve"> a </w:t>
            </w:r>
            <w:r w:rsidRPr="00D85C65">
              <w:rPr>
                <w:rFonts w:ascii="Times New Roman" w:hAnsi="Times New Roman"/>
                <w:sz w:val="24"/>
              </w:rPr>
              <w:t>prílohe IV</w:t>
            </w:r>
            <w:r w:rsidR="00D85C65">
              <w:rPr>
                <w:rFonts w:ascii="Times New Roman" w:hAnsi="Times New Roman"/>
                <w:sz w:val="24"/>
              </w:rPr>
              <w:t xml:space="preserve"> k </w:t>
            </w:r>
            <w:r w:rsidRPr="00D85C65">
              <w:rPr>
                <w:rFonts w:ascii="Times New Roman" w:hAnsi="Times New Roman"/>
                <w:sz w:val="24"/>
              </w:rPr>
              <w:t>tomuto vykonávaciemu nariadeniu</w:t>
            </w:r>
            <w:r w:rsidR="00D85C65">
              <w:rPr>
                <w:rFonts w:ascii="Times New Roman" w:hAnsi="Times New Roman"/>
                <w:sz w:val="24"/>
              </w:rPr>
              <w:t xml:space="preserve"> v </w:t>
            </w:r>
            <w:r w:rsidRPr="00D85C65">
              <w:rPr>
                <w:rFonts w:ascii="Times New Roman" w:hAnsi="Times New Roman"/>
                <w:sz w:val="24"/>
              </w:rPr>
              <w:t>závislosti od štandardov, ktoré sa na danú inštitúciu uplatňujú:</w:t>
            </w:r>
          </w:p>
          <w:p w14:paraId="2ED8DFAD" w14:textId="350D13B1" w:rsidR="00235D9D" w:rsidRP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IFRS, ako sú schválené Úniou pri uplatňovaní nariadenia Európskeho parlamentu</w:t>
            </w:r>
            <w:r w:rsidR="00D85C65">
              <w:rPr>
                <w:rFonts w:ascii="Times New Roman" w:hAnsi="Times New Roman"/>
                <w:sz w:val="24"/>
              </w:rPr>
              <w:t xml:space="preserve"> a </w:t>
            </w:r>
            <w:r w:rsidRPr="00D85C65">
              <w:rPr>
                <w:rFonts w:ascii="Times New Roman" w:hAnsi="Times New Roman"/>
                <w:sz w:val="24"/>
              </w:rPr>
              <w:t>Rady (ES) č. 1606/2002 („IFRS EÚ“)</w:t>
            </w:r>
            <w:r w:rsidRPr="00E13EA5">
              <w:rPr>
                <w:rStyle w:val="FootnoteReference"/>
                <w:rFonts w:ascii="Times New Roman" w:hAnsi="Times New Roman"/>
                <w:sz w:val="20"/>
                <w:szCs w:val="20"/>
                <w:vertAlign w:val="superscript"/>
              </w:rPr>
              <w:footnoteReference w:id="18"/>
            </w:r>
            <w:r w:rsidRPr="00D85C65">
              <w:rPr>
                <w:rFonts w:ascii="Times New Roman" w:hAnsi="Times New Roman"/>
                <w:sz w:val="24"/>
              </w:rPr>
              <w:t>,</w:t>
            </w:r>
          </w:p>
          <w:p w14:paraId="5109B6E1" w14:textId="5E118890" w:rsidR="00235D9D" w:rsidRP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národné účtovné štandardy zlučiteľné</w:t>
            </w:r>
            <w:r w:rsidR="00D85C65">
              <w:rPr>
                <w:rFonts w:ascii="Times New Roman" w:hAnsi="Times New Roman"/>
                <w:sz w:val="24"/>
              </w:rPr>
              <w:t xml:space="preserve"> s </w:t>
            </w:r>
            <w:r w:rsidRPr="00D85C65">
              <w:rPr>
                <w:rFonts w:ascii="Times New Roman" w:hAnsi="Times New Roman"/>
                <w:sz w:val="24"/>
              </w:rPr>
              <w:t>IFRS EÚ („národné GAAP zlučiteľné</w:t>
            </w:r>
            <w:r w:rsidR="00D85C65">
              <w:rPr>
                <w:rFonts w:ascii="Times New Roman" w:hAnsi="Times New Roman"/>
                <w:sz w:val="24"/>
              </w:rPr>
              <w:t xml:space="preserve"> s </w:t>
            </w:r>
            <w:r w:rsidRPr="00D85C65">
              <w:rPr>
                <w:rFonts w:ascii="Times New Roman" w:hAnsi="Times New Roman"/>
                <w:sz w:val="24"/>
              </w:rPr>
              <w:t>IFRS“); alebo</w:t>
            </w:r>
          </w:p>
          <w:p w14:paraId="7CB9B711" w14:textId="6C556155" w:rsidR="00235D9D" w:rsidRP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národné GAAP na základe BAD (FINREP „národné GAAP na základe BAD“).</w:t>
            </w:r>
          </w:p>
        </w:tc>
      </w:tr>
      <w:tr w:rsidR="00235D9D" w:rsidRPr="00D85C65" w14:paraId="052A7C17" w14:textId="77777777" w:rsidTr="00672D2A">
        <w:tc>
          <w:tcPr>
            <w:tcW w:w="1101" w:type="dxa"/>
          </w:tcPr>
          <w:p w14:paraId="512D094B"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lastRenderedPageBreak/>
              <w:t>0030</w:t>
            </w:r>
          </w:p>
        </w:tc>
        <w:tc>
          <w:tcPr>
            <w:tcW w:w="8190" w:type="dxa"/>
          </w:tcPr>
          <w:p w14:paraId="47CA5D95"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1.1.1. FINANČNÉ AKTÍVA DRŽANÉ NA OBCHODOVANIE</w:t>
            </w:r>
          </w:p>
          <w:p w14:paraId="39750714"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IFRS 9 dodatok A.</w:t>
            </w:r>
          </w:p>
          <w:p w14:paraId="599D5DF6" w14:textId="48FCC381"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050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66E93237" w14:textId="77777777" w:rsidTr="00672D2A">
        <w:tc>
          <w:tcPr>
            <w:tcW w:w="1101" w:type="dxa"/>
          </w:tcPr>
          <w:p w14:paraId="49E72A0A"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0040</w:t>
            </w:r>
          </w:p>
        </w:tc>
        <w:tc>
          <w:tcPr>
            <w:tcW w:w="8190" w:type="dxa"/>
          </w:tcPr>
          <w:p w14:paraId="44449780"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1.1.2. FINANČNÉ AKTÍVA NA OBCHODOVANIE</w:t>
            </w:r>
          </w:p>
          <w:p w14:paraId="390EEE54" w14:textId="77777777" w:rsidR="00D85C65" w:rsidRDefault="002F78EA">
            <w:pPr>
              <w:spacing w:beforeLines="60" w:before="144" w:afterLines="60" w:after="144"/>
              <w:rPr>
                <w:rFonts w:ascii="Times New Roman" w:hAnsi="Times New Roman"/>
                <w:sz w:val="24"/>
              </w:rPr>
            </w:pPr>
            <w:r w:rsidRPr="00D85C65">
              <w:rPr>
                <w:rFonts w:ascii="Times New Roman" w:hAnsi="Times New Roman"/>
                <w:sz w:val="24"/>
              </w:rPr>
              <w:t>Články 32</w:t>
            </w:r>
            <w:r w:rsidR="00D85C65">
              <w:rPr>
                <w:rFonts w:ascii="Times New Roman" w:hAnsi="Times New Roman"/>
                <w:sz w:val="24"/>
              </w:rPr>
              <w:t xml:space="preserve"> a </w:t>
            </w:r>
            <w:r w:rsidRPr="00D85C65">
              <w:rPr>
                <w:rFonts w:ascii="Times New Roman" w:hAnsi="Times New Roman"/>
                <w:sz w:val="24"/>
              </w:rPr>
              <w:t>33 BAD; č</w:t>
            </w:r>
            <w:r w:rsidRPr="00D85C65">
              <w:rPr>
                <w:rFonts w:ascii="Times New Roman" w:hAnsi="Times New Roman"/>
                <w:bCs/>
                <w:sz w:val="24"/>
              </w:rPr>
              <w:t>asť 1.17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1E2E07AD" w14:textId="5E4285AC"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091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6934103C" w14:textId="77777777" w:rsidTr="00672D2A">
        <w:tc>
          <w:tcPr>
            <w:tcW w:w="1101" w:type="dxa"/>
          </w:tcPr>
          <w:p w14:paraId="1B3854EE"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0050</w:t>
            </w:r>
          </w:p>
        </w:tc>
        <w:tc>
          <w:tcPr>
            <w:tcW w:w="8190" w:type="dxa"/>
          </w:tcPr>
          <w:p w14:paraId="1BA6C26B" w14:textId="77777777" w:rsid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1.1.3. NEOBCHODNÉ FINANČNÉ AKTÍVA POVINNE OCEŇOVANÉ REÁLNOU HODNOTOU CEZ VÝSLEDOK HOSPODÁRENIA</w:t>
            </w:r>
          </w:p>
          <w:p w14:paraId="4D76F23E" w14:textId="0CD9D400" w:rsidR="00D85C65" w:rsidRDefault="00B93FA1">
            <w:pPr>
              <w:spacing w:beforeLines="60" w:before="144" w:afterLines="60" w:after="144"/>
              <w:rPr>
                <w:rFonts w:ascii="Times New Roman" w:hAnsi="Times New Roman"/>
                <w:sz w:val="24"/>
              </w:rPr>
            </w:pPr>
            <w:r w:rsidRPr="00D85C65">
              <w:rPr>
                <w:rFonts w:ascii="Times New Roman" w:hAnsi="Times New Roman"/>
                <w:sz w:val="24"/>
              </w:rPr>
              <w:t>IFRS 7 ods. 8 písm. a) bod ii); IFRS 9 ods. 4.1.4</w:t>
            </w:r>
            <w:r w:rsidR="00D85C65">
              <w:rPr>
                <w:rFonts w:ascii="Times New Roman" w:hAnsi="Times New Roman"/>
                <w:sz w:val="24"/>
              </w:rPr>
              <w:t>.</w:t>
            </w:r>
          </w:p>
          <w:p w14:paraId="32CC7869" w14:textId="0A1EB24E"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096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0B21D573" w14:textId="77777777" w:rsidTr="00672D2A">
        <w:tc>
          <w:tcPr>
            <w:tcW w:w="1101" w:type="dxa"/>
          </w:tcPr>
          <w:p w14:paraId="0D5FC191"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0060</w:t>
            </w:r>
          </w:p>
        </w:tc>
        <w:tc>
          <w:tcPr>
            <w:tcW w:w="8190" w:type="dxa"/>
          </w:tcPr>
          <w:p w14:paraId="2D917D24"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1.1.4. FINANČNÉ AKTÍVA OCEŇOVANÉ REÁLNOU HODNOTOU CEZ VÝSLEDOK HOSPODÁRENIA</w:t>
            </w:r>
          </w:p>
          <w:p w14:paraId="417AA106" w14:textId="7994495F"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IFRS 7 ods. 8 písm. a) bod i); IFRS 9 ods. 4.1.5; článok 8 ods. 1 písm. a)</w:t>
            </w:r>
            <w:r w:rsidR="00D85C65">
              <w:rPr>
                <w:rFonts w:ascii="Times New Roman" w:hAnsi="Times New Roman"/>
                <w:sz w:val="24"/>
              </w:rPr>
              <w:t xml:space="preserve"> a </w:t>
            </w:r>
            <w:r w:rsidRPr="00D85C65">
              <w:rPr>
                <w:rFonts w:ascii="Times New Roman" w:hAnsi="Times New Roman"/>
                <w:sz w:val="24"/>
              </w:rPr>
              <w:t>článok 8 ods. 6 AD.</w:t>
            </w:r>
          </w:p>
          <w:p w14:paraId="18803FF2" w14:textId="64A0A2BA"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100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31AF53C2" w14:textId="77777777" w:rsidTr="00672D2A">
        <w:tc>
          <w:tcPr>
            <w:tcW w:w="1101" w:type="dxa"/>
          </w:tcPr>
          <w:p w14:paraId="2C064889"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0070</w:t>
            </w:r>
          </w:p>
        </w:tc>
        <w:tc>
          <w:tcPr>
            <w:tcW w:w="8190" w:type="dxa"/>
          </w:tcPr>
          <w:p w14:paraId="08198C9C"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1.1.5.</w:t>
            </w:r>
            <w:r w:rsidRPr="00D85C65">
              <w:rPr>
                <w:sz w:val="24"/>
                <w:u w:val="single"/>
              </w:rPr>
              <w:t xml:space="preserve"> </w:t>
            </w:r>
            <w:r w:rsidRPr="00D85C65">
              <w:rPr>
                <w:rFonts w:ascii="Times New Roman" w:hAnsi="Times New Roman"/>
                <w:b/>
                <w:sz w:val="24"/>
                <w:u w:val="single"/>
              </w:rPr>
              <w:t>FINANČNÉ AKTÍVA OCEŇOVANÉ REÁLNOU HODNOTOU CEZ INÝ KOMPLEXNÝ ÚČTOVNÝ VÝSLEDOK</w:t>
            </w:r>
          </w:p>
          <w:p w14:paraId="5733F22B"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IFRS 7 ods. 8 písm. h); IFRS 9 ods. 4.1.2A.</w:t>
            </w:r>
          </w:p>
          <w:p w14:paraId="7EDE4FFB" w14:textId="7E643A4D"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141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1BF5D773" w14:textId="77777777" w:rsidTr="00672D2A">
        <w:tc>
          <w:tcPr>
            <w:tcW w:w="1101" w:type="dxa"/>
          </w:tcPr>
          <w:p w14:paraId="2E2D11D2"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0080</w:t>
            </w:r>
          </w:p>
        </w:tc>
        <w:tc>
          <w:tcPr>
            <w:tcW w:w="8190" w:type="dxa"/>
          </w:tcPr>
          <w:p w14:paraId="12115EB0"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1.1.6. NEOBCHODNÉ NEDERIVÁTOVÉ FINANČNÉ AKTÍVA OCEŇOVANÉ REÁLNOU HODNOTOU CEZ VÝSLEDOK HOSPODÁRENIA</w:t>
            </w:r>
          </w:p>
          <w:p w14:paraId="69F2A020" w14:textId="18CC69C2" w:rsidR="00235D9D" w:rsidRPr="00D85C65" w:rsidRDefault="002F78EA">
            <w:pPr>
              <w:spacing w:beforeLines="60" w:before="144" w:afterLines="60" w:after="144"/>
              <w:rPr>
                <w:rFonts w:ascii="Times New Roman" w:hAnsi="Times New Roman"/>
                <w:b/>
                <w:sz w:val="24"/>
                <w:u w:val="single"/>
              </w:rPr>
            </w:pPr>
            <w:r w:rsidRPr="00D85C65">
              <w:rPr>
                <w:rFonts w:ascii="Times New Roman" w:hAnsi="Times New Roman"/>
                <w:sz w:val="24"/>
              </w:rPr>
              <w:t>Článok 36 ods. 2 BAD. Informácie vykazované</w:t>
            </w:r>
            <w:r w:rsidR="00D85C65">
              <w:rPr>
                <w:rFonts w:ascii="Times New Roman" w:hAnsi="Times New Roman"/>
                <w:sz w:val="24"/>
              </w:rPr>
              <w:t xml:space="preserve"> v </w:t>
            </w:r>
            <w:r w:rsidRPr="00D85C65">
              <w:rPr>
                <w:rFonts w:ascii="Times New Roman" w:hAnsi="Times New Roman"/>
                <w:sz w:val="24"/>
              </w:rPr>
              <w:t>tomto riadku zodpovedajú riadku 171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0AA7E1B9" w14:textId="77777777" w:rsidTr="00672D2A">
        <w:tc>
          <w:tcPr>
            <w:tcW w:w="1101" w:type="dxa"/>
          </w:tcPr>
          <w:p w14:paraId="415718DD"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0090</w:t>
            </w:r>
          </w:p>
        </w:tc>
        <w:tc>
          <w:tcPr>
            <w:tcW w:w="8190" w:type="dxa"/>
          </w:tcPr>
          <w:p w14:paraId="4561B811"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1.1.7. NEOBCHODNÉ NEDERIVÁTOVÉ FINANČNÉ AKTÍVA OCEŇOVANÉ REÁLNOU HODNOTOU VO VLASTNOM IMANÍ</w:t>
            </w:r>
          </w:p>
          <w:p w14:paraId="6FD051D2" w14:textId="6A25D031" w:rsidR="00D85C65" w:rsidRDefault="002F78EA">
            <w:pPr>
              <w:spacing w:beforeLines="60" w:before="144" w:afterLines="60" w:after="144"/>
              <w:rPr>
                <w:rFonts w:ascii="Times New Roman" w:hAnsi="Times New Roman"/>
                <w:sz w:val="24"/>
              </w:rPr>
            </w:pPr>
            <w:r w:rsidRPr="00D85C65">
              <w:rPr>
                <w:rFonts w:ascii="Times New Roman" w:hAnsi="Times New Roman"/>
                <w:sz w:val="24"/>
              </w:rPr>
              <w:t>Článok 8 ods. 1 písm. a)</w:t>
            </w:r>
            <w:r w:rsidR="00D85C65">
              <w:rPr>
                <w:rFonts w:ascii="Times New Roman" w:hAnsi="Times New Roman"/>
                <w:sz w:val="24"/>
              </w:rPr>
              <w:t xml:space="preserve"> a </w:t>
            </w:r>
            <w:r w:rsidRPr="00D85C65">
              <w:rPr>
                <w:rFonts w:ascii="Times New Roman" w:hAnsi="Times New Roman"/>
                <w:sz w:val="24"/>
              </w:rPr>
              <w:t>článok 8 ods. 8 AD</w:t>
            </w:r>
            <w:r w:rsidR="00D85C65">
              <w:rPr>
                <w:rFonts w:ascii="Times New Roman" w:hAnsi="Times New Roman"/>
                <w:sz w:val="24"/>
              </w:rPr>
              <w:t>.</w:t>
            </w:r>
          </w:p>
          <w:p w14:paraId="1F974E69" w14:textId="670693F3"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175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2EACAF1F" w14:textId="77777777" w:rsidTr="00672D2A">
        <w:tc>
          <w:tcPr>
            <w:tcW w:w="1101" w:type="dxa"/>
          </w:tcPr>
          <w:p w14:paraId="658B25EF"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0100</w:t>
            </w:r>
          </w:p>
        </w:tc>
        <w:tc>
          <w:tcPr>
            <w:tcW w:w="8190" w:type="dxa"/>
          </w:tcPr>
          <w:p w14:paraId="263B36B7"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1.1.8. OSTATNÉ NEOBCHODNÉ NEDERIVÁTOVÉ FINANČNÉ AKTÍVA</w:t>
            </w:r>
          </w:p>
          <w:p w14:paraId="48AECBBE" w14:textId="651AC41B"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lastRenderedPageBreak/>
              <w:t xml:space="preserve">Článok 37 BAD; Článok 12 ods. 7 AD; </w:t>
            </w:r>
            <w:r w:rsidRPr="00D85C65">
              <w:rPr>
                <w:rFonts w:ascii="Times New Roman" w:hAnsi="Times New Roman"/>
                <w:bCs/>
                <w:sz w:val="24"/>
              </w:rPr>
              <w:t>časť 1.20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74CB19E0" w14:textId="3ACD4C65"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234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6E497EB9" w14:textId="77777777" w:rsidTr="00672D2A">
        <w:tc>
          <w:tcPr>
            <w:tcW w:w="1101" w:type="dxa"/>
          </w:tcPr>
          <w:p w14:paraId="31C6FEC5"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lastRenderedPageBreak/>
              <w:t>0110</w:t>
            </w:r>
          </w:p>
        </w:tc>
        <w:tc>
          <w:tcPr>
            <w:tcW w:w="8190" w:type="dxa"/>
          </w:tcPr>
          <w:p w14:paraId="3A28A27C"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1.1.9. DERIVÁTY – ÚČTOVANIE HEDŽINGU</w:t>
            </w:r>
          </w:p>
          <w:p w14:paraId="43EE3D7F" w14:textId="13915AA3"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 xml:space="preserve">IFRS 9 ods. 6.2.1; </w:t>
            </w:r>
            <w:r w:rsidRPr="00D85C65">
              <w:rPr>
                <w:rFonts w:ascii="Times New Roman" w:hAnsi="Times New Roman"/>
                <w:bCs/>
                <w:sz w:val="24"/>
              </w:rPr>
              <w:t>časť 1.22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r w:rsidRPr="00D85C65">
              <w:rPr>
                <w:rFonts w:ascii="Times New Roman" w:hAnsi="Times New Roman"/>
                <w:sz w:val="24"/>
              </w:rPr>
              <w:t>; článok 8 ods. 1 písm. a)</w:t>
            </w:r>
            <w:r w:rsidR="00D85C65">
              <w:rPr>
                <w:rFonts w:ascii="Times New Roman" w:hAnsi="Times New Roman"/>
                <w:sz w:val="24"/>
              </w:rPr>
              <w:t xml:space="preserve"> a </w:t>
            </w:r>
            <w:r w:rsidRPr="00D85C65">
              <w:rPr>
                <w:rFonts w:ascii="Times New Roman" w:hAnsi="Times New Roman"/>
                <w:sz w:val="24"/>
              </w:rPr>
              <w:t>článok 8 ods. 6</w:t>
            </w:r>
            <w:r w:rsidR="00D85C65">
              <w:rPr>
                <w:rFonts w:ascii="Times New Roman" w:hAnsi="Times New Roman"/>
                <w:sz w:val="24"/>
              </w:rPr>
              <w:t xml:space="preserve"> a </w:t>
            </w:r>
            <w:r w:rsidRPr="00D85C65">
              <w:rPr>
                <w:rFonts w:ascii="Times New Roman" w:hAnsi="Times New Roman"/>
                <w:sz w:val="24"/>
              </w:rPr>
              <w:t>8 AD; IAS 39 ods. 9.</w:t>
            </w:r>
          </w:p>
          <w:p w14:paraId="25BA11CC" w14:textId="4F00CA6F"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240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302B88CB" w14:textId="77777777" w:rsidTr="00672D2A">
        <w:tc>
          <w:tcPr>
            <w:tcW w:w="1101" w:type="dxa"/>
          </w:tcPr>
          <w:p w14:paraId="148F6137" w14:textId="77777777" w:rsidR="00235D9D" w:rsidRPr="00D85C65" w:rsidDel="006529A1" w:rsidRDefault="001924F4">
            <w:pPr>
              <w:spacing w:beforeLines="60" w:before="144" w:afterLines="60" w:after="144"/>
              <w:rPr>
                <w:rFonts w:ascii="Times New Roman" w:hAnsi="Times New Roman"/>
                <w:sz w:val="24"/>
              </w:rPr>
            </w:pPr>
            <w:r w:rsidRPr="00D85C65">
              <w:rPr>
                <w:rFonts w:ascii="Times New Roman" w:hAnsi="Times New Roman"/>
                <w:sz w:val="24"/>
              </w:rPr>
              <w:t>0120</w:t>
            </w:r>
          </w:p>
        </w:tc>
        <w:tc>
          <w:tcPr>
            <w:tcW w:w="8190" w:type="dxa"/>
          </w:tcPr>
          <w:p w14:paraId="5B9144EF" w14:textId="5891C9DA"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1.1.10. ZMENY REÁLNEJ HODNOTY HEDŽOVANÝCH POLOŽIEK</w:t>
            </w:r>
            <w:r w:rsidR="00D85C65">
              <w:rPr>
                <w:rFonts w:ascii="Times New Roman" w:hAnsi="Times New Roman"/>
                <w:b/>
                <w:sz w:val="24"/>
                <w:u w:val="single"/>
              </w:rPr>
              <w:t xml:space="preserve"> V </w:t>
            </w:r>
            <w:r w:rsidRPr="00D85C65">
              <w:rPr>
                <w:rFonts w:ascii="Times New Roman" w:hAnsi="Times New Roman"/>
                <w:b/>
                <w:sz w:val="24"/>
                <w:u w:val="single"/>
              </w:rPr>
              <w:t>HEDŽINGU ÚROKOVÉHO RIZIKA PORTFÓLIA</w:t>
            </w:r>
          </w:p>
          <w:p w14:paraId="16ED7EF0" w14:textId="29164F95"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IAS 39 ods. 89A písm. a); IFRS 9 ods. 6.5.8; Článok 8 ods. 5</w:t>
            </w:r>
            <w:r w:rsidR="00D85C65">
              <w:rPr>
                <w:rFonts w:ascii="Times New Roman" w:hAnsi="Times New Roman"/>
                <w:sz w:val="24"/>
              </w:rPr>
              <w:t xml:space="preserve"> a </w:t>
            </w:r>
            <w:r w:rsidRPr="00D85C65">
              <w:rPr>
                <w:rFonts w:ascii="Times New Roman" w:hAnsi="Times New Roman"/>
                <w:sz w:val="24"/>
              </w:rPr>
              <w:t>6 AD. Informácie vykazované</w:t>
            </w:r>
            <w:r w:rsidR="00D85C65">
              <w:rPr>
                <w:rFonts w:ascii="Times New Roman" w:hAnsi="Times New Roman"/>
                <w:sz w:val="24"/>
              </w:rPr>
              <w:t xml:space="preserve"> v </w:t>
            </w:r>
            <w:r w:rsidRPr="00D85C65">
              <w:rPr>
                <w:rFonts w:ascii="Times New Roman" w:hAnsi="Times New Roman"/>
                <w:sz w:val="24"/>
              </w:rPr>
              <w:t>tomto riadku zodpovedajú riadku 250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2A7C4243" w14:textId="77777777" w:rsidTr="00672D2A">
        <w:tc>
          <w:tcPr>
            <w:tcW w:w="1101" w:type="dxa"/>
          </w:tcPr>
          <w:p w14:paraId="112B91CA"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0130</w:t>
            </w:r>
          </w:p>
        </w:tc>
        <w:tc>
          <w:tcPr>
            <w:tcW w:w="8190" w:type="dxa"/>
          </w:tcPr>
          <w:p w14:paraId="4F84B525"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1.1.11. INVESTÍCIE DO DCÉRSKYCH SPOLOČNOSTÍ, SPOLOČNÝCH PODNIKOV A PRIDRUŽENÝCH PODNIKOV</w:t>
            </w:r>
          </w:p>
          <w:p w14:paraId="31262036" w14:textId="54B7D1D8"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 xml:space="preserve">IAS 1 ods. 54 písm. e); </w:t>
            </w:r>
            <w:r w:rsidRPr="00D85C65">
              <w:rPr>
                <w:rFonts w:ascii="Times New Roman" w:hAnsi="Times New Roman"/>
                <w:bCs/>
                <w:sz w:val="24"/>
              </w:rPr>
              <w:t>časti 1.21</w:t>
            </w:r>
            <w:r w:rsidR="00D85C65">
              <w:rPr>
                <w:rFonts w:ascii="Times New Roman" w:hAnsi="Times New Roman"/>
                <w:bCs/>
                <w:sz w:val="24"/>
              </w:rPr>
              <w:t xml:space="preserve"> a </w:t>
            </w:r>
            <w:r w:rsidRPr="00D85C65">
              <w:rPr>
                <w:rFonts w:ascii="Times New Roman" w:hAnsi="Times New Roman"/>
                <w:bCs/>
                <w:sz w:val="24"/>
              </w:rPr>
              <w:t>2.4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r w:rsidRPr="00D85C65">
              <w:rPr>
                <w:rFonts w:ascii="Times New Roman" w:hAnsi="Times New Roman"/>
                <w:sz w:val="24"/>
              </w:rPr>
              <w:t>; článok 4 ods. 7</w:t>
            </w:r>
            <w:r w:rsidR="00D85C65">
              <w:rPr>
                <w:rFonts w:ascii="Times New Roman" w:hAnsi="Times New Roman"/>
                <w:sz w:val="24"/>
              </w:rPr>
              <w:t xml:space="preserve"> a </w:t>
            </w:r>
            <w:r w:rsidRPr="00D85C65">
              <w:rPr>
                <w:rFonts w:ascii="Times New Roman" w:hAnsi="Times New Roman"/>
                <w:sz w:val="24"/>
              </w:rPr>
              <w:t>8 BAD; článok 2 ods. 2 AD.</w:t>
            </w:r>
          </w:p>
          <w:p w14:paraId="1EAE944E" w14:textId="5ADA8955"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260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7078A652" w14:textId="77777777" w:rsidTr="00672D2A">
        <w:tc>
          <w:tcPr>
            <w:tcW w:w="1101" w:type="dxa"/>
          </w:tcPr>
          <w:p w14:paraId="7C06DA94"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0140</w:t>
            </w:r>
          </w:p>
        </w:tc>
        <w:tc>
          <w:tcPr>
            <w:tcW w:w="8190" w:type="dxa"/>
          </w:tcPr>
          <w:p w14:paraId="2DFC6298"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1.1.12. (-) HAIRCUTY PRE OBCHODNÉ AKTÍVA OCEŇOVANÉ REÁLNOU HODNOTOU</w:t>
            </w:r>
          </w:p>
          <w:p w14:paraId="465F1A64" w14:textId="667C3A62" w:rsidR="00235D9D" w:rsidRPr="00D85C65" w:rsidRDefault="002F78EA">
            <w:pPr>
              <w:spacing w:beforeLines="60" w:before="144" w:afterLines="60" w:after="144"/>
              <w:rPr>
                <w:rFonts w:ascii="Times New Roman" w:hAnsi="Times New Roman"/>
                <w:sz w:val="24"/>
              </w:rPr>
            </w:pPr>
            <w:r w:rsidRPr="00D85C65">
              <w:rPr>
                <w:rFonts w:ascii="Times New Roman" w:hAnsi="Times New Roman"/>
                <w:bCs/>
                <w:sz w:val="24"/>
              </w:rPr>
              <w:t>Časť 1.29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49843882" w14:textId="2749874A"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375 vzoru F 01.01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0F04ACD5" w14:textId="77777777" w:rsidTr="00672D2A">
        <w:tc>
          <w:tcPr>
            <w:tcW w:w="1101" w:type="dxa"/>
          </w:tcPr>
          <w:p w14:paraId="5F91827C"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0150</w:t>
            </w:r>
          </w:p>
        </w:tc>
        <w:tc>
          <w:tcPr>
            <w:tcW w:w="8190" w:type="dxa"/>
          </w:tcPr>
          <w:p w14:paraId="651BD8B6" w14:textId="77777777" w:rsid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 REÁLNOU HODNOTOU OCENENÉ ZÁVÄZKY CELKOVO</w:t>
            </w:r>
          </w:p>
          <w:p w14:paraId="17ECB2B0" w14:textId="415E98E1"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Celková hodnota reálnou hodnotou ocenených záväzkov vykázaných</w:t>
            </w:r>
            <w:r w:rsidR="00D85C65">
              <w:rPr>
                <w:rFonts w:ascii="Times New Roman" w:hAnsi="Times New Roman"/>
                <w:sz w:val="24"/>
              </w:rPr>
              <w:t xml:space="preserve"> v </w:t>
            </w:r>
            <w:r w:rsidRPr="00D85C65">
              <w:rPr>
                <w:rFonts w:ascii="Times New Roman" w:hAnsi="Times New Roman"/>
                <w:sz w:val="24"/>
              </w:rPr>
              <w:t>riadkoch 0160 až 0210.</w:t>
            </w:r>
          </w:p>
          <w:p w14:paraId="77A10F48" w14:textId="5690EB8A" w:rsidR="00D85C65" w:rsidRDefault="00B93FA1">
            <w:pPr>
              <w:spacing w:beforeLines="60" w:before="144" w:afterLines="60" w:after="144"/>
              <w:rPr>
                <w:rFonts w:ascii="Times New Roman" w:hAnsi="Times New Roman"/>
                <w:sz w:val="24"/>
              </w:rPr>
            </w:pPr>
            <w:r w:rsidRPr="00D85C65">
              <w:rPr>
                <w:rFonts w:ascii="Times New Roman" w:hAnsi="Times New Roman"/>
                <w:sz w:val="24"/>
              </w:rPr>
              <w:t>Príslušné bunky riadkov 0150 až 0190 sa vykazujú</w:t>
            </w:r>
            <w:r w:rsidR="00D85C65">
              <w:rPr>
                <w:rFonts w:ascii="Times New Roman" w:hAnsi="Times New Roman"/>
                <w:sz w:val="24"/>
              </w:rPr>
              <w:t xml:space="preserve"> v </w:t>
            </w:r>
            <w:r w:rsidRPr="00D85C65">
              <w:rPr>
                <w:rFonts w:ascii="Times New Roman" w:hAnsi="Times New Roman"/>
                <w:sz w:val="24"/>
              </w:rPr>
              <w:t>súlade so vzorom FINREP F 01.02</w:t>
            </w:r>
            <w:r w:rsidR="00D85C65">
              <w:rPr>
                <w:rFonts w:ascii="Times New Roman" w:hAnsi="Times New Roman"/>
                <w:sz w:val="24"/>
              </w:rPr>
              <w:t xml:space="preserve"> v </w:t>
            </w:r>
            <w:r w:rsidRPr="00D85C65">
              <w:rPr>
                <w:rFonts w:ascii="Times New Roman" w:hAnsi="Times New Roman"/>
                <w:sz w:val="24"/>
              </w:rPr>
              <w:t>prílohe III</w:t>
            </w:r>
            <w:r w:rsidR="00D85C65">
              <w:rPr>
                <w:rFonts w:ascii="Times New Roman" w:hAnsi="Times New Roman"/>
                <w:sz w:val="24"/>
              </w:rPr>
              <w:t xml:space="preserve"> a </w:t>
            </w:r>
            <w:r w:rsidRPr="00D85C65">
              <w:rPr>
                <w:rFonts w:ascii="Times New Roman" w:hAnsi="Times New Roman"/>
                <w:sz w:val="24"/>
              </w:rPr>
              <w:t>prílohe IV</w:t>
            </w:r>
            <w:r w:rsidR="00D85C65">
              <w:rPr>
                <w:rFonts w:ascii="Times New Roman" w:hAnsi="Times New Roman"/>
                <w:sz w:val="24"/>
              </w:rPr>
              <w:t xml:space="preserve"> k </w:t>
            </w:r>
            <w:r w:rsidRPr="00D85C65">
              <w:rPr>
                <w:rFonts w:ascii="Times New Roman" w:hAnsi="Times New Roman"/>
                <w:sz w:val="24"/>
              </w:rPr>
              <w:t>tomuto vykonávaciemu nariadeniu</w:t>
            </w:r>
            <w:r w:rsidR="00D85C65">
              <w:rPr>
                <w:rFonts w:ascii="Times New Roman" w:hAnsi="Times New Roman"/>
                <w:sz w:val="24"/>
              </w:rPr>
              <w:t xml:space="preserve"> v </w:t>
            </w:r>
            <w:r w:rsidRPr="00D85C65">
              <w:rPr>
                <w:rFonts w:ascii="Times New Roman" w:hAnsi="Times New Roman"/>
                <w:sz w:val="24"/>
              </w:rPr>
              <w:t>závislosti od štandardov, ktoré sa na danú inštitúciu uplatňujú</w:t>
            </w:r>
            <w:r w:rsidR="00D85C65">
              <w:rPr>
                <w:rFonts w:ascii="Times New Roman" w:hAnsi="Times New Roman"/>
                <w:sz w:val="24"/>
              </w:rPr>
              <w:t>:</w:t>
            </w:r>
          </w:p>
          <w:p w14:paraId="1ACCE3E8" w14:textId="5563FB00" w:rsidR="00235D9D" w:rsidRP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IFRS, ako sú schválené Úniou pri uplatňovaní nariadenia (ES) č. 1606/2002 („IFRS EÚ“),</w:t>
            </w:r>
          </w:p>
          <w:p w14:paraId="4B5E11B3" w14:textId="77777777" w:rsid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národné účtovné štandardy zlučiteľné</w:t>
            </w:r>
            <w:r w:rsidR="00D85C65">
              <w:rPr>
                <w:rFonts w:ascii="Times New Roman" w:hAnsi="Times New Roman"/>
                <w:sz w:val="24"/>
              </w:rPr>
              <w:t xml:space="preserve"> s </w:t>
            </w:r>
            <w:r w:rsidRPr="00D85C65">
              <w:rPr>
                <w:rFonts w:ascii="Times New Roman" w:hAnsi="Times New Roman"/>
                <w:sz w:val="24"/>
              </w:rPr>
              <w:t>IFRS EÚ („národné GAAP zlučiteľné</w:t>
            </w:r>
            <w:r w:rsidR="00D85C65">
              <w:rPr>
                <w:rFonts w:ascii="Times New Roman" w:hAnsi="Times New Roman"/>
                <w:sz w:val="24"/>
              </w:rPr>
              <w:t xml:space="preserve"> s </w:t>
            </w:r>
            <w:r w:rsidRPr="00D85C65">
              <w:rPr>
                <w:rFonts w:ascii="Times New Roman" w:hAnsi="Times New Roman"/>
                <w:sz w:val="24"/>
              </w:rPr>
              <w:t>IFRS“)</w:t>
            </w:r>
          </w:p>
          <w:p w14:paraId="35DA33DE" w14:textId="677D421C" w:rsidR="00235D9D" w:rsidRPr="00D85C65" w:rsidRDefault="00B93FA1">
            <w:pPr>
              <w:pStyle w:val="ListParagraph"/>
              <w:numPr>
                <w:ilvl w:val="0"/>
                <w:numId w:val="30"/>
              </w:numPr>
              <w:spacing w:beforeLines="60" w:before="144" w:afterLines="60" w:after="144"/>
              <w:rPr>
                <w:rFonts w:ascii="Times New Roman" w:hAnsi="Times New Roman"/>
                <w:sz w:val="24"/>
              </w:rPr>
            </w:pPr>
            <w:r w:rsidRPr="00D85C65">
              <w:rPr>
                <w:rFonts w:ascii="Times New Roman" w:hAnsi="Times New Roman"/>
                <w:sz w:val="24"/>
              </w:rPr>
              <w:t>alebo národné GAAP na základe BAD (FINREP „národné GAAP na základe BAD“).</w:t>
            </w:r>
          </w:p>
        </w:tc>
      </w:tr>
      <w:tr w:rsidR="00235D9D" w:rsidRPr="00D85C65" w14:paraId="1D4C9290" w14:textId="77777777" w:rsidTr="00672D2A">
        <w:tc>
          <w:tcPr>
            <w:tcW w:w="1101" w:type="dxa"/>
          </w:tcPr>
          <w:p w14:paraId="41673169"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lastRenderedPageBreak/>
              <w:t>0160</w:t>
            </w:r>
          </w:p>
        </w:tc>
        <w:tc>
          <w:tcPr>
            <w:tcW w:w="8190" w:type="dxa"/>
          </w:tcPr>
          <w:p w14:paraId="2EDF4E4E"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1.2.1. FINANČNÉ ZÁVÄZKY DRŽANÉ NA OBCHODOVANIE</w:t>
            </w:r>
          </w:p>
          <w:p w14:paraId="47CBD2EA" w14:textId="77777777"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IFRS 7 ods. 8 písm. e) bod ii); IFRS 9 dodatok B ods. A.6.</w:t>
            </w:r>
          </w:p>
          <w:p w14:paraId="716726E8" w14:textId="3C10605A"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010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0D80E4B6" w14:textId="77777777" w:rsidTr="00672D2A">
        <w:tc>
          <w:tcPr>
            <w:tcW w:w="1101" w:type="dxa"/>
          </w:tcPr>
          <w:p w14:paraId="1D9F5098"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0170</w:t>
            </w:r>
          </w:p>
        </w:tc>
        <w:tc>
          <w:tcPr>
            <w:tcW w:w="8190" w:type="dxa"/>
          </w:tcPr>
          <w:p w14:paraId="03E38621"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1.2.2. FINANČNÉ ZÁVÄZKY NA OBCHODOVANIE</w:t>
            </w:r>
          </w:p>
          <w:p w14:paraId="4A9D4839" w14:textId="0A52881D"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t>Článok 8 ods. 1 písm. a)</w:t>
            </w:r>
            <w:r w:rsidR="00D85C65">
              <w:rPr>
                <w:rFonts w:ascii="Times New Roman" w:hAnsi="Times New Roman"/>
                <w:sz w:val="24"/>
              </w:rPr>
              <w:t xml:space="preserve"> a </w:t>
            </w:r>
            <w:r w:rsidRPr="00D85C65">
              <w:rPr>
                <w:rFonts w:ascii="Times New Roman" w:hAnsi="Times New Roman"/>
                <w:sz w:val="24"/>
              </w:rPr>
              <w:t>článok 8 ods. 3</w:t>
            </w:r>
            <w:r w:rsidR="00D85C65">
              <w:rPr>
                <w:rFonts w:ascii="Times New Roman" w:hAnsi="Times New Roman"/>
                <w:sz w:val="24"/>
              </w:rPr>
              <w:t xml:space="preserve"> a </w:t>
            </w:r>
            <w:r w:rsidRPr="00D85C65">
              <w:rPr>
                <w:rFonts w:ascii="Times New Roman" w:hAnsi="Times New Roman"/>
                <w:sz w:val="24"/>
              </w:rPr>
              <w:t>6 AD.</w:t>
            </w:r>
          </w:p>
          <w:p w14:paraId="0EE8A14E" w14:textId="7A0A5F72"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061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54EA6CB4" w14:textId="77777777" w:rsidTr="00672D2A">
        <w:tc>
          <w:tcPr>
            <w:tcW w:w="1101" w:type="dxa"/>
          </w:tcPr>
          <w:p w14:paraId="24D2D683"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0180</w:t>
            </w:r>
          </w:p>
        </w:tc>
        <w:tc>
          <w:tcPr>
            <w:tcW w:w="8190" w:type="dxa"/>
          </w:tcPr>
          <w:p w14:paraId="477C2280"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1.2.3. FINANČNÉ ZÁVÄZKY URČENÉ ZA OCEŇOVANÉ REÁLNOU HODNOTOU CEZ VÝSLEDOK HOSPODÁRENIA</w:t>
            </w:r>
          </w:p>
          <w:p w14:paraId="17E4566D" w14:textId="48ED6655" w:rsidR="00D85C65" w:rsidRDefault="00B93FA1">
            <w:pPr>
              <w:spacing w:beforeLines="60" w:before="144" w:afterLines="60" w:after="144"/>
              <w:rPr>
                <w:rFonts w:ascii="Times New Roman" w:hAnsi="Times New Roman"/>
                <w:sz w:val="24"/>
              </w:rPr>
            </w:pPr>
            <w:r w:rsidRPr="00D85C65">
              <w:rPr>
                <w:rFonts w:ascii="Times New Roman" w:hAnsi="Times New Roman"/>
                <w:sz w:val="24"/>
              </w:rPr>
              <w:t>IFRS 7 ods. 8 písm. e) bod i); IFRS 9 ods. 4.2.2;</w:t>
            </w:r>
            <w:r w:rsidRPr="00D85C65">
              <w:rPr>
                <w:sz w:val="24"/>
              </w:rPr>
              <w:t xml:space="preserve"> </w:t>
            </w:r>
            <w:r w:rsidRPr="00D85C65">
              <w:rPr>
                <w:rFonts w:ascii="Times New Roman" w:hAnsi="Times New Roman"/>
                <w:sz w:val="24"/>
              </w:rPr>
              <w:t>článok 8 ods. 1 písm. a)</w:t>
            </w:r>
            <w:r w:rsidR="00D85C65">
              <w:rPr>
                <w:rFonts w:ascii="Times New Roman" w:hAnsi="Times New Roman"/>
                <w:sz w:val="24"/>
              </w:rPr>
              <w:t xml:space="preserve"> a </w:t>
            </w:r>
            <w:r w:rsidRPr="00D85C65">
              <w:rPr>
                <w:rFonts w:ascii="Times New Roman" w:hAnsi="Times New Roman"/>
                <w:sz w:val="24"/>
              </w:rPr>
              <w:t>článok 8 ods. 6 AD; IAS 39 ods. 9</w:t>
            </w:r>
            <w:r w:rsidR="00D85C65">
              <w:rPr>
                <w:rFonts w:ascii="Times New Roman" w:hAnsi="Times New Roman"/>
                <w:sz w:val="24"/>
              </w:rPr>
              <w:t>.</w:t>
            </w:r>
          </w:p>
          <w:p w14:paraId="5BAB47B2" w14:textId="619BAACE"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070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56748B51" w14:textId="77777777" w:rsidTr="00672D2A">
        <w:tc>
          <w:tcPr>
            <w:tcW w:w="1101" w:type="dxa"/>
          </w:tcPr>
          <w:p w14:paraId="405912FA"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0190</w:t>
            </w:r>
          </w:p>
        </w:tc>
        <w:tc>
          <w:tcPr>
            <w:tcW w:w="8190" w:type="dxa"/>
          </w:tcPr>
          <w:p w14:paraId="3439D5A4"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1.2.4. DERIVÁTY – ÚČTOVANIE HEDŽINGU</w:t>
            </w:r>
          </w:p>
          <w:p w14:paraId="29C5BFBC" w14:textId="608868AF"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 xml:space="preserve">IFRS 9 ods. 6.2.1; </w:t>
            </w:r>
            <w:r w:rsidRPr="00D85C65">
              <w:rPr>
                <w:rFonts w:ascii="Times New Roman" w:hAnsi="Times New Roman"/>
                <w:bCs/>
                <w:sz w:val="24"/>
              </w:rPr>
              <w:t>časť 1.26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r w:rsidRPr="00D85C65">
              <w:rPr>
                <w:rFonts w:ascii="Times New Roman" w:hAnsi="Times New Roman"/>
                <w:sz w:val="24"/>
              </w:rPr>
              <w:t>; článok 8 ods. 1 písm. a), článok 8 ods. 6</w:t>
            </w:r>
            <w:r w:rsidR="00D85C65">
              <w:rPr>
                <w:rFonts w:ascii="Times New Roman" w:hAnsi="Times New Roman"/>
                <w:sz w:val="24"/>
              </w:rPr>
              <w:t xml:space="preserve"> a </w:t>
            </w:r>
            <w:r w:rsidRPr="00D85C65">
              <w:rPr>
                <w:rFonts w:ascii="Times New Roman" w:hAnsi="Times New Roman"/>
                <w:sz w:val="24"/>
              </w:rPr>
              <w:t>článok 8 ods. 8 písm. a) AD.</w:t>
            </w:r>
          </w:p>
          <w:p w14:paraId="225949E5" w14:textId="6232476E"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150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325CBC42" w14:textId="77777777" w:rsidTr="00672D2A">
        <w:tc>
          <w:tcPr>
            <w:tcW w:w="1101" w:type="dxa"/>
          </w:tcPr>
          <w:p w14:paraId="501173F2"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0200</w:t>
            </w:r>
          </w:p>
        </w:tc>
        <w:tc>
          <w:tcPr>
            <w:tcW w:w="8190" w:type="dxa"/>
          </w:tcPr>
          <w:p w14:paraId="4899FCBB" w14:textId="46C6031D"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1.2.5. ZMENY REÁLNEJ HODNOTY HEDŽOVANÝCH POLOŽIEK</w:t>
            </w:r>
            <w:r w:rsidR="00D85C65">
              <w:rPr>
                <w:rFonts w:ascii="Times New Roman" w:hAnsi="Times New Roman"/>
                <w:b/>
                <w:sz w:val="24"/>
                <w:u w:val="single"/>
              </w:rPr>
              <w:t xml:space="preserve"> V </w:t>
            </w:r>
            <w:r w:rsidRPr="00D85C65">
              <w:rPr>
                <w:rFonts w:ascii="Times New Roman" w:hAnsi="Times New Roman"/>
                <w:b/>
                <w:sz w:val="24"/>
                <w:u w:val="single"/>
              </w:rPr>
              <w:t>HEDŽINGU ÚROKOVÉHO RIZIKA PORTFÓLIA</w:t>
            </w:r>
          </w:p>
          <w:p w14:paraId="56816866" w14:textId="0267125A" w:rsidR="00235D9D" w:rsidRPr="00D85C65" w:rsidRDefault="00B93FA1">
            <w:pPr>
              <w:spacing w:beforeLines="60" w:before="144" w:afterLines="60" w:after="144"/>
              <w:rPr>
                <w:rFonts w:ascii="Times New Roman" w:hAnsi="Times New Roman"/>
                <w:sz w:val="24"/>
              </w:rPr>
            </w:pPr>
            <w:r w:rsidRPr="00D85C65">
              <w:rPr>
                <w:rFonts w:ascii="Times New Roman" w:hAnsi="Times New Roman"/>
                <w:sz w:val="24"/>
              </w:rPr>
              <w:t>IAS 39 ods. 89A písm. b), IFRS 9 ods. 6.5.8; článok 8 ods. 5</w:t>
            </w:r>
            <w:r w:rsidR="00D85C65">
              <w:rPr>
                <w:rFonts w:ascii="Times New Roman" w:hAnsi="Times New Roman"/>
                <w:sz w:val="24"/>
              </w:rPr>
              <w:t xml:space="preserve"> a </w:t>
            </w:r>
            <w:r w:rsidRPr="00D85C65">
              <w:rPr>
                <w:rFonts w:ascii="Times New Roman" w:hAnsi="Times New Roman"/>
                <w:sz w:val="24"/>
              </w:rPr>
              <w:t>6 AD; časť 2.8 prílohy</w:t>
            </w:r>
            <w:r w:rsidR="00D85C65">
              <w:rPr>
                <w:rFonts w:ascii="Times New Roman" w:hAnsi="Times New Roman"/>
                <w:sz w:val="24"/>
              </w:rPr>
              <w:t xml:space="preserve"> V k </w:t>
            </w:r>
            <w:r w:rsidRPr="00D85C65">
              <w:rPr>
                <w:rFonts w:ascii="Times New Roman" w:hAnsi="Times New Roman"/>
                <w:sz w:val="24"/>
              </w:rPr>
              <w:t>tomuto vykonávaciemu nariadeniu.</w:t>
            </w:r>
          </w:p>
          <w:p w14:paraId="3D8F026C" w14:textId="4135ACEA"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160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r w:rsidR="00235D9D" w:rsidRPr="00D85C65" w14:paraId="4A0EB91C" w14:textId="77777777" w:rsidTr="00672D2A">
        <w:tc>
          <w:tcPr>
            <w:tcW w:w="1101" w:type="dxa"/>
          </w:tcPr>
          <w:p w14:paraId="2AAEED58" w14:textId="77777777" w:rsidR="00235D9D" w:rsidRPr="00D85C65" w:rsidRDefault="001924F4">
            <w:pPr>
              <w:spacing w:beforeLines="60" w:before="144" w:afterLines="60" w:after="144"/>
              <w:rPr>
                <w:rFonts w:ascii="Times New Roman" w:hAnsi="Times New Roman"/>
                <w:sz w:val="24"/>
              </w:rPr>
            </w:pPr>
            <w:r w:rsidRPr="00D85C65">
              <w:rPr>
                <w:rFonts w:ascii="Times New Roman" w:hAnsi="Times New Roman"/>
                <w:sz w:val="24"/>
              </w:rPr>
              <w:t>0210</w:t>
            </w:r>
          </w:p>
        </w:tc>
        <w:tc>
          <w:tcPr>
            <w:tcW w:w="8190" w:type="dxa"/>
          </w:tcPr>
          <w:p w14:paraId="13D419BF" w14:textId="77777777"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b/>
                <w:sz w:val="24"/>
                <w:u w:val="single"/>
              </w:rPr>
              <w:t>1.2.6. HAIRCUTY PRE OBCHODNÉ ZÁVÄZKY OCEŇOVANÉ REÁLNOU HODNOTOU</w:t>
            </w:r>
          </w:p>
          <w:p w14:paraId="4AEC6085" w14:textId="72C2BF99" w:rsidR="00235D9D" w:rsidRPr="00D85C65" w:rsidRDefault="002F78EA">
            <w:pPr>
              <w:spacing w:beforeLines="60" w:before="144" w:afterLines="60" w:after="144"/>
              <w:rPr>
                <w:rFonts w:ascii="Times New Roman" w:hAnsi="Times New Roman"/>
                <w:sz w:val="24"/>
              </w:rPr>
            </w:pPr>
            <w:r w:rsidRPr="00D85C65">
              <w:rPr>
                <w:rFonts w:ascii="Times New Roman" w:hAnsi="Times New Roman"/>
                <w:bCs/>
                <w:sz w:val="24"/>
              </w:rPr>
              <w:t>Časť 1.29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693FA7A1" w14:textId="41686DDF" w:rsidR="00235D9D" w:rsidRPr="00D85C65" w:rsidRDefault="00B93FA1">
            <w:pPr>
              <w:spacing w:beforeLines="60" w:before="144" w:afterLines="60" w:after="144"/>
              <w:rPr>
                <w:rFonts w:ascii="Times New Roman" w:hAnsi="Times New Roman"/>
                <w:b/>
                <w:sz w:val="24"/>
                <w:u w:val="single"/>
              </w:rPr>
            </w:pPr>
            <w:r w:rsidRPr="00D85C65">
              <w:rPr>
                <w:rFonts w:ascii="Times New Roman" w:hAnsi="Times New Roman"/>
                <w:sz w:val="24"/>
              </w:rPr>
              <w:t>Informácie vykazované</w:t>
            </w:r>
            <w:r w:rsidR="00D85C65">
              <w:rPr>
                <w:rFonts w:ascii="Times New Roman" w:hAnsi="Times New Roman"/>
                <w:sz w:val="24"/>
              </w:rPr>
              <w:t xml:space="preserve"> v </w:t>
            </w:r>
            <w:r w:rsidRPr="00D85C65">
              <w:rPr>
                <w:rFonts w:ascii="Times New Roman" w:hAnsi="Times New Roman"/>
                <w:sz w:val="24"/>
              </w:rPr>
              <w:t>tomto riadku zodpovedajú riadku 295 vzoru F 01.02 prílohy III</w:t>
            </w:r>
            <w:r w:rsidR="00D85C65">
              <w:rPr>
                <w:rFonts w:ascii="Times New Roman" w:hAnsi="Times New Roman"/>
                <w:sz w:val="24"/>
              </w:rPr>
              <w:t xml:space="preserve"> a </w:t>
            </w:r>
            <w:r w:rsidRPr="00D85C65">
              <w:rPr>
                <w:rFonts w:ascii="Times New Roman" w:hAnsi="Times New Roman"/>
                <w:sz w:val="24"/>
              </w:rPr>
              <w:t>prílohy IV</w:t>
            </w:r>
            <w:r w:rsidR="00D85C65">
              <w:rPr>
                <w:rFonts w:ascii="Times New Roman" w:hAnsi="Times New Roman"/>
                <w:sz w:val="24"/>
              </w:rPr>
              <w:t xml:space="preserve"> k </w:t>
            </w:r>
            <w:r w:rsidRPr="00D85C65">
              <w:rPr>
                <w:rFonts w:ascii="Times New Roman" w:hAnsi="Times New Roman"/>
                <w:sz w:val="24"/>
              </w:rPr>
              <w:t>tomuto vykonávaciemu nariadeniu.</w:t>
            </w:r>
          </w:p>
        </w:tc>
      </w:tr>
    </w:tbl>
    <w:p w14:paraId="31E0370C" w14:textId="77777777" w:rsidR="00235D9D" w:rsidRPr="00D85C65" w:rsidRDefault="00235D9D">
      <w:pPr>
        <w:rPr>
          <w:rStyle w:val="InstructionsTabelleText"/>
          <w:rFonts w:ascii="Times New Roman" w:hAnsi="Times New Roman"/>
          <w:sz w:val="24"/>
        </w:rPr>
      </w:pPr>
    </w:p>
    <w:p w14:paraId="01AC92F7" w14:textId="77777777" w:rsidR="00235D9D" w:rsidRPr="00D85C65" w:rsidRDefault="00B93FA1">
      <w:pPr>
        <w:pStyle w:val="Instructionsberschrift2"/>
        <w:numPr>
          <w:ilvl w:val="0"/>
          <w:numId w:val="0"/>
        </w:numPr>
        <w:ind w:left="357" w:hanging="357"/>
        <w:rPr>
          <w:rFonts w:ascii="Times New Roman" w:hAnsi="Times New Roman" w:cs="Times New Roman"/>
          <w:sz w:val="24"/>
          <w:u w:val="none"/>
        </w:rPr>
      </w:pPr>
      <w:bookmarkStart w:id="111" w:name="_Toc29994553"/>
      <w:r w:rsidRPr="00D85C65">
        <w:rPr>
          <w:rFonts w:ascii="Times New Roman" w:hAnsi="Times New Roman"/>
          <w:sz w:val="24"/>
          <w:u w:val="none"/>
        </w:rPr>
        <w:lastRenderedPageBreak/>
        <w:t>6.2.</w:t>
      </w:r>
      <w:r w:rsidRPr="00D85C65">
        <w:rPr>
          <w:rFonts w:ascii="Times New Roman" w:hAnsi="Times New Roman"/>
          <w:sz w:val="24"/>
          <w:u w:val="none"/>
        </w:rPr>
        <w:tab/>
      </w:r>
      <w:r w:rsidRPr="00D85C65">
        <w:rPr>
          <w:rFonts w:ascii="Times New Roman" w:hAnsi="Times New Roman"/>
          <w:sz w:val="24"/>
        </w:rPr>
        <w:t>C 32.02 – Obozretné oceňovanie: základný postup (PruVal 2)</w:t>
      </w:r>
      <w:bookmarkEnd w:id="111"/>
    </w:p>
    <w:p w14:paraId="2B3D032D" w14:textId="77777777" w:rsidR="00D85C65" w:rsidRDefault="00B93FA1">
      <w:pPr>
        <w:pStyle w:val="Instructionsberschrift2"/>
        <w:numPr>
          <w:ilvl w:val="0"/>
          <w:numId w:val="0"/>
        </w:numPr>
        <w:ind w:left="357" w:hanging="357"/>
        <w:rPr>
          <w:rFonts w:ascii="Times New Roman" w:hAnsi="Times New Roman"/>
          <w:sz w:val="24"/>
          <w:u w:val="none"/>
        </w:rPr>
      </w:pPr>
      <w:bookmarkStart w:id="112" w:name="_Toc29994554"/>
      <w:r w:rsidRPr="00D85C65">
        <w:rPr>
          <w:rFonts w:ascii="Times New Roman" w:hAnsi="Times New Roman"/>
          <w:sz w:val="24"/>
          <w:u w:val="none"/>
        </w:rPr>
        <w:t>6.2.1.</w:t>
      </w:r>
      <w:r w:rsidRPr="00D85C65">
        <w:rPr>
          <w:rFonts w:ascii="Times New Roman" w:hAnsi="Times New Roman"/>
          <w:sz w:val="24"/>
          <w:u w:val="none"/>
        </w:rPr>
        <w:tab/>
      </w:r>
      <w:r w:rsidRPr="00D85C65">
        <w:rPr>
          <w:rFonts w:ascii="Times New Roman" w:hAnsi="Times New Roman"/>
          <w:sz w:val="24"/>
        </w:rPr>
        <w:t>Všeobecné poznámky</w:t>
      </w:r>
      <w:bookmarkEnd w:id="112"/>
    </w:p>
    <w:p w14:paraId="052C2DB2" w14:textId="72D9DE96" w:rsidR="00235D9D" w:rsidRPr="00D85C65" w:rsidRDefault="00B93FA1">
      <w:pPr>
        <w:pStyle w:val="InstructionsText2"/>
        <w:numPr>
          <w:ilvl w:val="0"/>
          <w:numId w:val="0"/>
        </w:numPr>
        <w:ind w:left="993"/>
      </w:pPr>
      <w:r w:rsidRPr="00D85C65">
        <w:t>154c. Účelom tohto vzoru je poskytnúť informácie</w:t>
      </w:r>
      <w:r w:rsidR="00D85C65">
        <w:t xml:space="preserve"> o </w:t>
      </w:r>
      <w:r w:rsidRPr="00D85C65">
        <w:t>zložení celkovej dodatočnej úpravy ocenenia, ktorá sa odpočítava od vlastných zdrojov podľa článku 34</w:t>
      </w:r>
      <w:r w:rsidR="00D85C65">
        <w:t xml:space="preserve"> a </w:t>
      </w:r>
      <w:r w:rsidRPr="00D85C65">
        <w:t>článku 105 CRR, súčasne</w:t>
      </w:r>
      <w:r w:rsidR="00D85C65">
        <w:t xml:space="preserve"> s </w:t>
      </w:r>
      <w:r w:rsidRPr="00D85C65">
        <w:t>príslušnými informáciami</w:t>
      </w:r>
      <w:r w:rsidR="00D85C65">
        <w:t xml:space="preserve"> o </w:t>
      </w:r>
      <w:r w:rsidRPr="00D85C65">
        <w:t>účtovnom oceňovaní pozícii,</w:t>
      </w:r>
      <w:r w:rsidR="00D85C65">
        <w:t xml:space="preserve"> z </w:t>
      </w:r>
      <w:r w:rsidRPr="00D85C65">
        <w:t>ktorých vyplýva určenie dodatočných úprav ocenenia.</w:t>
      </w:r>
    </w:p>
    <w:p w14:paraId="7DDBCB47" w14:textId="77777777" w:rsidR="00D85C65" w:rsidRDefault="00B93FA1">
      <w:pPr>
        <w:pStyle w:val="InstructionsText2"/>
        <w:numPr>
          <w:ilvl w:val="0"/>
          <w:numId w:val="0"/>
        </w:numPr>
        <w:ind w:left="993"/>
      </w:pPr>
      <w:r w:rsidRPr="00D85C65">
        <w:t>154d. Tento vzor vypĺňajú všetky inštitúcie, ktoré</w:t>
      </w:r>
      <w:r w:rsidR="00D85C65">
        <w:t>:</w:t>
      </w:r>
    </w:p>
    <w:p w14:paraId="13120E86" w14:textId="45934487" w:rsidR="00235D9D" w:rsidRPr="00D85C65" w:rsidRDefault="00B93FA1">
      <w:pPr>
        <w:pStyle w:val="InstructionsText2"/>
        <w:numPr>
          <w:ilvl w:val="0"/>
          <w:numId w:val="0"/>
        </w:numPr>
        <w:ind w:left="993"/>
      </w:pPr>
      <w:r w:rsidRPr="00D85C65">
        <w:t>a) majú povinnosť používať základný postup, pretože prekračujú prahovú hodnotu uvedenú</w:t>
      </w:r>
      <w:r w:rsidR="00D85C65">
        <w:t xml:space="preserve"> v </w:t>
      </w:r>
      <w:r w:rsidRPr="00D85C65">
        <w:t>článku 4 ods. 1 delegovaného nariadenia (EÚ) 2016/101,</w:t>
      </w:r>
      <w:r w:rsidR="00D85C65">
        <w:t xml:space="preserve"> a </w:t>
      </w:r>
      <w:r w:rsidRPr="00D85C65">
        <w:t>to na individuálnom základe alebo na konsolidovanom základe, ako je stanovené</w:t>
      </w:r>
      <w:r w:rsidR="00D85C65">
        <w:t xml:space="preserve"> v </w:t>
      </w:r>
      <w:r w:rsidRPr="00D85C65">
        <w:t>článku 4 ods. 3 uvedeného nariadenia; alebo</w:t>
      </w:r>
    </w:p>
    <w:p w14:paraId="43419AE0" w14:textId="77777777" w:rsidR="00D85C65" w:rsidRDefault="00973707">
      <w:pPr>
        <w:pStyle w:val="InstructionsText2"/>
        <w:numPr>
          <w:ilvl w:val="0"/>
          <w:numId w:val="0"/>
        </w:numPr>
        <w:ind w:left="993"/>
      </w:pPr>
      <w:r w:rsidRPr="00D85C65">
        <w:t>b) sa rozhodli uplatňovať základný postup, hoci neprekročili prahovú hodnotu</w:t>
      </w:r>
      <w:r w:rsidR="00D85C65">
        <w:t>.</w:t>
      </w:r>
    </w:p>
    <w:p w14:paraId="1744C722" w14:textId="4AE74047" w:rsidR="00235D9D" w:rsidRPr="00D85C65" w:rsidRDefault="00973707">
      <w:pPr>
        <w:pStyle w:val="InstructionsText2"/>
        <w:numPr>
          <w:ilvl w:val="0"/>
          <w:numId w:val="0"/>
        </w:numPr>
        <w:ind w:left="993"/>
      </w:pPr>
      <w:r w:rsidRPr="00D85C65">
        <w:t>154e. Na účely tohto vzoru pojem „neistota zlepšenia“ znamená toto: Ako je stanovené</w:t>
      </w:r>
      <w:r w:rsidR="00D85C65">
        <w:t xml:space="preserve"> v </w:t>
      </w:r>
      <w:r w:rsidRPr="00D85C65">
        <w:t>článku 8 ods. 2 delegovaného nariadenia (EÚ) 2016/101, dodatočné úpravy ocenenia sa vypočítavajú ako rozdiel medzi reálnou hodnotou</w:t>
      </w:r>
      <w:r w:rsidR="00D85C65">
        <w:t xml:space="preserve"> a </w:t>
      </w:r>
      <w:r w:rsidRPr="00D85C65">
        <w:t>obozretným ocenením, ktoré je určené na základe 90</w:t>
      </w:r>
      <w:r w:rsidR="00D85C65">
        <w:t> %</w:t>
      </w:r>
      <w:r w:rsidRPr="00D85C65">
        <w:t>-nej istoty, že inštitúcie dokážu uzavrieť expozíciu</w:t>
      </w:r>
      <w:r w:rsidR="00D85C65">
        <w:t xml:space="preserve"> v </w:t>
      </w:r>
      <w:r w:rsidRPr="00D85C65">
        <w:t>danom alebo lepšom bode</w:t>
      </w:r>
      <w:r w:rsidR="00D85C65">
        <w:t xml:space="preserve"> v </w:t>
      </w:r>
      <w:r w:rsidRPr="00D85C65">
        <w:t>rámci pomyselného rozmedzia vierohodných hodnôt. Hodnota zlepšenia alebo „neistota zlepšenia“ je opačný bod</w:t>
      </w:r>
      <w:r w:rsidR="00D85C65">
        <w:t xml:space="preserve"> v </w:t>
      </w:r>
      <w:r w:rsidRPr="00D85C65">
        <w:t>distribúcii vierohodných hodnôt, pri ktorom majú inštitúcie iba 10</w:t>
      </w:r>
      <w:r w:rsidR="00D85C65">
        <w:t> %</w:t>
      </w:r>
      <w:r w:rsidRPr="00D85C65">
        <w:t>-nú istotu, že dokážu uzavrieť pozíciu</w:t>
      </w:r>
      <w:r w:rsidR="00D85C65">
        <w:t xml:space="preserve"> v </w:t>
      </w:r>
      <w:r w:rsidRPr="00D85C65">
        <w:t>danom alebo lepšom bode. Neistota zlepšenia sa vypočíta</w:t>
      </w:r>
      <w:r w:rsidR="00D85C65">
        <w:t xml:space="preserve"> a </w:t>
      </w:r>
      <w:r w:rsidRPr="00D85C65">
        <w:t>agreguje na rovnakom základe ako celková dodatočná úprava ocenenia, pričom sa 90</w:t>
      </w:r>
      <w:r w:rsidR="00D85C65">
        <w:t> %</w:t>
      </w:r>
      <w:r w:rsidRPr="00D85C65">
        <w:t>-ná istota použitá pri určovaní celkovej dodatočnej úpravy ocenenia nahradí 10</w:t>
      </w:r>
      <w:r w:rsidR="00D85C65">
        <w:t> %</w:t>
      </w:r>
      <w:r w:rsidRPr="00D85C65">
        <w:t>-nou istotou.</w:t>
      </w:r>
    </w:p>
    <w:p w14:paraId="4498127B" w14:textId="460B4BBE" w:rsidR="00235D9D" w:rsidRPr="00D85C65" w:rsidRDefault="00B93FA1">
      <w:pPr>
        <w:pStyle w:val="Instructionsberschrift2"/>
        <w:numPr>
          <w:ilvl w:val="0"/>
          <w:numId w:val="0"/>
        </w:numPr>
        <w:ind w:left="357" w:hanging="357"/>
        <w:rPr>
          <w:rFonts w:ascii="Times New Roman" w:hAnsi="Times New Roman" w:cs="Times New Roman"/>
          <w:sz w:val="24"/>
          <w:u w:val="none"/>
        </w:rPr>
      </w:pPr>
      <w:bookmarkStart w:id="113" w:name="_Toc29994555"/>
      <w:r w:rsidRPr="00D85C65">
        <w:rPr>
          <w:rFonts w:ascii="Times New Roman" w:hAnsi="Times New Roman"/>
          <w:sz w:val="24"/>
          <w:u w:val="none"/>
        </w:rPr>
        <w:t>6.2.2.</w:t>
      </w:r>
      <w:r w:rsidRPr="00D85C65">
        <w:rPr>
          <w:rFonts w:ascii="Times New Roman" w:hAnsi="Times New Roman"/>
          <w:sz w:val="24"/>
          <w:u w:val="none"/>
        </w:rPr>
        <w:tab/>
        <w:t>Pokyny týkajúce sa konkrétnych pozícií</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235D9D" w:rsidRPr="00D85C65" w14:paraId="2A50FFAC" w14:textId="77777777" w:rsidTr="00672D2A">
        <w:tc>
          <w:tcPr>
            <w:tcW w:w="9291" w:type="dxa"/>
            <w:gridSpan w:val="2"/>
            <w:shd w:val="clear" w:color="auto" w:fill="CCCCCC"/>
          </w:tcPr>
          <w:p w14:paraId="1909DC31" w14:textId="77777777" w:rsidR="00235D9D" w:rsidRPr="00D85C65" w:rsidRDefault="00973707">
            <w:pPr>
              <w:spacing w:beforeLines="60" w:before="144" w:afterLines="60" w:after="144"/>
              <w:rPr>
                <w:rFonts w:ascii="Times New Roman" w:hAnsi="Times New Roman"/>
                <w:b/>
                <w:sz w:val="24"/>
              </w:rPr>
            </w:pPr>
            <w:r w:rsidRPr="00D85C65">
              <w:rPr>
                <w:rFonts w:ascii="Times New Roman" w:hAnsi="Times New Roman"/>
                <w:b/>
                <w:sz w:val="24"/>
              </w:rPr>
              <w:t>Stĺpce</w:t>
            </w:r>
          </w:p>
        </w:tc>
      </w:tr>
      <w:tr w:rsidR="00235D9D" w:rsidRPr="00D85C65" w14:paraId="51FA8283" w14:textId="77777777" w:rsidTr="00672D2A">
        <w:tc>
          <w:tcPr>
            <w:tcW w:w="1101" w:type="dxa"/>
          </w:tcPr>
          <w:p w14:paraId="006D21FC"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0010 – 0100</w:t>
            </w:r>
          </w:p>
        </w:tc>
        <w:tc>
          <w:tcPr>
            <w:tcW w:w="8190" w:type="dxa"/>
          </w:tcPr>
          <w:p w14:paraId="75BD725F"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DODATOČNÁ ÚPRAVA OCENENIA NA ÚROVNI KATEGÓRIE</w:t>
            </w:r>
          </w:p>
          <w:p w14:paraId="7FD99EB2" w14:textId="234405ED"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Dodatočné úpravy ocenenia na úrovni kategórie zohľadňujúce neistotu trhovej ceny, náklady na zatvorenie pozícií, riziko modelov, koncentrované pozície, budúce administratívne náklady, predčasné ukončenie</w:t>
            </w:r>
            <w:r w:rsidR="00D85C65">
              <w:rPr>
                <w:rFonts w:ascii="Times New Roman" w:hAnsi="Times New Roman"/>
                <w:sz w:val="24"/>
              </w:rPr>
              <w:t xml:space="preserve"> a </w:t>
            </w:r>
            <w:r w:rsidRPr="00D85C65">
              <w:rPr>
                <w:rFonts w:ascii="Times New Roman" w:hAnsi="Times New Roman"/>
                <w:sz w:val="24"/>
              </w:rPr>
              <w:t>operačné riziko sa vypočítavajú tak, ako sa opisuje</w:t>
            </w:r>
            <w:r w:rsidR="00D85C65">
              <w:rPr>
                <w:rFonts w:ascii="Times New Roman" w:hAnsi="Times New Roman"/>
                <w:sz w:val="24"/>
              </w:rPr>
              <w:t xml:space="preserve"> v </w:t>
            </w:r>
            <w:r w:rsidRPr="00D85C65">
              <w:rPr>
                <w:rFonts w:ascii="Times New Roman" w:hAnsi="Times New Roman"/>
                <w:sz w:val="24"/>
              </w:rPr>
              <w:t>príslušných článkoch 9, 10, 11</w:t>
            </w:r>
            <w:r w:rsidR="00D85C65">
              <w:rPr>
                <w:rFonts w:ascii="Times New Roman" w:hAnsi="Times New Roman"/>
                <w:sz w:val="24"/>
              </w:rPr>
              <w:t xml:space="preserve"> a </w:t>
            </w:r>
            <w:r w:rsidRPr="00D85C65">
              <w:rPr>
                <w:rFonts w:ascii="Times New Roman" w:hAnsi="Times New Roman"/>
                <w:sz w:val="24"/>
              </w:rPr>
              <w:t>14 až 17 delegovaného nariadenia (EÚ) 2016/101.</w:t>
            </w:r>
          </w:p>
          <w:p w14:paraId="04499EA9" w14:textId="7DF66F0F" w:rsidR="00D85C65" w:rsidRDefault="00973707">
            <w:pPr>
              <w:spacing w:beforeLines="60" w:before="144" w:afterLines="60" w:after="144"/>
              <w:rPr>
                <w:rFonts w:ascii="Times New Roman" w:hAnsi="Times New Roman"/>
                <w:sz w:val="24"/>
              </w:rPr>
            </w:pPr>
            <w:r w:rsidRPr="00D85C65">
              <w:rPr>
                <w:rFonts w:ascii="Times New Roman" w:hAnsi="Times New Roman"/>
                <w:sz w:val="24"/>
              </w:rPr>
              <w:t>V prípade kategórií neistoty trhovej ceny, nákladov na zatvorenie pozícií</w:t>
            </w:r>
            <w:r w:rsidR="00D85C65">
              <w:rPr>
                <w:rFonts w:ascii="Times New Roman" w:hAnsi="Times New Roman"/>
                <w:sz w:val="24"/>
              </w:rPr>
              <w:t xml:space="preserve"> a </w:t>
            </w:r>
            <w:r w:rsidRPr="00D85C65">
              <w:rPr>
                <w:rFonts w:ascii="Times New Roman" w:hAnsi="Times New Roman"/>
                <w:sz w:val="24"/>
              </w:rPr>
              <w:t>rizika modelov, na ktoré sa vzťahujú výhody diverzifikácie, ako sú stanovené</w:t>
            </w:r>
            <w:r w:rsidR="00D85C65">
              <w:rPr>
                <w:rFonts w:ascii="Times New Roman" w:hAnsi="Times New Roman"/>
                <w:sz w:val="24"/>
              </w:rPr>
              <w:t xml:space="preserve"> v </w:t>
            </w:r>
            <w:r w:rsidRPr="00D85C65">
              <w:rPr>
                <w:rFonts w:ascii="Times New Roman" w:hAnsi="Times New Roman"/>
                <w:sz w:val="24"/>
              </w:rPr>
              <w:t>článku 9 ods. 6, článku 10 ods. 7</w:t>
            </w:r>
            <w:r w:rsidR="00D85C65">
              <w:rPr>
                <w:rFonts w:ascii="Times New Roman" w:hAnsi="Times New Roman"/>
                <w:sz w:val="24"/>
              </w:rPr>
              <w:t xml:space="preserve"> a </w:t>
            </w:r>
            <w:r w:rsidRPr="00D85C65">
              <w:rPr>
                <w:rFonts w:ascii="Times New Roman" w:hAnsi="Times New Roman"/>
                <w:sz w:val="24"/>
              </w:rPr>
              <w:t>článku 11 ods. 7 delegovaného nariadenia (EÚ) 2016/101</w:t>
            </w:r>
            <w:r w:rsidR="00D85C65">
              <w:rPr>
                <w:rFonts w:ascii="Times New Roman" w:hAnsi="Times New Roman"/>
                <w:sz w:val="24"/>
              </w:rPr>
              <w:t xml:space="preserve"> v </w:t>
            </w:r>
            <w:r w:rsidRPr="00D85C65">
              <w:rPr>
                <w:rFonts w:ascii="Times New Roman" w:hAnsi="Times New Roman"/>
                <w:sz w:val="24"/>
              </w:rPr>
              <w:t>uvedenom poradí, sa dodatočné úpravy ocenenia na úrovni kategórie, ak nie je stanovené inak, vykazujú ako priamy súčet jednotlivých dodatočných úprav ocenenia pred zohľadnením výhod diverzifikácie [keďže sa výhody diverzifikácie vypočítané pomocou metódy 1 alebo metódy 2 uvedených</w:t>
            </w:r>
            <w:r w:rsidR="00D85C65">
              <w:rPr>
                <w:rFonts w:ascii="Times New Roman" w:hAnsi="Times New Roman"/>
                <w:sz w:val="24"/>
              </w:rPr>
              <w:t xml:space="preserve"> v </w:t>
            </w:r>
            <w:r w:rsidRPr="00D85C65">
              <w:rPr>
                <w:rFonts w:ascii="Times New Roman" w:hAnsi="Times New Roman"/>
                <w:sz w:val="24"/>
              </w:rPr>
              <w:t>prílohe</w:t>
            </w:r>
            <w:r w:rsidR="00D85C65">
              <w:rPr>
                <w:rFonts w:ascii="Times New Roman" w:hAnsi="Times New Roman"/>
                <w:sz w:val="24"/>
              </w:rPr>
              <w:t xml:space="preserve"> k </w:t>
            </w:r>
            <w:r w:rsidRPr="00D85C65">
              <w:rPr>
                <w:rFonts w:ascii="Times New Roman" w:hAnsi="Times New Roman"/>
                <w:sz w:val="24"/>
              </w:rPr>
              <w:t>delegovanému nariadeniu (EÚ) 2016/101 vykazujú</w:t>
            </w:r>
            <w:r w:rsidR="00D85C65">
              <w:rPr>
                <w:rFonts w:ascii="Times New Roman" w:hAnsi="Times New Roman"/>
                <w:sz w:val="24"/>
              </w:rPr>
              <w:t xml:space="preserve"> v </w:t>
            </w:r>
            <w:r w:rsidRPr="00D85C65">
              <w:rPr>
                <w:rFonts w:ascii="Times New Roman" w:hAnsi="Times New Roman"/>
                <w:sz w:val="24"/>
              </w:rPr>
              <w:t>položkách vzoru 1.1.2, 1.1.2.1</w:t>
            </w:r>
            <w:r w:rsidR="00D85C65">
              <w:rPr>
                <w:rFonts w:ascii="Times New Roman" w:hAnsi="Times New Roman"/>
                <w:sz w:val="24"/>
              </w:rPr>
              <w:t xml:space="preserve"> a </w:t>
            </w:r>
            <w:r w:rsidRPr="00D85C65">
              <w:rPr>
                <w:rFonts w:ascii="Times New Roman" w:hAnsi="Times New Roman"/>
                <w:sz w:val="24"/>
              </w:rPr>
              <w:t>1.1.2.2]</w:t>
            </w:r>
            <w:r w:rsidR="00D85C65">
              <w:rPr>
                <w:rFonts w:ascii="Times New Roman" w:hAnsi="Times New Roman"/>
                <w:sz w:val="24"/>
              </w:rPr>
              <w:t>.</w:t>
            </w:r>
          </w:p>
          <w:p w14:paraId="47A2F76A" w14:textId="0F0CBF15"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lastRenderedPageBreak/>
              <w:t>V prípade kategórií neistoty trhovej ceny, nákladov na zatvorenie pozícií</w:t>
            </w:r>
            <w:r w:rsidR="00D85C65">
              <w:rPr>
                <w:rFonts w:ascii="Times New Roman" w:hAnsi="Times New Roman"/>
                <w:sz w:val="24"/>
              </w:rPr>
              <w:t xml:space="preserve"> a </w:t>
            </w:r>
            <w:r w:rsidRPr="00D85C65">
              <w:rPr>
                <w:rFonts w:ascii="Times New Roman" w:hAnsi="Times New Roman"/>
                <w:sz w:val="24"/>
              </w:rPr>
              <w:t>rizika modelov sa sumy vypočítané na základe prístupu založeného na odbornom posudku uvedeného</w:t>
            </w:r>
            <w:r w:rsidR="00D85C65">
              <w:rPr>
                <w:rFonts w:ascii="Times New Roman" w:hAnsi="Times New Roman"/>
                <w:sz w:val="24"/>
              </w:rPr>
              <w:t xml:space="preserve"> v </w:t>
            </w:r>
            <w:r w:rsidRPr="00D85C65">
              <w:rPr>
                <w:rFonts w:ascii="Times New Roman" w:hAnsi="Times New Roman"/>
                <w:sz w:val="24"/>
              </w:rPr>
              <w:t>článku 9 ods. 5 písm. b), článku 10 ods. 6 písm. b)</w:t>
            </w:r>
            <w:r w:rsidR="00D85C65">
              <w:rPr>
                <w:rFonts w:ascii="Times New Roman" w:hAnsi="Times New Roman"/>
                <w:sz w:val="24"/>
              </w:rPr>
              <w:t xml:space="preserve"> a </w:t>
            </w:r>
            <w:r w:rsidRPr="00D85C65">
              <w:rPr>
                <w:rFonts w:ascii="Times New Roman" w:hAnsi="Times New Roman"/>
                <w:sz w:val="24"/>
              </w:rPr>
              <w:t>článku 11 ods. 4) delegovaného nariadenia (EÚ) 2016/101 vykazujú samostatne</w:t>
            </w:r>
            <w:r w:rsidR="00D85C65">
              <w:rPr>
                <w:rFonts w:ascii="Times New Roman" w:hAnsi="Times New Roman"/>
                <w:sz w:val="24"/>
              </w:rPr>
              <w:t xml:space="preserve"> v </w:t>
            </w:r>
            <w:r w:rsidRPr="00D85C65">
              <w:rPr>
                <w:rFonts w:ascii="Times New Roman" w:hAnsi="Times New Roman"/>
                <w:sz w:val="24"/>
              </w:rPr>
              <w:t>stĺpcoch 0020, 0040</w:t>
            </w:r>
            <w:r w:rsidR="00D85C65">
              <w:rPr>
                <w:rFonts w:ascii="Times New Roman" w:hAnsi="Times New Roman"/>
                <w:sz w:val="24"/>
              </w:rPr>
              <w:t xml:space="preserve"> a </w:t>
            </w:r>
            <w:r w:rsidRPr="00D85C65">
              <w:rPr>
                <w:rFonts w:ascii="Times New Roman" w:hAnsi="Times New Roman"/>
                <w:sz w:val="24"/>
              </w:rPr>
              <w:t>0060.</w:t>
            </w:r>
          </w:p>
        </w:tc>
      </w:tr>
      <w:tr w:rsidR="00235D9D" w:rsidRPr="00D85C65" w14:paraId="0CE4BF76" w14:textId="77777777" w:rsidTr="00672D2A">
        <w:tc>
          <w:tcPr>
            <w:tcW w:w="1101" w:type="dxa"/>
          </w:tcPr>
          <w:p w14:paraId="126DAFBD"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0010</w:t>
            </w:r>
          </w:p>
        </w:tc>
        <w:tc>
          <w:tcPr>
            <w:tcW w:w="8190" w:type="dxa"/>
          </w:tcPr>
          <w:p w14:paraId="14FB9877"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NEISTOTA TRHOVEJ CENY</w:t>
            </w:r>
          </w:p>
          <w:p w14:paraId="389CFE6E" w14:textId="77777777" w:rsid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r w:rsidR="00D85C65">
              <w:rPr>
                <w:rFonts w:ascii="Times New Roman" w:hAnsi="Times New Roman"/>
                <w:sz w:val="24"/>
              </w:rPr>
              <w:t>.</w:t>
            </w:r>
          </w:p>
          <w:p w14:paraId="1F11E757" w14:textId="777BE4A0"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neistotu trhovej ceny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delegovaného nariadenia (EÚ) 2016/101.</w:t>
            </w:r>
          </w:p>
        </w:tc>
      </w:tr>
      <w:tr w:rsidR="00235D9D" w:rsidRPr="00D85C65" w14:paraId="3FC875F8" w14:textId="77777777" w:rsidTr="00672D2A">
        <w:tc>
          <w:tcPr>
            <w:tcW w:w="1101" w:type="dxa"/>
          </w:tcPr>
          <w:p w14:paraId="3E91D6F4"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0020</w:t>
            </w:r>
          </w:p>
        </w:tc>
        <w:tc>
          <w:tcPr>
            <w:tcW w:w="8190" w:type="dxa"/>
          </w:tcPr>
          <w:p w14:paraId="7BF0143F"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 ČOHO: VYPOČÍTANÉ POMOCOU PRÍSTUPU ZALOŽENÉHO NA ODBORNOM POSUDKU</w:t>
            </w:r>
          </w:p>
          <w:p w14:paraId="4445AB46" w14:textId="57A3053F"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neistotu trhovej ceny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5 písm. b) delegovaného nariadenia (EÚ) 2016/101.</w:t>
            </w:r>
          </w:p>
        </w:tc>
      </w:tr>
      <w:tr w:rsidR="00235D9D" w:rsidRPr="00D85C65" w14:paraId="67191341" w14:textId="77777777" w:rsidTr="00672D2A">
        <w:tc>
          <w:tcPr>
            <w:tcW w:w="1101" w:type="dxa"/>
          </w:tcPr>
          <w:p w14:paraId="08628742"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0030</w:t>
            </w:r>
          </w:p>
        </w:tc>
        <w:tc>
          <w:tcPr>
            <w:tcW w:w="8190" w:type="dxa"/>
          </w:tcPr>
          <w:p w14:paraId="46EBB27D"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NÁKLADY NA ZATVORENIE POZÍCIÍ</w:t>
            </w:r>
          </w:p>
          <w:p w14:paraId="2D462D1E" w14:textId="77777777" w:rsid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r w:rsidR="00D85C65">
              <w:rPr>
                <w:rFonts w:ascii="Times New Roman" w:hAnsi="Times New Roman"/>
                <w:sz w:val="24"/>
              </w:rPr>
              <w:t>.</w:t>
            </w:r>
          </w:p>
          <w:p w14:paraId="232F428E" w14:textId="25C2622F"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náklady na zatvorenie pozícií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10 delegovaného nariadenia (EÚ) 2016/101. </w:t>
            </w:r>
          </w:p>
        </w:tc>
      </w:tr>
      <w:tr w:rsidR="00235D9D" w:rsidRPr="00D85C65" w14:paraId="6F80DA8A" w14:textId="77777777" w:rsidTr="00672D2A">
        <w:tc>
          <w:tcPr>
            <w:tcW w:w="1101" w:type="dxa"/>
          </w:tcPr>
          <w:p w14:paraId="4804A45E"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0040</w:t>
            </w:r>
          </w:p>
        </w:tc>
        <w:tc>
          <w:tcPr>
            <w:tcW w:w="8190" w:type="dxa"/>
          </w:tcPr>
          <w:p w14:paraId="7522785F"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 ČOHO: VYPOČÍTANÉ POMOCOU PRÍSTUPU ZALOŽENÉHO NA ODBORNOM POSUDKU</w:t>
            </w:r>
          </w:p>
          <w:p w14:paraId="4670C6A1" w14:textId="28ED6331"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náklady na zatvorenie pozícií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10 ods. 6 písm. b) delegovaného nariadenia (EÚ) 2016/101.</w:t>
            </w:r>
          </w:p>
        </w:tc>
      </w:tr>
      <w:tr w:rsidR="00235D9D" w:rsidRPr="00D85C65" w14:paraId="7C814463" w14:textId="77777777" w:rsidTr="00672D2A">
        <w:tc>
          <w:tcPr>
            <w:tcW w:w="1101" w:type="dxa"/>
          </w:tcPr>
          <w:p w14:paraId="3D4CC7FC"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0050</w:t>
            </w:r>
          </w:p>
        </w:tc>
        <w:tc>
          <w:tcPr>
            <w:tcW w:w="8190" w:type="dxa"/>
          </w:tcPr>
          <w:p w14:paraId="45A0DF18"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RIZIKO MODELOV</w:t>
            </w:r>
          </w:p>
          <w:p w14:paraId="479B7FAC" w14:textId="7777777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p>
          <w:p w14:paraId="337DCF2A" w14:textId="32494C9B"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riziko modelov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11 delegovaného nariadenia (EÚ) 2016/101. </w:t>
            </w:r>
          </w:p>
        </w:tc>
      </w:tr>
      <w:tr w:rsidR="00235D9D" w:rsidRPr="00D85C65" w14:paraId="570871F4" w14:textId="77777777" w:rsidTr="00672D2A">
        <w:tc>
          <w:tcPr>
            <w:tcW w:w="1101" w:type="dxa"/>
          </w:tcPr>
          <w:p w14:paraId="06298AC5"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0060</w:t>
            </w:r>
          </w:p>
        </w:tc>
        <w:tc>
          <w:tcPr>
            <w:tcW w:w="8190" w:type="dxa"/>
          </w:tcPr>
          <w:p w14:paraId="02BD6456"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 ČOHO: VYPOČÍTANÉ POMOCOU PRÍSTUPU ZALOŽENÉHO NA ODBORNOM POSUDKU</w:t>
            </w:r>
          </w:p>
          <w:p w14:paraId="36BEF6A2" w14:textId="1BA6B7D2"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riziko modelov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11 ods. 4 delegovaného nariadenia (EÚ) 2016/101.</w:t>
            </w:r>
          </w:p>
        </w:tc>
      </w:tr>
      <w:tr w:rsidR="00235D9D" w:rsidRPr="00D85C65" w14:paraId="7617E6FC" w14:textId="77777777" w:rsidTr="00672D2A">
        <w:tc>
          <w:tcPr>
            <w:tcW w:w="1101" w:type="dxa"/>
          </w:tcPr>
          <w:p w14:paraId="7A088AF5"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0070</w:t>
            </w:r>
          </w:p>
        </w:tc>
        <w:tc>
          <w:tcPr>
            <w:tcW w:w="8190" w:type="dxa"/>
          </w:tcPr>
          <w:p w14:paraId="34C7D9BB"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KONCENTROVANÉ POZÍCIE</w:t>
            </w:r>
          </w:p>
          <w:p w14:paraId="71F8B72B" w14:textId="7777777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11 CRR.</w:t>
            </w:r>
          </w:p>
          <w:p w14:paraId="6D97DD76" w14:textId="5D98535D"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koncentrované pozície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14 delegovaného nariadenia (EÚ) 2016/101.</w:t>
            </w:r>
          </w:p>
        </w:tc>
      </w:tr>
      <w:tr w:rsidR="00235D9D" w:rsidRPr="00D85C65" w14:paraId="08D52651" w14:textId="77777777" w:rsidTr="00672D2A">
        <w:tc>
          <w:tcPr>
            <w:tcW w:w="1101" w:type="dxa"/>
          </w:tcPr>
          <w:p w14:paraId="0E0539C7"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0080</w:t>
            </w:r>
          </w:p>
        </w:tc>
        <w:tc>
          <w:tcPr>
            <w:tcW w:w="8190" w:type="dxa"/>
          </w:tcPr>
          <w:p w14:paraId="79862DE1"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BUDÚCE ADMINISTRATÍVNE NÁKLADY</w:t>
            </w:r>
          </w:p>
          <w:p w14:paraId="2B9AFF7C" w14:textId="7777777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p>
          <w:p w14:paraId="7447FD81" w14:textId="4F0B7F79"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lastRenderedPageBreak/>
              <w:t>Dodatočné úpravy ocenenia zohľadňujúce budúce administratívne náklady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15 delegovaného nariadenia (EÚ) 2016/101.</w:t>
            </w:r>
          </w:p>
        </w:tc>
      </w:tr>
      <w:tr w:rsidR="00235D9D" w:rsidRPr="00D85C65" w14:paraId="68168FEB" w14:textId="77777777" w:rsidTr="00672D2A">
        <w:tc>
          <w:tcPr>
            <w:tcW w:w="1101" w:type="dxa"/>
          </w:tcPr>
          <w:p w14:paraId="742BACFE"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0090</w:t>
            </w:r>
          </w:p>
        </w:tc>
        <w:tc>
          <w:tcPr>
            <w:tcW w:w="8190" w:type="dxa"/>
          </w:tcPr>
          <w:p w14:paraId="4A98759F"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PREDČASNÉ UKONČENIE</w:t>
            </w:r>
          </w:p>
          <w:p w14:paraId="55E53D96" w14:textId="7777777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p>
          <w:p w14:paraId="567881C0" w14:textId="5F218B21"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predčasné ukončenie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 xml:space="preserve">článkom 16 delegovaného nariadenia (EÚ) 2016/101. </w:t>
            </w:r>
          </w:p>
        </w:tc>
      </w:tr>
      <w:tr w:rsidR="00235D9D" w:rsidRPr="00D85C65" w14:paraId="3A5D9EA9" w14:textId="77777777" w:rsidTr="00672D2A">
        <w:tc>
          <w:tcPr>
            <w:tcW w:w="1101" w:type="dxa"/>
          </w:tcPr>
          <w:p w14:paraId="449C1D29"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0100</w:t>
            </w:r>
          </w:p>
        </w:tc>
        <w:tc>
          <w:tcPr>
            <w:tcW w:w="8190" w:type="dxa"/>
          </w:tcPr>
          <w:p w14:paraId="34179239"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OPERAČNÉ RIZIKO</w:t>
            </w:r>
          </w:p>
          <w:p w14:paraId="075176DE" w14:textId="7777777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w:t>
            </w:r>
          </w:p>
          <w:p w14:paraId="5B49D42D" w14:textId="41C575A4"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Dodatočné úpravy ocenenia zohľadňujúce operačné riziko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17 delegovaného nariadenia (EÚ) 2016/101.</w:t>
            </w:r>
          </w:p>
        </w:tc>
      </w:tr>
      <w:tr w:rsidR="00235D9D" w:rsidRPr="00D85C65" w14:paraId="7F226801" w14:textId="77777777" w:rsidTr="00672D2A">
        <w:tc>
          <w:tcPr>
            <w:tcW w:w="1101" w:type="dxa"/>
            <w:tcBorders>
              <w:bottom w:val="single" w:sz="4" w:space="0" w:color="auto"/>
            </w:tcBorders>
          </w:tcPr>
          <w:p w14:paraId="349C8AD8"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0110</w:t>
            </w:r>
          </w:p>
        </w:tc>
        <w:tc>
          <w:tcPr>
            <w:tcW w:w="8190" w:type="dxa"/>
            <w:tcBorders>
              <w:bottom w:val="single" w:sz="4" w:space="0" w:color="auto"/>
            </w:tcBorders>
          </w:tcPr>
          <w:p w14:paraId="10688996" w14:textId="77777777" w:rsid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CELKOVÁ DODATOČNÁ ÚPRAVA OCENENIA</w:t>
            </w:r>
          </w:p>
          <w:p w14:paraId="71D87154" w14:textId="5EAF915D" w:rsid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Riadok 0010: celková dodatočná úprava ocenenia sa odpočítava od vlastných zdrojov</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súlade</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článkami 34</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105 CRR</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zodpovedajúcim spôsobom sa vykazuje</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riadku 290 vzoru C 01.00. Celková dodatočná úprava ocenenia je súčtom riadkov 0030</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0180</w:t>
            </w:r>
            <w:r w:rsidR="00D85C65">
              <w:rPr>
                <w:rStyle w:val="InstructionsTabelleberschrift"/>
                <w:rFonts w:ascii="Times New Roman" w:hAnsi="Times New Roman"/>
                <w:b w:val="0"/>
                <w:sz w:val="24"/>
                <w:u w:val="none"/>
              </w:rPr>
              <w:t>.</w:t>
            </w:r>
          </w:p>
          <w:p w14:paraId="3D0A1C1C" w14:textId="1640A1A9" w:rsid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Riadok 0020: podiel celkovej dodatočnej úpravy ocenenia vykázanej</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riadku 0010 pochádzajúci</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pozícií</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obchodnej knihe (absolútna hodnota)</w:t>
            </w:r>
            <w:r w:rsidR="00D85C65">
              <w:rPr>
                <w:rStyle w:val="InstructionsTabelleberschrift"/>
                <w:rFonts w:ascii="Times New Roman" w:hAnsi="Times New Roman"/>
                <w:b w:val="0"/>
                <w:sz w:val="24"/>
                <w:u w:val="none"/>
              </w:rPr>
              <w:t>.</w:t>
            </w:r>
          </w:p>
          <w:p w14:paraId="3D555746" w14:textId="39518534" w:rsid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Riadky 0030 až 0160: súčet stĺpcov: 0010, 0030, 0050</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0070 až 0100</w:t>
            </w:r>
            <w:r w:rsidR="00D85C65">
              <w:rPr>
                <w:rStyle w:val="InstructionsTabelleberschrift"/>
                <w:rFonts w:ascii="Times New Roman" w:hAnsi="Times New Roman"/>
                <w:b w:val="0"/>
                <w:sz w:val="24"/>
                <w:u w:val="none"/>
              </w:rPr>
              <w:t>.</w:t>
            </w:r>
          </w:p>
          <w:p w14:paraId="1EC177EC" w14:textId="6A80DF10"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Riadky 0180 až 0210: celková dodatočná úprava ocenenia pochádzajúca</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 xml:space="preserve">portfólií, na ktoré sa vzťahuje rezervný prístup. </w:t>
            </w:r>
          </w:p>
        </w:tc>
      </w:tr>
      <w:tr w:rsidR="00235D9D" w:rsidRPr="00D85C65" w14:paraId="3247717E" w14:textId="77777777" w:rsidTr="00672D2A">
        <w:tc>
          <w:tcPr>
            <w:tcW w:w="1101" w:type="dxa"/>
            <w:tcBorders>
              <w:bottom w:val="single" w:sz="4" w:space="0" w:color="auto"/>
            </w:tcBorders>
          </w:tcPr>
          <w:p w14:paraId="65FCF54F"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0120</w:t>
            </w:r>
          </w:p>
        </w:tc>
        <w:tc>
          <w:tcPr>
            <w:tcW w:w="8190" w:type="dxa"/>
            <w:tcBorders>
              <w:bottom w:val="single" w:sz="4" w:space="0" w:color="auto"/>
            </w:tcBorders>
          </w:tcPr>
          <w:p w14:paraId="345BB6C9"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NEISTOTA ZLEPŠENIA</w:t>
            </w:r>
          </w:p>
          <w:p w14:paraId="3D8003C1" w14:textId="78EDC703"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8 ods. 2</w:t>
            </w:r>
            <w:r w:rsidRPr="00D85C65">
              <w:rPr>
                <w:rFonts w:ascii="Times New Roman" w:hAnsi="Times New Roman"/>
                <w:sz w:val="24"/>
              </w:rPr>
              <w:t xml:space="preserve"> delegovaného nariadenia (EÚ) 2016/101.</w:t>
            </w:r>
          </w:p>
          <w:p w14:paraId="731CC892" w14:textId="342DD262"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Neistota zlepšenia sa vypočítava</w:t>
            </w:r>
            <w:r w:rsidR="00D85C65">
              <w:rPr>
                <w:rFonts w:ascii="Times New Roman" w:hAnsi="Times New Roman"/>
                <w:sz w:val="24"/>
              </w:rPr>
              <w:t xml:space="preserve"> a </w:t>
            </w:r>
            <w:r w:rsidRPr="00D85C65">
              <w:rPr>
                <w:rFonts w:ascii="Times New Roman" w:hAnsi="Times New Roman"/>
                <w:sz w:val="24"/>
              </w:rPr>
              <w:t>agreguje na rovnakom základe ako celková dodatočná úprava ocenenia vypočítaná</w:t>
            </w:r>
            <w:r w:rsidR="00D85C65">
              <w:rPr>
                <w:rFonts w:ascii="Times New Roman" w:hAnsi="Times New Roman"/>
                <w:sz w:val="24"/>
              </w:rPr>
              <w:t xml:space="preserve"> v </w:t>
            </w:r>
            <w:r w:rsidRPr="00D85C65">
              <w:rPr>
                <w:rFonts w:ascii="Times New Roman" w:hAnsi="Times New Roman"/>
                <w:sz w:val="24"/>
              </w:rPr>
              <w:t>stĺpci 0110, pričom sa 90</w:t>
            </w:r>
            <w:r w:rsidR="00D85C65">
              <w:rPr>
                <w:rFonts w:ascii="Times New Roman" w:hAnsi="Times New Roman"/>
                <w:sz w:val="24"/>
              </w:rPr>
              <w:t> %</w:t>
            </w:r>
            <w:r w:rsidRPr="00D85C65">
              <w:rPr>
                <w:rFonts w:ascii="Times New Roman" w:hAnsi="Times New Roman"/>
                <w:sz w:val="24"/>
              </w:rPr>
              <w:t>-ná istota použitá pri určovaní celkovej dodatočnej úpravy ocenenia nahradí 10</w:t>
            </w:r>
            <w:r w:rsidR="00D85C65">
              <w:rPr>
                <w:rFonts w:ascii="Times New Roman" w:hAnsi="Times New Roman"/>
                <w:sz w:val="24"/>
              </w:rPr>
              <w:t> %</w:t>
            </w:r>
            <w:r w:rsidRPr="00D85C65">
              <w:rPr>
                <w:rFonts w:ascii="Times New Roman" w:hAnsi="Times New Roman"/>
                <w:sz w:val="24"/>
              </w:rPr>
              <w:t>-nou istotou.</w:t>
            </w:r>
          </w:p>
        </w:tc>
      </w:tr>
      <w:tr w:rsidR="00235D9D" w:rsidRPr="00D85C65" w14:paraId="54920B4C" w14:textId="77777777" w:rsidTr="00672D2A">
        <w:tc>
          <w:tcPr>
            <w:tcW w:w="1101" w:type="dxa"/>
          </w:tcPr>
          <w:p w14:paraId="79D9AA57"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0130 – 0140</w:t>
            </w:r>
          </w:p>
        </w:tc>
        <w:tc>
          <w:tcPr>
            <w:tcW w:w="8190" w:type="dxa"/>
          </w:tcPr>
          <w:p w14:paraId="2E68B4F5"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AKTÍVA A ZÁVÄZKY</w:t>
            </w:r>
          </w:p>
          <w:p w14:paraId="7BC67217" w14:textId="7CC24DDE" w:rsidR="00D85C65" w:rsidRDefault="00973707">
            <w:pPr>
              <w:spacing w:beforeLines="60" w:before="144" w:afterLines="60" w:after="144"/>
              <w:rPr>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zodpovedajúca hodnotám dodatočnej úpravy ocenenia vykázaným</w:t>
            </w:r>
            <w:r w:rsidR="00D85C65">
              <w:rPr>
                <w:rFonts w:ascii="Times New Roman" w:hAnsi="Times New Roman"/>
                <w:sz w:val="24"/>
              </w:rPr>
              <w:t xml:space="preserve"> v </w:t>
            </w:r>
            <w:r w:rsidRPr="00D85C65">
              <w:rPr>
                <w:rFonts w:ascii="Times New Roman" w:hAnsi="Times New Roman"/>
                <w:sz w:val="24"/>
              </w:rPr>
              <w:t>riadkoch 0010 až 0130</w:t>
            </w:r>
            <w:r w:rsidR="00D85C65">
              <w:rPr>
                <w:rFonts w:ascii="Times New Roman" w:hAnsi="Times New Roman"/>
                <w:sz w:val="24"/>
              </w:rPr>
              <w:t xml:space="preserve"> a v </w:t>
            </w:r>
            <w:r w:rsidRPr="00D85C65">
              <w:rPr>
                <w:rFonts w:ascii="Times New Roman" w:hAnsi="Times New Roman"/>
                <w:sz w:val="24"/>
              </w:rPr>
              <w:t>riadku 0180.</w:t>
            </w:r>
            <w:r w:rsidR="00D85C65">
              <w:rPr>
                <w:rFonts w:ascii="Times New Roman" w:hAnsi="Times New Roman"/>
                <w:sz w:val="24"/>
              </w:rPr>
              <w:t xml:space="preserve"> V </w:t>
            </w:r>
            <w:r w:rsidRPr="00D85C65">
              <w:rPr>
                <w:rFonts w:ascii="Times New Roman" w:hAnsi="Times New Roman"/>
                <w:sz w:val="24"/>
              </w:rPr>
              <w:t>prípade niektorých riadkov, predovšetkým riadkov 0090 až 0130, uvedené hodnoty možno budú musieť byť aproximované alebo zaradené na základe odborného posúdenia</w:t>
            </w:r>
            <w:r w:rsidR="00D85C65">
              <w:rPr>
                <w:rFonts w:ascii="Times New Roman" w:hAnsi="Times New Roman"/>
                <w:sz w:val="24"/>
              </w:rPr>
              <w:t>.</w:t>
            </w:r>
          </w:p>
          <w:p w14:paraId="1CD9701D" w14:textId="6D2AB2C0" w:rsidR="00D85C65" w:rsidRDefault="00973707">
            <w:pPr>
              <w:spacing w:beforeLines="60" w:before="144" w:afterLines="60" w:after="144"/>
              <w:jc w:val="left"/>
              <w:rPr>
                <w:rFonts w:ascii="Times New Roman" w:hAnsi="Times New Roman"/>
                <w:sz w:val="24"/>
              </w:rPr>
            </w:pPr>
            <w:r w:rsidRPr="00D85C65">
              <w:rPr>
                <w:rFonts w:ascii="Times New Roman" w:hAnsi="Times New Roman"/>
                <w:sz w:val="24"/>
              </w:rPr>
              <w:t>Riadok 0010: Celková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zahrnutých do výpočtu prahovej hodnoty podľa článku 4 ods. 1 delegovaného nariadenia (EÚ) 2016/101. Zahŕňa to absolútnu hodnotu reálnou hodnotou ocenených aktív</w:t>
            </w:r>
            <w:r w:rsidR="00D85C65">
              <w:rPr>
                <w:rFonts w:ascii="Times New Roman" w:hAnsi="Times New Roman"/>
                <w:sz w:val="24"/>
              </w:rPr>
              <w:t xml:space="preserve"> a </w:t>
            </w:r>
            <w:r w:rsidRPr="00D85C65">
              <w:rPr>
                <w:rFonts w:ascii="Times New Roman" w:hAnsi="Times New Roman"/>
                <w:sz w:val="24"/>
              </w:rPr>
              <w:t xml:space="preserve">záväzkov, ktorých dodatočné úpravy ocenenia sú ocenené nulovou hodnotou podľa článku 9 ods. 2, článku 10 ods. 2 alebo článku </w:t>
            </w:r>
            <w:r w:rsidRPr="00D85C65">
              <w:rPr>
                <w:rFonts w:ascii="Times New Roman" w:hAnsi="Times New Roman"/>
                <w:sz w:val="24"/>
              </w:rPr>
              <w:lastRenderedPageBreak/>
              <w:t>10 ods. 3 delegovaného nariadenia (EÚ) 2016/101</w:t>
            </w:r>
            <w:r w:rsidR="00D85C65">
              <w:rPr>
                <w:rFonts w:ascii="Times New Roman" w:hAnsi="Times New Roman"/>
                <w:sz w:val="24"/>
              </w:rPr>
              <w:t xml:space="preserve"> a </w:t>
            </w:r>
            <w:r w:rsidRPr="00D85C65">
              <w:rPr>
                <w:rFonts w:ascii="Times New Roman" w:hAnsi="Times New Roman"/>
                <w:sz w:val="24"/>
              </w:rPr>
              <w:t>ktoré sú samostatne vykazované</w:t>
            </w:r>
            <w:r w:rsidR="00D85C65">
              <w:rPr>
                <w:rFonts w:ascii="Times New Roman" w:hAnsi="Times New Roman"/>
                <w:sz w:val="24"/>
              </w:rPr>
              <w:t xml:space="preserve"> v </w:t>
            </w:r>
            <w:r w:rsidRPr="00D85C65">
              <w:rPr>
                <w:rFonts w:ascii="Times New Roman" w:hAnsi="Times New Roman"/>
                <w:sz w:val="24"/>
              </w:rPr>
              <w:t>riadkoch 0070</w:t>
            </w:r>
            <w:r w:rsidR="00D85C65">
              <w:rPr>
                <w:rFonts w:ascii="Times New Roman" w:hAnsi="Times New Roman"/>
                <w:sz w:val="24"/>
              </w:rPr>
              <w:t xml:space="preserve"> a </w:t>
            </w:r>
            <w:r w:rsidRPr="00D85C65">
              <w:rPr>
                <w:rFonts w:ascii="Times New Roman" w:hAnsi="Times New Roman"/>
                <w:sz w:val="24"/>
              </w:rPr>
              <w:t>0080</w:t>
            </w:r>
            <w:r w:rsidR="00D85C65">
              <w:rPr>
                <w:rFonts w:ascii="Times New Roman" w:hAnsi="Times New Roman"/>
                <w:sz w:val="24"/>
              </w:rPr>
              <w:t>.</w:t>
            </w:r>
          </w:p>
          <w:p w14:paraId="39860D33" w14:textId="33D414AF" w:rsidR="00D85C65" w:rsidRDefault="00973707">
            <w:pPr>
              <w:spacing w:beforeLines="60" w:before="144" w:afterLines="60" w:after="144"/>
              <w:jc w:val="left"/>
              <w:rPr>
                <w:rFonts w:ascii="Times New Roman" w:hAnsi="Times New Roman"/>
                <w:sz w:val="24"/>
              </w:rPr>
            </w:pPr>
            <w:r w:rsidRPr="00D85C65">
              <w:rPr>
                <w:rFonts w:ascii="Times New Roman" w:hAnsi="Times New Roman"/>
                <w:sz w:val="24"/>
              </w:rPr>
              <w:t>Riadok 0010 je súčtom riadku 0030</w:t>
            </w:r>
            <w:r w:rsidR="00D85C65">
              <w:rPr>
                <w:rFonts w:ascii="Times New Roman" w:hAnsi="Times New Roman"/>
                <w:sz w:val="24"/>
              </w:rPr>
              <w:t xml:space="preserve"> a </w:t>
            </w:r>
            <w:r w:rsidRPr="00D85C65">
              <w:rPr>
                <w:rFonts w:ascii="Times New Roman" w:hAnsi="Times New Roman"/>
                <w:sz w:val="24"/>
              </w:rPr>
              <w:t>riadku 0180</w:t>
            </w:r>
            <w:r w:rsidR="00D85C65">
              <w:rPr>
                <w:rFonts w:ascii="Times New Roman" w:hAnsi="Times New Roman"/>
                <w:sz w:val="24"/>
              </w:rPr>
              <w:t>.</w:t>
            </w:r>
          </w:p>
          <w:p w14:paraId="4DEC676B" w14:textId="765CA42F" w:rsidR="00D85C65" w:rsidRDefault="00973707">
            <w:pPr>
              <w:spacing w:beforeLines="60" w:before="144" w:afterLines="60" w:after="144"/>
              <w:rPr>
                <w:rFonts w:ascii="Times New Roman" w:hAnsi="Times New Roman"/>
                <w:sz w:val="24"/>
              </w:rPr>
            </w:pPr>
            <w:r w:rsidRPr="00D85C65">
              <w:rPr>
                <w:rFonts w:ascii="Times New Roman" w:hAnsi="Times New Roman"/>
                <w:sz w:val="24"/>
              </w:rPr>
              <w:t>Riadok 0020: podiel celkovej absolútnej hodnoty reálnou hodnotou ocenených aktív</w:t>
            </w:r>
            <w:r w:rsidR="00D85C65">
              <w:rPr>
                <w:rFonts w:ascii="Times New Roman" w:hAnsi="Times New Roman"/>
                <w:sz w:val="24"/>
              </w:rPr>
              <w:t xml:space="preserve"> a </w:t>
            </w:r>
            <w:r w:rsidRPr="00D85C65">
              <w:rPr>
                <w:rFonts w:ascii="Times New Roman" w:hAnsi="Times New Roman"/>
                <w:sz w:val="24"/>
              </w:rPr>
              <w:t>záväzkov vykázaný</w:t>
            </w:r>
            <w:r w:rsidR="00D85C65">
              <w:rPr>
                <w:rFonts w:ascii="Times New Roman" w:hAnsi="Times New Roman"/>
                <w:sz w:val="24"/>
              </w:rPr>
              <w:t xml:space="preserve"> v </w:t>
            </w:r>
            <w:r w:rsidRPr="00D85C65">
              <w:rPr>
                <w:rFonts w:ascii="Times New Roman" w:hAnsi="Times New Roman"/>
                <w:sz w:val="24"/>
              </w:rPr>
              <w:t>riadku 0010 pochádzajúci</w:t>
            </w:r>
            <w:r w:rsidR="00D85C65">
              <w:rPr>
                <w:rFonts w:ascii="Times New Roman" w:hAnsi="Times New Roman"/>
                <w:sz w:val="24"/>
              </w:rPr>
              <w:t xml:space="preserve"> z </w:t>
            </w:r>
            <w:r w:rsidRPr="00D85C65">
              <w:rPr>
                <w:rFonts w:ascii="Times New Roman" w:hAnsi="Times New Roman"/>
                <w:sz w:val="24"/>
              </w:rPr>
              <w:t>pozícií</w:t>
            </w:r>
            <w:r w:rsidR="00D85C65">
              <w:rPr>
                <w:rFonts w:ascii="Times New Roman" w:hAnsi="Times New Roman"/>
                <w:sz w:val="24"/>
              </w:rPr>
              <w:t xml:space="preserve"> v </w:t>
            </w:r>
            <w:r w:rsidRPr="00D85C65">
              <w:rPr>
                <w:rFonts w:ascii="Times New Roman" w:hAnsi="Times New Roman"/>
                <w:sz w:val="24"/>
              </w:rPr>
              <w:t>obchodnej knihe (absolútna hodnota)</w:t>
            </w:r>
            <w:r w:rsidR="00D85C65">
              <w:rPr>
                <w:rFonts w:ascii="Times New Roman" w:hAnsi="Times New Roman"/>
                <w:sz w:val="24"/>
              </w:rPr>
              <w:t>.</w:t>
            </w:r>
          </w:p>
          <w:p w14:paraId="2E9D1837" w14:textId="71E4582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Riadok 0030: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zodpovedajúcich portfóliám podľa článkov 9 až 17 delegovaného nariadenia (EÚ) 2016/101. Zahŕňa to absolútnu hodnotu reálnou hodnotou ocenených aktív</w:t>
            </w:r>
            <w:r w:rsidR="00D85C65">
              <w:rPr>
                <w:rFonts w:ascii="Times New Roman" w:hAnsi="Times New Roman"/>
                <w:sz w:val="24"/>
              </w:rPr>
              <w:t xml:space="preserve"> a </w:t>
            </w:r>
            <w:r w:rsidRPr="00D85C65">
              <w:rPr>
                <w:rFonts w:ascii="Times New Roman" w:hAnsi="Times New Roman"/>
                <w:sz w:val="24"/>
              </w:rPr>
              <w:t>záväzkov, ktorých dodatočné úpravy ocenenia sú ocenené nulovou hodnotou podľa článku 9 ods. 2, článku 10 ods. 2 alebo článku 10 ods. 3 delegovaného nariadenia (EÚ) 2016/101</w:t>
            </w:r>
            <w:r w:rsidR="00D85C65">
              <w:rPr>
                <w:rFonts w:ascii="Times New Roman" w:hAnsi="Times New Roman"/>
                <w:sz w:val="24"/>
              </w:rPr>
              <w:t xml:space="preserve"> a </w:t>
            </w:r>
            <w:r w:rsidRPr="00D85C65">
              <w:rPr>
                <w:rFonts w:ascii="Times New Roman" w:hAnsi="Times New Roman"/>
                <w:sz w:val="24"/>
              </w:rPr>
              <w:t>ktoré sú samostatne vykazované</w:t>
            </w:r>
            <w:r w:rsidR="00D85C65">
              <w:rPr>
                <w:rFonts w:ascii="Times New Roman" w:hAnsi="Times New Roman"/>
                <w:sz w:val="24"/>
              </w:rPr>
              <w:t xml:space="preserve"> v </w:t>
            </w:r>
            <w:r w:rsidRPr="00D85C65">
              <w:rPr>
                <w:rFonts w:ascii="Times New Roman" w:hAnsi="Times New Roman"/>
                <w:sz w:val="24"/>
              </w:rPr>
              <w:t>riadkoch 0070</w:t>
            </w:r>
            <w:r w:rsidR="00D85C65">
              <w:rPr>
                <w:rFonts w:ascii="Times New Roman" w:hAnsi="Times New Roman"/>
                <w:sz w:val="24"/>
              </w:rPr>
              <w:t xml:space="preserve"> a </w:t>
            </w:r>
            <w:r w:rsidRPr="00D85C65">
              <w:rPr>
                <w:rFonts w:ascii="Times New Roman" w:hAnsi="Times New Roman"/>
                <w:sz w:val="24"/>
              </w:rPr>
              <w:t>0080. Riadok 0030 je súčtom riadkov 0090 až 0130.</w:t>
            </w:r>
          </w:p>
          <w:p w14:paraId="5016170D" w14:textId="40C4EF77" w:rsidR="00D85C65" w:rsidRDefault="00973707">
            <w:pPr>
              <w:spacing w:beforeLines="60" w:before="144" w:afterLines="60" w:after="144"/>
              <w:rPr>
                <w:rFonts w:ascii="Times New Roman" w:hAnsi="Times New Roman"/>
                <w:sz w:val="24"/>
              </w:rPr>
            </w:pPr>
            <w:r w:rsidRPr="00D85C65">
              <w:rPr>
                <w:rFonts w:ascii="Times New Roman" w:hAnsi="Times New Roman"/>
                <w:sz w:val="24"/>
              </w:rPr>
              <w:t>Riadok 0050: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zahrnutých do rozsahu výpočtu dodatočnej úpravy ocenenia zohľadňujúcej nezískané kreditné rozpätie. Na účely výpočtu tejto dodatočnej úpravy ocenenia presne zodpovedajúce spárované aktíva</w:t>
            </w:r>
            <w:r w:rsidR="00D85C65">
              <w:rPr>
                <w:rFonts w:ascii="Times New Roman" w:hAnsi="Times New Roman"/>
                <w:sz w:val="24"/>
              </w:rPr>
              <w:t xml:space="preserve"> a </w:t>
            </w:r>
            <w:r w:rsidRPr="00D85C65">
              <w:rPr>
                <w:rFonts w:ascii="Times New Roman" w:hAnsi="Times New Roman"/>
                <w:sz w:val="24"/>
              </w:rPr>
              <w:t>záväzky ocenené reálnou hodnotou vylúčené</w:t>
            </w:r>
            <w:r w:rsidR="00D85C65">
              <w:rPr>
                <w:rFonts w:ascii="Times New Roman" w:hAnsi="Times New Roman"/>
                <w:sz w:val="24"/>
              </w:rPr>
              <w:t xml:space="preserve"> z </w:t>
            </w:r>
            <w:r w:rsidRPr="00D85C65">
              <w:rPr>
                <w:rFonts w:ascii="Times New Roman" w:hAnsi="Times New Roman"/>
                <w:sz w:val="24"/>
              </w:rPr>
              <w:t>výpočtu prahovej hodnoty podľa článku 4 ods. 2 delegovaného nariadenia (EÚ) 2016/101 nemožno viac považovať za presne zodpovedajúce spárované aktíva</w:t>
            </w:r>
            <w:r w:rsidR="00D85C65">
              <w:rPr>
                <w:rFonts w:ascii="Times New Roman" w:hAnsi="Times New Roman"/>
                <w:sz w:val="24"/>
              </w:rPr>
              <w:t>.</w:t>
            </w:r>
          </w:p>
          <w:p w14:paraId="7EA153F7" w14:textId="1270B7EF" w:rsidR="00D85C65" w:rsidRDefault="00973707">
            <w:pPr>
              <w:spacing w:beforeLines="60" w:before="144" w:afterLines="60" w:after="144"/>
              <w:rPr>
                <w:rFonts w:ascii="Times New Roman" w:hAnsi="Times New Roman"/>
                <w:sz w:val="24"/>
              </w:rPr>
            </w:pPr>
            <w:r w:rsidRPr="00D85C65">
              <w:rPr>
                <w:rFonts w:ascii="Times New Roman" w:hAnsi="Times New Roman"/>
                <w:sz w:val="24"/>
              </w:rPr>
              <w:t>Riadok 0060: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zahrnutých do rozsahu výpočtu dodatočnej úpravy ocenenia zohľadňujúcej investičné náklady</w:t>
            </w:r>
            <w:r w:rsidR="00D85C65">
              <w:rPr>
                <w:rFonts w:ascii="Times New Roman" w:hAnsi="Times New Roman"/>
                <w:sz w:val="24"/>
              </w:rPr>
              <w:t xml:space="preserve"> a </w:t>
            </w:r>
            <w:r w:rsidRPr="00D85C65">
              <w:rPr>
                <w:rFonts w:ascii="Times New Roman" w:hAnsi="Times New Roman"/>
                <w:sz w:val="24"/>
              </w:rPr>
              <w:t>náklady na financovanie. Na účely výpočtu tejto dodatočnej úpravy ocenenia presne zodpovedajúce spárované aktíva</w:t>
            </w:r>
            <w:r w:rsidR="00D85C65">
              <w:rPr>
                <w:rFonts w:ascii="Times New Roman" w:hAnsi="Times New Roman"/>
                <w:sz w:val="24"/>
              </w:rPr>
              <w:t xml:space="preserve"> a </w:t>
            </w:r>
            <w:r w:rsidRPr="00D85C65">
              <w:rPr>
                <w:rFonts w:ascii="Times New Roman" w:hAnsi="Times New Roman"/>
                <w:sz w:val="24"/>
              </w:rPr>
              <w:t>záväzky ocenené reálnou hodnotou vylúčené</w:t>
            </w:r>
            <w:r w:rsidR="00D85C65">
              <w:rPr>
                <w:rFonts w:ascii="Times New Roman" w:hAnsi="Times New Roman"/>
                <w:sz w:val="24"/>
              </w:rPr>
              <w:t xml:space="preserve"> z </w:t>
            </w:r>
            <w:r w:rsidRPr="00D85C65">
              <w:rPr>
                <w:rFonts w:ascii="Times New Roman" w:hAnsi="Times New Roman"/>
                <w:sz w:val="24"/>
              </w:rPr>
              <w:t>výpočtu prahovej hodnoty podľa článku 4 ods. 2 delegovaného nariadenia (EÚ) 2016/101 nemožno viac považovať za presne zodpovedajúce spárované aktíva</w:t>
            </w:r>
            <w:r w:rsidR="00D85C65">
              <w:rPr>
                <w:rFonts w:ascii="Times New Roman" w:hAnsi="Times New Roman"/>
                <w:sz w:val="24"/>
              </w:rPr>
              <w:t>.</w:t>
            </w:r>
          </w:p>
          <w:p w14:paraId="5DA4DA39" w14:textId="6BED877E" w:rsidR="00D85C65" w:rsidRDefault="00973707">
            <w:pPr>
              <w:spacing w:beforeLines="60" w:before="144" w:afterLines="60" w:after="144"/>
              <w:rPr>
                <w:rFonts w:ascii="Times New Roman" w:hAnsi="Times New Roman"/>
                <w:sz w:val="24"/>
              </w:rPr>
            </w:pPr>
            <w:r w:rsidRPr="00D85C65">
              <w:rPr>
                <w:rFonts w:ascii="Times New Roman" w:hAnsi="Times New Roman"/>
                <w:sz w:val="24"/>
              </w:rPr>
              <w:t>Riadok 0070: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zodpovedajúcich expozíciám</w:t>
            </w:r>
            <w:r w:rsidR="00D85C65">
              <w:rPr>
                <w:rFonts w:ascii="Times New Roman" w:hAnsi="Times New Roman"/>
                <w:sz w:val="24"/>
              </w:rPr>
              <w:t xml:space="preserve"> z </w:t>
            </w:r>
            <w:r w:rsidRPr="00D85C65">
              <w:rPr>
                <w:rFonts w:ascii="Times New Roman" w:hAnsi="Times New Roman"/>
                <w:sz w:val="24"/>
              </w:rPr>
              <w:t>ocenenia oceneným nulovou hodnotou dodatočnej úpravy ocenenia podľa článku 9 ods. 2 delegovaného nariadenia (EÚ) 2016/101</w:t>
            </w:r>
            <w:r w:rsidR="00D85C65">
              <w:rPr>
                <w:rFonts w:ascii="Times New Roman" w:hAnsi="Times New Roman"/>
                <w:sz w:val="24"/>
              </w:rPr>
              <w:t>.</w:t>
            </w:r>
          </w:p>
          <w:p w14:paraId="03704462" w14:textId="37F7A38C" w:rsidR="00D85C65" w:rsidRDefault="00973707">
            <w:pPr>
              <w:spacing w:beforeLines="60" w:before="144" w:afterLines="60" w:after="144"/>
              <w:rPr>
                <w:rFonts w:ascii="Times New Roman" w:hAnsi="Times New Roman"/>
                <w:sz w:val="24"/>
              </w:rPr>
            </w:pPr>
            <w:r w:rsidRPr="00D85C65">
              <w:rPr>
                <w:rFonts w:ascii="Times New Roman" w:hAnsi="Times New Roman"/>
                <w:sz w:val="24"/>
              </w:rPr>
              <w:t>Riadok 0080: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zodpovedajúcich expozícií</w:t>
            </w:r>
            <w:r w:rsidR="00D85C65">
              <w:rPr>
                <w:rFonts w:ascii="Times New Roman" w:hAnsi="Times New Roman"/>
                <w:sz w:val="24"/>
              </w:rPr>
              <w:t xml:space="preserve"> z </w:t>
            </w:r>
            <w:r w:rsidRPr="00D85C65">
              <w:rPr>
                <w:rFonts w:ascii="Times New Roman" w:hAnsi="Times New Roman"/>
                <w:sz w:val="24"/>
              </w:rPr>
              <w:t>ocenenia ocenených nulovou hodnotou dodatočnej úpravy ocenenia podľa článku 10 ods. 2</w:t>
            </w:r>
            <w:r w:rsidR="00D85C65">
              <w:rPr>
                <w:rFonts w:ascii="Times New Roman" w:hAnsi="Times New Roman"/>
                <w:sz w:val="24"/>
              </w:rPr>
              <w:t xml:space="preserve"> a </w:t>
            </w:r>
            <w:r w:rsidRPr="00D85C65">
              <w:rPr>
                <w:rFonts w:ascii="Times New Roman" w:hAnsi="Times New Roman"/>
                <w:sz w:val="24"/>
              </w:rPr>
              <w:t>3 delegovaného nariadenia (EÚ) 2016/101</w:t>
            </w:r>
            <w:r w:rsidR="00D85C65">
              <w:rPr>
                <w:rFonts w:ascii="Times New Roman" w:hAnsi="Times New Roman"/>
                <w:sz w:val="24"/>
              </w:rPr>
              <w:t>.</w:t>
            </w:r>
          </w:p>
          <w:p w14:paraId="08695D63" w14:textId="4D2E8EDA"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Riadky 0090 až 0130: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zaradených, ako je stanovené ďalej (pozri pokyny pre príslušné riadky), podľa nasledujúcich kategórií rizika: úrokového, devízového, kreditného, kapitálového, komoditného. Zahŕňa to absolútnu hodnotu reálnou hodnotou ocenených aktív</w:t>
            </w:r>
            <w:r w:rsidR="00D85C65">
              <w:rPr>
                <w:rFonts w:ascii="Times New Roman" w:hAnsi="Times New Roman"/>
                <w:sz w:val="24"/>
              </w:rPr>
              <w:t xml:space="preserve"> a </w:t>
            </w:r>
            <w:r w:rsidRPr="00D85C65">
              <w:rPr>
                <w:rFonts w:ascii="Times New Roman" w:hAnsi="Times New Roman"/>
                <w:sz w:val="24"/>
              </w:rPr>
              <w:t>záväzkov, ktorých dodatočné úpravy ocenenia sú ocenené nulovou hodnotou podľa článku 9 ods. 2, článku 10 ods. 2 alebo článku 10 ods. 3 delegovaného nariadenia (EÚ) 2016/101</w:t>
            </w:r>
            <w:r w:rsidR="00D85C65">
              <w:rPr>
                <w:rFonts w:ascii="Times New Roman" w:hAnsi="Times New Roman"/>
                <w:sz w:val="24"/>
              </w:rPr>
              <w:t xml:space="preserve"> a </w:t>
            </w:r>
            <w:r w:rsidRPr="00D85C65">
              <w:rPr>
                <w:rFonts w:ascii="Times New Roman" w:hAnsi="Times New Roman"/>
                <w:sz w:val="24"/>
              </w:rPr>
              <w:t>ktoré sú samostatne vykazované</w:t>
            </w:r>
            <w:r w:rsidR="00D85C65">
              <w:rPr>
                <w:rFonts w:ascii="Times New Roman" w:hAnsi="Times New Roman"/>
                <w:sz w:val="24"/>
              </w:rPr>
              <w:t xml:space="preserve"> v </w:t>
            </w:r>
            <w:r w:rsidRPr="00D85C65">
              <w:rPr>
                <w:rFonts w:ascii="Times New Roman" w:hAnsi="Times New Roman"/>
                <w:sz w:val="24"/>
              </w:rPr>
              <w:t>riadkoch 0070</w:t>
            </w:r>
            <w:r w:rsidR="00D85C65">
              <w:rPr>
                <w:rFonts w:ascii="Times New Roman" w:hAnsi="Times New Roman"/>
                <w:sz w:val="24"/>
              </w:rPr>
              <w:t xml:space="preserve"> a </w:t>
            </w:r>
            <w:r w:rsidRPr="00D85C65">
              <w:rPr>
                <w:rFonts w:ascii="Times New Roman" w:hAnsi="Times New Roman"/>
                <w:sz w:val="24"/>
              </w:rPr>
              <w:t>0080.</w:t>
            </w:r>
          </w:p>
          <w:p w14:paraId="4D3064A6" w14:textId="27AA6F14"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Riadok 0180: absolútna hodnota reálnou hodnotou ocenených aktív</w:t>
            </w:r>
            <w:r w:rsidR="00D85C65">
              <w:rPr>
                <w:rFonts w:ascii="Times New Roman" w:hAnsi="Times New Roman"/>
                <w:sz w:val="24"/>
              </w:rPr>
              <w:t xml:space="preserve"> a </w:t>
            </w:r>
            <w:r w:rsidRPr="00D85C65">
              <w:rPr>
                <w:rFonts w:ascii="Times New Roman" w:hAnsi="Times New Roman"/>
                <w:sz w:val="24"/>
              </w:rPr>
              <w:t xml:space="preserve">záväzkov zodpovedajúcich portfóliám, na ktoré sa vzťahuje rezervný prístup. </w:t>
            </w:r>
          </w:p>
        </w:tc>
      </w:tr>
      <w:tr w:rsidR="00235D9D" w:rsidRPr="00D85C65" w14:paraId="4282DCF6" w14:textId="77777777" w:rsidTr="00672D2A">
        <w:tc>
          <w:tcPr>
            <w:tcW w:w="1101" w:type="dxa"/>
          </w:tcPr>
          <w:p w14:paraId="01C83808"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0130</w:t>
            </w:r>
          </w:p>
        </w:tc>
        <w:tc>
          <w:tcPr>
            <w:tcW w:w="8190" w:type="dxa"/>
          </w:tcPr>
          <w:p w14:paraId="791A4114"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AKTÍVA</w:t>
            </w:r>
          </w:p>
          <w:p w14:paraId="7F3F829E" w14:textId="4D652F21" w:rsidR="00235D9D" w:rsidRPr="00D85C65" w:rsidRDefault="00973707">
            <w:pPr>
              <w:spacing w:beforeLines="60" w:before="144" w:afterLines="60" w:after="144"/>
              <w:rPr>
                <w:rStyle w:val="InstructionsTabelleberschrift"/>
                <w:rFonts w:ascii="Times New Roman" w:hAnsi="Times New Roman"/>
                <w:sz w:val="24"/>
                <w:u w:val="none"/>
              </w:rPr>
            </w:pPr>
            <w:r w:rsidRPr="00D85C65">
              <w:rPr>
                <w:rFonts w:ascii="Times New Roman" w:hAnsi="Times New Roman"/>
                <w:sz w:val="24"/>
              </w:rPr>
              <w:t xml:space="preserve">Absolútna hodnota </w:t>
            </w:r>
            <w:r w:rsidRPr="00D85C65">
              <w:rPr>
                <w:rStyle w:val="InstructionsTabelleberschrift"/>
                <w:rFonts w:ascii="Times New Roman" w:hAnsi="Times New Roman"/>
                <w:b w:val="0"/>
                <w:sz w:val="24"/>
                <w:u w:val="none"/>
              </w:rPr>
              <w:t>reálnou hodnotou ocenených aktív zodpovedajúcich rôznym riadkom</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zmysle vysvetlenia</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pokynoch</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stĺpcoch 0130 až 0140 vyššie.</w:t>
            </w:r>
          </w:p>
        </w:tc>
      </w:tr>
      <w:tr w:rsidR="00235D9D" w:rsidRPr="00D85C65" w14:paraId="1EB7333B" w14:textId="77777777" w:rsidTr="00672D2A">
        <w:tc>
          <w:tcPr>
            <w:tcW w:w="1101" w:type="dxa"/>
          </w:tcPr>
          <w:p w14:paraId="3163A30F"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0140</w:t>
            </w:r>
          </w:p>
        </w:tc>
        <w:tc>
          <w:tcPr>
            <w:tcW w:w="8190" w:type="dxa"/>
          </w:tcPr>
          <w:p w14:paraId="56733A2F" w14:textId="77777777" w:rsidR="00235D9D" w:rsidRPr="00D85C65" w:rsidRDefault="00973707">
            <w:pPr>
              <w:tabs>
                <w:tab w:val="center" w:pos="3894"/>
              </w:tabs>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ZÁVÄZKY</w:t>
            </w:r>
          </w:p>
          <w:p w14:paraId="1D8BFEB5" w14:textId="7B2686DE" w:rsidR="00235D9D" w:rsidRPr="00D85C65" w:rsidRDefault="00973707">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 xml:space="preserve">Absolútna hodnota </w:t>
            </w:r>
            <w:r w:rsidRPr="00D85C65">
              <w:rPr>
                <w:rStyle w:val="InstructionsTabelleberschrift"/>
                <w:rFonts w:ascii="Times New Roman" w:hAnsi="Times New Roman"/>
                <w:b w:val="0"/>
                <w:sz w:val="24"/>
                <w:u w:val="none"/>
              </w:rPr>
              <w:t>reálnou hodnotou ocenených záväzkov zodpovedajúcich rôznym riadkom</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zmysle vysvetlenia</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pokynoch</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stĺpcoch 0130 až 0140 vyššie.</w:t>
            </w:r>
          </w:p>
        </w:tc>
      </w:tr>
      <w:tr w:rsidR="00235D9D" w:rsidRPr="00D85C65" w14:paraId="27DA91E9" w14:textId="77777777" w:rsidTr="00672D2A">
        <w:tc>
          <w:tcPr>
            <w:tcW w:w="1101" w:type="dxa"/>
          </w:tcPr>
          <w:p w14:paraId="7535313A"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0150</w:t>
            </w:r>
          </w:p>
        </w:tc>
        <w:tc>
          <w:tcPr>
            <w:tcW w:w="8190" w:type="dxa"/>
          </w:tcPr>
          <w:p w14:paraId="14AE7343"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PRÍJMY OD ZAČIATKU ŠTVRŤROKA DO PRÍSLUŠNÉHO DÁTUMU</w:t>
            </w:r>
          </w:p>
          <w:p w14:paraId="0388881E" w14:textId="13991BD0"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Príjmy od začiatku štvrťroka do príslušného dátumu od posledného dátumu vykazovania priradené</w:t>
            </w:r>
            <w:r w:rsidR="00D85C65">
              <w:rPr>
                <w:rFonts w:ascii="Times New Roman" w:hAnsi="Times New Roman"/>
                <w:sz w:val="24"/>
              </w:rPr>
              <w:t xml:space="preserve"> k </w:t>
            </w:r>
            <w:r w:rsidRPr="00D85C65">
              <w:rPr>
                <w:rFonts w:ascii="Times New Roman" w:hAnsi="Times New Roman"/>
                <w:sz w:val="24"/>
              </w:rPr>
              <w:t>reálnou hodnotou oceneným aktívam</w:t>
            </w:r>
            <w:r w:rsidR="00D85C65">
              <w:rPr>
                <w:rFonts w:ascii="Times New Roman" w:hAnsi="Times New Roman"/>
                <w:sz w:val="24"/>
              </w:rPr>
              <w:t xml:space="preserve"> a </w:t>
            </w:r>
            <w:r w:rsidRPr="00D85C65">
              <w:rPr>
                <w:rFonts w:ascii="Times New Roman" w:hAnsi="Times New Roman"/>
                <w:sz w:val="24"/>
              </w:rPr>
              <w:t xml:space="preserve">záväzkom </w:t>
            </w:r>
            <w:r w:rsidRPr="00D85C65">
              <w:rPr>
                <w:rStyle w:val="InstructionsTabelleberschrift"/>
                <w:rFonts w:ascii="Times New Roman" w:hAnsi="Times New Roman"/>
                <w:b w:val="0"/>
                <w:sz w:val="24"/>
                <w:u w:val="none"/>
              </w:rPr>
              <w:t>zodpovedajúcim rôznym riadkom</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zmysle vysvetlenia</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pokynoch</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stĺpcoch 0130 – 0140 vyššie, pričom</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príslušných prípadoch sú zaradené alebo aproximované na základe odborného posúdenia</w:t>
            </w:r>
            <w:r w:rsidRPr="00D85C65">
              <w:rPr>
                <w:rFonts w:ascii="Times New Roman" w:hAnsi="Times New Roman"/>
                <w:sz w:val="24"/>
              </w:rPr>
              <w:t>.</w:t>
            </w:r>
          </w:p>
        </w:tc>
      </w:tr>
      <w:tr w:rsidR="00235D9D" w:rsidRPr="00D85C65" w14:paraId="0D514A2C" w14:textId="77777777" w:rsidTr="00672D2A">
        <w:tc>
          <w:tcPr>
            <w:tcW w:w="1101" w:type="dxa"/>
          </w:tcPr>
          <w:p w14:paraId="071C552A"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0160</w:t>
            </w:r>
          </w:p>
        </w:tc>
        <w:tc>
          <w:tcPr>
            <w:tcW w:w="8190" w:type="dxa"/>
          </w:tcPr>
          <w:p w14:paraId="64FBE49A"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ROZDIEL NEZÁVISLÉHO OVEROVANIA CIEN</w:t>
            </w:r>
          </w:p>
          <w:p w14:paraId="57C5F826" w14:textId="0DCA8C7B" w:rsid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Súčet všetkých pozícií</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rizikových faktorov neupravených súm rozdielu („rozdiel nezávislého overovania cien“) vypočítaný na konci mesiaca najbližšie</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dátumu vykazovania na základe procesu nezávislého overovania cien vykonaného</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súlade</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článkom 105 ods. 8 CRR</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ohľadom na najlepšie dostupné nezávislé údaje pre príslušnú pozíciu alebo rizikový faktor</w:t>
            </w:r>
            <w:r w:rsidR="00D85C65">
              <w:rPr>
                <w:rStyle w:val="InstructionsTabelleberschrift"/>
                <w:rFonts w:ascii="Times New Roman" w:hAnsi="Times New Roman"/>
                <w:b w:val="0"/>
                <w:sz w:val="24"/>
                <w:u w:val="none"/>
              </w:rPr>
              <w:t>.</w:t>
            </w:r>
          </w:p>
          <w:p w14:paraId="4F393E03" w14:textId="677BA96D" w:rsid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Neupravené sumy rozdielu označujú neupravené rozdiely medzi oceneniami vygenerovanými obchodným systémom</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oceneniami odhadnutými počas každomesačného procesu nezávislého overovania cien</w:t>
            </w:r>
            <w:r w:rsidR="00D85C65">
              <w:rPr>
                <w:rStyle w:val="InstructionsTabelleberschrift"/>
                <w:rFonts w:ascii="Times New Roman" w:hAnsi="Times New Roman"/>
                <w:b w:val="0"/>
                <w:sz w:val="24"/>
                <w:u w:val="none"/>
              </w:rPr>
              <w:t>.</w:t>
            </w:r>
          </w:p>
          <w:p w14:paraId="2437D774" w14:textId="6D129868" w:rsidR="00235D9D" w:rsidRPr="00D85C65" w:rsidRDefault="004D2753">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Do výpočtu rozdielu nezávislého overovania cien sa nezahŕňajú žiadne upravené sumy rozdielu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kníh</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záznamov príslušnej inštitúcie pre koncový dátum príslušného mesiaca.</w:t>
            </w:r>
          </w:p>
        </w:tc>
      </w:tr>
      <w:tr w:rsidR="00235D9D" w:rsidRPr="00D85C65" w14:paraId="312B8986" w14:textId="77777777" w:rsidTr="00672D2A">
        <w:tc>
          <w:tcPr>
            <w:tcW w:w="1101" w:type="dxa"/>
          </w:tcPr>
          <w:p w14:paraId="029722F9"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0170 – 0250</w:t>
            </w:r>
          </w:p>
        </w:tc>
        <w:tc>
          <w:tcPr>
            <w:tcW w:w="8190" w:type="dxa"/>
          </w:tcPr>
          <w:p w14:paraId="7B256BA4"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ÚPRAVY REÁLNEJ HODNOTY</w:t>
            </w:r>
          </w:p>
          <w:p w14:paraId="659F73D4" w14:textId="3416E7AA"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Úpravy, niekedy označované aj ako „rezervy“, potenciálne uplatňované pri účtovaní na základe reálnej hodnoty príslušnej inštitúcie, ktoré sa vykonajú mimo modelu oceňovania použitého na vygenerovanie účtovnej hodnoty (okrem odkladu ziskov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strát prvého dňa)</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ktoré možno identifikovať ako riešiace rovnaký zdroj neistoty ocenenia ako príslušná dodatočná úprava ocenenia. Môžu odrážať rizikové faktory nezachytené</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rámci techniky oceňovania, ktoré majú podobu rizikovej prirážky alebo výstupných nákladov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spĺňajú vymedzenie reálnej hodnoty. Musia ich však zohľadňovať účastníci trhu pri stanovovaní ceny. (IFRS 13 ods. 9</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IFRS 13 ods. 88)</w:t>
            </w:r>
          </w:p>
        </w:tc>
      </w:tr>
      <w:tr w:rsidR="00235D9D" w:rsidRPr="00D85C65" w14:paraId="3EB0E701" w14:textId="77777777" w:rsidTr="00672D2A">
        <w:tc>
          <w:tcPr>
            <w:tcW w:w="1101" w:type="dxa"/>
          </w:tcPr>
          <w:p w14:paraId="6E4796AB"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0170</w:t>
            </w:r>
          </w:p>
        </w:tc>
        <w:tc>
          <w:tcPr>
            <w:tcW w:w="8190" w:type="dxa"/>
          </w:tcPr>
          <w:p w14:paraId="4B6C18C7" w14:textId="77777777"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sz w:val="24"/>
              </w:rPr>
              <w:t>NEISTOTA TRHOVEJ CENY</w:t>
            </w:r>
          </w:p>
          <w:p w14:paraId="0CFF7179" w14:textId="4CFA0702"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cieľom zohľadniť rizikovú prirážku vyplývajúcu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existencie rozmedzia zistených cien pre ekvivalentné nástroje alebo,</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hľadiska vstupu parametru trhu do modelu oceňovania, nástroje, vstup</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ktorých bol kalibrovaný</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ktoré preto možno označiť za riešiace rovnaký </w:t>
            </w:r>
            <w:r w:rsidRPr="00D85C65">
              <w:rPr>
                <w:rStyle w:val="InstructionsTabelleberschrift"/>
                <w:rFonts w:ascii="Times New Roman" w:hAnsi="Times New Roman"/>
                <w:b w:val="0"/>
                <w:sz w:val="24"/>
                <w:u w:val="none"/>
              </w:rPr>
              <w:lastRenderedPageBreak/>
              <w:t xml:space="preserve">zdroj neistoty ocenenia ako dodatočná úprava ocenenia zohľadňujúca neistotu trhovej ceny. </w:t>
            </w:r>
          </w:p>
        </w:tc>
      </w:tr>
      <w:tr w:rsidR="00235D9D" w:rsidRPr="00D85C65" w14:paraId="7B8B25D3" w14:textId="77777777" w:rsidTr="00672D2A">
        <w:tc>
          <w:tcPr>
            <w:tcW w:w="1101" w:type="dxa"/>
          </w:tcPr>
          <w:p w14:paraId="239AE61C"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0180</w:t>
            </w:r>
          </w:p>
        </w:tc>
        <w:tc>
          <w:tcPr>
            <w:tcW w:w="8190" w:type="dxa"/>
          </w:tcPr>
          <w:p w14:paraId="087A845C"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NÁKLADY NA ZATVORENIE POZÍCIÍ</w:t>
            </w:r>
          </w:p>
          <w:p w14:paraId="5F347C23" w14:textId="2330178A"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cieľom dosiahnuť úpravu</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ohľadom na skutočnosť, že ocenenia na úrovni pozície nezohľadňujú výstupnú cenu pre pozíciu ani portfólio, predovšetkým vtedy, keď sú takéto ocenenia kalibrované na strednú trhovú cenu,</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preto ich možno označiť za riešiace rovnaký zdroj neistoty ocenenia ako </w:t>
            </w:r>
            <w:r w:rsidRPr="00D85C65">
              <w:rPr>
                <w:rFonts w:ascii="Times New Roman" w:hAnsi="Times New Roman"/>
                <w:sz w:val="24"/>
              </w:rPr>
              <w:t>dodatočná úprava ocenenia zohľadňujúca náklady na zatvorenie pozícií</w:t>
            </w:r>
            <w:r w:rsidRPr="00D85C65">
              <w:rPr>
                <w:rStyle w:val="InstructionsTabelleberschrift"/>
                <w:rFonts w:ascii="Times New Roman" w:hAnsi="Times New Roman"/>
                <w:b w:val="0"/>
                <w:sz w:val="24"/>
                <w:u w:val="none"/>
              </w:rPr>
              <w:t>.</w:t>
            </w:r>
          </w:p>
        </w:tc>
      </w:tr>
      <w:tr w:rsidR="00235D9D" w:rsidRPr="00D85C65" w14:paraId="0056FFF2" w14:textId="77777777" w:rsidTr="00672D2A">
        <w:tc>
          <w:tcPr>
            <w:tcW w:w="1101" w:type="dxa"/>
          </w:tcPr>
          <w:p w14:paraId="24370B10"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0190</w:t>
            </w:r>
          </w:p>
        </w:tc>
        <w:tc>
          <w:tcPr>
            <w:tcW w:w="8190" w:type="dxa"/>
          </w:tcPr>
          <w:p w14:paraId="6EB01E94"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RIZIKO MODELOV</w:t>
            </w:r>
          </w:p>
          <w:p w14:paraId="759215B0" w14:textId="0B6CF23A"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cieľom zohľadniť trhové alebo produktové faktory, ktoré nie sú zachytené modelom používaným na výpočet denných hodnôt</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rizík pozícií („model oceňovania“), alebo zohľadniť príslušnú úroveň obozretnosti vzhľadom na neistotu vyplývajúcu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existencie radu alternatívnych platných modelov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kalibrácií modelov,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ktoré preto možno označiť za riešiace rovnaký zdroj neistoty ocenenia ako </w:t>
            </w:r>
            <w:r w:rsidRPr="00D85C65">
              <w:rPr>
                <w:rFonts w:ascii="Times New Roman" w:hAnsi="Times New Roman"/>
                <w:sz w:val="24"/>
              </w:rPr>
              <w:t>dodatočná úprava ocenenia zohľadňujúca riziko modelov</w:t>
            </w:r>
            <w:r w:rsidRPr="00D85C65">
              <w:rPr>
                <w:rStyle w:val="InstructionsTabelleberschrift"/>
                <w:rFonts w:ascii="Times New Roman" w:hAnsi="Times New Roman"/>
                <w:b w:val="0"/>
                <w:sz w:val="24"/>
                <w:u w:val="none"/>
              </w:rPr>
              <w:t>.</w:t>
            </w:r>
          </w:p>
        </w:tc>
      </w:tr>
      <w:tr w:rsidR="00235D9D" w:rsidRPr="00D85C65" w14:paraId="1AB87AA2" w14:textId="77777777" w:rsidTr="00672D2A">
        <w:tc>
          <w:tcPr>
            <w:tcW w:w="1101" w:type="dxa"/>
          </w:tcPr>
          <w:p w14:paraId="24A595E5"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0200</w:t>
            </w:r>
          </w:p>
        </w:tc>
        <w:tc>
          <w:tcPr>
            <w:tcW w:w="8190" w:type="dxa"/>
          </w:tcPr>
          <w:p w14:paraId="7F7447C2"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KONCENTROVANÉ POZÍCIE</w:t>
            </w:r>
          </w:p>
          <w:p w14:paraId="2AF1D656" w14:textId="15A24F23"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 na zohľadnenie skutočnosti, že agregovaná pozícia držaná inštitúciou je väčšia ako normálny obchodovaný objem alebo väčšia ako veľkosti pozícií, na ktorých sú založené zistiteľné kotácie alebo obchody použité na kalibráciu ceny alebo vstupov používaných modelom oceňovania,</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ktoré preto možno označiť za riešiace rovnaký zdroj neistoty ocenenia ako </w:t>
            </w:r>
            <w:r w:rsidRPr="00D85C65">
              <w:rPr>
                <w:rFonts w:ascii="Times New Roman" w:hAnsi="Times New Roman"/>
                <w:sz w:val="24"/>
              </w:rPr>
              <w:t>dodatočná úprava ocenenia zohľadňujúca koncentrované pozície</w:t>
            </w:r>
            <w:r w:rsidRPr="00D85C65">
              <w:rPr>
                <w:rStyle w:val="InstructionsTabelleberschrift"/>
                <w:rFonts w:ascii="Times New Roman" w:hAnsi="Times New Roman"/>
                <w:b w:val="0"/>
                <w:sz w:val="24"/>
                <w:u w:val="none"/>
              </w:rPr>
              <w:t xml:space="preserve">. </w:t>
            </w:r>
          </w:p>
        </w:tc>
      </w:tr>
      <w:tr w:rsidR="00235D9D" w:rsidRPr="00D85C65" w14:paraId="67D131A0" w14:textId="77777777" w:rsidTr="00672D2A">
        <w:tc>
          <w:tcPr>
            <w:tcW w:w="1101" w:type="dxa"/>
          </w:tcPr>
          <w:p w14:paraId="32456714"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0210</w:t>
            </w:r>
          </w:p>
        </w:tc>
        <w:tc>
          <w:tcPr>
            <w:tcW w:w="8190" w:type="dxa"/>
          </w:tcPr>
          <w:p w14:paraId="2B903605"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NEZÍSKANÉ KREDITNÉ ROZPÄTIA</w:t>
            </w:r>
          </w:p>
          <w:p w14:paraId="567529CB" w14:textId="163597DD"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b w:val="0"/>
                <w:sz w:val="24"/>
                <w:u w:val="none"/>
              </w:rPr>
              <w:t>Úprava uplatnená inštitúciou na reálnu hodnotu na pokrytie očakávaných strát zo zlyhania protistrany</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prípade derivátových pozícií (t. j. celková úprava ocenenia pohľadávok „CVA“ na úrovni inštitúcie).</w:t>
            </w:r>
          </w:p>
        </w:tc>
      </w:tr>
      <w:tr w:rsidR="00235D9D" w:rsidRPr="00D85C65" w14:paraId="270981FF" w14:textId="77777777" w:rsidTr="00672D2A">
        <w:tc>
          <w:tcPr>
            <w:tcW w:w="1101" w:type="dxa"/>
          </w:tcPr>
          <w:p w14:paraId="5F69C201"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0220</w:t>
            </w:r>
          </w:p>
        </w:tc>
        <w:tc>
          <w:tcPr>
            <w:tcW w:w="8190" w:type="dxa"/>
          </w:tcPr>
          <w:p w14:paraId="77449C5E"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INVESTIČNÉ NÁKLADY A NÁKLADY NA FINANCOVANIE</w:t>
            </w:r>
          </w:p>
          <w:p w14:paraId="1E2FB398" w14:textId="74E17E4A"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 na kompenzáciu prípadov, keď modely oceňovania nezohľadňujú</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plnej miere náklady na financovanie, ktoré by účastníci trhu zohľadnili vo výstupnej cene pre pozíciu alebo portfólio (t. j. celková úprava ocenenia financovania na úrovni inštitúcie, keď inštitúcia vypočítava takúto úpravu, prípadne rovnocennú úpravu).</w:t>
            </w:r>
          </w:p>
        </w:tc>
      </w:tr>
      <w:tr w:rsidR="00235D9D" w:rsidRPr="00D85C65" w14:paraId="2C092C7F" w14:textId="77777777" w:rsidTr="00672D2A">
        <w:tc>
          <w:tcPr>
            <w:tcW w:w="1101" w:type="dxa"/>
          </w:tcPr>
          <w:p w14:paraId="32CCDAD2"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0230</w:t>
            </w:r>
          </w:p>
        </w:tc>
        <w:tc>
          <w:tcPr>
            <w:tcW w:w="8190" w:type="dxa"/>
          </w:tcPr>
          <w:p w14:paraId="77F37331"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BUDÚCE ADMINISTRATÍVNE NÁKLADY</w:t>
            </w:r>
          </w:p>
          <w:p w14:paraId="519714E3" w14:textId="5B9022C0"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Úprava uplatnená inštitúciou na reálnu hodnotu na zohľadnenie administratívnych nákladov, ktoré vznikli pre portfólio alebo pozíciu, ale nie sú zohľadnené</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modeli oceňovania ani</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cenách použitých na kalibráciu vstupov do daného modelu</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ktoré preto možno označiť za riešiace rovnaký zdroj neistoty ocenenia ako dodatočná úprava ocenenia zohľadňujúca budúce administratívne náklady.</w:t>
            </w:r>
          </w:p>
        </w:tc>
      </w:tr>
      <w:tr w:rsidR="00235D9D" w:rsidRPr="00D85C65" w14:paraId="06CBFC6F" w14:textId="77777777" w:rsidTr="00672D2A">
        <w:tc>
          <w:tcPr>
            <w:tcW w:w="1101" w:type="dxa"/>
          </w:tcPr>
          <w:p w14:paraId="76FCCA6B"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0240</w:t>
            </w:r>
          </w:p>
        </w:tc>
        <w:tc>
          <w:tcPr>
            <w:tcW w:w="8190" w:type="dxa"/>
          </w:tcPr>
          <w:p w14:paraId="5AEE533F"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PREDČASNÉ UKONČENIE</w:t>
            </w:r>
          </w:p>
          <w:p w14:paraId="03FC72C7" w14:textId="5157B094"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Úpravy uplatnené inštitúciou na reálnu hodnotu na zohľadnenie očakávaní predčasných zmluvných alebo mimozmluvných ukončení, ktoré nie sú zohľadnené</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modeli oceňovania,</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ktoré preto možno označiť za riešiace rovnaký zdroj neistoty ocenenia ako dodatočná úprava ocenenia zohľadňujúca predčasné ukončenie.</w:t>
            </w:r>
          </w:p>
        </w:tc>
      </w:tr>
      <w:tr w:rsidR="00235D9D" w:rsidRPr="00D85C65" w14:paraId="6D997EE3" w14:textId="77777777" w:rsidTr="00672D2A">
        <w:tc>
          <w:tcPr>
            <w:tcW w:w="1101" w:type="dxa"/>
          </w:tcPr>
          <w:p w14:paraId="5A9FF462"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0250</w:t>
            </w:r>
          </w:p>
        </w:tc>
        <w:tc>
          <w:tcPr>
            <w:tcW w:w="8190" w:type="dxa"/>
          </w:tcPr>
          <w:p w14:paraId="456F2712"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OPERAČNÉ RIZIKO</w:t>
            </w:r>
          </w:p>
          <w:p w14:paraId="543AC4B7" w14:textId="4E769E59"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b w:val="0"/>
                <w:sz w:val="24"/>
                <w:u w:val="none"/>
              </w:rPr>
              <w:t>Úpravy uplatnené inštitúciou na reálnu hodnotu na zohľadnenie rizikovej prirážky, ktorú by účastníci trhu účtovali</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cieľom kompenzovať operačné riziká vyplývajúce</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hedžingu, správy</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vyrovnávania zmlúv</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portfóliu</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ktoré preto možno označiť za riešiace rovnaký zdroj neistoty ocenenia ako dodatočná úprava ocenenia zohľadňujúca operačné riziko.</w:t>
            </w:r>
          </w:p>
        </w:tc>
      </w:tr>
      <w:tr w:rsidR="00235D9D" w:rsidRPr="00D85C65" w14:paraId="00B1E50C" w14:textId="77777777" w:rsidTr="00672D2A">
        <w:tc>
          <w:tcPr>
            <w:tcW w:w="1101" w:type="dxa"/>
          </w:tcPr>
          <w:p w14:paraId="34A5C593"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0260</w:t>
            </w:r>
          </w:p>
        </w:tc>
        <w:tc>
          <w:tcPr>
            <w:tcW w:w="8190" w:type="dxa"/>
          </w:tcPr>
          <w:p w14:paraId="56995CA9" w14:textId="23090501" w:rsidR="00235D9D" w:rsidRPr="00D85C65" w:rsidRDefault="00694DDE">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ZISK A STRATA – DEŇ 1</w:t>
            </w:r>
          </w:p>
          <w:p w14:paraId="5484AB71" w14:textId="1439F221"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Úpravy, pri ktorých sa zohľadňujú prípady, keď model oceňovania</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všetky ostatné relevantné úpravy reálnej hodnoty uplatniteľné na určitú pozíciu alebo portfólio nezohľadnili zaplatenú ani prijatú cenu zaúčtovanú prvý deň, t. j. odklad ziskov</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strát prvého dňa (IFRS 9 ods. B5.1.2.A).</w:t>
            </w:r>
          </w:p>
        </w:tc>
      </w:tr>
      <w:tr w:rsidR="00235D9D" w:rsidRPr="00D85C65" w14:paraId="1A373008" w14:textId="77777777" w:rsidTr="00672D2A">
        <w:tc>
          <w:tcPr>
            <w:tcW w:w="1101" w:type="dxa"/>
          </w:tcPr>
          <w:p w14:paraId="43ACAC6A"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0270</w:t>
            </w:r>
          </w:p>
        </w:tc>
        <w:tc>
          <w:tcPr>
            <w:tcW w:w="8190" w:type="dxa"/>
          </w:tcPr>
          <w:p w14:paraId="525F3B0B" w14:textId="77777777" w:rsidR="00235D9D" w:rsidRPr="00D85C65" w:rsidRDefault="00973707">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VYSVETĽUJÚCI OPIS</w:t>
            </w:r>
          </w:p>
          <w:p w14:paraId="2A6906D0" w14:textId="49E8EEF7" w:rsidR="00235D9D" w:rsidRPr="00D85C65" w:rsidRDefault="00973707">
            <w:pPr>
              <w:spacing w:beforeLines="60" w:before="144" w:afterLines="60" w:after="144"/>
              <w:rPr>
                <w:rStyle w:val="InstructionsTabelleberschrift"/>
                <w:rFonts w:ascii="Times New Roman" w:hAnsi="Times New Roman"/>
                <w:b w:val="0"/>
                <w:sz w:val="24"/>
                <w:u w:val="none"/>
              </w:rPr>
            </w:pPr>
            <w:r w:rsidRPr="00D85C65">
              <w:rPr>
                <w:rFonts w:ascii="Times New Roman" w:hAnsi="Times New Roman"/>
                <w:sz w:val="24"/>
              </w:rPr>
              <w:t>Opis pozícií,</w:t>
            </w:r>
            <w:r w:rsidR="00D85C65">
              <w:rPr>
                <w:rFonts w:ascii="Times New Roman" w:hAnsi="Times New Roman"/>
                <w:sz w:val="24"/>
              </w:rPr>
              <w:t xml:space="preserve"> s </w:t>
            </w:r>
            <w:r w:rsidRPr="00D85C65">
              <w:rPr>
                <w:rFonts w:ascii="Times New Roman" w:hAnsi="Times New Roman"/>
                <w:sz w:val="24"/>
              </w:rPr>
              <w:t>ktorými sa zaobchádza</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7 ods. 2 písm. b) delegovaného nariadenia (EÚ) 2016/101,</w:t>
            </w:r>
            <w:r w:rsidR="00D85C65">
              <w:rPr>
                <w:rFonts w:ascii="Times New Roman" w:hAnsi="Times New Roman"/>
                <w:sz w:val="24"/>
              </w:rPr>
              <w:t xml:space="preserve"> a </w:t>
            </w:r>
            <w:r w:rsidRPr="00D85C65">
              <w:rPr>
                <w:rFonts w:ascii="Times New Roman" w:hAnsi="Times New Roman"/>
                <w:sz w:val="24"/>
              </w:rPr>
              <w:t>dôvod, prečo nebolo možné uplatniť články 9 až 17 uvedeného nariadenia.</w:t>
            </w:r>
          </w:p>
        </w:tc>
      </w:tr>
    </w:tbl>
    <w:p w14:paraId="523A6DE9" w14:textId="77777777" w:rsidR="00235D9D" w:rsidRPr="00D85C65" w:rsidRDefault="00235D9D">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7977"/>
      </w:tblGrid>
      <w:tr w:rsidR="00235D9D" w:rsidRPr="00D85C65" w14:paraId="16E49B7D" w14:textId="77777777" w:rsidTr="00672D2A">
        <w:tc>
          <w:tcPr>
            <w:tcW w:w="9288" w:type="dxa"/>
            <w:gridSpan w:val="2"/>
            <w:shd w:val="clear" w:color="auto" w:fill="CCCCCC"/>
          </w:tcPr>
          <w:p w14:paraId="269756AB" w14:textId="77777777" w:rsidR="00235D9D" w:rsidRPr="00D85C65" w:rsidRDefault="00973707">
            <w:pPr>
              <w:spacing w:beforeLines="60" w:before="144" w:afterLines="60" w:after="144"/>
              <w:rPr>
                <w:rFonts w:ascii="Times New Roman" w:hAnsi="Times New Roman"/>
                <w:b/>
                <w:sz w:val="24"/>
              </w:rPr>
            </w:pPr>
            <w:r w:rsidRPr="00D85C65">
              <w:rPr>
                <w:rFonts w:ascii="Times New Roman" w:hAnsi="Times New Roman"/>
                <w:b/>
                <w:sz w:val="24"/>
              </w:rPr>
              <w:t>Riadky</w:t>
            </w:r>
          </w:p>
        </w:tc>
      </w:tr>
      <w:tr w:rsidR="00235D9D" w:rsidRPr="00D85C65" w14:paraId="0D9B9B4E" w14:textId="77777777" w:rsidTr="00672D2A">
        <w:tc>
          <w:tcPr>
            <w:tcW w:w="1101" w:type="dxa"/>
          </w:tcPr>
          <w:p w14:paraId="5B2DDB2E"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0010</w:t>
            </w:r>
          </w:p>
        </w:tc>
        <w:tc>
          <w:tcPr>
            <w:tcW w:w="8187" w:type="dxa"/>
          </w:tcPr>
          <w:p w14:paraId="746476D5" w14:textId="77777777" w:rsid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1. ZÁKLADNÝ POSTUP CELKOVO</w:t>
            </w:r>
          </w:p>
          <w:p w14:paraId="3AD7F65B" w14:textId="1572E915"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7 ods. 2 delegovaného nariadenia (EÚ) 2016/101.</w:t>
            </w:r>
          </w:p>
          <w:p w14:paraId="0A12C852" w14:textId="3CFEEF30"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Pre každú príslušnú kategóriu dodatočných úpravy ocenenia uvedenú</w:t>
            </w:r>
            <w:r w:rsidR="00D85C65">
              <w:rPr>
                <w:rFonts w:ascii="Times New Roman" w:hAnsi="Times New Roman"/>
                <w:sz w:val="24"/>
              </w:rPr>
              <w:t xml:space="preserve"> v </w:t>
            </w:r>
            <w:r w:rsidRPr="00D85C65">
              <w:rPr>
                <w:rFonts w:ascii="Times New Roman" w:hAnsi="Times New Roman"/>
                <w:sz w:val="24"/>
              </w:rPr>
              <w:t>stĺpcoch 0010 až 0110 celkové dodatočné úpravy ocenenia vypočítané podľa základného prístupu tak, ako je stanovený</w:t>
            </w:r>
            <w:r w:rsidR="00D85C65">
              <w:rPr>
                <w:rFonts w:ascii="Times New Roman" w:hAnsi="Times New Roman"/>
                <w:sz w:val="24"/>
              </w:rPr>
              <w:t xml:space="preserve"> v </w:t>
            </w:r>
            <w:r w:rsidRPr="00D85C65">
              <w:rPr>
                <w:rFonts w:ascii="Times New Roman" w:hAnsi="Times New Roman"/>
                <w:sz w:val="24"/>
              </w:rPr>
              <w:t>kapitole 3 delegovaného nariadenia (EÚ) 2016/101, pre reálnou hodnotou ocenené aktíva</w:t>
            </w:r>
            <w:r w:rsidR="00D85C65">
              <w:rPr>
                <w:rFonts w:ascii="Times New Roman" w:hAnsi="Times New Roman"/>
                <w:sz w:val="24"/>
              </w:rPr>
              <w:t xml:space="preserve"> a </w:t>
            </w:r>
            <w:r w:rsidRPr="00D85C65">
              <w:rPr>
                <w:rFonts w:ascii="Times New Roman" w:hAnsi="Times New Roman"/>
                <w:sz w:val="24"/>
              </w:rPr>
              <w:t>záväzky zahrnuté do výpočtu prahovej hodnoty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1 uvedeného nariadenia. Zahŕňa to výhody diverzifikácie vykázané</w:t>
            </w:r>
            <w:r w:rsidR="00D85C65">
              <w:rPr>
                <w:rFonts w:ascii="Times New Roman" w:hAnsi="Times New Roman"/>
                <w:sz w:val="24"/>
              </w:rPr>
              <w:t xml:space="preserve"> v </w:t>
            </w:r>
            <w:r w:rsidRPr="00D85C65">
              <w:rPr>
                <w:rFonts w:ascii="Times New Roman" w:hAnsi="Times New Roman"/>
                <w:sz w:val="24"/>
              </w:rPr>
              <w:t>riadku 0140</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6, článkom 10 ods. 7</w:t>
            </w:r>
            <w:r w:rsidR="00D85C65">
              <w:rPr>
                <w:rFonts w:ascii="Times New Roman" w:hAnsi="Times New Roman"/>
                <w:sz w:val="24"/>
              </w:rPr>
              <w:t xml:space="preserve"> a </w:t>
            </w:r>
            <w:r w:rsidRPr="00D85C65">
              <w:rPr>
                <w:rFonts w:ascii="Times New Roman" w:hAnsi="Times New Roman"/>
                <w:sz w:val="24"/>
              </w:rPr>
              <w:t xml:space="preserve">článkom 11 ods. 7 delegovaného nariadenia (EÚ) 2016/101. </w:t>
            </w:r>
          </w:p>
        </w:tc>
      </w:tr>
      <w:tr w:rsidR="00235D9D" w:rsidRPr="00D85C65" w14:paraId="3EE92267" w14:textId="77777777" w:rsidTr="00672D2A">
        <w:tc>
          <w:tcPr>
            <w:tcW w:w="1101" w:type="dxa"/>
          </w:tcPr>
          <w:p w14:paraId="25A1A494"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0020</w:t>
            </w:r>
          </w:p>
        </w:tc>
        <w:tc>
          <w:tcPr>
            <w:tcW w:w="8187" w:type="dxa"/>
          </w:tcPr>
          <w:p w14:paraId="3E4C5FC1" w14:textId="77777777" w:rsid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Z ČOHO: OBCHODNÁ KNIHA</w:t>
            </w:r>
          </w:p>
          <w:p w14:paraId="63BAEAF5" w14:textId="4D2FD00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7 ods. 2 delegovaného nariadenia (EÚ) 2016/101.</w:t>
            </w:r>
          </w:p>
          <w:p w14:paraId="14D4B324" w14:textId="77150BC6"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sz w:val="24"/>
              </w:rPr>
              <w:t>Pre každú príslušnú kategóriu dodatočných úpravy ocenenia uvedenú</w:t>
            </w:r>
            <w:r w:rsidR="00D85C65">
              <w:rPr>
                <w:rFonts w:ascii="Times New Roman" w:hAnsi="Times New Roman"/>
                <w:sz w:val="24"/>
              </w:rPr>
              <w:t xml:space="preserve"> v </w:t>
            </w:r>
            <w:r w:rsidRPr="00D85C65">
              <w:rPr>
                <w:rFonts w:ascii="Times New Roman" w:hAnsi="Times New Roman"/>
                <w:sz w:val="24"/>
              </w:rPr>
              <w:t>stĺpcoch 0010 až 0110 podiel celkových dodatočných úprav ocenenia vykázaných</w:t>
            </w:r>
            <w:r w:rsidR="00D85C65">
              <w:rPr>
                <w:rFonts w:ascii="Times New Roman" w:hAnsi="Times New Roman"/>
                <w:sz w:val="24"/>
              </w:rPr>
              <w:t xml:space="preserve"> v </w:t>
            </w:r>
            <w:r w:rsidRPr="00D85C65">
              <w:rPr>
                <w:rFonts w:ascii="Times New Roman" w:hAnsi="Times New Roman"/>
                <w:sz w:val="24"/>
              </w:rPr>
              <w:t>riadku 0010 pochádzajúci</w:t>
            </w:r>
            <w:r w:rsidR="00D85C65">
              <w:rPr>
                <w:rFonts w:ascii="Times New Roman" w:hAnsi="Times New Roman"/>
                <w:sz w:val="24"/>
              </w:rPr>
              <w:t xml:space="preserve"> z </w:t>
            </w:r>
            <w:r w:rsidRPr="00D85C65">
              <w:rPr>
                <w:rFonts w:ascii="Times New Roman" w:hAnsi="Times New Roman"/>
                <w:sz w:val="24"/>
              </w:rPr>
              <w:t>pozícií</w:t>
            </w:r>
            <w:r w:rsidR="00D85C65">
              <w:rPr>
                <w:rFonts w:ascii="Times New Roman" w:hAnsi="Times New Roman"/>
                <w:sz w:val="24"/>
              </w:rPr>
              <w:t xml:space="preserve"> v </w:t>
            </w:r>
            <w:r w:rsidRPr="00D85C65">
              <w:rPr>
                <w:rFonts w:ascii="Times New Roman" w:hAnsi="Times New Roman"/>
                <w:sz w:val="24"/>
              </w:rPr>
              <w:t>obchodnej knihe (absolútna hodnota).</w:t>
            </w:r>
          </w:p>
        </w:tc>
      </w:tr>
      <w:tr w:rsidR="00235D9D" w:rsidRPr="00D85C65" w14:paraId="796F890B" w14:textId="77777777" w:rsidTr="00672D2A">
        <w:tc>
          <w:tcPr>
            <w:tcW w:w="1101" w:type="dxa"/>
          </w:tcPr>
          <w:p w14:paraId="10D99759"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0030</w:t>
            </w:r>
          </w:p>
        </w:tc>
        <w:tc>
          <w:tcPr>
            <w:tcW w:w="8187" w:type="dxa"/>
          </w:tcPr>
          <w:p w14:paraId="5950EED6" w14:textId="77777777" w:rsid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1.1. PORTFÓLIÁ PODĽA ČLÁNKOV 9 AŽ 17</w:t>
            </w:r>
            <w:r w:rsidRPr="00D85C65">
              <w:rPr>
                <w:sz w:val="24"/>
              </w:rPr>
              <w:t xml:space="preserve"> </w:t>
            </w:r>
            <w:r w:rsidRPr="00D85C65">
              <w:rPr>
                <w:rFonts w:ascii="Times New Roman" w:hAnsi="Times New Roman"/>
                <w:b/>
                <w:sz w:val="24"/>
                <w:u w:val="single"/>
              </w:rPr>
              <w:t>DELEGOVANÉHO NARIADENIA KOMISIE (EÚ) 2016/101 – CELKOVÁ ÚROVEŇ KATEGÓRIE PO DIVERZIFIKÁCII</w:t>
            </w:r>
          </w:p>
          <w:p w14:paraId="58BFB114" w14:textId="13024655" w:rsidR="00235D9D" w:rsidRPr="00D85C65" w:rsidRDefault="002B004B">
            <w:pPr>
              <w:spacing w:beforeLines="60" w:before="144" w:afterLines="60" w:after="144"/>
              <w:rPr>
                <w:rFonts w:ascii="Times New Roman" w:hAnsi="Times New Roman"/>
                <w:sz w:val="24"/>
              </w:rPr>
            </w:pPr>
            <w:r w:rsidRPr="00D85C65">
              <w:rPr>
                <w:rFonts w:ascii="Times New Roman" w:hAnsi="Times New Roman"/>
                <w:sz w:val="24"/>
              </w:rPr>
              <w:t>Článok 7 ods. 2 písm. a) delegovaného nariadenia (EÚ) 2016/101.</w:t>
            </w:r>
          </w:p>
          <w:p w14:paraId="2465FF35" w14:textId="18800EFD" w:rsidR="00D85C65" w:rsidRDefault="00973707">
            <w:pPr>
              <w:spacing w:beforeLines="60" w:before="144" w:afterLines="60" w:after="144"/>
              <w:rPr>
                <w:rFonts w:ascii="Times New Roman" w:hAnsi="Times New Roman"/>
                <w:sz w:val="24"/>
              </w:rPr>
            </w:pPr>
            <w:r w:rsidRPr="00D85C65">
              <w:rPr>
                <w:rFonts w:ascii="Times New Roman" w:hAnsi="Times New Roman"/>
                <w:sz w:val="24"/>
              </w:rPr>
              <w:t>Pre každú príslušnú kategóriu dodatočných úpravy ocenenia uvedenú</w:t>
            </w:r>
            <w:r w:rsidR="00D85C65">
              <w:rPr>
                <w:rFonts w:ascii="Times New Roman" w:hAnsi="Times New Roman"/>
                <w:sz w:val="24"/>
              </w:rPr>
              <w:t xml:space="preserve"> v </w:t>
            </w:r>
            <w:r w:rsidRPr="00D85C65">
              <w:rPr>
                <w:rFonts w:ascii="Times New Roman" w:hAnsi="Times New Roman"/>
                <w:sz w:val="24"/>
              </w:rPr>
              <w:t>stĺpcoch 0010 až 0110 celkové dodatočné úpravy ocenenia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9 až 17 delegovaného nariadenia (EÚ) 2016/101 pre reálnou hodnotou ocenené aktíva</w:t>
            </w:r>
            <w:r w:rsidR="00D85C65">
              <w:rPr>
                <w:rFonts w:ascii="Times New Roman" w:hAnsi="Times New Roman"/>
                <w:sz w:val="24"/>
              </w:rPr>
              <w:t xml:space="preserve"> a </w:t>
            </w:r>
            <w:r w:rsidRPr="00D85C65">
              <w:rPr>
                <w:rFonts w:ascii="Times New Roman" w:hAnsi="Times New Roman"/>
                <w:sz w:val="24"/>
              </w:rPr>
              <w:t>záväzky zahrnuté do výpočtu prahovej hodnoty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1 uvedeného nariadenia,</w:t>
            </w:r>
            <w:r w:rsidR="00D85C65">
              <w:rPr>
                <w:rFonts w:ascii="Times New Roman" w:hAnsi="Times New Roman"/>
                <w:sz w:val="24"/>
              </w:rPr>
              <w:t xml:space="preserve"> s </w:t>
            </w:r>
            <w:r w:rsidRPr="00D85C65">
              <w:rPr>
                <w:rFonts w:ascii="Times New Roman" w:hAnsi="Times New Roman"/>
                <w:sz w:val="24"/>
              </w:rPr>
              <w:t>výnimkou reálnou hodnotou ocenených aktív</w:t>
            </w:r>
            <w:r w:rsidR="00D85C65">
              <w:rPr>
                <w:rFonts w:ascii="Times New Roman" w:hAnsi="Times New Roman"/>
                <w:sz w:val="24"/>
              </w:rPr>
              <w:t xml:space="preserve"> a </w:t>
            </w:r>
            <w:r w:rsidRPr="00D85C65">
              <w:rPr>
                <w:rFonts w:ascii="Times New Roman" w:hAnsi="Times New Roman"/>
                <w:sz w:val="24"/>
              </w:rPr>
              <w:t>záväzkov, na ktoré sa vzťahuje zaobchádzanie opísané</w:t>
            </w:r>
            <w:r w:rsidR="00D85C65">
              <w:rPr>
                <w:rFonts w:ascii="Times New Roman" w:hAnsi="Times New Roman"/>
                <w:sz w:val="24"/>
              </w:rPr>
              <w:t xml:space="preserve"> v </w:t>
            </w:r>
            <w:r w:rsidRPr="00D85C65">
              <w:rPr>
                <w:rFonts w:ascii="Times New Roman" w:hAnsi="Times New Roman"/>
                <w:sz w:val="24"/>
              </w:rPr>
              <w:t>článku 7 ods. 2 písm. b) delegovaného nariadenia (EÚ) 2016/101</w:t>
            </w:r>
            <w:r w:rsidR="00D85C65">
              <w:rPr>
                <w:rFonts w:ascii="Times New Roman" w:hAnsi="Times New Roman"/>
                <w:sz w:val="24"/>
              </w:rPr>
              <w:t>.</w:t>
            </w:r>
          </w:p>
          <w:p w14:paraId="281B9748" w14:textId="6993BE8E" w:rsidR="00D85C65" w:rsidRDefault="00973707">
            <w:pPr>
              <w:spacing w:beforeLines="60" w:before="144" w:afterLines="60" w:after="144"/>
              <w:rPr>
                <w:rFonts w:ascii="Times New Roman" w:hAnsi="Times New Roman"/>
                <w:sz w:val="24"/>
              </w:rPr>
            </w:pPr>
            <w:r w:rsidRPr="00D85C65">
              <w:rPr>
                <w:rFonts w:ascii="Times New Roman" w:hAnsi="Times New Roman"/>
                <w:sz w:val="24"/>
              </w:rPr>
              <w:t>Zahŕňa to dodatočné úpravy ocenenia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12</w:t>
            </w:r>
            <w:r w:rsidR="00D85C65">
              <w:rPr>
                <w:rFonts w:ascii="Times New Roman" w:hAnsi="Times New Roman"/>
                <w:sz w:val="24"/>
              </w:rPr>
              <w:t xml:space="preserve"> a </w:t>
            </w:r>
            <w:r w:rsidRPr="00D85C65">
              <w:rPr>
                <w:rFonts w:ascii="Times New Roman" w:hAnsi="Times New Roman"/>
                <w:sz w:val="24"/>
              </w:rPr>
              <w:t>13 delegovaného nariadenia (EÚ) 2016/101, ktoré sa vykazujú</w:t>
            </w:r>
            <w:r w:rsidR="00D85C65">
              <w:rPr>
                <w:rFonts w:ascii="Times New Roman" w:hAnsi="Times New Roman"/>
                <w:sz w:val="24"/>
              </w:rPr>
              <w:t xml:space="preserve"> v </w:t>
            </w:r>
            <w:r w:rsidRPr="00D85C65">
              <w:rPr>
                <w:rFonts w:ascii="Times New Roman" w:hAnsi="Times New Roman"/>
                <w:sz w:val="24"/>
              </w:rPr>
              <w:t>riadkoch 0050</w:t>
            </w:r>
            <w:r w:rsidR="00D85C65">
              <w:rPr>
                <w:rFonts w:ascii="Times New Roman" w:hAnsi="Times New Roman"/>
                <w:sz w:val="24"/>
              </w:rPr>
              <w:t xml:space="preserve"> a </w:t>
            </w:r>
            <w:r w:rsidRPr="00D85C65">
              <w:rPr>
                <w:rFonts w:ascii="Times New Roman" w:hAnsi="Times New Roman"/>
                <w:sz w:val="24"/>
              </w:rPr>
              <w:t>0060</w:t>
            </w:r>
            <w:r w:rsidR="00D85C65">
              <w:rPr>
                <w:rFonts w:ascii="Times New Roman" w:hAnsi="Times New Roman"/>
                <w:sz w:val="24"/>
              </w:rPr>
              <w:t xml:space="preserve"> a </w:t>
            </w:r>
            <w:r w:rsidRPr="00D85C65">
              <w:rPr>
                <w:rFonts w:ascii="Times New Roman" w:hAnsi="Times New Roman"/>
                <w:sz w:val="24"/>
              </w:rPr>
              <w:t>ktoré sú zahrnuté</w:t>
            </w:r>
            <w:r w:rsidR="00D85C65">
              <w:rPr>
                <w:rFonts w:ascii="Times New Roman" w:hAnsi="Times New Roman"/>
                <w:sz w:val="24"/>
              </w:rPr>
              <w:t xml:space="preserve"> v </w:t>
            </w:r>
            <w:r w:rsidRPr="00D85C65">
              <w:rPr>
                <w:rFonts w:ascii="Times New Roman" w:hAnsi="Times New Roman"/>
                <w:sz w:val="24"/>
              </w:rPr>
              <w:t>dodatočných úpravách ocenenia zohľadňujúcich neistotu trhovej ceny, dodatočných úpravách ocenenia zohľadňujúcich náklady na zatvorenie pozícií</w:t>
            </w:r>
            <w:r w:rsidR="00D85C65">
              <w:rPr>
                <w:rFonts w:ascii="Times New Roman" w:hAnsi="Times New Roman"/>
                <w:sz w:val="24"/>
              </w:rPr>
              <w:t xml:space="preserve"> a </w:t>
            </w:r>
            <w:r w:rsidRPr="00D85C65">
              <w:rPr>
                <w:rFonts w:ascii="Times New Roman" w:hAnsi="Times New Roman"/>
                <w:sz w:val="24"/>
              </w:rPr>
              <w:t>dodatočných úpravách ocenenia zohľadňujúcich riziko modelov tak, ako sú stanovené</w:t>
            </w:r>
            <w:r w:rsidR="00D85C65">
              <w:rPr>
                <w:rFonts w:ascii="Times New Roman" w:hAnsi="Times New Roman"/>
                <w:sz w:val="24"/>
              </w:rPr>
              <w:t xml:space="preserve"> v </w:t>
            </w:r>
            <w:r w:rsidRPr="00D85C65">
              <w:rPr>
                <w:rFonts w:ascii="Times New Roman" w:hAnsi="Times New Roman"/>
                <w:sz w:val="24"/>
              </w:rPr>
              <w:t>článku 12 ods. 2</w:t>
            </w:r>
            <w:r w:rsidR="00D85C65">
              <w:rPr>
                <w:rFonts w:ascii="Times New Roman" w:hAnsi="Times New Roman"/>
                <w:sz w:val="24"/>
              </w:rPr>
              <w:t xml:space="preserve"> a </w:t>
            </w:r>
            <w:r w:rsidRPr="00D85C65">
              <w:rPr>
                <w:rFonts w:ascii="Times New Roman" w:hAnsi="Times New Roman"/>
                <w:sz w:val="24"/>
              </w:rPr>
              <w:t>článku 13 ods. 2 uvedeného nariadenia</w:t>
            </w:r>
            <w:r w:rsidR="00D85C65">
              <w:rPr>
                <w:rFonts w:ascii="Times New Roman" w:hAnsi="Times New Roman"/>
                <w:sz w:val="24"/>
              </w:rPr>
              <w:t>.</w:t>
            </w:r>
          </w:p>
          <w:p w14:paraId="7A258E0C" w14:textId="44CE6E51" w:rsidR="00D85C65" w:rsidRDefault="00973707">
            <w:pPr>
              <w:spacing w:beforeLines="60" w:before="144" w:afterLines="60" w:after="144"/>
              <w:rPr>
                <w:rFonts w:ascii="Times New Roman" w:hAnsi="Times New Roman"/>
                <w:sz w:val="24"/>
              </w:rPr>
            </w:pPr>
            <w:r w:rsidRPr="00D85C65">
              <w:rPr>
                <w:rFonts w:ascii="Times New Roman" w:hAnsi="Times New Roman"/>
                <w:sz w:val="24"/>
              </w:rPr>
              <w:t>Zahŕňa to výhody diverzifikácie vykázané</w:t>
            </w:r>
            <w:r w:rsidR="00D85C65">
              <w:rPr>
                <w:rFonts w:ascii="Times New Roman" w:hAnsi="Times New Roman"/>
                <w:sz w:val="24"/>
              </w:rPr>
              <w:t xml:space="preserve"> v </w:t>
            </w:r>
            <w:r w:rsidRPr="00D85C65">
              <w:rPr>
                <w:rFonts w:ascii="Times New Roman" w:hAnsi="Times New Roman"/>
                <w:sz w:val="24"/>
              </w:rPr>
              <w:t>riadku 0140</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6, článkom 10 ods. 7</w:t>
            </w:r>
            <w:r w:rsidR="00D85C65">
              <w:rPr>
                <w:rFonts w:ascii="Times New Roman" w:hAnsi="Times New Roman"/>
                <w:sz w:val="24"/>
              </w:rPr>
              <w:t xml:space="preserve"> a </w:t>
            </w:r>
            <w:r w:rsidRPr="00D85C65">
              <w:rPr>
                <w:rFonts w:ascii="Times New Roman" w:hAnsi="Times New Roman"/>
                <w:sz w:val="24"/>
              </w:rPr>
              <w:t>článkom 11 ods. 7 delegovaného nariadenia (EÚ) 2016/101</w:t>
            </w:r>
            <w:r w:rsidR="00D85C65">
              <w:rPr>
                <w:rFonts w:ascii="Times New Roman" w:hAnsi="Times New Roman"/>
                <w:sz w:val="24"/>
              </w:rPr>
              <w:t>.</w:t>
            </w:r>
          </w:p>
          <w:p w14:paraId="1D204122" w14:textId="28BB411A"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Riadok 0030 je rozdielom medzi riadkami 0040</w:t>
            </w:r>
            <w:r w:rsidR="00D85C65">
              <w:rPr>
                <w:rFonts w:ascii="Times New Roman" w:hAnsi="Times New Roman"/>
                <w:sz w:val="24"/>
              </w:rPr>
              <w:t xml:space="preserve"> a </w:t>
            </w:r>
            <w:r w:rsidRPr="00D85C65">
              <w:rPr>
                <w:rFonts w:ascii="Times New Roman" w:hAnsi="Times New Roman"/>
                <w:sz w:val="24"/>
              </w:rPr>
              <w:t xml:space="preserve">0140. </w:t>
            </w:r>
          </w:p>
        </w:tc>
      </w:tr>
      <w:tr w:rsidR="00235D9D" w:rsidRPr="00D85C65" w14:paraId="4BD0BD11" w14:textId="77777777" w:rsidTr="00672D2A">
        <w:tc>
          <w:tcPr>
            <w:tcW w:w="1101" w:type="dxa"/>
          </w:tcPr>
          <w:p w14:paraId="46E96714"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0040 – 0130</w:t>
            </w:r>
          </w:p>
        </w:tc>
        <w:tc>
          <w:tcPr>
            <w:tcW w:w="8187" w:type="dxa"/>
          </w:tcPr>
          <w:p w14:paraId="03243C51" w14:textId="77777777"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1.1.1. CELKOVÁ ÚROVEŇ KATEGÓRIE PRED DIVERZIFIKÁCIOU</w:t>
            </w:r>
          </w:p>
          <w:p w14:paraId="33CF8F10" w14:textId="66CDD4F8" w:rsidR="00D85C65" w:rsidRDefault="00973707">
            <w:pPr>
              <w:spacing w:beforeLines="60" w:before="144" w:afterLines="60" w:after="144"/>
              <w:rPr>
                <w:rFonts w:ascii="Times New Roman" w:hAnsi="Times New Roman"/>
                <w:sz w:val="24"/>
              </w:rPr>
            </w:pPr>
            <w:r w:rsidRPr="00D85C65">
              <w:rPr>
                <w:rFonts w:ascii="Times New Roman" w:hAnsi="Times New Roman"/>
                <w:sz w:val="24"/>
              </w:rPr>
              <w:t>V riadkoch 0090 až 0130 inštitúcie priraďujú svoje reálnou hodnotou ocenené aktíva</w:t>
            </w:r>
            <w:r w:rsidR="00D85C65">
              <w:rPr>
                <w:rFonts w:ascii="Times New Roman" w:hAnsi="Times New Roman"/>
                <w:sz w:val="24"/>
              </w:rPr>
              <w:t xml:space="preserve"> a </w:t>
            </w:r>
            <w:r w:rsidRPr="00D85C65">
              <w:rPr>
                <w:rFonts w:ascii="Times New Roman" w:hAnsi="Times New Roman"/>
                <w:sz w:val="24"/>
              </w:rPr>
              <w:t>záväzky zahrnuté do výpočtu prahovej hodnoty</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4 ods. 1 delegovaného nariadenia (EÚ) 2016/101 (z obchodnej knihy</w:t>
            </w:r>
            <w:r w:rsidR="00D85C65">
              <w:rPr>
                <w:rFonts w:ascii="Times New Roman" w:hAnsi="Times New Roman"/>
                <w:sz w:val="24"/>
              </w:rPr>
              <w:t xml:space="preserve"> a z </w:t>
            </w:r>
            <w:r w:rsidRPr="00D85C65">
              <w:rPr>
                <w:rFonts w:ascii="Times New Roman" w:hAnsi="Times New Roman"/>
                <w:sz w:val="24"/>
              </w:rPr>
              <w:t>neobchodnej knihy) do týchto kategórií rizika: úrokového, devízového, kreditného, kapitálového, komoditného</w:t>
            </w:r>
            <w:r w:rsidR="00D85C65">
              <w:rPr>
                <w:rFonts w:ascii="Times New Roman" w:hAnsi="Times New Roman"/>
                <w:sz w:val="24"/>
              </w:rPr>
              <w:t>.</w:t>
            </w:r>
          </w:p>
          <w:p w14:paraId="4C74BAC8" w14:textId="228B65C2" w:rsidR="00D85C65" w:rsidRDefault="00973707">
            <w:pPr>
              <w:spacing w:beforeLines="60" w:before="144" w:afterLines="60" w:after="144"/>
              <w:rPr>
                <w:rFonts w:ascii="Times New Roman" w:hAnsi="Times New Roman"/>
                <w:sz w:val="24"/>
              </w:rPr>
            </w:pPr>
            <w:r w:rsidRPr="00D85C65">
              <w:rPr>
                <w:rFonts w:ascii="Times New Roman" w:hAnsi="Times New Roman"/>
                <w:sz w:val="24"/>
              </w:rPr>
              <w:t>V tejto súvislosti sa inštitúcie spoliehajú na svoju internú štruktúru riadenia rizika a,</w:t>
            </w:r>
            <w:r w:rsidR="00D85C65">
              <w:rPr>
                <w:rFonts w:ascii="Times New Roman" w:hAnsi="Times New Roman"/>
                <w:sz w:val="24"/>
              </w:rPr>
              <w:t xml:space="preserve"> v </w:t>
            </w:r>
            <w:r w:rsidRPr="00D85C65">
              <w:rPr>
                <w:rFonts w:ascii="Times New Roman" w:hAnsi="Times New Roman"/>
                <w:sz w:val="24"/>
              </w:rPr>
              <w:t>nadväznosti na zaraďovanie vypracované na základe odborného posúdenia, pridelia svoje obchodné línie alebo miesta obchodovania</w:t>
            </w:r>
            <w:r w:rsidR="00D85C65">
              <w:rPr>
                <w:rFonts w:ascii="Times New Roman" w:hAnsi="Times New Roman"/>
                <w:sz w:val="24"/>
              </w:rPr>
              <w:t xml:space="preserve"> k </w:t>
            </w:r>
            <w:r w:rsidRPr="00D85C65">
              <w:rPr>
                <w:rFonts w:ascii="Times New Roman" w:hAnsi="Times New Roman"/>
                <w:sz w:val="24"/>
              </w:rPr>
              <w:t>najvhodnejšej kategórii rizika. Dodatočné úpravy ocenenia, úpravy reálnej hodnoty</w:t>
            </w:r>
            <w:r w:rsidR="00D85C65">
              <w:rPr>
                <w:rFonts w:ascii="Times New Roman" w:hAnsi="Times New Roman"/>
                <w:sz w:val="24"/>
              </w:rPr>
              <w:t xml:space="preserve"> a </w:t>
            </w:r>
            <w:r w:rsidRPr="00D85C65">
              <w:rPr>
                <w:rFonts w:ascii="Times New Roman" w:hAnsi="Times New Roman"/>
                <w:sz w:val="24"/>
              </w:rPr>
              <w:t>iné požadované informácie, ktoré zodpovedajú prideleným obchodným líniám alebo miestam obchodovania, sa priradia</w:t>
            </w:r>
            <w:r w:rsidR="00D85C65">
              <w:rPr>
                <w:rFonts w:ascii="Times New Roman" w:hAnsi="Times New Roman"/>
                <w:sz w:val="24"/>
              </w:rPr>
              <w:t xml:space="preserve"> k </w:t>
            </w:r>
            <w:r w:rsidRPr="00D85C65">
              <w:rPr>
                <w:rFonts w:ascii="Times New Roman" w:hAnsi="Times New Roman"/>
                <w:sz w:val="24"/>
              </w:rPr>
              <w:t>rovnakej príslušnej kategórii rizika, aby sa na úrovni riadka zabezpečil pre každú kategóriu rizika konzistentný prehľad úprav vykonaných na prudenciálne</w:t>
            </w:r>
            <w:r w:rsidR="00D85C65">
              <w:rPr>
                <w:rFonts w:ascii="Times New Roman" w:hAnsi="Times New Roman"/>
                <w:sz w:val="24"/>
              </w:rPr>
              <w:t xml:space="preserve"> a </w:t>
            </w:r>
            <w:r w:rsidRPr="00D85C65">
              <w:rPr>
                <w:rFonts w:ascii="Times New Roman" w:hAnsi="Times New Roman"/>
                <w:sz w:val="24"/>
              </w:rPr>
              <w:t>účtovné účely, ako aj náznak veľkosti dotknutých pozícií (pokiaľ ide</w:t>
            </w:r>
            <w:r w:rsidR="00D85C65">
              <w:rPr>
                <w:rFonts w:ascii="Times New Roman" w:hAnsi="Times New Roman"/>
                <w:sz w:val="24"/>
              </w:rPr>
              <w:t xml:space="preserve"> o </w:t>
            </w:r>
            <w:r w:rsidRPr="00D85C65">
              <w:rPr>
                <w:rFonts w:ascii="Times New Roman" w:hAnsi="Times New Roman"/>
                <w:sz w:val="24"/>
              </w:rPr>
              <w:t>reálnou hodnotou ocenené aktíva</w:t>
            </w:r>
            <w:r w:rsidR="00D85C65">
              <w:rPr>
                <w:rFonts w:ascii="Times New Roman" w:hAnsi="Times New Roman"/>
                <w:sz w:val="24"/>
              </w:rPr>
              <w:t xml:space="preserve"> a </w:t>
            </w:r>
            <w:r w:rsidRPr="00D85C65">
              <w:rPr>
                <w:rFonts w:ascii="Times New Roman" w:hAnsi="Times New Roman"/>
                <w:sz w:val="24"/>
              </w:rPr>
              <w:t>záväzky). Keď sa dodatočné úpravy ocenenia alebo iné úpravy vypočítavajú</w:t>
            </w:r>
            <w:r w:rsidR="00D85C65">
              <w:rPr>
                <w:rFonts w:ascii="Times New Roman" w:hAnsi="Times New Roman"/>
                <w:sz w:val="24"/>
              </w:rPr>
              <w:t xml:space="preserve"> s </w:t>
            </w:r>
            <w:r w:rsidRPr="00D85C65">
              <w:rPr>
                <w:rFonts w:ascii="Times New Roman" w:hAnsi="Times New Roman"/>
                <w:sz w:val="24"/>
              </w:rPr>
              <w:t>inou úrovňou agregácie, predovšetkým na úrovni podnikov, inštitúcie vyvinú metodiku priraďovania dodatočných úprav ocenenia príslušným súborom pozícií. Výsledkom metodiky priraďovania je, že riadok 0040 bude súčtom riadkov 0050 až 0130</w:t>
            </w:r>
            <w:r w:rsidR="00D85C65">
              <w:rPr>
                <w:rFonts w:ascii="Times New Roman" w:hAnsi="Times New Roman"/>
                <w:sz w:val="24"/>
              </w:rPr>
              <w:t xml:space="preserve"> v </w:t>
            </w:r>
            <w:r w:rsidRPr="00D85C65">
              <w:rPr>
                <w:rFonts w:ascii="Times New Roman" w:hAnsi="Times New Roman"/>
                <w:sz w:val="24"/>
              </w:rPr>
              <w:t>stĺpcoch 0010 až 0100</w:t>
            </w:r>
            <w:r w:rsidR="00D85C65">
              <w:rPr>
                <w:rFonts w:ascii="Times New Roman" w:hAnsi="Times New Roman"/>
                <w:sz w:val="24"/>
              </w:rPr>
              <w:t>.</w:t>
            </w:r>
          </w:p>
          <w:p w14:paraId="517E7A8A" w14:textId="12E10652" w:rsidR="00D85C65" w:rsidRDefault="00973707">
            <w:pPr>
              <w:spacing w:beforeLines="60" w:before="144" w:afterLines="60" w:after="144"/>
              <w:rPr>
                <w:rFonts w:ascii="Times New Roman" w:hAnsi="Times New Roman"/>
                <w:sz w:val="24"/>
              </w:rPr>
            </w:pPr>
            <w:r w:rsidRPr="00D85C65">
              <w:rPr>
                <w:rFonts w:ascii="Times New Roman" w:hAnsi="Times New Roman"/>
                <w:sz w:val="24"/>
              </w:rPr>
              <w:t xml:space="preserve">Bez ohľadu na uplatnený postup vykazované informácie musia byť na úrovni riadkov čo najkonzistentnejšie, keďže poskytnuté informácie sa budú porovnávať </w:t>
            </w:r>
            <w:r w:rsidRPr="00D85C65">
              <w:rPr>
                <w:rFonts w:ascii="Times New Roman" w:hAnsi="Times New Roman"/>
                <w:sz w:val="24"/>
              </w:rPr>
              <w:lastRenderedPageBreak/>
              <w:t>na tejto úrovni (hodnoty dodatočnej úpravy ocenenia, neistota zlepšenia, reálne ocenené sumy</w:t>
            </w:r>
            <w:r w:rsidR="00D85C65">
              <w:rPr>
                <w:rFonts w:ascii="Times New Roman" w:hAnsi="Times New Roman"/>
                <w:sz w:val="24"/>
              </w:rPr>
              <w:t xml:space="preserve"> a </w:t>
            </w:r>
            <w:r w:rsidRPr="00D85C65">
              <w:rPr>
                <w:rFonts w:ascii="Times New Roman" w:hAnsi="Times New Roman"/>
                <w:sz w:val="24"/>
              </w:rPr>
              <w:t>potenciálne reálne ocenené úpravy)</w:t>
            </w:r>
            <w:r w:rsidR="00D85C65">
              <w:rPr>
                <w:rFonts w:ascii="Times New Roman" w:hAnsi="Times New Roman"/>
                <w:sz w:val="24"/>
              </w:rPr>
              <w:t>.</w:t>
            </w:r>
          </w:p>
          <w:p w14:paraId="3351BFAA" w14:textId="0EE9D943"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Rozčlenenie</w:t>
            </w:r>
            <w:r w:rsidR="00D85C65">
              <w:rPr>
                <w:rFonts w:ascii="Times New Roman" w:hAnsi="Times New Roman"/>
                <w:sz w:val="24"/>
              </w:rPr>
              <w:t xml:space="preserve"> v </w:t>
            </w:r>
            <w:r w:rsidRPr="00D85C65">
              <w:rPr>
                <w:rFonts w:ascii="Times New Roman" w:hAnsi="Times New Roman"/>
                <w:sz w:val="24"/>
              </w:rPr>
              <w:t>riadkoch 0090 až 0130 vylučuje dodatočné úpravy ocenenia vypočítané</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článkami 12</w:t>
            </w:r>
            <w:r w:rsidR="00D85C65">
              <w:rPr>
                <w:rFonts w:ascii="Times New Roman" w:hAnsi="Times New Roman"/>
                <w:sz w:val="24"/>
              </w:rPr>
              <w:t xml:space="preserve"> a </w:t>
            </w:r>
            <w:r w:rsidRPr="00D85C65">
              <w:rPr>
                <w:rFonts w:ascii="Times New Roman" w:hAnsi="Times New Roman"/>
                <w:sz w:val="24"/>
              </w:rPr>
              <w:t>13 delegovaného nariadenia (EÚ) 2016/101, ktoré sa vykazujú</w:t>
            </w:r>
            <w:r w:rsidR="00D85C65">
              <w:rPr>
                <w:rFonts w:ascii="Times New Roman" w:hAnsi="Times New Roman"/>
                <w:sz w:val="24"/>
              </w:rPr>
              <w:t xml:space="preserve"> v </w:t>
            </w:r>
            <w:r w:rsidRPr="00D85C65">
              <w:rPr>
                <w:rFonts w:ascii="Times New Roman" w:hAnsi="Times New Roman"/>
                <w:sz w:val="24"/>
              </w:rPr>
              <w:t>riadkoch 0050</w:t>
            </w:r>
            <w:r w:rsidR="00D85C65">
              <w:rPr>
                <w:rFonts w:ascii="Times New Roman" w:hAnsi="Times New Roman"/>
                <w:sz w:val="24"/>
              </w:rPr>
              <w:t xml:space="preserve"> a </w:t>
            </w:r>
            <w:r w:rsidRPr="00D85C65">
              <w:rPr>
                <w:rFonts w:ascii="Times New Roman" w:hAnsi="Times New Roman"/>
                <w:sz w:val="24"/>
              </w:rPr>
              <w:t>0060</w:t>
            </w:r>
            <w:r w:rsidR="00D85C65">
              <w:rPr>
                <w:rFonts w:ascii="Times New Roman" w:hAnsi="Times New Roman"/>
                <w:sz w:val="24"/>
              </w:rPr>
              <w:t xml:space="preserve"> a </w:t>
            </w:r>
            <w:r w:rsidRPr="00D85C65">
              <w:rPr>
                <w:rFonts w:ascii="Times New Roman" w:hAnsi="Times New Roman"/>
                <w:sz w:val="24"/>
              </w:rPr>
              <w:t>ktoré sú zahrnuté</w:t>
            </w:r>
            <w:r w:rsidR="00D85C65">
              <w:rPr>
                <w:rFonts w:ascii="Times New Roman" w:hAnsi="Times New Roman"/>
                <w:sz w:val="24"/>
              </w:rPr>
              <w:t xml:space="preserve"> v </w:t>
            </w:r>
            <w:r w:rsidRPr="00D85C65">
              <w:rPr>
                <w:rFonts w:ascii="Times New Roman" w:hAnsi="Times New Roman"/>
                <w:sz w:val="24"/>
              </w:rPr>
              <w:t>dodatočných úpravách ocenenia zohľadňujúcich neistotu trhovej ceny, dodatočných úpravách ocenenia zohľadňujúcich náklady na zatvorenie pozícií</w:t>
            </w:r>
            <w:r w:rsidR="00D85C65">
              <w:rPr>
                <w:rFonts w:ascii="Times New Roman" w:hAnsi="Times New Roman"/>
                <w:sz w:val="24"/>
              </w:rPr>
              <w:t xml:space="preserve"> a </w:t>
            </w:r>
            <w:r w:rsidRPr="00D85C65">
              <w:rPr>
                <w:rFonts w:ascii="Times New Roman" w:hAnsi="Times New Roman"/>
                <w:sz w:val="24"/>
              </w:rPr>
              <w:t>dodatočných úpravách ocenenia zohľadňujúcich riziko modelov tak, ako sú stanovené</w:t>
            </w:r>
            <w:r w:rsidR="00D85C65">
              <w:rPr>
                <w:rFonts w:ascii="Times New Roman" w:hAnsi="Times New Roman"/>
                <w:sz w:val="24"/>
              </w:rPr>
              <w:t xml:space="preserve"> v </w:t>
            </w:r>
            <w:r w:rsidRPr="00D85C65">
              <w:rPr>
                <w:rFonts w:ascii="Times New Roman" w:hAnsi="Times New Roman"/>
                <w:sz w:val="24"/>
              </w:rPr>
              <w:t>článku 12 ods. 2</w:t>
            </w:r>
            <w:r w:rsidR="00D85C65">
              <w:rPr>
                <w:rFonts w:ascii="Times New Roman" w:hAnsi="Times New Roman"/>
                <w:sz w:val="24"/>
              </w:rPr>
              <w:t xml:space="preserve"> a </w:t>
            </w:r>
            <w:r w:rsidRPr="00D85C65">
              <w:rPr>
                <w:rFonts w:ascii="Times New Roman" w:hAnsi="Times New Roman"/>
                <w:sz w:val="24"/>
              </w:rPr>
              <w:t>článku 13 ods. 2 uvedeného nariadenia.</w:t>
            </w:r>
          </w:p>
          <w:p w14:paraId="6232A42A" w14:textId="7292C485"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Výhody diverzifikácie sa vykazujú</w:t>
            </w:r>
            <w:r w:rsidR="00D85C65">
              <w:rPr>
                <w:rFonts w:ascii="Times New Roman" w:hAnsi="Times New Roman"/>
                <w:sz w:val="24"/>
              </w:rPr>
              <w:t xml:space="preserve"> v </w:t>
            </w:r>
            <w:r w:rsidRPr="00D85C65">
              <w:rPr>
                <w:rFonts w:ascii="Times New Roman" w:hAnsi="Times New Roman"/>
                <w:sz w:val="24"/>
              </w:rPr>
              <w:t>riadku 0140</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6, článkom 10 ods. 7</w:t>
            </w:r>
            <w:r w:rsidR="00D85C65">
              <w:rPr>
                <w:rFonts w:ascii="Times New Roman" w:hAnsi="Times New Roman"/>
                <w:sz w:val="24"/>
              </w:rPr>
              <w:t xml:space="preserve"> a </w:t>
            </w:r>
            <w:r w:rsidRPr="00D85C65">
              <w:rPr>
                <w:rFonts w:ascii="Times New Roman" w:hAnsi="Times New Roman"/>
                <w:sz w:val="24"/>
              </w:rPr>
              <w:t>článkom 11 ods. 7 delegovaného nariadenia (EÚ) 2016/101,</w:t>
            </w:r>
            <w:r w:rsidR="00D85C65">
              <w:rPr>
                <w:rFonts w:ascii="Times New Roman" w:hAnsi="Times New Roman"/>
                <w:sz w:val="24"/>
              </w:rPr>
              <w:t xml:space="preserve"> a </w:t>
            </w:r>
            <w:r w:rsidRPr="00D85C65">
              <w:rPr>
                <w:rFonts w:ascii="Times New Roman" w:hAnsi="Times New Roman"/>
                <w:sz w:val="24"/>
              </w:rPr>
              <w:t>sú preto vylúčené</w:t>
            </w:r>
            <w:r w:rsidR="00D85C65">
              <w:rPr>
                <w:rFonts w:ascii="Times New Roman" w:hAnsi="Times New Roman"/>
                <w:sz w:val="24"/>
              </w:rPr>
              <w:t xml:space="preserve"> z </w:t>
            </w:r>
            <w:r w:rsidRPr="00D85C65">
              <w:rPr>
                <w:rFonts w:ascii="Times New Roman" w:hAnsi="Times New Roman"/>
                <w:sz w:val="24"/>
              </w:rPr>
              <w:t xml:space="preserve">riadkov 0040 až 0130. </w:t>
            </w:r>
          </w:p>
        </w:tc>
      </w:tr>
      <w:tr w:rsidR="00235D9D" w:rsidRPr="00D85C65" w14:paraId="12ECE089" w14:textId="77777777" w:rsidTr="00672D2A">
        <w:tc>
          <w:tcPr>
            <w:tcW w:w="1101" w:type="dxa"/>
          </w:tcPr>
          <w:p w14:paraId="21F21EE7"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0050</w:t>
            </w:r>
          </w:p>
        </w:tc>
        <w:tc>
          <w:tcPr>
            <w:tcW w:w="8187" w:type="dxa"/>
            <w:shd w:val="clear" w:color="auto" w:fill="auto"/>
          </w:tcPr>
          <w:p w14:paraId="609842B5" w14:textId="77777777"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Z ČOHO: DODATOČNÁ ÚPRAVA OCENENIA ZOHĽADŇUJÚCA NEZÍSKANÉ ÚVEROVÉ ROZPÄTIA</w:t>
            </w:r>
          </w:p>
          <w:p w14:paraId="4C43FBD6" w14:textId="42CE7CD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Článok 105 ods. 10 CRR, článok 12 delegovaného nariadenia (EÚ) 2016/101.</w:t>
            </w:r>
          </w:p>
          <w:p w14:paraId="52B0184B" w14:textId="61A0C4FF" w:rsidR="00D85C65" w:rsidRDefault="00973707">
            <w:pPr>
              <w:spacing w:beforeLines="60" w:before="144" w:afterLines="60" w:after="144"/>
              <w:rPr>
                <w:rFonts w:ascii="Times New Roman" w:hAnsi="Times New Roman"/>
                <w:sz w:val="24"/>
              </w:rPr>
            </w:pPr>
            <w:r w:rsidRPr="00D85C65">
              <w:rPr>
                <w:rFonts w:ascii="Times New Roman" w:hAnsi="Times New Roman"/>
                <w:sz w:val="24"/>
              </w:rPr>
              <w:t>Celková dodatočná úprava ocenenia vypočítaná pre nezískané úverové rozpätia („dodatočná úprava ocenenia pre riziko úpravy ocenenia pohľadávok“)</w:t>
            </w:r>
            <w:r w:rsidR="00D85C65">
              <w:rPr>
                <w:rFonts w:ascii="Times New Roman" w:hAnsi="Times New Roman"/>
                <w:sz w:val="24"/>
              </w:rPr>
              <w:t xml:space="preserve"> a </w:t>
            </w:r>
            <w:r w:rsidRPr="00D85C65">
              <w:rPr>
                <w:rFonts w:ascii="Times New Roman" w:hAnsi="Times New Roman"/>
                <w:sz w:val="24"/>
              </w:rPr>
              <w:t>jej priradenie medzi dodatočné úpravy ocenenia zohľadňujúce neistotu trhovej ceny, náklady na zatvorenie pozícií alebo riziko modelov podľa článku 12 delegovaného nariadenia (EÚ) 2016/101</w:t>
            </w:r>
            <w:r w:rsidR="00D85C65">
              <w:rPr>
                <w:rFonts w:ascii="Times New Roman" w:hAnsi="Times New Roman"/>
                <w:sz w:val="24"/>
              </w:rPr>
              <w:t>.</w:t>
            </w:r>
          </w:p>
          <w:p w14:paraId="5BF61382" w14:textId="1F63E53D" w:rsidR="00D85C65" w:rsidRDefault="00973707">
            <w:pPr>
              <w:spacing w:beforeLines="60" w:before="144" w:afterLines="60" w:after="144"/>
              <w:rPr>
                <w:rFonts w:ascii="Times New Roman" w:hAnsi="Times New Roman"/>
                <w:sz w:val="24"/>
              </w:rPr>
            </w:pPr>
            <w:r w:rsidRPr="00D85C65">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D85C65">
              <w:rPr>
                <w:rFonts w:ascii="Times New Roman" w:hAnsi="Times New Roman"/>
                <w:sz w:val="24"/>
              </w:rPr>
              <w:t xml:space="preserve"> k </w:t>
            </w:r>
            <w:r w:rsidRPr="00D85C65">
              <w:rPr>
                <w:rFonts w:ascii="Times New Roman" w:hAnsi="Times New Roman"/>
                <w:sz w:val="24"/>
              </w:rPr>
              <w:t>jej začleneniu, po zohľadnení výhod diverzifikácie, medzi dodatočné úpravy ocenenia na úrovni príslušnej kategórie</w:t>
            </w:r>
            <w:r w:rsidR="00D85C65">
              <w:rPr>
                <w:rFonts w:ascii="Times New Roman" w:hAnsi="Times New Roman"/>
                <w:sz w:val="24"/>
              </w:rPr>
              <w:t>.</w:t>
            </w:r>
          </w:p>
          <w:p w14:paraId="3AE233E0" w14:textId="7A78DB4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Stĺpce 0130</w:t>
            </w:r>
            <w:r w:rsidR="00D85C65">
              <w:rPr>
                <w:rFonts w:ascii="Times New Roman" w:hAnsi="Times New Roman"/>
                <w:sz w:val="24"/>
              </w:rPr>
              <w:t xml:space="preserve"> a </w:t>
            </w:r>
            <w:r w:rsidRPr="00D85C65">
              <w:rPr>
                <w:rFonts w:ascii="Times New Roman" w:hAnsi="Times New Roman"/>
                <w:sz w:val="24"/>
              </w:rPr>
              <w:t>0140: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zahrnutá do rozsahu výpočtu dodatočných úprav ocenenia zohľadňujúcich nezískané kreditné rozpätie. Na účely výpočtu tejto dodatočnej úpravy ocenenia presne zodpovedajúce spárované aktíva</w:t>
            </w:r>
            <w:r w:rsidR="00D85C65">
              <w:rPr>
                <w:rFonts w:ascii="Times New Roman" w:hAnsi="Times New Roman"/>
                <w:sz w:val="24"/>
              </w:rPr>
              <w:t xml:space="preserve"> a </w:t>
            </w:r>
            <w:r w:rsidRPr="00D85C65">
              <w:rPr>
                <w:rFonts w:ascii="Times New Roman" w:hAnsi="Times New Roman"/>
                <w:sz w:val="24"/>
              </w:rPr>
              <w:t>záväzky ocenené reálnou hodnotou vylúčené</w:t>
            </w:r>
            <w:r w:rsidR="00D85C65">
              <w:rPr>
                <w:rFonts w:ascii="Times New Roman" w:hAnsi="Times New Roman"/>
                <w:sz w:val="24"/>
              </w:rPr>
              <w:t xml:space="preserve"> z </w:t>
            </w:r>
            <w:r w:rsidRPr="00D85C65">
              <w:rPr>
                <w:rFonts w:ascii="Times New Roman" w:hAnsi="Times New Roman"/>
                <w:sz w:val="24"/>
              </w:rPr>
              <w:t>výpočtu prahovej hodnoty podľa článku 4 ods. 2 delegovaného nariadenia (EÚ) 2016/101 nemožno viac považovať za presne zodpovedajúce spárované aktíva.</w:t>
            </w:r>
          </w:p>
        </w:tc>
      </w:tr>
      <w:tr w:rsidR="00235D9D" w:rsidRPr="00D85C65" w14:paraId="2C7204F5" w14:textId="77777777" w:rsidTr="00672D2A">
        <w:tc>
          <w:tcPr>
            <w:tcW w:w="1101" w:type="dxa"/>
          </w:tcPr>
          <w:p w14:paraId="246E982D"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0060</w:t>
            </w:r>
          </w:p>
        </w:tc>
        <w:tc>
          <w:tcPr>
            <w:tcW w:w="8187" w:type="dxa"/>
            <w:shd w:val="clear" w:color="auto" w:fill="auto"/>
          </w:tcPr>
          <w:p w14:paraId="1BE45145" w14:textId="77777777" w:rsid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Z ČOHO: DODATOČNÁ ÚPRAVA OCENENIA ZOHĽADŇUJÚCA INVESTIČNÉ NÁKLADY A NÁKLADY NA FINANCOVANIE</w:t>
            </w:r>
          </w:p>
          <w:p w14:paraId="7F03FED1" w14:textId="10E77E48" w:rsidR="00235D9D" w:rsidRPr="00D85C65" w:rsidRDefault="00973707">
            <w:pPr>
              <w:spacing w:beforeLines="60" w:before="144" w:afterLines="60" w:after="144"/>
              <w:rPr>
                <w:rFonts w:ascii="Times New Roman" w:hAnsi="Times New Roman"/>
                <w:caps/>
                <w:sz w:val="24"/>
                <w:u w:val="single"/>
              </w:rPr>
            </w:pPr>
            <w:r w:rsidRPr="00D85C65">
              <w:rPr>
                <w:rFonts w:ascii="Times New Roman" w:hAnsi="Times New Roman"/>
                <w:sz w:val="24"/>
              </w:rPr>
              <w:t>Článok 105 ods. 10 CRR, článok 17 delegovaného nariadenia (EÚ) 2016/101.</w:t>
            </w:r>
          </w:p>
          <w:p w14:paraId="51AD9291" w14:textId="056B9B53" w:rsidR="00D85C65" w:rsidRDefault="00973707">
            <w:pPr>
              <w:spacing w:beforeLines="60" w:before="144" w:afterLines="60" w:after="144"/>
              <w:rPr>
                <w:rFonts w:ascii="Times New Roman" w:hAnsi="Times New Roman"/>
                <w:sz w:val="24"/>
              </w:rPr>
            </w:pPr>
            <w:r w:rsidRPr="00D85C65">
              <w:rPr>
                <w:rFonts w:ascii="Times New Roman" w:hAnsi="Times New Roman"/>
                <w:sz w:val="24"/>
              </w:rPr>
              <w:t>Celková dodatočná úprava ocenenia vypočítaná pre investičné náklady</w:t>
            </w:r>
            <w:r w:rsidR="00D85C65">
              <w:rPr>
                <w:rFonts w:ascii="Times New Roman" w:hAnsi="Times New Roman"/>
                <w:sz w:val="24"/>
              </w:rPr>
              <w:t xml:space="preserve"> a </w:t>
            </w:r>
            <w:r w:rsidRPr="00D85C65">
              <w:rPr>
                <w:rFonts w:ascii="Times New Roman" w:hAnsi="Times New Roman"/>
                <w:sz w:val="24"/>
              </w:rPr>
              <w:t>náklady na financovanie</w:t>
            </w:r>
            <w:r w:rsidR="00D85C65">
              <w:rPr>
                <w:rFonts w:ascii="Times New Roman" w:hAnsi="Times New Roman"/>
                <w:sz w:val="24"/>
              </w:rPr>
              <w:t xml:space="preserve"> a </w:t>
            </w:r>
            <w:r w:rsidRPr="00D85C65">
              <w:rPr>
                <w:rFonts w:ascii="Times New Roman" w:hAnsi="Times New Roman"/>
                <w:sz w:val="24"/>
              </w:rPr>
              <w:t>jej priradenie medzi dodatočné úpravy ocenenia zohľadňujúce neistotu trhovej ceny, náklady na zatvorenie pozícií alebo riziko modelov podľa článku 13 delegovaného nariadenia (EÚ) 2016/101</w:t>
            </w:r>
            <w:r w:rsidR="00D85C65">
              <w:rPr>
                <w:rFonts w:ascii="Times New Roman" w:hAnsi="Times New Roman"/>
                <w:sz w:val="24"/>
              </w:rPr>
              <w:t>.</w:t>
            </w:r>
          </w:p>
          <w:p w14:paraId="507A146E" w14:textId="70E5A23A" w:rsidR="00D85C65" w:rsidRDefault="00973707">
            <w:pPr>
              <w:spacing w:beforeLines="60" w:before="144" w:afterLines="60" w:after="144"/>
              <w:rPr>
                <w:rFonts w:ascii="Times New Roman" w:hAnsi="Times New Roman"/>
                <w:sz w:val="24"/>
              </w:rPr>
            </w:pPr>
            <w:r w:rsidRPr="00D85C65">
              <w:rPr>
                <w:rFonts w:ascii="Times New Roman" w:hAnsi="Times New Roman"/>
                <w:sz w:val="24"/>
              </w:rPr>
              <w:t>Stĺpec 0110: celková dodatočná úprava ocenenia sa uvádza iba na informáciu, pretože jej priradenie medzi dodatočné úpravy ocenenia zohľadňujúce neistotu trhovej ceny, náklady na zatvorenie pozícií alebo riziko modelov vedie</w:t>
            </w:r>
            <w:r w:rsidR="00D85C65">
              <w:rPr>
                <w:rFonts w:ascii="Times New Roman" w:hAnsi="Times New Roman"/>
                <w:sz w:val="24"/>
              </w:rPr>
              <w:t xml:space="preserve"> k </w:t>
            </w:r>
            <w:r w:rsidRPr="00D85C65">
              <w:rPr>
                <w:rFonts w:ascii="Times New Roman" w:hAnsi="Times New Roman"/>
                <w:sz w:val="24"/>
              </w:rPr>
              <w:t xml:space="preserve">jej </w:t>
            </w:r>
            <w:r w:rsidRPr="00D85C65">
              <w:rPr>
                <w:rFonts w:ascii="Times New Roman" w:hAnsi="Times New Roman"/>
                <w:sz w:val="24"/>
              </w:rPr>
              <w:lastRenderedPageBreak/>
              <w:t>začleneniu, po zohľadnení výhod diverzifikácie, medzi dodatočné úpravy ocenenia na úrovni príslušnej kategórie</w:t>
            </w:r>
            <w:r w:rsidR="00D85C65">
              <w:rPr>
                <w:rFonts w:ascii="Times New Roman" w:hAnsi="Times New Roman"/>
                <w:sz w:val="24"/>
              </w:rPr>
              <w:t>.</w:t>
            </w:r>
          </w:p>
          <w:p w14:paraId="3D381B09" w14:textId="632551F7"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Stĺpce 0130</w:t>
            </w:r>
            <w:r w:rsidR="00D85C65">
              <w:rPr>
                <w:rFonts w:ascii="Times New Roman" w:hAnsi="Times New Roman"/>
                <w:sz w:val="24"/>
              </w:rPr>
              <w:t xml:space="preserve"> a </w:t>
            </w:r>
            <w:r w:rsidRPr="00D85C65">
              <w:rPr>
                <w:rFonts w:ascii="Times New Roman" w:hAnsi="Times New Roman"/>
                <w:sz w:val="24"/>
              </w:rPr>
              <w:t>0140: 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zahrnutých do rozsahu výpočtu dodatočnej úpravy ocenenia zohľadňujúcej investičné náklady</w:t>
            </w:r>
            <w:r w:rsidR="00D85C65">
              <w:rPr>
                <w:rFonts w:ascii="Times New Roman" w:hAnsi="Times New Roman"/>
                <w:sz w:val="24"/>
              </w:rPr>
              <w:t xml:space="preserve"> a </w:t>
            </w:r>
            <w:r w:rsidRPr="00D85C65">
              <w:rPr>
                <w:rFonts w:ascii="Times New Roman" w:hAnsi="Times New Roman"/>
                <w:sz w:val="24"/>
              </w:rPr>
              <w:t>náklady na financovanie. Na účely výpočtu tejto dodatočnej úpravy ocenenia presne zodpovedajúce spárované aktíva</w:t>
            </w:r>
            <w:r w:rsidR="00D85C65">
              <w:rPr>
                <w:rFonts w:ascii="Times New Roman" w:hAnsi="Times New Roman"/>
                <w:sz w:val="24"/>
              </w:rPr>
              <w:t xml:space="preserve"> a </w:t>
            </w:r>
            <w:r w:rsidRPr="00D85C65">
              <w:rPr>
                <w:rFonts w:ascii="Times New Roman" w:hAnsi="Times New Roman"/>
                <w:sz w:val="24"/>
              </w:rPr>
              <w:t>záväzky ocenené reálnou hodnotou vylúčené</w:t>
            </w:r>
            <w:r w:rsidR="00D85C65">
              <w:rPr>
                <w:rFonts w:ascii="Times New Roman" w:hAnsi="Times New Roman"/>
                <w:sz w:val="24"/>
              </w:rPr>
              <w:t xml:space="preserve"> z </w:t>
            </w:r>
            <w:r w:rsidRPr="00D85C65">
              <w:rPr>
                <w:rFonts w:ascii="Times New Roman" w:hAnsi="Times New Roman"/>
                <w:sz w:val="24"/>
              </w:rPr>
              <w:t>výpočtu prahovej hodnoty podľa článku 4 ods. 2 delegovaného nariadenia (EÚ) 2016/101 nemožno viac považovať za presne zodpovedajúce spárované aktíva.</w:t>
            </w:r>
          </w:p>
        </w:tc>
      </w:tr>
      <w:tr w:rsidR="00235D9D" w:rsidRPr="00D85C65" w14:paraId="35A14394" w14:textId="77777777" w:rsidTr="00672D2A">
        <w:tc>
          <w:tcPr>
            <w:tcW w:w="1101" w:type="dxa"/>
          </w:tcPr>
          <w:p w14:paraId="2D34F8EE"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0070</w:t>
            </w:r>
          </w:p>
        </w:tc>
        <w:tc>
          <w:tcPr>
            <w:tcW w:w="8187" w:type="dxa"/>
          </w:tcPr>
          <w:p w14:paraId="643E98B4" w14:textId="77777777"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Z ČOHO: DODATOČNÁ ÚPRAVA OCENENIA OCENENÁ NULOVOU HODNOTOU PODĽA ČLÁNKU 9 ODS. 2</w:t>
            </w:r>
            <w:r w:rsidRPr="00D85C65">
              <w:rPr>
                <w:rFonts w:ascii="Times New Roman" w:hAnsi="Times New Roman"/>
                <w:sz w:val="24"/>
              </w:rPr>
              <w:t xml:space="preserve"> </w:t>
            </w:r>
            <w:r w:rsidRPr="00D85C65">
              <w:rPr>
                <w:rFonts w:ascii="Times New Roman" w:hAnsi="Times New Roman"/>
                <w:b/>
                <w:caps/>
                <w:sz w:val="24"/>
              </w:rPr>
              <w:t>delegovaného nariadenia (EÚ) 2016/101</w:t>
            </w:r>
          </w:p>
          <w:p w14:paraId="50750DDA" w14:textId="3B60641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zodpovedajúcich expozíciám</w:t>
            </w:r>
            <w:r w:rsidR="00D85C65">
              <w:rPr>
                <w:rFonts w:ascii="Times New Roman" w:hAnsi="Times New Roman"/>
                <w:sz w:val="24"/>
              </w:rPr>
              <w:t xml:space="preserve"> z </w:t>
            </w:r>
            <w:r w:rsidRPr="00D85C65">
              <w:rPr>
                <w:rFonts w:ascii="Times New Roman" w:hAnsi="Times New Roman"/>
                <w:sz w:val="24"/>
              </w:rPr>
              <w:t xml:space="preserve">ocenenia oceneným nulovou hodnotou dodatočnej úpravy ocenenia podľa článku 9 ods. 2 delegovaného nariadenia (EÚ) 2016/101. </w:t>
            </w:r>
          </w:p>
        </w:tc>
      </w:tr>
      <w:tr w:rsidR="00235D9D" w:rsidRPr="00D85C65" w14:paraId="510BD45A" w14:textId="77777777" w:rsidTr="00672D2A">
        <w:tc>
          <w:tcPr>
            <w:tcW w:w="1101" w:type="dxa"/>
          </w:tcPr>
          <w:p w14:paraId="06AA6760"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0080</w:t>
            </w:r>
          </w:p>
        </w:tc>
        <w:tc>
          <w:tcPr>
            <w:tcW w:w="8187" w:type="dxa"/>
          </w:tcPr>
          <w:p w14:paraId="524C82D9" w14:textId="37BA8CB1"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Z ČOHO: DODATOČNÁ ÚPRAVA OCENENIA OCENENÁ NULOVOU HODNOTOU PODĽA ČLÁNKU 10 ODS. 2</w:t>
            </w:r>
            <w:r w:rsidR="00D85C65">
              <w:rPr>
                <w:rFonts w:ascii="Times New Roman" w:hAnsi="Times New Roman"/>
                <w:b/>
                <w:sz w:val="24"/>
                <w:u w:val="single"/>
              </w:rPr>
              <w:t xml:space="preserve"> a </w:t>
            </w:r>
            <w:r w:rsidRPr="00D85C65">
              <w:rPr>
                <w:rFonts w:ascii="Times New Roman" w:hAnsi="Times New Roman"/>
                <w:b/>
                <w:sz w:val="24"/>
                <w:u w:val="single"/>
              </w:rPr>
              <w:t>3</w:t>
            </w:r>
            <w:r w:rsidRPr="00D85C65">
              <w:rPr>
                <w:rFonts w:ascii="Times New Roman" w:hAnsi="Times New Roman"/>
                <w:sz w:val="24"/>
              </w:rPr>
              <w:t xml:space="preserve"> </w:t>
            </w:r>
            <w:r w:rsidRPr="00D85C65">
              <w:rPr>
                <w:rFonts w:ascii="Times New Roman" w:hAnsi="Times New Roman"/>
                <w:b/>
                <w:caps/>
                <w:sz w:val="24"/>
              </w:rPr>
              <w:t>delegovaného nariadenia (EÚ) 2016/101</w:t>
            </w:r>
          </w:p>
          <w:p w14:paraId="5C44A8C7" w14:textId="40207AFE"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zodpovedajúcich expozíciám</w:t>
            </w:r>
            <w:r w:rsidR="00D85C65">
              <w:rPr>
                <w:rFonts w:ascii="Times New Roman" w:hAnsi="Times New Roman"/>
                <w:sz w:val="24"/>
              </w:rPr>
              <w:t xml:space="preserve"> z </w:t>
            </w:r>
            <w:r w:rsidRPr="00D85C65">
              <w:rPr>
                <w:rFonts w:ascii="Times New Roman" w:hAnsi="Times New Roman"/>
                <w:sz w:val="24"/>
              </w:rPr>
              <w:t>ocenenia oceneným nulovou hodnotou dodatočnej úpravy ocenenia podľa článku 10 ods. 2 alebo článku 10 ods. 3 delegovaného nariadenia (EÚ) 2016/101.</w:t>
            </w:r>
          </w:p>
        </w:tc>
      </w:tr>
      <w:tr w:rsidR="00235D9D" w:rsidRPr="00D85C65" w14:paraId="2A570775" w14:textId="77777777" w:rsidTr="00672D2A">
        <w:tc>
          <w:tcPr>
            <w:tcW w:w="1101" w:type="dxa"/>
          </w:tcPr>
          <w:p w14:paraId="4DDE566A"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0090</w:t>
            </w:r>
          </w:p>
        </w:tc>
        <w:tc>
          <w:tcPr>
            <w:tcW w:w="8187" w:type="dxa"/>
          </w:tcPr>
          <w:p w14:paraId="65A5F28D" w14:textId="77777777"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1.1.1.1. ÚROKOVÉ SADZBY</w:t>
            </w:r>
          </w:p>
        </w:tc>
      </w:tr>
      <w:tr w:rsidR="00235D9D" w:rsidRPr="00D85C65" w14:paraId="02D801FD" w14:textId="77777777" w:rsidTr="00672D2A">
        <w:tc>
          <w:tcPr>
            <w:tcW w:w="1101" w:type="dxa"/>
          </w:tcPr>
          <w:p w14:paraId="67C5CD1F"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0100</w:t>
            </w:r>
          </w:p>
        </w:tc>
        <w:tc>
          <w:tcPr>
            <w:tcW w:w="8187" w:type="dxa"/>
          </w:tcPr>
          <w:p w14:paraId="2A5B1241" w14:textId="77777777" w:rsidR="00235D9D" w:rsidRPr="00D85C65" w:rsidRDefault="00AF3D7A">
            <w:pPr>
              <w:spacing w:beforeLines="60" w:before="144" w:afterLines="60" w:after="144"/>
              <w:rPr>
                <w:rFonts w:ascii="Times New Roman" w:hAnsi="Times New Roman"/>
                <w:b/>
                <w:sz w:val="24"/>
                <w:u w:val="single"/>
              </w:rPr>
            </w:pPr>
            <w:r w:rsidRPr="00D85C65">
              <w:rPr>
                <w:rFonts w:ascii="Times New Roman" w:hAnsi="Times New Roman"/>
                <w:b/>
                <w:sz w:val="24"/>
                <w:u w:val="single"/>
              </w:rPr>
              <w:t>1.1.1.2. DEVÍZY</w:t>
            </w:r>
          </w:p>
        </w:tc>
      </w:tr>
      <w:tr w:rsidR="00235D9D" w:rsidRPr="00D85C65" w14:paraId="57F104B5" w14:textId="77777777" w:rsidTr="00672D2A">
        <w:tc>
          <w:tcPr>
            <w:tcW w:w="1101" w:type="dxa"/>
          </w:tcPr>
          <w:p w14:paraId="33D0E721"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0110</w:t>
            </w:r>
          </w:p>
        </w:tc>
        <w:tc>
          <w:tcPr>
            <w:tcW w:w="8187" w:type="dxa"/>
          </w:tcPr>
          <w:p w14:paraId="703FBAE0" w14:textId="77777777" w:rsidR="00235D9D" w:rsidRPr="00D85C65" w:rsidRDefault="00AF3D7A">
            <w:pPr>
              <w:spacing w:beforeLines="60" w:before="144" w:afterLines="60" w:after="144"/>
              <w:rPr>
                <w:rFonts w:ascii="Times New Roman" w:hAnsi="Times New Roman"/>
                <w:b/>
                <w:sz w:val="24"/>
                <w:u w:val="single"/>
              </w:rPr>
            </w:pPr>
            <w:r w:rsidRPr="00D85C65">
              <w:rPr>
                <w:rFonts w:ascii="Times New Roman" w:hAnsi="Times New Roman"/>
                <w:b/>
                <w:sz w:val="24"/>
                <w:u w:val="single"/>
              </w:rPr>
              <w:t>1.1.1.3. KREDIT</w:t>
            </w:r>
          </w:p>
        </w:tc>
      </w:tr>
      <w:tr w:rsidR="00235D9D" w:rsidRPr="00D85C65" w14:paraId="541FE3D7" w14:textId="77777777" w:rsidTr="00672D2A">
        <w:tc>
          <w:tcPr>
            <w:tcW w:w="1101" w:type="dxa"/>
          </w:tcPr>
          <w:p w14:paraId="544E6BCB"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0120</w:t>
            </w:r>
          </w:p>
        </w:tc>
        <w:tc>
          <w:tcPr>
            <w:tcW w:w="8187" w:type="dxa"/>
          </w:tcPr>
          <w:p w14:paraId="5F8A34FE" w14:textId="77777777" w:rsidR="00235D9D" w:rsidRPr="00D85C65" w:rsidRDefault="00AF3D7A">
            <w:pPr>
              <w:spacing w:beforeLines="60" w:before="144" w:afterLines="60" w:after="144"/>
              <w:rPr>
                <w:rFonts w:ascii="Times New Roman" w:hAnsi="Times New Roman"/>
                <w:b/>
                <w:sz w:val="24"/>
                <w:u w:val="single"/>
              </w:rPr>
            </w:pPr>
            <w:r w:rsidRPr="00D85C65">
              <w:rPr>
                <w:rFonts w:ascii="Times New Roman" w:hAnsi="Times New Roman"/>
                <w:b/>
                <w:sz w:val="24"/>
                <w:u w:val="single"/>
              </w:rPr>
              <w:t>1.1.1.4. KAPITÁLOVÉ CENNÉ PAPIERE</w:t>
            </w:r>
          </w:p>
        </w:tc>
      </w:tr>
      <w:tr w:rsidR="00235D9D" w:rsidRPr="00D85C65" w14:paraId="4E2CC4F8" w14:textId="77777777" w:rsidTr="00672D2A">
        <w:tc>
          <w:tcPr>
            <w:tcW w:w="1101" w:type="dxa"/>
          </w:tcPr>
          <w:p w14:paraId="66749AB3"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0130</w:t>
            </w:r>
          </w:p>
        </w:tc>
        <w:tc>
          <w:tcPr>
            <w:tcW w:w="8187" w:type="dxa"/>
          </w:tcPr>
          <w:p w14:paraId="225FBEF0" w14:textId="77777777" w:rsidR="00235D9D" w:rsidRPr="00D85C65" w:rsidRDefault="00973707">
            <w:pPr>
              <w:spacing w:beforeLines="60" w:before="144" w:afterLines="60" w:after="144"/>
              <w:rPr>
                <w:rFonts w:ascii="Times New Roman" w:hAnsi="Times New Roman"/>
                <w:b/>
                <w:sz w:val="24"/>
                <w:u w:val="single"/>
              </w:rPr>
            </w:pPr>
            <w:r w:rsidRPr="00D85C65">
              <w:rPr>
                <w:rFonts w:ascii="Times New Roman" w:hAnsi="Times New Roman"/>
                <w:b/>
                <w:sz w:val="24"/>
                <w:u w:val="single"/>
              </w:rPr>
              <w:t>1.1.1.5. KOMODITY</w:t>
            </w:r>
          </w:p>
        </w:tc>
      </w:tr>
      <w:tr w:rsidR="00235D9D" w:rsidRPr="00D85C65" w14:paraId="4C68EC7C" w14:textId="77777777" w:rsidTr="00672D2A">
        <w:tc>
          <w:tcPr>
            <w:tcW w:w="1101" w:type="dxa"/>
          </w:tcPr>
          <w:p w14:paraId="268D3862"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0140</w:t>
            </w:r>
          </w:p>
        </w:tc>
        <w:tc>
          <w:tcPr>
            <w:tcW w:w="8187" w:type="dxa"/>
          </w:tcPr>
          <w:p w14:paraId="12B8DCB9" w14:textId="77777777"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1.1.2. (-) Výhody diverzifikácie</w:t>
            </w:r>
          </w:p>
          <w:p w14:paraId="58F865DE" w14:textId="623D5478"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Celkové výhody diverzifikácie. Súčet riadkov 0150</w:t>
            </w:r>
            <w:r w:rsidR="00D85C65">
              <w:rPr>
                <w:rFonts w:ascii="Times New Roman" w:hAnsi="Times New Roman"/>
                <w:sz w:val="24"/>
              </w:rPr>
              <w:t xml:space="preserve"> a </w:t>
            </w:r>
            <w:r w:rsidRPr="00D85C65">
              <w:rPr>
                <w:rFonts w:ascii="Times New Roman" w:hAnsi="Times New Roman"/>
                <w:sz w:val="24"/>
              </w:rPr>
              <w:t>0160.</w:t>
            </w:r>
          </w:p>
        </w:tc>
      </w:tr>
      <w:tr w:rsidR="00235D9D" w:rsidRPr="00D85C65" w14:paraId="18A6928D" w14:textId="77777777" w:rsidTr="00672D2A">
        <w:tc>
          <w:tcPr>
            <w:tcW w:w="1101" w:type="dxa"/>
          </w:tcPr>
          <w:p w14:paraId="70452E08"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0150</w:t>
            </w:r>
          </w:p>
        </w:tc>
        <w:tc>
          <w:tcPr>
            <w:tcW w:w="8187" w:type="dxa"/>
          </w:tcPr>
          <w:p w14:paraId="2903D2B5" w14:textId="77777777"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1.1.2.1. (-) Výhody diverzifikácie vypočítané pomocou metódy 1</w:t>
            </w:r>
          </w:p>
          <w:p w14:paraId="12B72F84" w14:textId="46F4BFBF"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Pre kategórie dodatočnej úpravy ocenenia agregované podľa metódy 1</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6, článkom 10 ods. 7</w:t>
            </w:r>
            <w:r w:rsidR="00D85C65">
              <w:rPr>
                <w:rFonts w:ascii="Times New Roman" w:hAnsi="Times New Roman"/>
                <w:sz w:val="24"/>
              </w:rPr>
              <w:t xml:space="preserve"> a </w:t>
            </w:r>
            <w:r w:rsidRPr="00D85C65">
              <w:rPr>
                <w:rFonts w:ascii="Times New Roman" w:hAnsi="Times New Roman"/>
                <w:sz w:val="24"/>
              </w:rPr>
              <w:t>článkom 11 ods. 6 delegovaného nariadenia (EÚ) 2016/101 rozdiel medzi súčtom jednotlivých dodatočných úprav ocenenia</w:t>
            </w:r>
            <w:r w:rsidR="00D85C65">
              <w:rPr>
                <w:rFonts w:ascii="Times New Roman" w:hAnsi="Times New Roman"/>
                <w:sz w:val="24"/>
              </w:rPr>
              <w:t xml:space="preserve"> a </w:t>
            </w:r>
            <w:r w:rsidRPr="00D85C65">
              <w:rPr>
                <w:rFonts w:ascii="Times New Roman" w:hAnsi="Times New Roman"/>
                <w:sz w:val="24"/>
              </w:rPr>
              <w:t>celkovou dodatočnou úpravou ocenenia na úrovni kategórie po úprave na účely agregácie.</w:t>
            </w:r>
          </w:p>
        </w:tc>
      </w:tr>
      <w:tr w:rsidR="00235D9D" w:rsidRPr="00D85C65" w14:paraId="04EB1DCD" w14:textId="77777777" w:rsidTr="00672D2A">
        <w:tc>
          <w:tcPr>
            <w:tcW w:w="1101" w:type="dxa"/>
          </w:tcPr>
          <w:p w14:paraId="4950FC85"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lastRenderedPageBreak/>
              <w:t>0160</w:t>
            </w:r>
          </w:p>
        </w:tc>
        <w:tc>
          <w:tcPr>
            <w:tcW w:w="8187" w:type="dxa"/>
          </w:tcPr>
          <w:p w14:paraId="42F4573A" w14:textId="77777777"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1.1.2.2. (-) Výhody diverzifikácie vypočítané pomocou metódy 2</w:t>
            </w:r>
          </w:p>
          <w:p w14:paraId="32C32EE7" w14:textId="1531FF98"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Pre kategórie dodatočnej úpravy ocenenia agregované podľa metódy 2</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9 ods. 6, článkom 10 ods. 7</w:t>
            </w:r>
            <w:r w:rsidR="00D85C65">
              <w:rPr>
                <w:rFonts w:ascii="Times New Roman" w:hAnsi="Times New Roman"/>
                <w:sz w:val="24"/>
              </w:rPr>
              <w:t xml:space="preserve"> a </w:t>
            </w:r>
            <w:r w:rsidRPr="00D85C65">
              <w:rPr>
                <w:rFonts w:ascii="Times New Roman" w:hAnsi="Times New Roman"/>
                <w:sz w:val="24"/>
              </w:rPr>
              <w:t>článkom 11 ods. 6 delegovaného nariadenia (EÚ) 2016/101 rozdiel medzi súčtom jednotlivých dodatočných úprav ocenenia</w:t>
            </w:r>
            <w:r w:rsidR="00D85C65">
              <w:rPr>
                <w:rFonts w:ascii="Times New Roman" w:hAnsi="Times New Roman"/>
                <w:sz w:val="24"/>
              </w:rPr>
              <w:t xml:space="preserve"> a </w:t>
            </w:r>
            <w:r w:rsidRPr="00D85C65">
              <w:rPr>
                <w:rFonts w:ascii="Times New Roman" w:hAnsi="Times New Roman"/>
                <w:sz w:val="24"/>
              </w:rPr>
              <w:t>celkovou dodatočnou úpravou ocenenia na úrovni kategórie po úprave na účely agregácie.</w:t>
            </w:r>
          </w:p>
        </w:tc>
      </w:tr>
      <w:tr w:rsidR="00235D9D" w:rsidRPr="00D85C65" w14:paraId="092A867D" w14:textId="77777777" w:rsidTr="00672D2A">
        <w:tc>
          <w:tcPr>
            <w:tcW w:w="1101" w:type="dxa"/>
          </w:tcPr>
          <w:p w14:paraId="4AE2F8B2"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0170</w:t>
            </w:r>
          </w:p>
        </w:tc>
        <w:tc>
          <w:tcPr>
            <w:tcW w:w="8187" w:type="dxa"/>
          </w:tcPr>
          <w:p w14:paraId="006B997D" w14:textId="02B23C29"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1.1.2.2.* Doplňujúca položka: dodatočné úpravy ocenenia znížené</w:t>
            </w:r>
            <w:r w:rsidR="00D85C65">
              <w:rPr>
                <w:rFonts w:ascii="Times New Roman" w:hAnsi="Times New Roman"/>
                <w:b/>
                <w:caps/>
                <w:sz w:val="24"/>
                <w:u w:val="single"/>
              </w:rPr>
              <w:t xml:space="preserve"> o </w:t>
            </w:r>
            <w:r w:rsidRPr="00D85C65">
              <w:rPr>
                <w:rFonts w:ascii="Times New Roman" w:hAnsi="Times New Roman"/>
                <w:b/>
                <w:caps/>
                <w:sz w:val="24"/>
                <w:u w:val="single"/>
              </w:rPr>
              <w:t>viac ako 90</w:t>
            </w:r>
            <w:r w:rsidR="00D85C65">
              <w:rPr>
                <w:rFonts w:ascii="Times New Roman" w:hAnsi="Times New Roman"/>
                <w:b/>
                <w:caps/>
                <w:sz w:val="24"/>
                <w:u w:val="single"/>
              </w:rPr>
              <w:t> %</w:t>
            </w:r>
            <w:r w:rsidRPr="00D85C65">
              <w:rPr>
                <w:rFonts w:ascii="Times New Roman" w:hAnsi="Times New Roman"/>
                <w:b/>
                <w:caps/>
                <w:sz w:val="24"/>
                <w:u w:val="single"/>
              </w:rPr>
              <w:t xml:space="preserve"> diverzifikáciou podľa metódy 2</w:t>
            </w:r>
          </w:p>
          <w:p w14:paraId="3AEBF533" w14:textId="350724C6"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Podľa terminológie metódy 2 súčet hodnôt FV – PV pre všetky expozície</w:t>
            </w:r>
            <w:r w:rsidR="00D85C65">
              <w:rPr>
                <w:rFonts w:ascii="Times New Roman" w:hAnsi="Times New Roman"/>
                <w:sz w:val="24"/>
              </w:rPr>
              <w:t xml:space="preserve"> z </w:t>
            </w:r>
            <w:r w:rsidRPr="00D85C65">
              <w:rPr>
                <w:rFonts w:ascii="Times New Roman" w:hAnsi="Times New Roman"/>
                <w:sz w:val="24"/>
              </w:rPr>
              <w:t>ocenenia, pre ktoré platí, že APVA &lt; 10</w:t>
            </w:r>
            <w:r w:rsidR="00D85C65">
              <w:rPr>
                <w:rFonts w:ascii="Times New Roman" w:hAnsi="Times New Roman"/>
                <w:sz w:val="24"/>
              </w:rPr>
              <w:t> %</w:t>
            </w:r>
            <w:r w:rsidRPr="00D85C65">
              <w:rPr>
                <w:rFonts w:ascii="Times New Roman" w:hAnsi="Times New Roman"/>
                <w:sz w:val="24"/>
              </w:rPr>
              <w:t xml:space="preserve"> (FV – PV).</w:t>
            </w:r>
          </w:p>
        </w:tc>
      </w:tr>
      <w:tr w:rsidR="00235D9D" w:rsidRPr="00D85C65" w14:paraId="1E1D23C9" w14:textId="77777777" w:rsidTr="00672D2A">
        <w:tc>
          <w:tcPr>
            <w:tcW w:w="1101" w:type="dxa"/>
          </w:tcPr>
          <w:p w14:paraId="3F762A00"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0180</w:t>
            </w:r>
          </w:p>
        </w:tc>
        <w:tc>
          <w:tcPr>
            <w:tcW w:w="8187" w:type="dxa"/>
          </w:tcPr>
          <w:p w14:paraId="33360B81" w14:textId="77777777"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1.2. Portfóliá vypočítané podľa rezervného prístupu</w:t>
            </w:r>
          </w:p>
          <w:p w14:paraId="3B6434F9" w14:textId="19E55E3B"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t>Článok 7 ods. 2 písm. b) delegovaného nariadenia (EÚ) 2016/101.</w:t>
            </w:r>
          </w:p>
          <w:p w14:paraId="0CB017E8" w14:textId="09C2064E" w:rsidR="00D85C65" w:rsidRDefault="00973707">
            <w:pPr>
              <w:spacing w:beforeLines="60" w:before="144" w:afterLines="60" w:after="144"/>
              <w:rPr>
                <w:rFonts w:ascii="Times New Roman" w:hAnsi="Times New Roman"/>
                <w:sz w:val="24"/>
              </w:rPr>
            </w:pPr>
            <w:r w:rsidRPr="00D85C65">
              <w:rPr>
                <w:rFonts w:ascii="Times New Roman" w:hAnsi="Times New Roman"/>
                <w:sz w:val="24"/>
              </w:rPr>
              <w:t>Pre portfóliá, na ktoré sa vzťahuje rezervný prístup podľa článku 7 ods. 2 písm. b) delegovaného nariadenia (EÚ) 2016/101, sa celková dodatočná úprava ocenenia vypočítava ako súčet riadkov 0190, 0200</w:t>
            </w:r>
            <w:r w:rsidR="00D85C65">
              <w:rPr>
                <w:rFonts w:ascii="Times New Roman" w:hAnsi="Times New Roman"/>
                <w:sz w:val="24"/>
              </w:rPr>
              <w:t xml:space="preserve"> a </w:t>
            </w:r>
            <w:r w:rsidRPr="00D85C65">
              <w:rPr>
                <w:rFonts w:ascii="Times New Roman" w:hAnsi="Times New Roman"/>
                <w:sz w:val="24"/>
              </w:rPr>
              <w:t>0210</w:t>
            </w:r>
            <w:r w:rsidR="00D85C65">
              <w:rPr>
                <w:rFonts w:ascii="Times New Roman" w:hAnsi="Times New Roman"/>
                <w:sz w:val="24"/>
              </w:rPr>
              <w:t>.</w:t>
            </w:r>
          </w:p>
          <w:p w14:paraId="53347298" w14:textId="118F4220" w:rsidR="00235D9D" w:rsidRPr="00D85C65" w:rsidRDefault="00973707">
            <w:pPr>
              <w:spacing w:beforeLines="60" w:before="144" w:afterLines="60" w:after="144"/>
              <w:rPr>
                <w:rFonts w:ascii="Times New Roman" w:hAnsi="Times New Roman"/>
                <w:sz w:val="24"/>
              </w:rPr>
            </w:pPr>
            <w:r w:rsidRPr="00D85C65">
              <w:rPr>
                <w:rFonts w:ascii="Times New Roman" w:hAnsi="Times New Roman"/>
                <w:sz w:val="24"/>
              </w:rPr>
              <w:t>Príslušná súvaha</w:t>
            </w:r>
            <w:r w:rsidR="00D85C65">
              <w:rPr>
                <w:rFonts w:ascii="Times New Roman" w:hAnsi="Times New Roman"/>
                <w:sz w:val="24"/>
              </w:rPr>
              <w:t xml:space="preserve"> a </w:t>
            </w:r>
            <w:r w:rsidRPr="00D85C65">
              <w:rPr>
                <w:rFonts w:ascii="Times New Roman" w:hAnsi="Times New Roman"/>
                <w:sz w:val="24"/>
              </w:rPr>
              <w:t>iné kontextové informácie sa uvádzajú</w:t>
            </w:r>
            <w:r w:rsidR="00D85C65">
              <w:rPr>
                <w:rFonts w:ascii="Times New Roman" w:hAnsi="Times New Roman"/>
                <w:sz w:val="24"/>
              </w:rPr>
              <w:t xml:space="preserve"> v </w:t>
            </w:r>
            <w:r w:rsidRPr="00D85C65">
              <w:rPr>
                <w:rFonts w:ascii="Times New Roman" w:hAnsi="Times New Roman"/>
                <w:sz w:val="24"/>
              </w:rPr>
              <w:t>stĺpcoch 0130 až 0260. Opis pozícií</w:t>
            </w:r>
            <w:r w:rsidR="00D85C65">
              <w:rPr>
                <w:rFonts w:ascii="Times New Roman" w:hAnsi="Times New Roman"/>
                <w:sz w:val="24"/>
              </w:rPr>
              <w:t xml:space="preserve"> a </w:t>
            </w:r>
            <w:r w:rsidRPr="00D85C65">
              <w:rPr>
                <w:rFonts w:ascii="Times New Roman" w:hAnsi="Times New Roman"/>
                <w:sz w:val="24"/>
              </w:rPr>
              <w:t>dôvod, pre ktorý nebolo možné uplatniť články 9 až 17 delegovaného nariadenia (EÚ) 2016/101, sa uvádzajú</w:t>
            </w:r>
            <w:r w:rsidR="00D85C65">
              <w:rPr>
                <w:rFonts w:ascii="Times New Roman" w:hAnsi="Times New Roman"/>
                <w:sz w:val="24"/>
              </w:rPr>
              <w:t xml:space="preserve"> v </w:t>
            </w:r>
            <w:r w:rsidRPr="00D85C65">
              <w:rPr>
                <w:rFonts w:ascii="Times New Roman" w:hAnsi="Times New Roman"/>
                <w:sz w:val="24"/>
              </w:rPr>
              <w:t xml:space="preserve">stĺpci 0270. </w:t>
            </w:r>
          </w:p>
        </w:tc>
      </w:tr>
      <w:tr w:rsidR="00235D9D" w:rsidRPr="00D85C65" w14:paraId="4232FEB6" w14:textId="77777777" w:rsidTr="00672D2A">
        <w:tc>
          <w:tcPr>
            <w:tcW w:w="1101" w:type="dxa"/>
          </w:tcPr>
          <w:p w14:paraId="5EF2A571"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0190</w:t>
            </w:r>
          </w:p>
        </w:tc>
        <w:tc>
          <w:tcPr>
            <w:tcW w:w="8187" w:type="dxa"/>
          </w:tcPr>
          <w:p w14:paraId="1DC1CE93" w14:textId="0C0581BA"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1.2.1. Rezervný prístup: 100</w:t>
            </w:r>
            <w:r w:rsidR="00D85C65">
              <w:rPr>
                <w:rFonts w:ascii="Times New Roman" w:hAnsi="Times New Roman"/>
                <w:b/>
                <w:caps/>
                <w:sz w:val="24"/>
                <w:u w:val="single"/>
              </w:rPr>
              <w:t> %</w:t>
            </w:r>
            <w:r w:rsidRPr="00D85C65">
              <w:rPr>
                <w:rFonts w:ascii="Times New Roman" w:hAnsi="Times New Roman"/>
                <w:b/>
                <w:caps/>
                <w:sz w:val="24"/>
                <w:u w:val="single"/>
              </w:rPr>
              <w:t xml:space="preserve"> nerealizovaného zisku</w:t>
            </w:r>
          </w:p>
          <w:p w14:paraId="2F1E8DCF" w14:textId="3696BE81"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t>Článok 7 ods. 2 písm. b) bod i) delegovaného nariadenia (EÚ) 2016/101.</w:t>
            </w:r>
          </w:p>
        </w:tc>
      </w:tr>
      <w:tr w:rsidR="00235D9D" w:rsidRPr="00D85C65" w14:paraId="709A9A24" w14:textId="77777777" w:rsidTr="00672D2A">
        <w:tc>
          <w:tcPr>
            <w:tcW w:w="1101" w:type="dxa"/>
          </w:tcPr>
          <w:p w14:paraId="39627504"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0200</w:t>
            </w:r>
          </w:p>
        </w:tc>
        <w:tc>
          <w:tcPr>
            <w:tcW w:w="8187" w:type="dxa"/>
          </w:tcPr>
          <w:p w14:paraId="112FFFAF" w14:textId="3E558C39"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1.2.2. Rezervný prístup: 10</w:t>
            </w:r>
            <w:r w:rsidR="00D85C65">
              <w:rPr>
                <w:rFonts w:ascii="Times New Roman" w:hAnsi="Times New Roman"/>
                <w:b/>
                <w:caps/>
                <w:sz w:val="24"/>
                <w:u w:val="single"/>
              </w:rPr>
              <w:t> %</w:t>
            </w:r>
            <w:r w:rsidRPr="00D85C65">
              <w:rPr>
                <w:rFonts w:ascii="Times New Roman" w:hAnsi="Times New Roman"/>
                <w:b/>
                <w:caps/>
                <w:sz w:val="24"/>
                <w:u w:val="single"/>
              </w:rPr>
              <w:t xml:space="preserve"> nominálnej hodnoty</w:t>
            </w:r>
          </w:p>
          <w:p w14:paraId="79709F42" w14:textId="09C53D0E"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t>Článok 7 ods. 2 písm. b) bod ii) delegovaného nariadenia (EÚ) 2016/101.</w:t>
            </w:r>
          </w:p>
        </w:tc>
      </w:tr>
      <w:tr w:rsidR="00235D9D" w:rsidRPr="00D85C65" w14:paraId="04DD8504" w14:textId="77777777" w:rsidTr="00672D2A">
        <w:tc>
          <w:tcPr>
            <w:tcW w:w="1101" w:type="dxa"/>
          </w:tcPr>
          <w:p w14:paraId="761837F5" w14:textId="77777777" w:rsidR="00235D9D" w:rsidRPr="00D85C65" w:rsidRDefault="009A7A38">
            <w:pPr>
              <w:spacing w:beforeLines="60" w:before="144" w:afterLines="60" w:after="144"/>
              <w:rPr>
                <w:rFonts w:ascii="Times New Roman" w:hAnsi="Times New Roman"/>
                <w:sz w:val="24"/>
              </w:rPr>
            </w:pPr>
            <w:r w:rsidRPr="00D85C65">
              <w:rPr>
                <w:rFonts w:ascii="Times New Roman" w:hAnsi="Times New Roman"/>
                <w:sz w:val="24"/>
              </w:rPr>
              <w:t>0210</w:t>
            </w:r>
          </w:p>
        </w:tc>
        <w:tc>
          <w:tcPr>
            <w:tcW w:w="8187" w:type="dxa"/>
          </w:tcPr>
          <w:p w14:paraId="1A27ACF7" w14:textId="294F2EAD" w:rsidR="00235D9D" w:rsidRPr="00D85C65" w:rsidRDefault="00973707">
            <w:pPr>
              <w:spacing w:beforeLines="60" w:before="144" w:afterLines="60" w:after="144"/>
              <w:rPr>
                <w:rFonts w:ascii="Times New Roman" w:hAnsi="Times New Roman"/>
                <w:b/>
                <w:caps/>
                <w:sz w:val="24"/>
                <w:u w:val="single"/>
              </w:rPr>
            </w:pPr>
            <w:r w:rsidRPr="00D85C65">
              <w:rPr>
                <w:rFonts w:ascii="Times New Roman" w:hAnsi="Times New Roman"/>
                <w:b/>
                <w:caps/>
                <w:sz w:val="24"/>
                <w:u w:val="single"/>
              </w:rPr>
              <w:t>1.2.3. Rezervný prístup: 25</w:t>
            </w:r>
            <w:r w:rsidR="00D85C65">
              <w:rPr>
                <w:rFonts w:ascii="Times New Roman" w:hAnsi="Times New Roman"/>
                <w:b/>
                <w:caps/>
                <w:sz w:val="24"/>
                <w:u w:val="single"/>
              </w:rPr>
              <w:t> %</w:t>
            </w:r>
            <w:r w:rsidRPr="00D85C65">
              <w:rPr>
                <w:rFonts w:ascii="Times New Roman" w:hAnsi="Times New Roman"/>
                <w:b/>
                <w:caps/>
                <w:sz w:val="24"/>
                <w:u w:val="single"/>
              </w:rPr>
              <w:t xml:space="preserve"> počiatočnej hodnoty</w:t>
            </w:r>
          </w:p>
          <w:p w14:paraId="7F23360D" w14:textId="211E055A" w:rsidR="00235D9D" w:rsidRPr="00D85C65" w:rsidRDefault="002F78EA">
            <w:pPr>
              <w:spacing w:beforeLines="60" w:before="144" w:afterLines="60" w:after="144"/>
              <w:rPr>
                <w:rFonts w:ascii="Times New Roman" w:hAnsi="Times New Roman"/>
                <w:sz w:val="24"/>
              </w:rPr>
            </w:pPr>
            <w:r w:rsidRPr="00D85C65">
              <w:rPr>
                <w:rFonts w:ascii="Times New Roman" w:hAnsi="Times New Roman"/>
                <w:sz w:val="24"/>
              </w:rPr>
              <w:t>Článok 7 ods. 2 písm. b) bod iii) delegovaného nariadenia (EÚ) 2016/101.</w:t>
            </w:r>
          </w:p>
        </w:tc>
      </w:tr>
    </w:tbl>
    <w:p w14:paraId="41449A55" w14:textId="77777777" w:rsidR="00235D9D" w:rsidRPr="00D85C65" w:rsidRDefault="00235D9D">
      <w:pPr>
        <w:rPr>
          <w:rStyle w:val="InstructionsTabelleText"/>
          <w:rFonts w:ascii="Times New Roman" w:hAnsi="Times New Roman"/>
          <w:sz w:val="24"/>
        </w:rPr>
      </w:pPr>
    </w:p>
    <w:p w14:paraId="7FE18B56" w14:textId="77777777" w:rsidR="00235D9D" w:rsidRPr="00D85C65" w:rsidRDefault="00AF3D7A">
      <w:pPr>
        <w:pStyle w:val="Instructionsberschrift2"/>
        <w:numPr>
          <w:ilvl w:val="0"/>
          <w:numId w:val="0"/>
        </w:numPr>
        <w:ind w:left="357" w:hanging="357"/>
        <w:rPr>
          <w:rFonts w:ascii="Times New Roman" w:hAnsi="Times New Roman"/>
          <w:sz w:val="24"/>
          <w:u w:val="none"/>
        </w:rPr>
      </w:pPr>
      <w:bookmarkStart w:id="114" w:name="_Toc29994556"/>
      <w:r w:rsidRPr="00D85C65">
        <w:rPr>
          <w:rFonts w:ascii="Times New Roman" w:hAnsi="Times New Roman"/>
          <w:sz w:val="24"/>
          <w:u w:val="none"/>
        </w:rPr>
        <w:t xml:space="preserve">6.3. </w:t>
      </w:r>
      <w:r w:rsidRPr="00D85C65">
        <w:rPr>
          <w:rFonts w:ascii="Times New Roman" w:hAnsi="Times New Roman"/>
          <w:sz w:val="24"/>
        </w:rPr>
        <w:t>C 32.03 – Obozretné oceňovanie: dodatočná úprava ocenenia zohľadňujúca riziko modelov (PruVal 3)</w:t>
      </w:r>
      <w:bookmarkEnd w:id="114"/>
    </w:p>
    <w:p w14:paraId="47E9892B" w14:textId="77777777" w:rsidR="00D85C65" w:rsidRDefault="00B93FA1">
      <w:pPr>
        <w:pStyle w:val="Instructionsberschrift2"/>
        <w:numPr>
          <w:ilvl w:val="0"/>
          <w:numId w:val="0"/>
        </w:numPr>
        <w:ind w:left="357" w:hanging="357"/>
        <w:rPr>
          <w:rFonts w:ascii="Times New Roman" w:hAnsi="Times New Roman"/>
          <w:sz w:val="24"/>
          <w:u w:val="none"/>
        </w:rPr>
      </w:pPr>
      <w:bookmarkStart w:id="115" w:name="_Toc29994557"/>
      <w:r w:rsidRPr="00D85C65">
        <w:rPr>
          <w:rFonts w:ascii="Times New Roman" w:hAnsi="Times New Roman"/>
          <w:sz w:val="24"/>
          <w:u w:val="none"/>
        </w:rPr>
        <w:t>6.3.1.</w:t>
      </w:r>
      <w:r w:rsidRPr="00D85C65">
        <w:rPr>
          <w:rFonts w:ascii="Times New Roman" w:hAnsi="Times New Roman"/>
          <w:sz w:val="24"/>
          <w:u w:val="none"/>
        </w:rPr>
        <w:tab/>
      </w:r>
      <w:r w:rsidRPr="00D85C65">
        <w:rPr>
          <w:rFonts w:ascii="Times New Roman" w:hAnsi="Times New Roman"/>
          <w:sz w:val="24"/>
        </w:rPr>
        <w:t>Všeobecné poznámky</w:t>
      </w:r>
      <w:bookmarkEnd w:id="115"/>
    </w:p>
    <w:p w14:paraId="6CC13797" w14:textId="210E97FD" w:rsidR="00235D9D" w:rsidRPr="00D85C65" w:rsidRDefault="00AF3D7A">
      <w:pPr>
        <w:pStyle w:val="InstructionsText2"/>
        <w:numPr>
          <w:ilvl w:val="0"/>
          <w:numId w:val="0"/>
        </w:numPr>
        <w:ind w:left="993"/>
      </w:pPr>
      <w:r w:rsidRPr="00D85C65">
        <w:t>154f. Tento vzor vypĺňajú iba inštitúcie, ktoré prekračujú prahovú hodnotu uvedenú</w:t>
      </w:r>
      <w:r w:rsidR="00D85C65">
        <w:t xml:space="preserve"> v </w:t>
      </w:r>
      <w:r w:rsidRPr="00D85C65">
        <w:t>článku 4 ods. 1 delegovaného nariadenia (EÚ) 2016/101 na svojej úrovni. Inštitúcie, ktoré sú súčasťou skupiny, ktorá prekračuje prahovú hodnotu na konsolidovanom základe, majú povinnosť vypĺňať tento vzor iba</w:t>
      </w:r>
      <w:r w:rsidR="00D85C65">
        <w:t xml:space="preserve"> v </w:t>
      </w:r>
      <w:r w:rsidRPr="00D85C65">
        <w:t>položkách, pri ktorých takisto prekračujú prahovú hodnotu na svojej úrovni.</w:t>
      </w:r>
    </w:p>
    <w:p w14:paraId="4B7E7E29" w14:textId="42CC29E5" w:rsidR="00235D9D" w:rsidRPr="00D85C65" w:rsidRDefault="00AF3D7A">
      <w:pPr>
        <w:pStyle w:val="InstructionsText2"/>
        <w:numPr>
          <w:ilvl w:val="0"/>
          <w:numId w:val="0"/>
        </w:numPr>
        <w:ind w:left="993"/>
      </w:pPr>
      <w:r w:rsidRPr="00D85C65">
        <w:lastRenderedPageBreak/>
        <w:t>154g. Tento vzor slúži na vykazovanie podrobností</w:t>
      </w:r>
      <w:r w:rsidR="00D85C65">
        <w:t xml:space="preserve"> o </w:t>
      </w:r>
      <w:r w:rsidRPr="00D85C65">
        <w:t>20 najväčších samostatných dodatočných úpravách ocenenia zohľadňujúcich riziko modelov, pokiaľ ide</w:t>
      </w:r>
      <w:r w:rsidR="00D85C65">
        <w:t xml:space="preserve"> o </w:t>
      </w:r>
      <w:r w:rsidRPr="00D85C65">
        <w:t>hodnotu dodatočnej úpravy ocenenia, ktorá prispieva</w:t>
      </w:r>
      <w:r w:rsidR="00D85C65">
        <w:t xml:space="preserve"> k </w:t>
      </w:r>
      <w:r w:rsidRPr="00D85C65">
        <w:t>celkovej dodatočnej úprave ocenenia zohľadňujúcej riziko modelov na úrovni kategórie</w:t>
      </w:r>
      <w:r w:rsidR="00D85C65">
        <w:t xml:space="preserve"> v </w:t>
      </w:r>
      <w:r w:rsidRPr="00D85C65">
        <w:t>súlade</w:t>
      </w:r>
      <w:r w:rsidR="00D85C65">
        <w:t xml:space="preserve"> s </w:t>
      </w:r>
      <w:r w:rsidRPr="00D85C65">
        <w:t>článkom 11 delegovaného nariadenia (EÚ) 2016/101. Tieto informácie zodpovedajú informáciám vykázaným</w:t>
      </w:r>
      <w:r w:rsidR="00D85C65">
        <w:t xml:space="preserve"> v </w:t>
      </w:r>
      <w:r w:rsidRPr="00D85C65">
        <w:t>stĺpci 0050 vzoru C 32.02.</w:t>
      </w:r>
    </w:p>
    <w:p w14:paraId="272CAFB4" w14:textId="53135C48" w:rsidR="00D85C65" w:rsidRDefault="00AF3D7A">
      <w:pPr>
        <w:pStyle w:val="InstructionsText2"/>
        <w:numPr>
          <w:ilvl w:val="0"/>
          <w:numId w:val="0"/>
        </w:numPr>
        <w:ind w:left="993"/>
      </w:pPr>
      <w:r w:rsidRPr="00D85C65">
        <w:t>154h. Dvadsať najväčších samostatných dodatočných úprav ocenenia zohľadňujúcich riziko modelov</w:t>
      </w:r>
      <w:r w:rsidR="00D85C65">
        <w:t xml:space="preserve"> a </w:t>
      </w:r>
      <w:r w:rsidRPr="00D85C65">
        <w:t>príslušné informácie</w:t>
      </w:r>
      <w:r w:rsidR="00D85C65">
        <w:t xml:space="preserve"> o </w:t>
      </w:r>
      <w:r w:rsidRPr="00D85C65">
        <w:t>produktoch sa vykazuje</w:t>
      </w:r>
      <w:r w:rsidR="00D85C65">
        <w:t xml:space="preserve"> v </w:t>
      </w:r>
      <w:r w:rsidRPr="00D85C65">
        <w:t>zostupnom poradí od najväčších samostatných dodatočných úprav ocenenia zohľadňujúcich riziko modelov</w:t>
      </w:r>
      <w:r w:rsidR="00D85C65">
        <w:t>.</w:t>
      </w:r>
    </w:p>
    <w:p w14:paraId="2E0026F5" w14:textId="08274EF8" w:rsidR="00D85C65" w:rsidRDefault="00AF3D7A">
      <w:pPr>
        <w:pStyle w:val="InstructionsText2"/>
        <w:numPr>
          <w:ilvl w:val="0"/>
          <w:numId w:val="0"/>
        </w:numPr>
        <w:ind w:left="993"/>
      </w:pPr>
      <w:r w:rsidRPr="00D85C65">
        <w:t>154i. Produkty zodpovedajúce týmto najväčším samostatným dodatočným úpravám ocenenia zohľadňujúcim riziko modelov sa vykazujú pomocou zoznamu produktov požadovaného</w:t>
      </w:r>
      <w:r w:rsidR="00D85C65">
        <w:t xml:space="preserve"> v </w:t>
      </w:r>
      <w:r w:rsidRPr="00D85C65">
        <w:t>článku 19 ods. 3 písm. a) delegovaného nariadenia (EÚ) 2016/101</w:t>
      </w:r>
      <w:r w:rsidR="00D85C65">
        <w:t>.</w:t>
      </w:r>
    </w:p>
    <w:p w14:paraId="69FDFEFD" w14:textId="50407EC5" w:rsidR="00235D9D" w:rsidRPr="00D85C65" w:rsidRDefault="00113E45">
      <w:pPr>
        <w:pStyle w:val="InstructionsText2"/>
        <w:numPr>
          <w:ilvl w:val="0"/>
          <w:numId w:val="0"/>
        </w:numPr>
        <w:ind w:left="993"/>
      </w:pPr>
      <w:r w:rsidRPr="00D85C65">
        <w:t>154j.</w:t>
      </w:r>
      <w:r w:rsidR="00D85C65">
        <w:t xml:space="preserve"> V </w:t>
      </w:r>
      <w:r w:rsidRPr="00D85C65">
        <w:t>prípade, keď sú produkty dostatočne homogénne, pokiaľ ide</w:t>
      </w:r>
      <w:r w:rsidR="00D85C65">
        <w:t xml:space="preserve"> o </w:t>
      </w:r>
      <w:r w:rsidRPr="00D85C65">
        <w:t>model oceňovania</w:t>
      </w:r>
      <w:r w:rsidR="00D85C65">
        <w:t xml:space="preserve"> a </w:t>
      </w:r>
      <w:r w:rsidRPr="00D85C65">
        <w:t>dodatočnú úpravu ocenenia zohľadňujúcu riziko modelov, zlúčia sa</w:t>
      </w:r>
      <w:r w:rsidR="00D85C65">
        <w:t xml:space="preserve"> a </w:t>
      </w:r>
      <w:r w:rsidRPr="00D85C65">
        <w:t>uvedú sa na jednom riadku</w:t>
      </w:r>
      <w:r w:rsidR="00D85C65">
        <w:t xml:space="preserve"> z </w:t>
      </w:r>
      <w:r w:rsidRPr="00D85C65">
        <w:t>dôvodu maximalizácie pokrytia údajov</w:t>
      </w:r>
      <w:r w:rsidR="00D85C65">
        <w:t xml:space="preserve"> v </w:t>
      </w:r>
      <w:r w:rsidRPr="00D85C65">
        <w:t>tomto vzore, pokiaľ ide</w:t>
      </w:r>
      <w:r w:rsidR="00D85C65">
        <w:t xml:space="preserve"> o </w:t>
      </w:r>
      <w:r w:rsidRPr="00D85C65">
        <w:t>celkovú dodatočnú úpravu ocenenia zohľadňujúcu riziko modelov na úrovni kategórie inštitúcie.</w:t>
      </w:r>
    </w:p>
    <w:p w14:paraId="502C13CA" w14:textId="38F64127" w:rsidR="00235D9D" w:rsidRPr="00D85C65" w:rsidRDefault="00B93FA1">
      <w:pPr>
        <w:pStyle w:val="Instructionsberschrift2"/>
        <w:numPr>
          <w:ilvl w:val="0"/>
          <w:numId w:val="0"/>
        </w:numPr>
        <w:ind w:left="357" w:hanging="357"/>
        <w:rPr>
          <w:rFonts w:ascii="Times New Roman" w:hAnsi="Times New Roman" w:cs="Times New Roman"/>
          <w:sz w:val="24"/>
        </w:rPr>
      </w:pPr>
      <w:bookmarkStart w:id="116" w:name="_Toc29994558"/>
      <w:r w:rsidRPr="00D85C65">
        <w:rPr>
          <w:rFonts w:ascii="Times New Roman" w:hAnsi="Times New Roman"/>
          <w:sz w:val="24"/>
          <w:u w:val="none"/>
        </w:rPr>
        <w:t>6.3.2.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235D9D" w:rsidRPr="00D85C65" w14:paraId="0AB661FA" w14:textId="77777777" w:rsidTr="00672D2A">
        <w:tc>
          <w:tcPr>
            <w:tcW w:w="9322" w:type="dxa"/>
            <w:gridSpan w:val="2"/>
            <w:shd w:val="clear" w:color="auto" w:fill="CCCCCC"/>
          </w:tcPr>
          <w:p w14:paraId="46000B18" w14:textId="77777777" w:rsidR="00235D9D" w:rsidRPr="00D85C65" w:rsidRDefault="00113E45">
            <w:pPr>
              <w:spacing w:beforeLines="60" w:before="144" w:afterLines="60" w:after="144"/>
              <w:rPr>
                <w:rFonts w:ascii="Times New Roman" w:hAnsi="Times New Roman"/>
                <w:b/>
                <w:sz w:val="24"/>
              </w:rPr>
            </w:pPr>
            <w:r w:rsidRPr="00D85C65">
              <w:rPr>
                <w:rFonts w:ascii="Times New Roman" w:hAnsi="Times New Roman"/>
                <w:b/>
                <w:sz w:val="24"/>
              </w:rPr>
              <w:t>Stĺpce</w:t>
            </w:r>
          </w:p>
        </w:tc>
      </w:tr>
      <w:tr w:rsidR="00235D9D" w:rsidRPr="00D85C65" w14:paraId="45A890B1" w14:textId="77777777" w:rsidTr="00672D2A">
        <w:tc>
          <w:tcPr>
            <w:tcW w:w="1101" w:type="dxa"/>
          </w:tcPr>
          <w:p w14:paraId="11D96786"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0005</w:t>
            </w:r>
          </w:p>
        </w:tc>
        <w:tc>
          <w:tcPr>
            <w:tcW w:w="8221" w:type="dxa"/>
          </w:tcPr>
          <w:p w14:paraId="5C653FE4"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PORADIE</w:t>
            </w:r>
          </w:p>
          <w:p w14:paraId="33510138" w14:textId="65B9B326"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sz w:val="24"/>
              </w:rPr>
              <w:t>Poradie je identifikátorom riadku</w:t>
            </w:r>
            <w:r w:rsidR="00D85C65">
              <w:rPr>
                <w:rFonts w:ascii="Times New Roman" w:hAnsi="Times New Roman"/>
                <w:sz w:val="24"/>
              </w:rPr>
              <w:t xml:space="preserve"> a </w:t>
            </w:r>
            <w:r w:rsidRPr="00D85C65">
              <w:rPr>
                <w:rFonts w:ascii="Times New Roman" w:hAnsi="Times New Roman"/>
                <w:sz w:val="24"/>
              </w:rPr>
              <w:t>musí byť pre každý riadok vzoru jednoznačné. Riadi sa číselným poradím 1, 2, 3 atď., pričom číslo 1 je priradené najvyššej samostatnej dodatočnej úprave ocenenia zohľadňujúcej riziko modelov, číslo 2 druhej najvyššej atď.</w:t>
            </w:r>
          </w:p>
        </w:tc>
      </w:tr>
      <w:tr w:rsidR="00235D9D" w:rsidRPr="00D85C65" w14:paraId="1AD80148" w14:textId="77777777" w:rsidTr="00672D2A">
        <w:tc>
          <w:tcPr>
            <w:tcW w:w="1101" w:type="dxa"/>
          </w:tcPr>
          <w:p w14:paraId="6EC3BDD9"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0010</w:t>
            </w:r>
          </w:p>
        </w:tc>
        <w:tc>
          <w:tcPr>
            <w:tcW w:w="8221" w:type="dxa"/>
          </w:tcPr>
          <w:p w14:paraId="66572F15"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MODEL</w:t>
            </w:r>
          </w:p>
          <w:p w14:paraId="39B61F35"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sz w:val="24"/>
              </w:rPr>
              <w:t>Interný (alfanumerický) názov modelu, ktorý inštitúcia používa na jeho identifikáciu.</w:t>
            </w:r>
          </w:p>
        </w:tc>
      </w:tr>
      <w:tr w:rsidR="00235D9D" w:rsidRPr="00D85C65" w14:paraId="61B4C079" w14:textId="77777777" w:rsidTr="00672D2A">
        <w:tc>
          <w:tcPr>
            <w:tcW w:w="1101" w:type="dxa"/>
          </w:tcPr>
          <w:p w14:paraId="6BB5F681"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0020</w:t>
            </w:r>
          </w:p>
        </w:tc>
        <w:tc>
          <w:tcPr>
            <w:tcW w:w="8221" w:type="dxa"/>
          </w:tcPr>
          <w:p w14:paraId="3EBE9A6A"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KATEGÓRIA RIZIKA</w:t>
            </w:r>
          </w:p>
          <w:p w14:paraId="3136AF8C" w14:textId="734B83EB"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Kategória rizika (úrokové, devízové, kreditné, kapitálové, komoditné), ktorá najpresnejšie vystihuje produkt alebo skupinu produktov,</w:t>
            </w:r>
            <w:r w:rsidR="00D85C65">
              <w:rPr>
                <w:rFonts w:ascii="Times New Roman" w:hAnsi="Times New Roman"/>
                <w:sz w:val="24"/>
              </w:rPr>
              <w:t xml:space="preserve"> z </w:t>
            </w:r>
            <w:r w:rsidRPr="00D85C65">
              <w:rPr>
                <w:rFonts w:ascii="Times New Roman" w:hAnsi="Times New Roman"/>
                <w:sz w:val="24"/>
              </w:rPr>
              <w:t>ktorých vyplýva úprava ocenenia zohľadňujúca riziko modelov.</w:t>
            </w:r>
          </w:p>
          <w:p w14:paraId="19F95BF0"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Inštitúcie vykazujú tieto kódy:</w:t>
            </w:r>
          </w:p>
          <w:p w14:paraId="0E48C402"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IR – úrokové,</w:t>
            </w:r>
          </w:p>
          <w:p w14:paraId="18942E96" w14:textId="77777777" w:rsidR="00235D9D" w:rsidRPr="00D85C65" w:rsidRDefault="00A74B40">
            <w:pPr>
              <w:spacing w:beforeLines="60" w:before="144" w:afterLines="60" w:after="144"/>
              <w:rPr>
                <w:rFonts w:ascii="Times New Roman" w:hAnsi="Times New Roman"/>
                <w:sz w:val="24"/>
              </w:rPr>
            </w:pPr>
            <w:r w:rsidRPr="00D85C65">
              <w:rPr>
                <w:rFonts w:ascii="Times New Roman" w:hAnsi="Times New Roman"/>
                <w:sz w:val="24"/>
              </w:rPr>
              <w:t>FX – devízové,</w:t>
            </w:r>
          </w:p>
          <w:p w14:paraId="07CBEA44"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CR – kreditné,</w:t>
            </w:r>
          </w:p>
          <w:p w14:paraId="34E6E7E7"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EQ – kapitálové,</w:t>
            </w:r>
          </w:p>
          <w:p w14:paraId="195B6169"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lastRenderedPageBreak/>
              <w:t>CO – komoditné.</w:t>
            </w:r>
          </w:p>
        </w:tc>
      </w:tr>
      <w:tr w:rsidR="00235D9D" w:rsidRPr="00D85C65" w14:paraId="3E2DE61B" w14:textId="77777777" w:rsidTr="00672D2A">
        <w:tc>
          <w:tcPr>
            <w:tcW w:w="1101" w:type="dxa"/>
          </w:tcPr>
          <w:p w14:paraId="6E48DF29"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lastRenderedPageBreak/>
              <w:t>0030</w:t>
            </w:r>
          </w:p>
        </w:tc>
        <w:tc>
          <w:tcPr>
            <w:tcW w:w="8221" w:type="dxa"/>
          </w:tcPr>
          <w:p w14:paraId="7CA615BC"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PRODUKT</w:t>
            </w:r>
          </w:p>
          <w:p w14:paraId="0A9CD898" w14:textId="700DE6F6"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Interný (alfanumerický) názov pre produkt alebo skupinu produktov</w:t>
            </w:r>
            <w:r w:rsidR="00D85C65">
              <w:rPr>
                <w:rFonts w:ascii="Times New Roman" w:hAnsi="Times New Roman"/>
                <w:sz w:val="24"/>
              </w:rPr>
              <w:t xml:space="preserve"> v </w:t>
            </w:r>
            <w:r w:rsidRPr="00D85C65">
              <w:rPr>
                <w:rFonts w:ascii="Times New Roman" w:hAnsi="Times New Roman"/>
                <w:sz w:val="24"/>
              </w:rPr>
              <w:t>súlade so zoznamom produktov požadovaným</w:t>
            </w:r>
            <w:r w:rsidR="00D85C65">
              <w:rPr>
                <w:rFonts w:ascii="Times New Roman" w:hAnsi="Times New Roman"/>
                <w:sz w:val="24"/>
              </w:rPr>
              <w:t xml:space="preserve"> v </w:t>
            </w:r>
            <w:r w:rsidRPr="00D85C65">
              <w:rPr>
                <w:rFonts w:ascii="Times New Roman" w:hAnsi="Times New Roman"/>
                <w:sz w:val="24"/>
              </w:rPr>
              <w:t>článku 19 ods. 3 písm. a) delegovaného nariadenia (EÚ) 2016/101, ktoré sú ocenené pomocou príslušného modelu.</w:t>
            </w:r>
          </w:p>
        </w:tc>
      </w:tr>
      <w:tr w:rsidR="00235D9D" w:rsidRPr="00D85C65" w14:paraId="31840EB1" w14:textId="77777777" w:rsidTr="00672D2A">
        <w:tc>
          <w:tcPr>
            <w:tcW w:w="1101" w:type="dxa"/>
          </w:tcPr>
          <w:p w14:paraId="01E17E11"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0040</w:t>
            </w:r>
          </w:p>
        </w:tc>
        <w:tc>
          <w:tcPr>
            <w:tcW w:w="8221" w:type="dxa"/>
          </w:tcPr>
          <w:p w14:paraId="42AE0700"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ZISTITEĽNOSŤ</w:t>
            </w:r>
          </w:p>
          <w:p w14:paraId="294F6704" w14:textId="27980627" w:rsidR="00235D9D" w:rsidRPr="00D85C65" w:rsidRDefault="00113E45">
            <w:pPr>
              <w:pStyle w:val="CommentText"/>
              <w:rPr>
                <w:rFonts w:ascii="Times New Roman" w:hAnsi="Times New Roman"/>
                <w:sz w:val="24"/>
                <w:szCs w:val="24"/>
              </w:rPr>
            </w:pPr>
            <w:r w:rsidRPr="00D85C65">
              <w:rPr>
                <w:rFonts w:ascii="Times New Roman" w:hAnsi="Times New Roman"/>
                <w:sz w:val="24"/>
                <w:szCs w:val="24"/>
              </w:rPr>
              <w:t>Počet pozorovaní cien pre daný produkt alebo skupinu produktov</w:t>
            </w:r>
            <w:r w:rsidR="00D85C65">
              <w:rPr>
                <w:rFonts w:ascii="Times New Roman" w:hAnsi="Times New Roman"/>
                <w:sz w:val="24"/>
                <w:szCs w:val="24"/>
              </w:rPr>
              <w:t xml:space="preserve"> v </w:t>
            </w:r>
            <w:r w:rsidRPr="00D85C65">
              <w:rPr>
                <w:rFonts w:ascii="Times New Roman" w:hAnsi="Times New Roman"/>
                <w:sz w:val="24"/>
                <w:szCs w:val="24"/>
              </w:rPr>
              <w:t>posledných dvanástich mesiacoch, ktoré spĺňajú jedno</w:t>
            </w:r>
            <w:r w:rsidR="00D85C65">
              <w:rPr>
                <w:rFonts w:ascii="Times New Roman" w:hAnsi="Times New Roman"/>
                <w:sz w:val="24"/>
                <w:szCs w:val="24"/>
              </w:rPr>
              <w:t xml:space="preserve"> z </w:t>
            </w:r>
            <w:r w:rsidRPr="00D85C65">
              <w:rPr>
                <w:rFonts w:ascii="Times New Roman" w:hAnsi="Times New Roman"/>
                <w:sz w:val="24"/>
                <w:szCs w:val="24"/>
              </w:rPr>
              <w:t>týchto kritérií:</w:t>
            </w:r>
          </w:p>
          <w:p w14:paraId="662FD107" w14:textId="77777777" w:rsidR="00235D9D" w:rsidRPr="00D85C65" w:rsidRDefault="00113E45">
            <w:pPr>
              <w:pStyle w:val="CommentText"/>
              <w:numPr>
                <w:ilvl w:val="0"/>
                <w:numId w:val="31"/>
              </w:numPr>
              <w:rPr>
                <w:rFonts w:ascii="Times New Roman" w:hAnsi="Times New Roman"/>
                <w:sz w:val="24"/>
                <w:szCs w:val="24"/>
              </w:rPr>
            </w:pPr>
            <w:r w:rsidRPr="00D85C65">
              <w:rPr>
                <w:rFonts w:ascii="Times New Roman" w:hAnsi="Times New Roman"/>
                <w:sz w:val="24"/>
                <w:szCs w:val="24"/>
              </w:rPr>
              <w:t>pozorovanie ceny je cena, pri ktorej inštitúcia uskutočnila transakciu;</w:t>
            </w:r>
          </w:p>
          <w:p w14:paraId="5372EBCF" w14:textId="77777777" w:rsidR="00235D9D" w:rsidRPr="00D85C65" w:rsidRDefault="00113E45">
            <w:pPr>
              <w:pStyle w:val="CommentText"/>
              <w:numPr>
                <w:ilvl w:val="0"/>
                <w:numId w:val="31"/>
              </w:numPr>
              <w:rPr>
                <w:rFonts w:ascii="Times New Roman" w:hAnsi="Times New Roman"/>
                <w:sz w:val="24"/>
                <w:szCs w:val="24"/>
              </w:rPr>
            </w:pPr>
            <w:r w:rsidRPr="00D85C65">
              <w:rPr>
                <w:rFonts w:ascii="Times New Roman" w:hAnsi="Times New Roman"/>
                <w:sz w:val="24"/>
                <w:szCs w:val="24"/>
              </w:rPr>
              <w:t>je to overiteľná cena za skutočnú transakciu medzi tretími stranami;</w:t>
            </w:r>
          </w:p>
          <w:p w14:paraId="7ACD3E1C" w14:textId="77777777" w:rsidR="00235D9D" w:rsidRPr="00D85C65" w:rsidRDefault="00113E45">
            <w:pPr>
              <w:pStyle w:val="CommentText"/>
              <w:numPr>
                <w:ilvl w:val="0"/>
                <w:numId w:val="31"/>
              </w:numPr>
              <w:rPr>
                <w:rFonts w:ascii="Times New Roman" w:hAnsi="Times New Roman"/>
                <w:sz w:val="24"/>
                <w:szCs w:val="24"/>
              </w:rPr>
            </w:pPr>
            <w:r w:rsidRPr="00D85C65">
              <w:rPr>
                <w:rFonts w:ascii="Times New Roman" w:hAnsi="Times New Roman"/>
                <w:sz w:val="24"/>
                <w:szCs w:val="24"/>
              </w:rPr>
              <w:t>cena sa získava zo viazanej kotácie.</w:t>
            </w:r>
          </w:p>
          <w:p w14:paraId="2ED4B72D" w14:textId="019EBA77" w:rsidR="00235D9D" w:rsidRPr="00D85C65" w:rsidRDefault="00113E45">
            <w:pPr>
              <w:pStyle w:val="CommentText"/>
              <w:rPr>
                <w:rStyle w:val="InstructionsTabelleberschrift"/>
                <w:rFonts w:ascii="Times New Roman" w:hAnsi="Times New Roman"/>
                <w:b w:val="0"/>
                <w:sz w:val="24"/>
                <w:szCs w:val="24"/>
                <w:u w:val="none"/>
              </w:rPr>
            </w:pPr>
            <w:r w:rsidRPr="00D85C65">
              <w:rPr>
                <w:rFonts w:ascii="Times New Roman" w:hAnsi="Times New Roman"/>
                <w:sz w:val="24"/>
                <w:szCs w:val="24"/>
              </w:rPr>
              <w:t>Inštitúcie vykazujú jednu</w:t>
            </w:r>
            <w:r w:rsidR="00D85C65">
              <w:rPr>
                <w:rFonts w:ascii="Times New Roman" w:hAnsi="Times New Roman"/>
                <w:sz w:val="24"/>
                <w:szCs w:val="24"/>
              </w:rPr>
              <w:t xml:space="preserve"> z </w:t>
            </w:r>
            <w:r w:rsidRPr="00D85C65">
              <w:rPr>
                <w:rFonts w:ascii="Times New Roman" w:hAnsi="Times New Roman"/>
                <w:sz w:val="24"/>
                <w:szCs w:val="24"/>
              </w:rPr>
              <w:t>týchto hodnôt: „žiadna“, „1 – 6“, „6 – 24“, „24 – 100“, „100+“.</w:t>
            </w:r>
          </w:p>
        </w:tc>
      </w:tr>
      <w:tr w:rsidR="00235D9D" w:rsidRPr="00D85C65" w14:paraId="75614A0E" w14:textId="77777777" w:rsidTr="00672D2A">
        <w:tc>
          <w:tcPr>
            <w:tcW w:w="1101" w:type="dxa"/>
          </w:tcPr>
          <w:p w14:paraId="323471DF"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0050</w:t>
            </w:r>
          </w:p>
        </w:tc>
        <w:tc>
          <w:tcPr>
            <w:tcW w:w="8221" w:type="dxa"/>
          </w:tcPr>
          <w:p w14:paraId="21013C20"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DODATOČNÁ ÚPRAVA OCENENIA ZOHĽADŇUJÚCA RIZIKO MODELOV</w:t>
            </w:r>
          </w:p>
          <w:p w14:paraId="476C4F5F" w14:textId="62D31670"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Článok 11 ods. 1</w:t>
            </w:r>
            <w:r w:rsidRPr="00D85C65">
              <w:rPr>
                <w:rFonts w:ascii="Times New Roman" w:hAnsi="Times New Roman"/>
                <w:sz w:val="24"/>
              </w:rPr>
              <w:t xml:space="preserve"> delegovaného nariadenia (EÚ) 2016/101.</w:t>
            </w:r>
          </w:p>
          <w:p w14:paraId="212DCEBF" w14:textId="68142A4C"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Samostatná dodatočná úprava ocenenia zohľadňujúca riziko modelov pred zohľadnením výhody diverzifikácie, ale po započítaní portfólií</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príslušných prípadoch.</w:t>
            </w:r>
          </w:p>
        </w:tc>
      </w:tr>
      <w:tr w:rsidR="00235D9D" w:rsidRPr="00D85C65" w14:paraId="34D2B07B" w14:textId="77777777" w:rsidTr="00672D2A">
        <w:tc>
          <w:tcPr>
            <w:tcW w:w="1101" w:type="dxa"/>
          </w:tcPr>
          <w:p w14:paraId="3062DEAB"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0060</w:t>
            </w:r>
          </w:p>
        </w:tc>
        <w:tc>
          <w:tcPr>
            <w:tcW w:w="8221" w:type="dxa"/>
          </w:tcPr>
          <w:p w14:paraId="5C050908"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 ČOHO: POMOCOU PRÍSTUPU ZALOŽENÉHO NA ODBORNOM POSUDKU</w:t>
            </w:r>
          </w:p>
          <w:p w14:paraId="4838599D" w14:textId="2BD6E79D" w:rsidR="00235D9D" w:rsidRPr="00D85C65" w:rsidRDefault="00113E45">
            <w:pPr>
              <w:spacing w:beforeLines="60" w:before="144" w:afterLines="60" w:after="144"/>
              <w:rPr>
                <w:rStyle w:val="InstructionsTabelleberschrift"/>
                <w:rFonts w:ascii="Times New Roman" w:hAnsi="Times New Roman"/>
                <w:sz w:val="24"/>
                <w:u w:val="none"/>
              </w:rPr>
            </w:pPr>
            <w:r w:rsidRPr="00D85C65">
              <w:rPr>
                <w:rFonts w:ascii="Times New Roman" w:hAnsi="Times New Roman"/>
                <w:sz w:val="24"/>
              </w:rPr>
              <w:t>Hodnoty</w:t>
            </w:r>
            <w:r w:rsidR="00D85C65">
              <w:rPr>
                <w:rFonts w:ascii="Times New Roman" w:hAnsi="Times New Roman"/>
                <w:sz w:val="24"/>
              </w:rPr>
              <w:t xml:space="preserve"> v </w:t>
            </w:r>
            <w:r w:rsidRPr="00D85C65">
              <w:rPr>
                <w:rFonts w:ascii="Times New Roman" w:hAnsi="Times New Roman"/>
                <w:sz w:val="24"/>
              </w:rPr>
              <w:t>stĺpci 0050, ktoré boli vypočítané na základe prístupu založeného na odbornom posudku uvedeného</w:t>
            </w:r>
            <w:r w:rsidR="00D85C65">
              <w:rPr>
                <w:rFonts w:ascii="Times New Roman" w:hAnsi="Times New Roman"/>
                <w:sz w:val="24"/>
              </w:rPr>
              <w:t xml:space="preserve"> v </w:t>
            </w:r>
            <w:r w:rsidRPr="00D85C65">
              <w:rPr>
                <w:rFonts w:ascii="Times New Roman" w:hAnsi="Times New Roman"/>
                <w:sz w:val="24"/>
              </w:rPr>
              <w:t>článku 11 ods. 4 delegovaného nariadenia (EÚ) 2016/101.</w:t>
            </w:r>
          </w:p>
        </w:tc>
      </w:tr>
      <w:tr w:rsidR="00235D9D" w:rsidRPr="00D85C65" w14:paraId="564B5801" w14:textId="77777777" w:rsidTr="00672D2A">
        <w:tc>
          <w:tcPr>
            <w:tcW w:w="1101" w:type="dxa"/>
          </w:tcPr>
          <w:p w14:paraId="11C92D5D"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0070</w:t>
            </w:r>
          </w:p>
        </w:tc>
        <w:tc>
          <w:tcPr>
            <w:tcW w:w="8221" w:type="dxa"/>
          </w:tcPr>
          <w:p w14:paraId="6DDDF19E"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 ČOHO: AGREGOVANÉ PODĽA METÓDY 2</w:t>
            </w:r>
          </w:p>
          <w:p w14:paraId="768B3A5F" w14:textId="117CCC07" w:rsidR="00235D9D" w:rsidRPr="00D85C65" w:rsidRDefault="00113E45">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Hodnoty</w:t>
            </w:r>
            <w:r w:rsidR="00D85C65">
              <w:rPr>
                <w:rFonts w:ascii="Times New Roman" w:hAnsi="Times New Roman"/>
                <w:sz w:val="24"/>
              </w:rPr>
              <w:t xml:space="preserve"> v </w:t>
            </w:r>
            <w:r w:rsidRPr="00D85C65">
              <w:rPr>
                <w:rFonts w:ascii="Times New Roman" w:hAnsi="Times New Roman"/>
                <w:sz w:val="24"/>
              </w:rPr>
              <w:t>stĺpci 0050, ktoré boli agregované podľa metódy 2 uvedenej</w:t>
            </w:r>
            <w:r w:rsidR="00D85C65">
              <w:rPr>
                <w:rFonts w:ascii="Times New Roman" w:hAnsi="Times New Roman"/>
                <w:sz w:val="24"/>
              </w:rPr>
              <w:t xml:space="preserve"> v </w:t>
            </w:r>
            <w:r w:rsidRPr="00D85C65">
              <w:rPr>
                <w:rFonts w:ascii="Times New Roman" w:hAnsi="Times New Roman"/>
                <w:sz w:val="24"/>
              </w:rPr>
              <w:t>prílohe</w:t>
            </w:r>
            <w:r w:rsidR="00D85C65">
              <w:rPr>
                <w:rFonts w:ascii="Times New Roman" w:hAnsi="Times New Roman"/>
                <w:sz w:val="24"/>
              </w:rPr>
              <w:t xml:space="preserve"> k </w:t>
            </w:r>
            <w:r w:rsidRPr="00D85C65">
              <w:rPr>
                <w:rFonts w:ascii="Times New Roman" w:hAnsi="Times New Roman"/>
                <w:sz w:val="24"/>
              </w:rPr>
              <w:t xml:space="preserve">delegovanému nariadeniu (EÚ) 2016/101. Tieto hodnoty zodpovedajú hodnote FV – PV podľa terminológie danej prílohy. </w:t>
            </w:r>
          </w:p>
        </w:tc>
      </w:tr>
      <w:tr w:rsidR="00235D9D" w:rsidRPr="00D85C65" w14:paraId="740FD50E" w14:textId="77777777" w:rsidTr="00672D2A">
        <w:tc>
          <w:tcPr>
            <w:tcW w:w="1101" w:type="dxa"/>
          </w:tcPr>
          <w:p w14:paraId="237C0431"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0080</w:t>
            </w:r>
          </w:p>
        </w:tc>
        <w:tc>
          <w:tcPr>
            <w:tcW w:w="8221" w:type="dxa"/>
          </w:tcPr>
          <w:p w14:paraId="67B99FDE"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AGREGOVANÉ DODATOČNÉ ÚPRAVY OCENENIA VYPOČÍTANÉ PODĽA METÓDY 2</w:t>
            </w:r>
          </w:p>
          <w:p w14:paraId="57370035" w14:textId="5967D589"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Príspevok</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 xml:space="preserve">celkovej dodatočnej úprave ocenenia zohľadňujúcej riziko modelov na úrovni kategórie tak, ako je vypočítaný podľa článku 11 ods. 7 </w:t>
            </w:r>
            <w:r w:rsidRPr="00D85C65">
              <w:rPr>
                <w:rFonts w:ascii="Times New Roman" w:hAnsi="Times New Roman"/>
                <w:sz w:val="24"/>
              </w:rPr>
              <w:t>delegovaného nariadenia (EÚ) 2016/101</w:t>
            </w:r>
            <w:r w:rsidRPr="00D85C65">
              <w:rPr>
                <w:rStyle w:val="InstructionsTabelleberschrift"/>
                <w:rFonts w:ascii="Times New Roman" w:hAnsi="Times New Roman"/>
                <w:b w:val="0"/>
                <w:sz w:val="24"/>
                <w:u w:val="none"/>
              </w:rPr>
              <w:t>, samostatných dodatočných úprav ocenenia zohľadňujúcich riziko modelov, ktoré sú agregované podľa metódy 2 prílohy</w:t>
            </w:r>
            <w:r w:rsidR="00D85C65">
              <w:rPr>
                <w:rStyle w:val="InstructionsTabelleberschrift"/>
                <w:rFonts w:ascii="Times New Roman" w:hAnsi="Times New Roman"/>
                <w:b w:val="0"/>
                <w:sz w:val="24"/>
                <w:u w:val="none"/>
              </w:rPr>
              <w:t xml:space="preserve"> k </w:t>
            </w:r>
            <w:r w:rsidRPr="00D85C65">
              <w:rPr>
                <w:rFonts w:ascii="Times New Roman" w:hAnsi="Times New Roman"/>
                <w:sz w:val="24"/>
              </w:rPr>
              <w:t>uvedenému nariadeniu</w:t>
            </w:r>
            <w:r w:rsidRPr="00D85C65">
              <w:rPr>
                <w:rStyle w:val="InstructionsTabelleberschrift"/>
                <w:rFonts w:ascii="Times New Roman" w:hAnsi="Times New Roman"/>
                <w:b w:val="0"/>
                <w:sz w:val="24"/>
                <w:u w:val="none"/>
              </w:rPr>
              <w:t xml:space="preserve">. </w:t>
            </w:r>
            <w:r w:rsidRPr="00D85C65">
              <w:rPr>
                <w:rFonts w:ascii="Times New Roman" w:hAnsi="Times New Roman"/>
                <w:sz w:val="24"/>
              </w:rPr>
              <w:t>Táto hodnota zodpovedá hodnote APVA podľa terminológie danej prílohy.</w:t>
            </w:r>
          </w:p>
        </w:tc>
      </w:tr>
      <w:tr w:rsidR="00235D9D" w:rsidRPr="00D85C65" w14:paraId="4AC61342" w14:textId="77777777" w:rsidTr="00672D2A">
        <w:tc>
          <w:tcPr>
            <w:tcW w:w="1101" w:type="dxa"/>
          </w:tcPr>
          <w:p w14:paraId="1E6D7831"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lastRenderedPageBreak/>
              <w:t>0090 – 0100</w:t>
            </w:r>
          </w:p>
        </w:tc>
        <w:tc>
          <w:tcPr>
            <w:tcW w:w="8221" w:type="dxa"/>
          </w:tcPr>
          <w:p w14:paraId="68A8BE40"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AKTÍVA A ZÁVÄZKY</w:t>
            </w:r>
          </w:p>
          <w:p w14:paraId="2C977DE9" w14:textId="39D40EF2" w:rsidR="00235D9D" w:rsidRPr="00D85C65" w:rsidRDefault="00113E45">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Absolútna hodnota reálnou hodnotou ocenených aktív</w:t>
            </w:r>
            <w:r w:rsidR="00D85C65">
              <w:rPr>
                <w:rFonts w:ascii="Times New Roman" w:hAnsi="Times New Roman"/>
                <w:sz w:val="24"/>
              </w:rPr>
              <w:t xml:space="preserve"> a </w:t>
            </w:r>
            <w:r w:rsidRPr="00D85C65">
              <w:rPr>
                <w:rFonts w:ascii="Times New Roman" w:hAnsi="Times New Roman"/>
                <w:sz w:val="24"/>
              </w:rPr>
              <w:t>záväzkov ocenených pomocou modelu vykázaného</w:t>
            </w:r>
            <w:r w:rsidR="00D85C65">
              <w:rPr>
                <w:rFonts w:ascii="Times New Roman" w:hAnsi="Times New Roman"/>
                <w:sz w:val="24"/>
              </w:rPr>
              <w:t xml:space="preserve"> v </w:t>
            </w:r>
            <w:r w:rsidRPr="00D85C65">
              <w:rPr>
                <w:rFonts w:ascii="Times New Roman" w:hAnsi="Times New Roman"/>
                <w:sz w:val="24"/>
              </w:rPr>
              <w:t xml:space="preserve">stĺpci 0010, ako je uvedená vo finančných výkazoch podľa uplatniteľného rámca. </w:t>
            </w:r>
          </w:p>
        </w:tc>
      </w:tr>
      <w:tr w:rsidR="00235D9D" w:rsidRPr="00D85C65" w14:paraId="6605E1EE" w14:textId="77777777" w:rsidTr="00672D2A">
        <w:tc>
          <w:tcPr>
            <w:tcW w:w="1101" w:type="dxa"/>
          </w:tcPr>
          <w:p w14:paraId="2BDDACFC"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0090</w:t>
            </w:r>
          </w:p>
        </w:tc>
        <w:tc>
          <w:tcPr>
            <w:tcW w:w="8221" w:type="dxa"/>
          </w:tcPr>
          <w:p w14:paraId="72420980"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AKTÍVA</w:t>
            </w:r>
          </w:p>
          <w:p w14:paraId="6A73580D" w14:textId="7C920CEE" w:rsidR="00235D9D" w:rsidRPr="00D85C65" w:rsidRDefault="00113E45">
            <w:pPr>
              <w:spacing w:beforeLines="60" w:before="144" w:afterLines="60" w:after="144"/>
              <w:rPr>
                <w:rStyle w:val="InstructionsTabelleberschrift"/>
                <w:rFonts w:ascii="Times New Roman" w:hAnsi="Times New Roman"/>
                <w:b w:val="0"/>
                <w:bCs w:val="0"/>
                <w:sz w:val="24"/>
                <w:u w:val="none"/>
              </w:rPr>
            </w:pPr>
            <w:r w:rsidRPr="00D85C65">
              <w:rPr>
                <w:rFonts w:ascii="Times New Roman" w:hAnsi="Times New Roman"/>
                <w:sz w:val="24"/>
              </w:rPr>
              <w:t>Absolútna hodnota reálnou hodnotou ocenených aktív ocenených pomocou modelu vykázaného</w:t>
            </w:r>
            <w:r w:rsidR="00D85C65">
              <w:rPr>
                <w:rFonts w:ascii="Times New Roman" w:hAnsi="Times New Roman"/>
                <w:sz w:val="24"/>
              </w:rPr>
              <w:t xml:space="preserve"> v </w:t>
            </w:r>
            <w:r w:rsidRPr="00D85C65">
              <w:rPr>
                <w:rFonts w:ascii="Times New Roman" w:hAnsi="Times New Roman"/>
                <w:sz w:val="24"/>
              </w:rPr>
              <w:t>stĺpci 0010, ako je uvedená vo finančných výkazoch podľa uplatniteľného rámca</w:t>
            </w:r>
            <w:r w:rsidRPr="00D85C65">
              <w:rPr>
                <w:rStyle w:val="InstructionsTabelleberschrift"/>
                <w:rFonts w:ascii="Times New Roman" w:hAnsi="Times New Roman"/>
                <w:b w:val="0"/>
                <w:sz w:val="24"/>
                <w:u w:val="none"/>
              </w:rPr>
              <w:t>.</w:t>
            </w:r>
          </w:p>
        </w:tc>
      </w:tr>
      <w:tr w:rsidR="00235D9D" w:rsidRPr="00D85C65" w14:paraId="3D6980E8" w14:textId="77777777" w:rsidTr="00672D2A">
        <w:tc>
          <w:tcPr>
            <w:tcW w:w="1101" w:type="dxa"/>
          </w:tcPr>
          <w:p w14:paraId="0AB9674B"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0100</w:t>
            </w:r>
          </w:p>
        </w:tc>
        <w:tc>
          <w:tcPr>
            <w:tcW w:w="8221" w:type="dxa"/>
          </w:tcPr>
          <w:p w14:paraId="05BC5715"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REÁLNOU HODNOTOU OCENENÉ ZÁVÄZKY</w:t>
            </w:r>
          </w:p>
          <w:p w14:paraId="256561E6" w14:textId="4A133F74" w:rsidR="00235D9D" w:rsidRPr="00D85C65" w:rsidRDefault="00113E45">
            <w:pPr>
              <w:spacing w:beforeLines="60" w:before="144" w:afterLines="60" w:after="144"/>
              <w:rPr>
                <w:rStyle w:val="InstructionsTabelleberschrift"/>
                <w:rFonts w:ascii="Times New Roman" w:hAnsi="Times New Roman"/>
                <w:b w:val="0"/>
                <w:bCs w:val="0"/>
                <w:sz w:val="24"/>
                <w:u w:val="none"/>
              </w:rPr>
            </w:pPr>
            <w:r w:rsidRPr="00D85C65">
              <w:rPr>
                <w:rFonts w:ascii="Times New Roman" w:hAnsi="Times New Roman"/>
                <w:sz w:val="24"/>
              </w:rPr>
              <w:t>Absolútna hodnota reálnou hodnotou ocenených záväzkov ocenených pomocou modelu vykázaného</w:t>
            </w:r>
            <w:r w:rsidR="00D85C65">
              <w:rPr>
                <w:rFonts w:ascii="Times New Roman" w:hAnsi="Times New Roman"/>
                <w:sz w:val="24"/>
              </w:rPr>
              <w:t xml:space="preserve"> v </w:t>
            </w:r>
            <w:r w:rsidRPr="00D85C65">
              <w:rPr>
                <w:rFonts w:ascii="Times New Roman" w:hAnsi="Times New Roman"/>
                <w:sz w:val="24"/>
              </w:rPr>
              <w:t xml:space="preserve">stĺpci 0010, ako je uvedená vo finančných výkazoch podľa uplatniteľného rámca. </w:t>
            </w:r>
          </w:p>
        </w:tc>
      </w:tr>
      <w:tr w:rsidR="00235D9D" w:rsidRPr="00D85C65" w14:paraId="0F047089" w14:textId="77777777" w:rsidTr="00672D2A">
        <w:tc>
          <w:tcPr>
            <w:tcW w:w="1101" w:type="dxa"/>
          </w:tcPr>
          <w:p w14:paraId="138321A5"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0110</w:t>
            </w:r>
          </w:p>
        </w:tc>
        <w:tc>
          <w:tcPr>
            <w:tcW w:w="8221" w:type="dxa"/>
          </w:tcPr>
          <w:p w14:paraId="28AE76DB"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ROZDIEL NEZÁVISLÉHO OVEROVANIA CIEN (VÝSTUPNÉ TESTOVANIE)</w:t>
            </w:r>
          </w:p>
          <w:p w14:paraId="6A3367BA" w14:textId="52332D7C" w:rsid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Súčet neupravených súm rozdielu („rozdiel nezávislého overovania cien“) vypočítaný na konci mesiaca najbližšie</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dátumu vykazovania na základe procesu nezávislého overovania cien vykonaného</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súlade</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článkom 105 ods. 8 CRR</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ohľadom na najlepšie dostupné nezávislé údaje pre príslušný produkt alebo skupinu produktov</w:t>
            </w:r>
            <w:r w:rsidR="00D85C65">
              <w:rPr>
                <w:rStyle w:val="InstructionsTabelleberschrift"/>
                <w:rFonts w:ascii="Times New Roman" w:hAnsi="Times New Roman"/>
                <w:b w:val="0"/>
                <w:sz w:val="24"/>
                <w:u w:val="none"/>
              </w:rPr>
              <w:t>.</w:t>
            </w:r>
          </w:p>
          <w:p w14:paraId="09D4C3BD" w14:textId="2D63AD74"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Neupravené sumy rozdielu označujú neupravené rozdiely medzi oceneniami vygenerovanými obchodným systémom</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oceneniami odhadnutými počas každomesačného procesu nezávislého overovania cien.</w:t>
            </w:r>
          </w:p>
          <w:p w14:paraId="4265E959" w14:textId="3A3D08C9" w:rsidR="00235D9D" w:rsidRPr="00D85C65" w:rsidRDefault="004D2753">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Do výpočtu rozdielu nezávislého overovania cien sa nezahŕňajú žiadne upravené sumy rozdielu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kníh</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záznamov príslušnej inštitúcie pre koncový dátum príslušného mesiaca.</w:t>
            </w:r>
          </w:p>
          <w:p w14:paraId="5AB5E44E" w14:textId="1AF92F95"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Uvádzajú sa tu iba výsledky kalibrované</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cien nástrojov, ktoré by sa namapovali na rovnaký produkt (výstupné testovanie). Výsledky vstupného testovania zo vstupov</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trhových údajov, ktoré sú testované</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porovnaní</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úrovňami, ktoré boli kalibrované</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rôznych produktov, sa neuvádzajú.</w:t>
            </w:r>
          </w:p>
        </w:tc>
      </w:tr>
      <w:tr w:rsidR="00235D9D" w:rsidRPr="00D85C65" w14:paraId="10D769D8" w14:textId="77777777" w:rsidTr="00672D2A">
        <w:tc>
          <w:tcPr>
            <w:tcW w:w="1101" w:type="dxa"/>
          </w:tcPr>
          <w:p w14:paraId="385DF656"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0120</w:t>
            </w:r>
          </w:p>
        </w:tc>
        <w:tc>
          <w:tcPr>
            <w:tcW w:w="8221" w:type="dxa"/>
          </w:tcPr>
          <w:p w14:paraId="07C00E6C" w14:textId="77777777" w:rsidR="00235D9D" w:rsidRPr="00D85C65" w:rsidRDefault="00113E45">
            <w:pPr>
              <w:spacing w:beforeLines="60" w:before="144" w:afterLines="60" w:after="144"/>
              <w:jc w:val="left"/>
              <w:rPr>
                <w:rStyle w:val="InstructionsTabelleberschrift"/>
                <w:rFonts w:ascii="Times New Roman" w:hAnsi="Times New Roman"/>
                <w:sz w:val="24"/>
              </w:rPr>
            </w:pPr>
            <w:r w:rsidRPr="00D85C65">
              <w:rPr>
                <w:rStyle w:val="InstructionsTabelleberschrift"/>
                <w:rFonts w:ascii="Times New Roman" w:hAnsi="Times New Roman"/>
                <w:sz w:val="24"/>
              </w:rPr>
              <w:t>ROZSAH NEZÁVISLÉHO OVEROVANIA CIEN (VÝSTUPNÉ TESTOVANIE)</w:t>
            </w:r>
          </w:p>
          <w:p w14:paraId="6DF5FC28" w14:textId="64D5DD0A" w:rsidR="00235D9D" w:rsidRPr="00D85C65" w:rsidRDefault="00113E45">
            <w:pPr>
              <w:spacing w:beforeLines="60" w:before="144" w:afterLines="60" w:after="144"/>
              <w:jc w:val="left"/>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Percento tých pozícií namapovaných na model vážený dodatočnou úpravou ocenenia zohľadňujúcou riziko modelov krytý výsledkami výstupného testovania nezávislého overovania cien uvedenými</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stĺpci 0110.</w:t>
            </w:r>
          </w:p>
        </w:tc>
      </w:tr>
      <w:tr w:rsidR="00235D9D" w:rsidRPr="00D85C65" w14:paraId="10CCE332" w14:textId="77777777" w:rsidTr="00672D2A">
        <w:tc>
          <w:tcPr>
            <w:tcW w:w="1101" w:type="dxa"/>
          </w:tcPr>
          <w:p w14:paraId="330438BE"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0130 – 0140</w:t>
            </w:r>
          </w:p>
        </w:tc>
        <w:tc>
          <w:tcPr>
            <w:tcW w:w="8221" w:type="dxa"/>
          </w:tcPr>
          <w:p w14:paraId="4401B07B"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ÚPRAVY REÁLNEJ HODNOTY</w:t>
            </w:r>
          </w:p>
          <w:p w14:paraId="0FDC4843" w14:textId="1A2E17F4"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Úpravy reálnej hodnoty uvedené</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stĺpcoch 0190</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 xml:space="preserve">0240 vzoru C 32.02, ktoré sa uplatnili na pozície namapované na </w:t>
            </w:r>
            <w:r w:rsidRPr="00D85C65">
              <w:rPr>
                <w:rFonts w:ascii="Times New Roman" w:hAnsi="Times New Roman"/>
                <w:sz w:val="24"/>
              </w:rPr>
              <w:t>model</w:t>
            </w:r>
            <w:r w:rsidR="00D85C65">
              <w:rPr>
                <w:rFonts w:ascii="Times New Roman" w:hAnsi="Times New Roman"/>
                <w:sz w:val="24"/>
              </w:rPr>
              <w:t xml:space="preserve"> v </w:t>
            </w:r>
            <w:r w:rsidRPr="00D85C65">
              <w:rPr>
                <w:rFonts w:ascii="Times New Roman" w:hAnsi="Times New Roman"/>
                <w:sz w:val="24"/>
              </w:rPr>
              <w:t>stĺpci 0010</w:t>
            </w:r>
            <w:r w:rsidRPr="00D85C65">
              <w:rPr>
                <w:rStyle w:val="InstructionsTabelleberschrift"/>
                <w:rFonts w:ascii="Times New Roman" w:hAnsi="Times New Roman"/>
                <w:b w:val="0"/>
                <w:sz w:val="24"/>
                <w:u w:val="none"/>
              </w:rPr>
              <w:t>.</w:t>
            </w:r>
          </w:p>
        </w:tc>
      </w:tr>
      <w:tr w:rsidR="00235D9D" w:rsidRPr="00D85C65" w14:paraId="1AB5936A" w14:textId="77777777" w:rsidTr="00672D2A">
        <w:tc>
          <w:tcPr>
            <w:tcW w:w="1101" w:type="dxa"/>
          </w:tcPr>
          <w:p w14:paraId="1F34B920" w14:textId="77777777" w:rsidR="00235D9D" w:rsidRPr="00D85C65" w:rsidRDefault="008136B4">
            <w:pPr>
              <w:spacing w:beforeLines="60" w:before="144" w:afterLines="60" w:after="144"/>
              <w:rPr>
                <w:rFonts w:ascii="Times New Roman" w:hAnsi="Times New Roman"/>
                <w:sz w:val="24"/>
              </w:rPr>
            </w:pPr>
            <w:r w:rsidRPr="00D85C65">
              <w:rPr>
                <w:rFonts w:ascii="Times New Roman" w:hAnsi="Times New Roman"/>
                <w:sz w:val="24"/>
              </w:rPr>
              <w:t>0150</w:t>
            </w:r>
          </w:p>
        </w:tc>
        <w:tc>
          <w:tcPr>
            <w:tcW w:w="8221" w:type="dxa"/>
          </w:tcPr>
          <w:p w14:paraId="44AED0CC" w14:textId="0D51E49D" w:rsidR="00235D9D" w:rsidRPr="00D85C65" w:rsidRDefault="00694DDE">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ZISK A STRATA – DEŇ 1</w:t>
            </w:r>
          </w:p>
          <w:p w14:paraId="018D0997" w14:textId="4E5D6801"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b w:val="0"/>
                <w:sz w:val="24"/>
                <w:u w:val="none"/>
              </w:rPr>
              <w:lastRenderedPageBreak/>
              <w:t>Úpravy podľa vymedzenia</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 xml:space="preserve">stĺpci 0260 vzoru C 32.02, ktoré sa uplatnili na pozície namapované na </w:t>
            </w:r>
            <w:r w:rsidRPr="00D85C65">
              <w:rPr>
                <w:rFonts w:ascii="Times New Roman" w:hAnsi="Times New Roman"/>
                <w:sz w:val="24"/>
              </w:rPr>
              <w:t>model</w:t>
            </w:r>
            <w:r w:rsidR="00D85C65">
              <w:rPr>
                <w:rFonts w:ascii="Times New Roman" w:hAnsi="Times New Roman"/>
                <w:sz w:val="24"/>
              </w:rPr>
              <w:t xml:space="preserve"> v </w:t>
            </w:r>
            <w:r w:rsidRPr="00D85C65">
              <w:rPr>
                <w:rFonts w:ascii="Times New Roman" w:hAnsi="Times New Roman"/>
                <w:sz w:val="24"/>
              </w:rPr>
              <w:t>stĺpci 0010</w:t>
            </w:r>
            <w:r w:rsidRPr="00D85C65">
              <w:rPr>
                <w:rStyle w:val="InstructionsTabelleberschrift"/>
                <w:rFonts w:ascii="Times New Roman" w:hAnsi="Times New Roman"/>
                <w:b w:val="0"/>
                <w:sz w:val="24"/>
                <w:u w:val="none"/>
              </w:rPr>
              <w:t>.</w:t>
            </w:r>
          </w:p>
        </w:tc>
      </w:tr>
    </w:tbl>
    <w:p w14:paraId="42E50DC5" w14:textId="77777777" w:rsidR="00235D9D" w:rsidRPr="00D85C65" w:rsidRDefault="00235D9D">
      <w:pPr>
        <w:rPr>
          <w:rStyle w:val="InstructionsTabelleText"/>
          <w:rFonts w:ascii="Times New Roman" w:hAnsi="Times New Roman"/>
          <w:sz w:val="24"/>
        </w:rPr>
      </w:pPr>
    </w:p>
    <w:p w14:paraId="684E0FC0" w14:textId="77777777" w:rsidR="00235D9D" w:rsidRPr="00D85C65" w:rsidRDefault="00113E45">
      <w:pPr>
        <w:pStyle w:val="Instructionsberschrift2"/>
        <w:numPr>
          <w:ilvl w:val="0"/>
          <w:numId w:val="0"/>
        </w:numPr>
        <w:ind w:left="357" w:hanging="357"/>
        <w:rPr>
          <w:rFonts w:ascii="Times New Roman" w:hAnsi="Times New Roman"/>
          <w:sz w:val="24"/>
          <w:u w:val="none"/>
        </w:rPr>
      </w:pPr>
      <w:bookmarkStart w:id="117" w:name="_Toc29994559"/>
      <w:r w:rsidRPr="00D85C65">
        <w:rPr>
          <w:rFonts w:ascii="Times New Roman" w:hAnsi="Times New Roman"/>
          <w:sz w:val="24"/>
          <w:u w:val="none"/>
        </w:rPr>
        <w:t xml:space="preserve">6.4. </w:t>
      </w:r>
      <w:r w:rsidRPr="00D85C65">
        <w:rPr>
          <w:rFonts w:ascii="Times New Roman" w:hAnsi="Times New Roman"/>
          <w:sz w:val="24"/>
        </w:rPr>
        <w:t>C 32.04 – Obozretné oceňovanie: dodatočná úprava ocenenia zohľadňujúca koncentrované pozície (PruVal 4)</w:t>
      </w:r>
      <w:bookmarkEnd w:id="117"/>
    </w:p>
    <w:p w14:paraId="687ED11C" w14:textId="77777777" w:rsidR="00D85C65" w:rsidRDefault="00B93FA1">
      <w:pPr>
        <w:pStyle w:val="Instructionsberschrift2"/>
        <w:numPr>
          <w:ilvl w:val="0"/>
          <w:numId w:val="0"/>
        </w:numPr>
        <w:ind w:left="357" w:hanging="357"/>
        <w:rPr>
          <w:rFonts w:ascii="Times New Roman" w:hAnsi="Times New Roman"/>
          <w:sz w:val="24"/>
          <w:u w:val="none"/>
        </w:rPr>
      </w:pPr>
      <w:bookmarkStart w:id="118" w:name="_Toc29994560"/>
      <w:r w:rsidRPr="00D85C65">
        <w:rPr>
          <w:rFonts w:ascii="Times New Roman" w:hAnsi="Times New Roman"/>
          <w:sz w:val="24"/>
          <w:u w:val="none"/>
        </w:rPr>
        <w:t>6.4.1.</w:t>
      </w:r>
      <w:r w:rsidRPr="00D85C65">
        <w:rPr>
          <w:rFonts w:ascii="Times New Roman" w:hAnsi="Times New Roman"/>
          <w:sz w:val="24"/>
          <w:u w:val="none"/>
        </w:rPr>
        <w:tab/>
      </w:r>
      <w:r w:rsidRPr="00D85C65">
        <w:rPr>
          <w:rFonts w:ascii="Times New Roman" w:hAnsi="Times New Roman"/>
          <w:sz w:val="24"/>
        </w:rPr>
        <w:t>Všeobecné poznámky</w:t>
      </w:r>
      <w:bookmarkEnd w:id="118"/>
    </w:p>
    <w:p w14:paraId="5FFC4839" w14:textId="654022AA" w:rsidR="00235D9D" w:rsidRPr="00D85C65" w:rsidRDefault="00113E45">
      <w:pPr>
        <w:pStyle w:val="InstructionsText2"/>
        <w:numPr>
          <w:ilvl w:val="0"/>
          <w:numId w:val="0"/>
        </w:numPr>
        <w:ind w:left="993"/>
      </w:pPr>
      <w:r w:rsidRPr="00D85C65">
        <w:t>154k. Tento vzor vypĺňajú iba inštitúcie, ktoré prekračujú prahovú hodnotu uvedenú</w:t>
      </w:r>
      <w:r w:rsidR="00D85C65">
        <w:t xml:space="preserve"> v </w:t>
      </w:r>
      <w:r w:rsidRPr="00D85C65">
        <w:t>článku 4 ods. 1 delegovaného nariadenia (EÚ) 2016/101. Inštitúcie, ktoré sú súčasťou skupiny, ktorá prekračuje prahovú hodnotu na konsolidovanom základe, vykazujú tento vzor iba</w:t>
      </w:r>
      <w:r w:rsidR="00D85C65">
        <w:t xml:space="preserve"> v </w:t>
      </w:r>
      <w:r w:rsidRPr="00D85C65">
        <w:t>položkách, pri ktorých takisto prekračujú prahovú hodnotu na svojej úrovni.</w:t>
      </w:r>
    </w:p>
    <w:p w14:paraId="36343A3E" w14:textId="56D7A0BB" w:rsidR="00D85C65" w:rsidRDefault="00113E45">
      <w:pPr>
        <w:pStyle w:val="InstructionsText2"/>
        <w:numPr>
          <w:ilvl w:val="0"/>
          <w:numId w:val="0"/>
        </w:numPr>
        <w:ind w:left="993"/>
      </w:pPr>
      <w:r w:rsidRPr="00D85C65">
        <w:t>154l. Tento vzor slúži na vykazovanie podrobností</w:t>
      </w:r>
      <w:r w:rsidR="00D85C65">
        <w:t xml:space="preserve"> o </w:t>
      </w:r>
      <w:r w:rsidRPr="00D85C65">
        <w:t>20 najväčších samostatných dodatočných úpravách ocenenia zohľadňujúcich koncentrované pozície, pokiaľ ide</w:t>
      </w:r>
      <w:r w:rsidR="00D85C65">
        <w:t xml:space="preserve"> o </w:t>
      </w:r>
      <w:r w:rsidRPr="00D85C65">
        <w:t>sumu dodatočnej úpravy ocenenia, ktorá prispieva</w:t>
      </w:r>
      <w:r w:rsidR="00D85C65">
        <w:t xml:space="preserve"> k </w:t>
      </w:r>
      <w:r w:rsidRPr="00D85C65">
        <w:t>celkovej dodatočnej úprave ocenenia zohľadňujúcej koncentrované pozície na úrovni kategórie</w:t>
      </w:r>
      <w:r w:rsidR="00D85C65">
        <w:t xml:space="preserve"> v </w:t>
      </w:r>
      <w:r w:rsidRPr="00D85C65">
        <w:t>súlade</w:t>
      </w:r>
      <w:r w:rsidR="00D85C65">
        <w:t xml:space="preserve"> s </w:t>
      </w:r>
      <w:r w:rsidRPr="00D85C65">
        <w:t>článkom 14 delegovaného nariadenia (EÚ) 2016/101. Tieto informácie zodpovedajú informáciám vykázaným</w:t>
      </w:r>
      <w:r w:rsidR="00D85C65">
        <w:t xml:space="preserve"> v </w:t>
      </w:r>
      <w:r w:rsidRPr="00D85C65">
        <w:t>stĺpci 0070 vzoru C 32.02</w:t>
      </w:r>
      <w:r w:rsidR="00D85C65">
        <w:t>.</w:t>
      </w:r>
    </w:p>
    <w:p w14:paraId="75B0C061" w14:textId="09B8B965" w:rsidR="00235D9D" w:rsidRPr="00D85C65" w:rsidRDefault="00113E45">
      <w:pPr>
        <w:pStyle w:val="InstructionsText2"/>
        <w:numPr>
          <w:ilvl w:val="0"/>
          <w:numId w:val="0"/>
        </w:numPr>
        <w:ind w:left="993"/>
      </w:pPr>
      <w:r w:rsidRPr="00D85C65">
        <w:t>154m. Dvadsať najväčších dodatočných úprav ocenenia zohľadňujúcich koncentrované pozície</w:t>
      </w:r>
      <w:r w:rsidR="00D85C65">
        <w:t xml:space="preserve"> a </w:t>
      </w:r>
      <w:r w:rsidRPr="00D85C65">
        <w:t>príslušné informácie</w:t>
      </w:r>
      <w:r w:rsidR="00D85C65">
        <w:t xml:space="preserve"> o </w:t>
      </w:r>
      <w:r w:rsidRPr="00D85C65">
        <w:t>produktoch sa vykazuje</w:t>
      </w:r>
      <w:r w:rsidR="00D85C65">
        <w:t xml:space="preserve"> v </w:t>
      </w:r>
      <w:r w:rsidRPr="00D85C65">
        <w:t>zostupnom poradí od najväčších samostatných dodatočných úprav ocenenia zohľadňujúcich koncentrované pozície.</w:t>
      </w:r>
    </w:p>
    <w:p w14:paraId="18D151FC" w14:textId="0BE1C7B0" w:rsidR="00235D9D" w:rsidRPr="00D85C65" w:rsidRDefault="00113E45">
      <w:pPr>
        <w:pStyle w:val="InstructionsText2"/>
        <w:numPr>
          <w:ilvl w:val="0"/>
          <w:numId w:val="0"/>
        </w:numPr>
        <w:ind w:left="993"/>
      </w:pPr>
      <w:r w:rsidRPr="00D85C65">
        <w:t>154n. Produkty zodpovedajúce týmto najväčším samostatným dodatočným úpravám ocenenia zohľadňujúcim koncentrované pozície sa vykazujú pomocou zoznamu produktov požadovaného</w:t>
      </w:r>
      <w:r w:rsidR="00D85C65">
        <w:t xml:space="preserve"> v </w:t>
      </w:r>
      <w:r w:rsidRPr="00D85C65">
        <w:t>článku 19 ods. 3 písm. a) delegovaného nariadenia (EÚ) 2016/101.</w:t>
      </w:r>
    </w:p>
    <w:p w14:paraId="3142F70E" w14:textId="599EC45F" w:rsidR="00235D9D" w:rsidRPr="00D85C65" w:rsidRDefault="00113E45">
      <w:pPr>
        <w:pStyle w:val="InstructionsText2"/>
        <w:numPr>
          <w:ilvl w:val="0"/>
          <w:numId w:val="0"/>
        </w:numPr>
        <w:ind w:left="993"/>
      </w:pPr>
      <w:r w:rsidRPr="00D85C65">
        <w:t>154o. Pozície, ktoré sú homogénne, pokiaľ ide</w:t>
      </w:r>
      <w:r w:rsidR="00D85C65">
        <w:t xml:space="preserve"> o </w:t>
      </w:r>
      <w:r w:rsidRPr="00D85C65">
        <w:t>metodiku výpočtu dodatočnej úpravy ocenenia, sa</w:t>
      </w:r>
      <w:r w:rsidR="00D85C65">
        <w:t xml:space="preserve"> v </w:t>
      </w:r>
      <w:r w:rsidRPr="00D85C65">
        <w:t>prípadoch, keď je to možné, agregujú, aby sa maximalizovalo pokrytie údajov</w:t>
      </w:r>
      <w:r w:rsidR="00D85C65">
        <w:t xml:space="preserve"> v </w:t>
      </w:r>
      <w:r w:rsidRPr="00D85C65">
        <w:t>tomto vzore.</w:t>
      </w:r>
    </w:p>
    <w:p w14:paraId="710CAB00" w14:textId="0B83D144" w:rsidR="00235D9D" w:rsidRPr="00D85C65" w:rsidRDefault="00B93FA1">
      <w:pPr>
        <w:pStyle w:val="Instructionsberschrift2"/>
        <w:numPr>
          <w:ilvl w:val="0"/>
          <w:numId w:val="0"/>
        </w:numPr>
        <w:ind w:left="357" w:hanging="357"/>
        <w:rPr>
          <w:rFonts w:ascii="Times New Roman" w:hAnsi="Times New Roman" w:cs="Times New Roman"/>
          <w:sz w:val="24"/>
          <w:u w:val="none"/>
        </w:rPr>
      </w:pPr>
      <w:bookmarkStart w:id="119" w:name="_Toc29994561"/>
      <w:r w:rsidRPr="00D85C65">
        <w:rPr>
          <w:rFonts w:ascii="Times New Roman" w:hAnsi="Times New Roman"/>
          <w:sz w:val="24"/>
          <w:u w:val="none"/>
        </w:rPr>
        <w:t>6.4.2.</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235D9D" w:rsidRPr="00D85C65" w14:paraId="0D49F34C" w14:textId="77777777" w:rsidTr="00672D2A">
        <w:tc>
          <w:tcPr>
            <w:tcW w:w="8856" w:type="dxa"/>
            <w:gridSpan w:val="2"/>
            <w:shd w:val="clear" w:color="auto" w:fill="CCCCCC"/>
          </w:tcPr>
          <w:p w14:paraId="0E0913D1" w14:textId="77777777" w:rsidR="00235D9D" w:rsidRPr="00D85C65" w:rsidRDefault="00113E45">
            <w:pPr>
              <w:spacing w:beforeLines="60" w:before="144" w:afterLines="60" w:after="144"/>
              <w:rPr>
                <w:rFonts w:ascii="Times New Roman" w:hAnsi="Times New Roman"/>
                <w:b/>
                <w:sz w:val="24"/>
              </w:rPr>
            </w:pPr>
            <w:r w:rsidRPr="00D85C65">
              <w:rPr>
                <w:rFonts w:ascii="Times New Roman" w:hAnsi="Times New Roman"/>
                <w:b/>
                <w:sz w:val="24"/>
              </w:rPr>
              <w:t>Stĺpce</w:t>
            </w:r>
          </w:p>
        </w:tc>
      </w:tr>
      <w:tr w:rsidR="00235D9D" w:rsidRPr="00D85C65" w14:paraId="01F925BD" w14:textId="77777777" w:rsidTr="00672D2A">
        <w:tc>
          <w:tcPr>
            <w:tcW w:w="852" w:type="dxa"/>
          </w:tcPr>
          <w:p w14:paraId="69077131"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0005</w:t>
            </w:r>
          </w:p>
        </w:tc>
        <w:tc>
          <w:tcPr>
            <w:tcW w:w="8004" w:type="dxa"/>
          </w:tcPr>
          <w:p w14:paraId="5D8E42AF"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PORADIE</w:t>
            </w:r>
          </w:p>
          <w:p w14:paraId="35A12444" w14:textId="1E8F8DEF" w:rsidR="00235D9D" w:rsidRPr="00D85C65" w:rsidDel="003016B5" w:rsidRDefault="00113E45">
            <w:pPr>
              <w:spacing w:beforeLines="60" w:before="144" w:afterLines="60" w:after="144"/>
              <w:rPr>
                <w:rFonts w:ascii="Times New Roman" w:hAnsi="Times New Roman"/>
                <w:b/>
                <w:sz w:val="24"/>
                <w:u w:val="single"/>
              </w:rPr>
            </w:pPr>
            <w:r w:rsidRPr="00D85C65">
              <w:rPr>
                <w:rFonts w:ascii="Times New Roman" w:hAnsi="Times New Roman"/>
                <w:sz w:val="24"/>
              </w:rPr>
              <w:t>Poradie je identifikátorom riadku</w:t>
            </w:r>
            <w:r w:rsidR="00D85C65">
              <w:rPr>
                <w:rFonts w:ascii="Times New Roman" w:hAnsi="Times New Roman"/>
                <w:sz w:val="24"/>
              </w:rPr>
              <w:t xml:space="preserve"> a </w:t>
            </w:r>
            <w:r w:rsidRPr="00D85C65">
              <w:rPr>
                <w:rFonts w:ascii="Times New Roman" w:hAnsi="Times New Roman"/>
                <w:sz w:val="24"/>
              </w:rPr>
              <w:t>musí byť pre každý riadok vzoru jednoznačné. Riadi sa číselným poradím 1, 2, 3 atď., pričom číslo 1 je priradené najvyššej dodatočnej úprave ocenenia zohľadňujúcej koncentrované pozície, číslo 2 druhej najvyššej atď.</w:t>
            </w:r>
          </w:p>
        </w:tc>
      </w:tr>
      <w:tr w:rsidR="00235D9D" w:rsidRPr="00D85C65" w14:paraId="6B3108A4" w14:textId="77777777" w:rsidTr="00672D2A">
        <w:tc>
          <w:tcPr>
            <w:tcW w:w="852" w:type="dxa"/>
          </w:tcPr>
          <w:p w14:paraId="4E297FC1"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0010</w:t>
            </w:r>
          </w:p>
        </w:tc>
        <w:tc>
          <w:tcPr>
            <w:tcW w:w="8004" w:type="dxa"/>
          </w:tcPr>
          <w:p w14:paraId="2916DC85"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KATEGÓRIA RIZIKA</w:t>
            </w:r>
          </w:p>
          <w:p w14:paraId="6D1696C8"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lastRenderedPageBreak/>
              <w:t>Kategória rizika (úrokové, devízové, kreditné, kapitálové, komoditné), ktorá najpresnejšie vystihuje pozíciu.</w:t>
            </w:r>
          </w:p>
          <w:p w14:paraId="16A366E7"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Inštitúcie vykazujú tieto kódy:</w:t>
            </w:r>
          </w:p>
          <w:p w14:paraId="15AF634B"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IR – úrokové,</w:t>
            </w:r>
          </w:p>
          <w:p w14:paraId="0480F0A4"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FX – devízové,</w:t>
            </w:r>
          </w:p>
          <w:p w14:paraId="619C867D"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CR – kreditné,</w:t>
            </w:r>
          </w:p>
          <w:p w14:paraId="4CE04B1E"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EQ – kapitálové,</w:t>
            </w:r>
          </w:p>
          <w:p w14:paraId="53AE9257" w14:textId="77777777"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CO – komoditné.</w:t>
            </w:r>
          </w:p>
        </w:tc>
      </w:tr>
      <w:tr w:rsidR="00235D9D" w:rsidRPr="00D85C65" w14:paraId="3E66D39B" w14:textId="77777777" w:rsidTr="00672D2A">
        <w:tc>
          <w:tcPr>
            <w:tcW w:w="852" w:type="dxa"/>
          </w:tcPr>
          <w:p w14:paraId="53257124"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lastRenderedPageBreak/>
              <w:t>0020</w:t>
            </w:r>
          </w:p>
        </w:tc>
        <w:tc>
          <w:tcPr>
            <w:tcW w:w="8004" w:type="dxa"/>
          </w:tcPr>
          <w:p w14:paraId="17FBDF2E" w14:textId="77777777" w:rsid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PRODUKT</w:t>
            </w:r>
          </w:p>
          <w:p w14:paraId="61D1884D" w14:textId="64291AF4"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Interný názov pre produkt alebo skupinu produktov</w:t>
            </w:r>
            <w:r w:rsidR="00D85C65">
              <w:rPr>
                <w:rFonts w:ascii="Times New Roman" w:hAnsi="Times New Roman"/>
                <w:sz w:val="24"/>
              </w:rPr>
              <w:t xml:space="preserve"> v </w:t>
            </w:r>
            <w:r w:rsidRPr="00D85C65">
              <w:rPr>
                <w:rFonts w:ascii="Times New Roman" w:hAnsi="Times New Roman"/>
                <w:sz w:val="24"/>
              </w:rPr>
              <w:t>súlade so zoznamom produktov požadovaným</w:t>
            </w:r>
            <w:r w:rsidR="00D85C65">
              <w:rPr>
                <w:rFonts w:ascii="Times New Roman" w:hAnsi="Times New Roman"/>
                <w:sz w:val="24"/>
              </w:rPr>
              <w:t xml:space="preserve"> v </w:t>
            </w:r>
            <w:r w:rsidRPr="00D85C65">
              <w:rPr>
                <w:rFonts w:ascii="Times New Roman" w:hAnsi="Times New Roman"/>
                <w:sz w:val="24"/>
              </w:rPr>
              <w:t>článku 19 ods. 3 písm. a) delegovaného nariadenia (EÚ) 2016/101.</w:t>
            </w:r>
          </w:p>
        </w:tc>
      </w:tr>
      <w:tr w:rsidR="00235D9D" w:rsidRPr="00D85C65" w14:paraId="0198E1E4" w14:textId="77777777" w:rsidTr="00672D2A">
        <w:tc>
          <w:tcPr>
            <w:tcW w:w="852" w:type="dxa"/>
          </w:tcPr>
          <w:p w14:paraId="09D0AECA"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0030</w:t>
            </w:r>
          </w:p>
        </w:tc>
        <w:tc>
          <w:tcPr>
            <w:tcW w:w="8004" w:type="dxa"/>
          </w:tcPr>
          <w:p w14:paraId="25CE27D1"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PODKLADOVÉ AKTÍVUM/NÁSTROJ</w:t>
            </w:r>
          </w:p>
          <w:p w14:paraId="70DA4BBF" w14:textId="6957A07A" w:rsidR="00235D9D" w:rsidRPr="00D85C65" w:rsidRDefault="00113E45">
            <w:pPr>
              <w:spacing w:beforeLines="60" w:before="144" w:afterLines="60" w:after="144"/>
              <w:rPr>
                <w:rFonts w:ascii="Times New Roman" w:hAnsi="Times New Roman"/>
                <w:sz w:val="24"/>
              </w:rPr>
            </w:pPr>
            <w:r w:rsidRPr="00D85C65">
              <w:rPr>
                <w:rFonts w:ascii="Times New Roman" w:hAnsi="Times New Roman"/>
                <w:sz w:val="24"/>
              </w:rPr>
              <w:t>Interný názov podkladového aktíva alebo podkladových aktív</w:t>
            </w:r>
            <w:r w:rsidR="00D85C65">
              <w:rPr>
                <w:rFonts w:ascii="Times New Roman" w:hAnsi="Times New Roman"/>
                <w:sz w:val="24"/>
              </w:rPr>
              <w:t xml:space="preserve"> v </w:t>
            </w:r>
            <w:r w:rsidRPr="00D85C65">
              <w:rPr>
                <w:rFonts w:ascii="Times New Roman" w:hAnsi="Times New Roman"/>
                <w:sz w:val="24"/>
              </w:rPr>
              <w:t>prípade derivátov alebo nástrojov</w:t>
            </w:r>
            <w:r w:rsidR="00D85C65">
              <w:rPr>
                <w:rFonts w:ascii="Times New Roman" w:hAnsi="Times New Roman"/>
                <w:sz w:val="24"/>
              </w:rPr>
              <w:t xml:space="preserve"> v </w:t>
            </w:r>
            <w:r w:rsidRPr="00D85C65">
              <w:rPr>
                <w:rFonts w:ascii="Times New Roman" w:hAnsi="Times New Roman"/>
                <w:sz w:val="24"/>
              </w:rPr>
              <w:t>prípade nederivátových zmlúv.</w:t>
            </w:r>
          </w:p>
        </w:tc>
      </w:tr>
      <w:tr w:rsidR="00235D9D" w:rsidRPr="00D85C65" w14:paraId="5EB9E9C6" w14:textId="77777777" w:rsidTr="00672D2A">
        <w:tc>
          <w:tcPr>
            <w:tcW w:w="852" w:type="dxa"/>
          </w:tcPr>
          <w:p w14:paraId="611E92E9"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0040</w:t>
            </w:r>
          </w:p>
        </w:tc>
        <w:tc>
          <w:tcPr>
            <w:tcW w:w="8004" w:type="dxa"/>
          </w:tcPr>
          <w:p w14:paraId="6CF6DF7E"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VEĽKOSŤ KONCENTROVANEJ POZÍCIE</w:t>
            </w:r>
          </w:p>
          <w:p w14:paraId="55E8CAD3" w14:textId="75ABF2C9" w:rsidR="00235D9D" w:rsidRPr="00D85C65" w:rsidRDefault="00113E45">
            <w:pPr>
              <w:spacing w:beforeLines="60" w:before="144" w:afterLines="60" w:after="144"/>
              <w:rPr>
                <w:rStyle w:val="InstructionsTabelleberschrift"/>
                <w:rFonts w:ascii="Times New Roman" w:hAnsi="Times New Roman"/>
                <w:sz w:val="24"/>
              </w:rPr>
            </w:pPr>
            <w:r w:rsidRPr="00D85C65">
              <w:rPr>
                <w:rFonts w:ascii="Times New Roman" w:hAnsi="Times New Roman"/>
                <w:sz w:val="24"/>
              </w:rPr>
              <w:t>Veľkosť samostatnej koncentrovanej oceňovanej pozície identifikovanej</w:t>
            </w:r>
            <w:r w:rsidR="00D85C65">
              <w:rPr>
                <w:rFonts w:ascii="Times New Roman" w:hAnsi="Times New Roman"/>
                <w:sz w:val="24"/>
              </w:rPr>
              <w:t xml:space="preserve"> v </w:t>
            </w:r>
            <w:r w:rsidRPr="00D85C65">
              <w:rPr>
                <w:rFonts w:ascii="Times New Roman" w:hAnsi="Times New Roman"/>
                <w:sz w:val="24"/>
              </w:rPr>
              <w:t>súlade</w:t>
            </w:r>
            <w:r w:rsidR="00D85C65">
              <w:rPr>
                <w:rFonts w:ascii="Times New Roman" w:hAnsi="Times New Roman"/>
                <w:sz w:val="24"/>
              </w:rPr>
              <w:t xml:space="preserve"> s </w:t>
            </w:r>
            <w:r w:rsidRPr="00D85C65">
              <w:rPr>
                <w:rFonts w:ascii="Times New Roman" w:hAnsi="Times New Roman"/>
                <w:sz w:val="24"/>
              </w:rPr>
              <w:t>článkom 14 ods. 1 písm. a) delegovaného nariadenia (EÚ) 2016/101, vyjadrená</w:t>
            </w:r>
            <w:r w:rsidR="00D85C65">
              <w:rPr>
                <w:rFonts w:ascii="Times New Roman" w:hAnsi="Times New Roman"/>
                <w:sz w:val="24"/>
              </w:rPr>
              <w:t xml:space="preserve"> v </w:t>
            </w:r>
            <w:r w:rsidRPr="00D85C65">
              <w:rPr>
                <w:rFonts w:ascii="Times New Roman" w:hAnsi="Times New Roman"/>
                <w:sz w:val="24"/>
              </w:rPr>
              <w:t>jednotke opísanej</w:t>
            </w:r>
            <w:r w:rsidR="00D85C65">
              <w:rPr>
                <w:rFonts w:ascii="Times New Roman" w:hAnsi="Times New Roman"/>
                <w:sz w:val="24"/>
              </w:rPr>
              <w:t xml:space="preserve"> v </w:t>
            </w:r>
            <w:r w:rsidRPr="00D85C65">
              <w:rPr>
                <w:rFonts w:ascii="Times New Roman" w:hAnsi="Times New Roman"/>
                <w:sz w:val="24"/>
              </w:rPr>
              <w:t xml:space="preserve">stĺpci 0050. </w:t>
            </w:r>
          </w:p>
        </w:tc>
      </w:tr>
      <w:tr w:rsidR="00235D9D" w:rsidRPr="00D85C65" w14:paraId="6D7EE985" w14:textId="77777777" w:rsidTr="00672D2A">
        <w:tc>
          <w:tcPr>
            <w:tcW w:w="852" w:type="dxa"/>
          </w:tcPr>
          <w:p w14:paraId="1D4A4B11"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0050</w:t>
            </w:r>
          </w:p>
        </w:tc>
        <w:tc>
          <w:tcPr>
            <w:tcW w:w="8004" w:type="dxa"/>
          </w:tcPr>
          <w:p w14:paraId="462E8180" w14:textId="77777777" w:rsidR="00235D9D" w:rsidRPr="00D85C65" w:rsidRDefault="00113E45">
            <w:pPr>
              <w:spacing w:beforeLines="60" w:before="144" w:afterLines="60" w:after="144"/>
              <w:rPr>
                <w:rFonts w:ascii="Times New Roman" w:hAnsi="Times New Roman"/>
                <w:b/>
                <w:sz w:val="24"/>
                <w:u w:val="single"/>
              </w:rPr>
            </w:pPr>
            <w:r w:rsidRPr="00D85C65">
              <w:rPr>
                <w:rFonts w:ascii="Times New Roman" w:hAnsi="Times New Roman"/>
                <w:b/>
                <w:sz w:val="24"/>
                <w:u w:val="single"/>
              </w:rPr>
              <w:t>MIERA VEĽKOSTI</w:t>
            </w:r>
          </w:p>
          <w:p w14:paraId="1FFDD7B3" w14:textId="1682468E" w:rsidR="00D85C65" w:rsidRDefault="00113E45">
            <w:pPr>
              <w:spacing w:beforeLines="60" w:before="144" w:afterLines="60" w:after="144"/>
              <w:rPr>
                <w:rFonts w:ascii="Times New Roman" w:hAnsi="Times New Roman"/>
                <w:sz w:val="24"/>
              </w:rPr>
            </w:pPr>
            <w:r w:rsidRPr="00D85C65">
              <w:rPr>
                <w:rFonts w:ascii="Times New Roman" w:hAnsi="Times New Roman"/>
                <w:sz w:val="24"/>
              </w:rPr>
              <w:t>Jednotka miery veľkosti používaná interne</w:t>
            </w:r>
            <w:r w:rsidR="00D85C65">
              <w:rPr>
                <w:rFonts w:ascii="Times New Roman" w:hAnsi="Times New Roman"/>
                <w:sz w:val="24"/>
              </w:rPr>
              <w:t xml:space="preserve"> v </w:t>
            </w:r>
            <w:r w:rsidRPr="00D85C65">
              <w:rPr>
                <w:rFonts w:ascii="Times New Roman" w:hAnsi="Times New Roman"/>
                <w:sz w:val="24"/>
              </w:rPr>
              <w:t>rámci identifikácie koncentrovanej oceňovanej pozície na výpočet veľkosti koncentrovanej pozície uvádzanej</w:t>
            </w:r>
            <w:r w:rsidR="00D85C65">
              <w:rPr>
                <w:rFonts w:ascii="Times New Roman" w:hAnsi="Times New Roman"/>
                <w:sz w:val="24"/>
              </w:rPr>
              <w:t xml:space="preserve"> v </w:t>
            </w:r>
            <w:r w:rsidRPr="00D85C65">
              <w:rPr>
                <w:rFonts w:ascii="Times New Roman" w:hAnsi="Times New Roman"/>
                <w:sz w:val="24"/>
              </w:rPr>
              <w:t>stĺpci 0040</w:t>
            </w:r>
            <w:r w:rsidR="00D85C65">
              <w:rPr>
                <w:rFonts w:ascii="Times New Roman" w:hAnsi="Times New Roman"/>
                <w:sz w:val="24"/>
              </w:rPr>
              <w:t>.</w:t>
            </w:r>
          </w:p>
          <w:p w14:paraId="4887BF95" w14:textId="19914F18" w:rsidR="00D85C65" w:rsidRDefault="00113E45">
            <w:pPr>
              <w:spacing w:beforeLines="60" w:before="144" w:afterLines="60" w:after="144"/>
              <w:rPr>
                <w:rStyle w:val="InstructionsTabelleberschrift"/>
                <w:rFonts w:ascii="Times New Roman" w:hAnsi="Times New Roman"/>
                <w:b w:val="0"/>
                <w:bCs w:val="0"/>
                <w:sz w:val="24"/>
                <w:u w:val="none"/>
              </w:rPr>
            </w:pPr>
            <w:r w:rsidRPr="00D85C65">
              <w:rPr>
                <w:rStyle w:val="InstructionsTabelleberschrift"/>
                <w:rFonts w:ascii="Times New Roman" w:hAnsi="Times New Roman"/>
                <w:b w:val="0"/>
                <w:bCs w:val="0"/>
                <w:sz w:val="24"/>
                <w:u w:val="none"/>
              </w:rPr>
              <w:t>V prípade pozícií</w:t>
            </w:r>
            <w:r w:rsidR="00D85C65">
              <w:rPr>
                <w:rStyle w:val="InstructionsTabelleberschrift"/>
                <w:rFonts w:ascii="Times New Roman" w:hAnsi="Times New Roman"/>
                <w:b w:val="0"/>
                <w:bCs w:val="0"/>
                <w:sz w:val="24"/>
                <w:u w:val="none"/>
              </w:rPr>
              <w:t xml:space="preserve"> v </w:t>
            </w:r>
            <w:r w:rsidRPr="00D85C65">
              <w:rPr>
                <w:rStyle w:val="InstructionsTabelleberschrift"/>
                <w:rFonts w:ascii="Times New Roman" w:hAnsi="Times New Roman"/>
                <w:b w:val="0"/>
                <w:bCs w:val="0"/>
                <w:sz w:val="24"/>
                <w:u w:val="none"/>
              </w:rPr>
              <w:t xml:space="preserve">dlhopisoch alebo akciách sa vykazuje jednotka používaná </w:t>
            </w:r>
            <w:r w:rsidRPr="00D85C65">
              <w:rPr>
                <w:rFonts w:ascii="Times New Roman" w:hAnsi="Times New Roman"/>
                <w:sz w:val="24"/>
              </w:rPr>
              <w:t>pre interné riadenie rizika</w:t>
            </w:r>
            <w:r w:rsidRPr="00D85C65">
              <w:rPr>
                <w:rStyle w:val="InstructionsTabelleberschrift"/>
                <w:rFonts w:ascii="Times New Roman" w:hAnsi="Times New Roman"/>
                <w:b w:val="0"/>
                <w:bCs w:val="0"/>
                <w:sz w:val="24"/>
                <w:u w:val="none"/>
              </w:rPr>
              <w:t>, napríklad „počet dlhopisov“, „počet akcií“ alebo „trhová hodnota“</w:t>
            </w:r>
            <w:r w:rsidR="00D85C65">
              <w:rPr>
                <w:rStyle w:val="InstructionsTabelleberschrift"/>
                <w:rFonts w:ascii="Times New Roman" w:hAnsi="Times New Roman"/>
                <w:b w:val="0"/>
                <w:bCs w:val="0"/>
                <w:sz w:val="24"/>
                <w:u w:val="none"/>
              </w:rPr>
              <w:t>.</w:t>
            </w:r>
          </w:p>
          <w:p w14:paraId="3D011492" w14:textId="2852C016" w:rsidR="00235D9D" w:rsidRPr="00D85C65" w:rsidRDefault="00113E45">
            <w:pPr>
              <w:spacing w:beforeLines="60" w:before="144" w:afterLines="60" w:after="144"/>
              <w:rPr>
                <w:rStyle w:val="InstructionsTabelleberschrift"/>
                <w:rFonts w:ascii="Times New Roman" w:hAnsi="Times New Roman"/>
                <w:b w:val="0"/>
                <w:bCs w:val="0"/>
                <w:sz w:val="24"/>
                <w:u w:val="none"/>
              </w:rPr>
            </w:pPr>
            <w:r w:rsidRPr="00D85C65">
              <w:rPr>
                <w:rFonts w:ascii="Times New Roman" w:hAnsi="Times New Roman"/>
                <w:sz w:val="24"/>
              </w:rPr>
              <w:t>V prípade pozície</w:t>
            </w:r>
            <w:r w:rsidR="00D85C65">
              <w:rPr>
                <w:rFonts w:ascii="Times New Roman" w:hAnsi="Times New Roman"/>
                <w:sz w:val="24"/>
              </w:rPr>
              <w:t xml:space="preserve"> v </w:t>
            </w:r>
            <w:r w:rsidRPr="00D85C65">
              <w:rPr>
                <w:rFonts w:ascii="Times New Roman" w:hAnsi="Times New Roman"/>
                <w:sz w:val="24"/>
              </w:rPr>
              <w:t xml:space="preserve">derivátoch sa vykazuje jednotka používaná pre interné riadenie rizika, napríklad „PV01; EUR na 1 bázický bod paralelného posunu výnosovej krivky“. </w:t>
            </w:r>
          </w:p>
        </w:tc>
      </w:tr>
      <w:tr w:rsidR="00235D9D" w:rsidRPr="00D85C65" w14:paraId="0F65911F" w14:textId="77777777" w:rsidTr="00672D2A">
        <w:tc>
          <w:tcPr>
            <w:tcW w:w="852" w:type="dxa"/>
          </w:tcPr>
          <w:p w14:paraId="38D19445"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0060</w:t>
            </w:r>
          </w:p>
        </w:tc>
        <w:tc>
          <w:tcPr>
            <w:tcW w:w="8004" w:type="dxa"/>
          </w:tcPr>
          <w:p w14:paraId="5B31E5C5"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TRHOVÁ HODNOTA</w:t>
            </w:r>
          </w:p>
          <w:p w14:paraId="24489414" w14:textId="77777777"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Trhová hodnota pozície.</w:t>
            </w:r>
          </w:p>
        </w:tc>
      </w:tr>
      <w:tr w:rsidR="00235D9D" w:rsidRPr="00D85C65" w14:paraId="28D8D3B4" w14:textId="77777777" w:rsidTr="00672D2A">
        <w:tc>
          <w:tcPr>
            <w:tcW w:w="852" w:type="dxa"/>
          </w:tcPr>
          <w:p w14:paraId="467CFB2C"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0070</w:t>
            </w:r>
          </w:p>
        </w:tc>
        <w:tc>
          <w:tcPr>
            <w:tcW w:w="8004" w:type="dxa"/>
          </w:tcPr>
          <w:p w14:paraId="43BCA791"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OBOZRETNÉ OBDOBIE NA ZATVORENIE POZÍCIE</w:t>
            </w:r>
          </w:p>
          <w:p w14:paraId="377544B0" w14:textId="52E294D9"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Obozretné obdobie na zatvorenie pozície ako počet dní odhadnutý</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súlade</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 xml:space="preserve">článkom 14 ods. 1 písm. b) </w:t>
            </w:r>
            <w:r w:rsidRPr="00D85C65">
              <w:rPr>
                <w:rFonts w:ascii="Times New Roman" w:hAnsi="Times New Roman"/>
                <w:sz w:val="24"/>
              </w:rPr>
              <w:t>delegovaného nariadenia (EÚ) 2016/101</w:t>
            </w:r>
            <w:r w:rsidRPr="00D85C65">
              <w:rPr>
                <w:rStyle w:val="InstructionsTabelleberschrift"/>
                <w:rFonts w:ascii="Times New Roman" w:hAnsi="Times New Roman"/>
                <w:b w:val="0"/>
                <w:sz w:val="24"/>
                <w:u w:val="none"/>
              </w:rPr>
              <w:t>.</w:t>
            </w:r>
          </w:p>
        </w:tc>
      </w:tr>
      <w:tr w:rsidR="00235D9D" w:rsidRPr="00D85C65" w14:paraId="02D4BAC2" w14:textId="77777777" w:rsidTr="00672D2A">
        <w:tc>
          <w:tcPr>
            <w:tcW w:w="852" w:type="dxa"/>
          </w:tcPr>
          <w:p w14:paraId="213E69F9"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lastRenderedPageBreak/>
              <w:t>0080</w:t>
            </w:r>
          </w:p>
        </w:tc>
        <w:tc>
          <w:tcPr>
            <w:tcW w:w="8004" w:type="dxa"/>
          </w:tcPr>
          <w:p w14:paraId="7274372B"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DODATOČNÁ ÚPRAVA OCENENIA ZOHĽADŇUJÚCA KONCENTROVANÉ POZÍCIE</w:t>
            </w:r>
          </w:p>
          <w:p w14:paraId="6F7551EC" w14:textId="2FA5E31E"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 xml:space="preserve">Hodnota dodatočnej úpravy ocenenia zohľadňujúcej koncentrované pozície vypočítaná podľa článku 14 ods. 1 </w:t>
            </w:r>
            <w:r w:rsidRPr="00D85C65">
              <w:rPr>
                <w:rFonts w:ascii="Times New Roman" w:hAnsi="Times New Roman"/>
                <w:sz w:val="24"/>
              </w:rPr>
              <w:t>delegovaného nariadenia (EÚ) 2016/101</w:t>
            </w:r>
            <w:r w:rsidRPr="00D85C65">
              <w:rPr>
                <w:rStyle w:val="InstructionsTabelleberschrift"/>
                <w:rFonts w:ascii="Times New Roman" w:hAnsi="Times New Roman"/>
                <w:b w:val="0"/>
                <w:sz w:val="24"/>
                <w:u w:val="none"/>
              </w:rPr>
              <w:t xml:space="preserve"> pre samostatnú dotknutú koncentrovanú oceňovanú pozíciu.</w:t>
            </w:r>
          </w:p>
        </w:tc>
      </w:tr>
      <w:tr w:rsidR="00235D9D" w:rsidRPr="00D85C65" w14:paraId="4F4D7534" w14:textId="77777777" w:rsidTr="00672D2A">
        <w:tc>
          <w:tcPr>
            <w:tcW w:w="852" w:type="dxa"/>
          </w:tcPr>
          <w:p w14:paraId="360D46DF"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0090</w:t>
            </w:r>
          </w:p>
        </w:tc>
        <w:tc>
          <w:tcPr>
            <w:tcW w:w="8004" w:type="dxa"/>
          </w:tcPr>
          <w:p w14:paraId="36649ACD"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ÚPRAVA REÁLNEJ HODNOTY KONCENTROVANEJ POZÍCIE</w:t>
            </w:r>
          </w:p>
          <w:p w14:paraId="4C938762" w14:textId="77777777"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Hodnota akýchkoľvek úprav reálnej hodnoty vykonaná na zohľadnenie skutočnosti, že agregovaná pozícia držaná inštitúciou je väčšia ako normálny obchodovaný objem alebo väčšia ako veľkosti pozícií, na ktorých sú založené kotácie alebo obchody použité na kalibráciu ceny alebo vstupov používaných modelom oceňovania.</w:t>
            </w:r>
          </w:p>
          <w:p w14:paraId="52BD9D6E" w14:textId="77777777" w:rsidR="00235D9D" w:rsidRPr="00D85C65" w:rsidRDefault="00955AA6">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Vykázaná suma zodpovedá sume, ktorá sa uplatnila na konkrétnu dotknutú koncentrovanú oceňovanú pozíciu.</w:t>
            </w:r>
          </w:p>
        </w:tc>
      </w:tr>
      <w:tr w:rsidR="00235D9D" w:rsidRPr="00D85C65" w14:paraId="252B0831" w14:textId="77777777" w:rsidTr="00672D2A">
        <w:tc>
          <w:tcPr>
            <w:tcW w:w="852" w:type="dxa"/>
          </w:tcPr>
          <w:p w14:paraId="69962979" w14:textId="77777777" w:rsidR="00235D9D" w:rsidRPr="00D85C65" w:rsidRDefault="0022597E">
            <w:pPr>
              <w:spacing w:beforeLines="60" w:before="144" w:afterLines="60" w:after="144"/>
              <w:rPr>
                <w:rFonts w:ascii="Times New Roman" w:hAnsi="Times New Roman"/>
                <w:sz w:val="24"/>
              </w:rPr>
            </w:pPr>
            <w:r w:rsidRPr="00D85C65">
              <w:rPr>
                <w:rFonts w:ascii="Times New Roman" w:hAnsi="Times New Roman"/>
                <w:sz w:val="24"/>
              </w:rPr>
              <w:t>0100</w:t>
            </w:r>
          </w:p>
        </w:tc>
        <w:tc>
          <w:tcPr>
            <w:tcW w:w="8004" w:type="dxa"/>
          </w:tcPr>
          <w:p w14:paraId="40C20224" w14:textId="77777777" w:rsidR="00235D9D" w:rsidRPr="00D85C65" w:rsidRDefault="00113E45">
            <w:pPr>
              <w:spacing w:beforeLines="60" w:before="144" w:afterLines="60" w:after="144"/>
              <w:rPr>
                <w:rStyle w:val="InstructionsTabelleberschrift"/>
                <w:rFonts w:ascii="Times New Roman" w:hAnsi="Times New Roman"/>
                <w:sz w:val="24"/>
              </w:rPr>
            </w:pPr>
            <w:r w:rsidRPr="00D85C65">
              <w:rPr>
                <w:rStyle w:val="InstructionsTabelleberschrift"/>
                <w:rFonts w:ascii="Times New Roman" w:hAnsi="Times New Roman"/>
                <w:sz w:val="24"/>
              </w:rPr>
              <w:t>ROZDIEL NEZÁVISLÉHO OVEROVANIA CIEN</w:t>
            </w:r>
          </w:p>
          <w:p w14:paraId="5BF7437D" w14:textId="7EFC23ED" w:rsid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Súčet neupravených súm rozdielu („rozdiel nezávislého overovania cien“) vypočítaný na konci mesiaca najbližšie</w:t>
            </w:r>
            <w:r w:rsidR="00D85C65">
              <w:rPr>
                <w:rStyle w:val="InstructionsTabelleberschrift"/>
                <w:rFonts w:ascii="Times New Roman" w:hAnsi="Times New Roman"/>
                <w:b w:val="0"/>
                <w:sz w:val="24"/>
                <w:u w:val="none"/>
              </w:rPr>
              <w:t xml:space="preserve"> k </w:t>
            </w:r>
            <w:r w:rsidRPr="00D85C65">
              <w:rPr>
                <w:rStyle w:val="InstructionsTabelleberschrift"/>
                <w:rFonts w:ascii="Times New Roman" w:hAnsi="Times New Roman"/>
                <w:b w:val="0"/>
                <w:sz w:val="24"/>
                <w:u w:val="none"/>
              </w:rPr>
              <w:t>dátumu vykazovania na základe procesu nezávislého overovania cien vykonaného</w:t>
            </w:r>
            <w:r w:rsidR="00D85C65">
              <w:rPr>
                <w:rStyle w:val="InstructionsTabelleberschrift"/>
                <w:rFonts w:ascii="Times New Roman" w:hAnsi="Times New Roman"/>
                <w:b w:val="0"/>
                <w:sz w:val="24"/>
                <w:u w:val="none"/>
              </w:rPr>
              <w:t xml:space="preserve"> v </w:t>
            </w:r>
            <w:r w:rsidRPr="00D85C65">
              <w:rPr>
                <w:rStyle w:val="InstructionsTabelleberschrift"/>
                <w:rFonts w:ascii="Times New Roman" w:hAnsi="Times New Roman"/>
                <w:b w:val="0"/>
                <w:sz w:val="24"/>
                <w:u w:val="none"/>
              </w:rPr>
              <w:t>súlade</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článkom 105 ods. 8 CRR</w:t>
            </w:r>
            <w:r w:rsidR="00D85C65">
              <w:rPr>
                <w:rStyle w:val="InstructionsTabelleberschrift"/>
                <w:rFonts w:ascii="Times New Roman" w:hAnsi="Times New Roman"/>
                <w:b w:val="0"/>
                <w:sz w:val="24"/>
                <w:u w:val="none"/>
              </w:rPr>
              <w:t xml:space="preserve"> s </w:t>
            </w:r>
            <w:r w:rsidRPr="00D85C65">
              <w:rPr>
                <w:rStyle w:val="InstructionsTabelleberschrift"/>
                <w:rFonts w:ascii="Times New Roman" w:hAnsi="Times New Roman"/>
                <w:b w:val="0"/>
                <w:sz w:val="24"/>
                <w:u w:val="none"/>
              </w:rPr>
              <w:t>ohľadom na najlepšie dostupné nezávislé údaje pre konkrétnu dotknutú koncentrovanú oceňovanú pozíciu</w:t>
            </w:r>
            <w:r w:rsidR="00D85C65">
              <w:rPr>
                <w:rStyle w:val="InstructionsTabelleberschrift"/>
                <w:rFonts w:ascii="Times New Roman" w:hAnsi="Times New Roman"/>
                <w:b w:val="0"/>
                <w:sz w:val="24"/>
                <w:u w:val="none"/>
              </w:rPr>
              <w:t>.</w:t>
            </w:r>
          </w:p>
          <w:p w14:paraId="359EBA64" w14:textId="5FE4D930" w:rsidR="00235D9D" w:rsidRPr="00D85C65" w:rsidRDefault="00113E45">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Neupravené sumy rozdielu označujú neupravené rozdiely medzi oceneniami vygenerovanými obchodným systémom</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oceneniami odhadnutými počas každomesačného procesu nezávislého overovania cien.</w:t>
            </w:r>
          </w:p>
          <w:p w14:paraId="256169F8" w14:textId="16095A3D" w:rsidR="00235D9D" w:rsidRPr="00D85C65" w:rsidRDefault="00D2428D">
            <w:pPr>
              <w:spacing w:beforeLines="60" w:before="144" w:afterLines="60" w:after="144"/>
              <w:rPr>
                <w:rStyle w:val="InstructionsTabelleberschrift"/>
                <w:rFonts w:ascii="Times New Roman" w:hAnsi="Times New Roman"/>
                <w:b w:val="0"/>
                <w:sz w:val="24"/>
                <w:u w:val="none"/>
              </w:rPr>
            </w:pPr>
            <w:r w:rsidRPr="00D85C65">
              <w:rPr>
                <w:rStyle w:val="InstructionsTabelleberschrift"/>
                <w:rFonts w:ascii="Times New Roman" w:hAnsi="Times New Roman"/>
                <w:b w:val="0"/>
                <w:sz w:val="24"/>
                <w:u w:val="none"/>
              </w:rPr>
              <w:t>Do výpočtu rozdielu nezávislého overovania cien sa nezahŕňajú žiadne upravené sumy rozdielu</w:t>
            </w:r>
            <w:r w:rsidR="00D85C65">
              <w:rPr>
                <w:rStyle w:val="InstructionsTabelleberschrift"/>
                <w:rFonts w:ascii="Times New Roman" w:hAnsi="Times New Roman"/>
                <w:b w:val="0"/>
                <w:sz w:val="24"/>
                <w:u w:val="none"/>
              </w:rPr>
              <w:t xml:space="preserve"> z </w:t>
            </w:r>
            <w:r w:rsidRPr="00D85C65">
              <w:rPr>
                <w:rStyle w:val="InstructionsTabelleberschrift"/>
                <w:rFonts w:ascii="Times New Roman" w:hAnsi="Times New Roman"/>
                <w:b w:val="0"/>
                <w:sz w:val="24"/>
                <w:u w:val="none"/>
              </w:rPr>
              <w:t>kníh</w:t>
            </w:r>
            <w:r w:rsidR="00D85C65">
              <w:rPr>
                <w:rStyle w:val="InstructionsTabelleberschrift"/>
                <w:rFonts w:ascii="Times New Roman" w:hAnsi="Times New Roman"/>
                <w:b w:val="0"/>
                <w:sz w:val="24"/>
                <w:u w:val="none"/>
              </w:rPr>
              <w:t xml:space="preserve"> a </w:t>
            </w:r>
            <w:r w:rsidRPr="00D85C65">
              <w:rPr>
                <w:rStyle w:val="InstructionsTabelleberschrift"/>
                <w:rFonts w:ascii="Times New Roman" w:hAnsi="Times New Roman"/>
                <w:b w:val="0"/>
                <w:sz w:val="24"/>
                <w:u w:val="none"/>
              </w:rPr>
              <w:t>záznamov príslušnej inštitúcie pre koncový dátum príslušného mesiaca.</w:t>
            </w:r>
          </w:p>
        </w:tc>
      </w:tr>
    </w:tbl>
    <w:p w14:paraId="7EE60302" w14:textId="77777777" w:rsidR="00235D9D" w:rsidRPr="00D85C65" w:rsidRDefault="00235D9D">
      <w:pPr>
        <w:rPr>
          <w:rStyle w:val="InstructionsTabelleText"/>
          <w:rFonts w:ascii="Times New Roman" w:hAnsi="Times New Roman"/>
          <w:sz w:val="24"/>
        </w:rPr>
      </w:pPr>
    </w:p>
    <w:p w14:paraId="590E614E" w14:textId="77777777" w:rsidR="00235D9D" w:rsidRPr="00D85C65" w:rsidRDefault="00995A7F">
      <w:pPr>
        <w:pStyle w:val="Instructionsberschrift2"/>
        <w:numPr>
          <w:ilvl w:val="0"/>
          <w:numId w:val="0"/>
        </w:numPr>
        <w:ind w:left="357" w:hanging="357"/>
        <w:rPr>
          <w:rFonts w:ascii="Times New Roman" w:hAnsi="Times New Roman" w:cs="Times New Roman"/>
          <w:sz w:val="24"/>
        </w:rPr>
      </w:pPr>
      <w:bookmarkStart w:id="120" w:name="_Toc29994562"/>
      <w:r w:rsidRPr="00D85C65">
        <w:rPr>
          <w:rFonts w:ascii="Times New Roman" w:hAnsi="Times New Roman"/>
          <w:sz w:val="24"/>
          <w:u w:val="none"/>
        </w:rPr>
        <w:t>7.</w:t>
      </w:r>
      <w:r w:rsidRPr="00D85C65">
        <w:rPr>
          <w:rFonts w:ascii="Times New Roman" w:hAnsi="Times New Roman"/>
          <w:sz w:val="24"/>
          <w:u w:val="none"/>
        </w:rPr>
        <w:tab/>
      </w:r>
      <w:r w:rsidRPr="00D85C65">
        <w:rPr>
          <w:rFonts w:ascii="Times New Roman" w:hAnsi="Times New Roman"/>
          <w:sz w:val="24"/>
        </w:rPr>
        <w:t>C 33.00 – Expozície voči orgánom verejnej správy (GOV)</w:t>
      </w:r>
      <w:bookmarkEnd w:id="120"/>
    </w:p>
    <w:p w14:paraId="05075C84" w14:textId="77777777" w:rsidR="00D85C65" w:rsidRDefault="00995A7F">
      <w:pPr>
        <w:pStyle w:val="Instructionsberschrift2"/>
        <w:numPr>
          <w:ilvl w:val="0"/>
          <w:numId w:val="0"/>
        </w:numPr>
        <w:ind w:left="357" w:hanging="357"/>
        <w:rPr>
          <w:rFonts w:ascii="Times New Roman" w:hAnsi="Times New Roman"/>
          <w:sz w:val="24"/>
        </w:rPr>
      </w:pPr>
      <w:bookmarkStart w:id="121" w:name="_Toc29994563"/>
      <w:r w:rsidRPr="00D85C65">
        <w:rPr>
          <w:rFonts w:ascii="Times New Roman" w:hAnsi="Times New Roman"/>
          <w:sz w:val="24"/>
          <w:u w:val="none"/>
        </w:rPr>
        <w:t>7.1.</w:t>
      </w:r>
      <w:r w:rsidRPr="00D85C65">
        <w:rPr>
          <w:rFonts w:ascii="Times New Roman" w:hAnsi="Times New Roman"/>
          <w:sz w:val="24"/>
          <w:u w:val="none"/>
        </w:rPr>
        <w:tab/>
      </w:r>
      <w:r w:rsidRPr="00D85C65">
        <w:rPr>
          <w:rFonts w:ascii="Times New Roman" w:hAnsi="Times New Roman"/>
          <w:sz w:val="24"/>
        </w:rPr>
        <w:t>Všeobecné poznámky</w:t>
      </w:r>
      <w:bookmarkEnd w:id="121"/>
    </w:p>
    <w:p w14:paraId="02D93E92" w14:textId="34ADA7B3" w:rsidR="00235D9D" w:rsidRPr="00D85C65" w:rsidRDefault="00125707">
      <w:pPr>
        <w:pStyle w:val="InstructionsText2"/>
        <w:numPr>
          <w:ilvl w:val="0"/>
          <w:numId w:val="0"/>
        </w:numPr>
        <w:ind w:left="993"/>
      </w:pPr>
      <w:r w:rsidRPr="00D85C65">
        <w:t>155.</w:t>
      </w:r>
      <w:r w:rsidRPr="00D85C65">
        <w:tab/>
        <w:t xml:space="preserve"> Informácie na účely vzoru C 33.00 zahŕňajú všetky expozície voči „orgánom verejnej správy“, ako sa uvádza</w:t>
      </w:r>
      <w:r w:rsidR="00D85C65">
        <w:t xml:space="preserve"> v </w:t>
      </w:r>
      <w:r w:rsidRPr="00D85C65">
        <w:t>odseku 42 písm. b) prílohy</w:t>
      </w:r>
      <w:r w:rsidR="00D85C65">
        <w:t xml:space="preserve"> V k </w:t>
      </w:r>
      <w:r w:rsidRPr="00D85C65">
        <w:t>tomuto vykonávaciemu nariadeniu.</w:t>
      </w:r>
    </w:p>
    <w:p w14:paraId="64EEDD6B" w14:textId="6A172DA0" w:rsidR="00D85C65" w:rsidRDefault="00125707">
      <w:pPr>
        <w:pStyle w:val="InstructionsText2"/>
        <w:numPr>
          <w:ilvl w:val="0"/>
          <w:numId w:val="0"/>
        </w:numPr>
        <w:ind w:left="993"/>
      </w:pPr>
      <w:r w:rsidRPr="00D85C65">
        <w:t>156.</w:t>
      </w:r>
      <w:r w:rsidRPr="00D85C65">
        <w:tab/>
        <w:t xml:space="preserve"> Expozície voči „orgánom verejnej správy“ sú zahrnuté</w:t>
      </w:r>
      <w:r w:rsidR="00D85C65">
        <w:t xml:space="preserve"> v </w:t>
      </w:r>
      <w:r w:rsidRPr="00D85C65">
        <w:t>rôznych triedach expozícií</w:t>
      </w:r>
      <w:r w:rsidR="00D85C65">
        <w:t xml:space="preserve"> v </w:t>
      </w:r>
      <w:r w:rsidRPr="00D85C65">
        <w:t>súlade</w:t>
      </w:r>
      <w:r w:rsidR="00D85C65">
        <w:t xml:space="preserve"> s </w:t>
      </w:r>
      <w:r w:rsidRPr="00D85C65">
        <w:t>článkom 112</w:t>
      </w:r>
      <w:r w:rsidR="00D85C65">
        <w:t xml:space="preserve"> a </w:t>
      </w:r>
      <w:r w:rsidRPr="00D85C65">
        <w:t>článkom 147 CRR, ako sa stanovuje</w:t>
      </w:r>
      <w:r w:rsidR="00D85C65">
        <w:t xml:space="preserve"> v </w:t>
      </w:r>
      <w:r w:rsidRPr="00D85C65">
        <w:t>pokynoch na vypĺňanie vzoru C 07.00, C 08.01</w:t>
      </w:r>
      <w:r w:rsidR="00D85C65">
        <w:t xml:space="preserve"> a </w:t>
      </w:r>
      <w:r w:rsidRPr="00D85C65">
        <w:t>C 08.02</w:t>
      </w:r>
      <w:r w:rsidR="00D85C65">
        <w:t>.</w:t>
      </w:r>
    </w:p>
    <w:p w14:paraId="3E42049C" w14:textId="6C387B6A" w:rsidR="00D85C65" w:rsidRDefault="00125707">
      <w:pPr>
        <w:pStyle w:val="InstructionsText2"/>
        <w:numPr>
          <w:ilvl w:val="0"/>
          <w:numId w:val="0"/>
        </w:numPr>
        <w:ind w:left="993"/>
      </w:pPr>
      <w:r w:rsidRPr="00D85C65">
        <w:t>157.</w:t>
      </w:r>
      <w:r w:rsidRPr="00D85C65">
        <w:tab/>
        <w:t xml:space="preserve"> Pre mapovanie tried expozícií používaných na výpočet kapitálových požiadaviek na základe CRR do sektora protistrany „orgány verejnej správy“ sa musí dodržiavať tabuľka 2 (štandardizovaný prístup)</w:t>
      </w:r>
      <w:r w:rsidR="00D85C65">
        <w:t xml:space="preserve"> a </w:t>
      </w:r>
      <w:r w:rsidRPr="00D85C65">
        <w:t>tabuľka 3 (prístup IRB), zahrnuté</w:t>
      </w:r>
      <w:r w:rsidR="00D85C65">
        <w:t xml:space="preserve"> v </w:t>
      </w:r>
      <w:r w:rsidRPr="00D85C65">
        <w:t>časti 3 prílohy</w:t>
      </w:r>
      <w:r w:rsidR="00D85C65">
        <w:t xml:space="preserve"> V k </w:t>
      </w:r>
      <w:r w:rsidRPr="00D85C65">
        <w:t>tomuto vykonávaciemu nariadeniu</w:t>
      </w:r>
      <w:r w:rsidR="00D85C65">
        <w:t>.</w:t>
      </w:r>
    </w:p>
    <w:p w14:paraId="7474D4D3" w14:textId="2CC756F9" w:rsidR="00D85C65" w:rsidRDefault="00125707">
      <w:pPr>
        <w:pStyle w:val="InstructionsText2"/>
        <w:numPr>
          <w:ilvl w:val="0"/>
          <w:numId w:val="0"/>
        </w:numPr>
        <w:ind w:left="993"/>
      </w:pPr>
      <w:r w:rsidRPr="00D85C65">
        <w:lastRenderedPageBreak/>
        <w:t>158. Vykazujú sa informácie za celkové súhrnné expozície (t. j. súčet hodnôt zo všetkých krajín,</w:t>
      </w:r>
      <w:r w:rsidR="00D85C65">
        <w:t xml:space="preserve"> v </w:t>
      </w:r>
      <w:r w:rsidRPr="00D85C65">
        <w:t>ktorých má banka expozície voči štátom)</w:t>
      </w:r>
      <w:r w:rsidR="00D85C65">
        <w:t xml:space="preserve"> a </w:t>
      </w:r>
      <w:r w:rsidRPr="00D85C65">
        <w:t>pre každú krajinu na základe sídla protistrany na základe bezprostredného dlžníka</w:t>
      </w:r>
      <w:r w:rsidR="00D85C65">
        <w:t>.</w:t>
      </w:r>
    </w:p>
    <w:p w14:paraId="762C7C45" w14:textId="6A60CA75" w:rsidR="00D85C65" w:rsidRDefault="00125707">
      <w:pPr>
        <w:pStyle w:val="InstructionsText2"/>
        <w:numPr>
          <w:ilvl w:val="0"/>
          <w:numId w:val="0"/>
        </w:numPr>
        <w:ind w:left="993"/>
      </w:pPr>
      <w:r w:rsidRPr="00D85C65">
        <w:t>159.</w:t>
      </w:r>
      <w:r w:rsidRPr="00D85C65">
        <w:tab/>
        <w:t xml:space="preserve"> Zaradenie expozícií do tried expozícií alebo jurisdikcií sa vykoná bez toho, aby sa zohľadňovali postupy zmierňovania kreditného rizika,</w:t>
      </w:r>
      <w:r w:rsidR="00D85C65">
        <w:t xml:space="preserve"> a </w:t>
      </w:r>
      <w:r w:rsidRPr="00D85C65">
        <w:t>najmä bez zohľadnenia účinkov substitúcie. Výpočet hodnôt expozícií</w:t>
      </w:r>
      <w:r w:rsidR="00D85C65">
        <w:t xml:space="preserve"> a </w:t>
      </w:r>
      <w:r w:rsidRPr="00D85C65">
        <w:t>hodnôt rizikovo vážených expozícií pre každú triedu expozícií</w:t>
      </w:r>
      <w:r w:rsidR="00D85C65">
        <w:t xml:space="preserve"> a </w:t>
      </w:r>
      <w:r w:rsidRPr="00D85C65">
        <w:t>pre každú jurisdikciu však zahŕňa výskyt postupov zmierňovania kreditného rizika vrátane účinkov substitúcie</w:t>
      </w:r>
      <w:r w:rsidR="00D85C65">
        <w:t>.</w:t>
      </w:r>
    </w:p>
    <w:p w14:paraId="2946E9CC" w14:textId="1F4A0B4D" w:rsidR="00235D9D" w:rsidRPr="00D85C65" w:rsidRDefault="00125707">
      <w:pPr>
        <w:pStyle w:val="InstructionsText2"/>
        <w:numPr>
          <w:ilvl w:val="0"/>
          <w:numId w:val="0"/>
        </w:numPr>
        <w:ind w:left="993"/>
      </w:pPr>
      <w:r w:rsidRPr="00D85C65">
        <w:t>160.</w:t>
      </w:r>
      <w:r w:rsidRPr="00D85C65">
        <w:tab/>
        <w:t xml:space="preserve"> Na vykazovanie informácií</w:t>
      </w:r>
      <w:r w:rsidR="00D85C65">
        <w:t xml:space="preserve"> o </w:t>
      </w:r>
      <w:r w:rsidRPr="00D85C65">
        <w:t>expozíciách voči „orgánom verejnej správy“ podľa jurisdikcie sídla bezprostrednej protistrany inej než domácej jurisdikcie vykazujúcej inštitúcie sa vzťahujú prahové hodnoty stanovené</w:t>
      </w:r>
      <w:r w:rsidR="00D85C65">
        <w:t xml:space="preserve"> v </w:t>
      </w:r>
      <w:r w:rsidRPr="00D85C65">
        <w:t>článku 5 písm. b) bode 3 tohto vykonávacieho nariadenia.</w:t>
      </w:r>
    </w:p>
    <w:p w14:paraId="20840436" w14:textId="0BB11BBD" w:rsidR="00235D9D" w:rsidRPr="00D85C65" w:rsidRDefault="00995A7F">
      <w:pPr>
        <w:pStyle w:val="Instructionsberschrift2"/>
        <w:numPr>
          <w:ilvl w:val="0"/>
          <w:numId w:val="0"/>
        </w:numPr>
        <w:ind w:left="357" w:hanging="357"/>
        <w:rPr>
          <w:rFonts w:ascii="Times New Roman" w:hAnsi="Times New Roman" w:cs="Times New Roman"/>
          <w:sz w:val="24"/>
        </w:rPr>
      </w:pPr>
      <w:bookmarkStart w:id="122" w:name="_Toc29994564"/>
      <w:r w:rsidRPr="00D85C65">
        <w:rPr>
          <w:rFonts w:ascii="Times New Roman" w:hAnsi="Times New Roman"/>
          <w:sz w:val="24"/>
          <w:u w:val="none"/>
        </w:rPr>
        <w:t>7.2.</w:t>
      </w:r>
      <w:r w:rsidRPr="00D85C65">
        <w:rPr>
          <w:rFonts w:ascii="Times New Roman" w:hAnsi="Times New Roman"/>
          <w:sz w:val="24"/>
          <w:u w:val="none"/>
        </w:rPr>
        <w:tab/>
      </w:r>
      <w:r w:rsidRPr="00D85C65">
        <w:rPr>
          <w:rFonts w:ascii="Times New Roman" w:hAnsi="Times New Roman"/>
          <w:sz w:val="24"/>
        </w:rPr>
        <w:t>Rozsah vzoru</w:t>
      </w:r>
      <w:r w:rsidR="00D85C65">
        <w:rPr>
          <w:rFonts w:ascii="Times New Roman" w:hAnsi="Times New Roman"/>
          <w:sz w:val="24"/>
        </w:rPr>
        <w:t xml:space="preserve"> o </w:t>
      </w:r>
      <w:r w:rsidRPr="00D85C65">
        <w:rPr>
          <w:rFonts w:ascii="Times New Roman" w:hAnsi="Times New Roman"/>
          <w:sz w:val="24"/>
        </w:rPr>
        <w:t>expozíciách voči „orgánom verejnej správy“</w:t>
      </w:r>
      <w:bookmarkEnd w:id="122"/>
    </w:p>
    <w:p w14:paraId="03A261F0" w14:textId="2AA1E0B1" w:rsidR="00235D9D" w:rsidRPr="00D85C65" w:rsidRDefault="00125707">
      <w:pPr>
        <w:pStyle w:val="InstructionsText2"/>
        <w:numPr>
          <w:ilvl w:val="0"/>
          <w:numId w:val="0"/>
        </w:numPr>
        <w:ind w:left="993"/>
      </w:pPr>
      <w:r w:rsidRPr="00D85C65">
        <w:t>161.</w:t>
      </w:r>
      <w:r w:rsidRPr="00D85C65">
        <w:tab/>
        <w:t xml:space="preserve"> Vzor GOV zahŕňa súvahové, podsúvahové</w:t>
      </w:r>
      <w:r w:rsidR="00D85C65">
        <w:t xml:space="preserve"> a </w:t>
      </w:r>
      <w:r w:rsidRPr="00D85C65">
        <w:t>derivátové priame expozície voči „orgánom verejnej správy“</w:t>
      </w:r>
      <w:r w:rsidR="00D85C65">
        <w:t xml:space="preserve"> v </w:t>
      </w:r>
      <w:r w:rsidRPr="00D85C65">
        <w:t>bankovej aj obchodnej knihe. Okrem toho sa požaduje aj doplňujúca položka pre nepriame expozície vo forme predaných kreditných derivátov na expozície voči orgánom verejnej správy.</w:t>
      </w:r>
    </w:p>
    <w:p w14:paraId="09FE6D8B" w14:textId="7E1A7970" w:rsidR="00D85C65" w:rsidRDefault="00125707">
      <w:pPr>
        <w:pStyle w:val="InstructionsText2"/>
        <w:numPr>
          <w:ilvl w:val="0"/>
          <w:numId w:val="0"/>
        </w:numPr>
        <w:ind w:left="993"/>
      </w:pPr>
      <w:r w:rsidRPr="00D85C65">
        <w:t>162.</w:t>
      </w:r>
      <w:r w:rsidRPr="00D85C65">
        <w:tab/>
        <w:t xml:space="preserve"> Expozícia je priamou expozíciou, keď je bezprostredná protistrana subjektom, ktorý je „orgánom verejnej správy“, ako sa uvádza</w:t>
      </w:r>
      <w:r w:rsidR="00D85C65">
        <w:t xml:space="preserve"> v </w:t>
      </w:r>
      <w:r w:rsidRPr="00D85C65">
        <w:t>odseku 42 písm. b) prílohy</w:t>
      </w:r>
      <w:r w:rsidR="00D85C65">
        <w:t xml:space="preserve"> V k </w:t>
      </w:r>
      <w:r w:rsidRPr="00D85C65">
        <w:t>tomuto vykonávaciemu nariadeniu</w:t>
      </w:r>
      <w:r w:rsidR="00D85C65">
        <w:t>.</w:t>
      </w:r>
    </w:p>
    <w:p w14:paraId="519B25E0" w14:textId="69B7922A" w:rsidR="00235D9D" w:rsidRPr="00D85C65" w:rsidRDefault="00125707">
      <w:pPr>
        <w:pStyle w:val="InstructionsText2"/>
        <w:numPr>
          <w:ilvl w:val="0"/>
          <w:numId w:val="0"/>
        </w:numPr>
        <w:ind w:left="993"/>
      </w:pPr>
      <w:r w:rsidRPr="00D85C65">
        <w:t>163.</w:t>
      </w:r>
      <w:r w:rsidRPr="00D85C65">
        <w:tab/>
        <w:t xml:space="preserve"> Vzor je rozdelený do dvoch častí. Prvá časť sa zakladá na rozčlenení expozícií podľa rizika, regulačného prístupu</w:t>
      </w:r>
      <w:r w:rsidR="00D85C65">
        <w:t xml:space="preserve"> a </w:t>
      </w:r>
      <w:r w:rsidRPr="00D85C65">
        <w:t>tried expozícií, zatiaľ čo druhá časť sa zakladá na rozčlenení podľa zostatkovej splatnosti.</w:t>
      </w:r>
    </w:p>
    <w:p w14:paraId="4808E55B" w14:textId="77777777" w:rsidR="00235D9D" w:rsidRPr="00D85C65" w:rsidRDefault="00995A7F">
      <w:pPr>
        <w:pStyle w:val="Instructionsberschrift2"/>
        <w:numPr>
          <w:ilvl w:val="0"/>
          <w:numId w:val="0"/>
        </w:numPr>
        <w:ind w:left="357" w:hanging="357"/>
        <w:rPr>
          <w:rFonts w:ascii="Times New Roman" w:hAnsi="Times New Roman" w:cs="Times New Roman"/>
          <w:sz w:val="24"/>
        </w:rPr>
      </w:pPr>
      <w:bookmarkStart w:id="123" w:name="_Toc29994565"/>
      <w:r w:rsidRPr="00D85C65">
        <w:rPr>
          <w:rFonts w:ascii="Times New Roman" w:hAnsi="Times New Roman"/>
          <w:sz w:val="24"/>
          <w:u w:val="none"/>
        </w:rPr>
        <w:t>7.3.</w:t>
      </w:r>
      <w:r w:rsidRPr="00D85C65">
        <w:rPr>
          <w:rFonts w:ascii="Times New Roman" w:hAnsi="Times New Roman"/>
          <w:sz w:val="24"/>
          <w:u w:val="none"/>
        </w:rPr>
        <w:tab/>
      </w:r>
      <w:r w:rsidRPr="00D85C65">
        <w:rPr>
          <w:rFonts w:ascii="Times New Roman" w:hAnsi="Times New Roman"/>
          <w:sz w:val="24"/>
        </w:rPr>
        <w:t>Pokyny týkajúce sa konkrétnych pozícií</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235D9D" w:rsidRPr="00D85C65" w14:paraId="7330DB9D" w14:textId="77777777" w:rsidTr="00672D2A">
        <w:tc>
          <w:tcPr>
            <w:tcW w:w="1188" w:type="dxa"/>
            <w:shd w:val="pct25" w:color="auto" w:fill="auto"/>
          </w:tcPr>
          <w:p w14:paraId="1853ABE1"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Stĺpce</w:t>
            </w:r>
          </w:p>
          <w:p w14:paraId="5CF585B8" w14:textId="77777777" w:rsidR="00235D9D" w:rsidRPr="00D85C65" w:rsidRDefault="00235D9D">
            <w:pPr>
              <w:spacing w:before="0" w:after="0"/>
              <w:ind w:left="33"/>
              <w:rPr>
                <w:rFonts w:ascii="Times New Roman" w:hAnsi="Times New Roman"/>
                <w:bCs/>
                <w:sz w:val="24"/>
              </w:rPr>
            </w:pPr>
          </w:p>
        </w:tc>
        <w:tc>
          <w:tcPr>
            <w:tcW w:w="8640" w:type="dxa"/>
            <w:shd w:val="pct25" w:color="auto" w:fill="auto"/>
          </w:tcPr>
          <w:p w14:paraId="5217B969"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Pokyny</w:t>
            </w:r>
          </w:p>
        </w:tc>
      </w:tr>
      <w:tr w:rsidR="00235D9D" w:rsidRPr="00D85C65" w14:paraId="2E979F8A" w14:textId="77777777" w:rsidTr="00672D2A">
        <w:tc>
          <w:tcPr>
            <w:tcW w:w="1188" w:type="dxa"/>
            <w:tcBorders>
              <w:bottom w:val="single" w:sz="4" w:space="0" w:color="auto"/>
            </w:tcBorders>
          </w:tcPr>
          <w:p w14:paraId="34661A82" w14:textId="77777777" w:rsidR="00235D9D" w:rsidRPr="00D85C65" w:rsidRDefault="00FD54FC">
            <w:pPr>
              <w:spacing w:before="0" w:after="0"/>
              <w:ind w:left="33"/>
              <w:rPr>
                <w:rFonts w:ascii="Times New Roman" w:hAnsi="Times New Roman"/>
                <w:bCs/>
                <w:sz w:val="24"/>
                <w:highlight w:val="yellow"/>
              </w:rPr>
            </w:pPr>
            <w:r w:rsidRPr="00D85C65">
              <w:rPr>
                <w:rFonts w:ascii="Times New Roman" w:hAnsi="Times New Roman"/>
                <w:bCs/>
                <w:sz w:val="24"/>
              </w:rPr>
              <w:t>010 – 260</w:t>
            </w:r>
          </w:p>
        </w:tc>
        <w:tc>
          <w:tcPr>
            <w:tcW w:w="8640" w:type="dxa"/>
            <w:tcBorders>
              <w:bottom w:val="single" w:sz="4" w:space="0" w:color="auto"/>
            </w:tcBorders>
          </w:tcPr>
          <w:p w14:paraId="4C13CC76"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 xml:space="preserve">PRIAME EXPOZÍCIE </w:t>
            </w:r>
          </w:p>
        </w:tc>
      </w:tr>
      <w:tr w:rsidR="00235D9D" w:rsidRPr="00D85C65" w14:paraId="116E3D26" w14:textId="77777777" w:rsidTr="00672D2A">
        <w:tc>
          <w:tcPr>
            <w:tcW w:w="1188" w:type="dxa"/>
          </w:tcPr>
          <w:p w14:paraId="09D02E5A" w14:textId="77777777" w:rsidR="00235D9D" w:rsidRPr="00D85C65" w:rsidRDefault="00FD54FC">
            <w:pPr>
              <w:spacing w:before="0" w:after="0"/>
              <w:ind w:left="33"/>
              <w:rPr>
                <w:rFonts w:ascii="Times New Roman" w:hAnsi="Times New Roman"/>
                <w:bCs/>
                <w:sz w:val="24"/>
                <w:highlight w:val="yellow"/>
              </w:rPr>
            </w:pPr>
            <w:r w:rsidRPr="00D85C65">
              <w:rPr>
                <w:rFonts w:ascii="Times New Roman" w:hAnsi="Times New Roman"/>
                <w:bCs/>
                <w:sz w:val="24"/>
              </w:rPr>
              <w:t>010 – 140</w:t>
            </w:r>
          </w:p>
        </w:tc>
        <w:tc>
          <w:tcPr>
            <w:tcW w:w="8640" w:type="dxa"/>
          </w:tcPr>
          <w:p w14:paraId="128EF589"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SÚVAHOVÉ EXPOZÍCIE</w:t>
            </w:r>
          </w:p>
        </w:tc>
      </w:tr>
      <w:tr w:rsidR="00235D9D" w:rsidRPr="00D85C65" w14:paraId="1E75959F" w14:textId="77777777" w:rsidTr="00672D2A">
        <w:tc>
          <w:tcPr>
            <w:tcW w:w="1188" w:type="dxa"/>
          </w:tcPr>
          <w:p w14:paraId="4D2C8D02"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010</w:t>
            </w:r>
          </w:p>
        </w:tc>
        <w:tc>
          <w:tcPr>
            <w:tcW w:w="8640" w:type="dxa"/>
          </w:tcPr>
          <w:p w14:paraId="4E271566"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Celková hrubá účtovná hodnota nederivátových finančných aktív</w:t>
            </w:r>
          </w:p>
          <w:p w14:paraId="0FE66344" w14:textId="0674E94E" w:rsidR="00235D9D" w:rsidRPr="00D85C65" w:rsidRDefault="00235D9D">
            <w:pPr>
              <w:spacing w:before="0" w:after="0"/>
              <w:ind w:left="33"/>
              <w:rPr>
                <w:rFonts w:ascii="Times New Roman" w:hAnsi="Times New Roman"/>
                <w:bCs/>
                <w:sz w:val="24"/>
              </w:rPr>
            </w:pPr>
          </w:p>
          <w:p w14:paraId="74365026" w14:textId="42CFB151" w:rsidR="00D85C65" w:rsidRDefault="00FD54FC">
            <w:pPr>
              <w:spacing w:before="0" w:after="0"/>
              <w:ind w:left="33"/>
              <w:rPr>
                <w:rFonts w:ascii="Times New Roman" w:hAnsi="Times New Roman"/>
                <w:bCs/>
                <w:sz w:val="24"/>
              </w:rPr>
            </w:pPr>
            <w:r w:rsidRPr="00D85C65">
              <w:rPr>
                <w:rFonts w:ascii="Times New Roman" w:hAnsi="Times New Roman"/>
                <w:bCs/>
                <w:sz w:val="24"/>
              </w:rPr>
              <w:t>Súhrn hrubej účtovnej hodnoty, určený</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časťou 1 odsekom 34 prílohy</w:t>
            </w:r>
            <w:r w:rsidR="00D85C65">
              <w:rPr>
                <w:rFonts w:ascii="Times New Roman" w:hAnsi="Times New Roman"/>
                <w:bCs/>
                <w:sz w:val="24"/>
              </w:rPr>
              <w:t xml:space="preserve"> V k </w:t>
            </w:r>
            <w:r w:rsidRPr="00D85C65">
              <w:rPr>
                <w:rFonts w:ascii="Times New Roman" w:hAnsi="Times New Roman"/>
                <w:bCs/>
                <w:sz w:val="24"/>
              </w:rPr>
              <w:t>tomuto vykonávaciemu nariadeniu, nederivátových finančných aktív voči orgánom verejnej správy pre všetky účtovné portfóliá podľa IFRS alebo národných GAAP na základe BAD vymedzených</w:t>
            </w:r>
            <w:r w:rsidR="00D85C65">
              <w:rPr>
                <w:rFonts w:ascii="Times New Roman" w:hAnsi="Times New Roman"/>
                <w:bCs/>
                <w:sz w:val="24"/>
              </w:rPr>
              <w:t xml:space="preserve"> v </w:t>
            </w:r>
            <w:r w:rsidRPr="00D85C65">
              <w:rPr>
                <w:rFonts w:ascii="Times New Roman" w:hAnsi="Times New Roman"/>
                <w:bCs/>
                <w:sz w:val="24"/>
              </w:rPr>
              <w:t xml:space="preserve">časti 1 </w:t>
            </w:r>
            <w:r w:rsidRPr="00D85C65">
              <w:rPr>
                <w:rFonts w:ascii="Times New Roman" w:hAnsi="Times New Roman"/>
                <w:bCs/>
                <w:sz w:val="24"/>
                <w:highlight w:val="yellow"/>
              </w:rPr>
              <w:t>odsekoch 15 až 22</w:t>
            </w:r>
            <w:r w:rsidRPr="00D85C65">
              <w:rPr>
                <w:rFonts w:ascii="Times New Roman" w:hAnsi="Times New Roman"/>
                <w:bCs/>
                <w:sz w:val="24"/>
              </w:rPr>
              <w:t xml:space="preserve">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r w:rsidR="00D85C65">
              <w:rPr>
                <w:rFonts w:ascii="Times New Roman" w:hAnsi="Times New Roman"/>
                <w:bCs/>
                <w:sz w:val="24"/>
              </w:rPr>
              <w:t xml:space="preserve"> a </w:t>
            </w:r>
            <w:r w:rsidRPr="00D85C65">
              <w:rPr>
                <w:rFonts w:ascii="Times New Roman" w:hAnsi="Times New Roman"/>
                <w:bCs/>
                <w:sz w:val="24"/>
              </w:rPr>
              <w:t>uvedených</w:t>
            </w:r>
            <w:r w:rsidR="00D85C65">
              <w:rPr>
                <w:rFonts w:ascii="Times New Roman" w:hAnsi="Times New Roman"/>
                <w:bCs/>
                <w:sz w:val="24"/>
              </w:rPr>
              <w:t xml:space="preserve"> v </w:t>
            </w:r>
            <w:r w:rsidRPr="00D85C65">
              <w:rPr>
                <w:rFonts w:ascii="Times New Roman" w:hAnsi="Times New Roman"/>
                <w:bCs/>
                <w:sz w:val="24"/>
              </w:rPr>
              <w:t>stĺpcoch 030 až 120</w:t>
            </w:r>
            <w:r w:rsidR="00D85C65">
              <w:rPr>
                <w:rFonts w:ascii="Times New Roman" w:hAnsi="Times New Roman"/>
                <w:bCs/>
                <w:sz w:val="24"/>
              </w:rPr>
              <w:t>.</w:t>
            </w:r>
          </w:p>
          <w:p w14:paraId="4B452235" w14:textId="00BD2B64" w:rsidR="00235D9D" w:rsidRPr="00D85C65" w:rsidRDefault="00235D9D">
            <w:pPr>
              <w:spacing w:before="0" w:after="0"/>
              <w:ind w:left="33"/>
              <w:rPr>
                <w:rFonts w:ascii="Times New Roman" w:hAnsi="Times New Roman"/>
                <w:bCs/>
                <w:sz w:val="24"/>
              </w:rPr>
            </w:pPr>
          </w:p>
          <w:p w14:paraId="363E1C41" w14:textId="0301DE2C"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Obozretné úpravy ocenenia nesmú znížiť hrubú účtovnú hodnotu obchodných</w:t>
            </w:r>
            <w:r w:rsidR="00D85C65">
              <w:rPr>
                <w:rFonts w:ascii="Times New Roman" w:hAnsi="Times New Roman"/>
                <w:bCs/>
                <w:sz w:val="24"/>
              </w:rPr>
              <w:t xml:space="preserve"> a </w:t>
            </w:r>
            <w:r w:rsidRPr="00D85C65">
              <w:rPr>
                <w:rFonts w:ascii="Times New Roman" w:hAnsi="Times New Roman"/>
                <w:bCs/>
                <w:sz w:val="24"/>
              </w:rPr>
              <w:t>neobchodných expozícií oceňovaných reálnou hodnotou.</w:t>
            </w:r>
          </w:p>
          <w:p w14:paraId="07CEAAA8" w14:textId="77777777" w:rsidR="00235D9D" w:rsidRPr="00D85C65" w:rsidRDefault="00235D9D">
            <w:pPr>
              <w:spacing w:before="0" w:after="0"/>
              <w:rPr>
                <w:rFonts w:ascii="Times New Roman" w:hAnsi="Times New Roman"/>
                <w:bCs/>
                <w:sz w:val="24"/>
              </w:rPr>
            </w:pPr>
          </w:p>
        </w:tc>
      </w:tr>
      <w:tr w:rsidR="00235D9D" w:rsidRPr="00D85C65" w14:paraId="18D48B1A" w14:textId="77777777" w:rsidTr="00672D2A">
        <w:tc>
          <w:tcPr>
            <w:tcW w:w="1188" w:type="dxa"/>
          </w:tcPr>
          <w:p w14:paraId="1FF9BD25"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020</w:t>
            </w:r>
          </w:p>
        </w:tc>
        <w:tc>
          <w:tcPr>
            <w:tcW w:w="8640" w:type="dxa"/>
          </w:tcPr>
          <w:p w14:paraId="4AD9F9C0"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Celková účtovná hodnota nederivátových finančných aktív (po odpočítaní krátkych pozícií)</w:t>
            </w:r>
          </w:p>
          <w:p w14:paraId="274F1544" w14:textId="77777777" w:rsidR="00235D9D" w:rsidRPr="00D85C65" w:rsidRDefault="00235D9D">
            <w:pPr>
              <w:spacing w:before="0" w:after="0"/>
              <w:ind w:left="33"/>
              <w:rPr>
                <w:rFonts w:ascii="Times New Roman" w:hAnsi="Times New Roman"/>
                <w:bCs/>
                <w:sz w:val="24"/>
              </w:rPr>
            </w:pPr>
          </w:p>
          <w:p w14:paraId="1FEF955E" w14:textId="2CA8D8A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Súhrn účtovnej hodnoty, podľa časti 1 odseku 27 prílohy</w:t>
            </w:r>
            <w:r w:rsidR="00D85C65">
              <w:rPr>
                <w:rFonts w:ascii="Times New Roman" w:hAnsi="Times New Roman"/>
                <w:bCs/>
                <w:sz w:val="24"/>
              </w:rPr>
              <w:t xml:space="preserve"> V k </w:t>
            </w:r>
            <w:r w:rsidRPr="00D85C65">
              <w:rPr>
                <w:rFonts w:ascii="Times New Roman" w:hAnsi="Times New Roman"/>
                <w:bCs/>
                <w:sz w:val="24"/>
              </w:rPr>
              <w:t>tomuto vykonávaciemu nariadeniu, nederivátových finančných aktív voči orgánom verejnej správy pre všetky účtovné portfóliá podľa IFRS alebo národných GAAP na základe BAD vymedzených</w:t>
            </w:r>
            <w:r w:rsidR="00D85C65">
              <w:rPr>
                <w:rFonts w:ascii="Times New Roman" w:hAnsi="Times New Roman"/>
                <w:bCs/>
                <w:sz w:val="24"/>
              </w:rPr>
              <w:t xml:space="preserve"> v </w:t>
            </w:r>
            <w:r w:rsidRPr="00D85C65">
              <w:rPr>
                <w:rFonts w:ascii="Times New Roman" w:hAnsi="Times New Roman"/>
                <w:bCs/>
                <w:sz w:val="24"/>
              </w:rPr>
              <w:t>prílohe</w:t>
            </w:r>
            <w:r w:rsidR="00D85C65">
              <w:rPr>
                <w:rFonts w:ascii="Times New Roman" w:hAnsi="Times New Roman"/>
                <w:bCs/>
                <w:sz w:val="24"/>
              </w:rPr>
              <w:t xml:space="preserve"> V </w:t>
            </w:r>
            <w:r w:rsidRPr="00D85C65">
              <w:rPr>
                <w:rFonts w:ascii="Times New Roman" w:hAnsi="Times New Roman"/>
                <w:bCs/>
                <w:sz w:val="24"/>
              </w:rPr>
              <w:t xml:space="preserve">časti 1 </w:t>
            </w:r>
            <w:r w:rsidRPr="00D85C65">
              <w:rPr>
                <w:rFonts w:ascii="Times New Roman" w:hAnsi="Times New Roman"/>
                <w:bCs/>
                <w:sz w:val="24"/>
                <w:highlight w:val="yellow"/>
              </w:rPr>
              <w:t>odsekoch 15 až 22</w:t>
            </w:r>
            <w:r w:rsidRPr="00D85C65">
              <w:rPr>
                <w:rFonts w:ascii="Times New Roman" w:hAnsi="Times New Roman"/>
                <w:bCs/>
                <w:sz w:val="24"/>
              </w:rPr>
              <w:t xml:space="preserve"> tohto vykonávacieho nariadenia</w:t>
            </w:r>
            <w:r w:rsidR="00D85C65">
              <w:rPr>
                <w:rFonts w:ascii="Times New Roman" w:hAnsi="Times New Roman"/>
                <w:bCs/>
                <w:sz w:val="24"/>
              </w:rPr>
              <w:t xml:space="preserve"> a </w:t>
            </w:r>
            <w:r w:rsidRPr="00D85C65">
              <w:rPr>
                <w:rFonts w:ascii="Times New Roman" w:hAnsi="Times New Roman"/>
                <w:bCs/>
                <w:sz w:val="24"/>
              </w:rPr>
              <w:t>uvedených</w:t>
            </w:r>
            <w:r w:rsidR="00D85C65">
              <w:rPr>
                <w:rFonts w:ascii="Times New Roman" w:hAnsi="Times New Roman"/>
                <w:bCs/>
                <w:sz w:val="24"/>
              </w:rPr>
              <w:t xml:space="preserve"> v </w:t>
            </w:r>
            <w:r w:rsidRPr="00D85C65">
              <w:rPr>
                <w:rFonts w:ascii="Times New Roman" w:hAnsi="Times New Roman"/>
                <w:bCs/>
                <w:sz w:val="24"/>
              </w:rPr>
              <w:t>stĺpcoch 030 až 120, po odpočítaní krátkych pozícií.</w:t>
            </w:r>
          </w:p>
          <w:p w14:paraId="4541EB73" w14:textId="77777777" w:rsidR="00235D9D" w:rsidRPr="00D85C65" w:rsidRDefault="00235D9D">
            <w:pPr>
              <w:spacing w:before="0" w:after="0"/>
              <w:ind w:left="33"/>
              <w:rPr>
                <w:rFonts w:ascii="Times New Roman" w:hAnsi="Times New Roman"/>
                <w:bCs/>
                <w:sz w:val="24"/>
              </w:rPr>
            </w:pPr>
          </w:p>
          <w:p w14:paraId="0CF26C61" w14:textId="076E89A3"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Ak má inštitúcia pre rovnakú zostatkovú splatnosť krátku pozíciu</w:t>
            </w:r>
            <w:r w:rsidR="00D85C65">
              <w:rPr>
                <w:rFonts w:ascii="Times New Roman" w:hAnsi="Times New Roman"/>
                <w:bCs/>
                <w:sz w:val="24"/>
              </w:rPr>
              <w:t xml:space="preserve"> a </w:t>
            </w:r>
            <w:r w:rsidRPr="00D85C65">
              <w:rPr>
                <w:rFonts w:ascii="Times New Roman" w:hAnsi="Times New Roman"/>
                <w:bCs/>
                <w:sz w:val="24"/>
                <w:highlight w:val="yellow"/>
              </w:rPr>
              <w:t>rovnakú bezprostrednú protistranu, ktorá je denominovaná</w:t>
            </w:r>
            <w:r w:rsidR="00D85C65">
              <w:rPr>
                <w:rFonts w:ascii="Times New Roman" w:hAnsi="Times New Roman"/>
                <w:bCs/>
                <w:sz w:val="24"/>
                <w:highlight w:val="yellow"/>
              </w:rPr>
              <w:t xml:space="preserve"> v </w:t>
            </w:r>
            <w:r w:rsidRPr="00D85C65">
              <w:rPr>
                <w:rFonts w:ascii="Times New Roman" w:hAnsi="Times New Roman"/>
                <w:bCs/>
                <w:sz w:val="24"/>
                <w:highlight w:val="yellow"/>
              </w:rPr>
              <w:t>rovnakej mene</w:t>
            </w:r>
            <w:r w:rsidRPr="00D85C65">
              <w:rPr>
                <w:rFonts w:ascii="Times New Roman" w:hAnsi="Times New Roman"/>
                <w:bCs/>
                <w:sz w:val="24"/>
              </w:rPr>
              <w:t>, účtovná hodnota krátkej pozície sa vzájomne započítava</w:t>
            </w:r>
            <w:r w:rsidR="00D85C65">
              <w:rPr>
                <w:rFonts w:ascii="Times New Roman" w:hAnsi="Times New Roman"/>
                <w:bCs/>
                <w:sz w:val="24"/>
              </w:rPr>
              <w:t xml:space="preserve"> s </w:t>
            </w:r>
            <w:r w:rsidRPr="00D85C65">
              <w:rPr>
                <w:rFonts w:ascii="Times New Roman" w:hAnsi="Times New Roman"/>
                <w:bCs/>
                <w:sz w:val="24"/>
              </w:rPr>
              <w:t>účtovnou hodnotou priamej pozície. Ak má táto čistá suma zápornú hodnotu, považuje sa za nulu.</w:t>
            </w:r>
          </w:p>
          <w:p w14:paraId="4B34714C" w14:textId="77777777" w:rsidR="00235D9D" w:rsidRPr="00D85C65" w:rsidRDefault="00235D9D">
            <w:pPr>
              <w:spacing w:before="0" w:after="0"/>
              <w:ind w:left="33"/>
              <w:rPr>
                <w:rFonts w:ascii="Times New Roman" w:hAnsi="Times New Roman"/>
                <w:bCs/>
                <w:sz w:val="24"/>
              </w:rPr>
            </w:pPr>
          </w:p>
          <w:p w14:paraId="35EB42F5" w14:textId="2FF38349"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Vykazuje sa súčet stĺpcov 030 až 120 mínus stĺpec 130.</w:t>
            </w:r>
            <w:r w:rsidRPr="00D85C65">
              <w:rPr>
                <w:sz w:val="24"/>
              </w:rPr>
              <w:t xml:space="preserve"> </w:t>
            </w:r>
            <w:r w:rsidRPr="00D85C65">
              <w:rPr>
                <w:rFonts w:ascii="Times New Roman" w:hAnsi="Times New Roman"/>
                <w:bCs/>
                <w:sz w:val="24"/>
              </w:rPr>
              <w:t>Ak je táto suma nižšia než nula, vykazuje sa hodnota nula.</w:t>
            </w:r>
          </w:p>
          <w:p w14:paraId="1D747C62" w14:textId="77777777" w:rsidR="00235D9D" w:rsidRPr="00D85C65" w:rsidDel="00FB1EBF" w:rsidRDefault="00235D9D">
            <w:pPr>
              <w:spacing w:before="0" w:after="0"/>
              <w:ind w:left="33"/>
              <w:rPr>
                <w:rFonts w:ascii="Times New Roman" w:hAnsi="Times New Roman"/>
                <w:bCs/>
                <w:sz w:val="24"/>
              </w:rPr>
            </w:pPr>
          </w:p>
        </w:tc>
      </w:tr>
      <w:tr w:rsidR="00235D9D" w:rsidRPr="00D85C65" w14:paraId="2886DAF8" w14:textId="77777777" w:rsidTr="00672D2A">
        <w:tc>
          <w:tcPr>
            <w:tcW w:w="1188" w:type="dxa"/>
          </w:tcPr>
          <w:p w14:paraId="2CE93392"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030 – 120</w:t>
            </w:r>
          </w:p>
        </w:tc>
        <w:tc>
          <w:tcPr>
            <w:tcW w:w="8640" w:type="dxa"/>
          </w:tcPr>
          <w:p w14:paraId="096C3AB0"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NEDERIVÁTOVÉ FINANČNÉ AKTÍVA PODĽA ÚČTOVNÝCH PORTFÓLIÍ</w:t>
            </w:r>
          </w:p>
          <w:p w14:paraId="181432D4" w14:textId="77777777" w:rsidR="00235D9D" w:rsidRPr="00D85C65" w:rsidRDefault="00235D9D">
            <w:pPr>
              <w:spacing w:before="0" w:after="0"/>
              <w:ind w:left="33"/>
              <w:rPr>
                <w:rFonts w:ascii="Times New Roman" w:hAnsi="Times New Roman"/>
                <w:bCs/>
                <w:sz w:val="24"/>
              </w:rPr>
            </w:pPr>
          </w:p>
          <w:p w14:paraId="59EEAE07" w14:textId="209FEE1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Súhrnná účtovná hodnota nederivátových finančných aktív, ako sú vymedzené vo vyššie uvedenom riadku tejto tabuľky, voči orgánom verejnej správy</w:t>
            </w:r>
            <w:r w:rsidR="00D85C65">
              <w:rPr>
                <w:rFonts w:ascii="Times New Roman" w:hAnsi="Times New Roman"/>
                <w:bCs/>
                <w:sz w:val="24"/>
              </w:rPr>
              <w:t xml:space="preserve"> v </w:t>
            </w:r>
            <w:r w:rsidRPr="00D85C65">
              <w:rPr>
                <w:rFonts w:ascii="Times New Roman" w:hAnsi="Times New Roman"/>
                <w:bCs/>
                <w:sz w:val="24"/>
              </w:rPr>
              <w:t>rozčlenení podľa účtovného portfólia na základe uplatniteľného účtovného rámca.</w:t>
            </w:r>
          </w:p>
          <w:p w14:paraId="34973988" w14:textId="77777777" w:rsidR="00235D9D" w:rsidRPr="00D85C65" w:rsidDel="00FB1EBF" w:rsidRDefault="00235D9D">
            <w:pPr>
              <w:spacing w:before="0" w:after="0"/>
              <w:ind w:left="33"/>
              <w:rPr>
                <w:rFonts w:ascii="Times New Roman" w:hAnsi="Times New Roman"/>
                <w:bCs/>
                <w:sz w:val="24"/>
              </w:rPr>
            </w:pPr>
          </w:p>
        </w:tc>
      </w:tr>
      <w:tr w:rsidR="00235D9D" w:rsidRPr="00D85C65" w14:paraId="3DE98288" w14:textId="77777777" w:rsidTr="00672D2A">
        <w:tc>
          <w:tcPr>
            <w:tcW w:w="1188" w:type="dxa"/>
          </w:tcPr>
          <w:p w14:paraId="588B1749"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030</w:t>
            </w:r>
          </w:p>
        </w:tc>
        <w:tc>
          <w:tcPr>
            <w:tcW w:w="8640" w:type="dxa"/>
          </w:tcPr>
          <w:p w14:paraId="6B09386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
                <w:bCs/>
                <w:sz w:val="24"/>
                <w:u w:val="single"/>
              </w:rPr>
              <w:t>Finančné aktíva držané na obchodovanie</w:t>
            </w:r>
          </w:p>
          <w:p w14:paraId="5BC52B3E" w14:textId="77777777" w:rsidR="00235D9D" w:rsidRPr="00D85C65" w:rsidRDefault="00235D9D">
            <w:pPr>
              <w:spacing w:before="0" w:after="0"/>
              <w:ind w:left="33"/>
              <w:rPr>
                <w:rFonts w:ascii="Times New Roman" w:hAnsi="Times New Roman"/>
                <w:bCs/>
                <w:sz w:val="24"/>
              </w:rPr>
            </w:pPr>
          </w:p>
          <w:p w14:paraId="3618DE56" w14:textId="77777777" w:rsidR="00235D9D" w:rsidRPr="00D85C65" w:rsidRDefault="001C79CB">
            <w:pPr>
              <w:spacing w:before="0" w:after="0"/>
              <w:ind w:left="33"/>
              <w:rPr>
                <w:rFonts w:ascii="Times New Roman" w:hAnsi="Times New Roman"/>
                <w:bCs/>
                <w:sz w:val="24"/>
              </w:rPr>
            </w:pPr>
            <w:r w:rsidRPr="00D85C65">
              <w:rPr>
                <w:rFonts w:ascii="Times New Roman" w:hAnsi="Times New Roman"/>
                <w:bCs/>
                <w:sz w:val="24"/>
              </w:rPr>
              <w:t>IFRS 7 ods. 8 písm. a) bod ii); IFRS 9 príloha A</w:t>
            </w:r>
          </w:p>
          <w:p w14:paraId="731669E6" w14:textId="77777777" w:rsidR="00235D9D" w:rsidRPr="00D85C65" w:rsidDel="00FB1EBF" w:rsidRDefault="00235D9D">
            <w:pPr>
              <w:spacing w:before="0" w:after="0"/>
              <w:ind w:left="33"/>
              <w:rPr>
                <w:rFonts w:ascii="Times New Roman" w:hAnsi="Times New Roman"/>
                <w:bCs/>
                <w:sz w:val="24"/>
              </w:rPr>
            </w:pPr>
          </w:p>
        </w:tc>
      </w:tr>
      <w:tr w:rsidR="00235D9D" w:rsidRPr="00D85C65" w14:paraId="2FF466CF" w14:textId="77777777" w:rsidTr="00672D2A">
        <w:tc>
          <w:tcPr>
            <w:tcW w:w="1188" w:type="dxa"/>
          </w:tcPr>
          <w:p w14:paraId="42417D7D"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040</w:t>
            </w:r>
          </w:p>
        </w:tc>
        <w:tc>
          <w:tcPr>
            <w:tcW w:w="8640" w:type="dxa"/>
          </w:tcPr>
          <w:p w14:paraId="6577F555"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Finančné aktíva na obchodovanie</w:t>
            </w:r>
          </w:p>
          <w:p w14:paraId="460B9E50" w14:textId="77777777" w:rsidR="00235D9D" w:rsidRPr="00D85C65" w:rsidRDefault="00235D9D">
            <w:pPr>
              <w:spacing w:before="0" w:after="0"/>
              <w:ind w:left="33"/>
              <w:rPr>
                <w:rFonts w:ascii="Times New Roman" w:hAnsi="Times New Roman"/>
                <w:bCs/>
                <w:sz w:val="24"/>
              </w:rPr>
            </w:pPr>
          </w:p>
          <w:p w14:paraId="46C53423" w14:textId="24DC2BBF" w:rsidR="00235D9D" w:rsidRPr="00D85C65" w:rsidRDefault="00245E37">
            <w:pPr>
              <w:spacing w:before="0" w:after="0"/>
              <w:ind w:left="33"/>
              <w:rPr>
                <w:rFonts w:ascii="Times New Roman" w:hAnsi="Times New Roman"/>
                <w:bCs/>
                <w:sz w:val="24"/>
              </w:rPr>
            </w:pPr>
            <w:r w:rsidRPr="00D85C65">
              <w:rPr>
                <w:rFonts w:ascii="Times New Roman" w:hAnsi="Times New Roman"/>
                <w:bCs/>
                <w:sz w:val="24"/>
              </w:rPr>
              <w:t>Články 32</w:t>
            </w:r>
            <w:r w:rsidR="00D85C65">
              <w:rPr>
                <w:rFonts w:ascii="Times New Roman" w:hAnsi="Times New Roman"/>
                <w:bCs/>
                <w:sz w:val="24"/>
              </w:rPr>
              <w:t xml:space="preserve"> a </w:t>
            </w:r>
            <w:r w:rsidRPr="00D85C65">
              <w:rPr>
                <w:rFonts w:ascii="Times New Roman" w:hAnsi="Times New Roman"/>
                <w:bCs/>
                <w:sz w:val="24"/>
              </w:rPr>
              <w:t>33 BAD; časť 1 ods. 16 prílohy</w:t>
            </w:r>
            <w:r w:rsidR="00D85C65">
              <w:rPr>
                <w:rFonts w:ascii="Times New Roman" w:hAnsi="Times New Roman"/>
                <w:bCs/>
                <w:sz w:val="24"/>
              </w:rPr>
              <w:t xml:space="preserve"> V k </w:t>
            </w:r>
            <w:r w:rsidRPr="00D85C65">
              <w:rPr>
                <w:rFonts w:ascii="Times New Roman" w:hAnsi="Times New Roman"/>
                <w:bCs/>
                <w:sz w:val="24"/>
              </w:rPr>
              <w:t>tomuto vykonávaciemu nariadeniu; článok 8 ods. 1 písm. a) AD.</w:t>
            </w:r>
          </w:p>
          <w:p w14:paraId="166DEAB9" w14:textId="77777777" w:rsidR="00235D9D" w:rsidRPr="00D85C65" w:rsidRDefault="00235D9D">
            <w:pPr>
              <w:spacing w:before="0" w:after="0"/>
              <w:ind w:left="33"/>
              <w:rPr>
                <w:rFonts w:ascii="Times New Roman" w:hAnsi="Times New Roman"/>
                <w:bCs/>
                <w:sz w:val="24"/>
              </w:rPr>
            </w:pPr>
          </w:p>
          <w:p w14:paraId="54203C63" w14:textId="7E7E0A89"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len inštitúcie, ktoré sa riadia národnými všeobecne uznávanými účtovnými zásadami (GAAP).</w:t>
            </w:r>
          </w:p>
          <w:p w14:paraId="73B98A1D" w14:textId="77777777" w:rsidR="00235D9D" w:rsidRPr="00D85C65" w:rsidDel="00FB1EBF" w:rsidRDefault="00235D9D">
            <w:pPr>
              <w:spacing w:before="0" w:after="0"/>
              <w:ind w:left="33"/>
              <w:rPr>
                <w:rFonts w:ascii="Times New Roman" w:hAnsi="Times New Roman"/>
                <w:bCs/>
                <w:sz w:val="24"/>
              </w:rPr>
            </w:pPr>
          </w:p>
        </w:tc>
      </w:tr>
      <w:tr w:rsidR="00235D9D" w:rsidRPr="00D85C65" w14:paraId="43742E86" w14:textId="77777777" w:rsidTr="00672D2A">
        <w:tc>
          <w:tcPr>
            <w:tcW w:w="1188" w:type="dxa"/>
          </w:tcPr>
          <w:p w14:paraId="4E18D8CF"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050</w:t>
            </w:r>
          </w:p>
        </w:tc>
        <w:tc>
          <w:tcPr>
            <w:tcW w:w="8640" w:type="dxa"/>
          </w:tcPr>
          <w:p w14:paraId="2A424D39"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Neobchodné finančné aktíva povinne oceňované reálnou hodnotou cez výsledok hospodárenia</w:t>
            </w:r>
          </w:p>
          <w:p w14:paraId="4C995D3F" w14:textId="77777777" w:rsidR="00235D9D" w:rsidRPr="00D85C65" w:rsidRDefault="00235D9D">
            <w:pPr>
              <w:spacing w:before="0" w:after="0"/>
              <w:ind w:left="33"/>
              <w:rPr>
                <w:rFonts w:ascii="Times New Roman" w:hAnsi="Times New Roman"/>
                <w:bCs/>
                <w:sz w:val="24"/>
              </w:rPr>
            </w:pPr>
          </w:p>
          <w:p w14:paraId="329B160D"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IFRS 7 ods. 8 písm. a) bod ii); IFRS 9 ods. 4.1.4</w:t>
            </w:r>
          </w:p>
          <w:p w14:paraId="02A9B43D" w14:textId="77777777" w:rsidR="00235D9D" w:rsidRPr="00D85C65" w:rsidRDefault="00235D9D">
            <w:pPr>
              <w:spacing w:before="0" w:after="0"/>
              <w:ind w:left="33"/>
              <w:rPr>
                <w:rFonts w:ascii="Times New Roman" w:hAnsi="Times New Roman"/>
                <w:bCs/>
                <w:sz w:val="24"/>
              </w:rPr>
            </w:pPr>
          </w:p>
        </w:tc>
      </w:tr>
      <w:tr w:rsidR="00235D9D" w:rsidRPr="00D85C65" w14:paraId="6203366A" w14:textId="77777777" w:rsidTr="00672D2A">
        <w:tc>
          <w:tcPr>
            <w:tcW w:w="1188" w:type="dxa"/>
          </w:tcPr>
          <w:p w14:paraId="5B29A485"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060</w:t>
            </w:r>
          </w:p>
        </w:tc>
        <w:tc>
          <w:tcPr>
            <w:tcW w:w="8640" w:type="dxa"/>
          </w:tcPr>
          <w:p w14:paraId="67996AFD"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Finančné aktíva oceňované reálnou hodnotou cez výsledok hospodárenia</w:t>
            </w:r>
          </w:p>
          <w:p w14:paraId="03AA629A" w14:textId="77777777" w:rsidR="00235D9D" w:rsidRPr="00D85C65" w:rsidRDefault="00235D9D">
            <w:pPr>
              <w:spacing w:before="0" w:after="0"/>
              <w:ind w:left="33"/>
              <w:rPr>
                <w:rFonts w:ascii="Times New Roman" w:hAnsi="Times New Roman"/>
                <w:bCs/>
                <w:sz w:val="24"/>
              </w:rPr>
            </w:pPr>
          </w:p>
          <w:p w14:paraId="3A9556A2" w14:textId="310FCDE2"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IFRS 7 ods. 8 písm. a) bod i); IFRS 9 ods. 4.1.5, článok 8 ods. 1 písm. a)</w:t>
            </w:r>
            <w:r w:rsidR="00D85C65">
              <w:rPr>
                <w:rFonts w:ascii="Times New Roman" w:hAnsi="Times New Roman"/>
                <w:bCs/>
                <w:sz w:val="24"/>
              </w:rPr>
              <w:t xml:space="preserve"> a </w:t>
            </w:r>
            <w:r w:rsidRPr="00D85C65">
              <w:rPr>
                <w:rFonts w:ascii="Times New Roman" w:hAnsi="Times New Roman"/>
                <w:bCs/>
                <w:sz w:val="24"/>
              </w:rPr>
              <w:t>článok 8 ods. 6 AD.</w:t>
            </w:r>
          </w:p>
          <w:p w14:paraId="0E295088" w14:textId="77777777" w:rsidR="00235D9D" w:rsidRPr="00D85C65" w:rsidRDefault="00235D9D">
            <w:pPr>
              <w:spacing w:before="0" w:after="0"/>
              <w:ind w:left="33"/>
              <w:rPr>
                <w:rFonts w:ascii="Times New Roman" w:hAnsi="Times New Roman"/>
                <w:bCs/>
                <w:sz w:val="24"/>
              </w:rPr>
            </w:pPr>
          </w:p>
        </w:tc>
      </w:tr>
      <w:tr w:rsidR="00235D9D" w:rsidRPr="00D85C65" w14:paraId="3FAC6E46" w14:textId="77777777" w:rsidTr="00672D2A">
        <w:tc>
          <w:tcPr>
            <w:tcW w:w="1188" w:type="dxa"/>
          </w:tcPr>
          <w:p w14:paraId="304B658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070</w:t>
            </w:r>
          </w:p>
        </w:tc>
        <w:tc>
          <w:tcPr>
            <w:tcW w:w="8640" w:type="dxa"/>
          </w:tcPr>
          <w:p w14:paraId="578226BC"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Neobchodné nederivátové finančné aktíva oceňované reálnou hodnotou cez výsledok hospodárenia</w:t>
            </w:r>
          </w:p>
          <w:p w14:paraId="3714D376" w14:textId="77777777" w:rsidR="00235D9D" w:rsidRPr="00D85C65" w:rsidRDefault="00235D9D">
            <w:pPr>
              <w:spacing w:before="0" w:after="0"/>
              <w:ind w:left="33"/>
              <w:rPr>
                <w:rFonts w:ascii="Times New Roman" w:hAnsi="Times New Roman"/>
                <w:bCs/>
                <w:sz w:val="24"/>
              </w:rPr>
            </w:pPr>
          </w:p>
          <w:p w14:paraId="3501358D" w14:textId="54D3347B" w:rsidR="00235D9D" w:rsidRPr="00D85C65" w:rsidRDefault="002F78EA">
            <w:pPr>
              <w:spacing w:before="0" w:after="0"/>
              <w:ind w:left="33"/>
              <w:rPr>
                <w:rFonts w:ascii="Times New Roman" w:hAnsi="Times New Roman"/>
                <w:bCs/>
                <w:sz w:val="24"/>
              </w:rPr>
            </w:pPr>
            <w:r w:rsidRPr="00D85C65">
              <w:rPr>
                <w:rFonts w:ascii="Times New Roman" w:hAnsi="Times New Roman"/>
                <w:bCs/>
                <w:sz w:val="24"/>
              </w:rPr>
              <w:t>Článok 36 ods. 2 BAD; článok 8 ods. 1 písm. a) AD.</w:t>
            </w:r>
          </w:p>
          <w:p w14:paraId="0A703A58" w14:textId="77777777" w:rsidR="00235D9D" w:rsidRPr="00D85C65" w:rsidRDefault="00235D9D">
            <w:pPr>
              <w:spacing w:before="0" w:after="0"/>
              <w:ind w:left="33"/>
              <w:rPr>
                <w:rFonts w:ascii="Times New Roman" w:hAnsi="Times New Roman"/>
                <w:bCs/>
                <w:sz w:val="24"/>
              </w:rPr>
            </w:pPr>
          </w:p>
          <w:p w14:paraId="1BE801F4" w14:textId="459133C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len inštitúcie, ktoré sa riadia národnými všeobecne uznávanými účtovnými zásadami (GAAP).</w:t>
            </w:r>
          </w:p>
          <w:p w14:paraId="2E9FB340" w14:textId="77777777" w:rsidR="00235D9D" w:rsidRPr="00D85C65" w:rsidRDefault="00235D9D">
            <w:pPr>
              <w:spacing w:before="0" w:after="0"/>
              <w:ind w:left="33"/>
              <w:rPr>
                <w:rFonts w:ascii="Times New Roman" w:hAnsi="Times New Roman"/>
                <w:bCs/>
                <w:sz w:val="24"/>
              </w:rPr>
            </w:pPr>
          </w:p>
        </w:tc>
      </w:tr>
      <w:tr w:rsidR="00235D9D" w:rsidRPr="00D85C65" w14:paraId="41921E42" w14:textId="77777777" w:rsidTr="00672D2A">
        <w:tc>
          <w:tcPr>
            <w:tcW w:w="1188" w:type="dxa"/>
          </w:tcPr>
          <w:p w14:paraId="550F4CF8"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080</w:t>
            </w:r>
          </w:p>
        </w:tc>
        <w:tc>
          <w:tcPr>
            <w:tcW w:w="8640" w:type="dxa"/>
          </w:tcPr>
          <w:p w14:paraId="4708A241"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Finančné aktíva oceňované reálnou hodnotou cez iný komplexný účtovný výsledok</w:t>
            </w:r>
          </w:p>
          <w:p w14:paraId="3145817D" w14:textId="77777777" w:rsidR="00235D9D" w:rsidRPr="00D85C65" w:rsidRDefault="00235D9D">
            <w:pPr>
              <w:spacing w:before="0" w:after="0"/>
              <w:ind w:left="33"/>
              <w:rPr>
                <w:rFonts w:ascii="Times New Roman" w:hAnsi="Times New Roman"/>
                <w:bCs/>
                <w:sz w:val="24"/>
              </w:rPr>
            </w:pPr>
          </w:p>
          <w:p w14:paraId="5285652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IFRS 7 ods. 8 písm. d); IFRS 9 ods. 4.1.2A</w:t>
            </w:r>
          </w:p>
          <w:p w14:paraId="6285C98D" w14:textId="77777777" w:rsidR="00235D9D" w:rsidRPr="00D85C65" w:rsidRDefault="00235D9D">
            <w:pPr>
              <w:spacing w:before="0" w:after="0"/>
              <w:ind w:left="33"/>
              <w:rPr>
                <w:rFonts w:ascii="Times New Roman" w:hAnsi="Times New Roman"/>
                <w:b/>
                <w:bCs/>
                <w:sz w:val="24"/>
              </w:rPr>
            </w:pPr>
          </w:p>
        </w:tc>
      </w:tr>
      <w:tr w:rsidR="00235D9D" w:rsidRPr="00D85C65" w14:paraId="7224C013" w14:textId="77777777" w:rsidTr="00672D2A">
        <w:tc>
          <w:tcPr>
            <w:tcW w:w="1188" w:type="dxa"/>
          </w:tcPr>
          <w:p w14:paraId="1D9FA35E"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090</w:t>
            </w:r>
          </w:p>
        </w:tc>
        <w:tc>
          <w:tcPr>
            <w:tcW w:w="8640" w:type="dxa"/>
          </w:tcPr>
          <w:p w14:paraId="104B1B60"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Neobchodné nederivátové finančné aktíva oceňované reálnou hodnotou vo vlastnom imaní</w:t>
            </w:r>
          </w:p>
          <w:p w14:paraId="2C65FDA1" w14:textId="77777777" w:rsidR="00235D9D" w:rsidRPr="00D85C65" w:rsidRDefault="00235D9D">
            <w:pPr>
              <w:spacing w:before="0" w:after="0"/>
              <w:ind w:left="33"/>
              <w:rPr>
                <w:rFonts w:ascii="Times New Roman" w:hAnsi="Times New Roman"/>
                <w:bCs/>
                <w:sz w:val="24"/>
              </w:rPr>
            </w:pPr>
          </w:p>
          <w:p w14:paraId="5FBFD577" w14:textId="0C6DA6BA" w:rsidR="00235D9D" w:rsidRPr="00D85C65" w:rsidRDefault="00B14253">
            <w:pPr>
              <w:spacing w:before="0" w:after="0"/>
              <w:ind w:left="33"/>
              <w:rPr>
                <w:rFonts w:ascii="Times New Roman" w:hAnsi="Times New Roman"/>
                <w:bCs/>
                <w:sz w:val="24"/>
              </w:rPr>
            </w:pPr>
            <w:r w:rsidRPr="00D85C65">
              <w:rPr>
                <w:rFonts w:ascii="Times New Roman" w:hAnsi="Times New Roman"/>
                <w:bCs/>
                <w:sz w:val="24"/>
              </w:rPr>
              <w:t>Článok 8 ods. 1 písm. a)</w:t>
            </w:r>
            <w:r w:rsidR="00D85C65">
              <w:rPr>
                <w:rFonts w:ascii="Times New Roman" w:hAnsi="Times New Roman"/>
                <w:bCs/>
                <w:sz w:val="24"/>
              </w:rPr>
              <w:t xml:space="preserve"> a </w:t>
            </w:r>
            <w:r w:rsidRPr="00D85C65">
              <w:rPr>
                <w:rFonts w:ascii="Times New Roman" w:hAnsi="Times New Roman"/>
                <w:bCs/>
                <w:sz w:val="24"/>
              </w:rPr>
              <w:t>článok 8 ods. 8 AD.</w:t>
            </w:r>
          </w:p>
          <w:p w14:paraId="5D6D171C" w14:textId="77777777" w:rsidR="00235D9D" w:rsidRPr="00D85C65" w:rsidRDefault="00235D9D">
            <w:pPr>
              <w:spacing w:before="0" w:after="0"/>
              <w:ind w:left="33"/>
              <w:rPr>
                <w:rFonts w:ascii="Times New Roman" w:hAnsi="Times New Roman"/>
                <w:bCs/>
                <w:sz w:val="24"/>
              </w:rPr>
            </w:pPr>
          </w:p>
          <w:p w14:paraId="0A9C56BC" w14:textId="12C862AE"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len inštitúcie, ktoré sa riadia národnými všeobecne uznávanými účtovnými zásadami (GAAP).</w:t>
            </w:r>
          </w:p>
          <w:p w14:paraId="2AB80F03" w14:textId="77777777" w:rsidR="00235D9D" w:rsidRPr="00D85C65" w:rsidRDefault="00235D9D">
            <w:pPr>
              <w:spacing w:before="0" w:after="0"/>
              <w:ind w:left="33"/>
              <w:rPr>
                <w:rFonts w:ascii="Times New Roman" w:hAnsi="Times New Roman"/>
                <w:bCs/>
                <w:sz w:val="24"/>
              </w:rPr>
            </w:pPr>
          </w:p>
        </w:tc>
      </w:tr>
      <w:tr w:rsidR="00235D9D" w:rsidRPr="00D85C65" w14:paraId="022AA6CD" w14:textId="77777777" w:rsidTr="00672D2A">
        <w:tc>
          <w:tcPr>
            <w:tcW w:w="1188" w:type="dxa"/>
          </w:tcPr>
          <w:p w14:paraId="06E99EE1"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100</w:t>
            </w:r>
          </w:p>
        </w:tc>
        <w:tc>
          <w:tcPr>
            <w:tcW w:w="8640" w:type="dxa"/>
          </w:tcPr>
          <w:p w14:paraId="4B80C886" w14:textId="489F79DF"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Finančné aktíva oceňované</w:t>
            </w:r>
            <w:r w:rsidR="00D85C65">
              <w:rPr>
                <w:rFonts w:ascii="Times New Roman" w:hAnsi="Times New Roman"/>
                <w:b/>
                <w:bCs/>
                <w:sz w:val="24"/>
                <w:u w:val="single"/>
              </w:rPr>
              <w:t xml:space="preserve"> v </w:t>
            </w:r>
            <w:r w:rsidRPr="00D85C65">
              <w:rPr>
                <w:rFonts w:ascii="Times New Roman" w:hAnsi="Times New Roman"/>
                <w:b/>
                <w:bCs/>
                <w:sz w:val="24"/>
                <w:u w:val="single"/>
              </w:rPr>
              <w:t>amortizovanej hodnote</w:t>
            </w:r>
          </w:p>
          <w:p w14:paraId="26998BA8" w14:textId="77777777" w:rsidR="00235D9D" w:rsidRPr="00D85C65" w:rsidRDefault="00235D9D">
            <w:pPr>
              <w:spacing w:before="0" w:after="0"/>
              <w:ind w:left="33"/>
              <w:rPr>
                <w:rFonts w:ascii="Times New Roman" w:hAnsi="Times New Roman"/>
                <w:bCs/>
                <w:sz w:val="24"/>
              </w:rPr>
            </w:pPr>
          </w:p>
          <w:p w14:paraId="6B8F70BD" w14:textId="446B7EF9" w:rsidR="00235D9D" w:rsidRPr="00D85C65" w:rsidDel="00501397" w:rsidRDefault="00FD54FC">
            <w:pPr>
              <w:spacing w:before="0" w:after="0"/>
              <w:ind w:left="33"/>
              <w:rPr>
                <w:rFonts w:ascii="Times New Roman" w:hAnsi="Times New Roman"/>
                <w:b/>
                <w:bCs/>
                <w:sz w:val="24"/>
                <w:u w:val="single"/>
              </w:rPr>
            </w:pPr>
            <w:r w:rsidRPr="00D85C65">
              <w:rPr>
                <w:rFonts w:ascii="Times New Roman" w:hAnsi="Times New Roman"/>
                <w:bCs/>
                <w:sz w:val="24"/>
              </w:rPr>
              <w:t xml:space="preserve">IFRS 7 ods. 8 písm. f); IFRS 9 ods. 4.1.2; </w:t>
            </w:r>
            <w:r w:rsidRPr="00D85C65">
              <w:rPr>
                <w:rFonts w:ascii="Times New Roman" w:hAnsi="Times New Roman"/>
                <w:bCs/>
                <w:sz w:val="24"/>
                <w:highlight w:val="yellow"/>
              </w:rPr>
              <w:t>časť 1 ods. 15</w:t>
            </w:r>
            <w:r w:rsidRPr="00D85C65">
              <w:rPr>
                <w:rFonts w:ascii="Times New Roman" w:hAnsi="Times New Roman"/>
                <w:bCs/>
                <w:sz w:val="24"/>
              </w:rPr>
              <w:t xml:space="preserve">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78E4F226" w14:textId="77777777" w:rsidR="00235D9D" w:rsidRPr="00D85C65" w:rsidRDefault="00235D9D">
            <w:pPr>
              <w:spacing w:before="0" w:after="0"/>
              <w:ind w:left="33"/>
              <w:rPr>
                <w:rFonts w:ascii="Times New Roman" w:hAnsi="Times New Roman"/>
                <w:bCs/>
                <w:sz w:val="24"/>
              </w:rPr>
            </w:pPr>
          </w:p>
        </w:tc>
      </w:tr>
      <w:tr w:rsidR="00235D9D" w:rsidRPr="00D85C65" w14:paraId="159EABBC" w14:textId="77777777" w:rsidTr="00672D2A">
        <w:tc>
          <w:tcPr>
            <w:tcW w:w="1188" w:type="dxa"/>
          </w:tcPr>
          <w:p w14:paraId="394DB7DA"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110</w:t>
            </w:r>
          </w:p>
        </w:tc>
        <w:tc>
          <w:tcPr>
            <w:tcW w:w="8640" w:type="dxa"/>
          </w:tcPr>
          <w:p w14:paraId="7592F492"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Neobchodné nederivátové finančné aktíva oceňované nákladovou metódou</w:t>
            </w:r>
          </w:p>
          <w:p w14:paraId="21BD75BC" w14:textId="77777777" w:rsidR="00235D9D" w:rsidRPr="00D85C65" w:rsidRDefault="00235D9D">
            <w:pPr>
              <w:spacing w:before="0" w:after="0"/>
              <w:ind w:left="33"/>
              <w:rPr>
                <w:rFonts w:ascii="Times New Roman" w:hAnsi="Times New Roman"/>
                <w:bCs/>
                <w:sz w:val="24"/>
              </w:rPr>
            </w:pPr>
          </w:p>
          <w:p w14:paraId="7C5A67F6" w14:textId="0F854C8D" w:rsidR="00235D9D" w:rsidRPr="00D85C65" w:rsidRDefault="002F78EA">
            <w:pPr>
              <w:spacing w:before="0" w:after="0"/>
              <w:ind w:left="33"/>
              <w:rPr>
                <w:rFonts w:ascii="Times New Roman" w:hAnsi="Times New Roman"/>
                <w:bCs/>
                <w:sz w:val="24"/>
              </w:rPr>
            </w:pPr>
            <w:r w:rsidRPr="00D85C65">
              <w:rPr>
                <w:rFonts w:ascii="Times New Roman" w:hAnsi="Times New Roman"/>
                <w:bCs/>
                <w:sz w:val="24"/>
              </w:rPr>
              <w:t>Článok 35 BAD; článok 6 ods. 1 písm. i)</w:t>
            </w:r>
            <w:r w:rsidR="00D85C65">
              <w:rPr>
                <w:rFonts w:ascii="Times New Roman" w:hAnsi="Times New Roman"/>
                <w:bCs/>
                <w:sz w:val="24"/>
              </w:rPr>
              <w:t xml:space="preserve"> a </w:t>
            </w:r>
            <w:r w:rsidRPr="00D85C65">
              <w:rPr>
                <w:rFonts w:ascii="Times New Roman" w:hAnsi="Times New Roman"/>
                <w:bCs/>
                <w:sz w:val="24"/>
              </w:rPr>
              <w:t xml:space="preserve">článok 8 ods. 2 AD; časť 1 </w:t>
            </w:r>
            <w:r w:rsidRPr="00D85C65">
              <w:rPr>
                <w:rFonts w:ascii="Times New Roman" w:hAnsi="Times New Roman"/>
                <w:bCs/>
                <w:sz w:val="24"/>
                <w:highlight w:val="yellow"/>
              </w:rPr>
              <w:t>ods. 16</w:t>
            </w:r>
            <w:r w:rsidRPr="00D85C65">
              <w:rPr>
                <w:rFonts w:ascii="Times New Roman" w:hAnsi="Times New Roman"/>
                <w:bCs/>
                <w:sz w:val="24"/>
              </w:rPr>
              <w:t xml:space="preserve">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33535130" w14:textId="77777777" w:rsidR="00235D9D" w:rsidRPr="00D85C65" w:rsidRDefault="00235D9D">
            <w:pPr>
              <w:spacing w:before="0" w:after="0"/>
              <w:ind w:left="33"/>
              <w:rPr>
                <w:rFonts w:ascii="Times New Roman" w:hAnsi="Times New Roman"/>
                <w:bCs/>
                <w:sz w:val="24"/>
              </w:rPr>
            </w:pPr>
          </w:p>
          <w:p w14:paraId="2761A2AD" w14:textId="24A5F47C"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len inštitúcie, ktoré sa riadia národnými všeobecne uznávanými účtovnými zásadami (GAAP).</w:t>
            </w:r>
          </w:p>
          <w:p w14:paraId="67AA918D" w14:textId="77777777" w:rsidR="00235D9D" w:rsidRPr="00D85C65" w:rsidRDefault="00235D9D">
            <w:pPr>
              <w:spacing w:before="0" w:after="0"/>
              <w:ind w:left="33"/>
              <w:rPr>
                <w:rFonts w:ascii="Times New Roman" w:hAnsi="Times New Roman"/>
                <w:bCs/>
                <w:sz w:val="24"/>
              </w:rPr>
            </w:pPr>
          </w:p>
        </w:tc>
      </w:tr>
      <w:tr w:rsidR="00235D9D" w:rsidRPr="00D85C65" w14:paraId="7B5CE477" w14:textId="77777777" w:rsidTr="00672D2A">
        <w:tc>
          <w:tcPr>
            <w:tcW w:w="1188" w:type="dxa"/>
          </w:tcPr>
          <w:p w14:paraId="032F1927"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120</w:t>
            </w:r>
          </w:p>
        </w:tc>
        <w:tc>
          <w:tcPr>
            <w:tcW w:w="8640" w:type="dxa"/>
          </w:tcPr>
          <w:p w14:paraId="40E49614"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Ostatné neobchodné nederivátové finančné aktíva</w:t>
            </w:r>
          </w:p>
          <w:p w14:paraId="1C5E5DDA" w14:textId="77777777" w:rsidR="00235D9D" w:rsidRPr="00D85C65" w:rsidRDefault="00235D9D">
            <w:pPr>
              <w:spacing w:before="0" w:after="0"/>
              <w:ind w:left="33"/>
              <w:rPr>
                <w:rFonts w:ascii="Times New Roman" w:hAnsi="Times New Roman"/>
                <w:bCs/>
                <w:sz w:val="24"/>
              </w:rPr>
            </w:pPr>
          </w:p>
          <w:p w14:paraId="6B4343D7" w14:textId="2D3C6AC4" w:rsidR="00235D9D" w:rsidRPr="00D85C65" w:rsidRDefault="002B004B">
            <w:pPr>
              <w:spacing w:before="0" w:after="0"/>
              <w:ind w:left="33"/>
              <w:rPr>
                <w:rFonts w:ascii="Times New Roman" w:hAnsi="Times New Roman"/>
                <w:bCs/>
                <w:sz w:val="24"/>
              </w:rPr>
            </w:pPr>
            <w:r w:rsidRPr="00D85C65">
              <w:rPr>
                <w:rFonts w:ascii="Times New Roman" w:hAnsi="Times New Roman"/>
                <w:bCs/>
                <w:sz w:val="24"/>
              </w:rPr>
              <w:t xml:space="preserve">Článok 37 BAD; Článok 12 ods. 7 AD; </w:t>
            </w:r>
            <w:r w:rsidRPr="00D85C65">
              <w:rPr>
                <w:rFonts w:ascii="Times New Roman" w:hAnsi="Times New Roman"/>
                <w:bCs/>
                <w:sz w:val="24"/>
                <w:highlight w:val="yellow"/>
              </w:rPr>
              <w:t>časť 1 ods. 16</w:t>
            </w:r>
            <w:r w:rsidRPr="00D85C65">
              <w:rPr>
                <w:rFonts w:ascii="Times New Roman" w:hAnsi="Times New Roman"/>
                <w:bCs/>
                <w:sz w:val="24"/>
              </w:rPr>
              <w:t xml:space="preserve">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0E8E9288" w14:textId="77777777" w:rsidR="00235D9D" w:rsidRPr="00D85C65" w:rsidRDefault="00235D9D">
            <w:pPr>
              <w:spacing w:before="0" w:after="0"/>
              <w:ind w:left="33"/>
              <w:rPr>
                <w:rFonts w:ascii="Times New Roman" w:hAnsi="Times New Roman"/>
                <w:bCs/>
                <w:sz w:val="24"/>
              </w:rPr>
            </w:pPr>
          </w:p>
          <w:p w14:paraId="005AEDF2" w14:textId="77035DFD"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len inštitúcie, ktoré sa riadia národnými všeobecne uznávanými účtovnými zásadami (GAAP).</w:t>
            </w:r>
          </w:p>
          <w:p w14:paraId="3B670CA5" w14:textId="77777777" w:rsidR="00235D9D" w:rsidRPr="00D85C65" w:rsidRDefault="00235D9D">
            <w:pPr>
              <w:spacing w:before="0" w:after="0"/>
              <w:ind w:left="33"/>
              <w:rPr>
                <w:rFonts w:ascii="Times New Roman" w:hAnsi="Times New Roman"/>
                <w:bCs/>
                <w:sz w:val="24"/>
              </w:rPr>
            </w:pPr>
          </w:p>
        </w:tc>
      </w:tr>
      <w:tr w:rsidR="00235D9D" w:rsidRPr="00D85C65" w14:paraId="1776AA02" w14:textId="77777777" w:rsidTr="00672D2A">
        <w:tc>
          <w:tcPr>
            <w:tcW w:w="1188" w:type="dxa"/>
          </w:tcPr>
          <w:p w14:paraId="35B59F3E"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130</w:t>
            </w:r>
          </w:p>
        </w:tc>
        <w:tc>
          <w:tcPr>
            <w:tcW w:w="8640" w:type="dxa"/>
          </w:tcPr>
          <w:p w14:paraId="13AAEAA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Krátke pozície</w:t>
            </w:r>
          </w:p>
          <w:p w14:paraId="1EF926C5" w14:textId="77777777" w:rsidR="00235D9D" w:rsidRPr="00D85C65" w:rsidRDefault="00235D9D">
            <w:pPr>
              <w:spacing w:before="0" w:after="0"/>
              <w:ind w:left="33"/>
              <w:rPr>
                <w:rFonts w:ascii="Times New Roman" w:hAnsi="Times New Roman"/>
                <w:bCs/>
                <w:sz w:val="24"/>
              </w:rPr>
            </w:pPr>
          </w:p>
          <w:p w14:paraId="57511115" w14:textId="3A4DBF7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Účtovná hodnota krátkych pozícií, ako sa vymedzujú</w:t>
            </w:r>
            <w:r w:rsidR="00D85C65">
              <w:rPr>
                <w:rFonts w:ascii="Times New Roman" w:hAnsi="Times New Roman"/>
                <w:bCs/>
                <w:sz w:val="24"/>
              </w:rPr>
              <w:t xml:space="preserve"> v </w:t>
            </w:r>
            <w:r w:rsidRPr="00D85C65">
              <w:rPr>
                <w:rFonts w:ascii="Times New Roman" w:hAnsi="Times New Roman"/>
                <w:bCs/>
                <w:sz w:val="24"/>
              </w:rPr>
              <w:t>IFRS 9 ods. BA.7 písm. b), ak je priamou protistranou orgán verejnej správy, ako sa vymedzuje</w:t>
            </w:r>
            <w:r w:rsidR="00D85C65">
              <w:rPr>
                <w:rFonts w:ascii="Times New Roman" w:hAnsi="Times New Roman"/>
                <w:bCs/>
                <w:sz w:val="24"/>
              </w:rPr>
              <w:t xml:space="preserve"> v </w:t>
            </w:r>
            <w:r w:rsidRPr="00D85C65">
              <w:rPr>
                <w:rFonts w:ascii="Times New Roman" w:hAnsi="Times New Roman"/>
                <w:bCs/>
                <w:sz w:val="24"/>
              </w:rPr>
              <w:t>odsekoch 155 až 160 tejto prílohy.</w:t>
            </w:r>
          </w:p>
          <w:p w14:paraId="5C093156" w14:textId="77777777" w:rsidR="00235D9D" w:rsidRPr="00D85C65" w:rsidRDefault="00235D9D">
            <w:pPr>
              <w:spacing w:before="0" w:after="0"/>
              <w:ind w:left="33"/>
              <w:rPr>
                <w:rFonts w:ascii="Times New Roman" w:hAnsi="Times New Roman"/>
                <w:bCs/>
                <w:sz w:val="24"/>
              </w:rPr>
            </w:pPr>
          </w:p>
          <w:p w14:paraId="67B6A0DB" w14:textId="4E29FA4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Krátke pozície vznikajú, keď inštitúcia predáva cenné papiere nadobudnuté</w:t>
            </w:r>
            <w:r w:rsidR="00D85C65">
              <w:rPr>
                <w:rFonts w:ascii="Times New Roman" w:hAnsi="Times New Roman"/>
                <w:bCs/>
                <w:sz w:val="24"/>
              </w:rPr>
              <w:t xml:space="preserve"> v </w:t>
            </w:r>
            <w:r w:rsidRPr="00D85C65">
              <w:rPr>
                <w:rFonts w:ascii="Times New Roman" w:hAnsi="Times New Roman"/>
                <w:bCs/>
                <w:sz w:val="24"/>
              </w:rPr>
              <w:t>rámci obrátených repo úverov alebo vypožičané</w:t>
            </w:r>
            <w:r w:rsidR="00D85C65">
              <w:rPr>
                <w:rFonts w:ascii="Times New Roman" w:hAnsi="Times New Roman"/>
                <w:bCs/>
                <w:sz w:val="24"/>
              </w:rPr>
              <w:t xml:space="preserve"> v </w:t>
            </w:r>
            <w:r w:rsidRPr="00D85C65">
              <w:rPr>
                <w:rFonts w:ascii="Times New Roman" w:hAnsi="Times New Roman"/>
                <w:bCs/>
                <w:sz w:val="24"/>
              </w:rPr>
              <w:t>rámci transakcie požičiavania cenných papierov.</w:t>
            </w:r>
          </w:p>
          <w:p w14:paraId="6445F1FC" w14:textId="77777777" w:rsidR="00235D9D" w:rsidRPr="00D85C65" w:rsidRDefault="00235D9D">
            <w:pPr>
              <w:spacing w:before="0" w:after="0"/>
              <w:ind w:left="33"/>
              <w:rPr>
                <w:rFonts w:ascii="Times New Roman" w:hAnsi="Times New Roman"/>
                <w:bCs/>
                <w:sz w:val="24"/>
              </w:rPr>
            </w:pPr>
          </w:p>
          <w:p w14:paraId="6A61371F"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Účtovnou hodnotou je reálna hodnota krátkych pozícií.</w:t>
            </w:r>
          </w:p>
          <w:p w14:paraId="2E8C93A7" w14:textId="77777777" w:rsidR="00235D9D" w:rsidRPr="00D85C65" w:rsidRDefault="00235D9D">
            <w:pPr>
              <w:spacing w:before="0" w:after="0"/>
              <w:ind w:left="33"/>
              <w:rPr>
                <w:rFonts w:ascii="Times New Roman" w:hAnsi="Times New Roman"/>
                <w:bCs/>
                <w:sz w:val="24"/>
              </w:rPr>
            </w:pPr>
          </w:p>
          <w:p w14:paraId="62093D04" w14:textId="046362A4"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Krátke pozície sa vykazujú podľa zostatkovej skupiny splatností, ako sa uvádza</w:t>
            </w:r>
            <w:r w:rsidR="00D85C65">
              <w:rPr>
                <w:rFonts w:ascii="Times New Roman" w:hAnsi="Times New Roman"/>
                <w:bCs/>
                <w:sz w:val="24"/>
              </w:rPr>
              <w:t xml:space="preserve"> v </w:t>
            </w:r>
            <w:r w:rsidRPr="00D85C65">
              <w:rPr>
                <w:rFonts w:ascii="Times New Roman" w:hAnsi="Times New Roman"/>
                <w:bCs/>
                <w:sz w:val="24"/>
              </w:rPr>
              <w:t>riadkoch 170 až 230,</w:t>
            </w:r>
            <w:r w:rsidR="00D85C65">
              <w:rPr>
                <w:rFonts w:ascii="Times New Roman" w:hAnsi="Times New Roman"/>
                <w:bCs/>
                <w:sz w:val="24"/>
              </w:rPr>
              <w:t xml:space="preserve"> a </w:t>
            </w:r>
            <w:r w:rsidRPr="00D85C65">
              <w:rPr>
                <w:rFonts w:ascii="Times New Roman" w:hAnsi="Times New Roman"/>
                <w:bCs/>
                <w:sz w:val="24"/>
              </w:rPr>
              <w:t>podľa bezprostrednej protistrany. Krátke pozície sa použijú na vzájomné započítavanie</w:t>
            </w:r>
            <w:r w:rsidR="00D85C65">
              <w:rPr>
                <w:rFonts w:ascii="Times New Roman" w:hAnsi="Times New Roman"/>
                <w:bCs/>
                <w:sz w:val="24"/>
              </w:rPr>
              <w:t xml:space="preserve"> s </w:t>
            </w:r>
            <w:r w:rsidRPr="00D85C65">
              <w:rPr>
                <w:rFonts w:ascii="Times New Roman" w:hAnsi="Times New Roman"/>
                <w:bCs/>
                <w:sz w:val="24"/>
              </w:rPr>
              <w:t>pozíciami</w:t>
            </w:r>
            <w:r w:rsidR="00D85C65">
              <w:rPr>
                <w:rFonts w:ascii="Times New Roman" w:hAnsi="Times New Roman"/>
                <w:bCs/>
                <w:sz w:val="24"/>
              </w:rPr>
              <w:t xml:space="preserve"> s </w:t>
            </w:r>
            <w:r w:rsidRPr="00D85C65">
              <w:rPr>
                <w:rFonts w:ascii="Times New Roman" w:hAnsi="Times New Roman"/>
                <w:bCs/>
                <w:sz w:val="24"/>
              </w:rPr>
              <w:t>rovnakou zostatkovou splatnosťou</w:t>
            </w:r>
            <w:r w:rsidR="00D85C65">
              <w:rPr>
                <w:rFonts w:ascii="Times New Roman" w:hAnsi="Times New Roman"/>
                <w:bCs/>
                <w:sz w:val="24"/>
              </w:rPr>
              <w:t xml:space="preserve"> a </w:t>
            </w:r>
            <w:r w:rsidRPr="00D85C65">
              <w:rPr>
                <w:rFonts w:ascii="Times New Roman" w:hAnsi="Times New Roman"/>
                <w:bCs/>
                <w:sz w:val="24"/>
              </w:rPr>
              <w:t>bezprostrednou protistranou na výpočet stĺpcov 030 až 120.</w:t>
            </w:r>
          </w:p>
        </w:tc>
      </w:tr>
      <w:tr w:rsidR="00235D9D" w:rsidRPr="00D85C65" w14:paraId="0744067D" w14:textId="77777777" w:rsidTr="00672D2A">
        <w:tc>
          <w:tcPr>
            <w:tcW w:w="1188" w:type="dxa"/>
          </w:tcPr>
          <w:p w14:paraId="3E64C340" w14:textId="77777777" w:rsidR="00235D9D" w:rsidRPr="00D85C65" w:rsidDel="00E97A51" w:rsidRDefault="00FD54FC">
            <w:pPr>
              <w:spacing w:before="0" w:after="0"/>
              <w:ind w:left="33"/>
              <w:rPr>
                <w:rFonts w:ascii="Times New Roman" w:hAnsi="Times New Roman"/>
                <w:bCs/>
                <w:sz w:val="24"/>
              </w:rPr>
            </w:pPr>
            <w:r w:rsidRPr="00D85C65">
              <w:rPr>
                <w:rFonts w:ascii="Times New Roman" w:hAnsi="Times New Roman"/>
                <w:bCs/>
                <w:sz w:val="24"/>
              </w:rPr>
              <w:lastRenderedPageBreak/>
              <w:t>140</w:t>
            </w:r>
          </w:p>
        </w:tc>
        <w:tc>
          <w:tcPr>
            <w:tcW w:w="8640" w:type="dxa"/>
          </w:tcPr>
          <w:p w14:paraId="3AA354C1" w14:textId="540536A3"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Z čoho: Krátke pozície</w:t>
            </w:r>
            <w:r w:rsidR="00D85C65">
              <w:rPr>
                <w:rFonts w:ascii="Times New Roman" w:hAnsi="Times New Roman"/>
                <w:b/>
                <w:bCs/>
                <w:sz w:val="24"/>
                <w:u w:val="single"/>
              </w:rPr>
              <w:t xml:space="preserve"> z </w:t>
            </w:r>
            <w:r w:rsidRPr="00D85C65">
              <w:rPr>
                <w:rFonts w:ascii="Times New Roman" w:hAnsi="Times New Roman"/>
                <w:b/>
                <w:bCs/>
                <w:sz w:val="24"/>
                <w:u w:val="single"/>
              </w:rPr>
              <w:t>obrátených repo úverov klasifikovaných ako držané na obchodovanie alebo finančné aktíva na obchodovanie</w:t>
            </w:r>
          </w:p>
          <w:p w14:paraId="26F7362C" w14:textId="77777777" w:rsidR="00235D9D" w:rsidRPr="00D85C65" w:rsidRDefault="00235D9D">
            <w:pPr>
              <w:spacing w:before="0" w:after="0"/>
              <w:ind w:left="33"/>
              <w:rPr>
                <w:rFonts w:ascii="Times New Roman" w:hAnsi="Times New Roman"/>
                <w:bCs/>
                <w:sz w:val="24"/>
              </w:rPr>
            </w:pPr>
          </w:p>
          <w:p w14:paraId="74E60974" w14:textId="6D85FEC6"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Účtovná hodnota krátkych pozícií, ako sa vymedzujú</w:t>
            </w:r>
            <w:r w:rsidR="00D85C65">
              <w:rPr>
                <w:rFonts w:ascii="Times New Roman" w:hAnsi="Times New Roman"/>
                <w:bCs/>
                <w:sz w:val="24"/>
              </w:rPr>
              <w:t xml:space="preserve"> v </w:t>
            </w:r>
            <w:r w:rsidRPr="00D85C65">
              <w:rPr>
                <w:rFonts w:ascii="Times New Roman" w:hAnsi="Times New Roman"/>
                <w:bCs/>
                <w:sz w:val="24"/>
              </w:rPr>
              <w:t>BA.7 písm. b) štandardu IFRS 9, ktoré vznikajú, keď inštitúcia predáva cenné papiere nadobudnuté</w:t>
            </w:r>
            <w:r w:rsidR="00D85C65">
              <w:rPr>
                <w:rFonts w:ascii="Times New Roman" w:hAnsi="Times New Roman"/>
                <w:bCs/>
                <w:sz w:val="24"/>
              </w:rPr>
              <w:t xml:space="preserve"> v </w:t>
            </w:r>
            <w:r w:rsidRPr="00D85C65">
              <w:rPr>
                <w:rFonts w:ascii="Times New Roman" w:hAnsi="Times New Roman"/>
                <w:bCs/>
                <w:sz w:val="24"/>
              </w:rPr>
              <w:t>rámci obrátených repo úverov, kde priamou protistranou uvedených cenných papierov je orgán verejnej správy,</w:t>
            </w:r>
            <w:r w:rsidR="00D85C65">
              <w:rPr>
                <w:rFonts w:ascii="Times New Roman" w:hAnsi="Times New Roman"/>
                <w:bCs/>
                <w:sz w:val="24"/>
              </w:rPr>
              <w:t xml:space="preserve"> a </w:t>
            </w:r>
            <w:r w:rsidRPr="00D85C65">
              <w:rPr>
                <w:rFonts w:ascii="Times New Roman" w:hAnsi="Times New Roman"/>
                <w:bCs/>
                <w:sz w:val="24"/>
              </w:rPr>
              <w:t>ktoré sú zahrnuté</w:t>
            </w:r>
            <w:r w:rsidR="00D85C65">
              <w:rPr>
                <w:rFonts w:ascii="Times New Roman" w:hAnsi="Times New Roman"/>
                <w:bCs/>
                <w:sz w:val="24"/>
              </w:rPr>
              <w:t xml:space="preserve"> v </w:t>
            </w:r>
            <w:r w:rsidRPr="00D85C65">
              <w:rPr>
                <w:rFonts w:ascii="Times New Roman" w:hAnsi="Times New Roman"/>
                <w:bCs/>
                <w:sz w:val="24"/>
              </w:rPr>
              <w:t>účtovných portfóliách držané na obchodovanie alebo finančné aktíva na obchodovanie (stĺpce 030 alebo 040).</w:t>
            </w:r>
          </w:p>
          <w:p w14:paraId="38058E51" w14:textId="77777777" w:rsidR="00235D9D" w:rsidRPr="00D85C65" w:rsidRDefault="00235D9D">
            <w:pPr>
              <w:spacing w:before="0" w:after="0"/>
              <w:ind w:left="33"/>
              <w:rPr>
                <w:rFonts w:ascii="Times New Roman" w:hAnsi="Times New Roman"/>
                <w:b/>
                <w:bCs/>
                <w:sz w:val="24"/>
                <w:u w:val="single"/>
              </w:rPr>
            </w:pPr>
          </w:p>
          <w:p w14:paraId="3F4C0030" w14:textId="03CFC7FC" w:rsidR="00D85C65" w:rsidRDefault="00FD54FC">
            <w:pPr>
              <w:spacing w:before="0" w:after="0"/>
              <w:ind w:left="33"/>
              <w:rPr>
                <w:rFonts w:ascii="Times New Roman" w:hAnsi="Times New Roman"/>
                <w:bCs/>
                <w:sz w:val="24"/>
              </w:rPr>
            </w:pPr>
            <w:r w:rsidRPr="00D85C65">
              <w:rPr>
                <w:rFonts w:ascii="Times New Roman" w:hAnsi="Times New Roman"/>
                <w:bCs/>
                <w:sz w:val="24"/>
              </w:rPr>
              <w:t>Krátke pozície, ktoré vznikajú, keď boli predané cenné papiere požičané</w:t>
            </w:r>
            <w:r w:rsidR="00D85C65">
              <w:rPr>
                <w:rFonts w:ascii="Times New Roman" w:hAnsi="Times New Roman"/>
                <w:bCs/>
                <w:sz w:val="24"/>
              </w:rPr>
              <w:t xml:space="preserve"> v </w:t>
            </w:r>
            <w:r w:rsidRPr="00D85C65">
              <w:rPr>
                <w:rFonts w:ascii="Times New Roman" w:hAnsi="Times New Roman"/>
                <w:bCs/>
                <w:sz w:val="24"/>
              </w:rPr>
              <w:t>rámci transakcie požičiavania cenných papierov, sa do tohto stĺpca nezahŕňajú</w:t>
            </w:r>
            <w:r w:rsidR="00D85C65">
              <w:rPr>
                <w:rFonts w:ascii="Times New Roman" w:hAnsi="Times New Roman"/>
                <w:bCs/>
                <w:sz w:val="24"/>
              </w:rPr>
              <w:t>.</w:t>
            </w:r>
          </w:p>
          <w:p w14:paraId="319DA15C" w14:textId="62ADC42E" w:rsidR="00235D9D" w:rsidRPr="00D85C65" w:rsidDel="00E97A51" w:rsidRDefault="00235D9D">
            <w:pPr>
              <w:spacing w:before="0" w:after="0"/>
              <w:ind w:left="33"/>
              <w:rPr>
                <w:rFonts w:ascii="Times New Roman" w:hAnsi="Times New Roman"/>
                <w:b/>
                <w:bCs/>
                <w:sz w:val="24"/>
                <w:u w:val="single"/>
              </w:rPr>
            </w:pPr>
          </w:p>
        </w:tc>
      </w:tr>
      <w:tr w:rsidR="00235D9D" w:rsidRPr="00D85C65" w:rsidDel="004A25FD" w14:paraId="7E9D7807" w14:textId="77777777" w:rsidTr="00672D2A">
        <w:tc>
          <w:tcPr>
            <w:tcW w:w="1188" w:type="dxa"/>
          </w:tcPr>
          <w:p w14:paraId="57B9A880" w14:textId="77777777" w:rsidR="00235D9D" w:rsidRPr="00D85C65" w:rsidDel="004A25FD" w:rsidRDefault="00FD54FC">
            <w:pPr>
              <w:spacing w:before="0" w:after="0"/>
              <w:ind w:left="33"/>
              <w:rPr>
                <w:rFonts w:ascii="Times New Roman" w:hAnsi="Times New Roman"/>
                <w:bCs/>
                <w:sz w:val="24"/>
              </w:rPr>
            </w:pPr>
            <w:r w:rsidRPr="00D85C65">
              <w:rPr>
                <w:rFonts w:ascii="Times New Roman" w:hAnsi="Times New Roman"/>
                <w:bCs/>
                <w:sz w:val="24"/>
              </w:rPr>
              <w:t>150</w:t>
            </w:r>
          </w:p>
        </w:tc>
        <w:tc>
          <w:tcPr>
            <w:tcW w:w="8640" w:type="dxa"/>
          </w:tcPr>
          <w:p w14:paraId="08820E18"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Akumulovaná znížená hodnota</w:t>
            </w:r>
          </w:p>
          <w:p w14:paraId="00636F29" w14:textId="77777777" w:rsidR="00235D9D" w:rsidRPr="00D85C65" w:rsidRDefault="00235D9D">
            <w:pPr>
              <w:spacing w:before="0" w:after="0"/>
              <w:ind w:left="33"/>
              <w:rPr>
                <w:rFonts w:ascii="Times New Roman" w:hAnsi="Times New Roman"/>
                <w:b/>
                <w:bCs/>
                <w:sz w:val="24"/>
                <w:u w:val="single"/>
              </w:rPr>
            </w:pPr>
          </w:p>
          <w:p w14:paraId="01AC3377" w14:textId="3C75CCD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Súhrnná akumulovaná znížená hodnota týkajúca sa nederivátových finančných aktív vykazovaných</w:t>
            </w:r>
            <w:r w:rsidR="00D85C65">
              <w:rPr>
                <w:rFonts w:ascii="Times New Roman" w:hAnsi="Times New Roman"/>
                <w:bCs/>
                <w:sz w:val="24"/>
              </w:rPr>
              <w:t xml:space="preserve"> v </w:t>
            </w:r>
            <w:r w:rsidRPr="00D85C65">
              <w:rPr>
                <w:rFonts w:ascii="Times New Roman" w:hAnsi="Times New Roman"/>
                <w:bCs/>
                <w:sz w:val="24"/>
              </w:rPr>
              <w:t>stĺpcoch 080 až 120 (časť 2 ods. 70</w:t>
            </w:r>
            <w:r w:rsidR="00D85C65">
              <w:rPr>
                <w:rFonts w:ascii="Times New Roman" w:hAnsi="Times New Roman"/>
                <w:bCs/>
                <w:sz w:val="24"/>
              </w:rPr>
              <w:t xml:space="preserve"> a </w:t>
            </w:r>
            <w:r w:rsidRPr="00D85C65">
              <w:rPr>
                <w:rFonts w:ascii="Times New Roman" w:hAnsi="Times New Roman"/>
                <w:bCs/>
                <w:sz w:val="24"/>
              </w:rPr>
              <w:t>71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463F1F38" w14:textId="77777777" w:rsidR="00235D9D" w:rsidRPr="00D85C65" w:rsidDel="004A25FD" w:rsidRDefault="00235D9D">
            <w:pPr>
              <w:spacing w:before="0" w:after="0"/>
              <w:ind w:left="33"/>
              <w:rPr>
                <w:rFonts w:ascii="Times New Roman" w:hAnsi="Times New Roman"/>
                <w:bCs/>
                <w:sz w:val="24"/>
              </w:rPr>
            </w:pPr>
          </w:p>
        </w:tc>
      </w:tr>
      <w:tr w:rsidR="00235D9D" w:rsidRPr="00D85C65" w14:paraId="58743D2E" w14:textId="77777777" w:rsidTr="00672D2A">
        <w:tc>
          <w:tcPr>
            <w:tcW w:w="1188" w:type="dxa"/>
          </w:tcPr>
          <w:p w14:paraId="7A129681"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160</w:t>
            </w:r>
          </w:p>
        </w:tc>
        <w:tc>
          <w:tcPr>
            <w:tcW w:w="8640" w:type="dxa"/>
          </w:tcPr>
          <w:p w14:paraId="3624DDB5" w14:textId="008990CD"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Akumulovaná znížená hodnota –</w:t>
            </w:r>
            <w:r w:rsidR="00D85C65">
              <w:rPr>
                <w:rFonts w:ascii="Times New Roman" w:hAnsi="Times New Roman"/>
                <w:b/>
                <w:bCs/>
                <w:sz w:val="24"/>
                <w:u w:val="single"/>
              </w:rPr>
              <w:t xml:space="preserve"> z </w:t>
            </w:r>
            <w:r w:rsidRPr="00D85C65">
              <w:rPr>
                <w:rFonts w:ascii="Times New Roman" w:hAnsi="Times New Roman"/>
                <w:b/>
                <w:bCs/>
                <w:sz w:val="24"/>
                <w:u w:val="single"/>
              </w:rPr>
              <w:t>čoho:</w:t>
            </w:r>
            <w:r w:rsidR="00D85C65">
              <w:rPr>
                <w:rFonts w:ascii="Times New Roman" w:hAnsi="Times New Roman"/>
                <w:b/>
                <w:bCs/>
                <w:sz w:val="24"/>
                <w:u w:val="single"/>
              </w:rPr>
              <w:t xml:space="preserve"> z </w:t>
            </w:r>
            <w:r w:rsidRPr="00D85C65">
              <w:rPr>
                <w:rFonts w:ascii="Times New Roman" w:hAnsi="Times New Roman"/>
                <w:b/>
                <w:bCs/>
                <w:sz w:val="24"/>
                <w:u w:val="single"/>
              </w:rPr>
              <w:t>finančných aktív oceňovaných reálnou hodnotou cez iný komplexný účtovný výsledok alebo</w:t>
            </w:r>
            <w:r w:rsidR="00D85C65">
              <w:rPr>
                <w:rFonts w:ascii="Times New Roman" w:hAnsi="Times New Roman"/>
                <w:b/>
                <w:bCs/>
                <w:sz w:val="24"/>
                <w:u w:val="single"/>
              </w:rPr>
              <w:t xml:space="preserve"> z </w:t>
            </w:r>
            <w:r w:rsidRPr="00D85C65">
              <w:rPr>
                <w:rFonts w:ascii="Times New Roman" w:hAnsi="Times New Roman"/>
                <w:b/>
                <w:bCs/>
                <w:sz w:val="24"/>
                <w:u w:val="single"/>
              </w:rPr>
              <w:t>neobchodných nederivátových finančných aktív oceňovaných reálnou hodnotou vo vlastnom imaní</w:t>
            </w:r>
          </w:p>
          <w:p w14:paraId="3F5A328F" w14:textId="77777777" w:rsidR="00235D9D" w:rsidRPr="00D85C65" w:rsidRDefault="00235D9D">
            <w:pPr>
              <w:spacing w:before="0" w:after="0"/>
              <w:ind w:left="33"/>
              <w:rPr>
                <w:rFonts w:ascii="Times New Roman" w:hAnsi="Times New Roman"/>
                <w:b/>
                <w:bCs/>
                <w:sz w:val="24"/>
                <w:u w:val="single"/>
              </w:rPr>
            </w:pPr>
          </w:p>
          <w:p w14:paraId="38CA5EAF" w14:textId="67117B82" w:rsidR="00D85C65" w:rsidRDefault="00FD54FC">
            <w:pPr>
              <w:spacing w:before="0" w:after="0"/>
              <w:ind w:left="33"/>
              <w:rPr>
                <w:rFonts w:ascii="Times New Roman" w:hAnsi="Times New Roman"/>
                <w:bCs/>
                <w:sz w:val="24"/>
              </w:rPr>
            </w:pPr>
            <w:r w:rsidRPr="00D85C65">
              <w:rPr>
                <w:rFonts w:ascii="Times New Roman" w:hAnsi="Times New Roman"/>
                <w:bCs/>
                <w:sz w:val="24"/>
              </w:rPr>
              <w:t>Súhrnná akumulovaná znížená hodnota týkajúca sa nederivátových finančných aktív vykázaných</w:t>
            </w:r>
            <w:r w:rsidR="00D85C65">
              <w:rPr>
                <w:rFonts w:ascii="Times New Roman" w:hAnsi="Times New Roman"/>
                <w:bCs/>
                <w:sz w:val="24"/>
              </w:rPr>
              <w:t xml:space="preserve"> v </w:t>
            </w:r>
            <w:r w:rsidRPr="00D85C65">
              <w:rPr>
                <w:rFonts w:ascii="Times New Roman" w:hAnsi="Times New Roman"/>
                <w:bCs/>
                <w:sz w:val="24"/>
              </w:rPr>
              <w:t>stĺpcoch 080</w:t>
            </w:r>
            <w:r w:rsidR="00D85C65">
              <w:rPr>
                <w:rFonts w:ascii="Times New Roman" w:hAnsi="Times New Roman"/>
                <w:bCs/>
                <w:sz w:val="24"/>
              </w:rPr>
              <w:t xml:space="preserve"> a </w:t>
            </w:r>
            <w:r w:rsidRPr="00D85C65">
              <w:rPr>
                <w:rFonts w:ascii="Times New Roman" w:hAnsi="Times New Roman"/>
                <w:bCs/>
                <w:sz w:val="24"/>
              </w:rPr>
              <w:t>090</w:t>
            </w:r>
            <w:r w:rsidR="00D85C65">
              <w:rPr>
                <w:rFonts w:ascii="Times New Roman" w:hAnsi="Times New Roman"/>
                <w:bCs/>
                <w:sz w:val="24"/>
              </w:rPr>
              <w:t>.</w:t>
            </w:r>
          </w:p>
          <w:p w14:paraId="2F68899E" w14:textId="61B0055B" w:rsidR="00235D9D" w:rsidRPr="00D85C65" w:rsidRDefault="00235D9D">
            <w:pPr>
              <w:spacing w:before="0" w:after="0"/>
              <w:ind w:left="33"/>
              <w:rPr>
                <w:rFonts w:ascii="Times New Roman" w:hAnsi="Times New Roman"/>
                <w:b/>
                <w:bCs/>
                <w:sz w:val="24"/>
                <w:u w:val="single"/>
              </w:rPr>
            </w:pPr>
          </w:p>
        </w:tc>
      </w:tr>
      <w:tr w:rsidR="00235D9D" w:rsidRPr="00D85C65" w:rsidDel="004A25FD" w14:paraId="3774B7A3" w14:textId="77777777" w:rsidTr="00672D2A">
        <w:tc>
          <w:tcPr>
            <w:tcW w:w="1188" w:type="dxa"/>
          </w:tcPr>
          <w:p w14:paraId="7E5BE2D3" w14:textId="77777777" w:rsidR="00235D9D" w:rsidRPr="00D85C65" w:rsidDel="004A25FD" w:rsidRDefault="00FD54FC">
            <w:pPr>
              <w:spacing w:before="0" w:after="0"/>
              <w:ind w:left="33"/>
              <w:rPr>
                <w:rFonts w:ascii="Times New Roman" w:hAnsi="Times New Roman"/>
                <w:bCs/>
                <w:sz w:val="24"/>
              </w:rPr>
            </w:pPr>
            <w:r w:rsidRPr="00D85C65">
              <w:rPr>
                <w:rFonts w:ascii="Times New Roman" w:hAnsi="Times New Roman"/>
                <w:bCs/>
                <w:sz w:val="24"/>
              </w:rPr>
              <w:t>170</w:t>
            </w:r>
          </w:p>
        </w:tc>
        <w:tc>
          <w:tcPr>
            <w:tcW w:w="8640" w:type="dxa"/>
          </w:tcPr>
          <w:p w14:paraId="056185D2"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Akumulované záporné zmeny reálnej hodnoty</w:t>
            </w:r>
            <w:r w:rsidR="00D85C65">
              <w:rPr>
                <w:rFonts w:ascii="Times New Roman" w:hAnsi="Times New Roman"/>
                <w:b/>
                <w:bCs/>
                <w:sz w:val="24"/>
                <w:u w:val="single"/>
              </w:rPr>
              <w:t xml:space="preserve"> z </w:t>
            </w:r>
            <w:r w:rsidRPr="00D85C65">
              <w:rPr>
                <w:rFonts w:ascii="Times New Roman" w:hAnsi="Times New Roman"/>
                <w:b/>
                <w:bCs/>
                <w:sz w:val="24"/>
                <w:u w:val="single"/>
              </w:rPr>
              <w:t>dôvodu kreditného rizika</w:t>
            </w:r>
          </w:p>
          <w:p w14:paraId="45CF648B" w14:textId="4C6CCF82" w:rsidR="00235D9D" w:rsidRPr="00D85C65" w:rsidRDefault="00235D9D">
            <w:pPr>
              <w:spacing w:before="0" w:after="0"/>
              <w:ind w:left="33"/>
              <w:rPr>
                <w:rFonts w:ascii="Times New Roman" w:hAnsi="Times New Roman"/>
                <w:b/>
                <w:bCs/>
                <w:sz w:val="24"/>
                <w:u w:val="single"/>
              </w:rPr>
            </w:pPr>
          </w:p>
          <w:p w14:paraId="40510C73" w14:textId="5ED7909C"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 akumulovaných záporných zmien reálnej hodnoty</w:t>
            </w:r>
            <w:r w:rsidR="00D85C65">
              <w:rPr>
                <w:rFonts w:ascii="Times New Roman" w:hAnsi="Times New Roman"/>
                <w:bCs/>
                <w:sz w:val="24"/>
              </w:rPr>
              <w:t xml:space="preserve"> z </w:t>
            </w:r>
            <w:r w:rsidRPr="00D85C65">
              <w:rPr>
                <w:rFonts w:ascii="Times New Roman" w:hAnsi="Times New Roman"/>
                <w:bCs/>
                <w:sz w:val="24"/>
              </w:rPr>
              <w:t>dôvodu kreditného rizika týkajúcich sa pozícií zaznamenaných</w:t>
            </w:r>
            <w:r w:rsidR="00D85C65">
              <w:rPr>
                <w:rFonts w:ascii="Times New Roman" w:hAnsi="Times New Roman"/>
                <w:bCs/>
                <w:sz w:val="24"/>
              </w:rPr>
              <w:t xml:space="preserve"> v </w:t>
            </w:r>
            <w:r w:rsidRPr="00D85C65">
              <w:rPr>
                <w:rFonts w:ascii="Times New Roman" w:hAnsi="Times New Roman"/>
                <w:bCs/>
                <w:sz w:val="24"/>
              </w:rPr>
              <w:t>stĺpcoch 050, 060, 070, 080</w:t>
            </w:r>
            <w:r w:rsidR="00D85C65">
              <w:rPr>
                <w:rFonts w:ascii="Times New Roman" w:hAnsi="Times New Roman"/>
                <w:bCs/>
                <w:sz w:val="24"/>
              </w:rPr>
              <w:t xml:space="preserve"> a </w:t>
            </w:r>
            <w:r w:rsidRPr="00D85C65">
              <w:rPr>
                <w:rFonts w:ascii="Times New Roman" w:hAnsi="Times New Roman"/>
                <w:bCs/>
                <w:sz w:val="24"/>
              </w:rPr>
              <w:t>090 (časť 2 ods. 69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00577D76" w14:textId="77777777" w:rsidR="00235D9D" w:rsidRPr="00D85C65" w:rsidDel="004A25FD" w:rsidRDefault="00235D9D">
            <w:pPr>
              <w:spacing w:before="0" w:after="0"/>
              <w:ind w:left="33"/>
              <w:rPr>
                <w:rFonts w:ascii="Times New Roman" w:hAnsi="Times New Roman"/>
                <w:bCs/>
                <w:sz w:val="24"/>
              </w:rPr>
            </w:pPr>
          </w:p>
        </w:tc>
      </w:tr>
      <w:tr w:rsidR="00235D9D" w:rsidRPr="00D85C65" w14:paraId="467A9911" w14:textId="77777777" w:rsidTr="00672D2A">
        <w:tc>
          <w:tcPr>
            <w:tcW w:w="1188" w:type="dxa"/>
          </w:tcPr>
          <w:p w14:paraId="13B5C2A8"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180</w:t>
            </w:r>
          </w:p>
        </w:tc>
        <w:tc>
          <w:tcPr>
            <w:tcW w:w="8640" w:type="dxa"/>
          </w:tcPr>
          <w:p w14:paraId="3EF9721C" w14:textId="0BEF1456"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Akumulované záporné zmeny reálnej hodnoty</w:t>
            </w:r>
            <w:r w:rsidR="00D85C65">
              <w:rPr>
                <w:rFonts w:ascii="Times New Roman" w:hAnsi="Times New Roman"/>
                <w:b/>
                <w:bCs/>
                <w:sz w:val="24"/>
                <w:u w:val="single"/>
              </w:rPr>
              <w:t xml:space="preserve"> z </w:t>
            </w:r>
            <w:r w:rsidRPr="00D85C65">
              <w:rPr>
                <w:rFonts w:ascii="Times New Roman" w:hAnsi="Times New Roman"/>
                <w:b/>
                <w:bCs/>
                <w:sz w:val="24"/>
                <w:u w:val="single"/>
              </w:rPr>
              <w:t>dôvodu kreditného rizika -</w:t>
            </w:r>
            <w:r w:rsidR="00D85C65">
              <w:rPr>
                <w:rFonts w:ascii="Times New Roman" w:hAnsi="Times New Roman"/>
                <w:b/>
                <w:bCs/>
                <w:sz w:val="24"/>
                <w:u w:val="single"/>
              </w:rPr>
              <w:t xml:space="preserve"> z </w:t>
            </w:r>
            <w:r w:rsidRPr="00D85C65">
              <w:rPr>
                <w:rFonts w:ascii="Times New Roman" w:hAnsi="Times New Roman"/>
                <w:b/>
                <w:bCs/>
                <w:sz w:val="24"/>
                <w:u w:val="single"/>
              </w:rPr>
              <w:t>čoho:</w:t>
            </w:r>
            <w:r w:rsidR="00D85C65">
              <w:rPr>
                <w:rFonts w:ascii="Times New Roman" w:hAnsi="Times New Roman"/>
                <w:b/>
                <w:bCs/>
                <w:sz w:val="24"/>
                <w:u w:val="single"/>
              </w:rPr>
              <w:t xml:space="preserve"> z </w:t>
            </w:r>
            <w:r w:rsidRPr="00D85C65">
              <w:rPr>
                <w:rFonts w:ascii="Times New Roman" w:hAnsi="Times New Roman"/>
                <w:b/>
                <w:bCs/>
                <w:sz w:val="24"/>
                <w:u w:val="single"/>
              </w:rPr>
              <w:t>neobchodných finančných aktív povinne oceňovaných reálnou hodnotou cez výsledok hospodárenia, finančných aktív oceňovaných reálnou hodnotou cez výsledok hospodárenia alebo</w:t>
            </w:r>
            <w:r w:rsidR="00D85C65">
              <w:rPr>
                <w:rFonts w:ascii="Times New Roman" w:hAnsi="Times New Roman"/>
                <w:b/>
                <w:bCs/>
                <w:sz w:val="24"/>
                <w:u w:val="single"/>
              </w:rPr>
              <w:t xml:space="preserve"> z </w:t>
            </w:r>
            <w:r w:rsidRPr="00D85C65">
              <w:rPr>
                <w:rFonts w:ascii="Times New Roman" w:hAnsi="Times New Roman"/>
                <w:b/>
                <w:bCs/>
                <w:sz w:val="24"/>
                <w:u w:val="single"/>
              </w:rPr>
              <w:t>neobchodných finančných aktív oceňovaných reálnou hodnotou cez výsledok hospodárenia</w:t>
            </w:r>
          </w:p>
          <w:p w14:paraId="029B762A" w14:textId="77777777" w:rsidR="00235D9D" w:rsidRPr="00D85C65" w:rsidRDefault="00235D9D">
            <w:pPr>
              <w:spacing w:before="0" w:after="0"/>
              <w:ind w:left="33"/>
              <w:rPr>
                <w:rFonts w:ascii="Times New Roman" w:hAnsi="Times New Roman"/>
                <w:bCs/>
                <w:sz w:val="24"/>
              </w:rPr>
            </w:pPr>
          </w:p>
          <w:p w14:paraId="2110E281" w14:textId="66A61C0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 akumulovaných záporných zmien reálnej hodnoty</w:t>
            </w:r>
            <w:r w:rsidR="00D85C65">
              <w:rPr>
                <w:rFonts w:ascii="Times New Roman" w:hAnsi="Times New Roman"/>
                <w:bCs/>
                <w:sz w:val="24"/>
              </w:rPr>
              <w:t xml:space="preserve"> z </w:t>
            </w:r>
            <w:r w:rsidRPr="00D85C65">
              <w:rPr>
                <w:rFonts w:ascii="Times New Roman" w:hAnsi="Times New Roman"/>
                <w:bCs/>
                <w:sz w:val="24"/>
              </w:rPr>
              <w:t>dôvodu kreditného rizika týkajúcich sa pozícií zaznamenaných</w:t>
            </w:r>
            <w:r w:rsidR="00D85C65">
              <w:rPr>
                <w:rFonts w:ascii="Times New Roman" w:hAnsi="Times New Roman"/>
                <w:bCs/>
                <w:sz w:val="24"/>
              </w:rPr>
              <w:t xml:space="preserve"> v </w:t>
            </w:r>
            <w:r w:rsidRPr="00D85C65">
              <w:rPr>
                <w:rFonts w:ascii="Times New Roman" w:hAnsi="Times New Roman"/>
                <w:bCs/>
                <w:sz w:val="24"/>
              </w:rPr>
              <w:t>stĺpcoch 050, 060</w:t>
            </w:r>
            <w:r w:rsidR="00D85C65">
              <w:rPr>
                <w:rFonts w:ascii="Times New Roman" w:hAnsi="Times New Roman"/>
                <w:bCs/>
                <w:sz w:val="24"/>
              </w:rPr>
              <w:t xml:space="preserve"> a </w:t>
            </w:r>
            <w:r w:rsidRPr="00D85C65">
              <w:rPr>
                <w:rFonts w:ascii="Times New Roman" w:hAnsi="Times New Roman"/>
                <w:bCs/>
                <w:sz w:val="24"/>
              </w:rPr>
              <w:t>070.</w:t>
            </w:r>
          </w:p>
          <w:p w14:paraId="1FCE4004" w14:textId="77777777" w:rsidR="00235D9D" w:rsidRPr="00D85C65" w:rsidRDefault="00FD54FC">
            <w:pPr>
              <w:spacing w:before="0" w:after="0"/>
              <w:ind w:left="33"/>
              <w:rPr>
                <w:rFonts w:ascii="Times New Roman" w:hAnsi="Times New Roman"/>
                <w:bCs/>
                <w:sz w:val="24"/>
              </w:rPr>
            </w:pPr>
            <w:r w:rsidRPr="00D85C65">
              <w:rPr>
                <w:rFonts w:ascii="Times New Roman" w:hAnsi="Times New Roman"/>
                <w:b/>
                <w:bCs/>
                <w:sz w:val="24"/>
                <w:u w:val="single"/>
              </w:rPr>
              <w:t xml:space="preserve"> </w:t>
            </w:r>
          </w:p>
        </w:tc>
      </w:tr>
      <w:tr w:rsidR="00235D9D" w:rsidRPr="00D85C65" w14:paraId="6313C482" w14:textId="77777777" w:rsidTr="00672D2A">
        <w:tc>
          <w:tcPr>
            <w:tcW w:w="1188" w:type="dxa"/>
          </w:tcPr>
          <w:p w14:paraId="684F032E"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190</w:t>
            </w:r>
          </w:p>
        </w:tc>
        <w:tc>
          <w:tcPr>
            <w:tcW w:w="8640" w:type="dxa"/>
          </w:tcPr>
          <w:p w14:paraId="3A39EC07" w14:textId="00854CE2"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Akumulované záporné zmeny reálnej hodnoty</w:t>
            </w:r>
            <w:r w:rsidR="00D85C65">
              <w:rPr>
                <w:rFonts w:ascii="Times New Roman" w:hAnsi="Times New Roman"/>
                <w:b/>
                <w:bCs/>
                <w:sz w:val="24"/>
                <w:u w:val="single"/>
              </w:rPr>
              <w:t xml:space="preserve"> z </w:t>
            </w:r>
            <w:r w:rsidRPr="00D85C65">
              <w:rPr>
                <w:rFonts w:ascii="Times New Roman" w:hAnsi="Times New Roman"/>
                <w:b/>
                <w:bCs/>
                <w:sz w:val="24"/>
                <w:u w:val="single"/>
              </w:rPr>
              <w:t>dôvodu kreditného rizika -</w:t>
            </w:r>
            <w:r w:rsidR="00D85C65">
              <w:rPr>
                <w:rFonts w:ascii="Times New Roman" w:hAnsi="Times New Roman"/>
                <w:b/>
                <w:bCs/>
                <w:sz w:val="24"/>
                <w:u w:val="single"/>
              </w:rPr>
              <w:t xml:space="preserve"> z </w:t>
            </w:r>
            <w:r w:rsidRPr="00D85C65">
              <w:rPr>
                <w:rFonts w:ascii="Times New Roman" w:hAnsi="Times New Roman"/>
                <w:b/>
                <w:bCs/>
                <w:sz w:val="24"/>
                <w:u w:val="single"/>
              </w:rPr>
              <w:t>čoho:</w:t>
            </w:r>
            <w:r w:rsidR="00D85C65">
              <w:rPr>
                <w:rFonts w:ascii="Times New Roman" w:hAnsi="Times New Roman"/>
                <w:b/>
                <w:bCs/>
                <w:sz w:val="24"/>
                <w:u w:val="single"/>
              </w:rPr>
              <w:t xml:space="preserve"> z </w:t>
            </w:r>
            <w:r w:rsidRPr="00D85C65">
              <w:rPr>
                <w:rFonts w:ascii="Times New Roman" w:hAnsi="Times New Roman"/>
                <w:b/>
                <w:bCs/>
                <w:sz w:val="24"/>
                <w:u w:val="single"/>
              </w:rPr>
              <w:t>finančných aktív oceňovaných reálnou hodnotou cez iný komplexný účtovný výsledok alebo</w:t>
            </w:r>
            <w:r w:rsidR="00D85C65">
              <w:rPr>
                <w:rFonts w:ascii="Times New Roman" w:hAnsi="Times New Roman"/>
                <w:b/>
                <w:bCs/>
                <w:sz w:val="24"/>
                <w:u w:val="single"/>
              </w:rPr>
              <w:t xml:space="preserve"> z </w:t>
            </w:r>
            <w:r w:rsidRPr="00D85C65">
              <w:rPr>
                <w:rFonts w:ascii="Times New Roman" w:hAnsi="Times New Roman"/>
                <w:b/>
                <w:bCs/>
                <w:sz w:val="24"/>
                <w:u w:val="single"/>
              </w:rPr>
              <w:t>neobchodných nederivátových finančných aktív oceňovaných reálnou hodnotou vo vlastnom imaní</w:t>
            </w:r>
          </w:p>
          <w:p w14:paraId="5B20AD18" w14:textId="77777777" w:rsidR="00235D9D" w:rsidRPr="00D85C65" w:rsidRDefault="00235D9D">
            <w:pPr>
              <w:spacing w:before="0" w:after="0"/>
              <w:ind w:left="33"/>
              <w:rPr>
                <w:rFonts w:ascii="Times New Roman" w:hAnsi="Times New Roman"/>
                <w:bCs/>
                <w:sz w:val="24"/>
              </w:rPr>
            </w:pPr>
          </w:p>
          <w:p w14:paraId="0F9D68C8" w14:textId="359F5FB3"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 akumulovaných záporných zmien reálnej hodnoty</w:t>
            </w:r>
            <w:r w:rsidR="00D85C65">
              <w:rPr>
                <w:rFonts w:ascii="Times New Roman" w:hAnsi="Times New Roman"/>
                <w:bCs/>
                <w:sz w:val="24"/>
              </w:rPr>
              <w:t xml:space="preserve"> z </w:t>
            </w:r>
            <w:r w:rsidRPr="00D85C65">
              <w:rPr>
                <w:rFonts w:ascii="Times New Roman" w:hAnsi="Times New Roman"/>
                <w:bCs/>
                <w:sz w:val="24"/>
              </w:rPr>
              <w:t>dôvodu kreditného rizika týkajúcich sa pozícií zaznamenaných</w:t>
            </w:r>
            <w:r w:rsidR="00D85C65">
              <w:rPr>
                <w:rFonts w:ascii="Times New Roman" w:hAnsi="Times New Roman"/>
                <w:bCs/>
                <w:sz w:val="24"/>
              </w:rPr>
              <w:t xml:space="preserve"> v </w:t>
            </w:r>
            <w:r w:rsidRPr="00D85C65">
              <w:rPr>
                <w:rFonts w:ascii="Times New Roman" w:hAnsi="Times New Roman"/>
                <w:bCs/>
                <w:sz w:val="24"/>
              </w:rPr>
              <w:t>stĺpcoch 080</w:t>
            </w:r>
            <w:r w:rsidR="00D85C65">
              <w:rPr>
                <w:rFonts w:ascii="Times New Roman" w:hAnsi="Times New Roman"/>
                <w:bCs/>
                <w:sz w:val="24"/>
              </w:rPr>
              <w:t xml:space="preserve"> a </w:t>
            </w:r>
            <w:r w:rsidRPr="00D85C65">
              <w:rPr>
                <w:rFonts w:ascii="Times New Roman" w:hAnsi="Times New Roman"/>
                <w:bCs/>
                <w:sz w:val="24"/>
              </w:rPr>
              <w:t>090.</w:t>
            </w:r>
          </w:p>
          <w:p w14:paraId="24C98C30" w14:textId="77777777" w:rsidR="00235D9D" w:rsidRPr="00D85C65" w:rsidRDefault="00235D9D">
            <w:pPr>
              <w:spacing w:before="0" w:after="0"/>
              <w:ind w:left="33"/>
              <w:rPr>
                <w:rFonts w:ascii="Times New Roman" w:hAnsi="Times New Roman"/>
                <w:bCs/>
                <w:sz w:val="24"/>
              </w:rPr>
            </w:pPr>
          </w:p>
        </w:tc>
      </w:tr>
      <w:tr w:rsidR="00235D9D" w:rsidRPr="00D85C65" w14:paraId="61019DE2" w14:textId="77777777" w:rsidTr="00672D2A">
        <w:tc>
          <w:tcPr>
            <w:tcW w:w="1188" w:type="dxa"/>
          </w:tcPr>
          <w:p w14:paraId="08669C7A"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200 – 230</w:t>
            </w:r>
          </w:p>
        </w:tc>
        <w:tc>
          <w:tcPr>
            <w:tcW w:w="8640" w:type="dxa"/>
          </w:tcPr>
          <w:p w14:paraId="638DA15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w:t>
            </w:r>
          </w:p>
          <w:p w14:paraId="4B73D9E7" w14:textId="77777777" w:rsidR="00235D9D" w:rsidRPr="00D85C65" w:rsidRDefault="00235D9D">
            <w:pPr>
              <w:spacing w:before="0" w:after="0"/>
              <w:ind w:left="33"/>
              <w:rPr>
                <w:rFonts w:ascii="Times New Roman" w:hAnsi="Times New Roman"/>
                <w:b/>
                <w:bCs/>
                <w:sz w:val="24"/>
                <w:u w:val="single"/>
              </w:rPr>
            </w:pPr>
          </w:p>
          <w:p w14:paraId="367B5573" w14:textId="377FC37E"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Priame derivátové pozície sa vykazujú</w:t>
            </w:r>
            <w:r w:rsidR="00D85C65">
              <w:rPr>
                <w:rFonts w:ascii="Times New Roman" w:hAnsi="Times New Roman"/>
                <w:bCs/>
                <w:sz w:val="24"/>
              </w:rPr>
              <w:t xml:space="preserve"> v </w:t>
            </w:r>
            <w:r w:rsidRPr="00D85C65">
              <w:rPr>
                <w:rFonts w:ascii="Times New Roman" w:hAnsi="Times New Roman"/>
                <w:bCs/>
                <w:sz w:val="24"/>
              </w:rPr>
              <w:t>stĺpcoch 200 až 230.</w:t>
            </w:r>
          </w:p>
          <w:p w14:paraId="3489F126" w14:textId="77777777" w:rsidR="00235D9D" w:rsidRPr="00D85C65" w:rsidRDefault="00235D9D">
            <w:pPr>
              <w:spacing w:before="0" w:after="0"/>
              <w:ind w:left="33"/>
              <w:rPr>
                <w:rFonts w:ascii="Times New Roman" w:hAnsi="Times New Roman"/>
                <w:b/>
                <w:bCs/>
                <w:sz w:val="24"/>
                <w:u w:val="single"/>
              </w:rPr>
            </w:pPr>
          </w:p>
          <w:p w14:paraId="2AF5068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Pre vykazovanie derivátov, na ktoré sa vzťahujú kreditné riziko protistrany aj kapitálové požiadavky na krytie trhového rizika, pozri pokyny pre rozčlenenie riadkov.</w:t>
            </w:r>
          </w:p>
          <w:p w14:paraId="1507A2EA" w14:textId="77777777" w:rsidR="00235D9D" w:rsidRPr="00D85C65" w:rsidRDefault="00235D9D">
            <w:pPr>
              <w:spacing w:before="0" w:after="0"/>
              <w:ind w:left="33"/>
              <w:rPr>
                <w:rFonts w:ascii="Times New Roman" w:hAnsi="Times New Roman"/>
                <w:b/>
                <w:bCs/>
                <w:sz w:val="24"/>
                <w:u w:val="single"/>
              </w:rPr>
            </w:pPr>
          </w:p>
        </w:tc>
      </w:tr>
      <w:tr w:rsidR="00235D9D" w:rsidRPr="00D85C65" w14:paraId="0489B5D0" w14:textId="77777777" w:rsidTr="00672D2A">
        <w:tc>
          <w:tcPr>
            <w:tcW w:w="1188" w:type="dxa"/>
          </w:tcPr>
          <w:p w14:paraId="1612CDC2"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200 – 210</w:t>
            </w:r>
          </w:p>
        </w:tc>
        <w:tc>
          <w:tcPr>
            <w:tcW w:w="8640" w:type="dxa"/>
          </w:tcPr>
          <w:p w14:paraId="6A6C391B" w14:textId="5FC9F27D"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w:t>
            </w:r>
            <w:r w:rsidR="00D85C65">
              <w:rPr>
                <w:rFonts w:ascii="Times New Roman" w:hAnsi="Times New Roman"/>
                <w:b/>
                <w:bCs/>
                <w:sz w:val="24"/>
                <w:u w:val="single"/>
              </w:rPr>
              <w:t xml:space="preserve"> s </w:t>
            </w:r>
            <w:r w:rsidRPr="00D85C65">
              <w:rPr>
                <w:rFonts w:ascii="Times New Roman" w:hAnsi="Times New Roman"/>
                <w:b/>
                <w:bCs/>
                <w:sz w:val="24"/>
                <w:u w:val="single"/>
              </w:rPr>
              <w:t>kladnou reálnou hodnotou</w:t>
            </w:r>
          </w:p>
          <w:p w14:paraId="54D7B266" w14:textId="77777777" w:rsidR="00235D9D" w:rsidRPr="00D85C65" w:rsidRDefault="00235D9D">
            <w:pPr>
              <w:spacing w:before="0" w:after="0"/>
              <w:ind w:left="33"/>
              <w:rPr>
                <w:rFonts w:ascii="Times New Roman" w:hAnsi="Times New Roman"/>
                <w:bCs/>
                <w:sz w:val="24"/>
              </w:rPr>
            </w:pPr>
          </w:p>
          <w:p w14:paraId="62652BF7" w14:textId="7EDA5B09" w:rsidR="00D85C65" w:rsidRDefault="00FD54FC">
            <w:pPr>
              <w:spacing w:before="0" w:after="0"/>
              <w:ind w:left="33"/>
              <w:rPr>
                <w:rFonts w:ascii="Times New Roman" w:hAnsi="Times New Roman"/>
                <w:bCs/>
                <w:sz w:val="24"/>
              </w:rPr>
            </w:pPr>
            <w:r w:rsidRPr="00D85C65">
              <w:rPr>
                <w:rFonts w:ascii="Times New Roman" w:hAnsi="Times New Roman"/>
                <w:bCs/>
                <w:sz w:val="24"/>
              </w:rPr>
              <w:t>Všetky derivátové nástroje</w:t>
            </w:r>
            <w:r w:rsidR="00D85C65">
              <w:rPr>
                <w:rFonts w:ascii="Times New Roman" w:hAnsi="Times New Roman"/>
                <w:bCs/>
                <w:sz w:val="24"/>
              </w:rPr>
              <w:t xml:space="preserve"> s </w:t>
            </w:r>
            <w:r w:rsidRPr="00D85C65">
              <w:rPr>
                <w:rFonts w:ascii="Times New Roman" w:hAnsi="Times New Roman"/>
                <w:bCs/>
                <w:sz w:val="24"/>
              </w:rPr>
              <w:t>orgánom verejnej správy ako protistranou</w:t>
            </w:r>
            <w:r w:rsidR="00D85C65">
              <w:rPr>
                <w:rFonts w:ascii="Times New Roman" w:hAnsi="Times New Roman"/>
                <w:bCs/>
                <w:sz w:val="24"/>
              </w:rPr>
              <w:t xml:space="preserve"> s </w:t>
            </w:r>
            <w:r w:rsidRPr="00D85C65">
              <w:rPr>
                <w:rFonts w:ascii="Times New Roman" w:hAnsi="Times New Roman"/>
                <w:bCs/>
                <w:sz w:val="24"/>
              </w:rPr>
              <w:t>kladnou reálnou hodnotou pre inštitúciu</w:t>
            </w:r>
            <w:r w:rsidR="00D85C65">
              <w:rPr>
                <w:rFonts w:ascii="Times New Roman" w:hAnsi="Times New Roman"/>
                <w:bCs/>
                <w:sz w:val="24"/>
              </w:rPr>
              <w:t xml:space="preserve"> k </w:t>
            </w:r>
            <w:r w:rsidRPr="00D85C65">
              <w:rPr>
                <w:rFonts w:ascii="Times New Roman" w:hAnsi="Times New Roman"/>
                <w:bCs/>
                <w:sz w:val="24"/>
              </w:rPr>
              <w:t>dátumu vykazovania bez ohľadu na to, či sa uvedené nástroje používajú</w:t>
            </w:r>
            <w:r w:rsidR="00D85C65">
              <w:rPr>
                <w:rFonts w:ascii="Times New Roman" w:hAnsi="Times New Roman"/>
                <w:bCs/>
                <w:sz w:val="24"/>
              </w:rPr>
              <w:t xml:space="preserve"> v </w:t>
            </w:r>
            <w:r w:rsidRPr="00D85C65">
              <w:rPr>
                <w:rFonts w:ascii="Times New Roman" w:hAnsi="Times New Roman"/>
                <w:bCs/>
                <w:sz w:val="24"/>
              </w:rPr>
              <w:t>kvalifikovanom hedžingovom vzťahu alebo sú držané na obchodovanie alebo sú zahrnuté do obchodného portfólia podľa IFRS</w:t>
            </w:r>
            <w:r w:rsidR="00D85C65">
              <w:rPr>
                <w:rFonts w:ascii="Times New Roman" w:hAnsi="Times New Roman"/>
                <w:bCs/>
                <w:sz w:val="24"/>
              </w:rPr>
              <w:t xml:space="preserve"> a </w:t>
            </w:r>
            <w:r w:rsidRPr="00D85C65">
              <w:rPr>
                <w:rFonts w:ascii="Times New Roman" w:hAnsi="Times New Roman"/>
                <w:bCs/>
                <w:sz w:val="24"/>
              </w:rPr>
              <w:t>podľa národných GAAP na základe BAD</w:t>
            </w:r>
            <w:r w:rsidR="00D85C65">
              <w:rPr>
                <w:rFonts w:ascii="Times New Roman" w:hAnsi="Times New Roman"/>
                <w:bCs/>
                <w:sz w:val="24"/>
              </w:rPr>
              <w:t>.</w:t>
            </w:r>
          </w:p>
          <w:p w14:paraId="4D54A68D" w14:textId="469F2542" w:rsidR="00235D9D" w:rsidRPr="00D85C65" w:rsidRDefault="00235D9D">
            <w:pPr>
              <w:spacing w:before="0" w:after="0"/>
              <w:ind w:left="33"/>
              <w:rPr>
                <w:rFonts w:ascii="Times New Roman" w:hAnsi="Times New Roman"/>
                <w:bCs/>
                <w:sz w:val="24"/>
              </w:rPr>
            </w:pPr>
          </w:p>
          <w:p w14:paraId="43864145" w14:textId="4279AF28"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Deriváty použité</w:t>
            </w:r>
            <w:r w:rsidR="00D85C65">
              <w:rPr>
                <w:rFonts w:ascii="Times New Roman" w:hAnsi="Times New Roman"/>
                <w:bCs/>
                <w:sz w:val="24"/>
              </w:rPr>
              <w:t xml:space="preserve"> v </w:t>
            </w:r>
            <w:r w:rsidRPr="00D85C65">
              <w:rPr>
                <w:rFonts w:ascii="Times New Roman" w:hAnsi="Times New Roman"/>
                <w:bCs/>
                <w:sz w:val="24"/>
              </w:rPr>
              <w:t>ekonomickom hedžingu sa vykazujú tu, keď sú zahrnuté do obchodovania</w:t>
            </w:r>
            <w:r w:rsidR="00D85C65">
              <w:rPr>
                <w:rFonts w:ascii="Times New Roman" w:hAnsi="Times New Roman"/>
                <w:bCs/>
                <w:sz w:val="24"/>
              </w:rPr>
              <w:t xml:space="preserve"> v </w:t>
            </w:r>
            <w:r w:rsidRPr="00D85C65">
              <w:rPr>
                <w:rFonts w:ascii="Times New Roman" w:hAnsi="Times New Roman"/>
                <w:bCs/>
                <w:sz w:val="24"/>
              </w:rPr>
              <w:t>účtovných portfóliách alebo ak sú držané na obchodovanie</w:t>
            </w:r>
            <w:r w:rsidR="00D85C65">
              <w:rPr>
                <w:rFonts w:ascii="Times New Roman" w:hAnsi="Times New Roman"/>
                <w:bCs/>
                <w:sz w:val="24"/>
              </w:rPr>
              <w:t xml:space="preserve"> v </w:t>
            </w:r>
            <w:r w:rsidRPr="00D85C65">
              <w:rPr>
                <w:rFonts w:ascii="Times New Roman" w:hAnsi="Times New Roman"/>
                <w:bCs/>
                <w:sz w:val="24"/>
              </w:rPr>
              <w:t>účtovných portfóliách (časť 2 odseky 120, 124, 125</w:t>
            </w:r>
            <w:r w:rsidR="00D85C65">
              <w:rPr>
                <w:rFonts w:ascii="Times New Roman" w:hAnsi="Times New Roman"/>
                <w:bCs/>
                <w:sz w:val="24"/>
              </w:rPr>
              <w:t xml:space="preserve"> a </w:t>
            </w:r>
            <w:r w:rsidRPr="00D85C65">
              <w:rPr>
                <w:rFonts w:ascii="Times New Roman" w:hAnsi="Times New Roman"/>
                <w:bCs/>
                <w:sz w:val="24"/>
              </w:rPr>
              <w:t>odseky 137 až 140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1082C9F0" w14:textId="77777777" w:rsidR="00235D9D" w:rsidRPr="00D85C65" w:rsidRDefault="00235D9D">
            <w:pPr>
              <w:spacing w:before="0" w:after="0"/>
              <w:ind w:left="33"/>
              <w:rPr>
                <w:rFonts w:ascii="Times New Roman" w:hAnsi="Times New Roman"/>
                <w:b/>
                <w:bCs/>
                <w:sz w:val="24"/>
                <w:u w:val="single"/>
              </w:rPr>
            </w:pPr>
          </w:p>
        </w:tc>
      </w:tr>
      <w:tr w:rsidR="00235D9D" w:rsidRPr="00D85C65" w14:paraId="6AB829A1" w14:textId="77777777" w:rsidTr="00672D2A">
        <w:tc>
          <w:tcPr>
            <w:tcW w:w="1188" w:type="dxa"/>
          </w:tcPr>
          <w:p w14:paraId="321093D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200</w:t>
            </w:r>
          </w:p>
        </w:tc>
        <w:tc>
          <w:tcPr>
            <w:tcW w:w="8640" w:type="dxa"/>
          </w:tcPr>
          <w:p w14:paraId="7E4B8680"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w:t>
            </w:r>
            <w:r w:rsidR="00D85C65">
              <w:rPr>
                <w:rFonts w:ascii="Times New Roman" w:hAnsi="Times New Roman"/>
                <w:b/>
                <w:bCs/>
                <w:sz w:val="24"/>
                <w:u w:val="single"/>
              </w:rPr>
              <w:t xml:space="preserve"> s </w:t>
            </w:r>
            <w:r w:rsidRPr="00D85C65">
              <w:rPr>
                <w:rFonts w:ascii="Times New Roman" w:hAnsi="Times New Roman"/>
                <w:b/>
                <w:bCs/>
                <w:sz w:val="24"/>
                <w:u w:val="single"/>
              </w:rPr>
              <w:t>kladnou reálnou hodnotou: Účtovná hodnota</w:t>
            </w:r>
          </w:p>
          <w:p w14:paraId="4DAA2A8C" w14:textId="095789BB" w:rsidR="00235D9D" w:rsidRPr="00D85C65" w:rsidRDefault="00235D9D">
            <w:pPr>
              <w:spacing w:before="0" w:after="0"/>
              <w:ind w:left="33"/>
              <w:rPr>
                <w:rFonts w:ascii="Times New Roman" w:hAnsi="Times New Roman"/>
                <w:bCs/>
                <w:sz w:val="24"/>
              </w:rPr>
            </w:pPr>
          </w:p>
          <w:p w14:paraId="6F51E420" w14:textId="52E0B065" w:rsidR="00D85C65" w:rsidRDefault="00FD54FC">
            <w:pPr>
              <w:spacing w:before="0" w:after="0"/>
              <w:ind w:left="33"/>
              <w:rPr>
                <w:rFonts w:ascii="Times New Roman" w:hAnsi="Times New Roman"/>
                <w:bCs/>
                <w:sz w:val="24"/>
              </w:rPr>
            </w:pPr>
            <w:r w:rsidRPr="00D85C65">
              <w:rPr>
                <w:rFonts w:ascii="Times New Roman" w:hAnsi="Times New Roman"/>
                <w:bCs/>
                <w:sz w:val="24"/>
              </w:rPr>
              <w:t>Účtovná hodnota derivátov zaúčtovaných ako finančné aktíva</w:t>
            </w:r>
            <w:r w:rsidR="00D85C65">
              <w:rPr>
                <w:rFonts w:ascii="Times New Roman" w:hAnsi="Times New Roman"/>
                <w:bCs/>
                <w:sz w:val="24"/>
              </w:rPr>
              <w:t xml:space="preserve"> k </w:t>
            </w:r>
            <w:r w:rsidRPr="00D85C65">
              <w:rPr>
                <w:rFonts w:ascii="Times New Roman" w:hAnsi="Times New Roman"/>
                <w:bCs/>
                <w:sz w:val="24"/>
              </w:rPr>
              <w:t>referenčnému dátumu vykazovania</w:t>
            </w:r>
            <w:r w:rsidR="00D85C65">
              <w:rPr>
                <w:rFonts w:ascii="Times New Roman" w:hAnsi="Times New Roman"/>
                <w:bCs/>
                <w:sz w:val="24"/>
              </w:rPr>
              <w:t>.</w:t>
            </w:r>
          </w:p>
          <w:p w14:paraId="6E21DBB7" w14:textId="5E549E83" w:rsidR="00235D9D" w:rsidRPr="00D85C65" w:rsidRDefault="00235D9D">
            <w:pPr>
              <w:spacing w:before="0" w:after="0"/>
              <w:ind w:left="33"/>
              <w:rPr>
                <w:rFonts w:ascii="Times New Roman" w:hAnsi="Times New Roman"/>
                <w:bCs/>
                <w:sz w:val="24"/>
              </w:rPr>
            </w:pPr>
          </w:p>
          <w:p w14:paraId="0985A675" w14:textId="2B5B3370" w:rsidR="00D85C65" w:rsidRDefault="00FD54FC">
            <w:pPr>
              <w:spacing w:before="0" w:after="0"/>
              <w:ind w:left="33"/>
              <w:rPr>
                <w:rFonts w:ascii="Times New Roman" w:hAnsi="Times New Roman"/>
                <w:bCs/>
                <w:sz w:val="24"/>
              </w:rPr>
            </w:pPr>
            <w:r w:rsidRPr="00D85C65">
              <w:rPr>
                <w:rFonts w:ascii="Times New Roman" w:hAnsi="Times New Roman"/>
                <w:bCs/>
                <w:sz w:val="24"/>
              </w:rPr>
              <w:t>Deriváty, ktoré sa majú vykázať</w:t>
            </w:r>
            <w:r w:rsidR="00D85C65">
              <w:rPr>
                <w:rFonts w:ascii="Times New Roman" w:hAnsi="Times New Roman"/>
                <w:bCs/>
                <w:sz w:val="24"/>
              </w:rPr>
              <w:t xml:space="preserve"> v </w:t>
            </w:r>
            <w:r w:rsidRPr="00D85C65">
              <w:rPr>
                <w:rFonts w:ascii="Times New Roman" w:hAnsi="Times New Roman"/>
                <w:bCs/>
                <w:sz w:val="24"/>
              </w:rPr>
              <w:t>týchto stĺpcoch, zahŕňajú podľa GAAP na základe BAD derivátové nástroje oceňované obstarávacou cenou alebo nižšou</w:t>
            </w:r>
            <w:r w:rsidR="00D85C65">
              <w:rPr>
                <w:rFonts w:ascii="Times New Roman" w:hAnsi="Times New Roman"/>
                <w:bCs/>
                <w:sz w:val="24"/>
              </w:rPr>
              <w:t xml:space="preserve"> z </w:t>
            </w:r>
            <w:r w:rsidRPr="00D85C65">
              <w:rPr>
                <w:rFonts w:ascii="Times New Roman" w:hAnsi="Times New Roman"/>
                <w:bCs/>
                <w:sz w:val="24"/>
              </w:rPr>
              <w:t>obstarávacej alebo trhovej ceny zahrnuté</w:t>
            </w:r>
            <w:r w:rsidR="00D85C65">
              <w:rPr>
                <w:rFonts w:ascii="Times New Roman" w:hAnsi="Times New Roman"/>
                <w:bCs/>
                <w:sz w:val="24"/>
              </w:rPr>
              <w:t xml:space="preserve"> v </w:t>
            </w:r>
            <w:r w:rsidRPr="00D85C65">
              <w:rPr>
                <w:rFonts w:ascii="Times New Roman" w:hAnsi="Times New Roman"/>
                <w:bCs/>
                <w:sz w:val="24"/>
              </w:rPr>
              <w:t>obchodnom portfóliu alebo určené ako zabezpečovacie nástroje</w:t>
            </w:r>
            <w:r w:rsidR="00D85C65">
              <w:rPr>
                <w:rFonts w:ascii="Times New Roman" w:hAnsi="Times New Roman"/>
                <w:bCs/>
                <w:sz w:val="24"/>
              </w:rPr>
              <w:t>.</w:t>
            </w:r>
          </w:p>
          <w:p w14:paraId="5076701F" w14:textId="33A985FA" w:rsidR="00235D9D" w:rsidRPr="00D85C65" w:rsidRDefault="00235D9D">
            <w:pPr>
              <w:spacing w:before="0" w:after="0"/>
              <w:ind w:left="33"/>
              <w:rPr>
                <w:rFonts w:ascii="Times New Roman" w:hAnsi="Times New Roman"/>
                <w:b/>
                <w:bCs/>
                <w:sz w:val="24"/>
                <w:u w:val="single"/>
              </w:rPr>
            </w:pPr>
          </w:p>
        </w:tc>
      </w:tr>
      <w:tr w:rsidR="00235D9D" w:rsidRPr="00D85C65" w14:paraId="55ABF682" w14:textId="77777777" w:rsidTr="00672D2A">
        <w:tc>
          <w:tcPr>
            <w:tcW w:w="1188" w:type="dxa"/>
          </w:tcPr>
          <w:p w14:paraId="3621F38F"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210</w:t>
            </w:r>
          </w:p>
        </w:tc>
        <w:tc>
          <w:tcPr>
            <w:tcW w:w="8640" w:type="dxa"/>
          </w:tcPr>
          <w:p w14:paraId="4F898845" w14:textId="243A3380"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w:t>
            </w:r>
            <w:r w:rsidR="00D85C65">
              <w:rPr>
                <w:rFonts w:ascii="Times New Roman" w:hAnsi="Times New Roman"/>
                <w:b/>
                <w:bCs/>
                <w:sz w:val="24"/>
                <w:u w:val="single"/>
              </w:rPr>
              <w:t xml:space="preserve"> s </w:t>
            </w:r>
            <w:r w:rsidRPr="00D85C65">
              <w:rPr>
                <w:rFonts w:ascii="Times New Roman" w:hAnsi="Times New Roman"/>
                <w:b/>
                <w:bCs/>
                <w:sz w:val="24"/>
                <w:u w:val="single"/>
              </w:rPr>
              <w:t>kladnou reálnou hodnotou: Pomyselná hodnota</w:t>
            </w:r>
          </w:p>
          <w:p w14:paraId="6A3D984E" w14:textId="77777777" w:rsidR="00235D9D" w:rsidRPr="00D85C65" w:rsidRDefault="00235D9D">
            <w:pPr>
              <w:spacing w:before="0" w:after="0"/>
              <w:ind w:left="33"/>
              <w:rPr>
                <w:rFonts w:ascii="Times New Roman" w:hAnsi="Times New Roman"/>
                <w:bCs/>
                <w:sz w:val="24"/>
              </w:rPr>
            </w:pPr>
          </w:p>
          <w:p w14:paraId="5808CEFD" w14:textId="7E18F6C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Podľa IFRS</w:t>
            </w:r>
            <w:r w:rsidR="00D85C65">
              <w:rPr>
                <w:rFonts w:ascii="Times New Roman" w:hAnsi="Times New Roman"/>
                <w:bCs/>
                <w:sz w:val="24"/>
              </w:rPr>
              <w:t xml:space="preserve"> a </w:t>
            </w:r>
            <w:r w:rsidRPr="00D85C65">
              <w:rPr>
                <w:rFonts w:ascii="Times New Roman" w:hAnsi="Times New Roman"/>
                <w:bCs/>
                <w:sz w:val="24"/>
              </w:rPr>
              <w:t xml:space="preserve">národných GAAP na základe BAD pomyselná hodnota, </w:t>
            </w:r>
            <w:r w:rsidRPr="00D85C65">
              <w:rPr>
                <w:rFonts w:ascii="Times New Roman" w:hAnsi="Times New Roman"/>
                <w:bCs/>
                <w:sz w:val="24"/>
                <w:highlight w:val="yellow"/>
              </w:rPr>
              <w:t>ako je vymedzená</w:t>
            </w:r>
            <w:r w:rsidR="00D85C65">
              <w:rPr>
                <w:rFonts w:ascii="Times New Roman" w:hAnsi="Times New Roman"/>
                <w:bCs/>
                <w:sz w:val="24"/>
                <w:highlight w:val="yellow"/>
              </w:rPr>
              <w:t xml:space="preserve"> v </w:t>
            </w:r>
            <w:r w:rsidRPr="00D85C65">
              <w:rPr>
                <w:rFonts w:ascii="Times New Roman" w:hAnsi="Times New Roman"/>
                <w:bCs/>
                <w:sz w:val="24"/>
                <w:highlight w:val="yellow"/>
              </w:rPr>
              <w:t>časti 2 odsekoch 133 až 135</w:t>
            </w:r>
            <w:r w:rsidRPr="00D85C65">
              <w:rPr>
                <w:rFonts w:ascii="Times New Roman" w:hAnsi="Times New Roman"/>
                <w:bCs/>
                <w:sz w:val="24"/>
              </w:rPr>
              <w:t xml:space="preserve"> prílohy</w:t>
            </w:r>
            <w:r w:rsidR="00D85C65">
              <w:rPr>
                <w:rFonts w:ascii="Times New Roman" w:hAnsi="Times New Roman"/>
                <w:bCs/>
                <w:sz w:val="24"/>
              </w:rPr>
              <w:t xml:space="preserve"> V k </w:t>
            </w:r>
            <w:r w:rsidRPr="00D85C65">
              <w:rPr>
                <w:rFonts w:ascii="Times New Roman" w:hAnsi="Times New Roman"/>
                <w:bCs/>
                <w:sz w:val="24"/>
              </w:rPr>
              <w:t>tomuto vykonávaciemu nariadeniu, všetkých derivátových zmlúv uzavretých</w:t>
            </w:r>
            <w:r w:rsidR="00D85C65">
              <w:rPr>
                <w:rFonts w:ascii="Times New Roman" w:hAnsi="Times New Roman"/>
                <w:bCs/>
                <w:sz w:val="24"/>
              </w:rPr>
              <w:t xml:space="preserve"> a </w:t>
            </w:r>
            <w:r w:rsidRPr="00D85C65">
              <w:rPr>
                <w:rFonts w:ascii="Times New Roman" w:hAnsi="Times New Roman"/>
                <w:bCs/>
                <w:sz w:val="24"/>
              </w:rPr>
              <w:t>ešte nevyrovnaných</w:t>
            </w:r>
            <w:r w:rsidR="00D85C65">
              <w:rPr>
                <w:rFonts w:ascii="Times New Roman" w:hAnsi="Times New Roman"/>
                <w:bCs/>
                <w:sz w:val="24"/>
              </w:rPr>
              <w:t xml:space="preserve"> k </w:t>
            </w:r>
            <w:r w:rsidRPr="00D85C65">
              <w:rPr>
                <w:rFonts w:ascii="Times New Roman" w:hAnsi="Times New Roman"/>
                <w:bCs/>
                <w:sz w:val="24"/>
              </w:rPr>
              <w:t>referenčnému dátumu vykazovania, pri ktorých je protistranou orgán verejnej správy, ako sa vymedzuje</w:t>
            </w:r>
            <w:r w:rsidR="00D85C65">
              <w:rPr>
                <w:rFonts w:ascii="Times New Roman" w:hAnsi="Times New Roman"/>
                <w:bCs/>
                <w:sz w:val="24"/>
              </w:rPr>
              <w:t xml:space="preserve"> v </w:t>
            </w:r>
            <w:r w:rsidRPr="00D85C65">
              <w:rPr>
                <w:rFonts w:ascii="Times New Roman" w:hAnsi="Times New Roman"/>
                <w:bCs/>
                <w:sz w:val="24"/>
              </w:rPr>
              <w:t>odsekoch 155 až 160 tejto prílohy,</w:t>
            </w:r>
            <w:r w:rsidR="00D85C65">
              <w:rPr>
                <w:rFonts w:ascii="Times New Roman" w:hAnsi="Times New Roman"/>
                <w:bCs/>
                <w:sz w:val="24"/>
              </w:rPr>
              <w:t xml:space="preserve"> a </w:t>
            </w:r>
            <w:r w:rsidRPr="00D85C65">
              <w:rPr>
                <w:rFonts w:ascii="Times New Roman" w:hAnsi="Times New Roman"/>
                <w:bCs/>
                <w:sz w:val="24"/>
              </w:rPr>
              <w:t>keď je reálna hodnota derivátu pre inštitúciu</w:t>
            </w:r>
            <w:r w:rsidR="00D85C65">
              <w:rPr>
                <w:rFonts w:ascii="Times New Roman" w:hAnsi="Times New Roman"/>
                <w:bCs/>
                <w:sz w:val="24"/>
              </w:rPr>
              <w:t xml:space="preserve"> k </w:t>
            </w:r>
            <w:r w:rsidRPr="00D85C65">
              <w:rPr>
                <w:rFonts w:ascii="Times New Roman" w:hAnsi="Times New Roman"/>
                <w:bCs/>
                <w:sz w:val="24"/>
              </w:rPr>
              <w:t>referenčnému dátumu kladná.</w:t>
            </w:r>
          </w:p>
          <w:p w14:paraId="64F993E7" w14:textId="77777777" w:rsidR="00235D9D" w:rsidRPr="00D85C65" w:rsidRDefault="00235D9D">
            <w:pPr>
              <w:spacing w:before="0" w:after="0"/>
              <w:ind w:left="33"/>
              <w:rPr>
                <w:rFonts w:ascii="Times New Roman" w:hAnsi="Times New Roman"/>
                <w:b/>
                <w:bCs/>
                <w:sz w:val="24"/>
                <w:u w:val="single"/>
              </w:rPr>
            </w:pPr>
          </w:p>
        </w:tc>
      </w:tr>
      <w:tr w:rsidR="00235D9D" w:rsidRPr="00D85C65" w14:paraId="6D901A57" w14:textId="77777777" w:rsidTr="00672D2A">
        <w:tc>
          <w:tcPr>
            <w:tcW w:w="1188" w:type="dxa"/>
          </w:tcPr>
          <w:p w14:paraId="411CC127"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220 – 230</w:t>
            </w:r>
          </w:p>
        </w:tc>
        <w:tc>
          <w:tcPr>
            <w:tcW w:w="8640" w:type="dxa"/>
          </w:tcPr>
          <w:p w14:paraId="072ACC8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 so zápornou reálnou hodnotou</w:t>
            </w:r>
          </w:p>
          <w:p w14:paraId="0FF575AB" w14:textId="77777777" w:rsidR="00235D9D" w:rsidRPr="00D85C65" w:rsidDel="00501397" w:rsidRDefault="00235D9D">
            <w:pPr>
              <w:spacing w:before="0" w:after="0"/>
              <w:ind w:left="33"/>
              <w:rPr>
                <w:rFonts w:ascii="Times New Roman" w:hAnsi="Times New Roman"/>
                <w:bCs/>
                <w:sz w:val="24"/>
              </w:rPr>
            </w:pPr>
          </w:p>
          <w:p w14:paraId="73CBB891" w14:textId="7DC9E43F" w:rsidR="00D85C65" w:rsidRDefault="00FD54FC">
            <w:pPr>
              <w:spacing w:before="0" w:after="0"/>
              <w:ind w:left="33"/>
              <w:rPr>
                <w:rFonts w:ascii="Times New Roman" w:hAnsi="Times New Roman"/>
                <w:bCs/>
                <w:sz w:val="24"/>
              </w:rPr>
            </w:pPr>
            <w:r w:rsidRPr="00D85C65">
              <w:rPr>
                <w:rFonts w:ascii="Times New Roman" w:hAnsi="Times New Roman"/>
                <w:bCs/>
                <w:sz w:val="24"/>
              </w:rPr>
              <w:t>Všetky derivátové nástroje</w:t>
            </w:r>
            <w:r w:rsidR="00D85C65">
              <w:rPr>
                <w:rFonts w:ascii="Times New Roman" w:hAnsi="Times New Roman"/>
                <w:bCs/>
                <w:sz w:val="24"/>
              </w:rPr>
              <w:t xml:space="preserve"> s </w:t>
            </w:r>
            <w:r w:rsidRPr="00D85C65">
              <w:rPr>
                <w:rFonts w:ascii="Times New Roman" w:hAnsi="Times New Roman"/>
                <w:bCs/>
                <w:sz w:val="24"/>
              </w:rPr>
              <w:t>orgánom verejnej správy ako protistranou so zápornou reálnou hodnotou pre inštitúciu</w:t>
            </w:r>
            <w:r w:rsidR="00D85C65">
              <w:rPr>
                <w:rFonts w:ascii="Times New Roman" w:hAnsi="Times New Roman"/>
                <w:bCs/>
                <w:sz w:val="24"/>
              </w:rPr>
              <w:t xml:space="preserve"> k </w:t>
            </w:r>
            <w:r w:rsidRPr="00D85C65">
              <w:rPr>
                <w:rFonts w:ascii="Times New Roman" w:hAnsi="Times New Roman"/>
                <w:bCs/>
                <w:sz w:val="24"/>
              </w:rPr>
              <w:t>referenčnému dátumu vykazovania bez ohľadu na to, či sa uvedené nástroje používajú</w:t>
            </w:r>
            <w:r w:rsidR="00D85C65">
              <w:rPr>
                <w:rFonts w:ascii="Times New Roman" w:hAnsi="Times New Roman"/>
                <w:bCs/>
                <w:sz w:val="24"/>
              </w:rPr>
              <w:t xml:space="preserve"> v </w:t>
            </w:r>
            <w:r w:rsidRPr="00D85C65">
              <w:rPr>
                <w:rFonts w:ascii="Times New Roman" w:hAnsi="Times New Roman"/>
                <w:bCs/>
                <w:sz w:val="24"/>
              </w:rPr>
              <w:t>kvalifikovanom hedžingovom vzťahu alebo sú držané na obchodovanie alebo sú zahrnuté do obchodného portfólia podľa IFRS</w:t>
            </w:r>
            <w:r w:rsidR="00D85C65">
              <w:rPr>
                <w:rFonts w:ascii="Times New Roman" w:hAnsi="Times New Roman"/>
                <w:bCs/>
                <w:sz w:val="24"/>
              </w:rPr>
              <w:t xml:space="preserve"> a </w:t>
            </w:r>
            <w:r w:rsidRPr="00D85C65">
              <w:rPr>
                <w:rFonts w:ascii="Times New Roman" w:hAnsi="Times New Roman"/>
                <w:bCs/>
                <w:sz w:val="24"/>
              </w:rPr>
              <w:t>podľa národných GAAP na základe BAD</w:t>
            </w:r>
            <w:r w:rsidR="00D85C65">
              <w:rPr>
                <w:rFonts w:ascii="Times New Roman" w:hAnsi="Times New Roman"/>
                <w:bCs/>
                <w:sz w:val="24"/>
              </w:rPr>
              <w:t>.</w:t>
            </w:r>
          </w:p>
          <w:p w14:paraId="358C7FF3" w14:textId="674F99CA" w:rsidR="00235D9D" w:rsidRPr="00D85C65" w:rsidRDefault="00235D9D">
            <w:pPr>
              <w:spacing w:before="0" w:after="0"/>
              <w:ind w:left="33"/>
              <w:rPr>
                <w:rFonts w:ascii="Times New Roman" w:hAnsi="Times New Roman"/>
                <w:bCs/>
                <w:sz w:val="24"/>
              </w:rPr>
            </w:pPr>
          </w:p>
          <w:p w14:paraId="6A155A27" w14:textId="31B04DB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Deriváty použité</w:t>
            </w:r>
            <w:r w:rsidR="00D85C65">
              <w:rPr>
                <w:rFonts w:ascii="Times New Roman" w:hAnsi="Times New Roman"/>
                <w:bCs/>
                <w:sz w:val="24"/>
              </w:rPr>
              <w:t xml:space="preserve"> v </w:t>
            </w:r>
            <w:r w:rsidRPr="00D85C65">
              <w:rPr>
                <w:rFonts w:ascii="Times New Roman" w:hAnsi="Times New Roman"/>
                <w:bCs/>
                <w:sz w:val="24"/>
              </w:rPr>
              <w:t>ekonomickom hedžingu sa vykazujú tu, keď sú zahrnuté do obchodovania</w:t>
            </w:r>
            <w:r w:rsidR="00D85C65">
              <w:rPr>
                <w:rFonts w:ascii="Times New Roman" w:hAnsi="Times New Roman"/>
                <w:bCs/>
                <w:sz w:val="24"/>
              </w:rPr>
              <w:t xml:space="preserve"> v </w:t>
            </w:r>
            <w:r w:rsidRPr="00D85C65">
              <w:rPr>
                <w:rFonts w:ascii="Times New Roman" w:hAnsi="Times New Roman"/>
                <w:bCs/>
                <w:sz w:val="24"/>
              </w:rPr>
              <w:t>účtovných portfóliách alebo ak sú držané na obchodovanie</w:t>
            </w:r>
            <w:r w:rsidR="00D85C65">
              <w:rPr>
                <w:rFonts w:ascii="Times New Roman" w:hAnsi="Times New Roman"/>
                <w:bCs/>
                <w:sz w:val="24"/>
              </w:rPr>
              <w:t xml:space="preserve"> v </w:t>
            </w:r>
            <w:r w:rsidRPr="00D85C65">
              <w:rPr>
                <w:rFonts w:ascii="Times New Roman" w:hAnsi="Times New Roman"/>
                <w:bCs/>
                <w:sz w:val="24"/>
              </w:rPr>
              <w:t>účtovných portfóliách (časť 2 odseky 120, 124, 125</w:t>
            </w:r>
            <w:r w:rsidR="00D85C65">
              <w:rPr>
                <w:rFonts w:ascii="Times New Roman" w:hAnsi="Times New Roman"/>
                <w:bCs/>
                <w:sz w:val="24"/>
              </w:rPr>
              <w:t xml:space="preserve"> a </w:t>
            </w:r>
            <w:r w:rsidRPr="00D85C65">
              <w:rPr>
                <w:rFonts w:ascii="Times New Roman" w:hAnsi="Times New Roman"/>
                <w:bCs/>
                <w:sz w:val="24"/>
              </w:rPr>
              <w:t>odseky 137 až 140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503071F1" w14:textId="77777777" w:rsidR="00235D9D" w:rsidRPr="00D85C65" w:rsidRDefault="00235D9D">
            <w:pPr>
              <w:spacing w:before="0" w:after="0"/>
              <w:ind w:left="33"/>
              <w:rPr>
                <w:rFonts w:ascii="Times New Roman" w:hAnsi="Times New Roman"/>
                <w:b/>
                <w:bCs/>
                <w:sz w:val="24"/>
                <w:u w:val="single"/>
              </w:rPr>
            </w:pPr>
          </w:p>
        </w:tc>
      </w:tr>
      <w:tr w:rsidR="00235D9D" w:rsidRPr="00D85C65" w14:paraId="597DAA3B" w14:textId="77777777" w:rsidTr="00672D2A">
        <w:tc>
          <w:tcPr>
            <w:tcW w:w="1188" w:type="dxa"/>
          </w:tcPr>
          <w:p w14:paraId="4C4F7C1B"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220</w:t>
            </w:r>
          </w:p>
        </w:tc>
        <w:tc>
          <w:tcPr>
            <w:tcW w:w="8640" w:type="dxa"/>
          </w:tcPr>
          <w:p w14:paraId="1E79FEA9"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 so zápornou reálnou hodnotou: Účtovná hodnota</w:t>
            </w:r>
          </w:p>
          <w:p w14:paraId="12321CD6" w14:textId="3273C5DA" w:rsidR="00235D9D" w:rsidRPr="00D85C65" w:rsidRDefault="00235D9D">
            <w:pPr>
              <w:spacing w:before="0" w:after="0"/>
              <w:ind w:left="33"/>
              <w:rPr>
                <w:rFonts w:ascii="Times New Roman" w:hAnsi="Times New Roman"/>
                <w:bCs/>
                <w:sz w:val="24"/>
              </w:rPr>
            </w:pPr>
          </w:p>
          <w:p w14:paraId="344E204A" w14:textId="246674CD" w:rsidR="00D85C65" w:rsidRDefault="00FD54FC">
            <w:pPr>
              <w:spacing w:before="0" w:after="0"/>
              <w:ind w:left="33"/>
              <w:rPr>
                <w:rFonts w:ascii="Times New Roman" w:hAnsi="Times New Roman"/>
                <w:bCs/>
                <w:sz w:val="24"/>
              </w:rPr>
            </w:pPr>
            <w:r w:rsidRPr="00D85C65">
              <w:rPr>
                <w:rFonts w:ascii="Times New Roman" w:hAnsi="Times New Roman"/>
                <w:bCs/>
                <w:sz w:val="24"/>
              </w:rPr>
              <w:t>Účtovná hodnota derivátov zaúčtovaných ako finančné záväzky</w:t>
            </w:r>
            <w:r w:rsidR="00D85C65">
              <w:rPr>
                <w:rFonts w:ascii="Times New Roman" w:hAnsi="Times New Roman"/>
                <w:bCs/>
                <w:sz w:val="24"/>
              </w:rPr>
              <w:t xml:space="preserve"> k </w:t>
            </w:r>
            <w:r w:rsidRPr="00D85C65">
              <w:rPr>
                <w:rFonts w:ascii="Times New Roman" w:hAnsi="Times New Roman"/>
                <w:bCs/>
                <w:sz w:val="24"/>
              </w:rPr>
              <w:t>referenčnému dátumu vykazovania</w:t>
            </w:r>
            <w:r w:rsidR="00D85C65">
              <w:rPr>
                <w:rFonts w:ascii="Times New Roman" w:hAnsi="Times New Roman"/>
                <w:bCs/>
                <w:sz w:val="24"/>
              </w:rPr>
              <w:t>.</w:t>
            </w:r>
          </w:p>
          <w:p w14:paraId="4F38595F" w14:textId="697478E0" w:rsidR="00235D9D" w:rsidRPr="00D85C65" w:rsidRDefault="00235D9D">
            <w:pPr>
              <w:spacing w:before="0" w:after="0"/>
              <w:ind w:left="33"/>
              <w:rPr>
                <w:rFonts w:ascii="Times New Roman" w:hAnsi="Times New Roman"/>
                <w:bCs/>
                <w:sz w:val="24"/>
              </w:rPr>
            </w:pPr>
          </w:p>
          <w:p w14:paraId="1B362BA3" w14:textId="4436541E" w:rsidR="00D85C65" w:rsidRDefault="00FD54FC">
            <w:pPr>
              <w:spacing w:before="0" w:after="0"/>
              <w:ind w:left="33"/>
              <w:rPr>
                <w:rFonts w:ascii="Times New Roman" w:hAnsi="Times New Roman"/>
                <w:bCs/>
                <w:sz w:val="24"/>
              </w:rPr>
            </w:pPr>
            <w:r w:rsidRPr="00D85C65">
              <w:rPr>
                <w:rFonts w:ascii="Times New Roman" w:hAnsi="Times New Roman"/>
                <w:bCs/>
                <w:sz w:val="24"/>
              </w:rPr>
              <w:t>Deriváty, ktoré sa majú vykázať</w:t>
            </w:r>
            <w:r w:rsidR="00D85C65">
              <w:rPr>
                <w:rFonts w:ascii="Times New Roman" w:hAnsi="Times New Roman"/>
                <w:bCs/>
                <w:sz w:val="24"/>
              </w:rPr>
              <w:t xml:space="preserve"> v </w:t>
            </w:r>
            <w:r w:rsidRPr="00D85C65">
              <w:rPr>
                <w:rFonts w:ascii="Times New Roman" w:hAnsi="Times New Roman"/>
                <w:bCs/>
                <w:sz w:val="24"/>
              </w:rPr>
              <w:t>týchto stĺpcoch, zahŕňajú podľa GAAP na základe BAD derivátové nástroje oceňované obstarávacou cenou alebo nižšou</w:t>
            </w:r>
            <w:r w:rsidR="00D85C65">
              <w:rPr>
                <w:rFonts w:ascii="Times New Roman" w:hAnsi="Times New Roman"/>
                <w:bCs/>
                <w:sz w:val="24"/>
              </w:rPr>
              <w:t xml:space="preserve"> z </w:t>
            </w:r>
            <w:r w:rsidRPr="00D85C65">
              <w:rPr>
                <w:rFonts w:ascii="Times New Roman" w:hAnsi="Times New Roman"/>
                <w:bCs/>
                <w:sz w:val="24"/>
              </w:rPr>
              <w:t>obstarávacej alebo trhovej ceny zahrnuté</w:t>
            </w:r>
            <w:r w:rsidR="00D85C65">
              <w:rPr>
                <w:rFonts w:ascii="Times New Roman" w:hAnsi="Times New Roman"/>
                <w:bCs/>
                <w:sz w:val="24"/>
              </w:rPr>
              <w:t xml:space="preserve"> v </w:t>
            </w:r>
            <w:r w:rsidRPr="00D85C65">
              <w:rPr>
                <w:rFonts w:ascii="Times New Roman" w:hAnsi="Times New Roman"/>
                <w:bCs/>
                <w:sz w:val="24"/>
              </w:rPr>
              <w:t>obchodnom portfóliu alebo určené ako zabezpečovacie nástroje</w:t>
            </w:r>
            <w:r w:rsidR="00D85C65">
              <w:rPr>
                <w:rFonts w:ascii="Times New Roman" w:hAnsi="Times New Roman"/>
                <w:bCs/>
                <w:sz w:val="24"/>
              </w:rPr>
              <w:t>.</w:t>
            </w:r>
          </w:p>
          <w:p w14:paraId="2F7292FC" w14:textId="3439747A" w:rsidR="00235D9D" w:rsidRPr="00D85C65" w:rsidRDefault="00235D9D">
            <w:pPr>
              <w:spacing w:before="0" w:after="0"/>
              <w:ind w:left="33"/>
              <w:rPr>
                <w:rFonts w:ascii="Times New Roman" w:hAnsi="Times New Roman"/>
                <w:b/>
                <w:bCs/>
                <w:sz w:val="24"/>
                <w:u w:val="single"/>
              </w:rPr>
            </w:pPr>
          </w:p>
        </w:tc>
      </w:tr>
      <w:tr w:rsidR="00235D9D" w:rsidRPr="00D85C65" w14:paraId="209C56C9" w14:textId="77777777" w:rsidTr="00672D2A">
        <w:tc>
          <w:tcPr>
            <w:tcW w:w="1188" w:type="dxa"/>
          </w:tcPr>
          <w:p w14:paraId="44F88DB9"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230</w:t>
            </w:r>
          </w:p>
        </w:tc>
        <w:tc>
          <w:tcPr>
            <w:tcW w:w="8640" w:type="dxa"/>
          </w:tcPr>
          <w:p w14:paraId="0E61C874" w14:textId="77777777" w:rsidR="00235D9D" w:rsidRPr="00D85C65" w:rsidRDefault="00FD54FC">
            <w:pPr>
              <w:spacing w:before="0" w:after="0"/>
              <w:rPr>
                <w:rFonts w:ascii="Times New Roman" w:hAnsi="Times New Roman"/>
                <w:b/>
                <w:bCs/>
                <w:sz w:val="24"/>
                <w:u w:val="single"/>
              </w:rPr>
            </w:pPr>
            <w:r w:rsidRPr="00D85C65">
              <w:rPr>
                <w:rFonts w:ascii="Times New Roman" w:hAnsi="Times New Roman"/>
                <w:b/>
                <w:bCs/>
                <w:sz w:val="24"/>
                <w:u w:val="single"/>
              </w:rPr>
              <w:t>Deriváty so zápornou reálnou hodnotou: Pomyselná hodnota</w:t>
            </w:r>
          </w:p>
          <w:p w14:paraId="5853C03D" w14:textId="77777777" w:rsidR="00235D9D" w:rsidRPr="00D85C65" w:rsidRDefault="00235D9D">
            <w:pPr>
              <w:spacing w:before="0" w:after="0"/>
              <w:ind w:left="33"/>
              <w:rPr>
                <w:rFonts w:ascii="Times New Roman" w:hAnsi="Times New Roman"/>
                <w:b/>
                <w:bCs/>
                <w:sz w:val="24"/>
                <w:u w:val="single"/>
              </w:rPr>
            </w:pPr>
          </w:p>
          <w:p w14:paraId="2002C38C" w14:textId="71D3ECF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Podľa IFRS</w:t>
            </w:r>
            <w:r w:rsidR="00D85C65">
              <w:rPr>
                <w:rFonts w:ascii="Times New Roman" w:hAnsi="Times New Roman"/>
                <w:bCs/>
                <w:sz w:val="24"/>
              </w:rPr>
              <w:t xml:space="preserve"> a </w:t>
            </w:r>
            <w:r w:rsidRPr="00D85C65">
              <w:rPr>
                <w:rFonts w:ascii="Times New Roman" w:hAnsi="Times New Roman"/>
                <w:bCs/>
                <w:sz w:val="24"/>
              </w:rPr>
              <w:t xml:space="preserve">národných GAAP na základe BAD pomyselná hodnota, </w:t>
            </w:r>
            <w:r w:rsidRPr="00D85C65">
              <w:rPr>
                <w:rFonts w:ascii="Times New Roman" w:hAnsi="Times New Roman"/>
                <w:bCs/>
                <w:sz w:val="24"/>
                <w:highlight w:val="yellow"/>
              </w:rPr>
              <w:t>ako je vymedzená</w:t>
            </w:r>
            <w:r w:rsidR="00D85C65">
              <w:rPr>
                <w:rFonts w:ascii="Times New Roman" w:hAnsi="Times New Roman"/>
                <w:bCs/>
                <w:sz w:val="24"/>
                <w:highlight w:val="yellow"/>
              </w:rPr>
              <w:t xml:space="preserve"> v </w:t>
            </w:r>
            <w:r w:rsidRPr="00D85C65">
              <w:rPr>
                <w:rFonts w:ascii="Times New Roman" w:hAnsi="Times New Roman"/>
                <w:bCs/>
                <w:sz w:val="24"/>
                <w:highlight w:val="yellow"/>
              </w:rPr>
              <w:t>časti 2 odsekoch 133 až 135 prílohy</w:t>
            </w:r>
            <w:r w:rsidR="00D85C65">
              <w:rPr>
                <w:rFonts w:ascii="Times New Roman" w:hAnsi="Times New Roman"/>
                <w:bCs/>
                <w:sz w:val="24"/>
                <w:highlight w:val="yellow"/>
              </w:rPr>
              <w:t xml:space="preserve"> V </w:t>
            </w:r>
            <w:r w:rsidR="00D85C65">
              <w:rPr>
                <w:rFonts w:ascii="Times New Roman" w:hAnsi="Times New Roman"/>
                <w:bCs/>
                <w:sz w:val="24"/>
              </w:rPr>
              <w:t>k </w:t>
            </w:r>
            <w:r w:rsidRPr="00D85C65">
              <w:rPr>
                <w:rFonts w:ascii="Times New Roman" w:hAnsi="Times New Roman"/>
                <w:bCs/>
                <w:sz w:val="24"/>
              </w:rPr>
              <w:t>tomuto vykonávaciemu nariadeniu, všetkých derivátových zmlúv uzavretých</w:t>
            </w:r>
            <w:r w:rsidR="00D85C65">
              <w:rPr>
                <w:rFonts w:ascii="Times New Roman" w:hAnsi="Times New Roman"/>
                <w:bCs/>
                <w:sz w:val="24"/>
              </w:rPr>
              <w:t xml:space="preserve"> a </w:t>
            </w:r>
            <w:r w:rsidRPr="00D85C65">
              <w:rPr>
                <w:rFonts w:ascii="Times New Roman" w:hAnsi="Times New Roman"/>
                <w:bCs/>
                <w:sz w:val="24"/>
              </w:rPr>
              <w:t>ešte nevyrovnaných</w:t>
            </w:r>
            <w:r w:rsidR="00D85C65">
              <w:rPr>
                <w:rFonts w:ascii="Times New Roman" w:hAnsi="Times New Roman"/>
                <w:bCs/>
                <w:sz w:val="24"/>
              </w:rPr>
              <w:t xml:space="preserve"> k </w:t>
            </w:r>
            <w:r w:rsidRPr="00D85C65">
              <w:rPr>
                <w:rFonts w:ascii="Times New Roman" w:hAnsi="Times New Roman"/>
                <w:bCs/>
                <w:sz w:val="24"/>
              </w:rPr>
              <w:t>referenčnému dátumu, pri ktorých je protistranou orgán verejnej správy, ako sa vymedzuje</w:t>
            </w:r>
            <w:r w:rsidR="00D85C65">
              <w:rPr>
                <w:rFonts w:ascii="Times New Roman" w:hAnsi="Times New Roman"/>
                <w:bCs/>
                <w:sz w:val="24"/>
              </w:rPr>
              <w:t xml:space="preserve"> v </w:t>
            </w:r>
            <w:r w:rsidRPr="00D85C65">
              <w:rPr>
                <w:rFonts w:ascii="Times New Roman" w:hAnsi="Times New Roman"/>
                <w:bCs/>
                <w:sz w:val="24"/>
              </w:rPr>
              <w:t>odsekoch 155 až 160 tejto prílohy,</w:t>
            </w:r>
            <w:r w:rsidR="00D85C65">
              <w:rPr>
                <w:rFonts w:ascii="Times New Roman" w:hAnsi="Times New Roman"/>
                <w:bCs/>
                <w:sz w:val="24"/>
              </w:rPr>
              <w:t xml:space="preserve"> a </w:t>
            </w:r>
            <w:r w:rsidRPr="00D85C65">
              <w:rPr>
                <w:rFonts w:ascii="Times New Roman" w:hAnsi="Times New Roman"/>
                <w:bCs/>
                <w:sz w:val="24"/>
              </w:rPr>
              <w:t>keď je reálna hodnota derivátu pre inštitúciu</w:t>
            </w:r>
            <w:r w:rsidR="00D85C65">
              <w:rPr>
                <w:rFonts w:ascii="Times New Roman" w:hAnsi="Times New Roman"/>
                <w:bCs/>
                <w:sz w:val="24"/>
              </w:rPr>
              <w:t xml:space="preserve"> k </w:t>
            </w:r>
            <w:r w:rsidRPr="00D85C65">
              <w:rPr>
                <w:rFonts w:ascii="Times New Roman" w:hAnsi="Times New Roman"/>
                <w:bCs/>
                <w:sz w:val="24"/>
              </w:rPr>
              <w:t>referenčnému dátumu záporná.</w:t>
            </w:r>
          </w:p>
          <w:p w14:paraId="25148E1B" w14:textId="77777777" w:rsidR="00235D9D" w:rsidRPr="00D85C65" w:rsidRDefault="00235D9D">
            <w:pPr>
              <w:spacing w:before="0" w:after="0"/>
              <w:ind w:left="33"/>
              <w:rPr>
                <w:rFonts w:ascii="Times New Roman" w:hAnsi="Times New Roman"/>
                <w:b/>
                <w:bCs/>
                <w:sz w:val="24"/>
                <w:u w:val="single"/>
              </w:rPr>
            </w:pPr>
          </w:p>
        </w:tc>
      </w:tr>
      <w:tr w:rsidR="00235D9D" w:rsidRPr="00D85C65" w14:paraId="14FD3216" w14:textId="77777777" w:rsidTr="00672D2A">
        <w:tc>
          <w:tcPr>
            <w:tcW w:w="1188" w:type="dxa"/>
          </w:tcPr>
          <w:p w14:paraId="28BA209B"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240 – 260</w:t>
            </w:r>
          </w:p>
        </w:tc>
        <w:tc>
          <w:tcPr>
            <w:tcW w:w="8640" w:type="dxa"/>
          </w:tcPr>
          <w:p w14:paraId="0781AE02"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PODSÚVAHOVÉ EXPOZÍCIE</w:t>
            </w:r>
          </w:p>
        </w:tc>
      </w:tr>
      <w:tr w:rsidR="00235D9D" w:rsidRPr="00D85C65" w14:paraId="1D6AC624" w14:textId="77777777" w:rsidTr="00672D2A">
        <w:tc>
          <w:tcPr>
            <w:tcW w:w="1188" w:type="dxa"/>
          </w:tcPr>
          <w:p w14:paraId="507721AD"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240</w:t>
            </w:r>
          </w:p>
        </w:tc>
        <w:tc>
          <w:tcPr>
            <w:tcW w:w="8640" w:type="dxa"/>
          </w:tcPr>
          <w:p w14:paraId="0553BFB8"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Nominálna hodnota</w:t>
            </w:r>
          </w:p>
          <w:p w14:paraId="78EEAF76" w14:textId="77777777" w:rsidR="00235D9D" w:rsidRPr="00D85C65" w:rsidRDefault="00235D9D">
            <w:pPr>
              <w:spacing w:before="0" w:after="0"/>
              <w:ind w:left="33"/>
              <w:rPr>
                <w:rFonts w:ascii="Times New Roman" w:hAnsi="Times New Roman"/>
                <w:bCs/>
                <w:sz w:val="24"/>
              </w:rPr>
            </w:pPr>
          </w:p>
          <w:p w14:paraId="77CE35DA" w14:textId="61B60A0C"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Keď je priamou protistranou podsúvahovej položky orgán verejnej správy, ako sa vymedzuje</w:t>
            </w:r>
            <w:r w:rsidR="00D85C65">
              <w:rPr>
                <w:rFonts w:ascii="Times New Roman" w:hAnsi="Times New Roman"/>
                <w:bCs/>
                <w:sz w:val="24"/>
              </w:rPr>
              <w:t xml:space="preserve"> v </w:t>
            </w:r>
            <w:r w:rsidRPr="00D85C65">
              <w:rPr>
                <w:rFonts w:ascii="Times New Roman" w:hAnsi="Times New Roman"/>
                <w:bCs/>
                <w:sz w:val="24"/>
              </w:rPr>
              <w:t>odsekoch 155 až 160 tejto prílohy, nominálna hodnota prísľubov</w:t>
            </w:r>
            <w:r w:rsidR="00D85C65">
              <w:rPr>
                <w:rFonts w:ascii="Times New Roman" w:hAnsi="Times New Roman"/>
                <w:bCs/>
                <w:sz w:val="24"/>
              </w:rPr>
              <w:t xml:space="preserve"> a </w:t>
            </w:r>
            <w:r w:rsidRPr="00D85C65">
              <w:rPr>
                <w:rFonts w:ascii="Times New Roman" w:hAnsi="Times New Roman"/>
                <w:bCs/>
                <w:sz w:val="24"/>
              </w:rPr>
              <w:t>finančných záruk, ktoré sa nepovažujú za derivát</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IFRS alebo podľa národných GAAP na základe BAD (časť 2 ods. 102 až 119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3CF4F34B" w14:textId="77777777" w:rsidR="00235D9D" w:rsidRPr="00D85C65" w:rsidRDefault="00235D9D">
            <w:pPr>
              <w:spacing w:before="0" w:after="0"/>
              <w:ind w:left="33"/>
              <w:rPr>
                <w:rFonts w:ascii="Times New Roman" w:hAnsi="Times New Roman"/>
                <w:bCs/>
                <w:sz w:val="24"/>
              </w:rPr>
            </w:pPr>
          </w:p>
          <w:p w14:paraId="6D767AC5" w14:textId="5606DFAA" w:rsidR="00D85C65" w:rsidRDefault="00FD54FC">
            <w:pPr>
              <w:spacing w:before="0" w:after="0"/>
              <w:ind w:left="33"/>
              <w:rPr>
                <w:rFonts w:ascii="Times New Roman" w:hAnsi="Times New Roman"/>
                <w:bCs/>
                <w:sz w:val="24"/>
              </w:rPr>
            </w:pPr>
            <w:r w:rsidRPr="00D85C65">
              <w:rPr>
                <w:rFonts w:ascii="Times New Roman" w:hAnsi="Times New Roman"/>
                <w:bCs/>
                <w:sz w:val="24"/>
              </w:rPr>
              <w:t>V súlade</w:t>
            </w:r>
            <w:r w:rsidR="00D85C65">
              <w:rPr>
                <w:rFonts w:ascii="Times New Roman" w:hAnsi="Times New Roman"/>
                <w:bCs/>
                <w:sz w:val="24"/>
              </w:rPr>
              <w:t xml:space="preserve"> s </w:t>
            </w:r>
            <w:r w:rsidRPr="00D85C65">
              <w:rPr>
                <w:rFonts w:ascii="Times New Roman" w:hAnsi="Times New Roman"/>
                <w:bCs/>
                <w:sz w:val="24"/>
              </w:rPr>
              <w:t>časťou 2 ods. 43</w:t>
            </w:r>
            <w:r w:rsidR="00D85C65">
              <w:rPr>
                <w:rFonts w:ascii="Times New Roman" w:hAnsi="Times New Roman"/>
                <w:bCs/>
                <w:sz w:val="24"/>
              </w:rPr>
              <w:t xml:space="preserve"> a </w:t>
            </w:r>
            <w:r w:rsidRPr="00D85C65">
              <w:rPr>
                <w:rFonts w:ascii="Times New Roman" w:hAnsi="Times New Roman"/>
                <w:bCs/>
                <w:sz w:val="24"/>
              </w:rPr>
              <w:t>44 prílohy</w:t>
            </w:r>
            <w:r w:rsidR="00D85C65">
              <w:rPr>
                <w:rFonts w:ascii="Times New Roman" w:hAnsi="Times New Roman"/>
                <w:bCs/>
                <w:sz w:val="24"/>
              </w:rPr>
              <w:t xml:space="preserve"> V k </w:t>
            </w:r>
            <w:r w:rsidRPr="00D85C65">
              <w:rPr>
                <w:rFonts w:ascii="Times New Roman" w:hAnsi="Times New Roman"/>
                <w:bCs/>
                <w:sz w:val="24"/>
              </w:rPr>
              <w:t>tomuto vykonávaciemu nariadeniu je orgán verejnej správy priamou protistranou: a)</w:t>
            </w:r>
            <w:r w:rsidR="00D85C65">
              <w:rPr>
                <w:rFonts w:ascii="Times New Roman" w:hAnsi="Times New Roman"/>
                <w:bCs/>
                <w:sz w:val="24"/>
              </w:rPr>
              <w:t xml:space="preserve"> v </w:t>
            </w:r>
            <w:r w:rsidRPr="00D85C65">
              <w:rPr>
                <w:rFonts w:ascii="Times New Roman" w:hAnsi="Times New Roman"/>
                <w:bCs/>
                <w:sz w:val="24"/>
              </w:rPr>
              <w:t>poskytnutej finančnej záruke, keď je priamou protistranou zaručeného dlhového nástroja</w:t>
            </w:r>
            <w:r w:rsidR="00D85C65">
              <w:rPr>
                <w:rFonts w:ascii="Times New Roman" w:hAnsi="Times New Roman"/>
                <w:bCs/>
                <w:sz w:val="24"/>
              </w:rPr>
              <w:t xml:space="preserve"> a </w:t>
            </w:r>
            <w:r w:rsidRPr="00D85C65">
              <w:rPr>
                <w:rFonts w:ascii="Times New Roman" w:hAnsi="Times New Roman"/>
                <w:bCs/>
                <w:sz w:val="24"/>
              </w:rPr>
              <w:t>b)</w:t>
            </w:r>
            <w:r w:rsidR="00D85C65">
              <w:rPr>
                <w:rFonts w:ascii="Times New Roman" w:hAnsi="Times New Roman"/>
                <w:bCs/>
                <w:sz w:val="24"/>
              </w:rPr>
              <w:t xml:space="preserve"> v </w:t>
            </w:r>
            <w:r w:rsidRPr="00D85C65">
              <w:rPr>
                <w:rFonts w:ascii="Times New Roman" w:hAnsi="Times New Roman"/>
                <w:bCs/>
                <w:sz w:val="24"/>
              </w:rPr>
              <w:t>úverovom prísľube</w:t>
            </w:r>
            <w:r w:rsidR="00D85C65">
              <w:rPr>
                <w:rFonts w:ascii="Times New Roman" w:hAnsi="Times New Roman"/>
                <w:bCs/>
                <w:sz w:val="24"/>
              </w:rPr>
              <w:t xml:space="preserve"> a </w:t>
            </w:r>
            <w:r w:rsidRPr="00D85C65">
              <w:rPr>
                <w:rFonts w:ascii="Times New Roman" w:hAnsi="Times New Roman"/>
                <w:bCs/>
                <w:sz w:val="24"/>
              </w:rPr>
              <w:t>inom poskytnutom prísľube, keď je protistranou, ktorej kreditné riziko na seba preberá vykazujúca inštitúcia</w:t>
            </w:r>
            <w:r w:rsidR="00D85C65">
              <w:rPr>
                <w:rFonts w:ascii="Times New Roman" w:hAnsi="Times New Roman"/>
                <w:bCs/>
                <w:sz w:val="24"/>
              </w:rPr>
              <w:t>.</w:t>
            </w:r>
          </w:p>
          <w:p w14:paraId="041464C7" w14:textId="0834D25A" w:rsidR="00235D9D" w:rsidRPr="00D85C65" w:rsidRDefault="00235D9D">
            <w:pPr>
              <w:spacing w:before="0" w:after="0"/>
              <w:ind w:left="33"/>
              <w:rPr>
                <w:rFonts w:ascii="Times New Roman" w:hAnsi="Times New Roman"/>
                <w:bCs/>
                <w:sz w:val="24"/>
              </w:rPr>
            </w:pPr>
          </w:p>
        </w:tc>
      </w:tr>
      <w:tr w:rsidR="00235D9D" w:rsidRPr="00D85C65" w14:paraId="73EC8195" w14:textId="77777777" w:rsidTr="00672D2A">
        <w:tc>
          <w:tcPr>
            <w:tcW w:w="1188" w:type="dxa"/>
          </w:tcPr>
          <w:p w14:paraId="24400E20"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250</w:t>
            </w:r>
          </w:p>
        </w:tc>
        <w:tc>
          <w:tcPr>
            <w:tcW w:w="8640" w:type="dxa"/>
          </w:tcPr>
          <w:p w14:paraId="486A9A32"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Rezervy</w:t>
            </w:r>
          </w:p>
          <w:p w14:paraId="3CAA4F53" w14:textId="77777777" w:rsidR="00235D9D" w:rsidRPr="00D85C65" w:rsidRDefault="00235D9D">
            <w:pPr>
              <w:spacing w:before="0" w:after="0"/>
              <w:ind w:left="33"/>
              <w:rPr>
                <w:rFonts w:ascii="Times New Roman" w:hAnsi="Times New Roman"/>
                <w:bCs/>
                <w:sz w:val="24"/>
              </w:rPr>
            </w:pPr>
          </w:p>
          <w:p w14:paraId="6CB1F0DA" w14:textId="51FECCF0" w:rsidR="00235D9D" w:rsidRPr="00D85C65" w:rsidRDefault="002F78EA">
            <w:pPr>
              <w:spacing w:before="0" w:after="0"/>
              <w:ind w:left="33"/>
              <w:rPr>
                <w:rFonts w:ascii="Times New Roman" w:hAnsi="Times New Roman"/>
                <w:bCs/>
                <w:sz w:val="24"/>
              </w:rPr>
            </w:pPr>
            <w:r w:rsidRPr="00D85C65">
              <w:rPr>
                <w:rFonts w:ascii="Times New Roman" w:hAnsi="Times New Roman"/>
                <w:bCs/>
                <w:sz w:val="24"/>
                <w:highlight w:val="yellow"/>
              </w:rPr>
              <w:t>Článok 4 ods. 6 písm. c)</w:t>
            </w:r>
            <w:r w:rsidR="00D85C65">
              <w:rPr>
                <w:rFonts w:ascii="Times New Roman" w:hAnsi="Times New Roman"/>
                <w:bCs/>
                <w:sz w:val="24"/>
                <w:highlight w:val="yellow"/>
              </w:rPr>
              <w:t xml:space="preserve"> a </w:t>
            </w:r>
            <w:r w:rsidRPr="00D85C65">
              <w:rPr>
                <w:rFonts w:ascii="Times New Roman" w:hAnsi="Times New Roman"/>
                <w:bCs/>
                <w:sz w:val="24"/>
                <w:highlight w:val="yellow"/>
              </w:rPr>
              <w:t>„Podsúvahové položky“, článok 27 ods. 11, článok 28 ods. 8</w:t>
            </w:r>
            <w:r w:rsidR="00D85C65">
              <w:rPr>
                <w:rFonts w:ascii="Times New Roman" w:hAnsi="Times New Roman"/>
                <w:bCs/>
                <w:sz w:val="24"/>
              </w:rPr>
              <w:t xml:space="preserve"> a </w:t>
            </w:r>
            <w:r w:rsidRPr="00D85C65">
              <w:rPr>
                <w:rFonts w:ascii="Times New Roman" w:hAnsi="Times New Roman"/>
                <w:bCs/>
                <w:sz w:val="24"/>
              </w:rPr>
              <w:t>článok 33 BAD; IFRS 9 ods. 4.2.1 písm. c) bod ii), písm. d) ods. ii), IFRS 9 ods. 5.5.20; IAS 37, IFRS 4, časť 2.11 prílohy</w:t>
            </w:r>
            <w:r w:rsidR="00D85C65">
              <w:rPr>
                <w:rFonts w:ascii="Times New Roman" w:hAnsi="Times New Roman"/>
                <w:bCs/>
                <w:sz w:val="24"/>
              </w:rPr>
              <w:t xml:space="preserve"> V k </w:t>
            </w:r>
            <w:r w:rsidRPr="00D85C65">
              <w:rPr>
                <w:rFonts w:ascii="Times New Roman" w:hAnsi="Times New Roman"/>
                <w:bCs/>
                <w:sz w:val="24"/>
              </w:rPr>
              <w:t>tomuto vykonávaciemu nariadeniu.</w:t>
            </w:r>
          </w:p>
          <w:p w14:paraId="0171C2E6" w14:textId="77777777" w:rsidR="00235D9D" w:rsidRPr="00D85C65" w:rsidRDefault="00235D9D">
            <w:pPr>
              <w:spacing w:before="0" w:after="0"/>
              <w:ind w:left="33"/>
              <w:rPr>
                <w:rFonts w:ascii="Times New Roman" w:hAnsi="Times New Roman"/>
                <w:bCs/>
                <w:sz w:val="24"/>
              </w:rPr>
            </w:pPr>
          </w:p>
          <w:p w14:paraId="044EB405" w14:textId="0EC2BA02"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Ustanovenia pre všetky podsúvahové expozície bez ohľadu na to, akým spôsobom sa oceňujú, okrem tých, ktoré sa oceňujú reálnou hodnotou cez výsledok hospodárenia</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IFRS 9.</w:t>
            </w:r>
          </w:p>
          <w:p w14:paraId="5A5CDBB6" w14:textId="76D5366B" w:rsidR="00235D9D" w:rsidRPr="00D85C65" w:rsidRDefault="00235D9D">
            <w:pPr>
              <w:spacing w:before="0" w:after="0"/>
              <w:ind w:left="33"/>
              <w:rPr>
                <w:rFonts w:ascii="Times New Roman" w:hAnsi="Times New Roman"/>
                <w:bCs/>
                <w:sz w:val="24"/>
              </w:rPr>
            </w:pPr>
          </w:p>
          <w:p w14:paraId="3765CDC9" w14:textId="6E937F0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Podľa IFRS sa znížená hodnota poskytnutého úverového prísľubu vykazuje</w:t>
            </w:r>
            <w:r w:rsidR="00D85C65">
              <w:rPr>
                <w:rFonts w:ascii="Times New Roman" w:hAnsi="Times New Roman"/>
                <w:bCs/>
                <w:sz w:val="24"/>
              </w:rPr>
              <w:t xml:space="preserve"> v </w:t>
            </w:r>
            <w:r w:rsidRPr="00D85C65">
              <w:rPr>
                <w:rFonts w:ascii="Times New Roman" w:hAnsi="Times New Roman"/>
                <w:bCs/>
                <w:sz w:val="24"/>
              </w:rPr>
              <w:t>stĺpci 150, keď inštitúcia nedokáže samostatne odlíšiť očakávané kreditné straty spojené</w:t>
            </w:r>
            <w:r w:rsidR="00D85C65">
              <w:rPr>
                <w:rFonts w:ascii="Times New Roman" w:hAnsi="Times New Roman"/>
                <w:bCs/>
                <w:sz w:val="24"/>
              </w:rPr>
              <w:t xml:space="preserve"> s </w:t>
            </w:r>
            <w:r w:rsidRPr="00D85C65">
              <w:rPr>
                <w:rFonts w:ascii="Times New Roman" w:hAnsi="Times New Roman"/>
                <w:bCs/>
                <w:sz w:val="24"/>
              </w:rPr>
              <w:t>čerpanými</w:t>
            </w:r>
            <w:r w:rsidR="00D85C65">
              <w:rPr>
                <w:rFonts w:ascii="Times New Roman" w:hAnsi="Times New Roman"/>
                <w:bCs/>
                <w:sz w:val="24"/>
              </w:rPr>
              <w:t xml:space="preserve"> a </w:t>
            </w:r>
            <w:r w:rsidRPr="00D85C65">
              <w:rPr>
                <w:rFonts w:ascii="Times New Roman" w:hAnsi="Times New Roman"/>
                <w:bCs/>
                <w:sz w:val="24"/>
              </w:rPr>
              <w:t>nečerpanými sumami dlhového nástroja.</w:t>
            </w:r>
            <w:r w:rsidR="00D85C65">
              <w:rPr>
                <w:rFonts w:ascii="Times New Roman" w:hAnsi="Times New Roman"/>
                <w:bCs/>
                <w:sz w:val="24"/>
              </w:rPr>
              <w:t xml:space="preserve"> V </w:t>
            </w:r>
            <w:r w:rsidRPr="00D85C65">
              <w:rPr>
                <w:rFonts w:ascii="Times New Roman" w:hAnsi="Times New Roman"/>
                <w:bCs/>
                <w:sz w:val="24"/>
              </w:rPr>
              <w:t xml:space="preserve">prípade, že kombinované očakávané kreditné straty pre tento finančný nástroj presiahnu hrubú účtovnú hodnotu </w:t>
            </w:r>
            <w:r w:rsidRPr="00D85C65">
              <w:rPr>
                <w:rFonts w:ascii="Times New Roman" w:hAnsi="Times New Roman"/>
                <w:bCs/>
                <w:sz w:val="24"/>
              </w:rPr>
              <w:lastRenderedPageBreak/>
              <w:t>úverovej zložky nástroja, zostatok očakávaných kreditných strát sa vykazuje ako rezerva</w:t>
            </w:r>
            <w:r w:rsidR="00D85C65">
              <w:rPr>
                <w:rFonts w:ascii="Times New Roman" w:hAnsi="Times New Roman"/>
                <w:bCs/>
                <w:sz w:val="24"/>
              </w:rPr>
              <w:t xml:space="preserve"> v </w:t>
            </w:r>
            <w:r w:rsidRPr="00D85C65">
              <w:rPr>
                <w:rFonts w:ascii="Times New Roman" w:hAnsi="Times New Roman"/>
                <w:bCs/>
                <w:sz w:val="24"/>
              </w:rPr>
              <w:t>stĺpci 250.</w:t>
            </w:r>
          </w:p>
          <w:p w14:paraId="57946B7D" w14:textId="77777777" w:rsidR="00235D9D" w:rsidRPr="00D85C65" w:rsidRDefault="00235D9D">
            <w:pPr>
              <w:spacing w:before="0" w:after="0"/>
              <w:ind w:left="33"/>
              <w:rPr>
                <w:rFonts w:ascii="Times New Roman" w:hAnsi="Times New Roman"/>
                <w:bCs/>
                <w:sz w:val="24"/>
              </w:rPr>
            </w:pPr>
          </w:p>
        </w:tc>
      </w:tr>
      <w:tr w:rsidR="00235D9D" w:rsidRPr="00D85C65" w14:paraId="160EDDDD" w14:textId="77777777" w:rsidTr="00672D2A">
        <w:tc>
          <w:tcPr>
            <w:tcW w:w="1188" w:type="dxa"/>
          </w:tcPr>
          <w:p w14:paraId="533435E7"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260</w:t>
            </w:r>
          </w:p>
        </w:tc>
        <w:tc>
          <w:tcPr>
            <w:tcW w:w="8640" w:type="dxa"/>
          </w:tcPr>
          <w:p w14:paraId="1DDA710E"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Akumulované záporné zmeny reálnej hodnoty</w:t>
            </w:r>
            <w:r w:rsidR="00D85C65">
              <w:rPr>
                <w:rFonts w:ascii="Times New Roman" w:hAnsi="Times New Roman"/>
                <w:b/>
                <w:bCs/>
                <w:sz w:val="24"/>
                <w:u w:val="single"/>
              </w:rPr>
              <w:t xml:space="preserve"> z </w:t>
            </w:r>
            <w:r w:rsidRPr="00D85C65">
              <w:rPr>
                <w:rFonts w:ascii="Times New Roman" w:hAnsi="Times New Roman"/>
                <w:b/>
                <w:bCs/>
                <w:sz w:val="24"/>
                <w:u w:val="single"/>
              </w:rPr>
              <w:t>dôvodu kreditného rizika</w:t>
            </w:r>
          </w:p>
          <w:p w14:paraId="706D44F1" w14:textId="492B514A" w:rsidR="00235D9D" w:rsidRPr="00D85C65" w:rsidRDefault="00235D9D">
            <w:pPr>
              <w:spacing w:before="0" w:after="0"/>
              <w:ind w:left="33"/>
              <w:rPr>
                <w:rFonts w:ascii="Times New Roman" w:hAnsi="Times New Roman"/>
                <w:b/>
                <w:bCs/>
                <w:sz w:val="24"/>
                <w:u w:val="single"/>
              </w:rPr>
            </w:pPr>
          </w:p>
          <w:p w14:paraId="2AFAB6A1" w14:textId="335E6E4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Akumulované záporné zmeny reálnej hodnoty</w:t>
            </w:r>
            <w:r w:rsidR="00D85C65">
              <w:rPr>
                <w:rFonts w:ascii="Times New Roman" w:hAnsi="Times New Roman"/>
                <w:bCs/>
                <w:sz w:val="24"/>
              </w:rPr>
              <w:t xml:space="preserve"> z </w:t>
            </w:r>
            <w:r w:rsidRPr="00D85C65">
              <w:rPr>
                <w:rFonts w:ascii="Times New Roman" w:hAnsi="Times New Roman"/>
                <w:bCs/>
                <w:sz w:val="24"/>
              </w:rPr>
              <w:t>dôvodu kreditného rizika (časť 2 ods. 110 prílohy</w:t>
            </w:r>
            <w:r w:rsidR="00D85C65">
              <w:rPr>
                <w:rFonts w:ascii="Times New Roman" w:hAnsi="Times New Roman"/>
                <w:bCs/>
                <w:sz w:val="24"/>
              </w:rPr>
              <w:t xml:space="preserve"> V k </w:t>
            </w:r>
            <w:r w:rsidRPr="00D85C65">
              <w:rPr>
                <w:rFonts w:ascii="Times New Roman" w:hAnsi="Times New Roman"/>
                <w:bCs/>
                <w:sz w:val="24"/>
              </w:rPr>
              <w:t>tomuto vykonávaciemu nariadeniu) pre podsúvahové položky oceňované reálnou hodnotou cez výsledok hospodárenia podľa IFRS 9.</w:t>
            </w:r>
          </w:p>
          <w:p w14:paraId="6F3D19AC" w14:textId="77777777" w:rsidR="00235D9D" w:rsidRPr="00D85C65" w:rsidRDefault="00730040">
            <w:pPr>
              <w:spacing w:before="0" w:after="0"/>
              <w:ind w:left="33"/>
              <w:rPr>
                <w:rFonts w:ascii="Times New Roman" w:hAnsi="Times New Roman"/>
                <w:b/>
                <w:bCs/>
                <w:sz w:val="24"/>
                <w:u w:val="single"/>
              </w:rPr>
            </w:pPr>
            <w:r w:rsidRPr="00D85C65">
              <w:rPr>
                <w:rFonts w:ascii="Times New Roman" w:hAnsi="Times New Roman"/>
                <w:bCs/>
                <w:sz w:val="24"/>
                <w:u w:val="single"/>
              </w:rPr>
              <w:t xml:space="preserve"> </w:t>
            </w:r>
          </w:p>
        </w:tc>
      </w:tr>
      <w:tr w:rsidR="00235D9D" w:rsidRPr="00D85C6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235D9D" w:rsidRPr="00D85C65" w:rsidDel="008D1680" w:rsidRDefault="00FD54FC">
            <w:pPr>
              <w:spacing w:before="0" w:after="0"/>
              <w:ind w:left="33"/>
              <w:rPr>
                <w:rFonts w:ascii="Times New Roman" w:hAnsi="Times New Roman"/>
                <w:bCs/>
                <w:sz w:val="24"/>
              </w:rPr>
            </w:pPr>
            <w:r w:rsidRPr="00D85C65">
              <w:rPr>
                <w:rFonts w:ascii="Times New Roman" w:hAnsi="Times New Roman"/>
                <w:bCs/>
                <w:sz w:val="24"/>
              </w:rPr>
              <w:t>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Doplňujúca položka: Predané kreditné deriváty na expozície voči orgánom verejnej správy</w:t>
            </w:r>
          </w:p>
          <w:p w14:paraId="11CE1BEC" w14:textId="77777777" w:rsidR="00235D9D" w:rsidRPr="00D85C65" w:rsidRDefault="00235D9D">
            <w:pPr>
              <w:spacing w:before="0" w:after="0"/>
              <w:ind w:left="33"/>
              <w:rPr>
                <w:rFonts w:ascii="Times New Roman" w:hAnsi="Times New Roman"/>
                <w:b/>
                <w:bCs/>
                <w:sz w:val="24"/>
                <w:u w:val="single"/>
              </w:rPr>
            </w:pPr>
          </w:p>
          <w:p w14:paraId="2B11DF2A" w14:textId="7C0AEAA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Vykazujú sa kreditné deriváty, ktoré nespadajú do vymedzenia finančných záruk uvedeného</w:t>
            </w:r>
            <w:r w:rsidR="00D85C65">
              <w:rPr>
                <w:rFonts w:ascii="Times New Roman" w:hAnsi="Times New Roman"/>
                <w:bCs/>
                <w:sz w:val="24"/>
              </w:rPr>
              <w:t xml:space="preserve"> v </w:t>
            </w:r>
            <w:r w:rsidRPr="00D85C65">
              <w:rPr>
                <w:rFonts w:ascii="Times New Roman" w:hAnsi="Times New Roman"/>
                <w:bCs/>
                <w:sz w:val="24"/>
                <w:highlight w:val="yellow"/>
              </w:rPr>
              <w:t>časti 2 ods. 58 prílohy V</w:t>
            </w:r>
            <w:r w:rsidRPr="00D85C65">
              <w:rPr>
                <w:rFonts w:ascii="Times New Roman" w:hAnsi="Times New Roman"/>
                <w:bCs/>
                <w:sz w:val="24"/>
              </w:rPr>
              <w:t>, ktoré vykazujúca inštitúcia uzatvorila</w:t>
            </w:r>
            <w:r w:rsidR="00D85C65">
              <w:rPr>
                <w:rFonts w:ascii="Times New Roman" w:hAnsi="Times New Roman"/>
                <w:bCs/>
                <w:sz w:val="24"/>
              </w:rPr>
              <w:t xml:space="preserve"> s </w:t>
            </w:r>
            <w:r w:rsidRPr="00D85C65">
              <w:rPr>
                <w:rFonts w:ascii="Times New Roman" w:hAnsi="Times New Roman"/>
                <w:bCs/>
                <w:sz w:val="24"/>
              </w:rPr>
              <w:t>protistranami inými než orgánmi verejnej správy</w:t>
            </w:r>
            <w:r w:rsidR="00D85C65">
              <w:rPr>
                <w:rFonts w:ascii="Times New Roman" w:hAnsi="Times New Roman"/>
                <w:bCs/>
                <w:sz w:val="24"/>
              </w:rPr>
              <w:t xml:space="preserve"> a </w:t>
            </w:r>
            <w:r w:rsidRPr="00D85C65">
              <w:rPr>
                <w:rFonts w:ascii="Times New Roman" w:hAnsi="Times New Roman"/>
                <w:bCs/>
                <w:sz w:val="24"/>
              </w:rPr>
              <w:t>ktorých referenčnou expozíciou je orgán verejnej správy.</w:t>
            </w:r>
          </w:p>
          <w:p w14:paraId="67AB0B19" w14:textId="77777777" w:rsidR="00235D9D" w:rsidRPr="00D85C65" w:rsidRDefault="00235D9D">
            <w:pPr>
              <w:spacing w:before="0" w:after="0"/>
              <w:ind w:left="33"/>
              <w:rPr>
                <w:rFonts w:ascii="Times New Roman" w:hAnsi="Times New Roman"/>
                <w:bCs/>
                <w:sz w:val="24"/>
              </w:rPr>
            </w:pPr>
          </w:p>
          <w:p w14:paraId="27D5AACE" w14:textId="23256824"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Tieto stĺpce sa nevykazujú pre expozície rozčlenené podľa rizika, regulačného prístupu</w:t>
            </w:r>
            <w:r w:rsidR="00D85C65">
              <w:rPr>
                <w:rFonts w:ascii="Times New Roman" w:hAnsi="Times New Roman"/>
                <w:bCs/>
                <w:sz w:val="24"/>
              </w:rPr>
              <w:t xml:space="preserve"> a </w:t>
            </w:r>
            <w:r w:rsidRPr="00D85C65">
              <w:rPr>
                <w:rFonts w:ascii="Times New Roman" w:hAnsi="Times New Roman"/>
                <w:bCs/>
                <w:sz w:val="24"/>
              </w:rPr>
              <w:t>triedy expozície (riadky 020 až 160).</w:t>
            </w:r>
          </w:p>
          <w:p w14:paraId="4B0669D1" w14:textId="77777777" w:rsidR="00235D9D" w:rsidRPr="00D85C65" w:rsidRDefault="00235D9D">
            <w:pPr>
              <w:spacing w:before="0" w:after="0"/>
              <w:ind w:left="33"/>
              <w:rPr>
                <w:rFonts w:ascii="Times New Roman" w:hAnsi="Times New Roman"/>
                <w:bCs/>
                <w:sz w:val="24"/>
              </w:rPr>
            </w:pPr>
          </w:p>
          <w:p w14:paraId="351444B2" w14:textId="1C9624AE" w:rsidR="00D85C65" w:rsidRDefault="00FD54FC">
            <w:pPr>
              <w:spacing w:before="0" w:after="0"/>
              <w:ind w:left="33"/>
              <w:rPr>
                <w:rFonts w:ascii="Times New Roman" w:hAnsi="Times New Roman"/>
                <w:bCs/>
                <w:sz w:val="24"/>
              </w:rPr>
            </w:pPr>
            <w:r w:rsidRPr="00D85C65">
              <w:rPr>
                <w:rFonts w:ascii="Times New Roman" w:hAnsi="Times New Roman"/>
                <w:bCs/>
                <w:sz w:val="24"/>
              </w:rPr>
              <w:t>Expozície, ktoré sa vykazujú</w:t>
            </w:r>
            <w:r w:rsidR="00D85C65">
              <w:rPr>
                <w:rFonts w:ascii="Times New Roman" w:hAnsi="Times New Roman"/>
                <w:bCs/>
                <w:sz w:val="24"/>
              </w:rPr>
              <w:t xml:space="preserve"> v </w:t>
            </w:r>
            <w:r w:rsidRPr="00D85C65">
              <w:rPr>
                <w:rFonts w:ascii="Times New Roman" w:hAnsi="Times New Roman"/>
                <w:bCs/>
                <w:sz w:val="24"/>
              </w:rPr>
              <w:t>tejto časti, sa nezohľadňujú pri výpočte hodnoty expozície</w:t>
            </w:r>
            <w:r w:rsidR="00D85C65">
              <w:rPr>
                <w:rFonts w:ascii="Times New Roman" w:hAnsi="Times New Roman"/>
                <w:bCs/>
                <w:sz w:val="24"/>
              </w:rPr>
              <w:t xml:space="preserve"> a </w:t>
            </w:r>
            <w:r w:rsidRPr="00D85C65">
              <w:rPr>
                <w:rFonts w:ascii="Times New Roman" w:hAnsi="Times New Roman"/>
                <w:bCs/>
                <w:sz w:val="24"/>
              </w:rPr>
              <w:t>hodnoty rizikovo váženej expozície (stĺpce 290</w:t>
            </w:r>
            <w:r w:rsidR="00D85C65">
              <w:rPr>
                <w:rFonts w:ascii="Times New Roman" w:hAnsi="Times New Roman"/>
                <w:bCs/>
                <w:sz w:val="24"/>
              </w:rPr>
              <w:t xml:space="preserve"> a </w:t>
            </w:r>
            <w:r w:rsidRPr="00D85C65">
              <w:rPr>
                <w:rFonts w:ascii="Times New Roman" w:hAnsi="Times New Roman"/>
                <w:bCs/>
                <w:sz w:val="24"/>
              </w:rPr>
              <w:t>300), ktorý je založený výhradne na priamych expozíciách</w:t>
            </w:r>
            <w:r w:rsidR="00D85C65">
              <w:rPr>
                <w:rFonts w:ascii="Times New Roman" w:hAnsi="Times New Roman"/>
                <w:bCs/>
                <w:sz w:val="24"/>
              </w:rPr>
              <w:t>.</w:t>
            </w:r>
          </w:p>
          <w:p w14:paraId="02AC8650" w14:textId="7550BA9E"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 xml:space="preserve"> </w:t>
            </w:r>
          </w:p>
        </w:tc>
      </w:tr>
      <w:tr w:rsidR="00235D9D" w:rsidRPr="00D85C6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235D9D" w:rsidRPr="00D85C65" w:rsidDel="008D1680" w:rsidRDefault="00FD54FC">
            <w:pPr>
              <w:spacing w:before="0" w:after="0"/>
              <w:ind w:left="33"/>
              <w:rPr>
                <w:rFonts w:ascii="Times New Roman" w:hAnsi="Times New Roman"/>
                <w:bCs/>
                <w:sz w:val="24"/>
              </w:rPr>
            </w:pPr>
            <w:r w:rsidRPr="00D85C65">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61969DCD"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w:t>
            </w:r>
            <w:r w:rsidR="00D85C65">
              <w:rPr>
                <w:rFonts w:ascii="Times New Roman" w:hAnsi="Times New Roman"/>
                <w:b/>
                <w:bCs/>
                <w:sz w:val="24"/>
                <w:u w:val="single"/>
              </w:rPr>
              <w:t xml:space="preserve"> s </w:t>
            </w:r>
            <w:r w:rsidRPr="00D85C65">
              <w:rPr>
                <w:rFonts w:ascii="Times New Roman" w:hAnsi="Times New Roman"/>
                <w:b/>
                <w:bCs/>
                <w:sz w:val="24"/>
                <w:u w:val="single"/>
              </w:rPr>
              <w:t>kladnou reálnou hodnotou – účtovná hodnota</w:t>
            </w:r>
          </w:p>
          <w:p w14:paraId="313828AF" w14:textId="77777777" w:rsidR="00235D9D" w:rsidRPr="00D85C65" w:rsidRDefault="00235D9D">
            <w:pPr>
              <w:spacing w:before="0" w:after="0"/>
              <w:ind w:left="33"/>
              <w:rPr>
                <w:rFonts w:ascii="Times New Roman" w:hAnsi="Times New Roman"/>
                <w:b/>
                <w:bCs/>
                <w:sz w:val="24"/>
                <w:u w:val="single"/>
              </w:rPr>
            </w:pPr>
          </w:p>
          <w:p w14:paraId="527DA155" w14:textId="7AF78B7D"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Súhrnná účtovná hodnota predaných kreditných derivátov na expozície voči orgánom verejnej správy, ktoré majú kladnú reálnu hodnotu pre inštitúciu</w:t>
            </w:r>
            <w:r w:rsidR="00D85C65">
              <w:rPr>
                <w:rFonts w:ascii="Times New Roman" w:hAnsi="Times New Roman"/>
                <w:bCs/>
                <w:sz w:val="24"/>
              </w:rPr>
              <w:t xml:space="preserve"> k </w:t>
            </w:r>
            <w:r w:rsidRPr="00D85C65">
              <w:rPr>
                <w:rFonts w:ascii="Times New Roman" w:hAnsi="Times New Roman"/>
                <w:bCs/>
                <w:sz w:val="24"/>
              </w:rPr>
              <w:t>referenčnému dátumu vykazovania bez zohľadnenia obozretných úprav ocenenia.</w:t>
            </w:r>
          </w:p>
          <w:p w14:paraId="38A318F7" w14:textId="77777777" w:rsidR="00235D9D" w:rsidRPr="00D85C65" w:rsidRDefault="00235D9D">
            <w:pPr>
              <w:spacing w:before="0" w:after="0"/>
              <w:ind w:left="33"/>
              <w:rPr>
                <w:rFonts w:ascii="Times New Roman" w:hAnsi="Times New Roman"/>
                <w:bCs/>
                <w:sz w:val="24"/>
              </w:rPr>
            </w:pPr>
          </w:p>
          <w:p w14:paraId="64018276" w14:textId="2351D9B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 xml:space="preserve"> Pre deriváty podľa IFRS je sumou, ktorá sa má vykázať</w:t>
            </w:r>
            <w:r w:rsidR="00D85C65">
              <w:rPr>
                <w:rFonts w:ascii="Times New Roman" w:hAnsi="Times New Roman"/>
                <w:bCs/>
                <w:sz w:val="24"/>
              </w:rPr>
              <w:t xml:space="preserve"> v </w:t>
            </w:r>
            <w:r w:rsidRPr="00D85C65">
              <w:rPr>
                <w:rFonts w:ascii="Times New Roman" w:hAnsi="Times New Roman"/>
                <w:bCs/>
                <w:sz w:val="24"/>
              </w:rPr>
              <w:t>tomto stĺpci, účtovná hodnota derivátov, ktoré sú</w:t>
            </w:r>
            <w:r w:rsidR="00D85C65">
              <w:rPr>
                <w:rFonts w:ascii="Times New Roman" w:hAnsi="Times New Roman"/>
                <w:bCs/>
                <w:sz w:val="24"/>
              </w:rPr>
              <w:t xml:space="preserve"> k </w:t>
            </w:r>
            <w:r w:rsidRPr="00D85C65">
              <w:rPr>
                <w:rFonts w:ascii="Times New Roman" w:hAnsi="Times New Roman"/>
                <w:bCs/>
                <w:sz w:val="24"/>
              </w:rPr>
              <w:t>dátumu vykazovania finančnými aktívami.</w:t>
            </w:r>
          </w:p>
          <w:p w14:paraId="28F6D4B1" w14:textId="77777777" w:rsidR="00235D9D" w:rsidRPr="00D85C65" w:rsidRDefault="00235D9D">
            <w:pPr>
              <w:spacing w:before="0" w:after="0"/>
              <w:ind w:left="33"/>
              <w:rPr>
                <w:rFonts w:ascii="Times New Roman" w:hAnsi="Times New Roman"/>
                <w:bCs/>
                <w:sz w:val="24"/>
              </w:rPr>
            </w:pPr>
          </w:p>
          <w:p w14:paraId="204A4C64" w14:textId="0E7DE161"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Pre deriváty podľa GAAP na základe BAD je sumou, ktorá sa má vykázať</w:t>
            </w:r>
            <w:r w:rsidR="00D85C65">
              <w:rPr>
                <w:rFonts w:ascii="Times New Roman" w:hAnsi="Times New Roman"/>
                <w:bCs/>
                <w:sz w:val="24"/>
              </w:rPr>
              <w:t xml:space="preserve"> v </w:t>
            </w:r>
            <w:r w:rsidRPr="00D85C65">
              <w:rPr>
                <w:rFonts w:ascii="Times New Roman" w:hAnsi="Times New Roman"/>
                <w:bCs/>
                <w:sz w:val="24"/>
              </w:rPr>
              <w:t>tomto stĺpci, reálna hodnota derivátov</w:t>
            </w:r>
            <w:r w:rsidR="00D85C65">
              <w:rPr>
                <w:rFonts w:ascii="Times New Roman" w:hAnsi="Times New Roman"/>
                <w:bCs/>
                <w:sz w:val="24"/>
              </w:rPr>
              <w:t xml:space="preserve"> s </w:t>
            </w:r>
            <w:r w:rsidRPr="00D85C65">
              <w:rPr>
                <w:rFonts w:ascii="Times New Roman" w:hAnsi="Times New Roman"/>
                <w:bCs/>
                <w:sz w:val="24"/>
              </w:rPr>
              <w:t>kladnou reálnou hodnotou</w:t>
            </w:r>
            <w:r w:rsidR="00D85C65">
              <w:rPr>
                <w:rFonts w:ascii="Times New Roman" w:hAnsi="Times New Roman"/>
                <w:bCs/>
                <w:sz w:val="24"/>
              </w:rPr>
              <w:t xml:space="preserve"> k </w:t>
            </w:r>
            <w:r w:rsidRPr="00D85C65">
              <w:rPr>
                <w:rFonts w:ascii="Times New Roman" w:hAnsi="Times New Roman"/>
                <w:bCs/>
                <w:sz w:val="24"/>
              </w:rPr>
              <w:t>referenčnému dátumu vykazovania nezávisle od toho, ako sa zaúčtujú.</w:t>
            </w:r>
          </w:p>
          <w:p w14:paraId="5D6153BF" w14:textId="77777777" w:rsidR="00235D9D" w:rsidRPr="00D85C65" w:rsidRDefault="00235D9D">
            <w:pPr>
              <w:spacing w:before="0" w:after="0"/>
              <w:ind w:left="33"/>
              <w:rPr>
                <w:rFonts w:ascii="Times New Roman" w:hAnsi="Times New Roman"/>
                <w:b/>
                <w:bCs/>
                <w:sz w:val="24"/>
                <w:u w:val="single"/>
              </w:rPr>
            </w:pPr>
          </w:p>
        </w:tc>
      </w:tr>
      <w:tr w:rsidR="00235D9D" w:rsidRPr="00D85C6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235D9D" w:rsidRPr="00D85C65" w:rsidDel="008D1680" w:rsidRDefault="00FD54FC">
            <w:pPr>
              <w:spacing w:before="0" w:after="0"/>
              <w:ind w:left="33"/>
              <w:rPr>
                <w:rFonts w:ascii="Times New Roman" w:hAnsi="Times New Roman"/>
                <w:bCs/>
                <w:sz w:val="24"/>
              </w:rPr>
            </w:pPr>
            <w:r w:rsidRPr="00D85C65">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Deriváty so zápornou hodnotou – účtovná hodnota</w:t>
            </w:r>
          </w:p>
          <w:p w14:paraId="719F20DC" w14:textId="77777777" w:rsidR="00235D9D" w:rsidRPr="00D85C65" w:rsidRDefault="00235D9D">
            <w:pPr>
              <w:spacing w:before="0" w:after="0"/>
              <w:ind w:left="33"/>
              <w:rPr>
                <w:rFonts w:ascii="Times New Roman" w:hAnsi="Times New Roman"/>
                <w:b/>
                <w:bCs/>
                <w:sz w:val="24"/>
                <w:u w:val="single"/>
              </w:rPr>
            </w:pPr>
          </w:p>
          <w:p w14:paraId="00BC88B1" w14:textId="48A0DEFA"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Súhrnná účtovná hodnota predaných kreditných derivátov na expozície voči orgánom verejnej správy, ktoré majú zápornú reálnu hodnotu pre inštitúciu</w:t>
            </w:r>
            <w:r w:rsidR="00D85C65">
              <w:rPr>
                <w:rFonts w:ascii="Times New Roman" w:hAnsi="Times New Roman"/>
                <w:bCs/>
                <w:sz w:val="24"/>
              </w:rPr>
              <w:t xml:space="preserve"> k </w:t>
            </w:r>
            <w:r w:rsidRPr="00D85C65">
              <w:rPr>
                <w:rFonts w:ascii="Times New Roman" w:hAnsi="Times New Roman"/>
                <w:bCs/>
                <w:sz w:val="24"/>
              </w:rPr>
              <w:t>referenčnému dátumu vykazovania bez zohľadnenia obozretných úprav ocenenia.</w:t>
            </w:r>
          </w:p>
          <w:p w14:paraId="5BD4B003" w14:textId="77777777" w:rsidR="00235D9D" w:rsidRPr="00D85C65" w:rsidRDefault="00235D9D">
            <w:pPr>
              <w:spacing w:before="0" w:after="0"/>
              <w:ind w:left="33"/>
              <w:rPr>
                <w:rFonts w:ascii="Times New Roman" w:hAnsi="Times New Roman"/>
                <w:bCs/>
                <w:sz w:val="24"/>
              </w:rPr>
            </w:pPr>
          </w:p>
          <w:p w14:paraId="364C2F39" w14:textId="2E99EB23" w:rsidR="00D85C65" w:rsidRDefault="00FD54FC">
            <w:pPr>
              <w:spacing w:before="0" w:after="0"/>
              <w:ind w:left="33"/>
              <w:rPr>
                <w:rFonts w:ascii="Times New Roman" w:hAnsi="Times New Roman"/>
                <w:bCs/>
                <w:sz w:val="24"/>
              </w:rPr>
            </w:pPr>
            <w:r w:rsidRPr="00D85C65">
              <w:rPr>
                <w:rFonts w:ascii="Times New Roman" w:hAnsi="Times New Roman"/>
                <w:bCs/>
                <w:sz w:val="24"/>
              </w:rPr>
              <w:t>Pre deriváty podľa IFRS je sumou, ktorá sa má vykázať</w:t>
            </w:r>
            <w:r w:rsidR="00D85C65">
              <w:rPr>
                <w:rFonts w:ascii="Times New Roman" w:hAnsi="Times New Roman"/>
                <w:bCs/>
                <w:sz w:val="24"/>
              </w:rPr>
              <w:t xml:space="preserve"> v </w:t>
            </w:r>
            <w:r w:rsidRPr="00D85C65">
              <w:rPr>
                <w:rFonts w:ascii="Times New Roman" w:hAnsi="Times New Roman"/>
                <w:bCs/>
                <w:sz w:val="24"/>
              </w:rPr>
              <w:t>tomto stĺpci, účtovná hodnota derivátov, ktoré sú</w:t>
            </w:r>
            <w:r w:rsidR="00D85C65">
              <w:rPr>
                <w:rFonts w:ascii="Times New Roman" w:hAnsi="Times New Roman"/>
                <w:bCs/>
                <w:sz w:val="24"/>
              </w:rPr>
              <w:t xml:space="preserve"> k </w:t>
            </w:r>
            <w:r w:rsidRPr="00D85C65">
              <w:rPr>
                <w:rFonts w:ascii="Times New Roman" w:hAnsi="Times New Roman"/>
                <w:bCs/>
                <w:sz w:val="24"/>
              </w:rPr>
              <w:t>dátumu vykazovania finančnými záväzkami</w:t>
            </w:r>
            <w:r w:rsidR="00D85C65">
              <w:rPr>
                <w:rFonts w:ascii="Times New Roman" w:hAnsi="Times New Roman"/>
                <w:bCs/>
                <w:sz w:val="24"/>
              </w:rPr>
              <w:t>.</w:t>
            </w:r>
          </w:p>
          <w:p w14:paraId="59F31FCF" w14:textId="659C3FE5" w:rsidR="00235D9D" w:rsidRPr="00D85C65" w:rsidRDefault="00235D9D">
            <w:pPr>
              <w:spacing w:before="0" w:after="0"/>
              <w:ind w:left="33"/>
              <w:rPr>
                <w:rFonts w:ascii="Times New Roman" w:hAnsi="Times New Roman"/>
                <w:bCs/>
                <w:sz w:val="24"/>
              </w:rPr>
            </w:pPr>
          </w:p>
          <w:p w14:paraId="11B8B6B9" w14:textId="2AC080BF" w:rsidR="00D85C65" w:rsidRDefault="00FD54FC">
            <w:pPr>
              <w:spacing w:before="0" w:after="0"/>
              <w:ind w:left="33"/>
              <w:rPr>
                <w:rFonts w:ascii="Times New Roman" w:hAnsi="Times New Roman"/>
                <w:bCs/>
                <w:sz w:val="24"/>
              </w:rPr>
            </w:pPr>
            <w:r w:rsidRPr="00D85C65">
              <w:rPr>
                <w:rFonts w:ascii="Times New Roman" w:hAnsi="Times New Roman"/>
                <w:bCs/>
                <w:sz w:val="24"/>
              </w:rPr>
              <w:t>Pre deriváty podľa GAAP na základe BAD je sumou, ktorá sa má vykázať</w:t>
            </w:r>
            <w:r w:rsidR="00D85C65">
              <w:rPr>
                <w:rFonts w:ascii="Times New Roman" w:hAnsi="Times New Roman"/>
                <w:bCs/>
                <w:sz w:val="24"/>
              </w:rPr>
              <w:t xml:space="preserve"> v </w:t>
            </w:r>
            <w:r w:rsidRPr="00D85C65">
              <w:rPr>
                <w:rFonts w:ascii="Times New Roman" w:hAnsi="Times New Roman"/>
                <w:bCs/>
                <w:sz w:val="24"/>
              </w:rPr>
              <w:t>tomto stĺpci, reálna hodnota derivátov so zápornou reálnou hodnotou</w:t>
            </w:r>
            <w:r w:rsidR="00D85C65">
              <w:rPr>
                <w:rFonts w:ascii="Times New Roman" w:hAnsi="Times New Roman"/>
                <w:bCs/>
                <w:sz w:val="24"/>
              </w:rPr>
              <w:t xml:space="preserve"> k </w:t>
            </w:r>
            <w:r w:rsidRPr="00D85C65">
              <w:rPr>
                <w:rFonts w:ascii="Times New Roman" w:hAnsi="Times New Roman"/>
                <w:bCs/>
                <w:sz w:val="24"/>
              </w:rPr>
              <w:t>referenčnému dátumu vykazovania nezávisle od toho, ako sa zaúčtujú</w:t>
            </w:r>
            <w:r w:rsidR="00D85C65">
              <w:rPr>
                <w:rFonts w:ascii="Times New Roman" w:hAnsi="Times New Roman"/>
                <w:bCs/>
                <w:sz w:val="24"/>
              </w:rPr>
              <w:t>.</w:t>
            </w:r>
          </w:p>
          <w:p w14:paraId="3DD8948B" w14:textId="23BC814A" w:rsidR="00235D9D" w:rsidRPr="00D85C65" w:rsidRDefault="00235D9D">
            <w:pPr>
              <w:spacing w:before="0" w:after="0"/>
              <w:ind w:left="33"/>
              <w:rPr>
                <w:rFonts w:ascii="Times New Roman" w:hAnsi="Times New Roman"/>
                <w:b/>
                <w:bCs/>
                <w:sz w:val="24"/>
                <w:u w:val="single"/>
              </w:rPr>
            </w:pPr>
          </w:p>
        </w:tc>
      </w:tr>
      <w:tr w:rsidR="00235D9D" w:rsidRPr="00D85C6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235D9D" w:rsidRPr="00D85C65" w:rsidDel="008D1680" w:rsidRDefault="00FD54FC">
            <w:pPr>
              <w:spacing w:before="0" w:after="0"/>
              <w:ind w:left="33"/>
              <w:rPr>
                <w:rFonts w:ascii="Times New Roman" w:hAnsi="Times New Roman"/>
                <w:bCs/>
                <w:sz w:val="24"/>
              </w:rPr>
            </w:pPr>
            <w:r w:rsidRPr="00D85C65">
              <w:rPr>
                <w:rFonts w:ascii="Times New Roman" w:hAnsi="Times New Roman"/>
                <w:bCs/>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Hodnota expozície</w:t>
            </w:r>
          </w:p>
          <w:p w14:paraId="12CCCFCD" w14:textId="77777777" w:rsidR="00235D9D" w:rsidRPr="00D85C65" w:rsidRDefault="00235D9D">
            <w:pPr>
              <w:spacing w:before="0" w:after="0"/>
              <w:ind w:left="33"/>
              <w:rPr>
                <w:rFonts w:ascii="Times New Roman" w:hAnsi="Times New Roman"/>
                <w:b/>
                <w:bCs/>
                <w:sz w:val="24"/>
                <w:u w:val="single"/>
              </w:rPr>
            </w:pPr>
          </w:p>
          <w:p w14:paraId="564C9668"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Hodnota expozície pre expozície, na ktoré sa vzťahuje rámec kreditného rizika.</w:t>
            </w:r>
          </w:p>
          <w:p w14:paraId="5332F0B1" w14:textId="77777777" w:rsidR="00235D9D" w:rsidRPr="00D85C65" w:rsidRDefault="00235D9D">
            <w:pPr>
              <w:spacing w:before="0" w:after="0"/>
              <w:ind w:left="33"/>
              <w:rPr>
                <w:rFonts w:ascii="Times New Roman" w:hAnsi="Times New Roman"/>
                <w:bCs/>
                <w:sz w:val="24"/>
              </w:rPr>
            </w:pPr>
          </w:p>
          <w:p w14:paraId="64489921" w14:textId="64FF8B18"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Pre expozície podľa štandardizovaného prístupu (SA): pozri článok 111 CRR. Pre expozície podľa prístupu IRB: pozri článok 166</w:t>
            </w:r>
            <w:r w:rsidR="00D85C65">
              <w:rPr>
                <w:rFonts w:ascii="Times New Roman" w:hAnsi="Times New Roman"/>
                <w:bCs/>
                <w:sz w:val="24"/>
              </w:rPr>
              <w:t xml:space="preserve"> a </w:t>
            </w:r>
            <w:r w:rsidRPr="00D85C65">
              <w:rPr>
                <w:rFonts w:ascii="Times New Roman" w:hAnsi="Times New Roman"/>
                <w:bCs/>
                <w:sz w:val="24"/>
              </w:rPr>
              <w:t>článok 230 ods. 1 druhú vetu CRR.</w:t>
            </w:r>
          </w:p>
          <w:p w14:paraId="5027773B" w14:textId="77777777" w:rsidR="00235D9D" w:rsidRPr="00D85C65" w:rsidRDefault="00235D9D">
            <w:pPr>
              <w:spacing w:before="0" w:after="0"/>
              <w:ind w:left="33"/>
              <w:rPr>
                <w:rFonts w:ascii="Times New Roman" w:hAnsi="Times New Roman"/>
                <w:bCs/>
                <w:sz w:val="24"/>
              </w:rPr>
            </w:pPr>
          </w:p>
          <w:p w14:paraId="1515F006"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Pre vykazovanie derivátov, na ktoré sa vzťahujú kreditné riziko protistrany aj kapitálové požiadavky na krytie trhového rizika, pozri pokyny pre rozčlenenie riadkov.</w:t>
            </w:r>
          </w:p>
          <w:p w14:paraId="05A5C4A4" w14:textId="77777777" w:rsidR="00235D9D" w:rsidRPr="00D85C65" w:rsidRDefault="00235D9D">
            <w:pPr>
              <w:spacing w:before="0" w:after="0"/>
              <w:ind w:left="33"/>
              <w:rPr>
                <w:rFonts w:ascii="Times New Roman" w:hAnsi="Times New Roman"/>
                <w:b/>
                <w:bCs/>
                <w:sz w:val="24"/>
                <w:u w:val="single"/>
              </w:rPr>
            </w:pPr>
          </w:p>
        </w:tc>
      </w:tr>
      <w:tr w:rsidR="00235D9D" w:rsidRPr="00D85C6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A776FEC" w14:textId="77777777" w:rsid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Hodnota rizikovo váženej expozície</w:t>
            </w:r>
          </w:p>
          <w:p w14:paraId="7DB82B21" w14:textId="602FF283" w:rsidR="00235D9D" w:rsidRPr="00D85C65" w:rsidRDefault="00235D9D">
            <w:pPr>
              <w:spacing w:before="0" w:after="0"/>
              <w:ind w:left="33"/>
              <w:rPr>
                <w:rFonts w:ascii="Times New Roman" w:hAnsi="Times New Roman"/>
                <w:b/>
                <w:bCs/>
                <w:sz w:val="24"/>
                <w:u w:val="single"/>
              </w:rPr>
            </w:pPr>
          </w:p>
          <w:p w14:paraId="0B65ABB3" w14:textId="77777777" w:rsidR="00D85C65" w:rsidRDefault="00FD54FC">
            <w:pPr>
              <w:spacing w:before="0" w:after="0"/>
              <w:ind w:left="33"/>
              <w:rPr>
                <w:rFonts w:ascii="Times New Roman" w:hAnsi="Times New Roman"/>
                <w:bCs/>
                <w:sz w:val="24"/>
              </w:rPr>
            </w:pPr>
            <w:r w:rsidRPr="00D85C65">
              <w:rPr>
                <w:rFonts w:ascii="Times New Roman" w:hAnsi="Times New Roman"/>
                <w:bCs/>
                <w:sz w:val="24"/>
              </w:rPr>
              <w:t>Hodnota rizikovo váženej expozície pre expozície, na ktoré sa vzťahuje rámec kreditného rizika</w:t>
            </w:r>
            <w:r w:rsidR="00D85C65">
              <w:rPr>
                <w:rFonts w:ascii="Times New Roman" w:hAnsi="Times New Roman"/>
                <w:bCs/>
                <w:sz w:val="24"/>
              </w:rPr>
              <w:t>.</w:t>
            </w:r>
          </w:p>
          <w:p w14:paraId="5AB5EF60" w14:textId="76468B94" w:rsidR="00235D9D" w:rsidRPr="00D85C65" w:rsidRDefault="00235D9D">
            <w:pPr>
              <w:spacing w:before="0" w:after="0"/>
              <w:ind w:left="33"/>
              <w:rPr>
                <w:rFonts w:ascii="Times New Roman" w:hAnsi="Times New Roman"/>
                <w:bCs/>
                <w:sz w:val="24"/>
              </w:rPr>
            </w:pPr>
          </w:p>
          <w:p w14:paraId="10AD2E37" w14:textId="0C8CE9A6"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Pre expozície podľa štandardizovaného prístupu (SA): pozri článok 113 ods. 1 až 5 CRR. Pre expozície podľa prístupu IRB: pozri článok 153 ods. 1</w:t>
            </w:r>
            <w:r w:rsidR="00D85C65">
              <w:rPr>
                <w:rFonts w:ascii="Times New Roman" w:hAnsi="Times New Roman"/>
                <w:bCs/>
                <w:sz w:val="24"/>
              </w:rPr>
              <w:t xml:space="preserve"> a </w:t>
            </w:r>
            <w:r w:rsidRPr="00D85C65">
              <w:rPr>
                <w:rFonts w:ascii="Times New Roman" w:hAnsi="Times New Roman"/>
                <w:bCs/>
                <w:sz w:val="24"/>
              </w:rPr>
              <w:t>3 CRR.</w:t>
            </w:r>
          </w:p>
          <w:p w14:paraId="5ED29C84" w14:textId="77777777" w:rsidR="00235D9D" w:rsidRPr="00D85C65" w:rsidRDefault="00235D9D">
            <w:pPr>
              <w:spacing w:before="0" w:after="0"/>
              <w:ind w:left="33"/>
              <w:rPr>
                <w:rFonts w:ascii="Times New Roman" w:hAnsi="Times New Roman"/>
                <w:bCs/>
                <w:sz w:val="24"/>
              </w:rPr>
            </w:pPr>
          </w:p>
          <w:p w14:paraId="50CB580E" w14:textId="4844E00E"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Na vykazovanie priamych expozícií patriacich do rozsahu pôsobnosti článku 271 CRR, na ktoré sa vzťahujú požiadavky na vlastné zdroje pre kreditné riziko protistrany</w:t>
            </w:r>
            <w:r w:rsidR="00D85C65">
              <w:rPr>
                <w:rFonts w:ascii="Times New Roman" w:hAnsi="Times New Roman"/>
                <w:bCs/>
                <w:sz w:val="24"/>
              </w:rPr>
              <w:t xml:space="preserve"> a </w:t>
            </w:r>
            <w:r w:rsidRPr="00D85C65">
              <w:rPr>
                <w:rFonts w:ascii="Times New Roman" w:hAnsi="Times New Roman"/>
                <w:bCs/>
                <w:sz w:val="24"/>
              </w:rPr>
              <w:t>trhové riziko, pozri pokyny pre rozčlenenie riadkov.</w:t>
            </w:r>
          </w:p>
          <w:p w14:paraId="23FE04B4" w14:textId="77777777" w:rsidR="00235D9D" w:rsidRPr="00D85C65" w:rsidRDefault="00235D9D">
            <w:pPr>
              <w:spacing w:before="0" w:after="0"/>
              <w:ind w:left="33"/>
              <w:rPr>
                <w:rFonts w:ascii="Times New Roman" w:hAnsi="Times New Roman"/>
                <w:b/>
                <w:bCs/>
                <w:sz w:val="24"/>
                <w:u w:val="single"/>
              </w:rPr>
            </w:pPr>
          </w:p>
        </w:tc>
      </w:tr>
    </w:tbl>
    <w:p w14:paraId="25144459" w14:textId="77777777" w:rsidR="00235D9D" w:rsidRPr="00D85C65" w:rsidRDefault="00235D9D">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235D9D" w:rsidRPr="00D85C65" w14:paraId="4B74663B" w14:textId="77777777" w:rsidTr="00672D2A">
        <w:tc>
          <w:tcPr>
            <w:tcW w:w="1188" w:type="dxa"/>
            <w:shd w:val="clear" w:color="auto" w:fill="CCCCCC"/>
          </w:tcPr>
          <w:p w14:paraId="158EBFFC"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Riadky</w:t>
            </w:r>
          </w:p>
        </w:tc>
        <w:tc>
          <w:tcPr>
            <w:tcW w:w="8701" w:type="dxa"/>
            <w:shd w:val="clear" w:color="auto" w:fill="CCCCCC"/>
          </w:tcPr>
          <w:p w14:paraId="2067DC1F"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Pokyny</w:t>
            </w:r>
          </w:p>
        </w:tc>
      </w:tr>
      <w:tr w:rsidR="00235D9D" w:rsidRPr="00D85C65" w14:paraId="6B2D45ED" w14:textId="77777777" w:rsidTr="00672D2A">
        <w:tc>
          <w:tcPr>
            <w:tcW w:w="9889" w:type="dxa"/>
            <w:gridSpan w:val="2"/>
          </w:tcPr>
          <w:p w14:paraId="4B82BE86"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ROZČLENENIE EXPOZÍCIÍ PODĽA REGULAČNÉHO PRÍSTUPU</w:t>
            </w:r>
          </w:p>
          <w:p w14:paraId="71D3F364" w14:textId="77777777" w:rsidR="00235D9D" w:rsidRPr="00D85C65" w:rsidRDefault="00235D9D">
            <w:pPr>
              <w:spacing w:before="0" w:after="0"/>
              <w:ind w:left="33"/>
              <w:rPr>
                <w:rFonts w:ascii="Times New Roman" w:hAnsi="Times New Roman"/>
                <w:bCs/>
                <w:sz w:val="24"/>
              </w:rPr>
            </w:pPr>
          </w:p>
        </w:tc>
      </w:tr>
      <w:tr w:rsidR="00235D9D" w:rsidRPr="00D85C65" w14:paraId="11643FBF" w14:textId="77777777" w:rsidTr="00672D2A">
        <w:tc>
          <w:tcPr>
            <w:tcW w:w="1188" w:type="dxa"/>
            <w:shd w:val="clear" w:color="auto" w:fill="auto"/>
          </w:tcPr>
          <w:p w14:paraId="42E08604"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010</w:t>
            </w:r>
          </w:p>
        </w:tc>
        <w:tc>
          <w:tcPr>
            <w:tcW w:w="8701" w:type="dxa"/>
            <w:shd w:val="clear" w:color="auto" w:fill="auto"/>
          </w:tcPr>
          <w:p w14:paraId="3A82171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Celkové expozície</w:t>
            </w:r>
          </w:p>
          <w:p w14:paraId="2BBD1D82" w14:textId="77777777" w:rsidR="00235D9D" w:rsidRPr="00D85C65" w:rsidRDefault="00235D9D">
            <w:pPr>
              <w:spacing w:before="0" w:after="0"/>
              <w:ind w:left="33"/>
              <w:rPr>
                <w:rFonts w:ascii="Times New Roman" w:hAnsi="Times New Roman"/>
                <w:b/>
                <w:bCs/>
                <w:sz w:val="24"/>
                <w:u w:val="single"/>
              </w:rPr>
            </w:pPr>
          </w:p>
          <w:p w14:paraId="1121CEA2" w14:textId="506ABB9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Súhrn expozícií voči orgánom verejnej správy, ako sa vymedzuje</w:t>
            </w:r>
            <w:r w:rsidR="00D85C65">
              <w:rPr>
                <w:rFonts w:ascii="Times New Roman" w:hAnsi="Times New Roman"/>
                <w:bCs/>
                <w:sz w:val="24"/>
              </w:rPr>
              <w:t xml:space="preserve"> v </w:t>
            </w:r>
            <w:r w:rsidRPr="00D85C65">
              <w:rPr>
                <w:rFonts w:ascii="Times New Roman" w:hAnsi="Times New Roman"/>
                <w:bCs/>
                <w:sz w:val="24"/>
              </w:rPr>
              <w:t>odsekoch 155 až 160 tejto prílohy.</w:t>
            </w:r>
          </w:p>
          <w:p w14:paraId="5900DE7D" w14:textId="77777777" w:rsidR="00235D9D" w:rsidRPr="00D85C65" w:rsidRDefault="00235D9D">
            <w:pPr>
              <w:spacing w:before="0" w:after="0"/>
              <w:ind w:left="33"/>
              <w:rPr>
                <w:rFonts w:ascii="Times New Roman" w:hAnsi="Times New Roman"/>
                <w:b/>
                <w:bCs/>
                <w:sz w:val="24"/>
                <w:u w:val="single"/>
              </w:rPr>
            </w:pPr>
          </w:p>
        </w:tc>
      </w:tr>
      <w:tr w:rsidR="00235D9D" w:rsidRPr="00D85C65" w14:paraId="7F17E38A" w14:textId="77777777" w:rsidTr="00672D2A">
        <w:tc>
          <w:tcPr>
            <w:tcW w:w="1188" w:type="dxa"/>
          </w:tcPr>
          <w:p w14:paraId="4DEE5029"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020 – 155</w:t>
            </w:r>
          </w:p>
        </w:tc>
        <w:tc>
          <w:tcPr>
            <w:tcW w:w="8701" w:type="dxa"/>
          </w:tcPr>
          <w:p w14:paraId="4A862390" w14:textId="77777777" w:rsidR="00235D9D" w:rsidRPr="00D85C65" w:rsidRDefault="00FD54FC">
            <w:pPr>
              <w:spacing w:before="0" w:after="0"/>
              <w:ind w:left="33"/>
              <w:rPr>
                <w:rFonts w:ascii="Times New Roman" w:hAnsi="Times New Roman"/>
                <w:bCs/>
                <w:sz w:val="24"/>
              </w:rPr>
            </w:pPr>
            <w:r w:rsidRPr="00D85C65">
              <w:rPr>
                <w:rFonts w:ascii="Times New Roman" w:hAnsi="Times New Roman"/>
                <w:b/>
                <w:bCs/>
                <w:sz w:val="24"/>
                <w:u w:val="single"/>
              </w:rPr>
              <w:t>Expozície, na ktoré sa vzťahuje rámec kreditného rizika</w:t>
            </w:r>
          </w:p>
          <w:p w14:paraId="170F3005" w14:textId="77777777" w:rsidR="00235D9D" w:rsidRPr="00D85C65" w:rsidRDefault="00235D9D">
            <w:pPr>
              <w:spacing w:before="0" w:after="0"/>
              <w:ind w:left="33"/>
              <w:rPr>
                <w:rFonts w:ascii="Times New Roman" w:hAnsi="Times New Roman"/>
                <w:bCs/>
                <w:sz w:val="24"/>
              </w:rPr>
            </w:pPr>
          </w:p>
          <w:p w14:paraId="6BBD2B31" w14:textId="15B83158" w:rsidR="00D85C65" w:rsidRDefault="00FD54FC">
            <w:pPr>
              <w:spacing w:before="0" w:after="0"/>
              <w:ind w:left="33"/>
              <w:rPr>
                <w:rFonts w:ascii="Times New Roman" w:hAnsi="Times New Roman"/>
                <w:bCs/>
                <w:sz w:val="24"/>
              </w:rPr>
            </w:pPr>
            <w:r w:rsidRPr="00D85C65">
              <w:rPr>
                <w:rFonts w:ascii="Times New Roman" w:hAnsi="Times New Roman"/>
                <w:bCs/>
                <w:sz w:val="24"/>
              </w:rPr>
              <w:t>Súhrn expozícií</w:t>
            </w:r>
            <w:r w:rsidRPr="00D85C65">
              <w:rPr>
                <w:rFonts w:ascii="Times New Roman" w:hAnsi="Times New Roman"/>
                <w:sz w:val="24"/>
              </w:rPr>
              <w:t xml:space="preserve"> voči orgánom verejnej správy, </w:t>
            </w:r>
            <w:r w:rsidRPr="00D85C65">
              <w:rPr>
                <w:rFonts w:ascii="Times New Roman" w:hAnsi="Times New Roman"/>
                <w:bCs/>
                <w:sz w:val="24"/>
              </w:rPr>
              <w:t>ktoré sú rizikovo vážené</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treťou časťou hlavou II CRR. Expozície, na ktoré sa vzťahuje rámec kreditného rizika, zahŕňajú expozície</w:t>
            </w:r>
            <w:r w:rsidR="00D85C65">
              <w:rPr>
                <w:rFonts w:ascii="Times New Roman" w:hAnsi="Times New Roman"/>
                <w:bCs/>
                <w:sz w:val="24"/>
              </w:rPr>
              <w:t xml:space="preserve"> z </w:t>
            </w:r>
            <w:r w:rsidRPr="00D85C65">
              <w:rPr>
                <w:rFonts w:ascii="Times New Roman" w:hAnsi="Times New Roman"/>
                <w:bCs/>
                <w:sz w:val="24"/>
              </w:rPr>
              <w:t>neobchodnej knihy aj obchodnej knihy podliehajúce kapitálovej požiadavke pre kreditné riziko protistrany</w:t>
            </w:r>
            <w:r w:rsidR="00D85C65">
              <w:rPr>
                <w:rFonts w:ascii="Times New Roman" w:hAnsi="Times New Roman"/>
                <w:bCs/>
                <w:sz w:val="24"/>
              </w:rPr>
              <w:t>.</w:t>
            </w:r>
          </w:p>
          <w:p w14:paraId="10217DA5" w14:textId="56789A1D" w:rsidR="00235D9D" w:rsidRPr="00D85C65" w:rsidRDefault="00235D9D">
            <w:pPr>
              <w:spacing w:before="0" w:after="0"/>
              <w:ind w:left="33"/>
              <w:rPr>
                <w:rFonts w:ascii="Times New Roman" w:hAnsi="Times New Roman"/>
                <w:bCs/>
                <w:sz w:val="24"/>
              </w:rPr>
            </w:pPr>
          </w:p>
          <w:p w14:paraId="6FDDDAC3" w14:textId="46F6C451"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Priame expozície patriace do rozsahu pôsobnosti článku 271 CRR, na ktoré sa vzťahujú požiadavky na vlastné zdroje pre kreditné riziko protistrany aj trhové riziko, sa vykazujú</w:t>
            </w:r>
            <w:r w:rsidR="00D85C65">
              <w:rPr>
                <w:rFonts w:ascii="Times New Roman" w:hAnsi="Times New Roman"/>
                <w:bCs/>
                <w:sz w:val="24"/>
              </w:rPr>
              <w:t xml:space="preserve"> v </w:t>
            </w:r>
            <w:r w:rsidRPr="00D85C65">
              <w:rPr>
                <w:rFonts w:ascii="Times New Roman" w:hAnsi="Times New Roman"/>
                <w:bCs/>
                <w:sz w:val="24"/>
              </w:rPr>
              <w:t>riadkoch pre kreditné riziko (020 až 155) aj</w:t>
            </w:r>
            <w:r w:rsidR="00D85C65">
              <w:rPr>
                <w:rFonts w:ascii="Times New Roman" w:hAnsi="Times New Roman"/>
                <w:bCs/>
                <w:sz w:val="24"/>
              </w:rPr>
              <w:t xml:space="preserve"> v </w:t>
            </w:r>
            <w:r w:rsidRPr="00D85C65">
              <w:rPr>
                <w:rFonts w:ascii="Times New Roman" w:hAnsi="Times New Roman"/>
                <w:bCs/>
                <w:sz w:val="24"/>
              </w:rPr>
              <w:t>riadku pre trhové riziko (riadok 160): expozície</w:t>
            </w:r>
            <w:r w:rsidR="00D85C65">
              <w:rPr>
                <w:rFonts w:ascii="Times New Roman" w:hAnsi="Times New Roman"/>
                <w:bCs/>
                <w:sz w:val="24"/>
              </w:rPr>
              <w:t xml:space="preserve"> z </w:t>
            </w:r>
            <w:r w:rsidRPr="00D85C65">
              <w:rPr>
                <w:rFonts w:ascii="Times New Roman" w:hAnsi="Times New Roman"/>
                <w:bCs/>
                <w:sz w:val="24"/>
              </w:rPr>
              <w:t>dôvodu kreditného rizika protistrany sa vykazujú</w:t>
            </w:r>
            <w:r w:rsidR="00D85C65">
              <w:rPr>
                <w:rFonts w:ascii="Times New Roman" w:hAnsi="Times New Roman"/>
                <w:bCs/>
                <w:sz w:val="24"/>
              </w:rPr>
              <w:t xml:space="preserve"> v </w:t>
            </w:r>
            <w:r w:rsidRPr="00D85C65">
              <w:rPr>
                <w:rFonts w:ascii="Times New Roman" w:hAnsi="Times New Roman"/>
                <w:bCs/>
                <w:sz w:val="24"/>
              </w:rPr>
              <w:t>riadkoch kreditného rizika, zatiaľ čo expozície</w:t>
            </w:r>
            <w:r w:rsidR="00D85C65">
              <w:rPr>
                <w:rFonts w:ascii="Times New Roman" w:hAnsi="Times New Roman"/>
                <w:bCs/>
                <w:sz w:val="24"/>
              </w:rPr>
              <w:t xml:space="preserve"> z </w:t>
            </w:r>
            <w:r w:rsidRPr="00D85C65">
              <w:rPr>
                <w:rFonts w:ascii="Times New Roman" w:hAnsi="Times New Roman"/>
                <w:bCs/>
                <w:sz w:val="24"/>
              </w:rPr>
              <w:t>dôvodu trhového rizika sa vykazujú</w:t>
            </w:r>
            <w:r w:rsidR="00D85C65">
              <w:rPr>
                <w:rFonts w:ascii="Times New Roman" w:hAnsi="Times New Roman"/>
                <w:bCs/>
                <w:sz w:val="24"/>
              </w:rPr>
              <w:t xml:space="preserve"> v </w:t>
            </w:r>
            <w:r w:rsidRPr="00D85C65">
              <w:rPr>
                <w:rFonts w:ascii="Times New Roman" w:hAnsi="Times New Roman"/>
                <w:bCs/>
                <w:sz w:val="24"/>
              </w:rPr>
              <w:t>riadku trhového rizika.</w:t>
            </w:r>
          </w:p>
          <w:p w14:paraId="2D1E510B" w14:textId="77777777" w:rsidR="00235D9D" w:rsidRPr="00D85C65" w:rsidRDefault="00235D9D">
            <w:pPr>
              <w:spacing w:before="0" w:after="0"/>
              <w:ind w:left="33"/>
              <w:rPr>
                <w:rFonts w:ascii="Times New Roman" w:hAnsi="Times New Roman"/>
                <w:bCs/>
                <w:sz w:val="24"/>
              </w:rPr>
            </w:pPr>
          </w:p>
        </w:tc>
      </w:tr>
      <w:tr w:rsidR="00235D9D" w:rsidRPr="00D85C65" w14:paraId="07F9A4BC" w14:textId="77777777" w:rsidTr="00672D2A">
        <w:tc>
          <w:tcPr>
            <w:tcW w:w="1188" w:type="dxa"/>
          </w:tcPr>
          <w:p w14:paraId="52812F73"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030</w:t>
            </w:r>
          </w:p>
        </w:tc>
        <w:tc>
          <w:tcPr>
            <w:tcW w:w="8701" w:type="dxa"/>
          </w:tcPr>
          <w:p w14:paraId="4106349B"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Štandardizovaný prístup</w:t>
            </w:r>
          </w:p>
          <w:p w14:paraId="261CF261" w14:textId="77777777" w:rsidR="00235D9D" w:rsidRPr="00D85C65" w:rsidRDefault="00235D9D">
            <w:pPr>
              <w:spacing w:before="0" w:after="0"/>
              <w:ind w:left="33"/>
              <w:rPr>
                <w:rFonts w:ascii="Times New Roman" w:hAnsi="Times New Roman"/>
                <w:bCs/>
                <w:sz w:val="24"/>
              </w:rPr>
            </w:pPr>
          </w:p>
          <w:p w14:paraId="3F8B456F" w14:textId="496C638D"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rizikovo vážené</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treťou časťou hlavou II kapitolou 2 CRR, vrátane expozícií</w:t>
            </w:r>
            <w:r w:rsidR="00D85C65">
              <w:rPr>
                <w:rFonts w:ascii="Times New Roman" w:hAnsi="Times New Roman"/>
                <w:bCs/>
                <w:sz w:val="24"/>
              </w:rPr>
              <w:t xml:space="preserve"> z </w:t>
            </w:r>
            <w:r w:rsidRPr="00D85C65">
              <w:rPr>
                <w:rFonts w:ascii="Times New Roman" w:hAnsi="Times New Roman"/>
                <w:bCs/>
                <w:sz w:val="24"/>
              </w:rPr>
              <w:t>neobchodnej knihy, pre ktoré rizikové váženie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uvedenou kapitolou rieši kreditné riziko protistrany.</w:t>
            </w:r>
          </w:p>
          <w:p w14:paraId="5CF39721" w14:textId="77777777" w:rsidR="00235D9D" w:rsidRPr="00D85C65" w:rsidRDefault="00235D9D">
            <w:pPr>
              <w:spacing w:before="0" w:after="0"/>
              <w:ind w:left="33"/>
              <w:rPr>
                <w:rFonts w:ascii="Times New Roman" w:hAnsi="Times New Roman"/>
                <w:bCs/>
                <w:sz w:val="24"/>
              </w:rPr>
            </w:pPr>
          </w:p>
        </w:tc>
      </w:tr>
      <w:tr w:rsidR="00235D9D" w:rsidRPr="00D85C65" w14:paraId="709F8E9F" w14:textId="77777777" w:rsidTr="00672D2A">
        <w:tc>
          <w:tcPr>
            <w:tcW w:w="1188" w:type="dxa"/>
          </w:tcPr>
          <w:p w14:paraId="0F316850"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040</w:t>
            </w:r>
          </w:p>
        </w:tc>
        <w:tc>
          <w:tcPr>
            <w:tcW w:w="8701" w:type="dxa"/>
          </w:tcPr>
          <w:p w14:paraId="757B7863"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Ústredné vlády</w:t>
            </w:r>
          </w:p>
          <w:p w14:paraId="1CC65811" w14:textId="77777777" w:rsidR="00235D9D" w:rsidRPr="00D85C65" w:rsidRDefault="00235D9D">
            <w:pPr>
              <w:spacing w:before="0" w:after="0"/>
              <w:ind w:left="33"/>
              <w:rPr>
                <w:rFonts w:ascii="Times New Roman" w:hAnsi="Times New Roman"/>
                <w:bCs/>
                <w:sz w:val="24"/>
              </w:rPr>
            </w:pPr>
          </w:p>
          <w:p w14:paraId="002D3F73" w14:textId="61FD9D3D"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ústrednými vládami. Tieto expozície sú zaradené do triedy expozícií „ústredné vlády alebo centrálne banky“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článkami 112</w:t>
            </w:r>
            <w:r w:rsidR="00D85C65">
              <w:rPr>
                <w:rFonts w:ascii="Times New Roman" w:hAnsi="Times New Roman"/>
                <w:bCs/>
                <w:sz w:val="24"/>
              </w:rPr>
              <w:t xml:space="preserve"> a </w:t>
            </w:r>
            <w:r w:rsidRPr="00D85C65">
              <w:rPr>
                <w:rFonts w:ascii="Times New Roman" w:hAnsi="Times New Roman"/>
                <w:bCs/>
                <w:sz w:val="24"/>
              </w:rPr>
              <w:t>114 CRR, ako sa stanovuje</w:t>
            </w:r>
            <w:r w:rsidR="00D85C65">
              <w:rPr>
                <w:rFonts w:ascii="Times New Roman" w:hAnsi="Times New Roman"/>
                <w:bCs/>
                <w:sz w:val="24"/>
              </w:rPr>
              <w:t xml:space="preserve"> v </w:t>
            </w:r>
            <w:r w:rsidRPr="00D85C65">
              <w:rPr>
                <w:rFonts w:ascii="Times New Roman" w:hAnsi="Times New Roman"/>
                <w:bCs/>
                <w:sz w:val="24"/>
              </w:rPr>
              <w:t>pokynoch pre vzor C 07.00,</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62E7C5E3" w14:textId="77777777" w:rsidR="00235D9D" w:rsidRPr="00D85C65" w:rsidRDefault="00235D9D">
            <w:pPr>
              <w:spacing w:before="0" w:after="0"/>
              <w:ind w:left="33"/>
              <w:rPr>
                <w:rFonts w:ascii="Times New Roman" w:hAnsi="Times New Roman"/>
                <w:bCs/>
                <w:sz w:val="24"/>
              </w:rPr>
            </w:pPr>
          </w:p>
        </w:tc>
      </w:tr>
      <w:tr w:rsidR="00235D9D" w:rsidRPr="00D85C65" w14:paraId="75EE3576" w14:textId="77777777" w:rsidTr="00672D2A">
        <w:tc>
          <w:tcPr>
            <w:tcW w:w="1188" w:type="dxa"/>
          </w:tcPr>
          <w:p w14:paraId="342F6D56"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050</w:t>
            </w:r>
          </w:p>
        </w:tc>
        <w:tc>
          <w:tcPr>
            <w:tcW w:w="8701" w:type="dxa"/>
          </w:tcPr>
          <w:p w14:paraId="1A825496"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Regionálne vlády alebo miestne orgány</w:t>
            </w:r>
          </w:p>
          <w:p w14:paraId="14F3B7E4" w14:textId="77777777" w:rsidR="00235D9D" w:rsidRPr="00D85C65" w:rsidRDefault="00235D9D">
            <w:pPr>
              <w:spacing w:before="0" w:after="0"/>
              <w:ind w:left="33"/>
              <w:rPr>
                <w:rFonts w:ascii="Times New Roman" w:hAnsi="Times New Roman"/>
                <w:bCs/>
                <w:sz w:val="24"/>
              </w:rPr>
            </w:pPr>
          </w:p>
          <w:p w14:paraId="64E25E8C" w14:textId="078AA85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regionálnymi vládami alebo miestnymi orgánmi. Tieto expozície sú zaradené do triedy expozícií „regionálne vlády alebo miestne orgány“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článkami 112</w:t>
            </w:r>
            <w:r w:rsidR="00D85C65">
              <w:rPr>
                <w:rFonts w:ascii="Times New Roman" w:hAnsi="Times New Roman"/>
                <w:bCs/>
                <w:sz w:val="24"/>
              </w:rPr>
              <w:t xml:space="preserve"> a </w:t>
            </w:r>
            <w:r w:rsidRPr="00D85C65">
              <w:rPr>
                <w:rFonts w:ascii="Times New Roman" w:hAnsi="Times New Roman"/>
                <w:bCs/>
                <w:sz w:val="24"/>
              </w:rPr>
              <w:t>115 CRR, ako sa stanovuje</w:t>
            </w:r>
            <w:r w:rsidR="00D85C65">
              <w:rPr>
                <w:rFonts w:ascii="Times New Roman" w:hAnsi="Times New Roman"/>
                <w:bCs/>
                <w:sz w:val="24"/>
              </w:rPr>
              <w:t xml:space="preserve"> v </w:t>
            </w:r>
            <w:r w:rsidRPr="00D85C65">
              <w:rPr>
                <w:rFonts w:ascii="Times New Roman" w:hAnsi="Times New Roman"/>
                <w:bCs/>
                <w:sz w:val="24"/>
              </w:rPr>
              <w:t>pokynoch pre vzor C 07.00,</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5B520DF4" w14:textId="77777777" w:rsidR="00235D9D" w:rsidRPr="00D85C65" w:rsidRDefault="00235D9D">
            <w:pPr>
              <w:spacing w:before="0" w:after="0"/>
              <w:ind w:left="33"/>
              <w:rPr>
                <w:rFonts w:ascii="Times New Roman" w:hAnsi="Times New Roman"/>
                <w:bCs/>
                <w:sz w:val="24"/>
              </w:rPr>
            </w:pPr>
          </w:p>
        </w:tc>
      </w:tr>
      <w:tr w:rsidR="00235D9D" w:rsidRPr="00D85C65" w14:paraId="6D1216D8" w14:textId="77777777" w:rsidTr="00672D2A">
        <w:tc>
          <w:tcPr>
            <w:tcW w:w="1188" w:type="dxa"/>
          </w:tcPr>
          <w:p w14:paraId="4E85D851"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060</w:t>
            </w:r>
          </w:p>
        </w:tc>
        <w:tc>
          <w:tcPr>
            <w:tcW w:w="8701" w:type="dxa"/>
          </w:tcPr>
          <w:p w14:paraId="7FC87D5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Subjekty verejného sektora</w:t>
            </w:r>
          </w:p>
          <w:p w14:paraId="497DF568" w14:textId="77777777" w:rsidR="00235D9D" w:rsidRPr="00D85C65" w:rsidRDefault="00235D9D">
            <w:pPr>
              <w:spacing w:before="0" w:after="0"/>
              <w:ind w:left="33"/>
              <w:rPr>
                <w:rFonts w:ascii="Times New Roman" w:hAnsi="Times New Roman"/>
                <w:bCs/>
                <w:sz w:val="24"/>
              </w:rPr>
            </w:pPr>
          </w:p>
          <w:p w14:paraId="003C7F9C" w14:textId="16108E70"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subjektmi verejného sektora. Tieto expozície sú zaradené do triedy expozícií „subjekty verejného sektora“</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článkami 112</w:t>
            </w:r>
            <w:r w:rsidR="00D85C65">
              <w:rPr>
                <w:rFonts w:ascii="Times New Roman" w:hAnsi="Times New Roman"/>
                <w:bCs/>
                <w:sz w:val="24"/>
              </w:rPr>
              <w:t xml:space="preserve"> a </w:t>
            </w:r>
            <w:r w:rsidRPr="00D85C65">
              <w:rPr>
                <w:rFonts w:ascii="Times New Roman" w:hAnsi="Times New Roman"/>
                <w:bCs/>
                <w:sz w:val="24"/>
              </w:rPr>
              <w:t>116 CRR, ako sa stanovuje</w:t>
            </w:r>
            <w:r w:rsidR="00D85C65">
              <w:rPr>
                <w:rFonts w:ascii="Times New Roman" w:hAnsi="Times New Roman"/>
                <w:bCs/>
                <w:sz w:val="24"/>
              </w:rPr>
              <w:t xml:space="preserve"> v </w:t>
            </w:r>
            <w:r w:rsidRPr="00D85C65">
              <w:rPr>
                <w:rFonts w:ascii="Times New Roman" w:hAnsi="Times New Roman"/>
                <w:bCs/>
                <w:sz w:val="24"/>
              </w:rPr>
              <w:t>pokynoch pre vzor C 07.00,</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2BF83B92" w14:textId="77777777" w:rsidR="00235D9D" w:rsidRPr="00D85C65" w:rsidRDefault="00235D9D">
            <w:pPr>
              <w:spacing w:before="0" w:after="0"/>
              <w:ind w:left="33"/>
              <w:rPr>
                <w:rFonts w:ascii="Times New Roman" w:hAnsi="Times New Roman"/>
                <w:bCs/>
                <w:sz w:val="24"/>
              </w:rPr>
            </w:pPr>
          </w:p>
        </w:tc>
      </w:tr>
      <w:tr w:rsidR="00235D9D" w:rsidRPr="00D85C65" w14:paraId="50A07606" w14:textId="77777777" w:rsidTr="00672D2A">
        <w:tc>
          <w:tcPr>
            <w:tcW w:w="1188" w:type="dxa"/>
          </w:tcPr>
          <w:p w14:paraId="6A035DA5"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070</w:t>
            </w:r>
          </w:p>
        </w:tc>
        <w:tc>
          <w:tcPr>
            <w:tcW w:w="8701" w:type="dxa"/>
          </w:tcPr>
          <w:p w14:paraId="1E2C627A"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Medzinárodné organizácie</w:t>
            </w:r>
          </w:p>
          <w:p w14:paraId="27CAAC80" w14:textId="77777777" w:rsidR="00235D9D" w:rsidRPr="00D85C65" w:rsidRDefault="00235D9D">
            <w:pPr>
              <w:spacing w:before="0" w:after="0"/>
              <w:ind w:left="33"/>
              <w:rPr>
                <w:rFonts w:ascii="Times New Roman" w:hAnsi="Times New Roman"/>
                <w:bCs/>
                <w:sz w:val="24"/>
              </w:rPr>
            </w:pPr>
          </w:p>
          <w:p w14:paraId="25487D99" w14:textId="544E5830" w:rsidR="00235D9D" w:rsidRPr="00D85C65" w:rsidRDefault="00530BA1">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medzinárodnými organizáciami. Tieto expozície sú zaradené do tried expozícií „medzinárodné organizácie“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článkami 112</w:t>
            </w:r>
            <w:r w:rsidR="00D85C65">
              <w:rPr>
                <w:rFonts w:ascii="Times New Roman" w:hAnsi="Times New Roman"/>
                <w:bCs/>
                <w:sz w:val="24"/>
              </w:rPr>
              <w:t xml:space="preserve"> a </w:t>
            </w:r>
            <w:r w:rsidRPr="00D85C65">
              <w:rPr>
                <w:rFonts w:ascii="Times New Roman" w:hAnsi="Times New Roman"/>
                <w:bCs/>
                <w:sz w:val="24"/>
              </w:rPr>
              <w:t>118 CRR, ako sa stanovuje</w:t>
            </w:r>
            <w:r w:rsidR="00D85C65">
              <w:rPr>
                <w:rFonts w:ascii="Times New Roman" w:hAnsi="Times New Roman"/>
                <w:bCs/>
                <w:sz w:val="24"/>
              </w:rPr>
              <w:t xml:space="preserve"> v </w:t>
            </w:r>
            <w:r w:rsidRPr="00D85C65">
              <w:rPr>
                <w:rFonts w:ascii="Times New Roman" w:hAnsi="Times New Roman"/>
                <w:bCs/>
                <w:sz w:val="24"/>
              </w:rPr>
              <w:t>pokynoch pre vzor C 07.00,</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69071AEA" w14:textId="77777777" w:rsidR="00235D9D" w:rsidRPr="00D85C65" w:rsidRDefault="00235D9D">
            <w:pPr>
              <w:spacing w:before="0" w:after="0"/>
              <w:ind w:left="33"/>
              <w:rPr>
                <w:rFonts w:ascii="Times New Roman" w:hAnsi="Times New Roman"/>
                <w:b/>
                <w:bCs/>
                <w:sz w:val="24"/>
                <w:u w:val="single"/>
              </w:rPr>
            </w:pPr>
          </w:p>
        </w:tc>
      </w:tr>
      <w:tr w:rsidR="00235D9D" w:rsidRPr="00D85C65" w14:paraId="0AE59D57" w14:textId="77777777" w:rsidTr="00672D2A">
        <w:tc>
          <w:tcPr>
            <w:tcW w:w="1188" w:type="dxa"/>
          </w:tcPr>
          <w:p w14:paraId="36DC970D" w14:textId="77777777" w:rsidR="00235D9D" w:rsidRPr="00D85C65" w:rsidRDefault="00CE47AF">
            <w:pPr>
              <w:spacing w:before="0" w:after="0"/>
              <w:ind w:left="33"/>
              <w:rPr>
                <w:rFonts w:ascii="Times New Roman" w:hAnsi="Times New Roman"/>
                <w:bCs/>
                <w:sz w:val="24"/>
              </w:rPr>
            </w:pPr>
            <w:r w:rsidRPr="00D85C65">
              <w:rPr>
                <w:rFonts w:ascii="Times New Roman" w:hAnsi="Times New Roman"/>
                <w:bCs/>
                <w:sz w:val="24"/>
              </w:rPr>
              <w:t>075</w:t>
            </w:r>
          </w:p>
        </w:tc>
        <w:tc>
          <w:tcPr>
            <w:tcW w:w="8701" w:type="dxa"/>
          </w:tcPr>
          <w:p w14:paraId="479BA384" w14:textId="77777777" w:rsidR="00235D9D" w:rsidRPr="00D85C65" w:rsidRDefault="00CE47AF">
            <w:pPr>
              <w:spacing w:before="0" w:after="0"/>
              <w:ind w:left="33"/>
              <w:rPr>
                <w:rFonts w:ascii="Times New Roman" w:hAnsi="Times New Roman"/>
                <w:b/>
                <w:bCs/>
                <w:sz w:val="24"/>
                <w:u w:val="single"/>
              </w:rPr>
            </w:pPr>
            <w:r w:rsidRPr="00D85C65">
              <w:rPr>
                <w:rFonts w:ascii="Times New Roman" w:hAnsi="Times New Roman"/>
                <w:b/>
                <w:bCs/>
                <w:sz w:val="24"/>
                <w:u w:val="single"/>
              </w:rPr>
              <w:t>Iné expozície voči orgánom verejnej správy, na ktoré sa uplatňuje štandardizovaný prístup</w:t>
            </w:r>
          </w:p>
          <w:p w14:paraId="38DCD7F8" w14:textId="77777777" w:rsidR="00235D9D" w:rsidRPr="00D85C65" w:rsidRDefault="00235D9D">
            <w:pPr>
              <w:spacing w:before="0" w:after="0"/>
              <w:ind w:left="33"/>
              <w:rPr>
                <w:rFonts w:ascii="Times New Roman" w:hAnsi="Times New Roman"/>
                <w:bCs/>
                <w:sz w:val="24"/>
              </w:rPr>
            </w:pPr>
          </w:p>
          <w:p w14:paraId="0B5616D8" w14:textId="53DCC4C5" w:rsidR="00235D9D" w:rsidRPr="00D85C65" w:rsidRDefault="00530BA1">
            <w:pPr>
              <w:spacing w:before="0" w:after="0"/>
              <w:ind w:left="33"/>
              <w:rPr>
                <w:rFonts w:ascii="Times New Roman" w:hAnsi="Times New Roman"/>
                <w:bCs/>
                <w:sz w:val="24"/>
              </w:rPr>
            </w:pPr>
            <w:r w:rsidRPr="00D85C65">
              <w:rPr>
                <w:rFonts w:ascii="Times New Roman" w:hAnsi="Times New Roman"/>
                <w:bCs/>
                <w:sz w:val="24"/>
              </w:rPr>
              <w:t>Iné expozície voči orgánom verejnej správy ako tie, ktoré sú uvedené</w:t>
            </w:r>
            <w:r w:rsidR="00D85C65">
              <w:rPr>
                <w:rFonts w:ascii="Times New Roman" w:hAnsi="Times New Roman"/>
                <w:bCs/>
                <w:sz w:val="24"/>
              </w:rPr>
              <w:t xml:space="preserve"> v </w:t>
            </w:r>
            <w:r w:rsidRPr="00D85C65">
              <w:rPr>
                <w:rFonts w:ascii="Times New Roman" w:hAnsi="Times New Roman"/>
                <w:bCs/>
                <w:sz w:val="24"/>
              </w:rPr>
              <w:t>riadkoch 040 až 070 vyššie, ktoré sú pridelené triedam expozícií podľa štandardizovaného prístupu (SA)</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112 CRR na účely výpočtu požiadaviek na vlastné zdroje.</w:t>
            </w:r>
          </w:p>
          <w:p w14:paraId="00B71678" w14:textId="77777777" w:rsidR="00235D9D" w:rsidRPr="00D85C65" w:rsidRDefault="00235D9D">
            <w:pPr>
              <w:spacing w:before="0" w:after="0"/>
              <w:ind w:left="33"/>
              <w:rPr>
                <w:rFonts w:ascii="Times New Roman" w:hAnsi="Times New Roman"/>
                <w:b/>
                <w:bCs/>
                <w:sz w:val="24"/>
                <w:u w:val="single"/>
              </w:rPr>
            </w:pPr>
          </w:p>
        </w:tc>
      </w:tr>
      <w:tr w:rsidR="00235D9D" w:rsidRPr="00D85C65" w14:paraId="54C846CD" w14:textId="77777777" w:rsidTr="00672D2A">
        <w:tc>
          <w:tcPr>
            <w:tcW w:w="1188" w:type="dxa"/>
          </w:tcPr>
          <w:p w14:paraId="25D1B85F"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080</w:t>
            </w:r>
          </w:p>
        </w:tc>
        <w:tc>
          <w:tcPr>
            <w:tcW w:w="8701" w:type="dxa"/>
          </w:tcPr>
          <w:p w14:paraId="799AE877"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Prístup IRB</w:t>
            </w:r>
          </w:p>
          <w:p w14:paraId="46D51E85" w14:textId="77777777" w:rsidR="00235D9D" w:rsidRPr="00D85C65" w:rsidRDefault="00235D9D">
            <w:pPr>
              <w:spacing w:before="0" w:after="0"/>
              <w:ind w:left="33"/>
              <w:rPr>
                <w:rFonts w:ascii="Times New Roman" w:hAnsi="Times New Roman"/>
                <w:bCs/>
                <w:sz w:val="24"/>
              </w:rPr>
            </w:pPr>
          </w:p>
          <w:p w14:paraId="7900AB28" w14:textId="524730AF"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rizikovo vážené</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treťou časťou hlavou II kapitolou 3 CRR, vrátane expozícií</w:t>
            </w:r>
            <w:r w:rsidR="00D85C65">
              <w:rPr>
                <w:rFonts w:ascii="Times New Roman" w:hAnsi="Times New Roman"/>
                <w:bCs/>
                <w:sz w:val="24"/>
              </w:rPr>
              <w:t xml:space="preserve"> z </w:t>
            </w:r>
            <w:r w:rsidRPr="00D85C65">
              <w:rPr>
                <w:rFonts w:ascii="Times New Roman" w:hAnsi="Times New Roman"/>
                <w:bCs/>
                <w:sz w:val="24"/>
              </w:rPr>
              <w:t>neobchodnej knihy, pre ktoré rizikové váženie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uvedenou kapitolou rieši kreditné riziko protistrany.</w:t>
            </w:r>
          </w:p>
          <w:p w14:paraId="29B30B61" w14:textId="77777777" w:rsidR="00235D9D" w:rsidRPr="00D85C65" w:rsidRDefault="00235D9D">
            <w:pPr>
              <w:spacing w:before="0" w:after="0"/>
              <w:ind w:left="33"/>
              <w:rPr>
                <w:rFonts w:ascii="Times New Roman" w:hAnsi="Times New Roman"/>
                <w:bCs/>
                <w:sz w:val="24"/>
              </w:rPr>
            </w:pPr>
          </w:p>
        </w:tc>
      </w:tr>
      <w:tr w:rsidR="00235D9D" w:rsidRPr="00D85C65" w14:paraId="25F7A3FA" w14:textId="77777777" w:rsidTr="00672D2A">
        <w:tc>
          <w:tcPr>
            <w:tcW w:w="1188" w:type="dxa"/>
          </w:tcPr>
          <w:p w14:paraId="22511A04"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090</w:t>
            </w:r>
          </w:p>
        </w:tc>
        <w:tc>
          <w:tcPr>
            <w:tcW w:w="8701" w:type="dxa"/>
          </w:tcPr>
          <w:p w14:paraId="1C5FC261"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Ústredné vlády</w:t>
            </w:r>
          </w:p>
          <w:p w14:paraId="20B0BC30" w14:textId="77777777" w:rsidR="00235D9D" w:rsidRPr="00D85C65" w:rsidRDefault="00235D9D">
            <w:pPr>
              <w:spacing w:before="0" w:after="0"/>
              <w:ind w:left="33"/>
              <w:rPr>
                <w:rFonts w:ascii="Times New Roman" w:hAnsi="Times New Roman"/>
                <w:bCs/>
                <w:sz w:val="24"/>
              </w:rPr>
            </w:pPr>
          </w:p>
          <w:p w14:paraId="373032B6" w14:textId="1EE0A216"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ústrednými vládami</w:t>
            </w:r>
            <w:r w:rsidR="00D85C65">
              <w:rPr>
                <w:rFonts w:ascii="Times New Roman" w:hAnsi="Times New Roman"/>
                <w:bCs/>
                <w:sz w:val="24"/>
              </w:rPr>
              <w:t xml:space="preserve"> a </w:t>
            </w:r>
            <w:r w:rsidRPr="00D85C65">
              <w:rPr>
                <w:rFonts w:ascii="Times New Roman" w:hAnsi="Times New Roman"/>
                <w:bCs/>
                <w:sz w:val="24"/>
              </w:rPr>
              <w:t>ktoré sú zaradené do triedy expozícií „ústredné vlády</w:t>
            </w:r>
            <w:r w:rsidR="00D85C65">
              <w:rPr>
                <w:rFonts w:ascii="Times New Roman" w:hAnsi="Times New Roman"/>
                <w:bCs/>
                <w:sz w:val="24"/>
              </w:rPr>
              <w:t xml:space="preserve"> a </w:t>
            </w:r>
            <w:r w:rsidRPr="00D85C65">
              <w:rPr>
                <w:rFonts w:ascii="Times New Roman" w:hAnsi="Times New Roman"/>
                <w:bCs/>
                <w:sz w:val="24"/>
              </w:rPr>
              <w:t>centrálne banky“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ods. 3 písm. a)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4F164F93" w14:textId="77777777" w:rsidR="00235D9D" w:rsidRPr="00D85C65" w:rsidRDefault="00235D9D">
            <w:pPr>
              <w:spacing w:before="0" w:after="0"/>
              <w:ind w:left="33"/>
              <w:rPr>
                <w:rFonts w:ascii="Times New Roman" w:hAnsi="Times New Roman"/>
                <w:bCs/>
                <w:sz w:val="24"/>
              </w:rPr>
            </w:pPr>
          </w:p>
        </w:tc>
      </w:tr>
      <w:tr w:rsidR="00235D9D" w:rsidRPr="00D85C65" w14:paraId="6CAE82BC" w14:textId="77777777" w:rsidTr="00672D2A">
        <w:tc>
          <w:tcPr>
            <w:tcW w:w="1188" w:type="dxa"/>
          </w:tcPr>
          <w:p w14:paraId="285A850A"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lastRenderedPageBreak/>
              <w:t>100</w:t>
            </w:r>
          </w:p>
        </w:tc>
        <w:tc>
          <w:tcPr>
            <w:tcW w:w="8701" w:type="dxa"/>
          </w:tcPr>
          <w:p w14:paraId="33AE9498" w14:textId="4805F11F"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Regionálne vlády alebo miestne orgány [ústredné vlády</w:t>
            </w:r>
            <w:r w:rsidR="00D85C65">
              <w:rPr>
                <w:rFonts w:ascii="Times New Roman" w:hAnsi="Times New Roman"/>
                <w:b/>
                <w:bCs/>
                <w:sz w:val="24"/>
                <w:u w:val="single"/>
              </w:rPr>
              <w:t xml:space="preserve"> a </w:t>
            </w:r>
            <w:r w:rsidRPr="00D85C65">
              <w:rPr>
                <w:rFonts w:ascii="Times New Roman" w:hAnsi="Times New Roman"/>
                <w:b/>
                <w:bCs/>
                <w:sz w:val="24"/>
                <w:u w:val="single"/>
              </w:rPr>
              <w:t>centrálne banky]</w:t>
            </w:r>
          </w:p>
          <w:p w14:paraId="4B875B64" w14:textId="77777777" w:rsidR="00235D9D" w:rsidRPr="00D85C65" w:rsidRDefault="00235D9D">
            <w:pPr>
              <w:spacing w:before="0" w:after="0"/>
              <w:ind w:left="33"/>
              <w:rPr>
                <w:rFonts w:ascii="Times New Roman" w:hAnsi="Times New Roman"/>
                <w:bCs/>
                <w:sz w:val="24"/>
              </w:rPr>
            </w:pPr>
          </w:p>
          <w:p w14:paraId="22C9F2CE" w14:textId="2750BB1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regionálnymi vládami alebo miestnymi orgánmi</w:t>
            </w:r>
            <w:r w:rsidR="00D85C65">
              <w:rPr>
                <w:rFonts w:ascii="Times New Roman" w:hAnsi="Times New Roman"/>
                <w:bCs/>
                <w:sz w:val="24"/>
              </w:rPr>
              <w:t xml:space="preserve"> a </w:t>
            </w:r>
            <w:r w:rsidRPr="00D85C65">
              <w:rPr>
                <w:rFonts w:ascii="Times New Roman" w:hAnsi="Times New Roman"/>
                <w:bCs/>
                <w:sz w:val="24"/>
              </w:rPr>
              <w:t>ktoré sú zaradené do triedy expozícií „ústredné vlády</w:t>
            </w:r>
            <w:r w:rsidR="00D85C65">
              <w:rPr>
                <w:rFonts w:ascii="Times New Roman" w:hAnsi="Times New Roman"/>
                <w:bCs/>
                <w:sz w:val="24"/>
              </w:rPr>
              <w:t xml:space="preserve"> a </w:t>
            </w:r>
            <w:r w:rsidRPr="00D85C65">
              <w:rPr>
                <w:rFonts w:ascii="Times New Roman" w:hAnsi="Times New Roman"/>
                <w:bCs/>
                <w:sz w:val="24"/>
              </w:rPr>
              <w:t>centrálne banky“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ods. 3 písm. a)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38749CC2" w14:textId="77777777" w:rsidR="00235D9D" w:rsidRPr="00D85C65" w:rsidRDefault="00235D9D">
            <w:pPr>
              <w:spacing w:before="0" w:after="0"/>
              <w:ind w:left="33"/>
              <w:rPr>
                <w:rFonts w:ascii="Times New Roman" w:hAnsi="Times New Roman"/>
                <w:bCs/>
                <w:sz w:val="24"/>
              </w:rPr>
            </w:pPr>
          </w:p>
        </w:tc>
      </w:tr>
      <w:tr w:rsidR="00235D9D" w:rsidRPr="00D85C65" w14:paraId="6BF24A5A" w14:textId="77777777" w:rsidTr="00672D2A">
        <w:tc>
          <w:tcPr>
            <w:tcW w:w="1188" w:type="dxa"/>
          </w:tcPr>
          <w:p w14:paraId="7DDA5257"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110</w:t>
            </w:r>
          </w:p>
        </w:tc>
        <w:tc>
          <w:tcPr>
            <w:tcW w:w="8701" w:type="dxa"/>
          </w:tcPr>
          <w:p w14:paraId="3B95D11C"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Regionálne vlády alebo miestne orgány [inštitúcie]</w:t>
            </w:r>
          </w:p>
          <w:p w14:paraId="7D840299" w14:textId="77777777" w:rsidR="00235D9D" w:rsidRPr="00D85C65" w:rsidRDefault="00235D9D">
            <w:pPr>
              <w:spacing w:before="0" w:after="0"/>
              <w:ind w:left="33"/>
              <w:rPr>
                <w:rFonts w:ascii="Times New Roman" w:hAnsi="Times New Roman"/>
                <w:bCs/>
                <w:sz w:val="24"/>
              </w:rPr>
            </w:pPr>
          </w:p>
          <w:p w14:paraId="4C64A935" w14:textId="356935C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regionálnymi vládami alebo miestnymi orgánmi</w:t>
            </w:r>
            <w:r w:rsidR="00D85C65">
              <w:rPr>
                <w:rFonts w:ascii="Times New Roman" w:hAnsi="Times New Roman"/>
                <w:bCs/>
                <w:sz w:val="24"/>
              </w:rPr>
              <w:t xml:space="preserve"> a </w:t>
            </w:r>
            <w:r w:rsidRPr="00D85C65">
              <w:rPr>
                <w:rFonts w:ascii="Times New Roman" w:hAnsi="Times New Roman"/>
                <w:bCs/>
                <w:sz w:val="24"/>
              </w:rPr>
              <w:t>ktoré sú zaradené do triedy expozícií „inštitúcie“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ods. 4 písm. a)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4CBC3962" w14:textId="77777777" w:rsidR="00235D9D" w:rsidRPr="00D85C65" w:rsidRDefault="00235D9D">
            <w:pPr>
              <w:spacing w:before="0" w:after="0"/>
              <w:ind w:left="33"/>
              <w:rPr>
                <w:rFonts w:ascii="Times New Roman" w:hAnsi="Times New Roman"/>
                <w:bCs/>
                <w:sz w:val="24"/>
              </w:rPr>
            </w:pPr>
          </w:p>
        </w:tc>
      </w:tr>
      <w:tr w:rsidR="00235D9D" w:rsidRPr="00D85C65" w14:paraId="7E703835" w14:textId="77777777" w:rsidTr="00672D2A">
        <w:tc>
          <w:tcPr>
            <w:tcW w:w="1188" w:type="dxa"/>
          </w:tcPr>
          <w:p w14:paraId="491B5229"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120</w:t>
            </w:r>
          </w:p>
        </w:tc>
        <w:tc>
          <w:tcPr>
            <w:tcW w:w="8701" w:type="dxa"/>
          </w:tcPr>
          <w:p w14:paraId="382BC54A" w14:textId="72C54654"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Subjekty verejného sektora [ústredné vlády</w:t>
            </w:r>
            <w:r w:rsidR="00D85C65">
              <w:rPr>
                <w:rFonts w:ascii="Times New Roman" w:hAnsi="Times New Roman"/>
                <w:b/>
                <w:bCs/>
                <w:sz w:val="24"/>
                <w:u w:val="single"/>
              </w:rPr>
              <w:t xml:space="preserve"> a </w:t>
            </w:r>
            <w:r w:rsidRPr="00D85C65">
              <w:rPr>
                <w:rFonts w:ascii="Times New Roman" w:hAnsi="Times New Roman"/>
                <w:b/>
                <w:bCs/>
                <w:sz w:val="24"/>
                <w:u w:val="single"/>
              </w:rPr>
              <w:t>centrálne banky]</w:t>
            </w:r>
          </w:p>
          <w:p w14:paraId="023C6BEC" w14:textId="77777777" w:rsidR="00235D9D" w:rsidRPr="00D85C65" w:rsidRDefault="00235D9D">
            <w:pPr>
              <w:spacing w:before="0" w:after="0"/>
              <w:ind w:left="33"/>
              <w:rPr>
                <w:rFonts w:ascii="Times New Roman" w:hAnsi="Times New Roman"/>
                <w:bCs/>
                <w:sz w:val="24"/>
              </w:rPr>
            </w:pPr>
          </w:p>
          <w:p w14:paraId="6304ED83" w14:textId="7FB9B730"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subjektmi verejného sektora</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4 ods. 8 CRR</w:t>
            </w:r>
            <w:r w:rsidR="00D85C65">
              <w:rPr>
                <w:rFonts w:ascii="Times New Roman" w:hAnsi="Times New Roman"/>
                <w:bCs/>
                <w:sz w:val="24"/>
              </w:rPr>
              <w:t xml:space="preserve"> a </w:t>
            </w:r>
            <w:r w:rsidRPr="00D85C65">
              <w:rPr>
                <w:rFonts w:ascii="Times New Roman" w:hAnsi="Times New Roman"/>
                <w:bCs/>
                <w:sz w:val="24"/>
              </w:rPr>
              <w:t>ktoré sú zaradené do triedy expozícií „ústredné vlády</w:t>
            </w:r>
            <w:r w:rsidR="00D85C65">
              <w:rPr>
                <w:rFonts w:ascii="Times New Roman" w:hAnsi="Times New Roman"/>
                <w:bCs/>
                <w:sz w:val="24"/>
              </w:rPr>
              <w:t xml:space="preserve"> a </w:t>
            </w:r>
            <w:r w:rsidRPr="00D85C65">
              <w:rPr>
                <w:rFonts w:ascii="Times New Roman" w:hAnsi="Times New Roman"/>
                <w:bCs/>
                <w:sz w:val="24"/>
              </w:rPr>
              <w:t>centrálne banky“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ods. 3 písm. a)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4F189DF2" w14:textId="77777777" w:rsidR="00235D9D" w:rsidRPr="00D85C65" w:rsidRDefault="00235D9D">
            <w:pPr>
              <w:spacing w:before="0" w:after="0"/>
              <w:ind w:left="33"/>
              <w:rPr>
                <w:rFonts w:ascii="Times New Roman" w:hAnsi="Times New Roman"/>
                <w:bCs/>
                <w:sz w:val="24"/>
              </w:rPr>
            </w:pPr>
          </w:p>
        </w:tc>
      </w:tr>
      <w:tr w:rsidR="00235D9D" w:rsidRPr="00D85C65" w14:paraId="7B99303B" w14:textId="77777777" w:rsidTr="00672D2A">
        <w:tc>
          <w:tcPr>
            <w:tcW w:w="1188" w:type="dxa"/>
          </w:tcPr>
          <w:p w14:paraId="32294DA7"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130</w:t>
            </w:r>
          </w:p>
        </w:tc>
        <w:tc>
          <w:tcPr>
            <w:tcW w:w="8701" w:type="dxa"/>
          </w:tcPr>
          <w:p w14:paraId="7594D801"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Subjekty verejného sektora [inštitúcie]</w:t>
            </w:r>
          </w:p>
          <w:p w14:paraId="6A2FA47C" w14:textId="77777777" w:rsidR="00235D9D" w:rsidRPr="00D85C65" w:rsidRDefault="00235D9D">
            <w:pPr>
              <w:spacing w:before="0" w:after="0"/>
              <w:ind w:left="33"/>
              <w:rPr>
                <w:rFonts w:ascii="Times New Roman" w:hAnsi="Times New Roman"/>
                <w:bCs/>
                <w:sz w:val="24"/>
              </w:rPr>
            </w:pPr>
          </w:p>
          <w:p w14:paraId="40C60848" w14:textId="33CB1FC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subjektmi verejného sektora</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4 ods. 8 CRR</w:t>
            </w:r>
            <w:r w:rsidR="00D85C65">
              <w:rPr>
                <w:rFonts w:ascii="Times New Roman" w:hAnsi="Times New Roman"/>
                <w:bCs/>
                <w:sz w:val="24"/>
              </w:rPr>
              <w:t xml:space="preserve"> a </w:t>
            </w:r>
            <w:r w:rsidRPr="00D85C65">
              <w:rPr>
                <w:rFonts w:ascii="Times New Roman" w:hAnsi="Times New Roman"/>
                <w:bCs/>
                <w:sz w:val="24"/>
              </w:rPr>
              <w:t>ktoré sú zaradené do triedy expozícií „inštitúcie“</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ods. 4 písm. b)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083886D4" w14:textId="77777777" w:rsidR="00235D9D" w:rsidRPr="00D85C65" w:rsidRDefault="00235D9D">
            <w:pPr>
              <w:spacing w:before="0" w:after="0"/>
              <w:ind w:left="33"/>
              <w:rPr>
                <w:rFonts w:ascii="Times New Roman" w:hAnsi="Times New Roman"/>
                <w:bCs/>
                <w:sz w:val="24"/>
              </w:rPr>
            </w:pPr>
          </w:p>
        </w:tc>
      </w:tr>
      <w:tr w:rsidR="00235D9D" w:rsidRPr="00D85C65" w14:paraId="150DBEA2" w14:textId="77777777" w:rsidTr="00672D2A">
        <w:tc>
          <w:tcPr>
            <w:tcW w:w="1188" w:type="dxa"/>
          </w:tcPr>
          <w:p w14:paraId="3EDC30A2" w14:textId="77777777" w:rsidR="00235D9D" w:rsidRPr="00D85C65" w:rsidDel="00C211CB" w:rsidRDefault="00FD54FC">
            <w:pPr>
              <w:spacing w:before="0" w:after="0"/>
              <w:ind w:left="33"/>
              <w:rPr>
                <w:rFonts w:ascii="Times New Roman" w:hAnsi="Times New Roman"/>
                <w:bCs/>
                <w:sz w:val="24"/>
              </w:rPr>
            </w:pPr>
            <w:r w:rsidRPr="00D85C65">
              <w:rPr>
                <w:rFonts w:ascii="Times New Roman" w:hAnsi="Times New Roman"/>
                <w:bCs/>
                <w:sz w:val="24"/>
              </w:rPr>
              <w:t>140</w:t>
            </w:r>
          </w:p>
        </w:tc>
        <w:tc>
          <w:tcPr>
            <w:tcW w:w="8701" w:type="dxa"/>
          </w:tcPr>
          <w:p w14:paraId="20429198" w14:textId="23BA7F3B"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Medzinárodné organizácie [ústredné vlády</w:t>
            </w:r>
            <w:r w:rsidR="00D85C65">
              <w:rPr>
                <w:rFonts w:ascii="Times New Roman" w:hAnsi="Times New Roman"/>
                <w:b/>
                <w:bCs/>
                <w:sz w:val="24"/>
                <w:u w:val="single"/>
              </w:rPr>
              <w:t xml:space="preserve"> a </w:t>
            </w:r>
            <w:r w:rsidRPr="00D85C65">
              <w:rPr>
                <w:rFonts w:ascii="Times New Roman" w:hAnsi="Times New Roman"/>
                <w:b/>
                <w:bCs/>
                <w:sz w:val="24"/>
                <w:u w:val="single"/>
              </w:rPr>
              <w:t>centrálne banky]</w:t>
            </w:r>
          </w:p>
          <w:p w14:paraId="34D8266C" w14:textId="77777777" w:rsidR="00235D9D" w:rsidRPr="00D85C65" w:rsidRDefault="00235D9D">
            <w:pPr>
              <w:spacing w:before="0" w:after="0"/>
              <w:ind w:left="33"/>
              <w:rPr>
                <w:rFonts w:ascii="Times New Roman" w:hAnsi="Times New Roman"/>
                <w:bCs/>
                <w:sz w:val="24"/>
              </w:rPr>
            </w:pPr>
          </w:p>
          <w:p w14:paraId="6346CB88" w14:textId="5878BC51"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ktoré sú medzinárodnými organizáciami</w:t>
            </w:r>
            <w:r w:rsidR="00D85C65">
              <w:rPr>
                <w:rFonts w:ascii="Times New Roman" w:hAnsi="Times New Roman"/>
                <w:bCs/>
                <w:sz w:val="24"/>
              </w:rPr>
              <w:t xml:space="preserve"> a </w:t>
            </w:r>
            <w:r w:rsidRPr="00D85C65">
              <w:rPr>
                <w:rFonts w:ascii="Times New Roman" w:hAnsi="Times New Roman"/>
                <w:bCs/>
                <w:sz w:val="24"/>
              </w:rPr>
              <w:t>ktoré sú zaradené do triedy expozícií „ústredné vlády</w:t>
            </w:r>
            <w:r w:rsidR="00D85C65">
              <w:rPr>
                <w:rFonts w:ascii="Times New Roman" w:hAnsi="Times New Roman"/>
                <w:bCs/>
                <w:sz w:val="24"/>
              </w:rPr>
              <w:t xml:space="preserve"> a </w:t>
            </w:r>
            <w:r w:rsidRPr="00D85C65">
              <w:rPr>
                <w:rFonts w:ascii="Times New Roman" w:hAnsi="Times New Roman"/>
                <w:bCs/>
                <w:sz w:val="24"/>
              </w:rPr>
              <w:t>centrálne banky“</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w:t>
            </w:r>
            <w:r w:rsidR="00D85C65">
              <w:rPr>
                <w:rFonts w:ascii="Times New Roman" w:hAnsi="Times New Roman"/>
                <w:bCs/>
                <w:sz w:val="24"/>
              </w:rPr>
              <w:lastRenderedPageBreak/>
              <w:t>s </w:t>
            </w:r>
            <w:r w:rsidRPr="00D85C65">
              <w:rPr>
                <w:rFonts w:ascii="Times New Roman" w:hAnsi="Times New Roman"/>
                <w:bCs/>
                <w:sz w:val="24"/>
              </w:rPr>
              <w:t>článkom 147 ods. 3 písm. c) CRR, ako sa stanovuje</w:t>
            </w:r>
            <w:r w:rsidR="00D85C65">
              <w:rPr>
                <w:rFonts w:ascii="Times New Roman" w:hAnsi="Times New Roman"/>
                <w:bCs/>
                <w:sz w:val="24"/>
              </w:rPr>
              <w:t xml:space="preserve"> v </w:t>
            </w:r>
            <w:r w:rsidRPr="00D85C65">
              <w:rPr>
                <w:rFonts w:ascii="Times New Roman" w:hAnsi="Times New Roman"/>
                <w:bCs/>
                <w:sz w:val="24"/>
              </w:rPr>
              <w:t>pokynoch pre vzory C 08.01</w:t>
            </w:r>
            <w:r w:rsidR="00D85C65">
              <w:rPr>
                <w:rFonts w:ascii="Times New Roman" w:hAnsi="Times New Roman"/>
                <w:bCs/>
                <w:sz w:val="24"/>
              </w:rPr>
              <w:t xml:space="preserve"> a </w:t>
            </w:r>
            <w:r w:rsidRPr="00D85C65">
              <w:rPr>
                <w:rFonts w:ascii="Times New Roman" w:hAnsi="Times New Roman"/>
                <w:bCs/>
                <w:sz w:val="24"/>
              </w:rPr>
              <w:t>C 08.02,</w:t>
            </w:r>
            <w:r w:rsidR="00D85C65">
              <w:rPr>
                <w:rFonts w:ascii="Times New Roman" w:hAnsi="Times New Roman"/>
                <w:bCs/>
                <w:sz w:val="24"/>
              </w:rPr>
              <w:t xml:space="preserve"> s </w:t>
            </w:r>
            <w:r w:rsidRPr="00D85C65">
              <w:rPr>
                <w:rFonts w:ascii="Times New Roman" w:hAnsi="Times New Roman"/>
                <w:bCs/>
                <w:sz w:val="24"/>
              </w:rPr>
              <w:t>výnimkou špecifikácií, pokiaľ ide</w:t>
            </w:r>
            <w:r w:rsidR="00D85C65">
              <w:rPr>
                <w:rFonts w:ascii="Times New Roman" w:hAnsi="Times New Roman"/>
                <w:bCs/>
                <w:sz w:val="24"/>
              </w:rPr>
              <w:t xml:space="preserve"> o </w:t>
            </w:r>
            <w:r w:rsidRPr="00D85C65">
              <w:rPr>
                <w:rFonts w:ascii="Times New Roman" w:hAnsi="Times New Roman"/>
                <w:bCs/>
                <w:sz w:val="24"/>
              </w:rPr>
              <w:t>preradenie expozícií voči orgánom verejnej správy do iných tried expozícií</w:t>
            </w:r>
            <w:r w:rsidR="00D85C65">
              <w:rPr>
                <w:rFonts w:ascii="Times New Roman" w:hAnsi="Times New Roman"/>
                <w:bCs/>
                <w:sz w:val="24"/>
              </w:rPr>
              <w:t xml:space="preserve"> z </w:t>
            </w:r>
            <w:r w:rsidRPr="00D85C65">
              <w:rPr>
                <w:rFonts w:ascii="Times New Roman" w:hAnsi="Times New Roman"/>
                <w:bCs/>
                <w:sz w:val="24"/>
              </w:rPr>
              <w:t>dôvodu uplatnenia postupov na zmierňovanie kreditného rizika</w:t>
            </w:r>
            <w:r w:rsidR="00D85C65">
              <w:rPr>
                <w:rFonts w:ascii="Times New Roman" w:hAnsi="Times New Roman"/>
                <w:bCs/>
                <w:sz w:val="24"/>
              </w:rPr>
              <w:t xml:space="preserve"> s </w:t>
            </w:r>
            <w:r w:rsidRPr="00D85C65">
              <w:rPr>
                <w:rFonts w:ascii="Times New Roman" w:hAnsi="Times New Roman"/>
                <w:bCs/>
                <w:sz w:val="24"/>
              </w:rPr>
              <w:t>účinkami substitúcie na expozíciu, ktoré sa neuplatňujú.</w:t>
            </w:r>
          </w:p>
          <w:p w14:paraId="2DFB197E" w14:textId="77777777" w:rsidR="00235D9D" w:rsidRPr="00D85C65" w:rsidRDefault="00235D9D">
            <w:pPr>
              <w:spacing w:before="0" w:after="0"/>
              <w:ind w:left="33"/>
              <w:rPr>
                <w:rFonts w:ascii="Times New Roman" w:hAnsi="Times New Roman"/>
                <w:b/>
                <w:bCs/>
                <w:sz w:val="24"/>
                <w:u w:val="single"/>
              </w:rPr>
            </w:pPr>
          </w:p>
        </w:tc>
      </w:tr>
      <w:tr w:rsidR="00235D9D" w:rsidRPr="00D85C65" w14:paraId="0DC8D283" w14:textId="77777777" w:rsidTr="00672D2A">
        <w:tc>
          <w:tcPr>
            <w:tcW w:w="1188" w:type="dxa"/>
          </w:tcPr>
          <w:p w14:paraId="4B5707BF" w14:textId="77777777" w:rsidR="00235D9D" w:rsidRPr="00D85C65" w:rsidRDefault="00530BA1">
            <w:pPr>
              <w:spacing w:before="0" w:after="0"/>
              <w:ind w:left="33"/>
              <w:rPr>
                <w:rFonts w:ascii="Times New Roman" w:hAnsi="Times New Roman"/>
                <w:bCs/>
                <w:sz w:val="24"/>
              </w:rPr>
            </w:pPr>
            <w:r w:rsidRPr="00D85C65">
              <w:rPr>
                <w:rFonts w:ascii="Times New Roman" w:hAnsi="Times New Roman"/>
                <w:bCs/>
                <w:sz w:val="24"/>
              </w:rPr>
              <w:lastRenderedPageBreak/>
              <w:t>155</w:t>
            </w:r>
          </w:p>
        </w:tc>
        <w:tc>
          <w:tcPr>
            <w:tcW w:w="8701" w:type="dxa"/>
          </w:tcPr>
          <w:p w14:paraId="64D0FB62" w14:textId="6DAD0797" w:rsidR="00235D9D" w:rsidRPr="00D85C65" w:rsidRDefault="00530BA1">
            <w:pPr>
              <w:spacing w:before="0" w:after="0"/>
              <w:ind w:left="33"/>
              <w:rPr>
                <w:rFonts w:ascii="Times New Roman" w:hAnsi="Times New Roman"/>
                <w:b/>
                <w:bCs/>
                <w:sz w:val="24"/>
                <w:u w:val="single"/>
              </w:rPr>
            </w:pPr>
            <w:r w:rsidRPr="00D85C65">
              <w:rPr>
                <w:rFonts w:ascii="Times New Roman" w:hAnsi="Times New Roman"/>
                <w:b/>
                <w:bCs/>
                <w:sz w:val="24"/>
                <w:u w:val="single"/>
              </w:rPr>
              <w:t>Iné expozície voči orgánom verejnej správy, na ktoré sa uplatňuje prístup IRB</w:t>
            </w:r>
          </w:p>
          <w:p w14:paraId="4048C601" w14:textId="77777777" w:rsidR="00235D9D" w:rsidRPr="00D85C65" w:rsidRDefault="00235D9D">
            <w:pPr>
              <w:spacing w:before="0" w:after="0"/>
              <w:ind w:left="33"/>
              <w:rPr>
                <w:rFonts w:ascii="Times New Roman" w:hAnsi="Times New Roman"/>
                <w:bCs/>
                <w:sz w:val="24"/>
              </w:rPr>
            </w:pPr>
          </w:p>
          <w:p w14:paraId="42E0E151" w14:textId="4AB7004B" w:rsidR="00235D9D" w:rsidRPr="00D85C65" w:rsidRDefault="00530BA1">
            <w:pPr>
              <w:spacing w:before="0" w:after="0"/>
              <w:ind w:left="33"/>
              <w:rPr>
                <w:rFonts w:ascii="Times New Roman" w:hAnsi="Times New Roman"/>
                <w:bCs/>
                <w:sz w:val="24"/>
              </w:rPr>
            </w:pPr>
            <w:r w:rsidRPr="00D85C65">
              <w:rPr>
                <w:rFonts w:ascii="Times New Roman" w:hAnsi="Times New Roman"/>
                <w:bCs/>
                <w:sz w:val="24"/>
              </w:rPr>
              <w:t>Iné expozície voči orgánom verejnej správy ako tie, ktoré sú uvedené</w:t>
            </w:r>
            <w:r w:rsidR="00D85C65">
              <w:rPr>
                <w:rFonts w:ascii="Times New Roman" w:hAnsi="Times New Roman"/>
                <w:bCs/>
                <w:sz w:val="24"/>
              </w:rPr>
              <w:t xml:space="preserve"> v </w:t>
            </w:r>
            <w:r w:rsidRPr="00D85C65">
              <w:rPr>
                <w:rFonts w:ascii="Times New Roman" w:hAnsi="Times New Roman"/>
                <w:bCs/>
                <w:sz w:val="24"/>
              </w:rPr>
              <w:t>riadkoch 090 až 140 vyššie, ktoré sú pridelené triedam expozícií</w:t>
            </w:r>
            <w:r w:rsidR="00D85C65">
              <w:rPr>
                <w:rFonts w:ascii="Times New Roman" w:hAnsi="Times New Roman"/>
                <w:bCs/>
                <w:sz w:val="24"/>
              </w:rPr>
              <w:t xml:space="preserve"> v </w:t>
            </w:r>
            <w:r w:rsidRPr="00D85C65">
              <w:rPr>
                <w:rFonts w:ascii="Times New Roman" w:hAnsi="Times New Roman"/>
                <w:bCs/>
                <w:sz w:val="24"/>
              </w:rPr>
              <w:t>rámci IRB</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článkom 147 CRR na účely výpočtu požiadaviek na vlastné zdroje.</w:t>
            </w:r>
          </w:p>
          <w:p w14:paraId="4830A8CE" w14:textId="77777777" w:rsidR="00235D9D" w:rsidRPr="00D85C65" w:rsidRDefault="00235D9D">
            <w:pPr>
              <w:spacing w:before="0" w:after="0"/>
              <w:ind w:left="33"/>
              <w:rPr>
                <w:rFonts w:ascii="Times New Roman" w:hAnsi="Times New Roman"/>
                <w:b/>
                <w:bCs/>
                <w:sz w:val="24"/>
                <w:u w:val="single"/>
              </w:rPr>
            </w:pPr>
          </w:p>
        </w:tc>
      </w:tr>
      <w:tr w:rsidR="00235D9D" w:rsidRPr="00D85C65" w14:paraId="4EA5DA4F" w14:textId="77777777" w:rsidTr="00672D2A">
        <w:tc>
          <w:tcPr>
            <w:tcW w:w="1188" w:type="dxa"/>
          </w:tcPr>
          <w:p w14:paraId="6C409FBD"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160</w:t>
            </w:r>
          </w:p>
        </w:tc>
        <w:tc>
          <w:tcPr>
            <w:tcW w:w="8701" w:type="dxa"/>
          </w:tcPr>
          <w:p w14:paraId="063CFFB0" w14:textId="77777777" w:rsidR="00235D9D" w:rsidRPr="00D85C65" w:rsidRDefault="00FD54FC">
            <w:pPr>
              <w:spacing w:before="0" w:after="0"/>
              <w:ind w:left="33"/>
              <w:rPr>
                <w:rFonts w:ascii="Times New Roman" w:hAnsi="Times New Roman"/>
                <w:b/>
                <w:bCs/>
                <w:sz w:val="24"/>
                <w:u w:val="single"/>
              </w:rPr>
            </w:pPr>
            <w:r w:rsidRPr="00D85C65">
              <w:rPr>
                <w:rFonts w:ascii="Times New Roman" w:hAnsi="Times New Roman"/>
                <w:b/>
                <w:bCs/>
                <w:sz w:val="24"/>
                <w:u w:val="single"/>
              </w:rPr>
              <w:t>Expozície voči trhovému riziku</w:t>
            </w:r>
          </w:p>
          <w:p w14:paraId="6D29B74F" w14:textId="77777777" w:rsidR="00235D9D" w:rsidRPr="00D85C65" w:rsidRDefault="00235D9D">
            <w:pPr>
              <w:spacing w:before="0" w:after="0"/>
              <w:ind w:left="33"/>
              <w:rPr>
                <w:rFonts w:ascii="Times New Roman" w:hAnsi="Times New Roman"/>
                <w:bCs/>
                <w:sz w:val="24"/>
              </w:rPr>
            </w:pPr>
          </w:p>
          <w:p w14:paraId="746A50A0" w14:textId="4D57CCA1"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trhovému riziku sa vzťahujú na pozície, pre ktoré sa požiadavky na vlastné zdroje vypočítavajú</w:t>
            </w:r>
            <w:r w:rsidR="00D85C65">
              <w:rPr>
                <w:rFonts w:ascii="Times New Roman" w:hAnsi="Times New Roman"/>
                <w:bCs/>
                <w:sz w:val="24"/>
              </w:rPr>
              <w:t xml:space="preserve"> v </w:t>
            </w:r>
            <w:r w:rsidRPr="00D85C65">
              <w:rPr>
                <w:rFonts w:ascii="Times New Roman" w:hAnsi="Times New Roman"/>
                <w:bCs/>
                <w:sz w:val="24"/>
              </w:rPr>
              <w:t>súlade</w:t>
            </w:r>
            <w:r w:rsidR="00D85C65">
              <w:rPr>
                <w:rFonts w:ascii="Times New Roman" w:hAnsi="Times New Roman"/>
                <w:bCs/>
                <w:sz w:val="24"/>
              </w:rPr>
              <w:t xml:space="preserve"> s </w:t>
            </w:r>
            <w:r w:rsidRPr="00D85C65">
              <w:rPr>
                <w:rFonts w:ascii="Times New Roman" w:hAnsi="Times New Roman"/>
                <w:bCs/>
                <w:sz w:val="24"/>
              </w:rPr>
              <w:t>treťou časťou hlavou IV nariadenia CRR.</w:t>
            </w:r>
          </w:p>
          <w:p w14:paraId="2DA3FEF1" w14:textId="77777777" w:rsidR="00235D9D" w:rsidRPr="00D85C65" w:rsidRDefault="00235D9D">
            <w:pPr>
              <w:spacing w:before="0" w:after="0"/>
              <w:ind w:left="33"/>
              <w:rPr>
                <w:rFonts w:ascii="Times New Roman" w:hAnsi="Times New Roman"/>
                <w:bCs/>
                <w:sz w:val="24"/>
              </w:rPr>
            </w:pPr>
          </w:p>
          <w:p w14:paraId="07781DEC" w14:textId="1C75D9F0"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Priame expozície patriace do rozsahu pôsobnosti článku 271 CRR, na ktoré sa vzťahujú požiadavky na vlastné zdroje pre kreditné riziko protistrany aj trhové riziko, sa vykazujú</w:t>
            </w:r>
            <w:r w:rsidR="00D85C65">
              <w:rPr>
                <w:rFonts w:ascii="Times New Roman" w:hAnsi="Times New Roman"/>
                <w:bCs/>
                <w:sz w:val="24"/>
              </w:rPr>
              <w:t xml:space="preserve"> v </w:t>
            </w:r>
            <w:r w:rsidRPr="00D85C65">
              <w:rPr>
                <w:rFonts w:ascii="Times New Roman" w:hAnsi="Times New Roman"/>
                <w:bCs/>
                <w:sz w:val="24"/>
              </w:rPr>
              <w:t>riadkoch pre kreditné riziko (020 až 155) aj</w:t>
            </w:r>
            <w:r w:rsidR="00D85C65">
              <w:rPr>
                <w:rFonts w:ascii="Times New Roman" w:hAnsi="Times New Roman"/>
                <w:bCs/>
                <w:sz w:val="24"/>
              </w:rPr>
              <w:t xml:space="preserve"> v </w:t>
            </w:r>
            <w:r w:rsidRPr="00D85C65">
              <w:rPr>
                <w:rFonts w:ascii="Times New Roman" w:hAnsi="Times New Roman"/>
                <w:bCs/>
                <w:sz w:val="24"/>
              </w:rPr>
              <w:t>riadku pre trhové riziko (riadok 160): expozícia</w:t>
            </w:r>
            <w:r w:rsidR="00D85C65">
              <w:rPr>
                <w:rFonts w:ascii="Times New Roman" w:hAnsi="Times New Roman"/>
                <w:bCs/>
                <w:sz w:val="24"/>
              </w:rPr>
              <w:t xml:space="preserve"> z </w:t>
            </w:r>
            <w:r w:rsidRPr="00D85C65">
              <w:rPr>
                <w:rFonts w:ascii="Times New Roman" w:hAnsi="Times New Roman"/>
                <w:bCs/>
                <w:sz w:val="24"/>
              </w:rPr>
              <w:t>dôvodu kreditného rizika protistrany sa vykazuje</w:t>
            </w:r>
            <w:r w:rsidR="00D85C65">
              <w:rPr>
                <w:rFonts w:ascii="Times New Roman" w:hAnsi="Times New Roman"/>
                <w:bCs/>
                <w:sz w:val="24"/>
              </w:rPr>
              <w:t xml:space="preserve"> v </w:t>
            </w:r>
            <w:r w:rsidRPr="00D85C65">
              <w:rPr>
                <w:rFonts w:ascii="Times New Roman" w:hAnsi="Times New Roman"/>
                <w:bCs/>
                <w:sz w:val="24"/>
              </w:rPr>
              <w:t>riadkoch kreditného rizika, zatiaľ čo expozícia</w:t>
            </w:r>
            <w:r w:rsidR="00D85C65">
              <w:rPr>
                <w:rFonts w:ascii="Times New Roman" w:hAnsi="Times New Roman"/>
                <w:bCs/>
                <w:sz w:val="24"/>
              </w:rPr>
              <w:t xml:space="preserve"> z </w:t>
            </w:r>
            <w:r w:rsidRPr="00D85C65">
              <w:rPr>
                <w:rFonts w:ascii="Times New Roman" w:hAnsi="Times New Roman"/>
                <w:bCs/>
                <w:sz w:val="24"/>
              </w:rPr>
              <w:t>dôvodu trhového rizika sa vykazuje</w:t>
            </w:r>
            <w:r w:rsidR="00D85C65">
              <w:rPr>
                <w:rFonts w:ascii="Times New Roman" w:hAnsi="Times New Roman"/>
                <w:bCs/>
                <w:sz w:val="24"/>
              </w:rPr>
              <w:t xml:space="preserve"> v </w:t>
            </w:r>
            <w:r w:rsidRPr="00D85C65">
              <w:rPr>
                <w:rFonts w:ascii="Times New Roman" w:hAnsi="Times New Roman"/>
                <w:bCs/>
                <w:sz w:val="24"/>
              </w:rPr>
              <w:t>riadku trhového rizika.</w:t>
            </w:r>
          </w:p>
          <w:p w14:paraId="2620AD52" w14:textId="77777777" w:rsidR="00235D9D" w:rsidRPr="00D85C65" w:rsidRDefault="00235D9D">
            <w:pPr>
              <w:spacing w:before="0" w:after="0"/>
              <w:ind w:left="33"/>
              <w:rPr>
                <w:rFonts w:ascii="Times New Roman" w:hAnsi="Times New Roman"/>
                <w:bCs/>
                <w:sz w:val="24"/>
              </w:rPr>
            </w:pPr>
          </w:p>
        </w:tc>
      </w:tr>
      <w:tr w:rsidR="00235D9D" w:rsidRPr="00D85C65" w14:paraId="3DBB54E3" w14:textId="77777777" w:rsidTr="00672D2A">
        <w:tc>
          <w:tcPr>
            <w:tcW w:w="1188" w:type="dxa"/>
          </w:tcPr>
          <w:p w14:paraId="4BB4F964" w14:textId="77777777"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170 – 230</w:t>
            </w:r>
          </w:p>
        </w:tc>
        <w:tc>
          <w:tcPr>
            <w:tcW w:w="8701" w:type="dxa"/>
          </w:tcPr>
          <w:p w14:paraId="78D0525B" w14:textId="77777777" w:rsidR="00235D9D" w:rsidRPr="00D85C65" w:rsidRDefault="00FD54FC">
            <w:pPr>
              <w:spacing w:before="0" w:after="0"/>
              <w:ind w:left="33"/>
              <w:rPr>
                <w:rFonts w:ascii="Times New Roman" w:hAnsi="Times New Roman"/>
                <w:b/>
                <w:bCs/>
                <w:sz w:val="24"/>
              </w:rPr>
            </w:pPr>
            <w:r w:rsidRPr="00D85C65">
              <w:rPr>
                <w:rFonts w:ascii="Times New Roman" w:hAnsi="Times New Roman"/>
                <w:b/>
                <w:bCs/>
                <w:sz w:val="24"/>
              </w:rPr>
              <w:t>ROZČLENENIE EXPOZÍCIÍ PODĽA ZOSTATKOVEJ SPLATNOSTI</w:t>
            </w:r>
          </w:p>
          <w:p w14:paraId="6AF475E0" w14:textId="77777777" w:rsidR="00235D9D" w:rsidRPr="00D85C65" w:rsidRDefault="00235D9D">
            <w:pPr>
              <w:spacing w:before="0" w:after="0"/>
              <w:ind w:left="33"/>
              <w:rPr>
                <w:rFonts w:ascii="Times New Roman" w:hAnsi="Times New Roman"/>
                <w:bCs/>
                <w:sz w:val="24"/>
              </w:rPr>
            </w:pPr>
          </w:p>
          <w:p w14:paraId="3F5B064A" w14:textId="0758FB7B"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Zostatková splatnosť sa vypočítava</w:t>
            </w:r>
            <w:r w:rsidR="00D85C65">
              <w:rPr>
                <w:rFonts w:ascii="Times New Roman" w:hAnsi="Times New Roman"/>
                <w:bCs/>
                <w:sz w:val="24"/>
              </w:rPr>
              <w:t xml:space="preserve"> v </w:t>
            </w:r>
            <w:r w:rsidRPr="00D85C65">
              <w:rPr>
                <w:rFonts w:ascii="Times New Roman" w:hAnsi="Times New Roman"/>
                <w:bCs/>
                <w:sz w:val="24"/>
              </w:rPr>
              <w:t>dňoch medzi zmluvným dátumom splatnosti</w:t>
            </w:r>
            <w:r w:rsidR="00D85C65">
              <w:rPr>
                <w:rFonts w:ascii="Times New Roman" w:hAnsi="Times New Roman"/>
                <w:bCs/>
                <w:sz w:val="24"/>
              </w:rPr>
              <w:t xml:space="preserve"> a </w:t>
            </w:r>
            <w:r w:rsidRPr="00D85C65">
              <w:rPr>
                <w:rFonts w:ascii="Times New Roman" w:hAnsi="Times New Roman"/>
                <w:bCs/>
                <w:sz w:val="24"/>
              </w:rPr>
              <w:t>referenčným dátumom vykazovania pre všetky pozície.</w:t>
            </w:r>
          </w:p>
          <w:p w14:paraId="220D1EB9" w14:textId="77777777" w:rsidR="00235D9D" w:rsidRPr="00D85C65" w:rsidRDefault="00235D9D">
            <w:pPr>
              <w:spacing w:before="0" w:after="0"/>
              <w:ind w:left="33"/>
              <w:rPr>
                <w:rFonts w:ascii="Times New Roman" w:hAnsi="Times New Roman"/>
                <w:bCs/>
                <w:sz w:val="24"/>
              </w:rPr>
            </w:pPr>
          </w:p>
          <w:p w14:paraId="6C6070E0" w14:textId="50359C95" w:rsidR="00235D9D" w:rsidRPr="00D85C65" w:rsidRDefault="00FD54FC">
            <w:pPr>
              <w:spacing w:before="0" w:after="0"/>
              <w:ind w:left="33"/>
              <w:rPr>
                <w:rFonts w:ascii="Times New Roman" w:hAnsi="Times New Roman"/>
                <w:bCs/>
                <w:sz w:val="24"/>
              </w:rPr>
            </w:pPr>
            <w:r w:rsidRPr="00D85C65">
              <w:rPr>
                <w:rFonts w:ascii="Times New Roman" w:hAnsi="Times New Roman"/>
                <w:bCs/>
                <w:sz w:val="24"/>
              </w:rPr>
              <w:t>Expozície voči orgánom verejnej správy sa rozčlenia podľa zostatkovej splatnosti</w:t>
            </w:r>
            <w:r w:rsidR="00D85C65">
              <w:rPr>
                <w:rFonts w:ascii="Times New Roman" w:hAnsi="Times New Roman"/>
                <w:bCs/>
                <w:sz w:val="24"/>
              </w:rPr>
              <w:t xml:space="preserve"> a </w:t>
            </w:r>
            <w:r w:rsidRPr="00D85C65">
              <w:rPr>
                <w:rFonts w:ascii="Times New Roman" w:hAnsi="Times New Roman"/>
                <w:bCs/>
                <w:sz w:val="24"/>
              </w:rPr>
              <w:t>priradia sa</w:t>
            </w:r>
            <w:r w:rsidR="00D85C65">
              <w:rPr>
                <w:rFonts w:ascii="Times New Roman" w:hAnsi="Times New Roman"/>
                <w:bCs/>
                <w:sz w:val="24"/>
              </w:rPr>
              <w:t xml:space="preserve"> k </w:t>
            </w:r>
            <w:r w:rsidRPr="00D85C65">
              <w:rPr>
                <w:rFonts w:ascii="Times New Roman" w:hAnsi="Times New Roman"/>
                <w:bCs/>
                <w:sz w:val="24"/>
              </w:rPr>
              <w:t>stanoveným skupinám takto:</w:t>
            </w:r>
          </w:p>
          <w:p w14:paraId="4AD74121" w14:textId="77777777" w:rsidR="00235D9D" w:rsidRPr="00D85C65" w:rsidRDefault="00235D9D">
            <w:pPr>
              <w:spacing w:before="0" w:after="0"/>
              <w:ind w:left="33"/>
              <w:rPr>
                <w:rFonts w:ascii="Times New Roman" w:hAnsi="Times New Roman"/>
                <w:bCs/>
                <w:sz w:val="24"/>
              </w:rPr>
            </w:pPr>
          </w:p>
          <w:p w14:paraId="3EEA5D4A" w14:textId="77777777"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[ 0 – 3M [</w:t>
            </w:r>
            <w:r w:rsidRPr="00D85C65">
              <w:rPr>
                <w:rFonts w:ascii="Times New Roman" w:hAnsi="Times New Roman"/>
                <w:bCs/>
                <w:sz w:val="24"/>
              </w:rPr>
              <w:t xml:space="preserve"> : menej ako 90 dní</w:t>
            </w:r>
          </w:p>
          <w:p w14:paraId="4009B29B" w14:textId="22FEC45A"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[ 3M – 1R [</w:t>
            </w:r>
            <w:r w:rsidRPr="00D85C65">
              <w:rPr>
                <w:rFonts w:ascii="Times New Roman" w:hAnsi="Times New Roman"/>
                <w:bCs/>
                <w:sz w:val="24"/>
              </w:rPr>
              <w:t xml:space="preserve"> : 90 dní alebo viac</w:t>
            </w:r>
            <w:r w:rsidR="00D85C65">
              <w:rPr>
                <w:rFonts w:ascii="Times New Roman" w:hAnsi="Times New Roman"/>
                <w:bCs/>
                <w:sz w:val="24"/>
              </w:rPr>
              <w:t xml:space="preserve"> a </w:t>
            </w:r>
            <w:r w:rsidRPr="00D85C65">
              <w:rPr>
                <w:rFonts w:ascii="Times New Roman" w:hAnsi="Times New Roman"/>
                <w:bCs/>
                <w:sz w:val="24"/>
              </w:rPr>
              <w:t>menej než 365 dní</w:t>
            </w:r>
          </w:p>
          <w:p w14:paraId="4F15AC2A" w14:textId="275550E9"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[ 1R – 2R [</w:t>
            </w:r>
            <w:r w:rsidRPr="00D85C65">
              <w:rPr>
                <w:rFonts w:ascii="Times New Roman" w:hAnsi="Times New Roman"/>
                <w:bCs/>
                <w:sz w:val="24"/>
              </w:rPr>
              <w:t xml:space="preserve"> : 365 dní alebo viac</w:t>
            </w:r>
            <w:r w:rsidR="00D85C65">
              <w:rPr>
                <w:rFonts w:ascii="Times New Roman" w:hAnsi="Times New Roman"/>
                <w:bCs/>
                <w:sz w:val="24"/>
              </w:rPr>
              <w:t xml:space="preserve"> a </w:t>
            </w:r>
            <w:r w:rsidRPr="00D85C65">
              <w:rPr>
                <w:rFonts w:ascii="Times New Roman" w:hAnsi="Times New Roman"/>
                <w:bCs/>
                <w:sz w:val="24"/>
              </w:rPr>
              <w:t>menej než 730 dní</w:t>
            </w:r>
          </w:p>
          <w:p w14:paraId="0D7AA885" w14:textId="1F94F69E"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[ 2R – 3R [</w:t>
            </w:r>
            <w:r w:rsidRPr="00D85C65">
              <w:rPr>
                <w:rFonts w:ascii="Times New Roman" w:hAnsi="Times New Roman"/>
                <w:bCs/>
                <w:sz w:val="24"/>
              </w:rPr>
              <w:t xml:space="preserve"> : 730 dní alebo viac</w:t>
            </w:r>
            <w:r w:rsidR="00D85C65">
              <w:rPr>
                <w:rFonts w:ascii="Times New Roman" w:hAnsi="Times New Roman"/>
                <w:bCs/>
                <w:sz w:val="24"/>
              </w:rPr>
              <w:t xml:space="preserve"> a </w:t>
            </w:r>
            <w:r w:rsidRPr="00D85C65">
              <w:rPr>
                <w:rFonts w:ascii="Times New Roman" w:hAnsi="Times New Roman"/>
                <w:bCs/>
                <w:sz w:val="24"/>
              </w:rPr>
              <w:t>menej než 1 095 dní</w:t>
            </w:r>
          </w:p>
          <w:p w14:paraId="359FA0F4" w14:textId="323A6F5E"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[ 3R – 5R [</w:t>
            </w:r>
            <w:r w:rsidRPr="00D85C65">
              <w:rPr>
                <w:rFonts w:ascii="Times New Roman" w:hAnsi="Times New Roman"/>
                <w:bCs/>
                <w:sz w:val="24"/>
              </w:rPr>
              <w:t xml:space="preserve"> : 1 095 dní alebo viac</w:t>
            </w:r>
            <w:r w:rsidR="00D85C65">
              <w:rPr>
                <w:rFonts w:ascii="Times New Roman" w:hAnsi="Times New Roman"/>
                <w:bCs/>
                <w:sz w:val="24"/>
              </w:rPr>
              <w:t xml:space="preserve"> a </w:t>
            </w:r>
            <w:r w:rsidRPr="00D85C65">
              <w:rPr>
                <w:rFonts w:ascii="Times New Roman" w:hAnsi="Times New Roman"/>
                <w:bCs/>
                <w:sz w:val="24"/>
              </w:rPr>
              <w:t>menej než 1 825 dní</w:t>
            </w:r>
          </w:p>
          <w:p w14:paraId="47EE71AE" w14:textId="58BCB068" w:rsidR="00235D9D" w:rsidRP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[ 5R – 10R [</w:t>
            </w:r>
            <w:r w:rsidRPr="00D85C65">
              <w:rPr>
                <w:rFonts w:ascii="Times New Roman" w:hAnsi="Times New Roman"/>
                <w:bCs/>
                <w:sz w:val="24"/>
              </w:rPr>
              <w:t xml:space="preserve"> : 1 825 dní alebo viac</w:t>
            </w:r>
            <w:r w:rsidR="00D85C65">
              <w:rPr>
                <w:rFonts w:ascii="Times New Roman" w:hAnsi="Times New Roman"/>
                <w:bCs/>
                <w:sz w:val="24"/>
              </w:rPr>
              <w:t xml:space="preserve"> a </w:t>
            </w:r>
            <w:r w:rsidRPr="00D85C65">
              <w:rPr>
                <w:rFonts w:ascii="Times New Roman" w:hAnsi="Times New Roman"/>
                <w:bCs/>
                <w:sz w:val="24"/>
              </w:rPr>
              <w:t>menej než 3 650 dní</w:t>
            </w:r>
          </w:p>
          <w:p w14:paraId="75094EEE" w14:textId="77777777" w:rsidR="00D85C65" w:rsidRDefault="00125707">
            <w:pPr>
              <w:spacing w:before="0" w:after="0"/>
              <w:ind w:left="808" w:hanging="360"/>
              <w:rPr>
                <w:rFonts w:ascii="Times New Roman" w:hAnsi="Times New Roman"/>
                <w:bCs/>
                <w:sz w:val="24"/>
              </w:rPr>
            </w:pPr>
            <w:r w:rsidRPr="00D85C65">
              <w:rPr>
                <w:rFonts w:ascii="Symbol" w:hAnsi="Symbol"/>
                <w:bCs/>
                <w:sz w:val="24"/>
              </w:rPr>
              <w:t></w:t>
            </w:r>
            <w:r w:rsidRPr="00D85C65">
              <w:rPr>
                <w:rFonts w:ascii="Symbol" w:hAnsi="Symbol"/>
                <w:bCs/>
                <w:sz w:val="24"/>
              </w:rPr>
              <w:tab/>
            </w:r>
            <w:r w:rsidRPr="00D85C65">
              <w:rPr>
                <w:rFonts w:ascii="Times New Roman" w:hAnsi="Times New Roman"/>
                <w:b/>
                <w:bCs/>
                <w:sz w:val="24"/>
              </w:rPr>
              <w:t>[ 10R – viac</w:t>
            </w:r>
            <w:r w:rsidRPr="00D85C65">
              <w:rPr>
                <w:rFonts w:ascii="Times New Roman" w:hAnsi="Times New Roman"/>
                <w:bCs/>
                <w:sz w:val="24"/>
              </w:rPr>
              <w:t xml:space="preserve"> : 3 650 dní</w:t>
            </w:r>
            <w:r w:rsidR="00D85C65">
              <w:rPr>
                <w:rFonts w:ascii="Times New Roman" w:hAnsi="Times New Roman"/>
                <w:bCs/>
                <w:sz w:val="24"/>
              </w:rPr>
              <w:t xml:space="preserve"> a </w:t>
            </w:r>
            <w:r w:rsidRPr="00D85C65">
              <w:rPr>
                <w:rFonts w:ascii="Times New Roman" w:hAnsi="Times New Roman"/>
                <w:bCs/>
                <w:sz w:val="24"/>
              </w:rPr>
              <w:t>viac</w:t>
            </w:r>
          </w:p>
          <w:p w14:paraId="10162CA4" w14:textId="430D6C87" w:rsidR="00235D9D" w:rsidRPr="00D85C65" w:rsidRDefault="00235D9D">
            <w:pPr>
              <w:spacing w:before="0" w:after="0"/>
              <w:ind w:left="33"/>
              <w:rPr>
                <w:rFonts w:ascii="Times New Roman" w:hAnsi="Times New Roman"/>
                <w:bCs/>
                <w:sz w:val="24"/>
              </w:rPr>
            </w:pPr>
          </w:p>
        </w:tc>
      </w:tr>
    </w:tbl>
    <w:p w14:paraId="18B19273" w14:textId="2F554F5E" w:rsidR="00D85C65" w:rsidRPr="00D85C65" w:rsidRDefault="00D85C65">
      <w:pPr>
        <w:spacing w:after="0"/>
        <w:rPr>
          <w:rStyle w:val="InstructionsTabelleText"/>
          <w:rFonts w:ascii="Times New Roman" w:hAnsi="Times New Roman"/>
          <w:sz w:val="24"/>
        </w:rPr>
      </w:pPr>
    </w:p>
    <w:sectPr w:rsidR="00D85C65" w:rsidRPr="00D85C65"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8F266" w14:textId="77777777" w:rsidR="003040F1" w:rsidRDefault="003040F1">
      <w:pPr>
        <w:spacing w:before="0" w:after="0"/>
      </w:pPr>
      <w:r>
        <w:separator/>
      </w:r>
    </w:p>
  </w:endnote>
  <w:endnote w:type="continuationSeparator" w:id="0">
    <w:p w14:paraId="01FC0DED" w14:textId="77777777" w:rsidR="003040F1" w:rsidRDefault="003040F1">
      <w:pPr>
        <w:spacing w:before="0" w:after="0"/>
      </w:pPr>
      <w:r>
        <w:continuationSeparator/>
      </w:r>
    </w:p>
  </w:endnote>
  <w:endnote w:type="continuationNotice" w:id="1">
    <w:p w14:paraId="7AD46EA2" w14:textId="77777777" w:rsidR="003040F1" w:rsidRDefault="003040F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455ADE8A"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530AC2">
      <w:rPr>
        <w:rFonts w:ascii="Times New Roman" w:hAnsi="Times New Roman"/>
        <w:noProof/>
        <w:sz w:val="22"/>
        <w:szCs w:val="22"/>
      </w:rPr>
      <w:t>4</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6676100"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30AC2">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C66B3B1"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530AC2">
      <w:rPr>
        <w:rFonts w:ascii="Times New Roman" w:hAnsi="Times New Roman"/>
        <w:noProof/>
        <w:sz w:val="20"/>
        <w:szCs w:val="20"/>
      </w:rPr>
      <w:t>175</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05EA9" w14:textId="77777777" w:rsidR="003040F1" w:rsidRDefault="003040F1">
      <w:pPr>
        <w:spacing w:before="0" w:after="0"/>
      </w:pPr>
      <w:r>
        <w:separator/>
      </w:r>
    </w:p>
  </w:footnote>
  <w:footnote w:type="continuationSeparator" w:id="0">
    <w:p w14:paraId="794E136F" w14:textId="77777777" w:rsidR="003040F1" w:rsidRDefault="003040F1">
      <w:pPr>
        <w:spacing w:before="0" w:after="0"/>
      </w:pPr>
      <w:r>
        <w:continuationSeparator/>
      </w:r>
    </w:p>
  </w:footnote>
  <w:footnote w:type="continuationNotice" w:id="1">
    <w:p w14:paraId="6A8F8E6D" w14:textId="77777777" w:rsidR="003040F1" w:rsidRDefault="003040F1">
      <w:pPr>
        <w:spacing w:before="0" w:after="0"/>
      </w:pPr>
    </w:p>
  </w:footnote>
  <w:footnote w:id="2">
    <w:p w14:paraId="0A122620" w14:textId="1CF217DA" w:rsidR="00235D9D" w:rsidRPr="00530AC2" w:rsidRDefault="00B024D7">
      <w:pPr>
        <w:pStyle w:val="FootnoteText"/>
        <w:spacing w:before="0" w:after="0" w:line="240" w:lineRule="auto"/>
        <w:ind w:left="567" w:hanging="567"/>
        <w:rPr>
          <w:rFonts w:ascii="Times New Roman" w:hAnsi="Times New Roman"/>
          <w:sz w:val="20"/>
          <w:szCs w:val="20"/>
        </w:rPr>
      </w:pPr>
      <w:r w:rsidRPr="00530AC2">
        <w:rPr>
          <w:rStyle w:val="FootnoteReference"/>
          <w:rFonts w:ascii="Times New Roman" w:hAnsi="Times New Roman"/>
          <w:sz w:val="20"/>
          <w:szCs w:val="20"/>
          <w:vertAlign w:val="superscript"/>
        </w:rPr>
        <w:footnoteRef/>
      </w:r>
      <w:r w:rsidRPr="00530AC2">
        <w:rPr>
          <w:rFonts w:ascii="Times New Roman" w:hAnsi="Times New Roman"/>
          <w:sz w:val="20"/>
          <w:szCs w:val="20"/>
        </w:rPr>
        <w:tab/>
        <w:t>Nariadenie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č. 575/2013</w:t>
      </w:r>
      <w:r w:rsidR="00D85C65" w:rsidRPr="00530AC2">
        <w:rPr>
          <w:rFonts w:ascii="Times New Roman" w:hAnsi="Times New Roman"/>
          <w:sz w:val="20"/>
          <w:szCs w:val="20"/>
        </w:rPr>
        <w:t xml:space="preserve"> z </w:t>
      </w:r>
      <w:r w:rsidRPr="00530AC2">
        <w:rPr>
          <w:rFonts w:ascii="Times New Roman" w:hAnsi="Times New Roman"/>
          <w:sz w:val="20"/>
          <w:szCs w:val="20"/>
        </w:rPr>
        <w:t>26</w:t>
      </w:r>
      <w:r w:rsidR="00D85C65" w:rsidRPr="00530AC2">
        <w:rPr>
          <w:rFonts w:ascii="Times New Roman" w:hAnsi="Times New Roman"/>
          <w:sz w:val="20"/>
          <w:szCs w:val="20"/>
        </w:rPr>
        <w:t>. júna</w:t>
      </w:r>
      <w:r w:rsidRPr="00530AC2">
        <w:rPr>
          <w:rFonts w:ascii="Times New Roman" w:hAnsi="Times New Roman"/>
          <w:sz w:val="20"/>
          <w:szCs w:val="20"/>
        </w:rPr>
        <w:t xml:space="preserve"> 2013</w:t>
      </w:r>
      <w:r w:rsidR="00D85C65" w:rsidRPr="00530AC2">
        <w:rPr>
          <w:rFonts w:ascii="Times New Roman" w:hAnsi="Times New Roman"/>
          <w:sz w:val="20"/>
          <w:szCs w:val="20"/>
        </w:rPr>
        <w:t xml:space="preserve"> o </w:t>
      </w:r>
      <w:r w:rsidRPr="00530AC2">
        <w:rPr>
          <w:rFonts w:ascii="Times New Roman" w:hAnsi="Times New Roman"/>
          <w:sz w:val="20"/>
          <w:szCs w:val="20"/>
        </w:rPr>
        <w:t>prudenciálnych požiadavkách na úverové inštitúcie</w:t>
      </w:r>
      <w:r w:rsidR="00D85C65" w:rsidRPr="00530AC2">
        <w:rPr>
          <w:rFonts w:ascii="Times New Roman" w:hAnsi="Times New Roman"/>
          <w:sz w:val="20"/>
          <w:szCs w:val="20"/>
        </w:rPr>
        <w:t xml:space="preserve"> a </w:t>
      </w:r>
      <w:r w:rsidRPr="00530AC2">
        <w:rPr>
          <w:rFonts w:ascii="Times New Roman" w:hAnsi="Times New Roman"/>
          <w:sz w:val="20"/>
          <w:szCs w:val="20"/>
        </w:rPr>
        <w:t>investičné spoločnosti</w:t>
      </w:r>
      <w:r w:rsidR="00D85C65" w:rsidRPr="00530AC2">
        <w:rPr>
          <w:rFonts w:ascii="Times New Roman" w:hAnsi="Times New Roman"/>
          <w:sz w:val="20"/>
          <w:szCs w:val="20"/>
        </w:rPr>
        <w:t xml:space="preserve"> a o </w:t>
      </w:r>
      <w:r w:rsidRPr="00530AC2">
        <w:rPr>
          <w:rFonts w:ascii="Times New Roman" w:hAnsi="Times New Roman"/>
          <w:sz w:val="20"/>
          <w:szCs w:val="20"/>
        </w:rPr>
        <w:t>zmene nariadenia (EÚ) č. 648/2012 (</w:t>
      </w:r>
      <w:r w:rsidRPr="00530AC2">
        <w:rPr>
          <w:rFonts w:ascii="Times New Roman" w:hAnsi="Times New Roman"/>
          <w:iCs/>
          <w:sz w:val="20"/>
          <w:szCs w:val="20"/>
        </w:rPr>
        <w:t>Ú. v. EÚ L 176, 27.6.2013, s. 1).</w:t>
      </w:r>
    </w:p>
  </w:footnote>
  <w:footnote w:id="3">
    <w:p w14:paraId="754D5245" w14:textId="55E99E8B" w:rsidR="00235D9D" w:rsidRPr="00530AC2" w:rsidRDefault="00B024D7">
      <w:pPr>
        <w:pStyle w:val="FootnoteText"/>
        <w:spacing w:before="0" w:after="0" w:line="240" w:lineRule="auto"/>
        <w:ind w:left="567" w:hanging="567"/>
        <w:rPr>
          <w:rFonts w:ascii="Times New Roman" w:hAnsi="Times New Roman"/>
          <w:sz w:val="20"/>
          <w:szCs w:val="20"/>
        </w:rPr>
      </w:pPr>
      <w:r w:rsidRPr="00530AC2">
        <w:rPr>
          <w:rStyle w:val="FootnoteReference"/>
          <w:rFonts w:ascii="Times New Roman" w:hAnsi="Times New Roman"/>
          <w:sz w:val="20"/>
          <w:szCs w:val="20"/>
          <w:vertAlign w:val="superscript"/>
        </w:rPr>
        <w:footnoteRef/>
      </w:r>
      <w:r w:rsidRPr="00530AC2">
        <w:rPr>
          <w:rFonts w:ascii="Times New Roman" w:hAnsi="Times New Roman"/>
          <w:sz w:val="20"/>
          <w:szCs w:val="20"/>
        </w:rPr>
        <w:tab/>
        <w:t>Smernica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2013/36/EÚ</w:t>
      </w:r>
      <w:r w:rsidR="00D85C65" w:rsidRPr="00530AC2">
        <w:rPr>
          <w:rFonts w:ascii="Times New Roman" w:hAnsi="Times New Roman"/>
          <w:sz w:val="20"/>
          <w:szCs w:val="20"/>
        </w:rPr>
        <w:t xml:space="preserve"> z </w:t>
      </w:r>
      <w:r w:rsidRPr="00530AC2">
        <w:rPr>
          <w:rFonts w:ascii="Times New Roman" w:hAnsi="Times New Roman"/>
          <w:sz w:val="20"/>
          <w:szCs w:val="20"/>
        </w:rPr>
        <w:t>26</w:t>
      </w:r>
      <w:r w:rsidR="00D85C65" w:rsidRPr="00530AC2">
        <w:rPr>
          <w:rFonts w:ascii="Times New Roman" w:hAnsi="Times New Roman"/>
          <w:sz w:val="20"/>
          <w:szCs w:val="20"/>
        </w:rPr>
        <w:t>. júna</w:t>
      </w:r>
      <w:r w:rsidRPr="00530AC2">
        <w:rPr>
          <w:rFonts w:ascii="Times New Roman" w:hAnsi="Times New Roman"/>
          <w:sz w:val="20"/>
          <w:szCs w:val="20"/>
        </w:rPr>
        <w:t xml:space="preserve"> 2013</w:t>
      </w:r>
      <w:r w:rsidR="00D85C65" w:rsidRPr="00530AC2">
        <w:rPr>
          <w:rFonts w:ascii="Times New Roman" w:hAnsi="Times New Roman"/>
          <w:sz w:val="20"/>
          <w:szCs w:val="20"/>
        </w:rPr>
        <w:t xml:space="preserve"> o </w:t>
      </w:r>
      <w:r w:rsidRPr="00530AC2">
        <w:rPr>
          <w:rFonts w:ascii="Times New Roman" w:hAnsi="Times New Roman"/>
          <w:sz w:val="20"/>
          <w:szCs w:val="20"/>
        </w:rPr>
        <w:t>prístupe</w:t>
      </w:r>
      <w:r w:rsidR="00D85C65" w:rsidRPr="00530AC2">
        <w:rPr>
          <w:rFonts w:ascii="Times New Roman" w:hAnsi="Times New Roman"/>
          <w:sz w:val="20"/>
          <w:szCs w:val="20"/>
        </w:rPr>
        <w:t xml:space="preserve"> k </w:t>
      </w:r>
      <w:r w:rsidRPr="00530AC2">
        <w:rPr>
          <w:rFonts w:ascii="Times New Roman" w:hAnsi="Times New Roman"/>
          <w:sz w:val="20"/>
          <w:szCs w:val="20"/>
        </w:rPr>
        <w:t>činnosti úverových inštitúcií</w:t>
      </w:r>
      <w:r w:rsidR="00D85C65" w:rsidRPr="00530AC2">
        <w:rPr>
          <w:rFonts w:ascii="Times New Roman" w:hAnsi="Times New Roman"/>
          <w:sz w:val="20"/>
          <w:szCs w:val="20"/>
        </w:rPr>
        <w:t xml:space="preserve"> a </w:t>
      </w:r>
      <w:r w:rsidRPr="00530AC2">
        <w:rPr>
          <w:rFonts w:ascii="Times New Roman" w:hAnsi="Times New Roman"/>
          <w:sz w:val="20"/>
          <w:szCs w:val="20"/>
        </w:rPr>
        <w:t>prudenciálnom dohľade nad úverovými inštitúciami</w:t>
      </w:r>
      <w:r w:rsidR="00D85C65" w:rsidRPr="00530AC2">
        <w:rPr>
          <w:rFonts w:ascii="Times New Roman" w:hAnsi="Times New Roman"/>
          <w:sz w:val="20"/>
          <w:szCs w:val="20"/>
        </w:rPr>
        <w:t xml:space="preserve"> a </w:t>
      </w:r>
      <w:r w:rsidRPr="00530AC2">
        <w:rPr>
          <w:rFonts w:ascii="Times New Roman" w:hAnsi="Times New Roman"/>
          <w:sz w:val="20"/>
          <w:szCs w:val="20"/>
        </w:rPr>
        <w:t>investičnými spoločnosťami,</w:t>
      </w:r>
      <w:r w:rsidR="00D85C65" w:rsidRPr="00530AC2">
        <w:rPr>
          <w:rFonts w:ascii="Times New Roman" w:hAnsi="Times New Roman"/>
          <w:sz w:val="20"/>
          <w:szCs w:val="20"/>
        </w:rPr>
        <w:t xml:space="preserve"> o </w:t>
      </w:r>
      <w:r w:rsidRPr="00530AC2">
        <w:rPr>
          <w:rFonts w:ascii="Times New Roman" w:hAnsi="Times New Roman"/>
          <w:sz w:val="20"/>
          <w:szCs w:val="20"/>
        </w:rPr>
        <w:t>zmene smernice 2002/87/ES</w:t>
      </w:r>
      <w:r w:rsidR="00D85C65" w:rsidRPr="00530AC2">
        <w:rPr>
          <w:rFonts w:ascii="Times New Roman" w:hAnsi="Times New Roman"/>
          <w:sz w:val="20"/>
          <w:szCs w:val="20"/>
        </w:rPr>
        <w:t xml:space="preserve"> a o </w:t>
      </w:r>
      <w:r w:rsidRPr="00530AC2">
        <w:rPr>
          <w:rFonts w:ascii="Times New Roman" w:hAnsi="Times New Roman"/>
          <w:sz w:val="20"/>
          <w:szCs w:val="20"/>
        </w:rPr>
        <w:t>zrušení smerníc 2006/48/ES</w:t>
      </w:r>
      <w:r w:rsidR="00D85C65" w:rsidRPr="00530AC2">
        <w:rPr>
          <w:rFonts w:ascii="Times New Roman" w:hAnsi="Times New Roman"/>
          <w:sz w:val="20"/>
          <w:szCs w:val="20"/>
        </w:rPr>
        <w:t xml:space="preserve"> a </w:t>
      </w:r>
      <w:r w:rsidRPr="00530AC2">
        <w:rPr>
          <w:rFonts w:ascii="Times New Roman" w:hAnsi="Times New Roman"/>
          <w:sz w:val="20"/>
          <w:szCs w:val="20"/>
        </w:rPr>
        <w:t>2006/49/ES (Ú. v. EÚ L 176, 27.6.2013, s. 338).</w:t>
      </w:r>
    </w:p>
  </w:footnote>
  <w:footnote w:id="4">
    <w:p w14:paraId="325A0732" w14:textId="3396F7D9" w:rsidR="00235D9D" w:rsidRPr="00530AC2" w:rsidRDefault="00B024D7">
      <w:pPr>
        <w:pStyle w:val="FootnoteText"/>
        <w:spacing w:before="0" w:after="0" w:line="240" w:lineRule="auto"/>
        <w:ind w:left="567" w:hanging="567"/>
        <w:rPr>
          <w:rFonts w:ascii="Times New Roman" w:hAnsi="Times New Roman"/>
          <w:sz w:val="20"/>
          <w:szCs w:val="20"/>
        </w:rPr>
      </w:pPr>
      <w:r w:rsidRPr="00530AC2">
        <w:rPr>
          <w:rStyle w:val="FootnoteReference"/>
          <w:rFonts w:ascii="Times New Roman" w:hAnsi="Times New Roman"/>
          <w:sz w:val="20"/>
          <w:szCs w:val="20"/>
          <w:vertAlign w:val="superscript"/>
        </w:rPr>
        <w:footnoteRef/>
      </w:r>
      <w:r w:rsidRPr="00530AC2">
        <w:rPr>
          <w:rStyle w:val="FootnoteReference"/>
          <w:rFonts w:ascii="Times New Roman" w:hAnsi="Times New Roman"/>
          <w:sz w:val="20"/>
          <w:szCs w:val="20"/>
          <w:vertAlign w:val="superscript"/>
        </w:rPr>
        <w:t xml:space="preserve"> </w:t>
      </w:r>
      <w:r w:rsidRPr="00530AC2">
        <w:rPr>
          <w:rStyle w:val="FootnoteReference"/>
          <w:rFonts w:ascii="Times New Roman" w:hAnsi="Times New Roman"/>
          <w:sz w:val="20"/>
          <w:szCs w:val="20"/>
        </w:rPr>
        <w:tab/>
        <w:t>Smernica Európskeho parlamentu</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Rady 2013/34/EÚ</w:t>
      </w:r>
      <w:r w:rsidR="00D85C65" w:rsidRPr="00530AC2">
        <w:rPr>
          <w:rStyle w:val="FootnoteReference"/>
          <w:rFonts w:ascii="Times New Roman" w:hAnsi="Times New Roman"/>
          <w:sz w:val="20"/>
          <w:szCs w:val="20"/>
        </w:rPr>
        <w:t xml:space="preserve"> o </w:t>
      </w:r>
      <w:r w:rsidRPr="00530AC2">
        <w:rPr>
          <w:rStyle w:val="FootnoteReference"/>
          <w:rFonts w:ascii="Times New Roman" w:hAnsi="Times New Roman"/>
          <w:sz w:val="20"/>
          <w:szCs w:val="20"/>
        </w:rPr>
        <w:t>ročných účtovných závierkach, konsolidovaných účtovných závierkach</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súvisiacich správach určitých druhov podnikov, ktorou sa mení smernica Európskeho parlamentu</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Rady 2006/43/ES</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zrušujú smernice Rady 78/660/EHS</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83/349/EHS (Ú. v. EÚ L 182, 29.6.2013, s.</w:t>
      </w:r>
      <w:r w:rsidRPr="00530AC2">
        <w:rPr>
          <w:rFonts w:ascii="Times New Roman" w:hAnsi="Times New Roman"/>
          <w:sz w:val="20"/>
          <w:szCs w:val="20"/>
        </w:rPr>
        <w:t> </w:t>
      </w:r>
      <w:r w:rsidRPr="00530AC2">
        <w:rPr>
          <w:rStyle w:val="FootnoteReference"/>
          <w:rFonts w:ascii="Times New Roman" w:hAnsi="Times New Roman"/>
          <w:sz w:val="20"/>
          <w:szCs w:val="20"/>
        </w:rPr>
        <w:t>19)</w:t>
      </w:r>
      <w:r w:rsidRPr="00530AC2">
        <w:rPr>
          <w:rFonts w:ascii="Times New Roman" w:hAnsi="Times New Roman"/>
          <w:sz w:val="20"/>
          <w:szCs w:val="20"/>
        </w:rPr>
        <w:t>.</w:t>
      </w:r>
    </w:p>
  </w:footnote>
  <w:footnote w:id="5">
    <w:p w14:paraId="42D2D2D2" w14:textId="3532B61E" w:rsidR="00235D9D" w:rsidRPr="00530AC2" w:rsidRDefault="00B024D7">
      <w:pPr>
        <w:pStyle w:val="FootnoteText"/>
        <w:spacing w:before="0" w:after="0" w:line="240" w:lineRule="auto"/>
        <w:ind w:left="567" w:hanging="567"/>
        <w:rPr>
          <w:rFonts w:ascii="Times New Roman" w:hAnsi="Times New Roman"/>
          <w:sz w:val="20"/>
          <w:szCs w:val="20"/>
        </w:rPr>
      </w:pPr>
      <w:r w:rsidRPr="00530AC2">
        <w:rPr>
          <w:rStyle w:val="FootnoteReference"/>
          <w:rFonts w:ascii="Times New Roman" w:hAnsi="Times New Roman"/>
          <w:sz w:val="20"/>
          <w:szCs w:val="20"/>
          <w:vertAlign w:val="superscript"/>
        </w:rPr>
        <w:footnoteRef/>
      </w:r>
      <w:r w:rsidRPr="00530AC2">
        <w:rPr>
          <w:rStyle w:val="FootnoteReference"/>
          <w:rFonts w:ascii="Times New Roman" w:hAnsi="Times New Roman"/>
          <w:sz w:val="20"/>
          <w:szCs w:val="20"/>
          <w:vertAlign w:val="superscript"/>
        </w:rPr>
        <w:t xml:space="preserve"> </w:t>
      </w:r>
      <w:r w:rsidRPr="00530AC2">
        <w:rPr>
          <w:rFonts w:ascii="Times New Roman" w:hAnsi="Times New Roman"/>
          <w:sz w:val="20"/>
          <w:szCs w:val="20"/>
        </w:rPr>
        <w:tab/>
      </w:r>
      <w:r w:rsidRPr="00530AC2">
        <w:rPr>
          <w:rStyle w:val="FootnoteReference"/>
          <w:rFonts w:ascii="Times New Roman" w:hAnsi="Times New Roman"/>
          <w:sz w:val="20"/>
          <w:szCs w:val="20"/>
        </w:rPr>
        <w:t>Smernica Rady 86/635/EHS</w:t>
      </w:r>
      <w:r w:rsidR="00D85C65" w:rsidRPr="00530AC2">
        <w:rPr>
          <w:rStyle w:val="FootnoteReference"/>
          <w:rFonts w:ascii="Times New Roman" w:hAnsi="Times New Roman"/>
          <w:sz w:val="20"/>
          <w:szCs w:val="20"/>
        </w:rPr>
        <w:t xml:space="preserve"> z </w:t>
      </w:r>
      <w:r w:rsidRPr="00530AC2">
        <w:rPr>
          <w:rStyle w:val="FootnoteReference"/>
          <w:rFonts w:ascii="Times New Roman" w:hAnsi="Times New Roman"/>
          <w:sz w:val="20"/>
          <w:szCs w:val="20"/>
        </w:rPr>
        <w:t>8</w:t>
      </w:r>
      <w:r w:rsidR="00D85C65" w:rsidRPr="00530AC2">
        <w:rPr>
          <w:rStyle w:val="FootnoteReference"/>
          <w:rFonts w:ascii="Times New Roman" w:hAnsi="Times New Roman"/>
          <w:sz w:val="20"/>
          <w:szCs w:val="20"/>
        </w:rPr>
        <w:t>. decembra</w:t>
      </w:r>
      <w:r w:rsidRPr="00530AC2">
        <w:rPr>
          <w:rStyle w:val="FootnoteReference"/>
          <w:rFonts w:ascii="Times New Roman" w:hAnsi="Times New Roman"/>
          <w:sz w:val="20"/>
          <w:szCs w:val="20"/>
        </w:rPr>
        <w:t xml:space="preserve"> 1986</w:t>
      </w:r>
      <w:r w:rsidR="00D85C65" w:rsidRPr="00530AC2">
        <w:rPr>
          <w:rStyle w:val="FootnoteReference"/>
          <w:rFonts w:ascii="Times New Roman" w:hAnsi="Times New Roman"/>
          <w:sz w:val="20"/>
          <w:szCs w:val="20"/>
        </w:rPr>
        <w:t xml:space="preserve"> o </w:t>
      </w:r>
      <w:r w:rsidRPr="00530AC2">
        <w:rPr>
          <w:rStyle w:val="FootnoteReference"/>
          <w:rFonts w:ascii="Times New Roman" w:hAnsi="Times New Roman"/>
          <w:sz w:val="20"/>
          <w:szCs w:val="20"/>
        </w:rPr>
        <w:t>ročnej účtovnej závierke</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konsolidovaných účtoch bánk</w:t>
      </w:r>
      <w:r w:rsidR="00D85C65" w:rsidRPr="00530AC2">
        <w:rPr>
          <w:rStyle w:val="FootnoteReference"/>
          <w:rFonts w:ascii="Times New Roman" w:hAnsi="Times New Roman"/>
          <w:sz w:val="20"/>
          <w:szCs w:val="20"/>
        </w:rPr>
        <w:t xml:space="preserve"> a </w:t>
      </w:r>
      <w:r w:rsidRPr="00530AC2">
        <w:rPr>
          <w:rStyle w:val="FootnoteReference"/>
          <w:rFonts w:ascii="Times New Roman" w:hAnsi="Times New Roman"/>
          <w:sz w:val="20"/>
          <w:szCs w:val="20"/>
        </w:rPr>
        <w:t>iných finančných inštitúcií (Ú. v. ES L 372, 31.12.1986, s. 1)</w:t>
      </w:r>
      <w:r w:rsidRPr="00530AC2">
        <w:rPr>
          <w:rFonts w:ascii="Times New Roman" w:hAnsi="Times New Roman"/>
          <w:sz w:val="20"/>
          <w:szCs w:val="20"/>
        </w:rPr>
        <w:t>.</w:t>
      </w:r>
    </w:p>
  </w:footnote>
  <w:footnote w:id="6">
    <w:p w14:paraId="2CEE8AF9" w14:textId="561F0C3B" w:rsidR="00235D9D" w:rsidRPr="00530AC2" w:rsidRDefault="00B024D7">
      <w:pPr>
        <w:pStyle w:val="NormalWeb"/>
        <w:spacing w:before="0" w:beforeAutospacing="0" w:after="0" w:afterAutospacing="0"/>
        <w:ind w:left="567" w:hanging="567"/>
        <w:jc w:val="both"/>
        <w:rPr>
          <w:sz w:val="20"/>
          <w:szCs w:val="20"/>
        </w:rPr>
      </w:pPr>
      <w:r w:rsidRPr="00530AC2">
        <w:rPr>
          <w:rStyle w:val="FootnoteReference"/>
          <w:rFonts w:ascii="Times New Roman" w:hAnsi="Times New Roman"/>
          <w:sz w:val="20"/>
          <w:szCs w:val="20"/>
        </w:rPr>
        <w:footnoteRef/>
      </w:r>
      <w:r w:rsidRPr="00530AC2">
        <w:rPr>
          <w:sz w:val="20"/>
          <w:szCs w:val="20"/>
        </w:rPr>
        <w:tab/>
        <w:t>Delegované nariadenie Komisie (EÚ) č. 241/2014 zo 7</w:t>
      </w:r>
      <w:r w:rsidR="00D85C65" w:rsidRPr="00530AC2">
        <w:rPr>
          <w:sz w:val="20"/>
          <w:szCs w:val="20"/>
        </w:rPr>
        <w:t>. januára</w:t>
      </w:r>
      <w:r w:rsidRPr="00530AC2">
        <w:rPr>
          <w:sz w:val="20"/>
          <w:szCs w:val="20"/>
        </w:rPr>
        <w:t xml:space="preserve"> 2014, ktorým sa dopĺňa nariadenie Európskeho parlamentu</w:t>
      </w:r>
      <w:r w:rsidR="00D85C65" w:rsidRPr="00530AC2">
        <w:rPr>
          <w:sz w:val="20"/>
          <w:szCs w:val="20"/>
        </w:rPr>
        <w:t xml:space="preserve"> a </w:t>
      </w:r>
      <w:r w:rsidRPr="00530AC2">
        <w:rPr>
          <w:sz w:val="20"/>
          <w:szCs w:val="20"/>
        </w:rPr>
        <w:t>Rady (EÚ) č. 575/2013, pokiaľ ide</w:t>
      </w:r>
      <w:r w:rsidR="00D85C65" w:rsidRPr="00530AC2">
        <w:rPr>
          <w:sz w:val="20"/>
          <w:szCs w:val="20"/>
        </w:rPr>
        <w:t xml:space="preserve"> o </w:t>
      </w:r>
      <w:r w:rsidRPr="00530AC2">
        <w:rPr>
          <w:sz w:val="20"/>
          <w:szCs w:val="20"/>
        </w:rPr>
        <w:t>regulačné technické predpisy týkajúce sa požiadaviek na vlastné zdroje inštitúcií (</w:t>
      </w:r>
      <w:r w:rsidRPr="00530AC2">
        <w:rPr>
          <w:iCs/>
          <w:sz w:val="20"/>
          <w:szCs w:val="20"/>
        </w:rPr>
        <w:t>Ú. v. EÚ L 74, 14.3.2014, s. 8)</w:t>
      </w:r>
      <w:r w:rsidRPr="00530AC2">
        <w:rPr>
          <w:rStyle w:val="Emphasis"/>
          <w:sz w:val="20"/>
          <w:szCs w:val="20"/>
        </w:rPr>
        <w:t>.</w:t>
      </w:r>
    </w:p>
  </w:footnote>
  <w:footnote w:id="7">
    <w:p w14:paraId="4313C6D2" w14:textId="220C2A8D" w:rsidR="00235D9D" w:rsidRPr="00530AC2" w:rsidRDefault="00B024D7">
      <w:pPr>
        <w:pStyle w:val="NormalWeb"/>
        <w:spacing w:before="0" w:beforeAutospacing="0" w:after="75" w:afterAutospacing="0"/>
        <w:ind w:left="567" w:hanging="567"/>
        <w:jc w:val="both"/>
        <w:rPr>
          <w:sz w:val="20"/>
          <w:szCs w:val="20"/>
        </w:rPr>
      </w:pPr>
      <w:r w:rsidRPr="00530AC2">
        <w:rPr>
          <w:rStyle w:val="FootnoteReference"/>
          <w:rFonts w:ascii="Times New Roman" w:hAnsi="Times New Roman"/>
          <w:sz w:val="20"/>
          <w:szCs w:val="20"/>
        </w:rPr>
        <w:footnoteRef/>
      </w:r>
      <w:r w:rsidRPr="00530AC2">
        <w:rPr>
          <w:sz w:val="20"/>
          <w:szCs w:val="20"/>
        </w:rPr>
        <w:tab/>
        <w:t>Smernica Rady 93/6/EHS</w:t>
      </w:r>
      <w:r w:rsidR="00D85C65" w:rsidRPr="00530AC2">
        <w:rPr>
          <w:sz w:val="20"/>
          <w:szCs w:val="20"/>
        </w:rPr>
        <w:t xml:space="preserve"> z </w:t>
      </w:r>
      <w:r w:rsidRPr="00530AC2">
        <w:rPr>
          <w:sz w:val="20"/>
          <w:szCs w:val="20"/>
        </w:rPr>
        <w:t>15</w:t>
      </w:r>
      <w:r w:rsidR="00D85C65" w:rsidRPr="00530AC2">
        <w:rPr>
          <w:sz w:val="20"/>
          <w:szCs w:val="20"/>
        </w:rPr>
        <w:t>. marca</w:t>
      </w:r>
      <w:r w:rsidRPr="00530AC2">
        <w:rPr>
          <w:sz w:val="20"/>
          <w:szCs w:val="20"/>
        </w:rPr>
        <w:t xml:space="preserve"> 1993</w:t>
      </w:r>
      <w:r w:rsidR="00D85C65" w:rsidRPr="00530AC2">
        <w:rPr>
          <w:sz w:val="20"/>
          <w:szCs w:val="20"/>
        </w:rPr>
        <w:t xml:space="preserve"> o </w:t>
      </w:r>
      <w:r w:rsidRPr="00530AC2">
        <w:rPr>
          <w:sz w:val="20"/>
          <w:szCs w:val="20"/>
        </w:rPr>
        <w:t>kapitálovej primeranosti investičných spoločností</w:t>
      </w:r>
      <w:r w:rsidR="00D85C65" w:rsidRPr="00530AC2">
        <w:rPr>
          <w:sz w:val="20"/>
          <w:szCs w:val="20"/>
        </w:rPr>
        <w:t xml:space="preserve"> a </w:t>
      </w:r>
      <w:r w:rsidRPr="00530AC2">
        <w:rPr>
          <w:sz w:val="20"/>
          <w:szCs w:val="20"/>
        </w:rPr>
        <w:t>úverových inštitúcií (</w:t>
      </w:r>
      <w:r w:rsidRPr="00530AC2">
        <w:rPr>
          <w:rStyle w:val="Emphasis"/>
          <w:i w:val="0"/>
          <w:sz w:val="20"/>
          <w:szCs w:val="20"/>
        </w:rPr>
        <w:t>Ú. v. ES L 141, 11.6.1993, s. 1).</w:t>
      </w:r>
    </w:p>
  </w:footnote>
  <w:footnote w:id="8">
    <w:p w14:paraId="68BF51CF" w14:textId="0D3E4BBD" w:rsidR="00235D9D" w:rsidRPr="00530AC2" w:rsidRDefault="00B024D7">
      <w:pPr>
        <w:pStyle w:val="NormalWeb"/>
        <w:spacing w:before="0" w:beforeAutospacing="0" w:after="75" w:afterAutospacing="0"/>
        <w:ind w:left="567" w:hanging="567"/>
        <w:jc w:val="both"/>
        <w:rPr>
          <w:sz w:val="20"/>
          <w:szCs w:val="20"/>
        </w:rPr>
      </w:pPr>
      <w:r w:rsidRPr="00530AC2">
        <w:rPr>
          <w:rStyle w:val="FootnoteReference"/>
          <w:rFonts w:ascii="Times New Roman" w:hAnsi="Times New Roman"/>
          <w:sz w:val="20"/>
          <w:szCs w:val="20"/>
        </w:rPr>
        <w:footnoteRef/>
      </w:r>
      <w:r w:rsidRPr="00530AC2">
        <w:rPr>
          <w:sz w:val="20"/>
          <w:szCs w:val="20"/>
        </w:rPr>
        <w:tab/>
        <w:t>Smernica Európskeho parlamentu</w:t>
      </w:r>
      <w:r w:rsidR="00D85C65" w:rsidRPr="00530AC2">
        <w:rPr>
          <w:sz w:val="20"/>
          <w:szCs w:val="20"/>
        </w:rPr>
        <w:t xml:space="preserve"> a </w:t>
      </w:r>
      <w:r w:rsidRPr="00530AC2">
        <w:rPr>
          <w:sz w:val="20"/>
          <w:szCs w:val="20"/>
        </w:rPr>
        <w:t>Rady 2000/12/ES</w:t>
      </w:r>
      <w:r w:rsidR="00D85C65" w:rsidRPr="00530AC2">
        <w:rPr>
          <w:sz w:val="20"/>
          <w:szCs w:val="20"/>
        </w:rPr>
        <w:t xml:space="preserve"> z </w:t>
      </w:r>
      <w:r w:rsidRPr="00530AC2">
        <w:rPr>
          <w:sz w:val="20"/>
          <w:szCs w:val="20"/>
        </w:rPr>
        <w:t>20</w:t>
      </w:r>
      <w:r w:rsidR="00D85C65" w:rsidRPr="00530AC2">
        <w:rPr>
          <w:sz w:val="20"/>
          <w:szCs w:val="20"/>
        </w:rPr>
        <w:t>. marca</w:t>
      </w:r>
      <w:r w:rsidRPr="00530AC2">
        <w:rPr>
          <w:sz w:val="20"/>
          <w:szCs w:val="20"/>
        </w:rPr>
        <w:t xml:space="preserve"> 2000</w:t>
      </w:r>
      <w:r w:rsidR="00D85C65" w:rsidRPr="00530AC2">
        <w:rPr>
          <w:sz w:val="20"/>
          <w:szCs w:val="20"/>
        </w:rPr>
        <w:t xml:space="preserve"> o </w:t>
      </w:r>
      <w:r w:rsidRPr="00530AC2">
        <w:rPr>
          <w:sz w:val="20"/>
          <w:szCs w:val="20"/>
        </w:rPr>
        <w:t>začatí</w:t>
      </w:r>
      <w:r w:rsidR="00D85C65" w:rsidRPr="00530AC2">
        <w:rPr>
          <w:sz w:val="20"/>
          <w:szCs w:val="20"/>
        </w:rPr>
        <w:t xml:space="preserve"> a </w:t>
      </w:r>
      <w:r w:rsidRPr="00530AC2">
        <w:rPr>
          <w:sz w:val="20"/>
          <w:szCs w:val="20"/>
        </w:rPr>
        <w:t>vykonávaní činností úverových inštitúcií (</w:t>
      </w:r>
      <w:r w:rsidRPr="00530AC2">
        <w:rPr>
          <w:rStyle w:val="Emphasis"/>
          <w:i w:val="0"/>
          <w:sz w:val="20"/>
          <w:szCs w:val="20"/>
        </w:rPr>
        <w:t>Ú. v. ES L 126, 26.5.2000, s. 1).</w:t>
      </w:r>
    </w:p>
    <w:p w14:paraId="0EB26524" w14:textId="77777777" w:rsidR="00235D9D" w:rsidRPr="00530AC2" w:rsidRDefault="00235D9D">
      <w:pPr>
        <w:pStyle w:val="FootnoteText"/>
        <w:ind w:left="567" w:hanging="567"/>
        <w:rPr>
          <w:rFonts w:ascii="Times New Roman" w:hAnsi="Times New Roman"/>
          <w:sz w:val="20"/>
          <w:szCs w:val="20"/>
        </w:rPr>
      </w:pPr>
    </w:p>
  </w:footnote>
  <w:footnote w:id="9">
    <w:p w14:paraId="6CDEE1FA" w14:textId="455FA2DF"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Pr="00530AC2">
        <w:rPr>
          <w:rFonts w:ascii="Times New Roman" w:hAnsi="Times New Roman"/>
          <w:sz w:val="20"/>
          <w:szCs w:val="20"/>
        </w:rPr>
        <w:tab/>
        <w:t>Siedma smernica Rady 83/349/EHS</w:t>
      </w:r>
      <w:r w:rsidR="00D85C65" w:rsidRPr="00530AC2">
        <w:rPr>
          <w:rFonts w:ascii="Times New Roman" w:hAnsi="Times New Roman"/>
          <w:sz w:val="20"/>
          <w:szCs w:val="20"/>
        </w:rPr>
        <w:t xml:space="preserve"> z </w:t>
      </w:r>
      <w:r w:rsidRPr="00530AC2">
        <w:rPr>
          <w:rFonts w:ascii="Times New Roman" w:hAnsi="Times New Roman"/>
          <w:sz w:val="20"/>
          <w:szCs w:val="20"/>
        </w:rPr>
        <w:t>13</w:t>
      </w:r>
      <w:r w:rsidR="00D85C65" w:rsidRPr="00530AC2">
        <w:rPr>
          <w:rFonts w:ascii="Times New Roman" w:hAnsi="Times New Roman"/>
          <w:sz w:val="20"/>
          <w:szCs w:val="20"/>
        </w:rPr>
        <w:t>. júna</w:t>
      </w:r>
      <w:r w:rsidRPr="00530AC2">
        <w:rPr>
          <w:rFonts w:ascii="Times New Roman" w:hAnsi="Times New Roman"/>
          <w:sz w:val="20"/>
          <w:szCs w:val="20"/>
        </w:rPr>
        <w:t xml:space="preserve"> 1983</w:t>
      </w:r>
      <w:r w:rsidR="00D85C65" w:rsidRPr="00530AC2">
        <w:rPr>
          <w:rFonts w:ascii="Times New Roman" w:hAnsi="Times New Roman"/>
          <w:sz w:val="20"/>
          <w:szCs w:val="20"/>
        </w:rPr>
        <w:t xml:space="preserve"> o </w:t>
      </w:r>
      <w:r w:rsidRPr="00530AC2">
        <w:rPr>
          <w:rFonts w:ascii="Times New Roman" w:hAnsi="Times New Roman"/>
          <w:sz w:val="20"/>
          <w:szCs w:val="20"/>
        </w:rPr>
        <w:t>konsolidovaných účtovných závierkach, vychádzajúca</w:t>
      </w:r>
      <w:r w:rsidR="00D85C65" w:rsidRPr="00530AC2">
        <w:rPr>
          <w:rFonts w:ascii="Times New Roman" w:hAnsi="Times New Roman"/>
          <w:sz w:val="20"/>
          <w:szCs w:val="20"/>
        </w:rPr>
        <w:t xml:space="preserve"> z </w:t>
      </w:r>
      <w:r w:rsidRPr="00530AC2">
        <w:rPr>
          <w:rFonts w:ascii="Times New Roman" w:hAnsi="Times New Roman"/>
          <w:sz w:val="20"/>
          <w:szCs w:val="20"/>
        </w:rPr>
        <w:t>článku 54 ods. 3 písm. g) zmluvy (</w:t>
      </w:r>
      <w:r w:rsidRPr="00530AC2">
        <w:rPr>
          <w:rFonts w:ascii="Times New Roman" w:hAnsi="Times New Roman"/>
          <w:iCs/>
          <w:sz w:val="20"/>
          <w:szCs w:val="20"/>
        </w:rPr>
        <w:t>Ú. v. ES L 193, 18.7.1983, s. 1).</w:t>
      </w:r>
    </w:p>
  </w:footnote>
  <w:footnote w:id="10">
    <w:p w14:paraId="3D903419" w14:textId="66C48CD5"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Pr="00530AC2">
        <w:rPr>
          <w:rFonts w:ascii="Times New Roman" w:hAnsi="Times New Roman"/>
          <w:sz w:val="20"/>
          <w:szCs w:val="20"/>
        </w:rPr>
        <w:tab/>
        <w:t>Smernica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2009/65/ES</w:t>
      </w:r>
      <w:r w:rsidR="00D85C65" w:rsidRPr="00530AC2">
        <w:rPr>
          <w:rFonts w:ascii="Times New Roman" w:hAnsi="Times New Roman"/>
          <w:sz w:val="20"/>
          <w:szCs w:val="20"/>
        </w:rPr>
        <w:t xml:space="preserve"> z </w:t>
      </w:r>
      <w:r w:rsidRPr="00530AC2">
        <w:rPr>
          <w:rFonts w:ascii="Times New Roman" w:hAnsi="Times New Roman"/>
          <w:sz w:val="20"/>
          <w:szCs w:val="20"/>
        </w:rPr>
        <w:t>13</w:t>
      </w:r>
      <w:r w:rsidR="00D85C65" w:rsidRPr="00530AC2">
        <w:rPr>
          <w:rFonts w:ascii="Times New Roman" w:hAnsi="Times New Roman"/>
          <w:sz w:val="20"/>
          <w:szCs w:val="20"/>
        </w:rPr>
        <w:t>. júla</w:t>
      </w:r>
      <w:r w:rsidRPr="00530AC2">
        <w:rPr>
          <w:rFonts w:ascii="Times New Roman" w:hAnsi="Times New Roman"/>
          <w:sz w:val="20"/>
          <w:szCs w:val="20"/>
        </w:rPr>
        <w:t xml:space="preserve"> 2009</w:t>
      </w:r>
      <w:r w:rsidR="00D85C65" w:rsidRPr="00530AC2">
        <w:rPr>
          <w:rFonts w:ascii="Times New Roman" w:hAnsi="Times New Roman"/>
          <w:sz w:val="20"/>
          <w:szCs w:val="20"/>
        </w:rPr>
        <w:t xml:space="preserve"> o </w:t>
      </w:r>
      <w:r w:rsidRPr="00530AC2">
        <w:rPr>
          <w:rFonts w:ascii="Times New Roman" w:hAnsi="Times New Roman"/>
          <w:sz w:val="20"/>
          <w:szCs w:val="20"/>
        </w:rPr>
        <w:t>koordinácii zákonov, iných právnych predpisov</w:t>
      </w:r>
      <w:r w:rsidR="00D85C65" w:rsidRPr="00530AC2">
        <w:rPr>
          <w:rFonts w:ascii="Times New Roman" w:hAnsi="Times New Roman"/>
          <w:sz w:val="20"/>
          <w:szCs w:val="20"/>
        </w:rPr>
        <w:t xml:space="preserve"> a </w:t>
      </w:r>
      <w:r w:rsidRPr="00530AC2">
        <w:rPr>
          <w:rFonts w:ascii="Times New Roman" w:hAnsi="Times New Roman"/>
          <w:sz w:val="20"/>
          <w:szCs w:val="20"/>
        </w:rPr>
        <w:t>správnych opatrení týkajúcich sa podnikov kolektívneho investovania do prevoditeľných cenných papierov (PKIPCP) (</w:t>
      </w:r>
      <w:r w:rsidRPr="00530AC2">
        <w:rPr>
          <w:rFonts w:ascii="Times New Roman" w:hAnsi="Times New Roman"/>
          <w:iCs/>
          <w:sz w:val="20"/>
          <w:szCs w:val="20"/>
        </w:rPr>
        <w:t>Ú. v. EÚ L 302, 17.11.2009, s. 32).</w:t>
      </w:r>
    </w:p>
  </w:footnote>
  <w:footnote w:id="11">
    <w:p w14:paraId="602B7BB8" w14:textId="4B45918A"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ab/>
        <w:t>Delegované nariadenie Komisie (EÚ) č. 1152/2014 zo 4</w:t>
      </w:r>
      <w:r w:rsidR="00D85C65" w:rsidRPr="00530AC2">
        <w:rPr>
          <w:rFonts w:ascii="Times New Roman" w:hAnsi="Times New Roman"/>
          <w:sz w:val="20"/>
          <w:szCs w:val="20"/>
        </w:rPr>
        <w:t>. júna</w:t>
      </w:r>
      <w:r w:rsidRPr="00530AC2">
        <w:rPr>
          <w:rFonts w:ascii="Times New Roman" w:hAnsi="Times New Roman"/>
          <w:sz w:val="20"/>
          <w:szCs w:val="20"/>
        </w:rPr>
        <w:t xml:space="preserve"> 2014, ktorým sa dopĺňa smernica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2013/36/EÚ, pokiaľ ide</w:t>
      </w:r>
      <w:r w:rsidR="00D85C65" w:rsidRPr="00530AC2">
        <w:rPr>
          <w:rFonts w:ascii="Times New Roman" w:hAnsi="Times New Roman"/>
          <w:sz w:val="20"/>
          <w:szCs w:val="20"/>
        </w:rPr>
        <w:t xml:space="preserve"> o </w:t>
      </w:r>
      <w:r w:rsidRPr="00530AC2">
        <w:rPr>
          <w:rFonts w:ascii="Times New Roman" w:hAnsi="Times New Roman"/>
          <w:sz w:val="20"/>
          <w:szCs w:val="20"/>
        </w:rPr>
        <w:t>regulačné technické predpisy</w:t>
      </w:r>
      <w:r w:rsidR="00D85C65" w:rsidRPr="00530AC2">
        <w:rPr>
          <w:rFonts w:ascii="Times New Roman" w:hAnsi="Times New Roman"/>
          <w:sz w:val="20"/>
          <w:szCs w:val="20"/>
        </w:rPr>
        <w:t xml:space="preserve"> o </w:t>
      </w:r>
      <w:r w:rsidRPr="00530AC2">
        <w:rPr>
          <w:rFonts w:ascii="Times New Roman" w:hAnsi="Times New Roman"/>
          <w:sz w:val="20"/>
          <w:szCs w:val="20"/>
        </w:rPr>
        <w:t>identifikácii geografického umiestnenia príslušných expozícií voči kreditným rizikám pre výpočet miery proticyklického kapitálového vankúša špecifického pre inštitúciu (</w:t>
      </w:r>
      <w:r w:rsidRPr="00530AC2">
        <w:rPr>
          <w:rFonts w:ascii="Times New Roman" w:hAnsi="Times New Roman"/>
          <w:iCs/>
          <w:sz w:val="20"/>
          <w:szCs w:val="20"/>
        </w:rPr>
        <w:t>Ú. v. EÚ L 309, 30.10.2014, s. 5).</w:t>
      </w:r>
    </w:p>
  </w:footnote>
  <w:footnote w:id="12">
    <w:p w14:paraId="7F363D79" w14:textId="00DD978C"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Pr="00530AC2">
        <w:rPr>
          <w:rFonts w:ascii="Times New Roman" w:hAnsi="Times New Roman"/>
          <w:sz w:val="20"/>
          <w:szCs w:val="20"/>
        </w:rPr>
        <w:tab/>
        <w:t>Nariadenie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2017/2402</w:t>
      </w:r>
      <w:r w:rsidR="00D85C65" w:rsidRPr="00530AC2">
        <w:rPr>
          <w:rFonts w:ascii="Times New Roman" w:hAnsi="Times New Roman"/>
          <w:sz w:val="20"/>
          <w:szCs w:val="20"/>
        </w:rPr>
        <w:t xml:space="preserve"> z </w:t>
      </w:r>
      <w:r w:rsidRPr="00530AC2">
        <w:rPr>
          <w:rFonts w:ascii="Times New Roman" w:hAnsi="Times New Roman"/>
          <w:sz w:val="20"/>
          <w:szCs w:val="20"/>
        </w:rPr>
        <w:t>12</w:t>
      </w:r>
      <w:r w:rsidR="00D85C65" w:rsidRPr="00530AC2">
        <w:rPr>
          <w:rFonts w:ascii="Times New Roman" w:hAnsi="Times New Roman"/>
          <w:sz w:val="20"/>
          <w:szCs w:val="20"/>
        </w:rPr>
        <w:t>. decembra</w:t>
      </w:r>
      <w:r w:rsidRPr="00530AC2">
        <w:rPr>
          <w:rFonts w:ascii="Times New Roman" w:hAnsi="Times New Roman"/>
          <w:sz w:val="20"/>
          <w:szCs w:val="20"/>
        </w:rPr>
        <w:t xml:space="preserve"> 2017, ktorým sa stanovuje všeobecný rámec pre sekuritizáciu</w:t>
      </w:r>
      <w:r w:rsidR="00D85C65" w:rsidRPr="00530AC2">
        <w:rPr>
          <w:rFonts w:ascii="Times New Roman" w:hAnsi="Times New Roman"/>
          <w:sz w:val="20"/>
          <w:szCs w:val="20"/>
        </w:rPr>
        <w:t xml:space="preserve"> a </w:t>
      </w:r>
      <w:r w:rsidRPr="00530AC2">
        <w:rPr>
          <w:rFonts w:ascii="Times New Roman" w:hAnsi="Times New Roman"/>
          <w:sz w:val="20"/>
          <w:szCs w:val="20"/>
        </w:rPr>
        <w:t>vytvára sa osobitný rámec pre jednoduchú, transparentnú</w:t>
      </w:r>
      <w:r w:rsidR="00D85C65" w:rsidRPr="00530AC2">
        <w:rPr>
          <w:rFonts w:ascii="Times New Roman" w:hAnsi="Times New Roman"/>
          <w:sz w:val="20"/>
          <w:szCs w:val="20"/>
        </w:rPr>
        <w:t xml:space="preserve"> a </w:t>
      </w:r>
      <w:r w:rsidRPr="00530AC2">
        <w:rPr>
          <w:rFonts w:ascii="Times New Roman" w:hAnsi="Times New Roman"/>
          <w:sz w:val="20"/>
          <w:szCs w:val="20"/>
        </w:rPr>
        <w:t>štandardizovanú sekuritizáciu,</w:t>
      </w:r>
      <w:r w:rsidR="00D85C65" w:rsidRPr="00530AC2">
        <w:rPr>
          <w:rFonts w:ascii="Times New Roman" w:hAnsi="Times New Roman"/>
          <w:sz w:val="20"/>
          <w:szCs w:val="20"/>
        </w:rPr>
        <w:t xml:space="preserve"> a </w:t>
      </w:r>
      <w:r w:rsidRPr="00530AC2">
        <w:rPr>
          <w:rFonts w:ascii="Times New Roman" w:hAnsi="Times New Roman"/>
          <w:sz w:val="20"/>
          <w:szCs w:val="20"/>
        </w:rPr>
        <w:t>ktorým sa menia smernice 2009/65/ES, 2009/138/ES</w:t>
      </w:r>
      <w:r w:rsidR="00D85C65" w:rsidRPr="00530AC2">
        <w:rPr>
          <w:rFonts w:ascii="Times New Roman" w:hAnsi="Times New Roman"/>
          <w:sz w:val="20"/>
          <w:szCs w:val="20"/>
        </w:rPr>
        <w:t xml:space="preserve"> a </w:t>
      </w:r>
      <w:r w:rsidRPr="00530AC2">
        <w:rPr>
          <w:rFonts w:ascii="Times New Roman" w:hAnsi="Times New Roman"/>
          <w:sz w:val="20"/>
          <w:szCs w:val="20"/>
        </w:rPr>
        <w:t>2011/61/EÚ</w:t>
      </w:r>
      <w:r w:rsidR="00D85C65" w:rsidRPr="00530AC2">
        <w:rPr>
          <w:rFonts w:ascii="Times New Roman" w:hAnsi="Times New Roman"/>
          <w:sz w:val="20"/>
          <w:szCs w:val="20"/>
        </w:rPr>
        <w:t xml:space="preserve"> a </w:t>
      </w:r>
      <w:r w:rsidRPr="00530AC2">
        <w:rPr>
          <w:rFonts w:ascii="Times New Roman" w:hAnsi="Times New Roman"/>
          <w:sz w:val="20"/>
          <w:szCs w:val="20"/>
        </w:rPr>
        <w:t>nariadenia (ES) č. 1060/2009</w:t>
      </w:r>
      <w:r w:rsidR="00D85C65" w:rsidRPr="00530AC2">
        <w:rPr>
          <w:rFonts w:ascii="Times New Roman" w:hAnsi="Times New Roman"/>
          <w:sz w:val="20"/>
          <w:szCs w:val="20"/>
        </w:rPr>
        <w:t xml:space="preserve"> a </w:t>
      </w:r>
      <w:r w:rsidRPr="00530AC2">
        <w:rPr>
          <w:rFonts w:ascii="Times New Roman" w:hAnsi="Times New Roman"/>
          <w:sz w:val="20"/>
          <w:szCs w:val="20"/>
        </w:rPr>
        <w:t>(EÚ) č. 648/2012 (</w:t>
      </w:r>
      <w:r w:rsidRPr="00530AC2">
        <w:rPr>
          <w:rFonts w:ascii="Times New Roman" w:hAnsi="Times New Roman"/>
          <w:iCs/>
          <w:sz w:val="20"/>
          <w:szCs w:val="20"/>
        </w:rPr>
        <w:t>Ú. v. EÚ L 347, 28.12.2017, s. 35).</w:t>
      </w:r>
    </w:p>
  </w:footnote>
  <w:footnote w:id="13">
    <w:p w14:paraId="5EE13FEB" w14:textId="10D0FF7A"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Pr="00530AC2">
        <w:rPr>
          <w:rFonts w:ascii="Times New Roman" w:hAnsi="Times New Roman"/>
          <w:sz w:val="20"/>
          <w:szCs w:val="20"/>
        </w:rPr>
        <w:tab/>
        <w:t>„Samostatné inštitúcie“ nie sú súčasťou skupiny, ani sa nekonsolidujú</w:t>
      </w:r>
      <w:r w:rsidR="00D85C65" w:rsidRPr="00530AC2">
        <w:rPr>
          <w:rFonts w:ascii="Times New Roman" w:hAnsi="Times New Roman"/>
          <w:sz w:val="20"/>
          <w:szCs w:val="20"/>
        </w:rPr>
        <w:t xml:space="preserve"> v </w:t>
      </w:r>
      <w:r w:rsidRPr="00530AC2">
        <w:rPr>
          <w:rFonts w:ascii="Times New Roman" w:hAnsi="Times New Roman"/>
          <w:sz w:val="20"/>
          <w:szCs w:val="20"/>
        </w:rPr>
        <w:t>tej istej krajine, kde sa na ne vzťahujú požiadavky na vlastné zdroje</w:t>
      </w:r>
      <w:r w:rsidRPr="00530AC2">
        <w:rPr>
          <w:rFonts w:ascii="Times New Roman" w:hAnsi="Times New Roman"/>
          <w:iCs/>
          <w:sz w:val="20"/>
          <w:szCs w:val="20"/>
        </w:rPr>
        <w:t>.</w:t>
      </w:r>
    </w:p>
  </w:footnote>
  <w:footnote w:id="14">
    <w:p w14:paraId="025E090B" w14:textId="61960BDA"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Pr="00530AC2">
        <w:rPr>
          <w:rFonts w:ascii="Times New Roman" w:hAnsi="Times New Roman"/>
          <w:sz w:val="20"/>
          <w:szCs w:val="20"/>
        </w:rPr>
        <w:tab/>
        <w:t>Nariadenie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č. 549/2013</w:t>
      </w:r>
      <w:r w:rsidR="00D85C65" w:rsidRPr="00530AC2">
        <w:rPr>
          <w:rFonts w:ascii="Times New Roman" w:hAnsi="Times New Roman"/>
          <w:sz w:val="20"/>
          <w:szCs w:val="20"/>
        </w:rPr>
        <w:t xml:space="preserve"> z </w:t>
      </w:r>
      <w:r w:rsidRPr="00530AC2">
        <w:rPr>
          <w:rFonts w:ascii="Times New Roman" w:hAnsi="Times New Roman"/>
          <w:sz w:val="20"/>
          <w:szCs w:val="20"/>
        </w:rPr>
        <w:t>21</w:t>
      </w:r>
      <w:r w:rsidR="00D85C65" w:rsidRPr="00530AC2">
        <w:rPr>
          <w:rFonts w:ascii="Times New Roman" w:hAnsi="Times New Roman"/>
          <w:sz w:val="20"/>
          <w:szCs w:val="20"/>
        </w:rPr>
        <w:t>. mája</w:t>
      </w:r>
      <w:r w:rsidRPr="00530AC2">
        <w:rPr>
          <w:rFonts w:ascii="Times New Roman" w:hAnsi="Times New Roman"/>
          <w:sz w:val="20"/>
          <w:szCs w:val="20"/>
        </w:rPr>
        <w:t xml:space="preserve"> 2013</w:t>
      </w:r>
      <w:r w:rsidR="00D85C65" w:rsidRPr="00530AC2">
        <w:rPr>
          <w:rFonts w:ascii="Times New Roman" w:hAnsi="Times New Roman"/>
          <w:sz w:val="20"/>
          <w:szCs w:val="20"/>
        </w:rPr>
        <w:t xml:space="preserve"> o </w:t>
      </w:r>
      <w:r w:rsidRPr="00530AC2">
        <w:rPr>
          <w:rFonts w:ascii="Times New Roman" w:hAnsi="Times New Roman"/>
          <w:sz w:val="20"/>
          <w:szCs w:val="20"/>
        </w:rPr>
        <w:t>európskom systéme národných</w:t>
      </w:r>
      <w:r w:rsidR="00D85C65" w:rsidRPr="00530AC2">
        <w:rPr>
          <w:rFonts w:ascii="Times New Roman" w:hAnsi="Times New Roman"/>
          <w:sz w:val="20"/>
          <w:szCs w:val="20"/>
        </w:rPr>
        <w:t xml:space="preserve"> a </w:t>
      </w:r>
      <w:r w:rsidRPr="00530AC2">
        <w:rPr>
          <w:rFonts w:ascii="Times New Roman" w:hAnsi="Times New Roman"/>
          <w:sz w:val="20"/>
          <w:szCs w:val="20"/>
        </w:rPr>
        <w:t>regionálnych účtov</w:t>
      </w:r>
      <w:r w:rsidR="00D85C65" w:rsidRPr="00530AC2">
        <w:rPr>
          <w:rFonts w:ascii="Times New Roman" w:hAnsi="Times New Roman"/>
          <w:sz w:val="20"/>
          <w:szCs w:val="20"/>
        </w:rPr>
        <w:t xml:space="preserve"> v </w:t>
      </w:r>
      <w:r w:rsidRPr="00530AC2">
        <w:rPr>
          <w:rFonts w:ascii="Times New Roman" w:hAnsi="Times New Roman"/>
          <w:sz w:val="20"/>
          <w:szCs w:val="20"/>
        </w:rPr>
        <w:t>Európskej únii (Ú. v. EÚ L 174, 26.6.2013, s. 1).</w:t>
      </w:r>
    </w:p>
  </w:footnote>
  <w:footnote w:id="15">
    <w:p w14:paraId="6C8DA956" w14:textId="6A10AB45"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ab/>
        <w:t>Delegované nariadenie Komisie (EÚ) č. 525/2014</w:t>
      </w:r>
      <w:r w:rsidR="00D85C65" w:rsidRPr="00530AC2">
        <w:rPr>
          <w:rFonts w:ascii="Times New Roman" w:hAnsi="Times New Roman"/>
          <w:sz w:val="20"/>
          <w:szCs w:val="20"/>
        </w:rPr>
        <w:t xml:space="preserve"> z </w:t>
      </w:r>
      <w:r w:rsidRPr="00530AC2">
        <w:rPr>
          <w:rFonts w:ascii="Times New Roman" w:hAnsi="Times New Roman"/>
          <w:sz w:val="20"/>
          <w:szCs w:val="20"/>
        </w:rPr>
        <w:t>12</w:t>
      </w:r>
      <w:r w:rsidR="00D85C65" w:rsidRPr="00530AC2">
        <w:rPr>
          <w:rFonts w:ascii="Times New Roman" w:hAnsi="Times New Roman"/>
          <w:sz w:val="20"/>
          <w:szCs w:val="20"/>
        </w:rPr>
        <w:t>. marca</w:t>
      </w:r>
      <w:r w:rsidRPr="00530AC2">
        <w:rPr>
          <w:rFonts w:ascii="Times New Roman" w:hAnsi="Times New Roman"/>
          <w:sz w:val="20"/>
          <w:szCs w:val="20"/>
        </w:rPr>
        <w:t xml:space="preserve"> 2014, ktorým sa dopĺňa nariadenie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č. 575/2013, pokiaľ ide</w:t>
      </w:r>
      <w:r w:rsidR="00D85C65" w:rsidRPr="00530AC2">
        <w:rPr>
          <w:rFonts w:ascii="Times New Roman" w:hAnsi="Times New Roman"/>
          <w:sz w:val="20"/>
          <w:szCs w:val="20"/>
        </w:rPr>
        <w:t xml:space="preserve"> o </w:t>
      </w:r>
      <w:r w:rsidRPr="00530AC2">
        <w:rPr>
          <w:rFonts w:ascii="Times New Roman" w:hAnsi="Times New Roman"/>
          <w:sz w:val="20"/>
          <w:szCs w:val="20"/>
        </w:rPr>
        <w:t>regulačné technické predpisy týkajúce sa vymedzenia trhu (</w:t>
      </w:r>
      <w:r w:rsidRPr="00530AC2">
        <w:rPr>
          <w:rFonts w:ascii="Times New Roman" w:hAnsi="Times New Roman"/>
          <w:iCs/>
          <w:sz w:val="20"/>
          <w:szCs w:val="20"/>
        </w:rPr>
        <w:t>Ú. v. EÚ L 148, 20.5.2014, s. 15)</w:t>
      </w:r>
      <w:r w:rsidRPr="00530AC2">
        <w:rPr>
          <w:rFonts w:ascii="Times New Roman" w:hAnsi="Times New Roman"/>
          <w:i/>
          <w:iCs/>
          <w:sz w:val="20"/>
          <w:szCs w:val="20"/>
        </w:rPr>
        <w:t>.</w:t>
      </w:r>
    </w:p>
  </w:footnote>
  <w:footnote w:id="16">
    <w:p w14:paraId="11A626E2" w14:textId="46605BCC" w:rsidR="00235D9D" w:rsidRPr="00530AC2" w:rsidRDefault="00B024D7" w:rsidP="00530AC2">
      <w:pPr>
        <w:pStyle w:val="FootnoteText"/>
        <w:ind w:left="567" w:hanging="567"/>
        <w:rPr>
          <w:rFonts w:ascii="Times New Roman" w:hAnsi="Times New Roman"/>
          <w:sz w:val="24"/>
          <w:szCs w:val="24"/>
        </w:rPr>
      </w:pPr>
      <w:r w:rsidRPr="00530AC2">
        <w:rPr>
          <w:rStyle w:val="FootnoteReference"/>
          <w:rFonts w:ascii="Times New Roman" w:hAnsi="Times New Roman"/>
          <w:sz w:val="20"/>
          <w:szCs w:val="20"/>
        </w:rPr>
        <w:footnoteRef/>
      </w:r>
      <w:r w:rsidRPr="00530AC2">
        <w:rPr>
          <w:rFonts w:ascii="Times New Roman" w:hAnsi="Times New Roman"/>
          <w:sz w:val="20"/>
          <w:szCs w:val="20"/>
        </w:rPr>
        <w:t xml:space="preserve"> </w:t>
      </w:r>
      <w:r w:rsidR="00530AC2">
        <w:rPr>
          <w:rFonts w:ascii="Times New Roman" w:hAnsi="Times New Roman"/>
          <w:sz w:val="20"/>
          <w:szCs w:val="20"/>
        </w:rPr>
        <w:tab/>
      </w:r>
      <w:r w:rsidRPr="00530AC2">
        <w:rPr>
          <w:rFonts w:ascii="Times New Roman" w:hAnsi="Times New Roman"/>
          <w:sz w:val="20"/>
          <w:szCs w:val="20"/>
        </w:rPr>
        <w:t>Vykonávacie nariadenie Komisie (EÚ) č. 945/2014 zo 4</w:t>
      </w:r>
      <w:r w:rsidR="00D85C65" w:rsidRPr="00530AC2">
        <w:rPr>
          <w:rFonts w:ascii="Times New Roman" w:hAnsi="Times New Roman"/>
          <w:sz w:val="20"/>
          <w:szCs w:val="20"/>
        </w:rPr>
        <w:t>. septembra</w:t>
      </w:r>
      <w:r w:rsidRPr="00530AC2">
        <w:rPr>
          <w:rFonts w:ascii="Times New Roman" w:hAnsi="Times New Roman"/>
          <w:sz w:val="20"/>
          <w:szCs w:val="20"/>
        </w:rPr>
        <w:t xml:space="preserve"> 2014, ktorým sa stanovujú vykonávacie technické predpisy, pokiaľ ide</w:t>
      </w:r>
      <w:r w:rsidR="00D85C65" w:rsidRPr="00530AC2">
        <w:rPr>
          <w:rFonts w:ascii="Times New Roman" w:hAnsi="Times New Roman"/>
          <w:sz w:val="20"/>
          <w:szCs w:val="20"/>
        </w:rPr>
        <w:t xml:space="preserve"> o </w:t>
      </w:r>
      <w:r w:rsidRPr="00530AC2">
        <w:rPr>
          <w:rFonts w:ascii="Times New Roman" w:hAnsi="Times New Roman"/>
          <w:sz w:val="20"/>
          <w:szCs w:val="20"/>
        </w:rPr>
        <w:t>relevantné primerane diverzifikované indexy podľa nariadenia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č. 575/2013.</w:t>
      </w:r>
    </w:p>
  </w:footnote>
  <w:footnote w:id="17">
    <w:p w14:paraId="4426C1A9" w14:textId="63570C85" w:rsidR="00235D9D" w:rsidRPr="00530AC2" w:rsidRDefault="00B024D7">
      <w:pPr>
        <w:pStyle w:val="FootnoteText"/>
        <w:ind w:left="567" w:hanging="567"/>
        <w:rPr>
          <w:rFonts w:ascii="Times New Roman" w:hAnsi="Times New Roman"/>
          <w:sz w:val="20"/>
          <w:szCs w:val="20"/>
        </w:rPr>
      </w:pPr>
      <w:r w:rsidRPr="00530AC2">
        <w:rPr>
          <w:rStyle w:val="FootnoteReference"/>
          <w:rFonts w:ascii="Times New Roman" w:hAnsi="Times New Roman"/>
          <w:sz w:val="20"/>
          <w:szCs w:val="20"/>
        </w:rPr>
        <w:footnoteRef/>
      </w:r>
      <w:r w:rsidRPr="00530AC2">
        <w:rPr>
          <w:rFonts w:ascii="Times New Roman" w:hAnsi="Times New Roman"/>
          <w:sz w:val="20"/>
          <w:szCs w:val="20"/>
        </w:rPr>
        <w:tab/>
        <w:t>Delegované nariadenie Komisie (EÚ) 2016/101</w:t>
      </w:r>
      <w:r w:rsidR="00D85C65" w:rsidRPr="00530AC2">
        <w:rPr>
          <w:rFonts w:ascii="Times New Roman" w:hAnsi="Times New Roman"/>
          <w:sz w:val="20"/>
          <w:szCs w:val="20"/>
        </w:rPr>
        <w:t xml:space="preserve"> z </w:t>
      </w:r>
      <w:r w:rsidRPr="00530AC2">
        <w:rPr>
          <w:rFonts w:ascii="Times New Roman" w:hAnsi="Times New Roman"/>
          <w:sz w:val="20"/>
          <w:szCs w:val="20"/>
        </w:rPr>
        <w:t>26</w:t>
      </w:r>
      <w:r w:rsidR="00D85C65" w:rsidRPr="00530AC2">
        <w:rPr>
          <w:rFonts w:ascii="Times New Roman" w:hAnsi="Times New Roman"/>
          <w:sz w:val="20"/>
          <w:szCs w:val="20"/>
        </w:rPr>
        <w:t>. októbra</w:t>
      </w:r>
      <w:r w:rsidRPr="00530AC2">
        <w:rPr>
          <w:rFonts w:ascii="Times New Roman" w:hAnsi="Times New Roman"/>
          <w:sz w:val="20"/>
          <w:szCs w:val="20"/>
        </w:rPr>
        <w:t xml:space="preserve"> 2015, ktorým sa dopĺňa nariadenie Európskeho parlamentu</w:t>
      </w:r>
      <w:r w:rsidR="00D85C65" w:rsidRPr="00530AC2">
        <w:rPr>
          <w:rFonts w:ascii="Times New Roman" w:hAnsi="Times New Roman"/>
          <w:sz w:val="20"/>
          <w:szCs w:val="20"/>
        </w:rPr>
        <w:t xml:space="preserve"> a </w:t>
      </w:r>
      <w:r w:rsidRPr="00530AC2">
        <w:rPr>
          <w:rFonts w:ascii="Times New Roman" w:hAnsi="Times New Roman"/>
          <w:sz w:val="20"/>
          <w:szCs w:val="20"/>
        </w:rPr>
        <w:t>Rady (EÚ) č. 575/2013, pokiaľ ide</w:t>
      </w:r>
      <w:r w:rsidR="00D85C65" w:rsidRPr="00530AC2">
        <w:rPr>
          <w:rFonts w:ascii="Times New Roman" w:hAnsi="Times New Roman"/>
          <w:sz w:val="20"/>
          <w:szCs w:val="20"/>
        </w:rPr>
        <w:t xml:space="preserve"> o </w:t>
      </w:r>
      <w:r w:rsidRPr="00530AC2">
        <w:rPr>
          <w:rFonts w:ascii="Times New Roman" w:hAnsi="Times New Roman"/>
          <w:sz w:val="20"/>
          <w:szCs w:val="20"/>
        </w:rPr>
        <w:t>regulačné technické predpisy týkajúce sa obozretného oceňovania podľa článku 105 ods. 14 (</w:t>
      </w:r>
      <w:r w:rsidRPr="00530AC2">
        <w:rPr>
          <w:rFonts w:ascii="Times New Roman" w:hAnsi="Times New Roman"/>
          <w:iCs/>
          <w:sz w:val="20"/>
          <w:szCs w:val="20"/>
        </w:rPr>
        <w:t>Ú. v. EÚ L 21, 28.1.2016, s. 54).</w:t>
      </w:r>
    </w:p>
  </w:footnote>
  <w:footnote w:id="18">
    <w:p w14:paraId="1DE0576C" w14:textId="60EB4001" w:rsidR="00235D9D" w:rsidRPr="00530AC2" w:rsidRDefault="00B024D7">
      <w:pPr>
        <w:pStyle w:val="NormalWeb"/>
        <w:spacing w:before="0" w:beforeAutospacing="0" w:after="75" w:afterAutospacing="0"/>
        <w:ind w:left="567" w:hanging="567"/>
        <w:rPr>
          <w:sz w:val="20"/>
          <w:szCs w:val="20"/>
        </w:rPr>
      </w:pPr>
      <w:r w:rsidRPr="00530AC2">
        <w:rPr>
          <w:rStyle w:val="FootnoteReference"/>
          <w:rFonts w:ascii="Times New Roman" w:hAnsi="Times New Roman"/>
          <w:sz w:val="20"/>
          <w:szCs w:val="20"/>
        </w:rPr>
        <w:footnoteRef/>
      </w:r>
      <w:r w:rsidRPr="00530AC2">
        <w:rPr>
          <w:sz w:val="20"/>
          <w:szCs w:val="20"/>
        </w:rPr>
        <w:t xml:space="preserve"> </w:t>
      </w:r>
      <w:r w:rsidRPr="00530AC2">
        <w:rPr>
          <w:sz w:val="20"/>
          <w:szCs w:val="20"/>
        </w:rPr>
        <w:tab/>
        <w:t>Nariadenie Európskeho parlamentu</w:t>
      </w:r>
      <w:r w:rsidR="00D85C65" w:rsidRPr="00530AC2">
        <w:rPr>
          <w:sz w:val="20"/>
          <w:szCs w:val="20"/>
        </w:rPr>
        <w:t xml:space="preserve"> a </w:t>
      </w:r>
      <w:r w:rsidRPr="00530AC2">
        <w:rPr>
          <w:sz w:val="20"/>
          <w:szCs w:val="20"/>
        </w:rPr>
        <w:t>Rady (ES) č. 1606/2002</w:t>
      </w:r>
      <w:r w:rsidR="00D85C65" w:rsidRPr="00530AC2">
        <w:rPr>
          <w:sz w:val="20"/>
          <w:szCs w:val="20"/>
        </w:rPr>
        <w:t xml:space="preserve"> z </w:t>
      </w:r>
      <w:r w:rsidRPr="00530AC2">
        <w:rPr>
          <w:sz w:val="20"/>
          <w:szCs w:val="20"/>
        </w:rPr>
        <w:t>19</w:t>
      </w:r>
      <w:r w:rsidR="00D85C65" w:rsidRPr="00530AC2">
        <w:rPr>
          <w:sz w:val="20"/>
          <w:szCs w:val="20"/>
        </w:rPr>
        <w:t>. júla</w:t>
      </w:r>
      <w:r w:rsidRPr="00530AC2">
        <w:rPr>
          <w:sz w:val="20"/>
          <w:szCs w:val="20"/>
        </w:rPr>
        <w:t xml:space="preserve"> 2002</w:t>
      </w:r>
      <w:r w:rsidR="00D85C65" w:rsidRPr="00530AC2">
        <w:rPr>
          <w:sz w:val="20"/>
          <w:szCs w:val="20"/>
        </w:rPr>
        <w:t xml:space="preserve"> o </w:t>
      </w:r>
      <w:r w:rsidRPr="00530AC2">
        <w:rPr>
          <w:sz w:val="20"/>
          <w:szCs w:val="20"/>
        </w:rPr>
        <w:t>uplatňovaní medzinárodných účtovných noriem (</w:t>
      </w:r>
      <w:r w:rsidRPr="00530AC2">
        <w:rPr>
          <w:rStyle w:val="Emphasis"/>
          <w:i w:val="0"/>
          <w:sz w:val="20"/>
          <w:szCs w:val="20"/>
        </w:rPr>
        <w:t>Ú. v. ES L 243, 11.9.2002, s. 1).</w:t>
      </w:r>
    </w:p>
    <w:p w14:paraId="42869AB5" w14:textId="77777777" w:rsidR="00235D9D" w:rsidRPr="00530AC2" w:rsidRDefault="00235D9D">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2CD41476"/>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221288DC"/>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44D87EA2"/>
    <w:lvl w:ilvl="0" w:tplc="186AEE2E">
      <w:start w:val="1"/>
      <w:numFmt w:val="lowerRoman"/>
      <w:lvlRestart w:val="0"/>
      <w:lvlText w:val="%1)"/>
      <w:lvlJc w:val="left"/>
      <w:pPr>
        <w:ind w:left="753" w:hanging="720"/>
      </w:p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108081CE"/>
    <w:lvl w:ilvl="0" w:tplc="186AEE2E">
      <w:start w:val="1"/>
      <w:numFmt w:val="lowerRoman"/>
      <w:lvlRestart w:val="0"/>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EE76A95E"/>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D3D295FA"/>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C55CDEE6"/>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336C47EA"/>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DD883348"/>
    <w:lvl w:ilvl="0" w:tplc="9F16A330">
      <w:start w:val="2"/>
      <w:numFmt w:val="bullet"/>
      <w:lvlText w:val="–"/>
      <w:lvlJc w:val="left"/>
      <w:pPr>
        <w:ind w:left="360" w:hanging="360"/>
      </w:pPr>
      <w:rPr>
        <w:rFonts w:ascii="Calibri" w:eastAsiaTheme="minorHAns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844CFCAA"/>
    <w:lvl w:ilvl="0" w:tplc="186AEE2E">
      <w:start w:val="1"/>
      <w:numFmt w:val="lowerRoman"/>
      <w:lvlRestart w:val="0"/>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689"/>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6C7D"/>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46D3"/>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5D9D"/>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0F1"/>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AC2"/>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4DDE"/>
    <w:rsid w:val="0069572F"/>
    <w:rsid w:val="006966FF"/>
    <w:rsid w:val="00696F12"/>
    <w:rsid w:val="006972E8"/>
    <w:rsid w:val="006A01F5"/>
    <w:rsid w:val="006A14F6"/>
    <w:rsid w:val="006A20A0"/>
    <w:rsid w:val="006A3201"/>
    <w:rsid w:val="006A3A82"/>
    <w:rsid w:val="006A4431"/>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63E"/>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5B5"/>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244"/>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5C65"/>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ABA"/>
    <w:rsid w:val="00E02F76"/>
    <w:rsid w:val="00E050F3"/>
    <w:rsid w:val="00E052A9"/>
    <w:rsid w:val="00E0639C"/>
    <w:rsid w:val="00E06628"/>
    <w:rsid w:val="00E06E19"/>
    <w:rsid w:val="00E07C8E"/>
    <w:rsid w:val="00E10726"/>
    <w:rsid w:val="00E10B85"/>
    <w:rsid w:val="00E11F7B"/>
    <w:rsid w:val="00E13EA5"/>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567F"/>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5046"/>
    <w:rPr>
      <w:rFonts w:ascii="Verdana" w:hAnsi="Verdana" w:cs="Times New Roman"/>
      <w:b/>
      <w:sz w:val="24"/>
      <w:szCs w:val="24"/>
      <w:u w:val="single"/>
      <w:lang w:val="sk-SK"/>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59F27B-F374-4EEC-91B3-019974DDA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216</Pages>
  <Words>66235</Words>
  <Characters>390196</Characters>
  <Application>Microsoft Office Word</Application>
  <DocSecurity>0</DocSecurity>
  <Lines>22952</Lines>
  <Paragraphs>13831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442600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SLEZAKOVA Maria (DGT)</cp:lastModifiedBy>
  <cp:revision>11</cp:revision>
  <dcterms:created xsi:type="dcterms:W3CDTF">2020-01-16T14:56:00Z</dcterms:created>
  <dcterms:modified xsi:type="dcterms:W3CDTF">2020-01-20T15:34:00Z</dcterms:modified>
</cp:coreProperties>
</file>