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AD4404" w:rsidRPr="006F3CFF" w:rsidRDefault="001B7C2B">
      <w:pPr>
        <w:jc w:val="center"/>
        <w:rPr>
          <w:rFonts w:ascii="Times New Roman" w:hAnsi="Times New Roman"/>
          <w:b/>
          <w:sz w:val="32"/>
        </w:rPr>
      </w:pPr>
      <w:r w:rsidRPr="006F3CFF">
        <w:rPr>
          <w:rFonts w:ascii="Times New Roman" w:hAnsi="Times New Roman"/>
          <w:b/>
          <w:sz w:val="24"/>
        </w:rPr>
        <w:t>IT</w:t>
      </w:r>
      <w:r w:rsidRPr="006F3CFF">
        <w:rPr>
          <w:rFonts w:ascii="Times New Roman" w:hAnsi="Times New Roman"/>
          <w:b/>
          <w:sz w:val="24"/>
        </w:rPr>
        <w:br/>
        <w:t>ALLEGATO VII</w:t>
      </w:r>
    </w:p>
    <w:p w14:paraId="72104D4D" w14:textId="77777777" w:rsidR="00AD4404" w:rsidRDefault="00AD4404">
      <w:pPr>
        <w:jc w:val="center"/>
        <w:rPr>
          <w:rFonts w:ascii="Times New Roman" w:hAnsi="Times New Roman"/>
          <w:b/>
          <w:sz w:val="24"/>
        </w:rPr>
      </w:pPr>
    </w:p>
    <w:p w14:paraId="01904AEC" w14:textId="353A69A5" w:rsidR="00AD4404" w:rsidRDefault="008E1DE8">
      <w:pPr>
        <w:jc w:val="center"/>
        <w:rPr>
          <w:b/>
          <w:szCs w:val="20"/>
          <w:u w:val="single"/>
        </w:rPr>
      </w:pPr>
      <w:r>
        <w:rPr>
          <w:b/>
          <w:szCs w:val="20"/>
          <w:u w:val="single"/>
        </w:rPr>
        <w:t>"ALLEGATO XIX</w:t>
      </w:r>
    </w:p>
    <w:p w14:paraId="1796FE74" w14:textId="29CC78AB" w:rsidR="00AD4404" w:rsidRDefault="007F5684">
      <w:pPr>
        <w:jc w:val="center"/>
        <w:rPr>
          <w:b/>
          <w:szCs w:val="20"/>
        </w:rPr>
      </w:pPr>
      <w:r>
        <w:rPr>
          <w:b/>
          <w:szCs w:val="20"/>
        </w:rPr>
        <w:t>ISTRUZIONI PER LA COMPILAZIONE DEI MODELLI PER GLI ULTERIORI STRUMENTI DI CONTROLLO DI CUI ALL'ALLEGATO XVIII</w:t>
      </w:r>
    </w:p>
    <w:p w14:paraId="16AC5CE5" w14:textId="77777777" w:rsidR="00AD4404"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Ulteriori strumenti di controllo</w:t>
      </w:r>
    </w:p>
    <w:p w14:paraId="6D74775F" w14:textId="243E01B4" w:rsidR="00AD4404"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Osservazioni generali </w:t>
      </w:r>
    </w:p>
    <w:p w14:paraId="28146638" w14:textId="3B48FC46" w:rsidR="00AD4404" w:rsidRDefault="004D4244">
      <w:pPr>
        <w:pStyle w:val="InstructionsText2"/>
        <w:numPr>
          <w:ilvl w:val="0"/>
          <w:numId w:val="4"/>
        </w:numPr>
        <w:rPr>
          <w:u w:val="none"/>
        </w:rPr>
      </w:pPr>
      <w:r>
        <w:rPr>
          <w:u w:val="none"/>
        </w:rPr>
        <w:t>Per consentire il controllo del rischio di liquidità degli enti non rientrante nell'ambito di applicazione delle segnalazioni in materia di copertura della liquidità e di finanziamento stabile, gli enti compilano il modello di cui all'allegato XVIII conformemente alle istruzioni del presente allegato.</w:t>
      </w:r>
    </w:p>
    <w:p w14:paraId="39998106" w14:textId="1169C0B2" w:rsidR="00AD4404" w:rsidRDefault="00A344AA">
      <w:pPr>
        <w:pStyle w:val="InstructionsText2"/>
        <w:numPr>
          <w:ilvl w:val="0"/>
          <w:numId w:val="4"/>
        </w:numPr>
        <w:rPr>
          <w:u w:val="none"/>
        </w:rPr>
      </w:pPr>
      <w:r>
        <w:rPr>
          <w:u w:val="none"/>
        </w:rPr>
        <w:t>Il finanziamento totale include tutte le passività finanziarie diverse da derivati e posizioni corte.</w:t>
      </w:r>
    </w:p>
    <w:p w14:paraId="50F797C6" w14:textId="3E2857CF" w:rsidR="00AD4404" w:rsidRDefault="00A344AA">
      <w:pPr>
        <w:pStyle w:val="InstructionsText2"/>
        <w:numPr>
          <w:ilvl w:val="0"/>
          <w:numId w:val="4"/>
        </w:numPr>
        <w:rPr>
          <w:u w:val="none"/>
        </w:rPr>
      </w:pPr>
      <w:r>
        <w:rPr>
          <w:u w:val="none"/>
        </w:rPr>
        <w:t xml:space="preserve">I finanziamenti con scadenza aperta, compresi i depositi a vista, si considerano aventi scadenza overnight. </w:t>
      </w:r>
    </w:p>
    <w:p w14:paraId="4586638B" w14:textId="7526809A" w:rsidR="00AD4404" w:rsidRDefault="00A344AA">
      <w:pPr>
        <w:pStyle w:val="InstructionsText2"/>
        <w:numPr>
          <w:ilvl w:val="0"/>
          <w:numId w:val="4"/>
        </w:numPr>
        <w:rPr>
          <w:u w:val="none"/>
        </w:rPr>
      </w:pPr>
      <w:r>
        <w:rPr>
          <w:u w:val="none"/>
        </w:rPr>
        <w:t xml:space="preserve">La durata originaria rappresenta il tempo tra la data di origine e la data di scadenza del finanziamento. La data di scadenza del finanziamento è determinata conformemente al punto 12 dell'allegato XXIII. Ciò significa che in caso di opzioni, come al punto 12 dell'allegato XXIII, la durata originaria del finanziamento può essere più corta del tempo trascorso dalla data di origine. </w:t>
      </w:r>
    </w:p>
    <w:p w14:paraId="4FA59274" w14:textId="20DE3BF0" w:rsidR="00AD4404" w:rsidRDefault="00A344AA">
      <w:pPr>
        <w:pStyle w:val="InstructionsText2"/>
        <w:numPr>
          <w:ilvl w:val="0"/>
          <w:numId w:val="4"/>
        </w:numPr>
        <w:rPr>
          <w:u w:val="none"/>
        </w:rPr>
      </w:pPr>
      <w:r>
        <w:rPr>
          <w:u w:val="none"/>
        </w:rPr>
        <w:t>La durata residua rappresenta il tempo tra la fine del periodo di riferimento e la data di scadenza del finanziamento. La data di scadenza del finanziamento è determinata conformemente al punto 12 dell'allegato XXIII.</w:t>
      </w:r>
    </w:p>
    <w:p w14:paraId="1DF04682" w14:textId="0F5CD7EB" w:rsidR="00AD4404" w:rsidRDefault="007462FE">
      <w:pPr>
        <w:pStyle w:val="InstructionsText2"/>
        <w:numPr>
          <w:ilvl w:val="0"/>
          <w:numId w:val="4"/>
        </w:numPr>
        <w:rPr>
          <w:u w:val="none"/>
        </w:rPr>
      </w:pPr>
      <w:r>
        <w:rPr>
          <w:u w:val="none"/>
        </w:rPr>
        <w:t>Ai fini del calcolo della durata media ponderata originaria o residua, i depositi con scadenza overnight sono considerati aventi durata di un giorno.</w:t>
      </w:r>
    </w:p>
    <w:p w14:paraId="25CD9EF4" w14:textId="173EC59C" w:rsidR="00AD4404" w:rsidRDefault="007462FE">
      <w:pPr>
        <w:pStyle w:val="InstructionsText2"/>
        <w:numPr>
          <w:ilvl w:val="0"/>
          <w:numId w:val="4"/>
        </w:numPr>
        <w:rPr>
          <w:u w:val="none"/>
        </w:rPr>
      </w:pPr>
      <w:r>
        <w:rPr>
          <w:u w:val="none"/>
        </w:rPr>
        <w:t>Ai fini del calcolo della durata originaria e residua, se il finanziamento prevede per la controparte dell'ente un periodo di preavviso o una clausola di cancellazione o di ritiro anticipato, si ipotizza il ritiro alla prima data possibile.</w:t>
      </w:r>
    </w:p>
    <w:p w14:paraId="2B81E2EC" w14:textId="77D4003A" w:rsidR="00AD4404" w:rsidRDefault="00A344AA">
      <w:pPr>
        <w:pStyle w:val="InstructionsText2"/>
        <w:numPr>
          <w:ilvl w:val="0"/>
          <w:numId w:val="4"/>
        </w:numPr>
        <w:rPr>
          <w:u w:val="none"/>
        </w:rPr>
      </w:pPr>
      <w:r>
        <w:rPr>
          <w:u w:val="none"/>
        </w:rPr>
        <w:t>Per le passività perpetue, salvo se prevedono opzioni come indicato al punto 12 dell'allegato XXIII, si ipotizza una durata originaria e residua fisse di venti anni.</w:t>
      </w:r>
    </w:p>
    <w:p w14:paraId="30EB5133" w14:textId="29C44017" w:rsidR="00AD4404" w:rsidRDefault="00A344AA">
      <w:pPr>
        <w:pStyle w:val="InstructionsText2"/>
        <w:numPr>
          <w:ilvl w:val="0"/>
          <w:numId w:val="4"/>
        </w:numPr>
        <w:rPr>
          <w:u w:val="none"/>
        </w:rPr>
      </w:pPr>
      <w:r>
        <w:rPr>
          <w:u w:val="none"/>
        </w:rPr>
        <w:t>Per il calcolo della soglia percentuale per valuta significativa di cui ai modelli C 67.00 e C 68.00, gli enti utilizzano la soglia dell'1 % delle passività totali in tutte le valute.</w:t>
      </w:r>
    </w:p>
    <w:p w14:paraId="0E1E0ED8" w14:textId="77777777" w:rsidR="00AD4404"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Concentrazione del finanziamento (funding) per controparte (C 67.00)</w:t>
      </w:r>
    </w:p>
    <w:p w14:paraId="322C1A75" w14:textId="525ED095" w:rsidR="00AD4404" w:rsidRDefault="00490B62">
      <w:pPr>
        <w:pStyle w:val="InstructionsText2"/>
        <w:numPr>
          <w:ilvl w:val="0"/>
          <w:numId w:val="6"/>
        </w:numPr>
        <w:rPr>
          <w:u w:val="none"/>
        </w:rPr>
      </w:pPr>
      <w:r>
        <w:rPr>
          <w:u w:val="none"/>
        </w:rPr>
        <w:t>Per raccogliere le informazioni sulla concentrazione del finanziamento (funding) degli enti segnalanti per controparte nel modello C 67.00, gli enti applicano le istruzioni contenute nella presente sezione.</w:t>
      </w:r>
    </w:p>
    <w:p w14:paraId="52091F90" w14:textId="3189388C" w:rsidR="00AD4404" w:rsidRDefault="00A344AA">
      <w:pPr>
        <w:pStyle w:val="InstructionsText2"/>
        <w:numPr>
          <w:ilvl w:val="0"/>
          <w:numId w:val="6"/>
        </w:numPr>
        <w:rPr>
          <w:u w:val="none"/>
        </w:rPr>
      </w:pPr>
      <w:r>
        <w:rPr>
          <w:u w:val="none"/>
        </w:rPr>
        <w:t xml:space="preserve">Gli enti segnalano le dieci principali controparti o il gruppo di clienti connessi quale definito all'articolo 4, paragrafo 1, punto 39, del regolamento (UE) n. 575/2013, quando il finanziamento ottenuto da ciascuna controparte o dal gruppo di clienti connessi supera la soglia dell'1 % delle passività totali nelle righe da 020 a 110 della sezione 1 del modello. La controparte segnalata alla voce 1.01 corrisponde all'importo massimo del finanziamento concesso dalla controparte o dal gruppo di clienti connessi superiore alla soglia dell'1 % alla </w:t>
      </w:r>
      <w:r>
        <w:rPr>
          <w:u w:val="none"/>
        </w:rPr>
        <w:lastRenderedPageBreak/>
        <w:t>data di riferimento per le segnalazioni. La voce 1.02 è il secondo importo per entità superiore alla soglia dell'1 % e così via con le restanti voci.</w:t>
      </w:r>
    </w:p>
    <w:p w14:paraId="430CAED4" w14:textId="505B6732" w:rsidR="00AD4404" w:rsidRDefault="00A344AA">
      <w:pPr>
        <w:pStyle w:val="InstructionsText2"/>
        <w:numPr>
          <w:ilvl w:val="0"/>
          <w:numId w:val="6"/>
        </w:numPr>
        <w:rPr>
          <w:u w:val="none"/>
        </w:rPr>
      </w:pPr>
      <w:r>
        <w:rPr>
          <w:u w:val="none"/>
        </w:rPr>
        <w:t xml:space="preserve">Se una controparte appartiene a diversi gruppi di clienti connessi, viene segnalata solo una volta nel gruppo con il finanziamento di importo più elevato. </w:t>
      </w:r>
    </w:p>
    <w:p w14:paraId="589BDAD9" w14:textId="67079620" w:rsidR="00AD4404" w:rsidRDefault="00A344AA">
      <w:pPr>
        <w:pStyle w:val="InstructionsText2"/>
        <w:numPr>
          <w:ilvl w:val="0"/>
          <w:numId w:val="6"/>
        </w:numPr>
        <w:rPr>
          <w:u w:val="none"/>
        </w:rPr>
      </w:pPr>
      <w:r>
        <w:rPr>
          <w:u w:val="none"/>
        </w:rPr>
        <w:t>Gli enti segnalano il totale di tutto l'altro finanziamento nella sezione 2.</w:t>
      </w:r>
    </w:p>
    <w:p w14:paraId="6E279CE2" w14:textId="29172BB5" w:rsidR="00AD4404" w:rsidRDefault="00A344AA">
      <w:pPr>
        <w:pStyle w:val="InstructionsText2"/>
        <w:numPr>
          <w:ilvl w:val="0"/>
          <w:numId w:val="6"/>
        </w:numPr>
        <w:rPr>
          <w:u w:val="none"/>
        </w:rPr>
      </w:pPr>
      <w:r>
        <w:rPr>
          <w:u w:val="none"/>
        </w:rPr>
        <w:t>I totali della sezione 1 e della sezione 2 sono pari al totale del finanziamento dell'ente risultante dallo stato patrimoniale segnalato nel quadro dell'informativa finanziaria (FINREP).</w:t>
      </w:r>
    </w:p>
    <w:p w14:paraId="00BA7315" w14:textId="71355B4D" w:rsidR="00AD4404" w:rsidRDefault="00A344AA">
      <w:pPr>
        <w:pStyle w:val="InstructionsText2"/>
        <w:numPr>
          <w:ilvl w:val="0"/>
          <w:numId w:val="6"/>
        </w:numPr>
        <w:rPr>
          <w:u w:val="none"/>
        </w:rPr>
      </w:pPr>
      <w:r>
        <w:rPr>
          <w:u w:val="none"/>
        </w:rPr>
        <w:t>Per ogni controparte gli enti completano tutte le colonne da 010 a 080.</w:t>
      </w:r>
    </w:p>
    <w:p w14:paraId="3425ECF0" w14:textId="65ED6564" w:rsidR="00AD4404" w:rsidRDefault="00A344AA">
      <w:pPr>
        <w:pStyle w:val="InstructionsText2"/>
        <w:numPr>
          <w:ilvl w:val="0"/>
          <w:numId w:val="6"/>
        </w:numPr>
        <w:rPr>
          <w:u w:val="none"/>
        </w:rPr>
      </w:pPr>
      <w:r>
        <w:rPr>
          <w:u w:val="none"/>
        </w:rPr>
        <w:t>Laddove il finanziamento è stato ottenuto mediante più di un tipo di prodotto, occorre segnalare il prodotto con il quale è stata ottenuta la percentuale massima di finanziamento. L'identificazione del possessore sottostante dei titoli può avvenire sulla base dei migliori sforzi (best efforts). L'ente che dispone di informazioni sul possessore dei titoli in virtù del suo ruolo di banca depositaria considera il relativo importo ai fini della segnalazione della concentrazione delle controparti. In assenza di informazioni sul possessore dei titoli, non occorre segnalare l'importo corrispondente.</w:t>
      </w:r>
    </w:p>
    <w:p w14:paraId="2DFF75CD" w14:textId="77777777" w:rsidR="00AD4404" w:rsidRDefault="00A344AA">
      <w:pPr>
        <w:pStyle w:val="InstructionsText2"/>
        <w:numPr>
          <w:ilvl w:val="0"/>
          <w:numId w:val="6"/>
        </w:numPr>
        <w:rPr>
          <w:u w:val="none"/>
        </w:rPr>
      </w:pPr>
      <w:r>
        <w:rPr>
          <w:u w:val="none"/>
        </w:rPr>
        <w:t>Istruzioni relative a colonne specifiche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D4404" w14:paraId="74B455E0" w14:textId="77777777" w:rsidTr="003F0706">
        <w:trPr>
          <w:trHeight w:val="548"/>
        </w:trPr>
        <w:tc>
          <w:tcPr>
            <w:tcW w:w="729" w:type="pct"/>
            <w:shd w:val="clear" w:color="auto" w:fill="D9D9D9"/>
            <w:noWrap/>
            <w:vAlign w:val="center"/>
          </w:tcPr>
          <w:p w14:paraId="3C56FF4E" w14:textId="77777777" w:rsidR="00AD4404" w:rsidRDefault="00A344AA">
            <w:pPr>
              <w:spacing w:before="0" w:after="0"/>
              <w:jc w:val="left"/>
              <w:rPr>
                <w:color w:val="000000"/>
              </w:rPr>
            </w:pPr>
            <w:r>
              <w:rPr>
                <w:rStyle w:val="InstructionsTabelleText"/>
                <w:rFonts w:ascii="Times New Roman" w:hAnsi="Times New Roman"/>
                <w:szCs w:val="20"/>
              </w:rPr>
              <w:t>Colonna</w:t>
            </w:r>
          </w:p>
        </w:tc>
        <w:tc>
          <w:tcPr>
            <w:tcW w:w="4271" w:type="pct"/>
            <w:gridSpan w:val="2"/>
            <w:shd w:val="clear" w:color="auto" w:fill="D9D9D9"/>
            <w:vAlign w:val="center"/>
          </w:tcPr>
          <w:p w14:paraId="708D3843" w14:textId="77777777" w:rsidR="00AD4404" w:rsidRDefault="00A344AA">
            <w:pPr>
              <w:spacing w:before="0" w:after="0"/>
              <w:jc w:val="left"/>
            </w:pPr>
            <w:r>
              <w:rPr>
                <w:rStyle w:val="InstructionsTabelleText"/>
                <w:rFonts w:ascii="Times New Roman" w:hAnsi="Times New Roman"/>
                <w:szCs w:val="20"/>
              </w:rPr>
              <w:t>Riferimenti giuridici e istruzioni</w:t>
            </w:r>
          </w:p>
        </w:tc>
      </w:tr>
      <w:tr w:rsidR="00AD4404" w14:paraId="03B6122B" w14:textId="77777777" w:rsidTr="003F0706">
        <w:trPr>
          <w:trHeight w:val="765"/>
        </w:trPr>
        <w:tc>
          <w:tcPr>
            <w:tcW w:w="729" w:type="pct"/>
            <w:shd w:val="clear" w:color="auto" w:fill="auto"/>
            <w:noWrap/>
          </w:tcPr>
          <w:p w14:paraId="454F7606" w14:textId="77777777" w:rsidR="00AD4404"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Nome della controparte</w:t>
            </w:r>
          </w:p>
          <w:p w14:paraId="19E2ADEC" w14:textId="77777777" w:rsidR="00AD4404" w:rsidRDefault="00AD4404">
            <w:pPr>
              <w:spacing w:before="0" w:after="0"/>
              <w:rPr>
                <w:rFonts w:ascii="Times New Roman" w:hAnsi="Times New Roman"/>
                <w:b/>
                <w:szCs w:val="20"/>
                <w:u w:val="single"/>
              </w:rPr>
            </w:pPr>
          </w:p>
          <w:p w14:paraId="2836EBB6" w14:textId="3EE49AEF" w:rsidR="00AD4404" w:rsidRDefault="00A344AA">
            <w:pPr>
              <w:spacing w:before="0" w:after="0"/>
              <w:rPr>
                <w:rFonts w:ascii="Times New Roman" w:hAnsi="Times New Roman"/>
                <w:szCs w:val="20"/>
              </w:rPr>
            </w:pPr>
            <w:r>
              <w:rPr>
                <w:rFonts w:ascii="Times New Roman" w:hAnsi="Times New Roman"/>
                <w:szCs w:val="20"/>
              </w:rPr>
              <w:t>Il nome di ciascuna controparte che ha concesso un finanziamento che supera la soglia dell'1 % delle passività totali è registrato nella colonna 010 in ordine decrescente dell'entità del finanziamento ottenuto.</w:t>
            </w:r>
          </w:p>
          <w:p w14:paraId="5DFD68B3" w14:textId="77777777" w:rsidR="00AD4404" w:rsidRDefault="00AD4404">
            <w:pPr>
              <w:spacing w:before="0" w:after="0"/>
              <w:rPr>
                <w:rFonts w:ascii="Times New Roman" w:hAnsi="Times New Roman"/>
                <w:szCs w:val="20"/>
              </w:rPr>
            </w:pPr>
          </w:p>
          <w:p w14:paraId="5DA69516" w14:textId="05AEBC96" w:rsidR="00AD4404" w:rsidRDefault="00C663BC">
            <w:pPr>
              <w:spacing w:before="0" w:after="0"/>
              <w:rPr>
                <w:rFonts w:ascii="Times New Roman" w:hAnsi="Times New Roman"/>
                <w:szCs w:val="20"/>
              </w:rPr>
            </w:pPr>
            <w:r>
              <w:rPr>
                <w:rFonts w:ascii="Times New Roman" w:hAnsi="Times New Roman"/>
                <w:szCs w:val="20"/>
              </w:rPr>
              <w:t xml:space="preserve">È indicato il nome della controparte, persona fisica o giuridica. Se la controparte è una persona giuridica, il nome della controparte è la denominazione completa della persona giuridica da cui deriva il finanziamento (funding), compreso qualsiasi riferimento al tipo di società conformemente al diritto societario nazionale. </w:t>
            </w:r>
          </w:p>
          <w:p w14:paraId="5AB242B5" w14:textId="77777777" w:rsidR="00AD4404" w:rsidRDefault="00AD4404">
            <w:pPr>
              <w:spacing w:before="0" w:after="0"/>
              <w:rPr>
                <w:rFonts w:ascii="Times New Roman" w:hAnsi="Times New Roman"/>
                <w:szCs w:val="20"/>
              </w:rPr>
            </w:pPr>
          </w:p>
        </w:tc>
      </w:tr>
      <w:tr w:rsidR="00AD4404" w14:paraId="383DA9E1" w14:textId="77777777" w:rsidTr="003F0706">
        <w:trPr>
          <w:trHeight w:val="765"/>
        </w:trPr>
        <w:tc>
          <w:tcPr>
            <w:tcW w:w="729" w:type="pct"/>
            <w:shd w:val="clear" w:color="auto" w:fill="auto"/>
            <w:noWrap/>
          </w:tcPr>
          <w:p w14:paraId="0369CC55" w14:textId="46C7C99A" w:rsidR="00AD4404"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AD4404"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Codice</w:t>
            </w:r>
          </w:p>
          <w:p w14:paraId="484D7006" w14:textId="77777777" w:rsidR="00AD4404" w:rsidRDefault="00AD4404">
            <w:pPr>
              <w:pStyle w:val="InstructionsText"/>
              <w:rPr>
                <w:rStyle w:val="InstructionsTabelleberschrift"/>
                <w:rFonts w:ascii="Times New Roman" w:hAnsi="Times New Roman"/>
                <w:szCs w:val="20"/>
              </w:rPr>
            </w:pPr>
          </w:p>
          <w:p w14:paraId="384FB2AC" w14:textId="77777777" w:rsidR="00AD4404"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Questo codice è un identificativo di riga ed è unico per ogni riga della tabella.</w:t>
            </w:r>
          </w:p>
          <w:p w14:paraId="0CD09054" w14:textId="77777777" w:rsidR="00AD4404" w:rsidRDefault="00AD4404">
            <w:pPr>
              <w:pStyle w:val="InstructionsText"/>
              <w:rPr>
                <w:b/>
                <w:szCs w:val="20"/>
              </w:rPr>
            </w:pPr>
          </w:p>
        </w:tc>
      </w:tr>
      <w:tr w:rsidR="00AD4404" w14:paraId="38D9E163" w14:textId="77777777" w:rsidTr="003F0706">
        <w:trPr>
          <w:trHeight w:val="765"/>
        </w:trPr>
        <w:tc>
          <w:tcPr>
            <w:tcW w:w="729" w:type="pct"/>
            <w:shd w:val="clear" w:color="auto" w:fill="auto"/>
            <w:noWrap/>
          </w:tcPr>
          <w:p w14:paraId="7AE3AB1F" w14:textId="77777777" w:rsidR="00AD4404"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AD4404"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Codice LEI</w:t>
            </w:r>
          </w:p>
          <w:p w14:paraId="36F19060" w14:textId="77777777" w:rsidR="00AD4404" w:rsidRDefault="00AD4404">
            <w:pPr>
              <w:pStyle w:val="InstructionsText"/>
              <w:rPr>
                <w:rStyle w:val="InstructionsTabelleberschrift"/>
                <w:rFonts w:ascii="Times New Roman" w:hAnsi="Times New Roman"/>
                <w:szCs w:val="20"/>
              </w:rPr>
            </w:pPr>
          </w:p>
          <w:p w14:paraId="6C3C7436" w14:textId="77777777" w:rsidR="00AD4404"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Codice identificativo del soggetto giuridico della controparte. </w:t>
            </w:r>
          </w:p>
          <w:p w14:paraId="68F04C82" w14:textId="77777777" w:rsidR="00AD4404" w:rsidRDefault="00CC3091">
            <w:pPr>
              <w:pStyle w:val="InstructionsText"/>
            </w:pPr>
            <w:r>
              <w:t>Qualora per una data controparte esista un codice di identificazione LEI, esso è utilizzato per identificarla.</w:t>
            </w:r>
          </w:p>
          <w:p w14:paraId="66432471" w14:textId="501FA456" w:rsidR="00AD4404" w:rsidRDefault="00AD4404">
            <w:pPr>
              <w:pStyle w:val="InstructionsText"/>
            </w:pPr>
          </w:p>
        </w:tc>
      </w:tr>
      <w:tr w:rsidR="00AD4404" w14:paraId="51607CEC" w14:textId="77777777" w:rsidTr="003D0976">
        <w:trPr>
          <w:trHeight w:val="510"/>
        </w:trPr>
        <w:tc>
          <w:tcPr>
            <w:tcW w:w="729" w:type="pct"/>
            <w:tcBorders>
              <w:bottom w:val="single" w:sz="4" w:space="0" w:color="auto"/>
            </w:tcBorders>
            <w:shd w:val="clear" w:color="auto" w:fill="auto"/>
            <w:noWrap/>
          </w:tcPr>
          <w:p w14:paraId="19A860BE" w14:textId="77777777" w:rsidR="00AD4404"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Settore della controparte</w:t>
            </w:r>
          </w:p>
          <w:p w14:paraId="2CCF7839" w14:textId="77777777" w:rsidR="00AD4404" w:rsidRDefault="00AD4404">
            <w:pPr>
              <w:spacing w:before="0" w:after="0"/>
              <w:rPr>
                <w:rFonts w:ascii="Times New Roman" w:hAnsi="Times New Roman"/>
                <w:b/>
                <w:szCs w:val="20"/>
                <w:u w:val="single"/>
              </w:rPr>
            </w:pPr>
          </w:p>
          <w:p w14:paraId="2E43DAFB" w14:textId="2C4B739F" w:rsidR="00AD4404"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A ciascuna controparte è attribuito un settore sulla base della classificazione dei settori economici FINREP:</w:t>
            </w:r>
          </w:p>
          <w:p w14:paraId="7C349277" w14:textId="77777777" w:rsidR="00AD4404" w:rsidRDefault="00AD4404">
            <w:pPr>
              <w:pStyle w:val="InstructionsText"/>
              <w:rPr>
                <w:rStyle w:val="FormatvorlageInstructionsTabelleText"/>
                <w:rFonts w:ascii="Times New Roman" w:hAnsi="Times New Roman"/>
                <w:szCs w:val="20"/>
              </w:rPr>
            </w:pPr>
          </w:p>
          <w:p w14:paraId="07E3E3C8" w14:textId="068EC55B" w:rsidR="00AD4404"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banche centrali; ii) amministrazioni pubbliche; iii) enti creditizi; iv) altre società finanziarie; v) società non finanziarie; vi) nuclei familiari. </w:t>
            </w:r>
          </w:p>
          <w:p w14:paraId="4CA62F92" w14:textId="77777777" w:rsidR="00AD4404" w:rsidRDefault="00AD4404">
            <w:pPr>
              <w:pStyle w:val="InstructionsText"/>
              <w:rPr>
                <w:rStyle w:val="FormatvorlageInstructionsTabelleText"/>
                <w:rFonts w:ascii="Times New Roman" w:hAnsi="Times New Roman"/>
                <w:szCs w:val="20"/>
              </w:rPr>
            </w:pPr>
          </w:p>
          <w:p w14:paraId="1E7BCB8F" w14:textId="77777777" w:rsidR="00AD4404"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Per i gruppi di clienti connessi non viene segnalato alcun settore.</w:t>
            </w:r>
          </w:p>
          <w:p w14:paraId="0E3CE66C" w14:textId="77777777" w:rsidR="00AD4404" w:rsidRDefault="00AD4404" w:rsidP="006F3CFF">
            <w:pPr>
              <w:pStyle w:val="InstructionsText2"/>
              <w:numPr>
                <w:ilvl w:val="0"/>
                <w:numId w:val="0"/>
              </w:numPr>
              <w:spacing w:after="120"/>
              <w:ind w:left="714"/>
            </w:pPr>
          </w:p>
        </w:tc>
      </w:tr>
      <w:tr w:rsidR="00AD4404" w14:paraId="159CB0CE" w14:textId="77777777" w:rsidTr="003D0976">
        <w:trPr>
          <w:trHeight w:val="510"/>
        </w:trPr>
        <w:tc>
          <w:tcPr>
            <w:tcW w:w="729" w:type="pct"/>
            <w:tcBorders>
              <w:bottom w:val="nil"/>
            </w:tcBorders>
            <w:shd w:val="clear" w:color="auto" w:fill="auto"/>
            <w:noWrap/>
          </w:tcPr>
          <w:p w14:paraId="7DA552B5" w14:textId="77777777" w:rsidR="00AD4404"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gridSpan w:val="2"/>
            <w:tcBorders>
              <w:bottom w:val="nil"/>
            </w:tcBorders>
            <w:shd w:val="clear" w:color="auto" w:fill="auto"/>
          </w:tcPr>
          <w:p w14:paraId="4A62D5F3"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 xml:space="preserve">Residenza della controparte </w:t>
            </w:r>
          </w:p>
          <w:p w14:paraId="4CB6B035" w14:textId="77777777" w:rsidR="00AD4404" w:rsidRDefault="00AD4404">
            <w:pPr>
              <w:pStyle w:val="InstructionsText"/>
              <w:rPr>
                <w:rStyle w:val="FormatvorlageInstructionsTabelleText"/>
                <w:rFonts w:ascii="Times New Roman" w:hAnsi="Times New Roman"/>
                <w:b/>
                <w:szCs w:val="20"/>
              </w:rPr>
            </w:pPr>
          </w:p>
          <w:p w14:paraId="1792AE6F" w14:textId="2E35E73C" w:rsidR="00AD4404"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Si utilizza il codice ISO 3166-1-alpha-2 del paese in cui la controparte ha sede (tra cui </w:t>
            </w:r>
            <w:r>
              <w:rPr>
                <w:rStyle w:val="FormatvorlageInstructionsTabelleText"/>
                <w:rFonts w:ascii="Times New Roman" w:hAnsi="Times New Roman"/>
                <w:szCs w:val="20"/>
              </w:rPr>
              <w:lastRenderedPageBreak/>
              <w:t>gli pseudo-codici ISO per le organizzazioni internazionali)</w:t>
            </w:r>
            <w:r>
              <w:t xml:space="preserve"> disponibile nella più recente edizione del "vademecum di Eurostat sulla bilancia dei pagamenti".</w:t>
            </w:r>
            <w:r>
              <w:rPr>
                <w:rStyle w:val="FormatvorlageInstructionsTabelleText"/>
                <w:rFonts w:ascii="Times New Roman" w:hAnsi="Times New Roman"/>
                <w:szCs w:val="20"/>
              </w:rPr>
              <w:t xml:space="preserve"> </w:t>
            </w:r>
          </w:p>
          <w:p w14:paraId="713A8F3E" w14:textId="77777777" w:rsidR="00AD4404" w:rsidRDefault="00AD4404">
            <w:pPr>
              <w:pStyle w:val="InstructionsText"/>
              <w:rPr>
                <w:rStyle w:val="FormatvorlageInstructionsTabelleText"/>
                <w:rFonts w:ascii="Times New Roman" w:hAnsi="Times New Roman"/>
                <w:szCs w:val="20"/>
              </w:rPr>
            </w:pPr>
          </w:p>
          <w:p w14:paraId="6E964331" w14:textId="180A6696" w:rsidR="00AD4404"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Per i gruppi di clienti connessi non viene segnalato il paese.</w:t>
            </w:r>
          </w:p>
        </w:tc>
      </w:tr>
      <w:tr w:rsidR="00AD4404"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D4404" w:rsidRDefault="00AD4404">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AD4404" w:rsidRDefault="00AD4404">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AD4404" w:rsidRDefault="00AD4404">
            <w:pPr>
              <w:spacing w:before="0" w:after="0"/>
              <w:rPr>
                <w:rFonts w:ascii="Times New Roman" w:hAnsi="Times New Roman"/>
                <w:b/>
                <w:szCs w:val="20"/>
                <w:u w:val="single"/>
              </w:rPr>
            </w:pPr>
          </w:p>
        </w:tc>
      </w:tr>
      <w:tr w:rsidR="00AD4404"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D4404"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Tipo di prodotto</w:t>
            </w:r>
          </w:p>
          <w:p w14:paraId="27D8CDCC" w14:textId="77777777" w:rsidR="00AD4404" w:rsidRDefault="00AD4404">
            <w:pPr>
              <w:spacing w:before="0" w:after="0"/>
              <w:rPr>
                <w:rFonts w:ascii="Times New Roman" w:hAnsi="Times New Roman"/>
                <w:b/>
                <w:szCs w:val="20"/>
                <w:u w:val="single"/>
              </w:rPr>
            </w:pPr>
          </w:p>
          <w:p w14:paraId="435BE420" w14:textId="00C0FA31" w:rsidR="00AD4404" w:rsidRDefault="00A344AA">
            <w:pPr>
              <w:spacing w:before="0" w:after="0"/>
              <w:rPr>
                <w:rFonts w:ascii="Times New Roman" w:hAnsi="Times New Roman"/>
                <w:szCs w:val="20"/>
              </w:rPr>
            </w:pPr>
            <w:r>
              <w:rPr>
                <w:rFonts w:ascii="Times New Roman" w:hAnsi="Times New Roman"/>
                <w:szCs w:val="20"/>
              </w:rPr>
              <w:t>Alle controparti indicate nella colonna 010 è assegnato un tipo di prodotto, corrispondente al prodotto emesso con il quale è stato ottenuto il finanziamento (o è stata ottenuta la percentuale massima del finanziamento in caso di più tipi di prodotti), utilizzando i seguenti codici indicati in grassetto:</w:t>
            </w:r>
          </w:p>
          <w:p w14:paraId="374B715F" w14:textId="77777777" w:rsidR="00AD4404" w:rsidRDefault="00AD4404">
            <w:pPr>
              <w:spacing w:before="0" w:after="0"/>
              <w:ind w:left="108"/>
              <w:rPr>
                <w:rFonts w:ascii="Times New Roman" w:hAnsi="Times New Roman"/>
                <w:color w:val="000000"/>
                <w:szCs w:val="20"/>
              </w:rPr>
            </w:pPr>
          </w:p>
          <w:p w14:paraId="644929DE" w14:textId="77777777" w:rsidR="00AD4404"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(finanziamenti all'ingrosso non garantiti ottenuti da clienti finanziari tra cui fondi interbancari)</w:t>
            </w:r>
          </w:p>
          <w:p w14:paraId="65D81A1D" w14:textId="77777777" w:rsidR="00AD4404" w:rsidRDefault="00AD4404">
            <w:pPr>
              <w:spacing w:before="0" w:after="0"/>
              <w:ind w:left="108"/>
              <w:rPr>
                <w:rFonts w:ascii="Times New Roman" w:hAnsi="Times New Roman"/>
                <w:color w:val="000000"/>
                <w:szCs w:val="20"/>
              </w:rPr>
            </w:pPr>
          </w:p>
          <w:p w14:paraId="2E6EBD07" w14:textId="77777777" w:rsidR="00AD4404"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(finanziamenti all'ingrosso non garantiti ottenuti da clienti non finanziari)</w:t>
            </w:r>
          </w:p>
          <w:p w14:paraId="69567DFF" w14:textId="77777777" w:rsidR="00AD4404" w:rsidRDefault="00AD4404">
            <w:pPr>
              <w:spacing w:before="0" w:after="0"/>
              <w:ind w:left="108"/>
              <w:rPr>
                <w:rFonts w:ascii="Times New Roman" w:hAnsi="Times New Roman"/>
                <w:color w:val="000000"/>
                <w:szCs w:val="20"/>
              </w:rPr>
            </w:pPr>
          </w:p>
          <w:p w14:paraId="362C9247" w14:textId="159651AB" w:rsidR="00AD4404"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(finanziamenti ottenuti mediante contratti di vendita con patto di riacquisto come definiti all'articolo 4, paragrafo 1, punto 82, del regolamento (UE) n. 575/2013)</w:t>
            </w:r>
          </w:p>
          <w:p w14:paraId="66F4842F" w14:textId="77777777" w:rsidR="00AD4404" w:rsidRDefault="00AD4404">
            <w:pPr>
              <w:spacing w:before="0" w:after="0"/>
              <w:ind w:left="108"/>
              <w:rPr>
                <w:rFonts w:ascii="Times New Roman" w:hAnsi="Times New Roman"/>
                <w:color w:val="000000"/>
                <w:szCs w:val="20"/>
              </w:rPr>
            </w:pPr>
          </w:p>
          <w:p w14:paraId="4D7FE979" w14:textId="00122A3D" w:rsidR="00AD4404"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(finanziamenti ottenuti mediante l'emissione di obbligazioni garantite di cui all'articolo 129, paragrafo 4 o 5, del regolamento (UE) n. 575/2013 o all'articolo 52, paragrafo 4, della direttiva 2009/65/CE)</w:t>
            </w:r>
          </w:p>
          <w:p w14:paraId="3F2C9E19" w14:textId="77777777" w:rsidR="00AD4404" w:rsidRDefault="00AD4404">
            <w:pPr>
              <w:spacing w:before="0" w:after="0"/>
              <w:ind w:left="108"/>
              <w:rPr>
                <w:rFonts w:ascii="Times New Roman" w:hAnsi="Times New Roman"/>
                <w:color w:val="000000"/>
                <w:szCs w:val="20"/>
              </w:rPr>
            </w:pPr>
          </w:p>
          <w:p w14:paraId="2DBA0870" w14:textId="77777777" w:rsidR="00AD4404"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(finanziamenti ottenuti mediante l'emissione di titoli garantiti da attività tra cui commercial paper garantiti da attività)</w:t>
            </w:r>
          </w:p>
          <w:p w14:paraId="54E284FB" w14:textId="77777777" w:rsidR="00AD4404" w:rsidRDefault="00AD4404">
            <w:pPr>
              <w:spacing w:before="0" w:after="0"/>
              <w:ind w:left="108"/>
              <w:rPr>
                <w:rFonts w:ascii="Times New Roman" w:hAnsi="Times New Roman"/>
                <w:color w:val="000000"/>
                <w:szCs w:val="20"/>
              </w:rPr>
            </w:pPr>
          </w:p>
          <w:p w14:paraId="1114784A" w14:textId="77777777" w:rsidR="00AD4404"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(finanziamenti ottenuti da controparti infragruppo)</w:t>
            </w:r>
          </w:p>
          <w:p w14:paraId="59575FF6" w14:textId="77777777" w:rsidR="00AD4404" w:rsidRDefault="00AD4404">
            <w:pPr>
              <w:spacing w:before="0" w:after="0"/>
              <w:ind w:left="108"/>
              <w:rPr>
                <w:rFonts w:ascii="Times New Roman" w:hAnsi="Times New Roman"/>
                <w:color w:val="000000"/>
                <w:szCs w:val="20"/>
              </w:rPr>
            </w:pPr>
          </w:p>
          <w:p w14:paraId="0809393C" w14:textId="77777777" w:rsidR="00AD4404"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(altri finanziamenti all'ingrosso garantiti)</w:t>
            </w:r>
          </w:p>
          <w:p w14:paraId="64E5769B" w14:textId="77777777" w:rsidR="00AD4404" w:rsidRDefault="00AD4404">
            <w:pPr>
              <w:spacing w:before="0" w:after="0"/>
              <w:ind w:left="108"/>
              <w:rPr>
                <w:rFonts w:ascii="Times New Roman" w:hAnsi="Times New Roman"/>
                <w:color w:val="000000"/>
                <w:szCs w:val="20"/>
              </w:rPr>
            </w:pPr>
          </w:p>
          <w:p w14:paraId="520400E8" w14:textId="77777777" w:rsidR="00AD4404"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(altri prodotti di finanziamento, ad esempio finanziamento al dettaglio).</w:t>
            </w:r>
          </w:p>
          <w:p w14:paraId="7EA3B3FF" w14:textId="77777777" w:rsidR="00AD4404" w:rsidRDefault="00AD4404">
            <w:pPr>
              <w:spacing w:before="0" w:after="0"/>
              <w:rPr>
                <w:rFonts w:ascii="Times New Roman" w:hAnsi="Times New Roman"/>
                <w:b/>
                <w:szCs w:val="20"/>
                <w:u w:val="single"/>
              </w:rPr>
            </w:pPr>
          </w:p>
        </w:tc>
      </w:tr>
      <w:tr w:rsidR="00AD4404" w14:paraId="5F88F47E" w14:textId="77777777" w:rsidTr="003D0976">
        <w:trPr>
          <w:trHeight w:val="510"/>
        </w:trPr>
        <w:tc>
          <w:tcPr>
            <w:tcW w:w="729" w:type="pct"/>
            <w:shd w:val="clear" w:color="auto" w:fill="auto"/>
            <w:noWrap/>
          </w:tcPr>
          <w:p w14:paraId="6C7A5E49" w14:textId="77777777" w:rsidR="00AD4404"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Importo ricevuto</w:t>
            </w:r>
          </w:p>
          <w:p w14:paraId="235C86C1" w14:textId="77777777" w:rsidR="00AD4404" w:rsidRDefault="00AD4404">
            <w:pPr>
              <w:spacing w:before="0" w:after="0"/>
              <w:rPr>
                <w:rFonts w:ascii="Times New Roman" w:hAnsi="Times New Roman"/>
                <w:b/>
                <w:szCs w:val="20"/>
                <w:u w:val="single"/>
              </w:rPr>
            </w:pPr>
          </w:p>
          <w:p w14:paraId="2FAA6C63" w14:textId="53EB1C12" w:rsidR="00AD4404" w:rsidRDefault="00A344AA">
            <w:pPr>
              <w:spacing w:before="0" w:after="0"/>
              <w:rPr>
                <w:rFonts w:ascii="Times New Roman" w:hAnsi="Times New Roman"/>
                <w:szCs w:val="20"/>
              </w:rPr>
            </w:pPr>
            <w:r>
              <w:rPr>
                <w:rFonts w:ascii="Times New Roman" w:hAnsi="Times New Roman"/>
                <w:szCs w:val="20"/>
              </w:rPr>
              <w:t xml:space="preserve">L'importo totale del finanziamento concesso dalle controparti segnalate nella colonna 010 è registrato nella colonna 060 al valore contabile. </w:t>
            </w:r>
          </w:p>
          <w:p w14:paraId="380CD660" w14:textId="77777777" w:rsidR="00AD4404" w:rsidRDefault="00AD4404">
            <w:pPr>
              <w:spacing w:before="0" w:after="0"/>
              <w:rPr>
                <w:rFonts w:ascii="Times New Roman" w:hAnsi="Times New Roman"/>
                <w:b/>
                <w:szCs w:val="20"/>
                <w:u w:val="single"/>
              </w:rPr>
            </w:pPr>
          </w:p>
        </w:tc>
      </w:tr>
      <w:tr w:rsidR="00AD4404" w14:paraId="12BAF631" w14:textId="77777777" w:rsidTr="005B086D">
        <w:trPr>
          <w:trHeight w:val="2537"/>
        </w:trPr>
        <w:tc>
          <w:tcPr>
            <w:tcW w:w="729" w:type="pct"/>
            <w:shd w:val="clear" w:color="auto" w:fill="auto"/>
            <w:noWrap/>
          </w:tcPr>
          <w:p w14:paraId="24187AE3" w14:textId="77777777" w:rsidR="00AD4404"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AD4404" w:rsidRDefault="00A344AA">
            <w:pPr>
              <w:spacing w:before="0" w:after="0"/>
              <w:rPr>
                <w:rFonts w:ascii="Times New Roman" w:hAnsi="Times New Roman"/>
                <w:b/>
                <w:szCs w:val="20"/>
                <w:u w:val="single"/>
              </w:rPr>
            </w:pPr>
            <w:r>
              <w:rPr>
                <w:rFonts w:ascii="Times New Roman" w:hAnsi="Times New Roman"/>
                <w:b/>
                <w:szCs w:val="20"/>
                <w:u w:val="single"/>
              </w:rPr>
              <w:t>Durata originaria media ponderata</w:t>
            </w:r>
          </w:p>
          <w:p w14:paraId="5ED01858" w14:textId="77777777" w:rsidR="00AD4404" w:rsidRDefault="00AD4404">
            <w:pPr>
              <w:spacing w:before="0" w:after="0"/>
              <w:rPr>
                <w:rFonts w:ascii="Times New Roman" w:hAnsi="Times New Roman"/>
                <w:b/>
                <w:szCs w:val="20"/>
                <w:u w:val="single"/>
              </w:rPr>
            </w:pPr>
          </w:p>
          <w:p w14:paraId="7042CB79" w14:textId="1AE683FA" w:rsidR="00AD4404" w:rsidRDefault="00A344AA">
            <w:pPr>
              <w:spacing w:before="0" w:after="0"/>
              <w:rPr>
                <w:rFonts w:ascii="Times New Roman" w:hAnsi="Times New Roman"/>
                <w:szCs w:val="20"/>
              </w:rPr>
            </w:pPr>
            <w:r>
              <w:rPr>
                <w:rFonts w:ascii="Times New Roman" w:hAnsi="Times New Roman"/>
                <w:szCs w:val="20"/>
              </w:rPr>
              <w:t>Per l'importo del finanziamento segnalato nella colonna 060 concesso dalla controparte segnalata nella colonna 010, la durata originaria media ponderata (in giorni) del relativo finanziamento è registrata nella colonna 070.</w:t>
            </w:r>
          </w:p>
          <w:p w14:paraId="4D84C330" w14:textId="77777777" w:rsidR="00AD4404" w:rsidRDefault="00AD4404">
            <w:pPr>
              <w:spacing w:before="0" w:after="0"/>
              <w:rPr>
                <w:rFonts w:ascii="Times New Roman" w:hAnsi="Times New Roman"/>
                <w:szCs w:val="20"/>
              </w:rPr>
            </w:pPr>
          </w:p>
          <w:p w14:paraId="33D52360" w14:textId="2813CB18" w:rsidR="00AD4404" w:rsidRDefault="008563C0">
            <w:pPr>
              <w:spacing w:before="0" w:after="0"/>
              <w:rPr>
                <w:rFonts w:ascii="Times New Roman" w:hAnsi="Times New Roman"/>
                <w:szCs w:val="20"/>
              </w:rPr>
            </w:pPr>
            <w:r>
              <w:rPr>
                <w:rFonts w:ascii="Times New Roman" w:hAnsi="Times New Roman"/>
                <w:szCs w:val="20"/>
              </w:rPr>
              <w:t>La durata originaria media ponderata è calcolata come la durata originaria media (in giorni) del finanziamento concesso dalla controparte. La media è ponderata sulla base dell'entità dei diversi importi del finanziamento concesso dalla controparte in proporzione al finanziamento totale da essa concesso.</w:t>
            </w:r>
          </w:p>
        </w:tc>
      </w:tr>
      <w:tr w:rsidR="00AD4404" w14:paraId="3227884A" w14:textId="77777777" w:rsidTr="005B086D">
        <w:trPr>
          <w:trHeight w:val="460"/>
        </w:trPr>
        <w:tc>
          <w:tcPr>
            <w:tcW w:w="729" w:type="pct"/>
            <w:tcBorders>
              <w:bottom w:val="single" w:sz="4" w:space="0" w:color="auto"/>
            </w:tcBorders>
            <w:shd w:val="clear" w:color="auto" w:fill="auto"/>
            <w:noWrap/>
          </w:tcPr>
          <w:p w14:paraId="298360E3" w14:textId="77777777" w:rsidR="00AD4404"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Durata residua media ponderata</w:t>
            </w:r>
          </w:p>
          <w:p w14:paraId="22E64CDE" w14:textId="77777777" w:rsidR="00AD4404" w:rsidRDefault="00AD4404">
            <w:pPr>
              <w:spacing w:before="0" w:after="0"/>
              <w:rPr>
                <w:rFonts w:ascii="Times New Roman" w:hAnsi="Times New Roman"/>
                <w:b/>
                <w:szCs w:val="20"/>
                <w:u w:val="single"/>
              </w:rPr>
            </w:pPr>
          </w:p>
          <w:p w14:paraId="781FAB46" w14:textId="75715CD7" w:rsidR="00AD4404" w:rsidRDefault="00A344AA" w:rsidP="006F3CFF">
            <w:pPr>
              <w:spacing w:before="0" w:after="0"/>
              <w:rPr>
                <w:rFonts w:ascii="Times New Roman" w:hAnsi="Times New Roman"/>
                <w:szCs w:val="20"/>
              </w:rPr>
            </w:pPr>
            <w:r>
              <w:rPr>
                <w:rFonts w:ascii="Times New Roman" w:hAnsi="Times New Roman"/>
                <w:szCs w:val="20"/>
              </w:rPr>
              <w:t>Per l'importo del finanziamento segnalato nella colonna 060 concesso dalla controparte segnalata nella colonna 010, la durata residua media ponderata (in giorni) del relativo finanziamento è registrata nella colonna 080.</w:t>
            </w:r>
          </w:p>
          <w:p w14:paraId="71FA9955" w14:textId="77777777" w:rsidR="00AD4404" w:rsidRDefault="00AD4404">
            <w:pPr>
              <w:spacing w:before="0" w:after="0"/>
              <w:rPr>
                <w:rFonts w:ascii="Times New Roman" w:hAnsi="Times New Roman"/>
                <w:szCs w:val="20"/>
              </w:rPr>
            </w:pPr>
          </w:p>
          <w:p w14:paraId="4CB0B549" w14:textId="150F8974" w:rsidR="00AD4404" w:rsidRDefault="009C059B">
            <w:pPr>
              <w:spacing w:before="0" w:after="0"/>
              <w:rPr>
                <w:rFonts w:ascii="Times New Roman" w:hAnsi="Times New Roman"/>
                <w:b/>
                <w:szCs w:val="20"/>
                <w:u w:val="single"/>
              </w:rPr>
            </w:pPr>
            <w:r>
              <w:rPr>
                <w:rFonts w:ascii="Times New Roman" w:hAnsi="Times New Roman"/>
                <w:szCs w:val="20"/>
              </w:rPr>
              <w:t>La durata residua media ponderata è calcolata come la durata media (in giorni restanti) del finanziamento concesso dalla controparte. La media è ponderata sulla base dell'entità dei diversi importi del finanziamento concesso dalla controparte in proporzione al finanziamento totale da essa concesso.</w:t>
            </w:r>
          </w:p>
        </w:tc>
      </w:tr>
    </w:tbl>
    <w:p w14:paraId="0520EE98" w14:textId="77777777" w:rsidR="00AD4404"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Concentrazione del finanziamento (funding) per tipo di prodotto (C 68.00)</w:t>
      </w:r>
    </w:p>
    <w:p w14:paraId="5B6DFC15" w14:textId="095CCDBC" w:rsidR="00AD4404" w:rsidRDefault="00A344AA">
      <w:pPr>
        <w:pStyle w:val="InstructionsText2"/>
        <w:numPr>
          <w:ilvl w:val="0"/>
          <w:numId w:val="13"/>
        </w:numPr>
        <w:rPr>
          <w:u w:val="none"/>
        </w:rPr>
      </w:pPr>
      <w:r>
        <w:rPr>
          <w:u w:val="none"/>
        </w:rPr>
        <w:t>Questo modello serve a raccogliere informazioni sulla concentrazione del finanziamento degli enti segnalanti per tipo di prodotto, ripartite per tipo di finanziamento come specificato nelle seguenti istruzioni relative alle righe.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D4404"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AD4404"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Riga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AD4404"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Riferimenti giuridici e istruzioni</w:t>
            </w:r>
          </w:p>
        </w:tc>
      </w:tr>
      <w:tr w:rsidR="00AD4404"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AD4404"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AD4404"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Finanziamento (funding) al dettaglio</w:t>
            </w:r>
          </w:p>
          <w:p w14:paraId="7762E5FB" w14:textId="77777777" w:rsidR="00AD4404" w:rsidRDefault="00AD4404">
            <w:pPr>
              <w:spacing w:before="0" w:after="0"/>
              <w:rPr>
                <w:rFonts w:ascii="Times New Roman" w:hAnsi="Times New Roman"/>
                <w:b/>
                <w:szCs w:val="20"/>
                <w:u w:val="single"/>
              </w:rPr>
            </w:pPr>
          </w:p>
          <w:p w14:paraId="281DC3E6" w14:textId="047B4283" w:rsidR="00AD4404" w:rsidRDefault="00E87A50">
            <w:pPr>
              <w:spacing w:before="0" w:after="0"/>
              <w:rPr>
                <w:szCs w:val="20"/>
              </w:rPr>
            </w:pPr>
            <w:r>
              <w:rPr>
                <w:rFonts w:ascii="Times New Roman" w:hAnsi="Times New Roman"/>
                <w:szCs w:val="20"/>
              </w:rPr>
              <w:t>Depositi al dettaglio come definiti all'articolo 3, punto 8, del regolamento delegato (UE) 2015/61</w:t>
            </w:r>
          </w:p>
          <w:p w14:paraId="18F10FD2" w14:textId="77777777" w:rsidR="00AD4404" w:rsidRDefault="00AD4404">
            <w:pPr>
              <w:spacing w:before="0" w:after="0"/>
              <w:rPr>
                <w:rFonts w:ascii="Times New Roman" w:hAnsi="Times New Roman"/>
                <w:b/>
                <w:szCs w:val="20"/>
                <w:u w:val="single"/>
              </w:rPr>
            </w:pPr>
          </w:p>
        </w:tc>
      </w:tr>
      <w:tr w:rsidR="00AD4404"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AD4404"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AD4404"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di cui depositi a vista</w:t>
            </w:r>
          </w:p>
          <w:p w14:paraId="3D85DAFF" w14:textId="77777777" w:rsidR="00AD4404" w:rsidRDefault="00AD4404">
            <w:pPr>
              <w:spacing w:before="0" w:after="0"/>
              <w:rPr>
                <w:rFonts w:ascii="Times New Roman" w:hAnsi="Times New Roman"/>
                <w:b/>
                <w:szCs w:val="20"/>
                <w:u w:val="single"/>
              </w:rPr>
            </w:pPr>
          </w:p>
          <w:p w14:paraId="6F473929" w14:textId="0E2878E2" w:rsidR="00AD4404" w:rsidRDefault="003439C5">
            <w:pPr>
              <w:spacing w:before="0" w:after="0"/>
              <w:rPr>
                <w:rFonts w:ascii="Times New Roman" w:hAnsi="Times New Roman"/>
                <w:b/>
                <w:szCs w:val="20"/>
                <w:u w:val="single"/>
              </w:rPr>
            </w:pPr>
            <w:r>
              <w:rPr>
                <w:rFonts w:ascii="Times New Roman" w:hAnsi="Times New Roman"/>
                <w:szCs w:val="20"/>
              </w:rPr>
              <w:t>Finanziamento al dettaglio di cui alla riga 010 costituito da depositi a vista.</w:t>
            </w:r>
          </w:p>
        </w:tc>
      </w:tr>
      <w:tr w:rsidR="00AD4404"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AD4404"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AD4404"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di cui depositi a termine non ritirabili entro i 30 giorni successivi</w:t>
            </w:r>
          </w:p>
          <w:p w14:paraId="664C04FE" w14:textId="77777777" w:rsidR="00AD4404" w:rsidRDefault="00AD4404">
            <w:pPr>
              <w:spacing w:before="0" w:after="0"/>
              <w:rPr>
                <w:rFonts w:ascii="Times New Roman" w:hAnsi="Times New Roman"/>
                <w:b/>
                <w:szCs w:val="20"/>
                <w:u w:val="single"/>
              </w:rPr>
            </w:pPr>
          </w:p>
          <w:p w14:paraId="3F7154EA" w14:textId="6CD4F7E9" w:rsidR="00AD4404" w:rsidRDefault="003439C5">
            <w:pPr>
              <w:spacing w:before="0" w:after="0"/>
              <w:rPr>
                <w:rFonts w:ascii="Times New Roman" w:hAnsi="Times New Roman"/>
                <w:b/>
                <w:szCs w:val="20"/>
                <w:u w:val="single"/>
              </w:rPr>
            </w:pPr>
            <w:r>
              <w:rPr>
                <w:rFonts w:ascii="Times New Roman" w:hAnsi="Times New Roman"/>
                <w:szCs w:val="20"/>
              </w:rPr>
              <w:t>Finanziamento al dettaglio di cui alla riga 010 costituito da depositi a termine non ritirabili entro i 30 giorni successivi.</w:t>
            </w:r>
          </w:p>
        </w:tc>
      </w:tr>
      <w:tr w:rsidR="00AD4404" w14:paraId="69E1811C" w14:textId="77777777" w:rsidTr="00D75947">
        <w:trPr>
          <w:trHeight w:val="1020"/>
        </w:trPr>
        <w:tc>
          <w:tcPr>
            <w:tcW w:w="729" w:type="pct"/>
            <w:shd w:val="clear" w:color="auto" w:fill="auto"/>
            <w:noWrap/>
          </w:tcPr>
          <w:p w14:paraId="3DFA3BE5" w14:textId="7508042F" w:rsidR="00AD4404"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AD4404"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di cui depositi a termine ritirabili entro i 30 giorni successivi</w:t>
            </w:r>
          </w:p>
          <w:p w14:paraId="16BCACF7" w14:textId="77777777" w:rsidR="00AD4404" w:rsidRDefault="00AD4404">
            <w:pPr>
              <w:spacing w:before="0" w:after="0"/>
              <w:rPr>
                <w:rFonts w:ascii="Times New Roman" w:hAnsi="Times New Roman"/>
                <w:b/>
                <w:szCs w:val="20"/>
                <w:u w:val="single"/>
              </w:rPr>
            </w:pPr>
          </w:p>
          <w:p w14:paraId="291A1D44" w14:textId="0FAEC826" w:rsidR="00AD4404" w:rsidRDefault="00F40FD4">
            <w:pPr>
              <w:spacing w:before="0" w:after="0"/>
              <w:rPr>
                <w:rFonts w:ascii="Times New Roman" w:hAnsi="Times New Roman"/>
                <w:szCs w:val="20"/>
              </w:rPr>
            </w:pPr>
            <w:r>
              <w:rPr>
                <w:rFonts w:ascii="Times New Roman" w:hAnsi="Times New Roman"/>
                <w:szCs w:val="20"/>
              </w:rPr>
              <w:t>Finanziamento al dettaglio di cui alla riga 010 costituito da depositi a termine ritirabili entro i 30 giorni successivi.</w:t>
            </w:r>
          </w:p>
        </w:tc>
      </w:tr>
      <w:tr w:rsidR="00AD4404" w14:paraId="10740494" w14:textId="77777777" w:rsidTr="00D75947">
        <w:trPr>
          <w:trHeight w:val="1020"/>
        </w:trPr>
        <w:tc>
          <w:tcPr>
            <w:tcW w:w="729" w:type="pct"/>
            <w:shd w:val="clear" w:color="auto" w:fill="auto"/>
            <w:noWrap/>
          </w:tcPr>
          <w:p w14:paraId="0B22ECFC" w14:textId="3166A4D3" w:rsidR="00AD4404"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AD4404"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di cui conti di risparmio con una delle seguenti caratteristiche</w:t>
            </w:r>
          </w:p>
          <w:p w14:paraId="1715A370" w14:textId="77777777" w:rsidR="00AD4404" w:rsidRDefault="00AD4404">
            <w:pPr>
              <w:spacing w:before="0" w:after="0"/>
              <w:rPr>
                <w:rFonts w:ascii="Times New Roman" w:hAnsi="Times New Roman"/>
                <w:b/>
                <w:szCs w:val="20"/>
                <w:u w:val="single"/>
              </w:rPr>
            </w:pPr>
          </w:p>
          <w:p w14:paraId="1F5A77EE" w14:textId="77777777" w:rsidR="00AD4404" w:rsidRDefault="00F40FD4">
            <w:pPr>
              <w:spacing w:before="0" w:after="0"/>
              <w:rPr>
                <w:rFonts w:ascii="Times New Roman" w:hAnsi="Times New Roman"/>
                <w:szCs w:val="20"/>
              </w:rPr>
            </w:pPr>
            <w:r>
              <w:rPr>
                <w:rFonts w:ascii="Times New Roman" w:hAnsi="Times New Roman"/>
                <w:szCs w:val="20"/>
              </w:rPr>
              <w:t>Finanziamento al dettaglio di cui alla riga 010 costituito da conti di risparmio con una delle seguenti caratteristiche:</w:t>
            </w:r>
          </w:p>
          <w:p w14:paraId="7001BAD2" w14:textId="2A97E8F3" w:rsidR="00AD4404" w:rsidRDefault="00F40FD4">
            <w:pPr>
              <w:spacing w:before="0" w:after="0"/>
              <w:rPr>
                <w:rFonts w:ascii="Times New Roman" w:hAnsi="Times New Roman"/>
                <w:szCs w:val="20"/>
              </w:rPr>
            </w:pPr>
            <w:r>
              <w:rPr>
                <w:rFonts w:ascii="Times New Roman" w:hAnsi="Times New Roman"/>
                <w:szCs w:val="20"/>
              </w:rPr>
              <w:t>- con periodo di preavviso superiore a 30 giorni per il ritiro;</w:t>
            </w:r>
          </w:p>
          <w:p w14:paraId="471376E8" w14:textId="6B5CE87D" w:rsidR="00AD4404" w:rsidRDefault="00F40FD4">
            <w:pPr>
              <w:spacing w:before="0" w:after="0"/>
              <w:rPr>
                <w:rFonts w:ascii="Times New Roman" w:hAnsi="Times New Roman"/>
                <w:szCs w:val="20"/>
              </w:rPr>
            </w:pPr>
            <w:r>
              <w:rPr>
                <w:rFonts w:ascii="Times New Roman" w:hAnsi="Times New Roman"/>
                <w:szCs w:val="20"/>
              </w:rPr>
              <w:t xml:space="preserve">- senza periodo di preavviso superiore a 30 giorni per il ritiro. </w:t>
            </w:r>
          </w:p>
          <w:p w14:paraId="73B00647" w14:textId="77777777" w:rsidR="00AD4404" w:rsidRDefault="00AD4404">
            <w:pPr>
              <w:spacing w:before="0" w:after="0"/>
              <w:rPr>
                <w:rFonts w:ascii="Times New Roman" w:hAnsi="Times New Roman"/>
                <w:szCs w:val="20"/>
              </w:rPr>
            </w:pPr>
          </w:p>
          <w:p w14:paraId="393C0E32" w14:textId="77777777" w:rsidR="00AD4404" w:rsidRDefault="00B96DDB">
            <w:pPr>
              <w:spacing w:before="0" w:after="0"/>
              <w:rPr>
                <w:szCs w:val="20"/>
              </w:rPr>
            </w:pPr>
            <w:r>
              <w:rPr>
                <w:rFonts w:ascii="Times New Roman" w:hAnsi="Times New Roman"/>
                <w:szCs w:val="20"/>
              </w:rPr>
              <w:t>Questa riga non deve essere compilata.</w:t>
            </w:r>
          </w:p>
          <w:p w14:paraId="0D6901BA" w14:textId="77777777" w:rsidR="00AD4404" w:rsidRDefault="00AD4404">
            <w:pPr>
              <w:spacing w:before="0" w:after="0"/>
              <w:rPr>
                <w:rFonts w:ascii="Times New Roman" w:hAnsi="Times New Roman"/>
                <w:b/>
                <w:szCs w:val="20"/>
                <w:u w:val="single"/>
              </w:rPr>
            </w:pPr>
          </w:p>
        </w:tc>
      </w:tr>
      <w:tr w:rsidR="00AD4404" w14:paraId="36C0FB22" w14:textId="77777777" w:rsidTr="00D75947">
        <w:trPr>
          <w:trHeight w:val="1020"/>
        </w:trPr>
        <w:tc>
          <w:tcPr>
            <w:tcW w:w="729" w:type="pct"/>
            <w:shd w:val="clear" w:color="auto" w:fill="auto"/>
            <w:noWrap/>
          </w:tcPr>
          <w:p w14:paraId="167C152B" w14:textId="7FCDBA6F" w:rsidR="00AD4404"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AD4404"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con periodo di preavviso superiore a 30 giorni per il ritiro</w:t>
            </w:r>
          </w:p>
          <w:p w14:paraId="2CB5668A" w14:textId="468A8913" w:rsidR="00AD4404" w:rsidRDefault="00F40FD4">
            <w:pPr>
              <w:spacing w:before="0" w:after="0"/>
              <w:rPr>
                <w:rFonts w:ascii="Times New Roman" w:hAnsi="Times New Roman"/>
                <w:szCs w:val="20"/>
              </w:rPr>
            </w:pPr>
            <w:r>
              <w:rPr>
                <w:rFonts w:ascii="Times New Roman" w:hAnsi="Times New Roman"/>
                <w:szCs w:val="20"/>
              </w:rPr>
              <w:t>Finanziamento al dettaglio di cui alla riga 010 costituito da conti di risparmio con periodo di preavviso superiore a 30 giorni per il ritiro.</w:t>
            </w:r>
          </w:p>
          <w:p w14:paraId="3144C832" w14:textId="3416971B" w:rsidR="00AD4404" w:rsidRDefault="00AD4404">
            <w:pPr>
              <w:spacing w:before="0" w:after="0"/>
              <w:rPr>
                <w:rFonts w:ascii="Times New Roman" w:hAnsi="Times New Roman"/>
                <w:b/>
                <w:szCs w:val="20"/>
                <w:u w:val="single"/>
              </w:rPr>
            </w:pPr>
          </w:p>
        </w:tc>
      </w:tr>
      <w:tr w:rsidR="00AD4404" w14:paraId="29C0B503" w14:textId="77777777" w:rsidTr="00D75947">
        <w:trPr>
          <w:trHeight w:val="1020"/>
        </w:trPr>
        <w:tc>
          <w:tcPr>
            <w:tcW w:w="729" w:type="pct"/>
            <w:shd w:val="clear" w:color="auto" w:fill="auto"/>
            <w:noWrap/>
          </w:tcPr>
          <w:p w14:paraId="6665A670" w14:textId="5C7948D3" w:rsidR="00AD4404"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AD4404"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senza periodo di preavviso superiore a 30 giorni per il ritiro</w:t>
            </w:r>
          </w:p>
          <w:p w14:paraId="435A673F" w14:textId="77777777" w:rsidR="00AD4404" w:rsidRDefault="00AD4404">
            <w:pPr>
              <w:spacing w:before="0" w:after="0"/>
              <w:rPr>
                <w:rFonts w:ascii="Times New Roman" w:hAnsi="Times New Roman"/>
                <w:b/>
                <w:szCs w:val="20"/>
                <w:u w:val="single"/>
              </w:rPr>
            </w:pPr>
          </w:p>
          <w:p w14:paraId="1B1078F3" w14:textId="218E6A80" w:rsidR="00AD4404" w:rsidRDefault="00F40FD4">
            <w:pPr>
              <w:spacing w:before="0" w:after="0"/>
              <w:rPr>
                <w:rFonts w:ascii="Times New Roman" w:hAnsi="Times New Roman"/>
                <w:szCs w:val="20"/>
              </w:rPr>
            </w:pPr>
            <w:r>
              <w:rPr>
                <w:rFonts w:ascii="Times New Roman" w:hAnsi="Times New Roman"/>
                <w:szCs w:val="20"/>
              </w:rPr>
              <w:t>Finanziamento al dettaglio di cui alla riga 010 costituito da conti di risparmio senza periodo di preavviso superiore a 30 giorni per il ritiro.</w:t>
            </w:r>
          </w:p>
          <w:p w14:paraId="64AF0787" w14:textId="77777777" w:rsidR="00AD4404" w:rsidRDefault="00AD4404">
            <w:pPr>
              <w:spacing w:before="0" w:after="0"/>
              <w:rPr>
                <w:rFonts w:ascii="Times New Roman" w:hAnsi="Times New Roman"/>
                <w:b/>
                <w:szCs w:val="20"/>
                <w:u w:val="single"/>
              </w:rPr>
            </w:pPr>
          </w:p>
        </w:tc>
      </w:tr>
      <w:tr w:rsidR="00AD4404" w14:paraId="3EAE3ABC" w14:textId="77777777" w:rsidTr="00D75947">
        <w:trPr>
          <w:trHeight w:val="1020"/>
        </w:trPr>
        <w:tc>
          <w:tcPr>
            <w:tcW w:w="729" w:type="pct"/>
            <w:shd w:val="clear" w:color="auto" w:fill="auto"/>
            <w:noWrap/>
          </w:tcPr>
          <w:p w14:paraId="45013687" w14:textId="7E7DAB46" w:rsidR="00AD4404"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AD4404"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Finanziamento (funding) all'ingrosso: costituito da quanto segue:</w:t>
            </w:r>
          </w:p>
          <w:p w14:paraId="44C69ED7" w14:textId="77777777" w:rsidR="00AD4404" w:rsidRDefault="00AD4404">
            <w:pPr>
              <w:spacing w:before="0" w:after="0"/>
              <w:rPr>
                <w:rFonts w:ascii="Times New Roman" w:hAnsi="Times New Roman"/>
                <w:b/>
                <w:szCs w:val="20"/>
                <w:u w:val="single"/>
              </w:rPr>
            </w:pPr>
          </w:p>
          <w:p w14:paraId="2A1113B0" w14:textId="2BCCD9C5" w:rsidR="00AD4404" w:rsidRDefault="006624FA">
            <w:pPr>
              <w:spacing w:before="0" w:after="0"/>
              <w:rPr>
                <w:rFonts w:ascii="Times New Roman" w:hAnsi="Times New Roman"/>
                <w:szCs w:val="20"/>
              </w:rPr>
            </w:pPr>
            <w:r>
              <w:rPr>
                <w:rFonts w:ascii="Times New Roman" w:hAnsi="Times New Roman"/>
                <w:szCs w:val="20"/>
              </w:rPr>
              <w:t xml:space="preserve">Tutti i finanziamenti ove le controparti sono diverse da quelle dei depositi al dettaglio come definiti all'articolo 3, punto 8, del regolamento delegato (UE) 2015/61.  </w:t>
            </w:r>
          </w:p>
          <w:p w14:paraId="70E19694" w14:textId="77777777" w:rsidR="00AD4404" w:rsidRDefault="00AD4404">
            <w:pPr>
              <w:spacing w:before="0" w:after="0"/>
              <w:rPr>
                <w:rFonts w:ascii="Times New Roman" w:hAnsi="Times New Roman"/>
                <w:szCs w:val="20"/>
              </w:rPr>
            </w:pPr>
          </w:p>
          <w:p w14:paraId="195A99EA" w14:textId="4C20BC3D" w:rsidR="00AD4404" w:rsidRDefault="00D75947">
            <w:pPr>
              <w:spacing w:before="0" w:after="0"/>
              <w:rPr>
                <w:szCs w:val="20"/>
              </w:rPr>
            </w:pPr>
            <w:r>
              <w:rPr>
                <w:rFonts w:ascii="Times New Roman" w:hAnsi="Times New Roman"/>
                <w:szCs w:val="20"/>
              </w:rPr>
              <w:t>Questa riga non deve essere compilata.</w:t>
            </w:r>
          </w:p>
          <w:p w14:paraId="5A95C4DD" w14:textId="50C842AE" w:rsidR="00AD4404" w:rsidRDefault="00AD4404">
            <w:pPr>
              <w:spacing w:before="0" w:after="0"/>
              <w:rPr>
                <w:rFonts w:ascii="Times New Roman" w:hAnsi="Times New Roman"/>
                <w:b/>
                <w:szCs w:val="20"/>
                <w:u w:val="single"/>
              </w:rPr>
            </w:pPr>
          </w:p>
        </w:tc>
      </w:tr>
      <w:tr w:rsidR="00AD4404" w14:paraId="0F613C49" w14:textId="77777777" w:rsidTr="00D75947">
        <w:trPr>
          <w:trHeight w:val="1020"/>
        </w:trPr>
        <w:tc>
          <w:tcPr>
            <w:tcW w:w="729" w:type="pct"/>
            <w:shd w:val="clear" w:color="auto" w:fill="auto"/>
            <w:noWrap/>
          </w:tcPr>
          <w:p w14:paraId="4517EFDE" w14:textId="7DD7A036" w:rsidR="00AD4404"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AD4404"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finanziamento all'ingrosso non garantito</w:t>
            </w:r>
          </w:p>
          <w:p w14:paraId="08EF0039" w14:textId="77777777" w:rsidR="00AD4404" w:rsidRDefault="00AD4404">
            <w:pPr>
              <w:spacing w:before="0" w:after="0"/>
              <w:rPr>
                <w:rFonts w:ascii="Times New Roman" w:hAnsi="Times New Roman"/>
                <w:b/>
                <w:szCs w:val="20"/>
                <w:u w:val="single"/>
              </w:rPr>
            </w:pPr>
          </w:p>
          <w:p w14:paraId="765487C0" w14:textId="44FBCA3A" w:rsidR="00AD4404" w:rsidRDefault="00AD3ACF">
            <w:pPr>
              <w:spacing w:before="0" w:after="0"/>
              <w:rPr>
                <w:szCs w:val="20"/>
              </w:rPr>
            </w:pPr>
            <w:r>
              <w:rPr>
                <w:rFonts w:ascii="Times New Roman" w:hAnsi="Times New Roman"/>
                <w:szCs w:val="20"/>
              </w:rPr>
              <w:t>Tutti i finanziamenti ove le controparti sono diverse da quelle dei depositi al dettaglio come definiti all'articolo 3, punto 8, del regolamento delegato (UE) 2015/61 e che non sono garantiti.</w:t>
            </w:r>
          </w:p>
          <w:p w14:paraId="4259F037" w14:textId="77777777" w:rsidR="00AD4404" w:rsidRDefault="00AD4404">
            <w:pPr>
              <w:spacing w:before="0" w:after="0"/>
              <w:rPr>
                <w:rFonts w:ascii="Times New Roman" w:hAnsi="Times New Roman"/>
                <w:b/>
                <w:szCs w:val="20"/>
                <w:u w:val="single"/>
              </w:rPr>
            </w:pPr>
          </w:p>
        </w:tc>
      </w:tr>
      <w:tr w:rsidR="00AD4404" w14:paraId="53E051F8" w14:textId="77777777" w:rsidTr="00D75947">
        <w:trPr>
          <w:trHeight w:val="1020"/>
        </w:trPr>
        <w:tc>
          <w:tcPr>
            <w:tcW w:w="729" w:type="pct"/>
            <w:shd w:val="clear" w:color="auto" w:fill="auto"/>
            <w:noWrap/>
          </w:tcPr>
          <w:p w14:paraId="6B94D89A" w14:textId="75267786" w:rsidR="00AD4404" w:rsidRDefault="00DD136C">
            <w:pPr>
              <w:spacing w:before="0" w:after="0"/>
              <w:jc w:val="left"/>
              <w:rPr>
                <w:rFonts w:ascii="Times New Roman" w:hAnsi="Times New Roman"/>
                <w:color w:val="000000"/>
                <w:szCs w:val="20"/>
              </w:rPr>
            </w:pPr>
            <w:r>
              <w:rPr>
                <w:rFonts w:ascii="Times New Roman" w:hAnsi="Times New Roman"/>
                <w:szCs w:val="20"/>
              </w:rPr>
              <w:lastRenderedPageBreak/>
              <w:t>120</w:t>
            </w:r>
          </w:p>
        </w:tc>
        <w:tc>
          <w:tcPr>
            <w:tcW w:w="4271" w:type="pct"/>
            <w:shd w:val="clear" w:color="auto" w:fill="auto"/>
          </w:tcPr>
          <w:p w14:paraId="6C6FDC97" w14:textId="596DF847" w:rsidR="00AD4404"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di cui prestiti e depositi da clienti finanziari</w:t>
            </w:r>
          </w:p>
          <w:p w14:paraId="3BB695C9" w14:textId="77777777" w:rsidR="00AD4404" w:rsidRDefault="00AD4404">
            <w:pPr>
              <w:spacing w:before="0" w:after="0"/>
              <w:rPr>
                <w:rFonts w:ascii="Times New Roman" w:hAnsi="Times New Roman"/>
                <w:b/>
                <w:szCs w:val="20"/>
                <w:u w:val="single"/>
              </w:rPr>
            </w:pPr>
          </w:p>
          <w:p w14:paraId="0788F5FB" w14:textId="3CF5EEE5" w:rsidR="00AD4404" w:rsidRDefault="00AD3ACF">
            <w:pPr>
              <w:spacing w:before="0" w:after="0"/>
              <w:rPr>
                <w:rFonts w:ascii="Times New Roman" w:hAnsi="Times New Roman"/>
                <w:szCs w:val="20"/>
              </w:rPr>
            </w:pPr>
            <w:r>
              <w:rPr>
                <w:rFonts w:ascii="Times New Roman" w:hAnsi="Times New Roman"/>
                <w:szCs w:val="20"/>
              </w:rPr>
              <w:t>Finanziamento di cui alla riga 110 costituito da prestiti e depositi da clienti finanziari.</w:t>
            </w:r>
          </w:p>
          <w:p w14:paraId="1EBF28E1" w14:textId="77777777" w:rsidR="00AD4404" w:rsidRDefault="00AD4404">
            <w:pPr>
              <w:spacing w:before="0" w:after="0"/>
              <w:rPr>
                <w:rFonts w:ascii="Times New Roman" w:hAnsi="Times New Roman"/>
                <w:szCs w:val="20"/>
              </w:rPr>
            </w:pPr>
          </w:p>
          <w:p w14:paraId="268FF204" w14:textId="60AA5C50" w:rsidR="00AD4404" w:rsidRDefault="00D75947">
            <w:pPr>
              <w:spacing w:before="0" w:after="0"/>
              <w:rPr>
                <w:rFonts w:ascii="Times New Roman" w:hAnsi="Times New Roman"/>
                <w:szCs w:val="20"/>
              </w:rPr>
            </w:pPr>
            <w:r>
              <w:rPr>
                <w:rFonts w:ascii="Times New Roman" w:hAnsi="Times New Roman"/>
                <w:szCs w:val="20"/>
              </w:rPr>
              <w:t xml:space="preserve">Il finanziamento da banche centrali è escluso da questa riga. </w:t>
            </w:r>
          </w:p>
          <w:p w14:paraId="4846816F" w14:textId="4CB99B55" w:rsidR="00AD4404" w:rsidRDefault="00AD4404">
            <w:pPr>
              <w:spacing w:before="0" w:after="0"/>
              <w:rPr>
                <w:rFonts w:ascii="Times New Roman" w:hAnsi="Times New Roman"/>
                <w:b/>
                <w:szCs w:val="20"/>
                <w:u w:val="single"/>
              </w:rPr>
            </w:pPr>
          </w:p>
        </w:tc>
      </w:tr>
      <w:tr w:rsidR="00AD4404" w14:paraId="63BC41F1" w14:textId="77777777" w:rsidTr="00D75947">
        <w:trPr>
          <w:trHeight w:val="1020"/>
        </w:trPr>
        <w:tc>
          <w:tcPr>
            <w:tcW w:w="729" w:type="pct"/>
            <w:shd w:val="clear" w:color="auto" w:fill="auto"/>
            <w:noWrap/>
          </w:tcPr>
          <w:p w14:paraId="7837B5F4" w14:textId="08872ADF" w:rsidR="00AD4404"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AD4404"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di cui prestiti e depositi da clienti non finanziari</w:t>
            </w:r>
          </w:p>
          <w:p w14:paraId="02E65316" w14:textId="77777777" w:rsidR="00AD4404" w:rsidRDefault="00AD4404">
            <w:pPr>
              <w:spacing w:before="0" w:after="0"/>
              <w:rPr>
                <w:rFonts w:ascii="Times New Roman" w:hAnsi="Times New Roman"/>
                <w:b/>
                <w:szCs w:val="20"/>
                <w:u w:val="single"/>
              </w:rPr>
            </w:pPr>
          </w:p>
          <w:p w14:paraId="6E637B97" w14:textId="1F384B1E" w:rsidR="00AD4404" w:rsidRDefault="00AD3ACF">
            <w:pPr>
              <w:spacing w:before="0" w:after="0"/>
              <w:rPr>
                <w:rFonts w:ascii="Times New Roman" w:hAnsi="Times New Roman"/>
                <w:szCs w:val="20"/>
              </w:rPr>
            </w:pPr>
            <w:r>
              <w:rPr>
                <w:rFonts w:ascii="Times New Roman" w:hAnsi="Times New Roman"/>
                <w:szCs w:val="20"/>
              </w:rPr>
              <w:t>Finanziamento di cui alla riga 110 costituito da prestiti e depositi da clienti non finanziari.</w:t>
            </w:r>
          </w:p>
          <w:p w14:paraId="4A6E9ABD" w14:textId="77777777" w:rsidR="00AD4404" w:rsidRDefault="00AD4404">
            <w:pPr>
              <w:spacing w:before="0" w:after="0"/>
              <w:rPr>
                <w:rFonts w:ascii="Times New Roman" w:hAnsi="Times New Roman"/>
                <w:szCs w:val="20"/>
              </w:rPr>
            </w:pPr>
          </w:p>
          <w:p w14:paraId="1033118A" w14:textId="655EE402" w:rsidR="00AD4404" w:rsidRDefault="00D75947">
            <w:pPr>
              <w:spacing w:before="0" w:after="0"/>
              <w:rPr>
                <w:rFonts w:ascii="Times New Roman" w:hAnsi="Times New Roman"/>
                <w:szCs w:val="20"/>
              </w:rPr>
            </w:pPr>
            <w:r>
              <w:rPr>
                <w:rFonts w:ascii="Times New Roman" w:hAnsi="Times New Roman"/>
                <w:szCs w:val="20"/>
              </w:rPr>
              <w:t>Il finanziamento da banche centrali è escluso da questa riga.</w:t>
            </w:r>
          </w:p>
          <w:p w14:paraId="0C4C3C91" w14:textId="4533C6EE" w:rsidR="00AD4404" w:rsidRDefault="00AD4404">
            <w:pPr>
              <w:spacing w:before="0" w:after="0"/>
              <w:rPr>
                <w:rFonts w:ascii="Times New Roman" w:hAnsi="Times New Roman"/>
                <w:b/>
                <w:szCs w:val="20"/>
                <w:u w:val="single"/>
              </w:rPr>
            </w:pPr>
          </w:p>
        </w:tc>
      </w:tr>
      <w:tr w:rsidR="00AD4404" w14:paraId="445F9D74" w14:textId="77777777" w:rsidTr="00D75947">
        <w:trPr>
          <w:trHeight w:val="1020"/>
        </w:trPr>
        <w:tc>
          <w:tcPr>
            <w:tcW w:w="729" w:type="pct"/>
            <w:shd w:val="clear" w:color="auto" w:fill="auto"/>
            <w:noWrap/>
          </w:tcPr>
          <w:p w14:paraId="6F6E6B72" w14:textId="51559B88" w:rsidR="00AD4404"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AD4404"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di cui prestiti e depositi da entità infragruppo</w:t>
            </w:r>
          </w:p>
          <w:p w14:paraId="19D87853" w14:textId="77777777" w:rsidR="00AD4404" w:rsidRDefault="00AD4404">
            <w:pPr>
              <w:spacing w:before="0" w:after="0"/>
              <w:rPr>
                <w:rFonts w:ascii="Times New Roman" w:hAnsi="Times New Roman"/>
                <w:szCs w:val="20"/>
              </w:rPr>
            </w:pPr>
          </w:p>
          <w:p w14:paraId="1FDA6EC6" w14:textId="6EA4ADBF" w:rsidR="00AD4404" w:rsidRDefault="00AD3ACF">
            <w:pPr>
              <w:spacing w:before="0" w:after="0"/>
              <w:rPr>
                <w:rFonts w:ascii="Times New Roman" w:hAnsi="Times New Roman"/>
                <w:szCs w:val="20"/>
              </w:rPr>
            </w:pPr>
            <w:r>
              <w:rPr>
                <w:rFonts w:ascii="Times New Roman" w:hAnsi="Times New Roman"/>
                <w:szCs w:val="20"/>
              </w:rPr>
              <w:t>Finanziamento di cui alla riga 110 costituito da prestiti e depositi da entità infragruppo.</w:t>
            </w:r>
          </w:p>
          <w:p w14:paraId="2FC0AC9F" w14:textId="77777777" w:rsidR="00AD4404" w:rsidRDefault="00AD4404">
            <w:pPr>
              <w:spacing w:before="0" w:after="0"/>
              <w:rPr>
                <w:rFonts w:ascii="Times New Roman" w:hAnsi="Times New Roman"/>
                <w:szCs w:val="20"/>
              </w:rPr>
            </w:pPr>
          </w:p>
          <w:p w14:paraId="7A1CF7E9" w14:textId="13D494D6" w:rsidR="00AD4404" w:rsidRDefault="00274EE9">
            <w:pPr>
              <w:spacing w:before="0" w:after="0"/>
              <w:rPr>
                <w:rFonts w:ascii="Times New Roman" w:hAnsi="Times New Roman"/>
                <w:b/>
                <w:szCs w:val="20"/>
                <w:u w:val="single"/>
              </w:rPr>
            </w:pPr>
            <w:r>
              <w:rPr>
                <w:rFonts w:ascii="Times New Roman" w:hAnsi="Times New Roman"/>
                <w:szCs w:val="20"/>
              </w:rPr>
              <w:t>Il finanziamento all'ingrosso da entità infragruppo è segnalato solo su base individuale o subconsolidata.</w:t>
            </w:r>
          </w:p>
        </w:tc>
      </w:tr>
      <w:tr w:rsidR="00AD4404" w14:paraId="658E2622" w14:textId="77777777" w:rsidTr="00D75947">
        <w:trPr>
          <w:trHeight w:val="1020"/>
        </w:trPr>
        <w:tc>
          <w:tcPr>
            <w:tcW w:w="729" w:type="pct"/>
            <w:shd w:val="clear" w:color="auto" w:fill="auto"/>
            <w:noWrap/>
          </w:tcPr>
          <w:p w14:paraId="1089A569" w14:textId="39FA57DE" w:rsidR="00AD4404"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AD4404"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finanziamento all'ingrosso garantito </w:t>
            </w:r>
          </w:p>
          <w:p w14:paraId="4AE66107" w14:textId="77777777" w:rsidR="00AD4404" w:rsidRDefault="00AD4404">
            <w:pPr>
              <w:spacing w:before="0" w:after="0"/>
              <w:rPr>
                <w:rFonts w:ascii="Times New Roman" w:hAnsi="Times New Roman"/>
                <w:szCs w:val="20"/>
              </w:rPr>
            </w:pPr>
          </w:p>
          <w:p w14:paraId="235C9947" w14:textId="133A7734" w:rsidR="00AD4404" w:rsidRDefault="00274EE9">
            <w:pPr>
              <w:spacing w:before="0" w:after="0"/>
              <w:rPr>
                <w:szCs w:val="20"/>
              </w:rPr>
            </w:pPr>
            <w:r>
              <w:rPr>
                <w:rFonts w:ascii="Times New Roman" w:hAnsi="Times New Roman"/>
                <w:szCs w:val="20"/>
              </w:rPr>
              <w:t>Tutti i finanziamenti ove le controparti sono diverse da quelle dei depositi al dettaglio come definiti all'articolo 3, punto 8, del regolamento delegato (UE) 2015/61 e che sono garantiti.</w:t>
            </w:r>
          </w:p>
          <w:p w14:paraId="0B9B72C2" w14:textId="273E7D60" w:rsidR="00AD4404" w:rsidRDefault="00AD4404">
            <w:pPr>
              <w:spacing w:before="0" w:after="0"/>
              <w:rPr>
                <w:rFonts w:ascii="Times New Roman" w:hAnsi="Times New Roman"/>
                <w:b/>
                <w:szCs w:val="20"/>
                <w:u w:val="single"/>
              </w:rPr>
            </w:pPr>
          </w:p>
        </w:tc>
      </w:tr>
      <w:tr w:rsidR="00AD4404" w14:paraId="2EB68234" w14:textId="77777777" w:rsidTr="00D75947">
        <w:trPr>
          <w:trHeight w:val="1020"/>
        </w:trPr>
        <w:tc>
          <w:tcPr>
            <w:tcW w:w="729" w:type="pct"/>
            <w:shd w:val="clear" w:color="auto" w:fill="auto"/>
            <w:noWrap/>
          </w:tcPr>
          <w:p w14:paraId="62D3C328" w14:textId="1D97D2A1" w:rsidR="00AD4404"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AD4404"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di cui SFT</w:t>
            </w:r>
          </w:p>
          <w:p w14:paraId="07691F9D" w14:textId="77777777" w:rsidR="00AD4404" w:rsidRDefault="00AD4404">
            <w:pPr>
              <w:spacing w:before="0" w:after="0"/>
              <w:rPr>
                <w:rFonts w:ascii="Times New Roman" w:hAnsi="Times New Roman"/>
                <w:szCs w:val="20"/>
              </w:rPr>
            </w:pPr>
          </w:p>
          <w:p w14:paraId="56E76DB8" w14:textId="0CB7D3CF" w:rsidR="00AD4404" w:rsidRDefault="00274EE9">
            <w:pPr>
              <w:spacing w:before="0" w:after="0"/>
              <w:rPr>
                <w:szCs w:val="20"/>
              </w:rPr>
            </w:pPr>
            <w:r>
              <w:rPr>
                <w:rFonts w:ascii="Times New Roman" w:hAnsi="Times New Roman"/>
                <w:szCs w:val="20"/>
              </w:rPr>
              <w:t>Finanziamento di cui alla riga 150 costituito da finanziamento ottenuto mediante contratti di vendita con patto di riacquisto come definiti all'articolo 4, paragrafo 1, punto 82, del regolamento (UE) n. 575/2013.</w:t>
            </w:r>
          </w:p>
          <w:p w14:paraId="70F2D3DC" w14:textId="6524FC14" w:rsidR="00AD4404" w:rsidRDefault="00AD4404">
            <w:pPr>
              <w:spacing w:before="0" w:after="0"/>
              <w:rPr>
                <w:rFonts w:ascii="Times New Roman" w:hAnsi="Times New Roman"/>
                <w:b/>
                <w:szCs w:val="20"/>
                <w:u w:val="single"/>
              </w:rPr>
            </w:pPr>
          </w:p>
        </w:tc>
      </w:tr>
      <w:tr w:rsidR="00AD4404" w14:paraId="1B268195" w14:textId="77777777" w:rsidTr="00D75947">
        <w:trPr>
          <w:trHeight w:val="1020"/>
        </w:trPr>
        <w:tc>
          <w:tcPr>
            <w:tcW w:w="729" w:type="pct"/>
            <w:shd w:val="clear" w:color="auto" w:fill="auto"/>
            <w:noWrap/>
          </w:tcPr>
          <w:p w14:paraId="636EECA5" w14:textId="495BD9D1" w:rsidR="00AD4404"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AD4404"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di cui emissioni di obbligazioni garantite</w:t>
            </w:r>
          </w:p>
          <w:p w14:paraId="00F0B9AC" w14:textId="77777777" w:rsidR="00AD4404" w:rsidRDefault="00AD4404">
            <w:pPr>
              <w:spacing w:before="0" w:after="0"/>
              <w:rPr>
                <w:rFonts w:ascii="Times New Roman" w:hAnsi="Times New Roman"/>
                <w:b/>
                <w:szCs w:val="20"/>
                <w:u w:val="single"/>
              </w:rPr>
            </w:pPr>
          </w:p>
          <w:p w14:paraId="31797266" w14:textId="518D9EF6" w:rsidR="00AD4404" w:rsidRDefault="00274EE9">
            <w:pPr>
              <w:spacing w:before="0" w:after="0"/>
              <w:rPr>
                <w:rFonts w:ascii="Times New Roman" w:hAnsi="Times New Roman"/>
                <w:b/>
                <w:szCs w:val="20"/>
                <w:u w:val="single"/>
              </w:rPr>
            </w:pPr>
            <w:r>
              <w:rPr>
                <w:rFonts w:ascii="Times New Roman" w:hAnsi="Times New Roman"/>
                <w:szCs w:val="20"/>
              </w:rPr>
              <w:t>Finanziamento di cui alla riga 150 costituito da finanziamento ottenuto mediante l'emissione di obbligazioni garantite di cui all'articolo 129, paragrafo 4 o 5, del regolamento (UE) n. 575/2013 o all'articolo 52, paragrafo 4, della direttiva 2009/65/CE.</w:t>
            </w:r>
          </w:p>
        </w:tc>
      </w:tr>
      <w:tr w:rsidR="00AD4404" w14:paraId="03D91A24" w14:textId="77777777" w:rsidTr="00D75947">
        <w:trPr>
          <w:trHeight w:val="1020"/>
        </w:trPr>
        <w:tc>
          <w:tcPr>
            <w:tcW w:w="729" w:type="pct"/>
            <w:shd w:val="clear" w:color="auto" w:fill="auto"/>
            <w:noWrap/>
          </w:tcPr>
          <w:p w14:paraId="66BC9574" w14:textId="666BAE99" w:rsidR="00AD4404"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AD4404"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di cui emissioni di titoli garantiti da attività (ABS)</w:t>
            </w:r>
          </w:p>
          <w:p w14:paraId="38626DC8" w14:textId="77777777" w:rsidR="00AD4404" w:rsidRDefault="00AD4404">
            <w:pPr>
              <w:spacing w:before="0" w:after="0"/>
              <w:rPr>
                <w:rFonts w:ascii="Times New Roman" w:hAnsi="Times New Roman"/>
                <w:b/>
                <w:szCs w:val="20"/>
                <w:u w:val="single"/>
              </w:rPr>
            </w:pPr>
          </w:p>
          <w:p w14:paraId="6BBE6FEF" w14:textId="6925438E" w:rsidR="00AD4404" w:rsidRDefault="00274EE9">
            <w:pPr>
              <w:spacing w:before="0" w:after="0"/>
              <w:rPr>
                <w:rFonts w:ascii="Times New Roman" w:hAnsi="Times New Roman"/>
                <w:b/>
                <w:szCs w:val="20"/>
                <w:u w:val="single"/>
              </w:rPr>
            </w:pPr>
            <w:r>
              <w:rPr>
                <w:rFonts w:ascii="Times New Roman" w:hAnsi="Times New Roman"/>
                <w:szCs w:val="20"/>
              </w:rPr>
              <w:t>Finanziamento di cui alla riga 150 costituito da finanziamento ottenuto mediante emissione di titoli garantiti da attività, tra cui commercial paper garantiti da attività.</w:t>
            </w:r>
          </w:p>
        </w:tc>
      </w:tr>
      <w:tr w:rsidR="00AD4404" w14:paraId="597FCB34" w14:textId="77777777" w:rsidTr="00D75947">
        <w:trPr>
          <w:trHeight w:val="1020"/>
        </w:trPr>
        <w:tc>
          <w:tcPr>
            <w:tcW w:w="729" w:type="pct"/>
            <w:shd w:val="clear" w:color="auto" w:fill="auto"/>
            <w:noWrap/>
          </w:tcPr>
          <w:p w14:paraId="4E4276DD" w14:textId="58CFA0DA" w:rsidR="00AD4404"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AD4404"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di cui prestiti e depositi da entità infragruppo</w:t>
            </w:r>
          </w:p>
          <w:p w14:paraId="39B4FABF" w14:textId="77777777" w:rsidR="00AD4404" w:rsidRDefault="00AD4404">
            <w:pPr>
              <w:spacing w:before="0" w:after="0"/>
              <w:rPr>
                <w:rFonts w:ascii="Times New Roman" w:hAnsi="Times New Roman"/>
                <w:b/>
                <w:szCs w:val="20"/>
                <w:u w:val="single"/>
              </w:rPr>
            </w:pPr>
          </w:p>
          <w:p w14:paraId="10DC82D6" w14:textId="4C84568F" w:rsidR="00AD4404" w:rsidRDefault="00274EE9">
            <w:pPr>
              <w:spacing w:before="0" w:after="0"/>
              <w:rPr>
                <w:rFonts w:ascii="Times New Roman" w:hAnsi="Times New Roman"/>
                <w:szCs w:val="20"/>
              </w:rPr>
            </w:pPr>
            <w:r>
              <w:rPr>
                <w:rFonts w:ascii="Times New Roman" w:hAnsi="Times New Roman"/>
                <w:szCs w:val="20"/>
              </w:rPr>
              <w:t>Finanziamento di cui alla riga 150 costituito da finanziamento ottenuto da entità infragruppo.</w:t>
            </w:r>
          </w:p>
          <w:p w14:paraId="7693FB65" w14:textId="77777777" w:rsidR="00AD4404" w:rsidRDefault="00AD4404">
            <w:pPr>
              <w:spacing w:before="0" w:after="0"/>
              <w:rPr>
                <w:rFonts w:ascii="Times New Roman" w:hAnsi="Times New Roman"/>
                <w:szCs w:val="20"/>
              </w:rPr>
            </w:pPr>
          </w:p>
          <w:p w14:paraId="2A9F2247" w14:textId="77777777" w:rsidR="00AD4404" w:rsidRDefault="00274EE9">
            <w:pPr>
              <w:spacing w:before="0" w:after="0"/>
              <w:rPr>
                <w:rFonts w:ascii="Times New Roman" w:hAnsi="Times New Roman"/>
                <w:szCs w:val="20"/>
              </w:rPr>
            </w:pPr>
            <w:r>
              <w:rPr>
                <w:rFonts w:ascii="Times New Roman" w:hAnsi="Times New Roman"/>
                <w:szCs w:val="20"/>
              </w:rPr>
              <w:t>Il finanziamento all'ingrosso da entità infragruppo è segnalato solo su base individuale o subconsolidata.</w:t>
            </w:r>
          </w:p>
          <w:p w14:paraId="66D6CCE8" w14:textId="326011FF" w:rsidR="00AD4404" w:rsidRDefault="00AD4404">
            <w:pPr>
              <w:spacing w:before="0" w:after="0"/>
              <w:rPr>
                <w:rFonts w:ascii="Times New Roman" w:hAnsi="Times New Roman"/>
                <w:b/>
                <w:szCs w:val="20"/>
                <w:u w:val="single"/>
              </w:rPr>
            </w:pPr>
          </w:p>
        </w:tc>
      </w:tr>
    </w:tbl>
    <w:p w14:paraId="7D6D2F2B" w14:textId="77777777" w:rsidR="00AD4404" w:rsidRDefault="00AD4404">
      <w:pPr>
        <w:pStyle w:val="InstructionsText2"/>
        <w:numPr>
          <w:ilvl w:val="0"/>
          <w:numId w:val="0"/>
        </w:numPr>
        <w:ind w:left="714"/>
      </w:pPr>
    </w:p>
    <w:p w14:paraId="6D82C3A1" w14:textId="0ED78878" w:rsidR="00AD4404" w:rsidRDefault="00A344AA">
      <w:pPr>
        <w:pStyle w:val="InstructionsText2"/>
        <w:numPr>
          <w:ilvl w:val="0"/>
          <w:numId w:val="13"/>
        </w:numPr>
        <w:rPr>
          <w:u w:val="none"/>
        </w:rPr>
      </w:pPr>
      <w:r>
        <w:rPr>
          <w:u w:val="none"/>
        </w:rPr>
        <w:t xml:space="preserve">Ai fini della compilazione del presente modello, gli enti segnalano l'importo totale del finanziamento ricevuto per ciascun tipo di prodotto che supera la soglia dell'1 % delle passività totali. </w:t>
      </w:r>
    </w:p>
    <w:p w14:paraId="4C97EC73" w14:textId="5A096FC4" w:rsidR="00AD4404" w:rsidRDefault="00A344AA">
      <w:pPr>
        <w:pStyle w:val="InstructionsText2"/>
        <w:numPr>
          <w:ilvl w:val="0"/>
          <w:numId w:val="13"/>
        </w:numPr>
        <w:rPr>
          <w:u w:val="none"/>
        </w:rPr>
      </w:pPr>
      <w:r>
        <w:rPr>
          <w:u w:val="none"/>
        </w:rPr>
        <w:t>Per ogni tipo di prodotto gli enti completano tutte le colonne da 010 a 050.</w:t>
      </w:r>
    </w:p>
    <w:p w14:paraId="2BCBF128" w14:textId="4AA518CD" w:rsidR="00AD4404" w:rsidRDefault="00A344AA">
      <w:pPr>
        <w:pStyle w:val="InstructionsText2"/>
        <w:numPr>
          <w:ilvl w:val="0"/>
          <w:numId w:val="13"/>
        </w:numPr>
        <w:rPr>
          <w:u w:val="none"/>
        </w:rPr>
      </w:pPr>
      <w:r>
        <w:rPr>
          <w:u w:val="none"/>
        </w:rPr>
        <w:t>La soglia dell'1 % delle passività totali è utilizzata per determinare conformemente a quanto segue i tipi di prodotti con i quali è stato ottenuto il finanziamento:</w:t>
      </w:r>
    </w:p>
    <w:p w14:paraId="3AF457D4" w14:textId="41D0DF36" w:rsidR="00AD4404" w:rsidRDefault="00EF0ADB">
      <w:pPr>
        <w:pStyle w:val="InstructionsText2"/>
        <w:numPr>
          <w:ilvl w:val="0"/>
          <w:numId w:val="0"/>
        </w:numPr>
        <w:ind w:left="1134" w:hanging="420"/>
        <w:rPr>
          <w:u w:val="none"/>
        </w:rPr>
      </w:pPr>
      <w:r>
        <w:rPr>
          <w:u w:val="none"/>
        </w:rPr>
        <w:lastRenderedPageBreak/>
        <w:t>a)</w:t>
      </w:r>
      <w:r>
        <w:rPr>
          <w:u w:val="none"/>
        </w:rPr>
        <w:tab/>
        <w:t>la soglia dell'1 % delle passività totali è applicata a tutti i tipi di prodotti di cui alle righe seguenti: 1.1 "depositi a vista"; 1.2 "depositi a termine non ritirabili entro i 30 giorni successivi</w:t>
      </w:r>
      <w:bookmarkStart w:id="0" w:name="_GoBack"/>
      <w:r>
        <w:rPr>
          <w:u w:val="none"/>
        </w:rPr>
        <w:t>"</w:t>
      </w:r>
      <w:bookmarkEnd w:id="0"/>
      <w:r>
        <w:rPr>
          <w:u w:val="none"/>
        </w:rPr>
        <w:t xml:space="preserve">; 1.3 "depositi a termine ritirabili entro i 30 giorni successivi"; 1.4 "conti di risparmio"; 2.1 "finanziamento all'ingrosso non garantito"; 2.2 "finanziamento all'ingrosso garantito"; </w:t>
      </w:r>
    </w:p>
    <w:p w14:paraId="7CD07C23" w14:textId="050FF403" w:rsidR="00AD4404" w:rsidRDefault="00EF0ADB">
      <w:pPr>
        <w:pStyle w:val="InstructionsText2"/>
        <w:numPr>
          <w:ilvl w:val="0"/>
          <w:numId w:val="0"/>
        </w:numPr>
        <w:ind w:left="1134" w:hanging="420"/>
        <w:rPr>
          <w:u w:val="none"/>
        </w:rPr>
      </w:pPr>
      <w:r>
        <w:rPr>
          <w:u w:val="none"/>
        </w:rPr>
        <w:t>b)</w:t>
      </w:r>
      <w:r>
        <w:rPr>
          <w:u w:val="none"/>
        </w:rPr>
        <w:tab/>
        <w:t>per il calcolo della soglia dell'1 % delle passività totali per la riga 1.4 "conti di risparmio", la soglia si applica alla somma di 1.4.1 e 1.4.2;</w:t>
      </w:r>
    </w:p>
    <w:p w14:paraId="636F886A" w14:textId="5010BEF3" w:rsidR="00AD4404" w:rsidRDefault="00AE0498">
      <w:pPr>
        <w:pStyle w:val="InstructionsText2"/>
        <w:numPr>
          <w:ilvl w:val="0"/>
          <w:numId w:val="0"/>
        </w:numPr>
        <w:ind w:left="1134" w:hanging="420"/>
        <w:rPr>
          <w:u w:val="none"/>
        </w:rPr>
      </w:pPr>
      <w:r>
        <w:rPr>
          <w:u w:val="none"/>
        </w:rPr>
        <w:t>c)</w:t>
      </w:r>
      <w:r>
        <w:rPr>
          <w:u w:val="none"/>
        </w:rPr>
        <w:tab/>
        <w:t>per la riga 1. "Finanziamento (funding) al dettaglio" e per la riga 2. "Finanziamento (funding) all'ingrosso", la soglia dell'1 % delle passività totali si applica solo a livello aggregato.</w:t>
      </w:r>
    </w:p>
    <w:p w14:paraId="2935E76B" w14:textId="2D7A6265" w:rsidR="00AD4404" w:rsidRDefault="00792E65">
      <w:pPr>
        <w:pStyle w:val="InstructionsText2"/>
        <w:numPr>
          <w:ilvl w:val="0"/>
          <w:numId w:val="13"/>
        </w:numPr>
        <w:rPr>
          <w:u w:val="none"/>
        </w:rPr>
      </w:pPr>
      <w:r>
        <w:rPr>
          <w:u w:val="none"/>
        </w:rPr>
        <w:t xml:space="preserve">Le cifre segnalate alle riga 1. "Finanziamento (funding) al dettaglio", alla riga 2.1 "finanziamento all'ingrosso non garantito" e alla riga 2.2 "finanziamento all'ingrosso garantito" possono includere una gamma più ampia di prodotti rispetto agli elementi inclusi nelle sottostanti voci "di cui".  </w:t>
      </w:r>
    </w:p>
    <w:p w14:paraId="2FED639D" w14:textId="77777777" w:rsidR="00AD4404" w:rsidRDefault="00A344AA">
      <w:pPr>
        <w:pStyle w:val="InstructionsText2"/>
        <w:numPr>
          <w:ilvl w:val="0"/>
          <w:numId w:val="13"/>
        </w:numPr>
        <w:rPr>
          <w:u w:val="none"/>
        </w:rPr>
      </w:pPr>
      <w:r>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D4404"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D4404"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Colonna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D4404"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Riferimenti giuridici e istruzioni</w:t>
            </w:r>
          </w:p>
        </w:tc>
      </w:tr>
      <w:tr w:rsidR="00AD4404"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D4404"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D4404" w:rsidRDefault="00A344AA">
            <w:pPr>
              <w:spacing w:before="0" w:after="0"/>
              <w:rPr>
                <w:rFonts w:ascii="Times New Roman" w:hAnsi="Times New Roman"/>
                <w:b/>
                <w:szCs w:val="20"/>
                <w:u w:val="single"/>
              </w:rPr>
            </w:pPr>
            <w:r>
              <w:rPr>
                <w:rFonts w:ascii="Times New Roman" w:hAnsi="Times New Roman"/>
                <w:b/>
                <w:szCs w:val="20"/>
                <w:u w:val="single"/>
              </w:rPr>
              <w:t>Valore contabile ricevuto</w:t>
            </w:r>
          </w:p>
          <w:p w14:paraId="08CE1037" w14:textId="77777777" w:rsidR="00AD4404" w:rsidRDefault="00AD4404">
            <w:pPr>
              <w:spacing w:before="0" w:after="0"/>
              <w:rPr>
                <w:rFonts w:ascii="Times New Roman" w:hAnsi="Times New Roman"/>
                <w:b/>
                <w:szCs w:val="20"/>
                <w:u w:val="single"/>
              </w:rPr>
            </w:pPr>
          </w:p>
          <w:p w14:paraId="3436EC68" w14:textId="77777777" w:rsidR="00AD4404" w:rsidRDefault="00A344AA">
            <w:pPr>
              <w:spacing w:before="0" w:after="0"/>
              <w:rPr>
                <w:szCs w:val="20"/>
              </w:rPr>
            </w:pPr>
            <w:r>
              <w:rPr>
                <w:rFonts w:ascii="Times New Roman" w:hAnsi="Times New Roman"/>
                <w:szCs w:val="20"/>
              </w:rPr>
              <w:t xml:space="preserve">Il valore contabile del finanziamento ricevuto per ciascuna delle categorie di prodotti elencate nella colonna "Nome del prodotto" è segnalato nella colonna 010 del modello. </w:t>
            </w:r>
            <w:r>
              <w:t xml:space="preserve"> </w:t>
            </w:r>
          </w:p>
          <w:p w14:paraId="6450D0D1" w14:textId="583458BA" w:rsidR="00AD4404" w:rsidRDefault="00AD4404">
            <w:pPr>
              <w:spacing w:before="0" w:after="0"/>
              <w:rPr>
                <w:rFonts w:ascii="Times New Roman" w:hAnsi="Times New Roman"/>
                <w:b/>
                <w:szCs w:val="20"/>
                <w:u w:val="single"/>
              </w:rPr>
            </w:pPr>
          </w:p>
        </w:tc>
      </w:tr>
      <w:tr w:rsidR="00AD4404"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D4404"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AD4404" w:rsidRDefault="00A344AA">
            <w:pPr>
              <w:spacing w:before="0" w:after="0"/>
              <w:rPr>
                <w:rFonts w:ascii="Times New Roman" w:hAnsi="Times New Roman"/>
                <w:b/>
                <w:szCs w:val="20"/>
                <w:u w:val="single"/>
              </w:rPr>
            </w:pPr>
            <w:r>
              <w:rPr>
                <w:rFonts w:ascii="Times New Roman" w:hAnsi="Times New Roman"/>
                <w:b/>
                <w:szCs w:val="20"/>
                <w:u w:val="single"/>
              </w:rPr>
              <w:t>Importo coperto da un sistema di garanzia dei depositi conformemente alla direttiva 2014/49/UE o da un sistema di garanzia dei depositi equivalente in un paese terzo</w:t>
            </w:r>
          </w:p>
          <w:p w14:paraId="3404C8DD" w14:textId="77777777" w:rsidR="00AD4404" w:rsidRDefault="00AD4404">
            <w:pPr>
              <w:spacing w:before="0" w:after="0"/>
              <w:rPr>
                <w:rFonts w:ascii="Times New Roman" w:hAnsi="Times New Roman"/>
                <w:b/>
                <w:szCs w:val="20"/>
                <w:u w:val="single"/>
              </w:rPr>
            </w:pPr>
          </w:p>
          <w:p w14:paraId="369A8E24" w14:textId="6EC79FE1" w:rsidR="00AD4404" w:rsidRDefault="00A344AA">
            <w:pPr>
              <w:spacing w:before="0" w:after="0"/>
              <w:rPr>
                <w:rFonts w:ascii="Times New Roman" w:hAnsi="Times New Roman"/>
                <w:szCs w:val="20"/>
              </w:rPr>
            </w:pPr>
            <w:r>
              <w:rPr>
                <w:rFonts w:ascii="Times New Roman" w:hAnsi="Times New Roman"/>
                <w:szCs w:val="20"/>
              </w:rPr>
              <w:t xml:space="preserve">Dell'importo totale del finanziamento ricevuto per ciascuna delle categorie di prodotti elencate nella colonna "Nome del prodotto" segnalato nella colonna 010, l'importo coperto da un sistema di garanzia dei depositi conformemente alla direttiva 2014/49/UE o da un sistema di garanzia dei depositi equivalente in un paese terzo. </w:t>
            </w:r>
          </w:p>
          <w:p w14:paraId="624BDC55" w14:textId="77777777" w:rsidR="00AD4404" w:rsidRDefault="00AD4404">
            <w:pPr>
              <w:spacing w:before="0" w:after="0"/>
              <w:rPr>
                <w:rFonts w:ascii="Times New Roman" w:hAnsi="Times New Roman"/>
                <w:szCs w:val="20"/>
              </w:rPr>
            </w:pPr>
          </w:p>
          <w:p w14:paraId="1350A03E" w14:textId="309AA59A" w:rsidR="00AD4404" w:rsidRDefault="00A344AA">
            <w:pPr>
              <w:spacing w:before="0" w:after="0"/>
              <w:rPr>
                <w:rFonts w:ascii="Times New Roman" w:hAnsi="Times New Roman"/>
                <w:szCs w:val="20"/>
              </w:rPr>
            </w:pPr>
            <w:r>
              <w:rPr>
                <w:rFonts w:ascii="Times New Roman" w:hAnsi="Times New Roman"/>
                <w:szCs w:val="20"/>
              </w:rPr>
              <w:t>Nota: gli importi segnalati nella colonna 020 e nella colonna 030, per ciascuna delle categorie di prodotti elencati nella colonna "Nome del prodotto", sono pari all'importo totale ricevuto segnalato nella colonna 010.</w:t>
            </w:r>
          </w:p>
          <w:p w14:paraId="17202B90" w14:textId="77777777" w:rsidR="00AD4404" w:rsidRDefault="00AD4404">
            <w:pPr>
              <w:spacing w:before="0" w:after="0"/>
              <w:rPr>
                <w:rFonts w:ascii="Times New Roman" w:hAnsi="Times New Roman"/>
                <w:b/>
                <w:szCs w:val="20"/>
                <w:u w:val="single"/>
              </w:rPr>
            </w:pPr>
          </w:p>
        </w:tc>
      </w:tr>
      <w:tr w:rsidR="00AD4404"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D4404"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AD4404" w:rsidRDefault="00A344AA">
            <w:pPr>
              <w:spacing w:before="0" w:after="0"/>
              <w:rPr>
                <w:rFonts w:ascii="Times New Roman" w:hAnsi="Times New Roman"/>
                <w:b/>
                <w:szCs w:val="20"/>
                <w:u w:val="single"/>
              </w:rPr>
            </w:pPr>
            <w:r>
              <w:rPr>
                <w:rFonts w:ascii="Times New Roman" w:hAnsi="Times New Roman"/>
                <w:b/>
                <w:szCs w:val="20"/>
                <w:u w:val="single"/>
              </w:rPr>
              <w:t>Importo non coperto da un sistema di garanzia dei depositi conformemente alla direttiva 2014/49/UE o da un sistema di garanzia dei depositi equivalente in un paese terzo</w:t>
            </w:r>
          </w:p>
          <w:p w14:paraId="5D57127C" w14:textId="77777777" w:rsidR="00AD4404" w:rsidRDefault="00AD4404">
            <w:pPr>
              <w:spacing w:before="0" w:after="0"/>
              <w:rPr>
                <w:rFonts w:ascii="Times New Roman" w:hAnsi="Times New Roman"/>
                <w:b/>
                <w:szCs w:val="20"/>
                <w:u w:val="single"/>
              </w:rPr>
            </w:pPr>
          </w:p>
          <w:p w14:paraId="706D0911" w14:textId="28D8B72B" w:rsidR="00AD4404" w:rsidRDefault="00A344AA">
            <w:pPr>
              <w:spacing w:before="0" w:after="0"/>
              <w:rPr>
                <w:rFonts w:ascii="Times New Roman" w:hAnsi="Times New Roman"/>
                <w:szCs w:val="20"/>
              </w:rPr>
            </w:pPr>
            <w:r>
              <w:rPr>
                <w:rFonts w:ascii="Times New Roman" w:hAnsi="Times New Roman"/>
                <w:szCs w:val="20"/>
              </w:rPr>
              <w:t xml:space="preserve">Dell'importo totale del finanziamento ricevuto per ciascuna delle categorie di prodotti elencate nella colonna "Nome del prodotto" segnalato nella colonna 010, l'importo </w:t>
            </w:r>
            <w:r>
              <w:rPr>
                <w:rFonts w:ascii="Times New Roman" w:hAnsi="Times New Roman"/>
                <w:szCs w:val="20"/>
                <w:u w:val="single"/>
              </w:rPr>
              <w:t>non</w:t>
            </w:r>
            <w:r>
              <w:rPr>
                <w:rFonts w:ascii="Times New Roman" w:hAnsi="Times New Roman"/>
                <w:szCs w:val="20"/>
              </w:rPr>
              <w:t xml:space="preserve"> coperto da un sistema di garanzia dei depositi conformemente alla direttiva 2014/49/UE o da un sistema di garanzia dei depositi equivalente in un paese terzo. </w:t>
            </w:r>
          </w:p>
          <w:p w14:paraId="2201D234" w14:textId="77777777" w:rsidR="00AD4404" w:rsidRDefault="00AD4404">
            <w:pPr>
              <w:spacing w:before="0" w:after="0"/>
              <w:rPr>
                <w:rFonts w:ascii="Times New Roman" w:hAnsi="Times New Roman"/>
                <w:szCs w:val="20"/>
              </w:rPr>
            </w:pPr>
          </w:p>
          <w:p w14:paraId="3AE9E67D" w14:textId="3B789BDE" w:rsidR="00AD4404" w:rsidRDefault="00A344AA">
            <w:pPr>
              <w:spacing w:before="0" w:after="0"/>
              <w:rPr>
                <w:rFonts w:ascii="Times New Roman" w:hAnsi="Times New Roman"/>
                <w:szCs w:val="20"/>
              </w:rPr>
            </w:pPr>
            <w:r>
              <w:rPr>
                <w:rFonts w:ascii="Times New Roman" w:hAnsi="Times New Roman"/>
                <w:szCs w:val="20"/>
              </w:rPr>
              <w:t>Nota: gli importi segnalati nella colonna 020 e nella colonna 030, per ciascuna delle categorie di prodotti elencati nella colonna "Nome del prodotto", sono pari all'importo totale ricevuto segnalato nella colonna 010.</w:t>
            </w:r>
          </w:p>
          <w:p w14:paraId="3A3C1BD5" w14:textId="77777777" w:rsidR="00AD4404" w:rsidRDefault="00AD4404">
            <w:pPr>
              <w:spacing w:before="0" w:after="0"/>
              <w:rPr>
                <w:rFonts w:ascii="Times New Roman" w:hAnsi="Times New Roman"/>
                <w:b/>
                <w:szCs w:val="20"/>
                <w:u w:val="single"/>
              </w:rPr>
            </w:pPr>
          </w:p>
        </w:tc>
      </w:tr>
      <w:tr w:rsidR="00AD4404" w14:paraId="451E213E" w14:textId="77777777" w:rsidTr="005B086D">
        <w:trPr>
          <w:trHeight w:val="459"/>
        </w:trPr>
        <w:tc>
          <w:tcPr>
            <w:tcW w:w="729" w:type="pct"/>
            <w:shd w:val="clear" w:color="auto" w:fill="auto"/>
            <w:noWrap/>
          </w:tcPr>
          <w:p w14:paraId="5C9786F2" w14:textId="77777777" w:rsidR="00AD4404"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AD4404" w:rsidRDefault="00A344AA">
            <w:pPr>
              <w:spacing w:before="0" w:after="0"/>
              <w:rPr>
                <w:rFonts w:ascii="Times New Roman" w:hAnsi="Times New Roman"/>
                <w:b/>
                <w:szCs w:val="20"/>
                <w:u w:val="single"/>
              </w:rPr>
            </w:pPr>
            <w:r>
              <w:rPr>
                <w:rFonts w:ascii="Times New Roman" w:hAnsi="Times New Roman"/>
                <w:b/>
                <w:szCs w:val="20"/>
                <w:u w:val="single"/>
              </w:rPr>
              <w:t>Durata originaria media ponderata</w:t>
            </w:r>
          </w:p>
          <w:p w14:paraId="55688C6B" w14:textId="77777777" w:rsidR="00AD4404" w:rsidRDefault="00AD4404">
            <w:pPr>
              <w:spacing w:before="0" w:after="0"/>
              <w:rPr>
                <w:rFonts w:ascii="Times New Roman" w:hAnsi="Times New Roman"/>
                <w:b/>
                <w:szCs w:val="20"/>
                <w:u w:val="single"/>
              </w:rPr>
            </w:pPr>
          </w:p>
          <w:p w14:paraId="26DFB785" w14:textId="7D1359A8" w:rsidR="00AD4404" w:rsidRDefault="00A344AA">
            <w:pPr>
              <w:spacing w:before="0" w:after="0"/>
              <w:rPr>
                <w:rFonts w:ascii="Times New Roman" w:hAnsi="Times New Roman"/>
                <w:szCs w:val="20"/>
              </w:rPr>
            </w:pPr>
            <w:r>
              <w:rPr>
                <w:rFonts w:ascii="Times New Roman" w:hAnsi="Times New Roman"/>
                <w:szCs w:val="20"/>
              </w:rPr>
              <w:t>Per l'importo del finanziamento ricevuto segnalato nella colonna 010 per le categorie di prodotti elencate nella colonna "Nome del prodotto", la durata originaria media ponderata (in giorni) del finanziamento è registrata nella colonna 040.</w:t>
            </w:r>
          </w:p>
          <w:p w14:paraId="6F902A34" w14:textId="77777777" w:rsidR="00AD4404" w:rsidRDefault="00AD4404">
            <w:pPr>
              <w:spacing w:before="0" w:after="0"/>
              <w:rPr>
                <w:rFonts w:ascii="Times New Roman" w:hAnsi="Times New Roman"/>
                <w:szCs w:val="20"/>
              </w:rPr>
            </w:pPr>
          </w:p>
          <w:p w14:paraId="4993C5F5" w14:textId="1018E08A" w:rsidR="00AD4404" w:rsidRDefault="00B06740">
            <w:pPr>
              <w:spacing w:before="0" w:after="0"/>
              <w:rPr>
                <w:rFonts w:ascii="Times New Roman" w:hAnsi="Times New Roman"/>
                <w:szCs w:val="20"/>
              </w:rPr>
            </w:pPr>
            <w:r>
              <w:rPr>
                <w:rFonts w:ascii="Times New Roman" w:hAnsi="Times New Roman"/>
                <w:szCs w:val="20"/>
              </w:rPr>
              <w:t xml:space="preserve">La durata originaria media ponderata è calcolata come la durata originaria media (in </w:t>
            </w:r>
            <w:r>
              <w:rPr>
                <w:rFonts w:ascii="Times New Roman" w:hAnsi="Times New Roman"/>
                <w:szCs w:val="20"/>
              </w:rPr>
              <w:lastRenderedPageBreak/>
              <w:t>giorni) del finanziamento ricevuto per il tipo di prodotto. La media è ponderata sulla base dell'entità dei diversi importi del finanziamento concesso dalla controparte in proporzione al finanziamento totale ottenuto con tutte le emissioni del tipo di prodotto.</w:t>
            </w:r>
          </w:p>
        </w:tc>
      </w:tr>
      <w:tr w:rsidR="00AD4404" w14:paraId="42EE78BF" w14:textId="77777777" w:rsidTr="00ED2EE2">
        <w:trPr>
          <w:trHeight w:val="1020"/>
        </w:trPr>
        <w:tc>
          <w:tcPr>
            <w:tcW w:w="729" w:type="pct"/>
            <w:shd w:val="clear" w:color="auto" w:fill="auto"/>
            <w:noWrap/>
          </w:tcPr>
          <w:p w14:paraId="2FEE2E2D" w14:textId="77777777" w:rsidR="00AD4404" w:rsidRDefault="00A344AA">
            <w:pPr>
              <w:spacing w:before="0" w:after="0"/>
              <w:jc w:val="left"/>
              <w:rPr>
                <w:rFonts w:ascii="Times New Roman" w:hAnsi="Times New Roman"/>
                <w:color w:val="000000"/>
                <w:szCs w:val="20"/>
              </w:rPr>
            </w:pPr>
            <w:r>
              <w:rPr>
                <w:rFonts w:ascii="Times New Roman" w:hAnsi="Times New Roman"/>
                <w:szCs w:val="20"/>
              </w:rPr>
              <w:lastRenderedPageBreak/>
              <w:t>050</w:t>
            </w:r>
          </w:p>
        </w:tc>
        <w:tc>
          <w:tcPr>
            <w:tcW w:w="4271" w:type="pct"/>
            <w:shd w:val="clear" w:color="auto" w:fill="auto"/>
          </w:tcPr>
          <w:p w14:paraId="5F6E4857" w14:textId="77777777" w:rsidR="00AD4404" w:rsidRDefault="00A344AA">
            <w:pPr>
              <w:spacing w:before="0" w:after="0"/>
              <w:rPr>
                <w:rFonts w:ascii="Times New Roman" w:hAnsi="Times New Roman"/>
                <w:b/>
                <w:szCs w:val="20"/>
                <w:u w:val="single"/>
              </w:rPr>
            </w:pPr>
            <w:r>
              <w:rPr>
                <w:rFonts w:ascii="Times New Roman" w:hAnsi="Times New Roman"/>
                <w:b/>
                <w:szCs w:val="20"/>
                <w:u w:val="single"/>
              </w:rPr>
              <w:t>Durata residua media ponderata</w:t>
            </w:r>
          </w:p>
          <w:p w14:paraId="24DA2333" w14:textId="77777777" w:rsidR="00AD4404" w:rsidRDefault="00AD4404">
            <w:pPr>
              <w:spacing w:before="0" w:after="0"/>
              <w:rPr>
                <w:rFonts w:ascii="Times New Roman" w:hAnsi="Times New Roman"/>
                <w:b/>
                <w:szCs w:val="20"/>
                <w:u w:val="single"/>
              </w:rPr>
            </w:pPr>
          </w:p>
          <w:p w14:paraId="5F851D17" w14:textId="70719BB2" w:rsidR="00AD4404" w:rsidRDefault="00A344AA">
            <w:pPr>
              <w:spacing w:before="0" w:after="0"/>
              <w:rPr>
                <w:rFonts w:ascii="Times New Roman" w:hAnsi="Times New Roman"/>
                <w:szCs w:val="20"/>
              </w:rPr>
            </w:pPr>
            <w:r>
              <w:rPr>
                <w:rFonts w:ascii="Times New Roman" w:hAnsi="Times New Roman"/>
                <w:szCs w:val="20"/>
              </w:rPr>
              <w:t>Per l'importo del finanziamento ricevuto segnalato nella colonna 010 per le categorie di prodotti elencate nella colonna "Nome del prodotto", la durata residua media ponderata (in giorni) per il finanziamento è registrata nella colonna 050.</w:t>
            </w:r>
          </w:p>
          <w:p w14:paraId="10B9D2BA" w14:textId="77777777" w:rsidR="00AD4404" w:rsidRDefault="00AD4404">
            <w:pPr>
              <w:spacing w:before="0" w:after="0"/>
              <w:rPr>
                <w:rFonts w:ascii="Times New Roman" w:hAnsi="Times New Roman"/>
                <w:szCs w:val="20"/>
              </w:rPr>
            </w:pPr>
          </w:p>
          <w:p w14:paraId="7D5D34BD" w14:textId="7C13E3AC" w:rsidR="00AD4404" w:rsidRDefault="00B06740">
            <w:pPr>
              <w:spacing w:before="0" w:after="0"/>
              <w:rPr>
                <w:rFonts w:ascii="Times New Roman" w:hAnsi="Times New Roman"/>
                <w:szCs w:val="20"/>
              </w:rPr>
            </w:pPr>
            <w:r>
              <w:rPr>
                <w:rFonts w:ascii="Times New Roman" w:hAnsi="Times New Roman"/>
                <w:szCs w:val="20"/>
              </w:rPr>
              <w:t>La durata residua media ponderata è calcolata come la durata media (in giorni) restante per il finanziamento ricevuto per il tipo di prodotto. La media è ponderata sulla base dell'entità dei diversi importi del finanziamento concesso dalla controparte in proporzione al finanziamento totale ottenuto con tutte le emissioni del tipo di prodotto.</w:t>
            </w:r>
          </w:p>
          <w:p w14:paraId="7FC1A546" w14:textId="77777777" w:rsidR="00AD4404" w:rsidRDefault="00AD4404">
            <w:pPr>
              <w:spacing w:before="0" w:after="0"/>
              <w:rPr>
                <w:rFonts w:ascii="Times New Roman" w:hAnsi="Times New Roman"/>
                <w:b/>
                <w:szCs w:val="20"/>
                <w:u w:val="single"/>
              </w:rPr>
            </w:pPr>
          </w:p>
        </w:tc>
      </w:tr>
    </w:tbl>
    <w:p w14:paraId="46B6DB4F" w14:textId="77777777" w:rsidR="00AD4404" w:rsidRDefault="00AD4404"/>
    <w:p w14:paraId="079161C6" w14:textId="77777777" w:rsidR="00AD4404"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Prezzi per finanziamenti di varia durata (C 69.00)</w:t>
      </w:r>
    </w:p>
    <w:p w14:paraId="691ACAEA" w14:textId="381B9664" w:rsidR="00AD4404" w:rsidRDefault="00DD76F0">
      <w:pPr>
        <w:pStyle w:val="InstructionsText2"/>
        <w:numPr>
          <w:ilvl w:val="0"/>
          <w:numId w:val="7"/>
        </w:numPr>
        <w:rPr>
          <w:u w:val="none"/>
        </w:rPr>
      </w:pPr>
      <w:r>
        <w:rPr>
          <w:u w:val="none"/>
        </w:rPr>
        <w:t>Gli enti segnalano nel modello C 69.00 le informazioni sul volume delle operazioni e sui prezzi da essi pagati per il finanziamento ottenuto nel periodo di riferimento e ancora in essere al termine del periodo di riferimento in conformità con le seguenti durate originarie:</w:t>
      </w:r>
    </w:p>
    <w:p w14:paraId="43E76F50" w14:textId="57D72AF1" w:rsidR="00AD4404" w:rsidRDefault="00C13077">
      <w:pPr>
        <w:pStyle w:val="InstructionsText2"/>
        <w:numPr>
          <w:ilvl w:val="1"/>
          <w:numId w:val="13"/>
        </w:numPr>
        <w:ind w:left="993" w:hanging="284"/>
        <w:rPr>
          <w:u w:val="none"/>
        </w:rPr>
      </w:pPr>
      <w:r>
        <w:rPr>
          <w:u w:val="none"/>
        </w:rPr>
        <w:tab/>
        <w:t>overnight, nelle colonne 010 e 020;</w:t>
      </w:r>
    </w:p>
    <w:p w14:paraId="20A63704" w14:textId="5F2A3152" w:rsidR="00AD4404" w:rsidRDefault="00325582">
      <w:pPr>
        <w:pStyle w:val="InstructionsText2"/>
        <w:numPr>
          <w:ilvl w:val="0"/>
          <w:numId w:val="0"/>
        </w:numPr>
        <w:ind w:left="714"/>
        <w:rPr>
          <w:u w:val="none"/>
        </w:rPr>
      </w:pPr>
      <w:r>
        <w:rPr>
          <w:u w:val="none"/>
        </w:rPr>
        <w:t>b)</w:t>
      </w:r>
      <w:r>
        <w:rPr>
          <w:u w:val="none"/>
        </w:rPr>
        <w:tab/>
        <w:t>superiore a overnight e inferiore o uguale ad 1 settimana, nelle colonne 030 e 040;</w:t>
      </w:r>
    </w:p>
    <w:p w14:paraId="23995DF6" w14:textId="6B8F5FD2" w:rsidR="00AD4404" w:rsidRDefault="00325582">
      <w:pPr>
        <w:pStyle w:val="InstructionsText2"/>
        <w:numPr>
          <w:ilvl w:val="0"/>
          <w:numId w:val="0"/>
        </w:numPr>
        <w:ind w:left="714"/>
        <w:rPr>
          <w:u w:val="none"/>
        </w:rPr>
      </w:pPr>
      <w:r>
        <w:rPr>
          <w:u w:val="none"/>
        </w:rPr>
        <w:t>c)</w:t>
      </w:r>
      <w:r>
        <w:rPr>
          <w:u w:val="none"/>
        </w:rPr>
        <w:tab/>
        <w:t>superiore ad 1 settimana e inferiore o uguale ad 1 mese, nelle colonne 050 e 060;</w:t>
      </w:r>
    </w:p>
    <w:p w14:paraId="4DB6611C" w14:textId="4078B1C8" w:rsidR="00AD4404" w:rsidRDefault="00325582">
      <w:pPr>
        <w:pStyle w:val="InstructionsText2"/>
        <w:numPr>
          <w:ilvl w:val="0"/>
          <w:numId w:val="0"/>
        </w:numPr>
        <w:ind w:left="714"/>
        <w:rPr>
          <w:u w:val="none"/>
        </w:rPr>
      </w:pPr>
      <w:r>
        <w:rPr>
          <w:u w:val="none"/>
        </w:rPr>
        <w:t>d)</w:t>
      </w:r>
      <w:r>
        <w:rPr>
          <w:u w:val="none"/>
        </w:rPr>
        <w:tab/>
        <w:t>superiore ad 1 mese e inferiore o uguale a 3 mesi, nelle colonne 070 e 080;</w:t>
      </w:r>
    </w:p>
    <w:p w14:paraId="68B85898" w14:textId="1C69E6E6" w:rsidR="00AD4404" w:rsidRDefault="00325582">
      <w:pPr>
        <w:pStyle w:val="InstructionsText2"/>
        <w:numPr>
          <w:ilvl w:val="0"/>
          <w:numId w:val="0"/>
        </w:numPr>
        <w:ind w:left="714"/>
        <w:rPr>
          <w:u w:val="none"/>
        </w:rPr>
      </w:pPr>
      <w:r>
        <w:rPr>
          <w:u w:val="none"/>
        </w:rPr>
        <w:t>e)</w:t>
      </w:r>
      <w:r>
        <w:rPr>
          <w:u w:val="none"/>
        </w:rPr>
        <w:tab/>
        <w:t>superiore a 3 mesi e inferiore o uguale a 6 mesi, nelle colonne 090 e 100;</w:t>
      </w:r>
    </w:p>
    <w:p w14:paraId="032BAEDE" w14:textId="15A2A145" w:rsidR="00AD4404" w:rsidRDefault="00325582">
      <w:pPr>
        <w:pStyle w:val="InstructionsText2"/>
        <w:numPr>
          <w:ilvl w:val="0"/>
          <w:numId w:val="0"/>
        </w:numPr>
        <w:ind w:left="714"/>
        <w:rPr>
          <w:u w:val="none"/>
        </w:rPr>
      </w:pPr>
      <w:r>
        <w:rPr>
          <w:u w:val="none"/>
        </w:rPr>
        <w:t>f)</w:t>
      </w:r>
      <w:r>
        <w:rPr>
          <w:u w:val="none"/>
        </w:rPr>
        <w:tab/>
        <w:t>superiore a 6 mesi e inferiore o uguale ad 1 anno, nelle colonne 110 e 120;</w:t>
      </w:r>
    </w:p>
    <w:p w14:paraId="3DE0207D" w14:textId="0958FEE1" w:rsidR="00AD4404" w:rsidRDefault="00325582">
      <w:pPr>
        <w:pStyle w:val="InstructionsText2"/>
        <w:numPr>
          <w:ilvl w:val="0"/>
          <w:numId w:val="0"/>
        </w:numPr>
        <w:ind w:left="714"/>
        <w:rPr>
          <w:u w:val="none"/>
        </w:rPr>
      </w:pPr>
      <w:r>
        <w:rPr>
          <w:u w:val="none"/>
        </w:rPr>
        <w:t>g)</w:t>
      </w:r>
      <w:r>
        <w:rPr>
          <w:u w:val="none"/>
        </w:rPr>
        <w:tab/>
        <w:t>superiore a 1 anno e inferiore o uguale a 2 anni, nelle colonne 130 e 140;</w:t>
      </w:r>
    </w:p>
    <w:p w14:paraId="5A4B2AD6" w14:textId="6D6143D2" w:rsidR="00AD4404" w:rsidRDefault="00325582">
      <w:pPr>
        <w:pStyle w:val="InstructionsText2"/>
        <w:numPr>
          <w:ilvl w:val="0"/>
          <w:numId w:val="0"/>
        </w:numPr>
        <w:ind w:left="714"/>
        <w:rPr>
          <w:u w:val="none"/>
        </w:rPr>
      </w:pPr>
      <w:r>
        <w:rPr>
          <w:u w:val="none"/>
        </w:rPr>
        <w:t>h)</w:t>
      </w:r>
      <w:r>
        <w:rPr>
          <w:u w:val="none"/>
        </w:rPr>
        <w:tab/>
        <w:t>superiore a 2 anni e inferiore o uguale a 5 anni, nelle colonne 150 e 160;</w:t>
      </w:r>
    </w:p>
    <w:p w14:paraId="10B732E8" w14:textId="3D42D0AE" w:rsidR="00AD4404" w:rsidRDefault="00325582">
      <w:pPr>
        <w:pStyle w:val="InstructionsText2"/>
        <w:numPr>
          <w:ilvl w:val="0"/>
          <w:numId w:val="0"/>
        </w:numPr>
        <w:ind w:left="714"/>
        <w:rPr>
          <w:u w:val="none"/>
        </w:rPr>
      </w:pPr>
      <w:r>
        <w:rPr>
          <w:u w:val="none"/>
        </w:rPr>
        <w:t>i)</w:t>
      </w:r>
      <w:r>
        <w:rPr>
          <w:u w:val="none"/>
        </w:rPr>
        <w:tab/>
        <w:t>superiore a 5 anni e inferiore o uguale a 10 anni, nelle colonne 170 e 180.</w:t>
      </w:r>
    </w:p>
    <w:p w14:paraId="5F28959E" w14:textId="15654C74" w:rsidR="00AD4404" w:rsidRDefault="0019013A">
      <w:pPr>
        <w:pStyle w:val="InstructionsText2"/>
        <w:numPr>
          <w:ilvl w:val="0"/>
          <w:numId w:val="20"/>
        </w:numPr>
        <w:rPr>
          <w:u w:val="none"/>
        </w:rPr>
      </w:pPr>
      <w:r>
        <w:rPr>
          <w:u w:val="none"/>
        </w:rPr>
        <w:t>Ai fini della determinazione della durata del finanziamento ottenuto, gli enti non tengono conto del periodo tra la data dell'operazione e la data di regolamento; per esempio una passività a tre mesi con regolamento a due settimane è segnalata come avente durata a 3 mesi (colonne 070 e 080).</w:t>
      </w:r>
    </w:p>
    <w:p w14:paraId="3300B61A" w14:textId="77777777" w:rsidR="00AD4404" w:rsidRDefault="002C154A">
      <w:pPr>
        <w:pStyle w:val="InstructionsText2"/>
        <w:numPr>
          <w:ilvl w:val="0"/>
          <w:numId w:val="20"/>
        </w:numPr>
        <w:rPr>
          <w:u w:val="none"/>
        </w:rPr>
      </w:pPr>
      <w:r>
        <w:rPr>
          <w:u w:val="none"/>
        </w:rPr>
        <w:t>Il differenziale segnalato nella colonna di sinistra di ogni categoria di scadenza è uno dei seguenti:</w:t>
      </w:r>
    </w:p>
    <w:p w14:paraId="3D56C5E8" w14:textId="5BBC2BEA" w:rsidR="00AD4404" w:rsidRDefault="0050708F">
      <w:pPr>
        <w:pStyle w:val="InstructionsText2"/>
        <w:numPr>
          <w:ilvl w:val="1"/>
          <w:numId w:val="20"/>
        </w:numPr>
        <w:ind w:left="993" w:hanging="284"/>
        <w:rPr>
          <w:u w:val="none"/>
        </w:rPr>
      </w:pPr>
      <w:r>
        <w:rPr>
          <w:u w:val="none"/>
        </w:rPr>
        <w:t xml:space="preserve">il differenziale che l'ente dovrebbe corrispondere per passività di durata inferiore o uguale ad un anno, se dovessero essere convertite nell'indice overnight di riferimento per la valuta pertinente al più tardi alla chiusura delle attività il giorno dell'operazione; </w:t>
      </w:r>
    </w:p>
    <w:p w14:paraId="44F3338B" w14:textId="4D0D0648" w:rsidR="00AD4404" w:rsidRDefault="0050708F">
      <w:pPr>
        <w:pStyle w:val="InstructionsText2"/>
        <w:numPr>
          <w:ilvl w:val="1"/>
          <w:numId w:val="20"/>
        </w:numPr>
        <w:ind w:left="993" w:hanging="284"/>
        <w:rPr>
          <w:u w:val="none"/>
        </w:rPr>
      </w:pPr>
      <w:r>
        <w:rPr>
          <w:u w:val="none"/>
        </w:rPr>
        <w:t>il differenziale che l'impresa dovrebbe corrispondere all'emissione per passività con durata originaria superiore ad un anno, se dovessero essere convertite nell'indice di riferimento pertinente per la valuta corrispondente (ossia EURIBOR a tre mesi per l'EUR o LIBOR a tre mesi per la GBP e lo USD), al più tardi alla chiusura delle attività il giorno dell'operazione.</w:t>
      </w:r>
    </w:p>
    <w:p w14:paraId="0C9A9801" w14:textId="3ADD5BDC" w:rsidR="00AD4404" w:rsidRDefault="006661EC">
      <w:pPr>
        <w:pStyle w:val="InstructionsText2"/>
        <w:numPr>
          <w:ilvl w:val="0"/>
          <w:numId w:val="0"/>
        </w:numPr>
        <w:ind w:left="993"/>
        <w:rPr>
          <w:u w:val="none"/>
        </w:rPr>
      </w:pPr>
      <w:r>
        <w:rPr>
          <w:u w:val="none"/>
        </w:rPr>
        <w:lastRenderedPageBreak/>
        <w:t>Al solo fine del calcolo del differenziale ai sensi delle precedenti lettere a) e b), l'ente può, sulla base dei dati storici, determinare la durata originaria tenendo conto o meno delle opzioni, a seconda dei casi.</w:t>
      </w:r>
    </w:p>
    <w:p w14:paraId="5EBCC42F" w14:textId="0D3FAA90" w:rsidR="00AD4404" w:rsidRDefault="0019013A">
      <w:pPr>
        <w:pStyle w:val="InstructionsText2"/>
        <w:numPr>
          <w:ilvl w:val="0"/>
          <w:numId w:val="20"/>
        </w:numPr>
        <w:rPr>
          <w:u w:val="none"/>
        </w:rPr>
      </w:pPr>
      <w:r>
        <w:rPr>
          <w:u w:val="none"/>
        </w:rPr>
        <w:t xml:space="preserve">Il differenziale è segnalato in punti base con segno negativo, se il nuovo finanziamento è meno costoso del tasso di riferimento pertinente. È calcolato sulla base della media ponderata. </w:t>
      </w:r>
    </w:p>
    <w:p w14:paraId="0ABF1B64" w14:textId="5E7F2177" w:rsidR="00AD4404" w:rsidRDefault="0050708F">
      <w:pPr>
        <w:pStyle w:val="InstructionsText2"/>
        <w:numPr>
          <w:ilvl w:val="0"/>
          <w:numId w:val="20"/>
        </w:numPr>
        <w:rPr>
          <w:u w:val="none"/>
        </w:rPr>
      </w:pPr>
      <w:r>
        <w:rPr>
          <w:u w:val="none"/>
        </w:rPr>
        <w:t>Ai fini del calcolo del differenziale medio da corrispondere per molteplici emissioni/depositi/prestiti, gli enti calcolano il costo totale nella valuta di emissione ignorando gli FX swap ma includendo premi o sconti e commissioni da corrispondere o da ricevere, prendendo come base la durata dello swap su tasso di interesse teorico o reale corrispondente alla durata della passività. Il differenziale è pari al tasso della passività meno il tasso dello swap.</w:t>
      </w:r>
    </w:p>
    <w:p w14:paraId="608A7669" w14:textId="7761DC23" w:rsidR="00AD4404" w:rsidRDefault="0019013A">
      <w:pPr>
        <w:pStyle w:val="InstructionsText2"/>
        <w:numPr>
          <w:ilvl w:val="0"/>
          <w:numId w:val="20"/>
        </w:numPr>
        <w:rPr>
          <w:u w:val="none"/>
        </w:rPr>
      </w:pPr>
      <w:r>
        <w:rPr>
          <w:u w:val="none"/>
        </w:rPr>
        <w:t xml:space="preserve">L'importo del finanziamento ottenuto per le categorie di finanziamento elencate nella colonna "Voce" è segnalato nella colonna "Volume" della categoria di scadenza applicabile. </w:t>
      </w:r>
    </w:p>
    <w:p w14:paraId="3AED84FE" w14:textId="77073291" w:rsidR="00AD4404" w:rsidRDefault="004B3AC2">
      <w:pPr>
        <w:pStyle w:val="InstructionsText2"/>
        <w:numPr>
          <w:ilvl w:val="0"/>
          <w:numId w:val="20"/>
        </w:numPr>
        <w:rPr>
          <w:u w:val="none"/>
        </w:rPr>
      </w:pPr>
      <w:r>
        <w:rPr>
          <w:u w:val="none"/>
        </w:rPr>
        <w:t>Nella colonna "Volume" gli enti indicano gli importi che rappresentano il valore contabile del nuovo finanziamento ottenuto nella categoria di scadenza applicabile in base alla durata originaria.</w:t>
      </w:r>
    </w:p>
    <w:p w14:paraId="4513DEDD" w14:textId="4B15A911" w:rsidR="00AD4404" w:rsidRDefault="00144FB8">
      <w:pPr>
        <w:pStyle w:val="InstructionsText2"/>
        <w:numPr>
          <w:ilvl w:val="0"/>
          <w:numId w:val="20"/>
        </w:numPr>
        <w:rPr>
          <w:u w:val="none"/>
        </w:rPr>
      </w:pPr>
      <w:r>
        <w:rPr>
          <w:u w:val="none"/>
        </w:rPr>
        <w:t xml:space="preserve">Come per tutte le altre voci, anche per gli impegni fuori bilancio gli enti segnalano unicamente gli importi che risultano dal bilancio. Gli impegni fuori bilancio concessi all'ente sono segnalati nel modello C 69.00 soltanto dopo l'utilizzo. In caso di utilizzo, il volume e il differenziale da segnalare sono l'importo utilizzato e il differenziale applicabile alla fine del periodo di riferimento. Se l'utilizzo non può essere rinnovato a discrezione dell'ente, è segnalata la durata effettiva dell'utilizzo. Se l'ente ha già utilizzato la linea alla fine del periodo di riferimento precedente e successivamente ne aumenta l'utilizzo, è segnalato solo l'importo aggiuntivo utilizzato. </w:t>
      </w:r>
    </w:p>
    <w:p w14:paraId="26598EEA" w14:textId="3647C6E6" w:rsidR="00AD4404" w:rsidRDefault="00473407">
      <w:pPr>
        <w:pStyle w:val="InstructionsText2"/>
        <w:numPr>
          <w:ilvl w:val="0"/>
          <w:numId w:val="20"/>
        </w:numPr>
        <w:rPr>
          <w:u w:val="none"/>
        </w:rPr>
      </w:pPr>
      <w:r>
        <w:rPr>
          <w:u w:val="none"/>
        </w:rPr>
        <w:t>I depositi effettuati dalla clientela al dettaglio sono i depositi come definiti all'articolo 3, punto 8, del regolamento delegato (UE) 2015/61.</w:t>
      </w:r>
    </w:p>
    <w:p w14:paraId="54CC7D8D" w14:textId="5C6E191B" w:rsidR="00AD4404" w:rsidRDefault="00287BD7">
      <w:pPr>
        <w:pStyle w:val="InstructionsText2"/>
        <w:numPr>
          <w:ilvl w:val="0"/>
          <w:numId w:val="20"/>
        </w:numPr>
        <w:rPr>
          <w:u w:val="none"/>
        </w:rPr>
      </w:pPr>
      <w:r>
        <w:rPr>
          <w:u w:val="none"/>
        </w:rPr>
        <w:t>Per il finanziamento rinnovato nel periodo di riferimento e ancora in essere alla fine del periodo è segnalata la media dei differenziali applicabili a detta data (ossia alla fine del periodo di riferimento). Ai fini del modello C 69.00, il finanziamento rinnovato e ancora in essere alla fine del periodo di riferimento è considerato nuovo finanziamento.</w:t>
      </w:r>
    </w:p>
    <w:p w14:paraId="43F95C32" w14:textId="05666D10" w:rsidR="00AD4404" w:rsidRDefault="00CD20D9">
      <w:pPr>
        <w:pStyle w:val="InstructionsText2"/>
        <w:numPr>
          <w:ilvl w:val="0"/>
          <w:numId w:val="20"/>
        </w:numPr>
        <w:rPr>
          <w:u w:val="none"/>
        </w:rPr>
      </w:pPr>
      <w:r>
        <w:rPr>
          <w:u w:val="none"/>
        </w:rPr>
        <w:t xml:space="preserve">In deroga al resto della sezione 1.4., il volume e il differenziale dei depositi a vista sono segnalati solo se il depositante non disponeva di un deposito a vista nel precedente periodo di riferimento o se vi è un aumento dell'importo del deposito rispetto alla precedente data di riferimento, nel qual caso l'incremento è considerato nuovo finanziamento. Il differenziale è quello che si applica alla fine del periodo. </w:t>
      </w:r>
    </w:p>
    <w:p w14:paraId="10927EEB" w14:textId="776A1E6F" w:rsidR="00AD4404" w:rsidRDefault="00270986">
      <w:pPr>
        <w:pStyle w:val="InstructionsText2"/>
        <w:numPr>
          <w:ilvl w:val="0"/>
          <w:numId w:val="20"/>
        </w:numPr>
        <w:rPr>
          <w:u w:val="none"/>
        </w:rPr>
      </w:pPr>
      <w:r>
        <w:rPr>
          <w:u w:val="none"/>
        </w:rPr>
        <w:t>In assenza di elementi da segnalare, la cella relativa al differenziale è lasciata vuota.</w:t>
      </w:r>
    </w:p>
    <w:p w14:paraId="5F1BCA9F" w14:textId="77777777" w:rsidR="00AD4404" w:rsidRDefault="002C154A">
      <w:pPr>
        <w:pStyle w:val="InstructionsText2"/>
        <w:numPr>
          <w:ilvl w:val="0"/>
          <w:numId w:val="20"/>
        </w:numPr>
        <w:rPr>
          <w:u w:val="none"/>
        </w:rPr>
      </w:pPr>
      <w:r>
        <w:rPr>
          <w:u w:val="none"/>
        </w:rPr>
        <w:t>Istruzioni su righe specifiche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AD4404" w14:paraId="3147FD97" w14:textId="77777777" w:rsidTr="00ED41A4">
        <w:trPr>
          <w:trHeight w:val="567"/>
        </w:trPr>
        <w:tc>
          <w:tcPr>
            <w:tcW w:w="817" w:type="dxa"/>
            <w:shd w:val="clear" w:color="auto" w:fill="E0E0E0"/>
            <w:noWrap/>
            <w:vAlign w:val="center"/>
          </w:tcPr>
          <w:p w14:paraId="48391A04" w14:textId="77777777" w:rsidR="00AD4404" w:rsidRDefault="002C154A">
            <w:pPr>
              <w:spacing w:before="0" w:after="0"/>
              <w:jc w:val="left"/>
              <w:rPr>
                <w:rFonts w:ascii="Times New Roman" w:hAnsi="Times New Roman"/>
                <w:szCs w:val="20"/>
              </w:rPr>
            </w:pPr>
            <w:r>
              <w:rPr>
                <w:rStyle w:val="InstructionsTabelleText"/>
                <w:rFonts w:ascii="Times New Roman" w:hAnsi="Times New Roman"/>
                <w:szCs w:val="20"/>
              </w:rPr>
              <w:t>Riga</w:t>
            </w:r>
          </w:p>
        </w:tc>
        <w:tc>
          <w:tcPr>
            <w:tcW w:w="7705" w:type="dxa"/>
            <w:shd w:val="clear" w:color="auto" w:fill="E0E0E0"/>
            <w:noWrap/>
            <w:vAlign w:val="center"/>
          </w:tcPr>
          <w:p w14:paraId="51A7E6A4" w14:textId="77777777" w:rsidR="00AD4404" w:rsidRDefault="002C154A">
            <w:pPr>
              <w:spacing w:before="0" w:after="0"/>
              <w:jc w:val="left"/>
              <w:rPr>
                <w:rFonts w:ascii="Times New Roman" w:hAnsi="Times New Roman"/>
                <w:szCs w:val="20"/>
              </w:rPr>
            </w:pPr>
            <w:r>
              <w:rPr>
                <w:rStyle w:val="InstructionsTabelleText"/>
                <w:rFonts w:ascii="Times New Roman" w:hAnsi="Times New Roman"/>
                <w:szCs w:val="20"/>
              </w:rPr>
              <w:t>Riferimenti giuridici e istruzioni</w:t>
            </w:r>
          </w:p>
        </w:tc>
      </w:tr>
      <w:tr w:rsidR="00AD4404" w14:paraId="5B055368" w14:textId="77777777" w:rsidTr="00ED41A4">
        <w:trPr>
          <w:trHeight w:val="255"/>
        </w:trPr>
        <w:tc>
          <w:tcPr>
            <w:tcW w:w="817" w:type="dxa"/>
            <w:shd w:val="clear" w:color="auto" w:fill="auto"/>
            <w:noWrap/>
          </w:tcPr>
          <w:p w14:paraId="31D865CB" w14:textId="77777777" w:rsidR="00AD4404"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AD4404" w:rsidRDefault="002C154A">
            <w:pPr>
              <w:rPr>
                <w:rFonts w:ascii="Times New Roman" w:hAnsi="Times New Roman"/>
                <w:b/>
                <w:szCs w:val="20"/>
                <w:u w:val="single"/>
              </w:rPr>
            </w:pPr>
            <w:r>
              <w:rPr>
                <w:rFonts w:ascii="Times New Roman" w:hAnsi="Times New Roman"/>
                <w:b/>
                <w:szCs w:val="20"/>
                <w:u w:val="single"/>
              </w:rPr>
              <w:t>1. Finanziamento (funding) totale</w:t>
            </w:r>
          </w:p>
          <w:p w14:paraId="25D6D292" w14:textId="5B9BFF82" w:rsidR="00AD4404" w:rsidRDefault="00E42487">
            <w:pPr>
              <w:rPr>
                <w:rFonts w:ascii="Times New Roman" w:hAnsi="Times New Roman"/>
                <w:szCs w:val="20"/>
              </w:rPr>
            </w:pPr>
            <w:r>
              <w:rPr>
                <w:rFonts w:ascii="Times New Roman" w:hAnsi="Times New Roman"/>
                <w:szCs w:val="20"/>
              </w:rPr>
              <w:t>Il volume totale e il differenziale medio ponderato di tutti i finanziamenti sono segnalati come segue, per tutte le seguenti durate:</w:t>
            </w:r>
          </w:p>
          <w:p w14:paraId="3D5903C1" w14:textId="2E3AE74B" w:rsidR="00AD4404" w:rsidRDefault="00CD20D9">
            <w:pPr>
              <w:pStyle w:val="InstructionsText2"/>
              <w:numPr>
                <w:ilvl w:val="1"/>
                <w:numId w:val="12"/>
              </w:numPr>
            </w:pPr>
            <w:r>
              <w:t>overnight, nelle colonne 010 e 020;</w:t>
            </w:r>
          </w:p>
          <w:p w14:paraId="1AF1DF5A" w14:textId="2735E0FA" w:rsidR="00AD4404" w:rsidRDefault="00CD20D9">
            <w:pPr>
              <w:pStyle w:val="InstructionsText2"/>
              <w:numPr>
                <w:ilvl w:val="1"/>
                <w:numId w:val="12"/>
              </w:numPr>
            </w:pPr>
            <w:r>
              <w:t>superiore a overnight e inferiore o uguale ad 1 settimana, nelle colonne 030 e 040;</w:t>
            </w:r>
          </w:p>
          <w:p w14:paraId="4C124A2C" w14:textId="2261E76F" w:rsidR="00AD4404" w:rsidRDefault="00CD20D9">
            <w:pPr>
              <w:pStyle w:val="InstructionsText2"/>
              <w:numPr>
                <w:ilvl w:val="1"/>
                <w:numId w:val="12"/>
              </w:numPr>
            </w:pPr>
            <w:r>
              <w:lastRenderedPageBreak/>
              <w:t>superiore ad 1 settimana e inferiore o uguale ad 1 mese, nelle colonne 050 e 060;</w:t>
            </w:r>
          </w:p>
          <w:p w14:paraId="74B468F3" w14:textId="703F3A1B" w:rsidR="00AD4404" w:rsidRDefault="00CD20D9">
            <w:pPr>
              <w:pStyle w:val="InstructionsText2"/>
              <w:numPr>
                <w:ilvl w:val="1"/>
                <w:numId w:val="12"/>
              </w:numPr>
            </w:pPr>
            <w:r>
              <w:t>superiore ad 1 mese e inferiore o uguale a 3 mesi, nelle colonne 070 e 080;</w:t>
            </w:r>
          </w:p>
          <w:p w14:paraId="482B32DB" w14:textId="0B9480D3" w:rsidR="00AD4404" w:rsidRDefault="00CD20D9">
            <w:pPr>
              <w:pStyle w:val="InstructionsText2"/>
              <w:numPr>
                <w:ilvl w:val="1"/>
                <w:numId w:val="12"/>
              </w:numPr>
            </w:pPr>
            <w:r>
              <w:t>superiore a 3 mesi e inferiore o uguale a 6 mesi, nelle colonne 090 e 100;</w:t>
            </w:r>
          </w:p>
          <w:p w14:paraId="3C4AC9B6" w14:textId="4AEB5114" w:rsidR="00AD4404" w:rsidRDefault="00CD20D9">
            <w:pPr>
              <w:pStyle w:val="InstructionsText2"/>
              <w:numPr>
                <w:ilvl w:val="1"/>
                <w:numId w:val="12"/>
              </w:numPr>
            </w:pPr>
            <w:r>
              <w:t>superiore a 6 mesi e inferiore o uguale ad 1 anno, nelle colonne 110 e 120;</w:t>
            </w:r>
          </w:p>
          <w:p w14:paraId="1C290FE7" w14:textId="48055B0E" w:rsidR="00AD4404" w:rsidRDefault="00CD20D9">
            <w:pPr>
              <w:pStyle w:val="InstructionsText2"/>
              <w:numPr>
                <w:ilvl w:val="1"/>
                <w:numId w:val="12"/>
              </w:numPr>
            </w:pPr>
            <w:r>
              <w:t>superiore a 1 anno e inferiore o uguale a 2 anni, nelle colonne 130 e 140;</w:t>
            </w:r>
          </w:p>
          <w:p w14:paraId="6E53E104" w14:textId="0EEA7BE2" w:rsidR="00AD4404" w:rsidRDefault="00CD20D9">
            <w:pPr>
              <w:pStyle w:val="InstructionsText2"/>
              <w:numPr>
                <w:ilvl w:val="1"/>
                <w:numId w:val="12"/>
              </w:numPr>
            </w:pPr>
            <w:r>
              <w:t>superiore a 2 anni e inferiore o uguale a 5 anni, nelle colonne 150 e 160;</w:t>
            </w:r>
          </w:p>
          <w:p w14:paraId="22EC36F6" w14:textId="7C57E11E" w:rsidR="00AD4404" w:rsidRDefault="00CD20D9">
            <w:pPr>
              <w:pStyle w:val="InstructionsText2"/>
              <w:numPr>
                <w:ilvl w:val="1"/>
                <w:numId w:val="12"/>
              </w:numPr>
            </w:pPr>
            <w:r>
              <w:t>superiore a 5 anni e inferiore o uguale a 10 anni, nelle colonne 170 e 180.</w:t>
            </w:r>
          </w:p>
        </w:tc>
      </w:tr>
      <w:tr w:rsidR="00AD4404" w14:paraId="2F05E0FC" w14:textId="77777777" w:rsidTr="00ED41A4">
        <w:trPr>
          <w:trHeight w:val="255"/>
        </w:trPr>
        <w:tc>
          <w:tcPr>
            <w:tcW w:w="817" w:type="dxa"/>
            <w:shd w:val="clear" w:color="auto" w:fill="auto"/>
            <w:noWrap/>
          </w:tcPr>
          <w:p w14:paraId="765DA707" w14:textId="77777777" w:rsidR="00AD4404"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5264247F" w:rsidR="00AD4404" w:rsidRDefault="002C154A">
            <w:pPr>
              <w:rPr>
                <w:rFonts w:ascii="Times New Roman" w:hAnsi="Times New Roman"/>
                <w:b/>
                <w:szCs w:val="20"/>
                <w:u w:val="single"/>
              </w:rPr>
            </w:pPr>
            <w:r>
              <w:rPr>
                <w:rFonts w:ascii="Times New Roman" w:hAnsi="Times New Roman"/>
                <w:b/>
                <w:szCs w:val="20"/>
                <w:u w:val="single"/>
              </w:rPr>
              <w:t>1.1 di cui: finanziamento (funding) al dettaglio</w:t>
            </w:r>
          </w:p>
          <w:p w14:paraId="2F60C8D8" w14:textId="2FA8A3BB" w:rsidR="00AD4404" w:rsidRDefault="00CE333E">
            <w:pPr>
              <w:rPr>
                <w:rFonts w:ascii="Times New Roman" w:hAnsi="Times New Roman"/>
                <w:szCs w:val="20"/>
              </w:rPr>
            </w:pPr>
            <w:r>
              <w:rPr>
                <w:rFonts w:ascii="Times New Roman" w:hAnsi="Times New Roman"/>
                <w:szCs w:val="20"/>
              </w:rPr>
              <w:t>Del finanziamento totale segnalato alla voce 1, il volume totale e il differenziale medio ponderato del finanziamento al dettaglio ottenuto.</w:t>
            </w:r>
          </w:p>
        </w:tc>
      </w:tr>
      <w:tr w:rsidR="00AD4404" w14:paraId="2AEBF8C4" w14:textId="77777777" w:rsidTr="00ED41A4">
        <w:trPr>
          <w:trHeight w:val="255"/>
        </w:trPr>
        <w:tc>
          <w:tcPr>
            <w:tcW w:w="817" w:type="dxa"/>
            <w:shd w:val="clear" w:color="auto" w:fill="auto"/>
            <w:noWrap/>
          </w:tcPr>
          <w:p w14:paraId="0F94FE37" w14:textId="77777777" w:rsidR="00AD4404"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AD4404" w:rsidRDefault="00AF1439">
            <w:pPr>
              <w:rPr>
                <w:rFonts w:ascii="Times New Roman" w:hAnsi="Times New Roman"/>
                <w:b/>
                <w:szCs w:val="20"/>
                <w:u w:val="single"/>
              </w:rPr>
            </w:pPr>
            <w:r>
              <w:rPr>
                <w:rFonts w:ascii="Times New Roman" w:hAnsi="Times New Roman"/>
                <w:b/>
                <w:szCs w:val="20"/>
                <w:u w:val="single"/>
              </w:rPr>
              <w:t>1.2 di cui: finanziamenti all'ingrosso non garantiti</w:t>
            </w:r>
          </w:p>
          <w:p w14:paraId="49C52367" w14:textId="79C0122B" w:rsidR="00AD4404" w:rsidRDefault="00AF1439">
            <w:pPr>
              <w:rPr>
                <w:rFonts w:ascii="Times New Roman" w:hAnsi="Times New Roman"/>
                <w:szCs w:val="20"/>
              </w:rPr>
            </w:pPr>
            <w:r>
              <w:rPr>
                <w:rFonts w:ascii="Times New Roman" w:hAnsi="Times New Roman"/>
                <w:szCs w:val="20"/>
              </w:rPr>
              <w:t>Del finanziamento totale segnalato alla voce 1, il volume totale e il differenziale medio ponderato del finanziamento all'ingrosso non garantito ottenuto.</w:t>
            </w:r>
          </w:p>
        </w:tc>
      </w:tr>
      <w:tr w:rsidR="00AD4404" w14:paraId="6186F1AE" w14:textId="77777777" w:rsidTr="00ED41A4">
        <w:trPr>
          <w:trHeight w:val="255"/>
        </w:trPr>
        <w:tc>
          <w:tcPr>
            <w:tcW w:w="817" w:type="dxa"/>
            <w:shd w:val="clear" w:color="auto" w:fill="auto"/>
            <w:noWrap/>
          </w:tcPr>
          <w:p w14:paraId="39B34295" w14:textId="77777777" w:rsidR="00AD4404"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AD4404" w:rsidRDefault="00DD5897">
            <w:pPr>
              <w:rPr>
                <w:rFonts w:ascii="Times New Roman" w:hAnsi="Times New Roman"/>
                <w:b/>
                <w:szCs w:val="20"/>
                <w:u w:val="single"/>
              </w:rPr>
            </w:pPr>
            <w:r>
              <w:rPr>
                <w:rFonts w:ascii="Times New Roman" w:hAnsi="Times New Roman"/>
                <w:b/>
                <w:szCs w:val="20"/>
                <w:u w:val="single"/>
              </w:rPr>
              <w:t>1.3 di cui: finanziamento garantito</w:t>
            </w:r>
          </w:p>
          <w:p w14:paraId="1193789E" w14:textId="77777777" w:rsidR="00AD4404" w:rsidRDefault="00CE333E">
            <w:pPr>
              <w:rPr>
                <w:rFonts w:ascii="Times New Roman" w:hAnsi="Times New Roman"/>
                <w:b/>
                <w:szCs w:val="20"/>
                <w:u w:val="single"/>
              </w:rPr>
            </w:pPr>
            <w:r>
              <w:rPr>
                <w:rFonts w:ascii="Times New Roman" w:hAnsi="Times New Roman"/>
                <w:szCs w:val="20"/>
              </w:rPr>
              <w:t>Del finanziamento totale segnalato alla voce 1, il volume totale e il differenziale medio ponderato del finanziamento garantito ottenuto.</w:t>
            </w:r>
          </w:p>
        </w:tc>
      </w:tr>
      <w:tr w:rsidR="00AD4404" w14:paraId="1D56DA27" w14:textId="77777777" w:rsidTr="00ED41A4">
        <w:trPr>
          <w:trHeight w:val="255"/>
        </w:trPr>
        <w:tc>
          <w:tcPr>
            <w:tcW w:w="817" w:type="dxa"/>
            <w:shd w:val="clear" w:color="auto" w:fill="auto"/>
            <w:noWrap/>
          </w:tcPr>
          <w:p w14:paraId="10F28777" w14:textId="77777777" w:rsidR="00AD4404"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AD4404" w:rsidRDefault="002C154A">
            <w:pPr>
              <w:rPr>
                <w:rFonts w:ascii="Times New Roman" w:hAnsi="Times New Roman"/>
                <w:b/>
                <w:szCs w:val="20"/>
                <w:u w:val="single"/>
              </w:rPr>
            </w:pPr>
            <w:r>
              <w:rPr>
                <w:rFonts w:ascii="Times New Roman" w:hAnsi="Times New Roman"/>
                <w:b/>
                <w:szCs w:val="20"/>
                <w:u w:val="single"/>
              </w:rPr>
              <w:t>1.4 di cui: titoli di primo rango (senior) non garantiti</w:t>
            </w:r>
          </w:p>
          <w:p w14:paraId="14410483" w14:textId="77777777" w:rsidR="00AD4404" w:rsidRDefault="00CE333E">
            <w:pPr>
              <w:rPr>
                <w:rFonts w:ascii="Times New Roman" w:hAnsi="Times New Roman"/>
                <w:b/>
                <w:szCs w:val="20"/>
                <w:u w:val="single"/>
              </w:rPr>
            </w:pPr>
            <w:r>
              <w:rPr>
                <w:rFonts w:ascii="Times New Roman" w:hAnsi="Times New Roman"/>
                <w:szCs w:val="20"/>
              </w:rPr>
              <w:t>Del finanziamento totale segnalato alla voce 1, il volume totale e il differenziale medio ponderato dei titoli di primo rango (senior) non garantiti ottenuti.</w:t>
            </w:r>
          </w:p>
        </w:tc>
      </w:tr>
      <w:tr w:rsidR="00AD4404" w14:paraId="28F41CB6" w14:textId="77777777" w:rsidTr="00ED41A4">
        <w:trPr>
          <w:trHeight w:val="255"/>
        </w:trPr>
        <w:tc>
          <w:tcPr>
            <w:tcW w:w="817" w:type="dxa"/>
            <w:shd w:val="clear" w:color="auto" w:fill="auto"/>
            <w:noWrap/>
          </w:tcPr>
          <w:p w14:paraId="27FBC55D" w14:textId="77777777" w:rsidR="00AD4404"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AD4404" w:rsidRDefault="002C154A">
            <w:pPr>
              <w:rPr>
                <w:rFonts w:ascii="Times New Roman" w:hAnsi="Times New Roman"/>
                <w:b/>
                <w:szCs w:val="20"/>
                <w:u w:val="single"/>
              </w:rPr>
            </w:pPr>
            <w:r>
              <w:rPr>
                <w:rFonts w:ascii="Times New Roman" w:hAnsi="Times New Roman"/>
                <w:b/>
                <w:szCs w:val="20"/>
                <w:u w:val="single"/>
              </w:rPr>
              <w:t>1.5 di cui: obbligazioni garantite</w:t>
            </w:r>
          </w:p>
          <w:p w14:paraId="2AEEDF2A" w14:textId="77777777" w:rsidR="00AD4404" w:rsidRDefault="00CE333E">
            <w:pPr>
              <w:rPr>
                <w:rFonts w:ascii="Times New Roman" w:hAnsi="Times New Roman"/>
                <w:b/>
                <w:szCs w:val="20"/>
                <w:u w:val="single"/>
              </w:rPr>
            </w:pPr>
            <w:r>
              <w:rPr>
                <w:rFonts w:ascii="Times New Roman" w:hAnsi="Times New Roman"/>
                <w:szCs w:val="20"/>
              </w:rPr>
              <w:t>Del finanziamento totale segnalato alla voce 1, il volume totale e il differenziale medio ponderato di tutte le emissioni di obbligazioni garantite che vincolano le attività proprie degli enti.</w:t>
            </w:r>
          </w:p>
        </w:tc>
      </w:tr>
      <w:tr w:rsidR="00AD4404" w14:paraId="7E2EC114" w14:textId="77777777" w:rsidTr="00ED41A4">
        <w:trPr>
          <w:trHeight w:val="255"/>
        </w:trPr>
        <w:tc>
          <w:tcPr>
            <w:tcW w:w="817" w:type="dxa"/>
            <w:shd w:val="clear" w:color="auto" w:fill="auto"/>
            <w:noWrap/>
          </w:tcPr>
          <w:p w14:paraId="37FE37EA" w14:textId="77777777" w:rsidR="00AD4404"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AD4404" w:rsidRDefault="002C154A">
            <w:pPr>
              <w:rPr>
                <w:rFonts w:ascii="Times New Roman" w:hAnsi="Times New Roman"/>
                <w:b/>
                <w:szCs w:val="20"/>
                <w:u w:val="single"/>
              </w:rPr>
            </w:pPr>
            <w:r>
              <w:rPr>
                <w:rFonts w:ascii="Times New Roman" w:hAnsi="Times New Roman"/>
                <w:b/>
                <w:szCs w:val="20"/>
                <w:u w:val="single"/>
              </w:rPr>
              <w:t>1.6 di cui: titoli garantiti da attività compresi i commercial paper garantiti da attività (ABCP)</w:t>
            </w:r>
          </w:p>
          <w:p w14:paraId="44C96B86" w14:textId="77777777" w:rsidR="00AD4404" w:rsidRDefault="00CE333E">
            <w:pPr>
              <w:rPr>
                <w:rFonts w:ascii="Times New Roman" w:hAnsi="Times New Roman"/>
                <w:b/>
                <w:szCs w:val="20"/>
                <w:u w:val="single"/>
              </w:rPr>
            </w:pPr>
            <w:r>
              <w:rPr>
                <w:rFonts w:ascii="Times New Roman" w:hAnsi="Times New Roman"/>
                <w:szCs w:val="20"/>
              </w:rPr>
              <w:t>Del finanziamento totale segnalato alla voce 1, il volume totale e il differenziale medio ponderato dei titoli garantiti da attività (ABS) emessi, compresi i commercial paper garantiti da attività (ABCP).</w:t>
            </w:r>
          </w:p>
        </w:tc>
      </w:tr>
    </w:tbl>
    <w:p w14:paraId="5029EEE5" w14:textId="77777777" w:rsidR="00AD4404" w:rsidRDefault="00AD4404">
      <w:pPr>
        <w:pStyle w:val="InstructionsText"/>
        <w:rPr>
          <w:rStyle w:val="InstructionsTabelleText"/>
          <w:rFonts w:ascii="Times New Roman" w:hAnsi="Times New Roman"/>
          <w:u w:val="none"/>
        </w:rPr>
      </w:pPr>
    </w:p>
    <w:p w14:paraId="63E17173" w14:textId="77777777" w:rsidR="00AD4404"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Rinnovo del finanziamento (C 70.00)</w:t>
      </w:r>
    </w:p>
    <w:p w14:paraId="5ACA258A" w14:textId="276B9622" w:rsidR="00AD4404" w:rsidRDefault="00DD5897">
      <w:pPr>
        <w:pStyle w:val="InstructionsText2"/>
        <w:numPr>
          <w:ilvl w:val="0"/>
          <w:numId w:val="8"/>
        </w:numPr>
        <w:rPr>
          <w:u w:val="none"/>
        </w:rPr>
      </w:pPr>
      <w:r>
        <w:rPr>
          <w:u w:val="none"/>
        </w:rPr>
        <w:t>Questo modello serve a raccogliere informazioni sul volume del finanziamento in scadenza e sul nuovo finanziamento ottenuto, ossia sul "Rinnovo del finanziamento", su base giornaliera nel corso del mese precedente la data di riferimento per le segnalazioni.</w:t>
      </w:r>
    </w:p>
    <w:p w14:paraId="180EF408" w14:textId="5A266611" w:rsidR="00AD4404" w:rsidRDefault="00DB3C37">
      <w:pPr>
        <w:pStyle w:val="InstructionsText2"/>
        <w:numPr>
          <w:ilvl w:val="0"/>
          <w:numId w:val="8"/>
        </w:numPr>
        <w:rPr>
          <w:u w:val="none"/>
        </w:rPr>
      </w:pPr>
      <w:r>
        <w:rPr>
          <w:u w:val="none"/>
        </w:rPr>
        <w:t>Gli enti segnalano, in giorni di calendario, il finanziamento in scadenza secondo le seguenti categorie di scadenza in base alla durata originaria:</w:t>
      </w:r>
    </w:p>
    <w:p w14:paraId="10B482AB" w14:textId="6285BE75" w:rsidR="00AD4404" w:rsidRDefault="00237D15">
      <w:pPr>
        <w:pStyle w:val="InstructionsText2"/>
        <w:numPr>
          <w:ilvl w:val="1"/>
          <w:numId w:val="5"/>
        </w:numPr>
        <w:ind w:left="1276" w:hanging="283"/>
        <w:rPr>
          <w:u w:val="none"/>
        </w:rPr>
      </w:pPr>
      <w:r>
        <w:rPr>
          <w:u w:val="none"/>
        </w:rPr>
        <w:t>overnight, nelle colonne da 010 a 040;</w:t>
      </w:r>
    </w:p>
    <w:p w14:paraId="78059097" w14:textId="4572B97B" w:rsidR="00AD4404" w:rsidRDefault="00237D15">
      <w:pPr>
        <w:pStyle w:val="InstructionsText2"/>
        <w:numPr>
          <w:ilvl w:val="1"/>
          <w:numId w:val="5"/>
        </w:numPr>
        <w:ind w:left="1276" w:hanging="283"/>
        <w:rPr>
          <w:u w:val="none"/>
        </w:rPr>
      </w:pPr>
      <w:r>
        <w:rPr>
          <w:u w:val="none"/>
        </w:rPr>
        <w:t>tra 1 giorno e 7 giorni, nelle colonne da 050 a 080;</w:t>
      </w:r>
    </w:p>
    <w:p w14:paraId="0888F316" w14:textId="5C20E07A" w:rsidR="00AD4404" w:rsidRDefault="00237D15">
      <w:pPr>
        <w:pStyle w:val="InstructionsText2"/>
        <w:numPr>
          <w:ilvl w:val="1"/>
          <w:numId w:val="5"/>
        </w:numPr>
        <w:ind w:left="1276" w:hanging="283"/>
        <w:rPr>
          <w:u w:val="none"/>
        </w:rPr>
      </w:pPr>
      <w:r>
        <w:rPr>
          <w:u w:val="none"/>
        </w:rPr>
        <w:t>tra 7 e 14 giorni, nelle colonne da 090 a 120;</w:t>
      </w:r>
    </w:p>
    <w:p w14:paraId="08E23AA2" w14:textId="53446689" w:rsidR="00AD4404" w:rsidRDefault="00237D15">
      <w:pPr>
        <w:pStyle w:val="InstructionsText2"/>
        <w:numPr>
          <w:ilvl w:val="1"/>
          <w:numId w:val="5"/>
        </w:numPr>
        <w:ind w:left="1276" w:hanging="283"/>
        <w:rPr>
          <w:u w:val="none"/>
        </w:rPr>
      </w:pPr>
      <w:r>
        <w:rPr>
          <w:u w:val="none"/>
        </w:rPr>
        <w:lastRenderedPageBreak/>
        <w:t>tra 14 giorni e 1 mese, nelle colonne da 130 a 160;</w:t>
      </w:r>
    </w:p>
    <w:p w14:paraId="69F00FB2" w14:textId="021E729C" w:rsidR="00AD4404" w:rsidRDefault="00237D15">
      <w:pPr>
        <w:pStyle w:val="InstructionsText2"/>
        <w:numPr>
          <w:ilvl w:val="1"/>
          <w:numId w:val="5"/>
        </w:numPr>
        <w:ind w:left="1276" w:hanging="283"/>
        <w:rPr>
          <w:u w:val="none"/>
        </w:rPr>
      </w:pPr>
      <w:r>
        <w:rPr>
          <w:u w:val="none"/>
        </w:rPr>
        <w:t>tra 1 e 3 mesi, nelle colonne da 170 a 200;</w:t>
      </w:r>
    </w:p>
    <w:p w14:paraId="39971E5E" w14:textId="651F802B" w:rsidR="00AD4404" w:rsidRDefault="00237D15">
      <w:pPr>
        <w:pStyle w:val="InstructionsText2"/>
        <w:numPr>
          <w:ilvl w:val="1"/>
          <w:numId w:val="5"/>
        </w:numPr>
        <w:ind w:left="1276" w:hanging="283"/>
        <w:rPr>
          <w:u w:val="none"/>
        </w:rPr>
      </w:pPr>
      <w:r>
        <w:rPr>
          <w:u w:val="none"/>
        </w:rPr>
        <w:t>tra 3 e 6 mesi, nelle colonne da 210 a 240;</w:t>
      </w:r>
    </w:p>
    <w:p w14:paraId="7574DBE7" w14:textId="7977E8C2" w:rsidR="00AD4404" w:rsidRDefault="00144FB8">
      <w:pPr>
        <w:pStyle w:val="InstructionsText2"/>
        <w:numPr>
          <w:ilvl w:val="1"/>
          <w:numId w:val="5"/>
        </w:numPr>
        <w:ind w:left="1276" w:hanging="283"/>
        <w:rPr>
          <w:u w:val="none"/>
        </w:rPr>
      </w:pPr>
      <w:r>
        <w:rPr>
          <w:u w:val="none"/>
        </w:rPr>
        <w:t>superiore a 6 mesi, nelle colonne da 250 a 280.</w:t>
      </w:r>
    </w:p>
    <w:p w14:paraId="1F25325E" w14:textId="0E268387" w:rsidR="00AD4404" w:rsidRDefault="00DB3C37">
      <w:pPr>
        <w:pStyle w:val="InstructionsText2"/>
        <w:numPr>
          <w:ilvl w:val="0"/>
          <w:numId w:val="8"/>
        </w:numPr>
        <w:rPr>
          <w:u w:val="none"/>
        </w:rPr>
      </w:pPr>
      <w:r>
        <w:rPr>
          <w:u w:val="none"/>
        </w:rPr>
        <w:t>Per ciascuna categoria di scadenza di cui al punto 2, l'importo in scadenza è segnalato nella colonna di sinistra, l'importo del finanziamento rinnovato è segnalato nella colonna "Rinnovo", il nuovo finanziamento ottenuto è segnalato nella colonna "Nuovo finanziamento" e la differenza netta tra nuovo finanziamento e rinnovo meno finanziamento in scadenza è segnalata nella colonna di destra.</w:t>
      </w:r>
      <w:r>
        <w:rPr>
          <w:rFonts w:ascii="Verdana" w:hAnsi="Verdana"/>
          <w:u w:val="none"/>
        </w:rPr>
        <w:t xml:space="preserve"> </w:t>
      </w:r>
    </w:p>
    <w:p w14:paraId="710A06F4" w14:textId="219179A7" w:rsidR="00AD4404" w:rsidRDefault="00DB3C37">
      <w:pPr>
        <w:pStyle w:val="InstructionsText2"/>
        <w:numPr>
          <w:ilvl w:val="0"/>
          <w:numId w:val="8"/>
        </w:numPr>
        <w:rPr>
          <w:u w:val="none"/>
        </w:rPr>
      </w:pPr>
      <w:r>
        <w:rPr>
          <w:u w:val="none"/>
        </w:rPr>
        <w:t>Il totale dei flussi di cassa netti è segnalato nella colonna 290 ed è pari alla somma di tutte le colonne "Netto": 040, 080, 120, 160, 200, 240 e 280.</w:t>
      </w:r>
    </w:p>
    <w:p w14:paraId="28B9B16F" w14:textId="51F3D036" w:rsidR="00AD4404" w:rsidRDefault="00DB3C37">
      <w:pPr>
        <w:pStyle w:val="InstructionsText2"/>
        <w:numPr>
          <w:ilvl w:val="0"/>
          <w:numId w:val="8"/>
        </w:numPr>
        <w:rPr>
          <w:u w:val="none"/>
        </w:rPr>
      </w:pPr>
      <w:r>
        <w:rPr>
          <w:u w:val="none"/>
        </w:rPr>
        <w:t>Il termine medio (in giorni) del finanziamento in scadenza è segnalato nella colonna 300.</w:t>
      </w:r>
    </w:p>
    <w:p w14:paraId="76D8AD49" w14:textId="16CEB38F" w:rsidR="00AD4404" w:rsidRDefault="003E371A">
      <w:pPr>
        <w:pStyle w:val="InstructionsText2"/>
        <w:numPr>
          <w:ilvl w:val="0"/>
          <w:numId w:val="8"/>
        </w:numPr>
        <w:rPr>
          <w:u w:val="none"/>
        </w:rPr>
      </w:pPr>
      <w:r>
        <w:rPr>
          <w:u w:val="none"/>
        </w:rPr>
        <w:t>Il termine medio (in giorni) del finanziamento rinnovato è segnalato nella colonna 310.</w:t>
      </w:r>
    </w:p>
    <w:p w14:paraId="717CD209" w14:textId="16BDF091" w:rsidR="00AD4404" w:rsidRDefault="00DB3C37">
      <w:pPr>
        <w:pStyle w:val="InstructionsText2"/>
        <w:numPr>
          <w:ilvl w:val="0"/>
          <w:numId w:val="8"/>
        </w:numPr>
        <w:rPr>
          <w:u w:val="none"/>
        </w:rPr>
      </w:pPr>
      <w:r>
        <w:rPr>
          <w:u w:val="none"/>
        </w:rPr>
        <w:t xml:space="preserve"> Il termine medio (in giorni) del nuovo finanziamento è segnalato nella colonna 320.</w:t>
      </w:r>
    </w:p>
    <w:p w14:paraId="5C92A186" w14:textId="6F4BC0FE" w:rsidR="00AD4404" w:rsidRDefault="00A7751A">
      <w:pPr>
        <w:pStyle w:val="InstructionsText2"/>
        <w:numPr>
          <w:ilvl w:val="0"/>
          <w:numId w:val="8"/>
        </w:numPr>
        <w:rPr>
          <w:u w:val="none"/>
        </w:rPr>
      </w:pPr>
      <w:r>
        <w:rPr>
          <w:u w:val="none"/>
        </w:rPr>
        <w:t>L'importo nella colonna "In scadenza" comprende tutte le passività contrattualmente ritirabili dal fornitore del finanziamento o dovute alla data pertinente del periodo di riferimento. Deve essere sempre segnalato con segno positivo.</w:t>
      </w:r>
    </w:p>
    <w:p w14:paraId="004B6E12" w14:textId="0B826D76" w:rsidR="00AD4404" w:rsidRDefault="00A7751A">
      <w:pPr>
        <w:pStyle w:val="InstructionsText2"/>
        <w:numPr>
          <w:ilvl w:val="0"/>
          <w:numId w:val="8"/>
        </w:numPr>
        <w:rPr>
          <w:u w:val="none"/>
        </w:rPr>
      </w:pPr>
      <w:r>
        <w:rPr>
          <w:u w:val="none"/>
        </w:rPr>
        <w:t>L'importo nella colonna "Rinnovo" comprende l'importo in scadenza di cui ai punti 2 e 3 che rimane all'ente alla data pertinente del periodo di riferimento. Deve essere sempre segnalato con segno positivo. Se la durata del finanziamento è cambiata a seguito del rinnovo, l'importo nella colonna "Rinnovo" è segnalato nella categoria di scadenza corrispondente alla nuova durata.</w:t>
      </w:r>
    </w:p>
    <w:p w14:paraId="68CA5A97" w14:textId="694BA31F" w:rsidR="00AD4404" w:rsidRDefault="00A7751A">
      <w:pPr>
        <w:pStyle w:val="InstructionsText2"/>
        <w:numPr>
          <w:ilvl w:val="0"/>
          <w:numId w:val="8"/>
        </w:numPr>
        <w:rPr>
          <w:u w:val="none"/>
        </w:rPr>
      </w:pPr>
      <w:r>
        <w:rPr>
          <w:u w:val="none"/>
        </w:rPr>
        <w:t>L'importo nella colonna "Nuovo finanziamento" comprende gli afflussi effettivi di finanziamento alla data pertinente del periodo di riferimento. Deve essere sempre segnalato con segno positivo.</w:t>
      </w:r>
    </w:p>
    <w:p w14:paraId="36023996" w14:textId="52F7601E" w:rsidR="00AD4404" w:rsidRDefault="00A7751A">
      <w:pPr>
        <w:pStyle w:val="InstructionsText2"/>
        <w:numPr>
          <w:ilvl w:val="0"/>
          <w:numId w:val="8"/>
        </w:numPr>
        <w:rPr>
          <w:u w:val="none"/>
        </w:rPr>
      </w:pPr>
      <w:r>
        <w:rPr>
          <w:u w:val="none"/>
        </w:rPr>
        <w:t xml:space="preserve">L'importo nella colonna "Netto" rappresenta la variazione del finanziamento nell'ambito di una particolare fascia di durata originaria alla data pertinente del periodo di riferimento ed è calcolato sommando l'importo della colonna "Nuovo finanziamento" e l'importo della colonna "Rinnovo" e sottraendo l'importo della colonna "In scadenza".  </w:t>
      </w:r>
    </w:p>
    <w:p w14:paraId="0E67F27B" w14:textId="64F4C758" w:rsidR="00AD4404" w:rsidRDefault="00ED41A4">
      <w:pPr>
        <w:pStyle w:val="InstructionsText2"/>
        <w:numPr>
          <w:ilvl w:val="0"/>
          <w:numId w:val="8"/>
        </w:numPr>
        <w:rPr>
          <w:u w:val="none"/>
        </w:rPr>
      </w:pPr>
      <w:r>
        <w:rPr>
          <w:u w:val="none"/>
        </w:rPr>
        <w:t>Istruzioni relative a colonne specifiche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7278"/>
      </w:tblGrid>
      <w:tr w:rsidR="00AD4404" w14:paraId="24A3446B" w14:textId="77777777" w:rsidTr="005F4FE0">
        <w:trPr>
          <w:trHeight w:val="548"/>
        </w:trPr>
        <w:tc>
          <w:tcPr>
            <w:tcW w:w="729" w:type="pct"/>
            <w:shd w:val="clear" w:color="auto" w:fill="D9D9D9"/>
            <w:noWrap/>
            <w:vAlign w:val="center"/>
          </w:tcPr>
          <w:p w14:paraId="44CE1AFF" w14:textId="77777777" w:rsidR="00AD4404"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Colonna</w:t>
            </w:r>
          </w:p>
        </w:tc>
        <w:tc>
          <w:tcPr>
            <w:tcW w:w="4271" w:type="pct"/>
            <w:shd w:val="clear" w:color="auto" w:fill="D9D9D9"/>
            <w:vAlign w:val="center"/>
          </w:tcPr>
          <w:p w14:paraId="31EE78F6" w14:textId="77777777" w:rsidR="00AD4404" w:rsidRDefault="00ED41A4">
            <w:pPr>
              <w:spacing w:before="0" w:after="0"/>
              <w:jc w:val="left"/>
              <w:rPr>
                <w:rFonts w:ascii="Times New Roman" w:hAnsi="Times New Roman"/>
                <w:szCs w:val="20"/>
              </w:rPr>
            </w:pPr>
            <w:r>
              <w:rPr>
                <w:rStyle w:val="InstructionsTabelleText"/>
                <w:rFonts w:ascii="Times New Roman" w:hAnsi="Times New Roman"/>
                <w:szCs w:val="20"/>
              </w:rPr>
              <w:t>Riferimenti giuridici e istruzioni</w:t>
            </w:r>
          </w:p>
        </w:tc>
      </w:tr>
      <w:tr w:rsidR="00AD4404" w14:paraId="1F75C2D4" w14:textId="77777777" w:rsidTr="00ED41A4">
        <w:trPr>
          <w:trHeight w:val="765"/>
        </w:trPr>
        <w:tc>
          <w:tcPr>
            <w:tcW w:w="729" w:type="pct"/>
            <w:shd w:val="clear" w:color="auto" w:fill="auto"/>
            <w:noWrap/>
          </w:tcPr>
          <w:p w14:paraId="2684888D" w14:textId="77777777" w:rsidR="00AD4404" w:rsidRDefault="00BD24C1">
            <w:pPr>
              <w:spacing w:before="0" w:after="0"/>
              <w:jc w:val="left"/>
              <w:rPr>
                <w:rFonts w:ascii="Times New Roman" w:hAnsi="Times New Roman"/>
                <w:color w:val="000000"/>
                <w:szCs w:val="20"/>
              </w:rPr>
            </w:pPr>
            <w:r>
              <w:rPr>
                <w:rFonts w:ascii="Times New Roman" w:hAnsi="Times New Roman"/>
                <w:szCs w:val="20"/>
              </w:rPr>
              <w:t>da 010 a 040</w:t>
            </w:r>
          </w:p>
        </w:tc>
        <w:tc>
          <w:tcPr>
            <w:tcW w:w="4271" w:type="pct"/>
            <w:shd w:val="clear" w:color="auto" w:fill="auto"/>
          </w:tcPr>
          <w:p w14:paraId="45774E3B" w14:textId="77777777" w:rsidR="00AD4404" w:rsidRDefault="00BD24C1">
            <w:pPr>
              <w:rPr>
                <w:rFonts w:ascii="Times New Roman" w:hAnsi="Times New Roman"/>
                <w:b/>
                <w:szCs w:val="20"/>
                <w:u w:val="single"/>
              </w:rPr>
            </w:pPr>
            <w:r>
              <w:rPr>
                <w:rFonts w:ascii="Times New Roman" w:hAnsi="Times New Roman"/>
                <w:b/>
                <w:szCs w:val="20"/>
                <w:u w:val="single"/>
              </w:rPr>
              <w:t>Scadenza a un giorno (overnight)</w:t>
            </w:r>
          </w:p>
          <w:p w14:paraId="0D011271" w14:textId="3E284E08" w:rsidR="00AD4404" w:rsidRDefault="00ED41A4">
            <w:pPr>
              <w:rPr>
                <w:rFonts w:ascii="Times New Roman" w:hAnsi="Times New Roman"/>
                <w:szCs w:val="20"/>
              </w:rPr>
            </w:pPr>
            <w:r>
              <w:rPr>
                <w:rFonts w:ascii="Times New Roman" w:hAnsi="Times New Roman"/>
                <w:szCs w:val="20"/>
              </w:rPr>
              <w:t>L'importo totale del finanziamento in scadenza alla data pertinente del periodo di riferimento avente durata originaria overnight è segnalato nella colonna 010 delle voci da 1.1 a 1.31. Per i mesi con meno di 31 giorni e per i fine settimana le linee non pertinenti sono lasciate in bianco.</w:t>
            </w:r>
          </w:p>
          <w:p w14:paraId="7D2D26D4" w14:textId="2B464E25"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overnight è segnalato nella colonna 020 delle voci da 1.1 a 1.31.</w:t>
            </w:r>
          </w:p>
          <w:p w14:paraId="4837928B" w14:textId="43309A16" w:rsidR="00AD4404" w:rsidRDefault="00ED41A4">
            <w:pPr>
              <w:rPr>
                <w:rFonts w:ascii="Times New Roman" w:hAnsi="Times New Roman"/>
                <w:szCs w:val="20"/>
              </w:rPr>
            </w:pPr>
            <w:r>
              <w:rPr>
                <w:rFonts w:ascii="Times New Roman" w:hAnsi="Times New Roman"/>
                <w:szCs w:val="20"/>
              </w:rPr>
              <w:t xml:space="preserve">L'importo totale del nuovo finanziamento ottenuto alla data pertinente del periodo di riferimento avente durata originaria overnight è segnalato nella colonna 030 delle voci </w:t>
            </w:r>
            <w:r>
              <w:rPr>
                <w:rFonts w:ascii="Times New Roman" w:hAnsi="Times New Roman"/>
                <w:szCs w:val="20"/>
              </w:rPr>
              <w:lastRenderedPageBreak/>
              <w:t>da 1.1 a 1.31.</w:t>
            </w:r>
          </w:p>
          <w:p w14:paraId="16FDBE2F" w14:textId="3BEB2550" w:rsidR="00AD4404" w:rsidRDefault="00ED41A4">
            <w:pPr>
              <w:rPr>
                <w:rFonts w:ascii="Times New Roman" w:hAnsi="Times New Roman"/>
                <w:szCs w:val="20"/>
              </w:rPr>
            </w:pPr>
            <w:r>
              <w:rPr>
                <w:rFonts w:ascii="Times New Roman" w:hAnsi="Times New Roman"/>
                <w:szCs w:val="20"/>
              </w:rPr>
              <w:t>La differenza netta tra finanziamento giornaliero in scadenza, da una parte, e la somma di rinnovo e nuovo finanziamento giornaliero ottenuto, dall'altra, è segnalata nella colonna 040 delle voci da 1.1 a 1.31.</w:t>
            </w:r>
          </w:p>
        </w:tc>
      </w:tr>
      <w:tr w:rsidR="00AD4404" w14:paraId="66A496F1" w14:textId="77777777" w:rsidTr="00ED41A4">
        <w:trPr>
          <w:trHeight w:val="765"/>
        </w:trPr>
        <w:tc>
          <w:tcPr>
            <w:tcW w:w="729" w:type="pct"/>
            <w:shd w:val="clear" w:color="auto" w:fill="auto"/>
            <w:noWrap/>
          </w:tcPr>
          <w:p w14:paraId="03C009DF" w14:textId="77777777" w:rsidR="00AD4404" w:rsidRDefault="00BD24C1">
            <w:pPr>
              <w:spacing w:before="0" w:after="0"/>
              <w:jc w:val="left"/>
              <w:rPr>
                <w:rFonts w:ascii="Times New Roman" w:hAnsi="Times New Roman"/>
                <w:color w:val="000000"/>
                <w:szCs w:val="20"/>
              </w:rPr>
            </w:pPr>
            <w:r>
              <w:rPr>
                <w:rFonts w:ascii="Times New Roman" w:hAnsi="Times New Roman"/>
                <w:szCs w:val="20"/>
              </w:rPr>
              <w:lastRenderedPageBreak/>
              <w:t>da 050 a 080</w:t>
            </w:r>
          </w:p>
        </w:tc>
        <w:tc>
          <w:tcPr>
            <w:tcW w:w="4271" w:type="pct"/>
            <w:shd w:val="clear" w:color="auto" w:fill="auto"/>
          </w:tcPr>
          <w:p w14:paraId="79477518" w14:textId="77777777" w:rsidR="00AD4404" w:rsidRDefault="00ED41A4">
            <w:pPr>
              <w:rPr>
                <w:rFonts w:ascii="Times New Roman" w:hAnsi="Times New Roman"/>
                <w:b/>
                <w:szCs w:val="20"/>
                <w:u w:val="single"/>
              </w:rPr>
            </w:pPr>
            <w:r>
              <w:rPr>
                <w:rFonts w:ascii="Times New Roman" w:hAnsi="Times New Roman"/>
                <w:b/>
                <w:szCs w:val="20"/>
                <w:u w:val="single"/>
              </w:rPr>
              <w:t>&gt; 1 giorno ≤ 7 giorni</w:t>
            </w:r>
          </w:p>
          <w:p w14:paraId="456405B1" w14:textId="23DE58B7" w:rsidR="00AD4404" w:rsidRDefault="00ED41A4">
            <w:pPr>
              <w:rPr>
                <w:rFonts w:ascii="Times New Roman" w:hAnsi="Times New Roman"/>
                <w:szCs w:val="20"/>
              </w:rPr>
            </w:pPr>
            <w:r>
              <w:rPr>
                <w:rFonts w:ascii="Times New Roman" w:hAnsi="Times New Roman"/>
                <w:szCs w:val="20"/>
              </w:rPr>
              <w:t>L'importo totale del finanziamento in scadenza alla data pertinente del periodo di riferimento avente durata originaria compresa tra un giorno e una settimana è segnalato nella colonna 050 delle voci da 1.1 a 1.31. Per i mesi con meno di 31 giorni e per i fine settimana le linee non pertinenti sono lasciate in bianco.</w:t>
            </w:r>
          </w:p>
          <w:p w14:paraId="293B2767" w14:textId="3A94241F"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compresa tra un giorno e una settimana è segnalato nella colonna 060 delle voci da 1.1 a 1.31.</w:t>
            </w:r>
          </w:p>
          <w:p w14:paraId="5D635490" w14:textId="3FBA5A2E" w:rsidR="00AD4404" w:rsidRDefault="00ED41A4">
            <w:pPr>
              <w:rPr>
                <w:rFonts w:ascii="Times New Roman" w:hAnsi="Times New Roman"/>
                <w:szCs w:val="20"/>
              </w:rPr>
            </w:pPr>
            <w:r>
              <w:rPr>
                <w:rFonts w:ascii="Times New Roman" w:hAnsi="Times New Roman"/>
                <w:szCs w:val="20"/>
              </w:rPr>
              <w:t>L'importo totale del nuovo finanziamento ottenuto alla data pertinente del periodo di riferimento avente durata originaria compresa tra un giorno e una settimana è segnalato nella colonna 70 delle voci da 1.1 a 1.31.</w:t>
            </w:r>
          </w:p>
          <w:p w14:paraId="46AFF05A" w14:textId="769E0BE0" w:rsidR="00AD4404" w:rsidRDefault="00ED41A4">
            <w:pPr>
              <w:rPr>
                <w:rFonts w:ascii="Times New Roman" w:hAnsi="Times New Roman"/>
                <w:b/>
                <w:szCs w:val="20"/>
                <w:u w:val="single"/>
              </w:rPr>
            </w:pPr>
            <w:r>
              <w:rPr>
                <w:rFonts w:ascii="Times New Roman" w:hAnsi="Times New Roman"/>
                <w:szCs w:val="20"/>
              </w:rPr>
              <w:t>La differenza netta tra finanziamento in scadenza, da una parte, e la somma di rinnovo e nuovo finanziamento ottenuto, dall'altra, è segnalata nella colonna 080 delle voci da 1.1 a 1.31.</w:t>
            </w:r>
          </w:p>
        </w:tc>
      </w:tr>
      <w:tr w:rsidR="00AD4404" w14:paraId="7A4EE419" w14:textId="77777777" w:rsidTr="00ED41A4">
        <w:trPr>
          <w:trHeight w:val="765"/>
        </w:trPr>
        <w:tc>
          <w:tcPr>
            <w:tcW w:w="729" w:type="pct"/>
            <w:shd w:val="clear" w:color="auto" w:fill="auto"/>
            <w:noWrap/>
          </w:tcPr>
          <w:p w14:paraId="533F8B1E" w14:textId="77777777" w:rsidR="00AD4404" w:rsidRDefault="00BD24C1">
            <w:pPr>
              <w:spacing w:before="0" w:after="0"/>
              <w:jc w:val="left"/>
              <w:rPr>
                <w:rFonts w:ascii="Times New Roman" w:hAnsi="Times New Roman"/>
                <w:color w:val="000000"/>
                <w:szCs w:val="20"/>
              </w:rPr>
            </w:pPr>
            <w:r>
              <w:rPr>
                <w:rFonts w:ascii="Times New Roman" w:hAnsi="Times New Roman"/>
                <w:szCs w:val="20"/>
              </w:rPr>
              <w:t>da 090 a 120</w:t>
            </w:r>
          </w:p>
        </w:tc>
        <w:tc>
          <w:tcPr>
            <w:tcW w:w="4271" w:type="pct"/>
            <w:shd w:val="clear" w:color="auto" w:fill="auto"/>
          </w:tcPr>
          <w:p w14:paraId="47C8E97F" w14:textId="77777777" w:rsidR="00AD4404" w:rsidRDefault="00ED41A4">
            <w:pPr>
              <w:rPr>
                <w:rFonts w:ascii="Times New Roman" w:hAnsi="Times New Roman"/>
                <w:b/>
                <w:szCs w:val="20"/>
                <w:u w:val="single"/>
              </w:rPr>
            </w:pPr>
            <w:r>
              <w:rPr>
                <w:rFonts w:ascii="Times New Roman" w:hAnsi="Times New Roman"/>
                <w:b/>
                <w:szCs w:val="20"/>
                <w:u w:val="single"/>
              </w:rPr>
              <w:t>&gt; 7 giorni ≤ 14 giorni</w:t>
            </w:r>
          </w:p>
          <w:p w14:paraId="01B280B0" w14:textId="290C8E5F" w:rsidR="00AD4404" w:rsidRDefault="007C6B89">
            <w:pPr>
              <w:rPr>
                <w:rFonts w:ascii="Times New Roman" w:hAnsi="Times New Roman"/>
                <w:szCs w:val="20"/>
              </w:rPr>
            </w:pPr>
            <w:r>
              <w:rPr>
                <w:rFonts w:ascii="Times New Roman" w:hAnsi="Times New Roman"/>
                <w:szCs w:val="20"/>
              </w:rPr>
              <w:t>L'importo totale del finanziamento in scadenza alla data pertinente del periodo di riferimento avente durata originaria compresa tra una settimana e due settimane è segnalato nella colonna 090 delle voci da 1.1 a 1.31. Per i mesi con meno di 31 giorni e per i fine settimana le linee non pertinenti sono lasciate in bianco.</w:t>
            </w:r>
          </w:p>
          <w:p w14:paraId="37FF815B" w14:textId="6B227C03"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compresa tra una settimana e due settimane è segnalato nella colonna 100 delle voci da 1.1 a 1.31.</w:t>
            </w:r>
          </w:p>
          <w:p w14:paraId="60125A59" w14:textId="24FC6F1C" w:rsidR="00AD4404" w:rsidRDefault="007C6B89">
            <w:pPr>
              <w:rPr>
                <w:rFonts w:ascii="Times New Roman" w:hAnsi="Times New Roman"/>
                <w:szCs w:val="20"/>
              </w:rPr>
            </w:pPr>
            <w:r>
              <w:rPr>
                <w:rFonts w:ascii="Times New Roman" w:hAnsi="Times New Roman"/>
                <w:szCs w:val="20"/>
              </w:rPr>
              <w:t>L'importo totale del nuovo finanziamento ottenuto alla data pertinente del periodo di riferimento avente durata originaria compresa tra una settimana e due settimane è segnalato nella colonna 110 delle voci da 1.1 a 1.31.</w:t>
            </w:r>
          </w:p>
          <w:p w14:paraId="3B20F474" w14:textId="44677A0A" w:rsidR="00AD4404" w:rsidRDefault="007C6B89">
            <w:pPr>
              <w:rPr>
                <w:rFonts w:ascii="Times New Roman" w:hAnsi="Times New Roman"/>
                <w:b/>
                <w:szCs w:val="20"/>
                <w:u w:val="single"/>
              </w:rPr>
            </w:pPr>
            <w:r>
              <w:rPr>
                <w:rFonts w:ascii="Times New Roman" w:hAnsi="Times New Roman"/>
                <w:szCs w:val="20"/>
              </w:rPr>
              <w:t>La differenza netta tra finanziamento in scadenza, da una parte, e la somma di rinnovo e nuovo finanziamento ottenuto, dall'altra, è segnalata nella colonna 120 delle voci da 1.1 a 1.31.</w:t>
            </w:r>
          </w:p>
        </w:tc>
      </w:tr>
      <w:tr w:rsidR="00AD4404" w14:paraId="4111D590" w14:textId="77777777" w:rsidTr="00ED41A4">
        <w:trPr>
          <w:trHeight w:val="765"/>
        </w:trPr>
        <w:tc>
          <w:tcPr>
            <w:tcW w:w="729" w:type="pct"/>
            <w:shd w:val="clear" w:color="auto" w:fill="auto"/>
            <w:noWrap/>
          </w:tcPr>
          <w:p w14:paraId="3F918ABE" w14:textId="77777777" w:rsidR="00AD4404" w:rsidRDefault="00BD24C1">
            <w:pPr>
              <w:spacing w:before="0" w:after="0"/>
              <w:jc w:val="left"/>
              <w:rPr>
                <w:rFonts w:ascii="Times New Roman" w:hAnsi="Times New Roman"/>
                <w:color w:val="000000"/>
                <w:szCs w:val="20"/>
              </w:rPr>
            </w:pPr>
            <w:r>
              <w:rPr>
                <w:rFonts w:ascii="Times New Roman" w:hAnsi="Times New Roman"/>
                <w:szCs w:val="20"/>
              </w:rPr>
              <w:t>da 130 a 160</w:t>
            </w:r>
          </w:p>
        </w:tc>
        <w:tc>
          <w:tcPr>
            <w:tcW w:w="4271" w:type="pct"/>
            <w:shd w:val="clear" w:color="auto" w:fill="auto"/>
          </w:tcPr>
          <w:p w14:paraId="4D847802" w14:textId="77777777" w:rsidR="00AD4404" w:rsidRDefault="00ED41A4">
            <w:pPr>
              <w:rPr>
                <w:rFonts w:ascii="Times New Roman" w:hAnsi="Times New Roman"/>
                <w:b/>
                <w:szCs w:val="20"/>
                <w:u w:val="single"/>
              </w:rPr>
            </w:pPr>
            <w:r>
              <w:rPr>
                <w:rFonts w:ascii="Times New Roman" w:hAnsi="Times New Roman"/>
                <w:b/>
                <w:szCs w:val="20"/>
                <w:u w:val="single"/>
              </w:rPr>
              <w:t>&gt; 14 giorni ≤ 1 mese</w:t>
            </w:r>
          </w:p>
          <w:p w14:paraId="6DFCCE86" w14:textId="56D7C337" w:rsidR="00AD4404" w:rsidRDefault="007C6B89">
            <w:pPr>
              <w:rPr>
                <w:rFonts w:ascii="Times New Roman" w:hAnsi="Times New Roman"/>
                <w:szCs w:val="20"/>
              </w:rPr>
            </w:pPr>
            <w:r>
              <w:rPr>
                <w:rFonts w:ascii="Times New Roman" w:hAnsi="Times New Roman"/>
                <w:szCs w:val="20"/>
              </w:rPr>
              <w:t>L'importo totale del finanziamento in scadenza alla data pertinente del periodo di riferimento avente durata originaria compresa tra due settimane e un mese è segnalato nella colonna 130 delle voci da 1.1 a 1.31. Per i mesi con meno di 31 giorni e per i fine settimana le linee non pertinenti sono lasciate in bianco.</w:t>
            </w:r>
          </w:p>
          <w:p w14:paraId="168BD6CE" w14:textId="033F4DEE"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compresa tra due settimane e un mese è segnalato nella colonna 140 delle voci da 1.1 a 1.31.</w:t>
            </w:r>
          </w:p>
          <w:p w14:paraId="0DBC5483" w14:textId="2E9D6540" w:rsidR="00AD4404" w:rsidRDefault="007C6B89">
            <w:pPr>
              <w:rPr>
                <w:rFonts w:ascii="Times New Roman" w:hAnsi="Times New Roman"/>
                <w:szCs w:val="20"/>
              </w:rPr>
            </w:pPr>
            <w:r>
              <w:rPr>
                <w:rFonts w:ascii="Times New Roman" w:hAnsi="Times New Roman"/>
                <w:szCs w:val="20"/>
              </w:rPr>
              <w:t>L'importo totale del nuovo finanziamento ottenuto alla data pertinente del periodo di riferimento avente durata originaria compresa tra due settimane e un mese è segnalato nella colonna 150 delle voci da 1.1 a 1.31.</w:t>
            </w:r>
          </w:p>
          <w:p w14:paraId="0D02D77F" w14:textId="63063429" w:rsidR="00AD4404" w:rsidRDefault="007C6B89">
            <w:pPr>
              <w:rPr>
                <w:rFonts w:ascii="Times New Roman" w:hAnsi="Times New Roman"/>
                <w:b/>
                <w:szCs w:val="20"/>
                <w:u w:val="single"/>
              </w:rPr>
            </w:pPr>
            <w:r>
              <w:rPr>
                <w:rFonts w:ascii="Times New Roman" w:hAnsi="Times New Roman"/>
                <w:szCs w:val="20"/>
              </w:rPr>
              <w:t>La differenza netta tra finanziamento in scadenza, da una parte, e la somma di rinnovo e nuovo finanziamento ottenuto, dall'altra, è segnalata nella colonna 160 delle voci da 1.1 a 1.31.</w:t>
            </w:r>
          </w:p>
        </w:tc>
      </w:tr>
      <w:tr w:rsidR="00AD4404" w14:paraId="0A45C671" w14:textId="77777777" w:rsidTr="00ED41A4">
        <w:trPr>
          <w:trHeight w:val="765"/>
        </w:trPr>
        <w:tc>
          <w:tcPr>
            <w:tcW w:w="729" w:type="pct"/>
            <w:shd w:val="clear" w:color="auto" w:fill="auto"/>
            <w:noWrap/>
          </w:tcPr>
          <w:p w14:paraId="643AD884" w14:textId="77777777" w:rsidR="00AD4404" w:rsidRDefault="00BD24C1">
            <w:pPr>
              <w:spacing w:before="0" w:after="0"/>
              <w:jc w:val="left"/>
              <w:rPr>
                <w:rFonts w:ascii="Times New Roman" w:hAnsi="Times New Roman"/>
                <w:color w:val="000000"/>
                <w:szCs w:val="20"/>
              </w:rPr>
            </w:pPr>
            <w:r>
              <w:rPr>
                <w:rFonts w:ascii="Times New Roman" w:hAnsi="Times New Roman"/>
                <w:szCs w:val="20"/>
              </w:rPr>
              <w:t>da 170 a 200</w:t>
            </w:r>
          </w:p>
        </w:tc>
        <w:tc>
          <w:tcPr>
            <w:tcW w:w="4271" w:type="pct"/>
            <w:shd w:val="clear" w:color="auto" w:fill="auto"/>
          </w:tcPr>
          <w:p w14:paraId="40912CAD" w14:textId="77777777" w:rsidR="00AD4404" w:rsidRDefault="00ED41A4">
            <w:pPr>
              <w:rPr>
                <w:rFonts w:ascii="Times New Roman" w:hAnsi="Times New Roman"/>
                <w:b/>
                <w:szCs w:val="20"/>
                <w:u w:val="single"/>
              </w:rPr>
            </w:pPr>
            <w:r>
              <w:rPr>
                <w:rFonts w:ascii="Times New Roman" w:hAnsi="Times New Roman"/>
                <w:b/>
                <w:szCs w:val="20"/>
                <w:u w:val="single"/>
              </w:rPr>
              <w:t>&gt; 1 mese ≤ 3 mesi</w:t>
            </w:r>
          </w:p>
          <w:p w14:paraId="1C6BB1D5" w14:textId="18A59A44" w:rsidR="00AD4404" w:rsidRDefault="007C6B89">
            <w:pPr>
              <w:rPr>
                <w:rFonts w:ascii="Times New Roman" w:hAnsi="Times New Roman"/>
                <w:szCs w:val="20"/>
              </w:rPr>
            </w:pPr>
            <w:r>
              <w:rPr>
                <w:rFonts w:ascii="Times New Roman" w:hAnsi="Times New Roman"/>
                <w:szCs w:val="20"/>
              </w:rPr>
              <w:t xml:space="preserve">L'importo totale del finanziamento in scadenza alla data pertinente del periodo di </w:t>
            </w:r>
            <w:r>
              <w:rPr>
                <w:rFonts w:ascii="Times New Roman" w:hAnsi="Times New Roman"/>
                <w:szCs w:val="20"/>
              </w:rPr>
              <w:lastRenderedPageBreak/>
              <w:t>riferimento avente durata originaria compresa tra un mese e tre mesi è segnalato nella colonna 170 delle voci da 1.1 a 1.31. Per i mesi con meno di 31 giorni e per i fine settimana le linee non pertinenti sono lasciate in bianco.</w:t>
            </w:r>
          </w:p>
          <w:p w14:paraId="6A91E8B5" w14:textId="67420E29"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compresa tra un mese e tre mesi è segnalato nella colonna 180 delle voci da 1.1 a 1.31.</w:t>
            </w:r>
          </w:p>
          <w:p w14:paraId="7A9947A9" w14:textId="6C26176E" w:rsidR="00AD4404" w:rsidRDefault="007C6B89">
            <w:pPr>
              <w:rPr>
                <w:rFonts w:ascii="Times New Roman" w:hAnsi="Times New Roman"/>
                <w:szCs w:val="20"/>
              </w:rPr>
            </w:pPr>
            <w:r>
              <w:rPr>
                <w:rFonts w:ascii="Times New Roman" w:hAnsi="Times New Roman"/>
                <w:szCs w:val="20"/>
              </w:rPr>
              <w:t>L'importo totale del nuovo finanziamento ottenuto alla data pertinente del periodo di riferimento avente durata originaria compresa tra un mese e tre mesi è segnalato nella colonna 190 delle voci da 1.1 a 1.31.</w:t>
            </w:r>
          </w:p>
          <w:p w14:paraId="655F0B6A" w14:textId="2352C866" w:rsidR="00AD4404" w:rsidRDefault="007C6B89">
            <w:pPr>
              <w:rPr>
                <w:rFonts w:ascii="Times New Roman" w:hAnsi="Times New Roman"/>
                <w:b/>
                <w:szCs w:val="20"/>
                <w:u w:val="single"/>
              </w:rPr>
            </w:pPr>
            <w:r>
              <w:rPr>
                <w:rFonts w:ascii="Times New Roman" w:hAnsi="Times New Roman"/>
                <w:szCs w:val="20"/>
              </w:rPr>
              <w:t>La differenza netta tra finanziamento in scadenza, da una parte, e la somma di rinnovo e nuovo finanziamento ottenuto, dall'altra, è segnalata nella colonna 200 delle voci da 1.1 a 1.31.</w:t>
            </w:r>
          </w:p>
        </w:tc>
      </w:tr>
      <w:tr w:rsidR="00AD4404" w14:paraId="0C7B73A0" w14:textId="77777777" w:rsidTr="00ED41A4">
        <w:trPr>
          <w:trHeight w:val="765"/>
        </w:trPr>
        <w:tc>
          <w:tcPr>
            <w:tcW w:w="729" w:type="pct"/>
            <w:shd w:val="clear" w:color="auto" w:fill="auto"/>
            <w:noWrap/>
          </w:tcPr>
          <w:p w14:paraId="31DA83DD" w14:textId="77777777" w:rsidR="00AD4404" w:rsidRDefault="00BD24C1">
            <w:pPr>
              <w:spacing w:before="0" w:after="0"/>
              <w:jc w:val="left"/>
              <w:rPr>
                <w:rFonts w:ascii="Times New Roman" w:hAnsi="Times New Roman"/>
                <w:color w:val="000000"/>
                <w:szCs w:val="20"/>
              </w:rPr>
            </w:pPr>
            <w:r>
              <w:rPr>
                <w:rFonts w:ascii="Times New Roman" w:hAnsi="Times New Roman"/>
                <w:szCs w:val="20"/>
              </w:rPr>
              <w:lastRenderedPageBreak/>
              <w:t>da 210 a 240</w:t>
            </w:r>
          </w:p>
        </w:tc>
        <w:tc>
          <w:tcPr>
            <w:tcW w:w="4271" w:type="pct"/>
            <w:shd w:val="clear" w:color="auto" w:fill="auto"/>
          </w:tcPr>
          <w:p w14:paraId="27019293" w14:textId="77777777" w:rsidR="00AD4404" w:rsidRDefault="005A40BE">
            <w:pPr>
              <w:rPr>
                <w:rFonts w:ascii="Times New Roman" w:hAnsi="Times New Roman"/>
                <w:b/>
                <w:szCs w:val="20"/>
                <w:u w:val="single"/>
              </w:rPr>
            </w:pPr>
            <w:r>
              <w:rPr>
                <w:rFonts w:ascii="Times New Roman" w:hAnsi="Times New Roman"/>
                <w:b/>
                <w:szCs w:val="20"/>
                <w:u w:val="single"/>
              </w:rPr>
              <w:t>&gt; 3 mesi ≤ 6 mesi</w:t>
            </w:r>
          </w:p>
          <w:p w14:paraId="0260CA5A" w14:textId="10CDCA93" w:rsidR="00AD4404" w:rsidRDefault="005A40BE">
            <w:pPr>
              <w:rPr>
                <w:rFonts w:ascii="Times New Roman" w:hAnsi="Times New Roman"/>
                <w:szCs w:val="20"/>
              </w:rPr>
            </w:pPr>
            <w:r>
              <w:rPr>
                <w:rFonts w:ascii="Times New Roman" w:hAnsi="Times New Roman"/>
                <w:szCs w:val="20"/>
              </w:rPr>
              <w:t>L'importo totale del finanziamento in scadenza alla data pertinente del periodo di riferimento avente durata originaria compresa tra tre mesi e sei mesi è segnalato nella colonna 210 delle voci da 1.1 a 1.31. Per i mesi con meno di 31 giorni e per i fine settimana le linee non pertinenti sono lasciate in bianco.</w:t>
            </w:r>
          </w:p>
          <w:p w14:paraId="563F93F8" w14:textId="56788554"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compresa tra tre mesi e sei mesi è segnalato nella colonna 220 delle voci da 1.1 a 1.31.</w:t>
            </w:r>
          </w:p>
          <w:p w14:paraId="601C708E" w14:textId="41E12978" w:rsidR="00AD4404" w:rsidRDefault="005A40BE">
            <w:pPr>
              <w:rPr>
                <w:rFonts w:ascii="Times New Roman" w:hAnsi="Times New Roman"/>
                <w:szCs w:val="20"/>
              </w:rPr>
            </w:pPr>
            <w:r>
              <w:rPr>
                <w:rFonts w:ascii="Times New Roman" w:hAnsi="Times New Roman"/>
                <w:szCs w:val="20"/>
              </w:rPr>
              <w:t>L'importo totale del nuovo finanziamento ottenuto alla data pertinente del periodo di riferimento avente durata originaria compresa tra tre mesi e sei mesi è segnalato nella colonna 230 delle voci da 1.1 a 1.31.</w:t>
            </w:r>
          </w:p>
          <w:p w14:paraId="3E16D1CD" w14:textId="796F4B6D" w:rsidR="00AD4404" w:rsidRDefault="005A40BE">
            <w:pPr>
              <w:rPr>
                <w:rFonts w:ascii="Times New Roman" w:hAnsi="Times New Roman"/>
                <w:b/>
                <w:szCs w:val="20"/>
                <w:u w:val="single"/>
              </w:rPr>
            </w:pPr>
            <w:r>
              <w:rPr>
                <w:rFonts w:ascii="Times New Roman" w:hAnsi="Times New Roman"/>
                <w:szCs w:val="20"/>
              </w:rPr>
              <w:t>La differenza netta tra finanziamento in scadenza, da una parte, e la somma di rinnovo e nuovo finanziamento ottenuto, dall'altra, è segnalata nella colonna 240 delle voci da 1.1 a 1.31.</w:t>
            </w:r>
          </w:p>
        </w:tc>
      </w:tr>
      <w:tr w:rsidR="00AD4404" w14:paraId="3D6EC655" w14:textId="77777777" w:rsidTr="00ED41A4">
        <w:trPr>
          <w:trHeight w:val="765"/>
        </w:trPr>
        <w:tc>
          <w:tcPr>
            <w:tcW w:w="729" w:type="pct"/>
            <w:shd w:val="clear" w:color="auto" w:fill="auto"/>
            <w:noWrap/>
          </w:tcPr>
          <w:p w14:paraId="770F85E8" w14:textId="77777777" w:rsidR="00AD4404" w:rsidRDefault="00BD24C1">
            <w:pPr>
              <w:spacing w:before="0" w:after="0"/>
              <w:jc w:val="left"/>
              <w:rPr>
                <w:rFonts w:ascii="Times New Roman" w:hAnsi="Times New Roman"/>
                <w:color w:val="000000"/>
                <w:szCs w:val="20"/>
              </w:rPr>
            </w:pPr>
            <w:r>
              <w:rPr>
                <w:rFonts w:ascii="Times New Roman" w:hAnsi="Times New Roman"/>
                <w:szCs w:val="20"/>
              </w:rPr>
              <w:t>da 250 a 280</w:t>
            </w:r>
          </w:p>
        </w:tc>
        <w:tc>
          <w:tcPr>
            <w:tcW w:w="4271" w:type="pct"/>
            <w:shd w:val="clear" w:color="auto" w:fill="auto"/>
          </w:tcPr>
          <w:p w14:paraId="29910BBF" w14:textId="77777777" w:rsidR="00AD4404" w:rsidRDefault="005A40BE">
            <w:pPr>
              <w:rPr>
                <w:rFonts w:ascii="Times New Roman" w:hAnsi="Times New Roman"/>
                <w:b/>
                <w:szCs w:val="20"/>
                <w:u w:val="single"/>
              </w:rPr>
            </w:pPr>
            <w:r>
              <w:rPr>
                <w:rFonts w:ascii="Times New Roman" w:hAnsi="Times New Roman"/>
                <w:b/>
                <w:szCs w:val="20"/>
                <w:u w:val="single"/>
              </w:rPr>
              <w:t>&gt; 6 mesi</w:t>
            </w:r>
          </w:p>
          <w:p w14:paraId="3C7C589B" w14:textId="6F0EC1DA" w:rsidR="00AD4404" w:rsidRDefault="007C6B89">
            <w:pPr>
              <w:rPr>
                <w:rFonts w:ascii="Times New Roman" w:hAnsi="Times New Roman"/>
                <w:szCs w:val="20"/>
              </w:rPr>
            </w:pPr>
            <w:r>
              <w:rPr>
                <w:rFonts w:ascii="Times New Roman" w:hAnsi="Times New Roman"/>
                <w:szCs w:val="20"/>
              </w:rPr>
              <w:t>L'importo totale del finanziamento in scadenza alla data pertinente del periodo di riferimento avente durata originaria superiore a sei mesi è segnalato nella colonna 250 delle voci da 1.1 a 1.31. Per i mesi con meno di 31 giorni e per i fine settimana le linee non pertinenti sono lasciate in bianco.</w:t>
            </w:r>
          </w:p>
          <w:p w14:paraId="09601152" w14:textId="7600B6AF" w:rsidR="00AD4404" w:rsidRDefault="003E371A">
            <w:pPr>
              <w:rPr>
                <w:rFonts w:ascii="Times New Roman" w:hAnsi="Times New Roman"/>
                <w:szCs w:val="20"/>
              </w:rPr>
            </w:pPr>
            <w:r>
              <w:rPr>
                <w:rFonts w:ascii="Times New Roman" w:hAnsi="Times New Roman"/>
                <w:szCs w:val="20"/>
              </w:rPr>
              <w:t>L'importo totale del finanziamento rinnovato alla data pertinente del periodo di riferimento avente durata originaria superiore a sei mesi è segnalato nella colonna 260 delle voci da 1.1 a 1.31.</w:t>
            </w:r>
          </w:p>
          <w:p w14:paraId="4585368E" w14:textId="146D4C77" w:rsidR="00AD4404" w:rsidRDefault="007C6B89">
            <w:pPr>
              <w:rPr>
                <w:rFonts w:ascii="Times New Roman" w:hAnsi="Times New Roman"/>
                <w:szCs w:val="20"/>
              </w:rPr>
            </w:pPr>
            <w:r>
              <w:rPr>
                <w:rFonts w:ascii="Times New Roman" w:hAnsi="Times New Roman"/>
                <w:szCs w:val="20"/>
              </w:rPr>
              <w:t>L'importo totale del nuovo finanziamento ottenuto alla data pertinente del periodo di riferimento avente durata originaria superiore a sei mesi è segnalato nella colonna 270 delle voci da 1.1 a 1.31.</w:t>
            </w:r>
          </w:p>
          <w:p w14:paraId="228AAF2B" w14:textId="53878AEC" w:rsidR="00AD4404" w:rsidRDefault="007C6B89">
            <w:pPr>
              <w:rPr>
                <w:rFonts w:ascii="Times New Roman" w:hAnsi="Times New Roman"/>
                <w:b/>
                <w:szCs w:val="20"/>
                <w:u w:val="single"/>
              </w:rPr>
            </w:pPr>
            <w:r>
              <w:rPr>
                <w:rFonts w:ascii="Times New Roman" w:hAnsi="Times New Roman"/>
                <w:szCs w:val="20"/>
              </w:rPr>
              <w:t>La differenza netta tra finanziamento in scadenza, da una parte, e la somma di rinnovo e nuovo finanziamento ottenuto, dall'altra, è segnalata nella colonna 280 delle voci da 1.1 a 1.31.</w:t>
            </w:r>
          </w:p>
        </w:tc>
      </w:tr>
      <w:tr w:rsidR="00AD4404" w14:paraId="26CA8238" w14:textId="77777777" w:rsidTr="00ED41A4">
        <w:trPr>
          <w:trHeight w:val="765"/>
        </w:trPr>
        <w:tc>
          <w:tcPr>
            <w:tcW w:w="729" w:type="pct"/>
            <w:shd w:val="clear" w:color="auto" w:fill="auto"/>
            <w:noWrap/>
          </w:tcPr>
          <w:p w14:paraId="5DBB902E" w14:textId="77777777" w:rsidR="00AD4404"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AD4404" w:rsidRDefault="00ED41A4">
            <w:pPr>
              <w:rPr>
                <w:rFonts w:ascii="Times New Roman" w:hAnsi="Times New Roman"/>
                <w:b/>
                <w:szCs w:val="20"/>
                <w:u w:val="single"/>
              </w:rPr>
            </w:pPr>
            <w:r>
              <w:rPr>
                <w:rFonts w:ascii="Times New Roman" w:hAnsi="Times New Roman"/>
                <w:b/>
                <w:szCs w:val="20"/>
                <w:u w:val="single"/>
              </w:rPr>
              <w:t>Totale dei flussi di cassa netti</w:t>
            </w:r>
          </w:p>
          <w:p w14:paraId="6468E29D" w14:textId="2FE5E4DD" w:rsidR="00AD4404" w:rsidRDefault="007C6B89">
            <w:pPr>
              <w:rPr>
                <w:rFonts w:ascii="Times New Roman" w:hAnsi="Times New Roman"/>
                <w:b/>
                <w:szCs w:val="20"/>
                <w:u w:val="single"/>
              </w:rPr>
            </w:pPr>
            <w:r>
              <w:rPr>
                <w:rFonts w:ascii="Times New Roman" w:hAnsi="Times New Roman"/>
                <w:szCs w:val="20"/>
              </w:rPr>
              <w:t>Il totale dei flussi di cassa netti, corrispondente alla somma di tutte le colonne "Netto": 040, 080, 120, 160, 200, 240, 280, è segnalato nella colonna 290.</w:t>
            </w:r>
          </w:p>
        </w:tc>
      </w:tr>
      <w:tr w:rsidR="00AD4404" w14:paraId="18A531BD" w14:textId="77777777" w:rsidTr="00ED41A4">
        <w:trPr>
          <w:trHeight w:val="765"/>
        </w:trPr>
        <w:tc>
          <w:tcPr>
            <w:tcW w:w="729" w:type="pct"/>
            <w:shd w:val="clear" w:color="auto" w:fill="auto"/>
            <w:noWrap/>
          </w:tcPr>
          <w:p w14:paraId="41F26860" w14:textId="401B327E" w:rsidR="00AD4404" w:rsidRDefault="00BD24C1">
            <w:pPr>
              <w:spacing w:before="0" w:after="0"/>
              <w:jc w:val="left"/>
              <w:rPr>
                <w:rFonts w:ascii="Times New Roman" w:hAnsi="Times New Roman"/>
                <w:color w:val="000000"/>
                <w:szCs w:val="20"/>
              </w:rPr>
            </w:pPr>
            <w:r>
              <w:rPr>
                <w:rFonts w:ascii="Times New Roman" w:hAnsi="Times New Roman"/>
                <w:szCs w:val="20"/>
              </w:rPr>
              <w:t>da 300 a 320</w:t>
            </w:r>
          </w:p>
        </w:tc>
        <w:tc>
          <w:tcPr>
            <w:tcW w:w="4271" w:type="pct"/>
            <w:shd w:val="clear" w:color="auto" w:fill="auto"/>
          </w:tcPr>
          <w:p w14:paraId="0B9AF00A" w14:textId="77777777" w:rsidR="00AD4404" w:rsidRDefault="00ED41A4">
            <w:pPr>
              <w:rPr>
                <w:rFonts w:ascii="Times New Roman" w:hAnsi="Times New Roman"/>
                <w:b/>
                <w:szCs w:val="20"/>
                <w:u w:val="single"/>
              </w:rPr>
            </w:pPr>
            <w:r>
              <w:rPr>
                <w:rFonts w:ascii="Times New Roman" w:hAnsi="Times New Roman"/>
                <w:b/>
                <w:szCs w:val="20"/>
                <w:u w:val="single"/>
              </w:rPr>
              <w:t>Termine medio (giorni)</w:t>
            </w:r>
          </w:p>
          <w:p w14:paraId="51F755D8" w14:textId="4DE32C79" w:rsidR="00AD4404" w:rsidRDefault="007C6B89">
            <w:pPr>
              <w:rPr>
                <w:rFonts w:ascii="Times New Roman" w:hAnsi="Times New Roman"/>
                <w:b/>
                <w:szCs w:val="20"/>
                <w:u w:val="single"/>
              </w:rPr>
            </w:pPr>
            <w:r>
              <w:rPr>
                <w:rFonts w:ascii="Times New Roman" w:hAnsi="Times New Roman"/>
                <w:szCs w:val="20"/>
              </w:rPr>
              <w:t>Il termine medio ponderato (in giorni) di tutti i finanziamenti in scadenza è segnalato nella colonna 300. Il termine medio ponderato (in giorni) di tutti i finanziamenti rinnovati è segnalato nella colonna 310, il termine medio ponderato (in giorni) di tutti i nuovi finanziamenti è segnalato nella colonna 320.</w:t>
            </w:r>
          </w:p>
        </w:tc>
      </w:tr>
    </w:tbl>
    <w:p w14:paraId="1471D337" w14:textId="02B89222" w:rsidR="00AD4404" w:rsidRDefault="008E1DE8">
      <w:pPr>
        <w:pStyle w:val="InstructionsText2"/>
        <w:numPr>
          <w:ilvl w:val="0"/>
          <w:numId w:val="0"/>
        </w:numPr>
        <w:ind w:left="720"/>
        <w:rPr>
          <w:u w:val="none"/>
        </w:rPr>
      </w:pPr>
      <w:r>
        <w:rPr>
          <w:u w:val="none"/>
        </w:rPr>
        <w:lastRenderedPageBreak/>
        <w:t>"</w:t>
      </w:r>
    </w:p>
    <w:sectPr w:rsidR="00AD4404"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AD4404" w:rsidRDefault="00167536">
      <w:r>
        <w:separator/>
      </w:r>
    </w:p>
  </w:endnote>
  <w:endnote w:type="continuationSeparator" w:id="0">
    <w:p w14:paraId="7485B22D" w14:textId="77777777" w:rsidR="00AD4404" w:rsidRDefault="00167536">
      <w:r>
        <w:continuationSeparator/>
      </w:r>
    </w:p>
  </w:endnote>
  <w:endnote w:type="continuationNotice" w:id="1">
    <w:p w14:paraId="351FC6CF" w14:textId="77777777" w:rsidR="00AD4404" w:rsidRDefault="00AD44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37A62AA" w:rsidR="003E009D" w:rsidRDefault="003E009D">
        <w:pPr>
          <w:pStyle w:val="Footer"/>
          <w:jc w:val="center"/>
        </w:pPr>
        <w:r>
          <w:fldChar w:fldCharType="begin"/>
        </w:r>
        <w:r>
          <w:instrText xml:space="preserve"> PAGE   \* MERGEFORMAT </w:instrText>
        </w:r>
        <w:r>
          <w:fldChar w:fldCharType="separate"/>
        </w:r>
        <w:r w:rsidR="006F3CFF">
          <w:rPr>
            <w:noProof/>
          </w:rPr>
          <w:t>6</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0DE9A8EE" w:rsidR="00EA0D1D" w:rsidRDefault="00EA0D1D">
        <w:pPr>
          <w:pStyle w:val="Footer"/>
          <w:jc w:val="center"/>
        </w:pPr>
        <w:r>
          <w:fldChar w:fldCharType="begin"/>
        </w:r>
        <w:r>
          <w:instrText xml:space="preserve"> PAGE   \* MERGEFORMAT </w:instrText>
        </w:r>
        <w:r>
          <w:fldChar w:fldCharType="separate"/>
        </w:r>
        <w:r w:rsidR="006F3CFF">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AD4404" w:rsidRDefault="00167536">
      <w:r>
        <w:separator/>
      </w:r>
    </w:p>
  </w:footnote>
  <w:footnote w:type="continuationSeparator" w:id="0">
    <w:p w14:paraId="19B8F927" w14:textId="77777777" w:rsidR="00AD4404" w:rsidRDefault="00167536">
      <w:r>
        <w:continuationSeparator/>
      </w:r>
    </w:p>
  </w:footnote>
  <w:footnote w:type="continuationNotice" w:id="1">
    <w:p w14:paraId="3A75644C" w14:textId="77777777" w:rsidR="00AD4404" w:rsidRDefault="00AD4404">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3CFF"/>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D4404"/>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6722F264-6320-43AF-B76A-D4A28588C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it-I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it-I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it-I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it-IT" w:eastAsia="en-US" w:bidi="ar-SA"/>
    </w:rPr>
  </w:style>
  <w:style w:type="character" w:customStyle="1" w:styleId="FunoteChar">
    <w:name w:val="Fußnote Char"/>
    <w:aliases w:val=" Char Char Char"/>
    <w:semiHidden/>
    <w:rsid w:val="009D253B"/>
    <w:rPr>
      <w:rFonts w:ascii="Arial" w:hAnsi="Arial"/>
      <w:sz w:val="18"/>
      <w:lang w:val="it-I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it-I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it-I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it-I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it-I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it-IT" w:eastAsia="de-AT"/>
    </w:rPr>
  </w:style>
  <w:style w:type="character" w:customStyle="1" w:styleId="BalloonTextChar">
    <w:name w:val="Balloon Text Char"/>
    <w:link w:val="BalloonText"/>
    <w:semiHidden/>
    <w:rsid w:val="00167536"/>
    <w:rPr>
      <w:rFonts w:ascii="Tahoma" w:hAnsi="Tahoma" w:cs="Tahoma"/>
      <w:sz w:val="16"/>
      <w:szCs w:val="16"/>
      <w:lang w:val="it-IT" w:eastAsia="en-US"/>
    </w:rPr>
  </w:style>
  <w:style w:type="character" w:customStyle="1" w:styleId="PlainTextChar">
    <w:name w:val="Plain Text Char"/>
    <w:link w:val="PlainText"/>
    <w:semiHidden/>
    <w:rsid w:val="00167536"/>
    <w:rPr>
      <w:rFonts w:ascii="Consolas" w:hAnsi="Consolas"/>
      <w:sz w:val="21"/>
      <w:szCs w:val="21"/>
      <w:lang w:val="it-I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it-IT" w:eastAsia="en-US"/>
    </w:rPr>
  </w:style>
  <w:style w:type="character" w:customStyle="1" w:styleId="FooterCoverPageChar">
    <w:name w:val="Footer Cover Page Char"/>
    <w:link w:val="FooterCoverPage"/>
    <w:rsid w:val="00167536"/>
    <w:rPr>
      <w:color w:val="4F81BD"/>
      <w:sz w:val="24"/>
      <w:szCs w:val="24"/>
      <w:lang w:val="it-I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it-I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E7FBB-2405-4F78-BD0C-5DC7CEB49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5776</Words>
  <Characters>28592</Characters>
  <Application>Microsoft Office Word</Application>
  <DocSecurity>0</DocSecurity>
  <Lines>664</Lines>
  <Paragraphs>369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33999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SIGNORINO Emanuela (DGT)</cp:lastModifiedBy>
  <cp:revision>4</cp:revision>
  <cp:lastPrinted>2014-06-12T08:34:00Z</cp:lastPrinted>
  <dcterms:created xsi:type="dcterms:W3CDTF">2019-11-19T09:19:00Z</dcterms:created>
  <dcterms:modified xsi:type="dcterms:W3CDTF">2020-01-24T13:35:00Z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