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07713" w14:textId="37C3C7A9" w:rsidR="00EE41CC" w:rsidRPr="00A83C34" w:rsidRDefault="00310E1E" w:rsidP="00D5219F">
      <w:pPr>
        <w:pStyle w:val="Pagedecouverture"/>
      </w:pPr>
      <w:bookmarkStart w:id="0" w:name="_GoBack"/>
      <w:bookmarkEnd w:id="0"/>
      <w:r>
        <w:pict w14:anchorId="40E9BBB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5911509B-B3CD-4BD9-B0D3-BE9135C310C2" style="width:451.25pt;height:409.4pt">
            <v:imagedata r:id="rId8" o:title=""/>
          </v:shape>
        </w:pict>
      </w:r>
    </w:p>
    <w:p w14:paraId="7EA50C89" w14:textId="77777777" w:rsidR="00EE41CC" w:rsidRPr="00A83C34" w:rsidRDefault="00EE41CC">
      <w:pPr>
        <w:sectPr w:rsidR="00EE41CC" w:rsidRPr="00A83C34" w:rsidSect="00327D0C">
          <w:footerReference w:type="default" r:id="rId9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1CDECEB2" w14:textId="6766F627" w:rsidR="00EE41CC" w:rsidRPr="00A83C34" w:rsidRDefault="00D5219F" w:rsidP="00D5219F">
      <w:pPr>
        <w:pStyle w:val="Typedudocument"/>
      </w:pPr>
      <w:r w:rsidRPr="00D5219F">
        <w:lastRenderedPageBreak/>
        <w:t>REGOLAMENT TA’ IMPLIMENTAZZJONI TAL-KUMMISSJONI (UE) .../...</w:t>
      </w:r>
    </w:p>
    <w:p w14:paraId="2AAC3DEF" w14:textId="77423DB8" w:rsidR="00EE41CC" w:rsidRPr="00A83C34" w:rsidRDefault="00D5219F" w:rsidP="00D5219F">
      <w:pPr>
        <w:pStyle w:val="Datedadoption"/>
        <w:rPr>
          <w:rStyle w:val="Marker2"/>
        </w:rPr>
      </w:pPr>
      <w:r w:rsidRPr="00D5219F">
        <w:t xml:space="preserve">ta’ </w:t>
      </w:r>
      <w:r w:rsidRPr="00D5219F">
        <w:rPr>
          <w:rStyle w:val="Marker2"/>
        </w:rPr>
        <w:t>XXX</w:t>
      </w:r>
    </w:p>
    <w:p w14:paraId="2CD0C74D" w14:textId="6DAE5142" w:rsidR="00EE41CC" w:rsidRPr="00A83C34" w:rsidRDefault="00D5219F" w:rsidP="00D5219F">
      <w:pPr>
        <w:pStyle w:val="Titreobjet"/>
      </w:pPr>
      <w:r w:rsidRPr="00D5219F">
        <w:t>li jemenda r-Regolament ta’ Implimentazzjoni</w:t>
      </w:r>
      <w:r w:rsidRPr="00D5219F">
        <w:rPr>
          <w:u w:val="single"/>
        </w:rPr>
        <w:t xml:space="preserve"> </w:t>
      </w:r>
      <w:r w:rsidRPr="00D5219F">
        <w:t>(UE) Nru 680/2014 li jistabbilixxi standards tekniċi ta' implimentazzjoni fir-rigward tar-rappurtar superviżorju ta' istituzzjonijiet skont ir-Regolament (UE) Nru 575/2013 tal-Parlament Ewropew u tal-Kunsill</w:t>
      </w:r>
    </w:p>
    <w:p w14:paraId="607AA7C4" w14:textId="433E7B17" w:rsidR="00EE41CC" w:rsidRPr="00A83C34" w:rsidRDefault="00D5219F" w:rsidP="00D5219F">
      <w:pPr>
        <w:pStyle w:val="IntrtEEE"/>
      </w:pPr>
      <w:r w:rsidRPr="00D5219F">
        <w:t>(Test b’rilevanza għaż-ŻEE)</w:t>
      </w:r>
    </w:p>
    <w:p w14:paraId="5C82FF64" w14:textId="77777777" w:rsidR="00EE41CC" w:rsidRPr="00A83C34" w:rsidRDefault="001B445C">
      <w:pPr>
        <w:pStyle w:val="Institutionquiagit"/>
      </w:pPr>
      <w:r w:rsidRPr="00A83C34">
        <w:t>IL-KUMMISSJONI EWROPEA,</w:t>
      </w:r>
    </w:p>
    <w:p w14:paraId="288C7C77" w14:textId="77777777" w:rsidR="00EE41CC" w:rsidRPr="00A83C34" w:rsidRDefault="001B445C">
      <w:r w:rsidRPr="00A83C34">
        <w:t>Wara li kkunsidrat it-Trattat dwar il-Funzjonament tal-Unjoni Ewropea ,</w:t>
      </w:r>
    </w:p>
    <w:p w14:paraId="308FB29B" w14:textId="2835F500" w:rsidR="00EE41CC" w:rsidRPr="00A83C34" w:rsidRDefault="001B445C">
      <w:r w:rsidRPr="00A83C34">
        <w:t>Wara li kkunsidrat ir-Regolament (UE) 575/2013 tal-Parlament Ewropew u tal-Kunsill tas-26 ta’ Ġunju 2013 dwar ir-rekwiżiti prudenzjali għall-istituzzjonijiet ta’ kreditu u d-ditti tal-investiment u li jemenda r-Regolament (UE) Nru 648/2012</w:t>
      </w:r>
      <w:r w:rsidRPr="00A83C34">
        <w:rPr>
          <w:rStyle w:val="FootnoteReference"/>
        </w:rPr>
        <w:footnoteReference w:id="1"/>
      </w:r>
      <w:r w:rsidRPr="00A83C34">
        <w:t>, u b’mod partikolari l-Artikolu 99(5) tiegħu.</w:t>
      </w:r>
    </w:p>
    <w:p w14:paraId="13C3A1D4" w14:textId="77777777" w:rsidR="00EE41CC" w:rsidRPr="00A83C34" w:rsidRDefault="001B445C">
      <w:r w:rsidRPr="00A83C34">
        <w:t>Billi:</w:t>
      </w:r>
    </w:p>
    <w:p w14:paraId="5323FA5C" w14:textId="6D899A74" w:rsidR="00EE41CC" w:rsidRPr="00A83C34" w:rsidRDefault="001B445C">
      <w:pPr>
        <w:pStyle w:val="Considrant"/>
        <w:numPr>
          <w:ilvl w:val="0"/>
          <w:numId w:val="10"/>
        </w:numPr>
      </w:pPr>
      <w:r w:rsidRPr="00A83C34">
        <w:t>Ir-Regolament ta’ Implimentazzjoni tal-Kummissjoni (UE) Nru 680/2014</w:t>
      </w:r>
      <w:r w:rsidRPr="00A83C34">
        <w:rPr>
          <w:rStyle w:val="FootnoteReference"/>
        </w:rPr>
        <w:footnoteReference w:id="2"/>
      </w:r>
      <w:r w:rsidRPr="00A83C34">
        <w:t xml:space="preserve"> jistabbilixxi rekwiżiti uniformi għall-istituzzjonijiet fir-rigward tar-rappurtar superviżorju lill-awtoritajiet kompetenti għall-finijiet tal-Artikoli 99 u 100, tal-Artikolu 101(4)(a), tal-Artikolu 394(1), u tal-Artikoli 415 u 430 tar-Regolament (UE) Nru 575/2013.</w:t>
      </w:r>
    </w:p>
    <w:p w14:paraId="26488C0A" w14:textId="7104C3B3" w:rsidR="00EE41CC" w:rsidRPr="00A83C34" w:rsidRDefault="00EA64E6">
      <w:pPr>
        <w:pStyle w:val="Considrant"/>
      </w:pPr>
      <w:r w:rsidRPr="00A83C34">
        <w:t>Ir-Regolament (UE) 2017/2402 tal-Parlament Ewropew u tal-Kunsill</w:t>
      </w:r>
      <w:r w:rsidRPr="00A83C34">
        <w:rPr>
          <w:rStyle w:val="FootnoteReference"/>
        </w:rPr>
        <w:footnoteReference w:id="3"/>
      </w:r>
      <w:r w:rsidRPr="00A83C34">
        <w:t xml:space="preserve"> stabbilixxa qafas ġdid għat-titolizzazzjoni, inkluż qafas speċifiku għal titolizzazzjonijiet sempliċi, trasparenti u standardizzati </w:t>
      </w:r>
      <w:r w:rsidRPr="00A83C34">
        <w:tab/>
        <w:t>(STS). Dan ir-Regolament stabbilixxa trattament preferenzjali għal titolizzazzjonijiet STS u għal ċerti titolizzazzjonijiet sintetiċi tal-SMEs u stabbilixxa qafas għal trattament regolatorju aktar sensittiv għar-riskju tal-iskoperturi għat-titolizzazzjonijiet. Ir-Regolament ta’ Implimentazzjoni (UE) Nru 680/2014 jeħtieġ li jiġi emendat biex jakkomoda r-rappurtar dwar il-pożizzjonijiet ta’ titolizzazzjoni għal dan il-qafas ġdid ta’ titolizzazzjoni.</w:t>
      </w:r>
    </w:p>
    <w:p w14:paraId="483135B2" w14:textId="65B6C67D" w:rsidR="00EE41CC" w:rsidRPr="00A83C34" w:rsidRDefault="00D913C8">
      <w:pPr>
        <w:pStyle w:val="Considrant"/>
      </w:pPr>
      <w:r w:rsidRPr="00A83C34">
        <w:lastRenderedPageBreak/>
        <w:t>Ir-Regolament tal-Kummissjoni (KE) Nru 1126/2008</w:t>
      </w:r>
      <w:r w:rsidRPr="00A83C34">
        <w:rPr>
          <w:rStyle w:val="FootnoteReference"/>
        </w:rPr>
        <w:footnoteReference w:id="4"/>
      </w:r>
      <w:r w:rsidRPr="00A83C34">
        <w:t xml:space="preserve"> ġie emendat bir-Regolament tal-Kummissjoni (UE) Nru 2017/1986</w:t>
      </w:r>
      <w:r w:rsidRPr="00A83C34">
        <w:rPr>
          <w:rStyle w:val="FootnoteReference"/>
        </w:rPr>
        <w:footnoteReference w:id="5"/>
      </w:r>
      <w:r w:rsidRPr="00A83C34">
        <w:t xml:space="preserve"> biex iġib lil dak ir-Regolament konformi mal-Istandard Internazzjonali tar-Rapportar Finanzjarju (IFRS) 16 Kuntratti ta’ Kera li l-Bord dwar l-Istandards Internazzjonali tal-Kontabilità (IASB) ippubblika fit-13 ta’ Jannar 2016. Issa jeħtieġ ukoll li r-Regolament ta’ Implimentazzjoni (UE) Nru 680/2014 jiġi emendat biex jirrifletti dawk l-emendi.</w:t>
      </w:r>
    </w:p>
    <w:p w14:paraId="22E5D43E" w14:textId="77777777" w:rsidR="00EE41CC" w:rsidRPr="00A83C34" w:rsidRDefault="00EE58F1">
      <w:pPr>
        <w:pStyle w:val="Considrant"/>
        <w:rPr>
          <w:color w:val="000000"/>
        </w:rPr>
      </w:pPr>
      <w:r w:rsidRPr="00A83C34">
        <w:t>Jenħtieġ li l-awtoritajiet kompetenti jkunu jistgħu jimmonitorjaw u jivvalutaw b’mod effettiv il-profil tar-riskju tal-istituzzjonijiet u jiksbu opinjoni dwar ir-riskji għas-settur finanzjarju. Livell għoli ta’ skoperturi improduttivi (NPEs) jaffettwa l-profil tar-riskju, il-profittabbiltà u s-solvenza tal-istituzzjonijiet, u fl-aħħar mill-aħħar jaffettwa l-kapaċità li jingħata self lill-ekonomija ġenerali. Ir-rekwiżiti tar-rapportar jenħtieġ għalhekk li jiġu riveduti biex tissaħħaħ il-kapaċità tal-awtoritajiet kompetenti li jivvalutaw u jimmonitorjaw l-iskoperturi improduttivi billi jiġbru informazzjoni aktar granulari dwar dawn l-iskoperturi fuq bażi rikorrenti u biex jimlew il-lakuni identifikati fid-</w:t>
      </w:r>
      <w:r w:rsidRPr="00A83C34">
        <w:rPr>
          <w:i/>
          <w:iCs/>
        </w:rPr>
        <w:t>data</w:t>
      </w:r>
      <w:r w:rsidRPr="00A83C34">
        <w:t>.</w:t>
      </w:r>
    </w:p>
    <w:p w14:paraId="660C1B8C" w14:textId="77777777" w:rsidR="00EE41CC" w:rsidRPr="00A83C34" w:rsidRDefault="00F95996">
      <w:pPr>
        <w:pStyle w:val="Considrant"/>
        <w:rPr>
          <w:color w:val="000000"/>
        </w:rPr>
      </w:pPr>
      <w:r w:rsidRPr="00A83C34">
        <w:t>Barra minn hekk, l-istruttura u l-firxa tal-ispejjeż tal-istituzzjonijiet jinfluwenzaw b’mod sinifikanti l-profittabbiltà u s-sostenibbiltà tal-mudelli ta’ negozju tal-istituzzjonijiet. Sabiex l-awtoritajiet kompetenti jiksbu għarfien aktar profond dwar dawk l-ispejjeż, il-qafas tar-rappurtar jenħtieġ li jittejjeb.</w:t>
      </w:r>
    </w:p>
    <w:p w14:paraId="7989BF92" w14:textId="77777777" w:rsidR="00EE41CC" w:rsidRPr="00A83C34" w:rsidRDefault="00EA64E6">
      <w:pPr>
        <w:pStyle w:val="Considrant"/>
      </w:pPr>
      <w:r w:rsidRPr="00A83C34">
        <w:t>Ir-Regolament Delegat tal-Kummissjoni (UE) Nru 2015/61</w:t>
      </w:r>
      <w:r w:rsidRPr="00A83C34">
        <w:rPr>
          <w:rStyle w:val="FootnoteReference"/>
        </w:rPr>
        <w:footnoteReference w:id="6"/>
      </w:r>
      <w:r w:rsidRPr="00A83C34">
        <w:t xml:space="preserve"> ġie emendat mir-Regolament Delegat tal-Kummissjoni (UE) Nru 2018/1620</w:t>
      </w:r>
      <w:r w:rsidRPr="00A83C34">
        <w:rPr>
          <w:rStyle w:val="FootnoteReference"/>
        </w:rPr>
        <w:footnoteReference w:id="7"/>
      </w:r>
      <w:r w:rsidRPr="00A83C34">
        <w:t xml:space="preserve"> </w:t>
      </w:r>
      <w:r w:rsidRPr="00A83C34">
        <w:rPr>
          <w:color w:val="444444"/>
        </w:rPr>
        <w:t xml:space="preserve">biex itejjeb l-allinjament mal-istandards internazzjonali u jiffaċilita mmaniġġjar aktar effiċjenti tal-likwidità mill-istituzzjonijiet ta’ kreditu. </w:t>
      </w:r>
      <w:r w:rsidRPr="00A83C34">
        <w:t>Bl-istess mod ir-Regolament ta’ Implimentazzjoni (UE) Nru 680/2014 jenħtieġ li jiġi emendat biex jirrifletti dawk l-emendi fil-qafas ta’ rappurtar tar-rekwiżiti ta’ kopertura tal-likwidità għall-istituzzjonijiet ta’ kreditu.</w:t>
      </w:r>
    </w:p>
    <w:p w14:paraId="34872B97" w14:textId="77777777" w:rsidR="00EE41CC" w:rsidRPr="00A83C34" w:rsidRDefault="003F04FB">
      <w:pPr>
        <w:pStyle w:val="Considrant"/>
      </w:pPr>
      <w:r w:rsidRPr="00A83C34">
        <w:t>Barra minn hekk, il-formuli u l-istruzzjonijiet tar-Regolament ta’ Implimentazzjoni (UE) Nru 680/2014 jenħtieġ li jiġu rieżaminati wkoll biex jiġu vvalutati mill-ġdid il-konvenjenza u l-adegwatezza tal-entrati ta’ memorandum li jinsabu fil-formuli u l-istruzzjonijiet matul is-snin bikrin tal-implimentazzjoni ta’ dak ir-Regolament kif ukoll biex jiġu kkoreġuti żbalji tipografiċi, referenzi żbaljati u inkonsistenzi fl-ifformattjar li ġew skoperti matul l-applikazzjoni tiegħu.</w:t>
      </w:r>
    </w:p>
    <w:p w14:paraId="40A01AE5" w14:textId="5ED49F5D" w:rsidR="00EE41CC" w:rsidRPr="00A83C34" w:rsidRDefault="00B31B60">
      <w:pPr>
        <w:pStyle w:val="Considrant"/>
      </w:pPr>
      <w:r w:rsidRPr="00A83C34">
        <w:lastRenderedPageBreak/>
        <w:t xml:space="preserve">L-awtoritajiet kompetenti jenħtieġ li jkunu jistgħu jirċievu informazzjoni mingħand l-istituzzjonijiet li jużaw il-formuli emendati b’dan ir-Regolament ta’ Implimentazzjoni mill-aktar fis possibbli sabiex ikunu jistgħu jeżerċitaw il-funzjonijiet superviżorji tagħhom b’mod effettiv. Il-qafas ġdid ta’ titolizzazzjoni tal-Unjoni jsir applikabbli b’mod sħiħ fl-1 ta’ Jannar 2020 wara li jiskadu d-dispożizzjonijiet tranżizzjonali. Għalhekk, ir-rekwiżiti riveduti ta’ rappurtar dwar il-fondi proprji u r-rekwiżiti ta’ fondi proprji stabbiliti f’dan ir-Regolament ta’ Implimentazzjoni jenħtieġ li japplikaw mit-30 ta’ Marzu 2020. Sabiex l-istituzzjonijiet u l-awtoritajiet kompetenti jingħataw żmien biżżejjed jimplimentaw ir-rekwiżiti riveduti ta’ rappurtar dwar l-NPEs, l-obbligi ta’ dejn soġġetti għal miżuri ta’ tolleranza, l-ispejjeż operazzjonali u amministrattivi u l-informazzjoni finanzjarja, li huma stabbiliti fl-Annessi III sa V ta’ dan ir-Regolament ta’ Implimentazzjoni, dawk ir-rekwiżiti riveduti ta’ rappurtar jenħtieġ li japplikaw mill-1 ta’ Ġunju 2020. Fl-aħħar nett, filwaqt li jitqiesu l-emendi introdotti bir-Regolament Delegat (UE) 2018/1620 li japplikaw mit-30 ta’ April 2019, id-dispożizzjonijiet ta’ dan ir-Regolament ta’ Implimentazzjoni dwar ir-rappurtar tal-likwidità jenħtieġ li japplikaw mill-1 ta’ April 2020. </w:t>
      </w:r>
    </w:p>
    <w:p w14:paraId="59349144" w14:textId="77777777" w:rsidR="00EE41CC" w:rsidRPr="00A83C34" w:rsidRDefault="001B445C">
      <w:pPr>
        <w:pStyle w:val="Considrant"/>
        <w:rPr>
          <w:color w:val="000000"/>
        </w:rPr>
      </w:pPr>
      <w:r w:rsidRPr="00A83C34">
        <w:t>Dan ir-Regolament huwa bbażat fuq l-abbozz tal-istandards tekniċi ta’ implimentazzjoni ppreżentati mill-Awtorità Bankarja Ewropea (EBA) lill-Kummissjoni.</w:t>
      </w:r>
    </w:p>
    <w:p w14:paraId="50B5C1E2" w14:textId="77777777" w:rsidR="00EE41CC" w:rsidRPr="00A83C34" w:rsidRDefault="001B445C">
      <w:pPr>
        <w:pStyle w:val="Considrant"/>
        <w:rPr>
          <w:color w:val="000000"/>
        </w:rPr>
      </w:pPr>
      <w:r w:rsidRPr="00A83C34">
        <w:t>L-ABE wettqet konsultazzjonijiet pubbliċi miftuħa dwar l-abbozz tal-istandards tekniċi ta’ implementazzjoni li fuqhom huwa bbażat dan ir-Regolament, analizzat il-kostijiet u l-benefiċċji potenzjali relatati u talbet l-opinjoni tal-Grupp tal-Partijiet Bankarji Interessati stabbilit skont l-Artikolu 37 tar-Regolament (UE) Nru 1093/2010 tal-Parlament Ewropew u tal-Kunsill</w:t>
      </w:r>
      <w:r w:rsidRPr="00A83C34">
        <w:rPr>
          <w:rStyle w:val="FootnoteReference"/>
        </w:rPr>
        <w:footnoteReference w:id="8"/>
      </w:r>
      <w:r w:rsidRPr="00A83C34">
        <w:t>. F’konformità mat-tieni subparagrafu tal-Artikolu 15(1) ta’ dak ir-Regolament, l-EBA ma wettqet l-ebda konsultazzjoni pubblika miftuħa fir-rigward ta’ dawk il-partijiet tal-abbozz tal-istandards tekniċi ta’ implimentazzjoni li fuqhom huwa bbażat dan ir-Regolament li huma jew ta’ natura editorjali jew li jintroduċu biss għadd limitat ta’ elementi fil-qafas tar-rapportar superviżorju. Tali konsultazzjoni tkun sproporzjonata fir-rigward tal-ambitu u tal-impatt tal-abbozz tal-istandards tekniċi ta’ implimentazzjoni kkonċernati.</w:t>
      </w:r>
    </w:p>
    <w:p w14:paraId="67DBCF52" w14:textId="77777777" w:rsidR="00EE41CC" w:rsidRPr="00A83C34" w:rsidRDefault="001B445C">
      <w:pPr>
        <w:pStyle w:val="Considrant"/>
        <w:rPr>
          <w:color w:val="000000"/>
        </w:rPr>
      </w:pPr>
      <w:r w:rsidRPr="00A83C34">
        <w:t>Għaldaqstant, ir-Regolament ta’ Implimentazzjoni (UE) Nru 680/2014 jenħtieġ li jiġi emendat skont dan,</w:t>
      </w:r>
    </w:p>
    <w:p w14:paraId="76AD5CEB" w14:textId="77777777" w:rsidR="00EE41CC" w:rsidRPr="00A83C34" w:rsidRDefault="001B445C">
      <w:pPr>
        <w:pStyle w:val="Formuledadoption"/>
      </w:pPr>
      <w:r w:rsidRPr="00A83C34">
        <w:t>ADOTTAT DAN IR-REGOLAMENT:</w:t>
      </w:r>
    </w:p>
    <w:p w14:paraId="73D2A54B" w14:textId="77777777" w:rsidR="00EE41CC" w:rsidRPr="00A83C34" w:rsidRDefault="001B445C">
      <w:pPr>
        <w:pStyle w:val="Titrearticle"/>
        <w:keepLines/>
        <w:rPr>
          <w:color w:val="000000"/>
          <w:szCs w:val="24"/>
        </w:rPr>
      </w:pPr>
      <w:r w:rsidRPr="00A83C34">
        <w:t>Artikolu 1</w:t>
      </w:r>
    </w:p>
    <w:p w14:paraId="731C2D3F" w14:textId="59043673" w:rsidR="00EE41CC" w:rsidRPr="00A83C34" w:rsidRDefault="001B445C">
      <w:pPr>
        <w:rPr>
          <w:szCs w:val="24"/>
        </w:rPr>
      </w:pPr>
      <w:r w:rsidRPr="00A83C34">
        <w:t>Ir-Regolament ta’ Implimentazzjoni (UE) Nru 680/2014 huwa emendat kif ġej:</w:t>
      </w:r>
    </w:p>
    <w:p w14:paraId="1B00C599" w14:textId="77777777" w:rsidR="00EE41CC" w:rsidRPr="00A83C34" w:rsidRDefault="00C63439">
      <w:pPr>
        <w:pStyle w:val="Point0number"/>
        <w:numPr>
          <w:ilvl w:val="0"/>
          <w:numId w:val="12"/>
        </w:numPr>
      </w:pPr>
      <w:r w:rsidRPr="00A83C34">
        <w:t>L-Artikolu 5 huwa emendat kif ġej:</w:t>
      </w:r>
    </w:p>
    <w:p w14:paraId="07A92DDE" w14:textId="77777777" w:rsidR="00EE41CC" w:rsidRPr="00A83C34" w:rsidRDefault="00C63439">
      <w:pPr>
        <w:pStyle w:val="Point1letter"/>
        <w:numPr>
          <w:ilvl w:val="3"/>
          <w:numId w:val="11"/>
        </w:numPr>
      </w:pPr>
      <w:r w:rsidRPr="00A83C34">
        <w:t>il-punt (a) huwa emendat kif ġej:</w:t>
      </w:r>
    </w:p>
    <w:p w14:paraId="0051425E" w14:textId="77777777" w:rsidR="00EE41CC" w:rsidRPr="00A83C34" w:rsidRDefault="00294A2C">
      <w:pPr>
        <w:pStyle w:val="Text2"/>
      </w:pPr>
      <w:r w:rsidRPr="00A83C34">
        <w:t>(i)</w:t>
      </w:r>
      <w:r w:rsidRPr="00A83C34">
        <w:tab/>
        <w:t>Il-punt (7) jitħassar;</w:t>
      </w:r>
    </w:p>
    <w:p w14:paraId="486BC3C6" w14:textId="77777777" w:rsidR="00EE41CC" w:rsidRPr="00A83C34" w:rsidRDefault="00294A2C">
      <w:pPr>
        <w:pStyle w:val="Text2"/>
      </w:pPr>
      <w:r w:rsidRPr="00A83C34">
        <w:lastRenderedPageBreak/>
        <w:t>(ii)</w:t>
      </w:r>
      <w:r w:rsidRPr="00A83C34">
        <w:tab/>
        <w:t>il-punt (8) jinbidel b’dan li ġej:</w:t>
      </w:r>
    </w:p>
    <w:p w14:paraId="6942628A" w14:textId="77777777" w:rsidR="00EE41CC" w:rsidRPr="00A83C34" w:rsidRDefault="00294A2C">
      <w:pPr>
        <w:pStyle w:val="Text1"/>
        <w:ind w:left="2268" w:right="568" w:hanging="567"/>
        <w:rPr>
          <w:szCs w:val="24"/>
        </w:rPr>
      </w:pPr>
      <w:r w:rsidRPr="00A83C34">
        <w:t>“(8)</w:t>
      </w:r>
      <w:r w:rsidRPr="00A83C34">
        <w:tab/>
        <w:t>“l-informazzjoni dwar l-iskoperturi għat-titolizzazzjoni speċifikata fil-formula 13.01 tal-Anness I, skont l-istruzzjonijiet fil-punt 3.7 tal-Parti II tal-Anness II;”;</w:t>
      </w:r>
    </w:p>
    <w:p w14:paraId="32CB27AB" w14:textId="77777777" w:rsidR="00EE41CC" w:rsidRPr="00A83C34" w:rsidRDefault="00D63710">
      <w:pPr>
        <w:pStyle w:val="Point1letter"/>
      </w:pPr>
      <w:r w:rsidRPr="00A83C34">
        <w:t>fil-punt (b), il-punt (1) jinbidel b’dan li ġej:</w:t>
      </w:r>
    </w:p>
    <w:p w14:paraId="2C729D6F" w14:textId="1DF29E03" w:rsidR="00EE41CC" w:rsidRPr="00A83C34" w:rsidRDefault="00DC3927">
      <w:pPr>
        <w:pStyle w:val="Text1"/>
        <w:ind w:left="1701" w:right="568" w:hanging="567"/>
        <w:rPr>
          <w:szCs w:val="24"/>
        </w:rPr>
      </w:pPr>
      <w:r w:rsidRPr="00A83C34">
        <w:t>“(1)</w:t>
      </w:r>
      <w:r w:rsidRPr="00A83C34">
        <w:tab/>
        <w:t>“l-informazzjoni dwar l-iskoperturi kollha għat-titolizzazzjoni kif speċifikat fil-formuli 14 u 14.01 tal-Anness I, skont l-istruzzjonijiet fil-punt 3.9 tal-Parti II tal-Anness II;</w:t>
      </w:r>
    </w:p>
    <w:p w14:paraId="36BD954D" w14:textId="62EBDF1E" w:rsidR="00EE41CC" w:rsidRPr="00A83C34" w:rsidRDefault="002A096A">
      <w:pPr>
        <w:pStyle w:val="Text1"/>
        <w:ind w:left="1701" w:right="568"/>
        <w:rPr>
          <w:szCs w:val="24"/>
        </w:rPr>
      </w:pPr>
      <w:r w:rsidRPr="00A83C34">
        <w:t>L-istituzzjonijiet għandhom ikunu eżentati milli jippreżentaw dawk id-dettalji ta’ titolizzazzjoni meta jkunu parti minn grupp fl-istess pajjiż li fih ikunu soġġetti għar-rekwiżiti ta’ fondi proprji;”;</w:t>
      </w:r>
    </w:p>
    <w:p w14:paraId="22157E12" w14:textId="77777777" w:rsidR="00EE41CC" w:rsidRPr="00A83C34" w:rsidRDefault="00DC3927">
      <w:r w:rsidRPr="00A83C34">
        <w:t>(2)</w:t>
      </w:r>
      <w:r w:rsidRPr="00A83C34">
        <w:tab/>
        <w:t>fl-Artikolu 9, il-paragrafu 2 huwa emendat kif ġej:</w:t>
      </w:r>
    </w:p>
    <w:p w14:paraId="2D923CE0" w14:textId="77777777" w:rsidR="00EE41CC" w:rsidRPr="00A83C34" w:rsidRDefault="00C52F81">
      <w:pPr>
        <w:pStyle w:val="Text1"/>
      </w:pPr>
      <w:r w:rsidRPr="00A83C34">
        <w:t>(i)</w:t>
      </w:r>
      <w:r w:rsidRPr="00A83C34">
        <w:tab/>
        <w:t>il-punt (c) jinbidel b’dan li ġej:</w:t>
      </w:r>
    </w:p>
    <w:p w14:paraId="5E362A06" w14:textId="77777777" w:rsidR="00EE41CC" w:rsidRPr="00A83C34" w:rsidRDefault="00DC3927">
      <w:pPr>
        <w:pStyle w:val="Text1"/>
        <w:ind w:left="1701" w:right="568" w:hanging="567"/>
        <w:rPr>
          <w:szCs w:val="24"/>
        </w:rPr>
      </w:pPr>
      <w:r w:rsidRPr="00A83C34">
        <w:t>“(c)</w:t>
      </w:r>
      <w:r w:rsidRPr="00A83C34">
        <w:tab/>
        <w:t>l-informazzjoni speċifikata fil-Parti 4 tal-Anness III, bl-eċċezzjoni tal-informazzjoni speċifikata fil-formula 47, bi frekwenza annwali;”;</w:t>
      </w:r>
    </w:p>
    <w:p w14:paraId="5EF72169" w14:textId="77777777" w:rsidR="00EE41CC" w:rsidRPr="00A83C34" w:rsidRDefault="00C52F81">
      <w:pPr>
        <w:pStyle w:val="Text1"/>
      </w:pPr>
      <w:r w:rsidRPr="00A83C34">
        <w:t>(ii)</w:t>
      </w:r>
      <w:r w:rsidRPr="00A83C34">
        <w:tab/>
        <w:t>jiżdiedu l-punti (h) u (i) li ġejjin:</w:t>
      </w:r>
    </w:p>
    <w:p w14:paraId="49C9B54D" w14:textId="77777777" w:rsidR="00EE41CC" w:rsidRPr="00A83C34" w:rsidRDefault="00C52F81">
      <w:pPr>
        <w:pStyle w:val="Text1"/>
        <w:ind w:left="1701" w:right="568" w:hanging="567"/>
        <w:rPr>
          <w:szCs w:val="24"/>
        </w:rPr>
      </w:pPr>
      <w:r w:rsidRPr="00A83C34">
        <w:t>“(h)</w:t>
      </w:r>
      <w:r w:rsidRPr="00A83C34">
        <w:tab/>
        <w:t>bi frekwenza trimestrali, l-informazzjoni speċifikata fil-formuli 23 sa 26 fil-Parti 2 tal-Anness III meta jiġu ssodisfati ż-żewġ kundizzjonijiet li ġejjin:</w:t>
      </w:r>
    </w:p>
    <w:p w14:paraId="5A3D23FC" w14:textId="77777777" w:rsidR="00EE41CC" w:rsidRPr="00A83C34" w:rsidRDefault="001B445C">
      <w:pPr>
        <w:pStyle w:val="Text2"/>
        <w:ind w:left="2268" w:right="568" w:hanging="567"/>
        <w:rPr>
          <w:szCs w:val="24"/>
        </w:rPr>
      </w:pPr>
      <w:r w:rsidRPr="00A83C34">
        <w:t>(i)</w:t>
      </w:r>
      <w:r w:rsidRPr="00A83C34">
        <w:tab/>
        <w:t>l-istituzzjoni ma tkunx istituzzjoni żgħira u mhux kumplessa kif definit fil-punt (145) tal-Artikolu 4(1) tar-Regolament (UE) Nru 575/2013;</w:t>
      </w:r>
    </w:p>
    <w:p w14:paraId="769A72A7" w14:textId="7FA489CA" w:rsidR="00EE41CC" w:rsidRPr="00A83C34" w:rsidRDefault="001B445C">
      <w:pPr>
        <w:pStyle w:val="Text2"/>
        <w:ind w:left="2268" w:right="568" w:hanging="567"/>
        <w:rPr>
          <w:szCs w:val="24"/>
        </w:rPr>
      </w:pPr>
      <w:r w:rsidRPr="00A83C34">
        <w:t>(ii)</w:t>
      </w:r>
      <w:r w:rsidRPr="00A83C34">
        <w:tab/>
        <w:t>il-proporzjon bejn l-ammont riportat gross tal-istituzzjoni ta’ self u avvanzi improduttivi u l-ammont riportat gross totali ta’ self u avvanzi li jaqgħu fil-kategorija ta’ skoperturi improduttivi kif stabbilit fit-taqsima 17 tal-Parti 2 tal-Anness V ta’ dan ir-Regolament ikun ta’ 5 % jew aktar. Għall-finijiet ta’ dan il-punt, il-proporzjon għandu jeskludi self u avvanzi kklassifikati bħala miżmuma għall-bejgħ, bilanċi ta’ flus f’banek ċentrali u depożiti ta’ domanda oħrajn kemm fin-numeratur kif ukoll fid-denominatur.</w:t>
      </w:r>
    </w:p>
    <w:p w14:paraId="1E2D7764" w14:textId="77777777" w:rsidR="00EE41CC" w:rsidRPr="00A83C34" w:rsidRDefault="0084057B">
      <w:pPr>
        <w:pStyle w:val="Text2"/>
        <w:ind w:left="1678" w:right="568" w:firstLine="23"/>
        <w:rPr>
          <w:szCs w:val="24"/>
        </w:rPr>
      </w:pPr>
      <w:r w:rsidRPr="00A83C34">
        <w:t>Il-kriterji tad-dħul u l-ħruġ imsemmija fl-Artikolu 4 għandhom japplikaw.</w:t>
      </w:r>
    </w:p>
    <w:p w14:paraId="514A0195" w14:textId="77777777" w:rsidR="00EE41CC" w:rsidRPr="00A83C34" w:rsidRDefault="00D63710">
      <w:pPr>
        <w:pStyle w:val="Text1"/>
        <w:ind w:left="1701" w:right="568" w:hanging="567"/>
        <w:rPr>
          <w:szCs w:val="24"/>
        </w:rPr>
      </w:pPr>
      <w:r w:rsidRPr="00A83C34">
        <w:t>(i)</w:t>
      </w:r>
      <w:r w:rsidRPr="00A83C34">
        <w:tab/>
        <w:t>bi frekwenza annwali, l-informazzjoni speċifikata fil-formula 47 fil-Parti 4 tal-Anness III meta jiġu ssodisfati ż-żewġ kundizzjonijiet imsemmija fil-punti (i) u (ii) tal-punt (h) ta’ dan il-paragrafu. Il-kriterji tad-dħul u l-ħruġ imsemmija fl-Artikolu 4 għandhom japplikaw.”;</w:t>
      </w:r>
    </w:p>
    <w:p w14:paraId="1F2B8B32" w14:textId="77777777" w:rsidR="00EE41CC" w:rsidRPr="00A83C34" w:rsidRDefault="00D63710">
      <w:pPr>
        <w:pStyle w:val="Text1"/>
        <w:ind w:left="567" w:hanging="567"/>
        <w:rPr>
          <w:szCs w:val="24"/>
        </w:rPr>
      </w:pPr>
      <w:r w:rsidRPr="00A83C34">
        <w:t>(3)</w:t>
      </w:r>
      <w:r w:rsidRPr="00A83C34">
        <w:tab/>
        <w:t>fl-Artikolu 11, il-paragrafu 2 huwa emendat kif ġej:</w:t>
      </w:r>
    </w:p>
    <w:p w14:paraId="6487BD60" w14:textId="77777777" w:rsidR="00EE41CC" w:rsidRPr="00A83C34" w:rsidRDefault="00D63710">
      <w:pPr>
        <w:pStyle w:val="Text1"/>
      </w:pPr>
      <w:r w:rsidRPr="00A83C34">
        <w:t>(i)</w:t>
      </w:r>
      <w:r w:rsidRPr="00A83C34">
        <w:tab/>
        <w:t>il-punt (c) jinbidel b’dan li ġej:</w:t>
      </w:r>
    </w:p>
    <w:p w14:paraId="4678FF44" w14:textId="77777777" w:rsidR="00EE41CC" w:rsidRPr="00A83C34" w:rsidRDefault="00D63710">
      <w:pPr>
        <w:pStyle w:val="Text1"/>
        <w:ind w:left="1701" w:right="568" w:hanging="567"/>
        <w:rPr>
          <w:szCs w:val="24"/>
        </w:rPr>
      </w:pPr>
      <w:r w:rsidRPr="00A83C34">
        <w:t>“(c)</w:t>
      </w:r>
      <w:r w:rsidRPr="00A83C34">
        <w:tab/>
        <w:t>l-informazzjoni speċifikata fil-Parti 4 tal-Anness IV, bl-eċċezzjoni tal-informazzjoni speċifikata fil-formula 47, bi frekwenza annwali;”;</w:t>
      </w:r>
    </w:p>
    <w:p w14:paraId="2AE5A30E" w14:textId="77777777" w:rsidR="00EE41CC" w:rsidRPr="00A83C34" w:rsidRDefault="00D63710">
      <w:pPr>
        <w:pStyle w:val="Text1"/>
      </w:pPr>
      <w:r w:rsidRPr="00A83C34">
        <w:t>(ii)</w:t>
      </w:r>
      <w:r w:rsidRPr="00A83C34">
        <w:tab/>
        <w:t>jiżdiedu l-punti (h) u (i) li ġejjin:</w:t>
      </w:r>
    </w:p>
    <w:p w14:paraId="46AD1146" w14:textId="77777777" w:rsidR="00EE41CC" w:rsidRPr="00A83C34" w:rsidRDefault="00D63710">
      <w:pPr>
        <w:pStyle w:val="Text1"/>
        <w:ind w:left="1701" w:hanging="567"/>
        <w:rPr>
          <w:szCs w:val="24"/>
        </w:rPr>
      </w:pPr>
      <w:r w:rsidRPr="00A83C34">
        <w:lastRenderedPageBreak/>
        <w:t>“(h)</w:t>
      </w:r>
      <w:r w:rsidRPr="00A83C34">
        <w:tab/>
        <w:t>bi frekwenza trimestrali, l-informazzjoni speċifikata fil-formuli 23 sa 26 fil-Parti 2 tal-Anness IV meta jiġu ssodisfati l-kundizzjonijiet imsemmija fil-punti (i) u (ii) tal-punt (h) tal-Artikolu 9(2). Il-kriterji tad-dħul u l-ħruġ imsemmija fl-Artikolu 4 għandhom japplikaw;</w:t>
      </w:r>
    </w:p>
    <w:p w14:paraId="787C8551" w14:textId="77777777" w:rsidR="00EE41CC" w:rsidRPr="00A83C34" w:rsidRDefault="001B445C">
      <w:pPr>
        <w:pStyle w:val="Text1"/>
        <w:ind w:left="1701" w:hanging="567"/>
        <w:rPr>
          <w:szCs w:val="24"/>
        </w:rPr>
      </w:pPr>
      <w:r w:rsidRPr="00A83C34">
        <w:t>(i)</w:t>
      </w:r>
      <w:r w:rsidRPr="00A83C34">
        <w:tab/>
        <w:t>bi frekwenza annwali, l-informazzjoni speċifikata fil-formula 47 fil-Parti 4 tal-Anness IV meta jiġu ssodisfati l-kundizzjonijiet imsemmija fil-punti (i) u (ii) tal-punt (h) tal-Artikolu 9(2). Il-kriterji tad-dħul u l-ħruġ imsemmija fl-Artikolu 4 għandhom japplikaw.”;</w:t>
      </w:r>
    </w:p>
    <w:p w14:paraId="5C135AED" w14:textId="77777777" w:rsidR="00EE41CC" w:rsidRPr="00A83C34" w:rsidRDefault="00D63710">
      <w:r w:rsidRPr="00A83C34">
        <w:t>(4)</w:t>
      </w:r>
      <w:r w:rsidRPr="00A83C34">
        <w:tab/>
        <w:t>L-Anness I tar-Regolament ta’ Implimentazzjoni (UE) Nru 680/2014 jinbidel bit-test fl-Anness I ta’ dan ir-Regolament;</w:t>
      </w:r>
    </w:p>
    <w:p w14:paraId="6D942284" w14:textId="77777777" w:rsidR="00EE41CC" w:rsidRPr="00A83C34" w:rsidRDefault="00D63710">
      <w:r w:rsidRPr="00A83C34">
        <w:t>(5)</w:t>
      </w:r>
      <w:r w:rsidRPr="00A83C34">
        <w:tab/>
        <w:t xml:space="preserve">L-Anness II tar-Regolament ta’ Implimentazzjoni (UE) Nru 680/2014 jinbidel bit-test fl-Anness II ta’ dan ir-Regolament. </w:t>
      </w:r>
    </w:p>
    <w:p w14:paraId="66FD1BC9" w14:textId="77777777" w:rsidR="00EE41CC" w:rsidRPr="00A83C34" w:rsidRDefault="00D63710">
      <w:r w:rsidRPr="00A83C34">
        <w:t>(6)</w:t>
      </w:r>
      <w:r w:rsidRPr="00A83C34">
        <w:tab/>
        <w:t xml:space="preserve">L-Anness III tar-Regolament ta’ Implimentazzjoni (UE) Nru 680/2014 jinbidel bit-test fl-Anness III ta’ dan ir-Regolament. </w:t>
      </w:r>
    </w:p>
    <w:p w14:paraId="171FD559" w14:textId="77777777" w:rsidR="00EE41CC" w:rsidRPr="00A83C34" w:rsidRDefault="00D63710">
      <w:r w:rsidRPr="00A83C34">
        <w:t>(7)</w:t>
      </w:r>
      <w:r w:rsidRPr="00A83C34">
        <w:tab/>
        <w:t xml:space="preserve">L-Anness IV tar-Regolament ta’ Implimentazzjoni (UE) Nru 680/2014 jinbidel bit-test fl-Anness IV ta’ dan ir-Regolament. </w:t>
      </w:r>
    </w:p>
    <w:p w14:paraId="3B487D51" w14:textId="77777777" w:rsidR="00EE41CC" w:rsidRPr="00A83C34" w:rsidRDefault="00D63710">
      <w:r w:rsidRPr="00A83C34">
        <w:t>(8)</w:t>
      </w:r>
      <w:r w:rsidRPr="00A83C34">
        <w:tab/>
        <w:t>L-Anness V tar-Regolament ta’ Implimentazzjoni (UE) Nru 680/2014 jinbidel bit-test fl-Anness V ta’ dan ir-Regolament.</w:t>
      </w:r>
    </w:p>
    <w:p w14:paraId="66FC58ED" w14:textId="77777777" w:rsidR="00EE41CC" w:rsidRPr="00A83C34" w:rsidRDefault="00D63710">
      <w:r w:rsidRPr="00A83C34">
        <w:t>(9)</w:t>
      </w:r>
      <w:r w:rsidRPr="00A83C34">
        <w:tab/>
        <w:t>L-Anness XVIII tar-Regolament ta’ Implimentazzjoni (UE) Nru 680/2014 jinbidel bit-test fl-Anness VI ta’ dan ir-Regolament;</w:t>
      </w:r>
    </w:p>
    <w:p w14:paraId="79EC6764" w14:textId="77777777" w:rsidR="00EE41CC" w:rsidRPr="00A83C34" w:rsidRDefault="00D63710">
      <w:r w:rsidRPr="00A83C34">
        <w:t>(10)</w:t>
      </w:r>
      <w:r w:rsidRPr="00A83C34">
        <w:tab/>
        <w:t xml:space="preserve">L-Anness XIX tar-Regolament ta’ Implimentazzjoni (UE) Nru 680/2014 jinbidel bit-test fl-Anness VII ta’ dan ir-Regolament. </w:t>
      </w:r>
    </w:p>
    <w:p w14:paraId="7D476BB9" w14:textId="77777777" w:rsidR="00EE41CC" w:rsidRPr="00A83C34" w:rsidRDefault="00D63710">
      <w:r w:rsidRPr="00A83C34">
        <w:t>(11)</w:t>
      </w:r>
      <w:r w:rsidRPr="00A83C34">
        <w:tab/>
        <w:t>L-Anness XXIV tar-Regolament ta’ Implimentazzjoni (UE) Nru 680/2014 jinbidel bit-test fl-Anness VIII ta’ dan ir-Regolament;</w:t>
      </w:r>
    </w:p>
    <w:p w14:paraId="37FC96E9" w14:textId="77777777" w:rsidR="00EE41CC" w:rsidRPr="00A83C34" w:rsidRDefault="00D63710">
      <w:r w:rsidRPr="00A83C34">
        <w:t>(12)</w:t>
      </w:r>
      <w:r w:rsidRPr="00A83C34">
        <w:tab/>
        <w:t>L-Anness XXV tar-Regolament ta’ Implimentazzjoni (UE) Nru 680/2014 jinbidel bit-test fl-Anness IX ta’ dan ir-Regolament.</w:t>
      </w:r>
    </w:p>
    <w:p w14:paraId="7036487A" w14:textId="77777777" w:rsidR="00EE41CC" w:rsidRPr="00A83C34" w:rsidRDefault="001B445C">
      <w:pPr>
        <w:pStyle w:val="Titrearticle"/>
        <w:keepLines/>
        <w:rPr>
          <w:color w:val="000000"/>
          <w:szCs w:val="24"/>
        </w:rPr>
      </w:pPr>
      <w:r w:rsidRPr="00A83C34">
        <w:t>Artikolu 2</w:t>
      </w:r>
    </w:p>
    <w:p w14:paraId="6D87565F" w14:textId="66470D21" w:rsidR="00EE41CC" w:rsidRPr="00A83C34" w:rsidRDefault="001B445C">
      <w:pPr>
        <w:rPr>
          <w:color w:val="000000"/>
          <w:szCs w:val="24"/>
        </w:rPr>
      </w:pPr>
      <w:r w:rsidRPr="00A83C34">
        <w:t>Dan ir-Regolament għandu jidħol fis-seħħ fil-jum wara dak tal-pubblikazzjoni tiegħu f’</w:t>
      </w:r>
      <w:r w:rsidRPr="00A83C34">
        <w:rPr>
          <w:i/>
          <w:iCs/>
        </w:rPr>
        <w:t>Il-Ġurnal Uffiċjali tal-Unjoni Ewropea</w:t>
      </w:r>
      <w:r w:rsidRPr="00A83C34">
        <w:t>.</w:t>
      </w:r>
    </w:p>
    <w:p w14:paraId="7C0963A2" w14:textId="4ECFA9D7" w:rsidR="00EE41CC" w:rsidRPr="00A83C34" w:rsidRDefault="00FB65A6">
      <w:pPr>
        <w:rPr>
          <w:color w:val="000000"/>
          <w:szCs w:val="24"/>
        </w:rPr>
      </w:pPr>
      <w:r w:rsidRPr="00A83C34">
        <w:t>Il-punti (1), (4) u (5) tal-Artikolu 1 għandhom japplikaw mit-30 ta’ Marzu 2020. Il-punti (9) sa (12) tal-Artikolu 1 għandhom japplikaw mill-1 ta’ April 2020. Il-punti (2), (3), (6) sa (8) tal-Artikolu 1 għandhom japplikaw mill-1 ta’ Ġunju 2020.</w:t>
      </w:r>
    </w:p>
    <w:p w14:paraId="0F403810" w14:textId="77777777" w:rsidR="00EE41CC" w:rsidRPr="00A83C34" w:rsidRDefault="001B445C">
      <w:pPr>
        <w:rPr>
          <w:color w:val="000000"/>
          <w:szCs w:val="24"/>
        </w:rPr>
      </w:pPr>
      <w:r w:rsidRPr="00A83C34">
        <w:t>Dan ir-Regolament għandu jorbot fl-intier tiegħu u japplika direttament fl-Istati Membri kollha.</w:t>
      </w:r>
    </w:p>
    <w:p w14:paraId="2DB37B2E" w14:textId="2A742296" w:rsidR="00EE41CC" w:rsidRPr="00A83C34" w:rsidRDefault="00D5219F" w:rsidP="00D5219F">
      <w:pPr>
        <w:pStyle w:val="Fait"/>
      </w:pPr>
      <w:r w:rsidRPr="00D5219F">
        <w:t>Magħmul fi Brussell,</w:t>
      </w:r>
    </w:p>
    <w:p w14:paraId="5989647B" w14:textId="77777777" w:rsidR="00EE41CC" w:rsidRPr="00A83C34" w:rsidRDefault="001B445C">
      <w:pPr>
        <w:pStyle w:val="Institutionquisigne"/>
      </w:pPr>
      <w:r w:rsidRPr="00A83C34">
        <w:tab/>
        <w:t>Għall-Kummissjoni</w:t>
      </w:r>
    </w:p>
    <w:p w14:paraId="06E0BB8C" w14:textId="7F367528" w:rsidR="00EE41CC" w:rsidRPr="00A83C34" w:rsidRDefault="00B71BC4">
      <w:pPr>
        <w:pStyle w:val="Personnequisigne"/>
      </w:pPr>
      <w:r w:rsidRPr="00A83C34">
        <w:tab/>
        <w:t>Il-President</w:t>
      </w:r>
      <w:r w:rsidRPr="00A83C34">
        <w:br/>
      </w:r>
      <w:r w:rsidRPr="00A83C34">
        <w:tab/>
        <w:t>Ursula von der Leyen</w:t>
      </w:r>
    </w:p>
    <w:sectPr w:rsidR="00EE41CC" w:rsidRPr="00A83C34" w:rsidSect="00327D0C">
      <w:footerReference w:type="default" r:id="rId10"/>
      <w:footerReference w:type="first" r:id="rId11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89A566" w14:textId="77777777" w:rsidR="00EE41CC" w:rsidRDefault="001D2590">
      <w:r>
        <w:separator/>
      </w:r>
    </w:p>
    <w:p w14:paraId="169B0B81" w14:textId="77777777" w:rsidR="00EE41CC" w:rsidRDefault="00EE41CC"/>
    <w:p w14:paraId="55151859" w14:textId="77777777" w:rsidR="00EE41CC" w:rsidRDefault="00EE41CC"/>
  </w:endnote>
  <w:endnote w:type="continuationSeparator" w:id="0">
    <w:p w14:paraId="1F1B705E" w14:textId="77777777" w:rsidR="00EE41CC" w:rsidRDefault="001D2590">
      <w:r>
        <w:continuationSeparator/>
      </w:r>
    </w:p>
    <w:p w14:paraId="7AB27653" w14:textId="77777777" w:rsidR="00EE41CC" w:rsidRDefault="00EE41CC"/>
    <w:p w14:paraId="2B72467D" w14:textId="77777777" w:rsidR="00EE41CC" w:rsidRDefault="00EE41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8751D" w14:textId="7830C22F" w:rsidR="00D5219F" w:rsidRPr="00327D0C" w:rsidRDefault="00327D0C" w:rsidP="00327D0C">
    <w:pPr>
      <w:pStyle w:val="Footer"/>
      <w:rPr>
        <w:rFonts w:ascii="Arial" w:hAnsi="Arial" w:cs="Arial"/>
        <w:b/>
        <w:sz w:val="48"/>
      </w:rPr>
    </w:pPr>
    <w:r w:rsidRPr="00327D0C">
      <w:rPr>
        <w:rFonts w:ascii="Arial" w:hAnsi="Arial" w:cs="Arial"/>
        <w:b/>
        <w:sz w:val="48"/>
      </w:rPr>
      <w:t>MT</w:t>
    </w:r>
    <w:r w:rsidRPr="00327D0C">
      <w:rPr>
        <w:rFonts w:ascii="Arial" w:hAnsi="Arial" w:cs="Arial"/>
        <w:b/>
        <w:sz w:val="48"/>
      </w:rPr>
      <w:tab/>
    </w:r>
    <w:r w:rsidRPr="00327D0C">
      <w:rPr>
        <w:rFonts w:ascii="Arial" w:hAnsi="Arial" w:cs="Arial"/>
        <w:b/>
        <w:sz w:val="48"/>
      </w:rPr>
      <w:tab/>
    </w:r>
    <w:r w:rsidRPr="00327D0C">
      <w:tab/>
    </w:r>
    <w:r w:rsidRPr="00327D0C">
      <w:rPr>
        <w:rFonts w:ascii="Arial" w:hAnsi="Arial" w:cs="Arial"/>
        <w:b/>
        <w:sz w:val="48"/>
      </w:rPr>
      <w:t>MT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9F518" w14:textId="562CBE78" w:rsidR="00327D0C" w:rsidRPr="00327D0C" w:rsidRDefault="00327D0C" w:rsidP="00327D0C">
    <w:pPr>
      <w:pStyle w:val="Footer"/>
      <w:rPr>
        <w:rFonts w:ascii="Arial" w:hAnsi="Arial" w:cs="Arial"/>
        <w:b/>
        <w:sz w:val="48"/>
      </w:rPr>
    </w:pPr>
    <w:r w:rsidRPr="00327D0C">
      <w:rPr>
        <w:rFonts w:ascii="Arial" w:hAnsi="Arial" w:cs="Arial"/>
        <w:b/>
        <w:sz w:val="48"/>
      </w:rPr>
      <w:t>MT</w:t>
    </w:r>
    <w:r w:rsidRPr="00327D0C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310E1E">
      <w:rPr>
        <w:noProof/>
      </w:rPr>
      <w:t>3</w:t>
    </w:r>
    <w:r>
      <w:fldChar w:fldCharType="end"/>
    </w:r>
    <w:r>
      <w:tab/>
    </w:r>
    <w:r w:rsidRPr="00327D0C">
      <w:tab/>
    </w:r>
    <w:r w:rsidRPr="00327D0C">
      <w:rPr>
        <w:rFonts w:ascii="Arial" w:hAnsi="Arial" w:cs="Arial"/>
        <w:b/>
        <w:sz w:val="48"/>
      </w:rPr>
      <w:t>MT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BF6A3" w14:textId="77777777" w:rsidR="00327D0C" w:rsidRPr="00327D0C" w:rsidRDefault="00327D0C" w:rsidP="00327D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68417A" w14:textId="77777777" w:rsidR="00EE41CC" w:rsidRDefault="001D2590">
      <w:r>
        <w:separator/>
      </w:r>
    </w:p>
    <w:p w14:paraId="5DA4DBEE" w14:textId="77777777" w:rsidR="00EE41CC" w:rsidRDefault="00EE41CC"/>
    <w:p w14:paraId="189627FC" w14:textId="77777777" w:rsidR="00EE41CC" w:rsidRDefault="00EE41CC"/>
  </w:footnote>
  <w:footnote w:type="continuationSeparator" w:id="0">
    <w:p w14:paraId="3B46B728" w14:textId="77777777" w:rsidR="00EE41CC" w:rsidRDefault="001D2590">
      <w:r>
        <w:continuationSeparator/>
      </w:r>
    </w:p>
    <w:p w14:paraId="22ED3C12" w14:textId="77777777" w:rsidR="00EE41CC" w:rsidRDefault="00EE41CC"/>
    <w:p w14:paraId="02263D68" w14:textId="77777777" w:rsidR="00EE41CC" w:rsidRDefault="00EE41CC"/>
  </w:footnote>
  <w:footnote w:id="1">
    <w:p w14:paraId="3904D8AB" w14:textId="22916591" w:rsidR="00EE41CC" w:rsidRDefault="00363BA4">
      <w:pPr>
        <w:pStyle w:val="FootnoteText"/>
      </w:pPr>
      <w:r>
        <w:rPr>
          <w:rStyle w:val="FootnoteReference"/>
        </w:rPr>
        <w:footnoteRef/>
      </w:r>
      <w:r>
        <w:tab/>
        <w:t>ĠU L 176, 27.6.2013, p. 1.</w:t>
      </w:r>
    </w:p>
  </w:footnote>
  <w:footnote w:id="2">
    <w:p w14:paraId="52F74E0C" w14:textId="72E7A7A0" w:rsidR="00EE41CC" w:rsidRDefault="00363BA4">
      <w:pPr>
        <w:pStyle w:val="FootnoteText"/>
      </w:pPr>
      <w:r>
        <w:rPr>
          <w:rStyle w:val="FootnoteReference"/>
        </w:rPr>
        <w:footnoteRef/>
      </w:r>
      <w:r>
        <w:tab/>
        <w:t>Ir-Regolament ta’ Implimentazzjoni (UE) Nru 680/2014 li jistabbilixxi standards tekniċi ta' implimentazzjoni fir-rigward tar-rappurtar superviżorju ta' istituzzjonijiet skont ir-Regolament (UE) Nru 575/2013 tal-Parlament Ewropew u tal-Kunsill (ĠU L 191, 28.6.2014, p. 1).</w:t>
      </w:r>
    </w:p>
  </w:footnote>
  <w:footnote w:id="3">
    <w:p w14:paraId="061DE31E" w14:textId="6AC696E0" w:rsidR="00EE41CC" w:rsidRDefault="00363BA4">
      <w:pPr>
        <w:pStyle w:val="FootnoteText"/>
      </w:pPr>
      <w:r w:rsidRPr="00E11418">
        <w:rPr>
          <w:rStyle w:val="FootnoteReference"/>
        </w:rPr>
        <w:footnoteRef/>
      </w:r>
      <w:r w:rsidR="00E11418">
        <w:tab/>
      </w:r>
      <w:r>
        <w:rPr>
          <w:color w:val="444444"/>
          <w:sz w:val="21"/>
          <w:szCs w:val="21"/>
        </w:rPr>
        <w:t>Ir-Regolament (UE) 2017/2402 tal-Parlament Ewropew u tal-Kunsill tat-12 ta’ Diċembru 2017 li jistabbilixxi qafas ġenerali għat-titolizzazzjoni u li joħloq qafas speċifiku għal titolizzazzjoni sempliċi, trasparenti u standardizzata, u li jemenda d-Direttivi 2009/65/KE, 2009/138/KE u 2011/61/UE u r-Regolamenti (KE) Nru 1060/2009 u (UE) Nru 648/2012 (ĠU</w:t>
      </w:r>
      <w:r>
        <w:rPr>
          <w:rStyle w:val="Emphasis"/>
          <w:i w:val="0"/>
          <w:color w:val="444444"/>
          <w:sz w:val="21"/>
          <w:szCs w:val="21"/>
        </w:rPr>
        <w:t xml:space="preserve"> L 347, 28.12.2017, p. 35).</w:t>
      </w:r>
    </w:p>
  </w:footnote>
  <w:footnote w:id="4">
    <w:p w14:paraId="2FE98FB0" w14:textId="61F4F1DB" w:rsidR="00EE41CC" w:rsidRDefault="00363BA4">
      <w:pPr>
        <w:pStyle w:val="FootnoteText"/>
      </w:pPr>
      <w:r>
        <w:rPr>
          <w:rStyle w:val="FootnoteReference"/>
        </w:rPr>
        <w:footnoteRef/>
      </w:r>
      <w:r>
        <w:tab/>
        <w:t>Ir-Regolament tal-Kummissjoni (KE) Nru 1126/2008 tat-3 ta’ Novembru 2008 li jadotta ċerti standards internazzjonali tal-kontabilità skont ir-Regolament (KE) Nru 1606/2002 tal-Parlament Ewropew u tal-Kunsill (ĠU L 320, 29.11.2008, p. 1).</w:t>
      </w:r>
    </w:p>
  </w:footnote>
  <w:footnote w:id="5">
    <w:p w14:paraId="7F61ACCF" w14:textId="5F96FCB2" w:rsidR="00EE41CC" w:rsidRDefault="00D913C8">
      <w:pPr>
        <w:pStyle w:val="FootnoteText"/>
      </w:pPr>
      <w:r w:rsidRPr="00E11418">
        <w:rPr>
          <w:rStyle w:val="FootnoteReference"/>
        </w:rPr>
        <w:footnoteRef/>
      </w:r>
      <w:r>
        <w:tab/>
        <w:t>Ir-Regolament tal-Kummissjoni (UE) 2017/1986 tal-31 ta’ Ottubru 2017 li jemenda r-Regolament (KE) Nru 1126/2008 li jadotta ċerti standards internazzjonali tal-kontabilità skont ir-Regolament (KE) Nru 1606/2002 tal-Parlament Ewropew u tal-Kunsill rigward tal-Istandard Internazzjonali tar-Rapportar Finanzjarju 16 (ĠU L 291, 9.11.2017, p. 1).</w:t>
      </w:r>
    </w:p>
  </w:footnote>
  <w:footnote w:id="6">
    <w:p w14:paraId="612F860C" w14:textId="77777777" w:rsidR="00EE41CC" w:rsidRDefault="00952426">
      <w:pPr>
        <w:pStyle w:val="FootnoteText"/>
      </w:pPr>
      <w:r>
        <w:rPr>
          <w:rStyle w:val="FootnoteReference"/>
        </w:rPr>
        <w:footnoteRef/>
      </w:r>
      <w:r>
        <w:tab/>
        <w:t>Ir-Regolament ta’ Delega tal-Kummissjoni (UE) 2015/61 tal-10 ta’ Ottubru 2014 li jissupplimenta r-Regolament (UE) Nru 575/2013 tal-Parlament Ewropew u tal-Kunsill rigward ir-rekwiżiti ta’ kopertura tal-likwidità għall-istituzzjonijiet ta’ kreditu (ĠU L 11, 17.1.2015, p. 1).</w:t>
      </w:r>
    </w:p>
  </w:footnote>
  <w:footnote w:id="7">
    <w:p w14:paraId="77365625" w14:textId="77777777" w:rsidR="00EE41CC" w:rsidRDefault="00952426">
      <w:pPr>
        <w:pStyle w:val="FootnoteText"/>
      </w:pPr>
      <w:r>
        <w:rPr>
          <w:rStyle w:val="FootnoteReference"/>
        </w:rPr>
        <w:footnoteRef/>
      </w:r>
      <w:r>
        <w:tab/>
        <w:t>Ir-Regolament Delegat tal-Kummissjoni (UE) 2018/1620 tat-13 ta' Lulju 2018 li jemenda r-Regolament Delegat (UE) 2015/61 li jissupplimenta r-Regolament (UE) Nru 575/2013 tal-Parlament Ewropew u tal-Kunsill rigward ir-rekwiżit ta' kopertura tal-likwidità għall-Istituzzjonijiet ta' Kreditu (ĠU L 271, 30.10.2018, p. 10)</w:t>
      </w:r>
      <w:r>
        <w:rPr>
          <w:i/>
          <w:iCs/>
        </w:rPr>
        <w:t>.</w:t>
      </w:r>
    </w:p>
  </w:footnote>
  <w:footnote w:id="8">
    <w:p w14:paraId="7A93B6D5" w14:textId="0FB38ACE" w:rsidR="00EE41CC" w:rsidRDefault="001B445C">
      <w:pPr>
        <w:pStyle w:val="FootnoteText"/>
      </w:pPr>
      <w:r>
        <w:rPr>
          <w:rStyle w:val="FootnoteReference"/>
        </w:rPr>
        <w:footnoteRef/>
      </w:r>
      <w:r>
        <w:tab/>
        <w:t>Ir-Regolament (UE) Nru 1093/2010 tal-Parlament Ewropew u tal-Kunsill tal-24 ta’ Novembru 2010 li jistabbilixxi Awtorità Superviżorja Ewropea (Awtorità Bankarja Ewropea) u li jemenda d-Deċiżjoni Nru 716/2009/KE u jħassar id-Deċiżjoni tal-Kummissjoni 2009/78/KE (ĠU L 331, 15.12.2010, p. 12).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4CB058C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F0EC3E1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 w15:restartNumberingAfterBreak="0">
    <w:nsid w:val="FFFFFF7F"/>
    <w:multiLevelType w:val="singleLevel"/>
    <w:tmpl w:val="47143E7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FE48CAD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767E1FC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F704052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FA427F7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9D96031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5"/>
  </w:num>
  <w:num w:numId="10">
    <w:abstractNumId w:val="22"/>
    <w:lvlOverride w:ilvl="0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2"/>
  </w:num>
  <w:num w:numId="15">
    <w:abstractNumId w:val="21"/>
  </w:num>
  <w:num w:numId="16">
    <w:abstractNumId w:val="11"/>
  </w:num>
  <w:num w:numId="17">
    <w:abstractNumId w:val="13"/>
  </w:num>
  <w:num w:numId="18">
    <w:abstractNumId w:val="9"/>
  </w:num>
  <w:num w:numId="19">
    <w:abstractNumId w:val="20"/>
  </w:num>
  <w:num w:numId="20">
    <w:abstractNumId w:val="8"/>
  </w:num>
  <w:num w:numId="21">
    <w:abstractNumId w:val="14"/>
  </w:num>
  <w:num w:numId="22">
    <w:abstractNumId w:val="17"/>
  </w:num>
  <w:num w:numId="23">
    <w:abstractNumId w:val="18"/>
  </w:num>
  <w:num w:numId="24">
    <w:abstractNumId w:val="10"/>
  </w:num>
  <w:num w:numId="25">
    <w:abstractNumId w:val="16"/>
  </w:num>
  <w:num w:numId="26">
    <w:abstractNumId w:val="2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nsidérant" w:val="Considérant__1"/>
    <w:docVar w:name="DQCDateTime" w:val="2020-01-21 17:08:33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13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1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COVERPAGE_EXISTS" w:val="True"/>
    <w:docVar w:name="LW_COVERPAGE_GUID" w:val="5911509B-B3CD-4BD9-B0D3-BE9135C310C2"/>
    <w:docVar w:name="LW_COVERPAGE_TYPE" w:val="1"/>
    <w:docVar w:name="LW_CROSSREFERENCE" w:val="&lt;UNUSED&gt;"/>
    <w:docVar w:name="LW_DATE.ADOPT.CP" w:val="ta\u8217? XXX"/>
    <w:docVar w:name="LW_DATE.ADOPT.CP_DATEFORMAT" w:val="ta\u8217? %DATE%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Brussell, "/>
    <w:docVar w:name="LW_EMISSION_SUFFIX" w:val=" "/>
    <w:docVar w:name="LW_ID_DOCMODEL" w:val="a08"/>
    <w:docVar w:name="LW_ID_DOCSIGNATURE" w:val="SJ-004"/>
    <w:docVar w:name="LW_ID_DOCSTRUCTURE" w:val="COM/AA"/>
    <w:docVar w:name="LW_ID_DOCTYPE" w:val="SJ-004"/>
    <w:docVar w:name="LW_INTERETEEE.CP" w:val="(Test b\u8217?rilevanza g\u295?a\u380?-\u379?EE)"/>
    <w:docVar w:name="LW_LANGUE" w:val="MT"/>
    <w:docVar w:name="LW_LANGUESFAISANTFOI.CP" w:val="&lt;UNUSED&gt;"/>
    <w:docVar w:name="LW_LEVEL_OF_SENSITIVITY" w:val="Standard treatment"/>
    <w:docVar w:name="LW_NOM.INST" w:val="IL-KUMMISSJONI EWROPEA"/>
    <w:docVar w:name="LW_NOM.INST_JOINTDOC" w:val="&lt;EMPTY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19) XXX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OUS.TITRE.OBJ.CP" w:val="&lt;UNUSED&gt;"/>
    <w:docVar w:name="LW_SUPERTITRE" w:val="&lt;UNUSED&gt;"/>
    <w:docVar w:name="LW_TITRE.OBJ.CP" w:val="li jemenda r-Regolament ta\u8217? Implimentazzjoni&lt;FMT:Underline&gt; &lt;/FMT&gt;(UE) Nru 680/2014 li jistabbilixxi standards tekni\u267?i ta' implimentazzjoni fir-rigward tar-rappurtar supervi\u380?orju ta' istituzzjonijiet skont ir-Regolament (UE) Nru 575/2013 tal-Parlament Ewropew u tal-Kunsill"/>
    <w:docVar w:name="LW_TITRE.OBJ.CP_PREVIOUS" w:val="&lt;UNUSED&gt;"/>
    <w:docVar w:name="LW_TYPE.DOC.CP" w:val="REGOLAMENT TA\u8217? IMPLIMENTAZZJONI TAL-KUMMISSJONI (UE) .../..."/>
  </w:docVars>
  <w:rsids>
    <w:rsidRoot w:val="001B445C"/>
    <w:rsid w:val="00030C29"/>
    <w:rsid w:val="00033C74"/>
    <w:rsid w:val="000422F9"/>
    <w:rsid w:val="00043094"/>
    <w:rsid w:val="0005623D"/>
    <w:rsid w:val="000669A6"/>
    <w:rsid w:val="00080669"/>
    <w:rsid w:val="000827FE"/>
    <w:rsid w:val="000A4D5B"/>
    <w:rsid w:val="000A5E1E"/>
    <w:rsid w:val="000B410C"/>
    <w:rsid w:val="000B73C7"/>
    <w:rsid w:val="000C750A"/>
    <w:rsid w:val="000D34D3"/>
    <w:rsid w:val="000E135F"/>
    <w:rsid w:val="00100F75"/>
    <w:rsid w:val="00103E88"/>
    <w:rsid w:val="00121213"/>
    <w:rsid w:val="001440F6"/>
    <w:rsid w:val="00157C31"/>
    <w:rsid w:val="0016544F"/>
    <w:rsid w:val="00187535"/>
    <w:rsid w:val="00190013"/>
    <w:rsid w:val="00195CE1"/>
    <w:rsid w:val="001B41CA"/>
    <w:rsid w:val="001B42E7"/>
    <w:rsid w:val="001B445C"/>
    <w:rsid w:val="001C5A09"/>
    <w:rsid w:val="001D1851"/>
    <w:rsid w:val="001D1EAD"/>
    <w:rsid w:val="001D2590"/>
    <w:rsid w:val="00210995"/>
    <w:rsid w:val="00210D88"/>
    <w:rsid w:val="00214D98"/>
    <w:rsid w:val="00234A29"/>
    <w:rsid w:val="002452B8"/>
    <w:rsid w:val="00261239"/>
    <w:rsid w:val="00294A2C"/>
    <w:rsid w:val="002A096A"/>
    <w:rsid w:val="002A3D06"/>
    <w:rsid w:val="002B7D73"/>
    <w:rsid w:val="002C0116"/>
    <w:rsid w:val="002C2CBF"/>
    <w:rsid w:val="002D1D89"/>
    <w:rsid w:val="002E61FA"/>
    <w:rsid w:val="00310E1E"/>
    <w:rsid w:val="003228A8"/>
    <w:rsid w:val="00323D7B"/>
    <w:rsid w:val="00327D0C"/>
    <w:rsid w:val="00331D51"/>
    <w:rsid w:val="00346B8D"/>
    <w:rsid w:val="003516C5"/>
    <w:rsid w:val="00354C41"/>
    <w:rsid w:val="00363BA4"/>
    <w:rsid w:val="003A7F9A"/>
    <w:rsid w:val="003C12AA"/>
    <w:rsid w:val="003C3A5D"/>
    <w:rsid w:val="003E0C68"/>
    <w:rsid w:val="003E4578"/>
    <w:rsid w:val="003F04FB"/>
    <w:rsid w:val="003F5F3F"/>
    <w:rsid w:val="00400058"/>
    <w:rsid w:val="00422F73"/>
    <w:rsid w:val="0044493F"/>
    <w:rsid w:val="00452D9B"/>
    <w:rsid w:val="00453AF5"/>
    <w:rsid w:val="00460A10"/>
    <w:rsid w:val="004641C1"/>
    <w:rsid w:val="0048748F"/>
    <w:rsid w:val="00492479"/>
    <w:rsid w:val="00493D25"/>
    <w:rsid w:val="0049676D"/>
    <w:rsid w:val="00497A2C"/>
    <w:rsid w:val="004A3CA0"/>
    <w:rsid w:val="004A3CB1"/>
    <w:rsid w:val="004C0193"/>
    <w:rsid w:val="004D5878"/>
    <w:rsid w:val="004E2457"/>
    <w:rsid w:val="004E4C15"/>
    <w:rsid w:val="004F23A9"/>
    <w:rsid w:val="00502C75"/>
    <w:rsid w:val="00506FC2"/>
    <w:rsid w:val="00537CE5"/>
    <w:rsid w:val="005469C5"/>
    <w:rsid w:val="00553296"/>
    <w:rsid w:val="00587D37"/>
    <w:rsid w:val="0059701E"/>
    <w:rsid w:val="005A01CC"/>
    <w:rsid w:val="005A4EAC"/>
    <w:rsid w:val="005B3C3F"/>
    <w:rsid w:val="005B590C"/>
    <w:rsid w:val="005C370C"/>
    <w:rsid w:val="005F7896"/>
    <w:rsid w:val="00647B5C"/>
    <w:rsid w:val="0066767D"/>
    <w:rsid w:val="00686B50"/>
    <w:rsid w:val="006967B3"/>
    <w:rsid w:val="006A1323"/>
    <w:rsid w:val="006A640B"/>
    <w:rsid w:val="006B4E20"/>
    <w:rsid w:val="006E63CD"/>
    <w:rsid w:val="006E678D"/>
    <w:rsid w:val="006F34B3"/>
    <w:rsid w:val="00704E75"/>
    <w:rsid w:val="007067B7"/>
    <w:rsid w:val="0071620D"/>
    <w:rsid w:val="007369E1"/>
    <w:rsid w:val="0075391A"/>
    <w:rsid w:val="00753980"/>
    <w:rsid w:val="007545A4"/>
    <w:rsid w:val="0075661F"/>
    <w:rsid w:val="00770919"/>
    <w:rsid w:val="00775BB6"/>
    <w:rsid w:val="00776BBC"/>
    <w:rsid w:val="00785FB6"/>
    <w:rsid w:val="00790003"/>
    <w:rsid w:val="007B790A"/>
    <w:rsid w:val="007D61B3"/>
    <w:rsid w:val="007D7890"/>
    <w:rsid w:val="00814E96"/>
    <w:rsid w:val="0084057B"/>
    <w:rsid w:val="00844802"/>
    <w:rsid w:val="00854910"/>
    <w:rsid w:val="00855514"/>
    <w:rsid w:val="00867FE3"/>
    <w:rsid w:val="00897E21"/>
    <w:rsid w:val="008A0AA6"/>
    <w:rsid w:val="008A2478"/>
    <w:rsid w:val="008C22A3"/>
    <w:rsid w:val="008C48FA"/>
    <w:rsid w:val="008D09B7"/>
    <w:rsid w:val="008E268A"/>
    <w:rsid w:val="008E50CD"/>
    <w:rsid w:val="008F4EA5"/>
    <w:rsid w:val="00905E7D"/>
    <w:rsid w:val="00921359"/>
    <w:rsid w:val="0092431C"/>
    <w:rsid w:val="00940F1C"/>
    <w:rsid w:val="00945DFA"/>
    <w:rsid w:val="00946C0A"/>
    <w:rsid w:val="00952426"/>
    <w:rsid w:val="00955D63"/>
    <w:rsid w:val="009666AA"/>
    <w:rsid w:val="00983B03"/>
    <w:rsid w:val="00986B22"/>
    <w:rsid w:val="0099441B"/>
    <w:rsid w:val="009A64F9"/>
    <w:rsid w:val="009C0180"/>
    <w:rsid w:val="009C090E"/>
    <w:rsid w:val="009D448E"/>
    <w:rsid w:val="00A01488"/>
    <w:rsid w:val="00A24919"/>
    <w:rsid w:val="00A278FD"/>
    <w:rsid w:val="00A62DAE"/>
    <w:rsid w:val="00A66F54"/>
    <w:rsid w:val="00A826D6"/>
    <w:rsid w:val="00A83C34"/>
    <w:rsid w:val="00A8593B"/>
    <w:rsid w:val="00A9740D"/>
    <w:rsid w:val="00A97566"/>
    <w:rsid w:val="00AA63F1"/>
    <w:rsid w:val="00AB21FF"/>
    <w:rsid w:val="00AB5724"/>
    <w:rsid w:val="00AE05F8"/>
    <w:rsid w:val="00AF3BF4"/>
    <w:rsid w:val="00B03D0B"/>
    <w:rsid w:val="00B14FCE"/>
    <w:rsid w:val="00B15EFC"/>
    <w:rsid w:val="00B26FCE"/>
    <w:rsid w:val="00B31B60"/>
    <w:rsid w:val="00B33376"/>
    <w:rsid w:val="00B467F6"/>
    <w:rsid w:val="00B64C30"/>
    <w:rsid w:val="00B71BC4"/>
    <w:rsid w:val="00B738F6"/>
    <w:rsid w:val="00B971E9"/>
    <w:rsid w:val="00BB5DB5"/>
    <w:rsid w:val="00BC373E"/>
    <w:rsid w:val="00BC6787"/>
    <w:rsid w:val="00BD2641"/>
    <w:rsid w:val="00BF3434"/>
    <w:rsid w:val="00C039DD"/>
    <w:rsid w:val="00C4649F"/>
    <w:rsid w:val="00C52F81"/>
    <w:rsid w:val="00C63439"/>
    <w:rsid w:val="00C6522F"/>
    <w:rsid w:val="00C71E1B"/>
    <w:rsid w:val="00C83C7D"/>
    <w:rsid w:val="00C83DEA"/>
    <w:rsid w:val="00CB0AF7"/>
    <w:rsid w:val="00CB1A3C"/>
    <w:rsid w:val="00CC6F30"/>
    <w:rsid w:val="00CC7AB4"/>
    <w:rsid w:val="00CE7CAD"/>
    <w:rsid w:val="00D2769A"/>
    <w:rsid w:val="00D314A9"/>
    <w:rsid w:val="00D34C13"/>
    <w:rsid w:val="00D50BB7"/>
    <w:rsid w:val="00D5219F"/>
    <w:rsid w:val="00D55B25"/>
    <w:rsid w:val="00D63710"/>
    <w:rsid w:val="00D639C9"/>
    <w:rsid w:val="00D74E3F"/>
    <w:rsid w:val="00D845A9"/>
    <w:rsid w:val="00D913C8"/>
    <w:rsid w:val="00D964B3"/>
    <w:rsid w:val="00DC033D"/>
    <w:rsid w:val="00DC3927"/>
    <w:rsid w:val="00DF4957"/>
    <w:rsid w:val="00E013AC"/>
    <w:rsid w:val="00E11418"/>
    <w:rsid w:val="00E205D3"/>
    <w:rsid w:val="00E45AE0"/>
    <w:rsid w:val="00E52742"/>
    <w:rsid w:val="00E56BFF"/>
    <w:rsid w:val="00E5700E"/>
    <w:rsid w:val="00E75423"/>
    <w:rsid w:val="00E871DE"/>
    <w:rsid w:val="00E91FF6"/>
    <w:rsid w:val="00E959F9"/>
    <w:rsid w:val="00E96626"/>
    <w:rsid w:val="00EA64E6"/>
    <w:rsid w:val="00EE21BF"/>
    <w:rsid w:val="00EE41CC"/>
    <w:rsid w:val="00EE58F1"/>
    <w:rsid w:val="00EF0828"/>
    <w:rsid w:val="00F32FFE"/>
    <w:rsid w:val="00F45D68"/>
    <w:rsid w:val="00F62F54"/>
    <w:rsid w:val="00F65DE7"/>
    <w:rsid w:val="00F84FD0"/>
    <w:rsid w:val="00F95996"/>
    <w:rsid w:val="00FB65A6"/>
    <w:rsid w:val="00FC4C41"/>
    <w:rsid w:val="00FC61EB"/>
    <w:rsid w:val="00FE3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oNotEmbedSmartTags/>
  <w:decimalSymbol w:val=","/>
  <w:listSeparator w:val=";"/>
  <w14:docId w14:val="72D15A25"/>
  <w15:docId w15:val="{26C75A3A-333D-4F45-9580-78994C66C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mt-MT"/>
    </w:rPr>
  </w:style>
  <w:style w:type="paragraph" w:styleId="Heading1">
    <w:name w:val="heading 1"/>
    <w:basedOn w:val="Normal"/>
    <w:next w:val="Text1"/>
    <w:link w:val="Heading1Char"/>
    <w:uiPriority w:val="9"/>
    <w:qFormat/>
    <w:rsid w:val="009B7138"/>
    <w:pPr>
      <w:keepNext/>
      <w:numPr>
        <w:numId w:val="19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9B7138"/>
    <w:pPr>
      <w:keepNext/>
      <w:numPr>
        <w:ilvl w:val="1"/>
        <w:numId w:val="19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9B7138"/>
    <w:pPr>
      <w:keepNext/>
      <w:numPr>
        <w:ilvl w:val="2"/>
        <w:numId w:val="19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9B7138"/>
    <w:pPr>
      <w:keepNext/>
      <w:numPr>
        <w:ilvl w:val="3"/>
        <w:numId w:val="19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rsid w:val="004D5878"/>
    <w:rPr>
      <w:sz w:val="16"/>
    </w:rPr>
  </w:style>
  <w:style w:type="paragraph" w:styleId="CommentText">
    <w:name w:val="annotation text"/>
    <w:basedOn w:val="Normal"/>
    <w:rsid w:val="004D5878"/>
    <w:pPr>
      <w:spacing w:before="0" w:after="240"/>
      <w:jc w:val="left"/>
    </w:pPr>
    <w:rPr>
      <w:rFonts w:ascii="Arial" w:hAnsi="Arial"/>
      <w:sz w:val="20"/>
      <w:szCs w:val="20"/>
    </w:rPr>
  </w:style>
  <w:style w:type="paragraph" w:styleId="ListBullet">
    <w:name w:val="List Bullet"/>
    <w:basedOn w:val="Normal"/>
    <w:uiPriority w:val="99"/>
    <w:qFormat/>
    <w:rsid w:val="000D34D3"/>
    <w:pPr>
      <w:numPr>
        <w:numId w:val="1"/>
      </w:numPr>
    </w:pPr>
  </w:style>
  <w:style w:type="paragraph" w:styleId="ListBullet2">
    <w:name w:val="List Bullet 2"/>
    <w:basedOn w:val="Normal"/>
    <w:rsid w:val="000D34D3"/>
    <w:pPr>
      <w:numPr>
        <w:numId w:val="2"/>
      </w:numPr>
    </w:pPr>
  </w:style>
  <w:style w:type="paragraph" w:styleId="ListBullet3">
    <w:name w:val="List Bullet 3"/>
    <w:basedOn w:val="Normal"/>
    <w:rsid w:val="000D34D3"/>
    <w:pPr>
      <w:numPr>
        <w:numId w:val="3"/>
      </w:numPr>
    </w:pPr>
  </w:style>
  <w:style w:type="paragraph" w:styleId="ListBullet4">
    <w:name w:val="List Bullet 4"/>
    <w:basedOn w:val="Normal"/>
    <w:rsid w:val="000D34D3"/>
    <w:pPr>
      <w:numPr>
        <w:numId w:val="4"/>
      </w:numPr>
    </w:pPr>
  </w:style>
  <w:style w:type="paragraph" w:styleId="ListNumber3">
    <w:name w:val="List Number 3"/>
    <w:basedOn w:val="Normal"/>
    <w:rsid w:val="000D34D3"/>
    <w:pPr>
      <w:numPr>
        <w:numId w:val="5"/>
      </w:numPr>
    </w:pPr>
  </w:style>
  <w:style w:type="paragraph" w:styleId="CommentSubject">
    <w:name w:val="annotation subject"/>
    <w:basedOn w:val="CommentText"/>
    <w:next w:val="CommentText"/>
    <w:rsid w:val="004641C1"/>
    <w:pPr>
      <w:spacing w:before="120" w:after="120"/>
      <w:jc w:val="both"/>
    </w:pPr>
    <w:rPr>
      <w:rFonts w:ascii="Times New Roman" w:hAnsi="Times New Roman"/>
      <w:b/>
      <w:bCs/>
    </w:rPr>
  </w:style>
  <w:style w:type="paragraph" w:styleId="Caption">
    <w:name w:val="caption"/>
    <w:basedOn w:val="Normal"/>
    <w:next w:val="Normal"/>
    <w:qFormat/>
    <w:rsid w:val="006E63CD"/>
    <w:rPr>
      <w:b/>
      <w:bCs/>
      <w:sz w:val="20"/>
      <w:szCs w:val="20"/>
    </w:rPr>
  </w:style>
  <w:style w:type="paragraph" w:styleId="TableofFigures">
    <w:name w:val="table of figures"/>
    <w:basedOn w:val="Normal"/>
    <w:next w:val="Normal"/>
    <w:semiHidden/>
    <w:rsid w:val="006E63CD"/>
  </w:style>
  <w:style w:type="paragraph" w:styleId="ListNumber">
    <w:name w:val="List Number"/>
    <w:basedOn w:val="Normal"/>
    <w:rsid w:val="006E63CD"/>
    <w:pPr>
      <w:numPr>
        <w:numId w:val="6"/>
      </w:numPr>
    </w:pPr>
  </w:style>
  <w:style w:type="paragraph" w:styleId="ListNumber2">
    <w:name w:val="List Number 2"/>
    <w:basedOn w:val="Normal"/>
    <w:rsid w:val="006E63CD"/>
    <w:pPr>
      <w:numPr>
        <w:numId w:val="7"/>
      </w:numPr>
    </w:pPr>
  </w:style>
  <w:style w:type="paragraph" w:styleId="ListNumber4">
    <w:name w:val="List Number 4"/>
    <w:basedOn w:val="Normal"/>
    <w:rsid w:val="006E63CD"/>
    <w:pPr>
      <w:numPr>
        <w:numId w:val="8"/>
      </w:numPr>
    </w:pPr>
  </w:style>
  <w:style w:type="character" w:styleId="Hyperlink">
    <w:name w:val="Hyperlink"/>
    <w:basedOn w:val="DefaultParagraphFont"/>
    <w:rsid w:val="006E63CD"/>
    <w:rPr>
      <w:color w:val="0000FF"/>
      <w:u w:val="single"/>
    </w:rPr>
  </w:style>
  <w:style w:type="paragraph" w:customStyle="1" w:styleId="numberedparagraph">
    <w:name w:val="numbered paragraph"/>
    <w:basedOn w:val="Normal"/>
    <w:qFormat/>
    <w:rsid w:val="001B445C"/>
    <w:pPr>
      <w:numPr>
        <w:numId w:val="9"/>
      </w:numPr>
      <w:spacing w:before="240" w:line="276" w:lineRule="auto"/>
    </w:pPr>
    <w:rPr>
      <w:rFonts w:asciiTheme="minorHAnsi" w:eastAsiaTheme="minorEastAsia" w:hAnsiTheme="minorHAnsi" w:cstheme="minorBidi"/>
      <w:sz w:val="22"/>
    </w:rPr>
  </w:style>
  <w:style w:type="paragraph" w:styleId="ListParagraph">
    <w:name w:val="List Paragraph"/>
    <w:basedOn w:val="Normal"/>
    <w:link w:val="ListParagraphChar"/>
    <w:uiPriority w:val="34"/>
    <w:qFormat/>
    <w:rsid w:val="006A640B"/>
    <w:pPr>
      <w:spacing w:before="0" w:after="0"/>
      <w:ind w:left="720"/>
      <w:jc w:val="left"/>
    </w:pPr>
    <w:rPr>
      <w:rFonts w:ascii="Calibri" w:eastAsia="Calibri" w:hAnsi="Calibri"/>
      <w:sz w:val="22"/>
    </w:rPr>
  </w:style>
  <w:style w:type="character" w:customStyle="1" w:styleId="ListParagraphChar">
    <w:name w:val="List Paragraph Char"/>
    <w:link w:val="ListParagraph"/>
    <w:uiPriority w:val="34"/>
    <w:locked/>
    <w:rsid w:val="006A640B"/>
    <w:rPr>
      <w:rFonts w:ascii="Calibri" w:eastAsia="Calibri" w:hAnsi="Calibri"/>
      <w:sz w:val="22"/>
      <w:szCs w:val="22"/>
      <w:lang w:eastAsia="en-US"/>
    </w:rPr>
  </w:style>
  <w:style w:type="paragraph" w:customStyle="1" w:styleId="Sous-titreobjet">
    <w:name w:val="Sous-titre objet"/>
    <w:basedOn w:val="Normal"/>
    <w:rsid w:val="007D53B6"/>
    <w:pPr>
      <w:spacing w:before="0" w:after="0"/>
      <w:jc w:val="center"/>
    </w:pPr>
    <w:rPr>
      <w:b/>
    </w:rPr>
  </w:style>
  <w:style w:type="paragraph" w:customStyle="1" w:styleId="Sous-titreobjetPagedecouverture">
    <w:name w:val="Sous-titre objet (Page de couverture)"/>
    <w:basedOn w:val="Sous-titreobjet"/>
    <w:rsid w:val="007D53B6"/>
  </w:style>
  <w:style w:type="paragraph" w:styleId="BalloonText">
    <w:name w:val="Balloon Text"/>
    <w:basedOn w:val="Normal"/>
    <w:link w:val="BalloonTextChar"/>
    <w:uiPriority w:val="99"/>
    <w:semiHidden/>
    <w:unhideWhenUsed/>
    <w:rsid w:val="003415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5BD"/>
    <w:rPr>
      <w:rFonts w:ascii="Tahoma" w:hAnsi="Tahoma" w:cs="Tahoma"/>
      <w:sz w:val="16"/>
      <w:szCs w:val="16"/>
      <w:lang w:val="mt-MT"/>
    </w:rPr>
  </w:style>
  <w:style w:type="paragraph" w:styleId="NormalWeb">
    <w:name w:val="Normal (Web)"/>
    <w:basedOn w:val="Normal"/>
    <w:uiPriority w:val="99"/>
    <w:unhideWhenUsed/>
    <w:rsid w:val="006A1323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6A1323"/>
    <w:rPr>
      <w:i/>
      <w:iCs/>
    </w:rPr>
  </w:style>
  <w:style w:type="paragraph" w:styleId="Revision">
    <w:name w:val="Revision"/>
    <w:hidden/>
    <w:uiPriority w:val="99"/>
    <w:semiHidden/>
    <w:rsid w:val="003F04FB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9B7138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713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9B713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713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713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713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9B7138"/>
    <w:rPr>
      <w:rFonts w:ascii="Times New Roman" w:eastAsiaTheme="majorEastAsia" w:hAnsi="Times New Roman" w:cs="Times New Roman"/>
      <w:b/>
      <w:bCs/>
      <w:smallCaps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7138"/>
    <w:rPr>
      <w:rFonts w:ascii="Times New Roman" w:eastAsiaTheme="majorEastAsia" w:hAnsi="Times New Roman" w:cs="Times New Roman"/>
      <w:b/>
      <w:bCs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7138"/>
    <w:rPr>
      <w:rFonts w:ascii="Times New Roman" w:eastAsiaTheme="majorEastAsia" w:hAnsi="Times New Roman" w:cs="Times New Roman"/>
      <w:bCs/>
      <w:i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7138"/>
    <w:rPr>
      <w:rFonts w:ascii="Times New Roman" w:eastAsiaTheme="majorEastAsia" w:hAnsi="Times New Roman" w:cs="Times New Roman"/>
      <w:bCs/>
      <w:iCs/>
      <w:sz w:val="24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9B713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9B713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9B7138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9B7138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9B713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9B71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B7138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9B71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9B7138"/>
    <w:pPr>
      <w:ind w:left="850"/>
    </w:pPr>
  </w:style>
  <w:style w:type="paragraph" w:customStyle="1" w:styleId="Text2">
    <w:name w:val="Text 2"/>
    <w:basedOn w:val="Normal"/>
    <w:rsid w:val="009B7138"/>
    <w:pPr>
      <w:ind w:left="1417"/>
    </w:pPr>
  </w:style>
  <w:style w:type="paragraph" w:customStyle="1" w:styleId="Text3">
    <w:name w:val="Text 3"/>
    <w:basedOn w:val="Normal"/>
    <w:rsid w:val="009B7138"/>
    <w:pPr>
      <w:ind w:left="1984"/>
    </w:pPr>
  </w:style>
  <w:style w:type="paragraph" w:customStyle="1" w:styleId="Text4">
    <w:name w:val="Text 4"/>
    <w:basedOn w:val="Normal"/>
    <w:rsid w:val="009B7138"/>
    <w:pPr>
      <w:ind w:left="2551"/>
    </w:pPr>
  </w:style>
  <w:style w:type="paragraph" w:customStyle="1" w:styleId="NormalCentered">
    <w:name w:val="Normal Centered"/>
    <w:basedOn w:val="Normal"/>
    <w:rsid w:val="009B7138"/>
    <w:pPr>
      <w:jc w:val="center"/>
    </w:pPr>
  </w:style>
  <w:style w:type="paragraph" w:customStyle="1" w:styleId="NormalLeft">
    <w:name w:val="Normal Left"/>
    <w:basedOn w:val="Normal"/>
    <w:rsid w:val="009B7138"/>
    <w:pPr>
      <w:jc w:val="left"/>
    </w:pPr>
  </w:style>
  <w:style w:type="paragraph" w:customStyle="1" w:styleId="NormalRight">
    <w:name w:val="Normal Right"/>
    <w:basedOn w:val="Normal"/>
    <w:rsid w:val="009B7138"/>
    <w:pPr>
      <w:jc w:val="right"/>
    </w:pPr>
  </w:style>
  <w:style w:type="paragraph" w:customStyle="1" w:styleId="QuotedText">
    <w:name w:val="Quoted Text"/>
    <w:basedOn w:val="Normal"/>
    <w:rsid w:val="009B7138"/>
    <w:pPr>
      <w:ind w:left="1417"/>
    </w:pPr>
  </w:style>
  <w:style w:type="paragraph" w:customStyle="1" w:styleId="Point0">
    <w:name w:val="Point 0"/>
    <w:basedOn w:val="Normal"/>
    <w:rsid w:val="009B7138"/>
    <w:pPr>
      <w:ind w:left="850" w:hanging="850"/>
    </w:pPr>
  </w:style>
  <w:style w:type="paragraph" w:customStyle="1" w:styleId="Point1">
    <w:name w:val="Point 1"/>
    <w:basedOn w:val="Normal"/>
    <w:rsid w:val="009B7138"/>
    <w:pPr>
      <w:ind w:left="1417" w:hanging="567"/>
    </w:pPr>
  </w:style>
  <w:style w:type="paragraph" w:customStyle="1" w:styleId="Point2">
    <w:name w:val="Point 2"/>
    <w:basedOn w:val="Normal"/>
    <w:rsid w:val="009B7138"/>
    <w:pPr>
      <w:ind w:left="1984" w:hanging="567"/>
    </w:pPr>
  </w:style>
  <w:style w:type="paragraph" w:customStyle="1" w:styleId="Point3">
    <w:name w:val="Point 3"/>
    <w:basedOn w:val="Normal"/>
    <w:rsid w:val="009B7138"/>
    <w:pPr>
      <w:ind w:left="2551" w:hanging="567"/>
    </w:pPr>
  </w:style>
  <w:style w:type="paragraph" w:customStyle="1" w:styleId="Point4">
    <w:name w:val="Point 4"/>
    <w:basedOn w:val="Normal"/>
    <w:rsid w:val="009B7138"/>
    <w:pPr>
      <w:ind w:left="3118" w:hanging="567"/>
    </w:pPr>
  </w:style>
  <w:style w:type="paragraph" w:customStyle="1" w:styleId="Tiret0">
    <w:name w:val="Tiret 0"/>
    <w:basedOn w:val="Point0"/>
    <w:rsid w:val="009B7138"/>
    <w:pPr>
      <w:numPr>
        <w:numId w:val="13"/>
      </w:numPr>
    </w:pPr>
  </w:style>
  <w:style w:type="paragraph" w:customStyle="1" w:styleId="Tiret1">
    <w:name w:val="Tiret 1"/>
    <w:basedOn w:val="Point1"/>
    <w:rsid w:val="009B7138"/>
    <w:pPr>
      <w:numPr>
        <w:numId w:val="14"/>
      </w:numPr>
    </w:pPr>
  </w:style>
  <w:style w:type="paragraph" w:customStyle="1" w:styleId="Tiret2">
    <w:name w:val="Tiret 2"/>
    <w:basedOn w:val="Point2"/>
    <w:rsid w:val="009B7138"/>
    <w:pPr>
      <w:numPr>
        <w:numId w:val="15"/>
      </w:numPr>
    </w:pPr>
  </w:style>
  <w:style w:type="paragraph" w:customStyle="1" w:styleId="Tiret3">
    <w:name w:val="Tiret 3"/>
    <w:basedOn w:val="Point3"/>
    <w:rsid w:val="009B7138"/>
    <w:pPr>
      <w:numPr>
        <w:numId w:val="16"/>
      </w:numPr>
    </w:pPr>
  </w:style>
  <w:style w:type="paragraph" w:customStyle="1" w:styleId="Tiret4">
    <w:name w:val="Tiret 4"/>
    <w:basedOn w:val="Point4"/>
    <w:rsid w:val="009B7138"/>
    <w:pPr>
      <w:numPr>
        <w:numId w:val="17"/>
      </w:numPr>
    </w:pPr>
  </w:style>
  <w:style w:type="paragraph" w:customStyle="1" w:styleId="PointDouble0">
    <w:name w:val="PointDouble 0"/>
    <w:basedOn w:val="Normal"/>
    <w:rsid w:val="009B713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9B713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9B713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9B713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9B713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9B713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9B713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9B713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9B713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9B713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9B7138"/>
    <w:pPr>
      <w:numPr>
        <w:numId w:val="18"/>
      </w:numPr>
    </w:pPr>
  </w:style>
  <w:style w:type="paragraph" w:customStyle="1" w:styleId="NumPar2">
    <w:name w:val="NumPar 2"/>
    <w:basedOn w:val="Normal"/>
    <w:next w:val="Text1"/>
    <w:rsid w:val="009B7138"/>
    <w:pPr>
      <w:numPr>
        <w:ilvl w:val="1"/>
        <w:numId w:val="18"/>
      </w:numPr>
    </w:pPr>
  </w:style>
  <w:style w:type="paragraph" w:customStyle="1" w:styleId="NumPar3">
    <w:name w:val="NumPar 3"/>
    <w:basedOn w:val="Normal"/>
    <w:next w:val="Text1"/>
    <w:rsid w:val="009B7138"/>
    <w:pPr>
      <w:numPr>
        <w:ilvl w:val="2"/>
        <w:numId w:val="18"/>
      </w:numPr>
    </w:pPr>
  </w:style>
  <w:style w:type="paragraph" w:customStyle="1" w:styleId="NumPar4">
    <w:name w:val="NumPar 4"/>
    <w:basedOn w:val="Normal"/>
    <w:next w:val="Text1"/>
    <w:rsid w:val="009B7138"/>
    <w:pPr>
      <w:numPr>
        <w:ilvl w:val="3"/>
        <w:numId w:val="18"/>
      </w:numPr>
    </w:pPr>
  </w:style>
  <w:style w:type="paragraph" w:customStyle="1" w:styleId="ManualNumPar1">
    <w:name w:val="Manual NumPar 1"/>
    <w:basedOn w:val="Normal"/>
    <w:next w:val="Text1"/>
    <w:rsid w:val="009B713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9B713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9B713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9B7138"/>
    <w:pPr>
      <w:ind w:left="850" w:hanging="850"/>
    </w:pPr>
  </w:style>
  <w:style w:type="paragraph" w:customStyle="1" w:styleId="QuotedNumPar">
    <w:name w:val="Quoted NumPar"/>
    <w:basedOn w:val="Normal"/>
    <w:rsid w:val="009B713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9B713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9B713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9B713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9B713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9B713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9B713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9B713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9B7138"/>
    <w:pPr>
      <w:jc w:val="center"/>
    </w:pPr>
    <w:rPr>
      <w:b/>
    </w:rPr>
  </w:style>
  <w:style w:type="character" w:customStyle="1" w:styleId="Marker">
    <w:name w:val="Marker"/>
    <w:basedOn w:val="DefaultParagraphFont"/>
    <w:rsid w:val="009B713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B713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B713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9B7138"/>
    <w:pPr>
      <w:numPr>
        <w:numId w:val="20"/>
      </w:numPr>
    </w:pPr>
  </w:style>
  <w:style w:type="paragraph" w:customStyle="1" w:styleId="Point1number">
    <w:name w:val="Point 1 (number)"/>
    <w:basedOn w:val="Normal"/>
    <w:rsid w:val="009B7138"/>
    <w:pPr>
      <w:numPr>
        <w:ilvl w:val="2"/>
        <w:numId w:val="20"/>
      </w:numPr>
    </w:pPr>
  </w:style>
  <w:style w:type="paragraph" w:customStyle="1" w:styleId="Point2number">
    <w:name w:val="Point 2 (number)"/>
    <w:basedOn w:val="Normal"/>
    <w:rsid w:val="009B7138"/>
    <w:pPr>
      <w:numPr>
        <w:ilvl w:val="4"/>
        <w:numId w:val="20"/>
      </w:numPr>
    </w:pPr>
  </w:style>
  <w:style w:type="paragraph" w:customStyle="1" w:styleId="Point3number">
    <w:name w:val="Point 3 (number)"/>
    <w:basedOn w:val="Normal"/>
    <w:rsid w:val="009B7138"/>
    <w:pPr>
      <w:numPr>
        <w:ilvl w:val="6"/>
        <w:numId w:val="20"/>
      </w:numPr>
    </w:pPr>
  </w:style>
  <w:style w:type="paragraph" w:customStyle="1" w:styleId="Point0letter">
    <w:name w:val="Point 0 (letter)"/>
    <w:basedOn w:val="Normal"/>
    <w:rsid w:val="009B7138"/>
    <w:pPr>
      <w:numPr>
        <w:ilvl w:val="1"/>
        <w:numId w:val="20"/>
      </w:numPr>
    </w:pPr>
  </w:style>
  <w:style w:type="paragraph" w:customStyle="1" w:styleId="Point1letter">
    <w:name w:val="Point 1 (letter)"/>
    <w:basedOn w:val="Normal"/>
    <w:rsid w:val="009B7138"/>
    <w:pPr>
      <w:numPr>
        <w:ilvl w:val="3"/>
        <w:numId w:val="20"/>
      </w:numPr>
    </w:pPr>
  </w:style>
  <w:style w:type="paragraph" w:customStyle="1" w:styleId="Point2letter">
    <w:name w:val="Point 2 (letter)"/>
    <w:basedOn w:val="Normal"/>
    <w:rsid w:val="009B7138"/>
    <w:pPr>
      <w:numPr>
        <w:ilvl w:val="5"/>
        <w:numId w:val="20"/>
      </w:numPr>
    </w:pPr>
  </w:style>
  <w:style w:type="paragraph" w:customStyle="1" w:styleId="Point3letter">
    <w:name w:val="Point 3 (letter)"/>
    <w:basedOn w:val="Normal"/>
    <w:rsid w:val="009B7138"/>
    <w:pPr>
      <w:numPr>
        <w:ilvl w:val="7"/>
        <w:numId w:val="20"/>
      </w:numPr>
    </w:pPr>
  </w:style>
  <w:style w:type="paragraph" w:customStyle="1" w:styleId="Point4letter">
    <w:name w:val="Point 4 (letter)"/>
    <w:basedOn w:val="Normal"/>
    <w:rsid w:val="009B7138"/>
    <w:pPr>
      <w:numPr>
        <w:ilvl w:val="8"/>
        <w:numId w:val="20"/>
      </w:numPr>
    </w:pPr>
  </w:style>
  <w:style w:type="paragraph" w:customStyle="1" w:styleId="Bullet0">
    <w:name w:val="Bullet 0"/>
    <w:basedOn w:val="Normal"/>
    <w:rsid w:val="009B7138"/>
    <w:pPr>
      <w:numPr>
        <w:numId w:val="21"/>
      </w:numPr>
    </w:pPr>
  </w:style>
  <w:style w:type="paragraph" w:customStyle="1" w:styleId="Bullet1">
    <w:name w:val="Bullet 1"/>
    <w:basedOn w:val="Normal"/>
    <w:rsid w:val="009B7138"/>
    <w:pPr>
      <w:numPr>
        <w:numId w:val="22"/>
      </w:numPr>
    </w:pPr>
  </w:style>
  <w:style w:type="paragraph" w:customStyle="1" w:styleId="Bullet2">
    <w:name w:val="Bullet 2"/>
    <w:basedOn w:val="Normal"/>
    <w:rsid w:val="009B7138"/>
    <w:pPr>
      <w:numPr>
        <w:numId w:val="23"/>
      </w:numPr>
    </w:pPr>
  </w:style>
  <w:style w:type="paragraph" w:customStyle="1" w:styleId="Bullet3">
    <w:name w:val="Bullet 3"/>
    <w:basedOn w:val="Normal"/>
    <w:rsid w:val="009B7138"/>
    <w:pPr>
      <w:numPr>
        <w:numId w:val="24"/>
      </w:numPr>
    </w:pPr>
  </w:style>
  <w:style w:type="paragraph" w:customStyle="1" w:styleId="Bullet4">
    <w:name w:val="Bullet 4"/>
    <w:basedOn w:val="Normal"/>
    <w:rsid w:val="009B7138"/>
    <w:pPr>
      <w:numPr>
        <w:numId w:val="25"/>
      </w:numPr>
    </w:pPr>
  </w:style>
  <w:style w:type="paragraph" w:customStyle="1" w:styleId="Langue">
    <w:name w:val="Langue"/>
    <w:basedOn w:val="Normal"/>
    <w:next w:val="Rfrenceinterne"/>
    <w:rsid w:val="009B713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9B713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9B713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9B713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9B7138"/>
    <w:pPr>
      <w:spacing w:before="0" w:after="0"/>
    </w:pPr>
  </w:style>
  <w:style w:type="paragraph" w:customStyle="1" w:styleId="Disclaimer">
    <w:name w:val="Disclaimer"/>
    <w:basedOn w:val="Normal"/>
    <w:rsid w:val="009B713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rsid w:val="009B7138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9B713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9B713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9B713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9B713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9B7138"/>
    <w:pPr>
      <w:numPr>
        <w:numId w:val="26"/>
      </w:numPr>
    </w:pPr>
  </w:style>
  <w:style w:type="paragraph" w:customStyle="1" w:styleId="Corrigendum">
    <w:name w:val="Corrigendum"/>
    <w:basedOn w:val="Normal"/>
    <w:next w:val="Normal"/>
    <w:rsid w:val="009B713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9B713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9B713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9B7138"/>
    <w:pPr>
      <w:keepNext/>
    </w:pPr>
  </w:style>
  <w:style w:type="paragraph" w:customStyle="1" w:styleId="Institutionquiagit">
    <w:name w:val="Institution qui agit"/>
    <w:basedOn w:val="Normal"/>
    <w:next w:val="Normal"/>
    <w:rsid w:val="009B713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9B713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9B713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9B713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9B713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9B713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9B713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9B713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9B713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9B713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9B713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9B713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9B713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9B7138"/>
    <w:rPr>
      <w:i/>
      <w:caps/>
    </w:rPr>
  </w:style>
  <w:style w:type="paragraph" w:customStyle="1" w:styleId="Supertitre">
    <w:name w:val="Supertitre"/>
    <w:basedOn w:val="Normal"/>
    <w:next w:val="Normal"/>
    <w:rsid w:val="009B713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9B713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9B713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9B713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9B7138"/>
  </w:style>
  <w:style w:type="paragraph" w:customStyle="1" w:styleId="StatutPagedecouverture">
    <w:name w:val="Statut (Page de couverture)"/>
    <w:basedOn w:val="Statut"/>
    <w:next w:val="TypedudocumentPagedecouverture"/>
    <w:rsid w:val="009B7138"/>
  </w:style>
  <w:style w:type="paragraph" w:customStyle="1" w:styleId="TitreobjetPagedecouverture">
    <w:name w:val="Titre objet (Page de couverture)"/>
    <w:basedOn w:val="Titreobjet"/>
    <w:next w:val="IntrtEEEPagedecouverture"/>
    <w:rsid w:val="009B713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9B7138"/>
  </w:style>
  <w:style w:type="paragraph" w:customStyle="1" w:styleId="Volume">
    <w:name w:val="Volum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9B7138"/>
    <w:pPr>
      <w:spacing w:after="240"/>
    </w:pPr>
  </w:style>
  <w:style w:type="paragraph" w:customStyle="1" w:styleId="Accompagnant">
    <w:name w:val="Accompagnant"/>
    <w:basedOn w:val="Normal"/>
    <w:next w:val="Typeacteprincipal"/>
    <w:rsid w:val="009B713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9B713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9B713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9B7138"/>
  </w:style>
  <w:style w:type="paragraph" w:customStyle="1" w:styleId="AccompagnantPagedecouverture">
    <w:name w:val="Accompagnant (Page de couverture)"/>
    <w:basedOn w:val="Accompagnant"/>
    <w:next w:val="TypeacteprincipalPagedecouverture"/>
    <w:rsid w:val="009B713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9B7138"/>
  </w:style>
  <w:style w:type="paragraph" w:customStyle="1" w:styleId="ObjetacteprincipalPagedecouverture">
    <w:name w:val="Objet acte principal (Page de couverture)"/>
    <w:basedOn w:val="Objetacteprincipal"/>
    <w:next w:val="Rfrencecroise"/>
    <w:rsid w:val="009B7138"/>
  </w:style>
  <w:style w:type="paragraph" w:customStyle="1" w:styleId="LanguesfaisantfoiPagedecouverture">
    <w:name w:val="Langues faisant foi (Page de couverture)"/>
    <w:basedOn w:val="Normal"/>
    <w:next w:val="Normal"/>
    <w:rsid w:val="009B7138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8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683D4-D616-4E6C-B3DF-7D211FE8B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0</TotalTime>
  <Pages>6</Pages>
  <Words>1413</Words>
  <Characters>10198</Characters>
  <Application>Microsoft Office Word</Application>
  <DocSecurity>0</DocSecurity>
  <Lines>178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EBA Staff</dc:creator>
  <cp:lastModifiedBy>SULTANA Diane (DGT)</cp:lastModifiedBy>
  <cp:revision>3</cp:revision>
  <cp:lastPrinted>2019-11-13T10:58:00Z</cp:lastPrinted>
  <dcterms:created xsi:type="dcterms:W3CDTF">2020-01-21T16:08:00Z</dcterms:created>
  <dcterms:modified xsi:type="dcterms:W3CDTF">2020-01-21T16:08:00Z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5.8.22.0</vt:lpwstr>
  </property>
  <property fmtid="{D5CDD505-2E9C-101B-9397-08002B2CF9AE}" pid="4" name="Created using">
    <vt:lpwstr>LW 5.8, Build 20110311</vt:lpwstr>
  </property>
  <property fmtid="{D5CDD505-2E9C-101B-9397-08002B2CF9AE}" pid="5" name="Last edited using">
    <vt:lpwstr>LW 7.0, Build 20190717</vt:lpwstr>
  </property>
  <property fmtid="{D5CDD505-2E9C-101B-9397-08002B2CF9AE}" pid="6" name="_NewReviewCycle">
    <vt:lpwstr/>
  </property>
  <property fmtid="{D5CDD505-2E9C-101B-9397-08002B2CF9AE}" pid="7" name="LWTemplateID">
    <vt:lpwstr>SJ-004</vt:lpwstr>
  </property>
  <property fmtid="{D5CDD505-2E9C-101B-9397-08002B2CF9AE}" pid="8" name="Level of sensitivity">
    <vt:lpwstr>Standard treatment</vt:lpwstr>
  </property>
  <property fmtid="{D5CDD505-2E9C-101B-9397-08002B2CF9AE}" pid="9" name="Part">
    <vt:lpwstr>1</vt:lpwstr>
  </property>
  <property fmtid="{D5CDD505-2E9C-101B-9397-08002B2CF9AE}" pid="10" name="Total parts">
    <vt:lpwstr>1</vt:lpwstr>
  </property>
  <property fmtid="{D5CDD505-2E9C-101B-9397-08002B2CF9AE}" pid="11" name="DQCStatus">
    <vt:lpwstr>Green (DQC version 03)</vt:lpwstr>
  </property>
</Properties>
</file>