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4449" w14:textId="77777777" w:rsidR="001B1411" w:rsidRPr="00DA7625" w:rsidRDefault="006B08A5">
      <w:pPr>
        <w:jc w:val="center"/>
        <w:rPr>
          <w:rFonts w:ascii="Times New Roman" w:hAnsi="Times New Roman"/>
          <w:b/>
          <w:sz w:val="32"/>
        </w:rPr>
      </w:pPr>
      <w:bookmarkStart w:id="0" w:name="_GoBack"/>
      <w:bookmarkEnd w:id="0"/>
      <w:r w:rsidRPr="00DA7625">
        <w:rPr>
          <w:rFonts w:ascii="Times New Roman" w:hAnsi="Times New Roman"/>
          <w:b/>
          <w:sz w:val="24"/>
        </w:rPr>
        <w:t>HU</w:t>
      </w:r>
    </w:p>
    <w:p w14:paraId="09258196" w14:textId="77777777" w:rsidR="001B1411" w:rsidRPr="00DA7625" w:rsidRDefault="00453999">
      <w:pPr>
        <w:jc w:val="center"/>
        <w:rPr>
          <w:rFonts w:ascii="Times New Roman" w:hAnsi="Times New Roman"/>
          <w:b/>
          <w:sz w:val="32"/>
        </w:rPr>
      </w:pPr>
      <w:r w:rsidRPr="00DA7625">
        <w:rPr>
          <w:rFonts w:ascii="Times New Roman" w:hAnsi="Times New Roman"/>
          <w:b/>
          <w:sz w:val="24"/>
        </w:rPr>
        <w:t>II. MELLÉKLET</w:t>
      </w:r>
    </w:p>
    <w:p w14:paraId="7EE8FB87" w14:textId="77777777" w:rsidR="001B1411" w:rsidRPr="00DA7625" w:rsidRDefault="001B1411">
      <w:pPr>
        <w:jc w:val="center"/>
        <w:rPr>
          <w:rFonts w:ascii="Times New Roman" w:hAnsi="Times New Roman"/>
          <w:b/>
          <w:sz w:val="32"/>
        </w:rPr>
      </w:pPr>
    </w:p>
    <w:p w14:paraId="4B067868" w14:textId="77777777" w:rsidR="001B1411" w:rsidRPr="00DA7625" w:rsidRDefault="001B1411">
      <w:pPr>
        <w:jc w:val="center"/>
        <w:rPr>
          <w:rFonts w:ascii="Times New Roman" w:hAnsi="Times New Roman"/>
          <w:b/>
          <w:sz w:val="32"/>
        </w:rPr>
      </w:pPr>
    </w:p>
    <w:p w14:paraId="52460C1D" w14:textId="77777777" w:rsidR="001B1411" w:rsidRPr="00DA7625" w:rsidRDefault="00C7103D">
      <w:pPr>
        <w:jc w:val="center"/>
        <w:rPr>
          <w:rFonts w:ascii="Times New Roman" w:hAnsi="Times New Roman"/>
          <w:b/>
          <w:sz w:val="32"/>
          <w:u w:val="single"/>
        </w:rPr>
      </w:pPr>
      <w:r w:rsidRPr="00DA7625">
        <w:rPr>
          <w:rFonts w:ascii="Times New Roman" w:hAnsi="Times New Roman"/>
          <w:b/>
          <w:sz w:val="24"/>
          <w:u w:val="single"/>
        </w:rPr>
        <w:t>„II. MELLÉKLET</w:t>
      </w:r>
    </w:p>
    <w:p w14:paraId="644BA8AC" w14:textId="77777777" w:rsidR="001B1411" w:rsidRPr="00DA7625" w:rsidRDefault="002648B0">
      <w:pPr>
        <w:jc w:val="center"/>
        <w:rPr>
          <w:rFonts w:ascii="Times New Roman" w:hAnsi="Times New Roman"/>
          <w:b/>
          <w:sz w:val="32"/>
        </w:rPr>
      </w:pPr>
      <w:r w:rsidRPr="00DA7625">
        <w:rPr>
          <w:rFonts w:ascii="Times New Roman" w:hAnsi="Times New Roman"/>
          <w:b/>
          <w:sz w:val="24"/>
        </w:rPr>
        <w:t>A SZAVATOLÓTŐKÉRE ÉS A SZAVATOLÓTŐKE-KÖVETELMÉNYEKRE VONATKOZÓ ADATSZOLGÁLTATÁS</w:t>
      </w:r>
    </w:p>
    <w:p w14:paraId="4592BD27" w14:textId="77777777" w:rsidR="001B1411" w:rsidRDefault="001B1411">
      <w:pPr>
        <w:jc w:val="center"/>
        <w:rPr>
          <w:rFonts w:ascii="Times New Roman" w:hAnsi="Times New Roman"/>
          <w:b/>
          <w:sz w:val="24"/>
        </w:rPr>
      </w:pPr>
    </w:p>
    <w:p w14:paraId="296F65E0" w14:textId="77777777" w:rsidR="001B1411" w:rsidRDefault="002648B0">
      <w:pPr>
        <w:pStyle w:val="InstructionsText"/>
      </w:pPr>
      <w:r>
        <w:t>Tartalomjegyzék</w:t>
      </w:r>
    </w:p>
    <w:p w14:paraId="3DCDD088" w14:textId="2C19EE4A" w:rsidR="00470C90" w:rsidRDefault="00745369">
      <w:pPr>
        <w:pStyle w:val="TOC2"/>
        <w:rPr>
          <w:rFonts w:asciiTheme="minorHAnsi" w:eastAsiaTheme="minorEastAsia" w:hAnsiTheme="minorHAnsi" w:cstheme="minorBidi"/>
          <w:b w:val="0"/>
          <w:smallCaps w:val="0"/>
          <w:sz w:val="22"/>
          <w:lang w:val="en-US"/>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hyperlink w:anchor="_Toc31018747" w:history="1">
        <w:r w:rsidR="00470C90" w:rsidRPr="0023775C">
          <w:rPr>
            <w:rStyle w:val="Hyperlink"/>
            <w:rFonts w:ascii="Times New Roman" w:hAnsi="Times New Roman"/>
          </w:rPr>
          <w:t>I. RÉSZ: ÁLTALÁNOS ÚTMUTATÓ</w:t>
        </w:r>
        <w:r w:rsidR="00470C90">
          <w:rPr>
            <w:webHidden/>
          </w:rPr>
          <w:tab/>
        </w:r>
        <w:r w:rsidR="00470C90">
          <w:rPr>
            <w:webHidden/>
          </w:rPr>
          <w:fldChar w:fldCharType="begin"/>
        </w:r>
        <w:r w:rsidR="00470C90">
          <w:rPr>
            <w:webHidden/>
          </w:rPr>
          <w:instrText xml:space="preserve"> PAGEREF _Toc31018747 \h </w:instrText>
        </w:r>
        <w:r w:rsidR="00470C90">
          <w:rPr>
            <w:webHidden/>
          </w:rPr>
        </w:r>
        <w:r w:rsidR="00470C90">
          <w:rPr>
            <w:webHidden/>
          </w:rPr>
          <w:fldChar w:fldCharType="separate"/>
        </w:r>
        <w:r w:rsidR="00470C90">
          <w:rPr>
            <w:webHidden/>
          </w:rPr>
          <w:t>5</w:t>
        </w:r>
        <w:r w:rsidR="00470C90">
          <w:rPr>
            <w:webHidden/>
          </w:rPr>
          <w:fldChar w:fldCharType="end"/>
        </w:r>
      </w:hyperlink>
    </w:p>
    <w:p w14:paraId="1BC5BEA9" w14:textId="49E30891" w:rsidR="00470C90" w:rsidRDefault="00470C90">
      <w:pPr>
        <w:pStyle w:val="TOC2"/>
        <w:rPr>
          <w:rFonts w:asciiTheme="minorHAnsi" w:eastAsiaTheme="minorEastAsia" w:hAnsiTheme="minorHAnsi" w:cstheme="minorBidi"/>
          <w:b w:val="0"/>
          <w:smallCaps w:val="0"/>
          <w:sz w:val="22"/>
          <w:lang w:val="en-US"/>
        </w:rPr>
      </w:pPr>
      <w:hyperlink w:anchor="_Toc31018748" w:history="1">
        <w:r w:rsidRPr="0023775C">
          <w:rPr>
            <w:rStyle w:val="Hyperlink"/>
            <w:rFonts w:ascii="Times New Roman" w:hAnsi="Times New Roman"/>
          </w:rPr>
          <w:t>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Felépítés és szabályok</w:t>
        </w:r>
        <w:r>
          <w:rPr>
            <w:webHidden/>
          </w:rPr>
          <w:tab/>
        </w:r>
        <w:r>
          <w:rPr>
            <w:webHidden/>
          </w:rPr>
          <w:fldChar w:fldCharType="begin"/>
        </w:r>
        <w:r>
          <w:rPr>
            <w:webHidden/>
          </w:rPr>
          <w:instrText xml:space="preserve"> PAGEREF _Toc31018748 \h </w:instrText>
        </w:r>
        <w:r>
          <w:rPr>
            <w:webHidden/>
          </w:rPr>
        </w:r>
        <w:r>
          <w:rPr>
            <w:webHidden/>
          </w:rPr>
          <w:fldChar w:fldCharType="separate"/>
        </w:r>
        <w:r>
          <w:rPr>
            <w:webHidden/>
          </w:rPr>
          <w:t>5</w:t>
        </w:r>
        <w:r>
          <w:rPr>
            <w:webHidden/>
          </w:rPr>
          <w:fldChar w:fldCharType="end"/>
        </w:r>
      </w:hyperlink>
    </w:p>
    <w:p w14:paraId="0C30174A" w14:textId="6A1E331D" w:rsidR="00470C90" w:rsidRDefault="00470C90">
      <w:pPr>
        <w:pStyle w:val="TOC2"/>
        <w:rPr>
          <w:rFonts w:asciiTheme="minorHAnsi" w:eastAsiaTheme="minorEastAsia" w:hAnsiTheme="minorHAnsi" w:cstheme="minorBidi"/>
          <w:b w:val="0"/>
          <w:smallCaps w:val="0"/>
          <w:sz w:val="22"/>
          <w:lang w:val="en-US"/>
        </w:rPr>
      </w:pPr>
      <w:hyperlink w:anchor="_Toc31018749" w:history="1">
        <w:r w:rsidRPr="0023775C">
          <w:rPr>
            <w:rStyle w:val="Hyperlink"/>
            <w:rFonts w:ascii="Times New Roman" w:hAnsi="Times New Roman"/>
          </w:rPr>
          <w:t>1.1.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Felépítés</w:t>
        </w:r>
        <w:r>
          <w:rPr>
            <w:webHidden/>
          </w:rPr>
          <w:tab/>
        </w:r>
        <w:r>
          <w:rPr>
            <w:webHidden/>
          </w:rPr>
          <w:fldChar w:fldCharType="begin"/>
        </w:r>
        <w:r>
          <w:rPr>
            <w:webHidden/>
          </w:rPr>
          <w:instrText xml:space="preserve"> PAGEREF _Toc31018749 \h </w:instrText>
        </w:r>
        <w:r>
          <w:rPr>
            <w:webHidden/>
          </w:rPr>
        </w:r>
        <w:r>
          <w:rPr>
            <w:webHidden/>
          </w:rPr>
          <w:fldChar w:fldCharType="separate"/>
        </w:r>
        <w:r>
          <w:rPr>
            <w:webHidden/>
          </w:rPr>
          <w:t>5</w:t>
        </w:r>
        <w:r>
          <w:rPr>
            <w:webHidden/>
          </w:rPr>
          <w:fldChar w:fldCharType="end"/>
        </w:r>
      </w:hyperlink>
    </w:p>
    <w:p w14:paraId="2BFA26B5" w14:textId="5C560EB8" w:rsidR="00470C90" w:rsidRDefault="00470C90">
      <w:pPr>
        <w:pStyle w:val="TOC2"/>
        <w:rPr>
          <w:rFonts w:asciiTheme="minorHAnsi" w:eastAsiaTheme="minorEastAsia" w:hAnsiTheme="minorHAnsi" w:cstheme="minorBidi"/>
          <w:b w:val="0"/>
          <w:smallCaps w:val="0"/>
          <w:sz w:val="22"/>
          <w:lang w:val="en-US"/>
        </w:rPr>
      </w:pPr>
      <w:hyperlink w:anchor="_Toc31018750" w:history="1">
        <w:r w:rsidRPr="0023775C">
          <w:rPr>
            <w:rStyle w:val="Hyperlink"/>
            <w:rFonts w:ascii="Times New Roman" w:hAnsi="Times New Roman"/>
          </w:rPr>
          <w:t>1.2.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Számozási szabályok</w:t>
        </w:r>
        <w:r>
          <w:rPr>
            <w:webHidden/>
          </w:rPr>
          <w:tab/>
        </w:r>
        <w:r>
          <w:rPr>
            <w:webHidden/>
          </w:rPr>
          <w:fldChar w:fldCharType="begin"/>
        </w:r>
        <w:r>
          <w:rPr>
            <w:webHidden/>
          </w:rPr>
          <w:instrText xml:space="preserve"> PAGEREF _Toc31018750 \h </w:instrText>
        </w:r>
        <w:r>
          <w:rPr>
            <w:webHidden/>
          </w:rPr>
        </w:r>
        <w:r>
          <w:rPr>
            <w:webHidden/>
          </w:rPr>
          <w:fldChar w:fldCharType="separate"/>
        </w:r>
        <w:r>
          <w:rPr>
            <w:webHidden/>
          </w:rPr>
          <w:t>5</w:t>
        </w:r>
        <w:r>
          <w:rPr>
            <w:webHidden/>
          </w:rPr>
          <w:fldChar w:fldCharType="end"/>
        </w:r>
      </w:hyperlink>
    </w:p>
    <w:p w14:paraId="36ABC9C4" w14:textId="3D333CAC" w:rsidR="00470C90" w:rsidRDefault="00470C90">
      <w:pPr>
        <w:pStyle w:val="TOC2"/>
        <w:rPr>
          <w:rFonts w:asciiTheme="minorHAnsi" w:eastAsiaTheme="minorEastAsia" w:hAnsiTheme="minorHAnsi" w:cstheme="minorBidi"/>
          <w:b w:val="0"/>
          <w:smallCaps w:val="0"/>
          <w:sz w:val="22"/>
          <w:lang w:val="en-US"/>
        </w:rPr>
      </w:pPr>
      <w:hyperlink w:anchor="_Toc31018751" w:history="1">
        <w:r w:rsidRPr="0023775C">
          <w:rPr>
            <w:rStyle w:val="Hyperlink"/>
            <w:rFonts w:ascii="Times New Roman" w:hAnsi="Times New Roman"/>
          </w:rPr>
          <w:t>1.3.</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Előjelre vonatkozó szabályok</w:t>
        </w:r>
        <w:r>
          <w:rPr>
            <w:webHidden/>
          </w:rPr>
          <w:tab/>
        </w:r>
        <w:r>
          <w:rPr>
            <w:webHidden/>
          </w:rPr>
          <w:fldChar w:fldCharType="begin"/>
        </w:r>
        <w:r>
          <w:rPr>
            <w:webHidden/>
          </w:rPr>
          <w:instrText xml:space="preserve"> PAGEREF _Toc31018751 \h </w:instrText>
        </w:r>
        <w:r>
          <w:rPr>
            <w:webHidden/>
          </w:rPr>
        </w:r>
        <w:r>
          <w:rPr>
            <w:webHidden/>
          </w:rPr>
          <w:fldChar w:fldCharType="separate"/>
        </w:r>
        <w:r>
          <w:rPr>
            <w:webHidden/>
          </w:rPr>
          <w:t>6</w:t>
        </w:r>
        <w:r>
          <w:rPr>
            <w:webHidden/>
          </w:rPr>
          <w:fldChar w:fldCharType="end"/>
        </w:r>
      </w:hyperlink>
    </w:p>
    <w:p w14:paraId="77684023" w14:textId="2DC9D754" w:rsidR="00470C90" w:rsidRDefault="00470C90">
      <w:pPr>
        <w:pStyle w:val="TOC2"/>
        <w:rPr>
          <w:rFonts w:asciiTheme="minorHAnsi" w:eastAsiaTheme="minorEastAsia" w:hAnsiTheme="minorHAnsi" w:cstheme="minorBidi"/>
          <w:b w:val="0"/>
          <w:smallCaps w:val="0"/>
          <w:sz w:val="22"/>
          <w:lang w:val="en-US"/>
        </w:rPr>
      </w:pPr>
      <w:hyperlink w:anchor="_Toc31018752" w:history="1">
        <w:r w:rsidRPr="0023775C">
          <w:rPr>
            <w:rStyle w:val="Hyperlink"/>
            <w:rFonts w:ascii="Times New Roman" w:hAnsi="Times New Roman"/>
          </w:rPr>
          <w:t>1.4.</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Rövidítések</w:t>
        </w:r>
        <w:r>
          <w:rPr>
            <w:webHidden/>
          </w:rPr>
          <w:tab/>
        </w:r>
        <w:r>
          <w:rPr>
            <w:webHidden/>
          </w:rPr>
          <w:fldChar w:fldCharType="begin"/>
        </w:r>
        <w:r>
          <w:rPr>
            <w:webHidden/>
          </w:rPr>
          <w:instrText xml:space="preserve"> PAGEREF _Toc31018752 \h </w:instrText>
        </w:r>
        <w:r>
          <w:rPr>
            <w:webHidden/>
          </w:rPr>
        </w:r>
        <w:r>
          <w:rPr>
            <w:webHidden/>
          </w:rPr>
          <w:fldChar w:fldCharType="separate"/>
        </w:r>
        <w:r>
          <w:rPr>
            <w:webHidden/>
          </w:rPr>
          <w:t>6</w:t>
        </w:r>
        <w:r>
          <w:rPr>
            <w:webHidden/>
          </w:rPr>
          <w:fldChar w:fldCharType="end"/>
        </w:r>
      </w:hyperlink>
    </w:p>
    <w:p w14:paraId="75717A0B" w14:textId="38954350" w:rsidR="00470C90" w:rsidRDefault="00470C90">
      <w:pPr>
        <w:pStyle w:val="TOC2"/>
        <w:rPr>
          <w:rFonts w:asciiTheme="minorHAnsi" w:eastAsiaTheme="minorEastAsia" w:hAnsiTheme="minorHAnsi" w:cstheme="minorBidi"/>
          <w:b w:val="0"/>
          <w:smallCaps w:val="0"/>
          <w:sz w:val="22"/>
          <w:lang w:val="en-US"/>
        </w:rPr>
      </w:pPr>
      <w:hyperlink w:anchor="_Toc31018753" w:history="1">
        <w:r w:rsidRPr="0023775C">
          <w:rPr>
            <w:rStyle w:val="Hyperlink"/>
            <w:rFonts w:ascii="Times New Roman" w:hAnsi="Times New Roman"/>
          </w:rPr>
          <w:t>II. RÉSZ: A TÁBLÁHOZ KAPCSOLÓDÓ ÚTMUTATÓ</w:t>
        </w:r>
        <w:r>
          <w:rPr>
            <w:webHidden/>
          </w:rPr>
          <w:tab/>
        </w:r>
        <w:r>
          <w:rPr>
            <w:webHidden/>
          </w:rPr>
          <w:fldChar w:fldCharType="begin"/>
        </w:r>
        <w:r>
          <w:rPr>
            <w:webHidden/>
          </w:rPr>
          <w:instrText xml:space="preserve"> PAGEREF _Toc31018753 \h </w:instrText>
        </w:r>
        <w:r>
          <w:rPr>
            <w:webHidden/>
          </w:rPr>
        </w:r>
        <w:r>
          <w:rPr>
            <w:webHidden/>
          </w:rPr>
          <w:fldChar w:fldCharType="separate"/>
        </w:r>
        <w:r>
          <w:rPr>
            <w:webHidden/>
          </w:rPr>
          <w:t>7</w:t>
        </w:r>
        <w:r>
          <w:rPr>
            <w:webHidden/>
          </w:rPr>
          <w:fldChar w:fldCharType="end"/>
        </w:r>
      </w:hyperlink>
    </w:p>
    <w:p w14:paraId="1D63F79A" w14:textId="29019864" w:rsidR="00470C90" w:rsidRDefault="00470C90">
      <w:pPr>
        <w:pStyle w:val="TOC2"/>
        <w:rPr>
          <w:rFonts w:asciiTheme="minorHAnsi" w:eastAsiaTheme="minorEastAsia" w:hAnsiTheme="minorHAnsi" w:cstheme="minorBidi"/>
          <w:b w:val="0"/>
          <w:smallCaps w:val="0"/>
          <w:sz w:val="22"/>
          <w:lang w:val="en-US"/>
        </w:rPr>
      </w:pPr>
      <w:hyperlink w:anchor="_Toc31018754" w:history="1">
        <w:r w:rsidRPr="0023775C">
          <w:rPr>
            <w:rStyle w:val="Hyperlink"/>
            <w:rFonts w:ascii="Times New Roman" w:hAnsi="Times New Roman"/>
          </w:rPr>
          <w:t>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Tőkemegfelelési áttekintés (CA)</w:t>
        </w:r>
        <w:r>
          <w:rPr>
            <w:webHidden/>
          </w:rPr>
          <w:tab/>
        </w:r>
        <w:r>
          <w:rPr>
            <w:webHidden/>
          </w:rPr>
          <w:fldChar w:fldCharType="begin"/>
        </w:r>
        <w:r>
          <w:rPr>
            <w:webHidden/>
          </w:rPr>
          <w:instrText xml:space="preserve"> PAGEREF _Toc31018754 \h </w:instrText>
        </w:r>
        <w:r>
          <w:rPr>
            <w:webHidden/>
          </w:rPr>
        </w:r>
        <w:r>
          <w:rPr>
            <w:webHidden/>
          </w:rPr>
          <w:fldChar w:fldCharType="separate"/>
        </w:r>
        <w:r>
          <w:rPr>
            <w:webHidden/>
          </w:rPr>
          <w:t>7</w:t>
        </w:r>
        <w:r>
          <w:rPr>
            <w:webHidden/>
          </w:rPr>
          <w:fldChar w:fldCharType="end"/>
        </w:r>
      </w:hyperlink>
    </w:p>
    <w:p w14:paraId="1F1E8F50" w14:textId="2AFB06EE" w:rsidR="00470C90" w:rsidRDefault="00470C90">
      <w:pPr>
        <w:pStyle w:val="TOC2"/>
        <w:rPr>
          <w:rFonts w:asciiTheme="minorHAnsi" w:eastAsiaTheme="minorEastAsia" w:hAnsiTheme="minorHAnsi" w:cstheme="minorBidi"/>
          <w:b w:val="0"/>
          <w:smallCaps w:val="0"/>
          <w:sz w:val="22"/>
          <w:lang w:val="en-US"/>
        </w:rPr>
      </w:pPr>
      <w:hyperlink w:anchor="_Toc31018755" w:history="1">
        <w:r w:rsidRPr="0023775C">
          <w:rPr>
            <w:rStyle w:val="Hyperlink"/>
            <w:rFonts w:ascii="Times New Roman" w:hAnsi="Times New Roman"/>
          </w:rPr>
          <w:t>1.1.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_Toc31018755 \h </w:instrText>
        </w:r>
        <w:r>
          <w:rPr>
            <w:webHidden/>
          </w:rPr>
        </w:r>
        <w:r>
          <w:rPr>
            <w:webHidden/>
          </w:rPr>
          <w:fldChar w:fldCharType="separate"/>
        </w:r>
        <w:r>
          <w:rPr>
            <w:webHidden/>
          </w:rPr>
          <w:t>7</w:t>
        </w:r>
        <w:r>
          <w:rPr>
            <w:webHidden/>
          </w:rPr>
          <w:fldChar w:fldCharType="end"/>
        </w:r>
      </w:hyperlink>
    </w:p>
    <w:p w14:paraId="726CA4A9" w14:textId="32CD4FE1" w:rsidR="00470C90" w:rsidRDefault="00470C90">
      <w:pPr>
        <w:pStyle w:val="TOC2"/>
        <w:rPr>
          <w:rFonts w:asciiTheme="minorHAnsi" w:eastAsiaTheme="minorEastAsia" w:hAnsiTheme="minorHAnsi" w:cstheme="minorBidi"/>
          <w:b w:val="0"/>
          <w:smallCaps w:val="0"/>
          <w:sz w:val="22"/>
          <w:lang w:val="en-US"/>
        </w:rPr>
      </w:pPr>
      <w:hyperlink w:anchor="_Toc31018756" w:history="1">
        <w:r w:rsidRPr="0023775C">
          <w:rPr>
            <w:rStyle w:val="Hyperlink"/>
            <w:rFonts w:ascii="Times New Roman" w:hAnsi="Times New Roman"/>
          </w:rPr>
          <w:t>1.2.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01.00 – SZAVATOLÓTŐKE (CA1)</w:t>
        </w:r>
        <w:r>
          <w:rPr>
            <w:webHidden/>
          </w:rPr>
          <w:tab/>
        </w:r>
        <w:r>
          <w:rPr>
            <w:webHidden/>
          </w:rPr>
          <w:fldChar w:fldCharType="begin"/>
        </w:r>
        <w:r>
          <w:rPr>
            <w:webHidden/>
          </w:rPr>
          <w:instrText xml:space="preserve"> PAGEREF _Toc31018756 \h </w:instrText>
        </w:r>
        <w:r>
          <w:rPr>
            <w:webHidden/>
          </w:rPr>
        </w:r>
        <w:r>
          <w:rPr>
            <w:webHidden/>
          </w:rPr>
          <w:fldChar w:fldCharType="separate"/>
        </w:r>
        <w:r>
          <w:rPr>
            <w:webHidden/>
          </w:rPr>
          <w:t>8</w:t>
        </w:r>
        <w:r>
          <w:rPr>
            <w:webHidden/>
          </w:rPr>
          <w:fldChar w:fldCharType="end"/>
        </w:r>
      </w:hyperlink>
    </w:p>
    <w:p w14:paraId="4CF5D4DD" w14:textId="0A06D3CA" w:rsidR="00470C90" w:rsidRDefault="00470C90">
      <w:pPr>
        <w:pStyle w:val="TOC2"/>
        <w:rPr>
          <w:rFonts w:asciiTheme="minorHAnsi" w:eastAsiaTheme="minorEastAsia" w:hAnsiTheme="minorHAnsi" w:cstheme="minorBidi"/>
          <w:b w:val="0"/>
          <w:smallCaps w:val="0"/>
          <w:sz w:val="22"/>
          <w:lang w:val="en-US"/>
        </w:rPr>
      </w:pPr>
      <w:hyperlink w:anchor="_Toc31018757" w:history="1">
        <w:r w:rsidRPr="0023775C">
          <w:rPr>
            <w:rStyle w:val="Hyperlink"/>
            <w:rFonts w:ascii="Times New Roman" w:hAnsi="Times New Roman"/>
          </w:rPr>
          <w:t>1.2.1.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_Toc31018757 \h </w:instrText>
        </w:r>
        <w:r>
          <w:rPr>
            <w:webHidden/>
          </w:rPr>
        </w:r>
        <w:r>
          <w:rPr>
            <w:webHidden/>
          </w:rPr>
          <w:fldChar w:fldCharType="separate"/>
        </w:r>
        <w:r>
          <w:rPr>
            <w:webHidden/>
          </w:rPr>
          <w:t>8</w:t>
        </w:r>
        <w:r>
          <w:rPr>
            <w:webHidden/>
          </w:rPr>
          <w:fldChar w:fldCharType="end"/>
        </w:r>
      </w:hyperlink>
    </w:p>
    <w:p w14:paraId="0DF40AAA" w14:textId="1B412FED" w:rsidR="00470C90" w:rsidRDefault="00470C90">
      <w:pPr>
        <w:pStyle w:val="TOC2"/>
        <w:rPr>
          <w:rFonts w:asciiTheme="minorHAnsi" w:eastAsiaTheme="minorEastAsia" w:hAnsiTheme="minorHAnsi" w:cstheme="minorBidi"/>
          <w:b w:val="0"/>
          <w:smallCaps w:val="0"/>
          <w:sz w:val="22"/>
          <w:lang w:val="en-US"/>
        </w:rPr>
      </w:pPr>
      <w:hyperlink w:anchor="_Toc31018758" w:history="1">
        <w:r w:rsidRPr="0023775C">
          <w:rPr>
            <w:rStyle w:val="Hyperlink"/>
            <w:rFonts w:ascii="Times New Roman" w:hAnsi="Times New Roman"/>
          </w:rPr>
          <w:t>1.3.</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02.00 – SZAVATOLÓTŐKE-KÖVETELMÉNY (CA2)</w:t>
        </w:r>
        <w:r>
          <w:rPr>
            <w:webHidden/>
          </w:rPr>
          <w:tab/>
        </w:r>
        <w:r>
          <w:rPr>
            <w:webHidden/>
          </w:rPr>
          <w:fldChar w:fldCharType="begin"/>
        </w:r>
        <w:r>
          <w:rPr>
            <w:webHidden/>
          </w:rPr>
          <w:instrText xml:space="preserve"> PAGEREF _Toc31018758 \h </w:instrText>
        </w:r>
        <w:r>
          <w:rPr>
            <w:webHidden/>
          </w:rPr>
        </w:r>
        <w:r>
          <w:rPr>
            <w:webHidden/>
          </w:rPr>
          <w:fldChar w:fldCharType="separate"/>
        </w:r>
        <w:r>
          <w:rPr>
            <w:webHidden/>
          </w:rPr>
          <w:t>25</w:t>
        </w:r>
        <w:r>
          <w:rPr>
            <w:webHidden/>
          </w:rPr>
          <w:fldChar w:fldCharType="end"/>
        </w:r>
      </w:hyperlink>
    </w:p>
    <w:p w14:paraId="6649D035" w14:textId="62EF33BF" w:rsidR="00470C90" w:rsidRDefault="00470C90">
      <w:pPr>
        <w:pStyle w:val="TOC2"/>
        <w:rPr>
          <w:rFonts w:asciiTheme="minorHAnsi" w:eastAsiaTheme="minorEastAsia" w:hAnsiTheme="minorHAnsi" w:cstheme="minorBidi"/>
          <w:b w:val="0"/>
          <w:smallCaps w:val="0"/>
          <w:sz w:val="22"/>
          <w:lang w:val="en-US"/>
        </w:rPr>
      </w:pPr>
      <w:hyperlink w:anchor="_Toc31018759" w:history="1">
        <w:r w:rsidRPr="0023775C">
          <w:rPr>
            <w:rStyle w:val="Hyperlink"/>
            <w:rFonts w:ascii="Times New Roman" w:hAnsi="Times New Roman"/>
          </w:rPr>
          <w:t>1.3.1.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_Toc31018759 \h </w:instrText>
        </w:r>
        <w:r>
          <w:rPr>
            <w:webHidden/>
          </w:rPr>
        </w:r>
        <w:r>
          <w:rPr>
            <w:webHidden/>
          </w:rPr>
          <w:fldChar w:fldCharType="separate"/>
        </w:r>
        <w:r>
          <w:rPr>
            <w:webHidden/>
          </w:rPr>
          <w:t>25</w:t>
        </w:r>
        <w:r>
          <w:rPr>
            <w:webHidden/>
          </w:rPr>
          <w:fldChar w:fldCharType="end"/>
        </w:r>
      </w:hyperlink>
    </w:p>
    <w:p w14:paraId="38C560CA" w14:textId="057267EA" w:rsidR="00470C90" w:rsidRDefault="00470C90">
      <w:pPr>
        <w:pStyle w:val="TOC2"/>
        <w:rPr>
          <w:rFonts w:asciiTheme="minorHAnsi" w:eastAsiaTheme="minorEastAsia" w:hAnsiTheme="minorHAnsi" w:cstheme="minorBidi"/>
          <w:b w:val="0"/>
          <w:smallCaps w:val="0"/>
          <w:sz w:val="22"/>
          <w:lang w:val="en-US"/>
        </w:rPr>
      </w:pPr>
      <w:hyperlink w:anchor="_Toc31018760" w:history="1">
        <w:r w:rsidRPr="0023775C">
          <w:rPr>
            <w:rStyle w:val="Hyperlink"/>
            <w:rFonts w:ascii="Times New Roman" w:hAnsi="Times New Roman"/>
          </w:rPr>
          <w:t>1.4</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03.00 – TŐKEMEGFELELÉSI MUTATÓK ÉS TŐKESZINTEK (CA3)</w:t>
        </w:r>
        <w:r>
          <w:rPr>
            <w:webHidden/>
          </w:rPr>
          <w:tab/>
        </w:r>
        <w:r>
          <w:rPr>
            <w:webHidden/>
          </w:rPr>
          <w:fldChar w:fldCharType="begin"/>
        </w:r>
        <w:r>
          <w:rPr>
            <w:webHidden/>
          </w:rPr>
          <w:instrText xml:space="preserve"> PAGEREF _Toc31018760 \h </w:instrText>
        </w:r>
        <w:r>
          <w:rPr>
            <w:webHidden/>
          </w:rPr>
        </w:r>
        <w:r>
          <w:rPr>
            <w:webHidden/>
          </w:rPr>
          <w:fldChar w:fldCharType="separate"/>
        </w:r>
        <w:r>
          <w:rPr>
            <w:webHidden/>
          </w:rPr>
          <w:t>32</w:t>
        </w:r>
        <w:r>
          <w:rPr>
            <w:webHidden/>
          </w:rPr>
          <w:fldChar w:fldCharType="end"/>
        </w:r>
      </w:hyperlink>
    </w:p>
    <w:p w14:paraId="071EEF91" w14:textId="4FB8FF67" w:rsidR="00470C90" w:rsidRDefault="00470C90">
      <w:pPr>
        <w:pStyle w:val="TOC2"/>
        <w:rPr>
          <w:rFonts w:asciiTheme="minorHAnsi" w:eastAsiaTheme="minorEastAsia" w:hAnsiTheme="minorHAnsi" w:cstheme="minorBidi"/>
          <w:b w:val="0"/>
          <w:smallCaps w:val="0"/>
          <w:sz w:val="22"/>
          <w:lang w:val="en-US"/>
        </w:rPr>
      </w:pPr>
      <w:hyperlink w:anchor="_Toc31018761" w:history="1">
        <w:r w:rsidRPr="0023775C">
          <w:rPr>
            <w:rStyle w:val="Hyperlink"/>
            <w:rFonts w:ascii="Times New Roman" w:hAnsi="Times New Roman"/>
          </w:rPr>
          <w:t>1.4.1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_Toc31018761 \h </w:instrText>
        </w:r>
        <w:r>
          <w:rPr>
            <w:webHidden/>
          </w:rPr>
        </w:r>
        <w:r>
          <w:rPr>
            <w:webHidden/>
          </w:rPr>
          <w:fldChar w:fldCharType="separate"/>
        </w:r>
        <w:r>
          <w:rPr>
            <w:webHidden/>
          </w:rPr>
          <w:t>32</w:t>
        </w:r>
        <w:r>
          <w:rPr>
            <w:webHidden/>
          </w:rPr>
          <w:fldChar w:fldCharType="end"/>
        </w:r>
      </w:hyperlink>
    </w:p>
    <w:p w14:paraId="48D93A68" w14:textId="114F456E" w:rsidR="00470C90" w:rsidRDefault="00470C90">
      <w:pPr>
        <w:pStyle w:val="TOC2"/>
        <w:rPr>
          <w:rFonts w:asciiTheme="minorHAnsi" w:eastAsiaTheme="minorEastAsia" w:hAnsiTheme="minorHAnsi" w:cstheme="minorBidi"/>
          <w:b w:val="0"/>
          <w:smallCaps w:val="0"/>
          <w:sz w:val="22"/>
          <w:lang w:val="en-US"/>
        </w:rPr>
      </w:pPr>
      <w:hyperlink w:anchor="_Toc31018762" w:history="1">
        <w:r w:rsidRPr="0023775C">
          <w:rPr>
            <w:rStyle w:val="Hyperlink"/>
            <w:rFonts w:ascii="Times New Roman" w:hAnsi="Times New Roman"/>
          </w:rPr>
          <w:t>1.5.</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04.00 – TÁJÉKOZTATÓ ADATOK (CA4)</w:t>
        </w:r>
        <w:r>
          <w:rPr>
            <w:webHidden/>
          </w:rPr>
          <w:tab/>
        </w:r>
        <w:r>
          <w:rPr>
            <w:webHidden/>
          </w:rPr>
          <w:fldChar w:fldCharType="begin"/>
        </w:r>
        <w:r>
          <w:rPr>
            <w:webHidden/>
          </w:rPr>
          <w:instrText xml:space="preserve"> PAGEREF _Toc31018762 \h </w:instrText>
        </w:r>
        <w:r>
          <w:rPr>
            <w:webHidden/>
          </w:rPr>
        </w:r>
        <w:r>
          <w:rPr>
            <w:webHidden/>
          </w:rPr>
          <w:fldChar w:fldCharType="separate"/>
        </w:r>
        <w:r>
          <w:rPr>
            <w:webHidden/>
          </w:rPr>
          <w:t>35</w:t>
        </w:r>
        <w:r>
          <w:rPr>
            <w:webHidden/>
          </w:rPr>
          <w:fldChar w:fldCharType="end"/>
        </w:r>
      </w:hyperlink>
    </w:p>
    <w:p w14:paraId="50A2927A" w14:textId="198A3C2F" w:rsidR="00470C90" w:rsidRDefault="00470C90">
      <w:pPr>
        <w:pStyle w:val="TOC2"/>
        <w:rPr>
          <w:rFonts w:asciiTheme="minorHAnsi" w:eastAsiaTheme="minorEastAsia" w:hAnsiTheme="minorHAnsi" w:cstheme="minorBidi"/>
          <w:b w:val="0"/>
          <w:smallCaps w:val="0"/>
          <w:sz w:val="22"/>
          <w:lang w:val="en-US"/>
        </w:rPr>
      </w:pPr>
      <w:hyperlink w:anchor="_Toc31018763" w:history="1">
        <w:r w:rsidRPr="0023775C">
          <w:rPr>
            <w:rStyle w:val="Hyperlink"/>
            <w:rFonts w:ascii="Times New Roman" w:hAnsi="Times New Roman"/>
          </w:rPr>
          <w:t>1.5.1.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_Toc31018763 \h </w:instrText>
        </w:r>
        <w:r>
          <w:rPr>
            <w:webHidden/>
          </w:rPr>
        </w:r>
        <w:r>
          <w:rPr>
            <w:webHidden/>
          </w:rPr>
          <w:fldChar w:fldCharType="separate"/>
        </w:r>
        <w:r>
          <w:rPr>
            <w:webHidden/>
          </w:rPr>
          <w:t>35</w:t>
        </w:r>
        <w:r>
          <w:rPr>
            <w:webHidden/>
          </w:rPr>
          <w:fldChar w:fldCharType="end"/>
        </w:r>
      </w:hyperlink>
    </w:p>
    <w:p w14:paraId="07DA4557" w14:textId="742A5C65" w:rsidR="00470C90" w:rsidRDefault="00470C90">
      <w:pPr>
        <w:pStyle w:val="TOC2"/>
        <w:rPr>
          <w:rFonts w:asciiTheme="minorHAnsi" w:eastAsiaTheme="minorEastAsia" w:hAnsiTheme="minorHAnsi" w:cstheme="minorBidi"/>
          <w:b w:val="0"/>
          <w:smallCaps w:val="0"/>
          <w:sz w:val="22"/>
          <w:lang w:val="en-US"/>
        </w:rPr>
      </w:pPr>
      <w:hyperlink w:anchor="_Toc31018764" w:history="1">
        <w:r w:rsidRPr="0023775C">
          <w:rPr>
            <w:rStyle w:val="Hyperlink"/>
            <w:rFonts w:ascii="Times New Roman" w:hAnsi="Times New Roman"/>
          </w:rPr>
          <w:t>1.6</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ÁTMENETI RENDELKEZÉSEK ÉS SZERZETT JOGOK ALAPJÁN FIGYELEMBE VETT TŐKEINSTRUMENTUMOK: ÁLLAMI TÁMOGATÁSNAK NEM MINŐSÜLŐ INSTRUMENTUMOK (CA5)</w:t>
        </w:r>
        <w:r>
          <w:rPr>
            <w:webHidden/>
          </w:rPr>
          <w:tab/>
        </w:r>
        <w:r>
          <w:rPr>
            <w:webHidden/>
          </w:rPr>
          <w:fldChar w:fldCharType="begin"/>
        </w:r>
        <w:r>
          <w:rPr>
            <w:webHidden/>
          </w:rPr>
          <w:instrText xml:space="preserve"> PAGEREF _Toc31018764 \h </w:instrText>
        </w:r>
        <w:r>
          <w:rPr>
            <w:webHidden/>
          </w:rPr>
        </w:r>
        <w:r>
          <w:rPr>
            <w:webHidden/>
          </w:rPr>
          <w:fldChar w:fldCharType="separate"/>
        </w:r>
        <w:r>
          <w:rPr>
            <w:webHidden/>
          </w:rPr>
          <w:t>54</w:t>
        </w:r>
        <w:r>
          <w:rPr>
            <w:webHidden/>
          </w:rPr>
          <w:fldChar w:fldCharType="end"/>
        </w:r>
      </w:hyperlink>
    </w:p>
    <w:p w14:paraId="5BA2C71D" w14:textId="25D9CF54" w:rsidR="00470C90" w:rsidRDefault="00470C90">
      <w:pPr>
        <w:pStyle w:val="TOC2"/>
        <w:rPr>
          <w:rFonts w:asciiTheme="minorHAnsi" w:eastAsiaTheme="minorEastAsia" w:hAnsiTheme="minorHAnsi" w:cstheme="minorBidi"/>
          <w:b w:val="0"/>
          <w:smallCaps w:val="0"/>
          <w:sz w:val="22"/>
          <w:lang w:val="en-US"/>
        </w:rPr>
      </w:pPr>
      <w:hyperlink w:anchor="_Toc31018765" w:history="1">
        <w:r w:rsidRPr="0023775C">
          <w:rPr>
            <w:rStyle w:val="Hyperlink"/>
            <w:rFonts w:ascii="Times New Roman" w:hAnsi="Times New Roman"/>
          </w:rPr>
          <w:t>1.6.1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_Toc31018765 \h </w:instrText>
        </w:r>
        <w:r>
          <w:rPr>
            <w:webHidden/>
          </w:rPr>
        </w:r>
        <w:r>
          <w:rPr>
            <w:webHidden/>
          </w:rPr>
          <w:fldChar w:fldCharType="separate"/>
        </w:r>
        <w:r>
          <w:rPr>
            <w:webHidden/>
          </w:rPr>
          <w:t>54</w:t>
        </w:r>
        <w:r>
          <w:rPr>
            <w:webHidden/>
          </w:rPr>
          <w:fldChar w:fldCharType="end"/>
        </w:r>
      </w:hyperlink>
    </w:p>
    <w:p w14:paraId="0EBD7955" w14:textId="58EE370F" w:rsidR="00470C90" w:rsidRDefault="00470C90">
      <w:pPr>
        <w:pStyle w:val="TOC2"/>
        <w:rPr>
          <w:rFonts w:asciiTheme="minorHAnsi" w:eastAsiaTheme="minorEastAsia" w:hAnsiTheme="minorHAnsi" w:cstheme="minorBidi"/>
          <w:b w:val="0"/>
          <w:smallCaps w:val="0"/>
          <w:sz w:val="22"/>
          <w:lang w:val="en-US"/>
        </w:rPr>
      </w:pPr>
      <w:hyperlink w:anchor="_Toc31018766" w:history="1">
        <w:r w:rsidRPr="0023775C">
          <w:rPr>
            <w:rStyle w:val="Hyperlink"/>
            <w:rFonts w:ascii="Times New Roman" w:hAnsi="Times New Roman"/>
          </w:rPr>
          <w:t>1.6.2.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05.01 – ÁTMENETI RENDELKEZÉSEK (CA5.1)</w:t>
        </w:r>
        <w:r>
          <w:rPr>
            <w:webHidden/>
          </w:rPr>
          <w:tab/>
        </w:r>
        <w:r>
          <w:rPr>
            <w:webHidden/>
          </w:rPr>
          <w:fldChar w:fldCharType="begin"/>
        </w:r>
        <w:r>
          <w:rPr>
            <w:webHidden/>
          </w:rPr>
          <w:instrText xml:space="preserve"> PAGEREF _Toc31018766 \h </w:instrText>
        </w:r>
        <w:r>
          <w:rPr>
            <w:webHidden/>
          </w:rPr>
        </w:r>
        <w:r>
          <w:rPr>
            <w:webHidden/>
          </w:rPr>
          <w:fldChar w:fldCharType="separate"/>
        </w:r>
        <w:r>
          <w:rPr>
            <w:webHidden/>
          </w:rPr>
          <w:t>55</w:t>
        </w:r>
        <w:r>
          <w:rPr>
            <w:webHidden/>
          </w:rPr>
          <w:fldChar w:fldCharType="end"/>
        </w:r>
      </w:hyperlink>
    </w:p>
    <w:p w14:paraId="15E46489" w14:textId="0E4952C2" w:rsidR="00470C90" w:rsidRDefault="00470C90">
      <w:pPr>
        <w:pStyle w:val="TOC2"/>
        <w:rPr>
          <w:rFonts w:asciiTheme="minorHAnsi" w:eastAsiaTheme="minorEastAsia" w:hAnsiTheme="minorHAnsi" w:cstheme="minorBidi"/>
          <w:b w:val="0"/>
          <w:smallCaps w:val="0"/>
          <w:sz w:val="22"/>
          <w:lang w:val="en-US"/>
        </w:rPr>
      </w:pPr>
      <w:hyperlink w:anchor="_Toc31018767" w:history="1">
        <w:r w:rsidRPr="0023775C">
          <w:rPr>
            <w:rStyle w:val="Hyperlink"/>
            <w:rFonts w:ascii="Times New Roman" w:hAnsi="Times New Roman"/>
          </w:rPr>
          <w:t>1.6.2.1.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_Toc31018767 \h </w:instrText>
        </w:r>
        <w:r>
          <w:rPr>
            <w:webHidden/>
          </w:rPr>
        </w:r>
        <w:r>
          <w:rPr>
            <w:webHidden/>
          </w:rPr>
          <w:fldChar w:fldCharType="separate"/>
        </w:r>
        <w:r>
          <w:rPr>
            <w:webHidden/>
          </w:rPr>
          <w:t>55</w:t>
        </w:r>
        <w:r>
          <w:rPr>
            <w:webHidden/>
          </w:rPr>
          <w:fldChar w:fldCharType="end"/>
        </w:r>
      </w:hyperlink>
    </w:p>
    <w:p w14:paraId="75F18726" w14:textId="49157292" w:rsidR="00470C90" w:rsidRDefault="00470C90">
      <w:pPr>
        <w:pStyle w:val="TOC2"/>
        <w:rPr>
          <w:rFonts w:asciiTheme="minorHAnsi" w:eastAsiaTheme="minorEastAsia" w:hAnsiTheme="minorHAnsi" w:cstheme="minorBidi"/>
          <w:b w:val="0"/>
          <w:smallCaps w:val="0"/>
          <w:sz w:val="22"/>
          <w:lang w:val="en-US"/>
        </w:rPr>
      </w:pPr>
      <w:hyperlink w:anchor="_Toc31018768" w:history="1">
        <w:r w:rsidRPr="0023775C">
          <w:rPr>
            <w:rStyle w:val="Hyperlink"/>
            <w:rFonts w:ascii="Times New Roman" w:hAnsi="Times New Roman"/>
          </w:rPr>
          <w:t>1.6.3.</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05.02 – SZERZETT JOGOK ALAPJÁN FIGYELEMBE VETT TŐKEINSTRUMENTUMOK: ÁLLAMI TÁMOGATÁSNAK NEM MINŐSÜLŐ INSTRUMENTUMOK (CA5.2)</w:t>
        </w:r>
        <w:r>
          <w:rPr>
            <w:webHidden/>
          </w:rPr>
          <w:tab/>
        </w:r>
        <w:r>
          <w:rPr>
            <w:webHidden/>
          </w:rPr>
          <w:fldChar w:fldCharType="begin"/>
        </w:r>
        <w:r>
          <w:rPr>
            <w:webHidden/>
          </w:rPr>
          <w:instrText xml:space="preserve"> PAGEREF _Toc31018768 \h </w:instrText>
        </w:r>
        <w:r>
          <w:rPr>
            <w:webHidden/>
          </w:rPr>
        </w:r>
        <w:r>
          <w:rPr>
            <w:webHidden/>
          </w:rPr>
          <w:fldChar w:fldCharType="separate"/>
        </w:r>
        <w:r>
          <w:rPr>
            <w:webHidden/>
          </w:rPr>
          <w:t>65</w:t>
        </w:r>
        <w:r>
          <w:rPr>
            <w:webHidden/>
          </w:rPr>
          <w:fldChar w:fldCharType="end"/>
        </w:r>
      </w:hyperlink>
    </w:p>
    <w:p w14:paraId="4DDAC386" w14:textId="44672181" w:rsidR="00470C90" w:rsidRDefault="00470C90">
      <w:pPr>
        <w:pStyle w:val="TOC2"/>
        <w:rPr>
          <w:rFonts w:asciiTheme="minorHAnsi" w:eastAsiaTheme="minorEastAsia" w:hAnsiTheme="minorHAnsi" w:cstheme="minorBidi"/>
          <w:b w:val="0"/>
          <w:smallCaps w:val="0"/>
          <w:sz w:val="22"/>
          <w:lang w:val="en-US"/>
        </w:rPr>
      </w:pPr>
      <w:hyperlink w:anchor="_Toc31018769" w:history="1">
        <w:r w:rsidRPr="0023775C">
          <w:rPr>
            <w:rStyle w:val="Hyperlink"/>
            <w:rFonts w:ascii="Times New Roman" w:hAnsi="Times New Roman"/>
          </w:rPr>
          <w:t>1.6.3.1.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_Toc31018769 \h </w:instrText>
        </w:r>
        <w:r>
          <w:rPr>
            <w:webHidden/>
          </w:rPr>
        </w:r>
        <w:r>
          <w:rPr>
            <w:webHidden/>
          </w:rPr>
          <w:fldChar w:fldCharType="separate"/>
        </w:r>
        <w:r>
          <w:rPr>
            <w:webHidden/>
          </w:rPr>
          <w:t>65</w:t>
        </w:r>
        <w:r>
          <w:rPr>
            <w:webHidden/>
          </w:rPr>
          <w:fldChar w:fldCharType="end"/>
        </w:r>
      </w:hyperlink>
    </w:p>
    <w:p w14:paraId="5C8BDC4C" w14:textId="4C0CD2D5" w:rsidR="00470C90" w:rsidRDefault="00470C90">
      <w:pPr>
        <w:pStyle w:val="TOC2"/>
        <w:rPr>
          <w:rFonts w:asciiTheme="minorHAnsi" w:eastAsiaTheme="minorEastAsia" w:hAnsiTheme="minorHAnsi" w:cstheme="minorBidi"/>
          <w:b w:val="0"/>
          <w:smallCaps w:val="0"/>
          <w:sz w:val="22"/>
          <w:lang w:val="en-US"/>
        </w:rPr>
      </w:pPr>
      <w:hyperlink w:anchor="_Toc31018770" w:history="1">
        <w:r w:rsidRPr="0023775C">
          <w:rPr>
            <w:rStyle w:val="Hyperlink"/>
            <w:rFonts w:ascii="Times New Roman" w:hAnsi="Times New Roman"/>
          </w:rPr>
          <w:t>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CSOPORTSZINTŰ SZAVATOLÓTŐKE-MEGFELELÉS: INFORMÁCIÓK A CSOPORTBA TARTOZÓ SZERVEZETEKRŐL (GS)</w:t>
        </w:r>
        <w:r>
          <w:rPr>
            <w:webHidden/>
          </w:rPr>
          <w:tab/>
        </w:r>
        <w:r>
          <w:rPr>
            <w:webHidden/>
          </w:rPr>
          <w:fldChar w:fldCharType="begin"/>
        </w:r>
        <w:r>
          <w:rPr>
            <w:webHidden/>
          </w:rPr>
          <w:instrText xml:space="preserve"> PAGEREF _Toc31018770 \h </w:instrText>
        </w:r>
        <w:r>
          <w:rPr>
            <w:webHidden/>
          </w:rPr>
        </w:r>
        <w:r>
          <w:rPr>
            <w:webHidden/>
          </w:rPr>
          <w:fldChar w:fldCharType="separate"/>
        </w:r>
        <w:r>
          <w:rPr>
            <w:webHidden/>
          </w:rPr>
          <w:t>67</w:t>
        </w:r>
        <w:r>
          <w:rPr>
            <w:webHidden/>
          </w:rPr>
          <w:fldChar w:fldCharType="end"/>
        </w:r>
      </w:hyperlink>
    </w:p>
    <w:p w14:paraId="7C8F29AB" w14:textId="3CB02C39" w:rsidR="00470C90" w:rsidRDefault="00470C90">
      <w:pPr>
        <w:pStyle w:val="TOC2"/>
        <w:rPr>
          <w:rFonts w:asciiTheme="minorHAnsi" w:eastAsiaTheme="minorEastAsia" w:hAnsiTheme="minorHAnsi" w:cstheme="minorBidi"/>
          <w:b w:val="0"/>
          <w:smallCaps w:val="0"/>
          <w:sz w:val="22"/>
          <w:lang w:val="en-US"/>
        </w:rPr>
      </w:pPr>
      <w:hyperlink w:anchor="_Toc31018771" w:history="1">
        <w:r w:rsidRPr="0023775C">
          <w:rPr>
            <w:rStyle w:val="Hyperlink"/>
            <w:rFonts w:ascii="Times New Roman" w:hAnsi="Times New Roman"/>
          </w:rPr>
          <w:t>2.1.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_Toc31018771 \h </w:instrText>
        </w:r>
        <w:r>
          <w:rPr>
            <w:webHidden/>
          </w:rPr>
        </w:r>
        <w:r>
          <w:rPr>
            <w:webHidden/>
          </w:rPr>
          <w:fldChar w:fldCharType="separate"/>
        </w:r>
        <w:r>
          <w:rPr>
            <w:webHidden/>
          </w:rPr>
          <w:t>67</w:t>
        </w:r>
        <w:r>
          <w:rPr>
            <w:webHidden/>
          </w:rPr>
          <w:fldChar w:fldCharType="end"/>
        </w:r>
      </w:hyperlink>
    </w:p>
    <w:p w14:paraId="1B3E9210" w14:textId="6E7CB5CE" w:rsidR="00470C90" w:rsidRDefault="00470C90">
      <w:pPr>
        <w:pStyle w:val="TOC2"/>
        <w:rPr>
          <w:rFonts w:asciiTheme="minorHAnsi" w:eastAsiaTheme="minorEastAsia" w:hAnsiTheme="minorHAnsi" w:cstheme="minorBidi"/>
          <w:b w:val="0"/>
          <w:smallCaps w:val="0"/>
          <w:sz w:val="22"/>
          <w:lang w:val="en-US"/>
        </w:rPr>
      </w:pPr>
      <w:hyperlink w:anchor="_Toc31018772" w:history="1">
        <w:r w:rsidRPr="0023775C">
          <w:rPr>
            <w:rStyle w:val="Hyperlink"/>
            <w:rFonts w:ascii="Times New Roman" w:hAnsi="Times New Roman"/>
          </w:rPr>
          <w:t>2.2.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Részletes információk a csoportszintű szavatolótőke-megfelelésről</w:t>
        </w:r>
        <w:r>
          <w:rPr>
            <w:webHidden/>
          </w:rPr>
          <w:tab/>
        </w:r>
        <w:r>
          <w:rPr>
            <w:webHidden/>
          </w:rPr>
          <w:fldChar w:fldCharType="begin"/>
        </w:r>
        <w:r>
          <w:rPr>
            <w:webHidden/>
          </w:rPr>
          <w:instrText xml:space="preserve"> PAGEREF _Toc31018772 \h </w:instrText>
        </w:r>
        <w:r>
          <w:rPr>
            <w:webHidden/>
          </w:rPr>
        </w:r>
        <w:r>
          <w:rPr>
            <w:webHidden/>
          </w:rPr>
          <w:fldChar w:fldCharType="separate"/>
        </w:r>
        <w:r>
          <w:rPr>
            <w:webHidden/>
          </w:rPr>
          <w:t>68</w:t>
        </w:r>
        <w:r>
          <w:rPr>
            <w:webHidden/>
          </w:rPr>
          <w:fldChar w:fldCharType="end"/>
        </w:r>
      </w:hyperlink>
    </w:p>
    <w:p w14:paraId="4A763CEA" w14:textId="7E40B0B7" w:rsidR="00470C90" w:rsidRDefault="00470C90">
      <w:pPr>
        <w:pStyle w:val="TOC2"/>
        <w:rPr>
          <w:rFonts w:asciiTheme="minorHAnsi" w:eastAsiaTheme="minorEastAsia" w:hAnsiTheme="minorHAnsi" w:cstheme="minorBidi"/>
          <w:b w:val="0"/>
          <w:smallCaps w:val="0"/>
          <w:sz w:val="22"/>
          <w:lang w:val="en-US"/>
        </w:rPr>
      </w:pPr>
      <w:hyperlink w:anchor="_Toc31018773" w:history="1">
        <w:r w:rsidRPr="0023775C">
          <w:rPr>
            <w:rStyle w:val="Hyperlink"/>
            <w:rFonts w:ascii="Times New Roman" w:hAnsi="Times New Roman"/>
          </w:rPr>
          <w:t>2.3.</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Az egyes szervezeteknek a csoportszintű szavatolótőke-megfeleléshez való hozzájárulásával kapcsolatos információk</w:t>
        </w:r>
        <w:r>
          <w:rPr>
            <w:webHidden/>
          </w:rPr>
          <w:tab/>
        </w:r>
        <w:r>
          <w:rPr>
            <w:webHidden/>
          </w:rPr>
          <w:fldChar w:fldCharType="begin"/>
        </w:r>
        <w:r>
          <w:rPr>
            <w:webHidden/>
          </w:rPr>
          <w:instrText xml:space="preserve"> PAGEREF _Toc31018773 \h </w:instrText>
        </w:r>
        <w:r>
          <w:rPr>
            <w:webHidden/>
          </w:rPr>
        </w:r>
        <w:r>
          <w:rPr>
            <w:webHidden/>
          </w:rPr>
          <w:fldChar w:fldCharType="separate"/>
        </w:r>
        <w:r>
          <w:rPr>
            <w:webHidden/>
          </w:rPr>
          <w:t>68</w:t>
        </w:r>
        <w:r>
          <w:rPr>
            <w:webHidden/>
          </w:rPr>
          <w:fldChar w:fldCharType="end"/>
        </w:r>
      </w:hyperlink>
    </w:p>
    <w:p w14:paraId="350BB354" w14:textId="7E22004A" w:rsidR="00470C90" w:rsidRDefault="00470C90">
      <w:pPr>
        <w:pStyle w:val="TOC2"/>
        <w:rPr>
          <w:rFonts w:asciiTheme="minorHAnsi" w:eastAsiaTheme="minorEastAsia" w:hAnsiTheme="minorHAnsi" w:cstheme="minorBidi"/>
          <w:b w:val="0"/>
          <w:smallCaps w:val="0"/>
          <w:sz w:val="22"/>
          <w:lang w:val="en-US"/>
        </w:rPr>
      </w:pPr>
      <w:hyperlink w:anchor="_Toc31018774" w:history="1">
        <w:r w:rsidRPr="0023775C">
          <w:rPr>
            <w:rStyle w:val="Hyperlink"/>
            <w:rFonts w:ascii="Times New Roman" w:hAnsi="Times New Roman"/>
          </w:rPr>
          <w:t>2.4.</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06.01 – CSOPORTSZINTŰ SZAVATOLÓTŐKE-MEGFELELÉS: INFORMÁCIÓK A CSOPORTBA TARTOZÓ SZERVEZETEKRŐL – ÖSSZESEN (GS Total)</w:t>
        </w:r>
        <w:r>
          <w:rPr>
            <w:webHidden/>
          </w:rPr>
          <w:tab/>
        </w:r>
        <w:r>
          <w:rPr>
            <w:webHidden/>
          </w:rPr>
          <w:fldChar w:fldCharType="begin"/>
        </w:r>
        <w:r>
          <w:rPr>
            <w:webHidden/>
          </w:rPr>
          <w:instrText xml:space="preserve"> PAGEREF _Toc31018774 \h </w:instrText>
        </w:r>
        <w:r>
          <w:rPr>
            <w:webHidden/>
          </w:rPr>
        </w:r>
        <w:r>
          <w:rPr>
            <w:webHidden/>
          </w:rPr>
          <w:fldChar w:fldCharType="separate"/>
        </w:r>
        <w:r>
          <w:rPr>
            <w:webHidden/>
          </w:rPr>
          <w:t>69</w:t>
        </w:r>
        <w:r>
          <w:rPr>
            <w:webHidden/>
          </w:rPr>
          <w:fldChar w:fldCharType="end"/>
        </w:r>
      </w:hyperlink>
    </w:p>
    <w:p w14:paraId="1CEB5A96" w14:textId="0560040E" w:rsidR="00470C90" w:rsidRDefault="00470C90">
      <w:pPr>
        <w:pStyle w:val="TOC2"/>
        <w:rPr>
          <w:rFonts w:asciiTheme="minorHAnsi" w:eastAsiaTheme="minorEastAsia" w:hAnsiTheme="minorHAnsi" w:cstheme="minorBidi"/>
          <w:b w:val="0"/>
          <w:smallCaps w:val="0"/>
          <w:sz w:val="22"/>
          <w:lang w:val="en-US"/>
        </w:rPr>
      </w:pPr>
      <w:hyperlink w:anchor="_Toc31018775" w:history="1">
        <w:r w:rsidRPr="0023775C">
          <w:rPr>
            <w:rStyle w:val="Hyperlink"/>
            <w:rFonts w:ascii="Times New Roman" w:hAnsi="Times New Roman"/>
          </w:rPr>
          <w:t>2.5.</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06.02 – CSOPORTSZINTŰ SZAVATOLÓTŐKE-MEGFELELÉS: INFORMÁCIÓK A CSOPORTBA TARTOZÓ SZERVEZETEKRŐL (GS)</w:t>
        </w:r>
        <w:r>
          <w:rPr>
            <w:webHidden/>
          </w:rPr>
          <w:tab/>
        </w:r>
        <w:r>
          <w:rPr>
            <w:webHidden/>
          </w:rPr>
          <w:fldChar w:fldCharType="begin"/>
        </w:r>
        <w:r>
          <w:rPr>
            <w:webHidden/>
          </w:rPr>
          <w:instrText xml:space="preserve"> PAGEREF _Toc31018775 \h </w:instrText>
        </w:r>
        <w:r>
          <w:rPr>
            <w:webHidden/>
          </w:rPr>
        </w:r>
        <w:r>
          <w:rPr>
            <w:webHidden/>
          </w:rPr>
          <w:fldChar w:fldCharType="separate"/>
        </w:r>
        <w:r>
          <w:rPr>
            <w:webHidden/>
          </w:rPr>
          <w:t>69</w:t>
        </w:r>
        <w:r>
          <w:rPr>
            <w:webHidden/>
          </w:rPr>
          <w:fldChar w:fldCharType="end"/>
        </w:r>
      </w:hyperlink>
    </w:p>
    <w:p w14:paraId="0BFEE165" w14:textId="0EF2B674" w:rsidR="00470C90" w:rsidRDefault="00470C90">
      <w:pPr>
        <w:pStyle w:val="TOC2"/>
        <w:rPr>
          <w:rFonts w:asciiTheme="minorHAnsi" w:eastAsiaTheme="minorEastAsia" w:hAnsiTheme="minorHAnsi" w:cstheme="minorBidi"/>
          <w:b w:val="0"/>
          <w:smallCaps w:val="0"/>
          <w:sz w:val="22"/>
          <w:lang w:val="en-US"/>
        </w:rPr>
      </w:pPr>
      <w:hyperlink w:anchor="_Toc31018776" w:history="1">
        <w:r w:rsidRPr="0023775C">
          <w:rPr>
            <w:rStyle w:val="Hyperlink"/>
            <w:rFonts w:ascii="Times New Roman" w:hAnsi="Times New Roman"/>
          </w:rPr>
          <w:t>3.</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Hitelkockázati táblacsoport</w:t>
        </w:r>
        <w:r>
          <w:rPr>
            <w:webHidden/>
          </w:rPr>
          <w:tab/>
        </w:r>
        <w:r>
          <w:rPr>
            <w:webHidden/>
          </w:rPr>
          <w:fldChar w:fldCharType="begin"/>
        </w:r>
        <w:r>
          <w:rPr>
            <w:webHidden/>
          </w:rPr>
          <w:instrText xml:space="preserve"> PAGEREF _Toc31018776 \h </w:instrText>
        </w:r>
        <w:r>
          <w:rPr>
            <w:webHidden/>
          </w:rPr>
        </w:r>
        <w:r>
          <w:rPr>
            <w:webHidden/>
          </w:rPr>
          <w:fldChar w:fldCharType="separate"/>
        </w:r>
        <w:r>
          <w:rPr>
            <w:webHidden/>
          </w:rPr>
          <w:t>78</w:t>
        </w:r>
        <w:r>
          <w:rPr>
            <w:webHidden/>
          </w:rPr>
          <w:fldChar w:fldCharType="end"/>
        </w:r>
      </w:hyperlink>
    </w:p>
    <w:p w14:paraId="4C199C4F" w14:textId="7F236EDF" w:rsidR="00470C90" w:rsidRDefault="00470C90">
      <w:pPr>
        <w:pStyle w:val="TOC2"/>
        <w:rPr>
          <w:rFonts w:asciiTheme="minorHAnsi" w:eastAsiaTheme="minorEastAsia" w:hAnsiTheme="minorHAnsi" w:cstheme="minorBidi"/>
          <w:b w:val="0"/>
          <w:smallCaps w:val="0"/>
          <w:sz w:val="22"/>
          <w:lang w:val="en-US"/>
        </w:rPr>
      </w:pPr>
      <w:hyperlink w:anchor="_Toc31018777" w:history="1">
        <w:r w:rsidRPr="0023775C">
          <w:rPr>
            <w:rStyle w:val="Hyperlink"/>
            <w:rFonts w:ascii="Times New Roman" w:hAnsi="Times New Roman"/>
          </w:rPr>
          <w:t>3.1.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_Toc31018777 \h </w:instrText>
        </w:r>
        <w:r>
          <w:rPr>
            <w:webHidden/>
          </w:rPr>
        </w:r>
        <w:r>
          <w:rPr>
            <w:webHidden/>
          </w:rPr>
          <w:fldChar w:fldCharType="separate"/>
        </w:r>
        <w:r>
          <w:rPr>
            <w:webHidden/>
          </w:rPr>
          <w:t>78</w:t>
        </w:r>
        <w:r>
          <w:rPr>
            <w:webHidden/>
          </w:rPr>
          <w:fldChar w:fldCharType="end"/>
        </w:r>
      </w:hyperlink>
    </w:p>
    <w:p w14:paraId="0D8E5A85" w14:textId="45EF210D" w:rsidR="00470C90" w:rsidRDefault="00470C90">
      <w:pPr>
        <w:pStyle w:val="TOC2"/>
        <w:rPr>
          <w:rFonts w:asciiTheme="minorHAnsi" w:eastAsiaTheme="minorEastAsia" w:hAnsiTheme="minorHAnsi" w:cstheme="minorBidi"/>
          <w:b w:val="0"/>
          <w:smallCaps w:val="0"/>
          <w:sz w:val="22"/>
          <w:lang w:val="en-US"/>
        </w:rPr>
      </w:pPr>
      <w:hyperlink w:anchor="_Toc31018778" w:history="1">
        <w:r w:rsidRPr="0023775C">
          <w:rPr>
            <w:rStyle w:val="Hyperlink"/>
            <w:rFonts w:ascii="Times New Roman" w:hAnsi="Times New Roman"/>
          </w:rPr>
          <w:t>3.1.1.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Helyettesítési hatással járó hitelkockázat-mérséklési technikák</w:t>
        </w:r>
        <w:r>
          <w:rPr>
            <w:webHidden/>
          </w:rPr>
          <w:tab/>
        </w:r>
        <w:r>
          <w:rPr>
            <w:webHidden/>
          </w:rPr>
          <w:fldChar w:fldCharType="begin"/>
        </w:r>
        <w:r>
          <w:rPr>
            <w:webHidden/>
          </w:rPr>
          <w:instrText xml:space="preserve"> PAGEREF _Toc31018778 \h </w:instrText>
        </w:r>
        <w:r>
          <w:rPr>
            <w:webHidden/>
          </w:rPr>
        </w:r>
        <w:r>
          <w:rPr>
            <w:webHidden/>
          </w:rPr>
          <w:fldChar w:fldCharType="separate"/>
        </w:r>
        <w:r>
          <w:rPr>
            <w:webHidden/>
          </w:rPr>
          <w:t>78</w:t>
        </w:r>
        <w:r>
          <w:rPr>
            <w:webHidden/>
          </w:rPr>
          <w:fldChar w:fldCharType="end"/>
        </w:r>
      </w:hyperlink>
    </w:p>
    <w:p w14:paraId="29334F4C" w14:textId="5739AFBD" w:rsidR="00470C90" w:rsidRDefault="00470C90">
      <w:pPr>
        <w:pStyle w:val="TOC2"/>
        <w:rPr>
          <w:rFonts w:asciiTheme="minorHAnsi" w:eastAsiaTheme="minorEastAsia" w:hAnsiTheme="minorHAnsi" w:cstheme="minorBidi"/>
          <w:b w:val="0"/>
          <w:smallCaps w:val="0"/>
          <w:sz w:val="22"/>
          <w:lang w:val="en-US"/>
        </w:rPr>
      </w:pPr>
      <w:hyperlink w:anchor="_Toc31018779" w:history="1">
        <w:r w:rsidRPr="0023775C">
          <w:rPr>
            <w:rStyle w:val="Hyperlink"/>
            <w:rFonts w:ascii="Times New Roman" w:hAnsi="Times New Roman"/>
          </w:rPr>
          <w:t>3.1.2.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partnerkockázattal kapcsolatos adatszolgáltatás</w:t>
        </w:r>
        <w:r>
          <w:rPr>
            <w:webHidden/>
          </w:rPr>
          <w:tab/>
        </w:r>
        <w:r>
          <w:rPr>
            <w:webHidden/>
          </w:rPr>
          <w:fldChar w:fldCharType="begin"/>
        </w:r>
        <w:r>
          <w:rPr>
            <w:webHidden/>
          </w:rPr>
          <w:instrText xml:space="preserve"> PAGEREF _Toc31018779 \h </w:instrText>
        </w:r>
        <w:r>
          <w:rPr>
            <w:webHidden/>
          </w:rPr>
        </w:r>
        <w:r>
          <w:rPr>
            <w:webHidden/>
          </w:rPr>
          <w:fldChar w:fldCharType="separate"/>
        </w:r>
        <w:r>
          <w:rPr>
            <w:webHidden/>
          </w:rPr>
          <w:t>79</w:t>
        </w:r>
        <w:r>
          <w:rPr>
            <w:webHidden/>
          </w:rPr>
          <w:fldChar w:fldCharType="end"/>
        </w:r>
      </w:hyperlink>
    </w:p>
    <w:p w14:paraId="3075EC2E" w14:textId="6B4DFECC" w:rsidR="00470C90" w:rsidRDefault="00470C90">
      <w:pPr>
        <w:pStyle w:val="TOC2"/>
        <w:rPr>
          <w:rFonts w:asciiTheme="minorHAnsi" w:eastAsiaTheme="minorEastAsia" w:hAnsiTheme="minorHAnsi" w:cstheme="minorBidi"/>
          <w:b w:val="0"/>
          <w:smallCaps w:val="0"/>
          <w:sz w:val="22"/>
          <w:lang w:val="en-US"/>
        </w:rPr>
      </w:pPr>
      <w:hyperlink w:anchor="_Toc31018780" w:history="1">
        <w:r w:rsidRPr="0023775C">
          <w:rPr>
            <w:rStyle w:val="Hyperlink"/>
            <w:rFonts w:ascii="Times New Roman" w:hAnsi="Times New Roman"/>
          </w:rPr>
          <w:t>3.2.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07.00 – Hitelkockázat, partnerkockázat és nyitva szállítások: a sztenderd módszer szerinti tőkekövetelmény (CR SA)</w:t>
        </w:r>
        <w:r>
          <w:rPr>
            <w:webHidden/>
          </w:rPr>
          <w:tab/>
        </w:r>
        <w:r>
          <w:rPr>
            <w:webHidden/>
          </w:rPr>
          <w:fldChar w:fldCharType="begin"/>
        </w:r>
        <w:r>
          <w:rPr>
            <w:webHidden/>
          </w:rPr>
          <w:instrText xml:space="preserve"> PAGEREF _Toc31018780 \h </w:instrText>
        </w:r>
        <w:r>
          <w:rPr>
            <w:webHidden/>
          </w:rPr>
        </w:r>
        <w:r>
          <w:rPr>
            <w:webHidden/>
          </w:rPr>
          <w:fldChar w:fldCharType="separate"/>
        </w:r>
        <w:r>
          <w:rPr>
            <w:webHidden/>
          </w:rPr>
          <w:t>79</w:t>
        </w:r>
        <w:r>
          <w:rPr>
            <w:webHidden/>
          </w:rPr>
          <w:fldChar w:fldCharType="end"/>
        </w:r>
      </w:hyperlink>
    </w:p>
    <w:p w14:paraId="36F264D2" w14:textId="66D3DCCF" w:rsidR="00470C90" w:rsidRDefault="00470C90">
      <w:pPr>
        <w:pStyle w:val="TOC2"/>
        <w:rPr>
          <w:rFonts w:asciiTheme="minorHAnsi" w:eastAsiaTheme="minorEastAsia" w:hAnsiTheme="minorHAnsi" w:cstheme="minorBidi"/>
          <w:b w:val="0"/>
          <w:smallCaps w:val="0"/>
          <w:sz w:val="22"/>
          <w:lang w:val="en-US"/>
        </w:rPr>
      </w:pPr>
      <w:hyperlink w:anchor="_Toc31018781" w:history="1">
        <w:r w:rsidRPr="0023775C">
          <w:rPr>
            <w:rStyle w:val="Hyperlink"/>
            <w:rFonts w:ascii="Times New Roman" w:hAnsi="Times New Roman"/>
          </w:rPr>
          <w:t>3.2.1.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_Toc31018781 \h </w:instrText>
        </w:r>
        <w:r>
          <w:rPr>
            <w:webHidden/>
          </w:rPr>
        </w:r>
        <w:r>
          <w:rPr>
            <w:webHidden/>
          </w:rPr>
          <w:fldChar w:fldCharType="separate"/>
        </w:r>
        <w:r>
          <w:rPr>
            <w:webHidden/>
          </w:rPr>
          <w:t>79</w:t>
        </w:r>
        <w:r>
          <w:rPr>
            <w:webHidden/>
          </w:rPr>
          <w:fldChar w:fldCharType="end"/>
        </w:r>
      </w:hyperlink>
    </w:p>
    <w:p w14:paraId="0C12AA67" w14:textId="64E24DF0" w:rsidR="00470C90" w:rsidRDefault="00470C90">
      <w:pPr>
        <w:pStyle w:val="TOC2"/>
        <w:rPr>
          <w:rFonts w:asciiTheme="minorHAnsi" w:eastAsiaTheme="minorEastAsia" w:hAnsiTheme="minorHAnsi" w:cstheme="minorBidi"/>
          <w:b w:val="0"/>
          <w:smallCaps w:val="0"/>
          <w:sz w:val="22"/>
          <w:lang w:val="en-US"/>
        </w:rPr>
      </w:pPr>
      <w:hyperlink w:anchor="_Toc31018782" w:history="1">
        <w:r w:rsidRPr="0023775C">
          <w:rPr>
            <w:rStyle w:val="Hyperlink"/>
            <w:rFonts w:ascii="Times New Roman" w:hAnsi="Times New Roman"/>
          </w:rPr>
          <w:t>3.2.2.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CR SA tábla alkalmazási köre</w:t>
        </w:r>
        <w:r>
          <w:rPr>
            <w:webHidden/>
          </w:rPr>
          <w:tab/>
        </w:r>
        <w:r>
          <w:rPr>
            <w:webHidden/>
          </w:rPr>
          <w:fldChar w:fldCharType="begin"/>
        </w:r>
        <w:r>
          <w:rPr>
            <w:webHidden/>
          </w:rPr>
          <w:instrText xml:space="preserve"> PAGEREF _Toc31018782 \h </w:instrText>
        </w:r>
        <w:r>
          <w:rPr>
            <w:webHidden/>
          </w:rPr>
        </w:r>
        <w:r>
          <w:rPr>
            <w:webHidden/>
          </w:rPr>
          <w:fldChar w:fldCharType="separate"/>
        </w:r>
        <w:r>
          <w:rPr>
            <w:webHidden/>
          </w:rPr>
          <w:t>79</w:t>
        </w:r>
        <w:r>
          <w:rPr>
            <w:webHidden/>
          </w:rPr>
          <w:fldChar w:fldCharType="end"/>
        </w:r>
      </w:hyperlink>
    </w:p>
    <w:p w14:paraId="431FEA4A" w14:textId="4F5F00C4" w:rsidR="00470C90" w:rsidRDefault="00470C90">
      <w:pPr>
        <w:pStyle w:val="TOC2"/>
        <w:rPr>
          <w:rFonts w:asciiTheme="minorHAnsi" w:eastAsiaTheme="minorEastAsia" w:hAnsiTheme="minorHAnsi" w:cstheme="minorBidi"/>
          <w:b w:val="0"/>
          <w:smallCaps w:val="0"/>
          <w:sz w:val="22"/>
          <w:lang w:val="en-US"/>
        </w:rPr>
      </w:pPr>
      <w:hyperlink w:anchor="_Toc31018783" w:history="1">
        <w:r w:rsidRPr="0023775C">
          <w:rPr>
            <w:rStyle w:val="Hyperlink"/>
            <w:rFonts w:ascii="Times New Roman" w:hAnsi="Times New Roman"/>
          </w:rPr>
          <w:t>3.2.3.</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 xml:space="preserve"> A kitettségek kitettségi osztályba sorolása a sztenderd módszerrel</w:t>
        </w:r>
        <w:r>
          <w:rPr>
            <w:webHidden/>
          </w:rPr>
          <w:tab/>
        </w:r>
        <w:r>
          <w:rPr>
            <w:webHidden/>
          </w:rPr>
          <w:fldChar w:fldCharType="begin"/>
        </w:r>
        <w:r>
          <w:rPr>
            <w:webHidden/>
          </w:rPr>
          <w:instrText xml:space="preserve"> PAGEREF _Toc31018783 \h </w:instrText>
        </w:r>
        <w:r>
          <w:rPr>
            <w:webHidden/>
          </w:rPr>
        </w:r>
        <w:r>
          <w:rPr>
            <w:webHidden/>
          </w:rPr>
          <w:fldChar w:fldCharType="separate"/>
        </w:r>
        <w:r>
          <w:rPr>
            <w:webHidden/>
          </w:rPr>
          <w:t>81</w:t>
        </w:r>
        <w:r>
          <w:rPr>
            <w:webHidden/>
          </w:rPr>
          <w:fldChar w:fldCharType="end"/>
        </w:r>
      </w:hyperlink>
    </w:p>
    <w:p w14:paraId="3A6BED8D" w14:textId="35A1B2E3" w:rsidR="00470C90" w:rsidRDefault="00470C90">
      <w:pPr>
        <w:pStyle w:val="TOC2"/>
        <w:rPr>
          <w:rFonts w:asciiTheme="minorHAnsi" w:eastAsiaTheme="minorEastAsia" w:hAnsiTheme="minorHAnsi" w:cstheme="minorBidi"/>
          <w:b w:val="0"/>
          <w:smallCaps w:val="0"/>
          <w:sz w:val="22"/>
          <w:lang w:val="en-US"/>
        </w:rPr>
      </w:pPr>
      <w:hyperlink w:anchor="_Toc31018784" w:history="1">
        <w:r w:rsidRPr="0023775C">
          <w:rPr>
            <w:rStyle w:val="Hyperlink"/>
            <w:rFonts w:ascii="Times New Roman" w:hAnsi="Times New Roman"/>
          </w:rPr>
          <w:t>3.2.4.</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CRR 112. cikkében említett egyes kitettségi osztályok terjedelmének magyarázata</w:t>
        </w:r>
        <w:r>
          <w:rPr>
            <w:webHidden/>
          </w:rPr>
          <w:tab/>
        </w:r>
        <w:r>
          <w:rPr>
            <w:webHidden/>
          </w:rPr>
          <w:fldChar w:fldCharType="begin"/>
        </w:r>
        <w:r>
          <w:rPr>
            <w:webHidden/>
          </w:rPr>
          <w:instrText xml:space="preserve"> PAGEREF _Toc31018784 \h </w:instrText>
        </w:r>
        <w:r>
          <w:rPr>
            <w:webHidden/>
          </w:rPr>
        </w:r>
        <w:r>
          <w:rPr>
            <w:webHidden/>
          </w:rPr>
          <w:fldChar w:fldCharType="separate"/>
        </w:r>
        <w:r>
          <w:rPr>
            <w:webHidden/>
          </w:rPr>
          <w:t>87</w:t>
        </w:r>
        <w:r>
          <w:rPr>
            <w:webHidden/>
          </w:rPr>
          <w:fldChar w:fldCharType="end"/>
        </w:r>
      </w:hyperlink>
    </w:p>
    <w:p w14:paraId="59851DCD" w14:textId="57023CEE" w:rsidR="00470C90" w:rsidRDefault="00470C90">
      <w:pPr>
        <w:pStyle w:val="TOC2"/>
        <w:rPr>
          <w:rFonts w:asciiTheme="minorHAnsi" w:eastAsiaTheme="minorEastAsia" w:hAnsiTheme="minorHAnsi" w:cstheme="minorBidi"/>
          <w:b w:val="0"/>
          <w:smallCaps w:val="0"/>
          <w:sz w:val="22"/>
          <w:lang w:val="en-US"/>
        </w:rPr>
      </w:pPr>
      <w:hyperlink w:anchor="_Toc31018785" w:history="1">
        <w:r w:rsidRPr="0023775C">
          <w:rPr>
            <w:rStyle w:val="Hyperlink"/>
            <w:rFonts w:ascii="Times New Roman" w:hAnsi="Times New Roman"/>
          </w:rPr>
          <w:t>3.2.4.1.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Az „intézmények” kitettségi osztály</w:t>
        </w:r>
        <w:r>
          <w:rPr>
            <w:webHidden/>
          </w:rPr>
          <w:tab/>
        </w:r>
        <w:r>
          <w:rPr>
            <w:webHidden/>
          </w:rPr>
          <w:fldChar w:fldCharType="begin"/>
        </w:r>
        <w:r>
          <w:rPr>
            <w:webHidden/>
          </w:rPr>
          <w:instrText xml:space="preserve"> PAGEREF _Toc31018785 \h </w:instrText>
        </w:r>
        <w:r>
          <w:rPr>
            <w:webHidden/>
          </w:rPr>
        </w:r>
        <w:r>
          <w:rPr>
            <w:webHidden/>
          </w:rPr>
          <w:fldChar w:fldCharType="separate"/>
        </w:r>
        <w:r>
          <w:rPr>
            <w:webHidden/>
          </w:rPr>
          <w:t>87</w:t>
        </w:r>
        <w:r>
          <w:rPr>
            <w:webHidden/>
          </w:rPr>
          <w:fldChar w:fldCharType="end"/>
        </w:r>
      </w:hyperlink>
    </w:p>
    <w:p w14:paraId="62D52AAC" w14:textId="5419EADF" w:rsidR="00470C90" w:rsidRDefault="00470C90">
      <w:pPr>
        <w:pStyle w:val="TOC2"/>
        <w:rPr>
          <w:rFonts w:asciiTheme="minorHAnsi" w:eastAsiaTheme="minorEastAsia" w:hAnsiTheme="minorHAnsi" w:cstheme="minorBidi"/>
          <w:b w:val="0"/>
          <w:smallCaps w:val="0"/>
          <w:sz w:val="22"/>
          <w:lang w:val="en-US"/>
        </w:rPr>
      </w:pPr>
      <w:hyperlink w:anchor="_Toc31018786" w:history="1">
        <w:r w:rsidRPr="0023775C">
          <w:rPr>
            <w:rStyle w:val="Hyperlink"/>
            <w:rFonts w:ascii="Times New Roman" w:hAnsi="Times New Roman"/>
          </w:rPr>
          <w:t>3.2.4.2.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„fedezett kötvények” kitettségi osztály</w:t>
        </w:r>
        <w:r>
          <w:rPr>
            <w:webHidden/>
          </w:rPr>
          <w:tab/>
        </w:r>
        <w:r>
          <w:rPr>
            <w:webHidden/>
          </w:rPr>
          <w:fldChar w:fldCharType="begin"/>
        </w:r>
        <w:r>
          <w:rPr>
            <w:webHidden/>
          </w:rPr>
          <w:instrText xml:space="preserve"> PAGEREF _Toc31018786 \h </w:instrText>
        </w:r>
        <w:r>
          <w:rPr>
            <w:webHidden/>
          </w:rPr>
        </w:r>
        <w:r>
          <w:rPr>
            <w:webHidden/>
          </w:rPr>
          <w:fldChar w:fldCharType="separate"/>
        </w:r>
        <w:r>
          <w:rPr>
            <w:webHidden/>
          </w:rPr>
          <w:t>87</w:t>
        </w:r>
        <w:r>
          <w:rPr>
            <w:webHidden/>
          </w:rPr>
          <w:fldChar w:fldCharType="end"/>
        </w:r>
      </w:hyperlink>
    </w:p>
    <w:p w14:paraId="26D2E339" w14:textId="5850427A" w:rsidR="00470C90" w:rsidRDefault="00470C90">
      <w:pPr>
        <w:pStyle w:val="TOC2"/>
        <w:rPr>
          <w:rFonts w:asciiTheme="minorHAnsi" w:eastAsiaTheme="minorEastAsia" w:hAnsiTheme="minorHAnsi" w:cstheme="minorBidi"/>
          <w:b w:val="0"/>
          <w:smallCaps w:val="0"/>
          <w:sz w:val="22"/>
          <w:lang w:val="en-US"/>
        </w:rPr>
      </w:pPr>
      <w:hyperlink w:anchor="_Toc31018787" w:history="1">
        <w:r w:rsidRPr="0023775C">
          <w:rPr>
            <w:rStyle w:val="Hyperlink"/>
            <w:rFonts w:ascii="Times New Roman" w:hAnsi="Times New Roman"/>
          </w:rPr>
          <w:t>3.2.4.3.</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„kollektív befektetési formák” kitettségi osztály</w:t>
        </w:r>
        <w:r>
          <w:rPr>
            <w:webHidden/>
          </w:rPr>
          <w:tab/>
        </w:r>
        <w:r>
          <w:rPr>
            <w:webHidden/>
          </w:rPr>
          <w:fldChar w:fldCharType="begin"/>
        </w:r>
        <w:r>
          <w:rPr>
            <w:webHidden/>
          </w:rPr>
          <w:instrText xml:space="preserve"> PAGEREF _Toc31018787 \h </w:instrText>
        </w:r>
        <w:r>
          <w:rPr>
            <w:webHidden/>
          </w:rPr>
        </w:r>
        <w:r>
          <w:rPr>
            <w:webHidden/>
          </w:rPr>
          <w:fldChar w:fldCharType="separate"/>
        </w:r>
        <w:r>
          <w:rPr>
            <w:webHidden/>
          </w:rPr>
          <w:t>87</w:t>
        </w:r>
        <w:r>
          <w:rPr>
            <w:webHidden/>
          </w:rPr>
          <w:fldChar w:fldCharType="end"/>
        </w:r>
      </w:hyperlink>
    </w:p>
    <w:p w14:paraId="0363DA47" w14:textId="30DD117C" w:rsidR="00470C90" w:rsidRDefault="00470C90">
      <w:pPr>
        <w:pStyle w:val="TOC2"/>
        <w:rPr>
          <w:rFonts w:asciiTheme="minorHAnsi" w:eastAsiaTheme="minorEastAsia" w:hAnsiTheme="minorHAnsi" w:cstheme="minorBidi"/>
          <w:b w:val="0"/>
          <w:smallCaps w:val="0"/>
          <w:sz w:val="22"/>
          <w:lang w:val="en-US"/>
        </w:rPr>
      </w:pPr>
      <w:hyperlink w:anchor="_Toc31018788" w:history="1">
        <w:r w:rsidRPr="0023775C">
          <w:rPr>
            <w:rStyle w:val="Hyperlink"/>
            <w:rFonts w:ascii="Times New Roman" w:hAnsi="Times New Roman"/>
          </w:rPr>
          <w:t>3.2.5.</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_Toc31018788 \h </w:instrText>
        </w:r>
        <w:r>
          <w:rPr>
            <w:webHidden/>
          </w:rPr>
        </w:r>
        <w:r>
          <w:rPr>
            <w:webHidden/>
          </w:rPr>
          <w:fldChar w:fldCharType="separate"/>
        </w:r>
        <w:r>
          <w:rPr>
            <w:webHidden/>
          </w:rPr>
          <w:t>88</w:t>
        </w:r>
        <w:r>
          <w:rPr>
            <w:webHidden/>
          </w:rPr>
          <w:fldChar w:fldCharType="end"/>
        </w:r>
      </w:hyperlink>
    </w:p>
    <w:p w14:paraId="28B97DBB" w14:textId="3BEF4CA4" w:rsidR="00470C90" w:rsidRDefault="00470C90">
      <w:pPr>
        <w:pStyle w:val="TOC2"/>
        <w:rPr>
          <w:rFonts w:asciiTheme="minorHAnsi" w:eastAsiaTheme="minorEastAsia" w:hAnsiTheme="minorHAnsi" w:cstheme="minorBidi"/>
          <w:b w:val="0"/>
          <w:smallCaps w:val="0"/>
          <w:sz w:val="22"/>
          <w:lang w:val="en-US"/>
        </w:rPr>
      </w:pPr>
      <w:hyperlink w:anchor="_Toc31018789" w:history="1">
        <w:r w:rsidRPr="0023775C">
          <w:rPr>
            <w:rStyle w:val="Hyperlink"/>
            <w:rFonts w:ascii="Times New Roman" w:hAnsi="Times New Roman"/>
          </w:rPr>
          <w:t>3.3.</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Hitelkockázat, partnerkockázat és nyitva szállítások: az IRB-módszer szerinti szavatolótőke-követelmény (CR IRB)</w:t>
        </w:r>
        <w:r>
          <w:rPr>
            <w:webHidden/>
          </w:rPr>
          <w:tab/>
        </w:r>
        <w:r>
          <w:rPr>
            <w:webHidden/>
          </w:rPr>
          <w:fldChar w:fldCharType="begin"/>
        </w:r>
        <w:r>
          <w:rPr>
            <w:webHidden/>
          </w:rPr>
          <w:instrText xml:space="preserve"> PAGEREF _Toc31018789 \h </w:instrText>
        </w:r>
        <w:r>
          <w:rPr>
            <w:webHidden/>
          </w:rPr>
        </w:r>
        <w:r>
          <w:rPr>
            <w:webHidden/>
          </w:rPr>
          <w:fldChar w:fldCharType="separate"/>
        </w:r>
        <w:r>
          <w:rPr>
            <w:webHidden/>
          </w:rPr>
          <w:t>95</w:t>
        </w:r>
        <w:r>
          <w:rPr>
            <w:webHidden/>
          </w:rPr>
          <w:fldChar w:fldCharType="end"/>
        </w:r>
      </w:hyperlink>
    </w:p>
    <w:p w14:paraId="6F1941A7" w14:textId="0A5C505D" w:rsidR="00470C90" w:rsidRDefault="00470C90">
      <w:pPr>
        <w:pStyle w:val="TOC2"/>
        <w:rPr>
          <w:rFonts w:asciiTheme="minorHAnsi" w:eastAsiaTheme="minorEastAsia" w:hAnsiTheme="minorHAnsi" w:cstheme="minorBidi"/>
          <w:b w:val="0"/>
          <w:smallCaps w:val="0"/>
          <w:sz w:val="22"/>
          <w:lang w:val="en-US"/>
        </w:rPr>
      </w:pPr>
      <w:hyperlink w:anchor="_Toc31018790" w:history="1">
        <w:r w:rsidRPr="0023775C">
          <w:rPr>
            <w:rStyle w:val="Hyperlink"/>
            <w:rFonts w:ascii="Times New Roman" w:hAnsi="Times New Roman"/>
          </w:rPr>
          <w:t>3.3.1.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CR IRB tábla alkalmazási köre</w:t>
        </w:r>
        <w:r>
          <w:rPr>
            <w:webHidden/>
          </w:rPr>
          <w:tab/>
        </w:r>
        <w:r>
          <w:rPr>
            <w:webHidden/>
          </w:rPr>
          <w:fldChar w:fldCharType="begin"/>
        </w:r>
        <w:r>
          <w:rPr>
            <w:webHidden/>
          </w:rPr>
          <w:instrText xml:space="preserve"> PAGEREF _Toc31018790 \h </w:instrText>
        </w:r>
        <w:r>
          <w:rPr>
            <w:webHidden/>
          </w:rPr>
        </w:r>
        <w:r>
          <w:rPr>
            <w:webHidden/>
          </w:rPr>
          <w:fldChar w:fldCharType="separate"/>
        </w:r>
        <w:r>
          <w:rPr>
            <w:webHidden/>
          </w:rPr>
          <w:t>95</w:t>
        </w:r>
        <w:r>
          <w:rPr>
            <w:webHidden/>
          </w:rPr>
          <w:fldChar w:fldCharType="end"/>
        </w:r>
      </w:hyperlink>
    </w:p>
    <w:p w14:paraId="36F891E3" w14:textId="0E9CCB02" w:rsidR="00470C90" w:rsidRDefault="00470C90">
      <w:pPr>
        <w:pStyle w:val="TOC2"/>
        <w:rPr>
          <w:rFonts w:asciiTheme="minorHAnsi" w:eastAsiaTheme="minorEastAsia" w:hAnsiTheme="minorHAnsi" w:cstheme="minorBidi"/>
          <w:b w:val="0"/>
          <w:smallCaps w:val="0"/>
          <w:sz w:val="22"/>
          <w:lang w:val="en-US"/>
        </w:rPr>
      </w:pPr>
      <w:hyperlink w:anchor="_Toc31018791" w:history="1">
        <w:r w:rsidRPr="0023775C">
          <w:rPr>
            <w:rStyle w:val="Hyperlink"/>
            <w:rFonts w:ascii="Times New Roman" w:hAnsi="Times New Roman"/>
          </w:rPr>
          <w:t>3.3.2.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CR IRB táblacsoport felosztása</w:t>
        </w:r>
        <w:r>
          <w:rPr>
            <w:webHidden/>
          </w:rPr>
          <w:tab/>
        </w:r>
        <w:r>
          <w:rPr>
            <w:webHidden/>
          </w:rPr>
          <w:fldChar w:fldCharType="begin"/>
        </w:r>
        <w:r>
          <w:rPr>
            <w:webHidden/>
          </w:rPr>
          <w:instrText xml:space="preserve"> PAGEREF _Toc31018791 \h </w:instrText>
        </w:r>
        <w:r>
          <w:rPr>
            <w:webHidden/>
          </w:rPr>
        </w:r>
        <w:r>
          <w:rPr>
            <w:webHidden/>
          </w:rPr>
          <w:fldChar w:fldCharType="separate"/>
        </w:r>
        <w:r>
          <w:rPr>
            <w:webHidden/>
          </w:rPr>
          <w:t>96</w:t>
        </w:r>
        <w:r>
          <w:rPr>
            <w:webHidden/>
          </w:rPr>
          <w:fldChar w:fldCharType="end"/>
        </w:r>
      </w:hyperlink>
    </w:p>
    <w:p w14:paraId="790192CB" w14:textId="01CFCA0F" w:rsidR="00470C90" w:rsidRDefault="00470C90">
      <w:pPr>
        <w:pStyle w:val="TOC2"/>
        <w:rPr>
          <w:rFonts w:asciiTheme="minorHAnsi" w:eastAsiaTheme="minorEastAsia" w:hAnsiTheme="minorHAnsi" w:cstheme="minorBidi"/>
          <w:b w:val="0"/>
          <w:smallCaps w:val="0"/>
          <w:sz w:val="22"/>
          <w:lang w:val="en-US"/>
        </w:rPr>
      </w:pPr>
      <w:hyperlink w:anchor="_Toc31018792" w:history="1">
        <w:r w:rsidRPr="0023775C">
          <w:rPr>
            <w:rStyle w:val="Hyperlink"/>
            <w:rFonts w:ascii="Times New Roman" w:hAnsi="Times New Roman"/>
          </w:rPr>
          <w:t>3.3.3.</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08.01 – Hitelkockázat, partnerkockázat és nyitva szállítások: az IRB-módszer szerinti tőkekövetelmény (CR IRB 1)</w:t>
        </w:r>
        <w:r>
          <w:rPr>
            <w:webHidden/>
          </w:rPr>
          <w:tab/>
        </w:r>
        <w:r>
          <w:rPr>
            <w:webHidden/>
          </w:rPr>
          <w:fldChar w:fldCharType="begin"/>
        </w:r>
        <w:r>
          <w:rPr>
            <w:webHidden/>
          </w:rPr>
          <w:instrText xml:space="preserve"> PAGEREF _Toc31018792 \h </w:instrText>
        </w:r>
        <w:r>
          <w:rPr>
            <w:webHidden/>
          </w:rPr>
        </w:r>
        <w:r>
          <w:rPr>
            <w:webHidden/>
          </w:rPr>
          <w:fldChar w:fldCharType="separate"/>
        </w:r>
        <w:r>
          <w:rPr>
            <w:webHidden/>
          </w:rPr>
          <w:t>97</w:t>
        </w:r>
        <w:r>
          <w:rPr>
            <w:webHidden/>
          </w:rPr>
          <w:fldChar w:fldCharType="end"/>
        </w:r>
      </w:hyperlink>
    </w:p>
    <w:p w14:paraId="4C697413" w14:textId="3000551C" w:rsidR="00470C90" w:rsidRDefault="00470C90">
      <w:pPr>
        <w:pStyle w:val="TOC2"/>
        <w:rPr>
          <w:rFonts w:asciiTheme="minorHAnsi" w:eastAsiaTheme="minorEastAsia" w:hAnsiTheme="minorHAnsi" w:cstheme="minorBidi"/>
          <w:b w:val="0"/>
          <w:smallCaps w:val="0"/>
          <w:sz w:val="22"/>
          <w:lang w:val="en-US"/>
        </w:rPr>
      </w:pPr>
      <w:hyperlink w:anchor="_Toc31018793" w:history="1">
        <w:r w:rsidRPr="0023775C">
          <w:rPr>
            <w:rStyle w:val="Hyperlink"/>
            <w:rFonts w:ascii="Times New Roman" w:hAnsi="Times New Roman"/>
          </w:rPr>
          <w:t>3.3.3.1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_Toc31018793 \h </w:instrText>
        </w:r>
        <w:r>
          <w:rPr>
            <w:webHidden/>
          </w:rPr>
        </w:r>
        <w:r>
          <w:rPr>
            <w:webHidden/>
          </w:rPr>
          <w:fldChar w:fldCharType="separate"/>
        </w:r>
        <w:r>
          <w:rPr>
            <w:webHidden/>
          </w:rPr>
          <w:t>97</w:t>
        </w:r>
        <w:r>
          <w:rPr>
            <w:webHidden/>
          </w:rPr>
          <w:fldChar w:fldCharType="end"/>
        </w:r>
      </w:hyperlink>
    </w:p>
    <w:p w14:paraId="0496E056" w14:textId="531A42BA" w:rsidR="00470C90" w:rsidRDefault="00470C90">
      <w:pPr>
        <w:pStyle w:val="TOC2"/>
        <w:rPr>
          <w:rFonts w:asciiTheme="minorHAnsi" w:eastAsiaTheme="minorEastAsia" w:hAnsiTheme="minorHAnsi" w:cstheme="minorBidi"/>
          <w:b w:val="0"/>
          <w:smallCaps w:val="0"/>
          <w:sz w:val="22"/>
          <w:lang w:val="en-US"/>
        </w:rPr>
      </w:pPr>
      <w:hyperlink w:anchor="_Toc31018794" w:history="1">
        <w:r w:rsidRPr="0023775C">
          <w:rPr>
            <w:rStyle w:val="Hyperlink"/>
            <w:rFonts w:ascii="Times New Roman" w:hAnsi="Times New Roman"/>
          </w:rPr>
          <w:t>3.3.4.</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08.02 – Hitelkockázat, partnerkockázat és nyitva szállítások: IRB-módszer szerinti tőkekövetelmény: ügyfél-kategória vagy -halmaz [pool] szerint) (CR IRB 2 tábla)</w:t>
        </w:r>
        <w:r>
          <w:rPr>
            <w:webHidden/>
          </w:rPr>
          <w:tab/>
        </w:r>
        <w:r>
          <w:rPr>
            <w:webHidden/>
          </w:rPr>
          <w:fldChar w:fldCharType="begin"/>
        </w:r>
        <w:r>
          <w:rPr>
            <w:webHidden/>
          </w:rPr>
          <w:instrText xml:space="preserve"> PAGEREF _Toc31018794 \h </w:instrText>
        </w:r>
        <w:r>
          <w:rPr>
            <w:webHidden/>
          </w:rPr>
        </w:r>
        <w:r>
          <w:rPr>
            <w:webHidden/>
          </w:rPr>
          <w:fldChar w:fldCharType="separate"/>
        </w:r>
        <w:r>
          <w:rPr>
            <w:webHidden/>
          </w:rPr>
          <w:t>107</w:t>
        </w:r>
        <w:r>
          <w:rPr>
            <w:webHidden/>
          </w:rPr>
          <w:fldChar w:fldCharType="end"/>
        </w:r>
      </w:hyperlink>
    </w:p>
    <w:p w14:paraId="2B28F825" w14:textId="46ABB4AA" w:rsidR="00470C90" w:rsidRDefault="00470C90">
      <w:pPr>
        <w:pStyle w:val="TOC2"/>
        <w:rPr>
          <w:rFonts w:asciiTheme="minorHAnsi" w:eastAsiaTheme="minorEastAsia" w:hAnsiTheme="minorHAnsi" w:cstheme="minorBidi"/>
          <w:b w:val="0"/>
          <w:smallCaps w:val="0"/>
          <w:sz w:val="22"/>
          <w:lang w:val="en-US"/>
        </w:rPr>
      </w:pPr>
      <w:hyperlink w:anchor="_Toc31018795" w:history="1">
        <w:r w:rsidRPr="0023775C">
          <w:rPr>
            <w:rStyle w:val="Hyperlink"/>
            <w:rFonts w:ascii="Times New Roman" w:hAnsi="Times New Roman"/>
          </w:rPr>
          <w:t>3.4.</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Hitelkockázat, partnerkockázat és nyitva szállítások: földrajzi megoszlás</w:t>
        </w:r>
        <w:r>
          <w:rPr>
            <w:webHidden/>
          </w:rPr>
          <w:tab/>
        </w:r>
        <w:r>
          <w:rPr>
            <w:webHidden/>
          </w:rPr>
          <w:fldChar w:fldCharType="begin"/>
        </w:r>
        <w:r>
          <w:rPr>
            <w:webHidden/>
          </w:rPr>
          <w:instrText xml:space="preserve"> PAGEREF _Toc31018795 \h </w:instrText>
        </w:r>
        <w:r>
          <w:rPr>
            <w:webHidden/>
          </w:rPr>
        </w:r>
        <w:r>
          <w:rPr>
            <w:webHidden/>
          </w:rPr>
          <w:fldChar w:fldCharType="separate"/>
        </w:r>
        <w:r>
          <w:rPr>
            <w:webHidden/>
          </w:rPr>
          <w:t>108</w:t>
        </w:r>
        <w:r>
          <w:rPr>
            <w:webHidden/>
          </w:rPr>
          <w:fldChar w:fldCharType="end"/>
        </w:r>
      </w:hyperlink>
    </w:p>
    <w:p w14:paraId="5DC4600F" w14:textId="60EF135D" w:rsidR="00470C90" w:rsidRDefault="00470C90">
      <w:pPr>
        <w:pStyle w:val="TOC2"/>
        <w:rPr>
          <w:rFonts w:asciiTheme="minorHAnsi" w:eastAsiaTheme="minorEastAsia" w:hAnsiTheme="minorHAnsi" w:cstheme="minorBidi"/>
          <w:b w:val="0"/>
          <w:smallCaps w:val="0"/>
          <w:sz w:val="22"/>
          <w:lang w:val="en-US"/>
        </w:rPr>
      </w:pPr>
      <w:hyperlink w:anchor="_Toc31018796" w:history="1">
        <w:r w:rsidRPr="0023775C">
          <w:rPr>
            <w:rStyle w:val="Hyperlink"/>
            <w:rFonts w:ascii="Times New Roman" w:hAnsi="Times New Roman"/>
          </w:rPr>
          <w:t>3.4.1.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09.01 – Kitettségek földrajzi bontása a kötelezett illetősége szerint: SA kitettségek (CR GB 1)</w:t>
        </w:r>
        <w:r>
          <w:rPr>
            <w:webHidden/>
          </w:rPr>
          <w:tab/>
        </w:r>
        <w:r>
          <w:rPr>
            <w:webHidden/>
          </w:rPr>
          <w:fldChar w:fldCharType="begin"/>
        </w:r>
        <w:r>
          <w:rPr>
            <w:webHidden/>
          </w:rPr>
          <w:instrText xml:space="preserve"> PAGEREF _Toc31018796 \h </w:instrText>
        </w:r>
        <w:r>
          <w:rPr>
            <w:webHidden/>
          </w:rPr>
        </w:r>
        <w:r>
          <w:rPr>
            <w:webHidden/>
          </w:rPr>
          <w:fldChar w:fldCharType="separate"/>
        </w:r>
        <w:r>
          <w:rPr>
            <w:webHidden/>
          </w:rPr>
          <w:t>108</w:t>
        </w:r>
        <w:r>
          <w:rPr>
            <w:webHidden/>
          </w:rPr>
          <w:fldChar w:fldCharType="end"/>
        </w:r>
      </w:hyperlink>
    </w:p>
    <w:p w14:paraId="51A5F744" w14:textId="438ADD69" w:rsidR="00470C90" w:rsidRDefault="00470C90">
      <w:pPr>
        <w:pStyle w:val="TOC2"/>
        <w:rPr>
          <w:rFonts w:asciiTheme="minorHAnsi" w:eastAsiaTheme="minorEastAsia" w:hAnsiTheme="minorHAnsi" w:cstheme="minorBidi"/>
          <w:b w:val="0"/>
          <w:smallCaps w:val="0"/>
          <w:sz w:val="22"/>
          <w:lang w:val="en-US"/>
        </w:rPr>
      </w:pPr>
      <w:hyperlink w:anchor="_Toc31018797" w:history="1">
        <w:r w:rsidRPr="0023775C">
          <w:rPr>
            <w:rStyle w:val="Hyperlink"/>
            <w:rFonts w:ascii="Times New Roman" w:hAnsi="Times New Roman"/>
          </w:rPr>
          <w:t>3.4.1.1.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_Toc31018797 \h </w:instrText>
        </w:r>
        <w:r>
          <w:rPr>
            <w:webHidden/>
          </w:rPr>
        </w:r>
        <w:r>
          <w:rPr>
            <w:webHidden/>
          </w:rPr>
          <w:fldChar w:fldCharType="separate"/>
        </w:r>
        <w:r>
          <w:rPr>
            <w:webHidden/>
          </w:rPr>
          <w:t>108</w:t>
        </w:r>
        <w:r>
          <w:rPr>
            <w:webHidden/>
          </w:rPr>
          <w:fldChar w:fldCharType="end"/>
        </w:r>
      </w:hyperlink>
    </w:p>
    <w:p w14:paraId="670BC10B" w14:textId="4538DA1C" w:rsidR="00470C90" w:rsidRDefault="00470C90">
      <w:pPr>
        <w:pStyle w:val="TOC2"/>
        <w:rPr>
          <w:rFonts w:asciiTheme="minorHAnsi" w:eastAsiaTheme="minorEastAsia" w:hAnsiTheme="minorHAnsi" w:cstheme="minorBidi"/>
          <w:b w:val="0"/>
          <w:smallCaps w:val="0"/>
          <w:sz w:val="22"/>
          <w:lang w:val="en-US"/>
        </w:rPr>
      </w:pPr>
      <w:hyperlink w:anchor="_Toc31018798" w:history="1">
        <w:r w:rsidRPr="0023775C">
          <w:rPr>
            <w:rStyle w:val="Hyperlink"/>
            <w:rFonts w:ascii="Times New Roman" w:hAnsi="Times New Roman"/>
          </w:rPr>
          <w:t>3.4.2.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09.02 – Kitettségek földrajzi bontása a kötelezett illetősége szerint: IRB kitettségek (CR GB 2)</w:t>
        </w:r>
        <w:r>
          <w:rPr>
            <w:webHidden/>
          </w:rPr>
          <w:tab/>
        </w:r>
        <w:r>
          <w:rPr>
            <w:webHidden/>
          </w:rPr>
          <w:fldChar w:fldCharType="begin"/>
        </w:r>
        <w:r>
          <w:rPr>
            <w:webHidden/>
          </w:rPr>
          <w:instrText xml:space="preserve"> PAGEREF _Toc31018798 \h </w:instrText>
        </w:r>
        <w:r>
          <w:rPr>
            <w:webHidden/>
          </w:rPr>
        </w:r>
        <w:r>
          <w:rPr>
            <w:webHidden/>
          </w:rPr>
          <w:fldChar w:fldCharType="separate"/>
        </w:r>
        <w:r>
          <w:rPr>
            <w:webHidden/>
          </w:rPr>
          <w:t>111</w:t>
        </w:r>
        <w:r>
          <w:rPr>
            <w:webHidden/>
          </w:rPr>
          <w:fldChar w:fldCharType="end"/>
        </w:r>
      </w:hyperlink>
    </w:p>
    <w:p w14:paraId="48F9BEED" w14:textId="3668488B" w:rsidR="00470C90" w:rsidRDefault="00470C90">
      <w:pPr>
        <w:pStyle w:val="TOC2"/>
        <w:rPr>
          <w:rFonts w:asciiTheme="minorHAnsi" w:eastAsiaTheme="minorEastAsia" w:hAnsiTheme="minorHAnsi" w:cstheme="minorBidi"/>
          <w:b w:val="0"/>
          <w:smallCaps w:val="0"/>
          <w:sz w:val="22"/>
          <w:lang w:val="en-US"/>
        </w:rPr>
      </w:pPr>
      <w:hyperlink w:anchor="_Toc31018799" w:history="1">
        <w:r w:rsidRPr="0023775C">
          <w:rPr>
            <w:rStyle w:val="Hyperlink"/>
            <w:rFonts w:ascii="Times New Roman" w:hAnsi="Times New Roman"/>
          </w:rPr>
          <w:t>3.4.2.1.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_Toc31018799 \h </w:instrText>
        </w:r>
        <w:r>
          <w:rPr>
            <w:webHidden/>
          </w:rPr>
        </w:r>
        <w:r>
          <w:rPr>
            <w:webHidden/>
          </w:rPr>
          <w:fldChar w:fldCharType="separate"/>
        </w:r>
        <w:r>
          <w:rPr>
            <w:webHidden/>
          </w:rPr>
          <w:t>111</w:t>
        </w:r>
        <w:r>
          <w:rPr>
            <w:webHidden/>
          </w:rPr>
          <w:fldChar w:fldCharType="end"/>
        </w:r>
      </w:hyperlink>
    </w:p>
    <w:p w14:paraId="301E7492" w14:textId="339072C0" w:rsidR="00470C90" w:rsidRDefault="00470C90">
      <w:pPr>
        <w:pStyle w:val="TOC2"/>
        <w:rPr>
          <w:rFonts w:asciiTheme="minorHAnsi" w:eastAsiaTheme="minorEastAsia" w:hAnsiTheme="minorHAnsi" w:cstheme="minorBidi"/>
          <w:b w:val="0"/>
          <w:smallCaps w:val="0"/>
          <w:sz w:val="22"/>
          <w:lang w:val="en-US"/>
        </w:rPr>
      </w:pPr>
      <w:hyperlink w:anchor="_Toc31018800" w:history="1">
        <w:r w:rsidRPr="0023775C">
          <w:rPr>
            <w:rStyle w:val="Hyperlink"/>
            <w:rFonts w:ascii="Times New Roman" w:hAnsi="Times New Roman"/>
          </w:rPr>
          <w:t>3.4.3.</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09.04 – A lényeges hitelkockázati kitettségek országonkénti bontása az anticiklikus tőkepuffer és az intézményspecifikus anticiklikus tőkepuffer kiszámításához (CCB)</w:t>
        </w:r>
        <w:r>
          <w:rPr>
            <w:webHidden/>
          </w:rPr>
          <w:tab/>
        </w:r>
        <w:r>
          <w:rPr>
            <w:webHidden/>
          </w:rPr>
          <w:fldChar w:fldCharType="begin"/>
        </w:r>
        <w:r>
          <w:rPr>
            <w:webHidden/>
          </w:rPr>
          <w:instrText xml:space="preserve"> PAGEREF _Toc31018800 \h </w:instrText>
        </w:r>
        <w:r>
          <w:rPr>
            <w:webHidden/>
          </w:rPr>
        </w:r>
        <w:r>
          <w:rPr>
            <w:webHidden/>
          </w:rPr>
          <w:fldChar w:fldCharType="separate"/>
        </w:r>
        <w:r>
          <w:rPr>
            <w:webHidden/>
          </w:rPr>
          <w:t>114</w:t>
        </w:r>
        <w:r>
          <w:rPr>
            <w:webHidden/>
          </w:rPr>
          <w:fldChar w:fldCharType="end"/>
        </w:r>
      </w:hyperlink>
    </w:p>
    <w:p w14:paraId="1B6AE327" w14:textId="243EC614" w:rsidR="00470C90" w:rsidRDefault="00470C90">
      <w:pPr>
        <w:pStyle w:val="TOC2"/>
        <w:rPr>
          <w:rFonts w:asciiTheme="minorHAnsi" w:eastAsiaTheme="minorEastAsia" w:hAnsiTheme="minorHAnsi" w:cstheme="minorBidi"/>
          <w:b w:val="0"/>
          <w:smallCaps w:val="0"/>
          <w:sz w:val="22"/>
          <w:lang w:val="en-US"/>
        </w:rPr>
      </w:pPr>
      <w:hyperlink w:anchor="_Toc31018801" w:history="1">
        <w:r w:rsidRPr="0023775C">
          <w:rPr>
            <w:rStyle w:val="Hyperlink"/>
            <w:rFonts w:ascii="Times New Roman" w:hAnsi="Times New Roman"/>
          </w:rPr>
          <w:t>3.4.3.1.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_Toc31018801 \h </w:instrText>
        </w:r>
        <w:r>
          <w:rPr>
            <w:webHidden/>
          </w:rPr>
        </w:r>
        <w:r>
          <w:rPr>
            <w:webHidden/>
          </w:rPr>
          <w:fldChar w:fldCharType="separate"/>
        </w:r>
        <w:r>
          <w:rPr>
            <w:webHidden/>
          </w:rPr>
          <w:t>114</w:t>
        </w:r>
        <w:r>
          <w:rPr>
            <w:webHidden/>
          </w:rPr>
          <w:fldChar w:fldCharType="end"/>
        </w:r>
      </w:hyperlink>
    </w:p>
    <w:p w14:paraId="6E990809" w14:textId="4EDB5707" w:rsidR="00470C90" w:rsidRDefault="00470C90">
      <w:pPr>
        <w:pStyle w:val="TOC2"/>
        <w:rPr>
          <w:rFonts w:asciiTheme="minorHAnsi" w:eastAsiaTheme="minorEastAsia" w:hAnsiTheme="minorHAnsi" w:cstheme="minorBidi"/>
          <w:b w:val="0"/>
          <w:smallCaps w:val="0"/>
          <w:sz w:val="22"/>
          <w:lang w:val="en-US"/>
        </w:rPr>
      </w:pPr>
      <w:hyperlink w:anchor="_Toc31018802" w:history="1">
        <w:r w:rsidRPr="0023775C">
          <w:rPr>
            <w:rStyle w:val="Hyperlink"/>
            <w:rFonts w:ascii="Times New Roman" w:hAnsi="Times New Roman"/>
          </w:rPr>
          <w:t>3.4.3.2.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_Toc31018802 \h </w:instrText>
        </w:r>
        <w:r>
          <w:rPr>
            <w:webHidden/>
          </w:rPr>
        </w:r>
        <w:r>
          <w:rPr>
            <w:webHidden/>
          </w:rPr>
          <w:fldChar w:fldCharType="separate"/>
        </w:r>
        <w:r>
          <w:rPr>
            <w:webHidden/>
          </w:rPr>
          <w:t>114</w:t>
        </w:r>
        <w:r>
          <w:rPr>
            <w:webHidden/>
          </w:rPr>
          <w:fldChar w:fldCharType="end"/>
        </w:r>
      </w:hyperlink>
    </w:p>
    <w:p w14:paraId="7FD63C4C" w14:textId="4A481569" w:rsidR="00470C90" w:rsidRDefault="00470C90">
      <w:pPr>
        <w:pStyle w:val="TOC2"/>
        <w:rPr>
          <w:rFonts w:asciiTheme="minorHAnsi" w:eastAsiaTheme="minorEastAsia" w:hAnsiTheme="minorHAnsi" w:cstheme="minorBidi"/>
          <w:b w:val="0"/>
          <w:smallCaps w:val="0"/>
          <w:sz w:val="22"/>
          <w:lang w:val="en-US"/>
        </w:rPr>
      </w:pPr>
      <w:hyperlink w:anchor="_Toc31018803" w:history="1">
        <w:r w:rsidRPr="0023775C">
          <w:rPr>
            <w:rStyle w:val="Hyperlink"/>
            <w:rFonts w:ascii="Times New Roman" w:hAnsi="Times New Roman"/>
          </w:rPr>
          <w:t>3.5.</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10.01 és C 10.02 – A belső minősítésen alapuló módszer szerinti részvényjellegű kitettségek (CR EQU IRB 1 és CR EQU IRB 2)</w:t>
        </w:r>
        <w:r>
          <w:rPr>
            <w:webHidden/>
          </w:rPr>
          <w:tab/>
        </w:r>
        <w:r>
          <w:rPr>
            <w:webHidden/>
          </w:rPr>
          <w:fldChar w:fldCharType="begin"/>
        </w:r>
        <w:r>
          <w:rPr>
            <w:webHidden/>
          </w:rPr>
          <w:instrText xml:space="preserve"> PAGEREF _Toc31018803 \h </w:instrText>
        </w:r>
        <w:r>
          <w:rPr>
            <w:webHidden/>
          </w:rPr>
        </w:r>
        <w:r>
          <w:rPr>
            <w:webHidden/>
          </w:rPr>
          <w:fldChar w:fldCharType="separate"/>
        </w:r>
        <w:r>
          <w:rPr>
            <w:webHidden/>
          </w:rPr>
          <w:t>119</w:t>
        </w:r>
        <w:r>
          <w:rPr>
            <w:webHidden/>
          </w:rPr>
          <w:fldChar w:fldCharType="end"/>
        </w:r>
      </w:hyperlink>
    </w:p>
    <w:p w14:paraId="58D439B3" w14:textId="22090F96" w:rsidR="00470C90" w:rsidRDefault="00470C90">
      <w:pPr>
        <w:pStyle w:val="TOC2"/>
        <w:rPr>
          <w:rFonts w:asciiTheme="minorHAnsi" w:eastAsiaTheme="minorEastAsia" w:hAnsiTheme="minorHAnsi" w:cstheme="minorBidi"/>
          <w:b w:val="0"/>
          <w:smallCaps w:val="0"/>
          <w:sz w:val="22"/>
          <w:lang w:val="en-US"/>
        </w:rPr>
      </w:pPr>
      <w:hyperlink w:anchor="_Toc31018804" w:history="1">
        <w:r w:rsidRPr="0023775C">
          <w:rPr>
            <w:rStyle w:val="Hyperlink"/>
            <w:rFonts w:ascii="Times New Roman" w:hAnsi="Times New Roman"/>
          </w:rPr>
          <w:t>3.5.1.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_Toc31018804 \h </w:instrText>
        </w:r>
        <w:r>
          <w:rPr>
            <w:webHidden/>
          </w:rPr>
        </w:r>
        <w:r>
          <w:rPr>
            <w:webHidden/>
          </w:rPr>
          <w:fldChar w:fldCharType="separate"/>
        </w:r>
        <w:r>
          <w:rPr>
            <w:webHidden/>
          </w:rPr>
          <w:t>119</w:t>
        </w:r>
        <w:r>
          <w:rPr>
            <w:webHidden/>
          </w:rPr>
          <w:fldChar w:fldCharType="end"/>
        </w:r>
      </w:hyperlink>
    </w:p>
    <w:p w14:paraId="60B67F3D" w14:textId="6C3C49CF" w:rsidR="00470C90" w:rsidRDefault="00470C90">
      <w:pPr>
        <w:pStyle w:val="TOC2"/>
        <w:rPr>
          <w:rFonts w:asciiTheme="minorHAnsi" w:eastAsiaTheme="minorEastAsia" w:hAnsiTheme="minorHAnsi" w:cstheme="minorBidi"/>
          <w:b w:val="0"/>
          <w:smallCaps w:val="0"/>
          <w:sz w:val="22"/>
          <w:lang w:val="en-US"/>
        </w:rPr>
      </w:pPr>
      <w:hyperlink w:anchor="_Toc31018805" w:history="1">
        <w:r w:rsidRPr="0023775C">
          <w:rPr>
            <w:rStyle w:val="Hyperlink"/>
            <w:rFonts w:ascii="Times New Roman" w:hAnsi="Times New Roman"/>
          </w:rPr>
          <w:t>3.5.2.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 (mind a CR EQU IRB 1, mind a CR EQU IRB 2 táblára alkalmazandó)</w:t>
        </w:r>
        <w:r>
          <w:rPr>
            <w:webHidden/>
          </w:rPr>
          <w:tab/>
        </w:r>
        <w:r>
          <w:rPr>
            <w:webHidden/>
          </w:rPr>
          <w:fldChar w:fldCharType="begin"/>
        </w:r>
        <w:r>
          <w:rPr>
            <w:webHidden/>
          </w:rPr>
          <w:instrText xml:space="preserve"> PAGEREF _Toc31018805 \h </w:instrText>
        </w:r>
        <w:r>
          <w:rPr>
            <w:webHidden/>
          </w:rPr>
        </w:r>
        <w:r>
          <w:rPr>
            <w:webHidden/>
          </w:rPr>
          <w:fldChar w:fldCharType="separate"/>
        </w:r>
        <w:r>
          <w:rPr>
            <w:webHidden/>
          </w:rPr>
          <w:t>120</w:t>
        </w:r>
        <w:r>
          <w:rPr>
            <w:webHidden/>
          </w:rPr>
          <w:fldChar w:fldCharType="end"/>
        </w:r>
      </w:hyperlink>
    </w:p>
    <w:p w14:paraId="543C20A0" w14:textId="6362A847" w:rsidR="00470C90" w:rsidRDefault="00470C90">
      <w:pPr>
        <w:pStyle w:val="TOC2"/>
        <w:rPr>
          <w:rFonts w:asciiTheme="minorHAnsi" w:eastAsiaTheme="minorEastAsia" w:hAnsiTheme="minorHAnsi" w:cstheme="minorBidi"/>
          <w:b w:val="0"/>
          <w:smallCaps w:val="0"/>
          <w:sz w:val="22"/>
          <w:lang w:val="en-US"/>
        </w:rPr>
      </w:pPr>
      <w:hyperlink w:anchor="_Toc31018806" w:history="1">
        <w:r w:rsidRPr="0023775C">
          <w:rPr>
            <w:rStyle w:val="Hyperlink"/>
            <w:rFonts w:ascii="Times New Roman" w:hAnsi="Times New Roman"/>
          </w:rPr>
          <w:t>3.6.</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11.00 – Elszámolási/teljesítési kockázat (CR SETT)</w:t>
        </w:r>
        <w:r>
          <w:rPr>
            <w:webHidden/>
          </w:rPr>
          <w:tab/>
        </w:r>
        <w:r>
          <w:rPr>
            <w:webHidden/>
          </w:rPr>
          <w:fldChar w:fldCharType="begin"/>
        </w:r>
        <w:r>
          <w:rPr>
            <w:webHidden/>
          </w:rPr>
          <w:instrText xml:space="preserve"> PAGEREF _Toc31018806 \h </w:instrText>
        </w:r>
        <w:r>
          <w:rPr>
            <w:webHidden/>
          </w:rPr>
        </w:r>
        <w:r>
          <w:rPr>
            <w:webHidden/>
          </w:rPr>
          <w:fldChar w:fldCharType="separate"/>
        </w:r>
        <w:r>
          <w:rPr>
            <w:webHidden/>
          </w:rPr>
          <w:t>124</w:t>
        </w:r>
        <w:r>
          <w:rPr>
            <w:webHidden/>
          </w:rPr>
          <w:fldChar w:fldCharType="end"/>
        </w:r>
      </w:hyperlink>
    </w:p>
    <w:p w14:paraId="21BC6F52" w14:textId="7FC1E75D" w:rsidR="00470C90" w:rsidRDefault="00470C90">
      <w:pPr>
        <w:pStyle w:val="TOC2"/>
        <w:rPr>
          <w:rFonts w:asciiTheme="minorHAnsi" w:eastAsiaTheme="minorEastAsia" w:hAnsiTheme="minorHAnsi" w:cstheme="minorBidi"/>
          <w:b w:val="0"/>
          <w:smallCaps w:val="0"/>
          <w:sz w:val="22"/>
          <w:lang w:val="en-US"/>
        </w:rPr>
      </w:pPr>
      <w:hyperlink w:anchor="_Toc31018807" w:history="1">
        <w:r w:rsidRPr="0023775C">
          <w:rPr>
            <w:rStyle w:val="Hyperlink"/>
            <w:rFonts w:ascii="Times New Roman" w:hAnsi="Times New Roman"/>
          </w:rPr>
          <w:t>3.6.1.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_Toc31018807 \h </w:instrText>
        </w:r>
        <w:r>
          <w:rPr>
            <w:webHidden/>
          </w:rPr>
        </w:r>
        <w:r>
          <w:rPr>
            <w:webHidden/>
          </w:rPr>
          <w:fldChar w:fldCharType="separate"/>
        </w:r>
        <w:r>
          <w:rPr>
            <w:webHidden/>
          </w:rPr>
          <w:t>124</w:t>
        </w:r>
        <w:r>
          <w:rPr>
            <w:webHidden/>
          </w:rPr>
          <w:fldChar w:fldCharType="end"/>
        </w:r>
      </w:hyperlink>
    </w:p>
    <w:p w14:paraId="5507646B" w14:textId="0541520D" w:rsidR="00470C90" w:rsidRDefault="00470C90">
      <w:pPr>
        <w:pStyle w:val="TOC2"/>
        <w:rPr>
          <w:rFonts w:asciiTheme="minorHAnsi" w:eastAsiaTheme="minorEastAsia" w:hAnsiTheme="minorHAnsi" w:cstheme="minorBidi"/>
          <w:b w:val="0"/>
          <w:smallCaps w:val="0"/>
          <w:sz w:val="22"/>
          <w:lang w:val="en-US"/>
        </w:rPr>
      </w:pPr>
      <w:hyperlink w:anchor="_Toc31018808" w:history="1">
        <w:r w:rsidRPr="0023775C">
          <w:rPr>
            <w:rStyle w:val="Hyperlink"/>
            <w:rFonts w:ascii="Times New Roman" w:hAnsi="Times New Roman"/>
          </w:rPr>
          <w:t>3.6.2.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_Toc31018808 \h </w:instrText>
        </w:r>
        <w:r>
          <w:rPr>
            <w:webHidden/>
          </w:rPr>
        </w:r>
        <w:r>
          <w:rPr>
            <w:webHidden/>
          </w:rPr>
          <w:fldChar w:fldCharType="separate"/>
        </w:r>
        <w:r>
          <w:rPr>
            <w:webHidden/>
          </w:rPr>
          <w:t>125</w:t>
        </w:r>
        <w:r>
          <w:rPr>
            <w:webHidden/>
          </w:rPr>
          <w:fldChar w:fldCharType="end"/>
        </w:r>
      </w:hyperlink>
    </w:p>
    <w:p w14:paraId="17A44F97" w14:textId="4F656C59" w:rsidR="00470C90" w:rsidRDefault="00470C90">
      <w:pPr>
        <w:pStyle w:val="TOC2"/>
        <w:rPr>
          <w:rFonts w:asciiTheme="minorHAnsi" w:eastAsiaTheme="minorEastAsia" w:hAnsiTheme="minorHAnsi" w:cstheme="minorBidi"/>
          <w:b w:val="0"/>
          <w:smallCaps w:val="0"/>
          <w:sz w:val="22"/>
          <w:lang w:val="en-US"/>
        </w:rPr>
      </w:pPr>
      <w:hyperlink w:anchor="_Toc31018809" w:history="1">
        <w:r w:rsidRPr="0023775C">
          <w:rPr>
            <w:rStyle w:val="Hyperlink"/>
            <w:rFonts w:ascii="Times New Roman" w:hAnsi="Times New Roman"/>
          </w:rPr>
          <w:t>3.7.</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13.01 – Hitelkockázat – Értékpapírosítás (CR SEC)</w:t>
        </w:r>
        <w:r>
          <w:rPr>
            <w:webHidden/>
          </w:rPr>
          <w:tab/>
        </w:r>
        <w:r>
          <w:rPr>
            <w:webHidden/>
          </w:rPr>
          <w:fldChar w:fldCharType="begin"/>
        </w:r>
        <w:r>
          <w:rPr>
            <w:webHidden/>
          </w:rPr>
          <w:instrText xml:space="preserve"> PAGEREF _Toc31018809 \h </w:instrText>
        </w:r>
        <w:r>
          <w:rPr>
            <w:webHidden/>
          </w:rPr>
        </w:r>
        <w:r>
          <w:rPr>
            <w:webHidden/>
          </w:rPr>
          <w:fldChar w:fldCharType="separate"/>
        </w:r>
        <w:r>
          <w:rPr>
            <w:webHidden/>
          </w:rPr>
          <w:t>128</w:t>
        </w:r>
        <w:r>
          <w:rPr>
            <w:webHidden/>
          </w:rPr>
          <w:fldChar w:fldCharType="end"/>
        </w:r>
      </w:hyperlink>
    </w:p>
    <w:p w14:paraId="158E0ADB" w14:textId="4A6159F6" w:rsidR="00470C90" w:rsidRDefault="00470C90">
      <w:pPr>
        <w:pStyle w:val="TOC2"/>
        <w:rPr>
          <w:rFonts w:asciiTheme="minorHAnsi" w:eastAsiaTheme="minorEastAsia" w:hAnsiTheme="minorHAnsi" w:cstheme="minorBidi"/>
          <w:b w:val="0"/>
          <w:smallCaps w:val="0"/>
          <w:sz w:val="22"/>
          <w:lang w:val="en-US"/>
        </w:rPr>
      </w:pPr>
      <w:hyperlink w:anchor="_Toc31018810" w:history="1">
        <w:r w:rsidRPr="0023775C">
          <w:rPr>
            <w:rStyle w:val="Hyperlink"/>
            <w:rFonts w:ascii="Times New Roman" w:hAnsi="Times New Roman"/>
          </w:rPr>
          <w:t>3.7.1.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_Toc31018810 \h </w:instrText>
        </w:r>
        <w:r>
          <w:rPr>
            <w:webHidden/>
          </w:rPr>
        </w:r>
        <w:r>
          <w:rPr>
            <w:webHidden/>
          </w:rPr>
          <w:fldChar w:fldCharType="separate"/>
        </w:r>
        <w:r>
          <w:rPr>
            <w:webHidden/>
          </w:rPr>
          <w:t>128</w:t>
        </w:r>
        <w:r>
          <w:rPr>
            <w:webHidden/>
          </w:rPr>
          <w:fldChar w:fldCharType="end"/>
        </w:r>
      </w:hyperlink>
    </w:p>
    <w:p w14:paraId="0543337A" w14:textId="295CA0F2" w:rsidR="00470C90" w:rsidRDefault="00470C90">
      <w:pPr>
        <w:pStyle w:val="TOC2"/>
        <w:rPr>
          <w:rFonts w:asciiTheme="minorHAnsi" w:eastAsiaTheme="minorEastAsia" w:hAnsiTheme="minorHAnsi" w:cstheme="minorBidi"/>
          <w:b w:val="0"/>
          <w:smallCaps w:val="0"/>
          <w:sz w:val="22"/>
          <w:lang w:val="en-US"/>
        </w:rPr>
      </w:pPr>
      <w:hyperlink w:anchor="_Toc31018811" w:history="1">
        <w:r w:rsidRPr="0023775C">
          <w:rPr>
            <w:rStyle w:val="Hyperlink"/>
            <w:rFonts w:ascii="Times New Roman" w:hAnsi="Times New Roman"/>
          </w:rPr>
          <w:t>3.7.2.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_Toc31018811 \h </w:instrText>
        </w:r>
        <w:r>
          <w:rPr>
            <w:webHidden/>
          </w:rPr>
        </w:r>
        <w:r>
          <w:rPr>
            <w:webHidden/>
          </w:rPr>
          <w:fldChar w:fldCharType="separate"/>
        </w:r>
        <w:r>
          <w:rPr>
            <w:webHidden/>
          </w:rPr>
          <w:t>128</w:t>
        </w:r>
        <w:r>
          <w:rPr>
            <w:webHidden/>
          </w:rPr>
          <w:fldChar w:fldCharType="end"/>
        </w:r>
      </w:hyperlink>
    </w:p>
    <w:p w14:paraId="7E1A8078" w14:textId="7CFB7F7D" w:rsidR="00470C90" w:rsidRDefault="00470C90">
      <w:pPr>
        <w:pStyle w:val="TOC2"/>
        <w:rPr>
          <w:rFonts w:asciiTheme="minorHAnsi" w:eastAsiaTheme="minorEastAsia" w:hAnsiTheme="minorHAnsi" w:cstheme="minorBidi"/>
          <w:b w:val="0"/>
          <w:smallCaps w:val="0"/>
          <w:sz w:val="22"/>
          <w:lang w:val="en-US"/>
        </w:rPr>
      </w:pPr>
      <w:hyperlink w:anchor="_Toc31018812" w:history="1">
        <w:r w:rsidRPr="0023775C">
          <w:rPr>
            <w:rStyle w:val="Hyperlink"/>
            <w:rFonts w:ascii="Times New Roman" w:hAnsi="Times New Roman"/>
          </w:rPr>
          <w:t>3.9.</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Az értékpapírosítással kapcsolatos részletes információk (SEC DETAILS)</w:t>
        </w:r>
        <w:r>
          <w:rPr>
            <w:webHidden/>
          </w:rPr>
          <w:tab/>
        </w:r>
        <w:r>
          <w:rPr>
            <w:webHidden/>
          </w:rPr>
          <w:fldChar w:fldCharType="begin"/>
        </w:r>
        <w:r>
          <w:rPr>
            <w:webHidden/>
          </w:rPr>
          <w:instrText xml:space="preserve"> PAGEREF _Toc31018812 \h </w:instrText>
        </w:r>
        <w:r>
          <w:rPr>
            <w:webHidden/>
          </w:rPr>
        </w:r>
        <w:r>
          <w:rPr>
            <w:webHidden/>
          </w:rPr>
          <w:fldChar w:fldCharType="separate"/>
        </w:r>
        <w:r>
          <w:rPr>
            <w:webHidden/>
          </w:rPr>
          <w:t>140</w:t>
        </w:r>
        <w:r>
          <w:rPr>
            <w:webHidden/>
          </w:rPr>
          <w:fldChar w:fldCharType="end"/>
        </w:r>
      </w:hyperlink>
    </w:p>
    <w:p w14:paraId="59BF81CA" w14:textId="6C5EE87B" w:rsidR="00470C90" w:rsidRDefault="00470C90">
      <w:pPr>
        <w:pStyle w:val="TOC2"/>
        <w:rPr>
          <w:rFonts w:asciiTheme="minorHAnsi" w:eastAsiaTheme="minorEastAsia" w:hAnsiTheme="minorHAnsi" w:cstheme="minorBidi"/>
          <w:b w:val="0"/>
          <w:smallCaps w:val="0"/>
          <w:sz w:val="22"/>
          <w:lang w:val="en-US"/>
        </w:rPr>
      </w:pPr>
      <w:hyperlink w:anchor="_Toc31018813" w:history="1">
        <w:r w:rsidRPr="0023775C">
          <w:rPr>
            <w:rStyle w:val="Hyperlink"/>
            <w:rFonts w:ascii="Times New Roman" w:hAnsi="Times New Roman"/>
          </w:rPr>
          <w:t>3.9.1.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SEC DETAILS tábla alkalmazási köre</w:t>
        </w:r>
        <w:r>
          <w:rPr>
            <w:webHidden/>
          </w:rPr>
          <w:tab/>
        </w:r>
        <w:r>
          <w:rPr>
            <w:webHidden/>
          </w:rPr>
          <w:fldChar w:fldCharType="begin"/>
        </w:r>
        <w:r>
          <w:rPr>
            <w:webHidden/>
          </w:rPr>
          <w:instrText xml:space="preserve"> PAGEREF _Toc31018813 \h </w:instrText>
        </w:r>
        <w:r>
          <w:rPr>
            <w:webHidden/>
          </w:rPr>
        </w:r>
        <w:r>
          <w:rPr>
            <w:webHidden/>
          </w:rPr>
          <w:fldChar w:fldCharType="separate"/>
        </w:r>
        <w:r>
          <w:rPr>
            <w:webHidden/>
          </w:rPr>
          <w:t>140</w:t>
        </w:r>
        <w:r>
          <w:rPr>
            <w:webHidden/>
          </w:rPr>
          <w:fldChar w:fldCharType="end"/>
        </w:r>
      </w:hyperlink>
    </w:p>
    <w:p w14:paraId="22E30883" w14:textId="4511F907" w:rsidR="00470C90" w:rsidRDefault="00470C90">
      <w:pPr>
        <w:pStyle w:val="TOC2"/>
        <w:rPr>
          <w:rFonts w:asciiTheme="minorHAnsi" w:eastAsiaTheme="minorEastAsia" w:hAnsiTheme="minorHAnsi" w:cstheme="minorBidi"/>
          <w:b w:val="0"/>
          <w:smallCaps w:val="0"/>
          <w:sz w:val="22"/>
          <w:lang w:val="en-US"/>
        </w:rPr>
      </w:pPr>
      <w:hyperlink w:anchor="_Toc31018814" w:history="1">
        <w:r w:rsidRPr="0023775C">
          <w:rPr>
            <w:rStyle w:val="Hyperlink"/>
            <w:rFonts w:ascii="Times New Roman" w:hAnsi="Times New Roman"/>
          </w:rPr>
          <w:t>3.9.2 A SEC DETAILS tábla alkalmazási köre</w:t>
        </w:r>
        <w:r>
          <w:rPr>
            <w:webHidden/>
          </w:rPr>
          <w:tab/>
        </w:r>
        <w:r>
          <w:rPr>
            <w:webHidden/>
          </w:rPr>
          <w:fldChar w:fldCharType="begin"/>
        </w:r>
        <w:r>
          <w:rPr>
            <w:webHidden/>
          </w:rPr>
          <w:instrText xml:space="preserve"> PAGEREF _Toc31018814 \h </w:instrText>
        </w:r>
        <w:r>
          <w:rPr>
            <w:webHidden/>
          </w:rPr>
        </w:r>
        <w:r>
          <w:rPr>
            <w:webHidden/>
          </w:rPr>
          <w:fldChar w:fldCharType="separate"/>
        </w:r>
        <w:r>
          <w:rPr>
            <w:webHidden/>
          </w:rPr>
          <w:t>141</w:t>
        </w:r>
        <w:r>
          <w:rPr>
            <w:webHidden/>
          </w:rPr>
          <w:fldChar w:fldCharType="end"/>
        </w:r>
      </w:hyperlink>
    </w:p>
    <w:p w14:paraId="7ACA532B" w14:textId="61F1894D" w:rsidR="00470C90" w:rsidRDefault="00470C90">
      <w:pPr>
        <w:pStyle w:val="TOC2"/>
        <w:rPr>
          <w:rFonts w:asciiTheme="minorHAnsi" w:eastAsiaTheme="minorEastAsia" w:hAnsiTheme="minorHAnsi" w:cstheme="minorBidi"/>
          <w:b w:val="0"/>
          <w:smallCaps w:val="0"/>
          <w:sz w:val="22"/>
          <w:lang w:val="en-US"/>
        </w:rPr>
      </w:pPr>
      <w:hyperlink w:anchor="_Toc31018815" w:history="1">
        <w:r w:rsidRPr="0023775C">
          <w:rPr>
            <w:rStyle w:val="Hyperlink"/>
            <w:rFonts w:ascii="Times New Roman" w:hAnsi="Times New Roman"/>
          </w:rPr>
          <w:t>3.9.3 C 14.00 – Az értékpapírosítással kapcsolatos részletes információk (SEC DETAILS)</w:t>
        </w:r>
        <w:r>
          <w:rPr>
            <w:webHidden/>
          </w:rPr>
          <w:tab/>
        </w:r>
        <w:r>
          <w:rPr>
            <w:webHidden/>
          </w:rPr>
          <w:fldChar w:fldCharType="begin"/>
        </w:r>
        <w:r>
          <w:rPr>
            <w:webHidden/>
          </w:rPr>
          <w:instrText xml:space="preserve"> PAGEREF _Toc31018815 \h </w:instrText>
        </w:r>
        <w:r>
          <w:rPr>
            <w:webHidden/>
          </w:rPr>
        </w:r>
        <w:r>
          <w:rPr>
            <w:webHidden/>
          </w:rPr>
          <w:fldChar w:fldCharType="separate"/>
        </w:r>
        <w:r>
          <w:rPr>
            <w:webHidden/>
          </w:rPr>
          <w:t>142</w:t>
        </w:r>
        <w:r>
          <w:rPr>
            <w:webHidden/>
          </w:rPr>
          <w:fldChar w:fldCharType="end"/>
        </w:r>
      </w:hyperlink>
    </w:p>
    <w:p w14:paraId="3EE580B2" w14:textId="38035BCB" w:rsidR="00470C90" w:rsidRDefault="00470C90">
      <w:pPr>
        <w:pStyle w:val="TOC2"/>
        <w:rPr>
          <w:rFonts w:asciiTheme="minorHAnsi" w:eastAsiaTheme="minorEastAsia" w:hAnsiTheme="minorHAnsi" w:cstheme="minorBidi"/>
          <w:b w:val="0"/>
          <w:smallCaps w:val="0"/>
          <w:sz w:val="22"/>
          <w:lang w:val="en-US"/>
        </w:rPr>
      </w:pPr>
      <w:hyperlink w:anchor="_Toc31018816" w:history="1">
        <w:r w:rsidRPr="0023775C">
          <w:rPr>
            <w:rStyle w:val="Hyperlink"/>
            <w:rFonts w:ascii="Times New Roman" w:hAnsi="Times New Roman"/>
          </w:rPr>
          <w:t>3.9.4.</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14.01 – Az értékpapírosítással kapcsolatos részletes információk (SEC DETAILS 2)</w:t>
        </w:r>
        <w:r>
          <w:rPr>
            <w:webHidden/>
          </w:rPr>
          <w:tab/>
        </w:r>
        <w:r>
          <w:rPr>
            <w:webHidden/>
          </w:rPr>
          <w:fldChar w:fldCharType="begin"/>
        </w:r>
        <w:r>
          <w:rPr>
            <w:webHidden/>
          </w:rPr>
          <w:instrText xml:space="preserve"> PAGEREF _Toc31018816 \h </w:instrText>
        </w:r>
        <w:r>
          <w:rPr>
            <w:webHidden/>
          </w:rPr>
        </w:r>
        <w:r>
          <w:rPr>
            <w:webHidden/>
          </w:rPr>
          <w:fldChar w:fldCharType="separate"/>
        </w:r>
        <w:r>
          <w:rPr>
            <w:webHidden/>
          </w:rPr>
          <w:t>155</w:t>
        </w:r>
        <w:r>
          <w:rPr>
            <w:webHidden/>
          </w:rPr>
          <w:fldChar w:fldCharType="end"/>
        </w:r>
      </w:hyperlink>
    </w:p>
    <w:p w14:paraId="0587120C" w14:textId="4500D7B7" w:rsidR="00470C90" w:rsidRDefault="00470C90">
      <w:pPr>
        <w:pStyle w:val="TOC2"/>
        <w:rPr>
          <w:rFonts w:asciiTheme="minorHAnsi" w:eastAsiaTheme="minorEastAsia" w:hAnsiTheme="minorHAnsi" w:cstheme="minorBidi"/>
          <w:b w:val="0"/>
          <w:smallCaps w:val="0"/>
          <w:sz w:val="22"/>
          <w:lang w:val="en-US"/>
        </w:rPr>
      </w:pPr>
      <w:hyperlink w:anchor="_Toc31018817" w:history="1">
        <w:r w:rsidRPr="0023775C">
          <w:rPr>
            <w:rStyle w:val="Hyperlink"/>
            <w:rFonts w:ascii="Times New Roman" w:hAnsi="Times New Roman"/>
          </w:rPr>
          <w:t>4.</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Működési kockázati táblacsoport</w:t>
        </w:r>
        <w:r>
          <w:rPr>
            <w:webHidden/>
          </w:rPr>
          <w:tab/>
        </w:r>
        <w:r>
          <w:rPr>
            <w:webHidden/>
          </w:rPr>
          <w:fldChar w:fldCharType="begin"/>
        </w:r>
        <w:r>
          <w:rPr>
            <w:webHidden/>
          </w:rPr>
          <w:instrText xml:space="preserve"> PAGEREF _Toc31018817 \h </w:instrText>
        </w:r>
        <w:r>
          <w:rPr>
            <w:webHidden/>
          </w:rPr>
        </w:r>
        <w:r>
          <w:rPr>
            <w:webHidden/>
          </w:rPr>
          <w:fldChar w:fldCharType="separate"/>
        </w:r>
        <w:r>
          <w:rPr>
            <w:webHidden/>
          </w:rPr>
          <w:t>159</w:t>
        </w:r>
        <w:r>
          <w:rPr>
            <w:webHidden/>
          </w:rPr>
          <w:fldChar w:fldCharType="end"/>
        </w:r>
      </w:hyperlink>
    </w:p>
    <w:p w14:paraId="29CC009F" w14:textId="54BD735F" w:rsidR="00470C90" w:rsidRDefault="00470C90">
      <w:pPr>
        <w:pStyle w:val="TOC2"/>
        <w:rPr>
          <w:rFonts w:asciiTheme="minorHAnsi" w:eastAsiaTheme="minorEastAsia" w:hAnsiTheme="minorHAnsi" w:cstheme="minorBidi"/>
          <w:b w:val="0"/>
          <w:smallCaps w:val="0"/>
          <w:sz w:val="22"/>
          <w:lang w:val="en-US"/>
        </w:rPr>
      </w:pPr>
      <w:hyperlink w:anchor="_Toc31018818" w:history="1">
        <w:r w:rsidRPr="0023775C">
          <w:rPr>
            <w:rStyle w:val="Hyperlink"/>
            <w:rFonts w:ascii="Times New Roman" w:hAnsi="Times New Roman"/>
          </w:rPr>
          <w:t>4.1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 xml:space="preserve"> C 16.00 – Működési kockázat (OPR)</w:t>
        </w:r>
        <w:r>
          <w:rPr>
            <w:webHidden/>
          </w:rPr>
          <w:tab/>
        </w:r>
        <w:r>
          <w:rPr>
            <w:webHidden/>
          </w:rPr>
          <w:fldChar w:fldCharType="begin"/>
        </w:r>
        <w:r>
          <w:rPr>
            <w:webHidden/>
          </w:rPr>
          <w:instrText xml:space="preserve"> PAGEREF _Toc31018818 \h </w:instrText>
        </w:r>
        <w:r>
          <w:rPr>
            <w:webHidden/>
          </w:rPr>
        </w:r>
        <w:r>
          <w:rPr>
            <w:webHidden/>
          </w:rPr>
          <w:fldChar w:fldCharType="separate"/>
        </w:r>
        <w:r>
          <w:rPr>
            <w:webHidden/>
          </w:rPr>
          <w:t>159</w:t>
        </w:r>
        <w:r>
          <w:rPr>
            <w:webHidden/>
          </w:rPr>
          <w:fldChar w:fldCharType="end"/>
        </w:r>
      </w:hyperlink>
    </w:p>
    <w:p w14:paraId="12409853" w14:textId="50181CAB" w:rsidR="00470C90" w:rsidRDefault="00470C90">
      <w:pPr>
        <w:pStyle w:val="TOC2"/>
        <w:rPr>
          <w:rFonts w:asciiTheme="minorHAnsi" w:eastAsiaTheme="minorEastAsia" w:hAnsiTheme="minorHAnsi" w:cstheme="minorBidi"/>
          <w:b w:val="0"/>
          <w:smallCaps w:val="0"/>
          <w:sz w:val="22"/>
          <w:lang w:val="en-US"/>
        </w:rPr>
      </w:pPr>
      <w:hyperlink w:anchor="_Toc31018819" w:history="1">
        <w:r w:rsidRPr="0023775C">
          <w:rPr>
            <w:rStyle w:val="Hyperlink"/>
            <w:rFonts w:ascii="Times New Roman" w:hAnsi="Times New Roman"/>
          </w:rPr>
          <w:t>4.1.1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_Toc31018819 \h </w:instrText>
        </w:r>
        <w:r>
          <w:rPr>
            <w:webHidden/>
          </w:rPr>
        </w:r>
        <w:r>
          <w:rPr>
            <w:webHidden/>
          </w:rPr>
          <w:fldChar w:fldCharType="separate"/>
        </w:r>
        <w:r>
          <w:rPr>
            <w:webHidden/>
          </w:rPr>
          <w:t>159</w:t>
        </w:r>
        <w:r>
          <w:rPr>
            <w:webHidden/>
          </w:rPr>
          <w:fldChar w:fldCharType="end"/>
        </w:r>
      </w:hyperlink>
    </w:p>
    <w:p w14:paraId="53206358" w14:textId="086450A2" w:rsidR="00470C90" w:rsidRDefault="00470C90">
      <w:pPr>
        <w:pStyle w:val="TOC2"/>
        <w:rPr>
          <w:rFonts w:asciiTheme="minorHAnsi" w:eastAsiaTheme="minorEastAsia" w:hAnsiTheme="minorHAnsi" w:cstheme="minorBidi"/>
          <w:b w:val="0"/>
          <w:smallCaps w:val="0"/>
          <w:sz w:val="22"/>
          <w:lang w:val="en-US"/>
        </w:rPr>
      </w:pPr>
      <w:hyperlink w:anchor="_Toc31018820" w:history="1">
        <w:r w:rsidRPr="0023775C">
          <w:rPr>
            <w:rStyle w:val="Hyperlink"/>
            <w:rFonts w:ascii="Times New Roman" w:hAnsi="Times New Roman"/>
          </w:rPr>
          <w:t>4.1.2.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_Toc31018820 \h </w:instrText>
        </w:r>
        <w:r>
          <w:rPr>
            <w:webHidden/>
          </w:rPr>
        </w:r>
        <w:r>
          <w:rPr>
            <w:webHidden/>
          </w:rPr>
          <w:fldChar w:fldCharType="separate"/>
        </w:r>
        <w:r>
          <w:rPr>
            <w:webHidden/>
          </w:rPr>
          <w:t>160</w:t>
        </w:r>
        <w:r>
          <w:rPr>
            <w:webHidden/>
          </w:rPr>
          <w:fldChar w:fldCharType="end"/>
        </w:r>
      </w:hyperlink>
    </w:p>
    <w:p w14:paraId="1C9013D8" w14:textId="631EA62F" w:rsidR="00470C90" w:rsidRDefault="00470C90">
      <w:pPr>
        <w:pStyle w:val="TOC2"/>
        <w:rPr>
          <w:rFonts w:asciiTheme="minorHAnsi" w:eastAsiaTheme="minorEastAsia" w:hAnsiTheme="minorHAnsi" w:cstheme="minorBidi"/>
          <w:b w:val="0"/>
          <w:smallCaps w:val="0"/>
          <w:sz w:val="22"/>
          <w:lang w:val="en-US"/>
        </w:rPr>
      </w:pPr>
      <w:hyperlink w:anchor="_Toc31018821" w:history="1">
        <w:r w:rsidRPr="0023775C">
          <w:rPr>
            <w:rStyle w:val="Hyperlink"/>
            <w:rFonts w:ascii="Times New Roman" w:hAnsi="Times New Roman"/>
          </w:rPr>
          <w:t>4.2.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Működési kockázat: Az előző évi veszteségekre vonatkozó részletes információk (OPR DETAILS)</w:t>
        </w:r>
        <w:r>
          <w:rPr>
            <w:webHidden/>
          </w:rPr>
          <w:tab/>
        </w:r>
        <w:r>
          <w:rPr>
            <w:webHidden/>
          </w:rPr>
          <w:fldChar w:fldCharType="begin"/>
        </w:r>
        <w:r>
          <w:rPr>
            <w:webHidden/>
          </w:rPr>
          <w:instrText xml:space="preserve"> PAGEREF _Toc31018821 \h </w:instrText>
        </w:r>
        <w:r>
          <w:rPr>
            <w:webHidden/>
          </w:rPr>
        </w:r>
        <w:r>
          <w:rPr>
            <w:webHidden/>
          </w:rPr>
          <w:fldChar w:fldCharType="separate"/>
        </w:r>
        <w:r>
          <w:rPr>
            <w:webHidden/>
          </w:rPr>
          <w:t>164</w:t>
        </w:r>
        <w:r>
          <w:rPr>
            <w:webHidden/>
          </w:rPr>
          <w:fldChar w:fldCharType="end"/>
        </w:r>
      </w:hyperlink>
    </w:p>
    <w:p w14:paraId="5E55F605" w14:textId="6CAB4C43" w:rsidR="00470C90" w:rsidRDefault="00470C90">
      <w:pPr>
        <w:pStyle w:val="TOC2"/>
        <w:rPr>
          <w:rFonts w:asciiTheme="minorHAnsi" w:eastAsiaTheme="minorEastAsia" w:hAnsiTheme="minorHAnsi" w:cstheme="minorBidi"/>
          <w:b w:val="0"/>
          <w:smallCaps w:val="0"/>
          <w:sz w:val="22"/>
          <w:lang w:val="en-US"/>
        </w:rPr>
      </w:pPr>
      <w:hyperlink w:anchor="_Toc31018822" w:history="1">
        <w:r w:rsidRPr="0023775C">
          <w:rPr>
            <w:rStyle w:val="Hyperlink"/>
            <w:rFonts w:ascii="Times New Roman" w:hAnsi="Times New Roman"/>
          </w:rPr>
          <w:t>4.2.1.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_Toc31018822 \h </w:instrText>
        </w:r>
        <w:r>
          <w:rPr>
            <w:webHidden/>
          </w:rPr>
        </w:r>
        <w:r>
          <w:rPr>
            <w:webHidden/>
          </w:rPr>
          <w:fldChar w:fldCharType="separate"/>
        </w:r>
        <w:r>
          <w:rPr>
            <w:webHidden/>
          </w:rPr>
          <w:t>164</w:t>
        </w:r>
        <w:r>
          <w:rPr>
            <w:webHidden/>
          </w:rPr>
          <w:fldChar w:fldCharType="end"/>
        </w:r>
      </w:hyperlink>
    </w:p>
    <w:p w14:paraId="22CC12A2" w14:textId="7C922121" w:rsidR="00470C90" w:rsidRDefault="00470C90">
      <w:pPr>
        <w:pStyle w:val="TOC2"/>
        <w:rPr>
          <w:rFonts w:asciiTheme="minorHAnsi" w:eastAsiaTheme="minorEastAsia" w:hAnsiTheme="minorHAnsi" w:cstheme="minorBidi"/>
          <w:b w:val="0"/>
          <w:smallCaps w:val="0"/>
          <w:sz w:val="22"/>
          <w:lang w:val="en-US"/>
        </w:rPr>
      </w:pPr>
      <w:hyperlink w:anchor="_Toc31018823" w:history="1">
        <w:r w:rsidRPr="0023775C">
          <w:rPr>
            <w:rStyle w:val="Hyperlink"/>
            <w:rFonts w:ascii="Times New Roman" w:hAnsi="Times New Roman"/>
          </w:rPr>
          <w:t>4.2.2.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17.01: Működési kockázat: Az előző évi veszteségek és megtérült veszteségek üzletáganként és veszteségesemény-típusonként (OPR DETAILS 1)</w:t>
        </w:r>
        <w:r>
          <w:rPr>
            <w:webHidden/>
          </w:rPr>
          <w:tab/>
        </w:r>
        <w:r>
          <w:rPr>
            <w:webHidden/>
          </w:rPr>
          <w:fldChar w:fldCharType="begin"/>
        </w:r>
        <w:r>
          <w:rPr>
            <w:webHidden/>
          </w:rPr>
          <w:instrText xml:space="preserve"> PAGEREF _Toc31018823 \h </w:instrText>
        </w:r>
        <w:r>
          <w:rPr>
            <w:webHidden/>
          </w:rPr>
        </w:r>
        <w:r>
          <w:rPr>
            <w:webHidden/>
          </w:rPr>
          <w:fldChar w:fldCharType="separate"/>
        </w:r>
        <w:r>
          <w:rPr>
            <w:webHidden/>
          </w:rPr>
          <w:t>165</w:t>
        </w:r>
        <w:r>
          <w:rPr>
            <w:webHidden/>
          </w:rPr>
          <w:fldChar w:fldCharType="end"/>
        </w:r>
      </w:hyperlink>
    </w:p>
    <w:p w14:paraId="09F38B26" w14:textId="3C60B407" w:rsidR="00470C90" w:rsidRDefault="00470C90">
      <w:pPr>
        <w:pStyle w:val="TOC2"/>
        <w:rPr>
          <w:rFonts w:asciiTheme="minorHAnsi" w:eastAsiaTheme="minorEastAsia" w:hAnsiTheme="minorHAnsi" w:cstheme="minorBidi"/>
          <w:b w:val="0"/>
          <w:smallCaps w:val="0"/>
          <w:sz w:val="22"/>
          <w:lang w:val="en-US"/>
        </w:rPr>
      </w:pPr>
      <w:hyperlink w:anchor="_Toc31018824" w:history="1">
        <w:r w:rsidRPr="0023775C">
          <w:rPr>
            <w:rStyle w:val="Hyperlink"/>
            <w:rFonts w:ascii="Times New Roman" w:hAnsi="Times New Roman"/>
          </w:rPr>
          <w:t>4.2.2.1.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_Toc31018824 \h </w:instrText>
        </w:r>
        <w:r>
          <w:rPr>
            <w:webHidden/>
          </w:rPr>
        </w:r>
        <w:r>
          <w:rPr>
            <w:webHidden/>
          </w:rPr>
          <w:fldChar w:fldCharType="separate"/>
        </w:r>
        <w:r>
          <w:rPr>
            <w:webHidden/>
          </w:rPr>
          <w:t>165</w:t>
        </w:r>
        <w:r>
          <w:rPr>
            <w:webHidden/>
          </w:rPr>
          <w:fldChar w:fldCharType="end"/>
        </w:r>
      </w:hyperlink>
    </w:p>
    <w:p w14:paraId="5F2DF06B" w14:textId="3C73DFE7" w:rsidR="00470C90" w:rsidRDefault="00470C90">
      <w:pPr>
        <w:pStyle w:val="TOC2"/>
        <w:rPr>
          <w:rFonts w:asciiTheme="minorHAnsi" w:eastAsiaTheme="minorEastAsia" w:hAnsiTheme="minorHAnsi" w:cstheme="minorBidi"/>
          <w:b w:val="0"/>
          <w:smallCaps w:val="0"/>
          <w:sz w:val="22"/>
          <w:lang w:val="en-US"/>
        </w:rPr>
      </w:pPr>
      <w:hyperlink w:anchor="_Toc31018825" w:history="1">
        <w:r w:rsidRPr="0023775C">
          <w:rPr>
            <w:rStyle w:val="Hyperlink"/>
            <w:rFonts w:ascii="Times New Roman" w:hAnsi="Times New Roman"/>
          </w:rPr>
          <w:t>4.2.2.2.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_Toc31018825 \h </w:instrText>
        </w:r>
        <w:r>
          <w:rPr>
            <w:webHidden/>
          </w:rPr>
        </w:r>
        <w:r>
          <w:rPr>
            <w:webHidden/>
          </w:rPr>
          <w:fldChar w:fldCharType="separate"/>
        </w:r>
        <w:r>
          <w:rPr>
            <w:webHidden/>
          </w:rPr>
          <w:t>166</w:t>
        </w:r>
        <w:r>
          <w:rPr>
            <w:webHidden/>
          </w:rPr>
          <w:fldChar w:fldCharType="end"/>
        </w:r>
      </w:hyperlink>
    </w:p>
    <w:p w14:paraId="006D1AE2" w14:textId="55552F61" w:rsidR="00470C90" w:rsidRDefault="00470C90">
      <w:pPr>
        <w:pStyle w:val="TOC2"/>
        <w:rPr>
          <w:rFonts w:asciiTheme="minorHAnsi" w:eastAsiaTheme="minorEastAsia" w:hAnsiTheme="minorHAnsi" w:cstheme="minorBidi"/>
          <w:b w:val="0"/>
          <w:smallCaps w:val="0"/>
          <w:sz w:val="22"/>
          <w:lang w:val="en-US"/>
        </w:rPr>
      </w:pPr>
      <w:hyperlink w:anchor="_Toc31018826" w:history="1">
        <w:r w:rsidRPr="0023775C">
          <w:rPr>
            <w:rStyle w:val="Hyperlink"/>
            <w:rFonts w:ascii="Times New Roman" w:hAnsi="Times New Roman"/>
          </w:rPr>
          <w:t>4.2.3.</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17.02: Működési kockázat: Az utolsó évi nagy veszteségeseményekre vonatkozó részletes információk (OPR DETAILS 2)</w:t>
        </w:r>
        <w:r>
          <w:rPr>
            <w:webHidden/>
          </w:rPr>
          <w:tab/>
        </w:r>
        <w:r>
          <w:rPr>
            <w:webHidden/>
          </w:rPr>
          <w:fldChar w:fldCharType="begin"/>
        </w:r>
        <w:r>
          <w:rPr>
            <w:webHidden/>
          </w:rPr>
          <w:instrText xml:space="preserve"> PAGEREF _Toc31018826 \h </w:instrText>
        </w:r>
        <w:r>
          <w:rPr>
            <w:webHidden/>
          </w:rPr>
        </w:r>
        <w:r>
          <w:rPr>
            <w:webHidden/>
          </w:rPr>
          <w:fldChar w:fldCharType="separate"/>
        </w:r>
        <w:r>
          <w:rPr>
            <w:webHidden/>
          </w:rPr>
          <w:t>173</w:t>
        </w:r>
        <w:r>
          <w:rPr>
            <w:webHidden/>
          </w:rPr>
          <w:fldChar w:fldCharType="end"/>
        </w:r>
      </w:hyperlink>
    </w:p>
    <w:p w14:paraId="74ACF3B1" w14:textId="6C8D2B8F" w:rsidR="00470C90" w:rsidRDefault="00470C90">
      <w:pPr>
        <w:pStyle w:val="TOC2"/>
        <w:rPr>
          <w:rFonts w:asciiTheme="minorHAnsi" w:eastAsiaTheme="minorEastAsia" w:hAnsiTheme="minorHAnsi" w:cstheme="minorBidi"/>
          <w:b w:val="0"/>
          <w:smallCaps w:val="0"/>
          <w:sz w:val="22"/>
          <w:lang w:val="en-US"/>
        </w:rPr>
      </w:pPr>
      <w:hyperlink w:anchor="_Toc31018827" w:history="1">
        <w:r w:rsidRPr="0023775C">
          <w:rPr>
            <w:rStyle w:val="Hyperlink"/>
            <w:rFonts w:ascii="Times New Roman" w:hAnsi="Times New Roman"/>
          </w:rPr>
          <w:t>4.2.3.1.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_Toc31018827 \h </w:instrText>
        </w:r>
        <w:r>
          <w:rPr>
            <w:webHidden/>
          </w:rPr>
        </w:r>
        <w:r>
          <w:rPr>
            <w:webHidden/>
          </w:rPr>
          <w:fldChar w:fldCharType="separate"/>
        </w:r>
        <w:r>
          <w:rPr>
            <w:webHidden/>
          </w:rPr>
          <w:t>173</w:t>
        </w:r>
        <w:r>
          <w:rPr>
            <w:webHidden/>
          </w:rPr>
          <w:fldChar w:fldCharType="end"/>
        </w:r>
      </w:hyperlink>
    </w:p>
    <w:p w14:paraId="2A0DB1DB" w14:textId="1686C63F" w:rsidR="00470C90" w:rsidRDefault="00470C90">
      <w:pPr>
        <w:pStyle w:val="TOC2"/>
        <w:rPr>
          <w:rFonts w:asciiTheme="minorHAnsi" w:eastAsiaTheme="minorEastAsia" w:hAnsiTheme="minorHAnsi" w:cstheme="minorBidi"/>
          <w:b w:val="0"/>
          <w:smallCaps w:val="0"/>
          <w:sz w:val="22"/>
          <w:lang w:val="en-US"/>
        </w:rPr>
      </w:pPr>
      <w:hyperlink w:anchor="_Toc31018828" w:history="1">
        <w:r w:rsidRPr="0023775C">
          <w:rPr>
            <w:rStyle w:val="Hyperlink"/>
            <w:rFonts w:ascii="Times New Roman" w:hAnsi="Times New Roman"/>
          </w:rPr>
          <w:t>4.2.3.2.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_Toc31018828 \h </w:instrText>
        </w:r>
        <w:r>
          <w:rPr>
            <w:webHidden/>
          </w:rPr>
        </w:r>
        <w:r>
          <w:rPr>
            <w:webHidden/>
          </w:rPr>
          <w:fldChar w:fldCharType="separate"/>
        </w:r>
        <w:r>
          <w:rPr>
            <w:webHidden/>
          </w:rPr>
          <w:t>173</w:t>
        </w:r>
        <w:r>
          <w:rPr>
            <w:webHidden/>
          </w:rPr>
          <w:fldChar w:fldCharType="end"/>
        </w:r>
      </w:hyperlink>
    </w:p>
    <w:p w14:paraId="6A6CFACB" w14:textId="0849F134" w:rsidR="00470C90" w:rsidRDefault="00470C90">
      <w:pPr>
        <w:pStyle w:val="TOC2"/>
        <w:rPr>
          <w:rFonts w:asciiTheme="minorHAnsi" w:eastAsiaTheme="minorEastAsia" w:hAnsiTheme="minorHAnsi" w:cstheme="minorBidi"/>
          <w:b w:val="0"/>
          <w:smallCaps w:val="0"/>
          <w:sz w:val="22"/>
          <w:lang w:val="en-US"/>
        </w:rPr>
      </w:pPr>
      <w:hyperlink w:anchor="_Toc31018829" w:history="1">
        <w:r w:rsidRPr="0023775C">
          <w:rPr>
            <w:rStyle w:val="Hyperlink"/>
            <w:rFonts w:ascii="Times New Roman" w:hAnsi="Times New Roman"/>
          </w:rPr>
          <w:t>5.</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Piaci kockázati táblacsoport</w:t>
        </w:r>
        <w:r>
          <w:rPr>
            <w:webHidden/>
          </w:rPr>
          <w:tab/>
        </w:r>
        <w:r>
          <w:rPr>
            <w:webHidden/>
          </w:rPr>
          <w:fldChar w:fldCharType="begin"/>
        </w:r>
        <w:r>
          <w:rPr>
            <w:webHidden/>
          </w:rPr>
          <w:instrText xml:space="preserve"> PAGEREF _Toc31018829 \h </w:instrText>
        </w:r>
        <w:r>
          <w:rPr>
            <w:webHidden/>
          </w:rPr>
        </w:r>
        <w:r>
          <w:rPr>
            <w:webHidden/>
          </w:rPr>
          <w:fldChar w:fldCharType="separate"/>
        </w:r>
        <w:r>
          <w:rPr>
            <w:webHidden/>
          </w:rPr>
          <w:t>176</w:t>
        </w:r>
        <w:r>
          <w:rPr>
            <w:webHidden/>
          </w:rPr>
          <w:fldChar w:fldCharType="end"/>
        </w:r>
      </w:hyperlink>
    </w:p>
    <w:p w14:paraId="71DE2E96" w14:textId="56BE4B49" w:rsidR="00470C90" w:rsidRDefault="00470C90">
      <w:pPr>
        <w:pStyle w:val="TOC2"/>
        <w:rPr>
          <w:rFonts w:asciiTheme="minorHAnsi" w:eastAsiaTheme="minorEastAsia" w:hAnsiTheme="minorHAnsi" w:cstheme="minorBidi"/>
          <w:b w:val="0"/>
          <w:smallCaps w:val="0"/>
          <w:sz w:val="22"/>
          <w:lang w:val="en-US"/>
        </w:rPr>
      </w:pPr>
      <w:hyperlink w:anchor="_Toc31018830" w:history="1">
        <w:r w:rsidRPr="0023775C">
          <w:rPr>
            <w:rStyle w:val="Hyperlink"/>
            <w:rFonts w:ascii="Times New Roman" w:hAnsi="Times New Roman"/>
          </w:rPr>
          <w:t>5.1.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18.00 – Piaci kockázat: A forgalmazott, hitelviszonyt megtestesítő értékpapírok pozíciókockázatának sztenderd módszere (MKR SA TDI)</w:t>
        </w:r>
        <w:r>
          <w:rPr>
            <w:webHidden/>
          </w:rPr>
          <w:tab/>
        </w:r>
        <w:r>
          <w:rPr>
            <w:webHidden/>
          </w:rPr>
          <w:fldChar w:fldCharType="begin"/>
        </w:r>
        <w:r>
          <w:rPr>
            <w:webHidden/>
          </w:rPr>
          <w:instrText xml:space="preserve"> PAGEREF _Toc31018830 \h </w:instrText>
        </w:r>
        <w:r>
          <w:rPr>
            <w:webHidden/>
          </w:rPr>
        </w:r>
        <w:r>
          <w:rPr>
            <w:webHidden/>
          </w:rPr>
          <w:fldChar w:fldCharType="separate"/>
        </w:r>
        <w:r>
          <w:rPr>
            <w:webHidden/>
          </w:rPr>
          <w:t>176</w:t>
        </w:r>
        <w:r>
          <w:rPr>
            <w:webHidden/>
          </w:rPr>
          <w:fldChar w:fldCharType="end"/>
        </w:r>
      </w:hyperlink>
    </w:p>
    <w:p w14:paraId="73AE1F75" w14:textId="57679955" w:rsidR="00470C90" w:rsidRDefault="00470C90">
      <w:pPr>
        <w:pStyle w:val="TOC2"/>
        <w:rPr>
          <w:rFonts w:asciiTheme="minorHAnsi" w:eastAsiaTheme="minorEastAsia" w:hAnsiTheme="minorHAnsi" w:cstheme="minorBidi"/>
          <w:b w:val="0"/>
          <w:smallCaps w:val="0"/>
          <w:sz w:val="22"/>
          <w:lang w:val="en-US"/>
        </w:rPr>
      </w:pPr>
      <w:hyperlink w:anchor="_Toc31018831" w:history="1">
        <w:r w:rsidRPr="0023775C">
          <w:rPr>
            <w:rStyle w:val="Hyperlink"/>
            <w:rFonts w:ascii="Times New Roman" w:hAnsi="Times New Roman"/>
          </w:rPr>
          <w:t>5.1.1.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_Toc31018831 \h </w:instrText>
        </w:r>
        <w:r>
          <w:rPr>
            <w:webHidden/>
          </w:rPr>
        </w:r>
        <w:r>
          <w:rPr>
            <w:webHidden/>
          </w:rPr>
          <w:fldChar w:fldCharType="separate"/>
        </w:r>
        <w:r>
          <w:rPr>
            <w:webHidden/>
          </w:rPr>
          <w:t>176</w:t>
        </w:r>
        <w:r>
          <w:rPr>
            <w:webHidden/>
          </w:rPr>
          <w:fldChar w:fldCharType="end"/>
        </w:r>
      </w:hyperlink>
    </w:p>
    <w:p w14:paraId="79F9CC27" w14:textId="29A56BB3" w:rsidR="00470C90" w:rsidRDefault="00470C90">
      <w:pPr>
        <w:pStyle w:val="TOC2"/>
        <w:rPr>
          <w:rFonts w:asciiTheme="minorHAnsi" w:eastAsiaTheme="minorEastAsia" w:hAnsiTheme="minorHAnsi" w:cstheme="minorBidi"/>
          <w:b w:val="0"/>
          <w:smallCaps w:val="0"/>
          <w:sz w:val="22"/>
          <w:lang w:val="en-US"/>
        </w:rPr>
      </w:pPr>
      <w:hyperlink w:anchor="_Toc31018832" w:history="1">
        <w:r w:rsidRPr="0023775C">
          <w:rPr>
            <w:rStyle w:val="Hyperlink"/>
            <w:rFonts w:ascii="Times New Roman" w:hAnsi="Times New Roman"/>
          </w:rPr>
          <w:t>5.1.2.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_Toc31018832 \h </w:instrText>
        </w:r>
        <w:r>
          <w:rPr>
            <w:webHidden/>
          </w:rPr>
        </w:r>
        <w:r>
          <w:rPr>
            <w:webHidden/>
          </w:rPr>
          <w:fldChar w:fldCharType="separate"/>
        </w:r>
        <w:r>
          <w:rPr>
            <w:webHidden/>
          </w:rPr>
          <w:t>176</w:t>
        </w:r>
        <w:r>
          <w:rPr>
            <w:webHidden/>
          </w:rPr>
          <w:fldChar w:fldCharType="end"/>
        </w:r>
      </w:hyperlink>
    </w:p>
    <w:p w14:paraId="7F19EFB9" w14:textId="3367F159" w:rsidR="00470C90" w:rsidRDefault="00470C90">
      <w:pPr>
        <w:pStyle w:val="TOC2"/>
        <w:rPr>
          <w:rFonts w:asciiTheme="minorHAnsi" w:eastAsiaTheme="minorEastAsia" w:hAnsiTheme="minorHAnsi" w:cstheme="minorBidi"/>
          <w:b w:val="0"/>
          <w:smallCaps w:val="0"/>
          <w:sz w:val="22"/>
          <w:lang w:val="en-US"/>
        </w:rPr>
      </w:pPr>
      <w:hyperlink w:anchor="_Toc31018833" w:history="1">
        <w:r w:rsidRPr="0023775C">
          <w:rPr>
            <w:rStyle w:val="Hyperlink"/>
            <w:rFonts w:ascii="Times New Roman" w:hAnsi="Times New Roman"/>
          </w:rPr>
          <w:t>5.2.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19.00 – PIACI KOCKÁZAT: AZ ÉRTÉKPAPÍROSÍTÁSOK EGYEDI KOCKÁZATÁNAK SZTENDERD MÓDSZERE (MKR SA SEC)</w:t>
        </w:r>
        <w:r>
          <w:rPr>
            <w:webHidden/>
          </w:rPr>
          <w:tab/>
        </w:r>
        <w:r>
          <w:rPr>
            <w:webHidden/>
          </w:rPr>
          <w:fldChar w:fldCharType="begin"/>
        </w:r>
        <w:r>
          <w:rPr>
            <w:webHidden/>
          </w:rPr>
          <w:instrText xml:space="preserve"> PAGEREF _Toc31018833 \h </w:instrText>
        </w:r>
        <w:r>
          <w:rPr>
            <w:webHidden/>
          </w:rPr>
        </w:r>
        <w:r>
          <w:rPr>
            <w:webHidden/>
          </w:rPr>
          <w:fldChar w:fldCharType="separate"/>
        </w:r>
        <w:r>
          <w:rPr>
            <w:webHidden/>
          </w:rPr>
          <w:t>179</w:t>
        </w:r>
        <w:r>
          <w:rPr>
            <w:webHidden/>
          </w:rPr>
          <w:fldChar w:fldCharType="end"/>
        </w:r>
      </w:hyperlink>
    </w:p>
    <w:p w14:paraId="210E7A47" w14:textId="7E42ABB6" w:rsidR="00470C90" w:rsidRDefault="00470C90">
      <w:pPr>
        <w:pStyle w:val="TOC2"/>
        <w:rPr>
          <w:rFonts w:asciiTheme="minorHAnsi" w:eastAsiaTheme="minorEastAsia" w:hAnsiTheme="minorHAnsi" w:cstheme="minorBidi"/>
          <w:b w:val="0"/>
          <w:smallCaps w:val="0"/>
          <w:sz w:val="22"/>
          <w:lang w:val="en-US"/>
        </w:rPr>
      </w:pPr>
      <w:hyperlink w:anchor="_Toc31018834" w:history="1">
        <w:r w:rsidRPr="0023775C">
          <w:rPr>
            <w:rStyle w:val="Hyperlink"/>
            <w:rFonts w:ascii="Times New Roman" w:hAnsi="Times New Roman"/>
          </w:rPr>
          <w:t>5.2.1.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_Toc31018834 \h </w:instrText>
        </w:r>
        <w:r>
          <w:rPr>
            <w:webHidden/>
          </w:rPr>
        </w:r>
        <w:r>
          <w:rPr>
            <w:webHidden/>
          </w:rPr>
          <w:fldChar w:fldCharType="separate"/>
        </w:r>
        <w:r>
          <w:rPr>
            <w:webHidden/>
          </w:rPr>
          <w:t>179</w:t>
        </w:r>
        <w:r>
          <w:rPr>
            <w:webHidden/>
          </w:rPr>
          <w:fldChar w:fldCharType="end"/>
        </w:r>
      </w:hyperlink>
    </w:p>
    <w:p w14:paraId="4375C930" w14:textId="60CBFEDA" w:rsidR="00470C90" w:rsidRDefault="00470C90">
      <w:pPr>
        <w:pStyle w:val="TOC2"/>
        <w:rPr>
          <w:rFonts w:asciiTheme="minorHAnsi" w:eastAsiaTheme="minorEastAsia" w:hAnsiTheme="minorHAnsi" w:cstheme="minorBidi"/>
          <w:b w:val="0"/>
          <w:smallCaps w:val="0"/>
          <w:sz w:val="22"/>
          <w:lang w:val="en-US"/>
        </w:rPr>
      </w:pPr>
      <w:hyperlink w:anchor="_Toc31018835" w:history="1">
        <w:r w:rsidRPr="0023775C">
          <w:rPr>
            <w:rStyle w:val="Hyperlink"/>
            <w:rFonts w:ascii="Times New Roman" w:hAnsi="Times New Roman"/>
          </w:rPr>
          <w:t>5.2.2.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_Toc31018835 \h </w:instrText>
        </w:r>
        <w:r>
          <w:rPr>
            <w:webHidden/>
          </w:rPr>
        </w:r>
        <w:r>
          <w:rPr>
            <w:webHidden/>
          </w:rPr>
          <w:fldChar w:fldCharType="separate"/>
        </w:r>
        <w:r>
          <w:rPr>
            <w:webHidden/>
          </w:rPr>
          <w:t>179</w:t>
        </w:r>
        <w:r>
          <w:rPr>
            <w:webHidden/>
          </w:rPr>
          <w:fldChar w:fldCharType="end"/>
        </w:r>
      </w:hyperlink>
    </w:p>
    <w:p w14:paraId="18B416A6" w14:textId="095733A6" w:rsidR="00470C90" w:rsidRDefault="00470C90">
      <w:pPr>
        <w:pStyle w:val="TOC2"/>
        <w:rPr>
          <w:rFonts w:asciiTheme="minorHAnsi" w:eastAsiaTheme="minorEastAsia" w:hAnsiTheme="minorHAnsi" w:cstheme="minorBidi"/>
          <w:b w:val="0"/>
          <w:smallCaps w:val="0"/>
          <w:sz w:val="22"/>
          <w:lang w:val="en-US"/>
        </w:rPr>
      </w:pPr>
      <w:hyperlink w:anchor="_Toc31018836" w:history="1">
        <w:r w:rsidRPr="0023775C">
          <w:rPr>
            <w:rStyle w:val="Hyperlink"/>
            <w:rFonts w:ascii="Times New Roman" w:hAnsi="Times New Roman"/>
          </w:rPr>
          <w:t>5.3.</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20.00 – PIACI KOCKÁZAT: A KORRELÁCIÓKERESKEDÉSI PORTFÓLIÓBA SOROLT POZÍCIÓK EGYEDI KOCKÁZATÁNAK SZTENDERD MÓDSZERE (MKR SA CTP)</w:t>
        </w:r>
        <w:r>
          <w:rPr>
            <w:webHidden/>
          </w:rPr>
          <w:tab/>
        </w:r>
        <w:r>
          <w:rPr>
            <w:webHidden/>
          </w:rPr>
          <w:fldChar w:fldCharType="begin"/>
        </w:r>
        <w:r>
          <w:rPr>
            <w:webHidden/>
          </w:rPr>
          <w:instrText xml:space="preserve"> PAGEREF _Toc31018836 \h </w:instrText>
        </w:r>
        <w:r>
          <w:rPr>
            <w:webHidden/>
          </w:rPr>
        </w:r>
        <w:r>
          <w:rPr>
            <w:webHidden/>
          </w:rPr>
          <w:fldChar w:fldCharType="separate"/>
        </w:r>
        <w:r>
          <w:rPr>
            <w:webHidden/>
          </w:rPr>
          <w:t>181</w:t>
        </w:r>
        <w:r>
          <w:rPr>
            <w:webHidden/>
          </w:rPr>
          <w:fldChar w:fldCharType="end"/>
        </w:r>
      </w:hyperlink>
    </w:p>
    <w:p w14:paraId="4FD59A79" w14:textId="06590433" w:rsidR="00470C90" w:rsidRDefault="00470C90">
      <w:pPr>
        <w:pStyle w:val="TOC2"/>
        <w:rPr>
          <w:rFonts w:asciiTheme="minorHAnsi" w:eastAsiaTheme="minorEastAsia" w:hAnsiTheme="minorHAnsi" w:cstheme="minorBidi"/>
          <w:b w:val="0"/>
          <w:smallCaps w:val="0"/>
          <w:sz w:val="22"/>
          <w:lang w:val="en-US"/>
        </w:rPr>
      </w:pPr>
      <w:hyperlink w:anchor="_Toc31018837" w:history="1">
        <w:r w:rsidRPr="0023775C">
          <w:rPr>
            <w:rStyle w:val="Hyperlink"/>
            <w:rFonts w:ascii="Times New Roman" w:hAnsi="Times New Roman"/>
          </w:rPr>
          <w:t>5.3.1.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_Toc31018837 \h </w:instrText>
        </w:r>
        <w:r>
          <w:rPr>
            <w:webHidden/>
          </w:rPr>
        </w:r>
        <w:r>
          <w:rPr>
            <w:webHidden/>
          </w:rPr>
          <w:fldChar w:fldCharType="separate"/>
        </w:r>
        <w:r>
          <w:rPr>
            <w:webHidden/>
          </w:rPr>
          <w:t>181</w:t>
        </w:r>
        <w:r>
          <w:rPr>
            <w:webHidden/>
          </w:rPr>
          <w:fldChar w:fldCharType="end"/>
        </w:r>
      </w:hyperlink>
    </w:p>
    <w:p w14:paraId="5093E853" w14:textId="701F97C3" w:rsidR="00470C90" w:rsidRDefault="00470C90">
      <w:pPr>
        <w:pStyle w:val="TOC2"/>
        <w:rPr>
          <w:rFonts w:asciiTheme="minorHAnsi" w:eastAsiaTheme="minorEastAsia" w:hAnsiTheme="minorHAnsi" w:cstheme="minorBidi"/>
          <w:b w:val="0"/>
          <w:smallCaps w:val="0"/>
          <w:sz w:val="22"/>
          <w:lang w:val="en-US"/>
        </w:rPr>
      </w:pPr>
      <w:hyperlink w:anchor="_Toc31018838" w:history="1">
        <w:r w:rsidRPr="0023775C">
          <w:rPr>
            <w:rStyle w:val="Hyperlink"/>
            <w:rFonts w:ascii="Times New Roman" w:hAnsi="Times New Roman"/>
          </w:rPr>
          <w:t>5.3.2.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_Toc31018838 \h </w:instrText>
        </w:r>
        <w:r>
          <w:rPr>
            <w:webHidden/>
          </w:rPr>
        </w:r>
        <w:r>
          <w:rPr>
            <w:webHidden/>
          </w:rPr>
          <w:fldChar w:fldCharType="separate"/>
        </w:r>
        <w:r>
          <w:rPr>
            <w:webHidden/>
          </w:rPr>
          <w:t>182</w:t>
        </w:r>
        <w:r>
          <w:rPr>
            <w:webHidden/>
          </w:rPr>
          <w:fldChar w:fldCharType="end"/>
        </w:r>
      </w:hyperlink>
    </w:p>
    <w:p w14:paraId="5544A639" w14:textId="08AC1363" w:rsidR="00470C90" w:rsidRDefault="00470C90">
      <w:pPr>
        <w:pStyle w:val="TOC2"/>
        <w:rPr>
          <w:rFonts w:asciiTheme="minorHAnsi" w:eastAsiaTheme="minorEastAsia" w:hAnsiTheme="minorHAnsi" w:cstheme="minorBidi"/>
          <w:b w:val="0"/>
          <w:smallCaps w:val="0"/>
          <w:sz w:val="22"/>
          <w:lang w:val="en-US"/>
        </w:rPr>
      </w:pPr>
      <w:hyperlink w:anchor="_Toc31018839" w:history="1">
        <w:r w:rsidRPr="0023775C">
          <w:rPr>
            <w:rStyle w:val="Hyperlink"/>
            <w:rFonts w:ascii="Times New Roman" w:hAnsi="Times New Roman"/>
          </w:rPr>
          <w:t>5.4.</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21.00 – Piaci kockázat: Az értékpapírosítások egyedi kockázatának sztenderd módszere (MKR SA SEC)</w:t>
        </w:r>
        <w:r>
          <w:rPr>
            <w:webHidden/>
          </w:rPr>
          <w:tab/>
        </w:r>
        <w:r>
          <w:rPr>
            <w:webHidden/>
          </w:rPr>
          <w:fldChar w:fldCharType="begin"/>
        </w:r>
        <w:r>
          <w:rPr>
            <w:webHidden/>
          </w:rPr>
          <w:instrText xml:space="preserve"> PAGEREF _Toc31018839 \h </w:instrText>
        </w:r>
        <w:r>
          <w:rPr>
            <w:webHidden/>
          </w:rPr>
        </w:r>
        <w:r>
          <w:rPr>
            <w:webHidden/>
          </w:rPr>
          <w:fldChar w:fldCharType="separate"/>
        </w:r>
        <w:r>
          <w:rPr>
            <w:webHidden/>
          </w:rPr>
          <w:t>184</w:t>
        </w:r>
        <w:r>
          <w:rPr>
            <w:webHidden/>
          </w:rPr>
          <w:fldChar w:fldCharType="end"/>
        </w:r>
      </w:hyperlink>
    </w:p>
    <w:p w14:paraId="45A9AC07" w14:textId="09EAFFE2" w:rsidR="00470C90" w:rsidRDefault="00470C90">
      <w:pPr>
        <w:pStyle w:val="TOC2"/>
        <w:rPr>
          <w:rFonts w:asciiTheme="minorHAnsi" w:eastAsiaTheme="minorEastAsia" w:hAnsiTheme="minorHAnsi" w:cstheme="minorBidi"/>
          <w:b w:val="0"/>
          <w:smallCaps w:val="0"/>
          <w:sz w:val="22"/>
          <w:lang w:val="en-US"/>
        </w:rPr>
      </w:pPr>
      <w:hyperlink w:anchor="_Toc31018840" w:history="1">
        <w:r w:rsidRPr="0023775C">
          <w:rPr>
            <w:rStyle w:val="Hyperlink"/>
            <w:rFonts w:ascii="Times New Roman" w:hAnsi="Times New Roman"/>
          </w:rPr>
          <w:t>5.4.1.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_Toc31018840 \h </w:instrText>
        </w:r>
        <w:r>
          <w:rPr>
            <w:webHidden/>
          </w:rPr>
        </w:r>
        <w:r>
          <w:rPr>
            <w:webHidden/>
          </w:rPr>
          <w:fldChar w:fldCharType="separate"/>
        </w:r>
        <w:r>
          <w:rPr>
            <w:webHidden/>
          </w:rPr>
          <w:t>184</w:t>
        </w:r>
        <w:r>
          <w:rPr>
            <w:webHidden/>
          </w:rPr>
          <w:fldChar w:fldCharType="end"/>
        </w:r>
      </w:hyperlink>
    </w:p>
    <w:p w14:paraId="193961C9" w14:textId="26C63558" w:rsidR="00470C90" w:rsidRDefault="00470C90">
      <w:pPr>
        <w:pStyle w:val="TOC2"/>
        <w:rPr>
          <w:rFonts w:asciiTheme="minorHAnsi" w:eastAsiaTheme="minorEastAsia" w:hAnsiTheme="minorHAnsi" w:cstheme="minorBidi"/>
          <w:b w:val="0"/>
          <w:smallCaps w:val="0"/>
          <w:sz w:val="22"/>
          <w:lang w:val="en-US"/>
        </w:rPr>
      </w:pPr>
      <w:hyperlink w:anchor="_Toc31018841" w:history="1">
        <w:r w:rsidRPr="0023775C">
          <w:rPr>
            <w:rStyle w:val="Hyperlink"/>
            <w:rFonts w:ascii="Times New Roman" w:hAnsi="Times New Roman"/>
          </w:rPr>
          <w:t>5.4.2.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_Toc31018841 \h </w:instrText>
        </w:r>
        <w:r>
          <w:rPr>
            <w:webHidden/>
          </w:rPr>
        </w:r>
        <w:r>
          <w:rPr>
            <w:webHidden/>
          </w:rPr>
          <w:fldChar w:fldCharType="separate"/>
        </w:r>
        <w:r>
          <w:rPr>
            <w:webHidden/>
          </w:rPr>
          <w:t>185</w:t>
        </w:r>
        <w:r>
          <w:rPr>
            <w:webHidden/>
          </w:rPr>
          <w:fldChar w:fldCharType="end"/>
        </w:r>
      </w:hyperlink>
    </w:p>
    <w:p w14:paraId="49691C4F" w14:textId="15184742" w:rsidR="00470C90" w:rsidRDefault="00470C90">
      <w:pPr>
        <w:pStyle w:val="TOC2"/>
        <w:rPr>
          <w:rFonts w:asciiTheme="minorHAnsi" w:eastAsiaTheme="minorEastAsia" w:hAnsiTheme="minorHAnsi" w:cstheme="minorBidi"/>
          <w:b w:val="0"/>
          <w:smallCaps w:val="0"/>
          <w:sz w:val="22"/>
          <w:lang w:val="en-US"/>
        </w:rPr>
      </w:pPr>
      <w:hyperlink w:anchor="_Toc31018842" w:history="1">
        <w:r w:rsidRPr="0023775C">
          <w:rPr>
            <w:rStyle w:val="Hyperlink"/>
            <w:rFonts w:ascii="Times New Roman" w:hAnsi="Times New Roman"/>
          </w:rPr>
          <w:t>5.5.</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22.00 – Piaci kockázat: a devizaárfolyam-kockázat sztenderd módszerei (MKR SA FX)</w:t>
        </w:r>
        <w:r>
          <w:rPr>
            <w:webHidden/>
          </w:rPr>
          <w:tab/>
        </w:r>
        <w:r>
          <w:rPr>
            <w:webHidden/>
          </w:rPr>
          <w:fldChar w:fldCharType="begin"/>
        </w:r>
        <w:r>
          <w:rPr>
            <w:webHidden/>
          </w:rPr>
          <w:instrText xml:space="preserve"> PAGEREF _Toc31018842 \h </w:instrText>
        </w:r>
        <w:r>
          <w:rPr>
            <w:webHidden/>
          </w:rPr>
        </w:r>
        <w:r>
          <w:rPr>
            <w:webHidden/>
          </w:rPr>
          <w:fldChar w:fldCharType="separate"/>
        </w:r>
        <w:r>
          <w:rPr>
            <w:webHidden/>
          </w:rPr>
          <w:t>187</w:t>
        </w:r>
        <w:r>
          <w:rPr>
            <w:webHidden/>
          </w:rPr>
          <w:fldChar w:fldCharType="end"/>
        </w:r>
      </w:hyperlink>
    </w:p>
    <w:p w14:paraId="606FD6B1" w14:textId="428E2F46" w:rsidR="00470C90" w:rsidRDefault="00470C90">
      <w:pPr>
        <w:pStyle w:val="TOC2"/>
        <w:rPr>
          <w:rFonts w:asciiTheme="minorHAnsi" w:eastAsiaTheme="minorEastAsia" w:hAnsiTheme="minorHAnsi" w:cstheme="minorBidi"/>
          <w:b w:val="0"/>
          <w:smallCaps w:val="0"/>
          <w:sz w:val="22"/>
          <w:lang w:val="en-US"/>
        </w:rPr>
      </w:pPr>
      <w:hyperlink w:anchor="_Toc31018843" w:history="1">
        <w:r w:rsidRPr="0023775C">
          <w:rPr>
            <w:rStyle w:val="Hyperlink"/>
            <w:rFonts w:ascii="Times New Roman" w:hAnsi="Times New Roman"/>
          </w:rPr>
          <w:t>5.5.1.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_Toc31018843 \h </w:instrText>
        </w:r>
        <w:r>
          <w:rPr>
            <w:webHidden/>
          </w:rPr>
        </w:r>
        <w:r>
          <w:rPr>
            <w:webHidden/>
          </w:rPr>
          <w:fldChar w:fldCharType="separate"/>
        </w:r>
        <w:r>
          <w:rPr>
            <w:webHidden/>
          </w:rPr>
          <w:t>187</w:t>
        </w:r>
        <w:r>
          <w:rPr>
            <w:webHidden/>
          </w:rPr>
          <w:fldChar w:fldCharType="end"/>
        </w:r>
      </w:hyperlink>
    </w:p>
    <w:p w14:paraId="3D8C35E4" w14:textId="0CC3E4BB" w:rsidR="00470C90" w:rsidRDefault="00470C90">
      <w:pPr>
        <w:pStyle w:val="TOC2"/>
        <w:rPr>
          <w:rFonts w:asciiTheme="minorHAnsi" w:eastAsiaTheme="minorEastAsia" w:hAnsiTheme="minorHAnsi" w:cstheme="minorBidi"/>
          <w:b w:val="0"/>
          <w:smallCaps w:val="0"/>
          <w:sz w:val="22"/>
          <w:lang w:val="en-US"/>
        </w:rPr>
      </w:pPr>
      <w:hyperlink w:anchor="_Toc31018844" w:history="1">
        <w:r w:rsidRPr="0023775C">
          <w:rPr>
            <w:rStyle w:val="Hyperlink"/>
            <w:rFonts w:ascii="Times New Roman" w:hAnsi="Times New Roman"/>
          </w:rPr>
          <w:t>5.5.2.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_Toc31018844 \h </w:instrText>
        </w:r>
        <w:r>
          <w:rPr>
            <w:webHidden/>
          </w:rPr>
        </w:r>
        <w:r>
          <w:rPr>
            <w:webHidden/>
          </w:rPr>
          <w:fldChar w:fldCharType="separate"/>
        </w:r>
        <w:r>
          <w:rPr>
            <w:webHidden/>
          </w:rPr>
          <w:t>187</w:t>
        </w:r>
        <w:r>
          <w:rPr>
            <w:webHidden/>
          </w:rPr>
          <w:fldChar w:fldCharType="end"/>
        </w:r>
      </w:hyperlink>
    </w:p>
    <w:p w14:paraId="46FC53C1" w14:textId="53FF7216" w:rsidR="00470C90" w:rsidRDefault="00470C90">
      <w:pPr>
        <w:pStyle w:val="TOC2"/>
        <w:rPr>
          <w:rFonts w:asciiTheme="minorHAnsi" w:eastAsiaTheme="minorEastAsia" w:hAnsiTheme="minorHAnsi" w:cstheme="minorBidi"/>
          <w:b w:val="0"/>
          <w:smallCaps w:val="0"/>
          <w:sz w:val="22"/>
          <w:lang w:val="en-US"/>
        </w:rPr>
      </w:pPr>
      <w:hyperlink w:anchor="_Toc31018845" w:history="1">
        <w:r w:rsidRPr="0023775C">
          <w:rPr>
            <w:rStyle w:val="Hyperlink"/>
            <w:rFonts w:ascii="Times New Roman" w:hAnsi="Times New Roman"/>
          </w:rPr>
          <w:t>5.6.</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23.00 – Piaci kockázat: Az árupozíciók sztenderd módszerei (MKR SA COM)</w:t>
        </w:r>
        <w:r>
          <w:rPr>
            <w:webHidden/>
          </w:rPr>
          <w:tab/>
        </w:r>
        <w:r>
          <w:rPr>
            <w:webHidden/>
          </w:rPr>
          <w:fldChar w:fldCharType="begin"/>
        </w:r>
        <w:r>
          <w:rPr>
            <w:webHidden/>
          </w:rPr>
          <w:instrText xml:space="preserve"> PAGEREF _Toc31018845 \h </w:instrText>
        </w:r>
        <w:r>
          <w:rPr>
            <w:webHidden/>
          </w:rPr>
        </w:r>
        <w:r>
          <w:rPr>
            <w:webHidden/>
          </w:rPr>
          <w:fldChar w:fldCharType="separate"/>
        </w:r>
        <w:r>
          <w:rPr>
            <w:webHidden/>
          </w:rPr>
          <w:t>190</w:t>
        </w:r>
        <w:r>
          <w:rPr>
            <w:webHidden/>
          </w:rPr>
          <w:fldChar w:fldCharType="end"/>
        </w:r>
      </w:hyperlink>
    </w:p>
    <w:p w14:paraId="5925EA7A" w14:textId="28145BA3" w:rsidR="00470C90" w:rsidRDefault="00470C90">
      <w:pPr>
        <w:pStyle w:val="TOC2"/>
        <w:rPr>
          <w:rFonts w:asciiTheme="minorHAnsi" w:eastAsiaTheme="minorEastAsia" w:hAnsiTheme="minorHAnsi" w:cstheme="minorBidi"/>
          <w:b w:val="0"/>
          <w:smallCaps w:val="0"/>
          <w:sz w:val="22"/>
          <w:lang w:val="en-US"/>
        </w:rPr>
      </w:pPr>
      <w:hyperlink w:anchor="_Toc31018846" w:history="1">
        <w:r w:rsidRPr="0023775C">
          <w:rPr>
            <w:rStyle w:val="Hyperlink"/>
            <w:rFonts w:ascii="Times New Roman" w:hAnsi="Times New Roman"/>
          </w:rPr>
          <w:t>5.6.1.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_Toc31018846 \h </w:instrText>
        </w:r>
        <w:r>
          <w:rPr>
            <w:webHidden/>
          </w:rPr>
        </w:r>
        <w:r>
          <w:rPr>
            <w:webHidden/>
          </w:rPr>
          <w:fldChar w:fldCharType="separate"/>
        </w:r>
        <w:r>
          <w:rPr>
            <w:webHidden/>
          </w:rPr>
          <w:t>190</w:t>
        </w:r>
        <w:r>
          <w:rPr>
            <w:webHidden/>
          </w:rPr>
          <w:fldChar w:fldCharType="end"/>
        </w:r>
      </w:hyperlink>
    </w:p>
    <w:p w14:paraId="1EA14295" w14:textId="204830A6" w:rsidR="00470C90" w:rsidRDefault="00470C90">
      <w:pPr>
        <w:pStyle w:val="TOC2"/>
        <w:rPr>
          <w:rFonts w:asciiTheme="minorHAnsi" w:eastAsiaTheme="minorEastAsia" w:hAnsiTheme="minorHAnsi" w:cstheme="minorBidi"/>
          <w:b w:val="0"/>
          <w:smallCaps w:val="0"/>
          <w:sz w:val="22"/>
          <w:lang w:val="en-US"/>
        </w:rPr>
      </w:pPr>
      <w:hyperlink w:anchor="_Toc31018847" w:history="1">
        <w:r w:rsidRPr="0023775C">
          <w:rPr>
            <w:rStyle w:val="Hyperlink"/>
            <w:rFonts w:ascii="Times New Roman" w:hAnsi="Times New Roman"/>
          </w:rPr>
          <w:t>5.6.2.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_Toc31018847 \h </w:instrText>
        </w:r>
        <w:r>
          <w:rPr>
            <w:webHidden/>
          </w:rPr>
        </w:r>
        <w:r>
          <w:rPr>
            <w:webHidden/>
          </w:rPr>
          <w:fldChar w:fldCharType="separate"/>
        </w:r>
        <w:r>
          <w:rPr>
            <w:webHidden/>
          </w:rPr>
          <w:t>190</w:t>
        </w:r>
        <w:r>
          <w:rPr>
            <w:webHidden/>
          </w:rPr>
          <w:fldChar w:fldCharType="end"/>
        </w:r>
      </w:hyperlink>
    </w:p>
    <w:p w14:paraId="2B841610" w14:textId="5FCABDCE" w:rsidR="00470C90" w:rsidRDefault="00470C90">
      <w:pPr>
        <w:pStyle w:val="TOC2"/>
        <w:rPr>
          <w:rFonts w:asciiTheme="minorHAnsi" w:eastAsiaTheme="minorEastAsia" w:hAnsiTheme="minorHAnsi" w:cstheme="minorBidi"/>
          <w:b w:val="0"/>
          <w:smallCaps w:val="0"/>
          <w:sz w:val="22"/>
          <w:lang w:val="en-US"/>
        </w:rPr>
      </w:pPr>
      <w:hyperlink w:anchor="_Toc31018848" w:history="1">
        <w:r w:rsidRPr="0023775C">
          <w:rPr>
            <w:rStyle w:val="Hyperlink"/>
            <w:rFonts w:ascii="Times New Roman" w:hAnsi="Times New Roman"/>
          </w:rPr>
          <w:t>5.7.</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24.00 – Piaci kockázat: Belső modellek (MKR IM)</w:t>
        </w:r>
        <w:r>
          <w:rPr>
            <w:webHidden/>
          </w:rPr>
          <w:tab/>
        </w:r>
        <w:r>
          <w:rPr>
            <w:webHidden/>
          </w:rPr>
          <w:fldChar w:fldCharType="begin"/>
        </w:r>
        <w:r>
          <w:rPr>
            <w:webHidden/>
          </w:rPr>
          <w:instrText xml:space="preserve"> PAGEREF _Toc31018848 \h </w:instrText>
        </w:r>
        <w:r>
          <w:rPr>
            <w:webHidden/>
          </w:rPr>
        </w:r>
        <w:r>
          <w:rPr>
            <w:webHidden/>
          </w:rPr>
          <w:fldChar w:fldCharType="separate"/>
        </w:r>
        <w:r>
          <w:rPr>
            <w:webHidden/>
          </w:rPr>
          <w:t>192</w:t>
        </w:r>
        <w:r>
          <w:rPr>
            <w:webHidden/>
          </w:rPr>
          <w:fldChar w:fldCharType="end"/>
        </w:r>
      </w:hyperlink>
    </w:p>
    <w:p w14:paraId="054F25AE" w14:textId="5A4E1F60" w:rsidR="00470C90" w:rsidRDefault="00470C90">
      <w:pPr>
        <w:pStyle w:val="TOC2"/>
        <w:rPr>
          <w:rFonts w:asciiTheme="minorHAnsi" w:eastAsiaTheme="minorEastAsia" w:hAnsiTheme="minorHAnsi" w:cstheme="minorBidi"/>
          <w:b w:val="0"/>
          <w:smallCaps w:val="0"/>
          <w:sz w:val="22"/>
          <w:lang w:val="en-US"/>
        </w:rPr>
      </w:pPr>
      <w:hyperlink w:anchor="_Toc31018849" w:history="1">
        <w:r w:rsidRPr="0023775C">
          <w:rPr>
            <w:rStyle w:val="Hyperlink"/>
            <w:rFonts w:ascii="Times New Roman" w:hAnsi="Times New Roman"/>
          </w:rPr>
          <w:t>5.7.1.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_Toc31018849 \h </w:instrText>
        </w:r>
        <w:r>
          <w:rPr>
            <w:webHidden/>
          </w:rPr>
        </w:r>
        <w:r>
          <w:rPr>
            <w:webHidden/>
          </w:rPr>
          <w:fldChar w:fldCharType="separate"/>
        </w:r>
        <w:r>
          <w:rPr>
            <w:webHidden/>
          </w:rPr>
          <w:t>192</w:t>
        </w:r>
        <w:r>
          <w:rPr>
            <w:webHidden/>
          </w:rPr>
          <w:fldChar w:fldCharType="end"/>
        </w:r>
      </w:hyperlink>
    </w:p>
    <w:p w14:paraId="48652AB9" w14:textId="3FC90360" w:rsidR="00470C90" w:rsidRDefault="00470C90">
      <w:pPr>
        <w:pStyle w:val="TOC2"/>
        <w:rPr>
          <w:rFonts w:asciiTheme="minorHAnsi" w:eastAsiaTheme="minorEastAsia" w:hAnsiTheme="minorHAnsi" w:cstheme="minorBidi"/>
          <w:b w:val="0"/>
          <w:smallCaps w:val="0"/>
          <w:sz w:val="22"/>
          <w:lang w:val="en-US"/>
        </w:rPr>
      </w:pPr>
      <w:hyperlink w:anchor="_Toc31018850" w:history="1">
        <w:r w:rsidRPr="0023775C">
          <w:rPr>
            <w:rStyle w:val="Hyperlink"/>
            <w:rFonts w:ascii="Times New Roman" w:hAnsi="Times New Roman"/>
          </w:rPr>
          <w:t>5.7.2.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_Toc31018850 \h </w:instrText>
        </w:r>
        <w:r>
          <w:rPr>
            <w:webHidden/>
          </w:rPr>
        </w:r>
        <w:r>
          <w:rPr>
            <w:webHidden/>
          </w:rPr>
          <w:fldChar w:fldCharType="separate"/>
        </w:r>
        <w:r>
          <w:rPr>
            <w:webHidden/>
          </w:rPr>
          <w:t>192</w:t>
        </w:r>
        <w:r>
          <w:rPr>
            <w:webHidden/>
          </w:rPr>
          <w:fldChar w:fldCharType="end"/>
        </w:r>
      </w:hyperlink>
    </w:p>
    <w:p w14:paraId="6C24E2FB" w14:textId="028A4020" w:rsidR="00470C90" w:rsidRDefault="00470C90">
      <w:pPr>
        <w:pStyle w:val="TOC2"/>
        <w:rPr>
          <w:rFonts w:asciiTheme="minorHAnsi" w:eastAsiaTheme="minorEastAsia" w:hAnsiTheme="minorHAnsi" w:cstheme="minorBidi"/>
          <w:b w:val="0"/>
          <w:smallCaps w:val="0"/>
          <w:sz w:val="22"/>
          <w:lang w:val="en-US"/>
        </w:rPr>
      </w:pPr>
      <w:hyperlink w:anchor="_Toc31018851" w:history="1">
        <w:r w:rsidRPr="0023775C">
          <w:rPr>
            <w:rStyle w:val="Hyperlink"/>
            <w:rFonts w:ascii="Times New Roman" w:hAnsi="Times New Roman"/>
          </w:rPr>
          <w:t>5.8.</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25.00 – HITELÉRTÉKELÉSI KORREKCIÓK KOCKÁZATA (CVA)</w:t>
        </w:r>
        <w:r>
          <w:rPr>
            <w:webHidden/>
          </w:rPr>
          <w:tab/>
        </w:r>
        <w:r>
          <w:rPr>
            <w:webHidden/>
          </w:rPr>
          <w:fldChar w:fldCharType="begin"/>
        </w:r>
        <w:r>
          <w:rPr>
            <w:webHidden/>
          </w:rPr>
          <w:instrText xml:space="preserve"> PAGEREF _Toc31018851 \h </w:instrText>
        </w:r>
        <w:r>
          <w:rPr>
            <w:webHidden/>
          </w:rPr>
        </w:r>
        <w:r>
          <w:rPr>
            <w:webHidden/>
          </w:rPr>
          <w:fldChar w:fldCharType="separate"/>
        </w:r>
        <w:r>
          <w:rPr>
            <w:webHidden/>
          </w:rPr>
          <w:t>195</w:t>
        </w:r>
        <w:r>
          <w:rPr>
            <w:webHidden/>
          </w:rPr>
          <w:fldChar w:fldCharType="end"/>
        </w:r>
      </w:hyperlink>
    </w:p>
    <w:p w14:paraId="5E24A6FA" w14:textId="3D275258" w:rsidR="00470C90" w:rsidRDefault="00470C90">
      <w:pPr>
        <w:pStyle w:val="TOC2"/>
        <w:rPr>
          <w:rFonts w:asciiTheme="minorHAnsi" w:eastAsiaTheme="minorEastAsia" w:hAnsiTheme="minorHAnsi" w:cstheme="minorBidi"/>
          <w:b w:val="0"/>
          <w:smallCaps w:val="0"/>
          <w:sz w:val="22"/>
          <w:lang w:val="en-US"/>
        </w:rPr>
      </w:pPr>
      <w:hyperlink w:anchor="_Toc31018852" w:history="1">
        <w:r w:rsidRPr="0023775C">
          <w:rPr>
            <w:rStyle w:val="Hyperlink"/>
            <w:rFonts w:ascii="Times New Roman" w:hAnsi="Times New Roman"/>
          </w:rPr>
          <w:t>5.8.1.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_Toc31018852 \h </w:instrText>
        </w:r>
        <w:r>
          <w:rPr>
            <w:webHidden/>
          </w:rPr>
        </w:r>
        <w:r>
          <w:rPr>
            <w:webHidden/>
          </w:rPr>
          <w:fldChar w:fldCharType="separate"/>
        </w:r>
        <w:r>
          <w:rPr>
            <w:webHidden/>
          </w:rPr>
          <w:t>195</w:t>
        </w:r>
        <w:r>
          <w:rPr>
            <w:webHidden/>
          </w:rPr>
          <w:fldChar w:fldCharType="end"/>
        </w:r>
      </w:hyperlink>
    </w:p>
    <w:p w14:paraId="3F269EF6" w14:textId="21EA29B7" w:rsidR="00470C90" w:rsidRDefault="00470C90">
      <w:pPr>
        <w:pStyle w:val="TOC2"/>
        <w:rPr>
          <w:rFonts w:asciiTheme="minorHAnsi" w:eastAsiaTheme="minorEastAsia" w:hAnsiTheme="minorHAnsi" w:cstheme="minorBidi"/>
          <w:b w:val="0"/>
          <w:smallCaps w:val="0"/>
          <w:sz w:val="22"/>
          <w:lang w:val="en-US"/>
        </w:rPr>
      </w:pPr>
      <w:hyperlink w:anchor="_Toc31018853" w:history="1">
        <w:r w:rsidRPr="0023775C">
          <w:rPr>
            <w:rStyle w:val="Hyperlink"/>
            <w:rFonts w:ascii="Times New Roman" w:hAnsi="Times New Roman"/>
          </w:rPr>
          <w:t>6.</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Prudens értékelés (PruVal)</w:t>
        </w:r>
        <w:r>
          <w:rPr>
            <w:webHidden/>
          </w:rPr>
          <w:tab/>
        </w:r>
        <w:r>
          <w:rPr>
            <w:webHidden/>
          </w:rPr>
          <w:fldChar w:fldCharType="begin"/>
        </w:r>
        <w:r>
          <w:rPr>
            <w:webHidden/>
          </w:rPr>
          <w:instrText xml:space="preserve"> PAGEREF _Toc31018853 \h </w:instrText>
        </w:r>
        <w:r>
          <w:rPr>
            <w:webHidden/>
          </w:rPr>
        </w:r>
        <w:r>
          <w:rPr>
            <w:webHidden/>
          </w:rPr>
          <w:fldChar w:fldCharType="separate"/>
        </w:r>
        <w:r>
          <w:rPr>
            <w:webHidden/>
          </w:rPr>
          <w:t>198</w:t>
        </w:r>
        <w:r>
          <w:rPr>
            <w:webHidden/>
          </w:rPr>
          <w:fldChar w:fldCharType="end"/>
        </w:r>
      </w:hyperlink>
    </w:p>
    <w:p w14:paraId="47AD0A8D" w14:textId="76D5A5E9" w:rsidR="00470C90" w:rsidRDefault="00470C90">
      <w:pPr>
        <w:pStyle w:val="TOC2"/>
        <w:rPr>
          <w:rFonts w:asciiTheme="minorHAnsi" w:eastAsiaTheme="minorEastAsia" w:hAnsiTheme="minorHAnsi" w:cstheme="minorBidi"/>
          <w:b w:val="0"/>
          <w:smallCaps w:val="0"/>
          <w:sz w:val="22"/>
          <w:lang w:val="en-US"/>
        </w:rPr>
      </w:pPr>
      <w:hyperlink w:anchor="_Toc31018854" w:history="1">
        <w:r w:rsidRPr="0023775C">
          <w:rPr>
            <w:rStyle w:val="Hyperlink"/>
            <w:rFonts w:ascii="Times New Roman" w:hAnsi="Times New Roman"/>
          </w:rPr>
          <w:t>6,1.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32.01 – Prudens értékelés: Valós értéken értékelt eszközök és kötelezettségek (PruVal 1)</w:t>
        </w:r>
        <w:r>
          <w:rPr>
            <w:webHidden/>
          </w:rPr>
          <w:tab/>
        </w:r>
        <w:r>
          <w:rPr>
            <w:webHidden/>
          </w:rPr>
          <w:fldChar w:fldCharType="begin"/>
        </w:r>
        <w:r>
          <w:rPr>
            <w:webHidden/>
          </w:rPr>
          <w:instrText xml:space="preserve"> PAGEREF _Toc31018854 \h </w:instrText>
        </w:r>
        <w:r>
          <w:rPr>
            <w:webHidden/>
          </w:rPr>
        </w:r>
        <w:r>
          <w:rPr>
            <w:webHidden/>
          </w:rPr>
          <w:fldChar w:fldCharType="separate"/>
        </w:r>
        <w:r>
          <w:rPr>
            <w:webHidden/>
          </w:rPr>
          <w:t>198</w:t>
        </w:r>
        <w:r>
          <w:rPr>
            <w:webHidden/>
          </w:rPr>
          <w:fldChar w:fldCharType="end"/>
        </w:r>
      </w:hyperlink>
    </w:p>
    <w:p w14:paraId="547A8C21" w14:textId="0DC2F45C" w:rsidR="00470C90" w:rsidRDefault="00470C90">
      <w:pPr>
        <w:pStyle w:val="TOC2"/>
        <w:rPr>
          <w:rFonts w:asciiTheme="minorHAnsi" w:eastAsiaTheme="minorEastAsia" w:hAnsiTheme="minorHAnsi" w:cstheme="minorBidi"/>
          <w:b w:val="0"/>
          <w:smallCaps w:val="0"/>
          <w:sz w:val="22"/>
          <w:lang w:val="en-US"/>
        </w:rPr>
      </w:pPr>
      <w:hyperlink w:anchor="_Toc31018855" w:history="1">
        <w:r w:rsidRPr="0023775C">
          <w:rPr>
            <w:rStyle w:val="Hyperlink"/>
            <w:rFonts w:ascii="Times New Roman" w:hAnsi="Times New Roman"/>
          </w:rPr>
          <w:t>6.1.1.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_Toc31018855 \h </w:instrText>
        </w:r>
        <w:r>
          <w:rPr>
            <w:webHidden/>
          </w:rPr>
        </w:r>
        <w:r>
          <w:rPr>
            <w:webHidden/>
          </w:rPr>
          <w:fldChar w:fldCharType="separate"/>
        </w:r>
        <w:r>
          <w:rPr>
            <w:webHidden/>
          </w:rPr>
          <w:t>198</w:t>
        </w:r>
        <w:r>
          <w:rPr>
            <w:webHidden/>
          </w:rPr>
          <w:fldChar w:fldCharType="end"/>
        </w:r>
      </w:hyperlink>
    </w:p>
    <w:p w14:paraId="7C5E9DB5" w14:textId="336153FF" w:rsidR="00470C90" w:rsidRDefault="00470C90">
      <w:pPr>
        <w:pStyle w:val="TOC2"/>
        <w:rPr>
          <w:rFonts w:asciiTheme="minorHAnsi" w:eastAsiaTheme="minorEastAsia" w:hAnsiTheme="minorHAnsi" w:cstheme="minorBidi"/>
          <w:b w:val="0"/>
          <w:smallCaps w:val="0"/>
          <w:sz w:val="22"/>
          <w:lang w:val="en-US"/>
        </w:rPr>
      </w:pPr>
      <w:hyperlink w:anchor="_Toc31018856" w:history="1">
        <w:r w:rsidRPr="0023775C">
          <w:rPr>
            <w:rStyle w:val="Hyperlink"/>
            <w:rFonts w:ascii="Times New Roman" w:hAnsi="Times New Roman"/>
          </w:rPr>
          <w:t>6.1.2.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_Toc31018856 \h </w:instrText>
        </w:r>
        <w:r>
          <w:rPr>
            <w:webHidden/>
          </w:rPr>
        </w:r>
        <w:r>
          <w:rPr>
            <w:webHidden/>
          </w:rPr>
          <w:fldChar w:fldCharType="separate"/>
        </w:r>
        <w:r>
          <w:rPr>
            <w:webHidden/>
          </w:rPr>
          <w:t>198</w:t>
        </w:r>
        <w:r>
          <w:rPr>
            <w:webHidden/>
          </w:rPr>
          <w:fldChar w:fldCharType="end"/>
        </w:r>
      </w:hyperlink>
    </w:p>
    <w:p w14:paraId="54D53325" w14:textId="5D6837EA" w:rsidR="00470C90" w:rsidRDefault="00470C90">
      <w:pPr>
        <w:pStyle w:val="TOC2"/>
        <w:rPr>
          <w:rFonts w:asciiTheme="minorHAnsi" w:eastAsiaTheme="minorEastAsia" w:hAnsiTheme="minorHAnsi" w:cstheme="minorBidi"/>
          <w:b w:val="0"/>
          <w:smallCaps w:val="0"/>
          <w:sz w:val="22"/>
          <w:lang w:val="en-US"/>
        </w:rPr>
      </w:pPr>
      <w:hyperlink w:anchor="_Toc31018857" w:history="1">
        <w:r w:rsidRPr="0023775C">
          <w:rPr>
            <w:rStyle w:val="Hyperlink"/>
            <w:rFonts w:ascii="Times New Roman" w:hAnsi="Times New Roman"/>
          </w:rPr>
          <w:t>6.2.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32.02 – Prudens értékelés: Alapvető módszer (PruVal 2)</w:t>
        </w:r>
        <w:r>
          <w:rPr>
            <w:webHidden/>
          </w:rPr>
          <w:tab/>
        </w:r>
        <w:r>
          <w:rPr>
            <w:webHidden/>
          </w:rPr>
          <w:fldChar w:fldCharType="begin"/>
        </w:r>
        <w:r>
          <w:rPr>
            <w:webHidden/>
          </w:rPr>
          <w:instrText xml:space="preserve"> PAGEREF _Toc31018857 \h </w:instrText>
        </w:r>
        <w:r>
          <w:rPr>
            <w:webHidden/>
          </w:rPr>
        </w:r>
        <w:r>
          <w:rPr>
            <w:webHidden/>
          </w:rPr>
          <w:fldChar w:fldCharType="separate"/>
        </w:r>
        <w:r>
          <w:rPr>
            <w:webHidden/>
          </w:rPr>
          <w:t>203</w:t>
        </w:r>
        <w:r>
          <w:rPr>
            <w:webHidden/>
          </w:rPr>
          <w:fldChar w:fldCharType="end"/>
        </w:r>
      </w:hyperlink>
    </w:p>
    <w:p w14:paraId="1217FF2A" w14:textId="1912779A" w:rsidR="00470C90" w:rsidRDefault="00470C90">
      <w:pPr>
        <w:pStyle w:val="TOC2"/>
        <w:rPr>
          <w:rFonts w:asciiTheme="minorHAnsi" w:eastAsiaTheme="minorEastAsia" w:hAnsiTheme="minorHAnsi" w:cstheme="minorBidi"/>
          <w:b w:val="0"/>
          <w:smallCaps w:val="0"/>
          <w:sz w:val="22"/>
          <w:lang w:val="en-US"/>
        </w:rPr>
      </w:pPr>
      <w:hyperlink w:anchor="_Toc31018858" w:history="1">
        <w:r w:rsidRPr="0023775C">
          <w:rPr>
            <w:rStyle w:val="Hyperlink"/>
            <w:rFonts w:ascii="Times New Roman" w:hAnsi="Times New Roman"/>
          </w:rPr>
          <w:t>6.2.1.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_Toc31018858 \h </w:instrText>
        </w:r>
        <w:r>
          <w:rPr>
            <w:webHidden/>
          </w:rPr>
        </w:r>
        <w:r>
          <w:rPr>
            <w:webHidden/>
          </w:rPr>
          <w:fldChar w:fldCharType="separate"/>
        </w:r>
        <w:r>
          <w:rPr>
            <w:webHidden/>
          </w:rPr>
          <w:t>203</w:t>
        </w:r>
        <w:r>
          <w:rPr>
            <w:webHidden/>
          </w:rPr>
          <w:fldChar w:fldCharType="end"/>
        </w:r>
      </w:hyperlink>
    </w:p>
    <w:p w14:paraId="3DA4B73D" w14:textId="1277B28A" w:rsidR="00470C90" w:rsidRDefault="00470C90">
      <w:pPr>
        <w:pStyle w:val="TOC2"/>
        <w:rPr>
          <w:rFonts w:asciiTheme="minorHAnsi" w:eastAsiaTheme="minorEastAsia" w:hAnsiTheme="minorHAnsi" w:cstheme="minorBidi"/>
          <w:b w:val="0"/>
          <w:smallCaps w:val="0"/>
          <w:sz w:val="22"/>
          <w:lang w:val="en-US"/>
        </w:rPr>
      </w:pPr>
      <w:hyperlink w:anchor="_Toc31018859" w:history="1">
        <w:r w:rsidRPr="0023775C">
          <w:rPr>
            <w:rStyle w:val="Hyperlink"/>
            <w:rFonts w:ascii="Times New Roman" w:hAnsi="Times New Roman"/>
          </w:rPr>
          <w:t>6.2.2.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_Toc31018859 \h </w:instrText>
        </w:r>
        <w:r>
          <w:rPr>
            <w:webHidden/>
          </w:rPr>
        </w:r>
        <w:r>
          <w:rPr>
            <w:webHidden/>
          </w:rPr>
          <w:fldChar w:fldCharType="separate"/>
        </w:r>
        <w:r>
          <w:rPr>
            <w:webHidden/>
          </w:rPr>
          <w:t>204</w:t>
        </w:r>
        <w:r>
          <w:rPr>
            <w:webHidden/>
          </w:rPr>
          <w:fldChar w:fldCharType="end"/>
        </w:r>
      </w:hyperlink>
    </w:p>
    <w:p w14:paraId="731675D9" w14:textId="3783249A" w:rsidR="00470C90" w:rsidRDefault="00470C90">
      <w:pPr>
        <w:pStyle w:val="TOC2"/>
        <w:rPr>
          <w:rFonts w:asciiTheme="minorHAnsi" w:eastAsiaTheme="minorEastAsia" w:hAnsiTheme="minorHAnsi" w:cstheme="minorBidi"/>
          <w:b w:val="0"/>
          <w:smallCaps w:val="0"/>
          <w:sz w:val="22"/>
          <w:lang w:val="en-US"/>
        </w:rPr>
      </w:pPr>
      <w:hyperlink w:anchor="_Toc31018860" w:history="1">
        <w:r w:rsidRPr="0023775C">
          <w:rPr>
            <w:rStyle w:val="Hyperlink"/>
            <w:rFonts w:ascii="Times New Roman" w:hAnsi="Times New Roman"/>
          </w:rPr>
          <w:t>6.3. C 32.03 – Prudens értékelés: Modellkockázat kiegészítő értékelési korrekciója (PruVal 3)</w:t>
        </w:r>
        <w:r>
          <w:rPr>
            <w:webHidden/>
          </w:rPr>
          <w:tab/>
        </w:r>
        <w:r>
          <w:rPr>
            <w:webHidden/>
          </w:rPr>
          <w:fldChar w:fldCharType="begin"/>
        </w:r>
        <w:r>
          <w:rPr>
            <w:webHidden/>
          </w:rPr>
          <w:instrText xml:space="preserve"> PAGEREF _Toc31018860 \h </w:instrText>
        </w:r>
        <w:r>
          <w:rPr>
            <w:webHidden/>
          </w:rPr>
        </w:r>
        <w:r>
          <w:rPr>
            <w:webHidden/>
          </w:rPr>
          <w:fldChar w:fldCharType="separate"/>
        </w:r>
        <w:r>
          <w:rPr>
            <w:webHidden/>
          </w:rPr>
          <w:t>215</w:t>
        </w:r>
        <w:r>
          <w:rPr>
            <w:webHidden/>
          </w:rPr>
          <w:fldChar w:fldCharType="end"/>
        </w:r>
      </w:hyperlink>
    </w:p>
    <w:p w14:paraId="3FB40C1B" w14:textId="7C003CD8" w:rsidR="00470C90" w:rsidRDefault="00470C90">
      <w:pPr>
        <w:pStyle w:val="TOC2"/>
        <w:rPr>
          <w:rFonts w:asciiTheme="minorHAnsi" w:eastAsiaTheme="minorEastAsia" w:hAnsiTheme="minorHAnsi" w:cstheme="minorBidi"/>
          <w:b w:val="0"/>
          <w:smallCaps w:val="0"/>
          <w:sz w:val="22"/>
          <w:lang w:val="en-US"/>
        </w:rPr>
      </w:pPr>
      <w:hyperlink w:anchor="_Toc31018861" w:history="1">
        <w:r w:rsidRPr="0023775C">
          <w:rPr>
            <w:rStyle w:val="Hyperlink"/>
            <w:rFonts w:ascii="Times New Roman" w:hAnsi="Times New Roman"/>
          </w:rPr>
          <w:t>6.3.1.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_Toc31018861 \h </w:instrText>
        </w:r>
        <w:r>
          <w:rPr>
            <w:webHidden/>
          </w:rPr>
        </w:r>
        <w:r>
          <w:rPr>
            <w:webHidden/>
          </w:rPr>
          <w:fldChar w:fldCharType="separate"/>
        </w:r>
        <w:r>
          <w:rPr>
            <w:webHidden/>
          </w:rPr>
          <w:t>215</w:t>
        </w:r>
        <w:r>
          <w:rPr>
            <w:webHidden/>
          </w:rPr>
          <w:fldChar w:fldCharType="end"/>
        </w:r>
      </w:hyperlink>
    </w:p>
    <w:p w14:paraId="79412E76" w14:textId="56CCB07D" w:rsidR="00470C90" w:rsidRDefault="00470C90">
      <w:pPr>
        <w:pStyle w:val="TOC2"/>
        <w:rPr>
          <w:rFonts w:asciiTheme="minorHAnsi" w:eastAsiaTheme="minorEastAsia" w:hAnsiTheme="minorHAnsi" w:cstheme="minorBidi"/>
          <w:b w:val="0"/>
          <w:smallCaps w:val="0"/>
          <w:sz w:val="22"/>
          <w:lang w:val="en-US"/>
        </w:rPr>
      </w:pPr>
      <w:hyperlink w:anchor="_Toc31018862" w:history="1">
        <w:r w:rsidRPr="0023775C">
          <w:rPr>
            <w:rStyle w:val="Hyperlink"/>
            <w:rFonts w:ascii="Times New Roman" w:hAnsi="Times New Roman"/>
          </w:rPr>
          <w:t>6.3.2.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_Toc31018862 \h </w:instrText>
        </w:r>
        <w:r>
          <w:rPr>
            <w:webHidden/>
          </w:rPr>
        </w:r>
        <w:r>
          <w:rPr>
            <w:webHidden/>
          </w:rPr>
          <w:fldChar w:fldCharType="separate"/>
        </w:r>
        <w:r>
          <w:rPr>
            <w:webHidden/>
          </w:rPr>
          <w:t>215</w:t>
        </w:r>
        <w:r>
          <w:rPr>
            <w:webHidden/>
          </w:rPr>
          <w:fldChar w:fldCharType="end"/>
        </w:r>
      </w:hyperlink>
    </w:p>
    <w:p w14:paraId="54A07015" w14:textId="6FD4A717" w:rsidR="00470C90" w:rsidRDefault="00470C90">
      <w:pPr>
        <w:pStyle w:val="TOC2"/>
        <w:rPr>
          <w:rFonts w:asciiTheme="minorHAnsi" w:eastAsiaTheme="minorEastAsia" w:hAnsiTheme="minorHAnsi" w:cstheme="minorBidi"/>
          <w:b w:val="0"/>
          <w:smallCaps w:val="0"/>
          <w:sz w:val="22"/>
          <w:lang w:val="en-US"/>
        </w:rPr>
      </w:pPr>
      <w:hyperlink w:anchor="_Toc31018863" w:history="1">
        <w:r w:rsidRPr="0023775C">
          <w:rPr>
            <w:rStyle w:val="Hyperlink"/>
            <w:rFonts w:ascii="Times New Roman" w:hAnsi="Times New Roman"/>
          </w:rPr>
          <w:t>6.4 C 32.04 – Prudens értékelés: koncentrált pozíciók kiegészítő értékelési korrekciója (PruVal 4)</w:t>
        </w:r>
        <w:r>
          <w:rPr>
            <w:webHidden/>
          </w:rPr>
          <w:tab/>
        </w:r>
        <w:r>
          <w:rPr>
            <w:webHidden/>
          </w:rPr>
          <w:fldChar w:fldCharType="begin"/>
        </w:r>
        <w:r>
          <w:rPr>
            <w:webHidden/>
          </w:rPr>
          <w:instrText xml:space="preserve"> PAGEREF _Toc31018863 \h </w:instrText>
        </w:r>
        <w:r>
          <w:rPr>
            <w:webHidden/>
          </w:rPr>
        </w:r>
        <w:r>
          <w:rPr>
            <w:webHidden/>
          </w:rPr>
          <w:fldChar w:fldCharType="separate"/>
        </w:r>
        <w:r>
          <w:rPr>
            <w:webHidden/>
          </w:rPr>
          <w:t>218</w:t>
        </w:r>
        <w:r>
          <w:rPr>
            <w:webHidden/>
          </w:rPr>
          <w:fldChar w:fldCharType="end"/>
        </w:r>
      </w:hyperlink>
    </w:p>
    <w:p w14:paraId="29F8C25A" w14:textId="593E6116" w:rsidR="00470C90" w:rsidRDefault="00470C90">
      <w:pPr>
        <w:pStyle w:val="TOC2"/>
        <w:rPr>
          <w:rFonts w:asciiTheme="minorHAnsi" w:eastAsiaTheme="minorEastAsia" w:hAnsiTheme="minorHAnsi" w:cstheme="minorBidi"/>
          <w:b w:val="0"/>
          <w:smallCaps w:val="0"/>
          <w:sz w:val="22"/>
          <w:lang w:val="en-US"/>
        </w:rPr>
      </w:pPr>
      <w:hyperlink w:anchor="_Toc31018864" w:history="1">
        <w:r w:rsidRPr="0023775C">
          <w:rPr>
            <w:rStyle w:val="Hyperlink"/>
            <w:rFonts w:ascii="Times New Roman" w:hAnsi="Times New Roman"/>
          </w:rPr>
          <w:t>6.4.1.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_Toc31018864 \h </w:instrText>
        </w:r>
        <w:r>
          <w:rPr>
            <w:webHidden/>
          </w:rPr>
        </w:r>
        <w:r>
          <w:rPr>
            <w:webHidden/>
          </w:rPr>
          <w:fldChar w:fldCharType="separate"/>
        </w:r>
        <w:r>
          <w:rPr>
            <w:webHidden/>
          </w:rPr>
          <w:t>218</w:t>
        </w:r>
        <w:r>
          <w:rPr>
            <w:webHidden/>
          </w:rPr>
          <w:fldChar w:fldCharType="end"/>
        </w:r>
      </w:hyperlink>
    </w:p>
    <w:p w14:paraId="4744BFAD" w14:textId="329ADF33" w:rsidR="00470C90" w:rsidRDefault="00470C90">
      <w:pPr>
        <w:pStyle w:val="TOC2"/>
        <w:rPr>
          <w:rFonts w:asciiTheme="minorHAnsi" w:eastAsiaTheme="minorEastAsia" w:hAnsiTheme="minorHAnsi" w:cstheme="minorBidi"/>
          <w:b w:val="0"/>
          <w:smallCaps w:val="0"/>
          <w:sz w:val="22"/>
          <w:lang w:val="en-US"/>
        </w:rPr>
      </w:pPr>
      <w:hyperlink w:anchor="_Toc31018865" w:history="1">
        <w:r w:rsidRPr="0023775C">
          <w:rPr>
            <w:rStyle w:val="Hyperlink"/>
            <w:rFonts w:ascii="Times New Roman" w:hAnsi="Times New Roman"/>
          </w:rPr>
          <w:t>6.4.2.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_Toc31018865 \h </w:instrText>
        </w:r>
        <w:r>
          <w:rPr>
            <w:webHidden/>
          </w:rPr>
        </w:r>
        <w:r>
          <w:rPr>
            <w:webHidden/>
          </w:rPr>
          <w:fldChar w:fldCharType="separate"/>
        </w:r>
        <w:r>
          <w:rPr>
            <w:webHidden/>
          </w:rPr>
          <w:t>219</w:t>
        </w:r>
        <w:r>
          <w:rPr>
            <w:webHidden/>
          </w:rPr>
          <w:fldChar w:fldCharType="end"/>
        </w:r>
      </w:hyperlink>
    </w:p>
    <w:p w14:paraId="337A268A" w14:textId="3E81A6BD" w:rsidR="00470C90" w:rsidRDefault="00470C90">
      <w:pPr>
        <w:pStyle w:val="TOC2"/>
        <w:rPr>
          <w:rFonts w:asciiTheme="minorHAnsi" w:eastAsiaTheme="minorEastAsia" w:hAnsiTheme="minorHAnsi" w:cstheme="minorBidi"/>
          <w:b w:val="0"/>
          <w:smallCaps w:val="0"/>
          <w:sz w:val="22"/>
          <w:lang w:val="en-US"/>
        </w:rPr>
      </w:pPr>
      <w:hyperlink w:anchor="_Toc31018866" w:history="1">
        <w:r w:rsidRPr="0023775C">
          <w:rPr>
            <w:rStyle w:val="Hyperlink"/>
            <w:rFonts w:ascii="Times New Roman" w:hAnsi="Times New Roman"/>
          </w:rPr>
          <w:t>7.</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C 33.00 – Államháztartásokkal szembeni kitettségek (GOV)</w:t>
        </w:r>
        <w:r>
          <w:rPr>
            <w:webHidden/>
          </w:rPr>
          <w:tab/>
        </w:r>
        <w:r>
          <w:rPr>
            <w:webHidden/>
          </w:rPr>
          <w:fldChar w:fldCharType="begin"/>
        </w:r>
        <w:r>
          <w:rPr>
            <w:webHidden/>
          </w:rPr>
          <w:instrText xml:space="preserve"> PAGEREF _Toc31018866 \h </w:instrText>
        </w:r>
        <w:r>
          <w:rPr>
            <w:webHidden/>
          </w:rPr>
        </w:r>
        <w:r>
          <w:rPr>
            <w:webHidden/>
          </w:rPr>
          <w:fldChar w:fldCharType="separate"/>
        </w:r>
        <w:r>
          <w:rPr>
            <w:webHidden/>
          </w:rPr>
          <w:t>221</w:t>
        </w:r>
        <w:r>
          <w:rPr>
            <w:webHidden/>
          </w:rPr>
          <w:fldChar w:fldCharType="end"/>
        </w:r>
      </w:hyperlink>
    </w:p>
    <w:p w14:paraId="70255C0A" w14:textId="3FE9B7C9" w:rsidR="00470C90" w:rsidRDefault="00470C90">
      <w:pPr>
        <w:pStyle w:val="TOC2"/>
        <w:rPr>
          <w:rFonts w:asciiTheme="minorHAnsi" w:eastAsiaTheme="minorEastAsia" w:hAnsiTheme="minorHAnsi" w:cstheme="minorBidi"/>
          <w:b w:val="0"/>
          <w:smallCaps w:val="0"/>
          <w:sz w:val="22"/>
          <w:lang w:val="en-US"/>
        </w:rPr>
      </w:pPr>
      <w:hyperlink w:anchor="_Toc31018867" w:history="1">
        <w:r w:rsidRPr="0023775C">
          <w:rPr>
            <w:rStyle w:val="Hyperlink"/>
            <w:rFonts w:ascii="Times New Roman" w:hAnsi="Times New Roman"/>
          </w:rPr>
          <w:t>7.1.</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Általános megjegyzések</w:t>
        </w:r>
        <w:r>
          <w:rPr>
            <w:webHidden/>
          </w:rPr>
          <w:tab/>
        </w:r>
        <w:r>
          <w:rPr>
            <w:webHidden/>
          </w:rPr>
          <w:fldChar w:fldCharType="begin"/>
        </w:r>
        <w:r>
          <w:rPr>
            <w:webHidden/>
          </w:rPr>
          <w:instrText xml:space="preserve"> PAGEREF _Toc31018867 \h </w:instrText>
        </w:r>
        <w:r>
          <w:rPr>
            <w:webHidden/>
          </w:rPr>
        </w:r>
        <w:r>
          <w:rPr>
            <w:webHidden/>
          </w:rPr>
          <w:fldChar w:fldCharType="separate"/>
        </w:r>
        <w:r>
          <w:rPr>
            <w:webHidden/>
          </w:rPr>
          <w:t>221</w:t>
        </w:r>
        <w:r>
          <w:rPr>
            <w:webHidden/>
          </w:rPr>
          <w:fldChar w:fldCharType="end"/>
        </w:r>
      </w:hyperlink>
    </w:p>
    <w:p w14:paraId="6448D8A7" w14:textId="763947AA" w:rsidR="00470C90" w:rsidRDefault="00470C90">
      <w:pPr>
        <w:pStyle w:val="TOC2"/>
        <w:rPr>
          <w:rFonts w:asciiTheme="minorHAnsi" w:eastAsiaTheme="minorEastAsia" w:hAnsiTheme="minorHAnsi" w:cstheme="minorBidi"/>
          <w:b w:val="0"/>
          <w:smallCaps w:val="0"/>
          <w:sz w:val="22"/>
          <w:lang w:val="en-US"/>
        </w:rPr>
      </w:pPr>
      <w:hyperlink w:anchor="_Toc31018868" w:history="1">
        <w:r w:rsidRPr="0023775C">
          <w:rPr>
            <w:rStyle w:val="Hyperlink"/>
            <w:rFonts w:ascii="Times New Roman" w:hAnsi="Times New Roman"/>
          </w:rPr>
          <w:t>7.2.</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Az államháztartásokkal szembeni kitettségek tábla alkalmazási köre</w:t>
        </w:r>
        <w:r>
          <w:rPr>
            <w:webHidden/>
          </w:rPr>
          <w:tab/>
        </w:r>
        <w:r>
          <w:rPr>
            <w:webHidden/>
          </w:rPr>
          <w:fldChar w:fldCharType="begin"/>
        </w:r>
        <w:r>
          <w:rPr>
            <w:webHidden/>
          </w:rPr>
          <w:instrText xml:space="preserve"> PAGEREF _Toc31018868 \h </w:instrText>
        </w:r>
        <w:r>
          <w:rPr>
            <w:webHidden/>
          </w:rPr>
        </w:r>
        <w:r>
          <w:rPr>
            <w:webHidden/>
          </w:rPr>
          <w:fldChar w:fldCharType="separate"/>
        </w:r>
        <w:r>
          <w:rPr>
            <w:webHidden/>
          </w:rPr>
          <w:t>221</w:t>
        </w:r>
        <w:r>
          <w:rPr>
            <w:webHidden/>
          </w:rPr>
          <w:fldChar w:fldCharType="end"/>
        </w:r>
      </w:hyperlink>
    </w:p>
    <w:p w14:paraId="59AC6398" w14:textId="080C01E9" w:rsidR="00470C90" w:rsidRDefault="00470C90">
      <w:pPr>
        <w:pStyle w:val="TOC2"/>
        <w:rPr>
          <w:rFonts w:asciiTheme="minorHAnsi" w:eastAsiaTheme="minorEastAsia" w:hAnsiTheme="minorHAnsi" w:cstheme="minorBidi"/>
          <w:b w:val="0"/>
          <w:smallCaps w:val="0"/>
          <w:sz w:val="22"/>
          <w:lang w:val="en-US"/>
        </w:rPr>
      </w:pPr>
      <w:hyperlink w:anchor="_Toc31018869" w:history="1">
        <w:r w:rsidRPr="0023775C">
          <w:rPr>
            <w:rStyle w:val="Hyperlink"/>
            <w:rFonts w:ascii="Times New Roman" w:hAnsi="Times New Roman"/>
          </w:rPr>
          <w:t>7.3.</w:t>
        </w:r>
        <w:r>
          <w:rPr>
            <w:rFonts w:asciiTheme="minorHAnsi" w:eastAsiaTheme="minorEastAsia" w:hAnsiTheme="minorHAnsi" w:cstheme="minorBidi"/>
            <w:b w:val="0"/>
            <w:smallCaps w:val="0"/>
            <w:sz w:val="22"/>
            <w:lang w:val="en-US"/>
          </w:rPr>
          <w:tab/>
        </w:r>
        <w:r w:rsidRPr="0023775C">
          <w:rPr>
            <w:rStyle w:val="Hyperlink"/>
            <w:rFonts w:ascii="Times New Roman" w:hAnsi="Times New Roman"/>
          </w:rPr>
          <w:t>A tábla egyes részeire vonatkozó útmutató</w:t>
        </w:r>
        <w:r>
          <w:rPr>
            <w:webHidden/>
          </w:rPr>
          <w:tab/>
        </w:r>
        <w:r>
          <w:rPr>
            <w:webHidden/>
          </w:rPr>
          <w:fldChar w:fldCharType="begin"/>
        </w:r>
        <w:r>
          <w:rPr>
            <w:webHidden/>
          </w:rPr>
          <w:instrText xml:space="preserve"> PAGEREF _Toc31018869 \h </w:instrText>
        </w:r>
        <w:r>
          <w:rPr>
            <w:webHidden/>
          </w:rPr>
        </w:r>
        <w:r>
          <w:rPr>
            <w:webHidden/>
          </w:rPr>
          <w:fldChar w:fldCharType="separate"/>
        </w:r>
        <w:r>
          <w:rPr>
            <w:webHidden/>
          </w:rPr>
          <w:t>222</w:t>
        </w:r>
        <w:r>
          <w:rPr>
            <w:webHidden/>
          </w:rPr>
          <w:fldChar w:fldCharType="end"/>
        </w:r>
      </w:hyperlink>
    </w:p>
    <w:p w14:paraId="7AC7042C" w14:textId="71895D51" w:rsidR="001B1411" w:rsidRDefault="00745369">
      <w:pPr>
        <w:rPr>
          <w:rFonts w:ascii="Times New Roman" w:hAnsi="Times New Roman"/>
          <w:sz w:val="24"/>
        </w:rPr>
        <w:sectPr w:rsidR="001B1411"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rPr>
        <w:fldChar w:fldCharType="end"/>
      </w:r>
    </w:p>
    <w:p w14:paraId="3FF7FFE6" w14:textId="77777777" w:rsidR="001B1411" w:rsidRDefault="001B1411">
      <w:pPr>
        <w:rPr>
          <w:rFonts w:ascii="Times New Roman" w:hAnsi="Times New Roman"/>
          <w:sz w:val="24"/>
        </w:rPr>
      </w:pPr>
    </w:p>
    <w:p w14:paraId="2820F465" w14:textId="77777777" w:rsidR="001B1411" w:rsidRPr="00DA7625" w:rsidRDefault="002648B0">
      <w:pPr>
        <w:pStyle w:val="Heading2"/>
        <w:rPr>
          <w:rFonts w:ascii="Times New Roman" w:hAnsi="Times New Roman"/>
        </w:rPr>
      </w:pPr>
      <w:bookmarkStart w:id="1" w:name="_Toc31018747"/>
      <w:r w:rsidRPr="00DA7625">
        <w:rPr>
          <w:rFonts w:ascii="Times New Roman" w:hAnsi="Times New Roman"/>
        </w:rPr>
        <w:t>I. RÉSZ: ÁLTALÁNOS ÚTMUTATÓ</w:t>
      </w:r>
      <w:bookmarkEnd w:id="1"/>
    </w:p>
    <w:p w14:paraId="134C985E" w14:textId="77777777" w:rsidR="001B1411" w:rsidRPr="00DA7625" w:rsidRDefault="00125707">
      <w:pPr>
        <w:pStyle w:val="Instructionsberschrift2"/>
        <w:numPr>
          <w:ilvl w:val="0"/>
          <w:numId w:val="0"/>
        </w:numPr>
        <w:ind w:left="357" w:hanging="357"/>
        <w:rPr>
          <w:rFonts w:ascii="Times New Roman" w:hAnsi="Times New Roman" w:cs="Times New Roman"/>
          <w:sz w:val="24"/>
          <w:u w:val="none"/>
        </w:rPr>
      </w:pPr>
      <w:bookmarkStart w:id="2" w:name="_Toc31018748"/>
      <w:r w:rsidRPr="00DA7625">
        <w:rPr>
          <w:rFonts w:ascii="Times New Roman" w:hAnsi="Times New Roman"/>
          <w:sz w:val="24"/>
          <w:u w:val="none"/>
        </w:rPr>
        <w:t>1.</w:t>
      </w:r>
      <w:r w:rsidRPr="00DA7625">
        <w:rPr>
          <w:rFonts w:ascii="Times New Roman" w:hAnsi="Times New Roman"/>
          <w:sz w:val="24"/>
          <w:u w:val="none"/>
        </w:rPr>
        <w:tab/>
        <w:t>Felépítés és szabályok</w:t>
      </w:r>
      <w:bookmarkEnd w:id="2"/>
    </w:p>
    <w:p w14:paraId="7C7E012C" w14:textId="77777777" w:rsidR="001B1411" w:rsidRPr="00DA7625" w:rsidRDefault="00125707">
      <w:pPr>
        <w:pStyle w:val="Instructionsberschrift2"/>
        <w:numPr>
          <w:ilvl w:val="0"/>
          <w:numId w:val="0"/>
        </w:numPr>
        <w:ind w:left="357" w:hanging="357"/>
        <w:rPr>
          <w:rFonts w:ascii="Times New Roman" w:hAnsi="Times New Roman" w:cs="Times New Roman"/>
          <w:sz w:val="24"/>
          <w:u w:val="none"/>
        </w:rPr>
      </w:pPr>
      <w:bookmarkStart w:id="3" w:name="_Toc31018749"/>
      <w:r w:rsidRPr="00DA7625">
        <w:rPr>
          <w:rFonts w:ascii="Times New Roman" w:hAnsi="Times New Roman"/>
          <w:sz w:val="24"/>
          <w:u w:val="none"/>
        </w:rPr>
        <w:t>1.1.</w:t>
      </w:r>
      <w:r w:rsidRPr="00DA7625">
        <w:rPr>
          <w:rFonts w:ascii="Times New Roman" w:hAnsi="Times New Roman"/>
          <w:sz w:val="24"/>
          <w:u w:val="none"/>
        </w:rPr>
        <w:tab/>
        <w:t>Felépítés</w:t>
      </w:r>
      <w:bookmarkEnd w:id="3"/>
    </w:p>
    <w:p w14:paraId="08FFE994" w14:textId="77777777" w:rsidR="001B1411" w:rsidRPr="00DA7625" w:rsidRDefault="00125707">
      <w:pPr>
        <w:pStyle w:val="InstructionsText2"/>
        <w:numPr>
          <w:ilvl w:val="0"/>
          <w:numId w:val="0"/>
        </w:numPr>
        <w:ind w:left="993"/>
      </w:pPr>
      <w:r w:rsidRPr="00DA7625">
        <w:t>1.</w:t>
      </w:r>
      <w:r w:rsidRPr="00DA7625">
        <w:tab/>
        <w:t>Általánosságban a keretrendszer öt táblacsoportból áll:</w:t>
      </w:r>
    </w:p>
    <w:p w14:paraId="5CB07827" w14:textId="77777777" w:rsidR="001B1411" w:rsidRPr="00DA7625" w:rsidRDefault="00125707">
      <w:pPr>
        <w:pStyle w:val="InstructionsText2"/>
        <w:numPr>
          <w:ilvl w:val="0"/>
          <w:numId w:val="0"/>
        </w:numPr>
        <w:ind w:left="993"/>
      </w:pPr>
      <w:r w:rsidRPr="00DA7625">
        <w:t>a)</w:t>
      </w:r>
      <w:r w:rsidRPr="00DA7625">
        <w:tab/>
        <w:t>tőkemegfelelés, a szavatolótőke áttekintése; teljes kockázati kitettségérték;</w:t>
      </w:r>
    </w:p>
    <w:p w14:paraId="78FE6281" w14:textId="77777777" w:rsidR="001B1411" w:rsidRPr="00DA7625" w:rsidRDefault="00125707">
      <w:pPr>
        <w:pStyle w:val="InstructionsText2"/>
        <w:numPr>
          <w:ilvl w:val="0"/>
          <w:numId w:val="0"/>
        </w:numPr>
        <w:ind w:left="993"/>
      </w:pPr>
      <w:r w:rsidRPr="00DA7625">
        <w:t>b)</w:t>
      </w:r>
      <w:r w:rsidRPr="00DA7625">
        <w:tab/>
        <w:t>csoportszintű szavatolótőke-megfelelés, áttekintés a tőkemegfelelési követelményeknek az adatszolgáltató intézmény konszolidációs körébe bevont valamennyi szervezet általi teljesítéséről;</w:t>
      </w:r>
    </w:p>
    <w:p w14:paraId="5215F61C" w14:textId="77777777" w:rsidR="001B1411" w:rsidRPr="00DA7625" w:rsidRDefault="00125707">
      <w:pPr>
        <w:pStyle w:val="InstructionsText2"/>
        <w:numPr>
          <w:ilvl w:val="0"/>
          <w:numId w:val="0"/>
        </w:numPr>
        <w:ind w:left="993"/>
      </w:pPr>
      <w:r w:rsidRPr="00DA7625">
        <w:t>c)</w:t>
      </w:r>
      <w:r w:rsidRPr="00DA7625">
        <w:tab/>
        <w:t>hitelkockázat (partner-, felhígulási és elszámolási kockázat);</w:t>
      </w:r>
    </w:p>
    <w:p w14:paraId="2F8F64C4" w14:textId="77777777" w:rsidR="001B1411" w:rsidRPr="00DA7625" w:rsidRDefault="00125707">
      <w:pPr>
        <w:pStyle w:val="InstructionsText2"/>
        <w:numPr>
          <w:ilvl w:val="0"/>
          <w:numId w:val="0"/>
        </w:numPr>
        <w:ind w:left="993"/>
      </w:pPr>
      <w:r w:rsidRPr="00DA7625">
        <w:t>d)</w:t>
      </w:r>
      <w:r w:rsidRPr="00DA7625">
        <w:tab/>
        <w:t>piaci kockázat (kereskedési könyvi pozíciókockázat, devizaárfolyam-kockázat, árukockázat, CVA-kockázat);</w:t>
      </w:r>
    </w:p>
    <w:p w14:paraId="2B198FD1" w14:textId="77777777" w:rsidR="001B1411" w:rsidRPr="00DA7625" w:rsidRDefault="00125707">
      <w:pPr>
        <w:pStyle w:val="InstructionsText2"/>
        <w:numPr>
          <w:ilvl w:val="0"/>
          <w:numId w:val="0"/>
        </w:numPr>
        <w:ind w:left="993"/>
      </w:pPr>
      <w:r w:rsidRPr="00DA7625">
        <w:t>e)</w:t>
      </w:r>
      <w:r w:rsidRPr="00DA7625">
        <w:tab/>
        <w:t>működési kockázat.</w:t>
      </w:r>
    </w:p>
    <w:p w14:paraId="0EAF0BE3" w14:textId="553B310C" w:rsidR="001B1411" w:rsidRPr="00DA7625" w:rsidRDefault="00125707">
      <w:pPr>
        <w:pStyle w:val="InstructionsText2"/>
        <w:numPr>
          <w:ilvl w:val="0"/>
          <w:numId w:val="0"/>
        </w:numPr>
        <w:ind w:left="993"/>
      </w:pPr>
      <w:r w:rsidRPr="00DA7625">
        <w:t>2.</w:t>
      </w:r>
      <w:r w:rsidRPr="00DA7625">
        <w:tab/>
        <w:t>Minden táblához biztosított a jogszabályi hivatkozás. Az egyes táblacsoportok felhasználásával történő adatközlés általános szempontjaival kapcsolatos további részletes információkat, a tábla egyes részeire vonatkozó útmutatót, valamint a validálási szabályokat e végrehajtási rendelet jelen része tartalmazza.</w:t>
      </w:r>
    </w:p>
    <w:p w14:paraId="6C67B776" w14:textId="77777777" w:rsidR="001B1411" w:rsidRPr="00DA7625" w:rsidRDefault="00125707">
      <w:pPr>
        <w:pStyle w:val="InstructionsText2"/>
        <w:numPr>
          <w:ilvl w:val="0"/>
          <w:numId w:val="0"/>
        </w:numPr>
        <w:ind w:left="993"/>
      </w:pPr>
      <w:r w:rsidRPr="00DA7625">
        <w:t>3.</w:t>
      </w:r>
      <w:r w:rsidRPr="00DA7625">
        <w:tab/>
        <w:t>Az intézményeknek kizárólag azokon a táblákon kell adatot szolgáltatniuk, amelyek a szavatolótőke-követelmények meghatározása során alkalmazott megközelítés szempontjából relevánsak.</w:t>
      </w:r>
    </w:p>
    <w:p w14:paraId="61F62C51" w14:textId="77777777" w:rsidR="001B1411" w:rsidRPr="00DA7625" w:rsidRDefault="00125707">
      <w:pPr>
        <w:pStyle w:val="Instructionsberschrift2"/>
        <w:numPr>
          <w:ilvl w:val="0"/>
          <w:numId w:val="0"/>
        </w:numPr>
        <w:ind w:left="357" w:hanging="357"/>
        <w:rPr>
          <w:rFonts w:ascii="Times New Roman" w:hAnsi="Times New Roman" w:cs="Times New Roman"/>
          <w:sz w:val="24"/>
          <w:u w:val="none"/>
        </w:rPr>
      </w:pPr>
      <w:bookmarkStart w:id="4" w:name="_Toc31018750"/>
      <w:r w:rsidRPr="00DA7625">
        <w:rPr>
          <w:rFonts w:ascii="Times New Roman" w:hAnsi="Times New Roman"/>
          <w:sz w:val="24"/>
          <w:u w:val="none"/>
        </w:rPr>
        <w:t>1.2.</w:t>
      </w:r>
      <w:r w:rsidRPr="00DA7625">
        <w:rPr>
          <w:rFonts w:ascii="Times New Roman" w:hAnsi="Times New Roman"/>
          <w:sz w:val="24"/>
          <w:u w:val="none"/>
        </w:rPr>
        <w:tab/>
        <w:t>Számozási szabályok</w:t>
      </w:r>
      <w:bookmarkEnd w:id="4"/>
    </w:p>
    <w:p w14:paraId="3C0F0268" w14:textId="4AF04ED8" w:rsidR="001B1411" w:rsidRPr="00DA7625" w:rsidRDefault="00125707">
      <w:pPr>
        <w:pStyle w:val="InstructionsText2"/>
        <w:numPr>
          <w:ilvl w:val="0"/>
          <w:numId w:val="0"/>
        </w:numPr>
        <w:ind w:left="993"/>
      </w:pPr>
      <w:r w:rsidRPr="00DA7625">
        <w:t>4.</w:t>
      </w:r>
      <w:r w:rsidRPr="00DA7625">
        <w:tab/>
        <w:t>A táblák oszlopaira, soraira és celláira való hivatkozáskor a dokumentum az 5–8. pontban meghatározott jelölési szabályokat követi. A numerikus kódokat kimerítően használják a validálási szabályok.</w:t>
      </w:r>
    </w:p>
    <w:p w14:paraId="26DC2799" w14:textId="77777777" w:rsidR="001B1411" w:rsidRPr="00DA7625" w:rsidRDefault="00125707">
      <w:pPr>
        <w:pStyle w:val="InstructionsText2"/>
        <w:numPr>
          <w:ilvl w:val="0"/>
          <w:numId w:val="0"/>
        </w:numPr>
        <w:ind w:left="993"/>
      </w:pPr>
      <w:r w:rsidRPr="00DA7625">
        <w:t>5.</w:t>
      </w:r>
      <w:r w:rsidRPr="00DA7625">
        <w:tab/>
        <w:t>Az útmutató a következő általános jelölést követi: {Tábla; Sor; Oszlop}.</w:t>
      </w:r>
    </w:p>
    <w:p w14:paraId="66E7EDEC" w14:textId="000D90C9" w:rsidR="001B1411" w:rsidRPr="00DA7625" w:rsidRDefault="00125707">
      <w:pPr>
        <w:pStyle w:val="InstructionsText2"/>
        <w:numPr>
          <w:ilvl w:val="0"/>
          <w:numId w:val="0"/>
        </w:numPr>
        <w:ind w:left="993"/>
      </w:pPr>
      <w:r w:rsidRPr="00DA7625">
        <w:t>6.</w:t>
      </w:r>
      <w:r w:rsidRPr="00DA7625">
        <w:tab/>
        <w:t>Olyan táblán belüli validálás esetén, amelynél az adott táblából csak adatpontokat használunk, a jelölés nem hivatkozik a táblára: {Sor; Oszlop}.</w:t>
      </w:r>
    </w:p>
    <w:p w14:paraId="6A9F72AA" w14:textId="77777777" w:rsidR="001B1411" w:rsidRPr="00DA7625" w:rsidRDefault="00125707">
      <w:pPr>
        <w:pStyle w:val="InstructionsText2"/>
        <w:numPr>
          <w:ilvl w:val="0"/>
          <w:numId w:val="0"/>
        </w:numPr>
        <w:ind w:left="993"/>
      </w:pPr>
      <w:r w:rsidRPr="00DA7625">
        <w:t>7.</w:t>
      </w:r>
      <w:r w:rsidRPr="00DA7625">
        <w:tab/>
        <w:t>Az olyan táblák esetében, amelyek csak egy oszlopot tartalmaznak, a jelölés csak a sorokra hivatkozik. {Tábla; Sor}.</w:t>
      </w:r>
    </w:p>
    <w:p w14:paraId="01FECE3C" w14:textId="77777777" w:rsidR="001B1411" w:rsidRPr="00DA7625" w:rsidRDefault="00125707">
      <w:pPr>
        <w:pStyle w:val="InstructionsText2"/>
        <w:numPr>
          <w:ilvl w:val="0"/>
          <w:numId w:val="0"/>
        </w:numPr>
        <w:ind w:left="993"/>
      </w:pPr>
      <w:r w:rsidRPr="00DA7625">
        <w:t>8.</w:t>
      </w:r>
      <w:r w:rsidRPr="00DA7625">
        <w:tab/>
        <w:t>Csillag jelöli, hogy a validálás a korábban meghatározott sorra vagy oszlopra megtörtént.</w:t>
      </w:r>
    </w:p>
    <w:p w14:paraId="273A8B8C" w14:textId="77777777" w:rsidR="001B1411" w:rsidRPr="00DA7625" w:rsidRDefault="00125707">
      <w:pPr>
        <w:pStyle w:val="Instructionsberschrift2"/>
        <w:numPr>
          <w:ilvl w:val="0"/>
          <w:numId w:val="0"/>
        </w:numPr>
        <w:ind w:left="357" w:hanging="357"/>
        <w:rPr>
          <w:rFonts w:ascii="Times New Roman" w:hAnsi="Times New Roman" w:cs="Times New Roman"/>
          <w:sz w:val="24"/>
          <w:u w:val="none"/>
        </w:rPr>
      </w:pPr>
      <w:bookmarkStart w:id="5" w:name="_Toc31018751"/>
      <w:r w:rsidRPr="00DA7625">
        <w:rPr>
          <w:rFonts w:ascii="Times New Roman" w:hAnsi="Times New Roman"/>
          <w:sz w:val="24"/>
          <w:u w:val="none"/>
        </w:rPr>
        <w:lastRenderedPageBreak/>
        <w:t>1.3.</w:t>
      </w:r>
      <w:r w:rsidRPr="00DA7625">
        <w:rPr>
          <w:rFonts w:ascii="Times New Roman" w:hAnsi="Times New Roman"/>
          <w:sz w:val="24"/>
          <w:u w:val="none"/>
        </w:rPr>
        <w:tab/>
        <w:t>Előjelre vonatkozó szabályok</w:t>
      </w:r>
      <w:bookmarkEnd w:id="5"/>
    </w:p>
    <w:p w14:paraId="0C0832BC" w14:textId="4DDA2FB6" w:rsidR="001B1411" w:rsidRPr="00DA7625" w:rsidRDefault="00125707">
      <w:pPr>
        <w:pStyle w:val="InstructionsText2"/>
        <w:numPr>
          <w:ilvl w:val="0"/>
          <w:numId w:val="0"/>
        </w:numPr>
        <w:ind w:left="993"/>
      </w:pPr>
      <w:r w:rsidRPr="00DA7625">
        <w:t>9.</w:t>
      </w:r>
      <w:r w:rsidRPr="00DA7625">
        <w:tab/>
        <w:t>A szavatolótőkét vagy a tőkekövetelményeket növelő összegeket pozitív számként kell feltüntetni. Ugyanakkor a szavatolótőke teljes összegét vagy a tőkekövetelményeket csökkentő bármely összeg előjele negatív. Ha egy tétel megnevezése előtt mínuszjel (–) található, akkor az adott tételről nem szolgáltatható pozitív adat.</w:t>
      </w:r>
    </w:p>
    <w:p w14:paraId="318F1B9B" w14:textId="77777777" w:rsidR="001B1411" w:rsidRPr="00DA7625" w:rsidRDefault="00304CA5">
      <w:pPr>
        <w:pStyle w:val="Instructionsberschrift2"/>
        <w:numPr>
          <w:ilvl w:val="0"/>
          <w:numId w:val="0"/>
        </w:numPr>
        <w:ind w:left="357" w:hanging="357"/>
        <w:rPr>
          <w:rFonts w:ascii="Times New Roman" w:hAnsi="Times New Roman" w:cs="Times New Roman"/>
          <w:sz w:val="24"/>
          <w:u w:val="none"/>
        </w:rPr>
      </w:pPr>
      <w:bookmarkStart w:id="6" w:name="_Toc31018752"/>
      <w:r w:rsidRPr="00DA7625">
        <w:rPr>
          <w:rFonts w:ascii="Times New Roman" w:hAnsi="Times New Roman"/>
          <w:sz w:val="24"/>
          <w:u w:val="none"/>
        </w:rPr>
        <w:t>1.4.</w:t>
      </w:r>
      <w:r w:rsidRPr="00DA7625">
        <w:rPr>
          <w:rFonts w:ascii="Times New Roman" w:hAnsi="Times New Roman"/>
          <w:sz w:val="24"/>
          <w:u w:val="none"/>
        </w:rPr>
        <w:tab/>
        <w:t>Rövidítések</w:t>
      </w:r>
      <w:bookmarkEnd w:id="6"/>
    </w:p>
    <w:p w14:paraId="5A22E3D2" w14:textId="3D50BD04" w:rsidR="001B1411" w:rsidRPr="00DA7625" w:rsidRDefault="00304CA5">
      <w:pPr>
        <w:pStyle w:val="InstructionsText2"/>
        <w:numPr>
          <w:ilvl w:val="0"/>
          <w:numId w:val="0"/>
        </w:numPr>
        <w:ind w:left="993"/>
      </w:pPr>
      <w:r w:rsidRPr="00DA7625">
        <w:t>9a. E melléklet alkalmazásában az 575/2013/EU európai parlamenti és tanácsi rendeletre</w:t>
      </w:r>
      <w:r w:rsidRPr="00DA7625">
        <w:rPr>
          <w:rStyle w:val="FootnoteReference"/>
          <w:rFonts w:ascii="Times New Roman" w:hAnsi="Times New Roman"/>
          <w:sz w:val="24"/>
          <w:szCs w:val="24"/>
          <w:vertAlign w:val="superscript"/>
        </w:rPr>
        <w:footnoteReference w:id="2"/>
      </w:r>
      <w:r w:rsidRPr="00DA7625">
        <w:t xml:space="preserve"> „CRR”-ként, a 2013/36/EU európai parlamenti és tanácsi irányelvre</w:t>
      </w:r>
      <w:r w:rsidRPr="00DA7625">
        <w:rPr>
          <w:rStyle w:val="FootnoteReference"/>
          <w:rFonts w:ascii="Times New Roman" w:hAnsi="Times New Roman"/>
          <w:sz w:val="24"/>
          <w:szCs w:val="24"/>
          <w:vertAlign w:val="superscript"/>
        </w:rPr>
        <w:footnoteReference w:id="3"/>
      </w:r>
      <w:r w:rsidRPr="00DA7625">
        <w:t xml:space="preserve"> „CRD”-ként, a 2013/34/EU európai parlamenti és tanácsi irányelvre</w:t>
      </w:r>
      <w:r w:rsidRPr="00DA7625">
        <w:rPr>
          <w:rStyle w:val="FootnoteReference"/>
          <w:rFonts w:ascii="Times New Roman" w:hAnsi="Times New Roman"/>
          <w:sz w:val="24"/>
          <w:szCs w:val="24"/>
          <w:vertAlign w:val="superscript"/>
        </w:rPr>
        <w:footnoteReference w:id="4"/>
      </w:r>
      <w:r w:rsidRPr="00DA7625">
        <w:t xml:space="preserve"> „AD”-ként, és a 86/635/EGK tanácsi irányelvre</w:t>
      </w:r>
      <w:r w:rsidRPr="00DA7625">
        <w:rPr>
          <w:rStyle w:val="FootnoteReference"/>
          <w:rFonts w:ascii="Times New Roman" w:hAnsi="Times New Roman"/>
          <w:sz w:val="24"/>
          <w:szCs w:val="24"/>
          <w:vertAlign w:val="superscript"/>
        </w:rPr>
        <w:footnoteReference w:id="5"/>
      </w:r>
      <w:r w:rsidRPr="00DA7625">
        <w:t xml:space="preserve"> „BAD”-ként történik hivatkozás.</w:t>
      </w:r>
    </w:p>
    <w:p w14:paraId="078AD951" w14:textId="77777777" w:rsidR="001B1411" w:rsidRPr="00DA7625" w:rsidRDefault="001B1411">
      <w:pPr>
        <w:pStyle w:val="InstructionsText2"/>
        <w:numPr>
          <w:ilvl w:val="0"/>
          <w:numId w:val="0"/>
        </w:numPr>
        <w:ind w:left="993"/>
      </w:pPr>
    </w:p>
    <w:p w14:paraId="74BFACB9" w14:textId="77777777" w:rsidR="001B1411" w:rsidRPr="00DA7625" w:rsidRDefault="001B1411">
      <w:pPr>
        <w:pStyle w:val="InstructionsText2"/>
        <w:sectPr w:rsidR="001B1411" w:rsidRPr="00DA7625" w:rsidSect="00A801A9">
          <w:endnotePr>
            <w:numFmt w:val="decimal"/>
          </w:endnotePr>
          <w:pgSz w:w="11906" w:h="16838"/>
          <w:pgMar w:top="1417" w:right="1417" w:bottom="1134" w:left="1417" w:header="708" w:footer="708" w:gutter="0"/>
          <w:cols w:space="708"/>
          <w:rtlGutter/>
          <w:docGrid w:linePitch="360"/>
        </w:sectPr>
      </w:pPr>
    </w:p>
    <w:p w14:paraId="78522D2A" w14:textId="77777777" w:rsidR="001B1411" w:rsidRPr="00DA7625" w:rsidRDefault="001B1411">
      <w:pPr>
        <w:rPr>
          <w:rFonts w:ascii="Times New Roman" w:hAnsi="Times New Roman"/>
          <w:sz w:val="24"/>
        </w:rPr>
      </w:pPr>
    </w:p>
    <w:p w14:paraId="039B9D1F" w14:textId="77777777" w:rsidR="001B1411" w:rsidRPr="00DA7625" w:rsidRDefault="002648B0">
      <w:pPr>
        <w:pStyle w:val="Heading2"/>
        <w:rPr>
          <w:rFonts w:ascii="Times New Roman" w:hAnsi="Times New Roman"/>
        </w:rPr>
      </w:pPr>
      <w:bookmarkStart w:id="7" w:name="_Toc31018753"/>
      <w:r w:rsidRPr="00DA7625">
        <w:rPr>
          <w:rFonts w:ascii="Times New Roman" w:hAnsi="Times New Roman"/>
        </w:rPr>
        <w:t>II. RÉSZ: A TÁBLÁHOZ KAPCSOLÓDÓ ÚTMUTATÓ</w:t>
      </w:r>
      <w:bookmarkEnd w:id="7"/>
    </w:p>
    <w:p w14:paraId="03E7614B" w14:textId="77777777" w:rsidR="001B1411" w:rsidRPr="00DA7625" w:rsidRDefault="00125707">
      <w:pPr>
        <w:pStyle w:val="Instructionsberschrift2"/>
        <w:numPr>
          <w:ilvl w:val="0"/>
          <w:numId w:val="0"/>
        </w:numPr>
        <w:ind w:left="357" w:hanging="357"/>
        <w:rPr>
          <w:rFonts w:ascii="Times New Roman" w:hAnsi="Times New Roman" w:cs="Times New Roman"/>
          <w:sz w:val="24"/>
          <w:u w:val="none"/>
        </w:rPr>
      </w:pPr>
      <w:bookmarkStart w:id="8" w:name="_Toc31018754"/>
      <w:r w:rsidRPr="00DA7625">
        <w:rPr>
          <w:rFonts w:ascii="Times New Roman" w:hAnsi="Times New Roman"/>
          <w:sz w:val="24"/>
          <w:u w:val="none"/>
        </w:rPr>
        <w:t>1.</w:t>
      </w:r>
      <w:r w:rsidRPr="00DA7625">
        <w:rPr>
          <w:rFonts w:ascii="Times New Roman" w:hAnsi="Times New Roman"/>
          <w:sz w:val="24"/>
          <w:u w:val="none"/>
        </w:rPr>
        <w:tab/>
        <w:t>Tőkemegfelelési áttekintés (CA)</w:t>
      </w:r>
      <w:bookmarkEnd w:id="8"/>
    </w:p>
    <w:p w14:paraId="5E8C221B" w14:textId="77777777" w:rsidR="001B1411" w:rsidRPr="00DA7625" w:rsidRDefault="00125707">
      <w:pPr>
        <w:pStyle w:val="Instructionsberschrift2"/>
        <w:numPr>
          <w:ilvl w:val="0"/>
          <w:numId w:val="0"/>
        </w:numPr>
        <w:ind w:left="357" w:hanging="357"/>
        <w:rPr>
          <w:rFonts w:ascii="Times New Roman" w:hAnsi="Times New Roman" w:cs="Times New Roman"/>
          <w:sz w:val="24"/>
          <w:u w:val="none"/>
        </w:rPr>
      </w:pPr>
      <w:bookmarkStart w:id="9" w:name="_Toc31018755"/>
      <w:r w:rsidRPr="00DA7625">
        <w:rPr>
          <w:rFonts w:ascii="Times New Roman" w:hAnsi="Times New Roman"/>
          <w:sz w:val="24"/>
          <w:u w:val="none"/>
        </w:rPr>
        <w:t>1.1.</w:t>
      </w:r>
      <w:r w:rsidRPr="00DA7625">
        <w:rPr>
          <w:rFonts w:ascii="Times New Roman" w:hAnsi="Times New Roman"/>
          <w:sz w:val="24"/>
          <w:u w:val="none"/>
        </w:rPr>
        <w:tab/>
        <w:t>Általános megjegyzések</w:t>
      </w:r>
      <w:bookmarkEnd w:id="9"/>
    </w:p>
    <w:p w14:paraId="410557ED" w14:textId="0DF4FF23" w:rsidR="001B1411" w:rsidRPr="00DA7625" w:rsidRDefault="00125707">
      <w:pPr>
        <w:pStyle w:val="InstructionsText2"/>
        <w:numPr>
          <w:ilvl w:val="0"/>
          <w:numId w:val="0"/>
        </w:numPr>
        <w:ind w:left="993"/>
      </w:pPr>
      <w:r w:rsidRPr="00DA7625">
        <w:t>10.</w:t>
      </w:r>
      <w:r w:rsidRPr="00DA7625">
        <w:tab/>
        <w:t xml:space="preserve">A CA táblacsoport az I. pillér szerinti mutatók számlálóiban szereplő tőketípusokra (szavatolótőke, alapvető tőke [T1], elsődleges alapvető tőke [CET1]) és nevezőjére (szavatolótőke-követelmény), valamint a CRR-ben és a CRD-ben található átmeneti rendelkezések alkalmazására vonatkozó információkat tartalmazza. A CA táblacsoport öt táblát foglal magában: </w:t>
      </w:r>
    </w:p>
    <w:p w14:paraId="050AEB14" w14:textId="77777777" w:rsidR="001B1411" w:rsidRPr="00DA7625" w:rsidRDefault="00125707">
      <w:pPr>
        <w:pStyle w:val="InstructionsText2"/>
        <w:numPr>
          <w:ilvl w:val="0"/>
          <w:numId w:val="0"/>
        </w:numPr>
        <w:ind w:left="993"/>
      </w:pPr>
      <w:r w:rsidRPr="00DA7625">
        <w:t>a)</w:t>
      </w:r>
      <w:r w:rsidRPr="00DA7625">
        <w:tab/>
        <w:t>A CA1 tábla az egyes intézmények szavatoló tőkéjének összegét tartalmazza, az összeg meghatározásához szükséges tételek szerinti bontásban. A szavatolótőke számított értéke magában foglalja a CRR és a CRD egyes tőkeelemekre vonatkozó átmeneti rendelkezései alkalmazásának összesített hatását is.</w:t>
      </w:r>
    </w:p>
    <w:p w14:paraId="0EE918CA" w14:textId="4F679D9C" w:rsidR="001B1411" w:rsidRPr="00DA7625" w:rsidRDefault="00125707">
      <w:pPr>
        <w:pStyle w:val="InstructionsText2"/>
        <w:numPr>
          <w:ilvl w:val="0"/>
          <w:numId w:val="0"/>
        </w:numPr>
        <w:ind w:left="993"/>
      </w:pPr>
      <w:r w:rsidRPr="00DA7625">
        <w:t>b)</w:t>
      </w:r>
      <w:r w:rsidRPr="00DA7625">
        <w:tab/>
        <w:t>A CA2 tábla a CRR 92. cikkének (3) bekezdése szerinti teljes kockázati kitettségértékeket foglalja össze.</w:t>
      </w:r>
    </w:p>
    <w:p w14:paraId="1F68AB8A" w14:textId="77777777" w:rsidR="001B1411" w:rsidRPr="00DA7625" w:rsidRDefault="00125707">
      <w:pPr>
        <w:pStyle w:val="InstructionsText2"/>
        <w:numPr>
          <w:ilvl w:val="0"/>
          <w:numId w:val="0"/>
        </w:numPr>
        <w:ind w:left="993"/>
      </w:pPr>
      <w:r w:rsidRPr="00DA7625">
        <w:t>c)</w:t>
      </w:r>
      <w:r w:rsidRPr="00DA7625">
        <w:tab/>
        <w:t>A CA3 tábla egyrészt azokat a mutatókat tartalmazza, amelyek minimális szintjét a CRR rögzíti, másrészt a mutatókhoz és a tőketípusokhoz kapcsolódó egyéb adatokat.</w:t>
      </w:r>
    </w:p>
    <w:p w14:paraId="0D89A2C7" w14:textId="53175F87" w:rsidR="001B1411" w:rsidRPr="00DA7625" w:rsidRDefault="00125707">
      <w:pPr>
        <w:pStyle w:val="InstructionsText2"/>
        <w:numPr>
          <w:ilvl w:val="0"/>
          <w:numId w:val="0"/>
        </w:numPr>
        <w:ind w:left="993"/>
      </w:pPr>
      <w:r w:rsidRPr="00DA7625">
        <w:t>d)</w:t>
      </w:r>
      <w:r w:rsidRPr="00DA7625">
        <w:tab/>
        <w:t xml:space="preserve">A CA4 tábla többek között a CA1 elemeinek kiszámításához szükséges tájékoztató adatokat, valamint a CRD szerinti tőkepufferekkel kapcsolatos információkat tartalmazza. </w:t>
      </w:r>
    </w:p>
    <w:p w14:paraId="7436775E" w14:textId="1BBE5A85" w:rsidR="001B1411" w:rsidRPr="00DA7625" w:rsidRDefault="00125707">
      <w:pPr>
        <w:pStyle w:val="InstructionsText2"/>
        <w:numPr>
          <w:ilvl w:val="0"/>
          <w:numId w:val="0"/>
        </w:numPr>
        <w:ind w:left="993"/>
      </w:pPr>
      <w:r w:rsidRPr="00DA7625">
        <w:t>e)</w:t>
      </w:r>
      <w:r w:rsidRPr="00DA7625">
        <w:tab/>
        <w:t>A CA5 tábla a CRR szavatolótőkét érintő átmeneti rendelkezései alkalmazásából eredő hatások kiszámításához szükséges adatokat tartalmazza. A CA5 tábla hatálya az említett átmeneti rendelkezések végső lejáratát követően megszűnik.</w:t>
      </w:r>
    </w:p>
    <w:p w14:paraId="688E5180" w14:textId="462E34C5" w:rsidR="001B1411" w:rsidRPr="00DA7625" w:rsidRDefault="00125707">
      <w:pPr>
        <w:pStyle w:val="InstructionsText2"/>
        <w:numPr>
          <w:ilvl w:val="0"/>
          <w:numId w:val="0"/>
        </w:numPr>
        <w:ind w:left="993"/>
      </w:pPr>
      <w:r w:rsidRPr="00DA7625">
        <w:t>11.</w:t>
      </w:r>
      <w:r w:rsidRPr="00DA7625">
        <w:tab/>
        <w:t>A táblákat valamennyi, a CRR szerint adatszolgáltatásra kötelezett intézménynek használnia kell, függetlenül az intézmény nemzeti jog szerint irányadó számvitelére, azonban a számláló egyes elemei kizárólag az IAS/IFRS típusú értékelési szabályokat alkalmazó intézményekre vonatkoznak. A nevezőben foglalt adatok kevés kivételtől eltekintve a teljes kockázati kitettségérték kiszámítására szolgáló, kockázati típusonkénti táblákban meghatározott végeredményekhez kapcsolódnak.</w:t>
      </w:r>
    </w:p>
    <w:p w14:paraId="36D97B2F" w14:textId="75AB431A" w:rsidR="001B1411" w:rsidRPr="00DA7625" w:rsidRDefault="00125707">
      <w:pPr>
        <w:pStyle w:val="InstructionsText2"/>
        <w:numPr>
          <w:ilvl w:val="0"/>
          <w:numId w:val="0"/>
        </w:numPr>
        <w:ind w:left="993"/>
      </w:pPr>
      <w:r w:rsidRPr="00DA7625">
        <w:t>12.</w:t>
      </w:r>
      <w:r w:rsidRPr="00DA7625">
        <w:tab/>
        <w:t xml:space="preserve">A szavatolótőke teljes összege különböző típusú tőketípusokból áll: az alapvető tőkéből (T1), amely az elsődleges alapvető tőke (CET1) és a kiegészítő alapvető tőke (AT1) összege, valamint a járulékos tőkéből (T2). </w:t>
      </w:r>
    </w:p>
    <w:p w14:paraId="50579230" w14:textId="438E9A1E" w:rsidR="001B1411" w:rsidRPr="00DA7625" w:rsidRDefault="00125707">
      <w:pPr>
        <w:pStyle w:val="InstructionsText2"/>
        <w:numPr>
          <w:ilvl w:val="0"/>
          <w:numId w:val="0"/>
        </w:numPr>
        <w:ind w:left="993"/>
      </w:pPr>
      <w:r w:rsidRPr="00DA7625">
        <w:t>13.</w:t>
      </w:r>
      <w:r w:rsidRPr="00DA7625">
        <w:tab/>
        <w:t>A CA táblák a CRR és a CRD átmeneti rendelkezéseinek alkalmazását az alábbiak szerint kezelik:</w:t>
      </w:r>
    </w:p>
    <w:p w14:paraId="4A902CA7" w14:textId="30195111" w:rsidR="001B1411" w:rsidRPr="00DA7625" w:rsidRDefault="00125707">
      <w:pPr>
        <w:pStyle w:val="InstructionsText2"/>
        <w:numPr>
          <w:ilvl w:val="0"/>
          <w:numId w:val="0"/>
        </w:numPr>
        <w:ind w:left="993"/>
      </w:pPr>
      <w:r w:rsidRPr="00DA7625">
        <w:t>a)</w:t>
      </w:r>
      <w:r w:rsidRPr="00DA7625">
        <w:tab/>
        <w:t xml:space="preserve">A CA1 elemei általában bruttó módon, az átmeneti kiigazítások előtti értéken szerepelnek. Ez azt jelenti, hogy a CA1-elemek adatait – az átmeneti rendelkezések hatását összesítő elemek adatainak kivételével – a végleges rendelkezések alapján </w:t>
      </w:r>
      <w:r w:rsidRPr="00DA7625">
        <w:lastRenderedPageBreak/>
        <w:t>úgy kell kiszámítani, mintha nem lennének átmeneti rendelkezések. Mindegyik tőketípus (CET1, AT1 és T2) esetében három olyan különböző elem van, amely magában foglalja az átmeneti rendelkezések miatti kiigazításokat.</w:t>
      </w:r>
    </w:p>
    <w:p w14:paraId="180DEE1E" w14:textId="74EC2666" w:rsidR="001B1411" w:rsidRPr="00DA7625" w:rsidRDefault="00125707">
      <w:pPr>
        <w:pStyle w:val="InstructionsText2"/>
        <w:numPr>
          <w:ilvl w:val="0"/>
          <w:numId w:val="0"/>
        </w:numPr>
        <w:ind w:left="993"/>
      </w:pPr>
      <w:r w:rsidRPr="00DA7625">
        <w:t>b)</w:t>
      </w:r>
      <w:r w:rsidRPr="00DA7625">
        <w:tab/>
        <w:t>Az átmeneti rendelkezések módosíthatják az AT1 tőke és a T2 tőke hiányát is (az AT1 tőke vagy a T2 tőke azon hiányát, amely a CRR 36. cikke (1) bekezdésének j) pontjában, illetve 56. cikkének e) pontjában leírtak szerint az adott tőketípusokba tartozó tőkeelemek összegét meghaladó levonások többlete miatt keletkezik), és így azokat az elemeket, amelyek az említett átmeneti rendelkezések hatását közvetett módon esetleg tükröző hiányokat tartalmazzák.</w:t>
      </w:r>
    </w:p>
    <w:p w14:paraId="6974BA81" w14:textId="25971D24" w:rsidR="001B1411" w:rsidRPr="00DA7625" w:rsidRDefault="00125707">
      <w:pPr>
        <w:pStyle w:val="InstructionsText2"/>
        <w:numPr>
          <w:ilvl w:val="0"/>
          <w:numId w:val="0"/>
        </w:numPr>
        <w:ind w:left="993"/>
      </w:pPr>
      <w:r w:rsidRPr="00DA7625">
        <w:t>c)</w:t>
      </w:r>
      <w:r w:rsidRPr="00DA7625">
        <w:tab/>
        <w:t xml:space="preserve">A CA5 tábla kizárólag a CRR átmeneti rendelkezéseinek alkalmazásából eredő hatásokkal kapcsolatos adatszolgáltatásra használható. </w:t>
      </w:r>
    </w:p>
    <w:p w14:paraId="3E23DD40" w14:textId="66AE9543" w:rsidR="001B1411" w:rsidRPr="00DA7625" w:rsidRDefault="00125707">
      <w:pPr>
        <w:pStyle w:val="InstructionsText2"/>
        <w:numPr>
          <w:ilvl w:val="0"/>
          <w:numId w:val="0"/>
        </w:numPr>
        <w:ind w:left="993"/>
      </w:pPr>
      <w:r w:rsidRPr="00DA7625">
        <w:t>14.</w:t>
      </w:r>
      <w:r w:rsidRPr="00DA7625">
        <w:tab/>
        <w:t>A II. pillér szerinti követelmények kezelése az EU-n belül eltérő lehet (a CRD 104. cikkének (2) bekezdését át kell ültetni a tagállami szabályozásba). A CRR alapján teljesített tőkemegfelelési adatszolgáltatás kizárólag a II. pillérben a szolvenciamutatóra vagy az elérendő arányra vonatkozóan rögzített követelmények hatására terjedhet ki. A II. pillér szerinti követelményekre vonatkozó részletes adatszolgáltatásra a CRR 99. cikkében foglalt előírások nem vonatkoznak.</w:t>
      </w:r>
    </w:p>
    <w:p w14:paraId="00EBB9CB" w14:textId="77777777" w:rsidR="001B1411" w:rsidRPr="00DA7625" w:rsidRDefault="00125707">
      <w:pPr>
        <w:pStyle w:val="InstructionsText2"/>
        <w:numPr>
          <w:ilvl w:val="0"/>
          <w:numId w:val="0"/>
        </w:numPr>
        <w:ind w:left="993"/>
      </w:pPr>
      <w:r w:rsidRPr="00DA7625">
        <w:t>a)</w:t>
      </w:r>
      <w:r w:rsidRPr="00DA7625">
        <w:tab/>
        <w:t>A CA1, CA2 és CA5 tábla kizárólag az I. pillérrel kapcsolatos kérdésekre vonatkozó adatokat tartalmaz.</w:t>
      </w:r>
    </w:p>
    <w:p w14:paraId="6E43568B" w14:textId="52A1180F" w:rsidR="001B1411" w:rsidRPr="00DA7625" w:rsidRDefault="00125707">
      <w:pPr>
        <w:pStyle w:val="InstructionsText2"/>
        <w:numPr>
          <w:ilvl w:val="0"/>
          <w:numId w:val="0"/>
        </w:numPr>
        <w:ind w:left="993"/>
      </w:pPr>
      <w:r w:rsidRPr="00DA7625">
        <w:t>b)</w:t>
      </w:r>
      <w:r w:rsidRPr="00DA7625">
        <w:tab/>
        <w:t>A CA3 tábla a II. pillér szolvenciamutatóra vonatkozó egyéb követelményeinek összesített hatását tartalmazza. Az egyik csoport az összegeknek az adott mutatóra kifejtett hatásával, míg a másik csoport magával a mutatóval foglalkozik. Egyik mutatócsoport sem kapcsolódik egyéb módon a CA1, CA2 vagy CA5 táblához.</w:t>
      </w:r>
    </w:p>
    <w:p w14:paraId="285BFC5F" w14:textId="67B6D070" w:rsidR="001B1411" w:rsidRPr="00DA7625" w:rsidRDefault="00125707">
      <w:pPr>
        <w:pStyle w:val="InstructionsText2"/>
        <w:numPr>
          <w:ilvl w:val="0"/>
          <w:numId w:val="0"/>
        </w:numPr>
        <w:ind w:left="993"/>
      </w:pPr>
      <w:r w:rsidRPr="00DA7625">
        <w:t>c)</w:t>
      </w:r>
      <w:r w:rsidRPr="00DA7625">
        <w:tab/>
        <w:t>A CA4 tábla egy cellát tartalmaz a II. pillérhez kapcsolódó pótlólagos szavatolótőke-követelményekre vonatkozóan. Az említett cella nem kapcsolódik validálási szabályokon keresztül a CA3 tábla tőkemegfelelési mutatóihoz, és megfelel a CRD 104. cikke (2) bekezdésének, amely kifejezetten megemlíti a pótlólagos szavatolótőke-követelményeket mint a II. pillérre vonatkozó döntésekkel kapcsolatos lehetőséget.</w:t>
      </w:r>
    </w:p>
    <w:p w14:paraId="6BEDA0DA"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10" w:name="_Toc31018756"/>
      <w:r w:rsidRPr="00DA7625">
        <w:rPr>
          <w:rFonts w:ascii="Times New Roman" w:hAnsi="Times New Roman"/>
          <w:sz w:val="24"/>
          <w:u w:val="none"/>
        </w:rPr>
        <w:t>1.2.</w:t>
      </w:r>
      <w:r w:rsidRPr="00DA7625">
        <w:rPr>
          <w:rFonts w:ascii="Times New Roman" w:hAnsi="Times New Roman"/>
          <w:sz w:val="24"/>
          <w:u w:val="none"/>
        </w:rPr>
        <w:tab/>
      </w:r>
      <w:r w:rsidRPr="00DA7625">
        <w:rPr>
          <w:rFonts w:ascii="Times New Roman" w:hAnsi="Times New Roman"/>
          <w:sz w:val="24"/>
        </w:rPr>
        <w:t>C 01.00 – SZAVATOLÓTŐKE (CA1)</w:t>
      </w:r>
      <w:bookmarkEnd w:id="10"/>
      <w:r w:rsidRPr="00DA7625">
        <w:rPr>
          <w:rFonts w:ascii="Times New Roman" w:hAnsi="Times New Roman"/>
          <w:sz w:val="24"/>
        </w:rPr>
        <w:t xml:space="preserve"> </w:t>
      </w:r>
    </w:p>
    <w:p w14:paraId="1640AAF5"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11" w:name="_Toc31018757"/>
      <w:r w:rsidRPr="00DA7625">
        <w:rPr>
          <w:rFonts w:ascii="Times New Roman" w:hAnsi="Times New Roman"/>
          <w:sz w:val="24"/>
          <w:u w:val="none"/>
        </w:rPr>
        <w:t>1.2.1.</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11"/>
    </w:p>
    <w:p w14:paraId="49EB31E0" w14:textId="77777777" w:rsidR="001B1411" w:rsidRPr="00DA7625" w:rsidRDefault="001B1411">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B1411" w:rsidRPr="00DA7625" w14:paraId="5D5CC09A" w14:textId="77777777" w:rsidTr="00672D2A">
        <w:tc>
          <w:tcPr>
            <w:tcW w:w="1129" w:type="dxa"/>
            <w:shd w:val="clear" w:color="auto" w:fill="D9D9D9"/>
          </w:tcPr>
          <w:p w14:paraId="5EE5330B" w14:textId="77777777" w:rsidR="001B1411" w:rsidRPr="00DA7625" w:rsidRDefault="002648B0">
            <w:pPr>
              <w:pStyle w:val="InstructionsText"/>
              <w:rPr>
                <w:rStyle w:val="InstructionsTabelleText"/>
                <w:rFonts w:ascii="Times New Roman" w:hAnsi="Times New Roman"/>
                <w:bCs/>
                <w:sz w:val="24"/>
              </w:rPr>
            </w:pPr>
            <w:r w:rsidRPr="00DA7625">
              <w:rPr>
                <w:rStyle w:val="InstructionsTabelleText"/>
                <w:rFonts w:ascii="Times New Roman" w:hAnsi="Times New Roman"/>
                <w:sz w:val="24"/>
              </w:rPr>
              <w:t>Sor</w:t>
            </w:r>
          </w:p>
        </w:tc>
        <w:tc>
          <w:tcPr>
            <w:tcW w:w="7620" w:type="dxa"/>
            <w:shd w:val="clear" w:color="auto" w:fill="D9D9D9"/>
          </w:tcPr>
          <w:p w14:paraId="19E41094" w14:textId="77777777" w:rsidR="001B1411" w:rsidRPr="00DA7625" w:rsidRDefault="002648B0">
            <w:pPr>
              <w:pStyle w:val="InstructionsText"/>
              <w:rPr>
                <w:rStyle w:val="InstructionsTabelleText"/>
                <w:rFonts w:ascii="Times New Roman" w:hAnsi="Times New Roman"/>
                <w:bCs/>
                <w:sz w:val="24"/>
              </w:rPr>
            </w:pPr>
            <w:r w:rsidRPr="00DA7625">
              <w:rPr>
                <w:rStyle w:val="InstructionsTabelleText"/>
                <w:rFonts w:ascii="Times New Roman" w:hAnsi="Times New Roman"/>
                <w:sz w:val="24"/>
              </w:rPr>
              <w:t>Jogszabályi hivatkozások és útmutató</w:t>
            </w:r>
          </w:p>
        </w:tc>
      </w:tr>
      <w:tr w:rsidR="001B1411" w:rsidRPr="00DA7625" w14:paraId="0E5D273A" w14:textId="77777777" w:rsidTr="00672D2A">
        <w:tc>
          <w:tcPr>
            <w:tcW w:w="1129" w:type="dxa"/>
          </w:tcPr>
          <w:p w14:paraId="4A55AEAF"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010</w:t>
            </w:r>
          </w:p>
        </w:tc>
        <w:tc>
          <w:tcPr>
            <w:tcW w:w="7620" w:type="dxa"/>
          </w:tcPr>
          <w:p w14:paraId="541B4823" w14:textId="77777777" w:rsidR="001B1411" w:rsidRPr="00DA7625" w:rsidRDefault="00C66473">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w:t>
            </w:r>
            <w:r w:rsidRPr="00DA7625">
              <w:rPr>
                <w:rStyle w:val="InstructionsTabelleberschrift"/>
                <w:rFonts w:ascii="Times New Roman" w:hAnsi="Times New Roman"/>
                <w:sz w:val="24"/>
              </w:rPr>
              <w:tab/>
              <w:t>Szavatolótőke</w:t>
            </w:r>
          </w:p>
          <w:p w14:paraId="35AB5B61" w14:textId="18764E91"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118. pontja, valamint 72. cikke</w:t>
            </w:r>
          </w:p>
          <w:p w14:paraId="09DD6AF6" w14:textId="77777777" w:rsidR="001B1411" w:rsidRPr="00DA7625" w:rsidRDefault="002648B0">
            <w:pPr>
              <w:pStyle w:val="InstructionsText"/>
              <w:rPr>
                <w:rStyle w:val="InstructionsTabelleberschrift"/>
                <w:rFonts w:ascii="Times New Roman" w:hAnsi="Times New Roman"/>
                <w:sz w:val="24"/>
              </w:rPr>
            </w:pPr>
            <w:r w:rsidRPr="00DA7625">
              <w:rPr>
                <w:rStyle w:val="FormatvorlageInstructionsTabelleText"/>
                <w:rFonts w:ascii="Times New Roman" w:hAnsi="Times New Roman"/>
                <w:sz w:val="24"/>
              </w:rPr>
              <w:t>Egy intézmény szavatolótőkéje az alapvető tőkéjének és a járulékos tőkéjének összegéből áll.</w:t>
            </w:r>
          </w:p>
        </w:tc>
      </w:tr>
      <w:tr w:rsidR="001B1411" w:rsidRPr="00DA7625" w14:paraId="16D41D9A" w14:textId="77777777" w:rsidTr="00672D2A">
        <w:tc>
          <w:tcPr>
            <w:tcW w:w="1129" w:type="dxa"/>
          </w:tcPr>
          <w:p w14:paraId="26B696F7"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015</w:t>
            </w:r>
          </w:p>
        </w:tc>
        <w:tc>
          <w:tcPr>
            <w:tcW w:w="7620" w:type="dxa"/>
          </w:tcPr>
          <w:p w14:paraId="45CA52BA" w14:textId="77777777" w:rsidR="001B1411" w:rsidRPr="00DA7625" w:rsidRDefault="00666996">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w:t>
            </w:r>
            <w:r w:rsidRPr="00DA7625">
              <w:rPr>
                <w:rStyle w:val="InstructionsTabelleberschrift"/>
                <w:rFonts w:ascii="Times New Roman" w:hAnsi="Times New Roman"/>
                <w:sz w:val="24"/>
              </w:rPr>
              <w:tab/>
              <w:t>Alapvető tőke (Tier 1 vagy T1 tőke)</w:t>
            </w:r>
          </w:p>
          <w:p w14:paraId="7DD490F8" w14:textId="0DB0C581"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25. cikke</w:t>
            </w:r>
          </w:p>
          <w:p w14:paraId="5ECA6D68" w14:textId="77777777" w:rsidR="001B1411" w:rsidRPr="00DA7625" w:rsidRDefault="00666996">
            <w:pPr>
              <w:pStyle w:val="InstructionsText"/>
              <w:rPr>
                <w:rStyle w:val="InstructionsTabelleberschrift"/>
                <w:rFonts w:ascii="Times New Roman" w:hAnsi="Times New Roman"/>
                <w:sz w:val="24"/>
              </w:rPr>
            </w:pPr>
            <w:r w:rsidRPr="00DA7625">
              <w:rPr>
                <w:rStyle w:val="FormatvorlageInstructionsTabelleText"/>
                <w:rFonts w:ascii="Times New Roman" w:hAnsi="Times New Roman"/>
                <w:sz w:val="24"/>
              </w:rPr>
              <w:lastRenderedPageBreak/>
              <w:t xml:space="preserve">Az alapvető tőke az elsődleges alapvető tőke és a kiegészítő alapvető tőke összege. </w:t>
            </w:r>
          </w:p>
        </w:tc>
      </w:tr>
      <w:tr w:rsidR="001B1411" w:rsidRPr="00DA7625" w14:paraId="1E32E0D4" w14:textId="77777777" w:rsidTr="00672D2A">
        <w:tc>
          <w:tcPr>
            <w:tcW w:w="1129" w:type="dxa"/>
          </w:tcPr>
          <w:p w14:paraId="62806938"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020</w:t>
            </w:r>
          </w:p>
        </w:tc>
        <w:tc>
          <w:tcPr>
            <w:tcW w:w="7620" w:type="dxa"/>
          </w:tcPr>
          <w:p w14:paraId="73518619" w14:textId="77777777" w:rsidR="001B1411" w:rsidRPr="00DA7625" w:rsidRDefault="00666996">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1.1.1</w:t>
            </w:r>
            <w:r w:rsidRPr="00DA7625">
              <w:rPr>
                <w:rStyle w:val="InstructionsTabelleberschrift"/>
                <w:rFonts w:ascii="Times New Roman" w:hAnsi="Times New Roman"/>
                <w:sz w:val="24"/>
              </w:rPr>
              <w:tab/>
              <w:t>Elsődleges alapvető tőke (CET1)</w:t>
            </w:r>
          </w:p>
          <w:p w14:paraId="1992577C" w14:textId="51959B83"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50. cikke</w:t>
            </w:r>
          </w:p>
        </w:tc>
      </w:tr>
      <w:tr w:rsidR="001B1411" w:rsidRPr="00DA7625" w14:paraId="168CAFD1" w14:textId="77777777" w:rsidTr="00672D2A">
        <w:tc>
          <w:tcPr>
            <w:tcW w:w="1129" w:type="dxa"/>
          </w:tcPr>
          <w:p w14:paraId="20E7E202"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030</w:t>
            </w:r>
          </w:p>
        </w:tc>
        <w:tc>
          <w:tcPr>
            <w:tcW w:w="7620" w:type="dxa"/>
          </w:tcPr>
          <w:p w14:paraId="7AD63B05" w14:textId="77777777" w:rsidR="001B1411" w:rsidRPr="00DA7625" w:rsidRDefault="000120EB">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1.1.1.1</w:t>
            </w:r>
            <w:r w:rsidRPr="00DA7625">
              <w:rPr>
                <w:rStyle w:val="InstructionsTabelleberschrift"/>
                <w:rFonts w:ascii="Times New Roman" w:hAnsi="Times New Roman"/>
                <w:sz w:val="24"/>
              </w:rPr>
              <w:tab/>
              <w:t>CET1 tőkeelemként figyelembe vehető tőkeinstrumentumok</w:t>
            </w:r>
          </w:p>
          <w:p w14:paraId="07A315EC" w14:textId="243F4855" w:rsidR="001B1411" w:rsidRPr="00DA7625" w:rsidRDefault="00C7103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26. cikke (1) bekezdésének a) és b) pontja, 27–30. cikke, 36. cikke (1) bekezdésének f) pontja, valamint 42. cikke</w:t>
            </w:r>
          </w:p>
        </w:tc>
      </w:tr>
      <w:tr w:rsidR="001B1411" w:rsidRPr="00DA7625" w14:paraId="7D83D84B" w14:textId="77777777" w:rsidTr="00672D2A">
        <w:tc>
          <w:tcPr>
            <w:tcW w:w="1129" w:type="dxa"/>
          </w:tcPr>
          <w:p w14:paraId="2E41976E"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040</w:t>
            </w:r>
          </w:p>
        </w:tc>
        <w:tc>
          <w:tcPr>
            <w:tcW w:w="7620" w:type="dxa"/>
          </w:tcPr>
          <w:p w14:paraId="255B1AC6" w14:textId="77777777" w:rsidR="001B1411" w:rsidRPr="00DA7625" w:rsidRDefault="00666996">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1.1.1.1.1</w:t>
            </w:r>
            <w:r w:rsidRPr="00DA7625">
              <w:rPr>
                <w:rStyle w:val="InstructionsTabelleberschrift"/>
                <w:rFonts w:ascii="Times New Roman" w:hAnsi="Times New Roman"/>
                <w:sz w:val="24"/>
              </w:rPr>
              <w:tab/>
              <w:t>Befizetett tőkeinstrumentumok</w:t>
            </w:r>
          </w:p>
          <w:p w14:paraId="331EE02B" w14:textId="14718085" w:rsidR="001B1411" w:rsidRPr="00DA7625" w:rsidRDefault="00C7103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26. cikke (1) bekezdésének a) pontja, valamint 27–31. cikke</w:t>
            </w:r>
          </w:p>
          <w:p w14:paraId="428A9AFA" w14:textId="615C3040" w:rsidR="001B1411" w:rsidRPr="00DA7625" w:rsidRDefault="00543DB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Magában foglalja a kölcsönös biztosítók, szövetkezeti társaságok és hasonló intézmények tőkeinstrumentumait (a CRR 27. és 29. cikke).</w:t>
            </w:r>
          </w:p>
          <w:p w14:paraId="5A683BFD"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Nem foglalhatja magában az instrumentumokhoz kapcsolódó ázsiót.</w:t>
            </w:r>
          </w:p>
          <w:p w14:paraId="6BD24A93" w14:textId="77777777" w:rsidR="001B1411" w:rsidRPr="00DA7625" w:rsidRDefault="00543DB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sürgősségi helyzetekben állami hatóságok által lejegyzett tőkeinstrumentumokat akkor tartalmazza, ha a CRR 31. cikkében foglalt minden feltétel teljesül.</w:t>
            </w:r>
          </w:p>
        </w:tc>
      </w:tr>
      <w:tr w:rsidR="001B1411" w:rsidRPr="00DA7625" w14:paraId="4168FE51" w14:textId="77777777" w:rsidTr="00672D2A">
        <w:tc>
          <w:tcPr>
            <w:tcW w:w="1129" w:type="dxa"/>
          </w:tcPr>
          <w:p w14:paraId="460DAEDB" w14:textId="77777777" w:rsidR="001B1411" w:rsidRPr="00DA7625" w:rsidRDefault="00216D67">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045</w:t>
            </w:r>
          </w:p>
        </w:tc>
        <w:tc>
          <w:tcPr>
            <w:tcW w:w="7620" w:type="dxa"/>
          </w:tcPr>
          <w:p w14:paraId="15F9D9E8" w14:textId="77777777" w:rsidR="001B1411" w:rsidRPr="00DA7625" w:rsidRDefault="00DD2C1E">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1.1.1.1.1*</w:t>
            </w:r>
            <w:r w:rsidRPr="00DA7625">
              <w:rPr>
                <w:rStyle w:val="InstructionsTabelleberschrift"/>
                <w:rFonts w:ascii="Times New Roman" w:hAnsi="Times New Roman"/>
                <w:sz w:val="24"/>
              </w:rPr>
              <w:tab/>
              <w:t>Ebből: sürgősségi helyzetekben állami hatóságok által lejegyzett tőkeinstrumentumok</w:t>
            </w:r>
          </w:p>
          <w:p w14:paraId="2D2964A9" w14:textId="28B40176" w:rsidR="001B1411" w:rsidRPr="00DA7625" w:rsidRDefault="00216D67">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CRR 31. cikke</w:t>
            </w:r>
          </w:p>
          <w:p w14:paraId="280776E5" w14:textId="77777777" w:rsidR="001B1411" w:rsidRPr="00DA7625" w:rsidRDefault="00216D67">
            <w:pPr>
              <w:pStyle w:val="InstructionsText"/>
              <w:rPr>
                <w:rStyle w:val="InstructionsTabelleberschrift"/>
                <w:rFonts w:ascii="Times New Roman" w:hAnsi="Times New Roman"/>
                <w:sz w:val="24"/>
              </w:rPr>
            </w:pPr>
            <w:r w:rsidRPr="00DA7625">
              <w:rPr>
                <w:rStyle w:val="InstructionsTabelleberschrift"/>
                <w:rFonts w:ascii="Times New Roman" w:hAnsi="Times New Roman"/>
                <w:b w:val="0"/>
                <w:sz w:val="24"/>
                <w:u w:val="none"/>
              </w:rPr>
              <w:t>A sürgősségi helyzetekben állami hatóságok által lejegyzett tőkeinstrumentumok akkor vehetők figyelembe CET1 tőkeelemként, ha a CRR 31. cikkében foglalt minden feltétel teljesül.</w:t>
            </w:r>
          </w:p>
        </w:tc>
      </w:tr>
      <w:tr w:rsidR="001B1411" w:rsidRPr="00DA7625" w14:paraId="3D94B46C" w14:textId="77777777" w:rsidTr="00672D2A">
        <w:tc>
          <w:tcPr>
            <w:tcW w:w="1129" w:type="dxa"/>
          </w:tcPr>
          <w:p w14:paraId="73F13C12"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050</w:t>
            </w:r>
          </w:p>
        </w:tc>
        <w:tc>
          <w:tcPr>
            <w:tcW w:w="7620" w:type="dxa"/>
          </w:tcPr>
          <w:p w14:paraId="089A65CB" w14:textId="77777777" w:rsidR="001B1411" w:rsidRPr="00DA7625" w:rsidRDefault="00666996">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1.1.1.1.2*</w:t>
            </w:r>
            <w:r w:rsidRPr="00DA7625">
              <w:rPr>
                <w:rStyle w:val="InstructionsTabelleberschrift"/>
                <w:rFonts w:ascii="Times New Roman" w:hAnsi="Times New Roman"/>
                <w:sz w:val="24"/>
              </w:rPr>
              <w:tab/>
              <w:t>Tájékoztató adat: figyelembe nem vehető tőkeinstrumentumok</w:t>
            </w:r>
          </w:p>
          <w:p w14:paraId="263FDBEA" w14:textId="1239F3B4" w:rsidR="001B1411" w:rsidRPr="00DA7625" w:rsidRDefault="00C7103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28. cikke (1) bekezdésének b), l) és m) pontja</w:t>
            </w:r>
          </w:p>
          <w:p w14:paraId="7AE45833"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 e pontokban említett feltételek különböző visszafordítható tőkehelyzeteket tükröznek, így az itt feltüntetett összeg a későbbi időszakokban figyelembe vehető lehet.</w:t>
            </w:r>
          </w:p>
          <w:p w14:paraId="2518A593"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feltüntetendő érték nem foglalhatja magában az instrumentumokhoz kapcsolódó ázsiót.</w:t>
            </w:r>
          </w:p>
        </w:tc>
      </w:tr>
      <w:tr w:rsidR="001B1411" w:rsidRPr="00DA7625" w14:paraId="622132D3" w14:textId="77777777" w:rsidTr="00672D2A">
        <w:tc>
          <w:tcPr>
            <w:tcW w:w="1129" w:type="dxa"/>
          </w:tcPr>
          <w:p w14:paraId="0CDA59AC"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060</w:t>
            </w:r>
          </w:p>
        </w:tc>
        <w:tc>
          <w:tcPr>
            <w:tcW w:w="7620" w:type="dxa"/>
          </w:tcPr>
          <w:p w14:paraId="2FAEC512" w14:textId="77777777" w:rsidR="001B1411" w:rsidRPr="00DA7625" w:rsidRDefault="00666996">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1.1.1.1.3</w:t>
            </w:r>
            <w:r w:rsidRPr="00DA7625">
              <w:rPr>
                <w:rStyle w:val="InstructionsTabelleberschrift"/>
                <w:rFonts w:ascii="Times New Roman" w:hAnsi="Times New Roman"/>
                <w:sz w:val="24"/>
              </w:rPr>
              <w:tab/>
              <w:t>Névértéken felüli befizetés (ázsió)</w:t>
            </w:r>
          </w:p>
          <w:p w14:paraId="5ECB161C" w14:textId="181B8C13"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124. pontja, és 26. cikke (1) bekezdésének b) pontja</w:t>
            </w:r>
          </w:p>
          <w:p w14:paraId="301C1075"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 xml:space="preserve">Az ázsió jelentése egyezik az alkalmazandó számviteli szabályozás szerinti jelentéssel. </w:t>
            </w:r>
          </w:p>
          <w:p w14:paraId="3FB01BA4"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 xml:space="preserve">Az ebben az elemben feltüntetendő érték a befizetett tőkeinstrumentumokhoz kapcsolódó rész. </w:t>
            </w:r>
          </w:p>
        </w:tc>
      </w:tr>
      <w:tr w:rsidR="001B1411" w:rsidRPr="00DA7625" w14:paraId="77AC2598" w14:textId="77777777" w:rsidTr="00672D2A">
        <w:tc>
          <w:tcPr>
            <w:tcW w:w="1129" w:type="dxa"/>
          </w:tcPr>
          <w:p w14:paraId="2EA7B719"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070</w:t>
            </w:r>
          </w:p>
        </w:tc>
        <w:tc>
          <w:tcPr>
            <w:tcW w:w="7620" w:type="dxa"/>
          </w:tcPr>
          <w:p w14:paraId="732809E1" w14:textId="77777777" w:rsidR="001B1411" w:rsidRPr="00DA7625" w:rsidRDefault="00666996">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1.1.1.1.4</w:t>
            </w:r>
            <w:r w:rsidRPr="00DA7625">
              <w:rPr>
                <w:rStyle w:val="InstructionsTabelleberschrift"/>
                <w:rFonts w:ascii="Times New Roman" w:hAnsi="Times New Roman"/>
                <w:sz w:val="24"/>
              </w:rPr>
              <w:tab/>
              <w:t>(–) Saját CET1 tőkeinstrumentumok</w:t>
            </w:r>
          </w:p>
          <w:p w14:paraId="620FE7BC" w14:textId="0A61A514" w:rsidR="001B1411" w:rsidRPr="00DA7625" w:rsidRDefault="00C7103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36. cikke (1) bekezdésének f) pontja, valamint 42. cikke</w:t>
            </w:r>
          </w:p>
          <w:p w14:paraId="1739FFD3" w14:textId="5F06998D"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Az adatot szolgáltató intézmény vagy csoport saját CET1 tőkéje az adatszolgáltatás vonatkozási dátumának időpontjában. A CRR 42. cikkében említett kivételek figyelembevételével.</w:t>
            </w:r>
          </w:p>
          <w:p w14:paraId="2718040A"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Ebben a sorban nem tüntethetők fel a figyelembe nem vehető tőkeinstrumentumként szerepeltetett részvények.</w:t>
            </w:r>
          </w:p>
          <w:p w14:paraId="5F5FCAEC"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feltüntetendő érték magában foglalja a saját részvényekhez kapcsolódó ázsiót.</w:t>
            </w:r>
          </w:p>
          <w:p w14:paraId="78F8B106"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 1.1.1.1.4–1.1.1.1.4.3. tételek nem foglalják magukban a saját CET1 tőkeinstrumentumok megvásárlására vonatkozó tényleges vagy függő kötelezettségeket. A saját CET1 tőkeinstrumentumok megvásárlására vonatkozó tényleges vagy függő kötelezettségeket külön kell feltüntetni az 1.1.1.1.5. tételben.</w:t>
            </w:r>
          </w:p>
        </w:tc>
      </w:tr>
      <w:tr w:rsidR="001B1411" w:rsidRPr="00DA7625" w14:paraId="43F77E74" w14:textId="77777777" w:rsidTr="00672D2A">
        <w:tc>
          <w:tcPr>
            <w:tcW w:w="1129" w:type="dxa"/>
          </w:tcPr>
          <w:p w14:paraId="222B2025"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080</w:t>
            </w:r>
          </w:p>
        </w:tc>
        <w:tc>
          <w:tcPr>
            <w:tcW w:w="7620" w:type="dxa"/>
          </w:tcPr>
          <w:p w14:paraId="6B7D02E1" w14:textId="77777777" w:rsidR="001B1411" w:rsidRPr="00DA7625" w:rsidRDefault="00666996">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1.1.1.1.4.1</w:t>
            </w:r>
            <w:r w:rsidRPr="00DA7625">
              <w:rPr>
                <w:rStyle w:val="InstructionsTabelleberschrift"/>
                <w:rFonts w:ascii="Times New Roman" w:hAnsi="Times New Roman"/>
                <w:sz w:val="24"/>
              </w:rPr>
              <w:tab/>
              <w:t>(–) Közvetlen részesedések CET1 tőkeinstrumentumokban</w:t>
            </w:r>
          </w:p>
          <w:p w14:paraId="35E470F8" w14:textId="01EF04A3" w:rsidR="001B1411" w:rsidRPr="00DA7625" w:rsidRDefault="00C7103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36. cikke (1) bekezdésének f) pontja, valamint 42. cikke</w:t>
            </w:r>
          </w:p>
          <w:p w14:paraId="17CE9E0E"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 xml:space="preserve">A konszolidált csoportba tartozó intézmények tulajdonában lévő, az 1.1.1.1. tételnél megadott elsődleges alapvető tőkeinstrumentumok. </w:t>
            </w:r>
          </w:p>
          <w:p w14:paraId="6C924F42" w14:textId="499188B4"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feltüntetendő érték magában foglalja a kereskedési könyvben nyilvántartott, a nettó hosszú pozíció alapján a CRR 42. cikkének a) pontja szerint számított részesedéseket.</w:t>
            </w:r>
          </w:p>
        </w:tc>
      </w:tr>
      <w:tr w:rsidR="001B1411" w:rsidRPr="00DA7625" w14:paraId="0000EDB1" w14:textId="77777777" w:rsidTr="00672D2A">
        <w:tc>
          <w:tcPr>
            <w:tcW w:w="1129" w:type="dxa"/>
          </w:tcPr>
          <w:p w14:paraId="08BAFC24"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090</w:t>
            </w:r>
          </w:p>
        </w:tc>
        <w:tc>
          <w:tcPr>
            <w:tcW w:w="7620" w:type="dxa"/>
          </w:tcPr>
          <w:p w14:paraId="086795F2" w14:textId="77777777" w:rsidR="001B1411" w:rsidRPr="00DA7625" w:rsidRDefault="00666996">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1.1.1.1.4.2</w:t>
            </w:r>
            <w:r w:rsidRPr="00DA7625">
              <w:rPr>
                <w:rStyle w:val="InstructionsTabelleberschrift"/>
                <w:rFonts w:ascii="Times New Roman" w:hAnsi="Times New Roman"/>
                <w:sz w:val="24"/>
              </w:rPr>
              <w:tab/>
              <w:t>(–) Közvetett részesedések CET1 tőkeinstrumentumokban</w:t>
            </w:r>
          </w:p>
          <w:p w14:paraId="08F0267B" w14:textId="6A1A2781"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114. pontja, 36. cikke (1) bekezdésének f) pontja, valamint 42. cikke</w:t>
            </w:r>
          </w:p>
        </w:tc>
      </w:tr>
      <w:tr w:rsidR="001B1411" w:rsidRPr="00DA7625" w14:paraId="20E3E2F0" w14:textId="77777777" w:rsidTr="00672D2A">
        <w:tc>
          <w:tcPr>
            <w:tcW w:w="1129" w:type="dxa"/>
          </w:tcPr>
          <w:p w14:paraId="3EAB4AD6"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091</w:t>
            </w:r>
          </w:p>
          <w:p w14:paraId="4C62BBAD" w14:textId="77777777" w:rsidR="001B1411" w:rsidRPr="00DA7625" w:rsidRDefault="001B1411">
            <w:pPr>
              <w:pStyle w:val="InstructionsText"/>
              <w:rPr>
                <w:rStyle w:val="FormatvorlageInstructionsTabelleText"/>
                <w:rFonts w:ascii="Times New Roman" w:hAnsi="Times New Roman"/>
                <w:sz w:val="24"/>
              </w:rPr>
            </w:pPr>
          </w:p>
        </w:tc>
        <w:tc>
          <w:tcPr>
            <w:tcW w:w="7620" w:type="dxa"/>
          </w:tcPr>
          <w:p w14:paraId="02C6AB80" w14:textId="77777777" w:rsidR="001B1411" w:rsidRPr="00DA7625" w:rsidRDefault="00666996">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1.1.1.1.4.3</w:t>
            </w:r>
            <w:r w:rsidRPr="00DA7625">
              <w:rPr>
                <w:rStyle w:val="InstructionsTabelleberschrift"/>
                <w:rFonts w:ascii="Times New Roman" w:hAnsi="Times New Roman"/>
                <w:sz w:val="24"/>
              </w:rPr>
              <w:tab/>
              <w:t>(–) Szintetikus részesedések CET1 tőkeinstrumentumokban</w:t>
            </w:r>
          </w:p>
          <w:p w14:paraId="1AAE0433" w14:textId="58938820" w:rsidR="001B1411" w:rsidRPr="00DA7625" w:rsidRDefault="00FF2818">
            <w:pPr>
              <w:pStyle w:val="InstructionsText"/>
              <w:rPr>
                <w:rStyle w:val="InstructionsTabelleberschrift"/>
                <w:rFonts w:ascii="Times New Roman" w:hAnsi="Times New Roman"/>
                <w:b w:val="0"/>
                <w:sz w:val="24"/>
                <w:u w:val="none"/>
              </w:rPr>
            </w:pPr>
            <w:r w:rsidRPr="00DA7625">
              <w:rPr>
                <w:rStyle w:val="FormatvorlageInstructionsTabelleText"/>
                <w:rFonts w:ascii="Times New Roman" w:hAnsi="Times New Roman"/>
                <w:sz w:val="24"/>
              </w:rPr>
              <w:t>A CRR 4. cikke (1) bekezdésének 126. pontja, 36. cikke (1) bekezdésének f) pontja, valamint 42. cikke</w:t>
            </w:r>
          </w:p>
        </w:tc>
      </w:tr>
      <w:tr w:rsidR="001B1411" w:rsidRPr="00DA7625" w14:paraId="00DCCD96" w14:textId="77777777" w:rsidTr="00672D2A">
        <w:tc>
          <w:tcPr>
            <w:tcW w:w="1129" w:type="dxa"/>
          </w:tcPr>
          <w:p w14:paraId="6185C376"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092</w:t>
            </w:r>
          </w:p>
        </w:tc>
        <w:tc>
          <w:tcPr>
            <w:tcW w:w="7620" w:type="dxa"/>
          </w:tcPr>
          <w:p w14:paraId="63A8817F" w14:textId="77777777" w:rsidR="001B1411" w:rsidRPr="00DA7625" w:rsidRDefault="00666996">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1.1.1.1.5</w:t>
            </w:r>
            <w:r w:rsidRPr="00DA7625">
              <w:rPr>
                <w:rStyle w:val="InstructionsTabelleberschrift"/>
                <w:rFonts w:ascii="Times New Roman" w:hAnsi="Times New Roman"/>
                <w:sz w:val="24"/>
              </w:rPr>
              <w:tab/>
              <w:t>(–) Saját CET1 tőkeinstrumentumok megvásárlására vonatkozó tényleges vagy függő kötelezettségek</w:t>
            </w:r>
          </w:p>
          <w:p w14:paraId="527CDA19" w14:textId="3A81C4CA" w:rsidR="001B1411" w:rsidRPr="00DA7625" w:rsidRDefault="00C7103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36. cikke (1) bekezdésének f) pontja, valamint 42. cikke</w:t>
            </w:r>
          </w:p>
          <w:p w14:paraId="1AC7DFAE" w14:textId="1F67528D" w:rsidR="001B1411" w:rsidRPr="00DA7625" w:rsidRDefault="002648B0">
            <w:pPr>
              <w:pStyle w:val="InstructionsText"/>
              <w:rPr>
                <w:rStyle w:val="InstructionsTabelleberschrift"/>
                <w:rFonts w:ascii="Times New Roman" w:hAnsi="Times New Roman"/>
                <w:b w:val="0"/>
                <w:bCs w:val="0"/>
                <w:sz w:val="24"/>
                <w:u w:val="none"/>
              </w:rPr>
            </w:pPr>
            <w:r w:rsidRPr="00DA7625">
              <w:t xml:space="preserve">A </w:t>
            </w:r>
            <w:r w:rsidRPr="00DA7625">
              <w:rPr>
                <w:rStyle w:val="InstructionsTabelleberschrift"/>
                <w:rFonts w:ascii="Times New Roman" w:hAnsi="Times New Roman"/>
                <w:b w:val="0"/>
                <w:sz w:val="24"/>
                <w:u w:val="none"/>
              </w:rPr>
              <w:t>CRR 36. cikke (1) bekezdésének</w:t>
            </w:r>
            <w:r w:rsidRPr="00DA7625">
              <w:t xml:space="preserve"> </w:t>
            </w:r>
            <w:r w:rsidRPr="00DA7625">
              <w:rPr>
                <w:rStyle w:val="FormatvorlageInstructionsTabelleText"/>
                <w:rFonts w:ascii="Times New Roman" w:hAnsi="Times New Roman"/>
                <w:sz w:val="24"/>
              </w:rPr>
              <w:t>f) pontja</w:t>
            </w:r>
            <w:r w:rsidRPr="00DA7625">
              <w:t xml:space="preserve"> </w:t>
            </w:r>
            <w:r w:rsidRPr="00DA7625">
              <w:rPr>
                <w:rStyle w:val="InstructionsTabelleberschrift"/>
                <w:rFonts w:ascii="Times New Roman" w:hAnsi="Times New Roman"/>
                <w:b w:val="0"/>
                <w:sz w:val="24"/>
                <w:u w:val="none"/>
              </w:rPr>
              <w:t>szerint</w:t>
            </w:r>
            <w:r w:rsidRPr="00DA7625">
              <w:t xml:space="preserve"> le kell vonni „az olyan elsődleges alapvető tőkeinstrumentumokat […], amelyek megvásárlására az intézménynek tényleges vagy függő kötelezettsége van egy hatályos szerződéses kötelezettség értelmében”.</w:t>
            </w:r>
          </w:p>
        </w:tc>
      </w:tr>
      <w:tr w:rsidR="001B1411" w:rsidRPr="00DA7625" w14:paraId="677C9282" w14:textId="77777777" w:rsidTr="00672D2A">
        <w:tc>
          <w:tcPr>
            <w:tcW w:w="1129" w:type="dxa"/>
          </w:tcPr>
          <w:p w14:paraId="31C7AFE3"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130</w:t>
            </w:r>
          </w:p>
        </w:tc>
        <w:tc>
          <w:tcPr>
            <w:tcW w:w="7620" w:type="dxa"/>
          </w:tcPr>
          <w:p w14:paraId="54B35A60" w14:textId="77777777" w:rsidR="001B1411" w:rsidRPr="00DA7625" w:rsidRDefault="00666996">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1.1.1.2</w:t>
            </w:r>
            <w:r w:rsidRPr="00DA7625">
              <w:rPr>
                <w:rStyle w:val="InstructionsTabelleberschrift"/>
                <w:rFonts w:ascii="Times New Roman" w:hAnsi="Times New Roman"/>
                <w:sz w:val="24"/>
              </w:rPr>
              <w:tab/>
              <w:t>Eredménytartalék</w:t>
            </w:r>
          </w:p>
          <w:p w14:paraId="7F9F0214" w14:textId="76239CE9" w:rsidR="001B1411" w:rsidRPr="00DA7625" w:rsidRDefault="00C7103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26. cikke (1) bekezdésének c) pontja, valamint 26. cikkének (2) bekezdése</w:t>
            </w:r>
          </w:p>
          <w:p w14:paraId="121FC2B0"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 eredménytartalék az előző évi eredménytartalékot és a figyelembe vehető évközi vagy év végi nyereséget vagy veszteséget foglalja magában.</w:t>
            </w:r>
          </w:p>
        </w:tc>
      </w:tr>
      <w:tr w:rsidR="001B1411" w:rsidRPr="00DA7625" w14:paraId="66BA7DC6" w14:textId="77777777" w:rsidTr="00672D2A">
        <w:tc>
          <w:tcPr>
            <w:tcW w:w="1129" w:type="dxa"/>
          </w:tcPr>
          <w:p w14:paraId="310D6463"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140</w:t>
            </w:r>
          </w:p>
        </w:tc>
        <w:tc>
          <w:tcPr>
            <w:tcW w:w="7620" w:type="dxa"/>
          </w:tcPr>
          <w:p w14:paraId="69D0F7AA" w14:textId="77777777" w:rsidR="001B1411" w:rsidRPr="00DA7625" w:rsidRDefault="00666996">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1.1.1.2.1</w:t>
            </w:r>
            <w:r w:rsidRPr="00DA7625">
              <w:rPr>
                <w:rStyle w:val="InstructionsTabelleberschrift"/>
                <w:rFonts w:ascii="Times New Roman" w:hAnsi="Times New Roman"/>
                <w:sz w:val="24"/>
              </w:rPr>
              <w:tab/>
              <w:t>Előző évek eredménytartaléka</w:t>
            </w:r>
          </w:p>
          <w:p w14:paraId="10BA1C76" w14:textId="20AE3E88"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123. pontja, valamint 26. cikke (1) bekezdésének c) pontja</w:t>
            </w:r>
          </w:p>
          <w:p w14:paraId="4EE29D54" w14:textId="50C1D167"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A CRR 4. cikke (1) bekezdésének 123. pontja szerint az eredménytartalék »az alkalmazandó számviteli szabályozás alapján az eredmény végső alkalmazásának következtében áthozott eredmény«.</w:t>
            </w:r>
          </w:p>
        </w:tc>
      </w:tr>
      <w:tr w:rsidR="001B1411" w:rsidRPr="00DA7625" w14:paraId="24B21B52" w14:textId="77777777" w:rsidTr="00672D2A">
        <w:tc>
          <w:tcPr>
            <w:tcW w:w="1129" w:type="dxa"/>
          </w:tcPr>
          <w:p w14:paraId="1B78021A"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150</w:t>
            </w:r>
          </w:p>
        </w:tc>
        <w:tc>
          <w:tcPr>
            <w:tcW w:w="7620" w:type="dxa"/>
          </w:tcPr>
          <w:p w14:paraId="65F56BDF" w14:textId="77777777" w:rsidR="001B1411" w:rsidRPr="00DA7625" w:rsidRDefault="00666996">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1.1.1.2.2</w:t>
            </w:r>
            <w:r w:rsidRPr="00DA7625">
              <w:rPr>
                <w:rStyle w:val="InstructionsTabelleberschrift"/>
                <w:rFonts w:ascii="Times New Roman" w:hAnsi="Times New Roman"/>
                <w:sz w:val="24"/>
              </w:rPr>
              <w:tab/>
              <w:t>Figyelembe vehető nyereség/veszteség</w:t>
            </w:r>
          </w:p>
          <w:p w14:paraId="13382E58" w14:textId="2ABB384B"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121. pontja, 26. cikkének (2) bekezdése, valamint 36. cikke (1) bekezdésének a) pontja</w:t>
            </w:r>
          </w:p>
          <w:p w14:paraId="6D56A1C2" w14:textId="6B6B541C"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 xml:space="preserve">A CRR 26. cikkének (2) bekezdése bizonyos feltételek teljesülése esetén megengedi az évközi vagy év végi nyereségnek az eredménytartalékba történő beszámítását, ha azt az illetékes hatóságok előzetesen engedélyezik. </w:t>
            </w:r>
          </w:p>
          <w:p w14:paraId="2F888DBB" w14:textId="51E68DC6"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Ugyanakkor a veszteségeket a CRR 36. cikke (1) bekezdésének a) pontja szerint le kell vonni a CET1 tőkéből.</w:t>
            </w:r>
          </w:p>
        </w:tc>
      </w:tr>
      <w:tr w:rsidR="001B1411" w:rsidRPr="00DA7625" w14:paraId="5A972F21" w14:textId="77777777" w:rsidTr="00672D2A">
        <w:tc>
          <w:tcPr>
            <w:tcW w:w="1129" w:type="dxa"/>
          </w:tcPr>
          <w:p w14:paraId="5FCEF134"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160</w:t>
            </w:r>
          </w:p>
        </w:tc>
        <w:tc>
          <w:tcPr>
            <w:tcW w:w="7620" w:type="dxa"/>
          </w:tcPr>
          <w:p w14:paraId="21083E9F" w14:textId="77777777" w:rsidR="001B1411" w:rsidRPr="00DA7625" w:rsidRDefault="00666996">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1.1.1.2.2.1</w:t>
            </w:r>
            <w:r w:rsidRPr="00DA7625">
              <w:rPr>
                <w:rStyle w:val="InstructionsTabelleberschrift"/>
                <w:rFonts w:ascii="Times New Roman" w:hAnsi="Times New Roman"/>
                <w:sz w:val="24"/>
              </w:rPr>
              <w:tab/>
              <w:t>Az anyavállalat tulajdonosainak tulajdonítható eredmény</w:t>
            </w:r>
          </w:p>
          <w:p w14:paraId="54570E5C" w14:textId="03247E76"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26. cikkének (2) bekezdése, valamint 36. cikke (1) bekezdésének a) pontja</w:t>
            </w:r>
          </w:p>
          <w:p w14:paraId="2ACECCE5"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feltüntetendő érték a számviteli eredménykimutatásban szereplő eredmény.</w:t>
            </w:r>
          </w:p>
        </w:tc>
      </w:tr>
      <w:tr w:rsidR="001B1411" w:rsidRPr="00DA7625" w14:paraId="47FDAD54" w14:textId="77777777" w:rsidTr="00672D2A">
        <w:tc>
          <w:tcPr>
            <w:tcW w:w="1129" w:type="dxa"/>
          </w:tcPr>
          <w:p w14:paraId="74F7D8D5"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170</w:t>
            </w:r>
          </w:p>
        </w:tc>
        <w:tc>
          <w:tcPr>
            <w:tcW w:w="7620" w:type="dxa"/>
          </w:tcPr>
          <w:p w14:paraId="63464708" w14:textId="77777777" w:rsidR="001B1411" w:rsidRPr="00DA7625" w:rsidRDefault="00666996">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1.1.1.2.2.2</w:t>
            </w:r>
            <w:r w:rsidRPr="00DA7625">
              <w:rPr>
                <w:rStyle w:val="InstructionsTabelleberschrift"/>
                <w:rFonts w:ascii="Times New Roman" w:hAnsi="Times New Roman"/>
                <w:sz w:val="24"/>
              </w:rPr>
              <w:tab/>
              <w:t>(–) Az évközi vagy év végi nyereség figyelembe nem vehető része</w:t>
            </w:r>
          </w:p>
          <w:p w14:paraId="1A1FEE3A" w14:textId="2A14388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26. cikkének (2) bekezdése</w:t>
            </w:r>
          </w:p>
          <w:p w14:paraId="5602E543" w14:textId="64C96DB5"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Ebben a sorban nem szerepelhet adat akkor, ha az intézmény a referencia-időszakra veszteséget számolt el. Ennek az az oka, hogy a veszteségek teljes összegét le kell vonni a CET1 tőkéből.</w:t>
            </w:r>
          </w:p>
          <w:p w14:paraId="48220C0A" w14:textId="6EA03A71"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Ha az intézmény nyereséget számol el, akkor a CRR 26. cikkének (2) bekezdése szerint figyelembe nem vehető részt (vagyis a nem auditált nyereséget és az előre látható terhet vagy osztalékot) kell feltüntetni.</w:t>
            </w:r>
          </w:p>
          <w:p w14:paraId="5D34A729"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Ügyelni kell arra, hogy nyereség esetén legalább az évközi osztalék összege levonandó.</w:t>
            </w:r>
          </w:p>
        </w:tc>
      </w:tr>
      <w:tr w:rsidR="001B1411" w:rsidRPr="00DA7625" w14:paraId="78CCB38F" w14:textId="77777777" w:rsidTr="00672D2A">
        <w:tc>
          <w:tcPr>
            <w:tcW w:w="1129" w:type="dxa"/>
          </w:tcPr>
          <w:p w14:paraId="69EF5CC2"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180</w:t>
            </w:r>
          </w:p>
        </w:tc>
        <w:tc>
          <w:tcPr>
            <w:tcW w:w="7620" w:type="dxa"/>
          </w:tcPr>
          <w:p w14:paraId="1EC6783D" w14:textId="77777777" w:rsidR="001B1411" w:rsidRPr="00DA7625" w:rsidRDefault="00666996">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1.1.1.3</w:t>
            </w:r>
            <w:r w:rsidRPr="00DA7625">
              <w:rPr>
                <w:rStyle w:val="InstructionsTabelleberschrift"/>
                <w:rFonts w:ascii="Times New Roman" w:hAnsi="Times New Roman"/>
                <w:sz w:val="24"/>
              </w:rPr>
              <w:tab/>
              <w:t>Halmozott egyéb átfogó jövedelem</w:t>
            </w:r>
          </w:p>
          <w:p w14:paraId="3EFF7601" w14:textId="09590A5E"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100. pontja, valamint 26. cikke (1) bekezdésének d) pontja</w:t>
            </w:r>
          </w:p>
          <w:p w14:paraId="695EE6E4"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feltüntetendő érték a kiszámítás időpontjában előre látható adóterhek levonásával kapott, a prudenciális szűrők alkalmazása előtti összeg. A feltüntetendő értéket a 241/2014/EU felhatalmazáson alapuló bizottsági rendelet</w:t>
            </w:r>
            <w:r w:rsidRPr="00DA7625">
              <w:rPr>
                <w:rStyle w:val="FootnoteReference"/>
                <w:rFonts w:ascii="Times New Roman" w:hAnsi="Times New Roman"/>
                <w:bCs/>
                <w:sz w:val="24"/>
                <w:szCs w:val="24"/>
                <w:vertAlign w:val="superscript"/>
              </w:rPr>
              <w:footnoteReference w:id="6"/>
            </w:r>
            <w:r w:rsidRPr="00DA7625">
              <w:rPr>
                <w:rStyle w:val="FormatvorlageInstructionsTabelleText"/>
                <w:rFonts w:ascii="Times New Roman" w:hAnsi="Times New Roman"/>
                <w:sz w:val="24"/>
              </w:rPr>
              <w:t xml:space="preserve"> 13. cikke (4) bekezdésének megfelelően </w:t>
            </w:r>
            <w:r w:rsidRPr="00DA7625">
              <w:rPr>
                <w:rStyle w:val="FormatvorlageInstructionsTabelleText"/>
                <w:rFonts w:ascii="Times New Roman" w:hAnsi="Times New Roman"/>
                <w:iCs/>
                <w:sz w:val="24"/>
              </w:rPr>
              <w:t>kell meghatározni</w:t>
            </w:r>
            <w:r w:rsidRPr="00DA7625">
              <w:rPr>
                <w:rStyle w:val="FormatvorlageInstructionsTabelleText"/>
                <w:rFonts w:ascii="Times New Roman" w:hAnsi="Times New Roman"/>
                <w:sz w:val="24"/>
              </w:rPr>
              <w:t xml:space="preserve">. </w:t>
            </w:r>
          </w:p>
        </w:tc>
      </w:tr>
      <w:tr w:rsidR="001B1411" w:rsidRPr="00DA7625" w14:paraId="3D05A61F" w14:textId="77777777" w:rsidTr="00672D2A">
        <w:tc>
          <w:tcPr>
            <w:tcW w:w="1129" w:type="dxa"/>
          </w:tcPr>
          <w:p w14:paraId="60116304"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200</w:t>
            </w:r>
          </w:p>
        </w:tc>
        <w:tc>
          <w:tcPr>
            <w:tcW w:w="7620" w:type="dxa"/>
          </w:tcPr>
          <w:p w14:paraId="16108A37" w14:textId="77777777" w:rsidR="001B1411" w:rsidRPr="00DA7625" w:rsidRDefault="00666996">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1.1.1.4</w:t>
            </w:r>
            <w:r w:rsidRPr="00DA7625">
              <w:rPr>
                <w:rStyle w:val="InstructionsTabelleberschrift"/>
                <w:rFonts w:ascii="Times New Roman" w:hAnsi="Times New Roman"/>
                <w:sz w:val="24"/>
              </w:rPr>
              <w:tab/>
              <w:t>Egyéb tartalékok</w:t>
            </w:r>
          </w:p>
          <w:p w14:paraId="139319D4" w14:textId="4EE7EB6F"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117. pontja, valamint 26. cikke (1) bekezdésének e) pontja</w:t>
            </w:r>
          </w:p>
          <w:p w14:paraId="0D529630"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A CRR meghatározása szerint az egyéb tartalékok »az alkalmazandó számviteli szabályozás szerinti tartalékok, amelyeket az említett alkalmazandó számviteli standard alapján nyilvánosságra kell hozni, kivéve azokat az összegeket, amelyeket már tartalmaz a halmozott egyéb átfogó jövedelem vagy az eredménytartalék«.</w:t>
            </w:r>
          </w:p>
          <w:p w14:paraId="34585D72"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feltüntetendő érték a kiszámítás időpontjában előre látható adóterhek levonásával kapott összeg.</w:t>
            </w:r>
          </w:p>
        </w:tc>
      </w:tr>
      <w:tr w:rsidR="001B1411" w:rsidRPr="00DA7625" w14:paraId="4FCB04FF" w14:textId="77777777" w:rsidTr="00672D2A">
        <w:tc>
          <w:tcPr>
            <w:tcW w:w="1129" w:type="dxa"/>
          </w:tcPr>
          <w:p w14:paraId="1CC2C696"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210</w:t>
            </w:r>
          </w:p>
        </w:tc>
        <w:tc>
          <w:tcPr>
            <w:tcW w:w="7620" w:type="dxa"/>
          </w:tcPr>
          <w:p w14:paraId="77491B5E" w14:textId="77777777" w:rsidR="001B1411" w:rsidRPr="00DA7625" w:rsidRDefault="00666996">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1.1.1.5</w:t>
            </w:r>
            <w:r w:rsidRPr="00DA7625">
              <w:rPr>
                <w:rStyle w:val="InstructionsTabelleberschrift"/>
                <w:rFonts w:ascii="Times New Roman" w:hAnsi="Times New Roman"/>
                <w:sz w:val="24"/>
              </w:rPr>
              <w:tab/>
              <w:t>Általános banki kockázatok fedezetére képzett tartalékok</w:t>
            </w:r>
          </w:p>
          <w:p w14:paraId="4AABCBCD" w14:textId="6BDD2735"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112. pontja, valamint 26. cikke (1) bekezdésének f) pontja</w:t>
            </w:r>
          </w:p>
          <w:p w14:paraId="3BB64B9E" w14:textId="42785550"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BAD 38. cikkének meghatározása szerint az általános banki kockázatok fedezetére képzett tartalékok olyan összegek, »amelyeknek elkülönítéséről a hitelintézet a szóban forgó kockázatok fedezetének biztosítása érdekében dönt, amennyiben ezt a banki ügyletekhez kapcsolódó különleges kockázat megköveteli.«</w:t>
            </w:r>
          </w:p>
          <w:p w14:paraId="5B7FC590"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feltüntetendő érték a kiszámítás időpontjában előre látható adóterhek levonásával kapott összeg.</w:t>
            </w:r>
          </w:p>
        </w:tc>
      </w:tr>
      <w:tr w:rsidR="001B1411" w:rsidRPr="00DA7625" w14:paraId="325532D0" w14:textId="77777777" w:rsidTr="00672D2A">
        <w:tc>
          <w:tcPr>
            <w:tcW w:w="1129" w:type="dxa"/>
          </w:tcPr>
          <w:p w14:paraId="3A8B82C1"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220</w:t>
            </w:r>
          </w:p>
        </w:tc>
        <w:tc>
          <w:tcPr>
            <w:tcW w:w="7620" w:type="dxa"/>
          </w:tcPr>
          <w:p w14:paraId="1523F0F8" w14:textId="77777777" w:rsidR="001B1411" w:rsidRPr="00DA7625" w:rsidRDefault="00666996">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1.1.1.6</w:t>
            </w:r>
            <w:r w:rsidRPr="00DA7625">
              <w:rPr>
                <w:rStyle w:val="InstructionsTabelleberschrift"/>
                <w:rFonts w:ascii="Times New Roman" w:hAnsi="Times New Roman"/>
                <w:sz w:val="24"/>
              </w:rPr>
              <w:tab/>
              <w:t>Szerzett jogok alapján figyelembe vett CET1 tőkeinstrumentumok miatti átmeneti kiigazítások</w:t>
            </w:r>
          </w:p>
          <w:p w14:paraId="1EE01F2E" w14:textId="12F81D41" w:rsidR="001B1411" w:rsidRPr="00DA7625" w:rsidRDefault="002C66A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483. cikkének (1)–(3) bekezdése, valamint 484–487. cikke</w:t>
            </w:r>
          </w:p>
          <w:p w14:paraId="1718ED52"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szerzett jogokkal kapcsolatos rendelkezések alapján átmenetileg CET1 tőkének minősített tőkeinstrumentumok összege. A feltüntetendő értéket közvetlenül a CA5 tábláról kell átvezetni.</w:t>
            </w:r>
          </w:p>
        </w:tc>
      </w:tr>
      <w:tr w:rsidR="001B1411" w:rsidRPr="00DA7625" w14:paraId="18E51550" w14:textId="77777777" w:rsidTr="00672D2A">
        <w:tc>
          <w:tcPr>
            <w:tcW w:w="1129" w:type="dxa"/>
          </w:tcPr>
          <w:p w14:paraId="098B2F1B"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230</w:t>
            </w:r>
          </w:p>
        </w:tc>
        <w:tc>
          <w:tcPr>
            <w:tcW w:w="7620" w:type="dxa"/>
          </w:tcPr>
          <w:p w14:paraId="3B9AD49C" w14:textId="77777777" w:rsidR="001B1411" w:rsidRPr="00DA7625" w:rsidRDefault="00666996">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1.1.1.7</w:t>
            </w:r>
            <w:r w:rsidRPr="00DA7625">
              <w:rPr>
                <w:rStyle w:val="InstructionsTabelleberschrift"/>
                <w:rFonts w:ascii="Times New Roman" w:hAnsi="Times New Roman"/>
                <w:sz w:val="24"/>
              </w:rPr>
              <w:tab/>
              <w:t>CET1 tőkében megjelenített kisebbségi részesedés</w:t>
            </w:r>
          </w:p>
          <w:p w14:paraId="3DDB282F" w14:textId="073FBB1F"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120. pontja, valamint 84. cikke</w:t>
            </w:r>
          </w:p>
          <w:p w14:paraId="1BA15FCE"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leányvállalatok összes kisebbségi részesedésének a konszolidált elsődleges alapvető tőkébe beszámított összege.</w:t>
            </w:r>
          </w:p>
        </w:tc>
      </w:tr>
      <w:tr w:rsidR="001B1411" w:rsidRPr="00DA7625" w14:paraId="71777011" w14:textId="77777777" w:rsidTr="00672D2A">
        <w:tc>
          <w:tcPr>
            <w:tcW w:w="1129" w:type="dxa"/>
          </w:tcPr>
          <w:p w14:paraId="276F6FBC"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240</w:t>
            </w:r>
          </w:p>
        </w:tc>
        <w:tc>
          <w:tcPr>
            <w:tcW w:w="7620" w:type="dxa"/>
          </w:tcPr>
          <w:p w14:paraId="791E58AF" w14:textId="77777777" w:rsidR="001B1411" w:rsidRPr="00DA7625" w:rsidRDefault="002648B0">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1.1.1.8</w:t>
            </w:r>
            <w:r w:rsidRPr="00DA7625">
              <w:rPr>
                <w:rStyle w:val="InstructionsTabelleberschrift"/>
                <w:rFonts w:ascii="Times New Roman" w:hAnsi="Times New Roman"/>
                <w:sz w:val="24"/>
              </w:rPr>
              <w:tab/>
              <w:t>Kisebbségi részesedések és megfelelőik miatti átmeneti kiigazítások</w:t>
            </w:r>
          </w:p>
          <w:p w14:paraId="1C3D262A" w14:textId="32FA4E09"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479. és 480. cikke</w:t>
            </w:r>
          </w:p>
          <w:p w14:paraId="70EDE502"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kisebbségi részesedésekben az átmeneti rendelkezések miatt végrehajtott kiigazítások. A tételt közvetlenül a CA5 tábláról kell átvezetni.</w:t>
            </w:r>
          </w:p>
        </w:tc>
      </w:tr>
      <w:tr w:rsidR="001B1411" w:rsidRPr="00DA7625" w14:paraId="05F0470A" w14:textId="77777777" w:rsidTr="00672D2A">
        <w:tc>
          <w:tcPr>
            <w:tcW w:w="1129" w:type="dxa"/>
          </w:tcPr>
          <w:p w14:paraId="0E131D36"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250</w:t>
            </w:r>
          </w:p>
        </w:tc>
        <w:tc>
          <w:tcPr>
            <w:tcW w:w="7620" w:type="dxa"/>
          </w:tcPr>
          <w:p w14:paraId="0E545CCA" w14:textId="77777777" w:rsidR="001B1411" w:rsidRPr="00DA7625" w:rsidRDefault="002648B0">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1.1.1.9</w:t>
            </w:r>
            <w:r w:rsidRPr="00DA7625">
              <w:rPr>
                <w:rStyle w:val="InstructionsTabelleberschrift"/>
                <w:rFonts w:ascii="Times New Roman" w:hAnsi="Times New Roman"/>
                <w:sz w:val="24"/>
              </w:rPr>
              <w:tab/>
              <w:t>Prudenciális szűrők miatt végrehajtott kiigazítások a CET1 tőkében</w:t>
            </w:r>
          </w:p>
          <w:p w14:paraId="55785F63" w14:textId="479072D8"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 xml:space="preserve">A CRR 32–35. cikke </w:t>
            </w:r>
          </w:p>
        </w:tc>
      </w:tr>
      <w:tr w:rsidR="001B1411" w:rsidRPr="00DA7625" w14:paraId="49C45845" w14:textId="77777777" w:rsidTr="00672D2A">
        <w:tc>
          <w:tcPr>
            <w:tcW w:w="1129" w:type="dxa"/>
          </w:tcPr>
          <w:p w14:paraId="6DE1F796"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260</w:t>
            </w:r>
          </w:p>
        </w:tc>
        <w:tc>
          <w:tcPr>
            <w:tcW w:w="7620" w:type="dxa"/>
          </w:tcPr>
          <w:p w14:paraId="10E43519" w14:textId="77777777" w:rsidR="001B1411" w:rsidRPr="00DA7625" w:rsidRDefault="002648B0">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1.1.1.9.1</w:t>
            </w:r>
            <w:r w:rsidRPr="00DA7625">
              <w:rPr>
                <w:rStyle w:val="InstructionsTabelleberschrift"/>
                <w:rFonts w:ascii="Times New Roman" w:hAnsi="Times New Roman"/>
                <w:sz w:val="24"/>
              </w:rPr>
              <w:tab/>
              <w:t>(–) Értékpapírosított eszközökből származó növekedés a saját tőkében</w:t>
            </w:r>
          </w:p>
          <w:p w14:paraId="1DD5C073" w14:textId="0B92B348"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32. cikkének (1) bekezdése</w:t>
            </w:r>
          </w:p>
          <w:p w14:paraId="2C44B061" w14:textId="63069033"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feltüntetendő érték az intézmény saját tőkéjének az alkalmazandó számviteli szabályozás szerint az értékpapírosított eszközökből származó növekedése.</w:t>
            </w:r>
          </w:p>
          <w:p w14:paraId="622F4058"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Ez a tétel magában foglalja például azt a jövőbeli kamatjövedelmet, amely az intézmény számára értékesítésből származó nyereséget eredményez, vagy az értékpapírosítás kezdeményezője esetében az értékpapírosított eszközökből származó jövőbeni jövedelem tőkésítéséből származó és az értékpapírosítás hitelminőségét javító nettó nyereséget.</w:t>
            </w:r>
          </w:p>
        </w:tc>
      </w:tr>
      <w:tr w:rsidR="001B1411" w:rsidRPr="00DA7625" w14:paraId="616CB529" w14:textId="77777777" w:rsidTr="00672D2A">
        <w:tc>
          <w:tcPr>
            <w:tcW w:w="1129" w:type="dxa"/>
          </w:tcPr>
          <w:p w14:paraId="0C7B22EA"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270</w:t>
            </w:r>
          </w:p>
        </w:tc>
        <w:tc>
          <w:tcPr>
            <w:tcW w:w="7620" w:type="dxa"/>
          </w:tcPr>
          <w:p w14:paraId="6AF7284C" w14:textId="77777777" w:rsidR="001B1411" w:rsidRPr="00DA7625" w:rsidRDefault="002648B0">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1.1.1.9.2</w:t>
            </w:r>
            <w:r w:rsidRPr="00DA7625">
              <w:rPr>
                <w:rStyle w:val="InstructionsTabelleberschrift"/>
                <w:rFonts w:ascii="Times New Roman" w:hAnsi="Times New Roman"/>
                <w:sz w:val="24"/>
              </w:rPr>
              <w:tab/>
              <w:t>Cash flow fedezeti ügyletek tartaléka</w:t>
            </w:r>
          </w:p>
          <w:p w14:paraId="26D1DBC7" w14:textId="0760FF2C" w:rsidR="001B1411" w:rsidRPr="00DA7625" w:rsidRDefault="00C7103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33. cikke (1) bekezdésének a) pontja</w:t>
            </w:r>
          </w:p>
          <w:p w14:paraId="5BE937FC" w14:textId="2F2A02C4"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feltüntetendő érték pozitív vagy negatív lehet. Pozitív akkor, ha a cash flow fedezeti ügyleteken veszteség keletkezik (vagyis ha az csökkenti a számviteli tőkét), és fordítva. Ennélfogva előjele ellentétes a számviteli kimutatásokban szereplő tételek előjelével.</w:t>
            </w:r>
          </w:p>
          <w:p w14:paraId="1D159E75" w14:textId="79B8F37D"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 összeg a kiszámítás időpontjában előre látható adóterhek levonásával kapott összeg.</w:t>
            </w:r>
          </w:p>
        </w:tc>
      </w:tr>
      <w:tr w:rsidR="001B1411" w:rsidRPr="00DA7625" w14:paraId="3331F14D" w14:textId="77777777" w:rsidTr="00672D2A">
        <w:tc>
          <w:tcPr>
            <w:tcW w:w="1129" w:type="dxa"/>
          </w:tcPr>
          <w:p w14:paraId="226ECAC0"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280</w:t>
            </w:r>
          </w:p>
        </w:tc>
        <w:tc>
          <w:tcPr>
            <w:tcW w:w="7620" w:type="dxa"/>
          </w:tcPr>
          <w:p w14:paraId="0F64EDF6" w14:textId="77777777" w:rsidR="001B1411" w:rsidRPr="00DA7625" w:rsidRDefault="002648B0">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1.1.1.9.3</w:t>
            </w:r>
            <w:r w:rsidRPr="00DA7625">
              <w:rPr>
                <w:rStyle w:val="InstructionsTabelleberschrift"/>
                <w:rFonts w:ascii="Times New Roman" w:hAnsi="Times New Roman"/>
                <w:sz w:val="24"/>
              </w:rPr>
              <w:tab/>
              <w:t>Valós értéken értékelt kötelezettségekben a saját hitelkockázat változásából származó halmozott nyereség vagy veszteség</w:t>
            </w:r>
          </w:p>
          <w:p w14:paraId="2E09B169" w14:textId="4761FDE4" w:rsidR="001B1411" w:rsidRPr="00DA7625" w:rsidRDefault="00C7103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33. cikke (1) bekezdésének b) pontja</w:t>
            </w:r>
          </w:p>
          <w:p w14:paraId="44E7E814" w14:textId="1555FADC"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feltüntetendő érték pozitív vagy negatív lehet. Pozitív akkor, ha a saját hitelkockázat változásaiból veszteség származik (vagyis ha az csökkenti a számviteli tőkét), és fordítva. Ennélfogva előjele ellentétes a számviteli kimutatásokban szereplő tételek előjelével.</w:t>
            </w:r>
          </w:p>
          <w:p w14:paraId="0FBF266E"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tétel nem tartalmazhat nem auditált nyereséget.</w:t>
            </w:r>
          </w:p>
        </w:tc>
      </w:tr>
      <w:tr w:rsidR="001B1411" w:rsidRPr="00DA7625" w14:paraId="2E3DE2D0" w14:textId="77777777" w:rsidTr="00672D2A">
        <w:tc>
          <w:tcPr>
            <w:tcW w:w="1129" w:type="dxa"/>
          </w:tcPr>
          <w:p w14:paraId="1E02D850"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285</w:t>
            </w:r>
          </w:p>
        </w:tc>
        <w:tc>
          <w:tcPr>
            <w:tcW w:w="7620" w:type="dxa"/>
          </w:tcPr>
          <w:p w14:paraId="6E313785" w14:textId="77777777" w:rsidR="001B1411" w:rsidRPr="00DA7625" w:rsidRDefault="00855D5F">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1.1.1.9.4</w:t>
            </w:r>
            <w:r w:rsidRPr="00DA7625">
              <w:rPr>
                <w:rStyle w:val="InstructionsTabelleberschrift"/>
                <w:rFonts w:ascii="Times New Roman" w:hAnsi="Times New Roman"/>
                <w:sz w:val="24"/>
              </w:rPr>
              <w:tab/>
              <w:t>Származtatott ügyletekből eredő kötelezettségekhez kapcsolódó, az intézmény saját hitelkockázatából adódó valósérték-növekedés és -csökkenés</w:t>
            </w:r>
          </w:p>
          <w:p w14:paraId="712BEDF0" w14:textId="3F8F3540" w:rsidR="001B1411" w:rsidRPr="00DA7625" w:rsidRDefault="00C7103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33. cikke (1) bekezdésének c) pontja, valamint 33. cikkének (2) bekezdése</w:t>
            </w:r>
          </w:p>
          <w:p w14:paraId="3D53FD82" w14:textId="73FA9B58"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feltüntetendő érték pozitív vagy negatív lehet. Pozitív akkor, ha a saját hitelkockázat változásaiból veszteség származik, és fordítva. Ennélfogva előjele ellentétes a számviteli kimutatásokban szereplő tételek előjelével.</w:t>
            </w:r>
          </w:p>
          <w:p w14:paraId="5A313EAA" w14:textId="77777777" w:rsidR="001B1411" w:rsidRPr="00DA7625" w:rsidRDefault="00666996">
            <w:pPr>
              <w:pStyle w:val="InstructionsText"/>
              <w:rPr>
                <w:rStyle w:val="InstructionsTabelleberschrift"/>
                <w:rFonts w:ascii="Times New Roman" w:hAnsi="Times New Roman"/>
                <w:b w:val="0"/>
                <w:sz w:val="24"/>
                <w:u w:val="none"/>
              </w:rPr>
            </w:pPr>
            <w:r w:rsidRPr="00DA7625">
              <w:rPr>
                <w:rStyle w:val="FormatvorlageInstructionsTabelleText"/>
                <w:rFonts w:ascii="Times New Roman" w:hAnsi="Times New Roman"/>
                <w:sz w:val="24"/>
              </w:rPr>
              <w:t>A tétel nem tartalmazhat nem auditált nyereséget.</w:t>
            </w:r>
          </w:p>
        </w:tc>
      </w:tr>
      <w:tr w:rsidR="001B1411" w:rsidRPr="00DA7625" w14:paraId="208AE925" w14:textId="77777777" w:rsidTr="00672D2A">
        <w:tc>
          <w:tcPr>
            <w:tcW w:w="1129" w:type="dxa"/>
          </w:tcPr>
          <w:p w14:paraId="17332459"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290</w:t>
            </w:r>
          </w:p>
        </w:tc>
        <w:tc>
          <w:tcPr>
            <w:tcW w:w="7620" w:type="dxa"/>
          </w:tcPr>
          <w:p w14:paraId="20063B8E" w14:textId="77777777" w:rsidR="001B1411" w:rsidRPr="00DA7625" w:rsidRDefault="00855D5F">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1.1.1.9.5</w:t>
            </w:r>
            <w:r w:rsidRPr="00DA7625">
              <w:rPr>
                <w:rStyle w:val="InstructionsTabelleberschrift"/>
                <w:rFonts w:ascii="Times New Roman" w:hAnsi="Times New Roman"/>
                <w:sz w:val="24"/>
              </w:rPr>
              <w:tab/>
              <w:t>(–) Prudens értékelés követelményei miatti értékelési korrekció</w:t>
            </w:r>
          </w:p>
          <w:p w14:paraId="2A278C88" w14:textId="7026853D"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34. és 105. cikke</w:t>
            </w:r>
          </w:p>
          <w:p w14:paraId="4A46FDFE" w14:textId="720D63A3"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kereskedési könyvben vagy a nem kereskedési könyvben nyilvántartott kitettségek valós értékének kiigazításai, amelyekre a CRR 105. cikkében a prudenciális értékelésre vonatkozóan előírt szigorúbb szabályok miatt kerül sor.</w:t>
            </w:r>
          </w:p>
        </w:tc>
      </w:tr>
      <w:tr w:rsidR="001B1411" w:rsidRPr="00DA7625" w14:paraId="5372AADC" w14:textId="77777777" w:rsidTr="00672D2A">
        <w:tc>
          <w:tcPr>
            <w:tcW w:w="1129" w:type="dxa"/>
          </w:tcPr>
          <w:p w14:paraId="0C1EEB30"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300</w:t>
            </w:r>
          </w:p>
        </w:tc>
        <w:tc>
          <w:tcPr>
            <w:tcW w:w="7620" w:type="dxa"/>
          </w:tcPr>
          <w:p w14:paraId="19315380" w14:textId="77777777" w:rsidR="001B1411" w:rsidRPr="00DA7625" w:rsidRDefault="00855D5F">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1.1.1.10</w:t>
            </w:r>
            <w:r w:rsidRPr="00DA7625">
              <w:rPr>
                <w:rStyle w:val="InstructionsTabelleberschrift"/>
                <w:rFonts w:ascii="Times New Roman" w:hAnsi="Times New Roman"/>
                <w:sz w:val="24"/>
              </w:rPr>
              <w:tab/>
              <w:t>(–) Cégérték (goodwill)</w:t>
            </w:r>
          </w:p>
          <w:p w14:paraId="145D1EC8" w14:textId="3997E37C"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113. pontja, 36. cikke (1) bekezdésének b) pontja, valamint 37. cikke</w:t>
            </w:r>
          </w:p>
        </w:tc>
      </w:tr>
      <w:tr w:rsidR="001B1411" w:rsidRPr="00DA7625" w14:paraId="1874F0BE" w14:textId="77777777" w:rsidTr="00672D2A">
        <w:tc>
          <w:tcPr>
            <w:tcW w:w="1129" w:type="dxa"/>
          </w:tcPr>
          <w:p w14:paraId="71118958"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310</w:t>
            </w:r>
          </w:p>
        </w:tc>
        <w:tc>
          <w:tcPr>
            <w:tcW w:w="7620" w:type="dxa"/>
          </w:tcPr>
          <w:p w14:paraId="48CEE37D" w14:textId="77777777" w:rsidR="001B1411" w:rsidRPr="00DA7625" w:rsidRDefault="00855D5F">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1.1.1.10.1</w:t>
            </w:r>
            <w:r w:rsidRPr="00DA7625">
              <w:rPr>
                <w:rStyle w:val="InstructionsTabelleberschrift"/>
                <w:rFonts w:ascii="Times New Roman" w:hAnsi="Times New Roman"/>
                <w:sz w:val="24"/>
              </w:rPr>
              <w:tab/>
              <w:t>(–) Immateriális javak között elszámolt cégérték</w:t>
            </w:r>
          </w:p>
          <w:p w14:paraId="43FA0941" w14:textId="54520822"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A CRR 4. cikke (1) bekezdésének 113. pontja, valamint 36. cikke (1) bekezdésének b) pontja</w:t>
            </w:r>
          </w:p>
          <w:p w14:paraId="6A41CA18"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cégérték jelentése egyezik az alkalmazandó számviteli szabályozás szerinti jelentéssel.</w:t>
            </w:r>
          </w:p>
          <w:p w14:paraId="78F2DF7F"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 itt feltüntetendő érték azonos a mérlegben szerepeltetett összeggel.</w:t>
            </w:r>
          </w:p>
        </w:tc>
      </w:tr>
      <w:tr w:rsidR="001B1411" w:rsidRPr="00DA7625" w14:paraId="3CC7E9BB" w14:textId="77777777" w:rsidTr="00672D2A">
        <w:tc>
          <w:tcPr>
            <w:tcW w:w="1129" w:type="dxa"/>
          </w:tcPr>
          <w:p w14:paraId="59446830"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320</w:t>
            </w:r>
          </w:p>
        </w:tc>
        <w:tc>
          <w:tcPr>
            <w:tcW w:w="7620" w:type="dxa"/>
          </w:tcPr>
          <w:p w14:paraId="305DD800" w14:textId="77777777" w:rsidR="001B1411" w:rsidRPr="00DA7625" w:rsidRDefault="00855D5F">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1.1.1.10.2</w:t>
            </w:r>
            <w:r w:rsidRPr="00DA7625">
              <w:rPr>
                <w:rStyle w:val="InstructionsTabelleberschrift"/>
                <w:rFonts w:ascii="Times New Roman" w:hAnsi="Times New Roman"/>
                <w:sz w:val="24"/>
              </w:rPr>
              <w:tab/>
              <w:t>(–) Jelentős részesedések értékelésébe beszámított cégérték</w:t>
            </w:r>
          </w:p>
          <w:p w14:paraId="1B343452" w14:textId="56739FDE" w:rsidR="001B1411" w:rsidRPr="00DA7625" w:rsidRDefault="00C7103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37. cikkének b) pontja, valamint 43. cikke</w:t>
            </w:r>
          </w:p>
        </w:tc>
      </w:tr>
      <w:tr w:rsidR="001B1411" w:rsidRPr="00DA7625" w14:paraId="4130F963" w14:textId="77777777" w:rsidTr="00672D2A">
        <w:tc>
          <w:tcPr>
            <w:tcW w:w="1129" w:type="dxa"/>
          </w:tcPr>
          <w:p w14:paraId="5C5E90C2"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330</w:t>
            </w:r>
          </w:p>
        </w:tc>
        <w:tc>
          <w:tcPr>
            <w:tcW w:w="7620" w:type="dxa"/>
          </w:tcPr>
          <w:p w14:paraId="32E45CE9" w14:textId="77777777" w:rsidR="001B1411" w:rsidRPr="00DA7625" w:rsidRDefault="00AD70F1">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1.1.1.10.3</w:t>
            </w:r>
            <w:r w:rsidRPr="00DA7625">
              <w:rPr>
                <w:rStyle w:val="InstructionsTabelleberschrift"/>
                <w:rFonts w:ascii="Times New Roman" w:hAnsi="Times New Roman"/>
                <w:sz w:val="24"/>
              </w:rPr>
              <w:tab/>
              <w:t>Cégértékhez kapcsolódó halasztott adókötelezettségek</w:t>
            </w:r>
          </w:p>
          <w:p w14:paraId="7DCD28D6" w14:textId="2CC8FA11" w:rsidR="001B1411" w:rsidRPr="00DA7625" w:rsidRDefault="00C7103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37. cikkének a) pontja</w:t>
            </w:r>
          </w:p>
          <w:p w14:paraId="42A4A3E9"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Azon halasztott adókötelezettségek összege, amelyek megszűnnének, ha a cégérték értékvesztést szenvedne el, vagy az alkalmazandó számviteli szabályozás szerint kivezetésre kerülne.</w:t>
            </w:r>
          </w:p>
        </w:tc>
      </w:tr>
      <w:tr w:rsidR="001B1411" w:rsidRPr="00DA7625" w14:paraId="2F7C856C" w14:textId="77777777" w:rsidTr="00672D2A">
        <w:tc>
          <w:tcPr>
            <w:tcW w:w="1129" w:type="dxa"/>
          </w:tcPr>
          <w:p w14:paraId="0EDC1958"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340</w:t>
            </w:r>
          </w:p>
        </w:tc>
        <w:tc>
          <w:tcPr>
            <w:tcW w:w="7620" w:type="dxa"/>
          </w:tcPr>
          <w:p w14:paraId="2CC4F84C" w14:textId="77777777" w:rsidR="001B1411" w:rsidRPr="00DA7625" w:rsidRDefault="00AD70F1">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1.1.1.11</w:t>
            </w:r>
            <w:r w:rsidRPr="00DA7625">
              <w:rPr>
                <w:rStyle w:val="InstructionsTabelleberschrift"/>
                <w:rFonts w:ascii="Times New Roman" w:hAnsi="Times New Roman"/>
                <w:sz w:val="24"/>
              </w:rPr>
              <w:tab/>
              <w:t>(–) Egyéb immateriális javak</w:t>
            </w:r>
          </w:p>
          <w:p w14:paraId="1B763F59" w14:textId="601657FD"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115. pontja, 36. cikke (1) bekezdésének b) pontja, valamint 37. cikkének a) pontja</w:t>
            </w:r>
          </w:p>
          <w:p w14:paraId="2268F49A" w14:textId="77777777" w:rsidR="001B1411" w:rsidRPr="00DA7625" w:rsidRDefault="009339C1">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 egyéb immateriális javak értéke az alkalmazandó számviteli szabályozás szerint immateriális javaknak minősülő eszközök értéke, amelyet a cégérték az alkalmazandó számviteli szabályozás szerint csökkent.</w:t>
            </w:r>
          </w:p>
        </w:tc>
      </w:tr>
      <w:tr w:rsidR="001B1411" w:rsidRPr="00DA7625" w14:paraId="1A7DBB64" w14:textId="77777777" w:rsidTr="00672D2A">
        <w:tc>
          <w:tcPr>
            <w:tcW w:w="1129" w:type="dxa"/>
          </w:tcPr>
          <w:p w14:paraId="57175307"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350</w:t>
            </w:r>
          </w:p>
        </w:tc>
        <w:tc>
          <w:tcPr>
            <w:tcW w:w="7620" w:type="dxa"/>
          </w:tcPr>
          <w:p w14:paraId="34D928BB" w14:textId="77777777" w:rsidR="001B1411" w:rsidRPr="00DA7625" w:rsidRDefault="00AD70F1">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1.1.1.11.1</w:t>
            </w:r>
            <w:r w:rsidRPr="00DA7625">
              <w:rPr>
                <w:rStyle w:val="InstructionsTabelleberschrift"/>
                <w:rFonts w:ascii="Times New Roman" w:hAnsi="Times New Roman"/>
                <w:sz w:val="24"/>
              </w:rPr>
              <w:tab/>
              <w:t>(–) Egyéb immateriális javak a halasztott adókötelezettségek levonása előtt</w:t>
            </w:r>
          </w:p>
          <w:p w14:paraId="09FC6B13" w14:textId="675B3BC7"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115. pontja, valamint 36. cikke (1) bekezdésének b) pontja</w:t>
            </w:r>
          </w:p>
          <w:p w14:paraId="33A462EA"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 egyéb immateriális javak értéke az alkalmazandó számviteli szabályozás szerint immateriális javaknak minősülő eszközök értéke, amelyet a cégérték az alkalmazandó számviteli szabályozás szerint csökkent.</w:t>
            </w:r>
          </w:p>
          <w:p w14:paraId="44736886" w14:textId="321141F2"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 itt feltüntetendő érték megegyezik a mérlegben szerepeltetett, a cégértéken kívüli immateriális javak értékével.</w:t>
            </w:r>
          </w:p>
        </w:tc>
      </w:tr>
      <w:tr w:rsidR="001B1411" w:rsidRPr="00DA7625" w14:paraId="6B24970D" w14:textId="77777777" w:rsidTr="00672D2A">
        <w:tc>
          <w:tcPr>
            <w:tcW w:w="1129" w:type="dxa"/>
          </w:tcPr>
          <w:p w14:paraId="648AB595"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360</w:t>
            </w:r>
          </w:p>
        </w:tc>
        <w:tc>
          <w:tcPr>
            <w:tcW w:w="7620" w:type="dxa"/>
          </w:tcPr>
          <w:p w14:paraId="3864EF32" w14:textId="77777777" w:rsidR="001B1411" w:rsidRPr="00DA7625" w:rsidRDefault="00AD70F1">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1.1.1.11.2</w:t>
            </w:r>
            <w:r w:rsidRPr="00DA7625">
              <w:rPr>
                <w:rStyle w:val="InstructionsTabelleberschrift"/>
                <w:rFonts w:ascii="Times New Roman" w:hAnsi="Times New Roman"/>
                <w:sz w:val="24"/>
              </w:rPr>
              <w:tab/>
              <w:t>Egyéb immateriális javakhoz kapcsolódó halasztott adókötelezettségek</w:t>
            </w:r>
          </w:p>
          <w:p w14:paraId="13391161" w14:textId="5B1BB608" w:rsidR="001B1411" w:rsidRPr="00DA7625" w:rsidRDefault="00C7103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37. cikkének a) pontja</w:t>
            </w:r>
          </w:p>
          <w:p w14:paraId="0F5C8345"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Azon halasztott adókötelezettségek összege, amelyek megszűnnének, ha a cégértéken kívüli immateriális javak értékvesztést szenvednének el, vagy az alkalmazandó számviteli szabályozás szerint kivezetésre kerülnének.</w:t>
            </w:r>
          </w:p>
        </w:tc>
      </w:tr>
      <w:tr w:rsidR="001B1411" w:rsidRPr="00DA7625" w14:paraId="11B50A40" w14:textId="77777777" w:rsidTr="00672D2A">
        <w:tc>
          <w:tcPr>
            <w:tcW w:w="1129" w:type="dxa"/>
          </w:tcPr>
          <w:p w14:paraId="75C3B545"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370</w:t>
            </w:r>
          </w:p>
        </w:tc>
        <w:tc>
          <w:tcPr>
            <w:tcW w:w="7620" w:type="dxa"/>
          </w:tcPr>
          <w:p w14:paraId="700E1977" w14:textId="77777777" w:rsidR="001B1411" w:rsidRPr="00DA7625" w:rsidRDefault="00F9591C">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1.1.1.12</w:t>
            </w:r>
            <w:r w:rsidRPr="00DA7625">
              <w:rPr>
                <w:rStyle w:val="InstructionsTabelleberschrift"/>
                <w:rFonts w:ascii="Times New Roman" w:hAnsi="Times New Roman"/>
                <w:sz w:val="24"/>
              </w:rPr>
              <w:tab/>
              <w:t>(–) Jövőbeli nyereségtől függően érvényesíthető, nem átmeneti különbözetből eredő halasztott adókövetelések kapcsolódó adókötelezettségek levonásával</w:t>
            </w:r>
          </w:p>
          <w:p w14:paraId="67F3DEBE" w14:textId="70E9EC98" w:rsidR="001B1411" w:rsidRPr="00DA7625" w:rsidRDefault="00C7103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36. cikke (1) bekezdésének c) pontja, valamint 38. cikke</w:t>
            </w:r>
          </w:p>
        </w:tc>
      </w:tr>
      <w:tr w:rsidR="001B1411" w:rsidRPr="00DA7625" w14:paraId="088B47E6" w14:textId="77777777" w:rsidTr="00672D2A">
        <w:tc>
          <w:tcPr>
            <w:tcW w:w="1129" w:type="dxa"/>
          </w:tcPr>
          <w:p w14:paraId="6956E9F4"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380</w:t>
            </w:r>
          </w:p>
        </w:tc>
        <w:tc>
          <w:tcPr>
            <w:tcW w:w="7620" w:type="dxa"/>
          </w:tcPr>
          <w:p w14:paraId="465A1207" w14:textId="77777777" w:rsidR="001B1411" w:rsidRPr="00DA7625" w:rsidRDefault="00F9591C">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1.1.1.13</w:t>
            </w:r>
            <w:r w:rsidRPr="00DA7625">
              <w:rPr>
                <w:rStyle w:val="InstructionsTabelleberschrift"/>
                <w:rFonts w:ascii="Times New Roman" w:hAnsi="Times New Roman"/>
                <w:sz w:val="24"/>
              </w:rPr>
              <w:tab/>
              <w:t>(–) Hitelkockázati kiigazítások IRB-módszerrel számított hiánya a várható veszteséghez viszonyítva</w:t>
            </w:r>
          </w:p>
          <w:p w14:paraId="08726EF6" w14:textId="216ECB5D" w:rsidR="001B1411" w:rsidRPr="00DA7625" w:rsidRDefault="00C7103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36. cikke (1) bekezdésének d) pontja, valamint 40., 158. és 159. cikke</w:t>
            </w:r>
          </w:p>
          <w:p w14:paraId="291793BB" w14:textId="327C8015"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A feltüntetendő érték nem csökkenhet a jövőbeli nyereségtől függően érvényesíthető halasztott adókövetelések szintjének emelkedésével vagy egyéb kiegészítő adóhatással, amely akkor keletkezhet, ha a céltartalékok a várható veszteségek szintjére emelkednének (a CRR 40. cikke).</w:t>
            </w:r>
          </w:p>
        </w:tc>
      </w:tr>
      <w:tr w:rsidR="001B1411" w:rsidRPr="00DA7625" w14:paraId="52AF5EE2" w14:textId="77777777" w:rsidTr="00672D2A">
        <w:tc>
          <w:tcPr>
            <w:tcW w:w="1129" w:type="dxa"/>
          </w:tcPr>
          <w:p w14:paraId="625209A9"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390</w:t>
            </w:r>
          </w:p>
        </w:tc>
        <w:tc>
          <w:tcPr>
            <w:tcW w:w="7620" w:type="dxa"/>
          </w:tcPr>
          <w:p w14:paraId="004980B3" w14:textId="77777777" w:rsidR="001B1411" w:rsidRPr="00DA7625" w:rsidRDefault="00F9591C">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1.1.1.14</w:t>
            </w:r>
            <w:r w:rsidRPr="00DA7625">
              <w:rPr>
                <w:rStyle w:val="InstructionsTabelleberschrift"/>
                <w:rFonts w:ascii="Times New Roman" w:hAnsi="Times New Roman"/>
                <w:sz w:val="24"/>
              </w:rPr>
              <w:tab/>
              <w:t>(–) Meghatározott szolgáltatást nyújtó nyugdíjalapban lévő eszközök</w:t>
            </w:r>
          </w:p>
          <w:p w14:paraId="1EDB0083" w14:textId="75F698AA" w:rsidR="001B1411" w:rsidRPr="00DA7625" w:rsidRDefault="00214FDA">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109. pontja, 36. cikke (1) bekezdésének e) pontja, valamint 41. cikke</w:t>
            </w:r>
          </w:p>
        </w:tc>
      </w:tr>
      <w:tr w:rsidR="001B1411" w:rsidRPr="00DA7625" w14:paraId="287C1312" w14:textId="77777777" w:rsidTr="00672D2A">
        <w:tc>
          <w:tcPr>
            <w:tcW w:w="1129" w:type="dxa"/>
          </w:tcPr>
          <w:p w14:paraId="2CD7DC4B"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400</w:t>
            </w:r>
          </w:p>
        </w:tc>
        <w:tc>
          <w:tcPr>
            <w:tcW w:w="7620" w:type="dxa"/>
          </w:tcPr>
          <w:p w14:paraId="702AFB11" w14:textId="77777777" w:rsidR="001B1411" w:rsidRPr="00DA7625" w:rsidRDefault="00F9591C">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1.1.1.14.1</w:t>
            </w:r>
            <w:r w:rsidRPr="00DA7625">
              <w:rPr>
                <w:rStyle w:val="InstructionsTabelleberschrift"/>
                <w:rFonts w:ascii="Times New Roman" w:hAnsi="Times New Roman"/>
                <w:sz w:val="24"/>
              </w:rPr>
              <w:tab/>
              <w:t xml:space="preserve">(–) Meghatározott szolgáltatást nyújtó nyugdíjalapban lévő eszközök </w:t>
            </w:r>
          </w:p>
          <w:p w14:paraId="3BEEA281" w14:textId="60966540"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109. pontja, valamint 36. cikke (1) bekezdésének e) pontja</w:t>
            </w:r>
          </w:p>
          <w:p w14:paraId="4CDCF4EC"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meghatározott szolgáltatást nyújtó nyugdíjalapban lévő eszközök egy meghatározott szolgáltatást nyújtó nyugdíjalap vagy adott esetben konstrukció eszközei, az ugyanazon alap vagy konstrukció kötelezettségeinek összegével csökkentve.</w:t>
            </w:r>
          </w:p>
          <w:p w14:paraId="53ACD534"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 itt feltüntetendő érték megegyezik a mérlegben szerepeltetett összeggel, ha ott is külön tüntették fel.</w:t>
            </w:r>
          </w:p>
        </w:tc>
      </w:tr>
      <w:tr w:rsidR="001B1411" w:rsidRPr="00DA7625" w14:paraId="23971C79" w14:textId="77777777" w:rsidTr="00672D2A">
        <w:tc>
          <w:tcPr>
            <w:tcW w:w="1129" w:type="dxa"/>
          </w:tcPr>
          <w:p w14:paraId="3AF45196"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410</w:t>
            </w:r>
          </w:p>
        </w:tc>
        <w:tc>
          <w:tcPr>
            <w:tcW w:w="7620" w:type="dxa"/>
          </w:tcPr>
          <w:p w14:paraId="49EABC3C" w14:textId="77777777" w:rsidR="001B1411" w:rsidRPr="00DA7625" w:rsidRDefault="00F9591C">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1.1.1.14.2</w:t>
            </w:r>
            <w:r w:rsidRPr="00DA7625">
              <w:rPr>
                <w:rStyle w:val="InstructionsTabelleberschrift"/>
                <w:rFonts w:ascii="Times New Roman" w:hAnsi="Times New Roman"/>
                <w:sz w:val="24"/>
              </w:rPr>
              <w:tab/>
              <w:t>Meghatározott szolgáltatást nyújtó nyugdíjalapban lévő eszközökhöz kapcsolódó halasztott adókötelezettségek</w:t>
            </w:r>
          </w:p>
          <w:p w14:paraId="4D443458" w14:textId="1D421394" w:rsidR="001B1411" w:rsidRPr="00DA7625" w:rsidRDefault="002C66A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108. és 109. pontja, valamint 41. cikke (1) bekezdésének a) pontja</w:t>
            </w:r>
          </w:p>
          <w:p w14:paraId="4C98F90C"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Azon halasztott adókötelezettségek összege, amelyek megszűnnének, ha a meghatározott szolgáltatást nyújtó nyugdíjalapban lévő eszközök értékvesztést szenvednének el, vagy az alkalmazandó számviteli szabályozás szerint kivezetésre kerülnének.</w:t>
            </w:r>
          </w:p>
        </w:tc>
      </w:tr>
      <w:tr w:rsidR="001B1411" w:rsidRPr="00DA7625" w14:paraId="526CED26" w14:textId="77777777" w:rsidTr="00672D2A">
        <w:tc>
          <w:tcPr>
            <w:tcW w:w="1129" w:type="dxa"/>
          </w:tcPr>
          <w:p w14:paraId="772C22FF"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420</w:t>
            </w:r>
          </w:p>
        </w:tc>
        <w:tc>
          <w:tcPr>
            <w:tcW w:w="7620" w:type="dxa"/>
          </w:tcPr>
          <w:p w14:paraId="7347970E" w14:textId="77777777" w:rsidR="001B1411" w:rsidRPr="00DA7625" w:rsidRDefault="00F9591C">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1.1.1.14.3</w:t>
            </w:r>
            <w:r w:rsidRPr="00DA7625">
              <w:rPr>
                <w:rStyle w:val="InstructionsTabelleberschrift"/>
                <w:rFonts w:ascii="Times New Roman" w:hAnsi="Times New Roman"/>
                <w:sz w:val="24"/>
              </w:rPr>
              <w:tab/>
              <w:t>Meghatározott szolgáltatást nyújtó nyugdíjalapban lévő eszközök, amelyeket az intézmény korlátlanul képes felhasználni</w:t>
            </w:r>
          </w:p>
          <w:p w14:paraId="1C7AEF32" w14:textId="7998A6A7"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109. pontja, valamint 41. cikke (1) bekezdésének b) pontja</w:t>
            </w:r>
          </w:p>
          <w:p w14:paraId="3337156D"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Ennél a tételnél akkor adható meg összeg, ha az illetékes hatóság előzetesen engedélyezte a meghatározott szolgáltatást nyújtó nyugdíjalapban lévő eszközök összegének csökkentését.</w:t>
            </w:r>
          </w:p>
          <w:p w14:paraId="633DBC47"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 ebben a sorban szereplő eszközökhöz a hitelkockázati követelményeknek megfelelő kockázati súlyt kell rendelni.</w:t>
            </w:r>
          </w:p>
        </w:tc>
      </w:tr>
      <w:tr w:rsidR="001B1411" w:rsidRPr="00DA7625" w14:paraId="59DC2247" w14:textId="77777777" w:rsidTr="00672D2A">
        <w:tc>
          <w:tcPr>
            <w:tcW w:w="1129" w:type="dxa"/>
          </w:tcPr>
          <w:p w14:paraId="37D2A039"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430</w:t>
            </w:r>
          </w:p>
        </w:tc>
        <w:tc>
          <w:tcPr>
            <w:tcW w:w="7620" w:type="dxa"/>
          </w:tcPr>
          <w:p w14:paraId="2659873F" w14:textId="77777777" w:rsidR="001B1411" w:rsidRPr="00DA7625" w:rsidRDefault="00F9591C">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1.1.1.15</w:t>
            </w:r>
            <w:r w:rsidRPr="00DA7625">
              <w:rPr>
                <w:rStyle w:val="InstructionsTabelleberschrift"/>
                <w:rFonts w:ascii="Times New Roman" w:hAnsi="Times New Roman"/>
                <w:sz w:val="24"/>
              </w:rPr>
              <w:tab/>
              <w:t>(–) Kölcsönös részesedések CET1 tőkeinstrumentumokban</w:t>
            </w:r>
          </w:p>
          <w:p w14:paraId="53A63BE0" w14:textId="57AE6A4E"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122. pontja, 36. cikke (1) bekezdésének g) pontja, valamint 44. cikke</w:t>
            </w:r>
          </w:p>
          <w:p w14:paraId="2B53DEDC" w14:textId="4AC0DF9B"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27. pontjában meghatározott pénzügyi ágazatbeli szervezetek által kibocsátott CET1 tőkeinstrumentumok állománya olyan kölcsönös részesedés esetében, amelynek célja az illetékes hatóság véleménye szerint az intézmény szavatoló tőkéjének mesterséges megemelése.</w:t>
            </w:r>
          </w:p>
          <w:p w14:paraId="4B9979A2"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A feltüntetendő értéket a bruttó hosszú pozíciók alapján kell kiszámítani, és annak tartalmaznia kell a biztosítói 1. szintű szavatolótőke-elemeket.</w:t>
            </w:r>
          </w:p>
        </w:tc>
      </w:tr>
      <w:tr w:rsidR="001B1411" w:rsidRPr="00DA7625" w14:paraId="4EBA580A" w14:textId="77777777" w:rsidTr="00672D2A">
        <w:tc>
          <w:tcPr>
            <w:tcW w:w="1129" w:type="dxa"/>
          </w:tcPr>
          <w:p w14:paraId="6D1BE33E"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440</w:t>
            </w:r>
          </w:p>
        </w:tc>
        <w:tc>
          <w:tcPr>
            <w:tcW w:w="7620" w:type="dxa"/>
          </w:tcPr>
          <w:p w14:paraId="61E9BF7A" w14:textId="77777777" w:rsidR="001B1411" w:rsidRPr="00DA7625" w:rsidRDefault="006022CB">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1.1.1.16</w:t>
            </w:r>
            <w:r w:rsidRPr="00DA7625">
              <w:rPr>
                <w:rStyle w:val="InstructionsTabelleberschrift"/>
                <w:rFonts w:ascii="Times New Roman" w:hAnsi="Times New Roman"/>
                <w:sz w:val="24"/>
              </w:rPr>
              <w:tab/>
              <w:t xml:space="preserve">(–) AT1 tőkeelemek összegét meghaladó AT1 levonások többlete </w:t>
            </w:r>
          </w:p>
          <w:p w14:paraId="5F639232" w14:textId="644F0AB5" w:rsidR="001B1411" w:rsidRPr="00DA7625" w:rsidRDefault="00C7103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36. cikke (1) bekezdésének j) pontja</w:t>
            </w:r>
          </w:p>
          <w:p w14:paraId="09EC7111" w14:textId="475AB3F2"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feltüntetendő értéket közvetlenül a CA1 tábla „AT1 tőkeelemek összegét meghaladó AT1 levonások többlete” tételéből kell átvezetni. Az összeget a CET1 tőkéből kell levonni.</w:t>
            </w:r>
          </w:p>
        </w:tc>
      </w:tr>
      <w:tr w:rsidR="001B1411" w:rsidRPr="00DA7625" w14:paraId="35614C08" w14:textId="77777777" w:rsidTr="00672D2A">
        <w:tc>
          <w:tcPr>
            <w:tcW w:w="1129" w:type="dxa"/>
          </w:tcPr>
          <w:p w14:paraId="5DD060AE" w14:textId="77777777" w:rsidR="001B1411" w:rsidRPr="00DA7625" w:rsidRDefault="00BA1C6C">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450</w:t>
            </w:r>
          </w:p>
        </w:tc>
        <w:tc>
          <w:tcPr>
            <w:tcW w:w="7620" w:type="dxa"/>
          </w:tcPr>
          <w:p w14:paraId="1E19E661" w14:textId="7DB61DDB" w:rsidR="001B1411" w:rsidRPr="00DA7625" w:rsidRDefault="006022CB">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1.1.1.17</w:t>
            </w:r>
            <w:r w:rsidRPr="00DA7625">
              <w:rPr>
                <w:rStyle w:val="InstructionsTabelleberschrift"/>
                <w:rFonts w:ascii="Times New Roman" w:hAnsi="Times New Roman"/>
                <w:sz w:val="24"/>
              </w:rPr>
              <w:tab/>
              <w:t>(–) A pénzügyi ágazaton kívüli befolyásoló részesedések, amelyekre alternatívaként 1 250 %-os kockázati súly alkalmazható</w:t>
            </w:r>
          </w:p>
          <w:p w14:paraId="62A7D1AE" w14:textId="077AB281"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36. pontja, 36. cikke (1) bekezdése k) pontjának i. alpontja, valamint 89–91. cikke</w:t>
            </w:r>
          </w:p>
          <w:p w14:paraId="5B23F420"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befolyásoló részesedés olyan „közvetlen vagy közvetett részesedés egy vállalkozásban, amely a tőke vagy a szavazati jogok legalább 10 %-át képviseli, illetve amely lehetővé teszi számottevő befolyás gyakorlását annak a vállalkozásnak az irányítása felett”.</w:t>
            </w:r>
          </w:p>
          <w:p w14:paraId="0D594964" w14:textId="77B57BE8"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36. cikke (1) bekezdése k) pontjának i. alpontja szerint a befolyásoló részesedés (e tétel alapján) levonható a CET1 tőkéből, vagy arra 1 250 %-os kockázati súly alkalmazható.</w:t>
            </w:r>
          </w:p>
        </w:tc>
      </w:tr>
      <w:tr w:rsidR="001B1411" w:rsidRPr="00DA7625" w14:paraId="77436E8C" w14:textId="77777777" w:rsidTr="00672D2A">
        <w:tc>
          <w:tcPr>
            <w:tcW w:w="1129" w:type="dxa"/>
          </w:tcPr>
          <w:p w14:paraId="70AEAC6A" w14:textId="77777777" w:rsidR="001B1411" w:rsidRPr="00DA7625" w:rsidRDefault="00BA1C6C">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460</w:t>
            </w:r>
          </w:p>
        </w:tc>
        <w:tc>
          <w:tcPr>
            <w:tcW w:w="7620" w:type="dxa"/>
          </w:tcPr>
          <w:p w14:paraId="781952B8" w14:textId="77777777" w:rsidR="001B1411" w:rsidRPr="00DA7625" w:rsidRDefault="006022CB">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1.1.1.18</w:t>
            </w:r>
            <w:r w:rsidRPr="00DA7625">
              <w:rPr>
                <w:rStyle w:val="InstructionsTabelleberschrift"/>
                <w:rFonts w:ascii="Times New Roman" w:hAnsi="Times New Roman"/>
                <w:sz w:val="24"/>
              </w:rPr>
              <w:tab/>
              <w:t>(–) Értékpapírosítási pozíciók, amelyekre alternatívaként 1 250 %-os kockázati súly alkalmazható</w:t>
            </w:r>
          </w:p>
          <w:p w14:paraId="7E87528D" w14:textId="06860AB5" w:rsidR="001B1411" w:rsidRPr="00DA7625" w:rsidRDefault="00C7103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 xml:space="preserve">A CRR 244. cikke (1) bekezdésének b) pontja, 245. cikke (1) bekezdésének b) pontja, valamint 253. cikkének (1) bekezdése </w:t>
            </w:r>
          </w:p>
          <w:p w14:paraId="2876F937" w14:textId="5F55681E"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 olyan értékpapírosítási pozíciókat, amelyekre 1 250 %-os kockázati súly alkalmazható, vagy amelyek levonhatók a CET1 tőkéből (a CRR 36. cikke (1) bekezdése k) pontjának ii. alpontja), ebben a tételben kell feltüntetni</w:t>
            </w:r>
          </w:p>
        </w:tc>
      </w:tr>
      <w:tr w:rsidR="001B1411" w:rsidRPr="00DA7625" w14:paraId="1E8BDF63" w14:textId="77777777" w:rsidTr="00672D2A">
        <w:tc>
          <w:tcPr>
            <w:tcW w:w="1129" w:type="dxa"/>
          </w:tcPr>
          <w:p w14:paraId="70F4DA35"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470</w:t>
            </w:r>
          </w:p>
        </w:tc>
        <w:tc>
          <w:tcPr>
            <w:tcW w:w="7620" w:type="dxa"/>
          </w:tcPr>
          <w:p w14:paraId="7C640C13" w14:textId="77777777" w:rsidR="001B1411" w:rsidRPr="00DA7625" w:rsidRDefault="006022CB">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1.1.1.19</w:t>
            </w:r>
            <w:r w:rsidRPr="00DA7625">
              <w:rPr>
                <w:rStyle w:val="InstructionsTabelleberschrift"/>
                <w:rFonts w:ascii="Times New Roman" w:hAnsi="Times New Roman"/>
                <w:sz w:val="24"/>
              </w:rPr>
              <w:tab/>
              <w:t>(–) Nyitva szállítások, amelyekre alternatívaként 1 250 %-os kockázati súly alkalmazható</w:t>
            </w:r>
          </w:p>
          <w:p w14:paraId="2530399A" w14:textId="2D94A149" w:rsidR="001B1411" w:rsidRPr="00DA7625" w:rsidRDefault="00C7103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36. cikke (1) bekezdése k) pontjának iii. alpontja, valamint 379. cikkének (3) bekezdése</w:t>
            </w:r>
          </w:p>
          <w:p w14:paraId="461E96CC" w14:textId="39FC3321"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nyitva szállításokra a második szerződés szerinti fizetést vagy szállítási szakaszt követő 5. munkanaptól az ügylet megszűntéig 1 250 %-os kockázati súlyt kell alkalmazni az elszámolási kockázatra vonatkozó szavatolótőke-követelményeknek megfelelően. Alternatívaként az ilyen szállítások levonhatók a CET1 tőkéből (a CRR 36. cikke (1) bekezdése k) pontjának iii. alpontja). Ez utóbbi esetben azokat ebben a tételben kell feltüntetni.</w:t>
            </w:r>
          </w:p>
        </w:tc>
      </w:tr>
      <w:tr w:rsidR="001B1411" w:rsidRPr="00DA7625" w14:paraId="3A892529" w14:textId="77777777" w:rsidTr="00672D2A">
        <w:tc>
          <w:tcPr>
            <w:tcW w:w="1129" w:type="dxa"/>
          </w:tcPr>
          <w:p w14:paraId="7705932E"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471</w:t>
            </w:r>
          </w:p>
        </w:tc>
        <w:tc>
          <w:tcPr>
            <w:tcW w:w="7620" w:type="dxa"/>
          </w:tcPr>
          <w:p w14:paraId="2BEC5116" w14:textId="58F7D1A1" w:rsidR="001B1411" w:rsidRPr="00DA7625" w:rsidRDefault="006022CB">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1.1.1.20</w:t>
            </w:r>
            <w:r w:rsidRPr="00DA7625">
              <w:rPr>
                <w:rStyle w:val="InstructionsTabelleberschrift"/>
                <w:rFonts w:ascii="Times New Roman" w:hAnsi="Times New Roman"/>
                <w:sz w:val="24"/>
              </w:rPr>
              <w:tab/>
              <w:t>(–) Egy kosárban lévő azon pozíciók, amelyekre az intézmény nem tudja az IRB-módszer alapján meghatározni a kockázati súlyt, és amelyekre így alternatívaként 1 250 %-os kockázati súly alkalmazható</w:t>
            </w:r>
          </w:p>
          <w:p w14:paraId="23EF78C2" w14:textId="50FF0470" w:rsidR="001B1411" w:rsidRPr="00DA7625" w:rsidRDefault="00C7103D">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CRR 36. cikke (1) bekezdése k) pontjának iv. alpontja, valamint 153. cikkének (8) bekezdése</w:t>
            </w:r>
          </w:p>
          <w:p w14:paraId="34F8740F" w14:textId="351F0AB7" w:rsidR="001B1411" w:rsidRPr="00DA7625" w:rsidRDefault="00666996">
            <w:pPr>
              <w:pStyle w:val="InstructionsText"/>
              <w:rPr>
                <w:rStyle w:val="InstructionsTabelleberschrift"/>
                <w:rFonts w:ascii="Times New Roman" w:hAnsi="Times New Roman"/>
                <w:b w:val="0"/>
                <w:sz w:val="24"/>
                <w:u w:val="none"/>
              </w:rPr>
            </w:pPr>
            <w:r w:rsidRPr="00DA7625">
              <w:t xml:space="preserve">A </w:t>
            </w:r>
            <w:r w:rsidRPr="00DA7625">
              <w:rPr>
                <w:rStyle w:val="FormatvorlageInstructionsTabelleText"/>
                <w:rFonts w:ascii="Times New Roman" w:hAnsi="Times New Roman"/>
                <w:sz w:val="24"/>
              </w:rPr>
              <w:t>CRR 36. cikke (1) bekezdése k) pontjának iv. alpontja szerint</w:t>
            </w:r>
            <w:r w:rsidRPr="00DA7625">
              <w:t xml:space="preserve"> </w:t>
            </w:r>
            <w:r w:rsidRPr="00DA7625">
              <w:rPr>
                <w:rStyle w:val="InstructionsTabelleberschrift"/>
                <w:rFonts w:ascii="Times New Roman" w:hAnsi="Times New Roman"/>
                <w:b w:val="0"/>
                <w:sz w:val="24"/>
                <w:u w:val="none"/>
              </w:rPr>
              <w:t xml:space="preserve">az egy kosárban lévő azon pozíciók, amelyekre az intézmény nem tudja az IRB-módszer </w:t>
            </w:r>
            <w:r w:rsidRPr="00DA7625">
              <w:rPr>
                <w:rStyle w:val="InstructionsTabelleberschrift"/>
                <w:rFonts w:ascii="Times New Roman" w:hAnsi="Times New Roman"/>
                <w:b w:val="0"/>
                <w:sz w:val="24"/>
                <w:u w:val="none"/>
              </w:rPr>
              <w:lastRenderedPageBreak/>
              <w:t>alapján</w:t>
            </w:r>
            <w:r w:rsidRPr="00DA7625">
              <w:t xml:space="preserve"> meghatározni a kockázati súlyt, alternatív módon levonhatók (e tétel alapján) </w:t>
            </w:r>
            <w:r w:rsidRPr="00DA7625">
              <w:rPr>
                <w:rStyle w:val="FormatvorlageInstructionsTabelleText"/>
                <w:rFonts w:ascii="Times New Roman" w:hAnsi="Times New Roman"/>
                <w:sz w:val="24"/>
              </w:rPr>
              <w:t>a CET1 tőkéből, vagy azokra 1 250 %-os kockázati súly alkalmazható.</w:t>
            </w:r>
          </w:p>
        </w:tc>
      </w:tr>
      <w:tr w:rsidR="001B1411" w:rsidRPr="00DA7625" w14:paraId="3917E2A4" w14:textId="77777777" w:rsidTr="00672D2A">
        <w:tc>
          <w:tcPr>
            <w:tcW w:w="1129" w:type="dxa"/>
          </w:tcPr>
          <w:p w14:paraId="3A637B33"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472</w:t>
            </w:r>
          </w:p>
        </w:tc>
        <w:tc>
          <w:tcPr>
            <w:tcW w:w="7620" w:type="dxa"/>
          </w:tcPr>
          <w:p w14:paraId="157A1D2F" w14:textId="02EAE7E0" w:rsidR="001B1411" w:rsidRPr="00DA7625" w:rsidRDefault="006022CB">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1.1.1.21</w:t>
            </w:r>
            <w:r w:rsidRPr="00DA7625">
              <w:rPr>
                <w:rStyle w:val="InstructionsTabelleberschrift"/>
                <w:rFonts w:ascii="Times New Roman" w:hAnsi="Times New Roman"/>
                <w:sz w:val="24"/>
              </w:rPr>
              <w:tab/>
              <w:t>(–) Belső modelleken alapuló módszer hatálya alá tartozó részvényjellegű kitettségek, amelyekre alternatívaként 1 250 %-os kockázati súly alkalmazható</w:t>
            </w:r>
          </w:p>
          <w:p w14:paraId="08BE5CC2" w14:textId="448207B7" w:rsidR="001B1411" w:rsidRPr="00DA7625" w:rsidRDefault="00C7103D">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CRR 36. cikke (1) bekezdése k) pontjának v. alpontja, valamint 155. cikkének (4) bekezdése</w:t>
            </w:r>
          </w:p>
          <w:p w14:paraId="09F9394D" w14:textId="746413D7" w:rsidR="001B1411" w:rsidRPr="00DA7625" w:rsidRDefault="00666996">
            <w:pPr>
              <w:pStyle w:val="InstructionsText"/>
              <w:rPr>
                <w:rStyle w:val="InstructionsTabelleberschrift"/>
                <w:rFonts w:ascii="Times New Roman" w:hAnsi="Times New Roman"/>
                <w:b w:val="0"/>
                <w:sz w:val="24"/>
                <w:u w:val="none"/>
              </w:rPr>
            </w:pPr>
            <w:r w:rsidRPr="00DA7625">
              <w:rPr>
                <w:rStyle w:val="FormatvorlageInstructionsTabelleText"/>
                <w:rFonts w:ascii="Times New Roman" w:hAnsi="Times New Roman"/>
                <w:sz w:val="24"/>
              </w:rPr>
              <w:t>A CRR 36. cikke (1) bekezdése k) pontjának v. alpontja szerint</w:t>
            </w:r>
            <w:r w:rsidRPr="00DA7625">
              <w:t xml:space="preserve"> a </w:t>
            </w:r>
            <w:r w:rsidRPr="00DA7625">
              <w:rPr>
                <w:rStyle w:val="InstructionsTabelleberschrift"/>
                <w:rFonts w:ascii="Times New Roman" w:hAnsi="Times New Roman"/>
                <w:b w:val="0"/>
                <w:sz w:val="24"/>
                <w:u w:val="none"/>
              </w:rPr>
              <w:t>belső modelleken alapuló hatálya alá tartozó részvényjellegű kitettségek</w:t>
            </w:r>
            <w:r w:rsidRPr="00DA7625">
              <w:t xml:space="preserve"> </w:t>
            </w:r>
            <w:r w:rsidRPr="00DA7625">
              <w:rPr>
                <w:rStyle w:val="FormatvorlageInstructionsTabelleText"/>
                <w:rFonts w:ascii="Times New Roman" w:hAnsi="Times New Roman"/>
                <w:sz w:val="24"/>
              </w:rPr>
              <w:t>alternatívaként (e tétel alapján) levonhatók a CET1 tőkéből, vagy azokra 1 250 %-os kockázati súly alkalmazható.</w:t>
            </w:r>
          </w:p>
        </w:tc>
      </w:tr>
      <w:tr w:rsidR="001B1411" w:rsidRPr="00DA7625" w14:paraId="5BCBC4E2" w14:textId="77777777" w:rsidTr="00672D2A">
        <w:tc>
          <w:tcPr>
            <w:tcW w:w="1129" w:type="dxa"/>
          </w:tcPr>
          <w:p w14:paraId="645E72BC"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480</w:t>
            </w:r>
          </w:p>
        </w:tc>
        <w:tc>
          <w:tcPr>
            <w:tcW w:w="7620" w:type="dxa"/>
          </w:tcPr>
          <w:p w14:paraId="1664893D" w14:textId="77777777" w:rsidR="001B1411" w:rsidRPr="00DA7625" w:rsidRDefault="006022CB">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1.1.1.22</w:t>
            </w:r>
            <w:r w:rsidRPr="00DA7625">
              <w:rPr>
                <w:rStyle w:val="InstructionsTabelleberschrift"/>
                <w:rFonts w:ascii="Times New Roman" w:hAnsi="Times New Roman"/>
                <w:sz w:val="24"/>
              </w:rPr>
              <w:tab/>
              <w:t>(–) Pénzügyi ágazatbeli szervezetek által kibocsátott CET1 tőkeinstrumentumok, ha az intézmény nem rendelkezik jelentős részesedéssel az említett vállalkozásokban</w:t>
            </w:r>
          </w:p>
          <w:p w14:paraId="29F1B510" w14:textId="7B52DDB0"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27. pontja, 36. cikke (1) bekezdésének h) pontja, 43–46. cikke, 49. cikkének (2) és (3) bekezdése, valamint 79. cikke</w:t>
            </w:r>
          </w:p>
          <w:p w14:paraId="38BC00BA" w14:textId="35E10FEE"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27. pontjában meghatározott pénzügyi ágazatbeli szervezetek által kibocsátott instrumentumokban lévő intézményi részesedés, ha az intézmény nem rendelkezik a CET1 tőkéből levonandó jelentős részesedéssel.</w:t>
            </w:r>
          </w:p>
          <w:p w14:paraId="1F74B836" w14:textId="3AC4973D"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Levonás helyett konszolidáció esetén a 49. cikk (2) és (3) bekezdésében leírt alternatívák alkalmazhatók.</w:t>
            </w:r>
          </w:p>
        </w:tc>
      </w:tr>
      <w:tr w:rsidR="001B1411" w:rsidRPr="00DA7625" w14:paraId="631F7107" w14:textId="77777777" w:rsidTr="00672D2A">
        <w:tc>
          <w:tcPr>
            <w:tcW w:w="1129" w:type="dxa"/>
          </w:tcPr>
          <w:p w14:paraId="334D0711"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490</w:t>
            </w:r>
          </w:p>
        </w:tc>
        <w:tc>
          <w:tcPr>
            <w:tcW w:w="7620" w:type="dxa"/>
          </w:tcPr>
          <w:p w14:paraId="2D14DF68" w14:textId="77777777" w:rsidR="001B1411" w:rsidRPr="00DA7625" w:rsidRDefault="006022CB">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1.1.1.23</w:t>
            </w:r>
            <w:r w:rsidRPr="00DA7625">
              <w:rPr>
                <w:rStyle w:val="InstructionsTabelleberschrift"/>
                <w:rFonts w:ascii="Times New Roman" w:hAnsi="Times New Roman"/>
                <w:sz w:val="24"/>
              </w:rPr>
              <w:tab/>
              <w:t>(–) Levonható, jövőbeli nyereségtől függően érvényesíthető, átmeneti különbözetből eredő halasztott adókövetelések</w:t>
            </w:r>
          </w:p>
          <w:p w14:paraId="14CB7685" w14:textId="54220E70" w:rsidR="001B1411" w:rsidRPr="00DA7625" w:rsidRDefault="00C7103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36. cikke (1) bekezdésének c) pontja; a CRR 38. cikke és 48. cikke (1) bekezdésének a) pontja</w:t>
            </w:r>
          </w:p>
          <w:p w14:paraId="5C8E88B5" w14:textId="41F84E52"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 átmeneti különbözetből eredő, jövőbeli nyereségtől függően érvényesíthető halasztott adókövetelések azon része (a kapcsolódó halasztott adókötelezettségeknek a CRR 38. cikke (5) bekezdésének b) pontja szerint a halasztott adókötelezettségekre jutó, átmeneti különbözetből eredő része nélkül), amelyet a CRR 48. cikke (1) bekezdésének a) pontjában említett 10 %-os küszöb alkalmazásával le kell vonni.</w:t>
            </w:r>
          </w:p>
        </w:tc>
      </w:tr>
      <w:tr w:rsidR="001B1411" w:rsidRPr="00DA7625" w14:paraId="37D9C6E9" w14:textId="77777777" w:rsidTr="00672D2A">
        <w:tc>
          <w:tcPr>
            <w:tcW w:w="1129" w:type="dxa"/>
          </w:tcPr>
          <w:p w14:paraId="483FFB40"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500</w:t>
            </w:r>
          </w:p>
        </w:tc>
        <w:tc>
          <w:tcPr>
            <w:tcW w:w="7620" w:type="dxa"/>
          </w:tcPr>
          <w:p w14:paraId="59969AB1" w14:textId="77777777" w:rsidR="001B1411" w:rsidRPr="00DA7625" w:rsidRDefault="006022CB">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1.1.1.24</w:t>
            </w:r>
            <w:r w:rsidRPr="00DA7625">
              <w:rPr>
                <w:rStyle w:val="InstructionsTabelleberschrift"/>
                <w:rFonts w:ascii="Times New Roman" w:hAnsi="Times New Roman"/>
                <w:sz w:val="24"/>
              </w:rPr>
              <w:tab/>
              <w:t>(–) Pénzügyi ágazatbeli szervezetek által kibocsátott CET1 tőkeinstrumentumok, ha az intézmény jelentős részesedéssel rendelkezik az említett vállalkozásokban</w:t>
            </w:r>
          </w:p>
          <w:p w14:paraId="01B96D58" w14:textId="55F6CCF3"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27. pontja, 36. cikke (1) bekezdésének i) pontja, 43., 45., 47. cikke, 48. cikke (2) bekezdésének b) pontja, 49. cikkének (1), (2) és (3) bekezdése, valamint 79. cikke</w:t>
            </w:r>
          </w:p>
          <w:p w14:paraId="41A471CE" w14:textId="132D55BD"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27. pontjában meghatározott pénzügyi ágazatbeli szervezetek által kibocsátott CET1 tőkeinstrumentumokban lévő intézményi részesedés, ha az intézmény a CET1 tőkéből a CRR 48. cikke (1) bekezdésének b) pontjában említett 10 %-os küszöb alkalmazásával levonandó jelentős részesedéssel rendelkezik.</w:t>
            </w:r>
          </w:p>
          <w:p w14:paraId="5CAEC573" w14:textId="013BBB22"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Levonás helyett konszolidáció esetén a CRR 49. cikkének (1), (2) és (3) bekezdésében leírt alternatívák alkalmazhatók.</w:t>
            </w:r>
          </w:p>
        </w:tc>
      </w:tr>
      <w:tr w:rsidR="001B1411" w:rsidRPr="00DA7625" w14:paraId="29C8C1D4" w14:textId="77777777" w:rsidTr="00672D2A">
        <w:tc>
          <w:tcPr>
            <w:tcW w:w="1129" w:type="dxa"/>
          </w:tcPr>
          <w:p w14:paraId="38B0B555"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510</w:t>
            </w:r>
          </w:p>
        </w:tc>
        <w:tc>
          <w:tcPr>
            <w:tcW w:w="7620" w:type="dxa"/>
          </w:tcPr>
          <w:p w14:paraId="6E294BCD" w14:textId="77777777" w:rsidR="001B1411" w:rsidRPr="00DA7625" w:rsidRDefault="006022CB">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1.1.1.25</w:t>
            </w:r>
            <w:r w:rsidRPr="00DA7625">
              <w:rPr>
                <w:rStyle w:val="InstructionsTabelleberschrift"/>
                <w:rFonts w:ascii="Times New Roman" w:hAnsi="Times New Roman"/>
                <w:sz w:val="24"/>
              </w:rPr>
              <w:tab/>
              <w:t>(–) A 17,65 %-os küszöbértéket meghaladó összeg</w:t>
            </w:r>
          </w:p>
          <w:p w14:paraId="414DF414" w14:textId="296CB7B1"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48. cikkének (2) bekezdése</w:t>
            </w:r>
          </w:p>
          <w:p w14:paraId="66997FCD" w14:textId="5B4603DB"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Átmeneti különbözetből eredő, jövőbeli nyereségtől függően érvényesíthető halasztott adókövetelések, valamint a CRR 4. cikke (1) bekezdésének 27. pontjában meghatározott pénzügyi ágazatbeli szervezetek által kibocsátott CET1 tőkeinstrumentumokban lévő közvetlen, közvetett és szintetikus intézményi részesedés, ha az intézmény a CET1 tőkéből a CRR 48. cikkének (2) bekezdése szerinti 17,65 %-os küszöb alkalmazásával levonandó jelentős részesedéssel rendelkezik.</w:t>
            </w:r>
          </w:p>
        </w:tc>
      </w:tr>
      <w:tr w:rsidR="001B1411" w:rsidRPr="00DA7625" w14:paraId="38683572" w14:textId="77777777" w:rsidTr="00672D2A">
        <w:tc>
          <w:tcPr>
            <w:tcW w:w="1129" w:type="dxa"/>
          </w:tcPr>
          <w:p w14:paraId="15C09A24"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520</w:t>
            </w:r>
          </w:p>
        </w:tc>
        <w:tc>
          <w:tcPr>
            <w:tcW w:w="7620" w:type="dxa"/>
          </w:tcPr>
          <w:p w14:paraId="18E60C6E" w14:textId="77777777" w:rsidR="001B1411" w:rsidRPr="00DA7625" w:rsidRDefault="006022CB">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1.1.1.26</w:t>
            </w:r>
            <w:r w:rsidRPr="00DA7625">
              <w:rPr>
                <w:rStyle w:val="InstructionsTabelleberschrift"/>
                <w:rFonts w:ascii="Times New Roman" w:hAnsi="Times New Roman"/>
                <w:sz w:val="24"/>
              </w:rPr>
              <w:tab/>
              <w:t>CET1 tőke egyéb átmeneti kiigazításai</w:t>
            </w:r>
          </w:p>
          <w:p w14:paraId="4C779806" w14:textId="280ED14F"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469–472., 478. és 481. cikke</w:t>
            </w:r>
          </w:p>
          <w:p w14:paraId="231003A2"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levonásokban az átmeneti rendelkezések miatt végrehajtott kiigazítások. A feltüntetendő értéket közvetlenül a CA5 tábláról kell átvezetni.</w:t>
            </w:r>
          </w:p>
        </w:tc>
      </w:tr>
      <w:tr w:rsidR="001B1411" w:rsidRPr="00DA7625" w14:paraId="3B98C022" w14:textId="77777777" w:rsidTr="00672D2A">
        <w:tc>
          <w:tcPr>
            <w:tcW w:w="1129" w:type="dxa"/>
          </w:tcPr>
          <w:p w14:paraId="10D716DB" w14:textId="77777777" w:rsidR="001B1411" w:rsidRPr="00DA7625" w:rsidRDefault="007E39E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524</w:t>
            </w:r>
          </w:p>
        </w:tc>
        <w:tc>
          <w:tcPr>
            <w:tcW w:w="7620" w:type="dxa"/>
          </w:tcPr>
          <w:p w14:paraId="26948B21" w14:textId="77777777" w:rsidR="001B1411" w:rsidRPr="00DA7625" w:rsidRDefault="006022CB">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1.1.1.27</w:t>
            </w:r>
            <w:r w:rsidRPr="00DA7625">
              <w:rPr>
                <w:rStyle w:val="InstructionsTabelleberschrift"/>
                <w:rFonts w:ascii="Times New Roman" w:hAnsi="Times New Roman"/>
                <w:sz w:val="24"/>
              </w:rPr>
              <w:tab/>
              <w:t>(–) Pótlólagos levonások a CET1 tőkéből a CRR 3. cikke alapján</w:t>
            </w:r>
          </w:p>
          <w:p w14:paraId="2BAA33FA" w14:textId="77777777" w:rsidR="001B1411" w:rsidRPr="00DA7625" w:rsidRDefault="00A232F8">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CRR 3. cikke</w:t>
            </w:r>
          </w:p>
        </w:tc>
      </w:tr>
      <w:tr w:rsidR="001B1411" w:rsidRPr="00DA7625" w14:paraId="66F211BA" w14:textId="77777777" w:rsidTr="00672D2A">
        <w:tc>
          <w:tcPr>
            <w:tcW w:w="1129" w:type="dxa"/>
          </w:tcPr>
          <w:p w14:paraId="6E0FA8AC" w14:textId="77777777" w:rsidR="001B1411" w:rsidRPr="00DA7625" w:rsidRDefault="00A232F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529</w:t>
            </w:r>
          </w:p>
        </w:tc>
        <w:tc>
          <w:tcPr>
            <w:tcW w:w="7620" w:type="dxa"/>
          </w:tcPr>
          <w:p w14:paraId="69C6C3E5" w14:textId="77777777" w:rsidR="001B1411" w:rsidRPr="00DA7625" w:rsidRDefault="006022CB">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1.1.1.28</w:t>
            </w:r>
            <w:r w:rsidRPr="00DA7625">
              <w:rPr>
                <w:rStyle w:val="InstructionsTabelleberschrift"/>
                <w:rFonts w:ascii="Times New Roman" w:hAnsi="Times New Roman"/>
                <w:sz w:val="24"/>
              </w:rPr>
              <w:tab/>
              <w:t>CET1 tőkeelemek vagy levonások – egyéb</w:t>
            </w:r>
          </w:p>
          <w:p w14:paraId="09561A50" w14:textId="7B5F7879" w:rsidR="001B1411" w:rsidRPr="00DA7625" w:rsidRDefault="00666996">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 xml:space="preserve">E sor kizárólagos célja, hogy biztosítsa az adatszolgáltatás rugalmasságát. Csak azokban a ritka esetekben tölthető ki, amikor nincs végleges döntés az aktuális CA1 táblában szereplő egyes tőkeelemekkel vagy levonásokkal kapcsolatos adatszolgáltatásról. Következésképpen a sor csak akkor tölthető ki, ha egy CET1 tőkeelem, vagy egy CET1 tőkeelemet érintő levonás nem szerepeltethető a 020–524. sorok egyikében sem. </w:t>
            </w:r>
          </w:p>
          <w:p w14:paraId="473C14AD" w14:textId="759CACFB" w:rsidR="001B1411" w:rsidRPr="00DA7625" w:rsidRDefault="00666996">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Ez a sor nem használható a CRR-ben nem szabályozott tőkeelemeknek, illetve levonásoknak a szolvenciamutató kiszámításán belüli besorolásához (pl. olyan tagállami tőkeelemek vagy levonások besorolásához, amelyek a CRR hatályán kívül esnek).</w:t>
            </w:r>
          </w:p>
        </w:tc>
      </w:tr>
      <w:tr w:rsidR="001B1411" w:rsidRPr="00DA7625" w14:paraId="2B4DCCF1" w14:textId="77777777" w:rsidTr="00672D2A">
        <w:tc>
          <w:tcPr>
            <w:tcW w:w="1129" w:type="dxa"/>
          </w:tcPr>
          <w:p w14:paraId="6F9F0773"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530</w:t>
            </w:r>
          </w:p>
        </w:tc>
        <w:tc>
          <w:tcPr>
            <w:tcW w:w="7620" w:type="dxa"/>
          </w:tcPr>
          <w:p w14:paraId="42EDC2C9" w14:textId="77777777" w:rsidR="001B1411" w:rsidRPr="00DA7625" w:rsidRDefault="006022CB">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1.1.2</w:t>
            </w:r>
            <w:r w:rsidRPr="00DA7625">
              <w:rPr>
                <w:rStyle w:val="InstructionsTabelleberschrift"/>
                <w:rFonts w:ascii="Times New Roman" w:hAnsi="Times New Roman"/>
                <w:sz w:val="24"/>
              </w:rPr>
              <w:tab/>
              <w:t>KIEGÉSZÍTŐ ALAPVETŐ TŐKE (AT1 TŐKE)</w:t>
            </w:r>
          </w:p>
          <w:p w14:paraId="3656642C" w14:textId="16A5156B"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61. cikke</w:t>
            </w:r>
          </w:p>
        </w:tc>
      </w:tr>
      <w:tr w:rsidR="001B1411" w:rsidRPr="00DA7625" w14:paraId="26FAA104" w14:textId="77777777" w:rsidTr="00672D2A">
        <w:tc>
          <w:tcPr>
            <w:tcW w:w="1129" w:type="dxa"/>
          </w:tcPr>
          <w:p w14:paraId="62BC1509"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540</w:t>
            </w:r>
          </w:p>
        </w:tc>
        <w:tc>
          <w:tcPr>
            <w:tcW w:w="7620" w:type="dxa"/>
          </w:tcPr>
          <w:p w14:paraId="647FF227" w14:textId="77777777" w:rsidR="001B1411" w:rsidRPr="00DA7625" w:rsidRDefault="006022CB">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1.1.2.1</w:t>
            </w:r>
            <w:r w:rsidRPr="00DA7625">
              <w:rPr>
                <w:rStyle w:val="InstructionsTabelleberschrift"/>
                <w:rFonts w:ascii="Times New Roman" w:hAnsi="Times New Roman"/>
                <w:sz w:val="24"/>
              </w:rPr>
              <w:tab/>
              <w:t>Kiegészítő alapvető tőkeként figyelembe vehető tőkeinstrumentumok</w:t>
            </w:r>
          </w:p>
          <w:p w14:paraId="1B79B3FD" w14:textId="3CAF5385" w:rsidR="001B1411" w:rsidRPr="00DA7625" w:rsidRDefault="00852CA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51. cikkének a) pontja, 52–54. cikke, 56. cikkének a) pontja, valamint 57. cikke</w:t>
            </w:r>
          </w:p>
        </w:tc>
      </w:tr>
      <w:tr w:rsidR="001B1411" w:rsidRPr="00DA7625" w14:paraId="286F1605" w14:textId="77777777" w:rsidTr="00672D2A">
        <w:tc>
          <w:tcPr>
            <w:tcW w:w="1129" w:type="dxa"/>
          </w:tcPr>
          <w:p w14:paraId="77FFE174"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550</w:t>
            </w:r>
          </w:p>
        </w:tc>
        <w:tc>
          <w:tcPr>
            <w:tcW w:w="7620" w:type="dxa"/>
          </w:tcPr>
          <w:p w14:paraId="2E791887" w14:textId="77777777" w:rsidR="001B1411" w:rsidRPr="00DA7625" w:rsidRDefault="006022CB">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1.1.2.1.1</w:t>
            </w:r>
            <w:r w:rsidRPr="00DA7625">
              <w:rPr>
                <w:rStyle w:val="InstructionsTabelleberschrift"/>
                <w:rFonts w:ascii="Times New Roman" w:hAnsi="Times New Roman"/>
                <w:sz w:val="24"/>
              </w:rPr>
              <w:tab/>
              <w:t>Befizetett tőkeinstrumentumok</w:t>
            </w:r>
          </w:p>
          <w:p w14:paraId="76AEB068" w14:textId="7E2CFF58" w:rsidR="001B1411" w:rsidRPr="00DA7625" w:rsidRDefault="00705025">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51. cikkének a) pontja, valamint 52., 53. és 54. cikke</w:t>
            </w:r>
          </w:p>
          <w:p w14:paraId="26B27CEB"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feltüntetendő érték nem foglalhatja magában az instrumentumokhoz kapcsolódó ázsiót.</w:t>
            </w:r>
          </w:p>
        </w:tc>
      </w:tr>
      <w:tr w:rsidR="001B1411" w:rsidRPr="00DA7625" w14:paraId="73AEB3B0" w14:textId="77777777" w:rsidTr="00672D2A">
        <w:tc>
          <w:tcPr>
            <w:tcW w:w="1129" w:type="dxa"/>
          </w:tcPr>
          <w:p w14:paraId="48AC7EB4"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560</w:t>
            </w:r>
          </w:p>
        </w:tc>
        <w:tc>
          <w:tcPr>
            <w:tcW w:w="7620" w:type="dxa"/>
          </w:tcPr>
          <w:p w14:paraId="1C85A4C5" w14:textId="77777777" w:rsidR="001B1411" w:rsidRPr="00DA7625" w:rsidRDefault="006022CB">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1.1.2.1.2 (*)</w:t>
            </w:r>
            <w:r w:rsidRPr="00DA7625">
              <w:rPr>
                <w:rStyle w:val="InstructionsTabelleberschrift"/>
                <w:rFonts w:ascii="Times New Roman" w:hAnsi="Times New Roman"/>
                <w:sz w:val="24"/>
              </w:rPr>
              <w:tab/>
              <w:t>Tájékoztató adat: figyelembe nem vehető tőkeinstrumentumok</w:t>
            </w:r>
          </w:p>
          <w:p w14:paraId="4E0EEA30" w14:textId="61149351" w:rsidR="001B1411" w:rsidRPr="00DA7625" w:rsidRDefault="00852CA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A CRR 52. cikke (1) bekezdésének c), e) és (f) pontja</w:t>
            </w:r>
          </w:p>
          <w:p w14:paraId="2D3B1E5D"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 e pontokban említett feltételek különböző visszafordítható tőkehelyzeteket tükröznek, így az itt feltüntetett összeg a későbbi időszakokban figyelembe vehető lehet.</w:t>
            </w:r>
          </w:p>
          <w:p w14:paraId="500890FA"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feltüntetendő érték nem foglalhatja magában az instrumentumokhoz kapcsolódó ázsiót.</w:t>
            </w:r>
          </w:p>
        </w:tc>
      </w:tr>
      <w:tr w:rsidR="001B1411" w:rsidRPr="00DA7625" w14:paraId="1CCDAFFC" w14:textId="77777777" w:rsidTr="00672D2A">
        <w:tc>
          <w:tcPr>
            <w:tcW w:w="1129" w:type="dxa"/>
          </w:tcPr>
          <w:p w14:paraId="10306439"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570</w:t>
            </w:r>
          </w:p>
        </w:tc>
        <w:tc>
          <w:tcPr>
            <w:tcW w:w="7620" w:type="dxa"/>
          </w:tcPr>
          <w:p w14:paraId="2B8186CC" w14:textId="77777777" w:rsidR="001B1411" w:rsidRPr="00DA7625" w:rsidRDefault="006022CB">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1.1.2.1.3</w:t>
            </w:r>
            <w:r w:rsidRPr="00DA7625">
              <w:rPr>
                <w:rStyle w:val="InstructionsTabelleberschrift"/>
                <w:rFonts w:ascii="Times New Roman" w:hAnsi="Times New Roman"/>
                <w:sz w:val="24"/>
              </w:rPr>
              <w:tab/>
              <w:t>Névértéken felüli befizetés (ázsió)</w:t>
            </w:r>
          </w:p>
          <w:p w14:paraId="231CFA68" w14:textId="413BE14C" w:rsidR="001B1411" w:rsidRPr="00DA7625" w:rsidRDefault="00705025">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51. cikkének b) pontja</w:t>
            </w:r>
          </w:p>
          <w:p w14:paraId="29BF2766" w14:textId="313EE685"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 ázsió jelentése egyezik az alkalmazandó számviteli szabályozás szerinti jelentéssel.</w:t>
            </w:r>
          </w:p>
          <w:p w14:paraId="25572FB3"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 ebben az elemben feltüntetendő érték a befizetett tőkeinstrumentumokhoz kapcsolódó rész.</w:t>
            </w:r>
          </w:p>
        </w:tc>
      </w:tr>
      <w:tr w:rsidR="001B1411" w:rsidRPr="00DA7625" w14:paraId="11E581D9" w14:textId="77777777" w:rsidTr="00672D2A">
        <w:tc>
          <w:tcPr>
            <w:tcW w:w="1129" w:type="dxa"/>
          </w:tcPr>
          <w:p w14:paraId="19E514BD"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580</w:t>
            </w:r>
          </w:p>
        </w:tc>
        <w:tc>
          <w:tcPr>
            <w:tcW w:w="7620" w:type="dxa"/>
          </w:tcPr>
          <w:p w14:paraId="0459675D" w14:textId="77777777" w:rsidR="001B1411" w:rsidRPr="00DA7625" w:rsidRDefault="006022CB">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1.1.2.1.4</w:t>
            </w:r>
            <w:r w:rsidRPr="00DA7625">
              <w:rPr>
                <w:rStyle w:val="InstructionsTabelleberschrift"/>
                <w:rFonts w:ascii="Times New Roman" w:hAnsi="Times New Roman"/>
                <w:sz w:val="24"/>
              </w:rPr>
              <w:tab/>
              <w:t>(–) Saját AT1 tőkeinstrumentumok</w:t>
            </w:r>
          </w:p>
          <w:p w14:paraId="74DEFFF2" w14:textId="1843436F" w:rsidR="001B1411" w:rsidRPr="00DA7625" w:rsidRDefault="00852CA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52. cikke (1) bekezdésének b) pontja, 56. cikkének a) pontja, valamint 57. cikke</w:t>
            </w:r>
          </w:p>
          <w:p w14:paraId="2A0DEAB7" w14:textId="04A64465"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 adatot szolgáltató intézmény vagy csoport saját AT1 tőkéje az adatszolgáltatás időpontjában. A CRR 57. cikkében említett kivételek figyelembevételével.</w:t>
            </w:r>
          </w:p>
          <w:p w14:paraId="72F2356F"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Ebben a sorban nem tüntethetők fel a figyelembe nem vehető tőkeinstrumentumként szerepeltetett részvények.</w:t>
            </w:r>
          </w:p>
          <w:p w14:paraId="50F8E40D"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feltüntetendő érték magában foglalja a saját részvényekhez kapcsolódó ázsiót.</w:t>
            </w:r>
          </w:p>
          <w:p w14:paraId="7751A2F5"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 1.1.2.1.4–1.1.2.1.4.3. tételek nem foglalják magukban a saját CET1 tőkeinstrumentumok megvásárlására vonatkozó tényleges vagy függő kötelezettségeket. A saját AT1 tőkeinstrumentumok megvásárlására vonatkozó tényleges vagy függő kötelezettségeket külön kell feltüntetni az 1.1.2.1.5. tételben.</w:t>
            </w:r>
          </w:p>
        </w:tc>
      </w:tr>
      <w:tr w:rsidR="001B1411" w:rsidRPr="00DA7625" w14:paraId="3FED49EF" w14:textId="77777777" w:rsidTr="00672D2A">
        <w:tc>
          <w:tcPr>
            <w:tcW w:w="1129" w:type="dxa"/>
          </w:tcPr>
          <w:p w14:paraId="2CB32A97"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590</w:t>
            </w:r>
          </w:p>
        </w:tc>
        <w:tc>
          <w:tcPr>
            <w:tcW w:w="7620" w:type="dxa"/>
          </w:tcPr>
          <w:p w14:paraId="7075A4A4" w14:textId="77777777" w:rsidR="001B1411" w:rsidRPr="00DA7625" w:rsidRDefault="006022CB">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1.1.2.1.4.1</w:t>
            </w:r>
            <w:r w:rsidRPr="00DA7625">
              <w:rPr>
                <w:rStyle w:val="InstructionsTabelleberschrift"/>
                <w:rFonts w:ascii="Times New Roman" w:hAnsi="Times New Roman"/>
                <w:sz w:val="24"/>
              </w:rPr>
              <w:tab/>
              <w:t>(–) Közvetlen részesedések AT1 tőkeinstrumentumokban</w:t>
            </w:r>
          </w:p>
          <w:p w14:paraId="6C3A13D9" w14:textId="346F3A5B"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144. pontja, 52. cikke (1) bekezdésének b) pontja, 56. cikkének a) pontja, valamint 57. cikke</w:t>
            </w:r>
          </w:p>
          <w:p w14:paraId="0B1857CF"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 xml:space="preserve">A konszolidált csoportba tartozó intézmények tulajdonában lévő, az 1.1.2.1.1. tételnél megadott AT1 tőkeinstrumentumok. </w:t>
            </w:r>
          </w:p>
        </w:tc>
      </w:tr>
      <w:tr w:rsidR="001B1411" w:rsidRPr="00DA7625" w14:paraId="7432DBF7" w14:textId="77777777" w:rsidTr="00672D2A">
        <w:tc>
          <w:tcPr>
            <w:tcW w:w="1129" w:type="dxa"/>
          </w:tcPr>
          <w:p w14:paraId="0D3A3656"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620</w:t>
            </w:r>
          </w:p>
        </w:tc>
        <w:tc>
          <w:tcPr>
            <w:tcW w:w="7620" w:type="dxa"/>
          </w:tcPr>
          <w:p w14:paraId="0D4332EC" w14:textId="77777777" w:rsidR="001B1411" w:rsidRPr="00DA7625" w:rsidRDefault="006455B0">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1.1.2.1.4.2</w:t>
            </w:r>
            <w:r w:rsidRPr="00DA7625">
              <w:rPr>
                <w:rStyle w:val="InstructionsTabelleberschrift"/>
                <w:rFonts w:ascii="Times New Roman" w:hAnsi="Times New Roman"/>
                <w:sz w:val="24"/>
              </w:rPr>
              <w:tab/>
              <w:t>(–) Közvetett részesedések AT1 tőkeinstrumentumokban</w:t>
            </w:r>
          </w:p>
          <w:p w14:paraId="66054B9E" w14:textId="7910DBFC" w:rsidR="001B1411" w:rsidRPr="00DA7625" w:rsidRDefault="00852CA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52. cikke (1) bekezdése b) pontjának ii. alpontja, 56. cikkének a) pontja, valamint 57. cikke</w:t>
            </w:r>
          </w:p>
        </w:tc>
      </w:tr>
      <w:tr w:rsidR="001B1411" w:rsidRPr="00DA7625" w14:paraId="0BDEAA83" w14:textId="77777777" w:rsidTr="00672D2A">
        <w:tc>
          <w:tcPr>
            <w:tcW w:w="1129" w:type="dxa"/>
          </w:tcPr>
          <w:p w14:paraId="5E2D7E53"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621</w:t>
            </w:r>
          </w:p>
        </w:tc>
        <w:tc>
          <w:tcPr>
            <w:tcW w:w="7620" w:type="dxa"/>
          </w:tcPr>
          <w:p w14:paraId="12543010" w14:textId="77777777" w:rsidR="001B1411" w:rsidRPr="00DA7625" w:rsidRDefault="006455B0">
            <w:pPr>
              <w:pStyle w:val="InstructionsText"/>
            </w:pPr>
            <w:r w:rsidRPr="00DA7625">
              <w:rPr>
                <w:rStyle w:val="InstructionsTabelleberschrift"/>
                <w:rFonts w:ascii="Times New Roman" w:hAnsi="Times New Roman"/>
                <w:sz w:val="24"/>
              </w:rPr>
              <w:t>1.1.2.1.4.3</w:t>
            </w:r>
            <w:r w:rsidRPr="00DA7625">
              <w:rPr>
                <w:rStyle w:val="InstructionsTabelleberschrift"/>
                <w:rFonts w:ascii="Times New Roman" w:hAnsi="Times New Roman"/>
                <w:sz w:val="24"/>
              </w:rPr>
              <w:tab/>
              <w:t>(–) Szintetikus részesedések AT1 tőkeinstrumentumokban</w:t>
            </w:r>
          </w:p>
          <w:p w14:paraId="42C49D98" w14:textId="1DD3CB10" w:rsidR="001B1411" w:rsidRPr="00DA7625" w:rsidRDefault="00110F40">
            <w:pPr>
              <w:pStyle w:val="InstructionsText"/>
              <w:rPr>
                <w:rStyle w:val="InstructionsTabelleberschrift"/>
                <w:rFonts w:ascii="Times New Roman" w:hAnsi="Times New Roman"/>
                <w:b w:val="0"/>
                <w:bCs w:val="0"/>
                <w:sz w:val="24"/>
                <w:u w:val="none"/>
              </w:rPr>
            </w:pPr>
            <w:r w:rsidRPr="00DA7625">
              <w:t>A CRR 4. cikke (1) bekezdésének 126. pontja, 52. cikke (1) bekezdésének b) pontja, 56. cikkének a) pontja, valamint 57. cikke</w:t>
            </w:r>
          </w:p>
        </w:tc>
      </w:tr>
      <w:tr w:rsidR="001B1411" w:rsidRPr="00DA7625" w14:paraId="6540645E" w14:textId="77777777" w:rsidTr="00672D2A">
        <w:tc>
          <w:tcPr>
            <w:tcW w:w="1129" w:type="dxa"/>
          </w:tcPr>
          <w:p w14:paraId="78401258" w14:textId="77777777" w:rsidR="001B1411" w:rsidRPr="00DA7625" w:rsidRDefault="007E39E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622</w:t>
            </w:r>
          </w:p>
        </w:tc>
        <w:tc>
          <w:tcPr>
            <w:tcW w:w="7620" w:type="dxa"/>
          </w:tcPr>
          <w:p w14:paraId="4D0CA0FF" w14:textId="77777777" w:rsidR="001B1411" w:rsidRPr="00DA7625" w:rsidRDefault="006455B0">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1.1.2.1.5</w:t>
            </w:r>
            <w:r w:rsidRPr="00DA7625">
              <w:rPr>
                <w:rStyle w:val="InstructionsTabelleberschrift"/>
                <w:rFonts w:ascii="Times New Roman" w:hAnsi="Times New Roman"/>
                <w:sz w:val="24"/>
              </w:rPr>
              <w:tab/>
              <w:t>(–) Saját AT1 tőkeinstrumentumok megvásárlására vonatkozó tényleges vagy függő kötelezettségek</w:t>
            </w:r>
          </w:p>
          <w:p w14:paraId="7889272E" w14:textId="74F3A59E" w:rsidR="001B1411" w:rsidRPr="00DA7625" w:rsidRDefault="00852CA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56. cikkének a) pontja, valamint 57. cikke</w:t>
            </w:r>
          </w:p>
          <w:p w14:paraId="40B11A07" w14:textId="35BB88DE" w:rsidR="001B1411" w:rsidRPr="00DA7625" w:rsidRDefault="00666996">
            <w:pPr>
              <w:pStyle w:val="InstructionsText"/>
              <w:rPr>
                <w:rStyle w:val="InstructionsTabelleberschrift"/>
                <w:rFonts w:ascii="Times New Roman" w:hAnsi="Times New Roman"/>
                <w:sz w:val="24"/>
              </w:rPr>
            </w:pPr>
            <w:r w:rsidRPr="00DA7625">
              <w:rPr>
                <w:rStyle w:val="InstructionsTabelleberschrift"/>
                <w:rFonts w:ascii="Times New Roman" w:hAnsi="Times New Roman"/>
                <w:b w:val="0"/>
                <w:sz w:val="24"/>
                <w:u w:val="none"/>
              </w:rPr>
              <w:lastRenderedPageBreak/>
              <w:t>A CRR 56. cikkének a) pontja szerint</w:t>
            </w:r>
            <w:r w:rsidRPr="00DA7625">
              <w:t xml:space="preserve"> le kell vonni »az olyan saját kiegészítő alapvető tőkeinstrumentumokat …, amelyeket az intézmény hatályos szerződéses kötelezettségekből eredően köteles lehet megvásárolni«.</w:t>
            </w:r>
          </w:p>
        </w:tc>
      </w:tr>
      <w:tr w:rsidR="001B1411" w:rsidRPr="00DA7625" w14:paraId="7DA1FAA6" w14:textId="77777777" w:rsidTr="00672D2A">
        <w:tc>
          <w:tcPr>
            <w:tcW w:w="1129" w:type="dxa"/>
          </w:tcPr>
          <w:p w14:paraId="72576494"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660</w:t>
            </w:r>
          </w:p>
        </w:tc>
        <w:tc>
          <w:tcPr>
            <w:tcW w:w="7620" w:type="dxa"/>
          </w:tcPr>
          <w:p w14:paraId="1DBA7A54" w14:textId="77777777" w:rsidR="001B1411" w:rsidRPr="00DA7625" w:rsidRDefault="006455B0">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1.1.2.2</w:t>
            </w:r>
            <w:r w:rsidRPr="00DA7625">
              <w:rPr>
                <w:rStyle w:val="InstructionsTabelleberschrift"/>
                <w:rFonts w:ascii="Times New Roman" w:hAnsi="Times New Roman"/>
                <w:sz w:val="24"/>
              </w:rPr>
              <w:tab/>
              <w:t>Szerzett jogok alapján figyelembe vett AT1 tőkeinstrumentumok miatti átmeneti kiigazítások</w:t>
            </w:r>
          </w:p>
          <w:p w14:paraId="15F3A609" w14:textId="4575FC2F" w:rsidR="001B1411" w:rsidRPr="00DA7625" w:rsidRDefault="002C66A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483. cikkének (4) és (5) bekezdése, 484–487. cikke, 489. és 491. cikke</w:t>
            </w:r>
          </w:p>
          <w:p w14:paraId="3F355F9E"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szerzett jogokkal kapcsolatos rendelkezések alapján átmenetileg AT1 tőkének minősített tőkeinstrumentumok összege. A feltüntetendő értéket közvetlenül a CA5 tábláról kell átvezetni.</w:t>
            </w:r>
          </w:p>
        </w:tc>
      </w:tr>
      <w:tr w:rsidR="001B1411" w:rsidRPr="00DA7625" w14:paraId="130E325B" w14:textId="77777777" w:rsidTr="00672D2A">
        <w:tc>
          <w:tcPr>
            <w:tcW w:w="1129" w:type="dxa"/>
          </w:tcPr>
          <w:p w14:paraId="4A19B2BB"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670</w:t>
            </w:r>
          </w:p>
        </w:tc>
        <w:tc>
          <w:tcPr>
            <w:tcW w:w="7620" w:type="dxa"/>
          </w:tcPr>
          <w:p w14:paraId="56EA96A9" w14:textId="77777777" w:rsidR="001B1411" w:rsidRPr="00DA7625" w:rsidRDefault="006455B0">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1.1.2.3</w:t>
            </w:r>
            <w:r w:rsidRPr="00DA7625">
              <w:rPr>
                <w:rStyle w:val="InstructionsTabelleberschrift"/>
                <w:rFonts w:ascii="Times New Roman" w:hAnsi="Times New Roman"/>
                <w:sz w:val="24"/>
              </w:rPr>
              <w:tab/>
              <w:t>Leányvállalatok által kibocsátott, AT1 tőkeként megjelenített instrumentumok</w:t>
            </w:r>
          </w:p>
          <w:p w14:paraId="00A2AC5D" w14:textId="5A5864C6"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83., 85. és 86. cikke</w:t>
            </w:r>
          </w:p>
          <w:p w14:paraId="7BBB0C87"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leányvállalatok T1 tőkéjébe beszámítható összes tőkeelemnek a konszolidált AT1 tőke részét képező összege.</w:t>
            </w:r>
          </w:p>
          <w:p w14:paraId="51DC7F58" w14:textId="18A8F451" w:rsidR="001B1411" w:rsidRPr="00DA7625" w:rsidRDefault="00106FC5">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Tartalmazza a különleges célú gazdasági egység által kibocsátott, AT1 tőkébe beszámítható tőkeelemeket (a CRR 83. cikke).</w:t>
            </w:r>
          </w:p>
        </w:tc>
      </w:tr>
      <w:tr w:rsidR="001B1411" w:rsidRPr="00DA7625" w14:paraId="5BA4CBB7" w14:textId="77777777" w:rsidTr="00672D2A">
        <w:tc>
          <w:tcPr>
            <w:tcW w:w="1129" w:type="dxa"/>
          </w:tcPr>
          <w:p w14:paraId="22AE894E"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680</w:t>
            </w:r>
          </w:p>
        </w:tc>
        <w:tc>
          <w:tcPr>
            <w:tcW w:w="7620" w:type="dxa"/>
          </w:tcPr>
          <w:p w14:paraId="1CD62A50" w14:textId="77777777" w:rsidR="001B1411" w:rsidRPr="00DA7625" w:rsidRDefault="006455B0">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1.1.2.4</w:t>
            </w:r>
            <w:r w:rsidRPr="00DA7625">
              <w:rPr>
                <w:rStyle w:val="InstructionsTabelleberschrift"/>
                <w:rFonts w:ascii="Times New Roman" w:hAnsi="Times New Roman"/>
                <w:sz w:val="24"/>
              </w:rPr>
              <w:tab/>
              <w:t>Átmeneti kiigazítások a leányvállalatok által kibocsátott instrumentumok AT1 tőkeként való pótlólagos megjelenítése miatt</w:t>
            </w:r>
          </w:p>
          <w:p w14:paraId="5F2202A5" w14:textId="24B17F53"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480. cikke</w:t>
            </w:r>
          </w:p>
          <w:p w14:paraId="36CC6E00"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T1 tőkébe beszámítható tőkeelemeknek a konszolidált AT1 tőke részét képező összegében az átmeneti rendelkezések miatt végrehajtott kiigazítások. A tételt közvetlenül a CA5 tábláról kell átvezetni.</w:t>
            </w:r>
          </w:p>
        </w:tc>
      </w:tr>
      <w:tr w:rsidR="001B1411" w:rsidRPr="00DA7625" w14:paraId="6507BBBF" w14:textId="77777777" w:rsidTr="00672D2A">
        <w:tc>
          <w:tcPr>
            <w:tcW w:w="1129" w:type="dxa"/>
          </w:tcPr>
          <w:p w14:paraId="5C2823E4"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690</w:t>
            </w:r>
          </w:p>
        </w:tc>
        <w:tc>
          <w:tcPr>
            <w:tcW w:w="7620" w:type="dxa"/>
          </w:tcPr>
          <w:p w14:paraId="0AF5B7B3" w14:textId="77777777" w:rsidR="001B1411" w:rsidRPr="00DA7625" w:rsidRDefault="006455B0">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1.1.2.5</w:t>
            </w:r>
            <w:r w:rsidRPr="00DA7625">
              <w:rPr>
                <w:rStyle w:val="InstructionsTabelleberschrift"/>
                <w:rFonts w:ascii="Times New Roman" w:hAnsi="Times New Roman"/>
                <w:sz w:val="24"/>
              </w:rPr>
              <w:tab/>
              <w:t>(–) Kölcsönös részesedések AT1 tőkeinstrumentumokban</w:t>
            </w:r>
          </w:p>
          <w:p w14:paraId="0F9507A7" w14:textId="40CF01FE"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122. pontja, 56. cikkének b) pontja, valamint 58. cikke</w:t>
            </w:r>
          </w:p>
          <w:p w14:paraId="635338EE" w14:textId="0FA71AC1"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27. pontjában meghatározott pénzügyi ágazatbeli szervezetek által kibocsátott AT1 tőkeinstrumentumok állománya olyan kölcsönös részesedés esetében, amelynek célja az illetékes hatóság véleménye szerint az intézmény szavatolótőkéjének mesterséges megemelése.</w:t>
            </w:r>
          </w:p>
          <w:p w14:paraId="0ABBE332"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feltüntetendő értéket a bruttó hosszú pozíciók alapján kell kiszámítani, és annak tartalmaznia kell a biztosítói AT1 szavatolótőke-elemeket.</w:t>
            </w:r>
          </w:p>
        </w:tc>
      </w:tr>
      <w:tr w:rsidR="001B1411" w:rsidRPr="00DA7625" w14:paraId="66A029F9" w14:textId="77777777" w:rsidTr="00672D2A">
        <w:tc>
          <w:tcPr>
            <w:tcW w:w="1129" w:type="dxa"/>
          </w:tcPr>
          <w:p w14:paraId="74BA6C45"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700</w:t>
            </w:r>
          </w:p>
        </w:tc>
        <w:tc>
          <w:tcPr>
            <w:tcW w:w="7620" w:type="dxa"/>
          </w:tcPr>
          <w:p w14:paraId="2ED883C3" w14:textId="77777777" w:rsidR="001B1411" w:rsidRPr="00DA7625" w:rsidRDefault="00A86EB4">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1.1.2.6</w:t>
            </w:r>
            <w:r w:rsidRPr="00DA7625">
              <w:rPr>
                <w:rStyle w:val="InstructionsTabelleberschrift"/>
                <w:rFonts w:ascii="Times New Roman" w:hAnsi="Times New Roman"/>
                <w:sz w:val="24"/>
              </w:rPr>
              <w:tab/>
              <w:t>(–) Pénzügyi ágazatbeli szervezetek által kibocsátott AT1 tőkeinstrumentumok, ha az intézmény nem rendelkezik jelentős részesedéssel az említett vállalkozásokban</w:t>
            </w:r>
          </w:p>
          <w:p w14:paraId="43438A82" w14:textId="68156E59"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27. pontja, 56. cikkének c) pontja, a CRR 59., 60. és 79. cikke</w:t>
            </w:r>
          </w:p>
          <w:p w14:paraId="11257FAF" w14:textId="78A57F44"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27. pontjában meghatározott pénzügyi ágazatbeli szervezetek által kibocsátott instrumentumokban lévő intézményi részesedés, ha az intézmény nem rendelkezik a AT1 tőkéből levonandó jelentős részesedéssel.</w:t>
            </w:r>
          </w:p>
        </w:tc>
      </w:tr>
      <w:tr w:rsidR="001B1411" w:rsidRPr="00DA7625" w14:paraId="7B60CAAA" w14:textId="77777777" w:rsidTr="00672D2A">
        <w:tc>
          <w:tcPr>
            <w:tcW w:w="1129" w:type="dxa"/>
          </w:tcPr>
          <w:p w14:paraId="297727A6"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710</w:t>
            </w:r>
          </w:p>
        </w:tc>
        <w:tc>
          <w:tcPr>
            <w:tcW w:w="7620" w:type="dxa"/>
          </w:tcPr>
          <w:p w14:paraId="5B38DE40" w14:textId="77777777" w:rsidR="001B1411" w:rsidRPr="00DA7625" w:rsidRDefault="00A86EB4">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1.1.2.7</w:t>
            </w:r>
            <w:r w:rsidRPr="00DA7625">
              <w:rPr>
                <w:rStyle w:val="InstructionsTabelleberschrift"/>
                <w:rFonts w:ascii="Times New Roman" w:hAnsi="Times New Roman"/>
                <w:sz w:val="24"/>
              </w:rPr>
              <w:tab/>
              <w:t>(–) Pénzügyi ágazatbeli szervezetek által kibocsátott AT1 tőkeinstrumentumok, ha az intézmény jelentős részesedéssel rendelkezik az említett vállalkozásokban</w:t>
            </w:r>
          </w:p>
          <w:p w14:paraId="2FB31A03" w14:textId="0FCB067F"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27. pontja, valamint 56. cikkének d) pontja, 59. és 79. cikke</w:t>
            </w:r>
          </w:p>
          <w:p w14:paraId="04F9B9FD" w14:textId="71316776" w:rsidR="001B1411" w:rsidRPr="00DA7625" w:rsidRDefault="009B511B">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27. pontjában meghatározott pénzügyi ágazatbeli szervezetek által kibocsátott AT1 tőkeinstrumentumokban lévő intézményi részesedést, ha az intézmény az elsődleges jelentős részesedéssel rendelkezik, teljes összegben le kell vonni.</w:t>
            </w:r>
          </w:p>
        </w:tc>
      </w:tr>
      <w:tr w:rsidR="001B1411" w:rsidRPr="00DA7625" w14:paraId="34F0D37F" w14:textId="77777777" w:rsidTr="00672D2A">
        <w:tc>
          <w:tcPr>
            <w:tcW w:w="1129" w:type="dxa"/>
          </w:tcPr>
          <w:p w14:paraId="4B4BDEF5"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720</w:t>
            </w:r>
          </w:p>
        </w:tc>
        <w:tc>
          <w:tcPr>
            <w:tcW w:w="7620" w:type="dxa"/>
          </w:tcPr>
          <w:p w14:paraId="38B538F1" w14:textId="77777777" w:rsidR="001B1411" w:rsidRPr="00DA7625" w:rsidRDefault="00A86EB4">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1.1.2.8</w:t>
            </w:r>
            <w:r w:rsidRPr="00DA7625">
              <w:rPr>
                <w:rStyle w:val="InstructionsTabelleberschrift"/>
                <w:rFonts w:ascii="Times New Roman" w:hAnsi="Times New Roman"/>
                <w:sz w:val="24"/>
              </w:rPr>
              <w:tab/>
              <w:t xml:space="preserve">(–) T2 tőkeelemek összegét meghaladó T2 levonások többlete </w:t>
            </w:r>
          </w:p>
          <w:p w14:paraId="1B564A86" w14:textId="323B165C" w:rsidR="001B1411" w:rsidRPr="00DA7625" w:rsidRDefault="00852CA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56. cikkének e) pontja</w:t>
            </w:r>
          </w:p>
          <w:p w14:paraId="5875A968" w14:textId="1FD599FF"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feltüntetendő értéket közvetlenül a CA1 tábla „T2 tőkeelemek összegét meghaladó T2 levonások többlete” tételéből kell átvezetni (levonás az AT1 tőkében).</w:t>
            </w:r>
          </w:p>
        </w:tc>
      </w:tr>
      <w:tr w:rsidR="001B1411" w:rsidRPr="00DA7625" w14:paraId="618C847A" w14:textId="77777777" w:rsidTr="00672D2A">
        <w:tc>
          <w:tcPr>
            <w:tcW w:w="1129" w:type="dxa"/>
          </w:tcPr>
          <w:p w14:paraId="15EE8B60"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730</w:t>
            </w:r>
          </w:p>
        </w:tc>
        <w:tc>
          <w:tcPr>
            <w:tcW w:w="7620" w:type="dxa"/>
          </w:tcPr>
          <w:p w14:paraId="7B65AC5A" w14:textId="77777777" w:rsidR="001B1411" w:rsidRPr="00DA7625" w:rsidRDefault="00A86EB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1.1.2.9</w:t>
            </w:r>
            <w:r w:rsidRPr="00DA7625">
              <w:rPr>
                <w:rStyle w:val="InstructionsTabelleberschrift"/>
                <w:rFonts w:ascii="Times New Roman" w:hAnsi="Times New Roman"/>
                <w:sz w:val="24"/>
              </w:rPr>
              <w:tab/>
              <w:t>AT1 tőke egyéb átmeneti kiigazításai</w:t>
            </w:r>
          </w:p>
          <w:p w14:paraId="0691E7AB" w14:textId="6081858E"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474., 475., 478. és 481. cikke</w:t>
            </w:r>
          </w:p>
          <w:p w14:paraId="26713F0C"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 átmeneti rendelkezések miatt végrehajtott kiigazítások. A feltüntetendő értéket közvetlenül a CA5 tábláról kell átvezetni.</w:t>
            </w:r>
          </w:p>
        </w:tc>
      </w:tr>
      <w:tr w:rsidR="001B1411" w:rsidRPr="00DA7625" w14:paraId="03699480" w14:textId="77777777" w:rsidTr="00672D2A">
        <w:tc>
          <w:tcPr>
            <w:tcW w:w="1129" w:type="dxa"/>
          </w:tcPr>
          <w:p w14:paraId="66C32358"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740</w:t>
            </w:r>
          </w:p>
        </w:tc>
        <w:tc>
          <w:tcPr>
            <w:tcW w:w="7620" w:type="dxa"/>
          </w:tcPr>
          <w:p w14:paraId="672FDDCE" w14:textId="77777777" w:rsidR="001B1411" w:rsidRPr="00DA7625" w:rsidRDefault="00A86EB4">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1.1.2.10</w:t>
            </w:r>
            <w:r w:rsidRPr="00DA7625">
              <w:rPr>
                <w:rStyle w:val="InstructionsTabelleberschrift"/>
                <w:rFonts w:ascii="Times New Roman" w:hAnsi="Times New Roman"/>
                <w:sz w:val="24"/>
              </w:rPr>
              <w:tab/>
              <w:t>AT1 tőkeelemek összegét meghaladó AT1 levonások többlete (levonás a CET1 tőkében)</w:t>
            </w:r>
          </w:p>
          <w:p w14:paraId="325D04D3" w14:textId="29A4563E" w:rsidR="001B1411" w:rsidRPr="00DA7625" w:rsidRDefault="00852CA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36. cikke (1) bekezdésének j) pontja</w:t>
            </w:r>
          </w:p>
          <w:p w14:paraId="358ED617" w14:textId="77777777"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 AT1 tőke nem lehet negatív, ugyanakkor lehetséges, hogy az AT1 tőkét érintő levonások összege meghaladja az AT1 tőke és a kapcsolódó ázsió együttes összegét. Ilyenkor az AT1 tőke összegét nullára kell csökkenteni, a levonásnak az eredeti tőkeösszeget meghaladó részét pedig a CET1 tőkéből kell levonni.</w:t>
            </w:r>
          </w:p>
          <w:p w14:paraId="43B7F61D" w14:textId="208D509B" w:rsidR="001B1411" w:rsidRPr="00DA7625" w:rsidRDefault="00666996">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E tétel segítségével érhető el, hogy az 1.1.2.1–1.1.2.12. tételek összege egyetlen esetben se lehessen nullánál kisebb. Ha e tétel értéke pozitív, akkor az 1.1.1.16. tételben ezzel megegyező, ellenkező előjelű számot kell feltüntetni.</w:t>
            </w:r>
          </w:p>
        </w:tc>
      </w:tr>
      <w:tr w:rsidR="001B1411" w:rsidRPr="00DA7625" w14:paraId="1B557DBD" w14:textId="77777777" w:rsidTr="00672D2A">
        <w:tc>
          <w:tcPr>
            <w:tcW w:w="1129" w:type="dxa"/>
          </w:tcPr>
          <w:p w14:paraId="04729D70"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744</w:t>
            </w:r>
          </w:p>
          <w:p w14:paraId="3C0E883C" w14:textId="77777777" w:rsidR="001B1411" w:rsidRPr="00DA7625" w:rsidRDefault="001B1411">
            <w:pPr>
              <w:pStyle w:val="InstructionsText"/>
              <w:rPr>
                <w:rStyle w:val="FormatvorlageInstructionsTabelleText"/>
                <w:rFonts w:ascii="Times New Roman" w:hAnsi="Times New Roman"/>
                <w:sz w:val="24"/>
              </w:rPr>
            </w:pPr>
          </w:p>
        </w:tc>
        <w:tc>
          <w:tcPr>
            <w:tcW w:w="7620" w:type="dxa"/>
          </w:tcPr>
          <w:p w14:paraId="148D48A1" w14:textId="77777777" w:rsidR="001B1411" w:rsidRPr="00DA7625" w:rsidRDefault="00A86EB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1.1.2.11</w:t>
            </w:r>
            <w:r w:rsidRPr="00DA7625">
              <w:rPr>
                <w:rStyle w:val="InstructionsTabelleberschrift"/>
                <w:rFonts w:ascii="Times New Roman" w:hAnsi="Times New Roman"/>
                <w:sz w:val="24"/>
              </w:rPr>
              <w:tab/>
              <w:t>(–) Pótlólagos levonások az AT1 tőkéből a CRR 3. cikke alapján</w:t>
            </w:r>
          </w:p>
          <w:p w14:paraId="0B28125F" w14:textId="77777777" w:rsidR="001B1411" w:rsidRPr="00DA7625" w:rsidRDefault="00A86EB4">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CRR 3. cikke</w:t>
            </w:r>
          </w:p>
        </w:tc>
      </w:tr>
      <w:tr w:rsidR="001B1411" w:rsidRPr="00DA7625" w14:paraId="3C02C18D" w14:textId="77777777" w:rsidTr="00672D2A">
        <w:tc>
          <w:tcPr>
            <w:tcW w:w="1129" w:type="dxa"/>
          </w:tcPr>
          <w:p w14:paraId="39C56A1E" w14:textId="77777777" w:rsidR="001B1411" w:rsidRPr="00DA7625" w:rsidRDefault="008F5BFE">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748</w:t>
            </w:r>
          </w:p>
        </w:tc>
        <w:tc>
          <w:tcPr>
            <w:tcW w:w="7620" w:type="dxa"/>
          </w:tcPr>
          <w:p w14:paraId="6584CC0D" w14:textId="77777777" w:rsidR="001B1411" w:rsidRPr="00DA7625" w:rsidRDefault="008F5BFE">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sz w:val="24"/>
              </w:rPr>
              <w:t>1.1.2.12</w:t>
            </w:r>
            <w:r w:rsidRPr="00DA7625">
              <w:rPr>
                <w:rStyle w:val="InstructionsTabelleberschrift"/>
                <w:rFonts w:ascii="Times New Roman" w:hAnsi="Times New Roman"/>
                <w:sz w:val="24"/>
              </w:rPr>
              <w:tab/>
              <w:t>AT1 tőkeelemek vagy levonások – egyéb</w:t>
            </w:r>
          </w:p>
          <w:p w14:paraId="3294EFAE" w14:textId="258DA52C" w:rsidR="001B1411" w:rsidRPr="00DA7625" w:rsidRDefault="00A86EB4">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 xml:space="preserve">E sor kizárólagos célja, hogy biztosítsa az adatszolgáltatás rugalmasságát. Csak azokban a ritka esetekben tölthető ki, amikor nincs végleges döntés az aktuális CA1 táblában szereplő egyes tőkeelemekkel vagy levonásokkal kapcsolatos adatszolgáltatásról. Következésképpen a sor csak akkor tölthető ki, ha egy AT1 tőkeelem, vagy egy AT1 tőkeelemet érintő levonás nem szerepeltethető az 530–744. sorok egyikében sem. </w:t>
            </w:r>
          </w:p>
          <w:p w14:paraId="16BBC1B4" w14:textId="7DA84EB8" w:rsidR="001B1411" w:rsidRPr="00DA7625" w:rsidRDefault="00A86EB4">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 xml:space="preserve">A sor nem használható a CRR-ben nem szabályozott tőkeelemeknek, illetve levonásoknak a szolvenciamutató kiszámításán belüli besorolásához (pl. </w:t>
            </w:r>
            <w:r w:rsidRPr="00DA7625">
              <w:rPr>
                <w:rStyle w:val="InstructionsTabelleberschrift"/>
                <w:rFonts w:ascii="Times New Roman" w:hAnsi="Times New Roman"/>
                <w:b w:val="0"/>
                <w:sz w:val="24"/>
                <w:u w:val="none"/>
              </w:rPr>
              <w:lastRenderedPageBreak/>
              <w:t>olyan tagállami tőkeelemek vagy levonások besorolásához, amelyek a CRR hatályán kívül esnek).</w:t>
            </w:r>
          </w:p>
        </w:tc>
      </w:tr>
      <w:tr w:rsidR="001B1411" w:rsidRPr="00DA7625" w14:paraId="58D60CFB" w14:textId="77777777" w:rsidTr="00672D2A">
        <w:tc>
          <w:tcPr>
            <w:tcW w:w="1129" w:type="dxa"/>
          </w:tcPr>
          <w:p w14:paraId="50C809AD"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750</w:t>
            </w:r>
          </w:p>
        </w:tc>
        <w:tc>
          <w:tcPr>
            <w:tcW w:w="7620" w:type="dxa"/>
          </w:tcPr>
          <w:p w14:paraId="25280851" w14:textId="77777777" w:rsidR="001B1411" w:rsidRPr="00DA7625" w:rsidRDefault="00A86EB4">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1.2</w:t>
            </w:r>
            <w:r w:rsidRPr="00DA7625">
              <w:rPr>
                <w:rStyle w:val="InstructionsTabelleberschrift"/>
                <w:rFonts w:ascii="Times New Roman" w:hAnsi="Times New Roman"/>
                <w:sz w:val="24"/>
              </w:rPr>
              <w:tab/>
              <w:t>JÁRULÉKOS TŐKE (T2 TŐKE)</w:t>
            </w:r>
          </w:p>
          <w:p w14:paraId="0BD3D66F" w14:textId="3CE0DB43"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71. cikke</w:t>
            </w:r>
          </w:p>
        </w:tc>
      </w:tr>
      <w:tr w:rsidR="001B1411" w:rsidRPr="00DA7625" w14:paraId="0605657D" w14:textId="77777777" w:rsidTr="00672D2A">
        <w:tc>
          <w:tcPr>
            <w:tcW w:w="1129" w:type="dxa"/>
          </w:tcPr>
          <w:p w14:paraId="26BCDCEA"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760</w:t>
            </w:r>
          </w:p>
        </w:tc>
        <w:tc>
          <w:tcPr>
            <w:tcW w:w="7620" w:type="dxa"/>
          </w:tcPr>
          <w:p w14:paraId="3673CDC8" w14:textId="77777777" w:rsidR="001B1411" w:rsidRPr="00DA7625" w:rsidRDefault="00A86EB4">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1.2.1</w:t>
            </w:r>
            <w:r w:rsidRPr="00DA7625">
              <w:rPr>
                <w:rStyle w:val="InstructionsTabelleberschrift"/>
                <w:rFonts w:ascii="Times New Roman" w:hAnsi="Times New Roman"/>
                <w:sz w:val="24"/>
              </w:rPr>
              <w:tab/>
              <w:t>T2 tőkeként és alárendelt kölcsönként figyelembe vehető tőkeinstrumentumok</w:t>
            </w:r>
          </w:p>
          <w:p w14:paraId="13AA4428" w14:textId="4FDBB0E7" w:rsidR="001B1411" w:rsidRPr="00DA7625" w:rsidRDefault="00852CA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62. cikkének a) pontja, 63–65. cikke, 66. cikkének a) pontja, valamint 67. cikke</w:t>
            </w:r>
          </w:p>
        </w:tc>
      </w:tr>
      <w:tr w:rsidR="001B1411" w:rsidRPr="00DA7625" w14:paraId="43D50883" w14:textId="77777777" w:rsidTr="00672D2A">
        <w:tc>
          <w:tcPr>
            <w:tcW w:w="1129" w:type="dxa"/>
          </w:tcPr>
          <w:p w14:paraId="18130D4E"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770</w:t>
            </w:r>
          </w:p>
        </w:tc>
        <w:tc>
          <w:tcPr>
            <w:tcW w:w="7620" w:type="dxa"/>
          </w:tcPr>
          <w:p w14:paraId="2DF23936" w14:textId="77777777" w:rsidR="001B1411" w:rsidRPr="00DA7625" w:rsidRDefault="00A86EB4">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1.2.1.1</w:t>
            </w:r>
            <w:r w:rsidRPr="00DA7625">
              <w:rPr>
                <w:rStyle w:val="InstructionsTabelleberschrift"/>
                <w:rFonts w:ascii="Times New Roman" w:hAnsi="Times New Roman"/>
                <w:sz w:val="24"/>
              </w:rPr>
              <w:tab/>
              <w:t>Befizetett tőkeinstrumentumok</w:t>
            </w:r>
            <w:r w:rsidRPr="00DA7625">
              <w:t xml:space="preserve"> </w:t>
            </w:r>
            <w:r w:rsidRPr="00DA7625">
              <w:rPr>
                <w:rStyle w:val="InstructionsTabelleberschrift"/>
                <w:rFonts w:ascii="Times New Roman" w:hAnsi="Times New Roman"/>
                <w:sz w:val="24"/>
              </w:rPr>
              <w:t>és alárendelt kölcsönök</w:t>
            </w:r>
          </w:p>
          <w:p w14:paraId="40899838" w14:textId="29028CB7" w:rsidR="001B1411" w:rsidRPr="00DA7625" w:rsidRDefault="00852CA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62. cikkének a) pontja, valamint 63. és 65. cikke</w:t>
            </w:r>
          </w:p>
          <w:p w14:paraId="79A180BF"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feltüntetendő érték nem foglalhatja magában az instrumentumokhoz kapcsolódó ázsiót.</w:t>
            </w:r>
          </w:p>
        </w:tc>
      </w:tr>
      <w:tr w:rsidR="001B1411" w:rsidRPr="00DA7625" w14:paraId="662FE153" w14:textId="77777777" w:rsidTr="00672D2A">
        <w:tc>
          <w:tcPr>
            <w:tcW w:w="1129" w:type="dxa"/>
          </w:tcPr>
          <w:p w14:paraId="5EB45D6F"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780</w:t>
            </w:r>
          </w:p>
        </w:tc>
        <w:tc>
          <w:tcPr>
            <w:tcW w:w="7620" w:type="dxa"/>
          </w:tcPr>
          <w:p w14:paraId="48714EFB" w14:textId="77777777" w:rsidR="001B1411" w:rsidRPr="00DA7625" w:rsidRDefault="00A86EB4">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1.2.1.2 (*)</w:t>
            </w:r>
            <w:r w:rsidRPr="00DA7625">
              <w:rPr>
                <w:rStyle w:val="InstructionsTabelleberschrift"/>
                <w:rFonts w:ascii="Times New Roman" w:hAnsi="Times New Roman"/>
                <w:sz w:val="24"/>
              </w:rPr>
              <w:tab/>
              <w:t>Tájékoztató adat: figyelembe nem vehető tőkeinstrumentumok és alárendelt kölcsönök</w:t>
            </w:r>
          </w:p>
          <w:p w14:paraId="3DEFBCFD" w14:textId="30A75E34" w:rsidR="001B1411" w:rsidRPr="00DA7625" w:rsidRDefault="00852CA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63. cikkének (c), (e) és (f) pontja, valamint 64. cikke</w:t>
            </w:r>
          </w:p>
          <w:p w14:paraId="31320C87"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 e pontokban említett feltételek különböző visszafordítható tőkehelyzeteket tükröznek, így az itt feltüntetett összeg a későbbi időszakokban figyelembe vehető lehet.</w:t>
            </w:r>
          </w:p>
          <w:p w14:paraId="68176FFB"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feltüntetendő érték nem foglalhatja magában az instrumentumokhoz kapcsolódó ázsiót.</w:t>
            </w:r>
          </w:p>
        </w:tc>
      </w:tr>
      <w:tr w:rsidR="001B1411" w:rsidRPr="00DA7625" w14:paraId="3DFBD29C" w14:textId="77777777" w:rsidTr="00672D2A">
        <w:tc>
          <w:tcPr>
            <w:tcW w:w="1129" w:type="dxa"/>
          </w:tcPr>
          <w:p w14:paraId="55E411A1"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790</w:t>
            </w:r>
          </w:p>
        </w:tc>
        <w:tc>
          <w:tcPr>
            <w:tcW w:w="7620" w:type="dxa"/>
          </w:tcPr>
          <w:p w14:paraId="29853D95" w14:textId="77777777" w:rsidR="001B1411" w:rsidRPr="00DA7625" w:rsidRDefault="00A86EB4">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1.2.1.3</w:t>
            </w:r>
            <w:r w:rsidRPr="00DA7625">
              <w:rPr>
                <w:rStyle w:val="InstructionsTabelleberschrift"/>
                <w:rFonts w:ascii="Times New Roman" w:hAnsi="Times New Roman"/>
                <w:sz w:val="24"/>
              </w:rPr>
              <w:tab/>
              <w:t>Névértéken felüli befizetés (ázsió)</w:t>
            </w:r>
          </w:p>
          <w:p w14:paraId="77984CC6" w14:textId="2A04B879" w:rsidR="001B1411" w:rsidRPr="00DA7625" w:rsidRDefault="00852CA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62. cikkének b) pontja, valamint 65. cikke</w:t>
            </w:r>
          </w:p>
          <w:p w14:paraId="28C64B5B"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 xml:space="preserve">Az ázsió jelentése egyezik az alkalmazandó számviteli szabályozás szerinti jelentéssel. </w:t>
            </w:r>
          </w:p>
          <w:p w14:paraId="5A45AC9C"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 ebben az elemben feltüntetendő érték a befizetett tőkeinstrumentumokhoz kapcsolódó rész.</w:t>
            </w:r>
          </w:p>
        </w:tc>
      </w:tr>
      <w:tr w:rsidR="001B1411" w:rsidRPr="00DA7625" w14:paraId="45694613" w14:textId="77777777" w:rsidTr="00672D2A">
        <w:tc>
          <w:tcPr>
            <w:tcW w:w="1129" w:type="dxa"/>
          </w:tcPr>
          <w:p w14:paraId="00CB80C5"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800</w:t>
            </w:r>
          </w:p>
        </w:tc>
        <w:tc>
          <w:tcPr>
            <w:tcW w:w="7620" w:type="dxa"/>
          </w:tcPr>
          <w:p w14:paraId="1A17ADBB" w14:textId="77777777" w:rsidR="001B1411" w:rsidRPr="00DA7625" w:rsidRDefault="00A86EB4">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1.2.1.4</w:t>
            </w:r>
            <w:r w:rsidRPr="00DA7625">
              <w:rPr>
                <w:rStyle w:val="InstructionsTabelleberschrift"/>
                <w:rFonts w:ascii="Times New Roman" w:hAnsi="Times New Roman"/>
                <w:sz w:val="24"/>
              </w:rPr>
              <w:tab/>
              <w:t>(–) Saját T2 tőkeinstrumentumok</w:t>
            </w:r>
          </w:p>
          <w:p w14:paraId="1970A033" w14:textId="47CD95E4" w:rsidR="001B1411" w:rsidRPr="00DA7625" w:rsidRDefault="00852CA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63. cikke b) pontjának i. alpontja, 66. cikkének a) pontja, valamint 67. cikke</w:t>
            </w:r>
          </w:p>
          <w:p w14:paraId="10BE8B86" w14:textId="46FBF14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 adatot szolgáltató intézmény vagy csoport saját T2 tőkéje az adatszolgáltatás időpontjában. A CRR 67. cikkében említett kivételek figyelembevételével.</w:t>
            </w:r>
          </w:p>
          <w:p w14:paraId="78FB5E58"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Ebben a sorban nem tüntethetők fel a figyelembe nem vehető tőkeinstrumentumként szerepeltetett részvények.</w:t>
            </w:r>
          </w:p>
          <w:p w14:paraId="5E5F432D"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feltüntetendő érték magában foglalja a saját részvényekhez kapcsolódó ázsiót.</w:t>
            </w:r>
          </w:p>
          <w:p w14:paraId="07A0F87B"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 1.2.1.4–1.2.1.4.3. tételek nem foglalják magukban a saját T2 tőkeinstrumentumok megvásárlására vonatkozó tényleges vagy függő kötelezettségeket. Saját T2 tőkeinstrumentumok megvásárlására vonatkozó tényleges vagy függő kötelezettségeket külön kell feltüntetni az 1.2.1.5. tételben.</w:t>
            </w:r>
          </w:p>
        </w:tc>
      </w:tr>
      <w:tr w:rsidR="001B1411" w:rsidRPr="00DA7625" w14:paraId="4EDE7716" w14:textId="77777777" w:rsidTr="00672D2A">
        <w:tc>
          <w:tcPr>
            <w:tcW w:w="1129" w:type="dxa"/>
          </w:tcPr>
          <w:p w14:paraId="72B21400"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810</w:t>
            </w:r>
          </w:p>
        </w:tc>
        <w:tc>
          <w:tcPr>
            <w:tcW w:w="7620" w:type="dxa"/>
          </w:tcPr>
          <w:p w14:paraId="34B640AF" w14:textId="77777777" w:rsidR="001B1411" w:rsidRPr="00DA7625" w:rsidRDefault="00A86EB4">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1.2.1.4.1</w:t>
            </w:r>
            <w:r w:rsidRPr="00DA7625">
              <w:rPr>
                <w:rStyle w:val="InstructionsTabelleberschrift"/>
                <w:rFonts w:ascii="Times New Roman" w:hAnsi="Times New Roman"/>
                <w:sz w:val="24"/>
              </w:rPr>
              <w:tab/>
              <w:t>(–) Közvetlen részesedések T2 tőkeinstrumentumokban</w:t>
            </w:r>
          </w:p>
          <w:p w14:paraId="4EDC36A4" w14:textId="6EF122DD" w:rsidR="001B1411" w:rsidRPr="00DA7625" w:rsidRDefault="00852CA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63. cikkének b) pontja, 66. cikkének a) pontja, valamint 67. cikke</w:t>
            </w:r>
          </w:p>
          <w:p w14:paraId="71290CD7"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 xml:space="preserve">A konszolidált csoportba tartozó intézmények tulajdonában lévő, az 1.2.1.1. tételnél megadott T2 tőkeinstrumentumok. </w:t>
            </w:r>
          </w:p>
        </w:tc>
      </w:tr>
      <w:tr w:rsidR="001B1411" w:rsidRPr="00DA7625" w14:paraId="155B627E" w14:textId="77777777" w:rsidTr="00672D2A">
        <w:tc>
          <w:tcPr>
            <w:tcW w:w="1129" w:type="dxa"/>
          </w:tcPr>
          <w:p w14:paraId="478B5EE2"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840</w:t>
            </w:r>
          </w:p>
        </w:tc>
        <w:tc>
          <w:tcPr>
            <w:tcW w:w="7620" w:type="dxa"/>
          </w:tcPr>
          <w:p w14:paraId="48C3E06A" w14:textId="77777777" w:rsidR="001B1411" w:rsidRPr="00DA7625" w:rsidRDefault="00A86EB4">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1.2.1.4.2</w:t>
            </w:r>
            <w:r w:rsidRPr="00DA7625">
              <w:rPr>
                <w:rStyle w:val="InstructionsTabelleberschrift"/>
                <w:rFonts w:ascii="Times New Roman" w:hAnsi="Times New Roman"/>
                <w:sz w:val="24"/>
              </w:rPr>
              <w:tab/>
              <w:t>(–) Közvetett részesedések T2 tőkeinstrumentumokban</w:t>
            </w:r>
          </w:p>
          <w:p w14:paraId="1D8513F5" w14:textId="2417DFA5"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114. pontja, 63. cikkének b) pontja, 66. cikkének a) pontja, valamint 67. cikke</w:t>
            </w:r>
          </w:p>
        </w:tc>
      </w:tr>
      <w:tr w:rsidR="001B1411" w:rsidRPr="00DA7625" w14:paraId="232949F4" w14:textId="77777777" w:rsidTr="00672D2A">
        <w:tc>
          <w:tcPr>
            <w:tcW w:w="1129" w:type="dxa"/>
          </w:tcPr>
          <w:p w14:paraId="6DDE2FFF"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841</w:t>
            </w:r>
          </w:p>
        </w:tc>
        <w:tc>
          <w:tcPr>
            <w:tcW w:w="7620" w:type="dxa"/>
          </w:tcPr>
          <w:p w14:paraId="7FE43AA0" w14:textId="77777777" w:rsidR="001B1411" w:rsidRPr="00DA7625" w:rsidRDefault="00A86EB4">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1.2.1.4.3</w:t>
            </w:r>
            <w:r w:rsidRPr="00DA7625">
              <w:rPr>
                <w:rStyle w:val="InstructionsTabelleberschrift"/>
                <w:rFonts w:ascii="Times New Roman" w:hAnsi="Times New Roman"/>
                <w:sz w:val="24"/>
              </w:rPr>
              <w:tab/>
              <w:t>(–) Szintetikus részesedések T2 tőkeinstrumentumokban</w:t>
            </w:r>
          </w:p>
          <w:p w14:paraId="71AA0907" w14:textId="45C6F235" w:rsidR="001B1411" w:rsidRPr="00DA7625" w:rsidRDefault="00FF2818">
            <w:pPr>
              <w:pStyle w:val="InstructionsText"/>
              <w:rPr>
                <w:rStyle w:val="InstructionsTabelleberschrift"/>
                <w:rFonts w:ascii="Times New Roman" w:hAnsi="Times New Roman"/>
                <w:b w:val="0"/>
                <w:sz w:val="24"/>
                <w:u w:val="none"/>
              </w:rPr>
            </w:pPr>
            <w:r w:rsidRPr="00DA7625">
              <w:rPr>
                <w:rStyle w:val="FormatvorlageInstructionsTabelleText"/>
                <w:rFonts w:ascii="Times New Roman" w:hAnsi="Times New Roman"/>
                <w:sz w:val="24"/>
              </w:rPr>
              <w:t>A CRR 4. cikke (1) bekezdésének 126. pontja, 63. cikkének b) pontja, 66. cikkének a) pontja, valamint 67. cikke</w:t>
            </w:r>
          </w:p>
        </w:tc>
      </w:tr>
      <w:tr w:rsidR="001B1411" w:rsidRPr="00DA7625" w14:paraId="5FEB632C" w14:textId="77777777" w:rsidTr="00672D2A">
        <w:tc>
          <w:tcPr>
            <w:tcW w:w="1129" w:type="dxa"/>
          </w:tcPr>
          <w:p w14:paraId="0206EB96"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842</w:t>
            </w:r>
          </w:p>
          <w:p w14:paraId="5E889A14" w14:textId="77777777" w:rsidR="001B1411" w:rsidRPr="00DA7625" w:rsidRDefault="001B1411">
            <w:pPr>
              <w:pStyle w:val="InstructionsText"/>
              <w:rPr>
                <w:rStyle w:val="FormatvorlageInstructionsTabelleText"/>
                <w:rFonts w:ascii="Times New Roman" w:hAnsi="Times New Roman"/>
                <w:sz w:val="24"/>
              </w:rPr>
            </w:pPr>
          </w:p>
        </w:tc>
        <w:tc>
          <w:tcPr>
            <w:tcW w:w="7620" w:type="dxa"/>
          </w:tcPr>
          <w:p w14:paraId="398BE123" w14:textId="77777777" w:rsidR="001B1411" w:rsidRPr="00DA7625" w:rsidRDefault="00A86EB4">
            <w:pPr>
              <w:pStyle w:val="InstructionsText"/>
              <w:rPr>
                <w:rStyle w:val="InstructionsTabelleberschrift"/>
                <w:rFonts w:ascii="Times New Roman" w:hAnsi="Times New Roman"/>
                <w:b w:val="0"/>
                <w:sz w:val="24"/>
              </w:rPr>
            </w:pPr>
            <w:r w:rsidRPr="00DA7625">
              <w:rPr>
                <w:rStyle w:val="InstructionsTabelleberschrift"/>
                <w:rFonts w:ascii="Times New Roman" w:hAnsi="Times New Roman"/>
                <w:sz w:val="24"/>
              </w:rPr>
              <w:t>1.2.1.5</w:t>
            </w:r>
            <w:r w:rsidRPr="00DA7625">
              <w:rPr>
                <w:rStyle w:val="InstructionsTabelleberschrift"/>
                <w:rFonts w:ascii="Times New Roman" w:hAnsi="Times New Roman"/>
                <w:sz w:val="24"/>
              </w:rPr>
              <w:tab/>
              <w:t>(–) Saját T2 tőkeinstrumentumok megvásárlására vonatkozó tényleges vagy függő kötelezettségek</w:t>
            </w:r>
          </w:p>
          <w:p w14:paraId="4648CD76" w14:textId="4985C561" w:rsidR="001B1411" w:rsidRPr="00DA7625" w:rsidRDefault="00852CA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66. cikkének a) pontja, valamint 67. cikke</w:t>
            </w:r>
          </w:p>
          <w:p w14:paraId="71FF0839" w14:textId="79EE8ECD" w:rsidR="001B1411" w:rsidRPr="00DA7625" w:rsidRDefault="00A86EB4">
            <w:pPr>
              <w:pStyle w:val="InstructionsText"/>
              <w:rPr>
                <w:rStyle w:val="InstructionsTabelleberschrift"/>
                <w:rFonts w:ascii="Times New Roman" w:hAnsi="Times New Roman"/>
                <w:b w:val="0"/>
                <w:bCs w:val="0"/>
                <w:sz w:val="24"/>
                <w:u w:val="none"/>
              </w:rPr>
            </w:pPr>
            <w:r w:rsidRPr="00DA7625">
              <w:t xml:space="preserve">A </w:t>
            </w:r>
            <w:r w:rsidRPr="00DA7625">
              <w:rPr>
                <w:rStyle w:val="InstructionsTabelleberschrift"/>
                <w:rFonts w:ascii="Times New Roman" w:hAnsi="Times New Roman"/>
                <w:b w:val="0"/>
                <w:sz w:val="24"/>
                <w:u w:val="none"/>
              </w:rPr>
              <w:t>CRR 66. cikkének a) pontja szerint</w:t>
            </w:r>
            <w:r w:rsidRPr="00DA7625">
              <w:t xml:space="preserve"> le kell vonni »az olyan saját T2 tőkeinstrumentumokat …, amelyeket az intézmény hatályos szerződéses kötelezettségekből eredően köteles lehet megvásárolni«.</w:t>
            </w:r>
          </w:p>
        </w:tc>
      </w:tr>
      <w:tr w:rsidR="001B1411" w:rsidRPr="00DA7625" w14:paraId="78D467BA" w14:textId="77777777" w:rsidTr="00672D2A">
        <w:tc>
          <w:tcPr>
            <w:tcW w:w="1129" w:type="dxa"/>
          </w:tcPr>
          <w:p w14:paraId="6448818C"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880</w:t>
            </w:r>
          </w:p>
        </w:tc>
        <w:tc>
          <w:tcPr>
            <w:tcW w:w="7620" w:type="dxa"/>
          </w:tcPr>
          <w:p w14:paraId="4C9ECDA5" w14:textId="77777777" w:rsidR="001B1411" w:rsidRPr="00DA7625" w:rsidRDefault="00A86EB4">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1.2.2</w:t>
            </w:r>
            <w:r w:rsidRPr="00DA7625">
              <w:rPr>
                <w:rStyle w:val="InstructionsTabelleberschrift"/>
                <w:rFonts w:ascii="Times New Roman" w:hAnsi="Times New Roman"/>
                <w:sz w:val="24"/>
              </w:rPr>
              <w:tab/>
              <w:t>Szerzett jogok alapján figyelembe vett T2 tőkeinstrumentumok és alárendelt kölcsönök miatti átmeneti kiigazítások</w:t>
            </w:r>
          </w:p>
          <w:p w14:paraId="03442177" w14:textId="3DECE058" w:rsidR="001B1411" w:rsidRPr="00DA7625" w:rsidRDefault="002C66A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483. cikkének (6) és (7) bekezdése, valamint 484., 486., 488., 490. és 491. cikke</w:t>
            </w:r>
          </w:p>
          <w:p w14:paraId="67C482A2"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szerzett jogokkal kapcsolatos rendelkezések alapján átmenetileg T2 tőkének minősített tőkeinstrumentumok összege. A feltüntetendő értéket közvetlenül a CA5 tábláról kell átvezetni.</w:t>
            </w:r>
          </w:p>
        </w:tc>
      </w:tr>
      <w:tr w:rsidR="001B1411" w:rsidRPr="00DA7625" w14:paraId="2D92620E" w14:textId="77777777" w:rsidTr="00672D2A">
        <w:tc>
          <w:tcPr>
            <w:tcW w:w="1129" w:type="dxa"/>
          </w:tcPr>
          <w:p w14:paraId="079C4A7A"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890</w:t>
            </w:r>
          </w:p>
        </w:tc>
        <w:tc>
          <w:tcPr>
            <w:tcW w:w="7620" w:type="dxa"/>
          </w:tcPr>
          <w:p w14:paraId="11E1E032" w14:textId="77777777" w:rsidR="001B1411" w:rsidRPr="00DA7625" w:rsidRDefault="00A86EB4">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1.2.3</w:t>
            </w:r>
            <w:r w:rsidRPr="00DA7625">
              <w:rPr>
                <w:rStyle w:val="InstructionsTabelleberschrift"/>
                <w:rFonts w:ascii="Times New Roman" w:hAnsi="Times New Roman"/>
                <w:sz w:val="24"/>
              </w:rPr>
              <w:tab/>
              <w:t>Leányvállalatok által kibocsátott, T2 tőkeként megjelenített instrumentumok</w:t>
            </w:r>
          </w:p>
          <w:p w14:paraId="2162A8A5" w14:textId="43676384"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83., 87. és 88. cikke</w:t>
            </w:r>
          </w:p>
          <w:p w14:paraId="60EC8A8C"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leányvállalatok szavatolótőkéjébe beszámítható összes tőkeelemnek a konszolidált T2 tőke részét képező összege.</w:t>
            </w:r>
          </w:p>
          <w:p w14:paraId="6D8BF712" w14:textId="687AB495" w:rsidR="001B1411" w:rsidRPr="00DA7625" w:rsidRDefault="00543DB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Tartalmazza a különleges célú gazdasági egység által kibocsátott, T2 tőkébe beszámítható tőkeelemeket (a CRR 83. cikke).</w:t>
            </w:r>
          </w:p>
        </w:tc>
      </w:tr>
      <w:tr w:rsidR="001B1411" w:rsidRPr="00DA7625" w14:paraId="53F727DE" w14:textId="77777777" w:rsidTr="00672D2A">
        <w:tc>
          <w:tcPr>
            <w:tcW w:w="1129" w:type="dxa"/>
          </w:tcPr>
          <w:p w14:paraId="63C877F1"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900</w:t>
            </w:r>
          </w:p>
        </w:tc>
        <w:tc>
          <w:tcPr>
            <w:tcW w:w="7620" w:type="dxa"/>
          </w:tcPr>
          <w:p w14:paraId="1CAE55FC" w14:textId="77777777" w:rsidR="001B1411" w:rsidRPr="00DA7625" w:rsidRDefault="00A86EB4">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1.2.4</w:t>
            </w:r>
            <w:r w:rsidRPr="00DA7625">
              <w:rPr>
                <w:rStyle w:val="InstructionsTabelleberschrift"/>
                <w:rFonts w:ascii="Times New Roman" w:hAnsi="Times New Roman"/>
                <w:sz w:val="24"/>
              </w:rPr>
              <w:tab/>
              <w:t>Átmeneti kiigazítások a leányvállalatok által kibocsátott instrumentumok T2 tőkeként való pótlólagos megjelenítése miatt</w:t>
            </w:r>
          </w:p>
          <w:p w14:paraId="67255A91" w14:textId="466EB3B0"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480. cikke</w:t>
            </w:r>
          </w:p>
          <w:p w14:paraId="1F106B75"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szavatolótőkébe beszámítható tőkeelemeknek a konszolidált T2 tőke részét képező összegében az átmeneti rendelkezések miatt végrehajtott kiigazítások. A tételt közvetlenül a CA5 tábláról kell átvezetni.</w:t>
            </w:r>
          </w:p>
        </w:tc>
      </w:tr>
      <w:tr w:rsidR="001B1411" w:rsidRPr="00DA7625" w14:paraId="473F3749" w14:textId="77777777" w:rsidTr="00672D2A">
        <w:tc>
          <w:tcPr>
            <w:tcW w:w="1129" w:type="dxa"/>
          </w:tcPr>
          <w:p w14:paraId="4BC14A9C"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910</w:t>
            </w:r>
          </w:p>
        </w:tc>
        <w:tc>
          <w:tcPr>
            <w:tcW w:w="7620" w:type="dxa"/>
          </w:tcPr>
          <w:p w14:paraId="51583024" w14:textId="77777777" w:rsidR="001B1411" w:rsidRPr="00DA7625" w:rsidRDefault="00A86EB4">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1.2.5</w:t>
            </w:r>
            <w:r w:rsidRPr="00DA7625">
              <w:rPr>
                <w:rStyle w:val="InstructionsTabelleberschrift"/>
                <w:rFonts w:ascii="Times New Roman" w:hAnsi="Times New Roman"/>
                <w:sz w:val="24"/>
              </w:rPr>
              <w:tab/>
              <w:t>Az IRB-módszerrel számított céltartalékok többlete a figyelembe vehető várható veszteségekhez viszonyítva</w:t>
            </w:r>
          </w:p>
          <w:p w14:paraId="3F3BBD61" w14:textId="5C376364" w:rsidR="001B1411" w:rsidRPr="00DA7625" w:rsidRDefault="00852CA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62. cikkének d) pontja</w:t>
            </w:r>
          </w:p>
          <w:p w14:paraId="71DD0615" w14:textId="3F0ED63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A kockázattal súlyozott kitettség értékét IRB-módszerrel számító intézmények esetében ez a tétel a céltartalékok és a T2 tőkeként figyelembe vehető várható veszteségek összehasonlításából adódó pozitív összeget tartalmazza.</w:t>
            </w:r>
          </w:p>
        </w:tc>
      </w:tr>
      <w:tr w:rsidR="001B1411" w:rsidRPr="00DA7625" w14:paraId="31631895" w14:textId="77777777" w:rsidTr="00672D2A">
        <w:tc>
          <w:tcPr>
            <w:tcW w:w="1129" w:type="dxa"/>
          </w:tcPr>
          <w:p w14:paraId="5F38B579"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920</w:t>
            </w:r>
          </w:p>
        </w:tc>
        <w:tc>
          <w:tcPr>
            <w:tcW w:w="7620" w:type="dxa"/>
          </w:tcPr>
          <w:p w14:paraId="1D96C783" w14:textId="77777777" w:rsidR="001B1411" w:rsidRPr="00DA7625" w:rsidRDefault="00A86EB4">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1.2.6</w:t>
            </w:r>
            <w:r w:rsidRPr="00DA7625">
              <w:rPr>
                <w:rStyle w:val="InstructionsTabelleberschrift"/>
                <w:rFonts w:ascii="Times New Roman" w:hAnsi="Times New Roman"/>
                <w:sz w:val="24"/>
              </w:rPr>
              <w:tab/>
              <w:t>Általános hitelkockázati kiigazítások – sztenderd módszer (SA)</w:t>
            </w:r>
          </w:p>
          <w:p w14:paraId="3C70BD4A" w14:textId="338A8EF9" w:rsidR="001B1411" w:rsidRPr="00DA7625" w:rsidRDefault="00852CA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62. cikkének c) pontja</w:t>
            </w:r>
          </w:p>
          <w:p w14:paraId="4C1A8B69" w14:textId="659BA625"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kockázattal súlyozott kitettség értékét sztenderd módszerrel számító intézmények esetében ez a tétel az általános hitelkockázati kiigazításoknak a T2 tőkeként figyelembe vehető összegét tartalmazza.</w:t>
            </w:r>
          </w:p>
        </w:tc>
      </w:tr>
      <w:tr w:rsidR="001B1411" w:rsidRPr="00DA7625" w14:paraId="4A5FBC24" w14:textId="77777777" w:rsidTr="00672D2A">
        <w:tc>
          <w:tcPr>
            <w:tcW w:w="1129" w:type="dxa"/>
          </w:tcPr>
          <w:p w14:paraId="41B2D303"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930</w:t>
            </w:r>
          </w:p>
        </w:tc>
        <w:tc>
          <w:tcPr>
            <w:tcW w:w="7620" w:type="dxa"/>
          </w:tcPr>
          <w:p w14:paraId="0455ED7D" w14:textId="77777777" w:rsidR="001B1411" w:rsidRPr="00DA7625" w:rsidRDefault="00A86EB4">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1.2.7</w:t>
            </w:r>
            <w:r w:rsidRPr="00DA7625">
              <w:rPr>
                <w:rStyle w:val="InstructionsTabelleberschrift"/>
                <w:rFonts w:ascii="Times New Roman" w:hAnsi="Times New Roman"/>
                <w:sz w:val="24"/>
              </w:rPr>
              <w:tab/>
              <w:t>(–) Kölcsönös részesedések T2 tőkeinstrumentumokban</w:t>
            </w:r>
          </w:p>
          <w:p w14:paraId="6F848E41" w14:textId="507899C3"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122. pontja, 66. cikkének b) pontja, valamint 68. cikke</w:t>
            </w:r>
          </w:p>
          <w:p w14:paraId="4B523625" w14:textId="4AF697DE"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27. pontjában meghatározott pénzügyi ágazatbeli szervezetek által kibocsátott T2 tőkeinstrumentumok állománya olyan kölcsönös részesedés esetében, amelynek célja az illetékes hatóság véleménye szerint az intézmény szavatolótőkéjének mesterséges megemelése.</w:t>
            </w:r>
          </w:p>
          <w:p w14:paraId="2BF3FDE3"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feltüntetendő értéket a bruttó hosszú pozíciók alapján kell kiszámítani, és annak tartalmaznia kell a biztosítói 2. és 3. szintű szavatolótőke-elemeket.</w:t>
            </w:r>
          </w:p>
        </w:tc>
      </w:tr>
      <w:tr w:rsidR="001B1411" w:rsidRPr="00DA7625" w14:paraId="2FE6AF07" w14:textId="77777777" w:rsidTr="00672D2A">
        <w:tc>
          <w:tcPr>
            <w:tcW w:w="1129" w:type="dxa"/>
          </w:tcPr>
          <w:p w14:paraId="55C18047"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940</w:t>
            </w:r>
          </w:p>
        </w:tc>
        <w:tc>
          <w:tcPr>
            <w:tcW w:w="7620" w:type="dxa"/>
          </w:tcPr>
          <w:p w14:paraId="7B62FD67" w14:textId="77777777" w:rsidR="001B1411" w:rsidRPr="00DA7625" w:rsidRDefault="00A86EB4">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1.2.8</w:t>
            </w:r>
            <w:r w:rsidRPr="00DA7625">
              <w:rPr>
                <w:rStyle w:val="InstructionsTabelleberschrift"/>
                <w:rFonts w:ascii="Times New Roman" w:hAnsi="Times New Roman"/>
                <w:sz w:val="24"/>
              </w:rPr>
              <w:tab/>
              <w:t>(–) Pénzügyi ágazatbeli szervezetek által kibocsátott T2 tőkeinstrumentumok, ha az intézmény nem rendelkezik jelentős részesedéssel az említett vállalkozásokban</w:t>
            </w:r>
          </w:p>
          <w:p w14:paraId="1FA061EA" w14:textId="4AD640B9"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27. pontja, 66. cikkének c) pontja, valamint 68–70. és 79. cikke</w:t>
            </w:r>
          </w:p>
          <w:p w14:paraId="66D90D78" w14:textId="30A8876B"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(1)bekezdésének 27. pontjában meghatározott pénzügyi ágazatbeli szervezetek által kibocsátott instrumentumokban lévő intézményi részesedés, ha az intézmény nem rendelkezik a T2 tőkéből levonandó jelentős részesedéssel.</w:t>
            </w:r>
          </w:p>
        </w:tc>
      </w:tr>
      <w:tr w:rsidR="001B1411" w:rsidRPr="00DA7625" w14:paraId="0A9FE5F1" w14:textId="77777777" w:rsidTr="00672D2A">
        <w:tc>
          <w:tcPr>
            <w:tcW w:w="1129" w:type="dxa"/>
          </w:tcPr>
          <w:p w14:paraId="3FD571BD"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950</w:t>
            </w:r>
          </w:p>
        </w:tc>
        <w:tc>
          <w:tcPr>
            <w:tcW w:w="7620" w:type="dxa"/>
          </w:tcPr>
          <w:p w14:paraId="7A794376" w14:textId="77777777" w:rsidR="001B1411" w:rsidRPr="00DA7625" w:rsidRDefault="00A86EB4">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1.2.9</w:t>
            </w:r>
            <w:r w:rsidRPr="00DA7625">
              <w:rPr>
                <w:rStyle w:val="InstructionsTabelleberschrift"/>
                <w:rFonts w:ascii="Times New Roman" w:hAnsi="Times New Roman"/>
                <w:sz w:val="24"/>
              </w:rPr>
              <w:tab/>
              <w:t>(–) Pénzügyi ágazatbeli szervezetek által kibocsátott T2 tőkeinstrumentumok, ha az intézmény jelentős részesedéssel rendelkezik az említett vállalkozásokban</w:t>
            </w:r>
          </w:p>
          <w:p w14:paraId="191E03F9" w14:textId="1A6247CA" w:rsidR="001B1411" w:rsidRPr="00DA7625" w:rsidRDefault="00FF281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27. pontja, 66. cikkének d) pontja, 68., 69. és 79. cikke</w:t>
            </w:r>
          </w:p>
          <w:p w14:paraId="2F8B35E9" w14:textId="1D842EAD" w:rsidR="001B1411" w:rsidRPr="00DA7625" w:rsidRDefault="009B511B">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 cikke (1) bekezdésének 27. pontjában meghatározott pénzügyi ágazatbeli szervezetek által kibocsátott T2 tőkeinstrumentumokban lévő intézményi részesedést, ha az intézmény az elsődleges jelentős részesedéssel rendelkezik, teljes összegben le kell vonni.</w:t>
            </w:r>
          </w:p>
        </w:tc>
      </w:tr>
      <w:tr w:rsidR="001B1411" w:rsidRPr="00DA7625" w14:paraId="5DA6F122" w14:textId="77777777" w:rsidTr="00672D2A">
        <w:tc>
          <w:tcPr>
            <w:tcW w:w="1129" w:type="dxa"/>
          </w:tcPr>
          <w:p w14:paraId="33450E2A"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960</w:t>
            </w:r>
          </w:p>
        </w:tc>
        <w:tc>
          <w:tcPr>
            <w:tcW w:w="7620" w:type="dxa"/>
          </w:tcPr>
          <w:p w14:paraId="7B3D4343" w14:textId="77777777" w:rsidR="001B1411" w:rsidRPr="00DA7625" w:rsidRDefault="00A86EB4">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1.2.10</w:t>
            </w:r>
            <w:r w:rsidRPr="00DA7625">
              <w:rPr>
                <w:rStyle w:val="InstructionsTabelleberschrift"/>
                <w:rFonts w:ascii="Times New Roman" w:hAnsi="Times New Roman"/>
                <w:sz w:val="24"/>
              </w:rPr>
              <w:tab/>
              <w:t>T2 tőke egyéb átmeneti kiigazításai</w:t>
            </w:r>
          </w:p>
          <w:p w14:paraId="784A51A7" w14:textId="4BA1DD2A"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476., 477., 478. és 481. cikke</w:t>
            </w:r>
          </w:p>
          <w:p w14:paraId="562B7EA9"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Az átmeneti rendelkezések miatt végrehajtott kiigazítások. A feltüntetendő értéket közvetlenül a CA5 tábláról kell átvezetni.</w:t>
            </w:r>
          </w:p>
        </w:tc>
      </w:tr>
      <w:tr w:rsidR="001B1411" w:rsidRPr="00DA7625" w14:paraId="2EA884C8" w14:textId="77777777" w:rsidTr="00672D2A">
        <w:tc>
          <w:tcPr>
            <w:tcW w:w="1129" w:type="dxa"/>
          </w:tcPr>
          <w:p w14:paraId="687D9A16"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970</w:t>
            </w:r>
          </w:p>
        </w:tc>
        <w:tc>
          <w:tcPr>
            <w:tcW w:w="7620" w:type="dxa"/>
          </w:tcPr>
          <w:p w14:paraId="358D3E0C" w14:textId="77777777" w:rsidR="001B1411" w:rsidRPr="00DA7625" w:rsidRDefault="00A86EB4">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1.2.11</w:t>
            </w:r>
            <w:r w:rsidRPr="00DA7625">
              <w:rPr>
                <w:rStyle w:val="InstructionsTabelleberschrift"/>
                <w:rFonts w:ascii="Times New Roman" w:hAnsi="Times New Roman"/>
                <w:sz w:val="24"/>
              </w:rPr>
              <w:tab/>
              <w:t>T2 tőkeelemek összegét meghaladó T2 levonások többlete (levonás az AT1 tőkében)</w:t>
            </w:r>
          </w:p>
          <w:p w14:paraId="06921619" w14:textId="0EED794F" w:rsidR="001B1411" w:rsidRPr="00DA7625" w:rsidRDefault="00852CAD">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56. cikkének e) pontja</w:t>
            </w:r>
          </w:p>
          <w:p w14:paraId="2D66785A" w14:textId="77777777"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A T2 tőke nem lehet negatív, ugyanakkor lehetséges, hogy a T2 tőkét érintő levonások összege meghaladja a T2 tőke és a kapcsolódó ázsió együttes összegét. Ilyenkor a T2 tőke összegét nullára kell csökkenteni, a levonásnak az eredeti tőkeösszeget meghaladó részét pedig az AT1 tőkéből kell levonni.</w:t>
            </w:r>
          </w:p>
          <w:p w14:paraId="4F23E22C" w14:textId="68347F2D" w:rsidR="001B1411" w:rsidRPr="00DA7625" w:rsidRDefault="00A86EB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E tételnek köszönhetően az 1.2.1–1.2.13. tételek összege egyetlen esetben sem kisebb nullánál. Ha e tétel értéke pozitív, akkor az 1.1.2.8. tételben ezzel megegyező, ellenkező előjelű számot kell feltüntetni.</w:t>
            </w:r>
          </w:p>
        </w:tc>
      </w:tr>
      <w:tr w:rsidR="001B1411" w:rsidRPr="00DA7625" w14:paraId="45014646" w14:textId="77777777" w:rsidTr="00672D2A">
        <w:tc>
          <w:tcPr>
            <w:tcW w:w="1129" w:type="dxa"/>
          </w:tcPr>
          <w:p w14:paraId="11FABB7C" w14:textId="77777777" w:rsidR="001B1411" w:rsidRPr="00DA7625" w:rsidDel="00BD687C" w:rsidRDefault="00BD687C">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974</w:t>
            </w:r>
          </w:p>
        </w:tc>
        <w:tc>
          <w:tcPr>
            <w:tcW w:w="7620" w:type="dxa"/>
          </w:tcPr>
          <w:p w14:paraId="5AF73AD1" w14:textId="77777777" w:rsidR="001B1411" w:rsidRPr="00DA7625" w:rsidRDefault="00BD687C">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1.2.12</w:t>
            </w:r>
            <w:r w:rsidRPr="00DA7625">
              <w:rPr>
                <w:rStyle w:val="InstructionsTabelleberschrift"/>
                <w:rFonts w:ascii="Times New Roman" w:hAnsi="Times New Roman"/>
                <w:sz w:val="24"/>
              </w:rPr>
              <w:tab/>
              <w:t>(–) Pótlólagos levonások a T2 tőkéből a CRR 3. cikke alapján</w:t>
            </w:r>
          </w:p>
          <w:p w14:paraId="59985BA9" w14:textId="77777777" w:rsidR="001B1411" w:rsidRPr="00DA7625" w:rsidRDefault="00BD687C">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CRR 3. cikke</w:t>
            </w:r>
          </w:p>
        </w:tc>
      </w:tr>
      <w:tr w:rsidR="001B1411" w:rsidRPr="00DA7625" w14:paraId="3A0BCE04" w14:textId="77777777" w:rsidTr="00672D2A">
        <w:tc>
          <w:tcPr>
            <w:tcW w:w="1129" w:type="dxa"/>
          </w:tcPr>
          <w:p w14:paraId="5CF1CA23" w14:textId="77777777" w:rsidR="001B1411" w:rsidRPr="00DA7625" w:rsidRDefault="00BD687C">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978</w:t>
            </w:r>
          </w:p>
        </w:tc>
        <w:tc>
          <w:tcPr>
            <w:tcW w:w="7620" w:type="dxa"/>
          </w:tcPr>
          <w:p w14:paraId="42E49155" w14:textId="77777777" w:rsidR="001B1411" w:rsidRPr="00DA7625" w:rsidRDefault="00A86EB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1.2.13</w:t>
            </w:r>
            <w:r w:rsidRPr="00DA7625">
              <w:rPr>
                <w:rStyle w:val="InstructionsTabelleberschrift"/>
                <w:rFonts w:ascii="Times New Roman" w:hAnsi="Times New Roman"/>
                <w:sz w:val="24"/>
              </w:rPr>
              <w:tab/>
              <w:t xml:space="preserve">T2 tőkeelemek vagy levonások – egyéb </w:t>
            </w:r>
          </w:p>
          <w:p w14:paraId="55A843F1" w14:textId="7F172C75" w:rsidR="001B1411" w:rsidRPr="00DA7625" w:rsidRDefault="00A86EB4">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 xml:space="preserve">E sor kizárólagos célja, hogy biztosítsa az adatszolgáltatás rugalmasságát. Csak azokban a ritka esetekben tölthető ki, amikor nincs végleges döntés az aktuális CA1 táblában szereplő egyes tőkeelemekkel vagy levonásokkal kapcsolatos adatszolgáltatásról. Következésképpen a sor csak akkor tölthető ki, ha egy T2 tőkeelem, vagy egy T2 tőkeelemet érintő levonás nem szerepeltethető a 750–974. sorok egyikében sem. </w:t>
            </w:r>
          </w:p>
          <w:p w14:paraId="33435B21" w14:textId="74673699" w:rsidR="001B1411" w:rsidRPr="00DA7625" w:rsidRDefault="00A86EB4">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sor nem használható a CRR-ben nem szabályozott tőkeelemeknek, illetve levonásoknak a szolvenciamutató kiszámításán belüli besorolásához (pl. olyan tagállami tőkeelemek vagy levonások besorolásához, amelyek a CRR hatályán kívül esnek).</w:t>
            </w:r>
          </w:p>
        </w:tc>
      </w:tr>
    </w:tbl>
    <w:p w14:paraId="71EB3ECD" w14:textId="77777777" w:rsidR="001B1411" w:rsidRPr="00DA7625" w:rsidRDefault="001B1411">
      <w:pPr>
        <w:pStyle w:val="InstructionsText"/>
      </w:pPr>
    </w:p>
    <w:p w14:paraId="68D52605"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12" w:name="_Toc31018758"/>
      <w:r w:rsidRPr="00DA7625">
        <w:rPr>
          <w:rFonts w:ascii="Times New Roman" w:hAnsi="Times New Roman"/>
          <w:sz w:val="24"/>
          <w:u w:val="none"/>
        </w:rPr>
        <w:t>1.3.</w:t>
      </w:r>
      <w:r w:rsidRPr="00DA7625">
        <w:rPr>
          <w:rFonts w:ascii="Times New Roman" w:hAnsi="Times New Roman"/>
          <w:sz w:val="24"/>
          <w:u w:val="none"/>
        </w:rPr>
        <w:tab/>
      </w:r>
      <w:r w:rsidRPr="00DA7625">
        <w:rPr>
          <w:rFonts w:ascii="Times New Roman" w:hAnsi="Times New Roman"/>
          <w:sz w:val="24"/>
        </w:rPr>
        <w:t>C 02.00 – SZAVATOLÓTŐKE-KÖVETELMÉNY (CA2)</w:t>
      </w:r>
      <w:bookmarkEnd w:id="12"/>
      <w:r w:rsidRPr="00DA7625">
        <w:rPr>
          <w:rFonts w:ascii="Times New Roman" w:hAnsi="Times New Roman"/>
          <w:sz w:val="24"/>
        </w:rPr>
        <w:t xml:space="preserve"> </w:t>
      </w:r>
    </w:p>
    <w:p w14:paraId="54208F37"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13" w:name="_Toc31018759"/>
      <w:r w:rsidRPr="00DA7625">
        <w:rPr>
          <w:rFonts w:ascii="Times New Roman" w:hAnsi="Times New Roman"/>
          <w:sz w:val="24"/>
          <w:u w:val="none"/>
        </w:rPr>
        <w:t>1.3.1.</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13"/>
    </w:p>
    <w:p w14:paraId="0023256C" w14:textId="77777777" w:rsidR="001B1411" w:rsidRPr="00DA7625" w:rsidRDefault="001B1411">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1B1411" w:rsidRPr="00DA7625" w14:paraId="0D39C813" w14:textId="77777777" w:rsidTr="00672D2A">
        <w:tc>
          <w:tcPr>
            <w:tcW w:w="1591" w:type="dxa"/>
            <w:shd w:val="clear" w:color="auto" w:fill="D9D9D9"/>
          </w:tcPr>
          <w:p w14:paraId="5F5F5E0C" w14:textId="77777777" w:rsidR="001B1411" w:rsidRPr="00DA7625" w:rsidRDefault="002648B0">
            <w:pPr>
              <w:pStyle w:val="InstructionsText"/>
            </w:pPr>
            <w:r w:rsidRPr="00DA7625">
              <w:t>Sor</w:t>
            </w:r>
          </w:p>
        </w:tc>
        <w:tc>
          <w:tcPr>
            <w:tcW w:w="7274" w:type="dxa"/>
            <w:shd w:val="clear" w:color="auto" w:fill="D9D9D9"/>
          </w:tcPr>
          <w:p w14:paraId="68A7ECF1" w14:textId="77777777" w:rsidR="001B1411" w:rsidRPr="00DA7625" w:rsidRDefault="002648B0">
            <w:pPr>
              <w:pStyle w:val="InstructionsText"/>
            </w:pPr>
            <w:r w:rsidRPr="00DA7625">
              <w:t>Jogszabályi hivatkozások és útmutató</w:t>
            </w:r>
          </w:p>
        </w:tc>
      </w:tr>
      <w:tr w:rsidR="001B1411" w:rsidRPr="00DA7625" w14:paraId="4788110E" w14:textId="77777777" w:rsidTr="00672D2A">
        <w:tc>
          <w:tcPr>
            <w:tcW w:w="1591" w:type="dxa"/>
          </w:tcPr>
          <w:p w14:paraId="7CBD314D" w14:textId="77777777" w:rsidR="001B1411" w:rsidRPr="00DA7625" w:rsidRDefault="002648B0">
            <w:pPr>
              <w:pStyle w:val="InstructionsText"/>
            </w:pPr>
            <w:r w:rsidRPr="00DA7625">
              <w:t>010</w:t>
            </w:r>
          </w:p>
        </w:tc>
        <w:tc>
          <w:tcPr>
            <w:tcW w:w="7274" w:type="dxa"/>
          </w:tcPr>
          <w:p w14:paraId="01196437" w14:textId="77777777" w:rsidR="001B1411" w:rsidRPr="00DA7625" w:rsidRDefault="00C66473">
            <w:pPr>
              <w:pStyle w:val="InstructionsText"/>
            </w:pPr>
            <w:r w:rsidRPr="00DA7625">
              <w:rPr>
                <w:rStyle w:val="InstructionsTabelleberschrift"/>
                <w:rFonts w:ascii="Times New Roman" w:hAnsi="Times New Roman"/>
                <w:sz w:val="24"/>
              </w:rPr>
              <w:t>1.</w:t>
            </w:r>
            <w:r w:rsidRPr="00DA7625">
              <w:rPr>
                <w:rStyle w:val="InstructionsTabelleberschrift"/>
                <w:rFonts w:ascii="Times New Roman" w:hAnsi="Times New Roman"/>
                <w:sz w:val="24"/>
              </w:rPr>
              <w:tab/>
              <w:t>TELJES KOCKÁZATI KITETTSÉGÉRTÉK</w:t>
            </w:r>
          </w:p>
          <w:p w14:paraId="46265497" w14:textId="119C1746" w:rsidR="001B1411" w:rsidRPr="00DA7625" w:rsidRDefault="002648B0">
            <w:pPr>
              <w:pStyle w:val="InstructionsText"/>
            </w:pPr>
            <w:r w:rsidRPr="00DA7625">
              <w:t>A CRR 92. cikkének (3) bekezdése, valamint 95., 96. és 98. cikke</w:t>
            </w:r>
          </w:p>
        </w:tc>
      </w:tr>
      <w:tr w:rsidR="001B1411" w:rsidRPr="00DA7625" w14:paraId="6D9EE898" w14:textId="77777777" w:rsidTr="00672D2A">
        <w:tc>
          <w:tcPr>
            <w:tcW w:w="1591" w:type="dxa"/>
          </w:tcPr>
          <w:p w14:paraId="4A03101D" w14:textId="77777777" w:rsidR="001B1411" w:rsidRPr="00DA7625" w:rsidRDefault="002648B0">
            <w:pPr>
              <w:pStyle w:val="InstructionsText"/>
            </w:pPr>
            <w:r w:rsidRPr="00DA7625">
              <w:t>020</w:t>
            </w:r>
          </w:p>
        </w:tc>
        <w:tc>
          <w:tcPr>
            <w:tcW w:w="7274" w:type="dxa"/>
          </w:tcPr>
          <w:p w14:paraId="728E140E" w14:textId="2C359A98" w:rsidR="001B1411" w:rsidRPr="00DA7625" w:rsidRDefault="002648B0">
            <w:pPr>
              <w:pStyle w:val="InstructionsText"/>
            </w:pPr>
            <w:r w:rsidRPr="00DA7625">
              <w:rPr>
                <w:rStyle w:val="InstructionsTabelleberschrift"/>
                <w:rFonts w:ascii="Times New Roman" w:hAnsi="Times New Roman"/>
                <w:sz w:val="24"/>
              </w:rPr>
              <w:t>1.*</w:t>
            </w:r>
            <w:r w:rsidRPr="00DA7625">
              <w:rPr>
                <w:rStyle w:val="InstructionsTabelleberschrift"/>
                <w:rFonts w:ascii="Times New Roman" w:hAnsi="Times New Roman"/>
                <w:sz w:val="24"/>
              </w:rPr>
              <w:tab/>
              <w:t>Ebből: befektetési vállalkozások a CRR 95. cikkének (2) bekezdése, valamint 98. cikke szerint</w:t>
            </w:r>
          </w:p>
          <w:p w14:paraId="4FA45006" w14:textId="6C2AC099" w:rsidR="001B1411" w:rsidRPr="00DA7625" w:rsidRDefault="002648B0">
            <w:pPr>
              <w:pStyle w:val="InstructionsText"/>
            </w:pPr>
            <w:r w:rsidRPr="00DA7625">
              <w:t xml:space="preserve">A CRR 95. cikkének </w:t>
            </w:r>
            <w:r w:rsidRPr="00DA7625">
              <w:rPr>
                <w:rStyle w:val="FormatvorlageInstructionsTabelleText"/>
                <w:rFonts w:ascii="Times New Roman" w:hAnsi="Times New Roman"/>
                <w:sz w:val="24"/>
              </w:rPr>
              <w:t>(2)</w:t>
            </w:r>
            <w:r w:rsidRPr="00DA7625">
              <w:t xml:space="preserve"> bekezdése, valamint 98. cikke szerinti befektetési vállalkozások</w:t>
            </w:r>
          </w:p>
        </w:tc>
      </w:tr>
      <w:tr w:rsidR="001B1411" w:rsidRPr="00DA7625" w14:paraId="5A6EEA97" w14:textId="77777777" w:rsidTr="00672D2A">
        <w:tc>
          <w:tcPr>
            <w:tcW w:w="1591" w:type="dxa"/>
          </w:tcPr>
          <w:p w14:paraId="044DF713" w14:textId="77777777" w:rsidR="001B1411" w:rsidRPr="00DA7625" w:rsidRDefault="002648B0">
            <w:pPr>
              <w:pStyle w:val="InstructionsText"/>
            </w:pPr>
            <w:r w:rsidRPr="00DA7625">
              <w:t>030</w:t>
            </w:r>
          </w:p>
        </w:tc>
        <w:tc>
          <w:tcPr>
            <w:tcW w:w="7274" w:type="dxa"/>
          </w:tcPr>
          <w:p w14:paraId="3E0C3E16" w14:textId="3F2B9EE0" w:rsidR="001B1411" w:rsidRPr="00DA7625" w:rsidRDefault="002648B0">
            <w:pPr>
              <w:pStyle w:val="InstructionsText"/>
            </w:pPr>
            <w:r w:rsidRPr="00DA7625">
              <w:rPr>
                <w:rStyle w:val="InstructionsTabelleberschrift"/>
                <w:rFonts w:ascii="Times New Roman" w:hAnsi="Times New Roman"/>
                <w:sz w:val="24"/>
              </w:rPr>
              <w:t>1.**</w:t>
            </w:r>
            <w:r w:rsidRPr="00DA7625">
              <w:rPr>
                <w:rStyle w:val="InstructionsTabelleberschrift"/>
                <w:rFonts w:ascii="Times New Roman" w:hAnsi="Times New Roman"/>
                <w:sz w:val="24"/>
              </w:rPr>
              <w:tab/>
              <w:t>Ebből: befektetési vállalkozások a CRR 96. cikkének (2) bekezdése, valamint 97. cikke szerint</w:t>
            </w:r>
          </w:p>
          <w:p w14:paraId="76B6B5F2" w14:textId="0BA81474" w:rsidR="001B1411" w:rsidRPr="00DA7625" w:rsidRDefault="002648B0">
            <w:pPr>
              <w:pStyle w:val="InstructionsText"/>
            </w:pPr>
            <w:r w:rsidRPr="00DA7625">
              <w:t xml:space="preserve">A CRR 96. cikkének </w:t>
            </w:r>
            <w:r w:rsidRPr="00DA7625">
              <w:rPr>
                <w:rStyle w:val="FormatvorlageInstructionsTabelleText"/>
                <w:rFonts w:ascii="Times New Roman" w:hAnsi="Times New Roman"/>
                <w:sz w:val="24"/>
              </w:rPr>
              <w:t>(2)</w:t>
            </w:r>
            <w:r w:rsidRPr="00DA7625">
              <w:t xml:space="preserve"> bekezdése, valamint 97. cikke szerinti befektetési vállalkozások</w:t>
            </w:r>
          </w:p>
        </w:tc>
      </w:tr>
      <w:tr w:rsidR="001B1411" w:rsidRPr="00DA7625" w14:paraId="7BA90DC4" w14:textId="77777777" w:rsidTr="00672D2A">
        <w:tc>
          <w:tcPr>
            <w:tcW w:w="1591" w:type="dxa"/>
          </w:tcPr>
          <w:p w14:paraId="6C2A8F6D"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040</w:t>
            </w:r>
          </w:p>
        </w:tc>
        <w:tc>
          <w:tcPr>
            <w:tcW w:w="7274" w:type="dxa"/>
          </w:tcPr>
          <w:p w14:paraId="37CD2A01" w14:textId="77777777" w:rsidR="001B1411" w:rsidRPr="00DA7625" w:rsidRDefault="002648B0">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w:t>
            </w:r>
            <w:r w:rsidRPr="00DA7625">
              <w:rPr>
                <w:rStyle w:val="InstructionsTabelleberschrift"/>
                <w:rFonts w:ascii="Times New Roman" w:hAnsi="Times New Roman"/>
                <w:sz w:val="24"/>
              </w:rPr>
              <w:tab/>
              <w:t>HITELKOCKÁZATRA, PARTNERKOCKÁZATRA ÉS FELHÍGULÁSI KOCKÁZATRA, VALAMINT NYITVA SZÁLLÍTÁSOKRA VONATKOZÓ, KOCKÁZATTAL SÚLYOZOTT KITETTSÉGÉRTÉKEK</w:t>
            </w:r>
          </w:p>
          <w:p w14:paraId="54D1474C" w14:textId="1481A45E" w:rsidR="001B1411" w:rsidRPr="00DA7625" w:rsidRDefault="002C66A4">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92. cikke (3) bekezdésének a) és f) pontja</w:t>
            </w:r>
          </w:p>
        </w:tc>
      </w:tr>
      <w:tr w:rsidR="001B1411" w:rsidRPr="00DA7625" w14:paraId="6C7C9EAC" w14:textId="77777777" w:rsidTr="00672D2A">
        <w:tc>
          <w:tcPr>
            <w:tcW w:w="1591" w:type="dxa"/>
          </w:tcPr>
          <w:p w14:paraId="1F820C45"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050</w:t>
            </w:r>
          </w:p>
        </w:tc>
        <w:tc>
          <w:tcPr>
            <w:tcW w:w="7274" w:type="dxa"/>
          </w:tcPr>
          <w:p w14:paraId="5B1D747A" w14:textId="4C8B71B4" w:rsidR="001B1411" w:rsidRPr="00DA7625" w:rsidRDefault="002648B0">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1.1.1</w:t>
            </w:r>
            <w:r w:rsidRPr="00DA7625">
              <w:rPr>
                <w:rStyle w:val="InstructionsTabelleberschrift"/>
                <w:rFonts w:ascii="Times New Roman" w:hAnsi="Times New Roman"/>
                <w:sz w:val="24"/>
              </w:rPr>
              <w:tab/>
              <w:t>Sztenderd módszer (SA)</w:t>
            </w:r>
          </w:p>
          <w:p w14:paraId="140A5C1E" w14:textId="77777777" w:rsidR="001B1411" w:rsidRPr="00DA7625" w:rsidRDefault="002648B0">
            <w:pPr>
              <w:pStyle w:val="InstructionsText"/>
              <w:rPr>
                <w:rStyle w:val="FormatvorlageInstructionsTabelleText"/>
                <w:rFonts w:ascii="Times New Roman" w:hAnsi="Times New Roman"/>
                <w:sz w:val="24"/>
              </w:rPr>
            </w:pPr>
            <w:r w:rsidRPr="00DA7625">
              <w:rPr>
                <w:rStyle w:val="InstructionsTabelleberschrift"/>
                <w:rFonts w:ascii="Times New Roman" w:hAnsi="Times New Roman"/>
                <w:b w:val="0"/>
                <w:sz w:val="24"/>
                <w:u w:val="none"/>
              </w:rPr>
              <w:t>CR SA és SEC SA tábla az összesített kitettség szintjén.</w:t>
            </w:r>
          </w:p>
        </w:tc>
      </w:tr>
      <w:tr w:rsidR="001B1411" w:rsidRPr="00DA7625" w14:paraId="48DA6C54" w14:textId="77777777" w:rsidTr="00672D2A">
        <w:tc>
          <w:tcPr>
            <w:tcW w:w="1591" w:type="dxa"/>
          </w:tcPr>
          <w:p w14:paraId="03E01A09"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051</w:t>
            </w:r>
          </w:p>
        </w:tc>
        <w:tc>
          <w:tcPr>
            <w:tcW w:w="7274" w:type="dxa"/>
          </w:tcPr>
          <w:p w14:paraId="47536DF6" w14:textId="1C95F224" w:rsidR="001B1411" w:rsidRPr="00DA7625" w:rsidRDefault="00802958">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1.1.1*</w:t>
            </w:r>
            <w:r w:rsidRPr="00DA7625">
              <w:rPr>
                <w:rStyle w:val="InstructionsTabelleberschrift"/>
                <w:rFonts w:ascii="Times New Roman" w:hAnsi="Times New Roman"/>
                <w:sz w:val="24"/>
              </w:rPr>
              <w:tab/>
              <w:t>Ebből: kiegészítő szigorúbb prudenciális követelmények a CRR 124. cikke alapján</w:t>
            </w:r>
          </w:p>
          <w:p w14:paraId="66AE5407" w14:textId="25289537" w:rsidR="001B1411" w:rsidRPr="00DA7625" w:rsidRDefault="004852B9">
            <w:pPr>
              <w:pStyle w:val="InstructionsText"/>
              <w:rPr>
                <w:rStyle w:val="InstructionsTabelleberschrift"/>
                <w:rFonts w:ascii="Times New Roman" w:hAnsi="Times New Roman"/>
                <w:sz w:val="24"/>
              </w:rPr>
            </w:pPr>
            <w:r w:rsidRPr="00DA7625">
              <w:t>Az intézményeknek adatot kell szolgáltatniuk azokról a pótlólagos kockázati kitettségértékekről, amelyek a CRR 124. cikkének (2) és (5) bekezdésével összhangban az EBH-val folytatott konzultációt követően az intézmények számára közzétett, szigorúbb prudenciális követelményeknek való megfeleléshez szükségesek.</w:t>
            </w:r>
          </w:p>
        </w:tc>
      </w:tr>
      <w:tr w:rsidR="001B1411" w:rsidRPr="00DA7625" w14:paraId="550B562B" w14:textId="77777777" w:rsidTr="00672D2A">
        <w:tc>
          <w:tcPr>
            <w:tcW w:w="1591" w:type="dxa"/>
          </w:tcPr>
          <w:p w14:paraId="7E7ABFE8"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060</w:t>
            </w:r>
          </w:p>
        </w:tc>
        <w:tc>
          <w:tcPr>
            <w:tcW w:w="7274" w:type="dxa"/>
          </w:tcPr>
          <w:p w14:paraId="46212EFA" w14:textId="77777777" w:rsidR="001B1411" w:rsidRPr="00DA7625" w:rsidRDefault="00C44421">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w:t>
            </w:r>
            <w:r w:rsidRPr="00DA7625">
              <w:rPr>
                <w:rStyle w:val="InstructionsTabelleberschrift"/>
                <w:rFonts w:ascii="Times New Roman" w:hAnsi="Times New Roman"/>
                <w:sz w:val="24"/>
              </w:rPr>
              <w:tab/>
              <w:t>Sztenderd módszer (SA) szerinti kitettségi osztályok értékpapírosítási pozíciók nélkül</w:t>
            </w:r>
          </w:p>
          <w:p w14:paraId="021404DD" w14:textId="20F12D0F"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CR SA tábla az összesített kitettség szintjén. A sztenderd módszer szerinti kitettségi osztályok</w:t>
            </w:r>
            <w:r w:rsidRPr="00DA7625">
              <w:t xml:space="preserve"> </w:t>
            </w:r>
            <w:r w:rsidRPr="00DA7625">
              <w:rPr>
                <w:rStyle w:val="InstructionsTabelleberschrift"/>
                <w:rFonts w:ascii="Times New Roman" w:hAnsi="Times New Roman"/>
                <w:b w:val="0"/>
                <w:sz w:val="24"/>
                <w:u w:val="none"/>
              </w:rPr>
              <w:t>közé</w:t>
            </w:r>
            <w:r w:rsidRPr="00DA7625">
              <w:t xml:space="preserve"> </w:t>
            </w:r>
            <w:r w:rsidRPr="00DA7625">
              <w:rPr>
                <w:rStyle w:val="FormatvorlageInstructionsTabelleText"/>
                <w:rFonts w:ascii="Times New Roman" w:hAnsi="Times New Roman"/>
                <w:sz w:val="24"/>
              </w:rPr>
              <w:t>a CRR 112. cikkében felsoroltak tartoznak, az értékpapírosítási pozíciók kivételével.</w:t>
            </w:r>
          </w:p>
        </w:tc>
      </w:tr>
      <w:tr w:rsidR="001B1411" w:rsidRPr="00DA7625" w14:paraId="6382F224" w14:textId="77777777" w:rsidTr="00672D2A">
        <w:tc>
          <w:tcPr>
            <w:tcW w:w="1591" w:type="dxa"/>
          </w:tcPr>
          <w:p w14:paraId="2EF59F31"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070</w:t>
            </w:r>
          </w:p>
        </w:tc>
        <w:tc>
          <w:tcPr>
            <w:tcW w:w="7274" w:type="dxa"/>
          </w:tcPr>
          <w:p w14:paraId="1FE8F70A" w14:textId="77777777" w:rsidR="001B1411" w:rsidRPr="00DA7625" w:rsidRDefault="002648B0">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1.1.1.1.01</w:t>
            </w:r>
            <w:r w:rsidRPr="00DA7625">
              <w:rPr>
                <w:rStyle w:val="InstructionsTabelleberschrift"/>
                <w:rFonts w:ascii="Times New Roman" w:hAnsi="Times New Roman"/>
                <w:sz w:val="24"/>
              </w:rPr>
              <w:tab/>
              <w:t>Központi kormányzatok vagy központi bankok</w:t>
            </w:r>
          </w:p>
          <w:p w14:paraId="475A051D" w14:textId="77777777" w:rsidR="001B1411" w:rsidRPr="00DA7625" w:rsidRDefault="00D212FE">
            <w:pPr>
              <w:pStyle w:val="InstructionsText"/>
              <w:rPr>
                <w:rStyle w:val="FormatvorlageInstructionsTabelleText"/>
                <w:rFonts w:ascii="Times New Roman" w:hAnsi="Times New Roman"/>
                <w:bCs w:val="0"/>
                <w:sz w:val="24"/>
              </w:rPr>
            </w:pPr>
            <w:r w:rsidRPr="00DA7625">
              <w:rPr>
                <w:rStyle w:val="FormatvorlageInstructionsTabelleText"/>
                <w:rFonts w:ascii="Times New Roman" w:hAnsi="Times New Roman"/>
                <w:sz w:val="24"/>
              </w:rPr>
              <w:t>Lásd a CR SA táblát</w:t>
            </w:r>
          </w:p>
        </w:tc>
      </w:tr>
      <w:tr w:rsidR="001B1411" w:rsidRPr="00DA7625" w14:paraId="3C243135" w14:textId="77777777" w:rsidTr="00672D2A">
        <w:tc>
          <w:tcPr>
            <w:tcW w:w="1591" w:type="dxa"/>
          </w:tcPr>
          <w:p w14:paraId="3190294B"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080</w:t>
            </w:r>
          </w:p>
        </w:tc>
        <w:tc>
          <w:tcPr>
            <w:tcW w:w="7274" w:type="dxa"/>
          </w:tcPr>
          <w:p w14:paraId="028CF066" w14:textId="77777777" w:rsidR="001B1411" w:rsidRPr="00DA7625" w:rsidRDefault="002648B0">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1.1.1.1.02</w:t>
            </w:r>
            <w:r w:rsidRPr="00DA7625">
              <w:rPr>
                <w:rStyle w:val="InstructionsTabelleberschrift"/>
                <w:rFonts w:ascii="Times New Roman" w:hAnsi="Times New Roman"/>
                <w:sz w:val="24"/>
              </w:rPr>
              <w:tab/>
              <w:t>Regionális kormányzatok vagy helyi hatóságok</w:t>
            </w:r>
          </w:p>
          <w:p w14:paraId="73EF3DD6" w14:textId="77777777" w:rsidR="001B1411" w:rsidRPr="00DA7625" w:rsidRDefault="00D212FE">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SA táblát</w:t>
            </w:r>
          </w:p>
        </w:tc>
      </w:tr>
      <w:tr w:rsidR="001B1411" w:rsidRPr="00DA7625" w14:paraId="6BB69C8C" w14:textId="77777777" w:rsidTr="00672D2A">
        <w:tc>
          <w:tcPr>
            <w:tcW w:w="1591" w:type="dxa"/>
          </w:tcPr>
          <w:p w14:paraId="53808F66"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090</w:t>
            </w:r>
          </w:p>
        </w:tc>
        <w:tc>
          <w:tcPr>
            <w:tcW w:w="7274" w:type="dxa"/>
          </w:tcPr>
          <w:p w14:paraId="060A3165" w14:textId="77777777" w:rsidR="001B1411" w:rsidRPr="00DA7625" w:rsidRDefault="002648B0">
            <w:pPr>
              <w:pStyle w:val="InstructionsText"/>
              <w:rPr>
                <w:rStyle w:val="FormatvorlageInstructionsTabelleText"/>
                <w:rFonts w:ascii="Times New Roman" w:hAnsi="Times New Roman"/>
                <w:b/>
                <w:bCs w:val="0"/>
                <w:sz w:val="24"/>
                <w:u w:val="single"/>
              </w:rPr>
            </w:pPr>
            <w:r w:rsidRPr="00DA7625">
              <w:rPr>
                <w:rStyle w:val="InstructionsTabelleberschrift"/>
                <w:rFonts w:ascii="Times New Roman" w:hAnsi="Times New Roman"/>
                <w:sz w:val="24"/>
              </w:rPr>
              <w:t>1.1.1.1.03</w:t>
            </w:r>
            <w:r w:rsidRPr="00DA7625">
              <w:rPr>
                <w:rStyle w:val="InstructionsTabelleberschrift"/>
                <w:rFonts w:ascii="Times New Roman" w:hAnsi="Times New Roman"/>
                <w:sz w:val="24"/>
              </w:rPr>
              <w:tab/>
              <w:t>Közszektorbeli intézmények</w:t>
            </w:r>
          </w:p>
          <w:p w14:paraId="5015B466" w14:textId="77777777" w:rsidR="001B1411" w:rsidRPr="00DA7625" w:rsidRDefault="00D212FE">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SA táblát</w:t>
            </w:r>
          </w:p>
        </w:tc>
      </w:tr>
      <w:tr w:rsidR="001B1411" w:rsidRPr="00DA7625" w14:paraId="31981E30" w14:textId="77777777" w:rsidTr="00672D2A">
        <w:tc>
          <w:tcPr>
            <w:tcW w:w="1591" w:type="dxa"/>
          </w:tcPr>
          <w:p w14:paraId="57A08B7D"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100</w:t>
            </w:r>
          </w:p>
        </w:tc>
        <w:tc>
          <w:tcPr>
            <w:tcW w:w="7274" w:type="dxa"/>
          </w:tcPr>
          <w:p w14:paraId="45141227" w14:textId="77777777" w:rsidR="001B1411" w:rsidRPr="00DA7625" w:rsidRDefault="002648B0">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1.1.1.1.04</w:t>
            </w:r>
            <w:r w:rsidRPr="00DA7625">
              <w:rPr>
                <w:rStyle w:val="InstructionsTabelleberschrift"/>
                <w:rFonts w:ascii="Times New Roman" w:hAnsi="Times New Roman"/>
                <w:sz w:val="24"/>
              </w:rPr>
              <w:tab/>
              <w:t>Multilaterális fejlesztési bankok</w:t>
            </w:r>
          </w:p>
          <w:p w14:paraId="2E09308B" w14:textId="77777777" w:rsidR="001B1411" w:rsidRPr="00DA7625" w:rsidRDefault="00D212FE">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 xml:space="preserve">Lásd a CR SA táblát </w:t>
            </w:r>
          </w:p>
        </w:tc>
      </w:tr>
      <w:tr w:rsidR="001B1411" w:rsidRPr="00DA7625" w14:paraId="4A37FE2C" w14:textId="77777777" w:rsidTr="00672D2A">
        <w:tc>
          <w:tcPr>
            <w:tcW w:w="1591" w:type="dxa"/>
          </w:tcPr>
          <w:p w14:paraId="33CADB2C"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110</w:t>
            </w:r>
          </w:p>
        </w:tc>
        <w:tc>
          <w:tcPr>
            <w:tcW w:w="7274" w:type="dxa"/>
          </w:tcPr>
          <w:p w14:paraId="0847089F" w14:textId="77777777" w:rsidR="001B1411" w:rsidRPr="00DA7625" w:rsidRDefault="002648B0">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1.1.1.1.05</w:t>
            </w:r>
            <w:r w:rsidRPr="00DA7625">
              <w:rPr>
                <w:rStyle w:val="InstructionsTabelleberschrift"/>
                <w:rFonts w:ascii="Times New Roman" w:hAnsi="Times New Roman"/>
                <w:sz w:val="24"/>
              </w:rPr>
              <w:tab/>
              <w:t>Nemzetközi szervezetek</w:t>
            </w:r>
          </w:p>
          <w:p w14:paraId="282262E0" w14:textId="77777777" w:rsidR="001B1411" w:rsidRPr="00DA7625" w:rsidRDefault="00783881">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SA táblát</w:t>
            </w:r>
          </w:p>
        </w:tc>
      </w:tr>
      <w:tr w:rsidR="001B1411" w:rsidRPr="00DA7625" w14:paraId="3D7A9D11" w14:textId="77777777" w:rsidTr="00672D2A">
        <w:tc>
          <w:tcPr>
            <w:tcW w:w="1591" w:type="dxa"/>
          </w:tcPr>
          <w:p w14:paraId="611EACCF"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120</w:t>
            </w:r>
          </w:p>
        </w:tc>
        <w:tc>
          <w:tcPr>
            <w:tcW w:w="7274" w:type="dxa"/>
          </w:tcPr>
          <w:p w14:paraId="70D85E55" w14:textId="77777777" w:rsidR="001B1411" w:rsidRPr="00DA7625" w:rsidRDefault="00783881">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1.1.1.1.06</w:t>
            </w:r>
            <w:r w:rsidRPr="00DA7625">
              <w:rPr>
                <w:rStyle w:val="InstructionsTabelleberschrift"/>
                <w:rFonts w:ascii="Times New Roman" w:hAnsi="Times New Roman"/>
                <w:sz w:val="24"/>
              </w:rPr>
              <w:tab/>
              <w:t>Intézmények</w:t>
            </w:r>
          </w:p>
          <w:p w14:paraId="37A7DA9D" w14:textId="77777777" w:rsidR="001B1411" w:rsidRPr="00DA7625" w:rsidRDefault="00783881">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SA táblát</w:t>
            </w:r>
          </w:p>
        </w:tc>
      </w:tr>
      <w:tr w:rsidR="001B1411" w:rsidRPr="00DA7625" w14:paraId="73F0C1C1" w14:textId="77777777" w:rsidTr="00672D2A">
        <w:tc>
          <w:tcPr>
            <w:tcW w:w="1591" w:type="dxa"/>
          </w:tcPr>
          <w:p w14:paraId="23E85B76"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130</w:t>
            </w:r>
          </w:p>
        </w:tc>
        <w:tc>
          <w:tcPr>
            <w:tcW w:w="7274" w:type="dxa"/>
          </w:tcPr>
          <w:p w14:paraId="24097FE2" w14:textId="77777777" w:rsidR="001B1411" w:rsidRPr="00DA7625" w:rsidRDefault="002648B0">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1.1.1.1.07</w:t>
            </w:r>
            <w:r w:rsidRPr="00DA7625">
              <w:rPr>
                <w:rStyle w:val="InstructionsTabelleberschrift"/>
                <w:rFonts w:ascii="Times New Roman" w:hAnsi="Times New Roman"/>
                <w:sz w:val="24"/>
              </w:rPr>
              <w:tab/>
              <w:t>Vállalkozások</w:t>
            </w:r>
          </w:p>
          <w:p w14:paraId="1B7BB58E" w14:textId="77777777" w:rsidR="001B1411" w:rsidRPr="00DA7625" w:rsidRDefault="00D212FE">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SA táblát</w:t>
            </w:r>
          </w:p>
        </w:tc>
      </w:tr>
      <w:tr w:rsidR="001B1411" w:rsidRPr="00DA7625" w14:paraId="01D7EB89" w14:textId="77777777" w:rsidTr="00672D2A">
        <w:tc>
          <w:tcPr>
            <w:tcW w:w="1591" w:type="dxa"/>
          </w:tcPr>
          <w:p w14:paraId="7645F9A7"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140</w:t>
            </w:r>
          </w:p>
        </w:tc>
        <w:tc>
          <w:tcPr>
            <w:tcW w:w="7274" w:type="dxa"/>
          </w:tcPr>
          <w:p w14:paraId="75877546" w14:textId="77777777" w:rsidR="001B1411" w:rsidRPr="00DA7625" w:rsidRDefault="002648B0">
            <w:pPr>
              <w:pStyle w:val="InstructionsText"/>
              <w:rPr>
                <w:rStyle w:val="FormatvorlageInstructionsTabelleText"/>
                <w:rFonts w:ascii="Times New Roman" w:hAnsi="Times New Roman"/>
                <w:b/>
                <w:bCs w:val="0"/>
                <w:sz w:val="24"/>
                <w:u w:val="single"/>
              </w:rPr>
            </w:pPr>
            <w:r w:rsidRPr="00DA7625">
              <w:rPr>
                <w:rStyle w:val="InstructionsTabelleberschrift"/>
                <w:rFonts w:ascii="Times New Roman" w:hAnsi="Times New Roman"/>
                <w:sz w:val="24"/>
              </w:rPr>
              <w:t>1.1.1.1.08</w:t>
            </w:r>
            <w:r w:rsidRPr="00DA7625">
              <w:rPr>
                <w:rStyle w:val="InstructionsTabelleberschrift"/>
                <w:rFonts w:ascii="Times New Roman" w:hAnsi="Times New Roman"/>
                <w:sz w:val="24"/>
              </w:rPr>
              <w:tab/>
              <w:t>Lakosság</w:t>
            </w:r>
          </w:p>
          <w:p w14:paraId="68AAF723" w14:textId="77777777" w:rsidR="001B1411" w:rsidRPr="00DA7625" w:rsidRDefault="00D212FE">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SA táblát</w:t>
            </w:r>
          </w:p>
        </w:tc>
      </w:tr>
      <w:tr w:rsidR="001B1411" w:rsidRPr="00DA7625" w14:paraId="4CE5D601" w14:textId="77777777" w:rsidTr="00672D2A">
        <w:tc>
          <w:tcPr>
            <w:tcW w:w="1591" w:type="dxa"/>
          </w:tcPr>
          <w:p w14:paraId="537396DF"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150</w:t>
            </w:r>
          </w:p>
        </w:tc>
        <w:tc>
          <w:tcPr>
            <w:tcW w:w="7274" w:type="dxa"/>
          </w:tcPr>
          <w:p w14:paraId="146FDA62" w14:textId="77777777" w:rsidR="001B1411" w:rsidRPr="00DA7625" w:rsidRDefault="002648B0">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1.1.1.1.09</w:t>
            </w:r>
            <w:r w:rsidRPr="00DA7625">
              <w:rPr>
                <w:rStyle w:val="InstructionsTabelleberschrift"/>
                <w:rFonts w:ascii="Times New Roman" w:hAnsi="Times New Roman"/>
                <w:sz w:val="24"/>
              </w:rPr>
              <w:tab/>
              <w:t>Ingatlanra bejegyzett zálogjoggal fedezett kitettségek</w:t>
            </w:r>
          </w:p>
          <w:p w14:paraId="2219A544" w14:textId="77777777" w:rsidR="001B1411" w:rsidRPr="00DA7625" w:rsidRDefault="00D212FE">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SA táblát</w:t>
            </w:r>
          </w:p>
        </w:tc>
      </w:tr>
      <w:tr w:rsidR="001B1411" w:rsidRPr="00DA7625" w14:paraId="36661C50" w14:textId="77777777" w:rsidTr="00672D2A">
        <w:tc>
          <w:tcPr>
            <w:tcW w:w="1591" w:type="dxa"/>
          </w:tcPr>
          <w:p w14:paraId="284FB5F6"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160</w:t>
            </w:r>
          </w:p>
        </w:tc>
        <w:tc>
          <w:tcPr>
            <w:tcW w:w="7274" w:type="dxa"/>
          </w:tcPr>
          <w:p w14:paraId="150470CB" w14:textId="77777777" w:rsidR="001B1411" w:rsidRPr="00DA7625" w:rsidRDefault="002648B0">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1.1.1.1.10</w:t>
            </w:r>
            <w:r w:rsidRPr="00DA7625">
              <w:rPr>
                <w:rStyle w:val="InstructionsTabelleberschrift"/>
                <w:rFonts w:ascii="Times New Roman" w:hAnsi="Times New Roman"/>
                <w:sz w:val="24"/>
              </w:rPr>
              <w:tab/>
              <w:t>Nemteljesítő kitettségek</w:t>
            </w:r>
          </w:p>
          <w:p w14:paraId="6667C7BA" w14:textId="77777777" w:rsidR="001B1411" w:rsidRPr="00DA7625" w:rsidRDefault="00D212FE">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SA táblát</w:t>
            </w:r>
          </w:p>
        </w:tc>
      </w:tr>
      <w:tr w:rsidR="001B1411" w:rsidRPr="00DA7625" w14:paraId="71708621" w14:textId="77777777" w:rsidTr="00672D2A">
        <w:tc>
          <w:tcPr>
            <w:tcW w:w="1591" w:type="dxa"/>
          </w:tcPr>
          <w:p w14:paraId="0658F891"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170</w:t>
            </w:r>
          </w:p>
        </w:tc>
        <w:tc>
          <w:tcPr>
            <w:tcW w:w="7274" w:type="dxa"/>
          </w:tcPr>
          <w:p w14:paraId="1E447B70" w14:textId="77777777" w:rsidR="001B1411" w:rsidRPr="00DA7625" w:rsidRDefault="002648B0">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1.1.1.1.11</w:t>
            </w:r>
            <w:r w:rsidRPr="00DA7625">
              <w:rPr>
                <w:rStyle w:val="InstructionsTabelleberschrift"/>
                <w:rFonts w:ascii="Times New Roman" w:hAnsi="Times New Roman"/>
                <w:sz w:val="24"/>
              </w:rPr>
              <w:tab/>
              <w:t>Kiemelkedően magas kockázatú tételek</w:t>
            </w:r>
          </w:p>
          <w:p w14:paraId="44404A55" w14:textId="77777777" w:rsidR="001B1411" w:rsidRPr="00DA7625" w:rsidRDefault="00D212FE">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SA táblát</w:t>
            </w:r>
          </w:p>
        </w:tc>
      </w:tr>
      <w:tr w:rsidR="001B1411" w:rsidRPr="00DA7625" w14:paraId="4175E5DC" w14:textId="77777777" w:rsidTr="00672D2A">
        <w:tc>
          <w:tcPr>
            <w:tcW w:w="1591" w:type="dxa"/>
          </w:tcPr>
          <w:p w14:paraId="04D6855F"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180</w:t>
            </w:r>
          </w:p>
        </w:tc>
        <w:tc>
          <w:tcPr>
            <w:tcW w:w="7274" w:type="dxa"/>
          </w:tcPr>
          <w:p w14:paraId="34C737D9" w14:textId="77777777" w:rsidR="001B1411" w:rsidRPr="00DA7625" w:rsidRDefault="002648B0">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1.1.1.1.12</w:t>
            </w:r>
            <w:r w:rsidRPr="00DA7625">
              <w:rPr>
                <w:rStyle w:val="InstructionsTabelleberschrift"/>
                <w:rFonts w:ascii="Times New Roman" w:hAnsi="Times New Roman"/>
                <w:sz w:val="24"/>
              </w:rPr>
              <w:tab/>
              <w:t>Fedezett kötvények</w:t>
            </w:r>
          </w:p>
          <w:p w14:paraId="59B64B5C" w14:textId="77777777" w:rsidR="001B1411" w:rsidRPr="00DA7625" w:rsidRDefault="00D212FE">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Lásd a CR SA táblát</w:t>
            </w:r>
          </w:p>
        </w:tc>
      </w:tr>
      <w:tr w:rsidR="001B1411" w:rsidRPr="00DA7625" w14:paraId="6FA35E1B" w14:textId="77777777" w:rsidTr="00672D2A">
        <w:tc>
          <w:tcPr>
            <w:tcW w:w="1591" w:type="dxa"/>
          </w:tcPr>
          <w:p w14:paraId="62FFEFCD"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190</w:t>
            </w:r>
          </w:p>
        </w:tc>
        <w:tc>
          <w:tcPr>
            <w:tcW w:w="7274" w:type="dxa"/>
          </w:tcPr>
          <w:p w14:paraId="0F9F853C" w14:textId="77777777" w:rsidR="001B1411" w:rsidRPr="00DA7625" w:rsidRDefault="002648B0">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1.1.1.1.13</w:t>
            </w:r>
            <w:r w:rsidRPr="00DA7625">
              <w:rPr>
                <w:rStyle w:val="InstructionsTabelleberschrift"/>
                <w:rFonts w:ascii="Times New Roman" w:hAnsi="Times New Roman"/>
                <w:sz w:val="24"/>
              </w:rPr>
              <w:tab/>
              <w:t>Rövid távú hitelminősítéssel rendelkező intézményekkel és vállalkozásokkal szembeni követelések</w:t>
            </w:r>
          </w:p>
          <w:p w14:paraId="75C708A3" w14:textId="77777777" w:rsidR="001B1411" w:rsidRPr="00DA7625" w:rsidRDefault="00D212FE">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SA táblát</w:t>
            </w:r>
          </w:p>
        </w:tc>
      </w:tr>
      <w:tr w:rsidR="001B1411" w:rsidRPr="00DA7625" w14:paraId="3C4A15DC" w14:textId="77777777" w:rsidTr="00672D2A">
        <w:tc>
          <w:tcPr>
            <w:tcW w:w="1591" w:type="dxa"/>
          </w:tcPr>
          <w:p w14:paraId="695E2C9D"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200</w:t>
            </w:r>
          </w:p>
          <w:p w14:paraId="5CE27826" w14:textId="77777777" w:rsidR="001B1411" w:rsidRPr="00DA7625" w:rsidRDefault="001B1411">
            <w:pPr>
              <w:pStyle w:val="InstructionsText"/>
              <w:rPr>
                <w:rStyle w:val="FormatvorlageInstructionsTabelleText"/>
                <w:rFonts w:ascii="Times New Roman" w:hAnsi="Times New Roman"/>
                <w:bCs w:val="0"/>
                <w:sz w:val="24"/>
              </w:rPr>
            </w:pPr>
          </w:p>
        </w:tc>
        <w:tc>
          <w:tcPr>
            <w:tcW w:w="7274" w:type="dxa"/>
          </w:tcPr>
          <w:p w14:paraId="77281FF8" w14:textId="77777777" w:rsidR="001B1411" w:rsidRPr="00DA7625" w:rsidRDefault="002648B0">
            <w:pPr>
              <w:pStyle w:val="InstructionsText"/>
              <w:rPr>
                <w:rStyle w:val="FormatvorlageInstructionsTabelleText"/>
                <w:rFonts w:ascii="Times New Roman" w:hAnsi="Times New Roman"/>
                <w:bCs w:val="0"/>
                <w:sz w:val="24"/>
              </w:rPr>
            </w:pPr>
            <w:r w:rsidRPr="00DA7625">
              <w:rPr>
                <w:rStyle w:val="InstructionsTabelleberschrift"/>
                <w:rFonts w:ascii="Times New Roman" w:hAnsi="Times New Roman"/>
                <w:sz w:val="24"/>
              </w:rPr>
              <w:t>1.1.1.1.14</w:t>
            </w:r>
            <w:r w:rsidRPr="00DA7625">
              <w:rPr>
                <w:rStyle w:val="InstructionsTabelleberschrift"/>
                <w:rFonts w:ascii="Times New Roman" w:hAnsi="Times New Roman"/>
                <w:sz w:val="24"/>
              </w:rPr>
              <w:tab/>
              <w:t>Kollektív befektetési formák (KBF)</w:t>
            </w:r>
          </w:p>
          <w:p w14:paraId="595F68F3" w14:textId="77777777" w:rsidR="001B1411" w:rsidRPr="00DA7625" w:rsidRDefault="00D212FE">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SA táblát</w:t>
            </w:r>
          </w:p>
        </w:tc>
      </w:tr>
      <w:tr w:rsidR="001B1411" w:rsidRPr="00DA7625" w14:paraId="6415AEB2" w14:textId="77777777" w:rsidTr="00672D2A">
        <w:tc>
          <w:tcPr>
            <w:tcW w:w="1591" w:type="dxa"/>
          </w:tcPr>
          <w:p w14:paraId="01355BC3"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210</w:t>
            </w:r>
          </w:p>
        </w:tc>
        <w:tc>
          <w:tcPr>
            <w:tcW w:w="7274" w:type="dxa"/>
          </w:tcPr>
          <w:p w14:paraId="770DFC36" w14:textId="77777777" w:rsidR="001B1411" w:rsidRPr="00DA7625" w:rsidRDefault="002648B0">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1.1.1.1.15</w:t>
            </w:r>
            <w:r w:rsidRPr="00DA7625">
              <w:rPr>
                <w:rStyle w:val="InstructionsTabelleberschrift"/>
                <w:rFonts w:ascii="Times New Roman" w:hAnsi="Times New Roman"/>
                <w:sz w:val="24"/>
              </w:rPr>
              <w:tab/>
              <w:t>Részvényjellegű kitettségek</w:t>
            </w:r>
          </w:p>
          <w:p w14:paraId="6E91A28B" w14:textId="77777777" w:rsidR="001B1411" w:rsidRPr="00DA7625" w:rsidRDefault="00D212FE">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SA táblát</w:t>
            </w:r>
          </w:p>
        </w:tc>
      </w:tr>
      <w:tr w:rsidR="001B1411" w:rsidRPr="00DA7625" w14:paraId="0A7E440A" w14:textId="77777777" w:rsidTr="00672D2A">
        <w:tc>
          <w:tcPr>
            <w:tcW w:w="1591" w:type="dxa"/>
          </w:tcPr>
          <w:p w14:paraId="2EDBDAC7"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211</w:t>
            </w:r>
          </w:p>
        </w:tc>
        <w:tc>
          <w:tcPr>
            <w:tcW w:w="7274" w:type="dxa"/>
          </w:tcPr>
          <w:p w14:paraId="4364BE4A" w14:textId="77777777" w:rsidR="001B1411" w:rsidRPr="00DA7625" w:rsidRDefault="002648B0">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1.1.1.1.16</w:t>
            </w:r>
            <w:r w:rsidRPr="00DA7625">
              <w:rPr>
                <w:rStyle w:val="InstructionsTabelleberschrift"/>
                <w:rFonts w:ascii="Times New Roman" w:hAnsi="Times New Roman"/>
                <w:sz w:val="24"/>
              </w:rPr>
              <w:tab/>
              <w:t>Egyéb tételek</w:t>
            </w:r>
          </w:p>
          <w:p w14:paraId="0AE4E6FE" w14:textId="77777777" w:rsidR="001B1411" w:rsidRPr="00DA7625" w:rsidRDefault="00D212FE">
            <w:pPr>
              <w:pStyle w:val="InstructionsText"/>
              <w:rPr>
                <w:rStyle w:val="InstructionsTabelleberschrift"/>
                <w:rFonts w:ascii="Times New Roman" w:hAnsi="Times New Roman"/>
                <w:bCs w:val="0"/>
                <w:sz w:val="24"/>
              </w:rPr>
            </w:pPr>
            <w:r w:rsidRPr="00DA7625">
              <w:rPr>
                <w:rStyle w:val="FormatvorlageInstructionsTabelleText"/>
                <w:rFonts w:ascii="Times New Roman" w:hAnsi="Times New Roman"/>
                <w:sz w:val="24"/>
              </w:rPr>
              <w:t>Lásd a CR SA táblát</w:t>
            </w:r>
          </w:p>
        </w:tc>
      </w:tr>
      <w:tr w:rsidR="001B1411" w:rsidRPr="00DA7625" w14:paraId="40357F3F" w14:textId="77777777" w:rsidTr="00672D2A">
        <w:tc>
          <w:tcPr>
            <w:tcW w:w="1591" w:type="dxa"/>
          </w:tcPr>
          <w:p w14:paraId="2904FC17" w14:textId="77777777" w:rsidR="001B1411" w:rsidRPr="00DA7625" w:rsidRDefault="002648B0">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240</w:t>
            </w:r>
          </w:p>
        </w:tc>
        <w:tc>
          <w:tcPr>
            <w:tcW w:w="7274" w:type="dxa"/>
          </w:tcPr>
          <w:p w14:paraId="3F47CAA2" w14:textId="77777777" w:rsidR="001B1411" w:rsidRPr="00DA7625" w:rsidRDefault="002648B0">
            <w:pPr>
              <w:pStyle w:val="InstructionsText"/>
              <w:rPr>
                <w:rStyle w:val="FormatvorlageInstructionsTabelleText"/>
                <w:rFonts w:ascii="Times New Roman" w:hAnsi="Times New Roman"/>
                <w:sz w:val="24"/>
              </w:rPr>
            </w:pPr>
            <w:r w:rsidRPr="00DA7625">
              <w:rPr>
                <w:rStyle w:val="InstructionsTabelleberschrift"/>
                <w:rFonts w:ascii="Times New Roman" w:hAnsi="Times New Roman"/>
                <w:sz w:val="24"/>
              </w:rPr>
              <w:t>1.1.2</w:t>
            </w:r>
            <w:r w:rsidRPr="00DA7625">
              <w:rPr>
                <w:rStyle w:val="InstructionsTabelleberschrift"/>
                <w:rFonts w:ascii="Times New Roman" w:hAnsi="Times New Roman"/>
                <w:sz w:val="24"/>
              </w:rPr>
              <w:tab/>
              <w:t xml:space="preserve">Belső minősítésen alapuló módszer (IRB) </w:t>
            </w:r>
          </w:p>
        </w:tc>
      </w:tr>
      <w:tr w:rsidR="001B1411" w:rsidRPr="00DA7625" w14:paraId="2952853B" w14:textId="77777777" w:rsidTr="00672D2A">
        <w:tc>
          <w:tcPr>
            <w:tcW w:w="1591" w:type="dxa"/>
          </w:tcPr>
          <w:p w14:paraId="5F5F57EC"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241</w:t>
            </w:r>
          </w:p>
        </w:tc>
        <w:tc>
          <w:tcPr>
            <w:tcW w:w="7274" w:type="dxa"/>
          </w:tcPr>
          <w:p w14:paraId="67BCCFE0" w14:textId="5F5A5643" w:rsidR="001B1411" w:rsidRPr="00DA7625" w:rsidRDefault="00802958">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1.1.2*</w:t>
            </w:r>
            <w:r w:rsidRPr="00DA7625">
              <w:rPr>
                <w:rStyle w:val="InstructionsTabelleberschrift"/>
                <w:rFonts w:ascii="Times New Roman" w:hAnsi="Times New Roman"/>
                <w:sz w:val="24"/>
              </w:rPr>
              <w:tab/>
              <w:t>Ebből: kiegészítő szigorúbb prudenciális követelmények a CRR 164. cikke alapján</w:t>
            </w:r>
          </w:p>
          <w:p w14:paraId="517FA7BB" w14:textId="0C6CBF1C" w:rsidR="001B1411" w:rsidRPr="00DA7625" w:rsidRDefault="004852B9">
            <w:pPr>
              <w:pStyle w:val="InstructionsText"/>
              <w:rPr>
                <w:rStyle w:val="InstructionsTabelleberschrift"/>
                <w:rFonts w:ascii="Times New Roman" w:hAnsi="Times New Roman"/>
                <w:sz w:val="24"/>
              </w:rPr>
            </w:pPr>
            <w:r w:rsidRPr="00DA7625">
              <w:t>Az intézményeknek adatot kell szolgáltatniuk a szigorúbb prudenciális követelményeknek való megfeleléshez szükséges pótlólagos kockázati kitettségértékekről; e követelményekről – az EBH-val folytatott konzultációt követően – tájékoztatják az intézményeket a CRR 164. cikkének (5) és (7) bekezdésével összhangban.</w:t>
            </w:r>
          </w:p>
        </w:tc>
      </w:tr>
      <w:tr w:rsidR="001B1411" w:rsidRPr="00DA7625" w14:paraId="73CF030A" w14:textId="77777777" w:rsidTr="00672D2A">
        <w:tc>
          <w:tcPr>
            <w:tcW w:w="1591" w:type="dxa"/>
          </w:tcPr>
          <w:p w14:paraId="5DCDE92C"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242</w:t>
            </w:r>
          </w:p>
        </w:tc>
        <w:tc>
          <w:tcPr>
            <w:tcW w:w="7274" w:type="dxa"/>
          </w:tcPr>
          <w:p w14:paraId="3F77146D" w14:textId="42EC5C81" w:rsidR="001B1411" w:rsidRPr="00DA7625" w:rsidRDefault="00802958">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1.1.2**</w:t>
            </w:r>
            <w:r w:rsidRPr="00DA7625">
              <w:rPr>
                <w:rStyle w:val="InstructionsTabelleberschrift"/>
                <w:rFonts w:ascii="Times New Roman" w:hAnsi="Times New Roman"/>
                <w:sz w:val="24"/>
              </w:rPr>
              <w:tab/>
              <w:t>Ebből: kiegészítő szigorúbb prudenciális követelmények a CRR 124. cikke alapján</w:t>
            </w:r>
          </w:p>
          <w:p w14:paraId="56577276" w14:textId="7ECA23A3" w:rsidR="001B1411" w:rsidRPr="00DA7625" w:rsidRDefault="004852B9">
            <w:pPr>
              <w:pStyle w:val="InstructionsText"/>
              <w:rPr>
                <w:rStyle w:val="InstructionsTabelleberschrift"/>
                <w:rFonts w:ascii="Times New Roman" w:hAnsi="Times New Roman"/>
                <w:sz w:val="24"/>
              </w:rPr>
            </w:pPr>
            <w:r w:rsidRPr="00DA7625">
              <w:t>Az intézményeknek adatot kell szolgáltatniuk azokról a pótlólagos kockázati kitettségértékekről, amelyek a CRR 124. cikkének (2) és (5) bekezdésével összhangban az EBH-val folytatott konzultációt követően az intézmények számára közzétett, szigorúbb prudenciális követelményeknek való megfeleléshez szükségesek, és amelyek kapcsolódnak a biztosíték figyelembe vehető piaci értékére vonatkozó, a CRR 125. cikke (2) bekezdésének d) pontjában és 126. cikke (2) bekezdésének d) pontjában meghatározott korlátokhoz.</w:t>
            </w:r>
          </w:p>
        </w:tc>
      </w:tr>
      <w:tr w:rsidR="001B1411" w:rsidRPr="00DA7625" w14:paraId="3E06ADE9" w14:textId="77777777" w:rsidTr="00672D2A">
        <w:tc>
          <w:tcPr>
            <w:tcW w:w="1591" w:type="dxa"/>
          </w:tcPr>
          <w:p w14:paraId="67B47F3B"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250</w:t>
            </w:r>
          </w:p>
        </w:tc>
        <w:tc>
          <w:tcPr>
            <w:tcW w:w="7274" w:type="dxa"/>
          </w:tcPr>
          <w:p w14:paraId="1281EA28" w14:textId="2BC6253E" w:rsidR="001B1411" w:rsidRPr="00DA7625" w:rsidRDefault="00802958">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1.1.2.1</w:t>
            </w:r>
            <w:r w:rsidRPr="00DA7625">
              <w:rPr>
                <w:rStyle w:val="InstructionsTabelleberschrift"/>
                <w:rFonts w:ascii="Times New Roman" w:hAnsi="Times New Roman"/>
                <w:sz w:val="24"/>
              </w:rPr>
              <w:tab/>
              <w:t>IRB-módszer a nemteljesítéskori veszteségrátára (LGD) vonatkozó saját becslés és hitel-egyenértékesítési tényező (CCF) mellőzésekor</w:t>
            </w:r>
          </w:p>
          <w:p w14:paraId="1D00AD57" w14:textId="6B8F8D45"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CR IRB tábla az összesített kitettség szintjén (saját LGD-becslés vagy CCF mellőzésével)</w:t>
            </w:r>
          </w:p>
        </w:tc>
      </w:tr>
      <w:tr w:rsidR="001B1411" w:rsidRPr="00DA7625" w14:paraId="6B02D02E" w14:textId="77777777" w:rsidTr="00672D2A">
        <w:tc>
          <w:tcPr>
            <w:tcW w:w="1591" w:type="dxa"/>
          </w:tcPr>
          <w:p w14:paraId="214A8C2D"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260</w:t>
            </w:r>
          </w:p>
        </w:tc>
        <w:tc>
          <w:tcPr>
            <w:tcW w:w="7274" w:type="dxa"/>
          </w:tcPr>
          <w:p w14:paraId="43F06D98" w14:textId="77777777" w:rsidR="001B1411" w:rsidRPr="00DA7625" w:rsidRDefault="00802958">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1.1.2.1.01</w:t>
            </w:r>
            <w:r w:rsidRPr="00DA7625">
              <w:rPr>
                <w:rStyle w:val="InstructionsTabelleberschrift"/>
                <w:rFonts w:ascii="Times New Roman" w:hAnsi="Times New Roman"/>
                <w:sz w:val="24"/>
              </w:rPr>
              <w:tab/>
              <w:t>Központi kormányzatok és központi bankok</w:t>
            </w:r>
          </w:p>
          <w:p w14:paraId="79A9327D"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IRB táblát</w:t>
            </w:r>
          </w:p>
        </w:tc>
      </w:tr>
      <w:tr w:rsidR="001B1411" w:rsidRPr="00DA7625" w14:paraId="6C160D6F" w14:textId="77777777" w:rsidTr="00672D2A">
        <w:tc>
          <w:tcPr>
            <w:tcW w:w="1591" w:type="dxa"/>
          </w:tcPr>
          <w:p w14:paraId="65F96EC4"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270</w:t>
            </w:r>
          </w:p>
        </w:tc>
        <w:tc>
          <w:tcPr>
            <w:tcW w:w="7274" w:type="dxa"/>
          </w:tcPr>
          <w:p w14:paraId="2D1B515C"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1.1.2.1.02</w:t>
            </w:r>
            <w:r w:rsidRPr="00DA7625">
              <w:rPr>
                <w:rStyle w:val="InstructionsTabelleberschrift"/>
                <w:rFonts w:ascii="Times New Roman" w:hAnsi="Times New Roman"/>
                <w:sz w:val="24"/>
              </w:rPr>
              <w:tab/>
              <w:t>Intézmények</w:t>
            </w:r>
          </w:p>
          <w:p w14:paraId="0C0D0F71"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IRB táblát</w:t>
            </w:r>
          </w:p>
        </w:tc>
      </w:tr>
      <w:tr w:rsidR="001B1411" w:rsidRPr="00DA7625" w14:paraId="6E172AD7" w14:textId="77777777" w:rsidTr="00672D2A">
        <w:tc>
          <w:tcPr>
            <w:tcW w:w="1591" w:type="dxa"/>
          </w:tcPr>
          <w:p w14:paraId="250E3BAF"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280</w:t>
            </w:r>
          </w:p>
        </w:tc>
        <w:tc>
          <w:tcPr>
            <w:tcW w:w="7274" w:type="dxa"/>
          </w:tcPr>
          <w:p w14:paraId="2E1472D4"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1.1.2.1.03</w:t>
            </w:r>
            <w:r w:rsidRPr="00DA7625">
              <w:rPr>
                <w:rStyle w:val="InstructionsTabelleberschrift"/>
                <w:rFonts w:ascii="Times New Roman" w:hAnsi="Times New Roman"/>
                <w:sz w:val="24"/>
              </w:rPr>
              <w:tab/>
              <w:t>Vállalkozások – kkv</w:t>
            </w:r>
          </w:p>
          <w:p w14:paraId="61860914"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IRB táblát</w:t>
            </w:r>
          </w:p>
        </w:tc>
      </w:tr>
      <w:tr w:rsidR="001B1411" w:rsidRPr="00DA7625" w14:paraId="0DFFC479" w14:textId="77777777" w:rsidTr="00672D2A">
        <w:tc>
          <w:tcPr>
            <w:tcW w:w="1591" w:type="dxa"/>
          </w:tcPr>
          <w:p w14:paraId="09D36D80"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290</w:t>
            </w:r>
          </w:p>
        </w:tc>
        <w:tc>
          <w:tcPr>
            <w:tcW w:w="7274" w:type="dxa"/>
          </w:tcPr>
          <w:p w14:paraId="0F1C707D"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1.1.2.1.04</w:t>
            </w:r>
            <w:r w:rsidRPr="00DA7625">
              <w:rPr>
                <w:rStyle w:val="InstructionsTabelleberschrift"/>
                <w:rFonts w:ascii="Times New Roman" w:hAnsi="Times New Roman"/>
                <w:sz w:val="24"/>
              </w:rPr>
              <w:tab/>
              <w:t>Vállalkozások – speciális hitelezés</w:t>
            </w:r>
          </w:p>
          <w:p w14:paraId="51142C99"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 xml:space="preserve">Lásd a CR IRB táblát </w:t>
            </w:r>
          </w:p>
        </w:tc>
      </w:tr>
      <w:tr w:rsidR="001B1411" w:rsidRPr="00DA7625" w14:paraId="160F150A" w14:textId="77777777" w:rsidTr="00672D2A">
        <w:tc>
          <w:tcPr>
            <w:tcW w:w="1591" w:type="dxa"/>
          </w:tcPr>
          <w:p w14:paraId="28211619"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300</w:t>
            </w:r>
          </w:p>
        </w:tc>
        <w:tc>
          <w:tcPr>
            <w:tcW w:w="7274" w:type="dxa"/>
          </w:tcPr>
          <w:p w14:paraId="18598325"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1.1.2.1.05</w:t>
            </w:r>
            <w:r w:rsidRPr="00DA7625">
              <w:rPr>
                <w:rStyle w:val="InstructionsTabelleberschrift"/>
                <w:rFonts w:ascii="Times New Roman" w:hAnsi="Times New Roman"/>
                <w:sz w:val="24"/>
              </w:rPr>
              <w:tab/>
              <w:t>Vállalkozások – egyéb</w:t>
            </w:r>
          </w:p>
          <w:p w14:paraId="3D08CF8C"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IRB táblát</w:t>
            </w:r>
          </w:p>
        </w:tc>
      </w:tr>
      <w:tr w:rsidR="001B1411" w:rsidRPr="00DA7625" w14:paraId="62685C84" w14:textId="77777777" w:rsidTr="00672D2A">
        <w:tc>
          <w:tcPr>
            <w:tcW w:w="1591" w:type="dxa"/>
          </w:tcPr>
          <w:p w14:paraId="5BA6D8AE"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310</w:t>
            </w:r>
          </w:p>
        </w:tc>
        <w:tc>
          <w:tcPr>
            <w:tcW w:w="7274" w:type="dxa"/>
          </w:tcPr>
          <w:p w14:paraId="2AD35FF5" w14:textId="7D2B706C"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1.1.2.2</w:t>
            </w:r>
            <w:r w:rsidRPr="00DA7625">
              <w:rPr>
                <w:rStyle w:val="InstructionsTabelleberschrift"/>
                <w:rFonts w:ascii="Times New Roman" w:hAnsi="Times New Roman"/>
                <w:sz w:val="24"/>
              </w:rPr>
              <w:tab/>
              <w:t>IRB-módszer a nemteljesítéskori veszteségrátára (LGD) vonatkozó saját becslés és/vagy hitel-egyenértékesítési tényező (CCF) alkalmazásakor</w:t>
            </w:r>
          </w:p>
          <w:p w14:paraId="0A14FE31"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CR IRB tábla az összesített kitettség szintjén (saját LGD-becslés és/vagy CCF alkalmazásával)</w:t>
            </w:r>
          </w:p>
        </w:tc>
      </w:tr>
      <w:tr w:rsidR="001B1411" w:rsidRPr="00DA7625" w14:paraId="46D06C03" w14:textId="77777777" w:rsidTr="00672D2A">
        <w:tc>
          <w:tcPr>
            <w:tcW w:w="1591" w:type="dxa"/>
          </w:tcPr>
          <w:p w14:paraId="58B20F11"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320</w:t>
            </w:r>
          </w:p>
        </w:tc>
        <w:tc>
          <w:tcPr>
            <w:tcW w:w="7274" w:type="dxa"/>
          </w:tcPr>
          <w:p w14:paraId="41F8D438" w14:textId="77777777" w:rsidR="001B1411" w:rsidRPr="00DA7625" w:rsidRDefault="00802958">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1.1.2.2.01</w:t>
            </w:r>
            <w:r w:rsidRPr="00DA7625">
              <w:rPr>
                <w:rStyle w:val="InstructionsTabelleberschrift"/>
                <w:rFonts w:ascii="Times New Roman" w:hAnsi="Times New Roman"/>
                <w:sz w:val="24"/>
              </w:rPr>
              <w:tab/>
              <w:t>Központi kormányzatok és központi bankok</w:t>
            </w:r>
          </w:p>
          <w:p w14:paraId="01F24868"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IRB táblát</w:t>
            </w:r>
          </w:p>
        </w:tc>
      </w:tr>
      <w:tr w:rsidR="001B1411" w:rsidRPr="00DA7625" w14:paraId="35C86C43" w14:textId="77777777" w:rsidTr="00672D2A">
        <w:tc>
          <w:tcPr>
            <w:tcW w:w="1591" w:type="dxa"/>
          </w:tcPr>
          <w:p w14:paraId="44CC8BB4"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330</w:t>
            </w:r>
          </w:p>
        </w:tc>
        <w:tc>
          <w:tcPr>
            <w:tcW w:w="7274" w:type="dxa"/>
          </w:tcPr>
          <w:p w14:paraId="76185659"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1.1.2.2.02</w:t>
            </w:r>
            <w:r w:rsidRPr="00DA7625">
              <w:rPr>
                <w:rStyle w:val="InstructionsTabelleberschrift"/>
                <w:rFonts w:ascii="Times New Roman" w:hAnsi="Times New Roman"/>
                <w:sz w:val="24"/>
              </w:rPr>
              <w:tab/>
              <w:t>Intézmények</w:t>
            </w:r>
          </w:p>
          <w:p w14:paraId="1EB58BFF"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 xml:space="preserve">Lásd a CR IRB táblát </w:t>
            </w:r>
          </w:p>
        </w:tc>
      </w:tr>
      <w:tr w:rsidR="001B1411" w:rsidRPr="00DA7625" w14:paraId="2BC01FDF" w14:textId="77777777" w:rsidTr="00672D2A">
        <w:tc>
          <w:tcPr>
            <w:tcW w:w="1591" w:type="dxa"/>
          </w:tcPr>
          <w:p w14:paraId="64EE09C6"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340</w:t>
            </w:r>
          </w:p>
        </w:tc>
        <w:tc>
          <w:tcPr>
            <w:tcW w:w="7274" w:type="dxa"/>
          </w:tcPr>
          <w:p w14:paraId="1AF9DD0E"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1.1.2.2.03</w:t>
            </w:r>
            <w:r w:rsidRPr="00DA7625">
              <w:rPr>
                <w:rStyle w:val="InstructionsTabelleberschrift"/>
                <w:rFonts w:ascii="Times New Roman" w:hAnsi="Times New Roman"/>
                <w:sz w:val="24"/>
              </w:rPr>
              <w:tab/>
              <w:t>Vállalkozások – kkv</w:t>
            </w:r>
          </w:p>
          <w:p w14:paraId="7EA219AE"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IRB táblát</w:t>
            </w:r>
          </w:p>
        </w:tc>
      </w:tr>
      <w:tr w:rsidR="001B1411" w:rsidRPr="00DA7625" w14:paraId="6A645B5F" w14:textId="77777777" w:rsidTr="00672D2A">
        <w:tc>
          <w:tcPr>
            <w:tcW w:w="1591" w:type="dxa"/>
          </w:tcPr>
          <w:p w14:paraId="04938B00"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350</w:t>
            </w:r>
          </w:p>
        </w:tc>
        <w:tc>
          <w:tcPr>
            <w:tcW w:w="7274" w:type="dxa"/>
          </w:tcPr>
          <w:p w14:paraId="2B484270"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1.1.2.2.04</w:t>
            </w:r>
            <w:r w:rsidRPr="00DA7625">
              <w:rPr>
                <w:rStyle w:val="InstructionsTabelleberschrift"/>
                <w:rFonts w:ascii="Times New Roman" w:hAnsi="Times New Roman"/>
                <w:sz w:val="24"/>
              </w:rPr>
              <w:tab/>
              <w:t>Vállalkozások – speciális hitelezés</w:t>
            </w:r>
          </w:p>
          <w:p w14:paraId="0E298873"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IRB táblát</w:t>
            </w:r>
          </w:p>
        </w:tc>
      </w:tr>
      <w:tr w:rsidR="001B1411" w:rsidRPr="00DA7625" w14:paraId="6888F70F" w14:textId="77777777" w:rsidTr="00672D2A">
        <w:tc>
          <w:tcPr>
            <w:tcW w:w="1591" w:type="dxa"/>
          </w:tcPr>
          <w:p w14:paraId="2712432D"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360</w:t>
            </w:r>
          </w:p>
        </w:tc>
        <w:tc>
          <w:tcPr>
            <w:tcW w:w="7274" w:type="dxa"/>
          </w:tcPr>
          <w:p w14:paraId="02A7CBE6"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1.1.2.2.05</w:t>
            </w:r>
            <w:r w:rsidRPr="00DA7625">
              <w:rPr>
                <w:rStyle w:val="InstructionsTabelleberschrift"/>
                <w:rFonts w:ascii="Times New Roman" w:hAnsi="Times New Roman"/>
                <w:sz w:val="24"/>
              </w:rPr>
              <w:tab/>
              <w:t>Vállalkozások – egyéb</w:t>
            </w:r>
          </w:p>
          <w:p w14:paraId="7A45F305"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IRB táblát</w:t>
            </w:r>
          </w:p>
        </w:tc>
      </w:tr>
      <w:tr w:rsidR="001B1411" w:rsidRPr="00DA7625" w14:paraId="692359A2" w14:textId="77777777" w:rsidTr="00672D2A">
        <w:tc>
          <w:tcPr>
            <w:tcW w:w="1591" w:type="dxa"/>
          </w:tcPr>
          <w:p w14:paraId="697AEF1C"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370</w:t>
            </w:r>
          </w:p>
        </w:tc>
        <w:tc>
          <w:tcPr>
            <w:tcW w:w="7274" w:type="dxa"/>
          </w:tcPr>
          <w:p w14:paraId="2C33FE42"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1.1.2.2.06</w:t>
            </w:r>
            <w:r w:rsidRPr="00DA7625">
              <w:rPr>
                <w:rStyle w:val="InstructionsTabelleberschrift"/>
                <w:rFonts w:ascii="Times New Roman" w:hAnsi="Times New Roman"/>
                <w:sz w:val="24"/>
              </w:rPr>
              <w:tab/>
              <w:t>Lakosság – ingatlannal fedezett (kkv)</w:t>
            </w:r>
          </w:p>
          <w:p w14:paraId="61ADF1D5"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IRB táblát</w:t>
            </w:r>
          </w:p>
        </w:tc>
      </w:tr>
      <w:tr w:rsidR="001B1411" w:rsidRPr="00DA7625" w14:paraId="5F723FF2" w14:textId="77777777" w:rsidTr="00672D2A">
        <w:tc>
          <w:tcPr>
            <w:tcW w:w="1591" w:type="dxa"/>
          </w:tcPr>
          <w:p w14:paraId="0C329337"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380</w:t>
            </w:r>
          </w:p>
        </w:tc>
        <w:tc>
          <w:tcPr>
            <w:tcW w:w="7274" w:type="dxa"/>
          </w:tcPr>
          <w:p w14:paraId="0B466606"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1.1.2.2.07</w:t>
            </w:r>
            <w:r w:rsidRPr="00DA7625">
              <w:rPr>
                <w:rStyle w:val="InstructionsTabelleberschrift"/>
                <w:rFonts w:ascii="Times New Roman" w:hAnsi="Times New Roman"/>
                <w:sz w:val="24"/>
              </w:rPr>
              <w:tab/>
              <w:t>Lakosság – ingatlannal fedezett (nem kkv)</w:t>
            </w:r>
          </w:p>
          <w:p w14:paraId="26C49AC5"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IRB táblát</w:t>
            </w:r>
          </w:p>
        </w:tc>
      </w:tr>
      <w:tr w:rsidR="001B1411" w:rsidRPr="00DA7625" w14:paraId="240597A1" w14:textId="77777777" w:rsidTr="00672D2A">
        <w:tc>
          <w:tcPr>
            <w:tcW w:w="1591" w:type="dxa"/>
          </w:tcPr>
          <w:p w14:paraId="3D0C1296"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390</w:t>
            </w:r>
          </w:p>
        </w:tc>
        <w:tc>
          <w:tcPr>
            <w:tcW w:w="7274" w:type="dxa"/>
          </w:tcPr>
          <w:p w14:paraId="1331DF02"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1.1.2.2.08</w:t>
            </w:r>
            <w:r w:rsidRPr="00DA7625">
              <w:rPr>
                <w:rStyle w:val="InstructionsTabelleberschrift"/>
                <w:rFonts w:ascii="Times New Roman" w:hAnsi="Times New Roman"/>
                <w:sz w:val="24"/>
              </w:rPr>
              <w:tab/>
              <w:t>Lakosság – a rulírozó állományba beszámítható</w:t>
            </w:r>
          </w:p>
          <w:p w14:paraId="7B451362"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IRB táblát</w:t>
            </w:r>
          </w:p>
        </w:tc>
      </w:tr>
      <w:tr w:rsidR="001B1411" w:rsidRPr="00DA7625" w14:paraId="28D33058" w14:textId="77777777" w:rsidTr="00672D2A">
        <w:tc>
          <w:tcPr>
            <w:tcW w:w="1591" w:type="dxa"/>
          </w:tcPr>
          <w:p w14:paraId="0596CD3D"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400</w:t>
            </w:r>
          </w:p>
        </w:tc>
        <w:tc>
          <w:tcPr>
            <w:tcW w:w="7274" w:type="dxa"/>
          </w:tcPr>
          <w:p w14:paraId="054C5729"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1.1.2.2.09</w:t>
            </w:r>
            <w:r w:rsidRPr="00DA7625">
              <w:rPr>
                <w:rStyle w:val="InstructionsTabelleberschrift"/>
                <w:rFonts w:ascii="Times New Roman" w:hAnsi="Times New Roman"/>
                <w:sz w:val="24"/>
              </w:rPr>
              <w:tab/>
              <w:t>Lakosság – egyéb kkv</w:t>
            </w:r>
          </w:p>
          <w:p w14:paraId="5CB863A2"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IRB táblát</w:t>
            </w:r>
          </w:p>
        </w:tc>
      </w:tr>
      <w:tr w:rsidR="001B1411" w:rsidRPr="00DA7625" w14:paraId="4E87A59A" w14:textId="77777777" w:rsidTr="00672D2A">
        <w:tc>
          <w:tcPr>
            <w:tcW w:w="1591" w:type="dxa"/>
          </w:tcPr>
          <w:p w14:paraId="48F2686D"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410</w:t>
            </w:r>
          </w:p>
        </w:tc>
        <w:tc>
          <w:tcPr>
            <w:tcW w:w="7274" w:type="dxa"/>
          </w:tcPr>
          <w:p w14:paraId="169CE9E1"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1.1.2.2.10</w:t>
            </w:r>
            <w:r w:rsidRPr="00DA7625">
              <w:rPr>
                <w:rStyle w:val="InstructionsTabelleberschrift"/>
                <w:rFonts w:ascii="Times New Roman" w:hAnsi="Times New Roman"/>
                <w:sz w:val="24"/>
              </w:rPr>
              <w:tab/>
              <w:t>Lakosság – egyéb nem kkv</w:t>
            </w:r>
          </w:p>
          <w:p w14:paraId="1CC50CC5"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IRB táblát</w:t>
            </w:r>
          </w:p>
        </w:tc>
      </w:tr>
      <w:tr w:rsidR="001B1411" w:rsidRPr="00DA7625" w14:paraId="31B6563A" w14:textId="77777777" w:rsidTr="00672D2A">
        <w:tc>
          <w:tcPr>
            <w:tcW w:w="1591" w:type="dxa"/>
          </w:tcPr>
          <w:p w14:paraId="44E8DC16"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420</w:t>
            </w:r>
          </w:p>
        </w:tc>
        <w:tc>
          <w:tcPr>
            <w:tcW w:w="7274" w:type="dxa"/>
          </w:tcPr>
          <w:p w14:paraId="34501B59"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1.1.2.3</w:t>
            </w:r>
            <w:r w:rsidRPr="00DA7625">
              <w:rPr>
                <w:rStyle w:val="InstructionsTabelleberschrift"/>
                <w:rFonts w:ascii="Times New Roman" w:hAnsi="Times New Roman"/>
                <w:sz w:val="24"/>
              </w:rPr>
              <w:tab/>
              <w:t>Részvényjellegű kitettségek (IRB)</w:t>
            </w:r>
          </w:p>
          <w:p w14:paraId="0035F9A1"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EQU IRB táblát</w:t>
            </w:r>
          </w:p>
        </w:tc>
      </w:tr>
      <w:tr w:rsidR="001B1411" w:rsidRPr="00DA7625" w14:paraId="19E594BF" w14:textId="77777777" w:rsidTr="00672D2A">
        <w:tc>
          <w:tcPr>
            <w:tcW w:w="1591" w:type="dxa"/>
          </w:tcPr>
          <w:p w14:paraId="3B16C684"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450</w:t>
            </w:r>
          </w:p>
        </w:tc>
        <w:tc>
          <w:tcPr>
            <w:tcW w:w="7274" w:type="dxa"/>
          </w:tcPr>
          <w:p w14:paraId="73CA76D7"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1.1.2.5</w:t>
            </w:r>
            <w:r w:rsidRPr="00DA7625">
              <w:rPr>
                <w:rStyle w:val="InstructionsTabelleberschrift"/>
                <w:rFonts w:ascii="Times New Roman" w:hAnsi="Times New Roman"/>
                <w:sz w:val="24"/>
              </w:rPr>
              <w:tab/>
              <w:t>Egyéb, nem hitelkötelezettséget megtestesítő eszközök</w:t>
            </w:r>
          </w:p>
          <w:p w14:paraId="393DFB7C" w14:textId="3026B856"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 xml:space="preserve">A feltüntetendő érték a CRR 156. cikke szerint kiszámított, kockázattal súlyozott kitettségérték. </w:t>
            </w:r>
          </w:p>
        </w:tc>
      </w:tr>
      <w:tr w:rsidR="001B1411" w:rsidRPr="00DA7625" w14:paraId="7489E700" w14:textId="77777777" w:rsidTr="00672D2A">
        <w:tc>
          <w:tcPr>
            <w:tcW w:w="1591" w:type="dxa"/>
          </w:tcPr>
          <w:p w14:paraId="17882EEB"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460</w:t>
            </w:r>
          </w:p>
        </w:tc>
        <w:tc>
          <w:tcPr>
            <w:tcW w:w="7274" w:type="dxa"/>
          </w:tcPr>
          <w:p w14:paraId="5E7CA471" w14:textId="77777777" w:rsidR="001B1411" w:rsidRPr="00DA7625" w:rsidRDefault="00802958">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1.1.3</w:t>
            </w:r>
            <w:r w:rsidRPr="00DA7625">
              <w:rPr>
                <w:rStyle w:val="InstructionsTabelleberschrift"/>
                <w:rFonts w:ascii="Times New Roman" w:hAnsi="Times New Roman"/>
                <w:sz w:val="24"/>
              </w:rPr>
              <w:tab/>
              <w:t>Központi szerződő fél garanciaalapjába befizetett hozzájárulások kockázati kitettségértéke</w:t>
            </w:r>
          </w:p>
          <w:p w14:paraId="6EBD704B" w14:textId="6EEA5880"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A CRR 307., 308. és 309. cikke</w:t>
            </w:r>
          </w:p>
        </w:tc>
      </w:tr>
      <w:tr w:rsidR="001B1411" w:rsidRPr="00DA7625" w14:paraId="2AE2CEF2" w14:textId="77777777" w:rsidTr="00672D2A">
        <w:tc>
          <w:tcPr>
            <w:tcW w:w="1591" w:type="dxa"/>
          </w:tcPr>
          <w:p w14:paraId="696FF1A5"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470</w:t>
            </w:r>
          </w:p>
        </w:tc>
        <w:tc>
          <w:tcPr>
            <w:tcW w:w="7274" w:type="dxa"/>
          </w:tcPr>
          <w:p w14:paraId="06963085" w14:textId="77777777" w:rsidR="001B1411" w:rsidRPr="00DA7625" w:rsidRDefault="00802958">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1.1.4   Értékpapírosítási pozíciók</w:t>
            </w:r>
          </w:p>
          <w:p w14:paraId="4AD00F2B" w14:textId="77777777" w:rsidR="001B1411" w:rsidRPr="00DA7625" w:rsidRDefault="00802958">
            <w:pPr>
              <w:pStyle w:val="InstructionsText"/>
              <w:rPr>
                <w:rStyle w:val="InstructionsTabelleberschrift"/>
                <w:rFonts w:ascii="Times New Roman" w:hAnsi="Times New Roman"/>
                <w:sz w:val="24"/>
              </w:rPr>
            </w:pPr>
            <w:r w:rsidRPr="00DA7625">
              <w:rPr>
                <w:rStyle w:val="FormatvorlageInstructionsTabelleText"/>
                <w:rFonts w:ascii="Times New Roman" w:hAnsi="Times New Roman"/>
                <w:sz w:val="24"/>
              </w:rPr>
              <w:t>Lásd a CR SEC táblát</w:t>
            </w:r>
          </w:p>
        </w:tc>
      </w:tr>
      <w:tr w:rsidR="001B1411" w:rsidRPr="00DA7625" w14:paraId="2A0C5C37" w14:textId="77777777" w:rsidTr="00672D2A">
        <w:tc>
          <w:tcPr>
            <w:tcW w:w="1591" w:type="dxa"/>
          </w:tcPr>
          <w:p w14:paraId="5A29EA16"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490</w:t>
            </w:r>
          </w:p>
        </w:tc>
        <w:tc>
          <w:tcPr>
            <w:tcW w:w="7274" w:type="dxa"/>
          </w:tcPr>
          <w:p w14:paraId="15063579" w14:textId="77777777" w:rsidR="001B1411" w:rsidRPr="00DA7625" w:rsidRDefault="00802958">
            <w:pPr>
              <w:pStyle w:val="InstructionsText"/>
              <w:rPr>
                <w:rStyle w:val="InstructionsTabelleberschrift"/>
                <w:rFonts w:ascii="Times New Roman" w:hAnsi="Times New Roman"/>
                <w:strike/>
                <w:sz w:val="24"/>
              </w:rPr>
            </w:pPr>
            <w:r w:rsidRPr="00DA7625">
              <w:rPr>
                <w:rStyle w:val="InstructionsTabelleberschrift"/>
                <w:rFonts w:ascii="Times New Roman" w:hAnsi="Times New Roman"/>
                <w:sz w:val="24"/>
              </w:rPr>
              <w:t>1.2</w:t>
            </w:r>
            <w:r w:rsidRPr="00DA7625">
              <w:rPr>
                <w:rStyle w:val="InstructionsTabelleberschrift"/>
                <w:rFonts w:ascii="Times New Roman" w:hAnsi="Times New Roman"/>
                <w:sz w:val="24"/>
              </w:rPr>
              <w:tab/>
              <w:t>ELSZÁMOLÁSI/TELJESÍTÉSI KOCKÁZAT TELJES KOCKÁZATI KITETTSÉGÉRTÉKE</w:t>
            </w:r>
          </w:p>
          <w:p w14:paraId="2A3E1084" w14:textId="61AC8093" w:rsidR="001B1411" w:rsidRPr="00DA7625" w:rsidRDefault="006A6822">
            <w:pPr>
              <w:rPr>
                <w:rStyle w:val="FormatvorlageInstructionsTabelleText"/>
                <w:rFonts w:ascii="Times New Roman" w:hAnsi="Times New Roman"/>
                <w:sz w:val="24"/>
              </w:rPr>
            </w:pPr>
            <w:r w:rsidRPr="00DA7625">
              <w:rPr>
                <w:rStyle w:val="FormatvorlageInstructionsTabelleText"/>
                <w:rFonts w:ascii="Times New Roman" w:hAnsi="Times New Roman"/>
                <w:sz w:val="24"/>
              </w:rPr>
              <w:t>A CRR 92. cikke (3) bekezdése c) pontjának ii. alpontja, valamint 92. cikke (4) bekezdésének b) pontja</w:t>
            </w:r>
          </w:p>
        </w:tc>
      </w:tr>
      <w:tr w:rsidR="001B1411" w:rsidRPr="00DA7625" w14:paraId="28339829" w14:textId="77777777" w:rsidTr="00672D2A">
        <w:tc>
          <w:tcPr>
            <w:tcW w:w="1591" w:type="dxa"/>
          </w:tcPr>
          <w:p w14:paraId="373A6FAA"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500</w:t>
            </w:r>
          </w:p>
        </w:tc>
        <w:tc>
          <w:tcPr>
            <w:tcW w:w="7274" w:type="dxa"/>
          </w:tcPr>
          <w:p w14:paraId="57DAA3C0"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1.2.1</w:t>
            </w:r>
            <w:r w:rsidRPr="00DA7625">
              <w:rPr>
                <w:rStyle w:val="InstructionsTabelleberschrift"/>
                <w:rFonts w:ascii="Times New Roman" w:hAnsi="Times New Roman"/>
                <w:sz w:val="24"/>
              </w:rPr>
              <w:tab/>
              <w:t>Nem kereskedési könyvi elszámolási/teljesítési kockázat</w:t>
            </w:r>
          </w:p>
          <w:p w14:paraId="79C8D22A"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SETT táblát</w:t>
            </w:r>
          </w:p>
        </w:tc>
      </w:tr>
      <w:tr w:rsidR="001B1411" w:rsidRPr="00DA7625" w14:paraId="1F3E6786" w14:textId="77777777" w:rsidTr="00672D2A">
        <w:tc>
          <w:tcPr>
            <w:tcW w:w="1591" w:type="dxa"/>
          </w:tcPr>
          <w:p w14:paraId="5E611CF5"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510</w:t>
            </w:r>
          </w:p>
        </w:tc>
        <w:tc>
          <w:tcPr>
            <w:tcW w:w="7274" w:type="dxa"/>
          </w:tcPr>
          <w:p w14:paraId="4EA0C875"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1.2.2</w:t>
            </w:r>
            <w:r w:rsidRPr="00DA7625">
              <w:rPr>
                <w:rStyle w:val="InstructionsTabelleberschrift"/>
                <w:rFonts w:ascii="Times New Roman" w:hAnsi="Times New Roman"/>
                <w:sz w:val="24"/>
              </w:rPr>
              <w:tab/>
              <w:t>Kereskedési könyvi elszámolási/teljesítési kockázat</w:t>
            </w:r>
          </w:p>
          <w:p w14:paraId="09370819"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CR SETT táblát</w:t>
            </w:r>
          </w:p>
        </w:tc>
      </w:tr>
      <w:tr w:rsidR="001B1411" w:rsidRPr="00DA7625" w14:paraId="34BD5148" w14:textId="77777777" w:rsidTr="00672D2A">
        <w:tc>
          <w:tcPr>
            <w:tcW w:w="1591" w:type="dxa"/>
          </w:tcPr>
          <w:p w14:paraId="38163B40"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520</w:t>
            </w:r>
          </w:p>
        </w:tc>
        <w:tc>
          <w:tcPr>
            <w:tcW w:w="7274" w:type="dxa"/>
          </w:tcPr>
          <w:p w14:paraId="47EBC93C"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1.3</w:t>
            </w:r>
            <w:r w:rsidRPr="00DA7625">
              <w:rPr>
                <w:rStyle w:val="InstructionsTabelleberschrift"/>
                <w:rFonts w:ascii="Times New Roman" w:hAnsi="Times New Roman"/>
                <w:sz w:val="24"/>
              </w:rPr>
              <w:tab/>
              <w:t xml:space="preserve">POZÍCIÓKOCKÁZAT, DEVIZAÁRFOLYAM-KOCKÁZAT ÉS ÁRUKOCKÁZAT TELJES KOCKÁZATI KITETTSÉGÉRTÉKE </w:t>
            </w:r>
          </w:p>
          <w:p w14:paraId="3B93EB79" w14:textId="6232C6B1" w:rsidR="001B1411" w:rsidRPr="00DA7625" w:rsidRDefault="006A6822">
            <w:pPr>
              <w:pStyle w:val="InstructionsText"/>
              <w:rPr>
                <w:rStyle w:val="FormatvorlageInstructionsTabelleText"/>
                <w:rFonts w:ascii="Times New Roman" w:hAnsi="Times New Roman"/>
                <w:bCs w:val="0"/>
                <w:sz w:val="24"/>
              </w:rPr>
            </w:pPr>
            <w:r w:rsidRPr="00DA7625">
              <w:rPr>
                <w:rStyle w:val="FormatvorlageInstructionsTabelleText"/>
                <w:rFonts w:ascii="Times New Roman" w:hAnsi="Times New Roman"/>
                <w:sz w:val="24"/>
              </w:rPr>
              <w:t>A CRR 92. cikke (3) bekezdése b) pontjának i. alpontja, c) pontjának i. és iii. alpontja, valamint 92. cikke (4) bekezdésének b) pontja</w:t>
            </w:r>
          </w:p>
        </w:tc>
      </w:tr>
      <w:tr w:rsidR="001B1411" w:rsidRPr="00DA7625" w14:paraId="101797D6" w14:textId="77777777" w:rsidTr="00672D2A">
        <w:tc>
          <w:tcPr>
            <w:tcW w:w="1591" w:type="dxa"/>
          </w:tcPr>
          <w:p w14:paraId="5DE40634"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530</w:t>
            </w:r>
          </w:p>
        </w:tc>
        <w:tc>
          <w:tcPr>
            <w:tcW w:w="7274" w:type="dxa"/>
          </w:tcPr>
          <w:p w14:paraId="0FCEEAEF" w14:textId="25DB9101" w:rsidR="001B1411" w:rsidRPr="00DA7625" w:rsidRDefault="00802958">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1.3.1</w:t>
            </w:r>
            <w:r w:rsidRPr="00DA7625">
              <w:rPr>
                <w:rStyle w:val="InstructionsTabelleberschrift"/>
                <w:rFonts w:ascii="Times New Roman" w:hAnsi="Times New Roman"/>
                <w:sz w:val="24"/>
              </w:rPr>
              <w:tab/>
              <w:t>Pozíciókockázat, devizaárfolyam-kockázat és árukockázat sztenderd módszer (SA) szerinti kockázati kitettségértéke</w:t>
            </w:r>
          </w:p>
        </w:tc>
      </w:tr>
      <w:tr w:rsidR="001B1411" w:rsidRPr="00DA7625" w14:paraId="71B9AAC6" w14:textId="77777777" w:rsidTr="00672D2A">
        <w:tc>
          <w:tcPr>
            <w:tcW w:w="1591" w:type="dxa"/>
          </w:tcPr>
          <w:p w14:paraId="7428AB61"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540</w:t>
            </w:r>
          </w:p>
        </w:tc>
        <w:tc>
          <w:tcPr>
            <w:tcW w:w="7274" w:type="dxa"/>
          </w:tcPr>
          <w:p w14:paraId="5743A2BF"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1.3.1.1</w:t>
            </w:r>
            <w:r w:rsidRPr="00DA7625">
              <w:rPr>
                <w:rStyle w:val="InstructionsTabelleberschrift"/>
                <w:rFonts w:ascii="Times New Roman" w:hAnsi="Times New Roman"/>
                <w:sz w:val="24"/>
              </w:rPr>
              <w:tab/>
              <w:t>Forgalmazott, hitelviszonyt megtestesítő értékpapírok</w:t>
            </w:r>
          </w:p>
          <w:p w14:paraId="58C752A0" w14:textId="77777777" w:rsidR="001B1411" w:rsidRPr="00DA7625" w:rsidRDefault="00802958">
            <w:pPr>
              <w:pStyle w:val="InstructionsText"/>
              <w:rPr>
                <w:rStyle w:val="FormatvorlageInstructionsTabelleText"/>
                <w:rFonts w:ascii="Times New Roman" w:hAnsi="Times New Roman"/>
                <w:bCs w:val="0"/>
                <w:sz w:val="24"/>
              </w:rPr>
            </w:pPr>
            <w:r w:rsidRPr="00DA7625">
              <w:rPr>
                <w:rStyle w:val="InstructionsTabelleberschrift"/>
                <w:rFonts w:ascii="Times New Roman" w:hAnsi="Times New Roman"/>
                <w:b w:val="0"/>
                <w:sz w:val="24"/>
                <w:u w:val="none"/>
              </w:rPr>
              <w:t>MKR SA TDI tábla az összesített devizanemek szintjén.</w:t>
            </w:r>
          </w:p>
        </w:tc>
      </w:tr>
      <w:tr w:rsidR="001B1411" w:rsidRPr="00DA7625" w14:paraId="6585CC35" w14:textId="77777777" w:rsidTr="00672D2A">
        <w:tc>
          <w:tcPr>
            <w:tcW w:w="1591" w:type="dxa"/>
          </w:tcPr>
          <w:p w14:paraId="7AD96849"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550</w:t>
            </w:r>
          </w:p>
        </w:tc>
        <w:tc>
          <w:tcPr>
            <w:tcW w:w="7274" w:type="dxa"/>
          </w:tcPr>
          <w:p w14:paraId="0182AA31"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1.3.1.2</w:t>
            </w:r>
            <w:r w:rsidRPr="00DA7625">
              <w:rPr>
                <w:rStyle w:val="InstructionsTabelleberschrift"/>
                <w:rFonts w:ascii="Times New Roman" w:hAnsi="Times New Roman"/>
                <w:sz w:val="24"/>
              </w:rPr>
              <w:tab/>
              <w:t>Részvényjellegű kitettségek</w:t>
            </w:r>
          </w:p>
          <w:p w14:paraId="0CC7BC0C"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 xml:space="preserve">MKR SA EQU tábla az összesített nemzeti piacok szintjén. </w:t>
            </w:r>
          </w:p>
        </w:tc>
      </w:tr>
      <w:tr w:rsidR="001B1411" w:rsidRPr="00DA7625" w14:paraId="1143A9BE" w14:textId="77777777" w:rsidTr="00672D2A">
        <w:tc>
          <w:tcPr>
            <w:tcW w:w="1591" w:type="dxa"/>
          </w:tcPr>
          <w:p w14:paraId="58F80D45"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555</w:t>
            </w:r>
          </w:p>
        </w:tc>
        <w:tc>
          <w:tcPr>
            <w:tcW w:w="7274" w:type="dxa"/>
          </w:tcPr>
          <w:p w14:paraId="3F21E389" w14:textId="77777777" w:rsidR="001B1411" w:rsidRPr="00DA7625" w:rsidRDefault="00802958">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1.3.1.3</w:t>
            </w:r>
            <w:r w:rsidRPr="00DA7625">
              <w:rPr>
                <w:rStyle w:val="InstructionsTabelleberschrift"/>
                <w:rFonts w:ascii="Times New Roman" w:hAnsi="Times New Roman"/>
                <w:sz w:val="24"/>
              </w:rPr>
              <w:tab/>
              <w:t>Egyedi módszer a kollektív befektetési formák pozíciókockázatára</w:t>
            </w:r>
          </w:p>
          <w:p w14:paraId="1222E5F3" w14:textId="7CB7653C"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A CRR 348. cikkének (1) bekezdése, 350. cikke (3) bekezdésének c) pontja, valamint 364. cikke (2) bekezdésének a) pontja</w:t>
            </w:r>
          </w:p>
          <w:p w14:paraId="5FDC5352" w14:textId="6EB4C2F2"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A kollektív befektetési formákban lévő pozíciók teljes kockázati kitettségértéke, ha a tőkekövetelmény kiszámítása a CRR 348. cikke (1) bekezdésének megfelelően azonnal, vagy a CRR 350. cikke (3) bekezdésének c) pontjában meghatározott korlátnak megfelelően történik. A CRR az ilyen pozíciókat nem rendeli kifejezetten sem kamatlábkockázathoz, sem részvénypiaci kockázathoz.</w:t>
            </w:r>
          </w:p>
          <w:p w14:paraId="22756BE6" w14:textId="0054EDA3" w:rsidR="001B1411" w:rsidRPr="00DA7625" w:rsidRDefault="00FF2818">
            <w:pPr>
              <w:rPr>
                <w:rStyle w:val="FormatvorlageInstructionsTabelleText"/>
                <w:rFonts w:ascii="Times New Roman" w:hAnsi="Times New Roman"/>
                <w:sz w:val="24"/>
              </w:rPr>
            </w:pPr>
            <w:r w:rsidRPr="00DA7625">
              <w:rPr>
                <w:rStyle w:val="FormatvorlageInstructionsTabelleText"/>
                <w:rFonts w:ascii="Times New Roman" w:hAnsi="Times New Roman"/>
                <w:sz w:val="24"/>
              </w:rPr>
              <w:t xml:space="preserve">A CRR 348. cikke (1) bekezdésének első mondata szerinti egyedi módszer alkalmazásakor a feltüntetendő érték a kérdéses KBF-kitettség nettó pozíciójának 32 %-a, szorozva 12,5-del. </w:t>
            </w:r>
          </w:p>
          <w:p w14:paraId="0DB91ABE" w14:textId="7201BE64" w:rsidR="001B1411" w:rsidRPr="00DA7625" w:rsidRDefault="00FF2818">
            <w:pPr>
              <w:rPr>
                <w:rStyle w:val="InstructionsTabelleberschrift"/>
                <w:rFonts w:ascii="Times New Roman" w:hAnsi="Times New Roman"/>
                <w:sz w:val="24"/>
              </w:rPr>
            </w:pPr>
            <w:r w:rsidRPr="00DA7625">
              <w:rPr>
                <w:rStyle w:val="FormatvorlageInstructionsTabelleText"/>
                <w:rFonts w:ascii="Times New Roman" w:hAnsi="Times New Roman"/>
                <w:sz w:val="24"/>
              </w:rPr>
              <w:t>A CRR 348. cikke (1) bekezdésének második mondata szerinti egyedi módszer alkalmazásakor a feltüntetendő érték a kérdéses KBF-kitettség nettó pozíciójának 32 %-a, valamint e nettó pozíció 40 %-a és az adott KBF-kitettséghez kapcsolódó devizaárfolyam-kockázatból eredő szavatolótőke-követelmény különbözete közül az alacsonyabb érték, szorozva 12,5-del.</w:t>
            </w:r>
          </w:p>
        </w:tc>
      </w:tr>
      <w:tr w:rsidR="001B1411" w:rsidRPr="00DA7625" w14:paraId="5F8F466B" w14:textId="77777777" w:rsidTr="00672D2A">
        <w:tc>
          <w:tcPr>
            <w:tcW w:w="1591" w:type="dxa"/>
          </w:tcPr>
          <w:p w14:paraId="6BD392C5"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556</w:t>
            </w:r>
          </w:p>
        </w:tc>
        <w:tc>
          <w:tcPr>
            <w:tcW w:w="7274" w:type="dxa"/>
          </w:tcPr>
          <w:p w14:paraId="2EB28AFA" w14:textId="77777777" w:rsidR="001B1411" w:rsidRPr="00DA7625" w:rsidRDefault="00802958">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1.3.1.3.*</w:t>
            </w:r>
            <w:r w:rsidRPr="00DA7625">
              <w:rPr>
                <w:rStyle w:val="InstructionsTabelleberschrift"/>
                <w:rFonts w:ascii="Times New Roman" w:hAnsi="Times New Roman"/>
                <w:sz w:val="24"/>
              </w:rPr>
              <w:tab/>
              <w:t>Tájékoztató adat: kizárólag forgalmazott, hitelviszonyt megtestesítő értékpapírokba befektetett kollektív befektetési formák</w:t>
            </w:r>
          </w:p>
          <w:p w14:paraId="128A5298" w14:textId="77777777" w:rsidR="001B1411" w:rsidRPr="00DA7625" w:rsidRDefault="00802958">
            <w:pPr>
              <w:rPr>
                <w:rStyle w:val="InstructionsTabelleberschrift"/>
                <w:rFonts w:ascii="Times New Roman" w:hAnsi="Times New Roman"/>
                <w:sz w:val="24"/>
              </w:rPr>
            </w:pPr>
            <w:r w:rsidRPr="00DA7625">
              <w:rPr>
                <w:rStyle w:val="FormatvorlageInstructionsTabelleText"/>
                <w:rFonts w:ascii="Times New Roman" w:hAnsi="Times New Roman"/>
                <w:sz w:val="24"/>
              </w:rPr>
              <w:t>Kollektív befektetési formákban lévő pozíciók teljes kockázati kitettségértéke, amennyiben a KBF eszközökbe való befektetése kizárólag a kamatlábkockázattól függ.</w:t>
            </w:r>
          </w:p>
        </w:tc>
      </w:tr>
      <w:tr w:rsidR="001B1411" w:rsidRPr="00DA7625" w14:paraId="00A25B82" w14:textId="77777777" w:rsidTr="00672D2A">
        <w:tc>
          <w:tcPr>
            <w:tcW w:w="1591" w:type="dxa"/>
          </w:tcPr>
          <w:p w14:paraId="168D4F5D"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557</w:t>
            </w:r>
          </w:p>
        </w:tc>
        <w:tc>
          <w:tcPr>
            <w:tcW w:w="7274" w:type="dxa"/>
          </w:tcPr>
          <w:p w14:paraId="462A6A1E" w14:textId="77777777" w:rsidR="001B1411" w:rsidRPr="00DA7625" w:rsidRDefault="00802958">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1.3.1.3.**</w:t>
            </w:r>
            <w:r w:rsidRPr="00DA7625">
              <w:rPr>
                <w:rStyle w:val="InstructionsTabelleberschrift"/>
                <w:rFonts w:ascii="Times New Roman" w:hAnsi="Times New Roman"/>
                <w:sz w:val="24"/>
              </w:rPr>
              <w:tab/>
              <w:t>Kizárólag tulajdoni részesedést megtestesítő instrumentumokba vagy vegyes eszközökbe befektetett kollektív befektetési formák</w:t>
            </w:r>
          </w:p>
          <w:p w14:paraId="6435D7BD" w14:textId="77777777" w:rsidR="001B1411" w:rsidRPr="00DA7625" w:rsidRDefault="00802958">
            <w:pPr>
              <w:rPr>
                <w:rStyle w:val="InstructionsTabelleberschrift"/>
                <w:rFonts w:ascii="Times New Roman" w:hAnsi="Times New Roman"/>
                <w:sz w:val="24"/>
              </w:rPr>
            </w:pPr>
            <w:r w:rsidRPr="00DA7625">
              <w:rPr>
                <w:rStyle w:val="FormatvorlageInstructionsTabelleText"/>
                <w:rFonts w:ascii="Times New Roman" w:hAnsi="Times New Roman"/>
                <w:sz w:val="24"/>
              </w:rPr>
              <w:t>Kollektív befektetési formákban lévő pozíciók teljes kockázati kitettségértéke, amennyiben a KBF-et kizárólag részvénypiaci kockázattól függő instrumentumokba vagy vegyes instrumentumokba fektetik be vagy a KBF összetevői nem ismertek.</w:t>
            </w:r>
          </w:p>
        </w:tc>
      </w:tr>
      <w:tr w:rsidR="001B1411" w:rsidRPr="00DA7625" w14:paraId="0B1079E2" w14:textId="77777777" w:rsidTr="00672D2A">
        <w:tc>
          <w:tcPr>
            <w:tcW w:w="1591" w:type="dxa"/>
          </w:tcPr>
          <w:p w14:paraId="6F9D48A4"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560</w:t>
            </w:r>
          </w:p>
        </w:tc>
        <w:tc>
          <w:tcPr>
            <w:tcW w:w="7274" w:type="dxa"/>
          </w:tcPr>
          <w:p w14:paraId="7FF8A12E"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1.3.1.4</w:t>
            </w:r>
            <w:r w:rsidRPr="00DA7625">
              <w:rPr>
                <w:rStyle w:val="InstructionsTabelleberschrift"/>
                <w:rFonts w:ascii="Times New Roman" w:hAnsi="Times New Roman"/>
                <w:sz w:val="24"/>
              </w:rPr>
              <w:tab/>
              <w:t>Deviza</w:t>
            </w:r>
          </w:p>
          <w:p w14:paraId="004C52C8"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az MKR SA FX táblát</w:t>
            </w:r>
          </w:p>
        </w:tc>
      </w:tr>
      <w:tr w:rsidR="001B1411" w:rsidRPr="00DA7625" w14:paraId="3FFD78A9" w14:textId="77777777" w:rsidTr="00672D2A">
        <w:tc>
          <w:tcPr>
            <w:tcW w:w="1591" w:type="dxa"/>
          </w:tcPr>
          <w:p w14:paraId="12208190"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570</w:t>
            </w:r>
          </w:p>
        </w:tc>
        <w:tc>
          <w:tcPr>
            <w:tcW w:w="7274" w:type="dxa"/>
          </w:tcPr>
          <w:p w14:paraId="0417247C"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1.3.1.5</w:t>
            </w:r>
            <w:r w:rsidRPr="00DA7625">
              <w:rPr>
                <w:rStyle w:val="InstructionsTabelleberschrift"/>
                <w:rFonts w:ascii="Times New Roman" w:hAnsi="Times New Roman"/>
                <w:sz w:val="24"/>
              </w:rPr>
              <w:tab/>
              <w:t>Áru</w:t>
            </w:r>
          </w:p>
          <w:p w14:paraId="06DF4F9A"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az MKR SA COM táblát</w:t>
            </w:r>
          </w:p>
        </w:tc>
      </w:tr>
      <w:tr w:rsidR="001B1411" w:rsidRPr="00DA7625" w14:paraId="196BE463" w14:textId="77777777" w:rsidTr="00672D2A">
        <w:tc>
          <w:tcPr>
            <w:tcW w:w="1591" w:type="dxa"/>
          </w:tcPr>
          <w:p w14:paraId="7A0AC5F1" w14:textId="77777777" w:rsidR="001B1411" w:rsidRPr="00DA7625" w:rsidRDefault="00802958">
            <w:pPr>
              <w:pStyle w:val="InstructionsText"/>
              <w:rPr>
                <w:rStyle w:val="FormatvorlageInstructionsTabelleText"/>
                <w:rFonts w:ascii="Times New Roman" w:hAnsi="Times New Roman"/>
                <w:bCs w:val="0"/>
                <w:sz w:val="24"/>
              </w:rPr>
            </w:pPr>
            <w:r w:rsidRPr="00DA7625">
              <w:rPr>
                <w:rStyle w:val="FormatvorlageInstructionsTabelleText"/>
                <w:rFonts w:ascii="Times New Roman" w:hAnsi="Times New Roman"/>
                <w:sz w:val="24"/>
              </w:rPr>
              <w:t>580</w:t>
            </w:r>
          </w:p>
        </w:tc>
        <w:tc>
          <w:tcPr>
            <w:tcW w:w="7274" w:type="dxa"/>
          </w:tcPr>
          <w:p w14:paraId="0A58AF48"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1.3.2</w:t>
            </w:r>
            <w:r w:rsidRPr="00DA7625">
              <w:rPr>
                <w:rStyle w:val="InstructionsTabelleberschrift"/>
                <w:rFonts w:ascii="Times New Roman" w:hAnsi="Times New Roman"/>
                <w:sz w:val="24"/>
              </w:rPr>
              <w:tab/>
              <w:t>Pozíciókockázat, devizaárfolyam-kockázat és árukockázat belső modelleken alapuló módszer (IM) szerinti kockázati kitettségértéke</w:t>
            </w:r>
          </w:p>
          <w:p w14:paraId="07491309"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az MKR IM táblát</w:t>
            </w:r>
          </w:p>
        </w:tc>
      </w:tr>
      <w:tr w:rsidR="001B1411" w:rsidRPr="00DA7625" w14:paraId="5E3B4D02" w14:textId="77777777" w:rsidTr="00672D2A">
        <w:tc>
          <w:tcPr>
            <w:tcW w:w="1591" w:type="dxa"/>
          </w:tcPr>
          <w:p w14:paraId="5B257292"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590</w:t>
            </w:r>
          </w:p>
        </w:tc>
        <w:tc>
          <w:tcPr>
            <w:tcW w:w="7274" w:type="dxa"/>
          </w:tcPr>
          <w:p w14:paraId="46A92541"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1.4</w:t>
            </w:r>
            <w:r w:rsidRPr="00DA7625">
              <w:rPr>
                <w:rStyle w:val="InstructionsTabelleberschrift"/>
                <w:rFonts w:ascii="Times New Roman" w:hAnsi="Times New Roman"/>
                <w:sz w:val="24"/>
              </w:rPr>
              <w:tab/>
              <w:t>MŰKÖDÉSI KOCKÁZAT (OpR) TELJES KOCKÁZATI KITETTSÉGÉRTÉKE</w:t>
            </w:r>
          </w:p>
          <w:p w14:paraId="6206FCC3" w14:textId="539D7F6E" w:rsidR="001B1411" w:rsidRPr="00DA7625" w:rsidRDefault="006A6822">
            <w:pPr>
              <w:pStyle w:val="InstructionsText"/>
              <w:rPr>
                <w:rStyle w:val="FormatvorlageInstructionsTabelleText"/>
                <w:rFonts w:ascii="Times New Roman" w:hAnsi="Times New Roman"/>
                <w:bCs w:val="0"/>
                <w:sz w:val="24"/>
              </w:rPr>
            </w:pPr>
            <w:r w:rsidRPr="00DA7625">
              <w:rPr>
                <w:rStyle w:val="FormatvorlageInstructionsTabelleText"/>
                <w:rFonts w:ascii="Times New Roman" w:hAnsi="Times New Roman"/>
                <w:sz w:val="24"/>
              </w:rPr>
              <w:t>A CRR 92. cikke (3) bekezdésének e) pontja és 92. cikke (4) bekezdésének b) pontja</w:t>
            </w:r>
          </w:p>
          <w:p w14:paraId="411BAFFD" w14:textId="08CAFBE8"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A CRR 95. cikkének (2) bekezdése, 96. cikkének (2) bekezdése, valamint 98. cikke szerinti befektetési vállalkozások esetében a tétel értéke nulla.</w:t>
            </w:r>
          </w:p>
        </w:tc>
      </w:tr>
      <w:tr w:rsidR="001B1411" w:rsidRPr="00DA7625" w14:paraId="4900037A" w14:textId="77777777" w:rsidTr="00672D2A">
        <w:tc>
          <w:tcPr>
            <w:tcW w:w="1591" w:type="dxa"/>
          </w:tcPr>
          <w:p w14:paraId="2406263C" w14:textId="77777777" w:rsidR="001B1411" w:rsidRPr="00DA7625" w:rsidRDefault="00802958">
            <w:pPr>
              <w:pStyle w:val="InstructionsText"/>
              <w:rPr>
                <w:rStyle w:val="FormatvorlageInstructionsTabelleText"/>
                <w:rFonts w:ascii="Times New Roman" w:hAnsi="Times New Roman"/>
                <w:bCs w:val="0"/>
                <w:sz w:val="24"/>
              </w:rPr>
            </w:pPr>
            <w:r w:rsidRPr="00DA7625">
              <w:rPr>
                <w:rStyle w:val="FormatvorlageInstructionsTabelleText"/>
                <w:rFonts w:ascii="Times New Roman" w:hAnsi="Times New Roman"/>
                <w:sz w:val="24"/>
              </w:rPr>
              <w:t>600</w:t>
            </w:r>
          </w:p>
        </w:tc>
        <w:tc>
          <w:tcPr>
            <w:tcW w:w="7274" w:type="dxa"/>
          </w:tcPr>
          <w:p w14:paraId="1AF5A3D7" w14:textId="77777777" w:rsidR="001B1411" w:rsidRPr="00DA7625" w:rsidRDefault="00802958">
            <w:pPr>
              <w:pStyle w:val="InstructionsText"/>
              <w:rPr>
                <w:rStyle w:val="FormatvorlageInstructionsTabelleText"/>
                <w:rFonts w:ascii="Times New Roman" w:hAnsi="Times New Roman"/>
                <w:bCs w:val="0"/>
                <w:sz w:val="24"/>
              </w:rPr>
            </w:pPr>
            <w:r w:rsidRPr="00DA7625">
              <w:rPr>
                <w:rStyle w:val="InstructionsTabelleberschrift"/>
                <w:rFonts w:ascii="Times New Roman" w:hAnsi="Times New Roman"/>
                <w:sz w:val="24"/>
              </w:rPr>
              <w:t>1.4.1</w:t>
            </w:r>
            <w:r w:rsidRPr="00DA7625">
              <w:rPr>
                <w:rStyle w:val="InstructionsTabelleberschrift"/>
                <w:rFonts w:ascii="Times New Roman" w:hAnsi="Times New Roman"/>
                <w:sz w:val="24"/>
              </w:rPr>
              <w:tab/>
              <w:t>Működési kockázatra vonatkozó alapmutató módszere (BIA)</w:t>
            </w:r>
          </w:p>
          <w:p w14:paraId="5C9B32FD"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az OPR táblát</w:t>
            </w:r>
          </w:p>
        </w:tc>
      </w:tr>
      <w:tr w:rsidR="001B1411" w:rsidRPr="00DA7625" w14:paraId="4C21A175" w14:textId="77777777" w:rsidTr="00672D2A">
        <w:tc>
          <w:tcPr>
            <w:tcW w:w="1591" w:type="dxa"/>
          </w:tcPr>
          <w:p w14:paraId="20924AEB"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610</w:t>
            </w:r>
          </w:p>
        </w:tc>
        <w:tc>
          <w:tcPr>
            <w:tcW w:w="7274" w:type="dxa"/>
          </w:tcPr>
          <w:p w14:paraId="2750ECEB"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1.4.2</w:t>
            </w:r>
            <w:r w:rsidRPr="00DA7625">
              <w:rPr>
                <w:rStyle w:val="InstructionsTabelleberschrift"/>
                <w:rFonts w:ascii="Times New Roman" w:hAnsi="Times New Roman"/>
                <w:sz w:val="24"/>
              </w:rPr>
              <w:tab/>
              <w:t>Működési kockázatra vonatkozó sztenderd (TSA)/alternatív sztenderd módszer (ASA)</w:t>
            </w:r>
          </w:p>
          <w:p w14:paraId="669DBB26"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az OPR táblát</w:t>
            </w:r>
          </w:p>
        </w:tc>
      </w:tr>
      <w:tr w:rsidR="001B1411" w:rsidRPr="00DA7625" w14:paraId="48959B8B" w14:textId="77777777" w:rsidTr="00672D2A">
        <w:tc>
          <w:tcPr>
            <w:tcW w:w="1591" w:type="dxa"/>
          </w:tcPr>
          <w:p w14:paraId="413BDA9F"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620</w:t>
            </w:r>
          </w:p>
        </w:tc>
        <w:tc>
          <w:tcPr>
            <w:tcW w:w="7274" w:type="dxa"/>
          </w:tcPr>
          <w:p w14:paraId="303EECCA"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1.4.3</w:t>
            </w:r>
            <w:r w:rsidRPr="00DA7625">
              <w:rPr>
                <w:rStyle w:val="InstructionsTabelleberschrift"/>
                <w:rFonts w:ascii="Times New Roman" w:hAnsi="Times New Roman"/>
                <w:sz w:val="24"/>
              </w:rPr>
              <w:tab/>
              <w:t>Működési kockázatra vonatkozó fejlett mérési módszerek (AMA)</w:t>
            </w:r>
          </w:p>
          <w:p w14:paraId="790ED1DA"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az OPR táblát</w:t>
            </w:r>
          </w:p>
        </w:tc>
      </w:tr>
      <w:tr w:rsidR="001B1411" w:rsidRPr="00DA7625" w14:paraId="0B82BF31" w14:textId="77777777" w:rsidTr="00672D2A">
        <w:tc>
          <w:tcPr>
            <w:tcW w:w="1591" w:type="dxa"/>
          </w:tcPr>
          <w:p w14:paraId="2E7D0D5F"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630</w:t>
            </w:r>
          </w:p>
        </w:tc>
        <w:tc>
          <w:tcPr>
            <w:tcW w:w="7274" w:type="dxa"/>
          </w:tcPr>
          <w:p w14:paraId="0E76C23E"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1.5</w:t>
            </w:r>
            <w:r w:rsidRPr="00DA7625">
              <w:rPr>
                <w:rStyle w:val="InstructionsTabelleberschrift"/>
                <w:rFonts w:ascii="Times New Roman" w:hAnsi="Times New Roman"/>
                <w:sz w:val="24"/>
              </w:rPr>
              <w:tab/>
              <w:t>FIX MŰKÖDÉSI KÖLTSÉGEKBŐL EREDŐ PÓTLÓLAGOS KOCKÁZATI KITETTSÉGÉRTÉK</w:t>
            </w:r>
          </w:p>
          <w:p w14:paraId="7D0677FF" w14:textId="2B6572EA"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A CRR 95. cikkének (2) bekezdése és 96. cikkének (2) bekezdése, 97. cikke, valamint 98. cikke (1) bekezdésének a) pontja</w:t>
            </w:r>
          </w:p>
          <w:p w14:paraId="7C3669AB" w14:textId="6B7579E2"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 xml:space="preserve">Kizárólag a CRR 95. cikkének (2) bekezdése, 96. cikkének (2) bekezdése, valamint 98. cikke szerinti befektetési vállalkozások esetében. Lásd még a CRR 97. cikkét. </w:t>
            </w:r>
          </w:p>
          <w:p w14:paraId="4E80C506" w14:textId="14D1BA6E"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A CRR 96. cikke szerinti befektetési vállalkozásoknak a 97. cikkben meghatározott összeg 12,5-szeresét kell feltüntetniük.</w:t>
            </w:r>
          </w:p>
          <w:p w14:paraId="3D13536B" w14:textId="4CE9D405"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A CRR 95. cikke szerinti befektetési vállalkozásoknak az alábbi összeget kell feltüntetniük:</w:t>
            </w:r>
          </w:p>
          <w:p w14:paraId="2973FA5A" w14:textId="723289B8"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Arial" w:hAnsi="Arial"/>
                <w:sz w:val="24"/>
              </w:rPr>
              <w:t>–</w:t>
            </w:r>
            <w:r w:rsidRPr="00DA7625">
              <w:rPr>
                <w:rStyle w:val="FormatvorlageInstructionsTabelleText"/>
                <w:rFonts w:ascii="Arial" w:hAnsi="Arial"/>
                <w:sz w:val="24"/>
              </w:rPr>
              <w:tab/>
            </w:r>
            <w:r w:rsidRPr="00DA7625">
              <w:rPr>
                <w:rStyle w:val="FormatvorlageInstructionsTabelleText"/>
                <w:rFonts w:ascii="Times New Roman" w:hAnsi="Times New Roman"/>
                <w:sz w:val="24"/>
              </w:rPr>
              <w:t>Ha</w:t>
            </w:r>
            <w:r w:rsidRPr="00DA7625">
              <w:t xml:space="preserve"> a </w:t>
            </w:r>
            <w:r w:rsidRPr="00DA7625">
              <w:rPr>
                <w:rStyle w:val="FormatvorlageInstructionsTabelleText"/>
                <w:rFonts w:ascii="Times New Roman" w:hAnsi="Times New Roman"/>
                <w:sz w:val="24"/>
              </w:rPr>
              <w:t>CRR 95. cikke (2) bekezdésének a) pontjában említett összeg meghaladja a CRR 95. cikke (2) bekezdésének b) pontjában említett összeget, akkor a feltüntetendő érték nulla.</w:t>
            </w:r>
          </w:p>
          <w:p w14:paraId="6158174D" w14:textId="1CBB7DD0"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Arial" w:hAnsi="Arial"/>
                <w:sz w:val="24"/>
              </w:rPr>
              <w:t>–</w:t>
            </w:r>
            <w:r w:rsidRPr="00DA7625">
              <w:rPr>
                <w:rStyle w:val="FormatvorlageInstructionsTabelleText"/>
                <w:rFonts w:ascii="Arial" w:hAnsi="Arial"/>
                <w:sz w:val="24"/>
              </w:rPr>
              <w:tab/>
            </w:r>
            <w:r w:rsidRPr="00DA7625">
              <w:rPr>
                <w:rStyle w:val="FormatvorlageInstructionsTabelleText"/>
                <w:rFonts w:ascii="Times New Roman" w:hAnsi="Times New Roman"/>
                <w:sz w:val="24"/>
              </w:rPr>
              <w:t>Ha</w:t>
            </w:r>
            <w:r w:rsidRPr="00DA7625">
              <w:t xml:space="preserve"> a </w:t>
            </w:r>
            <w:r w:rsidRPr="00DA7625">
              <w:rPr>
                <w:rStyle w:val="FormatvorlageInstructionsTabelleText"/>
                <w:rFonts w:ascii="Times New Roman" w:hAnsi="Times New Roman"/>
                <w:sz w:val="24"/>
              </w:rPr>
              <w:t xml:space="preserve">CRR 95. cikke (2) bekezdésének b) pontjában említett összeg meghaladja a CRR 95. cikke (2) bekezdésének a) pontjában említett összeget, akkor a feltüntetendő érték az első és a második összeg különbözete. </w:t>
            </w:r>
          </w:p>
        </w:tc>
      </w:tr>
      <w:tr w:rsidR="001B1411" w:rsidRPr="00DA7625" w14:paraId="74E989F8" w14:textId="77777777" w:rsidTr="00672D2A">
        <w:tc>
          <w:tcPr>
            <w:tcW w:w="1591" w:type="dxa"/>
          </w:tcPr>
          <w:p w14:paraId="31ED6297"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640</w:t>
            </w:r>
          </w:p>
        </w:tc>
        <w:tc>
          <w:tcPr>
            <w:tcW w:w="7274" w:type="dxa"/>
          </w:tcPr>
          <w:p w14:paraId="7AEBFFA3"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1.6</w:t>
            </w:r>
            <w:r w:rsidRPr="00DA7625">
              <w:rPr>
                <w:rStyle w:val="InstructionsTabelleberschrift"/>
                <w:rFonts w:ascii="Times New Roman" w:hAnsi="Times New Roman"/>
                <w:sz w:val="24"/>
              </w:rPr>
              <w:tab/>
              <w:t>A HITELÉRTÉKELÉSI KORREKCIÓ TELJES KOCKÁZATI KITETTSÉGÉRTÉKE</w:t>
            </w:r>
          </w:p>
          <w:p w14:paraId="4ABB06AD" w14:textId="3EFD469C" w:rsidR="001B1411" w:rsidRPr="00DA7625" w:rsidRDefault="006A6822">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CRR 92. cikke (3) bekezdésének d) pontja</w:t>
            </w:r>
          </w:p>
          <w:p w14:paraId="03FBFB6F" w14:textId="02BD4349" w:rsidR="001B1411" w:rsidRPr="00DA7625" w:rsidRDefault="00802958">
            <w:pPr>
              <w:pStyle w:val="InstructionsText"/>
              <w:rPr>
                <w:rStyle w:val="FormatvorlageInstructionsTabelleText"/>
                <w:rFonts w:ascii="Times New Roman" w:hAnsi="Times New Roman"/>
                <w:bCs w:val="0"/>
                <w:sz w:val="24"/>
              </w:rPr>
            </w:pPr>
            <w:r w:rsidRPr="00DA7625">
              <w:rPr>
                <w:rStyle w:val="InstructionsTabelleberschrift"/>
                <w:rFonts w:ascii="Times New Roman" w:hAnsi="Times New Roman"/>
                <w:b w:val="0"/>
                <w:sz w:val="24"/>
                <w:u w:val="none"/>
              </w:rPr>
              <w:t>Lásd a CVA táblát.</w:t>
            </w:r>
            <w:r w:rsidRPr="00DA7625">
              <w:rPr>
                <w:rStyle w:val="FormatvorlageInstructionsTabelleText"/>
                <w:rFonts w:ascii="Times New Roman" w:hAnsi="Times New Roman"/>
                <w:sz w:val="24"/>
              </w:rPr>
              <w:t xml:space="preserve"> </w:t>
            </w:r>
          </w:p>
        </w:tc>
      </w:tr>
      <w:tr w:rsidR="001B1411" w:rsidRPr="00DA7625" w14:paraId="6E44CB89" w14:textId="77777777" w:rsidTr="00672D2A">
        <w:tc>
          <w:tcPr>
            <w:tcW w:w="1591" w:type="dxa"/>
          </w:tcPr>
          <w:p w14:paraId="3E5ED539"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650</w:t>
            </w:r>
          </w:p>
        </w:tc>
        <w:tc>
          <w:tcPr>
            <w:tcW w:w="7274" w:type="dxa"/>
          </w:tcPr>
          <w:p w14:paraId="5726B55C" w14:textId="77777777" w:rsidR="001B1411" w:rsidRPr="00DA7625" w:rsidRDefault="00802958">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1.6.1</w:t>
            </w:r>
            <w:r w:rsidRPr="00DA7625">
              <w:rPr>
                <w:rStyle w:val="InstructionsTabelleberschrift"/>
                <w:rFonts w:ascii="Times New Roman" w:hAnsi="Times New Roman"/>
                <w:sz w:val="24"/>
              </w:rPr>
              <w:tab/>
              <w:t>Fejlett módszer</w:t>
            </w:r>
          </w:p>
          <w:p w14:paraId="03087978" w14:textId="5106719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A hitelértékelési korrekciós kockázathoz kapcsolódó szavatolótőke-követelmény a CRR 383. cikke szerint.</w:t>
            </w:r>
          </w:p>
          <w:p w14:paraId="7728AB69" w14:textId="7F4084C5"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CVA táblát.</w:t>
            </w:r>
          </w:p>
        </w:tc>
      </w:tr>
      <w:tr w:rsidR="001B1411" w:rsidRPr="00DA7625" w14:paraId="0434AAFF" w14:textId="77777777" w:rsidTr="00672D2A">
        <w:tc>
          <w:tcPr>
            <w:tcW w:w="1591" w:type="dxa"/>
          </w:tcPr>
          <w:p w14:paraId="6041495E"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660</w:t>
            </w:r>
          </w:p>
        </w:tc>
        <w:tc>
          <w:tcPr>
            <w:tcW w:w="7274" w:type="dxa"/>
          </w:tcPr>
          <w:p w14:paraId="43A88C11" w14:textId="77777777" w:rsidR="001B1411" w:rsidRPr="00DA7625" w:rsidRDefault="00802958">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1.6.2</w:t>
            </w:r>
            <w:r w:rsidRPr="00DA7625">
              <w:rPr>
                <w:rStyle w:val="InstructionsTabelleberschrift"/>
                <w:rFonts w:ascii="Times New Roman" w:hAnsi="Times New Roman"/>
                <w:sz w:val="24"/>
              </w:rPr>
              <w:tab/>
              <w:t>Sztenderd módszer</w:t>
            </w:r>
          </w:p>
          <w:p w14:paraId="341237C0" w14:textId="4EC15FF8"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 xml:space="preserve">A hitelértékelési korrekciós kockázathoz kapcsolódó szavatolótőke-követelmény a CRR 384. cikke szerint. </w:t>
            </w:r>
          </w:p>
          <w:p w14:paraId="39F196D8" w14:textId="77777777" w:rsidR="001B1411" w:rsidRPr="00DA7625" w:rsidRDefault="00802958">
            <w:pPr>
              <w:rPr>
                <w:rStyle w:val="FormatvorlageInstructionsTabelleText"/>
                <w:rFonts w:ascii="Times New Roman" w:hAnsi="Times New Roman"/>
                <w:sz w:val="24"/>
              </w:rPr>
            </w:pPr>
            <w:r w:rsidRPr="00DA7625">
              <w:rPr>
                <w:rStyle w:val="FormatvorlageInstructionsTabelleText"/>
                <w:rFonts w:ascii="Times New Roman" w:hAnsi="Times New Roman"/>
                <w:sz w:val="24"/>
              </w:rPr>
              <w:t>Lásd a CVA táblát.</w:t>
            </w:r>
          </w:p>
        </w:tc>
      </w:tr>
      <w:tr w:rsidR="001B1411" w:rsidRPr="00DA7625" w14:paraId="18F81D0E" w14:textId="77777777" w:rsidTr="00672D2A">
        <w:tc>
          <w:tcPr>
            <w:tcW w:w="1591" w:type="dxa"/>
          </w:tcPr>
          <w:p w14:paraId="7390B9E5"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670</w:t>
            </w:r>
          </w:p>
        </w:tc>
        <w:tc>
          <w:tcPr>
            <w:tcW w:w="7274" w:type="dxa"/>
          </w:tcPr>
          <w:p w14:paraId="12388E6A" w14:textId="77777777" w:rsidR="001B1411" w:rsidRPr="00DA7625" w:rsidRDefault="00802958">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1.6.3.</w:t>
            </w:r>
            <w:r w:rsidRPr="00DA7625">
              <w:rPr>
                <w:rStyle w:val="InstructionsTabelleberschrift"/>
                <w:rFonts w:ascii="Times New Roman" w:hAnsi="Times New Roman"/>
                <w:sz w:val="24"/>
              </w:rPr>
              <w:tab/>
              <w:t>Eredeti kitettség szerinti módszer (OEM) alapján</w:t>
            </w:r>
          </w:p>
          <w:p w14:paraId="1EBC34AD" w14:textId="65A14F84"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 xml:space="preserve">A hitelértékelési korrekciós kockázathoz kapcsolódó szavatolótőke-követelmény a CRR 385. cikke szerint. </w:t>
            </w:r>
          </w:p>
          <w:p w14:paraId="353DA538" w14:textId="77777777" w:rsidR="001B1411" w:rsidRPr="00DA7625" w:rsidRDefault="00802958">
            <w:pPr>
              <w:pStyle w:val="InstructionsText"/>
              <w:rPr>
                <w:rStyle w:val="InstructionsTabelleberschrift"/>
                <w:rFonts w:ascii="Times New Roman" w:hAnsi="Times New Roman"/>
                <w:b w:val="0"/>
                <w:bCs w:val="0"/>
                <w:sz w:val="24"/>
                <w:u w:val="none"/>
              </w:rPr>
            </w:pPr>
            <w:r w:rsidRPr="00DA7625">
              <w:rPr>
                <w:rStyle w:val="FormatvorlageInstructionsTabelleText"/>
                <w:rFonts w:ascii="Times New Roman" w:hAnsi="Times New Roman"/>
                <w:sz w:val="24"/>
              </w:rPr>
              <w:t>Lásd a CVA táblát.</w:t>
            </w:r>
          </w:p>
        </w:tc>
      </w:tr>
      <w:tr w:rsidR="001B1411" w:rsidRPr="00DA7625" w14:paraId="7F433145" w14:textId="77777777" w:rsidTr="00672D2A">
        <w:tc>
          <w:tcPr>
            <w:tcW w:w="1591" w:type="dxa"/>
          </w:tcPr>
          <w:p w14:paraId="017F4F0C" w14:textId="77777777" w:rsidR="001B1411" w:rsidRPr="00DA7625" w:rsidRDefault="00802958">
            <w:pPr>
              <w:pStyle w:val="InstructionsText"/>
              <w:rPr>
                <w:rStyle w:val="FormatvorlageInstructionsTabelleText"/>
                <w:rFonts w:ascii="Times New Roman" w:hAnsi="Times New Roman"/>
                <w:bCs w:val="0"/>
                <w:sz w:val="24"/>
              </w:rPr>
            </w:pPr>
            <w:r w:rsidRPr="00DA7625">
              <w:rPr>
                <w:rStyle w:val="FormatvorlageInstructionsTabelleText"/>
                <w:rFonts w:ascii="Times New Roman" w:hAnsi="Times New Roman"/>
                <w:sz w:val="24"/>
              </w:rPr>
              <w:t>680</w:t>
            </w:r>
          </w:p>
        </w:tc>
        <w:tc>
          <w:tcPr>
            <w:tcW w:w="7274" w:type="dxa"/>
          </w:tcPr>
          <w:p w14:paraId="0C08323D" w14:textId="77777777" w:rsidR="001B1411" w:rsidRPr="00DA7625" w:rsidRDefault="00802958">
            <w:pPr>
              <w:pStyle w:val="InstructionsText"/>
              <w:rPr>
                <w:rStyle w:val="FormatvorlageInstructionsTabelleText"/>
                <w:rFonts w:ascii="Times New Roman" w:hAnsi="Times New Roman"/>
                <w:b/>
                <w:bCs w:val="0"/>
                <w:sz w:val="24"/>
                <w:u w:val="single"/>
              </w:rPr>
            </w:pPr>
            <w:r w:rsidRPr="00DA7625">
              <w:rPr>
                <w:rStyle w:val="InstructionsTabelleberschrift"/>
                <w:rFonts w:ascii="Times New Roman" w:hAnsi="Times New Roman"/>
                <w:sz w:val="24"/>
              </w:rPr>
              <w:t>1.7</w:t>
            </w:r>
            <w:r w:rsidRPr="00DA7625">
              <w:rPr>
                <w:rStyle w:val="InstructionsTabelleberschrift"/>
                <w:rFonts w:ascii="Times New Roman" w:hAnsi="Times New Roman"/>
                <w:sz w:val="24"/>
              </w:rPr>
              <w:tab/>
              <w:t>KERESKEDÉSI KÖNYVBEN NYILVÁNTARTOTT NAGYKOCKÁZATOK TELJES KOCKÁZATI KITETTSÉGÉRTÉKE</w:t>
            </w:r>
          </w:p>
          <w:p w14:paraId="317C0E73" w14:textId="566491CD" w:rsidR="001B1411" w:rsidRPr="00DA7625" w:rsidRDefault="006A6822">
            <w:pPr>
              <w:pStyle w:val="InstructionsText"/>
              <w:rPr>
                <w:rStyle w:val="FormatvorlageInstructionsTabelleText"/>
                <w:rFonts w:ascii="Times New Roman" w:hAnsi="Times New Roman"/>
                <w:bCs w:val="0"/>
                <w:sz w:val="24"/>
              </w:rPr>
            </w:pPr>
            <w:r w:rsidRPr="00DA7625">
              <w:rPr>
                <w:rStyle w:val="FormatvorlageInstructionsTabelleText"/>
                <w:rFonts w:ascii="Times New Roman" w:hAnsi="Times New Roman"/>
                <w:sz w:val="24"/>
              </w:rPr>
              <w:t>A CRR 92. cikke (3) bekezdése b) pontjának ii. alpontja, valamint 395–401. cikke</w:t>
            </w:r>
          </w:p>
        </w:tc>
      </w:tr>
      <w:tr w:rsidR="001B1411" w:rsidRPr="00DA7625" w14:paraId="5CF4A89A" w14:textId="77777777" w:rsidTr="00672D2A">
        <w:tc>
          <w:tcPr>
            <w:tcW w:w="1591" w:type="dxa"/>
          </w:tcPr>
          <w:p w14:paraId="4FC6244E"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690</w:t>
            </w:r>
          </w:p>
        </w:tc>
        <w:tc>
          <w:tcPr>
            <w:tcW w:w="7274" w:type="dxa"/>
          </w:tcPr>
          <w:p w14:paraId="7F6BACB5" w14:textId="77777777" w:rsidR="001B1411" w:rsidRPr="00DA7625" w:rsidRDefault="00802958">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1.8</w:t>
            </w:r>
            <w:r w:rsidRPr="00DA7625">
              <w:rPr>
                <w:rStyle w:val="InstructionsTabelleberschrift"/>
                <w:rFonts w:ascii="Times New Roman" w:hAnsi="Times New Roman"/>
                <w:sz w:val="24"/>
              </w:rPr>
              <w:tab/>
              <w:t>EGYÉB KOCKÁZATI KITETTSÉGÉRTÉKEK</w:t>
            </w:r>
          </w:p>
          <w:p w14:paraId="60CD9CEE" w14:textId="6B3A599C" w:rsidR="001B1411" w:rsidRPr="00DA7625" w:rsidRDefault="00802958">
            <w:pPr>
              <w:pStyle w:val="InstructionsText"/>
              <w:rPr>
                <w:rStyle w:val="InstructionsTabelleberschrift"/>
                <w:rFonts w:ascii="Times New Roman" w:hAnsi="Times New Roman"/>
                <w:b w:val="0"/>
                <w:bCs w:val="0"/>
                <w:sz w:val="24"/>
                <w:u w:val="none"/>
              </w:rPr>
            </w:pPr>
            <w:r w:rsidRPr="00DA7625">
              <w:rPr>
                <w:rStyle w:val="InstructionsTabelleberschrift"/>
                <w:rFonts w:ascii="Times New Roman" w:hAnsi="Times New Roman"/>
                <w:b w:val="0"/>
                <w:sz w:val="24"/>
                <w:u w:val="none"/>
              </w:rPr>
              <w:t xml:space="preserve">A CRR 3., 458. és 459. cikke szerint, valamint az olyan kockázati kitettségértékek, amelyek az 1.1–1.7. tételek egyikébe sem sorolhatók. </w:t>
            </w:r>
          </w:p>
          <w:p w14:paraId="4B0A35FF" w14:textId="77777777" w:rsidR="001B1411" w:rsidRPr="00DA7625" w:rsidRDefault="00802958">
            <w:pPr>
              <w:pStyle w:val="InstructionsText"/>
              <w:rPr>
                <w:rStyle w:val="InstructionsTabelleberschrift"/>
                <w:rFonts w:ascii="Times New Roman" w:hAnsi="Times New Roman"/>
                <w:b w:val="0"/>
                <w:bCs w:val="0"/>
                <w:sz w:val="24"/>
                <w:u w:val="none"/>
              </w:rPr>
            </w:pPr>
            <w:r w:rsidRPr="00DA7625">
              <w:rPr>
                <w:rStyle w:val="InstructionsTabelleberschrift"/>
                <w:rFonts w:ascii="Times New Roman" w:hAnsi="Times New Roman"/>
                <w:b w:val="0"/>
                <w:sz w:val="24"/>
                <w:u w:val="none"/>
              </w:rPr>
              <w:t>Az intézményeknek az alábbi követelmények teljesítéséhez szükséges összegeket kell feltüntetniük:</w:t>
            </w:r>
          </w:p>
          <w:p w14:paraId="61C641D0" w14:textId="388CA457" w:rsidR="001B1411" w:rsidRPr="00DA7625" w:rsidRDefault="00802958">
            <w:pPr>
              <w:pStyle w:val="InstructionsText"/>
              <w:rPr>
                <w:rStyle w:val="InstructionsTabelleberschrift"/>
                <w:rFonts w:ascii="Times New Roman" w:hAnsi="Times New Roman"/>
                <w:b w:val="0"/>
                <w:bCs w:val="0"/>
                <w:sz w:val="24"/>
                <w:u w:val="none"/>
              </w:rPr>
            </w:pPr>
            <w:r w:rsidRPr="00DA7625">
              <w:rPr>
                <w:rStyle w:val="InstructionsTabelleberschrift"/>
                <w:rFonts w:ascii="Times New Roman" w:hAnsi="Times New Roman"/>
                <w:b w:val="0"/>
                <w:sz w:val="24"/>
                <w:u w:val="none"/>
              </w:rPr>
              <w:lastRenderedPageBreak/>
              <w:t xml:space="preserve">a Bizottság által előírt szigorúbb prudenciális követelmények, a CRR 458. és 459. cikkével összhangban; </w:t>
            </w:r>
          </w:p>
          <w:p w14:paraId="0DD7C206" w14:textId="77777777" w:rsidR="001B1411" w:rsidRPr="00DA7625" w:rsidRDefault="00802958">
            <w:pPr>
              <w:pStyle w:val="InstructionsText"/>
              <w:rPr>
                <w:rStyle w:val="InstructionsTabelleberschrift"/>
                <w:rFonts w:ascii="Times New Roman" w:hAnsi="Times New Roman"/>
                <w:b w:val="0"/>
                <w:bCs w:val="0"/>
                <w:sz w:val="24"/>
                <w:u w:val="none"/>
              </w:rPr>
            </w:pPr>
            <w:r w:rsidRPr="00DA7625">
              <w:rPr>
                <w:rStyle w:val="InstructionsTabelleberschrift"/>
                <w:rFonts w:ascii="Times New Roman" w:hAnsi="Times New Roman"/>
                <w:b w:val="0"/>
                <w:sz w:val="24"/>
                <w:u w:val="none"/>
              </w:rPr>
              <w:t>a CRR 3. cikkéből eredő pótlólagos kockázati kitettségérték;</w:t>
            </w:r>
          </w:p>
          <w:p w14:paraId="293B2484" w14:textId="77777777" w:rsidR="001B1411" w:rsidRPr="00DA7625" w:rsidRDefault="00802958">
            <w:pPr>
              <w:pStyle w:val="InstructionsText"/>
              <w:rPr>
                <w:rStyle w:val="InstructionsTabelleberschrift"/>
                <w:rFonts w:ascii="Times New Roman" w:hAnsi="Times New Roman"/>
                <w:bCs w:val="0"/>
                <w:sz w:val="24"/>
                <w:u w:val="none"/>
              </w:rPr>
            </w:pPr>
            <w:r w:rsidRPr="00DA7625">
              <w:rPr>
                <w:rStyle w:val="InstructionsTabelleberschrift"/>
                <w:rFonts w:ascii="Times New Roman" w:hAnsi="Times New Roman"/>
                <w:b w:val="0"/>
                <w:sz w:val="24"/>
                <w:u w:val="none"/>
              </w:rPr>
              <w:t xml:space="preserve">A tétel nem kapcsolódik részletes kockázati táblához. </w:t>
            </w:r>
          </w:p>
        </w:tc>
      </w:tr>
      <w:tr w:rsidR="001B1411" w:rsidRPr="00DA7625" w14:paraId="118D557D" w14:textId="77777777" w:rsidTr="00672D2A">
        <w:tc>
          <w:tcPr>
            <w:tcW w:w="1591" w:type="dxa"/>
          </w:tcPr>
          <w:p w14:paraId="30F5152E"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lastRenderedPageBreak/>
              <w:t>710</w:t>
            </w:r>
          </w:p>
        </w:tc>
        <w:tc>
          <w:tcPr>
            <w:tcW w:w="7274" w:type="dxa"/>
          </w:tcPr>
          <w:p w14:paraId="453A5B81" w14:textId="77777777" w:rsidR="001B1411" w:rsidRPr="00DA7625" w:rsidRDefault="00802958">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1.8.2</w:t>
            </w:r>
            <w:r w:rsidRPr="00DA7625">
              <w:rPr>
                <w:rStyle w:val="InstructionsTabelleberschrift"/>
                <w:rFonts w:ascii="Times New Roman" w:hAnsi="Times New Roman"/>
                <w:sz w:val="24"/>
              </w:rPr>
              <w:tab/>
              <w:t>Ebből: kiegészítő szigorúbb prudenciális követelmények a CRR 458. cikke alapján</w:t>
            </w:r>
          </w:p>
          <w:p w14:paraId="6AD53CE0" w14:textId="06898263" w:rsidR="001B1411" w:rsidRPr="00DA7625" w:rsidRDefault="00802958">
            <w:pPr>
              <w:pStyle w:val="InstructionsText"/>
              <w:rPr>
                <w:rStyle w:val="InstructionsTabelleberschrift"/>
                <w:rFonts w:ascii="Times New Roman" w:hAnsi="Times New Roman"/>
                <w:b w:val="0"/>
                <w:sz w:val="24"/>
                <w:u w:val="none"/>
              </w:rPr>
            </w:pPr>
            <w:r w:rsidRPr="00DA7625">
              <w:rPr>
                <w:rStyle w:val="FormatvorlageInstructionsTabelleText"/>
                <w:rFonts w:ascii="Times New Roman" w:hAnsi="Times New Roman"/>
                <w:sz w:val="24"/>
              </w:rPr>
              <w:t>A CRR 458. cikke</w:t>
            </w:r>
          </w:p>
        </w:tc>
      </w:tr>
      <w:tr w:rsidR="001B1411" w:rsidRPr="00DA7625" w14:paraId="695B749E" w14:textId="77777777" w:rsidTr="00672D2A">
        <w:tc>
          <w:tcPr>
            <w:tcW w:w="1591" w:type="dxa"/>
          </w:tcPr>
          <w:p w14:paraId="7615567A"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720</w:t>
            </w:r>
          </w:p>
        </w:tc>
        <w:tc>
          <w:tcPr>
            <w:tcW w:w="7274" w:type="dxa"/>
          </w:tcPr>
          <w:p w14:paraId="2BA37DC2" w14:textId="77777777" w:rsidR="001B1411" w:rsidRPr="00DA7625" w:rsidRDefault="00802958">
            <w:pPr>
              <w:pStyle w:val="InstructionsText"/>
            </w:pPr>
            <w:r w:rsidRPr="00DA7625">
              <w:rPr>
                <w:rStyle w:val="InstructionsTabelleberschrift"/>
                <w:rFonts w:ascii="Times New Roman" w:hAnsi="Times New Roman"/>
                <w:sz w:val="24"/>
              </w:rPr>
              <w:t>1.8.2*</w:t>
            </w:r>
            <w:r w:rsidRPr="00DA7625">
              <w:rPr>
                <w:rStyle w:val="InstructionsTabelleberschrift"/>
                <w:rFonts w:ascii="Times New Roman" w:hAnsi="Times New Roman"/>
                <w:sz w:val="24"/>
              </w:rPr>
              <w:tab/>
              <w:t>Ebből: nagykockázat-vállalással kapcsolatos követelmények</w:t>
            </w:r>
          </w:p>
          <w:p w14:paraId="3A1C43A2" w14:textId="645BCF34" w:rsidR="001B1411" w:rsidRPr="00DA7625" w:rsidRDefault="00802958">
            <w:pPr>
              <w:pStyle w:val="InstructionsText"/>
              <w:rPr>
                <w:rStyle w:val="InstructionsTabelleberschrift"/>
                <w:rFonts w:ascii="Times New Roman" w:hAnsi="Times New Roman"/>
                <w:sz w:val="24"/>
              </w:rPr>
            </w:pPr>
            <w:r w:rsidRPr="00DA7625">
              <w:t>A CRR 458. cikke</w:t>
            </w:r>
          </w:p>
        </w:tc>
      </w:tr>
      <w:tr w:rsidR="001B1411" w:rsidRPr="00DA7625" w14:paraId="4806BF13" w14:textId="77777777" w:rsidTr="00672D2A">
        <w:tc>
          <w:tcPr>
            <w:tcW w:w="1591" w:type="dxa"/>
          </w:tcPr>
          <w:p w14:paraId="7495B846"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730</w:t>
            </w:r>
          </w:p>
        </w:tc>
        <w:tc>
          <w:tcPr>
            <w:tcW w:w="7274" w:type="dxa"/>
          </w:tcPr>
          <w:p w14:paraId="2ECB3E55" w14:textId="77777777" w:rsidR="001B1411" w:rsidRPr="00DA7625" w:rsidRDefault="00802958">
            <w:pPr>
              <w:pStyle w:val="InstructionsText"/>
            </w:pPr>
            <w:r w:rsidRPr="00DA7625">
              <w:rPr>
                <w:rStyle w:val="InstructionsTabelleberschrift"/>
                <w:rFonts w:ascii="Times New Roman" w:hAnsi="Times New Roman"/>
                <w:sz w:val="24"/>
              </w:rPr>
              <w:t>1.8.2**</w:t>
            </w:r>
            <w:r w:rsidRPr="00DA7625">
              <w:rPr>
                <w:rStyle w:val="InstructionsTabelleberschrift"/>
                <w:rFonts w:ascii="Times New Roman" w:hAnsi="Times New Roman"/>
                <w:sz w:val="24"/>
              </w:rPr>
              <w:tab/>
              <w:t>Ebből: a lakóingatlanok és kereskedelmi ingatlanok piacán jelentkező eszközbuborékok kezelését célzó kockázati súlyok módosításából eredő követelmények</w:t>
            </w:r>
          </w:p>
          <w:p w14:paraId="462301BE" w14:textId="3128E36B" w:rsidR="001B1411" w:rsidRPr="00DA7625" w:rsidRDefault="00802958">
            <w:pPr>
              <w:pStyle w:val="InstructionsText"/>
              <w:rPr>
                <w:rStyle w:val="InstructionsTabelleberschrift"/>
                <w:rFonts w:ascii="Times New Roman" w:hAnsi="Times New Roman"/>
                <w:sz w:val="24"/>
              </w:rPr>
            </w:pPr>
            <w:r w:rsidRPr="00DA7625">
              <w:t>A CRR 458. cikke</w:t>
            </w:r>
          </w:p>
        </w:tc>
      </w:tr>
      <w:tr w:rsidR="001B1411" w:rsidRPr="00DA7625" w14:paraId="02369509" w14:textId="77777777" w:rsidTr="00672D2A">
        <w:tc>
          <w:tcPr>
            <w:tcW w:w="1591" w:type="dxa"/>
          </w:tcPr>
          <w:p w14:paraId="45DD08B4"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740</w:t>
            </w:r>
          </w:p>
        </w:tc>
        <w:tc>
          <w:tcPr>
            <w:tcW w:w="7274" w:type="dxa"/>
          </w:tcPr>
          <w:p w14:paraId="4BA3C233" w14:textId="77777777" w:rsidR="001B1411" w:rsidRPr="00DA7625" w:rsidRDefault="00802958">
            <w:pPr>
              <w:pStyle w:val="InstructionsText"/>
            </w:pPr>
            <w:r w:rsidRPr="00DA7625">
              <w:rPr>
                <w:rStyle w:val="InstructionsTabelleberschrift"/>
                <w:rFonts w:ascii="Times New Roman" w:hAnsi="Times New Roman"/>
                <w:sz w:val="24"/>
              </w:rPr>
              <w:t>1.8.2*</w:t>
            </w:r>
            <w:r w:rsidRPr="00DA7625">
              <w:rPr>
                <w:rStyle w:val="InstructionsTabelleberschrift"/>
                <w:rFonts w:ascii="Times New Roman" w:hAnsi="Times New Roman"/>
                <w:sz w:val="24"/>
              </w:rPr>
              <w:tab/>
              <w:t>Ebből: a pénzügyi szektoron belüli kitettségekből eredő követelmények</w:t>
            </w:r>
          </w:p>
          <w:p w14:paraId="645DEC14" w14:textId="08A95E6F" w:rsidR="001B1411" w:rsidRPr="00DA7625" w:rsidRDefault="00802958">
            <w:pPr>
              <w:pStyle w:val="InstructionsText"/>
              <w:rPr>
                <w:rStyle w:val="InstructionsTabelleberschrift"/>
                <w:rFonts w:ascii="Times New Roman" w:hAnsi="Times New Roman"/>
                <w:sz w:val="24"/>
              </w:rPr>
            </w:pPr>
            <w:r w:rsidRPr="00DA7625">
              <w:t>A CRR 458. cikke</w:t>
            </w:r>
          </w:p>
        </w:tc>
      </w:tr>
      <w:tr w:rsidR="001B1411" w:rsidRPr="00DA7625" w14:paraId="1A9359AA" w14:textId="77777777" w:rsidTr="00672D2A">
        <w:tc>
          <w:tcPr>
            <w:tcW w:w="1591" w:type="dxa"/>
          </w:tcPr>
          <w:p w14:paraId="03001E9D"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750</w:t>
            </w:r>
          </w:p>
        </w:tc>
        <w:tc>
          <w:tcPr>
            <w:tcW w:w="7274" w:type="dxa"/>
          </w:tcPr>
          <w:p w14:paraId="36A32430" w14:textId="77777777" w:rsidR="001B1411" w:rsidRPr="00DA7625" w:rsidRDefault="00802958">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1.8.3</w:t>
            </w:r>
            <w:r w:rsidRPr="00DA7625">
              <w:rPr>
                <w:rStyle w:val="InstructionsTabelleberschrift"/>
                <w:rFonts w:ascii="Times New Roman" w:hAnsi="Times New Roman"/>
                <w:sz w:val="24"/>
              </w:rPr>
              <w:tab/>
              <w:t>Ebből: kiegészítő szigorúbb prudenciális követelmények a CRR 459. cikke alapján</w:t>
            </w:r>
          </w:p>
          <w:p w14:paraId="2BB003ED" w14:textId="649884A4" w:rsidR="001B1411" w:rsidRPr="00DA7625" w:rsidRDefault="00802958">
            <w:pPr>
              <w:pStyle w:val="InstructionsText"/>
              <w:rPr>
                <w:rStyle w:val="InstructionsTabelleberschrift"/>
                <w:rFonts w:ascii="Times New Roman" w:hAnsi="Times New Roman"/>
                <w:sz w:val="24"/>
              </w:rPr>
            </w:pPr>
            <w:r w:rsidRPr="00DA7625">
              <w:rPr>
                <w:rStyle w:val="FormatvorlageInstructionsTabelleText"/>
                <w:rFonts w:ascii="Times New Roman" w:hAnsi="Times New Roman"/>
                <w:sz w:val="24"/>
              </w:rPr>
              <w:t>A CRR 459. cikke</w:t>
            </w:r>
          </w:p>
        </w:tc>
      </w:tr>
      <w:tr w:rsidR="001B1411" w:rsidRPr="00DA7625" w14:paraId="3B785553" w14:textId="77777777" w:rsidTr="00672D2A">
        <w:tc>
          <w:tcPr>
            <w:tcW w:w="1591" w:type="dxa"/>
            <w:shd w:val="clear" w:color="auto" w:fill="auto"/>
          </w:tcPr>
          <w:p w14:paraId="21E39BF0"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760</w:t>
            </w:r>
          </w:p>
        </w:tc>
        <w:tc>
          <w:tcPr>
            <w:tcW w:w="7274" w:type="dxa"/>
          </w:tcPr>
          <w:p w14:paraId="33E1FD1C" w14:textId="77777777" w:rsidR="001B1411" w:rsidRPr="00DA7625" w:rsidRDefault="00802958">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1.8.4</w:t>
            </w:r>
            <w:r w:rsidRPr="00DA7625">
              <w:rPr>
                <w:rStyle w:val="InstructionsTabelleberschrift"/>
                <w:rFonts w:ascii="Times New Roman" w:hAnsi="Times New Roman"/>
                <w:sz w:val="24"/>
              </w:rPr>
              <w:tab/>
              <w:t>Ebből: a CRR 3. cikkéből eredő pótlólagos kockázati kitettségérték</w:t>
            </w:r>
          </w:p>
          <w:p w14:paraId="7FB7FA7A" w14:textId="77777777" w:rsidR="001B1411" w:rsidRPr="00DA7625" w:rsidRDefault="00802958">
            <w:pPr>
              <w:pStyle w:val="InstructionsText"/>
              <w:rPr>
                <w:rStyle w:val="FormatvorlageInstructionsTabelleText"/>
                <w:rFonts w:ascii="Times New Roman" w:hAnsi="Times New Roman"/>
                <w:sz w:val="24"/>
              </w:rPr>
            </w:pPr>
            <w:r w:rsidRPr="00DA7625">
              <w:rPr>
                <w:rStyle w:val="FormatvorlageInstructionsTabelleText"/>
                <w:rFonts w:ascii="Times New Roman" w:hAnsi="Times New Roman"/>
                <w:sz w:val="24"/>
              </w:rPr>
              <w:t>A CRR 3. cikke</w:t>
            </w:r>
          </w:p>
          <w:p w14:paraId="50111C52" w14:textId="4A2569E2" w:rsidR="001B1411" w:rsidRPr="00DA7625" w:rsidRDefault="00802958">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 xml:space="preserve">A pótlólagos kockázati kitettségértéket kell feltüntetni. A feltüntetett pótlólagos kockázati kitettségérték csak a pótlólagos értéket foglalhatja magában (pl. ha 100 egységnyi kitettség kockázati súlya 20 % és az intézmény a CRR 3. cikke alapján 50 %-os kockázati súlyt alkalmaz, akkor a feltüntetendő érték 30). </w:t>
            </w:r>
          </w:p>
        </w:tc>
      </w:tr>
    </w:tbl>
    <w:p w14:paraId="126E1B56" w14:textId="77777777" w:rsidR="001B1411" w:rsidRPr="00DA7625" w:rsidRDefault="00936DD1">
      <w:pPr>
        <w:pStyle w:val="Instructionsberschrift2"/>
        <w:numPr>
          <w:ilvl w:val="0"/>
          <w:numId w:val="0"/>
        </w:numPr>
        <w:ind w:left="357" w:hanging="357"/>
        <w:rPr>
          <w:rFonts w:ascii="Times New Roman" w:hAnsi="Times New Roman" w:cs="Times New Roman"/>
          <w:sz w:val="24"/>
          <w:u w:val="none"/>
        </w:rPr>
      </w:pPr>
      <w:bookmarkStart w:id="14" w:name="_Toc31018760"/>
      <w:r w:rsidRPr="00DA7625">
        <w:rPr>
          <w:rFonts w:ascii="Times New Roman" w:hAnsi="Times New Roman"/>
          <w:sz w:val="24"/>
          <w:u w:val="none"/>
        </w:rPr>
        <w:t>1.4</w:t>
      </w:r>
      <w:r w:rsidRPr="00DA7625">
        <w:rPr>
          <w:rFonts w:ascii="Times New Roman" w:hAnsi="Times New Roman"/>
          <w:sz w:val="24"/>
          <w:u w:val="none"/>
        </w:rPr>
        <w:tab/>
        <w:t>C 03.00 – TŐKEMEGFELELÉSI MUTATÓK ÉS TŐKESZINTEK (CA3)</w:t>
      </w:r>
      <w:bookmarkEnd w:id="14"/>
      <w:r w:rsidRPr="00DA7625">
        <w:rPr>
          <w:rFonts w:ascii="Times New Roman" w:hAnsi="Times New Roman"/>
          <w:sz w:val="24"/>
          <w:u w:val="none"/>
        </w:rPr>
        <w:t xml:space="preserve"> </w:t>
      </w:r>
    </w:p>
    <w:p w14:paraId="251B5EFA"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15" w:name="_Toc31018761"/>
      <w:r w:rsidRPr="00DA7625">
        <w:rPr>
          <w:rFonts w:ascii="Times New Roman" w:hAnsi="Times New Roman"/>
          <w:sz w:val="24"/>
          <w:u w:val="none"/>
        </w:rPr>
        <w:t>1.4.1</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15"/>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1B1411" w:rsidRPr="00DA7625" w14:paraId="69F7082E" w14:textId="77777777" w:rsidTr="00672D2A">
        <w:tc>
          <w:tcPr>
            <w:tcW w:w="8783" w:type="dxa"/>
            <w:gridSpan w:val="2"/>
            <w:shd w:val="clear" w:color="auto" w:fill="D9D9D9"/>
          </w:tcPr>
          <w:p w14:paraId="26176128" w14:textId="77777777" w:rsidR="001B1411" w:rsidRPr="00DA7625" w:rsidRDefault="002648B0">
            <w:pPr>
              <w:pStyle w:val="InstructionsText"/>
            </w:pPr>
            <w:r w:rsidRPr="00DA7625">
              <w:t>Sor</w:t>
            </w:r>
          </w:p>
        </w:tc>
      </w:tr>
      <w:tr w:rsidR="001B1411" w:rsidRPr="00DA7625" w14:paraId="4A10826C" w14:textId="77777777" w:rsidTr="00672D2A">
        <w:tc>
          <w:tcPr>
            <w:tcW w:w="703" w:type="dxa"/>
          </w:tcPr>
          <w:p w14:paraId="4501C5F2" w14:textId="77777777" w:rsidR="001B1411" w:rsidRPr="00DA7625" w:rsidRDefault="002648B0">
            <w:pPr>
              <w:pStyle w:val="InstructionsText"/>
            </w:pPr>
            <w:r w:rsidRPr="00DA7625">
              <w:t>010</w:t>
            </w:r>
          </w:p>
        </w:tc>
        <w:tc>
          <w:tcPr>
            <w:tcW w:w="8080" w:type="dxa"/>
          </w:tcPr>
          <w:p w14:paraId="7013AAB4" w14:textId="77777777" w:rsidR="001B1411" w:rsidRPr="00DA7625" w:rsidRDefault="002648B0">
            <w:pPr>
              <w:pStyle w:val="InstructionsText"/>
            </w:pPr>
            <w:r w:rsidRPr="00DA7625">
              <w:rPr>
                <w:rStyle w:val="InstructionsTabelleberschrift"/>
                <w:rFonts w:ascii="Times New Roman" w:hAnsi="Times New Roman"/>
                <w:sz w:val="24"/>
              </w:rPr>
              <w:t>1</w:t>
            </w:r>
            <w:r w:rsidRPr="00DA7625">
              <w:rPr>
                <w:rStyle w:val="InstructionsTabelleberschrift"/>
                <w:rFonts w:ascii="Times New Roman" w:hAnsi="Times New Roman"/>
                <w:sz w:val="24"/>
              </w:rPr>
              <w:tab/>
              <w:t>CET1 tőkemegfelelési mutató</w:t>
            </w:r>
          </w:p>
          <w:p w14:paraId="3D88BAC5" w14:textId="1903C688" w:rsidR="001B1411" w:rsidRPr="00DA7625" w:rsidRDefault="00705025">
            <w:pPr>
              <w:pStyle w:val="InstructionsText"/>
            </w:pPr>
            <w:r w:rsidRPr="00DA7625">
              <w:t>A CRR 92. cikke (2) bekezdésének a) pontja</w:t>
            </w:r>
          </w:p>
          <w:p w14:paraId="4171E950" w14:textId="77777777" w:rsidR="001B1411" w:rsidRPr="00DA7625" w:rsidRDefault="002648B0">
            <w:pPr>
              <w:pStyle w:val="InstructionsText"/>
            </w:pPr>
            <w:r w:rsidRPr="00DA7625">
              <w:t>A CET1 tőkemegfelelési mutató az intézmény CET1 tőkéje, a teljes kockázati kitettségérték százalékaként kifejezve.</w:t>
            </w:r>
          </w:p>
        </w:tc>
      </w:tr>
      <w:tr w:rsidR="001B1411" w:rsidRPr="00DA7625" w14:paraId="12AC9865" w14:textId="77777777" w:rsidTr="00672D2A">
        <w:tc>
          <w:tcPr>
            <w:tcW w:w="703" w:type="dxa"/>
          </w:tcPr>
          <w:p w14:paraId="76683356" w14:textId="77777777" w:rsidR="001B1411" w:rsidRPr="00DA7625" w:rsidRDefault="002648B0">
            <w:pPr>
              <w:pStyle w:val="InstructionsText"/>
            </w:pPr>
            <w:r w:rsidRPr="00DA7625">
              <w:t>020</w:t>
            </w:r>
          </w:p>
        </w:tc>
        <w:tc>
          <w:tcPr>
            <w:tcW w:w="8080" w:type="dxa"/>
          </w:tcPr>
          <w:p w14:paraId="16865CBC" w14:textId="77777777" w:rsidR="001B1411" w:rsidRPr="00DA7625" w:rsidRDefault="002648B0">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2</w:t>
            </w:r>
            <w:r w:rsidRPr="00DA7625">
              <w:rPr>
                <w:rStyle w:val="InstructionsTabelleberschrift"/>
                <w:rFonts w:ascii="Times New Roman" w:hAnsi="Times New Roman"/>
                <w:sz w:val="24"/>
              </w:rPr>
              <w:tab/>
              <w:t>A CET1 tőke többlete (+)/hiánya (–)</w:t>
            </w:r>
          </w:p>
          <w:p w14:paraId="3BA060C1" w14:textId="0AE9F4C1" w:rsidR="001B1411" w:rsidRPr="00DA7625" w:rsidRDefault="002648B0">
            <w:pPr>
              <w:pStyle w:val="InstructionsText"/>
            </w:pPr>
            <w:r w:rsidRPr="00DA7625">
              <w:t xml:space="preserve">A tétel abszolút értéken jeleníti meg a CET1 tőkének a CRR 92. cikke (1) bekezdésének a) pontjában rögzített követelményhez (4,5 %) viszonyított többletét vagy </w:t>
            </w:r>
            <w:r w:rsidRPr="00DA7625">
              <w:lastRenderedPageBreak/>
              <w:t>hiányát, vagyis nem veszi figyelembe a tőkepuffereket és a mutatóra vonatkozó átmeneti rendelkezéseket.</w:t>
            </w:r>
          </w:p>
        </w:tc>
      </w:tr>
      <w:tr w:rsidR="001B1411" w:rsidRPr="00DA7625" w14:paraId="040DF235" w14:textId="77777777" w:rsidTr="00672D2A">
        <w:tc>
          <w:tcPr>
            <w:tcW w:w="703" w:type="dxa"/>
          </w:tcPr>
          <w:p w14:paraId="025F0AB9" w14:textId="77777777" w:rsidR="001B1411" w:rsidRPr="00DA7625" w:rsidRDefault="002648B0">
            <w:pPr>
              <w:pStyle w:val="InstructionsText"/>
            </w:pPr>
            <w:r w:rsidRPr="00DA7625">
              <w:lastRenderedPageBreak/>
              <w:t>030</w:t>
            </w:r>
          </w:p>
        </w:tc>
        <w:tc>
          <w:tcPr>
            <w:tcW w:w="8080" w:type="dxa"/>
          </w:tcPr>
          <w:p w14:paraId="132B1F3F" w14:textId="77777777" w:rsidR="001B1411" w:rsidRPr="00DA7625" w:rsidRDefault="002648B0">
            <w:pPr>
              <w:pStyle w:val="InstructionsText"/>
            </w:pPr>
            <w:r w:rsidRPr="00DA7625">
              <w:rPr>
                <w:rStyle w:val="InstructionsTabelleberschrift"/>
                <w:rFonts w:ascii="Times New Roman" w:hAnsi="Times New Roman"/>
                <w:sz w:val="24"/>
              </w:rPr>
              <w:t>3</w:t>
            </w:r>
            <w:r w:rsidRPr="00DA7625">
              <w:rPr>
                <w:rStyle w:val="InstructionsTabelleberschrift"/>
                <w:rFonts w:ascii="Times New Roman" w:hAnsi="Times New Roman"/>
                <w:sz w:val="24"/>
              </w:rPr>
              <w:tab/>
              <w:t>T1 tőkemegfelelési mutató</w:t>
            </w:r>
          </w:p>
          <w:p w14:paraId="785A64AA" w14:textId="7D604D25" w:rsidR="001B1411" w:rsidRPr="00DA7625" w:rsidRDefault="00705025">
            <w:pPr>
              <w:pStyle w:val="InstructionsText"/>
            </w:pPr>
            <w:r w:rsidRPr="00DA7625">
              <w:t>A CRR 92. cikke (2) bekezdésének b) pontja</w:t>
            </w:r>
          </w:p>
          <w:p w14:paraId="3ED4C81E" w14:textId="77777777" w:rsidR="001B1411" w:rsidRPr="00DA7625" w:rsidRDefault="002648B0">
            <w:pPr>
              <w:pStyle w:val="InstructionsText"/>
            </w:pPr>
            <w:r w:rsidRPr="00DA7625">
              <w:t>A T1 tőkemegfelelési mutató az intézmény T1 tőkéje, a teljes kockázati kitettségérték százalékaként kifejezve.</w:t>
            </w:r>
          </w:p>
        </w:tc>
      </w:tr>
      <w:tr w:rsidR="001B1411" w:rsidRPr="00DA7625" w14:paraId="3A4BBE6A" w14:textId="77777777" w:rsidTr="00672D2A">
        <w:tc>
          <w:tcPr>
            <w:tcW w:w="703" w:type="dxa"/>
          </w:tcPr>
          <w:p w14:paraId="26117D6C" w14:textId="77777777" w:rsidR="001B1411" w:rsidRPr="00DA7625" w:rsidRDefault="002648B0">
            <w:pPr>
              <w:pStyle w:val="InstructionsText"/>
            </w:pPr>
            <w:r w:rsidRPr="00DA7625">
              <w:t>040</w:t>
            </w:r>
          </w:p>
        </w:tc>
        <w:tc>
          <w:tcPr>
            <w:tcW w:w="8080" w:type="dxa"/>
          </w:tcPr>
          <w:p w14:paraId="08056B7C" w14:textId="77777777" w:rsidR="001B1411" w:rsidRPr="00DA7625" w:rsidRDefault="002648B0">
            <w:pPr>
              <w:pStyle w:val="InstructionsText"/>
            </w:pPr>
            <w:r w:rsidRPr="00DA7625">
              <w:rPr>
                <w:rStyle w:val="InstructionsTabelleberschrift"/>
                <w:rFonts w:ascii="Times New Roman" w:hAnsi="Times New Roman"/>
                <w:sz w:val="24"/>
              </w:rPr>
              <w:t>4</w:t>
            </w:r>
            <w:r w:rsidRPr="00DA7625">
              <w:rPr>
                <w:rStyle w:val="InstructionsTabelleberschrift"/>
                <w:rFonts w:ascii="Times New Roman" w:hAnsi="Times New Roman"/>
                <w:sz w:val="24"/>
              </w:rPr>
              <w:tab/>
              <w:t>A T1 tőke többlete (+)/hiánya (–)</w:t>
            </w:r>
          </w:p>
          <w:p w14:paraId="52F91FF4" w14:textId="2DF3BFF3" w:rsidR="001B1411" w:rsidRPr="00DA7625" w:rsidRDefault="002648B0">
            <w:pPr>
              <w:pStyle w:val="InstructionsText"/>
            </w:pPr>
            <w:r w:rsidRPr="00DA7625">
              <w:t>A tétel abszolút értéken jeleníti meg a T1 tőkének a CRR 92. cikke (1) bekezdésének b) pontjában rögzített követelményhez (6 %) viszonyított többletét vagy hiányát, vagyis nem veszi figyelembe a tőkepuffereket és a mutatóra vonatkozó átmeneti rendelkezéseket.</w:t>
            </w:r>
          </w:p>
        </w:tc>
      </w:tr>
      <w:tr w:rsidR="001B1411" w:rsidRPr="00DA7625" w14:paraId="77B2F4BA" w14:textId="77777777" w:rsidTr="00672D2A">
        <w:tc>
          <w:tcPr>
            <w:tcW w:w="703" w:type="dxa"/>
          </w:tcPr>
          <w:p w14:paraId="06D4BC22" w14:textId="77777777" w:rsidR="001B1411" w:rsidRPr="00DA7625" w:rsidRDefault="002648B0">
            <w:pPr>
              <w:pStyle w:val="InstructionsText"/>
            </w:pPr>
            <w:r w:rsidRPr="00DA7625">
              <w:t>050</w:t>
            </w:r>
          </w:p>
        </w:tc>
        <w:tc>
          <w:tcPr>
            <w:tcW w:w="8080" w:type="dxa"/>
          </w:tcPr>
          <w:p w14:paraId="2A420CBD" w14:textId="77777777" w:rsidR="001B1411" w:rsidRPr="00DA7625" w:rsidRDefault="002648B0">
            <w:pPr>
              <w:pStyle w:val="InstructionsText"/>
            </w:pPr>
            <w:r w:rsidRPr="00DA7625">
              <w:rPr>
                <w:rStyle w:val="InstructionsTabelleberschrift"/>
                <w:rFonts w:ascii="Times New Roman" w:hAnsi="Times New Roman"/>
                <w:sz w:val="24"/>
              </w:rPr>
              <w:t>5</w:t>
            </w:r>
            <w:r w:rsidRPr="00DA7625">
              <w:rPr>
                <w:rStyle w:val="InstructionsTabelleberschrift"/>
                <w:rFonts w:ascii="Times New Roman" w:hAnsi="Times New Roman"/>
                <w:sz w:val="24"/>
              </w:rPr>
              <w:tab/>
              <w:t>Teljes tőkemegfelelési mutató</w:t>
            </w:r>
          </w:p>
          <w:p w14:paraId="42EF84D4" w14:textId="51EC642E" w:rsidR="001B1411" w:rsidRPr="00DA7625" w:rsidRDefault="00705025">
            <w:pPr>
              <w:pStyle w:val="InstructionsText"/>
            </w:pPr>
            <w:r w:rsidRPr="00DA7625">
              <w:t>A CRR 92. cikke (2) bekezdésének c) pontja</w:t>
            </w:r>
          </w:p>
          <w:p w14:paraId="79C78E81" w14:textId="77777777" w:rsidR="001B1411" w:rsidRPr="00DA7625" w:rsidRDefault="002648B0">
            <w:pPr>
              <w:pStyle w:val="InstructionsText"/>
            </w:pPr>
            <w:r w:rsidRPr="00DA7625">
              <w:t>a teljes tőkemegfelelési mutató az intézmény szavatolótőkéje, a teljes kockázati kitettségérték százalékaként kifejezve.</w:t>
            </w:r>
          </w:p>
        </w:tc>
      </w:tr>
      <w:tr w:rsidR="001B1411" w:rsidRPr="00DA7625" w14:paraId="1DECFF12" w14:textId="77777777" w:rsidTr="00672D2A">
        <w:tc>
          <w:tcPr>
            <w:tcW w:w="703" w:type="dxa"/>
          </w:tcPr>
          <w:p w14:paraId="27638C2B" w14:textId="77777777" w:rsidR="001B1411" w:rsidRPr="00DA7625" w:rsidRDefault="002648B0">
            <w:pPr>
              <w:pStyle w:val="InstructionsText"/>
            </w:pPr>
            <w:r w:rsidRPr="00DA7625">
              <w:t>060</w:t>
            </w:r>
          </w:p>
        </w:tc>
        <w:tc>
          <w:tcPr>
            <w:tcW w:w="8080" w:type="dxa"/>
          </w:tcPr>
          <w:p w14:paraId="31050631" w14:textId="77777777" w:rsidR="001B1411" w:rsidRPr="00DA7625" w:rsidRDefault="002648B0">
            <w:pPr>
              <w:pStyle w:val="InstructionsText"/>
            </w:pPr>
            <w:r w:rsidRPr="00DA7625">
              <w:rPr>
                <w:rStyle w:val="InstructionsTabelleberschrift"/>
                <w:rFonts w:ascii="Times New Roman" w:hAnsi="Times New Roman"/>
                <w:sz w:val="24"/>
              </w:rPr>
              <w:t>6</w:t>
            </w:r>
            <w:r w:rsidRPr="00DA7625">
              <w:rPr>
                <w:rStyle w:val="InstructionsTabelleberschrift"/>
                <w:rFonts w:ascii="Times New Roman" w:hAnsi="Times New Roman"/>
                <w:sz w:val="24"/>
              </w:rPr>
              <w:tab/>
              <w:t>A teljes tőke többlete (+)/hiánya (–)</w:t>
            </w:r>
          </w:p>
          <w:p w14:paraId="28CB64F6" w14:textId="52528F84" w:rsidR="001B1411" w:rsidRPr="00DA7625" w:rsidRDefault="002648B0">
            <w:pPr>
              <w:pStyle w:val="InstructionsText"/>
            </w:pPr>
            <w:r w:rsidRPr="00DA7625">
              <w:t>A tétel abszolút értéken jeleníti meg a szavatolótőkének a CRR 92. cikke (1) bekezdésének c) pontjában rögzített követelményhez (8 %) viszonyított többletét vagy hiányát, vagyis nem veszi figyelembe a tőkepuffereket és a mutatóra vonatkozó átmeneti rendelkezéseket.</w:t>
            </w:r>
          </w:p>
        </w:tc>
      </w:tr>
      <w:tr w:rsidR="001B1411" w:rsidRPr="00DA7625" w14:paraId="1940665B" w14:textId="77777777" w:rsidTr="00672D2A">
        <w:tc>
          <w:tcPr>
            <w:tcW w:w="703" w:type="dxa"/>
          </w:tcPr>
          <w:p w14:paraId="73347832" w14:textId="4458A67A" w:rsidR="001B1411" w:rsidRPr="00DA7625" w:rsidRDefault="009C083D">
            <w:pPr>
              <w:pStyle w:val="InstructionsText"/>
            </w:pPr>
            <w:r w:rsidRPr="00DA7625">
              <w:t>130</w:t>
            </w:r>
          </w:p>
        </w:tc>
        <w:tc>
          <w:tcPr>
            <w:tcW w:w="8080" w:type="dxa"/>
          </w:tcPr>
          <w:p w14:paraId="3EF41ACA" w14:textId="77777777" w:rsidR="001B1411" w:rsidRPr="00DA7625" w:rsidRDefault="009C083D">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13</w:t>
            </w:r>
            <w:r w:rsidRPr="00DA7625">
              <w:rPr>
                <w:rStyle w:val="InstructionsTabelleberschrift"/>
                <w:rFonts w:ascii="Times New Roman" w:hAnsi="Times New Roman"/>
                <w:sz w:val="24"/>
              </w:rPr>
              <w:tab/>
              <w:t>Teljes-SREP-tőkekövetelmény-mutató (TSCR-mutató)</w:t>
            </w:r>
          </w:p>
          <w:p w14:paraId="35B47E57" w14:textId="77777777" w:rsidR="001B1411" w:rsidRPr="00DA7625" w:rsidRDefault="009C083D">
            <w:pPr>
              <w:pStyle w:val="InstructionsText"/>
            </w:pPr>
            <w:r w:rsidRPr="00DA7625">
              <w:t>Az i. és ii. összege a következők szerint:</w:t>
            </w:r>
          </w:p>
          <w:p w14:paraId="685FA9F8" w14:textId="0899DD76" w:rsidR="001B1411" w:rsidRPr="00DA7625" w:rsidRDefault="009C083D">
            <w:pPr>
              <w:pStyle w:val="InstructionsText"/>
              <w:numPr>
                <w:ilvl w:val="0"/>
                <w:numId w:val="20"/>
              </w:numPr>
            </w:pPr>
            <w:r w:rsidRPr="00DA7625">
              <w:t xml:space="preserve">a CRR 92. cikke (1) bekezdésének c) pontjában meghatározott teljes tőkemegfelelési mutató (8 %); </w:t>
            </w:r>
          </w:p>
          <w:p w14:paraId="39086B2E" w14:textId="77777777" w:rsidR="001B1411" w:rsidRPr="00DA7625" w:rsidRDefault="009C083D">
            <w:pPr>
              <w:pStyle w:val="InstructionsText"/>
              <w:numPr>
                <w:ilvl w:val="0"/>
                <w:numId w:val="20"/>
              </w:numPr>
            </w:pPr>
            <w:r w:rsidRPr="00DA7625">
              <w:rPr>
                <w:i/>
              </w:rPr>
              <w:t>a felügyeleti felülvizsgálati és értékelési eljárásra vonatkozó egységes eljárásokról és módszerekről és a felügyeleti stressztesztekről szóló EBH-iránymutatásokban</w:t>
            </w:r>
            <w:r w:rsidRPr="00DA7625">
              <w:t xml:space="preserve"> (EBA SREP GL) meghatározott kritériumokkal összhangban meghatározott pótlólagos szavatolótőke-megfelelési (2. pillér szerinti követelmények – P2R) mutató.</w:t>
            </w:r>
          </w:p>
          <w:p w14:paraId="1304A69F" w14:textId="77777777" w:rsidR="001B1411" w:rsidRPr="00DA7625" w:rsidRDefault="009C083D">
            <w:pPr>
              <w:pStyle w:val="InstructionsText"/>
            </w:pPr>
            <w:r w:rsidRPr="00DA7625">
              <w:t>Ebben a tételben a teljes-SREP-tőkekövetelmény-mutatót (TSCR) kell megjeleníteni, amint azt az illetékes hatóság az intézménnyel közölte. A TSCR fogalommeghatározása az EBA SREP GL 1.2. szakaszában található.</w:t>
            </w:r>
          </w:p>
          <w:p w14:paraId="3478CC3F" w14:textId="1BE276DC" w:rsidR="001B1411" w:rsidRPr="00DA7625" w:rsidRDefault="00FF2818">
            <w:pPr>
              <w:pStyle w:val="InstructionsText"/>
              <w:rPr>
                <w:rStyle w:val="InstructionsTabelleberschrift"/>
                <w:rFonts w:ascii="Times New Roman" w:hAnsi="Times New Roman"/>
                <w:b w:val="0"/>
                <w:bCs w:val="0"/>
                <w:sz w:val="24"/>
                <w:u w:val="none"/>
              </w:rPr>
            </w:pPr>
            <w:r w:rsidRPr="00DA7625">
              <w:t xml:space="preserve">Ha az illetékes hatóság nem közölt kiegészítő szavatolótőke-követelményeket, akkor csak az i. pontot kell jelenteni. </w:t>
            </w:r>
          </w:p>
        </w:tc>
      </w:tr>
      <w:tr w:rsidR="001B1411" w:rsidRPr="00DA7625" w14:paraId="6FAA72D1" w14:textId="77777777" w:rsidTr="00672D2A">
        <w:tc>
          <w:tcPr>
            <w:tcW w:w="703" w:type="dxa"/>
          </w:tcPr>
          <w:p w14:paraId="54A27575" w14:textId="59F6A485" w:rsidR="001B1411" w:rsidRPr="00DA7625" w:rsidRDefault="009C083D">
            <w:pPr>
              <w:pStyle w:val="InstructionsText"/>
            </w:pPr>
            <w:r w:rsidRPr="00DA7625">
              <w:t>140</w:t>
            </w:r>
          </w:p>
        </w:tc>
        <w:tc>
          <w:tcPr>
            <w:tcW w:w="8080" w:type="dxa"/>
          </w:tcPr>
          <w:p w14:paraId="7780FC37" w14:textId="77777777" w:rsidR="001B1411" w:rsidRPr="00DA7625" w:rsidRDefault="009C083D">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w:t>
            </w:r>
            <w:r w:rsidRPr="00DA7625">
              <w:rPr>
                <w:rStyle w:val="InstructionsTabelleberschrift"/>
                <w:rFonts w:ascii="Times New Roman" w:hAnsi="Times New Roman"/>
                <w:sz w:val="24"/>
              </w:rPr>
              <w:tab/>
              <w:t xml:space="preserve">TSCR: SREP-CET1 tőkekövetelmény-mutató </w:t>
            </w:r>
          </w:p>
          <w:p w14:paraId="2A58CDB5" w14:textId="77777777" w:rsidR="001B1411" w:rsidRPr="00DA7625" w:rsidRDefault="009C083D">
            <w:pPr>
              <w:pStyle w:val="InstructionsText"/>
            </w:pPr>
            <w:r w:rsidRPr="00DA7625">
              <w:t>Az i. és ii. összege a következők szerint:</w:t>
            </w:r>
          </w:p>
          <w:p w14:paraId="2BD858D2" w14:textId="6C827861" w:rsidR="001B1411" w:rsidRPr="00DA7625" w:rsidRDefault="009C083D">
            <w:pPr>
              <w:pStyle w:val="InstructionsText"/>
              <w:numPr>
                <w:ilvl w:val="0"/>
                <w:numId w:val="21"/>
              </w:numPr>
            </w:pPr>
            <w:r w:rsidRPr="00DA7625">
              <w:t>a CRR 92. cikke (1) bekezdésének a) pontjában meghatározott elsődleges alapvető tőkemegfelelési mutató (4,5 %);</w:t>
            </w:r>
          </w:p>
          <w:p w14:paraId="25D42F61" w14:textId="77777777" w:rsidR="001B1411" w:rsidRPr="00DA7625" w:rsidRDefault="009C083D">
            <w:pPr>
              <w:pStyle w:val="InstructionsText"/>
              <w:numPr>
                <w:ilvl w:val="0"/>
                <w:numId w:val="21"/>
              </w:numPr>
              <w:rPr>
                <w:b/>
                <w:bCs/>
                <w:u w:val="single"/>
              </w:rPr>
            </w:pPr>
            <w:r w:rsidRPr="00DA7625">
              <w:t>a 130 sor ii. pontjában említett P2R mutató azon része, amely az illetékes hatóság által előírtak szerint CET1 tőke formájában tartandó.</w:t>
            </w:r>
          </w:p>
          <w:p w14:paraId="582A73D4" w14:textId="5D746C4E" w:rsidR="001B1411" w:rsidRPr="00DA7625" w:rsidRDefault="00FF2818">
            <w:pPr>
              <w:pStyle w:val="InstructionsText"/>
              <w:rPr>
                <w:rStyle w:val="InstructionsTabelleberschrift"/>
                <w:rFonts w:ascii="Times New Roman" w:hAnsi="Times New Roman"/>
                <w:sz w:val="24"/>
              </w:rPr>
            </w:pPr>
            <w:r w:rsidRPr="00DA7625">
              <w:lastRenderedPageBreak/>
              <w:t>Ha az illetékes hatóság nem közölt CET1 tőke formájában fenntartandó kiegészítő szavatolótőke-követelményeket, akkor csak az i. pontot kell jelenteni.</w:t>
            </w:r>
            <w:r w:rsidRPr="00DA7625">
              <w:rPr>
                <w:rStyle w:val="InstructionsTabelleberschrift"/>
                <w:rFonts w:ascii="Times New Roman" w:hAnsi="Times New Roman"/>
                <w:b w:val="0"/>
                <w:sz w:val="24"/>
              </w:rPr>
              <w:t xml:space="preserve"> </w:t>
            </w:r>
          </w:p>
        </w:tc>
      </w:tr>
      <w:tr w:rsidR="001B1411" w:rsidRPr="00DA7625" w14:paraId="04D15322" w14:textId="77777777" w:rsidTr="00672D2A">
        <w:tc>
          <w:tcPr>
            <w:tcW w:w="703" w:type="dxa"/>
          </w:tcPr>
          <w:p w14:paraId="1ACBC3FC" w14:textId="566BDEE6" w:rsidR="001B1411" w:rsidRPr="00DA7625" w:rsidRDefault="009C083D">
            <w:pPr>
              <w:pStyle w:val="InstructionsText"/>
            </w:pPr>
            <w:r w:rsidRPr="00DA7625">
              <w:lastRenderedPageBreak/>
              <w:t>150</w:t>
            </w:r>
          </w:p>
        </w:tc>
        <w:tc>
          <w:tcPr>
            <w:tcW w:w="8080" w:type="dxa"/>
          </w:tcPr>
          <w:p w14:paraId="162A63E8" w14:textId="77777777" w:rsidR="001B1411" w:rsidRPr="00DA7625" w:rsidRDefault="009C083D">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w:t>
            </w:r>
            <w:r w:rsidRPr="00DA7625">
              <w:rPr>
                <w:rStyle w:val="InstructionsTabelleberschrift"/>
                <w:rFonts w:ascii="Times New Roman" w:hAnsi="Times New Roman"/>
                <w:sz w:val="24"/>
              </w:rPr>
              <w:tab/>
              <w:t>TSCR: SREP-T1 tőkekövetelmény-mutató</w:t>
            </w:r>
          </w:p>
          <w:p w14:paraId="73476816" w14:textId="77777777" w:rsidR="001B1411" w:rsidRPr="00DA7625" w:rsidRDefault="009C083D">
            <w:pPr>
              <w:pStyle w:val="InstructionsText"/>
            </w:pPr>
            <w:r w:rsidRPr="00DA7625">
              <w:t>Az i. és ii. összege a következők szerint:</w:t>
            </w:r>
          </w:p>
          <w:p w14:paraId="157105A9" w14:textId="2519DF20" w:rsidR="001B1411" w:rsidRPr="00DA7625" w:rsidRDefault="009C083D">
            <w:pPr>
              <w:pStyle w:val="InstructionsText"/>
              <w:numPr>
                <w:ilvl w:val="0"/>
                <w:numId w:val="22"/>
              </w:numPr>
            </w:pPr>
            <w:r w:rsidRPr="00DA7625">
              <w:t>a CRR 92. cikke (1) bekezdésének b) pontjában meghatározott alapvető tőkemegfelelési mutató (6 %);</w:t>
            </w:r>
          </w:p>
          <w:p w14:paraId="2BF2ED00" w14:textId="77777777" w:rsidR="001B1411" w:rsidRPr="00DA7625" w:rsidRDefault="009C083D">
            <w:pPr>
              <w:pStyle w:val="InstructionsText"/>
              <w:numPr>
                <w:ilvl w:val="0"/>
                <w:numId w:val="22"/>
              </w:numPr>
              <w:rPr>
                <w:bCs/>
                <w:u w:val="single"/>
              </w:rPr>
            </w:pPr>
            <w:r w:rsidRPr="00DA7625">
              <w:t>a 130 sor ii. pontjában említett P2R mutató azon része, amely az illetékes hatóság által előírtak szerint alapvető tőke formájában tartandó.</w:t>
            </w:r>
          </w:p>
          <w:p w14:paraId="217AF337" w14:textId="2A82EB36" w:rsidR="001B1411" w:rsidRPr="00DA7625" w:rsidRDefault="00FF2818">
            <w:pPr>
              <w:pStyle w:val="InstructionsText"/>
              <w:rPr>
                <w:rStyle w:val="InstructionsTabelleberschrift"/>
                <w:rFonts w:ascii="Times New Roman" w:hAnsi="Times New Roman"/>
                <w:b w:val="0"/>
                <w:sz w:val="24"/>
              </w:rPr>
            </w:pPr>
            <w:r w:rsidRPr="00DA7625">
              <w:t>Ha az illetékes hatóság nem közölt T1 tőke formájában fenntartandó kiegészítő szavatolótőke-követelményeket, akkor csak az i. pontot kell jelenteni.</w:t>
            </w:r>
          </w:p>
        </w:tc>
      </w:tr>
      <w:tr w:rsidR="001B1411" w:rsidRPr="00DA7625" w14:paraId="7284D0F0" w14:textId="77777777" w:rsidTr="00672D2A">
        <w:tc>
          <w:tcPr>
            <w:tcW w:w="703" w:type="dxa"/>
          </w:tcPr>
          <w:p w14:paraId="6D6F0422" w14:textId="77777777" w:rsidR="001B1411" w:rsidRPr="00DA7625" w:rsidRDefault="009C083D">
            <w:pPr>
              <w:pStyle w:val="InstructionsText"/>
            </w:pPr>
            <w:r w:rsidRPr="00DA7625">
              <w:t>160</w:t>
            </w:r>
          </w:p>
        </w:tc>
        <w:tc>
          <w:tcPr>
            <w:tcW w:w="8080" w:type="dxa"/>
          </w:tcPr>
          <w:p w14:paraId="56FE82D0" w14:textId="77777777" w:rsidR="001B1411" w:rsidRPr="00DA7625" w:rsidRDefault="009C083D">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14</w:t>
            </w:r>
            <w:r w:rsidRPr="00DA7625">
              <w:rPr>
                <w:rStyle w:val="InstructionsTabelleberschrift"/>
                <w:rFonts w:ascii="Times New Roman" w:hAnsi="Times New Roman"/>
                <w:sz w:val="24"/>
              </w:rPr>
              <w:tab/>
              <w:t>Teljestőkekövetelmény-mutató (OCR-mutató)</w:t>
            </w:r>
          </w:p>
          <w:p w14:paraId="7CED4624" w14:textId="77777777" w:rsidR="001B1411" w:rsidRPr="00DA7625" w:rsidRDefault="009C083D">
            <w:pPr>
              <w:pStyle w:val="InstructionsText"/>
            </w:pPr>
            <w:r w:rsidRPr="00DA7625">
              <w:t>Az i. és ii. összege a következők szerint:</w:t>
            </w:r>
          </w:p>
          <w:p w14:paraId="35A8D874" w14:textId="77777777" w:rsidR="001B1411" w:rsidRPr="00DA7625" w:rsidRDefault="009C083D">
            <w:pPr>
              <w:pStyle w:val="InstructionsText"/>
              <w:numPr>
                <w:ilvl w:val="0"/>
                <w:numId w:val="23"/>
              </w:numPr>
            </w:pPr>
            <w:r w:rsidRPr="00DA7625">
              <w:t>a 130. sorban említett TSCR mutató;</w:t>
            </w:r>
          </w:p>
          <w:p w14:paraId="298499E8" w14:textId="7B863015" w:rsidR="001B1411" w:rsidRPr="00DA7625" w:rsidRDefault="009C083D">
            <w:pPr>
              <w:pStyle w:val="InstructionsText"/>
              <w:numPr>
                <w:ilvl w:val="0"/>
                <w:numId w:val="23"/>
              </w:numPr>
            </w:pPr>
            <w:r w:rsidRPr="00DA7625">
              <w:t>amennyiben jogilag alkalmazandó, a CRD 128. cikkének 6. pontjában említett kombinált pufferkövetelmény mutatója.</w:t>
            </w:r>
          </w:p>
          <w:p w14:paraId="5F1122DC" w14:textId="77777777" w:rsidR="001B1411" w:rsidRPr="00DA7625" w:rsidRDefault="009C083D">
            <w:pPr>
              <w:pStyle w:val="InstructionsText"/>
            </w:pPr>
            <w:r w:rsidRPr="00DA7625">
              <w:t>Ebben a tételben az EBA SREP GL 1.2. szakaszában meghatározott teljestőkekövetelmény-mutatót (OCR) kell megjeleníteni.</w:t>
            </w:r>
          </w:p>
          <w:p w14:paraId="2F733A00" w14:textId="65EFA20B" w:rsidR="001B1411" w:rsidRPr="00DA7625" w:rsidRDefault="00FF2818">
            <w:pPr>
              <w:pStyle w:val="InstructionsText"/>
              <w:rPr>
                <w:rStyle w:val="InstructionsTabelleberschrift"/>
                <w:rFonts w:ascii="Times New Roman" w:hAnsi="Times New Roman"/>
                <w:sz w:val="24"/>
              </w:rPr>
            </w:pPr>
            <w:r w:rsidRPr="00DA7625">
              <w:t>Ha nem alkalmazandó pufferkövetelmény, csak az i. pontot kell feltüntetni.</w:t>
            </w:r>
          </w:p>
        </w:tc>
      </w:tr>
      <w:tr w:rsidR="001B1411" w:rsidRPr="00DA7625" w14:paraId="2A2A79ED" w14:textId="77777777" w:rsidTr="00672D2A">
        <w:tc>
          <w:tcPr>
            <w:tcW w:w="703" w:type="dxa"/>
          </w:tcPr>
          <w:p w14:paraId="6C507734" w14:textId="77777777" w:rsidR="001B1411" w:rsidRPr="00DA7625" w:rsidRDefault="009C083D">
            <w:pPr>
              <w:pStyle w:val="InstructionsText"/>
            </w:pPr>
            <w:r w:rsidRPr="00DA7625">
              <w:t>170</w:t>
            </w:r>
          </w:p>
        </w:tc>
        <w:tc>
          <w:tcPr>
            <w:tcW w:w="8080" w:type="dxa"/>
          </w:tcPr>
          <w:p w14:paraId="65F9F502" w14:textId="77777777" w:rsidR="001B1411" w:rsidRPr="00DA7625" w:rsidRDefault="009C083D">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14.*</w:t>
            </w:r>
            <w:r w:rsidRPr="00DA7625">
              <w:rPr>
                <w:rStyle w:val="InstructionsTabelleberschrift"/>
                <w:rFonts w:ascii="Times New Roman" w:hAnsi="Times New Roman"/>
                <w:sz w:val="24"/>
              </w:rPr>
              <w:tab/>
              <w:t xml:space="preserve">OCR: CET1 tőkekövetelmény-mutató </w:t>
            </w:r>
          </w:p>
          <w:p w14:paraId="413935F4" w14:textId="77777777" w:rsidR="001B1411" w:rsidRPr="00DA7625" w:rsidRDefault="009C083D">
            <w:pPr>
              <w:pStyle w:val="InstructionsText"/>
            </w:pPr>
            <w:r w:rsidRPr="00DA7625">
              <w:t>Az i. és ii. összege a következők szerint:</w:t>
            </w:r>
          </w:p>
          <w:p w14:paraId="4AD79E84" w14:textId="77777777" w:rsidR="001B1411" w:rsidRPr="00DA7625" w:rsidRDefault="009C083D">
            <w:pPr>
              <w:pStyle w:val="InstructionsText"/>
              <w:numPr>
                <w:ilvl w:val="0"/>
                <w:numId w:val="24"/>
              </w:numPr>
            </w:pPr>
            <w:r w:rsidRPr="00DA7625">
              <w:t>a 140. sorban említett CET1 tőkéből képzendő TSCR mutató;</w:t>
            </w:r>
          </w:p>
          <w:p w14:paraId="4CE915BA" w14:textId="3528691F" w:rsidR="001B1411" w:rsidRPr="00DA7625" w:rsidRDefault="009C083D">
            <w:pPr>
              <w:pStyle w:val="InstructionsText"/>
              <w:numPr>
                <w:ilvl w:val="0"/>
                <w:numId w:val="24"/>
              </w:numPr>
              <w:rPr>
                <w:bCs/>
                <w:u w:val="single"/>
              </w:rPr>
            </w:pPr>
            <w:r w:rsidRPr="00DA7625">
              <w:t>amennyiben jogilag alkalmazandó, a CRD 128. cikkének 6. pontjában említett kombinált pufferkövetelmény mutatója.</w:t>
            </w:r>
          </w:p>
          <w:p w14:paraId="24F3705E" w14:textId="6A559E07" w:rsidR="001B1411" w:rsidRPr="00DA7625" w:rsidRDefault="00FF2818">
            <w:pPr>
              <w:pStyle w:val="InstructionsText"/>
              <w:rPr>
                <w:rStyle w:val="InstructionsTabelleberschrift"/>
                <w:rFonts w:ascii="Times New Roman" w:hAnsi="Times New Roman"/>
                <w:b w:val="0"/>
                <w:sz w:val="24"/>
              </w:rPr>
            </w:pPr>
            <w:r w:rsidRPr="00DA7625">
              <w:t>Ha nem alkalmazandó pufferkövetelmény, csak az i. pontot kell feltüntetni.</w:t>
            </w:r>
          </w:p>
        </w:tc>
      </w:tr>
      <w:tr w:rsidR="001B1411" w:rsidRPr="00DA7625" w14:paraId="07333B3A" w14:textId="77777777" w:rsidTr="00672D2A">
        <w:tc>
          <w:tcPr>
            <w:tcW w:w="703" w:type="dxa"/>
          </w:tcPr>
          <w:p w14:paraId="3A944048" w14:textId="77777777" w:rsidR="001B1411" w:rsidRPr="00DA7625" w:rsidRDefault="009C083D">
            <w:pPr>
              <w:pStyle w:val="InstructionsText"/>
            </w:pPr>
            <w:r w:rsidRPr="00DA7625">
              <w:t>180</w:t>
            </w:r>
          </w:p>
        </w:tc>
        <w:tc>
          <w:tcPr>
            <w:tcW w:w="8080" w:type="dxa"/>
          </w:tcPr>
          <w:p w14:paraId="6472D30F" w14:textId="77777777" w:rsidR="001B1411" w:rsidRPr="00DA7625" w:rsidRDefault="009C083D">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14.**</w:t>
            </w:r>
            <w:r w:rsidRPr="00DA7625">
              <w:rPr>
                <w:rStyle w:val="InstructionsTabelleberschrift"/>
                <w:rFonts w:ascii="Times New Roman" w:hAnsi="Times New Roman"/>
                <w:sz w:val="24"/>
              </w:rPr>
              <w:tab/>
              <w:t>OCR: T1 tőkekövetelmény-mutató</w:t>
            </w:r>
          </w:p>
          <w:p w14:paraId="2417DC8A" w14:textId="77777777" w:rsidR="001B1411" w:rsidRPr="00DA7625" w:rsidRDefault="009C083D">
            <w:pPr>
              <w:pStyle w:val="InstructionsText"/>
            </w:pPr>
            <w:r w:rsidRPr="00DA7625">
              <w:t>Az i. és ii. összege a következők szerint:</w:t>
            </w:r>
          </w:p>
          <w:p w14:paraId="427457CD" w14:textId="77777777" w:rsidR="001B1411" w:rsidRPr="00DA7625" w:rsidRDefault="009C083D">
            <w:pPr>
              <w:pStyle w:val="InstructionsText"/>
              <w:numPr>
                <w:ilvl w:val="0"/>
                <w:numId w:val="25"/>
              </w:numPr>
            </w:pPr>
            <w:r w:rsidRPr="00DA7625">
              <w:t>a 150. sorban említett alapvető tőkéből képzendő TSCR mutató;</w:t>
            </w:r>
          </w:p>
          <w:p w14:paraId="045919C2" w14:textId="719C7597" w:rsidR="001B1411" w:rsidRPr="00DA7625" w:rsidRDefault="009C083D">
            <w:pPr>
              <w:pStyle w:val="InstructionsText"/>
              <w:numPr>
                <w:ilvl w:val="0"/>
                <w:numId w:val="25"/>
              </w:numPr>
              <w:rPr>
                <w:bCs/>
                <w:u w:val="single"/>
              </w:rPr>
            </w:pPr>
            <w:r w:rsidRPr="00DA7625">
              <w:t>amennyiben jogilag alkalmazandó, a CRD 128. cikkének 6. pontjában említett kombinált pufferkövetelmény mutatója.</w:t>
            </w:r>
          </w:p>
          <w:p w14:paraId="693DE97C" w14:textId="1A581626" w:rsidR="001B1411" w:rsidRPr="00DA7625" w:rsidRDefault="00FF2818">
            <w:pPr>
              <w:pStyle w:val="InstructionsText"/>
              <w:rPr>
                <w:rStyle w:val="InstructionsTabelleberschrift"/>
                <w:rFonts w:ascii="Times New Roman" w:hAnsi="Times New Roman"/>
                <w:b w:val="0"/>
                <w:sz w:val="24"/>
              </w:rPr>
            </w:pPr>
            <w:r w:rsidRPr="00DA7625">
              <w:t>Ha nem alkalmazandó pufferkövetelmény, csak az i. pontot kell feltüntetni.</w:t>
            </w:r>
          </w:p>
        </w:tc>
      </w:tr>
      <w:tr w:rsidR="001B1411" w:rsidRPr="00DA7625" w14:paraId="6FE97CA7" w14:textId="77777777" w:rsidTr="00672D2A">
        <w:tc>
          <w:tcPr>
            <w:tcW w:w="703" w:type="dxa"/>
          </w:tcPr>
          <w:p w14:paraId="5373D93D" w14:textId="77777777" w:rsidR="001B1411" w:rsidRPr="00DA7625" w:rsidRDefault="009C083D">
            <w:pPr>
              <w:pStyle w:val="InstructionsText"/>
            </w:pPr>
            <w:r w:rsidRPr="00DA7625">
              <w:t>190</w:t>
            </w:r>
          </w:p>
        </w:tc>
        <w:tc>
          <w:tcPr>
            <w:tcW w:w="8080" w:type="dxa"/>
          </w:tcPr>
          <w:p w14:paraId="1E61E9B4" w14:textId="77777777" w:rsidR="001B1411" w:rsidRPr="00DA7625" w:rsidRDefault="009C083D">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15</w:t>
            </w:r>
            <w:r w:rsidRPr="00DA7625">
              <w:rPr>
                <w:rStyle w:val="InstructionsTabelleberschrift"/>
                <w:rFonts w:ascii="Times New Roman" w:hAnsi="Times New Roman"/>
                <w:sz w:val="24"/>
              </w:rPr>
              <w:tab/>
              <w:t>OCR és 2. pillér szerinti tőke-iránymutatás (P2G) tőkekövetelmény-mutató</w:t>
            </w:r>
          </w:p>
          <w:p w14:paraId="2D4F717D" w14:textId="77777777" w:rsidR="001B1411" w:rsidRPr="00DA7625" w:rsidRDefault="009C083D">
            <w:pPr>
              <w:pStyle w:val="InstructionsText"/>
            </w:pPr>
            <w:r w:rsidRPr="00DA7625">
              <w:t>Az i. és ii. összege a következők szerint:</w:t>
            </w:r>
          </w:p>
          <w:p w14:paraId="5BC18CBE" w14:textId="77777777" w:rsidR="001B1411" w:rsidRPr="00DA7625" w:rsidRDefault="009C083D">
            <w:pPr>
              <w:pStyle w:val="InstructionsText"/>
              <w:numPr>
                <w:ilvl w:val="0"/>
                <w:numId w:val="26"/>
              </w:numPr>
            </w:pPr>
            <w:r w:rsidRPr="00DA7625">
              <w:t>a 160. sorban említett OCR mutató;</w:t>
            </w:r>
          </w:p>
          <w:p w14:paraId="2B41480A" w14:textId="77777777" w:rsidR="001B1411" w:rsidRPr="00DA7625" w:rsidRDefault="009C083D">
            <w:pPr>
              <w:pStyle w:val="InstructionsText"/>
              <w:numPr>
                <w:ilvl w:val="0"/>
                <w:numId w:val="26"/>
              </w:numPr>
              <w:rPr>
                <w:bCs/>
                <w:u w:val="single"/>
              </w:rPr>
            </w:pPr>
            <w:r w:rsidRPr="00DA7625">
              <w:t>ahol alkalmazandó, az EBA SREP GL-ben meghatározott 2. pillér szerinti tőke-iránymutatás (P2G). A P2G-t csak akkor kell feltüntetni, ha azt az illetékes hatóság közli az intézménnyel.</w:t>
            </w:r>
          </w:p>
          <w:p w14:paraId="02757A82" w14:textId="6E78CDA7" w:rsidR="001B1411" w:rsidRPr="00DA7625" w:rsidRDefault="00FF2818">
            <w:pPr>
              <w:pStyle w:val="InstructionsText"/>
              <w:rPr>
                <w:rStyle w:val="InstructionsTabelleberschrift"/>
                <w:rFonts w:ascii="Times New Roman" w:hAnsi="Times New Roman"/>
                <w:b w:val="0"/>
                <w:sz w:val="24"/>
              </w:rPr>
            </w:pPr>
            <w:r w:rsidRPr="00DA7625">
              <w:lastRenderedPageBreak/>
              <w:t xml:space="preserve">Ha az illetékes hatóság nem közölt ilyen iránymutatást, akkor csak az i. pontot kell jelenteni. </w:t>
            </w:r>
            <w:r w:rsidRPr="00DA7625">
              <w:rPr>
                <w:rStyle w:val="InstructionsTabelleberschrift"/>
                <w:rFonts w:ascii="Times New Roman" w:hAnsi="Times New Roman"/>
                <w:b w:val="0"/>
                <w:sz w:val="24"/>
              </w:rPr>
              <w:t xml:space="preserve"> </w:t>
            </w:r>
          </w:p>
        </w:tc>
      </w:tr>
      <w:tr w:rsidR="001B1411" w:rsidRPr="00DA7625" w14:paraId="112A24E1" w14:textId="77777777" w:rsidTr="00672D2A">
        <w:tc>
          <w:tcPr>
            <w:tcW w:w="703" w:type="dxa"/>
          </w:tcPr>
          <w:p w14:paraId="6B60120C" w14:textId="77777777" w:rsidR="001B1411" w:rsidRPr="00DA7625" w:rsidRDefault="009C083D">
            <w:pPr>
              <w:pStyle w:val="InstructionsText"/>
            </w:pPr>
            <w:r w:rsidRPr="00DA7625">
              <w:lastRenderedPageBreak/>
              <w:t>200</w:t>
            </w:r>
          </w:p>
        </w:tc>
        <w:tc>
          <w:tcPr>
            <w:tcW w:w="8080" w:type="dxa"/>
          </w:tcPr>
          <w:p w14:paraId="5FA13F2F" w14:textId="77777777" w:rsidR="001B1411" w:rsidRPr="00DA7625" w:rsidRDefault="009C083D">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15.*</w:t>
            </w:r>
            <w:r w:rsidRPr="00DA7625">
              <w:rPr>
                <w:rStyle w:val="InstructionsTabelleberschrift"/>
                <w:rFonts w:ascii="Times New Roman" w:hAnsi="Times New Roman"/>
                <w:sz w:val="24"/>
              </w:rPr>
              <w:tab/>
              <w:t xml:space="preserve">OCR és P2G: CET1 tőkekövetelmény-mutató </w:t>
            </w:r>
          </w:p>
          <w:p w14:paraId="4801CC69" w14:textId="77777777" w:rsidR="001B1411" w:rsidRPr="00DA7625" w:rsidRDefault="009C083D">
            <w:pPr>
              <w:pStyle w:val="InstructionsText"/>
            </w:pPr>
            <w:r w:rsidRPr="00DA7625">
              <w:t>Az i. és ii. összege a következők szerint:</w:t>
            </w:r>
          </w:p>
          <w:p w14:paraId="080BA5ED" w14:textId="77777777" w:rsidR="001B1411" w:rsidRPr="00DA7625" w:rsidRDefault="009C083D">
            <w:pPr>
              <w:pStyle w:val="InstructionsText"/>
              <w:numPr>
                <w:ilvl w:val="0"/>
                <w:numId w:val="27"/>
              </w:numPr>
            </w:pPr>
            <w:r w:rsidRPr="00DA7625">
              <w:t>a 170. sorban említett CET1 tőkéből képzendő OCR mutató;</w:t>
            </w:r>
          </w:p>
          <w:p w14:paraId="41E9170A" w14:textId="77777777" w:rsidR="001B1411" w:rsidRPr="00DA7625" w:rsidRDefault="009C083D">
            <w:pPr>
              <w:pStyle w:val="InstructionsText"/>
              <w:numPr>
                <w:ilvl w:val="0"/>
                <w:numId w:val="27"/>
              </w:numPr>
              <w:rPr>
                <w:bCs/>
                <w:u w:val="single"/>
              </w:rPr>
            </w:pPr>
            <w:r w:rsidRPr="00DA7625">
              <w:t>ahol alkalmazandó, a 190. sor ii. pontjában említett P2G azon része, amely az illetékes hatóság által előírtak szerint CET1 tőke formájában tartandó. A P2G-t csak akkor kell feltüntetni, ha azt az illetékes hatóság közli az intézménnyel.</w:t>
            </w:r>
          </w:p>
          <w:p w14:paraId="2625BF57" w14:textId="0E023328" w:rsidR="001B1411" w:rsidRPr="00DA7625" w:rsidRDefault="00FF2818">
            <w:pPr>
              <w:pStyle w:val="InstructionsText"/>
              <w:rPr>
                <w:rStyle w:val="InstructionsTabelleberschrift"/>
                <w:rFonts w:ascii="Times New Roman" w:hAnsi="Times New Roman"/>
                <w:b w:val="0"/>
                <w:sz w:val="24"/>
              </w:rPr>
            </w:pPr>
            <w:r w:rsidRPr="00DA7625">
              <w:t>Ha az illetékes hatóság nem közölt ilyen iránymutatást, akkor csak az i. pontot kell jelenteni.</w:t>
            </w:r>
          </w:p>
        </w:tc>
      </w:tr>
      <w:tr w:rsidR="001B1411" w:rsidRPr="00DA7625" w14:paraId="6DB68548" w14:textId="77777777" w:rsidTr="00672D2A">
        <w:tc>
          <w:tcPr>
            <w:tcW w:w="703" w:type="dxa"/>
          </w:tcPr>
          <w:p w14:paraId="18D58F07" w14:textId="77777777" w:rsidR="001B1411" w:rsidRPr="00DA7625" w:rsidRDefault="009C083D">
            <w:pPr>
              <w:pStyle w:val="InstructionsText"/>
            </w:pPr>
            <w:r w:rsidRPr="00DA7625">
              <w:t>210</w:t>
            </w:r>
          </w:p>
        </w:tc>
        <w:tc>
          <w:tcPr>
            <w:tcW w:w="8080" w:type="dxa"/>
          </w:tcPr>
          <w:p w14:paraId="53DCB75D" w14:textId="77777777" w:rsidR="001B1411" w:rsidRPr="00DA7625" w:rsidRDefault="009C083D">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15.**</w:t>
            </w:r>
            <w:r w:rsidRPr="00DA7625">
              <w:rPr>
                <w:rStyle w:val="InstructionsTabelleberschrift"/>
                <w:rFonts w:ascii="Times New Roman" w:hAnsi="Times New Roman"/>
                <w:sz w:val="24"/>
              </w:rPr>
              <w:tab/>
              <w:t xml:space="preserve">OCR és P2G: T1 tőkekövetelmény-mutató </w:t>
            </w:r>
          </w:p>
          <w:p w14:paraId="557350FD" w14:textId="77777777" w:rsidR="001B1411" w:rsidRPr="00DA7625" w:rsidRDefault="009C083D">
            <w:pPr>
              <w:pStyle w:val="InstructionsText"/>
            </w:pPr>
            <w:r w:rsidRPr="00DA7625">
              <w:t>Az i. és ii. összege a következők szerint:</w:t>
            </w:r>
          </w:p>
          <w:p w14:paraId="43F6CA75" w14:textId="77777777" w:rsidR="001B1411" w:rsidRPr="00DA7625" w:rsidRDefault="009C083D">
            <w:pPr>
              <w:pStyle w:val="InstructionsText"/>
              <w:numPr>
                <w:ilvl w:val="0"/>
                <w:numId w:val="28"/>
              </w:numPr>
            </w:pPr>
            <w:r w:rsidRPr="00DA7625">
              <w:t>a 180. sorban említett alapvető tőkéből képzendő OCR mutató;</w:t>
            </w:r>
          </w:p>
          <w:p w14:paraId="6DC1CE75" w14:textId="77777777" w:rsidR="001B1411" w:rsidRPr="00DA7625" w:rsidRDefault="009C083D">
            <w:pPr>
              <w:pStyle w:val="InstructionsText"/>
              <w:numPr>
                <w:ilvl w:val="0"/>
                <w:numId w:val="28"/>
              </w:numPr>
            </w:pPr>
            <w:r w:rsidRPr="00DA7625">
              <w:t>ahol alkalmazandó, a 190. sor ii. pontjában említett P2G azon része, amely az illetékes hatóság által előírtak szerint alapvető tőke formájában tartandó. A P2G-t csak akkor kell feltüntetni, ha azt az illetékes hatóság közli az intézménnyel.</w:t>
            </w:r>
          </w:p>
          <w:p w14:paraId="3F1A442F" w14:textId="4F4DB231" w:rsidR="001B1411" w:rsidRPr="00DA7625" w:rsidRDefault="00FF2818">
            <w:pPr>
              <w:pStyle w:val="InstructionsText"/>
              <w:rPr>
                <w:rStyle w:val="InstructionsTabelleberschrift"/>
                <w:rFonts w:ascii="Times New Roman" w:hAnsi="Times New Roman"/>
                <w:b w:val="0"/>
                <w:bCs w:val="0"/>
                <w:sz w:val="24"/>
                <w:u w:val="none"/>
              </w:rPr>
            </w:pPr>
            <w:r w:rsidRPr="00DA7625">
              <w:t>Ha az illetékes hatóság nem közölt ilyen iránymutatást, akkor csak az i. pontot kell jelenteni.</w:t>
            </w:r>
            <w:r w:rsidRPr="00DA7625">
              <w:rPr>
                <w:rStyle w:val="InstructionsTabelleberschrift"/>
                <w:rFonts w:ascii="Times New Roman" w:hAnsi="Times New Roman"/>
                <w:b w:val="0"/>
                <w:sz w:val="24"/>
              </w:rPr>
              <w:t xml:space="preserve"> </w:t>
            </w:r>
          </w:p>
        </w:tc>
      </w:tr>
    </w:tbl>
    <w:p w14:paraId="0E23FC91" w14:textId="77777777" w:rsidR="001B1411" w:rsidRPr="00DA7625" w:rsidRDefault="001B1411">
      <w:pPr>
        <w:pStyle w:val="InstructionsText"/>
      </w:pPr>
    </w:p>
    <w:p w14:paraId="159CFF40"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16" w:name="_Toc31018762"/>
      <w:r w:rsidRPr="00DA7625">
        <w:rPr>
          <w:rFonts w:ascii="Times New Roman" w:hAnsi="Times New Roman"/>
          <w:sz w:val="24"/>
          <w:u w:val="none"/>
        </w:rPr>
        <w:t>1.5.</w:t>
      </w:r>
      <w:r w:rsidRPr="00DA7625">
        <w:rPr>
          <w:rFonts w:ascii="Times New Roman" w:hAnsi="Times New Roman"/>
          <w:sz w:val="24"/>
          <w:u w:val="none"/>
        </w:rPr>
        <w:tab/>
      </w:r>
      <w:r w:rsidRPr="00DA7625">
        <w:rPr>
          <w:rFonts w:ascii="Times New Roman" w:hAnsi="Times New Roman"/>
          <w:sz w:val="24"/>
        </w:rPr>
        <w:t>C 04.00 – TÁJÉKOZTATÓ ADATOK (CA4)</w:t>
      </w:r>
      <w:bookmarkEnd w:id="16"/>
      <w:r w:rsidRPr="00DA7625">
        <w:rPr>
          <w:rFonts w:ascii="Times New Roman" w:hAnsi="Times New Roman"/>
          <w:sz w:val="24"/>
        </w:rPr>
        <w:t xml:space="preserve"> </w:t>
      </w:r>
    </w:p>
    <w:p w14:paraId="42F8F30C"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17" w:name="_Toc31018763"/>
      <w:r w:rsidRPr="00DA7625">
        <w:rPr>
          <w:rFonts w:ascii="Times New Roman" w:hAnsi="Times New Roman"/>
          <w:sz w:val="24"/>
          <w:u w:val="none"/>
        </w:rPr>
        <w:t>1.5.1.</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17"/>
    </w:p>
    <w:p w14:paraId="6390E10F" w14:textId="77777777" w:rsidR="001B1411" w:rsidRPr="00DA7625" w:rsidRDefault="001B1411">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5"/>
        <w:gridCol w:w="7048"/>
      </w:tblGrid>
      <w:tr w:rsidR="001B1411" w:rsidRPr="00DA7625" w14:paraId="313B6EA1" w14:textId="77777777" w:rsidTr="00672D2A">
        <w:tc>
          <w:tcPr>
            <w:tcW w:w="8749" w:type="dxa"/>
            <w:gridSpan w:val="2"/>
            <w:shd w:val="clear" w:color="auto" w:fill="D9D9D9"/>
          </w:tcPr>
          <w:p w14:paraId="4816E426" w14:textId="77777777" w:rsidR="001B1411" w:rsidRPr="00DA7625" w:rsidRDefault="002648B0">
            <w:pPr>
              <w:pStyle w:val="InstructionsText"/>
            </w:pPr>
            <w:r w:rsidRPr="00DA7625">
              <w:t>Sor</w:t>
            </w:r>
          </w:p>
        </w:tc>
      </w:tr>
      <w:tr w:rsidR="001B1411" w:rsidRPr="00DA7625" w14:paraId="22110935" w14:textId="77777777" w:rsidTr="00672D2A">
        <w:tc>
          <w:tcPr>
            <w:tcW w:w="1506" w:type="dxa"/>
          </w:tcPr>
          <w:p w14:paraId="500FF4BF" w14:textId="77777777" w:rsidR="001B1411" w:rsidRPr="00DA7625" w:rsidRDefault="002648B0">
            <w:pPr>
              <w:pStyle w:val="InstructionsText"/>
            </w:pPr>
            <w:r w:rsidRPr="00DA7625">
              <w:t>010</w:t>
            </w:r>
          </w:p>
        </w:tc>
        <w:tc>
          <w:tcPr>
            <w:tcW w:w="7243" w:type="dxa"/>
          </w:tcPr>
          <w:p w14:paraId="0F2D308F" w14:textId="77777777" w:rsidR="001B1411" w:rsidRPr="00DA7625" w:rsidRDefault="00C66473">
            <w:pPr>
              <w:pStyle w:val="InstructionsText"/>
            </w:pPr>
            <w:r w:rsidRPr="00DA7625">
              <w:rPr>
                <w:rStyle w:val="InstructionsTabelleberschrift"/>
                <w:rFonts w:ascii="Times New Roman" w:hAnsi="Times New Roman"/>
                <w:sz w:val="24"/>
              </w:rPr>
              <w:t>1.</w:t>
            </w:r>
            <w:r w:rsidRPr="00DA7625">
              <w:rPr>
                <w:rStyle w:val="InstructionsTabelleberschrift"/>
                <w:rFonts w:ascii="Times New Roman" w:hAnsi="Times New Roman"/>
                <w:sz w:val="24"/>
              </w:rPr>
              <w:tab/>
              <w:t>Halasztott adókövetelések összesen</w:t>
            </w:r>
          </w:p>
          <w:p w14:paraId="53ACAA60" w14:textId="72B9D86A" w:rsidR="001B1411" w:rsidRPr="00DA7625" w:rsidRDefault="002648B0">
            <w:pPr>
              <w:pStyle w:val="InstructionsText"/>
            </w:pPr>
            <w:r w:rsidRPr="00DA7625">
              <w:t>Az e tételben megadott érték megegyezik a legújabb ellenőrzött/hitelesített számviteli mérlegben szereplő összeggel.</w:t>
            </w:r>
          </w:p>
        </w:tc>
      </w:tr>
      <w:tr w:rsidR="001B1411" w:rsidRPr="00DA7625" w14:paraId="14E6DBA6" w14:textId="77777777" w:rsidTr="00672D2A">
        <w:tc>
          <w:tcPr>
            <w:tcW w:w="1506" w:type="dxa"/>
          </w:tcPr>
          <w:p w14:paraId="029AF20D" w14:textId="77777777" w:rsidR="001B1411" w:rsidRPr="00DA7625" w:rsidRDefault="002648B0">
            <w:pPr>
              <w:pStyle w:val="InstructionsText"/>
            </w:pPr>
            <w:r w:rsidRPr="00DA7625">
              <w:t>020</w:t>
            </w:r>
          </w:p>
        </w:tc>
        <w:tc>
          <w:tcPr>
            <w:tcW w:w="7243" w:type="dxa"/>
          </w:tcPr>
          <w:p w14:paraId="0D448E41" w14:textId="77777777" w:rsidR="001B1411" w:rsidRPr="00DA7625" w:rsidRDefault="002648B0">
            <w:pPr>
              <w:pStyle w:val="InstructionsText"/>
            </w:pPr>
            <w:r w:rsidRPr="00DA7625">
              <w:rPr>
                <w:rStyle w:val="InstructionsTabelleberschrift"/>
                <w:rFonts w:ascii="Times New Roman" w:hAnsi="Times New Roman"/>
                <w:sz w:val="24"/>
              </w:rPr>
              <w:t>1.1.</w:t>
            </w:r>
            <w:r w:rsidRPr="00DA7625">
              <w:rPr>
                <w:rStyle w:val="InstructionsTabelleberschrift"/>
                <w:rFonts w:ascii="Times New Roman" w:hAnsi="Times New Roman"/>
                <w:sz w:val="24"/>
              </w:rPr>
              <w:tab/>
              <w:t>Nem a jövőbeli nyereségtől függően érvényesíthető halasztott adókövetelések</w:t>
            </w:r>
          </w:p>
          <w:p w14:paraId="1A120991" w14:textId="2E724B6B" w:rsidR="001B1411" w:rsidRPr="00DA7625" w:rsidRDefault="002648B0">
            <w:pPr>
              <w:pStyle w:val="InstructionsText"/>
            </w:pPr>
            <w:r w:rsidRPr="00DA7625">
              <w:t>A CRR 39. cikkének (2) bekezdése</w:t>
            </w:r>
          </w:p>
          <w:p w14:paraId="4105C1C1" w14:textId="77777777" w:rsidR="001B1411" w:rsidRPr="00DA7625" w:rsidRDefault="002648B0">
            <w:pPr>
              <w:pStyle w:val="InstructionsText"/>
            </w:pPr>
            <w:r w:rsidRPr="00DA7625">
              <w:t>Nem a jövőbeli nyereségtől függően érvényesíthető halasztott adókövetelések, amelyekre kockázati súlyt kell alkalmazni.</w:t>
            </w:r>
          </w:p>
        </w:tc>
      </w:tr>
      <w:tr w:rsidR="001B1411" w:rsidRPr="00DA7625" w14:paraId="53A2C3B9" w14:textId="77777777" w:rsidTr="00672D2A">
        <w:tc>
          <w:tcPr>
            <w:tcW w:w="1506" w:type="dxa"/>
          </w:tcPr>
          <w:p w14:paraId="778538E2" w14:textId="77777777" w:rsidR="001B1411" w:rsidRPr="00DA7625" w:rsidRDefault="002648B0">
            <w:pPr>
              <w:pStyle w:val="InstructionsText"/>
            </w:pPr>
            <w:r w:rsidRPr="00DA7625">
              <w:t>030</w:t>
            </w:r>
          </w:p>
        </w:tc>
        <w:tc>
          <w:tcPr>
            <w:tcW w:w="7243" w:type="dxa"/>
          </w:tcPr>
          <w:p w14:paraId="4CE41E2D" w14:textId="77777777" w:rsidR="001B1411" w:rsidRPr="00DA7625" w:rsidRDefault="002648B0">
            <w:pPr>
              <w:pStyle w:val="InstructionsText"/>
            </w:pPr>
            <w:r w:rsidRPr="00DA7625">
              <w:rPr>
                <w:rStyle w:val="InstructionsTabelleberschrift"/>
                <w:rFonts w:ascii="Times New Roman" w:hAnsi="Times New Roman"/>
                <w:sz w:val="24"/>
              </w:rPr>
              <w:t>1.2</w:t>
            </w:r>
            <w:r w:rsidRPr="00DA7625">
              <w:rPr>
                <w:rStyle w:val="InstructionsTabelleberschrift"/>
                <w:rFonts w:ascii="Times New Roman" w:hAnsi="Times New Roman"/>
                <w:sz w:val="24"/>
              </w:rPr>
              <w:tab/>
              <w:t>Jövőbeli nyereségtől függően érvényesíthető, nem átmeneti különbözetből eredő halasztott adókövetelések</w:t>
            </w:r>
          </w:p>
          <w:p w14:paraId="666689B9" w14:textId="584FCF22" w:rsidR="001B1411" w:rsidRPr="00DA7625" w:rsidRDefault="0014657C">
            <w:pPr>
              <w:pStyle w:val="InstructionsText"/>
            </w:pPr>
            <w:r w:rsidRPr="00DA7625">
              <w:t>A CRR 36. cikke (1) bekezdésének c) pontja, valamint 38. cikke</w:t>
            </w:r>
          </w:p>
          <w:p w14:paraId="06BE7532" w14:textId="77777777" w:rsidR="001B1411" w:rsidRPr="00DA7625" w:rsidRDefault="002648B0">
            <w:pPr>
              <w:pStyle w:val="InstructionsText"/>
            </w:pPr>
            <w:r w:rsidRPr="00DA7625">
              <w:lastRenderedPageBreak/>
              <w:t>Jövőbeli nyereségtől függően érvényesíthető halasztott adókövetelések, amelyek nem átmeneti különbözetből erednek, így küszöbérték nem vonatkozik rájuk, vagyis a CET1 tőkéből teljes összegben levonandók.</w:t>
            </w:r>
          </w:p>
        </w:tc>
      </w:tr>
      <w:tr w:rsidR="001B1411" w:rsidRPr="00DA7625" w14:paraId="50B75D93" w14:textId="77777777" w:rsidTr="00672D2A">
        <w:tc>
          <w:tcPr>
            <w:tcW w:w="1506" w:type="dxa"/>
          </w:tcPr>
          <w:p w14:paraId="263B71C4" w14:textId="77777777" w:rsidR="001B1411" w:rsidRPr="00DA7625" w:rsidRDefault="002648B0">
            <w:pPr>
              <w:pStyle w:val="InstructionsText"/>
            </w:pPr>
            <w:r w:rsidRPr="00DA7625">
              <w:lastRenderedPageBreak/>
              <w:t>040</w:t>
            </w:r>
          </w:p>
        </w:tc>
        <w:tc>
          <w:tcPr>
            <w:tcW w:w="7243" w:type="dxa"/>
          </w:tcPr>
          <w:p w14:paraId="518832B6" w14:textId="77777777" w:rsidR="001B1411" w:rsidRPr="00DA7625" w:rsidRDefault="002648B0">
            <w:pPr>
              <w:pStyle w:val="InstructionsText"/>
            </w:pPr>
            <w:r w:rsidRPr="00DA7625">
              <w:rPr>
                <w:rStyle w:val="InstructionsTabelleberschrift"/>
                <w:rFonts w:ascii="Times New Roman" w:hAnsi="Times New Roman"/>
                <w:sz w:val="24"/>
              </w:rPr>
              <w:t>1.3</w:t>
            </w:r>
            <w:r w:rsidRPr="00DA7625">
              <w:rPr>
                <w:rStyle w:val="InstructionsTabelleberschrift"/>
                <w:rFonts w:ascii="Times New Roman" w:hAnsi="Times New Roman"/>
                <w:sz w:val="24"/>
              </w:rPr>
              <w:tab/>
              <w:t>Jövőbeli nyereségtől függően érvényesíthető, átmeneti különbözetből eredő halasztott adókövetelések</w:t>
            </w:r>
          </w:p>
          <w:p w14:paraId="710E4708" w14:textId="08191F9B" w:rsidR="001B1411" w:rsidRPr="00DA7625" w:rsidRDefault="0014657C">
            <w:pPr>
              <w:pStyle w:val="InstructionsText"/>
            </w:pPr>
            <w:r w:rsidRPr="00DA7625">
              <w:t>A CRR 36. cikke (1) bekezdésének c) pontja, 38. cikke és 48. cikke (1) bekezdésének a) pontja</w:t>
            </w:r>
          </w:p>
          <w:p w14:paraId="4BC7F2B8" w14:textId="46DE428B" w:rsidR="001B1411" w:rsidRPr="00DA7625" w:rsidRDefault="002648B0">
            <w:pPr>
              <w:pStyle w:val="InstructionsText"/>
            </w:pPr>
            <w:r w:rsidRPr="00DA7625">
              <w:t>Jövőbeli nyereségtől függően érvényesíthető halasztott adókövetelések, amelyek átmeneti különbözetből erednek, így a CET1 tőkéből való levonásukkor a CRR 48. cikkében rögzített 10 %, illetve 17,65 %-os küszöböt kell alkalmazni.</w:t>
            </w:r>
          </w:p>
        </w:tc>
      </w:tr>
      <w:tr w:rsidR="001B1411" w:rsidRPr="00DA7625" w14:paraId="410FE284" w14:textId="77777777" w:rsidTr="00672D2A">
        <w:tc>
          <w:tcPr>
            <w:tcW w:w="1506" w:type="dxa"/>
          </w:tcPr>
          <w:p w14:paraId="258DBD5A" w14:textId="77777777" w:rsidR="001B1411" w:rsidRPr="00DA7625" w:rsidRDefault="002648B0">
            <w:pPr>
              <w:pStyle w:val="InstructionsText"/>
            </w:pPr>
            <w:r w:rsidRPr="00DA7625">
              <w:t>050</w:t>
            </w:r>
          </w:p>
        </w:tc>
        <w:tc>
          <w:tcPr>
            <w:tcW w:w="7243" w:type="dxa"/>
          </w:tcPr>
          <w:p w14:paraId="49A5DD38" w14:textId="77777777" w:rsidR="001B1411" w:rsidRPr="00DA7625" w:rsidRDefault="002648B0">
            <w:pPr>
              <w:pStyle w:val="InstructionsText"/>
            </w:pPr>
            <w:r w:rsidRPr="00DA7625">
              <w:rPr>
                <w:rStyle w:val="InstructionsTabelleberschrift"/>
                <w:rFonts w:ascii="Times New Roman" w:hAnsi="Times New Roman"/>
                <w:sz w:val="24"/>
              </w:rPr>
              <w:t>2 Halasztott adókötelezettségek összesen</w:t>
            </w:r>
          </w:p>
          <w:p w14:paraId="7B2477AB" w14:textId="77777777" w:rsidR="001B1411" w:rsidRPr="00DA7625" w:rsidRDefault="002648B0">
            <w:pPr>
              <w:pStyle w:val="InstructionsText"/>
            </w:pPr>
            <w:r w:rsidRPr="00DA7625">
              <w:t>Az e tételben megadott érték megegyezik a legutóbbi ellenőrzött/hitelesített számviteli mérlegben szereplő összeggel.</w:t>
            </w:r>
          </w:p>
        </w:tc>
      </w:tr>
      <w:tr w:rsidR="001B1411" w:rsidRPr="00DA7625" w14:paraId="107EE33C" w14:textId="77777777" w:rsidTr="00672D2A">
        <w:tc>
          <w:tcPr>
            <w:tcW w:w="1506" w:type="dxa"/>
          </w:tcPr>
          <w:p w14:paraId="1971C47D" w14:textId="77777777" w:rsidR="001B1411" w:rsidRPr="00DA7625" w:rsidRDefault="002648B0">
            <w:pPr>
              <w:pStyle w:val="InstructionsText"/>
            </w:pPr>
            <w:r w:rsidRPr="00DA7625">
              <w:t>060</w:t>
            </w:r>
          </w:p>
        </w:tc>
        <w:tc>
          <w:tcPr>
            <w:tcW w:w="7243" w:type="dxa"/>
          </w:tcPr>
          <w:p w14:paraId="3C8B9D6B" w14:textId="77777777" w:rsidR="001B1411" w:rsidRPr="00DA7625" w:rsidRDefault="002648B0">
            <w:pPr>
              <w:pStyle w:val="InstructionsText"/>
            </w:pPr>
            <w:r w:rsidRPr="00DA7625">
              <w:rPr>
                <w:rStyle w:val="InstructionsTabelleberschrift"/>
                <w:rFonts w:ascii="Times New Roman" w:hAnsi="Times New Roman"/>
                <w:sz w:val="24"/>
              </w:rPr>
              <w:t>2.1</w:t>
            </w:r>
            <w:r w:rsidRPr="00DA7625">
              <w:rPr>
                <w:rStyle w:val="InstructionsTabelleberschrift"/>
                <w:rFonts w:ascii="Times New Roman" w:hAnsi="Times New Roman"/>
                <w:sz w:val="24"/>
              </w:rPr>
              <w:tab/>
              <w:t>Jövőbeli nyereségtől függően érvényesíthető, halasztott adókövetelésekhez kapcsolódó, nem levonható halasztott adókötelezettségek</w:t>
            </w:r>
          </w:p>
          <w:p w14:paraId="5322D994" w14:textId="7DF27794" w:rsidR="001B1411" w:rsidRPr="00DA7625" w:rsidRDefault="00167619">
            <w:pPr>
              <w:pStyle w:val="InstructionsText"/>
            </w:pPr>
            <w:r w:rsidRPr="00DA7625">
              <w:t>A CRR 38. cikkének (3) és (4) bekezdése</w:t>
            </w:r>
          </w:p>
          <w:p w14:paraId="7B01D615" w14:textId="5D2F8BDB" w:rsidR="001B1411" w:rsidRPr="00DA7625" w:rsidRDefault="002648B0">
            <w:pPr>
              <w:pStyle w:val="InstructionsText"/>
            </w:pPr>
            <w:r w:rsidRPr="00DA7625">
              <w:t>Azok a halasztott adókötelezettségek, amelyek esetében a CRR 38. cikkének (3) és (4) bekezdésében foglalt feltételek nem teljesülnek. Így a tétel magában foglalja az olyan halasztott adókötelezettségeket, amelyek csökkentik a levonandó cégérték, egyéb immateriális javak vagy meghatározott szolgáltatást nyújtó nyugdíjalapban lévő eszközöknek az 1.1.1.10.3., 1.1.1.11.2., illetve 1.1.1.14.2. CA1-tételben megadott összegét.</w:t>
            </w:r>
          </w:p>
        </w:tc>
      </w:tr>
      <w:tr w:rsidR="001B1411" w:rsidRPr="00DA7625" w14:paraId="51025795" w14:textId="77777777" w:rsidTr="00672D2A">
        <w:tc>
          <w:tcPr>
            <w:tcW w:w="1506" w:type="dxa"/>
          </w:tcPr>
          <w:p w14:paraId="6EE03528" w14:textId="77777777" w:rsidR="001B1411" w:rsidRPr="00DA7625" w:rsidRDefault="002648B0">
            <w:pPr>
              <w:pStyle w:val="InstructionsText"/>
            </w:pPr>
            <w:r w:rsidRPr="00DA7625">
              <w:t>070</w:t>
            </w:r>
          </w:p>
        </w:tc>
        <w:tc>
          <w:tcPr>
            <w:tcW w:w="7243" w:type="dxa"/>
          </w:tcPr>
          <w:p w14:paraId="2A6440DC" w14:textId="77777777" w:rsidR="001B1411" w:rsidRPr="00DA7625" w:rsidRDefault="002648B0">
            <w:pPr>
              <w:pStyle w:val="InstructionsText"/>
            </w:pPr>
            <w:r w:rsidRPr="00DA7625">
              <w:rPr>
                <w:rStyle w:val="InstructionsTabelleberschrift"/>
                <w:rFonts w:ascii="Times New Roman" w:hAnsi="Times New Roman"/>
                <w:sz w:val="24"/>
              </w:rPr>
              <w:t>2.2</w:t>
            </w:r>
            <w:r w:rsidRPr="00DA7625">
              <w:rPr>
                <w:rStyle w:val="InstructionsTabelleberschrift"/>
                <w:rFonts w:ascii="Times New Roman" w:hAnsi="Times New Roman"/>
                <w:sz w:val="24"/>
              </w:rPr>
              <w:tab/>
              <w:t>Jövőbeli nyereségtől függően érvényesíthető, halasztott adókövetelésekhez kapcsolódó, levonható halasztott adókötelezettségek</w:t>
            </w:r>
          </w:p>
          <w:p w14:paraId="6318FF2D" w14:textId="3FCE05C3" w:rsidR="001B1411" w:rsidRPr="00DA7625" w:rsidRDefault="002648B0">
            <w:pPr>
              <w:pStyle w:val="InstructionsText"/>
            </w:pPr>
            <w:r w:rsidRPr="00DA7625">
              <w:t>A CRR 38. cikke</w:t>
            </w:r>
          </w:p>
        </w:tc>
      </w:tr>
      <w:tr w:rsidR="001B1411" w:rsidRPr="00DA7625" w14:paraId="19EBEDDB" w14:textId="77777777" w:rsidTr="00672D2A">
        <w:tc>
          <w:tcPr>
            <w:tcW w:w="1506" w:type="dxa"/>
          </w:tcPr>
          <w:p w14:paraId="61E6E118" w14:textId="77777777" w:rsidR="001B1411" w:rsidRPr="00DA7625" w:rsidRDefault="002648B0">
            <w:pPr>
              <w:pStyle w:val="InstructionsText"/>
            </w:pPr>
            <w:r w:rsidRPr="00DA7625">
              <w:t>080</w:t>
            </w:r>
          </w:p>
        </w:tc>
        <w:tc>
          <w:tcPr>
            <w:tcW w:w="7243" w:type="dxa"/>
          </w:tcPr>
          <w:p w14:paraId="71563A1F" w14:textId="77777777" w:rsidR="001B1411" w:rsidRPr="00DA7625" w:rsidRDefault="002648B0">
            <w:pPr>
              <w:pStyle w:val="InstructionsText"/>
            </w:pPr>
            <w:r w:rsidRPr="00DA7625">
              <w:rPr>
                <w:rStyle w:val="InstructionsTabelleberschrift"/>
                <w:rFonts w:ascii="Times New Roman" w:hAnsi="Times New Roman"/>
                <w:sz w:val="24"/>
              </w:rPr>
              <w:t>2.2.1</w:t>
            </w:r>
            <w:r w:rsidRPr="00DA7625">
              <w:rPr>
                <w:rStyle w:val="InstructionsTabelleberschrift"/>
                <w:rFonts w:ascii="Times New Roman" w:hAnsi="Times New Roman"/>
                <w:sz w:val="24"/>
              </w:rPr>
              <w:tab/>
              <w:t>Nem átmeneti különbözetből eredő, jövőbeli nyereségtől függően érvényesíthető, halasztott adókövetelésekhez kapcsolódó, levonható halasztott adókötelezettségek</w:t>
            </w:r>
          </w:p>
          <w:p w14:paraId="1400A064" w14:textId="0A7081CC" w:rsidR="001B1411" w:rsidRPr="00DA7625" w:rsidRDefault="00167619">
            <w:pPr>
              <w:pStyle w:val="InstructionsText"/>
            </w:pPr>
            <w:r w:rsidRPr="00DA7625">
              <w:t>A CRR 38. cikkének (3), (4) és (5) bekezdése</w:t>
            </w:r>
          </w:p>
          <w:p w14:paraId="7715C9CE" w14:textId="1A690E88" w:rsidR="001B1411" w:rsidRPr="00DA7625" w:rsidRDefault="002648B0">
            <w:pPr>
              <w:pStyle w:val="InstructionsText"/>
            </w:pPr>
            <w:r w:rsidRPr="00DA7625">
              <w:t xml:space="preserve">Azon halasztott adókötelezettségek, amelyek a CRR 38. cikkének (3) és (4) bekezdése </w:t>
            </w:r>
            <w:r w:rsidRPr="00DA7625">
              <w:rPr>
                <w:rStyle w:val="FormatvorlageInstructionsTabelleText"/>
                <w:rFonts w:ascii="Times New Roman" w:hAnsi="Times New Roman"/>
                <w:sz w:val="24"/>
              </w:rPr>
              <w:t>szerint</w:t>
            </w:r>
            <w:r w:rsidRPr="00DA7625">
              <w:t xml:space="preserve"> csökkenthetik az átmeneti különbözetből eredő, jövőbeli nyereségtől függően érvényesíthető halasztott adókövetelések összegét, és a CRR 38. cikkének (5) bekezdése értelmében nem tartoznak az átmeneti különbözetből eredő, jövőbeli nyereségtől függően érvényesíthető halasztott adókövetelésekhez.</w:t>
            </w:r>
          </w:p>
        </w:tc>
      </w:tr>
      <w:tr w:rsidR="001B1411" w:rsidRPr="00DA7625" w14:paraId="3A9755BF" w14:textId="77777777" w:rsidTr="00672D2A">
        <w:tc>
          <w:tcPr>
            <w:tcW w:w="1506" w:type="dxa"/>
          </w:tcPr>
          <w:p w14:paraId="0B10B484" w14:textId="77777777" w:rsidR="001B1411" w:rsidRPr="00DA7625" w:rsidRDefault="002648B0">
            <w:pPr>
              <w:pStyle w:val="InstructionsText"/>
            </w:pPr>
            <w:r w:rsidRPr="00DA7625">
              <w:t>090</w:t>
            </w:r>
          </w:p>
        </w:tc>
        <w:tc>
          <w:tcPr>
            <w:tcW w:w="7243" w:type="dxa"/>
          </w:tcPr>
          <w:p w14:paraId="1AE9EA25" w14:textId="77777777" w:rsidR="001B1411" w:rsidRPr="00DA7625" w:rsidRDefault="002648B0">
            <w:pPr>
              <w:pStyle w:val="InstructionsText"/>
            </w:pPr>
            <w:r w:rsidRPr="00DA7625">
              <w:rPr>
                <w:rStyle w:val="InstructionsTabelleberschrift"/>
                <w:rFonts w:ascii="Times New Roman" w:hAnsi="Times New Roman"/>
                <w:sz w:val="24"/>
              </w:rPr>
              <w:t>2.2.2</w:t>
            </w:r>
            <w:r w:rsidRPr="00DA7625">
              <w:rPr>
                <w:rStyle w:val="InstructionsTabelleberschrift"/>
                <w:rFonts w:ascii="Times New Roman" w:hAnsi="Times New Roman"/>
                <w:sz w:val="24"/>
              </w:rPr>
              <w:tab/>
              <w:t>Átmeneti különbözetből eredő, jövőbeli nyereségtől függően érvényesíthető, halasztott adókövetelésekhez kapcsolódó, levonható halasztott adókötelezettségek</w:t>
            </w:r>
          </w:p>
          <w:p w14:paraId="1AC85E24" w14:textId="36124B41" w:rsidR="001B1411" w:rsidRPr="00DA7625" w:rsidRDefault="00167619">
            <w:pPr>
              <w:pStyle w:val="InstructionsText"/>
            </w:pPr>
            <w:r w:rsidRPr="00DA7625">
              <w:t>A CRR 38. cikkének (3), (4) és (5) bekezdése</w:t>
            </w:r>
          </w:p>
          <w:p w14:paraId="13D0569C" w14:textId="4C4940CF" w:rsidR="001B1411" w:rsidRPr="00DA7625" w:rsidRDefault="002648B0">
            <w:pPr>
              <w:pStyle w:val="InstructionsText"/>
            </w:pPr>
            <w:r w:rsidRPr="00DA7625">
              <w:lastRenderedPageBreak/>
              <w:t xml:space="preserve">Azon halasztott adókötelezettségek, amelyek a CRR 38. cikkének (3) és (4) bekezdése </w:t>
            </w:r>
            <w:r w:rsidRPr="00DA7625">
              <w:rPr>
                <w:rStyle w:val="FormatvorlageInstructionsTabelleText"/>
                <w:rFonts w:ascii="Times New Roman" w:hAnsi="Times New Roman"/>
                <w:sz w:val="24"/>
              </w:rPr>
              <w:t>szerint</w:t>
            </w:r>
            <w:r w:rsidRPr="00DA7625">
              <w:t xml:space="preserve"> csökkenthetik az átmeneti különbözetből eredő, jövőbeli nyereségtől függően érvényesíthető halasztott adókövetelések összegét, és a CRR 38. cikkének (5) bekezdése értelmében az átmeneti különbözetből eredő, jövőbeli nyereségtől függően érvényesíthető halasztott adókövetelésekhez tartoznak.</w:t>
            </w:r>
          </w:p>
        </w:tc>
      </w:tr>
      <w:tr w:rsidR="001B1411" w:rsidRPr="00DA7625" w14:paraId="4AC775B1" w14:textId="77777777" w:rsidTr="00672D2A">
        <w:tc>
          <w:tcPr>
            <w:tcW w:w="1506" w:type="dxa"/>
          </w:tcPr>
          <w:p w14:paraId="5AC14744" w14:textId="77777777" w:rsidR="001B1411" w:rsidRPr="00DA7625" w:rsidRDefault="00550113">
            <w:pPr>
              <w:pStyle w:val="InstructionsText"/>
            </w:pPr>
            <w:r w:rsidRPr="00DA7625">
              <w:lastRenderedPageBreak/>
              <w:t>093</w:t>
            </w:r>
          </w:p>
        </w:tc>
        <w:tc>
          <w:tcPr>
            <w:tcW w:w="7243" w:type="dxa"/>
          </w:tcPr>
          <w:p w14:paraId="43D7F576" w14:textId="77777777" w:rsidR="001B1411" w:rsidRPr="00DA7625" w:rsidRDefault="00550113">
            <w:pPr>
              <w:pStyle w:val="InstructionsText"/>
            </w:pPr>
            <w:r w:rsidRPr="00DA7625">
              <w:rPr>
                <w:rStyle w:val="InstructionsTabelleberschrift"/>
                <w:rFonts w:ascii="Times New Roman" w:hAnsi="Times New Roman"/>
                <w:sz w:val="24"/>
              </w:rPr>
              <w:t>2A</w:t>
            </w:r>
            <w:r w:rsidRPr="00DA7625">
              <w:rPr>
                <w:rStyle w:val="InstructionsTabelleberschrift"/>
                <w:rFonts w:ascii="Times New Roman" w:hAnsi="Times New Roman"/>
                <w:sz w:val="24"/>
              </w:rPr>
              <w:tab/>
              <w:t>Adótúlfizetések és negatív adóalaphoz kapcsolódó visszakönyvelések</w:t>
            </w:r>
          </w:p>
          <w:p w14:paraId="4EF09013" w14:textId="31481A2B" w:rsidR="001B1411" w:rsidRPr="00DA7625" w:rsidRDefault="00201704">
            <w:pPr>
              <w:pStyle w:val="InstructionsText"/>
            </w:pPr>
            <w:r w:rsidRPr="00DA7625">
              <w:t>A CRR 39. cikkének (1) bekezdése</w:t>
            </w:r>
          </w:p>
          <w:p w14:paraId="7DD40B6E" w14:textId="3620BCB6" w:rsidR="001B1411" w:rsidRPr="00DA7625" w:rsidRDefault="00550113">
            <w:pPr>
              <w:pStyle w:val="InstructionsText"/>
              <w:rPr>
                <w:rStyle w:val="InstructionsTabelleberschrift"/>
                <w:rFonts w:ascii="Times New Roman" w:hAnsi="Times New Roman"/>
                <w:b w:val="0"/>
                <w:bCs w:val="0"/>
                <w:sz w:val="24"/>
                <w:u w:val="none"/>
              </w:rPr>
            </w:pPr>
            <w:r w:rsidRPr="00DA7625">
              <w:t>Az adótúlfizetések és negatív adóalaphoz kapcsolódó visszakönyvelések azon összege, amelyet a CRR 39. cikke (1) bekezdésének megfelelően nem vonnak le a szavatolótőkéből; a feltüntetett összeg a kockázati súlyok alkalmazása előtti összeg.</w:t>
            </w:r>
          </w:p>
        </w:tc>
      </w:tr>
      <w:tr w:rsidR="001B1411" w:rsidRPr="00DA7625" w14:paraId="5F206D74" w14:textId="77777777" w:rsidTr="00672D2A">
        <w:tc>
          <w:tcPr>
            <w:tcW w:w="1506" w:type="dxa"/>
          </w:tcPr>
          <w:p w14:paraId="60FAF585" w14:textId="77777777" w:rsidR="001B1411" w:rsidRPr="00DA7625" w:rsidRDefault="00DF65DF">
            <w:pPr>
              <w:pStyle w:val="InstructionsText"/>
            </w:pPr>
            <w:r w:rsidRPr="00DA7625">
              <w:t>096</w:t>
            </w:r>
          </w:p>
        </w:tc>
        <w:tc>
          <w:tcPr>
            <w:tcW w:w="7243" w:type="dxa"/>
          </w:tcPr>
          <w:p w14:paraId="16A9D094" w14:textId="77777777" w:rsidR="001B1411" w:rsidRPr="00DA7625" w:rsidRDefault="00550113">
            <w:pPr>
              <w:pStyle w:val="InstructionsText"/>
            </w:pPr>
            <w:r w:rsidRPr="00DA7625">
              <w:rPr>
                <w:rStyle w:val="InstructionsTabelleberschrift"/>
                <w:rFonts w:ascii="Times New Roman" w:hAnsi="Times New Roman"/>
                <w:sz w:val="24"/>
              </w:rPr>
              <w:t>2B</w:t>
            </w:r>
            <w:r w:rsidRPr="00DA7625">
              <w:rPr>
                <w:rStyle w:val="InstructionsTabelleberschrift"/>
                <w:rFonts w:ascii="Times New Roman" w:hAnsi="Times New Roman"/>
                <w:sz w:val="24"/>
              </w:rPr>
              <w:tab/>
              <w:t>250 %-os kockázati súlyú halasztott adókövetelések</w:t>
            </w:r>
          </w:p>
          <w:p w14:paraId="0BB36867" w14:textId="20F46AD6" w:rsidR="001B1411" w:rsidRPr="00DA7625" w:rsidRDefault="00201704">
            <w:pPr>
              <w:pStyle w:val="InstructionsText"/>
            </w:pPr>
            <w:r w:rsidRPr="00DA7625">
              <w:t>A CRR 48. cikkének (4) bekezdése</w:t>
            </w:r>
          </w:p>
          <w:p w14:paraId="7CB8F874" w14:textId="77777777" w:rsidR="001B1411" w:rsidRPr="00DA7625" w:rsidRDefault="00DF65DF">
            <w:pPr>
              <w:pStyle w:val="InstructionsText"/>
              <w:rPr>
                <w:rStyle w:val="InstructionsTabelleberschrift"/>
                <w:rFonts w:ascii="Times New Roman" w:hAnsi="Times New Roman"/>
                <w:b w:val="0"/>
                <w:bCs w:val="0"/>
                <w:sz w:val="24"/>
                <w:u w:val="none"/>
              </w:rPr>
            </w:pPr>
            <w:r w:rsidRPr="00DA7625">
              <w:t>Jövőbeli nyereségtől függően érvényesíthető és átmeneti különbözetből eredő azon halasztott adókövetelések összege, amelyeket a CRR 48. cikke (1) bekezdésének megfelelően nem vonnak le, de amelyekre a CRR 48. cikkének (4) bekezdése értelmében 250 %-os kockázati súly alkalmazható, figyelembe véve a CRR 470. cikkének a hatását. A feltüntetett összeg a halasztott adókövetelések kockázati súlyok alkalmazása előtti összege.</w:t>
            </w:r>
          </w:p>
        </w:tc>
      </w:tr>
      <w:tr w:rsidR="001B1411" w:rsidRPr="00DA7625" w14:paraId="068E8FB8" w14:textId="77777777" w:rsidTr="00672D2A">
        <w:tc>
          <w:tcPr>
            <w:tcW w:w="1506" w:type="dxa"/>
          </w:tcPr>
          <w:p w14:paraId="7A13E9F5" w14:textId="77777777" w:rsidR="001B1411" w:rsidRPr="00DA7625" w:rsidRDefault="00DF65DF">
            <w:pPr>
              <w:pStyle w:val="InstructionsText"/>
            </w:pPr>
            <w:r w:rsidRPr="00DA7625">
              <w:t>097</w:t>
            </w:r>
          </w:p>
        </w:tc>
        <w:tc>
          <w:tcPr>
            <w:tcW w:w="7243" w:type="dxa"/>
          </w:tcPr>
          <w:p w14:paraId="69034EA4" w14:textId="77777777" w:rsidR="001B1411" w:rsidRPr="00DA7625" w:rsidRDefault="00550113">
            <w:pPr>
              <w:pStyle w:val="InstructionsText"/>
            </w:pPr>
            <w:r w:rsidRPr="00DA7625">
              <w:rPr>
                <w:rStyle w:val="InstructionsTabelleberschrift"/>
                <w:rFonts w:ascii="Times New Roman" w:hAnsi="Times New Roman"/>
                <w:sz w:val="24"/>
              </w:rPr>
              <w:t>2C</w:t>
            </w:r>
            <w:r w:rsidRPr="00DA7625">
              <w:rPr>
                <w:rStyle w:val="InstructionsTabelleberschrift"/>
                <w:rFonts w:ascii="Times New Roman" w:hAnsi="Times New Roman"/>
                <w:sz w:val="24"/>
              </w:rPr>
              <w:tab/>
              <w:t>0 %-os kockázati súlyú halasztott adókövetelések</w:t>
            </w:r>
          </w:p>
          <w:p w14:paraId="3EECE67C" w14:textId="6D03662E" w:rsidR="001B1411" w:rsidRPr="00DA7625" w:rsidRDefault="0014657C">
            <w:pPr>
              <w:pStyle w:val="InstructionsText"/>
            </w:pPr>
            <w:r w:rsidRPr="00DA7625">
              <w:t>A CRR 469. cikke (1) bekezdésének d) pontja, 470. cikke, 472. cikkének (5) bekezdése, valamint 478. cikke</w:t>
            </w:r>
          </w:p>
          <w:p w14:paraId="2152F505" w14:textId="16DB546F" w:rsidR="001B1411" w:rsidRPr="00DA7625" w:rsidRDefault="00DF65DF">
            <w:pPr>
              <w:pStyle w:val="InstructionsText"/>
              <w:rPr>
                <w:rStyle w:val="InstructionsTabelleberschrift"/>
                <w:rFonts w:ascii="Times New Roman" w:hAnsi="Times New Roman"/>
                <w:b w:val="0"/>
                <w:bCs w:val="0"/>
                <w:sz w:val="24"/>
                <w:u w:val="none"/>
              </w:rPr>
            </w:pPr>
            <w:r w:rsidRPr="00DA7625">
              <w:t>Jövőbeli nyereségtől függően érvényesíthető és átmeneti különbözetből eredő azon halasztott adókövetelések összege, amelyeket a CRR 469. cikke (1) bekezdése d) pontjának és 470. cikkének megfelelően nem vonnak le, de amelyekre a CRR 472. cikkének (5) bekezdése értelmében 0 %-os kockázati súly alkalmazható. A feltüntetett összeg a halasztott adókövetelések kockázati súlyok alkalmazása előtti összege.</w:t>
            </w:r>
          </w:p>
        </w:tc>
      </w:tr>
      <w:tr w:rsidR="001B1411" w:rsidRPr="00DA7625" w14:paraId="24D25A33" w14:textId="77777777" w:rsidTr="00672D2A">
        <w:tc>
          <w:tcPr>
            <w:tcW w:w="1506" w:type="dxa"/>
          </w:tcPr>
          <w:p w14:paraId="262C4396" w14:textId="77777777" w:rsidR="001B1411" w:rsidRPr="00DA7625" w:rsidRDefault="002648B0">
            <w:pPr>
              <w:pStyle w:val="InstructionsText"/>
            </w:pPr>
            <w:r w:rsidRPr="00DA7625">
              <w:t>100</w:t>
            </w:r>
          </w:p>
        </w:tc>
        <w:tc>
          <w:tcPr>
            <w:tcW w:w="7243" w:type="dxa"/>
          </w:tcPr>
          <w:p w14:paraId="0B299EBF" w14:textId="77777777" w:rsidR="001B1411" w:rsidRPr="00DA7625" w:rsidRDefault="00C66473">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3.</w:t>
            </w:r>
            <w:r w:rsidRPr="00DA7625">
              <w:rPr>
                <w:rStyle w:val="InstructionsTabelleberschrift"/>
                <w:rFonts w:ascii="Times New Roman" w:hAnsi="Times New Roman"/>
                <w:sz w:val="24"/>
              </w:rPr>
              <w:tab/>
              <w:t>Hitelkockázati kiigazítások és a kiegészítő értékelési korrekciók, valamint az egyéb szavatolótőke-csökkentések IRB-módszerrel számított többlete (+) vagy hiánya (–) a várható veszteséghez viszonyítva, teljesítő kitettségek esetén</w:t>
            </w:r>
          </w:p>
          <w:p w14:paraId="56BBC347" w14:textId="2C0007F1" w:rsidR="001B1411" w:rsidRPr="00DA7625" w:rsidRDefault="0014657C">
            <w:pPr>
              <w:pStyle w:val="InstructionsText"/>
            </w:pPr>
            <w:r w:rsidRPr="00DA7625">
              <w:t>A CRR 36. cikke (1) bekezdésének d) pontja, valamint 62. cikkének d) pontja, 158. és 159. cikke</w:t>
            </w:r>
          </w:p>
          <w:p w14:paraId="7C3F55FA" w14:textId="77777777" w:rsidR="001B1411" w:rsidRPr="00DA7625" w:rsidRDefault="002648B0">
            <w:pPr>
              <w:pStyle w:val="InstructionsText"/>
            </w:pPr>
            <w:r w:rsidRPr="00DA7625">
              <w:t>A tételt kizárólag az IRB-módszert alkalmazó intézményeknek kell megadniuk.</w:t>
            </w:r>
          </w:p>
        </w:tc>
      </w:tr>
      <w:tr w:rsidR="001B1411" w:rsidRPr="00DA7625" w14:paraId="7A656ED8" w14:textId="77777777" w:rsidTr="00672D2A">
        <w:tc>
          <w:tcPr>
            <w:tcW w:w="1506" w:type="dxa"/>
          </w:tcPr>
          <w:p w14:paraId="34DB0C1A" w14:textId="77777777" w:rsidR="001B1411" w:rsidRPr="00DA7625" w:rsidRDefault="002648B0">
            <w:pPr>
              <w:pStyle w:val="InstructionsText"/>
            </w:pPr>
            <w:r w:rsidRPr="00DA7625">
              <w:t>110</w:t>
            </w:r>
          </w:p>
        </w:tc>
        <w:tc>
          <w:tcPr>
            <w:tcW w:w="7243" w:type="dxa"/>
          </w:tcPr>
          <w:p w14:paraId="526C166A" w14:textId="77777777" w:rsidR="001B1411" w:rsidRPr="00DA7625" w:rsidRDefault="002648B0">
            <w:pPr>
              <w:pStyle w:val="InstructionsText"/>
            </w:pPr>
            <w:r w:rsidRPr="00DA7625">
              <w:rPr>
                <w:rStyle w:val="InstructionsTabelleberschrift"/>
                <w:rFonts w:ascii="Times New Roman" w:hAnsi="Times New Roman"/>
                <w:sz w:val="24"/>
              </w:rPr>
              <w:t>3.1</w:t>
            </w:r>
            <w:r w:rsidRPr="00DA7625">
              <w:rPr>
                <w:rStyle w:val="InstructionsTabelleberschrift"/>
                <w:rFonts w:ascii="Times New Roman" w:hAnsi="Times New Roman"/>
                <w:sz w:val="24"/>
              </w:rPr>
              <w:tab/>
              <w:t>A hitelkockázati kiigazítások és a kiegészítő értékelési korrekciók, valamint az egyéb szavatolótőke-csökkentések teljes, a várható veszteség kiszámításakor figyelembe vehető összege</w:t>
            </w:r>
          </w:p>
          <w:p w14:paraId="17A4B99A" w14:textId="183D7CC6" w:rsidR="001B1411" w:rsidRPr="00DA7625" w:rsidRDefault="002648B0">
            <w:pPr>
              <w:pStyle w:val="InstructionsText"/>
            </w:pPr>
            <w:r w:rsidRPr="00DA7625">
              <w:t>A CRR 159. cikke</w:t>
            </w:r>
          </w:p>
          <w:p w14:paraId="2570FB4D" w14:textId="77777777" w:rsidR="001B1411" w:rsidRPr="00DA7625" w:rsidRDefault="002648B0">
            <w:pPr>
              <w:pStyle w:val="InstructionsText"/>
            </w:pPr>
            <w:r w:rsidRPr="00DA7625">
              <w:lastRenderedPageBreak/>
              <w:t>A tételt kizárólag az IRB-módszert alkalmazó intézményeknek kell megadniuk.</w:t>
            </w:r>
          </w:p>
        </w:tc>
      </w:tr>
      <w:tr w:rsidR="001B1411" w:rsidRPr="00DA7625" w14:paraId="2570CCE2" w14:textId="77777777" w:rsidTr="00672D2A">
        <w:tc>
          <w:tcPr>
            <w:tcW w:w="1506" w:type="dxa"/>
          </w:tcPr>
          <w:p w14:paraId="205A4550" w14:textId="77777777" w:rsidR="001B1411" w:rsidRPr="00DA7625" w:rsidRDefault="002648B0">
            <w:pPr>
              <w:pStyle w:val="InstructionsText"/>
            </w:pPr>
            <w:r w:rsidRPr="00DA7625">
              <w:lastRenderedPageBreak/>
              <w:t>120</w:t>
            </w:r>
          </w:p>
        </w:tc>
        <w:tc>
          <w:tcPr>
            <w:tcW w:w="7243" w:type="dxa"/>
          </w:tcPr>
          <w:p w14:paraId="4221D6D1" w14:textId="77777777" w:rsidR="001B1411" w:rsidRPr="00DA7625" w:rsidRDefault="002648B0">
            <w:pPr>
              <w:pStyle w:val="InstructionsText"/>
            </w:pPr>
            <w:r w:rsidRPr="00DA7625">
              <w:rPr>
                <w:rStyle w:val="InstructionsTabelleberschrift"/>
                <w:rFonts w:ascii="Times New Roman" w:hAnsi="Times New Roman"/>
                <w:sz w:val="24"/>
              </w:rPr>
              <w:t>3.1.1</w:t>
            </w:r>
            <w:r w:rsidRPr="00DA7625">
              <w:rPr>
                <w:rStyle w:val="InstructionsTabelleberschrift"/>
                <w:rFonts w:ascii="Times New Roman" w:hAnsi="Times New Roman"/>
                <w:sz w:val="24"/>
              </w:rPr>
              <w:tab/>
              <w:t>Általános hitelkockázati kiigazítások</w:t>
            </w:r>
          </w:p>
          <w:p w14:paraId="273AF814" w14:textId="09E871B4" w:rsidR="001B1411" w:rsidRPr="00DA7625" w:rsidRDefault="002648B0">
            <w:pPr>
              <w:pStyle w:val="InstructionsText"/>
            </w:pPr>
            <w:r w:rsidRPr="00DA7625">
              <w:t>A CRR 159. cikke</w:t>
            </w:r>
          </w:p>
          <w:p w14:paraId="1C4BDD2D" w14:textId="77777777" w:rsidR="001B1411" w:rsidRPr="00DA7625" w:rsidRDefault="002648B0">
            <w:pPr>
              <w:pStyle w:val="InstructionsText"/>
            </w:pPr>
            <w:r w:rsidRPr="00DA7625">
              <w:t>A tételt kizárólag az IRB-módszert alkalmazó intézményeknek kell megadniuk.</w:t>
            </w:r>
          </w:p>
        </w:tc>
      </w:tr>
      <w:tr w:rsidR="001B1411" w:rsidRPr="00DA7625" w14:paraId="6327AE94" w14:textId="77777777" w:rsidTr="00672D2A">
        <w:tc>
          <w:tcPr>
            <w:tcW w:w="1506" w:type="dxa"/>
          </w:tcPr>
          <w:p w14:paraId="7370C327" w14:textId="77777777" w:rsidR="001B1411" w:rsidRPr="00DA7625" w:rsidRDefault="002648B0">
            <w:pPr>
              <w:pStyle w:val="InstructionsText"/>
            </w:pPr>
            <w:r w:rsidRPr="00DA7625">
              <w:t>130</w:t>
            </w:r>
          </w:p>
        </w:tc>
        <w:tc>
          <w:tcPr>
            <w:tcW w:w="7243" w:type="dxa"/>
          </w:tcPr>
          <w:p w14:paraId="47FBB331" w14:textId="77777777" w:rsidR="001B1411" w:rsidRPr="00DA7625" w:rsidRDefault="002648B0">
            <w:pPr>
              <w:pStyle w:val="InstructionsText"/>
            </w:pPr>
            <w:r w:rsidRPr="00DA7625">
              <w:rPr>
                <w:rStyle w:val="InstructionsTabelleberschrift"/>
                <w:rFonts w:ascii="Times New Roman" w:hAnsi="Times New Roman"/>
                <w:sz w:val="24"/>
              </w:rPr>
              <w:t>3.1.2</w:t>
            </w:r>
            <w:r w:rsidRPr="00DA7625">
              <w:rPr>
                <w:rStyle w:val="InstructionsTabelleberschrift"/>
                <w:rFonts w:ascii="Times New Roman" w:hAnsi="Times New Roman"/>
                <w:sz w:val="24"/>
              </w:rPr>
              <w:tab/>
              <w:t>Egyedi hitelkockázati kiigazítások</w:t>
            </w:r>
          </w:p>
          <w:p w14:paraId="1E163ABD" w14:textId="355EBB97" w:rsidR="001B1411" w:rsidRPr="00DA7625" w:rsidRDefault="002648B0">
            <w:pPr>
              <w:pStyle w:val="InstructionsText"/>
            </w:pPr>
            <w:r w:rsidRPr="00DA7625">
              <w:t>A CRR 159. cikke</w:t>
            </w:r>
          </w:p>
          <w:p w14:paraId="55D839A1" w14:textId="77777777" w:rsidR="001B1411" w:rsidRPr="00DA7625" w:rsidRDefault="002648B0">
            <w:pPr>
              <w:pStyle w:val="InstructionsText"/>
            </w:pPr>
            <w:r w:rsidRPr="00DA7625">
              <w:t>A tételt kizárólag az IRB-módszert alkalmazó intézményeknek kell megadniuk.</w:t>
            </w:r>
          </w:p>
        </w:tc>
      </w:tr>
      <w:tr w:rsidR="001B1411" w:rsidRPr="00DA7625" w14:paraId="50FBE5E7" w14:textId="77777777" w:rsidTr="00672D2A">
        <w:tc>
          <w:tcPr>
            <w:tcW w:w="1506" w:type="dxa"/>
          </w:tcPr>
          <w:p w14:paraId="215A16EC" w14:textId="0E4F6859" w:rsidR="001B1411" w:rsidRPr="00DA7625" w:rsidRDefault="002648B0">
            <w:pPr>
              <w:pStyle w:val="InstructionsText"/>
            </w:pPr>
            <w:r w:rsidRPr="00DA7625">
              <w:t>131</w:t>
            </w:r>
          </w:p>
        </w:tc>
        <w:tc>
          <w:tcPr>
            <w:tcW w:w="7243" w:type="dxa"/>
          </w:tcPr>
          <w:p w14:paraId="182E2637" w14:textId="77777777" w:rsidR="001B1411" w:rsidRPr="00DA7625" w:rsidRDefault="002648B0">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3.1.3</w:t>
            </w:r>
            <w:r w:rsidRPr="00DA7625">
              <w:rPr>
                <w:rStyle w:val="InstructionsTabelleberschrift"/>
                <w:rFonts w:ascii="Times New Roman" w:hAnsi="Times New Roman"/>
                <w:sz w:val="24"/>
              </w:rPr>
              <w:tab/>
              <w:t>Kiegészítő értékelési korrekciók és egyéb szavatolótőke-csökkentések</w:t>
            </w:r>
          </w:p>
          <w:p w14:paraId="3D7CD496" w14:textId="1762E5AB" w:rsidR="001B1411" w:rsidRPr="00DA7625" w:rsidRDefault="002648B0">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CRR 34., 110. és 159. cikke</w:t>
            </w:r>
          </w:p>
          <w:p w14:paraId="78F458B4" w14:textId="77777777" w:rsidR="001B1411" w:rsidRPr="00DA7625" w:rsidRDefault="002648B0">
            <w:pPr>
              <w:pStyle w:val="InstructionsText"/>
              <w:rPr>
                <w:rStyle w:val="InstructionsTabelleberschrift"/>
                <w:rFonts w:ascii="Times New Roman" w:hAnsi="Times New Roman"/>
                <w:b w:val="0"/>
                <w:bCs w:val="0"/>
                <w:sz w:val="24"/>
                <w:u w:val="none"/>
              </w:rPr>
            </w:pPr>
            <w:r w:rsidRPr="00DA7625">
              <w:t>A tételt kizárólag az IRB-módszert alkalmazó intézményeknek kell megadniuk.</w:t>
            </w:r>
          </w:p>
        </w:tc>
      </w:tr>
      <w:tr w:rsidR="001B1411" w:rsidRPr="00DA7625" w14:paraId="11A930A3" w14:textId="77777777" w:rsidTr="00672D2A">
        <w:tc>
          <w:tcPr>
            <w:tcW w:w="1506" w:type="dxa"/>
          </w:tcPr>
          <w:p w14:paraId="6AAFBA23" w14:textId="77777777" w:rsidR="001B1411" w:rsidRPr="00DA7625" w:rsidRDefault="002648B0">
            <w:pPr>
              <w:pStyle w:val="InstructionsText"/>
            </w:pPr>
            <w:r w:rsidRPr="00DA7625">
              <w:t>140</w:t>
            </w:r>
          </w:p>
        </w:tc>
        <w:tc>
          <w:tcPr>
            <w:tcW w:w="7243" w:type="dxa"/>
          </w:tcPr>
          <w:p w14:paraId="7284CE24" w14:textId="77777777" w:rsidR="001B1411" w:rsidRPr="00DA7625" w:rsidRDefault="002648B0">
            <w:pPr>
              <w:pStyle w:val="InstructionsText"/>
            </w:pPr>
            <w:r w:rsidRPr="00DA7625">
              <w:rPr>
                <w:rStyle w:val="InstructionsTabelleberschrift"/>
                <w:rFonts w:ascii="Times New Roman" w:hAnsi="Times New Roman"/>
                <w:sz w:val="24"/>
              </w:rPr>
              <w:t>3.2</w:t>
            </w:r>
            <w:r w:rsidRPr="00DA7625">
              <w:rPr>
                <w:rStyle w:val="InstructionsTabelleberschrift"/>
                <w:rFonts w:ascii="Times New Roman" w:hAnsi="Times New Roman"/>
                <w:sz w:val="24"/>
              </w:rPr>
              <w:tab/>
              <w:t xml:space="preserve">Figyelembe vehető várható veszteségek összesen </w:t>
            </w:r>
          </w:p>
          <w:p w14:paraId="6BE53DD3" w14:textId="0AA11261" w:rsidR="001B1411" w:rsidRPr="00DA7625" w:rsidRDefault="00167619">
            <w:pPr>
              <w:pStyle w:val="InstructionsText"/>
            </w:pPr>
            <w:r w:rsidRPr="00DA7625">
              <w:t>A CRR 158. cikkének (5), (6) és (10) bekezdése, valamint 159. cikke</w:t>
            </w:r>
          </w:p>
          <w:p w14:paraId="5481C681" w14:textId="77777777" w:rsidR="001B1411" w:rsidRPr="00DA7625" w:rsidRDefault="00F11185">
            <w:pPr>
              <w:pStyle w:val="InstructionsText"/>
            </w:pPr>
            <w:r w:rsidRPr="00DA7625">
              <w:t>A tételt kizárólag az IRB-módszert alkalmazó intézményeknek kell megadniuk. Kizárólag a teljesítő kitettségekhez kapcsolódó várható veszteségek adhatók meg.</w:t>
            </w:r>
          </w:p>
        </w:tc>
      </w:tr>
      <w:tr w:rsidR="001B1411" w:rsidRPr="00DA7625" w14:paraId="09BCBEEA" w14:textId="77777777" w:rsidTr="00672D2A">
        <w:tc>
          <w:tcPr>
            <w:tcW w:w="1506" w:type="dxa"/>
          </w:tcPr>
          <w:p w14:paraId="22BB94AA" w14:textId="77777777" w:rsidR="001B1411" w:rsidRPr="00DA7625" w:rsidRDefault="00F11185">
            <w:pPr>
              <w:pStyle w:val="InstructionsText"/>
            </w:pPr>
            <w:r w:rsidRPr="00DA7625">
              <w:t>145</w:t>
            </w:r>
          </w:p>
          <w:p w14:paraId="1143011F" w14:textId="77777777" w:rsidR="001B1411" w:rsidRPr="00DA7625" w:rsidRDefault="001B1411">
            <w:pPr>
              <w:pStyle w:val="InstructionsText"/>
            </w:pPr>
          </w:p>
        </w:tc>
        <w:tc>
          <w:tcPr>
            <w:tcW w:w="7243" w:type="dxa"/>
          </w:tcPr>
          <w:p w14:paraId="528EC10D" w14:textId="77777777" w:rsidR="001B1411" w:rsidRPr="00DA7625" w:rsidRDefault="00630711">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4. Az egyedi hitelkockázati kiigazítások IRB-módszerrel számított többlete (+) vagy hiánya (–) a várható veszteséghez viszonyítva, nemteljesítő kitettségek esetén</w:t>
            </w:r>
          </w:p>
          <w:p w14:paraId="4990F1CE" w14:textId="05844503" w:rsidR="001B1411" w:rsidRPr="00DA7625" w:rsidRDefault="0014657C">
            <w:pPr>
              <w:pStyle w:val="InstructionsText"/>
            </w:pPr>
            <w:r w:rsidRPr="00DA7625">
              <w:t>A CRR 36. cikke (1) bekezdésének d) pontja, valamint 62. cikkének d) pontja, 158. és 159. cikke</w:t>
            </w:r>
          </w:p>
          <w:p w14:paraId="58993CC2" w14:textId="77777777" w:rsidR="001B1411" w:rsidRPr="00DA7625" w:rsidRDefault="00630711">
            <w:pPr>
              <w:pStyle w:val="InstructionsText"/>
              <w:rPr>
                <w:rStyle w:val="InstructionsTabelleberschrift"/>
                <w:rFonts w:ascii="Times New Roman" w:hAnsi="Times New Roman"/>
                <w:b w:val="0"/>
                <w:bCs w:val="0"/>
                <w:sz w:val="24"/>
                <w:u w:val="none"/>
              </w:rPr>
            </w:pPr>
            <w:r w:rsidRPr="00DA7625">
              <w:t>A tételt kizárólag az IRB-módszert alkalmazó intézményeknek kell megadniuk.</w:t>
            </w:r>
          </w:p>
        </w:tc>
      </w:tr>
      <w:tr w:rsidR="001B1411" w:rsidRPr="00DA7625" w14:paraId="1239E5C0" w14:textId="77777777" w:rsidTr="00672D2A">
        <w:tc>
          <w:tcPr>
            <w:tcW w:w="1506" w:type="dxa"/>
          </w:tcPr>
          <w:p w14:paraId="28F4C1B8" w14:textId="77777777" w:rsidR="001B1411" w:rsidRPr="00DA7625" w:rsidRDefault="00F11185">
            <w:pPr>
              <w:pStyle w:val="InstructionsText"/>
            </w:pPr>
            <w:r w:rsidRPr="00DA7625">
              <w:t>150</w:t>
            </w:r>
          </w:p>
          <w:p w14:paraId="50B877D9" w14:textId="77777777" w:rsidR="001B1411" w:rsidRPr="00DA7625" w:rsidRDefault="001B1411">
            <w:pPr>
              <w:pStyle w:val="InstructionsText"/>
            </w:pPr>
          </w:p>
        </w:tc>
        <w:tc>
          <w:tcPr>
            <w:tcW w:w="7243" w:type="dxa"/>
          </w:tcPr>
          <w:p w14:paraId="4FDAAF06" w14:textId="77777777" w:rsidR="001B1411" w:rsidRPr="00DA7625" w:rsidRDefault="00630711">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4.1</w:t>
            </w:r>
            <w:r w:rsidRPr="00DA7625">
              <w:rPr>
                <w:rStyle w:val="InstructionsTabelleberschrift"/>
                <w:rFonts w:ascii="Times New Roman" w:hAnsi="Times New Roman"/>
                <w:sz w:val="24"/>
              </w:rPr>
              <w:tab/>
              <w:t>Hasonló módon kezelt egyedi hitelkockázati kiigazítások és pozíciók</w:t>
            </w:r>
          </w:p>
          <w:p w14:paraId="1379684D" w14:textId="3E584008" w:rsidR="001B1411" w:rsidRPr="00DA7625" w:rsidRDefault="00630711">
            <w:pPr>
              <w:pStyle w:val="InstructionsText"/>
            </w:pPr>
            <w:r w:rsidRPr="00DA7625">
              <w:t>A CRR 159. cikke</w:t>
            </w:r>
          </w:p>
          <w:p w14:paraId="33A313C3" w14:textId="77777777" w:rsidR="001B1411" w:rsidRPr="00DA7625" w:rsidRDefault="00630711">
            <w:pPr>
              <w:pStyle w:val="InstructionsText"/>
              <w:rPr>
                <w:rStyle w:val="InstructionsTabelleberschrift"/>
                <w:rFonts w:ascii="Times New Roman" w:hAnsi="Times New Roman"/>
                <w:b w:val="0"/>
                <w:bCs w:val="0"/>
                <w:sz w:val="24"/>
                <w:u w:val="none"/>
              </w:rPr>
            </w:pPr>
            <w:r w:rsidRPr="00DA7625">
              <w:t>A tételt kizárólag az IRB-módszert alkalmazó intézményeknek kell megadniuk.</w:t>
            </w:r>
          </w:p>
        </w:tc>
      </w:tr>
      <w:tr w:rsidR="001B1411" w:rsidRPr="00DA7625" w14:paraId="0A302C9F" w14:textId="77777777" w:rsidTr="00672D2A">
        <w:tc>
          <w:tcPr>
            <w:tcW w:w="1506" w:type="dxa"/>
          </w:tcPr>
          <w:p w14:paraId="522FBC48" w14:textId="77777777" w:rsidR="001B1411" w:rsidRPr="00DA7625" w:rsidRDefault="00F11185">
            <w:pPr>
              <w:pStyle w:val="InstructionsText"/>
            </w:pPr>
            <w:r w:rsidRPr="00DA7625">
              <w:t>155</w:t>
            </w:r>
          </w:p>
          <w:p w14:paraId="0C570594" w14:textId="77777777" w:rsidR="001B1411" w:rsidRPr="00DA7625" w:rsidRDefault="001B1411">
            <w:pPr>
              <w:pStyle w:val="InstructionsText"/>
            </w:pPr>
          </w:p>
        </w:tc>
        <w:tc>
          <w:tcPr>
            <w:tcW w:w="7243" w:type="dxa"/>
          </w:tcPr>
          <w:p w14:paraId="017DB611" w14:textId="77777777" w:rsidR="001B1411" w:rsidRPr="00DA7625" w:rsidRDefault="00630711">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4.2</w:t>
            </w:r>
            <w:r w:rsidRPr="00DA7625">
              <w:rPr>
                <w:rStyle w:val="InstructionsTabelleberschrift"/>
                <w:rFonts w:ascii="Times New Roman" w:hAnsi="Times New Roman"/>
                <w:sz w:val="24"/>
              </w:rPr>
              <w:tab/>
              <w:t>Figyelembe vehető várható veszteségek összesen</w:t>
            </w:r>
          </w:p>
          <w:p w14:paraId="4EBE5F99" w14:textId="06820059" w:rsidR="001B1411" w:rsidRPr="00DA7625" w:rsidRDefault="00167619">
            <w:pPr>
              <w:pStyle w:val="InstructionsText"/>
              <w:rPr>
                <w:rStyle w:val="InstructionsTabelleberschrift"/>
                <w:rFonts w:ascii="Times New Roman" w:hAnsi="Times New Roman"/>
                <w:sz w:val="24"/>
              </w:rPr>
            </w:pPr>
            <w:r w:rsidRPr="00DA7625">
              <w:t>A CRR 158. cikkének (5), (6) és (10) bekezdése, valamint 159. cikke</w:t>
            </w:r>
          </w:p>
          <w:p w14:paraId="78665DFA" w14:textId="77777777" w:rsidR="001B1411" w:rsidRPr="00DA7625" w:rsidRDefault="00F11185">
            <w:pPr>
              <w:pStyle w:val="InstructionsText"/>
              <w:rPr>
                <w:rStyle w:val="InstructionsTabelleberschrift"/>
                <w:rFonts w:ascii="Times New Roman" w:hAnsi="Times New Roman"/>
                <w:b w:val="0"/>
                <w:bCs w:val="0"/>
                <w:sz w:val="24"/>
                <w:u w:val="none"/>
              </w:rPr>
            </w:pPr>
            <w:r w:rsidRPr="00DA7625">
              <w:t>A tételt kizárólag az IRB-módszert alkalmazó intézményeknek kell megadniuk. Kizárólag a nemteljesítő kitettségekhez kapcsolódó várható veszteségek adhatók meg.</w:t>
            </w:r>
          </w:p>
        </w:tc>
      </w:tr>
      <w:tr w:rsidR="001B1411" w:rsidRPr="00DA7625" w14:paraId="6A4C20F9" w14:textId="77777777" w:rsidTr="00672D2A">
        <w:tc>
          <w:tcPr>
            <w:tcW w:w="1506" w:type="dxa"/>
          </w:tcPr>
          <w:p w14:paraId="752C7958" w14:textId="77777777" w:rsidR="001B1411" w:rsidRPr="00DA7625" w:rsidRDefault="002648B0">
            <w:pPr>
              <w:pStyle w:val="InstructionsText"/>
            </w:pPr>
            <w:r w:rsidRPr="00DA7625">
              <w:t>160</w:t>
            </w:r>
          </w:p>
        </w:tc>
        <w:tc>
          <w:tcPr>
            <w:tcW w:w="7243" w:type="dxa"/>
          </w:tcPr>
          <w:p w14:paraId="46381DE7" w14:textId="77777777" w:rsidR="001B1411" w:rsidRPr="00DA7625" w:rsidRDefault="002648B0">
            <w:pPr>
              <w:pStyle w:val="InstructionsText"/>
            </w:pPr>
            <w:r w:rsidRPr="00DA7625">
              <w:rPr>
                <w:rStyle w:val="InstructionsTabelleberschrift"/>
                <w:rFonts w:ascii="Times New Roman" w:hAnsi="Times New Roman"/>
                <w:sz w:val="24"/>
              </w:rPr>
              <w:t>5</w:t>
            </w:r>
            <w:r w:rsidRPr="00DA7625">
              <w:rPr>
                <w:rStyle w:val="InstructionsTabelleberschrift"/>
                <w:rFonts w:ascii="Times New Roman" w:hAnsi="Times New Roman"/>
                <w:sz w:val="24"/>
              </w:rPr>
              <w:tab/>
              <w:t>Kockázattal súlyozott kitettségérték a T2 tőkeként figyelembe vehető céltartaléktöbblet felső határának kiszámításához</w:t>
            </w:r>
          </w:p>
          <w:p w14:paraId="71E00759" w14:textId="68876AAB" w:rsidR="001B1411" w:rsidRPr="00DA7625" w:rsidRDefault="0014657C">
            <w:pPr>
              <w:pStyle w:val="InstructionsText"/>
            </w:pPr>
            <w:r w:rsidRPr="00DA7625">
              <w:lastRenderedPageBreak/>
              <w:t>A CRR 62. cikkének d) pontja</w:t>
            </w:r>
          </w:p>
          <w:p w14:paraId="3A86D8C5" w14:textId="7180B328" w:rsidR="001B1411" w:rsidRPr="00DA7625" w:rsidRDefault="002648B0">
            <w:pPr>
              <w:pStyle w:val="InstructionsText"/>
            </w:pPr>
            <w:r w:rsidRPr="00DA7625">
              <w:t xml:space="preserve">Az IRB-módszert alkalmazó intézmények esetében a céltartalékoknak a várható veszteségek feletti összege az IRB-módszerrel kiszámított kockázattal súlyozott kitettségértékek legfeljebb 0,6 %-áig számíthatók be a T2 tőkébe a CRR 62. cikke d) pontjának </w:t>
            </w:r>
            <w:r w:rsidRPr="00DA7625">
              <w:rPr>
                <w:rStyle w:val="FormatvorlageInstructionsTabelleText"/>
                <w:rFonts w:ascii="Times New Roman" w:hAnsi="Times New Roman"/>
                <w:sz w:val="24"/>
              </w:rPr>
              <w:t>megfelelően</w:t>
            </w:r>
            <w:r w:rsidRPr="00DA7625">
              <w:t>.</w:t>
            </w:r>
          </w:p>
          <w:p w14:paraId="6236C5B8" w14:textId="77777777" w:rsidR="001B1411" w:rsidRPr="00DA7625" w:rsidRDefault="002648B0">
            <w:pPr>
              <w:pStyle w:val="InstructionsText"/>
            </w:pPr>
            <w:r w:rsidRPr="00DA7625">
              <w:t>Az ebben a tételben feltüntetendő érték a kockázattal súlyozott kitettségérték (a 0,6 %-os szorzó alkalmazása nélkül), amelyen a felső határ számítása alapul.</w:t>
            </w:r>
          </w:p>
        </w:tc>
      </w:tr>
      <w:tr w:rsidR="001B1411" w:rsidRPr="00DA7625" w14:paraId="6CBBF0F9" w14:textId="77777777" w:rsidTr="00672D2A">
        <w:tc>
          <w:tcPr>
            <w:tcW w:w="1506" w:type="dxa"/>
          </w:tcPr>
          <w:p w14:paraId="0599D756" w14:textId="77777777" w:rsidR="001B1411" w:rsidRPr="00DA7625" w:rsidRDefault="002648B0">
            <w:pPr>
              <w:pStyle w:val="InstructionsText"/>
            </w:pPr>
            <w:r w:rsidRPr="00DA7625">
              <w:lastRenderedPageBreak/>
              <w:t>170</w:t>
            </w:r>
          </w:p>
        </w:tc>
        <w:tc>
          <w:tcPr>
            <w:tcW w:w="7243" w:type="dxa"/>
          </w:tcPr>
          <w:p w14:paraId="79E6C0C6" w14:textId="77777777" w:rsidR="001B1411" w:rsidRPr="00DA7625" w:rsidRDefault="002648B0">
            <w:pPr>
              <w:pStyle w:val="InstructionsText"/>
            </w:pPr>
            <w:r w:rsidRPr="00DA7625">
              <w:rPr>
                <w:rStyle w:val="InstructionsTabelleberschrift"/>
                <w:rFonts w:ascii="Times New Roman" w:hAnsi="Times New Roman"/>
                <w:sz w:val="24"/>
              </w:rPr>
              <w:t>6</w:t>
            </w:r>
            <w:r w:rsidRPr="00DA7625">
              <w:rPr>
                <w:rStyle w:val="InstructionsTabelleberschrift"/>
                <w:rFonts w:ascii="Times New Roman" w:hAnsi="Times New Roman"/>
                <w:sz w:val="24"/>
              </w:rPr>
              <w:tab/>
              <w:t>A T2 tőkébe beszámítható bruttó céltartalékok összesen</w:t>
            </w:r>
          </w:p>
          <w:p w14:paraId="247E7786" w14:textId="705041FA" w:rsidR="001B1411" w:rsidRPr="00DA7625" w:rsidRDefault="0014657C">
            <w:pPr>
              <w:pStyle w:val="InstructionsText"/>
            </w:pPr>
            <w:r w:rsidRPr="00DA7625">
              <w:t>A CRR 62. cikkének c) pontja</w:t>
            </w:r>
          </w:p>
          <w:p w14:paraId="22BC1271" w14:textId="77777777" w:rsidR="001B1411" w:rsidRPr="00DA7625" w:rsidRDefault="002648B0">
            <w:pPr>
              <w:pStyle w:val="InstructionsText"/>
            </w:pPr>
            <w:r w:rsidRPr="00DA7625">
              <w:t>A tétel azokat az általános hitelkockázati kiigazításokat foglalja magában, amelyeknek a felső határ alatti része beszámítható a T2 tőkébe.</w:t>
            </w:r>
          </w:p>
          <w:p w14:paraId="241C4CD3" w14:textId="77777777" w:rsidR="001B1411" w:rsidRPr="00DA7625" w:rsidRDefault="002648B0">
            <w:pPr>
              <w:pStyle w:val="InstructionsText"/>
            </w:pPr>
            <w:r w:rsidRPr="00DA7625">
              <w:t>A feltüntetendő értéknek tartalmaznia kell az adóhatásokat is.</w:t>
            </w:r>
          </w:p>
        </w:tc>
      </w:tr>
      <w:tr w:rsidR="001B1411" w:rsidRPr="00DA7625" w14:paraId="631A1D97" w14:textId="77777777" w:rsidTr="00672D2A">
        <w:tc>
          <w:tcPr>
            <w:tcW w:w="1506" w:type="dxa"/>
          </w:tcPr>
          <w:p w14:paraId="011874C0" w14:textId="77777777" w:rsidR="001B1411" w:rsidRPr="00DA7625" w:rsidRDefault="002648B0">
            <w:pPr>
              <w:pStyle w:val="InstructionsText"/>
            </w:pPr>
            <w:r w:rsidRPr="00DA7625">
              <w:t>180</w:t>
            </w:r>
          </w:p>
        </w:tc>
        <w:tc>
          <w:tcPr>
            <w:tcW w:w="7243" w:type="dxa"/>
          </w:tcPr>
          <w:p w14:paraId="224399A2" w14:textId="77777777" w:rsidR="001B1411" w:rsidRPr="00DA7625" w:rsidRDefault="002648B0">
            <w:pPr>
              <w:pStyle w:val="InstructionsText"/>
            </w:pPr>
            <w:r w:rsidRPr="00DA7625">
              <w:rPr>
                <w:rStyle w:val="InstructionsTabelleberschrift"/>
                <w:rFonts w:ascii="Times New Roman" w:hAnsi="Times New Roman"/>
                <w:sz w:val="24"/>
              </w:rPr>
              <w:t>7</w:t>
            </w:r>
            <w:r w:rsidRPr="00DA7625">
              <w:rPr>
                <w:rStyle w:val="InstructionsTabelleberschrift"/>
                <w:rFonts w:ascii="Times New Roman" w:hAnsi="Times New Roman"/>
                <w:sz w:val="24"/>
              </w:rPr>
              <w:tab/>
              <w:t>Kockázattal súlyozott kitettségérték a T2 tőkeként figyelembe vehető céltartalék felső határának kiszámításához</w:t>
            </w:r>
          </w:p>
          <w:p w14:paraId="166991F4" w14:textId="66CB0A69" w:rsidR="001B1411" w:rsidRPr="00DA7625" w:rsidRDefault="0014657C">
            <w:pPr>
              <w:pStyle w:val="InstructionsText"/>
            </w:pPr>
            <w:r w:rsidRPr="00DA7625">
              <w:t>A CRR 62. cikkének c) pontja</w:t>
            </w:r>
          </w:p>
          <w:p w14:paraId="6B110229" w14:textId="45A7A2E6" w:rsidR="001B1411" w:rsidRPr="00DA7625" w:rsidRDefault="002648B0">
            <w:pPr>
              <w:pStyle w:val="InstructionsText"/>
            </w:pPr>
            <w:r w:rsidRPr="00DA7625">
              <w:t>A CRR 62. cikkének c) pontja alapján a hitelkockázati kiigazítások a kockázattal súlyozott kitettségértékek legfeljebb 1,25 %-áig számíthatók be a T2 tőkébe.</w:t>
            </w:r>
          </w:p>
          <w:p w14:paraId="068CD027" w14:textId="77777777" w:rsidR="001B1411" w:rsidRPr="00DA7625" w:rsidRDefault="002648B0">
            <w:pPr>
              <w:pStyle w:val="InstructionsText"/>
            </w:pPr>
            <w:r w:rsidRPr="00DA7625">
              <w:t>Az ebben a tételben feltüntetendő érték a kockázattal súlyozott kitettségérték (a 1,25 %-os szorzó alkalmazása nélkül), amelyen a felső határ számítása alapul.</w:t>
            </w:r>
          </w:p>
        </w:tc>
      </w:tr>
      <w:tr w:rsidR="001B1411" w:rsidRPr="00DA7625" w14:paraId="40A6CE16" w14:textId="77777777" w:rsidTr="00672D2A">
        <w:tc>
          <w:tcPr>
            <w:tcW w:w="1506" w:type="dxa"/>
          </w:tcPr>
          <w:p w14:paraId="7BEE173F" w14:textId="77777777" w:rsidR="001B1411" w:rsidRPr="00DA7625" w:rsidRDefault="002648B0">
            <w:pPr>
              <w:pStyle w:val="InstructionsText"/>
            </w:pPr>
            <w:r w:rsidRPr="00DA7625">
              <w:t>190</w:t>
            </w:r>
          </w:p>
        </w:tc>
        <w:tc>
          <w:tcPr>
            <w:tcW w:w="7243" w:type="dxa"/>
          </w:tcPr>
          <w:p w14:paraId="77FED394" w14:textId="77777777" w:rsidR="001B1411" w:rsidRPr="00DA7625" w:rsidRDefault="002648B0">
            <w:pPr>
              <w:pStyle w:val="InstructionsText"/>
            </w:pPr>
            <w:r w:rsidRPr="00DA7625">
              <w:rPr>
                <w:rStyle w:val="InstructionsTabelleberschrift"/>
                <w:rFonts w:ascii="Times New Roman" w:hAnsi="Times New Roman"/>
                <w:sz w:val="24"/>
              </w:rPr>
              <w:t>8</w:t>
            </w:r>
            <w:r w:rsidRPr="00DA7625">
              <w:rPr>
                <w:rStyle w:val="InstructionsTabelleberschrift"/>
                <w:rFonts w:ascii="Times New Roman" w:hAnsi="Times New Roman"/>
                <w:sz w:val="24"/>
              </w:rPr>
              <w:tab/>
              <w:t>Pénzügyi ágazatbeli szervezetekben lévő részesedések nem levonható részének küszöbértéke, ha az intézmény nem rendelkezik jelentős részesedéssel az említett vállalkozásokban</w:t>
            </w:r>
          </w:p>
          <w:p w14:paraId="0607D32C" w14:textId="521A7868" w:rsidR="001B1411" w:rsidRPr="00DA7625" w:rsidRDefault="0014657C">
            <w:pPr>
              <w:pStyle w:val="InstructionsText"/>
            </w:pPr>
            <w:r w:rsidRPr="00DA7625">
              <w:t>A CRR 46. cikke (1) bekezdésének a) pontja</w:t>
            </w:r>
          </w:p>
          <w:p w14:paraId="753D02F1" w14:textId="5C8A0E70" w:rsidR="001B1411" w:rsidRPr="00DA7625" w:rsidRDefault="002648B0">
            <w:pPr>
              <w:pStyle w:val="InstructionsText"/>
            </w:pPr>
            <w:r w:rsidRPr="00DA7625">
              <w:t>A tétel azt a küszöbértéket tartalmazza, amely alatt a pénzügyi ágazatbeli szervezetekben lévő részesedések levonására nem kerül sor, ha az intézmény nem rendelkezik jelentős részesedéssel az említett vállalkozásokban. Az érték a küszöb számításánál alapul vett értékek összege, szorozva 10 %-kal.</w:t>
            </w:r>
          </w:p>
        </w:tc>
      </w:tr>
      <w:tr w:rsidR="001B1411" w:rsidRPr="00DA7625" w14:paraId="684E05DF" w14:textId="77777777" w:rsidTr="00672D2A">
        <w:tc>
          <w:tcPr>
            <w:tcW w:w="1506" w:type="dxa"/>
          </w:tcPr>
          <w:p w14:paraId="5A3D099E" w14:textId="77777777" w:rsidR="001B1411" w:rsidRPr="00DA7625" w:rsidRDefault="002648B0">
            <w:pPr>
              <w:pStyle w:val="InstructionsText"/>
            </w:pPr>
            <w:r w:rsidRPr="00DA7625">
              <w:t>200</w:t>
            </w:r>
          </w:p>
        </w:tc>
        <w:tc>
          <w:tcPr>
            <w:tcW w:w="7243" w:type="dxa"/>
          </w:tcPr>
          <w:p w14:paraId="72A6D441" w14:textId="77777777" w:rsidR="001B1411" w:rsidRPr="00DA7625" w:rsidRDefault="002648B0">
            <w:pPr>
              <w:pStyle w:val="InstructionsText"/>
            </w:pPr>
            <w:r w:rsidRPr="00DA7625">
              <w:rPr>
                <w:rStyle w:val="InstructionsTabelleberschrift"/>
                <w:rFonts w:ascii="Times New Roman" w:hAnsi="Times New Roman"/>
                <w:sz w:val="24"/>
              </w:rPr>
              <w:t>9</w:t>
            </w:r>
            <w:r w:rsidRPr="00DA7625">
              <w:rPr>
                <w:rStyle w:val="InstructionsTabelleberschrift"/>
                <w:rFonts w:ascii="Times New Roman" w:hAnsi="Times New Roman"/>
                <w:sz w:val="24"/>
              </w:rPr>
              <w:tab/>
              <w:t xml:space="preserve">A CET1 tőkére vonatkozóan rögzített 10 %-os küszöb </w:t>
            </w:r>
          </w:p>
          <w:p w14:paraId="0529A400" w14:textId="637D8FC3" w:rsidR="001B1411" w:rsidRPr="00DA7625" w:rsidRDefault="0014657C">
            <w:pPr>
              <w:pStyle w:val="InstructionsText"/>
            </w:pPr>
            <w:r w:rsidRPr="00DA7625">
              <w:t>A CRR 48. cikke (1) bekezdésének a) és b) pontja</w:t>
            </w:r>
          </w:p>
          <w:p w14:paraId="29853425" w14:textId="77777777" w:rsidR="001B1411" w:rsidRPr="00DA7625" w:rsidRDefault="002648B0">
            <w:pPr>
              <w:pStyle w:val="InstructionsText"/>
            </w:pPr>
            <w:r w:rsidRPr="00DA7625">
              <w:t>A tétel a pénzügyi ágazatbeli szervezetekben lévő jelentős intézményi részesedésekre, valamint a jövőbeni nyereségtől függően érvényesíthető és átmeneti különbözetekből eredő halasztott adókövetelésekre vonatkozó 10 %-os küszöböt tartalmazza.</w:t>
            </w:r>
          </w:p>
          <w:p w14:paraId="762E465B" w14:textId="77777777" w:rsidR="001B1411" w:rsidRPr="00DA7625" w:rsidRDefault="003C7853">
            <w:pPr>
              <w:pStyle w:val="InstructionsText"/>
            </w:pPr>
            <w:r w:rsidRPr="00DA7625">
              <w:t>Az érték a küszöb számításánál alapul vett értékek összege, szorozva 10 %-kal.</w:t>
            </w:r>
          </w:p>
        </w:tc>
      </w:tr>
      <w:tr w:rsidR="001B1411" w:rsidRPr="00DA7625" w14:paraId="595C5337" w14:textId="77777777" w:rsidTr="00672D2A">
        <w:tc>
          <w:tcPr>
            <w:tcW w:w="1506" w:type="dxa"/>
          </w:tcPr>
          <w:p w14:paraId="14441CBF" w14:textId="77777777" w:rsidR="001B1411" w:rsidRPr="00DA7625" w:rsidRDefault="002648B0">
            <w:pPr>
              <w:pStyle w:val="InstructionsText"/>
            </w:pPr>
            <w:r w:rsidRPr="00DA7625">
              <w:t>210</w:t>
            </w:r>
          </w:p>
        </w:tc>
        <w:tc>
          <w:tcPr>
            <w:tcW w:w="7243" w:type="dxa"/>
          </w:tcPr>
          <w:p w14:paraId="140F91F9" w14:textId="77777777" w:rsidR="001B1411" w:rsidRPr="00DA7625" w:rsidRDefault="002648B0">
            <w:pPr>
              <w:pStyle w:val="InstructionsText"/>
            </w:pPr>
            <w:r w:rsidRPr="00DA7625">
              <w:rPr>
                <w:rStyle w:val="InstructionsTabelleberschrift"/>
                <w:rFonts w:ascii="Times New Roman" w:hAnsi="Times New Roman"/>
                <w:sz w:val="24"/>
              </w:rPr>
              <w:t>10</w:t>
            </w:r>
            <w:r w:rsidRPr="00DA7625">
              <w:rPr>
                <w:rStyle w:val="InstructionsTabelleberschrift"/>
                <w:rFonts w:ascii="Times New Roman" w:hAnsi="Times New Roman"/>
                <w:sz w:val="24"/>
              </w:rPr>
              <w:tab/>
              <w:t xml:space="preserve">A CET1 tőkére vonatkozóan rögzített 17,65 %-os küszöb </w:t>
            </w:r>
          </w:p>
          <w:p w14:paraId="345FB4FB" w14:textId="63011C28" w:rsidR="001B1411" w:rsidRPr="00DA7625" w:rsidRDefault="002648B0">
            <w:pPr>
              <w:pStyle w:val="InstructionsText"/>
            </w:pPr>
            <w:r w:rsidRPr="00DA7625">
              <w:t>A CRR 48. cikkének (1) bekezdése</w:t>
            </w:r>
          </w:p>
          <w:p w14:paraId="56AECB83" w14:textId="77777777" w:rsidR="001B1411" w:rsidRPr="00DA7625" w:rsidRDefault="002648B0">
            <w:pPr>
              <w:pStyle w:val="InstructionsText"/>
            </w:pPr>
            <w:r w:rsidRPr="00DA7625">
              <w:lastRenderedPageBreak/>
              <w:t>A tétel a pénzügyi ágazatbeli szervezetekben lévő jelentős intézményi részesedésekre, valamint a jövőbeni nyereségtől függően érvényesíthető és átmeneti különbözetekből eredő halasztott adókövetelésekre vonatkozó 17,65 %-os küszöböt tartalmazza, amelyet a 10 %-os küszöb után kell alkalmazni.</w:t>
            </w:r>
          </w:p>
          <w:p w14:paraId="0AC241A0" w14:textId="30298FB1" w:rsidR="001B1411" w:rsidRPr="00DA7625" w:rsidRDefault="002648B0">
            <w:pPr>
              <w:pStyle w:val="InstructionsText"/>
            </w:pPr>
            <w:r w:rsidRPr="00DA7625">
              <w:t>A küszöböt úgy kell kiszámítani, hogy a két megjelenített tétel összege nem haladja meg az összes levonás után, az átmeneti rendelkezésekből eredő kiigazítások nélkül számított végső elsődleges alapvető tőke, azaz CET1 tőke 15 %-át.</w:t>
            </w:r>
          </w:p>
        </w:tc>
      </w:tr>
      <w:tr w:rsidR="001B1411" w:rsidRPr="00DA7625" w14:paraId="4131EBDC" w14:textId="77777777" w:rsidTr="00672D2A">
        <w:tc>
          <w:tcPr>
            <w:tcW w:w="1506" w:type="dxa"/>
          </w:tcPr>
          <w:p w14:paraId="45F158BF" w14:textId="77777777" w:rsidR="001B1411" w:rsidRPr="00DA7625" w:rsidRDefault="00216D67">
            <w:pPr>
              <w:pStyle w:val="InstructionsText"/>
            </w:pPr>
            <w:r w:rsidRPr="00DA7625">
              <w:lastRenderedPageBreak/>
              <w:t>225</w:t>
            </w:r>
          </w:p>
        </w:tc>
        <w:tc>
          <w:tcPr>
            <w:tcW w:w="7243" w:type="dxa"/>
          </w:tcPr>
          <w:p w14:paraId="56E66337" w14:textId="77777777" w:rsidR="001B1411" w:rsidRPr="00DA7625" w:rsidRDefault="00216D67">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11.1</w:t>
            </w:r>
            <w:r w:rsidRPr="00DA7625">
              <w:rPr>
                <w:rStyle w:val="InstructionsTabelleberschrift"/>
                <w:rFonts w:ascii="Times New Roman" w:hAnsi="Times New Roman"/>
                <w:sz w:val="24"/>
              </w:rPr>
              <w:tab/>
              <w:t>Pénzügyi ágazaton kívüli befolyásoló részesedés szempontjából figyelembe vehető szavatolótőke</w:t>
            </w:r>
          </w:p>
          <w:p w14:paraId="5F7907ED" w14:textId="37EF609C" w:rsidR="001B1411" w:rsidRPr="00DA7625" w:rsidRDefault="0014657C">
            <w:pPr>
              <w:pStyle w:val="InstructionsText"/>
              <w:rPr>
                <w:rStyle w:val="InstructionsTabelleberschrift"/>
                <w:rFonts w:ascii="Times New Roman" w:hAnsi="Times New Roman"/>
                <w:sz w:val="24"/>
              </w:rPr>
            </w:pPr>
            <w:r w:rsidRPr="00DA7625">
              <w:rPr>
                <w:rStyle w:val="InstructionsTabelleberschrift"/>
                <w:rFonts w:ascii="Times New Roman" w:hAnsi="Times New Roman"/>
                <w:b w:val="0"/>
                <w:sz w:val="24"/>
                <w:u w:val="none"/>
              </w:rPr>
              <w:t>A CRR 4. cikke (1) bekezdése 71. pontjának a) alpontja</w:t>
            </w:r>
          </w:p>
        </w:tc>
      </w:tr>
      <w:tr w:rsidR="001B1411" w:rsidRPr="00DA7625" w14:paraId="074CDA08" w14:textId="77777777" w:rsidTr="00672D2A">
        <w:tc>
          <w:tcPr>
            <w:tcW w:w="1506" w:type="dxa"/>
          </w:tcPr>
          <w:p w14:paraId="33322BD1" w14:textId="77777777" w:rsidR="001B1411" w:rsidRPr="00DA7625" w:rsidRDefault="00216D67">
            <w:pPr>
              <w:pStyle w:val="InstructionsText"/>
            </w:pPr>
            <w:r w:rsidRPr="00DA7625">
              <w:t>226</w:t>
            </w:r>
          </w:p>
        </w:tc>
        <w:tc>
          <w:tcPr>
            <w:tcW w:w="7243" w:type="dxa"/>
          </w:tcPr>
          <w:p w14:paraId="26C7C30D" w14:textId="77777777" w:rsidR="001B1411" w:rsidRPr="00DA7625" w:rsidRDefault="00216D67">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11.2</w:t>
            </w:r>
            <w:r w:rsidRPr="00DA7625">
              <w:rPr>
                <w:rStyle w:val="InstructionsTabelleberschrift"/>
                <w:rFonts w:ascii="Times New Roman" w:hAnsi="Times New Roman"/>
                <w:sz w:val="24"/>
              </w:rPr>
              <w:tab/>
              <w:t>Nagykockázat-vállalás korlátozása szempontjából figyelembe vehető szavatolótőke</w:t>
            </w:r>
          </w:p>
          <w:p w14:paraId="58928032" w14:textId="755A1DCE" w:rsidR="001B1411" w:rsidRPr="00DA7625" w:rsidRDefault="0014657C">
            <w:pPr>
              <w:pStyle w:val="InstructionsText"/>
              <w:rPr>
                <w:rStyle w:val="InstructionsTabelleberschrift"/>
                <w:rFonts w:ascii="Times New Roman" w:hAnsi="Times New Roman"/>
                <w:b w:val="0"/>
                <w:bCs w:val="0"/>
                <w:sz w:val="24"/>
                <w:u w:val="none"/>
              </w:rPr>
            </w:pPr>
            <w:r w:rsidRPr="00DA7625">
              <w:t xml:space="preserve">A CRR 4. cikke (1) bekezdése </w:t>
            </w:r>
            <w:r w:rsidRPr="00DA7625">
              <w:rPr>
                <w:rStyle w:val="InstructionsTabelleberschrift"/>
                <w:rFonts w:ascii="Times New Roman" w:hAnsi="Times New Roman"/>
                <w:b w:val="0"/>
                <w:sz w:val="24"/>
                <w:u w:val="none"/>
              </w:rPr>
              <w:t>71. pontjának b) alpontja</w:t>
            </w:r>
          </w:p>
        </w:tc>
      </w:tr>
      <w:tr w:rsidR="001B1411" w:rsidRPr="00DA7625" w14:paraId="4C8FC57A" w14:textId="77777777" w:rsidTr="00672D2A">
        <w:tc>
          <w:tcPr>
            <w:tcW w:w="1506" w:type="dxa"/>
          </w:tcPr>
          <w:p w14:paraId="2A550C8C" w14:textId="77777777" w:rsidR="001B1411" w:rsidRPr="00DA7625" w:rsidRDefault="002648B0">
            <w:pPr>
              <w:pStyle w:val="InstructionsText"/>
            </w:pPr>
            <w:r w:rsidRPr="00DA7625">
              <w:t>230</w:t>
            </w:r>
          </w:p>
        </w:tc>
        <w:tc>
          <w:tcPr>
            <w:tcW w:w="7243" w:type="dxa"/>
          </w:tcPr>
          <w:p w14:paraId="1BCF0DB6" w14:textId="77777777" w:rsidR="001B1411" w:rsidRPr="00DA7625" w:rsidRDefault="002648B0">
            <w:pPr>
              <w:pStyle w:val="InstructionsText"/>
            </w:pPr>
            <w:r w:rsidRPr="00DA7625">
              <w:rPr>
                <w:rStyle w:val="InstructionsTabelleberschrift"/>
                <w:rFonts w:ascii="Times New Roman" w:hAnsi="Times New Roman"/>
                <w:sz w:val="24"/>
              </w:rPr>
              <w:t>12</w:t>
            </w:r>
            <w:r w:rsidRPr="00DA7625">
              <w:rPr>
                <w:rStyle w:val="InstructionsTabelleberschrift"/>
                <w:rFonts w:ascii="Times New Roman" w:hAnsi="Times New Roman"/>
                <w:sz w:val="24"/>
              </w:rPr>
              <w:tab/>
              <w:t>Pénzügyi ágazatbeli szervezetek CET1 tőkéjében lévő részesedések, ha az intézmény nem rendelkezik jelentős részesedéssel az említett vállalkozásokban, a rövid pozíciók levonásával</w:t>
            </w:r>
          </w:p>
          <w:p w14:paraId="714DB117" w14:textId="752ABB59" w:rsidR="001B1411" w:rsidRPr="00DA7625" w:rsidRDefault="002648B0">
            <w:pPr>
              <w:pStyle w:val="InstructionsText"/>
            </w:pPr>
            <w:r w:rsidRPr="00DA7625">
              <w:t>A CRR 44., 45., 46. és 49. cikke</w:t>
            </w:r>
          </w:p>
        </w:tc>
      </w:tr>
      <w:tr w:rsidR="001B1411" w:rsidRPr="00DA7625" w14:paraId="2B5D5200" w14:textId="77777777" w:rsidTr="00672D2A">
        <w:tc>
          <w:tcPr>
            <w:tcW w:w="1506" w:type="dxa"/>
          </w:tcPr>
          <w:p w14:paraId="4297B88E" w14:textId="77777777" w:rsidR="001B1411" w:rsidRPr="00DA7625" w:rsidRDefault="002648B0">
            <w:pPr>
              <w:pStyle w:val="InstructionsText"/>
            </w:pPr>
            <w:r w:rsidRPr="00DA7625">
              <w:t>240</w:t>
            </w:r>
          </w:p>
        </w:tc>
        <w:tc>
          <w:tcPr>
            <w:tcW w:w="7243" w:type="dxa"/>
          </w:tcPr>
          <w:p w14:paraId="518FF441" w14:textId="77777777" w:rsidR="001B1411" w:rsidRPr="00DA7625" w:rsidRDefault="002648B0">
            <w:pPr>
              <w:pStyle w:val="InstructionsText"/>
            </w:pPr>
            <w:r w:rsidRPr="00DA7625">
              <w:rPr>
                <w:rStyle w:val="InstructionsTabelleberschrift"/>
                <w:rFonts w:ascii="Times New Roman" w:hAnsi="Times New Roman"/>
                <w:sz w:val="24"/>
              </w:rPr>
              <w:t>12.1</w:t>
            </w:r>
            <w:r w:rsidRPr="00DA7625">
              <w:rPr>
                <w:rStyle w:val="InstructionsTabelleberschrift"/>
                <w:rFonts w:ascii="Times New Roman" w:hAnsi="Times New Roman"/>
                <w:sz w:val="24"/>
              </w:rPr>
              <w:tab/>
              <w:t>Pénzügyi ágazatbeli szervezetek CET1 tőkéjében lévő közvetlen részesedések, ha az intézmény nem rendelkezik jelentős részesedéssel az említett vállalkozásokban</w:t>
            </w:r>
          </w:p>
          <w:p w14:paraId="1A9A4532" w14:textId="036245FE" w:rsidR="001B1411" w:rsidRPr="00DA7625" w:rsidRDefault="002648B0">
            <w:pPr>
              <w:pStyle w:val="InstructionsText"/>
            </w:pPr>
            <w:r w:rsidRPr="00DA7625">
              <w:t>A CRR 44., 45., 46. és 49. cikke</w:t>
            </w:r>
          </w:p>
        </w:tc>
      </w:tr>
      <w:tr w:rsidR="001B1411" w:rsidRPr="00DA7625" w14:paraId="73F4E9A3" w14:textId="77777777" w:rsidTr="00672D2A">
        <w:tc>
          <w:tcPr>
            <w:tcW w:w="1506" w:type="dxa"/>
          </w:tcPr>
          <w:p w14:paraId="361FA4BD" w14:textId="77777777" w:rsidR="001B1411" w:rsidRPr="00DA7625" w:rsidRDefault="002648B0">
            <w:pPr>
              <w:pStyle w:val="InstructionsText"/>
            </w:pPr>
            <w:r w:rsidRPr="00DA7625">
              <w:t>250</w:t>
            </w:r>
          </w:p>
        </w:tc>
        <w:tc>
          <w:tcPr>
            <w:tcW w:w="7243" w:type="dxa"/>
          </w:tcPr>
          <w:p w14:paraId="76FFBF39" w14:textId="77777777" w:rsidR="001B1411" w:rsidRPr="00DA7625" w:rsidRDefault="002648B0">
            <w:pPr>
              <w:pStyle w:val="InstructionsText"/>
            </w:pPr>
            <w:r w:rsidRPr="00DA7625">
              <w:rPr>
                <w:rStyle w:val="InstructionsTabelleberschrift"/>
                <w:rFonts w:ascii="Times New Roman" w:hAnsi="Times New Roman"/>
                <w:sz w:val="24"/>
              </w:rPr>
              <w:t>12.1.1</w:t>
            </w:r>
            <w:r w:rsidRPr="00DA7625">
              <w:rPr>
                <w:rStyle w:val="InstructionsTabelleberschrift"/>
                <w:rFonts w:ascii="Times New Roman" w:hAnsi="Times New Roman"/>
                <w:sz w:val="24"/>
              </w:rPr>
              <w:tab/>
              <w:t>Pénzügyi ágazatbeli szervezetek CET1 tőkéjében lévő bruttó közvetlen részesedések, ha az intézmény nem rendelkezik jelentős részesedéssel az említett vállalkozásokban</w:t>
            </w:r>
          </w:p>
          <w:p w14:paraId="4C57E25F" w14:textId="6C23C0AB" w:rsidR="001B1411" w:rsidRPr="00DA7625" w:rsidRDefault="002648B0">
            <w:pPr>
              <w:pStyle w:val="InstructionsText"/>
            </w:pPr>
            <w:r w:rsidRPr="00DA7625">
              <w:t>A CRR 44., 46. és 49. cikke</w:t>
            </w:r>
          </w:p>
          <w:p w14:paraId="6294294E" w14:textId="77777777" w:rsidR="001B1411" w:rsidRPr="00DA7625" w:rsidRDefault="002648B0">
            <w:pPr>
              <w:pStyle w:val="InstructionsText"/>
            </w:pPr>
            <w:r w:rsidRPr="00DA7625">
              <w:t>Pénzügyi ágazatbeli szervezetek elsődleges alapvető tőkéjében lévő közvetlen részesedések, ha az intézmény nem rendelkezik jelentős részesedéssel az említett vállalkozásokban, az alábbiak kivételével:</w:t>
            </w:r>
          </w:p>
          <w:p w14:paraId="69018A86" w14:textId="77777777" w:rsidR="001B1411" w:rsidRPr="00DA7625" w:rsidRDefault="002648B0">
            <w:pPr>
              <w:pStyle w:val="InstructionsText"/>
            </w:pPr>
            <w:r w:rsidRPr="00DA7625">
              <w:t>a)</w:t>
            </w:r>
            <w:r w:rsidRPr="00DA7625">
              <w:tab/>
              <w:t xml:space="preserve">az öt munkanapig vagy annál rövidebb ideig tartott, jegyzési garanciavállalásból eredő pozíciók; </w:t>
            </w:r>
          </w:p>
          <w:p w14:paraId="7B2C13D0" w14:textId="32A33E15" w:rsidR="001B1411" w:rsidRPr="00DA7625" w:rsidRDefault="002648B0">
            <w:pPr>
              <w:pStyle w:val="InstructionsText"/>
            </w:pPr>
            <w:r w:rsidRPr="00DA7625">
              <w:t>b)</w:t>
            </w:r>
            <w:r w:rsidRPr="00DA7625">
              <w:tab/>
              <w:t xml:space="preserve">olyan befektetéshez kapcsolódó összegek, amelyekre a 49. cikkben felsorolt alternatívák valamelyikét alkalmazzák; továbbá </w:t>
            </w:r>
          </w:p>
          <w:p w14:paraId="65010A4C" w14:textId="60CF803B" w:rsidR="001B1411" w:rsidRPr="00DA7625" w:rsidRDefault="002648B0">
            <w:pPr>
              <w:pStyle w:val="InstructionsText"/>
            </w:pPr>
            <w:r w:rsidRPr="00DA7625">
              <w:t>c)</w:t>
            </w:r>
            <w:r w:rsidRPr="00DA7625">
              <w:tab/>
              <w:t>a CRR 36. cikke (1) bekezdésének g) pontja alapján kölcsönös részesedésként kezelt részesedések</w:t>
            </w:r>
          </w:p>
        </w:tc>
      </w:tr>
      <w:tr w:rsidR="001B1411" w:rsidRPr="00DA7625" w14:paraId="1B3D7227" w14:textId="77777777" w:rsidTr="00672D2A">
        <w:tc>
          <w:tcPr>
            <w:tcW w:w="1506" w:type="dxa"/>
          </w:tcPr>
          <w:p w14:paraId="15B3FEDD" w14:textId="77777777" w:rsidR="001B1411" w:rsidRPr="00DA7625" w:rsidRDefault="002648B0">
            <w:pPr>
              <w:pStyle w:val="InstructionsText"/>
            </w:pPr>
            <w:r w:rsidRPr="00DA7625">
              <w:t>260</w:t>
            </w:r>
          </w:p>
        </w:tc>
        <w:tc>
          <w:tcPr>
            <w:tcW w:w="7243" w:type="dxa"/>
          </w:tcPr>
          <w:p w14:paraId="35452673" w14:textId="77777777" w:rsidR="001B1411" w:rsidRPr="00DA7625" w:rsidRDefault="002648B0">
            <w:pPr>
              <w:pStyle w:val="InstructionsText"/>
            </w:pPr>
            <w:r w:rsidRPr="00DA7625">
              <w:rPr>
                <w:rStyle w:val="InstructionsTabelleberschrift"/>
                <w:rFonts w:ascii="Times New Roman" w:hAnsi="Times New Roman"/>
                <w:sz w:val="24"/>
              </w:rPr>
              <w:t>12.1.2</w:t>
            </w:r>
            <w:r w:rsidRPr="00DA7625">
              <w:rPr>
                <w:rStyle w:val="InstructionsTabelleberschrift"/>
                <w:rFonts w:ascii="Times New Roman" w:hAnsi="Times New Roman"/>
                <w:sz w:val="24"/>
              </w:rPr>
              <w:tab/>
              <w:t>(–) A fent figyelembe vett bruttó közvetlen részesedésekkel kapcsolatban megengedett kiegyenlítő rövid pozíciók</w:t>
            </w:r>
          </w:p>
          <w:p w14:paraId="38E0CC2A" w14:textId="13775458" w:rsidR="001B1411" w:rsidRPr="00DA7625" w:rsidRDefault="002648B0">
            <w:pPr>
              <w:pStyle w:val="InstructionsText"/>
            </w:pPr>
            <w:r w:rsidRPr="00DA7625">
              <w:t>A CRR 45. cikke</w:t>
            </w:r>
          </w:p>
          <w:p w14:paraId="23053E8D" w14:textId="63EB5F93" w:rsidR="001B1411" w:rsidRPr="00DA7625" w:rsidRDefault="002648B0">
            <w:pPr>
              <w:pStyle w:val="InstructionsText"/>
            </w:pPr>
            <w:r w:rsidRPr="00DA7625">
              <w:lastRenderedPageBreak/>
              <w:t>A CRR 45. cikke megengedi az azonos alapul szolgáló kitettségen belüli kiegyenlítő rövid pozíciókat akkor, ha a rövid pozíció lejárata illeszkedik a hosszú pozíció lejáratához vagy legalább egy éves hátralévő futamidővel rendelkezik.</w:t>
            </w:r>
          </w:p>
        </w:tc>
      </w:tr>
      <w:tr w:rsidR="001B1411" w:rsidRPr="00DA7625" w14:paraId="1F70B255" w14:textId="77777777" w:rsidTr="00672D2A">
        <w:tc>
          <w:tcPr>
            <w:tcW w:w="1506" w:type="dxa"/>
          </w:tcPr>
          <w:p w14:paraId="1F510E39" w14:textId="77777777" w:rsidR="001B1411" w:rsidRPr="00DA7625" w:rsidRDefault="002648B0">
            <w:pPr>
              <w:pStyle w:val="InstructionsText"/>
            </w:pPr>
            <w:r w:rsidRPr="00DA7625">
              <w:lastRenderedPageBreak/>
              <w:t>270</w:t>
            </w:r>
          </w:p>
        </w:tc>
        <w:tc>
          <w:tcPr>
            <w:tcW w:w="7243" w:type="dxa"/>
          </w:tcPr>
          <w:p w14:paraId="039B6233" w14:textId="77777777" w:rsidR="001B1411" w:rsidRPr="00DA7625" w:rsidRDefault="002648B0">
            <w:pPr>
              <w:pStyle w:val="InstructionsText"/>
            </w:pPr>
            <w:r w:rsidRPr="00DA7625">
              <w:rPr>
                <w:rStyle w:val="InstructionsTabelleberschrift"/>
                <w:rFonts w:ascii="Times New Roman" w:hAnsi="Times New Roman"/>
                <w:sz w:val="24"/>
              </w:rPr>
              <w:t>12.2</w:t>
            </w:r>
            <w:r w:rsidRPr="00DA7625">
              <w:rPr>
                <w:rStyle w:val="InstructionsTabelleberschrift"/>
                <w:rFonts w:ascii="Times New Roman" w:hAnsi="Times New Roman"/>
                <w:sz w:val="24"/>
              </w:rPr>
              <w:tab/>
              <w:t>Pénzügyi ágazatbeli szervezetek CET1 tőkéjében lévő közvetett részesedések, ha az intézmény nem rendelkezik jelentős részesedéssel az említett vállalkozásokban</w:t>
            </w:r>
          </w:p>
          <w:p w14:paraId="7B12E88F" w14:textId="096A4B07" w:rsidR="001B1411" w:rsidRPr="00DA7625" w:rsidRDefault="00214FDA">
            <w:pPr>
              <w:pStyle w:val="InstructionsText"/>
            </w:pPr>
            <w:r w:rsidRPr="00DA7625">
              <w:t>A CRR 4. cikke (1) bekezdésének 114. pontja, valamint 44. és 45. cikke</w:t>
            </w:r>
          </w:p>
        </w:tc>
      </w:tr>
      <w:tr w:rsidR="001B1411" w:rsidRPr="00DA7625" w14:paraId="713BA411" w14:textId="77777777" w:rsidTr="00672D2A">
        <w:tc>
          <w:tcPr>
            <w:tcW w:w="1506" w:type="dxa"/>
          </w:tcPr>
          <w:p w14:paraId="41762E70" w14:textId="77777777" w:rsidR="001B1411" w:rsidRPr="00DA7625" w:rsidRDefault="002648B0">
            <w:pPr>
              <w:pStyle w:val="InstructionsText"/>
            </w:pPr>
            <w:r w:rsidRPr="00DA7625">
              <w:t>280</w:t>
            </w:r>
          </w:p>
        </w:tc>
        <w:tc>
          <w:tcPr>
            <w:tcW w:w="7243" w:type="dxa"/>
          </w:tcPr>
          <w:p w14:paraId="6DE04412" w14:textId="77777777" w:rsidR="001B1411" w:rsidRPr="00DA7625" w:rsidRDefault="002648B0">
            <w:pPr>
              <w:pStyle w:val="InstructionsText"/>
            </w:pPr>
            <w:r w:rsidRPr="00DA7625">
              <w:rPr>
                <w:rStyle w:val="InstructionsTabelleberschrift"/>
                <w:rFonts w:ascii="Times New Roman" w:hAnsi="Times New Roman"/>
                <w:sz w:val="24"/>
              </w:rPr>
              <w:t>12.2.1</w:t>
            </w:r>
            <w:r w:rsidRPr="00DA7625">
              <w:rPr>
                <w:rStyle w:val="InstructionsTabelleberschrift"/>
                <w:rFonts w:ascii="Times New Roman" w:hAnsi="Times New Roman"/>
                <w:sz w:val="24"/>
              </w:rPr>
              <w:tab/>
              <w:t>Pénzügyi ágazatbeli szervezetek CET1 tőkéjében lévő bruttó közvetett részesedések, ha az intézmény nem rendelkezik jelentős részesedéssel az említett vállalkozásokban</w:t>
            </w:r>
          </w:p>
          <w:p w14:paraId="4FA04805" w14:textId="7EFC5828" w:rsidR="001B1411" w:rsidRPr="00DA7625" w:rsidRDefault="00214FDA">
            <w:pPr>
              <w:pStyle w:val="InstructionsText"/>
            </w:pPr>
            <w:r w:rsidRPr="00DA7625">
              <w:t>A CRR 4. cikke (1) bekezdésének 114. pontja, valamint 44. és 45. cikke</w:t>
            </w:r>
          </w:p>
          <w:p w14:paraId="52F7CDCB" w14:textId="77777777" w:rsidR="001B1411" w:rsidRPr="00DA7625" w:rsidRDefault="002648B0">
            <w:pPr>
              <w:pStyle w:val="InstructionsText"/>
            </w:pPr>
            <w:r w:rsidRPr="00DA7625">
              <w:t>A feltüntetendő érték a pénzügyi ágazatbeli szervezetek tőkeinstrumentumaiban lévő, kereskedési könyvben nyilvántartott olyan közvetett részesedések értéke, amelyek indexhez kötött értékpapírokban lévő részesedés formáját öltik. Meghatározása a pénzügyi ágazatbeli szervezeteknek az adott indexekben foglalt tőkeinstrumentumaival szembeni, alapul szolgáló kitettség kiszámításával történik.</w:t>
            </w:r>
          </w:p>
          <w:p w14:paraId="079EC6C2" w14:textId="5AAF2675" w:rsidR="001B1411" w:rsidRPr="00DA7625" w:rsidRDefault="002648B0">
            <w:pPr>
              <w:pStyle w:val="InstructionsText"/>
            </w:pPr>
            <w:r w:rsidRPr="00DA7625">
              <w:t>A CRR 36. cikke (1) bekezdésének g) pontja alapján kölcsönös részesedésként kezelt részesedések nem számíthatók be.</w:t>
            </w:r>
          </w:p>
        </w:tc>
      </w:tr>
      <w:tr w:rsidR="001B1411" w:rsidRPr="00DA7625" w14:paraId="5F89F622" w14:textId="77777777" w:rsidTr="00672D2A">
        <w:trPr>
          <w:trHeight w:val="850"/>
        </w:trPr>
        <w:tc>
          <w:tcPr>
            <w:tcW w:w="1506" w:type="dxa"/>
          </w:tcPr>
          <w:p w14:paraId="181204BB" w14:textId="77777777" w:rsidR="001B1411" w:rsidRPr="00DA7625" w:rsidRDefault="002648B0">
            <w:pPr>
              <w:pStyle w:val="InstructionsText"/>
            </w:pPr>
            <w:r w:rsidRPr="00DA7625">
              <w:t>290</w:t>
            </w:r>
          </w:p>
        </w:tc>
        <w:tc>
          <w:tcPr>
            <w:tcW w:w="7243" w:type="dxa"/>
          </w:tcPr>
          <w:p w14:paraId="064C4AC9" w14:textId="77777777" w:rsidR="001B1411" w:rsidRPr="00DA7625" w:rsidRDefault="002648B0">
            <w:pPr>
              <w:pStyle w:val="InstructionsText"/>
            </w:pPr>
            <w:r w:rsidRPr="00DA7625">
              <w:rPr>
                <w:rStyle w:val="InstructionsTabelleberschrift"/>
                <w:rFonts w:ascii="Times New Roman" w:hAnsi="Times New Roman"/>
                <w:sz w:val="24"/>
              </w:rPr>
              <w:t>12.2.2</w:t>
            </w:r>
            <w:r w:rsidRPr="00DA7625">
              <w:rPr>
                <w:rStyle w:val="InstructionsTabelleberschrift"/>
                <w:rFonts w:ascii="Times New Roman" w:hAnsi="Times New Roman"/>
                <w:sz w:val="24"/>
              </w:rPr>
              <w:tab/>
              <w:t>(–) A fent figyelembe vett bruttó közvetett részesedésekkel kapcsolatban megengedett kiegyenlítő rövid pozíciók</w:t>
            </w:r>
          </w:p>
          <w:p w14:paraId="37DDB41F" w14:textId="4D473EA3" w:rsidR="001B1411" w:rsidRPr="00DA7625" w:rsidRDefault="00214FDA">
            <w:pPr>
              <w:pStyle w:val="InstructionsText"/>
            </w:pPr>
            <w:r w:rsidRPr="00DA7625">
              <w:t>A CRR 4. cikke (1) bekezdésének 114. pontja, valamint 45. cikke</w:t>
            </w:r>
          </w:p>
          <w:p w14:paraId="4F53DE74" w14:textId="086EDD09" w:rsidR="001B1411" w:rsidRPr="00DA7625" w:rsidRDefault="0014657C">
            <w:pPr>
              <w:pStyle w:val="InstructionsText"/>
            </w:pPr>
            <w:r w:rsidRPr="00DA7625">
              <w:t>A CRR 45. cikkének a) pontja megengedi az azonos alapul szolgáló kitettségen belüli kiegyenlítő rövid pozíciókat akkor, ha a rövid pozíció lejárata illeszkedik a hosszú pozíció lejáratához vagy legalább egy éves hátralévő futamidővel rendelkezik.</w:t>
            </w:r>
          </w:p>
        </w:tc>
      </w:tr>
      <w:tr w:rsidR="001B1411" w:rsidRPr="00DA7625" w14:paraId="55B417E0" w14:textId="77777777" w:rsidTr="00672D2A">
        <w:tc>
          <w:tcPr>
            <w:tcW w:w="1506" w:type="dxa"/>
          </w:tcPr>
          <w:p w14:paraId="4AB46911" w14:textId="77777777" w:rsidR="001B1411" w:rsidRPr="00DA7625" w:rsidRDefault="002648B0">
            <w:pPr>
              <w:pStyle w:val="InstructionsText"/>
            </w:pPr>
            <w:r w:rsidRPr="00DA7625">
              <w:t>291</w:t>
            </w:r>
          </w:p>
        </w:tc>
        <w:tc>
          <w:tcPr>
            <w:tcW w:w="7243" w:type="dxa"/>
            <w:vAlign w:val="center"/>
          </w:tcPr>
          <w:p w14:paraId="062F8E8A" w14:textId="77777777" w:rsidR="001B1411" w:rsidRPr="00DA7625" w:rsidRDefault="002648B0">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sz w:val="24"/>
              </w:rPr>
              <w:t>12.3.1</w:t>
            </w:r>
            <w:r w:rsidRPr="00DA7625">
              <w:rPr>
                <w:rStyle w:val="InstructionsTabelleberschrift"/>
                <w:rFonts w:ascii="Times New Roman" w:hAnsi="Times New Roman"/>
                <w:sz w:val="24"/>
              </w:rPr>
              <w:tab/>
              <w:t>Pénzügyi ágazatbeli szervezetek CET1 tőkéjében lévő szintetikus részesedések, ha az intézmény nem rendelkezik jelentős részesedéssel az említett vállalkozásokban</w:t>
            </w:r>
          </w:p>
          <w:p w14:paraId="697C040B" w14:textId="11ABAA1B" w:rsidR="001B1411" w:rsidRPr="00DA7625" w:rsidRDefault="00214FDA">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CRR 4. cikke (1) bekezdésének 126. pontja, valamint 44. és 45. cikke</w:t>
            </w:r>
          </w:p>
        </w:tc>
      </w:tr>
      <w:tr w:rsidR="001B1411" w:rsidRPr="00DA7625" w14:paraId="6953E2A3" w14:textId="77777777" w:rsidTr="00672D2A">
        <w:tc>
          <w:tcPr>
            <w:tcW w:w="1506" w:type="dxa"/>
          </w:tcPr>
          <w:p w14:paraId="7904CC35" w14:textId="77777777" w:rsidR="001B1411" w:rsidRPr="00DA7625" w:rsidRDefault="002648B0">
            <w:pPr>
              <w:pStyle w:val="InstructionsText"/>
            </w:pPr>
            <w:r w:rsidRPr="00DA7625">
              <w:t>292</w:t>
            </w:r>
          </w:p>
        </w:tc>
        <w:tc>
          <w:tcPr>
            <w:tcW w:w="7243" w:type="dxa"/>
            <w:vAlign w:val="center"/>
          </w:tcPr>
          <w:p w14:paraId="481AF34E" w14:textId="77777777" w:rsidR="001B1411" w:rsidRPr="00DA7625" w:rsidRDefault="002648B0">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sz w:val="24"/>
              </w:rPr>
              <w:t>12.3.2</w:t>
            </w:r>
            <w:r w:rsidRPr="00DA7625">
              <w:rPr>
                <w:rStyle w:val="InstructionsTabelleberschrift"/>
                <w:rFonts w:ascii="Times New Roman" w:hAnsi="Times New Roman"/>
                <w:sz w:val="24"/>
              </w:rPr>
              <w:tab/>
              <w:t>Pénzügyi ágazatbeli szervezetek CET1 tőkéjében lévő bruttó szintetikus részesedések, ha az intézmény nem rendelkezik jelentős részesedéssel az említett vállalkozásokban</w:t>
            </w:r>
          </w:p>
          <w:p w14:paraId="4CF4E076" w14:textId="28DB9030" w:rsidR="001B1411" w:rsidRPr="00DA7625" w:rsidRDefault="00214FDA">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CRR 4. cikke (1) bekezdésének 126. pontja, valamint 44. és 45. cikke</w:t>
            </w:r>
          </w:p>
        </w:tc>
      </w:tr>
      <w:tr w:rsidR="001B1411" w:rsidRPr="00DA7625" w14:paraId="30B1F894" w14:textId="77777777" w:rsidTr="00672D2A">
        <w:tc>
          <w:tcPr>
            <w:tcW w:w="1506" w:type="dxa"/>
          </w:tcPr>
          <w:p w14:paraId="522A63E6" w14:textId="77777777" w:rsidR="001B1411" w:rsidRPr="00DA7625" w:rsidRDefault="002648B0">
            <w:pPr>
              <w:pStyle w:val="InstructionsText"/>
            </w:pPr>
            <w:r w:rsidRPr="00DA7625">
              <w:t>293</w:t>
            </w:r>
          </w:p>
        </w:tc>
        <w:tc>
          <w:tcPr>
            <w:tcW w:w="7243" w:type="dxa"/>
            <w:vAlign w:val="center"/>
          </w:tcPr>
          <w:p w14:paraId="3F4762D8" w14:textId="77777777" w:rsidR="001B1411" w:rsidRPr="00DA7625" w:rsidRDefault="002648B0">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12.3.3</w:t>
            </w:r>
            <w:r w:rsidRPr="00DA7625">
              <w:rPr>
                <w:rStyle w:val="InstructionsTabelleberschrift"/>
                <w:rFonts w:ascii="Times New Roman" w:hAnsi="Times New Roman"/>
                <w:sz w:val="24"/>
              </w:rPr>
              <w:tab/>
              <w:t>(–) A fent figyelembe vett bruttó szintetikus részesedésekkel kapcsolatban megengedett kiegyenlítő rövid pozíciók</w:t>
            </w:r>
          </w:p>
          <w:p w14:paraId="30A7CEB6" w14:textId="139F584E" w:rsidR="001B1411" w:rsidRPr="00DA7625" w:rsidRDefault="00214FDA">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CRR 4. cikke (1) bekezdésének 126. pontja, valamint 45. cikke</w:t>
            </w:r>
          </w:p>
        </w:tc>
      </w:tr>
      <w:tr w:rsidR="001B1411" w:rsidRPr="00DA7625" w14:paraId="14B120A3" w14:textId="77777777" w:rsidTr="00672D2A">
        <w:tc>
          <w:tcPr>
            <w:tcW w:w="1506" w:type="dxa"/>
          </w:tcPr>
          <w:p w14:paraId="369A2526" w14:textId="77777777" w:rsidR="001B1411" w:rsidRPr="00DA7625" w:rsidRDefault="002648B0">
            <w:pPr>
              <w:pStyle w:val="InstructionsText"/>
            </w:pPr>
            <w:r w:rsidRPr="00DA7625">
              <w:t>300</w:t>
            </w:r>
          </w:p>
        </w:tc>
        <w:tc>
          <w:tcPr>
            <w:tcW w:w="7243" w:type="dxa"/>
          </w:tcPr>
          <w:p w14:paraId="52900569" w14:textId="77777777" w:rsidR="001B1411" w:rsidRPr="00DA7625" w:rsidRDefault="002648B0">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w:t>
            </w:r>
            <w:r w:rsidRPr="00DA7625">
              <w:rPr>
                <w:rStyle w:val="InstructionsTabelleberschrift"/>
                <w:rFonts w:ascii="Times New Roman" w:hAnsi="Times New Roman"/>
                <w:sz w:val="24"/>
              </w:rPr>
              <w:tab/>
              <w:t>Pénzügyi ágazatbeli szervezetek AT1 tőkéjében lévő részesedések, ha az intézmény nem rendelkezik jelentős részesedéssel az említett vállalkozásokban, a rövid pozíciók levonásával</w:t>
            </w:r>
          </w:p>
          <w:p w14:paraId="7A2C687B" w14:textId="44979A34" w:rsidR="001B1411" w:rsidRPr="00DA7625" w:rsidRDefault="002648B0">
            <w:pPr>
              <w:pStyle w:val="InstructionsText"/>
            </w:pPr>
            <w:r w:rsidRPr="00DA7625">
              <w:t>A CRR 58., 59. és 60. cikke</w:t>
            </w:r>
          </w:p>
        </w:tc>
      </w:tr>
      <w:tr w:rsidR="001B1411" w:rsidRPr="00DA7625" w14:paraId="3DF636D6" w14:textId="77777777" w:rsidTr="00672D2A">
        <w:tc>
          <w:tcPr>
            <w:tcW w:w="1506" w:type="dxa"/>
          </w:tcPr>
          <w:p w14:paraId="6A3DBAB2" w14:textId="77777777" w:rsidR="001B1411" w:rsidRPr="00DA7625" w:rsidRDefault="002648B0">
            <w:pPr>
              <w:pStyle w:val="InstructionsText"/>
            </w:pPr>
            <w:r w:rsidRPr="00DA7625">
              <w:lastRenderedPageBreak/>
              <w:t>310</w:t>
            </w:r>
          </w:p>
        </w:tc>
        <w:tc>
          <w:tcPr>
            <w:tcW w:w="7243" w:type="dxa"/>
          </w:tcPr>
          <w:p w14:paraId="5D302251" w14:textId="77777777" w:rsidR="001B1411" w:rsidRPr="00DA7625" w:rsidRDefault="002648B0">
            <w:pPr>
              <w:pStyle w:val="InstructionsText"/>
            </w:pPr>
            <w:r w:rsidRPr="00DA7625">
              <w:rPr>
                <w:rStyle w:val="InstructionsTabelleberschrift"/>
                <w:rFonts w:ascii="Times New Roman" w:hAnsi="Times New Roman"/>
                <w:sz w:val="24"/>
              </w:rPr>
              <w:t>13.1</w:t>
            </w:r>
            <w:r w:rsidRPr="00DA7625">
              <w:rPr>
                <w:rStyle w:val="InstructionsTabelleberschrift"/>
                <w:rFonts w:ascii="Times New Roman" w:hAnsi="Times New Roman"/>
                <w:sz w:val="24"/>
              </w:rPr>
              <w:tab/>
              <w:t>Pénzügyi ágazatbeli szervezetek AT1 tőkéjében lévő közvetlen részesedések, ha az intézmény nem rendelkezik jelentős részesedéssel az említett vállalkozásokban</w:t>
            </w:r>
          </w:p>
          <w:p w14:paraId="1AA16D99" w14:textId="07038700" w:rsidR="001B1411" w:rsidRPr="00DA7625" w:rsidRDefault="002648B0">
            <w:pPr>
              <w:pStyle w:val="InstructionsText"/>
            </w:pPr>
            <w:r w:rsidRPr="00DA7625">
              <w:t>A CRR 58. és 59. cikke, valamint 60. cikkének (2) bekezdése</w:t>
            </w:r>
          </w:p>
        </w:tc>
      </w:tr>
      <w:tr w:rsidR="001B1411" w:rsidRPr="00DA7625" w14:paraId="3DEB85F1" w14:textId="77777777" w:rsidTr="00672D2A">
        <w:tc>
          <w:tcPr>
            <w:tcW w:w="1506" w:type="dxa"/>
          </w:tcPr>
          <w:p w14:paraId="29A288AF" w14:textId="77777777" w:rsidR="001B1411" w:rsidRPr="00DA7625" w:rsidRDefault="002648B0">
            <w:pPr>
              <w:pStyle w:val="InstructionsText"/>
            </w:pPr>
            <w:r w:rsidRPr="00DA7625">
              <w:t>320</w:t>
            </w:r>
          </w:p>
        </w:tc>
        <w:tc>
          <w:tcPr>
            <w:tcW w:w="7243" w:type="dxa"/>
          </w:tcPr>
          <w:p w14:paraId="5B626C5A" w14:textId="77777777" w:rsidR="001B1411" w:rsidRPr="00DA7625" w:rsidRDefault="002648B0">
            <w:pPr>
              <w:pStyle w:val="InstructionsText"/>
            </w:pPr>
            <w:r w:rsidRPr="00DA7625">
              <w:rPr>
                <w:rStyle w:val="InstructionsTabelleberschrift"/>
                <w:rFonts w:ascii="Times New Roman" w:hAnsi="Times New Roman"/>
                <w:sz w:val="24"/>
              </w:rPr>
              <w:t>13.1.1</w:t>
            </w:r>
            <w:r w:rsidRPr="00DA7625">
              <w:rPr>
                <w:rStyle w:val="InstructionsTabelleberschrift"/>
                <w:rFonts w:ascii="Times New Roman" w:hAnsi="Times New Roman"/>
                <w:sz w:val="24"/>
              </w:rPr>
              <w:tab/>
              <w:t>Pénzügyi ágazatbeli szervezetek AT1 tőkéjében lévő bruttó közvetlen részesedések, ha az intézmény nem rendelkezik jelentős részesedéssel az említett vállalkozásokban</w:t>
            </w:r>
          </w:p>
          <w:p w14:paraId="69E39D2C" w14:textId="24B017A9" w:rsidR="001B1411" w:rsidRPr="00DA7625" w:rsidRDefault="002648B0">
            <w:pPr>
              <w:pStyle w:val="InstructionsText"/>
            </w:pPr>
            <w:r w:rsidRPr="00DA7625">
              <w:t>A CRR 58. cikke, valamint 60. cikkének (2) bekezdése</w:t>
            </w:r>
          </w:p>
          <w:p w14:paraId="5C119113" w14:textId="77777777" w:rsidR="001B1411" w:rsidRPr="00DA7625" w:rsidRDefault="002648B0">
            <w:pPr>
              <w:pStyle w:val="InstructionsText"/>
            </w:pPr>
            <w:r w:rsidRPr="00DA7625">
              <w:t>Pénzügyi ágazatbeli szervezetek AT1 tőkéjében lévő közvetlen részesedések, ha az intézmény nem rendelkezik jelentős részesedéssel az említett vállalkozásokban, az alábbiak kivételével:</w:t>
            </w:r>
          </w:p>
          <w:p w14:paraId="28F77BEB" w14:textId="77777777" w:rsidR="001B1411" w:rsidRPr="00DA7625" w:rsidRDefault="002648B0">
            <w:pPr>
              <w:pStyle w:val="InstructionsText"/>
            </w:pPr>
            <w:r w:rsidRPr="00DA7625">
              <w:t>a)</w:t>
            </w:r>
            <w:r w:rsidRPr="00DA7625">
              <w:tab/>
              <w:t xml:space="preserve">az öt munkanapig vagy annál rövidebb ideig tartott, jegyzési garanciavállalásból eredő pozíciók; továbbá </w:t>
            </w:r>
          </w:p>
          <w:p w14:paraId="39599D12" w14:textId="21C61013" w:rsidR="001B1411" w:rsidRPr="00DA7625" w:rsidRDefault="002648B0">
            <w:pPr>
              <w:pStyle w:val="InstructionsText"/>
            </w:pPr>
            <w:r w:rsidRPr="00DA7625">
              <w:t>b)</w:t>
            </w:r>
            <w:r w:rsidRPr="00DA7625">
              <w:tab/>
              <w:t>a CRR 56. cikkének b) pontja alapján kölcsönös részesedésként kezelt részesedések.</w:t>
            </w:r>
          </w:p>
        </w:tc>
      </w:tr>
      <w:tr w:rsidR="001B1411" w:rsidRPr="00DA7625" w14:paraId="18D264D3" w14:textId="77777777" w:rsidTr="00672D2A">
        <w:tc>
          <w:tcPr>
            <w:tcW w:w="1506" w:type="dxa"/>
          </w:tcPr>
          <w:p w14:paraId="0F7E568E" w14:textId="77777777" w:rsidR="001B1411" w:rsidRPr="00DA7625" w:rsidRDefault="002648B0">
            <w:pPr>
              <w:pStyle w:val="InstructionsText"/>
            </w:pPr>
            <w:r w:rsidRPr="00DA7625">
              <w:t>330</w:t>
            </w:r>
          </w:p>
        </w:tc>
        <w:tc>
          <w:tcPr>
            <w:tcW w:w="7243" w:type="dxa"/>
          </w:tcPr>
          <w:p w14:paraId="7CCB3D8E" w14:textId="77777777" w:rsidR="001B1411" w:rsidRPr="00DA7625" w:rsidRDefault="002648B0">
            <w:pPr>
              <w:pStyle w:val="InstructionsText"/>
            </w:pPr>
            <w:r w:rsidRPr="00DA7625">
              <w:rPr>
                <w:rStyle w:val="InstructionsTabelleberschrift"/>
                <w:rFonts w:ascii="Times New Roman" w:hAnsi="Times New Roman"/>
                <w:sz w:val="24"/>
              </w:rPr>
              <w:t>13.1.2</w:t>
            </w:r>
            <w:r w:rsidRPr="00DA7625">
              <w:rPr>
                <w:rStyle w:val="InstructionsTabelleberschrift"/>
                <w:rFonts w:ascii="Times New Roman" w:hAnsi="Times New Roman"/>
                <w:sz w:val="24"/>
              </w:rPr>
              <w:tab/>
              <w:t>(–) A fent figyelembe vett bruttó közvetlen részesedésekkel kapcsolatban megengedett kiegyenlítő rövid pozíciók</w:t>
            </w:r>
          </w:p>
          <w:p w14:paraId="1C0564BA" w14:textId="466365E5" w:rsidR="001B1411" w:rsidRPr="00DA7625" w:rsidRDefault="002648B0">
            <w:pPr>
              <w:pStyle w:val="InstructionsText"/>
            </w:pPr>
            <w:r w:rsidRPr="00DA7625">
              <w:t>A CRR 59. cikke</w:t>
            </w:r>
          </w:p>
          <w:p w14:paraId="15F5FC07" w14:textId="7B593A25" w:rsidR="001B1411" w:rsidRPr="00DA7625" w:rsidRDefault="0014657C">
            <w:pPr>
              <w:pStyle w:val="InstructionsText"/>
            </w:pPr>
            <w:r w:rsidRPr="00DA7625">
              <w:t>A CRR 59. cikkének a) pontja megengedi az azonos alapul szolgáló kitettségen belüli kiegyenlítő rövid pozíciókat akkor, ha a rövid pozíció lejárata illeszkedik a hosszú pozíció lejáratához vagy legalább egy éves hátralévő futamidővel rendelkezik.</w:t>
            </w:r>
          </w:p>
        </w:tc>
      </w:tr>
      <w:tr w:rsidR="001B1411" w:rsidRPr="00DA7625" w14:paraId="0DB0D8FF" w14:textId="77777777" w:rsidTr="00672D2A">
        <w:tc>
          <w:tcPr>
            <w:tcW w:w="1506" w:type="dxa"/>
          </w:tcPr>
          <w:p w14:paraId="5A72A2AE" w14:textId="77777777" w:rsidR="001B1411" w:rsidRPr="00DA7625" w:rsidRDefault="002648B0">
            <w:pPr>
              <w:pStyle w:val="InstructionsText"/>
            </w:pPr>
            <w:r w:rsidRPr="00DA7625">
              <w:t>340</w:t>
            </w:r>
          </w:p>
        </w:tc>
        <w:tc>
          <w:tcPr>
            <w:tcW w:w="7243" w:type="dxa"/>
          </w:tcPr>
          <w:p w14:paraId="7AD7D79B" w14:textId="77777777" w:rsidR="001B1411" w:rsidRPr="00DA7625" w:rsidRDefault="002648B0">
            <w:pPr>
              <w:pStyle w:val="InstructionsText"/>
            </w:pPr>
            <w:r w:rsidRPr="00DA7625">
              <w:rPr>
                <w:rStyle w:val="InstructionsTabelleberschrift"/>
                <w:rFonts w:ascii="Times New Roman" w:hAnsi="Times New Roman"/>
                <w:sz w:val="24"/>
              </w:rPr>
              <w:t>13.2</w:t>
            </w:r>
            <w:r w:rsidRPr="00DA7625">
              <w:rPr>
                <w:rStyle w:val="InstructionsTabelleberschrift"/>
                <w:rFonts w:ascii="Times New Roman" w:hAnsi="Times New Roman"/>
                <w:sz w:val="24"/>
              </w:rPr>
              <w:tab/>
              <w:t>Pénzügyi ágazatbeli szervezetek AT1 tőkéjében lévő közvetett részesedések, ha az intézmény nem rendelkezik jelentős részesedéssel az említett vállalkozásokban</w:t>
            </w:r>
          </w:p>
          <w:p w14:paraId="457752D0" w14:textId="432BC9CD" w:rsidR="001B1411" w:rsidRPr="00DA7625" w:rsidRDefault="00214FDA">
            <w:pPr>
              <w:pStyle w:val="InstructionsText"/>
            </w:pPr>
            <w:r w:rsidRPr="00DA7625">
              <w:t>A CRR 4. cikke (1) bekezdésének 114. pontja, valamint 58. és 59. cikke</w:t>
            </w:r>
          </w:p>
        </w:tc>
      </w:tr>
      <w:tr w:rsidR="001B1411" w:rsidRPr="00DA7625" w14:paraId="0CF08560" w14:textId="77777777" w:rsidTr="00672D2A">
        <w:tc>
          <w:tcPr>
            <w:tcW w:w="1506" w:type="dxa"/>
          </w:tcPr>
          <w:p w14:paraId="54816389" w14:textId="77777777" w:rsidR="001B1411" w:rsidRPr="00DA7625" w:rsidRDefault="002648B0">
            <w:pPr>
              <w:pStyle w:val="InstructionsText"/>
            </w:pPr>
            <w:r w:rsidRPr="00DA7625">
              <w:t>350</w:t>
            </w:r>
          </w:p>
        </w:tc>
        <w:tc>
          <w:tcPr>
            <w:tcW w:w="7243" w:type="dxa"/>
          </w:tcPr>
          <w:p w14:paraId="02D461C1" w14:textId="77777777" w:rsidR="001B1411" w:rsidRPr="00DA7625" w:rsidRDefault="002648B0">
            <w:pPr>
              <w:pStyle w:val="InstructionsText"/>
            </w:pPr>
            <w:r w:rsidRPr="00DA7625">
              <w:rPr>
                <w:rStyle w:val="InstructionsTabelleberschrift"/>
                <w:rFonts w:ascii="Times New Roman" w:hAnsi="Times New Roman"/>
                <w:sz w:val="24"/>
              </w:rPr>
              <w:t>13.2.1</w:t>
            </w:r>
            <w:r w:rsidRPr="00DA7625">
              <w:rPr>
                <w:rStyle w:val="InstructionsTabelleberschrift"/>
                <w:rFonts w:ascii="Times New Roman" w:hAnsi="Times New Roman"/>
                <w:sz w:val="24"/>
              </w:rPr>
              <w:tab/>
              <w:t>Pénzügyi ágazatbeli szervezetek AT1 tőkéjében lévő bruttó közvetett részesedések, ha az intézmény nem rendelkezik jelentős részesedéssel az említett vállalkozásokban</w:t>
            </w:r>
          </w:p>
          <w:p w14:paraId="28B6DA91" w14:textId="14592B98" w:rsidR="001B1411" w:rsidRPr="00DA7625" w:rsidRDefault="00214FDA">
            <w:pPr>
              <w:pStyle w:val="InstructionsText"/>
            </w:pPr>
            <w:r w:rsidRPr="00DA7625">
              <w:t>A CRR 4. cikke (1) bekezdésének 114. pontja, valamint 58. és 59. cikke</w:t>
            </w:r>
          </w:p>
          <w:p w14:paraId="09EBC206" w14:textId="77777777" w:rsidR="001B1411" w:rsidRPr="00DA7625" w:rsidRDefault="002648B0">
            <w:pPr>
              <w:pStyle w:val="InstructionsText"/>
            </w:pPr>
            <w:r w:rsidRPr="00DA7625">
              <w:t>A feltüntetendő érték a pénzügyi ágazatbeli szervezetek tőkeinstrumentumaiban lévő, kereskedési könyvben nyilvántartott olyan közvetett részesedések értéke, amelyek indexhez kötött értékpapírokban lévő részesedés formáját öltik. Meghatározása a pénzügyi ágazatbeli szervezeteknek az adott indexekben foglalt tőkeinstrumentumaival szembeni, alapul szolgáló kitettség kiszámításával történik.</w:t>
            </w:r>
          </w:p>
          <w:p w14:paraId="347F2663" w14:textId="14A1E84E" w:rsidR="001B1411" w:rsidRPr="00DA7625" w:rsidRDefault="002648B0">
            <w:pPr>
              <w:pStyle w:val="InstructionsText"/>
            </w:pPr>
            <w:r w:rsidRPr="00DA7625">
              <w:t>A CRR 56. cikkének b) pontja alapján kölcsönös részesedésként kezelt részesedések nem számíthatók be.</w:t>
            </w:r>
          </w:p>
        </w:tc>
      </w:tr>
      <w:tr w:rsidR="001B1411" w:rsidRPr="00DA7625" w14:paraId="58329290" w14:textId="77777777" w:rsidTr="00672D2A">
        <w:tc>
          <w:tcPr>
            <w:tcW w:w="1506" w:type="dxa"/>
          </w:tcPr>
          <w:p w14:paraId="02396C73" w14:textId="77777777" w:rsidR="001B1411" w:rsidRPr="00DA7625" w:rsidRDefault="002648B0">
            <w:pPr>
              <w:pStyle w:val="InstructionsText"/>
            </w:pPr>
            <w:r w:rsidRPr="00DA7625">
              <w:t>360</w:t>
            </w:r>
          </w:p>
        </w:tc>
        <w:tc>
          <w:tcPr>
            <w:tcW w:w="7243" w:type="dxa"/>
          </w:tcPr>
          <w:p w14:paraId="70023092" w14:textId="77777777" w:rsidR="001B1411" w:rsidRPr="00DA7625" w:rsidRDefault="002648B0">
            <w:pPr>
              <w:pStyle w:val="InstructionsText"/>
            </w:pPr>
            <w:r w:rsidRPr="00DA7625">
              <w:rPr>
                <w:rStyle w:val="InstructionsTabelleberschrift"/>
                <w:rFonts w:ascii="Times New Roman" w:hAnsi="Times New Roman"/>
                <w:sz w:val="24"/>
              </w:rPr>
              <w:t>13.2.2</w:t>
            </w:r>
            <w:r w:rsidRPr="00DA7625">
              <w:rPr>
                <w:rStyle w:val="InstructionsTabelleberschrift"/>
                <w:rFonts w:ascii="Times New Roman" w:hAnsi="Times New Roman"/>
                <w:sz w:val="24"/>
              </w:rPr>
              <w:tab/>
              <w:t>(–) A fent figyelembe vett bruttó közvetett részesedésekkel kapcsolatban megengedett kiegyenlítő rövid pozíciók</w:t>
            </w:r>
          </w:p>
          <w:p w14:paraId="1F0E451C" w14:textId="28928581" w:rsidR="001B1411" w:rsidRPr="00DA7625" w:rsidRDefault="00214FDA">
            <w:pPr>
              <w:pStyle w:val="InstructionsText"/>
            </w:pPr>
            <w:r w:rsidRPr="00DA7625">
              <w:t>A CRR 4. cikke (1) bekezdésének 114. pontja, valamint 59. cikke</w:t>
            </w:r>
          </w:p>
          <w:p w14:paraId="017DF527" w14:textId="7A5602B2" w:rsidR="001B1411" w:rsidRPr="00DA7625" w:rsidRDefault="0014657C">
            <w:pPr>
              <w:pStyle w:val="InstructionsText"/>
            </w:pPr>
            <w:r w:rsidRPr="00DA7625">
              <w:lastRenderedPageBreak/>
              <w:t>A CRR 59. cikkének a) pontja megengedi az azonos alapul szolgáló kitettségen belüli kiegyenlítő rövid pozíciókat akkor, ha a rövid pozíció lejárata illeszkedik a hosszú pozíció lejáratához vagy legalább egy éves hátralévő futamidővel rendelkezik.</w:t>
            </w:r>
          </w:p>
        </w:tc>
      </w:tr>
      <w:tr w:rsidR="001B1411" w:rsidRPr="00DA7625" w14:paraId="4B0743D4" w14:textId="77777777" w:rsidTr="00672D2A">
        <w:tc>
          <w:tcPr>
            <w:tcW w:w="1506" w:type="dxa"/>
          </w:tcPr>
          <w:p w14:paraId="272D7D66" w14:textId="77777777" w:rsidR="001B1411" w:rsidRPr="00DA7625" w:rsidRDefault="002648B0">
            <w:pPr>
              <w:pStyle w:val="InstructionsText"/>
            </w:pPr>
            <w:r w:rsidRPr="00DA7625">
              <w:lastRenderedPageBreak/>
              <w:t>361</w:t>
            </w:r>
          </w:p>
        </w:tc>
        <w:tc>
          <w:tcPr>
            <w:tcW w:w="7243" w:type="dxa"/>
            <w:vAlign w:val="center"/>
          </w:tcPr>
          <w:p w14:paraId="17308441" w14:textId="77777777" w:rsidR="001B1411" w:rsidRPr="00DA7625" w:rsidRDefault="002648B0">
            <w:pPr>
              <w:pStyle w:val="InstructionsText"/>
            </w:pPr>
            <w:r w:rsidRPr="00DA7625">
              <w:rPr>
                <w:rStyle w:val="InstructionsTabelleberschrift"/>
                <w:rFonts w:ascii="Times New Roman" w:hAnsi="Times New Roman"/>
                <w:sz w:val="24"/>
              </w:rPr>
              <w:t>13.3</w:t>
            </w:r>
            <w:r w:rsidRPr="00DA7625">
              <w:rPr>
                <w:rStyle w:val="InstructionsTabelleberschrift"/>
                <w:rFonts w:ascii="Times New Roman" w:hAnsi="Times New Roman"/>
                <w:sz w:val="24"/>
              </w:rPr>
              <w:tab/>
              <w:t>Pénzügyi ágazatbeli szervezetek AT1 tőkéjében lévő szintetikus részesedések, ha az intézmény nem rendelkezik jelentős részesedéssel az említett vállalkozásokban</w:t>
            </w:r>
          </w:p>
          <w:p w14:paraId="3B4E6F0E" w14:textId="0F18E25E" w:rsidR="001B1411" w:rsidRPr="00DA7625" w:rsidRDefault="00214FDA">
            <w:pPr>
              <w:pStyle w:val="InstructionsText"/>
              <w:rPr>
                <w:rStyle w:val="InstructionsTabelleberschrift"/>
                <w:rFonts w:ascii="Times New Roman" w:hAnsi="Times New Roman"/>
                <w:b w:val="0"/>
                <w:bCs w:val="0"/>
                <w:sz w:val="24"/>
                <w:u w:val="none"/>
              </w:rPr>
            </w:pPr>
            <w:r w:rsidRPr="00DA7625">
              <w:t>A CRR 4. cikke (1) bekezdésének 126. pontja, valamint 58. és 59. cikke</w:t>
            </w:r>
          </w:p>
        </w:tc>
      </w:tr>
      <w:tr w:rsidR="001B1411" w:rsidRPr="00DA7625" w14:paraId="00F211BB" w14:textId="77777777" w:rsidTr="00672D2A">
        <w:tc>
          <w:tcPr>
            <w:tcW w:w="1506" w:type="dxa"/>
          </w:tcPr>
          <w:p w14:paraId="70C1EA63" w14:textId="77777777" w:rsidR="001B1411" w:rsidRPr="00DA7625" w:rsidRDefault="002648B0">
            <w:pPr>
              <w:pStyle w:val="InstructionsText"/>
            </w:pPr>
            <w:r w:rsidRPr="00DA7625">
              <w:t>362</w:t>
            </w:r>
          </w:p>
        </w:tc>
        <w:tc>
          <w:tcPr>
            <w:tcW w:w="7243" w:type="dxa"/>
            <w:vAlign w:val="center"/>
          </w:tcPr>
          <w:p w14:paraId="5A49D804" w14:textId="77777777" w:rsidR="001B1411" w:rsidRPr="00DA7625" w:rsidRDefault="002648B0">
            <w:pPr>
              <w:pStyle w:val="InstructionsText"/>
            </w:pPr>
            <w:r w:rsidRPr="00DA7625">
              <w:rPr>
                <w:rStyle w:val="InstructionsTabelleberschrift"/>
                <w:rFonts w:ascii="Times New Roman" w:hAnsi="Times New Roman"/>
                <w:sz w:val="24"/>
              </w:rPr>
              <w:t>13.3.1</w:t>
            </w:r>
            <w:r w:rsidRPr="00DA7625">
              <w:rPr>
                <w:rStyle w:val="InstructionsTabelleberschrift"/>
                <w:rFonts w:ascii="Times New Roman" w:hAnsi="Times New Roman"/>
                <w:sz w:val="24"/>
              </w:rPr>
              <w:tab/>
              <w:t>Pénzügyi ágazatbeli szervezetek AT1 tőkéjében lévő bruttó szintetikus részesedések, ha az intézmény nem rendelkezik jelentős részesedéssel az említett vállalkozásokban</w:t>
            </w:r>
          </w:p>
          <w:p w14:paraId="5DF0FBA0" w14:textId="42446003" w:rsidR="001B1411" w:rsidRPr="00DA7625" w:rsidRDefault="00214FDA">
            <w:pPr>
              <w:pStyle w:val="InstructionsText"/>
              <w:rPr>
                <w:rStyle w:val="InstructionsTabelleberschrift"/>
                <w:rFonts w:ascii="Times New Roman" w:hAnsi="Times New Roman"/>
                <w:b w:val="0"/>
                <w:bCs w:val="0"/>
                <w:sz w:val="24"/>
                <w:u w:val="none"/>
              </w:rPr>
            </w:pPr>
            <w:r w:rsidRPr="00DA7625">
              <w:t>A CRR 4. cikke (1) bekezdésének 126. pontja, valamint 58. és 59. cikke</w:t>
            </w:r>
          </w:p>
        </w:tc>
      </w:tr>
      <w:tr w:rsidR="001B1411" w:rsidRPr="00DA7625" w14:paraId="62F7A341" w14:textId="77777777" w:rsidTr="00672D2A">
        <w:tc>
          <w:tcPr>
            <w:tcW w:w="1506" w:type="dxa"/>
          </w:tcPr>
          <w:p w14:paraId="619ED5EC" w14:textId="77777777" w:rsidR="001B1411" w:rsidRPr="00DA7625" w:rsidRDefault="002648B0">
            <w:pPr>
              <w:pStyle w:val="InstructionsText"/>
            </w:pPr>
            <w:r w:rsidRPr="00DA7625">
              <w:t>363</w:t>
            </w:r>
          </w:p>
        </w:tc>
        <w:tc>
          <w:tcPr>
            <w:tcW w:w="7243" w:type="dxa"/>
            <w:vAlign w:val="center"/>
          </w:tcPr>
          <w:p w14:paraId="2581B845" w14:textId="77777777" w:rsidR="001B1411" w:rsidRPr="00DA7625" w:rsidRDefault="002648B0">
            <w:pPr>
              <w:pStyle w:val="InstructionsText"/>
            </w:pPr>
            <w:r w:rsidRPr="00DA7625">
              <w:rPr>
                <w:rStyle w:val="InstructionsTabelleberschrift"/>
                <w:rFonts w:ascii="Times New Roman" w:hAnsi="Times New Roman"/>
                <w:sz w:val="24"/>
              </w:rPr>
              <w:t>13.3.2</w:t>
            </w:r>
            <w:r w:rsidRPr="00DA7625">
              <w:rPr>
                <w:rStyle w:val="InstructionsTabelleberschrift"/>
                <w:rFonts w:ascii="Times New Roman" w:hAnsi="Times New Roman"/>
                <w:sz w:val="24"/>
              </w:rPr>
              <w:tab/>
              <w:t>(–) A fent figyelembe vett bruttó szintetikus részesedésekkel kapcsolatban megengedett kiegyenlítő rövid pozíciók</w:t>
            </w:r>
          </w:p>
          <w:p w14:paraId="7C8705D4" w14:textId="7C45692C" w:rsidR="001B1411" w:rsidRPr="00DA7625" w:rsidRDefault="00214FDA">
            <w:pPr>
              <w:pStyle w:val="InstructionsText"/>
              <w:rPr>
                <w:rStyle w:val="InstructionsTabelleberschrift"/>
                <w:rFonts w:ascii="Times New Roman" w:hAnsi="Times New Roman"/>
                <w:b w:val="0"/>
                <w:bCs w:val="0"/>
                <w:sz w:val="24"/>
                <w:u w:val="none"/>
              </w:rPr>
            </w:pPr>
            <w:r w:rsidRPr="00DA7625">
              <w:t>A CRR 4. cikke (1) bekezdésének 126. pontja, valamint 59. cikke</w:t>
            </w:r>
          </w:p>
        </w:tc>
      </w:tr>
      <w:tr w:rsidR="001B1411" w:rsidRPr="00DA7625" w14:paraId="31852CE7" w14:textId="77777777" w:rsidTr="00672D2A">
        <w:tc>
          <w:tcPr>
            <w:tcW w:w="1506" w:type="dxa"/>
          </w:tcPr>
          <w:p w14:paraId="513EDD96" w14:textId="77777777" w:rsidR="001B1411" w:rsidRPr="00DA7625" w:rsidRDefault="002648B0">
            <w:pPr>
              <w:pStyle w:val="InstructionsText"/>
            </w:pPr>
            <w:r w:rsidRPr="00DA7625">
              <w:t>370</w:t>
            </w:r>
          </w:p>
        </w:tc>
        <w:tc>
          <w:tcPr>
            <w:tcW w:w="7243" w:type="dxa"/>
          </w:tcPr>
          <w:p w14:paraId="73C7AFB0" w14:textId="77777777" w:rsidR="001B1411" w:rsidRPr="00DA7625" w:rsidRDefault="00C66473">
            <w:pPr>
              <w:pStyle w:val="InstructionsText"/>
            </w:pPr>
            <w:r w:rsidRPr="00DA7625">
              <w:rPr>
                <w:rStyle w:val="InstructionsTabelleberschrift"/>
                <w:rFonts w:ascii="Times New Roman" w:hAnsi="Times New Roman"/>
                <w:sz w:val="24"/>
              </w:rPr>
              <w:t>14.</w:t>
            </w:r>
            <w:r w:rsidRPr="00DA7625">
              <w:rPr>
                <w:rStyle w:val="InstructionsTabelleberschrift"/>
                <w:rFonts w:ascii="Times New Roman" w:hAnsi="Times New Roman"/>
                <w:sz w:val="24"/>
              </w:rPr>
              <w:tab/>
              <w:t>Pénzügyi ágazatbeli szervezetek T2 tőkéjében lévő részesedések, ha az intézmény nem rendelkezik jelentős részesedéssel az említett vállalkozásokban, a rövid pozíciók levonásával</w:t>
            </w:r>
          </w:p>
          <w:p w14:paraId="4EABD7DE" w14:textId="10728FB5" w:rsidR="001B1411" w:rsidRPr="00DA7625" w:rsidRDefault="002648B0">
            <w:pPr>
              <w:pStyle w:val="InstructionsText"/>
            </w:pPr>
            <w:r w:rsidRPr="00DA7625">
              <w:t>A CRR 68., 69. és 70. cikke</w:t>
            </w:r>
          </w:p>
        </w:tc>
      </w:tr>
      <w:tr w:rsidR="001B1411" w:rsidRPr="00DA7625" w14:paraId="74CC32C1" w14:textId="77777777" w:rsidTr="00672D2A">
        <w:tc>
          <w:tcPr>
            <w:tcW w:w="1506" w:type="dxa"/>
          </w:tcPr>
          <w:p w14:paraId="5D1857CF" w14:textId="77777777" w:rsidR="001B1411" w:rsidRPr="00DA7625" w:rsidRDefault="002648B0">
            <w:pPr>
              <w:pStyle w:val="InstructionsText"/>
            </w:pPr>
            <w:r w:rsidRPr="00DA7625">
              <w:t>380</w:t>
            </w:r>
          </w:p>
        </w:tc>
        <w:tc>
          <w:tcPr>
            <w:tcW w:w="7243" w:type="dxa"/>
          </w:tcPr>
          <w:p w14:paraId="09ED7B64" w14:textId="77777777" w:rsidR="001B1411" w:rsidRPr="00DA7625" w:rsidRDefault="002648B0">
            <w:pPr>
              <w:pStyle w:val="InstructionsText"/>
            </w:pPr>
            <w:r w:rsidRPr="00DA7625">
              <w:rPr>
                <w:rStyle w:val="InstructionsTabelleberschrift"/>
                <w:rFonts w:ascii="Times New Roman" w:hAnsi="Times New Roman"/>
                <w:sz w:val="24"/>
              </w:rPr>
              <w:t>14.1</w:t>
            </w:r>
            <w:r w:rsidRPr="00DA7625">
              <w:rPr>
                <w:rStyle w:val="InstructionsTabelleberschrift"/>
                <w:rFonts w:ascii="Times New Roman" w:hAnsi="Times New Roman"/>
                <w:sz w:val="24"/>
              </w:rPr>
              <w:tab/>
              <w:t>Pénzügyi ágazatbeli szervezetek T2 tőkéjében lévő közvetlen részesedések, ha az intézmény nem rendelkezik jelentős részesedéssel az említett vállalkozásokban</w:t>
            </w:r>
          </w:p>
          <w:p w14:paraId="76A360F9" w14:textId="0F9B772A" w:rsidR="001B1411" w:rsidRPr="00DA7625" w:rsidRDefault="002648B0">
            <w:pPr>
              <w:pStyle w:val="InstructionsText"/>
            </w:pPr>
            <w:r w:rsidRPr="00DA7625">
              <w:t>A CRR 68. és 69. cikke, valamint 70. cikkének (2) bekezdése</w:t>
            </w:r>
          </w:p>
        </w:tc>
      </w:tr>
      <w:tr w:rsidR="001B1411" w:rsidRPr="00DA7625" w14:paraId="45454979" w14:textId="77777777" w:rsidTr="00672D2A">
        <w:tc>
          <w:tcPr>
            <w:tcW w:w="1506" w:type="dxa"/>
          </w:tcPr>
          <w:p w14:paraId="58C41185" w14:textId="77777777" w:rsidR="001B1411" w:rsidRPr="00DA7625" w:rsidRDefault="002648B0">
            <w:pPr>
              <w:pStyle w:val="InstructionsText"/>
            </w:pPr>
            <w:r w:rsidRPr="00DA7625">
              <w:t>390</w:t>
            </w:r>
          </w:p>
        </w:tc>
        <w:tc>
          <w:tcPr>
            <w:tcW w:w="7243" w:type="dxa"/>
          </w:tcPr>
          <w:p w14:paraId="74E0FB72" w14:textId="77777777" w:rsidR="001B1411" w:rsidRPr="00DA7625" w:rsidRDefault="002648B0">
            <w:pPr>
              <w:pStyle w:val="InstructionsText"/>
            </w:pPr>
            <w:r w:rsidRPr="00DA7625">
              <w:rPr>
                <w:rStyle w:val="InstructionsTabelleberschrift"/>
                <w:rFonts w:ascii="Times New Roman" w:hAnsi="Times New Roman"/>
                <w:sz w:val="24"/>
              </w:rPr>
              <w:t>14.1.1</w:t>
            </w:r>
            <w:r w:rsidRPr="00DA7625">
              <w:rPr>
                <w:rStyle w:val="InstructionsTabelleberschrift"/>
                <w:rFonts w:ascii="Times New Roman" w:hAnsi="Times New Roman"/>
                <w:sz w:val="24"/>
              </w:rPr>
              <w:tab/>
              <w:t>Pénzügyi ágazatbeli szervezetek T2 tőkéjében lévő bruttó közvetlen részesedések, ha az intézmény nem rendelkezik jelentős részesedéssel az említett vállalkozásokban</w:t>
            </w:r>
          </w:p>
          <w:p w14:paraId="761B4656" w14:textId="153E40FF" w:rsidR="001B1411" w:rsidRPr="00DA7625" w:rsidRDefault="002648B0">
            <w:pPr>
              <w:pStyle w:val="InstructionsText"/>
            </w:pPr>
            <w:r w:rsidRPr="00DA7625">
              <w:t>A CRR 68. cikke, valamint 70. cikkének (2) bekezdése</w:t>
            </w:r>
          </w:p>
          <w:p w14:paraId="0F665040" w14:textId="77777777" w:rsidR="001B1411" w:rsidRPr="00DA7625" w:rsidRDefault="002648B0">
            <w:pPr>
              <w:pStyle w:val="InstructionsText"/>
            </w:pPr>
            <w:r w:rsidRPr="00DA7625">
              <w:t>Pénzügyi ágazatbeli szervezetek T2 tőkéjében lévő közvetlen részesedések, ha az intézmény nem rendelkezik jelentős részesedéssel az említett vállalkozásokban, az alábbiak kivételével:</w:t>
            </w:r>
          </w:p>
          <w:p w14:paraId="6321563A" w14:textId="77777777" w:rsidR="001B1411" w:rsidRPr="00DA7625" w:rsidRDefault="002648B0">
            <w:pPr>
              <w:pStyle w:val="InstructionsText"/>
            </w:pPr>
            <w:r w:rsidRPr="00DA7625">
              <w:t>a)</w:t>
            </w:r>
            <w:r w:rsidRPr="00DA7625">
              <w:tab/>
              <w:t xml:space="preserve">az öt munkanapig vagy annál rövidebb ideig tartott, jegyzési garanciavállalásból eredő pozíciók; továbbá </w:t>
            </w:r>
          </w:p>
          <w:p w14:paraId="10F5EB01" w14:textId="3A30CC33" w:rsidR="001B1411" w:rsidRPr="00DA7625" w:rsidRDefault="002648B0">
            <w:pPr>
              <w:pStyle w:val="InstructionsText"/>
            </w:pPr>
            <w:r w:rsidRPr="00DA7625">
              <w:t>b)</w:t>
            </w:r>
            <w:r w:rsidRPr="00DA7625">
              <w:tab/>
              <w:t>a CRR 66. cikkének b) pontja alapján kölcsönös részesedésként kezelt részesedések.</w:t>
            </w:r>
          </w:p>
        </w:tc>
      </w:tr>
      <w:tr w:rsidR="001B1411" w:rsidRPr="00DA7625" w14:paraId="55FF7D47" w14:textId="77777777" w:rsidTr="00672D2A">
        <w:tc>
          <w:tcPr>
            <w:tcW w:w="1506" w:type="dxa"/>
          </w:tcPr>
          <w:p w14:paraId="0E208512" w14:textId="77777777" w:rsidR="001B1411" w:rsidRPr="00DA7625" w:rsidRDefault="002648B0">
            <w:pPr>
              <w:pStyle w:val="InstructionsText"/>
            </w:pPr>
            <w:r w:rsidRPr="00DA7625">
              <w:t>400</w:t>
            </w:r>
          </w:p>
        </w:tc>
        <w:tc>
          <w:tcPr>
            <w:tcW w:w="7243" w:type="dxa"/>
          </w:tcPr>
          <w:p w14:paraId="109DBC6A" w14:textId="77777777" w:rsidR="001B1411" w:rsidRPr="00DA7625" w:rsidRDefault="002648B0">
            <w:pPr>
              <w:pStyle w:val="InstructionsText"/>
            </w:pPr>
            <w:r w:rsidRPr="00DA7625">
              <w:rPr>
                <w:rStyle w:val="InstructionsTabelleberschrift"/>
                <w:rFonts w:ascii="Times New Roman" w:hAnsi="Times New Roman"/>
                <w:sz w:val="24"/>
              </w:rPr>
              <w:t>14.1.2</w:t>
            </w:r>
            <w:r w:rsidRPr="00DA7625">
              <w:rPr>
                <w:rStyle w:val="InstructionsTabelleberschrift"/>
                <w:rFonts w:ascii="Times New Roman" w:hAnsi="Times New Roman"/>
                <w:sz w:val="24"/>
              </w:rPr>
              <w:tab/>
              <w:t>(–) A fent figyelembe vett bruttó közvetlen részesedésekkel kapcsolatban megengedett kiegyenlítő rövid pozíciók</w:t>
            </w:r>
          </w:p>
          <w:p w14:paraId="0E51DCD1" w14:textId="7D1680D0" w:rsidR="001B1411" w:rsidRPr="00DA7625" w:rsidRDefault="002648B0">
            <w:pPr>
              <w:pStyle w:val="InstructionsText"/>
            </w:pPr>
            <w:r w:rsidRPr="00DA7625">
              <w:t>A CRR 69. cikke</w:t>
            </w:r>
          </w:p>
          <w:p w14:paraId="7590FB24" w14:textId="5AE21A09" w:rsidR="001B1411" w:rsidRPr="00DA7625" w:rsidRDefault="0014657C">
            <w:pPr>
              <w:pStyle w:val="InstructionsText"/>
            </w:pPr>
            <w:r w:rsidRPr="00DA7625">
              <w:t>A CRR 69. cikkének a) pontja megengedi az azonos alapul szolgáló kitettségen belüli kiegyenlítő rövid pozíciókat akkor, ha a rövid pozíció lejárata illeszkedik a hosszú pozíció lejáratához vagy legalább egy éves hátralévő futamidővel rendelkezik.</w:t>
            </w:r>
          </w:p>
        </w:tc>
      </w:tr>
      <w:tr w:rsidR="001B1411" w:rsidRPr="00DA7625" w14:paraId="24C30F33" w14:textId="77777777" w:rsidTr="00672D2A">
        <w:tc>
          <w:tcPr>
            <w:tcW w:w="1506" w:type="dxa"/>
          </w:tcPr>
          <w:p w14:paraId="4575E788" w14:textId="77777777" w:rsidR="001B1411" w:rsidRPr="00DA7625" w:rsidRDefault="002648B0">
            <w:pPr>
              <w:pStyle w:val="InstructionsText"/>
            </w:pPr>
            <w:r w:rsidRPr="00DA7625">
              <w:lastRenderedPageBreak/>
              <w:t>410</w:t>
            </w:r>
          </w:p>
        </w:tc>
        <w:tc>
          <w:tcPr>
            <w:tcW w:w="7243" w:type="dxa"/>
          </w:tcPr>
          <w:p w14:paraId="574024F8" w14:textId="77777777" w:rsidR="001B1411" w:rsidRPr="00DA7625" w:rsidRDefault="002648B0">
            <w:pPr>
              <w:pStyle w:val="InstructionsText"/>
            </w:pPr>
            <w:r w:rsidRPr="00DA7625">
              <w:rPr>
                <w:rStyle w:val="InstructionsTabelleberschrift"/>
                <w:rFonts w:ascii="Times New Roman" w:hAnsi="Times New Roman"/>
                <w:sz w:val="24"/>
              </w:rPr>
              <w:t>14.2</w:t>
            </w:r>
            <w:r w:rsidRPr="00DA7625">
              <w:rPr>
                <w:rStyle w:val="InstructionsTabelleberschrift"/>
                <w:rFonts w:ascii="Times New Roman" w:hAnsi="Times New Roman"/>
                <w:sz w:val="24"/>
              </w:rPr>
              <w:tab/>
              <w:t>Pénzügyi ágazatbeli szervezetek T2 tőkéjében lévő közvetett részesedések, ha az intézmény nem rendelkezik jelentős részesedéssel az említett vállalkozásokban</w:t>
            </w:r>
          </w:p>
          <w:p w14:paraId="52D732C2" w14:textId="219F1723" w:rsidR="001B1411" w:rsidRPr="00DA7625" w:rsidRDefault="00214FDA">
            <w:pPr>
              <w:pStyle w:val="InstructionsText"/>
            </w:pPr>
            <w:r w:rsidRPr="00DA7625">
              <w:t>A CRR 4. cikke (1) bekezdésének 114. pontja, valamint 68. és 69. cikke</w:t>
            </w:r>
          </w:p>
        </w:tc>
      </w:tr>
      <w:tr w:rsidR="001B1411" w:rsidRPr="00DA7625" w14:paraId="3C63B77C" w14:textId="77777777" w:rsidTr="00672D2A">
        <w:tc>
          <w:tcPr>
            <w:tcW w:w="1506" w:type="dxa"/>
          </w:tcPr>
          <w:p w14:paraId="6A2ADF62" w14:textId="77777777" w:rsidR="001B1411" w:rsidRPr="00DA7625" w:rsidRDefault="002648B0">
            <w:pPr>
              <w:pStyle w:val="InstructionsText"/>
            </w:pPr>
            <w:r w:rsidRPr="00DA7625">
              <w:t>420</w:t>
            </w:r>
          </w:p>
        </w:tc>
        <w:tc>
          <w:tcPr>
            <w:tcW w:w="7243" w:type="dxa"/>
          </w:tcPr>
          <w:p w14:paraId="09C893DD" w14:textId="77777777" w:rsidR="001B1411" w:rsidRPr="00DA7625" w:rsidRDefault="002648B0">
            <w:pPr>
              <w:pStyle w:val="InstructionsText"/>
            </w:pPr>
            <w:r w:rsidRPr="00DA7625">
              <w:rPr>
                <w:rStyle w:val="InstructionsTabelleberschrift"/>
                <w:rFonts w:ascii="Times New Roman" w:hAnsi="Times New Roman"/>
                <w:sz w:val="24"/>
              </w:rPr>
              <w:t>14.2.1</w:t>
            </w:r>
            <w:r w:rsidRPr="00DA7625">
              <w:rPr>
                <w:rStyle w:val="InstructionsTabelleberschrift"/>
                <w:rFonts w:ascii="Times New Roman" w:hAnsi="Times New Roman"/>
                <w:sz w:val="24"/>
              </w:rPr>
              <w:tab/>
              <w:t>Pénzügyi ágazatbeli szervezetek T2 tőkéjében lévő bruttó közvetett részesedések, ha az intézmény nem rendelkezik jelentős részesedéssel az említett vállalkozásokban</w:t>
            </w:r>
          </w:p>
          <w:p w14:paraId="6EDD2FEB" w14:textId="0BA1D363" w:rsidR="001B1411" w:rsidRPr="00DA7625" w:rsidRDefault="00214FDA">
            <w:pPr>
              <w:pStyle w:val="InstructionsText"/>
            </w:pPr>
            <w:r w:rsidRPr="00DA7625">
              <w:t>A CRR 4. cikke (1) bekezdésének 114. pontja, valamint 68. és 69. cikke</w:t>
            </w:r>
          </w:p>
          <w:p w14:paraId="368431C6" w14:textId="77777777" w:rsidR="001B1411" w:rsidRPr="00DA7625" w:rsidRDefault="002648B0">
            <w:pPr>
              <w:pStyle w:val="InstructionsText"/>
            </w:pPr>
            <w:r w:rsidRPr="00DA7625">
              <w:t>A feltüntetendő érték a pénzügyi ágazatbeli szervezetek tőkeinstrumentumaiban lévő, kereskedési könyvben nyilvántartott olyan közvetett részesedések értéke, amelyek indexhez kötött értékpapírokban lévő részesedés formáját öltik. Meghatározása a pénzügyi ágazatbeli szervezeteknek az adott indexekben foglalt tőkeinstrumentumaival szembeni, alapul szolgáló kitettség kiszámításával történik.</w:t>
            </w:r>
          </w:p>
          <w:p w14:paraId="087645E2" w14:textId="474804F0" w:rsidR="001B1411" w:rsidRPr="00DA7625" w:rsidRDefault="002648B0">
            <w:pPr>
              <w:pStyle w:val="InstructionsText"/>
            </w:pPr>
            <w:r w:rsidRPr="00DA7625">
              <w:t>A CRR 66. cikkének b) pontja alapján kölcsönös részesedésként kezelt részesedések nem számíthatók be.</w:t>
            </w:r>
          </w:p>
        </w:tc>
      </w:tr>
      <w:tr w:rsidR="001B1411" w:rsidRPr="00DA7625" w14:paraId="6D0912EA" w14:textId="77777777" w:rsidTr="00672D2A">
        <w:tc>
          <w:tcPr>
            <w:tcW w:w="1506" w:type="dxa"/>
          </w:tcPr>
          <w:p w14:paraId="5882D55B" w14:textId="77777777" w:rsidR="001B1411" w:rsidRPr="00DA7625" w:rsidRDefault="002648B0">
            <w:pPr>
              <w:pStyle w:val="InstructionsText"/>
            </w:pPr>
            <w:r w:rsidRPr="00DA7625">
              <w:t>430</w:t>
            </w:r>
          </w:p>
        </w:tc>
        <w:tc>
          <w:tcPr>
            <w:tcW w:w="7243" w:type="dxa"/>
          </w:tcPr>
          <w:p w14:paraId="2E3FDE93" w14:textId="77777777" w:rsidR="001B1411" w:rsidRPr="00DA7625" w:rsidRDefault="002648B0">
            <w:pPr>
              <w:pStyle w:val="InstructionsText"/>
            </w:pPr>
            <w:r w:rsidRPr="00DA7625">
              <w:rPr>
                <w:rStyle w:val="InstructionsTabelleberschrift"/>
                <w:rFonts w:ascii="Times New Roman" w:hAnsi="Times New Roman"/>
                <w:sz w:val="24"/>
              </w:rPr>
              <w:t>14.2.2</w:t>
            </w:r>
            <w:r w:rsidRPr="00DA7625">
              <w:rPr>
                <w:rStyle w:val="InstructionsTabelleberschrift"/>
                <w:rFonts w:ascii="Times New Roman" w:hAnsi="Times New Roman"/>
                <w:sz w:val="24"/>
              </w:rPr>
              <w:tab/>
              <w:t>(–) A fent figyelembe vett bruttó közvetett részesedésekkel kapcsolatban megengedett kiegyenlítő rövid pozíciók</w:t>
            </w:r>
          </w:p>
          <w:p w14:paraId="634A7110" w14:textId="20A9A10C" w:rsidR="001B1411" w:rsidRPr="00DA7625" w:rsidRDefault="00214FDA">
            <w:pPr>
              <w:pStyle w:val="InstructionsText"/>
            </w:pPr>
            <w:r w:rsidRPr="00DA7625">
              <w:t>A CRR 4. cikke (1) bekezdésének 114. pontja, valamint 69. cikke</w:t>
            </w:r>
          </w:p>
          <w:p w14:paraId="39E04D7A" w14:textId="185CD823" w:rsidR="001B1411" w:rsidRPr="00DA7625" w:rsidRDefault="0014657C">
            <w:pPr>
              <w:pStyle w:val="InstructionsText"/>
            </w:pPr>
            <w:r w:rsidRPr="00DA7625">
              <w:t>A CRR 69. cikkének a) pontja megengedi az azonos alapul szolgáló kitettségen belüli kiegyenlítő rövid pozíciókat akkor, ha a rövid pozíció lejárata illeszkedik a hosszú pozíció lejáratához vagy legalább egy éves hátralévő futamidővel rendelkezik.</w:t>
            </w:r>
          </w:p>
        </w:tc>
      </w:tr>
      <w:tr w:rsidR="001B1411" w:rsidRPr="00DA7625" w14:paraId="47346F95" w14:textId="77777777" w:rsidTr="00672D2A">
        <w:tc>
          <w:tcPr>
            <w:tcW w:w="1506" w:type="dxa"/>
          </w:tcPr>
          <w:p w14:paraId="102793CC" w14:textId="77777777" w:rsidR="001B1411" w:rsidRPr="00DA7625" w:rsidRDefault="00DE5A31">
            <w:pPr>
              <w:pStyle w:val="InstructionsText"/>
            </w:pPr>
            <w:r w:rsidRPr="00DA7625">
              <w:t>431</w:t>
            </w:r>
          </w:p>
        </w:tc>
        <w:tc>
          <w:tcPr>
            <w:tcW w:w="7243" w:type="dxa"/>
          </w:tcPr>
          <w:p w14:paraId="595DA517" w14:textId="77777777" w:rsidR="001B1411" w:rsidRPr="00DA7625" w:rsidRDefault="00DE5A31">
            <w:pPr>
              <w:pStyle w:val="InstructionsText"/>
            </w:pPr>
            <w:r w:rsidRPr="00DA7625">
              <w:rPr>
                <w:rStyle w:val="InstructionsTabelleberschrift"/>
                <w:rFonts w:ascii="Times New Roman" w:hAnsi="Times New Roman"/>
                <w:sz w:val="24"/>
              </w:rPr>
              <w:t>14.3</w:t>
            </w:r>
            <w:r w:rsidRPr="00DA7625">
              <w:rPr>
                <w:rStyle w:val="InstructionsTabelleberschrift"/>
                <w:rFonts w:ascii="Times New Roman" w:hAnsi="Times New Roman"/>
                <w:sz w:val="24"/>
              </w:rPr>
              <w:tab/>
              <w:t>Pénzügyi ágazatbeli szervezetek T2 tőkéjében lévő szintetikus részesedések, ha az intézmény nem rendelkezik jelentős részesedéssel az említett vállalkozásokban</w:t>
            </w:r>
          </w:p>
          <w:p w14:paraId="78935518" w14:textId="1B7C94D2" w:rsidR="001B1411" w:rsidRPr="00DA7625" w:rsidRDefault="00214FDA">
            <w:pPr>
              <w:pStyle w:val="InstructionsText"/>
              <w:rPr>
                <w:rStyle w:val="InstructionsTabelleberschrift"/>
                <w:rFonts w:ascii="Times New Roman" w:hAnsi="Times New Roman"/>
                <w:sz w:val="24"/>
              </w:rPr>
            </w:pPr>
            <w:r w:rsidRPr="00DA7625">
              <w:t>A CRR 4. cikke (1) bekezdésének 126. pontja, valamint 68. és 69. cikke</w:t>
            </w:r>
          </w:p>
        </w:tc>
      </w:tr>
      <w:tr w:rsidR="001B1411" w:rsidRPr="00DA7625" w14:paraId="235203A7" w14:textId="77777777" w:rsidTr="00672D2A">
        <w:tc>
          <w:tcPr>
            <w:tcW w:w="1506" w:type="dxa"/>
          </w:tcPr>
          <w:p w14:paraId="41A97654" w14:textId="77777777" w:rsidR="001B1411" w:rsidRPr="00DA7625" w:rsidRDefault="00DE5A31">
            <w:pPr>
              <w:pStyle w:val="InstructionsText"/>
            </w:pPr>
            <w:r w:rsidRPr="00DA7625">
              <w:t>432</w:t>
            </w:r>
          </w:p>
        </w:tc>
        <w:tc>
          <w:tcPr>
            <w:tcW w:w="7243" w:type="dxa"/>
          </w:tcPr>
          <w:p w14:paraId="1D2D4E22" w14:textId="77777777" w:rsidR="001B1411" w:rsidRPr="00DA7625" w:rsidRDefault="00DE5A31">
            <w:pPr>
              <w:pStyle w:val="InstructionsText"/>
            </w:pPr>
            <w:r w:rsidRPr="00DA7625">
              <w:rPr>
                <w:rStyle w:val="InstructionsTabelleberschrift"/>
                <w:rFonts w:ascii="Times New Roman" w:hAnsi="Times New Roman"/>
                <w:sz w:val="24"/>
              </w:rPr>
              <w:t>14.3.1</w:t>
            </w:r>
            <w:r w:rsidRPr="00DA7625">
              <w:rPr>
                <w:rStyle w:val="InstructionsTabelleberschrift"/>
                <w:rFonts w:ascii="Times New Roman" w:hAnsi="Times New Roman"/>
                <w:sz w:val="24"/>
              </w:rPr>
              <w:tab/>
              <w:t>Pénzügyi ágazatbeli szervezetek T2 tőkéjében lévő bruttó szintetikus részesedések, ha az intézmény nem rendelkezik jelentős részesedéssel az említett vállalkozásokban</w:t>
            </w:r>
          </w:p>
          <w:p w14:paraId="6E1B2B1E" w14:textId="267FCD8C" w:rsidR="001B1411" w:rsidRPr="00DA7625" w:rsidRDefault="00214FDA">
            <w:pPr>
              <w:pStyle w:val="InstructionsText"/>
              <w:rPr>
                <w:rStyle w:val="InstructionsTabelleberschrift"/>
                <w:rFonts w:ascii="Times New Roman" w:hAnsi="Times New Roman"/>
                <w:b w:val="0"/>
                <w:bCs w:val="0"/>
                <w:sz w:val="24"/>
                <w:u w:val="none"/>
              </w:rPr>
            </w:pPr>
            <w:r w:rsidRPr="00DA7625">
              <w:t>A CRR 4. cikke (1) bekezdésének 126. pontja, valamint 68. és 69. cikke</w:t>
            </w:r>
          </w:p>
        </w:tc>
      </w:tr>
      <w:tr w:rsidR="001B1411" w:rsidRPr="00DA7625" w14:paraId="238AFF14" w14:textId="77777777" w:rsidTr="00672D2A">
        <w:tc>
          <w:tcPr>
            <w:tcW w:w="1506" w:type="dxa"/>
          </w:tcPr>
          <w:p w14:paraId="1C62EAEC" w14:textId="77777777" w:rsidR="001B1411" w:rsidRPr="00DA7625" w:rsidRDefault="00DE5A31">
            <w:pPr>
              <w:pStyle w:val="InstructionsText"/>
            </w:pPr>
            <w:r w:rsidRPr="00DA7625">
              <w:t>433</w:t>
            </w:r>
          </w:p>
        </w:tc>
        <w:tc>
          <w:tcPr>
            <w:tcW w:w="7243" w:type="dxa"/>
          </w:tcPr>
          <w:p w14:paraId="19DB1DA1" w14:textId="77777777" w:rsidR="001B1411" w:rsidRPr="00DA7625" w:rsidRDefault="00DE5A31">
            <w:pPr>
              <w:pStyle w:val="InstructionsText"/>
            </w:pPr>
            <w:r w:rsidRPr="00DA7625">
              <w:rPr>
                <w:rStyle w:val="InstructionsTabelleberschrift"/>
                <w:rFonts w:ascii="Times New Roman" w:hAnsi="Times New Roman"/>
                <w:sz w:val="24"/>
              </w:rPr>
              <w:t>14.3.2</w:t>
            </w:r>
            <w:r w:rsidRPr="00DA7625">
              <w:rPr>
                <w:rStyle w:val="InstructionsTabelleberschrift"/>
                <w:rFonts w:ascii="Times New Roman" w:hAnsi="Times New Roman"/>
                <w:sz w:val="24"/>
              </w:rPr>
              <w:tab/>
              <w:t>(–) A fent figyelembe vett bruttó szintetikus részesedésekkel kapcsolatban megengedett kiegyenlítő rövid pozíciók</w:t>
            </w:r>
          </w:p>
          <w:p w14:paraId="060C5E51" w14:textId="25FEC4B1" w:rsidR="001B1411" w:rsidRPr="00DA7625" w:rsidRDefault="00214FDA">
            <w:pPr>
              <w:pStyle w:val="InstructionsText"/>
              <w:rPr>
                <w:rStyle w:val="InstructionsTabelleberschrift"/>
                <w:rFonts w:ascii="Times New Roman" w:hAnsi="Times New Roman"/>
                <w:b w:val="0"/>
                <w:bCs w:val="0"/>
                <w:sz w:val="24"/>
                <w:u w:val="none"/>
              </w:rPr>
            </w:pPr>
            <w:r w:rsidRPr="00DA7625">
              <w:t>A CRR 4. cikke (1) bekezdésének 126. pontja, valamint 69. cikke</w:t>
            </w:r>
          </w:p>
        </w:tc>
      </w:tr>
      <w:tr w:rsidR="001B1411" w:rsidRPr="00DA7625" w14:paraId="09261DFE" w14:textId="77777777" w:rsidTr="00672D2A">
        <w:tc>
          <w:tcPr>
            <w:tcW w:w="1506" w:type="dxa"/>
          </w:tcPr>
          <w:p w14:paraId="266857D7" w14:textId="77777777" w:rsidR="001B1411" w:rsidRPr="00DA7625" w:rsidRDefault="002648B0">
            <w:pPr>
              <w:pStyle w:val="InstructionsText"/>
            </w:pPr>
            <w:r w:rsidRPr="00DA7625">
              <w:t>440</w:t>
            </w:r>
          </w:p>
        </w:tc>
        <w:tc>
          <w:tcPr>
            <w:tcW w:w="7243" w:type="dxa"/>
          </w:tcPr>
          <w:p w14:paraId="0BFEA814" w14:textId="77777777" w:rsidR="001B1411" w:rsidRPr="00DA7625" w:rsidRDefault="002648B0">
            <w:pPr>
              <w:pStyle w:val="InstructionsText"/>
            </w:pPr>
            <w:r w:rsidRPr="00DA7625">
              <w:rPr>
                <w:rStyle w:val="InstructionsTabelleberschrift"/>
                <w:rFonts w:ascii="Times New Roman" w:hAnsi="Times New Roman"/>
                <w:sz w:val="24"/>
              </w:rPr>
              <w:t>15</w:t>
            </w:r>
            <w:r w:rsidRPr="00DA7625">
              <w:rPr>
                <w:rStyle w:val="InstructionsTabelleberschrift"/>
                <w:rFonts w:ascii="Times New Roman" w:hAnsi="Times New Roman"/>
                <w:sz w:val="24"/>
              </w:rPr>
              <w:tab/>
              <w:t>Pénzügyi ágazatbeli szervezetek CET1 tőkéjében lévő részesedések, ha az intézmény jelentős részesedéssel rendelkezik az említett vállalkozásokban, a rövid pozíciók levonásával</w:t>
            </w:r>
          </w:p>
          <w:p w14:paraId="4382B9FE" w14:textId="39CC7066" w:rsidR="001B1411" w:rsidRPr="00DA7625" w:rsidRDefault="002648B0">
            <w:pPr>
              <w:pStyle w:val="InstructionsText"/>
            </w:pPr>
            <w:r w:rsidRPr="00DA7625">
              <w:t>A CRR 44., 45., 47. és 49. cikke</w:t>
            </w:r>
          </w:p>
        </w:tc>
      </w:tr>
      <w:tr w:rsidR="001B1411" w:rsidRPr="00DA7625" w14:paraId="35ABC1EA" w14:textId="77777777" w:rsidTr="00672D2A">
        <w:tc>
          <w:tcPr>
            <w:tcW w:w="1506" w:type="dxa"/>
          </w:tcPr>
          <w:p w14:paraId="16594F26" w14:textId="77777777" w:rsidR="001B1411" w:rsidRPr="00DA7625" w:rsidRDefault="008F54B0">
            <w:pPr>
              <w:pStyle w:val="InstructionsText"/>
            </w:pPr>
            <w:r w:rsidRPr="00DA7625">
              <w:t>450</w:t>
            </w:r>
          </w:p>
        </w:tc>
        <w:tc>
          <w:tcPr>
            <w:tcW w:w="7243" w:type="dxa"/>
          </w:tcPr>
          <w:p w14:paraId="7B3E2F48" w14:textId="77777777" w:rsidR="001B1411" w:rsidRPr="00DA7625" w:rsidRDefault="002648B0">
            <w:pPr>
              <w:pStyle w:val="InstructionsText"/>
            </w:pPr>
            <w:r w:rsidRPr="00DA7625">
              <w:rPr>
                <w:rStyle w:val="InstructionsTabelleberschrift"/>
                <w:rFonts w:ascii="Times New Roman" w:hAnsi="Times New Roman"/>
                <w:sz w:val="24"/>
              </w:rPr>
              <w:t>15.1</w:t>
            </w:r>
            <w:r w:rsidRPr="00DA7625">
              <w:rPr>
                <w:rStyle w:val="InstructionsTabelleberschrift"/>
                <w:rFonts w:ascii="Times New Roman" w:hAnsi="Times New Roman"/>
                <w:sz w:val="24"/>
              </w:rPr>
              <w:tab/>
              <w:t>Pénzügyi ágazatbeli szervezetek CET1 tőkéjében lévő közvetlen részesedések, ha az intézmény jelentős részesedéssel rendelkezik az említett vállalkozásokban</w:t>
            </w:r>
          </w:p>
          <w:p w14:paraId="1BA8CC21" w14:textId="7300D870" w:rsidR="001B1411" w:rsidRPr="00DA7625" w:rsidRDefault="002648B0">
            <w:pPr>
              <w:pStyle w:val="InstructionsText"/>
            </w:pPr>
            <w:r w:rsidRPr="00DA7625">
              <w:t>A CRR 44., 45., 47. és 49. cikke</w:t>
            </w:r>
          </w:p>
        </w:tc>
      </w:tr>
      <w:tr w:rsidR="001B1411" w:rsidRPr="00DA7625" w14:paraId="57D83B0D" w14:textId="77777777" w:rsidTr="00672D2A">
        <w:tc>
          <w:tcPr>
            <w:tcW w:w="1506" w:type="dxa"/>
          </w:tcPr>
          <w:p w14:paraId="193B0321" w14:textId="77777777" w:rsidR="001B1411" w:rsidRPr="00DA7625" w:rsidRDefault="008F54B0">
            <w:pPr>
              <w:pStyle w:val="InstructionsText"/>
            </w:pPr>
            <w:r w:rsidRPr="00DA7625">
              <w:lastRenderedPageBreak/>
              <w:t>460</w:t>
            </w:r>
          </w:p>
        </w:tc>
        <w:tc>
          <w:tcPr>
            <w:tcW w:w="7243" w:type="dxa"/>
          </w:tcPr>
          <w:p w14:paraId="07F3C9A8" w14:textId="77777777" w:rsidR="001B1411" w:rsidRPr="00DA7625" w:rsidRDefault="002648B0">
            <w:pPr>
              <w:pStyle w:val="InstructionsText"/>
            </w:pPr>
            <w:r w:rsidRPr="00DA7625">
              <w:rPr>
                <w:rStyle w:val="InstructionsTabelleberschrift"/>
                <w:rFonts w:ascii="Times New Roman" w:hAnsi="Times New Roman"/>
                <w:sz w:val="24"/>
              </w:rPr>
              <w:t>15.1.1</w:t>
            </w:r>
            <w:r w:rsidRPr="00DA7625">
              <w:rPr>
                <w:rStyle w:val="InstructionsTabelleberschrift"/>
                <w:rFonts w:ascii="Times New Roman" w:hAnsi="Times New Roman"/>
                <w:sz w:val="24"/>
              </w:rPr>
              <w:tab/>
              <w:t>Pénzügyi ágazatbeli szervezetek CET1 tőkéjében lévő bruttó közvetlen részesedések, ha az intézmény jelentős részesedéssel rendelkezik az említett vállalkozásokban</w:t>
            </w:r>
          </w:p>
          <w:p w14:paraId="2E8BDC24" w14:textId="027C234C" w:rsidR="001B1411" w:rsidRPr="00DA7625" w:rsidRDefault="002648B0">
            <w:pPr>
              <w:pStyle w:val="InstructionsText"/>
            </w:pPr>
            <w:r w:rsidRPr="00DA7625">
              <w:t>A CRR 44., 45., 47. és 49. cikke</w:t>
            </w:r>
          </w:p>
          <w:p w14:paraId="46892E10" w14:textId="77777777" w:rsidR="001B1411" w:rsidRPr="00DA7625" w:rsidRDefault="002648B0">
            <w:pPr>
              <w:pStyle w:val="InstructionsText"/>
            </w:pPr>
            <w:r w:rsidRPr="00DA7625">
              <w:t>Pénzügyi ágazatbeli szervezetek CET1 tőkéjében lévő közvetlen részesedések, ha az intézmény jelentős részesedéssel rendelkezik az említett vállalkozásokban, az alábbiak kivételével:</w:t>
            </w:r>
          </w:p>
          <w:p w14:paraId="17B9059D" w14:textId="77777777" w:rsidR="001B1411" w:rsidRPr="00DA7625" w:rsidRDefault="002648B0">
            <w:pPr>
              <w:pStyle w:val="InstructionsText"/>
            </w:pPr>
            <w:r w:rsidRPr="00DA7625">
              <w:t>a)</w:t>
            </w:r>
            <w:r w:rsidRPr="00DA7625">
              <w:tab/>
              <w:t xml:space="preserve">az öt munkanapig vagy annál rövidebb ideig tartott, jegyzési garanciavállalásból eredő pozíciók; </w:t>
            </w:r>
          </w:p>
          <w:p w14:paraId="30191DCB" w14:textId="6F62CF95" w:rsidR="001B1411" w:rsidRPr="00DA7625" w:rsidRDefault="002648B0">
            <w:pPr>
              <w:pStyle w:val="InstructionsText"/>
            </w:pPr>
            <w:r w:rsidRPr="00DA7625">
              <w:t>b)</w:t>
            </w:r>
            <w:r w:rsidRPr="00DA7625">
              <w:tab/>
              <w:t xml:space="preserve">olyan befektetéshez kapcsolódó összegek, amelyekre a 49. cikkben felsorolt alternatívák valamelyikét alkalmazzák; továbbá </w:t>
            </w:r>
          </w:p>
          <w:p w14:paraId="4E98D2B5" w14:textId="5FF1A25C" w:rsidR="001B1411" w:rsidRPr="00DA7625" w:rsidRDefault="002648B0">
            <w:pPr>
              <w:pStyle w:val="InstructionsText"/>
            </w:pPr>
            <w:r w:rsidRPr="00DA7625">
              <w:t>c)</w:t>
            </w:r>
            <w:r w:rsidRPr="00DA7625">
              <w:tab/>
              <w:t>a CRR 36. cikke (1) bekezdésének g) pontja alapján kölcsönös részesedésként kezelt részesedések</w:t>
            </w:r>
          </w:p>
        </w:tc>
      </w:tr>
      <w:tr w:rsidR="001B1411" w:rsidRPr="00DA7625" w14:paraId="4DFC5D63" w14:textId="77777777" w:rsidTr="00672D2A">
        <w:tc>
          <w:tcPr>
            <w:tcW w:w="1506" w:type="dxa"/>
          </w:tcPr>
          <w:p w14:paraId="1D5E3EA3" w14:textId="77777777" w:rsidR="001B1411" w:rsidRPr="00DA7625" w:rsidRDefault="002648B0">
            <w:pPr>
              <w:pStyle w:val="InstructionsText"/>
            </w:pPr>
            <w:r w:rsidRPr="00DA7625">
              <w:t>470</w:t>
            </w:r>
          </w:p>
        </w:tc>
        <w:tc>
          <w:tcPr>
            <w:tcW w:w="7243" w:type="dxa"/>
          </w:tcPr>
          <w:p w14:paraId="4395AFAF" w14:textId="77777777" w:rsidR="001B1411" w:rsidRPr="00DA7625" w:rsidRDefault="002648B0">
            <w:pPr>
              <w:pStyle w:val="InstructionsText"/>
            </w:pPr>
            <w:r w:rsidRPr="00DA7625">
              <w:rPr>
                <w:rStyle w:val="InstructionsTabelleberschrift"/>
                <w:rFonts w:ascii="Times New Roman" w:hAnsi="Times New Roman"/>
                <w:sz w:val="24"/>
              </w:rPr>
              <w:t>15.1.2</w:t>
            </w:r>
            <w:r w:rsidRPr="00DA7625">
              <w:rPr>
                <w:rStyle w:val="InstructionsTabelleberschrift"/>
                <w:rFonts w:ascii="Times New Roman" w:hAnsi="Times New Roman"/>
                <w:sz w:val="24"/>
              </w:rPr>
              <w:tab/>
              <w:t>(–) A fent figyelembe vett bruttó közvetlen részesedésekkel kapcsolatban megengedett kiegyenlítő rövid pozíciók</w:t>
            </w:r>
          </w:p>
          <w:p w14:paraId="60819674" w14:textId="53EE9FF4" w:rsidR="001B1411" w:rsidRPr="00DA7625" w:rsidRDefault="002648B0">
            <w:pPr>
              <w:pStyle w:val="InstructionsText"/>
            </w:pPr>
            <w:r w:rsidRPr="00DA7625">
              <w:t>A CRR 45. cikke</w:t>
            </w:r>
          </w:p>
          <w:p w14:paraId="6675BDB9" w14:textId="03E5E0DC" w:rsidR="001B1411" w:rsidRPr="00DA7625" w:rsidRDefault="0014657C">
            <w:pPr>
              <w:pStyle w:val="InstructionsText"/>
            </w:pPr>
            <w:r w:rsidRPr="00DA7625">
              <w:t>A CRR 45. cikkének a) pontja megengedi az azonos alapul szolgáló kitettségen belüli kiegyenlítő rövid pozíciókat akkor, ha a rövid pozíció lejárata illeszkedik a hosszú pozíció lejáratához vagy legalább egy éves hátralévő futamidővel rendelkezik.</w:t>
            </w:r>
          </w:p>
        </w:tc>
      </w:tr>
      <w:tr w:rsidR="001B1411" w:rsidRPr="00DA7625" w14:paraId="748087B2" w14:textId="77777777" w:rsidTr="00672D2A">
        <w:tc>
          <w:tcPr>
            <w:tcW w:w="1506" w:type="dxa"/>
          </w:tcPr>
          <w:p w14:paraId="6597907B" w14:textId="77777777" w:rsidR="001B1411" w:rsidRPr="00DA7625" w:rsidRDefault="002648B0">
            <w:pPr>
              <w:pStyle w:val="InstructionsText"/>
            </w:pPr>
            <w:r w:rsidRPr="00DA7625">
              <w:t>480</w:t>
            </w:r>
          </w:p>
        </w:tc>
        <w:tc>
          <w:tcPr>
            <w:tcW w:w="7243" w:type="dxa"/>
          </w:tcPr>
          <w:p w14:paraId="028E9FA5" w14:textId="77777777" w:rsidR="001B1411" w:rsidRPr="00DA7625" w:rsidRDefault="002648B0">
            <w:pPr>
              <w:pStyle w:val="InstructionsText"/>
            </w:pPr>
            <w:r w:rsidRPr="00DA7625">
              <w:rPr>
                <w:rStyle w:val="InstructionsTabelleberschrift"/>
                <w:rFonts w:ascii="Times New Roman" w:hAnsi="Times New Roman"/>
                <w:sz w:val="24"/>
              </w:rPr>
              <w:t>15.2</w:t>
            </w:r>
            <w:r w:rsidRPr="00DA7625">
              <w:rPr>
                <w:rStyle w:val="InstructionsTabelleberschrift"/>
                <w:rFonts w:ascii="Times New Roman" w:hAnsi="Times New Roman"/>
                <w:sz w:val="24"/>
              </w:rPr>
              <w:tab/>
              <w:t>Pénzügyi ágazatbeli szervezetek CET1 tőkéjében lévő közvetett részesedések, ha az intézmény jelentős részesedéssel rendelkezik az említett vállalkozásokban</w:t>
            </w:r>
          </w:p>
          <w:p w14:paraId="348F3211" w14:textId="363A3B4E" w:rsidR="001B1411" w:rsidRPr="00DA7625" w:rsidRDefault="00214FDA">
            <w:pPr>
              <w:pStyle w:val="InstructionsText"/>
            </w:pPr>
            <w:r w:rsidRPr="00DA7625">
              <w:t>A CRR 4. cikke (1) bekezdésének 114. pontja, valamint 44. és 45. cikke</w:t>
            </w:r>
          </w:p>
        </w:tc>
      </w:tr>
      <w:tr w:rsidR="001B1411" w:rsidRPr="00DA7625" w14:paraId="321458D5" w14:textId="77777777" w:rsidTr="00672D2A">
        <w:tc>
          <w:tcPr>
            <w:tcW w:w="1506" w:type="dxa"/>
          </w:tcPr>
          <w:p w14:paraId="01E2C07D" w14:textId="77777777" w:rsidR="001B1411" w:rsidRPr="00DA7625" w:rsidRDefault="002648B0">
            <w:pPr>
              <w:pStyle w:val="InstructionsText"/>
            </w:pPr>
            <w:r w:rsidRPr="00DA7625">
              <w:t>490</w:t>
            </w:r>
          </w:p>
        </w:tc>
        <w:tc>
          <w:tcPr>
            <w:tcW w:w="7243" w:type="dxa"/>
          </w:tcPr>
          <w:p w14:paraId="72FF2298" w14:textId="77777777" w:rsidR="001B1411" w:rsidRPr="00DA7625" w:rsidRDefault="002648B0">
            <w:pPr>
              <w:pStyle w:val="InstructionsText"/>
            </w:pPr>
            <w:r w:rsidRPr="00DA7625">
              <w:rPr>
                <w:rStyle w:val="InstructionsTabelleberschrift"/>
                <w:rFonts w:ascii="Times New Roman" w:hAnsi="Times New Roman"/>
                <w:sz w:val="24"/>
              </w:rPr>
              <w:t>15.2.1</w:t>
            </w:r>
            <w:r w:rsidRPr="00DA7625">
              <w:rPr>
                <w:rStyle w:val="InstructionsTabelleberschrift"/>
                <w:rFonts w:ascii="Times New Roman" w:hAnsi="Times New Roman"/>
                <w:sz w:val="24"/>
              </w:rPr>
              <w:tab/>
              <w:t>Pénzügyi ágazatbeli szervezetek CET1 tőkéjében lévő bruttó közvetett részesedések, ha az intézmény jelentős részesedéssel rendelkezik az említett vállalkozásokban</w:t>
            </w:r>
          </w:p>
          <w:p w14:paraId="40DF2159" w14:textId="5506FDE7" w:rsidR="001B1411" w:rsidRPr="00DA7625" w:rsidRDefault="00214FDA">
            <w:pPr>
              <w:pStyle w:val="InstructionsText"/>
            </w:pPr>
            <w:r w:rsidRPr="00DA7625">
              <w:t>A CRR 4. cikke (1) bekezdésének 114. pontja, valamint 44. és 45. cikke</w:t>
            </w:r>
          </w:p>
          <w:p w14:paraId="4B0F351D" w14:textId="77777777" w:rsidR="001B1411" w:rsidRPr="00DA7625" w:rsidRDefault="002648B0">
            <w:pPr>
              <w:pStyle w:val="InstructionsText"/>
            </w:pPr>
            <w:r w:rsidRPr="00DA7625">
              <w:t>A feltüntetendő érték a pénzügyi ágazatbeli szervezetek tőkeinstrumentumaiban lévő, kereskedési könyvben nyilvántartott olyan közvetett részesedések értéke, amelyek indexhez kötött értékpapírokban lévő részesedés formáját öltik. Meghatározása a pénzügyi ágazatbeli szervezeteknek az adott indexekben foglalt tőkeinstrumentumaival szembeni, alapul szolgáló kitettség kiszámításával történik.</w:t>
            </w:r>
          </w:p>
          <w:p w14:paraId="217574F3" w14:textId="68F6C470" w:rsidR="001B1411" w:rsidRPr="00DA7625" w:rsidRDefault="002648B0">
            <w:pPr>
              <w:pStyle w:val="InstructionsText"/>
            </w:pPr>
            <w:r w:rsidRPr="00DA7625">
              <w:t>A CRR 36. cikke (1) bekezdésének g) pontja alapján kölcsönös részesedésként kezelt részesedések nem számíthatók be.</w:t>
            </w:r>
          </w:p>
        </w:tc>
      </w:tr>
      <w:tr w:rsidR="001B1411" w:rsidRPr="00DA7625" w14:paraId="679D0FDD" w14:textId="77777777" w:rsidTr="00672D2A">
        <w:tc>
          <w:tcPr>
            <w:tcW w:w="1506" w:type="dxa"/>
          </w:tcPr>
          <w:p w14:paraId="51A0B2F4" w14:textId="77777777" w:rsidR="001B1411" w:rsidRPr="00DA7625" w:rsidRDefault="002648B0">
            <w:pPr>
              <w:pStyle w:val="InstructionsText"/>
            </w:pPr>
            <w:r w:rsidRPr="00DA7625">
              <w:t>500</w:t>
            </w:r>
          </w:p>
        </w:tc>
        <w:tc>
          <w:tcPr>
            <w:tcW w:w="7243" w:type="dxa"/>
          </w:tcPr>
          <w:p w14:paraId="1CFE10BC" w14:textId="77777777" w:rsidR="001B1411" w:rsidRPr="00DA7625" w:rsidRDefault="002648B0">
            <w:pPr>
              <w:pStyle w:val="InstructionsText"/>
            </w:pPr>
            <w:r w:rsidRPr="00DA7625">
              <w:rPr>
                <w:rStyle w:val="InstructionsTabelleberschrift"/>
                <w:rFonts w:ascii="Times New Roman" w:hAnsi="Times New Roman"/>
                <w:sz w:val="24"/>
              </w:rPr>
              <w:t>15.2.2</w:t>
            </w:r>
            <w:r w:rsidRPr="00DA7625">
              <w:rPr>
                <w:rStyle w:val="InstructionsTabelleberschrift"/>
                <w:rFonts w:ascii="Times New Roman" w:hAnsi="Times New Roman"/>
                <w:sz w:val="24"/>
              </w:rPr>
              <w:tab/>
              <w:t>(–) A fent figyelembe vett bruttó közvetett részesedésekkel kapcsolatban megengedett kiegyenlítő rövid pozíciók</w:t>
            </w:r>
          </w:p>
          <w:p w14:paraId="59D4CAD2" w14:textId="5FD292D9" w:rsidR="001B1411" w:rsidRPr="00DA7625" w:rsidRDefault="00214FDA">
            <w:pPr>
              <w:pStyle w:val="InstructionsText"/>
            </w:pPr>
            <w:r w:rsidRPr="00DA7625">
              <w:t>A CRR 4. cikke (1) bekezdésének 114. pontja, valamint 45. cikke</w:t>
            </w:r>
          </w:p>
          <w:p w14:paraId="5375C1EA" w14:textId="5A6BD559" w:rsidR="001B1411" w:rsidRPr="00DA7625" w:rsidRDefault="0014657C">
            <w:pPr>
              <w:pStyle w:val="InstructionsText"/>
            </w:pPr>
            <w:r w:rsidRPr="00DA7625">
              <w:t xml:space="preserve">A CRR 45. cikkének a) pontja megengedi az azonos alapul szolgáló kitettségen belüli kiegyenlítő rövid pozíciókat akkor, ha a rövid pozíció </w:t>
            </w:r>
            <w:r w:rsidRPr="00DA7625">
              <w:lastRenderedPageBreak/>
              <w:t>lejárata illeszkedik a hosszú pozíció lejáratához vagy legalább egy éves hátralévő futamidővel rendelkezik.</w:t>
            </w:r>
          </w:p>
        </w:tc>
      </w:tr>
      <w:tr w:rsidR="001B1411" w:rsidRPr="00DA7625" w14:paraId="6A8A0A57" w14:textId="77777777" w:rsidTr="00672D2A">
        <w:tc>
          <w:tcPr>
            <w:tcW w:w="1506" w:type="dxa"/>
          </w:tcPr>
          <w:p w14:paraId="0F7673AB" w14:textId="77777777" w:rsidR="001B1411" w:rsidRPr="00DA7625" w:rsidRDefault="00DE5A31">
            <w:pPr>
              <w:pStyle w:val="InstructionsText"/>
            </w:pPr>
            <w:r w:rsidRPr="00DA7625">
              <w:lastRenderedPageBreak/>
              <w:t>501</w:t>
            </w:r>
          </w:p>
        </w:tc>
        <w:tc>
          <w:tcPr>
            <w:tcW w:w="7243" w:type="dxa"/>
          </w:tcPr>
          <w:p w14:paraId="4E402D8E" w14:textId="77777777" w:rsidR="001B1411" w:rsidRPr="00DA7625" w:rsidRDefault="00DE5A31">
            <w:pPr>
              <w:pStyle w:val="InstructionsText"/>
            </w:pPr>
            <w:r w:rsidRPr="00DA7625">
              <w:rPr>
                <w:rStyle w:val="InstructionsTabelleberschrift"/>
                <w:rFonts w:ascii="Times New Roman" w:hAnsi="Times New Roman"/>
                <w:sz w:val="24"/>
              </w:rPr>
              <w:t>15.3</w:t>
            </w:r>
            <w:r w:rsidRPr="00DA7625">
              <w:rPr>
                <w:rStyle w:val="InstructionsTabelleberschrift"/>
                <w:rFonts w:ascii="Times New Roman" w:hAnsi="Times New Roman"/>
                <w:sz w:val="24"/>
              </w:rPr>
              <w:tab/>
              <w:t>Pénzügyi ágazatbeli szervezetek CET1 tőkéjében lévő szintetikus részesedések, ha az intézmény jelentős részesedéssel rendelkezik az említett vállalkozásokban</w:t>
            </w:r>
          </w:p>
          <w:p w14:paraId="0F20708A" w14:textId="58F7DE0F" w:rsidR="001B1411" w:rsidRPr="00DA7625" w:rsidRDefault="00214FDA">
            <w:pPr>
              <w:pStyle w:val="InstructionsText"/>
            </w:pPr>
            <w:r w:rsidRPr="00DA7625">
              <w:t>A CRR 4. cikke (1) bekezdésének 126. pontja, valamint 44. és 45. cikke</w:t>
            </w:r>
          </w:p>
        </w:tc>
      </w:tr>
      <w:tr w:rsidR="001B1411" w:rsidRPr="00DA7625" w14:paraId="46B0D844" w14:textId="77777777" w:rsidTr="00672D2A">
        <w:tc>
          <w:tcPr>
            <w:tcW w:w="1506" w:type="dxa"/>
          </w:tcPr>
          <w:p w14:paraId="4CBB8BE3" w14:textId="77777777" w:rsidR="001B1411" w:rsidRPr="00DA7625" w:rsidRDefault="00DE5A31">
            <w:pPr>
              <w:pStyle w:val="InstructionsText"/>
            </w:pPr>
            <w:r w:rsidRPr="00DA7625">
              <w:t>502</w:t>
            </w:r>
          </w:p>
        </w:tc>
        <w:tc>
          <w:tcPr>
            <w:tcW w:w="7243" w:type="dxa"/>
          </w:tcPr>
          <w:p w14:paraId="51F26CF7" w14:textId="77777777" w:rsidR="001B1411" w:rsidRPr="00DA7625" w:rsidRDefault="00DE5A31">
            <w:pPr>
              <w:pStyle w:val="InstructionsText"/>
            </w:pPr>
            <w:r w:rsidRPr="00DA7625">
              <w:rPr>
                <w:rStyle w:val="InstructionsTabelleberschrift"/>
                <w:rFonts w:ascii="Times New Roman" w:hAnsi="Times New Roman"/>
                <w:sz w:val="24"/>
              </w:rPr>
              <w:t>15.3.1</w:t>
            </w:r>
            <w:r w:rsidRPr="00DA7625">
              <w:rPr>
                <w:rStyle w:val="InstructionsTabelleberschrift"/>
                <w:rFonts w:ascii="Times New Roman" w:hAnsi="Times New Roman"/>
                <w:sz w:val="24"/>
              </w:rPr>
              <w:tab/>
              <w:t>Pénzügyi ágazatbeli szervezetek CET1 tőkéjében lévő bruttó szintetikus részesedések, ha az intézmény jelentős részesedéssel rendelkezik az említett vállalkozásokban</w:t>
            </w:r>
          </w:p>
          <w:p w14:paraId="5C4B0FFA" w14:textId="1E9E8927" w:rsidR="001B1411" w:rsidRPr="00DA7625" w:rsidRDefault="00214FDA">
            <w:pPr>
              <w:pStyle w:val="InstructionsText"/>
            </w:pPr>
            <w:r w:rsidRPr="00DA7625">
              <w:t>A CRR 4. cikke (1) bekezdésének 126. pontja, valamint 44. és 45. cikke</w:t>
            </w:r>
          </w:p>
        </w:tc>
      </w:tr>
      <w:tr w:rsidR="001B1411" w:rsidRPr="00DA7625" w14:paraId="35C46525" w14:textId="77777777" w:rsidTr="00672D2A">
        <w:tc>
          <w:tcPr>
            <w:tcW w:w="1506" w:type="dxa"/>
          </w:tcPr>
          <w:p w14:paraId="09657881" w14:textId="77777777" w:rsidR="001B1411" w:rsidRPr="00DA7625" w:rsidRDefault="00E81DB9">
            <w:pPr>
              <w:pStyle w:val="InstructionsText"/>
            </w:pPr>
            <w:r w:rsidRPr="00DA7625">
              <w:t>503</w:t>
            </w:r>
          </w:p>
        </w:tc>
        <w:tc>
          <w:tcPr>
            <w:tcW w:w="7243" w:type="dxa"/>
          </w:tcPr>
          <w:p w14:paraId="14CCB180" w14:textId="77777777" w:rsidR="001B1411" w:rsidRPr="00DA7625" w:rsidRDefault="00E81DB9">
            <w:pPr>
              <w:pStyle w:val="InstructionsText"/>
            </w:pPr>
            <w:r w:rsidRPr="00DA7625">
              <w:rPr>
                <w:rStyle w:val="InstructionsTabelleberschrift"/>
                <w:rFonts w:ascii="Times New Roman" w:hAnsi="Times New Roman"/>
                <w:sz w:val="24"/>
              </w:rPr>
              <w:t>15.3.2</w:t>
            </w:r>
            <w:r w:rsidRPr="00DA7625">
              <w:rPr>
                <w:rStyle w:val="InstructionsTabelleberschrift"/>
                <w:rFonts w:ascii="Times New Roman" w:hAnsi="Times New Roman"/>
                <w:sz w:val="24"/>
              </w:rPr>
              <w:tab/>
              <w:t>(–) A fent figyelembe vett bruttó szintetikus részesedésekkel kapcsolatban megengedett kiegyenlítő rövid pozíciók</w:t>
            </w:r>
          </w:p>
          <w:p w14:paraId="0BC23DAA" w14:textId="05A54580" w:rsidR="001B1411" w:rsidRPr="00DA7625" w:rsidRDefault="00214FDA">
            <w:pPr>
              <w:pStyle w:val="InstructionsText"/>
            </w:pPr>
            <w:r w:rsidRPr="00DA7625">
              <w:t>A CRR 4. cikke (1) bekezdésének 126. pontja, valamint 45. cikke</w:t>
            </w:r>
          </w:p>
        </w:tc>
      </w:tr>
      <w:tr w:rsidR="001B1411" w:rsidRPr="00DA7625" w14:paraId="30D8441D" w14:textId="77777777" w:rsidTr="00672D2A">
        <w:tc>
          <w:tcPr>
            <w:tcW w:w="1506" w:type="dxa"/>
          </w:tcPr>
          <w:p w14:paraId="4A6913BC" w14:textId="77777777" w:rsidR="001B1411" w:rsidRPr="00DA7625" w:rsidRDefault="002648B0">
            <w:pPr>
              <w:pStyle w:val="InstructionsText"/>
            </w:pPr>
            <w:r w:rsidRPr="00DA7625">
              <w:t>510</w:t>
            </w:r>
          </w:p>
        </w:tc>
        <w:tc>
          <w:tcPr>
            <w:tcW w:w="7243" w:type="dxa"/>
          </w:tcPr>
          <w:p w14:paraId="3C26DE3A" w14:textId="77777777" w:rsidR="001B1411" w:rsidRPr="00DA7625" w:rsidRDefault="002648B0">
            <w:pPr>
              <w:pStyle w:val="InstructionsText"/>
            </w:pPr>
            <w:r w:rsidRPr="00DA7625">
              <w:rPr>
                <w:rStyle w:val="InstructionsTabelleberschrift"/>
                <w:rFonts w:ascii="Times New Roman" w:hAnsi="Times New Roman"/>
                <w:sz w:val="24"/>
              </w:rPr>
              <w:t>16. Pénzügyi ágazatbeli szervezetek AT1 tőkéjében lévő részesedések, ha az intézmény jelentős részesedéssel rendelkezik az említett vállalkozásokban, a rövid pozíciók levonásával</w:t>
            </w:r>
          </w:p>
          <w:p w14:paraId="3A282320" w14:textId="3067FAD8" w:rsidR="001B1411" w:rsidRPr="00DA7625" w:rsidRDefault="002648B0">
            <w:pPr>
              <w:pStyle w:val="InstructionsText"/>
            </w:pPr>
            <w:r w:rsidRPr="00DA7625">
              <w:t>A CRR 58. és 59. cikke</w:t>
            </w:r>
          </w:p>
        </w:tc>
      </w:tr>
      <w:tr w:rsidR="001B1411" w:rsidRPr="00DA7625" w14:paraId="165A41EE" w14:textId="77777777" w:rsidTr="00672D2A">
        <w:tc>
          <w:tcPr>
            <w:tcW w:w="1506" w:type="dxa"/>
          </w:tcPr>
          <w:p w14:paraId="73B9DCEE" w14:textId="77777777" w:rsidR="001B1411" w:rsidRPr="00DA7625" w:rsidRDefault="002648B0">
            <w:pPr>
              <w:pStyle w:val="InstructionsText"/>
            </w:pPr>
            <w:r w:rsidRPr="00DA7625">
              <w:t>520</w:t>
            </w:r>
          </w:p>
        </w:tc>
        <w:tc>
          <w:tcPr>
            <w:tcW w:w="7243" w:type="dxa"/>
          </w:tcPr>
          <w:p w14:paraId="3C5D92D8" w14:textId="77777777" w:rsidR="001B1411" w:rsidRPr="00DA7625" w:rsidRDefault="002648B0">
            <w:pPr>
              <w:pStyle w:val="InstructionsText"/>
            </w:pPr>
            <w:r w:rsidRPr="00DA7625">
              <w:rPr>
                <w:rStyle w:val="InstructionsTabelleberschrift"/>
                <w:rFonts w:ascii="Times New Roman" w:hAnsi="Times New Roman"/>
                <w:sz w:val="24"/>
              </w:rPr>
              <w:t>16.1</w:t>
            </w:r>
            <w:r w:rsidRPr="00DA7625">
              <w:rPr>
                <w:rStyle w:val="InstructionsTabelleberschrift"/>
                <w:rFonts w:ascii="Times New Roman" w:hAnsi="Times New Roman"/>
                <w:sz w:val="24"/>
              </w:rPr>
              <w:tab/>
              <w:t>Pénzügyi ágazatbeli szervezetek AT1 tőkéjében lévő közvetlen részesedések, ha az intézmény jelentős részesedéssel rendelkezik az említett vállalkozásokban</w:t>
            </w:r>
          </w:p>
          <w:p w14:paraId="6CD73006" w14:textId="200F04EA" w:rsidR="001B1411" w:rsidRPr="00DA7625" w:rsidRDefault="002648B0">
            <w:pPr>
              <w:pStyle w:val="InstructionsText"/>
            </w:pPr>
            <w:r w:rsidRPr="00DA7625">
              <w:t>A CRR 58. és 59. cikke</w:t>
            </w:r>
          </w:p>
        </w:tc>
      </w:tr>
      <w:tr w:rsidR="001B1411" w:rsidRPr="00DA7625" w14:paraId="5D7399BF" w14:textId="77777777" w:rsidTr="00672D2A">
        <w:tc>
          <w:tcPr>
            <w:tcW w:w="1506" w:type="dxa"/>
          </w:tcPr>
          <w:p w14:paraId="1FA002BB" w14:textId="77777777" w:rsidR="001B1411" w:rsidRPr="00DA7625" w:rsidRDefault="002648B0">
            <w:pPr>
              <w:pStyle w:val="InstructionsText"/>
            </w:pPr>
            <w:r w:rsidRPr="00DA7625">
              <w:t>530</w:t>
            </w:r>
          </w:p>
        </w:tc>
        <w:tc>
          <w:tcPr>
            <w:tcW w:w="7243" w:type="dxa"/>
          </w:tcPr>
          <w:p w14:paraId="58958D69" w14:textId="77777777" w:rsidR="001B1411" w:rsidRPr="00DA7625" w:rsidRDefault="002648B0">
            <w:pPr>
              <w:pStyle w:val="InstructionsText"/>
            </w:pPr>
            <w:r w:rsidRPr="00DA7625">
              <w:rPr>
                <w:rStyle w:val="InstructionsTabelleberschrift"/>
                <w:rFonts w:ascii="Times New Roman" w:hAnsi="Times New Roman"/>
                <w:sz w:val="24"/>
              </w:rPr>
              <w:t>16.1.1</w:t>
            </w:r>
            <w:r w:rsidRPr="00DA7625">
              <w:rPr>
                <w:rStyle w:val="InstructionsTabelleberschrift"/>
                <w:rFonts w:ascii="Times New Roman" w:hAnsi="Times New Roman"/>
                <w:sz w:val="24"/>
              </w:rPr>
              <w:tab/>
              <w:t>Pénzügyi ágazatbeli szervezetek AT1 tőkéjében lévő bruttó közvetlen részesedések, ha az intézmény jelentős részesedéssel rendelkezik az említett vállalkozásokban</w:t>
            </w:r>
          </w:p>
          <w:p w14:paraId="7C5EC7F0" w14:textId="7B3C53AE" w:rsidR="001B1411" w:rsidRPr="00DA7625" w:rsidRDefault="002648B0">
            <w:pPr>
              <w:pStyle w:val="InstructionsText"/>
            </w:pPr>
            <w:r w:rsidRPr="00DA7625">
              <w:t>A CRR 58. cikke</w:t>
            </w:r>
          </w:p>
          <w:p w14:paraId="5B293760" w14:textId="77777777" w:rsidR="001B1411" w:rsidRPr="00DA7625" w:rsidRDefault="002648B0">
            <w:pPr>
              <w:pStyle w:val="InstructionsText"/>
            </w:pPr>
            <w:r w:rsidRPr="00DA7625">
              <w:t>Pénzügyi ágazatbeli szervezetek AT1 tőkéjében lévő közvetlen részesedések, ha az intézmény jelentős részesedéssel rendelkezik az említett vállalkozásokban, az alábbiak kivételével:</w:t>
            </w:r>
          </w:p>
          <w:p w14:paraId="573E3B03" w14:textId="55E7CF7F" w:rsidR="001B1411" w:rsidRPr="00DA7625" w:rsidRDefault="002648B0">
            <w:pPr>
              <w:pStyle w:val="InstructionsText"/>
            </w:pPr>
            <w:r w:rsidRPr="00DA7625">
              <w:t>a)</w:t>
            </w:r>
            <w:r w:rsidRPr="00DA7625">
              <w:tab/>
              <w:t>az öt munkanapig vagy annál rövidebb ideig tartott, jegyzési garanciavállalásból eredő pozíciók (a CRR 56. cikkének d) pontja); továbbá</w:t>
            </w:r>
          </w:p>
          <w:p w14:paraId="096AB377" w14:textId="5CEF8992" w:rsidR="001B1411" w:rsidRPr="00DA7625" w:rsidRDefault="002648B0">
            <w:pPr>
              <w:pStyle w:val="InstructionsText"/>
            </w:pPr>
            <w:r w:rsidRPr="00DA7625">
              <w:t>b)</w:t>
            </w:r>
            <w:r w:rsidRPr="00DA7625">
              <w:tab/>
              <w:t>a CRR 56. cikkének b) pontja alapján kölcsönös részesedésként kezelt részesedések.</w:t>
            </w:r>
          </w:p>
        </w:tc>
      </w:tr>
      <w:tr w:rsidR="001B1411" w:rsidRPr="00DA7625" w14:paraId="466DFC89" w14:textId="77777777" w:rsidTr="00672D2A">
        <w:tc>
          <w:tcPr>
            <w:tcW w:w="1506" w:type="dxa"/>
          </w:tcPr>
          <w:p w14:paraId="36DE1319" w14:textId="77777777" w:rsidR="001B1411" w:rsidRPr="00DA7625" w:rsidRDefault="002648B0">
            <w:pPr>
              <w:pStyle w:val="InstructionsText"/>
            </w:pPr>
            <w:r w:rsidRPr="00DA7625">
              <w:t>540</w:t>
            </w:r>
          </w:p>
        </w:tc>
        <w:tc>
          <w:tcPr>
            <w:tcW w:w="7243" w:type="dxa"/>
          </w:tcPr>
          <w:p w14:paraId="008F7057" w14:textId="77777777" w:rsidR="001B1411" w:rsidRPr="00DA7625" w:rsidRDefault="002648B0">
            <w:pPr>
              <w:pStyle w:val="InstructionsText"/>
            </w:pPr>
            <w:r w:rsidRPr="00DA7625">
              <w:rPr>
                <w:rStyle w:val="InstructionsTabelleberschrift"/>
                <w:rFonts w:ascii="Times New Roman" w:hAnsi="Times New Roman"/>
                <w:sz w:val="24"/>
              </w:rPr>
              <w:t>16.1.2</w:t>
            </w:r>
            <w:r w:rsidRPr="00DA7625">
              <w:rPr>
                <w:rStyle w:val="InstructionsTabelleberschrift"/>
                <w:rFonts w:ascii="Times New Roman" w:hAnsi="Times New Roman"/>
                <w:sz w:val="24"/>
              </w:rPr>
              <w:tab/>
              <w:t>(–) A fent figyelembe vett bruttó közvetlen részesedésekkel kapcsolatban megengedett kiegyenlítő rövid pozíciók</w:t>
            </w:r>
          </w:p>
          <w:p w14:paraId="19D56D4F" w14:textId="6C7D832C" w:rsidR="001B1411" w:rsidRPr="00DA7625" w:rsidRDefault="002648B0">
            <w:pPr>
              <w:pStyle w:val="InstructionsText"/>
            </w:pPr>
            <w:r w:rsidRPr="00DA7625">
              <w:t>A CRR 59. cikke</w:t>
            </w:r>
          </w:p>
          <w:p w14:paraId="2BCF2FEA" w14:textId="6DC044DF" w:rsidR="001B1411" w:rsidRPr="00DA7625" w:rsidRDefault="0014657C">
            <w:pPr>
              <w:pStyle w:val="InstructionsText"/>
            </w:pPr>
            <w:r w:rsidRPr="00DA7625">
              <w:t>A CRR 59. cikkének a) pontja megengedi az azonos alapul szolgáló kitettségen belüli kiegyenlítő rövid pozíciókat akkor, ha a rövid pozíció lejárata illeszkedik a hosszú pozíció lejáratához vagy legalább egy éves hátralévő futamidővel rendelkezik.</w:t>
            </w:r>
          </w:p>
        </w:tc>
      </w:tr>
      <w:tr w:rsidR="001B1411" w:rsidRPr="00DA7625" w14:paraId="240757EC" w14:textId="77777777" w:rsidTr="00672D2A">
        <w:tc>
          <w:tcPr>
            <w:tcW w:w="1506" w:type="dxa"/>
          </w:tcPr>
          <w:p w14:paraId="047DF1C5" w14:textId="77777777" w:rsidR="001B1411" w:rsidRPr="00DA7625" w:rsidRDefault="002648B0">
            <w:pPr>
              <w:pStyle w:val="InstructionsText"/>
            </w:pPr>
            <w:r w:rsidRPr="00DA7625">
              <w:lastRenderedPageBreak/>
              <w:t>550</w:t>
            </w:r>
          </w:p>
        </w:tc>
        <w:tc>
          <w:tcPr>
            <w:tcW w:w="7243" w:type="dxa"/>
          </w:tcPr>
          <w:p w14:paraId="6EB0D433" w14:textId="77777777" w:rsidR="001B1411" w:rsidRPr="00DA7625" w:rsidRDefault="002648B0">
            <w:pPr>
              <w:pStyle w:val="InstructionsText"/>
            </w:pPr>
            <w:r w:rsidRPr="00DA7625">
              <w:rPr>
                <w:rStyle w:val="InstructionsTabelleberschrift"/>
                <w:rFonts w:ascii="Times New Roman" w:hAnsi="Times New Roman"/>
                <w:sz w:val="24"/>
              </w:rPr>
              <w:t>16.2</w:t>
            </w:r>
            <w:r w:rsidRPr="00DA7625">
              <w:rPr>
                <w:rStyle w:val="InstructionsTabelleberschrift"/>
                <w:rFonts w:ascii="Times New Roman" w:hAnsi="Times New Roman"/>
                <w:sz w:val="24"/>
              </w:rPr>
              <w:tab/>
              <w:t>Pénzügyi ágazatbeli szervezetek AT1 tőkéjében lévő közvetett részesedések, ha az intézmény jelentős részesedéssel rendelkezik az említett vállalkozásokban</w:t>
            </w:r>
          </w:p>
          <w:p w14:paraId="10C9AD3B" w14:textId="093FDE8A" w:rsidR="001B1411" w:rsidRPr="00DA7625" w:rsidRDefault="00214FDA">
            <w:pPr>
              <w:pStyle w:val="InstructionsText"/>
            </w:pPr>
            <w:r w:rsidRPr="00DA7625">
              <w:t>A CRR 4. cikke (1) bekezdésének 114. pontja, valamint 58. és 59. cikke</w:t>
            </w:r>
          </w:p>
        </w:tc>
      </w:tr>
      <w:tr w:rsidR="001B1411" w:rsidRPr="00DA7625" w14:paraId="58CE0149" w14:textId="77777777" w:rsidTr="00672D2A">
        <w:tc>
          <w:tcPr>
            <w:tcW w:w="1506" w:type="dxa"/>
          </w:tcPr>
          <w:p w14:paraId="48C4C802" w14:textId="77777777" w:rsidR="001B1411" w:rsidRPr="00DA7625" w:rsidRDefault="002648B0">
            <w:pPr>
              <w:pStyle w:val="InstructionsText"/>
            </w:pPr>
            <w:r w:rsidRPr="00DA7625">
              <w:t>560</w:t>
            </w:r>
          </w:p>
        </w:tc>
        <w:tc>
          <w:tcPr>
            <w:tcW w:w="7243" w:type="dxa"/>
          </w:tcPr>
          <w:p w14:paraId="4039D54F" w14:textId="77777777" w:rsidR="001B1411" w:rsidRPr="00DA7625" w:rsidRDefault="002648B0">
            <w:pPr>
              <w:pStyle w:val="InstructionsText"/>
            </w:pPr>
            <w:r w:rsidRPr="00DA7625">
              <w:rPr>
                <w:rStyle w:val="InstructionsTabelleberschrift"/>
                <w:rFonts w:ascii="Times New Roman" w:hAnsi="Times New Roman"/>
                <w:sz w:val="24"/>
              </w:rPr>
              <w:t>16.2.1</w:t>
            </w:r>
            <w:r w:rsidRPr="00DA7625">
              <w:rPr>
                <w:rStyle w:val="InstructionsTabelleberschrift"/>
                <w:rFonts w:ascii="Times New Roman" w:hAnsi="Times New Roman"/>
                <w:sz w:val="24"/>
              </w:rPr>
              <w:tab/>
              <w:t>Pénzügyi ágazatbeli szervezetek AT1 tőkéjében lévő bruttó közvetett részesedések, ha az intézmény jelentős részesedéssel rendelkezik az említett vállalkozásokban</w:t>
            </w:r>
          </w:p>
          <w:p w14:paraId="05B916B6" w14:textId="281A3993" w:rsidR="001B1411" w:rsidRPr="00DA7625" w:rsidRDefault="00214FDA">
            <w:pPr>
              <w:pStyle w:val="InstructionsText"/>
            </w:pPr>
            <w:r w:rsidRPr="00DA7625">
              <w:t>A CRR 4. cikke (1) bekezdésének 114. pontja, valamint 58. és 59. cikke</w:t>
            </w:r>
          </w:p>
          <w:p w14:paraId="28A903E2" w14:textId="77777777" w:rsidR="001B1411" w:rsidRPr="00DA7625" w:rsidRDefault="002648B0">
            <w:pPr>
              <w:pStyle w:val="InstructionsText"/>
            </w:pPr>
            <w:r w:rsidRPr="00DA7625">
              <w:t>A feltüntetendő érték a pénzügyi ágazatbeli szervezetek tőkeinstrumentumaiban lévő, kereskedési könyvben nyilvántartott olyan közvetett részesedések értéke, amelyek indexhez kötött értékpapírokban lévő részesedés formáját öltik. Meghatározása a pénzügyi ágazatbeli szervezeteknek az adott indexekben foglalt tőkeinstrumentumaival szembeni, alapul szolgáló kitettség kiszámításával történik.</w:t>
            </w:r>
          </w:p>
          <w:p w14:paraId="7706BEAE" w14:textId="05C809CD" w:rsidR="001B1411" w:rsidRPr="00DA7625" w:rsidRDefault="002648B0">
            <w:pPr>
              <w:pStyle w:val="InstructionsText"/>
            </w:pPr>
            <w:r w:rsidRPr="00DA7625">
              <w:t>A CRR 56. cikkének b) pontja alapján kölcsönös részesedésként kezelt részesedések nem számíthatók be.</w:t>
            </w:r>
          </w:p>
        </w:tc>
      </w:tr>
      <w:tr w:rsidR="001B1411" w:rsidRPr="00DA7625" w14:paraId="14E003A3" w14:textId="77777777" w:rsidTr="00672D2A">
        <w:tc>
          <w:tcPr>
            <w:tcW w:w="1506" w:type="dxa"/>
          </w:tcPr>
          <w:p w14:paraId="721432E5" w14:textId="77777777" w:rsidR="001B1411" w:rsidRPr="00DA7625" w:rsidRDefault="002648B0">
            <w:pPr>
              <w:pStyle w:val="InstructionsText"/>
            </w:pPr>
            <w:r w:rsidRPr="00DA7625">
              <w:t>570</w:t>
            </w:r>
          </w:p>
        </w:tc>
        <w:tc>
          <w:tcPr>
            <w:tcW w:w="7243" w:type="dxa"/>
          </w:tcPr>
          <w:p w14:paraId="0BF1722E" w14:textId="77777777" w:rsidR="001B1411" w:rsidRPr="00DA7625" w:rsidRDefault="002648B0">
            <w:pPr>
              <w:pStyle w:val="InstructionsText"/>
            </w:pPr>
            <w:r w:rsidRPr="00DA7625">
              <w:rPr>
                <w:rStyle w:val="InstructionsTabelleberschrift"/>
                <w:rFonts w:ascii="Times New Roman" w:hAnsi="Times New Roman"/>
                <w:sz w:val="24"/>
              </w:rPr>
              <w:t>16.2.2</w:t>
            </w:r>
            <w:r w:rsidRPr="00DA7625">
              <w:rPr>
                <w:rStyle w:val="InstructionsTabelleberschrift"/>
                <w:rFonts w:ascii="Times New Roman" w:hAnsi="Times New Roman"/>
                <w:sz w:val="24"/>
              </w:rPr>
              <w:tab/>
              <w:t>(–) A fent figyelembe vett bruttó közvetett részesedésekkel kapcsolatban megengedett kiegyenlítő rövid pozíciók</w:t>
            </w:r>
          </w:p>
          <w:p w14:paraId="48B61345" w14:textId="10C95388" w:rsidR="001B1411" w:rsidRPr="00DA7625" w:rsidRDefault="00214FDA">
            <w:pPr>
              <w:pStyle w:val="InstructionsText"/>
            </w:pPr>
            <w:r w:rsidRPr="00DA7625">
              <w:t>A CRR 4. cikke (1) bekezdésének 114. pontja, valamint 59. cikke</w:t>
            </w:r>
          </w:p>
          <w:p w14:paraId="0C0E1FA0" w14:textId="1D6A146E" w:rsidR="001B1411" w:rsidRPr="00DA7625" w:rsidRDefault="0014657C">
            <w:pPr>
              <w:pStyle w:val="InstructionsText"/>
            </w:pPr>
            <w:r w:rsidRPr="00DA7625">
              <w:t>A CRR 59. cikkének a) pontja megengedi az azonos alapul szolgáló kitettségen belüli kiegyenlítő rövid pozíciókat akkor, ha a rövid pozíció lejárata illeszkedik a hosszú pozíció lejáratához vagy legalább egy éves hátralévő futamidővel rendelkezik.</w:t>
            </w:r>
          </w:p>
        </w:tc>
      </w:tr>
      <w:tr w:rsidR="001B1411" w:rsidRPr="00DA7625" w14:paraId="28CE4219" w14:textId="77777777" w:rsidTr="00672D2A">
        <w:tc>
          <w:tcPr>
            <w:tcW w:w="1506" w:type="dxa"/>
          </w:tcPr>
          <w:p w14:paraId="70F834C4" w14:textId="77777777" w:rsidR="001B1411" w:rsidRPr="00DA7625" w:rsidRDefault="00E81DB9">
            <w:pPr>
              <w:pStyle w:val="InstructionsText"/>
            </w:pPr>
            <w:r w:rsidRPr="00DA7625">
              <w:t>571</w:t>
            </w:r>
          </w:p>
        </w:tc>
        <w:tc>
          <w:tcPr>
            <w:tcW w:w="7243" w:type="dxa"/>
          </w:tcPr>
          <w:p w14:paraId="7D0D3803" w14:textId="77777777" w:rsidR="001B1411" w:rsidRPr="00DA7625" w:rsidRDefault="00E81DB9">
            <w:pPr>
              <w:pStyle w:val="InstructionsText"/>
            </w:pPr>
            <w:r w:rsidRPr="00DA7625">
              <w:rPr>
                <w:rStyle w:val="InstructionsTabelleberschrift"/>
                <w:rFonts w:ascii="Times New Roman" w:hAnsi="Times New Roman"/>
                <w:sz w:val="24"/>
              </w:rPr>
              <w:t>16.3</w:t>
            </w:r>
            <w:r w:rsidRPr="00DA7625">
              <w:rPr>
                <w:rStyle w:val="InstructionsTabelleberschrift"/>
                <w:rFonts w:ascii="Times New Roman" w:hAnsi="Times New Roman"/>
                <w:sz w:val="24"/>
              </w:rPr>
              <w:tab/>
              <w:t>Pénzügyi ágazatbeli szervezetek AT1 tőkéjében lévő szintetikus részesedések, ha az intézmény jelentős részesedéssel rendelkezik az említett vállalkozásokban</w:t>
            </w:r>
          </w:p>
          <w:p w14:paraId="7F2AD22F" w14:textId="4FFC45BF" w:rsidR="001B1411" w:rsidRPr="00DA7625" w:rsidRDefault="00214FDA">
            <w:pPr>
              <w:pStyle w:val="InstructionsText"/>
              <w:rPr>
                <w:rStyle w:val="InstructionsTabelleberschrift"/>
                <w:rFonts w:ascii="Times New Roman" w:hAnsi="Times New Roman"/>
                <w:b w:val="0"/>
                <w:bCs w:val="0"/>
                <w:sz w:val="24"/>
                <w:u w:val="none"/>
              </w:rPr>
            </w:pPr>
            <w:r w:rsidRPr="00DA7625">
              <w:t>A CRR 4. cikke (1) bekezdésének 126. pontja, valamint 58. és 59. cikke</w:t>
            </w:r>
          </w:p>
        </w:tc>
      </w:tr>
      <w:tr w:rsidR="001B1411" w:rsidRPr="00DA7625" w14:paraId="4BEC707A" w14:textId="77777777" w:rsidTr="00672D2A">
        <w:tc>
          <w:tcPr>
            <w:tcW w:w="1506" w:type="dxa"/>
          </w:tcPr>
          <w:p w14:paraId="0BCA77A7" w14:textId="77777777" w:rsidR="001B1411" w:rsidRPr="00DA7625" w:rsidRDefault="00E81DB9">
            <w:pPr>
              <w:pStyle w:val="InstructionsText"/>
            </w:pPr>
            <w:r w:rsidRPr="00DA7625">
              <w:t>572</w:t>
            </w:r>
          </w:p>
        </w:tc>
        <w:tc>
          <w:tcPr>
            <w:tcW w:w="7243" w:type="dxa"/>
          </w:tcPr>
          <w:p w14:paraId="715CE87A" w14:textId="77777777" w:rsidR="001B1411" w:rsidRPr="00DA7625" w:rsidRDefault="00E81DB9">
            <w:pPr>
              <w:pStyle w:val="InstructionsText"/>
            </w:pPr>
            <w:r w:rsidRPr="00DA7625">
              <w:rPr>
                <w:rStyle w:val="InstructionsTabelleberschrift"/>
                <w:rFonts w:ascii="Times New Roman" w:hAnsi="Times New Roman"/>
                <w:sz w:val="24"/>
              </w:rPr>
              <w:t>16.3.1</w:t>
            </w:r>
            <w:r w:rsidRPr="00DA7625">
              <w:rPr>
                <w:rStyle w:val="InstructionsTabelleberschrift"/>
                <w:rFonts w:ascii="Times New Roman" w:hAnsi="Times New Roman"/>
                <w:sz w:val="24"/>
              </w:rPr>
              <w:tab/>
              <w:t>Pénzügyi ágazatbeli szervezetek AT1 tőkéjében lévő bruttó szintetikus részesedések, ha az intézmény jelentős részesedéssel rendelkezik az említett vállalkozásokban</w:t>
            </w:r>
          </w:p>
          <w:p w14:paraId="144F93F9" w14:textId="6BEDA80F" w:rsidR="001B1411" w:rsidRPr="00DA7625" w:rsidRDefault="00214FDA">
            <w:pPr>
              <w:pStyle w:val="InstructionsText"/>
              <w:rPr>
                <w:rStyle w:val="InstructionsTabelleberschrift"/>
                <w:rFonts w:ascii="Times New Roman" w:hAnsi="Times New Roman"/>
                <w:b w:val="0"/>
                <w:bCs w:val="0"/>
                <w:sz w:val="24"/>
                <w:u w:val="none"/>
              </w:rPr>
            </w:pPr>
            <w:r w:rsidRPr="00DA7625">
              <w:t>A CRR 4. cikke (1) bekezdésének 126. pontja, valamint 58. és 59. cikke</w:t>
            </w:r>
          </w:p>
        </w:tc>
      </w:tr>
      <w:tr w:rsidR="001B1411" w:rsidRPr="00DA7625" w14:paraId="633C061F" w14:textId="77777777" w:rsidTr="00672D2A">
        <w:tc>
          <w:tcPr>
            <w:tcW w:w="1506" w:type="dxa"/>
          </w:tcPr>
          <w:p w14:paraId="48A3DAED" w14:textId="77777777" w:rsidR="001B1411" w:rsidRPr="00DA7625" w:rsidRDefault="00E81DB9">
            <w:pPr>
              <w:pStyle w:val="InstructionsText"/>
            </w:pPr>
            <w:r w:rsidRPr="00DA7625">
              <w:t>573</w:t>
            </w:r>
          </w:p>
        </w:tc>
        <w:tc>
          <w:tcPr>
            <w:tcW w:w="7243" w:type="dxa"/>
          </w:tcPr>
          <w:p w14:paraId="5112916F" w14:textId="77777777" w:rsidR="001B1411" w:rsidRPr="00DA7625" w:rsidRDefault="00E81DB9">
            <w:pPr>
              <w:pStyle w:val="InstructionsText"/>
            </w:pPr>
            <w:r w:rsidRPr="00DA7625">
              <w:rPr>
                <w:rStyle w:val="InstructionsTabelleberschrift"/>
                <w:rFonts w:ascii="Times New Roman" w:hAnsi="Times New Roman"/>
                <w:sz w:val="24"/>
              </w:rPr>
              <w:t>16.3.2</w:t>
            </w:r>
            <w:r w:rsidRPr="00DA7625">
              <w:rPr>
                <w:rStyle w:val="InstructionsTabelleberschrift"/>
                <w:rFonts w:ascii="Times New Roman" w:hAnsi="Times New Roman"/>
                <w:sz w:val="24"/>
              </w:rPr>
              <w:tab/>
              <w:t>(–) A fent figyelembe vett bruttó szintetikus részesedésekkel kapcsolatban megengedett kiegyenlítő rövid pozíciók</w:t>
            </w:r>
          </w:p>
          <w:p w14:paraId="50623946" w14:textId="3F3B0EE3" w:rsidR="001B1411" w:rsidRPr="00DA7625" w:rsidRDefault="00214FDA">
            <w:pPr>
              <w:pStyle w:val="InstructionsText"/>
              <w:rPr>
                <w:rStyle w:val="InstructionsTabelleberschrift"/>
                <w:rFonts w:ascii="Times New Roman" w:hAnsi="Times New Roman"/>
                <w:b w:val="0"/>
                <w:bCs w:val="0"/>
                <w:sz w:val="24"/>
                <w:u w:val="none"/>
              </w:rPr>
            </w:pPr>
            <w:r w:rsidRPr="00DA7625">
              <w:t>A CRR 4. cikke (1) bekezdésének 126. pontja, valamint 59. cikke</w:t>
            </w:r>
          </w:p>
        </w:tc>
      </w:tr>
      <w:tr w:rsidR="001B1411" w:rsidRPr="00DA7625" w14:paraId="50E519C6" w14:textId="77777777" w:rsidTr="00672D2A">
        <w:tc>
          <w:tcPr>
            <w:tcW w:w="1506" w:type="dxa"/>
          </w:tcPr>
          <w:p w14:paraId="10C3CF59" w14:textId="77777777" w:rsidR="001B1411" w:rsidRPr="00DA7625" w:rsidRDefault="002648B0">
            <w:pPr>
              <w:pStyle w:val="InstructionsText"/>
            </w:pPr>
            <w:r w:rsidRPr="00DA7625">
              <w:t>580</w:t>
            </w:r>
          </w:p>
        </w:tc>
        <w:tc>
          <w:tcPr>
            <w:tcW w:w="7243" w:type="dxa"/>
          </w:tcPr>
          <w:p w14:paraId="42F63504" w14:textId="77777777" w:rsidR="001B1411" w:rsidRPr="00DA7625" w:rsidRDefault="002648B0">
            <w:pPr>
              <w:pStyle w:val="InstructionsText"/>
            </w:pPr>
            <w:r w:rsidRPr="00DA7625">
              <w:rPr>
                <w:rStyle w:val="InstructionsTabelleberschrift"/>
                <w:rFonts w:ascii="Times New Roman" w:hAnsi="Times New Roman"/>
                <w:sz w:val="24"/>
              </w:rPr>
              <w:t>17. Pénzügyi ágazatbeli szervezetek T2 tőkéjében lévő részesedések, ha az intézmény jelentős részesedéssel rendelkezik az említett vállalkozásokban, a rövid pozíciók levonásával</w:t>
            </w:r>
          </w:p>
          <w:p w14:paraId="7A5CB051" w14:textId="57B6E684" w:rsidR="001B1411" w:rsidRPr="00DA7625" w:rsidRDefault="002648B0">
            <w:pPr>
              <w:pStyle w:val="InstructionsText"/>
            </w:pPr>
            <w:r w:rsidRPr="00DA7625">
              <w:t>A CRR 68. és 69. cikke</w:t>
            </w:r>
          </w:p>
        </w:tc>
      </w:tr>
      <w:tr w:rsidR="001B1411" w:rsidRPr="00DA7625" w14:paraId="55B076F7" w14:textId="77777777" w:rsidTr="00672D2A">
        <w:tc>
          <w:tcPr>
            <w:tcW w:w="1506" w:type="dxa"/>
          </w:tcPr>
          <w:p w14:paraId="001A8EA2" w14:textId="77777777" w:rsidR="001B1411" w:rsidRPr="00DA7625" w:rsidRDefault="002648B0">
            <w:pPr>
              <w:pStyle w:val="InstructionsText"/>
            </w:pPr>
            <w:r w:rsidRPr="00DA7625">
              <w:t>590</w:t>
            </w:r>
          </w:p>
        </w:tc>
        <w:tc>
          <w:tcPr>
            <w:tcW w:w="7243" w:type="dxa"/>
          </w:tcPr>
          <w:p w14:paraId="15DE9E31" w14:textId="77777777" w:rsidR="001B1411" w:rsidRPr="00DA7625" w:rsidRDefault="002648B0">
            <w:pPr>
              <w:pStyle w:val="InstructionsText"/>
            </w:pPr>
            <w:r w:rsidRPr="00DA7625">
              <w:rPr>
                <w:rStyle w:val="InstructionsTabelleberschrift"/>
                <w:rFonts w:ascii="Times New Roman" w:hAnsi="Times New Roman"/>
                <w:sz w:val="24"/>
              </w:rPr>
              <w:t>17.1</w:t>
            </w:r>
            <w:r w:rsidRPr="00DA7625">
              <w:rPr>
                <w:rStyle w:val="InstructionsTabelleberschrift"/>
                <w:rFonts w:ascii="Times New Roman" w:hAnsi="Times New Roman"/>
                <w:sz w:val="24"/>
              </w:rPr>
              <w:tab/>
              <w:t>Pénzügyi ágazatbeli szervezetek T2 tőkéjében lévő közvetlen részesedések, ha az intézmény jelentős részesedéssel rendelkezik az említett vállalkozásokban</w:t>
            </w:r>
          </w:p>
          <w:p w14:paraId="18678044" w14:textId="1EB63DCE" w:rsidR="001B1411" w:rsidRPr="00DA7625" w:rsidRDefault="002648B0">
            <w:pPr>
              <w:pStyle w:val="InstructionsText"/>
            </w:pPr>
            <w:r w:rsidRPr="00DA7625">
              <w:t>A CRR 68. és 69. cikke</w:t>
            </w:r>
          </w:p>
        </w:tc>
      </w:tr>
      <w:tr w:rsidR="001B1411" w:rsidRPr="00DA7625" w14:paraId="4D94C750" w14:textId="77777777" w:rsidTr="00672D2A">
        <w:tc>
          <w:tcPr>
            <w:tcW w:w="1506" w:type="dxa"/>
          </w:tcPr>
          <w:p w14:paraId="6DD0D1F4" w14:textId="77777777" w:rsidR="001B1411" w:rsidRPr="00DA7625" w:rsidRDefault="002648B0">
            <w:pPr>
              <w:pStyle w:val="InstructionsText"/>
            </w:pPr>
            <w:r w:rsidRPr="00DA7625">
              <w:lastRenderedPageBreak/>
              <w:t>600</w:t>
            </w:r>
          </w:p>
        </w:tc>
        <w:tc>
          <w:tcPr>
            <w:tcW w:w="7243" w:type="dxa"/>
          </w:tcPr>
          <w:p w14:paraId="7F136317" w14:textId="77777777" w:rsidR="001B1411" w:rsidRPr="00DA7625" w:rsidRDefault="002648B0">
            <w:pPr>
              <w:pStyle w:val="InstructionsText"/>
            </w:pPr>
            <w:r w:rsidRPr="00DA7625">
              <w:rPr>
                <w:rStyle w:val="InstructionsTabelleberschrift"/>
                <w:rFonts w:ascii="Times New Roman" w:hAnsi="Times New Roman"/>
                <w:sz w:val="24"/>
              </w:rPr>
              <w:t>17.1.1</w:t>
            </w:r>
            <w:r w:rsidRPr="00DA7625">
              <w:rPr>
                <w:rStyle w:val="InstructionsTabelleberschrift"/>
                <w:rFonts w:ascii="Times New Roman" w:hAnsi="Times New Roman"/>
                <w:sz w:val="24"/>
              </w:rPr>
              <w:tab/>
              <w:t>Pénzügyi ágazatbeli szervezetek T2 tőkéjében lévő bruttó közvetlen részesedések, ha az intézmény jelentős részesedéssel rendelkezik az említett vállalkozásokban</w:t>
            </w:r>
          </w:p>
          <w:p w14:paraId="25CD6776" w14:textId="506DD83C" w:rsidR="001B1411" w:rsidRPr="00DA7625" w:rsidRDefault="002648B0">
            <w:pPr>
              <w:pStyle w:val="InstructionsText"/>
            </w:pPr>
            <w:r w:rsidRPr="00DA7625">
              <w:t>A CRR 68. cikke</w:t>
            </w:r>
          </w:p>
          <w:p w14:paraId="5406E851" w14:textId="77777777" w:rsidR="001B1411" w:rsidRPr="00DA7625" w:rsidRDefault="002648B0">
            <w:pPr>
              <w:pStyle w:val="InstructionsText"/>
            </w:pPr>
            <w:r w:rsidRPr="00DA7625">
              <w:t>Pénzügyi ágazatbeli szervezetek T2 tőkéjében lévő közvetlen részesedések, ha az intézmény jelentős részesedéssel rendelkezik az említett vállalkozásokban, az alábbiak kivételével:</w:t>
            </w:r>
          </w:p>
          <w:p w14:paraId="280B4C16" w14:textId="1622587C" w:rsidR="001B1411" w:rsidRPr="00DA7625" w:rsidRDefault="002648B0">
            <w:pPr>
              <w:pStyle w:val="InstructionsText"/>
              <w:ind w:left="423" w:hanging="423"/>
            </w:pPr>
            <w:r w:rsidRPr="00DA7625">
              <w:t>a)</w:t>
            </w:r>
            <w:r w:rsidRPr="00DA7625">
              <w:tab/>
              <w:t xml:space="preserve">az öt munkanapig vagy annál rövidebb ideig tartott, jegyzési garanciavállalásból eredő pozíciók (a CRR 66. cikkének d) pontja); továbbá </w:t>
            </w:r>
          </w:p>
          <w:p w14:paraId="5472A79B" w14:textId="54950EAE" w:rsidR="001B1411" w:rsidRPr="00DA7625" w:rsidRDefault="002648B0">
            <w:pPr>
              <w:pStyle w:val="InstructionsText"/>
              <w:ind w:left="423" w:hanging="423"/>
            </w:pPr>
            <w:r w:rsidRPr="00DA7625">
              <w:t>b)</w:t>
            </w:r>
            <w:r w:rsidRPr="00DA7625">
              <w:tab/>
              <w:t>a CRR 66. cikkének b) pontja alapján kölcsönös részesedésként kezelt részesedések.</w:t>
            </w:r>
          </w:p>
        </w:tc>
      </w:tr>
      <w:tr w:rsidR="001B1411" w:rsidRPr="00DA7625" w14:paraId="51CF4FFC" w14:textId="77777777" w:rsidTr="00672D2A">
        <w:tc>
          <w:tcPr>
            <w:tcW w:w="1506" w:type="dxa"/>
          </w:tcPr>
          <w:p w14:paraId="5FAF3861" w14:textId="77777777" w:rsidR="001B1411" w:rsidRPr="00DA7625" w:rsidRDefault="002648B0">
            <w:pPr>
              <w:pStyle w:val="InstructionsText"/>
            </w:pPr>
            <w:r w:rsidRPr="00DA7625">
              <w:t>610</w:t>
            </w:r>
          </w:p>
        </w:tc>
        <w:tc>
          <w:tcPr>
            <w:tcW w:w="7243" w:type="dxa"/>
          </w:tcPr>
          <w:p w14:paraId="6012C5CA" w14:textId="77777777" w:rsidR="001B1411" w:rsidRPr="00DA7625" w:rsidRDefault="002648B0">
            <w:pPr>
              <w:pStyle w:val="InstructionsText"/>
            </w:pPr>
            <w:r w:rsidRPr="00DA7625">
              <w:rPr>
                <w:rStyle w:val="InstructionsTabelleberschrift"/>
                <w:rFonts w:ascii="Times New Roman" w:hAnsi="Times New Roman"/>
                <w:sz w:val="24"/>
              </w:rPr>
              <w:t>17.1.2</w:t>
            </w:r>
            <w:r w:rsidRPr="00DA7625">
              <w:rPr>
                <w:rStyle w:val="InstructionsTabelleberschrift"/>
                <w:rFonts w:ascii="Times New Roman" w:hAnsi="Times New Roman"/>
                <w:sz w:val="24"/>
              </w:rPr>
              <w:tab/>
              <w:t>(–) A fent figyelembe vett bruttó közvetlen részesedésekkel kapcsolatban megengedett kiegyenlítő rövid pozíciók</w:t>
            </w:r>
          </w:p>
          <w:p w14:paraId="4B3ACD72" w14:textId="25B4CBD0" w:rsidR="001B1411" w:rsidRPr="00DA7625" w:rsidRDefault="002648B0">
            <w:pPr>
              <w:pStyle w:val="InstructionsText"/>
            </w:pPr>
            <w:r w:rsidRPr="00DA7625">
              <w:t>A CRR 69. cikke</w:t>
            </w:r>
          </w:p>
          <w:p w14:paraId="29E859F2" w14:textId="087D2534" w:rsidR="001B1411" w:rsidRPr="00DA7625" w:rsidRDefault="0014657C">
            <w:pPr>
              <w:pStyle w:val="InstructionsText"/>
            </w:pPr>
            <w:r w:rsidRPr="00DA7625">
              <w:t>A CRR 69. cikkének a) pontja megengedi az azonos alapul szolgáló kitettségen belüli kiegyenlítő rövid pozíciókat akkor, ha a rövid pozíció lejárata illeszkedik a hosszú pozíció lejáratához vagy legalább egy éves hátralévő futamidővel rendelkezik.</w:t>
            </w:r>
          </w:p>
        </w:tc>
      </w:tr>
      <w:tr w:rsidR="001B1411" w:rsidRPr="00DA7625" w14:paraId="2EF64A0D" w14:textId="77777777" w:rsidTr="00672D2A">
        <w:tc>
          <w:tcPr>
            <w:tcW w:w="1506" w:type="dxa"/>
          </w:tcPr>
          <w:p w14:paraId="193C63CC" w14:textId="77777777" w:rsidR="001B1411" w:rsidRPr="00DA7625" w:rsidRDefault="002648B0">
            <w:pPr>
              <w:pStyle w:val="InstructionsText"/>
            </w:pPr>
            <w:r w:rsidRPr="00DA7625">
              <w:t>620</w:t>
            </w:r>
          </w:p>
        </w:tc>
        <w:tc>
          <w:tcPr>
            <w:tcW w:w="7243" w:type="dxa"/>
          </w:tcPr>
          <w:p w14:paraId="3CCD3624" w14:textId="77777777" w:rsidR="001B1411" w:rsidRPr="00DA7625" w:rsidRDefault="002648B0">
            <w:pPr>
              <w:pStyle w:val="InstructionsText"/>
            </w:pPr>
            <w:r w:rsidRPr="00DA7625">
              <w:rPr>
                <w:rStyle w:val="InstructionsTabelleberschrift"/>
                <w:rFonts w:ascii="Times New Roman" w:hAnsi="Times New Roman"/>
                <w:sz w:val="24"/>
              </w:rPr>
              <w:t>17.2</w:t>
            </w:r>
            <w:r w:rsidRPr="00DA7625">
              <w:rPr>
                <w:rStyle w:val="InstructionsTabelleberschrift"/>
                <w:rFonts w:ascii="Times New Roman" w:hAnsi="Times New Roman"/>
                <w:sz w:val="24"/>
              </w:rPr>
              <w:tab/>
              <w:t>Pénzügyi ágazatbeli szervezetek T2 tőkéjében lévő közvetett részesedések, ha az intézmény jelentős részesedéssel rendelkezik az említett vállalkozásokban</w:t>
            </w:r>
          </w:p>
          <w:p w14:paraId="27A2E34A" w14:textId="0215332B" w:rsidR="001B1411" w:rsidRPr="00DA7625" w:rsidRDefault="00214FDA">
            <w:pPr>
              <w:pStyle w:val="InstructionsText"/>
            </w:pPr>
            <w:r w:rsidRPr="00DA7625">
              <w:t>A CRR 4. cikke (1) bekezdésének 114. pontja, valamint 68. és 69. cikke</w:t>
            </w:r>
          </w:p>
        </w:tc>
      </w:tr>
      <w:tr w:rsidR="001B1411" w:rsidRPr="00DA7625" w14:paraId="612D3C25" w14:textId="77777777" w:rsidTr="00672D2A">
        <w:tc>
          <w:tcPr>
            <w:tcW w:w="1506" w:type="dxa"/>
          </w:tcPr>
          <w:p w14:paraId="3983A918" w14:textId="77777777" w:rsidR="001B1411" w:rsidRPr="00DA7625" w:rsidRDefault="002648B0">
            <w:pPr>
              <w:pStyle w:val="InstructionsText"/>
            </w:pPr>
            <w:r w:rsidRPr="00DA7625">
              <w:t>630</w:t>
            </w:r>
          </w:p>
        </w:tc>
        <w:tc>
          <w:tcPr>
            <w:tcW w:w="7243" w:type="dxa"/>
          </w:tcPr>
          <w:p w14:paraId="0AFAC56E" w14:textId="77777777" w:rsidR="001B1411" w:rsidRPr="00DA7625" w:rsidRDefault="002648B0">
            <w:pPr>
              <w:pStyle w:val="InstructionsText"/>
            </w:pPr>
            <w:r w:rsidRPr="00DA7625">
              <w:rPr>
                <w:rStyle w:val="InstructionsTabelleberschrift"/>
                <w:rFonts w:ascii="Times New Roman" w:hAnsi="Times New Roman"/>
                <w:sz w:val="24"/>
              </w:rPr>
              <w:t>17.2.1</w:t>
            </w:r>
            <w:r w:rsidRPr="00DA7625">
              <w:rPr>
                <w:rStyle w:val="InstructionsTabelleberschrift"/>
                <w:rFonts w:ascii="Times New Roman" w:hAnsi="Times New Roman"/>
                <w:sz w:val="24"/>
              </w:rPr>
              <w:tab/>
              <w:t>Pénzügyi ágazatbeli szervezetek T2 tőkéjében lévő bruttó közvetett részesedések, ha az intézmény jelentős részesedéssel rendelkezik az említett vállalkozásokban</w:t>
            </w:r>
          </w:p>
          <w:p w14:paraId="5174B9EB" w14:textId="51648C68" w:rsidR="001B1411" w:rsidRPr="00DA7625" w:rsidRDefault="00214FDA">
            <w:pPr>
              <w:pStyle w:val="InstructionsText"/>
            </w:pPr>
            <w:r w:rsidRPr="00DA7625">
              <w:t>A CRR 4. cikke (1) bekezdésének 114. pontja, valamint 68. és 69. cikke</w:t>
            </w:r>
          </w:p>
          <w:p w14:paraId="060D459D" w14:textId="77777777" w:rsidR="001B1411" w:rsidRPr="00DA7625" w:rsidRDefault="002648B0">
            <w:pPr>
              <w:pStyle w:val="InstructionsText"/>
            </w:pPr>
            <w:r w:rsidRPr="00DA7625">
              <w:t>A feltüntetendő érték a pénzügyi ágazatbeli szervezetek tőkeinstrumentumaiban lévő, kereskedési könyvben nyilvántartott olyan közvetett részesedések értéke, amelyek indexhez kötött értékpapírokban lévő részesedés formáját öltik. Meghatározása a pénzügyi ágazatbeli szervezeteknek az adott indexekben foglalt tőkeinstrumentumaival szembeni, alapul szolgáló kitettség kiszámításával történik.</w:t>
            </w:r>
          </w:p>
          <w:p w14:paraId="46345853" w14:textId="514C7367" w:rsidR="001B1411" w:rsidRPr="00DA7625" w:rsidRDefault="002648B0">
            <w:pPr>
              <w:pStyle w:val="InstructionsText"/>
            </w:pPr>
            <w:r w:rsidRPr="00DA7625">
              <w:t>A CRR 66. cikkének b) pontja alapján kölcsönös részesedésként kezelt részesedések nem számíthatók be.</w:t>
            </w:r>
          </w:p>
        </w:tc>
      </w:tr>
      <w:tr w:rsidR="001B1411" w:rsidRPr="00DA7625" w14:paraId="5A343273" w14:textId="77777777" w:rsidTr="00672D2A">
        <w:tc>
          <w:tcPr>
            <w:tcW w:w="1506" w:type="dxa"/>
          </w:tcPr>
          <w:p w14:paraId="1F694909" w14:textId="77777777" w:rsidR="001B1411" w:rsidRPr="00DA7625" w:rsidRDefault="002648B0">
            <w:pPr>
              <w:pStyle w:val="InstructionsText"/>
            </w:pPr>
            <w:r w:rsidRPr="00DA7625">
              <w:t>640</w:t>
            </w:r>
          </w:p>
        </w:tc>
        <w:tc>
          <w:tcPr>
            <w:tcW w:w="7243" w:type="dxa"/>
          </w:tcPr>
          <w:p w14:paraId="25239FD5" w14:textId="77777777" w:rsidR="001B1411" w:rsidRPr="00DA7625" w:rsidRDefault="002648B0">
            <w:pPr>
              <w:pStyle w:val="InstructionsText"/>
            </w:pPr>
            <w:r w:rsidRPr="00DA7625">
              <w:rPr>
                <w:rStyle w:val="InstructionsTabelleberschrift"/>
                <w:rFonts w:ascii="Times New Roman" w:hAnsi="Times New Roman"/>
                <w:sz w:val="24"/>
              </w:rPr>
              <w:t>17.2.2</w:t>
            </w:r>
            <w:r w:rsidRPr="00DA7625">
              <w:rPr>
                <w:rStyle w:val="InstructionsTabelleberschrift"/>
                <w:rFonts w:ascii="Times New Roman" w:hAnsi="Times New Roman"/>
                <w:sz w:val="24"/>
              </w:rPr>
              <w:tab/>
              <w:t>(–) A fent figyelembe vett bruttó közvetett részesedésekkel kapcsolatban megengedett kiegyenlítő rövid pozíciók</w:t>
            </w:r>
          </w:p>
          <w:p w14:paraId="62B785BE" w14:textId="32239918" w:rsidR="001B1411" w:rsidRPr="00DA7625" w:rsidRDefault="00214FDA">
            <w:pPr>
              <w:pStyle w:val="InstructionsText"/>
            </w:pPr>
            <w:r w:rsidRPr="00DA7625">
              <w:t>A CRR 4. cikke (1) bekezdésének 114. pontja, valamint 69. cikke</w:t>
            </w:r>
          </w:p>
          <w:p w14:paraId="3592C249" w14:textId="2AA87063" w:rsidR="001B1411" w:rsidRPr="00DA7625" w:rsidRDefault="0014657C">
            <w:pPr>
              <w:pStyle w:val="InstructionsText"/>
            </w:pPr>
            <w:r w:rsidRPr="00DA7625">
              <w:t>A CRR 69. cikkének a) pontja megengedi az azonos alapul szolgáló kitettségen belüli kiegyenlítő rövid pozíciókat akkor, ha a rövid pozíció lejárata illeszkedik a hosszú pozíció lejáratához vagy legalább egy éves hátralévő futamidővel rendelkezik.</w:t>
            </w:r>
          </w:p>
        </w:tc>
      </w:tr>
      <w:tr w:rsidR="001B1411" w:rsidRPr="00DA7625" w14:paraId="75D8109D" w14:textId="77777777" w:rsidTr="00672D2A">
        <w:tc>
          <w:tcPr>
            <w:tcW w:w="1506" w:type="dxa"/>
          </w:tcPr>
          <w:p w14:paraId="1F804E01" w14:textId="77777777" w:rsidR="001B1411" w:rsidRPr="00DA7625" w:rsidRDefault="002648B0">
            <w:pPr>
              <w:pStyle w:val="InstructionsText"/>
            </w:pPr>
            <w:r w:rsidRPr="00DA7625">
              <w:lastRenderedPageBreak/>
              <w:t>641</w:t>
            </w:r>
          </w:p>
        </w:tc>
        <w:tc>
          <w:tcPr>
            <w:tcW w:w="7243" w:type="dxa"/>
            <w:vAlign w:val="center"/>
          </w:tcPr>
          <w:p w14:paraId="183D493E" w14:textId="77777777" w:rsidR="001B1411" w:rsidRPr="00DA7625" w:rsidRDefault="002648B0">
            <w:pPr>
              <w:pStyle w:val="InstructionsText"/>
            </w:pPr>
            <w:r w:rsidRPr="00DA7625">
              <w:rPr>
                <w:rStyle w:val="InstructionsTabelleberschrift"/>
                <w:rFonts w:ascii="Times New Roman" w:hAnsi="Times New Roman"/>
                <w:sz w:val="24"/>
              </w:rPr>
              <w:t>17.3</w:t>
            </w:r>
            <w:r w:rsidRPr="00DA7625">
              <w:rPr>
                <w:rStyle w:val="InstructionsTabelleberschrift"/>
                <w:rFonts w:ascii="Times New Roman" w:hAnsi="Times New Roman"/>
                <w:sz w:val="24"/>
              </w:rPr>
              <w:tab/>
              <w:t>Pénzügyi ágazatbeli szervezetek T2 tőkéjében lévő szintetikus részesedések, ha az intézmény jelentős részesedéssel rendelkezik az említett vállalkozásokban</w:t>
            </w:r>
          </w:p>
          <w:p w14:paraId="022F90F1" w14:textId="5B47A7FA" w:rsidR="001B1411" w:rsidRPr="00DA7625" w:rsidRDefault="00214FDA">
            <w:pPr>
              <w:pStyle w:val="InstructionsText"/>
              <w:rPr>
                <w:rStyle w:val="InstructionsTabelleberschrift"/>
                <w:rFonts w:ascii="Times New Roman" w:hAnsi="Times New Roman"/>
                <w:b w:val="0"/>
                <w:bCs w:val="0"/>
                <w:sz w:val="24"/>
                <w:u w:val="none"/>
              </w:rPr>
            </w:pPr>
            <w:r w:rsidRPr="00DA7625">
              <w:t>A CRR 4. cikke (1) bekezdésének 126. pontja, valamint 68. és 69. cikke</w:t>
            </w:r>
          </w:p>
        </w:tc>
      </w:tr>
      <w:tr w:rsidR="001B1411" w:rsidRPr="00DA7625" w14:paraId="2A4CB4E9" w14:textId="77777777" w:rsidTr="00672D2A">
        <w:tc>
          <w:tcPr>
            <w:tcW w:w="1506" w:type="dxa"/>
          </w:tcPr>
          <w:p w14:paraId="7D025789" w14:textId="77777777" w:rsidR="001B1411" w:rsidRPr="00DA7625" w:rsidRDefault="002648B0">
            <w:pPr>
              <w:pStyle w:val="InstructionsText"/>
            </w:pPr>
            <w:r w:rsidRPr="00DA7625">
              <w:t>642</w:t>
            </w:r>
          </w:p>
        </w:tc>
        <w:tc>
          <w:tcPr>
            <w:tcW w:w="7243" w:type="dxa"/>
            <w:vAlign w:val="center"/>
          </w:tcPr>
          <w:p w14:paraId="5DE52751" w14:textId="77777777" w:rsidR="001B1411" w:rsidRPr="00DA7625" w:rsidRDefault="002648B0">
            <w:pPr>
              <w:pStyle w:val="InstructionsText"/>
            </w:pPr>
            <w:r w:rsidRPr="00DA7625">
              <w:rPr>
                <w:rStyle w:val="InstructionsTabelleberschrift"/>
                <w:rFonts w:ascii="Times New Roman" w:hAnsi="Times New Roman"/>
                <w:sz w:val="24"/>
              </w:rPr>
              <w:t>17.3.1</w:t>
            </w:r>
            <w:r w:rsidRPr="00DA7625">
              <w:rPr>
                <w:rStyle w:val="InstructionsTabelleberschrift"/>
                <w:rFonts w:ascii="Times New Roman" w:hAnsi="Times New Roman"/>
                <w:sz w:val="24"/>
              </w:rPr>
              <w:tab/>
              <w:t>Pénzügyi ágazatbeli szervezetek T2 tőkéjében lévő bruttó szintetikus részesedések, ha az intézmény jelentős részesedéssel rendelkezik az említett vállalkozásokban</w:t>
            </w:r>
          </w:p>
          <w:p w14:paraId="3B2234B4" w14:textId="44849788" w:rsidR="001B1411" w:rsidRPr="00DA7625" w:rsidRDefault="00214FDA">
            <w:pPr>
              <w:pStyle w:val="InstructionsText"/>
              <w:rPr>
                <w:rStyle w:val="InstructionsTabelleberschrift"/>
                <w:rFonts w:ascii="Times New Roman" w:hAnsi="Times New Roman"/>
                <w:b w:val="0"/>
                <w:bCs w:val="0"/>
                <w:sz w:val="24"/>
                <w:u w:val="none"/>
              </w:rPr>
            </w:pPr>
            <w:r w:rsidRPr="00DA7625">
              <w:t>A CRR 4. cikke (1) bekezdésének 126. pontja, valamint 68. és 69. cikke</w:t>
            </w:r>
          </w:p>
        </w:tc>
      </w:tr>
      <w:tr w:rsidR="001B1411" w:rsidRPr="00DA7625" w14:paraId="46148E6D" w14:textId="77777777" w:rsidTr="00672D2A">
        <w:tc>
          <w:tcPr>
            <w:tcW w:w="1506" w:type="dxa"/>
          </w:tcPr>
          <w:p w14:paraId="5BC5081D" w14:textId="77777777" w:rsidR="001B1411" w:rsidRPr="00DA7625" w:rsidRDefault="002648B0">
            <w:pPr>
              <w:pStyle w:val="InstructionsText"/>
            </w:pPr>
            <w:r w:rsidRPr="00DA7625">
              <w:t>643</w:t>
            </w:r>
          </w:p>
        </w:tc>
        <w:tc>
          <w:tcPr>
            <w:tcW w:w="7243" w:type="dxa"/>
            <w:vAlign w:val="center"/>
          </w:tcPr>
          <w:p w14:paraId="30D52697" w14:textId="77777777" w:rsidR="001B1411" w:rsidRPr="00DA7625" w:rsidRDefault="002648B0">
            <w:pPr>
              <w:pStyle w:val="InstructionsText"/>
            </w:pPr>
            <w:r w:rsidRPr="00DA7625">
              <w:rPr>
                <w:rStyle w:val="InstructionsTabelleberschrift"/>
                <w:rFonts w:ascii="Times New Roman" w:hAnsi="Times New Roman"/>
                <w:sz w:val="24"/>
              </w:rPr>
              <w:t>17.3.2</w:t>
            </w:r>
            <w:r w:rsidRPr="00DA7625">
              <w:rPr>
                <w:rStyle w:val="InstructionsTabelleberschrift"/>
                <w:rFonts w:ascii="Times New Roman" w:hAnsi="Times New Roman"/>
                <w:sz w:val="24"/>
              </w:rPr>
              <w:tab/>
              <w:t>(–) A fent figyelembe vett bruttó szintetikus részesedésekkel kapcsolatban megengedett kiegyenlítő rövid pozíciók</w:t>
            </w:r>
          </w:p>
          <w:p w14:paraId="7C363177" w14:textId="6C5D3572" w:rsidR="001B1411" w:rsidRPr="00DA7625" w:rsidRDefault="00214FDA">
            <w:pPr>
              <w:pStyle w:val="InstructionsText"/>
              <w:rPr>
                <w:rStyle w:val="InstructionsTabelleberschrift"/>
                <w:rFonts w:ascii="Times New Roman" w:hAnsi="Times New Roman"/>
                <w:b w:val="0"/>
                <w:bCs w:val="0"/>
                <w:sz w:val="24"/>
                <w:u w:val="none"/>
              </w:rPr>
            </w:pPr>
            <w:r w:rsidRPr="00DA7625">
              <w:t>A CRR 4. cikke (1) bekezdésének 126. pontja, valamint 69. cikke</w:t>
            </w:r>
          </w:p>
        </w:tc>
      </w:tr>
      <w:tr w:rsidR="001B1411" w:rsidRPr="00DA7625" w14:paraId="2826F4E0" w14:textId="77777777" w:rsidTr="00672D2A">
        <w:tc>
          <w:tcPr>
            <w:tcW w:w="1506" w:type="dxa"/>
          </w:tcPr>
          <w:p w14:paraId="1DA8D087" w14:textId="77777777" w:rsidR="001B1411" w:rsidRPr="00DA7625" w:rsidRDefault="002648B0">
            <w:pPr>
              <w:pStyle w:val="InstructionsText"/>
            </w:pPr>
            <w:r w:rsidRPr="00DA7625">
              <w:t>650</w:t>
            </w:r>
          </w:p>
        </w:tc>
        <w:tc>
          <w:tcPr>
            <w:tcW w:w="7243" w:type="dxa"/>
          </w:tcPr>
          <w:p w14:paraId="70549837" w14:textId="77777777" w:rsidR="001B1411" w:rsidRPr="00DA7625" w:rsidRDefault="002648B0">
            <w:pPr>
              <w:pStyle w:val="InstructionsText"/>
            </w:pPr>
            <w:r w:rsidRPr="00DA7625">
              <w:rPr>
                <w:rStyle w:val="InstructionsTabelleberschrift"/>
                <w:rFonts w:ascii="Times New Roman" w:hAnsi="Times New Roman"/>
                <w:sz w:val="24"/>
              </w:rPr>
              <w:t>18. Pénzügyi ágazatbeli szervezetek CET1 tőkéjében meglévő olyan részesedések kockázattal súlyozott kitettségei, amelyeket az intézmény CET1 tőkéjéből nem vonnak le</w:t>
            </w:r>
          </w:p>
          <w:p w14:paraId="786079A0" w14:textId="5AB99194" w:rsidR="001B1411" w:rsidRPr="00DA7625" w:rsidRDefault="002648B0">
            <w:pPr>
              <w:pStyle w:val="InstructionsText"/>
            </w:pPr>
            <w:r w:rsidRPr="00DA7625">
              <w:t>A CRR 46. cikkének (4) bekezdése, 48. cikkének (4) bekezdése és 49. cikkének (4) bekezdése</w:t>
            </w:r>
          </w:p>
        </w:tc>
      </w:tr>
      <w:tr w:rsidR="001B1411" w:rsidRPr="00DA7625" w14:paraId="74B30FC8" w14:textId="77777777" w:rsidTr="00672D2A">
        <w:tc>
          <w:tcPr>
            <w:tcW w:w="1506" w:type="dxa"/>
          </w:tcPr>
          <w:p w14:paraId="798CF1B0" w14:textId="77777777" w:rsidR="001B1411" w:rsidRPr="00DA7625" w:rsidRDefault="002648B0">
            <w:pPr>
              <w:pStyle w:val="InstructionsText"/>
            </w:pPr>
            <w:r w:rsidRPr="00DA7625">
              <w:t>660</w:t>
            </w:r>
          </w:p>
        </w:tc>
        <w:tc>
          <w:tcPr>
            <w:tcW w:w="7243" w:type="dxa"/>
          </w:tcPr>
          <w:p w14:paraId="2F20F59C" w14:textId="77777777" w:rsidR="001B1411" w:rsidRPr="00DA7625" w:rsidRDefault="002648B0">
            <w:pPr>
              <w:pStyle w:val="InstructionsText"/>
            </w:pPr>
            <w:r w:rsidRPr="00DA7625">
              <w:rPr>
                <w:rStyle w:val="InstructionsTabelleberschrift"/>
                <w:rFonts w:ascii="Times New Roman" w:hAnsi="Times New Roman"/>
                <w:sz w:val="24"/>
              </w:rPr>
              <w:t>19. Pénzügyi ágazatbeli szervezetek AT1 tőkéjében meglévő olyan részesedések kockázattal súlyozott kitettségei, amelyeket az intézmény AT1 tőkéjéből nem vonnak le</w:t>
            </w:r>
          </w:p>
          <w:p w14:paraId="1E7B2123" w14:textId="1C12BA14" w:rsidR="001B1411" w:rsidRPr="00DA7625" w:rsidRDefault="002648B0">
            <w:pPr>
              <w:pStyle w:val="InstructionsText"/>
            </w:pPr>
            <w:r w:rsidRPr="00DA7625">
              <w:t>A CRR 60. cikkének (4) bekezdése</w:t>
            </w:r>
          </w:p>
        </w:tc>
      </w:tr>
      <w:tr w:rsidR="001B1411" w:rsidRPr="00DA7625" w14:paraId="2CDAAC1B" w14:textId="77777777" w:rsidTr="00672D2A">
        <w:tc>
          <w:tcPr>
            <w:tcW w:w="1506" w:type="dxa"/>
          </w:tcPr>
          <w:p w14:paraId="14716438" w14:textId="77777777" w:rsidR="001B1411" w:rsidRPr="00DA7625" w:rsidRDefault="002648B0">
            <w:pPr>
              <w:pStyle w:val="InstructionsText"/>
            </w:pPr>
            <w:r w:rsidRPr="00DA7625">
              <w:t>670</w:t>
            </w:r>
          </w:p>
        </w:tc>
        <w:tc>
          <w:tcPr>
            <w:tcW w:w="7243" w:type="dxa"/>
          </w:tcPr>
          <w:p w14:paraId="5D1E75DC" w14:textId="77777777" w:rsidR="001B1411" w:rsidRPr="00DA7625" w:rsidRDefault="002648B0">
            <w:pPr>
              <w:pStyle w:val="InstructionsText"/>
            </w:pPr>
            <w:r w:rsidRPr="00DA7625">
              <w:rPr>
                <w:rStyle w:val="InstructionsTabelleberschrift"/>
                <w:rFonts w:ascii="Times New Roman" w:hAnsi="Times New Roman"/>
                <w:sz w:val="24"/>
              </w:rPr>
              <w:t>20. Pénzügyi ágazatbeli szervezetek T2 tőkéjében meglévő olyan részesedések kockázattal súlyozott kitettségei, amelyeket az intézmény T2 tőkéjéből nem vonnak le</w:t>
            </w:r>
          </w:p>
          <w:p w14:paraId="749C57A1" w14:textId="1579468B" w:rsidR="001B1411" w:rsidRPr="00DA7625" w:rsidRDefault="002648B0">
            <w:pPr>
              <w:pStyle w:val="InstructionsText"/>
            </w:pPr>
            <w:r w:rsidRPr="00DA7625">
              <w:t>A CRR 70. cikkének (4) bekezdése</w:t>
            </w:r>
          </w:p>
        </w:tc>
      </w:tr>
      <w:tr w:rsidR="001B1411" w:rsidRPr="00DA7625" w14:paraId="0A74B934" w14:textId="77777777" w:rsidTr="00672D2A">
        <w:tc>
          <w:tcPr>
            <w:tcW w:w="1506" w:type="dxa"/>
          </w:tcPr>
          <w:p w14:paraId="5C0961F2" w14:textId="77777777" w:rsidR="001B1411" w:rsidRPr="00DA7625" w:rsidRDefault="002648B0">
            <w:pPr>
              <w:pStyle w:val="InstructionsText"/>
            </w:pPr>
            <w:r w:rsidRPr="00DA7625">
              <w:t>680</w:t>
            </w:r>
          </w:p>
        </w:tc>
        <w:tc>
          <w:tcPr>
            <w:tcW w:w="7243" w:type="dxa"/>
          </w:tcPr>
          <w:p w14:paraId="6EFF6E75" w14:textId="77777777" w:rsidR="001B1411" w:rsidRPr="00DA7625" w:rsidRDefault="002648B0">
            <w:pPr>
              <w:pStyle w:val="InstructionsText"/>
            </w:pPr>
            <w:r w:rsidRPr="00DA7625">
              <w:rPr>
                <w:rStyle w:val="InstructionsTabelleberschrift"/>
                <w:rFonts w:ascii="Times New Roman" w:hAnsi="Times New Roman"/>
                <w:sz w:val="24"/>
              </w:rPr>
              <w:t>21</w:t>
            </w:r>
            <w:r w:rsidRPr="00DA7625">
              <w:rPr>
                <w:rStyle w:val="InstructionsTabelleberschrift"/>
                <w:rFonts w:ascii="Times New Roman" w:hAnsi="Times New Roman"/>
                <w:sz w:val="24"/>
              </w:rPr>
              <w:tab/>
              <w:t>Pénzügyi ágazatbeli szervezetek által kibocsátott CET1 tőkeinstrumentumokban lévő részesedések, ha az intézmény nem rendelkezik átmenetileg mentesülő jelentős részesedéssel az említett vállalkozásokban</w:t>
            </w:r>
          </w:p>
          <w:p w14:paraId="583D6DC5" w14:textId="6893FB97" w:rsidR="001B1411" w:rsidRPr="00DA7625" w:rsidRDefault="002648B0">
            <w:pPr>
              <w:pStyle w:val="InstructionsText"/>
            </w:pPr>
            <w:r w:rsidRPr="00DA7625">
              <w:t>A CRR 79. cikke</w:t>
            </w:r>
          </w:p>
          <w:p w14:paraId="47A914BA" w14:textId="1027B96F" w:rsidR="001B1411" w:rsidRPr="00DA7625" w:rsidRDefault="002648B0">
            <w:pPr>
              <w:pStyle w:val="InstructionsText"/>
            </w:pPr>
            <w:r w:rsidRPr="00DA7625">
              <w:t>Egy illetékes hatóság átmenetileg eltekinthet a CET1 tőkéből egy pénzügyi ágazatbeli szervezet által kibocsátott instrumentumokban meglévő részesedések miatti levonásra vonatkozó rendelkezésektől, ha az illetékes hatóság megítélése szerint ez a részesedés az adott szervezet reorganizációjára és megmentésére kialakított pénzügyi támogatási művelet célját szolgálja.</w:t>
            </w:r>
          </w:p>
          <w:p w14:paraId="3C8D0E92" w14:textId="5F01882D" w:rsidR="001B1411" w:rsidRPr="00DA7625" w:rsidRDefault="002648B0">
            <w:pPr>
              <w:pStyle w:val="InstructionsText"/>
            </w:pPr>
            <w:r w:rsidRPr="00DA7625">
              <w:t>Ügyelni kell arra, hogy az ilyen instrumentumokat a 12.1. tételben is szerepeltetni kell.</w:t>
            </w:r>
          </w:p>
        </w:tc>
      </w:tr>
      <w:tr w:rsidR="001B1411" w:rsidRPr="00DA7625" w14:paraId="7E3CED47" w14:textId="77777777" w:rsidTr="00672D2A">
        <w:tc>
          <w:tcPr>
            <w:tcW w:w="1506" w:type="dxa"/>
          </w:tcPr>
          <w:p w14:paraId="3AF1C247" w14:textId="77777777" w:rsidR="001B1411" w:rsidRPr="00DA7625" w:rsidRDefault="002648B0">
            <w:pPr>
              <w:pStyle w:val="InstructionsText"/>
            </w:pPr>
            <w:r w:rsidRPr="00DA7625">
              <w:t>690</w:t>
            </w:r>
          </w:p>
        </w:tc>
        <w:tc>
          <w:tcPr>
            <w:tcW w:w="7243" w:type="dxa"/>
          </w:tcPr>
          <w:p w14:paraId="67B6F515" w14:textId="77777777" w:rsidR="001B1411" w:rsidRPr="00DA7625" w:rsidRDefault="002648B0">
            <w:pPr>
              <w:pStyle w:val="InstructionsText"/>
            </w:pPr>
            <w:r w:rsidRPr="00DA7625">
              <w:rPr>
                <w:rStyle w:val="InstructionsTabelleberschrift"/>
                <w:rFonts w:ascii="Times New Roman" w:hAnsi="Times New Roman"/>
                <w:sz w:val="24"/>
              </w:rPr>
              <w:t>22</w:t>
            </w:r>
            <w:r w:rsidRPr="00DA7625">
              <w:rPr>
                <w:rStyle w:val="InstructionsTabelleberschrift"/>
                <w:rFonts w:ascii="Times New Roman" w:hAnsi="Times New Roman"/>
                <w:sz w:val="24"/>
              </w:rPr>
              <w:tab/>
              <w:t>Pénzügyi ágazatbeli szervezetek által kibocsátott CET1 tőkeinstrumentumokban lévő részesedések, ha az intézmény átmenetileg mentesülő jelentős részesedéssel rendelkezik az említett vállalkozásokban</w:t>
            </w:r>
          </w:p>
          <w:p w14:paraId="70E517EB" w14:textId="58D210AB" w:rsidR="001B1411" w:rsidRPr="00DA7625" w:rsidRDefault="002648B0">
            <w:pPr>
              <w:pStyle w:val="InstructionsText"/>
            </w:pPr>
            <w:r w:rsidRPr="00DA7625">
              <w:t>A CRR 79. cikke</w:t>
            </w:r>
          </w:p>
          <w:p w14:paraId="1FD384CA" w14:textId="0DD666A9" w:rsidR="001B1411" w:rsidRPr="00DA7625" w:rsidRDefault="002648B0">
            <w:pPr>
              <w:pStyle w:val="InstructionsText"/>
            </w:pPr>
            <w:r w:rsidRPr="00DA7625">
              <w:lastRenderedPageBreak/>
              <w:t>Egy illetékes hatóság eltekinthet a CET1 tőkéből egy pénzügyi ágazatbeli szervezet által kibocsátott instrumentumokban meglévő részesedések miatti levonásra vonatkozó rendelkezésektől, ha az illetékes hatóság megítélése szerint ez a részesedés az adott szervezet reorganizációjára és megmentésére kialakított pénzügyi támogatási művelet célját szolgálja.</w:t>
            </w:r>
          </w:p>
          <w:p w14:paraId="1099FAF3" w14:textId="752D2281" w:rsidR="001B1411" w:rsidRPr="00DA7625" w:rsidRDefault="002648B0">
            <w:pPr>
              <w:pStyle w:val="InstructionsText"/>
            </w:pPr>
            <w:r w:rsidRPr="00DA7625">
              <w:t>Ügyelni kell arra, hogy az ilyen instrumentumokat a 15.1. tételben is szerepeltetni kell.</w:t>
            </w:r>
          </w:p>
        </w:tc>
      </w:tr>
      <w:tr w:rsidR="001B1411" w:rsidRPr="00DA7625" w14:paraId="453D50CC" w14:textId="77777777" w:rsidTr="00672D2A">
        <w:tc>
          <w:tcPr>
            <w:tcW w:w="1506" w:type="dxa"/>
          </w:tcPr>
          <w:p w14:paraId="0267B50F" w14:textId="77777777" w:rsidR="001B1411" w:rsidRPr="00DA7625" w:rsidRDefault="002648B0">
            <w:pPr>
              <w:pStyle w:val="InstructionsText"/>
            </w:pPr>
            <w:r w:rsidRPr="00DA7625">
              <w:lastRenderedPageBreak/>
              <w:t>700</w:t>
            </w:r>
          </w:p>
        </w:tc>
        <w:tc>
          <w:tcPr>
            <w:tcW w:w="7243" w:type="dxa"/>
          </w:tcPr>
          <w:p w14:paraId="5F99A217" w14:textId="77777777" w:rsidR="001B1411" w:rsidRPr="00DA7625" w:rsidRDefault="002648B0">
            <w:pPr>
              <w:pStyle w:val="InstructionsText"/>
            </w:pPr>
            <w:r w:rsidRPr="00DA7625">
              <w:rPr>
                <w:rStyle w:val="InstructionsTabelleberschrift"/>
                <w:rFonts w:ascii="Times New Roman" w:hAnsi="Times New Roman"/>
                <w:sz w:val="24"/>
              </w:rPr>
              <w:t>23</w:t>
            </w:r>
            <w:r w:rsidRPr="00DA7625">
              <w:rPr>
                <w:rStyle w:val="InstructionsTabelleberschrift"/>
                <w:rFonts w:ascii="Times New Roman" w:hAnsi="Times New Roman"/>
                <w:sz w:val="24"/>
              </w:rPr>
              <w:tab/>
              <w:t>Pénzügyi ágazatbeli szervezetek által kibocsátott AT1 tőkeinstrumentumokban lévő részesedések, ha az intézmény nem rendelkezik átmenetileg mentesülő jelentős részesedéssel az említett vállalkozásokban</w:t>
            </w:r>
          </w:p>
          <w:p w14:paraId="23EC3B8E" w14:textId="5F91A925" w:rsidR="001B1411" w:rsidRPr="00DA7625" w:rsidRDefault="002648B0">
            <w:pPr>
              <w:pStyle w:val="InstructionsText"/>
            </w:pPr>
            <w:r w:rsidRPr="00DA7625">
              <w:t>A CRR 79. cikke</w:t>
            </w:r>
          </w:p>
          <w:p w14:paraId="38B56FFB" w14:textId="77777777" w:rsidR="001B1411" w:rsidRPr="00DA7625" w:rsidRDefault="002648B0">
            <w:pPr>
              <w:pStyle w:val="InstructionsText"/>
            </w:pPr>
            <w:r w:rsidRPr="00DA7625">
              <w:t>Egy illetékes hatóság átmenetileg eltekinthet az AT1 tőkéből egy pénzügyi ágazatbeli szervezet által kibocsátott instrumentumokban meglévő részesedések miatti levonásra vonatkozó rendelkezésektől, ha az illetékes hatóság megítélése szerint ez a részesedés az adott szervezet reorganizációjára és megmentésére kialakított pénzügyi támogatási művelet célját szolgálja.</w:t>
            </w:r>
          </w:p>
          <w:p w14:paraId="2395CF45" w14:textId="77777777" w:rsidR="001B1411" w:rsidRPr="00DA7625" w:rsidRDefault="002648B0">
            <w:pPr>
              <w:pStyle w:val="InstructionsText"/>
            </w:pPr>
            <w:r w:rsidRPr="00DA7625">
              <w:t>Ügyelni kell arra, hogy az ilyen instrumentumokat a 13.1. tételben is szerepeltetni kell.</w:t>
            </w:r>
          </w:p>
        </w:tc>
      </w:tr>
      <w:tr w:rsidR="001B1411" w:rsidRPr="00DA7625" w14:paraId="7DDAE296" w14:textId="77777777" w:rsidTr="00672D2A">
        <w:tc>
          <w:tcPr>
            <w:tcW w:w="1506" w:type="dxa"/>
          </w:tcPr>
          <w:p w14:paraId="5C518DEE" w14:textId="77777777" w:rsidR="001B1411" w:rsidRPr="00DA7625" w:rsidRDefault="002648B0">
            <w:pPr>
              <w:pStyle w:val="InstructionsText"/>
            </w:pPr>
            <w:r w:rsidRPr="00DA7625">
              <w:t>710</w:t>
            </w:r>
          </w:p>
        </w:tc>
        <w:tc>
          <w:tcPr>
            <w:tcW w:w="7243" w:type="dxa"/>
          </w:tcPr>
          <w:p w14:paraId="3FBECBE9" w14:textId="77777777" w:rsidR="001B1411" w:rsidRPr="00DA7625" w:rsidRDefault="002648B0">
            <w:pPr>
              <w:pStyle w:val="InstructionsText"/>
            </w:pPr>
            <w:r w:rsidRPr="00DA7625">
              <w:rPr>
                <w:rStyle w:val="InstructionsTabelleberschrift"/>
                <w:rFonts w:ascii="Times New Roman" w:hAnsi="Times New Roman"/>
                <w:sz w:val="24"/>
              </w:rPr>
              <w:t>24</w:t>
            </w:r>
            <w:r w:rsidRPr="00DA7625">
              <w:rPr>
                <w:rStyle w:val="InstructionsTabelleberschrift"/>
                <w:rFonts w:ascii="Times New Roman" w:hAnsi="Times New Roman"/>
                <w:sz w:val="24"/>
              </w:rPr>
              <w:tab/>
              <w:t>Pénzügyi ágazatbeli szervezetek által kibocsátott AT1 tőkeinstrumentumokban lévő részesedések, ha az intézmény átmenetileg mentesülő jelentős részesedéssel rendelkezik az említett vállalkozásokban</w:t>
            </w:r>
          </w:p>
          <w:p w14:paraId="15A18B6E" w14:textId="7212DB10" w:rsidR="001B1411" w:rsidRPr="00DA7625" w:rsidRDefault="002648B0">
            <w:pPr>
              <w:pStyle w:val="InstructionsText"/>
            </w:pPr>
            <w:r w:rsidRPr="00DA7625">
              <w:t>A CRR 79. cikke</w:t>
            </w:r>
          </w:p>
          <w:p w14:paraId="716EB002" w14:textId="77777777" w:rsidR="001B1411" w:rsidRPr="00DA7625" w:rsidRDefault="002648B0">
            <w:pPr>
              <w:pStyle w:val="InstructionsText"/>
            </w:pPr>
            <w:r w:rsidRPr="00DA7625">
              <w:t>Egy illetékes hatóság átmenetileg eltekinthet az AT1 tőkéből egy pénzügyi ágazatbeli szervezet által kibocsátott instrumentumokban meglévő részesedések miatti levonásra vonatkozó rendelkezésektől, ha az illetékes hatóság megítélése szerint ez a részesedés az adott szervezet reorganizációjára és megmentésére kialakított pénzügyi támogatási művelet célját szolgálja.</w:t>
            </w:r>
          </w:p>
          <w:p w14:paraId="3E632DA5" w14:textId="77777777" w:rsidR="001B1411" w:rsidRPr="00DA7625" w:rsidRDefault="002648B0">
            <w:pPr>
              <w:pStyle w:val="InstructionsText"/>
            </w:pPr>
            <w:r w:rsidRPr="00DA7625">
              <w:t>Ügyelni kell arra, hogy az ilyen instrumentumokat a 16.1. tételben is szerepeltetni kell.</w:t>
            </w:r>
          </w:p>
        </w:tc>
      </w:tr>
      <w:tr w:rsidR="001B1411" w:rsidRPr="00DA7625" w14:paraId="64BA4182" w14:textId="77777777" w:rsidTr="00672D2A">
        <w:tc>
          <w:tcPr>
            <w:tcW w:w="1506" w:type="dxa"/>
          </w:tcPr>
          <w:p w14:paraId="513397EA" w14:textId="77777777" w:rsidR="001B1411" w:rsidRPr="00DA7625" w:rsidRDefault="002648B0">
            <w:pPr>
              <w:pStyle w:val="InstructionsText"/>
            </w:pPr>
            <w:r w:rsidRPr="00DA7625">
              <w:t>720</w:t>
            </w:r>
          </w:p>
        </w:tc>
        <w:tc>
          <w:tcPr>
            <w:tcW w:w="7243" w:type="dxa"/>
          </w:tcPr>
          <w:p w14:paraId="4357DCED" w14:textId="77777777" w:rsidR="001B1411" w:rsidRPr="00DA7625" w:rsidRDefault="002648B0">
            <w:pPr>
              <w:pStyle w:val="InstructionsText"/>
            </w:pPr>
            <w:r w:rsidRPr="00DA7625">
              <w:rPr>
                <w:rStyle w:val="InstructionsTabelleberschrift"/>
                <w:rFonts w:ascii="Times New Roman" w:hAnsi="Times New Roman"/>
                <w:sz w:val="24"/>
              </w:rPr>
              <w:t>25</w:t>
            </w:r>
            <w:r w:rsidRPr="00DA7625">
              <w:rPr>
                <w:rStyle w:val="InstructionsTabelleberschrift"/>
                <w:rFonts w:ascii="Times New Roman" w:hAnsi="Times New Roman"/>
                <w:sz w:val="24"/>
              </w:rPr>
              <w:tab/>
              <w:t>Pénzügyi ágazatbeli szervezetek által kibocsátott T2 tőkeinstrumentumokban lévő részesedések, ha az intézmény nem rendelkezik átmenetileg mentesülő jelentős részesedéssel az említett vállalkozásokban</w:t>
            </w:r>
          </w:p>
          <w:p w14:paraId="1CC33FAD" w14:textId="586AE0DC" w:rsidR="001B1411" w:rsidRPr="00DA7625" w:rsidRDefault="002648B0">
            <w:pPr>
              <w:pStyle w:val="InstructionsText"/>
            </w:pPr>
            <w:r w:rsidRPr="00DA7625">
              <w:t>A CRR 79. cikke</w:t>
            </w:r>
          </w:p>
          <w:p w14:paraId="096E7F95" w14:textId="17412F11" w:rsidR="001B1411" w:rsidRPr="00DA7625" w:rsidRDefault="002648B0">
            <w:pPr>
              <w:pStyle w:val="InstructionsText"/>
            </w:pPr>
            <w:r w:rsidRPr="00DA7625">
              <w:t xml:space="preserve">Egy illetékes hatóság eltekinthet a T2 tőkéből egy pénzügyi ágazatbeli szervezet által kibocsátott instrumentumokban meglévő részesedések miatti levonásra vonatkozó rendelkezésektől, ha az illetékes hatóság megítélése szerint ez a részesedés az adott szervezet reorganizációjára </w:t>
            </w:r>
            <w:r w:rsidRPr="00DA7625">
              <w:lastRenderedPageBreak/>
              <w:t>és megmentésére kialakított pénzügyi támogatási művelet célját szolgálja.</w:t>
            </w:r>
          </w:p>
          <w:p w14:paraId="6F211F4A" w14:textId="3AB75C2B" w:rsidR="001B1411" w:rsidRPr="00DA7625" w:rsidRDefault="002648B0">
            <w:pPr>
              <w:pStyle w:val="InstructionsText"/>
            </w:pPr>
            <w:r w:rsidRPr="00DA7625">
              <w:t>Ügyelni kell arra, hogy az ilyen instrumentumokat a 14.1. tételben is szerepeltetni kell.</w:t>
            </w:r>
          </w:p>
        </w:tc>
      </w:tr>
      <w:tr w:rsidR="001B1411" w:rsidRPr="00DA7625" w14:paraId="5675C4A3" w14:textId="77777777" w:rsidTr="00672D2A">
        <w:tc>
          <w:tcPr>
            <w:tcW w:w="1506" w:type="dxa"/>
          </w:tcPr>
          <w:p w14:paraId="586FFA28" w14:textId="77777777" w:rsidR="001B1411" w:rsidRPr="00DA7625" w:rsidRDefault="002648B0">
            <w:pPr>
              <w:pStyle w:val="InstructionsText"/>
            </w:pPr>
            <w:r w:rsidRPr="00DA7625">
              <w:lastRenderedPageBreak/>
              <w:t>730</w:t>
            </w:r>
          </w:p>
        </w:tc>
        <w:tc>
          <w:tcPr>
            <w:tcW w:w="7243" w:type="dxa"/>
          </w:tcPr>
          <w:p w14:paraId="5ADCB9E1" w14:textId="77777777" w:rsidR="001B1411" w:rsidRPr="00DA7625" w:rsidRDefault="002648B0">
            <w:pPr>
              <w:pStyle w:val="InstructionsText"/>
            </w:pPr>
            <w:r w:rsidRPr="00DA7625">
              <w:rPr>
                <w:rStyle w:val="InstructionsTabelleberschrift"/>
                <w:rFonts w:ascii="Times New Roman" w:hAnsi="Times New Roman"/>
                <w:sz w:val="24"/>
              </w:rPr>
              <w:t>26</w:t>
            </w:r>
            <w:r w:rsidRPr="00DA7625">
              <w:rPr>
                <w:rStyle w:val="InstructionsTabelleberschrift"/>
                <w:rFonts w:ascii="Times New Roman" w:hAnsi="Times New Roman"/>
                <w:sz w:val="24"/>
              </w:rPr>
              <w:tab/>
              <w:t>Pénzügyi ágazatbeli szervezetek által kibocsátott T2 tőkeinstrumentumokban lévő részesedések, ha az intézmény átmenetileg mentesülő jelentős részesedéssel rendelkezik az említett vállalkozásokban</w:t>
            </w:r>
          </w:p>
          <w:p w14:paraId="60D3D569" w14:textId="2757B1EB" w:rsidR="001B1411" w:rsidRPr="00DA7625" w:rsidRDefault="002648B0">
            <w:pPr>
              <w:pStyle w:val="InstructionsText"/>
            </w:pPr>
            <w:r w:rsidRPr="00DA7625">
              <w:t>A CRR 79. cikke</w:t>
            </w:r>
          </w:p>
          <w:p w14:paraId="39AF13D5" w14:textId="6A51451B" w:rsidR="001B1411" w:rsidRPr="00DA7625" w:rsidRDefault="002648B0">
            <w:pPr>
              <w:pStyle w:val="InstructionsText"/>
            </w:pPr>
            <w:r w:rsidRPr="00DA7625">
              <w:t>Egy illetékes hatóság eltekinthet a T2 tőkéből egy pénzügyi ágazatbeli szervezet által kibocsátott instrumentumokban meglévő részesedések miatti levonásra vonatkozó rendelkezésektől, ha az illetékes hatóság megítélése szerint ez a részesedés az adott szervezet reorganizációjára és megmentésére kialakított pénzügyi támogatási művelet célját szolgálja</w:t>
            </w:r>
          </w:p>
          <w:p w14:paraId="0C98A16F" w14:textId="4AD51A9D" w:rsidR="001B1411" w:rsidRPr="00DA7625" w:rsidRDefault="002648B0">
            <w:pPr>
              <w:pStyle w:val="InstructionsText"/>
            </w:pPr>
            <w:r w:rsidRPr="00DA7625">
              <w:t>Ügyelni kell arra, hogy az ilyen instrumentumokat a 17.1. tételben is szerepeltetni kell.</w:t>
            </w:r>
          </w:p>
        </w:tc>
      </w:tr>
      <w:tr w:rsidR="001B1411" w:rsidRPr="00DA7625" w14:paraId="31B6E252"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F058C95" w14:textId="77777777" w:rsidR="001B1411" w:rsidRPr="00DA7625" w:rsidRDefault="002648B0">
            <w:pPr>
              <w:pStyle w:val="InstructionsText"/>
            </w:pPr>
            <w:r w:rsidRPr="00DA7625">
              <w:t>740</w:t>
            </w:r>
          </w:p>
        </w:tc>
        <w:tc>
          <w:tcPr>
            <w:tcW w:w="7243" w:type="dxa"/>
            <w:tcBorders>
              <w:top w:val="single" w:sz="4" w:space="0" w:color="auto"/>
              <w:left w:val="single" w:sz="4" w:space="0" w:color="auto"/>
              <w:bottom w:val="single" w:sz="4" w:space="0" w:color="auto"/>
              <w:right w:val="single" w:sz="4" w:space="0" w:color="auto"/>
            </w:tcBorders>
          </w:tcPr>
          <w:p w14:paraId="12EF3B80" w14:textId="77777777" w:rsidR="001B1411" w:rsidRPr="00DA7625" w:rsidRDefault="002648B0">
            <w:pPr>
              <w:pStyle w:val="InstructionsText"/>
            </w:pPr>
            <w:r w:rsidRPr="00DA7625">
              <w:rPr>
                <w:rStyle w:val="InstructionsTabelleberschrift"/>
                <w:rFonts w:ascii="Times New Roman" w:hAnsi="Times New Roman"/>
                <w:sz w:val="24"/>
              </w:rPr>
              <w:t>27</w:t>
            </w:r>
            <w:r w:rsidRPr="00DA7625">
              <w:rPr>
                <w:rStyle w:val="InstructionsTabelleberschrift"/>
                <w:rFonts w:ascii="Times New Roman" w:hAnsi="Times New Roman"/>
                <w:sz w:val="24"/>
              </w:rPr>
              <w:tab/>
              <w:t>Kombinált pufferkövetelmény</w:t>
            </w:r>
          </w:p>
          <w:p w14:paraId="7ECA4B47" w14:textId="6EF01E3E" w:rsidR="001B1411" w:rsidRPr="00DA7625" w:rsidRDefault="0014657C">
            <w:pPr>
              <w:pStyle w:val="InstructionsText"/>
            </w:pPr>
            <w:r w:rsidRPr="00DA7625">
              <w:t>A CRD 128. cikkének 6. pontja</w:t>
            </w:r>
          </w:p>
        </w:tc>
      </w:tr>
      <w:tr w:rsidR="001B1411" w:rsidRPr="00DA7625" w14:paraId="3C5AB3A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15439F" w14:textId="77777777" w:rsidR="001B1411" w:rsidRPr="00DA7625" w:rsidRDefault="00AC0F2C">
            <w:pPr>
              <w:pStyle w:val="InstructionsText"/>
            </w:pPr>
            <w:r w:rsidRPr="00DA7625">
              <w:t>750</w:t>
            </w:r>
          </w:p>
        </w:tc>
        <w:tc>
          <w:tcPr>
            <w:tcW w:w="7243" w:type="dxa"/>
            <w:tcBorders>
              <w:top w:val="single" w:sz="4" w:space="0" w:color="auto"/>
              <w:left w:val="single" w:sz="4" w:space="0" w:color="auto"/>
              <w:bottom w:val="single" w:sz="4" w:space="0" w:color="auto"/>
              <w:right w:val="single" w:sz="4" w:space="0" w:color="auto"/>
            </w:tcBorders>
          </w:tcPr>
          <w:p w14:paraId="5AD010D0" w14:textId="77777777" w:rsidR="001B1411" w:rsidRPr="00DA7625" w:rsidRDefault="00454139">
            <w:pPr>
              <w:pStyle w:val="InstructionsText"/>
            </w:pPr>
            <w:r w:rsidRPr="00DA7625">
              <w:rPr>
                <w:rStyle w:val="InstructionsTabelleberschrift"/>
                <w:rFonts w:ascii="Times New Roman" w:hAnsi="Times New Roman"/>
                <w:sz w:val="24"/>
              </w:rPr>
              <w:t>Tőkefenntartási puffer</w:t>
            </w:r>
          </w:p>
          <w:p w14:paraId="7B21E489" w14:textId="628AB57B" w:rsidR="001B1411" w:rsidRPr="00DA7625" w:rsidRDefault="0014657C">
            <w:pPr>
              <w:pStyle w:val="InstructionsText"/>
            </w:pPr>
            <w:r w:rsidRPr="00DA7625">
              <w:t xml:space="preserve">A CRD 128. cikkének 1. pontja és 129. cikke </w:t>
            </w:r>
          </w:p>
          <w:p w14:paraId="5E4947F7" w14:textId="1ADB834A" w:rsidR="001B1411" w:rsidRPr="00DA7625" w:rsidRDefault="0014657C" w:rsidP="00833E7B">
            <w:pPr>
              <w:pStyle w:val="InstructionsText"/>
            </w:pPr>
            <w:r w:rsidRPr="00DA7625">
              <w:t>A CRD 129. cikkének (1) bekezdése szerint a tőkefenntartási puffer CET1 tőkén felüli CET1 tőkeelemekből áll. Mivel a tőkefenntartási puffer 2,5 %-os mértéke állandó, ebben a sorban összeg</w:t>
            </w:r>
            <w:r w:rsidR="00833E7B" w:rsidRPr="00DA7625">
              <w:t>e</w:t>
            </w:r>
            <w:r w:rsidRPr="00DA7625">
              <w:t>t kell feltüntetni.</w:t>
            </w:r>
          </w:p>
        </w:tc>
      </w:tr>
      <w:tr w:rsidR="001B1411" w:rsidRPr="00DA7625" w14:paraId="50C9859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EAB2791" w14:textId="77777777" w:rsidR="001B1411" w:rsidRPr="00DA7625" w:rsidRDefault="002648B0">
            <w:pPr>
              <w:pStyle w:val="InstructionsText"/>
            </w:pPr>
            <w:r w:rsidRPr="00DA7625">
              <w:t>760</w:t>
            </w:r>
          </w:p>
        </w:tc>
        <w:tc>
          <w:tcPr>
            <w:tcW w:w="7243" w:type="dxa"/>
            <w:tcBorders>
              <w:top w:val="single" w:sz="4" w:space="0" w:color="auto"/>
              <w:left w:val="single" w:sz="4" w:space="0" w:color="auto"/>
              <w:bottom w:val="single" w:sz="4" w:space="0" w:color="auto"/>
              <w:right w:val="single" w:sz="4" w:space="0" w:color="auto"/>
            </w:tcBorders>
          </w:tcPr>
          <w:p w14:paraId="0719E954" w14:textId="77777777" w:rsidR="001B1411" w:rsidRPr="00DA7625" w:rsidRDefault="002648B0">
            <w:pPr>
              <w:pStyle w:val="InstructionsText"/>
            </w:pPr>
            <w:r w:rsidRPr="00DA7625">
              <w:rPr>
                <w:rStyle w:val="InstructionsTabelleberschrift"/>
                <w:rFonts w:ascii="Times New Roman" w:hAnsi="Times New Roman"/>
                <w:sz w:val="24"/>
              </w:rPr>
              <w:t xml:space="preserve">A tagállamok szintjén azonosított makroprudenciális vagy rendszerkockázatokra képzett tőkefenntartási puffer </w:t>
            </w:r>
          </w:p>
          <w:p w14:paraId="0818F48A" w14:textId="2E2FB184" w:rsidR="001B1411" w:rsidRPr="00DA7625" w:rsidRDefault="0014657C">
            <w:pPr>
              <w:pStyle w:val="InstructionsText"/>
            </w:pPr>
            <w:r w:rsidRPr="00DA7625">
              <w:t>A CRR 458. cikke (2) bekezdése d) pontjának iv. alpontja</w:t>
            </w:r>
          </w:p>
          <w:p w14:paraId="406A0E60" w14:textId="5521DDE4" w:rsidR="001B1411" w:rsidRPr="00DA7625" w:rsidRDefault="002648B0">
            <w:pPr>
              <w:pStyle w:val="InstructionsText"/>
            </w:pPr>
            <w:r w:rsidRPr="00DA7625">
              <w:t>Ebben a sorban a tagállamok szintjén azonosított makroprudenciális vagy rendszerkockázatokra képzett fenntartási puffer értékét kell feltüntetni, amely a CRR 458. cikkével összhangban a tőkefenntartási pufferen felül kérhető.</w:t>
            </w:r>
          </w:p>
          <w:p w14:paraId="3FB65437" w14:textId="77777777" w:rsidR="001B1411" w:rsidRPr="00DA7625" w:rsidRDefault="00DF65DF">
            <w:pPr>
              <w:pStyle w:val="InstructionsText"/>
            </w:pPr>
            <w:r w:rsidRPr="00DA7625">
              <w:t>A feltüntetett összeg a vonatkozó tőkepuffer-követelményeknek az adatszolgáltatás időpontjában való teljesítéséhez szükséges szavatolótőke összege.</w:t>
            </w:r>
          </w:p>
        </w:tc>
      </w:tr>
      <w:tr w:rsidR="001B1411" w:rsidRPr="00DA7625" w14:paraId="7287CF3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E15DF5F" w14:textId="77777777" w:rsidR="001B1411" w:rsidRPr="00DA7625" w:rsidRDefault="002648B0">
            <w:pPr>
              <w:pStyle w:val="InstructionsText"/>
            </w:pPr>
            <w:r w:rsidRPr="00DA7625">
              <w:t>770</w:t>
            </w:r>
          </w:p>
        </w:tc>
        <w:tc>
          <w:tcPr>
            <w:tcW w:w="7243" w:type="dxa"/>
            <w:tcBorders>
              <w:top w:val="single" w:sz="4" w:space="0" w:color="auto"/>
              <w:left w:val="single" w:sz="4" w:space="0" w:color="auto"/>
              <w:bottom w:val="single" w:sz="4" w:space="0" w:color="auto"/>
              <w:right w:val="single" w:sz="4" w:space="0" w:color="auto"/>
            </w:tcBorders>
          </w:tcPr>
          <w:p w14:paraId="0827153C" w14:textId="77777777" w:rsidR="001B1411" w:rsidRPr="00DA7625" w:rsidRDefault="0010177C">
            <w:pPr>
              <w:pStyle w:val="InstructionsText"/>
            </w:pPr>
            <w:r w:rsidRPr="00DA7625">
              <w:rPr>
                <w:rStyle w:val="InstructionsTabelleberschrift"/>
                <w:rFonts w:ascii="Times New Roman" w:hAnsi="Times New Roman"/>
                <w:sz w:val="24"/>
              </w:rPr>
              <w:t xml:space="preserve">Intézményspecifikus anticiklikus tőkepuffer </w:t>
            </w:r>
          </w:p>
          <w:p w14:paraId="5E664A7B" w14:textId="30785823" w:rsidR="001B1411" w:rsidRPr="00DA7625" w:rsidRDefault="0014657C">
            <w:pPr>
              <w:pStyle w:val="InstructionsText"/>
            </w:pPr>
            <w:r w:rsidRPr="00DA7625">
              <w:t xml:space="preserve">A CRD 128. cikkének 2. pontja, valamint 130. és 135–140. cikke </w:t>
            </w:r>
          </w:p>
          <w:p w14:paraId="1544268E" w14:textId="77777777" w:rsidR="001B1411" w:rsidRPr="00DA7625" w:rsidRDefault="00DF65DF">
            <w:pPr>
              <w:pStyle w:val="InstructionsText"/>
            </w:pPr>
            <w:r w:rsidRPr="00DA7625">
              <w:t>A feltüntetett összeg a vonatkozó tőkepuffer-követelményeknek az adatszolgáltatás időpontjában való teljesítéséhez szükséges szavatolótőke összege.</w:t>
            </w:r>
          </w:p>
        </w:tc>
      </w:tr>
      <w:tr w:rsidR="001B1411" w:rsidRPr="00DA7625" w14:paraId="065A472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F24F1E1" w14:textId="77777777" w:rsidR="001B1411" w:rsidRPr="00DA7625" w:rsidRDefault="002648B0">
            <w:pPr>
              <w:pStyle w:val="InstructionsText"/>
            </w:pPr>
            <w:r w:rsidRPr="00DA7625">
              <w:t>780</w:t>
            </w:r>
          </w:p>
        </w:tc>
        <w:tc>
          <w:tcPr>
            <w:tcW w:w="7243" w:type="dxa"/>
            <w:tcBorders>
              <w:top w:val="single" w:sz="4" w:space="0" w:color="auto"/>
              <w:left w:val="single" w:sz="4" w:space="0" w:color="auto"/>
              <w:bottom w:val="single" w:sz="4" w:space="0" w:color="auto"/>
              <w:right w:val="single" w:sz="4" w:space="0" w:color="auto"/>
            </w:tcBorders>
          </w:tcPr>
          <w:p w14:paraId="27602579" w14:textId="77777777" w:rsidR="001B1411" w:rsidRPr="00DA7625" w:rsidRDefault="002648B0">
            <w:pPr>
              <w:pStyle w:val="InstructionsText"/>
            </w:pPr>
            <w:r w:rsidRPr="00DA7625">
              <w:rPr>
                <w:rStyle w:val="InstructionsTabelleberschrift"/>
                <w:rFonts w:ascii="Times New Roman" w:hAnsi="Times New Roman"/>
                <w:sz w:val="24"/>
              </w:rPr>
              <w:t xml:space="preserve">Rendszerkockázati tőkepuffer </w:t>
            </w:r>
          </w:p>
          <w:p w14:paraId="2E8A598A" w14:textId="621F1F0E" w:rsidR="001B1411" w:rsidRPr="00DA7625" w:rsidRDefault="0014657C">
            <w:pPr>
              <w:pStyle w:val="InstructionsText"/>
            </w:pPr>
            <w:r w:rsidRPr="00DA7625">
              <w:t xml:space="preserve">A CRD 128. cikkének 5. pontja, valamint 133. és 134. cikke </w:t>
            </w:r>
          </w:p>
          <w:p w14:paraId="0C99E105" w14:textId="77777777" w:rsidR="001B1411" w:rsidRPr="00DA7625" w:rsidRDefault="00DF65DF">
            <w:pPr>
              <w:pStyle w:val="InstructionsText"/>
            </w:pPr>
            <w:r w:rsidRPr="00DA7625">
              <w:lastRenderedPageBreak/>
              <w:t>A feltüntetett összeg a vonatkozó tőkepuffer-követelményeknek az adatszolgáltatás időpontjában való teljesítéséhez szükséges szavatolótőke összege.</w:t>
            </w:r>
          </w:p>
        </w:tc>
      </w:tr>
      <w:tr w:rsidR="001B1411" w:rsidRPr="00DA7625" w14:paraId="1A2174E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683779" w14:textId="77777777" w:rsidR="001B1411" w:rsidRPr="00DA7625" w:rsidRDefault="00497D60">
            <w:pPr>
              <w:pStyle w:val="InstructionsText"/>
            </w:pPr>
            <w:r w:rsidRPr="00DA7625">
              <w:lastRenderedPageBreak/>
              <w:t>800</w:t>
            </w:r>
          </w:p>
        </w:tc>
        <w:tc>
          <w:tcPr>
            <w:tcW w:w="7243" w:type="dxa"/>
            <w:tcBorders>
              <w:top w:val="single" w:sz="4" w:space="0" w:color="auto"/>
              <w:left w:val="single" w:sz="4" w:space="0" w:color="auto"/>
              <w:bottom w:val="single" w:sz="4" w:space="0" w:color="auto"/>
              <w:right w:val="single" w:sz="4" w:space="0" w:color="auto"/>
            </w:tcBorders>
          </w:tcPr>
          <w:p w14:paraId="4924FF6A" w14:textId="77777777" w:rsidR="001B1411" w:rsidRPr="00DA7625" w:rsidRDefault="0010177C">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Globálisan rendszerszinten jelentős intézményekre vonatkozó tőkepuffer</w:t>
            </w:r>
          </w:p>
          <w:p w14:paraId="2B6752E9" w14:textId="366E25EE" w:rsidR="001B1411" w:rsidRPr="00DA7625" w:rsidRDefault="0014657C">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CRD 128. cikkének 3. pontja és 131. cikke</w:t>
            </w:r>
          </w:p>
          <w:p w14:paraId="35E48079" w14:textId="77777777" w:rsidR="001B1411" w:rsidRPr="00DA7625" w:rsidRDefault="00DF65DF">
            <w:pPr>
              <w:pStyle w:val="InstructionsText"/>
              <w:rPr>
                <w:rStyle w:val="InstructionsTabelleberschrift"/>
                <w:rFonts w:ascii="Times New Roman" w:hAnsi="Times New Roman"/>
                <w:b w:val="0"/>
                <w:bCs w:val="0"/>
                <w:sz w:val="24"/>
                <w:u w:val="none"/>
              </w:rPr>
            </w:pPr>
            <w:r w:rsidRPr="00DA7625">
              <w:t>A feltüntetett összeg a vonatkozó tőkepuffer-követelményeknek az adatszolgáltatás időpontjában való teljesítéséhez szükséges szavatolótőke összege.</w:t>
            </w:r>
          </w:p>
        </w:tc>
      </w:tr>
      <w:tr w:rsidR="001B1411" w:rsidRPr="00DA7625" w14:paraId="112D558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08E9EAF" w14:textId="77777777" w:rsidR="001B1411" w:rsidRPr="00DA7625" w:rsidRDefault="00497D60">
            <w:pPr>
              <w:pStyle w:val="InstructionsText"/>
            </w:pPr>
            <w:r w:rsidRPr="00DA7625">
              <w:t>810</w:t>
            </w:r>
          </w:p>
        </w:tc>
        <w:tc>
          <w:tcPr>
            <w:tcW w:w="7243" w:type="dxa"/>
            <w:tcBorders>
              <w:top w:val="single" w:sz="4" w:space="0" w:color="auto"/>
              <w:left w:val="single" w:sz="4" w:space="0" w:color="auto"/>
              <w:bottom w:val="single" w:sz="4" w:space="0" w:color="auto"/>
              <w:right w:val="single" w:sz="4" w:space="0" w:color="auto"/>
            </w:tcBorders>
          </w:tcPr>
          <w:p w14:paraId="4A6A4E1B" w14:textId="77777777" w:rsidR="001B1411" w:rsidRPr="00DA7625" w:rsidRDefault="0010177C">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 xml:space="preserve">Egyéb rendszerszinten jelentős intézményekre vonatkozó tőkepuffer </w:t>
            </w:r>
          </w:p>
          <w:p w14:paraId="6B4333ED" w14:textId="6B70FFED" w:rsidR="001B1411" w:rsidRPr="00DA7625" w:rsidRDefault="0014657C">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CRD 128. cikkének 4. pontja és 131. cikke</w:t>
            </w:r>
          </w:p>
          <w:p w14:paraId="0C2C0E4D" w14:textId="77777777" w:rsidR="001B1411" w:rsidRPr="00DA7625" w:rsidRDefault="00DF65DF">
            <w:pPr>
              <w:pStyle w:val="InstructionsText"/>
              <w:rPr>
                <w:rStyle w:val="InstructionsTabelleberschrift"/>
                <w:rFonts w:ascii="Times New Roman" w:hAnsi="Times New Roman"/>
                <w:b w:val="0"/>
                <w:bCs w:val="0"/>
                <w:sz w:val="24"/>
                <w:u w:val="none"/>
              </w:rPr>
            </w:pPr>
            <w:r w:rsidRPr="00DA7625">
              <w:t>A feltüntetett összeg a vonatkozó tőkepuffer-követelményeknek az adatszolgáltatás időpontjában való teljesítéséhez szükséges szavatolótőke összege.</w:t>
            </w:r>
          </w:p>
        </w:tc>
      </w:tr>
      <w:tr w:rsidR="001B1411" w:rsidRPr="00DA7625" w14:paraId="2211A2CE"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337B0D5" w14:textId="77777777" w:rsidR="001B1411" w:rsidRPr="00DA7625" w:rsidRDefault="00497D60">
            <w:pPr>
              <w:pStyle w:val="InstructionsText"/>
            </w:pPr>
            <w:r w:rsidRPr="00DA7625">
              <w:t>820</w:t>
            </w:r>
          </w:p>
          <w:p w14:paraId="5A878E1B" w14:textId="77777777" w:rsidR="001B1411" w:rsidRPr="00DA7625" w:rsidRDefault="001B1411">
            <w:pPr>
              <w:pStyle w:val="InstructionsText"/>
            </w:pPr>
          </w:p>
        </w:tc>
        <w:tc>
          <w:tcPr>
            <w:tcW w:w="7243" w:type="dxa"/>
            <w:tcBorders>
              <w:top w:val="single" w:sz="4" w:space="0" w:color="auto"/>
              <w:left w:val="single" w:sz="4" w:space="0" w:color="auto"/>
              <w:bottom w:val="single" w:sz="4" w:space="0" w:color="auto"/>
              <w:right w:val="single" w:sz="4" w:space="0" w:color="auto"/>
            </w:tcBorders>
          </w:tcPr>
          <w:p w14:paraId="1D637A87" w14:textId="77777777" w:rsidR="001B1411" w:rsidRPr="00DA7625" w:rsidRDefault="00E81DB9">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28</w:t>
            </w:r>
            <w:r w:rsidRPr="00DA7625">
              <w:rPr>
                <w:rStyle w:val="InstructionsTabelleberschrift"/>
                <w:rFonts w:ascii="Times New Roman" w:hAnsi="Times New Roman"/>
                <w:sz w:val="24"/>
              </w:rPr>
              <w:tab/>
              <w:t>A II. pillérből eredő kiigazításokhoz kapcsolódó szavatolótőke-követelmények</w:t>
            </w:r>
          </w:p>
          <w:p w14:paraId="0C6042EB" w14:textId="1F3E4E28" w:rsidR="001B1411" w:rsidRPr="00DA7625" w:rsidRDefault="00190FA3">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 xml:space="preserve">A CRD 104. cikkének (2) bekezdése </w:t>
            </w:r>
          </w:p>
          <w:p w14:paraId="63F3FBD9" w14:textId="34492408" w:rsidR="001B1411" w:rsidRPr="00DA7625" w:rsidRDefault="00190FA3">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 xml:space="preserve">Ha az illetékes hatóság döntése szerint egy intézménynek a II. pillérrel összefüggő okból pótlólagos szavatolótőke-követelményt kell számítania, akkor a pótlólagos szavatolótőke-követelményt ebben a sorban kell megadni. </w:t>
            </w:r>
          </w:p>
        </w:tc>
      </w:tr>
      <w:tr w:rsidR="001B1411" w:rsidRPr="00DA7625" w14:paraId="79566A2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99F6CB0" w14:textId="77777777" w:rsidR="001B1411" w:rsidRPr="00DA7625" w:rsidRDefault="00497D60">
            <w:pPr>
              <w:pStyle w:val="InstructionsText"/>
            </w:pPr>
            <w:r w:rsidRPr="00DA7625">
              <w:t>830</w:t>
            </w:r>
          </w:p>
        </w:tc>
        <w:tc>
          <w:tcPr>
            <w:tcW w:w="7243" w:type="dxa"/>
            <w:tcBorders>
              <w:top w:val="single" w:sz="4" w:space="0" w:color="auto"/>
              <w:left w:val="single" w:sz="4" w:space="0" w:color="auto"/>
              <w:bottom w:val="single" w:sz="4" w:space="0" w:color="auto"/>
              <w:right w:val="single" w:sz="4" w:space="0" w:color="auto"/>
            </w:tcBorders>
          </w:tcPr>
          <w:p w14:paraId="14196A17" w14:textId="77777777" w:rsidR="001B1411" w:rsidRPr="00DA7625" w:rsidRDefault="00F22648">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29</w:t>
            </w:r>
            <w:r w:rsidRPr="00DA7625">
              <w:rPr>
                <w:rStyle w:val="InstructionsTabelleberschrift"/>
                <w:rFonts w:ascii="Times New Roman" w:hAnsi="Times New Roman"/>
                <w:sz w:val="24"/>
              </w:rPr>
              <w:tab/>
              <w:t>Induló tőke</w:t>
            </w:r>
          </w:p>
          <w:p w14:paraId="2E07B924" w14:textId="126A2A49" w:rsidR="001B1411" w:rsidRPr="00DA7625" w:rsidRDefault="00E0639C">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CRD 12. és 28–31. cikke, valamint a CRR 93. cikke</w:t>
            </w:r>
          </w:p>
        </w:tc>
      </w:tr>
      <w:tr w:rsidR="001B1411" w:rsidRPr="00DA7625" w14:paraId="15BF379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33420DC" w14:textId="77777777" w:rsidR="001B1411" w:rsidRPr="00DA7625" w:rsidRDefault="00497D60">
            <w:pPr>
              <w:pStyle w:val="InstructionsText"/>
            </w:pPr>
            <w:r w:rsidRPr="00DA7625">
              <w:t>840</w:t>
            </w:r>
          </w:p>
        </w:tc>
        <w:tc>
          <w:tcPr>
            <w:tcW w:w="7243" w:type="dxa"/>
            <w:tcBorders>
              <w:top w:val="single" w:sz="4" w:space="0" w:color="auto"/>
              <w:left w:val="single" w:sz="4" w:space="0" w:color="auto"/>
              <w:bottom w:val="single" w:sz="4" w:space="0" w:color="auto"/>
              <w:right w:val="single" w:sz="4" w:space="0" w:color="auto"/>
            </w:tcBorders>
          </w:tcPr>
          <w:p w14:paraId="01DD499A" w14:textId="77777777" w:rsidR="001B1411" w:rsidRPr="00DA7625" w:rsidRDefault="00F22648">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30</w:t>
            </w:r>
            <w:r w:rsidRPr="00DA7625">
              <w:rPr>
                <w:rStyle w:val="InstructionsTabelleberschrift"/>
                <w:rFonts w:ascii="Times New Roman" w:hAnsi="Times New Roman"/>
                <w:sz w:val="24"/>
              </w:rPr>
              <w:tab/>
              <w:t>Fix működési költségeken alapuló szavatolótőke-követelmény</w:t>
            </w:r>
          </w:p>
          <w:p w14:paraId="215D5CD6" w14:textId="0B5701E4" w:rsidR="001B1411" w:rsidRPr="00DA7625" w:rsidRDefault="0014657C">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CRR 96. cikke (2) bekezdésének b) pontja, 97. cikke, valamint 98. cikke (1) bekezdésének a) pontja</w:t>
            </w:r>
          </w:p>
        </w:tc>
      </w:tr>
      <w:tr w:rsidR="001B1411" w:rsidRPr="00DA7625" w14:paraId="37C4304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3C42A04" w14:textId="77777777" w:rsidR="001B1411" w:rsidRPr="00DA7625" w:rsidRDefault="00497D60">
            <w:pPr>
              <w:pStyle w:val="InstructionsText"/>
            </w:pPr>
            <w:r w:rsidRPr="00DA7625">
              <w:t>850</w:t>
            </w:r>
          </w:p>
        </w:tc>
        <w:tc>
          <w:tcPr>
            <w:tcW w:w="7243" w:type="dxa"/>
            <w:tcBorders>
              <w:top w:val="single" w:sz="4" w:space="0" w:color="auto"/>
              <w:left w:val="single" w:sz="4" w:space="0" w:color="auto"/>
              <w:bottom w:val="single" w:sz="4" w:space="0" w:color="auto"/>
              <w:right w:val="single" w:sz="4" w:space="0" w:color="auto"/>
            </w:tcBorders>
          </w:tcPr>
          <w:p w14:paraId="778CC1F4" w14:textId="77777777" w:rsidR="001B1411" w:rsidRPr="00DA7625" w:rsidRDefault="00F22648">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31</w:t>
            </w:r>
            <w:r w:rsidRPr="00DA7625">
              <w:rPr>
                <w:rStyle w:val="InstructionsTabelleberschrift"/>
                <w:rFonts w:ascii="Times New Roman" w:hAnsi="Times New Roman"/>
                <w:sz w:val="24"/>
              </w:rPr>
              <w:tab/>
              <w:t>Nem hazai eredeti kitettségek</w:t>
            </w:r>
          </w:p>
          <w:p w14:paraId="6DF99A0F" w14:textId="4387F241" w:rsidR="001B1411" w:rsidRPr="00DA7625" w:rsidRDefault="00A774C1">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 GB táblán történő adatszolgáltatásra vonatkozó küszöbértéknek az e végrehajtási rendelet</w:t>
            </w:r>
            <w:r w:rsidRPr="00DA7625">
              <w:t xml:space="preserve"> </w:t>
            </w:r>
            <w:r w:rsidRPr="00DA7625">
              <w:rPr>
                <w:rStyle w:val="InstructionsTabelleberschrift"/>
                <w:rFonts w:ascii="Times New Roman" w:hAnsi="Times New Roman"/>
                <w:b w:val="0"/>
                <w:sz w:val="24"/>
                <w:u w:val="none"/>
              </w:rPr>
              <w:t xml:space="preserve">5. cikke a) pontjának 4. alpontja szerinti kiszámításához szükséges információk. A küszöbértéket a hitel-egyenértékesítési tényezők előtti eredeti kitettség alapján kell kiszámítani. </w:t>
            </w:r>
          </w:p>
          <w:p w14:paraId="1B982B5C" w14:textId="77777777" w:rsidR="001B1411" w:rsidRPr="00DA7625" w:rsidRDefault="00FA3865">
            <w:pPr>
              <w:pStyle w:val="InstructionsText"/>
              <w:rPr>
                <w:rStyle w:val="InstructionsTabelleberschrift"/>
                <w:rFonts w:ascii="Times New Roman" w:hAnsi="Times New Roman"/>
                <w:sz w:val="24"/>
              </w:rPr>
            </w:pPr>
            <w:r w:rsidRPr="00DA7625">
              <w:rPr>
                <w:rStyle w:val="InstructionsTabelleberschrift"/>
                <w:rFonts w:ascii="Times New Roman" w:hAnsi="Times New Roman"/>
                <w:b w:val="0"/>
                <w:sz w:val="24"/>
                <w:u w:val="none"/>
              </w:rPr>
              <w:t>A kitettségek hazainak tekintendők, ha azok az intézmény helye szerinti tagállamban lévő partnerekkel szembeni kitettségek.</w:t>
            </w:r>
          </w:p>
        </w:tc>
      </w:tr>
      <w:tr w:rsidR="001B1411" w:rsidRPr="00DA7625" w14:paraId="39A8316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C7CF50C" w14:textId="77777777" w:rsidR="001B1411" w:rsidRPr="00DA7625" w:rsidRDefault="00A774C1">
            <w:pPr>
              <w:pStyle w:val="InstructionsText"/>
            </w:pPr>
            <w:r w:rsidRPr="00DA7625">
              <w:t>860</w:t>
            </w:r>
          </w:p>
        </w:tc>
        <w:tc>
          <w:tcPr>
            <w:tcW w:w="7243" w:type="dxa"/>
            <w:tcBorders>
              <w:top w:val="single" w:sz="4" w:space="0" w:color="auto"/>
              <w:left w:val="single" w:sz="4" w:space="0" w:color="auto"/>
              <w:bottom w:val="single" w:sz="4" w:space="0" w:color="auto"/>
              <w:right w:val="single" w:sz="4" w:space="0" w:color="auto"/>
            </w:tcBorders>
          </w:tcPr>
          <w:p w14:paraId="60D1C4B8" w14:textId="77777777" w:rsidR="001B1411" w:rsidRPr="00DA7625" w:rsidRDefault="00F22648">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32</w:t>
            </w:r>
            <w:r w:rsidRPr="00DA7625">
              <w:rPr>
                <w:rStyle w:val="InstructionsTabelleberschrift"/>
                <w:rFonts w:ascii="Times New Roman" w:hAnsi="Times New Roman"/>
                <w:sz w:val="24"/>
              </w:rPr>
              <w:tab/>
              <w:t>Teljes eredeti kitettség</w:t>
            </w:r>
          </w:p>
          <w:p w14:paraId="6A74AE51" w14:textId="4028C27C" w:rsidR="001B1411" w:rsidRPr="00DA7625" w:rsidRDefault="00FA3865">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 GB táblán történő adatszolgáltatásra vonatkozó küszöbértéknek az e végrehajtási rendelet</w:t>
            </w:r>
            <w:r w:rsidRPr="00DA7625">
              <w:t xml:space="preserve"> 5. cikke a) pontjának </w:t>
            </w:r>
            <w:r w:rsidRPr="00DA7625">
              <w:rPr>
                <w:rStyle w:val="InstructionsTabelleberschrift"/>
                <w:rFonts w:ascii="Times New Roman" w:hAnsi="Times New Roman"/>
                <w:b w:val="0"/>
                <w:sz w:val="24"/>
                <w:u w:val="none"/>
              </w:rPr>
              <w:t>4. alpontja szerinti kiszámításához szükséges információk. A küszöbértéket a hitel-egyenértékesítési tényezők előtti eredeti kitettség alapján kell kiszámítani.</w:t>
            </w:r>
          </w:p>
          <w:p w14:paraId="195053B6" w14:textId="77777777" w:rsidR="001B1411" w:rsidRPr="00DA7625" w:rsidRDefault="00FA3865">
            <w:pPr>
              <w:pStyle w:val="InstructionsText"/>
              <w:rPr>
                <w:rStyle w:val="InstructionsTabelleberschrift"/>
                <w:rFonts w:ascii="Times New Roman" w:hAnsi="Times New Roman"/>
                <w:sz w:val="24"/>
              </w:rPr>
            </w:pPr>
            <w:r w:rsidRPr="00DA7625">
              <w:rPr>
                <w:rStyle w:val="InstructionsTabelleberschrift"/>
                <w:rFonts w:ascii="Times New Roman" w:hAnsi="Times New Roman"/>
                <w:b w:val="0"/>
                <w:sz w:val="24"/>
                <w:u w:val="none"/>
              </w:rPr>
              <w:lastRenderedPageBreak/>
              <w:t>A kitettségek hazainak tekintendők, ha azok az intézmény helye szerinti tagállamban lévő partnerekkel szembeni kitettségek.</w:t>
            </w:r>
          </w:p>
        </w:tc>
      </w:tr>
      <w:tr w:rsidR="001B1411" w:rsidRPr="00DA7625" w14:paraId="2C4C51F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47B1BED" w14:textId="77777777" w:rsidR="001B1411" w:rsidRPr="00DA7625" w:rsidRDefault="007E16E5">
            <w:pPr>
              <w:pStyle w:val="InstructionsText"/>
            </w:pPr>
            <w:r w:rsidRPr="00DA7625">
              <w:lastRenderedPageBreak/>
              <w:t>870</w:t>
            </w:r>
          </w:p>
        </w:tc>
        <w:tc>
          <w:tcPr>
            <w:tcW w:w="7243" w:type="dxa"/>
            <w:tcBorders>
              <w:top w:val="single" w:sz="4" w:space="0" w:color="auto"/>
              <w:left w:val="single" w:sz="4" w:space="0" w:color="auto"/>
              <w:bottom w:val="single" w:sz="4" w:space="0" w:color="auto"/>
              <w:right w:val="single" w:sz="4" w:space="0" w:color="auto"/>
            </w:tcBorders>
          </w:tcPr>
          <w:p w14:paraId="01EB03BB" w14:textId="77777777" w:rsidR="001B1411" w:rsidRPr="00DA7625" w:rsidRDefault="0020170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Szavatolótőke teljes összegének kiigazítása</w:t>
            </w:r>
          </w:p>
          <w:p w14:paraId="2FFACBFD" w14:textId="567E2EBF" w:rsidR="001B1411" w:rsidRPr="00DA7625" w:rsidRDefault="00700DFD">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CRR 500. cikkének (4) bekezdése</w:t>
            </w:r>
          </w:p>
          <w:p w14:paraId="43708573" w14:textId="0555480A" w:rsidR="001B1411" w:rsidRPr="00DA7625" w:rsidRDefault="00DE48EF">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 xml:space="preserve">Ebben a sorban a 880-as sorban feltüntetett összeg és a CRR szerinti teljes tőkekövetelmény különbözetét kell megadni. </w:t>
            </w:r>
          </w:p>
          <w:p w14:paraId="4EBC63C5" w14:textId="33B94BD3" w:rsidR="001B1411" w:rsidRPr="00DA7625" w:rsidRDefault="003A1469">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sztenderd módszer alternatívájának (a CRR 500. cikkének (2) bekezdése) alkalmazása esetén ezt a sort üresen kell hagyni.</w:t>
            </w:r>
          </w:p>
        </w:tc>
      </w:tr>
      <w:tr w:rsidR="001B1411" w:rsidRPr="00DA7625" w14:paraId="6BBBAF4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6F20D16" w14:textId="77777777" w:rsidR="001B1411" w:rsidRPr="00DA7625" w:rsidRDefault="007E16E5">
            <w:pPr>
              <w:pStyle w:val="InstructionsText"/>
            </w:pPr>
            <w:r w:rsidRPr="00DA7625">
              <w:t>880</w:t>
            </w:r>
          </w:p>
        </w:tc>
        <w:tc>
          <w:tcPr>
            <w:tcW w:w="7243" w:type="dxa"/>
            <w:tcBorders>
              <w:top w:val="single" w:sz="4" w:space="0" w:color="auto"/>
              <w:left w:val="single" w:sz="4" w:space="0" w:color="auto"/>
              <w:bottom w:val="single" w:sz="4" w:space="0" w:color="auto"/>
              <w:right w:val="single" w:sz="4" w:space="0" w:color="auto"/>
            </w:tcBorders>
          </w:tcPr>
          <w:p w14:paraId="0EECC4FC" w14:textId="77777777" w:rsidR="001B1411" w:rsidRPr="00DA7625" w:rsidRDefault="007E16E5">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A szavatolótőke Bázel I-es alsó korlátnak megfelelő teljes kiigazítása</w:t>
            </w:r>
          </w:p>
          <w:p w14:paraId="2C4DAFAB" w14:textId="70686029" w:rsidR="001B1411" w:rsidRPr="00DA7625" w:rsidRDefault="007E16E5">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CRR 500. cikkének (4) bekezdése</w:t>
            </w:r>
          </w:p>
          <w:p w14:paraId="3B590ED5" w14:textId="63F96E57" w:rsidR="001B1411" w:rsidRPr="00DA7625" w:rsidRDefault="002540B2">
            <w:pPr>
              <w:pStyle w:val="InstructionsText"/>
              <w:rPr>
                <w:rStyle w:val="InstructionsTabelleberschrift"/>
                <w:rFonts w:ascii="Times New Roman" w:hAnsi="Times New Roman"/>
                <w:b w:val="0"/>
                <w:sz w:val="24"/>
                <w:u w:val="none"/>
              </w:rPr>
            </w:pPr>
            <w:r w:rsidRPr="00DA7625">
              <w:t>A</w:t>
            </w:r>
            <w:r w:rsidRPr="00DA7625">
              <w:rPr>
                <w:rStyle w:val="InstructionsTabelleberschrift"/>
                <w:rFonts w:ascii="Times New Roman" w:hAnsi="Times New Roman"/>
                <w:b w:val="0"/>
                <w:sz w:val="24"/>
                <w:u w:val="none"/>
              </w:rPr>
              <w:t xml:space="preserve"> CRR szerinti teljes tőkekövetelmény a CRR 500. cikkének (4) bekezdésében előírtaknak megfelelően kiigazítva (vagyis teljes mértékben kiigazítva, hogy tükrözze a szavatolótőkének a 93/6/EGK tanácsi irányelv</w:t>
            </w:r>
            <w:r w:rsidRPr="00DA7625">
              <w:rPr>
                <w:rStyle w:val="FootnoteReference"/>
                <w:rFonts w:ascii="Times New Roman" w:hAnsi="Times New Roman"/>
                <w:bCs/>
                <w:sz w:val="24"/>
                <w:szCs w:val="24"/>
                <w:vertAlign w:val="superscript"/>
              </w:rPr>
              <w:footnoteReference w:id="7"/>
            </w:r>
            <w:r w:rsidRPr="00DA7625">
              <w:t xml:space="preserve"> </w:t>
            </w:r>
            <w:r w:rsidRPr="00DA7625">
              <w:rPr>
                <w:rStyle w:val="InstructionsTabelleberschrift"/>
                <w:rFonts w:ascii="Times New Roman" w:hAnsi="Times New Roman"/>
                <w:b w:val="0"/>
                <w:sz w:val="24"/>
                <w:u w:val="none"/>
              </w:rPr>
              <w:t>és a 2000/12/EK európai parlamenti és tanácsi irányelv</w:t>
            </w:r>
            <w:r w:rsidRPr="00DA7625">
              <w:rPr>
                <w:rStyle w:val="FootnoteReference"/>
                <w:rFonts w:ascii="Times New Roman" w:hAnsi="Times New Roman"/>
                <w:bCs/>
                <w:sz w:val="24"/>
                <w:szCs w:val="24"/>
                <w:vertAlign w:val="superscript"/>
              </w:rPr>
              <w:footnoteReference w:id="8"/>
            </w:r>
            <w:r w:rsidRPr="00DA7625">
              <w:t xml:space="preserve"> 2007. január 1. előtt </w:t>
            </w:r>
            <w:r w:rsidRPr="00DA7625">
              <w:rPr>
                <w:rStyle w:val="InstructionsTabelleberschrift"/>
                <w:rFonts w:ascii="Times New Roman" w:hAnsi="Times New Roman"/>
                <w:b w:val="0"/>
                <w:sz w:val="24"/>
                <w:u w:val="none"/>
              </w:rPr>
              <w:t>hatályos szövege szerinti számítása</w:t>
            </w:r>
            <w:r w:rsidRPr="00DA7625">
              <w:t>, illetve a CRR szerinti szavatolótőke-számítás közötti mindazon különbségeket, amelyek abból adódnak, hogy a</w:t>
            </w:r>
            <w:r w:rsidRPr="00DA7625">
              <w:rPr>
                <w:rStyle w:val="InstructionsTabelleberschrift"/>
                <w:rFonts w:ascii="Times New Roman" w:hAnsi="Times New Roman"/>
                <w:b w:val="0"/>
                <w:sz w:val="24"/>
                <w:u w:val="none"/>
              </w:rPr>
              <w:t xml:space="preserve"> CRR harmadik része II. címének 3. fejezete értelmében a várható és a nem várható veszteséget elkülönítetten kell kezelni). </w:t>
            </w:r>
          </w:p>
          <w:p w14:paraId="629AE7CE" w14:textId="730AE847" w:rsidR="001B1411" w:rsidRPr="00DA7625" w:rsidRDefault="003A1469">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sztenderd módszer alternatívájának (a CRR 500. cikkének (2) bekezdése) alkalmazása esetén ezt a sort üresen kell hagyni.</w:t>
            </w:r>
          </w:p>
        </w:tc>
      </w:tr>
      <w:tr w:rsidR="001B1411" w:rsidRPr="00DA7625" w14:paraId="6C125AD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A40817A" w14:textId="77777777" w:rsidR="001B1411" w:rsidRPr="00DA7625" w:rsidRDefault="007E16E5">
            <w:pPr>
              <w:pStyle w:val="InstructionsText"/>
            </w:pPr>
            <w:r w:rsidRPr="00DA7625">
              <w:t>890</w:t>
            </w:r>
          </w:p>
        </w:tc>
        <w:tc>
          <w:tcPr>
            <w:tcW w:w="7243" w:type="dxa"/>
            <w:tcBorders>
              <w:top w:val="single" w:sz="4" w:space="0" w:color="auto"/>
              <w:left w:val="single" w:sz="4" w:space="0" w:color="auto"/>
              <w:bottom w:val="single" w:sz="4" w:space="0" w:color="auto"/>
              <w:right w:val="single" w:sz="4" w:space="0" w:color="auto"/>
            </w:tcBorders>
          </w:tcPr>
          <w:p w14:paraId="37B3E5D6" w14:textId="77777777" w:rsidR="001B1411" w:rsidRPr="00DA7625" w:rsidRDefault="007E16E5">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A Bázel I-es alsó korlátnak megfelelő szavatolótőke-követelmény</w:t>
            </w:r>
          </w:p>
          <w:p w14:paraId="0B850548" w14:textId="2D4092FA" w:rsidR="001B1411" w:rsidRPr="00DA7625" w:rsidRDefault="0014657C">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 xml:space="preserve">A CRR 500. cikke (1) bekezdésének b) pontja </w:t>
            </w:r>
          </w:p>
          <w:p w14:paraId="09285A06" w14:textId="1D365F93" w:rsidR="001B1411" w:rsidRPr="00DA7625" w:rsidRDefault="002540B2">
            <w:pPr>
              <w:pStyle w:val="InstructionsText"/>
              <w:rPr>
                <w:rStyle w:val="InstructionsTabelleberschrift"/>
                <w:rFonts w:ascii="Times New Roman" w:hAnsi="Times New Roman"/>
                <w:sz w:val="24"/>
              </w:rPr>
            </w:pPr>
            <w:r w:rsidRPr="00DA7625">
              <w:rPr>
                <w:rStyle w:val="InstructionsTabelleberschrift"/>
                <w:rFonts w:ascii="Times New Roman" w:hAnsi="Times New Roman"/>
                <w:b w:val="0"/>
                <w:sz w:val="24"/>
                <w:u w:val="none"/>
              </w:rPr>
              <w:t>Itt a CRR 500. cikke (1) bekezdésének b) pontjában előírtaknak megfelelően tartandó szavatolótőke összegét kell feltüntetni (ez azon szavatolótőke teljes minimumösszegének 80 %-a, amelyet az intézmény a 93/6/EGK irányelv 4. cikke és a 2000/12/EK irányelv értelmében lenne köteles tartani).</w:t>
            </w:r>
          </w:p>
        </w:tc>
      </w:tr>
      <w:tr w:rsidR="001B1411" w:rsidRPr="00DA7625" w14:paraId="5A6EBDBF"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734C374" w14:textId="77777777" w:rsidR="001B1411" w:rsidRPr="00DA7625" w:rsidRDefault="007E16E5">
            <w:pPr>
              <w:pStyle w:val="InstructionsText"/>
            </w:pPr>
            <w:r w:rsidRPr="00DA7625">
              <w:t>900</w:t>
            </w:r>
          </w:p>
        </w:tc>
        <w:tc>
          <w:tcPr>
            <w:tcW w:w="7243" w:type="dxa"/>
            <w:tcBorders>
              <w:top w:val="single" w:sz="4" w:space="0" w:color="auto"/>
              <w:left w:val="single" w:sz="4" w:space="0" w:color="auto"/>
              <w:bottom w:val="single" w:sz="4" w:space="0" w:color="auto"/>
              <w:right w:val="single" w:sz="4" w:space="0" w:color="auto"/>
            </w:tcBorders>
          </w:tcPr>
          <w:p w14:paraId="5E3AF3A8" w14:textId="77777777" w:rsidR="001B1411" w:rsidRPr="00DA7625" w:rsidRDefault="007E16E5">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A Bázel I-es alsó korlátnak megfelelő szavatolótőke-követelmény – Sztenderd módszer</w:t>
            </w:r>
          </w:p>
          <w:p w14:paraId="16A26EEB" w14:textId="475A557E" w:rsidR="001B1411" w:rsidRPr="00DA7625" w:rsidRDefault="00214FDA">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 xml:space="preserve">A CRR 500. cikkének (2) és (3) bekezdése </w:t>
            </w:r>
          </w:p>
          <w:p w14:paraId="7085DCA6" w14:textId="46731F19" w:rsidR="001B1411" w:rsidRPr="00DA7625" w:rsidRDefault="00DE48EF">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Itt a CRR 500. cikkének (2) bekezdésében előírtaknak megfelelően tartandó szavatolótőke összegét kell feltüntetni (ez azon szavatolótőke 80 %-a, amelyet az intézmény a CRR 92. cikke értelmében lenne</w:t>
            </w:r>
            <w:r w:rsidRPr="00DA7625">
              <w:t xml:space="preserve"> köteles tartani, a kockázattal súlyozott kitettségértékeket adott esetben a CRR </w:t>
            </w:r>
            <w:r w:rsidRPr="00DA7625">
              <w:rPr>
                <w:rStyle w:val="InstructionsTabelleberschrift"/>
                <w:rFonts w:ascii="Times New Roman" w:hAnsi="Times New Roman"/>
                <w:b w:val="0"/>
                <w:sz w:val="24"/>
                <w:u w:val="none"/>
              </w:rPr>
              <w:t>harmadik része</w:t>
            </w:r>
            <w:r w:rsidRPr="00DA7625">
              <w:t xml:space="preserve"> II. címe 3. fejezete vagy </w:t>
            </w:r>
            <w:r w:rsidRPr="00DA7625">
              <w:rPr>
                <w:rStyle w:val="InstructionsTabelleberschrift"/>
                <w:rFonts w:ascii="Times New Roman" w:hAnsi="Times New Roman"/>
                <w:b w:val="0"/>
                <w:sz w:val="24"/>
                <w:u w:val="none"/>
              </w:rPr>
              <w:t>harmadik része</w:t>
            </w:r>
            <w:r w:rsidRPr="00DA7625">
              <w:t xml:space="preserve"> III. címe </w:t>
            </w:r>
            <w:r w:rsidRPr="00DA7625">
              <w:lastRenderedPageBreak/>
              <w:t xml:space="preserve">4. fejezete helyett adott esetben a CRR </w:t>
            </w:r>
            <w:r w:rsidRPr="00DA7625">
              <w:rPr>
                <w:rStyle w:val="InstructionsTabelleberschrift"/>
                <w:rFonts w:ascii="Times New Roman" w:hAnsi="Times New Roman"/>
                <w:b w:val="0"/>
                <w:sz w:val="24"/>
                <w:u w:val="none"/>
              </w:rPr>
              <w:t>harmadik része</w:t>
            </w:r>
            <w:r w:rsidRPr="00DA7625">
              <w:t xml:space="preserve"> II. címe 2. fejezete vagy </w:t>
            </w:r>
            <w:r w:rsidRPr="00DA7625">
              <w:rPr>
                <w:rStyle w:val="InstructionsTabelleberschrift"/>
                <w:rFonts w:ascii="Times New Roman" w:hAnsi="Times New Roman"/>
                <w:b w:val="0"/>
                <w:sz w:val="24"/>
                <w:u w:val="none"/>
              </w:rPr>
              <w:t>harmadik része III. címe 2. vagy 3. fejezete szerint számítva).</w:t>
            </w:r>
          </w:p>
        </w:tc>
      </w:tr>
      <w:tr w:rsidR="001B1411" w:rsidRPr="00DA7625" w14:paraId="3C3F606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5722286" w14:textId="77777777" w:rsidR="001B1411" w:rsidRPr="00DA7625" w:rsidRDefault="00A840D5">
            <w:pPr>
              <w:pStyle w:val="InstructionsText"/>
            </w:pPr>
            <w:r w:rsidRPr="00DA7625">
              <w:lastRenderedPageBreak/>
              <w:t>910</w:t>
            </w:r>
          </w:p>
        </w:tc>
        <w:tc>
          <w:tcPr>
            <w:tcW w:w="7243" w:type="dxa"/>
            <w:tcBorders>
              <w:top w:val="single" w:sz="4" w:space="0" w:color="auto"/>
              <w:left w:val="single" w:sz="4" w:space="0" w:color="auto"/>
              <w:bottom w:val="single" w:sz="4" w:space="0" w:color="auto"/>
              <w:right w:val="single" w:sz="4" w:space="0" w:color="auto"/>
            </w:tcBorders>
          </w:tcPr>
          <w:p w14:paraId="66A35C39" w14:textId="77777777" w:rsidR="001B1411" w:rsidRPr="00DA7625" w:rsidRDefault="002540B2">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A teljes tőke hiánya a Bázel I-es alsó korlátnak (vagy sztenderd módszernek) megfelelő szavatolótőke-követelmények tekintetében</w:t>
            </w:r>
          </w:p>
          <w:p w14:paraId="2415E5FA" w14:textId="69690AE5" w:rsidR="001B1411" w:rsidRPr="00DA7625" w:rsidRDefault="0014657C">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 xml:space="preserve">A CRR 500. cikke (1) bekezdésének b) pontja, valamint 500. cikkének (2) bekezdése </w:t>
            </w:r>
          </w:p>
          <w:p w14:paraId="7724778A" w14:textId="77777777" w:rsidR="001B1411" w:rsidRPr="00DA7625" w:rsidRDefault="00DE48EF">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Ezt a sort a következőképpen kell kitölteni:</w:t>
            </w:r>
          </w:p>
          <w:p w14:paraId="4D0AF386" w14:textId="45D8ADF9" w:rsidR="001B1411" w:rsidRPr="00DA7625" w:rsidRDefault="00DE48EF">
            <w:pPr>
              <w:pStyle w:val="InstructionsText"/>
              <w:ind w:left="423" w:hanging="423"/>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w:t>
            </w:r>
            <w:r w:rsidRPr="00DA7625">
              <w:rPr>
                <w:rStyle w:val="InstructionsTabelleberschrift"/>
                <w:rFonts w:ascii="Times New Roman" w:hAnsi="Times New Roman"/>
                <w:b w:val="0"/>
                <w:sz w:val="24"/>
                <w:u w:val="none"/>
              </w:rPr>
              <w:tab/>
              <w:t>a CRR 500. cikke (1) bekezdése b) pontjának alkalmazása esetén és ha a 880-as sor &lt; a 890-es sor: a 890-es sor és a 880-as sor különbsége</w:t>
            </w:r>
          </w:p>
          <w:p w14:paraId="382D4867" w14:textId="50830AFD" w:rsidR="001B1411" w:rsidRPr="00DA7625" w:rsidRDefault="00DE48EF">
            <w:pPr>
              <w:pStyle w:val="InstructionsText"/>
              <w:ind w:left="423" w:hanging="423"/>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w:t>
            </w:r>
            <w:r w:rsidRPr="00DA7625">
              <w:rPr>
                <w:rStyle w:val="InstructionsTabelleberschrift"/>
                <w:rFonts w:ascii="Times New Roman" w:hAnsi="Times New Roman"/>
                <w:b w:val="0"/>
                <w:sz w:val="24"/>
                <w:u w:val="none"/>
              </w:rPr>
              <w:tab/>
              <w:t>a CRR 500. cikke (2) bekezdésének alkalmazása esetén és ha a C 01.00. tábla 010-es sora &lt; a C 04.00-es tábla 900-as sora: a C 04.00-es tábla 900-as sora és a C 01.00-es tábla 010-es sora közötti különbség.</w:t>
            </w:r>
          </w:p>
        </w:tc>
      </w:tr>
    </w:tbl>
    <w:p w14:paraId="6661FFBF" w14:textId="77777777" w:rsidR="001B1411" w:rsidRPr="00DA7625" w:rsidRDefault="001B1411">
      <w:pPr>
        <w:pStyle w:val="InstructionsText"/>
      </w:pPr>
    </w:p>
    <w:p w14:paraId="589D224B" w14:textId="4E496274" w:rsidR="001B1411" w:rsidRPr="00DA7625" w:rsidRDefault="00936DD1">
      <w:pPr>
        <w:pStyle w:val="Instructionsberschrift2"/>
        <w:numPr>
          <w:ilvl w:val="0"/>
          <w:numId w:val="0"/>
        </w:numPr>
        <w:ind w:left="357" w:hanging="357"/>
        <w:rPr>
          <w:rFonts w:ascii="Times New Roman" w:hAnsi="Times New Roman" w:cs="Times New Roman"/>
          <w:sz w:val="24"/>
        </w:rPr>
      </w:pPr>
      <w:bookmarkStart w:id="18" w:name="_Toc31018764"/>
      <w:r w:rsidRPr="00DA7625">
        <w:rPr>
          <w:rFonts w:ascii="Times New Roman" w:hAnsi="Times New Roman"/>
          <w:sz w:val="24"/>
          <w:u w:val="none"/>
        </w:rPr>
        <w:t>1.6</w:t>
      </w:r>
      <w:r w:rsidRPr="00DA7625">
        <w:rPr>
          <w:rFonts w:ascii="Times New Roman" w:hAnsi="Times New Roman"/>
          <w:sz w:val="24"/>
          <w:u w:val="none"/>
        </w:rPr>
        <w:tab/>
      </w:r>
      <w:r w:rsidRPr="00DA7625">
        <w:rPr>
          <w:rFonts w:ascii="Times New Roman" w:hAnsi="Times New Roman"/>
          <w:sz w:val="24"/>
        </w:rPr>
        <w:t>ÁTMENETI RENDELKEZÉSEK ÉS SZERZETT JOGOK ALAPJÁN FIGYELEMBE VETT TŐKEINSTRUMENTUMOK: ÁLLAMI TÁMOGATÁSNAK NEM MINŐSÜLŐ INSTRUMENTUMOK (CA5)</w:t>
      </w:r>
      <w:bookmarkEnd w:id="18"/>
    </w:p>
    <w:p w14:paraId="1F398445" w14:textId="77777777" w:rsidR="001B1411" w:rsidRPr="00DA7625" w:rsidRDefault="00936DD1">
      <w:pPr>
        <w:pStyle w:val="Instructionsberschrift2"/>
        <w:numPr>
          <w:ilvl w:val="0"/>
          <w:numId w:val="0"/>
        </w:numPr>
        <w:ind w:left="357" w:hanging="357"/>
        <w:rPr>
          <w:rFonts w:ascii="Times New Roman" w:hAnsi="Times New Roman" w:cs="Times New Roman"/>
          <w:sz w:val="24"/>
        </w:rPr>
      </w:pPr>
      <w:bookmarkStart w:id="19" w:name="_Toc31018765"/>
      <w:r w:rsidRPr="00DA7625">
        <w:rPr>
          <w:rFonts w:ascii="Times New Roman" w:hAnsi="Times New Roman"/>
          <w:sz w:val="24"/>
          <w:u w:val="none"/>
        </w:rPr>
        <w:t>1.6.1</w:t>
      </w:r>
      <w:r w:rsidRPr="00DA7625">
        <w:rPr>
          <w:rFonts w:ascii="Times New Roman" w:hAnsi="Times New Roman"/>
          <w:sz w:val="24"/>
          <w:u w:val="none"/>
        </w:rPr>
        <w:tab/>
      </w:r>
      <w:r w:rsidRPr="00DA7625">
        <w:rPr>
          <w:rFonts w:ascii="Times New Roman" w:hAnsi="Times New Roman"/>
          <w:sz w:val="24"/>
        </w:rPr>
        <w:t>Általános megjegyzések</w:t>
      </w:r>
      <w:bookmarkEnd w:id="19"/>
    </w:p>
    <w:p w14:paraId="7C94098E" w14:textId="444755C1" w:rsidR="001B1411" w:rsidRPr="00DA7625" w:rsidRDefault="00B43C2A">
      <w:pPr>
        <w:pStyle w:val="InstructionsText2"/>
        <w:numPr>
          <w:ilvl w:val="0"/>
          <w:numId w:val="0"/>
        </w:numPr>
        <w:ind w:left="993"/>
      </w:pPr>
      <w:r w:rsidRPr="00DA7625">
        <w:t>15.</w:t>
      </w:r>
      <w:r w:rsidRPr="00DA7625">
        <w:tab/>
        <w:t xml:space="preserve">A CA5 a CRR 465–491. cikkében foglalt átmeneti rendelkezések hatálya alá eső szavatolótőke-elemeket és levonásokat foglalja össze. </w:t>
      </w:r>
    </w:p>
    <w:p w14:paraId="563F7928" w14:textId="77777777" w:rsidR="001B1411" w:rsidRPr="00DA7625" w:rsidRDefault="00125707">
      <w:pPr>
        <w:pStyle w:val="InstructionsText2"/>
        <w:numPr>
          <w:ilvl w:val="0"/>
          <w:numId w:val="0"/>
        </w:numPr>
        <w:ind w:left="993"/>
      </w:pPr>
      <w:r w:rsidRPr="00DA7625">
        <w:t>16.</w:t>
      </w:r>
      <w:r w:rsidRPr="00DA7625">
        <w:tab/>
        <w:t>A CA5 az alábbi szerkezetet követi:</w:t>
      </w:r>
    </w:p>
    <w:p w14:paraId="5C17D503" w14:textId="0EEA1A6A" w:rsidR="001B1411" w:rsidRPr="00DA7625" w:rsidRDefault="00125707">
      <w:pPr>
        <w:pStyle w:val="InstructionsText2"/>
        <w:numPr>
          <w:ilvl w:val="0"/>
          <w:numId w:val="0"/>
        </w:numPr>
        <w:ind w:left="993"/>
      </w:pPr>
      <w:r w:rsidRPr="00DA7625">
        <w:t>a)</w:t>
      </w:r>
      <w:r w:rsidRPr="00DA7625">
        <w:tab/>
        <w:t xml:space="preserve">Az </w:t>
      </w:r>
      <w:r w:rsidRPr="00DA7625">
        <w:rPr>
          <w:u w:val="single"/>
        </w:rPr>
        <w:t>5.1. tábla</w:t>
      </w:r>
      <w:r w:rsidRPr="00DA7625">
        <w:t xml:space="preserve"> azokat a kiigazításokat foglalja össze, amelyeket a CA1 táblán (a végleges rendelkezésekkel összhangban) megadott szavatolótőke-elemeket érintően az átmeneti rendelkezések alkalmazása miatt kell végrehajtani. E tábla elemei a CA1 táblán szereplő különböző tőkeelemek „kiigazításaként” jelennek meg annak érdekében, hogy tükrözzék az átmeneti rendelkezések hatását a szavatolótőke elemeire.</w:t>
      </w:r>
    </w:p>
    <w:p w14:paraId="1953B9FF" w14:textId="77777777" w:rsidR="001B1411" w:rsidRPr="00DA7625" w:rsidRDefault="00125707">
      <w:pPr>
        <w:pStyle w:val="InstructionsText2"/>
        <w:numPr>
          <w:ilvl w:val="0"/>
          <w:numId w:val="0"/>
        </w:numPr>
        <w:ind w:left="993"/>
      </w:pPr>
      <w:r w:rsidRPr="00DA7625">
        <w:t>b)</w:t>
      </w:r>
      <w:r w:rsidRPr="00DA7625">
        <w:tab/>
        <w:t xml:space="preserve">Az </w:t>
      </w:r>
      <w:r w:rsidRPr="00DA7625">
        <w:rPr>
          <w:u w:val="single"/>
        </w:rPr>
        <w:t>5.2. tábla</w:t>
      </w:r>
      <w:r w:rsidRPr="00DA7625">
        <w:t xml:space="preserve"> a szerzett jogok alapján figyelembe vett, állami támogatásnak nem minősülő instrumentumok kiszámítását mutatja be részletesen. </w:t>
      </w:r>
    </w:p>
    <w:p w14:paraId="3C132050" w14:textId="77777777" w:rsidR="001B1411" w:rsidRPr="00DA7625" w:rsidRDefault="00125707">
      <w:pPr>
        <w:pStyle w:val="InstructionsText2"/>
        <w:numPr>
          <w:ilvl w:val="0"/>
          <w:numId w:val="0"/>
        </w:numPr>
        <w:ind w:left="993"/>
      </w:pPr>
      <w:r w:rsidRPr="00DA7625">
        <w:t>17.</w:t>
      </w:r>
      <w:r w:rsidRPr="00DA7625">
        <w:tab/>
        <w:t>Az intézményeknek az első négy oszlopban a CET1 tőke, az AT1 tőke és a T2 tőke kiigazításait, valamint a teljes kockázati kitettségértéket kell megadni. Az intézményeknek ezenkívül meg kell adniuk az átmeneti rendelkezés szerint alkalmazandó százalékos arányt (050. oszlop), valamint az átmeneti rendelkezések alkalmazása nélkül figyelembe vehető összeget (060. oszlop).</w:t>
      </w:r>
    </w:p>
    <w:p w14:paraId="44CB6B23" w14:textId="74BB1B67" w:rsidR="001B1411" w:rsidRPr="00DA7625" w:rsidRDefault="00125707">
      <w:pPr>
        <w:pStyle w:val="InstructionsText2"/>
        <w:numPr>
          <w:ilvl w:val="0"/>
          <w:numId w:val="0"/>
        </w:numPr>
        <w:ind w:left="993"/>
      </w:pPr>
      <w:r w:rsidRPr="00DA7625">
        <w:t>18.</w:t>
      </w:r>
      <w:r w:rsidRPr="00DA7625">
        <w:tab/>
        <w:t>Az intézmények a CA5. táblán kizárólag abban az időszakban szolgáltatnak adatot a tőkeelemekről, amelynek során a CRR tizedik részében meghatározott átmeneti rendelkezéseket alkalmazni kell.</w:t>
      </w:r>
    </w:p>
    <w:p w14:paraId="4ADA01E5" w14:textId="77777777" w:rsidR="001B1411" w:rsidRPr="00DA7625" w:rsidRDefault="00125707">
      <w:pPr>
        <w:pStyle w:val="InstructionsText2"/>
        <w:numPr>
          <w:ilvl w:val="0"/>
          <w:numId w:val="0"/>
        </w:numPr>
        <w:ind w:left="993"/>
      </w:pPr>
      <w:r w:rsidRPr="00DA7625">
        <w:t>19.</w:t>
      </w:r>
      <w:r w:rsidRPr="00DA7625">
        <w:tab/>
        <w:t>Egyes átmeneti rendelkezések a T1 tőkét érintő levonást írnak elő. Ilyenkor a T1 tőkét érintő levonásnak vagy levonásoknak az AT1 tőkén felüli maradványösszegét a CET1 tőkéből kell levonni.</w:t>
      </w:r>
    </w:p>
    <w:p w14:paraId="2887826A"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20" w:name="_Toc31018766"/>
      <w:r w:rsidRPr="00DA7625">
        <w:rPr>
          <w:rFonts w:ascii="Times New Roman" w:hAnsi="Times New Roman"/>
          <w:sz w:val="24"/>
          <w:u w:val="none"/>
        </w:rPr>
        <w:lastRenderedPageBreak/>
        <w:t>1.6.2.</w:t>
      </w:r>
      <w:r w:rsidRPr="00DA7625">
        <w:rPr>
          <w:rFonts w:ascii="Times New Roman" w:hAnsi="Times New Roman"/>
          <w:sz w:val="24"/>
          <w:u w:val="none"/>
        </w:rPr>
        <w:tab/>
      </w:r>
      <w:r w:rsidRPr="00DA7625">
        <w:rPr>
          <w:rFonts w:ascii="Times New Roman" w:hAnsi="Times New Roman"/>
          <w:sz w:val="24"/>
        </w:rPr>
        <w:t>C 05.01 – ÁTMENETI RENDELKEZÉSEK (CA5.1)</w:t>
      </w:r>
      <w:bookmarkEnd w:id="20"/>
      <w:r w:rsidRPr="00DA7625">
        <w:rPr>
          <w:rFonts w:ascii="Times New Roman" w:hAnsi="Times New Roman"/>
          <w:sz w:val="24"/>
        </w:rPr>
        <w:t xml:space="preserve"> </w:t>
      </w:r>
    </w:p>
    <w:p w14:paraId="71A2D646" w14:textId="42BDB15C" w:rsidR="001B1411" w:rsidRPr="00DA7625" w:rsidRDefault="00125707">
      <w:pPr>
        <w:pStyle w:val="InstructionsText2"/>
        <w:numPr>
          <w:ilvl w:val="0"/>
          <w:numId w:val="0"/>
        </w:numPr>
        <w:ind w:left="993"/>
      </w:pPr>
      <w:r w:rsidRPr="00DA7625">
        <w:t>20.</w:t>
      </w:r>
      <w:r w:rsidRPr="00DA7625">
        <w:tab/>
        <w:t xml:space="preserve">Az intézményeknek a CA5.1. táblában a CRR 465–491. cikkében előírt átmeneti rendelkezéseknek a szavatolótőke-elemeket érintő alkalmazásáról kell adatot szolgáltatniuk a CRR második része II. címében foglalt végleges rendelkezésekhez képest. </w:t>
      </w:r>
    </w:p>
    <w:p w14:paraId="0F033D5C" w14:textId="13C30FC9" w:rsidR="001B1411" w:rsidRPr="00DA7625" w:rsidRDefault="00125707">
      <w:pPr>
        <w:pStyle w:val="InstructionsText2"/>
        <w:numPr>
          <w:ilvl w:val="0"/>
          <w:numId w:val="0"/>
        </w:numPr>
        <w:ind w:left="993"/>
      </w:pPr>
      <w:r w:rsidRPr="00DA7625">
        <w:t>21.</w:t>
      </w:r>
      <w:r w:rsidRPr="00DA7625">
        <w:tab/>
        <w:t>Az intézmények a 020–060. sorban az átmeneti rendelkezések értelmében a szerzett jogok alapján figyelembe vett instrumentumokról szolgáltatnak adatot. A CA5.1. tábla 060. sorának 010–030. oszlopaiban feltüntetendő értékek, amelyek a CA5.2. tábla megfelelő részeiből vezethetők le.</w:t>
      </w:r>
    </w:p>
    <w:p w14:paraId="0A55A4B4" w14:textId="0E613EAB" w:rsidR="001B1411" w:rsidRPr="00DA7625" w:rsidRDefault="00125707">
      <w:pPr>
        <w:pStyle w:val="InstructionsText2"/>
        <w:numPr>
          <w:ilvl w:val="0"/>
          <w:numId w:val="0"/>
        </w:numPr>
        <w:ind w:left="993"/>
      </w:pPr>
      <w:r w:rsidRPr="00DA7625">
        <w:t>22.</w:t>
      </w:r>
      <w:r w:rsidRPr="00DA7625">
        <w:tab/>
        <w:t>Az intézmények a 070–092. sorban a kisebbségi részesedésekre, valamint a leányvállalatok által kibocsátott AT1 és T2 tőkeinstrumentumokra vonatkozó átmeneti rendelkezésekről szolgáltatnak adatot a CRR 479. és 480. cikke szerint.</w:t>
      </w:r>
    </w:p>
    <w:p w14:paraId="129C3C4D" w14:textId="7FC69125" w:rsidR="001B1411" w:rsidRPr="00DA7625" w:rsidRDefault="00125707">
      <w:pPr>
        <w:pStyle w:val="InstructionsText2"/>
        <w:numPr>
          <w:ilvl w:val="0"/>
          <w:numId w:val="0"/>
        </w:numPr>
        <w:ind w:left="993"/>
      </w:pPr>
      <w:r w:rsidRPr="00DA7625">
        <w:t>23.</w:t>
      </w:r>
      <w:r w:rsidRPr="00DA7625">
        <w:tab/>
        <w:t>A 100. sortól kezdődően az intézmények a nem realizált nyereségre és veszteségre, a levonásokra, valamint a további szűrőkre és levonásokra vonatkozó átmeneti rendelkezésekről szolgáltatnak adatot.</w:t>
      </w:r>
    </w:p>
    <w:p w14:paraId="0EC1FE36" w14:textId="4A869469" w:rsidR="001B1411" w:rsidRPr="00DA7625" w:rsidRDefault="00125707">
      <w:pPr>
        <w:pStyle w:val="InstructionsText2"/>
        <w:numPr>
          <w:ilvl w:val="0"/>
          <w:numId w:val="0"/>
        </w:numPr>
        <w:ind w:left="993"/>
      </w:pPr>
      <w:r w:rsidRPr="00DA7625">
        <w:t>24.</w:t>
      </w:r>
      <w:r w:rsidRPr="00DA7625">
        <w:tab/>
        <w:t xml:space="preserve">Egyes esetekben a CET1 tőke, az AT1 tőke vagy a T2 tőke átmeneti levonásai meghaladják az adott intézmény CET1 tőkéjét, AT1 tőkéjét vagy T2 tőkéjét. Ezt a hatást – ha átmeneti rendelkezések eredménye – a CA1 tábla megfelelő celláiban kell kimutatni. Következésképpen a CA5. tábla oszlopaiban megadott kiigazítások nem foglalhatnak magukban áttételes hatásokat akkor, ha a rendelkezésre álló tőke mennyisége nem elégséges. </w:t>
      </w:r>
    </w:p>
    <w:p w14:paraId="434225D9"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21" w:name="_Toc31018767"/>
      <w:r w:rsidRPr="00DA7625">
        <w:rPr>
          <w:rFonts w:ascii="Times New Roman" w:hAnsi="Times New Roman"/>
          <w:sz w:val="24"/>
          <w:u w:val="none"/>
        </w:rPr>
        <w:t>1.6.2.1.</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21"/>
    </w:p>
    <w:p w14:paraId="5BB2D391" w14:textId="77777777" w:rsidR="001B1411" w:rsidRPr="00DA7625" w:rsidRDefault="001B1411">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1B1411" w:rsidRPr="00DA7625" w14:paraId="0C2D193D" w14:textId="77777777" w:rsidTr="00672D2A">
        <w:tc>
          <w:tcPr>
            <w:tcW w:w="8372" w:type="dxa"/>
            <w:gridSpan w:val="2"/>
            <w:shd w:val="clear" w:color="auto" w:fill="D9D9D9"/>
          </w:tcPr>
          <w:p w14:paraId="766B446E" w14:textId="77777777" w:rsidR="001B1411" w:rsidRPr="00DA7625" w:rsidRDefault="002648B0">
            <w:pPr>
              <w:pStyle w:val="InstructionsText"/>
            </w:pPr>
            <w:r w:rsidRPr="00DA7625">
              <w:t>Oszlop</w:t>
            </w:r>
          </w:p>
        </w:tc>
      </w:tr>
      <w:tr w:rsidR="001B1411" w:rsidRPr="00DA7625" w14:paraId="085C8845" w14:textId="77777777" w:rsidTr="00672D2A">
        <w:tc>
          <w:tcPr>
            <w:tcW w:w="894" w:type="dxa"/>
          </w:tcPr>
          <w:p w14:paraId="392DF494"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010</w:t>
            </w:r>
          </w:p>
        </w:tc>
        <w:tc>
          <w:tcPr>
            <w:tcW w:w="7478" w:type="dxa"/>
          </w:tcPr>
          <w:p w14:paraId="330CAD2E" w14:textId="77777777" w:rsidR="001B1411" w:rsidRPr="00DA7625" w:rsidRDefault="002648B0">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A CET1 tőke kiigazításai</w:t>
            </w:r>
          </w:p>
        </w:tc>
      </w:tr>
      <w:tr w:rsidR="001B1411" w:rsidRPr="00DA7625" w14:paraId="3AC96FFE" w14:textId="77777777" w:rsidTr="00672D2A">
        <w:tc>
          <w:tcPr>
            <w:tcW w:w="894" w:type="dxa"/>
          </w:tcPr>
          <w:p w14:paraId="60E46846"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020</w:t>
            </w:r>
          </w:p>
        </w:tc>
        <w:tc>
          <w:tcPr>
            <w:tcW w:w="7478" w:type="dxa"/>
          </w:tcPr>
          <w:p w14:paraId="358141E3" w14:textId="77777777" w:rsidR="001B1411" w:rsidRPr="00DA7625" w:rsidRDefault="002648B0">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Az AT1 tőke kiigazításai</w:t>
            </w:r>
          </w:p>
        </w:tc>
      </w:tr>
      <w:tr w:rsidR="001B1411" w:rsidRPr="00DA7625" w14:paraId="3BB84582" w14:textId="77777777" w:rsidTr="00672D2A">
        <w:tc>
          <w:tcPr>
            <w:tcW w:w="894" w:type="dxa"/>
          </w:tcPr>
          <w:p w14:paraId="5CDA2489"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030</w:t>
            </w:r>
          </w:p>
        </w:tc>
        <w:tc>
          <w:tcPr>
            <w:tcW w:w="7478" w:type="dxa"/>
          </w:tcPr>
          <w:p w14:paraId="37B87DA0" w14:textId="77777777" w:rsidR="001B1411" w:rsidRPr="00DA7625" w:rsidRDefault="002648B0">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A T2 tőke kiigazításai</w:t>
            </w:r>
          </w:p>
        </w:tc>
      </w:tr>
      <w:tr w:rsidR="001B1411" w:rsidRPr="00DA7625" w14:paraId="581D9501" w14:textId="77777777" w:rsidTr="00672D2A">
        <w:tc>
          <w:tcPr>
            <w:tcW w:w="894" w:type="dxa"/>
          </w:tcPr>
          <w:p w14:paraId="274F52A9"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040</w:t>
            </w:r>
          </w:p>
        </w:tc>
        <w:tc>
          <w:tcPr>
            <w:tcW w:w="7478" w:type="dxa"/>
          </w:tcPr>
          <w:p w14:paraId="2922ED58" w14:textId="77777777" w:rsidR="001B1411" w:rsidRPr="00DA7625" w:rsidRDefault="002648B0">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A kockázattal súlyozott eszközértékekben figyelembe vett kiigazítások</w:t>
            </w:r>
          </w:p>
          <w:p w14:paraId="3BF81B8A" w14:textId="5B77F9B1"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040-es oszlop tartalmazza azokat a megfelelő összegeket, amelyekkel a CRR 92. cikkének (3) bekezdése szerinti teljes kockázati kitettségértéket az átmeneti rendelkezések miatt kiigazítják. A feltüntetett összegeknél figyelembe kell venni a harmadik rész II. címének 2. vagy 3. fejezetében, vagy a harmadik rész IV. címében foglalt rendelkezések alkalmazását, a CRR 92. cikkének (4) bekezdésével összhangban. Ez azt jelenti, hogy a harmadik rész II. címének 2. vagy 3. fejezete szerinti átmeneti összegeket kockázattal súlyozott kitettségértékként kell feltüntetni, míg a harmadik rész IV. címének hatálya alá tartozó átmeneti összegek a 12,5-del megszorzott szavatolótőke-követelményt jelentik.</w:t>
            </w:r>
          </w:p>
          <w:p w14:paraId="38455D6B" w14:textId="24B2D00C" w:rsidR="001B1411" w:rsidRPr="00DA7625" w:rsidRDefault="00B4177D">
            <w:pPr>
              <w:pStyle w:val="InstructionsText"/>
              <w:rPr>
                <w:rStyle w:val="InstructionsTabelleberschrift"/>
                <w:rFonts w:ascii="Times New Roman" w:hAnsi="Times New Roman"/>
                <w:b w:val="0"/>
                <w:bCs w:val="0"/>
                <w:sz w:val="24"/>
                <w:u w:val="none"/>
              </w:rPr>
            </w:pPr>
            <w:r w:rsidRPr="00DA7625">
              <w:rPr>
                <w:rStyle w:val="InstructionsTabelleText"/>
                <w:rFonts w:ascii="Times New Roman" w:hAnsi="Times New Roman"/>
                <w:sz w:val="24"/>
              </w:rPr>
              <w:t>Míg a 010–030. oszlop közvetlenül kapcsolódik a CA1 táblához, a teljes kockázati kitettségérték kiigazításai nem kapcsolódnak közvetlenül a meg</w:t>
            </w:r>
            <w:r w:rsidRPr="00DA7625">
              <w:rPr>
                <w:rStyle w:val="InstructionsTabelleText"/>
                <w:rFonts w:ascii="Times New Roman" w:hAnsi="Times New Roman"/>
                <w:sz w:val="24"/>
              </w:rPr>
              <w:lastRenderedPageBreak/>
              <w:t xml:space="preserve">felelő hitelkockázati táblákhoz. A teljes kockázati kitettségértékre vonatkozó átmeneti rendelkezésekből eredő kiigazításokat – ha vannak ilyenek – közvetlenül a CR SA, CR IRB, CR EQU IRB, MKR SA TDI, MKR SA EQU illetve MKR IM tartalmazza. Ezenkívül e hatásokat a CA5.1 tábla 040. oszlopában is fel kell tüntetni. Ebből adódóan az ilyen értékek kizárólag tájékoztató adatok. </w:t>
            </w:r>
          </w:p>
        </w:tc>
      </w:tr>
      <w:tr w:rsidR="001B1411" w:rsidRPr="00DA7625" w14:paraId="6496D8B8" w14:textId="77777777" w:rsidTr="00672D2A">
        <w:tc>
          <w:tcPr>
            <w:tcW w:w="894" w:type="dxa"/>
          </w:tcPr>
          <w:p w14:paraId="01EA3DFB"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lastRenderedPageBreak/>
              <w:t>050</w:t>
            </w:r>
          </w:p>
        </w:tc>
        <w:tc>
          <w:tcPr>
            <w:tcW w:w="7478" w:type="dxa"/>
          </w:tcPr>
          <w:p w14:paraId="125867E8" w14:textId="77777777" w:rsidR="001B1411" w:rsidRPr="00DA7625" w:rsidRDefault="002648B0">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Alkalmazandó százalékos arány</w:t>
            </w:r>
          </w:p>
        </w:tc>
      </w:tr>
      <w:tr w:rsidR="001B1411" w:rsidRPr="00DA7625" w14:paraId="5A52EFF5" w14:textId="77777777" w:rsidTr="00672D2A">
        <w:tc>
          <w:tcPr>
            <w:tcW w:w="894" w:type="dxa"/>
          </w:tcPr>
          <w:p w14:paraId="0A04E67C"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060</w:t>
            </w:r>
          </w:p>
        </w:tc>
        <w:tc>
          <w:tcPr>
            <w:tcW w:w="7478" w:type="dxa"/>
          </w:tcPr>
          <w:p w14:paraId="790ADC24" w14:textId="77777777" w:rsidR="001B1411" w:rsidRPr="00DA7625" w:rsidRDefault="002648B0">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Figyelembe vehető összeg az átmeneti rendelkezések nélkül</w:t>
            </w:r>
          </w:p>
          <w:p w14:paraId="30AC3AA7" w14:textId="1CC15994"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060. oszlop az egyes instrumentumoknak az átmeneti rendelkezések alkalmazása előtti értékét, vagyis a kiigazítások kiszámításához használandó alapösszeget tartalmazza.</w:t>
            </w:r>
          </w:p>
        </w:tc>
      </w:tr>
    </w:tbl>
    <w:p w14:paraId="3ACC7B4C" w14:textId="77777777" w:rsidR="001B1411" w:rsidRPr="00DA7625" w:rsidRDefault="001B1411">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1B1411" w:rsidRPr="00DA7625" w14:paraId="7044E13E" w14:textId="77777777" w:rsidTr="00672D2A">
        <w:tc>
          <w:tcPr>
            <w:tcW w:w="8490" w:type="dxa"/>
            <w:gridSpan w:val="2"/>
            <w:shd w:val="clear" w:color="auto" w:fill="D9D9D9"/>
          </w:tcPr>
          <w:p w14:paraId="51A2DEA9" w14:textId="77777777" w:rsidR="001B1411" w:rsidRPr="00DA7625" w:rsidRDefault="002648B0">
            <w:pPr>
              <w:pStyle w:val="InstructionsText"/>
            </w:pPr>
            <w:r w:rsidRPr="00DA7625">
              <w:t>Sor</w:t>
            </w:r>
          </w:p>
        </w:tc>
      </w:tr>
      <w:tr w:rsidR="001B1411" w:rsidRPr="00DA7625" w14:paraId="64C5A293" w14:textId="77777777" w:rsidTr="00672D2A">
        <w:tc>
          <w:tcPr>
            <w:tcW w:w="1012" w:type="dxa"/>
          </w:tcPr>
          <w:p w14:paraId="1D81FE4A"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010</w:t>
            </w:r>
          </w:p>
        </w:tc>
        <w:tc>
          <w:tcPr>
            <w:tcW w:w="7478" w:type="dxa"/>
          </w:tcPr>
          <w:p w14:paraId="1F050C9D" w14:textId="77777777" w:rsidR="001B1411" w:rsidRPr="00DA7625" w:rsidRDefault="00C66473">
            <w:pPr>
              <w:pStyle w:val="InstructionsText"/>
              <w:rPr>
                <w:rStyle w:val="FormatvorlageInstructionsTabelleText"/>
                <w:rFonts w:ascii="Times New Roman" w:hAnsi="Times New Roman"/>
                <w:b/>
                <w:sz w:val="24"/>
                <w:u w:val="single"/>
              </w:rPr>
            </w:pPr>
            <w:r w:rsidRPr="00DA7625">
              <w:rPr>
                <w:rStyle w:val="InstructionsTabelleberschrift"/>
                <w:rFonts w:ascii="Times New Roman" w:hAnsi="Times New Roman"/>
                <w:sz w:val="24"/>
              </w:rPr>
              <w:t>1.</w:t>
            </w:r>
            <w:r w:rsidRPr="00DA7625">
              <w:rPr>
                <w:rStyle w:val="InstructionsTabelleberschrift"/>
                <w:rFonts w:ascii="Times New Roman" w:hAnsi="Times New Roman"/>
                <w:sz w:val="24"/>
              </w:rPr>
              <w:tab/>
              <w:t>Kiigazítások összesen</w:t>
            </w:r>
          </w:p>
          <w:p w14:paraId="1FC1B190" w14:textId="40963797" w:rsidR="001B1411" w:rsidRPr="00DA7625" w:rsidRDefault="002648B0">
            <w:pPr>
              <w:spacing w:before="0"/>
              <w:rPr>
                <w:rStyle w:val="FormatvorlageInstructionsTabelleText"/>
                <w:rFonts w:ascii="Times New Roman" w:hAnsi="Times New Roman"/>
                <w:bCs w:val="0"/>
                <w:sz w:val="24"/>
              </w:rPr>
            </w:pPr>
            <w:r w:rsidRPr="00DA7625">
              <w:rPr>
                <w:rStyle w:val="InstructionsTabelleText"/>
                <w:rFonts w:ascii="Times New Roman" w:hAnsi="Times New Roman"/>
                <w:sz w:val="24"/>
              </w:rPr>
              <w:t>Ez a sor az átmeneti kiigazítások általános hatását mutatja az egyes tőketípusokon belül, valamint az említett kiigazításokból eredő, kockázattal súlyozott összegeket.</w:t>
            </w:r>
          </w:p>
        </w:tc>
      </w:tr>
      <w:tr w:rsidR="001B1411" w:rsidRPr="00DA7625" w14:paraId="365722CC" w14:textId="77777777" w:rsidTr="00672D2A">
        <w:tc>
          <w:tcPr>
            <w:tcW w:w="1012" w:type="dxa"/>
          </w:tcPr>
          <w:p w14:paraId="0CFAC343"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 xml:space="preserve">020 </w:t>
            </w:r>
          </w:p>
        </w:tc>
        <w:tc>
          <w:tcPr>
            <w:tcW w:w="7478" w:type="dxa"/>
          </w:tcPr>
          <w:p w14:paraId="0B219D5C" w14:textId="77777777" w:rsidR="001B1411" w:rsidRPr="00DA7625" w:rsidRDefault="002648B0">
            <w:pPr>
              <w:pStyle w:val="InstructionsText"/>
              <w:rPr>
                <w:rStyle w:val="InstructionsTabelleText"/>
                <w:rFonts w:ascii="Times New Roman" w:hAnsi="Times New Roman"/>
                <w:b/>
                <w:bCs/>
                <w:sz w:val="24"/>
                <w:u w:val="single"/>
              </w:rPr>
            </w:pPr>
            <w:r w:rsidRPr="00DA7625">
              <w:rPr>
                <w:rStyle w:val="InstructionsTabelleberschrift"/>
                <w:rFonts w:ascii="Times New Roman" w:hAnsi="Times New Roman"/>
                <w:sz w:val="24"/>
              </w:rPr>
              <w:t>1.1</w:t>
            </w:r>
            <w:r w:rsidRPr="00DA7625">
              <w:rPr>
                <w:rStyle w:val="InstructionsTabelleberschrift"/>
                <w:rFonts w:ascii="Times New Roman" w:hAnsi="Times New Roman"/>
                <w:sz w:val="24"/>
              </w:rPr>
              <w:tab/>
              <w:t>Szerzett jogok alapján figyelembe vett tőkeinstrumentumok</w:t>
            </w:r>
          </w:p>
          <w:p w14:paraId="239E98DB" w14:textId="5DDF77DE" w:rsidR="001B1411" w:rsidRPr="00DA7625" w:rsidRDefault="002648B0">
            <w:pPr>
              <w:spacing w:before="0"/>
              <w:rPr>
                <w:rStyle w:val="InstructionsTabelleText"/>
                <w:rFonts w:ascii="Times New Roman" w:hAnsi="Times New Roman"/>
                <w:sz w:val="24"/>
              </w:rPr>
            </w:pPr>
            <w:r w:rsidRPr="00DA7625">
              <w:rPr>
                <w:rStyle w:val="InstructionsTabelleText"/>
                <w:rFonts w:ascii="Times New Roman" w:hAnsi="Times New Roman"/>
                <w:sz w:val="24"/>
              </w:rPr>
              <w:t>A CRR 483–491. cikke</w:t>
            </w:r>
          </w:p>
          <w:p w14:paraId="165AD983" w14:textId="77777777" w:rsidR="001B1411" w:rsidRPr="00DA7625" w:rsidRDefault="002648B0">
            <w:pPr>
              <w:spacing w:before="0"/>
              <w:rPr>
                <w:rStyle w:val="FormatvorlageInstructionsTabelleText"/>
                <w:rFonts w:ascii="Times New Roman" w:hAnsi="Times New Roman"/>
                <w:sz w:val="24"/>
              </w:rPr>
            </w:pPr>
            <w:r w:rsidRPr="00DA7625">
              <w:rPr>
                <w:rStyle w:val="InstructionsTabelleText"/>
                <w:rFonts w:ascii="Times New Roman" w:hAnsi="Times New Roman"/>
                <w:sz w:val="24"/>
              </w:rPr>
              <w:t>Ez a sor az ideiglenesen a szerzett jogokkal kapcsolatos rendelkezések hatálya alá tartozó instrumentumok általános hatását mutatja az egyes tőketípusokon belül.</w:t>
            </w:r>
          </w:p>
        </w:tc>
      </w:tr>
      <w:tr w:rsidR="001B1411" w:rsidRPr="00DA7625" w14:paraId="6F18E2C8" w14:textId="77777777" w:rsidTr="00672D2A">
        <w:tc>
          <w:tcPr>
            <w:tcW w:w="1012" w:type="dxa"/>
          </w:tcPr>
          <w:p w14:paraId="47DECC64"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030</w:t>
            </w:r>
          </w:p>
        </w:tc>
        <w:tc>
          <w:tcPr>
            <w:tcW w:w="7478" w:type="dxa"/>
          </w:tcPr>
          <w:p w14:paraId="495401D4" w14:textId="77777777" w:rsidR="001B1411" w:rsidRPr="00DA7625" w:rsidRDefault="002648B0">
            <w:pPr>
              <w:pStyle w:val="InstructionsText"/>
              <w:rPr>
                <w:rStyle w:val="InstructionsTabelleText"/>
                <w:rFonts w:ascii="Times New Roman" w:hAnsi="Times New Roman"/>
                <w:b/>
                <w:sz w:val="24"/>
                <w:u w:val="single"/>
              </w:rPr>
            </w:pPr>
            <w:r w:rsidRPr="00DA7625">
              <w:rPr>
                <w:rStyle w:val="InstructionsTabelleberschrift"/>
                <w:rFonts w:ascii="Times New Roman" w:hAnsi="Times New Roman"/>
                <w:sz w:val="24"/>
              </w:rPr>
              <w:t>1.1.1</w:t>
            </w:r>
            <w:r w:rsidRPr="00DA7625">
              <w:rPr>
                <w:rStyle w:val="InstructionsTabelleberschrift"/>
                <w:rFonts w:ascii="Times New Roman" w:hAnsi="Times New Roman"/>
                <w:sz w:val="24"/>
              </w:rPr>
              <w:tab/>
              <w:t>Szerzett jogok alapján figyelembe vett tőkeinstrumentumok: állami támogatásnak minősülő instrumentumok</w:t>
            </w:r>
          </w:p>
          <w:p w14:paraId="36D6F244" w14:textId="77777777" w:rsidR="001B1411" w:rsidRPr="00DA7625" w:rsidRDefault="002648B0">
            <w:pPr>
              <w:spacing w:before="0"/>
              <w:rPr>
                <w:rStyle w:val="InstructionsTabelleberschrift"/>
                <w:rFonts w:ascii="Times New Roman" w:hAnsi="Times New Roman"/>
                <w:sz w:val="24"/>
              </w:rPr>
            </w:pPr>
            <w:r w:rsidRPr="00DA7625">
              <w:rPr>
                <w:rStyle w:val="InstructionsTabelleText"/>
                <w:rFonts w:ascii="Times New Roman" w:hAnsi="Times New Roman"/>
                <w:sz w:val="24"/>
              </w:rPr>
              <w:t>A CRR 483. cikke</w:t>
            </w:r>
          </w:p>
        </w:tc>
      </w:tr>
      <w:tr w:rsidR="001B1411" w:rsidRPr="00DA7625" w14:paraId="0856E89F" w14:textId="77777777" w:rsidTr="00672D2A">
        <w:tc>
          <w:tcPr>
            <w:tcW w:w="1012" w:type="dxa"/>
          </w:tcPr>
          <w:p w14:paraId="28C108D2"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040</w:t>
            </w:r>
          </w:p>
        </w:tc>
        <w:tc>
          <w:tcPr>
            <w:tcW w:w="7478" w:type="dxa"/>
          </w:tcPr>
          <w:p w14:paraId="107C2500" w14:textId="77777777" w:rsidR="001B1411" w:rsidRPr="00DA7625" w:rsidRDefault="002648B0">
            <w:pPr>
              <w:pStyle w:val="InstructionsText"/>
              <w:rPr>
                <w:rStyle w:val="InstructionsTabelleText"/>
                <w:rFonts w:ascii="Times New Roman" w:hAnsi="Times New Roman"/>
                <w:b/>
                <w:sz w:val="24"/>
                <w:u w:val="single"/>
              </w:rPr>
            </w:pPr>
            <w:r w:rsidRPr="00DA7625">
              <w:rPr>
                <w:rStyle w:val="InstructionsTabelleberschrift"/>
                <w:rFonts w:ascii="Times New Roman" w:hAnsi="Times New Roman"/>
                <w:sz w:val="24"/>
              </w:rPr>
              <w:t>1.1.1.1</w:t>
            </w:r>
            <w:r w:rsidRPr="00DA7625">
              <w:rPr>
                <w:rStyle w:val="InstructionsTabelleberschrift"/>
                <w:rFonts w:ascii="Times New Roman" w:hAnsi="Times New Roman"/>
                <w:sz w:val="24"/>
              </w:rPr>
              <w:tab/>
              <w:t>A 2006/48/EK irányelv értelmében szavatolótőkének minősülő instrumentumok</w:t>
            </w:r>
          </w:p>
          <w:p w14:paraId="05A43A22" w14:textId="3E4A0182" w:rsidR="001B1411" w:rsidRPr="00DA7625" w:rsidRDefault="00167619">
            <w:pPr>
              <w:pStyle w:val="InstructionsText"/>
              <w:rPr>
                <w:bCs/>
              </w:rPr>
            </w:pPr>
            <w:r w:rsidRPr="00DA7625">
              <w:rPr>
                <w:rStyle w:val="InstructionsTabelleText"/>
                <w:rFonts w:ascii="Times New Roman" w:hAnsi="Times New Roman"/>
                <w:sz w:val="24"/>
              </w:rPr>
              <w:t>A CRR 483. cikkének (1), (2), (4) és (6) bekezdése</w:t>
            </w:r>
          </w:p>
        </w:tc>
      </w:tr>
      <w:tr w:rsidR="001B1411" w:rsidRPr="00DA7625" w14:paraId="2178D9EA" w14:textId="77777777" w:rsidTr="00672D2A">
        <w:tc>
          <w:tcPr>
            <w:tcW w:w="1012" w:type="dxa"/>
          </w:tcPr>
          <w:p w14:paraId="0926CD11"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050</w:t>
            </w:r>
          </w:p>
        </w:tc>
        <w:tc>
          <w:tcPr>
            <w:tcW w:w="7478" w:type="dxa"/>
          </w:tcPr>
          <w:p w14:paraId="3095CC95" w14:textId="77777777" w:rsidR="001B1411" w:rsidRPr="00DA7625" w:rsidRDefault="002648B0">
            <w:pPr>
              <w:pStyle w:val="InstructionsText"/>
              <w:rPr>
                <w:rStyle w:val="InstructionsTabelleText"/>
                <w:rFonts w:ascii="Times New Roman" w:hAnsi="Times New Roman"/>
                <w:b/>
                <w:bCs/>
                <w:sz w:val="24"/>
                <w:u w:val="single"/>
              </w:rPr>
            </w:pPr>
            <w:r w:rsidRPr="00DA7625">
              <w:rPr>
                <w:rStyle w:val="InstructionsTabelleberschrift"/>
                <w:rFonts w:ascii="Times New Roman" w:hAnsi="Times New Roman"/>
                <w:sz w:val="24"/>
              </w:rPr>
              <w:t>1.1.1.2</w:t>
            </w:r>
            <w:r w:rsidRPr="00DA7625">
              <w:rPr>
                <w:rStyle w:val="InstructionsTabelleberschrift"/>
                <w:rFonts w:ascii="Times New Roman" w:hAnsi="Times New Roman"/>
                <w:sz w:val="24"/>
              </w:rPr>
              <w:tab/>
              <w:t>Gazdasági kiigazítási programban részt vevő EU-tagállamban bejegyzett intézmények által a program keretében kibocsátott instrumentumok</w:t>
            </w:r>
          </w:p>
          <w:p w14:paraId="7DD64DF0" w14:textId="54882EB4" w:rsidR="001B1411" w:rsidRPr="00DA7625" w:rsidRDefault="00167619">
            <w:pPr>
              <w:spacing w:before="0"/>
              <w:rPr>
                <w:rFonts w:ascii="Times New Roman" w:hAnsi="Times New Roman"/>
                <w:b/>
                <w:bCs/>
                <w:sz w:val="24"/>
              </w:rPr>
            </w:pPr>
            <w:r w:rsidRPr="00DA7625">
              <w:rPr>
                <w:rStyle w:val="InstructionsTabelleText"/>
                <w:rFonts w:ascii="Times New Roman" w:hAnsi="Times New Roman"/>
                <w:sz w:val="24"/>
              </w:rPr>
              <w:t>A CRR 483. cikkének (1), (3), (5), (7) és (8) bekezdése</w:t>
            </w:r>
          </w:p>
        </w:tc>
      </w:tr>
      <w:tr w:rsidR="001B1411" w:rsidRPr="00DA7625" w14:paraId="7A18B9EA" w14:textId="77777777" w:rsidTr="00672D2A">
        <w:tc>
          <w:tcPr>
            <w:tcW w:w="1012" w:type="dxa"/>
          </w:tcPr>
          <w:p w14:paraId="344CA4E0"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060</w:t>
            </w:r>
          </w:p>
        </w:tc>
        <w:tc>
          <w:tcPr>
            <w:tcW w:w="7478" w:type="dxa"/>
          </w:tcPr>
          <w:p w14:paraId="7B5DE80F" w14:textId="77777777" w:rsidR="001B1411" w:rsidRPr="00DA7625" w:rsidRDefault="002648B0">
            <w:pPr>
              <w:spacing w:before="0"/>
              <w:rPr>
                <w:rStyle w:val="InstructionsTabelleText"/>
                <w:rFonts w:ascii="Times New Roman" w:hAnsi="Times New Roman"/>
                <w:b/>
                <w:bCs/>
                <w:sz w:val="24"/>
                <w:u w:val="single"/>
              </w:rPr>
            </w:pPr>
            <w:r w:rsidRPr="00DA7625">
              <w:rPr>
                <w:rStyle w:val="InstructionsTabelleberschrift"/>
                <w:rFonts w:ascii="Times New Roman" w:hAnsi="Times New Roman"/>
                <w:sz w:val="24"/>
              </w:rPr>
              <w:t>1.1.2</w:t>
            </w:r>
            <w:r w:rsidRPr="00DA7625">
              <w:rPr>
                <w:rStyle w:val="InstructionsTabelleberschrift"/>
                <w:rFonts w:ascii="Times New Roman" w:hAnsi="Times New Roman"/>
                <w:sz w:val="24"/>
              </w:rPr>
              <w:tab/>
              <w:t>Állami támogatásnak nem minősülő instrumentumok</w:t>
            </w:r>
          </w:p>
          <w:p w14:paraId="5C9C7A9D" w14:textId="00B06800" w:rsidR="001B1411" w:rsidRPr="00DA7625" w:rsidRDefault="002648B0">
            <w:pPr>
              <w:spacing w:before="0"/>
              <w:rPr>
                <w:rFonts w:ascii="Times New Roman" w:hAnsi="Times New Roman"/>
                <w:b/>
                <w:bCs/>
                <w:sz w:val="24"/>
              </w:rPr>
            </w:pPr>
            <w:r w:rsidRPr="00DA7625">
              <w:rPr>
                <w:rStyle w:val="InstructionsTabelleText"/>
                <w:rFonts w:ascii="Times New Roman" w:hAnsi="Times New Roman"/>
                <w:sz w:val="24"/>
              </w:rPr>
              <w:t>A feltüntetendő értékeket a CA5.2. tábla 060-as oszlopából kell átvezetni.</w:t>
            </w:r>
          </w:p>
        </w:tc>
      </w:tr>
      <w:tr w:rsidR="001B1411" w:rsidRPr="00DA7625" w14:paraId="13629F97" w14:textId="77777777" w:rsidTr="00672D2A">
        <w:tc>
          <w:tcPr>
            <w:tcW w:w="1012" w:type="dxa"/>
          </w:tcPr>
          <w:p w14:paraId="21A140E4"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070</w:t>
            </w:r>
          </w:p>
        </w:tc>
        <w:tc>
          <w:tcPr>
            <w:tcW w:w="7478" w:type="dxa"/>
          </w:tcPr>
          <w:p w14:paraId="42434079" w14:textId="77777777" w:rsidR="001B1411" w:rsidRPr="00DA7625" w:rsidRDefault="002648B0">
            <w:pPr>
              <w:pStyle w:val="InstructionsText"/>
              <w:rPr>
                <w:rStyle w:val="InstructionsTabelleText"/>
                <w:rFonts w:ascii="Times New Roman" w:hAnsi="Times New Roman"/>
                <w:b/>
                <w:sz w:val="24"/>
                <w:u w:val="single"/>
              </w:rPr>
            </w:pPr>
            <w:r w:rsidRPr="00DA7625">
              <w:rPr>
                <w:rStyle w:val="InstructionsTabelleberschrift"/>
                <w:rFonts w:ascii="Times New Roman" w:hAnsi="Times New Roman"/>
                <w:sz w:val="24"/>
              </w:rPr>
              <w:t>1.2</w:t>
            </w:r>
            <w:r w:rsidRPr="00DA7625">
              <w:rPr>
                <w:rStyle w:val="InstructionsTabelleberschrift"/>
                <w:rFonts w:ascii="Times New Roman" w:hAnsi="Times New Roman"/>
                <w:sz w:val="24"/>
              </w:rPr>
              <w:tab/>
              <w:t>Kisebbségi részesedések és azok megfelelői</w:t>
            </w:r>
          </w:p>
          <w:p w14:paraId="290D2D09" w14:textId="0A9273FD" w:rsidR="001B1411" w:rsidRPr="00DA7625" w:rsidRDefault="002648B0">
            <w:pPr>
              <w:spacing w:before="0"/>
              <w:rPr>
                <w:rStyle w:val="InstructionsTabelleText"/>
                <w:rFonts w:ascii="Times New Roman" w:hAnsi="Times New Roman"/>
                <w:sz w:val="24"/>
              </w:rPr>
            </w:pPr>
            <w:r w:rsidRPr="00DA7625">
              <w:rPr>
                <w:rStyle w:val="InstructionsTabelleText"/>
                <w:rFonts w:ascii="Times New Roman" w:hAnsi="Times New Roman"/>
                <w:sz w:val="24"/>
              </w:rPr>
              <w:t>A CRR 479. és 480. cikke</w:t>
            </w:r>
          </w:p>
          <w:p w14:paraId="79858C41" w14:textId="77777777" w:rsidR="001B1411" w:rsidRPr="00DA7625" w:rsidRDefault="00FC1030">
            <w:pPr>
              <w:spacing w:before="0"/>
              <w:rPr>
                <w:rStyle w:val="InstructionsTabelleText"/>
                <w:rFonts w:ascii="Times New Roman" w:hAnsi="Times New Roman"/>
                <w:sz w:val="24"/>
              </w:rPr>
            </w:pPr>
            <w:r w:rsidRPr="00DA7625">
              <w:rPr>
                <w:rStyle w:val="InstructionsTabelleText"/>
                <w:rFonts w:ascii="Times New Roman" w:hAnsi="Times New Roman"/>
                <w:sz w:val="24"/>
              </w:rPr>
              <w:t xml:space="preserve">Ez a sor az átmeneti rendelkezések hatásait mutatja a CET1 tőkeként figyelembe vehető kisebbségi részesedésekben; a konszolidált AT1 tőke részét </w:t>
            </w:r>
            <w:r w:rsidRPr="00DA7625">
              <w:rPr>
                <w:rStyle w:val="InstructionsTabelleText"/>
                <w:rFonts w:ascii="Times New Roman" w:hAnsi="Times New Roman"/>
                <w:sz w:val="24"/>
              </w:rPr>
              <w:lastRenderedPageBreak/>
              <w:t>képező, a T1 tőkébe beszámítható instrumentumokban; valamint a konszolidált T2 tőkeként figyelembe vehető, a szavatolótőkébe beszámítható tőkeelemekben.</w:t>
            </w:r>
          </w:p>
        </w:tc>
      </w:tr>
      <w:tr w:rsidR="001B1411" w:rsidRPr="00DA7625" w14:paraId="1C69F74B" w14:textId="77777777" w:rsidTr="00672D2A">
        <w:tc>
          <w:tcPr>
            <w:tcW w:w="1012" w:type="dxa"/>
          </w:tcPr>
          <w:p w14:paraId="49910EA4"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lastRenderedPageBreak/>
              <w:t>080</w:t>
            </w:r>
          </w:p>
        </w:tc>
        <w:tc>
          <w:tcPr>
            <w:tcW w:w="7478" w:type="dxa"/>
          </w:tcPr>
          <w:p w14:paraId="5CEB788D" w14:textId="77777777" w:rsidR="001B1411" w:rsidRPr="00DA7625" w:rsidRDefault="002648B0">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1.2.1</w:t>
            </w:r>
            <w:r w:rsidRPr="00DA7625">
              <w:rPr>
                <w:rStyle w:val="InstructionsTabelleberschrift"/>
                <w:rFonts w:ascii="Times New Roman" w:hAnsi="Times New Roman"/>
                <w:sz w:val="24"/>
              </w:rPr>
              <w:tab/>
              <w:t>Kisebbségi részesedésnek nem minősülő tőkeinstrumentumok és egyéb tőkeelemek</w:t>
            </w:r>
          </w:p>
          <w:p w14:paraId="507CA44B" w14:textId="2F7855ED" w:rsidR="001B1411" w:rsidRPr="00DA7625" w:rsidRDefault="002648B0">
            <w:pPr>
              <w:pStyle w:val="InstructionsText"/>
              <w:rPr>
                <w:rStyle w:val="InstructionsTabelleText"/>
                <w:rFonts w:ascii="Times New Roman" w:hAnsi="Times New Roman"/>
                <w:bCs/>
                <w:sz w:val="24"/>
              </w:rPr>
            </w:pPr>
            <w:r w:rsidRPr="00DA7625">
              <w:rPr>
                <w:rStyle w:val="InstructionsTabelleText"/>
                <w:rFonts w:ascii="Times New Roman" w:hAnsi="Times New Roman"/>
                <w:sz w:val="24"/>
              </w:rPr>
              <w:t>A CRR 479. cikke</w:t>
            </w:r>
          </w:p>
          <w:p w14:paraId="58B7C0BD" w14:textId="77777777" w:rsidR="001B1411" w:rsidRPr="00DA7625" w:rsidRDefault="002648B0">
            <w:pPr>
              <w:pStyle w:val="InstructionsText"/>
              <w:rPr>
                <w:rStyle w:val="InstructionsTabelleText"/>
                <w:rFonts w:ascii="Times New Roman" w:hAnsi="Times New Roman"/>
                <w:bCs/>
                <w:sz w:val="24"/>
              </w:rPr>
            </w:pPr>
            <w:r w:rsidRPr="00DA7625">
              <w:rPr>
                <w:rStyle w:val="InstructionsTabelleText"/>
                <w:rFonts w:ascii="Times New Roman" w:hAnsi="Times New Roman"/>
                <w:sz w:val="24"/>
              </w:rPr>
              <w:t xml:space="preserve">A sor 060-as oszlopában feltüntetendő érték a korábbi szabályozás szerint konszolidált tartaléknak minősülő összeg. </w:t>
            </w:r>
          </w:p>
        </w:tc>
      </w:tr>
      <w:tr w:rsidR="001B1411" w:rsidRPr="00DA7625" w14:paraId="6D9F8A1B" w14:textId="77777777" w:rsidTr="00672D2A">
        <w:tc>
          <w:tcPr>
            <w:tcW w:w="1012" w:type="dxa"/>
          </w:tcPr>
          <w:p w14:paraId="2840A98D"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090</w:t>
            </w:r>
          </w:p>
        </w:tc>
        <w:tc>
          <w:tcPr>
            <w:tcW w:w="7478" w:type="dxa"/>
          </w:tcPr>
          <w:p w14:paraId="53B54DA1" w14:textId="77777777" w:rsidR="001B1411" w:rsidRPr="00DA7625" w:rsidRDefault="002648B0">
            <w:pPr>
              <w:pStyle w:val="InstructionsText"/>
              <w:rPr>
                <w:rStyle w:val="InstructionsTabelleText"/>
                <w:rFonts w:ascii="Times New Roman" w:hAnsi="Times New Roman"/>
                <w:b/>
                <w:bCs/>
                <w:sz w:val="24"/>
                <w:u w:val="single"/>
              </w:rPr>
            </w:pPr>
            <w:r w:rsidRPr="00DA7625">
              <w:rPr>
                <w:rStyle w:val="InstructionsTabelleberschrift"/>
                <w:rFonts w:ascii="Times New Roman" w:hAnsi="Times New Roman"/>
                <w:sz w:val="24"/>
              </w:rPr>
              <w:t>1.2.2</w:t>
            </w:r>
            <w:r w:rsidRPr="00DA7625">
              <w:rPr>
                <w:rStyle w:val="InstructionsTabelleberschrift"/>
                <w:rFonts w:ascii="Times New Roman" w:hAnsi="Times New Roman"/>
                <w:sz w:val="24"/>
              </w:rPr>
              <w:tab/>
              <w:t>A kisebbségi részesedések átmeneti figyelembevétele a konszolidált szavatolótőkében</w:t>
            </w:r>
          </w:p>
          <w:p w14:paraId="6D6FF74C" w14:textId="36854019"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84. és 480. cikke</w:t>
            </w:r>
          </w:p>
          <w:p w14:paraId="7B6F0854" w14:textId="77777777" w:rsidR="001B1411" w:rsidRPr="00DA7625" w:rsidRDefault="002648B0">
            <w:pPr>
              <w:pStyle w:val="InstructionsText"/>
              <w:rPr>
                <w:rStyle w:val="InstructionsTabelleberschrift"/>
                <w:rFonts w:ascii="Times New Roman" w:hAnsi="Times New Roman"/>
                <w:b w:val="0"/>
                <w:bCs w:val="0"/>
                <w:sz w:val="24"/>
                <w:u w:val="none"/>
              </w:rPr>
            </w:pPr>
            <w:r w:rsidRPr="00DA7625">
              <w:rPr>
                <w:rStyle w:val="InstructionsTabelleText"/>
                <w:rFonts w:ascii="Times New Roman" w:hAnsi="Times New Roman"/>
                <w:sz w:val="24"/>
              </w:rPr>
              <w:t>A sor 060-as oszlopában feltüntetendő érték a figyelembe vehető összeg az átmeneti rendelkezések nélkül.</w:t>
            </w:r>
          </w:p>
        </w:tc>
      </w:tr>
      <w:tr w:rsidR="001B1411" w:rsidRPr="00DA7625" w14:paraId="5AC846B3" w14:textId="77777777" w:rsidTr="00672D2A">
        <w:tc>
          <w:tcPr>
            <w:tcW w:w="1012" w:type="dxa"/>
          </w:tcPr>
          <w:p w14:paraId="1C8216EF"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091</w:t>
            </w:r>
          </w:p>
        </w:tc>
        <w:tc>
          <w:tcPr>
            <w:tcW w:w="7478" w:type="dxa"/>
          </w:tcPr>
          <w:p w14:paraId="45B6A2AB" w14:textId="77777777" w:rsidR="001B1411" w:rsidRPr="00DA7625" w:rsidRDefault="002648B0">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1.2.3</w:t>
            </w:r>
            <w:r w:rsidRPr="00DA7625">
              <w:rPr>
                <w:rStyle w:val="InstructionsTabelleberschrift"/>
                <w:rFonts w:ascii="Times New Roman" w:hAnsi="Times New Roman"/>
                <w:sz w:val="24"/>
              </w:rPr>
              <w:tab/>
              <w:t>Az AT1 tőkébe beszámítható elemek átmeneti figyelembevétele a konszolidált szavatolótőkében</w:t>
            </w:r>
          </w:p>
          <w:p w14:paraId="0A8B5DC8" w14:textId="30F8DCDB"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85. és 480. cikke</w:t>
            </w:r>
          </w:p>
          <w:p w14:paraId="1F99651A"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sor 060-as oszlopában feltüntetendő érték a figyelembe vehető összeg az átmeneti rendelkezések nélkül.</w:t>
            </w:r>
          </w:p>
        </w:tc>
      </w:tr>
      <w:tr w:rsidR="001B1411" w:rsidRPr="00DA7625" w14:paraId="004C7784" w14:textId="77777777" w:rsidTr="00672D2A">
        <w:tc>
          <w:tcPr>
            <w:tcW w:w="1012" w:type="dxa"/>
          </w:tcPr>
          <w:p w14:paraId="504D19F7"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092</w:t>
            </w:r>
          </w:p>
        </w:tc>
        <w:tc>
          <w:tcPr>
            <w:tcW w:w="7478" w:type="dxa"/>
          </w:tcPr>
          <w:p w14:paraId="38EA09DF" w14:textId="77777777" w:rsidR="001B1411" w:rsidRPr="00DA7625" w:rsidRDefault="002648B0">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1.2.4</w:t>
            </w:r>
            <w:r w:rsidRPr="00DA7625">
              <w:rPr>
                <w:rStyle w:val="InstructionsTabelleberschrift"/>
                <w:rFonts w:ascii="Times New Roman" w:hAnsi="Times New Roman"/>
                <w:sz w:val="24"/>
              </w:rPr>
              <w:tab/>
              <w:t>A T2 tőkébe beszámítható elemek átmeneti figyelembevétele a konszolidált szavatolótőkében</w:t>
            </w:r>
          </w:p>
          <w:p w14:paraId="0589947F" w14:textId="563D9094"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87. és 480. cikke</w:t>
            </w:r>
          </w:p>
          <w:p w14:paraId="0A126F82"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sor 060-as oszlopában feltüntetendő érték a figyelembe vehető összeg az átmeneti rendelkezések nélkül.</w:t>
            </w:r>
          </w:p>
        </w:tc>
      </w:tr>
      <w:tr w:rsidR="001B1411" w:rsidRPr="00DA7625" w14:paraId="52B335DF" w14:textId="77777777" w:rsidTr="00672D2A">
        <w:tc>
          <w:tcPr>
            <w:tcW w:w="1012" w:type="dxa"/>
          </w:tcPr>
          <w:p w14:paraId="1091B9A7"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100</w:t>
            </w:r>
          </w:p>
        </w:tc>
        <w:tc>
          <w:tcPr>
            <w:tcW w:w="7478" w:type="dxa"/>
          </w:tcPr>
          <w:p w14:paraId="418C0613" w14:textId="77777777" w:rsidR="001B1411" w:rsidRPr="00DA7625" w:rsidRDefault="002648B0">
            <w:pPr>
              <w:pStyle w:val="InstructionsText"/>
              <w:rPr>
                <w:rStyle w:val="InstructionsTabelleText"/>
                <w:rFonts w:ascii="Times New Roman" w:hAnsi="Times New Roman"/>
                <w:b/>
                <w:bCs/>
                <w:sz w:val="24"/>
                <w:u w:val="single"/>
              </w:rPr>
            </w:pPr>
            <w:r w:rsidRPr="00DA7625">
              <w:rPr>
                <w:rStyle w:val="InstructionsTabelleberschrift"/>
                <w:rFonts w:ascii="Times New Roman" w:hAnsi="Times New Roman"/>
                <w:sz w:val="24"/>
              </w:rPr>
              <w:t>1.3</w:t>
            </w:r>
            <w:r w:rsidRPr="00DA7625">
              <w:rPr>
                <w:rStyle w:val="InstructionsTabelleberschrift"/>
                <w:rFonts w:ascii="Times New Roman" w:hAnsi="Times New Roman"/>
                <w:sz w:val="24"/>
              </w:rPr>
              <w:tab/>
              <w:t>Egyéb átmeneti kiigazítások</w:t>
            </w:r>
          </w:p>
          <w:p w14:paraId="33D1D6E8" w14:textId="12E06180" w:rsidR="001B1411" w:rsidRPr="00DA7625" w:rsidRDefault="002648B0">
            <w:pPr>
              <w:spacing w:before="0"/>
              <w:rPr>
                <w:rStyle w:val="InstructionsTabelleText"/>
                <w:rFonts w:ascii="Times New Roman" w:hAnsi="Times New Roman"/>
                <w:sz w:val="24"/>
              </w:rPr>
            </w:pPr>
            <w:r w:rsidRPr="00DA7625">
              <w:rPr>
                <w:rStyle w:val="InstructionsTabelleText"/>
                <w:rFonts w:ascii="Times New Roman" w:hAnsi="Times New Roman"/>
                <w:sz w:val="24"/>
              </w:rPr>
              <w:t>A CRR 467–478., valamint 481. cikke</w:t>
            </w:r>
          </w:p>
          <w:p w14:paraId="142E63B1" w14:textId="77777777" w:rsidR="001B1411" w:rsidRPr="00DA7625" w:rsidRDefault="002648B0">
            <w:pPr>
              <w:spacing w:before="0"/>
              <w:rPr>
                <w:rStyle w:val="InstructionsTabelleText"/>
                <w:rFonts w:ascii="Times New Roman" w:hAnsi="Times New Roman"/>
                <w:sz w:val="24"/>
              </w:rPr>
            </w:pPr>
            <w:r w:rsidRPr="00DA7625">
              <w:rPr>
                <w:rStyle w:val="InstructionsTabelleText"/>
                <w:rFonts w:ascii="Times New Roman" w:hAnsi="Times New Roman"/>
                <w:sz w:val="24"/>
              </w:rPr>
              <w:t>Ez a sor az átmeneti kiigazítások általános hatását mutatja az egyes tőketípusokon belüli levonásokban, a nem realizált nyereségben és veszteségben, valamint a további szűrőkben és levonásokban, továbbá a megadott kiigazításokból eredő, kockázattal súlyozott összegeket.</w:t>
            </w:r>
          </w:p>
        </w:tc>
      </w:tr>
      <w:tr w:rsidR="001B1411" w:rsidRPr="00DA7625" w14:paraId="6E7E06DF" w14:textId="77777777" w:rsidTr="00672D2A">
        <w:tc>
          <w:tcPr>
            <w:tcW w:w="1012" w:type="dxa"/>
          </w:tcPr>
          <w:p w14:paraId="40268B2C"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110</w:t>
            </w:r>
          </w:p>
        </w:tc>
        <w:tc>
          <w:tcPr>
            <w:tcW w:w="7478" w:type="dxa"/>
          </w:tcPr>
          <w:p w14:paraId="21B5E4B0" w14:textId="77777777" w:rsidR="001B1411" w:rsidRPr="00DA7625" w:rsidRDefault="002648B0">
            <w:pPr>
              <w:pStyle w:val="InstructionsText"/>
              <w:rPr>
                <w:rStyle w:val="InstructionsTabelleText"/>
                <w:rFonts w:ascii="Times New Roman" w:hAnsi="Times New Roman"/>
                <w:b/>
                <w:sz w:val="24"/>
                <w:u w:val="single"/>
              </w:rPr>
            </w:pPr>
            <w:r w:rsidRPr="00DA7625">
              <w:rPr>
                <w:rStyle w:val="InstructionsTabelleberschrift"/>
                <w:rFonts w:ascii="Times New Roman" w:hAnsi="Times New Roman"/>
                <w:sz w:val="24"/>
              </w:rPr>
              <w:t>1.3.1</w:t>
            </w:r>
            <w:r w:rsidRPr="00DA7625">
              <w:rPr>
                <w:rStyle w:val="InstructionsTabelleberschrift"/>
                <w:rFonts w:ascii="Times New Roman" w:hAnsi="Times New Roman"/>
                <w:sz w:val="24"/>
              </w:rPr>
              <w:tab/>
              <w:t>Nem realizált nyereség és veszteség</w:t>
            </w:r>
          </w:p>
          <w:p w14:paraId="5A12F546" w14:textId="450915E9" w:rsidR="001B1411" w:rsidRPr="00DA7625" w:rsidRDefault="002648B0">
            <w:pPr>
              <w:spacing w:before="0"/>
              <w:rPr>
                <w:rStyle w:val="InstructionsTabelleText"/>
                <w:rFonts w:ascii="Times New Roman" w:hAnsi="Times New Roman"/>
                <w:sz w:val="24"/>
              </w:rPr>
            </w:pPr>
            <w:r w:rsidRPr="00DA7625">
              <w:rPr>
                <w:rStyle w:val="InstructionsTabelleText"/>
                <w:rFonts w:ascii="Times New Roman" w:hAnsi="Times New Roman"/>
                <w:sz w:val="24"/>
              </w:rPr>
              <w:t>A CRR 467. és 468. cikke</w:t>
            </w:r>
          </w:p>
          <w:p w14:paraId="24586742" w14:textId="089A5E25" w:rsidR="001B1411" w:rsidRPr="00DA7625" w:rsidRDefault="002648B0">
            <w:pPr>
              <w:spacing w:before="0"/>
              <w:rPr>
                <w:rStyle w:val="InstructionsTabelleText"/>
                <w:rFonts w:ascii="Times New Roman" w:hAnsi="Times New Roman"/>
                <w:sz w:val="24"/>
              </w:rPr>
            </w:pPr>
            <w:r w:rsidRPr="00DA7625">
              <w:rPr>
                <w:rStyle w:val="InstructionsTabelleText"/>
                <w:rFonts w:ascii="Times New Roman" w:hAnsi="Times New Roman"/>
                <w:sz w:val="24"/>
              </w:rPr>
              <w:t>Ez a sor a valós értéken értékelt nem realizált nyereségre és veszteségre vonatkozó átmeneti rendelkezések általános hatását mutatja.</w:t>
            </w:r>
          </w:p>
        </w:tc>
      </w:tr>
      <w:tr w:rsidR="001B1411" w:rsidRPr="00DA7625" w14:paraId="660BE7EE" w14:textId="77777777" w:rsidTr="00672D2A">
        <w:tc>
          <w:tcPr>
            <w:tcW w:w="1012" w:type="dxa"/>
          </w:tcPr>
          <w:p w14:paraId="73DA862E"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120</w:t>
            </w:r>
          </w:p>
        </w:tc>
        <w:tc>
          <w:tcPr>
            <w:tcW w:w="7478" w:type="dxa"/>
          </w:tcPr>
          <w:p w14:paraId="215A8594" w14:textId="77777777" w:rsidR="001B1411" w:rsidRPr="00DA7625" w:rsidRDefault="002648B0">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1.3.1.1</w:t>
            </w:r>
            <w:r w:rsidRPr="00DA7625">
              <w:rPr>
                <w:rStyle w:val="InstructionsTabelleberschrift"/>
                <w:rFonts w:ascii="Times New Roman" w:hAnsi="Times New Roman"/>
                <w:sz w:val="24"/>
              </w:rPr>
              <w:tab/>
              <w:t>Nem realizált nyereség</w:t>
            </w:r>
          </w:p>
          <w:p w14:paraId="28C343C7" w14:textId="251A6465"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468. cikkének (1) bekezdése</w:t>
            </w:r>
          </w:p>
        </w:tc>
      </w:tr>
      <w:tr w:rsidR="001B1411" w:rsidRPr="00DA7625" w14:paraId="0499E855" w14:textId="77777777" w:rsidTr="00672D2A">
        <w:tc>
          <w:tcPr>
            <w:tcW w:w="1012" w:type="dxa"/>
          </w:tcPr>
          <w:p w14:paraId="71CD8FF7"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130</w:t>
            </w:r>
          </w:p>
        </w:tc>
        <w:tc>
          <w:tcPr>
            <w:tcW w:w="7478" w:type="dxa"/>
          </w:tcPr>
          <w:p w14:paraId="7618F641" w14:textId="77777777" w:rsidR="001B1411" w:rsidRPr="00DA7625" w:rsidRDefault="002648B0">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1.3.1.2</w:t>
            </w:r>
            <w:r w:rsidRPr="00DA7625">
              <w:rPr>
                <w:rStyle w:val="InstructionsTabelleberschrift"/>
                <w:rFonts w:ascii="Times New Roman" w:hAnsi="Times New Roman"/>
                <w:sz w:val="24"/>
              </w:rPr>
              <w:tab/>
              <w:t>Nem realizált veszteség</w:t>
            </w:r>
          </w:p>
          <w:p w14:paraId="36AC21D0" w14:textId="008A3DF4"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467. cikkének (1) bekezdése</w:t>
            </w:r>
          </w:p>
        </w:tc>
      </w:tr>
      <w:tr w:rsidR="001B1411" w:rsidRPr="00DA7625" w14:paraId="7EC2F160" w14:textId="77777777" w:rsidTr="00672D2A">
        <w:tc>
          <w:tcPr>
            <w:tcW w:w="1012" w:type="dxa"/>
          </w:tcPr>
          <w:p w14:paraId="1F72A819" w14:textId="77777777" w:rsidR="001B1411" w:rsidRPr="00DA7625" w:rsidRDefault="00E06628">
            <w:pPr>
              <w:pStyle w:val="InstructionsText"/>
              <w:rPr>
                <w:rStyle w:val="InstructionsTabelleText"/>
                <w:rFonts w:ascii="Times New Roman" w:hAnsi="Times New Roman"/>
                <w:sz w:val="24"/>
              </w:rPr>
            </w:pPr>
            <w:r w:rsidRPr="00DA7625">
              <w:rPr>
                <w:rStyle w:val="InstructionsTabelleText"/>
                <w:rFonts w:ascii="Times New Roman" w:hAnsi="Times New Roman"/>
                <w:sz w:val="24"/>
              </w:rPr>
              <w:lastRenderedPageBreak/>
              <w:t>133</w:t>
            </w:r>
          </w:p>
        </w:tc>
        <w:tc>
          <w:tcPr>
            <w:tcW w:w="7478" w:type="dxa"/>
          </w:tcPr>
          <w:p w14:paraId="0CA788CC" w14:textId="77777777" w:rsidR="001B1411" w:rsidRPr="00DA7625" w:rsidRDefault="00E06628">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1.3.1.3</w:t>
            </w:r>
            <w:r w:rsidRPr="00DA7625">
              <w:rPr>
                <w:rStyle w:val="InstructionsTabelleberschrift"/>
                <w:rFonts w:ascii="Times New Roman" w:hAnsi="Times New Roman"/>
                <w:sz w:val="24"/>
              </w:rPr>
              <w:tab/>
              <w:t>Az EU által jóváhagyott IAS 39 szerint az „értékesíthető” kategóriába sorolt, központi kormányzattal szembeni kitettségek nem realizált nyeresége</w:t>
            </w:r>
          </w:p>
          <w:p w14:paraId="1237B90D" w14:textId="52776326" w:rsidR="001B1411" w:rsidRPr="00DA7625" w:rsidRDefault="00E06628">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CRR 468. cikke</w:t>
            </w:r>
          </w:p>
        </w:tc>
      </w:tr>
      <w:tr w:rsidR="001B1411" w:rsidRPr="00DA7625" w14:paraId="5200A156" w14:textId="77777777" w:rsidTr="00672D2A">
        <w:tc>
          <w:tcPr>
            <w:tcW w:w="1012" w:type="dxa"/>
          </w:tcPr>
          <w:p w14:paraId="17B2DEEC" w14:textId="77777777" w:rsidR="001B1411" w:rsidRPr="00DA7625" w:rsidRDefault="00E06628">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136</w:t>
            </w:r>
          </w:p>
        </w:tc>
        <w:tc>
          <w:tcPr>
            <w:tcW w:w="7478" w:type="dxa"/>
          </w:tcPr>
          <w:p w14:paraId="441EBEB4" w14:textId="77777777" w:rsidR="001B1411" w:rsidRPr="00DA7625" w:rsidRDefault="00E06628">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1.3.1.4</w:t>
            </w:r>
            <w:r w:rsidRPr="00DA7625">
              <w:rPr>
                <w:rStyle w:val="InstructionsTabelleberschrift"/>
                <w:rFonts w:ascii="Times New Roman" w:hAnsi="Times New Roman"/>
                <w:sz w:val="24"/>
              </w:rPr>
              <w:tab/>
              <w:t>A központi kormányzatokkal szembeni, az EU által jóváhagyott IAS 39 szerint „értékesíthető” kategóriába sorolt kitettségek nem realizált vesztesége</w:t>
            </w:r>
          </w:p>
          <w:p w14:paraId="6A86D75B" w14:textId="49239AC6" w:rsidR="001B1411" w:rsidRPr="00DA7625" w:rsidRDefault="00E06628">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CRR 467. cikke</w:t>
            </w:r>
          </w:p>
        </w:tc>
      </w:tr>
      <w:tr w:rsidR="001B1411" w:rsidRPr="00DA7625" w14:paraId="12DABBD7" w14:textId="77777777" w:rsidTr="00672D2A">
        <w:tc>
          <w:tcPr>
            <w:tcW w:w="1012" w:type="dxa"/>
          </w:tcPr>
          <w:p w14:paraId="7D3A53EE" w14:textId="77777777" w:rsidR="001B1411" w:rsidRPr="00DA7625" w:rsidRDefault="00E06628">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138</w:t>
            </w:r>
          </w:p>
        </w:tc>
        <w:tc>
          <w:tcPr>
            <w:tcW w:w="7478" w:type="dxa"/>
          </w:tcPr>
          <w:p w14:paraId="41B2BCAF" w14:textId="77777777" w:rsidR="001B1411" w:rsidRPr="00DA7625" w:rsidRDefault="00E06628">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1.3.1.5</w:t>
            </w:r>
            <w:r w:rsidRPr="00DA7625">
              <w:rPr>
                <w:rStyle w:val="InstructionsTabelleberschrift"/>
                <w:rFonts w:ascii="Times New Roman" w:hAnsi="Times New Roman"/>
                <w:sz w:val="24"/>
              </w:rPr>
              <w:tab/>
              <w:t>Származtatott ügyletekből eredő kötelezettségekhez kapcsolódó, az intézmény saját hitelkockázatából adódó valósérték-növekedés és -csökkenés</w:t>
            </w:r>
          </w:p>
          <w:p w14:paraId="00FD5CB8" w14:textId="75F5676E" w:rsidR="001B1411" w:rsidRPr="00DA7625" w:rsidRDefault="00E06628">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CRR 468. cikke</w:t>
            </w:r>
          </w:p>
        </w:tc>
      </w:tr>
      <w:tr w:rsidR="001B1411" w:rsidRPr="00DA7625" w14:paraId="4EA69FFA" w14:textId="77777777" w:rsidTr="00672D2A">
        <w:tc>
          <w:tcPr>
            <w:tcW w:w="1012" w:type="dxa"/>
          </w:tcPr>
          <w:p w14:paraId="6C64D509"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140</w:t>
            </w:r>
          </w:p>
        </w:tc>
        <w:tc>
          <w:tcPr>
            <w:tcW w:w="7478" w:type="dxa"/>
          </w:tcPr>
          <w:p w14:paraId="734DACDF" w14:textId="77777777" w:rsidR="001B1411" w:rsidRPr="00DA7625" w:rsidRDefault="002648B0">
            <w:pPr>
              <w:pStyle w:val="InstructionsText"/>
              <w:rPr>
                <w:rStyle w:val="InstructionsTabelleText"/>
                <w:rFonts w:ascii="Times New Roman" w:hAnsi="Times New Roman"/>
                <w:b/>
                <w:bCs/>
                <w:sz w:val="24"/>
                <w:u w:val="single"/>
              </w:rPr>
            </w:pPr>
            <w:r w:rsidRPr="00DA7625">
              <w:rPr>
                <w:rStyle w:val="InstructionsTabelleberschrift"/>
                <w:rFonts w:ascii="Times New Roman" w:hAnsi="Times New Roman"/>
                <w:sz w:val="24"/>
              </w:rPr>
              <w:t>1.3.2</w:t>
            </w:r>
            <w:r w:rsidRPr="00DA7625">
              <w:rPr>
                <w:rStyle w:val="InstructionsTabelleberschrift"/>
                <w:rFonts w:ascii="Times New Roman" w:hAnsi="Times New Roman"/>
                <w:sz w:val="24"/>
              </w:rPr>
              <w:tab/>
              <w:t>Levonások</w:t>
            </w:r>
          </w:p>
          <w:p w14:paraId="05EDCD25" w14:textId="0DED2E40" w:rsidR="001B1411" w:rsidRPr="00DA7625" w:rsidRDefault="002648B0">
            <w:pPr>
              <w:spacing w:before="0"/>
              <w:rPr>
                <w:rStyle w:val="InstructionsTabelleText"/>
                <w:rFonts w:ascii="Times New Roman" w:hAnsi="Times New Roman"/>
                <w:sz w:val="24"/>
              </w:rPr>
            </w:pPr>
            <w:r w:rsidRPr="00DA7625">
              <w:rPr>
                <w:rStyle w:val="InstructionsTabelleText"/>
                <w:rFonts w:ascii="Times New Roman" w:hAnsi="Times New Roman"/>
                <w:sz w:val="24"/>
              </w:rPr>
              <w:t>A CRR 36. cikkének (1) bekezdése, valamint 469–478. cikke</w:t>
            </w:r>
          </w:p>
          <w:p w14:paraId="0EE3A7BC" w14:textId="77777777" w:rsidR="001B1411" w:rsidRPr="00DA7625" w:rsidRDefault="002648B0">
            <w:pPr>
              <w:spacing w:before="0"/>
              <w:rPr>
                <w:rStyle w:val="InstructionsTabelleText"/>
                <w:rFonts w:ascii="Times New Roman" w:hAnsi="Times New Roman"/>
                <w:sz w:val="24"/>
              </w:rPr>
            </w:pPr>
            <w:r w:rsidRPr="00DA7625">
              <w:rPr>
                <w:rStyle w:val="InstructionsTabelleText"/>
                <w:rFonts w:ascii="Times New Roman" w:hAnsi="Times New Roman"/>
                <w:sz w:val="24"/>
              </w:rPr>
              <w:t>Ez a sor a levonásokra vonatkozó átmeneti rendelkezések általános hatását mutatja.</w:t>
            </w:r>
          </w:p>
        </w:tc>
      </w:tr>
      <w:tr w:rsidR="001B1411" w:rsidRPr="00DA7625" w14:paraId="7FAD8D9F" w14:textId="77777777" w:rsidTr="00672D2A">
        <w:tc>
          <w:tcPr>
            <w:tcW w:w="1012" w:type="dxa"/>
          </w:tcPr>
          <w:p w14:paraId="69541B00" w14:textId="77777777" w:rsidR="001B1411" w:rsidRPr="00DA7625" w:rsidDel="00E41E4F"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150</w:t>
            </w:r>
          </w:p>
        </w:tc>
        <w:tc>
          <w:tcPr>
            <w:tcW w:w="7478" w:type="dxa"/>
          </w:tcPr>
          <w:p w14:paraId="5A9CBF64" w14:textId="77777777" w:rsidR="001B1411" w:rsidRPr="00DA7625" w:rsidRDefault="002648B0">
            <w:pPr>
              <w:pStyle w:val="InstructionsText"/>
              <w:rPr>
                <w:rStyle w:val="InstructionsTabelleText"/>
                <w:rFonts w:ascii="Times New Roman" w:hAnsi="Times New Roman"/>
                <w:b/>
                <w:sz w:val="24"/>
                <w:u w:val="single"/>
              </w:rPr>
            </w:pPr>
            <w:r w:rsidRPr="00DA7625">
              <w:rPr>
                <w:rStyle w:val="InstructionsTabelleberschrift"/>
                <w:rFonts w:ascii="Times New Roman" w:hAnsi="Times New Roman"/>
                <w:sz w:val="24"/>
              </w:rPr>
              <w:t>1.3.2.1.</w:t>
            </w:r>
            <w:r w:rsidRPr="00DA7625">
              <w:rPr>
                <w:rStyle w:val="InstructionsTabelleberschrift"/>
                <w:rFonts w:ascii="Times New Roman" w:hAnsi="Times New Roman"/>
                <w:sz w:val="24"/>
              </w:rPr>
              <w:tab/>
              <w:t>Folyó üzleti év veszteségei</w:t>
            </w:r>
          </w:p>
          <w:p w14:paraId="4A674ADA" w14:textId="43691E9C" w:rsidR="001B1411" w:rsidRPr="00DA7625" w:rsidRDefault="00BB22D4">
            <w:pPr>
              <w:pStyle w:val="InstructionsText"/>
              <w:rPr>
                <w:rStyle w:val="InstructionsTabelleText"/>
                <w:rFonts w:ascii="Times New Roman" w:hAnsi="Times New Roman"/>
                <w:bCs/>
                <w:sz w:val="24"/>
              </w:rPr>
            </w:pPr>
            <w:r w:rsidRPr="00DA7625">
              <w:rPr>
                <w:rStyle w:val="InstructionsTabelleText"/>
                <w:rFonts w:ascii="Times New Roman" w:hAnsi="Times New Roman"/>
                <w:sz w:val="24"/>
              </w:rPr>
              <w:t>A CRR 36. cikke (1) bekezdésének a) pontja, 469. cikkének (1) bekezdése, 472. cikkének (3) bekezdése, valamint 478. cikke</w:t>
            </w:r>
          </w:p>
          <w:p w14:paraId="77AF59C5" w14:textId="424359EC" w:rsidR="001B1411" w:rsidRPr="00DA7625" w:rsidRDefault="002648B0">
            <w:pPr>
              <w:pStyle w:val="InstructionsText"/>
              <w:rPr>
                <w:rStyle w:val="InstructionsTabelleText"/>
                <w:rFonts w:ascii="Times New Roman" w:hAnsi="Times New Roman"/>
                <w:bCs/>
                <w:sz w:val="24"/>
              </w:rPr>
            </w:pPr>
            <w:r w:rsidRPr="00DA7625">
              <w:rPr>
                <w:rStyle w:val="InstructionsTabelleText"/>
                <w:rFonts w:ascii="Times New Roman" w:hAnsi="Times New Roman"/>
                <w:sz w:val="24"/>
              </w:rPr>
              <w:t>A sor 060-as oszlopában feltüntetendő érték a CRR 36. cikke (1) bekezdésének a) pontja szerinti eredeti levonás.</w:t>
            </w:r>
          </w:p>
          <w:p w14:paraId="1D13CCD6" w14:textId="77777777" w:rsidR="001B1411" w:rsidRPr="00DA7625" w:rsidRDefault="002648B0">
            <w:pPr>
              <w:pStyle w:val="InstructionsText"/>
              <w:rPr>
                <w:rStyle w:val="InstructionsTabelleText"/>
                <w:rFonts w:ascii="Times New Roman" w:hAnsi="Times New Roman"/>
                <w:bCs/>
                <w:sz w:val="24"/>
              </w:rPr>
            </w:pPr>
            <w:r w:rsidRPr="00DA7625">
              <w:rPr>
                <w:rStyle w:val="InstructionsTabelleText"/>
                <w:rFonts w:ascii="Times New Roman" w:hAnsi="Times New Roman"/>
                <w:sz w:val="24"/>
              </w:rPr>
              <w:t>Akkor, ha a vállalkozásoknak csak a jelentős veszteségeket kell levonniuk:</w:t>
            </w:r>
          </w:p>
          <w:p w14:paraId="1BA5E15F" w14:textId="77777777" w:rsidR="001B1411" w:rsidRPr="00DA7625" w:rsidRDefault="002648B0">
            <w:pPr>
              <w:pStyle w:val="InstructionsText"/>
              <w:rPr>
                <w:rStyle w:val="InstructionsTabelleText"/>
                <w:rFonts w:ascii="Times New Roman" w:hAnsi="Times New Roman"/>
                <w:bCs/>
                <w:sz w:val="24"/>
              </w:rPr>
            </w:pPr>
            <w:r w:rsidRPr="00DA7625">
              <w:rPr>
                <w:rStyle w:val="InstructionsTabelleText"/>
                <w:rFonts w:ascii="Times New Roman" w:hAnsi="Times New Roman"/>
                <w:sz w:val="24"/>
              </w:rPr>
              <w:t>ha a teljes nettó évközi veszteség jelentős, akkor a teljes maradványösszeget a T1 tőkéből kell levonni; vagy</w:t>
            </w:r>
          </w:p>
          <w:p w14:paraId="45C3B2C2" w14:textId="77777777" w:rsidR="001B1411" w:rsidRPr="00DA7625" w:rsidRDefault="002648B0">
            <w:pPr>
              <w:pStyle w:val="InstructionsText"/>
              <w:rPr>
                <w:rStyle w:val="InstructionsTabelleText"/>
                <w:rFonts w:ascii="Times New Roman" w:hAnsi="Times New Roman"/>
                <w:bCs/>
                <w:sz w:val="24"/>
              </w:rPr>
            </w:pPr>
            <w:r w:rsidRPr="00DA7625">
              <w:rPr>
                <w:rStyle w:val="InstructionsTabelleText"/>
                <w:rFonts w:ascii="Times New Roman" w:hAnsi="Times New Roman"/>
                <w:sz w:val="24"/>
              </w:rPr>
              <w:t>ha a teljes nettó évközi veszteség nem jelentős, akkor maradványösszeg levonására nem kerül sor.</w:t>
            </w:r>
          </w:p>
        </w:tc>
      </w:tr>
      <w:tr w:rsidR="001B1411" w:rsidRPr="00DA7625" w14:paraId="1B915F21" w14:textId="77777777" w:rsidTr="00672D2A">
        <w:tc>
          <w:tcPr>
            <w:tcW w:w="1012" w:type="dxa"/>
          </w:tcPr>
          <w:p w14:paraId="401F021A" w14:textId="77777777" w:rsidR="001B1411" w:rsidRPr="00DA7625" w:rsidDel="00E41E4F"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160</w:t>
            </w:r>
          </w:p>
        </w:tc>
        <w:tc>
          <w:tcPr>
            <w:tcW w:w="7478" w:type="dxa"/>
          </w:tcPr>
          <w:p w14:paraId="00A0644F" w14:textId="77777777" w:rsidR="001B1411" w:rsidRPr="00DA7625" w:rsidRDefault="002648B0">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1.3.2.2.</w:t>
            </w:r>
            <w:r w:rsidRPr="00DA7625">
              <w:rPr>
                <w:rStyle w:val="InstructionsTabelleberschrift"/>
                <w:rFonts w:ascii="Times New Roman" w:hAnsi="Times New Roman"/>
                <w:sz w:val="24"/>
              </w:rPr>
              <w:tab/>
              <w:t>Immateriális javak</w:t>
            </w:r>
          </w:p>
          <w:p w14:paraId="2434DB68" w14:textId="59C6B9B4"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36. cikke (1) bekezdésének b) pontja, 469. cikkének (1) bekezdése, 472. cikkének (4) bekezdése, valamint 478. cikke</w:t>
            </w:r>
          </w:p>
          <w:p w14:paraId="1AD1DACF" w14:textId="37CF2501"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Az immateriális javak levonandó összegének meghatározásakor az intézményeknek figyelembe kell venniük a CRR 37. cikkének rendelkezéseit.</w:t>
            </w:r>
          </w:p>
          <w:p w14:paraId="7FC3F4C0" w14:textId="2ABFCA9E"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sor 060-as oszlopában feltüntetendő érték a CRR 36. cikke (1) bekezdésének b) pontja szerinti eredeti levonás.</w:t>
            </w:r>
          </w:p>
        </w:tc>
      </w:tr>
      <w:tr w:rsidR="001B1411" w:rsidRPr="00DA7625" w14:paraId="24D62F44" w14:textId="77777777" w:rsidTr="00672D2A">
        <w:tc>
          <w:tcPr>
            <w:tcW w:w="1012" w:type="dxa"/>
          </w:tcPr>
          <w:p w14:paraId="32FB2A1D"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170</w:t>
            </w:r>
          </w:p>
          <w:p w14:paraId="688B6C0E" w14:textId="77777777" w:rsidR="001B1411" w:rsidRPr="00DA7625" w:rsidRDefault="001B1411">
            <w:pPr>
              <w:pStyle w:val="InstructionsText"/>
              <w:rPr>
                <w:rStyle w:val="InstructionsTabelleText"/>
                <w:rFonts w:ascii="Times New Roman" w:hAnsi="Times New Roman"/>
                <w:sz w:val="24"/>
              </w:rPr>
            </w:pPr>
          </w:p>
        </w:tc>
        <w:tc>
          <w:tcPr>
            <w:tcW w:w="7478" w:type="dxa"/>
          </w:tcPr>
          <w:p w14:paraId="47BD46E7" w14:textId="77777777" w:rsidR="001B1411" w:rsidRPr="00DA7625" w:rsidRDefault="002648B0">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1.3.2.3.</w:t>
            </w:r>
            <w:r w:rsidRPr="00DA7625">
              <w:rPr>
                <w:rStyle w:val="InstructionsTabelleberschrift"/>
                <w:rFonts w:ascii="Times New Roman" w:hAnsi="Times New Roman"/>
                <w:sz w:val="24"/>
              </w:rPr>
              <w:tab/>
              <w:t>Jövőbeli nyereségtől függően érvényesíthető, nem átmeneti különbözetből eredő halasztott adókövetelések</w:t>
            </w:r>
          </w:p>
          <w:p w14:paraId="4355E263" w14:textId="226E0E44"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36. cikke (1) bekezdésének c) pontja, 469. cikkének (1) bekezdése, 472. cikkének (5) bekezdése, valamint 478. cikke</w:t>
            </w:r>
          </w:p>
          <w:p w14:paraId="50DABAF8" w14:textId="73261899"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lastRenderedPageBreak/>
              <w:t>A halasztott adókövetelések levonandó összegének meghatározásakor az intézményeknek figyelembe kell venniük a CRR 38. cikkének azon rendelkezéseit, amelyek a halasztott adóköveteléseknek a halasztott adókötelezettségekkel való csökkentésére vonatkoznak.</w:t>
            </w:r>
          </w:p>
          <w:p w14:paraId="72438F1D" w14:textId="585040D2"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sor 060. oszlopában feltüntetendő érték: a CRR 469. cikkének (1) bekezdése szerinti teljes érték.</w:t>
            </w:r>
          </w:p>
        </w:tc>
      </w:tr>
      <w:tr w:rsidR="001B1411" w:rsidRPr="00DA7625" w14:paraId="3780187D" w14:textId="77777777" w:rsidTr="00672D2A">
        <w:tc>
          <w:tcPr>
            <w:tcW w:w="1012" w:type="dxa"/>
          </w:tcPr>
          <w:p w14:paraId="47E0148D"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lastRenderedPageBreak/>
              <w:t>180</w:t>
            </w:r>
          </w:p>
          <w:p w14:paraId="7A813EAF" w14:textId="77777777" w:rsidR="001B1411" w:rsidRPr="00DA7625" w:rsidRDefault="001B1411">
            <w:pPr>
              <w:pStyle w:val="InstructionsText"/>
              <w:rPr>
                <w:rStyle w:val="InstructionsTabelleText"/>
                <w:rFonts w:ascii="Times New Roman" w:hAnsi="Times New Roman"/>
                <w:sz w:val="24"/>
              </w:rPr>
            </w:pPr>
          </w:p>
        </w:tc>
        <w:tc>
          <w:tcPr>
            <w:tcW w:w="7478" w:type="dxa"/>
          </w:tcPr>
          <w:p w14:paraId="4B4EBB21" w14:textId="77777777" w:rsidR="001B1411" w:rsidRPr="00DA7625" w:rsidRDefault="002648B0">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1.3.2.4.</w:t>
            </w:r>
            <w:r w:rsidRPr="00DA7625">
              <w:rPr>
                <w:rStyle w:val="InstructionsTabelleberschrift"/>
                <w:rFonts w:ascii="Times New Roman" w:hAnsi="Times New Roman"/>
                <w:sz w:val="24"/>
              </w:rPr>
              <w:tab/>
              <w:t>Értékvesztés és céltartalékhiány az IRB szerinti várható veszteséghez viszonyítva</w:t>
            </w:r>
          </w:p>
          <w:p w14:paraId="266DCF0F" w14:textId="73451627"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36. cikke (1) bekezdésének d) pontja, 469. cikkének (1) bekezdése, 472. cikkének (6) bekezdése, valamint 478. cikke</w:t>
            </w:r>
          </w:p>
          <w:p w14:paraId="5DAD45C5" w14:textId="3C6FBA33"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céltartalékoknak a várható veszteséghez viszonyítva IRB-módszerrel számított hiányaként levonandó összeg meghatározásakor az intézményeknek figyelembe kell venniük a CRR 40. cikkének rendelkezéseit.</w:t>
            </w:r>
          </w:p>
          <w:p w14:paraId="5B5A6FCE" w14:textId="1E54411C"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sor 060. oszlopában feltüntetendő érték: a CRR 36. cikke (1) bekezdésének d) pontja szerinti eredeti levonás</w:t>
            </w:r>
          </w:p>
        </w:tc>
      </w:tr>
      <w:tr w:rsidR="001B1411" w:rsidRPr="00DA7625" w14:paraId="448E168D" w14:textId="77777777" w:rsidTr="00672D2A">
        <w:tc>
          <w:tcPr>
            <w:tcW w:w="1012" w:type="dxa"/>
          </w:tcPr>
          <w:p w14:paraId="48384768" w14:textId="77777777" w:rsidR="001B1411" w:rsidRPr="00DA7625" w:rsidDel="00E41E4F"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190</w:t>
            </w:r>
          </w:p>
        </w:tc>
        <w:tc>
          <w:tcPr>
            <w:tcW w:w="7478" w:type="dxa"/>
          </w:tcPr>
          <w:p w14:paraId="32182C03" w14:textId="77777777" w:rsidR="001B1411" w:rsidRPr="00DA7625" w:rsidRDefault="002648B0">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1.3.2.5.</w:t>
            </w:r>
            <w:r w:rsidRPr="00DA7625">
              <w:rPr>
                <w:rStyle w:val="InstructionsTabelleberschrift"/>
                <w:rFonts w:ascii="Times New Roman" w:hAnsi="Times New Roman"/>
                <w:sz w:val="24"/>
              </w:rPr>
              <w:tab/>
              <w:t>Meghatározott szolgáltatást nyújtó nyugdíjalapban lévő eszközök</w:t>
            </w:r>
          </w:p>
          <w:p w14:paraId="645D30A6" w14:textId="1775D71E"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33. cikke (1) bekezdésének e) pontja, 469. cikkének (1) bekezdése, 472. cikkének (7) bekezdése, valamint 473. és 478. cikke</w:t>
            </w:r>
          </w:p>
          <w:p w14:paraId="66204E08" w14:textId="1ECA5851"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meghatározott szolgáltatást nyújtó nyugdíjalapban lévő eszközök levonandó összegének meghatározásakor az intézményeknek figyelembe kell venniük a CRR 41. cikkének rendelkezéseit.</w:t>
            </w:r>
          </w:p>
          <w:p w14:paraId="005E812C" w14:textId="24397C15"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sor 060. oszlopában feltüntetendő érték: a CRR 36. cikke (1) bekezdésének e) pontja szerinti eredeti levonás</w:t>
            </w:r>
          </w:p>
        </w:tc>
      </w:tr>
      <w:tr w:rsidR="001B1411" w:rsidRPr="00DA7625" w14:paraId="29112ADA" w14:textId="77777777" w:rsidTr="00672D2A">
        <w:tc>
          <w:tcPr>
            <w:tcW w:w="1012" w:type="dxa"/>
          </w:tcPr>
          <w:p w14:paraId="1A040774" w14:textId="77777777" w:rsidR="001B1411" w:rsidRPr="00DA7625" w:rsidRDefault="00B11D0D">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194</w:t>
            </w:r>
          </w:p>
        </w:tc>
        <w:tc>
          <w:tcPr>
            <w:tcW w:w="7478" w:type="dxa"/>
          </w:tcPr>
          <w:p w14:paraId="279EA20B" w14:textId="77777777" w:rsidR="001B1411" w:rsidRPr="00DA7625" w:rsidRDefault="00B11D0D">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1.3.2.5.*</w:t>
            </w:r>
            <w:r w:rsidRPr="00DA7625">
              <w:rPr>
                <w:rStyle w:val="InstructionsTabelleberschrift"/>
                <w:rFonts w:ascii="Times New Roman" w:hAnsi="Times New Roman"/>
                <w:sz w:val="24"/>
              </w:rPr>
              <w:tab/>
              <w:t>ebből: az IAS 19 módosításainak bevezetése – pozitív tétel</w:t>
            </w:r>
          </w:p>
          <w:p w14:paraId="0BBB3C9E" w14:textId="4C59EDF2" w:rsidR="001B1411" w:rsidRPr="00DA7625" w:rsidRDefault="00201704">
            <w:pPr>
              <w:pStyle w:val="InstructionsText"/>
              <w:rPr>
                <w:rStyle w:val="InstructionsTabelleberschrift"/>
                <w:rFonts w:ascii="Times New Roman" w:hAnsi="Times New Roman"/>
                <w:b w:val="0"/>
                <w:bCs w:val="0"/>
                <w:sz w:val="24"/>
                <w:u w:val="none"/>
              </w:rPr>
            </w:pPr>
            <w:r w:rsidRPr="00DA7625">
              <w:rPr>
                <w:rStyle w:val="InstructionsTabelleText"/>
                <w:rFonts w:ascii="Times New Roman" w:hAnsi="Times New Roman"/>
                <w:sz w:val="24"/>
              </w:rPr>
              <w:t>A CRR 473. cikke</w:t>
            </w:r>
          </w:p>
        </w:tc>
      </w:tr>
      <w:tr w:rsidR="001B1411" w:rsidRPr="00DA7625" w14:paraId="69715AAF" w14:textId="77777777" w:rsidTr="00672D2A">
        <w:tc>
          <w:tcPr>
            <w:tcW w:w="1012" w:type="dxa"/>
          </w:tcPr>
          <w:p w14:paraId="12A5C28B" w14:textId="77777777"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198</w:t>
            </w:r>
          </w:p>
        </w:tc>
        <w:tc>
          <w:tcPr>
            <w:tcW w:w="7478" w:type="dxa"/>
          </w:tcPr>
          <w:p w14:paraId="7C24FDB3" w14:textId="77777777" w:rsidR="001B1411" w:rsidRPr="00DA7625" w:rsidRDefault="00A60195">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1.3.2.5.**</w:t>
            </w:r>
            <w:r w:rsidRPr="00DA7625">
              <w:rPr>
                <w:rStyle w:val="InstructionsTabelleberschrift"/>
                <w:rFonts w:ascii="Times New Roman" w:hAnsi="Times New Roman"/>
                <w:sz w:val="24"/>
              </w:rPr>
              <w:tab/>
              <w:t>ebből: az IAS 19 módosításainak bevezetése – negatív tétel</w:t>
            </w:r>
          </w:p>
          <w:p w14:paraId="3225A680" w14:textId="310A3F39" w:rsidR="001B1411" w:rsidRPr="00DA7625" w:rsidRDefault="00201704">
            <w:pPr>
              <w:pStyle w:val="InstructionsText"/>
              <w:rPr>
                <w:rStyle w:val="InstructionsTabelleberschrift"/>
                <w:rFonts w:ascii="Times New Roman" w:hAnsi="Times New Roman"/>
                <w:b w:val="0"/>
                <w:bCs w:val="0"/>
                <w:sz w:val="24"/>
                <w:u w:val="none"/>
              </w:rPr>
            </w:pPr>
            <w:r w:rsidRPr="00DA7625">
              <w:rPr>
                <w:rStyle w:val="InstructionsTabelleText"/>
                <w:rFonts w:ascii="Times New Roman" w:hAnsi="Times New Roman"/>
                <w:sz w:val="24"/>
              </w:rPr>
              <w:t>A CRR 473. cikke</w:t>
            </w:r>
          </w:p>
        </w:tc>
      </w:tr>
      <w:tr w:rsidR="001B1411" w:rsidRPr="00DA7625" w14:paraId="63FDF032" w14:textId="77777777" w:rsidTr="00672D2A">
        <w:tc>
          <w:tcPr>
            <w:tcW w:w="1012" w:type="dxa"/>
          </w:tcPr>
          <w:p w14:paraId="3CB0D1C7"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200</w:t>
            </w:r>
          </w:p>
        </w:tc>
        <w:tc>
          <w:tcPr>
            <w:tcW w:w="7478" w:type="dxa"/>
          </w:tcPr>
          <w:p w14:paraId="666C8FD7" w14:textId="77777777" w:rsidR="001B1411" w:rsidRPr="00DA7625" w:rsidRDefault="00A60195">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1.3.2.6.</w:t>
            </w:r>
            <w:r w:rsidRPr="00DA7625">
              <w:rPr>
                <w:rStyle w:val="InstructionsTabelleberschrift"/>
                <w:rFonts w:ascii="Times New Roman" w:hAnsi="Times New Roman"/>
                <w:sz w:val="24"/>
              </w:rPr>
              <w:tab/>
              <w:t>Saját tőkeinstrumentumok</w:t>
            </w:r>
          </w:p>
          <w:p w14:paraId="6DD70F0F" w14:textId="7F593D48"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36. cikke (1) bekezdésének f) pontja, 469. cikkének (1) bekezdése, 472. cikkének (8) bekezdése, valamint 478. cikke</w:t>
            </w:r>
          </w:p>
          <w:p w14:paraId="6E699820" w14:textId="09345648"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sor 060. oszlopában feltüntetendő érték: a CRR 36. cikke (1) bekezdésének f) pontja szerinti eredeti levonás</w:t>
            </w:r>
          </w:p>
        </w:tc>
      </w:tr>
      <w:tr w:rsidR="001B1411" w:rsidRPr="00DA7625" w14:paraId="793E04B5" w14:textId="77777777" w:rsidTr="00672D2A">
        <w:tc>
          <w:tcPr>
            <w:tcW w:w="1012" w:type="dxa"/>
          </w:tcPr>
          <w:p w14:paraId="1FF48FA6" w14:textId="77777777"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210</w:t>
            </w:r>
          </w:p>
          <w:p w14:paraId="043792D9" w14:textId="77777777" w:rsidR="001B1411" w:rsidRPr="00DA7625" w:rsidRDefault="001B1411">
            <w:pPr>
              <w:pStyle w:val="InstructionsText"/>
              <w:rPr>
                <w:rStyle w:val="InstructionsTabelleText"/>
                <w:rFonts w:ascii="Times New Roman" w:hAnsi="Times New Roman"/>
                <w:sz w:val="24"/>
              </w:rPr>
            </w:pPr>
          </w:p>
        </w:tc>
        <w:tc>
          <w:tcPr>
            <w:tcW w:w="7478" w:type="dxa"/>
          </w:tcPr>
          <w:p w14:paraId="63094381" w14:textId="77777777" w:rsidR="001B1411" w:rsidRPr="00DA7625" w:rsidRDefault="0020170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1.3.2.6.1</w:t>
            </w:r>
            <w:r w:rsidRPr="00DA7625">
              <w:rPr>
                <w:rStyle w:val="InstructionsTabelleberschrift"/>
                <w:rFonts w:ascii="Times New Roman" w:hAnsi="Times New Roman"/>
                <w:sz w:val="24"/>
              </w:rPr>
              <w:tab/>
              <w:t>Saját CET1 tőkeinstrumentumok</w:t>
            </w:r>
          </w:p>
          <w:p w14:paraId="756FA04D" w14:textId="37DEC479"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36. cikke (1) bekezdésének f) pontja, 469. cikkének (1) bekezdése, 472. cikkének (8) bekezdése, valamint 478. cikke</w:t>
            </w:r>
          </w:p>
          <w:p w14:paraId="110B4277" w14:textId="6B0DDD7E"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saját CET1 tőkeinstrumentumok levonandó összegének meghatározásakor az intézményeknek figyelembe kell venniük a CRR 42. cikkét.</w:t>
            </w:r>
          </w:p>
          <w:p w14:paraId="78018FF7" w14:textId="132602E7"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Mivel a maradványösszeg kezelése az eszköz jellegétől függően változik, az intézményeknek a saját CET1 tőkeinstrumentumokban meglévő részesedéseiket közvetlen és közvetett részesedésre kell bontaniuk.</w:t>
            </w:r>
          </w:p>
          <w:p w14:paraId="6EFCF488" w14:textId="7566E887"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lastRenderedPageBreak/>
              <w:t>A sor 060. oszlopában feltüntetendő érték: a CRR 36. cikke (1) bekezdésének f) pontja szerinti eredeti levonás</w:t>
            </w:r>
          </w:p>
        </w:tc>
      </w:tr>
      <w:tr w:rsidR="001B1411" w:rsidRPr="00DA7625" w14:paraId="390FBB1F" w14:textId="77777777" w:rsidTr="00672D2A">
        <w:tc>
          <w:tcPr>
            <w:tcW w:w="1012" w:type="dxa"/>
          </w:tcPr>
          <w:p w14:paraId="5B4784F8"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lastRenderedPageBreak/>
              <w:t>211</w:t>
            </w:r>
          </w:p>
        </w:tc>
        <w:tc>
          <w:tcPr>
            <w:tcW w:w="7478" w:type="dxa"/>
          </w:tcPr>
          <w:p w14:paraId="61C5099D" w14:textId="77777777" w:rsidR="001B1411" w:rsidRPr="00DA7625" w:rsidRDefault="008A1A1E">
            <w:pPr>
              <w:pStyle w:val="InstructionsText"/>
              <w:rPr>
                <w:rStyle w:val="InstructionsTabelleText"/>
                <w:rFonts w:ascii="Times New Roman" w:hAnsi="Times New Roman"/>
                <w:b/>
                <w:bCs/>
                <w:sz w:val="24"/>
                <w:u w:val="single"/>
              </w:rPr>
            </w:pPr>
            <w:r w:rsidRPr="00DA7625">
              <w:rPr>
                <w:rStyle w:val="InstructionsTabelleberschrift"/>
                <w:rFonts w:ascii="Times New Roman" w:hAnsi="Times New Roman"/>
                <w:sz w:val="24"/>
              </w:rPr>
              <w:t>1.3.2.6.1**</w:t>
            </w:r>
            <w:r w:rsidRPr="00DA7625">
              <w:rPr>
                <w:rStyle w:val="InstructionsTabelleberschrift"/>
                <w:rFonts w:ascii="Times New Roman" w:hAnsi="Times New Roman"/>
                <w:sz w:val="24"/>
              </w:rPr>
              <w:tab/>
              <w:t>ebből: közvetlen részesedések</w:t>
            </w:r>
          </w:p>
          <w:p w14:paraId="5F0EBEF9" w14:textId="0EE477C7"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469. cikke (1) bekezdésének b) pontja, valamint 472. cikke (8) bekezdésének a) pontja</w:t>
            </w:r>
          </w:p>
          <w:p w14:paraId="53C148B9" w14:textId="77777777"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 xml:space="preserve">A sor 060. oszlopában feltüntetendő érték: a közvetlen részesedések teljes összege, ideértve az olyan instrumentumokat, amelyeket az intézmény hatályos vagy függő szerződéses kötelezettségekből eredően köteles lehet megvásárolni. </w:t>
            </w:r>
          </w:p>
        </w:tc>
      </w:tr>
      <w:tr w:rsidR="001B1411" w:rsidRPr="00DA7625" w14:paraId="2CF01656" w14:textId="77777777" w:rsidTr="00672D2A">
        <w:tc>
          <w:tcPr>
            <w:tcW w:w="1012" w:type="dxa"/>
          </w:tcPr>
          <w:p w14:paraId="2B8A6CE7"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212</w:t>
            </w:r>
          </w:p>
        </w:tc>
        <w:tc>
          <w:tcPr>
            <w:tcW w:w="7478" w:type="dxa"/>
          </w:tcPr>
          <w:p w14:paraId="7880AF2F" w14:textId="77777777" w:rsidR="001B1411" w:rsidRPr="00DA7625" w:rsidRDefault="008A1A1E">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1.3.2.6.1*</w:t>
            </w:r>
            <w:r w:rsidRPr="00DA7625">
              <w:rPr>
                <w:rStyle w:val="InstructionsTabelleberschrift"/>
                <w:rFonts w:ascii="Times New Roman" w:hAnsi="Times New Roman"/>
                <w:sz w:val="24"/>
              </w:rPr>
              <w:tab/>
              <w:t>ebből: közvetett részesedések</w:t>
            </w:r>
          </w:p>
          <w:p w14:paraId="7BCD9309" w14:textId="77777777"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469. cikke (1) bekezdésének b) pontja, valamint 472. cikke (8) bekezdésének b) pontja</w:t>
            </w:r>
          </w:p>
          <w:p w14:paraId="34DA11F8" w14:textId="77777777" w:rsidR="001B1411" w:rsidRPr="00DA7625" w:rsidRDefault="00A60195">
            <w:pPr>
              <w:pStyle w:val="InstructionsText"/>
              <w:rPr>
                <w:rStyle w:val="InstructionsTabelleberschrift"/>
                <w:rFonts w:ascii="Times New Roman" w:hAnsi="Times New Roman"/>
                <w:b w:val="0"/>
                <w:bCs w:val="0"/>
                <w:sz w:val="24"/>
                <w:u w:val="none"/>
              </w:rPr>
            </w:pPr>
            <w:r w:rsidRPr="00DA7625">
              <w:rPr>
                <w:rStyle w:val="InstructionsTabelleText"/>
                <w:rFonts w:ascii="Times New Roman" w:hAnsi="Times New Roman"/>
                <w:sz w:val="24"/>
              </w:rPr>
              <w:t>A sor 060. oszlopában feltüntetendő érték: a közvetett részesedések teljes összege, ideértve az olyan instrumentumokat, amelyeket az intézmény hatályos vagy függő szerződéses kötelezettségekből eredően köteles lehet megvásárolni.</w:t>
            </w:r>
          </w:p>
        </w:tc>
      </w:tr>
      <w:tr w:rsidR="001B1411" w:rsidRPr="00DA7625" w14:paraId="5081264F" w14:textId="77777777" w:rsidTr="00672D2A">
        <w:tc>
          <w:tcPr>
            <w:tcW w:w="1012" w:type="dxa"/>
          </w:tcPr>
          <w:p w14:paraId="1195A069"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220</w:t>
            </w:r>
          </w:p>
        </w:tc>
        <w:tc>
          <w:tcPr>
            <w:tcW w:w="7478" w:type="dxa"/>
          </w:tcPr>
          <w:p w14:paraId="34379458" w14:textId="77777777" w:rsidR="001B1411" w:rsidRPr="00DA7625" w:rsidRDefault="0020170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1.3.2.6.2</w:t>
            </w:r>
            <w:r w:rsidRPr="00DA7625">
              <w:rPr>
                <w:rStyle w:val="InstructionsTabelleberschrift"/>
                <w:rFonts w:ascii="Times New Roman" w:hAnsi="Times New Roman"/>
                <w:sz w:val="24"/>
              </w:rPr>
              <w:tab/>
              <w:t>Saját AT1 tőkeinstrumentumok</w:t>
            </w:r>
          </w:p>
          <w:p w14:paraId="5342B049" w14:textId="419705C9"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56. cikkének a) pontja, 474. cikke, 475. cikkének (2) bekezdése, valamint 478. cikke</w:t>
            </w:r>
          </w:p>
          <w:p w14:paraId="4071C2D3" w14:textId="59C5D732"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fenti részesedések levonandó összegének meghatározásakor az intézményeknek figyelembe kell venniük a CRR 57. cikkének rendelkezéseit.</w:t>
            </w:r>
          </w:p>
          <w:p w14:paraId="674BFE7A" w14:textId="1821D0FE"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Mivel a maradványösszeg kezelése az eszköz jellegétől függően változik (CRR 475. cikk, (2) bekezdés), az intézményeknek az említett részesedéseiket a saját AT1 tőkében lévő közvetlen és közvetett részesedésre kell bontaniuk.</w:t>
            </w:r>
          </w:p>
          <w:p w14:paraId="696E88C0" w14:textId="21F37D2C"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sor 060. oszlopában feltüntetendő érték: a CRR 56. cikkének a) pontja szerinti eredeti levonás</w:t>
            </w:r>
          </w:p>
        </w:tc>
      </w:tr>
      <w:tr w:rsidR="001B1411" w:rsidRPr="00DA7625" w14:paraId="47B22F43" w14:textId="77777777" w:rsidTr="00672D2A">
        <w:tc>
          <w:tcPr>
            <w:tcW w:w="1012" w:type="dxa"/>
          </w:tcPr>
          <w:p w14:paraId="05A78882"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221</w:t>
            </w:r>
          </w:p>
        </w:tc>
        <w:tc>
          <w:tcPr>
            <w:tcW w:w="7478" w:type="dxa"/>
          </w:tcPr>
          <w:p w14:paraId="072C949C" w14:textId="77777777" w:rsidR="001B1411" w:rsidRPr="00DA7625" w:rsidRDefault="008A1A1E">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1.3.2.6.2**</w:t>
            </w:r>
            <w:r w:rsidRPr="00DA7625">
              <w:rPr>
                <w:rStyle w:val="InstructionsTabelleberschrift"/>
                <w:rFonts w:ascii="Times New Roman" w:hAnsi="Times New Roman"/>
                <w:sz w:val="24"/>
              </w:rPr>
              <w:tab/>
              <w:t>ebből: közvetlen részesedések</w:t>
            </w:r>
          </w:p>
          <w:p w14:paraId="544DCCAF" w14:textId="6F0CECE8" w:rsidR="001B1411" w:rsidRPr="00DA7625" w:rsidRDefault="00A60195">
            <w:pPr>
              <w:pStyle w:val="InstructionsText"/>
              <w:rPr>
                <w:rStyle w:val="InstructionsTabelleberschrift"/>
                <w:rFonts w:ascii="Times New Roman" w:hAnsi="Times New Roman"/>
                <w:b w:val="0"/>
                <w:bCs w:val="0"/>
                <w:sz w:val="24"/>
                <w:u w:val="none"/>
              </w:rPr>
            </w:pPr>
            <w:r w:rsidRPr="00DA7625">
              <w:rPr>
                <w:rStyle w:val="InstructionsTabelleText"/>
                <w:rFonts w:ascii="Times New Roman" w:hAnsi="Times New Roman"/>
                <w:sz w:val="24"/>
              </w:rPr>
              <w:t>A sor 060. oszlopában feltüntetendő érték: a közvetlen részesedések teljes összege, ideértve az olyan instrumentumokat, amelyeket az intézmény hatályos vagy függő szerződéses kötelezettségekből eredően köteles lehet megvásárolni; a CRR 474. cikkének b) pontja, valamint 475. cikke (2) bekezdésének a) pontja.</w:t>
            </w:r>
          </w:p>
        </w:tc>
      </w:tr>
      <w:tr w:rsidR="001B1411" w:rsidRPr="00DA7625" w14:paraId="5EDEFB7F" w14:textId="77777777" w:rsidTr="00672D2A">
        <w:tc>
          <w:tcPr>
            <w:tcW w:w="1012" w:type="dxa"/>
          </w:tcPr>
          <w:p w14:paraId="19CC0771"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222</w:t>
            </w:r>
          </w:p>
        </w:tc>
        <w:tc>
          <w:tcPr>
            <w:tcW w:w="7478" w:type="dxa"/>
          </w:tcPr>
          <w:p w14:paraId="43463552" w14:textId="77777777" w:rsidR="001B1411" w:rsidRPr="00DA7625" w:rsidRDefault="008A1A1E">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1.3.2.6.2*</w:t>
            </w:r>
            <w:r w:rsidRPr="00DA7625">
              <w:rPr>
                <w:rStyle w:val="InstructionsTabelleberschrift"/>
                <w:rFonts w:ascii="Times New Roman" w:hAnsi="Times New Roman"/>
                <w:sz w:val="24"/>
              </w:rPr>
              <w:tab/>
              <w:t>ebből: közvetett részesedések</w:t>
            </w:r>
          </w:p>
          <w:p w14:paraId="77785843" w14:textId="24BAA4CC" w:rsidR="001B1411" w:rsidRPr="00DA7625" w:rsidRDefault="00A60195">
            <w:pPr>
              <w:pStyle w:val="InstructionsText"/>
              <w:rPr>
                <w:rStyle w:val="InstructionsTabelleberschrift"/>
                <w:rFonts w:ascii="Times New Roman" w:hAnsi="Times New Roman"/>
                <w:b w:val="0"/>
                <w:bCs w:val="0"/>
                <w:sz w:val="24"/>
                <w:u w:val="none"/>
              </w:rPr>
            </w:pPr>
            <w:r w:rsidRPr="00DA7625">
              <w:rPr>
                <w:rStyle w:val="InstructionsTabelleText"/>
                <w:rFonts w:ascii="Times New Roman" w:hAnsi="Times New Roman"/>
                <w:sz w:val="24"/>
              </w:rPr>
              <w:t>A sor 060. oszlopában feltüntetendő érték: a közvetett részesedések teljes összege, ideértve az olyan instrumentumokat, amelyeket az intézmény hatályos vagy függő szerződéses kötelezettségekből eredően köteles lehet megvásárolni; a CRR 474. cikkének b) pontja, valamint 475. cikke (2) bekezdésének b) pontja.</w:t>
            </w:r>
          </w:p>
        </w:tc>
      </w:tr>
      <w:tr w:rsidR="001B1411" w:rsidRPr="00DA7625" w14:paraId="67D794BA" w14:textId="77777777" w:rsidTr="00672D2A">
        <w:tc>
          <w:tcPr>
            <w:tcW w:w="1012" w:type="dxa"/>
          </w:tcPr>
          <w:p w14:paraId="2B632C67"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230</w:t>
            </w:r>
          </w:p>
        </w:tc>
        <w:tc>
          <w:tcPr>
            <w:tcW w:w="7478" w:type="dxa"/>
          </w:tcPr>
          <w:p w14:paraId="16AB2929" w14:textId="77777777" w:rsidR="001B1411" w:rsidRPr="00DA7625" w:rsidRDefault="0020170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1.3.2.6.3</w:t>
            </w:r>
            <w:r w:rsidRPr="00DA7625">
              <w:rPr>
                <w:rStyle w:val="InstructionsTabelleberschrift"/>
                <w:rFonts w:ascii="Times New Roman" w:hAnsi="Times New Roman"/>
                <w:sz w:val="24"/>
              </w:rPr>
              <w:tab/>
              <w:t>Saját T2 tőkeinstrumentumok</w:t>
            </w:r>
          </w:p>
          <w:p w14:paraId="3F56D725" w14:textId="66C7CF43"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66. cikkének a) pontja, 476. cikke, 477. cikkének (2) bekezdése, valamint 478. cikke</w:t>
            </w:r>
          </w:p>
          <w:p w14:paraId="01888AB3" w14:textId="1A67293D"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lastRenderedPageBreak/>
              <w:t>A részesedések levonandó összegének meghatározásakor az intézményeknek figyelembe kell venniük a CRR 67. cikkének rendelkezéseit.</w:t>
            </w:r>
          </w:p>
          <w:p w14:paraId="6E3DA9D9" w14:textId="02A5D238"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Mivel a maradványösszeg kezelése az eszköz jellegétől függően változik (CRR 477. cikk, (2) bekezdés), az intézményeknek az említett részesedéseiket a saját T2 tőkében lévő közvetlen és közvetett részesedésre kell bontaniuk.</w:t>
            </w:r>
          </w:p>
          <w:p w14:paraId="4EA9EC35" w14:textId="1ECDA758"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sor 060. oszlopában feltüntetendő érték: a CRR 66. cikkének a) pontja szerinti eredeti levonás</w:t>
            </w:r>
          </w:p>
        </w:tc>
      </w:tr>
      <w:tr w:rsidR="001B1411" w:rsidRPr="00DA7625" w14:paraId="03FD5E74" w14:textId="77777777" w:rsidTr="00672D2A">
        <w:tc>
          <w:tcPr>
            <w:tcW w:w="1012" w:type="dxa"/>
          </w:tcPr>
          <w:p w14:paraId="54719DDA"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lastRenderedPageBreak/>
              <w:t>231</w:t>
            </w:r>
          </w:p>
        </w:tc>
        <w:tc>
          <w:tcPr>
            <w:tcW w:w="7478" w:type="dxa"/>
          </w:tcPr>
          <w:p w14:paraId="25C19ED2" w14:textId="77777777" w:rsidR="001B1411" w:rsidRPr="00DA7625" w:rsidRDefault="0020170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ebből: közvetlen részesedések</w:t>
            </w:r>
          </w:p>
          <w:p w14:paraId="0FF6A3FA" w14:textId="3275B09A" w:rsidR="001B1411" w:rsidRPr="00DA7625" w:rsidRDefault="00A60195">
            <w:pPr>
              <w:pStyle w:val="InstructionsText"/>
              <w:rPr>
                <w:rStyle w:val="InstructionsTabelleberschrift"/>
                <w:rFonts w:ascii="Times New Roman" w:hAnsi="Times New Roman"/>
                <w:sz w:val="24"/>
              </w:rPr>
            </w:pPr>
            <w:r w:rsidRPr="00DA7625">
              <w:rPr>
                <w:rStyle w:val="InstructionsTabelleText"/>
                <w:rFonts w:ascii="Times New Roman" w:hAnsi="Times New Roman"/>
                <w:sz w:val="24"/>
              </w:rPr>
              <w:t>A sor 060. oszlopában feltüntetendő érték: a közvetlen részesedések teljes összege, ideértve az olyan instrumentumokat, amelyeket az intézmény hatályos vagy függő szerződéses kötelezettségekből eredően köteles lehet megvásárolni; a CRR 476. cikkének b) pontja, valamint 477. cikke (2) bekezdésének a) pontja.</w:t>
            </w:r>
          </w:p>
        </w:tc>
      </w:tr>
      <w:tr w:rsidR="001B1411" w:rsidRPr="00DA7625" w14:paraId="50DCE9EB" w14:textId="77777777" w:rsidTr="00672D2A">
        <w:tc>
          <w:tcPr>
            <w:tcW w:w="1012" w:type="dxa"/>
          </w:tcPr>
          <w:p w14:paraId="2A1D3732" w14:textId="77777777"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232</w:t>
            </w:r>
          </w:p>
          <w:p w14:paraId="3DDB55B3" w14:textId="77777777" w:rsidR="001B1411" w:rsidRPr="00DA7625" w:rsidRDefault="001B1411">
            <w:pPr>
              <w:pStyle w:val="InstructionsText"/>
              <w:rPr>
                <w:rStyle w:val="InstructionsTabelleText"/>
                <w:rFonts w:ascii="Times New Roman" w:hAnsi="Times New Roman"/>
                <w:sz w:val="24"/>
              </w:rPr>
            </w:pPr>
          </w:p>
        </w:tc>
        <w:tc>
          <w:tcPr>
            <w:tcW w:w="7478" w:type="dxa"/>
          </w:tcPr>
          <w:p w14:paraId="22739A62" w14:textId="77777777" w:rsidR="001B1411" w:rsidRPr="00DA7625" w:rsidRDefault="0020170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ebből: közvetett részesedések</w:t>
            </w:r>
          </w:p>
          <w:p w14:paraId="47F659B9" w14:textId="51E8FFB9" w:rsidR="001B1411" w:rsidRPr="00DA7625" w:rsidRDefault="00A60195">
            <w:pPr>
              <w:pStyle w:val="InstructionsText"/>
              <w:rPr>
                <w:rStyle w:val="InstructionsTabelleberschrift"/>
                <w:rFonts w:ascii="Times New Roman" w:hAnsi="Times New Roman"/>
                <w:b w:val="0"/>
                <w:bCs w:val="0"/>
                <w:sz w:val="24"/>
                <w:u w:val="none"/>
              </w:rPr>
            </w:pPr>
            <w:r w:rsidRPr="00DA7625">
              <w:rPr>
                <w:rStyle w:val="InstructionsTabelleText"/>
                <w:rFonts w:ascii="Times New Roman" w:hAnsi="Times New Roman"/>
                <w:sz w:val="24"/>
              </w:rPr>
              <w:t>A sor 060. oszlopában feltüntetendő érték: a közvetett részesedések teljes összege, ideértve az olyan instrumentumokat, amelyeket az intézmény hatályos vagy függő szerződéses kötelezettségekből eredően köteles lehet megvásárolni; a CRR 476. cikkének b) pontja, valamint 477. cikke (2) bekezdésének b) pontja.</w:t>
            </w:r>
          </w:p>
        </w:tc>
      </w:tr>
      <w:tr w:rsidR="001B1411" w:rsidRPr="00DA7625" w14:paraId="533F9CB8" w14:textId="77777777" w:rsidTr="00672D2A">
        <w:tc>
          <w:tcPr>
            <w:tcW w:w="1012" w:type="dxa"/>
          </w:tcPr>
          <w:p w14:paraId="4606C2CC"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240</w:t>
            </w:r>
          </w:p>
        </w:tc>
        <w:tc>
          <w:tcPr>
            <w:tcW w:w="7478" w:type="dxa"/>
          </w:tcPr>
          <w:p w14:paraId="0C6BF191" w14:textId="77777777" w:rsidR="001B1411" w:rsidRPr="00DA7625" w:rsidRDefault="00A60195">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1.3.2.7.</w:t>
            </w:r>
            <w:r w:rsidRPr="00DA7625">
              <w:rPr>
                <w:rStyle w:val="InstructionsTabelleberschrift"/>
                <w:rFonts w:ascii="Times New Roman" w:hAnsi="Times New Roman"/>
                <w:sz w:val="24"/>
              </w:rPr>
              <w:tab/>
              <w:t>Kölcsönös részesedések</w:t>
            </w:r>
          </w:p>
          <w:p w14:paraId="241EF8E8" w14:textId="351C527E" w:rsidR="001B1411" w:rsidRPr="00DA7625" w:rsidRDefault="00A60195">
            <w:pPr>
              <w:spacing w:before="0"/>
              <w:rPr>
                <w:rStyle w:val="InstructionsTabelleberschrift"/>
                <w:rFonts w:ascii="Times New Roman" w:hAnsi="Times New Roman"/>
                <w:b w:val="0"/>
                <w:bCs w:val="0"/>
                <w:sz w:val="24"/>
                <w:u w:val="none"/>
              </w:rPr>
            </w:pPr>
            <w:r w:rsidRPr="00DA7625">
              <w:rPr>
                <w:rStyle w:val="InstructionsTabelleText"/>
                <w:rFonts w:ascii="Times New Roman" w:hAnsi="Times New Roman"/>
                <w:sz w:val="24"/>
              </w:rPr>
              <w:t>Mivel a maradványösszeg kezelése attól függően változik, hogy a pénzügyi ágazatbeli szervezet CET1 tőkéjében, AT1 tőkéjében</w:t>
            </w:r>
            <w:r w:rsidRPr="00DA7625">
              <w:rPr>
                <w:rFonts w:ascii="Times New Roman" w:hAnsi="Times New Roman"/>
                <w:sz w:val="24"/>
              </w:rPr>
              <w:t xml:space="preserve"> </w:t>
            </w:r>
            <w:r w:rsidRPr="00DA7625">
              <w:rPr>
                <w:rStyle w:val="InstructionsTabelleText"/>
                <w:rFonts w:ascii="Times New Roman" w:hAnsi="Times New Roman"/>
                <w:sz w:val="24"/>
              </w:rPr>
              <w:t>vagy járulékos tőkéjében lévő részesedés jelentősnek minősül-e vagy sem (a CRR 472. cikkének (9) bekezdése, 475. cikkének (3) bekezdése, valamint 477. cikkének (3) bekezdése), az intézményeknek a kölcsönös részesedéseiket jelentős részesedésre és nem jelentős részesedésre kell lebontaniuk.</w:t>
            </w:r>
          </w:p>
        </w:tc>
      </w:tr>
      <w:tr w:rsidR="001B1411" w:rsidRPr="00DA7625" w14:paraId="01BDBA6D" w14:textId="77777777" w:rsidTr="00672D2A">
        <w:tc>
          <w:tcPr>
            <w:tcW w:w="1012" w:type="dxa"/>
          </w:tcPr>
          <w:p w14:paraId="4A6C20C6"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250</w:t>
            </w:r>
          </w:p>
        </w:tc>
        <w:tc>
          <w:tcPr>
            <w:tcW w:w="7478" w:type="dxa"/>
          </w:tcPr>
          <w:p w14:paraId="31323548" w14:textId="77777777" w:rsidR="001B1411" w:rsidRPr="00DA7625" w:rsidRDefault="00A60195">
            <w:pPr>
              <w:pStyle w:val="InstructionsText"/>
              <w:rPr>
                <w:rStyle w:val="InstructionsTabelleText"/>
                <w:rFonts w:ascii="Times New Roman" w:hAnsi="Times New Roman"/>
                <w:b/>
                <w:bCs/>
                <w:sz w:val="24"/>
                <w:u w:val="single"/>
              </w:rPr>
            </w:pPr>
            <w:r w:rsidRPr="00DA7625">
              <w:rPr>
                <w:rStyle w:val="InstructionsTabelleberschrift"/>
                <w:rFonts w:ascii="Times New Roman" w:hAnsi="Times New Roman"/>
                <w:sz w:val="24"/>
              </w:rPr>
              <w:t>1.3.2.7.1</w:t>
            </w:r>
            <w:r w:rsidRPr="00DA7625">
              <w:rPr>
                <w:rStyle w:val="InstructionsTabelleberschrift"/>
                <w:rFonts w:ascii="Times New Roman" w:hAnsi="Times New Roman"/>
                <w:sz w:val="24"/>
              </w:rPr>
              <w:tab/>
              <w:t>Kölcsönös részesedések CET1 tőkeinstrumentumokban</w:t>
            </w:r>
          </w:p>
          <w:p w14:paraId="6E32CD77" w14:textId="5A5E926E"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36. cikke (1) bekezdésének g) pontja, 469. cikkének (1) bekezdése, 472. cikkének (9) bekezdése, valamint 478. cikke</w:t>
            </w:r>
          </w:p>
          <w:p w14:paraId="2E0144EB" w14:textId="54F6EACA" w:rsidR="001B1411" w:rsidRPr="00DA7625" w:rsidRDefault="00A60195">
            <w:pPr>
              <w:pStyle w:val="InstructionsText"/>
              <w:rPr>
                <w:rStyle w:val="InstructionsTabelleberschrift"/>
                <w:rFonts w:ascii="Times New Roman" w:hAnsi="Times New Roman"/>
                <w:b w:val="0"/>
                <w:bCs w:val="0"/>
                <w:sz w:val="24"/>
                <w:u w:val="none"/>
              </w:rPr>
            </w:pPr>
            <w:r w:rsidRPr="00DA7625">
              <w:rPr>
                <w:rStyle w:val="InstructionsTabelleText"/>
                <w:rFonts w:ascii="Times New Roman" w:hAnsi="Times New Roman"/>
                <w:sz w:val="24"/>
              </w:rPr>
              <w:t>A sor 060. oszlopában feltüntetendő érték: a CRR 36. cikke (1) bekezdésének g) pontja szerinti eredeti levonás.</w:t>
            </w:r>
          </w:p>
        </w:tc>
      </w:tr>
      <w:tr w:rsidR="001B1411" w:rsidRPr="00DA7625" w14:paraId="1C8169C7" w14:textId="77777777" w:rsidTr="00672D2A">
        <w:tc>
          <w:tcPr>
            <w:tcW w:w="1012" w:type="dxa"/>
          </w:tcPr>
          <w:p w14:paraId="66A58CE9"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260</w:t>
            </w:r>
          </w:p>
        </w:tc>
        <w:tc>
          <w:tcPr>
            <w:tcW w:w="7478" w:type="dxa"/>
          </w:tcPr>
          <w:p w14:paraId="781BB204" w14:textId="77777777" w:rsidR="001B1411" w:rsidRPr="00DA7625" w:rsidRDefault="00A60195">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1.3.2.7.1.1</w:t>
            </w:r>
            <w:r w:rsidRPr="00DA7625">
              <w:rPr>
                <w:rStyle w:val="InstructionsTabelleberschrift"/>
                <w:rFonts w:ascii="Times New Roman" w:hAnsi="Times New Roman"/>
                <w:sz w:val="24"/>
              </w:rPr>
              <w:tab/>
              <w:t>Pénzügyi ágazatbeli szervezetek CET1 tőkeinstrumentumaiban lévő kölcsönös részesedések, ha az intézmény nem rendelkezik jelentős részesedéssel az említett vállalkozásokban</w:t>
            </w:r>
          </w:p>
          <w:p w14:paraId="59893F75" w14:textId="17628D9A"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36. cikke (1) bekezdésének g) pontja, 469. cikkének (1) bekezdése, 472. cikke (9) bekezdésének a) pontja, valamint 478. cikke</w:t>
            </w:r>
          </w:p>
          <w:p w14:paraId="01545D06" w14:textId="55BFF63A"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sor 060. oszlopában feltüntetendő érték: a CRR 469. cikke (1) bekezdésének b) pontja szerinti maradványösszeg.</w:t>
            </w:r>
          </w:p>
        </w:tc>
      </w:tr>
      <w:tr w:rsidR="001B1411" w:rsidRPr="00DA7625" w14:paraId="5C092C88" w14:textId="77777777" w:rsidTr="00672D2A">
        <w:tc>
          <w:tcPr>
            <w:tcW w:w="1012" w:type="dxa"/>
          </w:tcPr>
          <w:p w14:paraId="2BC3AC6B"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270</w:t>
            </w:r>
          </w:p>
        </w:tc>
        <w:tc>
          <w:tcPr>
            <w:tcW w:w="7478" w:type="dxa"/>
          </w:tcPr>
          <w:p w14:paraId="0CBA61E6" w14:textId="77777777" w:rsidR="001B1411" w:rsidRPr="00DA7625" w:rsidRDefault="00A60195">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1.3.2.7.1.2</w:t>
            </w:r>
            <w:r w:rsidRPr="00DA7625">
              <w:rPr>
                <w:rStyle w:val="InstructionsTabelleberschrift"/>
                <w:rFonts w:ascii="Times New Roman" w:hAnsi="Times New Roman"/>
                <w:sz w:val="24"/>
              </w:rPr>
              <w:tab/>
              <w:t>Pénzügyi ágazatbeli szervezetek CET1 tőkeinstrumentumaiban lévő kölcsönös részesedések, ha az intézmény jelentős részesedéssel rendelkezik az említett vállalkozásokban</w:t>
            </w:r>
          </w:p>
          <w:p w14:paraId="654A684A" w14:textId="77777777"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lastRenderedPageBreak/>
              <w:t>A CRR 36. cikke (1) bekezdésének g) pontja, 469. cikkének (1) bekezdése, 472. cikke (9) bekezdésének b) pontja, valamint 478. cikke</w:t>
            </w:r>
          </w:p>
          <w:p w14:paraId="13FC95BD" w14:textId="71F93C72"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sor 060. oszlopában feltüntetendő érték: a CRR 469. cikke (1) bekezdésének b) pontja szerinti maradványösszeg.</w:t>
            </w:r>
          </w:p>
        </w:tc>
      </w:tr>
      <w:tr w:rsidR="001B1411" w:rsidRPr="00DA7625" w14:paraId="241FB5AC" w14:textId="77777777" w:rsidTr="00672D2A">
        <w:tc>
          <w:tcPr>
            <w:tcW w:w="1012" w:type="dxa"/>
          </w:tcPr>
          <w:p w14:paraId="66FE3213"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lastRenderedPageBreak/>
              <w:t>280</w:t>
            </w:r>
          </w:p>
        </w:tc>
        <w:tc>
          <w:tcPr>
            <w:tcW w:w="7478" w:type="dxa"/>
          </w:tcPr>
          <w:p w14:paraId="40D3E67B" w14:textId="77777777" w:rsidR="001B1411" w:rsidRPr="00DA7625" w:rsidRDefault="00A60195">
            <w:pPr>
              <w:pStyle w:val="InstructionsText"/>
              <w:rPr>
                <w:rStyle w:val="InstructionsTabelleText"/>
                <w:rFonts w:ascii="Times New Roman" w:hAnsi="Times New Roman"/>
                <w:b/>
                <w:bCs/>
                <w:sz w:val="24"/>
                <w:u w:val="single"/>
              </w:rPr>
            </w:pPr>
            <w:r w:rsidRPr="00DA7625">
              <w:rPr>
                <w:rStyle w:val="InstructionsTabelleberschrift"/>
                <w:rFonts w:ascii="Times New Roman" w:hAnsi="Times New Roman"/>
                <w:sz w:val="24"/>
              </w:rPr>
              <w:t>1.3.2.7.2</w:t>
            </w:r>
            <w:r w:rsidRPr="00DA7625">
              <w:rPr>
                <w:rStyle w:val="InstructionsTabelleberschrift"/>
                <w:rFonts w:ascii="Times New Roman" w:hAnsi="Times New Roman"/>
                <w:sz w:val="24"/>
              </w:rPr>
              <w:tab/>
              <w:t>Kölcsönös részesedések AT1 tőkeinstrumentumokban</w:t>
            </w:r>
          </w:p>
          <w:p w14:paraId="1C3DE5E3" w14:textId="36BD75FD"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56. cikkének b) pontja, 474. cikke, 475. cikkének (3) bekezdése, valamint 478. cikke</w:t>
            </w:r>
          </w:p>
          <w:p w14:paraId="0DA8E9D8" w14:textId="26B00297"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sor 060. oszlopában feltüntetendő érték: a CRR 56. cikkének b) pontja szerinti eredeti levonás.</w:t>
            </w:r>
          </w:p>
        </w:tc>
      </w:tr>
      <w:tr w:rsidR="001B1411" w:rsidRPr="00DA7625" w14:paraId="325C3B8D" w14:textId="77777777" w:rsidTr="00672D2A">
        <w:tc>
          <w:tcPr>
            <w:tcW w:w="1012" w:type="dxa"/>
          </w:tcPr>
          <w:p w14:paraId="6F8955C8"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290</w:t>
            </w:r>
          </w:p>
        </w:tc>
        <w:tc>
          <w:tcPr>
            <w:tcW w:w="7478" w:type="dxa"/>
          </w:tcPr>
          <w:p w14:paraId="02ACD2BF" w14:textId="77777777" w:rsidR="001B1411" w:rsidRPr="00DA7625" w:rsidRDefault="00A60195">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1.3.2.7.2.1</w:t>
            </w:r>
            <w:r w:rsidRPr="00DA7625">
              <w:rPr>
                <w:rStyle w:val="InstructionsTabelleberschrift"/>
                <w:rFonts w:ascii="Times New Roman" w:hAnsi="Times New Roman"/>
                <w:sz w:val="24"/>
              </w:rPr>
              <w:tab/>
              <w:t>Pénzügyi ágazatbeli szervezetek AT1 tőkeinstrumentumaiban lévő kölcsönös részesedések, ha az intézmény nem rendelkezik jelentős részesedéssel az említett vállalkozásokban</w:t>
            </w:r>
          </w:p>
          <w:p w14:paraId="3B1D8AE1" w14:textId="77777777"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56. cikkének b) pontja, 474. cikke, 475. cikke (3) bekezdésének a) pontja, valamint 478. cikke</w:t>
            </w:r>
          </w:p>
          <w:p w14:paraId="14C3B0A4" w14:textId="77D84F74"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sor 060. oszlopában feltüntetendő érték: a CRR 475. cikkének (3) bekezdése szerinti maradványösszeg.</w:t>
            </w:r>
          </w:p>
        </w:tc>
      </w:tr>
      <w:tr w:rsidR="001B1411" w:rsidRPr="00DA7625" w14:paraId="1EB2D1E2" w14:textId="77777777" w:rsidTr="00672D2A">
        <w:tc>
          <w:tcPr>
            <w:tcW w:w="1012" w:type="dxa"/>
          </w:tcPr>
          <w:p w14:paraId="17655E00"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300</w:t>
            </w:r>
          </w:p>
        </w:tc>
        <w:tc>
          <w:tcPr>
            <w:tcW w:w="7478" w:type="dxa"/>
          </w:tcPr>
          <w:p w14:paraId="26D3EE4F" w14:textId="77777777" w:rsidR="001B1411" w:rsidRPr="00DA7625" w:rsidRDefault="00A60195">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1.3.2.7.2.2</w:t>
            </w:r>
            <w:r w:rsidRPr="00DA7625">
              <w:rPr>
                <w:rStyle w:val="InstructionsTabelleberschrift"/>
                <w:rFonts w:ascii="Times New Roman" w:hAnsi="Times New Roman"/>
                <w:sz w:val="24"/>
              </w:rPr>
              <w:tab/>
              <w:t>Pénzügyi ágazatbeli szervezetek AT1 tőkeinstrumentumaiban lévő kölcsönös részesedések, ha az intézmény jelentős részesedéssel rendelkezik az említett vállalkozásokban</w:t>
            </w:r>
          </w:p>
          <w:p w14:paraId="2B6A0B0B" w14:textId="77777777"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56. cikkének b) pontja, 474. cikke, 475. cikke (3) bekezdésének b) pontja, valamint 478. cikke</w:t>
            </w:r>
          </w:p>
          <w:p w14:paraId="26A4E35B" w14:textId="6F95E20E"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sor 060. oszlopában feltüntetendő érték: a CRR 475. cikkének (3) bekezdése szerinti maradványösszeg.</w:t>
            </w:r>
          </w:p>
        </w:tc>
      </w:tr>
      <w:tr w:rsidR="001B1411" w:rsidRPr="00DA7625" w14:paraId="7B23C126" w14:textId="77777777" w:rsidTr="00672D2A">
        <w:tc>
          <w:tcPr>
            <w:tcW w:w="1012" w:type="dxa"/>
          </w:tcPr>
          <w:p w14:paraId="4D2A8AF1"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310</w:t>
            </w:r>
          </w:p>
        </w:tc>
        <w:tc>
          <w:tcPr>
            <w:tcW w:w="7478" w:type="dxa"/>
          </w:tcPr>
          <w:p w14:paraId="74211019" w14:textId="77777777" w:rsidR="001B1411" w:rsidRPr="00DA7625" w:rsidRDefault="00A60195">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1.3.2.7.3</w:t>
            </w:r>
            <w:r w:rsidRPr="00DA7625">
              <w:rPr>
                <w:rStyle w:val="InstructionsTabelleberschrift"/>
                <w:rFonts w:ascii="Times New Roman" w:hAnsi="Times New Roman"/>
                <w:sz w:val="24"/>
              </w:rPr>
              <w:tab/>
              <w:t>Kölcsönös részesedések T2 tőkeinstrumentumokban</w:t>
            </w:r>
          </w:p>
          <w:p w14:paraId="3373730A" w14:textId="5ACDB7ED"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66. cikkének b) pontja, 476. cikke, 477. cikkének (3) bekezdése, valamint 478. cikke</w:t>
            </w:r>
          </w:p>
          <w:p w14:paraId="6F110618" w14:textId="50E81A9F"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sor 060. oszlopában feltüntetendő érték:</w:t>
            </w:r>
            <w:r w:rsidRPr="00DA7625">
              <w:t xml:space="preserve"> </w:t>
            </w:r>
            <w:r w:rsidRPr="00DA7625">
              <w:rPr>
                <w:rStyle w:val="InstructionsTabelleText"/>
                <w:rFonts w:ascii="Times New Roman" w:hAnsi="Times New Roman"/>
                <w:sz w:val="24"/>
              </w:rPr>
              <w:t>a CRR 66. cikkének b) pontja szerinti eredeti levonás.</w:t>
            </w:r>
          </w:p>
        </w:tc>
      </w:tr>
      <w:tr w:rsidR="001B1411" w:rsidRPr="00DA7625" w14:paraId="3EBCC695" w14:textId="77777777" w:rsidTr="00672D2A">
        <w:tc>
          <w:tcPr>
            <w:tcW w:w="1012" w:type="dxa"/>
          </w:tcPr>
          <w:p w14:paraId="25B5C784"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320</w:t>
            </w:r>
          </w:p>
        </w:tc>
        <w:tc>
          <w:tcPr>
            <w:tcW w:w="7478" w:type="dxa"/>
          </w:tcPr>
          <w:p w14:paraId="49B3DE68" w14:textId="77777777" w:rsidR="001B1411" w:rsidRPr="00DA7625" w:rsidRDefault="00A60195">
            <w:pPr>
              <w:pStyle w:val="InstructionsText"/>
              <w:rPr>
                <w:rStyle w:val="InstructionsTabelleText"/>
                <w:rFonts w:ascii="Times New Roman" w:hAnsi="Times New Roman"/>
                <w:b/>
                <w:bCs/>
                <w:sz w:val="24"/>
                <w:u w:val="single"/>
              </w:rPr>
            </w:pPr>
            <w:r w:rsidRPr="00DA7625">
              <w:rPr>
                <w:rStyle w:val="InstructionsTabelleberschrift"/>
                <w:rFonts w:ascii="Times New Roman" w:hAnsi="Times New Roman"/>
                <w:sz w:val="24"/>
              </w:rPr>
              <w:t>1.3.2.7.3.1</w:t>
            </w:r>
            <w:r w:rsidRPr="00DA7625">
              <w:rPr>
                <w:rStyle w:val="InstructionsTabelleberschrift"/>
                <w:rFonts w:ascii="Times New Roman" w:hAnsi="Times New Roman"/>
                <w:sz w:val="24"/>
              </w:rPr>
              <w:tab/>
              <w:t>Pénzügyi ágazatbeli szervezetek T2 tőkeinstrumentumaiban lévő kölcsönös részesedések, ha az intézmény nem rendelkezik jelentős részesedéssel az említett vállalkozásokban</w:t>
            </w:r>
          </w:p>
          <w:p w14:paraId="14681240" w14:textId="735235DA"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66. cikkének b) pontja, 476. cikke, 477. cikke (3) bekezdésének a) pontja, valamint 478. cikke</w:t>
            </w:r>
          </w:p>
          <w:p w14:paraId="0DC44CA3" w14:textId="20BFEE63"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sor 060. oszlopában feltüntetendő érték: a CRR 477. cikkének (3) bekezdése szerinti maradványösszeg.</w:t>
            </w:r>
          </w:p>
        </w:tc>
      </w:tr>
      <w:tr w:rsidR="001B1411" w:rsidRPr="00DA7625" w14:paraId="3385AA1F" w14:textId="77777777" w:rsidTr="00672D2A">
        <w:tc>
          <w:tcPr>
            <w:tcW w:w="1012" w:type="dxa"/>
          </w:tcPr>
          <w:p w14:paraId="6B1B12E6"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330</w:t>
            </w:r>
          </w:p>
        </w:tc>
        <w:tc>
          <w:tcPr>
            <w:tcW w:w="7478" w:type="dxa"/>
          </w:tcPr>
          <w:p w14:paraId="08B0FA6B" w14:textId="77777777" w:rsidR="001B1411" w:rsidRPr="00DA7625" w:rsidRDefault="00A60195">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1.3.2.7.3.2</w:t>
            </w:r>
            <w:r w:rsidRPr="00DA7625">
              <w:rPr>
                <w:rStyle w:val="InstructionsTabelleberschrift"/>
                <w:rFonts w:ascii="Times New Roman" w:hAnsi="Times New Roman"/>
                <w:sz w:val="24"/>
              </w:rPr>
              <w:tab/>
              <w:t>Pénzügyi ágazatbeli szervezetek T2 tőkeinstrumentumaiban lévő kölcsönös részesedések, ha az intézmény jelentős részesedéssel rendelkezik az említett vállalkozásokban</w:t>
            </w:r>
          </w:p>
          <w:p w14:paraId="08838DE7" w14:textId="7E291910"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66. cikkének b) pontja, 476. cikke, 477. cikke (3) bekezdésének a) pontja, valamint 478. cikke</w:t>
            </w:r>
          </w:p>
          <w:p w14:paraId="00F78A6A" w14:textId="72920460"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lastRenderedPageBreak/>
              <w:t>A sor 060. oszlopában feltüntetendő érték: a CRR 477. cikkének (3) bekezdése szerinti maradványösszeg.</w:t>
            </w:r>
          </w:p>
        </w:tc>
      </w:tr>
      <w:tr w:rsidR="001B1411" w:rsidRPr="00DA7625" w14:paraId="63CDFA28" w14:textId="77777777" w:rsidTr="00672D2A">
        <w:tc>
          <w:tcPr>
            <w:tcW w:w="1012" w:type="dxa"/>
          </w:tcPr>
          <w:p w14:paraId="29DC4826"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lastRenderedPageBreak/>
              <w:t>340</w:t>
            </w:r>
          </w:p>
        </w:tc>
        <w:tc>
          <w:tcPr>
            <w:tcW w:w="7478" w:type="dxa"/>
          </w:tcPr>
          <w:p w14:paraId="02C89377" w14:textId="77777777" w:rsidR="001B1411" w:rsidRPr="00DA7625" w:rsidRDefault="00A60195">
            <w:pPr>
              <w:pStyle w:val="InstructionsText"/>
              <w:rPr>
                <w:rStyle w:val="InstructionsTabelleText"/>
                <w:rFonts w:ascii="Times New Roman" w:hAnsi="Times New Roman"/>
                <w:b/>
                <w:bCs/>
                <w:sz w:val="24"/>
                <w:u w:val="single"/>
              </w:rPr>
            </w:pPr>
            <w:r w:rsidRPr="00DA7625">
              <w:rPr>
                <w:rStyle w:val="InstructionsTabelleberschrift"/>
                <w:rFonts w:ascii="Times New Roman" w:hAnsi="Times New Roman"/>
                <w:sz w:val="24"/>
              </w:rPr>
              <w:t>1.3.2.8.</w:t>
            </w:r>
            <w:r w:rsidRPr="00DA7625">
              <w:rPr>
                <w:rStyle w:val="InstructionsTabelleberschrift"/>
                <w:rFonts w:ascii="Times New Roman" w:hAnsi="Times New Roman"/>
                <w:sz w:val="24"/>
              </w:rPr>
              <w:tab/>
              <w:t>Pénzügyi ágazatbeli szervezetek által kibocsátott szavatolótőke-instrumentumok, ha az intézmény nem rendelkezik jelentős részesedéssel az említett vállalkozásokban</w:t>
            </w:r>
          </w:p>
        </w:tc>
      </w:tr>
      <w:tr w:rsidR="001B1411" w:rsidRPr="00DA7625" w14:paraId="75EFB10E" w14:textId="77777777" w:rsidTr="00672D2A">
        <w:tc>
          <w:tcPr>
            <w:tcW w:w="1012" w:type="dxa"/>
          </w:tcPr>
          <w:p w14:paraId="7002C262"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350</w:t>
            </w:r>
          </w:p>
        </w:tc>
        <w:tc>
          <w:tcPr>
            <w:tcW w:w="7478" w:type="dxa"/>
          </w:tcPr>
          <w:p w14:paraId="34E82DB3" w14:textId="77777777" w:rsidR="001B1411" w:rsidRPr="00DA7625" w:rsidRDefault="00A60195">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1.3.2.8.1</w:t>
            </w:r>
            <w:r w:rsidRPr="00DA7625">
              <w:rPr>
                <w:rStyle w:val="InstructionsTabelleberschrift"/>
                <w:rFonts w:ascii="Times New Roman" w:hAnsi="Times New Roman"/>
                <w:sz w:val="24"/>
              </w:rPr>
              <w:tab/>
              <w:t>Pénzügyi ágazatbeli szervezetek által kibocsátott CET1 tőkeinstrumentumok, ha az intézmény nem rendelkezik jelentős részesedéssel az említett vállalkozásokban</w:t>
            </w:r>
          </w:p>
          <w:p w14:paraId="4A2E0EDC" w14:textId="2584F7F6"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36. cikke (1) bekezdésének h) pontja, 469. cikkének (1) bekezdése, 472. cikkének (10) bekezdése, valamint 478. cikke</w:t>
            </w:r>
          </w:p>
          <w:p w14:paraId="63FCD7CD" w14:textId="260FCEE5"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sor 060. oszlopában feltüntetendő érték: a CRR 36. cikke (1) bekezdésének h) pontja szerinti eredeti levonás.</w:t>
            </w:r>
          </w:p>
        </w:tc>
      </w:tr>
      <w:tr w:rsidR="001B1411" w:rsidRPr="00DA7625" w14:paraId="4FDF3963" w14:textId="77777777" w:rsidTr="00672D2A">
        <w:tc>
          <w:tcPr>
            <w:tcW w:w="1012" w:type="dxa"/>
          </w:tcPr>
          <w:p w14:paraId="07686146"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360</w:t>
            </w:r>
          </w:p>
        </w:tc>
        <w:tc>
          <w:tcPr>
            <w:tcW w:w="7478" w:type="dxa"/>
          </w:tcPr>
          <w:p w14:paraId="4A685F38" w14:textId="77777777" w:rsidR="001B1411" w:rsidRPr="00DA7625" w:rsidRDefault="00A60195">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1.3.2.8.2</w:t>
            </w:r>
            <w:r w:rsidRPr="00DA7625">
              <w:rPr>
                <w:rStyle w:val="InstructionsTabelleberschrift"/>
                <w:rFonts w:ascii="Times New Roman" w:hAnsi="Times New Roman"/>
                <w:sz w:val="24"/>
              </w:rPr>
              <w:tab/>
              <w:t>Pénzügyi ágazatbeli szervezetek által kibocsátott AT1 tőkeinstrumentumok, ha az intézmény nem rendelkezik jelentős részesedéssel az említett vállalkozásokban</w:t>
            </w:r>
          </w:p>
          <w:p w14:paraId="2119C84E" w14:textId="6E109E0D"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56. cikkének c) pontja, 474. cikke, 475. cikkének (4) bekezdése, valamint 478. cikke</w:t>
            </w:r>
          </w:p>
          <w:p w14:paraId="75260D75" w14:textId="303F222E"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sor 060. oszlopában feltüntetendő érték: a CRR 56. cikkének c) pontja szerinti eredeti levonás.</w:t>
            </w:r>
          </w:p>
        </w:tc>
      </w:tr>
      <w:tr w:rsidR="001B1411" w:rsidRPr="00DA7625" w14:paraId="7CFBB2F4" w14:textId="77777777" w:rsidTr="00672D2A">
        <w:tc>
          <w:tcPr>
            <w:tcW w:w="1012" w:type="dxa"/>
          </w:tcPr>
          <w:p w14:paraId="41A97CC8"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370</w:t>
            </w:r>
          </w:p>
        </w:tc>
        <w:tc>
          <w:tcPr>
            <w:tcW w:w="7478" w:type="dxa"/>
          </w:tcPr>
          <w:p w14:paraId="1E24DB20" w14:textId="77777777" w:rsidR="001B1411" w:rsidRPr="00DA7625" w:rsidRDefault="00A60195">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1.3.2.8.3</w:t>
            </w:r>
            <w:r w:rsidRPr="00DA7625">
              <w:rPr>
                <w:rStyle w:val="InstructionsTabelleberschrift"/>
                <w:rFonts w:ascii="Times New Roman" w:hAnsi="Times New Roman"/>
                <w:sz w:val="24"/>
              </w:rPr>
              <w:tab/>
              <w:t>Pénzügyi ágazatbeli szervezetek által kibocsátott T2 tőkeinstrumentumok, ha az intézmény nem rendelkezik jelentős részesedéssel az említett vállalkozásokban</w:t>
            </w:r>
          </w:p>
          <w:p w14:paraId="06F725A2" w14:textId="38C33699"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66. cikkének c) pontja, 476. cikke, 477. cikkének (4) bekezdése, valamint 478. cikke</w:t>
            </w:r>
          </w:p>
          <w:p w14:paraId="526B6482" w14:textId="3E401A67"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sor 060. oszlopában feltüntetendő érték: a CRR 66. cikkének c) pontja szerinti eredeti levonás</w:t>
            </w:r>
          </w:p>
        </w:tc>
      </w:tr>
      <w:tr w:rsidR="001B1411" w:rsidRPr="00DA7625" w14:paraId="786115CC" w14:textId="77777777" w:rsidTr="00672D2A">
        <w:tc>
          <w:tcPr>
            <w:tcW w:w="1012" w:type="dxa"/>
          </w:tcPr>
          <w:p w14:paraId="5F0D31C6"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380</w:t>
            </w:r>
          </w:p>
        </w:tc>
        <w:tc>
          <w:tcPr>
            <w:tcW w:w="7478" w:type="dxa"/>
          </w:tcPr>
          <w:p w14:paraId="183B71F1" w14:textId="77777777" w:rsidR="001B1411" w:rsidRPr="00DA7625" w:rsidRDefault="00A60195">
            <w:pPr>
              <w:pStyle w:val="InstructionsText"/>
              <w:rPr>
                <w:rStyle w:val="InstructionsTabelleText"/>
                <w:rFonts w:ascii="Times New Roman" w:hAnsi="Times New Roman"/>
                <w:b/>
                <w:bCs/>
                <w:sz w:val="24"/>
                <w:u w:val="single"/>
              </w:rPr>
            </w:pPr>
            <w:r w:rsidRPr="00DA7625">
              <w:rPr>
                <w:rStyle w:val="InstructionsTabelleberschrift"/>
                <w:rFonts w:ascii="Times New Roman" w:hAnsi="Times New Roman"/>
                <w:sz w:val="24"/>
              </w:rPr>
              <w:t>1.3.2.9</w:t>
            </w:r>
            <w:r w:rsidRPr="00DA7625">
              <w:rPr>
                <w:rStyle w:val="InstructionsTabelleberschrift"/>
                <w:rFonts w:ascii="Times New Roman" w:hAnsi="Times New Roman"/>
                <w:sz w:val="24"/>
              </w:rPr>
              <w:tab/>
              <w:t>A jövőbeni nyereségtől függően érvényesíthető és átmeneti különbözetekből eredő halasztott adókövetelések, valamint a pénzügyi ágazatbeli szervezetek által kibocsátott CET1 tőkeinstrumentumok, ha az intézmény jelentős részesedéssel rendelkezik az említett vállalkozásokban</w:t>
            </w:r>
          </w:p>
          <w:p w14:paraId="3B8EEB70" w14:textId="3FBCB008" w:rsidR="001B1411" w:rsidRPr="00DA7625" w:rsidRDefault="00167619">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470. cikkének (2) és (3) bekezdése</w:t>
            </w:r>
          </w:p>
          <w:p w14:paraId="74EB0D10" w14:textId="2AEBE20C"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sor 060. oszlopában feltüntetendő érték: A CRR 470. cikkének (1) bekezdése</w:t>
            </w:r>
          </w:p>
        </w:tc>
      </w:tr>
      <w:tr w:rsidR="001B1411" w:rsidRPr="00DA7625" w14:paraId="74EEC66A" w14:textId="77777777" w:rsidTr="00672D2A">
        <w:tc>
          <w:tcPr>
            <w:tcW w:w="1012" w:type="dxa"/>
          </w:tcPr>
          <w:p w14:paraId="3F8E1E08" w14:textId="77777777" w:rsidR="001B1411" w:rsidRPr="00DA7625" w:rsidRDefault="004A705D">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385</w:t>
            </w:r>
          </w:p>
        </w:tc>
        <w:tc>
          <w:tcPr>
            <w:tcW w:w="7478" w:type="dxa"/>
          </w:tcPr>
          <w:p w14:paraId="4A22FA8A" w14:textId="77777777" w:rsidR="001B1411" w:rsidRPr="00DA7625" w:rsidRDefault="004A705D">
            <w:pPr>
              <w:pStyle w:val="InstructionsText"/>
              <w:rPr>
                <w:rStyle w:val="InstructionsTabelleText"/>
                <w:rFonts w:ascii="Times New Roman" w:hAnsi="Times New Roman"/>
                <w:b/>
                <w:bCs/>
                <w:sz w:val="24"/>
                <w:u w:val="single"/>
              </w:rPr>
            </w:pPr>
            <w:r w:rsidRPr="00DA7625">
              <w:rPr>
                <w:rStyle w:val="InstructionsTabelleberschrift"/>
                <w:rFonts w:ascii="Times New Roman" w:hAnsi="Times New Roman"/>
                <w:sz w:val="24"/>
              </w:rPr>
              <w:t>Jövőbeli nyereségtől függően érvényesíthető és átmeneti különbözetből eredő halasztott adókövetelések</w:t>
            </w:r>
          </w:p>
          <w:p w14:paraId="3AF24D9C" w14:textId="14C2A0D3" w:rsidR="001B1411" w:rsidRPr="00DA7625" w:rsidRDefault="00BB22D4">
            <w:pPr>
              <w:pStyle w:val="InstructionsText"/>
              <w:rPr>
                <w:rStyle w:val="InstructionsTabelleText"/>
                <w:rFonts w:ascii="Times New Roman" w:hAnsi="Times New Roman"/>
                <w:bCs/>
                <w:sz w:val="24"/>
              </w:rPr>
            </w:pPr>
            <w:r w:rsidRPr="00DA7625">
              <w:rPr>
                <w:rStyle w:val="InstructionsTabelleText"/>
                <w:rFonts w:ascii="Times New Roman" w:hAnsi="Times New Roman"/>
                <w:bCs/>
                <w:sz w:val="24"/>
              </w:rPr>
              <w:t>A CRR 469. cikke (1) bekezdésének c) pontja, 472. cikkének (5) bekezdése, valamint 478. cikke</w:t>
            </w:r>
          </w:p>
          <w:p w14:paraId="7C982C77" w14:textId="01643ABA" w:rsidR="001B1411" w:rsidRPr="00DA7625" w:rsidRDefault="004A705D">
            <w:pPr>
              <w:pStyle w:val="InstructionsText"/>
              <w:rPr>
                <w:rStyle w:val="InstructionsTabelleberschrift"/>
                <w:rFonts w:ascii="Times New Roman" w:hAnsi="Times New Roman"/>
                <w:b w:val="0"/>
                <w:sz w:val="24"/>
                <w:u w:val="none"/>
              </w:rPr>
            </w:pPr>
            <w:r w:rsidRPr="00DA7625">
              <w:rPr>
                <w:rStyle w:val="InstructionsTabelleText"/>
                <w:rFonts w:ascii="Times New Roman" w:hAnsi="Times New Roman"/>
                <w:bCs/>
                <w:sz w:val="24"/>
              </w:rPr>
              <w:t>A jövőbeli nyereségtől függően érvényesíthető és átmeneti különbözetből eredő halasztott adókövetelések azon része, amely meghaladja a CRR 470. cikke (2) bekezdésének a) pontjában foglalt 10 %-os küszöböt.</w:t>
            </w:r>
          </w:p>
        </w:tc>
      </w:tr>
      <w:tr w:rsidR="001B1411" w:rsidRPr="00DA7625" w14:paraId="2023DCD6" w14:textId="77777777" w:rsidTr="00672D2A">
        <w:trPr>
          <w:trHeight w:val="60"/>
        </w:trPr>
        <w:tc>
          <w:tcPr>
            <w:tcW w:w="1012" w:type="dxa"/>
          </w:tcPr>
          <w:p w14:paraId="073ED403"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lastRenderedPageBreak/>
              <w:t>390</w:t>
            </w:r>
          </w:p>
        </w:tc>
        <w:tc>
          <w:tcPr>
            <w:tcW w:w="7478" w:type="dxa"/>
          </w:tcPr>
          <w:p w14:paraId="1058222D" w14:textId="77777777" w:rsidR="001B1411" w:rsidRPr="00DA7625" w:rsidRDefault="00A60195">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1.3.2.10</w:t>
            </w:r>
            <w:r w:rsidRPr="00DA7625">
              <w:rPr>
                <w:rStyle w:val="InstructionsTabelleberschrift"/>
                <w:rFonts w:ascii="Times New Roman" w:hAnsi="Times New Roman"/>
                <w:sz w:val="24"/>
              </w:rPr>
              <w:tab/>
              <w:t>Pénzügyi ágazatbeli szervezetek által kibocsátott szavatolótőke-instrumentumok, ha az intézmény jelentős részesedéssel rendelkezik az említett vállalkozásokban</w:t>
            </w:r>
          </w:p>
        </w:tc>
      </w:tr>
      <w:tr w:rsidR="001B1411" w:rsidRPr="00DA7625" w14:paraId="3748CEFA" w14:textId="77777777" w:rsidTr="00672D2A">
        <w:tc>
          <w:tcPr>
            <w:tcW w:w="1012" w:type="dxa"/>
          </w:tcPr>
          <w:p w14:paraId="1ADBB1F8"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400</w:t>
            </w:r>
          </w:p>
        </w:tc>
        <w:tc>
          <w:tcPr>
            <w:tcW w:w="7478" w:type="dxa"/>
          </w:tcPr>
          <w:p w14:paraId="794741B8" w14:textId="77777777" w:rsidR="001B1411" w:rsidRPr="00DA7625" w:rsidRDefault="00A60195">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1.3.2.10.1</w:t>
            </w:r>
            <w:r w:rsidRPr="00DA7625">
              <w:rPr>
                <w:rStyle w:val="InstructionsTabelleberschrift"/>
                <w:rFonts w:ascii="Times New Roman" w:hAnsi="Times New Roman"/>
                <w:sz w:val="24"/>
              </w:rPr>
              <w:tab/>
              <w:t>Pénzügyi ágazatbeli szervezetek által kibocsátott CET1 tőkeinstrumentumok, ha az intézmény jelentős részesedéssel rendelkezik az említett vállalkozásokban</w:t>
            </w:r>
          </w:p>
          <w:p w14:paraId="3DB12CC0" w14:textId="1094C9E7"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36. cikke (1) bekezdésének i) pontja, 469. cikkének (1) bekezdése, 472. cikkének (11) bekezdése, valamint 478. cikke</w:t>
            </w:r>
          </w:p>
          <w:p w14:paraId="510E93CC" w14:textId="13E451F4"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sor 060. oszlopában feltüntetendő érték: a CRR 36. cikke (1) bekezdésének i) pontja szerinti eredeti levonás.</w:t>
            </w:r>
          </w:p>
        </w:tc>
      </w:tr>
      <w:tr w:rsidR="001B1411" w:rsidRPr="00DA7625" w14:paraId="1DAFD9EE" w14:textId="77777777" w:rsidTr="00672D2A">
        <w:tc>
          <w:tcPr>
            <w:tcW w:w="1012" w:type="dxa"/>
          </w:tcPr>
          <w:p w14:paraId="7F392CCD"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410</w:t>
            </w:r>
          </w:p>
        </w:tc>
        <w:tc>
          <w:tcPr>
            <w:tcW w:w="7478" w:type="dxa"/>
          </w:tcPr>
          <w:p w14:paraId="4F78A876" w14:textId="77777777" w:rsidR="001B1411" w:rsidRPr="00DA7625" w:rsidRDefault="00A60195">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1.3.2.10.2</w:t>
            </w:r>
            <w:r w:rsidRPr="00DA7625">
              <w:rPr>
                <w:rStyle w:val="InstructionsTabelleberschrift"/>
                <w:rFonts w:ascii="Times New Roman" w:hAnsi="Times New Roman"/>
                <w:sz w:val="24"/>
              </w:rPr>
              <w:tab/>
              <w:t>Pénzügyi ágazatbeli szervezetek által kibocsátott AT1 tőkeinstrumentumok, ha az intézmény jelentős részesedéssel rendelkezik az említett vállalkozásokban</w:t>
            </w:r>
          </w:p>
          <w:p w14:paraId="62E39799" w14:textId="0AB10383"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56. cikkének d) pontja, 474. cikke, 475. cikkének (4) bekezdése, valamint 478. cikke</w:t>
            </w:r>
          </w:p>
          <w:p w14:paraId="503BB587" w14:textId="1F5F1BFC"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sor 060. oszlopában feltüntetendő érték: a CRR 56. cikkének d) pontja szerinti eredeti levonás</w:t>
            </w:r>
          </w:p>
        </w:tc>
      </w:tr>
      <w:tr w:rsidR="001B1411" w:rsidRPr="00DA7625" w14:paraId="6FAB7611" w14:textId="77777777" w:rsidTr="00672D2A">
        <w:tc>
          <w:tcPr>
            <w:tcW w:w="1012" w:type="dxa"/>
          </w:tcPr>
          <w:p w14:paraId="7E4849C9" w14:textId="77777777" w:rsidR="001B1411" w:rsidRPr="00DA7625" w:rsidDel="00E41E4F"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420</w:t>
            </w:r>
          </w:p>
        </w:tc>
        <w:tc>
          <w:tcPr>
            <w:tcW w:w="7478" w:type="dxa"/>
          </w:tcPr>
          <w:p w14:paraId="3643AB6A" w14:textId="77777777" w:rsidR="001B1411" w:rsidRPr="00DA7625" w:rsidRDefault="00A60195">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1.3.2.10.2</w:t>
            </w:r>
            <w:r w:rsidRPr="00DA7625">
              <w:rPr>
                <w:rStyle w:val="InstructionsTabelleberschrift"/>
                <w:rFonts w:ascii="Times New Roman" w:hAnsi="Times New Roman"/>
                <w:sz w:val="24"/>
              </w:rPr>
              <w:tab/>
              <w:t>Pénzügyi ágazatbeli szervezetek által kibocsátott T2 tőkeinstrumentumok, ha az intézmény jelentős részesedéssel rendelkezik az említett vállalkozásokban</w:t>
            </w:r>
          </w:p>
          <w:p w14:paraId="5D13E409" w14:textId="58F0F90D" w:rsidR="001B1411" w:rsidRPr="00DA7625" w:rsidRDefault="00BB22D4">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66. cikkének d) pontja, 476. cikke, 477. cikkének (4) bekezdése, valamint 478. cikke</w:t>
            </w:r>
          </w:p>
          <w:p w14:paraId="5F202800" w14:textId="42757C21"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sor 060. oszlopában feltüntetendő érték: a CRR 66. cikkének d) pontja szerinti eredeti levonás.</w:t>
            </w:r>
          </w:p>
        </w:tc>
      </w:tr>
      <w:tr w:rsidR="001B1411" w:rsidRPr="00DA7625" w14:paraId="0B9FD5DC" w14:textId="77777777" w:rsidTr="00672D2A">
        <w:tc>
          <w:tcPr>
            <w:tcW w:w="1012" w:type="dxa"/>
          </w:tcPr>
          <w:p w14:paraId="1FDD63DD" w14:textId="77777777"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425</w:t>
            </w:r>
          </w:p>
        </w:tc>
        <w:tc>
          <w:tcPr>
            <w:tcW w:w="7478" w:type="dxa"/>
          </w:tcPr>
          <w:p w14:paraId="0B4CC82A" w14:textId="77777777" w:rsidR="001B1411" w:rsidRPr="00DA7625" w:rsidRDefault="00A60195">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1.3.2.11</w:t>
            </w:r>
            <w:r w:rsidRPr="00DA7625">
              <w:rPr>
                <w:rStyle w:val="InstructionsTabelleberschrift"/>
                <w:rFonts w:ascii="Times New Roman" w:hAnsi="Times New Roman"/>
                <w:sz w:val="24"/>
              </w:rPr>
              <w:tab/>
              <w:t>Mentesség a biztosítókban lévő tulajdoni részesedésnek a CET1 tőkeelemekből történő levonása alól</w:t>
            </w:r>
          </w:p>
          <w:p w14:paraId="1BA7B38D" w14:textId="3027E64A" w:rsidR="001B1411" w:rsidRPr="00DA7625" w:rsidRDefault="000F1CEA">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CRR 471. cikke</w:t>
            </w:r>
          </w:p>
        </w:tc>
      </w:tr>
      <w:tr w:rsidR="001B1411" w:rsidRPr="00DA7625" w14:paraId="36D940FB" w14:textId="77777777" w:rsidTr="00672D2A">
        <w:tc>
          <w:tcPr>
            <w:tcW w:w="1012" w:type="dxa"/>
          </w:tcPr>
          <w:p w14:paraId="0DDBFDCA" w14:textId="77777777"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430</w:t>
            </w:r>
          </w:p>
          <w:p w14:paraId="4BA3EFF2" w14:textId="77777777" w:rsidR="001B1411" w:rsidRPr="00DA7625" w:rsidRDefault="001B1411">
            <w:pPr>
              <w:pStyle w:val="InstructionsText"/>
              <w:rPr>
                <w:rStyle w:val="InstructionsTabelleText"/>
                <w:rFonts w:ascii="Times New Roman" w:hAnsi="Times New Roman"/>
                <w:sz w:val="24"/>
              </w:rPr>
            </w:pPr>
          </w:p>
        </w:tc>
        <w:tc>
          <w:tcPr>
            <w:tcW w:w="7478" w:type="dxa"/>
          </w:tcPr>
          <w:p w14:paraId="6B38EE47" w14:textId="77777777" w:rsidR="001B1411" w:rsidRPr="00DA7625" w:rsidRDefault="00A60195">
            <w:pPr>
              <w:pStyle w:val="InstructionsText"/>
              <w:rPr>
                <w:rStyle w:val="InstructionsTabelleText"/>
                <w:rFonts w:ascii="Times New Roman" w:hAnsi="Times New Roman"/>
                <w:b/>
                <w:bCs/>
                <w:sz w:val="24"/>
                <w:u w:val="single"/>
              </w:rPr>
            </w:pPr>
            <w:r w:rsidRPr="00DA7625">
              <w:rPr>
                <w:rStyle w:val="InstructionsTabelleberschrift"/>
                <w:rFonts w:ascii="Times New Roman" w:hAnsi="Times New Roman"/>
                <w:sz w:val="24"/>
              </w:rPr>
              <w:t>1.3.3</w:t>
            </w:r>
            <w:r w:rsidRPr="00DA7625">
              <w:rPr>
                <w:rStyle w:val="InstructionsTabelleberschrift"/>
                <w:rFonts w:ascii="Times New Roman" w:hAnsi="Times New Roman"/>
                <w:sz w:val="24"/>
              </w:rPr>
              <w:tab/>
              <w:t>További szűrők és levonások</w:t>
            </w:r>
          </w:p>
          <w:p w14:paraId="021A120F" w14:textId="05BA78BB" w:rsidR="001B1411" w:rsidRPr="00DA7625" w:rsidRDefault="00A60195">
            <w:pPr>
              <w:spacing w:before="0"/>
              <w:rPr>
                <w:rStyle w:val="InstructionsTabelleText"/>
                <w:rFonts w:ascii="Times New Roman" w:hAnsi="Times New Roman"/>
                <w:sz w:val="24"/>
              </w:rPr>
            </w:pPr>
            <w:r w:rsidRPr="00DA7625">
              <w:rPr>
                <w:rStyle w:val="InstructionsTabelleText"/>
                <w:rFonts w:ascii="Times New Roman" w:hAnsi="Times New Roman"/>
                <w:sz w:val="24"/>
              </w:rPr>
              <w:t>A CRR 481. cikke</w:t>
            </w:r>
          </w:p>
          <w:p w14:paraId="3D336B18" w14:textId="77777777"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Ez a sor a további szűrőkre és levonásokra vonatkozó átmeneti rendelkezések általános hatását mutatja.</w:t>
            </w:r>
          </w:p>
          <w:p w14:paraId="78A0408C" w14:textId="5DB65B39" w:rsidR="001B1411" w:rsidRPr="00DA7625" w:rsidRDefault="00A60195">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 xml:space="preserve">A CRR 481. cikkével összhangban az intézmények az 1.3.3. tételben adatot szolgáltatnak a 2006/48/EK irányelv 57. és 66. cikkét, valamint a 2006/49/EK irányelv 13. és 16. cikkét átültető nemzeti intézkedések által előírt, a CRR második része szerint azonban elő nem írt szűrőkről és levonásokról. </w:t>
            </w:r>
          </w:p>
        </w:tc>
      </w:tr>
      <w:tr w:rsidR="001B1411" w:rsidRPr="00DA7625" w14:paraId="4AAC0D51" w14:textId="77777777" w:rsidTr="00672D2A">
        <w:tc>
          <w:tcPr>
            <w:tcW w:w="1012" w:type="dxa"/>
          </w:tcPr>
          <w:p w14:paraId="479EBC6B" w14:textId="77777777" w:rsidR="001B1411" w:rsidRPr="00DA7625" w:rsidRDefault="008B695F">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440</w:t>
            </w:r>
          </w:p>
        </w:tc>
        <w:tc>
          <w:tcPr>
            <w:tcW w:w="7478" w:type="dxa"/>
          </w:tcPr>
          <w:p w14:paraId="2FAF298B" w14:textId="77777777" w:rsidR="001B1411" w:rsidRPr="00DA7625" w:rsidRDefault="008B695F">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1.3.4</w:t>
            </w:r>
            <w:r w:rsidRPr="00DA7625">
              <w:rPr>
                <w:rStyle w:val="InstructionsTabelleberschrift"/>
                <w:rFonts w:ascii="Times New Roman" w:hAnsi="Times New Roman"/>
                <w:sz w:val="24"/>
              </w:rPr>
              <w:tab/>
              <w:t>Az IFRS 9-hez kapcsolódó átmeneti intézkedések miatti kiigazítások</w:t>
            </w:r>
          </w:p>
          <w:p w14:paraId="6DD976B6" w14:textId="77777777" w:rsidR="001B1411" w:rsidRPr="00DA7625" w:rsidRDefault="009247A0">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Az intézmények az IFRS 9 miatti átmeneti intézkedésekkel összefüggésben szolgáltatnak adatokat az alkalmazandó jogszabályi rendelkezéseknek megfelelően.</w:t>
            </w:r>
          </w:p>
        </w:tc>
      </w:tr>
    </w:tbl>
    <w:p w14:paraId="4587B72A" w14:textId="77777777" w:rsidR="001B1411" w:rsidRPr="00DA7625" w:rsidRDefault="001B1411">
      <w:pPr>
        <w:spacing w:after="0"/>
        <w:rPr>
          <w:rFonts w:ascii="Times New Roman" w:hAnsi="Times New Roman"/>
          <w:sz w:val="24"/>
        </w:rPr>
      </w:pPr>
    </w:p>
    <w:p w14:paraId="028A9ED4"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22" w:name="_Toc31018768"/>
      <w:r w:rsidRPr="00DA7625">
        <w:rPr>
          <w:rFonts w:ascii="Times New Roman" w:hAnsi="Times New Roman"/>
          <w:sz w:val="24"/>
          <w:u w:val="none"/>
        </w:rPr>
        <w:lastRenderedPageBreak/>
        <w:t>1.6.3.</w:t>
      </w:r>
      <w:r w:rsidRPr="00DA7625">
        <w:rPr>
          <w:rFonts w:ascii="Times New Roman" w:hAnsi="Times New Roman"/>
          <w:sz w:val="24"/>
          <w:u w:val="none"/>
        </w:rPr>
        <w:tab/>
      </w:r>
      <w:r w:rsidRPr="00DA7625">
        <w:rPr>
          <w:rFonts w:ascii="Times New Roman" w:hAnsi="Times New Roman"/>
          <w:sz w:val="24"/>
        </w:rPr>
        <w:t>C 05.02 – SZERZETT JOGOK ALAPJÁN FIGYELEMBE VETT TŐKEINSTRUMENTUMOK: ÁLLAMI TÁMOGATÁSNAK NEM MINŐSÜLŐ INSTRUMENTUMOK (CA5.2)</w:t>
      </w:r>
      <w:bookmarkEnd w:id="22"/>
      <w:r w:rsidRPr="00DA7625">
        <w:rPr>
          <w:rFonts w:ascii="Times New Roman" w:hAnsi="Times New Roman"/>
          <w:sz w:val="24"/>
        </w:rPr>
        <w:t xml:space="preserve"> </w:t>
      </w:r>
    </w:p>
    <w:p w14:paraId="1AFBD2F4" w14:textId="37D689E0" w:rsidR="001B1411" w:rsidRPr="00DA7625" w:rsidRDefault="00125707">
      <w:pPr>
        <w:pStyle w:val="InstructionsText2"/>
        <w:numPr>
          <w:ilvl w:val="0"/>
          <w:numId w:val="0"/>
        </w:numPr>
        <w:ind w:left="993"/>
      </w:pPr>
      <w:r w:rsidRPr="00DA7625">
        <w:t>25.</w:t>
      </w:r>
      <w:r w:rsidRPr="00DA7625">
        <w:tab/>
        <w:t>Az intézmények a szerzett jogok alapján figyelembe vett, állami támogatásnak nem minősülő instrumentumokra vonatkozó átmeneti rendelkezésekkel összefüggésben szolgáltatnak adatokat (a CRR 484–491. cikke).</w:t>
      </w:r>
    </w:p>
    <w:p w14:paraId="49D8AD5D"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23" w:name="_Toc31018769"/>
      <w:r w:rsidRPr="00DA7625">
        <w:rPr>
          <w:rFonts w:ascii="Times New Roman" w:hAnsi="Times New Roman"/>
          <w:sz w:val="24"/>
          <w:u w:val="none"/>
        </w:rPr>
        <w:t>1.6.3.1.</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23"/>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1B1411" w:rsidRPr="00DA7625" w14:paraId="744F3D21" w14:textId="77777777" w:rsidTr="00672D2A">
        <w:tc>
          <w:tcPr>
            <w:tcW w:w="8181" w:type="dxa"/>
            <w:gridSpan w:val="2"/>
            <w:shd w:val="clear" w:color="auto" w:fill="D9D9D9"/>
          </w:tcPr>
          <w:p w14:paraId="187FA7A6"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Oszlop</w:t>
            </w:r>
          </w:p>
        </w:tc>
      </w:tr>
      <w:tr w:rsidR="001B1411" w:rsidRPr="00DA7625" w14:paraId="77FFF3F5" w14:textId="77777777" w:rsidTr="00672D2A">
        <w:tc>
          <w:tcPr>
            <w:tcW w:w="703" w:type="dxa"/>
          </w:tcPr>
          <w:p w14:paraId="1EE9132D"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010</w:t>
            </w:r>
          </w:p>
        </w:tc>
        <w:tc>
          <w:tcPr>
            <w:tcW w:w="7478" w:type="dxa"/>
          </w:tcPr>
          <w:p w14:paraId="6E91664F" w14:textId="77777777" w:rsidR="001B1411" w:rsidRPr="00DA7625" w:rsidRDefault="002648B0">
            <w:pPr>
              <w:rPr>
                <w:rStyle w:val="InstructionsTabelleberschrift"/>
                <w:rFonts w:ascii="Times New Roman" w:hAnsi="Times New Roman"/>
                <w:sz w:val="24"/>
              </w:rPr>
            </w:pPr>
            <w:r w:rsidRPr="00DA7625">
              <w:rPr>
                <w:rStyle w:val="InstructionsTabelleberschrift"/>
                <w:rFonts w:ascii="Times New Roman" w:hAnsi="Times New Roman"/>
                <w:sz w:val="24"/>
              </w:rPr>
              <w:t>Az instrumentumok kapcsolódó ázsióval növelt értéke</w:t>
            </w:r>
          </w:p>
          <w:p w14:paraId="5B0ED10B" w14:textId="4FEEE536" w:rsidR="001B1411" w:rsidRPr="00DA7625" w:rsidRDefault="00167619">
            <w:pPr>
              <w:rPr>
                <w:rStyle w:val="InstructionsTabelleText"/>
                <w:rFonts w:ascii="Times New Roman" w:hAnsi="Times New Roman"/>
                <w:sz w:val="24"/>
              </w:rPr>
            </w:pPr>
            <w:r w:rsidRPr="00DA7625">
              <w:rPr>
                <w:rStyle w:val="InstructionsTabelleText"/>
                <w:rFonts w:ascii="Times New Roman" w:hAnsi="Times New Roman"/>
                <w:sz w:val="24"/>
              </w:rPr>
              <w:t>A CRR 484. cikkének (3), (4) és (5) bekezdése</w:t>
            </w:r>
          </w:p>
          <w:p w14:paraId="62768602" w14:textId="77777777" w:rsidR="001B1411" w:rsidRPr="00DA7625" w:rsidRDefault="002648B0">
            <w:pPr>
              <w:rPr>
                <w:rStyle w:val="InstructionsTabelleText"/>
                <w:rFonts w:ascii="Times New Roman" w:hAnsi="Times New Roman"/>
                <w:sz w:val="24"/>
              </w:rPr>
            </w:pPr>
            <w:r w:rsidRPr="00DA7625">
              <w:rPr>
                <w:rStyle w:val="InstructionsTabelleText"/>
                <w:rFonts w:ascii="Times New Roman" w:hAnsi="Times New Roman"/>
                <w:sz w:val="24"/>
              </w:rPr>
              <w:t>Az egyes sorokban figyelembe vehető instrumentumok a kapcsolódó ázsióval együtt.</w:t>
            </w:r>
          </w:p>
        </w:tc>
      </w:tr>
      <w:tr w:rsidR="001B1411" w:rsidRPr="00DA7625" w14:paraId="40DE1994" w14:textId="77777777" w:rsidTr="00672D2A">
        <w:tc>
          <w:tcPr>
            <w:tcW w:w="703" w:type="dxa"/>
          </w:tcPr>
          <w:p w14:paraId="313EFA29"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020</w:t>
            </w:r>
          </w:p>
        </w:tc>
        <w:tc>
          <w:tcPr>
            <w:tcW w:w="7478" w:type="dxa"/>
          </w:tcPr>
          <w:p w14:paraId="580FCFFC" w14:textId="77777777" w:rsidR="001B1411" w:rsidRPr="00DA7625" w:rsidRDefault="002648B0">
            <w:pPr>
              <w:rPr>
                <w:rStyle w:val="InstructionsTabelleberschrift"/>
                <w:rFonts w:ascii="Times New Roman" w:hAnsi="Times New Roman"/>
                <w:sz w:val="24"/>
              </w:rPr>
            </w:pPr>
            <w:r w:rsidRPr="00DA7625">
              <w:rPr>
                <w:rStyle w:val="InstructionsTabelleberschrift"/>
                <w:rFonts w:ascii="Times New Roman" w:hAnsi="Times New Roman"/>
                <w:sz w:val="24"/>
              </w:rPr>
              <w:t>A korlátszámítás alapja</w:t>
            </w:r>
          </w:p>
          <w:p w14:paraId="71AACF42" w14:textId="67F19FBB" w:rsidR="001B1411" w:rsidRPr="00DA7625" w:rsidRDefault="00167619">
            <w:pPr>
              <w:rPr>
                <w:rStyle w:val="InstructionsTabelleText"/>
                <w:rFonts w:ascii="Times New Roman" w:hAnsi="Times New Roman"/>
                <w:sz w:val="24"/>
              </w:rPr>
            </w:pPr>
            <w:r w:rsidRPr="00DA7625">
              <w:rPr>
                <w:rStyle w:val="InstructionsTabelleText"/>
                <w:rFonts w:ascii="Times New Roman" w:hAnsi="Times New Roman"/>
                <w:sz w:val="24"/>
              </w:rPr>
              <w:t>A CRR 486. cikkének (2), (3) és (4) bekezdése</w:t>
            </w:r>
          </w:p>
        </w:tc>
      </w:tr>
      <w:tr w:rsidR="001B1411" w:rsidRPr="00DA7625" w14:paraId="151FF944" w14:textId="77777777" w:rsidTr="00672D2A">
        <w:tc>
          <w:tcPr>
            <w:tcW w:w="703" w:type="dxa"/>
          </w:tcPr>
          <w:p w14:paraId="23880D52"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030</w:t>
            </w:r>
          </w:p>
        </w:tc>
        <w:tc>
          <w:tcPr>
            <w:tcW w:w="7478" w:type="dxa"/>
          </w:tcPr>
          <w:p w14:paraId="3573D25D" w14:textId="77777777" w:rsidR="001B1411" w:rsidRPr="00DA7625" w:rsidRDefault="002648B0">
            <w:pPr>
              <w:rPr>
                <w:rStyle w:val="InstructionsTabelleberschrift"/>
                <w:rFonts w:ascii="Times New Roman" w:hAnsi="Times New Roman"/>
                <w:sz w:val="24"/>
              </w:rPr>
            </w:pPr>
            <w:r w:rsidRPr="00DA7625">
              <w:rPr>
                <w:rStyle w:val="InstructionsTabelleberschrift"/>
                <w:rFonts w:ascii="Times New Roman" w:hAnsi="Times New Roman"/>
                <w:sz w:val="24"/>
              </w:rPr>
              <w:t>Alkalmazandó százalékos arány</w:t>
            </w:r>
          </w:p>
          <w:p w14:paraId="375A0FE1" w14:textId="2E6F26FA" w:rsidR="001B1411" w:rsidRPr="00DA7625" w:rsidRDefault="002648B0">
            <w:pPr>
              <w:rPr>
                <w:rStyle w:val="InstructionsTabelleText"/>
                <w:rFonts w:ascii="Times New Roman" w:hAnsi="Times New Roman"/>
                <w:sz w:val="24"/>
              </w:rPr>
            </w:pPr>
            <w:r w:rsidRPr="00DA7625">
              <w:rPr>
                <w:rStyle w:val="InstructionsTabelleText"/>
                <w:rFonts w:ascii="Times New Roman" w:hAnsi="Times New Roman"/>
                <w:sz w:val="24"/>
              </w:rPr>
              <w:t>A CRR 486. cikkének (5) bekezdése</w:t>
            </w:r>
          </w:p>
        </w:tc>
      </w:tr>
      <w:tr w:rsidR="001B1411" w:rsidRPr="00DA7625" w14:paraId="14F08ED0" w14:textId="77777777" w:rsidTr="00672D2A">
        <w:tc>
          <w:tcPr>
            <w:tcW w:w="703" w:type="dxa"/>
          </w:tcPr>
          <w:p w14:paraId="06AA66F8"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040</w:t>
            </w:r>
          </w:p>
        </w:tc>
        <w:tc>
          <w:tcPr>
            <w:tcW w:w="7478" w:type="dxa"/>
          </w:tcPr>
          <w:p w14:paraId="523CF396" w14:textId="77777777" w:rsidR="001B1411" w:rsidRPr="00DA7625" w:rsidRDefault="002648B0">
            <w:pPr>
              <w:rPr>
                <w:rStyle w:val="InstructionsTabelleberschrift"/>
                <w:rFonts w:ascii="Times New Roman" w:hAnsi="Times New Roman"/>
                <w:sz w:val="24"/>
              </w:rPr>
            </w:pPr>
            <w:r w:rsidRPr="00DA7625">
              <w:rPr>
                <w:rStyle w:val="InstructionsTabelleberschrift"/>
                <w:rFonts w:ascii="Times New Roman" w:hAnsi="Times New Roman"/>
                <w:sz w:val="24"/>
              </w:rPr>
              <w:t>Korlát</w:t>
            </w:r>
          </w:p>
          <w:p w14:paraId="0759A3E0" w14:textId="242C2F17" w:rsidR="001B1411" w:rsidRPr="00DA7625" w:rsidRDefault="00167619">
            <w:pPr>
              <w:rPr>
                <w:rStyle w:val="InstructionsTabelleText"/>
                <w:rFonts w:ascii="Times New Roman" w:hAnsi="Times New Roman"/>
                <w:sz w:val="24"/>
              </w:rPr>
            </w:pPr>
            <w:r w:rsidRPr="00DA7625">
              <w:rPr>
                <w:rStyle w:val="InstructionsTabelleText"/>
                <w:rFonts w:ascii="Times New Roman" w:hAnsi="Times New Roman"/>
                <w:sz w:val="24"/>
              </w:rPr>
              <w:t>A CRR 486. cikkének (2)–(5) bekezdése</w:t>
            </w:r>
          </w:p>
        </w:tc>
      </w:tr>
      <w:tr w:rsidR="001B1411" w:rsidRPr="00DA7625" w14:paraId="5FB8B9D8" w14:textId="77777777" w:rsidTr="00672D2A">
        <w:tc>
          <w:tcPr>
            <w:tcW w:w="703" w:type="dxa"/>
          </w:tcPr>
          <w:p w14:paraId="6BA36B25"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050</w:t>
            </w:r>
          </w:p>
        </w:tc>
        <w:tc>
          <w:tcPr>
            <w:tcW w:w="7478" w:type="dxa"/>
          </w:tcPr>
          <w:p w14:paraId="7752635F" w14:textId="77777777" w:rsidR="001B1411" w:rsidRPr="00DA7625" w:rsidRDefault="002648B0">
            <w:pPr>
              <w:rPr>
                <w:rStyle w:val="InstructionsTabelleberschrift"/>
                <w:rFonts w:ascii="Times New Roman" w:hAnsi="Times New Roman"/>
                <w:sz w:val="24"/>
              </w:rPr>
            </w:pPr>
            <w:r w:rsidRPr="00DA7625">
              <w:rPr>
                <w:rStyle w:val="InstructionsTabelleberschrift"/>
                <w:rFonts w:ascii="Times New Roman" w:hAnsi="Times New Roman"/>
                <w:sz w:val="24"/>
              </w:rPr>
              <w:t>(–) A szerzett jogok figyelembevételének korlátját meghaladó összeg</w:t>
            </w:r>
          </w:p>
          <w:p w14:paraId="2EBB3A4F" w14:textId="0D7B9CBD" w:rsidR="001B1411" w:rsidRPr="00DA7625" w:rsidRDefault="00167619">
            <w:pPr>
              <w:rPr>
                <w:rStyle w:val="InstructionsTabelleText"/>
                <w:rFonts w:ascii="Times New Roman" w:hAnsi="Times New Roman"/>
                <w:sz w:val="24"/>
              </w:rPr>
            </w:pPr>
            <w:r w:rsidRPr="00DA7625">
              <w:rPr>
                <w:rStyle w:val="InstructionsTabelleText"/>
                <w:rFonts w:ascii="Times New Roman" w:hAnsi="Times New Roman"/>
                <w:sz w:val="24"/>
              </w:rPr>
              <w:t>A CRR 486. cikkének (2)–(5) bekezdése</w:t>
            </w:r>
          </w:p>
        </w:tc>
      </w:tr>
      <w:tr w:rsidR="001B1411" w:rsidRPr="00DA7625" w14:paraId="21CF1090" w14:textId="77777777" w:rsidTr="00672D2A">
        <w:tc>
          <w:tcPr>
            <w:tcW w:w="703" w:type="dxa"/>
          </w:tcPr>
          <w:p w14:paraId="4CBE88CE"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060</w:t>
            </w:r>
          </w:p>
        </w:tc>
        <w:tc>
          <w:tcPr>
            <w:tcW w:w="7478" w:type="dxa"/>
          </w:tcPr>
          <w:p w14:paraId="449331E9" w14:textId="77777777" w:rsidR="001B1411" w:rsidRPr="00DA7625" w:rsidRDefault="002648B0">
            <w:pPr>
              <w:rPr>
                <w:rStyle w:val="InstructionsTabelleberschrift"/>
                <w:rFonts w:ascii="Times New Roman" w:hAnsi="Times New Roman"/>
                <w:sz w:val="24"/>
              </w:rPr>
            </w:pPr>
            <w:r w:rsidRPr="00DA7625">
              <w:rPr>
                <w:rStyle w:val="InstructionsTabelleberschrift"/>
                <w:rFonts w:ascii="Times New Roman" w:hAnsi="Times New Roman"/>
                <w:sz w:val="24"/>
              </w:rPr>
              <w:t>A szerzett jogok alapján figyelembe vett teljes összeg</w:t>
            </w:r>
          </w:p>
          <w:p w14:paraId="5DEE80C6" w14:textId="5A38B6EE" w:rsidR="001B1411" w:rsidRPr="00DA7625" w:rsidRDefault="002648B0">
            <w:pPr>
              <w:rPr>
                <w:rStyle w:val="InstructionsTabelleText"/>
                <w:rFonts w:ascii="Times New Roman" w:hAnsi="Times New Roman"/>
                <w:sz w:val="24"/>
              </w:rPr>
            </w:pPr>
            <w:r w:rsidRPr="00DA7625">
              <w:rPr>
                <w:rStyle w:val="InstructionsTabelleText"/>
                <w:rFonts w:ascii="Times New Roman" w:hAnsi="Times New Roman"/>
                <w:sz w:val="24"/>
              </w:rPr>
              <w:t>A feltüntetendő értékek megegyeznek a CA5.1. tábla 060-as sorának megfelelő oszlopaiban megadott összegekkel.</w:t>
            </w:r>
          </w:p>
        </w:tc>
      </w:tr>
    </w:tbl>
    <w:p w14:paraId="1FBB159E" w14:textId="77777777" w:rsidR="001B1411" w:rsidRPr="00DA7625" w:rsidRDefault="001B1411">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1B1411" w:rsidRPr="00DA7625" w14:paraId="14065DA6" w14:textId="77777777" w:rsidTr="00672D2A">
        <w:tc>
          <w:tcPr>
            <w:tcW w:w="8181" w:type="dxa"/>
            <w:gridSpan w:val="2"/>
            <w:shd w:val="clear" w:color="auto" w:fill="D9D9D9"/>
          </w:tcPr>
          <w:p w14:paraId="673915CE" w14:textId="77777777" w:rsidR="001B1411" w:rsidRPr="00DA7625" w:rsidRDefault="002648B0">
            <w:pPr>
              <w:pStyle w:val="InstructionsText"/>
            </w:pPr>
            <w:r w:rsidRPr="00DA7625">
              <w:t>Sor</w:t>
            </w:r>
          </w:p>
        </w:tc>
      </w:tr>
      <w:tr w:rsidR="001B1411" w:rsidRPr="00DA7625" w14:paraId="6ED9E034" w14:textId="77777777" w:rsidTr="00672D2A">
        <w:tc>
          <w:tcPr>
            <w:tcW w:w="703" w:type="dxa"/>
          </w:tcPr>
          <w:p w14:paraId="53436CAA"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010</w:t>
            </w:r>
          </w:p>
        </w:tc>
        <w:tc>
          <w:tcPr>
            <w:tcW w:w="7478" w:type="dxa"/>
          </w:tcPr>
          <w:p w14:paraId="5CAC9AE9" w14:textId="77777777" w:rsidR="001B1411" w:rsidRPr="00DA7625" w:rsidRDefault="00C66473">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w:t>
            </w:r>
            <w:r w:rsidRPr="00DA7625">
              <w:rPr>
                <w:rStyle w:val="InstructionsTabelleberschrift"/>
                <w:rFonts w:ascii="Times New Roman" w:hAnsi="Times New Roman"/>
                <w:sz w:val="24"/>
              </w:rPr>
              <w:tab/>
              <w:t>A 2006/48/EK irányelv 57. cikkének a) pontja értelmében a szavatolótőkében figyelembe vett instrumentumok</w:t>
            </w:r>
          </w:p>
          <w:p w14:paraId="64BFBEB9" w14:textId="3093BA5C" w:rsidR="001B1411" w:rsidRPr="00DA7625" w:rsidRDefault="002648B0">
            <w:pPr>
              <w:rPr>
                <w:rStyle w:val="InstructionsTabelleText"/>
                <w:rFonts w:ascii="Times New Roman" w:hAnsi="Times New Roman"/>
                <w:sz w:val="24"/>
              </w:rPr>
            </w:pPr>
            <w:r w:rsidRPr="00DA7625">
              <w:rPr>
                <w:rStyle w:val="InstructionsTabelleText"/>
                <w:rFonts w:ascii="Times New Roman" w:hAnsi="Times New Roman"/>
                <w:sz w:val="24"/>
              </w:rPr>
              <w:t>A CRR 484. cikkének (3) bekezdése</w:t>
            </w:r>
          </w:p>
          <w:p w14:paraId="2B04B67F" w14:textId="77777777" w:rsidR="001B1411" w:rsidRPr="00DA7625" w:rsidRDefault="002648B0">
            <w:pPr>
              <w:rPr>
                <w:rStyle w:val="InstructionsTabelleText"/>
                <w:rFonts w:ascii="Times New Roman" w:hAnsi="Times New Roman"/>
                <w:sz w:val="24"/>
              </w:rPr>
            </w:pPr>
            <w:r w:rsidRPr="00DA7625">
              <w:rPr>
                <w:rStyle w:val="InstructionsTabelleText"/>
                <w:rFonts w:ascii="Times New Roman" w:hAnsi="Times New Roman"/>
                <w:sz w:val="24"/>
              </w:rPr>
              <w:t>A feltüntetendő érték magában foglalja a kapcsolódó ázsiót.</w:t>
            </w:r>
          </w:p>
        </w:tc>
      </w:tr>
      <w:tr w:rsidR="001B1411" w:rsidRPr="00DA7625" w14:paraId="24B3FF21" w14:textId="77777777" w:rsidTr="00672D2A">
        <w:tc>
          <w:tcPr>
            <w:tcW w:w="703" w:type="dxa"/>
          </w:tcPr>
          <w:p w14:paraId="377B2254"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020</w:t>
            </w:r>
          </w:p>
        </w:tc>
        <w:tc>
          <w:tcPr>
            <w:tcW w:w="7478" w:type="dxa"/>
          </w:tcPr>
          <w:p w14:paraId="09E0B8AD" w14:textId="77777777" w:rsidR="001B1411" w:rsidRPr="00DA7625" w:rsidRDefault="00C66473">
            <w:pPr>
              <w:pStyle w:val="InstructionsText"/>
              <w:rPr>
                <w:rStyle w:val="InstructionsTabelleText"/>
                <w:rFonts w:ascii="Times New Roman" w:hAnsi="Times New Roman"/>
                <w:b/>
                <w:sz w:val="24"/>
                <w:u w:val="single"/>
              </w:rPr>
            </w:pPr>
            <w:r w:rsidRPr="00DA7625">
              <w:rPr>
                <w:rStyle w:val="InstructionsTabelleberschrift"/>
                <w:rFonts w:ascii="Times New Roman" w:hAnsi="Times New Roman"/>
                <w:sz w:val="24"/>
              </w:rPr>
              <w:t>2.</w:t>
            </w:r>
            <w:r w:rsidRPr="00DA7625">
              <w:rPr>
                <w:rStyle w:val="InstructionsTabelleberschrift"/>
                <w:rFonts w:ascii="Times New Roman" w:hAnsi="Times New Roman"/>
                <w:sz w:val="24"/>
              </w:rPr>
              <w:tab/>
              <w:t>A 2006/48/EK irányelv 57. cikkének ca) pontja, valamint 154. cikkének (8) és (9) bekezdése értelmében figyelembe vett instrumentumok, a CRR 489. cikkében rögzített korlát alkalmazásával</w:t>
            </w:r>
          </w:p>
          <w:p w14:paraId="0D197541" w14:textId="2E611B43" w:rsidR="001B1411" w:rsidRPr="00DA7625" w:rsidRDefault="002648B0">
            <w:pPr>
              <w:rPr>
                <w:rStyle w:val="InstructionsTabelleText"/>
                <w:rFonts w:ascii="Times New Roman" w:hAnsi="Times New Roman"/>
                <w:sz w:val="24"/>
              </w:rPr>
            </w:pPr>
            <w:r w:rsidRPr="00DA7625">
              <w:rPr>
                <w:rStyle w:val="InstructionsTabelleText"/>
                <w:rFonts w:ascii="Times New Roman" w:hAnsi="Times New Roman"/>
                <w:sz w:val="24"/>
              </w:rPr>
              <w:t>A CRR 484. cikkének (4) bekezdése</w:t>
            </w:r>
          </w:p>
        </w:tc>
      </w:tr>
      <w:tr w:rsidR="001B1411" w:rsidRPr="00DA7625" w14:paraId="15DF7219" w14:textId="77777777" w:rsidTr="00672D2A">
        <w:tc>
          <w:tcPr>
            <w:tcW w:w="703" w:type="dxa"/>
          </w:tcPr>
          <w:p w14:paraId="284F5787"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030</w:t>
            </w:r>
          </w:p>
        </w:tc>
        <w:tc>
          <w:tcPr>
            <w:tcW w:w="7478" w:type="dxa"/>
          </w:tcPr>
          <w:p w14:paraId="06DD94E9" w14:textId="77777777" w:rsidR="001B1411" w:rsidRPr="00DA7625" w:rsidRDefault="002648B0">
            <w:pPr>
              <w:pStyle w:val="InstructionsText"/>
              <w:rPr>
                <w:rStyle w:val="InstructionsTabelleText"/>
                <w:rFonts w:ascii="Times New Roman" w:hAnsi="Times New Roman"/>
                <w:b/>
                <w:sz w:val="24"/>
                <w:u w:val="single"/>
              </w:rPr>
            </w:pPr>
            <w:r w:rsidRPr="00DA7625">
              <w:rPr>
                <w:rStyle w:val="InstructionsTabelleberschrift"/>
                <w:rFonts w:ascii="Times New Roman" w:hAnsi="Times New Roman"/>
                <w:sz w:val="24"/>
              </w:rPr>
              <w:t>2.1</w:t>
            </w:r>
            <w:r w:rsidRPr="00DA7625">
              <w:rPr>
                <w:rStyle w:val="InstructionsTabelleberschrift"/>
                <w:rFonts w:ascii="Times New Roman" w:hAnsi="Times New Roman"/>
                <w:sz w:val="24"/>
              </w:rPr>
              <w:tab/>
              <w:t>Visszavásárlásra nem ösztönző, visszahívási opciót nem tartalmazó instrumentumok összesen</w:t>
            </w:r>
          </w:p>
          <w:p w14:paraId="7DA67154" w14:textId="4177E78D" w:rsidR="001B1411" w:rsidRPr="00DA7625" w:rsidRDefault="002648B0">
            <w:pPr>
              <w:pStyle w:val="InstructionsText"/>
              <w:rPr>
                <w:rStyle w:val="InstructionsTabelleText"/>
                <w:rFonts w:ascii="Times New Roman" w:hAnsi="Times New Roman"/>
                <w:bCs/>
                <w:sz w:val="24"/>
              </w:rPr>
            </w:pPr>
            <w:r w:rsidRPr="00DA7625">
              <w:rPr>
                <w:rStyle w:val="InstructionsTabelleText"/>
                <w:rFonts w:ascii="Times New Roman" w:hAnsi="Times New Roman"/>
                <w:sz w:val="24"/>
              </w:rPr>
              <w:lastRenderedPageBreak/>
              <w:t>A CRR 484. cikkének (4) bekezdése és 489. cikke</w:t>
            </w:r>
          </w:p>
          <w:p w14:paraId="755696AD" w14:textId="77777777" w:rsidR="001B1411" w:rsidRPr="00DA7625" w:rsidRDefault="002648B0">
            <w:pPr>
              <w:rPr>
                <w:rStyle w:val="InstructionsTabelleText"/>
                <w:rFonts w:ascii="Times New Roman" w:hAnsi="Times New Roman"/>
                <w:sz w:val="24"/>
              </w:rPr>
            </w:pPr>
            <w:r w:rsidRPr="00DA7625">
              <w:rPr>
                <w:rStyle w:val="InstructionsTabelleText"/>
                <w:rFonts w:ascii="Times New Roman" w:hAnsi="Times New Roman"/>
                <w:sz w:val="24"/>
              </w:rPr>
              <w:t>A feltüntetendő érték magában foglalja a kapcsolódó ázsiót.</w:t>
            </w:r>
          </w:p>
        </w:tc>
      </w:tr>
      <w:tr w:rsidR="001B1411" w:rsidRPr="00DA7625" w14:paraId="72485432" w14:textId="77777777" w:rsidTr="00672D2A">
        <w:tc>
          <w:tcPr>
            <w:tcW w:w="703" w:type="dxa"/>
          </w:tcPr>
          <w:p w14:paraId="3828D750"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lastRenderedPageBreak/>
              <w:t>040</w:t>
            </w:r>
          </w:p>
        </w:tc>
        <w:tc>
          <w:tcPr>
            <w:tcW w:w="7478" w:type="dxa"/>
          </w:tcPr>
          <w:p w14:paraId="11D8F4AD" w14:textId="77777777" w:rsidR="001B1411" w:rsidRPr="00DA7625" w:rsidRDefault="002648B0">
            <w:pPr>
              <w:pStyle w:val="InstructionsText"/>
              <w:rPr>
                <w:rStyle w:val="InstructionsTabelleText"/>
                <w:rFonts w:ascii="Times New Roman" w:hAnsi="Times New Roman"/>
                <w:b/>
                <w:sz w:val="24"/>
                <w:u w:val="single"/>
              </w:rPr>
            </w:pPr>
            <w:r w:rsidRPr="00DA7625">
              <w:rPr>
                <w:rStyle w:val="InstructionsTabelleberschrift"/>
                <w:rFonts w:ascii="Times New Roman" w:hAnsi="Times New Roman"/>
                <w:sz w:val="24"/>
              </w:rPr>
              <w:t>2.2</w:t>
            </w:r>
            <w:r w:rsidRPr="00DA7625">
              <w:rPr>
                <w:rStyle w:val="InstructionsTabelleberschrift"/>
                <w:rFonts w:ascii="Times New Roman" w:hAnsi="Times New Roman"/>
                <w:sz w:val="24"/>
              </w:rPr>
              <w:tab/>
              <w:t>Visszavásárlásra ösztönző, visszahívási opciót tartalmazó, de a szerzett jogok alapján figyelembe vett instrumentumok</w:t>
            </w:r>
          </w:p>
          <w:p w14:paraId="4B2F57CE" w14:textId="2FFAD25B" w:rsidR="001B1411" w:rsidRPr="00DA7625" w:rsidRDefault="002648B0">
            <w:pPr>
              <w:pStyle w:val="InstructionsText"/>
              <w:rPr>
                <w:rStyle w:val="InstructionsTabelleText"/>
                <w:rFonts w:ascii="Times New Roman" w:hAnsi="Times New Roman"/>
                <w:bCs/>
                <w:sz w:val="24"/>
              </w:rPr>
            </w:pPr>
            <w:r w:rsidRPr="00DA7625">
              <w:rPr>
                <w:rStyle w:val="InstructionsTabelleText"/>
                <w:rFonts w:ascii="Times New Roman" w:hAnsi="Times New Roman"/>
                <w:sz w:val="24"/>
              </w:rPr>
              <w:t>A CRR 489. cikke</w:t>
            </w:r>
          </w:p>
        </w:tc>
      </w:tr>
      <w:tr w:rsidR="001B1411" w:rsidRPr="00DA7625" w14:paraId="12729CB7" w14:textId="77777777" w:rsidTr="00672D2A">
        <w:tc>
          <w:tcPr>
            <w:tcW w:w="703" w:type="dxa"/>
          </w:tcPr>
          <w:p w14:paraId="5BD3049D"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050</w:t>
            </w:r>
          </w:p>
        </w:tc>
        <w:tc>
          <w:tcPr>
            <w:tcW w:w="7478" w:type="dxa"/>
          </w:tcPr>
          <w:p w14:paraId="4964DE04" w14:textId="4464C77F" w:rsidR="001B1411" w:rsidRPr="00DA7625" w:rsidRDefault="002648B0">
            <w:pPr>
              <w:pStyle w:val="InstructionsText"/>
              <w:rPr>
                <w:rStyle w:val="InstructionsTabelleText"/>
                <w:rFonts w:ascii="Times New Roman" w:hAnsi="Times New Roman"/>
                <w:b/>
                <w:bCs/>
                <w:sz w:val="24"/>
                <w:u w:val="single"/>
              </w:rPr>
            </w:pPr>
            <w:r w:rsidRPr="00DA7625">
              <w:rPr>
                <w:rStyle w:val="InstructionsTabelleberschrift"/>
                <w:rFonts w:ascii="Times New Roman" w:hAnsi="Times New Roman"/>
                <w:sz w:val="24"/>
              </w:rPr>
              <w:t>2.2.1</w:t>
            </w:r>
            <w:r w:rsidRPr="00DA7625">
              <w:rPr>
                <w:rStyle w:val="InstructionsTabelleberschrift"/>
                <w:rFonts w:ascii="Times New Roman" w:hAnsi="Times New Roman"/>
                <w:sz w:val="24"/>
              </w:rPr>
              <w:tab/>
              <w:t>Az adatszolgáltatás időpontja után érvényesíthető visszahívási opcióval rendelkező, a CRR 52. cikkében foglalt feltételeket a tényleges lejáratot követően teljesítő instrumentumok</w:t>
            </w:r>
          </w:p>
          <w:p w14:paraId="3DA61745" w14:textId="1767F56D"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489. cikkének (3) bekezdése, valamint 491. cikkének a) pontja</w:t>
            </w:r>
          </w:p>
          <w:p w14:paraId="27D78769" w14:textId="77777777" w:rsidR="001B1411" w:rsidRPr="00DA7625" w:rsidRDefault="002648B0">
            <w:pPr>
              <w:rPr>
                <w:rStyle w:val="InstructionsTabelleText"/>
                <w:rFonts w:ascii="Times New Roman" w:hAnsi="Times New Roman"/>
                <w:sz w:val="24"/>
              </w:rPr>
            </w:pPr>
            <w:r w:rsidRPr="00DA7625">
              <w:rPr>
                <w:rStyle w:val="InstructionsTabelleText"/>
                <w:rFonts w:ascii="Times New Roman" w:hAnsi="Times New Roman"/>
                <w:sz w:val="24"/>
              </w:rPr>
              <w:t>A feltüntetendő érték magában foglalja a kapcsolódó ázsiót.</w:t>
            </w:r>
          </w:p>
        </w:tc>
      </w:tr>
      <w:tr w:rsidR="001B1411" w:rsidRPr="00DA7625" w14:paraId="156521F2" w14:textId="77777777" w:rsidTr="00672D2A">
        <w:tc>
          <w:tcPr>
            <w:tcW w:w="703" w:type="dxa"/>
          </w:tcPr>
          <w:p w14:paraId="51F2DC97"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060</w:t>
            </w:r>
          </w:p>
        </w:tc>
        <w:tc>
          <w:tcPr>
            <w:tcW w:w="7478" w:type="dxa"/>
          </w:tcPr>
          <w:p w14:paraId="6D056AF7" w14:textId="0A3F1731" w:rsidR="001B1411" w:rsidRPr="00DA7625" w:rsidRDefault="002648B0">
            <w:pPr>
              <w:pStyle w:val="InstructionsText"/>
              <w:rPr>
                <w:rStyle w:val="InstructionsTabelleText"/>
                <w:rFonts w:ascii="Times New Roman" w:hAnsi="Times New Roman"/>
                <w:b/>
                <w:sz w:val="24"/>
                <w:u w:val="single"/>
              </w:rPr>
            </w:pPr>
            <w:r w:rsidRPr="00DA7625">
              <w:rPr>
                <w:rStyle w:val="InstructionsTabelleberschrift"/>
                <w:rFonts w:ascii="Times New Roman" w:hAnsi="Times New Roman"/>
                <w:sz w:val="24"/>
              </w:rPr>
              <w:t>2.2.2</w:t>
            </w:r>
            <w:r w:rsidRPr="00DA7625">
              <w:rPr>
                <w:rStyle w:val="InstructionsTabelleberschrift"/>
                <w:rFonts w:ascii="Times New Roman" w:hAnsi="Times New Roman"/>
                <w:sz w:val="24"/>
              </w:rPr>
              <w:tab/>
              <w:t>Az adatszolgáltatás időpontja után érvényesíthető visszahívási opcióval rendelkező, a CRR 52. cikkében foglalt feltételeket a tényleges lejáratot követően nem teljesítő instrumentumok</w:t>
            </w:r>
          </w:p>
          <w:p w14:paraId="03E564F8" w14:textId="77777777" w:rsidR="001B1411" w:rsidRPr="00DA7625" w:rsidRDefault="009F155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489. cikkének (5) bekezdése, valamint 491. cikkének a) pontja</w:t>
            </w:r>
          </w:p>
          <w:p w14:paraId="683A0881" w14:textId="77777777" w:rsidR="001B1411" w:rsidRPr="00DA7625" w:rsidRDefault="002648B0">
            <w:pPr>
              <w:rPr>
                <w:rStyle w:val="InstructionsTabelleText"/>
                <w:rFonts w:ascii="Times New Roman" w:hAnsi="Times New Roman"/>
                <w:sz w:val="24"/>
              </w:rPr>
            </w:pPr>
            <w:r w:rsidRPr="00DA7625">
              <w:rPr>
                <w:rStyle w:val="InstructionsTabelleText"/>
                <w:rFonts w:ascii="Times New Roman" w:hAnsi="Times New Roman"/>
                <w:sz w:val="24"/>
              </w:rPr>
              <w:t>A feltüntetendő érték magában foglalja a kapcsolódó ázsiót.</w:t>
            </w:r>
          </w:p>
        </w:tc>
      </w:tr>
      <w:tr w:rsidR="001B1411" w:rsidRPr="00DA7625" w14:paraId="3ED116FE" w14:textId="77777777" w:rsidTr="00672D2A">
        <w:tc>
          <w:tcPr>
            <w:tcW w:w="703" w:type="dxa"/>
          </w:tcPr>
          <w:p w14:paraId="63D3F5A9"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070</w:t>
            </w:r>
          </w:p>
        </w:tc>
        <w:tc>
          <w:tcPr>
            <w:tcW w:w="7478" w:type="dxa"/>
          </w:tcPr>
          <w:p w14:paraId="55844FCD" w14:textId="0971F362" w:rsidR="001B1411" w:rsidRPr="00DA7625" w:rsidRDefault="002648B0">
            <w:pPr>
              <w:pStyle w:val="InstructionsText"/>
              <w:rPr>
                <w:rStyle w:val="InstructionsTabelleText"/>
                <w:rFonts w:ascii="Times New Roman" w:hAnsi="Times New Roman"/>
                <w:b/>
                <w:sz w:val="24"/>
                <w:u w:val="single"/>
              </w:rPr>
            </w:pPr>
            <w:r w:rsidRPr="00DA7625">
              <w:rPr>
                <w:rStyle w:val="InstructionsTabelleberschrift"/>
                <w:rFonts w:ascii="Times New Roman" w:hAnsi="Times New Roman"/>
                <w:sz w:val="24"/>
              </w:rPr>
              <w:t>2.2.3</w:t>
            </w:r>
            <w:r w:rsidRPr="00DA7625">
              <w:rPr>
                <w:rStyle w:val="InstructionsTabelleberschrift"/>
                <w:rFonts w:ascii="Times New Roman" w:hAnsi="Times New Roman"/>
                <w:sz w:val="24"/>
              </w:rPr>
              <w:tab/>
              <w:t>2011. július 20-ig érvényesíthető visszahívási opcióval rendelkező, a CRR 52. cikkében foglalt feltételeket a tényleges lejáratot követően nem teljesítő instrumentumok</w:t>
            </w:r>
          </w:p>
          <w:p w14:paraId="4FF64B88" w14:textId="77777777" w:rsidR="001B1411" w:rsidRPr="00DA7625" w:rsidRDefault="009F155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489. cikkének (6) bekezdése, valamint 491. cikkének c) pontja</w:t>
            </w:r>
          </w:p>
          <w:p w14:paraId="76E15D9C"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feltüntetendő érték magában foglalja a kapcsolódó ázsiót.</w:t>
            </w:r>
          </w:p>
        </w:tc>
      </w:tr>
      <w:tr w:rsidR="001B1411" w:rsidRPr="00DA7625" w14:paraId="1484081C" w14:textId="77777777" w:rsidTr="00672D2A">
        <w:tc>
          <w:tcPr>
            <w:tcW w:w="703" w:type="dxa"/>
          </w:tcPr>
          <w:p w14:paraId="766BE8B5"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080</w:t>
            </w:r>
          </w:p>
        </w:tc>
        <w:tc>
          <w:tcPr>
            <w:tcW w:w="7478" w:type="dxa"/>
          </w:tcPr>
          <w:p w14:paraId="24CB712D" w14:textId="77777777" w:rsidR="001B1411" w:rsidRPr="00DA7625" w:rsidRDefault="002648B0">
            <w:pPr>
              <w:pStyle w:val="InstructionsText"/>
              <w:rPr>
                <w:rStyle w:val="InstructionsTabelleText"/>
                <w:rFonts w:ascii="Times New Roman" w:hAnsi="Times New Roman"/>
                <w:b/>
                <w:bCs/>
                <w:sz w:val="24"/>
                <w:u w:val="single"/>
              </w:rPr>
            </w:pPr>
            <w:r w:rsidRPr="00DA7625">
              <w:rPr>
                <w:rStyle w:val="InstructionsTabelleberschrift"/>
                <w:rFonts w:ascii="Times New Roman" w:hAnsi="Times New Roman"/>
                <w:sz w:val="24"/>
              </w:rPr>
              <w:t>2.3</w:t>
            </w:r>
            <w:r w:rsidRPr="00DA7625">
              <w:rPr>
                <w:rStyle w:val="InstructionsTabelleberschrift"/>
                <w:rFonts w:ascii="Times New Roman" w:hAnsi="Times New Roman"/>
                <w:sz w:val="24"/>
              </w:rPr>
              <w:tab/>
              <w:t>A szerzett jogok alapján figyelembe vett CET1 tőkeinstrumentumok korlátját meghaladó érték</w:t>
            </w:r>
          </w:p>
          <w:p w14:paraId="2BC183EC" w14:textId="5133841C"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487. cikkének (1) bekezdése</w:t>
            </w:r>
          </w:p>
          <w:p w14:paraId="39EEAD88"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szerzett jogok alapján figyelembe vett CET1 tőkeinstrumentumok korlátját meghaladó érték olyan eszközként kezelhető, amely az AT1 tőkén belül a szerzett jogok alapján figyelembe vehető.</w:t>
            </w:r>
          </w:p>
        </w:tc>
      </w:tr>
      <w:tr w:rsidR="001B1411" w:rsidRPr="00DA7625" w14:paraId="61E5E55B" w14:textId="77777777" w:rsidTr="00672D2A">
        <w:tc>
          <w:tcPr>
            <w:tcW w:w="703" w:type="dxa"/>
          </w:tcPr>
          <w:p w14:paraId="2837DB83"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090</w:t>
            </w:r>
          </w:p>
        </w:tc>
        <w:tc>
          <w:tcPr>
            <w:tcW w:w="7478" w:type="dxa"/>
          </w:tcPr>
          <w:p w14:paraId="01ECF30E" w14:textId="77777777" w:rsidR="001B1411" w:rsidRPr="00DA7625" w:rsidRDefault="00C66473">
            <w:pPr>
              <w:pStyle w:val="InstructionsText"/>
              <w:rPr>
                <w:rStyle w:val="InstructionsTabelleText"/>
                <w:rFonts w:ascii="Times New Roman" w:hAnsi="Times New Roman"/>
                <w:b/>
                <w:sz w:val="24"/>
                <w:u w:val="single"/>
              </w:rPr>
            </w:pPr>
            <w:r w:rsidRPr="00DA7625">
              <w:rPr>
                <w:rStyle w:val="InstructionsTabelleberschrift"/>
                <w:rFonts w:ascii="Times New Roman" w:hAnsi="Times New Roman"/>
                <w:sz w:val="24"/>
              </w:rPr>
              <w:t>3.</w:t>
            </w:r>
            <w:r w:rsidRPr="00DA7625">
              <w:rPr>
                <w:rStyle w:val="InstructionsTabelleberschrift"/>
                <w:rFonts w:ascii="Times New Roman" w:hAnsi="Times New Roman"/>
                <w:sz w:val="24"/>
              </w:rPr>
              <w:tab/>
              <w:t>A 2006/48/EK irányelv 57. cikkének e), f), g) vagy h) pontja értelmében figyelembe vett tételek, a 490. cikkben rögzített korlát alkalmazásával</w:t>
            </w:r>
          </w:p>
          <w:p w14:paraId="7A3517FB" w14:textId="405FFA3E" w:rsidR="001B1411" w:rsidRPr="00DA7625" w:rsidRDefault="002648B0">
            <w:pPr>
              <w:pStyle w:val="InstructionsText"/>
              <w:rPr>
                <w:rStyle w:val="InstructionsTabelleText"/>
                <w:rFonts w:ascii="Times New Roman" w:hAnsi="Times New Roman"/>
                <w:bCs/>
                <w:sz w:val="24"/>
              </w:rPr>
            </w:pPr>
            <w:r w:rsidRPr="00DA7625">
              <w:rPr>
                <w:rStyle w:val="InstructionsTabelleText"/>
                <w:rFonts w:ascii="Times New Roman" w:hAnsi="Times New Roman"/>
                <w:sz w:val="24"/>
              </w:rPr>
              <w:t>A CRR 484. cikkének (5) bekezdése</w:t>
            </w:r>
          </w:p>
        </w:tc>
      </w:tr>
      <w:tr w:rsidR="001B1411" w:rsidRPr="00DA7625" w14:paraId="7AD26B0B" w14:textId="77777777" w:rsidTr="00672D2A">
        <w:tc>
          <w:tcPr>
            <w:tcW w:w="703" w:type="dxa"/>
          </w:tcPr>
          <w:p w14:paraId="4B9CB77D"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100</w:t>
            </w:r>
          </w:p>
        </w:tc>
        <w:tc>
          <w:tcPr>
            <w:tcW w:w="7478" w:type="dxa"/>
          </w:tcPr>
          <w:p w14:paraId="563811AC" w14:textId="77777777" w:rsidR="001B1411" w:rsidRPr="00DA7625" w:rsidRDefault="002648B0">
            <w:pPr>
              <w:pStyle w:val="InstructionsText"/>
              <w:rPr>
                <w:rStyle w:val="InstructionsTabelleText"/>
                <w:rFonts w:ascii="Times New Roman" w:hAnsi="Times New Roman"/>
                <w:b/>
                <w:bCs/>
                <w:sz w:val="24"/>
                <w:u w:val="single"/>
              </w:rPr>
            </w:pPr>
            <w:r w:rsidRPr="00DA7625">
              <w:rPr>
                <w:rStyle w:val="InstructionsTabelleberschrift"/>
                <w:rFonts w:ascii="Times New Roman" w:hAnsi="Times New Roman"/>
                <w:sz w:val="24"/>
              </w:rPr>
              <w:t>3.1</w:t>
            </w:r>
            <w:r w:rsidRPr="00DA7625">
              <w:rPr>
                <w:rStyle w:val="InstructionsTabelleberschrift"/>
                <w:rFonts w:ascii="Times New Roman" w:hAnsi="Times New Roman"/>
                <w:sz w:val="24"/>
              </w:rPr>
              <w:tab/>
              <w:t>Visszavásárlásra nem ösztönző tételek összesen</w:t>
            </w:r>
          </w:p>
          <w:p w14:paraId="400AD677" w14:textId="3D0FEEB8"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490. cikke</w:t>
            </w:r>
          </w:p>
        </w:tc>
      </w:tr>
      <w:tr w:rsidR="001B1411" w:rsidRPr="00DA7625" w14:paraId="26942B32" w14:textId="77777777" w:rsidTr="00672D2A">
        <w:tc>
          <w:tcPr>
            <w:tcW w:w="703" w:type="dxa"/>
          </w:tcPr>
          <w:p w14:paraId="756180B3"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110</w:t>
            </w:r>
          </w:p>
        </w:tc>
        <w:tc>
          <w:tcPr>
            <w:tcW w:w="7478" w:type="dxa"/>
          </w:tcPr>
          <w:p w14:paraId="38934F09" w14:textId="77777777" w:rsidR="001B1411" w:rsidRPr="00DA7625" w:rsidRDefault="002648B0">
            <w:pPr>
              <w:pStyle w:val="InstructionsText"/>
              <w:rPr>
                <w:rStyle w:val="InstructionsTabelleText"/>
                <w:rFonts w:ascii="Times New Roman" w:hAnsi="Times New Roman"/>
                <w:b/>
                <w:bCs/>
                <w:sz w:val="24"/>
                <w:u w:val="single"/>
              </w:rPr>
            </w:pPr>
            <w:r w:rsidRPr="00DA7625">
              <w:rPr>
                <w:rStyle w:val="InstructionsTabelleberschrift"/>
                <w:rFonts w:ascii="Times New Roman" w:hAnsi="Times New Roman"/>
                <w:sz w:val="24"/>
              </w:rPr>
              <w:t>3.2</w:t>
            </w:r>
            <w:r w:rsidRPr="00DA7625">
              <w:rPr>
                <w:rStyle w:val="InstructionsTabelleberschrift"/>
                <w:rFonts w:ascii="Times New Roman" w:hAnsi="Times New Roman"/>
                <w:sz w:val="24"/>
              </w:rPr>
              <w:tab/>
              <w:t>Visszavásárlásra ösztönző, a szerzett jogok alapján figyelembe vett tételek</w:t>
            </w:r>
          </w:p>
          <w:p w14:paraId="064BD76D" w14:textId="2745ECA6"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CRR 490. cikke</w:t>
            </w:r>
          </w:p>
        </w:tc>
      </w:tr>
      <w:tr w:rsidR="001B1411" w:rsidRPr="00DA7625" w14:paraId="14DC22B6" w14:textId="77777777" w:rsidTr="00672D2A">
        <w:tc>
          <w:tcPr>
            <w:tcW w:w="703" w:type="dxa"/>
          </w:tcPr>
          <w:p w14:paraId="1D49D24A"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120</w:t>
            </w:r>
          </w:p>
        </w:tc>
        <w:tc>
          <w:tcPr>
            <w:tcW w:w="7478" w:type="dxa"/>
          </w:tcPr>
          <w:p w14:paraId="34153268" w14:textId="4094740C" w:rsidR="001B1411" w:rsidRPr="00DA7625" w:rsidRDefault="002648B0">
            <w:pPr>
              <w:pStyle w:val="InstructionsText"/>
              <w:rPr>
                <w:rStyle w:val="InstructionsTabelleText"/>
                <w:rFonts w:ascii="Times New Roman" w:hAnsi="Times New Roman"/>
                <w:b/>
                <w:bCs/>
                <w:sz w:val="24"/>
                <w:u w:val="single"/>
              </w:rPr>
            </w:pPr>
            <w:r w:rsidRPr="00DA7625">
              <w:rPr>
                <w:rStyle w:val="InstructionsTabelleberschrift"/>
                <w:rFonts w:ascii="Times New Roman" w:hAnsi="Times New Roman"/>
                <w:sz w:val="24"/>
              </w:rPr>
              <w:t>3.2.1</w:t>
            </w:r>
            <w:r w:rsidRPr="00DA7625">
              <w:rPr>
                <w:rStyle w:val="InstructionsTabelleberschrift"/>
                <w:rFonts w:ascii="Times New Roman" w:hAnsi="Times New Roman"/>
                <w:sz w:val="24"/>
              </w:rPr>
              <w:tab/>
              <w:t>Az adatszolgáltatás időpontja után érvényesíthető visszahívási opcióval rendelkező, a CRR 63. cikkében foglalt feltételeket a tényleges lejáratot követően teljesítő tételek</w:t>
            </w:r>
          </w:p>
          <w:p w14:paraId="2C3B8B3C" w14:textId="2A9A1793" w:rsidR="001B1411" w:rsidRPr="00DA7625" w:rsidRDefault="002648B0">
            <w:pPr>
              <w:rPr>
                <w:rStyle w:val="InstructionsTabelleText"/>
                <w:rFonts w:ascii="Times New Roman" w:hAnsi="Times New Roman"/>
                <w:sz w:val="24"/>
              </w:rPr>
            </w:pPr>
            <w:r w:rsidRPr="00DA7625">
              <w:rPr>
                <w:rStyle w:val="InstructionsTabelleText"/>
                <w:rFonts w:ascii="Times New Roman" w:hAnsi="Times New Roman"/>
                <w:sz w:val="24"/>
              </w:rPr>
              <w:t>A CRR 490. cikkének (3) bekezdése, valamint 491. cikkének a) pontja</w:t>
            </w:r>
          </w:p>
          <w:p w14:paraId="03595345" w14:textId="77777777" w:rsidR="001B1411" w:rsidRPr="00DA7625" w:rsidRDefault="002648B0">
            <w:pPr>
              <w:rPr>
                <w:rStyle w:val="InstructionsTabelleText"/>
                <w:rFonts w:ascii="Times New Roman" w:hAnsi="Times New Roman"/>
                <w:sz w:val="24"/>
              </w:rPr>
            </w:pPr>
            <w:r w:rsidRPr="00DA7625">
              <w:rPr>
                <w:rStyle w:val="InstructionsTabelleText"/>
                <w:rFonts w:ascii="Times New Roman" w:hAnsi="Times New Roman"/>
                <w:sz w:val="24"/>
              </w:rPr>
              <w:lastRenderedPageBreak/>
              <w:t>A feltüntetendő érték magában foglalja a kapcsolódó ázsiót.</w:t>
            </w:r>
          </w:p>
        </w:tc>
      </w:tr>
      <w:tr w:rsidR="001B1411" w:rsidRPr="00DA7625" w14:paraId="6CBF303C" w14:textId="77777777" w:rsidTr="00672D2A">
        <w:tc>
          <w:tcPr>
            <w:tcW w:w="703" w:type="dxa"/>
          </w:tcPr>
          <w:p w14:paraId="5C2C4CC6"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lastRenderedPageBreak/>
              <w:t>130</w:t>
            </w:r>
          </w:p>
        </w:tc>
        <w:tc>
          <w:tcPr>
            <w:tcW w:w="7478" w:type="dxa"/>
          </w:tcPr>
          <w:p w14:paraId="2A8A2BA9" w14:textId="74872FE0" w:rsidR="001B1411" w:rsidRPr="00DA7625" w:rsidRDefault="002648B0">
            <w:pPr>
              <w:pStyle w:val="InstructionsText"/>
              <w:rPr>
                <w:rStyle w:val="InstructionsTabelleText"/>
                <w:rFonts w:ascii="Times New Roman" w:hAnsi="Times New Roman"/>
                <w:b/>
                <w:sz w:val="24"/>
                <w:u w:val="single"/>
              </w:rPr>
            </w:pPr>
            <w:r w:rsidRPr="00DA7625">
              <w:rPr>
                <w:rStyle w:val="InstructionsTabelleberschrift"/>
                <w:rFonts w:ascii="Times New Roman" w:hAnsi="Times New Roman"/>
                <w:sz w:val="24"/>
              </w:rPr>
              <w:t>3.2.2</w:t>
            </w:r>
            <w:r w:rsidRPr="00DA7625">
              <w:rPr>
                <w:rStyle w:val="InstructionsTabelleberschrift"/>
                <w:rFonts w:ascii="Times New Roman" w:hAnsi="Times New Roman"/>
                <w:sz w:val="24"/>
              </w:rPr>
              <w:tab/>
              <w:t>Az adatszolgáltatás időpontja után érvényesíthető visszahívási opcióval rendelkező, a CRR 63. cikkében foglalt feltételeket a tényleges lejáratot követően nem teljesítő tételek</w:t>
            </w:r>
          </w:p>
          <w:p w14:paraId="11B9C32C" w14:textId="77777777" w:rsidR="001B1411" w:rsidRPr="00DA7625" w:rsidRDefault="009F1550">
            <w:pPr>
              <w:rPr>
                <w:rStyle w:val="InstructionsTabelleText"/>
                <w:rFonts w:ascii="Times New Roman" w:hAnsi="Times New Roman"/>
                <w:sz w:val="24"/>
              </w:rPr>
            </w:pPr>
            <w:r w:rsidRPr="00DA7625">
              <w:rPr>
                <w:rStyle w:val="InstructionsTabelleText"/>
                <w:rFonts w:ascii="Times New Roman" w:hAnsi="Times New Roman"/>
                <w:sz w:val="24"/>
              </w:rPr>
              <w:t>A CRR 490. cikkének (5) bekezdése, valamint 491. cikkének a) pontja</w:t>
            </w:r>
          </w:p>
          <w:p w14:paraId="59FA2736" w14:textId="77777777" w:rsidR="001B1411" w:rsidRPr="00DA7625" w:rsidRDefault="007C3B71">
            <w:pPr>
              <w:rPr>
                <w:rStyle w:val="InstructionsTabelleText"/>
                <w:rFonts w:ascii="Times New Roman" w:hAnsi="Times New Roman"/>
                <w:sz w:val="24"/>
              </w:rPr>
            </w:pPr>
            <w:r w:rsidRPr="00DA7625">
              <w:rPr>
                <w:rStyle w:val="InstructionsTabelleText"/>
                <w:rFonts w:ascii="Times New Roman" w:hAnsi="Times New Roman"/>
                <w:sz w:val="24"/>
              </w:rPr>
              <w:t>A feltüntetendő érték magában foglalja a kapcsolódó ázsiót.</w:t>
            </w:r>
          </w:p>
        </w:tc>
      </w:tr>
      <w:tr w:rsidR="001B1411" w:rsidRPr="00DA7625" w14:paraId="14590764" w14:textId="77777777" w:rsidTr="00672D2A">
        <w:tc>
          <w:tcPr>
            <w:tcW w:w="703" w:type="dxa"/>
          </w:tcPr>
          <w:p w14:paraId="7DAA6408"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140</w:t>
            </w:r>
          </w:p>
        </w:tc>
        <w:tc>
          <w:tcPr>
            <w:tcW w:w="7478" w:type="dxa"/>
          </w:tcPr>
          <w:p w14:paraId="0CCC7907" w14:textId="1186FE1D" w:rsidR="001B1411" w:rsidRPr="00DA7625" w:rsidRDefault="002648B0">
            <w:pPr>
              <w:pStyle w:val="InstructionsText"/>
              <w:rPr>
                <w:rStyle w:val="InstructionsTabelleberschrift"/>
                <w:rFonts w:ascii="Times New Roman" w:hAnsi="Times New Roman"/>
                <w:bCs w:val="0"/>
                <w:sz w:val="24"/>
              </w:rPr>
            </w:pPr>
            <w:r w:rsidRPr="00DA7625">
              <w:rPr>
                <w:rStyle w:val="InstructionsTabelleberschrift"/>
                <w:rFonts w:ascii="Times New Roman" w:hAnsi="Times New Roman"/>
                <w:sz w:val="24"/>
              </w:rPr>
              <w:t>3.2.3</w:t>
            </w:r>
            <w:r w:rsidRPr="00DA7625">
              <w:rPr>
                <w:rStyle w:val="InstructionsTabelleberschrift"/>
                <w:rFonts w:ascii="Times New Roman" w:hAnsi="Times New Roman"/>
                <w:sz w:val="24"/>
              </w:rPr>
              <w:tab/>
              <w:t>2011. július 20-ig érvényesíthető visszahívási opcióval rendelkező, a CRR 63. cikkében foglalt feltételeket a tényleges lejáratot követően nem teljesítő tételek</w:t>
            </w:r>
          </w:p>
          <w:p w14:paraId="1B4BA73C" w14:textId="77777777" w:rsidR="001B1411" w:rsidRPr="00DA7625" w:rsidRDefault="009F1550">
            <w:pPr>
              <w:rPr>
                <w:rStyle w:val="InstructionsTabelleText"/>
                <w:rFonts w:ascii="Times New Roman" w:hAnsi="Times New Roman"/>
                <w:sz w:val="24"/>
              </w:rPr>
            </w:pPr>
            <w:r w:rsidRPr="00DA7625">
              <w:rPr>
                <w:rStyle w:val="InstructionsTabelleText"/>
                <w:rFonts w:ascii="Times New Roman" w:hAnsi="Times New Roman"/>
                <w:sz w:val="24"/>
              </w:rPr>
              <w:t>A CRR 490. cikkének (6) bekezdése, valamint 491. cikkének c) pontja</w:t>
            </w:r>
          </w:p>
          <w:p w14:paraId="0E0942EC"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A feltüntetendő érték magában foglalja a kapcsolódó ázsiót.</w:t>
            </w:r>
          </w:p>
        </w:tc>
      </w:tr>
      <w:tr w:rsidR="001B1411" w:rsidRPr="00DA7625" w14:paraId="005BB829" w14:textId="77777777" w:rsidTr="00672D2A">
        <w:tc>
          <w:tcPr>
            <w:tcW w:w="703" w:type="dxa"/>
          </w:tcPr>
          <w:p w14:paraId="367D4EE3" w14:textId="77777777" w:rsidR="001B1411" w:rsidRPr="00DA7625" w:rsidRDefault="002648B0">
            <w:pPr>
              <w:pStyle w:val="InstructionsText"/>
              <w:rPr>
                <w:rStyle w:val="InstructionsTabelleText"/>
                <w:rFonts w:ascii="Times New Roman" w:hAnsi="Times New Roman"/>
                <w:sz w:val="24"/>
              </w:rPr>
            </w:pPr>
            <w:r w:rsidRPr="00DA7625">
              <w:rPr>
                <w:rStyle w:val="InstructionsTabelleText"/>
                <w:rFonts w:ascii="Times New Roman" w:hAnsi="Times New Roman"/>
                <w:sz w:val="24"/>
              </w:rPr>
              <w:t>150</w:t>
            </w:r>
          </w:p>
        </w:tc>
        <w:tc>
          <w:tcPr>
            <w:tcW w:w="7478" w:type="dxa"/>
          </w:tcPr>
          <w:p w14:paraId="00481FDA" w14:textId="77777777" w:rsidR="001B1411" w:rsidRPr="00DA7625" w:rsidRDefault="002648B0">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3.3</w:t>
            </w:r>
            <w:r w:rsidRPr="00DA7625">
              <w:rPr>
                <w:rStyle w:val="InstructionsTabelleberschrift"/>
                <w:rFonts w:ascii="Times New Roman" w:hAnsi="Times New Roman"/>
                <w:sz w:val="24"/>
              </w:rPr>
              <w:tab/>
              <w:t>A szerzett jogok alapján figyelembe vett AT1 tőkeinstrumentumok korlátját meghaladó érték</w:t>
            </w:r>
          </w:p>
          <w:p w14:paraId="69FAA950" w14:textId="1529F9CE" w:rsidR="001B1411" w:rsidRPr="00DA7625" w:rsidRDefault="002648B0">
            <w:pPr>
              <w:rPr>
                <w:rStyle w:val="InstructionsTabelleText"/>
                <w:rFonts w:ascii="Times New Roman" w:hAnsi="Times New Roman"/>
                <w:sz w:val="24"/>
              </w:rPr>
            </w:pPr>
            <w:r w:rsidRPr="00DA7625">
              <w:rPr>
                <w:rStyle w:val="InstructionsTabelleText"/>
                <w:rFonts w:ascii="Times New Roman" w:hAnsi="Times New Roman"/>
                <w:sz w:val="24"/>
              </w:rPr>
              <w:t xml:space="preserve">A CRR 487. cikkének (2) bekezdése </w:t>
            </w:r>
          </w:p>
          <w:p w14:paraId="503E47F7" w14:textId="77777777" w:rsidR="001B1411" w:rsidRPr="00DA7625" w:rsidRDefault="002648B0">
            <w:pPr>
              <w:rPr>
                <w:rStyle w:val="InstructionsTabelleText"/>
                <w:rFonts w:ascii="Times New Roman" w:hAnsi="Times New Roman"/>
                <w:sz w:val="24"/>
              </w:rPr>
            </w:pPr>
            <w:r w:rsidRPr="00DA7625">
              <w:rPr>
                <w:rStyle w:val="InstructionsTabelleText"/>
                <w:rFonts w:ascii="Times New Roman" w:hAnsi="Times New Roman"/>
                <w:sz w:val="24"/>
              </w:rPr>
              <w:t>A szerzett jogok alapján figyelembe vett AT1 tőkeinstrumentumok korlátját meghaladó érték olyan eszközként kezelhető, amely a T2 tőkén belül a szerzett jogok alapján figyelembe vehető.</w:t>
            </w:r>
          </w:p>
        </w:tc>
      </w:tr>
    </w:tbl>
    <w:p w14:paraId="59B49FCF" w14:textId="77777777" w:rsidR="001B1411" w:rsidRPr="00DA7625" w:rsidRDefault="001B1411">
      <w:pPr>
        <w:spacing w:before="0" w:after="0"/>
        <w:jc w:val="left"/>
        <w:rPr>
          <w:rFonts w:ascii="Times New Roman" w:hAnsi="Times New Roman"/>
          <w:sz w:val="24"/>
          <w:u w:val="single"/>
        </w:rPr>
      </w:pPr>
    </w:p>
    <w:p w14:paraId="0163BAC5"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24" w:name="_Toc31018770"/>
      <w:r w:rsidRPr="00DA7625">
        <w:rPr>
          <w:rFonts w:ascii="Times New Roman" w:hAnsi="Times New Roman"/>
          <w:sz w:val="24"/>
          <w:u w:val="none"/>
        </w:rPr>
        <w:t>2.</w:t>
      </w:r>
      <w:r w:rsidRPr="00DA7625">
        <w:rPr>
          <w:rFonts w:ascii="Times New Roman" w:hAnsi="Times New Roman"/>
          <w:sz w:val="24"/>
          <w:u w:val="none"/>
        </w:rPr>
        <w:tab/>
      </w:r>
      <w:r w:rsidRPr="00DA7625">
        <w:rPr>
          <w:rFonts w:ascii="Times New Roman" w:hAnsi="Times New Roman"/>
          <w:sz w:val="24"/>
        </w:rPr>
        <w:t>CSOPORTSZINTŰ SZAVATOLÓTŐKE-MEGFELELÉS: INFORMÁCIÓK A CSOPORTBA TARTOZÓ SZERVEZETEKRŐL (GS)</w:t>
      </w:r>
      <w:bookmarkEnd w:id="24"/>
    </w:p>
    <w:p w14:paraId="6A00CF03" w14:textId="38AE3968" w:rsidR="001B1411" w:rsidRPr="00DA7625" w:rsidRDefault="00CD30E6">
      <w:pPr>
        <w:pStyle w:val="Instructionsberschrift2"/>
        <w:numPr>
          <w:ilvl w:val="0"/>
          <w:numId w:val="0"/>
        </w:numPr>
        <w:ind w:left="357" w:hanging="357"/>
        <w:rPr>
          <w:rFonts w:ascii="Times New Roman" w:hAnsi="Times New Roman" w:cs="Times New Roman"/>
          <w:sz w:val="24"/>
        </w:rPr>
      </w:pPr>
      <w:bookmarkStart w:id="25" w:name="_Toc31018771"/>
      <w:r>
        <w:rPr>
          <w:rFonts w:ascii="Times New Roman" w:hAnsi="Times New Roman"/>
          <w:sz w:val="24"/>
          <w:u w:val="none"/>
        </w:rPr>
        <w:t>2.</w:t>
      </w:r>
      <w:r w:rsidR="00125707" w:rsidRPr="00DA7625">
        <w:rPr>
          <w:rFonts w:ascii="Times New Roman" w:hAnsi="Times New Roman"/>
          <w:sz w:val="24"/>
          <w:u w:val="none"/>
        </w:rPr>
        <w:t>1.</w:t>
      </w:r>
      <w:r w:rsidR="00125707" w:rsidRPr="00DA7625">
        <w:rPr>
          <w:rFonts w:ascii="Times New Roman" w:hAnsi="Times New Roman"/>
          <w:sz w:val="24"/>
          <w:u w:val="none"/>
        </w:rPr>
        <w:tab/>
      </w:r>
      <w:r w:rsidR="00125707" w:rsidRPr="00DA7625">
        <w:rPr>
          <w:rFonts w:ascii="Times New Roman" w:hAnsi="Times New Roman"/>
          <w:sz w:val="24"/>
        </w:rPr>
        <w:t>Általános megjegyzések</w:t>
      </w:r>
      <w:bookmarkEnd w:id="25"/>
    </w:p>
    <w:p w14:paraId="3C128FD1" w14:textId="33BC7EA9" w:rsidR="001B1411" w:rsidRPr="00DA7625" w:rsidRDefault="00125707">
      <w:pPr>
        <w:pStyle w:val="InstructionsText2"/>
        <w:numPr>
          <w:ilvl w:val="0"/>
          <w:numId w:val="0"/>
        </w:numPr>
        <w:ind w:left="993"/>
      </w:pPr>
      <w:r w:rsidRPr="00DA7625">
        <w:t>26.</w:t>
      </w:r>
      <w:r w:rsidRPr="00DA7625">
        <w:tab/>
        <w:t>A C 06.01-es és C 06.02-es táblán a szavatolótőke-követelmények konszolidált alapon történő számítása esetén kell adatot szolgáltatni. A C 06.02-es tábla négy részből áll, amelyek célja különböző információk gyűjtése a konszolidációs körbe bevont valamennyi szervezetről, ezen belül az adatot szolgáltató intézményről:</w:t>
      </w:r>
    </w:p>
    <w:p w14:paraId="2F240F2E" w14:textId="77777777" w:rsidR="001B1411" w:rsidRPr="00DA7625" w:rsidRDefault="00125707">
      <w:pPr>
        <w:pStyle w:val="InstructionsText2"/>
        <w:numPr>
          <w:ilvl w:val="0"/>
          <w:numId w:val="0"/>
        </w:numPr>
        <w:ind w:left="993"/>
      </w:pPr>
      <w:r w:rsidRPr="00DA7625">
        <w:t>a)</w:t>
      </w:r>
      <w:r w:rsidRPr="00DA7625">
        <w:tab/>
        <w:t>a konszolidáció körébe bevont szervezetek;</w:t>
      </w:r>
    </w:p>
    <w:p w14:paraId="156731C7" w14:textId="77777777" w:rsidR="001B1411" w:rsidRPr="00DA7625" w:rsidRDefault="00125707">
      <w:pPr>
        <w:pStyle w:val="InstructionsText2"/>
        <w:numPr>
          <w:ilvl w:val="0"/>
          <w:numId w:val="0"/>
        </w:numPr>
        <w:ind w:left="993"/>
      </w:pPr>
      <w:r w:rsidRPr="00DA7625">
        <w:t>b)</w:t>
      </w:r>
      <w:r w:rsidRPr="00DA7625">
        <w:tab/>
        <w:t>részletes információk a csoportszintű szavatolótőke-megfelelésről;</w:t>
      </w:r>
    </w:p>
    <w:p w14:paraId="32ED5F82" w14:textId="77777777" w:rsidR="001B1411" w:rsidRPr="00DA7625" w:rsidRDefault="00125707">
      <w:pPr>
        <w:pStyle w:val="InstructionsText2"/>
        <w:numPr>
          <w:ilvl w:val="0"/>
          <w:numId w:val="0"/>
        </w:numPr>
        <w:ind w:left="993"/>
      </w:pPr>
      <w:r w:rsidRPr="00DA7625">
        <w:t>c)</w:t>
      </w:r>
      <w:r w:rsidRPr="00DA7625">
        <w:tab/>
        <w:t>az egyes szervezeteknek a csoportszintű szavatolótőke-megfeleléshez való hozzájárulásával kapcsolatos információk;</w:t>
      </w:r>
    </w:p>
    <w:p w14:paraId="5775CB40" w14:textId="77777777" w:rsidR="001B1411" w:rsidRPr="00DA7625" w:rsidRDefault="00125707">
      <w:pPr>
        <w:pStyle w:val="InstructionsText2"/>
        <w:numPr>
          <w:ilvl w:val="0"/>
          <w:numId w:val="0"/>
        </w:numPr>
        <w:ind w:left="993"/>
      </w:pPr>
      <w:r w:rsidRPr="00DA7625">
        <w:t>d)</w:t>
      </w:r>
      <w:r w:rsidRPr="00DA7625">
        <w:tab/>
        <w:t>a tőkepufferekkel kapcsolatos információk.</w:t>
      </w:r>
    </w:p>
    <w:p w14:paraId="5D034BF6" w14:textId="25F62A40" w:rsidR="001B1411" w:rsidRPr="00DA7625" w:rsidRDefault="00125707">
      <w:pPr>
        <w:pStyle w:val="InstructionsText2"/>
        <w:numPr>
          <w:ilvl w:val="0"/>
          <w:numId w:val="0"/>
        </w:numPr>
        <w:ind w:left="993"/>
        <w:rPr>
          <w:rStyle w:val="InstructionsTabelleText"/>
          <w:rFonts w:ascii="Times New Roman" w:hAnsi="Times New Roman"/>
          <w:sz w:val="24"/>
        </w:rPr>
      </w:pPr>
      <w:r w:rsidRPr="00DA7625">
        <w:rPr>
          <w:rStyle w:val="InstructionsTabelleText"/>
          <w:rFonts w:ascii="Times New Roman" w:hAnsi="Times New Roman"/>
          <w:sz w:val="24"/>
        </w:rPr>
        <w:t>27.</w:t>
      </w:r>
      <w:r w:rsidRPr="00DA7625">
        <w:rPr>
          <w:rStyle w:val="InstructionsTabelleText"/>
          <w:rFonts w:ascii="Times New Roman" w:hAnsi="Times New Roman"/>
          <w:sz w:val="24"/>
        </w:rPr>
        <w:tab/>
      </w:r>
      <w:r w:rsidRPr="00DA7625">
        <w:t xml:space="preserve">A CRR 7. cikke alapján </w:t>
      </w:r>
      <w:r w:rsidRPr="00DA7625">
        <w:rPr>
          <w:rStyle w:val="InstructionsTabelleText"/>
          <w:rFonts w:ascii="Times New Roman" w:hAnsi="Times New Roman"/>
          <w:sz w:val="24"/>
        </w:rPr>
        <w:t>mentesülő intézmények kizárólag a</w:t>
      </w:r>
      <w:r w:rsidRPr="00DA7625">
        <w:t xml:space="preserve"> 010–060-as </w:t>
      </w:r>
      <w:r w:rsidRPr="00DA7625">
        <w:rPr>
          <w:rStyle w:val="InstructionsTabelleText"/>
          <w:rFonts w:ascii="Times New Roman" w:hAnsi="Times New Roman"/>
          <w:sz w:val="24"/>
        </w:rPr>
        <w:t>és 250–400-as oszlopban szolgáltatnak adatot.</w:t>
      </w:r>
    </w:p>
    <w:p w14:paraId="628603EB" w14:textId="27F5CEA6" w:rsidR="001B1411" w:rsidRPr="00DA7625" w:rsidRDefault="00125707">
      <w:pPr>
        <w:pStyle w:val="InstructionsText2"/>
        <w:numPr>
          <w:ilvl w:val="0"/>
          <w:numId w:val="0"/>
        </w:numPr>
        <w:ind w:left="993"/>
      </w:pPr>
      <w:r w:rsidRPr="00DA7625">
        <w:t>28.</w:t>
      </w:r>
      <w:r w:rsidRPr="00DA7625">
        <w:tab/>
        <w:t>A feltüntetett adatoknak figyelembe kell venniük a CRR összes olyan átmeneti rendelkezését, amely az adott adatszolgáltatási időpontban alkalmazandó volt.</w:t>
      </w:r>
    </w:p>
    <w:p w14:paraId="4A512942"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26" w:name="_Toc31018772"/>
      <w:r w:rsidRPr="00DA7625">
        <w:rPr>
          <w:rFonts w:ascii="Times New Roman" w:hAnsi="Times New Roman"/>
          <w:sz w:val="24"/>
          <w:u w:val="none"/>
        </w:rPr>
        <w:lastRenderedPageBreak/>
        <w:t>2.2.</w:t>
      </w:r>
      <w:r w:rsidRPr="00DA7625">
        <w:rPr>
          <w:rFonts w:ascii="Times New Roman" w:hAnsi="Times New Roman"/>
          <w:sz w:val="24"/>
          <w:u w:val="none"/>
        </w:rPr>
        <w:tab/>
      </w:r>
      <w:r w:rsidRPr="00DA7625">
        <w:rPr>
          <w:rFonts w:ascii="Times New Roman" w:hAnsi="Times New Roman"/>
          <w:sz w:val="24"/>
        </w:rPr>
        <w:t>Részletes információk a csoportszintű szavatolótőke-megfelelésről</w:t>
      </w:r>
      <w:bookmarkEnd w:id="26"/>
    </w:p>
    <w:p w14:paraId="26A8AF7B" w14:textId="1C059025" w:rsidR="001B1411" w:rsidRPr="00DA7625" w:rsidRDefault="00125707">
      <w:pPr>
        <w:pStyle w:val="InstructionsText2"/>
        <w:numPr>
          <w:ilvl w:val="0"/>
          <w:numId w:val="0"/>
        </w:numPr>
        <w:ind w:left="993"/>
      </w:pPr>
      <w:r w:rsidRPr="00DA7625">
        <w:t>29.</w:t>
      </w:r>
      <w:r w:rsidRPr="00DA7625">
        <w:tab/>
        <w:t xml:space="preserve">A C 06.02 tábla második része (részletes információk a csoportszintű szavatolótőke-megfelelésről, 070–210-es oszlop) célja információk gyűjtése azon hitel- és egyéb szabályozott pénzügyi vállalkozásokról, amelyek egyedi alapon ténylegesen konkrét tőkemegfelelési követelmények hatálya alá tartoznak. Az adatszolgáltatás körébe tartozó valamennyi szervezetre vonatkozóan rögzíti az egyes kockázati kategóriák szavatolótőke-követelményeit, valamint a tőkemegfelelés megállapításához szükséges szavatolótőke mértékét. </w:t>
      </w:r>
    </w:p>
    <w:p w14:paraId="3060C7BE" w14:textId="77777777" w:rsidR="001B1411" w:rsidRPr="00DA7625" w:rsidRDefault="00125707">
      <w:pPr>
        <w:pStyle w:val="InstructionsText2"/>
        <w:numPr>
          <w:ilvl w:val="0"/>
          <w:numId w:val="0"/>
        </w:numPr>
        <w:ind w:left="993"/>
      </w:pPr>
      <w:r w:rsidRPr="00DA7625">
        <w:t>30.</w:t>
      </w:r>
      <w:r w:rsidRPr="00DA7625">
        <w:tab/>
        <w:t>A részesedések arányos konszolidálása esetében a szavatolótőke-követelményekkel és a szavatolótőkével kapcsolatos adatok az adott arányos összegeknek felelnek meg.</w:t>
      </w:r>
    </w:p>
    <w:p w14:paraId="0BDB977F" w14:textId="75D0095E" w:rsidR="001B1411" w:rsidRPr="00DA7625" w:rsidRDefault="00125707">
      <w:pPr>
        <w:pStyle w:val="Instructionsberschrift2"/>
        <w:numPr>
          <w:ilvl w:val="0"/>
          <w:numId w:val="0"/>
        </w:numPr>
        <w:ind w:left="357" w:hanging="357"/>
        <w:rPr>
          <w:rFonts w:ascii="Times New Roman" w:hAnsi="Times New Roman" w:cs="Times New Roman"/>
          <w:sz w:val="24"/>
        </w:rPr>
      </w:pPr>
      <w:bookmarkStart w:id="27" w:name="_Toc31018773"/>
      <w:r w:rsidRPr="00DA7625">
        <w:rPr>
          <w:rFonts w:ascii="Times New Roman" w:hAnsi="Times New Roman"/>
          <w:sz w:val="24"/>
          <w:u w:val="none"/>
        </w:rPr>
        <w:t>2</w:t>
      </w:r>
      <w:r w:rsidR="00CD30E6">
        <w:rPr>
          <w:rFonts w:ascii="Times New Roman" w:hAnsi="Times New Roman"/>
          <w:sz w:val="24"/>
          <w:u w:val="none"/>
        </w:rPr>
        <w:t>.</w:t>
      </w:r>
      <w:r w:rsidRPr="00DA7625">
        <w:rPr>
          <w:rFonts w:ascii="Times New Roman" w:hAnsi="Times New Roman"/>
          <w:sz w:val="24"/>
          <w:u w:val="none"/>
        </w:rPr>
        <w:t>3.</w:t>
      </w:r>
      <w:r w:rsidRPr="00DA7625">
        <w:rPr>
          <w:rFonts w:ascii="Times New Roman" w:hAnsi="Times New Roman"/>
          <w:sz w:val="24"/>
          <w:u w:val="none"/>
        </w:rPr>
        <w:tab/>
      </w:r>
      <w:r w:rsidRPr="00DA7625">
        <w:rPr>
          <w:rFonts w:ascii="Times New Roman" w:hAnsi="Times New Roman"/>
          <w:sz w:val="24"/>
        </w:rPr>
        <w:t>Az egyes szervezeteknek a csoportszintű szavatolótőke-megfeleléshez való hozzájárulásával kapcsolatos információk</w:t>
      </w:r>
      <w:bookmarkEnd w:id="27"/>
    </w:p>
    <w:p w14:paraId="024FA3F4" w14:textId="1C77AD1E" w:rsidR="001B1411" w:rsidRPr="00DA7625" w:rsidRDefault="00125707">
      <w:pPr>
        <w:pStyle w:val="InstructionsText2"/>
        <w:numPr>
          <w:ilvl w:val="0"/>
          <w:numId w:val="0"/>
        </w:numPr>
        <w:ind w:left="993"/>
      </w:pPr>
      <w:r w:rsidRPr="00DA7625">
        <w:t>31.</w:t>
      </w:r>
      <w:r w:rsidRPr="00DA7625">
        <w:tab/>
        <w:t xml:space="preserve">A C 06.02 tábla harmadik része és a C 06.01 tábla (a CRR szerinti konszolidációs körbe vont egyes szervezeteknek – ezen belül azoknak, amelyekre egyedi alapon nem vonatkoznak konkrét tőkemegfelelési követelmények – a csoportszintű szavatolótőke-megfeleléshez való hozzájárulásával kapcsolatos információk, 250–400. oszlop) meghatározza, hogy a csoporton belül mely szervezetek generálják a kockázatokat és vonnak be szavatolótőkét a piacról, amelyhez a könnyen hozzáférhető vagy könnyen újrafeldolgozható adatokat használja fel a tőkemegfelelési mutató egyedi vagy szubkonszolidált alapon történő rekonstruálása nélkül. A szervezet szintjén a kockázatra és a szavatolótőkére vonatkozó adatok egyaránt a csoportszintű adatokhoz járulnak hozzá, és nem egyedi alapon számított szolvenciamutató részei, így egymással nem hasonlíthatók össze. </w:t>
      </w:r>
    </w:p>
    <w:p w14:paraId="44517FB0" w14:textId="77777777" w:rsidR="001B1411" w:rsidRPr="00DA7625" w:rsidRDefault="00125707">
      <w:pPr>
        <w:pStyle w:val="InstructionsText2"/>
        <w:numPr>
          <w:ilvl w:val="0"/>
          <w:numId w:val="0"/>
        </w:numPr>
        <w:ind w:left="993"/>
      </w:pPr>
      <w:r w:rsidRPr="00DA7625">
        <w:t>32.</w:t>
      </w:r>
      <w:r w:rsidRPr="00DA7625">
        <w:tab/>
        <w:t>A harmadik rész ezenkívül magában foglalja a konszolidált szavatolótőkében figyelembe vehető, a kisebbségi részesedésekbe, AT1 tőkébe és T2 tőkébe beszámítható elemek összegét is.</w:t>
      </w:r>
    </w:p>
    <w:p w14:paraId="059C57B0" w14:textId="77777777" w:rsidR="001B1411" w:rsidRPr="00DA7625" w:rsidRDefault="00125707">
      <w:pPr>
        <w:pStyle w:val="InstructionsText2"/>
        <w:numPr>
          <w:ilvl w:val="0"/>
          <w:numId w:val="0"/>
        </w:numPr>
        <w:ind w:left="993"/>
      </w:pPr>
      <w:r w:rsidRPr="00DA7625">
        <w:t>33.</w:t>
      </w:r>
      <w:r w:rsidRPr="00DA7625">
        <w:tab/>
        <w:t>Mivel a tábla harmadik része „hozzájárulásokat” említ, az itt feltüntetendő adatok adott esetben elmaradnak a csoportszintű szavatolótőke-megfeleléssel kapcsolatos részletes információkat tartalmazó oszlopokban megadott adatoktól.</w:t>
      </w:r>
    </w:p>
    <w:p w14:paraId="59DCAFC3" w14:textId="4564F453" w:rsidR="001B1411" w:rsidRPr="00DA7625" w:rsidRDefault="00125707">
      <w:pPr>
        <w:pStyle w:val="InstructionsText2"/>
        <w:numPr>
          <w:ilvl w:val="0"/>
          <w:numId w:val="0"/>
        </w:numPr>
        <w:ind w:left="993"/>
      </w:pPr>
      <w:r w:rsidRPr="00DA7625">
        <w:t>34.</w:t>
      </w:r>
      <w:r w:rsidRPr="00DA7625">
        <w:tab/>
        <w:t>A követendő alapelv szerint mind a kockázatok, mind a szavatolótőke szempontjából egységes módon kell kiküszöbölni az azonos csoporton belüli kölcsönös kitettségeket annak érdekében, hogy a csoport konszolidált CA táblában magadott értékek fedezete az egyes szervezetek csoportszintű szavatolótőke-megfelelésre vonatkozó táblában feltüntetett értékek hozzáadásával biztosítható legyen. Azokban az esetekben, amikor az 1 %-os küszöb túllépésére nem kerül sor, a CA táblához nem alkalmazható közvetlen kapcsolat.</w:t>
      </w:r>
    </w:p>
    <w:p w14:paraId="024FA7DB" w14:textId="77777777" w:rsidR="001B1411" w:rsidRPr="00DA7625" w:rsidRDefault="00125707">
      <w:pPr>
        <w:pStyle w:val="InstructionsText2"/>
        <w:numPr>
          <w:ilvl w:val="0"/>
          <w:numId w:val="0"/>
        </w:numPr>
        <w:ind w:left="993"/>
      </w:pPr>
      <w:r w:rsidRPr="00DA7625">
        <w:t>35.</w:t>
      </w:r>
      <w:r w:rsidRPr="00DA7625">
        <w:tab/>
        <w:t>Az intézményeknek meg kell határozniuk a szervezetek közötti legcélszerűbb felosztási módszert a piaci kockázatot és működési kockázatot érintő esetleges diverzifikációs hatások figyelembevétele céljából.</w:t>
      </w:r>
    </w:p>
    <w:p w14:paraId="44E73222" w14:textId="4CB52BDC" w:rsidR="001B1411" w:rsidRPr="00DA7625" w:rsidRDefault="00125707">
      <w:pPr>
        <w:pStyle w:val="InstructionsText2"/>
        <w:numPr>
          <w:ilvl w:val="0"/>
          <w:numId w:val="0"/>
        </w:numPr>
        <w:ind w:left="993"/>
      </w:pPr>
      <w:r w:rsidRPr="00DA7625">
        <w:t>36.</w:t>
      </w:r>
      <w:r w:rsidRPr="00DA7625">
        <w:tab/>
        <w:t xml:space="preserve">Egy konszolidált csoport magában foglalhat egy másik konszolidált csoportot. Ez azt jelenti, hogy a részcsoportba tartozó szervezetekről külön-külön kell adatot </w:t>
      </w:r>
      <w:r w:rsidRPr="00DA7625">
        <w:lastRenderedPageBreak/>
        <w:t xml:space="preserve">szolgáltatni a teljes csoport GS tábláján, még akkor is, ha a részcsoportra magára is vonatkoznak adatszolgáltatási követelmények. Az a részcsoport, amelyre adatszolgáltatási követelmények vonatkoznak, szintén benyújtja a GS táblát a csoportot alkotó minden egyes szervezetre vonatkozóan külön-külön, annak ellenére, hogy ezeket az adatokat tartalmazza a magasabb szinten konszolidált csoportra vonatkozó GS tábla. </w:t>
      </w:r>
    </w:p>
    <w:p w14:paraId="747B1752" w14:textId="5D606B71" w:rsidR="001B1411" w:rsidRPr="00DA7625" w:rsidRDefault="00125707">
      <w:pPr>
        <w:pStyle w:val="InstructionsText2"/>
        <w:numPr>
          <w:ilvl w:val="0"/>
          <w:numId w:val="0"/>
        </w:numPr>
        <w:ind w:left="993"/>
      </w:pPr>
      <w:r w:rsidRPr="00DA7625">
        <w:t>37.</w:t>
      </w:r>
      <w:r w:rsidRPr="00DA7625">
        <w:tab/>
        <w:t>Az intézmény egy szervezetnek a teljes kockázati kitettségértékhez való hozzájárulásáról adatot szolgáltat akkor, ha szervezet teljes kockázati kitettségértéke meghaladja a csoport teljes kockázati kitettségértékének 1 %-át, vagy ha a szervezet teljes szavatoló tőkéje meghaladja a csoport teljes szavatoló tőkéjének 1 %-át. Ez a küszöbérték nem alkalmazandó olyan leányvállalatok vagy alcsoportok esetében, amelyek kisebbségi részesedés vagy a szavatolótőke részét képező, az AT1 tőkébe vagy T2 tőkébe beszámítható instrumentumok formájában szavatolótőkét bocsátanak a csoport rendelkezésére.</w:t>
      </w:r>
    </w:p>
    <w:p w14:paraId="313A94E2"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28" w:name="_Toc31018774"/>
      <w:r w:rsidRPr="00DA7625">
        <w:rPr>
          <w:rFonts w:ascii="Times New Roman" w:hAnsi="Times New Roman"/>
          <w:sz w:val="24"/>
          <w:u w:val="none"/>
        </w:rPr>
        <w:t>2.4.</w:t>
      </w:r>
      <w:r w:rsidRPr="00DA7625">
        <w:rPr>
          <w:rFonts w:ascii="Times New Roman" w:hAnsi="Times New Roman"/>
          <w:sz w:val="24"/>
          <w:u w:val="none"/>
        </w:rPr>
        <w:tab/>
      </w:r>
      <w:r w:rsidRPr="00DA7625">
        <w:rPr>
          <w:rFonts w:ascii="Times New Roman" w:hAnsi="Times New Roman"/>
          <w:sz w:val="24"/>
        </w:rPr>
        <w:t>C 06.01 – CSOPORTSZINTŰ SZAVATOLÓTŐKE-MEGFELELÉS: INFORMÁCIÓK A CSOPORTBA TARTOZÓ SZERVEZETEKRŐL – ÖSSZESEN (GS Total)</w:t>
      </w:r>
      <w:bookmarkEnd w:id="2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B1411" w:rsidRPr="00DA7625" w14:paraId="3D7B88F7" w14:textId="77777777" w:rsidTr="00672D2A">
        <w:tc>
          <w:tcPr>
            <w:tcW w:w="1188" w:type="dxa"/>
            <w:shd w:val="clear" w:color="auto" w:fill="CCCCCC"/>
          </w:tcPr>
          <w:p w14:paraId="2F6E71C0" w14:textId="77777777" w:rsidR="001B1411" w:rsidRPr="00DA7625" w:rsidRDefault="00D85AC7">
            <w:pPr>
              <w:rPr>
                <w:rStyle w:val="InstructionsTabelleText"/>
                <w:rFonts w:ascii="Times New Roman" w:hAnsi="Times New Roman"/>
                <w:sz w:val="24"/>
              </w:rPr>
            </w:pPr>
            <w:r w:rsidRPr="00DA7625">
              <w:rPr>
                <w:rStyle w:val="InstructionsTabelleText"/>
                <w:rFonts w:ascii="Times New Roman" w:hAnsi="Times New Roman"/>
                <w:sz w:val="24"/>
              </w:rPr>
              <w:t>Oszlop</w:t>
            </w:r>
          </w:p>
        </w:tc>
        <w:tc>
          <w:tcPr>
            <w:tcW w:w="8640" w:type="dxa"/>
            <w:shd w:val="clear" w:color="auto" w:fill="CCCCCC"/>
          </w:tcPr>
          <w:p w14:paraId="3B0EAFD0" w14:textId="77777777" w:rsidR="001B1411" w:rsidRPr="00DA7625" w:rsidRDefault="00D85AC7">
            <w:pPr>
              <w:rPr>
                <w:rStyle w:val="InstructionsTabelleText"/>
                <w:rFonts w:ascii="Times New Roman" w:hAnsi="Times New Roman"/>
                <w:sz w:val="24"/>
              </w:rPr>
            </w:pPr>
            <w:r w:rsidRPr="00DA7625">
              <w:rPr>
                <w:rStyle w:val="InstructionsTabelleText"/>
                <w:rFonts w:ascii="Times New Roman" w:hAnsi="Times New Roman"/>
                <w:sz w:val="24"/>
              </w:rPr>
              <w:t>Útmutató</w:t>
            </w:r>
          </w:p>
        </w:tc>
      </w:tr>
      <w:tr w:rsidR="001B1411" w:rsidRPr="00DA7625" w14:paraId="1F7FDDC7" w14:textId="77777777" w:rsidTr="00672D2A">
        <w:tc>
          <w:tcPr>
            <w:tcW w:w="1188" w:type="dxa"/>
          </w:tcPr>
          <w:p w14:paraId="474253BB" w14:textId="77777777" w:rsidR="001B1411" w:rsidRPr="00DA7625" w:rsidRDefault="00D85AC7">
            <w:pPr>
              <w:rPr>
                <w:rStyle w:val="InstructionsTabelleText"/>
                <w:rFonts w:ascii="Times New Roman" w:hAnsi="Times New Roman"/>
                <w:sz w:val="24"/>
              </w:rPr>
            </w:pPr>
            <w:r w:rsidRPr="00DA7625">
              <w:rPr>
                <w:rStyle w:val="InstructionsTabelleText"/>
                <w:rFonts w:ascii="Times New Roman" w:hAnsi="Times New Roman"/>
                <w:sz w:val="24"/>
              </w:rPr>
              <w:t>250–400</w:t>
            </w:r>
          </w:p>
        </w:tc>
        <w:tc>
          <w:tcPr>
            <w:tcW w:w="8640" w:type="dxa"/>
          </w:tcPr>
          <w:p w14:paraId="56930B44" w14:textId="77777777" w:rsidR="001B1411" w:rsidRPr="00DA7625" w:rsidRDefault="00D85AC7">
            <w:pPr>
              <w:rPr>
                <w:rStyle w:val="InstructionsTabelleberschrift"/>
                <w:rFonts w:ascii="Times New Roman" w:hAnsi="Times New Roman"/>
                <w:sz w:val="24"/>
              </w:rPr>
            </w:pPr>
            <w:r w:rsidRPr="00DA7625">
              <w:rPr>
                <w:rStyle w:val="InstructionsTabelleberschrift"/>
                <w:rFonts w:ascii="Times New Roman" w:hAnsi="Times New Roman"/>
                <w:sz w:val="24"/>
              </w:rPr>
              <w:t>A KONSZOLIDÁCIÓ KÖRÉBE BEVONT SZERVEZETEK</w:t>
            </w:r>
          </w:p>
          <w:p w14:paraId="622423D7" w14:textId="77777777" w:rsidR="001B1411" w:rsidRPr="00DA7625" w:rsidRDefault="00D85AC7">
            <w:pPr>
              <w:rPr>
                <w:rStyle w:val="InstructionsTabelleberschrift"/>
                <w:rFonts w:ascii="Times New Roman" w:hAnsi="Times New Roman"/>
                <w:b w:val="0"/>
                <w:bCs w:val="0"/>
                <w:sz w:val="24"/>
              </w:rPr>
            </w:pPr>
            <w:r w:rsidRPr="00DA7625">
              <w:rPr>
                <w:rStyle w:val="InstructionsTabelleText"/>
                <w:rFonts w:ascii="Times New Roman" w:hAnsi="Times New Roman"/>
                <w:sz w:val="24"/>
              </w:rPr>
              <w:t>Lásd a 06.02-es táblához tartozó útmutatót.</w:t>
            </w:r>
          </w:p>
        </w:tc>
      </w:tr>
      <w:tr w:rsidR="001B1411" w:rsidRPr="00DA7625"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77777777" w:rsidR="001B1411" w:rsidRPr="00DA7625" w:rsidRDefault="00D85AC7">
            <w:pPr>
              <w:rPr>
                <w:rStyle w:val="InstructionsTabelleText"/>
                <w:rFonts w:ascii="Times New Roman" w:hAnsi="Times New Roman"/>
                <w:sz w:val="24"/>
              </w:rPr>
            </w:pPr>
            <w:r w:rsidRPr="00DA7625">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1B1411" w:rsidRPr="00DA7625" w:rsidRDefault="00D85AC7">
            <w:pPr>
              <w:rPr>
                <w:rStyle w:val="InstructionsTabelleberschrift"/>
                <w:rFonts w:ascii="Times New Roman" w:hAnsi="Times New Roman"/>
                <w:sz w:val="24"/>
              </w:rPr>
            </w:pPr>
            <w:r w:rsidRPr="00DA7625">
              <w:rPr>
                <w:rStyle w:val="InstructionsTabelleberschrift"/>
                <w:rFonts w:ascii="Times New Roman" w:hAnsi="Times New Roman"/>
                <w:sz w:val="24"/>
              </w:rPr>
              <w:t>TŐKEPUFFEREK</w:t>
            </w:r>
          </w:p>
          <w:p w14:paraId="54FE50B2" w14:textId="77777777" w:rsidR="001B1411" w:rsidRPr="00DA7625" w:rsidRDefault="00D85AC7">
            <w:pPr>
              <w:rPr>
                <w:rStyle w:val="InstructionsTabelleberschrift"/>
                <w:rFonts w:ascii="Times New Roman" w:hAnsi="Times New Roman"/>
                <w:sz w:val="24"/>
              </w:rPr>
            </w:pPr>
            <w:r w:rsidRPr="00DA7625">
              <w:rPr>
                <w:rStyle w:val="InstructionsTabelleText"/>
                <w:rFonts w:ascii="Times New Roman" w:hAnsi="Times New Roman"/>
                <w:sz w:val="24"/>
              </w:rPr>
              <w:t>Lásd a 06.02-es táblához tartozó útmutatót.</w:t>
            </w:r>
          </w:p>
        </w:tc>
      </w:tr>
    </w:tbl>
    <w:p w14:paraId="03C35D0A" w14:textId="77777777" w:rsidR="001B1411" w:rsidRPr="00DA7625" w:rsidRDefault="001B1411">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B1411" w:rsidRPr="00DA7625" w14:paraId="2DF7E091" w14:textId="77777777" w:rsidTr="00672D2A">
        <w:tc>
          <w:tcPr>
            <w:tcW w:w="1188" w:type="dxa"/>
            <w:shd w:val="clear" w:color="auto" w:fill="CCCCCC"/>
          </w:tcPr>
          <w:p w14:paraId="78D4F2D0" w14:textId="77777777" w:rsidR="001B1411" w:rsidRPr="00DA7625" w:rsidRDefault="00D85AC7">
            <w:pPr>
              <w:rPr>
                <w:rStyle w:val="InstructionsTabelleText"/>
                <w:rFonts w:ascii="Times New Roman" w:hAnsi="Times New Roman"/>
                <w:sz w:val="24"/>
              </w:rPr>
            </w:pPr>
            <w:r w:rsidRPr="00DA7625">
              <w:rPr>
                <w:rStyle w:val="InstructionsTabelleText"/>
                <w:rFonts w:ascii="Times New Roman" w:hAnsi="Times New Roman"/>
                <w:sz w:val="24"/>
              </w:rPr>
              <w:t>Sor</w:t>
            </w:r>
          </w:p>
        </w:tc>
        <w:tc>
          <w:tcPr>
            <w:tcW w:w="8640" w:type="dxa"/>
            <w:shd w:val="clear" w:color="auto" w:fill="CCCCCC"/>
          </w:tcPr>
          <w:p w14:paraId="1C741FE2" w14:textId="77777777" w:rsidR="001B1411" w:rsidRPr="00DA7625" w:rsidRDefault="00D85AC7">
            <w:pPr>
              <w:rPr>
                <w:rStyle w:val="InstructionsTabelleText"/>
                <w:rFonts w:ascii="Times New Roman" w:hAnsi="Times New Roman"/>
                <w:sz w:val="24"/>
              </w:rPr>
            </w:pPr>
            <w:r w:rsidRPr="00DA7625">
              <w:rPr>
                <w:rStyle w:val="InstructionsTabelleText"/>
                <w:rFonts w:ascii="Times New Roman" w:hAnsi="Times New Roman"/>
                <w:sz w:val="24"/>
              </w:rPr>
              <w:t>Útmutató</w:t>
            </w:r>
          </w:p>
        </w:tc>
      </w:tr>
      <w:tr w:rsidR="001B1411" w:rsidRPr="00DA7625" w14:paraId="3F370291" w14:textId="77777777" w:rsidTr="00672D2A">
        <w:tc>
          <w:tcPr>
            <w:tcW w:w="1188" w:type="dxa"/>
          </w:tcPr>
          <w:p w14:paraId="196EEEBF" w14:textId="77777777" w:rsidR="001B1411" w:rsidRPr="00DA7625" w:rsidRDefault="00D85AC7">
            <w:pPr>
              <w:rPr>
                <w:rStyle w:val="InstructionsTabelleText"/>
                <w:rFonts w:ascii="Times New Roman" w:hAnsi="Times New Roman"/>
                <w:sz w:val="24"/>
              </w:rPr>
            </w:pPr>
            <w:r w:rsidRPr="00DA7625">
              <w:rPr>
                <w:rStyle w:val="InstructionsTabelleText"/>
                <w:rFonts w:ascii="Times New Roman" w:hAnsi="Times New Roman"/>
                <w:sz w:val="24"/>
              </w:rPr>
              <w:t>010</w:t>
            </w:r>
          </w:p>
        </w:tc>
        <w:tc>
          <w:tcPr>
            <w:tcW w:w="8640" w:type="dxa"/>
          </w:tcPr>
          <w:p w14:paraId="4FC9E795" w14:textId="77777777" w:rsidR="001B1411" w:rsidRPr="00DA7625" w:rsidRDefault="00D85AC7">
            <w:pPr>
              <w:rPr>
                <w:rStyle w:val="InstructionsTabelleberschrift"/>
                <w:rFonts w:ascii="Times New Roman" w:hAnsi="Times New Roman"/>
                <w:sz w:val="24"/>
              </w:rPr>
            </w:pPr>
            <w:r w:rsidRPr="00DA7625">
              <w:rPr>
                <w:rStyle w:val="InstructionsTabelleberschrift"/>
                <w:rFonts w:ascii="Times New Roman" w:hAnsi="Times New Roman"/>
                <w:sz w:val="24"/>
              </w:rPr>
              <w:t>ÖSSZESEN</w:t>
            </w:r>
          </w:p>
          <w:p w14:paraId="0FC622F0" w14:textId="77777777" w:rsidR="001B1411" w:rsidRPr="00DA7625" w:rsidRDefault="00D85AC7">
            <w:pPr>
              <w:rPr>
                <w:rStyle w:val="InstructionsTabelleberschrift"/>
                <w:rFonts w:ascii="Times New Roman" w:hAnsi="Times New Roman"/>
                <w:b w:val="0"/>
                <w:bCs w:val="0"/>
                <w:sz w:val="24"/>
              </w:rPr>
            </w:pPr>
            <w:r w:rsidRPr="00DA7625">
              <w:rPr>
                <w:rStyle w:val="InstructionsTabelleText"/>
                <w:rFonts w:ascii="Times New Roman" w:hAnsi="Times New Roman"/>
                <w:sz w:val="24"/>
              </w:rPr>
              <w:t>Ebben a sorban a C 06.02-es tábla soraiban feltüntetett értékek összegét kell szerepeltetni.</w:t>
            </w:r>
          </w:p>
        </w:tc>
      </w:tr>
    </w:tbl>
    <w:p w14:paraId="3C6A430D" w14:textId="77777777" w:rsidR="001B1411" w:rsidRPr="00DA7625" w:rsidRDefault="001B1411">
      <w:pPr>
        <w:pStyle w:val="InstructionsText"/>
      </w:pPr>
    </w:p>
    <w:p w14:paraId="539B2369"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29" w:name="_Toc31018775"/>
      <w:r w:rsidRPr="00DA7625">
        <w:rPr>
          <w:rFonts w:ascii="Times New Roman" w:hAnsi="Times New Roman"/>
          <w:sz w:val="24"/>
          <w:u w:val="none"/>
        </w:rPr>
        <w:t>2.5.</w:t>
      </w:r>
      <w:r w:rsidRPr="00DA7625">
        <w:rPr>
          <w:rFonts w:ascii="Times New Roman" w:hAnsi="Times New Roman"/>
          <w:sz w:val="24"/>
          <w:u w:val="none"/>
        </w:rPr>
        <w:tab/>
      </w:r>
      <w:r w:rsidRPr="00DA7625">
        <w:rPr>
          <w:rFonts w:ascii="Times New Roman" w:hAnsi="Times New Roman"/>
          <w:sz w:val="24"/>
        </w:rPr>
        <w:t>C 06.02 – CSOPORTSZINTŰ SZAVATOLÓTŐKE-MEGFELELÉS: INFORMÁCIÓK A CSOPORTBA TARTOZÓ SZERVEZETEKRŐL (GS)</w:t>
      </w:r>
      <w:bookmarkEnd w:id="2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B1411" w:rsidRPr="00DA7625" w14:paraId="3514CD02" w14:textId="77777777" w:rsidTr="00672D2A">
        <w:tc>
          <w:tcPr>
            <w:tcW w:w="1188" w:type="dxa"/>
            <w:shd w:val="clear" w:color="auto" w:fill="CCCCCC"/>
          </w:tcPr>
          <w:p w14:paraId="01AA5D3F"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Oszlop</w:t>
            </w:r>
          </w:p>
        </w:tc>
        <w:tc>
          <w:tcPr>
            <w:tcW w:w="8640" w:type="dxa"/>
            <w:shd w:val="clear" w:color="auto" w:fill="CCCCCC"/>
          </w:tcPr>
          <w:p w14:paraId="7FC7F527"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Útmutató</w:t>
            </w:r>
          </w:p>
        </w:tc>
      </w:tr>
      <w:tr w:rsidR="001B1411" w:rsidRPr="00DA7625" w14:paraId="53722D57" w14:textId="77777777" w:rsidTr="00672D2A">
        <w:tc>
          <w:tcPr>
            <w:tcW w:w="1188" w:type="dxa"/>
          </w:tcPr>
          <w:p w14:paraId="7A09A40F"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010-060</w:t>
            </w:r>
          </w:p>
        </w:tc>
        <w:tc>
          <w:tcPr>
            <w:tcW w:w="8640" w:type="dxa"/>
          </w:tcPr>
          <w:p w14:paraId="5EE7C796"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A KONSZOLIDÁCIÓ KÖRÉBE BEVONT SZERVEZETEK</w:t>
            </w:r>
          </w:p>
          <w:p w14:paraId="7CE0B44F" w14:textId="34C2AEBE" w:rsidR="001B1411" w:rsidRPr="00DA7625" w:rsidRDefault="00464F34">
            <w:pPr>
              <w:rPr>
                <w:rStyle w:val="InstructionsTabelleberschrift"/>
                <w:rFonts w:ascii="Times New Roman" w:hAnsi="Times New Roman"/>
                <w:b w:val="0"/>
                <w:bCs w:val="0"/>
                <w:sz w:val="24"/>
              </w:rPr>
            </w:pPr>
            <w:r w:rsidRPr="00DA7625">
              <w:rPr>
                <w:rStyle w:val="InstructionsTabelleText"/>
                <w:rFonts w:ascii="Times New Roman" w:hAnsi="Times New Roman"/>
                <w:sz w:val="24"/>
              </w:rPr>
              <w:t xml:space="preserve">E tábla célja, hogy a CRR első része II. címének 2. fejezete szerinti konszolidációba bevont valamennyi szervezetről egyedileg gyűjtsön információkat. </w:t>
            </w:r>
          </w:p>
        </w:tc>
      </w:tr>
      <w:tr w:rsidR="001B1411" w:rsidRPr="00DA7625" w14:paraId="0589B0E9" w14:textId="77777777" w:rsidTr="00672D2A">
        <w:tc>
          <w:tcPr>
            <w:tcW w:w="1188" w:type="dxa"/>
          </w:tcPr>
          <w:p w14:paraId="5E423925"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010</w:t>
            </w:r>
          </w:p>
        </w:tc>
        <w:tc>
          <w:tcPr>
            <w:tcW w:w="8640" w:type="dxa"/>
          </w:tcPr>
          <w:p w14:paraId="2D9738C7"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NÉV</w:t>
            </w:r>
          </w:p>
          <w:p w14:paraId="1D69F932"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 konszolidáció körébe bevont szervezet neve.</w:t>
            </w:r>
          </w:p>
        </w:tc>
      </w:tr>
      <w:tr w:rsidR="001B1411" w:rsidRPr="00DA7625" w14:paraId="2EF8636C" w14:textId="77777777" w:rsidTr="00672D2A">
        <w:tc>
          <w:tcPr>
            <w:tcW w:w="1188" w:type="dxa"/>
          </w:tcPr>
          <w:p w14:paraId="0E548189"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lastRenderedPageBreak/>
              <w:t>020</w:t>
            </w:r>
          </w:p>
        </w:tc>
        <w:tc>
          <w:tcPr>
            <w:tcW w:w="8640" w:type="dxa"/>
          </w:tcPr>
          <w:p w14:paraId="5AFA22A9"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KÓD</w:t>
            </w:r>
          </w:p>
          <w:p w14:paraId="49108895" w14:textId="2BB68904" w:rsidR="001B1411" w:rsidRPr="00DA7625" w:rsidRDefault="009A47E2">
            <w:pPr>
              <w:rPr>
                <w:rStyle w:val="InstructionsTabelleText"/>
                <w:rFonts w:ascii="Times New Roman" w:hAnsi="Times New Roman"/>
                <w:sz w:val="24"/>
              </w:rPr>
            </w:pPr>
            <w:r w:rsidRPr="00DA7625">
              <w:rPr>
                <w:rStyle w:val="InstructionsTabelleText"/>
                <w:rFonts w:ascii="Times New Roman" w:hAnsi="Times New Roman"/>
                <w:sz w:val="24"/>
              </w:rPr>
              <w:t>Ez a kód egy sorazonosító, amely a tábla minden egyes sorát egyedileg azonosítja.</w:t>
            </w:r>
          </w:p>
          <w:p w14:paraId="1A549825"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 konszolidáció körébe bevont szervezethez tartozó kód.</w:t>
            </w:r>
          </w:p>
          <w:p w14:paraId="3A5D7904" w14:textId="77777777" w:rsidR="001B1411" w:rsidRPr="00DA7625" w:rsidRDefault="00464F34">
            <w:pPr>
              <w:pStyle w:val="InstructionsText"/>
              <w:rPr>
                <w:rStyle w:val="InstructionsTabelleText"/>
                <w:rFonts w:ascii="Times New Roman" w:hAnsi="Times New Roman"/>
                <w:sz w:val="24"/>
              </w:rPr>
            </w:pPr>
            <w:r w:rsidRPr="00DA7625">
              <w:rPr>
                <w:rStyle w:val="FormatvorlageInstructionsTabelleText"/>
                <w:rFonts w:ascii="Times New Roman" w:hAnsi="Times New Roman"/>
                <w:sz w:val="24"/>
              </w:rPr>
              <w:t xml:space="preserve">A kód összetétele a nemzeti adatszolgáltatási rendszertől függ. </w:t>
            </w:r>
          </w:p>
        </w:tc>
      </w:tr>
      <w:tr w:rsidR="001B1411" w:rsidRPr="00DA7625" w14:paraId="498A1D59" w14:textId="77777777" w:rsidTr="00672D2A">
        <w:tc>
          <w:tcPr>
            <w:tcW w:w="1188" w:type="dxa"/>
          </w:tcPr>
          <w:p w14:paraId="0A0AFF54"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025</w:t>
            </w:r>
          </w:p>
        </w:tc>
        <w:tc>
          <w:tcPr>
            <w:tcW w:w="8640" w:type="dxa"/>
          </w:tcPr>
          <w:p w14:paraId="62F1EBDE"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LEI-KÓD</w:t>
            </w:r>
          </w:p>
          <w:p w14:paraId="75F27FE2" w14:textId="77777777" w:rsidR="001B1411" w:rsidRPr="00DA7625" w:rsidRDefault="00C504D3">
            <w:pPr>
              <w:rPr>
                <w:rStyle w:val="InstructionsTabelleText"/>
                <w:rFonts w:ascii="Times New Roman" w:hAnsi="Times New Roman"/>
                <w:sz w:val="24"/>
              </w:rPr>
            </w:pPr>
            <w:r w:rsidRPr="00DA7625">
              <w:rPr>
                <w:rStyle w:val="InstructionsTabelleText"/>
                <w:rFonts w:ascii="Times New Roman" w:hAnsi="Times New Roman"/>
                <w:sz w:val="24"/>
              </w:rPr>
              <w:t>A LEI a Pénzügyi Stabilitási Tanács (FSB) által referenciakódként javasolt, a G20 által elfogadott jogalany-azonosító, amely a pénzügyi tranzakciókban részt vevő felek egyedi és globális azonosítására szolgál.</w:t>
            </w:r>
          </w:p>
          <w:p w14:paraId="7320F1F1" w14:textId="15DD7B7E" w:rsidR="001B1411" w:rsidRPr="00DA7625" w:rsidRDefault="00C504D3">
            <w:pPr>
              <w:rPr>
                <w:rStyle w:val="InstructionsTabelleText"/>
                <w:rFonts w:ascii="Times New Roman" w:hAnsi="Times New Roman"/>
                <w:sz w:val="24"/>
              </w:rPr>
            </w:pPr>
            <w:r w:rsidRPr="00DA7625">
              <w:rPr>
                <w:rStyle w:val="InstructionsTabelleText"/>
                <w:rFonts w:ascii="Times New Roman" w:hAnsi="Times New Roman"/>
                <w:sz w:val="24"/>
              </w:rPr>
              <w:t>A LEI-rendszer teljes körű bevezetéséig a tranzakciós partnerekhez előzetes LEI kódot rendel a Szabályozói Felügyeleti Bizottság (ROC) által jóváhagyott Helyi Operatív Egység (LOU) (részletes információk a következő weboldalon találhatók:</w:t>
            </w:r>
            <w:r w:rsidRPr="00DA7625">
              <w:rPr>
                <w:sz w:val="24"/>
              </w:rPr>
              <w:t xml:space="preserve"> </w:t>
            </w:r>
            <w:hyperlink r:id="rId10" w:history="1">
              <w:r w:rsidRPr="00DA7625">
                <w:rPr>
                  <w:rStyle w:val="Hyperlink"/>
                  <w:rFonts w:ascii="Times New Roman" w:hAnsi="Times New Roman"/>
                  <w:sz w:val="24"/>
                </w:rPr>
                <w:t>www.leiroc.org</w:t>
              </w:r>
            </w:hyperlink>
            <w:r w:rsidRPr="00DA7625">
              <w:rPr>
                <w:rStyle w:val="InstructionsTabelleText"/>
                <w:rFonts w:ascii="Times New Roman" w:hAnsi="Times New Roman"/>
                <w:sz w:val="24"/>
              </w:rPr>
              <w:t>)</w:t>
            </w:r>
            <w:r w:rsidRPr="00DA7625">
              <w:rPr>
                <w:sz w:val="24"/>
              </w:rPr>
              <w:t>.</w:t>
            </w:r>
          </w:p>
          <w:p w14:paraId="51EE99AB" w14:textId="77777777" w:rsidR="001B1411" w:rsidRPr="00DA7625" w:rsidRDefault="009A47E2">
            <w:pPr>
              <w:rPr>
                <w:rStyle w:val="InstructionsTabelleberschrift"/>
                <w:rFonts w:ascii="Times New Roman" w:hAnsi="Times New Roman"/>
                <w:sz w:val="24"/>
              </w:rPr>
            </w:pPr>
            <w:r w:rsidRPr="00DA7625">
              <w:rPr>
                <w:rStyle w:val="InstructionsTabelleText"/>
                <w:rFonts w:ascii="Times New Roman" w:hAnsi="Times New Roman"/>
                <w:sz w:val="24"/>
              </w:rPr>
              <w:t xml:space="preserve">Ha egy adott partner rendelkezik LEI-kóddal, akkor ezt a kódot kell feltüntetni a partner azonosítására. </w:t>
            </w:r>
          </w:p>
        </w:tc>
      </w:tr>
      <w:tr w:rsidR="001B1411" w:rsidRPr="00DA7625" w14:paraId="1DF5E571" w14:textId="77777777" w:rsidTr="00672D2A">
        <w:tc>
          <w:tcPr>
            <w:tcW w:w="1188" w:type="dxa"/>
          </w:tcPr>
          <w:p w14:paraId="5294AC35"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030</w:t>
            </w:r>
          </w:p>
        </w:tc>
        <w:tc>
          <w:tcPr>
            <w:tcW w:w="8640" w:type="dxa"/>
          </w:tcPr>
          <w:p w14:paraId="2C9F5508"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INTÉZMÉNY VAGY ANNAK MEGFELELŐ (IGEN / NEM)</w:t>
            </w:r>
          </w:p>
          <w:p w14:paraId="778DDD55" w14:textId="7B2C6B48"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Az IGEN értéket kell megadni akkor, ha a szervezetre a CRR és a CRD szerinti szavatolótőke-követelmények, vagy legalább a Bázel-szabályokkal egyenértékű rendelkezések vonatkoznak.</w:t>
            </w:r>
          </w:p>
          <w:p w14:paraId="18710662"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Egyéb esetben a NEM értéket kell megadni.</w:t>
            </w:r>
          </w:p>
          <w:p w14:paraId="430EA4DC" w14:textId="77777777" w:rsidR="001B1411" w:rsidRPr="00DA7625" w:rsidRDefault="001B1411">
            <w:pPr>
              <w:rPr>
                <w:rStyle w:val="InstructionsTabelleText"/>
                <w:rFonts w:ascii="Times New Roman" w:hAnsi="Times New Roman"/>
                <w:sz w:val="24"/>
              </w:rPr>
            </w:pPr>
          </w:p>
          <w:p w14:paraId="23D75BCC" w14:textId="77777777" w:rsidR="001B1411" w:rsidRPr="00DA7625" w:rsidRDefault="00125707">
            <w:pPr>
              <w:ind w:left="372" w:hanging="360"/>
              <w:contextualSpacing/>
              <w:rPr>
                <w:rStyle w:val="InstructionsTabelleText"/>
                <w:rFonts w:ascii="Times New Roman" w:hAnsi="Times New Roman"/>
                <w:sz w:val="24"/>
              </w:rPr>
            </w:pPr>
            <w:r w:rsidRPr="00DA7625">
              <w:rPr>
                <w:rStyle w:val="InstructionsTabelleText"/>
                <w:rFonts w:ascii="Wingdings" w:hAnsi="Wingdings"/>
                <w:sz w:val="24"/>
              </w:rPr>
              <w:t></w:t>
            </w:r>
            <w:r w:rsidRPr="00DA7625">
              <w:rPr>
                <w:rStyle w:val="InstructionsTabelleText"/>
                <w:rFonts w:ascii="Wingdings" w:hAnsi="Wingdings"/>
                <w:sz w:val="24"/>
              </w:rPr>
              <w:tab/>
            </w:r>
            <w:r w:rsidRPr="00DA7625">
              <w:rPr>
                <w:rStyle w:val="InstructionsTabelleText"/>
                <w:rFonts w:ascii="Times New Roman" w:hAnsi="Times New Roman"/>
                <w:sz w:val="24"/>
              </w:rPr>
              <w:t>Kisebbségi részesedések:</w:t>
            </w:r>
          </w:p>
          <w:p w14:paraId="17E96CB7" w14:textId="5070EAA2" w:rsidR="001B1411" w:rsidRPr="00DA7625" w:rsidRDefault="00283C5E">
            <w:pPr>
              <w:rPr>
                <w:rStyle w:val="InstructionsTabelleText"/>
                <w:rFonts w:ascii="Times New Roman" w:hAnsi="Times New Roman"/>
                <w:sz w:val="24"/>
              </w:rPr>
            </w:pPr>
            <w:r w:rsidRPr="00DA7625">
              <w:rPr>
                <w:rFonts w:ascii="Times New Roman" w:hAnsi="Times New Roman"/>
                <w:sz w:val="24"/>
              </w:rPr>
              <w:t>A CRR 81. cikke (1) bekezdése a) pontjának ii. alpontja, valamint 82. cikke (1) bekezdése a) pontjának ii. alpontja</w:t>
            </w:r>
          </w:p>
          <w:p w14:paraId="70FC6685" w14:textId="177CDE94" w:rsidR="001B1411" w:rsidRPr="00DA7625" w:rsidRDefault="00464F34">
            <w:pPr>
              <w:rPr>
                <w:rStyle w:val="InstructionsTabelleText"/>
                <w:rFonts w:ascii="Times New Roman" w:hAnsi="Times New Roman"/>
                <w:sz w:val="24"/>
              </w:rPr>
            </w:pPr>
            <w:r w:rsidRPr="00DA7625">
              <w:rPr>
                <w:rFonts w:ascii="Times New Roman" w:hAnsi="Times New Roman"/>
                <w:sz w:val="24"/>
              </w:rPr>
              <w:t>A kisebbségi részesedések, valamint a leányvállalatok által kibocsátott AT1 tőke és T2 tőkeinstrumentumok szempontjából az olyan leányvállalatok instrumentumai vehetők figyelembe, amelyek az alkalmazandó nemzeti jognál fogva a CRR követelményeinek hatálya alá tartozó intézmények vagy vállalkozások.</w:t>
            </w:r>
          </w:p>
        </w:tc>
      </w:tr>
      <w:tr w:rsidR="001B1411" w:rsidRPr="00DA7625" w14:paraId="00CEA0C8" w14:textId="77777777" w:rsidTr="00672D2A">
        <w:tc>
          <w:tcPr>
            <w:tcW w:w="1188" w:type="dxa"/>
          </w:tcPr>
          <w:p w14:paraId="7D6FF3E4" w14:textId="77777777" w:rsidR="001B1411" w:rsidRPr="00DA7625" w:rsidRDefault="00B47F0C">
            <w:pPr>
              <w:rPr>
                <w:rStyle w:val="InstructionsTabelleText"/>
                <w:rFonts w:ascii="Times New Roman" w:hAnsi="Times New Roman"/>
                <w:sz w:val="24"/>
              </w:rPr>
            </w:pPr>
            <w:r w:rsidRPr="00DA7625">
              <w:rPr>
                <w:rStyle w:val="InstructionsTabelleText"/>
                <w:rFonts w:ascii="Times New Roman" w:hAnsi="Times New Roman"/>
                <w:sz w:val="24"/>
              </w:rPr>
              <w:t>035</w:t>
            </w:r>
          </w:p>
        </w:tc>
        <w:tc>
          <w:tcPr>
            <w:tcW w:w="8640" w:type="dxa"/>
          </w:tcPr>
          <w:p w14:paraId="4AEC7BD9" w14:textId="77777777" w:rsidR="001B1411" w:rsidRPr="00DA7625" w:rsidRDefault="00B47F0C">
            <w:pPr>
              <w:rPr>
                <w:rStyle w:val="InstructionsTabelleberschrift"/>
                <w:rFonts w:ascii="Times New Roman" w:hAnsi="Times New Roman"/>
                <w:sz w:val="24"/>
              </w:rPr>
            </w:pPr>
            <w:r w:rsidRPr="00DA7625">
              <w:rPr>
                <w:rStyle w:val="InstructionsTabelleberschrift"/>
                <w:rFonts w:ascii="Times New Roman" w:hAnsi="Times New Roman"/>
                <w:sz w:val="24"/>
              </w:rPr>
              <w:t>SZERVEZET TÍPUSA</w:t>
            </w:r>
          </w:p>
          <w:p w14:paraId="6D57FDC9" w14:textId="77777777" w:rsidR="001B1411" w:rsidRPr="00DA7625" w:rsidRDefault="0071377A">
            <w:pPr>
              <w:rPr>
                <w:rStyle w:val="InstructionsTabelleText"/>
                <w:rFonts w:ascii="Times New Roman" w:hAnsi="Times New Roman"/>
                <w:bCs/>
                <w:sz w:val="24"/>
              </w:rPr>
            </w:pPr>
            <w:r w:rsidRPr="00DA7625">
              <w:rPr>
                <w:rStyle w:val="InstructionsTabelleText"/>
                <w:rFonts w:ascii="Times New Roman" w:hAnsi="Times New Roman"/>
                <w:bCs/>
                <w:sz w:val="24"/>
              </w:rPr>
              <w:t>A szervezet típusát a következő kategóriák alapján kell feltüntetni:</w:t>
            </w:r>
          </w:p>
          <w:p w14:paraId="63AFEC92" w14:textId="77777777" w:rsidR="001B1411" w:rsidRPr="00DA7625" w:rsidRDefault="0071377A">
            <w:pPr>
              <w:tabs>
                <w:tab w:val="left" w:pos="372"/>
              </w:tabs>
              <w:rPr>
                <w:rStyle w:val="InstructionsTabelleText"/>
                <w:rFonts w:ascii="Times New Roman" w:hAnsi="Times New Roman"/>
                <w:sz w:val="24"/>
              </w:rPr>
            </w:pPr>
            <w:r w:rsidRPr="00DA7625">
              <w:rPr>
                <w:rStyle w:val="InstructionsTabelleText"/>
                <w:rFonts w:ascii="Times New Roman" w:hAnsi="Times New Roman"/>
                <w:sz w:val="24"/>
              </w:rPr>
              <w:t>a)</w:t>
            </w:r>
            <w:r w:rsidRPr="00DA7625">
              <w:rPr>
                <w:rStyle w:val="InstructionsTabelleText"/>
                <w:rFonts w:ascii="Times New Roman" w:hAnsi="Times New Roman"/>
                <w:sz w:val="24"/>
              </w:rPr>
              <w:tab/>
              <w:t>hitelintézet</w:t>
            </w:r>
          </w:p>
          <w:p w14:paraId="6F13943F" w14:textId="130A098E" w:rsidR="001B1411" w:rsidRPr="00DA7625" w:rsidRDefault="0071377A">
            <w:pPr>
              <w:tabs>
                <w:tab w:val="left" w:pos="372"/>
              </w:tabs>
              <w:rPr>
                <w:rStyle w:val="InstructionsTabelleText"/>
                <w:rFonts w:ascii="Times New Roman" w:hAnsi="Times New Roman"/>
                <w:sz w:val="24"/>
              </w:rPr>
            </w:pPr>
            <w:r w:rsidRPr="00DA7625">
              <w:rPr>
                <w:rStyle w:val="InstructionsTabelleText"/>
                <w:rFonts w:ascii="Times New Roman" w:hAnsi="Times New Roman"/>
                <w:sz w:val="24"/>
              </w:rPr>
              <w:tab/>
              <w:t>A CRR 4. cikke (1) bekezdésének 1. pontja;</w:t>
            </w:r>
          </w:p>
          <w:p w14:paraId="5D2B34B7" w14:textId="77777777" w:rsidR="001B1411" w:rsidRPr="00DA7625" w:rsidRDefault="0071377A">
            <w:pPr>
              <w:tabs>
                <w:tab w:val="left" w:pos="372"/>
              </w:tabs>
              <w:rPr>
                <w:rStyle w:val="InstructionsTabelleText"/>
                <w:rFonts w:ascii="Times New Roman" w:hAnsi="Times New Roman"/>
                <w:bCs/>
                <w:sz w:val="24"/>
              </w:rPr>
            </w:pPr>
            <w:r w:rsidRPr="00DA7625">
              <w:rPr>
                <w:rStyle w:val="InstructionsTabelleText"/>
                <w:rFonts w:ascii="Times New Roman" w:hAnsi="Times New Roman"/>
                <w:sz w:val="24"/>
              </w:rPr>
              <w:t>b)</w:t>
            </w:r>
            <w:r w:rsidRPr="00DA7625">
              <w:rPr>
                <w:rStyle w:val="InstructionsTabelleText"/>
                <w:rFonts w:ascii="Times New Roman" w:hAnsi="Times New Roman"/>
                <w:bCs/>
                <w:sz w:val="24"/>
              </w:rPr>
              <w:tab/>
            </w:r>
            <w:r w:rsidRPr="00DA7625">
              <w:rPr>
                <w:rStyle w:val="InstructionsTabelleText"/>
                <w:rFonts w:ascii="Times New Roman" w:hAnsi="Times New Roman"/>
                <w:sz w:val="24"/>
              </w:rPr>
              <w:t>befektetési vállalkozás</w:t>
            </w:r>
          </w:p>
          <w:p w14:paraId="5D9225D3" w14:textId="1499D2B4" w:rsidR="001B1411" w:rsidRPr="00DA7625" w:rsidRDefault="0071377A">
            <w:pPr>
              <w:tabs>
                <w:tab w:val="left" w:pos="372"/>
              </w:tabs>
              <w:rPr>
                <w:rStyle w:val="InstructionsTabelleText"/>
                <w:rFonts w:ascii="Times New Roman" w:hAnsi="Times New Roman"/>
                <w:bCs/>
                <w:sz w:val="24"/>
              </w:rPr>
            </w:pPr>
            <w:r w:rsidRPr="00DA7625">
              <w:rPr>
                <w:rStyle w:val="InstructionsTabelleText"/>
                <w:rFonts w:ascii="Times New Roman" w:hAnsi="Times New Roman"/>
                <w:bCs/>
                <w:sz w:val="24"/>
              </w:rPr>
              <w:tab/>
              <w:t>A CRR 4. cikke (1) bekezdésének 2. pontja;</w:t>
            </w:r>
          </w:p>
          <w:p w14:paraId="4AC1E538" w14:textId="77777777" w:rsidR="001B1411" w:rsidRPr="00DA7625" w:rsidRDefault="0071377A">
            <w:pPr>
              <w:tabs>
                <w:tab w:val="left" w:pos="372"/>
              </w:tabs>
              <w:rPr>
                <w:rStyle w:val="InstructionsTabelleText"/>
                <w:rFonts w:ascii="Times New Roman" w:hAnsi="Times New Roman"/>
                <w:bCs/>
                <w:sz w:val="24"/>
              </w:rPr>
            </w:pPr>
            <w:r w:rsidRPr="00DA7625">
              <w:rPr>
                <w:rStyle w:val="InstructionsTabelleText"/>
                <w:rFonts w:ascii="Times New Roman" w:hAnsi="Times New Roman"/>
                <w:sz w:val="24"/>
              </w:rPr>
              <w:t>c)</w:t>
            </w:r>
            <w:r w:rsidRPr="00DA7625">
              <w:rPr>
                <w:rStyle w:val="InstructionsTabelleText"/>
                <w:rFonts w:ascii="Times New Roman" w:hAnsi="Times New Roman"/>
                <w:bCs/>
                <w:sz w:val="24"/>
              </w:rPr>
              <w:tab/>
            </w:r>
            <w:r w:rsidRPr="00DA7625">
              <w:rPr>
                <w:rStyle w:val="InstructionsTabelleText"/>
                <w:rFonts w:ascii="Times New Roman" w:hAnsi="Times New Roman"/>
                <w:sz w:val="24"/>
              </w:rPr>
              <w:t>pénzügyi intézmény (egyéb)</w:t>
            </w:r>
          </w:p>
          <w:p w14:paraId="0B837FD2" w14:textId="72ADA4B5" w:rsidR="001B1411" w:rsidRPr="00DA7625" w:rsidRDefault="0071377A">
            <w:pPr>
              <w:tabs>
                <w:tab w:val="left" w:pos="372"/>
              </w:tabs>
              <w:rPr>
                <w:rStyle w:val="InstructionsTabelleText"/>
                <w:rFonts w:ascii="Times New Roman" w:hAnsi="Times New Roman"/>
                <w:bCs/>
                <w:sz w:val="24"/>
              </w:rPr>
            </w:pPr>
            <w:r w:rsidRPr="00DA7625">
              <w:rPr>
                <w:rStyle w:val="InstructionsTabelleText"/>
                <w:rFonts w:ascii="Times New Roman" w:hAnsi="Times New Roman"/>
                <w:bCs/>
                <w:sz w:val="24"/>
              </w:rPr>
              <w:tab/>
              <w:t>A CRR 4. cikke (1) bekezdésének 20., 21. és 26. pontja;</w:t>
            </w:r>
          </w:p>
          <w:p w14:paraId="4ECB5309" w14:textId="048F3DED" w:rsidR="001B1411" w:rsidRPr="00DA7625" w:rsidRDefault="00965D27">
            <w:pPr>
              <w:tabs>
                <w:tab w:val="left" w:pos="372"/>
              </w:tabs>
              <w:ind w:left="399" w:hanging="399"/>
              <w:rPr>
                <w:rStyle w:val="InstructionsTabelleText"/>
                <w:rFonts w:ascii="Times New Roman" w:hAnsi="Times New Roman"/>
                <w:bCs/>
                <w:sz w:val="24"/>
              </w:rPr>
            </w:pPr>
            <w:r w:rsidRPr="00DA7625">
              <w:rPr>
                <w:rStyle w:val="InstructionsTabelleText"/>
                <w:rFonts w:ascii="Times New Roman" w:hAnsi="Times New Roman"/>
                <w:bCs/>
                <w:sz w:val="24"/>
              </w:rPr>
              <w:tab/>
              <w:t>A CRR 4. cikke (1) bekezdésének 26. pontja szerinti pénzügyi intézmények, amelyek a d), f) vagy g) kategória egyikébe sem tartoznak;</w:t>
            </w:r>
          </w:p>
          <w:p w14:paraId="693D5F80" w14:textId="77777777" w:rsidR="001B1411" w:rsidRPr="00DA7625" w:rsidRDefault="0071377A">
            <w:pPr>
              <w:tabs>
                <w:tab w:val="left" w:pos="372"/>
              </w:tabs>
              <w:rPr>
                <w:rStyle w:val="InstructionsTabelleText"/>
                <w:rFonts w:ascii="Times New Roman" w:hAnsi="Times New Roman"/>
                <w:bCs/>
                <w:sz w:val="24"/>
              </w:rPr>
            </w:pPr>
            <w:r w:rsidRPr="00DA7625">
              <w:rPr>
                <w:rStyle w:val="InstructionsTabelleText"/>
                <w:rFonts w:ascii="Times New Roman" w:hAnsi="Times New Roman"/>
                <w:sz w:val="24"/>
              </w:rPr>
              <w:t>d)</w:t>
            </w:r>
            <w:r w:rsidRPr="00DA7625">
              <w:rPr>
                <w:rStyle w:val="InstructionsTabelleText"/>
                <w:rFonts w:ascii="Times New Roman" w:hAnsi="Times New Roman"/>
                <w:bCs/>
                <w:sz w:val="24"/>
              </w:rPr>
              <w:tab/>
            </w:r>
            <w:r w:rsidRPr="00DA7625">
              <w:rPr>
                <w:rStyle w:val="InstructionsTabelleText"/>
                <w:rFonts w:ascii="Times New Roman" w:hAnsi="Times New Roman"/>
                <w:sz w:val="24"/>
              </w:rPr>
              <w:t>(vegyes) pénzügyi holdingtársaság</w:t>
            </w:r>
          </w:p>
          <w:p w14:paraId="7285AC88" w14:textId="1C6BACC2" w:rsidR="001B1411" w:rsidRPr="00DA7625" w:rsidRDefault="0071377A">
            <w:pPr>
              <w:tabs>
                <w:tab w:val="left" w:pos="372"/>
              </w:tabs>
              <w:rPr>
                <w:rStyle w:val="InstructionsTabelleText"/>
                <w:rFonts w:ascii="Times New Roman" w:hAnsi="Times New Roman"/>
                <w:bCs/>
                <w:sz w:val="24"/>
              </w:rPr>
            </w:pPr>
            <w:r w:rsidRPr="00DA7625">
              <w:rPr>
                <w:rStyle w:val="InstructionsTabelleText"/>
                <w:rFonts w:ascii="Times New Roman" w:hAnsi="Times New Roman"/>
                <w:bCs/>
                <w:sz w:val="24"/>
              </w:rPr>
              <w:lastRenderedPageBreak/>
              <w:tab/>
              <w:t>A CRR 4. cikke (1) bekezdésének 20. és 21. pontja;</w:t>
            </w:r>
          </w:p>
          <w:p w14:paraId="0D38C0FD" w14:textId="77777777" w:rsidR="001B1411" w:rsidRPr="00DA7625" w:rsidRDefault="0071377A">
            <w:pPr>
              <w:tabs>
                <w:tab w:val="left" w:pos="372"/>
              </w:tabs>
              <w:rPr>
                <w:rStyle w:val="InstructionsTabelleText"/>
                <w:rFonts w:ascii="Times New Roman" w:hAnsi="Times New Roman"/>
                <w:bCs/>
                <w:sz w:val="24"/>
              </w:rPr>
            </w:pPr>
            <w:r w:rsidRPr="00DA7625">
              <w:rPr>
                <w:rStyle w:val="InstructionsTabelleText"/>
                <w:rFonts w:ascii="Times New Roman" w:hAnsi="Times New Roman"/>
                <w:bCs/>
                <w:sz w:val="24"/>
              </w:rPr>
              <w:t>e)</w:t>
            </w:r>
            <w:r w:rsidRPr="00DA7625">
              <w:rPr>
                <w:rStyle w:val="InstructionsTabelleText"/>
                <w:rFonts w:ascii="Times New Roman" w:hAnsi="Times New Roman"/>
                <w:bCs/>
                <w:sz w:val="24"/>
              </w:rPr>
              <w:tab/>
            </w:r>
            <w:r w:rsidRPr="00DA7625">
              <w:rPr>
                <w:rStyle w:val="InstructionsTabelleText"/>
                <w:rFonts w:ascii="Times New Roman" w:hAnsi="Times New Roman"/>
                <w:sz w:val="24"/>
              </w:rPr>
              <w:t>kiegészítő szolgáltatásokat nyújtó (járulékos) vállalkozás</w:t>
            </w:r>
          </w:p>
          <w:p w14:paraId="55506CD2" w14:textId="53A86B31" w:rsidR="001B1411" w:rsidRPr="00DA7625" w:rsidRDefault="0071377A">
            <w:pPr>
              <w:tabs>
                <w:tab w:val="left" w:pos="372"/>
              </w:tabs>
              <w:rPr>
                <w:rStyle w:val="InstructionsTabelleText"/>
                <w:rFonts w:ascii="Times New Roman" w:hAnsi="Times New Roman"/>
                <w:bCs/>
                <w:sz w:val="24"/>
              </w:rPr>
            </w:pPr>
            <w:r w:rsidRPr="00DA7625">
              <w:rPr>
                <w:rStyle w:val="InstructionsTabelleText"/>
                <w:rFonts w:ascii="Times New Roman" w:hAnsi="Times New Roman"/>
                <w:bCs/>
                <w:sz w:val="24"/>
              </w:rPr>
              <w:tab/>
              <w:t>A CRR 4. cikke (1) bekezdésének 18. pontja;</w:t>
            </w:r>
          </w:p>
          <w:p w14:paraId="096B9600" w14:textId="77777777" w:rsidR="001B1411" w:rsidRPr="00DA7625" w:rsidRDefault="0071377A">
            <w:pPr>
              <w:tabs>
                <w:tab w:val="left" w:pos="372"/>
              </w:tabs>
              <w:rPr>
                <w:rStyle w:val="InstructionsTabelleText"/>
                <w:rFonts w:ascii="Times New Roman" w:hAnsi="Times New Roman"/>
                <w:bCs/>
                <w:sz w:val="24"/>
              </w:rPr>
            </w:pPr>
            <w:r w:rsidRPr="00DA7625">
              <w:rPr>
                <w:rStyle w:val="InstructionsTabelleText"/>
                <w:rFonts w:ascii="Times New Roman" w:hAnsi="Times New Roman"/>
                <w:sz w:val="24"/>
              </w:rPr>
              <w:t>f)</w:t>
            </w:r>
            <w:r w:rsidRPr="00DA7625">
              <w:rPr>
                <w:rStyle w:val="InstructionsTabelleText"/>
                <w:rFonts w:ascii="Times New Roman" w:hAnsi="Times New Roman"/>
                <w:bCs/>
                <w:sz w:val="24"/>
              </w:rPr>
              <w:tab/>
              <w:t>különleges célú gazdasági egység</w:t>
            </w:r>
          </w:p>
          <w:p w14:paraId="7F662C14" w14:textId="6DC55CAE" w:rsidR="001B1411" w:rsidRPr="00DA7625" w:rsidRDefault="0071377A">
            <w:pPr>
              <w:tabs>
                <w:tab w:val="left" w:pos="372"/>
              </w:tabs>
              <w:rPr>
                <w:rStyle w:val="InstructionsTabelleText"/>
                <w:rFonts w:ascii="Times New Roman" w:hAnsi="Times New Roman"/>
                <w:bCs/>
                <w:sz w:val="24"/>
              </w:rPr>
            </w:pPr>
            <w:r w:rsidRPr="00DA7625">
              <w:rPr>
                <w:rStyle w:val="InstructionsTabelleText"/>
                <w:rFonts w:ascii="Times New Roman" w:hAnsi="Times New Roman"/>
                <w:bCs/>
                <w:sz w:val="24"/>
              </w:rPr>
              <w:tab/>
              <w:t>A CRR 4. cikke (1) bekezdésének 66. pontja;</w:t>
            </w:r>
          </w:p>
          <w:p w14:paraId="0DB5F04F" w14:textId="77777777" w:rsidR="001B1411" w:rsidRPr="00DA7625" w:rsidRDefault="0071377A">
            <w:pPr>
              <w:tabs>
                <w:tab w:val="left" w:pos="372"/>
              </w:tabs>
              <w:rPr>
                <w:rStyle w:val="InstructionsTabelleText"/>
                <w:rFonts w:ascii="Times New Roman" w:hAnsi="Times New Roman"/>
                <w:bCs/>
                <w:sz w:val="24"/>
              </w:rPr>
            </w:pPr>
            <w:r w:rsidRPr="00DA7625">
              <w:rPr>
                <w:rStyle w:val="InstructionsTabelleText"/>
                <w:rFonts w:ascii="Times New Roman" w:hAnsi="Times New Roman"/>
                <w:sz w:val="24"/>
              </w:rPr>
              <w:t>g)</w:t>
            </w:r>
            <w:r w:rsidRPr="00DA7625">
              <w:rPr>
                <w:rStyle w:val="InstructionsTabelleText"/>
                <w:rFonts w:ascii="Times New Roman" w:hAnsi="Times New Roman"/>
                <w:bCs/>
                <w:sz w:val="24"/>
              </w:rPr>
              <w:tab/>
            </w:r>
            <w:r w:rsidRPr="00DA7625">
              <w:rPr>
                <w:rStyle w:val="InstructionsTabelleText"/>
                <w:rFonts w:ascii="Times New Roman" w:hAnsi="Times New Roman"/>
                <w:sz w:val="24"/>
              </w:rPr>
              <w:t>fedezettkötvény-társaság</w:t>
            </w:r>
          </w:p>
          <w:p w14:paraId="17D0AFB0" w14:textId="77777777" w:rsidR="001B1411" w:rsidRPr="00DA7625" w:rsidRDefault="009B526D">
            <w:pPr>
              <w:tabs>
                <w:tab w:val="left" w:pos="372"/>
              </w:tabs>
              <w:ind w:left="372"/>
              <w:rPr>
                <w:rStyle w:val="InstructionsTabelleText"/>
                <w:rFonts w:ascii="Times New Roman" w:hAnsi="Times New Roman"/>
                <w:bCs/>
                <w:sz w:val="24"/>
              </w:rPr>
            </w:pPr>
            <w:r w:rsidRPr="00DA7625">
              <w:rPr>
                <w:rStyle w:val="InstructionsTabelleText"/>
                <w:rFonts w:ascii="Times New Roman" w:hAnsi="Times New Roman"/>
                <w:bCs/>
                <w:sz w:val="24"/>
              </w:rPr>
              <w:t>Fedezett kötvények kibocsátása vagy fedezett kötvény fedezetéül szolgáló biztosíték tartása céljából létrehozott szervezet, ha a fenti a), b) vagy d)–f) kategóriák egyikébe sem tartozik;</w:t>
            </w:r>
          </w:p>
          <w:p w14:paraId="3BF0B420" w14:textId="77777777" w:rsidR="001B1411" w:rsidRPr="00DA7625" w:rsidRDefault="0089010B">
            <w:pPr>
              <w:tabs>
                <w:tab w:val="left" w:pos="372"/>
              </w:tabs>
              <w:rPr>
                <w:rStyle w:val="InstructionsTabelleText"/>
                <w:rFonts w:ascii="Times New Roman" w:hAnsi="Times New Roman"/>
                <w:sz w:val="24"/>
              </w:rPr>
            </w:pPr>
            <w:r w:rsidRPr="00DA7625">
              <w:rPr>
                <w:rStyle w:val="InstructionsTabelleText"/>
                <w:rFonts w:ascii="Times New Roman" w:hAnsi="Times New Roman"/>
                <w:bCs/>
                <w:sz w:val="24"/>
              </w:rPr>
              <w:t>h)</w:t>
            </w:r>
            <w:r w:rsidRPr="00DA7625">
              <w:rPr>
                <w:rStyle w:val="InstructionsTabelleText"/>
                <w:rFonts w:ascii="Times New Roman" w:hAnsi="Times New Roman"/>
                <w:bCs/>
                <w:sz w:val="24"/>
              </w:rPr>
              <w:tab/>
            </w:r>
            <w:r w:rsidRPr="00DA7625">
              <w:rPr>
                <w:rStyle w:val="InstructionsTabelleText"/>
                <w:rFonts w:ascii="Times New Roman" w:hAnsi="Times New Roman"/>
                <w:sz w:val="24"/>
              </w:rPr>
              <w:t>egyéb típusú szervezet</w:t>
            </w:r>
          </w:p>
          <w:p w14:paraId="1C3B0A84" w14:textId="77777777" w:rsidR="001B1411" w:rsidRPr="00DA7625" w:rsidRDefault="00AE7CD3">
            <w:pPr>
              <w:tabs>
                <w:tab w:val="left" w:pos="372"/>
              </w:tabs>
              <w:ind w:left="372"/>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Az a)–g) pontban említettektől eltérő szervezet.</w:t>
            </w:r>
          </w:p>
          <w:p w14:paraId="200F2A18" w14:textId="77777777" w:rsidR="001B1411" w:rsidRPr="00DA7625" w:rsidRDefault="00965D27">
            <w:pPr>
              <w:tabs>
                <w:tab w:val="left" w:pos="372"/>
              </w:tabs>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Amennyiben valamely szervezet nem tartozik a CRR és a CRD hatálya alá, de a bázeli előírásokkal legalább egyenértékű előírások hatálya alá tartozik, a vonatkozó kategóriát a legnagyobb gondosság elve alapján kell meghatározni.</w:t>
            </w:r>
          </w:p>
        </w:tc>
      </w:tr>
      <w:tr w:rsidR="001B1411" w:rsidRPr="00DA7625" w14:paraId="67463085" w14:textId="77777777" w:rsidTr="00672D2A">
        <w:tc>
          <w:tcPr>
            <w:tcW w:w="1188" w:type="dxa"/>
          </w:tcPr>
          <w:p w14:paraId="11FAC5C4"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lastRenderedPageBreak/>
              <w:t>040</w:t>
            </w:r>
          </w:p>
        </w:tc>
        <w:tc>
          <w:tcPr>
            <w:tcW w:w="8640" w:type="dxa"/>
          </w:tcPr>
          <w:p w14:paraId="5C81B104" w14:textId="77777777" w:rsidR="001B1411" w:rsidRPr="00DA7625" w:rsidRDefault="00464F34">
            <w:pPr>
              <w:rPr>
                <w:rFonts w:ascii="Times New Roman" w:hAnsi="Times New Roman"/>
                <w:b/>
                <w:sz w:val="24"/>
                <w:u w:val="single"/>
              </w:rPr>
            </w:pPr>
            <w:r w:rsidRPr="00DA7625">
              <w:rPr>
                <w:rFonts w:ascii="Times New Roman" w:hAnsi="Times New Roman"/>
                <w:b/>
                <w:sz w:val="24"/>
                <w:u w:val="single"/>
              </w:rPr>
              <w:t xml:space="preserve">AZ ADATOK TERJEDELME: </w:t>
            </w:r>
            <w:r w:rsidRPr="00DA7625">
              <w:rPr>
                <w:rFonts w:ascii="Times New Roman" w:hAnsi="Times New Roman"/>
                <w:b/>
                <w:caps/>
                <w:sz w:val="24"/>
                <w:u w:val="single"/>
              </w:rPr>
              <w:t>egyedi alapon teljeskörűen konszolidált (SF) vagy egyedi alapon részlegesen konszolidált (SP)</w:t>
            </w:r>
          </w:p>
          <w:p w14:paraId="7670D05C" w14:textId="77777777" w:rsidR="001B1411" w:rsidRPr="00DA7625" w:rsidRDefault="00464F34">
            <w:pPr>
              <w:rPr>
                <w:rStyle w:val="Heading1Char"/>
                <w:rFonts w:ascii="Times New Roman" w:hAnsi="Times New Roman"/>
                <w:sz w:val="24"/>
                <w:szCs w:val="24"/>
              </w:rPr>
            </w:pPr>
            <w:r w:rsidRPr="00DA7625">
              <w:rPr>
                <w:rFonts w:ascii="Times New Roman" w:hAnsi="Times New Roman"/>
                <w:sz w:val="24"/>
              </w:rPr>
              <w:t xml:space="preserve">Az </w:t>
            </w:r>
            <w:r w:rsidRPr="00DA7625">
              <w:rPr>
                <w:rStyle w:val="InstructionsTabelleText"/>
                <w:rFonts w:ascii="Times New Roman" w:hAnsi="Times New Roman"/>
                <w:sz w:val="24"/>
              </w:rPr>
              <w:t>SF</w:t>
            </w:r>
            <w:r w:rsidRPr="00DA7625">
              <w:rPr>
                <w:rFonts w:ascii="Times New Roman" w:hAnsi="Times New Roman"/>
                <w:sz w:val="24"/>
              </w:rPr>
              <w:t xml:space="preserve"> értéket teljeskörűen konszolidált egyedi leányvállalatok esetében kell megadni.</w:t>
            </w:r>
            <w:r w:rsidRPr="00DA7625">
              <w:rPr>
                <w:rStyle w:val="Heading1Char"/>
                <w:rFonts w:ascii="Times New Roman" w:hAnsi="Times New Roman"/>
                <w:sz w:val="24"/>
                <w:szCs w:val="24"/>
              </w:rPr>
              <w:t xml:space="preserve"> </w:t>
            </w:r>
          </w:p>
          <w:p w14:paraId="60F66323" w14:textId="77777777" w:rsidR="001B1411" w:rsidRPr="00DA7625" w:rsidRDefault="009E5DCC">
            <w:pPr>
              <w:rPr>
                <w:rStyle w:val="InstructionsTabelleText"/>
                <w:rFonts w:ascii="Times New Roman" w:hAnsi="Times New Roman"/>
                <w:smallCaps/>
                <w:sz w:val="24"/>
              </w:rPr>
            </w:pPr>
            <w:r w:rsidRPr="00DA7625">
              <w:rPr>
                <w:rFonts w:ascii="Times New Roman" w:hAnsi="Times New Roman"/>
                <w:sz w:val="24"/>
              </w:rPr>
              <w:t xml:space="preserve">Az </w:t>
            </w:r>
            <w:r w:rsidRPr="00DA7625">
              <w:rPr>
                <w:rStyle w:val="InstructionsTabelleText"/>
                <w:rFonts w:ascii="Times New Roman" w:hAnsi="Times New Roman"/>
                <w:sz w:val="24"/>
              </w:rPr>
              <w:t>SP</w:t>
            </w:r>
            <w:r w:rsidRPr="00DA7625">
              <w:rPr>
                <w:rFonts w:ascii="Times New Roman" w:hAnsi="Times New Roman"/>
                <w:sz w:val="24"/>
              </w:rPr>
              <w:t xml:space="preserve"> értéket részlegesen konszolidált egyedi leányvállalatok esetében kell megadni.</w:t>
            </w:r>
            <w:r w:rsidRPr="00DA7625">
              <w:rPr>
                <w:rStyle w:val="InstructionsTabelleText"/>
                <w:rFonts w:ascii="Times New Roman" w:hAnsi="Times New Roman"/>
                <w:i/>
                <w:sz w:val="24"/>
              </w:rPr>
              <w:t xml:space="preserve"> </w:t>
            </w:r>
          </w:p>
        </w:tc>
      </w:tr>
      <w:tr w:rsidR="001B1411" w:rsidRPr="00DA7625" w14:paraId="0DFB4DFD" w14:textId="77777777" w:rsidTr="00672D2A">
        <w:tc>
          <w:tcPr>
            <w:tcW w:w="1188" w:type="dxa"/>
          </w:tcPr>
          <w:p w14:paraId="0AC0535C"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050</w:t>
            </w:r>
          </w:p>
        </w:tc>
        <w:tc>
          <w:tcPr>
            <w:tcW w:w="8640" w:type="dxa"/>
          </w:tcPr>
          <w:p w14:paraId="0F4A9943" w14:textId="77777777" w:rsidR="001B1411" w:rsidRPr="00DA7625" w:rsidRDefault="00464F34">
            <w:pPr>
              <w:rPr>
                <w:rFonts w:ascii="Times New Roman" w:hAnsi="Times New Roman"/>
                <w:b/>
                <w:sz w:val="24"/>
                <w:u w:val="single"/>
              </w:rPr>
            </w:pPr>
            <w:r w:rsidRPr="00DA7625">
              <w:rPr>
                <w:rFonts w:ascii="Times New Roman" w:hAnsi="Times New Roman"/>
                <w:b/>
                <w:sz w:val="24"/>
                <w:u w:val="single"/>
              </w:rPr>
              <w:t xml:space="preserve">ORSZÁGKÓD </w:t>
            </w:r>
          </w:p>
          <w:p w14:paraId="3BE65297" w14:textId="47816710"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 xml:space="preserve">Az intézményeknek a kétbetűs országkódot az ISO 3166-2 szabvány szerint kell megadniuk. </w:t>
            </w:r>
          </w:p>
        </w:tc>
      </w:tr>
      <w:tr w:rsidR="001B1411" w:rsidRPr="00DA7625" w14:paraId="784633B7" w14:textId="77777777" w:rsidTr="00672D2A">
        <w:tc>
          <w:tcPr>
            <w:tcW w:w="1188" w:type="dxa"/>
          </w:tcPr>
          <w:p w14:paraId="7CEBA24C"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060</w:t>
            </w:r>
          </w:p>
        </w:tc>
        <w:tc>
          <w:tcPr>
            <w:tcW w:w="8640" w:type="dxa"/>
          </w:tcPr>
          <w:p w14:paraId="76BE3112"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RÉSZESEDÉS ARÁNYA (%)</w:t>
            </w:r>
          </w:p>
          <w:p w14:paraId="796D7C4B" w14:textId="27BB44E2"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Az anyavállalat által a leányvállalatokban birtokolt tényleges tőkerészesedés. Közvetlen leányvállalat teljes körű konszolidálása esetében a tényleges részesedés pl. 70 %. A CRR 4. cikke (1) bekezdése 16. pontjának megfelelően egy leányvállalatban birtokolt, feltüntetendő részesedés az érintett leányvállalatok közötti részesedések szorzataként adódik.</w:t>
            </w:r>
          </w:p>
        </w:tc>
      </w:tr>
      <w:tr w:rsidR="001B1411" w:rsidRPr="00DA7625" w14:paraId="2FF2D492" w14:textId="77777777" w:rsidTr="00672D2A">
        <w:tc>
          <w:tcPr>
            <w:tcW w:w="1188" w:type="dxa"/>
          </w:tcPr>
          <w:p w14:paraId="383AF808"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070–240</w:t>
            </w:r>
          </w:p>
        </w:tc>
        <w:tc>
          <w:tcPr>
            <w:tcW w:w="8640" w:type="dxa"/>
          </w:tcPr>
          <w:p w14:paraId="494A0AD2"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SZAVATOLÓTŐKE-KÖVETELMÉNY HATÁLYA ALÁ TARTOZÓ SZERVEZETEKKEL KAPCSOLATOS INFORMÁCIÓK</w:t>
            </w:r>
          </w:p>
          <w:p w14:paraId="388DF1CE" w14:textId="49F82FB8"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 részletes információkat tartalmazó rész (070–240-es oszlop) kizárólag az olyan szervezetekről és alcsoportokról gyűjt információkat, amelyekre – mivel a CRR első része II. címének 2. fejezete szerinti konszolidáció körébe tartoznak</w:t>
            </w:r>
            <w:r w:rsidRPr="00DA7625">
              <w:rPr>
                <w:rFonts w:ascii="Times New Roman" w:hAnsi="Times New Roman"/>
                <w:sz w:val="24"/>
              </w:rPr>
              <w:t xml:space="preserve"> – a </w:t>
            </w:r>
            <w:r w:rsidRPr="00DA7625">
              <w:rPr>
                <w:rStyle w:val="InstructionsTabelleText"/>
                <w:rFonts w:ascii="Times New Roman" w:hAnsi="Times New Roman"/>
                <w:sz w:val="24"/>
              </w:rPr>
              <w:t xml:space="preserve">CRR-ben meghatározott tőkemegfelelési követelmények, vagy legalább a Bázel-szabályokkal egyenértékű rendelkezések ténylegesen vonatkoznak (vagyis amelyeknél a 030-as oszlop értéke „igen”). </w:t>
            </w:r>
          </w:p>
          <w:p w14:paraId="38824BAC" w14:textId="77777777" w:rsidR="001B1411" w:rsidRPr="00DA7625" w:rsidRDefault="00464F34">
            <w:pPr>
              <w:rPr>
                <w:rFonts w:ascii="Times New Roman" w:hAnsi="Times New Roman"/>
                <w:sz w:val="24"/>
              </w:rPr>
            </w:pPr>
            <w:r w:rsidRPr="00DA7625">
              <w:rPr>
                <w:rFonts w:ascii="Times New Roman" w:hAnsi="Times New Roman"/>
                <w:sz w:val="24"/>
              </w:rPr>
              <w:t xml:space="preserve">Egy konszolidált csoporton belüli valamennyi olyan egyedi intézményről, amelyre szavatolótőke-követelmények vonatkoznak, az intézmény helyétől függetlenül információt kell adni. </w:t>
            </w:r>
          </w:p>
          <w:p w14:paraId="799DC52C" w14:textId="76CC7909" w:rsidR="001B1411" w:rsidRPr="00DA7625" w:rsidRDefault="00464F34">
            <w:pPr>
              <w:rPr>
                <w:rFonts w:ascii="Times New Roman" w:hAnsi="Times New Roman"/>
                <w:sz w:val="24"/>
              </w:rPr>
            </w:pPr>
            <w:r w:rsidRPr="00DA7625">
              <w:rPr>
                <w:rFonts w:ascii="Times New Roman" w:hAnsi="Times New Roman"/>
                <w:sz w:val="24"/>
              </w:rPr>
              <w:lastRenderedPageBreak/>
              <w:t>Az ebben a részben megadott adatoknak tükrözniük kell az intézmény tevékenységének helye szerinti tőkemegfelelési szabályokat (ezért ehhez a táblához nem szükséges egyedi alapon az anyaintézmény szabályai szerinti kettős számítást végezni). A CRR-től eltérő helyi tőkemegfelelési szabályok esetén hasonló felosztás hiányában az információkat akkor kell megadni, ha a megfelelő tagoltságú adatok rendelkezésre állnak. Ez a rész tehát olyan konkrét adatokat tartalmazó tábla, amely a csoport egyedi intézményei által elvégzendő számításokat összegzi, figyelembe véve azt, hogy az intézmények közül egyesekre eltérő tőkemegfelelési szabályok vonatkozhatnak.</w:t>
            </w:r>
          </w:p>
          <w:p w14:paraId="34A211F6" w14:textId="77777777" w:rsidR="001B1411" w:rsidRPr="00DA7625" w:rsidRDefault="00464F34">
            <w:pPr>
              <w:rPr>
                <w:rStyle w:val="InstructionsTabelleText"/>
                <w:rFonts w:ascii="Times New Roman" w:hAnsi="Times New Roman"/>
                <w:b/>
                <w:sz w:val="24"/>
                <w:u w:val="single"/>
              </w:rPr>
            </w:pPr>
            <w:r w:rsidRPr="00DA7625">
              <w:rPr>
                <w:rStyle w:val="InstructionsTabelleText"/>
                <w:rFonts w:ascii="Times New Roman" w:hAnsi="Times New Roman"/>
                <w:b/>
                <w:sz w:val="24"/>
                <w:u w:val="single"/>
              </w:rPr>
              <w:t>Adatszolgáltatás a befektetési vállalkozások fix működési költségeiről:</w:t>
            </w:r>
          </w:p>
          <w:p w14:paraId="4897D046" w14:textId="49B6D192" w:rsidR="001B1411" w:rsidRPr="00DA7625" w:rsidRDefault="00464F34">
            <w:pPr>
              <w:autoSpaceDE w:val="0"/>
              <w:autoSpaceDN w:val="0"/>
              <w:adjustRightInd w:val="0"/>
              <w:spacing w:after="0"/>
              <w:rPr>
                <w:rStyle w:val="InstructionsTabelleText"/>
                <w:rFonts w:ascii="Times New Roman" w:hAnsi="Times New Roman"/>
                <w:sz w:val="24"/>
              </w:rPr>
            </w:pPr>
            <w:r w:rsidRPr="00DA7625">
              <w:rPr>
                <w:rStyle w:val="InstructionsTabelleText"/>
                <w:rFonts w:ascii="Times New Roman" w:hAnsi="Times New Roman"/>
                <w:sz w:val="24"/>
              </w:rPr>
              <w:t>A befektetési vállalkozásoknak meg kell adniuk a tőkemegfelelési mutató CRR 95., 96., 97. és 98. cikke szerinti számításában figyelembe vett fix működési költségekkel kapcsolatos szavatolótőke-követelményeket.</w:t>
            </w:r>
          </w:p>
          <w:p w14:paraId="031DF955" w14:textId="77777777" w:rsidR="001B1411" w:rsidRPr="00DA7625" w:rsidRDefault="00464F34">
            <w:pPr>
              <w:autoSpaceDE w:val="0"/>
              <w:autoSpaceDN w:val="0"/>
              <w:adjustRightInd w:val="0"/>
              <w:spacing w:after="0"/>
              <w:rPr>
                <w:rStyle w:val="InstructionsTabelleText"/>
                <w:rFonts w:ascii="Times New Roman" w:hAnsi="Times New Roman"/>
                <w:sz w:val="24"/>
              </w:rPr>
            </w:pPr>
            <w:r w:rsidRPr="00DA7625">
              <w:rPr>
                <w:rStyle w:val="InstructionsTabelleText"/>
                <w:rFonts w:ascii="Times New Roman" w:hAnsi="Times New Roman"/>
                <w:sz w:val="24"/>
              </w:rPr>
              <w:t xml:space="preserve">A teljes kockázati kitettségértéknek a fix működési költségekhez kapcsolódó részét e tábla 2. részének 100. oszlopában kell megadni. </w:t>
            </w:r>
          </w:p>
        </w:tc>
      </w:tr>
      <w:tr w:rsidR="001B1411" w:rsidRPr="00DA7625" w14:paraId="527DB4C5" w14:textId="77777777" w:rsidTr="00672D2A">
        <w:tc>
          <w:tcPr>
            <w:tcW w:w="1188" w:type="dxa"/>
          </w:tcPr>
          <w:p w14:paraId="11D1C2B4"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lastRenderedPageBreak/>
              <w:t>070</w:t>
            </w:r>
          </w:p>
        </w:tc>
        <w:tc>
          <w:tcPr>
            <w:tcW w:w="8640" w:type="dxa"/>
          </w:tcPr>
          <w:p w14:paraId="37273FD1"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 xml:space="preserve">TELJES KOCKÁZATI KITETTSÉGÉRTÉK </w:t>
            </w:r>
          </w:p>
          <w:p w14:paraId="77C81940" w14:textId="77777777" w:rsidR="001B1411" w:rsidRPr="00DA7625" w:rsidRDefault="00464F34">
            <w:pPr>
              <w:rPr>
                <w:rStyle w:val="InstructionsTabelleberschrift"/>
                <w:rFonts w:ascii="Times New Roman" w:hAnsi="Times New Roman"/>
                <w:sz w:val="24"/>
              </w:rPr>
            </w:pPr>
            <w:r w:rsidRPr="00DA7625">
              <w:rPr>
                <w:rStyle w:val="InstructionsTabelleText"/>
                <w:rFonts w:ascii="Times New Roman" w:hAnsi="Times New Roman"/>
                <w:sz w:val="24"/>
              </w:rPr>
              <w:t>A 080–110-es oszlopok összegét kell megadni.</w:t>
            </w:r>
          </w:p>
        </w:tc>
      </w:tr>
      <w:tr w:rsidR="001B1411" w:rsidRPr="00DA7625" w14:paraId="1826C7C5" w14:textId="77777777" w:rsidTr="00672D2A">
        <w:tc>
          <w:tcPr>
            <w:tcW w:w="1188" w:type="dxa"/>
          </w:tcPr>
          <w:p w14:paraId="3B8CC19C"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080</w:t>
            </w:r>
          </w:p>
        </w:tc>
        <w:tc>
          <w:tcPr>
            <w:tcW w:w="8640" w:type="dxa"/>
          </w:tcPr>
          <w:p w14:paraId="21EC418F"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HITELKOCKÁZAT; PARTNERKOCKÁZAT; FELHÍGULÁSI KOCKÁZAT, NYITVA SZÁLLÍTÁSOK, ELSZÁMOLÁSI/TELJESÍTÉSI KOCKÁZAT</w:t>
            </w:r>
          </w:p>
          <w:p w14:paraId="7F9BD427" w14:textId="64F7832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Az ebben az oszlopban feltüntetendő érték a CA2 tábla 040. sorában (HITELKOCKÁZATRA, PARTNERKOCKÁZATRA ÉS FELHÍGULÁSI KOCKÁZATRA, VALAMINT NYITVA SZÁLLÍTÁSOKRA VONATKOZÓ, KOCKÁZATTAL SÚLYOZOTT KITETTSÉGÉRTÉKEK)</w:t>
            </w:r>
            <w:r w:rsidRPr="00DA7625">
              <w:rPr>
                <w:rFonts w:ascii="Times New Roman" w:hAnsi="Times New Roman"/>
                <w:sz w:val="24"/>
              </w:rPr>
              <w:t xml:space="preserve"> </w:t>
            </w:r>
            <w:r w:rsidRPr="00DA7625">
              <w:rPr>
                <w:rStyle w:val="InstructionsTabelleberschrift"/>
                <w:rFonts w:ascii="Times New Roman" w:hAnsi="Times New Roman"/>
                <w:b w:val="0"/>
                <w:sz w:val="24"/>
                <w:u w:val="none"/>
              </w:rPr>
              <w:t>feltüntetendő</w:t>
            </w:r>
            <w:r w:rsidRPr="00DA7625">
              <w:rPr>
                <w:rFonts w:ascii="Times New Roman" w:hAnsi="Times New Roman"/>
                <w:sz w:val="24"/>
              </w:rPr>
              <w:t xml:space="preserve"> </w:t>
            </w:r>
            <w:r w:rsidRPr="00DA7625">
              <w:rPr>
                <w:rStyle w:val="InstructionsTabelleText"/>
                <w:rFonts w:ascii="Times New Roman" w:hAnsi="Times New Roman"/>
                <w:sz w:val="24"/>
              </w:rPr>
              <w:t>értékekkel megegyező vagy egyenértékű kockázattal súlyozott kitettségértékeknek, valamint a 490. sorában (AZ ELSZÁMOLÁSI/TELJESÍTÉSI KOCKÁZAT TELJES KOCKÁZATI KITETTSÉGÉRTÉKE) feltüntetendő értékekkel megegyező vagy egyenértékű szavatolótőkekövetelmény-összegeknek az összege.</w:t>
            </w:r>
          </w:p>
        </w:tc>
      </w:tr>
      <w:tr w:rsidR="001B1411" w:rsidRPr="00DA7625" w14:paraId="7F5116C7" w14:textId="77777777" w:rsidTr="00672D2A">
        <w:tc>
          <w:tcPr>
            <w:tcW w:w="1188" w:type="dxa"/>
          </w:tcPr>
          <w:p w14:paraId="22CA7DC0"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090</w:t>
            </w:r>
          </w:p>
        </w:tc>
        <w:tc>
          <w:tcPr>
            <w:tcW w:w="8640" w:type="dxa"/>
          </w:tcPr>
          <w:p w14:paraId="4D46F688"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POZÍCIÓKOCKÁZAT, DEVIZAÁRFOLYAM-KOCKÁZAT ÉS ÁRUKOCKÁZAT</w:t>
            </w:r>
          </w:p>
          <w:p w14:paraId="366C99B2" w14:textId="77A993E0"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Az ebben az oszlopban feltüntetendő érték a CA2-es tábla 520-as sorában (A POZÍCIÓKOCKÁZAT, DEVIZAÁRFOLYAM-KOCKÁZAT ÉS ÁRUKOCKÁZAT TELJES KOCKÁZATI KITETTSÉGÉRTÉKE) megadott összeggel megegyező vagy egyenértékű tőkekövetelmény-összeg.</w:t>
            </w:r>
          </w:p>
        </w:tc>
      </w:tr>
      <w:tr w:rsidR="001B1411" w:rsidRPr="00DA7625" w14:paraId="70750086" w14:textId="77777777" w:rsidTr="00672D2A">
        <w:tc>
          <w:tcPr>
            <w:tcW w:w="1188" w:type="dxa"/>
          </w:tcPr>
          <w:p w14:paraId="64E3DDAE"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100</w:t>
            </w:r>
          </w:p>
        </w:tc>
        <w:tc>
          <w:tcPr>
            <w:tcW w:w="8640" w:type="dxa"/>
          </w:tcPr>
          <w:p w14:paraId="14BC5320"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MŰKÖDÉSI KOCKÁZAT</w:t>
            </w:r>
          </w:p>
          <w:p w14:paraId="17CDB038" w14:textId="3F9AFC53"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Az ebben az oszlopban feltüntetendő érték a CA2-es tábla 590-es sorában (MŰKÖDÉSI KOCKÁZAT (OpR) TELJES KOCKÁZATI KITETTSÉGÉRTÉKE) megadott összeggel megegyező vagy egyenértékű kitettségérték.</w:t>
            </w:r>
          </w:p>
          <w:p w14:paraId="48EE13A8" w14:textId="37CED10C"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Ebben az oszlopban kell megadni a fix működési költségeket, ezen belül a CA2-es tábla 630-as sorának értékét (FIX MŰKÖDÉSI KÖLTSÉGEKBŐL EREDŐ PÓTLÓLAGOS KOCKÁZATI KITETTSÉGÉRTÉK).</w:t>
            </w:r>
          </w:p>
        </w:tc>
      </w:tr>
      <w:tr w:rsidR="001B1411" w:rsidRPr="00DA7625" w14:paraId="6F971F86" w14:textId="77777777" w:rsidTr="00672D2A">
        <w:tc>
          <w:tcPr>
            <w:tcW w:w="1188" w:type="dxa"/>
          </w:tcPr>
          <w:p w14:paraId="53A2157B"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110</w:t>
            </w:r>
          </w:p>
        </w:tc>
        <w:tc>
          <w:tcPr>
            <w:tcW w:w="8640" w:type="dxa"/>
          </w:tcPr>
          <w:p w14:paraId="0C1EF2D1"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EGYÉB KOCKÁZATI KITETTSÉGÉRTÉKEK</w:t>
            </w:r>
          </w:p>
          <w:p w14:paraId="1A55FB51" w14:textId="73132C2D"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lastRenderedPageBreak/>
              <w:t>Az ebben az oszlopban feltüntetendő érték az előzőekben külön nem említett kitettségértékeket foglalja magában. A CA2-es tábla 640-es, 680-as és 690-es sorában megadott értékek összege.</w:t>
            </w:r>
          </w:p>
        </w:tc>
      </w:tr>
      <w:tr w:rsidR="001B1411" w:rsidRPr="00DA7625" w14:paraId="313FC97C" w14:textId="77777777" w:rsidTr="00672D2A">
        <w:tc>
          <w:tcPr>
            <w:tcW w:w="1188" w:type="dxa"/>
          </w:tcPr>
          <w:p w14:paraId="13A1545D"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lastRenderedPageBreak/>
              <w:t>120-240</w:t>
            </w:r>
          </w:p>
        </w:tc>
        <w:tc>
          <w:tcPr>
            <w:tcW w:w="8640" w:type="dxa"/>
          </w:tcPr>
          <w:p w14:paraId="2F2E30DA"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RÉSZLETES INFORMÁCIÓK A CSOPORTSZINTŰ SZAVATOLÓTŐKE-MEGFELELÉSRŐL</w:t>
            </w:r>
          </w:p>
          <w:p w14:paraId="1A14F676" w14:textId="0683A3BB"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Az alábbi oszlopokban feltüntetett információk tükrözik azon tagállam helyi tőkemegfelelési szabályait, ahol a szervezet vagy alcsoport tevékenységi helye van.</w:t>
            </w:r>
          </w:p>
        </w:tc>
      </w:tr>
      <w:tr w:rsidR="001B1411" w:rsidRPr="00DA7625" w14:paraId="1B6D416F" w14:textId="77777777" w:rsidTr="00672D2A">
        <w:tc>
          <w:tcPr>
            <w:tcW w:w="1188" w:type="dxa"/>
          </w:tcPr>
          <w:p w14:paraId="772171DC"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120</w:t>
            </w:r>
          </w:p>
        </w:tc>
        <w:tc>
          <w:tcPr>
            <w:tcW w:w="8640" w:type="dxa"/>
          </w:tcPr>
          <w:p w14:paraId="591A00A1"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SZAVATOLÓTŐKE</w:t>
            </w:r>
          </w:p>
          <w:p w14:paraId="5596F621" w14:textId="77777777" w:rsidR="001B1411" w:rsidRPr="00DA7625" w:rsidRDefault="00464F34">
            <w:pPr>
              <w:rPr>
                <w:rStyle w:val="InstructionsTabelleberschrift"/>
                <w:rFonts w:ascii="Times New Roman" w:hAnsi="Times New Roman"/>
                <w:sz w:val="24"/>
              </w:rPr>
            </w:pPr>
            <w:r w:rsidRPr="00DA7625">
              <w:rPr>
                <w:rStyle w:val="InstructionsTabelleText"/>
                <w:rFonts w:ascii="Times New Roman" w:hAnsi="Times New Roman"/>
                <w:sz w:val="24"/>
              </w:rPr>
              <w:t>Az ebben az oszlopban feltüntetendő érték a CA1-es tábla 010-es sorában (SZAVATOLÓTŐKE) megadott összeggel megegyező vagy egyenértékű szavatolótőke-összeg.</w:t>
            </w:r>
          </w:p>
        </w:tc>
      </w:tr>
      <w:tr w:rsidR="001B1411" w:rsidRPr="00DA7625" w14:paraId="38E63995" w14:textId="77777777" w:rsidTr="00672D2A">
        <w:tc>
          <w:tcPr>
            <w:tcW w:w="1188" w:type="dxa"/>
          </w:tcPr>
          <w:p w14:paraId="4973F2F3"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130</w:t>
            </w:r>
          </w:p>
        </w:tc>
        <w:tc>
          <w:tcPr>
            <w:tcW w:w="8640" w:type="dxa"/>
          </w:tcPr>
          <w:p w14:paraId="003C33E4"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 xml:space="preserve">EBBŐL: A SZAVATOLÓTŐKÉBE BESZÁMÍTHATÓ </w:t>
            </w:r>
          </w:p>
          <w:p w14:paraId="209F5C9D" w14:textId="032CF236"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 xml:space="preserve">A CRR 82. cikke </w:t>
            </w:r>
          </w:p>
          <w:p w14:paraId="1CB0C203" w14:textId="63929185"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 xml:space="preserve">Az oszlop csak az egyedi adatszolgáltatás hatálya alá tartozó, teljes mértékben konszolidált intézményi leányvállalatok adatait tartalmazza. </w:t>
            </w:r>
          </w:p>
          <w:p w14:paraId="440FC02F"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 fenti leányvállalatok esetében befolyásoló részesedésnek minősülnek a vállalkozásokon kívüli és a CRR szerinti konszolidáció körébe bevont személyek tulajdonában álló instrumentumok, valamint az ezekhez kapcsolódó eredménytartalékok, ázsió és egyéb tartalékok.</w:t>
            </w:r>
          </w:p>
          <w:p w14:paraId="2B4CB5C6" w14:textId="77777777" w:rsidR="001B1411" w:rsidRPr="00DA7625" w:rsidRDefault="00464F34">
            <w:pPr>
              <w:rPr>
                <w:rStyle w:val="InstructionsTabelleberschrift"/>
                <w:rFonts w:ascii="Times New Roman" w:hAnsi="Times New Roman"/>
                <w:sz w:val="24"/>
              </w:rPr>
            </w:pPr>
            <w:r w:rsidRPr="00DA7625">
              <w:rPr>
                <w:rStyle w:val="InstructionsTabelleText"/>
                <w:rFonts w:ascii="Times New Roman" w:hAnsi="Times New Roman"/>
                <w:sz w:val="24"/>
              </w:rPr>
              <w:t>A feltüntetendő érték magában foglalja az átmeneti rendelkezések hatásait. Az adatszolgáltatás időpontjában figyelembe vehető összeg.</w:t>
            </w:r>
          </w:p>
        </w:tc>
      </w:tr>
      <w:tr w:rsidR="001B1411" w:rsidRPr="00DA7625" w14:paraId="5F5C2775" w14:textId="77777777" w:rsidTr="00672D2A">
        <w:tc>
          <w:tcPr>
            <w:tcW w:w="1188" w:type="dxa"/>
          </w:tcPr>
          <w:p w14:paraId="733BDBFF"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140</w:t>
            </w:r>
          </w:p>
        </w:tc>
        <w:tc>
          <w:tcPr>
            <w:tcW w:w="8640" w:type="dxa"/>
          </w:tcPr>
          <w:p w14:paraId="5A73C1CB" w14:textId="77777777" w:rsidR="001B1411" w:rsidRPr="00DA7625" w:rsidRDefault="000044B7">
            <w:pPr>
              <w:rPr>
                <w:rStyle w:val="InstructionsTabelleberschrift"/>
                <w:rFonts w:ascii="Times New Roman" w:hAnsi="Times New Roman"/>
                <w:b w:val="0"/>
                <w:sz w:val="24"/>
              </w:rPr>
            </w:pPr>
            <w:r w:rsidRPr="00DA7625">
              <w:rPr>
                <w:rStyle w:val="InstructionsTabelleberschrift"/>
                <w:rFonts w:ascii="Times New Roman" w:hAnsi="Times New Roman"/>
                <w:sz w:val="24"/>
              </w:rPr>
              <w:t>KAPCSOLÓDÓ SZAVATOLÓTŐKE-INSTRUMENTUMOK, KAPCSOLÓDÓ EREDMÉNYTARTALÉKOK, NÉVÉRTÉKEN FELÜLI BEFIZETÉSEK ÉS EGYÉB TARTALÉKOK</w:t>
            </w:r>
          </w:p>
          <w:p w14:paraId="25DE61D6" w14:textId="7CAAC974" w:rsidR="001B1411" w:rsidRPr="00DA7625" w:rsidRDefault="00283C5E">
            <w:pPr>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CRR 87. cikke (1) bekezdésének b) pontja</w:t>
            </w:r>
          </w:p>
        </w:tc>
      </w:tr>
      <w:tr w:rsidR="001B1411" w:rsidRPr="00DA7625" w14:paraId="009E84A1" w14:textId="77777777" w:rsidTr="00672D2A">
        <w:tc>
          <w:tcPr>
            <w:tcW w:w="1188" w:type="dxa"/>
          </w:tcPr>
          <w:p w14:paraId="6D628FBD"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150</w:t>
            </w:r>
          </w:p>
        </w:tc>
        <w:tc>
          <w:tcPr>
            <w:tcW w:w="8640" w:type="dxa"/>
          </w:tcPr>
          <w:p w14:paraId="79313680"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T1 TŐKE ÖSSZESEN</w:t>
            </w:r>
          </w:p>
          <w:p w14:paraId="7004BB9E" w14:textId="3EFF55E3" w:rsidR="001B1411" w:rsidRPr="00DA7625" w:rsidRDefault="00464F34">
            <w:pPr>
              <w:rPr>
                <w:rStyle w:val="InstructionsTabelleberschrift"/>
                <w:rFonts w:ascii="Times New Roman" w:hAnsi="Times New Roman"/>
                <w:sz w:val="24"/>
              </w:rPr>
            </w:pPr>
            <w:r w:rsidRPr="00DA7625">
              <w:rPr>
                <w:rStyle w:val="InstructionsTabelleText"/>
                <w:rFonts w:ascii="Times New Roman" w:hAnsi="Times New Roman"/>
                <w:sz w:val="24"/>
              </w:rPr>
              <w:t>A CRR 25. cikke</w:t>
            </w:r>
          </w:p>
        </w:tc>
      </w:tr>
      <w:tr w:rsidR="001B1411" w:rsidRPr="00DA7625" w14:paraId="74823C66" w14:textId="77777777" w:rsidTr="00672D2A">
        <w:tc>
          <w:tcPr>
            <w:tcW w:w="1188" w:type="dxa"/>
          </w:tcPr>
          <w:p w14:paraId="5C52BB13"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160</w:t>
            </w:r>
          </w:p>
        </w:tc>
        <w:tc>
          <w:tcPr>
            <w:tcW w:w="8640" w:type="dxa"/>
          </w:tcPr>
          <w:p w14:paraId="6CDFB6A5"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EBBŐL: A T1 TŐKÉBE BESZÁMÍTHATÓ</w:t>
            </w:r>
          </w:p>
          <w:p w14:paraId="5D6ECF13" w14:textId="648EAAEC"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 CRR 82. cikke</w:t>
            </w:r>
          </w:p>
          <w:p w14:paraId="7F0B04E8" w14:textId="26A0B0F9"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Az oszlop csak az egyedi adatszolgáltatás hatálya alá tartozó, teljes mértékben konszolidált intézményi leányvállalatok adatait tartalmazza.</w:t>
            </w:r>
          </w:p>
          <w:p w14:paraId="64C845E5"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 fenti leányvállalatok esetében befolyásoló részesedésnek minősülnek a CRR szerinti konszolidáció körébe bevont vállalkozásokon kívüli személyek tulajdonában álló instrumentumok, valamint az ezekhez kapcsolódó eredménytartalékok és ázsió.</w:t>
            </w:r>
          </w:p>
          <w:p w14:paraId="722E47B7" w14:textId="77777777" w:rsidR="001B1411" w:rsidRPr="00DA7625" w:rsidRDefault="00464F34">
            <w:pPr>
              <w:rPr>
                <w:rStyle w:val="InstructionsTabelleberschrift"/>
                <w:rFonts w:ascii="Times New Roman" w:hAnsi="Times New Roman"/>
                <w:sz w:val="24"/>
              </w:rPr>
            </w:pPr>
            <w:r w:rsidRPr="00DA7625">
              <w:rPr>
                <w:rStyle w:val="InstructionsTabelleText"/>
                <w:rFonts w:ascii="Times New Roman" w:hAnsi="Times New Roman"/>
                <w:sz w:val="24"/>
              </w:rPr>
              <w:t>A feltüntetendő érték magában foglalja az átmeneti rendelkezések hatásait. Az adatszolgáltatás időpontjában figyelembe vehető összeg.</w:t>
            </w:r>
          </w:p>
        </w:tc>
      </w:tr>
      <w:tr w:rsidR="001B1411" w:rsidRPr="00DA7625" w14:paraId="6EDF381C" w14:textId="77777777" w:rsidTr="00672D2A">
        <w:tc>
          <w:tcPr>
            <w:tcW w:w="1188" w:type="dxa"/>
          </w:tcPr>
          <w:p w14:paraId="43541E40"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170</w:t>
            </w:r>
          </w:p>
        </w:tc>
        <w:tc>
          <w:tcPr>
            <w:tcW w:w="8640" w:type="dxa"/>
          </w:tcPr>
          <w:p w14:paraId="0D194735" w14:textId="77777777" w:rsidR="001B1411" w:rsidRPr="00DA7625" w:rsidRDefault="000044B7">
            <w:pPr>
              <w:rPr>
                <w:rStyle w:val="InstructionsTabelleberschrift"/>
                <w:rFonts w:ascii="Times New Roman" w:hAnsi="Times New Roman"/>
                <w:b w:val="0"/>
                <w:sz w:val="24"/>
              </w:rPr>
            </w:pPr>
            <w:r w:rsidRPr="00DA7625">
              <w:rPr>
                <w:rStyle w:val="InstructionsTabelleberschrift"/>
                <w:rFonts w:ascii="Times New Roman" w:hAnsi="Times New Roman"/>
                <w:sz w:val="24"/>
              </w:rPr>
              <w:t>KAPCSOLÓDÓ T1 INSTRUMENTUMOK, KAPCSOLÓDÓ EREDMÉNYTARTALÉKOK ÉS NÉVÉRTÉKEN FELÜLI BEFIZETÉSEK</w:t>
            </w:r>
          </w:p>
          <w:p w14:paraId="1DCD7A72" w14:textId="3EACED00" w:rsidR="001B1411" w:rsidRPr="00DA7625" w:rsidRDefault="001E0C80">
            <w:pPr>
              <w:rPr>
                <w:rStyle w:val="InstructionsTabelleberschrift"/>
                <w:rFonts w:ascii="Times New Roman" w:hAnsi="Times New Roman"/>
                <w:sz w:val="24"/>
              </w:rPr>
            </w:pPr>
            <w:r w:rsidRPr="00DA7625">
              <w:rPr>
                <w:rStyle w:val="InstructionsTabelleberschrift"/>
                <w:rFonts w:ascii="Times New Roman" w:hAnsi="Times New Roman"/>
                <w:b w:val="0"/>
                <w:sz w:val="24"/>
                <w:u w:val="none"/>
              </w:rPr>
              <w:t>A CRR 85. cikke (1) bekezdésének b) pontja</w:t>
            </w:r>
          </w:p>
        </w:tc>
      </w:tr>
      <w:tr w:rsidR="001B1411" w:rsidRPr="00DA7625" w14:paraId="2FD318C0" w14:textId="77777777" w:rsidTr="00672D2A">
        <w:tc>
          <w:tcPr>
            <w:tcW w:w="1188" w:type="dxa"/>
          </w:tcPr>
          <w:p w14:paraId="04787C11"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lastRenderedPageBreak/>
              <w:t>180</w:t>
            </w:r>
          </w:p>
        </w:tc>
        <w:tc>
          <w:tcPr>
            <w:tcW w:w="8640" w:type="dxa"/>
          </w:tcPr>
          <w:p w14:paraId="1D3C4F40"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CET1 TŐKE</w:t>
            </w:r>
          </w:p>
          <w:p w14:paraId="2DB91122" w14:textId="0B0CF577" w:rsidR="001B1411" w:rsidRPr="00DA7625" w:rsidRDefault="00464F34">
            <w:pPr>
              <w:rPr>
                <w:rStyle w:val="InstructionsTabelleberschrift"/>
                <w:rFonts w:ascii="Times New Roman" w:hAnsi="Times New Roman"/>
                <w:sz w:val="24"/>
              </w:rPr>
            </w:pPr>
            <w:r w:rsidRPr="00DA7625">
              <w:rPr>
                <w:rStyle w:val="InstructionsTabelleText"/>
                <w:rFonts w:ascii="Times New Roman" w:hAnsi="Times New Roman"/>
                <w:sz w:val="24"/>
              </w:rPr>
              <w:t>A CRR 50. cikke</w:t>
            </w:r>
          </w:p>
        </w:tc>
      </w:tr>
      <w:tr w:rsidR="001B1411" w:rsidRPr="00DA7625" w14:paraId="2DBC2430" w14:textId="77777777" w:rsidTr="00672D2A">
        <w:tc>
          <w:tcPr>
            <w:tcW w:w="1188" w:type="dxa"/>
          </w:tcPr>
          <w:p w14:paraId="50693798"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190</w:t>
            </w:r>
          </w:p>
        </w:tc>
        <w:tc>
          <w:tcPr>
            <w:tcW w:w="8640" w:type="dxa"/>
          </w:tcPr>
          <w:p w14:paraId="6F86A4BF"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EBBŐL: KISEBBSÉGI RÉSZESEDÉSEK</w:t>
            </w:r>
          </w:p>
          <w:p w14:paraId="1B6B2E1F" w14:textId="0B318F41"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 CRR 81. cikke</w:t>
            </w:r>
          </w:p>
          <w:p w14:paraId="79D5231D" w14:textId="74FB4F8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Az oszlop kizárólag a teljeskörűen konszolidált intézményi leányvállalatok adatait tartalmazza, a CRR 84. cikkének (3) bekezdésében említett leányvállalatok kivételével. A CRR 84. cikkében előírt valamennyi számítás szempontjából az egyes leányvállalatokat adott esetben a 84. cikk (2) bekezdésének megfelelően szubkonszolidált alapon, egyéb esetekben egyedi alapon kell figyelembe venni.</w:t>
            </w:r>
          </w:p>
          <w:p w14:paraId="00B11729" w14:textId="3CF450D0" w:rsidR="001B1411" w:rsidRPr="00DA7625" w:rsidRDefault="00283C5E">
            <w:pPr>
              <w:rPr>
                <w:rStyle w:val="InstructionsTabelleText"/>
                <w:rFonts w:ascii="Times New Roman" w:hAnsi="Times New Roman"/>
                <w:sz w:val="24"/>
              </w:rPr>
            </w:pPr>
            <w:r w:rsidRPr="00DA7625">
              <w:rPr>
                <w:rStyle w:val="InstructionsTabelleText"/>
                <w:rFonts w:ascii="Times New Roman" w:hAnsi="Times New Roman"/>
                <w:sz w:val="24"/>
              </w:rPr>
              <w:t>A fenti leányvállalatok esetében befolyásoló kisebbségi részesedésnek minősülnek a CRR szerinti konszolidáció körébe bevont vállalkozásokon kívüli személyek tulajdonában álló CET1 tőkeinstrumentumok, valamint az ezekhez kapcsolódó eredménytartalékok és ázsió.</w:t>
            </w:r>
          </w:p>
          <w:p w14:paraId="24D22AAE" w14:textId="77777777" w:rsidR="001B1411" w:rsidRPr="00DA7625" w:rsidRDefault="00464F34">
            <w:pPr>
              <w:rPr>
                <w:rStyle w:val="InstructionsTabelleberschrift"/>
                <w:rFonts w:ascii="Times New Roman" w:hAnsi="Times New Roman"/>
                <w:sz w:val="24"/>
              </w:rPr>
            </w:pPr>
            <w:r w:rsidRPr="00DA7625">
              <w:rPr>
                <w:rStyle w:val="InstructionsTabelleText"/>
                <w:rFonts w:ascii="Times New Roman" w:hAnsi="Times New Roman"/>
                <w:sz w:val="24"/>
              </w:rPr>
              <w:t>A feltüntetendő érték magában foglalja az átmeneti rendelkezések hatásait. Az adatszolgáltatás időpontjában figyelembe vehető összeg.</w:t>
            </w:r>
          </w:p>
        </w:tc>
      </w:tr>
      <w:tr w:rsidR="001B1411" w:rsidRPr="00DA7625" w14:paraId="472D0DEE" w14:textId="77777777" w:rsidTr="00672D2A">
        <w:tc>
          <w:tcPr>
            <w:tcW w:w="1188" w:type="dxa"/>
          </w:tcPr>
          <w:p w14:paraId="25C515A6"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200</w:t>
            </w:r>
          </w:p>
        </w:tc>
        <w:tc>
          <w:tcPr>
            <w:tcW w:w="8640" w:type="dxa"/>
          </w:tcPr>
          <w:p w14:paraId="14DC5916" w14:textId="77777777" w:rsidR="001B1411" w:rsidRPr="00DA7625" w:rsidRDefault="000044B7">
            <w:pPr>
              <w:rPr>
                <w:rStyle w:val="InstructionsTabelleberschrift"/>
                <w:rFonts w:ascii="Times New Roman" w:hAnsi="Times New Roman"/>
                <w:b w:val="0"/>
                <w:sz w:val="24"/>
              </w:rPr>
            </w:pPr>
            <w:r w:rsidRPr="00DA7625">
              <w:rPr>
                <w:rStyle w:val="InstructionsTabelleberschrift"/>
                <w:rFonts w:ascii="Times New Roman" w:hAnsi="Times New Roman"/>
                <w:sz w:val="24"/>
              </w:rPr>
              <w:t>KAPCSOLÓDÓ SZAVATOLÓTŐKE-INSTRUMENTUMOK, KAPCSOLÓDÓ EREDMÉNYTARTALÉKOK, NÉVÉRTÉKEN FELÜLI BEFIZETÉSEK ÉS EGYÉB TARTALÉKOK</w:t>
            </w:r>
          </w:p>
          <w:p w14:paraId="64525FAB" w14:textId="279497C4" w:rsidR="001B1411" w:rsidRPr="00DA7625" w:rsidRDefault="001E0C80">
            <w:pPr>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CRR 84. cikke (1) bekezdésének b) pontja</w:t>
            </w:r>
          </w:p>
        </w:tc>
      </w:tr>
      <w:tr w:rsidR="001B1411" w:rsidRPr="00DA7625" w14:paraId="1B3E3283" w14:textId="77777777" w:rsidTr="00672D2A">
        <w:tc>
          <w:tcPr>
            <w:tcW w:w="1188" w:type="dxa"/>
          </w:tcPr>
          <w:p w14:paraId="267C4DB6"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210</w:t>
            </w:r>
          </w:p>
        </w:tc>
        <w:tc>
          <w:tcPr>
            <w:tcW w:w="8640" w:type="dxa"/>
          </w:tcPr>
          <w:p w14:paraId="09BE0853"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AT1 TŐKE</w:t>
            </w:r>
          </w:p>
          <w:p w14:paraId="5A521D63" w14:textId="0A8EFD91" w:rsidR="001B1411" w:rsidRPr="00DA7625" w:rsidRDefault="00464F34">
            <w:pPr>
              <w:rPr>
                <w:rStyle w:val="InstructionsTabelleberschrift"/>
                <w:rFonts w:ascii="Times New Roman" w:hAnsi="Times New Roman"/>
                <w:sz w:val="24"/>
              </w:rPr>
            </w:pPr>
            <w:r w:rsidRPr="00DA7625">
              <w:rPr>
                <w:rStyle w:val="InstructionsTabelleText"/>
                <w:rFonts w:ascii="Times New Roman" w:hAnsi="Times New Roman"/>
                <w:sz w:val="24"/>
              </w:rPr>
              <w:t>A CRR 61. cikke</w:t>
            </w:r>
          </w:p>
        </w:tc>
      </w:tr>
      <w:tr w:rsidR="001B1411" w:rsidRPr="00DA7625" w14:paraId="0D6DAAD8" w14:textId="77777777" w:rsidTr="00672D2A">
        <w:tc>
          <w:tcPr>
            <w:tcW w:w="1188" w:type="dxa"/>
          </w:tcPr>
          <w:p w14:paraId="3C24935F"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220</w:t>
            </w:r>
          </w:p>
        </w:tc>
        <w:tc>
          <w:tcPr>
            <w:tcW w:w="8640" w:type="dxa"/>
          </w:tcPr>
          <w:p w14:paraId="62367DCC"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EBBŐL: AZ AT1 TŐKÉBE BESZÁMÍTHATÓ</w:t>
            </w:r>
          </w:p>
          <w:p w14:paraId="5F84F697" w14:textId="2AA26278"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 CRR 82. és 83. cikke</w:t>
            </w:r>
          </w:p>
          <w:p w14:paraId="0AF4E5E3" w14:textId="44D544D1"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Az oszlop kizárólag a teljeskörűen konszolidált intézményi leányvállalatok adatait tartalmazza, a CRR 85. cikkének (2) bekezdésében említett leányvállalatok kivételével. A CRR 85. cikkében előírt valamennyi számítás szempontjából az egyes leányvállalatokat adott esetben a 85. cikk (2) bekezdésének megfelelően szubkonszolidált alapon, egyéb esetekben egyedi alapon kell figyelembe venni.</w:t>
            </w:r>
          </w:p>
          <w:p w14:paraId="7023DF92" w14:textId="16A8A296" w:rsidR="001B1411" w:rsidRPr="00DA7625" w:rsidRDefault="00283C5E">
            <w:pPr>
              <w:rPr>
                <w:rStyle w:val="InstructionsTabelleText"/>
                <w:rFonts w:ascii="Times New Roman" w:hAnsi="Times New Roman"/>
                <w:sz w:val="24"/>
              </w:rPr>
            </w:pPr>
            <w:r w:rsidRPr="00DA7625">
              <w:rPr>
                <w:rStyle w:val="InstructionsTabelleText"/>
                <w:rFonts w:ascii="Times New Roman" w:hAnsi="Times New Roman"/>
                <w:sz w:val="24"/>
              </w:rPr>
              <w:t>A fenti leányvállalatok esetében kisebbségi részesedésnek minősülnek a CRR szerinti konszolidáció körébe bevont vállalkozásokon kívüli személyek tulajdonában álló AT1 tőkeinstrumentumok, valamint az ezekhez kapcsolódó eredménytartalékok és ázsió.</w:t>
            </w:r>
          </w:p>
          <w:p w14:paraId="2B44E764" w14:textId="77777777" w:rsidR="001B1411" w:rsidRPr="00DA7625" w:rsidRDefault="00464F34">
            <w:pPr>
              <w:rPr>
                <w:rStyle w:val="InstructionsTabelleberschrift"/>
                <w:rFonts w:ascii="Times New Roman" w:hAnsi="Times New Roman"/>
                <w:sz w:val="24"/>
              </w:rPr>
            </w:pPr>
            <w:r w:rsidRPr="00DA7625">
              <w:rPr>
                <w:rStyle w:val="InstructionsTabelleText"/>
                <w:rFonts w:ascii="Times New Roman" w:hAnsi="Times New Roman"/>
                <w:sz w:val="24"/>
              </w:rPr>
              <w:t>A feltüntetendő érték magában foglalja az átmeneti rendelkezések hatásait. Az adatszolgáltatás időpontjában figyelembe vehető összeg.</w:t>
            </w:r>
          </w:p>
        </w:tc>
      </w:tr>
      <w:tr w:rsidR="001B1411" w:rsidRPr="00DA7625" w14:paraId="4B4C9BD8" w14:textId="77777777" w:rsidTr="00672D2A">
        <w:tc>
          <w:tcPr>
            <w:tcW w:w="1188" w:type="dxa"/>
          </w:tcPr>
          <w:p w14:paraId="433FC6D5"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230</w:t>
            </w:r>
          </w:p>
        </w:tc>
        <w:tc>
          <w:tcPr>
            <w:tcW w:w="8640" w:type="dxa"/>
          </w:tcPr>
          <w:p w14:paraId="00BBB339"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T2 TŐKE</w:t>
            </w:r>
          </w:p>
          <w:p w14:paraId="3BD73D04" w14:textId="5E72256A" w:rsidR="001B1411" w:rsidRPr="00DA7625" w:rsidRDefault="00464F34">
            <w:pPr>
              <w:rPr>
                <w:rStyle w:val="InstructionsTabelleberschrift"/>
                <w:rFonts w:ascii="Times New Roman" w:hAnsi="Times New Roman"/>
                <w:sz w:val="24"/>
              </w:rPr>
            </w:pPr>
            <w:r w:rsidRPr="00DA7625">
              <w:rPr>
                <w:rStyle w:val="InstructionsTabelleText"/>
                <w:rFonts w:ascii="Times New Roman" w:hAnsi="Times New Roman"/>
                <w:bCs/>
                <w:sz w:val="24"/>
              </w:rPr>
              <w:t>A CRR 71. cikke</w:t>
            </w:r>
          </w:p>
        </w:tc>
      </w:tr>
      <w:tr w:rsidR="001B1411" w:rsidRPr="00DA7625" w14:paraId="20FFCE86" w14:textId="77777777" w:rsidTr="00672D2A">
        <w:tc>
          <w:tcPr>
            <w:tcW w:w="1188" w:type="dxa"/>
          </w:tcPr>
          <w:p w14:paraId="55038728"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240</w:t>
            </w:r>
          </w:p>
        </w:tc>
        <w:tc>
          <w:tcPr>
            <w:tcW w:w="8640" w:type="dxa"/>
          </w:tcPr>
          <w:p w14:paraId="0364F3A2"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EBBŐL: A T2 TŐKÉBE BESZÁMÍTHATÓ</w:t>
            </w:r>
          </w:p>
          <w:p w14:paraId="52E3491E" w14:textId="5C1233F0"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 CRR 82. és 83. cikke</w:t>
            </w:r>
          </w:p>
          <w:p w14:paraId="7478F7BC" w14:textId="6EAF6022"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lastRenderedPageBreak/>
              <w:t xml:space="preserve">Az oszlop csak a teljes mértékben konszolidált intézményi leányvállalatok adatait tartalmazza, a CRR 87. cikkének (2) bekezdésében említett leányvállalatok kivételével. A CRR 87. cikkében előírt valamennyi számítás szempontjából az egyes leányvállalatokat a CRR 87. cikke (2) bekezdésének alkalmazásakor szubkonszolidált alapon, egyéb esetekben egyedi alapon kell figyelembe venni. </w:t>
            </w:r>
          </w:p>
          <w:p w14:paraId="5FC4E074" w14:textId="5E39FF48" w:rsidR="001B1411" w:rsidRPr="00DA7625" w:rsidRDefault="00283C5E">
            <w:pPr>
              <w:rPr>
                <w:rStyle w:val="InstructionsTabelleText"/>
                <w:rFonts w:ascii="Times New Roman" w:hAnsi="Times New Roman"/>
                <w:sz w:val="24"/>
              </w:rPr>
            </w:pPr>
            <w:r w:rsidRPr="00DA7625">
              <w:rPr>
                <w:rStyle w:val="InstructionsTabelleText"/>
                <w:rFonts w:ascii="Times New Roman" w:hAnsi="Times New Roman"/>
                <w:sz w:val="24"/>
              </w:rPr>
              <w:t>A fenti leányvállalatok esetében kisebbségi részesedésnek minősülnek a CRR szerinti konszolidáció körébe bevont vállalkozásokon kívüli személyek tulajdonában álló T2 tőkeinstrumentumok, valamint az ezekhez kapcsolódó eredménytartalékok és ázsió.</w:t>
            </w:r>
          </w:p>
          <w:p w14:paraId="1EE3B768" w14:textId="5454B162"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 feltüntetendő érték magában foglalja az átmeneti rendelkezések hatásait, vagyis az az adatszolgáltatás időpontjában figyelembe vehető összeg.</w:t>
            </w:r>
          </w:p>
        </w:tc>
      </w:tr>
      <w:tr w:rsidR="001B1411" w:rsidRPr="00DA7625" w14:paraId="6ABC8CAA" w14:textId="77777777" w:rsidTr="00672D2A">
        <w:tc>
          <w:tcPr>
            <w:tcW w:w="1188" w:type="dxa"/>
          </w:tcPr>
          <w:p w14:paraId="10A2B7EF"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lastRenderedPageBreak/>
              <w:t>250–400</w:t>
            </w:r>
          </w:p>
        </w:tc>
        <w:tc>
          <w:tcPr>
            <w:tcW w:w="8640" w:type="dxa"/>
          </w:tcPr>
          <w:p w14:paraId="4D7709B7"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AZ EGYES SZERVEZETEKNEK A CSOPORTSZINTŰ SZAVATOLÓTŐKE-MEGFELELÉSHEZ VALÓ HOZZÁJÁRULÁSÁVAL KAPCSOLATOS INFORMÁCIÓK</w:t>
            </w:r>
          </w:p>
        </w:tc>
      </w:tr>
      <w:tr w:rsidR="001B1411" w:rsidRPr="00DA7625" w14:paraId="5ADF2F49" w14:textId="77777777" w:rsidTr="00672D2A">
        <w:tc>
          <w:tcPr>
            <w:tcW w:w="1188" w:type="dxa"/>
          </w:tcPr>
          <w:p w14:paraId="5E6D5822"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250-290</w:t>
            </w:r>
          </w:p>
        </w:tc>
        <w:tc>
          <w:tcPr>
            <w:tcW w:w="8640" w:type="dxa"/>
          </w:tcPr>
          <w:p w14:paraId="23DAEC4A"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KOCKÁZATI HOZZÁJÁRULÁS</w:t>
            </w:r>
          </w:p>
          <w:p w14:paraId="20A7A7DB" w14:textId="5025D6E4" w:rsidR="001B1411" w:rsidRPr="00DA7625" w:rsidRDefault="00464F34">
            <w:pPr>
              <w:rPr>
                <w:rStyle w:val="InstructionsTabelleberschrift"/>
                <w:rFonts w:ascii="Times New Roman" w:hAnsi="Times New Roman"/>
                <w:sz w:val="24"/>
              </w:rPr>
            </w:pPr>
            <w:r w:rsidRPr="00DA7625">
              <w:rPr>
                <w:rFonts w:ascii="Times New Roman" w:hAnsi="Times New Roman"/>
                <w:sz w:val="24"/>
              </w:rPr>
              <w:t>Az alábbi oszlopokban feltüntetett információkat az adatot szolgáltató intézményre vonatkozó tőkemegfelelési szabályok alapján kell megadni.</w:t>
            </w:r>
          </w:p>
        </w:tc>
      </w:tr>
      <w:tr w:rsidR="001B1411" w:rsidRPr="00DA7625" w14:paraId="3835BB5B" w14:textId="77777777" w:rsidTr="00672D2A">
        <w:tc>
          <w:tcPr>
            <w:tcW w:w="1188" w:type="dxa"/>
          </w:tcPr>
          <w:p w14:paraId="3F25DC3C"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250</w:t>
            </w:r>
          </w:p>
        </w:tc>
        <w:tc>
          <w:tcPr>
            <w:tcW w:w="8640" w:type="dxa"/>
          </w:tcPr>
          <w:p w14:paraId="2A7EC609"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TELJES KOCKÁZATI KITETTSÉGÉRTÉK</w:t>
            </w:r>
          </w:p>
          <w:p w14:paraId="5C8011BF" w14:textId="77777777" w:rsidR="001B1411" w:rsidRPr="00DA7625" w:rsidRDefault="00464F34">
            <w:pPr>
              <w:rPr>
                <w:rStyle w:val="InstructionsTabelleberschrift"/>
                <w:rFonts w:ascii="Times New Roman" w:hAnsi="Times New Roman"/>
                <w:sz w:val="24"/>
              </w:rPr>
            </w:pPr>
            <w:r w:rsidRPr="00DA7625">
              <w:rPr>
                <w:rStyle w:val="InstructionsTabelleText"/>
                <w:rFonts w:ascii="Times New Roman" w:hAnsi="Times New Roman"/>
                <w:sz w:val="24"/>
              </w:rPr>
              <w:t>A 260–290. oszlopok összegét kell megadni.</w:t>
            </w:r>
          </w:p>
        </w:tc>
      </w:tr>
      <w:tr w:rsidR="001B1411" w:rsidRPr="00DA7625" w14:paraId="3B6FA67E" w14:textId="77777777" w:rsidTr="00672D2A">
        <w:tc>
          <w:tcPr>
            <w:tcW w:w="1188" w:type="dxa"/>
          </w:tcPr>
          <w:p w14:paraId="00616C47"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260</w:t>
            </w:r>
          </w:p>
        </w:tc>
        <w:tc>
          <w:tcPr>
            <w:tcW w:w="8640" w:type="dxa"/>
          </w:tcPr>
          <w:p w14:paraId="34838795"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HITELKOCKÁZAT; PARTNERKOCKÁZAT; FELHÍGULÁSI KOCKÁZAT, NYITVA SZÁLLÍTÁSOK, ELSZÁMOLÁSI/TELJESÍTÉSI KOCKÁZAT</w:t>
            </w:r>
          </w:p>
          <w:p w14:paraId="34F523EA" w14:textId="7BD0D3F0"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 feltüntetendő érték a kockázattal súlyozott hitelkockázati kitettségérték, valamint az elszámolási/teljesítési kockázatra vonatkozó, CRR szerinti szavatolótőke-követelmények összege, a más szervezetekkel bonyolított ügyletekhez kapcsolódó, a csoportszintű konszolidált szolvenciamutató kiszámításakor figyelembe vett összegek nélkül.</w:t>
            </w:r>
          </w:p>
        </w:tc>
      </w:tr>
      <w:tr w:rsidR="001B1411" w:rsidRPr="00DA7625" w14:paraId="2B29E8BD" w14:textId="77777777" w:rsidTr="00672D2A">
        <w:tc>
          <w:tcPr>
            <w:tcW w:w="1188" w:type="dxa"/>
          </w:tcPr>
          <w:p w14:paraId="45530B7C"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270</w:t>
            </w:r>
          </w:p>
        </w:tc>
        <w:tc>
          <w:tcPr>
            <w:tcW w:w="8640" w:type="dxa"/>
          </w:tcPr>
          <w:p w14:paraId="1DEC7A7A"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POZÍCIÓKOCKÁZAT, DEVIZAÁRFOLYAM-KOCKÁZAT ÉS ÁRUKOCKÁZAT</w:t>
            </w:r>
          </w:p>
          <w:p w14:paraId="1423596A" w14:textId="0EE4E452" w:rsidR="001B1411" w:rsidRPr="00DA7625" w:rsidRDefault="00464F34">
            <w:pPr>
              <w:pStyle w:val="Texte2"/>
              <w:ind w:left="0"/>
              <w:rPr>
                <w:rStyle w:val="InstructionsTabelleText"/>
                <w:rFonts w:ascii="Times New Roman" w:hAnsi="Times New Roman"/>
                <w:sz w:val="24"/>
                <w:szCs w:val="24"/>
              </w:rPr>
            </w:pPr>
            <w:r w:rsidRPr="00DA7625">
              <w:rPr>
                <w:rStyle w:val="InstructionsTabelleText"/>
                <w:rFonts w:ascii="Times New Roman" w:hAnsi="Times New Roman"/>
                <w:sz w:val="24"/>
                <w:szCs w:val="24"/>
              </w:rPr>
              <w:t>A piaci kockázatra vonatkozó kockázati kitettségértékeket az egyes szervezetek szintjén a CRR szerint kell kiszámítani. A szervezeteknek a pozíciókockázat, devizaárfolyam-kockázat és árukockázat csoportszintű teljes kockázati kitettségértékéhez való hozzájárulásukat kell megadniuk. Az itt feltüntetendő érték megegyezik a konszolidált jelentés 520-as sorában (A POZÍCIÓKOCKÁZAT, DEVIZAÁRFOLYAM-KOCKÁZAT ÉS ÁRUKOCKÁZAT TELJES KOCKÁZATI KITETTSÉGÉRTÉKE) megadott összeggel.</w:t>
            </w:r>
          </w:p>
        </w:tc>
      </w:tr>
      <w:tr w:rsidR="001B1411" w:rsidRPr="00DA7625" w14:paraId="567D1146" w14:textId="77777777" w:rsidTr="00672D2A">
        <w:tc>
          <w:tcPr>
            <w:tcW w:w="1188" w:type="dxa"/>
          </w:tcPr>
          <w:p w14:paraId="01D25B1A"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280</w:t>
            </w:r>
          </w:p>
        </w:tc>
        <w:tc>
          <w:tcPr>
            <w:tcW w:w="8640" w:type="dxa"/>
          </w:tcPr>
          <w:p w14:paraId="7DFDB003"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MŰKÖDÉSI KOCKÁZAT</w:t>
            </w:r>
          </w:p>
          <w:p w14:paraId="08564C72"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Fejlett mérési módszerek (AMA) alkalmazásakor a működési kockázatra vonatkozóan megadott kockázati kitettségértékeknek magukban kell foglalniuk a diverzifikáció hatásait is.</w:t>
            </w:r>
          </w:p>
          <w:p w14:paraId="71BF6470" w14:textId="77777777" w:rsidR="001B1411" w:rsidRPr="00DA7625" w:rsidRDefault="00464F34">
            <w:pPr>
              <w:rPr>
                <w:rStyle w:val="InstructionsTabelleText"/>
                <w:rFonts w:ascii="Times New Roman" w:hAnsi="Times New Roman"/>
                <w:sz w:val="24"/>
              </w:rPr>
            </w:pPr>
            <w:r w:rsidRPr="00DA7625">
              <w:rPr>
                <w:rFonts w:ascii="Times New Roman" w:hAnsi="Times New Roman"/>
                <w:sz w:val="24"/>
              </w:rPr>
              <w:t xml:space="preserve">A </w:t>
            </w:r>
            <w:r w:rsidRPr="00DA7625">
              <w:rPr>
                <w:rFonts w:ascii="Times New Roman" w:hAnsi="Times New Roman"/>
                <w:caps/>
                <w:sz w:val="24"/>
              </w:rPr>
              <w:t>f</w:t>
            </w:r>
            <w:r w:rsidRPr="00DA7625">
              <w:rPr>
                <w:rFonts w:ascii="Times New Roman" w:hAnsi="Times New Roman"/>
                <w:sz w:val="24"/>
              </w:rPr>
              <w:t>ix működési költségeket ebben az oszlopban kell feltüntetni.</w:t>
            </w:r>
          </w:p>
        </w:tc>
      </w:tr>
      <w:tr w:rsidR="001B1411" w:rsidRPr="00DA7625" w14:paraId="7E363AA4" w14:textId="77777777" w:rsidTr="00672D2A">
        <w:tc>
          <w:tcPr>
            <w:tcW w:w="1188" w:type="dxa"/>
          </w:tcPr>
          <w:p w14:paraId="170C9C8C"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290</w:t>
            </w:r>
          </w:p>
        </w:tc>
        <w:tc>
          <w:tcPr>
            <w:tcW w:w="8640" w:type="dxa"/>
          </w:tcPr>
          <w:p w14:paraId="59DE72D6"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EGYÉB KOCKÁZATI KITETTSÉGÉRTÉKEK</w:t>
            </w:r>
          </w:p>
          <w:p w14:paraId="45E85CA0" w14:textId="717F1DFC" w:rsidR="001B1411" w:rsidRPr="00DA7625" w:rsidRDefault="00464F34">
            <w:pPr>
              <w:rPr>
                <w:rStyle w:val="InstructionsTabelleberschrift"/>
                <w:rFonts w:ascii="Times New Roman" w:hAnsi="Times New Roman"/>
                <w:sz w:val="24"/>
              </w:rPr>
            </w:pPr>
            <w:r w:rsidRPr="00DA7625">
              <w:rPr>
                <w:rStyle w:val="InstructionsTabelleText"/>
                <w:rFonts w:ascii="Times New Roman" w:hAnsi="Times New Roman"/>
                <w:sz w:val="24"/>
              </w:rPr>
              <w:lastRenderedPageBreak/>
              <w:t>Az ebben az oszlopban feltüntetendő érték a fentiekben felsoroltaktól eltérő kockázatokhoz kapcsolódó kitettségértékeket foglalja magában.</w:t>
            </w:r>
          </w:p>
        </w:tc>
      </w:tr>
      <w:tr w:rsidR="001B1411" w:rsidRPr="00DA7625" w14:paraId="6F963242" w14:textId="77777777" w:rsidTr="00672D2A">
        <w:tc>
          <w:tcPr>
            <w:tcW w:w="1188" w:type="dxa"/>
          </w:tcPr>
          <w:p w14:paraId="0174A197"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lastRenderedPageBreak/>
              <w:t>300–400</w:t>
            </w:r>
          </w:p>
        </w:tc>
        <w:tc>
          <w:tcPr>
            <w:tcW w:w="8640" w:type="dxa"/>
          </w:tcPr>
          <w:p w14:paraId="7267C2A4"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HOZZÁJÁRULÁS A SZAVATOLÓTŐKÉHEZ</w:t>
            </w:r>
          </w:p>
          <w:p w14:paraId="11A314E7" w14:textId="52C2BC47" w:rsidR="001B1411" w:rsidRPr="00DA7625" w:rsidRDefault="00464F34">
            <w:pPr>
              <w:pStyle w:val="Texte2"/>
              <w:ind w:left="0"/>
              <w:rPr>
                <w:rStyle w:val="InstructionsTabelleText"/>
                <w:rFonts w:ascii="Times New Roman" w:hAnsi="Times New Roman"/>
                <w:sz w:val="24"/>
                <w:szCs w:val="24"/>
              </w:rPr>
            </w:pPr>
            <w:r w:rsidRPr="00DA7625">
              <w:rPr>
                <w:rStyle w:val="InstructionsTabelleText"/>
                <w:rFonts w:ascii="Times New Roman" w:hAnsi="Times New Roman"/>
                <w:sz w:val="24"/>
                <w:szCs w:val="24"/>
              </w:rPr>
              <w:t xml:space="preserve">A tábla e része nem írja elő az intézmények számára, hogy az egyes szervezetek szintjén teljeskörűen kiszámítsák a tőkemegfelelési mutatót. </w:t>
            </w:r>
          </w:p>
          <w:p w14:paraId="3865A295" w14:textId="52B4542C" w:rsidR="001B1411" w:rsidRPr="00DA7625" w:rsidRDefault="00144F03">
            <w:pPr>
              <w:pStyle w:val="Texte2"/>
              <w:ind w:left="0"/>
              <w:rPr>
                <w:rStyle w:val="InstructionsTabelleText"/>
                <w:rFonts w:ascii="Times New Roman" w:hAnsi="Times New Roman"/>
                <w:sz w:val="24"/>
                <w:szCs w:val="24"/>
              </w:rPr>
            </w:pPr>
            <w:r w:rsidRPr="00DA7625">
              <w:rPr>
                <w:rFonts w:ascii="Times New Roman" w:hAnsi="Times New Roman"/>
                <w:sz w:val="24"/>
                <w:szCs w:val="24"/>
              </w:rPr>
              <w:t>A 300–350. oszlopot azon konszolidált szervezetek esetében kell kitölteni, amelyek a szavatolótőkéhez kisebbségi részesedéssel, a T1 tőkébe beszámítható vagy a szavatolótőkébe beszámítható tőkével járulnak hozzá. A II. rész 2.3. fejezetének utolsó bekezdésében említett küszöbérték függvényében a 360–400. oszlopot minden olyan konszolidált szervezetre vonatkozóan ki kell tölteni, amely hozzájárul a konszolidált szavatolótőkéhez.</w:t>
            </w:r>
          </w:p>
          <w:p w14:paraId="2E1AFE9A" w14:textId="6B0DEE1A" w:rsidR="001B1411" w:rsidRPr="00DA7625" w:rsidRDefault="00464F34">
            <w:pPr>
              <w:pStyle w:val="Texte2"/>
              <w:ind w:left="0"/>
              <w:rPr>
                <w:rStyle w:val="InstructionsTabelleText"/>
                <w:rFonts w:ascii="Times New Roman" w:hAnsi="Times New Roman"/>
                <w:sz w:val="24"/>
                <w:szCs w:val="24"/>
              </w:rPr>
            </w:pPr>
            <w:r w:rsidRPr="00DA7625">
              <w:rPr>
                <w:rStyle w:val="InstructionsTabelleText"/>
                <w:rFonts w:ascii="Times New Roman" w:hAnsi="Times New Roman"/>
                <w:sz w:val="24"/>
                <w:szCs w:val="24"/>
              </w:rPr>
              <w:t xml:space="preserve">Egy szervezet számára az adatszolgáltató intézmény körébe vont egyéb szervezetek által biztosított szavatolótőke nem vehető figyelembe; az oszlopban kizárólag a csoport szavatolótőkéjéhez való nettó hozzájárulás, főként a harmadik felektől és a felhalmozott tartalékokból származó szavatolótőke adható meg. </w:t>
            </w:r>
          </w:p>
          <w:p w14:paraId="5CA636EE" w14:textId="10745EA6" w:rsidR="001B1411" w:rsidRPr="00DA7625" w:rsidRDefault="00464F34">
            <w:pPr>
              <w:pStyle w:val="Texte2"/>
              <w:spacing w:after="120"/>
              <w:ind w:left="0"/>
              <w:rPr>
                <w:rStyle w:val="InstructionsTabelleberschrift"/>
                <w:rFonts w:ascii="Times New Roman" w:hAnsi="Times New Roman"/>
                <w:b w:val="0"/>
                <w:bCs w:val="0"/>
                <w:sz w:val="24"/>
                <w:szCs w:val="24"/>
              </w:rPr>
            </w:pPr>
            <w:r w:rsidRPr="00DA7625">
              <w:rPr>
                <w:rStyle w:val="InstructionsTabelleText"/>
                <w:rFonts w:ascii="Times New Roman" w:hAnsi="Times New Roman"/>
                <w:sz w:val="24"/>
                <w:szCs w:val="24"/>
              </w:rPr>
              <w:t>Az alábbi oszlopokban feltüntetett információkat az adatot szolgáltató intézményre vonatkozó tőkemegfelelési szabályok alapján kell megadni.</w:t>
            </w:r>
          </w:p>
        </w:tc>
      </w:tr>
      <w:tr w:rsidR="001B1411" w:rsidRPr="00DA7625" w14:paraId="3BEFC5EB" w14:textId="77777777" w:rsidTr="00672D2A">
        <w:tc>
          <w:tcPr>
            <w:tcW w:w="1188" w:type="dxa"/>
          </w:tcPr>
          <w:p w14:paraId="7012FA18"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300–350</w:t>
            </w:r>
          </w:p>
        </w:tc>
        <w:tc>
          <w:tcPr>
            <w:tcW w:w="8640" w:type="dxa"/>
          </w:tcPr>
          <w:p w14:paraId="23116F1E"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A KONSZOLIDÁLT SZAVATOLÓTŐKE RÉSZÉT KÉPEZŐ, A SZAVATOLÓTŐKÉBE BESZÁMÍTHATÓ TŐKE</w:t>
            </w:r>
          </w:p>
          <w:p w14:paraId="6EE0AA3D" w14:textId="5B5FBBE1" w:rsidR="001B1411" w:rsidRPr="00DA7625" w:rsidRDefault="00464F34">
            <w:pPr>
              <w:rPr>
                <w:rStyle w:val="InstructionsTabelleberschrift"/>
                <w:rFonts w:ascii="Times New Roman" w:hAnsi="Times New Roman"/>
                <w:sz w:val="24"/>
              </w:rPr>
            </w:pPr>
            <w:r w:rsidRPr="00DA7625">
              <w:rPr>
                <w:rStyle w:val="InstructionsTabelleText"/>
                <w:rFonts w:ascii="Times New Roman" w:hAnsi="Times New Roman"/>
                <w:sz w:val="24"/>
              </w:rPr>
              <w:t>A „KONSZOLIDÁLT SZAVATOLÓTŐKE RÉSZÉT KÉPEZŐ, A SZAVATOLÓTŐKÉBE BESZÁMÍTHATÓ TŐKE” alatt feltüntetendő érték a CRR második részének II. címéből származó összeg, a csoport más szervezetei által rendelkezésre bocsátott források nélkül.</w:t>
            </w:r>
          </w:p>
        </w:tc>
      </w:tr>
      <w:tr w:rsidR="001B1411" w:rsidRPr="00DA7625" w14:paraId="1790E500" w14:textId="77777777" w:rsidTr="00672D2A">
        <w:tc>
          <w:tcPr>
            <w:tcW w:w="1188" w:type="dxa"/>
          </w:tcPr>
          <w:p w14:paraId="7888A79A" w14:textId="77777777" w:rsidR="001B1411" w:rsidRPr="00DA7625" w:rsidRDefault="00464F34">
            <w:pPr>
              <w:rPr>
                <w:rStyle w:val="InstructionsTabelleText"/>
                <w:rFonts w:ascii="Times New Roman" w:hAnsi="Times New Roman"/>
                <w:sz w:val="24"/>
              </w:rPr>
            </w:pPr>
            <w:r w:rsidRPr="00DA7625">
              <w:rPr>
                <w:rFonts w:ascii="Times New Roman" w:hAnsi="Times New Roman"/>
                <w:sz w:val="24"/>
              </w:rPr>
              <w:t>300</w:t>
            </w:r>
          </w:p>
        </w:tc>
        <w:tc>
          <w:tcPr>
            <w:tcW w:w="8640" w:type="dxa"/>
          </w:tcPr>
          <w:p w14:paraId="2D92B9FB"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A KONSZOLIDÁLT SZAVATOLÓTŐKE RÉSZÉT KÉPEZŐ, A SZAVATOLÓTŐKÉBE BESZÁMÍTHATÓ TŐKE</w:t>
            </w:r>
          </w:p>
          <w:p w14:paraId="70F58F8C" w14:textId="02B77BB6"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 CRR 87. cikke</w:t>
            </w:r>
          </w:p>
        </w:tc>
      </w:tr>
      <w:tr w:rsidR="001B1411" w:rsidRPr="00DA7625" w14:paraId="5C01EE84" w14:textId="77777777" w:rsidTr="00672D2A">
        <w:tc>
          <w:tcPr>
            <w:tcW w:w="1188" w:type="dxa"/>
          </w:tcPr>
          <w:p w14:paraId="2CADDD49" w14:textId="77777777" w:rsidR="001B1411" w:rsidRPr="00DA7625" w:rsidRDefault="00464F34">
            <w:pPr>
              <w:rPr>
                <w:rStyle w:val="InstructionsTabelleText"/>
                <w:rFonts w:ascii="Times New Roman" w:hAnsi="Times New Roman"/>
                <w:sz w:val="24"/>
              </w:rPr>
            </w:pPr>
            <w:r w:rsidRPr="00DA7625">
              <w:rPr>
                <w:rFonts w:ascii="Times New Roman" w:hAnsi="Times New Roman"/>
                <w:sz w:val="24"/>
              </w:rPr>
              <w:t>310</w:t>
            </w:r>
          </w:p>
        </w:tc>
        <w:tc>
          <w:tcPr>
            <w:tcW w:w="8640" w:type="dxa"/>
          </w:tcPr>
          <w:p w14:paraId="250EFA69"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A KONSZOLIDÁLT T1 TŐKE RÉSZÉT KÉPEZŐ, A T1 TŐKÉBE BESZÁMÍTHATÓ INSTRUMENTUMOK</w:t>
            </w:r>
          </w:p>
          <w:p w14:paraId="4AA94D29" w14:textId="5411A7D8"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 CRR 85. cikke</w:t>
            </w:r>
          </w:p>
        </w:tc>
      </w:tr>
      <w:tr w:rsidR="001B1411" w:rsidRPr="00DA7625" w14:paraId="51C2388F" w14:textId="77777777" w:rsidTr="00672D2A">
        <w:tc>
          <w:tcPr>
            <w:tcW w:w="1188" w:type="dxa"/>
          </w:tcPr>
          <w:p w14:paraId="512828E0" w14:textId="77777777" w:rsidR="001B1411" w:rsidRPr="00DA7625" w:rsidRDefault="00464F34">
            <w:pPr>
              <w:rPr>
                <w:rStyle w:val="InstructionsTabelleText"/>
                <w:rFonts w:ascii="Times New Roman" w:hAnsi="Times New Roman"/>
                <w:sz w:val="24"/>
              </w:rPr>
            </w:pPr>
            <w:r w:rsidRPr="00DA7625">
              <w:rPr>
                <w:rFonts w:ascii="Times New Roman" w:hAnsi="Times New Roman"/>
                <w:sz w:val="24"/>
              </w:rPr>
              <w:t>320</w:t>
            </w:r>
          </w:p>
        </w:tc>
        <w:tc>
          <w:tcPr>
            <w:tcW w:w="8640" w:type="dxa"/>
          </w:tcPr>
          <w:p w14:paraId="0CB4FAEF" w14:textId="77777777" w:rsidR="001B1411" w:rsidRPr="00DA7625" w:rsidRDefault="00464F34">
            <w:pPr>
              <w:rPr>
                <w:rStyle w:val="InstructionsTabelleText"/>
                <w:rFonts w:ascii="Times New Roman" w:hAnsi="Times New Roman"/>
                <w:sz w:val="24"/>
              </w:rPr>
            </w:pPr>
            <w:r w:rsidRPr="00DA7625">
              <w:rPr>
                <w:rStyle w:val="InstructionsTabelleberschrift"/>
                <w:rFonts w:ascii="Times New Roman" w:hAnsi="Times New Roman"/>
                <w:sz w:val="24"/>
              </w:rPr>
              <w:t>A KONSZOLIDÁLT CET1 TŐKE RÉSZÉT KÉPEZŐ KISEBBSÉGI RÉSZESEDÉSEK</w:t>
            </w:r>
          </w:p>
          <w:p w14:paraId="160B6956" w14:textId="4460E230"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 CRR 84. cikke</w:t>
            </w:r>
          </w:p>
          <w:p w14:paraId="4ED4B8CC" w14:textId="3DFB9CD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 xml:space="preserve">A feltüntetendő érték a leányvállalat kisebbségi részesedésének CRR szerint a konszolidált CET1 tőkébe beszámított összege. </w:t>
            </w:r>
          </w:p>
        </w:tc>
      </w:tr>
      <w:tr w:rsidR="001B1411" w:rsidRPr="00DA7625" w14:paraId="1D8D9731" w14:textId="77777777" w:rsidTr="00672D2A">
        <w:tc>
          <w:tcPr>
            <w:tcW w:w="1188" w:type="dxa"/>
          </w:tcPr>
          <w:p w14:paraId="2300A69C" w14:textId="77777777" w:rsidR="001B1411" w:rsidRPr="00DA7625" w:rsidRDefault="00464F34">
            <w:pPr>
              <w:rPr>
                <w:rStyle w:val="InstructionsTabelleText"/>
                <w:rFonts w:ascii="Times New Roman" w:hAnsi="Times New Roman"/>
                <w:sz w:val="24"/>
              </w:rPr>
            </w:pPr>
            <w:r w:rsidRPr="00DA7625">
              <w:rPr>
                <w:rFonts w:ascii="Times New Roman" w:hAnsi="Times New Roman"/>
                <w:sz w:val="24"/>
              </w:rPr>
              <w:t>330</w:t>
            </w:r>
          </w:p>
        </w:tc>
        <w:tc>
          <w:tcPr>
            <w:tcW w:w="8640" w:type="dxa"/>
          </w:tcPr>
          <w:p w14:paraId="6B046E49" w14:textId="77777777" w:rsidR="001B1411" w:rsidRPr="00DA7625" w:rsidRDefault="00464F34">
            <w:pPr>
              <w:rPr>
                <w:rStyle w:val="InstructionsTabelleText"/>
                <w:rFonts w:ascii="Times New Roman" w:hAnsi="Times New Roman"/>
                <w:sz w:val="24"/>
              </w:rPr>
            </w:pPr>
            <w:r w:rsidRPr="00DA7625">
              <w:rPr>
                <w:rStyle w:val="InstructionsTabelleberschrift"/>
                <w:rFonts w:ascii="Times New Roman" w:hAnsi="Times New Roman"/>
                <w:sz w:val="24"/>
              </w:rPr>
              <w:t>A KONSZOLIDÁLT AT1 TŐKE RÉSZÉT KÉPEZŐ, A T1 TŐKÉBE BESZÁMÍTHATÓ INSTRUMENTUMOK</w:t>
            </w:r>
          </w:p>
          <w:p w14:paraId="2407C887" w14:textId="78BCAD88"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 CRR 86. cikke</w:t>
            </w:r>
          </w:p>
          <w:p w14:paraId="59A4ACFF" w14:textId="1592C3E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 xml:space="preserve">A feltüntetendő érték a leányvállalat T1 tőkébe beszámítható tőkéjének, a CRR szerint a konszolidált AT1 tőkébe beszámított összege. </w:t>
            </w:r>
          </w:p>
        </w:tc>
      </w:tr>
      <w:tr w:rsidR="001B1411" w:rsidRPr="00DA7625" w14:paraId="129BF993" w14:textId="77777777" w:rsidTr="00672D2A">
        <w:tc>
          <w:tcPr>
            <w:tcW w:w="1188" w:type="dxa"/>
          </w:tcPr>
          <w:p w14:paraId="5BEE037F" w14:textId="77777777" w:rsidR="001B1411" w:rsidRPr="00DA7625" w:rsidRDefault="00464F34">
            <w:pPr>
              <w:rPr>
                <w:rStyle w:val="InstructionsTabelleText"/>
                <w:rFonts w:ascii="Times New Roman" w:hAnsi="Times New Roman"/>
                <w:sz w:val="24"/>
              </w:rPr>
            </w:pPr>
            <w:r w:rsidRPr="00DA7625">
              <w:rPr>
                <w:rFonts w:ascii="Times New Roman" w:hAnsi="Times New Roman"/>
                <w:sz w:val="24"/>
              </w:rPr>
              <w:lastRenderedPageBreak/>
              <w:t>340</w:t>
            </w:r>
          </w:p>
        </w:tc>
        <w:tc>
          <w:tcPr>
            <w:tcW w:w="8640" w:type="dxa"/>
          </w:tcPr>
          <w:p w14:paraId="55091107"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A KONSZOLIDÁLT T2 TŐKE RÉSZÉT KÉPEZŐ, A SZAVATOLÓTŐKÉBE BESZÁMÍTHATÓ INSTRUMENTUMOK</w:t>
            </w:r>
          </w:p>
          <w:p w14:paraId="57DF16FA" w14:textId="3A7244DE"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 CRR 88. cikke</w:t>
            </w:r>
          </w:p>
          <w:p w14:paraId="24816211" w14:textId="4E2903A0"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 xml:space="preserve">A feltüntetendő érték a leányvállalat szavatolótőkébe beszámítható tőkéjének, a CRR szerint a konszolidált T2 tőkébe beszámított összege. </w:t>
            </w:r>
          </w:p>
        </w:tc>
      </w:tr>
      <w:tr w:rsidR="001B1411" w:rsidRPr="00DA7625" w14:paraId="2AE56A3E" w14:textId="77777777" w:rsidTr="00672D2A">
        <w:tc>
          <w:tcPr>
            <w:tcW w:w="1188" w:type="dxa"/>
          </w:tcPr>
          <w:p w14:paraId="04C23640" w14:textId="77777777" w:rsidR="001B1411" w:rsidRPr="00DA7625" w:rsidRDefault="00464F34">
            <w:pPr>
              <w:rPr>
                <w:rFonts w:ascii="Times New Roman" w:hAnsi="Times New Roman"/>
                <w:sz w:val="24"/>
              </w:rPr>
            </w:pPr>
            <w:r w:rsidRPr="00DA7625">
              <w:rPr>
                <w:rFonts w:ascii="Times New Roman" w:hAnsi="Times New Roman"/>
                <w:sz w:val="24"/>
              </w:rPr>
              <w:t>350</w:t>
            </w:r>
          </w:p>
        </w:tc>
        <w:tc>
          <w:tcPr>
            <w:tcW w:w="8640" w:type="dxa"/>
          </w:tcPr>
          <w:p w14:paraId="29A7F16B" w14:textId="77777777" w:rsidR="001B1411" w:rsidRPr="00DA7625" w:rsidRDefault="00464F34">
            <w:pPr>
              <w:rPr>
                <w:rStyle w:val="InstructionsTabelleberschrift"/>
                <w:rFonts w:ascii="Times New Roman" w:hAnsi="Times New Roman"/>
                <w:b w:val="0"/>
                <w:sz w:val="24"/>
              </w:rPr>
            </w:pPr>
            <w:r w:rsidRPr="00DA7625">
              <w:rPr>
                <w:rStyle w:val="InstructionsTabelleberschrift"/>
                <w:rFonts w:ascii="Times New Roman" w:hAnsi="Times New Roman"/>
                <w:sz w:val="24"/>
              </w:rPr>
              <w:t>TÁJÉKOZTATÓ ADAT: (–) CÉGÉRTÉK / (+) NEGATÍV CÉGÉRTÉK</w:t>
            </w:r>
          </w:p>
        </w:tc>
      </w:tr>
      <w:tr w:rsidR="001B1411" w:rsidRPr="00DA7625" w14:paraId="1058F454" w14:textId="77777777" w:rsidTr="00672D2A">
        <w:tc>
          <w:tcPr>
            <w:tcW w:w="1188" w:type="dxa"/>
          </w:tcPr>
          <w:p w14:paraId="3E29943B" w14:textId="77777777" w:rsidR="001B1411" w:rsidRPr="00DA7625" w:rsidRDefault="00464F34">
            <w:pPr>
              <w:rPr>
                <w:rFonts w:ascii="Times New Roman" w:hAnsi="Times New Roman"/>
                <w:sz w:val="24"/>
              </w:rPr>
            </w:pPr>
            <w:r w:rsidRPr="00DA7625">
              <w:rPr>
                <w:rFonts w:ascii="Times New Roman" w:hAnsi="Times New Roman"/>
                <w:sz w:val="24"/>
              </w:rPr>
              <w:t>360–400</w:t>
            </w:r>
          </w:p>
        </w:tc>
        <w:tc>
          <w:tcPr>
            <w:tcW w:w="8640" w:type="dxa"/>
          </w:tcPr>
          <w:p w14:paraId="5C286EC1"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KONSZOLIDÁLT SZAVATOLÓTŐKE</w:t>
            </w:r>
          </w:p>
          <w:p w14:paraId="162DBB5B" w14:textId="77777777" w:rsidR="001B1411" w:rsidRPr="00DA7625" w:rsidRDefault="00144F03">
            <w:pPr>
              <w:rPr>
                <w:rStyle w:val="InstructionsTabelleText"/>
                <w:rFonts w:ascii="Times New Roman" w:hAnsi="Times New Roman"/>
                <w:sz w:val="24"/>
              </w:rPr>
            </w:pPr>
            <w:r w:rsidRPr="00DA7625">
              <w:rPr>
                <w:rStyle w:val="InstructionsTabelleText"/>
                <w:rFonts w:ascii="Times New Roman" w:hAnsi="Times New Roman"/>
                <w:sz w:val="24"/>
              </w:rPr>
              <w:t>A CRR 18. cikke</w:t>
            </w:r>
          </w:p>
          <w:p w14:paraId="73795258" w14:textId="167CFAA0"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A „KONSZOLIDÁLT SZAVATOLÓTŐKE” alatt feltüntetendő érték a mérlegből származó összeg, a csoport más szervezetei által rendelkezésre bocsátott források nélkül.</w:t>
            </w:r>
          </w:p>
        </w:tc>
      </w:tr>
      <w:tr w:rsidR="001B1411" w:rsidRPr="00DA7625" w14:paraId="5AA67888" w14:textId="77777777" w:rsidTr="00672D2A">
        <w:tc>
          <w:tcPr>
            <w:tcW w:w="1188" w:type="dxa"/>
          </w:tcPr>
          <w:p w14:paraId="3FA205D2" w14:textId="77777777" w:rsidR="001B1411" w:rsidRPr="00DA7625" w:rsidRDefault="00464F34">
            <w:pPr>
              <w:rPr>
                <w:rFonts w:ascii="Times New Roman" w:hAnsi="Times New Roman"/>
                <w:sz w:val="24"/>
              </w:rPr>
            </w:pPr>
            <w:r w:rsidRPr="00DA7625">
              <w:rPr>
                <w:rFonts w:ascii="Times New Roman" w:hAnsi="Times New Roman"/>
                <w:sz w:val="24"/>
              </w:rPr>
              <w:t>360</w:t>
            </w:r>
          </w:p>
        </w:tc>
        <w:tc>
          <w:tcPr>
            <w:tcW w:w="8640" w:type="dxa"/>
          </w:tcPr>
          <w:p w14:paraId="45C611D2"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KONSZOLIDÁLT SZAVATOLÓTŐKE</w:t>
            </w:r>
          </w:p>
        </w:tc>
      </w:tr>
      <w:tr w:rsidR="001B1411" w:rsidRPr="00DA7625" w14:paraId="60B6ED66" w14:textId="77777777" w:rsidTr="00672D2A">
        <w:tc>
          <w:tcPr>
            <w:tcW w:w="1188" w:type="dxa"/>
          </w:tcPr>
          <w:p w14:paraId="3F6AF20B" w14:textId="77777777" w:rsidR="001B1411" w:rsidRPr="00DA7625" w:rsidRDefault="00464F34">
            <w:pPr>
              <w:rPr>
                <w:rFonts w:ascii="Times New Roman" w:hAnsi="Times New Roman"/>
                <w:sz w:val="24"/>
              </w:rPr>
            </w:pPr>
            <w:r w:rsidRPr="00DA7625">
              <w:rPr>
                <w:rFonts w:ascii="Times New Roman" w:hAnsi="Times New Roman"/>
                <w:sz w:val="24"/>
              </w:rPr>
              <w:t>370</w:t>
            </w:r>
          </w:p>
        </w:tc>
        <w:tc>
          <w:tcPr>
            <w:tcW w:w="8640" w:type="dxa"/>
          </w:tcPr>
          <w:p w14:paraId="04D45469"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EBBŐL: CET1 TŐKE</w:t>
            </w:r>
          </w:p>
        </w:tc>
      </w:tr>
      <w:tr w:rsidR="001B1411" w:rsidRPr="00DA7625" w14:paraId="566334E0" w14:textId="77777777" w:rsidTr="00672D2A">
        <w:tc>
          <w:tcPr>
            <w:tcW w:w="1188" w:type="dxa"/>
          </w:tcPr>
          <w:p w14:paraId="64BE572A" w14:textId="77777777" w:rsidR="001B1411" w:rsidRPr="00DA7625" w:rsidDel="0081176B" w:rsidRDefault="00464F34">
            <w:pPr>
              <w:rPr>
                <w:rFonts w:ascii="Times New Roman" w:hAnsi="Times New Roman"/>
                <w:sz w:val="24"/>
              </w:rPr>
            </w:pPr>
            <w:r w:rsidRPr="00DA7625">
              <w:rPr>
                <w:rFonts w:ascii="Times New Roman" w:hAnsi="Times New Roman"/>
                <w:sz w:val="24"/>
              </w:rPr>
              <w:t>380</w:t>
            </w:r>
          </w:p>
        </w:tc>
        <w:tc>
          <w:tcPr>
            <w:tcW w:w="8640" w:type="dxa"/>
          </w:tcPr>
          <w:p w14:paraId="7522E2C9" w14:textId="77777777" w:rsidR="001B1411" w:rsidRPr="00DA7625" w:rsidDel="0081176B"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EBBŐL: AT1 TŐKE</w:t>
            </w:r>
          </w:p>
        </w:tc>
      </w:tr>
      <w:tr w:rsidR="001B1411" w:rsidRPr="00DA7625" w14:paraId="31D77A09" w14:textId="77777777" w:rsidTr="00672D2A">
        <w:tc>
          <w:tcPr>
            <w:tcW w:w="1188" w:type="dxa"/>
          </w:tcPr>
          <w:p w14:paraId="36F058F5" w14:textId="77777777" w:rsidR="001B1411" w:rsidRPr="00DA7625" w:rsidRDefault="00464F34">
            <w:pPr>
              <w:rPr>
                <w:rFonts w:ascii="Times New Roman" w:hAnsi="Times New Roman"/>
                <w:sz w:val="24"/>
              </w:rPr>
            </w:pPr>
            <w:r w:rsidRPr="00DA7625">
              <w:rPr>
                <w:rFonts w:ascii="Times New Roman" w:hAnsi="Times New Roman"/>
                <w:sz w:val="24"/>
              </w:rPr>
              <w:t>390</w:t>
            </w:r>
          </w:p>
        </w:tc>
        <w:tc>
          <w:tcPr>
            <w:tcW w:w="8640" w:type="dxa"/>
          </w:tcPr>
          <w:p w14:paraId="3D9171D7" w14:textId="77777777" w:rsidR="001B1411" w:rsidRPr="00DA7625" w:rsidRDefault="00464F34">
            <w:pPr>
              <w:rPr>
                <w:rStyle w:val="InstructionsTabelleText"/>
                <w:rFonts w:ascii="Times New Roman" w:hAnsi="Times New Roman"/>
                <w:sz w:val="24"/>
              </w:rPr>
            </w:pPr>
            <w:r w:rsidRPr="00DA7625">
              <w:rPr>
                <w:rStyle w:val="InstructionsTabelleberschrift"/>
                <w:rFonts w:ascii="Times New Roman" w:hAnsi="Times New Roman"/>
                <w:sz w:val="24"/>
              </w:rPr>
              <w:t>EBBŐL: HOZZÁJÁRULÁS A KONSZOLIDÁLT EREDMÉNYHEZ</w:t>
            </w:r>
          </w:p>
          <w:p w14:paraId="0FC91FD9" w14:textId="6026D6F4" w:rsidR="001B1411" w:rsidRPr="00DA7625" w:rsidRDefault="00464F34">
            <w:pPr>
              <w:rPr>
                <w:rStyle w:val="InstructionsTabelleberschrift"/>
                <w:rFonts w:ascii="Times New Roman" w:hAnsi="Times New Roman"/>
                <w:sz w:val="24"/>
              </w:rPr>
            </w:pPr>
            <w:r w:rsidRPr="00DA7625">
              <w:rPr>
                <w:rStyle w:val="InstructionsTabelleText"/>
                <w:rFonts w:ascii="Times New Roman" w:hAnsi="Times New Roman"/>
                <w:sz w:val="24"/>
              </w:rPr>
              <w:t>Itt az egyes szervezeteknek a konszolidált eredményhez való hozzájárulását (nyereség vagy (–) veszteség) kell feltüntetni. Ez magában foglalja a kisebbségi részesedéseknek tulajdonítható eredményt is.</w:t>
            </w:r>
          </w:p>
        </w:tc>
      </w:tr>
      <w:tr w:rsidR="001B1411" w:rsidRPr="00DA7625" w14:paraId="0C8E75ED" w14:textId="77777777" w:rsidTr="00672D2A">
        <w:tc>
          <w:tcPr>
            <w:tcW w:w="1188" w:type="dxa"/>
          </w:tcPr>
          <w:p w14:paraId="32717992" w14:textId="77777777" w:rsidR="001B1411" w:rsidRPr="00DA7625" w:rsidRDefault="00464F34">
            <w:pPr>
              <w:rPr>
                <w:rFonts w:ascii="Times New Roman" w:hAnsi="Times New Roman"/>
                <w:sz w:val="24"/>
              </w:rPr>
            </w:pPr>
            <w:r w:rsidRPr="00DA7625">
              <w:rPr>
                <w:rFonts w:ascii="Times New Roman" w:hAnsi="Times New Roman"/>
                <w:sz w:val="24"/>
              </w:rPr>
              <w:t>400</w:t>
            </w:r>
          </w:p>
        </w:tc>
        <w:tc>
          <w:tcPr>
            <w:tcW w:w="8640" w:type="dxa"/>
          </w:tcPr>
          <w:p w14:paraId="4651A8C3"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EBBŐL: (–) CÉGÉRTÉK / (+) NEGATÍV CÉGÉRTÉK</w:t>
            </w:r>
          </w:p>
          <w:p w14:paraId="45C408B2" w14:textId="4D1144CD" w:rsidR="001B1411" w:rsidRPr="00DA7625" w:rsidRDefault="00464F34">
            <w:pPr>
              <w:rPr>
                <w:rStyle w:val="InstructionsTabelleberschrift"/>
                <w:rFonts w:ascii="Times New Roman" w:hAnsi="Times New Roman"/>
                <w:sz w:val="24"/>
              </w:rPr>
            </w:pPr>
            <w:r w:rsidRPr="00DA7625">
              <w:rPr>
                <w:rStyle w:val="InstructionsTabelleText"/>
                <w:rFonts w:ascii="Times New Roman" w:hAnsi="Times New Roman"/>
                <w:sz w:val="24"/>
              </w:rPr>
              <w:t>Itt az adatszolgáltató intézménynek a leányvállalatban meglévő cégértékét vagy negatív cégértékét kell feltüntetni.</w:t>
            </w:r>
          </w:p>
        </w:tc>
      </w:tr>
      <w:tr w:rsidR="001B1411" w:rsidRPr="00DA7625" w14:paraId="67E5B69E" w14:textId="77777777" w:rsidTr="00672D2A">
        <w:tc>
          <w:tcPr>
            <w:tcW w:w="1188" w:type="dxa"/>
          </w:tcPr>
          <w:p w14:paraId="504EAFBB"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410-480</w:t>
            </w:r>
          </w:p>
        </w:tc>
        <w:tc>
          <w:tcPr>
            <w:tcW w:w="8640" w:type="dxa"/>
          </w:tcPr>
          <w:p w14:paraId="75B88055"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TŐKEPUFFEREK</w:t>
            </w:r>
          </w:p>
          <w:p w14:paraId="42203032" w14:textId="10FDD9C0" w:rsidR="001B1411" w:rsidRPr="00DA7625" w:rsidRDefault="00464F34">
            <w:pPr>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GS táblában a tőkepufferekkel kapcsolatos adatszolgáltatás szerkezete a CA4-es tábla általános felépítését követi, és azzal azonos adatszolgáltatási fogalmakat alkalmaz. A GS táblában a tőkepufferekkel kapcsolatos adatszolgáltatás során a megfelelő összegeket a csoport konszolidált helyzetére vonatkozó pufferkövetelmény meghatározására alkalmazandó rendelkezéseknek megfelelően kell feltüntetni. Ezért a tőkepufferek feltüntetett összegei az egyes szervezeteknek a csoportszintű tőkepufferekhez való hozzájárulását jelentik. A feltüntetett összegek a CRD-t átültető nemzeti intézkedéseken és a CRR-n alapulnak, beleértve minden azokban foglalt átmeneti rendelkezést is.</w:t>
            </w:r>
          </w:p>
        </w:tc>
      </w:tr>
      <w:tr w:rsidR="001B1411" w:rsidRPr="00DA7625" w14:paraId="7D44B0C6" w14:textId="77777777" w:rsidTr="00672D2A">
        <w:tc>
          <w:tcPr>
            <w:tcW w:w="1188" w:type="dxa"/>
          </w:tcPr>
          <w:p w14:paraId="729BBE09"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410</w:t>
            </w:r>
          </w:p>
        </w:tc>
        <w:tc>
          <w:tcPr>
            <w:tcW w:w="8640" w:type="dxa"/>
          </w:tcPr>
          <w:p w14:paraId="5BD65C06"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KOMBINÁLT PUFFERKÖVETELMÉNY</w:t>
            </w:r>
          </w:p>
          <w:p w14:paraId="49953CA7" w14:textId="441469E9" w:rsidR="001B1411" w:rsidRPr="00DA7625" w:rsidRDefault="00283C5E">
            <w:pPr>
              <w:tabs>
                <w:tab w:val="left" w:pos="3510"/>
              </w:tabs>
              <w:rPr>
                <w:rStyle w:val="InstructionsTabelleberschrift"/>
                <w:rFonts w:ascii="Times New Roman" w:hAnsi="Times New Roman"/>
                <w:sz w:val="24"/>
              </w:rPr>
            </w:pPr>
            <w:r w:rsidRPr="00DA7625">
              <w:rPr>
                <w:rStyle w:val="InstructionsTabelleText"/>
                <w:rFonts w:ascii="Times New Roman" w:hAnsi="Times New Roman"/>
                <w:sz w:val="24"/>
              </w:rPr>
              <w:t>A CRD 128. cikkének 6. pontja</w:t>
            </w:r>
          </w:p>
        </w:tc>
      </w:tr>
      <w:tr w:rsidR="001B1411" w:rsidRPr="00DA7625" w14:paraId="290C574E" w14:textId="77777777" w:rsidTr="00672D2A">
        <w:tc>
          <w:tcPr>
            <w:tcW w:w="1188" w:type="dxa"/>
          </w:tcPr>
          <w:p w14:paraId="4F3EA187"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420</w:t>
            </w:r>
          </w:p>
        </w:tc>
        <w:tc>
          <w:tcPr>
            <w:tcW w:w="8640" w:type="dxa"/>
          </w:tcPr>
          <w:p w14:paraId="30C78CCA"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TŐKEFENNTARTÁSI PUFFER</w:t>
            </w:r>
          </w:p>
          <w:p w14:paraId="7270E591" w14:textId="6DAFFC24" w:rsidR="001B1411" w:rsidRPr="00DA7625" w:rsidRDefault="00283C5E">
            <w:pPr>
              <w:rPr>
                <w:rStyle w:val="InstructionsTabelleText"/>
                <w:rFonts w:ascii="Times New Roman" w:hAnsi="Times New Roman"/>
                <w:sz w:val="24"/>
              </w:rPr>
            </w:pPr>
            <w:r w:rsidRPr="00DA7625">
              <w:rPr>
                <w:rStyle w:val="InstructionsTabelleText"/>
                <w:rFonts w:ascii="Times New Roman" w:hAnsi="Times New Roman"/>
                <w:sz w:val="24"/>
              </w:rPr>
              <w:t>A CRD 128. cikkének 1. pontja és 129. cikke</w:t>
            </w:r>
          </w:p>
          <w:p w14:paraId="7023D0C0" w14:textId="20F8B1C5" w:rsidR="001B1411" w:rsidRPr="00DA7625" w:rsidRDefault="00BB22D4" w:rsidP="00833E7B">
            <w:pPr>
              <w:pStyle w:val="InstructionsText"/>
              <w:rPr>
                <w:rStyle w:val="InstructionsTabelleText"/>
                <w:rFonts w:ascii="Times New Roman" w:hAnsi="Times New Roman"/>
                <w:sz w:val="24"/>
              </w:rPr>
            </w:pPr>
            <w:r w:rsidRPr="00DA7625">
              <w:t>A CRD 129. cikkének (1) bekezdése szerint a tőkefenntartási puffer CET1 tőkén felüli CET1 tőkeelemekből áll. Mivel a tőkefenntartási puffer 2,5 %-os mértéke állandó, ebben a cellában összeg</w:t>
            </w:r>
            <w:r w:rsidR="00833E7B" w:rsidRPr="00DA7625">
              <w:t>e</w:t>
            </w:r>
            <w:r w:rsidRPr="00DA7625">
              <w:t>t kell feltüntetni.</w:t>
            </w:r>
          </w:p>
        </w:tc>
      </w:tr>
      <w:tr w:rsidR="001B1411" w:rsidRPr="00DA7625" w14:paraId="6A904394" w14:textId="77777777" w:rsidTr="00672D2A">
        <w:tc>
          <w:tcPr>
            <w:tcW w:w="1188" w:type="dxa"/>
          </w:tcPr>
          <w:p w14:paraId="597E010F"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lastRenderedPageBreak/>
              <w:t>430</w:t>
            </w:r>
          </w:p>
        </w:tc>
        <w:tc>
          <w:tcPr>
            <w:tcW w:w="8640" w:type="dxa"/>
          </w:tcPr>
          <w:p w14:paraId="51FB7F5B"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INTÉZMÉNYSPECIFIKUS ANTICIKLIKUS TŐKEPUFFER</w:t>
            </w:r>
          </w:p>
          <w:p w14:paraId="385196E8" w14:textId="0B2ABA94" w:rsidR="001B1411" w:rsidRPr="00DA7625" w:rsidRDefault="00283C5E">
            <w:pPr>
              <w:rPr>
                <w:rStyle w:val="InstructionsTabelleText"/>
                <w:rFonts w:ascii="Times New Roman" w:hAnsi="Times New Roman"/>
                <w:sz w:val="24"/>
              </w:rPr>
            </w:pPr>
            <w:r w:rsidRPr="00DA7625">
              <w:rPr>
                <w:rStyle w:val="InstructionsTabelleText"/>
                <w:rFonts w:ascii="Times New Roman" w:hAnsi="Times New Roman"/>
                <w:sz w:val="24"/>
              </w:rPr>
              <w:t>A CRD 128. cikkének 2. pontja, valamint 130. és 135–140. cikke</w:t>
            </w:r>
          </w:p>
          <w:p w14:paraId="2D171BBF" w14:textId="77777777" w:rsidR="001B1411" w:rsidRPr="00DA7625" w:rsidRDefault="00464F34">
            <w:pPr>
              <w:pStyle w:val="InstructionsText"/>
              <w:rPr>
                <w:rStyle w:val="InstructionsTabelleText"/>
                <w:rFonts w:ascii="Times New Roman" w:hAnsi="Times New Roman"/>
                <w:sz w:val="24"/>
              </w:rPr>
            </w:pPr>
            <w:r w:rsidRPr="00DA7625">
              <w:t>Ebben a cellában az anticiklikus puffer konkrét összegét kell megadni.</w:t>
            </w:r>
          </w:p>
        </w:tc>
      </w:tr>
      <w:tr w:rsidR="001B1411" w:rsidRPr="00DA7625" w14:paraId="42A13680" w14:textId="77777777" w:rsidTr="00672D2A">
        <w:tc>
          <w:tcPr>
            <w:tcW w:w="1188" w:type="dxa"/>
          </w:tcPr>
          <w:p w14:paraId="3B7D72C3" w14:textId="77777777" w:rsidR="001B1411" w:rsidRPr="00DA7625" w:rsidDel="00D70027" w:rsidRDefault="00464F34">
            <w:pPr>
              <w:rPr>
                <w:rStyle w:val="InstructionsTabelleText"/>
                <w:rFonts w:ascii="Times New Roman" w:hAnsi="Times New Roman"/>
                <w:sz w:val="24"/>
              </w:rPr>
            </w:pPr>
            <w:r w:rsidRPr="00DA7625">
              <w:rPr>
                <w:rStyle w:val="InstructionsTabelleText"/>
                <w:rFonts w:ascii="Times New Roman" w:hAnsi="Times New Roman"/>
                <w:sz w:val="24"/>
              </w:rPr>
              <w:t>440</w:t>
            </w:r>
          </w:p>
        </w:tc>
        <w:tc>
          <w:tcPr>
            <w:tcW w:w="8640" w:type="dxa"/>
          </w:tcPr>
          <w:p w14:paraId="56A86F31"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A TAGÁLLAMOK SZINTJÉN AZONOSÍTOTT MAKROPRUDENCIÁLIS VAGY RENDSZERKOCKÁZATOKRA KÉPZETT FENNTARTÁSI PUFFER</w:t>
            </w:r>
          </w:p>
          <w:p w14:paraId="16BE882A" w14:textId="20D03F71" w:rsidR="001B1411" w:rsidRPr="00DA7625" w:rsidRDefault="00283C5E">
            <w:pPr>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CRR 458. cikke (2) bekezdése d) pontjának iv. alpontja</w:t>
            </w:r>
          </w:p>
          <w:p w14:paraId="267A732C" w14:textId="7B87DCDE" w:rsidR="001B1411" w:rsidRPr="00DA7625" w:rsidRDefault="00464F34">
            <w:pPr>
              <w:pStyle w:val="InstructionsText"/>
              <w:rPr>
                <w:rStyle w:val="InstructionsTabelleberschrift"/>
                <w:rFonts w:ascii="Times New Roman" w:hAnsi="Times New Roman"/>
                <w:sz w:val="24"/>
              </w:rPr>
            </w:pPr>
            <w:r w:rsidRPr="00DA7625">
              <w:t>Ebben a cellában a tagállamok szintjén azonosított makroprudenciális vagy rendszerkockázatokra képzett fenntartási puffer értékét kell feltüntetni, amely a CRR 458. cikkével összhangban a tőkefenntartási pufferen felül kérhető.</w:t>
            </w:r>
          </w:p>
        </w:tc>
      </w:tr>
      <w:tr w:rsidR="001B1411" w:rsidRPr="00DA7625" w14:paraId="60606A3E" w14:textId="77777777" w:rsidTr="00672D2A">
        <w:tc>
          <w:tcPr>
            <w:tcW w:w="1188" w:type="dxa"/>
          </w:tcPr>
          <w:p w14:paraId="3DB4AC55"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450</w:t>
            </w:r>
          </w:p>
        </w:tc>
        <w:tc>
          <w:tcPr>
            <w:tcW w:w="8640" w:type="dxa"/>
          </w:tcPr>
          <w:p w14:paraId="57441EEE" w14:textId="77777777" w:rsidR="001B1411" w:rsidRPr="00DA7625" w:rsidRDefault="00464F34">
            <w:pPr>
              <w:rPr>
                <w:rStyle w:val="InstructionsTabelleberschrift"/>
                <w:rFonts w:ascii="Times New Roman" w:hAnsi="Times New Roman"/>
                <w:sz w:val="24"/>
              </w:rPr>
            </w:pPr>
            <w:r w:rsidRPr="00DA7625">
              <w:rPr>
                <w:rStyle w:val="InstructionsTabelleberschrift"/>
                <w:rFonts w:ascii="Times New Roman" w:hAnsi="Times New Roman"/>
                <w:sz w:val="24"/>
              </w:rPr>
              <w:t>RENDSZERKOCKÁZATI TŐKEPUFFER</w:t>
            </w:r>
          </w:p>
          <w:p w14:paraId="6B63796F" w14:textId="32737270" w:rsidR="001B1411" w:rsidRPr="00DA7625" w:rsidRDefault="00283C5E">
            <w:pPr>
              <w:pStyle w:val="InstructionsText"/>
            </w:pPr>
            <w:r w:rsidRPr="00DA7625">
              <w:t xml:space="preserve">A CRD 128. cikkének 5. pontja, valamint 133. és 134. cikke </w:t>
            </w:r>
          </w:p>
          <w:p w14:paraId="62368385" w14:textId="77777777" w:rsidR="001B1411" w:rsidRPr="00DA7625" w:rsidRDefault="00464F34">
            <w:pPr>
              <w:rPr>
                <w:rStyle w:val="InstructionsTabelleberschrift"/>
                <w:rFonts w:ascii="Times New Roman" w:hAnsi="Times New Roman"/>
                <w:sz w:val="24"/>
              </w:rPr>
            </w:pPr>
            <w:r w:rsidRPr="00DA7625">
              <w:rPr>
                <w:rFonts w:ascii="Times New Roman" w:hAnsi="Times New Roman"/>
                <w:sz w:val="24"/>
              </w:rPr>
              <w:t>Ebben a cellában a rendszerkockázati tőkepuffer összegét kell megadni.</w:t>
            </w:r>
          </w:p>
        </w:tc>
      </w:tr>
      <w:tr w:rsidR="001B1411" w:rsidRPr="00DA7625" w14:paraId="7B0A8514" w14:textId="77777777" w:rsidTr="00672D2A">
        <w:tc>
          <w:tcPr>
            <w:tcW w:w="1188" w:type="dxa"/>
          </w:tcPr>
          <w:p w14:paraId="6DD8C00F"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470</w:t>
            </w:r>
          </w:p>
        </w:tc>
        <w:tc>
          <w:tcPr>
            <w:tcW w:w="8640" w:type="dxa"/>
          </w:tcPr>
          <w:p w14:paraId="2F4D0319" w14:textId="77777777" w:rsidR="001B1411" w:rsidRPr="00DA7625" w:rsidRDefault="00464F34">
            <w:pPr>
              <w:tabs>
                <w:tab w:val="left" w:pos="6660"/>
              </w:tabs>
              <w:rPr>
                <w:rStyle w:val="InstructionsTabelleberschrift"/>
                <w:rFonts w:ascii="Times New Roman" w:hAnsi="Times New Roman"/>
                <w:sz w:val="24"/>
              </w:rPr>
            </w:pPr>
            <w:r w:rsidRPr="00DA7625">
              <w:rPr>
                <w:rStyle w:val="InstructionsTabelleberschrift"/>
                <w:rFonts w:ascii="Times New Roman" w:hAnsi="Times New Roman"/>
                <w:sz w:val="24"/>
              </w:rPr>
              <w:t>GLOBÁLISAN RENDSZERSZINTEN JELENTŐS INTÉZMÉNYEKRE VONATKOZÓ TŐKEPUFFER</w:t>
            </w:r>
            <w:r w:rsidRPr="00DA7625">
              <w:rPr>
                <w:rStyle w:val="InstructionsTabelleberschrift"/>
                <w:rFonts w:ascii="Times New Roman" w:hAnsi="Times New Roman"/>
                <w:sz w:val="24"/>
              </w:rPr>
              <w:tab/>
            </w:r>
          </w:p>
          <w:p w14:paraId="387CB577" w14:textId="6F425AC2" w:rsidR="001B1411" w:rsidRPr="00DA7625" w:rsidRDefault="00283C5E">
            <w:pPr>
              <w:pStyle w:val="InstructionsTex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CRD 128. cikkének 3. pontja és 131. cikke</w:t>
            </w:r>
          </w:p>
          <w:p w14:paraId="234A78D7" w14:textId="77777777" w:rsidR="001B1411" w:rsidRPr="00DA7625" w:rsidRDefault="00464F34">
            <w:pPr>
              <w:pStyle w:val="InstructionsText"/>
              <w:rPr>
                <w:rStyle w:val="InstructionsTabelleberschrift"/>
                <w:rFonts w:ascii="Times New Roman" w:hAnsi="Times New Roman"/>
                <w:sz w:val="24"/>
              </w:rPr>
            </w:pPr>
            <w:r w:rsidRPr="00DA7625">
              <w:t>Ebben a cellában a globális rendszerszinten jelentős intézményekre vonatkozó tőkepuffer összegét kell megadni.</w:t>
            </w:r>
          </w:p>
        </w:tc>
      </w:tr>
      <w:tr w:rsidR="001B1411" w:rsidRPr="00DA7625" w14:paraId="71950C7A" w14:textId="77777777" w:rsidTr="00672D2A">
        <w:tc>
          <w:tcPr>
            <w:tcW w:w="1188" w:type="dxa"/>
          </w:tcPr>
          <w:p w14:paraId="5DA03A36" w14:textId="77777777" w:rsidR="001B1411" w:rsidRPr="00DA7625" w:rsidRDefault="00464F34">
            <w:pPr>
              <w:rPr>
                <w:rStyle w:val="InstructionsTabelleText"/>
                <w:rFonts w:ascii="Times New Roman" w:hAnsi="Times New Roman"/>
                <w:sz w:val="24"/>
              </w:rPr>
            </w:pPr>
            <w:r w:rsidRPr="00DA7625">
              <w:rPr>
                <w:rStyle w:val="InstructionsTabelleText"/>
                <w:rFonts w:ascii="Times New Roman" w:hAnsi="Times New Roman"/>
                <w:sz w:val="24"/>
              </w:rPr>
              <w:t>480</w:t>
            </w:r>
          </w:p>
        </w:tc>
        <w:tc>
          <w:tcPr>
            <w:tcW w:w="8640" w:type="dxa"/>
          </w:tcPr>
          <w:p w14:paraId="66E623D3" w14:textId="77777777" w:rsidR="001B1411" w:rsidRPr="00DA7625" w:rsidRDefault="00464F34">
            <w:pPr>
              <w:tabs>
                <w:tab w:val="left" w:pos="6315"/>
              </w:tabs>
              <w:rPr>
                <w:rStyle w:val="InstructionsTabelleberschrift"/>
                <w:rFonts w:ascii="Times New Roman" w:hAnsi="Times New Roman"/>
                <w:sz w:val="24"/>
              </w:rPr>
            </w:pPr>
            <w:r w:rsidRPr="00DA7625">
              <w:rPr>
                <w:rStyle w:val="InstructionsTabelleberschrift"/>
                <w:rFonts w:ascii="Times New Roman" w:hAnsi="Times New Roman"/>
                <w:sz w:val="24"/>
              </w:rPr>
              <w:t>EGYÉB RENDSZERSZINTEN JELENTŐS INTÉZMÉNYEKRE VONATKOZÓ TŐKEPUFFER</w:t>
            </w:r>
            <w:r w:rsidRPr="00DA7625">
              <w:rPr>
                <w:rStyle w:val="InstructionsTabelleberschrift"/>
                <w:rFonts w:ascii="Times New Roman" w:hAnsi="Times New Roman"/>
                <w:sz w:val="24"/>
              </w:rPr>
              <w:tab/>
            </w:r>
          </w:p>
          <w:p w14:paraId="25F9394F" w14:textId="286EB2B8" w:rsidR="001B1411" w:rsidRPr="00DA7625" w:rsidRDefault="00283C5E">
            <w:pPr>
              <w:pStyle w:val="InstructionsText"/>
            </w:pPr>
            <w:r w:rsidRPr="00DA7625">
              <w:t>A CRD 128. cikkének 4. pontja és 131. cikke</w:t>
            </w:r>
          </w:p>
          <w:p w14:paraId="65185580" w14:textId="77777777" w:rsidR="001B1411" w:rsidRPr="00DA7625" w:rsidRDefault="00464F34">
            <w:pPr>
              <w:pStyle w:val="InstructionsText"/>
              <w:rPr>
                <w:rStyle w:val="InstructionsTabelleberschrift"/>
                <w:rFonts w:ascii="Times New Roman" w:hAnsi="Times New Roman"/>
                <w:sz w:val="24"/>
              </w:rPr>
            </w:pPr>
            <w:r w:rsidRPr="00DA7625">
              <w:t>Ebben a cellában az egyéb rendszerszinten jelentős intézményekre vonatkozó tőkepuffer összegét kell megadni.</w:t>
            </w:r>
          </w:p>
        </w:tc>
      </w:tr>
    </w:tbl>
    <w:p w14:paraId="7E0CA39F" w14:textId="77777777" w:rsidR="001B1411" w:rsidRPr="00DA7625" w:rsidRDefault="001B1411">
      <w:pPr>
        <w:pStyle w:val="InstructionsText"/>
      </w:pPr>
    </w:p>
    <w:p w14:paraId="45EDFBFA" w14:textId="77777777" w:rsidR="001B1411" w:rsidRPr="00DA7625" w:rsidRDefault="00B43C2A">
      <w:pPr>
        <w:pStyle w:val="Instructionsberschrift2"/>
        <w:numPr>
          <w:ilvl w:val="0"/>
          <w:numId w:val="0"/>
        </w:numPr>
        <w:ind w:left="357" w:hanging="357"/>
        <w:rPr>
          <w:rFonts w:ascii="Times New Roman" w:hAnsi="Times New Roman" w:cs="Times New Roman"/>
          <w:sz w:val="24"/>
        </w:rPr>
      </w:pPr>
      <w:bookmarkStart w:id="30" w:name="_Toc31018776"/>
      <w:r w:rsidRPr="00DA7625">
        <w:rPr>
          <w:rFonts w:ascii="Times New Roman" w:hAnsi="Times New Roman"/>
          <w:sz w:val="24"/>
          <w:u w:val="none"/>
        </w:rPr>
        <w:t>3.</w:t>
      </w:r>
      <w:r w:rsidRPr="00DA7625">
        <w:rPr>
          <w:rFonts w:ascii="Times New Roman" w:hAnsi="Times New Roman"/>
          <w:sz w:val="24"/>
          <w:u w:val="none"/>
        </w:rPr>
        <w:tab/>
      </w:r>
      <w:r w:rsidRPr="00DA7625">
        <w:rPr>
          <w:rFonts w:ascii="Times New Roman" w:hAnsi="Times New Roman"/>
          <w:sz w:val="24"/>
        </w:rPr>
        <w:t>Hitelkockázati táblacsoport</w:t>
      </w:r>
      <w:bookmarkEnd w:id="30"/>
    </w:p>
    <w:p w14:paraId="55E89157" w14:textId="5A165B84" w:rsidR="001B1411" w:rsidRPr="00DA7625" w:rsidRDefault="00CD30E6">
      <w:pPr>
        <w:pStyle w:val="Instructionsberschrift2"/>
        <w:numPr>
          <w:ilvl w:val="0"/>
          <w:numId w:val="0"/>
        </w:numPr>
        <w:ind w:left="357" w:hanging="357"/>
        <w:rPr>
          <w:rFonts w:ascii="Times New Roman" w:hAnsi="Times New Roman" w:cs="Times New Roman"/>
          <w:sz w:val="24"/>
        </w:rPr>
      </w:pPr>
      <w:bookmarkStart w:id="31" w:name="_Toc31018777"/>
      <w:r>
        <w:rPr>
          <w:rFonts w:ascii="Times New Roman" w:hAnsi="Times New Roman"/>
          <w:sz w:val="24"/>
          <w:u w:val="none"/>
        </w:rPr>
        <w:t>3.</w:t>
      </w:r>
      <w:r w:rsidR="00125707" w:rsidRPr="00DA7625">
        <w:rPr>
          <w:rFonts w:ascii="Times New Roman" w:hAnsi="Times New Roman"/>
          <w:sz w:val="24"/>
          <w:u w:val="none"/>
        </w:rPr>
        <w:t>1.</w:t>
      </w:r>
      <w:r w:rsidR="00125707" w:rsidRPr="00DA7625">
        <w:rPr>
          <w:rFonts w:ascii="Times New Roman" w:hAnsi="Times New Roman"/>
          <w:sz w:val="24"/>
          <w:u w:val="none"/>
        </w:rPr>
        <w:tab/>
      </w:r>
      <w:r w:rsidR="00125707" w:rsidRPr="00DA7625">
        <w:rPr>
          <w:rFonts w:ascii="Times New Roman" w:hAnsi="Times New Roman"/>
          <w:sz w:val="24"/>
        </w:rPr>
        <w:t>Általános megjegyzések</w:t>
      </w:r>
      <w:bookmarkEnd w:id="31"/>
      <w:r w:rsidR="00125707" w:rsidRPr="00DA7625">
        <w:rPr>
          <w:rFonts w:ascii="Times New Roman" w:hAnsi="Times New Roman"/>
          <w:sz w:val="24"/>
        </w:rPr>
        <w:t xml:space="preserve"> </w:t>
      </w:r>
    </w:p>
    <w:p w14:paraId="561CA98B" w14:textId="38640B38" w:rsidR="001B1411" w:rsidRPr="00DA7625" w:rsidRDefault="00125707">
      <w:pPr>
        <w:pStyle w:val="InstructionsText2"/>
        <w:numPr>
          <w:ilvl w:val="0"/>
          <w:numId w:val="0"/>
        </w:numPr>
        <w:ind w:left="993"/>
      </w:pPr>
      <w:r w:rsidRPr="00DA7625">
        <w:t>38.</w:t>
      </w:r>
      <w:r w:rsidRPr="00DA7625">
        <w:tab/>
        <w:t xml:space="preserve">A hitelkockázat kiszámításakor alkalmazott sztenderd módszerhez és IRB-módszerhez külön táblacsoport tartozik. Emellett az ezen végrehajtási rendelet 5. cikk a) pontjának 4. alpontjában rögzített küszöbérték túllépése esetén a hitelkockázattal érintett pozíciók földrajzi bontásához külön táblákon kell adatot szolgáltatni. </w:t>
      </w:r>
    </w:p>
    <w:p w14:paraId="24A12BC4"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32" w:name="_Toc31018778"/>
      <w:r w:rsidRPr="00DA7625">
        <w:rPr>
          <w:rFonts w:ascii="Times New Roman" w:hAnsi="Times New Roman"/>
          <w:sz w:val="24"/>
          <w:u w:val="none"/>
        </w:rPr>
        <w:t>3.1.1.</w:t>
      </w:r>
      <w:r w:rsidRPr="00DA7625">
        <w:rPr>
          <w:rFonts w:ascii="Times New Roman" w:hAnsi="Times New Roman"/>
          <w:sz w:val="24"/>
          <w:u w:val="none"/>
        </w:rPr>
        <w:tab/>
      </w:r>
      <w:r w:rsidRPr="00DA7625">
        <w:rPr>
          <w:rFonts w:ascii="Times New Roman" w:hAnsi="Times New Roman"/>
          <w:sz w:val="24"/>
        </w:rPr>
        <w:t>Helyettesítési hatással járó hitelkockázat-mérséklési technikák</w:t>
      </w:r>
      <w:bookmarkEnd w:id="32"/>
    </w:p>
    <w:p w14:paraId="5618B1C1" w14:textId="710F450C" w:rsidR="001B1411" w:rsidRPr="00DA7625" w:rsidRDefault="00125707">
      <w:pPr>
        <w:pStyle w:val="InstructionsText2"/>
        <w:numPr>
          <w:ilvl w:val="0"/>
          <w:numId w:val="0"/>
        </w:numPr>
        <w:ind w:left="993"/>
      </w:pPr>
      <w:r w:rsidRPr="00DA7625">
        <w:t>39.</w:t>
      </w:r>
      <w:r w:rsidRPr="00DA7625">
        <w:tab/>
        <w:t>A CRR 235. cikke az előre nem rendelkezésre bocsátott hitelkockázati fedezettel teljes mértékben fedezett kitettség számítási módját mutatja be.</w:t>
      </w:r>
    </w:p>
    <w:p w14:paraId="0C6811C2" w14:textId="71D8D82A" w:rsidR="001B1411" w:rsidRPr="00DA7625" w:rsidRDefault="00125707">
      <w:pPr>
        <w:pStyle w:val="InstructionsText2"/>
        <w:numPr>
          <w:ilvl w:val="0"/>
          <w:numId w:val="0"/>
        </w:numPr>
        <w:ind w:left="993"/>
      </w:pPr>
      <w:r w:rsidRPr="00DA7625">
        <w:t>40.</w:t>
      </w:r>
      <w:r w:rsidRPr="00DA7625">
        <w:tab/>
        <w:t>A CRR 236. cikke az előre nem rendelkezésre bocsátott hitelkockázati fedezettel teljes mértékben / részlegesen fedezett kitettség számítási módját mutatja be (a veszteségviselési rangsorban azonos hely).</w:t>
      </w:r>
    </w:p>
    <w:p w14:paraId="0F7DEE63" w14:textId="26E9B85F" w:rsidR="001B1411" w:rsidRPr="00DA7625" w:rsidRDefault="00125707">
      <w:pPr>
        <w:pStyle w:val="InstructionsText2"/>
        <w:numPr>
          <w:ilvl w:val="0"/>
          <w:numId w:val="0"/>
        </w:numPr>
        <w:ind w:left="993"/>
      </w:pPr>
      <w:r w:rsidRPr="00DA7625">
        <w:lastRenderedPageBreak/>
        <w:t>41.</w:t>
      </w:r>
      <w:r w:rsidRPr="00DA7625">
        <w:tab/>
        <w:t>A CRR 196., 197. és 200. cikke az előre rendelkezésre bocsátott hitelkockázati fedezetet szabályozza.</w:t>
      </w:r>
    </w:p>
    <w:p w14:paraId="6D2EF433" w14:textId="61DC48EF" w:rsidR="001B1411" w:rsidRPr="00DA7625" w:rsidRDefault="00125707">
      <w:pPr>
        <w:pStyle w:val="InstructionsText2"/>
        <w:numPr>
          <w:ilvl w:val="0"/>
          <w:numId w:val="0"/>
        </w:numPr>
        <w:ind w:left="993"/>
      </w:pPr>
      <w:r w:rsidRPr="00DA7625">
        <w:t>42.</w:t>
      </w:r>
      <w:r w:rsidRPr="00DA7625">
        <w:tab/>
        <w:t>Az azonos kitettségi osztályba tartozó kötelezettekkel (közvetlen partnerekkel) és fedezetnyújtókkal szembeni kitettségek adatszolgáltatásának tartalmaznia kell az adott kitettségi osztályt érintő be- és kiáramlásokat egyaránt.</w:t>
      </w:r>
    </w:p>
    <w:p w14:paraId="3D5B371F" w14:textId="5AE6E95D" w:rsidR="001B1411" w:rsidRPr="00DA7625" w:rsidRDefault="00125707">
      <w:pPr>
        <w:pStyle w:val="InstructionsText2"/>
        <w:numPr>
          <w:ilvl w:val="0"/>
          <w:numId w:val="0"/>
        </w:numPr>
        <w:ind w:left="993"/>
      </w:pPr>
      <w:r w:rsidRPr="00DA7625">
        <w:t>43.</w:t>
      </w:r>
      <w:r w:rsidRPr="00DA7625">
        <w:tab/>
        <w:t>Az előre nem rendelkezésre bocsátott hitelkockázati fedezet miatt a kitettség típusa nem változik.</w:t>
      </w:r>
    </w:p>
    <w:p w14:paraId="6F5E7DFF" w14:textId="22C4CB39" w:rsidR="001B1411" w:rsidRPr="00DA7625" w:rsidRDefault="00125707">
      <w:pPr>
        <w:pStyle w:val="InstructionsText2"/>
        <w:numPr>
          <w:ilvl w:val="0"/>
          <w:numId w:val="0"/>
        </w:numPr>
        <w:ind w:left="993"/>
      </w:pPr>
      <w:r w:rsidRPr="00DA7625">
        <w:t>44.</w:t>
      </w:r>
      <w:r w:rsidRPr="00DA7625">
        <w:tab/>
        <w:t>Az előre nem rendelkezésre bocsátott hitelkockázati fedezettel rendelkező kitettség esetében a fedezett részt kiáramlásként kell figyelembe venni pl. a kötelezett kitettségi osztályában, és beáramlásként a fedezetnyújtó kitettségi osztályában. A kitettség típusa azonban a kitettségi osztály változása következtében nem módosul.</w:t>
      </w:r>
    </w:p>
    <w:p w14:paraId="17148265" w14:textId="12570531" w:rsidR="001B1411" w:rsidRPr="00DA7625" w:rsidRDefault="00125707">
      <w:pPr>
        <w:pStyle w:val="InstructionsText2"/>
        <w:numPr>
          <w:ilvl w:val="0"/>
          <w:numId w:val="0"/>
        </w:numPr>
        <w:ind w:left="993"/>
      </w:pPr>
      <w:r w:rsidRPr="00DA7625">
        <w:t>45.</w:t>
      </w:r>
      <w:r w:rsidRPr="00DA7625">
        <w:tab/>
        <w:t xml:space="preserve">A COREP adatszolgáltatási rendszerben megjelenő helyettesítési hatás a kitettség fedezett részére ténylegesen alkalmazandó kockázati súlyozást tükrözi. Így a kitettségek fedezett részének kockázati súlyozása a sztenderd módszer szerint történik, és arról a CR SA táblán kell adatot szolgáltatni. </w:t>
      </w:r>
    </w:p>
    <w:p w14:paraId="08DB1FC2"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33" w:name="_Toc31018779"/>
      <w:r w:rsidRPr="00DA7625">
        <w:rPr>
          <w:rFonts w:ascii="Times New Roman" w:hAnsi="Times New Roman"/>
          <w:sz w:val="24"/>
          <w:u w:val="none"/>
        </w:rPr>
        <w:t>3.1.2.</w:t>
      </w:r>
      <w:r w:rsidRPr="00DA7625">
        <w:rPr>
          <w:rFonts w:ascii="Times New Roman" w:hAnsi="Times New Roman"/>
          <w:sz w:val="24"/>
          <w:u w:val="none"/>
        </w:rPr>
        <w:tab/>
      </w:r>
      <w:r w:rsidRPr="00DA7625">
        <w:rPr>
          <w:rFonts w:ascii="Times New Roman" w:hAnsi="Times New Roman"/>
          <w:sz w:val="24"/>
        </w:rPr>
        <w:t>A partnerkockázattal kapcsolatos adatszolgáltatás</w:t>
      </w:r>
      <w:bookmarkEnd w:id="33"/>
    </w:p>
    <w:p w14:paraId="595DF864" w14:textId="77777777" w:rsidR="001B1411" w:rsidRPr="00DA7625" w:rsidRDefault="00125707">
      <w:pPr>
        <w:pStyle w:val="InstructionsText2"/>
        <w:numPr>
          <w:ilvl w:val="0"/>
          <w:numId w:val="0"/>
        </w:numPr>
        <w:ind w:left="993"/>
      </w:pPr>
      <w:r w:rsidRPr="00DA7625">
        <w:t>46.</w:t>
      </w:r>
      <w:r w:rsidRPr="00DA7625">
        <w:tab/>
        <w:t xml:space="preserve">A partnerkockázati pozíciókból eredő kitettségeket a CR SA vagy CR IRB táblákon kell feltüntetni attól függetlenül, hogy azokat a banki könyvben vagy a kereskedési könyvben tartják nyilván. </w:t>
      </w:r>
    </w:p>
    <w:p w14:paraId="050F06E6" w14:textId="7150A2C4" w:rsidR="001B1411" w:rsidRPr="00DA7625" w:rsidRDefault="00125707">
      <w:pPr>
        <w:pStyle w:val="Instructionsberschrift2"/>
        <w:numPr>
          <w:ilvl w:val="0"/>
          <w:numId w:val="0"/>
        </w:numPr>
        <w:ind w:left="357" w:hanging="357"/>
        <w:rPr>
          <w:rFonts w:ascii="Times New Roman" w:hAnsi="Times New Roman" w:cs="Times New Roman"/>
          <w:sz w:val="24"/>
        </w:rPr>
      </w:pPr>
      <w:bookmarkStart w:id="34" w:name="_Toc31018780"/>
      <w:r w:rsidRPr="00DA7625">
        <w:rPr>
          <w:rFonts w:ascii="Times New Roman" w:hAnsi="Times New Roman"/>
          <w:sz w:val="24"/>
          <w:u w:val="none"/>
        </w:rPr>
        <w:t>3</w:t>
      </w:r>
      <w:r w:rsidR="00CD30E6">
        <w:rPr>
          <w:rFonts w:ascii="Times New Roman" w:hAnsi="Times New Roman"/>
          <w:sz w:val="24"/>
          <w:u w:val="none"/>
        </w:rPr>
        <w:t>.</w:t>
      </w:r>
      <w:r w:rsidRPr="00DA7625">
        <w:rPr>
          <w:rFonts w:ascii="Times New Roman" w:hAnsi="Times New Roman"/>
          <w:sz w:val="24"/>
          <w:u w:val="none"/>
        </w:rPr>
        <w:t>2.</w:t>
      </w:r>
      <w:r w:rsidRPr="00DA7625">
        <w:rPr>
          <w:rFonts w:ascii="Times New Roman" w:hAnsi="Times New Roman"/>
          <w:sz w:val="24"/>
          <w:u w:val="none"/>
        </w:rPr>
        <w:tab/>
      </w:r>
      <w:r w:rsidRPr="00DA7625">
        <w:rPr>
          <w:rFonts w:ascii="Times New Roman" w:hAnsi="Times New Roman"/>
          <w:sz w:val="24"/>
        </w:rPr>
        <w:t>C 07.00 – Hitelkockázat, partnerkockázat és nyitva szállítások: a sztenderd módszer szerinti tőkekövetelmény (CR SA)</w:t>
      </w:r>
      <w:bookmarkEnd w:id="34"/>
    </w:p>
    <w:p w14:paraId="2C884E9E"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35" w:name="_Toc31018781"/>
      <w:r w:rsidRPr="00DA7625">
        <w:rPr>
          <w:rFonts w:ascii="Times New Roman" w:hAnsi="Times New Roman"/>
          <w:sz w:val="24"/>
          <w:u w:val="none"/>
        </w:rPr>
        <w:t>3.2.1.</w:t>
      </w:r>
      <w:r w:rsidRPr="00DA7625">
        <w:rPr>
          <w:rFonts w:ascii="Times New Roman" w:hAnsi="Times New Roman"/>
          <w:sz w:val="24"/>
          <w:u w:val="none"/>
        </w:rPr>
        <w:tab/>
      </w:r>
      <w:r w:rsidRPr="00DA7625">
        <w:rPr>
          <w:rFonts w:ascii="Times New Roman" w:hAnsi="Times New Roman"/>
          <w:sz w:val="24"/>
        </w:rPr>
        <w:t>Általános megjegyzések</w:t>
      </w:r>
      <w:bookmarkEnd w:id="35"/>
    </w:p>
    <w:p w14:paraId="043CCB8F" w14:textId="0A9B4E7D" w:rsidR="001B1411" w:rsidRPr="00DA7625" w:rsidRDefault="00125707">
      <w:pPr>
        <w:pStyle w:val="InstructionsText2"/>
        <w:numPr>
          <w:ilvl w:val="0"/>
          <w:numId w:val="0"/>
        </w:numPr>
        <w:ind w:left="993"/>
      </w:pPr>
      <w:r w:rsidRPr="00DA7625">
        <w:t>47.</w:t>
      </w:r>
      <w:r w:rsidRPr="00DA7625">
        <w:tab/>
        <w:t>A CR SA táblák a hitelkockázat szavatolótőke-követelményének sztenderd módszer szerinti kiszámításához szükséges információkat tartalmazzák. Különösen az alábbiakról tartalmaznak részletes információkat:</w:t>
      </w:r>
    </w:p>
    <w:p w14:paraId="2B59DD5B" w14:textId="77777777" w:rsidR="001B1411" w:rsidRPr="00DA7625" w:rsidRDefault="00125707">
      <w:pPr>
        <w:pStyle w:val="InstructionsText2"/>
        <w:numPr>
          <w:ilvl w:val="0"/>
          <w:numId w:val="0"/>
        </w:numPr>
        <w:ind w:left="993"/>
      </w:pPr>
      <w:r w:rsidRPr="00DA7625">
        <w:t>a)</w:t>
      </w:r>
      <w:r w:rsidRPr="00DA7625">
        <w:tab/>
        <w:t>a kitettségértékek különböző kitettségtípusok, kockázati súlyok és kitettségi osztályok szerinti megoszlása;</w:t>
      </w:r>
    </w:p>
    <w:p w14:paraId="318DAC93" w14:textId="77777777" w:rsidR="001B1411" w:rsidRPr="00DA7625" w:rsidRDefault="00125707">
      <w:pPr>
        <w:pStyle w:val="InstructionsText2"/>
        <w:numPr>
          <w:ilvl w:val="0"/>
          <w:numId w:val="0"/>
        </w:numPr>
        <w:ind w:left="993"/>
      </w:pPr>
      <w:r w:rsidRPr="00DA7625">
        <w:t>b)</w:t>
      </w:r>
      <w:r w:rsidRPr="00DA7625">
        <w:tab/>
        <w:t xml:space="preserve">a kockázatok mérséklésére alkalmazott hitelkockázat-mérséklési technikák mértéke és típusa. </w:t>
      </w:r>
    </w:p>
    <w:p w14:paraId="232245F1"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36" w:name="_Toc31018782"/>
      <w:r w:rsidRPr="00DA7625">
        <w:rPr>
          <w:rFonts w:ascii="Times New Roman" w:hAnsi="Times New Roman"/>
          <w:sz w:val="24"/>
          <w:u w:val="none"/>
        </w:rPr>
        <w:t>3.2.2.</w:t>
      </w:r>
      <w:r w:rsidRPr="00DA7625">
        <w:rPr>
          <w:rFonts w:ascii="Times New Roman" w:hAnsi="Times New Roman"/>
          <w:sz w:val="24"/>
          <w:u w:val="none"/>
        </w:rPr>
        <w:tab/>
      </w:r>
      <w:r w:rsidRPr="00DA7625">
        <w:rPr>
          <w:rFonts w:ascii="Times New Roman" w:hAnsi="Times New Roman"/>
          <w:sz w:val="24"/>
        </w:rPr>
        <w:t>A CR SA tábla alkalmazási köre</w:t>
      </w:r>
      <w:bookmarkEnd w:id="36"/>
    </w:p>
    <w:p w14:paraId="74E1ED6A" w14:textId="08B2AD37" w:rsidR="001B1411" w:rsidRPr="00DA7625" w:rsidRDefault="00125707">
      <w:pPr>
        <w:pStyle w:val="InstructionsText2"/>
        <w:numPr>
          <w:ilvl w:val="0"/>
          <w:numId w:val="0"/>
        </w:numPr>
        <w:ind w:left="993"/>
      </w:pPr>
      <w:r w:rsidRPr="00DA7625">
        <w:t>48.</w:t>
      </w:r>
      <w:r w:rsidRPr="00DA7625">
        <w:tab/>
        <w:t>A CRR 112. cikke szerint minden SA kitettséget a 16 SA kitettségi osztály valamelyikébe kell sorolni a szavatolótőke-követelmény kiszámításához.</w:t>
      </w:r>
    </w:p>
    <w:p w14:paraId="1A5DE48F" w14:textId="59A37784" w:rsidR="001B1411" w:rsidRPr="00DA7625" w:rsidRDefault="00125707">
      <w:pPr>
        <w:pStyle w:val="InstructionsText2"/>
        <w:numPr>
          <w:ilvl w:val="0"/>
          <w:numId w:val="0"/>
        </w:numPr>
        <w:ind w:left="993"/>
      </w:pPr>
      <w:r w:rsidRPr="00DA7625">
        <w:t>49.</w:t>
      </w:r>
      <w:r w:rsidRPr="00DA7625">
        <w:tab/>
        <w:t xml:space="preserve">A CR SA táblán feltüntetett adatokra a kitettségi osztályok összegzésében, valamint a sztenderd módszer szerint meghatározott egyes kitettségi osztályokban van szükség. Az összesített adatokat és az egyes kitettségi osztályokban szereplő információkat külön dimenzióban kell megadni. </w:t>
      </w:r>
    </w:p>
    <w:p w14:paraId="1F160EE7" w14:textId="77777777" w:rsidR="001B1411" w:rsidRPr="00DA7625" w:rsidRDefault="00125707">
      <w:pPr>
        <w:pStyle w:val="InstructionsText2"/>
        <w:numPr>
          <w:ilvl w:val="0"/>
          <w:numId w:val="0"/>
        </w:numPr>
        <w:ind w:left="993"/>
      </w:pPr>
      <w:r w:rsidRPr="00DA7625">
        <w:t>50.</w:t>
      </w:r>
      <w:r w:rsidRPr="00DA7625">
        <w:tab/>
        <w:t>Az alábbi pozíciók azonban nem tartoznak a CR SA alkalmazási körébe:</w:t>
      </w:r>
    </w:p>
    <w:p w14:paraId="2C467C4D" w14:textId="78BDAC3F" w:rsidR="001B1411" w:rsidRPr="00DA7625" w:rsidRDefault="00125707">
      <w:pPr>
        <w:pStyle w:val="InstructionsText2"/>
        <w:numPr>
          <w:ilvl w:val="0"/>
          <w:numId w:val="0"/>
        </w:numPr>
        <w:ind w:left="993"/>
      </w:pPr>
      <w:r w:rsidRPr="00DA7625">
        <w:lastRenderedPageBreak/>
        <w:t>a)</w:t>
      </w:r>
      <w:r w:rsidRPr="00DA7625">
        <w:tab/>
        <w:t>a CRR 112. cikkének m) pontjában említett „értékpapírosítási pozíciókat megtestesítő tételek” kitettségi osztályba sorolt kitettségek, amelyekről a CR SEC táblákon kell adatot szolgáltatni;</w:t>
      </w:r>
    </w:p>
    <w:p w14:paraId="271B5B48" w14:textId="77777777" w:rsidR="001B1411" w:rsidRPr="00DA7625" w:rsidRDefault="00125707">
      <w:pPr>
        <w:pStyle w:val="InstructionsText2"/>
        <w:numPr>
          <w:ilvl w:val="0"/>
          <w:numId w:val="0"/>
        </w:numPr>
        <w:ind w:left="993"/>
      </w:pPr>
      <w:r w:rsidRPr="00DA7625">
        <w:t>b)</w:t>
      </w:r>
      <w:r w:rsidRPr="00DA7625">
        <w:tab/>
        <w:t>a szavatolótőkéből levont kitettségek.</w:t>
      </w:r>
    </w:p>
    <w:p w14:paraId="5F89B3AB" w14:textId="1F85E260" w:rsidR="001B1411" w:rsidRPr="00DA7625" w:rsidRDefault="00125707">
      <w:pPr>
        <w:pStyle w:val="InstructionsText2"/>
        <w:numPr>
          <w:ilvl w:val="0"/>
          <w:numId w:val="0"/>
        </w:numPr>
        <w:ind w:left="993"/>
      </w:pPr>
      <w:r w:rsidRPr="00DA7625">
        <w:t>51.</w:t>
      </w:r>
      <w:r w:rsidRPr="00DA7625">
        <w:tab/>
        <w:t>A CR SA tábla alkalmazási köre az alábbi szavatolótőke-követelményekre terjed ki:</w:t>
      </w:r>
    </w:p>
    <w:p w14:paraId="40BE9125" w14:textId="3B590834" w:rsidR="001B1411" w:rsidRPr="00DA7625" w:rsidRDefault="00125707">
      <w:pPr>
        <w:pStyle w:val="InstructionsText2"/>
        <w:numPr>
          <w:ilvl w:val="0"/>
          <w:numId w:val="0"/>
        </w:numPr>
        <w:ind w:left="993"/>
      </w:pPr>
      <w:r w:rsidRPr="00DA7625">
        <w:t>a)</w:t>
      </w:r>
      <w:r w:rsidRPr="00DA7625">
        <w:tab/>
        <w:t>a banki könyvben nyilvántartott, a CRR harmadik része II. címének 2. fejezete (Sztenderd módszer) szerinti hitelkockázat, ezen belül a banki könyvben nyilvántartott, a CRR harmadik része II. címének 6. fejezete (Partnerkockázat) szerinti partnerkockázat;</w:t>
      </w:r>
    </w:p>
    <w:p w14:paraId="69D3131A" w14:textId="619C9173" w:rsidR="001B1411" w:rsidRPr="00DA7625" w:rsidRDefault="00125707">
      <w:pPr>
        <w:pStyle w:val="InstructionsText2"/>
        <w:numPr>
          <w:ilvl w:val="0"/>
          <w:numId w:val="0"/>
        </w:numPr>
        <w:ind w:left="993"/>
      </w:pPr>
      <w:r w:rsidRPr="00DA7625">
        <w:t>b)</w:t>
      </w:r>
      <w:r w:rsidRPr="00DA7625">
        <w:tab/>
        <w:t>a kereskedési könyvben nyilvántartott, a CRR harmadik része II. címének 6. fejezete (Partnerkockázat) szerinti partnerkockázat;</w:t>
      </w:r>
    </w:p>
    <w:p w14:paraId="6190C467" w14:textId="4E84CB75" w:rsidR="001B1411" w:rsidRPr="00DA7625" w:rsidRDefault="00125707">
      <w:pPr>
        <w:pStyle w:val="InstructionsText2"/>
        <w:numPr>
          <w:ilvl w:val="0"/>
          <w:numId w:val="0"/>
        </w:numPr>
        <w:ind w:left="993"/>
      </w:pPr>
      <w:r w:rsidRPr="00DA7625">
        <w:t>c)</w:t>
      </w:r>
      <w:r w:rsidRPr="00DA7625">
        <w:tab/>
        <w:t>a CRR 379. cikke szerinti nyitva szállításokból eredő elszámolási kockázat az üzleti tevékenységek teljes körére vonatkozóan.</w:t>
      </w:r>
    </w:p>
    <w:p w14:paraId="09CB9C35" w14:textId="353E409C" w:rsidR="001B1411" w:rsidRPr="00DA7625" w:rsidRDefault="00125707">
      <w:pPr>
        <w:pStyle w:val="InstructionsText2"/>
        <w:numPr>
          <w:ilvl w:val="0"/>
          <w:numId w:val="0"/>
        </w:numPr>
        <w:ind w:left="993"/>
      </w:pPr>
      <w:r w:rsidRPr="00DA7625">
        <w:t>52.</w:t>
      </w:r>
      <w:r w:rsidRPr="00DA7625">
        <w:tab/>
        <w:t>A tábla alkalmazási köre minden olyan kitettségre kiterjed, amelynek szavatolótőke-követelményét a CRR harmadik része II. címének 2., valamint 4. és 6. fejezete szerint kell kiszámítani. A CRR 94. cikkének (1) bekezdését alkalmazó intézményeknek ezen a táblán kell adatot szolgáltatniuk a kereskedési könyvi pozícióikról is akkor, ha az azokra vonatkozó szavatolótőke-követelményeket a CRR harmadik része II. címének 2. fejezete (a CRR harmadik része II. címének 2. és 6. fejezete és V. címe) alapján számítják ki. Ebből adódóan a tábla nem csupán a kitettség típusáról nyújt részletes tájékoztatást (pl. mérlegtételek/mérlegen kívüli tételek), hanem a kockázati súlyoknak az adott kitettségi osztályon belüli eloszlásáról is.</w:t>
      </w:r>
    </w:p>
    <w:p w14:paraId="6334493C" w14:textId="30416E60" w:rsidR="001B1411" w:rsidRPr="00DA7625" w:rsidRDefault="00125707">
      <w:pPr>
        <w:pStyle w:val="InstructionsText2"/>
        <w:numPr>
          <w:ilvl w:val="0"/>
          <w:numId w:val="0"/>
        </w:numPr>
        <w:ind w:left="993"/>
      </w:pPr>
      <w:r w:rsidRPr="00DA7625">
        <w:t>53.</w:t>
      </w:r>
      <w:r w:rsidRPr="00DA7625">
        <w:tab/>
        <w:t xml:space="preserve">Ezenkívül a CR SA táblában a 290–320. sorok további tájékoztató adatokat tartalmaznak az ingatlanra bejegyzett zálogjoggal fedezett kitettségekről, valamint a nemteljesítő kitettségekről. </w:t>
      </w:r>
    </w:p>
    <w:p w14:paraId="67EA7489" w14:textId="59341A36" w:rsidR="001B1411" w:rsidRPr="00DA7625" w:rsidRDefault="00125707">
      <w:pPr>
        <w:pStyle w:val="InstructionsText2"/>
        <w:numPr>
          <w:ilvl w:val="0"/>
          <w:numId w:val="0"/>
        </w:numPr>
        <w:ind w:left="993"/>
      </w:pPr>
      <w:r w:rsidRPr="00DA7625">
        <w:t>54.</w:t>
      </w:r>
      <w:r w:rsidRPr="00DA7625">
        <w:tab/>
        <w:t xml:space="preserve">Ezeket a tájékoztató adatokat kizárólag az alábbi kitettségi osztályokra vonatkozóan kell megadni: </w:t>
      </w:r>
    </w:p>
    <w:p w14:paraId="2885A1A2" w14:textId="76D9374F" w:rsidR="001B1411" w:rsidRPr="00DA7625" w:rsidRDefault="00125707">
      <w:pPr>
        <w:pStyle w:val="InstructionsText2"/>
        <w:numPr>
          <w:ilvl w:val="0"/>
          <w:numId w:val="0"/>
        </w:numPr>
        <w:ind w:left="993"/>
      </w:pPr>
      <w:r w:rsidRPr="00DA7625">
        <w:t>a)</w:t>
      </w:r>
      <w:r w:rsidRPr="00DA7625">
        <w:tab/>
        <w:t>központi kormányzatok vagy központi bankok (a CRR 112. cikkének a) pontja);</w:t>
      </w:r>
    </w:p>
    <w:p w14:paraId="299692FA" w14:textId="57463D83" w:rsidR="001B1411" w:rsidRPr="00DA7625" w:rsidRDefault="00125707">
      <w:pPr>
        <w:pStyle w:val="InstructionsText2"/>
        <w:numPr>
          <w:ilvl w:val="0"/>
          <w:numId w:val="0"/>
        </w:numPr>
        <w:ind w:left="993"/>
      </w:pPr>
      <w:r w:rsidRPr="00DA7625">
        <w:t>b)</w:t>
      </w:r>
      <w:r w:rsidRPr="00DA7625">
        <w:tab/>
        <w:t>regionális kormányzatok vagy helyi hatóságok (a CRR 112. cikkének b) pontja);</w:t>
      </w:r>
    </w:p>
    <w:p w14:paraId="10915378" w14:textId="2EF8A380" w:rsidR="001B1411" w:rsidRPr="00DA7625" w:rsidRDefault="00125707">
      <w:pPr>
        <w:pStyle w:val="InstructionsText2"/>
        <w:numPr>
          <w:ilvl w:val="0"/>
          <w:numId w:val="0"/>
        </w:numPr>
        <w:ind w:left="993"/>
      </w:pPr>
      <w:r w:rsidRPr="00DA7625">
        <w:t>c)</w:t>
      </w:r>
      <w:r w:rsidRPr="00DA7625">
        <w:tab/>
        <w:t>közszektorbeli intézmények (a CRR 112. cikkének c) pontja);</w:t>
      </w:r>
    </w:p>
    <w:p w14:paraId="323BE37C" w14:textId="453F60FE" w:rsidR="001B1411" w:rsidRPr="00DA7625" w:rsidRDefault="00125707">
      <w:pPr>
        <w:pStyle w:val="InstructionsText2"/>
        <w:numPr>
          <w:ilvl w:val="0"/>
          <w:numId w:val="0"/>
        </w:numPr>
        <w:ind w:left="993"/>
      </w:pPr>
      <w:r w:rsidRPr="00DA7625">
        <w:t>d)</w:t>
      </w:r>
      <w:r w:rsidRPr="00DA7625">
        <w:tab/>
        <w:t>intézmények (a CRR 112. cikkének f) pontja);</w:t>
      </w:r>
    </w:p>
    <w:p w14:paraId="3E92CB10" w14:textId="5555DC0A" w:rsidR="001B1411" w:rsidRPr="00DA7625" w:rsidRDefault="00125707">
      <w:pPr>
        <w:pStyle w:val="InstructionsText2"/>
        <w:numPr>
          <w:ilvl w:val="0"/>
          <w:numId w:val="0"/>
        </w:numPr>
        <w:ind w:left="993"/>
      </w:pPr>
      <w:r w:rsidRPr="00DA7625">
        <w:t>e)</w:t>
      </w:r>
      <w:r w:rsidRPr="00DA7625">
        <w:tab/>
        <w:t>vállalkozások (a CRR 112. cikkének g) pontja);</w:t>
      </w:r>
    </w:p>
    <w:p w14:paraId="2084F570" w14:textId="1B99FF84" w:rsidR="001B1411" w:rsidRPr="00DA7625" w:rsidRDefault="00125707">
      <w:pPr>
        <w:pStyle w:val="InstructionsText2"/>
        <w:numPr>
          <w:ilvl w:val="0"/>
          <w:numId w:val="0"/>
        </w:numPr>
        <w:ind w:left="993"/>
      </w:pPr>
      <w:r w:rsidRPr="00DA7625">
        <w:t>f)</w:t>
      </w:r>
      <w:r w:rsidRPr="00DA7625">
        <w:tab/>
        <w:t>lakosság (a CRR 112. cikkének h) pontja).</w:t>
      </w:r>
    </w:p>
    <w:p w14:paraId="27C88E40" w14:textId="3FF304DE" w:rsidR="001B1411" w:rsidRPr="00DA7625" w:rsidRDefault="00125707">
      <w:pPr>
        <w:pStyle w:val="InstructionsText2"/>
        <w:numPr>
          <w:ilvl w:val="0"/>
          <w:numId w:val="0"/>
        </w:numPr>
        <w:ind w:left="993"/>
      </w:pPr>
      <w:r w:rsidRPr="00DA7625">
        <w:t>55.</w:t>
      </w:r>
      <w:r w:rsidRPr="00DA7625">
        <w:tab/>
        <w:t xml:space="preserve">A tájékoztató adatok megadása sem a CRR 112. cikkének a)–c) és f)–h) pontjában említett kitettségi osztályok, sem pedig a CR SA táblán feltüntetett, a CRR 112. </w:t>
      </w:r>
      <w:r w:rsidRPr="00DA7625">
        <w:lastRenderedPageBreak/>
        <w:t xml:space="preserve">cikkének i) és j) pontjában említett kitettségi osztályok kockázattal súlyozott kitettségértékének kiszámítását nem érinti. </w:t>
      </w:r>
    </w:p>
    <w:p w14:paraId="5405E871" w14:textId="564E5802" w:rsidR="001B1411" w:rsidRPr="00DA7625" w:rsidRDefault="00125707">
      <w:pPr>
        <w:pStyle w:val="InstructionsText2"/>
        <w:numPr>
          <w:ilvl w:val="0"/>
          <w:numId w:val="0"/>
        </w:numPr>
        <w:ind w:left="993"/>
      </w:pPr>
      <w:r w:rsidRPr="00DA7625">
        <w:t>56.</w:t>
      </w:r>
      <w:r w:rsidRPr="00DA7625">
        <w:tab/>
        <w:t>A tájékoztató sorok kiegészítő információkat nyújtanak a „nemteljesítő” és „ingatlanra bejegyzett zálogjoggal fedezett” kitettségi osztályok kötelezetti struktúrájáról. E sorokban azokat a kitettségeket kell megadni, amelyeknél a kötelezetteket a CR SA tábla „központi kormányzatok vagy központi bankok”, „regionális kormányzatok vagy helyi hatóságok”, „közszektorbeli intézmények”, „intézmények”, „vállalkozások” és „lakosság” kitettségi osztályaiba kellene sorolni akkor, ha a kitettségek nem a „nemteljesítő” vagy „ingatlanra bejegyzett zálogjoggal fedezett” kitettségi osztályba tartoznának. Mindazonáltal a megadott számadatoknak meg kell egyezniük a „nemteljesítő” és „ingatlanra bejegyzett zálogjoggal fedezett” kitettségi osztályok kockázattal súlyozott kitettségértékeinek számításához használt adatokkal.</w:t>
      </w:r>
    </w:p>
    <w:p w14:paraId="01B323ED" w14:textId="38714DC4" w:rsidR="001B1411" w:rsidRPr="00DA7625" w:rsidRDefault="00125707">
      <w:pPr>
        <w:pStyle w:val="InstructionsText2"/>
        <w:numPr>
          <w:ilvl w:val="0"/>
          <w:numId w:val="0"/>
        </w:numPr>
        <w:ind w:left="993"/>
      </w:pPr>
      <w:r w:rsidRPr="00DA7625">
        <w:t>57.</w:t>
      </w:r>
      <w:r w:rsidRPr="00DA7625">
        <w:tab/>
        <w:t>Pl. egy olyan kitettség esetében, amelynek kitettségértékeit a CRR 127. cikke alapján számítják ki 20 % alatti értékelési korrekció mellett, ezt az információt a CR SA 320. sorában az összesített adatok között, valamint a „nemteljesítő” kitettségi osztályban kell feltüntetni. Ha ugyanez a kitettség a nemteljesítést megelőzően intézménnyel szembeni kitettség volt, akkor ezt az információt az „intézmények” kitettségi osztály 320. sorában is fel kell tüntetni.</w:t>
      </w:r>
    </w:p>
    <w:p w14:paraId="5075EBA7"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37" w:name="_Toc31018783"/>
      <w:r w:rsidRPr="00DA7625">
        <w:rPr>
          <w:rFonts w:ascii="Times New Roman" w:hAnsi="Times New Roman"/>
          <w:sz w:val="24"/>
          <w:u w:val="none"/>
        </w:rPr>
        <w:t>3.2.3.</w:t>
      </w:r>
      <w:r w:rsidRPr="00DA7625">
        <w:rPr>
          <w:rFonts w:ascii="Times New Roman" w:hAnsi="Times New Roman"/>
          <w:sz w:val="24"/>
          <w:u w:val="none"/>
        </w:rPr>
        <w:tab/>
      </w:r>
      <w:r w:rsidRPr="00DA7625">
        <w:rPr>
          <w:rFonts w:ascii="Times New Roman" w:hAnsi="Times New Roman"/>
          <w:sz w:val="24"/>
        </w:rPr>
        <w:t xml:space="preserve"> A kitettségek kitettségi osztályba sorolása a sztenderd módszerrel</w:t>
      </w:r>
      <w:bookmarkEnd w:id="37"/>
    </w:p>
    <w:p w14:paraId="56DE341F" w14:textId="24064B92" w:rsidR="001B1411" w:rsidRPr="00DA7625" w:rsidRDefault="00125707">
      <w:pPr>
        <w:pStyle w:val="InstructionsText2"/>
        <w:numPr>
          <w:ilvl w:val="0"/>
          <w:numId w:val="0"/>
        </w:numPr>
        <w:ind w:left="993"/>
      </w:pPr>
      <w:r w:rsidRPr="00DA7625">
        <w:t>58.</w:t>
      </w:r>
      <w:r w:rsidRPr="00DA7625">
        <w:tab/>
        <w:t xml:space="preserve">A kitettségeknek a CRR 112. cikkében említett különböző kitettségi osztályokba történő következetes besorolása érdekében az alábbi lépcsőzetes módszert kell alkalmazni: </w:t>
      </w:r>
    </w:p>
    <w:p w14:paraId="25825A90" w14:textId="670F637A" w:rsidR="001B1411" w:rsidRPr="00DA7625" w:rsidRDefault="00125707">
      <w:pPr>
        <w:pStyle w:val="InstructionsText2"/>
        <w:numPr>
          <w:ilvl w:val="0"/>
          <w:numId w:val="0"/>
        </w:numPr>
        <w:ind w:left="993"/>
      </w:pPr>
      <w:r w:rsidRPr="00DA7625">
        <w:t>a)</w:t>
      </w:r>
      <w:r w:rsidRPr="00DA7625">
        <w:tab/>
        <w:t>első lépésben a hitel-egyenértékesítési tényezők előtti eredeti kitettséget a CRR 112. cikkében említettek közül a megfelelő (eredeti) kitettségi osztályba kell sorolni attól függetlenül, hogy az egyes kitettségek a besorolásuk szerinti kitettségi osztályban milyen kockázati súlyt kapnak;</w:t>
      </w:r>
    </w:p>
    <w:p w14:paraId="14D8FCDD" w14:textId="77777777" w:rsidR="001B1411" w:rsidRPr="00DA7625" w:rsidRDefault="00125707">
      <w:pPr>
        <w:pStyle w:val="InstructionsText2"/>
        <w:numPr>
          <w:ilvl w:val="0"/>
          <w:numId w:val="0"/>
        </w:numPr>
        <w:ind w:left="993"/>
      </w:pPr>
      <w:r w:rsidRPr="00DA7625">
        <w:t>b)</w:t>
      </w:r>
      <w:r w:rsidRPr="00DA7625">
        <w:tab/>
        <w:t>második lépésben a kitettségek a rájuk helyettesítési hatást kifejtő hitelkockázat-mérséklési (CRM) technikák (garanciák, hitelderivatívák, a pénzügyi biztosítékok egyszerű módszere) be- és kiáramlás formájában történő alkalmazásából eredően átsorolhatók más kitettségi osztályokba.</w:t>
      </w:r>
    </w:p>
    <w:p w14:paraId="636966C0" w14:textId="5468243F" w:rsidR="001B1411" w:rsidRPr="00DA7625" w:rsidRDefault="00125707">
      <w:pPr>
        <w:pStyle w:val="InstructionsText2"/>
        <w:numPr>
          <w:ilvl w:val="0"/>
          <w:numId w:val="0"/>
        </w:numPr>
        <w:ind w:left="993"/>
      </w:pPr>
      <w:r w:rsidRPr="00DA7625">
        <w:t>59.</w:t>
      </w:r>
      <w:r w:rsidRPr="00DA7625">
        <w:tab/>
        <w:t>A hitel-egyenértékesítési tényezők előtti eredeti kitettségnek a különböző kitettségi osztályokba sorolására (első lépés) – függetlenül a kitettségre helyettesítési hatással járó hitelkockázat-mérséklési technikák alkalmazása miatti későbbi átsorolástól, valamint attól, hogy az egyes kitettségek a besorolásuk szerinti kitettségi osztályban milyen kockázati súlyt kapnak – az alábbi kritériumok vonatkoznak.</w:t>
      </w:r>
    </w:p>
    <w:p w14:paraId="5D97C3FE" w14:textId="52320A1D" w:rsidR="001B1411" w:rsidRPr="00DA7625" w:rsidRDefault="00125707">
      <w:pPr>
        <w:pStyle w:val="InstructionsText2"/>
        <w:numPr>
          <w:ilvl w:val="0"/>
          <w:numId w:val="0"/>
        </w:numPr>
        <w:ind w:left="993"/>
      </w:pPr>
      <w:r w:rsidRPr="00DA7625">
        <w:t>60.</w:t>
      </w:r>
      <w:r w:rsidRPr="00DA7625">
        <w:tab/>
        <w:t>A hitel-egyenértékesítési tényezők előtti eredeti kitettségnek az első lépésben történő besorolása céljából a kitettséghez kapcsolódó hitelkockázat-mérséklési technikák nem vehetők figyelembe (részletes vizsgálatukra a második lépésben kerül sor), kivéve akkor, ha a fedezeti hatást a kitettségi osztály meghatározása magában foglalja, mint a CRR 112. cikkének i) pontjában említett kitettségi osztály esetében (ingatlanra bejegyzett zálogjoggal fedezett kitettségek).</w:t>
      </w:r>
    </w:p>
    <w:p w14:paraId="2246C4DC" w14:textId="012A7A4B" w:rsidR="001B1411" w:rsidRPr="00DA7625" w:rsidRDefault="00125707">
      <w:pPr>
        <w:pStyle w:val="InstructionsText2"/>
        <w:numPr>
          <w:ilvl w:val="0"/>
          <w:numId w:val="0"/>
        </w:numPr>
        <w:ind w:left="993"/>
      </w:pPr>
      <w:r w:rsidRPr="00DA7625">
        <w:lastRenderedPageBreak/>
        <w:t>61.</w:t>
      </w:r>
      <w:r w:rsidRPr="00DA7625">
        <w:tab/>
        <w:t>A CRR 112. cikke nem rögzíti a kitettségi osztályok különválasztásának kritériumait. Ez azt jelentheti, hogy egy adott kitettség különböző kitettségi osztályokba lenne esetleg sorolható akkor, ha a besorolásra vonatkozó értékelési kritériumokat nem rangsorolják. Ennek legnyilvánvalóbb esete a rövid távú hitelminősítéssel rendelkező intézményekkel és vállalkozásokkal szembeni kitettségek (a CRR 112. cikkének n) pontja), illetve az intézményekkel szembeni kitettségek (a CRR 112. cikkének f) pontja) vagy vállalkozásokkal szembeni kitettségek (a CRR 112. cikkének g) pontja) besorolása. Ebben az esetben egyértelmű, hogy a CRR burkoltan rangsorol, mivel először annak értékelésére kerül sor, hogy egy bizonyos kitettség az intézményekkel és vállalkozásokkal szembeni rövid távú kitettségek közé sorolható-e, és csak ezután értékelhető, hogy a kitettség intézményekkel vagy vállalkozásokkal szemben áll-e fenn. Magától értetődik, hogy egyébként a CRR 112. cikkének n) pontjában említett kitettségi osztályba egyetlen esetben sem lenne sorolható kitettség. A példa a legnyilvánvalóbbak közé tartozik, de nem az egyetlen. Érdemes megjegyezni, hogy a sztenderd módszer keretében a kitettségi osztályok meghatározása különböző kritériumok mentén történik (intézményi besorolás, a kitettség időtartama, késedelmes státusz stb.), ezért a besoroláskor alkalmazott csoportok nem különállóak (nem diszjunkt halmazok).</w:t>
      </w:r>
    </w:p>
    <w:p w14:paraId="0FFB00BE" w14:textId="16548A18" w:rsidR="001B1411" w:rsidRPr="00DA7625" w:rsidRDefault="00125707">
      <w:pPr>
        <w:pStyle w:val="InstructionsText2"/>
        <w:numPr>
          <w:ilvl w:val="0"/>
          <w:numId w:val="0"/>
        </w:numPr>
        <w:ind w:left="993"/>
      </w:pPr>
      <w:r w:rsidRPr="00DA7625">
        <w:t>62.</w:t>
      </w:r>
      <w:r w:rsidRPr="00DA7625">
        <w:tab/>
        <w:t>A homogén és összehasonlítható adatszolgáltatáshoz rangsorolási célú értékelési kritériumok meghatározása szükséges annak érdekében, hogy a hitel-egyenértékesítési tényezők előtti eredeti kitettséget kitettségi osztályba lehessen sorolni attól függetlenül, hogy az egyes kitettségek a besorolásuk szerinti kitettségi osztályban milyen kockázati súlyt kapnak. Az alábbiakban bemutatott, döntési fába rendezett rangsorolási kritériumok azon feltételek értékelésére épülnek, amelyeket a CRR egyértelműen rögzít arra vonatkozóan, hogy egy adott kitettség besorolható-e egy bizonyos kitettségi osztályba, és ha igen, akkor az adatot szolgáltató intézménynek vagy a felügyeleti hatóságnak milyen döntéseket kell hoznia az egyes kitettségi osztályok alkalmazhatóságával kapcsolatban. Következésképpen a kitettségek adatszolgáltatási célú besorolási folyamatának eredménye megfelel a CRR rendelkezéseinek. Ez nem tiltja meg, hogy az intézmények egyéb olyan belső besorolási eljárásokat alkalmazzanak, amelyek szintén megfelelnek a CRR valamennyi vonatkozó rendelkezésének, valamint a CRR megfelelő fórumokon közzétett értelmezéseinek.</w:t>
      </w:r>
    </w:p>
    <w:p w14:paraId="2B58442E" w14:textId="288E713D" w:rsidR="001B1411" w:rsidRPr="00DA7625" w:rsidRDefault="00125707">
      <w:pPr>
        <w:pStyle w:val="InstructionsText2"/>
        <w:numPr>
          <w:ilvl w:val="0"/>
          <w:numId w:val="0"/>
        </w:numPr>
        <w:ind w:left="993"/>
      </w:pPr>
      <w:r w:rsidRPr="00DA7625">
        <w:t>63.</w:t>
      </w:r>
      <w:r w:rsidRPr="00DA7625">
        <w:tab/>
        <w:t>Egy kitettségi osztály a döntési fán belüli értékelési rangsorban elsőbbséget élvez (tehát először annak értékelésére kerül sor, hogy egy adott kitettség abba a kitettségi osztályba sorolható-e, függetlenül az értékelés eredményétől), ha egyébként abba az osztályba nem lehetne kitettséget sorolni. Ez a helyzet akkor, ha rangsorolási kritériumok hiányában egy kitettségi osztály egy másiknak a részhalmaza. Következésképpen az alábbi döntési fán grafikusan ábrázolt kritériumok lépcsőzetes folyamatot alkotnának.</w:t>
      </w:r>
    </w:p>
    <w:p w14:paraId="743C534D" w14:textId="7B9AEE86" w:rsidR="001B1411" w:rsidRPr="00DA7625" w:rsidRDefault="00125707">
      <w:pPr>
        <w:pStyle w:val="InstructionsText2"/>
        <w:numPr>
          <w:ilvl w:val="0"/>
          <w:numId w:val="0"/>
        </w:numPr>
        <w:ind w:left="993"/>
      </w:pPr>
      <w:r w:rsidRPr="00DA7625">
        <w:t>64.</w:t>
      </w:r>
      <w:r w:rsidRPr="00DA7625">
        <w:tab/>
        <w:t>Ennek alapján a döntési fán belüli értékelési rangsorolásnak az alábbi sorrendet kell követnie:</w:t>
      </w:r>
    </w:p>
    <w:p w14:paraId="4954B2D3" w14:textId="77777777" w:rsidR="001B1411" w:rsidRPr="00DA7625" w:rsidRDefault="00464F34">
      <w:pPr>
        <w:pStyle w:val="InstructionsText"/>
        <w:ind w:left="1416"/>
      </w:pPr>
      <w:r w:rsidRPr="00DA7625">
        <w:t>1. értékpapírosítási pozíciók;</w:t>
      </w:r>
    </w:p>
    <w:p w14:paraId="515D1A40" w14:textId="77777777" w:rsidR="001B1411" w:rsidRPr="00DA7625" w:rsidRDefault="00464F34">
      <w:pPr>
        <w:pStyle w:val="InstructionsText"/>
        <w:ind w:left="1416"/>
      </w:pPr>
      <w:r w:rsidRPr="00DA7625">
        <w:t>2. kiemelkedően magas kockázatú tételek;</w:t>
      </w:r>
    </w:p>
    <w:p w14:paraId="7BC4DBAB" w14:textId="77777777" w:rsidR="001B1411" w:rsidRPr="00DA7625" w:rsidRDefault="00464F34">
      <w:pPr>
        <w:pStyle w:val="InstructionsText"/>
        <w:ind w:left="1416"/>
      </w:pPr>
      <w:r w:rsidRPr="00DA7625">
        <w:t>3. Részvényjellegű kitettségek</w:t>
      </w:r>
    </w:p>
    <w:p w14:paraId="4A2C27D5" w14:textId="77777777" w:rsidR="001B1411" w:rsidRPr="00DA7625" w:rsidRDefault="00464F34">
      <w:pPr>
        <w:pStyle w:val="InstructionsText"/>
        <w:ind w:left="1416"/>
      </w:pPr>
      <w:r w:rsidRPr="00DA7625">
        <w:t>4. nemteljesítő kitettségek;</w:t>
      </w:r>
    </w:p>
    <w:p w14:paraId="1B00E1D6" w14:textId="77777777" w:rsidR="001B1411" w:rsidRPr="00DA7625" w:rsidRDefault="00464F34">
      <w:pPr>
        <w:pStyle w:val="InstructionsText"/>
        <w:ind w:left="1416"/>
      </w:pPr>
      <w:r w:rsidRPr="00DA7625">
        <w:lastRenderedPageBreak/>
        <w:t>5. kollektív befektetési formák (KBF-ek) befektetési jegyeinek vagy részvényeinek formájában fennálló kitettségek/fedezett kötvények formájában fennálló kitettségek (diszjunkt kitettségi osztályok);</w:t>
      </w:r>
    </w:p>
    <w:p w14:paraId="0BE47EDA" w14:textId="77777777" w:rsidR="001B1411" w:rsidRPr="00DA7625" w:rsidRDefault="00464F34">
      <w:pPr>
        <w:pStyle w:val="InstructionsText"/>
        <w:ind w:left="1416"/>
      </w:pPr>
      <w:r w:rsidRPr="00DA7625">
        <w:t>6. ingatlanra bejegyzett zálogjoggal fedezett kitettségek;</w:t>
      </w:r>
    </w:p>
    <w:p w14:paraId="57E315D6" w14:textId="77777777" w:rsidR="001B1411" w:rsidRPr="00DA7625" w:rsidRDefault="00464F34">
      <w:pPr>
        <w:pStyle w:val="InstructionsText"/>
        <w:ind w:left="1416"/>
      </w:pPr>
      <w:r w:rsidRPr="00DA7625">
        <w:t>7. egyéb tételek;</w:t>
      </w:r>
    </w:p>
    <w:p w14:paraId="3DC985C3" w14:textId="77777777" w:rsidR="001B1411" w:rsidRPr="00DA7625" w:rsidRDefault="00464F34">
      <w:pPr>
        <w:pStyle w:val="InstructionsText"/>
        <w:ind w:left="1416"/>
      </w:pPr>
      <w:r w:rsidRPr="00DA7625">
        <w:t>8. rövid távú hitelminősítéssel rendelkező intézményekkel és vállalkozásokkal szembeni kitettségek;</w:t>
      </w:r>
    </w:p>
    <w:p w14:paraId="771D6D91" w14:textId="77777777" w:rsidR="001B1411" w:rsidRPr="00DA7625" w:rsidRDefault="00464F34">
      <w:pPr>
        <w:pStyle w:val="InstructionsText"/>
        <w:ind w:left="1416"/>
      </w:pPr>
      <w:r w:rsidRPr="00DA7625">
        <w:t>9. valamennyi egyéb kitettségi osztály (diszjunkt kitettségi osztályok): központi kormányzattal vagy központi bankkal szembeni kitettségek; regionális kormányzatokkal vagy helyi hatóságokkal szembeni kitettségek; közszektorbeli intézményekkel szembeni kitettségek; multilaterális fejlesztési bankokkal szembeni kitettségek; nemzetközi szervezetekkel szembeni kitettségek; intézményekkel szembeni kitettségek; vállalkozásokkal és lakossággal szembeni kitettségek.</w:t>
      </w:r>
    </w:p>
    <w:p w14:paraId="3F014AD0" w14:textId="51228443" w:rsidR="001B1411" w:rsidRPr="00DA7625" w:rsidRDefault="00125707">
      <w:pPr>
        <w:pStyle w:val="InstructionsText2"/>
        <w:numPr>
          <w:ilvl w:val="0"/>
          <w:numId w:val="0"/>
        </w:numPr>
        <w:ind w:left="993"/>
      </w:pPr>
      <w:r w:rsidRPr="00DA7625">
        <w:t>65.</w:t>
      </w:r>
      <w:r w:rsidRPr="00DA7625">
        <w:tab/>
        <w:t>A kollektív befektetési formák befektetési jegyeinek vagy részvényeinek formájában fennálló kitettségek esetében, valamint az alapul szolgáló eszközök vizsgálata esetén (a CRR 132. cikkének (3)–(5) bekezdése) figyelembe kell venni az alapul szolgáló egyedi kitettségeket, majd azokhoz a kezelésüknek megfelelő kockázati súlyt kell rendelni, azonban valamennyi egyedi kitettséget a kollektív befektetési formák (KBF-ek) befektetési jegyeinek vagy részvényeinek formájában fennálló kitettségek osztályába kell besorolni.</w:t>
      </w:r>
    </w:p>
    <w:p w14:paraId="2F9FE036" w14:textId="22F742D8" w:rsidR="001B1411" w:rsidRPr="00DA7625" w:rsidRDefault="00125707">
      <w:pPr>
        <w:pStyle w:val="InstructionsText2"/>
        <w:numPr>
          <w:ilvl w:val="0"/>
          <w:numId w:val="0"/>
        </w:numPr>
        <w:ind w:left="993"/>
      </w:pPr>
      <w:r w:rsidRPr="00DA7625">
        <w:t>66.</w:t>
      </w:r>
      <w:r w:rsidRPr="00DA7625">
        <w:tab/>
        <w:t xml:space="preserve"> A CRR 134. cikkének (6) bekezdésében meghatározott, n-edik nemteljesítéskor lehívható hitelderivatívákat minősítésük esetén közvetlenül az értékpapírosítási pozíciók közé kell sorolni. Minősítés hiányában az „egyéb tételek” kitettségi osztályban kell figyelembe venni ezeket. Ez utóbbi esetben a szerződés névértékét hitel-egyenértékesítési tényezők előtti eredeti kitettségként kell feltüntetni az „egyéb kockázati súlyok” sorban (az alkalmazott kockázati súly a CRR 134. cikkének (6) bekezdésében megadott összeg). </w:t>
      </w:r>
    </w:p>
    <w:p w14:paraId="23693882" w14:textId="77777777" w:rsidR="001B1411" w:rsidRPr="00DA7625" w:rsidRDefault="00125707">
      <w:pPr>
        <w:pStyle w:val="InstructionsText2"/>
        <w:numPr>
          <w:ilvl w:val="0"/>
          <w:numId w:val="0"/>
        </w:numPr>
        <w:ind w:left="993"/>
      </w:pPr>
      <w:r w:rsidRPr="00DA7625">
        <w:t>67.</w:t>
      </w:r>
      <w:r w:rsidRPr="00DA7625">
        <w:tab/>
        <w:t>A második lépésben a helyettesítési hatással járó hitelkockázat-mérséklési technikák következtében a kitettségeket a fedezetnyújtó kitettségi osztályába kell átsorolni.</w:t>
      </w:r>
    </w:p>
    <w:p w14:paraId="16A9923E" w14:textId="690FD34A" w:rsidR="001B1411" w:rsidRPr="00DA7625" w:rsidRDefault="00464F34">
      <w:pPr>
        <w:pStyle w:val="InstructionsText"/>
      </w:pPr>
      <w:r w:rsidRPr="00DA7625">
        <w:br w:type="page"/>
      </w:r>
      <w:r w:rsidRPr="00DA7625">
        <w:lastRenderedPageBreak/>
        <w:t xml:space="preserve">DÖNTÉSI FA A HITEL-EGYENÉRTÉKESÍTÉSI TÉNYEZŐK ELŐTTI EREDETI KITETTSÉGNEK A CRR SZERINTI SZTENDERD MÓDSZER KITETTSÉGI OSZTÁLYAIBA SOROLÁSÁHOZ </w:t>
      </w:r>
    </w:p>
    <w:p w14:paraId="025C2526" w14:textId="77777777" w:rsidR="001B1411" w:rsidRPr="00DA7625" w:rsidRDefault="001B1411">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7"/>
        <w:gridCol w:w="1395"/>
        <w:gridCol w:w="3957"/>
      </w:tblGrid>
      <w:tr w:rsidR="001B1411" w:rsidRPr="00DA7625" w14:paraId="2A889189" w14:textId="77777777" w:rsidTr="00672D2A">
        <w:tc>
          <w:tcPr>
            <w:tcW w:w="3761" w:type="dxa"/>
            <w:shd w:val="clear" w:color="auto" w:fill="auto"/>
          </w:tcPr>
          <w:p w14:paraId="2409E75E" w14:textId="1F29BACB" w:rsidR="001B1411" w:rsidRPr="00DA7625" w:rsidRDefault="003A1B96">
            <w:pPr>
              <w:spacing w:before="0" w:after="0"/>
              <w:jc w:val="left"/>
              <w:rPr>
                <w:sz w:val="24"/>
              </w:rPr>
            </w:pPr>
            <w:r w:rsidRPr="00DA7625">
              <w:rPr>
                <w:rFonts w:ascii="Times New Roman" w:hAnsi="Times New Roman"/>
                <w:sz w:val="24"/>
              </w:rPr>
              <w:t>Hitel-egyenértékesítési tényezők előtti eredeti kitettség</w:t>
            </w:r>
          </w:p>
        </w:tc>
        <w:tc>
          <w:tcPr>
            <w:tcW w:w="1417" w:type="dxa"/>
            <w:shd w:val="clear" w:color="auto" w:fill="auto"/>
          </w:tcPr>
          <w:p w14:paraId="2AFDBC59" w14:textId="77777777" w:rsidR="001B1411" w:rsidRPr="00DA7625" w:rsidRDefault="001B1411">
            <w:pPr>
              <w:pStyle w:val="InstructionsText"/>
            </w:pPr>
          </w:p>
        </w:tc>
        <w:tc>
          <w:tcPr>
            <w:tcW w:w="4077" w:type="dxa"/>
            <w:shd w:val="clear" w:color="auto" w:fill="auto"/>
          </w:tcPr>
          <w:p w14:paraId="632F597A" w14:textId="77777777" w:rsidR="001B1411" w:rsidRPr="00DA7625" w:rsidRDefault="001B1411">
            <w:pPr>
              <w:pStyle w:val="InstructionsText"/>
            </w:pPr>
          </w:p>
        </w:tc>
      </w:tr>
      <w:tr w:rsidR="001B1411" w:rsidRPr="00DA7625" w14:paraId="68AE611A" w14:textId="77777777" w:rsidTr="00672D2A">
        <w:tc>
          <w:tcPr>
            <w:tcW w:w="3761" w:type="dxa"/>
            <w:shd w:val="clear" w:color="auto" w:fill="auto"/>
          </w:tcPr>
          <w:p w14:paraId="5444040B" w14:textId="1EEFC05C" w:rsidR="001B1411" w:rsidRPr="00DA7625" w:rsidRDefault="00581FA5">
            <w:pPr>
              <w:pStyle w:val="InstructionsText"/>
            </w:pPr>
            <w:r w:rsidRPr="00DA7625">
              <w:t>A CRR 112. cikkének m) pontja szerinti kitettségi osztályba sorolható?</w:t>
            </w:r>
          </w:p>
        </w:tc>
        <w:tc>
          <w:tcPr>
            <w:tcW w:w="1417" w:type="dxa"/>
            <w:shd w:val="clear" w:color="auto" w:fill="auto"/>
          </w:tcPr>
          <w:p w14:paraId="505BFA94" w14:textId="77777777" w:rsidR="001B1411" w:rsidRPr="00DA7625" w:rsidRDefault="00BD52C3">
            <w:pPr>
              <w:pStyle w:val="InstructionsText"/>
            </w:pPr>
            <w:r w:rsidRPr="00DA7625">
              <w:t xml:space="preserve">IGEN </w:t>
            </w:r>
            <w:r w:rsidRPr="00DA7625">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1B1411" w:rsidRPr="00DA7625" w:rsidRDefault="001B1411">
            <w:pPr>
              <w:pStyle w:val="InstructionsText"/>
            </w:pPr>
          </w:p>
        </w:tc>
        <w:tc>
          <w:tcPr>
            <w:tcW w:w="4077" w:type="dxa"/>
            <w:shd w:val="clear" w:color="auto" w:fill="auto"/>
          </w:tcPr>
          <w:p w14:paraId="3077380F" w14:textId="77777777" w:rsidR="001B1411" w:rsidRPr="00DA7625" w:rsidRDefault="00581FA5">
            <w:pPr>
              <w:pStyle w:val="InstructionsText"/>
            </w:pPr>
            <w:r w:rsidRPr="00DA7625">
              <w:t>Értékpapírosítási pozíciók</w:t>
            </w:r>
          </w:p>
        </w:tc>
      </w:tr>
      <w:tr w:rsidR="001B1411" w:rsidRPr="00DA7625" w14:paraId="1610BAB9" w14:textId="77777777" w:rsidTr="00672D2A">
        <w:tc>
          <w:tcPr>
            <w:tcW w:w="3761" w:type="dxa"/>
            <w:shd w:val="clear" w:color="auto" w:fill="auto"/>
          </w:tcPr>
          <w:p w14:paraId="04D0117E" w14:textId="77777777" w:rsidR="001B1411" w:rsidRPr="00DA7625" w:rsidRDefault="00581FA5">
            <w:pPr>
              <w:pStyle w:val="InstructionsText"/>
            </w:pPr>
            <w:r w:rsidRPr="00DA7625">
              <w:t xml:space="preserve">NEM </w:t>
            </w:r>
            <w:r w:rsidRPr="00DA7625">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1B1411" w:rsidRPr="00DA7625" w:rsidRDefault="001B1411">
            <w:pPr>
              <w:pStyle w:val="InstructionsText"/>
            </w:pPr>
          </w:p>
        </w:tc>
        <w:tc>
          <w:tcPr>
            <w:tcW w:w="1417" w:type="dxa"/>
            <w:shd w:val="clear" w:color="auto" w:fill="auto"/>
          </w:tcPr>
          <w:p w14:paraId="39B19640" w14:textId="77777777" w:rsidR="001B1411" w:rsidRPr="00DA7625" w:rsidRDefault="001B1411">
            <w:pPr>
              <w:pStyle w:val="InstructionsText"/>
            </w:pPr>
          </w:p>
        </w:tc>
        <w:tc>
          <w:tcPr>
            <w:tcW w:w="4077" w:type="dxa"/>
            <w:shd w:val="clear" w:color="auto" w:fill="auto"/>
          </w:tcPr>
          <w:p w14:paraId="6CDDDA68" w14:textId="77777777" w:rsidR="001B1411" w:rsidRPr="00DA7625" w:rsidRDefault="001B1411">
            <w:pPr>
              <w:pStyle w:val="InstructionsText"/>
            </w:pPr>
          </w:p>
        </w:tc>
      </w:tr>
      <w:tr w:rsidR="001B1411" w:rsidRPr="00DA7625" w14:paraId="11996439" w14:textId="77777777" w:rsidTr="00672D2A">
        <w:tc>
          <w:tcPr>
            <w:tcW w:w="3761" w:type="dxa"/>
            <w:shd w:val="clear" w:color="auto" w:fill="auto"/>
          </w:tcPr>
          <w:p w14:paraId="1AD81743" w14:textId="6EB34F41" w:rsidR="001B1411" w:rsidRPr="00DA7625" w:rsidRDefault="003A1B96">
            <w:pPr>
              <w:pStyle w:val="InstructionsText"/>
            </w:pPr>
            <w:r w:rsidRPr="00DA7625">
              <w:t>A CRR 112. cikkének k) pontja szerinti kitettségi osztályba sorolható?</w:t>
            </w:r>
          </w:p>
        </w:tc>
        <w:tc>
          <w:tcPr>
            <w:tcW w:w="1417" w:type="dxa"/>
            <w:shd w:val="clear" w:color="auto" w:fill="auto"/>
          </w:tcPr>
          <w:p w14:paraId="6F0126D3" w14:textId="77777777" w:rsidR="001B1411" w:rsidRPr="00DA7625" w:rsidRDefault="00974E3F">
            <w:pPr>
              <w:pStyle w:val="InstructionsText"/>
            </w:pPr>
            <w:r w:rsidRPr="00DA7625">
              <w:t xml:space="preserve">IGEN </w:t>
            </w:r>
            <w:r w:rsidRPr="00DA7625">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1B1411" w:rsidRPr="00DA7625" w:rsidRDefault="001B1411">
            <w:pPr>
              <w:pStyle w:val="InstructionsText"/>
            </w:pPr>
          </w:p>
          <w:p w14:paraId="7361AF99" w14:textId="77777777" w:rsidR="001B1411" w:rsidRPr="00DA7625" w:rsidRDefault="001B1411">
            <w:pPr>
              <w:pStyle w:val="InstructionsText"/>
            </w:pPr>
          </w:p>
        </w:tc>
        <w:tc>
          <w:tcPr>
            <w:tcW w:w="4077" w:type="dxa"/>
            <w:shd w:val="clear" w:color="auto" w:fill="auto"/>
          </w:tcPr>
          <w:p w14:paraId="059A7579" w14:textId="6FF4558A" w:rsidR="001B1411" w:rsidRPr="00DA7625" w:rsidRDefault="003A1B96">
            <w:pPr>
              <w:pStyle w:val="InstructionsText"/>
            </w:pPr>
            <w:r w:rsidRPr="00DA7625">
              <w:t>Kiemelkedően magas kockázatú tételek (lásd még a CRR 128. cikkét)</w:t>
            </w:r>
          </w:p>
        </w:tc>
      </w:tr>
      <w:tr w:rsidR="001B1411" w:rsidRPr="00DA7625" w14:paraId="3BBC948D" w14:textId="77777777" w:rsidTr="00672D2A">
        <w:tc>
          <w:tcPr>
            <w:tcW w:w="3761" w:type="dxa"/>
            <w:shd w:val="clear" w:color="auto" w:fill="auto"/>
          </w:tcPr>
          <w:p w14:paraId="44A69A33" w14:textId="77777777" w:rsidR="001B1411" w:rsidRPr="00DA7625" w:rsidRDefault="007241D3">
            <w:pPr>
              <w:pStyle w:val="InstructionsText"/>
            </w:pPr>
            <w:r w:rsidRPr="00DA7625">
              <w:t xml:space="preserve">NEM </w:t>
            </w:r>
            <w:r w:rsidRPr="00DA7625">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1B1411" w:rsidRPr="00DA7625" w:rsidRDefault="001B1411">
            <w:pPr>
              <w:pStyle w:val="InstructionsText"/>
            </w:pPr>
          </w:p>
        </w:tc>
        <w:tc>
          <w:tcPr>
            <w:tcW w:w="1417" w:type="dxa"/>
            <w:shd w:val="clear" w:color="auto" w:fill="auto"/>
          </w:tcPr>
          <w:p w14:paraId="4A094914" w14:textId="77777777" w:rsidR="001B1411" w:rsidRPr="00DA7625" w:rsidRDefault="001B1411">
            <w:pPr>
              <w:pStyle w:val="InstructionsText"/>
            </w:pPr>
          </w:p>
        </w:tc>
        <w:tc>
          <w:tcPr>
            <w:tcW w:w="4077" w:type="dxa"/>
            <w:shd w:val="clear" w:color="auto" w:fill="auto"/>
          </w:tcPr>
          <w:p w14:paraId="61455436" w14:textId="77777777" w:rsidR="001B1411" w:rsidRPr="00DA7625" w:rsidRDefault="001B1411">
            <w:pPr>
              <w:pStyle w:val="InstructionsText"/>
            </w:pPr>
          </w:p>
        </w:tc>
      </w:tr>
      <w:tr w:rsidR="001B1411" w:rsidRPr="00DA7625" w14:paraId="7963147E" w14:textId="77777777" w:rsidTr="00672D2A">
        <w:tc>
          <w:tcPr>
            <w:tcW w:w="3761" w:type="dxa"/>
            <w:shd w:val="clear" w:color="auto" w:fill="auto"/>
          </w:tcPr>
          <w:p w14:paraId="4C9BC581" w14:textId="0B8282C0" w:rsidR="001B1411" w:rsidRPr="00DA7625" w:rsidRDefault="003A1B96">
            <w:pPr>
              <w:pStyle w:val="InstructionsText"/>
            </w:pPr>
            <w:r w:rsidRPr="00DA7625">
              <w:t>A CRR 112. cikkének p) pontja szerinti kitettségi osztályba sorolható?</w:t>
            </w:r>
          </w:p>
        </w:tc>
        <w:tc>
          <w:tcPr>
            <w:tcW w:w="1417" w:type="dxa"/>
            <w:shd w:val="clear" w:color="auto" w:fill="auto"/>
          </w:tcPr>
          <w:p w14:paraId="0EF4CF5E" w14:textId="77777777" w:rsidR="001B1411" w:rsidRPr="00DA7625" w:rsidRDefault="00BD52C3">
            <w:pPr>
              <w:pStyle w:val="InstructionsText"/>
            </w:pPr>
            <w:r w:rsidRPr="00DA7625">
              <w:t xml:space="preserve">IGEN </w:t>
            </w:r>
            <w:r w:rsidRPr="00DA7625">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1B1411" w:rsidRPr="00DA7625" w:rsidRDefault="001B1411">
            <w:pPr>
              <w:pStyle w:val="InstructionsText"/>
            </w:pPr>
          </w:p>
        </w:tc>
        <w:tc>
          <w:tcPr>
            <w:tcW w:w="4077" w:type="dxa"/>
            <w:shd w:val="clear" w:color="auto" w:fill="auto"/>
          </w:tcPr>
          <w:p w14:paraId="584F6859" w14:textId="28DEBDB8" w:rsidR="001B1411" w:rsidRPr="00DA7625" w:rsidRDefault="003A1B96">
            <w:pPr>
              <w:pStyle w:val="InstructionsText"/>
            </w:pPr>
            <w:r w:rsidRPr="00DA7625">
              <w:t>Részvényjellegű kitettségek (lásd még a CRR 133. cikkét)</w:t>
            </w:r>
          </w:p>
        </w:tc>
      </w:tr>
      <w:tr w:rsidR="001B1411" w:rsidRPr="00DA7625" w14:paraId="2D22D061" w14:textId="77777777" w:rsidTr="00672D2A">
        <w:tc>
          <w:tcPr>
            <w:tcW w:w="3761" w:type="dxa"/>
            <w:shd w:val="clear" w:color="auto" w:fill="auto"/>
          </w:tcPr>
          <w:p w14:paraId="691610C5" w14:textId="77777777" w:rsidR="001B1411" w:rsidRPr="00DA7625" w:rsidRDefault="007241D3">
            <w:pPr>
              <w:pStyle w:val="InstructionsText"/>
            </w:pPr>
            <w:r w:rsidRPr="00DA7625">
              <w:t xml:space="preserve">NEM </w:t>
            </w:r>
            <w:r w:rsidRPr="00DA7625">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1B1411" w:rsidRPr="00DA7625" w:rsidRDefault="001B1411">
            <w:pPr>
              <w:pStyle w:val="InstructionsText"/>
            </w:pPr>
          </w:p>
        </w:tc>
        <w:tc>
          <w:tcPr>
            <w:tcW w:w="1417" w:type="dxa"/>
            <w:shd w:val="clear" w:color="auto" w:fill="auto"/>
          </w:tcPr>
          <w:p w14:paraId="01F0E11C" w14:textId="77777777" w:rsidR="001B1411" w:rsidRPr="00DA7625" w:rsidRDefault="001B1411">
            <w:pPr>
              <w:pStyle w:val="InstructionsText"/>
            </w:pPr>
          </w:p>
        </w:tc>
        <w:tc>
          <w:tcPr>
            <w:tcW w:w="4077" w:type="dxa"/>
            <w:shd w:val="clear" w:color="auto" w:fill="auto"/>
          </w:tcPr>
          <w:p w14:paraId="10F8A01A" w14:textId="77777777" w:rsidR="001B1411" w:rsidRPr="00DA7625" w:rsidRDefault="001B1411">
            <w:pPr>
              <w:pStyle w:val="InstructionsText"/>
            </w:pPr>
          </w:p>
        </w:tc>
      </w:tr>
      <w:tr w:rsidR="001B1411" w:rsidRPr="00DA7625" w14:paraId="3AA08B7D" w14:textId="77777777" w:rsidTr="00672D2A">
        <w:tc>
          <w:tcPr>
            <w:tcW w:w="3761" w:type="dxa"/>
            <w:shd w:val="clear" w:color="auto" w:fill="auto"/>
          </w:tcPr>
          <w:p w14:paraId="2BA0D5EF" w14:textId="0420F7A4" w:rsidR="001B1411" w:rsidRPr="00DA7625" w:rsidRDefault="00581FA5">
            <w:pPr>
              <w:pStyle w:val="InstructionsText"/>
            </w:pPr>
            <w:r w:rsidRPr="00DA7625">
              <w:t>A CRR 112. cikkének j) pontja szerinti kitettségi osztályba sorolható?</w:t>
            </w:r>
          </w:p>
        </w:tc>
        <w:tc>
          <w:tcPr>
            <w:tcW w:w="1417" w:type="dxa"/>
            <w:shd w:val="clear" w:color="auto" w:fill="auto"/>
          </w:tcPr>
          <w:p w14:paraId="543BEA3F" w14:textId="77777777" w:rsidR="001B1411" w:rsidRPr="00DA7625" w:rsidRDefault="00BD52C3">
            <w:pPr>
              <w:pStyle w:val="InstructionsText"/>
            </w:pPr>
            <w:r w:rsidRPr="00DA7625">
              <w:t xml:space="preserve">IGEN </w:t>
            </w:r>
            <w:r w:rsidRPr="00DA7625">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1B1411" w:rsidRPr="00DA7625" w:rsidRDefault="001B1411">
            <w:pPr>
              <w:pStyle w:val="InstructionsText"/>
            </w:pPr>
          </w:p>
        </w:tc>
        <w:tc>
          <w:tcPr>
            <w:tcW w:w="4077" w:type="dxa"/>
            <w:shd w:val="clear" w:color="auto" w:fill="auto"/>
          </w:tcPr>
          <w:p w14:paraId="34BFBC1E" w14:textId="77777777" w:rsidR="001B1411" w:rsidRPr="00DA7625" w:rsidRDefault="00581FA5">
            <w:pPr>
              <w:pStyle w:val="InstructionsText"/>
            </w:pPr>
            <w:r w:rsidRPr="00DA7625">
              <w:t>Nemteljesítő kitettségek</w:t>
            </w:r>
          </w:p>
        </w:tc>
      </w:tr>
      <w:tr w:rsidR="001B1411" w:rsidRPr="00DA7625" w14:paraId="43E73082" w14:textId="77777777" w:rsidTr="00672D2A">
        <w:tc>
          <w:tcPr>
            <w:tcW w:w="3761" w:type="dxa"/>
            <w:shd w:val="clear" w:color="auto" w:fill="auto"/>
          </w:tcPr>
          <w:p w14:paraId="3C1403EA" w14:textId="77777777" w:rsidR="001B1411" w:rsidRPr="00DA7625" w:rsidRDefault="007241D3">
            <w:pPr>
              <w:pStyle w:val="InstructionsText"/>
            </w:pPr>
            <w:r w:rsidRPr="00DA7625">
              <w:t xml:space="preserve">NEM </w:t>
            </w:r>
            <w:r w:rsidRPr="00DA7625">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1B1411" w:rsidRPr="00DA7625" w:rsidRDefault="001B1411">
            <w:pPr>
              <w:pStyle w:val="InstructionsText"/>
            </w:pPr>
          </w:p>
        </w:tc>
        <w:tc>
          <w:tcPr>
            <w:tcW w:w="1417" w:type="dxa"/>
            <w:shd w:val="clear" w:color="auto" w:fill="auto"/>
          </w:tcPr>
          <w:p w14:paraId="485586F6" w14:textId="77777777" w:rsidR="001B1411" w:rsidRPr="00DA7625" w:rsidRDefault="001B1411">
            <w:pPr>
              <w:pStyle w:val="InstructionsText"/>
            </w:pPr>
          </w:p>
        </w:tc>
        <w:tc>
          <w:tcPr>
            <w:tcW w:w="4077" w:type="dxa"/>
            <w:shd w:val="clear" w:color="auto" w:fill="auto"/>
          </w:tcPr>
          <w:p w14:paraId="142754A6" w14:textId="77777777" w:rsidR="001B1411" w:rsidRPr="00DA7625" w:rsidRDefault="001B1411">
            <w:pPr>
              <w:pStyle w:val="InstructionsText"/>
            </w:pPr>
          </w:p>
        </w:tc>
      </w:tr>
      <w:tr w:rsidR="001B1411" w:rsidRPr="00DA7625" w14:paraId="58B72B53" w14:textId="77777777" w:rsidTr="00672D2A">
        <w:tc>
          <w:tcPr>
            <w:tcW w:w="3761" w:type="dxa"/>
            <w:shd w:val="clear" w:color="auto" w:fill="auto"/>
          </w:tcPr>
          <w:p w14:paraId="173CBAA7" w14:textId="7FC9001A" w:rsidR="001B1411" w:rsidRPr="00DA7625" w:rsidRDefault="00581FA5">
            <w:pPr>
              <w:pStyle w:val="InstructionsText"/>
            </w:pPr>
            <w:r w:rsidRPr="00DA7625">
              <w:t>A CRR 112. cikkének l) és o) pontja szerinti kitettségi osztályba sorolható?</w:t>
            </w:r>
          </w:p>
        </w:tc>
        <w:tc>
          <w:tcPr>
            <w:tcW w:w="1417" w:type="dxa"/>
            <w:shd w:val="clear" w:color="auto" w:fill="auto"/>
          </w:tcPr>
          <w:p w14:paraId="0FD160D4" w14:textId="77777777" w:rsidR="001B1411" w:rsidRPr="00DA7625" w:rsidRDefault="00BD52C3">
            <w:pPr>
              <w:pStyle w:val="InstructionsText"/>
            </w:pPr>
            <w:r w:rsidRPr="00DA7625">
              <w:t xml:space="preserve">IGEN </w:t>
            </w:r>
            <w:r w:rsidRPr="00DA7625">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1B1411" w:rsidRPr="00DA7625" w:rsidRDefault="001B1411">
            <w:pPr>
              <w:pStyle w:val="InstructionsText"/>
            </w:pPr>
          </w:p>
        </w:tc>
        <w:tc>
          <w:tcPr>
            <w:tcW w:w="4077" w:type="dxa"/>
            <w:shd w:val="clear" w:color="auto" w:fill="auto"/>
          </w:tcPr>
          <w:p w14:paraId="32E5D0C0" w14:textId="77777777" w:rsidR="001B1411" w:rsidRPr="00DA7625" w:rsidRDefault="00581FA5">
            <w:pPr>
              <w:pStyle w:val="InstructionsText"/>
            </w:pPr>
            <w:r w:rsidRPr="00DA7625">
              <w:t>Kollektív befektetési formák (KBF-ek) befektetési jegyeinek vagy részvényeinek formájában fennálló kitettségek</w:t>
            </w:r>
          </w:p>
          <w:p w14:paraId="3586185D" w14:textId="5D15E81E" w:rsidR="001B1411" w:rsidRPr="00DA7625" w:rsidRDefault="00581FA5">
            <w:pPr>
              <w:pStyle w:val="InstructionsText"/>
            </w:pPr>
            <w:r w:rsidRPr="00DA7625">
              <w:t>Fedezett kötvények formájában fennálló kitettségek (lásd még a CRR 129. cikkét)</w:t>
            </w:r>
          </w:p>
          <w:p w14:paraId="74616D9E" w14:textId="77777777" w:rsidR="001B1411" w:rsidRPr="00DA7625" w:rsidRDefault="00581FA5">
            <w:pPr>
              <w:pStyle w:val="InstructionsText"/>
            </w:pPr>
            <w:r w:rsidRPr="00DA7625">
              <w:lastRenderedPageBreak/>
              <w:t>E két kitettségi osztály diszjunkt (lásd a fenti válaszban az alapul szolgáló eszközök vizsgálatának módszerével kapcsolatos megjegyzéseket). Ennélfogva a kitettség egyértelműen besorolható az egyik osztályba.</w:t>
            </w:r>
          </w:p>
        </w:tc>
      </w:tr>
      <w:tr w:rsidR="001B1411" w:rsidRPr="00DA7625" w14:paraId="42C71F00" w14:textId="77777777" w:rsidTr="00672D2A">
        <w:tc>
          <w:tcPr>
            <w:tcW w:w="3761" w:type="dxa"/>
            <w:shd w:val="clear" w:color="auto" w:fill="auto"/>
          </w:tcPr>
          <w:p w14:paraId="060602C5" w14:textId="77777777" w:rsidR="001B1411" w:rsidRPr="00DA7625" w:rsidRDefault="007241D3">
            <w:pPr>
              <w:pStyle w:val="InstructionsText"/>
            </w:pPr>
            <w:r w:rsidRPr="00DA7625">
              <w:lastRenderedPageBreak/>
              <w:t xml:space="preserve">NEM </w:t>
            </w:r>
            <w:r w:rsidRPr="00DA7625">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1B1411" w:rsidRPr="00DA7625" w:rsidRDefault="001B1411">
            <w:pPr>
              <w:pStyle w:val="InstructionsText"/>
            </w:pPr>
          </w:p>
        </w:tc>
        <w:tc>
          <w:tcPr>
            <w:tcW w:w="1417" w:type="dxa"/>
            <w:shd w:val="clear" w:color="auto" w:fill="auto"/>
          </w:tcPr>
          <w:p w14:paraId="679C4CB1" w14:textId="77777777" w:rsidR="001B1411" w:rsidRPr="00DA7625" w:rsidRDefault="001B1411">
            <w:pPr>
              <w:pStyle w:val="InstructionsText"/>
            </w:pPr>
          </w:p>
        </w:tc>
        <w:tc>
          <w:tcPr>
            <w:tcW w:w="4077" w:type="dxa"/>
            <w:shd w:val="clear" w:color="auto" w:fill="auto"/>
          </w:tcPr>
          <w:p w14:paraId="7236FE4F" w14:textId="77777777" w:rsidR="001B1411" w:rsidRPr="00DA7625" w:rsidRDefault="001B1411">
            <w:pPr>
              <w:pStyle w:val="InstructionsText"/>
            </w:pPr>
          </w:p>
        </w:tc>
      </w:tr>
      <w:tr w:rsidR="001B1411" w:rsidRPr="00DA7625" w14:paraId="034A5765" w14:textId="77777777" w:rsidTr="00672D2A">
        <w:tc>
          <w:tcPr>
            <w:tcW w:w="3761" w:type="dxa"/>
            <w:shd w:val="clear" w:color="auto" w:fill="auto"/>
          </w:tcPr>
          <w:p w14:paraId="6BFD180B" w14:textId="2C76BEB6" w:rsidR="001B1411" w:rsidRPr="00DA7625" w:rsidRDefault="00581FA5">
            <w:pPr>
              <w:pStyle w:val="InstructionsText"/>
            </w:pPr>
            <w:r w:rsidRPr="00DA7625">
              <w:t>A CRR 112. cikkének i) pontja szerinti kitettségi osztályba sorolható?</w:t>
            </w:r>
          </w:p>
        </w:tc>
        <w:tc>
          <w:tcPr>
            <w:tcW w:w="1417" w:type="dxa"/>
            <w:shd w:val="clear" w:color="auto" w:fill="auto"/>
          </w:tcPr>
          <w:p w14:paraId="67903E0D" w14:textId="77777777" w:rsidR="001B1411" w:rsidRPr="00DA7625" w:rsidRDefault="00BD52C3">
            <w:pPr>
              <w:pStyle w:val="InstructionsText"/>
            </w:pPr>
            <w:r w:rsidRPr="00DA7625">
              <w:t xml:space="preserve">IGEN </w:t>
            </w:r>
            <w:r w:rsidRPr="00DA7625">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1B1411" w:rsidRPr="00DA7625" w:rsidRDefault="001B1411">
            <w:pPr>
              <w:pStyle w:val="InstructionsText"/>
            </w:pPr>
          </w:p>
        </w:tc>
        <w:tc>
          <w:tcPr>
            <w:tcW w:w="4077" w:type="dxa"/>
            <w:shd w:val="clear" w:color="auto" w:fill="auto"/>
          </w:tcPr>
          <w:p w14:paraId="36CD7691" w14:textId="627F109A" w:rsidR="001B1411" w:rsidRPr="00DA7625" w:rsidRDefault="00581FA5">
            <w:pPr>
              <w:pStyle w:val="InstructionsText"/>
            </w:pPr>
            <w:r w:rsidRPr="00DA7625">
              <w:t>Ingatlanra bejegyzett zálogjoggal fedezett kitettségek (lásd még a CRR 124. cikkét)</w:t>
            </w:r>
          </w:p>
        </w:tc>
      </w:tr>
      <w:tr w:rsidR="001B1411" w:rsidRPr="00DA7625" w14:paraId="4CF22974" w14:textId="77777777" w:rsidTr="00672D2A">
        <w:tc>
          <w:tcPr>
            <w:tcW w:w="3761" w:type="dxa"/>
            <w:shd w:val="clear" w:color="auto" w:fill="auto"/>
          </w:tcPr>
          <w:p w14:paraId="56077271" w14:textId="77777777" w:rsidR="001B1411" w:rsidRPr="00DA7625" w:rsidRDefault="007241D3">
            <w:pPr>
              <w:pStyle w:val="InstructionsText"/>
            </w:pPr>
            <w:r w:rsidRPr="00DA7625">
              <w:t xml:space="preserve">NEM </w:t>
            </w:r>
            <w:r w:rsidRPr="00DA7625">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1B1411" w:rsidRPr="00DA7625" w:rsidRDefault="001B1411">
            <w:pPr>
              <w:pStyle w:val="InstructionsText"/>
            </w:pPr>
          </w:p>
        </w:tc>
        <w:tc>
          <w:tcPr>
            <w:tcW w:w="1417" w:type="dxa"/>
            <w:shd w:val="clear" w:color="auto" w:fill="auto"/>
          </w:tcPr>
          <w:p w14:paraId="78FB45C7" w14:textId="77777777" w:rsidR="001B1411" w:rsidRPr="00DA7625" w:rsidRDefault="001B1411">
            <w:pPr>
              <w:pStyle w:val="InstructionsText"/>
            </w:pPr>
          </w:p>
        </w:tc>
        <w:tc>
          <w:tcPr>
            <w:tcW w:w="4077" w:type="dxa"/>
            <w:shd w:val="clear" w:color="auto" w:fill="auto"/>
          </w:tcPr>
          <w:p w14:paraId="5AB0D542" w14:textId="77777777" w:rsidR="001B1411" w:rsidRPr="00DA7625" w:rsidRDefault="001B1411">
            <w:pPr>
              <w:pStyle w:val="InstructionsText"/>
            </w:pPr>
          </w:p>
        </w:tc>
      </w:tr>
      <w:tr w:rsidR="001B1411" w:rsidRPr="00DA7625" w14:paraId="15A2E16C" w14:textId="77777777" w:rsidTr="00672D2A">
        <w:tc>
          <w:tcPr>
            <w:tcW w:w="3761" w:type="dxa"/>
            <w:shd w:val="clear" w:color="auto" w:fill="auto"/>
          </w:tcPr>
          <w:p w14:paraId="012D373D" w14:textId="3FACBE89" w:rsidR="001B1411" w:rsidRPr="00DA7625" w:rsidRDefault="00581FA5">
            <w:pPr>
              <w:pStyle w:val="InstructionsText"/>
            </w:pPr>
            <w:r w:rsidRPr="00DA7625">
              <w:t>A CRR 112. cikkének q) pontja szerinti kitettségi osztályba sorolható?</w:t>
            </w:r>
          </w:p>
        </w:tc>
        <w:tc>
          <w:tcPr>
            <w:tcW w:w="1417" w:type="dxa"/>
            <w:shd w:val="clear" w:color="auto" w:fill="auto"/>
          </w:tcPr>
          <w:p w14:paraId="3EACC872" w14:textId="77777777" w:rsidR="001B1411" w:rsidRPr="00DA7625" w:rsidRDefault="00BD52C3">
            <w:pPr>
              <w:pStyle w:val="InstructionsText"/>
            </w:pPr>
            <w:r w:rsidRPr="00DA7625">
              <w:t xml:space="preserve">IGEN </w:t>
            </w:r>
            <w:r w:rsidRPr="00DA7625">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1B1411" w:rsidRPr="00DA7625" w:rsidRDefault="001B1411">
            <w:pPr>
              <w:pStyle w:val="InstructionsText"/>
            </w:pPr>
          </w:p>
        </w:tc>
        <w:tc>
          <w:tcPr>
            <w:tcW w:w="4077" w:type="dxa"/>
            <w:shd w:val="clear" w:color="auto" w:fill="auto"/>
          </w:tcPr>
          <w:p w14:paraId="643D1030" w14:textId="77777777" w:rsidR="001B1411" w:rsidRPr="00DA7625" w:rsidRDefault="00581FA5">
            <w:pPr>
              <w:pStyle w:val="InstructionsText"/>
            </w:pPr>
            <w:r w:rsidRPr="00DA7625">
              <w:t>Egyéb tételek</w:t>
            </w:r>
          </w:p>
        </w:tc>
      </w:tr>
      <w:tr w:rsidR="001B1411" w:rsidRPr="00DA7625" w14:paraId="402C8810" w14:textId="77777777" w:rsidTr="00672D2A">
        <w:tc>
          <w:tcPr>
            <w:tcW w:w="3761" w:type="dxa"/>
            <w:shd w:val="clear" w:color="auto" w:fill="auto"/>
          </w:tcPr>
          <w:p w14:paraId="24AEB9DD" w14:textId="77777777" w:rsidR="001B1411" w:rsidRPr="00DA7625" w:rsidRDefault="007241D3">
            <w:pPr>
              <w:pStyle w:val="InstructionsText"/>
            </w:pPr>
            <w:r w:rsidRPr="00DA7625">
              <w:t xml:space="preserve">NEM </w:t>
            </w:r>
            <w:r w:rsidRPr="00DA7625">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1B1411" w:rsidRPr="00DA7625" w:rsidRDefault="001B1411">
            <w:pPr>
              <w:pStyle w:val="InstructionsText"/>
            </w:pPr>
          </w:p>
        </w:tc>
        <w:tc>
          <w:tcPr>
            <w:tcW w:w="1417" w:type="dxa"/>
            <w:shd w:val="clear" w:color="auto" w:fill="auto"/>
          </w:tcPr>
          <w:p w14:paraId="1BA1AC9E" w14:textId="77777777" w:rsidR="001B1411" w:rsidRPr="00DA7625" w:rsidRDefault="001B1411">
            <w:pPr>
              <w:pStyle w:val="InstructionsText"/>
            </w:pPr>
          </w:p>
        </w:tc>
        <w:tc>
          <w:tcPr>
            <w:tcW w:w="4077" w:type="dxa"/>
            <w:shd w:val="clear" w:color="auto" w:fill="auto"/>
          </w:tcPr>
          <w:p w14:paraId="2467E0EC" w14:textId="77777777" w:rsidR="001B1411" w:rsidRPr="00DA7625" w:rsidRDefault="001B1411">
            <w:pPr>
              <w:pStyle w:val="InstructionsText"/>
            </w:pPr>
          </w:p>
        </w:tc>
      </w:tr>
      <w:tr w:rsidR="001B1411" w:rsidRPr="00DA7625" w14:paraId="54310255" w14:textId="77777777" w:rsidTr="00672D2A">
        <w:tc>
          <w:tcPr>
            <w:tcW w:w="3761" w:type="dxa"/>
            <w:shd w:val="clear" w:color="auto" w:fill="auto"/>
          </w:tcPr>
          <w:p w14:paraId="076CAED9" w14:textId="61165865" w:rsidR="001B1411" w:rsidRPr="00DA7625" w:rsidRDefault="00581FA5">
            <w:pPr>
              <w:pStyle w:val="InstructionsText"/>
            </w:pPr>
            <w:r w:rsidRPr="00DA7625">
              <w:t>A CRR 112. cikkének n) pontja szerinti kitettségi osztályba sorolható?</w:t>
            </w:r>
          </w:p>
        </w:tc>
        <w:tc>
          <w:tcPr>
            <w:tcW w:w="1417" w:type="dxa"/>
            <w:shd w:val="clear" w:color="auto" w:fill="auto"/>
          </w:tcPr>
          <w:p w14:paraId="6F7C76EC" w14:textId="77777777" w:rsidR="001B1411" w:rsidRPr="00DA7625" w:rsidRDefault="0063493E">
            <w:pPr>
              <w:pStyle w:val="InstructionsText"/>
            </w:pPr>
            <w:r w:rsidRPr="00DA7625">
              <w:t xml:space="preserve">IGEN </w:t>
            </w:r>
            <w:r w:rsidRPr="00DA7625">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1B1411" w:rsidRPr="00DA7625" w:rsidRDefault="001B1411">
            <w:pPr>
              <w:pStyle w:val="InstructionsText"/>
            </w:pPr>
          </w:p>
        </w:tc>
        <w:tc>
          <w:tcPr>
            <w:tcW w:w="4077" w:type="dxa"/>
            <w:shd w:val="clear" w:color="auto" w:fill="auto"/>
          </w:tcPr>
          <w:p w14:paraId="1D8A0D68" w14:textId="77777777" w:rsidR="001B1411" w:rsidRPr="00DA7625" w:rsidRDefault="00581FA5">
            <w:pPr>
              <w:pStyle w:val="InstructionsText"/>
            </w:pPr>
            <w:r w:rsidRPr="00DA7625">
              <w:t>Rövid távú hitelminősítéssel rendelkező intézményekkel és vállalkozásokkal szembeni kitettségek</w:t>
            </w:r>
          </w:p>
        </w:tc>
      </w:tr>
      <w:tr w:rsidR="001B1411" w:rsidRPr="00DA7625" w14:paraId="3C329ACB" w14:textId="77777777" w:rsidTr="00672D2A">
        <w:tc>
          <w:tcPr>
            <w:tcW w:w="3761" w:type="dxa"/>
            <w:shd w:val="clear" w:color="auto" w:fill="auto"/>
          </w:tcPr>
          <w:p w14:paraId="77334F84" w14:textId="77777777" w:rsidR="001B1411" w:rsidRPr="00DA7625" w:rsidRDefault="007241D3">
            <w:pPr>
              <w:pStyle w:val="InstructionsText"/>
            </w:pPr>
            <w:r w:rsidRPr="00DA7625">
              <w:t xml:space="preserve">NEM </w:t>
            </w:r>
            <w:r w:rsidRPr="00DA7625">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1B1411" w:rsidRPr="00DA7625" w:rsidRDefault="001B1411">
            <w:pPr>
              <w:pStyle w:val="InstructionsText"/>
            </w:pPr>
          </w:p>
        </w:tc>
        <w:tc>
          <w:tcPr>
            <w:tcW w:w="1417" w:type="dxa"/>
            <w:shd w:val="clear" w:color="auto" w:fill="auto"/>
          </w:tcPr>
          <w:p w14:paraId="3C98273E" w14:textId="77777777" w:rsidR="001B1411" w:rsidRPr="00DA7625" w:rsidRDefault="001B1411">
            <w:pPr>
              <w:pStyle w:val="InstructionsText"/>
            </w:pPr>
          </w:p>
        </w:tc>
        <w:tc>
          <w:tcPr>
            <w:tcW w:w="4077" w:type="dxa"/>
            <w:shd w:val="clear" w:color="auto" w:fill="auto"/>
          </w:tcPr>
          <w:p w14:paraId="34264BB1" w14:textId="77777777" w:rsidR="001B1411" w:rsidRPr="00DA7625" w:rsidRDefault="001B1411">
            <w:pPr>
              <w:pStyle w:val="InstructionsText"/>
            </w:pPr>
          </w:p>
        </w:tc>
      </w:tr>
      <w:tr w:rsidR="001B1411" w:rsidRPr="00DA7625" w14:paraId="4599AE10" w14:textId="77777777" w:rsidTr="00672D2A">
        <w:tc>
          <w:tcPr>
            <w:tcW w:w="9255" w:type="dxa"/>
            <w:gridSpan w:val="3"/>
            <w:shd w:val="clear" w:color="auto" w:fill="auto"/>
          </w:tcPr>
          <w:p w14:paraId="7C69413F" w14:textId="77777777" w:rsidR="001B1411" w:rsidRPr="00DA7625" w:rsidRDefault="00581FA5">
            <w:pPr>
              <w:pStyle w:val="InstructionsText"/>
            </w:pPr>
            <w:r w:rsidRPr="00DA7625">
              <w:t>Az alábbi kitettségi osztályok diszjunktak. Ennélfogva a kitettség egyértelműen besorolható az egyik osztályba.</w:t>
            </w:r>
          </w:p>
          <w:p w14:paraId="6CF9167B" w14:textId="77777777" w:rsidR="001B1411" w:rsidRPr="00DA7625" w:rsidRDefault="00581FA5">
            <w:pPr>
              <w:pStyle w:val="InstructionsText"/>
            </w:pPr>
            <w:r w:rsidRPr="00DA7625">
              <w:t>Központi kormányzatokkal vagy központi bankokkal szembeni kitettségek</w:t>
            </w:r>
          </w:p>
          <w:p w14:paraId="2AE04B9F" w14:textId="77777777" w:rsidR="001B1411" w:rsidRPr="00DA7625" w:rsidRDefault="00581FA5">
            <w:pPr>
              <w:pStyle w:val="InstructionsText"/>
            </w:pPr>
            <w:r w:rsidRPr="00DA7625">
              <w:t>Regionális kormányzatokkal vagy helyi hatóságokkal szembeni kitettségek</w:t>
            </w:r>
          </w:p>
          <w:p w14:paraId="79C1CBA1" w14:textId="77777777" w:rsidR="001B1411" w:rsidRPr="00DA7625" w:rsidRDefault="00581FA5">
            <w:pPr>
              <w:pStyle w:val="InstructionsText"/>
            </w:pPr>
            <w:r w:rsidRPr="00DA7625">
              <w:t>Közszektorbeli intézményekkel szembeni kitettségek</w:t>
            </w:r>
          </w:p>
          <w:p w14:paraId="1AADDA86" w14:textId="77777777" w:rsidR="001B1411" w:rsidRPr="00DA7625" w:rsidRDefault="00581FA5">
            <w:pPr>
              <w:pStyle w:val="InstructionsText"/>
            </w:pPr>
            <w:r w:rsidRPr="00DA7625">
              <w:t>Multilaterális fejlesztési bankokkal szembeni kitettségek</w:t>
            </w:r>
          </w:p>
          <w:p w14:paraId="1AA5040C" w14:textId="77777777" w:rsidR="001B1411" w:rsidRPr="00DA7625" w:rsidRDefault="00581FA5">
            <w:pPr>
              <w:pStyle w:val="InstructionsText"/>
            </w:pPr>
            <w:r w:rsidRPr="00DA7625">
              <w:t>Nemzetközi szervezetekkel szembeni kitettségek</w:t>
            </w:r>
          </w:p>
          <w:p w14:paraId="47991122" w14:textId="77777777" w:rsidR="001B1411" w:rsidRPr="00DA7625" w:rsidRDefault="00581FA5">
            <w:pPr>
              <w:pStyle w:val="InstructionsText"/>
            </w:pPr>
            <w:r w:rsidRPr="00DA7625">
              <w:t>Intézményekkel szembeni kitettségek</w:t>
            </w:r>
          </w:p>
          <w:p w14:paraId="563317D9" w14:textId="77777777" w:rsidR="001B1411" w:rsidRPr="00DA7625" w:rsidRDefault="00581FA5">
            <w:pPr>
              <w:pStyle w:val="InstructionsText"/>
            </w:pPr>
            <w:r w:rsidRPr="00DA7625">
              <w:t>Vállalkozásokkal szembeni kitettségek</w:t>
            </w:r>
          </w:p>
          <w:p w14:paraId="0126B927" w14:textId="77777777" w:rsidR="001B1411" w:rsidRPr="00DA7625" w:rsidRDefault="00581FA5">
            <w:pPr>
              <w:pStyle w:val="InstructionsText"/>
            </w:pPr>
            <w:r w:rsidRPr="00DA7625">
              <w:lastRenderedPageBreak/>
              <w:t>Lakossággal szembeni kitettségek</w:t>
            </w:r>
          </w:p>
        </w:tc>
      </w:tr>
    </w:tbl>
    <w:p w14:paraId="33B76BB0" w14:textId="77777777" w:rsidR="001B1411" w:rsidRPr="00DA7625" w:rsidRDefault="001B1411">
      <w:pPr>
        <w:pStyle w:val="InstructionsText"/>
      </w:pPr>
    </w:p>
    <w:p w14:paraId="1EAB1602" w14:textId="77777777" w:rsidR="001B1411" w:rsidRPr="00DA7625" w:rsidRDefault="001B1411">
      <w:pPr>
        <w:pStyle w:val="InstructionsText"/>
      </w:pPr>
    </w:p>
    <w:p w14:paraId="247800C0" w14:textId="77777777" w:rsidR="001B1411" w:rsidRPr="00DA7625" w:rsidRDefault="0073242B">
      <w:pPr>
        <w:spacing w:before="0" w:after="0"/>
        <w:jc w:val="left"/>
        <w:rPr>
          <w:rFonts w:ascii="Times New Roman" w:hAnsi="Times New Roman"/>
          <w:bCs/>
          <w:sz w:val="24"/>
        </w:rPr>
      </w:pPr>
      <w:r w:rsidRPr="00DA7625">
        <w:rPr>
          <w:sz w:val="24"/>
        </w:rPr>
        <w:br w:type="page"/>
      </w:r>
    </w:p>
    <w:p w14:paraId="2AC19E2B" w14:textId="77777777" w:rsidR="001B1411" w:rsidRPr="00DA7625" w:rsidRDefault="001B1411">
      <w:pPr>
        <w:pStyle w:val="InstructionsText"/>
      </w:pPr>
    </w:p>
    <w:p w14:paraId="60DD97FC" w14:textId="314A1799" w:rsidR="001B1411" w:rsidRPr="00DA7625" w:rsidRDefault="00125707">
      <w:pPr>
        <w:pStyle w:val="Instructionsberschrift2"/>
        <w:numPr>
          <w:ilvl w:val="0"/>
          <w:numId w:val="0"/>
        </w:numPr>
        <w:ind w:left="357" w:hanging="357"/>
        <w:rPr>
          <w:rFonts w:ascii="Times New Roman" w:hAnsi="Times New Roman" w:cs="Times New Roman"/>
          <w:sz w:val="24"/>
        </w:rPr>
      </w:pPr>
      <w:bookmarkStart w:id="38" w:name="_Toc31018784"/>
      <w:r w:rsidRPr="00DA7625">
        <w:rPr>
          <w:rFonts w:ascii="Times New Roman" w:hAnsi="Times New Roman"/>
          <w:sz w:val="24"/>
          <w:u w:val="none"/>
        </w:rPr>
        <w:t>3.2.4.</w:t>
      </w:r>
      <w:r w:rsidRPr="00DA7625">
        <w:rPr>
          <w:rFonts w:ascii="Times New Roman" w:hAnsi="Times New Roman"/>
          <w:sz w:val="24"/>
          <w:u w:val="none"/>
        </w:rPr>
        <w:tab/>
      </w:r>
      <w:r w:rsidRPr="00DA7625">
        <w:rPr>
          <w:rFonts w:ascii="Times New Roman" w:hAnsi="Times New Roman"/>
          <w:sz w:val="24"/>
        </w:rPr>
        <w:t>A CRR 112. cikkében említett egyes kitettségi osztályok terjedelmének magyarázata</w:t>
      </w:r>
      <w:bookmarkEnd w:id="38"/>
    </w:p>
    <w:p w14:paraId="301C7983"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39" w:name="_Toc31018785"/>
      <w:r w:rsidRPr="00DA7625">
        <w:rPr>
          <w:rFonts w:ascii="Times New Roman" w:hAnsi="Times New Roman"/>
          <w:sz w:val="24"/>
          <w:u w:val="none"/>
        </w:rPr>
        <w:t>3.2.4.1.</w:t>
      </w:r>
      <w:r w:rsidRPr="00DA7625">
        <w:rPr>
          <w:rFonts w:ascii="Times New Roman" w:hAnsi="Times New Roman"/>
          <w:sz w:val="24"/>
          <w:u w:val="none"/>
        </w:rPr>
        <w:tab/>
      </w:r>
      <w:r w:rsidRPr="00DA7625">
        <w:rPr>
          <w:rFonts w:ascii="Times New Roman" w:hAnsi="Times New Roman"/>
          <w:sz w:val="24"/>
        </w:rPr>
        <w:t>Az „intézmények” kitettségi osztály</w:t>
      </w:r>
      <w:bookmarkEnd w:id="39"/>
    </w:p>
    <w:p w14:paraId="4F6E5DB2" w14:textId="752E3C36" w:rsidR="001B1411" w:rsidRPr="00DA7625" w:rsidRDefault="00125707">
      <w:pPr>
        <w:pStyle w:val="InstructionsText2"/>
        <w:numPr>
          <w:ilvl w:val="0"/>
          <w:numId w:val="0"/>
        </w:numPr>
        <w:ind w:left="993"/>
      </w:pPr>
      <w:r w:rsidRPr="00DA7625">
        <w:t>68.</w:t>
      </w:r>
      <w:r w:rsidRPr="00DA7625">
        <w:tab/>
        <w:t>A CRR 113. cikkének (6)–(7) bekezdésében említett, csoporton belüli kitettségekre vonatkozó adatszolgáltatás módja:</w:t>
      </w:r>
    </w:p>
    <w:p w14:paraId="580D5DF7" w14:textId="7BA1F7FB" w:rsidR="001B1411" w:rsidRPr="00DA7625" w:rsidRDefault="00125707">
      <w:pPr>
        <w:pStyle w:val="InstructionsText2"/>
        <w:numPr>
          <w:ilvl w:val="0"/>
          <w:numId w:val="0"/>
        </w:numPr>
        <w:ind w:left="993"/>
      </w:pPr>
      <w:r w:rsidRPr="00DA7625">
        <w:t>69.</w:t>
      </w:r>
      <w:r w:rsidRPr="00DA7625">
        <w:tab/>
        <w:t>A CRR 113. cikkének (7) bekezdésében rögzített követelményeket teljesítő kitettségeket azokba a kitettségi osztályokba kell besorolni, amelyekbe akkor tartoznának, ha nem minősülnének csoporton belüli kitettségnek.</w:t>
      </w:r>
    </w:p>
    <w:p w14:paraId="13DAA094" w14:textId="32B21E7D" w:rsidR="001B1411" w:rsidRPr="00DA7625" w:rsidRDefault="00125707">
      <w:pPr>
        <w:pStyle w:val="InstructionsText2"/>
        <w:numPr>
          <w:ilvl w:val="0"/>
          <w:numId w:val="0"/>
        </w:numPr>
        <w:ind w:left="993"/>
      </w:pPr>
      <w:r w:rsidRPr="00DA7625">
        <w:t>70.</w:t>
      </w:r>
      <w:r w:rsidRPr="00DA7625">
        <w:tab/>
        <w:t>A CRR 113. cikkének (6) és (7) bekezdése szerint „az intézmények az illetékes hatóságok általi előzetes engedélyezés függvényében dönthetnek úgy, hogy nem alkalmazzák e cikk (1) bekezdésének követelményeit az adott intézmény olyan partnerrel szembeni kitettségeire, amely az anyavállalata, leányvállalata, anyavállalatának leányvállalata vagy olyan vállalat, amely vele a 83/349/EGK irányelv 12. cikkének (1) bekezdése szerinti kapcsolatban áll.” Ez azt jelenti, hogy a csoporton belüli partnerek nem feltétlenül intézmények, hanem lehetnek egyéb kitettségi osztályba sorolt vállalkozások, pl. kiegészítő szolgáltatásokat nyújtó vállalkozások vagy a 83/349/EGK tanácsi irányelv</w:t>
      </w:r>
      <w:r w:rsidRPr="00DA7625">
        <w:rPr>
          <w:rStyle w:val="FootnoteReference"/>
          <w:sz w:val="24"/>
          <w:szCs w:val="24"/>
        </w:rPr>
        <w:footnoteReference w:id="9"/>
      </w:r>
      <w:r w:rsidRPr="00DA7625">
        <w:t xml:space="preserve"> 12. cikkének (1) bekezdésében meghatározott vállalkozások is. A csoporton belüli kitettségekről ezért a megfelelő kitettségi osztályban kell adatot szolgáltatni.</w:t>
      </w:r>
    </w:p>
    <w:p w14:paraId="454F0B0F"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40" w:name="_Toc31018786"/>
      <w:r w:rsidRPr="00DA7625">
        <w:rPr>
          <w:rFonts w:ascii="Times New Roman" w:hAnsi="Times New Roman"/>
          <w:sz w:val="24"/>
          <w:u w:val="none"/>
        </w:rPr>
        <w:t>3.2.4.2.</w:t>
      </w:r>
      <w:r w:rsidRPr="00DA7625">
        <w:rPr>
          <w:rFonts w:ascii="Times New Roman" w:hAnsi="Times New Roman"/>
          <w:sz w:val="24"/>
          <w:u w:val="none"/>
        </w:rPr>
        <w:tab/>
      </w:r>
      <w:r w:rsidRPr="00DA7625">
        <w:rPr>
          <w:rFonts w:ascii="Times New Roman" w:hAnsi="Times New Roman"/>
          <w:sz w:val="24"/>
        </w:rPr>
        <w:t>A „fedezett kötvények” kitettségi osztály</w:t>
      </w:r>
      <w:bookmarkEnd w:id="40"/>
    </w:p>
    <w:p w14:paraId="04680842" w14:textId="6AB3CB3D" w:rsidR="001B1411" w:rsidRPr="00DA7625" w:rsidRDefault="00125707">
      <w:pPr>
        <w:pStyle w:val="InstructionsText2"/>
        <w:numPr>
          <w:ilvl w:val="0"/>
          <w:numId w:val="0"/>
        </w:numPr>
        <w:ind w:left="993"/>
      </w:pPr>
      <w:r w:rsidRPr="00DA7625">
        <w:t>71.</w:t>
      </w:r>
      <w:r w:rsidRPr="00DA7625">
        <w:tab/>
        <w:t>Az SA-kitettségek az alábbiak szerint sorolhatók a „fedezett kötvények” kitettségi osztályba:</w:t>
      </w:r>
    </w:p>
    <w:p w14:paraId="26117C3B" w14:textId="3404A89E" w:rsidR="001B1411" w:rsidRPr="00DA7625" w:rsidRDefault="00125707">
      <w:pPr>
        <w:pStyle w:val="InstructionsText2"/>
        <w:numPr>
          <w:ilvl w:val="0"/>
          <w:numId w:val="0"/>
        </w:numPr>
        <w:ind w:left="993"/>
      </w:pPr>
      <w:r w:rsidRPr="00DA7625">
        <w:t>72.</w:t>
      </w:r>
      <w:r w:rsidRPr="00DA7625">
        <w:tab/>
        <w:t xml:space="preserve">A 2009/65/EK </w:t>
      </w:r>
      <w:r w:rsidRPr="00DA7625">
        <w:rPr>
          <w:color w:val="444444"/>
        </w:rPr>
        <w:t>európai parlamenti és tanácsi irányelv</w:t>
      </w:r>
      <w:r w:rsidRPr="00DA7625">
        <w:rPr>
          <w:rStyle w:val="FootnoteReference"/>
          <w:rFonts w:ascii="Times New Roman" w:hAnsi="Times New Roman"/>
          <w:sz w:val="24"/>
          <w:szCs w:val="24"/>
          <w:vertAlign w:val="superscript"/>
        </w:rPr>
        <w:footnoteReference w:id="10"/>
      </w:r>
      <w:r w:rsidRPr="00DA7625">
        <w:t xml:space="preserve"> 52. cikkének (4) bekezdésében említett kötvényeknek a „fedezett kötvények” kitettségi osztályba történő besoroláshoz teljesíteniük kell a CRR 129. cikkének (1) és (2) bekezdésében előírt követelményeket. A követelmények teljesülését minden esetben ellenőrizni kell. Ettől függetlenül a 2009/65/EK irányelv 52. cikkének (4) bekezdésében említett, 2007. december 31. előtt kibocsátott kötvények a CRR 129. cikkének (6) bekezdése alapján is a „fedezett kötvények” kitettségi osztályba sorolandók.</w:t>
      </w:r>
    </w:p>
    <w:p w14:paraId="07D7BC61"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41" w:name="_Toc31018787"/>
      <w:r w:rsidRPr="00DA7625">
        <w:rPr>
          <w:rFonts w:ascii="Times New Roman" w:hAnsi="Times New Roman"/>
          <w:sz w:val="24"/>
          <w:u w:val="none"/>
        </w:rPr>
        <w:t>3.2.4.3.</w:t>
      </w:r>
      <w:r w:rsidRPr="00DA7625">
        <w:rPr>
          <w:rFonts w:ascii="Times New Roman" w:hAnsi="Times New Roman"/>
          <w:sz w:val="24"/>
          <w:u w:val="none"/>
        </w:rPr>
        <w:tab/>
      </w:r>
      <w:r w:rsidRPr="00DA7625">
        <w:rPr>
          <w:rFonts w:ascii="Times New Roman" w:hAnsi="Times New Roman"/>
          <w:sz w:val="24"/>
        </w:rPr>
        <w:t>A „kollektív befektetési formák” kitettségi osztály</w:t>
      </w:r>
      <w:bookmarkEnd w:id="41"/>
    </w:p>
    <w:p w14:paraId="7A6279A6" w14:textId="2244E0DD" w:rsidR="001B1411" w:rsidRPr="00DA7625" w:rsidRDefault="00125707">
      <w:pPr>
        <w:pStyle w:val="InstructionsText2"/>
        <w:numPr>
          <w:ilvl w:val="0"/>
          <w:numId w:val="0"/>
        </w:numPr>
        <w:ind w:left="993"/>
      </w:pPr>
      <w:r w:rsidRPr="00DA7625">
        <w:t>73.</w:t>
      </w:r>
      <w:r w:rsidRPr="00DA7625">
        <w:tab/>
        <w:t xml:space="preserve">A CRR 132. cikkének (5) bekezdésében említett lehetőség kihasználásakor a kollektív befektetési formák befektetési jegyeinek vagy részvényeinek formájában fennálló kitettségeket a CRR 111. cikke (1) bekezdésének első mondatával összhangban mérlegtételként kell feltüntetni. </w:t>
      </w:r>
    </w:p>
    <w:p w14:paraId="2EE1E026"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42" w:name="_Toc31018788"/>
      <w:r w:rsidRPr="00DA7625">
        <w:rPr>
          <w:rFonts w:ascii="Times New Roman" w:hAnsi="Times New Roman"/>
          <w:sz w:val="24"/>
          <w:u w:val="none"/>
        </w:rPr>
        <w:lastRenderedPageBreak/>
        <w:t>3.2.5.</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4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B1411" w:rsidRPr="00DA7625" w14:paraId="60D5C64A" w14:textId="77777777" w:rsidTr="00672D2A">
        <w:trPr>
          <w:trHeight w:val="581"/>
        </w:trPr>
        <w:tc>
          <w:tcPr>
            <w:tcW w:w="9828" w:type="dxa"/>
            <w:gridSpan w:val="2"/>
            <w:shd w:val="clear" w:color="auto" w:fill="CCCCCC"/>
          </w:tcPr>
          <w:p w14:paraId="2A60DB9C" w14:textId="77777777" w:rsidR="001B1411" w:rsidRPr="00DA7625" w:rsidRDefault="00464F34">
            <w:pPr>
              <w:pStyle w:val="InstructionsText"/>
            </w:pPr>
            <w:r w:rsidRPr="00DA7625">
              <w:t>Oszlop</w:t>
            </w:r>
          </w:p>
        </w:tc>
      </w:tr>
      <w:tr w:rsidR="001B1411" w:rsidRPr="00DA7625" w14:paraId="0A756E82" w14:textId="77777777" w:rsidTr="00672D2A">
        <w:tc>
          <w:tcPr>
            <w:tcW w:w="1188" w:type="dxa"/>
          </w:tcPr>
          <w:p w14:paraId="0424DDD4" w14:textId="77777777" w:rsidR="001B1411" w:rsidRPr="00DA7625" w:rsidRDefault="00464F34">
            <w:pPr>
              <w:pStyle w:val="InstructionsText"/>
            </w:pPr>
            <w:r w:rsidRPr="00DA7625">
              <w:t>010</w:t>
            </w:r>
          </w:p>
        </w:tc>
        <w:tc>
          <w:tcPr>
            <w:tcW w:w="8640" w:type="dxa"/>
          </w:tcPr>
          <w:p w14:paraId="155EB26F" w14:textId="47734983"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HITEL-EGYENÉRTÉKESÍTÉSI TÉNYEZŐK ELŐTTI EREDETI KITETTSÉG</w:t>
            </w:r>
          </w:p>
          <w:p w14:paraId="6CF00A70" w14:textId="433A4A1F" w:rsidR="001B1411" w:rsidRPr="00DA7625" w:rsidRDefault="00464F34">
            <w:pPr>
              <w:pStyle w:val="InstructionsText"/>
            </w:pPr>
            <w:r w:rsidRPr="00DA7625">
              <w:t>Az értékelési korrekció, a céltartalékok, a hitel-egyenértékesítési tényezők és a hitelkockázat-mérséklési technikák hatásának figyelembevétele nélküli, a CRR 111. cikkének megfelelően kiszámított kitettségérték, a CRR 111. cikkének (2) bekezdésén alapuló alábbi rendelkezéseknek megfelelően:</w:t>
            </w:r>
          </w:p>
          <w:p w14:paraId="4FCD5AC8" w14:textId="02D70DE7" w:rsidR="001B1411" w:rsidRPr="00DA7625" w:rsidRDefault="00464F34">
            <w:pPr>
              <w:pStyle w:val="InstructionsText"/>
              <w:numPr>
                <w:ilvl w:val="0"/>
                <w:numId w:val="34"/>
              </w:numPr>
            </w:pPr>
            <w:r w:rsidRPr="00DA7625">
              <w:t>A CRR harmadik része II. címének 6. fejezete, vagy a CRR 92. cikke (3) bekezdésének f) pontja szerinti származtatott ügyletek, repoügyletek, értékpapír- és áru-kölcsönbeadási, illetve -kölcsönvételi ügyletek, hosszú teljesítési idejű ügyletek és értékpapírügylethez kapcsolódó hitelek eredeti kitettségértéke a CRR harmadik része II. címének 6. fejezetében rögzített módszer szerint számított partnerkockázati kitettség.</w:t>
            </w:r>
          </w:p>
          <w:p w14:paraId="14207A4F" w14:textId="1214B1FD" w:rsidR="001B1411" w:rsidRPr="00DA7625" w:rsidRDefault="00464F34">
            <w:pPr>
              <w:pStyle w:val="InstructionsText"/>
              <w:numPr>
                <w:ilvl w:val="0"/>
                <w:numId w:val="34"/>
              </w:numPr>
            </w:pPr>
            <w:r w:rsidRPr="00DA7625">
              <w:t xml:space="preserve">A lízing kitettségértékét a CRR 134. cikkének (7) bekezdése szabályozza. </w:t>
            </w:r>
          </w:p>
          <w:p w14:paraId="3D00DF66" w14:textId="0A0E8EBE" w:rsidR="001B1411" w:rsidRPr="00DA7625" w:rsidRDefault="00464F34">
            <w:pPr>
              <w:pStyle w:val="InstructionsText"/>
              <w:numPr>
                <w:ilvl w:val="0"/>
                <w:numId w:val="34"/>
              </w:numPr>
            </w:pPr>
            <w:r w:rsidRPr="00DA7625">
              <w:t>A CRR 219. cikke szerinti mérlegen belüli nettósítás esetében a kitettségértékeket a kapott készpénzbiztosíték figyelembevételével kell feltüntetni.</w:t>
            </w:r>
          </w:p>
          <w:p w14:paraId="65871675" w14:textId="076B5EB9" w:rsidR="001B1411" w:rsidRPr="00DA7625" w:rsidRDefault="00464F34">
            <w:pPr>
              <w:pStyle w:val="InstructionsText"/>
              <w:numPr>
                <w:ilvl w:val="0"/>
                <w:numId w:val="34"/>
              </w:numPr>
            </w:pPr>
            <w:r w:rsidRPr="00DA7625">
              <w:t>A CRR harmadik része II. címének 6. fejezete szerinti repoügyletekre, értékpapír, áru kölcsönbe adására, kölcsönbe vételére, illetve egyéb tőkepiac-vezérelt ügyletekre kiterjedő nettósítási keretmegállapodások esetében a CRR 220. cikkének (4) bekezdése szerinti nettósítási keretmegállapodás formájában megjelenő, előre rendelkezésre bocsátott hitelkockázati fedezet hatását a 010. oszlopban kell feltüntetni. Emiatt a CRR harmadik része II. címének 6. fejezete szerinti, repoügyletre vonatkozó nettósítási keretmegállapodások esetében a CRR 220. és 221. cikke szerint számított E* értékét a CR SA tábla 010-es oszlopában kell feltüntetni.</w:t>
            </w:r>
          </w:p>
        </w:tc>
      </w:tr>
      <w:tr w:rsidR="001B1411" w:rsidRPr="00DA7625" w14:paraId="06162BCB" w14:textId="77777777" w:rsidTr="00672D2A">
        <w:tc>
          <w:tcPr>
            <w:tcW w:w="1188" w:type="dxa"/>
          </w:tcPr>
          <w:p w14:paraId="561D2932" w14:textId="77777777" w:rsidR="001B1411" w:rsidRPr="00DA7625" w:rsidRDefault="00464F34">
            <w:pPr>
              <w:pStyle w:val="InstructionsText"/>
            </w:pPr>
            <w:r w:rsidRPr="00DA7625">
              <w:t>030</w:t>
            </w:r>
          </w:p>
        </w:tc>
        <w:tc>
          <w:tcPr>
            <w:tcW w:w="8640" w:type="dxa"/>
          </w:tcPr>
          <w:p w14:paraId="37C2574E"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 Az eredeti kitettséggel összefüggő értékelési korrekciók és céltartalékok</w:t>
            </w:r>
          </w:p>
          <w:p w14:paraId="359C13A5" w14:textId="3D1D93A8"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A CRR 24. és 111. cikke</w:t>
            </w:r>
          </w:p>
          <w:p w14:paraId="3FAA5F48" w14:textId="5708685D" w:rsidR="001B1411" w:rsidRPr="00DA7625" w:rsidRDefault="00464F34">
            <w:pPr>
              <w:pStyle w:val="InstructionsText"/>
            </w:pPr>
            <w:r w:rsidRPr="00DA7625">
              <w:t xml:space="preserve">Az adatszolgáltató intézményre alkalmazandó számviteli szabályozásnak megfelelő értékelési korrekciók és hitelveszteségre képzett céltartalékok. </w:t>
            </w:r>
          </w:p>
        </w:tc>
      </w:tr>
      <w:tr w:rsidR="001B1411" w:rsidRPr="00DA7625" w14:paraId="71B0957F" w14:textId="77777777" w:rsidTr="00672D2A">
        <w:tc>
          <w:tcPr>
            <w:tcW w:w="1188" w:type="dxa"/>
          </w:tcPr>
          <w:p w14:paraId="1B9ACE09" w14:textId="77777777" w:rsidR="001B1411" w:rsidRPr="00DA7625" w:rsidRDefault="00464F34">
            <w:pPr>
              <w:pStyle w:val="InstructionsText"/>
            </w:pPr>
            <w:r w:rsidRPr="00DA7625">
              <w:t>040</w:t>
            </w:r>
          </w:p>
        </w:tc>
        <w:tc>
          <w:tcPr>
            <w:tcW w:w="8640" w:type="dxa"/>
          </w:tcPr>
          <w:p w14:paraId="1CDEE718" w14:textId="77777777" w:rsidR="001B1411" w:rsidRPr="00DA7625" w:rsidRDefault="00464F34">
            <w:pPr>
              <w:pStyle w:val="InstructionsText"/>
            </w:pPr>
            <w:r w:rsidRPr="00DA7625">
              <w:rPr>
                <w:rStyle w:val="InstructionsTabelleberschrift"/>
                <w:rFonts w:ascii="Times New Roman" w:hAnsi="Times New Roman"/>
                <w:sz w:val="24"/>
              </w:rPr>
              <w:t>Értékelési korrekciókkal és céltartalékokkal csökkentett kitettség</w:t>
            </w:r>
          </w:p>
          <w:p w14:paraId="2E54438F" w14:textId="7898AACC" w:rsidR="001B1411" w:rsidRPr="00DA7625" w:rsidRDefault="00464F34">
            <w:pPr>
              <w:pStyle w:val="InstructionsText"/>
            </w:pPr>
            <w:r w:rsidRPr="00DA7625">
              <w:t>A 010-es és 030-as oszlop összege.</w:t>
            </w:r>
          </w:p>
        </w:tc>
      </w:tr>
      <w:tr w:rsidR="001B1411" w:rsidRPr="00DA7625" w14:paraId="2A8D0BE9" w14:textId="77777777" w:rsidTr="00672D2A">
        <w:tc>
          <w:tcPr>
            <w:tcW w:w="1188" w:type="dxa"/>
          </w:tcPr>
          <w:p w14:paraId="1E640D18" w14:textId="77777777" w:rsidR="001B1411" w:rsidRPr="00DA7625" w:rsidRDefault="00464F34">
            <w:pPr>
              <w:pStyle w:val="InstructionsText"/>
            </w:pPr>
            <w:r w:rsidRPr="00DA7625">
              <w:t>050–100</w:t>
            </w:r>
          </w:p>
        </w:tc>
        <w:tc>
          <w:tcPr>
            <w:tcW w:w="8640" w:type="dxa"/>
          </w:tcPr>
          <w:p w14:paraId="7F57112E"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A KITETTSÉGRE HELYETTESÍTÉSI HATÁSSAL JÁRÓ HITELKOCKÁZAT-MÉRSÉKLÉSI (CRM) TECHNIKÁK</w:t>
            </w:r>
          </w:p>
          <w:p w14:paraId="4A3B0C25" w14:textId="351CB71A" w:rsidR="001B1411" w:rsidRPr="00DA7625" w:rsidRDefault="00464F34">
            <w:pPr>
              <w:pStyle w:val="InstructionsText"/>
            </w:pPr>
            <w:r w:rsidRPr="00DA7625">
              <w:t>A CRR 4. cikke (1) bekezdésének 57. pontjában meghatározott hitelkockázat-mérséklési technikák, amelyek egy vagy több kitettség hitelkockázatát csökkentik a kitettségeknek az alább „A kitettség hitelkockázat-mérséklés miatti helyettesítése” részben ismertetett helyettesítésével.</w:t>
            </w:r>
          </w:p>
          <w:p w14:paraId="564DB9C9" w14:textId="58C3FB81" w:rsidR="001B1411" w:rsidRPr="00DA7625" w:rsidRDefault="00D21B29">
            <w:pPr>
              <w:pStyle w:val="InstructionsText"/>
            </w:pPr>
            <w:r w:rsidRPr="00DA7625">
              <w:t>A kitettségértéket befolyásoló biztosíték (pl. ha azt a kitettségre helyettesítési hatással járó hitelkockázat-mérséklési technikákhoz használják fel) értéke legfeljebb a kitettségérték lehet.</w:t>
            </w:r>
          </w:p>
          <w:p w14:paraId="7EDD45C2" w14:textId="77777777" w:rsidR="001B1411" w:rsidRPr="00DA7625" w:rsidRDefault="00464F34">
            <w:pPr>
              <w:pStyle w:val="InstructionsText"/>
            </w:pPr>
            <w:r w:rsidRPr="00DA7625">
              <w:t>Itt az alábbi tételeket kell feltüntetni:</w:t>
            </w:r>
          </w:p>
          <w:p w14:paraId="09CA1958" w14:textId="7194766D" w:rsidR="001B1411" w:rsidRPr="00DA7625" w:rsidRDefault="00125707">
            <w:pPr>
              <w:pStyle w:val="InstructionsText"/>
              <w:ind w:left="545" w:hanging="545"/>
            </w:pPr>
            <w:r w:rsidRPr="00DA7625">
              <w:rPr>
                <w:rFonts w:ascii="Arial" w:hAnsi="Arial"/>
              </w:rPr>
              <w:lastRenderedPageBreak/>
              <w:t>–</w:t>
            </w:r>
            <w:r w:rsidRPr="00DA7625">
              <w:rPr>
                <w:rFonts w:ascii="Arial" w:hAnsi="Arial"/>
              </w:rPr>
              <w:tab/>
            </w:r>
            <w:r w:rsidRPr="00DA7625">
              <w:t>a pénzügyi biztosítékok egyszerű módszerével képzett biztosíték;</w:t>
            </w:r>
          </w:p>
          <w:p w14:paraId="293AEDCE" w14:textId="77777777" w:rsidR="001B1411" w:rsidRPr="00DA7625" w:rsidRDefault="00125707">
            <w:pPr>
              <w:pStyle w:val="InstructionsText"/>
              <w:ind w:left="545" w:hanging="545"/>
            </w:pPr>
            <w:r w:rsidRPr="00DA7625">
              <w:rPr>
                <w:rFonts w:ascii="Arial" w:hAnsi="Arial"/>
              </w:rPr>
              <w:t>–</w:t>
            </w:r>
            <w:r w:rsidRPr="00DA7625">
              <w:rPr>
                <w:rFonts w:ascii="Arial" w:hAnsi="Arial"/>
              </w:rPr>
              <w:tab/>
            </w:r>
            <w:r w:rsidRPr="00DA7625">
              <w:t>figyelembe vehető, előre nem rendelkezésre bocsátott hitelkockázati fedezet.</w:t>
            </w:r>
          </w:p>
          <w:p w14:paraId="54C1D173" w14:textId="67902962" w:rsidR="001B1411" w:rsidRPr="00DA7625" w:rsidRDefault="00464F34">
            <w:pPr>
              <w:pStyle w:val="InstructionsText"/>
            </w:pPr>
            <w:r w:rsidRPr="00DA7625">
              <w:t>Lásd még a 3.1.1. pontban található útmutatót.</w:t>
            </w:r>
          </w:p>
        </w:tc>
      </w:tr>
      <w:tr w:rsidR="001B1411" w:rsidRPr="00DA7625" w14:paraId="48CAFA37" w14:textId="77777777" w:rsidTr="00672D2A">
        <w:tc>
          <w:tcPr>
            <w:tcW w:w="1188" w:type="dxa"/>
          </w:tcPr>
          <w:p w14:paraId="000EA90A" w14:textId="77777777" w:rsidR="001B1411" w:rsidRPr="00DA7625" w:rsidRDefault="00464F34">
            <w:pPr>
              <w:pStyle w:val="InstructionsText"/>
            </w:pPr>
            <w:r w:rsidRPr="00DA7625">
              <w:lastRenderedPageBreak/>
              <w:t>050–060</w:t>
            </w:r>
          </w:p>
        </w:tc>
        <w:tc>
          <w:tcPr>
            <w:tcW w:w="8640" w:type="dxa"/>
          </w:tcPr>
          <w:p w14:paraId="4D778B5F" w14:textId="2090831F"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Előre nem rendelkezésre bocsátott hitelkockázati fedezet: korrigált értékek (G</w:t>
            </w:r>
            <w:r w:rsidRPr="00DA7625">
              <w:rPr>
                <w:rStyle w:val="InstructionsTabelleberschrift"/>
                <w:rFonts w:ascii="Times New Roman" w:hAnsi="Times New Roman"/>
                <w:sz w:val="24"/>
                <w:vertAlign w:val="subscript"/>
              </w:rPr>
              <w:t>A</w:t>
            </w:r>
            <w:r w:rsidRPr="00DA7625">
              <w:rPr>
                <w:rStyle w:val="InstructionsTabelleberschrift"/>
                <w:rFonts w:ascii="Times New Roman" w:hAnsi="Times New Roman"/>
                <w:sz w:val="24"/>
              </w:rPr>
              <w:t>)</w:t>
            </w:r>
          </w:p>
          <w:p w14:paraId="7E2A91D4" w14:textId="63031307" w:rsidR="001B1411" w:rsidRPr="00DA7625" w:rsidRDefault="00464F34">
            <w:pPr>
              <w:pStyle w:val="InstructionsText"/>
            </w:pPr>
            <w:r w:rsidRPr="00DA7625">
              <w:t>A CRR 235. cikke</w:t>
            </w:r>
          </w:p>
          <w:p w14:paraId="42296315" w14:textId="643B51CB" w:rsidR="001B1411" w:rsidRPr="00DA7625" w:rsidRDefault="00464F34">
            <w:pPr>
              <w:pStyle w:val="InstructionsText"/>
            </w:pPr>
            <w:r w:rsidRPr="00DA7625">
              <w:t>A CRR 239. cikkének (3) bekezdése tartalmazza az előre nem rendelkezésre bocsátott hitelkockázati fedezet G</w:t>
            </w:r>
            <w:r w:rsidRPr="00DA7625">
              <w:rPr>
                <w:vertAlign w:val="subscript"/>
              </w:rPr>
              <w:t>A</w:t>
            </w:r>
            <w:r w:rsidRPr="00DA7625">
              <w:t xml:space="preserve"> korrigált értékének kiszámításához használandó képletet.</w:t>
            </w:r>
          </w:p>
        </w:tc>
      </w:tr>
      <w:tr w:rsidR="001B1411" w:rsidRPr="00DA7625" w14:paraId="6FCB536B" w14:textId="77777777" w:rsidTr="00672D2A">
        <w:tc>
          <w:tcPr>
            <w:tcW w:w="1188" w:type="dxa"/>
          </w:tcPr>
          <w:p w14:paraId="2DEDE4CD" w14:textId="77777777" w:rsidR="001B1411" w:rsidRPr="00DA7625" w:rsidRDefault="00464F34">
            <w:pPr>
              <w:pStyle w:val="InstructionsText"/>
            </w:pPr>
            <w:r w:rsidRPr="00DA7625">
              <w:t>050</w:t>
            </w:r>
          </w:p>
        </w:tc>
        <w:tc>
          <w:tcPr>
            <w:tcW w:w="8640" w:type="dxa"/>
          </w:tcPr>
          <w:p w14:paraId="1A6F57A1"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Garanciák</w:t>
            </w:r>
          </w:p>
          <w:p w14:paraId="3C817615" w14:textId="52BDCBE9" w:rsidR="001B1411" w:rsidRPr="00DA7625" w:rsidRDefault="00464F34">
            <w:pPr>
              <w:pStyle w:val="InstructionsText"/>
            </w:pPr>
            <w:r w:rsidRPr="00DA7625">
              <w:t>A CRR 203. cikke</w:t>
            </w:r>
          </w:p>
          <w:p w14:paraId="4D9BDF1E" w14:textId="6E29CFE0" w:rsidR="001B1411" w:rsidRPr="00DA7625" w:rsidRDefault="00464F34">
            <w:pPr>
              <w:pStyle w:val="InstructionsText"/>
              <w:rPr>
                <w:b/>
                <w:u w:val="single"/>
              </w:rPr>
            </w:pPr>
            <w:r w:rsidRPr="00DA7625">
              <w:t>A CRR 4. cikke (1) bekezdésének 59. pontjában meghatározott, a hitelderivatívákat nem tartalmazó előre nem rendelkezésre bocsátott hitelkockázati fedezet.</w:t>
            </w:r>
          </w:p>
        </w:tc>
      </w:tr>
      <w:tr w:rsidR="001B1411" w:rsidRPr="00DA7625" w14:paraId="53EC46EE" w14:textId="77777777" w:rsidTr="00672D2A">
        <w:tc>
          <w:tcPr>
            <w:tcW w:w="1188" w:type="dxa"/>
          </w:tcPr>
          <w:p w14:paraId="664C21AF" w14:textId="77777777" w:rsidR="001B1411" w:rsidRPr="00DA7625" w:rsidRDefault="00464F34">
            <w:pPr>
              <w:pStyle w:val="InstructionsText"/>
            </w:pPr>
            <w:r w:rsidRPr="00DA7625">
              <w:t>060</w:t>
            </w:r>
          </w:p>
        </w:tc>
        <w:tc>
          <w:tcPr>
            <w:tcW w:w="8640" w:type="dxa"/>
          </w:tcPr>
          <w:p w14:paraId="11B5337C"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Hitelderivatívák</w:t>
            </w:r>
          </w:p>
          <w:p w14:paraId="6F84C7A7" w14:textId="32C70D1A" w:rsidR="001B1411" w:rsidRPr="00DA7625" w:rsidRDefault="00464F34">
            <w:pPr>
              <w:pStyle w:val="InstructionsText"/>
              <w:rPr>
                <w:b/>
                <w:u w:val="single"/>
              </w:rPr>
            </w:pPr>
            <w:r w:rsidRPr="00DA7625">
              <w:t>A CRR 204. cikke</w:t>
            </w:r>
          </w:p>
        </w:tc>
      </w:tr>
      <w:tr w:rsidR="001B1411" w:rsidRPr="00DA7625" w14:paraId="33D7E361" w14:textId="77777777" w:rsidTr="00672D2A">
        <w:tc>
          <w:tcPr>
            <w:tcW w:w="1188" w:type="dxa"/>
          </w:tcPr>
          <w:p w14:paraId="2A69FCA4" w14:textId="77777777" w:rsidR="001B1411" w:rsidRPr="00DA7625" w:rsidRDefault="00464F34">
            <w:pPr>
              <w:pStyle w:val="InstructionsText"/>
            </w:pPr>
            <w:r w:rsidRPr="00DA7625">
              <w:t>070–080</w:t>
            </w:r>
          </w:p>
          <w:p w14:paraId="3F0DF3CC" w14:textId="77777777" w:rsidR="001B1411" w:rsidRPr="00DA7625" w:rsidRDefault="001B1411">
            <w:pPr>
              <w:pStyle w:val="InstructionsText"/>
            </w:pPr>
          </w:p>
        </w:tc>
        <w:tc>
          <w:tcPr>
            <w:tcW w:w="8640" w:type="dxa"/>
          </w:tcPr>
          <w:p w14:paraId="154EB93F"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Előre rendelkezésre bocsátott hitelkockázati fedezet</w:t>
            </w:r>
          </w:p>
          <w:p w14:paraId="08255B17" w14:textId="68A7E5F4" w:rsidR="001B1411" w:rsidRPr="00DA7625" w:rsidRDefault="009C44E7">
            <w:pPr>
              <w:pStyle w:val="InstructionsText"/>
            </w:pPr>
            <w:r w:rsidRPr="00DA7625">
              <w:t>Ezek az oszlopok a CRR 4. cikke (1) bekezdésének 58. pontjában meghatározott és a CRR 196., 197. és 200. cikke szerinti szabályok hatálya alá tartozó, előre rendelkezésre bocsátott hitelkockázati fedezetre vonatkoznak Az összegek nem foglalják magukban a nettósítási keretmegállapodásokat, mivel azok értékét a hitel-egyenértékesítési tényezők előtti eredeti kitettség már tartalmazza.</w:t>
            </w:r>
          </w:p>
          <w:p w14:paraId="1C24337C" w14:textId="27BD332F" w:rsidR="001B1411" w:rsidRPr="00DA7625" w:rsidRDefault="00167619">
            <w:pPr>
              <w:pStyle w:val="InstructionsText"/>
            </w:pPr>
            <w:r w:rsidRPr="00DA7625">
              <w:t>A CRR 218. cikkében említett, hitelkockázati eseményhez kapcsolt értékpapírokba történő befektetéseket és a CRR 219. cikkében említett, figyelembe vehető mérlegen belüli nettósítási megállapodásokból eredő mérlegen belüli nettósítási pozíciókat készpénzbiztosítékként kell kezelni.</w:t>
            </w:r>
          </w:p>
        </w:tc>
      </w:tr>
      <w:tr w:rsidR="001B1411" w:rsidRPr="00DA7625" w14:paraId="684855B2" w14:textId="77777777" w:rsidTr="00672D2A">
        <w:tc>
          <w:tcPr>
            <w:tcW w:w="1188" w:type="dxa"/>
          </w:tcPr>
          <w:p w14:paraId="7C3AD714" w14:textId="77777777" w:rsidR="001B1411" w:rsidRPr="00DA7625" w:rsidRDefault="00464F34">
            <w:pPr>
              <w:pStyle w:val="InstructionsText"/>
            </w:pPr>
            <w:r w:rsidRPr="00DA7625">
              <w:t>070</w:t>
            </w:r>
          </w:p>
        </w:tc>
        <w:tc>
          <w:tcPr>
            <w:tcW w:w="8640" w:type="dxa"/>
          </w:tcPr>
          <w:p w14:paraId="785A081B" w14:textId="77777777" w:rsidR="001B1411" w:rsidRPr="00DA7625" w:rsidRDefault="00464F34">
            <w:pPr>
              <w:pStyle w:val="InstructionsText"/>
            </w:pPr>
            <w:r w:rsidRPr="00DA7625">
              <w:rPr>
                <w:rStyle w:val="InstructionsTabelleberschrift"/>
                <w:rFonts w:ascii="Times New Roman" w:hAnsi="Times New Roman"/>
                <w:sz w:val="24"/>
              </w:rPr>
              <w:t>Pénzügyi biztosítékok: egyszerű módszer</w:t>
            </w:r>
          </w:p>
          <w:p w14:paraId="30F5FF1A" w14:textId="76B40E70" w:rsidR="001B1411" w:rsidRPr="00DA7625" w:rsidRDefault="00167619">
            <w:pPr>
              <w:pStyle w:val="InstructionsText"/>
            </w:pPr>
            <w:r w:rsidRPr="00DA7625">
              <w:t>A CRR 222. cikkének (1) és (2) bekezdése</w:t>
            </w:r>
          </w:p>
        </w:tc>
      </w:tr>
      <w:tr w:rsidR="001B1411" w:rsidRPr="00DA7625" w14:paraId="4F0A954E" w14:textId="77777777" w:rsidTr="00672D2A">
        <w:tc>
          <w:tcPr>
            <w:tcW w:w="1188" w:type="dxa"/>
          </w:tcPr>
          <w:p w14:paraId="3A0C71EB" w14:textId="77777777" w:rsidR="001B1411" w:rsidRPr="00DA7625" w:rsidRDefault="00464F34">
            <w:pPr>
              <w:pStyle w:val="InstructionsText"/>
            </w:pPr>
            <w:r w:rsidRPr="00DA7625">
              <w:t>080</w:t>
            </w:r>
          </w:p>
        </w:tc>
        <w:tc>
          <w:tcPr>
            <w:tcW w:w="8640" w:type="dxa"/>
          </w:tcPr>
          <w:p w14:paraId="0A7B1F90"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Egyéb előre rendelkezésre bocsátott hitelkockázati fedezet</w:t>
            </w:r>
          </w:p>
          <w:p w14:paraId="30768CF6" w14:textId="749ACE07" w:rsidR="001B1411" w:rsidRPr="00DA7625" w:rsidRDefault="00464F34">
            <w:pPr>
              <w:pStyle w:val="InstructionsText"/>
            </w:pPr>
            <w:r w:rsidRPr="00DA7625">
              <w:t>A CRR 232. cikke</w:t>
            </w:r>
          </w:p>
        </w:tc>
      </w:tr>
      <w:tr w:rsidR="001B1411" w:rsidRPr="00DA7625" w14:paraId="66728599" w14:textId="77777777" w:rsidTr="00672D2A">
        <w:tc>
          <w:tcPr>
            <w:tcW w:w="1188" w:type="dxa"/>
          </w:tcPr>
          <w:p w14:paraId="640EA64E" w14:textId="77777777" w:rsidR="001B1411" w:rsidRPr="00DA7625" w:rsidRDefault="00464F34">
            <w:pPr>
              <w:pStyle w:val="InstructionsText"/>
            </w:pPr>
            <w:r w:rsidRPr="00DA7625">
              <w:t>090–100</w:t>
            </w:r>
          </w:p>
        </w:tc>
        <w:tc>
          <w:tcPr>
            <w:tcW w:w="8640" w:type="dxa"/>
          </w:tcPr>
          <w:p w14:paraId="210ED76E"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A KITETTSÉG HITELKOCKÁZAT-MÉRSÉKLÉS MIATTI HELYETTESÍTÉSE</w:t>
            </w:r>
          </w:p>
          <w:p w14:paraId="516B4950" w14:textId="4E0296F5" w:rsidR="001B1411" w:rsidRPr="00DA7625" w:rsidRDefault="00464F34">
            <w:pPr>
              <w:pStyle w:val="InstructionsText"/>
            </w:pPr>
            <w:r w:rsidRPr="00DA7625">
              <w:t>A CRR 222. cikkének (3) bekezdése, 235. cikkének (1)–(2) bekezdése, valamint 236. cikke</w:t>
            </w:r>
          </w:p>
          <w:p w14:paraId="1BE85E4D" w14:textId="538B70D3" w:rsidR="001B1411" w:rsidRPr="00DA7625" w:rsidRDefault="00464F34">
            <w:pPr>
              <w:pStyle w:val="InstructionsText"/>
            </w:pPr>
            <w:r w:rsidRPr="00DA7625">
              <w:t>A kiáramlások értéke megegyezik a hitel-egyenértékesítési tényezők előtti eredeti kitettség fedezett részével, amelyet a kötelezett kitettségi osztályából való levonást követően a fedezetnyújtó kitettségi osztályába kell sorolni. Ezt az összeget a fedezetnyújtó kitettségi osztályába irányuló beáramlásnak kell tekinteni.</w:t>
            </w:r>
          </w:p>
          <w:p w14:paraId="3C767A74" w14:textId="77777777" w:rsidR="001B1411" w:rsidRPr="00DA7625" w:rsidRDefault="00464F34">
            <w:pPr>
              <w:pStyle w:val="InstructionsText"/>
              <w:rPr>
                <w:b/>
              </w:rPr>
            </w:pPr>
            <w:r w:rsidRPr="00DA7625">
              <w:t>Az azonos kitettségi osztályba tartozó be- és kiáramlásokat szintén fel kell tüntetni.</w:t>
            </w:r>
          </w:p>
          <w:p w14:paraId="28447CBF" w14:textId="77777777" w:rsidR="001B1411" w:rsidRPr="00DA7625" w:rsidRDefault="00464F34">
            <w:pPr>
              <w:pStyle w:val="InstructionsText"/>
            </w:pPr>
            <w:r w:rsidRPr="00DA7625">
              <w:t>Figyelembe kell venni az egyéb táblákhoz kapcsolódó esetleges ki- és beáramlásokból eredő kitettségeket is.</w:t>
            </w:r>
          </w:p>
        </w:tc>
      </w:tr>
      <w:tr w:rsidR="001B1411" w:rsidRPr="00DA7625" w14:paraId="2CD19DE6" w14:textId="77777777" w:rsidTr="00672D2A">
        <w:tc>
          <w:tcPr>
            <w:tcW w:w="1188" w:type="dxa"/>
          </w:tcPr>
          <w:p w14:paraId="527C3318" w14:textId="77777777" w:rsidR="001B1411" w:rsidRPr="00DA7625" w:rsidRDefault="00464F34">
            <w:pPr>
              <w:pStyle w:val="InstructionsText"/>
            </w:pPr>
            <w:r w:rsidRPr="00DA7625">
              <w:lastRenderedPageBreak/>
              <w:t>110</w:t>
            </w:r>
          </w:p>
        </w:tc>
        <w:tc>
          <w:tcPr>
            <w:tcW w:w="8640" w:type="dxa"/>
          </w:tcPr>
          <w:p w14:paraId="01C10ADF" w14:textId="2774256C"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HELYETTESÍTÉSI HATÁSSAL JÁRÓ CRM-TECHNIKÁK UTÁNI, HITEL-EGYENÉRTÉKESÍTÉSI TÉNYEZŐK ELŐTTI NETTÓ KITETTSÉG</w:t>
            </w:r>
          </w:p>
          <w:p w14:paraId="65CAB6BF" w14:textId="77777777" w:rsidR="001B1411" w:rsidRPr="00DA7625" w:rsidRDefault="00464F34">
            <w:pPr>
              <w:pStyle w:val="InstructionsText"/>
            </w:pPr>
            <w:r w:rsidRPr="00DA7625">
              <w:t>Az értékelési korrekció nélküli kitettségérték A KITETTSÉGRE HELYETTESÍTÉSI HATÁSSAL JÁRÓ HITELKOCKÁZAT-MÉRSÉKLÉSI TECHNIKÁK miatti ki- és beáramlások figyelembevétele után</w:t>
            </w:r>
          </w:p>
        </w:tc>
      </w:tr>
      <w:tr w:rsidR="001B1411" w:rsidRPr="00DA7625" w14:paraId="5C5D751D" w14:textId="77777777" w:rsidTr="00672D2A">
        <w:tc>
          <w:tcPr>
            <w:tcW w:w="1188" w:type="dxa"/>
          </w:tcPr>
          <w:p w14:paraId="00A3493D" w14:textId="77777777" w:rsidR="001B1411" w:rsidRPr="00DA7625" w:rsidRDefault="00464F34">
            <w:pPr>
              <w:pStyle w:val="InstructionsText"/>
            </w:pPr>
            <w:r w:rsidRPr="00DA7625">
              <w:t>120–140</w:t>
            </w:r>
          </w:p>
        </w:tc>
        <w:tc>
          <w:tcPr>
            <w:tcW w:w="8640" w:type="dxa"/>
          </w:tcPr>
          <w:p w14:paraId="133D63FB" w14:textId="77777777" w:rsidR="001B1411" w:rsidRPr="00DA7625" w:rsidRDefault="00464F34">
            <w:pPr>
              <w:pStyle w:val="InstructionsText"/>
            </w:pPr>
            <w:r w:rsidRPr="00DA7625">
              <w:rPr>
                <w:rStyle w:val="InstructionsTabelleberschrift"/>
                <w:rFonts w:ascii="Times New Roman" w:hAnsi="Times New Roman"/>
                <w:sz w:val="24"/>
              </w:rPr>
              <w:t>A KITETTSÉGÉRTÉKET ÉRINTŐ HITELKOCKÁZAT-MÉRSÉKLÉSI TECHNIKÁK. ELŐRE RENDELKEZÉSRE BOCSÁTOTT HITELKOCKÁZATI FEDEZET, A PÉNZÜGYI BIZTOSÍTÉKOK ÖSSZETETT MÓDSZERE</w:t>
            </w:r>
          </w:p>
          <w:p w14:paraId="35315E37" w14:textId="2F2FBDF5" w:rsidR="001B1411" w:rsidRPr="00DA7625" w:rsidRDefault="00464F34">
            <w:pPr>
              <w:pStyle w:val="InstructionsText"/>
            </w:pPr>
            <w:r w:rsidRPr="00DA7625">
              <w:t>A CRR 223–228. cikke Magukban foglalják a CRR 218. cikke szerinti hitelkockázati eseményhez kapcsolt értékpapírokat is.</w:t>
            </w:r>
          </w:p>
          <w:p w14:paraId="41F834A4" w14:textId="6E2C3ADA" w:rsidR="001B1411" w:rsidRPr="00DA7625" w:rsidRDefault="00464F34">
            <w:pPr>
              <w:pStyle w:val="InstructionsText"/>
            </w:pPr>
            <w:r w:rsidRPr="00DA7625">
              <w:t>A CRR 218. cikkében említett, hitelkockázati eseményhez kapcsolt értékpapírokat és a CRR 219. cikkében említett, figyelembe vehető mérlegen belüli nettósítási megállapodásokból eredő mérlegen belüli nettósítási pozíciókat készpénzbiztosítékként kell kezelni.</w:t>
            </w:r>
          </w:p>
          <w:p w14:paraId="6A0852CD" w14:textId="1DAFD84E" w:rsidR="001B1411" w:rsidRPr="00DA7625" w:rsidRDefault="00464F34">
            <w:pPr>
              <w:pStyle w:val="InstructionsText"/>
            </w:pPr>
            <w:r w:rsidRPr="00DA7625">
              <w:t xml:space="preserve">Ha a pénzügyi biztosítékok összetett módszerét egy figyelembe vehető pénzügyi biztosítékkal fedezett kitettségre alkalmazzák, akkor az e módszer szerinti fedezettség hatását a CRR 223–228. cikkének megfelelően kell kiszámítani. </w:t>
            </w:r>
          </w:p>
        </w:tc>
      </w:tr>
      <w:tr w:rsidR="001B1411" w:rsidRPr="00DA7625" w14:paraId="1A2DAD1A" w14:textId="77777777" w:rsidTr="00672D2A">
        <w:tc>
          <w:tcPr>
            <w:tcW w:w="1188" w:type="dxa"/>
          </w:tcPr>
          <w:p w14:paraId="0862AFEE" w14:textId="77777777" w:rsidR="001B1411" w:rsidRPr="00DA7625" w:rsidRDefault="00464F34">
            <w:pPr>
              <w:pStyle w:val="InstructionsText"/>
            </w:pPr>
            <w:r w:rsidRPr="00DA7625">
              <w:t>120</w:t>
            </w:r>
          </w:p>
        </w:tc>
        <w:tc>
          <w:tcPr>
            <w:tcW w:w="8640" w:type="dxa"/>
          </w:tcPr>
          <w:p w14:paraId="4D04017F"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A kitettség volatilitási korrekciós tényezője</w:t>
            </w:r>
          </w:p>
          <w:p w14:paraId="2DBA3C48" w14:textId="4FA2FC7A" w:rsidR="001B1411" w:rsidRPr="00DA7625" w:rsidRDefault="00167619">
            <w:pPr>
              <w:pStyle w:val="InstructionsText"/>
            </w:pPr>
            <w:r w:rsidRPr="00DA7625">
              <w:t>A CRR 223. cikkének (2) és (3) bekezdése</w:t>
            </w:r>
          </w:p>
          <w:p w14:paraId="5CA75325" w14:textId="3ABCC22A" w:rsidR="001B1411" w:rsidRPr="00DA7625" w:rsidRDefault="00464F34">
            <w:pPr>
              <w:pStyle w:val="InstructionsText"/>
            </w:pPr>
            <w:r w:rsidRPr="00DA7625">
              <w:t>A feltüntetendő érték a kitettség volatilitási korrekciós tényezőjének hatása: (Eva–E) = E*He.</w:t>
            </w:r>
          </w:p>
        </w:tc>
      </w:tr>
      <w:tr w:rsidR="001B1411" w:rsidRPr="00DA7625" w14:paraId="1328FEEF" w14:textId="77777777" w:rsidTr="00672D2A">
        <w:tc>
          <w:tcPr>
            <w:tcW w:w="1188" w:type="dxa"/>
          </w:tcPr>
          <w:p w14:paraId="65567F2E" w14:textId="77777777" w:rsidR="001B1411" w:rsidRPr="00DA7625" w:rsidRDefault="00464F34">
            <w:pPr>
              <w:pStyle w:val="InstructionsText"/>
            </w:pPr>
            <w:r w:rsidRPr="00DA7625">
              <w:t>130</w:t>
            </w:r>
          </w:p>
        </w:tc>
        <w:tc>
          <w:tcPr>
            <w:tcW w:w="8640" w:type="dxa"/>
          </w:tcPr>
          <w:p w14:paraId="425A0584"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 Pénzügyi biztosíték korrigált értéke (Cvam)</w:t>
            </w:r>
          </w:p>
          <w:p w14:paraId="129271D2" w14:textId="019500E0" w:rsidR="001B1411" w:rsidRPr="00DA7625" w:rsidRDefault="00464F34">
            <w:pPr>
              <w:pStyle w:val="InstructionsText"/>
            </w:pPr>
            <w:r w:rsidRPr="00DA7625">
              <w:t>A CRR 239. cikkének (2) bekezdése</w:t>
            </w:r>
          </w:p>
          <w:p w14:paraId="1725491A" w14:textId="7B89B115" w:rsidR="001B1411" w:rsidRPr="00DA7625" w:rsidRDefault="00464F34">
            <w:pPr>
              <w:pStyle w:val="InstructionsText"/>
            </w:pPr>
            <w:r w:rsidRPr="00DA7625">
              <w:t xml:space="preserve">Kereskedési könyvben nyilvántartott műveletek esetében a tétel magában foglalja a CRR 299. cikke (2) bekezdésének c)–f) pontja alapján a kereskedési könyvi kitettségekre vonatkozóan figyelembe vehető pénzügyi biztosítékokat és árukat. </w:t>
            </w:r>
          </w:p>
          <w:p w14:paraId="0C722CAF" w14:textId="0BCFA170" w:rsidR="001B1411" w:rsidRPr="00DA7625" w:rsidRDefault="00464F34">
            <w:pPr>
              <w:pStyle w:val="InstructionsText"/>
            </w:pPr>
            <w:r w:rsidRPr="00DA7625">
              <w:t>A feltüntetendő érték kiszámítása: Cvam = C*(1–Hc–Hfx)*(t–t*)/(T–t*). A C, Hc, Hfx, t, T és t* értékek meghatározását a CRR harmadik része II. címe 4. fejezetének 4. és 5. szakasza tartalmazza.</w:t>
            </w:r>
          </w:p>
        </w:tc>
      </w:tr>
      <w:tr w:rsidR="001B1411" w:rsidRPr="00DA7625" w14:paraId="6DDB92B8" w14:textId="77777777" w:rsidTr="00672D2A">
        <w:tc>
          <w:tcPr>
            <w:tcW w:w="1188" w:type="dxa"/>
          </w:tcPr>
          <w:p w14:paraId="26C8C3A2" w14:textId="77777777" w:rsidR="001B1411" w:rsidRPr="00DA7625" w:rsidRDefault="00464F34">
            <w:pPr>
              <w:pStyle w:val="InstructionsText"/>
            </w:pPr>
            <w:r w:rsidRPr="00DA7625">
              <w:t>140</w:t>
            </w:r>
          </w:p>
        </w:tc>
        <w:tc>
          <w:tcPr>
            <w:tcW w:w="8640" w:type="dxa"/>
          </w:tcPr>
          <w:p w14:paraId="7F05E927" w14:textId="77777777" w:rsidR="001B1411" w:rsidRPr="00DA7625" w:rsidRDefault="008932B5">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 Ebből: volatilitási és lejárati korrekció</w:t>
            </w:r>
          </w:p>
          <w:p w14:paraId="20CE6C10" w14:textId="694F701E" w:rsidR="001B1411" w:rsidRPr="00DA7625" w:rsidRDefault="00464F34">
            <w:pPr>
              <w:pStyle w:val="InstructionsText"/>
            </w:pPr>
            <w:r w:rsidRPr="00DA7625">
              <w:t xml:space="preserve">A CRR 223. cikkének (1) bekezdése és 239. cikkének (2) bekezdése </w:t>
            </w:r>
          </w:p>
          <w:p w14:paraId="2A14750F" w14:textId="77777777" w:rsidR="001B1411" w:rsidRPr="00DA7625" w:rsidRDefault="00464F34">
            <w:pPr>
              <w:pStyle w:val="InstructionsText"/>
            </w:pPr>
            <w:r w:rsidRPr="00DA7625">
              <w:t>A feltüntetendő érték a volatilitási és lejárati korrekció együttes hatása: (Cvam–C) = C*[(1–Hc–Hfx)*(t–t*)/(T–t*)–1], ahol a volatilitási korrekció hatása (Cva–C) = C*[(1–Hc–Hfx)–1], a lejárati korrekció hatása pedig (Cvam–Cva) = C*(1–Hc–Hfx)*[(t–t*)/(T–t*)–1].</w:t>
            </w:r>
          </w:p>
        </w:tc>
      </w:tr>
      <w:tr w:rsidR="001B1411" w:rsidRPr="00DA7625" w14:paraId="5AC27CBC" w14:textId="77777777" w:rsidTr="00672D2A">
        <w:tc>
          <w:tcPr>
            <w:tcW w:w="1188" w:type="dxa"/>
          </w:tcPr>
          <w:p w14:paraId="1B98879E" w14:textId="77777777" w:rsidR="001B1411" w:rsidRPr="00DA7625" w:rsidRDefault="00464F34">
            <w:pPr>
              <w:pStyle w:val="InstructionsText"/>
            </w:pPr>
            <w:r w:rsidRPr="00DA7625">
              <w:t>150</w:t>
            </w:r>
          </w:p>
        </w:tc>
        <w:tc>
          <w:tcPr>
            <w:tcW w:w="8640" w:type="dxa"/>
          </w:tcPr>
          <w:p w14:paraId="45978C18" w14:textId="77777777" w:rsidR="001B1411" w:rsidRPr="00DA7625" w:rsidRDefault="00464F34">
            <w:pPr>
              <w:pStyle w:val="InstructionsText"/>
            </w:pPr>
            <w:r w:rsidRPr="00DA7625">
              <w:rPr>
                <w:rStyle w:val="InstructionsTabelleberschrift"/>
                <w:rFonts w:ascii="Times New Roman" w:hAnsi="Times New Roman"/>
                <w:sz w:val="24"/>
              </w:rPr>
              <w:t>Teljes mértékben korrigált kitettségérték (E*)</w:t>
            </w:r>
          </w:p>
          <w:p w14:paraId="61E64A6F" w14:textId="20614960" w:rsidR="001B1411" w:rsidRPr="00DA7625" w:rsidRDefault="00464F34">
            <w:pPr>
              <w:pStyle w:val="InstructionsText"/>
              <w:rPr>
                <w:b/>
                <w:u w:val="single"/>
              </w:rPr>
            </w:pPr>
            <w:r w:rsidRPr="00DA7625">
              <w:t>A CRR 220. cikkének (4) bekezdése, 223. cikkének (2)–(5) bekezdése, valamint 228. cikkének (1) bekezdése.</w:t>
            </w:r>
          </w:p>
        </w:tc>
      </w:tr>
      <w:tr w:rsidR="001B1411" w:rsidRPr="00DA7625" w14:paraId="1C43E57B" w14:textId="77777777" w:rsidTr="00672D2A">
        <w:tc>
          <w:tcPr>
            <w:tcW w:w="1188" w:type="dxa"/>
          </w:tcPr>
          <w:p w14:paraId="72380E29" w14:textId="77777777" w:rsidR="001B1411" w:rsidRPr="00DA7625" w:rsidRDefault="00464F34">
            <w:pPr>
              <w:pStyle w:val="InstructionsText"/>
            </w:pPr>
            <w:r w:rsidRPr="00DA7625">
              <w:t>160–190</w:t>
            </w:r>
          </w:p>
        </w:tc>
        <w:tc>
          <w:tcPr>
            <w:tcW w:w="8640" w:type="dxa"/>
          </w:tcPr>
          <w:p w14:paraId="6B84413D"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A mérlegen kívüli tételek teljes mértékben korrigált kitettségértéke hitel-egyenértékesítési tényezők szerinti bontásban</w:t>
            </w:r>
          </w:p>
          <w:p w14:paraId="4BC7B539" w14:textId="4F489D4C" w:rsidR="001B1411" w:rsidRPr="00DA7625" w:rsidRDefault="00464F34">
            <w:pPr>
              <w:pStyle w:val="InstructionsText"/>
            </w:pPr>
            <w:r w:rsidRPr="00DA7625">
              <w:lastRenderedPageBreak/>
              <w:t>A CRR 111. cikkének (1) bekezdése és 4. cikke (1) bekezdésének 56. pontja Lás még a CRR 222. cikkének (3) bekezdését és 228. cikkének (1) bekezdését</w:t>
            </w:r>
          </w:p>
          <w:p w14:paraId="4780337C" w14:textId="77777777" w:rsidR="001B1411" w:rsidRPr="00DA7625" w:rsidRDefault="000A4C10">
            <w:pPr>
              <w:pStyle w:val="InstructionsText"/>
              <w:rPr>
                <w:b/>
                <w:u w:val="single"/>
              </w:rPr>
            </w:pPr>
            <w:r w:rsidRPr="00DA7625">
              <w:t>A feltüntetett adatoknak a hitel-egyenértékesítési tényező alkalmazása előtti, teljes mértékben korrigált kitettségértékeknek kell lenniük.</w:t>
            </w:r>
          </w:p>
        </w:tc>
      </w:tr>
      <w:tr w:rsidR="001B1411" w:rsidRPr="00DA7625" w14:paraId="2134E394" w14:textId="77777777" w:rsidTr="00672D2A">
        <w:tc>
          <w:tcPr>
            <w:tcW w:w="1188" w:type="dxa"/>
          </w:tcPr>
          <w:p w14:paraId="73C75375" w14:textId="77777777" w:rsidR="001B1411" w:rsidRPr="00DA7625" w:rsidRDefault="00464F34">
            <w:pPr>
              <w:pStyle w:val="InstructionsText"/>
            </w:pPr>
            <w:r w:rsidRPr="00DA7625">
              <w:lastRenderedPageBreak/>
              <w:t>200</w:t>
            </w:r>
          </w:p>
        </w:tc>
        <w:tc>
          <w:tcPr>
            <w:tcW w:w="8640" w:type="dxa"/>
          </w:tcPr>
          <w:p w14:paraId="40D99D0D" w14:textId="77777777" w:rsidR="001B1411" w:rsidRPr="00DA7625" w:rsidRDefault="00464F34">
            <w:pPr>
              <w:pStyle w:val="InstructionsText"/>
            </w:pPr>
            <w:r w:rsidRPr="00DA7625">
              <w:rPr>
                <w:rStyle w:val="InstructionsTabelleberschrift"/>
                <w:rFonts w:ascii="Times New Roman" w:hAnsi="Times New Roman"/>
                <w:sz w:val="24"/>
              </w:rPr>
              <w:t>Kitettségérték</w:t>
            </w:r>
          </w:p>
          <w:p w14:paraId="776AC4C6" w14:textId="4C3A4132" w:rsidR="001B1411" w:rsidRPr="00DA7625" w:rsidRDefault="00531FC9">
            <w:pPr>
              <w:pStyle w:val="InstructionsText"/>
            </w:pPr>
            <w:r w:rsidRPr="00DA7625">
              <w:t>A CRR 111. cikke és a CRR harmadik része II. címe 4. fejezete 4. szakasza</w:t>
            </w:r>
          </w:p>
          <w:p w14:paraId="560BE3F4" w14:textId="4C7F4F4F" w:rsidR="001B1411" w:rsidRPr="00DA7625" w:rsidRDefault="00464F34">
            <w:pPr>
              <w:pStyle w:val="InstructionsText"/>
            </w:pPr>
            <w:r w:rsidRPr="00DA7625">
              <w:t>Az értékelési korrekciók, valamint az összes hitelkockázat-mérséklő eszköz és hitel-egyenértékesítési tényező figyelembevétele utáni kitettségérték, amelyhez a CRR 113. cikke, valamint harmadik része II. címe 2. fejezetének 2. szakaszával összhangban kockázati súlyt kell rendelni.</w:t>
            </w:r>
          </w:p>
        </w:tc>
      </w:tr>
      <w:tr w:rsidR="001B1411" w:rsidRPr="00DA7625" w14:paraId="31B06F73" w14:textId="77777777" w:rsidTr="00672D2A">
        <w:tc>
          <w:tcPr>
            <w:tcW w:w="1188" w:type="dxa"/>
          </w:tcPr>
          <w:p w14:paraId="050B79BD" w14:textId="77777777" w:rsidR="001B1411" w:rsidRPr="00DA7625" w:rsidRDefault="00464F34">
            <w:pPr>
              <w:pStyle w:val="InstructionsText"/>
            </w:pPr>
            <w:r w:rsidRPr="00DA7625">
              <w:t>210</w:t>
            </w:r>
          </w:p>
        </w:tc>
        <w:tc>
          <w:tcPr>
            <w:tcW w:w="8640" w:type="dxa"/>
          </w:tcPr>
          <w:p w14:paraId="2449FA63"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Ebből: Partnerkockázatból származó</w:t>
            </w:r>
          </w:p>
          <w:p w14:paraId="451780AE" w14:textId="6696BD5C" w:rsidR="001B1411" w:rsidRPr="00DA7625" w:rsidRDefault="00464F34">
            <w:pPr>
              <w:pStyle w:val="InstructionsText"/>
              <w:rPr>
                <w:b/>
                <w:u w:val="single"/>
              </w:rPr>
            </w:pPr>
            <w:r w:rsidRPr="00DA7625">
              <w:t>A CRR harmadik része II. címének 6. fejezete szerinti származtatott ügyletek, repoügyletek, értékpapír- és áru-kölcsönbeadási, illetve -kölcsönvételi ügyletek, hosszú teljesítési idejű ügyletek és értékpapírügylethez kapcsolódó hitelek esetében a CRR harmadik része II. címe 6. fejezetének 2–5. szakaszában rögzített módszer szerint számított partnerkockázati kitettségérték.</w:t>
            </w:r>
          </w:p>
        </w:tc>
      </w:tr>
      <w:tr w:rsidR="001B1411" w:rsidRPr="00DA7625" w14:paraId="61787D1E" w14:textId="77777777" w:rsidTr="00672D2A">
        <w:tc>
          <w:tcPr>
            <w:tcW w:w="1188" w:type="dxa"/>
          </w:tcPr>
          <w:p w14:paraId="58B05941" w14:textId="77777777" w:rsidR="001B1411" w:rsidRPr="00DA7625" w:rsidRDefault="00464F34">
            <w:pPr>
              <w:pStyle w:val="InstructionsText"/>
            </w:pPr>
            <w:r w:rsidRPr="00DA7625">
              <w:t>215</w:t>
            </w:r>
          </w:p>
        </w:tc>
        <w:tc>
          <w:tcPr>
            <w:tcW w:w="8640" w:type="dxa"/>
          </w:tcPr>
          <w:p w14:paraId="005D0196"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A kkv-szorzó előtti, kockázattal súlyozott kitettségérték</w:t>
            </w:r>
          </w:p>
          <w:p w14:paraId="0B128B59" w14:textId="2D34EC2D" w:rsidR="001B1411" w:rsidRPr="00DA7625" w:rsidRDefault="00167619">
            <w:pPr>
              <w:pStyle w:val="InstructionsText"/>
              <w:rPr>
                <w:b/>
                <w:u w:val="single"/>
              </w:rPr>
            </w:pPr>
            <w:r w:rsidRPr="00DA7625">
              <w:t>A CRR 113. cikkének (1)–(5) bekezdése, a CRR 501. cikke szerinti kkv-szorzó figyelembevétele nélkül.</w:t>
            </w:r>
          </w:p>
        </w:tc>
      </w:tr>
      <w:tr w:rsidR="001B1411" w:rsidRPr="00DA7625" w14:paraId="119C4055" w14:textId="77777777" w:rsidTr="00672D2A">
        <w:tc>
          <w:tcPr>
            <w:tcW w:w="1188" w:type="dxa"/>
          </w:tcPr>
          <w:p w14:paraId="6664E16C" w14:textId="77777777" w:rsidR="001B1411" w:rsidRPr="00DA7625" w:rsidRDefault="00464F34">
            <w:pPr>
              <w:pStyle w:val="InstructionsText"/>
            </w:pPr>
            <w:r w:rsidRPr="00DA7625">
              <w:t>220</w:t>
            </w:r>
          </w:p>
        </w:tc>
        <w:tc>
          <w:tcPr>
            <w:tcW w:w="8640" w:type="dxa"/>
          </w:tcPr>
          <w:p w14:paraId="4728CE9D"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A kkv-szorzó utáni, kockázattal súlyozott kitettségérték</w:t>
            </w:r>
          </w:p>
          <w:p w14:paraId="038B49D6" w14:textId="62C3D46E" w:rsidR="001B1411" w:rsidRPr="00DA7625" w:rsidRDefault="00167619">
            <w:pPr>
              <w:pStyle w:val="InstructionsText"/>
              <w:rPr>
                <w:b/>
                <w:u w:val="single"/>
              </w:rPr>
            </w:pPr>
            <w:r w:rsidRPr="00DA7625">
              <w:t>A CRR 113. cikkének (1)–(5) bekezdése, a CRR 501. cikke szerinti kkv-szorzó figyelembevételével.</w:t>
            </w:r>
          </w:p>
        </w:tc>
      </w:tr>
      <w:tr w:rsidR="001B1411" w:rsidRPr="00DA7625" w14:paraId="1ADA61B6" w14:textId="77777777" w:rsidTr="00672D2A">
        <w:tc>
          <w:tcPr>
            <w:tcW w:w="1188" w:type="dxa"/>
            <w:shd w:val="clear" w:color="auto" w:fill="auto"/>
          </w:tcPr>
          <w:p w14:paraId="325CA916" w14:textId="77777777" w:rsidR="001B1411" w:rsidRPr="00DA7625" w:rsidRDefault="00464F34">
            <w:pPr>
              <w:pStyle w:val="InstructionsText"/>
            </w:pPr>
            <w:r w:rsidRPr="00DA7625">
              <w:t>230</w:t>
            </w:r>
          </w:p>
        </w:tc>
        <w:tc>
          <w:tcPr>
            <w:tcW w:w="8640" w:type="dxa"/>
            <w:shd w:val="clear" w:color="auto" w:fill="auto"/>
          </w:tcPr>
          <w:p w14:paraId="27CF9147"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Ebből: kijelölt khmi által készített hitelminősítéssel</w:t>
            </w:r>
          </w:p>
          <w:p w14:paraId="610513ED" w14:textId="1C7A2AD8" w:rsidR="001B1411" w:rsidRPr="00DA7625" w:rsidRDefault="00D21B29">
            <w:pPr>
              <w:pStyle w:val="InstructionsText"/>
            </w:pPr>
            <w:r w:rsidRPr="00DA7625">
              <w:t>A CRR 112. cikkének a)–d), f), g), l), n), o) és q) pontja</w:t>
            </w:r>
          </w:p>
        </w:tc>
      </w:tr>
      <w:tr w:rsidR="001B1411" w:rsidRPr="00DA7625" w14:paraId="65863454" w14:textId="77777777" w:rsidTr="00672D2A">
        <w:tc>
          <w:tcPr>
            <w:tcW w:w="1188" w:type="dxa"/>
            <w:shd w:val="clear" w:color="auto" w:fill="auto"/>
          </w:tcPr>
          <w:p w14:paraId="46E34B33" w14:textId="77777777" w:rsidR="001B1411" w:rsidRPr="00DA7625" w:rsidRDefault="00464F34">
            <w:pPr>
              <w:pStyle w:val="InstructionsText"/>
            </w:pPr>
            <w:r w:rsidRPr="00DA7625">
              <w:t>240</w:t>
            </w:r>
          </w:p>
        </w:tc>
        <w:tc>
          <w:tcPr>
            <w:tcW w:w="8640" w:type="dxa"/>
            <w:shd w:val="clear" w:color="auto" w:fill="auto"/>
          </w:tcPr>
          <w:p w14:paraId="18C8B354"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Ebből: központi kormányzattal megegyező hitelminősítéssel</w:t>
            </w:r>
          </w:p>
          <w:p w14:paraId="66946226" w14:textId="0EB85471" w:rsidR="001B1411" w:rsidRPr="00DA7625" w:rsidRDefault="00D21B29">
            <w:pPr>
              <w:pStyle w:val="InstructionsText"/>
            </w:pPr>
            <w:r w:rsidRPr="00DA7625">
              <w:t>A CRR 112. cikkének b)–d), f), g), l), és o) pontja</w:t>
            </w:r>
          </w:p>
        </w:tc>
      </w:tr>
    </w:tbl>
    <w:p w14:paraId="68926343" w14:textId="77777777" w:rsidR="001B1411" w:rsidRPr="00DA7625" w:rsidRDefault="001B1411">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1B1411" w:rsidRPr="00DA7625" w14:paraId="0E4351BB" w14:textId="77777777" w:rsidTr="00672D2A">
        <w:tc>
          <w:tcPr>
            <w:tcW w:w="1188" w:type="dxa"/>
            <w:shd w:val="clear" w:color="auto" w:fill="CCCCCC"/>
          </w:tcPr>
          <w:p w14:paraId="52F6FEFE" w14:textId="77777777" w:rsidR="001B1411" w:rsidRPr="00DA7625" w:rsidRDefault="007106FB">
            <w:pPr>
              <w:pStyle w:val="InstructionsText"/>
            </w:pPr>
            <w:r w:rsidRPr="00DA7625">
              <w:t>Sorok</w:t>
            </w:r>
          </w:p>
        </w:tc>
        <w:tc>
          <w:tcPr>
            <w:tcW w:w="8701" w:type="dxa"/>
            <w:shd w:val="clear" w:color="auto" w:fill="CCCCCC"/>
          </w:tcPr>
          <w:p w14:paraId="68A14790" w14:textId="77777777" w:rsidR="001B1411" w:rsidRPr="00DA7625" w:rsidRDefault="00464F34">
            <w:pPr>
              <w:pStyle w:val="InstructionsText"/>
            </w:pPr>
            <w:r w:rsidRPr="00DA7625">
              <w:t>Útmutató</w:t>
            </w:r>
          </w:p>
        </w:tc>
      </w:tr>
      <w:tr w:rsidR="001B1411" w:rsidRPr="00DA7625" w14:paraId="4B0F93DE" w14:textId="77777777" w:rsidTr="00672D2A">
        <w:tc>
          <w:tcPr>
            <w:tcW w:w="1188" w:type="dxa"/>
          </w:tcPr>
          <w:p w14:paraId="47A3346C" w14:textId="77777777" w:rsidR="001B1411" w:rsidRPr="00DA7625" w:rsidRDefault="00464F34">
            <w:pPr>
              <w:pStyle w:val="InstructionsText"/>
            </w:pPr>
            <w:r w:rsidRPr="00DA7625">
              <w:t>010</w:t>
            </w:r>
          </w:p>
        </w:tc>
        <w:tc>
          <w:tcPr>
            <w:tcW w:w="8701" w:type="dxa"/>
          </w:tcPr>
          <w:p w14:paraId="5B1EE3A2" w14:textId="77777777" w:rsidR="001B1411" w:rsidRPr="00DA7625" w:rsidRDefault="00464F34">
            <w:pPr>
              <w:pStyle w:val="InstructionsText"/>
            </w:pPr>
            <w:r w:rsidRPr="00DA7625">
              <w:rPr>
                <w:rStyle w:val="InstructionsTabelleberschrift"/>
                <w:rFonts w:ascii="Times New Roman" w:hAnsi="Times New Roman"/>
                <w:sz w:val="24"/>
              </w:rPr>
              <w:t>Teljes kitettség</w:t>
            </w:r>
          </w:p>
        </w:tc>
      </w:tr>
      <w:tr w:rsidR="001B1411" w:rsidRPr="00DA7625" w14:paraId="6FB1CA8B" w14:textId="77777777" w:rsidTr="00672D2A">
        <w:tc>
          <w:tcPr>
            <w:tcW w:w="1188" w:type="dxa"/>
          </w:tcPr>
          <w:p w14:paraId="2FA89992" w14:textId="77777777" w:rsidR="001B1411" w:rsidRPr="00DA7625" w:rsidRDefault="00610B56">
            <w:pPr>
              <w:pStyle w:val="InstructionsText"/>
            </w:pPr>
            <w:r w:rsidRPr="00DA7625">
              <w:t>015</w:t>
            </w:r>
          </w:p>
        </w:tc>
        <w:tc>
          <w:tcPr>
            <w:tcW w:w="8701" w:type="dxa"/>
          </w:tcPr>
          <w:p w14:paraId="72183B6C" w14:textId="77777777" w:rsidR="001B1411" w:rsidRPr="00DA7625" w:rsidRDefault="00F5132F">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ebből: Nemteljesítő kitettségek a »Kiemelkedően magas kockázatú tételek« és a »Részvényjellegű kitettségek« kitettségi osztályokban</w:t>
            </w:r>
          </w:p>
          <w:p w14:paraId="26AC7FB8" w14:textId="77777777" w:rsidR="001B1411" w:rsidRPr="00DA7625" w:rsidRDefault="00610B56">
            <w:pPr>
              <w:pStyle w:val="InstructionsText"/>
            </w:pPr>
            <w:r w:rsidRPr="00DA7625">
              <w:t>A CRR 127. cikke</w:t>
            </w:r>
          </w:p>
          <w:p w14:paraId="42AC7575" w14:textId="77777777" w:rsidR="001B1411" w:rsidRPr="00DA7625" w:rsidRDefault="00610B56">
            <w:pPr>
              <w:pStyle w:val="InstructionsText"/>
            </w:pPr>
            <w:r w:rsidRPr="00DA7625">
              <w:t>Ezt a sort csak a „Kiemelkedően magas kockázatú tételek” és a „Részvényjellegű kitettségek” kitettségi osztályokban kell jelenteni.</w:t>
            </w:r>
          </w:p>
          <w:p w14:paraId="6D22EB82" w14:textId="414AE176" w:rsidR="001B1411" w:rsidRPr="00DA7625" w:rsidRDefault="00167619">
            <w:pPr>
              <w:pStyle w:val="InstructionsText"/>
            </w:pPr>
            <w:r w:rsidRPr="00DA7625">
              <w:t>Egy olyan kitettséget, amely a CRR 128. cikkének (2) bekezdésében felsorolt, vagy teljesíti a CRR 128. cikkének (3) bekezdésében vagy 133. cikkében meghatározott kritériumokat, a „Kiemelkedően magas kockázatú tételek” vagy a „Részvényjellegű kitettségek” kitettségi osztályba kell sorolni. Következésképpen más besorolás nem lehetséges, még akkor sem, ha a CRR 127. cikkében említett nemteljesítő kitettségről van szó.</w:t>
            </w:r>
          </w:p>
        </w:tc>
      </w:tr>
      <w:tr w:rsidR="001B1411" w:rsidRPr="00DA7625" w14:paraId="288A445F" w14:textId="77777777" w:rsidTr="00672D2A">
        <w:tc>
          <w:tcPr>
            <w:tcW w:w="1188" w:type="dxa"/>
            <w:shd w:val="clear" w:color="auto" w:fill="auto"/>
          </w:tcPr>
          <w:p w14:paraId="12B41B21" w14:textId="77777777" w:rsidR="001B1411" w:rsidRPr="00DA7625" w:rsidRDefault="00462BAB">
            <w:pPr>
              <w:pStyle w:val="InstructionsText"/>
            </w:pPr>
            <w:r w:rsidRPr="00DA7625">
              <w:t>020</w:t>
            </w:r>
          </w:p>
        </w:tc>
        <w:tc>
          <w:tcPr>
            <w:tcW w:w="8701" w:type="dxa"/>
            <w:shd w:val="clear" w:color="auto" w:fill="auto"/>
          </w:tcPr>
          <w:p w14:paraId="2281725E"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ebből: KKV</w:t>
            </w:r>
          </w:p>
          <w:p w14:paraId="5B0D4E86" w14:textId="77777777" w:rsidR="001B1411" w:rsidRPr="00DA7625" w:rsidRDefault="00464F34">
            <w:pPr>
              <w:pStyle w:val="InstructionsText"/>
            </w:pPr>
            <w:r w:rsidRPr="00DA7625">
              <w:lastRenderedPageBreak/>
              <w:t xml:space="preserve">Itt a kkv-kal szembeni összes kitettséget fel kell tüntetni. </w:t>
            </w:r>
          </w:p>
        </w:tc>
      </w:tr>
      <w:tr w:rsidR="001B1411" w:rsidRPr="00DA7625" w14:paraId="18A6138B" w14:textId="77777777" w:rsidTr="00672D2A">
        <w:tc>
          <w:tcPr>
            <w:tcW w:w="1188" w:type="dxa"/>
            <w:shd w:val="clear" w:color="auto" w:fill="auto"/>
          </w:tcPr>
          <w:p w14:paraId="5B6DB43F" w14:textId="77777777" w:rsidR="001B1411" w:rsidRPr="00DA7625" w:rsidRDefault="00462BAB">
            <w:pPr>
              <w:pStyle w:val="InstructionsText"/>
            </w:pPr>
            <w:r w:rsidRPr="00DA7625">
              <w:lastRenderedPageBreak/>
              <w:t>030</w:t>
            </w:r>
          </w:p>
        </w:tc>
        <w:tc>
          <w:tcPr>
            <w:tcW w:w="8701" w:type="dxa"/>
            <w:shd w:val="clear" w:color="auto" w:fill="auto"/>
          </w:tcPr>
          <w:p w14:paraId="1AA8B685"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ebből: Kitettség a kkv-szorzó alkalmazásával</w:t>
            </w:r>
          </w:p>
          <w:p w14:paraId="556ED9CB" w14:textId="77777777" w:rsidR="001B1411" w:rsidRPr="00DA7625" w:rsidRDefault="00464F34">
            <w:pPr>
              <w:pStyle w:val="InstructionsText"/>
            </w:pPr>
            <w:r w:rsidRPr="00DA7625">
              <w:t xml:space="preserve">Itt csak azokat a kkv-kal szembeni kitettségeket kell feltüntetni, amelyek teljesítik a CRR 501. cikkében előírt követelményeket. </w:t>
            </w:r>
          </w:p>
        </w:tc>
      </w:tr>
      <w:tr w:rsidR="001B1411" w:rsidRPr="00DA7625" w14:paraId="3D1028AB" w14:textId="77777777" w:rsidTr="00672D2A">
        <w:tc>
          <w:tcPr>
            <w:tcW w:w="1188" w:type="dxa"/>
            <w:shd w:val="clear" w:color="auto" w:fill="auto"/>
          </w:tcPr>
          <w:p w14:paraId="36488A52" w14:textId="77777777" w:rsidR="001B1411" w:rsidRPr="00DA7625" w:rsidRDefault="00462BAB">
            <w:pPr>
              <w:pStyle w:val="InstructionsText"/>
            </w:pPr>
            <w:r w:rsidRPr="00DA7625">
              <w:t>040</w:t>
            </w:r>
          </w:p>
        </w:tc>
        <w:tc>
          <w:tcPr>
            <w:tcW w:w="8701" w:type="dxa"/>
            <w:shd w:val="clear" w:color="auto" w:fill="auto"/>
          </w:tcPr>
          <w:p w14:paraId="17EF48ED"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ebből: Ingatlanra bejegyzett zálogjoggal fedezett – lakóingatlan</w:t>
            </w:r>
          </w:p>
          <w:p w14:paraId="51CD7D78" w14:textId="6631FB20" w:rsidR="001B1411" w:rsidRPr="00DA7625" w:rsidRDefault="00464F34">
            <w:pPr>
              <w:pStyle w:val="InstructionsText"/>
            </w:pPr>
            <w:r w:rsidRPr="00DA7625">
              <w:t>A CRR 125. cikke</w:t>
            </w:r>
          </w:p>
          <w:p w14:paraId="53534879" w14:textId="77777777" w:rsidR="001B1411" w:rsidRPr="00DA7625" w:rsidRDefault="00464F34">
            <w:pPr>
              <w:pStyle w:val="InstructionsText"/>
              <w:rPr>
                <w:b/>
                <w:u w:val="single"/>
              </w:rPr>
            </w:pPr>
            <w:r w:rsidRPr="00DA7625">
              <w:t>Csak az „ingatlanra bejegyzett zálogjoggal fedezett” kitettségi osztályban kell jelenteni.</w:t>
            </w:r>
          </w:p>
        </w:tc>
      </w:tr>
      <w:tr w:rsidR="001B1411" w:rsidRPr="00DA7625" w14:paraId="273F4B3B" w14:textId="77777777" w:rsidTr="00672D2A">
        <w:tc>
          <w:tcPr>
            <w:tcW w:w="1188" w:type="dxa"/>
            <w:shd w:val="clear" w:color="auto" w:fill="auto"/>
          </w:tcPr>
          <w:p w14:paraId="2FF4F260" w14:textId="77777777" w:rsidR="001B1411" w:rsidRPr="00DA7625" w:rsidRDefault="00462BAB">
            <w:pPr>
              <w:pStyle w:val="InstructionsText"/>
            </w:pPr>
            <w:r w:rsidRPr="00DA7625">
              <w:t>050</w:t>
            </w:r>
          </w:p>
        </w:tc>
        <w:tc>
          <w:tcPr>
            <w:tcW w:w="8701" w:type="dxa"/>
            <w:shd w:val="clear" w:color="auto" w:fill="auto"/>
          </w:tcPr>
          <w:p w14:paraId="630326F0" w14:textId="267BE7F2"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ebből: Tartós mentesítés alapján a sztenderd módszerrel kezelt kitettségek</w:t>
            </w:r>
          </w:p>
          <w:p w14:paraId="0AF9ABC5" w14:textId="040B68BE" w:rsidR="001B1411" w:rsidRPr="00DA7625" w:rsidRDefault="00464F34">
            <w:pPr>
              <w:pStyle w:val="InstructionsText"/>
            </w:pPr>
            <w:r w:rsidRPr="00DA7625">
              <w:t>Olyan kitettségek, amelyekre a CRR 150. cikke (1) bekezdésének megfelelően a sztenderd módszert alkalmazták</w:t>
            </w:r>
          </w:p>
        </w:tc>
      </w:tr>
      <w:tr w:rsidR="001B1411" w:rsidRPr="00DA7625" w14:paraId="48E7C094" w14:textId="77777777" w:rsidTr="00672D2A">
        <w:tc>
          <w:tcPr>
            <w:tcW w:w="1188" w:type="dxa"/>
            <w:shd w:val="clear" w:color="auto" w:fill="auto"/>
          </w:tcPr>
          <w:p w14:paraId="4235E5C8" w14:textId="77777777" w:rsidR="001B1411" w:rsidRPr="00DA7625" w:rsidRDefault="00462BAB">
            <w:pPr>
              <w:pStyle w:val="InstructionsText"/>
            </w:pPr>
            <w:r w:rsidRPr="00DA7625">
              <w:t>060</w:t>
            </w:r>
          </w:p>
        </w:tc>
        <w:tc>
          <w:tcPr>
            <w:tcW w:w="8701" w:type="dxa"/>
            <w:shd w:val="clear" w:color="auto" w:fill="auto"/>
          </w:tcPr>
          <w:p w14:paraId="28BD1135" w14:textId="44BDF03A"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ebből: Az IRB-módszer fokozatos bevezetésére vonatkozó előzetes felügyeleti engedély alapján sztenderd módszerrel kezelt kitettségek</w:t>
            </w:r>
          </w:p>
          <w:p w14:paraId="7849F924" w14:textId="0710D6C0" w:rsidR="001B1411" w:rsidRPr="00DA7625" w:rsidRDefault="00464F34">
            <w:pPr>
              <w:pStyle w:val="InstructionsText"/>
            </w:pPr>
            <w:r w:rsidRPr="00DA7625">
              <w:t xml:space="preserve">A CRR 148. cikkének (1) bekezdése </w:t>
            </w:r>
          </w:p>
        </w:tc>
      </w:tr>
      <w:tr w:rsidR="001B1411" w:rsidRPr="00DA7625" w14:paraId="20C71889" w14:textId="77777777" w:rsidTr="00672D2A">
        <w:tc>
          <w:tcPr>
            <w:tcW w:w="1188" w:type="dxa"/>
          </w:tcPr>
          <w:p w14:paraId="7DD3DA2F" w14:textId="77777777" w:rsidR="001B1411" w:rsidRPr="00DA7625" w:rsidRDefault="00462BAB">
            <w:pPr>
              <w:pStyle w:val="InstructionsText"/>
            </w:pPr>
            <w:r w:rsidRPr="00DA7625">
              <w:t>070–130</w:t>
            </w:r>
          </w:p>
        </w:tc>
        <w:tc>
          <w:tcPr>
            <w:tcW w:w="8701" w:type="dxa"/>
          </w:tcPr>
          <w:p w14:paraId="436636E8"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A TELJES KITETTSÉG KITETTSÉGTÍPUS SZERINTI BONTÁSA</w:t>
            </w:r>
          </w:p>
          <w:p w14:paraId="4355499C" w14:textId="77777777" w:rsidR="001B1411" w:rsidRPr="00DA7625" w:rsidRDefault="00464F34">
            <w:pPr>
              <w:pStyle w:val="InstructionsText"/>
            </w:pPr>
            <w:r w:rsidRPr="00DA7625">
              <w:t xml:space="preserve">Az adatot szolgáltató intézmény banki könyvben nyilvántartott pozícióit az alábbiakban megadott kritériumok szerint hitelkockázattal érintett mérlegen belüli kitettségekre, hitelkockázattal érintett mérlegen kívüli kitettségekre, valamint partnerkockázattal érintett kitettségekre kell bontani. </w:t>
            </w:r>
          </w:p>
          <w:p w14:paraId="39F5ABA8" w14:textId="775736A3" w:rsidR="001B1411" w:rsidRPr="00DA7625" w:rsidRDefault="009F45B7">
            <w:pPr>
              <w:pStyle w:val="InstructionsText"/>
            </w:pPr>
            <w:r w:rsidRPr="00DA7625">
              <w:t>Az intézmény kereskedési könyvi tevékenységéből származó, a CRR 92. cikke (3) bekezdésének f) pontjában, valamint 299. cikkének (2) bekezdésében említett partnerkockázati kitettségeit a partnerkockázattal érintett kitettségek közé kell sorolni. A CRR 94. cikkének (1) bekezdését alkalmazó intézményeknek ezenkívül a kereskedési könyvi pozícióikat az alábbiakban megadott kritériumok szerint hitelkockázattal érintett mérlegen belüli kitettségekre, hitelkockázattal érintett mérlegen kívüli kitettségekre, valamint partnerkockázattal érintett kitettségekre kell bontaniuk.</w:t>
            </w:r>
          </w:p>
        </w:tc>
      </w:tr>
      <w:tr w:rsidR="001B1411" w:rsidRPr="00DA7625" w14:paraId="62D92739" w14:textId="77777777" w:rsidTr="00672D2A">
        <w:tc>
          <w:tcPr>
            <w:tcW w:w="1188" w:type="dxa"/>
          </w:tcPr>
          <w:p w14:paraId="110504B5" w14:textId="77777777" w:rsidR="001B1411" w:rsidRPr="00DA7625" w:rsidRDefault="00462BAB">
            <w:pPr>
              <w:pStyle w:val="InstructionsText"/>
            </w:pPr>
            <w:r w:rsidRPr="00DA7625">
              <w:t>070</w:t>
            </w:r>
          </w:p>
        </w:tc>
        <w:tc>
          <w:tcPr>
            <w:tcW w:w="8701" w:type="dxa"/>
          </w:tcPr>
          <w:p w14:paraId="08924B6E"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 xml:space="preserve">Hitelkockázattal érintett mérlegen belüli kitettségek </w:t>
            </w:r>
          </w:p>
          <w:p w14:paraId="6F646CDC" w14:textId="67D7F948" w:rsidR="001B1411" w:rsidRPr="00DA7625" w:rsidRDefault="00464F34">
            <w:pPr>
              <w:pStyle w:val="InstructionsText"/>
            </w:pPr>
            <w:r w:rsidRPr="00DA7625">
              <w:t>A CRR 24. cikkében említett, más kategóriába nem sorolt eszközök.</w:t>
            </w:r>
          </w:p>
          <w:p w14:paraId="7AB13312" w14:textId="77777777" w:rsidR="001B1411" w:rsidRPr="00DA7625" w:rsidRDefault="00464F34">
            <w:pPr>
              <w:pStyle w:val="InstructionsText"/>
            </w:pPr>
            <w:r w:rsidRPr="00DA7625">
              <w:t>Azokat a mérlegtételnek minősülő kitettségeket, amelyeket értékpapír-finanszírozási ügyletként vagy származtatott ügyletként, illetve hosszú teljesítési idejű ügyletként számítanak be, vagy eltérő termékkategóriák közötti nettósításról szóló szerződéses megállapodásból erednek, a 090., 110. és 130. sorban kell feltüntetni, így ebben a sorban nem szerepeltethetők.</w:t>
            </w:r>
          </w:p>
          <w:p w14:paraId="7B01432E" w14:textId="2C70B313" w:rsidR="001B1411" w:rsidRPr="00DA7625" w:rsidRDefault="00464F34">
            <w:pPr>
              <w:pStyle w:val="InstructionsText"/>
            </w:pPr>
            <w:r w:rsidRPr="00DA7625">
              <w:t>A CRR 379. cikkének (1) bekezdésében említett, le nem vont nyitva szállítások nem minősülnek mérlegtételnek, azonban azokat ebben a sorban fel kell tüntetni.</w:t>
            </w:r>
          </w:p>
          <w:p w14:paraId="7A7B2F79" w14:textId="73C35E31" w:rsidR="001B1411" w:rsidRPr="00DA7625" w:rsidRDefault="00464F34">
            <w:pPr>
              <w:pStyle w:val="InstructionsText"/>
              <w:rPr>
                <w:b/>
                <w:u w:val="single"/>
              </w:rPr>
            </w:pPr>
            <w:r w:rsidRPr="00DA7625">
              <w:t xml:space="preserve">A CRR 4. cikke (1) bekezdésének 90. pontja értelmében a központi szerződő félre könyvelt eszközből eredő kitettségeket be kell számítani akkor, ha azok a 080. sorban nem szerepelnek. </w:t>
            </w:r>
          </w:p>
        </w:tc>
      </w:tr>
      <w:tr w:rsidR="001B1411" w:rsidRPr="00DA7625" w14:paraId="73DA2F80" w14:textId="77777777" w:rsidTr="00672D2A">
        <w:tc>
          <w:tcPr>
            <w:tcW w:w="1188" w:type="dxa"/>
          </w:tcPr>
          <w:p w14:paraId="3FC28FB2" w14:textId="77777777" w:rsidR="001B1411" w:rsidRPr="00DA7625" w:rsidRDefault="00462BAB">
            <w:pPr>
              <w:pStyle w:val="InstructionsText"/>
            </w:pPr>
            <w:r w:rsidRPr="00DA7625">
              <w:t>080</w:t>
            </w:r>
          </w:p>
        </w:tc>
        <w:tc>
          <w:tcPr>
            <w:tcW w:w="8701" w:type="dxa"/>
          </w:tcPr>
          <w:p w14:paraId="260F7F46"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Hitelkockázattal érintett mérlegen kívüli kitettségek</w:t>
            </w:r>
          </w:p>
          <w:p w14:paraId="3B927194" w14:textId="3A42F2FD" w:rsidR="001B1411" w:rsidRPr="00DA7625" w:rsidRDefault="00464F34">
            <w:pPr>
              <w:pStyle w:val="InstructionsText"/>
            </w:pPr>
            <w:r w:rsidRPr="00DA7625">
              <w:t>A mérlegen kívüli pozíciók közé a CRR I. mellékletében felsorolt tételek tartoznak.</w:t>
            </w:r>
          </w:p>
          <w:p w14:paraId="7C1C09BD" w14:textId="2AEFA941" w:rsidR="001B1411" w:rsidRPr="00DA7625" w:rsidRDefault="00464F34">
            <w:pPr>
              <w:pStyle w:val="InstructionsText"/>
            </w:pPr>
            <w:r w:rsidRPr="00DA7625">
              <w:t xml:space="preserve">Azokat a mérlegen kívüli tételnek minősülő kitettségeket, amelyeket értékpapír-finanszírozási ügyletként vagy származtatott ügyletként, illetve hosszú teljesítési idejű ügyletként </w:t>
            </w:r>
            <w:r w:rsidRPr="00DA7625">
              <w:lastRenderedPageBreak/>
              <w:t>számítanak be, vagy eltérő termékkategóriák közötti nettósításról szóló szerződéses megállapodásból erednek, a 090., 110. és 130. sorban kell feltüntetni, így ebben a sorban nem szerepeltethetők.</w:t>
            </w:r>
          </w:p>
          <w:p w14:paraId="5AAE82BB" w14:textId="12612346" w:rsidR="001B1411" w:rsidRPr="00DA7625" w:rsidRDefault="00464F34">
            <w:pPr>
              <w:pStyle w:val="InstructionsText"/>
              <w:rPr>
                <w:b/>
                <w:u w:val="single"/>
              </w:rPr>
            </w:pPr>
            <w:r w:rsidRPr="00DA7625">
              <w:t>A CRR 4. cikke (1) bekezdésének 90. pontjában meghatározottaknak megfelelően a központi szerződő félre könyvelt eszközből eredő kitettségeket be kell számítani akkor, ha azok mérlegen kívüli tételnek minősülnek.</w:t>
            </w:r>
          </w:p>
        </w:tc>
      </w:tr>
      <w:tr w:rsidR="001B1411" w:rsidRPr="00DA7625"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77777777" w:rsidR="001B1411" w:rsidRPr="00DA7625" w:rsidRDefault="003C3168">
            <w:pPr>
              <w:pStyle w:val="InstructionsText"/>
            </w:pPr>
            <w:r w:rsidRPr="00DA7625">
              <w:lastRenderedPageBreak/>
              <w:t>090–130</w:t>
            </w:r>
          </w:p>
        </w:tc>
        <w:tc>
          <w:tcPr>
            <w:tcW w:w="8701" w:type="dxa"/>
            <w:tcBorders>
              <w:top w:val="single" w:sz="4" w:space="0" w:color="auto"/>
              <w:left w:val="single" w:sz="4" w:space="0" w:color="auto"/>
              <w:bottom w:val="single" w:sz="4" w:space="0" w:color="auto"/>
              <w:right w:val="single" w:sz="4" w:space="0" w:color="auto"/>
            </w:tcBorders>
          </w:tcPr>
          <w:p w14:paraId="5597EBA0" w14:textId="77777777" w:rsidR="001B1411" w:rsidRPr="00DA7625" w:rsidRDefault="003C3168">
            <w:pPr>
              <w:pStyle w:val="InstructionsText"/>
            </w:pPr>
            <w:r w:rsidRPr="00DA7625">
              <w:rPr>
                <w:rStyle w:val="InstructionsTabelleberschrift"/>
                <w:rFonts w:ascii="Times New Roman" w:hAnsi="Times New Roman"/>
                <w:sz w:val="24"/>
              </w:rPr>
              <w:t>Partnerkockázattal érintett kitettségek/ügyletek</w:t>
            </w:r>
          </w:p>
        </w:tc>
      </w:tr>
      <w:tr w:rsidR="001B1411" w:rsidRPr="00DA7625" w14:paraId="498A4859" w14:textId="77777777" w:rsidTr="00672D2A">
        <w:tc>
          <w:tcPr>
            <w:tcW w:w="1188" w:type="dxa"/>
          </w:tcPr>
          <w:p w14:paraId="23B5FC5B" w14:textId="77777777" w:rsidR="001B1411" w:rsidRPr="00DA7625" w:rsidRDefault="00462BAB">
            <w:pPr>
              <w:pStyle w:val="InstructionsText"/>
            </w:pPr>
            <w:r w:rsidRPr="00DA7625">
              <w:t>090</w:t>
            </w:r>
          </w:p>
        </w:tc>
        <w:tc>
          <w:tcPr>
            <w:tcW w:w="8701" w:type="dxa"/>
          </w:tcPr>
          <w:p w14:paraId="179F042E" w14:textId="77777777" w:rsidR="001B1411" w:rsidRPr="00DA7625" w:rsidRDefault="00464F34">
            <w:pPr>
              <w:pStyle w:val="InstructionsText"/>
            </w:pPr>
            <w:r w:rsidRPr="00DA7625">
              <w:rPr>
                <w:rStyle w:val="InstructionsTabelleberschrift"/>
                <w:rFonts w:ascii="Times New Roman" w:hAnsi="Times New Roman"/>
                <w:sz w:val="24"/>
              </w:rPr>
              <w:t xml:space="preserve">Értékpapír-finanszírozási ügyletek </w:t>
            </w:r>
          </w:p>
          <w:p w14:paraId="4A701960" w14:textId="60AE85B1" w:rsidR="001B1411" w:rsidRPr="00DA7625" w:rsidRDefault="00464F34">
            <w:pPr>
              <w:pStyle w:val="InstructionsText"/>
            </w:pPr>
            <w:r w:rsidRPr="00DA7625">
              <w:t>A Bázeli Bankfelügyeleti Bizottság „A Bázel II alkalmazása a kereskedési tevékenységek és az együttes nemteljesítés kezelése terén” c. dokumentumának 17. bekezdésében meghatározott értékpapír-finanszírozási ügyletek (SFT) magukban foglalják: i. a CRR 4. cikke (1) bekezdésének 82. pontjában meghatározott repo- és fordított repomegállapodásokat, valamint az értékpapír- és áru-kölcsönbeadási, illetve -kölcsönvételi ügyleteket; ii. a CRR 272. cikkének (3) bekezdésében meghatározott értékpapírügylethez kapcsolódó hiteleket.</w:t>
            </w:r>
          </w:p>
        </w:tc>
      </w:tr>
      <w:tr w:rsidR="001B1411" w:rsidRPr="00DA7625" w14:paraId="2DDF541E" w14:textId="77777777" w:rsidTr="00672D2A">
        <w:tc>
          <w:tcPr>
            <w:tcW w:w="1188" w:type="dxa"/>
          </w:tcPr>
          <w:p w14:paraId="59065B51" w14:textId="77777777" w:rsidR="001B1411" w:rsidRPr="00DA7625" w:rsidRDefault="00462BAB">
            <w:pPr>
              <w:pStyle w:val="InstructionsText"/>
            </w:pPr>
            <w:r w:rsidRPr="00DA7625">
              <w:t>100</w:t>
            </w:r>
          </w:p>
        </w:tc>
        <w:tc>
          <w:tcPr>
            <w:tcW w:w="8701" w:type="dxa"/>
          </w:tcPr>
          <w:p w14:paraId="63EA1C39"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ebből: minősített központi szerződő félen keresztül központilag elszámolt</w:t>
            </w:r>
          </w:p>
          <w:p w14:paraId="2749A2D5" w14:textId="0D426EBB" w:rsidR="001B1411" w:rsidRPr="00DA7625" w:rsidRDefault="00464F34">
            <w:pPr>
              <w:pStyle w:val="InstructionsText"/>
            </w:pPr>
            <w:r w:rsidRPr="00DA7625">
              <w:t>A CRR 306. cikke a CRR 4. cikke (1) bekezdésének 88. pontjában meghatározott minősített központi szerződő felek esetében, a CRR 301. cikke (2) bekezdésének megfelelően</w:t>
            </w:r>
          </w:p>
          <w:p w14:paraId="4EF87CFA" w14:textId="546C6E2D" w:rsidR="001B1411" w:rsidRPr="00DA7625" w:rsidRDefault="00D02E89">
            <w:pPr>
              <w:pStyle w:val="InstructionsText"/>
            </w:pPr>
            <w:r w:rsidRPr="00DA7625">
              <w:t>Központi szerződő féllel szembeni kereskedési kitettségek, a CRR 4. cikke (1) bekezdésének 91. pontjában meghatározottak szerint</w:t>
            </w:r>
          </w:p>
        </w:tc>
      </w:tr>
      <w:tr w:rsidR="001B1411" w:rsidRPr="00DA7625" w14:paraId="25C82359" w14:textId="77777777" w:rsidTr="00672D2A">
        <w:tc>
          <w:tcPr>
            <w:tcW w:w="1188" w:type="dxa"/>
          </w:tcPr>
          <w:p w14:paraId="6BAADFCF" w14:textId="77777777" w:rsidR="001B1411" w:rsidRPr="00DA7625" w:rsidRDefault="00462BAB">
            <w:pPr>
              <w:pStyle w:val="InstructionsText"/>
            </w:pPr>
            <w:r w:rsidRPr="00DA7625">
              <w:t>110</w:t>
            </w:r>
          </w:p>
        </w:tc>
        <w:tc>
          <w:tcPr>
            <w:tcW w:w="8701" w:type="dxa"/>
          </w:tcPr>
          <w:p w14:paraId="1558EB08"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 xml:space="preserve">Származtatott és hosszú teljesítési idejű ügyletek </w:t>
            </w:r>
          </w:p>
          <w:p w14:paraId="0F3D5BDD" w14:textId="42E98FCC" w:rsidR="001B1411" w:rsidRPr="00DA7625" w:rsidRDefault="00464F34">
            <w:pPr>
              <w:pStyle w:val="InstructionsText"/>
            </w:pPr>
            <w:r w:rsidRPr="00DA7625">
              <w:t>A származtatott ügyletek a CRR II. mellékletében felsorolt szerződéseket foglalják magukban.</w:t>
            </w:r>
          </w:p>
          <w:p w14:paraId="3FF9EB7A" w14:textId="16431124" w:rsidR="001B1411" w:rsidRPr="00DA7625" w:rsidRDefault="00464F34">
            <w:pPr>
              <w:pStyle w:val="InstructionsText"/>
            </w:pPr>
            <w:r w:rsidRPr="00DA7625">
              <w:t>A hosszú teljesítési idejű ügyleteket a CRR 272. cikkének (2) bekezdése határozza meg.</w:t>
            </w:r>
          </w:p>
          <w:p w14:paraId="71CB7804" w14:textId="77777777" w:rsidR="001B1411" w:rsidRPr="00DA7625" w:rsidRDefault="00464F34">
            <w:pPr>
              <w:pStyle w:val="InstructionsText"/>
            </w:pPr>
            <w:r w:rsidRPr="00DA7625">
              <w:t>Azok a származtatott ügyletek és hosszú teljesítési idejű ügyletek, amelyek termékkategóriák közötti nettósítás részét képezik, és ennélfogva a 130. sorban szerepelnek, ebben a sorban nem tüntethetők fel.</w:t>
            </w:r>
          </w:p>
        </w:tc>
      </w:tr>
      <w:tr w:rsidR="001B1411" w:rsidRPr="00DA7625" w14:paraId="400D6268" w14:textId="77777777" w:rsidTr="00672D2A">
        <w:tc>
          <w:tcPr>
            <w:tcW w:w="1188" w:type="dxa"/>
          </w:tcPr>
          <w:p w14:paraId="0A00C468" w14:textId="77777777" w:rsidR="001B1411" w:rsidRPr="00DA7625" w:rsidRDefault="00462BAB">
            <w:pPr>
              <w:pStyle w:val="InstructionsText"/>
            </w:pPr>
            <w:r w:rsidRPr="00DA7625">
              <w:t>120</w:t>
            </w:r>
          </w:p>
        </w:tc>
        <w:tc>
          <w:tcPr>
            <w:tcW w:w="8701" w:type="dxa"/>
          </w:tcPr>
          <w:p w14:paraId="5A7B90AA" w14:textId="77777777" w:rsidR="001B1411" w:rsidRPr="00DA7625" w:rsidRDefault="00464F34">
            <w:pPr>
              <w:pStyle w:val="InstructionsText"/>
            </w:pPr>
            <w:r w:rsidRPr="00DA7625">
              <w:rPr>
                <w:rStyle w:val="InstructionsTabelleberschrift"/>
                <w:rFonts w:ascii="Times New Roman" w:hAnsi="Times New Roman"/>
                <w:sz w:val="24"/>
              </w:rPr>
              <w:t>ebből: minősített központi szerződő félen keresztül központilag elszámolt</w:t>
            </w:r>
          </w:p>
          <w:p w14:paraId="51699D27" w14:textId="4C1530B7" w:rsidR="001B1411" w:rsidRPr="00DA7625" w:rsidRDefault="00464F34">
            <w:pPr>
              <w:pStyle w:val="InstructionsText"/>
            </w:pPr>
            <w:r w:rsidRPr="00DA7625">
              <w:t>A CRR 306. cikke a CRR 4. cikke (1) bekezdésének 88. pontjában meghatározott minősített központi szerződő felek esetében, a CRR 301. cikke (2) bekezdésének megfelelően</w:t>
            </w:r>
          </w:p>
          <w:p w14:paraId="5BBEC160" w14:textId="7F5733D4" w:rsidR="001B1411" w:rsidRPr="00DA7625" w:rsidRDefault="00770830">
            <w:pPr>
              <w:pStyle w:val="InstructionsText"/>
              <w:rPr>
                <w:b/>
                <w:u w:val="single"/>
              </w:rPr>
            </w:pPr>
            <w:r w:rsidRPr="00DA7625">
              <w:t>Központi szerződő féllel szembeni kereskedési kitettségek, a CRR 4. cikke (1) bekezdésének 91. pontjában meghatározottak szerint</w:t>
            </w:r>
          </w:p>
        </w:tc>
      </w:tr>
      <w:tr w:rsidR="001B1411" w:rsidRPr="00DA7625" w14:paraId="0594C4E8" w14:textId="77777777" w:rsidTr="00672D2A">
        <w:tc>
          <w:tcPr>
            <w:tcW w:w="1188" w:type="dxa"/>
          </w:tcPr>
          <w:p w14:paraId="5C850426" w14:textId="77777777" w:rsidR="001B1411" w:rsidRPr="00DA7625" w:rsidRDefault="00462BAB">
            <w:pPr>
              <w:pStyle w:val="InstructionsText"/>
            </w:pPr>
            <w:r w:rsidRPr="00DA7625">
              <w:t>130</w:t>
            </w:r>
          </w:p>
        </w:tc>
        <w:tc>
          <w:tcPr>
            <w:tcW w:w="8701" w:type="dxa"/>
          </w:tcPr>
          <w:p w14:paraId="75FD13DF"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Eltérő termékkategóriák közötti nettósításról szóló szerződéses megállapodásból</w:t>
            </w:r>
          </w:p>
          <w:p w14:paraId="08F04BB3" w14:textId="072823F1" w:rsidR="001B1411" w:rsidRPr="00DA7625" w:rsidRDefault="00464F34">
            <w:pPr>
              <w:pStyle w:val="InstructionsText"/>
            </w:pPr>
            <w:r w:rsidRPr="00DA7625">
              <w:t>Ebben a sorban kell feltüntetni azokat a kitettségeket, amelyek a CRR 272. cikkének 11. pontjában meghatározott eltérő termékkategóriák közötti nettósításról szóló szerződéses megállapodás megléte miatt nem sorolhatók sem a származtatott ügyletek és hosszú teljesítési idejű ügyletek, sem az értékpapír-finanszírozási ügyletek közé.</w:t>
            </w:r>
          </w:p>
        </w:tc>
      </w:tr>
      <w:tr w:rsidR="001B1411" w:rsidRPr="00DA7625" w14:paraId="5DD9B910" w14:textId="77777777" w:rsidTr="00672D2A">
        <w:tc>
          <w:tcPr>
            <w:tcW w:w="1188" w:type="dxa"/>
          </w:tcPr>
          <w:p w14:paraId="3752B892" w14:textId="77777777" w:rsidR="001B1411" w:rsidRPr="00DA7625" w:rsidRDefault="00462BAB">
            <w:pPr>
              <w:pStyle w:val="InstructionsText"/>
            </w:pPr>
            <w:r w:rsidRPr="00DA7625">
              <w:t>140–280</w:t>
            </w:r>
          </w:p>
        </w:tc>
        <w:tc>
          <w:tcPr>
            <w:tcW w:w="8701" w:type="dxa"/>
          </w:tcPr>
          <w:p w14:paraId="7B7F8D08"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KITETTSÉGEK KOCKÁZATI SÚLY SZERINTI BONTÁSA</w:t>
            </w:r>
          </w:p>
          <w:p w14:paraId="67525D7F" w14:textId="77777777" w:rsidR="001B1411" w:rsidRPr="00DA7625" w:rsidRDefault="001B1411">
            <w:pPr>
              <w:pStyle w:val="InstructionsText"/>
            </w:pPr>
          </w:p>
        </w:tc>
      </w:tr>
      <w:tr w:rsidR="001B1411" w:rsidRPr="00DA7625" w14:paraId="7D31A42B" w14:textId="77777777" w:rsidTr="00672D2A">
        <w:tc>
          <w:tcPr>
            <w:tcW w:w="1188" w:type="dxa"/>
            <w:shd w:val="clear" w:color="auto" w:fill="auto"/>
          </w:tcPr>
          <w:p w14:paraId="049D722F" w14:textId="77777777" w:rsidR="001B1411" w:rsidRPr="00DA7625" w:rsidRDefault="00462BAB">
            <w:pPr>
              <w:pStyle w:val="InstructionsText"/>
            </w:pPr>
            <w:r w:rsidRPr="00DA7625">
              <w:t>140</w:t>
            </w:r>
          </w:p>
        </w:tc>
        <w:tc>
          <w:tcPr>
            <w:tcW w:w="8701" w:type="dxa"/>
            <w:shd w:val="clear" w:color="auto" w:fill="auto"/>
          </w:tcPr>
          <w:p w14:paraId="2732209C"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0 %</w:t>
            </w:r>
          </w:p>
          <w:p w14:paraId="4919C89A" w14:textId="77777777" w:rsidR="001B1411" w:rsidRPr="00DA7625" w:rsidRDefault="001B1411">
            <w:pPr>
              <w:pStyle w:val="InstructionsText"/>
            </w:pPr>
          </w:p>
        </w:tc>
      </w:tr>
      <w:tr w:rsidR="001B1411" w:rsidRPr="00DA7625" w14:paraId="13E4B14C" w14:textId="77777777" w:rsidTr="00672D2A">
        <w:tc>
          <w:tcPr>
            <w:tcW w:w="1188" w:type="dxa"/>
            <w:shd w:val="clear" w:color="auto" w:fill="auto"/>
          </w:tcPr>
          <w:p w14:paraId="7473F8DC" w14:textId="77777777" w:rsidR="001B1411" w:rsidRPr="00DA7625" w:rsidRDefault="00462BAB">
            <w:pPr>
              <w:pStyle w:val="InstructionsText"/>
            </w:pPr>
            <w:r w:rsidRPr="00DA7625">
              <w:lastRenderedPageBreak/>
              <w:t>150</w:t>
            </w:r>
          </w:p>
        </w:tc>
        <w:tc>
          <w:tcPr>
            <w:tcW w:w="8701" w:type="dxa"/>
            <w:shd w:val="clear" w:color="auto" w:fill="auto"/>
          </w:tcPr>
          <w:p w14:paraId="201EF7DA" w14:textId="77777777" w:rsidR="001B1411" w:rsidRPr="00DA7625" w:rsidRDefault="00464F34">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2 %</w:t>
            </w:r>
          </w:p>
          <w:p w14:paraId="5F171746" w14:textId="1821A69B" w:rsidR="001B1411" w:rsidRPr="00DA7625" w:rsidRDefault="00464F34">
            <w:pPr>
              <w:pStyle w:val="InstructionsText"/>
              <w:rPr>
                <w:b/>
              </w:rPr>
            </w:pPr>
            <w:r w:rsidRPr="00DA7625">
              <w:t>A CRR 306. cikkének (1) bekezdése</w:t>
            </w:r>
          </w:p>
        </w:tc>
      </w:tr>
      <w:tr w:rsidR="001B1411" w:rsidRPr="00DA7625" w14:paraId="6EB8AC3B" w14:textId="77777777" w:rsidTr="00672D2A">
        <w:tc>
          <w:tcPr>
            <w:tcW w:w="1188" w:type="dxa"/>
            <w:shd w:val="clear" w:color="auto" w:fill="auto"/>
          </w:tcPr>
          <w:p w14:paraId="4772746B" w14:textId="77777777" w:rsidR="001B1411" w:rsidRPr="00DA7625" w:rsidRDefault="00462BAB">
            <w:pPr>
              <w:pStyle w:val="InstructionsText"/>
            </w:pPr>
            <w:r w:rsidRPr="00DA7625">
              <w:t>160</w:t>
            </w:r>
          </w:p>
        </w:tc>
        <w:tc>
          <w:tcPr>
            <w:tcW w:w="8701" w:type="dxa"/>
            <w:shd w:val="clear" w:color="auto" w:fill="auto"/>
          </w:tcPr>
          <w:p w14:paraId="0CE91579" w14:textId="77777777" w:rsidR="001B1411" w:rsidRPr="00DA7625" w:rsidRDefault="00462BAB">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4 %</w:t>
            </w:r>
          </w:p>
          <w:p w14:paraId="64E98C4F" w14:textId="72286B20" w:rsidR="001B1411" w:rsidRPr="00DA7625" w:rsidRDefault="00462BAB">
            <w:pPr>
              <w:pStyle w:val="InstructionsText"/>
              <w:rPr>
                <w:b/>
                <w:u w:val="single"/>
              </w:rPr>
            </w:pPr>
            <w:r w:rsidRPr="00DA7625">
              <w:t>A CRR 305. cikkének (3) bekezdése</w:t>
            </w:r>
          </w:p>
        </w:tc>
      </w:tr>
      <w:tr w:rsidR="001B1411" w:rsidRPr="00DA7625" w14:paraId="6DD4D856" w14:textId="77777777" w:rsidTr="00672D2A">
        <w:tc>
          <w:tcPr>
            <w:tcW w:w="1188" w:type="dxa"/>
            <w:shd w:val="clear" w:color="auto" w:fill="auto"/>
          </w:tcPr>
          <w:p w14:paraId="3DB4451A" w14:textId="77777777" w:rsidR="001B1411" w:rsidRPr="00DA7625" w:rsidRDefault="00462BAB">
            <w:pPr>
              <w:pStyle w:val="InstructionsText"/>
            </w:pPr>
            <w:r w:rsidRPr="00DA7625">
              <w:t>170</w:t>
            </w:r>
          </w:p>
        </w:tc>
        <w:tc>
          <w:tcPr>
            <w:tcW w:w="8701" w:type="dxa"/>
            <w:shd w:val="clear" w:color="auto" w:fill="auto"/>
          </w:tcPr>
          <w:p w14:paraId="47CBBF0D" w14:textId="77777777" w:rsidR="001B1411" w:rsidRPr="00DA7625" w:rsidRDefault="00462BAB">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10 %</w:t>
            </w:r>
          </w:p>
          <w:p w14:paraId="6E6D2FEF" w14:textId="77777777" w:rsidR="001B1411" w:rsidRPr="00DA7625" w:rsidRDefault="001B1411">
            <w:pPr>
              <w:pStyle w:val="InstructionsText"/>
            </w:pPr>
          </w:p>
        </w:tc>
      </w:tr>
      <w:tr w:rsidR="001B1411" w:rsidRPr="00DA7625" w14:paraId="06D0C5F2" w14:textId="77777777" w:rsidTr="00672D2A">
        <w:tc>
          <w:tcPr>
            <w:tcW w:w="1188" w:type="dxa"/>
            <w:shd w:val="clear" w:color="auto" w:fill="auto"/>
          </w:tcPr>
          <w:p w14:paraId="197C4678" w14:textId="77777777" w:rsidR="001B1411" w:rsidRPr="00DA7625" w:rsidRDefault="00462BAB">
            <w:pPr>
              <w:pStyle w:val="InstructionsText"/>
            </w:pPr>
            <w:r w:rsidRPr="00DA7625">
              <w:t>180</w:t>
            </w:r>
          </w:p>
        </w:tc>
        <w:tc>
          <w:tcPr>
            <w:tcW w:w="8701" w:type="dxa"/>
            <w:shd w:val="clear" w:color="auto" w:fill="auto"/>
          </w:tcPr>
          <w:p w14:paraId="4FA81A5F" w14:textId="77777777" w:rsidR="001B1411" w:rsidRPr="00DA7625" w:rsidRDefault="00462BAB">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20 %</w:t>
            </w:r>
          </w:p>
          <w:p w14:paraId="7F0891DD" w14:textId="77777777" w:rsidR="001B1411" w:rsidRPr="00DA7625" w:rsidRDefault="001B1411">
            <w:pPr>
              <w:pStyle w:val="InstructionsText"/>
            </w:pPr>
          </w:p>
        </w:tc>
      </w:tr>
      <w:tr w:rsidR="001B1411" w:rsidRPr="00DA7625" w14:paraId="3197C9A6" w14:textId="77777777" w:rsidTr="00672D2A">
        <w:tc>
          <w:tcPr>
            <w:tcW w:w="1188" w:type="dxa"/>
            <w:shd w:val="clear" w:color="auto" w:fill="auto"/>
          </w:tcPr>
          <w:p w14:paraId="124695BB" w14:textId="77777777" w:rsidR="001B1411" w:rsidRPr="00DA7625" w:rsidRDefault="00462BAB">
            <w:pPr>
              <w:pStyle w:val="InstructionsText"/>
            </w:pPr>
            <w:r w:rsidRPr="00DA7625">
              <w:t>190</w:t>
            </w:r>
          </w:p>
        </w:tc>
        <w:tc>
          <w:tcPr>
            <w:tcW w:w="8701" w:type="dxa"/>
            <w:shd w:val="clear" w:color="auto" w:fill="auto"/>
          </w:tcPr>
          <w:p w14:paraId="38EADEFB" w14:textId="77777777" w:rsidR="001B1411" w:rsidRPr="00DA7625" w:rsidRDefault="00462BAB">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35 %</w:t>
            </w:r>
          </w:p>
          <w:p w14:paraId="257917EE" w14:textId="77777777" w:rsidR="001B1411" w:rsidRPr="00DA7625" w:rsidRDefault="001B1411">
            <w:pPr>
              <w:pStyle w:val="InstructionsText"/>
            </w:pPr>
          </w:p>
        </w:tc>
      </w:tr>
      <w:tr w:rsidR="001B1411" w:rsidRPr="00DA7625" w14:paraId="04B675ED" w14:textId="77777777" w:rsidTr="00672D2A">
        <w:tc>
          <w:tcPr>
            <w:tcW w:w="1188" w:type="dxa"/>
            <w:shd w:val="clear" w:color="auto" w:fill="auto"/>
          </w:tcPr>
          <w:p w14:paraId="271FA406" w14:textId="77777777" w:rsidR="001B1411" w:rsidRPr="00DA7625" w:rsidRDefault="00462BAB">
            <w:pPr>
              <w:pStyle w:val="InstructionsText"/>
            </w:pPr>
            <w:r w:rsidRPr="00DA7625">
              <w:t>200</w:t>
            </w:r>
          </w:p>
        </w:tc>
        <w:tc>
          <w:tcPr>
            <w:tcW w:w="8701" w:type="dxa"/>
            <w:shd w:val="clear" w:color="auto" w:fill="auto"/>
          </w:tcPr>
          <w:p w14:paraId="03E42EEF" w14:textId="77777777" w:rsidR="001B1411" w:rsidRPr="00DA7625" w:rsidRDefault="00462BAB">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50 %</w:t>
            </w:r>
          </w:p>
          <w:p w14:paraId="63E93581" w14:textId="77777777" w:rsidR="001B1411" w:rsidRPr="00DA7625" w:rsidRDefault="001B1411">
            <w:pPr>
              <w:pStyle w:val="InstructionsText"/>
            </w:pPr>
          </w:p>
        </w:tc>
      </w:tr>
      <w:tr w:rsidR="001B1411" w:rsidRPr="00DA7625" w14:paraId="36DCC047" w14:textId="77777777" w:rsidTr="00672D2A">
        <w:tc>
          <w:tcPr>
            <w:tcW w:w="1188" w:type="dxa"/>
            <w:shd w:val="clear" w:color="auto" w:fill="auto"/>
          </w:tcPr>
          <w:p w14:paraId="66D6B354" w14:textId="77777777" w:rsidR="001B1411" w:rsidRPr="00DA7625" w:rsidRDefault="00462BAB">
            <w:pPr>
              <w:pStyle w:val="InstructionsText"/>
            </w:pPr>
            <w:r w:rsidRPr="00DA7625">
              <w:t>210</w:t>
            </w:r>
          </w:p>
        </w:tc>
        <w:tc>
          <w:tcPr>
            <w:tcW w:w="8701" w:type="dxa"/>
            <w:shd w:val="clear" w:color="auto" w:fill="auto"/>
          </w:tcPr>
          <w:p w14:paraId="55AA7A20" w14:textId="77777777" w:rsidR="001B1411" w:rsidRPr="00DA7625" w:rsidRDefault="00462BAB">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70 %</w:t>
            </w:r>
          </w:p>
          <w:p w14:paraId="081C0AF3" w14:textId="31E9C078" w:rsidR="001B1411" w:rsidRPr="00DA7625" w:rsidRDefault="00D21B29">
            <w:pPr>
              <w:pStyle w:val="InstructionsText"/>
            </w:pPr>
            <w:r w:rsidRPr="00DA7625">
              <w:t>A CRR 232. cikke (3) bekezdésének c) pontja</w:t>
            </w:r>
          </w:p>
        </w:tc>
      </w:tr>
      <w:tr w:rsidR="001B1411" w:rsidRPr="00DA7625" w14:paraId="5AB965D9" w14:textId="77777777" w:rsidTr="00672D2A">
        <w:tc>
          <w:tcPr>
            <w:tcW w:w="1188" w:type="dxa"/>
            <w:shd w:val="clear" w:color="auto" w:fill="auto"/>
          </w:tcPr>
          <w:p w14:paraId="4DC93FE1" w14:textId="77777777" w:rsidR="001B1411" w:rsidRPr="00DA7625" w:rsidRDefault="00462BAB">
            <w:pPr>
              <w:pStyle w:val="InstructionsText"/>
            </w:pPr>
            <w:r w:rsidRPr="00DA7625">
              <w:t>220</w:t>
            </w:r>
          </w:p>
        </w:tc>
        <w:tc>
          <w:tcPr>
            <w:tcW w:w="8701" w:type="dxa"/>
            <w:shd w:val="clear" w:color="auto" w:fill="auto"/>
          </w:tcPr>
          <w:p w14:paraId="3CA47DA5" w14:textId="77777777" w:rsidR="001B1411" w:rsidRPr="00DA7625" w:rsidRDefault="00462BAB">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75 %</w:t>
            </w:r>
          </w:p>
          <w:p w14:paraId="0D74F3CB" w14:textId="77777777" w:rsidR="001B1411" w:rsidRPr="00DA7625" w:rsidRDefault="001B1411">
            <w:pPr>
              <w:pStyle w:val="InstructionsText"/>
            </w:pPr>
          </w:p>
        </w:tc>
      </w:tr>
      <w:tr w:rsidR="001B1411" w:rsidRPr="00DA7625" w14:paraId="644D7D63" w14:textId="77777777" w:rsidTr="00672D2A">
        <w:tc>
          <w:tcPr>
            <w:tcW w:w="1188" w:type="dxa"/>
            <w:shd w:val="clear" w:color="auto" w:fill="auto"/>
          </w:tcPr>
          <w:p w14:paraId="15850B07" w14:textId="77777777" w:rsidR="001B1411" w:rsidRPr="00DA7625" w:rsidRDefault="00462BAB">
            <w:pPr>
              <w:pStyle w:val="InstructionsText"/>
            </w:pPr>
            <w:r w:rsidRPr="00DA7625">
              <w:t>230</w:t>
            </w:r>
          </w:p>
        </w:tc>
        <w:tc>
          <w:tcPr>
            <w:tcW w:w="8701" w:type="dxa"/>
            <w:shd w:val="clear" w:color="auto" w:fill="auto"/>
          </w:tcPr>
          <w:p w14:paraId="2C04D32D" w14:textId="77777777" w:rsidR="001B1411" w:rsidRPr="00DA7625" w:rsidRDefault="00462BAB">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100 %</w:t>
            </w:r>
          </w:p>
          <w:p w14:paraId="502631B3" w14:textId="77777777" w:rsidR="001B1411" w:rsidRPr="00DA7625" w:rsidRDefault="001B1411">
            <w:pPr>
              <w:pStyle w:val="InstructionsText"/>
            </w:pPr>
          </w:p>
        </w:tc>
      </w:tr>
      <w:tr w:rsidR="001B1411" w:rsidRPr="00DA7625" w14:paraId="61E4A948" w14:textId="77777777" w:rsidTr="00672D2A">
        <w:tc>
          <w:tcPr>
            <w:tcW w:w="1188" w:type="dxa"/>
            <w:shd w:val="clear" w:color="auto" w:fill="auto"/>
          </w:tcPr>
          <w:p w14:paraId="0BD0253F" w14:textId="77777777" w:rsidR="001B1411" w:rsidRPr="00DA7625" w:rsidRDefault="00462BAB">
            <w:pPr>
              <w:pStyle w:val="InstructionsText"/>
            </w:pPr>
            <w:r w:rsidRPr="00DA7625">
              <w:t>240</w:t>
            </w:r>
          </w:p>
        </w:tc>
        <w:tc>
          <w:tcPr>
            <w:tcW w:w="8701" w:type="dxa"/>
            <w:shd w:val="clear" w:color="auto" w:fill="auto"/>
          </w:tcPr>
          <w:p w14:paraId="4B31930A" w14:textId="77777777" w:rsidR="001B1411" w:rsidRPr="00DA7625" w:rsidRDefault="00462BAB">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150 %</w:t>
            </w:r>
          </w:p>
          <w:p w14:paraId="47E2C677" w14:textId="77777777" w:rsidR="001B1411" w:rsidRPr="00DA7625" w:rsidRDefault="001B1411">
            <w:pPr>
              <w:pStyle w:val="InstructionsText"/>
            </w:pPr>
          </w:p>
        </w:tc>
      </w:tr>
      <w:tr w:rsidR="001B1411" w:rsidRPr="00DA7625" w14:paraId="1AD3E98B" w14:textId="77777777" w:rsidTr="00672D2A">
        <w:tc>
          <w:tcPr>
            <w:tcW w:w="1188" w:type="dxa"/>
            <w:shd w:val="clear" w:color="auto" w:fill="auto"/>
          </w:tcPr>
          <w:p w14:paraId="1C3F1822" w14:textId="77777777" w:rsidR="001B1411" w:rsidRPr="00DA7625" w:rsidRDefault="00462BAB">
            <w:pPr>
              <w:pStyle w:val="InstructionsText"/>
            </w:pPr>
            <w:r w:rsidRPr="00DA7625">
              <w:t>250</w:t>
            </w:r>
          </w:p>
        </w:tc>
        <w:tc>
          <w:tcPr>
            <w:tcW w:w="8701" w:type="dxa"/>
            <w:shd w:val="clear" w:color="auto" w:fill="auto"/>
          </w:tcPr>
          <w:p w14:paraId="3B8D962F" w14:textId="77777777" w:rsidR="001B1411" w:rsidRPr="00DA7625" w:rsidRDefault="00462BAB">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250 %</w:t>
            </w:r>
          </w:p>
          <w:p w14:paraId="41C76E01" w14:textId="6F897835" w:rsidR="001B1411" w:rsidRPr="00DA7625" w:rsidRDefault="00462BAB">
            <w:pPr>
              <w:pStyle w:val="InstructionsText"/>
            </w:pPr>
            <w:r w:rsidRPr="00DA7625">
              <w:t>A CRR 133. cikkének (2) bekezdése, valamint 48. cikkének (4) bekezdése</w:t>
            </w:r>
          </w:p>
        </w:tc>
      </w:tr>
      <w:tr w:rsidR="001B1411" w:rsidRPr="00DA7625" w14:paraId="2FC10DCB" w14:textId="77777777" w:rsidTr="00672D2A">
        <w:tc>
          <w:tcPr>
            <w:tcW w:w="1188" w:type="dxa"/>
            <w:shd w:val="clear" w:color="auto" w:fill="auto"/>
          </w:tcPr>
          <w:p w14:paraId="4EB3306B" w14:textId="77777777" w:rsidR="001B1411" w:rsidRPr="00DA7625" w:rsidRDefault="00462BAB">
            <w:pPr>
              <w:pStyle w:val="InstructionsText"/>
            </w:pPr>
            <w:r w:rsidRPr="00DA7625">
              <w:t>260</w:t>
            </w:r>
          </w:p>
        </w:tc>
        <w:tc>
          <w:tcPr>
            <w:tcW w:w="8701" w:type="dxa"/>
            <w:shd w:val="clear" w:color="auto" w:fill="auto"/>
          </w:tcPr>
          <w:p w14:paraId="4B55582E" w14:textId="77777777" w:rsidR="001B1411" w:rsidRPr="00DA7625" w:rsidRDefault="00462BAB">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370 %</w:t>
            </w:r>
          </w:p>
          <w:p w14:paraId="2424B85A" w14:textId="07D58770" w:rsidR="001B1411" w:rsidRPr="00DA7625" w:rsidRDefault="00462BAB">
            <w:pPr>
              <w:pStyle w:val="InstructionsText"/>
              <w:rPr>
                <w:b/>
                <w:u w:val="single"/>
              </w:rPr>
            </w:pPr>
            <w:r w:rsidRPr="00DA7625">
              <w:t>A CRR 471. cikke</w:t>
            </w:r>
          </w:p>
        </w:tc>
      </w:tr>
      <w:tr w:rsidR="001B1411" w:rsidRPr="00DA7625" w14:paraId="73D4C74B" w14:textId="77777777" w:rsidTr="00672D2A">
        <w:tc>
          <w:tcPr>
            <w:tcW w:w="1188" w:type="dxa"/>
            <w:shd w:val="clear" w:color="auto" w:fill="auto"/>
          </w:tcPr>
          <w:p w14:paraId="1C3AE7F6" w14:textId="77777777" w:rsidR="001B1411" w:rsidRPr="00DA7625" w:rsidRDefault="00462BAB">
            <w:pPr>
              <w:pStyle w:val="InstructionsText"/>
            </w:pPr>
            <w:r w:rsidRPr="00DA7625">
              <w:t>270</w:t>
            </w:r>
          </w:p>
        </w:tc>
        <w:tc>
          <w:tcPr>
            <w:tcW w:w="8701" w:type="dxa"/>
            <w:shd w:val="clear" w:color="auto" w:fill="auto"/>
          </w:tcPr>
          <w:p w14:paraId="1AE17939" w14:textId="77777777" w:rsidR="001B1411" w:rsidRPr="00DA7625" w:rsidRDefault="00462BAB">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1 250 %</w:t>
            </w:r>
          </w:p>
          <w:p w14:paraId="56F443AA" w14:textId="1E20E342" w:rsidR="001B1411" w:rsidRPr="00DA7625" w:rsidRDefault="00462BAB">
            <w:pPr>
              <w:pStyle w:val="InstructionsText"/>
              <w:rPr>
                <w:b/>
                <w:u w:val="single"/>
              </w:rPr>
            </w:pPr>
            <w:r w:rsidRPr="00DA7625">
              <w:t>A CRR 133. cikkének (2) bekezdése és 379. cikke</w:t>
            </w:r>
          </w:p>
        </w:tc>
      </w:tr>
      <w:tr w:rsidR="001B1411" w:rsidRPr="00DA7625" w14:paraId="5B803A89" w14:textId="77777777" w:rsidTr="00672D2A">
        <w:tc>
          <w:tcPr>
            <w:tcW w:w="1188" w:type="dxa"/>
            <w:shd w:val="clear" w:color="auto" w:fill="auto"/>
          </w:tcPr>
          <w:p w14:paraId="44EE6FB9" w14:textId="77777777" w:rsidR="001B1411" w:rsidRPr="00DA7625" w:rsidRDefault="00462BAB">
            <w:pPr>
              <w:pStyle w:val="InstructionsText"/>
            </w:pPr>
            <w:r w:rsidRPr="00DA7625">
              <w:t>280</w:t>
            </w:r>
          </w:p>
        </w:tc>
        <w:tc>
          <w:tcPr>
            <w:tcW w:w="8701" w:type="dxa"/>
            <w:shd w:val="clear" w:color="auto" w:fill="auto"/>
          </w:tcPr>
          <w:p w14:paraId="0A40E035" w14:textId="77777777" w:rsidR="001B1411" w:rsidRPr="00DA7625" w:rsidRDefault="00462BAB">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Egyéb kockázati súlyok</w:t>
            </w:r>
          </w:p>
          <w:p w14:paraId="75E5F61E" w14:textId="77777777" w:rsidR="001B1411" w:rsidRPr="00DA7625" w:rsidRDefault="00462BAB">
            <w:pPr>
              <w:pStyle w:val="InstructionsText"/>
            </w:pPr>
            <w:r w:rsidRPr="00DA7625">
              <w:t>Ez a sor a „kormányzat”, „vállalkozások”, „intézmények” és „lakosság” kitettségi osztályok esetében nem tölthető ki.</w:t>
            </w:r>
          </w:p>
          <w:p w14:paraId="121FC4D4" w14:textId="77777777" w:rsidR="001B1411" w:rsidRPr="00DA7625" w:rsidRDefault="001B1411">
            <w:pPr>
              <w:pStyle w:val="InstructionsText"/>
            </w:pPr>
          </w:p>
          <w:p w14:paraId="67CEAA17" w14:textId="77777777" w:rsidR="001B1411" w:rsidRPr="00DA7625" w:rsidRDefault="00462BAB">
            <w:pPr>
              <w:pStyle w:val="InstructionsText"/>
            </w:pPr>
            <w:r w:rsidRPr="00DA7625">
              <w:t>Itt olyan kitettségek adhatók meg, amelyekre nem vonatkoznak a táblán felsorolt kockázati súlyok.</w:t>
            </w:r>
          </w:p>
          <w:p w14:paraId="7E603395" w14:textId="19F54081" w:rsidR="001B1411" w:rsidRPr="00DA7625" w:rsidRDefault="00167619">
            <w:pPr>
              <w:pStyle w:val="InstructionsText"/>
            </w:pPr>
            <w:r w:rsidRPr="00DA7625">
              <w:t xml:space="preserve">A CRR 113. cikkének (1)–(5) bekezdése </w:t>
            </w:r>
          </w:p>
          <w:p w14:paraId="4BA7C54D" w14:textId="77777777" w:rsidR="001B1411" w:rsidRPr="00DA7625" w:rsidRDefault="001B1411">
            <w:pPr>
              <w:pStyle w:val="InstructionsText"/>
            </w:pPr>
          </w:p>
          <w:p w14:paraId="7E4903A5" w14:textId="71BE3F5C" w:rsidR="001B1411" w:rsidRPr="00DA7625" w:rsidRDefault="00462BAB">
            <w:pPr>
              <w:pStyle w:val="InstructionsText"/>
            </w:pPr>
            <w:r w:rsidRPr="00DA7625">
              <w:lastRenderedPageBreak/>
              <w:t>A nem minősített, a sztenderd módszer szerinti n-edik nemteljesítéskor lehívható hitelderivatívákat (a CRR 134. cikkének (6) bekezdése) ebben a sorban az „egyéb tételek” kitettségi osztályban kell feltüntetni.</w:t>
            </w:r>
          </w:p>
          <w:p w14:paraId="521DC7A1" w14:textId="6E172B47" w:rsidR="001B1411" w:rsidRPr="00DA7625" w:rsidRDefault="00462BAB">
            <w:pPr>
              <w:pStyle w:val="InstructionsText"/>
            </w:pPr>
            <w:r w:rsidRPr="00DA7625">
              <w:t xml:space="preserve">A CRR 124. cikkének (2) bekezdése, valamint 152. cikke (2) bekezdésének b) pontja </w:t>
            </w:r>
          </w:p>
        </w:tc>
      </w:tr>
      <w:tr w:rsidR="001B1411" w:rsidRPr="00DA7625" w14:paraId="69F88F23" w14:textId="77777777" w:rsidTr="00672D2A">
        <w:tc>
          <w:tcPr>
            <w:tcW w:w="1188" w:type="dxa"/>
            <w:shd w:val="clear" w:color="auto" w:fill="auto"/>
          </w:tcPr>
          <w:p w14:paraId="61528BCF" w14:textId="77777777" w:rsidR="001B1411" w:rsidRPr="00DA7625" w:rsidRDefault="00462BAB">
            <w:pPr>
              <w:pStyle w:val="InstructionsText"/>
            </w:pPr>
            <w:r w:rsidRPr="00DA7625">
              <w:lastRenderedPageBreak/>
              <w:t>290–320</w:t>
            </w:r>
          </w:p>
        </w:tc>
        <w:tc>
          <w:tcPr>
            <w:tcW w:w="8701" w:type="dxa"/>
            <w:shd w:val="clear" w:color="auto" w:fill="auto"/>
          </w:tcPr>
          <w:p w14:paraId="36CA6F93" w14:textId="77777777" w:rsidR="001B1411" w:rsidRPr="00DA7625" w:rsidRDefault="00462BAB">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Tájékoztató adatok</w:t>
            </w:r>
          </w:p>
          <w:p w14:paraId="0F27190C" w14:textId="77777777" w:rsidR="001B1411" w:rsidRPr="00DA7625" w:rsidRDefault="00462BAB">
            <w:pPr>
              <w:pStyle w:val="InstructionsText"/>
              <w:rPr>
                <w:b/>
                <w:u w:val="single"/>
              </w:rPr>
            </w:pPr>
            <w:r w:rsidRPr="00DA7625">
              <w:t>Lásd még a tájékoztató adatok céljának ismertetését a CR SA általános szakaszában.</w:t>
            </w:r>
          </w:p>
        </w:tc>
      </w:tr>
      <w:tr w:rsidR="001B1411" w:rsidRPr="00DA7625" w14:paraId="5258B59B" w14:textId="77777777" w:rsidTr="00672D2A">
        <w:tc>
          <w:tcPr>
            <w:tcW w:w="1188" w:type="dxa"/>
            <w:shd w:val="clear" w:color="auto" w:fill="auto"/>
          </w:tcPr>
          <w:p w14:paraId="7F98313D" w14:textId="77777777" w:rsidR="001B1411" w:rsidRPr="00DA7625" w:rsidRDefault="00462BAB">
            <w:pPr>
              <w:pStyle w:val="InstructionsText"/>
            </w:pPr>
            <w:r w:rsidRPr="00DA7625">
              <w:t>290</w:t>
            </w:r>
          </w:p>
          <w:p w14:paraId="0CA5F736" w14:textId="77777777" w:rsidR="001B1411" w:rsidRPr="00DA7625" w:rsidRDefault="001B1411">
            <w:pPr>
              <w:pStyle w:val="InstructionsText"/>
            </w:pPr>
          </w:p>
        </w:tc>
        <w:tc>
          <w:tcPr>
            <w:tcW w:w="8701" w:type="dxa"/>
            <w:shd w:val="clear" w:color="auto" w:fill="auto"/>
          </w:tcPr>
          <w:p w14:paraId="56098472" w14:textId="77777777" w:rsidR="001B1411" w:rsidRPr="00DA7625" w:rsidRDefault="00462BAB">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Kereskedelmi ingatlanra bejegyzett zálogjoggal fedezett kitettségek</w:t>
            </w:r>
          </w:p>
          <w:p w14:paraId="462ADB3C" w14:textId="142A6AFA" w:rsidR="001B1411" w:rsidRPr="00DA7625" w:rsidRDefault="00D21B29">
            <w:pPr>
              <w:pStyle w:val="InstructionsText"/>
            </w:pPr>
            <w:r w:rsidRPr="00DA7625">
              <w:t>A CRR 112. cikkének i) pontja</w:t>
            </w:r>
          </w:p>
          <w:p w14:paraId="7529741F" w14:textId="151140A5" w:rsidR="001B1411" w:rsidRPr="00DA7625" w:rsidRDefault="00462BAB">
            <w:pPr>
              <w:pStyle w:val="InstructionsText"/>
            </w:pPr>
            <w:r w:rsidRPr="00DA7625">
              <w:t>Kizárólag tájékoztató adat. A CRR 124. és 126. cikkében említetteknek megfelelően kereskedelmi ingatlannal fedezett kitettséghez kapcsolódó kockázati kitettségértékek számításától függetlenül a kitettségeket ebben a sorban kell megbontani és feltüntetni, ha azokra kereskedelmi ingatlan nyújt fedezetet.</w:t>
            </w:r>
          </w:p>
        </w:tc>
      </w:tr>
      <w:tr w:rsidR="001B1411" w:rsidRPr="00DA7625" w14:paraId="0ECA48B5" w14:textId="77777777" w:rsidTr="00672D2A">
        <w:tc>
          <w:tcPr>
            <w:tcW w:w="1188" w:type="dxa"/>
            <w:shd w:val="clear" w:color="auto" w:fill="auto"/>
          </w:tcPr>
          <w:p w14:paraId="303BEE53" w14:textId="77777777" w:rsidR="001B1411" w:rsidRPr="00DA7625" w:rsidRDefault="00462BAB">
            <w:pPr>
              <w:pStyle w:val="InstructionsText"/>
            </w:pPr>
            <w:r w:rsidRPr="00DA7625">
              <w:t>300</w:t>
            </w:r>
          </w:p>
        </w:tc>
        <w:tc>
          <w:tcPr>
            <w:tcW w:w="8701" w:type="dxa"/>
            <w:shd w:val="clear" w:color="auto" w:fill="auto"/>
          </w:tcPr>
          <w:p w14:paraId="0632B907" w14:textId="77777777" w:rsidR="001B1411" w:rsidRPr="00DA7625" w:rsidRDefault="00462BAB">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100 %-os kockázati súlyú nemteljesítő kitettségek</w:t>
            </w:r>
          </w:p>
          <w:p w14:paraId="62F0F0F9" w14:textId="5689AF16" w:rsidR="001B1411" w:rsidRPr="00DA7625" w:rsidRDefault="00D21B29">
            <w:pPr>
              <w:pStyle w:val="InstructionsText"/>
            </w:pPr>
            <w:r w:rsidRPr="00DA7625">
              <w:t>A CRR 112. cikkének j) pontja</w:t>
            </w:r>
          </w:p>
          <w:p w14:paraId="50595979" w14:textId="77777777" w:rsidR="001B1411" w:rsidRPr="00DA7625" w:rsidRDefault="00462BAB">
            <w:pPr>
              <w:pStyle w:val="InstructionsText"/>
            </w:pPr>
            <w:r w:rsidRPr="00DA7625">
              <w:t>A „nemteljesítő kitettségek” kitettségi osztályba sorolt kitettségek, amelyeket teljesítésük esetén ebbe a kitettségi osztályba kellene sorolni.</w:t>
            </w:r>
          </w:p>
        </w:tc>
      </w:tr>
      <w:tr w:rsidR="001B1411" w:rsidRPr="00DA7625" w14:paraId="4F3B943B" w14:textId="77777777" w:rsidTr="00672D2A">
        <w:tc>
          <w:tcPr>
            <w:tcW w:w="1188" w:type="dxa"/>
            <w:shd w:val="clear" w:color="auto" w:fill="auto"/>
          </w:tcPr>
          <w:p w14:paraId="015401C1" w14:textId="77777777" w:rsidR="001B1411" w:rsidRPr="00DA7625" w:rsidRDefault="00462BAB">
            <w:pPr>
              <w:pStyle w:val="InstructionsText"/>
            </w:pPr>
            <w:r w:rsidRPr="00DA7625">
              <w:t>310</w:t>
            </w:r>
          </w:p>
        </w:tc>
        <w:tc>
          <w:tcPr>
            <w:tcW w:w="8701" w:type="dxa"/>
            <w:shd w:val="clear" w:color="auto" w:fill="auto"/>
          </w:tcPr>
          <w:p w14:paraId="0ED3ECDB" w14:textId="77777777" w:rsidR="001B1411" w:rsidRPr="00DA7625" w:rsidRDefault="00462BAB">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 xml:space="preserve">Lakóingatlanra bejegyzett jelzáloggal fedezett kitettségek </w:t>
            </w:r>
          </w:p>
          <w:p w14:paraId="733259AF" w14:textId="21D07B15" w:rsidR="001B1411" w:rsidRPr="00DA7625" w:rsidRDefault="00D21B29">
            <w:pPr>
              <w:pStyle w:val="InstructionsText"/>
            </w:pPr>
            <w:r w:rsidRPr="00DA7625">
              <w:t>A CRR 112. cikkének i) pontja</w:t>
            </w:r>
          </w:p>
          <w:p w14:paraId="6DA788E4" w14:textId="269533C6" w:rsidR="001B1411" w:rsidRPr="00DA7625" w:rsidRDefault="00462BAB">
            <w:pPr>
              <w:pStyle w:val="InstructionsText"/>
              <w:rPr>
                <w:b/>
                <w:u w:val="single"/>
              </w:rPr>
            </w:pPr>
            <w:r w:rsidRPr="00DA7625">
              <w:t>Kizárólag tájékoztató adat. A CRR 124. és 125. cikkének megfelelően lakóingatlannal fedezett kitettséghez kapcsolódó kockázati kitettségértékek számításától függetlenül a kitettségeket ebben a sorban kell megbontani és feltüntetni, ha azokra ingatlan nyújt fedezetet.</w:t>
            </w:r>
          </w:p>
        </w:tc>
      </w:tr>
      <w:tr w:rsidR="001B1411" w:rsidRPr="00DA7625" w14:paraId="7BF1F948" w14:textId="77777777" w:rsidTr="00672D2A">
        <w:tc>
          <w:tcPr>
            <w:tcW w:w="1188" w:type="dxa"/>
            <w:shd w:val="clear" w:color="auto" w:fill="auto"/>
          </w:tcPr>
          <w:p w14:paraId="3BB26996" w14:textId="77777777" w:rsidR="001B1411" w:rsidRPr="00DA7625" w:rsidRDefault="00462BAB">
            <w:pPr>
              <w:pStyle w:val="InstructionsText"/>
            </w:pPr>
            <w:r w:rsidRPr="00DA7625">
              <w:t>320</w:t>
            </w:r>
          </w:p>
        </w:tc>
        <w:tc>
          <w:tcPr>
            <w:tcW w:w="8701" w:type="dxa"/>
            <w:shd w:val="clear" w:color="auto" w:fill="auto"/>
          </w:tcPr>
          <w:p w14:paraId="46896447" w14:textId="77777777" w:rsidR="001B1411" w:rsidRPr="00DA7625" w:rsidRDefault="00462BAB">
            <w:pPr>
              <w:pStyle w:val="InstructionsText"/>
              <w:rPr>
                <w:rStyle w:val="InstructionsTabelleberschrift"/>
                <w:rFonts w:ascii="Times New Roman" w:hAnsi="Times New Roman"/>
                <w:sz w:val="24"/>
              </w:rPr>
            </w:pPr>
            <w:r w:rsidRPr="00DA7625">
              <w:rPr>
                <w:rStyle w:val="InstructionsTabelleberschrift"/>
                <w:rFonts w:ascii="Times New Roman" w:hAnsi="Times New Roman"/>
                <w:sz w:val="24"/>
              </w:rPr>
              <w:t xml:space="preserve">150 %-os kockázati súlyú nemteljesítő kitettségek </w:t>
            </w:r>
          </w:p>
          <w:p w14:paraId="1FD8C7E5" w14:textId="5D2BD4ED" w:rsidR="001B1411" w:rsidRPr="00DA7625" w:rsidRDefault="00D21B29">
            <w:pPr>
              <w:pStyle w:val="InstructionsText"/>
            </w:pPr>
            <w:r w:rsidRPr="00DA7625">
              <w:t>A CRR 112. cikkének j) pontja</w:t>
            </w:r>
          </w:p>
          <w:p w14:paraId="5A795656" w14:textId="77777777" w:rsidR="001B1411" w:rsidRPr="00DA7625" w:rsidRDefault="00462BAB">
            <w:pPr>
              <w:pStyle w:val="InstructionsText"/>
            </w:pPr>
            <w:r w:rsidRPr="00DA7625">
              <w:t>A „nemteljesítő kitettségek” kitettségi osztályba sorolt kitettségek, amelyeket teljesítésük esetén ebbe a kitettségi osztályba kellene sorolni.</w:t>
            </w:r>
          </w:p>
        </w:tc>
      </w:tr>
    </w:tbl>
    <w:p w14:paraId="0CF52968" w14:textId="77777777" w:rsidR="001B1411" w:rsidRPr="00DA7625" w:rsidRDefault="001B1411">
      <w:pPr>
        <w:spacing w:before="0" w:after="0"/>
        <w:jc w:val="left"/>
        <w:rPr>
          <w:rFonts w:ascii="Times New Roman" w:hAnsi="Times New Roman"/>
          <w:bCs/>
          <w:sz w:val="24"/>
        </w:rPr>
      </w:pPr>
    </w:p>
    <w:p w14:paraId="34424423" w14:textId="4CA31E36" w:rsidR="001B1411" w:rsidRPr="00DA7625" w:rsidRDefault="00CD30E6">
      <w:pPr>
        <w:pStyle w:val="Instructionsberschrift2"/>
        <w:numPr>
          <w:ilvl w:val="0"/>
          <w:numId w:val="0"/>
        </w:numPr>
        <w:ind w:left="357" w:hanging="357"/>
        <w:rPr>
          <w:rFonts w:ascii="Times New Roman" w:hAnsi="Times New Roman" w:cs="Times New Roman"/>
          <w:sz w:val="24"/>
        </w:rPr>
      </w:pPr>
      <w:bookmarkStart w:id="43" w:name="_Toc31018789"/>
      <w:r>
        <w:rPr>
          <w:rFonts w:ascii="Times New Roman" w:hAnsi="Times New Roman"/>
          <w:sz w:val="24"/>
          <w:u w:val="none"/>
        </w:rPr>
        <w:t>3.</w:t>
      </w:r>
      <w:r w:rsidR="00125707" w:rsidRPr="00DA7625">
        <w:rPr>
          <w:rFonts w:ascii="Times New Roman" w:hAnsi="Times New Roman"/>
          <w:sz w:val="24"/>
          <w:u w:val="none"/>
        </w:rPr>
        <w:t>3.</w:t>
      </w:r>
      <w:r w:rsidR="00125707" w:rsidRPr="00DA7625">
        <w:rPr>
          <w:rFonts w:ascii="Times New Roman" w:hAnsi="Times New Roman"/>
          <w:sz w:val="24"/>
          <w:u w:val="none"/>
        </w:rPr>
        <w:tab/>
      </w:r>
      <w:r w:rsidR="00125707" w:rsidRPr="00DA7625">
        <w:rPr>
          <w:rFonts w:ascii="Times New Roman" w:hAnsi="Times New Roman"/>
          <w:sz w:val="24"/>
        </w:rPr>
        <w:t>Hitelkockázat, partnerkockázat és nyitva szállítások: az IRB-módszer szerinti szavatolótőke-követelmény (CR IRB)</w:t>
      </w:r>
      <w:bookmarkEnd w:id="43"/>
    </w:p>
    <w:p w14:paraId="6D3CC5E2"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44" w:name="_Toc31018790"/>
      <w:r w:rsidRPr="00DA7625">
        <w:rPr>
          <w:rFonts w:ascii="Times New Roman" w:hAnsi="Times New Roman"/>
          <w:sz w:val="24"/>
          <w:u w:val="none"/>
        </w:rPr>
        <w:t>3.3.1.</w:t>
      </w:r>
      <w:r w:rsidRPr="00DA7625">
        <w:rPr>
          <w:rFonts w:ascii="Times New Roman" w:hAnsi="Times New Roman"/>
          <w:sz w:val="24"/>
          <w:u w:val="none"/>
        </w:rPr>
        <w:tab/>
      </w:r>
      <w:r w:rsidRPr="00DA7625">
        <w:rPr>
          <w:rFonts w:ascii="Times New Roman" w:hAnsi="Times New Roman"/>
          <w:sz w:val="24"/>
        </w:rPr>
        <w:t>A CR IRB tábla alkalmazási köre</w:t>
      </w:r>
      <w:bookmarkEnd w:id="44"/>
    </w:p>
    <w:p w14:paraId="4F8060C4" w14:textId="77777777" w:rsidR="001B1411" w:rsidRPr="00DA7625" w:rsidRDefault="00125707">
      <w:pPr>
        <w:pStyle w:val="InstructionsText2"/>
        <w:numPr>
          <w:ilvl w:val="0"/>
          <w:numId w:val="0"/>
        </w:numPr>
        <w:ind w:left="993"/>
      </w:pPr>
      <w:r w:rsidRPr="00DA7625">
        <w:t>74.</w:t>
      </w:r>
      <w:r w:rsidRPr="00DA7625">
        <w:tab/>
        <w:t>A CR IRB tábla alkalmazási köre az alábbiakra vonatkozó szavatolótőke-követelményekre terjed ki:</w:t>
      </w:r>
    </w:p>
    <w:p w14:paraId="0B0D2E2D" w14:textId="77777777" w:rsidR="001B1411" w:rsidRPr="00DA7625" w:rsidRDefault="00125707">
      <w:pPr>
        <w:pStyle w:val="InstructionsText2"/>
        <w:numPr>
          <w:ilvl w:val="0"/>
          <w:numId w:val="0"/>
        </w:numPr>
        <w:ind w:left="993"/>
      </w:pPr>
      <w:r w:rsidRPr="00DA7625">
        <w:t>i.</w:t>
      </w:r>
      <w:r w:rsidRPr="00DA7625">
        <w:tab/>
        <w:t>banki könyvben nyilvántartott hitelkockázat, ezen belül:</w:t>
      </w:r>
    </w:p>
    <w:p w14:paraId="13B12833" w14:textId="77777777" w:rsidR="001B1411" w:rsidRPr="00DA7625"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DA7625">
        <w:rPr>
          <w:rFonts w:ascii="Wingdings" w:hAnsi="Wingdings"/>
          <w:sz w:val="24"/>
        </w:rPr>
        <w:t></w:t>
      </w:r>
      <w:r w:rsidRPr="00DA7625">
        <w:rPr>
          <w:rFonts w:ascii="Wingdings" w:hAnsi="Wingdings"/>
          <w:sz w:val="24"/>
        </w:rPr>
        <w:tab/>
      </w:r>
      <w:r w:rsidRPr="00DA7625">
        <w:rPr>
          <w:rFonts w:ascii="Times New Roman" w:hAnsi="Times New Roman"/>
          <w:sz w:val="24"/>
        </w:rPr>
        <w:t>banki könyvben nyilvántartott partnerkockázat;</w:t>
      </w:r>
    </w:p>
    <w:p w14:paraId="0E5FFAAE" w14:textId="77777777" w:rsidR="001B1411" w:rsidRPr="00DA7625"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DA7625">
        <w:rPr>
          <w:rFonts w:ascii="Wingdings" w:hAnsi="Wingdings"/>
          <w:sz w:val="24"/>
        </w:rPr>
        <w:t></w:t>
      </w:r>
      <w:r w:rsidRPr="00DA7625">
        <w:rPr>
          <w:rFonts w:ascii="Wingdings" w:hAnsi="Wingdings"/>
          <w:sz w:val="24"/>
        </w:rPr>
        <w:tab/>
      </w:r>
      <w:r w:rsidRPr="00DA7625">
        <w:rPr>
          <w:rFonts w:ascii="Times New Roman" w:hAnsi="Times New Roman"/>
          <w:sz w:val="24"/>
        </w:rPr>
        <w:t>vásárolt követelések felhígulási kockázata;</w:t>
      </w:r>
    </w:p>
    <w:p w14:paraId="1320AA00" w14:textId="77777777" w:rsidR="001B1411" w:rsidRPr="00DA7625" w:rsidRDefault="00125707">
      <w:pPr>
        <w:pStyle w:val="InstructionsText2"/>
        <w:numPr>
          <w:ilvl w:val="0"/>
          <w:numId w:val="0"/>
        </w:numPr>
        <w:ind w:left="993"/>
      </w:pPr>
      <w:r w:rsidRPr="00DA7625">
        <w:t>ii.</w:t>
      </w:r>
      <w:r w:rsidRPr="00DA7625">
        <w:tab/>
        <w:t>kereskedési könyvben nyilvántartott partnerkockázat;</w:t>
      </w:r>
    </w:p>
    <w:p w14:paraId="67266BBC" w14:textId="33C55E4A" w:rsidR="001B1411" w:rsidRPr="00DA7625" w:rsidRDefault="00125707">
      <w:pPr>
        <w:pStyle w:val="InstructionsText2"/>
        <w:numPr>
          <w:ilvl w:val="0"/>
          <w:numId w:val="0"/>
        </w:numPr>
        <w:ind w:left="993"/>
      </w:pPr>
      <w:r w:rsidRPr="00DA7625">
        <w:lastRenderedPageBreak/>
        <w:t>iii.</w:t>
      </w:r>
      <w:r w:rsidRPr="00DA7625">
        <w:tab/>
        <w:t>az összes üzleti tevékenységből származó nyitva szállítások.</w:t>
      </w:r>
    </w:p>
    <w:p w14:paraId="47FFEBCE" w14:textId="2485DC22" w:rsidR="001B1411" w:rsidRPr="00DA7625" w:rsidRDefault="00125707">
      <w:pPr>
        <w:pStyle w:val="InstructionsText2"/>
        <w:numPr>
          <w:ilvl w:val="0"/>
          <w:numId w:val="0"/>
        </w:numPr>
        <w:ind w:left="993"/>
      </w:pPr>
      <w:r w:rsidRPr="00DA7625">
        <w:t>75.</w:t>
      </w:r>
      <w:r w:rsidRPr="00DA7625">
        <w:tab/>
        <w:t xml:space="preserve">A tábla alkalmazási köre azokra a kitettségekre terjed ki, amelyeknek kockázattal súlyozott kitettségértékét a CRR harmadik része II. címe 3. fejezetének 151–157. cikke alapján (IRB-módszerrel) számítják ki. </w:t>
      </w:r>
    </w:p>
    <w:p w14:paraId="400615E1" w14:textId="77777777" w:rsidR="001B1411" w:rsidRPr="00DA7625" w:rsidRDefault="00125707">
      <w:pPr>
        <w:pStyle w:val="InstructionsText2"/>
        <w:numPr>
          <w:ilvl w:val="0"/>
          <w:numId w:val="0"/>
        </w:numPr>
        <w:ind w:left="993"/>
      </w:pPr>
      <w:r w:rsidRPr="00DA7625">
        <w:t>76.</w:t>
      </w:r>
      <w:r w:rsidRPr="00DA7625">
        <w:tab/>
        <w:t xml:space="preserve">A CR IRB tábla alkalmazási köre nem terjed ki a következő adatokra: </w:t>
      </w:r>
    </w:p>
    <w:p w14:paraId="44821CA0" w14:textId="77777777" w:rsidR="001B1411" w:rsidRPr="00DA7625" w:rsidRDefault="00125707">
      <w:pPr>
        <w:pStyle w:val="InstructionsText2"/>
        <w:numPr>
          <w:ilvl w:val="0"/>
          <w:numId w:val="0"/>
        </w:numPr>
        <w:ind w:left="993"/>
      </w:pPr>
      <w:r w:rsidRPr="00DA7625">
        <w:t>i.</w:t>
      </w:r>
      <w:r w:rsidRPr="00DA7625">
        <w:tab/>
        <w:t xml:space="preserve">a CR EQU IRB táblán feltüntetett részvényjellegű kitettségek; </w:t>
      </w:r>
    </w:p>
    <w:p w14:paraId="4E90EF54" w14:textId="77777777" w:rsidR="001B1411" w:rsidRPr="00DA7625" w:rsidRDefault="00125707">
      <w:pPr>
        <w:pStyle w:val="InstructionsText2"/>
        <w:numPr>
          <w:ilvl w:val="0"/>
          <w:numId w:val="0"/>
        </w:numPr>
        <w:ind w:left="993"/>
      </w:pPr>
      <w:r w:rsidRPr="00DA7625">
        <w:t>ii.</w:t>
      </w:r>
      <w:r w:rsidRPr="00DA7625">
        <w:tab/>
        <w:t>a CR SEC és/vagy a CR SEC Details táblán feltüntetett értékpapírosítási pozíciók;</w:t>
      </w:r>
    </w:p>
    <w:p w14:paraId="293A551D" w14:textId="31553042" w:rsidR="001B1411" w:rsidRPr="00DA7625" w:rsidRDefault="00125707">
      <w:pPr>
        <w:pStyle w:val="InstructionsText2"/>
        <w:numPr>
          <w:ilvl w:val="0"/>
          <w:numId w:val="0"/>
        </w:numPr>
        <w:ind w:left="993"/>
      </w:pPr>
      <w:r w:rsidRPr="00DA7625">
        <w:t>iii.</w:t>
      </w:r>
      <w:r w:rsidRPr="00DA7625">
        <w:tab/>
        <w:t xml:space="preserve"> A CRR 147. cikke (2) bekezdésének g) pontjában említett egyéb, nem hitelkötelezettséget megtestesítő eszközök. E kitettségi osztály kockázati súlya minden esetben 100 %, kivéve a készpénz-állományt és az azzal egyenértékű készpénztételeket, valamint a lízingelt eszközök maradványértékét a CRR 156. cikke szerint. Az ehhez a kitettségi osztályhoz tartozó, kockázattal súlyozott kitettségértékeket közvetlenül a CA táblán kell feltüntetni;</w:t>
      </w:r>
    </w:p>
    <w:p w14:paraId="3DE00D15" w14:textId="77777777" w:rsidR="001B1411" w:rsidRPr="00DA7625" w:rsidRDefault="00125707">
      <w:pPr>
        <w:pStyle w:val="InstructionsText2"/>
        <w:numPr>
          <w:ilvl w:val="0"/>
          <w:numId w:val="0"/>
        </w:numPr>
        <w:ind w:left="993"/>
      </w:pPr>
      <w:r w:rsidRPr="00DA7625">
        <w:t>iv.</w:t>
      </w:r>
      <w:r w:rsidRPr="00DA7625">
        <w:tab/>
        <w:t>a CVA-kockázat tábláján feltüntetett hitelértékelési korrekciós kockázatra;</w:t>
      </w:r>
    </w:p>
    <w:p w14:paraId="5762A669" w14:textId="2C2934B6" w:rsidR="001B1411" w:rsidRPr="00DA7625" w:rsidRDefault="001C7AB7">
      <w:pPr>
        <w:autoSpaceDE w:val="0"/>
        <w:autoSpaceDN w:val="0"/>
        <w:adjustRightInd w:val="0"/>
        <w:spacing w:before="0" w:after="240"/>
        <w:ind w:left="1440"/>
        <w:jc w:val="left"/>
        <w:rPr>
          <w:rFonts w:ascii="Times New Roman" w:hAnsi="Times New Roman"/>
          <w:sz w:val="24"/>
        </w:rPr>
      </w:pPr>
      <w:r w:rsidRPr="00DA7625">
        <w:rPr>
          <w:rFonts w:ascii="Times New Roman" w:hAnsi="Times New Roman"/>
          <w:sz w:val="24"/>
        </w:rPr>
        <w:t xml:space="preserve">A CR IRB táblán nem szükséges az IRB kitettségeket a partner székhelye szerinti földrajzi bontásban megadni. Az így csoportosított adatok a CR GB táblán szerepelnek. </w:t>
      </w:r>
    </w:p>
    <w:p w14:paraId="7E96E46E" w14:textId="43D7F0B3" w:rsidR="001B1411" w:rsidRPr="00DA7625" w:rsidRDefault="00125707">
      <w:pPr>
        <w:pStyle w:val="InstructionsText2"/>
        <w:numPr>
          <w:ilvl w:val="0"/>
          <w:numId w:val="0"/>
        </w:numPr>
        <w:ind w:left="993"/>
      </w:pPr>
      <w:r w:rsidRPr="00DA7625">
        <w:t>77.</w:t>
      </w:r>
      <w:r w:rsidRPr="00DA7625">
        <w:tab/>
        <w:t>Annak egyértelművé tétele érdekében, hogy az intézmény az LGD vagy a hitel-egyenértékesítési tényezők értékét saját becsléssel állapítja-e meg, az adatszolgáltatásban szereplő minden kitettségi osztályra vonatkozóan meg kell adni az alábbi információkat:</w:t>
      </w:r>
    </w:p>
    <w:p w14:paraId="7DC64B70" w14:textId="77777777" w:rsidR="001B1411" w:rsidRPr="00DA7625" w:rsidRDefault="001C7AB7">
      <w:pPr>
        <w:autoSpaceDE w:val="0"/>
        <w:autoSpaceDN w:val="0"/>
        <w:adjustRightInd w:val="0"/>
        <w:spacing w:before="0" w:after="240"/>
        <w:ind w:left="993"/>
        <w:jc w:val="left"/>
        <w:rPr>
          <w:rFonts w:ascii="Times New Roman" w:hAnsi="Times New Roman"/>
          <w:sz w:val="24"/>
        </w:rPr>
      </w:pPr>
      <w:r w:rsidRPr="00DA7625">
        <w:rPr>
          <w:rFonts w:ascii="Times New Roman" w:hAnsi="Times New Roman"/>
          <w:sz w:val="24"/>
        </w:rPr>
        <w:t>NEM = az LGD és a hitel-egyenértékesítési tényezők felügyeleti becslése esetén (IRB alapmódszer);</w:t>
      </w:r>
    </w:p>
    <w:p w14:paraId="3B491514" w14:textId="77777777" w:rsidR="001B1411" w:rsidRPr="00DA7625" w:rsidRDefault="001C7AB7">
      <w:pPr>
        <w:autoSpaceDE w:val="0"/>
        <w:autoSpaceDN w:val="0"/>
        <w:adjustRightInd w:val="0"/>
        <w:spacing w:before="0" w:after="240"/>
        <w:ind w:left="993"/>
        <w:jc w:val="left"/>
        <w:rPr>
          <w:rFonts w:ascii="Times New Roman" w:hAnsi="Times New Roman"/>
          <w:sz w:val="24"/>
        </w:rPr>
      </w:pPr>
      <w:r w:rsidRPr="00DA7625">
        <w:rPr>
          <w:rFonts w:ascii="Times New Roman" w:hAnsi="Times New Roman"/>
          <w:sz w:val="24"/>
        </w:rPr>
        <w:t xml:space="preserve">IGEN = az LGD és a hitel-egyenértékesítési tényezők saját becslése esetén (fejlett IRB- módszer). </w:t>
      </w:r>
    </w:p>
    <w:p w14:paraId="7DBA70CF" w14:textId="77777777" w:rsidR="001B1411" w:rsidRPr="00DA7625" w:rsidRDefault="001C7AB7">
      <w:pPr>
        <w:autoSpaceDE w:val="0"/>
        <w:autoSpaceDN w:val="0"/>
        <w:adjustRightInd w:val="0"/>
        <w:spacing w:before="0" w:after="240"/>
        <w:ind w:left="993"/>
        <w:jc w:val="left"/>
        <w:rPr>
          <w:rFonts w:ascii="Times New Roman" w:hAnsi="Times New Roman"/>
          <w:sz w:val="24"/>
        </w:rPr>
      </w:pPr>
      <w:r w:rsidRPr="00DA7625">
        <w:rPr>
          <w:rFonts w:ascii="Times New Roman" w:hAnsi="Times New Roman"/>
          <w:sz w:val="24"/>
        </w:rPr>
        <w:t>A lakossági portfóliókra vonatkozó adatszolgáltatáshoz minden esetben az IGEN értéket kell megadni.</w:t>
      </w:r>
    </w:p>
    <w:p w14:paraId="7486BF84" w14:textId="4E39E0E9" w:rsidR="001B1411" w:rsidRPr="00DA7625" w:rsidRDefault="001C7AB7">
      <w:pPr>
        <w:autoSpaceDE w:val="0"/>
        <w:autoSpaceDN w:val="0"/>
        <w:adjustRightInd w:val="0"/>
        <w:spacing w:before="0" w:after="240"/>
        <w:ind w:left="993"/>
        <w:jc w:val="left"/>
        <w:rPr>
          <w:rFonts w:ascii="Times New Roman" w:hAnsi="Times New Roman"/>
          <w:sz w:val="24"/>
        </w:rPr>
      </w:pPr>
      <w:r w:rsidRPr="00DA7625">
        <w:rPr>
          <w:rFonts w:ascii="Times New Roman" w:hAnsi="Times New Roman"/>
          <w:sz w:val="24"/>
        </w:rPr>
        <w:t xml:space="preserve">Ha egy intézmény az IRB kitettségek egy részére vonatkozó </w:t>
      </w:r>
      <w:r w:rsidRPr="00DA7625">
        <w:rPr>
          <w:rStyle w:val="InstructionsTabelleText"/>
          <w:rFonts w:ascii="Times New Roman" w:hAnsi="Times New Roman"/>
          <w:sz w:val="24"/>
        </w:rPr>
        <w:t>kockázattal súlyozott kitettségértékeket</w:t>
      </w:r>
      <w:r w:rsidRPr="00DA7625">
        <w:rPr>
          <w:rFonts w:ascii="Times New Roman" w:hAnsi="Times New Roman"/>
          <w:sz w:val="24"/>
        </w:rPr>
        <w:t xml:space="preserve"> saját LGD-értékek alapján, az IRB kitettségek fennmaradó részére vonatkozó </w:t>
      </w:r>
      <w:r w:rsidRPr="00DA7625">
        <w:rPr>
          <w:rStyle w:val="InstructionsTabelleText"/>
          <w:rFonts w:ascii="Times New Roman" w:hAnsi="Times New Roman"/>
          <w:sz w:val="24"/>
        </w:rPr>
        <w:t>kockázattal súlyozott kitettségértékeket</w:t>
      </w:r>
      <w:r w:rsidRPr="00DA7625">
        <w:rPr>
          <w:rFonts w:ascii="Times New Roman" w:hAnsi="Times New Roman"/>
          <w:sz w:val="24"/>
        </w:rPr>
        <w:t xml:space="preserve"> pedig felügyeleti LGD-értékek alapján számítja ki, akkor egy CR IRB Összesen táblát kell jelenteni az F-IRB pozíciókra és egy külön CR IRB Összesen táblát az A-IRB pozíciókra vonatkozóan.</w:t>
      </w:r>
    </w:p>
    <w:p w14:paraId="706E10C7"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45" w:name="_Toc31018791"/>
      <w:r w:rsidRPr="00DA7625">
        <w:rPr>
          <w:rFonts w:ascii="Times New Roman" w:hAnsi="Times New Roman"/>
          <w:sz w:val="24"/>
          <w:u w:val="none"/>
        </w:rPr>
        <w:t>3.3.2.</w:t>
      </w:r>
      <w:r w:rsidRPr="00DA7625">
        <w:rPr>
          <w:rFonts w:ascii="Times New Roman" w:hAnsi="Times New Roman"/>
          <w:sz w:val="24"/>
          <w:u w:val="none"/>
        </w:rPr>
        <w:tab/>
      </w:r>
      <w:r w:rsidRPr="00DA7625">
        <w:rPr>
          <w:rFonts w:ascii="Times New Roman" w:hAnsi="Times New Roman"/>
          <w:sz w:val="24"/>
        </w:rPr>
        <w:t>A CR IRB táblacsoport felosztása</w:t>
      </w:r>
      <w:bookmarkEnd w:id="45"/>
    </w:p>
    <w:p w14:paraId="49869CCD" w14:textId="77777777" w:rsidR="001B1411" w:rsidRPr="00DA7625" w:rsidRDefault="00125707">
      <w:pPr>
        <w:pStyle w:val="InstructionsText2"/>
        <w:numPr>
          <w:ilvl w:val="0"/>
          <w:numId w:val="0"/>
        </w:numPr>
        <w:ind w:left="993"/>
      </w:pPr>
      <w:r w:rsidRPr="00DA7625">
        <w:t>78.</w:t>
      </w:r>
      <w:r w:rsidRPr="00DA7625">
        <w:tab/>
        <w:t xml:space="preserve">A CR IRB táblacsoport két táblából áll. A CR IRB 1 általános áttekintést nyújt az IRB kitettségekről és a teljes kockázati kitettségértékek különböző számítási módszereiről, továbbá kitettségtípusok szerint csoportosítja a teljes kitettségállományt. A </w:t>
      </w:r>
      <w:r w:rsidRPr="00DA7625">
        <w:lastRenderedPageBreak/>
        <w:t>CR IRB 2 a teljes kitettségállományt ügyfél-kategóriák vagy -halmazok (pool) szerinti bontásban mutatja be. Az alábbi kitettségi osztályokra és alosztályokra vonatkozóan a CR IRB 1 és CR IRB 2 táblán külön kell adatot szolgáltatni:</w:t>
      </w:r>
    </w:p>
    <w:p w14:paraId="4C3A3DB6" w14:textId="77777777" w:rsidR="001B1411" w:rsidRPr="00DA7625" w:rsidRDefault="001C7AB7">
      <w:pPr>
        <w:autoSpaceDE w:val="0"/>
        <w:autoSpaceDN w:val="0"/>
        <w:adjustRightInd w:val="0"/>
        <w:spacing w:before="0" w:after="0"/>
        <w:ind w:left="1428" w:hanging="720"/>
        <w:jc w:val="left"/>
        <w:rPr>
          <w:rFonts w:ascii="Times New Roman" w:hAnsi="Times New Roman"/>
          <w:sz w:val="24"/>
        </w:rPr>
      </w:pPr>
      <w:r w:rsidRPr="00DA7625">
        <w:rPr>
          <w:rFonts w:ascii="Times New Roman" w:hAnsi="Times New Roman"/>
          <w:sz w:val="24"/>
        </w:rPr>
        <w:t>1.</w:t>
      </w:r>
      <w:r w:rsidRPr="00DA7625">
        <w:rPr>
          <w:rFonts w:ascii="Times New Roman" w:hAnsi="Times New Roman"/>
          <w:sz w:val="24"/>
        </w:rPr>
        <w:tab/>
        <w:t>Összesen</w:t>
      </w:r>
    </w:p>
    <w:p w14:paraId="715E55C4" w14:textId="1D763B57" w:rsidR="001B1411" w:rsidRPr="00DA7625" w:rsidRDefault="001C7AB7">
      <w:pPr>
        <w:autoSpaceDE w:val="0"/>
        <w:autoSpaceDN w:val="0"/>
        <w:adjustRightInd w:val="0"/>
        <w:spacing w:before="0" w:after="0"/>
        <w:ind w:left="1428" w:hanging="720"/>
        <w:jc w:val="left"/>
        <w:rPr>
          <w:rFonts w:ascii="Times New Roman" w:hAnsi="Times New Roman"/>
          <w:sz w:val="24"/>
        </w:rPr>
      </w:pPr>
      <w:r w:rsidRPr="00DA7625">
        <w:rPr>
          <w:rFonts w:ascii="Times New Roman" w:hAnsi="Times New Roman"/>
          <w:sz w:val="24"/>
        </w:rPr>
        <w:tab/>
        <w:t>(Az Összesen táblát külön ki kell tölteni az IRB alapmódszer és a fejlett IRB-módszer szerint is)</w:t>
      </w:r>
    </w:p>
    <w:p w14:paraId="4B0D3A90" w14:textId="77777777" w:rsidR="001B1411" w:rsidRPr="00DA7625" w:rsidRDefault="001C7AB7">
      <w:pPr>
        <w:autoSpaceDE w:val="0"/>
        <w:autoSpaceDN w:val="0"/>
        <w:adjustRightInd w:val="0"/>
        <w:spacing w:before="0" w:after="0"/>
        <w:ind w:left="1428" w:hanging="720"/>
        <w:jc w:val="left"/>
        <w:rPr>
          <w:rFonts w:ascii="Times New Roman" w:hAnsi="Times New Roman"/>
          <w:sz w:val="24"/>
        </w:rPr>
      </w:pPr>
      <w:r w:rsidRPr="00DA7625">
        <w:rPr>
          <w:rFonts w:ascii="Times New Roman" w:hAnsi="Times New Roman"/>
          <w:sz w:val="24"/>
        </w:rPr>
        <w:t>2.</w:t>
      </w:r>
      <w:r w:rsidRPr="00DA7625">
        <w:rPr>
          <w:rFonts w:ascii="Times New Roman" w:hAnsi="Times New Roman"/>
          <w:sz w:val="24"/>
        </w:rPr>
        <w:tab/>
        <w:t xml:space="preserve">Központi kormányzatok és központi bankok </w:t>
      </w:r>
    </w:p>
    <w:p w14:paraId="558C719D" w14:textId="36EEE6E3" w:rsidR="001B1411" w:rsidRPr="00DA7625" w:rsidRDefault="001C7AB7">
      <w:pPr>
        <w:autoSpaceDE w:val="0"/>
        <w:autoSpaceDN w:val="0"/>
        <w:adjustRightInd w:val="0"/>
        <w:spacing w:before="0" w:after="0"/>
        <w:ind w:left="1428"/>
        <w:jc w:val="left"/>
        <w:rPr>
          <w:rFonts w:ascii="Times New Roman" w:hAnsi="Times New Roman"/>
          <w:sz w:val="24"/>
        </w:rPr>
      </w:pPr>
      <w:r w:rsidRPr="00DA7625">
        <w:rPr>
          <w:rFonts w:ascii="Times New Roman" w:hAnsi="Times New Roman"/>
          <w:sz w:val="24"/>
        </w:rPr>
        <w:t>(A CRR 147. cikke (2) bekezdésének a) pontja)</w:t>
      </w:r>
    </w:p>
    <w:p w14:paraId="07EF82EF" w14:textId="77777777" w:rsidR="001B1411" w:rsidRPr="00DA7625" w:rsidRDefault="001C7AB7">
      <w:pPr>
        <w:autoSpaceDE w:val="0"/>
        <w:autoSpaceDN w:val="0"/>
        <w:adjustRightInd w:val="0"/>
        <w:spacing w:before="0" w:after="0"/>
        <w:ind w:left="708"/>
        <w:rPr>
          <w:rFonts w:ascii="Times New Roman" w:hAnsi="Times New Roman"/>
          <w:sz w:val="24"/>
        </w:rPr>
      </w:pPr>
      <w:r w:rsidRPr="00DA7625">
        <w:rPr>
          <w:rFonts w:ascii="Times New Roman" w:hAnsi="Times New Roman"/>
          <w:sz w:val="24"/>
        </w:rPr>
        <w:t>3.</w:t>
      </w:r>
      <w:r w:rsidRPr="00DA7625">
        <w:rPr>
          <w:rFonts w:ascii="Times New Roman" w:hAnsi="Times New Roman"/>
          <w:sz w:val="24"/>
        </w:rPr>
        <w:tab/>
        <w:t>Intézmények</w:t>
      </w:r>
    </w:p>
    <w:p w14:paraId="0A7EB7B6" w14:textId="0996937B" w:rsidR="001B1411" w:rsidRPr="00DA7625" w:rsidRDefault="001C7AB7">
      <w:pPr>
        <w:autoSpaceDE w:val="0"/>
        <w:autoSpaceDN w:val="0"/>
        <w:adjustRightInd w:val="0"/>
        <w:spacing w:before="0" w:after="0"/>
        <w:ind w:left="708" w:firstLine="720"/>
        <w:rPr>
          <w:rFonts w:ascii="Times New Roman" w:hAnsi="Times New Roman"/>
          <w:sz w:val="24"/>
        </w:rPr>
      </w:pPr>
      <w:r w:rsidRPr="00DA7625">
        <w:rPr>
          <w:rFonts w:ascii="Times New Roman" w:hAnsi="Times New Roman"/>
          <w:sz w:val="24"/>
        </w:rPr>
        <w:t>(A CRR 147. cikke (2) bekezdésének b) pontja)</w:t>
      </w:r>
    </w:p>
    <w:p w14:paraId="3A5A6D07" w14:textId="77777777" w:rsidR="001B1411" w:rsidRPr="00DA7625" w:rsidRDefault="001C7AB7">
      <w:pPr>
        <w:autoSpaceDE w:val="0"/>
        <w:autoSpaceDN w:val="0"/>
        <w:adjustRightInd w:val="0"/>
        <w:spacing w:before="0" w:after="0"/>
        <w:ind w:left="1428" w:hanging="720"/>
        <w:jc w:val="left"/>
        <w:rPr>
          <w:rFonts w:ascii="Times New Roman" w:hAnsi="Times New Roman"/>
          <w:sz w:val="24"/>
        </w:rPr>
      </w:pPr>
      <w:r w:rsidRPr="00DA7625">
        <w:rPr>
          <w:rFonts w:ascii="Times New Roman" w:hAnsi="Times New Roman"/>
          <w:sz w:val="24"/>
        </w:rPr>
        <w:t>4.1.</w:t>
      </w:r>
      <w:r w:rsidRPr="00DA7625">
        <w:rPr>
          <w:rFonts w:ascii="Times New Roman" w:hAnsi="Times New Roman"/>
          <w:sz w:val="24"/>
        </w:rPr>
        <w:tab/>
        <w:t>Vállalkozások – kkv</w:t>
      </w:r>
    </w:p>
    <w:p w14:paraId="3A1569F4" w14:textId="72264776" w:rsidR="001B1411" w:rsidRPr="00DA7625" w:rsidRDefault="001C7AB7">
      <w:pPr>
        <w:autoSpaceDE w:val="0"/>
        <w:autoSpaceDN w:val="0"/>
        <w:adjustRightInd w:val="0"/>
        <w:spacing w:before="0" w:after="0"/>
        <w:ind w:left="1428"/>
        <w:jc w:val="left"/>
        <w:rPr>
          <w:rFonts w:ascii="Times New Roman" w:hAnsi="Times New Roman"/>
          <w:sz w:val="24"/>
        </w:rPr>
      </w:pPr>
      <w:r w:rsidRPr="00DA7625">
        <w:rPr>
          <w:rFonts w:ascii="Times New Roman" w:hAnsi="Times New Roman"/>
          <w:sz w:val="24"/>
        </w:rPr>
        <w:t xml:space="preserve">(A CRR 147. cikke (2) bekezdésének c) pontja) </w:t>
      </w:r>
    </w:p>
    <w:p w14:paraId="628E8942" w14:textId="77777777" w:rsidR="001B1411" w:rsidRPr="00DA7625" w:rsidRDefault="001C7AB7">
      <w:pPr>
        <w:autoSpaceDE w:val="0"/>
        <w:autoSpaceDN w:val="0"/>
        <w:adjustRightInd w:val="0"/>
        <w:spacing w:before="0" w:after="0"/>
        <w:ind w:left="708"/>
        <w:jc w:val="left"/>
        <w:rPr>
          <w:rFonts w:ascii="Times New Roman" w:hAnsi="Times New Roman"/>
          <w:sz w:val="24"/>
        </w:rPr>
      </w:pPr>
      <w:r w:rsidRPr="00DA7625">
        <w:rPr>
          <w:rFonts w:ascii="Times New Roman" w:hAnsi="Times New Roman"/>
          <w:sz w:val="24"/>
        </w:rPr>
        <w:t>4.2.</w:t>
      </w:r>
      <w:r w:rsidRPr="00DA7625">
        <w:rPr>
          <w:rFonts w:ascii="Times New Roman" w:hAnsi="Times New Roman"/>
          <w:sz w:val="24"/>
        </w:rPr>
        <w:tab/>
        <w:t>Vállalkozások – speciális hitelezés</w:t>
      </w:r>
    </w:p>
    <w:p w14:paraId="11349E18" w14:textId="41907546" w:rsidR="001B1411" w:rsidRPr="00DA7625" w:rsidRDefault="001C7AB7">
      <w:pPr>
        <w:autoSpaceDE w:val="0"/>
        <w:autoSpaceDN w:val="0"/>
        <w:adjustRightInd w:val="0"/>
        <w:spacing w:before="0" w:after="0"/>
        <w:ind w:left="1428"/>
        <w:jc w:val="left"/>
        <w:rPr>
          <w:rFonts w:ascii="Times New Roman" w:hAnsi="Times New Roman"/>
          <w:sz w:val="24"/>
        </w:rPr>
      </w:pPr>
      <w:r w:rsidRPr="00DA7625">
        <w:rPr>
          <w:rFonts w:ascii="Times New Roman" w:hAnsi="Times New Roman"/>
          <w:sz w:val="24"/>
        </w:rPr>
        <w:t>(A CRR 147. cikkének (8) bekezdése)</w:t>
      </w:r>
    </w:p>
    <w:p w14:paraId="2AA1AE86" w14:textId="77777777" w:rsidR="001B1411" w:rsidRPr="00DA7625" w:rsidRDefault="001C7AB7">
      <w:pPr>
        <w:autoSpaceDE w:val="0"/>
        <w:autoSpaceDN w:val="0"/>
        <w:adjustRightInd w:val="0"/>
        <w:spacing w:before="0" w:after="0"/>
        <w:ind w:left="708"/>
        <w:jc w:val="left"/>
        <w:rPr>
          <w:rFonts w:ascii="Times New Roman" w:hAnsi="Times New Roman"/>
          <w:sz w:val="24"/>
        </w:rPr>
      </w:pPr>
      <w:r w:rsidRPr="00DA7625">
        <w:rPr>
          <w:rFonts w:ascii="Times New Roman" w:hAnsi="Times New Roman"/>
          <w:sz w:val="24"/>
        </w:rPr>
        <w:t>4.3.</w:t>
      </w:r>
      <w:r w:rsidRPr="00DA7625">
        <w:rPr>
          <w:rFonts w:ascii="Times New Roman" w:hAnsi="Times New Roman"/>
          <w:sz w:val="24"/>
        </w:rPr>
        <w:tab/>
        <w:t xml:space="preserve">Vállalkozások – egyéb </w:t>
      </w:r>
    </w:p>
    <w:p w14:paraId="17B1202D" w14:textId="2FC75A02" w:rsidR="001B1411" w:rsidRPr="00DA7625" w:rsidRDefault="001C7AB7">
      <w:pPr>
        <w:autoSpaceDE w:val="0"/>
        <w:autoSpaceDN w:val="0"/>
        <w:adjustRightInd w:val="0"/>
        <w:spacing w:before="0" w:after="0"/>
        <w:ind w:left="1428"/>
        <w:jc w:val="left"/>
        <w:rPr>
          <w:rFonts w:ascii="Times New Roman" w:hAnsi="Times New Roman"/>
          <w:sz w:val="24"/>
        </w:rPr>
      </w:pPr>
      <w:r w:rsidRPr="00DA7625">
        <w:rPr>
          <w:rFonts w:ascii="Times New Roman" w:hAnsi="Times New Roman"/>
          <w:sz w:val="24"/>
        </w:rPr>
        <w:t>(A CRR 147. cikke (2) bekezdésének c) pontjában említett, a 4.1. és 4.2. pontban nem szereplő vállalkozásokkal szembeni kitettségek)</w:t>
      </w:r>
    </w:p>
    <w:p w14:paraId="012C1B7E" w14:textId="77777777" w:rsidR="001B1411" w:rsidRPr="00DA7625" w:rsidRDefault="001C7AB7">
      <w:pPr>
        <w:autoSpaceDE w:val="0"/>
        <w:autoSpaceDN w:val="0"/>
        <w:adjustRightInd w:val="0"/>
        <w:spacing w:before="0" w:after="0"/>
        <w:ind w:left="708"/>
        <w:jc w:val="left"/>
        <w:rPr>
          <w:rFonts w:ascii="Times New Roman" w:hAnsi="Times New Roman"/>
          <w:sz w:val="24"/>
        </w:rPr>
      </w:pPr>
      <w:r w:rsidRPr="00DA7625">
        <w:rPr>
          <w:rFonts w:ascii="Times New Roman" w:hAnsi="Times New Roman"/>
          <w:sz w:val="24"/>
        </w:rPr>
        <w:t>5.1.</w:t>
      </w:r>
      <w:r w:rsidRPr="00DA7625">
        <w:rPr>
          <w:rFonts w:ascii="Times New Roman" w:hAnsi="Times New Roman"/>
          <w:sz w:val="24"/>
        </w:rPr>
        <w:tab/>
        <w:t>Lakosság – ingatlannal fedezett (kkv)</w:t>
      </w:r>
    </w:p>
    <w:p w14:paraId="14276CA5" w14:textId="3B541F5F" w:rsidR="001B1411" w:rsidRPr="00DA7625" w:rsidRDefault="001C7AB7">
      <w:pPr>
        <w:autoSpaceDE w:val="0"/>
        <w:autoSpaceDN w:val="0"/>
        <w:adjustRightInd w:val="0"/>
        <w:spacing w:before="0" w:after="0"/>
        <w:ind w:left="1428"/>
        <w:jc w:val="left"/>
        <w:rPr>
          <w:rFonts w:ascii="Times New Roman" w:hAnsi="Times New Roman"/>
          <w:sz w:val="24"/>
        </w:rPr>
      </w:pPr>
      <w:r w:rsidRPr="00DA7625">
        <w:rPr>
          <w:rFonts w:ascii="Times New Roman" w:hAnsi="Times New Roman"/>
          <w:sz w:val="24"/>
        </w:rPr>
        <w:t>(Lakossággal szembeni, ingatlannal fedezett kitettségek a CRR 147. cikke (2) bekezdésének d) pontjában említetteknek megfelelően, összefüggésben a CRR 154. cikkének (3) bekezdésével)</w:t>
      </w:r>
    </w:p>
    <w:p w14:paraId="477FAE70" w14:textId="77777777" w:rsidR="001B1411" w:rsidRPr="00DA7625" w:rsidRDefault="001C7AB7">
      <w:pPr>
        <w:autoSpaceDE w:val="0"/>
        <w:autoSpaceDN w:val="0"/>
        <w:adjustRightInd w:val="0"/>
        <w:spacing w:before="0" w:after="0"/>
        <w:ind w:left="708"/>
        <w:jc w:val="left"/>
        <w:rPr>
          <w:rFonts w:ascii="Times New Roman" w:hAnsi="Times New Roman"/>
          <w:sz w:val="24"/>
        </w:rPr>
      </w:pPr>
      <w:r w:rsidRPr="00DA7625">
        <w:rPr>
          <w:rFonts w:ascii="Times New Roman" w:hAnsi="Times New Roman"/>
          <w:sz w:val="24"/>
        </w:rPr>
        <w:t>5.2.</w:t>
      </w:r>
      <w:r w:rsidRPr="00DA7625">
        <w:rPr>
          <w:rFonts w:ascii="Times New Roman" w:hAnsi="Times New Roman"/>
          <w:sz w:val="24"/>
        </w:rPr>
        <w:tab/>
        <w:t>Lakosság – ingatlannal fedezett (nem kkv)</w:t>
      </w:r>
    </w:p>
    <w:p w14:paraId="0853E262" w14:textId="2F01E70E" w:rsidR="001B1411" w:rsidRPr="00DA7625" w:rsidRDefault="001C7AB7">
      <w:pPr>
        <w:autoSpaceDE w:val="0"/>
        <w:autoSpaceDN w:val="0"/>
        <w:adjustRightInd w:val="0"/>
        <w:spacing w:before="0" w:after="0"/>
        <w:ind w:left="1428"/>
        <w:jc w:val="left"/>
        <w:rPr>
          <w:rFonts w:ascii="Times New Roman" w:hAnsi="Times New Roman"/>
          <w:sz w:val="24"/>
        </w:rPr>
      </w:pPr>
      <w:r w:rsidRPr="00DA7625">
        <w:rPr>
          <w:rFonts w:ascii="Times New Roman" w:hAnsi="Times New Roman"/>
          <w:sz w:val="24"/>
        </w:rPr>
        <w:t>(Lakossággal szembeni, ingatlannal fedezett kitettségek a CRR 147. cikke (2) bekezdésének d) pontjában említetteknek megfelelően, amelyek nem szerepelnek az 5.1. pontban)</w:t>
      </w:r>
    </w:p>
    <w:p w14:paraId="152083C0" w14:textId="77777777" w:rsidR="001B1411" w:rsidRPr="00DA7625" w:rsidRDefault="001C7AB7">
      <w:pPr>
        <w:autoSpaceDE w:val="0"/>
        <w:autoSpaceDN w:val="0"/>
        <w:adjustRightInd w:val="0"/>
        <w:spacing w:before="0" w:after="0"/>
        <w:ind w:left="708"/>
        <w:jc w:val="left"/>
        <w:rPr>
          <w:rFonts w:ascii="Times New Roman" w:hAnsi="Times New Roman"/>
          <w:sz w:val="24"/>
        </w:rPr>
      </w:pPr>
      <w:r w:rsidRPr="00DA7625">
        <w:rPr>
          <w:rFonts w:ascii="Times New Roman" w:hAnsi="Times New Roman"/>
          <w:sz w:val="24"/>
        </w:rPr>
        <w:t>5.3.</w:t>
      </w:r>
      <w:r w:rsidRPr="00DA7625">
        <w:rPr>
          <w:rFonts w:ascii="Times New Roman" w:hAnsi="Times New Roman"/>
          <w:sz w:val="24"/>
        </w:rPr>
        <w:tab/>
        <w:t>Lakosság – a rulírozó állományba beszámítható</w:t>
      </w:r>
    </w:p>
    <w:p w14:paraId="1B6B0E6E" w14:textId="2E42B74C" w:rsidR="001B1411" w:rsidRPr="00DA7625" w:rsidRDefault="001C7AB7">
      <w:pPr>
        <w:autoSpaceDE w:val="0"/>
        <w:autoSpaceDN w:val="0"/>
        <w:adjustRightInd w:val="0"/>
        <w:spacing w:before="0" w:after="0"/>
        <w:ind w:left="1428"/>
        <w:jc w:val="left"/>
        <w:rPr>
          <w:rFonts w:ascii="Times New Roman" w:hAnsi="Times New Roman"/>
          <w:sz w:val="24"/>
        </w:rPr>
      </w:pPr>
      <w:r w:rsidRPr="00DA7625">
        <w:rPr>
          <w:rFonts w:ascii="Times New Roman" w:hAnsi="Times New Roman"/>
          <w:sz w:val="24"/>
        </w:rPr>
        <w:t xml:space="preserve">(Lakossággal szembeni kitettségek a CRR 147. cikke (2) bekezdésének d) pontjában említetteknek megfelelően, összefüggésben a CRR 154. cikkének (4) bekezdésével) </w:t>
      </w:r>
    </w:p>
    <w:p w14:paraId="751555D8" w14:textId="77777777" w:rsidR="001B1411" w:rsidRPr="00DA7625" w:rsidRDefault="001C7AB7">
      <w:pPr>
        <w:autoSpaceDE w:val="0"/>
        <w:autoSpaceDN w:val="0"/>
        <w:adjustRightInd w:val="0"/>
        <w:spacing w:before="0" w:after="0"/>
        <w:ind w:left="708"/>
        <w:jc w:val="left"/>
        <w:rPr>
          <w:rFonts w:ascii="Times New Roman" w:hAnsi="Times New Roman"/>
          <w:sz w:val="24"/>
        </w:rPr>
      </w:pPr>
      <w:r w:rsidRPr="00DA7625">
        <w:rPr>
          <w:rFonts w:ascii="Times New Roman" w:hAnsi="Times New Roman"/>
          <w:sz w:val="24"/>
        </w:rPr>
        <w:t>5.4.</w:t>
      </w:r>
      <w:r w:rsidRPr="00DA7625">
        <w:rPr>
          <w:rFonts w:ascii="Times New Roman" w:hAnsi="Times New Roman"/>
          <w:sz w:val="24"/>
        </w:rPr>
        <w:tab/>
        <w:t>Lakosság – egyéb kkv</w:t>
      </w:r>
    </w:p>
    <w:p w14:paraId="4E8B2F09" w14:textId="33427A08" w:rsidR="001B1411" w:rsidRPr="00DA7625" w:rsidRDefault="001C7AB7">
      <w:pPr>
        <w:autoSpaceDE w:val="0"/>
        <w:autoSpaceDN w:val="0"/>
        <w:adjustRightInd w:val="0"/>
        <w:spacing w:before="0" w:after="0"/>
        <w:ind w:left="1428"/>
        <w:jc w:val="left"/>
        <w:rPr>
          <w:rFonts w:ascii="Times New Roman" w:hAnsi="Times New Roman"/>
          <w:sz w:val="24"/>
        </w:rPr>
      </w:pPr>
      <w:r w:rsidRPr="00DA7625">
        <w:rPr>
          <w:rFonts w:ascii="Times New Roman" w:hAnsi="Times New Roman"/>
          <w:sz w:val="24"/>
        </w:rPr>
        <w:t>(Lakossággal szembeni kitettségek a CRR 147. cikke (2) bekezdésének d) pontjában említetteknek megfelelően, amelyek nem szerepelnek az 5.1. és az 5.3. pontban)</w:t>
      </w:r>
    </w:p>
    <w:p w14:paraId="4C9857F1" w14:textId="77777777" w:rsidR="001B1411" w:rsidRPr="00DA7625" w:rsidRDefault="00125707">
      <w:pPr>
        <w:pStyle w:val="ListParagraph1"/>
        <w:autoSpaceDE w:val="0"/>
        <w:autoSpaceDN w:val="0"/>
        <w:adjustRightInd w:val="0"/>
        <w:spacing w:before="0" w:after="0"/>
        <w:ind w:left="1428" w:hanging="720"/>
        <w:jc w:val="left"/>
        <w:rPr>
          <w:rFonts w:ascii="Times New Roman" w:hAnsi="Times New Roman"/>
          <w:sz w:val="24"/>
        </w:rPr>
      </w:pPr>
      <w:r w:rsidRPr="00DA7625">
        <w:rPr>
          <w:rFonts w:ascii="Times New Roman" w:hAnsi="Times New Roman"/>
          <w:sz w:val="24"/>
        </w:rPr>
        <w:t>5.5.</w:t>
      </w:r>
      <w:r w:rsidRPr="00DA7625">
        <w:rPr>
          <w:rFonts w:ascii="Times New Roman" w:hAnsi="Times New Roman"/>
          <w:sz w:val="24"/>
        </w:rPr>
        <w:tab/>
        <w:t>Lakosság – egyéb nem kkv</w:t>
      </w:r>
    </w:p>
    <w:p w14:paraId="0B729311" w14:textId="2066B4DE" w:rsidR="001B1411" w:rsidRPr="00DA7625" w:rsidRDefault="001C7AB7">
      <w:pPr>
        <w:autoSpaceDE w:val="0"/>
        <w:autoSpaceDN w:val="0"/>
        <w:adjustRightInd w:val="0"/>
        <w:spacing w:before="0" w:after="0"/>
        <w:ind w:left="1428"/>
        <w:jc w:val="left"/>
        <w:rPr>
          <w:rFonts w:ascii="Times New Roman" w:hAnsi="Times New Roman"/>
          <w:sz w:val="24"/>
        </w:rPr>
      </w:pPr>
      <w:r w:rsidRPr="00DA7625">
        <w:rPr>
          <w:rFonts w:ascii="Times New Roman" w:hAnsi="Times New Roman"/>
          <w:sz w:val="24"/>
        </w:rPr>
        <w:t>(Lakossággal szembeni kitettségek a CRR 147. cikke (2) bekezdésének d) pontjában említetteknek megfelelően, amelyek nem szerepelnek az 5.2. és az 5.3. pontban)</w:t>
      </w:r>
    </w:p>
    <w:p w14:paraId="4580B6D6" w14:textId="77777777" w:rsidR="001B1411" w:rsidRPr="00DA7625" w:rsidRDefault="001B1411">
      <w:pPr>
        <w:autoSpaceDE w:val="0"/>
        <w:autoSpaceDN w:val="0"/>
        <w:adjustRightInd w:val="0"/>
        <w:spacing w:before="0" w:after="240"/>
        <w:jc w:val="left"/>
        <w:rPr>
          <w:rFonts w:ascii="Times New Roman" w:hAnsi="Times New Roman"/>
          <w:sz w:val="24"/>
        </w:rPr>
      </w:pPr>
    </w:p>
    <w:p w14:paraId="75F30A67" w14:textId="1F35783A" w:rsidR="001B1411" w:rsidRPr="00DA7625" w:rsidRDefault="00125707">
      <w:pPr>
        <w:pStyle w:val="Instructionsberschrift2"/>
        <w:numPr>
          <w:ilvl w:val="0"/>
          <w:numId w:val="0"/>
        </w:numPr>
        <w:ind w:left="357" w:hanging="357"/>
        <w:rPr>
          <w:rFonts w:ascii="Times New Roman" w:hAnsi="Times New Roman" w:cs="Times New Roman"/>
          <w:sz w:val="24"/>
        </w:rPr>
      </w:pPr>
      <w:bookmarkStart w:id="46" w:name="_Toc31018792"/>
      <w:r w:rsidRPr="00DA7625">
        <w:rPr>
          <w:rFonts w:ascii="Times New Roman" w:hAnsi="Times New Roman"/>
          <w:sz w:val="24"/>
          <w:u w:val="none"/>
        </w:rPr>
        <w:t>3.3.3.</w:t>
      </w:r>
      <w:r w:rsidRPr="00DA7625">
        <w:rPr>
          <w:rFonts w:ascii="Times New Roman" w:hAnsi="Times New Roman"/>
          <w:sz w:val="24"/>
          <w:u w:val="none"/>
        </w:rPr>
        <w:tab/>
      </w:r>
      <w:r w:rsidRPr="00DA7625">
        <w:rPr>
          <w:rFonts w:ascii="Times New Roman" w:hAnsi="Times New Roman"/>
          <w:sz w:val="24"/>
        </w:rPr>
        <w:t>C 08.01 – Hitelkockázat, partnerkockázat és nyitva szállítások: az IRB-módszer szerinti tőkekövetelmény (CR IRB 1)</w:t>
      </w:r>
      <w:bookmarkEnd w:id="46"/>
    </w:p>
    <w:p w14:paraId="07E30962" w14:textId="77777777" w:rsidR="001B1411" w:rsidRPr="00DA7625" w:rsidRDefault="00125707">
      <w:pPr>
        <w:pStyle w:val="Instructionsberschrift2"/>
        <w:numPr>
          <w:ilvl w:val="0"/>
          <w:numId w:val="0"/>
        </w:numPr>
        <w:ind w:left="709" w:hanging="720"/>
        <w:rPr>
          <w:rFonts w:ascii="Times New Roman" w:hAnsi="Times New Roman" w:cs="Times New Roman"/>
          <w:sz w:val="24"/>
        </w:rPr>
      </w:pPr>
      <w:bookmarkStart w:id="47" w:name="_Toc31018793"/>
      <w:r w:rsidRPr="00DA7625">
        <w:rPr>
          <w:rFonts w:ascii="Times New Roman" w:hAnsi="Times New Roman"/>
          <w:sz w:val="24"/>
          <w:u w:val="none"/>
        </w:rPr>
        <w:t>3.3.3.1</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4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B1411" w:rsidRPr="00DA7625" w14:paraId="60E9BF4A" w14:textId="77777777" w:rsidTr="00672D2A">
        <w:tc>
          <w:tcPr>
            <w:tcW w:w="1188" w:type="dxa"/>
            <w:shd w:val="clear" w:color="auto" w:fill="CCCCCC"/>
          </w:tcPr>
          <w:p w14:paraId="2BEBA0BC" w14:textId="77777777" w:rsidR="001B1411" w:rsidRPr="00DA7625" w:rsidRDefault="001C7AB7">
            <w:pPr>
              <w:rPr>
                <w:rFonts w:ascii="Times New Roman" w:hAnsi="Times New Roman"/>
                <w:sz w:val="24"/>
              </w:rPr>
            </w:pPr>
            <w:r w:rsidRPr="00DA7625">
              <w:rPr>
                <w:rFonts w:ascii="Times New Roman" w:hAnsi="Times New Roman"/>
                <w:sz w:val="24"/>
              </w:rPr>
              <w:t>Oszlop</w:t>
            </w:r>
          </w:p>
        </w:tc>
        <w:tc>
          <w:tcPr>
            <w:tcW w:w="8843" w:type="dxa"/>
            <w:shd w:val="clear" w:color="auto" w:fill="CCCCCC"/>
          </w:tcPr>
          <w:p w14:paraId="0982259D" w14:textId="77777777" w:rsidR="001B1411" w:rsidRPr="00DA7625" w:rsidRDefault="001C7AB7">
            <w:pPr>
              <w:rPr>
                <w:rFonts w:ascii="Times New Roman" w:hAnsi="Times New Roman"/>
                <w:sz w:val="24"/>
              </w:rPr>
            </w:pPr>
            <w:r w:rsidRPr="00DA7625">
              <w:rPr>
                <w:rFonts w:ascii="Times New Roman" w:hAnsi="Times New Roman"/>
                <w:sz w:val="24"/>
              </w:rPr>
              <w:t>Útmutató</w:t>
            </w:r>
          </w:p>
        </w:tc>
      </w:tr>
      <w:tr w:rsidR="001B1411" w:rsidRPr="00DA7625" w14:paraId="6BE64C9B" w14:textId="77777777" w:rsidTr="00672D2A">
        <w:tc>
          <w:tcPr>
            <w:tcW w:w="1188" w:type="dxa"/>
          </w:tcPr>
          <w:p w14:paraId="025C7020" w14:textId="77777777" w:rsidR="001B1411" w:rsidRPr="00DA7625" w:rsidRDefault="001C7AB7">
            <w:pPr>
              <w:rPr>
                <w:rFonts w:ascii="Times New Roman" w:hAnsi="Times New Roman"/>
                <w:sz w:val="24"/>
              </w:rPr>
            </w:pPr>
            <w:r w:rsidRPr="00DA7625">
              <w:rPr>
                <w:rFonts w:ascii="Times New Roman" w:hAnsi="Times New Roman"/>
                <w:sz w:val="24"/>
              </w:rPr>
              <w:t>010</w:t>
            </w:r>
          </w:p>
        </w:tc>
        <w:tc>
          <w:tcPr>
            <w:tcW w:w="8843" w:type="dxa"/>
          </w:tcPr>
          <w:p w14:paraId="2F4620DE" w14:textId="77777777" w:rsidR="001B1411" w:rsidRPr="00DA7625" w:rsidRDefault="001C7AB7">
            <w:pPr>
              <w:rPr>
                <w:rStyle w:val="InstructionsTabelleberschrift"/>
                <w:rFonts w:ascii="Times New Roman" w:hAnsi="Times New Roman"/>
                <w:sz w:val="24"/>
              </w:rPr>
            </w:pPr>
            <w:r w:rsidRPr="00DA7625">
              <w:rPr>
                <w:rStyle w:val="InstructionsTabelleberschrift"/>
                <w:rFonts w:ascii="Times New Roman" w:hAnsi="Times New Roman"/>
                <w:sz w:val="24"/>
              </w:rPr>
              <w:t>BELSŐ MINŐSÍTÉSI RENDSZER/AZ ÜGYFÉL-KATEGÓRIÁHOZ VAGY -HALMAZHOZ (POOLHOZ) RENDELT NEMTELJESÍTÉSI VALÓSZÍNŰSÉG (%)</w:t>
            </w:r>
          </w:p>
          <w:p w14:paraId="3067A2B1" w14:textId="0B3366AD" w:rsidR="001B1411" w:rsidRPr="00DA7625" w:rsidRDefault="001C7AB7">
            <w:pPr>
              <w:rPr>
                <w:rFonts w:ascii="Times New Roman" w:hAnsi="Times New Roman"/>
                <w:sz w:val="24"/>
              </w:rPr>
            </w:pPr>
            <w:r w:rsidRPr="00DA7625">
              <w:rPr>
                <w:rStyle w:val="InstructionsTabelleText"/>
                <w:rFonts w:ascii="Times New Roman" w:hAnsi="Times New Roman"/>
                <w:sz w:val="24"/>
              </w:rPr>
              <w:lastRenderedPageBreak/>
              <w:t>Az ügyfél-kategóriához vagy -halmazhoz rendelt, feltüntetendő PD-értéket a CRR 180. cikkében foglalt rendelkezések alapján kell megállapítani. Az egyes ügyfél-kategóriákhoz vagy -halmazokhoz rendelt PD-értéket kell feltüntetni. Az ügyfélkategóriák vagy -halmazok összesítő adataira (pl. a teljes kitettségre) vonatkozóan az összesítésbe beszámított ügyfél-kategóriákhoz vagy -halmazokhoz rendelt PD-értékek kitettséggel súlyozott átlagát kell feltüntetni. A kitettségérték (110-es oszlop) alapján kell kiszámítani a kitettséggel súlyozott átlagos PD értéket.</w:t>
            </w:r>
          </w:p>
          <w:p w14:paraId="12D93A11" w14:textId="77777777" w:rsidR="001B1411" w:rsidRPr="00DA7625" w:rsidRDefault="001C7AB7">
            <w:pPr>
              <w:rPr>
                <w:rStyle w:val="InstructionsTabelleText"/>
                <w:rFonts w:ascii="Times New Roman" w:hAnsi="Times New Roman"/>
                <w:sz w:val="24"/>
              </w:rPr>
            </w:pPr>
            <w:r w:rsidRPr="00DA7625">
              <w:rPr>
                <w:rStyle w:val="InstructionsTabelleText"/>
                <w:rFonts w:ascii="Times New Roman" w:hAnsi="Times New Roman"/>
                <w:sz w:val="24"/>
              </w:rPr>
              <w:t>Az egyes ügyfél-kategóriákhoz vagy -halmazokhoz rendelt PD-értéket kell feltüntetni. A feltüntetett kockázati paramétereket az adott illetékes hatóság által jóváhagyott belső minősítési rendszerben alkalmazott kockázati paraméterekből kell származtatni.</w:t>
            </w:r>
          </w:p>
          <w:p w14:paraId="329568E1" w14:textId="036AA890" w:rsidR="001B1411" w:rsidRPr="00DA7625" w:rsidRDefault="001C7AB7">
            <w:pPr>
              <w:rPr>
                <w:rStyle w:val="InstructionsTabelleText"/>
                <w:rFonts w:ascii="Times New Roman" w:hAnsi="Times New Roman"/>
                <w:sz w:val="24"/>
              </w:rPr>
            </w:pPr>
            <w:r w:rsidRPr="00DA7625">
              <w:rPr>
                <w:rStyle w:val="InstructionsTabelleText"/>
                <w:rFonts w:ascii="Times New Roman" w:hAnsi="Times New Roman"/>
                <w:sz w:val="24"/>
              </w:rPr>
              <w:t xml:space="preserve">Irányadó felügyeleti skála alkalmazása nem előírás, és nem is szükséges. Ha az adatot szolgáltató intézmény egyedi minősítési rendszert alkalmaz, vagy az adatszolgáltatást irányadó belső skála alapján tudja teljesíteni, akkor azt a skálát kell alkalmazni. </w:t>
            </w:r>
          </w:p>
          <w:p w14:paraId="28E55D40" w14:textId="2DD15389" w:rsidR="001B1411" w:rsidRPr="00DA7625" w:rsidRDefault="001C7AB7">
            <w:pPr>
              <w:rPr>
                <w:rStyle w:val="InstructionsTabelleText"/>
                <w:rFonts w:ascii="Times New Roman" w:hAnsi="Times New Roman"/>
                <w:sz w:val="24"/>
              </w:rPr>
            </w:pPr>
            <w:r w:rsidRPr="00DA7625">
              <w:rPr>
                <w:rStyle w:val="InstructionsTabelleText"/>
                <w:rFonts w:ascii="Times New Roman" w:hAnsi="Times New Roman"/>
                <w:sz w:val="24"/>
              </w:rPr>
              <w:t>Egyébként a különböző minősítési rendszereket a következő kritériumok alapján kell összevonni és rangsorolni: a különböző minősítési rendszerek ügyfél-kategóriáit össze kell vonni, majd az egyes ügyfél-kategóriákhoz rendelt PD-érték alapján növekvő sorrendbe kell állítani. Ha az intézmény nagyszámú ügyfél-kategóriát vagy -halmazt alkalmaz, akkor adatszolgáltatási célból a kategóriák vagy -halmazok csökkentett számáról állapodhat meg az illetékes hatóságokkal.</w:t>
            </w:r>
          </w:p>
          <w:p w14:paraId="02372E1B" w14:textId="527E8396" w:rsidR="001B1411" w:rsidRPr="00DA7625" w:rsidRDefault="001C7AB7">
            <w:pPr>
              <w:rPr>
                <w:rStyle w:val="InstructionsTabelleText"/>
                <w:rFonts w:ascii="Times New Roman" w:hAnsi="Times New Roman"/>
                <w:sz w:val="24"/>
              </w:rPr>
            </w:pPr>
            <w:r w:rsidRPr="00DA7625">
              <w:rPr>
                <w:rStyle w:val="InstructionsTabelleText"/>
                <w:rFonts w:ascii="Times New Roman" w:hAnsi="Times New Roman"/>
                <w:sz w:val="24"/>
              </w:rPr>
              <w:t>Az intézményeknek előzetesen meg kell keresniük az illetékes hatóságot akkor, ha a belső kategóriák számától eltérő számú kategóriában kívánnak adatot szolgáltatni.</w:t>
            </w:r>
          </w:p>
          <w:p w14:paraId="19F06AB9" w14:textId="2C177AB2" w:rsidR="001B1411" w:rsidRPr="00DA7625" w:rsidRDefault="001C7AB7">
            <w:pPr>
              <w:rPr>
                <w:rStyle w:val="InstructionsTabelleText"/>
                <w:rFonts w:ascii="Times New Roman" w:hAnsi="Times New Roman"/>
                <w:sz w:val="24"/>
              </w:rPr>
            </w:pPr>
            <w:r w:rsidRPr="00DA7625">
              <w:rPr>
                <w:rStyle w:val="InstructionsTabelleText"/>
                <w:rFonts w:ascii="Times New Roman" w:hAnsi="Times New Roman"/>
                <w:sz w:val="24"/>
              </w:rPr>
              <w:t>Az átlagos PD-értéket a 110-es oszlopban feltüntetett kitettségértékkel kell súlyozni. A kitettséggel súlyozott átlagos PD (pl. teljes kitettség) kiszámításakor valamennyi kitettséget figyelembe kell venni, ideértve a nemteljesítő kitettségeket is. A nemteljesítő kitettségek az utolsó minősítési kategóriá(k)ba sorolt, 100 %-os PD-értékű kitettségek.</w:t>
            </w:r>
          </w:p>
          <w:p w14:paraId="373AF56E" w14:textId="77777777" w:rsidR="001B1411" w:rsidRPr="00DA7625" w:rsidRDefault="001B1411">
            <w:pPr>
              <w:rPr>
                <w:rFonts w:ascii="Times New Roman" w:hAnsi="Times New Roman"/>
                <w:sz w:val="24"/>
              </w:rPr>
            </w:pPr>
          </w:p>
        </w:tc>
      </w:tr>
      <w:tr w:rsidR="001B1411" w:rsidRPr="00DA7625" w14:paraId="3B380EDD" w14:textId="77777777" w:rsidTr="00672D2A">
        <w:tc>
          <w:tcPr>
            <w:tcW w:w="1188" w:type="dxa"/>
          </w:tcPr>
          <w:p w14:paraId="7D15D9BB" w14:textId="77777777" w:rsidR="001B1411" w:rsidRPr="00DA7625" w:rsidRDefault="001C7AB7">
            <w:pPr>
              <w:rPr>
                <w:rFonts w:ascii="Times New Roman" w:hAnsi="Times New Roman"/>
                <w:sz w:val="24"/>
              </w:rPr>
            </w:pPr>
            <w:r w:rsidRPr="00DA7625">
              <w:rPr>
                <w:rFonts w:ascii="Times New Roman" w:hAnsi="Times New Roman"/>
                <w:sz w:val="24"/>
              </w:rPr>
              <w:lastRenderedPageBreak/>
              <w:t>020</w:t>
            </w:r>
          </w:p>
        </w:tc>
        <w:tc>
          <w:tcPr>
            <w:tcW w:w="8843" w:type="dxa"/>
          </w:tcPr>
          <w:p w14:paraId="4A4ECBDA" w14:textId="1BCAD522" w:rsidR="001B1411" w:rsidRPr="00DA7625" w:rsidRDefault="001C7AB7">
            <w:pPr>
              <w:rPr>
                <w:rFonts w:ascii="Times New Roman" w:hAnsi="Times New Roman"/>
                <w:b/>
                <w:sz w:val="24"/>
                <w:u w:val="single"/>
              </w:rPr>
            </w:pPr>
            <w:r w:rsidRPr="00DA7625">
              <w:rPr>
                <w:rFonts w:ascii="Times New Roman" w:hAnsi="Times New Roman"/>
                <w:b/>
                <w:sz w:val="24"/>
                <w:u w:val="single"/>
              </w:rPr>
              <w:t>HITEL-EGYENÉRTÉKESÍTÉSI TÉNYEZŐK ELŐTTI EREDETI KITETTSÉG</w:t>
            </w:r>
          </w:p>
          <w:p w14:paraId="4BEF39D8" w14:textId="77777777" w:rsidR="001B1411" w:rsidRPr="00DA7625" w:rsidRDefault="001C7AB7">
            <w:pPr>
              <w:rPr>
                <w:rFonts w:ascii="Times New Roman" w:hAnsi="Times New Roman"/>
                <w:sz w:val="24"/>
              </w:rPr>
            </w:pPr>
            <w:r w:rsidRPr="00DA7625">
              <w:rPr>
                <w:rFonts w:ascii="Times New Roman" w:hAnsi="Times New Roman"/>
                <w:sz w:val="24"/>
              </w:rPr>
              <w:t xml:space="preserve">Az intézményeknek az értékelési korrekciók, céltartalékok, hitelkockázat-mérséklési technikákból eredő hatások és hitel-egyenértékesítési tényezők figyelembevétele előtti kitettségértéket kell feltüntetniük. </w:t>
            </w:r>
          </w:p>
          <w:p w14:paraId="338AF088" w14:textId="3DD95DA4" w:rsidR="001B1411" w:rsidRPr="00DA7625" w:rsidRDefault="001C7AB7">
            <w:pPr>
              <w:rPr>
                <w:rFonts w:ascii="Times New Roman" w:hAnsi="Times New Roman"/>
                <w:sz w:val="24"/>
              </w:rPr>
            </w:pPr>
            <w:r w:rsidRPr="00DA7625">
              <w:rPr>
                <w:rFonts w:ascii="Times New Roman" w:hAnsi="Times New Roman"/>
                <w:sz w:val="24"/>
              </w:rPr>
              <w:t>Az eredeti kitettségértéket a CRR 24. cikkével, valamint 166. cikkének (1), (2), (4), (5), (6) és (7) bekezdésével összhangban kell megadni.</w:t>
            </w:r>
          </w:p>
          <w:p w14:paraId="743A5BCF" w14:textId="4A5EB26C" w:rsidR="001B1411" w:rsidRPr="00DA7625" w:rsidRDefault="001C7AB7">
            <w:pPr>
              <w:rPr>
                <w:rFonts w:ascii="Times New Roman" w:hAnsi="Times New Roman"/>
                <w:sz w:val="24"/>
              </w:rPr>
            </w:pPr>
            <w:r w:rsidRPr="00DA7625">
              <w:rPr>
                <w:rFonts w:ascii="Times New Roman" w:hAnsi="Times New Roman"/>
                <w:sz w:val="24"/>
              </w:rPr>
              <w:t xml:space="preserve">A CRR 166. cikkének (3) bekezdéséből eredő hatást (mérlegen belüli nettósítás alá eső kölcsönök és betétek hatása) előre rendelkezésre bocsátott hitelkockázati fedezetként külön kell feltüntetni, így az az eredeti kitettséget nem csökkenti. </w:t>
            </w:r>
          </w:p>
          <w:p w14:paraId="7DE0FC32" w14:textId="77777777" w:rsidR="001B1411" w:rsidRPr="00DA7625" w:rsidRDefault="001B1411">
            <w:pPr>
              <w:rPr>
                <w:rFonts w:ascii="Times New Roman" w:hAnsi="Times New Roman"/>
                <w:sz w:val="24"/>
              </w:rPr>
            </w:pPr>
          </w:p>
        </w:tc>
      </w:tr>
      <w:tr w:rsidR="001B1411" w:rsidRPr="00DA7625" w14:paraId="61052186" w14:textId="77777777" w:rsidTr="00672D2A">
        <w:tc>
          <w:tcPr>
            <w:tcW w:w="1188" w:type="dxa"/>
          </w:tcPr>
          <w:p w14:paraId="709F0222" w14:textId="77777777" w:rsidR="001B1411" w:rsidRPr="00DA7625" w:rsidRDefault="001C7AB7">
            <w:pPr>
              <w:rPr>
                <w:rFonts w:ascii="Times New Roman" w:hAnsi="Times New Roman"/>
                <w:sz w:val="24"/>
              </w:rPr>
            </w:pPr>
            <w:r w:rsidRPr="00DA7625">
              <w:rPr>
                <w:rFonts w:ascii="Times New Roman" w:hAnsi="Times New Roman"/>
                <w:sz w:val="24"/>
              </w:rPr>
              <w:t>030</w:t>
            </w:r>
          </w:p>
        </w:tc>
        <w:tc>
          <w:tcPr>
            <w:tcW w:w="8843" w:type="dxa"/>
          </w:tcPr>
          <w:p w14:paraId="1F21C7FE"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EBBŐL: NAGY MÉRETŰ PÉNZÜGYI ÁGAZATBELI SZERVEZETEK ÉS NEM SZABÁLYOZOTT PÉNZÜGYI VÁLLALATOK</w:t>
            </w:r>
          </w:p>
          <w:p w14:paraId="6E0215A4" w14:textId="23CA57E8" w:rsidR="001B1411" w:rsidRPr="00DA7625" w:rsidRDefault="001C7AB7">
            <w:pPr>
              <w:rPr>
                <w:rFonts w:ascii="Times New Roman" w:hAnsi="Times New Roman"/>
                <w:b/>
                <w:sz w:val="24"/>
                <w:u w:val="single"/>
              </w:rPr>
            </w:pPr>
            <w:r w:rsidRPr="00DA7625">
              <w:rPr>
                <w:rFonts w:ascii="Times New Roman" w:hAnsi="Times New Roman"/>
                <w:sz w:val="24"/>
              </w:rPr>
              <w:t>A hitel-egyenértékesítési tényezők előtti eredeti kitettség felosztása a CRR 142. cikkének 4. és 5. pontjában említett szervezetek összes kitettségére a CRR 153. cikkének (2) bekezdése szerinti magasabb korrelációs együttható alkalmazásával.</w:t>
            </w:r>
          </w:p>
        </w:tc>
      </w:tr>
      <w:tr w:rsidR="001B1411" w:rsidRPr="00DA7625" w14:paraId="087C15D1" w14:textId="77777777" w:rsidTr="00672D2A">
        <w:tc>
          <w:tcPr>
            <w:tcW w:w="1188" w:type="dxa"/>
          </w:tcPr>
          <w:p w14:paraId="1CE3EFB8" w14:textId="77777777" w:rsidR="001B1411" w:rsidRPr="00DA7625" w:rsidRDefault="001C7AB7">
            <w:pPr>
              <w:rPr>
                <w:rFonts w:ascii="Times New Roman" w:hAnsi="Times New Roman"/>
                <w:sz w:val="24"/>
              </w:rPr>
            </w:pPr>
            <w:r w:rsidRPr="00DA7625">
              <w:rPr>
                <w:rFonts w:ascii="Times New Roman" w:hAnsi="Times New Roman"/>
                <w:sz w:val="24"/>
              </w:rPr>
              <w:lastRenderedPageBreak/>
              <w:t>040–080</w:t>
            </w:r>
          </w:p>
        </w:tc>
        <w:tc>
          <w:tcPr>
            <w:tcW w:w="8843" w:type="dxa"/>
          </w:tcPr>
          <w:p w14:paraId="6F7017BE"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A KITETTSÉGRE HELYETTESÍTÉSI HATÁSSAL JÁRÓ HITELKOCKÁZAT-MÉRSÉKLÉSI (CRM) TECHNIKÁK</w:t>
            </w:r>
          </w:p>
          <w:p w14:paraId="3A4BD32D" w14:textId="0DD4B9B3" w:rsidR="001B1411" w:rsidRPr="00DA7625" w:rsidRDefault="001C7AB7">
            <w:pPr>
              <w:rPr>
                <w:rFonts w:ascii="Times New Roman" w:hAnsi="Times New Roman"/>
                <w:sz w:val="24"/>
              </w:rPr>
            </w:pPr>
            <w:r w:rsidRPr="00DA7625">
              <w:rPr>
                <w:rFonts w:ascii="Times New Roman" w:hAnsi="Times New Roman"/>
                <w:sz w:val="24"/>
              </w:rPr>
              <w:t>A CRR 4. cikke (1) bekezdésének 57. pontjában meghatározott hitelkockázat-mérséklés, amely egy vagy több kitettség hitelkockázatát csökkenti a kitettségeknek az alább „A KITETTSÉG HITELKOCKÁZAT-MÉRSÉKLÉS MIATTI HELYETTESÍTÉSE” részben ismertetett helyettesítésével.</w:t>
            </w:r>
          </w:p>
          <w:p w14:paraId="09F148A2" w14:textId="77777777" w:rsidR="001B1411" w:rsidRPr="00DA7625" w:rsidRDefault="001B1411">
            <w:pPr>
              <w:autoSpaceDE w:val="0"/>
              <w:autoSpaceDN w:val="0"/>
              <w:adjustRightInd w:val="0"/>
              <w:spacing w:before="0" w:after="0"/>
              <w:jc w:val="left"/>
              <w:rPr>
                <w:rFonts w:ascii="Times New Roman" w:hAnsi="Times New Roman"/>
                <w:sz w:val="24"/>
              </w:rPr>
            </w:pPr>
          </w:p>
        </w:tc>
      </w:tr>
      <w:tr w:rsidR="001B1411" w:rsidRPr="00DA7625" w14:paraId="4FE2A744" w14:textId="77777777" w:rsidTr="00672D2A">
        <w:tc>
          <w:tcPr>
            <w:tcW w:w="1188" w:type="dxa"/>
          </w:tcPr>
          <w:p w14:paraId="1B5DB7CA" w14:textId="77777777" w:rsidR="001B1411" w:rsidRPr="00DA7625" w:rsidRDefault="001C7AB7">
            <w:pPr>
              <w:rPr>
                <w:rFonts w:ascii="Times New Roman" w:hAnsi="Times New Roman"/>
                <w:sz w:val="24"/>
              </w:rPr>
            </w:pPr>
            <w:r w:rsidRPr="00DA7625">
              <w:rPr>
                <w:rFonts w:ascii="Times New Roman" w:hAnsi="Times New Roman"/>
                <w:sz w:val="24"/>
              </w:rPr>
              <w:t>040–050</w:t>
            </w:r>
          </w:p>
        </w:tc>
        <w:tc>
          <w:tcPr>
            <w:tcW w:w="8843" w:type="dxa"/>
          </w:tcPr>
          <w:p w14:paraId="75607115"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ELŐRE NEM RENDELKEZÉSRE BOCSÁTOTT HITELKOCKÁZATI FEDEZET</w:t>
            </w:r>
          </w:p>
          <w:p w14:paraId="0FDF3562" w14:textId="34E4B9A2" w:rsidR="001B1411" w:rsidRPr="00DA7625" w:rsidRDefault="001C7AB7">
            <w:pPr>
              <w:rPr>
                <w:rStyle w:val="InstructionsTabelleText"/>
                <w:rFonts w:ascii="Times New Roman" w:hAnsi="Times New Roman"/>
                <w:sz w:val="24"/>
              </w:rPr>
            </w:pPr>
            <w:r w:rsidRPr="00DA7625">
              <w:rPr>
                <w:rStyle w:val="InstructionsTabelleText"/>
                <w:rFonts w:ascii="Times New Roman" w:hAnsi="Times New Roman"/>
                <w:sz w:val="24"/>
              </w:rPr>
              <w:t>Előre nem rendelkezésre bocsátott hitelkockázati fedezet a CRR 4. cikke (1) bekezdésének 59. pontjában meghatározottaknak megfelelően.</w:t>
            </w:r>
          </w:p>
          <w:p w14:paraId="010FA2BC" w14:textId="6342FD8B" w:rsidR="001B1411" w:rsidRPr="00DA7625" w:rsidRDefault="00BD6DB9">
            <w:pPr>
              <w:rPr>
                <w:rFonts w:ascii="Times New Roman" w:hAnsi="Times New Roman"/>
                <w:sz w:val="24"/>
              </w:rPr>
            </w:pPr>
            <w:r w:rsidRPr="00DA7625">
              <w:rPr>
                <w:rFonts w:ascii="Times New Roman" w:hAnsi="Times New Roman"/>
                <w:sz w:val="24"/>
              </w:rPr>
              <w:t>A kitettséget befolyásoló biztosíték (pl. ha azt a kitettségre helyettesítési hatással járó hitelkockázat-mérséklési technikákhoz használják fel) értéke legfeljebb a kitettségérték lehet.</w:t>
            </w:r>
          </w:p>
        </w:tc>
      </w:tr>
      <w:tr w:rsidR="001B1411" w:rsidRPr="00DA7625" w14:paraId="15FEA964" w14:textId="77777777" w:rsidTr="00672D2A">
        <w:tc>
          <w:tcPr>
            <w:tcW w:w="1188" w:type="dxa"/>
          </w:tcPr>
          <w:p w14:paraId="4537B28C" w14:textId="77777777" w:rsidR="001B1411" w:rsidRPr="00DA7625" w:rsidRDefault="001C7AB7">
            <w:pPr>
              <w:rPr>
                <w:rFonts w:ascii="Times New Roman" w:hAnsi="Times New Roman"/>
                <w:sz w:val="24"/>
              </w:rPr>
            </w:pPr>
            <w:r w:rsidRPr="00DA7625">
              <w:rPr>
                <w:rFonts w:ascii="Times New Roman" w:hAnsi="Times New Roman"/>
                <w:sz w:val="24"/>
              </w:rPr>
              <w:t>040</w:t>
            </w:r>
          </w:p>
        </w:tc>
        <w:tc>
          <w:tcPr>
            <w:tcW w:w="8843" w:type="dxa"/>
          </w:tcPr>
          <w:p w14:paraId="04C977CF" w14:textId="77777777" w:rsidR="001B1411" w:rsidRPr="00DA7625" w:rsidRDefault="001C7AB7">
            <w:pPr>
              <w:jc w:val="left"/>
              <w:rPr>
                <w:rStyle w:val="InstructionsTabelleberschrift"/>
                <w:rFonts w:ascii="Times New Roman" w:hAnsi="Times New Roman"/>
                <w:sz w:val="24"/>
              </w:rPr>
            </w:pPr>
            <w:r w:rsidRPr="00DA7625">
              <w:rPr>
                <w:rStyle w:val="InstructionsTabelleberschrift"/>
                <w:rFonts w:ascii="Times New Roman" w:hAnsi="Times New Roman"/>
                <w:sz w:val="24"/>
              </w:rPr>
              <w:t>GARANCIÁK:</w:t>
            </w:r>
          </w:p>
          <w:p w14:paraId="4005F699" w14:textId="252DC861" w:rsidR="001B1411" w:rsidRPr="00DA7625" w:rsidRDefault="001C7AB7">
            <w:pPr>
              <w:jc w:val="left"/>
              <w:rPr>
                <w:rFonts w:ascii="Times New Roman" w:hAnsi="Times New Roman"/>
                <w:sz w:val="24"/>
              </w:rPr>
            </w:pPr>
            <w:r w:rsidRPr="00DA7625">
              <w:rPr>
                <w:rFonts w:ascii="Times New Roman" w:hAnsi="Times New Roman"/>
                <w:sz w:val="24"/>
              </w:rPr>
              <w:t>Ha az intézmény nem alkalmaz saját LGD-becslést: a CRR 236. cikkének (3) bekezdésében meghatározott korrigált értéket (G</w:t>
            </w:r>
            <w:r w:rsidRPr="00DA7625">
              <w:rPr>
                <w:rFonts w:ascii="Times New Roman" w:hAnsi="Times New Roman"/>
                <w:sz w:val="24"/>
                <w:vertAlign w:val="subscript"/>
              </w:rPr>
              <w:t>A</w:t>
            </w:r>
            <w:r w:rsidRPr="00DA7625">
              <w:rPr>
                <w:rFonts w:ascii="Times New Roman" w:hAnsi="Times New Roman"/>
                <w:sz w:val="24"/>
              </w:rPr>
              <w:t>) kell megadni.</w:t>
            </w:r>
          </w:p>
          <w:p w14:paraId="3FD2207A" w14:textId="09BC9875" w:rsidR="001B1411" w:rsidRPr="00DA7625" w:rsidRDefault="001C7AB7">
            <w:pPr>
              <w:jc w:val="left"/>
              <w:rPr>
                <w:rFonts w:ascii="Times New Roman" w:hAnsi="Times New Roman"/>
                <w:sz w:val="24"/>
              </w:rPr>
            </w:pPr>
            <w:r w:rsidRPr="00DA7625">
              <w:rPr>
                <w:rFonts w:ascii="Times New Roman" w:hAnsi="Times New Roman"/>
                <w:sz w:val="24"/>
              </w:rPr>
              <w:t xml:space="preserve">Ha az intézmény saját LGD-becslést alkalmaz a CRR 183. cikkének megfelelően, akkor a belső modellben használt releváns értéket kell feltüntetni. </w:t>
            </w:r>
          </w:p>
          <w:p w14:paraId="7B34BA70" w14:textId="3D37FEF7" w:rsidR="001B1411" w:rsidRPr="00DA7625" w:rsidRDefault="001C7AB7">
            <w:pPr>
              <w:jc w:val="left"/>
              <w:rPr>
                <w:rFonts w:ascii="Times New Roman" w:hAnsi="Times New Roman"/>
                <w:sz w:val="24"/>
              </w:rPr>
            </w:pPr>
            <w:r w:rsidRPr="00DA7625">
              <w:rPr>
                <w:rFonts w:ascii="Times New Roman" w:hAnsi="Times New Roman"/>
                <w:sz w:val="24"/>
              </w:rPr>
              <w:t>A garanciákat a 040-es oszlopban kell feltüntetni akkor, ha a kiigazítás nem az LGD értékében történik. Ha a kiigazítás az LGD értékében történik, akkor a garancia összegét a 150-es oszlopban kell feltüntetni.</w:t>
            </w:r>
          </w:p>
          <w:p w14:paraId="30E15DE3" w14:textId="4C650B64" w:rsidR="001B1411" w:rsidRPr="00DA7625" w:rsidRDefault="00785F3E">
            <w:pPr>
              <w:jc w:val="left"/>
              <w:rPr>
                <w:rFonts w:ascii="Times New Roman" w:hAnsi="Times New Roman"/>
                <w:sz w:val="24"/>
              </w:rPr>
            </w:pPr>
            <w:r w:rsidRPr="00DA7625">
              <w:rPr>
                <w:rFonts w:ascii="Times New Roman" w:hAnsi="Times New Roman"/>
                <w:sz w:val="24"/>
              </w:rPr>
              <w:t>Az együttes nemteljesítés hatásának kezelésében érintett kitettségekre vonatkozóan az előre nem rendelkezésre bocsátott hitelkockázati fedezet értékét a 220-as oszlopban kell megadni.</w:t>
            </w:r>
          </w:p>
          <w:p w14:paraId="50DBA967" w14:textId="77777777" w:rsidR="001B1411" w:rsidRPr="00DA7625" w:rsidRDefault="001B1411">
            <w:pPr>
              <w:jc w:val="left"/>
              <w:rPr>
                <w:rFonts w:ascii="Times New Roman" w:hAnsi="Times New Roman"/>
                <w:sz w:val="24"/>
              </w:rPr>
            </w:pPr>
          </w:p>
        </w:tc>
      </w:tr>
      <w:tr w:rsidR="001B1411" w:rsidRPr="00DA7625" w14:paraId="66F1FEC3" w14:textId="77777777" w:rsidTr="00672D2A">
        <w:tc>
          <w:tcPr>
            <w:tcW w:w="1188" w:type="dxa"/>
          </w:tcPr>
          <w:p w14:paraId="65B5140D" w14:textId="77777777" w:rsidR="001B1411" w:rsidRPr="00DA7625" w:rsidRDefault="001C7AB7">
            <w:pPr>
              <w:rPr>
                <w:rFonts w:ascii="Times New Roman" w:hAnsi="Times New Roman"/>
                <w:sz w:val="24"/>
              </w:rPr>
            </w:pPr>
            <w:r w:rsidRPr="00DA7625">
              <w:rPr>
                <w:rFonts w:ascii="Times New Roman" w:hAnsi="Times New Roman"/>
                <w:sz w:val="24"/>
              </w:rPr>
              <w:t>050</w:t>
            </w:r>
          </w:p>
        </w:tc>
        <w:tc>
          <w:tcPr>
            <w:tcW w:w="8843" w:type="dxa"/>
          </w:tcPr>
          <w:p w14:paraId="6ECF35CC"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HITELDERIVATÍVÁK:</w:t>
            </w:r>
          </w:p>
          <w:p w14:paraId="1E4FD5B6" w14:textId="45B238C5" w:rsidR="001B1411" w:rsidRPr="00DA7625" w:rsidRDefault="001C7AB7">
            <w:pPr>
              <w:rPr>
                <w:rFonts w:ascii="Times New Roman" w:hAnsi="Times New Roman"/>
                <w:sz w:val="24"/>
              </w:rPr>
            </w:pPr>
            <w:r w:rsidRPr="00DA7625">
              <w:rPr>
                <w:rFonts w:ascii="Times New Roman" w:hAnsi="Times New Roman"/>
                <w:sz w:val="24"/>
              </w:rPr>
              <w:t>Ha az intézmény nem alkalmaz saját LGD-becslést: a CRR 236. cikkének (3) bekezdésében meghatározott korrigált értéket (G</w:t>
            </w:r>
            <w:r w:rsidRPr="00DA7625">
              <w:rPr>
                <w:rFonts w:ascii="Times New Roman" w:hAnsi="Times New Roman"/>
                <w:sz w:val="24"/>
                <w:vertAlign w:val="subscript"/>
              </w:rPr>
              <w:t>A</w:t>
            </w:r>
            <w:r w:rsidRPr="00DA7625">
              <w:rPr>
                <w:rFonts w:ascii="Times New Roman" w:hAnsi="Times New Roman"/>
                <w:sz w:val="24"/>
              </w:rPr>
              <w:t xml:space="preserve">) kell megadni. </w:t>
            </w:r>
          </w:p>
          <w:p w14:paraId="77C671AB" w14:textId="218BA7E0" w:rsidR="001B1411" w:rsidRPr="00DA7625" w:rsidRDefault="00785F3E">
            <w:pPr>
              <w:rPr>
                <w:rFonts w:ascii="Times New Roman" w:hAnsi="Times New Roman"/>
                <w:sz w:val="24"/>
              </w:rPr>
            </w:pPr>
            <w:r w:rsidRPr="00DA7625">
              <w:rPr>
                <w:rFonts w:ascii="Times New Roman" w:hAnsi="Times New Roman"/>
                <w:sz w:val="24"/>
              </w:rPr>
              <w:t>Ha az intézmény saját LGD-becslést alkalmaz a CRR 183. cikkének megfelelően, akkor a belső modellben használt releváns értéket kell feltüntetni.</w:t>
            </w:r>
          </w:p>
          <w:p w14:paraId="1303A310" w14:textId="05B400CA" w:rsidR="001B1411" w:rsidRPr="00DA7625" w:rsidRDefault="001C7AB7">
            <w:pPr>
              <w:rPr>
                <w:rFonts w:ascii="Times New Roman" w:hAnsi="Times New Roman"/>
                <w:sz w:val="24"/>
              </w:rPr>
            </w:pPr>
            <w:r w:rsidRPr="00DA7625">
              <w:rPr>
                <w:rFonts w:ascii="Times New Roman" w:hAnsi="Times New Roman"/>
                <w:sz w:val="24"/>
              </w:rPr>
              <w:t>Ha az LGD értékében kiigazítás történik, akkor a hitelderivatívák összegét a 160-as oszlopban kell feltüntetni.</w:t>
            </w:r>
          </w:p>
          <w:p w14:paraId="0D934CB2" w14:textId="77777777" w:rsidR="001B1411" w:rsidRPr="00DA7625" w:rsidRDefault="001C7AB7">
            <w:pPr>
              <w:jc w:val="left"/>
              <w:rPr>
                <w:rFonts w:ascii="Times New Roman" w:hAnsi="Times New Roman"/>
                <w:sz w:val="24"/>
              </w:rPr>
            </w:pPr>
            <w:r w:rsidRPr="00DA7625">
              <w:rPr>
                <w:rFonts w:ascii="Times New Roman" w:hAnsi="Times New Roman"/>
                <w:sz w:val="24"/>
              </w:rPr>
              <w:t>Az együttes nemteljesítés hatásának kezelésében érintett kitettségekre vonatkozóan az előre nem rendelkezésre bocsátott hitelkockázati fedezet értékét a 220-as oszlopban kell megadni.</w:t>
            </w:r>
          </w:p>
        </w:tc>
      </w:tr>
      <w:tr w:rsidR="001B1411" w:rsidRPr="00DA7625" w14:paraId="11BD9CAC" w14:textId="77777777" w:rsidTr="00672D2A">
        <w:tc>
          <w:tcPr>
            <w:tcW w:w="1188" w:type="dxa"/>
          </w:tcPr>
          <w:p w14:paraId="6CC75E39" w14:textId="77777777" w:rsidR="001B1411" w:rsidRPr="00DA7625" w:rsidRDefault="001C7AB7">
            <w:pPr>
              <w:rPr>
                <w:rFonts w:ascii="Times New Roman" w:hAnsi="Times New Roman"/>
                <w:sz w:val="24"/>
              </w:rPr>
            </w:pPr>
            <w:r w:rsidRPr="00DA7625">
              <w:rPr>
                <w:rFonts w:ascii="Times New Roman" w:hAnsi="Times New Roman"/>
                <w:sz w:val="24"/>
              </w:rPr>
              <w:t>060</w:t>
            </w:r>
          </w:p>
        </w:tc>
        <w:tc>
          <w:tcPr>
            <w:tcW w:w="8843" w:type="dxa"/>
          </w:tcPr>
          <w:p w14:paraId="37769350"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EGYÉB ELŐRE RENDELKEZÉSRE BOCSÁTOTT HITELKOCKÁZATI FEDEZET</w:t>
            </w:r>
          </w:p>
          <w:p w14:paraId="5AFE3F66" w14:textId="6138AAE4" w:rsidR="001B1411" w:rsidRPr="00DA7625" w:rsidRDefault="00BD6DB9">
            <w:pPr>
              <w:rPr>
                <w:rStyle w:val="InstructionsTabelleText"/>
                <w:rFonts w:ascii="Times New Roman" w:hAnsi="Times New Roman"/>
                <w:sz w:val="24"/>
              </w:rPr>
            </w:pPr>
            <w:r w:rsidRPr="00DA7625">
              <w:rPr>
                <w:rStyle w:val="InstructionsTabelleText"/>
                <w:rFonts w:ascii="Times New Roman" w:hAnsi="Times New Roman"/>
                <w:sz w:val="24"/>
              </w:rPr>
              <w:lastRenderedPageBreak/>
              <w:t>A kitettséget befolyásoló biztosíték (pl. ha azt a kitettségre helyettesítési hatással járó hitelkockázat-mérséklési technikákhoz használják fel) értéke legfeljebb a kitettségérték lehet.</w:t>
            </w:r>
          </w:p>
          <w:p w14:paraId="66D31600" w14:textId="21616AD6" w:rsidR="001B1411" w:rsidRPr="00DA7625" w:rsidRDefault="001C7AB7">
            <w:pPr>
              <w:rPr>
                <w:rStyle w:val="InstructionsTabelleText"/>
                <w:rFonts w:ascii="Times New Roman" w:hAnsi="Times New Roman"/>
                <w:sz w:val="24"/>
              </w:rPr>
            </w:pPr>
            <w:r w:rsidRPr="00DA7625">
              <w:rPr>
                <w:rStyle w:val="InstructionsTabelleText"/>
                <w:rFonts w:ascii="Times New Roman" w:hAnsi="Times New Roman"/>
                <w:sz w:val="24"/>
              </w:rPr>
              <w:t>Ha az intézmény nem alkalmaz saját LGD-becslést, akkor a CRR 232. cikke alkalmazandó.</w:t>
            </w:r>
          </w:p>
          <w:p w14:paraId="4AFFF80F" w14:textId="56578B61" w:rsidR="001B1411" w:rsidRPr="00DA7625" w:rsidRDefault="001C7AB7">
            <w:pPr>
              <w:rPr>
                <w:rStyle w:val="InstructionsTabelleText"/>
                <w:rFonts w:ascii="Times New Roman" w:hAnsi="Times New Roman"/>
                <w:sz w:val="24"/>
              </w:rPr>
            </w:pPr>
            <w:r w:rsidRPr="00DA7625">
              <w:rPr>
                <w:rStyle w:val="InstructionsTabelleText"/>
                <w:rFonts w:ascii="Times New Roman" w:hAnsi="Times New Roman"/>
                <w:sz w:val="24"/>
              </w:rPr>
              <w:t>Ha az intézmény saját LGD-becslést alkalmaz, akkor a CRR 212. cikke szerinti feltételeket teljesítő hitelkockázat-mérséklést kell megadni. A belső modellben használt releváns értéket kell feltüntetni.</w:t>
            </w:r>
          </w:p>
          <w:p w14:paraId="58DC2D2A" w14:textId="3E5E4BEA" w:rsidR="001B1411" w:rsidRPr="00DA7625" w:rsidRDefault="00A94F5F">
            <w:pPr>
              <w:rPr>
                <w:rFonts w:ascii="Times New Roman" w:hAnsi="Times New Roman"/>
                <w:sz w:val="24"/>
              </w:rPr>
            </w:pPr>
            <w:r w:rsidRPr="00DA7625">
              <w:rPr>
                <w:rStyle w:val="InstructionsTabelleText"/>
                <w:rFonts w:ascii="Times New Roman" w:hAnsi="Times New Roman"/>
                <w:sz w:val="24"/>
              </w:rPr>
              <w:t>Az összeget a 060-es oszlopban kell feltüntetni akkor, ha a kiigazítás nem az LGD értékében történik. Ha az LGD értékében kiigazítás történik, akkor az összeget a 170-es oszlopban kell feltüntetni.</w:t>
            </w:r>
          </w:p>
        </w:tc>
      </w:tr>
      <w:tr w:rsidR="001B1411" w:rsidRPr="00DA7625" w14:paraId="75D7E7B4" w14:textId="77777777" w:rsidTr="00672D2A">
        <w:tc>
          <w:tcPr>
            <w:tcW w:w="1188" w:type="dxa"/>
          </w:tcPr>
          <w:p w14:paraId="323021FD" w14:textId="77777777" w:rsidR="001B1411" w:rsidRPr="00DA7625" w:rsidRDefault="001C7AB7">
            <w:pPr>
              <w:rPr>
                <w:rFonts w:ascii="Times New Roman" w:hAnsi="Times New Roman"/>
                <w:sz w:val="24"/>
              </w:rPr>
            </w:pPr>
            <w:r w:rsidRPr="00DA7625">
              <w:rPr>
                <w:rFonts w:ascii="Times New Roman" w:hAnsi="Times New Roman"/>
                <w:sz w:val="24"/>
              </w:rPr>
              <w:lastRenderedPageBreak/>
              <w:t>070–080</w:t>
            </w:r>
          </w:p>
        </w:tc>
        <w:tc>
          <w:tcPr>
            <w:tcW w:w="8843" w:type="dxa"/>
          </w:tcPr>
          <w:p w14:paraId="7B94C6E4"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A KITETTSÉG HITELKOCKÁZAT-MÉRSÉKLÉS MIATTI HELYETTESÍTÉSE</w:t>
            </w:r>
          </w:p>
          <w:p w14:paraId="159F0CD2" w14:textId="39DE9621" w:rsidR="001B1411" w:rsidRPr="00DA7625" w:rsidRDefault="001C7AB7">
            <w:pPr>
              <w:rPr>
                <w:rFonts w:ascii="Times New Roman" w:hAnsi="Times New Roman"/>
                <w:sz w:val="24"/>
              </w:rPr>
            </w:pPr>
            <w:r w:rsidRPr="00DA7625">
              <w:rPr>
                <w:rFonts w:ascii="Times New Roman" w:hAnsi="Times New Roman"/>
                <w:sz w:val="24"/>
              </w:rPr>
              <w:t>A kiáramlások értéke megegyezik a hitel-egyenértékesítési tényezők előtti eredeti kitettség fedezett részével, amelyet a kötelezett kitettségi osztályából, illetve adott esetben ügyfél-kategóriájából vagy -halmazából való levonást követően a fedezetnyújtó kitettségi osztályába, illetve adott esetben ügyfél-kategóriájába vagy -halmazába kell sorolni. Ezt az összeget a fedezetnyújtó kitettségi osztályába, illetve adott esetben ügyfél-kategóriájába vagy -halmazába irányuló beáramlásnak kell tekinteni.</w:t>
            </w:r>
          </w:p>
          <w:p w14:paraId="11BB8EA9" w14:textId="2B324722" w:rsidR="001B1411" w:rsidRPr="00DA7625" w:rsidRDefault="001C7AB7">
            <w:pPr>
              <w:rPr>
                <w:rFonts w:ascii="Times New Roman" w:hAnsi="Times New Roman"/>
                <w:b/>
                <w:sz w:val="24"/>
              </w:rPr>
            </w:pPr>
            <w:r w:rsidRPr="00DA7625">
              <w:rPr>
                <w:rFonts w:ascii="Times New Roman" w:hAnsi="Times New Roman"/>
                <w:sz w:val="24"/>
              </w:rPr>
              <w:t>Az azonos kitettségi osztályba, illetve adott esetben ügyfél-kategóriába vagy -halmazba tartozó be- és kiáramlásokat szintén figyelembe kell venni.</w:t>
            </w:r>
          </w:p>
          <w:p w14:paraId="635CAFFA" w14:textId="77777777" w:rsidR="001B1411" w:rsidRPr="00DA7625" w:rsidRDefault="001C7AB7">
            <w:pPr>
              <w:rPr>
                <w:rFonts w:ascii="Times New Roman" w:hAnsi="Times New Roman"/>
                <w:sz w:val="24"/>
              </w:rPr>
            </w:pPr>
            <w:r w:rsidRPr="00DA7625">
              <w:rPr>
                <w:rFonts w:ascii="Times New Roman" w:hAnsi="Times New Roman"/>
                <w:sz w:val="24"/>
              </w:rPr>
              <w:t>Figyelembe kell venni az egyéb táblákhoz kapcsolódó esetleges ki- és beáramlásokból eredő kitettségeket is.</w:t>
            </w:r>
          </w:p>
        </w:tc>
      </w:tr>
      <w:tr w:rsidR="001B1411" w:rsidRPr="00DA7625" w14:paraId="39BE7878" w14:textId="77777777" w:rsidTr="00672D2A">
        <w:tc>
          <w:tcPr>
            <w:tcW w:w="1188" w:type="dxa"/>
          </w:tcPr>
          <w:p w14:paraId="76E0D514" w14:textId="77777777" w:rsidR="001B1411" w:rsidRPr="00DA7625" w:rsidRDefault="001C7AB7">
            <w:pPr>
              <w:rPr>
                <w:rFonts w:ascii="Times New Roman" w:hAnsi="Times New Roman"/>
                <w:sz w:val="24"/>
              </w:rPr>
            </w:pPr>
            <w:r w:rsidRPr="00DA7625">
              <w:rPr>
                <w:rFonts w:ascii="Times New Roman" w:hAnsi="Times New Roman"/>
                <w:sz w:val="24"/>
              </w:rPr>
              <w:t>090</w:t>
            </w:r>
          </w:p>
        </w:tc>
        <w:tc>
          <w:tcPr>
            <w:tcW w:w="8843" w:type="dxa"/>
          </w:tcPr>
          <w:p w14:paraId="2A5B67AA" w14:textId="42DFA058" w:rsidR="001B1411" w:rsidRPr="00DA7625" w:rsidRDefault="001C7AB7">
            <w:pPr>
              <w:rPr>
                <w:rFonts w:ascii="Times New Roman" w:hAnsi="Times New Roman"/>
                <w:b/>
                <w:sz w:val="24"/>
                <w:u w:val="single"/>
              </w:rPr>
            </w:pPr>
            <w:r w:rsidRPr="00DA7625">
              <w:rPr>
                <w:rFonts w:ascii="Times New Roman" w:hAnsi="Times New Roman"/>
                <w:b/>
                <w:sz w:val="24"/>
                <w:u w:val="single"/>
              </w:rPr>
              <w:t>HELYETTESÍTÉSI HATÁSSAL JÁRÓ CRM-TECHNIKÁK UTÁNI, A HITEL-EGYENÉRTÉKESÍTÉSI TÉNYEZŐK ELŐTTI KITETTSÉG</w:t>
            </w:r>
          </w:p>
          <w:p w14:paraId="0FA4A0EE" w14:textId="77777777" w:rsidR="001B1411" w:rsidRPr="00DA7625" w:rsidRDefault="001C7AB7">
            <w:pPr>
              <w:rPr>
                <w:rFonts w:ascii="Times New Roman" w:hAnsi="Times New Roman"/>
                <w:sz w:val="24"/>
              </w:rPr>
            </w:pPr>
            <w:r w:rsidRPr="00DA7625">
              <w:rPr>
                <w:rFonts w:ascii="Times New Roman" w:hAnsi="Times New Roman"/>
                <w:sz w:val="24"/>
              </w:rPr>
              <w:t>A megfelelő ügyfél-kategóriába vagy -halmazba, illetve kitettségi osztályba sorolt kitettségérték a kitettségre helyettesítési hatással járó hitelkockázat-mérséklési technikák miatti ki- és beáramlások figyelembevétele után.</w:t>
            </w:r>
          </w:p>
        </w:tc>
      </w:tr>
      <w:tr w:rsidR="001B1411" w:rsidRPr="00DA7625" w14:paraId="3BA745B3" w14:textId="77777777" w:rsidTr="00672D2A">
        <w:tc>
          <w:tcPr>
            <w:tcW w:w="1188" w:type="dxa"/>
          </w:tcPr>
          <w:p w14:paraId="5B205B4C" w14:textId="77777777" w:rsidR="001B1411" w:rsidRPr="00DA7625" w:rsidRDefault="001C7AB7">
            <w:pPr>
              <w:rPr>
                <w:rFonts w:ascii="Times New Roman" w:hAnsi="Times New Roman"/>
                <w:sz w:val="24"/>
              </w:rPr>
            </w:pPr>
            <w:r w:rsidRPr="00DA7625">
              <w:rPr>
                <w:rFonts w:ascii="Times New Roman" w:hAnsi="Times New Roman"/>
                <w:sz w:val="24"/>
              </w:rPr>
              <w:t>100, 120</w:t>
            </w:r>
          </w:p>
        </w:tc>
        <w:tc>
          <w:tcPr>
            <w:tcW w:w="8843" w:type="dxa"/>
          </w:tcPr>
          <w:p w14:paraId="035B6C4C" w14:textId="77777777" w:rsidR="001B1411" w:rsidRPr="00DA7625" w:rsidRDefault="001C7AB7">
            <w:pPr>
              <w:rPr>
                <w:rStyle w:val="InstructionsTabelleberschrift"/>
                <w:rFonts w:ascii="Times New Roman" w:hAnsi="Times New Roman"/>
                <w:sz w:val="24"/>
              </w:rPr>
            </w:pPr>
            <w:r w:rsidRPr="00DA7625">
              <w:rPr>
                <w:rStyle w:val="InstructionsTabelleberschrift"/>
                <w:rFonts w:ascii="Times New Roman" w:hAnsi="Times New Roman"/>
                <w:sz w:val="24"/>
              </w:rPr>
              <w:t xml:space="preserve">Ebből: Mérlegen kívüli tételek </w:t>
            </w:r>
          </w:p>
          <w:p w14:paraId="6556527C" w14:textId="77777777" w:rsidR="001B1411" w:rsidRPr="00DA7625" w:rsidRDefault="001C7AB7">
            <w:pPr>
              <w:rPr>
                <w:rFonts w:ascii="Times New Roman" w:hAnsi="Times New Roman"/>
                <w:sz w:val="24"/>
              </w:rPr>
            </w:pPr>
            <w:r w:rsidRPr="00DA7625">
              <w:rPr>
                <w:rFonts w:ascii="Times New Roman" w:hAnsi="Times New Roman"/>
                <w:sz w:val="24"/>
              </w:rPr>
              <w:t>Lásd a CR SA táblához tartozó útmutatót.</w:t>
            </w:r>
          </w:p>
        </w:tc>
      </w:tr>
      <w:tr w:rsidR="001B1411" w:rsidRPr="00DA7625" w14:paraId="062B60D4" w14:textId="77777777" w:rsidTr="00672D2A">
        <w:tc>
          <w:tcPr>
            <w:tcW w:w="1188" w:type="dxa"/>
          </w:tcPr>
          <w:p w14:paraId="1B29B806" w14:textId="77777777" w:rsidR="001B1411" w:rsidRPr="00DA7625" w:rsidRDefault="001C7AB7">
            <w:pPr>
              <w:rPr>
                <w:rFonts w:ascii="Times New Roman" w:hAnsi="Times New Roman"/>
                <w:sz w:val="24"/>
              </w:rPr>
            </w:pPr>
            <w:r w:rsidRPr="00DA7625">
              <w:rPr>
                <w:rFonts w:ascii="Times New Roman" w:hAnsi="Times New Roman"/>
                <w:sz w:val="24"/>
              </w:rPr>
              <w:t>110</w:t>
            </w:r>
          </w:p>
        </w:tc>
        <w:tc>
          <w:tcPr>
            <w:tcW w:w="8843" w:type="dxa"/>
          </w:tcPr>
          <w:p w14:paraId="2A858969"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KITETTSÉGÉRTÉK</w:t>
            </w:r>
          </w:p>
          <w:p w14:paraId="5FF542B5" w14:textId="7099C207" w:rsidR="001B1411" w:rsidRPr="00DA7625" w:rsidRDefault="001C7AB7">
            <w:pPr>
              <w:rPr>
                <w:rFonts w:ascii="Times New Roman" w:hAnsi="Times New Roman"/>
                <w:sz w:val="24"/>
              </w:rPr>
            </w:pPr>
            <w:r w:rsidRPr="00DA7625">
              <w:rPr>
                <w:rFonts w:ascii="Times New Roman" w:hAnsi="Times New Roman"/>
                <w:sz w:val="24"/>
              </w:rPr>
              <w:t>A CRR 166. cikkének, valamint 230. cikke (1) bekezdése második mondatának megfelelően meghatározott kitettségértéket kell feltüntetni.</w:t>
            </w:r>
          </w:p>
          <w:p w14:paraId="5F0CF11E" w14:textId="03D9190B" w:rsidR="001B1411" w:rsidRPr="00DA7625" w:rsidRDefault="001C7AB7">
            <w:pPr>
              <w:rPr>
                <w:rFonts w:ascii="Times New Roman" w:hAnsi="Times New Roman"/>
                <w:sz w:val="24"/>
              </w:rPr>
            </w:pPr>
            <w:r w:rsidRPr="00DA7625">
              <w:rPr>
                <w:rFonts w:ascii="Times New Roman" w:hAnsi="Times New Roman"/>
                <w:sz w:val="24"/>
              </w:rPr>
              <w:t>Az I. mellékletben említett instrumentumok esetében a CRR 166. cikkének (8)–(10) bekezdése szerinti hitel-egyenértékesítési tényezőket az intézmény által választott módszertől függetlenül alkalmazni kell.</w:t>
            </w:r>
          </w:p>
          <w:p w14:paraId="0E8B0429" w14:textId="0905BF56" w:rsidR="001B1411" w:rsidRPr="00DA7625" w:rsidRDefault="001C7AB7">
            <w:pPr>
              <w:rPr>
                <w:rFonts w:ascii="Times New Roman" w:hAnsi="Times New Roman"/>
                <w:sz w:val="24"/>
              </w:rPr>
            </w:pPr>
            <w:r w:rsidRPr="00DA7625">
              <w:rPr>
                <w:rStyle w:val="InstructionsTabelleText"/>
                <w:rFonts w:ascii="Times New Roman" w:hAnsi="Times New Roman"/>
                <w:sz w:val="24"/>
              </w:rPr>
              <w:t>A CRR harmadik része II. címe 6. fejezetének alkalmazásakor a 040–060. sorban (értékpapír-finanszírozási ügyletek, származtatott ügyletek és hosszú teljesítési idejű ügyletek, eltérő termékkategóriák közötti nettósításról szóló szerződéses megállapodásból eredő kitettségek) a kitettségérték megegyezik a CRR harmadik része II. címe 6. fejezetének 3–7. szakaszának megfelelően számított partnerkockázati kitettséggel. Az említett értékeket ebben az oszlopban, és nem a 130-as oszlopban („Ebből: partnerkockázatból származó”) kell feltüntetni.</w:t>
            </w:r>
          </w:p>
        </w:tc>
      </w:tr>
      <w:tr w:rsidR="001B1411" w:rsidRPr="00DA7625" w14:paraId="4A4D8CFE" w14:textId="77777777" w:rsidTr="00672D2A">
        <w:tc>
          <w:tcPr>
            <w:tcW w:w="1188" w:type="dxa"/>
          </w:tcPr>
          <w:p w14:paraId="492E66E1" w14:textId="77777777" w:rsidR="001B1411" w:rsidRPr="00DA7625" w:rsidRDefault="001C7AB7">
            <w:pPr>
              <w:rPr>
                <w:rFonts w:ascii="Times New Roman" w:hAnsi="Times New Roman"/>
                <w:sz w:val="24"/>
              </w:rPr>
            </w:pPr>
            <w:r w:rsidRPr="00DA7625">
              <w:rPr>
                <w:rFonts w:ascii="Times New Roman" w:hAnsi="Times New Roman"/>
                <w:sz w:val="24"/>
              </w:rPr>
              <w:lastRenderedPageBreak/>
              <w:t>130</w:t>
            </w:r>
          </w:p>
        </w:tc>
        <w:tc>
          <w:tcPr>
            <w:tcW w:w="8843" w:type="dxa"/>
          </w:tcPr>
          <w:p w14:paraId="142D929E" w14:textId="77777777" w:rsidR="001B1411" w:rsidRPr="00DA7625" w:rsidRDefault="001C7AB7">
            <w:pPr>
              <w:rPr>
                <w:rStyle w:val="InstructionsTabelleberschrift"/>
                <w:rFonts w:ascii="Times New Roman" w:hAnsi="Times New Roman"/>
                <w:sz w:val="24"/>
              </w:rPr>
            </w:pPr>
            <w:r w:rsidRPr="00DA7625">
              <w:rPr>
                <w:rStyle w:val="InstructionsTabelleberschrift"/>
                <w:rFonts w:ascii="Times New Roman" w:hAnsi="Times New Roman"/>
                <w:sz w:val="24"/>
              </w:rPr>
              <w:t xml:space="preserve">Ebből: Partnerkockázatból származó </w:t>
            </w:r>
          </w:p>
          <w:p w14:paraId="335E78D0" w14:textId="77777777" w:rsidR="001B1411" w:rsidRPr="00DA7625" w:rsidRDefault="001C7AB7">
            <w:pPr>
              <w:rPr>
                <w:rFonts w:ascii="Times New Roman" w:hAnsi="Times New Roman"/>
                <w:sz w:val="24"/>
              </w:rPr>
            </w:pPr>
            <w:r w:rsidRPr="00DA7625">
              <w:rPr>
                <w:rFonts w:ascii="Times New Roman" w:hAnsi="Times New Roman"/>
                <w:sz w:val="24"/>
              </w:rPr>
              <w:t>Lásd a CR SA táblához tartozó útmutatót.</w:t>
            </w:r>
            <w:r w:rsidRPr="00DA7625">
              <w:rPr>
                <w:rStyle w:val="InstructionsTabelleText"/>
                <w:rFonts w:ascii="Times New Roman" w:hAnsi="Times New Roman"/>
                <w:sz w:val="24"/>
              </w:rPr>
              <w:t xml:space="preserve"> </w:t>
            </w:r>
          </w:p>
        </w:tc>
      </w:tr>
      <w:tr w:rsidR="001B1411" w:rsidRPr="00DA7625" w14:paraId="60CE02FA" w14:textId="77777777" w:rsidTr="00672D2A">
        <w:tc>
          <w:tcPr>
            <w:tcW w:w="1188" w:type="dxa"/>
          </w:tcPr>
          <w:p w14:paraId="1C26C66A" w14:textId="77777777" w:rsidR="001B1411" w:rsidRPr="00DA7625" w:rsidRDefault="001C7AB7">
            <w:pPr>
              <w:rPr>
                <w:rFonts w:ascii="Times New Roman" w:hAnsi="Times New Roman"/>
                <w:sz w:val="24"/>
              </w:rPr>
            </w:pPr>
            <w:r w:rsidRPr="00DA7625">
              <w:rPr>
                <w:rFonts w:ascii="Times New Roman" w:hAnsi="Times New Roman"/>
                <w:sz w:val="24"/>
              </w:rPr>
              <w:t>140</w:t>
            </w:r>
          </w:p>
        </w:tc>
        <w:tc>
          <w:tcPr>
            <w:tcW w:w="8843" w:type="dxa"/>
          </w:tcPr>
          <w:p w14:paraId="169697B1"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EBBŐL: NAGY MÉRETŰ PÉNZÜGYI ÁGAZATBELI SZERVEZETEK ÉS NEM SZABÁLYOZOTT PÉNZÜGYI VÁLLALATOK</w:t>
            </w:r>
          </w:p>
          <w:p w14:paraId="2A462A35" w14:textId="5600D80D" w:rsidR="001B1411" w:rsidRPr="00DA7625" w:rsidRDefault="001C7AB7">
            <w:pPr>
              <w:rPr>
                <w:rFonts w:ascii="Times New Roman" w:hAnsi="Times New Roman"/>
                <w:b/>
                <w:sz w:val="24"/>
                <w:u w:val="single"/>
              </w:rPr>
            </w:pPr>
            <w:r w:rsidRPr="00DA7625">
              <w:rPr>
                <w:rFonts w:ascii="Times New Roman" w:hAnsi="Times New Roman"/>
                <w:sz w:val="24"/>
              </w:rPr>
              <w:t>A kitettségérték felosztása a CRR 142. cikkének 4. és 5. pontjában említett szervezetekkel szembeni összes kitettségre a CRR 153. cikkének (2) bekezdése szerint meghatározott magasabb korrelációs együttható alkalmazásával.</w:t>
            </w:r>
          </w:p>
        </w:tc>
      </w:tr>
      <w:tr w:rsidR="001B1411" w:rsidRPr="00DA7625" w14:paraId="4918FA04" w14:textId="77777777" w:rsidTr="00672D2A">
        <w:trPr>
          <w:trHeight w:val="2109"/>
        </w:trPr>
        <w:tc>
          <w:tcPr>
            <w:tcW w:w="1188" w:type="dxa"/>
          </w:tcPr>
          <w:p w14:paraId="5A5514D9" w14:textId="77777777" w:rsidR="001B1411" w:rsidRPr="00DA7625" w:rsidDel="001D4BE0" w:rsidRDefault="001C7AB7">
            <w:pPr>
              <w:rPr>
                <w:rFonts w:ascii="Times New Roman" w:hAnsi="Times New Roman"/>
                <w:sz w:val="24"/>
              </w:rPr>
            </w:pPr>
            <w:r w:rsidRPr="00DA7625">
              <w:rPr>
                <w:rFonts w:ascii="Times New Roman" w:hAnsi="Times New Roman"/>
                <w:sz w:val="24"/>
              </w:rPr>
              <w:t>150–210</w:t>
            </w:r>
          </w:p>
        </w:tc>
        <w:tc>
          <w:tcPr>
            <w:tcW w:w="8843" w:type="dxa"/>
          </w:tcPr>
          <w:p w14:paraId="0D0DB57B"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AZ LGD-BECSLÉSEK SORÁN FIGYELEMBE VETT HITELKOCKÁZAT-MÉRSÉKLÉSI TECHNIKÁK, KIVÉVE AZ EGYÜTTES NEMTELJESÍTÉSRE VONATKOZÓ ELJÁRÁST</w:t>
            </w:r>
          </w:p>
          <w:p w14:paraId="61F7F1B2" w14:textId="6FFAD7E9" w:rsidR="001B1411" w:rsidRPr="00DA7625" w:rsidRDefault="001C7AB7">
            <w:pPr>
              <w:rPr>
                <w:rFonts w:ascii="Times New Roman" w:hAnsi="Times New Roman"/>
                <w:sz w:val="24"/>
              </w:rPr>
            </w:pPr>
            <w:r w:rsidRPr="00DA7625">
              <w:rPr>
                <w:rFonts w:ascii="Times New Roman" w:hAnsi="Times New Roman"/>
                <w:sz w:val="24"/>
              </w:rPr>
              <w:t>Ezekben az oszlopokban nem tüntethetők fel azok a hitelkockázat-mérséklési technikák, amelyek e technikák helyettesítési hatásának alkalmazásából adódóan befolyásolják az LGD-értékeket.</w:t>
            </w:r>
          </w:p>
          <w:p w14:paraId="0000147B" w14:textId="796D41C9" w:rsidR="001B1411" w:rsidRPr="00DA7625" w:rsidRDefault="00C61FF5">
            <w:pPr>
              <w:rPr>
                <w:rFonts w:ascii="Times New Roman" w:hAnsi="Times New Roman"/>
                <w:sz w:val="24"/>
              </w:rPr>
            </w:pPr>
            <w:r w:rsidRPr="00DA7625">
              <w:rPr>
                <w:rFonts w:ascii="Times New Roman" w:hAnsi="Times New Roman"/>
                <w:sz w:val="24"/>
              </w:rPr>
              <w:t>Ha az intézmény nem alkalmaz saját LGD-becslést: a CRR 228. cikkének (2) bekezdését, 230. cikkének (1) és (2) bekezdését, valamint 231. cikkét kell figyelembe venni.</w:t>
            </w:r>
          </w:p>
          <w:p w14:paraId="1E1E6BDB" w14:textId="77777777" w:rsidR="001B1411" w:rsidRPr="00DA7625" w:rsidRDefault="00C61FF5">
            <w:pPr>
              <w:rPr>
                <w:rFonts w:ascii="Times New Roman" w:hAnsi="Times New Roman"/>
                <w:sz w:val="24"/>
              </w:rPr>
            </w:pPr>
            <w:r w:rsidRPr="00DA7625">
              <w:rPr>
                <w:rFonts w:ascii="Times New Roman" w:hAnsi="Times New Roman"/>
                <w:sz w:val="24"/>
              </w:rPr>
              <w:t xml:space="preserve">Ha az intézmény saját LGD-becslést alkalmaz: </w:t>
            </w:r>
          </w:p>
          <w:p w14:paraId="101C7ABE" w14:textId="00511F70" w:rsidR="001B1411" w:rsidRPr="00DA7625" w:rsidRDefault="001C7AB7">
            <w:pPr>
              <w:rPr>
                <w:rFonts w:ascii="Times New Roman" w:hAnsi="Times New Roman"/>
                <w:sz w:val="24"/>
              </w:rPr>
            </w:pPr>
            <w:r w:rsidRPr="00DA7625">
              <w:rPr>
                <w:rFonts w:ascii="Times New Roman" w:hAnsi="Times New Roman"/>
                <w:sz w:val="24"/>
              </w:rPr>
              <w:t>– Az előre nem rendelkezésre bocsátott hitelkockázati fedezetet illetően a központi kormányzattal, központi bankkal, intézményekkel és vállalkozásokkal szembeni kitettségek esetében a CRR 161. cikkének (3) bekezdését kell figyelembe venni. Lakossággal szembeni kitettségek esetében a CRR 164. cikkének (2) bekezdését kell figyelembe venni.</w:t>
            </w:r>
          </w:p>
          <w:p w14:paraId="2F9D858B" w14:textId="7DB83D59" w:rsidR="001B1411" w:rsidRPr="00DA7625" w:rsidRDefault="001C7AB7">
            <w:pPr>
              <w:rPr>
                <w:rFonts w:ascii="Times New Roman" w:hAnsi="Times New Roman"/>
                <w:b/>
                <w:sz w:val="24"/>
                <w:u w:val="single"/>
              </w:rPr>
            </w:pPr>
            <w:r w:rsidRPr="00DA7625">
              <w:rPr>
                <w:rFonts w:ascii="Times New Roman" w:hAnsi="Times New Roman"/>
                <w:sz w:val="24"/>
              </w:rPr>
              <w:t>– Az előre rendelkezésre bocsátott hitelkockázati fedezetet illetően az LGD-becslés során a CRR 181. cikke (1) bekezdésének e) és f) pontjának megfelelően a biztosítékot kell figyelembe venni.</w:t>
            </w:r>
          </w:p>
        </w:tc>
      </w:tr>
      <w:tr w:rsidR="001B1411" w:rsidRPr="00DA7625" w14:paraId="2B9CA2B6" w14:textId="77777777" w:rsidTr="00672D2A">
        <w:trPr>
          <w:trHeight w:val="957"/>
        </w:trPr>
        <w:tc>
          <w:tcPr>
            <w:tcW w:w="1188" w:type="dxa"/>
          </w:tcPr>
          <w:p w14:paraId="5E3C4118" w14:textId="77777777" w:rsidR="001B1411" w:rsidRPr="00DA7625" w:rsidRDefault="001C7AB7">
            <w:pPr>
              <w:rPr>
                <w:rFonts w:ascii="Times New Roman" w:hAnsi="Times New Roman"/>
                <w:sz w:val="24"/>
              </w:rPr>
            </w:pPr>
            <w:r w:rsidRPr="00DA7625">
              <w:rPr>
                <w:rFonts w:ascii="Times New Roman" w:hAnsi="Times New Roman"/>
                <w:sz w:val="24"/>
              </w:rPr>
              <w:t>150</w:t>
            </w:r>
          </w:p>
        </w:tc>
        <w:tc>
          <w:tcPr>
            <w:tcW w:w="8843" w:type="dxa"/>
          </w:tcPr>
          <w:p w14:paraId="489A2729"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 xml:space="preserve">GARANCIÁK </w:t>
            </w:r>
          </w:p>
          <w:p w14:paraId="5CDD29E2" w14:textId="77777777" w:rsidR="001B1411" w:rsidRPr="00DA7625" w:rsidRDefault="001C7AB7">
            <w:pPr>
              <w:jc w:val="left"/>
              <w:rPr>
                <w:rFonts w:ascii="Times New Roman" w:hAnsi="Times New Roman"/>
                <w:b/>
                <w:sz w:val="24"/>
                <w:u w:val="single"/>
              </w:rPr>
            </w:pPr>
            <w:r w:rsidRPr="00DA7625">
              <w:rPr>
                <w:rFonts w:ascii="Times New Roman" w:hAnsi="Times New Roman"/>
                <w:sz w:val="24"/>
              </w:rPr>
              <w:t>Lásd a 040-es oszlopra vonatkozó útmutatót.</w:t>
            </w:r>
          </w:p>
        </w:tc>
      </w:tr>
      <w:tr w:rsidR="001B1411" w:rsidRPr="00DA7625" w14:paraId="6B562DDD" w14:textId="77777777" w:rsidTr="00672D2A">
        <w:tc>
          <w:tcPr>
            <w:tcW w:w="1188" w:type="dxa"/>
          </w:tcPr>
          <w:p w14:paraId="331AF144" w14:textId="77777777" w:rsidR="001B1411" w:rsidRPr="00DA7625" w:rsidRDefault="001C7AB7">
            <w:pPr>
              <w:rPr>
                <w:rFonts w:ascii="Times New Roman" w:hAnsi="Times New Roman"/>
                <w:sz w:val="24"/>
              </w:rPr>
            </w:pPr>
            <w:r w:rsidRPr="00DA7625">
              <w:rPr>
                <w:rFonts w:ascii="Times New Roman" w:hAnsi="Times New Roman"/>
                <w:sz w:val="24"/>
              </w:rPr>
              <w:t>160</w:t>
            </w:r>
          </w:p>
        </w:tc>
        <w:tc>
          <w:tcPr>
            <w:tcW w:w="8843" w:type="dxa"/>
          </w:tcPr>
          <w:p w14:paraId="2BA68CAE"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 xml:space="preserve">HITELDERIVATÍVÁK </w:t>
            </w:r>
          </w:p>
          <w:p w14:paraId="2F6FB3EC" w14:textId="77777777" w:rsidR="001B1411" w:rsidRPr="00DA7625" w:rsidRDefault="001C7AB7">
            <w:pPr>
              <w:rPr>
                <w:rFonts w:ascii="Times New Roman" w:hAnsi="Times New Roman"/>
                <w:sz w:val="24"/>
              </w:rPr>
            </w:pPr>
            <w:r w:rsidRPr="00DA7625">
              <w:rPr>
                <w:rFonts w:ascii="Times New Roman" w:hAnsi="Times New Roman"/>
                <w:sz w:val="24"/>
              </w:rPr>
              <w:t>Lásd a 050-es oszlopra vonatkozó útmutatót.</w:t>
            </w:r>
          </w:p>
        </w:tc>
      </w:tr>
      <w:tr w:rsidR="001B1411" w:rsidRPr="00DA7625" w14:paraId="5F49DF29" w14:textId="77777777" w:rsidTr="00672D2A">
        <w:tc>
          <w:tcPr>
            <w:tcW w:w="1188" w:type="dxa"/>
          </w:tcPr>
          <w:p w14:paraId="642A5BE9" w14:textId="77777777" w:rsidR="001B1411" w:rsidRPr="00DA7625" w:rsidRDefault="001C7AB7">
            <w:pPr>
              <w:rPr>
                <w:rFonts w:ascii="Times New Roman" w:hAnsi="Times New Roman"/>
                <w:sz w:val="24"/>
              </w:rPr>
            </w:pPr>
            <w:r w:rsidRPr="00DA7625">
              <w:rPr>
                <w:rFonts w:ascii="Times New Roman" w:hAnsi="Times New Roman"/>
                <w:sz w:val="24"/>
              </w:rPr>
              <w:t>170</w:t>
            </w:r>
          </w:p>
        </w:tc>
        <w:tc>
          <w:tcPr>
            <w:tcW w:w="8843" w:type="dxa"/>
          </w:tcPr>
          <w:p w14:paraId="4814F7C0"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 xml:space="preserve">SAJÁT LGD-BECSLÉS ALKALMAZÁSA: EGYÉB ELŐRE RENDELKEZÉSRE BOCSÁTOTT HITELKOCKÁZATI FEDEZET </w:t>
            </w:r>
          </w:p>
          <w:p w14:paraId="67714F1F" w14:textId="77777777" w:rsidR="001B1411" w:rsidRPr="00DA7625" w:rsidRDefault="001C7AB7">
            <w:pPr>
              <w:rPr>
                <w:rStyle w:val="InstructionsTabelleText"/>
                <w:rFonts w:ascii="Times New Roman" w:hAnsi="Times New Roman"/>
                <w:sz w:val="24"/>
              </w:rPr>
            </w:pPr>
            <w:r w:rsidRPr="00DA7625">
              <w:rPr>
                <w:rStyle w:val="InstructionsTabelleText"/>
                <w:rFonts w:ascii="Times New Roman" w:hAnsi="Times New Roman"/>
                <w:sz w:val="24"/>
              </w:rPr>
              <w:t>Az intézmény belső modelljében alkalmazott vonatkozó érték.</w:t>
            </w:r>
          </w:p>
          <w:p w14:paraId="00F55851" w14:textId="20167858" w:rsidR="001B1411" w:rsidRPr="00DA7625" w:rsidRDefault="001C7AB7">
            <w:pPr>
              <w:rPr>
                <w:rFonts w:ascii="Times New Roman" w:hAnsi="Times New Roman"/>
                <w:sz w:val="24"/>
              </w:rPr>
            </w:pPr>
            <w:r w:rsidRPr="00DA7625">
              <w:rPr>
                <w:rFonts w:ascii="Times New Roman" w:hAnsi="Times New Roman"/>
                <w:sz w:val="24"/>
              </w:rPr>
              <w:t xml:space="preserve">A CRR 212. cikkében megadott kritériumokat teljesítő hitelkockázat-mérséklő eszközök. </w:t>
            </w:r>
          </w:p>
        </w:tc>
      </w:tr>
      <w:tr w:rsidR="001B1411" w:rsidRPr="00DA7625" w14:paraId="2B6B5990" w14:textId="77777777" w:rsidTr="00672D2A">
        <w:tc>
          <w:tcPr>
            <w:tcW w:w="1188" w:type="dxa"/>
          </w:tcPr>
          <w:p w14:paraId="30030987" w14:textId="77777777" w:rsidR="001B1411" w:rsidRPr="00DA7625" w:rsidRDefault="001C7AB7">
            <w:pPr>
              <w:rPr>
                <w:rFonts w:ascii="Times New Roman" w:hAnsi="Times New Roman"/>
                <w:sz w:val="24"/>
              </w:rPr>
            </w:pPr>
            <w:r w:rsidRPr="00DA7625">
              <w:rPr>
                <w:rFonts w:ascii="Times New Roman" w:hAnsi="Times New Roman"/>
                <w:sz w:val="24"/>
              </w:rPr>
              <w:t>180</w:t>
            </w:r>
          </w:p>
        </w:tc>
        <w:tc>
          <w:tcPr>
            <w:tcW w:w="8843" w:type="dxa"/>
          </w:tcPr>
          <w:p w14:paraId="7F9158FB"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ELISMERT PÉNZÜGYI BIZTOSÍTÉKOK</w:t>
            </w:r>
          </w:p>
          <w:p w14:paraId="060F8654" w14:textId="3949FA43" w:rsidR="001B1411" w:rsidRPr="00DA7625" w:rsidRDefault="001C7AB7">
            <w:pPr>
              <w:rPr>
                <w:rFonts w:ascii="Times New Roman" w:hAnsi="Times New Roman"/>
                <w:sz w:val="24"/>
              </w:rPr>
            </w:pPr>
            <w:r w:rsidRPr="00DA7625">
              <w:rPr>
                <w:rFonts w:ascii="Times New Roman" w:hAnsi="Times New Roman"/>
                <w:sz w:val="24"/>
              </w:rPr>
              <w:t>Kereskedési könyvben nyilvántartott műveletek esetében a tétel a CRR 299. cikke (2) bekezdésének c)–f) pontja alapján a kereskedési könyvi kitettségekre vonatkozóan elismert pénzügyi instrumentumokat és árukat foglalja magában. A hitelkockázati eseményhez kapcsolt értékpapírokat és mérlegen belüli nettósítási pozíciókat a CRR harmadik része II. címe 4. fejezetének 4. szakasza alapján készpénzbiztosítékként kell kezelni.</w:t>
            </w:r>
          </w:p>
          <w:p w14:paraId="1CA102C9" w14:textId="585345AE" w:rsidR="001B1411" w:rsidRPr="00DA7625" w:rsidRDefault="001C7AB7">
            <w:pPr>
              <w:rPr>
                <w:rFonts w:ascii="Times New Roman" w:hAnsi="Times New Roman"/>
                <w:sz w:val="24"/>
              </w:rPr>
            </w:pPr>
            <w:r w:rsidRPr="00DA7625">
              <w:rPr>
                <w:rFonts w:ascii="Times New Roman" w:hAnsi="Times New Roman"/>
                <w:sz w:val="24"/>
              </w:rPr>
              <w:lastRenderedPageBreak/>
              <w:t>Ha az intézmény nem alkalmaz saját LGD-becslést, az értékeket a CRR 193. cikkének (1)–(4) bekezdése, valamint 194. cikkének (1) bekezdése szerint kell meghatározni. A CRR 223. cikkének (2) bekezdése szerinti korrigált értéket (Cvam) kell feltüntetni.</w:t>
            </w:r>
          </w:p>
          <w:p w14:paraId="67F48A52" w14:textId="43BF5DE1" w:rsidR="001B1411" w:rsidRPr="00DA7625" w:rsidRDefault="001C7AB7">
            <w:pPr>
              <w:rPr>
                <w:rFonts w:ascii="Times New Roman" w:hAnsi="Times New Roman"/>
                <w:b/>
                <w:sz w:val="24"/>
                <w:u w:val="single"/>
              </w:rPr>
            </w:pPr>
            <w:r w:rsidRPr="00DA7625">
              <w:rPr>
                <w:rFonts w:ascii="Times New Roman" w:hAnsi="Times New Roman"/>
                <w:sz w:val="24"/>
              </w:rPr>
              <w:t>Ha az intézmény saját LGD-becslést alkalmaz, az LGD-becslés során a pénzügyi biztosítékot a CRR 181. cikke (1) bekezdésének e) és f) pontja szerint kell figyelembe venni. A feltüntetendő érték a biztosíték becsült piaci értéke.</w:t>
            </w:r>
          </w:p>
        </w:tc>
      </w:tr>
      <w:tr w:rsidR="001B1411" w:rsidRPr="00DA7625" w14:paraId="457D2C2B" w14:textId="77777777" w:rsidTr="00672D2A">
        <w:tc>
          <w:tcPr>
            <w:tcW w:w="1188" w:type="dxa"/>
          </w:tcPr>
          <w:p w14:paraId="5057A0C2" w14:textId="77777777" w:rsidR="001B1411" w:rsidRPr="00DA7625" w:rsidDel="001D4BE0" w:rsidRDefault="001C7AB7">
            <w:pPr>
              <w:rPr>
                <w:rFonts w:ascii="Times New Roman" w:hAnsi="Times New Roman"/>
                <w:sz w:val="24"/>
              </w:rPr>
            </w:pPr>
            <w:r w:rsidRPr="00DA7625">
              <w:rPr>
                <w:rFonts w:ascii="Times New Roman" w:hAnsi="Times New Roman"/>
                <w:sz w:val="24"/>
              </w:rPr>
              <w:lastRenderedPageBreak/>
              <w:t>190-210</w:t>
            </w:r>
          </w:p>
        </w:tc>
        <w:tc>
          <w:tcPr>
            <w:tcW w:w="8843" w:type="dxa"/>
          </w:tcPr>
          <w:p w14:paraId="4CBF1C33"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EGYÉB ELISMERT BIZTOSÍTÉK</w:t>
            </w:r>
          </w:p>
          <w:p w14:paraId="5AA9B5AE" w14:textId="40D3C029" w:rsidR="001B1411" w:rsidRPr="00DA7625" w:rsidRDefault="00C61FF5">
            <w:pPr>
              <w:rPr>
                <w:rFonts w:ascii="Times New Roman" w:hAnsi="Times New Roman"/>
                <w:sz w:val="24"/>
              </w:rPr>
            </w:pPr>
            <w:r w:rsidRPr="00DA7625">
              <w:rPr>
                <w:rFonts w:ascii="Times New Roman" w:hAnsi="Times New Roman"/>
                <w:sz w:val="24"/>
              </w:rPr>
              <w:t>Ha az intézmény nem alkalmaz saját LGD-becslést, az értékeket a CRR 199. cikkének (1)–(8) bekezdése, valamint 229. cikke szerint kell meghatározni.</w:t>
            </w:r>
          </w:p>
          <w:p w14:paraId="3BABB64B" w14:textId="0966C29D" w:rsidR="001B1411" w:rsidRPr="00DA7625" w:rsidRDefault="00C61FF5">
            <w:pPr>
              <w:rPr>
                <w:rFonts w:ascii="Times New Roman" w:hAnsi="Times New Roman"/>
                <w:b/>
                <w:sz w:val="24"/>
                <w:u w:val="single"/>
              </w:rPr>
            </w:pPr>
            <w:r w:rsidRPr="00DA7625">
              <w:rPr>
                <w:rFonts w:ascii="Times New Roman" w:hAnsi="Times New Roman"/>
                <w:sz w:val="24"/>
              </w:rPr>
              <w:t>Ha az intézmény saját LGD-becslést alkalmaz, az LGD-becslés során az egyéb biztosítékot a CRR 181. cikke (1) bekezdésének e) és f) pontja szerint kell figyelembe venni.</w:t>
            </w:r>
          </w:p>
        </w:tc>
      </w:tr>
      <w:tr w:rsidR="001B1411" w:rsidRPr="00DA7625" w14:paraId="0539FC4A" w14:textId="77777777" w:rsidTr="00672D2A">
        <w:tc>
          <w:tcPr>
            <w:tcW w:w="1188" w:type="dxa"/>
          </w:tcPr>
          <w:p w14:paraId="6E144E0D" w14:textId="77777777" w:rsidR="001B1411" w:rsidRPr="00DA7625" w:rsidRDefault="001C7AB7">
            <w:pPr>
              <w:spacing w:line="240" w:lineRule="exact"/>
              <w:rPr>
                <w:rFonts w:ascii="Times New Roman" w:hAnsi="Times New Roman"/>
                <w:sz w:val="24"/>
              </w:rPr>
            </w:pPr>
            <w:r w:rsidRPr="00DA7625">
              <w:rPr>
                <w:rFonts w:ascii="Times New Roman" w:hAnsi="Times New Roman"/>
                <w:sz w:val="24"/>
              </w:rPr>
              <w:t>190</w:t>
            </w:r>
          </w:p>
        </w:tc>
        <w:tc>
          <w:tcPr>
            <w:tcW w:w="8843" w:type="dxa"/>
          </w:tcPr>
          <w:p w14:paraId="1C034029" w14:textId="77777777" w:rsidR="001B1411" w:rsidRPr="00DA7625" w:rsidRDefault="001C7AB7">
            <w:pPr>
              <w:spacing w:line="240" w:lineRule="exact"/>
              <w:rPr>
                <w:rFonts w:ascii="Times New Roman" w:hAnsi="Times New Roman"/>
                <w:sz w:val="24"/>
              </w:rPr>
            </w:pPr>
            <w:r w:rsidRPr="00DA7625">
              <w:rPr>
                <w:rFonts w:ascii="Times New Roman" w:hAnsi="Times New Roman"/>
                <w:b/>
                <w:sz w:val="24"/>
                <w:u w:val="single"/>
              </w:rPr>
              <w:t>INGATLAN</w:t>
            </w:r>
          </w:p>
          <w:p w14:paraId="43C12D0D" w14:textId="75B953B4" w:rsidR="001B1411" w:rsidRPr="00DA7625" w:rsidRDefault="00C61FF5">
            <w:pPr>
              <w:spacing w:line="240" w:lineRule="exact"/>
              <w:rPr>
                <w:rFonts w:ascii="Times New Roman" w:hAnsi="Times New Roman"/>
                <w:sz w:val="24"/>
              </w:rPr>
            </w:pPr>
            <w:r w:rsidRPr="00DA7625">
              <w:rPr>
                <w:rFonts w:ascii="Times New Roman" w:hAnsi="Times New Roman"/>
                <w:sz w:val="24"/>
              </w:rPr>
              <w:t>Ha az intézmény nem alkalmaz saját LGD-becslést, az értékeket a CRR 199. cikkének (2)–(4) bekezdése szerint kell meghatározni és ebben az oszlopban kell feltüntetni. Be kell számítani az ingatlan lízingbe adását is (lásd a CRR 199. cikkének (7) bekezdését). Lásd még a CRR 229. cikkét.</w:t>
            </w:r>
          </w:p>
          <w:p w14:paraId="64EA227D" w14:textId="61CD192C" w:rsidR="001B1411" w:rsidRPr="00DA7625" w:rsidRDefault="001C7AB7">
            <w:pPr>
              <w:spacing w:line="240" w:lineRule="exact"/>
              <w:rPr>
                <w:rFonts w:ascii="Times New Roman" w:hAnsi="Times New Roman"/>
                <w:sz w:val="24"/>
              </w:rPr>
            </w:pPr>
            <w:r w:rsidRPr="00DA7625">
              <w:rPr>
                <w:rFonts w:ascii="Times New Roman" w:hAnsi="Times New Roman"/>
                <w:sz w:val="24"/>
              </w:rPr>
              <w:t>Ha az intézmény saját LGD-becslést alkalmaz, akkor a feltüntetendő érték a becsült piaci érték.</w:t>
            </w:r>
          </w:p>
        </w:tc>
      </w:tr>
      <w:tr w:rsidR="001B1411" w:rsidRPr="00DA7625" w14:paraId="52B2ECF9" w14:textId="77777777" w:rsidTr="00672D2A">
        <w:tc>
          <w:tcPr>
            <w:tcW w:w="1188" w:type="dxa"/>
          </w:tcPr>
          <w:p w14:paraId="1C90656C" w14:textId="77777777" w:rsidR="001B1411" w:rsidRPr="00DA7625" w:rsidRDefault="001C7AB7">
            <w:pPr>
              <w:rPr>
                <w:rFonts w:ascii="Times New Roman" w:hAnsi="Times New Roman"/>
                <w:sz w:val="24"/>
              </w:rPr>
            </w:pPr>
            <w:r w:rsidRPr="00DA7625">
              <w:rPr>
                <w:rFonts w:ascii="Times New Roman" w:hAnsi="Times New Roman"/>
                <w:sz w:val="24"/>
              </w:rPr>
              <w:t>200</w:t>
            </w:r>
          </w:p>
        </w:tc>
        <w:tc>
          <w:tcPr>
            <w:tcW w:w="8843" w:type="dxa"/>
          </w:tcPr>
          <w:p w14:paraId="6A8F9F19"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EGYÉB DOLOGI BIZTOSÍTÉKOK</w:t>
            </w:r>
          </w:p>
          <w:p w14:paraId="22D76B22" w14:textId="59831EE9" w:rsidR="001B1411" w:rsidRPr="00DA7625" w:rsidRDefault="00C61FF5">
            <w:pPr>
              <w:rPr>
                <w:rFonts w:ascii="Times New Roman" w:hAnsi="Times New Roman"/>
                <w:sz w:val="24"/>
              </w:rPr>
            </w:pPr>
            <w:r w:rsidRPr="00DA7625">
              <w:rPr>
                <w:rFonts w:ascii="Times New Roman" w:hAnsi="Times New Roman"/>
                <w:sz w:val="24"/>
              </w:rPr>
              <w:t xml:space="preserve">Ha az intézmény nem alkalmaz saját LGD-becslést, az értékeket a CRR 199. cikkének (6)–(8) bekezdése szerint kell meghatározni és ebben az oszlopban kell feltüntetni. Be kell számítani az ingatlanon kívüli vagyontárgyak lízingbe adását is (lásd a CRR 199. cikkének (7) bekezdését). Lásd még a CRR 229. cikkének (3) bekezdését. </w:t>
            </w:r>
          </w:p>
          <w:p w14:paraId="3D35C427" w14:textId="77777777" w:rsidR="001B1411" w:rsidRPr="00DA7625" w:rsidRDefault="00C61FF5">
            <w:pPr>
              <w:rPr>
                <w:rFonts w:ascii="Times New Roman" w:hAnsi="Times New Roman"/>
                <w:b/>
                <w:sz w:val="24"/>
                <w:u w:val="single"/>
              </w:rPr>
            </w:pPr>
            <w:r w:rsidRPr="00DA7625">
              <w:rPr>
                <w:rFonts w:ascii="Times New Roman" w:hAnsi="Times New Roman"/>
                <w:sz w:val="24"/>
              </w:rPr>
              <w:t>Ha az intézmény saját LGD-becslést alkalmaz, akkor a feltüntetendő érték a biztosíték becsült piaci értéke.</w:t>
            </w:r>
          </w:p>
        </w:tc>
      </w:tr>
      <w:tr w:rsidR="001B1411" w:rsidRPr="00DA7625" w14:paraId="7266AB27" w14:textId="77777777" w:rsidTr="00672D2A">
        <w:tc>
          <w:tcPr>
            <w:tcW w:w="1188" w:type="dxa"/>
          </w:tcPr>
          <w:p w14:paraId="353A005F" w14:textId="77777777" w:rsidR="001B1411" w:rsidRPr="00DA7625" w:rsidRDefault="001C7AB7">
            <w:pPr>
              <w:rPr>
                <w:rFonts w:ascii="Times New Roman" w:hAnsi="Times New Roman"/>
                <w:sz w:val="24"/>
              </w:rPr>
            </w:pPr>
            <w:r w:rsidRPr="00DA7625">
              <w:rPr>
                <w:rFonts w:ascii="Times New Roman" w:hAnsi="Times New Roman"/>
                <w:sz w:val="24"/>
              </w:rPr>
              <w:t>210</w:t>
            </w:r>
          </w:p>
        </w:tc>
        <w:tc>
          <w:tcPr>
            <w:tcW w:w="8843" w:type="dxa"/>
          </w:tcPr>
          <w:p w14:paraId="0D2D1647"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KÖVETELÉSEK</w:t>
            </w:r>
          </w:p>
          <w:p w14:paraId="15BC6C80" w14:textId="7CA7DAE8" w:rsidR="001B1411" w:rsidRPr="00DA7625" w:rsidRDefault="001C7AB7">
            <w:pPr>
              <w:rPr>
                <w:rFonts w:ascii="Times New Roman" w:hAnsi="Times New Roman"/>
                <w:sz w:val="24"/>
              </w:rPr>
            </w:pPr>
            <w:r w:rsidRPr="00DA7625">
              <w:rPr>
                <w:rFonts w:ascii="Times New Roman" w:hAnsi="Times New Roman"/>
                <w:sz w:val="24"/>
              </w:rPr>
              <w:t>Ha az intézmény nem alkalmaz saját LGD-becslést, az értékeket a CRR 199. cikkének (5) bekezdése és 229. cikkének (2) bekezdése szerint kell meghatározni és ebben az oszlopban kell feltüntetni.</w:t>
            </w:r>
          </w:p>
          <w:p w14:paraId="789B21A5" w14:textId="4E85E5B3" w:rsidR="001B1411" w:rsidRPr="00DA7625" w:rsidRDefault="001C7AB7">
            <w:pPr>
              <w:rPr>
                <w:rFonts w:ascii="Times New Roman" w:hAnsi="Times New Roman"/>
                <w:b/>
                <w:sz w:val="24"/>
                <w:u w:val="single"/>
              </w:rPr>
            </w:pPr>
            <w:r w:rsidRPr="00DA7625">
              <w:rPr>
                <w:rFonts w:ascii="Times New Roman" w:hAnsi="Times New Roman"/>
                <w:sz w:val="24"/>
              </w:rPr>
              <w:t>Ha az intézmény saját LGD-becslést alkalmaz, akkor a feltüntetendő érték a biztosíték becsült piaci értéke.</w:t>
            </w:r>
          </w:p>
        </w:tc>
      </w:tr>
      <w:tr w:rsidR="001B1411" w:rsidRPr="00DA7625" w14:paraId="160BD61D" w14:textId="77777777" w:rsidTr="00672D2A">
        <w:tc>
          <w:tcPr>
            <w:tcW w:w="1188" w:type="dxa"/>
          </w:tcPr>
          <w:p w14:paraId="67C0ECE1" w14:textId="77777777" w:rsidR="001B1411" w:rsidRPr="00DA7625" w:rsidRDefault="001C7AB7">
            <w:pPr>
              <w:rPr>
                <w:rFonts w:ascii="Times New Roman" w:hAnsi="Times New Roman"/>
                <w:sz w:val="24"/>
              </w:rPr>
            </w:pPr>
            <w:r w:rsidRPr="00DA7625">
              <w:rPr>
                <w:rFonts w:ascii="Times New Roman" w:hAnsi="Times New Roman"/>
                <w:sz w:val="24"/>
              </w:rPr>
              <w:t>220</w:t>
            </w:r>
          </w:p>
        </w:tc>
        <w:tc>
          <w:tcPr>
            <w:tcW w:w="8843" w:type="dxa"/>
          </w:tcPr>
          <w:p w14:paraId="6F4C5B5D"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EGYÜTTES NEMTELJESÍTÉSRE VONATKOZÓ ELJÁRÁS: ELŐRE NEM RENDELKEZÉSRE BOCSÁTOTT HITELKOCKÁZATI FEDEZET</w:t>
            </w:r>
          </w:p>
          <w:p w14:paraId="5F59E0A4" w14:textId="05EE627D" w:rsidR="001B1411" w:rsidRPr="00DA7625" w:rsidRDefault="001C7AB7">
            <w:pPr>
              <w:rPr>
                <w:rFonts w:ascii="Times New Roman" w:hAnsi="Times New Roman"/>
                <w:b/>
                <w:sz w:val="24"/>
                <w:u w:val="single"/>
              </w:rPr>
            </w:pPr>
            <w:r w:rsidRPr="00DA7625">
              <w:rPr>
                <w:rFonts w:ascii="Times New Roman" w:hAnsi="Times New Roman"/>
                <w:sz w:val="24"/>
              </w:rPr>
              <w:t xml:space="preserve">Az együttes nemteljesítésre vonatkozó eljárással érintett kitettségeket fedező garanciák és hitelderivatívák a CRR 202. cikkének és 217. cikke (1) bekezdésének figyelembevételével. Lásd még a 040. „Garanciák” és a 050. „Hitelderivatívák” oszlopot. </w:t>
            </w:r>
          </w:p>
        </w:tc>
      </w:tr>
      <w:tr w:rsidR="001B1411" w:rsidRPr="00DA7625" w14:paraId="764740C6" w14:textId="77777777" w:rsidTr="00672D2A">
        <w:tc>
          <w:tcPr>
            <w:tcW w:w="1188" w:type="dxa"/>
          </w:tcPr>
          <w:p w14:paraId="5F21C48A" w14:textId="77777777" w:rsidR="001B1411" w:rsidRPr="00DA7625" w:rsidRDefault="001C7AB7">
            <w:pPr>
              <w:rPr>
                <w:rFonts w:ascii="Times New Roman" w:hAnsi="Times New Roman"/>
                <w:sz w:val="24"/>
              </w:rPr>
            </w:pPr>
            <w:r w:rsidRPr="00DA7625">
              <w:rPr>
                <w:rFonts w:ascii="Times New Roman" w:hAnsi="Times New Roman"/>
                <w:sz w:val="24"/>
              </w:rPr>
              <w:t>230</w:t>
            </w:r>
          </w:p>
        </w:tc>
        <w:tc>
          <w:tcPr>
            <w:tcW w:w="8843" w:type="dxa"/>
          </w:tcPr>
          <w:p w14:paraId="2D7DD034"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KITETTSÉGGEL SÚLYOZOTT ÁTLAGOS LGD (%)</w:t>
            </w:r>
          </w:p>
          <w:p w14:paraId="4EA92E36" w14:textId="6EF051D1" w:rsidR="001B1411" w:rsidRPr="00DA7625" w:rsidRDefault="001C7AB7">
            <w:pPr>
              <w:rPr>
                <w:rFonts w:ascii="Times New Roman" w:hAnsi="Times New Roman"/>
                <w:sz w:val="24"/>
              </w:rPr>
            </w:pPr>
            <w:r w:rsidRPr="00DA7625">
              <w:rPr>
                <w:rFonts w:ascii="Times New Roman" w:hAnsi="Times New Roman"/>
                <w:sz w:val="24"/>
              </w:rPr>
              <w:t xml:space="preserve">Figyelembe kell venni a hitelkockázat-mérséklési technikáknak az LGD-értékekre gyakorolt, a CRR harmadik része II. címe 3. és 4. fejezetében meghatározott teljes hatását. Az </w:t>
            </w:r>
            <w:r w:rsidRPr="00DA7625">
              <w:rPr>
                <w:rFonts w:ascii="Times New Roman" w:hAnsi="Times New Roman"/>
                <w:sz w:val="24"/>
              </w:rPr>
              <w:lastRenderedPageBreak/>
              <w:t>együttes nemteljesítésre vonatkozó eljárással érintett kitettségek esetében a feltüntetendő LGD a CRR 161. cikkének (4) bekezdése alapján kiválasztott LGD-nek felel meg.</w:t>
            </w:r>
          </w:p>
          <w:p w14:paraId="4B5EA6DB" w14:textId="73016443" w:rsidR="001B1411" w:rsidRPr="00DA7625" w:rsidRDefault="001C7AB7">
            <w:pPr>
              <w:rPr>
                <w:rFonts w:ascii="Times New Roman" w:hAnsi="Times New Roman"/>
                <w:sz w:val="24"/>
              </w:rPr>
            </w:pPr>
            <w:r w:rsidRPr="00DA7625">
              <w:rPr>
                <w:rFonts w:ascii="Times New Roman" w:hAnsi="Times New Roman"/>
                <w:sz w:val="24"/>
              </w:rPr>
              <w:t>Nemteljesítő kitettségek esetében a CRR 181. cikke (1) bekezdésének h) pontját kell figyelembe venni.</w:t>
            </w:r>
          </w:p>
          <w:p w14:paraId="09340637" w14:textId="24D323FA" w:rsidR="001B1411" w:rsidRPr="00DA7625" w:rsidRDefault="001C7AB7">
            <w:pPr>
              <w:rPr>
                <w:rFonts w:ascii="Times New Roman" w:hAnsi="Times New Roman"/>
                <w:sz w:val="24"/>
              </w:rPr>
            </w:pPr>
            <w:r w:rsidRPr="00DA7625">
              <w:rPr>
                <w:rFonts w:ascii="Times New Roman" w:hAnsi="Times New Roman"/>
                <w:sz w:val="24"/>
              </w:rPr>
              <w:t>A 110-es oszlopban említett kitettségérték alapján kell kiszámítani a kitettséggel súlyozott átlagokat.</w:t>
            </w:r>
          </w:p>
          <w:p w14:paraId="2BDF199D" w14:textId="77777777" w:rsidR="001B1411" w:rsidRPr="00DA7625" w:rsidRDefault="001C7AB7">
            <w:pPr>
              <w:rPr>
                <w:rFonts w:ascii="Times New Roman" w:hAnsi="Times New Roman"/>
                <w:sz w:val="24"/>
              </w:rPr>
            </w:pPr>
            <w:r w:rsidRPr="00DA7625">
              <w:rPr>
                <w:rFonts w:ascii="Times New Roman" w:hAnsi="Times New Roman"/>
                <w:sz w:val="24"/>
              </w:rPr>
              <w:t>Valamennyi hatást figyelembe kell venni, így az adatszolgáltatás kiterjed a jelzálogra alkalmazandó alsó határértékre is.</w:t>
            </w:r>
          </w:p>
          <w:p w14:paraId="28E66744" w14:textId="063D34CA" w:rsidR="001B1411" w:rsidRPr="00DA7625" w:rsidRDefault="001C7AB7">
            <w:pPr>
              <w:rPr>
                <w:rFonts w:ascii="Times New Roman" w:hAnsi="Times New Roman"/>
                <w:sz w:val="24"/>
              </w:rPr>
            </w:pPr>
            <w:r w:rsidRPr="00DA7625">
              <w:rPr>
                <w:rFonts w:ascii="Times New Roman" w:hAnsi="Times New Roman"/>
                <w:sz w:val="24"/>
              </w:rPr>
              <w:t>Az IRB-módszert alkalmazó, de saját LGD-becslést nem használó intézményeknél a pénzügyi biztosítékok kockázatmérséklő hatásait a kitettség teljes mértékben korrigált értéke (E*) tükrözi, majd azok a CRR 228. cikkének (2) bekezdésében említett LGD*-értékben is megjelennek.</w:t>
            </w:r>
          </w:p>
          <w:p w14:paraId="2A145D44" w14:textId="751EEF96" w:rsidR="001B1411" w:rsidRPr="00DA7625" w:rsidRDefault="001C7AB7">
            <w:pPr>
              <w:rPr>
                <w:rFonts w:ascii="Times New Roman" w:hAnsi="Times New Roman"/>
                <w:sz w:val="24"/>
              </w:rPr>
            </w:pPr>
            <w:r w:rsidRPr="00DA7625">
              <w:rPr>
                <w:rFonts w:ascii="Times New Roman" w:hAnsi="Times New Roman"/>
                <w:sz w:val="24"/>
              </w:rPr>
              <w:t>Az egyes PD-ügyfélkategóriákhoz vagy -halmazokhoz tartozó, kitettséggel súlyozott átlagos LGD az adott PD-kategóriához vagy -halmazhoz kapcsolt prudenciális LGD-értékeknek a 110. oszlop vonatkozó kitettségértékével súlyozott átlaga.</w:t>
            </w:r>
          </w:p>
          <w:p w14:paraId="6A4AD111" w14:textId="2285534A" w:rsidR="001B1411" w:rsidRPr="00DA7625" w:rsidRDefault="00BD6DB9">
            <w:pPr>
              <w:rPr>
                <w:rFonts w:ascii="Times New Roman" w:hAnsi="Times New Roman"/>
                <w:sz w:val="24"/>
              </w:rPr>
            </w:pPr>
            <w:r w:rsidRPr="00DA7625">
              <w:rPr>
                <w:rFonts w:ascii="Times New Roman" w:hAnsi="Times New Roman"/>
                <w:sz w:val="24"/>
              </w:rPr>
              <w:t>Ha az intézmény saját LGD-becslést alkalmaz, akkor figyelembe kell venni a CRR 175. cikkét, valamint 181. cikkének (1) és (2) bekezdését.</w:t>
            </w:r>
          </w:p>
          <w:p w14:paraId="5343716F" w14:textId="49AD7810" w:rsidR="001B1411" w:rsidRPr="00DA7625" w:rsidRDefault="001C7AB7">
            <w:pPr>
              <w:rPr>
                <w:rFonts w:ascii="Times New Roman" w:hAnsi="Times New Roman"/>
                <w:sz w:val="24"/>
              </w:rPr>
            </w:pPr>
            <w:r w:rsidRPr="00DA7625">
              <w:rPr>
                <w:rFonts w:ascii="Times New Roman" w:hAnsi="Times New Roman"/>
                <w:sz w:val="24"/>
              </w:rPr>
              <w:t>Az együttes nemteljesítésre vonatkozó eljárással érintett kitettségek esetében a feltüntetendő LGD a CRR 161. cikkének (4) bekezdése alapján kiválasztott LGD-nek felel meg.</w:t>
            </w:r>
          </w:p>
          <w:p w14:paraId="5D639D9E" w14:textId="77777777" w:rsidR="001B1411" w:rsidRPr="00DA7625" w:rsidRDefault="001C7AB7">
            <w:pPr>
              <w:rPr>
                <w:rFonts w:ascii="Times New Roman" w:hAnsi="Times New Roman"/>
                <w:sz w:val="24"/>
              </w:rPr>
            </w:pPr>
            <w:r w:rsidRPr="00DA7625">
              <w:rPr>
                <w:rFonts w:ascii="Times New Roman" w:hAnsi="Times New Roman"/>
                <w:sz w:val="24"/>
              </w:rPr>
              <w:t>A kitettséggel súlyozott átlagos LGD-értéket az adott illetékes hatóság által jóváhagyott belső minősítési rendszerben ténylegesen alkalmazott kockázati paraméterekből kell származtatni.</w:t>
            </w:r>
          </w:p>
          <w:p w14:paraId="51A29E9F" w14:textId="0F3AA7AF" w:rsidR="001B1411" w:rsidRPr="00DA7625" w:rsidRDefault="00224FE5">
            <w:pPr>
              <w:rPr>
                <w:rFonts w:ascii="Times New Roman" w:hAnsi="Times New Roman"/>
                <w:sz w:val="24"/>
              </w:rPr>
            </w:pPr>
            <w:r w:rsidRPr="00DA7625">
              <w:rPr>
                <w:rFonts w:ascii="Times New Roman" w:hAnsi="Times New Roman"/>
                <w:sz w:val="24"/>
              </w:rPr>
              <w:t>Az adatszolgáltatás nem terjed ki a 153. cikk (5) bekezdésében említett speciális hitelezési kitettségekre.</w:t>
            </w:r>
          </w:p>
          <w:p w14:paraId="66AC2D00" w14:textId="6F81BEC4" w:rsidR="001B1411" w:rsidRPr="00DA7625" w:rsidRDefault="001C7AB7">
            <w:pPr>
              <w:rPr>
                <w:rFonts w:ascii="Times New Roman" w:hAnsi="Times New Roman"/>
                <w:sz w:val="24"/>
              </w:rPr>
            </w:pPr>
            <w:r w:rsidRPr="00DA7625">
              <w:rPr>
                <w:rFonts w:ascii="Times New Roman" w:hAnsi="Times New Roman"/>
                <w:sz w:val="24"/>
              </w:rPr>
              <w:t xml:space="preserve">A 230. oszlop számításakor nem vehetők figyelembe a nagy méretű szabályozott pénzügyi ágazatbeli szervezetek, valamint a nem szabályozott pénzügyi vállalatok kitettségei és az azokhoz kapcsolódó LGD-értékek, ezek kizárólag a 240. oszlop kiszámításánál vehetők figyelembe. </w:t>
            </w:r>
          </w:p>
        </w:tc>
      </w:tr>
      <w:tr w:rsidR="001B1411" w:rsidRPr="00DA7625" w14:paraId="1525CBDC" w14:textId="77777777" w:rsidTr="00672D2A">
        <w:tc>
          <w:tcPr>
            <w:tcW w:w="1188" w:type="dxa"/>
          </w:tcPr>
          <w:p w14:paraId="268CDBB9" w14:textId="77777777" w:rsidR="001B1411" w:rsidRPr="00DA7625" w:rsidRDefault="001C7AB7">
            <w:pPr>
              <w:rPr>
                <w:rFonts w:ascii="Times New Roman" w:hAnsi="Times New Roman"/>
                <w:sz w:val="24"/>
              </w:rPr>
            </w:pPr>
            <w:r w:rsidRPr="00DA7625">
              <w:rPr>
                <w:rFonts w:ascii="Times New Roman" w:hAnsi="Times New Roman"/>
                <w:sz w:val="24"/>
              </w:rPr>
              <w:lastRenderedPageBreak/>
              <w:t>240</w:t>
            </w:r>
          </w:p>
        </w:tc>
        <w:tc>
          <w:tcPr>
            <w:tcW w:w="8843" w:type="dxa"/>
          </w:tcPr>
          <w:p w14:paraId="04D6225A"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NAGY MÉRETŰ PÉNZÜGYI ÁGAZATBELI SZERVEZETEK ÉS NEM SZABÁLYOZOTT PÉNZÜGYI VÁLLALATOK KITETTSÉGGEL SÚLYOZOTT ÁTLAGOS LGD-ÉRTÉKE (%)</w:t>
            </w:r>
          </w:p>
          <w:p w14:paraId="25F07784" w14:textId="30FF65B0" w:rsidR="001B1411" w:rsidRPr="00DA7625" w:rsidRDefault="001C7AB7">
            <w:pPr>
              <w:rPr>
                <w:rFonts w:ascii="Times New Roman" w:hAnsi="Times New Roman"/>
                <w:sz w:val="24"/>
              </w:rPr>
            </w:pPr>
            <w:r w:rsidRPr="00DA7625">
              <w:rPr>
                <w:rFonts w:ascii="Times New Roman" w:hAnsi="Times New Roman"/>
                <w:sz w:val="24"/>
              </w:rPr>
              <w:t>Kitettséggel súlyozott átlagos LGD-érték (%) a CRR 142. cikkének 4. pontjában meghatározott nagy méretű pénzügyi ágazatbeli szervezetekkel, valamint a CRR 142. cikkének 5. pontjában meghatározott nem szabályozott pénzügyi ágazatbeli szervezetekkel szembeni összes kitettségre vonatkozóan, a CRR 153. cikkének (2) bekezdése szerinti magasabb korrelációs együttható alkalmazásával.</w:t>
            </w:r>
          </w:p>
        </w:tc>
      </w:tr>
      <w:tr w:rsidR="001B1411" w:rsidRPr="00DA7625" w14:paraId="72416014" w14:textId="77777777" w:rsidTr="00672D2A">
        <w:tc>
          <w:tcPr>
            <w:tcW w:w="1188" w:type="dxa"/>
          </w:tcPr>
          <w:p w14:paraId="660A86A5" w14:textId="77777777" w:rsidR="001B1411" w:rsidRPr="00DA7625" w:rsidRDefault="001C7AB7">
            <w:pPr>
              <w:rPr>
                <w:rFonts w:ascii="Times New Roman" w:hAnsi="Times New Roman"/>
                <w:sz w:val="24"/>
              </w:rPr>
            </w:pPr>
            <w:r w:rsidRPr="00DA7625">
              <w:rPr>
                <w:rFonts w:ascii="Times New Roman" w:hAnsi="Times New Roman"/>
                <w:sz w:val="24"/>
              </w:rPr>
              <w:t>250</w:t>
            </w:r>
          </w:p>
        </w:tc>
        <w:tc>
          <w:tcPr>
            <w:tcW w:w="8843" w:type="dxa"/>
          </w:tcPr>
          <w:p w14:paraId="3CDC4BF9"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KITETTSÉGGEL SÚLYOZOTT ÁTLAGOS LEJÁRATI ÉRTÉK (NAP)</w:t>
            </w:r>
          </w:p>
          <w:p w14:paraId="6A5B55BD" w14:textId="52E618E5" w:rsidR="001B1411" w:rsidRPr="00DA7625" w:rsidRDefault="001C7AB7">
            <w:pPr>
              <w:rPr>
                <w:rFonts w:ascii="Times New Roman" w:hAnsi="Times New Roman"/>
                <w:sz w:val="24"/>
              </w:rPr>
            </w:pPr>
            <w:r w:rsidRPr="00DA7625">
              <w:rPr>
                <w:rFonts w:ascii="Times New Roman" w:hAnsi="Times New Roman"/>
                <w:sz w:val="24"/>
              </w:rPr>
              <w:t>A feltüntetendő értéket a CRR 162. cikkével összhangban kell meghatározni. A kitettségérték (110-es oszlop) alapján kell kiszámítani a kitettséggel súlyozott átlagokat. Az átlagos lejáratot napban kell megadni.</w:t>
            </w:r>
          </w:p>
          <w:p w14:paraId="4CF51C09" w14:textId="6055FC34" w:rsidR="001B1411" w:rsidRPr="00DA7625" w:rsidRDefault="001C7AB7">
            <w:pPr>
              <w:rPr>
                <w:rFonts w:ascii="Times New Roman" w:hAnsi="Times New Roman"/>
                <w:sz w:val="24"/>
              </w:rPr>
            </w:pPr>
            <w:r w:rsidRPr="00DA7625">
              <w:rPr>
                <w:rFonts w:ascii="Times New Roman" w:hAnsi="Times New Roman"/>
                <w:sz w:val="24"/>
              </w:rPr>
              <w:lastRenderedPageBreak/>
              <w:t xml:space="preserve">Ez az adat nem adható meg olyan kitettségérték esetén, amelynél a lejáratot nem veszik figyelembe a </w:t>
            </w:r>
            <w:r w:rsidRPr="00DA7625">
              <w:rPr>
                <w:rStyle w:val="InstructionsTabelleText"/>
                <w:rFonts w:ascii="Times New Roman" w:hAnsi="Times New Roman"/>
                <w:sz w:val="24"/>
              </w:rPr>
              <w:t>kockázattal súlyozott kitettségérték</w:t>
            </w:r>
            <w:r w:rsidRPr="00DA7625">
              <w:rPr>
                <w:rFonts w:ascii="Times New Roman" w:hAnsi="Times New Roman"/>
                <w:sz w:val="24"/>
              </w:rPr>
              <w:t xml:space="preserve"> kiszámításakor. Ez azt jelenti, hogy az oszlop a „lakosság” kitettségi osztályra vonatkozóan nem tölthető ki.</w:t>
            </w:r>
          </w:p>
        </w:tc>
      </w:tr>
      <w:tr w:rsidR="001B1411" w:rsidRPr="00DA7625" w14:paraId="173F47EB" w14:textId="77777777" w:rsidTr="00672D2A">
        <w:tc>
          <w:tcPr>
            <w:tcW w:w="1188" w:type="dxa"/>
          </w:tcPr>
          <w:p w14:paraId="510FE529" w14:textId="77777777" w:rsidR="001B1411" w:rsidRPr="00DA7625" w:rsidRDefault="001C7AB7">
            <w:pPr>
              <w:rPr>
                <w:rFonts w:ascii="Times New Roman" w:hAnsi="Times New Roman"/>
                <w:sz w:val="24"/>
              </w:rPr>
            </w:pPr>
            <w:r w:rsidRPr="00DA7625">
              <w:rPr>
                <w:rFonts w:ascii="Times New Roman" w:hAnsi="Times New Roman"/>
                <w:sz w:val="24"/>
              </w:rPr>
              <w:lastRenderedPageBreak/>
              <w:t>255</w:t>
            </w:r>
          </w:p>
        </w:tc>
        <w:tc>
          <w:tcPr>
            <w:tcW w:w="8843" w:type="dxa"/>
          </w:tcPr>
          <w:p w14:paraId="69D74682"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A KKV-SZORZÓ ELŐTTI, KOCKÁZATTAL SÚLYOZOTT KITETTSÉGÉRTÉK</w:t>
            </w:r>
          </w:p>
          <w:p w14:paraId="02B8E9A8" w14:textId="628D4D7A" w:rsidR="001B1411" w:rsidRPr="00DA7625" w:rsidRDefault="001C7AB7">
            <w:pPr>
              <w:rPr>
                <w:rFonts w:ascii="Times New Roman" w:hAnsi="Times New Roman"/>
                <w:sz w:val="24"/>
              </w:rPr>
            </w:pPr>
            <w:r w:rsidRPr="00DA7625">
              <w:rPr>
                <w:rFonts w:ascii="Times New Roman" w:hAnsi="Times New Roman"/>
                <w:sz w:val="24"/>
              </w:rPr>
              <w:t xml:space="preserve">A központi kormányzatok és központi bankok, a vállalkozások és az intézmények kitettségi osztályra vonatkozóan lásd a CRR 153. cikkének (1) és (3) bekezdését. A lakosság kitettségi osztályra vonatkozóan lásd a CRR 154. cikkének (1) bekezdését. </w:t>
            </w:r>
          </w:p>
          <w:p w14:paraId="0AE89240" w14:textId="08C31358" w:rsidR="001B1411" w:rsidRPr="00DA7625" w:rsidRDefault="001C7AB7">
            <w:pPr>
              <w:rPr>
                <w:rFonts w:ascii="Times New Roman" w:hAnsi="Times New Roman"/>
                <w:b/>
                <w:sz w:val="24"/>
                <w:u w:val="single"/>
              </w:rPr>
            </w:pPr>
            <w:r w:rsidRPr="00DA7625">
              <w:rPr>
                <w:rFonts w:ascii="Times New Roman" w:hAnsi="Times New Roman"/>
                <w:sz w:val="24"/>
              </w:rPr>
              <w:t>A CRR 501. cikkének (1) bekezdésében említett kkv-szorzót nem kell figyelembe venni.</w:t>
            </w:r>
          </w:p>
        </w:tc>
      </w:tr>
      <w:tr w:rsidR="001B1411" w:rsidRPr="00DA7625" w14:paraId="72EE3687" w14:textId="77777777" w:rsidTr="00672D2A">
        <w:tc>
          <w:tcPr>
            <w:tcW w:w="1188" w:type="dxa"/>
            <w:shd w:val="clear" w:color="auto" w:fill="auto"/>
          </w:tcPr>
          <w:p w14:paraId="71B6C259" w14:textId="77777777" w:rsidR="001B1411" w:rsidRPr="00DA7625" w:rsidRDefault="001C7AB7">
            <w:pPr>
              <w:rPr>
                <w:rFonts w:ascii="Times New Roman" w:hAnsi="Times New Roman"/>
                <w:sz w:val="24"/>
              </w:rPr>
            </w:pPr>
            <w:r w:rsidRPr="00DA7625">
              <w:rPr>
                <w:rFonts w:ascii="Times New Roman" w:hAnsi="Times New Roman"/>
                <w:sz w:val="24"/>
              </w:rPr>
              <w:t>260</w:t>
            </w:r>
          </w:p>
        </w:tc>
        <w:tc>
          <w:tcPr>
            <w:tcW w:w="8843" w:type="dxa"/>
            <w:shd w:val="clear" w:color="auto" w:fill="auto"/>
          </w:tcPr>
          <w:p w14:paraId="0B4AC5EF"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A KKV-SZORZÓ UTÁNI, KOCKÁZATTAL SÚLYOZOTT KITETTSÉGÉRTÉK</w:t>
            </w:r>
          </w:p>
          <w:p w14:paraId="4E982BC7" w14:textId="1870E060" w:rsidR="001B1411" w:rsidRPr="00DA7625" w:rsidRDefault="001C7AB7">
            <w:pPr>
              <w:rPr>
                <w:rFonts w:ascii="Times New Roman" w:hAnsi="Times New Roman"/>
                <w:sz w:val="24"/>
              </w:rPr>
            </w:pPr>
            <w:r w:rsidRPr="00DA7625">
              <w:rPr>
                <w:rFonts w:ascii="Times New Roman" w:hAnsi="Times New Roman"/>
                <w:sz w:val="24"/>
              </w:rPr>
              <w:t>A központi kormányzatok és központi bankok, a vállalkozások és az intézmények kitettségi osztályra vonatkozóan lásd a CRR 153. cikkének (1) és (3) bekezdését. A lakosság kitettségi osztályra vonatkozóan lásd a CRR 154. cikkének (1) bekezdését.</w:t>
            </w:r>
          </w:p>
          <w:p w14:paraId="3ED455D9" w14:textId="400EFC49" w:rsidR="001B1411" w:rsidRPr="00DA7625" w:rsidRDefault="001C7AB7">
            <w:pPr>
              <w:rPr>
                <w:rFonts w:ascii="Times New Roman" w:hAnsi="Times New Roman"/>
                <w:b/>
                <w:sz w:val="24"/>
                <w:u w:val="single"/>
              </w:rPr>
            </w:pPr>
            <w:r w:rsidRPr="00DA7625">
              <w:rPr>
                <w:rFonts w:ascii="Times New Roman" w:hAnsi="Times New Roman"/>
                <w:sz w:val="24"/>
              </w:rPr>
              <w:t>A CRR 501. cikkének (1) bekezdésében említett kkv-szorzót figyelembe kell venni.</w:t>
            </w:r>
          </w:p>
        </w:tc>
      </w:tr>
      <w:tr w:rsidR="001B1411" w:rsidRPr="00DA7625" w14:paraId="134DDB1B" w14:textId="77777777" w:rsidTr="00672D2A">
        <w:tc>
          <w:tcPr>
            <w:tcW w:w="1188" w:type="dxa"/>
            <w:shd w:val="clear" w:color="auto" w:fill="auto"/>
          </w:tcPr>
          <w:p w14:paraId="37AECAEF" w14:textId="77777777" w:rsidR="001B1411" w:rsidRPr="00DA7625" w:rsidRDefault="001C7AB7">
            <w:pPr>
              <w:rPr>
                <w:rFonts w:ascii="Times New Roman" w:hAnsi="Times New Roman"/>
                <w:sz w:val="24"/>
              </w:rPr>
            </w:pPr>
            <w:r w:rsidRPr="00DA7625">
              <w:rPr>
                <w:rFonts w:ascii="Times New Roman" w:hAnsi="Times New Roman"/>
                <w:sz w:val="24"/>
              </w:rPr>
              <w:t>270</w:t>
            </w:r>
          </w:p>
        </w:tc>
        <w:tc>
          <w:tcPr>
            <w:tcW w:w="8843" w:type="dxa"/>
            <w:shd w:val="clear" w:color="auto" w:fill="auto"/>
          </w:tcPr>
          <w:p w14:paraId="47AC1042"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EBBŐL: NAGY MÉRETŰ PÉNZÜGYI ÁGAZATBELI SZERVEZETEK ÉS NEM SZABÁLYOZOTT PÉNZÜGYI VÁLLALATOK</w:t>
            </w:r>
          </w:p>
          <w:p w14:paraId="2EF8A139" w14:textId="5F80640E" w:rsidR="001B1411" w:rsidRPr="00DA7625" w:rsidDel="005A2363" w:rsidRDefault="001C7AB7">
            <w:pPr>
              <w:rPr>
                <w:rFonts w:ascii="Times New Roman" w:hAnsi="Times New Roman"/>
                <w:sz w:val="24"/>
              </w:rPr>
            </w:pPr>
            <w:r w:rsidRPr="00DA7625">
              <w:rPr>
                <w:rFonts w:ascii="Times New Roman" w:hAnsi="Times New Roman"/>
                <w:sz w:val="24"/>
              </w:rPr>
              <w:t>A kkv-szorzó utáni, kockázattal súlyozott kitettségérték lebontása a CRR 142. cikkének 4. pontjában meghatározott nagy méretű pénzügyi ágazatbeli szervezetekkel szembeni valamennyi kitettségre és a CRR 142. cikkének 5. pontjában meghatározott nem szabályozott pénzügyi ágazatbeli szervezetekkel szembeni valamennyi kitettségre a CRR 153. cikkének (2) bekezdése szerinti magasabb korrelációs együttható alkalmazásával.</w:t>
            </w:r>
          </w:p>
        </w:tc>
      </w:tr>
      <w:tr w:rsidR="001B1411" w:rsidRPr="00DA7625" w14:paraId="16206C6A" w14:textId="77777777" w:rsidTr="00672D2A">
        <w:tc>
          <w:tcPr>
            <w:tcW w:w="1188" w:type="dxa"/>
          </w:tcPr>
          <w:p w14:paraId="2CDB54A8" w14:textId="77777777" w:rsidR="001B1411" w:rsidRPr="00DA7625" w:rsidRDefault="001C7AB7">
            <w:pPr>
              <w:rPr>
                <w:rFonts w:ascii="Times New Roman" w:hAnsi="Times New Roman"/>
                <w:sz w:val="24"/>
              </w:rPr>
            </w:pPr>
            <w:r w:rsidRPr="00DA7625">
              <w:rPr>
                <w:rFonts w:ascii="Times New Roman" w:hAnsi="Times New Roman"/>
                <w:sz w:val="24"/>
              </w:rPr>
              <w:t>280</w:t>
            </w:r>
          </w:p>
        </w:tc>
        <w:tc>
          <w:tcPr>
            <w:tcW w:w="8843" w:type="dxa"/>
          </w:tcPr>
          <w:p w14:paraId="754B6D32"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VÁRHATÓ VESZTESÉGÉRTÉK</w:t>
            </w:r>
          </w:p>
          <w:p w14:paraId="69A911E5" w14:textId="6384C986" w:rsidR="001B1411" w:rsidRPr="00DA7625" w:rsidRDefault="001C7AB7">
            <w:pPr>
              <w:jc w:val="left"/>
              <w:rPr>
                <w:rFonts w:ascii="Times New Roman" w:hAnsi="Times New Roman"/>
                <w:sz w:val="24"/>
              </w:rPr>
            </w:pPr>
            <w:r w:rsidRPr="00DA7625">
              <w:rPr>
                <w:rFonts w:ascii="Times New Roman" w:hAnsi="Times New Roman"/>
                <w:sz w:val="24"/>
              </w:rPr>
              <w:t>A várható veszteség meghatározását a CRR 5. cikkének (3) bekezdése, a várható veszteség összegének kiszámítását a CRR 158. cikke tartalmazza. A várható veszteség feltüntetendő értékét az adott illetékes hatóság által jóváhagyott belső minősítési rendszerben ténylegesen alkalmazott kockázati paraméterek alapján kell kiszámítani.</w:t>
            </w:r>
          </w:p>
        </w:tc>
      </w:tr>
      <w:tr w:rsidR="001B1411" w:rsidRPr="00DA7625" w14:paraId="040F1978" w14:textId="77777777" w:rsidTr="00672D2A">
        <w:tc>
          <w:tcPr>
            <w:tcW w:w="1188" w:type="dxa"/>
          </w:tcPr>
          <w:p w14:paraId="74EBD966" w14:textId="77777777" w:rsidR="001B1411" w:rsidRPr="00DA7625" w:rsidRDefault="001C7AB7">
            <w:pPr>
              <w:rPr>
                <w:rFonts w:ascii="Times New Roman" w:hAnsi="Times New Roman"/>
                <w:sz w:val="24"/>
              </w:rPr>
            </w:pPr>
            <w:r w:rsidRPr="00DA7625">
              <w:rPr>
                <w:rFonts w:ascii="Times New Roman" w:hAnsi="Times New Roman"/>
                <w:sz w:val="24"/>
              </w:rPr>
              <w:t>290</w:t>
            </w:r>
          </w:p>
        </w:tc>
        <w:tc>
          <w:tcPr>
            <w:tcW w:w="8843" w:type="dxa"/>
          </w:tcPr>
          <w:p w14:paraId="1700156B"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 ÉRTÉKELÉSI KORREKCIÓK ÉS CÉLTARTALÉKOK</w:t>
            </w:r>
          </w:p>
          <w:p w14:paraId="79426AFB" w14:textId="7E53E4BB" w:rsidR="001B1411" w:rsidRPr="00DA7625" w:rsidRDefault="001C7AB7">
            <w:pPr>
              <w:rPr>
                <w:rFonts w:ascii="Times New Roman" w:hAnsi="Times New Roman"/>
                <w:sz w:val="24"/>
                <w:highlight w:val="yellow"/>
              </w:rPr>
            </w:pPr>
            <w:r w:rsidRPr="00DA7625">
              <w:rPr>
                <w:rFonts w:ascii="Times New Roman" w:hAnsi="Times New Roman"/>
                <w:sz w:val="24"/>
              </w:rPr>
              <w:t>Az értékelési korrekciót, valamint a CRR 159. cikke szerinti egyedi és általános hitelkockázati kiigazításokat kell feltüntetni. Az általános</w:t>
            </w:r>
            <w:r w:rsidRPr="00DA7625">
              <w:rPr>
                <w:rFonts w:ascii="Times New Roman" w:hAnsi="Times New Roman"/>
                <w:b/>
                <w:bCs/>
                <w:i/>
                <w:iCs/>
                <w:sz w:val="24"/>
              </w:rPr>
              <w:t xml:space="preserve"> </w:t>
            </w:r>
            <w:r w:rsidRPr="00DA7625">
              <w:rPr>
                <w:rFonts w:ascii="Times New Roman" w:hAnsi="Times New Roman"/>
                <w:sz w:val="24"/>
              </w:rPr>
              <w:t>hitelkockázati kiigazításokat az egyes ügyfél-kategóriák várható vesztesége alapján arányosítva kell megadni.</w:t>
            </w:r>
          </w:p>
        </w:tc>
      </w:tr>
      <w:tr w:rsidR="001B1411" w:rsidRPr="00DA7625" w14:paraId="7AF7ED08" w14:textId="77777777" w:rsidTr="00672D2A">
        <w:tc>
          <w:tcPr>
            <w:tcW w:w="1188" w:type="dxa"/>
          </w:tcPr>
          <w:p w14:paraId="5250D4DA" w14:textId="77777777" w:rsidR="001B1411" w:rsidRPr="00DA7625" w:rsidRDefault="001C7AB7">
            <w:pPr>
              <w:ind w:right="-288"/>
              <w:rPr>
                <w:rFonts w:ascii="Times New Roman" w:hAnsi="Times New Roman"/>
                <w:sz w:val="24"/>
              </w:rPr>
            </w:pPr>
            <w:r w:rsidRPr="00DA7625">
              <w:rPr>
                <w:rFonts w:ascii="Times New Roman" w:hAnsi="Times New Roman"/>
                <w:sz w:val="24"/>
              </w:rPr>
              <w:t>300</w:t>
            </w:r>
          </w:p>
        </w:tc>
        <w:tc>
          <w:tcPr>
            <w:tcW w:w="8843" w:type="dxa"/>
          </w:tcPr>
          <w:p w14:paraId="02029B3F" w14:textId="77777777" w:rsidR="001B1411" w:rsidRPr="00DA7625" w:rsidRDefault="001C7AB7">
            <w:pPr>
              <w:ind w:right="-288"/>
              <w:rPr>
                <w:rFonts w:ascii="Times New Roman" w:hAnsi="Times New Roman"/>
                <w:b/>
                <w:sz w:val="24"/>
                <w:u w:val="single"/>
              </w:rPr>
            </w:pPr>
            <w:r w:rsidRPr="00DA7625">
              <w:rPr>
                <w:rFonts w:ascii="Times New Roman" w:hAnsi="Times New Roman"/>
                <w:b/>
                <w:sz w:val="24"/>
                <w:u w:val="single"/>
              </w:rPr>
              <w:t>A KÖTELEZETTEK SZÁMA</w:t>
            </w:r>
          </w:p>
          <w:p w14:paraId="390A7084" w14:textId="0BA9EFAF" w:rsidR="001B1411" w:rsidRPr="00DA7625" w:rsidRDefault="00BD6DB9">
            <w:pPr>
              <w:rPr>
                <w:rFonts w:ascii="Times New Roman" w:hAnsi="Times New Roman"/>
                <w:sz w:val="24"/>
              </w:rPr>
            </w:pPr>
            <w:r w:rsidRPr="00DA7625">
              <w:rPr>
                <w:rFonts w:ascii="Times New Roman" w:hAnsi="Times New Roman"/>
                <w:sz w:val="24"/>
              </w:rPr>
              <w:t>A CRR 172. cikkének (1) és (2) bekezdése</w:t>
            </w:r>
          </w:p>
          <w:p w14:paraId="608B4D5F" w14:textId="1227C2C0" w:rsidR="001B1411" w:rsidRPr="00DA7625" w:rsidRDefault="001C7AB7">
            <w:pPr>
              <w:rPr>
                <w:rFonts w:ascii="Times New Roman" w:hAnsi="Times New Roman"/>
                <w:sz w:val="24"/>
              </w:rPr>
            </w:pPr>
            <w:r w:rsidRPr="00DA7625">
              <w:rPr>
                <w:rFonts w:ascii="Times New Roman" w:hAnsi="Times New Roman"/>
                <w:sz w:val="24"/>
              </w:rPr>
              <w:t xml:space="preserve">A lakossági kitettségi osztály, valamint a CRR 172. cikke (1) bekezdése e) pontjának második mondatában említett esetek kivételével az intézmény valamennyi kitettségi osztályra vonatkozóan a külön minősített jogi személyek/kötelezettek számát adja meg a különböző fennálló hitelek vagy kitettségek számától függetlenül. </w:t>
            </w:r>
          </w:p>
          <w:p w14:paraId="5B24290D" w14:textId="7E5B7C65" w:rsidR="001B1411" w:rsidRPr="00DA7625" w:rsidRDefault="001C7AB7">
            <w:pPr>
              <w:rPr>
                <w:rFonts w:ascii="Times New Roman" w:hAnsi="Times New Roman"/>
                <w:sz w:val="24"/>
              </w:rPr>
            </w:pPr>
            <w:r w:rsidRPr="00DA7625">
              <w:rPr>
                <w:rFonts w:ascii="Times New Roman" w:hAnsi="Times New Roman"/>
                <w:sz w:val="24"/>
              </w:rPr>
              <w:t xml:space="preserve">A lakossági kitettségi osztályon belül, vagy ha más kitettségi osztályokban ugyanazon kötelezettel szembeni külön kitettségeket különböző ügyfél-kategóriákhoz rendelnek a CRR 172. cikke (1) bekezdése e) pontjának második mondatával összhangban, az intézmény azon kitettségek számát adja meg, amelyeket külön soroltak be egy bizonyos minősítési </w:t>
            </w:r>
            <w:r w:rsidRPr="00DA7625">
              <w:rPr>
                <w:rFonts w:ascii="Times New Roman" w:hAnsi="Times New Roman"/>
                <w:sz w:val="24"/>
              </w:rPr>
              <w:lastRenderedPageBreak/>
              <w:t>kategóriába vagy -halmazba. A CRR 172. cikke (2) bekezdésének alkalmazásakor egy kötelezett egynél több kategóriában is figyelembe vehető.</w:t>
            </w:r>
          </w:p>
          <w:p w14:paraId="1547B503" w14:textId="16C026F4" w:rsidR="001B1411" w:rsidRPr="00DA7625" w:rsidRDefault="001C7AB7">
            <w:pPr>
              <w:rPr>
                <w:rFonts w:ascii="Times New Roman" w:hAnsi="Times New Roman"/>
                <w:sz w:val="24"/>
              </w:rPr>
            </w:pPr>
            <w:r w:rsidRPr="00DA7625">
              <w:rPr>
                <w:rStyle w:val="InstructionsTabelleText"/>
                <w:rFonts w:ascii="Times New Roman" w:hAnsi="Times New Roman"/>
                <w:sz w:val="24"/>
              </w:rPr>
              <w:t>Mivel ez az oszlop a minősítési rendszerek egyik szerkezeti elemét érinti, az egyes ügyfél-kategóriákba vagy -halmazokba sorolt hitel-egyenértékesítési tényezők előtti eredeti kitettséghez kapcsolódik, a hitelkockázat-mérséklési technikák hatásainak (különösen a redisztribúciós hatás) figyelembevétele nélkül.</w:t>
            </w:r>
          </w:p>
        </w:tc>
      </w:tr>
    </w:tbl>
    <w:p w14:paraId="144D4DE9" w14:textId="77777777" w:rsidR="001B1411" w:rsidRPr="00DA7625" w:rsidRDefault="001B1411">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B1411" w:rsidRPr="00DA7625" w14:paraId="67A7870D" w14:textId="77777777" w:rsidTr="00672D2A">
        <w:tc>
          <w:tcPr>
            <w:tcW w:w="1242" w:type="dxa"/>
            <w:shd w:val="clear" w:color="auto" w:fill="CCCCCC"/>
          </w:tcPr>
          <w:p w14:paraId="74B29CD0" w14:textId="77777777" w:rsidR="001B1411" w:rsidRPr="00DA7625" w:rsidRDefault="001C7AB7">
            <w:pPr>
              <w:rPr>
                <w:rFonts w:ascii="Times New Roman" w:hAnsi="Times New Roman"/>
                <w:sz w:val="24"/>
              </w:rPr>
            </w:pPr>
            <w:r w:rsidRPr="00DA7625">
              <w:rPr>
                <w:rFonts w:ascii="Times New Roman" w:hAnsi="Times New Roman"/>
                <w:sz w:val="24"/>
              </w:rPr>
              <w:t>Sor</w:t>
            </w:r>
          </w:p>
        </w:tc>
        <w:tc>
          <w:tcPr>
            <w:tcW w:w="8789" w:type="dxa"/>
            <w:shd w:val="clear" w:color="auto" w:fill="CCCCCC"/>
          </w:tcPr>
          <w:p w14:paraId="0336C81C" w14:textId="77777777" w:rsidR="001B1411" w:rsidRPr="00DA7625" w:rsidRDefault="001C7AB7">
            <w:pPr>
              <w:ind w:left="72"/>
              <w:rPr>
                <w:rFonts w:ascii="Times New Roman" w:hAnsi="Times New Roman"/>
                <w:sz w:val="24"/>
              </w:rPr>
            </w:pPr>
            <w:r w:rsidRPr="00DA7625">
              <w:rPr>
                <w:rFonts w:ascii="Times New Roman" w:hAnsi="Times New Roman"/>
                <w:sz w:val="24"/>
              </w:rPr>
              <w:t>Útmutató</w:t>
            </w:r>
          </w:p>
        </w:tc>
      </w:tr>
      <w:tr w:rsidR="001B1411" w:rsidRPr="00DA7625" w14:paraId="2C25964C" w14:textId="77777777" w:rsidTr="00672D2A">
        <w:tc>
          <w:tcPr>
            <w:tcW w:w="1242" w:type="dxa"/>
          </w:tcPr>
          <w:p w14:paraId="20F4F65D" w14:textId="77777777" w:rsidR="001B1411" w:rsidRPr="00DA7625" w:rsidRDefault="001C7AB7">
            <w:pPr>
              <w:rPr>
                <w:rFonts w:ascii="Times New Roman" w:hAnsi="Times New Roman"/>
                <w:sz w:val="24"/>
              </w:rPr>
            </w:pPr>
            <w:r w:rsidRPr="00DA7625">
              <w:rPr>
                <w:rFonts w:ascii="Times New Roman" w:hAnsi="Times New Roman"/>
                <w:sz w:val="24"/>
              </w:rPr>
              <w:t>010</w:t>
            </w:r>
          </w:p>
        </w:tc>
        <w:tc>
          <w:tcPr>
            <w:tcW w:w="8789" w:type="dxa"/>
          </w:tcPr>
          <w:p w14:paraId="709C02D5" w14:textId="77777777" w:rsidR="001B1411" w:rsidRPr="00DA7625" w:rsidRDefault="001C7AB7">
            <w:pPr>
              <w:rPr>
                <w:rFonts w:ascii="Times New Roman" w:hAnsi="Times New Roman"/>
                <w:sz w:val="24"/>
              </w:rPr>
            </w:pPr>
            <w:r w:rsidRPr="00DA7625">
              <w:rPr>
                <w:rFonts w:ascii="Times New Roman" w:hAnsi="Times New Roman"/>
                <w:b/>
                <w:sz w:val="24"/>
                <w:u w:val="single"/>
              </w:rPr>
              <w:t>TELJES KITETTSÉG</w:t>
            </w:r>
          </w:p>
        </w:tc>
      </w:tr>
      <w:tr w:rsidR="001B1411" w:rsidRPr="00DA7625" w14:paraId="00F02146" w14:textId="77777777" w:rsidTr="00672D2A">
        <w:tc>
          <w:tcPr>
            <w:tcW w:w="1242" w:type="dxa"/>
          </w:tcPr>
          <w:p w14:paraId="3903B142" w14:textId="77777777" w:rsidR="001B1411" w:rsidRPr="00DA7625" w:rsidRDefault="003C3168">
            <w:pPr>
              <w:rPr>
                <w:rFonts w:ascii="Times New Roman" w:hAnsi="Times New Roman"/>
                <w:sz w:val="24"/>
              </w:rPr>
            </w:pPr>
            <w:r w:rsidRPr="00DA7625">
              <w:rPr>
                <w:rFonts w:ascii="Times New Roman" w:hAnsi="Times New Roman"/>
                <w:sz w:val="24"/>
              </w:rPr>
              <w:t>015</w:t>
            </w:r>
          </w:p>
        </w:tc>
        <w:tc>
          <w:tcPr>
            <w:tcW w:w="8789" w:type="dxa"/>
          </w:tcPr>
          <w:p w14:paraId="5DB40E09" w14:textId="77777777" w:rsidR="001B1411" w:rsidRPr="00DA7625" w:rsidRDefault="00785F3E">
            <w:pPr>
              <w:rPr>
                <w:rFonts w:ascii="Times New Roman" w:hAnsi="Times New Roman"/>
                <w:b/>
                <w:sz w:val="24"/>
                <w:u w:val="single"/>
              </w:rPr>
            </w:pPr>
            <w:r w:rsidRPr="00DA7625">
              <w:rPr>
                <w:rFonts w:ascii="Times New Roman" w:hAnsi="Times New Roman"/>
                <w:b/>
                <w:sz w:val="24"/>
                <w:u w:val="single"/>
              </w:rPr>
              <w:t>Ebből: Kitettség a kkv-szorzó alkalmazásával</w:t>
            </w:r>
          </w:p>
          <w:p w14:paraId="5F8B6009" w14:textId="77777777" w:rsidR="001B1411" w:rsidRPr="00DA7625" w:rsidRDefault="00785F3E">
            <w:pPr>
              <w:rPr>
                <w:rFonts w:ascii="Times New Roman" w:hAnsi="Times New Roman"/>
                <w:sz w:val="24"/>
              </w:rPr>
            </w:pPr>
            <w:r w:rsidRPr="00DA7625">
              <w:rPr>
                <w:rFonts w:ascii="Times New Roman" w:hAnsi="Times New Roman"/>
                <w:sz w:val="24"/>
              </w:rPr>
              <w:t>Itt csak azokat a kkv-kal szembeni kitettségeket kell feltüntetni, amelyek teljesítik a CRR 501. cikkének (2) bekezdésében előírt követelményeket.</w:t>
            </w:r>
          </w:p>
        </w:tc>
      </w:tr>
      <w:tr w:rsidR="001B1411" w:rsidRPr="00DA7625" w14:paraId="6936BCF8" w14:textId="77777777" w:rsidTr="00672D2A">
        <w:tc>
          <w:tcPr>
            <w:tcW w:w="1242" w:type="dxa"/>
          </w:tcPr>
          <w:p w14:paraId="17393267" w14:textId="77777777" w:rsidR="001B1411" w:rsidRPr="00DA7625" w:rsidRDefault="001C7AB7">
            <w:pPr>
              <w:rPr>
                <w:rFonts w:ascii="Times New Roman" w:hAnsi="Times New Roman"/>
                <w:sz w:val="24"/>
              </w:rPr>
            </w:pPr>
            <w:r w:rsidRPr="00DA7625">
              <w:rPr>
                <w:rFonts w:ascii="Times New Roman" w:hAnsi="Times New Roman"/>
                <w:sz w:val="24"/>
              </w:rPr>
              <w:t>020–060</w:t>
            </w:r>
          </w:p>
        </w:tc>
        <w:tc>
          <w:tcPr>
            <w:tcW w:w="8789" w:type="dxa"/>
          </w:tcPr>
          <w:p w14:paraId="084F6733" w14:textId="77777777" w:rsidR="001B1411" w:rsidRPr="00DA7625" w:rsidRDefault="001C7AB7">
            <w:pPr>
              <w:rPr>
                <w:rFonts w:ascii="Times New Roman" w:hAnsi="Times New Roman"/>
                <w:sz w:val="24"/>
              </w:rPr>
            </w:pPr>
            <w:r w:rsidRPr="00DA7625">
              <w:rPr>
                <w:rFonts w:ascii="Times New Roman" w:hAnsi="Times New Roman"/>
                <w:sz w:val="24"/>
              </w:rPr>
              <w:t>A TELJES KITETTSÉG KITETTSÉGTÍPUS SZERINTI BONTÁSA</w:t>
            </w:r>
          </w:p>
        </w:tc>
      </w:tr>
      <w:tr w:rsidR="001B1411" w:rsidRPr="00DA7625" w14:paraId="0C7A79BA" w14:textId="77777777" w:rsidTr="00672D2A">
        <w:tc>
          <w:tcPr>
            <w:tcW w:w="1242" w:type="dxa"/>
          </w:tcPr>
          <w:p w14:paraId="73FC6971" w14:textId="77777777" w:rsidR="001B1411" w:rsidRPr="00DA7625" w:rsidRDefault="001C7AB7">
            <w:pPr>
              <w:rPr>
                <w:rFonts w:ascii="Times New Roman" w:hAnsi="Times New Roman"/>
                <w:sz w:val="24"/>
              </w:rPr>
            </w:pPr>
            <w:r w:rsidRPr="00DA7625">
              <w:rPr>
                <w:rFonts w:ascii="Times New Roman" w:hAnsi="Times New Roman"/>
                <w:sz w:val="24"/>
              </w:rPr>
              <w:t>020</w:t>
            </w:r>
          </w:p>
        </w:tc>
        <w:tc>
          <w:tcPr>
            <w:tcW w:w="8789" w:type="dxa"/>
          </w:tcPr>
          <w:p w14:paraId="3566196D"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 xml:space="preserve">Hitelkockázattal érintett mérlegtételek </w:t>
            </w:r>
          </w:p>
          <w:p w14:paraId="28EA2A5D" w14:textId="620E7722" w:rsidR="001B1411" w:rsidRPr="00DA7625" w:rsidRDefault="001C7AB7">
            <w:pPr>
              <w:rPr>
                <w:rStyle w:val="InstructionsTabelleText"/>
                <w:rFonts w:ascii="Times New Roman" w:hAnsi="Times New Roman"/>
                <w:sz w:val="24"/>
              </w:rPr>
            </w:pPr>
            <w:r w:rsidRPr="00DA7625">
              <w:rPr>
                <w:rStyle w:val="InstructionsTabelleText"/>
                <w:rFonts w:ascii="Times New Roman" w:hAnsi="Times New Roman"/>
                <w:sz w:val="24"/>
              </w:rPr>
              <w:t>A CRR 24. cikkében említett, más kategóriába nem sorolt eszközök.</w:t>
            </w:r>
          </w:p>
          <w:p w14:paraId="3A67FB5E" w14:textId="77777777" w:rsidR="001B1411" w:rsidRPr="00DA7625" w:rsidRDefault="001C7AB7">
            <w:pPr>
              <w:rPr>
                <w:rStyle w:val="InstructionsTabelleText"/>
                <w:rFonts w:ascii="Times New Roman" w:hAnsi="Times New Roman"/>
                <w:sz w:val="24"/>
              </w:rPr>
            </w:pPr>
            <w:r w:rsidRPr="00DA7625">
              <w:rPr>
                <w:rStyle w:val="InstructionsTabelleText"/>
                <w:rFonts w:ascii="Times New Roman" w:hAnsi="Times New Roman"/>
                <w:sz w:val="24"/>
              </w:rPr>
              <w:t>Azokat a mérlegtételnek minősülő kitettségeket, amelyeket értékpapír-finanszírozási ügyletként vagy származtatott ügyletként, illetve hosszú teljesítési idejű ügyletként számítanak be, vagy eltérő termékkategóriák közötti nettósításról szóló szerződéses megállapodásból erednek, a 040–060. sorban kell feltüntetni, így ebben a sorban nem szerepeltethetők.</w:t>
            </w:r>
          </w:p>
          <w:p w14:paraId="422306DC" w14:textId="35795F25" w:rsidR="001B1411" w:rsidRPr="00DA7625" w:rsidRDefault="001C7AB7">
            <w:pPr>
              <w:rPr>
                <w:rStyle w:val="InstructionsTabelleText"/>
                <w:rFonts w:ascii="Times New Roman" w:hAnsi="Times New Roman"/>
                <w:sz w:val="24"/>
              </w:rPr>
            </w:pPr>
            <w:r w:rsidRPr="00DA7625">
              <w:rPr>
                <w:rStyle w:val="InstructionsTabelleText"/>
                <w:rFonts w:ascii="Times New Roman" w:hAnsi="Times New Roman"/>
                <w:sz w:val="24"/>
              </w:rPr>
              <w:t>A CRR 379. cikkének (1) bekezdésében említett, le nem vont nyitva szállítások nem minősülnek mérlegtételnek, azonban azokat ebben a sorban fel kell tüntetni.</w:t>
            </w:r>
          </w:p>
          <w:p w14:paraId="54CB0B39" w14:textId="4086BDBD" w:rsidR="001B1411" w:rsidRPr="00DA7625" w:rsidRDefault="001C7AB7">
            <w:pPr>
              <w:rPr>
                <w:rFonts w:ascii="Times New Roman" w:hAnsi="Times New Roman"/>
                <w:sz w:val="24"/>
              </w:rPr>
            </w:pPr>
            <w:r w:rsidRPr="00DA7625">
              <w:rPr>
                <w:rStyle w:val="InstructionsTabelleText"/>
                <w:rFonts w:ascii="Times New Roman" w:hAnsi="Times New Roman"/>
                <w:sz w:val="24"/>
              </w:rPr>
              <w:t xml:space="preserve">A CRR 4. cikke (1) bekezdésének 91. pontja értelmében a központi szerződő félre könyvelt eszközből eredő kitettségeket be kell számítani akkor, ha azok a 030. sorban nem szerepelnek. </w:t>
            </w:r>
          </w:p>
        </w:tc>
      </w:tr>
      <w:tr w:rsidR="001B1411" w:rsidRPr="00DA7625" w14:paraId="6E8A95CE" w14:textId="77777777" w:rsidTr="00672D2A">
        <w:tc>
          <w:tcPr>
            <w:tcW w:w="1242" w:type="dxa"/>
          </w:tcPr>
          <w:p w14:paraId="519C9D40" w14:textId="77777777" w:rsidR="001B1411" w:rsidRPr="00DA7625" w:rsidRDefault="001C7AB7">
            <w:pPr>
              <w:rPr>
                <w:rFonts w:ascii="Times New Roman" w:hAnsi="Times New Roman"/>
                <w:sz w:val="24"/>
              </w:rPr>
            </w:pPr>
            <w:r w:rsidRPr="00DA7625">
              <w:rPr>
                <w:rFonts w:ascii="Times New Roman" w:hAnsi="Times New Roman"/>
                <w:sz w:val="24"/>
              </w:rPr>
              <w:t>030</w:t>
            </w:r>
          </w:p>
        </w:tc>
        <w:tc>
          <w:tcPr>
            <w:tcW w:w="8789" w:type="dxa"/>
          </w:tcPr>
          <w:p w14:paraId="00498170"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Hitelkockázattal érintett mérlegen kívüli tételek</w:t>
            </w:r>
          </w:p>
          <w:p w14:paraId="1EF7495B" w14:textId="3D96EE29" w:rsidR="001B1411" w:rsidRPr="00DA7625" w:rsidRDefault="001C7AB7">
            <w:pPr>
              <w:rPr>
                <w:rStyle w:val="InstructionsTabelleText"/>
                <w:rFonts w:ascii="Times New Roman" w:hAnsi="Times New Roman"/>
                <w:sz w:val="24"/>
              </w:rPr>
            </w:pPr>
            <w:r w:rsidRPr="00DA7625">
              <w:rPr>
                <w:rStyle w:val="InstructionsTabelleText"/>
                <w:rFonts w:ascii="Times New Roman" w:hAnsi="Times New Roman"/>
                <w:sz w:val="24"/>
              </w:rPr>
              <w:t>A mérlegen kívüli tételek közé a CRR I. mellékletében felsorolt tételek tartoznak.</w:t>
            </w:r>
          </w:p>
          <w:p w14:paraId="0FC5ED39" w14:textId="623B7C4D" w:rsidR="001B1411" w:rsidRPr="00DA7625" w:rsidRDefault="001C7AB7">
            <w:pPr>
              <w:rPr>
                <w:rStyle w:val="InstructionsTabelleText"/>
                <w:rFonts w:ascii="Times New Roman" w:hAnsi="Times New Roman"/>
                <w:sz w:val="24"/>
              </w:rPr>
            </w:pPr>
            <w:r w:rsidRPr="00DA7625">
              <w:rPr>
                <w:rStyle w:val="InstructionsTabelleText"/>
                <w:rFonts w:ascii="Times New Roman" w:hAnsi="Times New Roman"/>
                <w:sz w:val="24"/>
              </w:rPr>
              <w:t>Azokat a mérlegen kívüli tételnek minősülő kitettségeket, amelyek értékpapír-finanszírozási ügyletek vagy származtatott ügyletek, illetve hosszú teljesítési idejű ügyletek, vagy eltérő termékkategóriák közötti nettósításról szóló szerződéses megállapodásból erednek, a 040–060. sorban kell feltüntetni, így ebben a sorban nem szerepeltethetők.</w:t>
            </w:r>
          </w:p>
          <w:p w14:paraId="372A584F" w14:textId="3E542904" w:rsidR="001B1411" w:rsidRPr="00DA7625" w:rsidRDefault="001C7AB7">
            <w:pPr>
              <w:rPr>
                <w:rFonts w:ascii="Times New Roman" w:hAnsi="Times New Roman"/>
                <w:sz w:val="24"/>
              </w:rPr>
            </w:pPr>
            <w:r w:rsidRPr="00DA7625">
              <w:rPr>
                <w:rStyle w:val="InstructionsTabelleText"/>
                <w:rFonts w:ascii="Times New Roman" w:hAnsi="Times New Roman"/>
                <w:sz w:val="24"/>
              </w:rPr>
              <w:t>A CRR 4. cikke (1) bekezdésének 91. pontja értelmében a központi szerződő félre könyvelt eszközből eredő kitettségeket be kell számítani akkor, ha azok mérlegen kívüli tételnek minősülnek.</w:t>
            </w:r>
          </w:p>
        </w:tc>
      </w:tr>
      <w:tr w:rsidR="001B1411" w:rsidRPr="00DA7625" w14:paraId="7BC6039A" w14:textId="77777777" w:rsidTr="00672D2A">
        <w:tc>
          <w:tcPr>
            <w:tcW w:w="1242" w:type="dxa"/>
          </w:tcPr>
          <w:p w14:paraId="55A1E823" w14:textId="77777777" w:rsidR="001B1411" w:rsidRPr="00DA7625" w:rsidRDefault="001C7AB7">
            <w:pPr>
              <w:rPr>
                <w:rFonts w:ascii="Times New Roman" w:hAnsi="Times New Roman"/>
                <w:sz w:val="24"/>
              </w:rPr>
            </w:pPr>
            <w:r w:rsidRPr="00DA7625">
              <w:rPr>
                <w:rStyle w:val="InstructionsTabelleText"/>
                <w:rFonts w:ascii="Times New Roman" w:hAnsi="Times New Roman"/>
                <w:sz w:val="24"/>
              </w:rPr>
              <w:t>040–060</w:t>
            </w:r>
          </w:p>
        </w:tc>
        <w:tc>
          <w:tcPr>
            <w:tcW w:w="8789" w:type="dxa"/>
          </w:tcPr>
          <w:p w14:paraId="3F535A8F" w14:textId="77777777" w:rsidR="001B1411" w:rsidRPr="00DA7625" w:rsidRDefault="001C7AB7">
            <w:pPr>
              <w:rPr>
                <w:rFonts w:ascii="Times New Roman" w:hAnsi="Times New Roman"/>
                <w:b/>
                <w:sz w:val="24"/>
                <w:u w:val="single"/>
              </w:rPr>
            </w:pPr>
            <w:r w:rsidRPr="00DA7625">
              <w:rPr>
                <w:rStyle w:val="InstructionsTabelleberschrift"/>
                <w:rFonts w:ascii="Times New Roman" w:hAnsi="Times New Roman"/>
                <w:sz w:val="24"/>
              </w:rPr>
              <w:t>Partnerkockázattal érintett kitettségek/ügyletek</w:t>
            </w:r>
          </w:p>
        </w:tc>
      </w:tr>
      <w:tr w:rsidR="001B1411" w:rsidRPr="00DA7625" w14:paraId="664A63CB" w14:textId="77777777" w:rsidTr="00672D2A">
        <w:tc>
          <w:tcPr>
            <w:tcW w:w="1242" w:type="dxa"/>
          </w:tcPr>
          <w:p w14:paraId="76851B1C" w14:textId="77777777" w:rsidR="001B1411" w:rsidRPr="00DA7625" w:rsidRDefault="001C7AB7">
            <w:pPr>
              <w:rPr>
                <w:rFonts w:ascii="Times New Roman" w:hAnsi="Times New Roman"/>
                <w:sz w:val="24"/>
              </w:rPr>
            </w:pPr>
            <w:r w:rsidRPr="00DA7625">
              <w:rPr>
                <w:rFonts w:ascii="Times New Roman" w:hAnsi="Times New Roman"/>
                <w:sz w:val="24"/>
              </w:rPr>
              <w:t>040</w:t>
            </w:r>
          </w:p>
        </w:tc>
        <w:tc>
          <w:tcPr>
            <w:tcW w:w="8789" w:type="dxa"/>
          </w:tcPr>
          <w:p w14:paraId="6B6DFE3A" w14:textId="77777777" w:rsidR="001B1411" w:rsidRPr="00DA7625" w:rsidRDefault="001C7AB7">
            <w:pPr>
              <w:ind w:left="72"/>
              <w:rPr>
                <w:rStyle w:val="InstructionsTabelleberschrift"/>
                <w:rFonts w:ascii="Times New Roman" w:hAnsi="Times New Roman"/>
                <w:sz w:val="24"/>
              </w:rPr>
            </w:pPr>
            <w:r w:rsidRPr="00DA7625">
              <w:rPr>
                <w:rStyle w:val="InstructionsTabelleberschrift"/>
                <w:rFonts w:ascii="Times New Roman" w:hAnsi="Times New Roman"/>
                <w:sz w:val="24"/>
              </w:rPr>
              <w:t xml:space="preserve">Értékpapír-finanszírozási ügyletek </w:t>
            </w:r>
          </w:p>
          <w:p w14:paraId="75BED70D" w14:textId="4B57C44A" w:rsidR="001B1411" w:rsidRPr="00DA7625" w:rsidRDefault="001C7AB7">
            <w:pPr>
              <w:ind w:left="72"/>
              <w:rPr>
                <w:rStyle w:val="InstructionsTabelleText"/>
                <w:rFonts w:ascii="Times New Roman" w:hAnsi="Times New Roman"/>
                <w:sz w:val="24"/>
              </w:rPr>
            </w:pPr>
            <w:r w:rsidRPr="00DA7625">
              <w:rPr>
                <w:rStyle w:val="InstructionsTabelleText"/>
                <w:rFonts w:ascii="Times New Roman" w:hAnsi="Times New Roman"/>
                <w:sz w:val="24"/>
              </w:rPr>
              <w:lastRenderedPageBreak/>
              <w:t>A Bázeli Bankfelügyeleti Bizottság „A Bázel II alkalmazása a kereskedési tevékenységek és az együttes nemteljesítés kezelése terén” c. dokumentumának 17. bekezdésében meghatározott értékpapír-finanszírozási ügyletek (SFT) magukban foglalják: i. a CRR 4. cikke (1) bekezdésének 82. pontjában meghatározott repo- és fordított repomegállapodásokat, valamint az értékpapír- és áru-kölcsönbeadási, illetve -kölcsönvételi ügyleteket, valamint ii. a CRR 272. cikkének (3) bekezdésében meghatározott értékpapírügylethez kapcsolódó hiteleket.</w:t>
            </w:r>
          </w:p>
          <w:p w14:paraId="354D01CA" w14:textId="77777777" w:rsidR="001B1411" w:rsidRPr="00DA7625" w:rsidRDefault="001C7AB7">
            <w:pPr>
              <w:rPr>
                <w:rFonts w:ascii="Times New Roman" w:hAnsi="Times New Roman"/>
                <w:sz w:val="24"/>
              </w:rPr>
            </w:pPr>
            <w:r w:rsidRPr="00DA7625">
              <w:rPr>
                <w:rStyle w:val="InstructionsTabelleText"/>
                <w:rFonts w:ascii="Times New Roman" w:hAnsi="Times New Roman"/>
                <w:sz w:val="24"/>
              </w:rPr>
              <w:t>Azok az értékpapír-finanszírozási ügyletek, amelyek termékkategóriák közötti nettósítás részét képezik és ennélfogva a 060. sorban szerepelnek, ebben a sorban nem tüntethetők fel.</w:t>
            </w:r>
          </w:p>
        </w:tc>
      </w:tr>
      <w:tr w:rsidR="001B1411" w:rsidRPr="00DA7625" w14:paraId="25EC65F2" w14:textId="77777777" w:rsidTr="00672D2A">
        <w:tc>
          <w:tcPr>
            <w:tcW w:w="1242" w:type="dxa"/>
          </w:tcPr>
          <w:p w14:paraId="4EE3528A" w14:textId="77777777" w:rsidR="001B1411" w:rsidRPr="00DA7625" w:rsidRDefault="001C7AB7">
            <w:pPr>
              <w:rPr>
                <w:rFonts w:ascii="Times New Roman" w:hAnsi="Times New Roman"/>
                <w:sz w:val="24"/>
              </w:rPr>
            </w:pPr>
            <w:r w:rsidRPr="00DA7625">
              <w:rPr>
                <w:rFonts w:ascii="Times New Roman" w:hAnsi="Times New Roman"/>
                <w:sz w:val="24"/>
              </w:rPr>
              <w:lastRenderedPageBreak/>
              <w:t>050</w:t>
            </w:r>
          </w:p>
        </w:tc>
        <w:tc>
          <w:tcPr>
            <w:tcW w:w="8789" w:type="dxa"/>
          </w:tcPr>
          <w:p w14:paraId="01E25247"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Származtatott</w:t>
            </w:r>
            <w:r w:rsidRPr="00DA7625">
              <w:rPr>
                <w:rStyle w:val="InstructionsTabelleberschrift"/>
                <w:rFonts w:ascii="Times New Roman" w:hAnsi="Times New Roman"/>
                <w:sz w:val="24"/>
              </w:rPr>
              <w:t xml:space="preserve"> és hosszú teljesítési idejű ügyletek</w:t>
            </w:r>
          </w:p>
          <w:p w14:paraId="627B0E9C" w14:textId="01122B3F" w:rsidR="001B1411" w:rsidRPr="00DA7625" w:rsidRDefault="001C7AB7">
            <w:pPr>
              <w:ind w:left="72"/>
              <w:rPr>
                <w:rFonts w:ascii="Times New Roman" w:hAnsi="Times New Roman"/>
                <w:sz w:val="24"/>
              </w:rPr>
            </w:pPr>
            <w:r w:rsidRPr="00DA7625">
              <w:rPr>
                <w:rStyle w:val="InstructionsTabelleText"/>
                <w:rFonts w:ascii="Times New Roman" w:hAnsi="Times New Roman"/>
                <w:sz w:val="24"/>
              </w:rPr>
              <w:t>A származtatott ügyletek a CRR II. mellékletében felsorolt szerződéseket foglalják magukban. Azok a származtatott ügyletek és hosszú teljesítési idejű ügyletek, amelyek termékkategóriák közötti nettósítás részét képezik, és ennélfogva a 060-as sorban szerepelnek, ebben a sorban nem tüntethetők fel.</w:t>
            </w:r>
          </w:p>
        </w:tc>
      </w:tr>
      <w:tr w:rsidR="001B1411" w:rsidRPr="00DA7625" w14:paraId="20C1482C" w14:textId="77777777" w:rsidTr="00672D2A">
        <w:tc>
          <w:tcPr>
            <w:tcW w:w="1242" w:type="dxa"/>
          </w:tcPr>
          <w:p w14:paraId="790FB546" w14:textId="77777777" w:rsidR="001B1411" w:rsidRPr="00DA7625" w:rsidRDefault="001C7AB7">
            <w:pPr>
              <w:rPr>
                <w:rFonts w:ascii="Times New Roman" w:hAnsi="Times New Roman"/>
                <w:sz w:val="24"/>
              </w:rPr>
            </w:pPr>
            <w:r w:rsidRPr="00DA7625">
              <w:rPr>
                <w:rFonts w:ascii="Times New Roman" w:hAnsi="Times New Roman"/>
                <w:sz w:val="24"/>
              </w:rPr>
              <w:t>060</w:t>
            </w:r>
          </w:p>
        </w:tc>
        <w:tc>
          <w:tcPr>
            <w:tcW w:w="8789" w:type="dxa"/>
          </w:tcPr>
          <w:p w14:paraId="6AAA3FC1"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Eltérő termékkategóriák közötti nettósításról szóló szerződéses megállapodásból</w:t>
            </w:r>
          </w:p>
          <w:p w14:paraId="205CBCBC" w14:textId="77777777" w:rsidR="001B1411" w:rsidRPr="00DA7625" w:rsidRDefault="00FD6CCB">
            <w:pPr>
              <w:rPr>
                <w:rFonts w:ascii="Times New Roman" w:hAnsi="Times New Roman"/>
                <w:sz w:val="24"/>
              </w:rPr>
            </w:pPr>
            <w:r w:rsidRPr="00DA7625">
              <w:rPr>
                <w:rFonts w:ascii="Times New Roman" w:hAnsi="Times New Roman"/>
                <w:sz w:val="24"/>
              </w:rPr>
              <w:t>Lásd a CR SA táblához tartozó útmutatót.</w:t>
            </w:r>
          </w:p>
        </w:tc>
      </w:tr>
      <w:tr w:rsidR="001B1411" w:rsidRPr="00DA7625" w14:paraId="4E7568B1" w14:textId="77777777" w:rsidTr="00672D2A">
        <w:tc>
          <w:tcPr>
            <w:tcW w:w="1242" w:type="dxa"/>
          </w:tcPr>
          <w:p w14:paraId="31FA8B97" w14:textId="77777777" w:rsidR="001B1411" w:rsidRPr="00DA7625" w:rsidRDefault="001C7AB7">
            <w:pPr>
              <w:rPr>
                <w:rFonts w:ascii="Times New Roman" w:hAnsi="Times New Roman"/>
                <w:sz w:val="24"/>
              </w:rPr>
            </w:pPr>
            <w:r w:rsidRPr="00DA7625">
              <w:rPr>
                <w:rFonts w:ascii="Times New Roman" w:hAnsi="Times New Roman"/>
                <w:sz w:val="24"/>
              </w:rPr>
              <w:t>070</w:t>
            </w:r>
          </w:p>
        </w:tc>
        <w:tc>
          <w:tcPr>
            <w:tcW w:w="8789" w:type="dxa"/>
          </w:tcPr>
          <w:p w14:paraId="73C9DDE5" w14:textId="77777777" w:rsidR="001B1411" w:rsidRPr="00DA7625" w:rsidRDefault="001C7AB7">
            <w:pPr>
              <w:rPr>
                <w:rFonts w:ascii="Times New Roman" w:hAnsi="Times New Roman"/>
                <w:b/>
                <w:sz w:val="24"/>
                <w:u w:val="single"/>
              </w:rPr>
            </w:pPr>
            <w:r w:rsidRPr="00DA7625">
              <w:rPr>
                <w:rFonts w:ascii="Times New Roman" w:hAnsi="Times New Roman"/>
                <w:b/>
                <w:sz w:val="24"/>
                <w:u w:val="single"/>
              </w:rPr>
              <w:t>ÜGYFÉL-KATEGÓRIÁKBA VAGY –HALMAZOKBA (POOLOKBA) SOROLT KITETTSÉGEK: ÖSSZESEN</w:t>
            </w:r>
          </w:p>
          <w:p w14:paraId="22528351" w14:textId="7CC76043" w:rsidR="001B1411" w:rsidRPr="00DA7625" w:rsidRDefault="001C7AB7">
            <w:pPr>
              <w:rPr>
                <w:rFonts w:ascii="Times New Roman" w:hAnsi="Times New Roman"/>
                <w:sz w:val="24"/>
              </w:rPr>
            </w:pPr>
            <w:r w:rsidRPr="00DA7625">
              <w:rPr>
                <w:rFonts w:ascii="Times New Roman" w:hAnsi="Times New Roman"/>
                <w:sz w:val="24"/>
              </w:rPr>
              <w:t xml:space="preserve">Vállalkozásokkal, intézményekkel és központi kormányzatokkal, valamint központi bankokkal szembeni kitettségekkel kapcsolatban lásd a CRR 142. cikke (1) bekezdésének 6. pontját, valamint 170. cikke (1) bekezdésének c) pontját. </w:t>
            </w:r>
          </w:p>
          <w:p w14:paraId="52848E45" w14:textId="4BF9E2D0" w:rsidR="001B1411" w:rsidRPr="00DA7625" w:rsidRDefault="001C7AB7">
            <w:pPr>
              <w:rPr>
                <w:rFonts w:ascii="Times New Roman" w:hAnsi="Times New Roman"/>
                <w:sz w:val="24"/>
              </w:rPr>
            </w:pPr>
            <w:r w:rsidRPr="00DA7625">
              <w:rPr>
                <w:rFonts w:ascii="Times New Roman" w:hAnsi="Times New Roman"/>
                <w:sz w:val="24"/>
              </w:rPr>
              <w:t xml:space="preserve">A lakossággal szembeni kitettségekkel kapcsolatban lásd a CRR 170. cikke (3) bekezdésének b) pontját. A vásárolt követelésekből eredő kitettségekkel kapcsolatban lásd a CRR 166. cikkének (6) bekezdését. </w:t>
            </w:r>
          </w:p>
          <w:p w14:paraId="4252D0B9" w14:textId="77777777" w:rsidR="001B1411" w:rsidRPr="00DA7625" w:rsidRDefault="001C7AB7">
            <w:pPr>
              <w:rPr>
                <w:rFonts w:ascii="Times New Roman" w:hAnsi="Times New Roman"/>
                <w:sz w:val="24"/>
              </w:rPr>
            </w:pPr>
            <w:r w:rsidRPr="00DA7625">
              <w:rPr>
                <w:rFonts w:ascii="Times New Roman" w:hAnsi="Times New Roman"/>
                <w:sz w:val="24"/>
              </w:rPr>
              <w:t>A vásárolt követelések felhígulási kockázatával összefüggő kitettségeket nem kell ügyfél-kategóriák és -halmazok szerint jelenteni, így az ilyen kitettségeket a 180. sorban kell feltüntetni.</w:t>
            </w:r>
          </w:p>
          <w:p w14:paraId="7E1E1302" w14:textId="77777777" w:rsidR="001B1411" w:rsidRPr="00DA7625" w:rsidRDefault="001C7AB7">
            <w:pPr>
              <w:rPr>
                <w:rFonts w:ascii="Times New Roman" w:hAnsi="Times New Roman"/>
                <w:sz w:val="24"/>
              </w:rPr>
            </w:pPr>
            <w:r w:rsidRPr="00DA7625">
              <w:rPr>
                <w:rFonts w:ascii="Times New Roman" w:hAnsi="Times New Roman"/>
                <w:sz w:val="24"/>
              </w:rPr>
              <w:t xml:space="preserve">Ha az intézmény nagyszámú ügyfél-kategóriát vagy -halmazt alkalmaz, akkor adatszolgáltatási célból a kategóriák vagy -halmazok csökkentett számáról állapodhat meg az illetékes hatóságokkal. </w:t>
            </w:r>
          </w:p>
          <w:p w14:paraId="62CC30B5" w14:textId="77777777" w:rsidR="001B1411" w:rsidRPr="00DA7625" w:rsidRDefault="00C93697">
            <w:pPr>
              <w:rPr>
                <w:rFonts w:ascii="Times New Roman" w:hAnsi="Times New Roman"/>
                <w:sz w:val="24"/>
              </w:rPr>
            </w:pPr>
            <w:r w:rsidRPr="00DA7625">
              <w:rPr>
                <w:rFonts w:ascii="Times New Roman" w:hAnsi="Times New Roman"/>
                <w:sz w:val="24"/>
              </w:rPr>
              <w:t xml:space="preserve">Nincs irányadó skála. Ehelyett az intézmények az alkalmazni kívánt skálát saját maguk határozzák meg. </w:t>
            </w:r>
          </w:p>
        </w:tc>
      </w:tr>
      <w:tr w:rsidR="001B1411" w:rsidRPr="00DA7625" w14:paraId="5B21935D" w14:textId="77777777" w:rsidTr="00672D2A">
        <w:tc>
          <w:tcPr>
            <w:tcW w:w="1242" w:type="dxa"/>
          </w:tcPr>
          <w:p w14:paraId="093E3F72" w14:textId="77777777" w:rsidR="001B1411" w:rsidRPr="00DA7625" w:rsidRDefault="001C7AB7">
            <w:pPr>
              <w:rPr>
                <w:rFonts w:ascii="Times New Roman" w:hAnsi="Times New Roman"/>
                <w:sz w:val="24"/>
              </w:rPr>
            </w:pPr>
            <w:r w:rsidRPr="00DA7625">
              <w:rPr>
                <w:rFonts w:ascii="Times New Roman" w:hAnsi="Times New Roman"/>
                <w:sz w:val="24"/>
              </w:rPr>
              <w:t>080</w:t>
            </w:r>
          </w:p>
        </w:tc>
        <w:tc>
          <w:tcPr>
            <w:tcW w:w="8789" w:type="dxa"/>
          </w:tcPr>
          <w:p w14:paraId="3414B688" w14:textId="4C7F2219" w:rsidR="001B1411" w:rsidRPr="00DA7625" w:rsidRDefault="001C7AB7">
            <w:pPr>
              <w:rPr>
                <w:rFonts w:ascii="Times New Roman" w:hAnsi="Times New Roman"/>
                <w:sz w:val="24"/>
              </w:rPr>
            </w:pPr>
            <w:r w:rsidRPr="00DA7625">
              <w:rPr>
                <w:rFonts w:ascii="Times New Roman" w:hAnsi="Times New Roman"/>
                <w:b/>
                <w:sz w:val="24"/>
                <w:u w:val="single"/>
              </w:rPr>
              <w:t>SLOTTING KRITÉRIUM SZERINTI SPECIÁLIS HITELEZÉSI KITETTSÉGEK: ÖSSZESEN</w:t>
            </w:r>
          </w:p>
          <w:p w14:paraId="19AB4923" w14:textId="377F13FE" w:rsidR="001B1411" w:rsidRPr="00DA7625" w:rsidRDefault="001C7AB7">
            <w:pPr>
              <w:rPr>
                <w:rFonts w:ascii="Times New Roman" w:hAnsi="Times New Roman"/>
                <w:sz w:val="24"/>
              </w:rPr>
            </w:pPr>
            <w:r w:rsidRPr="00DA7625">
              <w:rPr>
                <w:rFonts w:ascii="Times New Roman" w:hAnsi="Times New Roman"/>
                <w:sz w:val="24"/>
              </w:rPr>
              <w:t xml:space="preserve">A CRR 153. cikkének (5) bekezdése Kizárólag a vállalkozásokkal, intézményekkel és központi kormányzatokkal, valamint központi bankokkal szembeni kitettségekre vonatkozik. </w:t>
            </w:r>
          </w:p>
        </w:tc>
      </w:tr>
      <w:tr w:rsidR="001B1411" w:rsidRPr="00DA7625" w14:paraId="246BA3CD" w14:textId="77777777" w:rsidTr="00672D2A">
        <w:tc>
          <w:tcPr>
            <w:tcW w:w="1242" w:type="dxa"/>
          </w:tcPr>
          <w:p w14:paraId="321F33D9" w14:textId="77777777" w:rsidR="001B1411" w:rsidRPr="00DA7625" w:rsidRDefault="001C7AB7">
            <w:pPr>
              <w:rPr>
                <w:rFonts w:ascii="Times New Roman" w:hAnsi="Times New Roman"/>
                <w:sz w:val="24"/>
              </w:rPr>
            </w:pPr>
            <w:r w:rsidRPr="00DA7625">
              <w:rPr>
                <w:rFonts w:ascii="Times New Roman" w:hAnsi="Times New Roman"/>
                <w:sz w:val="24"/>
              </w:rPr>
              <w:t>090–150</w:t>
            </w:r>
          </w:p>
        </w:tc>
        <w:tc>
          <w:tcPr>
            <w:tcW w:w="8789" w:type="dxa"/>
          </w:tcPr>
          <w:p w14:paraId="7214D63C" w14:textId="212ECF04" w:rsidR="001B1411" w:rsidRPr="00DA7625" w:rsidRDefault="001C7AB7">
            <w:pPr>
              <w:rPr>
                <w:rStyle w:val="InstructionsTabelleberschrift"/>
                <w:rFonts w:ascii="Times New Roman" w:hAnsi="Times New Roman"/>
                <w:sz w:val="24"/>
              </w:rPr>
            </w:pPr>
            <w:r w:rsidRPr="00DA7625">
              <w:rPr>
                <w:rStyle w:val="InstructionsTabelleberschrift"/>
                <w:rFonts w:ascii="Times New Roman" w:hAnsi="Times New Roman"/>
                <w:sz w:val="24"/>
              </w:rPr>
              <w:t>A SLOTTING KRITÉRIUM SZERINTI TELJES SPECIÁLIS HITELEZÉSI KITETTSÉG KOCKÁZATI SÚLY SZERINTI BONTÁSA:</w:t>
            </w:r>
          </w:p>
        </w:tc>
      </w:tr>
      <w:tr w:rsidR="001B1411" w:rsidRPr="00DA7625" w14:paraId="57FD0E83" w14:textId="77777777" w:rsidTr="00672D2A">
        <w:tc>
          <w:tcPr>
            <w:tcW w:w="1242" w:type="dxa"/>
          </w:tcPr>
          <w:p w14:paraId="5077A772" w14:textId="77777777" w:rsidR="001B1411" w:rsidRPr="00DA7625" w:rsidRDefault="001C7AB7">
            <w:pPr>
              <w:rPr>
                <w:rFonts w:ascii="Times New Roman" w:hAnsi="Times New Roman"/>
                <w:sz w:val="24"/>
              </w:rPr>
            </w:pPr>
            <w:r w:rsidRPr="00DA7625">
              <w:rPr>
                <w:rFonts w:ascii="Times New Roman" w:hAnsi="Times New Roman"/>
                <w:sz w:val="24"/>
              </w:rPr>
              <w:lastRenderedPageBreak/>
              <w:t>120</w:t>
            </w:r>
          </w:p>
        </w:tc>
        <w:tc>
          <w:tcPr>
            <w:tcW w:w="8789" w:type="dxa"/>
          </w:tcPr>
          <w:p w14:paraId="195F8E31" w14:textId="77777777" w:rsidR="001B1411" w:rsidRPr="00DA7625" w:rsidRDefault="001C7AB7">
            <w:pPr>
              <w:rPr>
                <w:rStyle w:val="InstructionsTabelleberschrift"/>
                <w:rFonts w:ascii="Times New Roman" w:hAnsi="Times New Roman"/>
                <w:sz w:val="24"/>
              </w:rPr>
            </w:pPr>
            <w:r w:rsidRPr="00DA7625">
              <w:rPr>
                <w:rStyle w:val="InstructionsTabelleberschrift"/>
                <w:rFonts w:ascii="Times New Roman" w:hAnsi="Times New Roman"/>
                <w:sz w:val="24"/>
              </w:rPr>
              <w:t xml:space="preserve">Ebből: az 1. kategóriában </w:t>
            </w:r>
          </w:p>
          <w:p w14:paraId="01DEB61C" w14:textId="3E38240B" w:rsidR="001B1411" w:rsidRPr="00DA7625" w:rsidRDefault="00133396">
            <w:pPr>
              <w:rPr>
                <w:rFonts w:ascii="Times New Roman" w:hAnsi="Times New Roman"/>
                <w:sz w:val="24"/>
              </w:rPr>
            </w:pPr>
            <w:r w:rsidRPr="00DA7625">
              <w:rPr>
                <w:rFonts w:ascii="Times New Roman" w:hAnsi="Times New Roman"/>
                <w:sz w:val="24"/>
              </w:rPr>
              <w:t>A CRR 153. cikkének (5) bekezdése, 1. táblázat</w:t>
            </w:r>
          </w:p>
        </w:tc>
      </w:tr>
      <w:tr w:rsidR="001B1411" w:rsidRPr="00DA7625" w14:paraId="19A70C29" w14:textId="77777777" w:rsidTr="00672D2A">
        <w:tc>
          <w:tcPr>
            <w:tcW w:w="1242" w:type="dxa"/>
          </w:tcPr>
          <w:p w14:paraId="2222963B" w14:textId="77777777" w:rsidR="001B1411" w:rsidRPr="00DA7625" w:rsidRDefault="001C7AB7">
            <w:pPr>
              <w:rPr>
                <w:rFonts w:ascii="Times New Roman" w:hAnsi="Times New Roman"/>
                <w:sz w:val="24"/>
              </w:rPr>
            </w:pPr>
            <w:r w:rsidRPr="00DA7625">
              <w:rPr>
                <w:rFonts w:ascii="Times New Roman" w:hAnsi="Times New Roman"/>
                <w:sz w:val="24"/>
              </w:rPr>
              <w:t>160</w:t>
            </w:r>
          </w:p>
        </w:tc>
        <w:tc>
          <w:tcPr>
            <w:tcW w:w="8789" w:type="dxa"/>
          </w:tcPr>
          <w:p w14:paraId="23EA095C" w14:textId="77777777" w:rsidR="001B1411" w:rsidRPr="00DA7625" w:rsidRDefault="001C7AB7">
            <w:pPr>
              <w:rPr>
                <w:rStyle w:val="InstructionsTabelleberschrift"/>
                <w:rFonts w:ascii="Times New Roman" w:hAnsi="Times New Roman"/>
                <w:sz w:val="24"/>
              </w:rPr>
            </w:pPr>
            <w:r w:rsidRPr="00DA7625">
              <w:rPr>
                <w:rStyle w:val="InstructionsTabelleberschrift"/>
                <w:rFonts w:ascii="Times New Roman" w:hAnsi="Times New Roman"/>
                <w:sz w:val="24"/>
              </w:rPr>
              <w:t>ALTERNATÍV KEZELÉS: INGATLANNAL FEDEZETT</w:t>
            </w:r>
          </w:p>
          <w:p w14:paraId="6475E38A" w14:textId="2712F6F5" w:rsidR="001B1411" w:rsidRPr="00DA7625" w:rsidRDefault="00BD6DB9">
            <w:pPr>
              <w:rPr>
                <w:rFonts w:ascii="Times New Roman" w:hAnsi="Times New Roman"/>
                <w:sz w:val="24"/>
              </w:rPr>
            </w:pPr>
            <w:r w:rsidRPr="00DA7625">
              <w:rPr>
                <w:rFonts w:ascii="Times New Roman" w:hAnsi="Times New Roman"/>
                <w:sz w:val="24"/>
              </w:rPr>
              <w:t>A CRR 193. cikkének (1) és (2) bekezdése, 194. cikkének (1)–(7) bekezdése, valamint 230. cikkének (3) bekezdése</w:t>
            </w:r>
          </w:p>
        </w:tc>
      </w:tr>
      <w:tr w:rsidR="001B1411" w:rsidRPr="00DA7625" w14:paraId="0474B7EE" w14:textId="77777777" w:rsidTr="00672D2A">
        <w:tc>
          <w:tcPr>
            <w:tcW w:w="1242" w:type="dxa"/>
          </w:tcPr>
          <w:p w14:paraId="388A515E" w14:textId="77777777" w:rsidR="001B1411" w:rsidRPr="00DA7625" w:rsidRDefault="001C7AB7">
            <w:pPr>
              <w:rPr>
                <w:rFonts w:ascii="Times New Roman" w:hAnsi="Times New Roman"/>
                <w:sz w:val="24"/>
              </w:rPr>
            </w:pPr>
            <w:r w:rsidRPr="00DA7625">
              <w:rPr>
                <w:rFonts w:ascii="Times New Roman" w:hAnsi="Times New Roman"/>
                <w:sz w:val="24"/>
              </w:rPr>
              <w:t>170</w:t>
            </w:r>
          </w:p>
        </w:tc>
        <w:tc>
          <w:tcPr>
            <w:tcW w:w="8789" w:type="dxa"/>
          </w:tcPr>
          <w:p w14:paraId="2D606023" w14:textId="77777777" w:rsidR="001B1411" w:rsidRPr="00DA7625" w:rsidRDefault="001C7AB7">
            <w:pPr>
              <w:rPr>
                <w:rStyle w:val="InstructionsTabelleberschrift"/>
                <w:rFonts w:ascii="Times New Roman" w:hAnsi="Times New Roman"/>
                <w:sz w:val="24"/>
              </w:rPr>
            </w:pPr>
            <w:r w:rsidRPr="00DA7625">
              <w:rPr>
                <w:rStyle w:val="InstructionsTabelleberschrift"/>
                <w:rFonts w:ascii="Times New Roman" w:hAnsi="Times New Roman"/>
                <w:sz w:val="24"/>
              </w:rPr>
              <w:t>NYITVA SZÁLLÍTÁSBÓL EREDŐ, ALTERNATÍV KEZELÉS ALAPJÁN MEGÁLLAPÍTOTT VAGY 100 %-OS KOCKÁZATI SÚLYÚ KITETTSÉGEK, VALAMINT EGYÉB, KOCKÁZATI SÚLYOZÁS ALÁ TARTOZÓ KITETTSÉGEK</w:t>
            </w:r>
          </w:p>
          <w:p w14:paraId="6554E226" w14:textId="7677BA98" w:rsidR="001B1411" w:rsidRPr="00DA7625" w:rsidRDefault="001C7AB7">
            <w:pPr>
              <w:rPr>
                <w:rFonts w:ascii="Times New Roman" w:hAnsi="Times New Roman"/>
                <w:sz w:val="24"/>
              </w:rPr>
            </w:pPr>
            <w:r w:rsidRPr="00DA7625">
              <w:rPr>
                <w:rFonts w:ascii="Times New Roman" w:hAnsi="Times New Roman"/>
                <w:sz w:val="24"/>
              </w:rPr>
              <w:t>Olyan nyitva szállításokból eredő kitettségek, amelyek a CRR 379. cikke (2) bekezdése első albekezdésének utolsó mondatában említett alternatív kezelés körébe tartoznak, vagy amelyek a CRR 379. cikke (2) bekezdésének utolsó albekezdése alapján 100 %-os kockázati súlyt kapnak. A nem minősített, a CRR 153. cikkének (8) bekezdése szerinti n-edik nemteljesítéskor lehívható hitelderivatívákat, valamint a máshová nem sorolt, kockázati súlyozás alá tartozó egyéb kitettségeket ebben a sorban kell feltüntetni.</w:t>
            </w:r>
          </w:p>
        </w:tc>
      </w:tr>
      <w:tr w:rsidR="001B1411" w:rsidRPr="00DA7625" w14:paraId="239C4002" w14:textId="77777777" w:rsidTr="00672D2A">
        <w:tc>
          <w:tcPr>
            <w:tcW w:w="1242" w:type="dxa"/>
          </w:tcPr>
          <w:p w14:paraId="0CC0DD10" w14:textId="77777777" w:rsidR="001B1411" w:rsidRPr="00DA7625" w:rsidRDefault="001C7AB7">
            <w:pPr>
              <w:rPr>
                <w:rFonts w:ascii="Times New Roman" w:hAnsi="Times New Roman"/>
                <w:sz w:val="24"/>
              </w:rPr>
            </w:pPr>
            <w:r w:rsidRPr="00DA7625">
              <w:rPr>
                <w:rFonts w:ascii="Times New Roman" w:hAnsi="Times New Roman"/>
                <w:sz w:val="24"/>
              </w:rPr>
              <w:t>180</w:t>
            </w:r>
          </w:p>
        </w:tc>
        <w:tc>
          <w:tcPr>
            <w:tcW w:w="8789" w:type="dxa"/>
          </w:tcPr>
          <w:p w14:paraId="5DED59BF" w14:textId="77777777" w:rsidR="001B1411" w:rsidRPr="00DA7625" w:rsidRDefault="001C7AB7">
            <w:pPr>
              <w:rPr>
                <w:rStyle w:val="InstructionsTabelleberschrift"/>
                <w:rFonts w:ascii="Times New Roman" w:hAnsi="Times New Roman"/>
                <w:sz w:val="24"/>
              </w:rPr>
            </w:pPr>
            <w:r w:rsidRPr="00DA7625">
              <w:rPr>
                <w:rStyle w:val="InstructionsTabelleberschrift"/>
                <w:rFonts w:ascii="Times New Roman" w:hAnsi="Times New Roman"/>
                <w:sz w:val="24"/>
              </w:rPr>
              <w:t>FELHÍGULÁSI KOCKÁZAT: VÁSÁROLT KÖVETELÉSEK ÖSSZESEN</w:t>
            </w:r>
          </w:p>
          <w:p w14:paraId="7598D14B" w14:textId="61F766B3" w:rsidR="001B1411" w:rsidRPr="00DA7625" w:rsidRDefault="001C7AB7">
            <w:pPr>
              <w:rPr>
                <w:rFonts w:ascii="Times New Roman" w:hAnsi="Times New Roman"/>
                <w:sz w:val="24"/>
              </w:rPr>
            </w:pPr>
            <w:r w:rsidRPr="00DA7625">
              <w:rPr>
                <w:rFonts w:ascii="Times New Roman" w:hAnsi="Times New Roman"/>
                <w:sz w:val="24"/>
              </w:rPr>
              <w:t>A felhígulási kockázat meghatározását a CRR 4. cikke (1) bekezdésének 53. pontja tartalmazza. A felhígulási kockázatra vonatkozó kockázati súly kiszámításával kapcsolatban lásd a CRR 157. cikkének (1) bekezdését.</w:t>
            </w:r>
          </w:p>
          <w:p w14:paraId="02A23372" w14:textId="799E2427" w:rsidR="001B1411" w:rsidRPr="00DA7625" w:rsidRDefault="00BB22D4">
            <w:pPr>
              <w:rPr>
                <w:rFonts w:ascii="Times New Roman" w:hAnsi="Times New Roman"/>
                <w:sz w:val="24"/>
              </w:rPr>
            </w:pPr>
            <w:r w:rsidRPr="00DA7625">
              <w:rPr>
                <w:rFonts w:ascii="Times New Roman" w:hAnsi="Times New Roman"/>
                <w:sz w:val="24"/>
              </w:rPr>
              <w:t xml:space="preserve">A CRR 166. cikkének (6) bekezdése szerint a vásárolt követelések kitettségértéke a kintlévőség összege a felhígulási kockázatra vonatkozó, kockázattal súlyozott, hitelkockázat-mérséklés előtti </w:t>
            </w:r>
            <w:r w:rsidRPr="00DA7625">
              <w:rPr>
                <w:rStyle w:val="InstructionsTabelleText"/>
                <w:rFonts w:ascii="Times New Roman" w:hAnsi="Times New Roman"/>
                <w:sz w:val="24"/>
              </w:rPr>
              <w:t>kitettségértékekkel</w:t>
            </w:r>
            <w:r w:rsidRPr="00DA7625">
              <w:rPr>
                <w:rFonts w:ascii="Times New Roman" w:hAnsi="Times New Roman"/>
                <w:sz w:val="24"/>
              </w:rPr>
              <w:t xml:space="preserve"> csökkentve.</w:t>
            </w:r>
          </w:p>
        </w:tc>
      </w:tr>
    </w:tbl>
    <w:p w14:paraId="3C504AEC" w14:textId="77777777" w:rsidR="001B1411" w:rsidRPr="00DA7625" w:rsidRDefault="001B1411">
      <w:pPr>
        <w:autoSpaceDE w:val="0"/>
        <w:autoSpaceDN w:val="0"/>
        <w:adjustRightInd w:val="0"/>
        <w:spacing w:before="0" w:after="0"/>
        <w:ind w:left="284"/>
        <w:jc w:val="left"/>
        <w:rPr>
          <w:rFonts w:ascii="Times New Roman" w:hAnsi="Times New Roman"/>
          <w:sz w:val="24"/>
        </w:rPr>
      </w:pPr>
    </w:p>
    <w:p w14:paraId="6F570112" w14:textId="5349924B" w:rsidR="001B1411" w:rsidRPr="00DA7625" w:rsidRDefault="00125707">
      <w:pPr>
        <w:pStyle w:val="Instructionsberschrift2"/>
        <w:numPr>
          <w:ilvl w:val="0"/>
          <w:numId w:val="0"/>
        </w:numPr>
        <w:ind w:left="357" w:hanging="357"/>
        <w:rPr>
          <w:rFonts w:ascii="Times New Roman" w:hAnsi="Times New Roman" w:cs="Times New Roman"/>
          <w:sz w:val="24"/>
        </w:rPr>
      </w:pPr>
      <w:bookmarkStart w:id="48" w:name="_Toc31018794"/>
      <w:r w:rsidRPr="00DA7625">
        <w:rPr>
          <w:rFonts w:ascii="Times New Roman" w:hAnsi="Times New Roman"/>
          <w:sz w:val="24"/>
          <w:u w:val="none"/>
        </w:rPr>
        <w:t>3.3.4.</w:t>
      </w:r>
      <w:r w:rsidRPr="00DA7625">
        <w:rPr>
          <w:rFonts w:ascii="Times New Roman" w:hAnsi="Times New Roman"/>
          <w:sz w:val="24"/>
          <w:u w:val="none"/>
        </w:rPr>
        <w:tab/>
      </w:r>
      <w:r w:rsidRPr="00DA7625">
        <w:rPr>
          <w:rFonts w:ascii="Times New Roman" w:hAnsi="Times New Roman"/>
          <w:sz w:val="24"/>
        </w:rPr>
        <w:t>C 08.02 – Hitelkockázat, partnerkockázat és nyitva szállítások: IRB-módszer szerinti tőkekövetelmény: ügyfél-kategória vagy -halmaz [pool] szerint) (CR IRB 2 tábla)</w:t>
      </w:r>
      <w:bookmarkEnd w:id="4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B1411" w:rsidRPr="00DA7625" w14:paraId="508D011D" w14:textId="77777777" w:rsidTr="00672D2A">
        <w:tc>
          <w:tcPr>
            <w:tcW w:w="2024" w:type="dxa"/>
            <w:shd w:val="clear" w:color="auto" w:fill="BFBFBF"/>
          </w:tcPr>
          <w:p w14:paraId="77D0F85C" w14:textId="77777777" w:rsidR="001B1411" w:rsidRPr="00DA7625" w:rsidRDefault="001C7AB7">
            <w:pPr>
              <w:rPr>
                <w:rFonts w:ascii="Times New Roman" w:hAnsi="Times New Roman"/>
                <w:sz w:val="24"/>
              </w:rPr>
            </w:pPr>
            <w:r w:rsidRPr="00DA7625">
              <w:rPr>
                <w:rFonts w:ascii="Times New Roman" w:hAnsi="Times New Roman"/>
                <w:sz w:val="24"/>
              </w:rPr>
              <w:t>Oszlop</w:t>
            </w:r>
          </w:p>
        </w:tc>
        <w:tc>
          <w:tcPr>
            <w:tcW w:w="7804" w:type="dxa"/>
            <w:shd w:val="clear" w:color="auto" w:fill="BFBFBF"/>
          </w:tcPr>
          <w:p w14:paraId="26D4E61F" w14:textId="77777777" w:rsidR="001B1411" w:rsidRPr="00DA7625" w:rsidRDefault="001C7AB7">
            <w:pPr>
              <w:rPr>
                <w:rFonts w:ascii="Times New Roman" w:hAnsi="Times New Roman"/>
                <w:sz w:val="24"/>
              </w:rPr>
            </w:pPr>
            <w:r w:rsidRPr="00DA7625">
              <w:rPr>
                <w:rFonts w:ascii="Times New Roman" w:hAnsi="Times New Roman"/>
                <w:sz w:val="24"/>
              </w:rPr>
              <w:t>Útmutató</w:t>
            </w:r>
          </w:p>
        </w:tc>
      </w:tr>
      <w:tr w:rsidR="001B1411" w:rsidRPr="00DA7625" w14:paraId="1F7ADBE3" w14:textId="77777777" w:rsidTr="00672D2A">
        <w:tc>
          <w:tcPr>
            <w:tcW w:w="2024" w:type="dxa"/>
          </w:tcPr>
          <w:p w14:paraId="4C7084CF" w14:textId="77777777" w:rsidR="001B1411" w:rsidRPr="00DA7625" w:rsidRDefault="00E97CD2">
            <w:pPr>
              <w:rPr>
                <w:rFonts w:ascii="Times New Roman" w:hAnsi="Times New Roman"/>
                <w:sz w:val="24"/>
              </w:rPr>
            </w:pPr>
            <w:r w:rsidRPr="00DA7625">
              <w:rPr>
                <w:rFonts w:ascii="Times New Roman" w:hAnsi="Times New Roman"/>
                <w:sz w:val="24"/>
              </w:rPr>
              <w:t>005</w:t>
            </w:r>
          </w:p>
        </w:tc>
        <w:tc>
          <w:tcPr>
            <w:tcW w:w="7804" w:type="dxa"/>
          </w:tcPr>
          <w:p w14:paraId="13A3D9C9" w14:textId="77777777" w:rsidR="001B1411" w:rsidRPr="00DA7625" w:rsidRDefault="00E97CD2">
            <w:pPr>
              <w:rPr>
                <w:rFonts w:ascii="Times New Roman" w:hAnsi="Times New Roman"/>
                <w:b/>
                <w:sz w:val="24"/>
                <w:u w:val="single"/>
              </w:rPr>
            </w:pPr>
            <w:r w:rsidRPr="00DA7625">
              <w:rPr>
                <w:rFonts w:ascii="Times New Roman" w:hAnsi="Times New Roman"/>
                <w:b/>
                <w:sz w:val="24"/>
                <w:u w:val="single"/>
              </w:rPr>
              <w:t>Ügyfél-kategória (sorazonosító)</w:t>
            </w:r>
          </w:p>
          <w:p w14:paraId="0FE6ACAB" w14:textId="1A0E69CE" w:rsidR="001B1411" w:rsidRPr="00DA7625" w:rsidRDefault="00E97CD2">
            <w:pPr>
              <w:rPr>
                <w:rFonts w:ascii="Times New Roman" w:hAnsi="Times New Roman"/>
                <w:sz w:val="24"/>
              </w:rPr>
            </w:pPr>
            <w:r w:rsidRPr="00DA7625">
              <w:rPr>
                <w:rFonts w:ascii="Times New Roman" w:hAnsi="Times New Roman"/>
                <w:sz w:val="24"/>
              </w:rPr>
              <w:t>Ez egy sorazonosító, amely a tábla egyes lapjainak minden sorát egyedileg azonosítja. Sorrendje: 1, 2, 3 stb.</w:t>
            </w:r>
          </w:p>
        </w:tc>
      </w:tr>
      <w:tr w:rsidR="001B1411" w:rsidRPr="00DA7625" w14:paraId="49C132D8" w14:textId="77777777" w:rsidTr="00672D2A">
        <w:tc>
          <w:tcPr>
            <w:tcW w:w="2024" w:type="dxa"/>
          </w:tcPr>
          <w:p w14:paraId="47525D0B" w14:textId="77777777" w:rsidR="001B1411" w:rsidRPr="00DA7625" w:rsidRDefault="001C7AB7">
            <w:pPr>
              <w:rPr>
                <w:rFonts w:ascii="Times New Roman" w:hAnsi="Times New Roman"/>
                <w:sz w:val="24"/>
              </w:rPr>
            </w:pPr>
            <w:r w:rsidRPr="00DA7625">
              <w:rPr>
                <w:rFonts w:ascii="Times New Roman" w:hAnsi="Times New Roman"/>
                <w:sz w:val="24"/>
              </w:rPr>
              <w:t>010–300</w:t>
            </w:r>
          </w:p>
        </w:tc>
        <w:tc>
          <w:tcPr>
            <w:tcW w:w="7804" w:type="dxa"/>
          </w:tcPr>
          <w:p w14:paraId="3DC85712" w14:textId="35FDBD62" w:rsidR="001B1411" w:rsidRPr="00DA7625" w:rsidRDefault="001C7AB7">
            <w:pPr>
              <w:rPr>
                <w:rFonts w:ascii="Times New Roman" w:hAnsi="Times New Roman"/>
                <w:sz w:val="24"/>
              </w:rPr>
            </w:pPr>
            <w:r w:rsidRPr="00DA7625">
              <w:rPr>
                <w:rFonts w:ascii="Times New Roman" w:hAnsi="Times New Roman"/>
                <w:sz w:val="24"/>
              </w:rPr>
              <w:t>Az itt található oszlopokra vonatkozó útmutató azonos a CR IRB 1 tábla megfelelő számú oszlopaira vonatkozó útmutatóval.</w:t>
            </w:r>
          </w:p>
        </w:tc>
      </w:tr>
    </w:tbl>
    <w:p w14:paraId="13C85220" w14:textId="77777777" w:rsidR="001B1411" w:rsidRPr="00DA7625" w:rsidRDefault="001B1411">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B1411" w:rsidRPr="00DA7625" w14:paraId="389E3359" w14:textId="77777777" w:rsidTr="00672D2A">
        <w:tc>
          <w:tcPr>
            <w:tcW w:w="2024" w:type="dxa"/>
            <w:shd w:val="pct25" w:color="auto" w:fill="auto"/>
          </w:tcPr>
          <w:p w14:paraId="07035E4F" w14:textId="77777777" w:rsidR="001B1411" w:rsidRPr="00DA7625" w:rsidRDefault="001C7AB7">
            <w:pPr>
              <w:rPr>
                <w:rFonts w:ascii="Times New Roman" w:hAnsi="Times New Roman"/>
                <w:sz w:val="24"/>
              </w:rPr>
            </w:pPr>
            <w:r w:rsidRPr="00DA7625">
              <w:rPr>
                <w:rFonts w:ascii="Times New Roman" w:hAnsi="Times New Roman"/>
                <w:sz w:val="24"/>
              </w:rPr>
              <w:t>Sor</w:t>
            </w:r>
          </w:p>
        </w:tc>
        <w:tc>
          <w:tcPr>
            <w:tcW w:w="7804" w:type="dxa"/>
            <w:shd w:val="pct25" w:color="auto" w:fill="auto"/>
          </w:tcPr>
          <w:p w14:paraId="2745B785" w14:textId="77777777" w:rsidR="001B1411" w:rsidRPr="00DA7625" w:rsidRDefault="001C7AB7">
            <w:pPr>
              <w:rPr>
                <w:rFonts w:ascii="Times New Roman" w:hAnsi="Times New Roman"/>
                <w:sz w:val="24"/>
              </w:rPr>
            </w:pPr>
            <w:r w:rsidRPr="00DA7625">
              <w:rPr>
                <w:rFonts w:ascii="Times New Roman" w:hAnsi="Times New Roman"/>
                <w:sz w:val="24"/>
              </w:rPr>
              <w:t>Útmutató</w:t>
            </w:r>
          </w:p>
        </w:tc>
      </w:tr>
      <w:tr w:rsidR="001B1411" w:rsidRPr="00DA7625" w14:paraId="17CDB09A" w14:textId="77777777" w:rsidTr="00672D2A">
        <w:tc>
          <w:tcPr>
            <w:tcW w:w="2024" w:type="dxa"/>
          </w:tcPr>
          <w:p w14:paraId="2824A27E" w14:textId="77777777" w:rsidR="001B1411" w:rsidRPr="00DA7625" w:rsidRDefault="001C7AB7">
            <w:pPr>
              <w:rPr>
                <w:rFonts w:ascii="Times New Roman" w:hAnsi="Times New Roman"/>
                <w:sz w:val="24"/>
              </w:rPr>
            </w:pPr>
            <w:r w:rsidRPr="00DA7625">
              <w:rPr>
                <w:rFonts w:ascii="Times New Roman" w:hAnsi="Times New Roman"/>
                <w:sz w:val="24"/>
              </w:rPr>
              <w:t>010–001 – 010–NNN</w:t>
            </w:r>
          </w:p>
        </w:tc>
        <w:tc>
          <w:tcPr>
            <w:tcW w:w="7804" w:type="dxa"/>
          </w:tcPr>
          <w:p w14:paraId="207A885A" w14:textId="741C4BE5" w:rsidR="001B1411" w:rsidRPr="00DA7625" w:rsidRDefault="001C7AB7">
            <w:pPr>
              <w:rPr>
                <w:rFonts w:ascii="Times New Roman" w:hAnsi="Times New Roman"/>
                <w:sz w:val="24"/>
              </w:rPr>
            </w:pPr>
            <w:r w:rsidRPr="00DA7625">
              <w:rPr>
                <w:rFonts w:ascii="Times New Roman" w:hAnsi="Times New Roman"/>
                <w:sz w:val="24"/>
              </w:rPr>
              <w:t xml:space="preserve">Az e sorokban feltüntetett értékeket az adott ügyfél-kategóriához vagy -halmazhoz tartozó PD-érték szerint növekvő sorrendben kell megadni. A nem teljesítő ügyfelekhez tartozó PD-érték 100 %. Az ingatlanbiztosíték alternatív kezelési körébe vont kitettségek (ez kizárólag akkor lehetséges, ha az intézmény nem </w:t>
            </w:r>
            <w:r w:rsidRPr="00DA7625">
              <w:rPr>
                <w:rFonts w:ascii="Times New Roman" w:hAnsi="Times New Roman"/>
                <w:sz w:val="24"/>
              </w:rPr>
              <w:lastRenderedPageBreak/>
              <w:t>alkalmaz saját LGD-becslést) nem sorolhatók be a kötelezett PD-értéke alapján, így ezek adatait e tábla nem tartalmazza.</w:t>
            </w:r>
          </w:p>
        </w:tc>
      </w:tr>
    </w:tbl>
    <w:p w14:paraId="48FCB77F" w14:textId="77777777" w:rsidR="001B1411" w:rsidRPr="00DA7625" w:rsidRDefault="001B1411">
      <w:pPr>
        <w:pStyle w:val="InstructionsText"/>
      </w:pPr>
    </w:p>
    <w:p w14:paraId="22185BC7"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49" w:name="_Toc31018795"/>
      <w:r w:rsidRPr="00DA7625">
        <w:rPr>
          <w:rFonts w:ascii="Times New Roman" w:hAnsi="Times New Roman"/>
          <w:sz w:val="24"/>
          <w:u w:val="none"/>
        </w:rPr>
        <w:t>3.4.</w:t>
      </w:r>
      <w:r w:rsidRPr="00DA7625">
        <w:rPr>
          <w:rFonts w:ascii="Times New Roman" w:hAnsi="Times New Roman"/>
          <w:sz w:val="24"/>
          <w:u w:val="none"/>
        </w:rPr>
        <w:tab/>
      </w:r>
      <w:r w:rsidRPr="00DA7625">
        <w:rPr>
          <w:rFonts w:ascii="Times New Roman" w:hAnsi="Times New Roman"/>
          <w:sz w:val="24"/>
        </w:rPr>
        <w:t>Hitelkockázat, partnerkockázat és nyitva szállítások: földrajzi megoszlás</w:t>
      </w:r>
      <w:bookmarkEnd w:id="49"/>
    </w:p>
    <w:p w14:paraId="1B85B690" w14:textId="4D0E56E3" w:rsidR="001B1411" w:rsidRPr="00DA7625" w:rsidRDefault="00125707">
      <w:pPr>
        <w:pStyle w:val="InstructionsText2"/>
        <w:numPr>
          <w:ilvl w:val="0"/>
          <w:numId w:val="0"/>
        </w:numPr>
        <w:ind w:left="993"/>
      </w:pPr>
      <w:r w:rsidRPr="00DA7625">
        <w:t>79.</w:t>
      </w:r>
      <w:r w:rsidRPr="00DA7625">
        <w:tab/>
        <w:t>Minden intézménynek összesített szinten aggregált információkat kell benyújtania. Emellett az e végrehajtási rendelet 5. cikke a) pontjának 4. alpontjában rögzített küszöbértéket elérő intézményeknek belföldre és külföldre vonatkozóan egyaránt, országonkénti bontásban adatot kell szolgáltatniuk. A küszöbérték kizárólag a CR GB 1 és a CR GB 2 táblára vonatkozik. A szupranacionális szervezetekkel szembeni kitettségeket az „Egyéb országok” földrajzi területhez kell sorolni.</w:t>
      </w:r>
    </w:p>
    <w:p w14:paraId="73B980E9" w14:textId="77777777" w:rsidR="001B1411" w:rsidRPr="00DA7625" w:rsidRDefault="00125707">
      <w:pPr>
        <w:pStyle w:val="InstructionsText2"/>
        <w:numPr>
          <w:ilvl w:val="0"/>
          <w:numId w:val="0"/>
        </w:numPr>
        <w:ind w:left="993"/>
      </w:pPr>
      <w:r w:rsidRPr="00DA7625">
        <w:t>80.</w:t>
      </w:r>
      <w:r w:rsidRPr="00DA7625">
        <w:tab/>
        <w:t>A kötelezett székhelye a kötelezett bejegyzése szerinti országot jelenti. A fogalom a közvetlen kötelezett és a végső kockázatviselő alapján is alkalmazható. A helyettesítési hatással járó hitelkockázat-mérséklési technikákkal módosítható egy kitettség ország szerinti besorolása. A szupranacionális szervezetekkel szembeni kitettségeket nem az intézmény székhelye szerinti országhoz, hanem az „Egyéb országok” földrajzi területhez kell sorolni, a szupranacionális szervezettel szembeni kitettség kitettségosztályától függetlenül.</w:t>
      </w:r>
    </w:p>
    <w:p w14:paraId="2E93593D" w14:textId="3A282286" w:rsidR="001B1411" w:rsidRPr="00DA7625" w:rsidRDefault="00125707">
      <w:pPr>
        <w:pStyle w:val="InstructionsText2"/>
        <w:numPr>
          <w:ilvl w:val="0"/>
          <w:numId w:val="0"/>
        </w:numPr>
        <w:ind w:left="993"/>
      </w:pPr>
      <w:r w:rsidRPr="00DA7625">
        <w:t>81.</w:t>
      </w:r>
      <w:r w:rsidRPr="00DA7625">
        <w:tab/>
        <w:t>A hitel-egyenértékesítési tényezők előtti eredeti kitettségre vonatkozó adatokat a közvetlen kötelezett székhelye szerint kell feltüntetni. A kitettségértékre és kockázattal súlyozott kitettségértékre vonatkozó adatokat a végső kötelezett székhelye szerint kell feltüntetni.</w:t>
      </w:r>
    </w:p>
    <w:p w14:paraId="65D356E5"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50" w:name="_Toc31018796"/>
      <w:r w:rsidRPr="00DA7625">
        <w:rPr>
          <w:rFonts w:ascii="Times New Roman" w:hAnsi="Times New Roman"/>
          <w:sz w:val="24"/>
          <w:u w:val="none"/>
        </w:rPr>
        <w:t>3.4.1.</w:t>
      </w:r>
      <w:r w:rsidRPr="00DA7625">
        <w:rPr>
          <w:rFonts w:ascii="Times New Roman" w:hAnsi="Times New Roman"/>
          <w:sz w:val="24"/>
          <w:u w:val="none"/>
        </w:rPr>
        <w:tab/>
      </w:r>
      <w:r w:rsidRPr="00DA7625">
        <w:rPr>
          <w:rFonts w:ascii="Times New Roman" w:hAnsi="Times New Roman"/>
          <w:sz w:val="24"/>
        </w:rPr>
        <w:t>C 09.01 – Kitettségek földrajzi bontása a kötelezett illetősége szerint: SA kitettségek (CR GB 1)</w:t>
      </w:r>
      <w:bookmarkEnd w:id="50"/>
    </w:p>
    <w:p w14:paraId="77B971F2"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51" w:name="_Toc31018797"/>
      <w:r w:rsidRPr="00DA7625">
        <w:rPr>
          <w:rFonts w:ascii="Times New Roman" w:hAnsi="Times New Roman"/>
          <w:sz w:val="24"/>
          <w:u w:val="none"/>
        </w:rPr>
        <w:t>3.4.1.1.</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5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B1411" w:rsidRPr="00DA7625" w14:paraId="00A62539" w14:textId="77777777" w:rsidTr="00672D2A">
        <w:trPr>
          <w:trHeight w:val="581"/>
        </w:trPr>
        <w:tc>
          <w:tcPr>
            <w:tcW w:w="9828" w:type="dxa"/>
            <w:gridSpan w:val="2"/>
            <w:shd w:val="clear" w:color="auto" w:fill="CCCCCC"/>
          </w:tcPr>
          <w:p w14:paraId="20553A31" w14:textId="77777777" w:rsidR="001B1411" w:rsidRPr="00DA7625" w:rsidRDefault="004357B9">
            <w:pPr>
              <w:spacing w:after="0"/>
              <w:rPr>
                <w:rStyle w:val="InstructionsTabelleText"/>
                <w:rFonts w:ascii="Times New Roman" w:hAnsi="Times New Roman"/>
                <w:b/>
                <w:sz w:val="24"/>
              </w:rPr>
            </w:pPr>
            <w:r w:rsidRPr="00DA7625">
              <w:rPr>
                <w:rStyle w:val="InstructionsTabelleText"/>
                <w:rFonts w:ascii="Times New Roman" w:hAnsi="Times New Roman"/>
                <w:b/>
                <w:sz w:val="24"/>
              </w:rPr>
              <w:t>Oszlopok</w:t>
            </w:r>
          </w:p>
        </w:tc>
      </w:tr>
      <w:tr w:rsidR="001B1411" w:rsidRPr="00DA7625" w14:paraId="326C18F6" w14:textId="77777777" w:rsidTr="00672D2A">
        <w:tc>
          <w:tcPr>
            <w:tcW w:w="1188" w:type="dxa"/>
          </w:tcPr>
          <w:p w14:paraId="00EEB0C3" w14:textId="77777777" w:rsidR="001B1411" w:rsidRPr="00DA7625" w:rsidRDefault="004357B9">
            <w:pPr>
              <w:rPr>
                <w:rStyle w:val="InstructionsTabelleText"/>
                <w:rFonts w:ascii="Times New Roman" w:hAnsi="Times New Roman"/>
                <w:sz w:val="24"/>
              </w:rPr>
            </w:pPr>
            <w:r w:rsidRPr="00DA7625">
              <w:rPr>
                <w:rStyle w:val="InstructionsTabelleText"/>
                <w:rFonts w:ascii="Times New Roman" w:hAnsi="Times New Roman"/>
                <w:sz w:val="24"/>
              </w:rPr>
              <w:t>010</w:t>
            </w:r>
          </w:p>
        </w:tc>
        <w:tc>
          <w:tcPr>
            <w:tcW w:w="8640" w:type="dxa"/>
          </w:tcPr>
          <w:p w14:paraId="5FFFCD08" w14:textId="30C14346" w:rsidR="001B1411" w:rsidRPr="00DA7625" w:rsidRDefault="004357B9">
            <w:pPr>
              <w:rPr>
                <w:rFonts w:ascii="Times New Roman" w:hAnsi="Times New Roman"/>
                <w:b/>
                <w:sz w:val="24"/>
                <w:u w:val="single"/>
              </w:rPr>
            </w:pPr>
            <w:r w:rsidRPr="00DA7625">
              <w:rPr>
                <w:rFonts w:ascii="Times New Roman" w:hAnsi="Times New Roman"/>
                <w:b/>
                <w:sz w:val="24"/>
                <w:u w:val="single"/>
              </w:rPr>
              <w:t>HITEL-EGYENÉRTÉKESÍTÉSI TÉNYEZŐK ELŐTTI EREDETI KITETTSÉG</w:t>
            </w:r>
          </w:p>
          <w:p w14:paraId="736986FA" w14:textId="77777777" w:rsidR="001B1411" w:rsidRPr="00DA7625" w:rsidRDefault="004357B9">
            <w:pPr>
              <w:rPr>
                <w:rFonts w:ascii="Times New Roman" w:hAnsi="Times New Roman"/>
                <w:sz w:val="24"/>
              </w:rPr>
            </w:pPr>
            <w:r w:rsidRPr="00DA7625">
              <w:rPr>
                <w:rFonts w:ascii="Times New Roman" w:hAnsi="Times New Roman"/>
                <w:sz w:val="24"/>
              </w:rPr>
              <w:t>A CR SA tábla 010. oszlopával azonos meghatározás.</w:t>
            </w:r>
          </w:p>
        </w:tc>
      </w:tr>
      <w:tr w:rsidR="001B1411" w:rsidRPr="00DA7625" w14:paraId="29EDD32F" w14:textId="77777777" w:rsidTr="00672D2A">
        <w:tc>
          <w:tcPr>
            <w:tcW w:w="1188" w:type="dxa"/>
          </w:tcPr>
          <w:p w14:paraId="78065DD2" w14:textId="77777777" w:rsidR="001B1411" w:rsidRPr="00DA7625" w:rsidRDefault="004357B9">
            <w:pPr>
              <w:rPr>
                <w:rFonts w:ascii="Times New Roman" w:hAnsi="Times New Roman"/>
                <w:sz w:val="24"/>
              </w:rPr>
            </w:pPr>
            <w:r w:rsidRPr="00DA7625">
              <w:rPr>
                <w:rFonts w:ascii="Times New Roman" w:hAnsi="Times New Roman"/>
                <w:sz w:val="24"/>
              </w:rPr>
              <w:t>020</w:t>
            </w:r>
          </w:p>
        </w:tc>
        <w:tc>
          <w:tcPr>
            <w:tcW w:w="8640" w:type="dxa"/>
          </w:tcPr>
          <w:p w14:paraId="274A33EE" w14:textId="77777777" w:rsidR="001B1411" w:rsidRPr="00DA7625" w:rsidRDefault="00771E97">
            <w:pPr>
              <w:rPr>
                <w:rFonts w:ascii="Times New Roman" w:hAnsi="Times New Roman"/>
                <w:b/>
                <w:sz w:val="24"/>
                <w:u w:val="single"/>
              </w:rPr>
            </w:pPr>
            <w:r w:rsidRPr="00DA7625">
              <w:rPr>
                <w:rFonts w:ascii="Times New Roman" w:hAnsi="Times New Roman"/>
                <w:b/>
                <w:sz w:val="24"/>
                <w:u w:val="single"/>
              </w:rPr>
              <w:t>Nemteljesítő kitettségek</w:t>
            </w:r>
          </w:p>
          <w:p w14:paraId="64B70800" w14:textId="013EB10C" w:rsidR="001B1411" w:rsidRPr="00DA7625" w:rsidRDefault="004357B9">
            <w:pPr>
              <w:rPr>
                <w:rStyle w:val="InstructionsTabelleText"/>
                <w:rFonts w:ascii="Times New Roman" w:hAnsi="Times New Roman"/>
                <w:sz w:val="24"/>
              </w:rPr>
            </w:pPr>
            <w:r w:rsidRPr="00DA7625">
              <w:rPr>
                <w:rStyle w:val="InstructionsTabelleText"/>
                <w:rFonts w:ascii="Times New Roman" w:hAnsi="Times New Roman"/>
                <w:sz w:val="24"/>
              </w:rPr>
              <w:t>A nemteljesítő kitettségként besorolt kitettségek, valamint a „kiemelkedően magas kockázatú tételek” vagy a „részvényjellegű kitettségek” kitettségi osztályba sorolt nemteljesítő kitettségek hitel-egyenértékesítési tényezők előtti eredeti kitettsége.</w:t>
            </w:r>
          </w:p>
          <w:p w14:paraId="5CBAE055" w14:textId="2D732DEA" w:rsidR="001B1411" w:rsidRPr="00DA7625" w:rsidRDefault="004357B9">
            <w:pPr>
              <w:rPr>
                <w:rStyle w:val="InstructionsTabelleText"/>
                <w:rFonts w:ascii="Times New Roman" w:hAnsi="Times New Roman"/>
                <w:sz w:val="24"/>
              </w:rPr>
            </w:pPr>
            <w:r w:rsidRPr="00DA7625">
              <w:rPr>
                <w:rStyle w:val="InstructionsTabelleText"/>
                <w:rFonts w:ascii="Times New Roman" w:hAnsi="Times New Roman"/>
                <w:sz w:val="24"/>
              </w:rPr>
              <w:t xml:space="preserve">Ez a tájékoztató adat kiegészítő információt nyújt a nemteljesítő kitettségek kötelezetti struktúrájáról. A CRR 112. cikkének j) pontjában említett „nemteljesítő kitettségekhez” sorolt kitettségeket kell megadni, amelyeknél a kötelezettekről </w:t>
            </w:r>
            <w:r w:rsidRPr="00DA7625">
              <w:rPr>
                <w:rStyle w:val="InstructionsTabelleText"/>
                <w:rFonts w:ascii="Times New Roman" w:hAnsi="Times New Roman"/>
                <w:sz w:val="24"/>
              </w:rPr>
              <w:br/>
              <w:t xml:space="preserve"> adatot kellett volna szolgáltatni, ha a kitettségek nem a „nemteljesítő kitettségek” kitettségi osztályba tartoznának. </w:t>
            </w:r>
          </w:p>
          <w:p w14:paraId="083D1225" w14:textId="0F2233E6" w:rsidR="001B1411" w:rsidRPr="00DA7625" w:rsidRDefault="004357B9">
            <w:pPr>
              <w:rPr>
                <w:rFonts w:ascii="Times New Roman" w:hAnsi="Times New Roman"/>
                <w:sz w:val="24"/>
              </w:rPr>
            </w:pPr>
            <w:r w:rsidRPr="00DA7625">
              <w:rPr>
                <w:rStyle w:val="InstructionsTabelleText"/>
                <w:rFonts w:ascii="Times New Roman" w:hAnsi="Times New Roman"/>
                <w:sz w:val="24"/>
              </w:rPr>
              <w:t xml:space="preserve">A megadott érték tájékoztató adat, így nem érinti a CRR 112. cikkének j), k), és p) pontjában említett „nemteljesítő kitettségek”, „kiemelkedően magas kockázatú tételek” vagy </w:t>
            </w:r>
            <w:r w:rsidRPr="00DA7625">
              <w:rPr>
                <w:rStyle w:val="InstructionsTabelleText"/>
                <w:rFonts w:ascii="Times New Roman" w:hAnsi="Times New Roman"/>
                <w:sz w:val="24"/>
              </w:rPr>
              <w:lastRenderedPageBreak/>
              <w:t>„részvényjellegű kitettségek” kitettségi osztályba sorolt, kockázattal súlyozott kitettségértékek kiszámítását.</w:t>
            </w:r>
          </w:p>
        </w:tc>
      </w:tr>
      <w:tr w:rsidR="001B1411" w:rsidRPr="00DA7625" w14:paraId="2E3F251B" w14:textId="77777777" w:rsidTr="00672D2A">
        <w:tc>
          <w:tcPr>
            <w:tcW w:w="1188" w:type="dxa"/>
          </w:tcPr>
          <w:p w14:paraId="23CB7F54" w14:textId="77777777" w:rsidR="001B1411" w:rsidRPr="00DA7625" w:rsidRDefault="004357B9">
            <w:pPr>
              <w:rPr>
                <w:rFonts w:ascii="Times New Roman" w:hAnsi="Times New Roman"/>
                <w:sz w:val="24"/>
              </w:rPr>
            </w:pPr>
            <w:r w:rsidRPr="00DA7625">
              <w:rPr>
                <w:rFonts w:ascii="Times New Roman" w:hAnsi="Times New Roman"/>
                <w:sz w:val="24"/>
              </w:rPr>
              <w:lastRenderedPageBreak/>
              <w:t>040</w:t>
            </w:r>
          </w:p>
        </w:tc>
        <w:tc>
          <w:tcPr>
            <w:tcW w:w="8640" w:type="dxa"/>
          </w:tcPr>
          <w:p w14:paraId="50E07768"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Az időszakban megállapított új nemteljesítések</w:t>
            </w:r>
          </w:p>
          <w:p w14:paraId="4E51ABF8" w14:textId="77777777" w:rsidR="001B1411" w:rsidRPr="00DA7625" w:rsidRDefault="00DF70AE">
            <w:pPr>
              <w:rPr>
                <w:rFonts w:ascii="Times New Roman" w:hAnsi="Times New Roman"/>
                <w:b/>
                <w:sz w:val="24"/>
                <w:u w:val="single"/>
              </w:rPr>
            </w:pPr>
            <w:r w:rsidRPr="00DA7625">
              <w:rPr>
                <w:rStyle w:val="InstructionsTabelleText"/>
                <w:rFonts w:ascii="Times New Roman" w:hAnsi="Times New Roman"/>
                <w:sz w:val="24"/>
              </w:rPr>
              <w:t>A legutóbbi adatszolgáltatási vonatkozási időpont óta eltelt 3 hónap során a „nemteljesítő kitettségek” kitettségi osztályba átsorolt eredeti kitettségek összegét abban a kitettségi osztályban kell feltüntetni, amelybe a kötelezett eredetileg tartozott.</w:t>
            </w:r>
          </w:p>
        </w:tc>
      </w:tr>
      <w:tr w:rsidR="001B1411" w:rsidRPr="00DA7625" w14:paraId="762DAFD3" w14:textId="77777777" w:rsidTr="00672D2A">
        <w:tc>
          <w:tcPr>
            <w:tcW w:w="1188" w:type="dxa"/>
          </w:tcPr>
          <w:p w14:paraId="477F58BF" w14:textId="77777777" w:rsidR="001B1411" w:rsidRPr="00DA7625" w:rsidRDefault="004357B9">
            <w:pPr>
              <w:rPr>
                <w:rFonts w:ascii="Times New Roman" w:hAnsi="Times New Roman"/>
                <w:sz w:val="24"/>
              </w:rPr>
            </w:pPr>
            <w:r w:rsidRPr="00DA7625">
              <w:rPr>
                <w:rFonts w:ascii="Times New Roman" w:hAnsi="Times New Roman"/>
                <w:sz w:val="24"/>
              </w:rPr>
              <w:t>050</w:t>
            </w:r>
          </w:p>
        </w:tc>
        <w:tc>
          <w:tcPr>
            <w:tcW w:w="8640" w:type="dxa"/>
          </w:tcPr>
          <w:p w14:paraId="7B7C6C5A"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Általános hitelkockázati kiigazítások</w:t>
            </w:r>
          </w:p>
          <w:p w14:paraId="6F55B825" w14:textId="18EA79A9" w:rsidR="001B1411" w:rsidRPr="00DA7625" w:rsidRDefault="004357B9">
            <w:pPr>
              <w:rPr>
                <w:rFonts w:ascii="Times New Roman" w:hAnsi="Times New Roman"/>
                <w:sz w:val="24"/>
              </w:rPr>
            </w:pPr>
            <w:r w:rsidRPr="00DA7625">
              <w:rPr>
                <w:rFonts w:ascii="Times New Roman" w:hAnsi="Times New Roman"/>
                <w:sz w:val="24"/>
              </w:rPr>
              <w:t xml:space="preserve">A CRR 110. cikkében említett hitelkockázati kiigazítások. </w:t>
            </w:r>
          </w:p>
          <w:p w14:paraId="46866298" w14:textId="0F5ECB0A" w:rsidR="001B1411" w:rsidRPr="00DA7625" w:rsidRDefault="00D95045">
            <w:pPr>
              <w:rPr>
                <w:rFonts w:ascii="Times New Roman" w:hAnsi="Times New Roman"/>
                <w:sz w:val="24"/>
              </w:rPr>
            </w:pPr>
            <w:r w:rsidRPr="00DA7625">
              <w:rPr>
                <w:rFonts w:ascii="Times New Roman" w:hAnsi="Times New Roman"/>
                <w:sz w:val="24"/>
              </w:rPr>
              <w:t>A tétel azokat az általános hitelkockázati kiigazításokat foglalja magában, amelyek beszámíthatók a T2 tőkébe, a CRR 62. cikkének c) pontjában említett felső határ alkalmazása előtt.</w:t>
            </w:r>
          </w:p>
          <w:p w14:paraId="2C814480" w14:textId="77777777" w:rsidR="001B1411" w:rsidRPr="00DA7625" w:rsidRDefault="00D95045">
            <w:pPr>
              <w:rPr>
                <w:rFonts w:ascii="Times New Roman" w:hAnsi="Times New Roman"/>
                <w:b/>
                <w:sz w:val="24"/>
                <w:u w:val="single"/>
              </w:rPr>
            </w:pPr>
            <w:r w:rsidRPr="00DA7625">
              <w:rPr>
                <w:rFonts w:ascii="Times New Roman" w:hAnsi="Times New Roman"/>
                <w:sz w:val="24"/>
              </w:rPr>
              <w:t>A feltüntetendő értéknek tartalmaznia kell az adóhatásokat is.</w:t>
            </w:r>
          </w:p>
        </w:tc>
      </w:tr>
      <w:tr w:rsidR="001B1411" w:rsidRPr="00DA7625" w14:paraId="7C2BFDFD" w14:textId="77777777" w:rsidTr="00672D2A">
        <w:tc>
          <w:tcPr>
            <w:tcW w:w="1188" w:type="dxa"/>
          </w:tcPr>
          <w:p w14:paraId="51BF1CE0" w14:textId="77777777" w:rsidR="001B1411" w:rsidRPr="00DA7625" w:rsidRDefault="004357B9">
            <w:pPr>
              <w:rPr>
                <w:rFonts w:ascii="Times New Roman" w:hAnsi="Times New Roman"/>
                <w:sz w:val="24"/>
              </w:rPr>
            </w:pPr>
            <w:r w:rsidRPr="00DA7625">
              <w:rPr>
                <w:rFonts w:ascii="Times New Roman" w:hAnsi="Times New Roman"/>
                <w:sz w:val="24"/>
              </w:rPr>
              <w:t>055</w:t>
            </w:r>
          </w:p>
        </w:tc>
        <w:tc>
          <w:tcPr>
            <w:tcW w:w="8640" w:type="dxa"/>
          </w:tcPr>
          <w:p w14:paraId="2BC39485"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Egyedi hitelkockázati kiigazítások</w:t>
            </w:r>
          </w:p>
          <w:p w14:paraId="09256F50" w14:textId="72AF8530" w:rsidR="001B1411" w:rsidRPr="00DA7625" w:rsidRDefault="004357B9">
            <w:pPr>
              <w:rPr>
                <w:rFonts w:ascii="Times New Roman" w:hAnsi="Times New Roman"/>
                <w:b/>
                <w:sz w:val="24"/>
                <w:u w:val="single"/>
              </w:rPr>
            </w:pPr>
            <w:r w:rsidRPr="00DA7625">
              <w:rPr>
                <w:rFonts w:ascii="Times New Roman" w:hAnsi="Times New Roman"/>
                <w:sz w:val="24"/>
              </w:rPr>
              <w:t>A CRR 110. cikkében említett hitelkockázati kiigazítások.</w:t>
            </w:r>
          </w:p>
        </w:tc>
      </w:tr>
      <w:tr w:rsidR="001B1411" w:rsidRPr="00DA7625" w14:paraId="7171770E" w14:textId="77777777" w:rsidTr="00672D2A">
        <w:tc>
          <w:tcPr>
            <w:tcW w:w="1188" w:type="dxa"/>
          </w:tcPr>
          <w:p w14:paraId="3EBBE060" w14:textId="77777777" w:rsidR="001B1411" w:rsidRPr="00DA7625" w:rsidRDefault="004357B9">
            <w:pPr>
              <w:rPr>
                <w:rFonts w:ascii="Times New Roman" w:hAnsi="Times New Roman"/>
                <w:sz w:val="24"/>
              </w:rPr>
            </w:pPr>
            <w:r w:rsidRPr="00DA7625">
              <w:rPr>
                <w:rFonts w:ascii="Times New Roman" w:hAnsi="Times New Roman"/>
                <w:sz w:val="24"/>
              </w:rPr>
              <w:t>060</w:t>
            </w:r>
          </w:p>
        </w:tc>
        <w:tc>
          <w:tcPr>
            <w:tcW w:w="8640" w:type="dxa"/>
          </w:tcPr>
          <w:p w14:paraId="489B9A51"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Leírások</w:t>
            </w:r>
          </w:p>
          <w:p w14:paraId="147BEE4B" w14:textId="77777777" w:rsidR="001B1411" w:rsidRPr="00DA7625" w:rsidRDefault="004357B9">
            <w:pPr>
              <w:rPr>
                <w:rFonts w:ascii="Times New Roman" w:hAnsi="Times New Roman"/>
                <w:b/>
                <w:sz w:val="24"/>
                <w:u w:val="single"/>
              </w:rPr>
            </w:pPr>
            <w:r w:rsidRPr="00DA7625">
              <w:rPr>
                <w:rStyle w:val="InstructionsTabelleText"/>
                <w:rFonts w:ascii="Times New Roman" w:hAnsi="Times New Roman"/>
                <w:sz w:val="24"/>
              </w:rPr>
              <w:t>A leírások magukban foglalják a közvetlenül az eredményben elszámolt értékvesztett pénzügyi eszközök könyv szerinti értékének csökkentését [IFRS 7.B5.(d).(i)], valamint az értékvesztett pénzügyi eszközökkel szembeállított értékvesztési számlák összegének csökkentését [IFRS 7.B5.(d).(ii)].</w:t>
            </w:r>
          </w:p>
        </w:tc>
      </w:tr>
      <w:tr w:rsidR="001B1411" w:rsidRPr="00DA7625" w14:paraId="0ED5012D" w14:textId="77777777" w:rsidTr="00672D2A">
        <w:tc>
          <w:tcPr>
            <w:tcW w:w="1188" w:type="dxa"/>
          </w:tcPr>
          <w:p w14:paraId="28F13CB0" w14:textId="77777777" w:rsidR="001B1411" w:rsidRPr="00DA7625" w:rsidRDefault="004357B9">
            <w:pPr>
              <w:rPr>
                <w:rFonts w:ascii="Times New Roman" w:hAnsi="Times New Roman"/>
                <w:sz w:val="24"/>
              </w:rPr>
            </w:pPr>
            <w:r w:rsidRPr="00DA7625">
              <w:rPr>
                <w:rFonts w:ascii="Times New Roman" w:hAnsi="Times New Roman"/>
                <w:sz w:val="24"/>
              </w:rPr>
              <w:t>070</w:t>
            </w:r>
          </w:p>
        </w:tc>
        <w:tc>
          <w:tcPr>
            <w:tcW w:w="8640" w:type="dxa"/>
          </w:tcPr>
          <w:p w14:paraId="49B1F54B"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A megállapított új nemteljesítések utáni hitelkockázati kiigazítások/leírások</w:t>
            </w:r>
          </w:p>
          <w:p w14:paraId="4B1C116B" w14:textId="77777777" w:rsidR="001B1411" w:rsidRPr="00DA7625" w:rsidRDefault="004357B9">
            <w:pPr>
              <w:rPr>
                <w:rFonts w:ascii="Times New Roman" w:hAnsi="Times New Roman"/>
                <w:b/>
                <w:sz w:val="24"/>
                <w:u w:val="single"/>
              </w:rPr>
            </w:pPr>
            <w:r w:rsidRPr="00DA7625">
              <w:rPr>
                <w:rStyle w:val="InstructionsTabelleText"/>
                <w:rFonts w:ascii="Times New Roman" w:hAnsi="Times New Roman"/>
                <w:sz w:val="24"/>
              </w:rPr>
              <w:t>A legutóbbi adatszolgáltatás óta eltelt 3 hónap során a „nemteljesítő kitettségek” közé sorolt kitettségek utáni hitelkockázati kiigazítások és leírások összege.</w:t>
            </w:r>
          </w:p>
        </w:tc>
      </w:tr>
      <w:tr w:rsidR="001B1411" w:rsidRPr="00DA7625" w14:paraId="517526D9" w14:textId="77777777" w:rsidTr="00672D2A">
        <w:tc>
          <w:tcPr>
            <w:tcW w:w="1188" w:type="dxa"/>
          </w:tcPr>
          <w:p w14:paraId="1C9AE3E1" w14:textId="77777777" w:rsidR="001B1411" w:rsidRPr="00DA7625" w:rsidRDefault="004357B9">
            <w:pPr>
              <w:rPr>
                <w:rFonts w:ascii="Times New Roman" w:hAnsi="Times New Roman"/>
                <w:sz w:val="24"/>
              </w:rPr>
            </w:pPr>
            <w:r w:rsidRPr="00DA7625">
              <w:rPr>
                <w:rFonts w:ascii="Times New Roman" w:hAnsi="Times New Roman"/>
                <w:sz w:val="24"/>
              </w:rPr>
              <w:t>075</w:t>
            </w:r>
          </w:p>
        </w:tc>
        <w:tc>
          <w:tcPr>
            <w:tcW w:w="8640" w:type="dxa"/>
          </w:tcPr>
          <w:p w14:paraId="7D2501FB"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Kitettségérték</w:t>
            </w:r>
          </w:p>
          <w:p w14:paraId="0FC9F2D2" w14:textId="77777777" w:rsidR="001B1411" w:rsidRPr="00DA7625" w:rsidRDefault="004357B9">
            <w:pPr>
              <w:rPr>
                <w:rFonts w:ascii="Times New Roman" w:hAnsi="Times New Roman"/>
                <w:b/>
                <w:sz w:val="24"/>
                <w:u w:val="single"/>
              </w:rPr>
            </w:pPr>
            <w:r w:rsidRPr="00DA7625">
              <w:rPr>
                <w:rStyle w:val="InstructionsTabelleText"/>
                <w:rFonts w:ascii="Times New Roman" w:hAnsi="Times New Roman"/>
                <w:sz w:val="24"/>
              </w:rPr>
              <w:t>A CR SA tábla 200. oszlopával azonos meghatározás.</w:t>
            </w:r>
          </w:p>
        </w:tc>
      </w:tr>
      <w:tr w:rsidR="001B1411" w:rsidRPr="00DA7625" w14:paraId="1E6CBFD9" w14:textId="77777777" w:rsidTr="00672D2A">
        <w:tc>
          <w:tcPr>
            <w:tcW w:w="1188" w:type="dxa"/>
          </w:tcPr>
          <w:p w14:paraId="16603464" w14:textId="77777777" w:rsidR="001B1411" w:rsidRPr="00DA7625" w:rsidRDefault="004357B9">
            <w:pPr>
              <w:rPr>
                <w:rFonts w:ascii="Times New Roman" w:hAnsi="Times New Roman"/>
                <w:sz w:val="24"/>
              </w:rPr>
            </w:pPr>
            <w:r w:rsidRPr="00DA7625">
              <w:rPr>
                <w:rFonts w:ascii="Times New Roman" w:hAnsi="Times New Roman"/>
                <w:sz w:val="24"/>
              </w:rPr>
              <w:t>080</w:t>
            </w:r>
          </w:p>
        </w:tc>
        <w:tc>
          <w:tcPr>
            <w:tcW w:w="8640" w:type="dxa"/>
          </w:tcPr>
          <w:p w14:paraId="03C6A6D7"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A KKV-SZORZÓ ELŐTTI, KOCKÁZATTAL SÚLYOZOTT KITETTSÉGÉRTÉK</w:t>
            </w:r>
          </w:p>
          <w:p w14:paraId="76FB36A8" w14:textId="77777777" w:rsidR="001B1411" w:rsidRPr="00DA7625" w:rsidRDefault="004357B9">
            <w:pPr>
              <w:rPr>
                <w:rFonts w:ascii="Times New Roman" w:hAnsi="Times New Roman"/>
                <w:b/>
                <w:sz w:val="24"/>
                <w:u w:val="single"/>
              </w:rPr>
            </w:pPr>
            <w:r w:rsidRPr="00DA7625">
              <w:rPr>
                <w:rFonts w:ascii="Times New Roman" w:hAnsi="Times New Roman"/>
                <w:sz w:val="24"/>
              </w:rPr>
              <w:t>A CR SA tábla 215. oszlopával azonos meghatározás.</w:t>
            </w:r>
          </w:p>
        </w:tc>
      </w:tr>
      <w:tr w:rsidR="001B1411" w:rsidRPr="00DA7625" w14:paraId="7637CECB" w14:textId="77777777" w:rsidTr="00672D2A">
        <w:tc>
          <w:tcPr>
            <w:tcW w:w="1188" w:type="dxa"/>
          </w:tcPr>
          <w:p w14:paraId="4D08A233" w14:textId="77777777" w:rsidR="001B1411" w:rsidRPr="00DA7625" w:rsidRDefault="004357B9">
            <w:pPr>
              <w:rPr>
                <w:rFonts w:ascii="Times New Roman" w:hAnsi="Times New Roman"/>
                <w:sz w:val="24"/>
              </w:rPr>
            </w:pPr>
            <w:r w:rsidRPr="00DA7625">
              <w:rPr>
                <w:rFonts w:ascii="Times New Roman" w:hAnsi="Times New Roman"/>
                <w:sz w:val="24"/>
              </w:rPr>
              <w:t>090</w:t>
            </w:r>
          </w:p>
        </w:tc>
        <w:tc>
          <w:tcPr>
            <w:tcW w:w="8640" w:type="dxa"/>
          </w:tcPr>
          <w:p w14:paraId="5F436B79"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A KKV-SZORZÓ UTÁNI, KOCKÁZATTAL SÚLYOZOTT KITETTSÉGÉRTÉK</w:t>
            </w:r>
          </w:p>
          <w:p w14:paraId="387EDED8" w14:textId="77777777" w:rsidR="001B1411" w:rsidRPr="00DA7625" w:rsidRDefault="004357B9">
            <w:pPr>
              <w:rPr>
                <w:rFonts w:ascii="Times New Roman" w:hAnsi="Times New Roman"/>
                <w:b/>
                <w:sz w:val="24"/>
                <w:u w:val="single"/>
              </w:rPr>
            </w:pPr>
            <w:r w:rsidRPr="00DA7625">
              <w:rPr>
                <w:rFonts w:ascii="Times New Roman" w:hAnsi="Times New Roman"/>
                <w:sz w:val="24"/>
              </w:rPr>
              <w:t>A CR SA tábla 220. oszlopával azonos meghatározás.</w:t>
            </w:r>
          </w:p>
        </w:tc>
      </w:tr>
    </w:tbl>
    <w:p w14:paraId="56054924" w14:textId="77777777" w:rsidR="001B1411" w:rsidRPr="00DA7625" w:rsidRDefault="001B1411">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1B1411" w:rsidRPr="00DA7625" w14:paraId="0F5D510B" w14:textId="77777777" w:rsidTr="00672D2A">
        <w:trPr>
          <w:gridAfter w:val="1"/>
          <w:wAfter w:w="61" w:type="dxa"/>
          <w:trHeight w:val="581"/>
        </w:trPr>
        <w:tc>
          <w:tcPr>
            <w:tcW w:w="9828" w:type="dxa"/>
            <w:gridSpan w:val="2"/>
            <w:shd w:val="clear" w:color="auto" w:fill="CCCCCC"/>
          </w:tcPr>
          <w:p w14:paraId="23D3CC9C" w14:textId="77777777" w:rsidR="001B1411" w:rsidRPr="00DA7625" w:rsidRDefault="004357B9">
            <w:pPr>
              <w:spacing w:after="0"/>
              <w:rPr>
                <w:rStyle w:val="InstructionsTabelleText"/>
                <w:rFonts w:ascii="Times New Roman" w:hAnsi="Times New Roman"/>
                <w:b/>
                <w:sz w:val="24"/>
              </w:rPr>
            </w:pPr>
            <w:r w:rsidRPr="00DA7625">
              <w:rPr>
                <w:rStyle w:val="InstructionsTabelleText"/>
                <w:rFonts w:ascii="Times New Roman" w:hAnsi="Times New Roman"/>
                <w:b/>
                <w:sz w:val="24"/>
              </w:rPr>
              <w:t>Sor</w:t>
            </w:r>
          </w:p>
        </w:tc>
      </w:tr>
      <w:tr w:rsidR="001B1411" w:rsidRPr="00DA7625" w14:paraId="2F593AC9" w14:textId="77777777" w:rsidTr="00672D2A">
        <w:tc>
          <w:tcPr>
            <w:tcW w:w="1188" w:type="dxa"/>
            <w:shd w:val="clear" w:color="auto" w:fill="FFFFFF"/>
          </w:tcPr>
          <w:p w14:paraId="09FADAB5" w14:textId="77777777" w:rsidR="001B1411" w:rsidRPr="00DA7625" w:rsidRDefault="004357B9">
            <w:pPr>
              <w:rPr>
                <w:rFonts w:ascii="Times New Roman" w:hAnsi="Times New Roman"/>
                <w:sz w:val="24"/>
              </w:rPr>
            </w:pPr>
            <w:r w:rsidRPr="00DA7625">
              <w:rPr>
                <w:rFonts w:ascii="Times New Roman" w:hAnsi="Times New Roman"/>
                <w:sz w:val="24"/>
              </w:rPr>
              <w:t>010</w:t>
            </w:r>
          </w:p>
        </w:tc>
        <w:tc>
          <w:tcPr>
            <w:tcW w:w="8701" w:type="dxa"/>
            <w:gridSpan w:val="2"/>
            <w:shd w:val="clear" w:color="auto" w:fill="FFFFFF"/>
          </w:tcPr>
          <w:p w14:paraId="77A4FEB5" w14:textId="77777777" w:rsidR="001B1411" w:rsidRPr="00DA7625" w:rsidRDefault="004357B9">
            <w:pPr>
              <w:ind w:left="72"/>
              <w:rPr>
                <w:rStyle w:val="InstructionsTabelleberschrift"/>
                <w:rFonts w:ascii="Times New Roman" w:hAnsi="Times New Roman"/>
                <w:sz w:val="24"/>
              </w:rPr>
            </w:pPr>
            <w:r w:rsidRPr="00DA7625">
              <w:rPr>
                <w:rStyle w:val="InstructionsTabelleberschrift"/>
                <w:rFonts w:ascii="Times New Roman" w:hAnsi="Times New Roman"/>
                <w:sz w:val="24"/>
              </w:rPr>
              <w:t>Központi kormányzatok vagy központi bankok</w:t>
            </w:r>
          </w:p>
          <w:p w14:paraId="0FCC655C" w14:textId="458570AF" w:rsidR="001B1411" w:rsidRPr="00DA7625" w:rsidRDefault="00D21B29">
            <w:pPr>
              <w:ind w:left="72"/>
              <w:rPr>
                <w:rStyle w:val="InstructionsTabelleText"/>
                <w:rFonts w:ascii="Times New Roman" w:hAnsi="Times New Roman"/>
                <w:sz w:val="24"/>
              </w:rPr>
            </w:pPr>
            <w:r w:rsidRPr="00DA7625">
              <w:rPr>
                <w:rFonts w:ascii="Times New Roman" w:hAnsi="Times New Roman"/>
                <w:sz w:val="24"/>
              </w:rPr>
              <w:t>A CRR 112. cikkének a) pontja</w:t>
            </w:r>
          </w:p>
        </w:tc>
      </w:tr>
      <w:tr w:rsidR="001B1411" w:rsidRPr="00DA7625" w14:paraId="5D6B04F0" w14:textId="77777777" w:rsidTr="00672D2A">
        <w:tc>
          <w:tcPr>
            <w:tcW w:w="1188" w:type="dxa"/>
            <w:shd w:val="clear" w:color="auto" w:fill="FFFFFF"/>
          </w:tcPr>
          <w:p w14:paraId="0D310BFC" w14:textId="77777777" w:rsidR="001B1411" w:rsidRPr="00DA7625" w:rsidRDefault="004357B9">
            <w:pPr>
              <w:rPr>
                <w:rFonts w:ascii="Times New Roman" w:hAnsi="Times New Roman"/>
                <w:sz w:val="24"/>
              </w:rPr>
            </w:pPr>
            <w:r w:rsidRPr="00DA7625">
              <w:rPr>
                <w:rFonts w:ascii="Times New Roman" w:hAnsi="Times New Roman"/>
                <w:sz w:val="24"/>
              </w:rPr>
              <w:lastRenderedPageBreak/>
              <w:t>020</w:t>
            </w:r>
          </w:p>
        </w:tc>
        <w:tc>
          <w:tcPr>
            <w:tcW w:w="8701" w:type="dxa"/>
            <w:gridSpan w:val="2"/>
            <w:shd w:val="clear" w:color="auto" w:fill="FFFFFF"/>
          </w:tcPr>
          <w:p w14:paraId="2DA589A8" w14:textId="77777777" w:rsidR="001B1411" w:rsidRPr="00DA7625" w:rsidRDefault="004357B9">
            <w:pPr>
              <w:ind w:left="72"/>
              <w:rPr>
                <w:rStyle w:val="InstructionsTabelleberschrift"/>
                <w:rFonts w:ascii="Times New Roman" w:hAnsi="Times New Roman"/>
                <w:sz w:val="24"/>
              </w:rPr>
            </w:pPr>
            <w:r w:rsidRPr="00DA7625">
              <w:rPr>
                <w:rStyle w:val="InstructionsTabelleberschrift"/>
                <w:rFonts w:ascii="Times New Roman" w:hAnsi="Times New Roman"/>
                <w:sz w:val="24"/>
              </w:rPr>
              <w:t>Regionális kormányzatok vagy helyi hatóságok</w:t>
            </w:r>
          </w:p>
          <w:p w14:paraId="429EB3F8" w14:textId="70223954" w:rsidR="001B1411" w:rsidRPr="00DA7625" w:rsidRDefault="00D21B29">
            <w:pPr>
              <w:ind w:left="72"/>
              <w:rPr>
                <w:rStyle w:val="InstructionsTabelleberschrift"/>
                <w:rFonts w:ascii="Times New Roman" w:hAnsi="Times New Roman"/>
                <w:sz w:val="24"/>
              </w:rPr>
            </w:pPr>
            <w:r w:rsidRPr="00DA7625">
              <w:rPr>
                <w:rFonts w:ascii="Times New Roman" w:hAnsi="Times New Roman"/>
                <w:bCs/>
                <w:sz w:val="24"/>
              </w:rPr>
              <w:t>A CRR 112. cikkének b) pontja</w:t>
            </w:r>
          </w:p>
        </w:tc>
      </w:tr>
      <w:tr w:rsidR="001B1411" w:rsidRPr="00DA7625" w14:paraId="213DF72C" w14:textId="77777777" w:rsidTr="00672D2A">
        <w:tc>
          <w:tcPr>
            <w:tcW w:w="1188" w:type="dxa"/>
            <w:shd w:val="clear" w:color="auto" w:fill="FFFFFF"/>
          </w:tcPr>
          <w:p w14:paraId="6DA94ED7" w14:textId="77777777" w:rsidR="001B1411" w:rsidRPr="00DA7625" w:rsidRDefault="004357B9">
            <w:pPr>
              <w:rPr>
                <w:rFonts w:ascii="Times New Roman" w:hAnsi="Times New Roman"/>
                <w:sz w:val="24"/>
              </w:rPr>
            </w:pPr>
            <w:r w:rsidRPr="00DA7625">
              <w:rPr>
                <w:rFonts w:ascii="Times New Roman" w:hAnsi="Times New Roman"/>
                <w:sz w:val="24"/>
              </w:rPr>
              <w:t>030</w:t>
            </w:r>
          </w:p>
        </w:tc>
        <w:tc>
          <w:tcPr>
            <w:tcW w:w="8701" w:type="dxa"/>
            <w:gridSpan w:val="2"/>
            <w:shd w:val="clear" w:color="auto" w:fill="FFFFFF"/>
          </w:tcPr>
          <w:p w14:paraId="13427E47" w14:textId="77777777" w:rsidR="001B1411" w:rsidRPr="00DA7625" w:rsidRDefault="004357B9">
            <w:pPr>
              <w:ind w:left="72"/>
              <w:rPr>
                <w:rStyle w:val="InstructionsTabelleberschrift"/>
                <w:rFonts w:ascii="Times New Roman" w:hAnsi="Times New Roman"/>
                <w:sz w:val="24"/>
              </w:rPr>
            </w:pPr>
            <w:r w:rsidRPr="00DA7625">
              <w:rPr>
                <w:rStyle w:val="InstructionsTabelleberschrift"/>
                <w:rFonts w:ascii="Times New Roman" w:hAnsi="Times New Roman"/>
                <w:sz w:val="24"/>
              </w:rPr>
              <w:t>Közszektorbeli intézmények</w:t>
            </w:r>
          </w:p>
          <w:p w14:paraId="78F31A1E" w14:textId="23CA771B" w:rsidR="001B1411" w:rsidRPr="00DA7625" w:rsidRDefault="00D21B29">
            <w:pPr>
              <w:ind w:left="72"/>
              <w:rPr>
                <w:rStyle w:val="InstructionsTabelleberschrift"/>
                <w:rFonts w:ascii="Times New Roman" w:hAnsi="Times New Roman"/>
                <w:sz w:val="24"/>
              </w:rPr>
            </w:pPr>
            <w:r w:rsidRPr="00DA7625">
              <w:rPr>
                <w:rFonts w:ascii="Times New Roman" w:hAnsi="Times New Roman"/>
                <w:bCs/>
                <w:sz w:val="24"/>
              </w:rPr>
              <w:t>A CRR 112. cikkének c) pontja</w:t>
            </w:r>
          </w:p>
        </w:tc>
      </w:tr>
      <w:tr w:rsidR="001B1411" w:rsidRPr="00DA7625" w14:paraId="690BBFE3" w14:textId="77777777" w:rsidTr="00672D2A">
        <w:tc>
          <w:tcPr>
            <w:tcW w:w="1188" w:type="dxa"/>
            <w:shd w:val="clear" w:color="auto" w:fill="FFFFFF"/>
          </w:tcPr>
          <w:p w14:paraId="614019A4" w14:textId="77777777" w:rsidR="001B1411" w:rsidRPr="00DA7625" w:rsidRDefault="004357B9">
            <w:pPr>
              <w:rPr>
                <w:rFonts w:ascii="Times New Roman" w:hAnsi="Times New Roman"/>
                <w:sz w:val="24"/>
              </w:rPr>
            </w:pPr>
            <w:r w:rsidRPr="00DA7625">
              <w:rPr>
                <w:rFonts w:ascii="Times New Roman" w:hAnsi="Times New Roman"/>
                <w:sz w:val="24"/>
              </w:rPr>
              <w:t>040</w:t>
            </w:r>
          </w:p>
        </w:tc>
        <w:tc>
          <w:tcPr>
            <w:tcW w:w="8701" w:type="dxa"/>
            <w:gridSpan w:val="2"/>
            <w:shd w:val="clear" w:color="auto" w:fill="FFFFFF"/>
          </w:tcPr>
          <w:p w14:paraId="73248D6E" w14:textId="77777777" w:rsidR="001B1411" w:rsidRPr="00DA7625" w:rsidRDefault="004357B9">
            <w:pPr>
              <w:ind w:left="72"/>
              <w:rPr>
                <w:rStyle w:val="InstructionsTabelleberschrift"/>
                <w:rFonts w:ascii="Times New Roman" w:hAnsi="Times New Roman"/>
                <w:sz w:val="24"/>
              </w:rPr>
            </w:pPr>
            <w:r w:rsidRPr="00DA7625">
              <w:rPr>
                <w:rStyle w:val="InstructionsTabelleberschrift"/>
                <w:rFonts w:ascii="Times New Roman" w:hAnsi="Times New Roman"/>
                <w:sz w:val="24"/>
              </w:rPr>
              <w:t>Multilaterális fejlesztési bankok</w:t>
            </w:r>
          </w:p>
          <w:p w14:paraId="5C52A188" w14:textId="11EE4A10" w:rsidR="001B1411" w:rsidRPr="00DA7625" w:rsidRDefault="00D21B29">
            <w:pPr>
              <w:ind w:left="72"/>
              <w:rPr>
                <w:rStyle w:val="InstructionsTabelleberschrift"/>
                <w:rFonts w:ascii="Times New Roman" w:hAnsi="Times New Roman"/>
                <w:sz w:val="24"/>
              </w:rPr>
            </w:pPr>
            <w:r w:rsidRPr="00DA7625">
              <w:rPr>
                <w:rFonts w:ascii="Times New Roman" w:hAnsi="Times New Roman"/>
                <w:bCs/>
                <w:sz w:val="24"/>
              </w:rPr>
              <w:t>A CRR 112.</w:t>
            </w:r>
            <w:r w:rsidRPr="00DA7625">
              <w:rPr>
                <w:rFonts w:ascii="Times New Roman" w:hAnsi="Times New Roman"/>
                <w:sz w:val="24"/>
              </w:rPr>
              <w:t xml:space="preserve"> </w:t>
            </w:r>
            <w:r w:rsidRPr="00DA7625">
              <w:rPr>
                <w:rStyle w:val="InstructionsTabelleText"/>
                <w:rFonts w:ascii="Times New Roman" w:hAnsi="Times New Roman"/>
                <w:sz w:val="24"/>
              </w:rPr>
              <w:t>cikkének</w:t>
            </w:r>
            <w:r w:rsidRPr="00DA7625">
              <w:rPr>
                <w:rFonts w:ascii="Times New Roman" w:hAnsi="Times New Roman"/>
                <w:sz w:val="24"/>
              </w:rPr>
              <w:t xml:space="preserve"> </w:t>
            </w:r>
            <w:r w:rsidRPr="00DA7625">
              <w:rPr>
                <w:rFonts w:ascii="Times New Roman" w:hAnsi="Times New Roman"/>
                <w:bCs/>
                <w:sz w:val="24"/>
              </w:rPr>
              <w:t>d) pontja</w:t>
            </w:r>
          </w:p>
        </w:tc>
      </w:tr>
      <w:tr w:rsidR="001B1411" w:rsidRPr="00DA7625" w14:paraId="4D7CF9C5" w14:textId="77777777" w:rsidTr="00672D2A">
        <w:tc>
          <w:tcPr>
            <w:tcW w:w="1188" w:type="dxa"/>
            <w:shd w:val="clear" w:color="auto" w:fill="FFFFFF"/>
          </w:tcPr>
          <w:p w14:paraId="02CD4D5F" w14:textId="77777777" w:rsidR="001B1411" w:rsidRPr="00DA7625" w:rsidRDefault="004357B9">
            <w:pPr>
              <w:rPr>
                <w:rFonts w:ascii="Times New Roman" w:hAnsi="Times New Roman"/>
                <w:sz w:val="24"/>
              </w:rPr>
            </w:pPr>
            <w:r w:rsidRPr="00DA7625">
              <w:rPr>
                <w:rFonts w:ascii="Times New Roman" w:hAnsi="Times New Roman"/>
                <w:sz w:val="24"/>
              </w:rPr>
              <w:t>050</w:t>
            </w:r>
          </w:p>
        </w:tc>
        <w:tc>
          <w:tcPr>
            <w:tcW w:w="8701" w:type="dxa"/>
            <w:gridSpan w:val="2"/>
            <w:shd w:val="clear" w:color="auto" w:fill="FFFFFF"/>
          </w:tcPr>
          <w:p w14:paraId="191DEA30" w14:textId="77777777" w:rsidR="001B1411" w:rsidRPr="00DA7625" w:rsidRDefault="004357B9">
            <w:pPr>
              <w:ind w:left="72"/>
              <w:rPr>
                <w:rStyle w:val="InstructionsTabelleberschrift"/>
                <w:rFonts w:ascii="Times New Roman" w:hAnsi="Times New Roman"/>
                <w:sz w:val="24"/>
              </w:rPr>
            </w:pPr>
            <w:r w:rsidRPr="00DA7625">
              <w:rPr>
                <w:rStyle w:val="InstructionsTabelleberschrift"/>
                <w:rFonts w:ascii="Times New Roman" w:hAnsi="Times New Roman"/>
                <w:sz w:val="24"/>
              </w:rPr>
              <w:t>Nemzetközi szervezetek</w:t>
            </w:r>
          </w:p>
          <w:p w14:paraId="2BAE0184" w14:textId="48737763" w:rsidR="001B1411" w:rsidRPr="00DA7625" w:rsidRDefault="00D21B29">
            <w:pPr>
              <w:ind w:left="72"/>
              <w:rPr>
                <w:rStyle w:val="InstructionsTabelleberschrift"/>
                <w:rFonts w:ascii="Times New Roman" w:hAnsi="Times New Roman"/>
                <w:sz w:val="24"/>
              </w:rPr>
            </w:pPr>
            <w:r w:rsidRPr="00DA7625">
              <w:rPr>
                <w:rFonts w:ascii="Times New Roman" w:hAnsi="Times New Roman"/>
                <w:bCs/>
                <w:sz w:val="24"/>
              </w:rPr>
              <w:t>A CRR 112. cikkének e) pontja</w:t>
            </w:r>
          </w:p>
        </w:tc>
      </w:tr>
      <w:tr w:rsidR="001B1411" w:rsidRPr="00DA7625" w14:paraId="38ABA1B5" w14:textId="77777777" w:rsidTr="00672D2A">
        <w:tc>
          <w:tcPr>
            <w:tcW w:w="1188" w:type="dxa"/>
            <w:shd w:val="clear" w:color="auto" w:fill="FFFFFF"/>
          </w:tcPr>
          <w:p w14:paraId="4E86EC15" w14:textId="77777777" w:rsidR="001B1411" w:rsidRPr="00DA7625" w:rsidRDefault="004357B9">
            <w:pPr>
              <w:rPr>
                <w:rFonts w:ascii="Times New Roman" w:hAnsi="Times New Roman"/>
                <w:sz w:val="24"/>
              </w:rPr>
            </w:pPr>
            <w:r w:rsidRPr="00DA7625">
              <w:rPr>
                <w:rFonts w:ascii="Times New Roman" w:hAnsi="Times New Roman"/>
                <w:sz w:val="24"/>
              </w:rPr>
              <w:t>060</w:t>
            </w:r>
          </w:p>
        </w:tc>
        <w:tc>
          <w:tcPr>
            <w:tcW w:w="8701" w:type="dxa"/>
            <w:gridSpan w:val="2"/>
            <w:shd w:val="clear" w:color="auto" w:fill="FFFFFF"/>
          </w:tcPr>
          <w:p w14:paraId="291BC296" w14:textId="77777777" w:rsidR="001B1411" w:rsidRPr="00DA7625" w:rsidRDefault="004357B9">
            <w:pPr>
              <w:ind w:left="72"/>
              <w:rPr>
                <w:rStyle w:val="InstructionsTabelleberschrift"/>
                <w:rFonts w:ascii="Times New Roman" w:hAnsi="Times New Roman"/>
                <w:sz w:val="24"/>
              </w:rPr>
            </w:pPr>
            <w:r w:rsidRPr="00DA7625">
              <w:rPr>
                <w:rStyle w:val="InstructionsTabelleberschrift"/>
                <w:rFonts w:ascii="Times New Roman" w:hAnsi="Times New Roman"/>
                <w:sz w:val="24"/>
              </w:rPr>
              <w:t>Intézmények</w:t>
            </w:r>
          </w:p>
          <w:p w14:paraId="2904CFFB" w14:textId="566A617B" w:rsidR="001B1411" w:rsidRPr="00DA7625" w:rsidRDefault="00D21B29">
            <w:pPr>
              <w:ind w:left="72"/>
              <w:rPr>
                <w:rStyle w:val="InstructionsTabelleberschrift"/>
                <w:rFonts w:ascii="Times New Roman" w:hAnsi="Times New Roman"/>
                <w:sz w:val="24"/>
              </w:rPr>
            </w:pPr>
            <w:r w:rsidRPr="00DA7625">
              <w:rPr>
                <w:rFonts w:ascii="Times New Roman" w:hAnsi="Times New Roman"/>
                <w:bCs/>
                <w:sz w:val="24"/>
              </w:rPr>
              <w:t>A CRR 112. cikkének f) pontja</w:t>
            </w:r>
          </w:p>
        </w:tc>
      </w:tr>
      <w:tr w:rsidR="001B1411" w:rsidRPr="00DA7625" w14:paraId="69E525A3" w14:textId="77777777" w:rsidTr="00672D2A">
        <w:tc>
          <w:tcPr>
            <w:tcW w:w="1188" w:type="dxa"/>
            <w:shd w:val="clear" w:color="auto" w:fill="FFFFFF"/>
          </w:tcPr>
          <w:p w14:paraId="2B676835" w14:textId="77777777" w:rsidR="001B1411" w:rsidRPr="00DA7625" w:rsidRDefault="004357B9">
            <w:pPr>
              <w:rPr>
                <w:rFonts w:ascii="Times New Roman" w:hAnsi="Times New Roman"/>
                <w:sz w:val="24"/>
              </w:rPr>
            </w:pPr>
            <w:r w:rsidRPr="00DA7625">
              <w:rPr>
                <w:rFonts w:ascii="Times New Roman" w:hAnsi="Times New Roman"/>
                <w:sz w:val="24"/>
              </w:rPr>
              <w:t>070</w:t>
            </w:r>
          </w:p>
        </w:tc>
        <w:tc>
          <w:tcPr>
            <w:tcW w:w="8701" w:type="dxa"/>
            <w:gridSpan w:val="2"/>
            <w:shd w:val="clear" w:color="auto" w:fill="FFFFFF"/>
          </w:tcPr>
          <w:p w14:paraId="39158FB9" w14:textId="77777777" w:rsidR="001B1411" w:rsidRPr="00DA7625" w:rsidRDefault="004357B9">
            <w:pPr>
              <w:ind w:left="72"/>
              <w:rPr>
                <w:rStyle w:val="InstructionsTabelleberschrift"/>
                <w:rFonts w:ascii="Times New Roman" w:hAnsi="Times New Roman"/>
                <w:sz w:val="24"/>
              </w:rPr>
            </w:pPr>
            <w:r w:rsidRPr="00DA7625">
              <w:rPr>
                <w:rStyle w:val="InstructionsTabelleberschrift"/>
                <w:rFonts w:ascii="Times New Roman" w:hAnsi="Times New Roman"/>
                <w:sz w:val="24"/>
              </w:rPr>
              <w:t>Vállalkozások</w:t>
            </w:r>
          </w:p>
          <w:p w14:paraId="0B377737" w14:textId="4BFB5A58" w:rsidR="001B1411" w:rsidRPr="00DA7625" w:rsidRDefault="00D21B29">
            <w:pPr>
              <w:ind w:left="72"/>
              <w:rPr>
                <w:rStyle w:val="InstructionsTabelleberschrift"/>
                <w:rFonts w:ascii="Times New Roman" w:hAnsi="Times New Roman"/>
                <w:sz w:val="24"/>
              </w:rPr>
            </w:pPr>
            <w:r w:rsidRPr="00DA7625">
              <w:rPr>
                <w:rFonts w:ascii="Times New Roman" w:hAnsi="Times New Roman"/>
                <w:bCs/>
                <w:sz w:val="24"/>
              </w:rPr>
              <w:t>A CRR 112. cikkének g) pontja</w:t>
            </w:r>
          </w:p>
        </w:tc>
      </w:tr>
      <w:tr w:rsidR="001B1411" w:rsidRPr="00DA7625" w14:paraId="2F441EB7" w14:textId="77777777" w:rsidTr="00672D2A">
        <w:tc>
          <w:tcPr>
            <w:tcW w:w="1188" w:type="dxa"/>
            <w:shd w:val="clear" w:color="auto" w:fill="FFFFFF"/>
          </w:tcPr>
          <w:p w14:paraId="16E1C1F2" w14:textId="77777777" w:rsidR="001B1411" w:rsidRPr="00DA7625" w:rsidRDefault="004357B9">
            <w:pPr>
              <w:rPr>
                <w:rFonts w:ascii="Times New Roman" w:hAnsi="Times New Roman"/>
                <w:sz w:val="24"/>
              </w:rPr>
            </w:pPr>
            <w:r w:rsidRPr="00DA7625">
              <w:rPr>
                <w:rFonts w:ascii="Times New Roman" w:hAnsi="Times New Roman"/>
                <w:sz w:val="24"/>
              </w:rPr>
              <w:t>075</w:t>
            </w:r>
          </w:p>
        </w:tc>
        <w:tc>
          <w:tcPr>
            <w:tcW w:w="8701" w:type="dxa"/>
            <w:gridSpan w:val="2"/>
            <w:shd w:val="clear" w:color="auto" w:fill="FFFFFF"/>
          </w:tcPr>
          <w:p w14:paraId="6DDA31AF" w14:textId="77777777" w:rsidR="001B1411" w:rsidRPr="00DA7625" w:rsidRDefault="004357B9">
            <w:pPr>
              <w:ind w:left="72"/>
              <w:rPr>
                <w:rStyle w:val="InstructionsTabelleberschrift"/>
                <w:rFonts w:ascii="Times New Roman" w:hAnsi="Times New Roman"/>
                <w:sz w:val="24"/>
              </w:rPr>
            </w:pPr>
            <w:r w:rsidRPr="00DA7625">
              <w:rPr>
                <w:rStyle w:val="InstructionsTabelleberschrift"/>
                <w:rFonts w:ascii="Times New Roman" w:hAnsi="Times New Roman"/>
                <w:sz w:val="24"/>
              </w:rPr>
              <w:t>Ebből: KKV</w:t>
            </w:r>
          </w:p>
          <w:p w14:paraId="66B0FF6E" w14:textId="77777777" w:rsidR="001B1411" w:rsidRPr="00DA7625" w:rsidRDefault="004357B9">
            <w:pPr>
              <w:ind w:left="72"/>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 SA tábla 020. sorával azonos meghatározás</w:t>
            </w:r>
          </w:p>
        </w:tc>
      </w:tr>
      <w:tr w:rsidR="001B1411" w:rsidRPr="00DA7625" w14:paraId="61F699C5" w14:textId="77777777" w:rsidTr="00672D2A">
        <w:tc>
          <w:tcPr>
            <w:tcW w:w="1188" w:type="dxa"/>
            <w:shd w:val="clear" w:color="auto" w:fill="FFFFFF"/>
          </w:tcPr>
          <w:p w14:paraId="635B20B4" w14:textId="77777777" w:rsidR="001B1411" w:rsidRPr="00DA7625" w:rsidRDefault="004357B9">
            <w:pPr>
              <w:rPr>
                <w:rFonts w:ascii="Times New Roman" w:hAnsi="Times New Roman"/>
                <w:sz w:val="24"/>
              </w:rPr>
            </w:pPr>
            <w:r w:rsidRPr="00DA7625">
              <w:rPr>
                <w:rFonts w:ascii="Times New Roman" w:hAnsi="Times New Roman"/>
                <w:sz w:val="24"/>
              </w:rPr>
              <w:t>080</w:t>
            </w:r>
          </w:p>
        </w:tc>
        <w:tc>
          <w:tcPr>
            <w:tcW w:w="8701" w:type="dxa"/>
            <w:gridSpan w:val="2"/>
            <w:shd w:val="clear" w:color="auto" w:fill="FFFFFF"/>
          </w:tcPr>
          <w:p w14:paraId="3A028B82" w14:textId="77777777" w:rsidR="001B1411" w:rsidRPr="00DA7625" w:rsidRDefault="004357B9">
            <w:pPr>
              <w:ind w:left="72"/>
              <w:rPr>
                <w:rStyle w:val="InstructionsTabelleberschrift"/>
                <w:rFonts w:ascii="Times New Roman" w:hAnsi="Times New Roman"/>
                <w:sz w:val="24"/>
              </w:rPr>
            </w:pPr>
            <w:r w:rsidRPr="00DA7625">
              <w:rPr>
                <w:rStyle w:val="InstructionsTabelleberschrift"/>
                <w:rFonts w:ascii="Times New Roman" w:hAnsi="Times New Roman"/>
                <w:sz w:val="24"/>
              </w:rPr>
              <w:t>Lakosság</w:t>
            </w:r>
          </w:p>
          <w:p w14:paraId="0EAEC635" w14:textId="5AF25699" w:rsidR="001B1411" w:rsidRPr="00DA7625" w:rsidRDefault="00D21B29">
            <w:pPr>
              <w:ind w:left="72"/>
              <w:rPr>
                <w:rStyle w:val="InstructionsTabelleberschrift"/>
                <w:rFonts w:ascii="Times New Roman" w:hAnsi="Times New Roman"/>
                <w:sz w:val="24"/>
              </w:rPr>
            </w:pPr>
            <w:r w:rsidRPr="00DA7625">
              <w:rPr>
                <w:rFonts w:ascii="Times New Roman" w:hAnsi="Times New Roman"/>
                <w:bCs/>
                <w:sz w:val="24"/>
              </w:rPr>
              <w:t>A CRR 112. cikkének h) pontja</w:t>
            </w:r>
          </w:p>
        </w:tc>
      </w:tr>
      <w:tr w:rsidR="001B1411" w:rsidRPr="00DA7625" w14:paraId="7B9A6B0C" w14:textId="77777777" w:rsidTr="00672D2A">
        <w:tc>
          <w:tcPr>
            <w:tcW w:w="1188" w:type="dxa"/>
            <w:shd w:val="clear" w:color="auto" w:fill="FFFFFF"/>
          </w:tcPr>
          <w:p w14:paraId="4C761573" w14:textId="77777777" w:rsidR="001B1411" w:rsidRPr="00DA7625" w:rsidRDefault="004357B9">
            <w:pPr>
              <w:rPr>
                <w:rFonts w:ascii="Times New Roman" w:hAnsi="Times New Roman"/>
                <w:sz w:val="24"/>
              </w:rPr>
            </w:pPr>
            <w:r w:rsidRPr="00DA7625">
              <w:rPr>
                <w:rFonts w:ascii="Times New Roman" w:hAnsi="Times New Roman"/>
                <w:sz w:val="24"/>
              </w:rPr>
              <w:t>085</w:t>
            </w:r>
          </w:p>
        </w:tc>
        <w:tc>
          <w:tcPr>
            <w:tcW w:w="8701" w:type="dxa"/>
            <w:gridSpan w:val="2"/>
            <w:shd w:val="clear" w:color="auto" w:fill="FFFFFF"/>
          </w:tcPr>
          <w:p w14:paraId="6921B26B" w14:textId="77777777" w:rsidR="001B1411" w:rsidRPr="00DA7625" w:rsidRDefault="004357B9">
            <w:pPr>
              <w:ind w:left="72"/>
              <w:rPr>
                <w:rStyle w:val="InstructionsTabelleberschrift"/>
                <w:rFonts w:ascii="Times New Roman" w:hAnsi="Times New Roman"/>
                <w:sz w:val="24"/>
              </w:rPr>
            </w:pPr>
            <w:r w:rsidRPr="00DA7625">
              <w:rPr>
                <w:rStyle w:val="InstructionsTabelleberschrift"/>
                <w:rFonts w:ascii="Times New Roman" w:hAnsi="Times New Roman"/>
                <w:sz w:val="24"/>
              </w:rPr>
              <w:t>Ebből: KKV</w:t>
            </w:r>
          </w:p>
          <w:p w14:paraId="4CC6A450" w14:textId="77777777" w:rsidR="001B1411" w:rsidRPr="00DA7625" w:rsidRDefault="004357B9">
            <w:pPr>
              <w:ind w:left="72"/>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 SA tábla 020. sorával azonos meghatározás</w:t>
            </w:r>
          </w:p>
        </w:tc>
      </w:tr>
      <w:tr w:rsidR="001B1411" w:rsidRPr="00DA7625" w14:paraId="300D14E6" w14:textId="77777777" w:rsidTr="00672D2A">
        <w:tc>
          <w:tcPr>
            <w:tcW w:w="1188" w:type="dxa"/>
            <w:shd w:val="clear" w:color="auto" w:fill="FFFFFF"/>
          </w:tcPr>
          <w:p w14:paraId="6E09B154" w14:textId="77777777" w:rsidR="001B1411" w:rsidRPr="00DA7625" w:rsidRDefault="004357B9">
            <w:pPr>
              <w:rPr>
                <w:rFonts w:ascii="Times New Roman" w:hAnsi="Times New Roman"/>
                <w:sz w:val="24"/>
              </w:rPr>
            </w:pPr>
            <w:r w:rsidRPr="00DA7625">
              <w:rPr>
                <w:rFonts w:ascii="Times New Roman" w:hAnsi="Times New Roman"/>
                <w:sz w:val="24"/>
              </w:rPr>
              <w:t>090</w:t>
            </w:r>
          </w:p>
        </w:tc>
        <w:tc>
          <w:tcPr>
            <w:tcW w:w="8701" w:type="dxa"/>
            <w:gridSpan w:val="2"/>
            <w:shd w:val="clear" w:color="auto" w:fill="FFFFFF"/>
          </w:tcPr>
          <w:p w14:paraId="04E4DB08" w14:textId="77777777" w:rsidR="001B1411" w:rsidRPr="00DA7625" w:rsidRDefault="004357B9">
            <w:pPr>
              <w:ind w:left="72"/>
              <w:rPr>
                <w:rStyle w:val="InstructionsTabelleberschrift"/>
                <w:rFonts w:ascii="Times New Roman" w:hAnsi="Times New Roman"/>
                <w:sz w:val="24"/>
              </w:rPr>
            </w:pPr>
            <w:r w:rsidRPr="00DA7625">
              <w:rPr>
                <w:rStyle w:val="InstructionsTabelleberschrift"/>
                <w:rFonts w:ascii="Times New Roman" w:hAnsi="Times New Roman"/>
                <w:sz w:val="24"/>
              </w:rPr>
              <w:t>Ingatlanra bejegyzett zálogjoggal fedezett kitettségek</w:t>
            </w:r>
          </w:p>
          <w:p w14:paraId="5AB36A97" w14:textId="648283A5" w:rsidR="001B1411" w:rsidRPr="00DA7625" w:rsidRDefault="00D21B29">
            <w:pPr>
              <w:ind w:left="72"/>
              <w:rPr>
                <w:rStyle w:val="InstructionsTabelleText"/>
                <w:rFonts w:ascii="Times New Roman" w:hAnsi="Times New Roman"/>
                <w:sz w:val="24"/>
              </w:rPr>
            </w:pPr>
            <w:r w:rsidRPr="00DA7625">
              <w:rPr>
                <w:rFonts w:ascii="Times New Roman" w:hAnsi="Times New Roman"/>
                <w:sz w:val="24"/>
              </w:rPr>
              <w:t xml:space="preserve">A CRR 112. cikkének </w:t>
            </w:r>
            <w:r w:rsidRPr="00DA7625">
              <w:rPr>
                <w:rFonts w:ascii="Times New Roman" w:hAnsi="Times New Roman"/>
                <w:bCs/>
                <w:sz w:val="24"/>
              </w:rPr>
              <w:t>i) pontja</w:t>
            </w:r>
          </w:p>
        </w:tc>
      </w:tr>
      <w:tr w:rsidR="001B1411" w:rsidRPr="00DA7625" w14:paraId="10CA01AC" w14:textId="77777777" w:rsidTr="00672D2A">
        <w:tc>
          <w:tcPr>
            <w:tcW w:w="1188" w:type="dxa"/>
            <w:shd w:val="clear" w:color="auto" w:fill="FFFFFF"/>
          </w:tcPr>
          <w:p w14:paraId="00E78091" w14:textId="77777777" w:rsidR="001B1411" w:rsidRPr="00DA7625" w:rsidRDefault="004357B9">
            <w:pPr>
              <w:rPr>
                <w:rFonts w:ascii="Times New Roman" w:hAnsi="Times New Roman"/>
                <w:sz w:val="24"/>
              </w:rPr>
            </w:pPr>
            <w:r w:rsidRPr="00DA7625">
              <w:rPr>
                <w:rFonts w:ascii="Times New Roman" w:hAnsi="Times New Roman"/>
                <w:sz w:val="24"/>
              </w:rPr>
              <w:t>095</w:t>
            </w:r>
          </w:p>
        </w:tc>
        <w:tc>
          <w:tcPr>
            <w:tcW w:w="8701" w:type="dxa"/>
            <w:gridSpan w:val="2"/>
            <w:shd w:val="clear" w:color="auto" w:fill="FFFFFF"/>
          </w:tcPr>
          <w:p w14:paraId="4C3BF951" w14:textId="77777777" w:rsidR="001B1411" w:rsidRPr="00DA7625" w:rsidRDefault="004357B9">
            <w:pPr>
              <w:ind w:left="72"/>
              <w:rPr>
                <w:rStyle w:val="InstructionsTabelleberschrift"/>
                <w:rFonts w:ascii="Times New Roman" w:hAnsi="Times New Roman"/>
                <w:sz w:val="24"/>
              </w:rPr>
            </w:pPr>
            <w:r w:rsidRPr="00DA7625">
              <w:rPr>
                <w:rStyle w:val="InstructionsTabelleberschrift"/>
                <w:rFonts w:ascii="Times New Roman" w:hAnsi="Times New Roman"/>
                <w:sz w:val="24"/>
              </w:rPr>
              <w:t>Ebből: KKV</w:t>
            </w:r>
          </w:p>
          <w:p w14:paraId="33D86C93" w14:textId="77777777" w:rsidR="001B1411" w:rsidRPr="00DA7625" w:rsidRDefault="004357B9">
            <w:pPr>
              <w:ind w:left="72"/>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CR SA tábla 020. sorával azonos meghatározás</w:t>
            </w:r>
          </w:p>
        </w:tc>
      </w:tr>
      <w:tr w:rsidR="001B1411" w:rsidRPr="00DA7625" w14:paraId="36A48887" w14:textId="77777777" w:rsidTr="00672D2A">
        <w:tc>
          <w:tcPr>
            <w:tcW w:w="1188" w:type="dxa"/>
            <w:shd w:val="clear" w:color="auto" w:fill="FFFFFF"/>
          </w:tcPr>
          <w:p w14:paraId="30AED4CA" w14:textId="77777777" w:rsidR="001B1411" w:rsidRPr="00DA7625" w:rsidRDefault="004357B9">
            <w:pPr>
              <w:rPr>
                <w:rFonts w:ascii="Times New Roman" w:hAnsi="Times New Roman"/>
                <w:sz w:val="24"/>
              </w:rPr>
            </w:pPr>
            <w:r w:rsidRPr="00DA7625">
              <w:rPr>
                <w:rFonts w:ascii="Times New Roman" w:hAnsi="Times New Roman"/>
                <w:sz w:val="24"/>
              </w:rPr>
              <w:t>100</w:t>
            </w:r>
          </w:p>
        </w:tc>
        <w:tc>
          <w:tcPr>
            <w:tcW w:w="8701" w:type="dxa"/>
            <w:gridSpan w:val="2"/>
            <w:shd w:val="clear" w:color="auto" w:fill="FFFFFF"/>
          </w:tcPr>
          <w:p w14:paraId="3E2610CA" w14:textId="77777777" w:rsidR="001B1411" w:rsidRPr="00DA7625" w:rsidRDefault="004357B9">
            <w:pPr>
              <w:ind w:left="72"/>
              <w:rPr>
                <w:rStyle w:val="InstructionsTabelleberschrift"/>
                <w:rFonts w:ascii="Times New Roman" w:hAnsi="Times New Roman"/>
                <w:sz w:val="24"/>
              </w:rPr>
            </w:pPr>
            <w:r w:rsidRPr="00DA7625">
              <w:rPr>
                <w:rStyle w:val="InstructionsTabelleberschrift"/>
                <w:rFonts w:ascii="Times New Roman" w:hAnsi="Times New Roman"/>
                <w:sz w:val="24"/>
              </w:rPr>
              <w:t>Nemteljesítő kitettségek</w:t>
            </w:r>
          </w:p>
          <w:p w14:paraId="555EF331" w14:textId="6662C3C8" w:rsidR="001B1411" w:rsidRPr="00DA7625" w:rsidRDefault="00D21B29">
            <w:pPr>
              <w:ind w:left="72"/>
              <w:rPr>
                <w:rStyle w:val="InstructionsTabelleberschrift"/>
                <w:rFonts w:ascii="Times New Roman" w:hAnsi="Times New Roman"/>
                <w:sz w:val="24"/>
              </w:rPr>
            </w:pPr>
            <w:r w:rsidRPr="00DA7625">
              <w:rPr>
                <w:rFonts w:ascii="Times New Roman" w:hAnsi="Times New Roman"/>
                <w:bCs/>
                <w:sz w:val="24"/>
              </w:rPr>
              <w:t>A CRR 112. cikkének j) pontja</w:t>
            </w:r>
          </w:p>
        </w:tc>
      </w:tr>
      <w:tr w:rsidR="001B1411" w:rsidRPr="00DA7625" w14:paraId="2CD722D1" w14:textId="77777777" w:rsidTr="00672D2A">
        <w:tc>
          <w:tcPr>
            <w:tcW w:w="1188" w:type="dxa"/>
            <w:shd w:val="clear" w:color="auto" w:fill="FFFFFF"/>
          </w:tcPr>
          <w:p w14:paraId="611661D5" w14:textId="77777777" w:rsidR="001B1411" w:rsidRPr="00DA7625" w:rsidRDefault="004357B9">
            <w:pPr>
              <w:rPr>
                <w:rFonts w:ascii="Times New Roman" w:hAnsi="Times New Roman"/>
                <w:sz w:val="24"/>
              </w:rPr>
            </w:pPr>
            <w:r w:rsidRPr="00DA7625">
              <w:rPr>
                <w:rFonts w:ascii="Times New Roman" w:hAnsi="Times New Roman"/>
                <w:sz w:val="24"/>
              </w:rPr>
              <w:t>110</w:t>
            </w:r>
          </w:p>
        </w:tc>
        <w:tc>
          <w:tcPr>
            <w:tcW w:w="8701" w:type="dxa"/>
            <w:gridSpan w:val="2"/>
            <w:shd w:val="clear" w:color="auto" w:fill="FFFFFF"/>
          </w:tcPr>
          <w:p w14:paraId="32B40A76" w14:textId="77777777" w:rsidR="001B1411" w:rsidRPr="00DA7625" w:rsidRDefault="000565B6">
            <w:pPr>
              <w:autoSpaceDE w:val="0"/>
              <w:autoSpaceDN w:val="0"/>
              <w:adjustRightInd w:val="0"/>
              <w:spacing w:before="0"/>
              <w:ind w:left="72"/>
              <w:jc w:val="left"/>
              <w:rPr>
                <w:rFonts w:ascii="Times New Roman" w:hAnsi="Times New Roman"/>
                <w:b/>
                <w:bCs/>
                <w:sz w:val="24"/>
                <w:u w:val="single"/>
              </w:rPr>
            </w:pPr>
            <w:r w:rsidRPr="00DA7625">
              <w:rPr>
                <w:rFonts w:ascii="Times New Roman" w:hAnsi="Times New Roman"/>
                <w:b/>
                <w:bCs/>
                <w:sz w:val="24"/>
                <w:u w:val="single"/>
              </w:rPr>
              <w:t>Kiemelkedően magas kockázatú tételek</w:t>
            </w:r>
          </w:p>
          <w:p w14:paraId="400221CA" w14:textId="282ECE73" w:rsidR="001B1411" w:rsidRPr="00DA7625" w:rsidRDefault="00D21B29">
            <w:pPr>
              <w:autoSpaceDE w:val="0"/>
              <w:autoSpaceDN w:val="0"/>
              <w:adjustRightInd w:val="0"/>
              <w:spacing w:before="0"/>
              <w:ind w:left="72"/>
              <w:jc w:val="left"/>
              <w:rPr>
                <w:rStyle w:val="InstructionsTabelleberschrift"/>
                <w:rFonts w:ascii="Times New Roman" w:hAnsi="Times New Roman"/>
                <w:sz w:val="24"/>
              </w:rPr>
            </w:pPr>
            <w:r w:rsidRPr="00DA7625">
              <w:rPr>
                <w:rFonts w:ascii="Times New Roman" w:hAnsi="Times New Roman"/>
                <w:bCs/>
                <w:sz w:val="24"/>
              </w:rPr>
              <w:t>A CRR 112. cikkének k) pontja</w:t>
            </w:r>
          </w:p>
        </w:tc>
      </w:tr>
      <w:tr w:rsidR="001B1411" w:rsidRPr="00DA7625" w14:paraId="0B3750B5" w14:textId="77777777" w:rsidTr="00672D2A">
        <w:tc>
          <w:tcPr>
            <w:tcW w:w="1188" w:type="dxa"/>
            <w:shd w:val="clear" w:color="auto" w:fill="FFFFFF"/>
          </w:tcPr>
          <w:p w14:paraId="545F7CFF" w14:textId="77777777" w:rsidR="001B1411" w:rsidRPr="00DA7625" w:rsidRDefault="004357B9">
            <w:pPr>
              <w:rPr>
                <w:rFonts w:ascii="Times New Roman" w:hAnsi="Times New Roman"/>
                <w:sz w:val="24"/>
              </w:rPr>
            </w:pPr>
            <w:r w:rsidRPr="00DA7625">
              <w:rPr>
                <w:rFonts w:ascii="Times New Roman" w:hAnsi="Times New Roman"/>
                <w:sz w:val="24"/>
              </w:rPr>
              <w:t>120</w:t>
            </w:r>
          </w:p>
        </w:tc>
        <w:tc>
          <w:tcPr>
            <w:tcW w:w="8701" w:type="dxa"/>
            <w:gridSpan w:val="2"/>
            <w:shd w:val="clear" w:color="auto" w:fill="FFFFFF"/>
          </w:tcPr>
          <w:p w14:paraId="6E4B3101" w14:textId="77777777" w:rsidR="001B1411" w:rsidRPr="00DA7625" w:rsidRDefault="004357B9">
            <w:pPr>
              <w:autoSpaceDE w:val="0"/>
              <w:autoSpaceDN w:val="0"/>
              <w:adjustRightInd w:val="0"/>
              <w:spacing w:before="0"/>
              <w:ind w:left="72"/>
              <w:jc w:val="left"/>
              <w:rPr>
                <w:rStyle w:val="InstructionsTabelleberschrift"/>
                <w:rFonts w:ascii="Times New Roman" w:hAnsi="Times New Roman"/>
                <w:sz w:val="24"/>
              </w:rPr>
            </w:pPr>
            <w:r w:rsidRPr="00DA7625">
              <w:rPr>
                <w:rStyle w:val="InstructionsTabelleberschrift"/>
                <w:rFonts w:ascii="Times New Roman" w:hAnsi="Times New Roman"/>
                <w:sz w:val="24"/>
              </w:rPr>
              <w:t>Fedezett kötvények</w:t>
            </w:r>
          </w:p>
          <w:p w14:paraId="55A3E28E" w14:textId="1072B586" w:rsidR="001B1411" w:rsidRPr="00DA7625" w:rsidRDefault="00D21B29">
            <w:pPr>
              <w:autoSpaceDE w:val="0"/>
              <w:autoSpaceDN w:val="0"/>
              <w:adjustRightInd w:val="0"/>
              <w:spacing w:before="0"/>
              <w:ind w:left="72"/>
              <w:jc w:val="left"/>
              <w:rPr>
                <w:rStyle w:val="InstructionsTabelleText"/>
                <w:rFonts w:ascii="Times New Roman" w:hAnsi="Times New Roman"/>
                <w:bCs/>
                <w:sz w:val="24"/>
                <w:u w:val="single"/>
              </w:rPr>
            </w:pPr>
            <w:r w:rsidRPr="00DA7625">
              <w:rPr>
                <w:rFonts w:ascii="Times New Roman" w:hAnsi="Times New Roman"/>
                <w:bCs/>
                <w:sz w:val="24"/>
              </w:rPr>
              <w:t xml:space="preserve">A </w:t>
            </w:r>
            <w:r w:rsidRPr="00DA7625">
              <w:rPr>
                <w:rFonts w:ascii="Times New Roman" w:hAnsi="Times New Roman"/>
                <w:bCs/>
                <w:sz w:val="24"/>
                <w:u w:val="single"/>
              </w:rPr>
              <w:t>CRR 112. cikkének</w:t>
            </w:r>
            <w:r w:rsidRPr="00DA7625">
              <w:rPr>
                <w:rFonts w:ascii="Times New Roman" w:hAnsi="Times New Roman"/>
                <w:bCs/>
                <w:sz w:val="24"/>
              </w:rPr>
              <w:t xml:space="preserve"> l) pontja</w:t>
            </w:r>
          </w:p>
        </w:tc>
      </w:tr>
      <w:tr w:rsidR="001B1411" w:rsidRPr="00DA7625" w14:paraId="31AA3E6C" w14:textId="77777777" w:rsidTr="00672D2A">
        <w:tc>
          <w:tcPr>
            <w:tcW w:w="1188" w:type="dxa"/>
            <w:shd w:val="clear" w:color="auto" w:fill="FFFFFF"/>
          </w:tcPr>
          <w:p w14:paraId="641FF18A" w14:textId="77777777" w:rsidR="001B1411" w:rsidRPr="00DA7625" w:rsidRDefault="004357B9">
            <w:pPr>
              <w:rPr>
                <w:rFonts w:ascii="Times New Roman" w:hAnsi="Times New Roman"/>
                <w:sz w:val="24"/>
              </w:rPr>
            </w:pPr>
            <w:r w:rsidRPr="00DA7625">
              <w:rPr>
                <w:rFonts w:ascii="Times New Roman" w:hAnsi="Times New Roman"/>
                <w:sz w:val="24"/>
              </w:rPr>
              <w:t>130</w:t>
            </w:r>
          </w:p>
          <w:p w14:paraId="38822768" w14:textId="77777777" w:rsidR="001B1411" w:rsidRPr="00DA7625" w:rsidRDefault="001B1411">
            <w:pPr>
              <w:rPr>
                <w:rFonts w:ascii="Times New Roman" w:hAnsi="Times New Roman"/>
                <w:sz w:val="24"/>
              </w:rPr>
            </w:pPr>
          </w:p>
        </w:tc>
        <w:tc>
          <w:tcPr>
            <w:tcW w:w="8701" w:type="dxa"/>
            <w:gridSpan w:val="2"/>
            <w:shd w:val="clear" w:color="auto" w:fill="FFFFFF"/>
          </w:tcPr>
          <w:p w14:paraId="742E8650" w14:textId="77777777" w:rsidR="001B1411" w:rsidRPr="00DA7625" w:rsidRDefault="004357B9">
            <w:pPr>
              <w:ind w:left="72"/>
              <w:rPr>
                <w:rStyle w:val="InstructionsTabelleberschrift"/>
                <w:rFonts w:ascii="Times New Roman" w:hAnsi="Times New Roman"/>
                <w:bCs w:val="0"/>
                <w:sz w:val="24"/>
              </w:rPr>
            </w:pPr>
            <w:r w:rsidRPr="00DA7625">
              <w:rPr>
                <w:rStyle w:val="InstructionsTabelleberschrift"/>
                <w:rFonts w:ascii="Times New Roman" w:hAnsi="Times New Roman"/>
                <w:bCs w:val="0"/>
                <w:sz w:val="24"/>
              </w:rPr>
              <w:t>Rövid távú hitelminősítéssel rendelkező intézményekkel és vállalkozásokkal szembeni követelések</w:t>
            </w:r>
          </w:p>
          <w:p w14:paraId="37E39A7B" w14:textId="6AD9224A" w:rsidR="001B1411" w:rsidRPr="00DA7625" w:rsidRDefault="00D21B29">
            <w:pPr>
              <w:ind w:left="72"/>
              <w:rPr>
                <w:rFonts w:ascii="Times New Roman" w:hAnsi="Times New Roman"/>
                <w:sz w:val="24"/>
              </w:rPr>
            </w:pPr>
            <w:r w:rsidRPr="00DA7625">
              <w:rPr>
                <w:rFonts w:ascii="Times New Roman" w:hAnsi="Times New Roman"/>
                <w:sz w:val="24"/>
              </w:rPr>
              <w:t xml:space="preserve">A CRR 112. cikkének </w:t>
            </w:r>
            <w:r w:rsidRPr="00DA7625">
              <w:rPr>
                <w:rFonts w:ascii="Times New Roman" w:hAnsi="Times New Roman"/>
                <w:bCs/>
                <w:sz w:val="24"/>
              </w:rPr>
              <w:t>n) pontja</w:t>
            </w:r>
          </w:p>
        </w:tc>
      </w:tr>
      <w:tr w:rsidR="001B1411" w:rsidRPr="00DA7625" w14:paraId="26489F28" w14:textId="77777777" w:rsidTr="00672D2A">
        <w:tc>
          <w:tcPr>
            <w:tcW w:w="1188" w:type="dxa"/>
            <w:shd w:val="clear" w:color="auto" w:fill="FFFFFF"/>
          </w:tcPr>
          <w:p w14:paraId="6B2971A0" w14:textId="77777777" w:rsidR="001B1411" w:rsidRPr="00DA7625" w:rsidRDefault="004357B9">
            <w:pPr>
              <w:rPr>
                <w:rFonts w:ascii="Times New Roman" w:hAnsi="Times New Roman"/>
                <w:sz w:val="24"/>
              </w:rPr>
            </w:pPr>
            <w:r w:rsidRPr="00DA7625">
              <w:rPr>
                <w:rFonts w:ascii="Times New Roman" w:hAnsi="Times New Roman"/>
                <w:sz w:val="24"/>
              </w:rPr>
              <w:lastRenderedPageBreak/>
              <w:t>140</w:t>
            </w:r>
          </w:p>
        </w:tc>
        <w:tc>
          <w:tcPr>
            <w:tcW w:w="8701" w:type="dxa"/>
            <w:gridSpan w:val="2"/>
            <w:shd w:val="clear" w:color="auto" w:fill="FFFFFF"/>
          </w:tcPr>
          <w:p w14:paraId="2FF8F067" w14:textId="77777777" w:rsidR="001B1411" w:rsidRPr="00DA7625" w:rsidRDefault="00A402A8">
            <w:pPr>
              <w:ind w:left="72"/>
              <w:rPr>
                <w:rStyle w:val="InstructionsTabelleberschrift"/>
                <w:rFonts w:ascii="Times New Roman" w:hAnsi="Times New Roman"/>
                <w:sz w:val="24"/>
              </w:rPr>
            </w:pPr>
            <w:r w:rsidRPr="00DA7625">
              <w:rPr>
                <w:rStyle w:val="InstructionsTabelleberschrift"/>
                <w:rFonts w:ascii="Times New Roman" w:hAnsi="Times New Roman"/>
                <w:sz w:val="24"/>
              </w:rPr>
              <w:t>Kollektív befektetési formák (KBF)</w:t>
            </w:r>
          </w:p>
          <w:p w14:paraId="7C2B5AD5" w14:textId="06433ADD" w:rsidR="001B1411" w:rsidRPr="00DA7625" w:rsidRDefault="00D21B29">
            <w:pPr>
              <w:ind w:left="72"/>
              <w:rPr>
                <w:rStyle w:val="InstructionsTabelleberschrift"/>
                <w:rFonts w:ascii="Times New Roman" w:hAnsi="Times New Roman"/>
                <w:b w:val="0"/>
                <w:bCs w:val="0"/>
                <w:sz w:val="24"/>
                <w:u w:val="none"/>
              </w:rPr>
            </w:pPr>
            <w:r w:rsidRPr="00DA7625">
              <w:rPr>
                <w:rFonts w:ascii="Times New Roman" w:hAnsi="Times New Roman"/>
                <w:bCs/>
                <w:sz w:val="24"/>
              </w:rPr>
              <w:t>A CRR 112. cikkének o) pontja</w:t>
            </w:r>
          </w:p>
        </w:tc>
      </w:tr>
      <w:tr w:rsidR="001B1411" w:rsidRPr="00DA7625" w14:paraId="19559318" w14:textId="77777777" w:rsidTr="00672D2A">
        <w:tc>
          <w:tcPr>
            <w:tcW w:w="1188" w:type="dxa"/>
            <w:shd w:val="clear" w:color="auto" w:fill="FFFFFF"/>
          </w:tcPr>
          <w:p w14:paraId="4B0E8C16" w14:textId="77777777" w:rsidR="001B1411" w:rsidRPr="00DA7625" w:rsidRDefault="004357B9">
            <w:pPr>
              <w:rPr>
                <w:rFonts w:ascii="Times New Roman" w:hAnsi="Times New Roman"/>
                <w:sz w:val="24"/>
              </w:rPr>
            </w:pPr>
            <w:r w:rsidRPr="00DA7625">
              <w:rPr>
                <w:rFonts w:ascii="Times New Roman" w:hAnsi="Times New Roman"/>
                <w:sz w:val="24"/>
              </w:rPr>
              <w:t>150</w:t>
            </w:r>
          </w:p>
        </w:tc>
        <w:tc>
          <w:tcPr>
            <w:tcW w:w="8701" w:type="dxa"/>
            <w:gridSpan w:val="2"/>
            <w:shd w:val="clear" w:color="auto" w:fill="FFFFFF"/>
          </w:tcPr>
          <w:p w14:paraId="0820F792" w14:textId="77777777" w:rsidR="001B1411" w:rsidRPr="00DA7625" w:rsidRDefault="004357B9">
            <w:pPr>
              <w:ind w:left="72"/>
              <w:rPr>
                <w:rStyle w:val="InstructionsTabelleberschrift"/>
                <w:rFonts w:ascii="Times New Roman" w:hAnsi="Times New Roman"/>
                <w:sz w:val="24"/>
              </w:rPr>
            </w:pPr>
            <w:r w:rsidRPr="00DA7625">
              <w:rPr>
                <w:rStyle w:val="InstructionsTabelleberschrift"/>
                <w:rFonts w:ascii="Times New Roman" w:hAnsi="Times New Roman"/>
                <w:sz w:val="24"/>
              </w:rPr>
              <w:t>Részvényjellegű kitettségek</w:t>
            </w:r>
          </w:p>
          <w:p w14:paraId="73C64BC4" w14:textId="0213202A" w:rsidR="001B1411" w:rsidRPr="00DA7625" w:rsidRDefault="00D21B29">
            <w:pPr>
              <w:ind w:left="72"/>
              <w:rPr>
                <w:rStyle w:val="InstructionsTabelleberschrift"/>
                <w:rFonts w:ascii="Times New Roman" w:hAnsi="Times New Roman"/>
                <w:sz w:val="24"/>
              </w:rPr>
            </w:pPr>
            <w:r w:rsidRPr="00DA7625">
              <w:rPr>
                <w:rFonts w:ascii="Times New Roman" w:hAnsi="Times New Roman"/>
                <w:bCs/>
                <w:sz w:val="24"/>
              </w:rPr>
              <w:t>A CRR 112. cikkének p) pontja</w:t>
            </w:r>
          </w:p>
        </w:tc>
      </w:tr>
      <w:tr w:rsidR="001B1411" w:rsidRPr="00DA7625" w14:paraId="1A1787E4" w14:textId="77777777" w:rsidTr="00672D2A">
        <w:tc>
          <w:tcPr>
            <w:tcW w:w="1188" w:type="dxa"/>
            <w:shd w:val="clear" w:color="auto" w:fill="FFFFFF"/>
          </w:tcPr>
          <w:p w14:paraId="02F8C0FC" w14:textId="77777777" w:rsidR="001B1411" w:rsidRPr="00DA7625" w:rsidRDefault="004357B9">
            <w:pPr>
              <w:rPr>
                <w:rFonts w:ascii="Times New Roman" w:hAnsi="Times New Roman"/>
                <w:sz w:val="24"/>
              </w:rPr>
            </w:pPr>
            <w:r w:rsidRPr="00DA7625">
              <w:rPr>
                <w:rFonts w:ascii="Times New Roman" w:hAnsi="Times New Roman"/>
                <w:sz w:val="24"/>
              </w:rPr>
              <w:t>160</w:t>
            </w:r>
          </w:p>
        </w:tc>
        <w:tc>
          <w:tcPr>
            <w:tcW w:w="8701" w:type="dxa"/>
            <w:gridSpan w:val="2"/>
            <w:shd w:val="clear" w:color="auto" w:fill="FFFFFF"/>
          </w:tcPr>
          <w:p w14:paraId="1C103F0B" w14:textId="77777777" w:rsidR="001B1411" w:rsidRPr="00DA7625" w:rsidRDefault="004357B9">
            <w:pPr>
              <w:ind w:left="72"/>
              <w:rPr>
                <w:rStyle w:val="InstructionsTabelleberschrift"/>
                <w:rFonts w:ascii="Times New Roman" w:hAnsi="Times New Roman"/>
                <w:sz w:val="24"/>
              </w:rPr>
            </w:pPr>
            <w:r w:rsidRPr="00DA7625">
              <w:rPr>
                <w:rStyle w:val="InstructionsTabelleberschrift"/>
                <w:rFonts w:ascii="Times New Roman" w:hAnsi="Times New Roman"/>
                <w:sz w:val="24"/>
              </w:rPr>
              <w:t>Egyéb kitettségek</w:t>
            </w:r>
          </w:p>
          <w:p w14:paraId="364F4504" w14:textId="44EE6D62" w:rsidR="001B1411" w:rsidRPr="00DA7625" w:rsidRDefault="00D21B29">
            <w:pPr>
              <w:ind w:left="72"/>
              <w:rPr>
                <w:rStyle w:val="InstructionsTabelleberschrift"/>
                <w:rFonts w:ascii="Times New Roman" w:hAnsi="Times New Roman"/>
                <w:sz w:val="24"/>
              </w:rPr>
            </w:pPr>
            <w:r w:rsidRPr="00DA7625">
              <w:rPr>
                <w:rFonts w:ascii="Times New Roman" w:hAnsi="Times New Roman"/>
                <w:bCs/>
                <w:sz w:val="24"/>
              </w:rPr>
              <w:t>A CRR 112. cikkének q) pontja</w:t>
            </w:r>
          </w:p>
        </w:tc>
      </w:tr>
      <w:tr w:rsidR="001B1411" w:rsidRPr="00DA7625" w14:paraId="641D72CC" w14:textId="77777777" w:rsidTr="00672D2A">
        <w:tc>
          <w:tcPr>
            <w:tcW w:w="1188" w:type="dxa"/>
            <w:shd w:val="clear" w:color="auto" w:fill="FFFFFF"/>
          </w:tcPr>
          <w:p w14:paraId="13C4FCB7" w14:textId="77777777" w:rsidR="001B1411" w:rsidRPr="00DA7625" w:rsidRDefault="007A49AC">
            <w:pPr>
              <w:rPr>
                <w:rFonts w:ascii="Times New Roman" w:hAnsi="Times New Roman"/>
                <w:sz w:val="24"/>
              </w:rPr>
            </w:pPr>
            <w:r w:rsidRPr="00DA7625">
              <w:rPr>
                <w:rFonts w:ascii="Times New Roman" w:hAnsi="Times New Roman"/>
                <w:sz w:val="24"/>
              </w:rPr>
              <w:t>170</w:t>
            </w:r>
          </w:p>
        </w:tc>
        <w:tc>
          <w:tcPr>
            <w:tcW w:w="8701" w:type="dxa"/>
            <w:gridSpan w:val="2"/>
            <w:shd w:val="clear" w:color="auto" w:fill="FFFFFF"/>
          </w:tcPr>
          <w:p w14:paraId="071FA584" w14:textId="77777777" w:rsidR="001B1411" w:rsidRPr="00DA7625" w:rsidRDefault="007A49AC">
            <w:pPr>
              <w:ind w:left="72"/>
              <w:rPr>
                <w:rStyle w:val="InstructionsTabelleberschrift"/>
                <w:rFonts w:ascii="Times New Roman" w:hAnsi="Times New Roman"/>
                <w:sz w:val="24"/>
              </w:rPr>
            </w:pPr>
            <w:r w:rsidRPr="00DA7625">
              <w:rPr>
                <w:rStyle w:val="InstructionsTabelleberschrift"/>
                <w:rFonts w:ascii="Times New Roman" w:hAnsi="Times New Roman"/>
                <w:sz w:val="24"/>
              </w:rPr>
              <w:t>Teljes kitettség</w:t>
            </w:r>
          </w:p>
        </w:tc>
      </w:tr>
    </w:tbl>
    <w:p w14:paraId="58C9DEA4" w14:textId="77777777" w:rsidR="001B1411" w:rsidRPr="00DA7625" w:rsidRDefault="001B1411">
      <w:pPr>
        <w:spacing w:before="0" w:after="200" w:line="312" w:lineRule="auto"/>
        <w:jc w:val="left"/>
        <w:rPr>
          <w:rFonts w:ascii="Times New Roman" w:hAnsi="Times New Roman"/>
          <w:sz w:val="24"/>
        </w:rPr>
      </w:pPr>
    </w:p>
    <w:p w14:paraId="536F0DF2"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52" w:name="_Toc31018798"/>
      <w:r w:rsidRPr="00DA7625">
        <w:rPr>
          <w:rFonts w:ascii="Times New Roman" w:hAnsi="Times New Roman"/>
          <w:sz w:val="24"/>
          <w:u w:val="none"/>
        </w:rPr>
        <w:t>3.4.2.</w:t>
      </w:r>
      <w:r w:rsidRPr="00DA7625">
        <w:rPr>
          <w:rFonts w:ascii="Times New Roman" w:hAnsi="Times New Roman"/>
          <w:sz w:val="24"/>
          <w:u w:val="none"/>
        </w:rPr>
        <w:tab/>
      </w:r>
      <w:r w:rsidRPr="00DA7625">
        <w:rPr>
          <w:rFonts w:ascii="Times New Roman" w:hAnsi="Times New Roman"/>
          <w:sz w:val="24"/>
        </w:rPr>
        <w:t>C 09.02 – Kitettségek földrajzi bontása a kötelezett illetősége szerint: IRB kitettségek (CR GB 2)</w:t>
      </w:r>
      <w:bookmarkEnd w:id="52"/>
    </w:p>
    <w:p w14:paraId="6676EAFB"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53" w:name="_Toc31018799"/>
      <w:r w:rsidRPr="00DA7625">
        <w:rPr>
          <w:rFonts w:ascii="Times New Roman" w:hAnsi="Times New Roman"/>
          <w:sz w:val="24"/>
          <w:u w:val="none"/>
        </w:rPr>
        <w:t>3.4.2.1.</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5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1B1411" w:rsidRPr="00DA7625" w14:paraId="35D5CC31" w14:textId="77777777" w:rsidTr="00672D2A">
        <w:tc>
          <w:tcPr>
            <w:tcW w:w="1188" w:type="dxa"/>
            <w:shd w:val="clear" w:color="auto" w:fill="CCCCCC"/>
          </w:tcPr>
          <w:p w14:paraId="7B2198DD" w14:textId="77777777" w:rsidR="001B1411" w:rsidRPr="00DA7625" w:rsidRDefault="004357B9">
            <w:pPr>
              <w:rPr>
                <w:rFonts w:ascii="Times New Roman" w:hAnsi="Times New Roman"/>
                <w:b/>
                <w:sz w:val="24"/>
              </w:rPr>
            </w:pPr>
            <w:r w:rsidRPr="00DA7625">
              <w:rPr>
                <w:rFonts w:ascii="Times New Roman" w:hAnsi="Times New Roman"/>
                <w:b/>
                <w:sz w:val="24"/>
              </w:rPr>
              <w:t>Oszlop</w:t>
            </w:r>
          </w:p>
        </w:tc>
        <w:tc>
          <w:tcPr>
            <w:tcW w:w="8640" w:type="dxa"/>
            <w:shd w:val="clear" w:color="auto" w:fill="CCCCCC"/>
          </w:tcPr>
          <w:p w14:paraId="52F255E3" w14:textId="77777777" w:rsidR="001B1411" w:rsidRPr="00DA7625" w:rsidRDefault="001B1411">
            <w:pPr>
              <w:ind w:left="72"/>
              <w:rPr>
                <w:rFonts w:ascii="Times New Roman" w:hAnsi="Times New Roman"/>
                <w:sz w:val="24"/>
              </w:rPr>
            </w:pPr>
          </w:p>
        </w:tc>
      </w:tr>
      <w:tr w:rsidR="001B1411" w:rsidRPr="00DA7625" w14:paraId="689E92D8" w14:textId="77777777" w:rsidTr="00672D2A">
        <w:tc>
          <w:tcPr>
            <w:tcW w:w="1188" w:type="dxa"/>
          </w:tcPr>
          <w:p w14:paraId="66074EC3" w14:textId="77777777" w:rsidR="001B1411" w:rsidRPr="00DA7625" w:rsidRDefault="004357B9">
            <w:pPr>
              <w:rPr>
                <w:rStyle w:val="InstructionsTabelleText"/>
                <w:rFonts w:ascii="Times New Roman" w:hAnsi="Times New Roman"/>
                <w:sz w:val="24"/>
              </w:rPr>
            </w:pPr>
            <w:r w:rsidRPr="00DA7625">
              <w:rPr>
                <w:rStyle w:val="InstructionsTabelleText"/>
                <w:rFonts w:ascii="Times New Roman" w:hAnsi="Times New Roman"/>
                <w:sz w:val="24"/>
              </w:rPr>
              <w:t>010</w:t>
            </w:r>
          </w:p>
        </w:tc>
        <w:tc>
          <w:tcPr>
            <w:tcW w:w="8640" w:type="dxa"/>
          </w:tcPr>
          <w:p w14:paraId="41657C4F" w14:textId="09E717BB" w:rsidR="001B1411" w:rsidRPr="00DA7625" w:rsidRDefault="004357B9">
            <w:pPr>
              <w:rPr>
                <w:rStyle w:val="InstructionsTabelleberschrift"/>
                <w:rFonts w:ascii="Times New Roman" w:hAnsi="Times New Roman"/>
                <w:sz w:val="24"/>
              </w:rPr>
            </w:pPr>
            <w:r w:rsidRPr="00DA7625">
              <w:rPr>
                <w:rStyle w:val="InstructionsTabelleberschrift"/>
                <w:rFonts w:ascii="Times New Roman" w:hAnsi="Times New Roman"/>
                <w:sz w:val="24"/>
              </w:rPr>
              <w:t>HITEL-EGYENÉRTÉKESÍTÉSI TÉNYEZŐK ELŐTTI EREDETI KITETTSÉG</w:t>
            </w:r>
          </w:p>
          <w:p w14:paraId="6D5ECAFF" w14:textId="77777777" w:rsidR="001B1411" w:rsidRPr="00DA7625" w:rsidRDefault="004357B9">
            <w:pPr>
              <w:autoSpaceDE w:val="0"/>
              <w:autoSpaceDN w:val="0"/>
              <w:adjustRightInd w:val="0"/>
              <w:spacing w:before="0" w:after="0"/>
              <w:jc w:val="left"/>
              <w:rPr>
                <w:rStyle w:val="InstructionsTabelleText"/>
                <w:rFonts w:ascii="Times New Roman" w:hAnsi="Times New Roman"/>
                <w:sz w:val="24"/>
              </w:rPr>
            </w:pPr>
            <w:r w:rsidRPr="00DA7625">
              <w:rPr>
                <w:rFonts w:ascii="Times New Roman" w:hAnsi="Times New Roman"/>
                <w:sz w:val="24"/>
              </w:rPr>
              <w:t>A CR IRB tábla 020-as oszlopával azonos meghatározás</w:t>
            </w:r>
          </w:p>
        </w:tc>
      </w:tr>
      <w:tr w:rsidR="001B1411" w:rsidRPr="00DA7625" w14:paraId="78B699E8" w14:textId="77777777" w:rsidTr="00672D2A">
        <w:tc>
          <w:tcPr>
            <w:tcW w:w="1188" w:type="dxa"/>
          </w:tcPr>
          <w:p w14:paraId="26744C33" w14:textId="77777777" w:rsidR="001B1411" w:rsidRPr="00DA7625" w:rsidRDefault="004357B9">
            <w:pPr>
              <w:rPr>
                <w:rFonts w:ascii="Times New Roman" w:hAnsi="Times New Roman"/>
                <w:sz w:val="24"/>
              </w:rPr>
            </w:pPr>
            <w:r w:rsidRPr="00DA7625">
              <w:rPr>
                <w:rFonts w:ascii="Times New Roman" w:hAnsi="Times New Roman"/>
                <w:sz w:val="24"/>
              </w:rPr>
              <w:t>030</w:t>
            </w:r>
          </w:p>
        </w:tc>
        <w:tc>
          <w:tcPr>
            <w:tcW w:w="8640" w:type="dxa"/>
          </w:tcPr>
          <w:p w14:paraId="569C114D"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Ebből: nemteljesítő</w:t>
            </w:r>
          </w:p>
          <w:p w14:paraId="3C508978" w14:textId="7009B02E" w:rsidR="001B1411" w:rsidRPr="00DA7625" w:rsidRDefault="004357B9">
            <w:pPr>
              <w:rPr>
                <w:rStyle w:val="InstructionsTabelleText"/>
                <w:rFonts w:ascii="Times New Roman" w:hAnsi="Times New Roman"/>
                <w:sz w:val="24"/>
              </w:rPr>
            </w:pPr>
            <w:r w:rsidRPr="00DA7625">
              <w:rPr>
                <w:rStyle w:val="InstructionsTabelleText"/>
                <w:rFonts w:ascii="Times New Roman" w:hAnsi="Times New Roman"/>
                <w:sz w:val="24"/>
              </w:rPr>
              <w:t>A CRR 178. cikke szerint nemteljesítő kitettségként besorolt kitettségek eredeti kitettségértéke.</w:t>
            </w:r>
          </w:p>
        </w:tc>
      </w:tr>
      <w:tr w:rsidR="001B1411" w:rsidRPr="00DA7625" w14:paraId="52CB92A0" w14:textId="77777777" w:rsidTr="00672D2A">
        <w:tc>
          <w:tcPr>
            <w:tcW w:w="1188" w:type="dxa"/>
          </w:tcPr>
          <w:p w14:paraId="103B46E8" w14:textId="77777777" w:rsidR="001B1411" w:rsidRPr="00DA7625" w:rsidRDefault="004357B9">
            <w:pPr>
              <w:rPr>
                <w:rFonts w:ascii="Times New Roman" w:hAnsi="Times New Roman"/>
                <w:sz w:val="24"/>
              </w:rPr>
            </w:pPr>
            <w:r w:rsidRPr="00DA7625">
              <w:rPr>
                <w:rFonts w:ascii="Times New Roman" w:hAnsi="Times New Roman"/>
                <w:sz w:val="24"/>
              </w:rPr>
              <w:t>040</w:t>
            </w:r>
          </w:p>
        </w:tc>
        <w:tc>
          <w:tcPr>
            <w:tcW w:w="8640" w:type="dxa"/>
          </w:tcPr>
          <w:p w14:paraId="4D1BDBDE"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Az időszakban megállapított új nemteljesítések</w:t>
            </w:r>
          </w:p>
          <w:p w14:paraId="40CEA638" w14:textId="77777777" w:rsidR="001B1411" w:rsidRPr="00DA7625" w:rsidRDefault="00DF70AE">
            <w:pPr>
              <w:rPr>
                <w:rFonts w:ascii="Times New Roman" w:hAnsi="Times New Roman"/>
                <w:b/>
                <w:sz w:val="24"/>
                <w:u w:val="single"/>
              </w:rPr>
            </w:pPr>
            <w:r w:rsidRPr="00DA7625">
              <w:rPr>
                <w:rStyle w:val="InstructionsTabelleText"/>
                <w:rFonts w:ascii="Times New Roman" w:hAnsi="Times New Roman"/>
                <w:sz w:val="24"/>
              </w:rPr>
              <w:t>A legutóbbi adatszolgáltatási vonatkozási időpont óta eltelt 3 hónap során a „nemteljesítő kitettségek” kitettségi osztályba átsorolt eredeti kitettségek összegét abban a kitettségi osztályban kell feltüntetni, amelybe a kötelezett eredetileg tartozott.</w:t>
            </w:r>
          </w:p>
        </w:tc>
      </w:tr>
      <w:tr w:rsidR="001B1411" w:rsidRPr="00DA7625" w14:paraId="5D5103CD" w14:textId="77777777" w:rsidTr="00672D2A">
        <w:tc>
          <w:tcPr>
            <w:tcW w:w="1188" w:type="dxa"/>
          </w:tcPr>
          <w:p w14:paraId="66C4ED9F" w14:textId="77777777" w:rsidR="001B1411" w:rsidRPr="00DA7625" w:rsidRDefault="004357B9">
            <w:pPr>
              <w:rPr>
                <w:rFonts w:ascii="Times New Roman" w:hAnsi="Times New Roman"/>
                <w:sz w:val="24"/>
              </w:rPr>
            </w:pPr>
            <w:r w:rsidRPr="00DA7625">
              <w:rPr>
                <w:rFonts w:ascii="Times New Roman" w:hAnsi="Times New Roman"/>
                <w:sz w:val="24"/>
              </w:rPr>
              <w:t>050</w:t>
            </w:r>
          </w:p>
        </w:tc>
        <w:tc>
          <w:tcPr>
            <w:tcW w:w="8640" w:type="dxa"/>
          </w:tcPr>
          <w:p w14:paraId="2BDCE360"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Általános hitelkockázati kiigazítások</w:t>
            </w:r>
          </w:p>
          <w:p w14:paraId="540BA1F5" w14:textId="74F87362" w:rsidR="001B1411" w:rsidRPr="00DA7625" w:rsidRDefault="004357B9">
            <w:pPr>
              <w:rPr>
                <w:rFonts w:ascii="Times New Roman" w:hAnsi="Times New Roman"/>
                <w:b/>
                <w:sz w:val="24"/>
                <w:u w:val="single"/>
              </w:rPr>
            </w:pPr>
            <w:r w:rsidRPr="00DA7625">
              <w:rPr>
                <w:rFonts w:ascii="Times New Roman" w:hAnsi="Times New Roman"/>
                <w:sz w:val="24"/>
              </w:rPr>
              <w:t xml:space="preserve">A CRR 110. cikkében említett hitelkockázati kiigazítások. </w:t>
            </w:r>
          </w:p>
        </w:tc>
      </w:tr>
      <w:tr w:rsidR="001B1411" w:rsidRPr="00DA7625" w14:paraId="5AE1C898" w14:textId="77777777" w:rsidTr="00672D2A">
        <w:tc>
          <w:tcPr>
            <w:tcW w:w="1188" w:type="dxa"/>
          </w:tcPr>
          <w:p w14:paraId="080BBA79" w14:textId="77777777" w:rsidR="001B1411" w:rsidRPr="00DA7625" w:rsidRDefault="004357B9">
            <w:pPr>
              <w:rPr>
                <w:rFonts w:ascii="Times New Roman" w:hAnsi="Times New Roman"/>
                <w:sz w:val="24"/>
              </w:rPr>
            </w:pPr>
            <w:r w:rsidRPr="00DA7625">
              <w:rPr>
                <w:rFonts w:ascii="Times New Roman" w:hAnsi="Times New Roman"/>
                <w:sz w:val="24"/>
              </w:rPr>
              <w:t>055</w:t>
            </w:r>
          </w:p>
        </w:tc>
        <w:tc>
          <w:tcPr>
            <w:tcW w:w="8640" w:type="dxa"/>
          </w:tcPr>
          <w:p w14:paraId="44FD761E"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Egyedi hitelkockázati kiigazítások</w:t>
            </w:r>
          </w:p>
          <w:p w14:paraId="4AA945A6" w14:textId="7E55F311" w:rsidR="001B1411" w:rsidRPr="00DA7625" w:rsidRDefault="004357B9">
            <w:pPr>
              <w:rPr>
                <w:rFonts w:ascii="Times New Roman" w:hAnsi="Times New Roman"/>
                <w:b/>
                <w:sz w:val="24"/>
                <w:u w:val="single"/>
              </w:rPr>
            </w:pPr>
            <w:r w:rsidRPr="00DA7625">
              <w:rPr>
                <w:rFonts w:ascii="Times New Roman" w:hAnsi="Times New Roman"/>
                <w:sz w:val="24"/>
              </w:rPr>
              <w:t>A CRR 110. cikkében említett hitelkockázati kiigazítások.</w:t>
            </w:r>
          </w:p>
        </w:tc>
      </w:tr>
      <w:tr w:rsidR="001B1411" w:rsidRPr="00DA7625" w14:paraId="392A705C" w14:textId="77777777" w:rsidTr="00672D2A">
        <w:tc>
          <w:tcPr>
            <w:tcW w:w="1188" w:type="dxa"/>
          </w:tcPr>
          <w:p w14:paraId="22D96083" w14:textId="77777777" w:rsidR="001B1411" w:rsidRPr="00DA7625" w:rsidRDefault="004357B9">
            <w:pPr>
              <w:rPr>
                <w:rFonts w:ascii="Times New Roman" w:hAnsi="Times New Roman"/>
                <w:sz w:val="24"/>
              </w:rPr>
            </w:pPr>
            <w:r w:rsidRPr="00DA7625">
              <w:rPr>
                <w:rFonts w:ascii="Times New Roman" w:hAnsi="Times New Roman"/>
                <w:sz w:val="24"/>
              </w:rPr>
              <w:t>060</w:t>
            </w:r>
          </w:p>
        </w:tc>
        <w:tc>
          <w:tcPr>
            <w:tcW w:w="8640" w:type="dxa"/>
          </w:tcPr>
          <w:p w14:paraId="08584DA5"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Leírások</w:t>
            </w:r>
          </w:p>
          <w:p w14:paraId="3EA7746E" w14:textId="77777777" w:rsidR="001B1411" w:rsidRPr="00DA7625" w:rsidRDefault="004357B9">
            <w:pPr>
              <w:rPr>
                <w:rFonts w:ascii="Times New Roman" w:hAnsi="Times New Roman"/>
                <w:b/>
                <w:sz w:val="24"/>
                <w:u w:val="single"/>
              </w:rPr>
            </w:pPr>
            <w:r w:rsidRPr="00DA7625">
              <w:rPr>
                <w:rStyle w:val="InstructionsTabelleText"/>
                <w:rFonts w:ascii="Times New Roman" w:hAnsi="Times New Roman"/>
                <w:sz w:val="24"/>
              </w:rPr>
              <w:t>A leírások magukban foglalják a közvetlenül az eredményben elszámolt értékvesztett pénzügyi eszközök könyv szerinti értékének csökkentését [IFRS 7.B5.(d).(i)], valamint az értékvesztett pénzügyi eszközökkel szembeállított értékvesztési számlák összegének csökkentését [IFRS 7.B5.(d).(ii)].</w:t>
            </w:r>
          </w:p>
        </w:tc>
      </w:tr>
      <w:tr w:rsidR="001B1411" w:rsidRPr="00DA7625" w14:paraId="77F93991" w14:textId="77777777" w:rsidTr="00672D2A">
        <w:tc>
          <w:tcPr>
            <w:tcW w:w="1188" w:type="dxa"/>
          </w:tcPr>
          <w:p w14:paraId="2C254F71" w14:textId="77777777" w:rsidR="001B1411" w:rsidRPr="00DA7625" w:rsidRDefault="004357B9">
            <w:pPr>
              <w:rPr>
                <w:rFonts w:ascii="Times New Roman" w:hAnsi="Times New Roman"/>
                <w:sz w:val="24"/>
              </w:rPr>
            </w:pPr>
            <w:r w:rsidRPr="00DA7625">
              <w:rPr>
                <w:rFonts w:ascii="Times New Roman" w:hAnsi="Times New Roman"/>
                <w:sz w:val="24"/>
              </w:rPr>
              <w:t>070</w:t>
            </w:r>
          </w:p>
        </w:tc>
        <w:tc>
          <w:tcPr>
            <w:tcW w:w="8640" w:type="dxa"/>
          </w:tcPr>
          <w:p w14:paraId="2E65699C"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A megállapított új nemteljesítések utáni hitelkockázati kiigazítások/leírások</w:t>
            </w:r>
          </w:p>
          <w:p w14:paraId="03914B0F" w14:textId="77777777" w:rsidR="001B1411" w:rsidRPr="00DA7625" w:rsidRDefault="004357B9">
            <w:pPr>
              <w:rPr>
                <w:rFonts w:ascii="Times New Roman" w:hAnsi="Times New Roman"/>
                <w:b/>
                <w:sz w:val="24"/>
                <w:u w:val="single"/>
              </w:rPr>
            </w:pPr>
            <w:r w:rsidRPr="00DA7625">
              <w:rPr>
                <w:rStyle w:val="InstructionsTabelleText"/>
                <w:rFonts w:ascii="Times New Roman" w:hAnsi="Times New Roman"/>
                <w:sz w:val="24"/>
              </w:rPr>
              <w:lastRenderedPageBreak/>
              <w:t>A legutóbbi adatszolgáltatás óta eltelt 3 hónap során a „nemteljesítő kitettségek” közé sorolt kitettségek utáni hitelkockázati kiigazítások és leírások összege.</w:t>
            </w:r>
          </w:p>
        </w:tc>
      </w:tr>
      <w:tr w:rsidR="001B1411" w:rsidRPr="00DA7625" w14:paraId="66123BD2" w14:textId="77777777" w:rsidTr="00672D2A">
        <w:tc>
          <w:tcPr>
            <w:tcW w:w="1188" w:type="dxa"/>
          </w:tcPr>
          <w:p w14:paraId="2F225594" w14:textId="77777777" w:rsidR="001B1411" w:rsidRPr="00DA7625" w:rsidRDefault="004357B9">
            <w:pPr>
              <w:rPr>
                <w:rFonts w:ascii="Times New Roman" w:hAnsi="Times New Roman"/>
                <w:sz w:val="24"/>
              </w:rPr>
            </w:pPr>
            <w:r w:rsidRPr="00DA7625">
              <w:rPr>
                <w:rFonts w:ascii="Times New Roman" w:hAnsi="Times New Roman"/>
                <w:sz w:val="24"/>
              </w:rPr>
              <w:lastRenderedPageBreak/>
              <w:t>080</w:t>
            </w:r>
          </w:p>
        </w:tc>
        <w:tc>
          <w:tcPr>
            <w:tcW w:w="8640" w:type="dxa"/>
          </w:tcPr>
          <w:p w14:paraId="5339E9CD" w14:textId="77777777" w:rsidR="001B1411" w:rsidRPr="00DA7625" w:rsidRDefault="004357B9">
            <w:pPr>
              <w:rPr>
                <w:rStyle w:val="InstructionsTabelleberschrift"/>
                <w:rFonts w:ascii="Times New Roman" w:hAnsi="Times New Roman"/>
                <w:bCs w:val="0"/>
                <w:sz w:val="24"/>
              </w:rPr>
            </w:pPr>
            <w:r w:rsidRPr="00DA7625">
              <w:rPr>
                <w:rStyle w:val="InstructionsTabelleberschrift"/>
                <w:rFonts w:ascii="Times New Roman" w:hAnsi="Times New Roman"/>
                <w:bCs w:val="0"/>
                <w:sz w:val="24"/>
              </w:rPr>
              <w:t>BELSŐ MINŐSÍTÉSI RENDSZER/AZ ÜGYFÉL-KATEGÓRIÁHOZ VAGY -HALMAZHOZ (POOLHOZ) RENDELT NEMTELJESÍTÉSI VALÓSZÍNŰSÉG (%)</w:t>
            </w:r>
          </w:p>
          <w:p w14:paraId="6FCB51E9" w14:textId="77777777" w:rsidR="001B1411" w:rsidRPr="00DA7625" w:rsidRDefault="004357B9">
            <w:pPr>
              <w:rPr>
                <w:rFonts w:ascii="Times New Roman" w:hAnsi="Times New Roman"/>
                <w:b/>
                <w:sz w:val="24"/>
                <w:u w:val="single"/>
              </w:rPr>
            </w:pPr>
            <w:r w:rsidRPr="00DA7625">
              <w:rPr>
                <w:rStyle w:val="InstructionsTabelleText"/>
                <w:rFonts w:ascii="Times New Roman" w:hAnsi="Times New Roman"/>
                <w:sz w:val="24"/>
              </w:rPr>
              <w:t>A CR IRB tábla 010-as oszlopával azonos meghatározás.</w:t>
            </w:r>
          </w:p>
        </w:tc>
      </w:tr>
      <w:tr w:rsidR="001B1411" w:rsidRPr="00DA7625" w14:paraId="6493BD42" w14:textId="77777777" w:rsidTr="00672D2A">
        <w:tc>
          <w:tcPr>
            <w:tcW w:w="1188" w:type="dxa"/>
          </w:tcPr>
          <w:p w14:paraId="648DE1F2" w14:textId="77777777" w:rsidR="001B1411" w:rsidRPr="00DA7625" w:rsidRDefault="004357B9">
            <w:pPr>
              <w:rPr>
                <w:rFonts w:ascii="Times New Roman" w:hAnsi="Times New Roman"/>
                <w:sz w:val="24"/>
              </w:rPr>
            </w:pPr>
            <w:r w:rsidRPr="00DA7625">
              <w:rPr>
                <w:rFonts w:ascii="Times New Roman" w:hAnsi="Times New Roman"/>
                <w:sz w:val="24"/>
              </w:rPr>
              <w:t>090</w:t>
            </w:r>
          </w:p>
        </w:tc>
        <w:tc>
          <w:tcPr>
            <w:tcW w:w="8640" w:type="dxa"/>
          </w:tcPr>
          <w:p w14:paraId="3221E804"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KITETTSÉGGEL SÚLYOZOTT ÁTLAGOS LGD (%)</w:t>
            </w:r>
          </w:p>
          <w:p w14:paraId="59CEB8E5" w14:textId="75D1716B" w:rsidR="001B1411" w:rsidRPr="00DA7625" w:rsidRDefault="004357B9">
            <w:pPr>
              <w:rPr>
                <w:rStyle w:val="InstructionsTabelleText"/>
                <w:rFonts w:ascii="Times New Roman" w:hAnsi="Times New Roman"/>
                <w:sz w:val="24"/>
              </w:rPr>
            </w:pPr>
            <w:r w:rsidRPr="00DA7625">
              <w:rPr>
                <w:rStyle w:val="InstructionsTabelleText"/>
                <w:rFonts w:ascii="Times New Roman" w:hAnsi="Times New Roman"/>
                <w:sz w:val="24"/>
              </w:rPr>
              <w:t>A CR IRB tábla 230. és 240. oszlopával azonos meghatározás: a kitettséggel súlyozott átlagos LGD-érték (%) minden kitettségre utal, beleértve a nagy méretű pénzügyi ágazatbeli szervezetekkel és a nem szabályozott pénzügyi vállalatokkal szembeni kitettségeket. A CRR 181. cikke (1) bekezdésének h) pontját kell alkalmazni.</w:t>
            </w:r>
          </w:p>
          <w:p w14:paraId="6A98020E" w14:textId="5E11BAD9" w:rsidR="001B1411" w:rsidRPr="00DA7625" w:rsidRDefault="0042766A">
            <w:pPr>
              <w:rPr>
                <w:rFonts w:ascii="Times New Roman" w:hAnsi="Times New Roman"/>
                <w:b/>
                <w:sz w:val="24"/>
                <w:u w:val="single"/>
              </w:rPr>
            </w:pPr>
            <w:r w:rsidRPr="00DA7625">
              <w:rPr>
                <w:rFonts w:ascii="Times New Roman" w:hAnsi="Times New Roman"/>
                <w:sz w:val="24"/>
              </w:rPr>
              <w:t>Az adatszolgáltatás nem terjed ki a CRR 153. cikkének (5) bekezdésében említett speciális hitelezési kitettségekre.</w:t>
            </w:r>
          </w:p>
        </w:tc>
      </w:tr>
      <w:tr w:rsidR="001B1411" w:rsidRPr="00DA7625" w14:paraId="188F3DA1" w14:textId="77777777" w:rsidTr="00672D2A">
        <w:tc>
          <w:tcPr>
            <w:tcW w:w="1188" w:type="dxa"/>
          </w:tcPr>
          <w:p w14:paraId="12D07594" w14:textId="77777777" w:rsidR="001B1411" w:rsidRPr="00DA7625" w:rsidRDefault="004357B9">
            <w:pPr>
              <w:rPr>
                <w:rFonts w:ascii="Times New Roman" w:hAnsi="Times New Roman"/>
                <w:sz w:val="24"/>
              </w:rPr>
            </w:pPr>
            <w:r w:rsidRPr="00DA7625">
              <w:rPr>
                <w:rFonts w:ascii="Times New Roman" w:hAnsi="Times New Roman"/>
                <w:sz w:val="24"/>
              </w:rPr>
              <w:t>100</w:t>
            </w:r>
          </w:p>
        </w:tc>
        <w:tc>
          <w:tcPr>
            <w:tcW w:w="8640" w:type="dxa"/>
          </w:tcPr>
          <w:p w14:paraId="623B781E"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Ebből: nemteljesítő</w:t>
            </w:r>
          </w:p>
          <w:p w14:paraId="1E7C106F" w14:textId="5DB18A2F" w:rsidR="001B1411" w:rsidRPr="00DA7625" w:rsidRDefault="004357B9">
            <w:pPr>
              <w:rPr>
                <w:rFonts w:ascii="Times New Roman" w:hAnsi="Times New Roman"/>
                <w:b/>
                <w:sz w:val="24"/>
                <w:u w:val="single"/>
              </w:rPr>
            </w:pPr>
            <w:r w:rsidRPr="00DA7625">
              <w:rPr>
                <w:rStyle w:val="InstructionsTabelleText"/>
                <w:rFonts w:ascii="Times New Roman" w:hAnsi="Times New Roman"/>
                <w:sz w:val="24"/>
              </w:rPr>
              <w:t>A CRR 178. cikke szerint nemteljesítő kitettségként besorolt kitettségek kitettséggel súlyozott LGD-értéke.</w:t>
            </w:r>
          </w:p>
        </w:tc>
      </w:tr>
      <w:tr w:rsidR="001B1411" w:rsidRPr="00DA7625" w14:paraId="59532D8D" w14:textId="77777777" w:rsidTr="00672D2A">
        <w:tc>
          <w:tcPr>
            <w:tcW w:w="1188" w:type="dxa"/>
          </w:tcPr>
          <w:p w14:paraId="4A3C1205" w14:textId="77777777" w:rsidR="001B1411" w:rsidRPr="00DA7625" w:rsidRDefault="00F45359">
            <w:pPr>
              <w:rPr>
                <w:rFonts w:ascii="Times New Roman" w:hAnsi="Times New Roman"/>
                <w:sz w:val="24"/>
              </w:rPr>
            </w:pPr>
            <w:r w:rsidRPr="00DA7625">
              <w:rPr>
                <w:rFonts w:ascii="Times New Roman" w:hAnsi="Times New Roman"/>
                <w:sz w:val="24"/>
              </w:rPr>
              <w:t>105</w:t>
            </w:r>
          </w:p>
        </w:tc>
        <w:tc>
          <w:tcPr>
            <w:tcW w:w="8640" w:type="dxa"/>
          </w:tcPr>
          <w:p w14:paraId="7D8C1D0F"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Kitettségérték</w:t>
            </w:r>
          </w:p>
          <w:p w14:paraId="0343C116" w14:textId="77777777" w:rsidR="001B1411" w:rsidRPr="00DA7625" w:rsidRDefault="004357B9">
            <w:pPr>
              <w:rPr>
                <w:rFonts w:ascii="Times New Roman" w:hAnsi="Times New Roman"/>
                <w:b/>
                <w:sz w:val="24"/>
                <w:u w:val="single"/>
              </w:rPr>
            </w:pPr>
            <w:r w:rsidRPr="00DA7625">
              <w:rPr>
                <w:rStyle w:val="InstructionsTabelleText"/>
                <w:rFonts w:ascii="Times New Roman" w:hAnsi="Times New Roman"/>
                <w:sz w:val="24"/>
              </w:rPr>
              <w:t>A CR IRB tábla 110. oszlopával azonos meghatározás.</w:t>
            </w:r>
          </w:p>
        </w:tc>
      </w:tr>
      <w:tr w:rsidR="001B1411" w:rsidRPr="00DA7625" w14:paraId="2E53A13C" w14:textId="77777777" w:rsidTr="00672D2A">
        <w:tc>
          <w:tcPr>
            <w:tcW w:w="1188" w:type="dxa"/>
          </w:tcPr>
          <w:p w14:paraId="67075BC8" w14:textId="77777777" w:rsidR="001B1411" w:rsidRPr="00DA7625" w:rsidRDefault="004357B9">
            <w:pPr>
              <w:rPr>
                <w:rFonts w:ascii="Times New Roman" w:hAnsi="Times New Roman"/>
                <w:sz w:val="24"/>
              </w:rPr>
            </w:pPr>
            <w:r w:rsidRPr="00DA7625">
              <w:rPr>
                <w:rFonts w:ascii="Times New Roman" w:hAnsi="Times New Roman"/>
                <w:sz w:val="24"/>
              </w:rPr>
              <w:t>110</w:t>
            </w:r>
          </w:p>
        </w:tc>
        <w:tc>
          <w:tcPr>
            <w:tcW w:w="8640" w:type="dxa"/>
          </w:tcPr>
          <w:p w14:paraId="2058E52B"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A KKV-SZORZÓ ELŐTTI, KOCKÁZATTAL SÚLYOZOTT KITETTSÉGÉRTÉK</w:t>
            </w:r>
          </w:p>
          <w:p w14:paraId="0D5C707A" w14:textId="77777777" w:rsidR="001B1411" w:rsidRPr="00DA7625" w:rsidRDefault="004357B9">
            <w:pPr>
              <w:rPr>
                <w:rFonts w:ascii="Times New Roman" w:hAnsi="Times New Roman"/>
                <w:b/>
                <w:sz w:val="24"/>
                <w:u w:val="single"/>
              </w:rPr>
            </w:pPr>
            <w:r w:rsidRPr="00DA7625">
              <w:rPr>
                <w:rStyle w:val="InstructionsTabelleText"/>
                <w:rFonts w:ascii="Times New Roman" w:hAnsi="Times New Roman"/>
                <w:sz w:val="24"/>
              </w:rPr>
              <w:t>A CR IRB tábla 255-as oszlopával azonos meghatározás.</w:t>
            </w:r>
          </w:p>
        </w:tc>
      </w:tr>
      <w:tr w:rsidR="001B1411" w:rsidRPr="00DA7625" w14:paraId="75AC0537" w14:textId="77777777" w:rsidTr="00672D2A">
        <w:tc>
          <w:tcPr>
            <w:tcW w:w="1188" w:type="dxa"/>
          </w:tcPr>
          <w:p w14:paraId="595D3504" w14:textId="77777777" w:rsidR="001B1411" w:rsidRPr="00DA7625" w:rsidRDefault="004357B9">
            <w:pPr>
              <w:rPr>
                <w:rFonts w:ascii="Times New Roman" w:hAnsi="Times New Roman"/>
                <w:sz w:val="24"/>
              </w:rPr>
            </w:pPr>
            <w:r w:rsidRPr="00DA7625">
              <w:rPr>
                <w:rFonts w:ascii="Times New Roman" w:hAnsi="Times New Roman"/>
                <w:sz w:val="24"/>
              </w:rPr>
              <w:t>120</w:t>
            </w:r>
          </w:p>
        </w:tc>
        <w:tc>
          <w:tcPr>
            <w:tcW w:w="8640" w:type="dxa"/>
          </w:tcPr>
          <w:p w14:paraId="67C7B976"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Ebből: nemteljesítő</w:t>
            </w:r>
          </w:p>
          <w:p w14:paraId="7422C9FE" w14:textId="09FFA9F0" w:rsidR="001B1411" w:rsidRPr="00DA7625" w:rsidRDefault="004357B9">
            <w:pPr>
              <w:rPr>
                <w:rFonts w:ascii="Times New Roman" w:hAnsi="Times New Roman"/>
                <w:b/>
                <w:sz w:val="24"/>
                <w:u w:val="single"/>
              </w:rPr>
            </w:pPr>
            <w:r w:rsidRPr="00DA7625">
              <w:rPr>
                <w:rStyle w:val="InstructionsTabelleText"/>
                <w:rFonts w:ascii="Times New Roman" w:hAnsi="Times New Roman"/>
                <w:sz w:val="24"/>
              </w:rPr>
              <w:t>A CRR 178. cikkének (1) bekezdése szerint nemteljesítő kitettségként besorolt kitettségek kockázattal súlyozott kitettségértéke.</w:t>
            </w:r>
          </w:p>
        </w:tc>
      </w:tr>
      <w:tr w:rsidR="001B1411" w:rsidRPr="00DA7625" w14:paraId="213E6887" w14:textId="77777777" w:rsidTr="00672D2A">
        <w:tc>
          <w:tcPr>
            <w:tcW w:w="1188" w:type="dxa"/>
          </w:tcPr>
          <w:p w14:paraId="6350F734" w14:textId="77777777" w:rsidR="001B1411" w:rsidRPr="00DA7625" w:rsidRDefault="004357B9">
            <w:pPr>
              <w:rPr>
                <w:rFonts w:ascii="Times New Roman" w:hAnsi="Times New Roman"/>
                <w:sz w:val="24"/>
              </w:rPr>
            </w:pPr>
            <w:r w:rsidRPr="00DA7625">
              <w:rPr>
                <w:rFonts w:ascii="Times New Roman" w:hAnsi="Times New Roman"/>
                <w:sz w:val="24"/>
              </w:rPr>
              <w:t>125</w:t>
            </w:r>
          </w:p>
        </w:tc>
        <w:tc>
          <w:tcPr>
            <w:tcW w:w="8640" w:type="dxa"/>
          </w:tcPr>
          <w:p w14:paraId="34287935"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A KKV-SZORZÓ UTÁNI, KOCKÁZATTAL SÚLYOZOTT KITETTSÉGÉRTÉK</w:t>
            </w:r>
          </w:p>
          <w:p w14:paraId="0FBEAEA3" w14:textId="77777777" w:rsidR="001B1411" w:rsidRPr="00DA7625" w:rsidRDefault="004357B9">
            <w:pPr>
              <w:rPr>
                <w:rFonts w:ascii="Times New Roman" w:hAnsi="Times New Roman"/>
                <w:b/>
                <w:sz w:val="24"/>
                <w:u w:val="single"/>
              </w:rPr>
            </w:pPr>
            <w:r w:rsidRPr="00DA7625">
              <w:rPr>
                <w:rStyle w:val="InstructionsTabelleText"/>
                <w:rFonts w:ascii="Times New Roman" w:hAnsi="Times New Roman"/>
                <w:sz w:val="24"/>
              </w:rPr>
              <w:t>A CR IRB tábla 260-as oszlopával azonos meghatározás.</w:t>
            </w:r>
          </w:p>
        </w:tc>
      </w:tr>
      <w:tr w:rsidR="001B1411" w:rsidRPr="00DA7625" w14:paraId="494565E5" w14:textId="77777777" w:rsidTr="00672D2A">
        <w:tc>
          <w:tcPr>
            <w:tcW w:w="1188" w:type="dxa"/>
          </w:tcPr>
          <w:p w14:paraId="723CB731" w14:textId="77777777" w:rsidR="001B1411" w:rsidRPr="00DA7625" w:rsidRDefault="004357B9">
            <w:pPr>
              <w:rPr>
                <w:rFonts w:ascii="Times New Roman" w:hAnsi="Times New Roman"/>
                <w:sz w:val="24"/>
              </w:rPr>
            </w:pPr>
            <w:r w:rsidRPr="00DA7625">
              <w:rPr>
                <w:rFonts w:ascii="Times New Roman" w:hAnsi="Times New Roman"/>
                <w:sz w:val="24"/>
              </w:rPr>
              <w:t>130</w:t>
            </w:r>
          </w:p>
        </w:tc>
        <w:tc>
          <w:tcPr>
            <w:tcW w:w="8640" w:type="dxa"/>
          </w:tcPr>
          <w:p w14:paraId="1E4CBCD4"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VÁRHATÓ VESZTESÉGÉRTÉK</w:t>
            </w:r>
          </w:p>
          <w:p w14:paraId="00F4C565" w14:textId="77777777" w:rsidR="001B1411" w:rsidRPr="00DA7625" w:rsidRDefault="004357B9">
            <w:pPr>
              <w:rPr>
                <w:rFonts w:ascii="Times New Roman" w:hAnsi="Times New Roman"/>
                <w:b/>
                <w:sz w:val="24"/>
                <w:u w:val="single"/>
              </w:rPr>
            </w:pPr>
            <w:r w:rsidRPr="00DA7625">
              <w:rPr>
                <w:rStyle w:val="InstructionsTabelleText"/>
                <w:rFonts w:ascii="Times New Roman" w:hAnsi="Times New Roman"/>
                <w:sz w:val="24"/>
              </w:rPr>
              <w:t>A CR IRB tábla 280-as oszlopával azonos meghatározás.</w:t>
            </w:r>
            <w:r w:rsidRPr="00DA7625">
              <w:rPr>
                <w:rFonts w:ascii="Times New Roman" w:hAnsi="Times New Roman"/>
                <w:b/>
                <w:sz w:val="24"/>
                <w:u w:val="single"/>
              </w:rPr>
              <w:t xml:space="preserve"> </w:t>
            </w:r>
          </w:p>
        </w:tc>
      </w:tr>
    </w:tbl>
    <w:p w14:paraId="0662D07F" w14:textId="77777777" w:rsidR="001B1411" w:rsidRPr="00DA7625" w:rsidRDefault="001B1411">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1B1411" w:rsidRPr="00DA7625" w14:paraId="58C6D1CD" w14:textId="77777777" w:rsidTr="00672D2A">
        <w:tc>
          <w:tcPr>
            <w:tcW w:w="1188" w:type="dxa"/>
            <w:shd w:val="clear" w:color="auto" w:fill="CCCCCC"/>
          </w:tcPr>
          <w:p w14:paraId="17E54FF6" w14:textId="77777777" w:rsidR="001B1411" w:rsidRPr="00DA7625" w:rsidRDefault="004357B9">
            <w:pPr>
              <w:rPr>
                <w:rFonts w:ascii="Times New Roman" w:hAnsi="Times New Roman"/>
                <w:b/>
                <w:sz w:val="24"/>
              </w:rPr>
            </w:pPr>
            <w:r w:rsidRPr="00DA7625">
              <w:rPr>
                <w:rFonts w:ascii="Times New Roman" w:hAnsi="Times New Roman"/>
                <w:b/>
                <w:sz w:val="24"/>
              </w:rPr>
              <w:t>Sor</w:t>
            </w:r>
          </w:p>
        </w:tc>
        <w:tc>
          <w:tcPr>
            <w:tcW w:w="8640" w:type="dxa"/>
            <w:shd w:val="clear" w:color="auto" w:fill="CCCCCC"/>
          </w:tcPr>
          <w:p w14:paraId="53395035" w14:textId="77777777" w:rsidR="001B1411" w:rsidRPr="00DA7625" w:rsidRDefault="001B1411">
            <w:pPr>
              <w:ind w:left="72"/>
              <w:rPr>
                <w:rFonts w:ascii="Times New Roman" w:hAnsi="Times New Roman"/>
                <w:sz w:val="24"/>
              </w:rPr>
            </w:pPr>
          </w:p>
        </w:tc>
      </w:tr>
      <w:tr w:rsidR="001B1411" w:rsidRPr="00DA7625" w14:paraId="15EB838A" w14:textId="77777777" w:rsidTr="00672D2A">
        <w:tc>
          <w:tcPr>
            <w:tcW w:w="1188" w:type="dxa"/>
          </w:tcPr>
          <w:p w14:paraId="5E6B896D" w14:textId="77777777" w:rsidR="001B1411" w:rsidRPr="00DA7625" w:rsidRDefault="004357B9">
            <w:pPr>
              <w:rPr>
                <w:rFonts w:ascii="Times New Roman" w:hAnsi="Times New Roman"/>
                <w:sz w:val="24"/>
              </w:rPr>
            </w:pPr>
            <w:r w:rsidRPr="00DA7625">
              <w:rPr>
                <w:rFonts w:ascii="Times New Roman" w:hAnsi="Times New Roman"/>
                <w:sz w:val="24"/>
              </w:rPr>
              <w:t>010</w:t>
            </w:r>
          </w:p>
        </w:tc>
        <w:tc>
          <w:tcPr>
            <w:tcW w:w="8640" w:type="dxa"/>
          </w:tcPr>
          <w:p w14:paraId="5E840046"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 xml:space="preserve">Központi kormányzatok és központi bankok </w:t>
            </w:r>
          </w:p>
          <w:p w14:paraId="090B69EE" w14:textId="2B0AEA1B" w:rsidR="001B1411" w:rsidRPr="00DA7625" w:rsidRDefault="00D21B29">
            <w:pPr>
              <w:rPr>
                <w:rFonts w:ascii="Times New Roman" w:hAnsi="Times New Roman"/>
                <w:sz w:val="24"/>
              </w:rPr>
            </w:pPr>
            <w:r w:rsidRPr="00DA7625">
              <w:rPr>
                <w:rFonts w:ascii="Times New Roman" w:hAnsi="Times New Roman"/>
                <w:sz w:val="24"/>
              </w:rPr>
              <w:t xml:space="preserve">A CRR 147. cikke (2) bekezdésének </w:t>
            </w:r>
            <w:r w:rsidRPr="00DA7625">
              <w:rPr>
                <w:rFonts w:ascii="Times New Roman" w:hAnsi="Times New Roman"/>
                <w:bCs/>
                <w:sz w:val="24"/>
              </w:rPr>
              <w:t>a) pontja</w:t>
            </w:r>
          </w:p>
        </w:tc>
      </w:tr>
      <w:tr w:rsidR="001B1411" w:rsidRPr="00DA7625" w14:paraId="524F7F96" w14:textId="77777777" w:rsidTr="00672D2A">
        <w:tc>
          <w:tcPr>
            <w:tcW w:w="1188" w:type="dxa"/>
          </w:tcPr>
          <w:p w14:paraId="072201D4" w14:textId="77777777" w:rsidR="001B1411" w:rsidRPr="00DA7625" w:rsidRDefault="004357B9">
            <w:pPr>
              <w:rPr>
                <w:rFonts w:ascii="Times New Roman" w:hAnsi="Times New Roman"/>
                <w:sz w:val="24"/>
              </w:rPr>
            </w:pPr>
            <w:r w:rsidRPr="00DA7625">
              <w:rPr>
                <w:rFonts w:ascii="Times New Roman" w:hAnsi="Times New Roman"/>
                <w:sz w:val="24"/>
              </w:rPr>
              <w:t>020</w:t>
            </w:r>
          </w:p>
        </w:tc>
        <w:tc>
          <w:tcPr>
            <w:tcW w:w="8640" w:type="dxa"/>
          </w:tcPr>
          <w:p w14:paraId="3EACDA70"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Intézmények</w:t>
            </w:r>
          </w:p>
          <w:p w14:paraId="0844CBEA" w14:textId="0B333C5A" w:rsidR="001B1411" w:rsidRPr="00DA7625" w:rsidRDefault="00D21B29">
            <w:pPr>
              <w:rPr>
                <w:rFonts w:ascii="Times New Roman" w:hAnsi="Times New Roman"/>
                <w:sz w:val="24"/>
              </w:rPr>
            </w:pPr>
            <w:r w:rsidRPr="00DA7625">
              <w:rPr>
                <w:rFonts w:ascii="Times New Roman" w:hAnsi="Times New Roman"/>
                <w:sz w:val="24"/>
              </w:rPr>
              <w:lastRenderedPageBreak/>
              <w:t>A CRR 147. cikke (2) bekezdésének b) pontja</w:t>
            </w:r>
          </w:p>
        </w:tc>
      </w:tr>
      <w:tr w:rsidR="001B1411" w:rsidRPr="00DA7625" w14:paraId="45F9CBBF" w14:textId="77777777" w:rsidTr="00672D2A">
        <w:tc>
          <w:tcPr>
            <w:tcW w:w="1188" w:type="dxa"/>
          </w:tcPr>
          <w:p w14:paraId="4EDE8471" w14:textId="77777777" w:rsidR="001B1411" w:rsidRPr="00DA7625" w:rsidRDefault="004357B9">
            <w:pPr>
              <w:rPr>
                <w:rFonts w:ascii="Times New Roman" w:hAnsi="Times New Roman"/>
                <w:sz w:val="24"/>
              </w:rPr>
            </w:pPr>
            <w:r w:rsidRPr="00DA7625">
              <w:rPr>
                <w:rFonts w:ascii="Times New Roman" w:hAnsi="Times New Roman"/>
                <w:sz w:val="24"/>
              </w:rPr>
              <w:lastRenderedPageBreak/>
              <w:t>030</w:t>
            </w:r>
          </w:p>
        </w:tc>
        <w:tc>
          <w:tcPr>
            <w:tcW w:w="8640" w:type="dxa"/>
          </w:tcPr>
          <w:p w14:paraId="498BD2EB"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 xml:space="preserve">Vállalkozások </w:t>
            </w:r>
          </w:p>
          <w:p w14:paraId="1427627B" w14:textId="18F05657" w:rsidR="001B1411" w:rsidRPr="00DA7625" w:rsidRDefault="004357B9">
            <w:pPr>
              <w:pStyle w:val="ListParagraph"/>
              <w:ind w:left="0"/>
              <w:rPr>
                <w:rFonts w:ascii="Times New Roman" w:hAnsi="Times New Roman"/>
                <w:sz w:val="24"/>
              </w:rPr>
            </w:pPr>
            <w:r w:rsidRPr="00DA7625">
              <w:rPr>
                <w:rFonts w:ascii="Times New Roman" w:hAnsi="Times New Roman"/>
                <w:sz w:val="24"/>
              </w:rPr>
              <w:t>A CRR 147. cikke (2) bekezdésének c) pontjában említett vállalkozásokkal szembeni valamennyi kitettség</w:t>
            </w:r>
          </w:p>
        </w:tc>
      </w:tr>
      <w:tr w:rsidR="001B1411" w:rsidRPr="00DA7625" w14:paraId="2BB19F94" w14:textId="77777777" w:rsidTr="00672D2A">
        <w:tc>
          <w:tcPr>
            <w:tcW w:w="1188" w:type="dxa"/>
          </w:tcPr>
          <w:p w14:paraId="1B0A27AB" w14:textId="77777777" w:rsidR="001B1411" w:rsidRPr="00DA7625" w:rsidRDefault="004357B9">
            <w:pPr>
              <w:rPr>
                <w:rFonts w:ascii="Times New Roman" w:hAnsi="Times New Roman"/>
                <w:sz w:val="24"/>
              </w:rPr>
            </w:pPr>
            <w:r w:rsidRPr="00DA7625">
              <w:rPr>
                <w:rFonts w:ascii="Times New Roman" w:hAnsi="Times New Roman"/>
                <w:sz w:val="24"/>
              </w:rPr>
              <w:t>042</w:t>
            </w:r>
          </w:p>
        </w:tc>
        <w:tc>
          <w:tcPr>
            <w:tcW w:w="8640" w:type="dxa"/>
          </w:tcPr>
          <w:p w14:paraId="6FA09752" w14:textId="572D0545" w:rsidR="001B1411" w:rsidRPr="00DA7625" w:rsidRDefault="004357B9">
            <w:pPr>
              <w:rPr>
                <w:rFonts w:ascii="Times New Roman" w:hAnsi="Times New Roman"/>
                <w:b/>
                <w:sz w:val="24"/>
                <w:u w:val="single"/>
              </w:rPr>
            </w:pPr>
            <w:r w:rsidRPr="00DA7625">
              <w:rPr>
                <w:rFonts w:ascii="Times New Roman" w:hAnsi="Times New Roman"/>
                <w:b/>
                <w:sz w:val="24"/>
                <w:u w:val="single"/>
              </w:rPr>
              <w:t>Ebből: speciális hitelezés (kivéve a slotting kritérium szerinti speciális hitelezés)</w:t>
            </w:r>
          </w:p>
          <w:p w14:paraId="7EDA1A93" w14:textId="4FA807E5" w:rsidR="001B1411" w:rsidRPr="00DA7625" w:rsidRDefault="00D21B29">
            <w:pPr>
              <w:pStyle w:val="ListParagraph"/>
              <w:ind w:left="0"/>
              <w:rPr>
                <w:rFonts w:ascii="Times New Roman" w:hAnsi="Times New Roman"/>
                <w:sz w:val="24"/>
              </w:rPr>
            </w:pPr>
            <w:r w:rsidRPr="00DA7625">
              <w:rPr>
                <w:rFonts w:ascii="Times New Roman" w:hAnsi="Times New Roman"/>
                <w:sz w:val="24"/>
              </w:rPr>
              <w:t xml:space="preserve">A CRR 147. cikke (8) bekezdésének </w:t>
            </w:r>
            <w:r w:rsidRPr="00DA7625">
              <w:rPr>
                <w:rFonts w:ascii="Times New Roman" w:hAnsi="Times New Roman"/>
                <w:bCs/>
                <w:sz w:val="24"/>
              </w:rPr>
              <w:t>a) pontja</w:t>
            </w:r>
          </w:p>
          <w:p w14:paraId="103A67ED" w14:textId="4F740281" w:rsidR="001B1411" w:rsidRPr="00DA7625" w:rsidRDefault="0042766A">
            <w:pPr>
              <w:pStyle w:val="ListParagraph"/>
              <w:ind w:left="0"/>
              <w:rPr>
                <w:rFonts w:ascii="Times New Roman" w:hAnsi="Times New Roman"/>
                <w:sz w:val="24"/>
              </w:rPr>
            </w:pPr>
            <w:r w:rsidRPr="00DA7625">
              <w:rPr>
                <w:rFonts w:ascii="Times New Roman" w:hAnsi="Times New Roman"/>
                <w:sz w:val="24"/>
              </w:rPr>
              <w:t>Az adatszolgáltatás nem terjed ki a CRR 153. cikkének (5) bekezdésében említett speciális hitelezési kitettségekre.</w:t>
            </w:r>
          </w:p>
        </w:tc>
      </w:tr>
      <w:tr w:rsidR="001B1411" w:rsidRPr="00DA7625" w14:paraId="1F8186F4" w14:textId="77777777" w:rsidTr="00672D2A">
        <w:tc>
          <w:tcPr>
            <w:tcW w:w="1188" w:type="dxa"/>
          </w:tcPr>
          <w:p w14:paraId="5843B83F" w14:textId="77777777" w:rsidR="001B1411" w:rsidRPr="00DA7625" w:rsidRDefault="000E093A">
            <w:pPr>
              <w:rPr>
                <w:rFonts w:ascii="Times New Roman" w:hAnsi="Times New Roman"/>
                <w:sz w:val="24"/>
              </w:rPr>
            </w:pPr>
            <w:r w:rsidRPr="00DA7625">
              <w:rPr>
                <w:rFonts w:ascii="Times New Roman" w:hAnsi="Times New Roman"/>
                <w:sz w:val="24"/>
              </w:rPr>
              <w:t>045</w:t>
            </w:r>
          </w:p>
        </w:tc>
        <w:tc>
          <w:tcPr>
            <w:tcW w:w="8640" w:type="dxa"/>
          </w:tcPr>
          <w:p w14:paraId="39002DAB" w14:textId="3090F631" w:rsidR="001B1411" w:rsidRPr="00DA7625" w:rsidRDefault="000E093A">
            <w:pPr>
              <w:rPr>
                <w:rFonts w:ascii="Times New Roman" w:hAnsi="Times New Roman"/>
                <w:b/>
                <w:sz w:val="24"/>
                <w:u w:val="single"/>
              </w:rPr>
            </w:pPr>
            <w:r w:rsidRPr="00DA7625">
              <w:rPr>
                <w:rFonts w:ascii="Times New Roman" w:hAnsi="Times New Roman"/>
                <w:b/>
                <w:sz w:val="24"/>
                <w:u w:val="single"/>
              </w:rPr>
              <w:t>Ebből: slotting kritérium szerinti speciális hitelezés</w:t>
            </w:r>
          </w:p>
          <w:p w14:paraId="56E4B85C" w14:textId="1F369A86" w:rsidR="001B1411" w:rsidRPr="00DA7625" w:rsidRDefault="00D21B29">
            <w:pPr>
              <w:rPr>
                <w:rFonts w:ascii="Times New Roman" w:hAnsi="Times New Roman"/>
                <w:b/>
                <w:sz w:val="24"/>
                <w:u w:val="single"/>
              </w:rPr>
            </w:pPr>
            <w:r w:rsidRPr="00DA7625">
              <w:rPr>
                <w:rFonts w:ascii="Times New Roman" w:hAnsi="Times New Roman"/>
                <w:sz w:val="24"/>
              </w:rPr>
              <w:t>A CRR 147. cikke (8) bekezdésének a) pontja, valamint 153. cikkének (5) bekezdése</w:t>
            </w:r>
          </w:p>
        </w:tc>
      </w:tr>
      <w:tr w:rsidR="001B1411" w:rsidRPr="00DA7625" w14:paraId="4D8522F6" w14:textId="77777777" w:rsidTr="00672D2A">
        <w:tc>
          <w:tcPr>
            <w:tcW w:w="1188" w:type="dxa"/>
          </w:tcPr>
          <w:p w14:paraId="4722F6D6" w14:textId="77777777" w:rsidR="001B1411" w:rsidRPr="00DA7625" w:rsidRDefault="004357B9">
            <w:pPr>
              <w:rPr>
                <w:rFonts w:ascii="Times New Roman" w:hAnsi="Times New Roman"/>
                <w:sz w:val="24"/>
              </w:rPr>
            </w:pPr>
            <w:r w:rsidRPr="00DA7625">
              <w:rPr>
                <w:rFonts w:ascii="Times New Roman" w:hAnsi="Times New Roman"/>
                <w:sz w:val="24"/>
              </w:rPr>
              <w:t>050</w:t>
            </w:r>
          </w:p>
        </w:tc>
        <w:tc>
          <w:tcPr>
            <w:tcW w:w="8640" w:type="dxa"/>
          </w:tcPr>
          <w:p w14:paraId="2364526D"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Ebből: KKV</w:t>
            </w:r>
          </w:p>
          <w:p w14:paraId="5ABADB8A" w14:textId="07271DA1" w:rsidR="001B1411" w:rsidRPr="00DA7625" w:rsidRDefault="00D21B29">
            <w:pPr>
              <w:pStyle w:val="ListParagraph"/>
              <w:ind w:left="0"/>
              <w:rPr>
                <w:rFonts w:ascii="Times New Roman" w:hAnsi="Times New Roman"/>
                <w:sz w:val="24"/>
              </w:rPr>
            </w:pPr>
            <w:r w:rsidRPr="00DA7625">
              <w:rPr>
                <w:rFonts w:ascii="Times New Roman" w:hAnsi="Times New Roman"/>
                <w:sz w:val="24"/>
              </w:rPr>
              <w:t xml:space="preserve">A CRR 147. cikke (2) bekezdésének </w:t>
            </w:r>
            <w:r w:rsidRPr="00DA7625">
              <w:rPr>
                <w:rFonts w:ascii="Times New Roman" w:hAnsi="Times New Roman"/>
                <w:bCs/>
                <w:sz w:val="24"/>
              </w:rPr>
              <w:t>c) pontja</w:t>
            </w:r>
          </w:p>
        </w:tc>
      </w:tr>
      <w:tr w:rsidR="001B1411" w:rsidRPr="00DA7625" w14:paraId="4E60DA06" w14:textId="77777777" w:rsidTr="00672D2A">
        <w:tc>
          <w:tcPr>
            <w:tcW w:w="1188" w:type="dxa"/>
          </w:tcPr>
          <w:p w14:paraId="079B0B71" w14:textId="77777777" w:rsidR="001B1411" w:rsidRPr="00DA7625" w:rsidRDefault="004357B9">
            <w:pPr>
              <w:rPr>
                <w:rFonts w:ascii="Times New Roman" w:hAnsi="Times New Roman"/>
                <w:sz w:val="24"/>
              </w:rPr>
            </w:pPr>
            <w:r w:rsidRPr="00DA7625">
              <w:rPr>
                <w:rFonts w:ascii="Times New Roman" w:hAnsi="Times New Roman"/>
                <w:sz w:val="24"/>
              </w:rPr>
              <w:t>060</w:t>
            </w:r>
          </w:p>
        </w:tc>
        <w:tc>
          <w:tcPr>
            <w:tcW w:w="8640" w:type="dxa"/>
          </w:tcPr>
          <w:p w14:paraId="621299E2"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Lakosság</w:t>
            </w:r>
          </w:p>
          <w:p w14:paraId="7EA656E7" w14:textId="76C11169" w:rsidR="001B1411" w:rsidRPr="00DA7625" w:rsidRDefault="004357B9">
            <w:pPr>
              <w:rPr>
                <w:rFonts w:ascii="Times New Roman" w:hAnsi="Times New Roman"/>
                <w:sz w:val="24"/>
              </w:rPr>
            </w:pPr>
            <w:r w:rsidRPr="00DA7625">
              <w:rPr>
                <w:rFonts w:ascii="Times New Roman" w:hAnsi="Times New Roman"/>
                <w:sz w:val="24"/>
              </w:rPr>
              <w:t>A CRR 147. cikke (2) bekezdésének d) pontjában említett valamennyi részvényjellegű kitettség</w:t>
            </w:r>
          </w:p>
        </w:tc>
      </w:tr>
      <w:tr w:rsidR="001B1411" w:rsidRPr="00DA7625" w14:paraId="5B12FE9E" w14:textId="77777777" w:rsidTr="00672D2A">
        <w:tc>
          <w:tcPr>
            <w:tcW w:w="1188" w:type="dxa"/>
          </w:tcPr>
          <w:p w14:paraId="7498E6A0" w14:textId="77777777" w:rsidR="001B1411" w:rsidRPr="00DA7625" w:rsidRDefault="004357B9">
            <w:pPr>
              <w:rPr>
                <w:rFonts w:ascii="Times New Roman" w:hAnsi="Times New Roman"/>
                <w:sz w:val="24"/>
              </w:rPr>
            </w:pPr>
            <w:r w:rsidRPr="00DA7625">
              <w:rPr>
                <w:rFonts w:ascii="Times New Roman" w:hAnsi="Times New Roman"/>
                <w:sz w:val="24"/>
              </w:rPr>
              <w:t>070</w:t>
            </w:r>
          </w:p>
        </w:tc>
        <w:tc>
          <w:tcPr>
            <w:tcW w:w="8640" w:type="dxa"/>
          </w:tcPr>
          <w:p w14:paraId="28D48F26"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Lakosság – ingatlannal fedezett</w:t>
            </w:r>
          </w:p>
          <w:p w14:paraId="7D846491" w14:textId="32C30682" w:rsidR="001B1411" w:rsidRPr="00DA7625" w:rsidRDefault="003B2712">
            <w:pPr>
              <w:pStyle w:val="ListParagraph"/>
              <w:ind w:left="0"/>
              <w:rPr>
                <w:rFonts w:ascii="Times New Roman" w:hAnsi="Times New Roman"/>
                <w:sz w:val="24"/>
              </w:rPr>
            </w:pPr>
            <w:r w:rsidRPr="00DA7625">
              <w:rPr>
                <w:rFonts w:ascii="Times New Roman" w:hAnsi="Times New Roman"/>
                <w:sz w:val="24"/>
              </w:rPr>
              <w:t>Ingatlannal fedezett, lakossággal szembeni kitettségek a CRR 147. cikke (2) bekezdésének d) pontjában említetteknek megfelelően</w:t>
            </w:r>
          </w:p>
        </w:tc>
      </w:tr>
      <w:tr w:rsidR="001B1411" w:rsidRPr="00DA7625" w14:paraId="72C223B9" w14:textId="77777777" w:rsidTr="00672D2A">
        <w:tc>
          <w:tcPr>
            <w:tcW w:w="1188" w:type="dxa"/>
          </w:tcPr>
          <w:p w14:paraId="02BEDBA1" w14:textId="77777777" w:rsidR="001B1411" w:rsidRPr="00DA7625" w:rsidRDefault="004357B9">
            <w:pPr>
              <w:rPr>
                <w:rFonts w:ascii="Times New Roman" w:hAnsi="Times New Roman"/>
                <w:sz w:val="24"/>
              </w:rPr>
            </w:pPr>
            <w:r w:rsidRPr="00DA7625">
              <w:rPr>
                <w:rFonts w:ascii="Times New Roman" w:hAnsi="Times New Roman"/>
                <w:sz w:val="24"/>
              </w:rPr>
              <w:t>080</w:t>
            </w:r>
          </w:p>
        </w:tc>
        <w:tc>
          <w:tcPr>
            <w:tcW w:w="8640" w:type="dxa"/>
          </w:tcPr>
          <w:p w14:paraId="6EFC5600"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KKV</w:t>
            </w:r>
          </w:p>
          <w:p w14:paraId="617C25C7" w14:textId="0C29615F" w:rsidR="001B1411" w:rsidRPr="00DA7625" w:rsidRDefault="004357B9">
            <w:pPr>
              <w:pStyle w:val="ListParagraph"/>
              <w:ind w:left="0"/>
              <w:rPr>
                <w:rFonts w:ascii="Times New Roman" w:hAnsi="Times New Roman"/>
                <w:sz w:val="24"/>
              </w:rPr>
            </w:pPr>
            <w:r w:rsidRPr="00DA7625">
              <w:rPr>
                <w:rFonts w:ascii="Times New Roman" w:hAnsi="Times New Roman"/>
                <w:sz w:val="24"/>
              </w:rPr>
              <w:t>Ingatlannal fedezett, lakossággal szembeni kitettségek a CRR 147. cikke (2) bekezdésének d) pontjában és 154. cikkének (3) bekezdésében említetteknek megfelelően</w:t>
            </w:r>
          </w:p>
        </w:tc>
      </w:tr>
      <w:tr w:rsidR="001B1411" w:rsidRPr="00DA7625" w14:paraId="739DA1B5" w14:textId="77777777" w:rsidTr="00672D2A">
        <w:tc>
          <w:tcPr>
            <w:tcW w:w="1188" w:type="dxa"/>
          </w:tcPr>
          <w:p w14:paraId="1CE167A5" w14:textId="77777777" w:rsidR="001B1411" w:rsidRPr="00DA7625" w:rsidRDefault="004357B9">
            <w:pPr>
              <w:rPr>
                <w:rFonts w:ascii="Times New Roman" w:hAnsi="Times New Roman"/>
                <w:sz w:val="24"/>
              </w:rPr>
            </w:pPr>
            <w:r w:rsidRPr="00DA7625">
              <w:rPr>
                <w:rFonts w:ascii="Times New Roman" w:hAnsi="Times New Roman"/>
                <w:sz w:val="24"/>
              </w:rPr>
              <w:t>090</w:t>
            </w:r>
          </w:p>
        </w:tc>
        <w:tc>
          <w:tcPr>
            <w:tcW w:w="8640" w:type="dxa"/>
          </w:tcPr>
          <w:p w14:paraId="0E51ED1A"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Nem KKV</w:t>
            </w:r>
          </w:p>
          <w:p w14:paraId="7801AED9" w14:textId="151DFF3E" w:rsidR="001B1411" w:rsidRPr="00DA7625" w:rsidRDefault="004357B9">
            <w:pPr>
              <w:pStyle w:val="ListParagraph"/>
              <w:ind w:left="0"/>
              <w:rPr>
                <w:rFonts w:ascii="Times New Roman" w:hAnsi="Times New Roman"/>
                <w:sz w:val="24"/>
              </w:rPr>
            </w:pPr>
            <w:r w:rsidRPr="00DA7625">
              <w:rPr>
                <w:rFonts w:ascii="Times New Roman" w:hAnsi="Times New Roman"/>
                <w:sz w:val="24"/>
              </w:rPr>
              <w:t>Ingatlannal fedezett, lakossággal szembeni kitettségek a CRR 147. cikke (2) bekezdésének d) pontjában említetteknek megfelelően</w:t>
            </w:r>
          </w:p>
        </w:tc>
      </w:tr>
      <w:tr w:rsidR="001B1411" w:rsidRPr="00DA7625" w14:paraId="69310AEB" w14:textId="77777777" w:rsidTr="00672D2A">
        <w:tc>
          <w:tcPr>
            <w:tcW w:w="1188" w:type="dxa"/>
          </w:tcPr>
          <w:p w14:paraId="015185BC" w14:textId="77777777" w:rsidR="001B1411" w:rsidRPr="00DA7625" w:rsidRDefault="004357B9">
            <w:pPr>
              <w:rPr>
                <w:rFonts w:ascii="Times New Roman" w:hAnsi="Times New Roman"/>
                <w:sz w:val="24"/>
              </w:rPr>
            </w:pPr>
            <w:r w:rsidRPr="00DA7625">
              <w:rPr>
                <w:rFonts w:ascii="Times New Roman" w:hAnsi="Times New Roman"/>
                <w:sz w:val="24"/>
              </w:rPr>
              <w:t>100</w:t>
            </w:r>
          </w:p>
        </w:tc>
        <w:tc>
          <w:tcPr>
            <w:tcW w:w="8640" w:type="dxa"/>
          </w:tcPr>
          <w:p w14:paraId="2F841CD8"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Lakosság – a rulírozó állományba beszámítható</w:t>
            </w:r>
          </w:p>
          <w:p w14:paraId="7A535000" w14:textId="2A893CE0" w:rsidR="001B1411" w:rsidRPr="00DA7625" w:rsidRDefault="003B2712">
            <w:pPr>
              <w:pStyle w:val="ListParagraph"/>
              <w:ind w:left="0"/>
              <w:rPr>
                <w:rFonts w:ascii="Times New Roman" w:hAnsi="Times New Roman"/>
                <w:sz w:val="24"/>
              </w:rPr>
            </w:pPr>
            <w:r w:rsidRPr="00DA7625">
              <w:rPr>
                <w:rFonts w:ascii="Times New Roman" w:hAnsi="Times New Roman"/>
                <w:sz w:val="24"/>
              </w:rPr>
              <w:t xml:space="preserve">Lakossággal szembeni kitettségek a CRR 147. cikke (2) bekezdésének </w:t>
            </w:r>
            <w:r w:rsidRPr="00DA7625">
              <w:rPr>
                <w:rFonts w:ascii="Times New Roman" w:hAnsi="Times New Roman"/>
                <w:bCs/>
                <w:sz w:val="24"/>
              </w:rPr>
              <w:t>d) pontja</w:t>
            </w:r>
            <w:r w:rsidRPr="00DA7625">
              <w:rPr>
                <w:rFonts w:ascii="Times New Roman" w:hAnsi="Times New Roman"/>
                <w:sz w:val="24"/>
              </w:rPr>
              <w:t xml:space="preserve"> és a 154. cikk (4) bekezdése együttes alkalmazásával </w:t>
            </w:r>
          </w:p>
        </w:tc>
      </w:tr>
      <w:tr w:rsidR="001B1411" w:rsidRPr="00DA7625" w14:paraId="310E9DF1" w14:textId="77777777" w:rsidTr="00672D2A">
        <w:tc>
          <w:tcPr>
            <w:tcW w:w="1188" w:type="dxa"/>
          </w:tcPr>
          <w:p w14:paraId="197CC5CC" w14:textId="77777777" w:rsidR="001B1411" w:rsidRPr="00DA7625" w:rsidRDefault="004357B9">
            <w:pPr>
              <w:rPr>
                <w:rFonts w:ascii="Times New Roman" w:hAnsi="Times New Roman"/>
                <w:sz w:val="24"/>
              </w:rPr>
            </w:pPr>
            <w:r w:rsidRPr="00DA7625">
              <w:rPr>
                <w:rFonts w:ascii="Times New Roman" w:hAnsi="Times New Roman"/>
                <w:sz w:val="24"/>
              </w:rPr>
              <w:t>110</w:t>
            </w:r>
          </w:p>
        </w:tc>
        <w:tc>
          <w:tcPr>
            <w:tcW w:w="8640" w:type="dxa"/>
          </w:tcPr>
          <w:p w14:paraId="62BCD037"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Egyéb lakosság</w:t>
            </w:r>
          </w:p>
          <w:p w14:paraId="008CB529" w14:textId="24922CC6" w:rsidR="001B1411" w:rsidRPr="00DA7625" w:rsidRDefault="004357B9">
            <w:pPr>
              <w:pStyle w:val="ListParagraph"/>
              <w:ind w:left="0"/>
              <w:rPr>
                <w:rFonts w:ascii="Times New Roman" w:hAnsi="Times New Roman"/>
                <w:sz w:val="24"/>
              </w:rPr>
            </w:pPr>
            <w:r w:rsidRPr="00DA7625">
              <w:rPr>
                <w:rFonts w:ascii="Times New Roman" w:hAnsi="Times New Roman"/>
                <w:sz w:val="24"/>
              </w:rPr>
              <w:t>A CRR 147. cikke (2) bekezdésének d) pontjában említett, a 070–100. sorban nem szereplő, egyéb lakossággal szembeni kitettségek</w:t>
            </w:r>
          </w:p>
        </w:tc>
      </w:tr>
      <w:tr w:rsidR="001B1411" w:rsidRPr="00DA7625" w14:paraId="03E08DFC" w14:textId="77777777" w:rsidTr="00672D2A">
        <w:tc>
          <w:tcPr>
            <w:tcW w:w="1188" w:type="dxa"/>
          </w:tcPr>
          <w:p w14:paraId="18CDFB4C" w14:textId="77777777" w:rsidR="001B1411" w:rsidRPr="00DA7625" w:rsidRDefault="004357B9">
            <w:pPr>
              <w:rPr>
                <w:rFonts w:ascii="Times New Roman" w:hAnsi="Times New Roman"/>
                <w:sz w:val="24"/>
              </w:rPr>
            </w:pPr>
            <w:r w:rsidRPr="00DA7625">
              <w:rPr>
                <w:rFonts w:ascii="Times New Roman" w:hAnsi="Times New Roman"/>
                <w:sz w:val="24"/>
              </w:rPr>
              <w:t>120</w:t>
            </w:r>
          </w:p>
        </w:tc>
        <w:tc>
          <w:tcPr>
            <w:tcW w:w="8640" w:type="dxa"/>
          </w:tcPr>
          <w:p w14:paraId="312E624C"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KKV</w:t>
            </w:r>
          </w:p>
          <w:p w14:paraId="5B7DCAF9" w14:textId="3E559DE3" w:rsidR="001B1411" w:rsidRPr="00DA7625" w:rsidRDefault="004357B9">
            <w:pPr>
              <w:pStyle w:val="ListParagraph"/>
              <w:ind w:left="0"/>
              <w:rPr>
                <w:rFonts w:ascii="Times New Roman" w:hAnsi="Times New Roman"/>
                <w:sz w:val="24"/>
              </w:rPr>
            </w:pPr>
            <w:r w:rsidRPr="00DA7625">
              <w:rPr>
                <w:rFonts w:ascii="Times New Roman" w:hAnsi="Times New Roman"/>
                <w:sz w:val="24"/>
              </w:rPr>
              <w:t>A CRR 147. cikke (2) bekezdésének d) pontjában említett, lakossággal szembeni egyéb kkv-kitettségek</w:t>
            </w:r>
          </w:p>
        </w:tc>
      </w:tr>
      <w:tr w:rsidR="001B1411" w:rsidRPr="00DA7625" w14:paraId="46163273" w14:textId="77777777" w:rsidTr="00672D2A">
        <w:tc>
          <w:tcPr>
            <w:tcW w:w="1188" w:type="dxa"/>
          </w:tcPr>
          <w:p w14:paraId="58B3BE55" w14:textId="77777777" w:rsidR="001B1411" w:rsidRPr="00DA7625" w:rsidRDefault="004357B9">
            <w:pPr>
              <w:rPr>
                <w:rFonts w:ascii="Times New Roman" w:hAnsi="Times New Roman"/>
                <w:sz w:val="24"/>
              </w:rPr>
            </w:pPr>
            <w:r w:rsidRPr="00DA7625">
              <w:rPr>
                <w:rFonts w:ascii="Times New Roman" w:hAnsi="Times New Roman"/>
                <w:sz w:val="24"/>
              </w:rPr>
              <w:lastRenderedPageBreak/>
              <w:t>130</w:t>
            </w:r>
          </w:p>
        </w:tc>
        <w:tc>
          <w:tcPr>
            <w:tcW w:w="8640" w:type="dxa"/>
          </w:tcPr>
          <w:p w14:paraId="0299AF28"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Nem kkv</w:t>
            </w:r>
          </w:p>
          <w:p w14:paraId="5CE130B3" w14:textId="396ABC8D" w:rsidR="001B1411" w:rsidRPr="00DA7625" w:rsidRDefault="004357B9">
            <w:pPr>
              <w:rPr>
                <w:rFonts w:ascii="Times New Roman" w:hAnsi="Times New Roman"/>
                <w:sz w:val="24"/>
              </w:rPr>
            </w:pPr>
            <w:r w:rsidRPr="00DA7625">
              <w:rPr>
                <w:rFonts w:ascii="Times New Roman" w:hAnsi="Times New Roman"/>
                <w:sz w:val="24"/>
              </w:rPr>
              <w:t>A CRR 147. cikke (2) bekezdésének d) pontjában említett, lakossággal szembeni egyéb nem kkv-kitettségek</w:t>
            </w:r>
          </w:p>
        </w:tc>
      </w:tr>
      <w:tr w:rsidR="001B1411" w:rsidRPr="00DA7625"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77777777" w:rsidR="001B1411" w:rsidRPr="00DA7625" w:rsidRDefault="004357B9">
            <w:pPr>
              <w:rPr>
                <w:rFonts w:ascii="Times New Roman" w:hAnsi="Times New Roman"/>
                <w:sz w:val="24"/>
              </w:rPr>
            </w:pPr>
            <w:r w:rsidRPr="00DA7625">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1B1411" w:rsidRPr="00DA7625" w:rsidRDefault="004357B9">
            <w:pPr>
              <w:rPr>
                <w:rFonts w:ascii="Times New Roman" w:hAnsi="Times New Roman"/>
                <w:b/>
                <w:sz w:val="24"/>
                <w:u w:val="single"/>
              </w:rPr>
            </w:pPr>
            <w:r w:rsidRPr="00DA7625">
              <w:rPr>
                <w:rFonts w:ascii="Times New Roman" w:hAnsi="Times New Roman"/>
                <w:b/>
                <w:sz w:val="24"/>
                <w:u w:val="single"/>
              </w:rPr>
              <w:t>Részvényjellegű kitettségek</w:t>
            </w:r>
          </w:p>
          <w:p w14:paraId="226E72C5" w14:textId="40764E84" w:rsidR="001B1411" w:rsidRPr="00DA7625" w:rsidRDefault="004357B9">
            <w:pPr>
              <w:rPr>
                <w:rFonts w:ascii="Times New Roman" w:hAnsi="Times New Roman"/>
                <w:b/>
                <w:sz w:val="24"/>
                <w:u w:val="single"/>
              </w:rPr>
            </w:pPr>
            <w:r w:rsidRPr="00DA7625">
              <w:rPr>
                <w:rFonts w:ascii="Times New Roman" w:hAnsi="Times New Roman"/>
                <w:sz w:val="24"/>
              </w:rPr>
              <w:t>A CRR 147. cikke (2) bekezdésének e) pontjában említett részvényjellegű kitettségek</w:t>
            </w:r>
          </w:p>
        </w:tc>
      </w:tr>
      <w:tr w:rsidR="001B1411" w:rsidRPr="00DA7625"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77777777" w:rsidR="001B1411" w:rsidRPr="00DA7625" w:rsidRDefault="007A49AC">
            <w:pPr>
              <w:rPr>
                <w:rFonts w:ascii="Times New Roman" w:hAnsi="Times New Roman"/>
                <w:sz w:val="24"/>
              </w:rPr>
            </w:pPr>
            <w:r w:rsidRPr="00DA7625">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1B1411" w:rsidRPr="00DA7625" w:rsidRDefault="007A49AC">
            <w:pPr>
              <w:rPr>
                <w:rFonts w:ascii="Times New Roman" w:hAnsi="Times New Roman"/>
                <w:b/>
                <w:sz w:val="24"/>
                <w:u w:val="single"/>
              </w:rPr>
            </w:pPr>
            <w:r w:rsidRPr="00DA7625">
              <w:rPr>
                <w:rFonts w:ascii="Times New Roman" w:hAnsi="Times New Roman"/>
                <w:b/>
                <w:sz w:val="24"/>
                <w:u w:val="single"/>
              </w:rPr>
              <w:t>Teljes kitettség</w:t>
            </w:r>
          </w:p>
        </w:tc>
      </w:tr>
    </w:tbl>
    <w:p w14:paraId="2736D670" w14:textId="77777777" w:rsidR="001B1411" w:rsidRPr="00DA7625" w:rsidRDefault="001B1411">
      <w:pPr>
        <w:spacing w:before="0" w:after="200" w:line="312" w:lineRule="auto"/>
        <w:jc w:val="left"/>
        <w:rPr>
          <w:rFonts w:ascii="Times New Roman" w:hAnsi="Times New Roman"/>
          <w:sz w:val="24"/>
        </w:rPr>
      </w:pPr>
    </w:p>
    <w:p w14:paraId="7DCD41BA"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54" w:name="_Toc31018800"/>
      <w:r w:rsidRPr="00DA7625">
        <w:rPr>
          <w:rFonts w:ascii="Times New Roman" w:hAnsi="Times New Roman"/>
          <w:sz w:val="24"/>
          <w:u w:val="none"/>
        </w:rPr>
        <w:t>3.4.3.</w:t>
      </w:r>
      <w:r w:rsidRPr="00DA7625">
        <w:rPr>
          <w:rFonts w:ascii="Times New Roman" w:hAnsi="Times New Roman"/>
          <w:sz w:val="24"/>
          <w:u w:val="none"/>
        </w:rPr>
        <w:tab/>
      </w:r>
      <w:r w:rsidRPr="00DA7625">
        <w:rPr>
          <w:rFonts w:ascii="Times New Roman" w:hAnsi="Times New Roman"/>
          <w:sz w:val="24"/>
        </w:rPr>
        <w:t>C 09.04 – A lényeges hitelkockázati kitettségek országonkénti bontása az anticiklikus tőkepuffer és az intézményspecifikus anticiklikus tőkepuffer kiszámításához (CCB)</w:t>
      </w:r>
      <w:bookmarkEnd w:id="54"/>
    </w:p>
    <w:p w14:paraId="465F81DE"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55" w:name="_Toc31018801"/>
      <w:r w:rsidRPr="00DA7625">
        <w:rPr>
          <w:rFonts w:ascii="Times New Roman" w:hAnsi="Times New Roman"/>
          <w:sz w:val="24"/>
          <w:u w:val="none"/>
        </w:rPr>
        <w:t>3.4.3.1.</w:t>
      </w:r>
      <w:r w:rsidRPr="00DA7625">
        <w:rPr>
          <w:rFonts w:ascii="Times New Roman" w:hAnsi="Times New Roman"/>
          <w:sz w:val="24"/>
          <w:u w:val="none"/>
        </w:rPr>
        <w:tab/>
      </w:r>
      <w:r w:rsidRPr="00DA7625">
        <w:rPr>
          <w:rFonts w:ascii="Times New Roman" w:hAnsi="Times New Roman"/>
          <w:sz w:val="24"/>
        </w:rPr>
        <w:t>Általános megjegyzések</w:t>
      </w:r>
      <w:bookmarkEnd w:id="55"/>
    </w:p>
    <w:p w14:paraId="590600E2" w14:textId="69965B11" w:rsidR="001B1411" w:rsidRPr="00DA7625" w:rsidRDefault="00125707">
      <w:pPr>
        <w:pStyle w:val="InstructionsText2"/>
        <w:numPr>
          <w:ilvl w:val="0"/>
          <w:numId w:val="0"/>
        </w:numPr>
        <w:ind w:left="993"/>
      </w:pPr>
      <w:r w:rsidRPr="00DA7625">
        <w:t>82.</w:t>
      </w:r>
      <w:r w:rsidRPr="00DA7625">
        <w:tab/>
        <w:t xml:space="preserve">A tábla célja bővebb információ gyűjtése az intézményspecifikus anticiklikus tőkepuffer elemeiről. Az előírt információ a CRR harmadik része II. és IV. címének megfelelően meghatározott szavatolótőke-követelményre, a hitelkockázati kitettségek földrajzi helyére, az intézményspecifikus anticiklikus tőkepuffer CRD 140. cikke szerinti (lényeges hitelkockázati kitettség) számításához releváns értékpapírosítási kitettségekre és kereskedési könyvi kitettségekre vonatkozik. </w:t>
      </w:r>
    </w:p>
    <w:p w14:paraId="565CB2C5" w14:textId="48308892" w:rsidR="001B1411" w:rsidRPr="00DA7625" w:rsidRDefault="00125707">
      <w:pPr>
        <w:pStyle w:val="InstructionsText2"/>
        <w:numPr>
          <w:ilvl w:val="0"/>
          <w:numId w:val="0"/>
        </w:numPr>
        <w:ind w:left="993"/>
      </w:pPr>
      <w:r w:rsidRPr="00DA7625">
        <w:t>83.</w:t>
      </w:r>
      <w:r w:rsidRPr="00DA7625">
        <w:tab/>
        <w:t xml:space="preserve">A C 09.04. táblában meg kell adni a lényeges hitelkockázati kitettségekre vonatkozó összesített adatot e kitettségek helye szerinti valamennyi joghatóság tekintetében, továbbá egyedileg az egyes olyan joghatóságokra vonatkozóan, ahol a lényeges hitelkockázati kitettségek elhelyezkednek. Az összesített adatokat és az egyes joghatóságokra vonatkozó információkat külön dimenzióban kell megadni. </w:t>
      </w:r>
    </w:p>
    <w:p w14:paraId="3D431326" w14:textId="1A0A567B" w:rsidR="001B1411" w:rsidRPr="00DA7625" w:rsidRDefault="00125707">
      <w:pPr>
        <w:pStyle w:val="InstructionsText2"/>
        <w:numPr>
          <w:ilvl w:val="0"/>
          <w:numId w:val="0"/>
        </w:numPr>
        <w:ind w:left="993"/>
      </w:pPr>
      <w:r w:rsidRPr="00DA7625">
        <w:t>84.</w:t>
      </w:r>
      <w:r w:rsidRPr="00DA7625">
        <w:tab/>
        <w:t>Az e végrehajtási rendelet 5. cikke a) pontjának 4. alpontjában rögzített küszöbérték az e megoszlás szerinti adatszolgáltatás szempontjából nem alkalmazandó.</w:t>
      </w:r>
    </w:p>
    <w:p w14:paraId="51425BA4" w14:textId="2521704A" w:rsidR="001B1411" w:rsidRPr="00DA7625" w:rsidRDefault="00125707">
      <w:pPr>
        <w:pStyle w:val="InstructionsText2"/>
        <w:numPr>
          <w:ilvl w:val="0"/>
          <w:numId w:val="0"/>
        </w:numPr>
        <w:ind w:left="993"/>
      </w:pPr>
      <w:r w:rsidRPr="00DA7625">
        <w:t>85.</w:t>
      </w:r>
      <w:r w:rsidRPr="00DA7625">
        <w:tab/>
        <w:t>A földrajzi hely meghatározásához a kitettségek hozzárendelése az 1152/2014/EU felhatalmazáson alapuló bizottsági rendeletben</w:t>
      </w:r>
      <w:r w:rsidRPr="00DA7625">
        <w:rPr>
          <w:rStyle w:val="FootnoteReference"/>
          <w:rFonts w:ascii="Times New Roman" w:hAnsi="Times New Roman"/>
          <w:sz w:val="24"/>
          <w:szCs w:val="24"/>
          <w:vertAlign w:val="superscript"/>
        </w:rPr>
        <w:footnoteReference w:id="11"/>
      </w:r>
      <w:r w:rsidRPr="00DA7625">
        <w:t xml:space="preserve"> előírtaknak megfelelően közvetlen kötelezetti alapon történik. Ezért a hitelkockázat-mérséklési technikák nem változtatják meg egy kitettség földrajzi helyhez való hozzárendelését az e táblában meghatározott információ megadása céljából.</w:t>
      </w:r>
    </w:p>
    <w:p w14:paraId="79C27D50"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56" w:name="_Toc31018802"/>
      <w:r w:rsidRPr="00DA7625">
        <w:rPr>
          <w:rFonts w:ascii="Times New Roman" w:hAnsi="Times New Roman"/>
          <w:sz w:val="24"/>
          <w:u w:val="none"/>
        </w:rPr>
        <w:t>3.4.3.2.</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5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1B1411" w:rsidRPr="00DA7625" w14:paraId="5FF7C3DD" w14:textId="77777777" w:rsidTr="00672D2A">
        <w:tc>
          <w:tcPr>
            <w:tcW w:w="1697" w:type="dxa"/>
            <w:shd w:val="clear" w:color="auto" w:fill="CCCCCC"/>
          </w:tcPr>
          <w:p w14:paraId="354E64FE" w14:textId="77777777" w:rsidR="001B1411" w:rsidRPr="00DA7625" w:rsidRDefault="00154859">
            <w:pPr>
              <w:rPr>
                <w:rFonts w:ascii="Times New Roman" w:hAnsi="Times New Roman"/>
                <w:b/>
                <w:sz w:val="24"/>
              </w:rPr>
            </w:pPr>
            <w:r w:rsidRPr="00DA7625">
              <w:rPr>
                <w:rFonts w:ascii="Times New Roman" w:hAnsi="Times New Roman"/>
                <w:b/>
                <w:sz w:val="24"/>
              </w:rPr>
              <w:t>Oszlop</w:t>
            </w:r>
          </w:p>
        </w:tc>
        <w:tc>
          <w:tcPr>
            <w:tcW w:w="8131" w:type="dxa"/>
            <w:shd w:val="clear" w:color="auto" w:fill="CCCCCC"/>
          </w:tcPr>
          <w:p w14:paraId="1B8532BA" w14:textId="77777777" w:rsidR="001B1411" w:rsidRPr="00DA7625" w:rsidRDefault="001B1411">
            <w:pPr>
              <w:ind w:left="72"/>
              <w:rPr>
                <w:rFonts w:ascii="Times New Roman" w:hAnsi="Times New Roman"/>
                <w:sz w:val="24"/>
              </w:rPr>
            </w:pPr>
          </w:p>
        </w:tc>
      </w:tr>
      <w:tr w:rsidR="001B1411" w:rsidRPr="00DA7625" w14:paraId="49520813" w14:textId="77777777" w:rsidTr="00672D2A">
        <w:tc>
          <w:tcPr>
            <w:tcW w:w="1697" w:type="dxa"/>
          </w:tcPr>
          <w:p w14:paraId="3F21DB43" w14:textId="77777777" w:rsidR="001B1411" w:rsidRPr="00DA7625" w:rsidRDefault="00154859">
            <w:pPr>
              <w:rPr>
                <w:rStyle w:val="InstructionsTabelleText"/>
                <w:rFonts w:ascii="Times New Roman" w:hAnsi="Times New Roman"/>
                <w:sz w:val="24"/>
              </w:rPr>
            </w:pPr>
            <w:r w:rsidRPr="00DA7625">
              <w:rPr>
                <w:rFonts w:ascii="Times New Roman" w:hAnsi="Times New Roman"/>
                <w:sz w:val="24"/>
              </w:rPr>
              <w:t>010</w:t>
            </w:r>
          </w:p>
        </w:tc>
        <w:tc>
          <w:tcPr>
            <w:tcW w:w="8131" w:type="dxa"/>
          </w:tcPr>
          <w:p w14:paraId="10E57B59" w14:textId="77777777" w:rsidR="001B1411" w:rsidRPr="00DA7625" w:rsidRDefault="00154859">
            <w:pPr>
              <w:rPr>
                <w:rFonts w:ascii="Times New Roman" w:hAnsi="Times New Roman"/>
                <w:b/>
                <w:bCs/>
                <w:sz w:val="24"/>
                <w:u w:val="single"/>
              </w:rPr>
            </w:pPr>
            <w:r w:rsidRPr="00DA7625">
              <w:rPr>
                <w:rFonts w:ascii="Times New Roman" w:hAnsi="Times New Roman"/>
                <w:b/>
                <w:bCs/>
                <w:sz w:val="24"/>
                <w:u w:val="single"/>
              </w:rPr>
              <w:t>Összeg</w:t>
            </w:r>
          </w:p>
          <w:p w14:paraId="4EB9CF49" w14:textId="77777777" w:rsidR="001B1411" w:rsidRPr="00DA7625" w:rsidRDefault="006E3440">
            <w:pPr>
              <w:rPr>
                <w:rFonts w:ascii="Times New Roman" w:hAnsi="Times New Roman"/>
                <w:b/>
                <w:sz w:val="24"/>
                <w:u w:val="single"/>
              </w:rPr>
            </w:pPr>
            <w:r w:rsidRPr="00DA7625">
              <w:rPr>
                <w:rFonts w:ascii="Times New Roman" w:hAnsi="Times New Roman"/>
                <w:bCs/>
                <w:sz w:val="24"/>
              </w:rPr>
              <w:t>A lényeges hitelkockázati kitettségek értéke és a kapcsolódó szavatolótőke-követelmények az adott sorra vonatkozó útmutatónak megfelelően meghatározva.</w:t>
            </w:r>
          </w:p>
        </w:tc>
      </w:tr>
      <w:tr w:rsidR="001B1411" w:rsidRPr="00DA7625" w14:paraId="268C7893" w14:textId="77777777" w:rsidTr="00672D2A">
        <w:tc>
          <w:tcPr>
            <w:tcW w:w="1697" w:type="dxa"/>
          </w:tcPr>
          <w:p w14:paraId="6B0C9199" w14:textId="77777777" w:rsidR="001B1411" w:rsidRPr="00DA7625" w:rsidRDefault="00154859">
            <w:pPr>
              <w:rPr>
                <w:sz w:val="24"/>
              </w:rPr>
            </w:pPr>
            <w:r w:rsidRPr="00DA7625">
              <w:rPr>
                <w:rFonts w:ascii="Times New Roman" w:hAnsi="Times New Roman"/>
                <w:sz w:val="24"/>
              </w:rPr>
              <w:lastRenderedPageBreak/>
              <w:t>020</w:t>
            </w:r>
          </w:p>
        </w:tc>
        <w:tc>
          <w:tcPr>
            <w:tcW w:w="8131" w:type="dxa"/>
          </w:tcPr>
          <w:p w14:paraId="5C3A8C79" w14:textId="77777777" w:rsidR="001B1411" w:rsidRPr="00DA7625" w:rsidRDefault="00154859">
            <w:pPr>
              <w:rPr>
                <w:rFonts w:ascii="Times New Roman" w:hAnsi="Times New Roman"/>
                <w:b/>
                <w:bCs/>
                <w:sz w:val="24"/>
                <w:u w:val="single"/>
              </w:rPr>
            </w:pPr>
            <w:r w:rsidRPr="00DA7625">
              <w:rPr>
                <w:rFonts w:ascii="Times New Roman" w:hAnsi="Times New Roman"/>
                <w:b/>
                <w:bCs/>
                <w:sz w:val="24"/>
                <w:u w:val="single"/>
              </w:rPr>
              <w:t>Százalék</w:t>
            </w:r>
          </w:p>
          <w:p w14:paraId="4D2BDB64" w14:textId="77777777" w:rsidR="001B1411" w:rsidRPr="00DA7625" w:rsidRDefault="001B1411">
            <w:pPr>
              <w:rPr>
                <w:rFonts w:ascii="Times New Roman" w:hAnsi="Times New Roman"/>
                <w:b/>
                <w:bCs/>
                <w:sz w:val="24"/>
                <w:u w:val="single"/>
              </w:rPr>
            </w:pPr>
          </w:p>
        </w:tc>
      </w:tr>
      <w:tr w:rsidR="001B1411" w:rsidRPr="00DA7625" w14:paraId="1550E296" w14:textId="77777777" w:rsidTr="00672D2A">
        <w:tc>
          <w:tcPr>
            <w:tcW w:w="1697" w:type="dxa"/>
          </w:tcPr>
          <w:p w14:paraId="75FA72CB" w14:textId="77777777" w:rsidR="001B1411" w:rsidRPr="00DA7625" w:rsidRDefault="00154859">
            <w:pPr>
              <w:rPr>
                <w:rFonts w:ascii="Times New Roman" w:hAnsi="Times New Roman"/>
                <w:sz w:val="24"/>
              </w:rPr>
            </w:pPr>
            <w:r w:rsidRPr="00DA7625">
              <w:rPr>
                <w:rFonts w:ascii="Times New Roman" w:hAnsi="Times New Roman"/>
                <w:sz w:val="24"/>
              </w:rPr>
              <w:t>030</w:t>
            </w:r>
          </w:p>
        </w:tc>
        <w:tc>
          <w:tcPr>
            <w:tcW w:w="8131" w:type="dxa"/>
          </w:tcPr>
          <w:p w14:paraId="2412DC52" w14:textId="77777777" w:rsidR="001B1411" w:rsidRPr="00DA7625" w:rsidRDefault="00187348">
            <w:pPr>
              <w:autoSpaceDE w:val="0"/>
              <w:autoSpaceDN w:val="0"/>
              <w:adjustRightInd w:val="0"/>
              <w:rPr>
                <w:rFonts w:ascii="Times New Roman" w:hAnsi="Times New Roman"/>
                <w:b/>
                <w:bCs/>
                <w:sz w:val="24"/>
                <w:u w:val="single"/>
              </w:rPr>
            </w:pPr>
            <w:r w:rsidRPr="00DA7625">
              <w:rPr>
                <w:rFonts w:ascii="Times New Roman" w:hAnsi="Times New Roman"/>
                <w:b/>
                <w:bCs/>
                <w:sz w:val="24"/>
                <w:u w:val="single"/>
              </w:rPr>
              <w:t>Kvalitatív információk</w:t>
            </w:r>
          </w:p>
          <w:p w14:paraId="029AF1F6" w14:textId="77777777" w:rsidR="001B1411" w:rsidRPr="00DA7625" w:rsidRDefault="00CA270D">
            <w:pPr>
              <w:autoSpaceDE w:val="0"/>
              <w:autoSpaceDN w:val="0"/>
              <w:adjustRightInd w:val="0"/>
              <w:rPr>
                <w:rFonts w:ascii="Times New Roman" w:hAnsi="Times New Roman"/>
                <w:sz w:val="24"/>
              </w:rPr>
            </w:pPr>
            <w:r w:rsidRPr="00DA7625">
              <w:rPr>
                <w:rFonts w:ascii="Times New Roman" w:hAnsi="Times New Roman"/>
                <w:sz w:val="24"/>
              </w:rPr>
              <w:t xml:space="preserve">Ezt az információt csak az intézmény székhelye szerinti országra vonatkozóan kell megadni (az intézmény székhelye szerinti tagállamnak megfelelő joghatóság), és meg kell adni az „Összesen” adatot az összes országra vonatkozóan. </w:t>
            </w:r>
          </w:p>
          <w:p w14:paraId="0D411860" w14:textId="77777777" w:rsidR="001B1411" w:rsidRPr="00DA7625" w:rsidRDefault="00514783">
            <w:pPr>
              <w:autoSpaceDE w:val="0"/>
              <w:autoSpaceDN w:val="0"/>
              <w:adjustRightInd w:val="0"/>
              <w:rPr>
                <w:rFonts w:ascii="Times New Roman" w:hAnsi="Times New Roman"/>
                <w:b/>
                <w:bCs/>
                <w:sz w:val="24"/>
                <w:u w:val="single"/>
              </w:rPr>
            </w:pPr>
            <w:r w:rsidRPr="00DA7625">
              <w:rPr>
                <w:rFonts w:ascii="Times New Roman" w:hAnsi="Times New Roman"/>
                <w:sz w:val="24"/>
              </w:rPr>
              <w:t>Az intézménynek {y} vagy {n} adatot kell megadnia a megfelelő sorra vonatkozó útmutatóval összhangban.</w:t>
            </w:r>
          </w:p>
        </w:tc>
      </w:tr>
    </w:tbl>
    <w:p w14:paraId="5B115871" w14:textId="77777777" w:rsidR="001B1411" w:rsidRPr="00DA7625" w:rsidRDefault="001B1411">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1B1411" w:rsidRPr="00DA7625" w14:paraId="221B0333" w14:textId="77777777" w:rsidTr="00672D2A">
        <w:tc>
          <w:tcPr>
            <w:tcW w:w="1697" w:type="dxa"/>
            <w:shd w:val="clear" w:color="auto" w:fill="CCCCCC"/>
          </w:tcPr>
          <w:p w14:paraId="437ACE57" w14:textId="77777777" w:rsidR="001B1411" w:rsidRPr="00DA7625" w:rsidRDefault="00BD5485">
            <w:pPr>
              <w:rPr>
                <w:rFonts w:ascii="Times New Roman" w:hAnsi="Times New Roman"/>
                <w:b/>
                <w:sz w:val="24"/>
              </w:rPr>
            </w:pPr>
            <w:r w:rsidRPr="00DA7625">
              <w:rPr>
                <w:rFonts w:ascii="Times New Roman" w:hAnsi="Times New Roman"/>
                <w:b/>
                <w:sz w:val="24"/>
              </w:rPr>
              <w:t>Sor</w:t>
            </w:r>
          </w:p>
        </w:tc>
        <w:tc>
          <w:tcPr>
            <w:tcW w:w="8131" w:type="dxa"/>
            <w:shd w:val="clear" w:color="auto" w:fill="CCCCCC"/>
          </w:tcPr>
          <w:p w14:paraId="594AB552" w14:textId="77777777" w:rsidR="001B1411" w:rsidRPr="00DA7625" w:rsidRDefault="001B1411">
            <w:pPr>
              <w:ind w:left="72"/>
              <w:rPr>
                <w:rFonts w:ascii="Times New Roman" w:hAnsi="Times New Roman"/>
                <w:sz w:val="24"/>
              </w:rPr>
            </w:pPr>
          </w:p>
        </w:tc>
      </w:tr>
      <w:tr w:rsidR="001B1411" w:rsidRPr="00DA7625" w14:paraId="573D073A" w14:textId="77777777" w:rsidTr="00672D2A">
        <w:tc>
          <w:tcPr>
            <w:tcW w:w="1697" w:type="dxa"/>
          </w:tcPr>
          <w:p w14:paraId="01569166" w14:textId="77777777" w:rsidR="001B1411" w:rsidRPr="00DA7625" w:rsidRDefault="00BD5485">
            <w:pPr>
              <w:rPr>
                <w:rStyle w:val="InstructionsTabelleText"/>
                <w:rFonts w:ascii="Times New Roman" w:hAnsi="Times New Roman"/>
                <w:sz w:val="24"/>
              </w:rPr>
            </w:pPr>
            <w:r w:rsidRPr="00DA7625">
              <w:rPr>
                <w:rFonts w:ascii="Times New Roman" w:hAnsi="Times New Roman"/>
                <w:sz w:val="24"/>
              </w:rPr>
              <w:t>010–020</w:t>
            </w:r>
          </w:p>
        </w:tc>
        <w:tc>
          <w:tcPr>
            <w:tcW w:w="8131" w:type="dxa"/>
          </w:tcPr>
          <w:p w14:paraId="7114AFAC" w14:textId="77777777" w:rsidR="001B1411" w:rsidRPr="00DA7625" w:rsidRDefault="00BD5485">
            <w:pPr>
              <w:rPr>
                <w:rFonts w:ascii="Times New Roman" w:hAnsi="Times New Roman"/>
                <w:b/>
                <w:bCs/>
                <w:sz w:val="24"/>
                <w:u w:val="single"/>
              </w:rPr>
            </w:pPr>
            <w:r w:rsidRPr="00DA7625">
              <w:rPr>
                <w:rFonts w:ascii="Times New Roman" w:hAnsi="Times New Roman"/>
                <w:b/>
                <w:bCs/>
                <w:sz w:val="24"/>
                <w:u w:val="single"/>
              </w:rPr>
              <w:t>Lényeges hitelkockázati kitettségek – hitelkockázat</w:t>
            </w:r>
          </w:p>
          <w:p w14:paraId="41A44D7A" w14:textId="67014FA9" w:rsidR="001B1411" w:rsidRPr="00DA7625" w:rsidRDefault="00BD5485">
            <w:pPr>
              <w:rPr>
                <w:rFonts w:ascii="Times New Roman" w:hAnsi="Times New Roman"/>
                <w:b/>
                <w:sz w:val="24"/>
                <w:u w:val="single"/>
              </w:rPr>
            </w:pPr>
            <w:r w:rsidRPr="00DA7625">
              <w:rPr>
                <w:rFonts w:ascii="Times New Roman" w:hAnsi="Times New Roman"/>
                <w:sz w:val="24"/>
              </w:rPr>
              <w:t>A CRD 140. cikke (4) bekezdése a) pontjában említett lényeges hitelkockázati kitettség.</w:t>
            </w:r>
          </w:p>
        </w:tc>
      </w:tr>
      <w:tr w:rsidR="001B1411" w:rsidRPr="00DA7625" w14:paraId="25827097" w14:textId="77777777" w:rsidTr="00672D2A">
        <w:tc>
          <w:tcPr>
            <w:tcW w:w="1697" w:type="dxa"/>
          </w:tcPr>
          <w:p w14:paraId="5B4B27F7" w14:textId="77777777" w:rsidR="001B1411" w:rsidRPr="00DA7625" w:rsidRDefault="00BD5485">
            <w:pPr>
              <w:rPr>
                <w:sz w:val="24"/>
              </w:rPr>
            </w:pPr>
            <w:r w:rsidRPr="00DA7625">
              <w:rPr>
                <w:rFonts w:ascii="Times New Roman" w:hAnsi="Times New Roman"/>
                <w:sz w:val="24"/>
              </w:rPr>
              <w:t>010</w:t>
            </w:r>
          </w:p>
        </w:tc>
        <w:tc>
          <w:tcPr>
            <w:tcW w:w="8131" w:type="dxa"/>
          </w:tcPr>
          <w:p w14:paraId="6D491E25" w14:textId="77777777" w:rsidR="001B1411" w:rsidRPr="00DA7625" w:rsidRDefault="00BD5485">
            <w:pPr>
              <w:rPr>
                <w:rFonts w:ascii="Times New Roman" w:hAnsi="Times New Roman"/>
                <w:b/>
                <w:bCs/>
                <w:sz w:val="24"/>
                <w:u w:val="single"/>
              </w:rPr>
            </w:pPr>
            <w:r w:rsidRPr="00DA7625">
              <w:rPr>
                <w:rFonts w:ascii="Times New Roman" w:hAnsi="Times New Roman"/>
                <w:b/>
                <w:bCs/>
                <w:sz w:val="24"/>
                <w:u w:val="single"/>
              </w:rPr>
              <w:t>Kitettségérték a sztenderd módszer szerint</w:t>
            </w:r>
          </w:p>
          <w:p w14:paraId="29167577" w14:textId="454FD415" w:rsidR="001B1411" w:rsidRPr="00DA7625" w:rsidRDefault="00BD5485">
            <w:pPr>
              <w:autoSpaceDE w:val="0"/>
              <w:autoSpaceDN w:val="0"/>
              <w:adjustRightInd w:val="0"/>
              <w:rPr>
                <w:rFonts w:ascii="Times New Roman" w:hAnsi="Times New Roman"/>
                <w:sz w:val="24"/>
              </w:rPr>
            </w:pPr>
            <w:r w:rsidRPr="00DA7625">
              <w:rPr>
                <w:rFonts w:ascii="Times New Roman" w:hAnsi="Times New Roman"/>
                <w:sz w:val="24"/>
              </w:rPr>
              <w:t xml:space="preserve">A CRD 140. cikke (4) bekezdése a) pontjában említett lényeges hitelkockázati kitettségekre vonatkozó, a CRR 111. cikkének megfelelően kiszámított kitettségérték. </w:t>
            </w:r>
          </w:p>
          <w:p w14:paraId="5DA5322A" w14:textId="77777777" w:rsidR="001B1411" w:rsidRPr="00DA7625" w:rsidRDefault="00BD5485">
            <w:pPr>
              <w:autoSpaceDE w:val="0"/>
              <w:autoSpaceDN w:val="0"/>
              <w:adjustRightInd w:val="0"/>
              <w:rPr>
                <w:rFonts w:ascii="Times New Roman" w:hAnsi="Times New Roman"/>
                <w:b/>
                <w:bCs/>
                <w:sz w:val="24"/>
                <w:u w:val="single"/>
              </w:rPr>
            </w:pPr>
            <w:r w:rsidRPr="00DA7625">
              <w:rPr>
                <w:rFonts w:ascii="Times New Roman" w:hAnsi="Times New Roman"/>
                <w:sz w:val="24"/>
              </w:rPr>
              <w:t>A banki könyvi értékpapírosítási pozíciók kitettségértékét ebben a sorban nem kell megadni, hanem az 055-ös sorban kell jelenteni.</w:t>
            </w:r>
          </w:p>
        </w:tc>
      </w:tr>
      <w:tr w:rsidR="001B1411" w:rsidRPr="00DA7625" w14:paraId="4FA25E7A" w14:textId="77777777" w:rsidTr="00672D2A">
        <w:tc>
          <w:tcPr>
            <w:tcW w:w="1697" w:type="dxa"/>
          </w:tcPr>
          <w:p w14:paraId="182629F3" w14:textId="77777777" w:rsidR="001B1411" w:rsidRPr="00DA7625" w:rsidRDefault="00BD5485">
            <w:pPr>
              <w:rPr>
                <w:rFonts w:ascii="Times New Roman" w:hAnsi="Times New Roman"/>
                <w:sz w:val="24"/>
              </w:rPr>
            </w:pPr>
            <w:r w:rsidRPr="00DA7625">
              <w:rPr>
                <w:rFonts w:ascii="Times New Roman" w:hAnsi="Times New Roman"/>
                <w:sz w:val="24"/>
              </w:rPr>
              <w:t>020</w:t>
            </w:r>
          </w:p>
        </w:tc>
        <w:tc>
          <w:tcPr>
            <w:tcW w:w="8131" w:type="dxa"/>
          </w:tcPr>
          <w:p w14:paraId="0B2401A2" w14:textId="77777777" w:rsidR="001B1411" w:rsidRPr="00DA7625" w:rsidRDefault="00BD5485">
            <w:pPr>
              <w:rPr>
                <w:rFonts w:ascii="Times New Roman" w:hAnsi="Times New Roman"/>
                <w:b/>
                <w:bCs/>
                <w:sz w:val="24"/>
                <w:u w:val="single"/>
              </w:rPr>
            </w:pPr>
            <w:r w:rsidRPr="00DA7625">
              <w:rPr>
                <w:rFonts w:ascii="Times New Roman" w:hAnsi="Times New Roman"/>
                <w:b/>
                <w:bCs/>
                <w:sz w:val="24"/>
                <w:u w:val="single"/>
              </w:rPr>
              <w:t>Kitettségérték az IRB-módszer szerint</w:t>
            </w:r>
          </w:p>
          <w:p w14:paraId="7F5F59B9" w14:textId="77804934" w:rsidR="001B1411" w:rsidRPr="00DA7625" w:rsidRDefault="00BD5485">
            <w:pPr>
              <w:autoSpaceDE w:val="0"/>
              <w:autoSpaceDN w:val="0"/>
              <w:adjustRightInd w:val="0"/>
              <w:rPr>
                <w:rFonts w:ascii="Times New Roman" w:hAnsi="Times New Roman"/>
                <w:sz w:val="24"/>
              </w:rPr>
            </w:pPr>
            <w:r w:rsidRPr="00DA7625">
              <w:rPr>
                <w:rFonts w:ascii="Times New Roman" w:hAnsi="Times New Roman"/>
                <w:sz w:val="24"/>
              </w:rPr>
              <w:t xml:space="preserve">A CRD 140. cikke (4) bekezdése a) pontjában említett lényeges hitelkockázati kitettségekre vonatkozó, a CRR 166. cikkének megfelelően kiszámított kitettségérték. </w:t>
            </w:r>
          </w:p>
          <w:p w14:paraId="0801FF0E" w14:textId="77777777" w:rsidR="001B1411" w:rsidRPr="00DA7625" w:rsidRDefault="00BD5485">
            <w:pPr>
              <w:rPr>
                <w:rFonts w:ascii="Times New Roman" w:hAnsi="Times New Roman"/>
                <w:b/>
                <w:bCs/>
                <w:sz w:val="24"/>
                <w:u w:val="single"/>
              </w:rPr>
            </w:pPr>
            <w:r w:rsidRPr="00DA7625">
              <w:rPr>
                <w:rFonts w:ascii="Times New Roman" w:hAnsi="Times New Roman"/>
                <w:sz w:val="24"/>
              </w:rPr>
              <w:t>A banki könyvi értékpapírosítási pozíciók kitettségértékét ebben a sorban nem kell megadni, hanem az 055-ös sorban kell jelenteni.</w:t>
            </w:r>
          </w:p>
        </w:tc>
      </w:tr>
      <w:tr w:rsidR="001B1411" w:rsidRPr="00DA7625" w14:paraId="51948321" w14:textId="77777777" w:rsidTr="00672D2A">
        <w:tc>
          <w:tcPr>
            <w:tcW w:w="1697" w:type="dxa"/>
          </w:tcPr>
          <w:p w14:paraId="230F5679" w14:textId="77777777" w:rsidR="001B1411" w:rsidRPr="00DA7625" w:rsidRDefault="00BD5485">
            <w:pPr>
              <w:rPr>
                <w:rFonts w:ascii="Times New Roman" w:hAnsi="Times New Roman"/>
                <w:sz w:val="24"/>
              </w:rPr>
            </w:pPr>
            <w:r w:rsidRPr="00DA7625">
              <w:rPr>
                <w:rFonts w:ascii="Times New Roman" w:hAnsi="Times New Roman"/>
                <w:sz w:val="24"/>
              </w:rPr>
              <w:t>030–040</w:t>
            </w:r>
          </w:p>
        </w:tc>
        <w:tc>
          <w:tcPr>
            <w:tcW w:w="8131" w:type="dxa"/>
          </w:tcPr>
          <w:p w14:paraId="1E7525DE" w14:textId="77777777" w:rsidR="001B1411" w:rsidRPr="00DA7625" w:rsidRDefault="00BD5485">
            <w:pPr>
              <w:rPr>
                <w:rFonts w:ascii="Times New Roman" w:hAnsi="Times New Roman"/>
                <w:b/>
                <w:bCs/>
                <w:sz w:val="24"/>
                <w:u w:val="single"/>
              </w:rPr>
            </w:pPr>
            <w:r w:rsidRPr="00DA7625">
              <w:rPr>
                <w:rFonts w:ascii="Times New Roman" w:hAnsi="Times New Roman"/>
                <w:b/>
                <w:bCs/>
                <w:sz w:val="24"/>
                <w:u w:val="single"/>
              </w:rPr>
              <w:t>Lényeges hitelkockázati kitettségek – piaci kockázat</w:t>
            </w:r>
          </w:p>
          <w:p w14:paraId="0F3A7B2F" w14:textId="09F3C829" w:rsidR="001B1411" w:rsidRPr="00DA7625" w:rsidRDefault="00BD5485">
            <w:pPr>
              <w:rPr>
                <w:rFonts w:ascii="Times New Roman" w:hAnsi="Times New Roman"/>
                <w:b/>
                <w:bCs/>
                <w:sz w:val="24"/>
                <w:u w:val="single"/>
              </w:rPr>
            </w:pPr>
            <w:r w:rsidRPr="00DA7625">
              <w:rPr>
                <w:rFonts w:ascii="Times New Roman" w:hAnsi="Times New Roman"/>
                <w:sz w:val="24"/>
              </w:rPr>
              <w:t>A CRD 140. cikke (4) bekezdése b) pontjában említett lényeges hitelkockázati kitettségek.</w:t>
            </w:r>
          </w:p>
        </w:tc>
      </w:tr>
      <w:tr w:rsidR="001B1411" w:rsidRPr="00DA7625" w14:paraId="79FC1A80" w14:textId="77777777" w:rsidTr="00672D2A">
        <w:tc>
          <w:tcPr>
            <w:tcW w:w="1697" w:type="dxa"/>
          </w:tcPr>
          <w:p w14:paraId="497766A6" w14:textId="77777777" w:rsidR="001B1411" w:rsidRPr="00DA7625" w:rsidRDefault="00BD5485">
            <w:pPr>
              <w:rPr>
                <w:rFonts w:ascii="Times New Roman" w:hAnsi="Times New Roman"/>
                <w:sz w:val="24"/>
              </w:rPr>
            </w:pPr>
            <w:r w:rsidRPr="00DA7625">
              <w:rPr>
                <w:rFonts w:ascii="Times New Roman" w:hAnsi="Times New Roman"/>
                <w:sz w:val="24"/>
              </w:rPr>
              <w:t>030</w:t>
            </w:r>
          </w:p>
        </w:tc>
        <w:tc>
          <w:tcPr>
            <w:tcW w:w="8131" w:type="dxa"/>
          </w:tcPr>
          <w:p w14:paraId="04A9CA19" w14:textId="3F2AB8A9" w:rsidR="001B1411" w:rsidRPr="00DA7625" w:rsidRDefault="00BD5485">
            <w:pPr>
              <w:rPr>
                <w:rFonts w:ascii="Times New Roman" w:hAnsi="Times New Roman"/>
                <w:b/>
                <w:bCs/>
                <w:sz w:val="24"/>
                <w:u w:val="single"/>
              </w:rPr>
            </w:pPr>
            <w:r w:rsidRPr="00DA7625">
              <w:rPr>
                <w:rFonts w:ascii="Times New Roman" w:hAnsi="Times New Roman"/>
                <w:b/>
                <w:bCs/>
                <w:sz w:val="24"/>
                <w:u w:val="single"/>
              </w:rPr>
              <w:t>Kereskedési könyvi kitettségek hosszú és rövid pozícióinak összege a sztenderd módszer szerint</w:t>
            </w:r>
          </w:p>
          <w:p w14:paraId="00BAC1C1" w14:textId="57F8F503" w:rsidR="001B1411" w:rsidRPr="00DA7625" w:rsidRDefault="00BD5485">
            <w:pPr>
              <w:autoSpaceDE w:val="0"/>
              <w:autoSpaceDN w:val="0"/>
              <w:adjustRightInd w:val="0"/>
              <w:rPr>
                <w:rFonts w:ascii="Times New Roman" w:hAnsi="Times New Roman"/>
                <w:sz w:val="24"/>
              </w:rPr>
            </w:pPr>
            <w:r w:rsidRPr="00DA7625">
              <w:rPr>
                <w:rFonts w:ascii="Times New Roman" w:hAnsi="Times New Roman"/>
                <w:sz w:val="24"/>
              </w:rPr>
              <w:t xml:space="preserve">A CRD 140. cikke (4) bekezdésének b) pontjában említett, a CRR harmadik része IV. címe 2. fejezetében előírt szavatolótőke-követelmények hatálya alá tartozó lényeges hitelkockázati kitettségek hosszú és rövid pozícióinak összege a CRR 327. cikkének megfelelően: </w:t>
            </w:r>
          </w:p>
          <w:p w14:paraId="17A7C416" w14:textId="04DC4F6E" w:rsidR="001B1411" w:rsidRPr="00DA7625" w:rsidRDefault="00125707">
            <w:pPr>
              <w:autoSpaceDE w:val="0"/>
              <w:autoSpaceDN w:val="0"/>
              <w:adjustRightInd w:val="0"/>
              <w:ind w:left="357" w:hanging="357"/>
              <w:contextualSpacing/>
              <w:rPr>
                <w:rFonts w:ascii="Times New Roman" w:hAnsi="Times New Roman"/>
                <w:sz w:val="24"/>
              </w:rPr>
            </w:pPr>
            <w:r w:rsidRPr="00DA7625">
              <w:rPr>
                <w:rFonts w:ascii="Times New Roman" w:hAnsi="Times New Roman"/>
                <w:sz w:val="24"/>
              </w:rPr>
              <w:t>–</w:t>
            </w:r>
            <w:r w:rsidRPr="00DA7625">
              <w:rPr>
                <w:rFonts w:ascii="Times New Roman" w:hAnsi="Times New Roman"/>
                <w:sz w:val="24"/>
              </w:rPr>
              <w:tab/>
              <w:t>hitelviszonyt megtestesítő instrumentumokkal szembeni, értékpapírosítástól eltérő kitettségek,</w:t>
            </w:r>
          </w:p>
          <w:p w14:paraId="1A1A3199" w14:textId="12DFF28D" w:rsidR="001B1411" w:rsidRPr="00DA7625" w:rsidRDefault="00125707">
            <w:pPr>
              <w:autoSpaceDE w:val="0"/>
              <w:autoSpaceDN w:val="0"/>
              <w:adjustRightInd w:val="0"/>
              <w:ind w:left="357" w:hanging="357"/>
              <w:contextualSpacing/>
              <w:rPr>
                <w:rFonts w:ascii="Times New Roman" w:hAnsi="Times New Roman"/>
                <w:sz w:val="24"/>
              </w:rPr>
            </w:pPr>
            <w:r w:rsidRPr="00DA7625">
              <w:rPr>
                <w:rFonts w:ascii="Times New Roman" w:hAnsi="Times New Roman"/>
                <w:sz w:val="24"/>
              </w:rPr>
              <w:t>–</w:t>
            </w:r>
            <w:r w:rsidRPr="00DA7625">
              <w:rPr>
                <w:rFonts w:ascii="Times New Roman" w:hAnsi="Times New Roman"/>
                <w:sz w:val="24"/>
              </w:rPr>
              <w:tab/>
              <w:t>kereskedési könyvi értékpapírosítási pozíciókkal szembeni kitettségek,</w:t>
            </w:r>
          </w:p>
          <w:p w14:paraId="79ED82FF" w14:textId="3468B88E" w:rsidR="001B1411" w:rsidRPr="00DA7625" w:rsidRDefault="00125707">
            <w:pPr>
              <w:autoSpaceDE w:val="0"/>
              <w:autoSpaceDN w:val="0"/>
              <w:adjustRightInd w:val="0"/>
              <w:ind w:left="357" w:hanging="357"/>
              <w:contextualSpacing/>
              <w:rPr>
                <w:rFonts w:ascii="Times New Roman" w:hAnsi="Times New Roman"/>
                <w:sz w:val="24"/>
              </w:rPr>
            </w:pPr>
            <w:r w:rsidRPr="00DA7625">
              <w:rPr>
                <w:rFonts w:ascii="Times New Roman" w:hAnsi="Times New Roman"/>
                <w:sz w:val="24"/>
              </w:rPr>
              <w:t>–</w:t>
            </w:r>
            <w:r w:rsidRPr="00DA7625">
              <w:rPr>
                <w:rFonts w:ascii="Times New Roman" w:hAnsi="Times New Roman"/>
                <w:sz w:val="24"/>
              </w:rPr>
              <w:tab/>
              <w:t>korrelációkereskedési portfóliókkal szembeni kitettségek,</w:t>
            </w:r>
          </w:p>
          <w:p w14:paraId="27C772FA" w14:textId="307CF54E" w:rsidR="001B1411" w:rsidRPr="00DA7625" w:rsidRDefault="00125707">
            <w:pPr>
              <w:autoSpaceDE w:val="0"/>
              <w:autoSpaceDN w:val="0"/>
              <w:adjustRightInd w:val="0"/>
              <w:ind w:left="357" w:hanging="357"/>
              <w:contextualSpacing/>
              <w:rPr>
                <w:rFonts w:ascii="Times New Roman" w:hAnsi="Times New Roman"/>
                <w:sz w:val="24"/>
              </w:rPr>
            </w:pPr>
            <w:r w:rsidRPr="00DA7625">
              <w:rPr>
                <w:rFonts w:ascii="Times New Roman" w:hAnsi="Times New Roman"/>
                <w:sz w:val="24"/>
              </w:rPr>
              <w:lastRenderedPageBreak/>
              <w:t>–</w:t>
            </w:r>
            <w:r w:rsidRPr="00DA7625">
              <w:rPr>
                <w:rFonts w:ascii="Times New Roman" w:hAnsi="Times New Roman"/>
                <w:sz w:val="24"/>
              </w:rPr>
              <w:tab/>
              <w:t>tulajdonviszonyt megtestesítő instrumentumokkal szembeni kitettségek,</w:t>
            </w:r>
          </w:p>
          <w:p w14:paraId="2992A621" w14:textId="344C1C78" w:rsidR="001B1411" w:rsidRPr="00DA7625" w:rsidRDefault="00125707">
            <w:pPr>
              <w:autoSpaceDE w:val="0"/>
              <w:autoSpaceDN w:val="0"/>
              <w:adjustRightInd w:val="0"/>
              <w:ind w:left="357" w:hanging="357"/>
              <w:contextualSpacing/>
              <w:rPr>
                <w:rFonts w:ascii="Times New Roman" w:hAnsi="Times New Roman"/>
                <w:b/>
                <w:bCs/>
                <w:sz w:val="24"/>
                <w:u w:val="single"/>
              </w:rPr>
            </w:pPr>
            <w:r w:rsidRPr="00DA7625">
              <w:rPr>
                <w:rFonts w:ascii="Times New Roman" w:hAnsi="Times New Roman"/>
                <w:bCs/>
                <w:sz w:val="24"/>
              </w:rPr>
              <w:t>–</w:t>
            </w:r>
            <w:r w:rsidRPr="00DA7625">
              <w:rPr>
                <w:rFonts w:ascii="Times New Roman" w:hAnsi="Times New Roman"/>
                <w:bCs/>
                <w:sz w:val="24"/>
              </w:rPr>
              <w:tab/>
            </w:r>
            <w:r w:rsidRPr="00DA7625">
              <w:rPr>
                <w:rFonts w:ascii="Times New Roman" w:hAnsi="Times New Roman"/>
                <w:sz w:val="24"/>
              </w:rPr>
              <w:t>kollektív befektetési formákkal szembeni kitettségek, ha a tőkekövetelmény kiszámítása a CRR 348. cikke szerint történik.</w:t>
            </w:r>
          </w:p>
        </w:tc>
      </w:tr>
      <w:tr w:rsidR="001B1411" w:rsidRPr="00DA7625" w14:paraId="1FED66B6" w14:textId="77777777" w:rsidTr="00672D2A">
        <w:tc>
          <w:tcPr>
            <w:tcW w:w="1697" w:type="dxa"/>
          </w:tcPr>
          <w:p w14:paraId="57918A86" w14:textId="77777777" w:rsidR="001B1411" w:rsidRPr="00DA7625" w:rsidRDefault="00BD5485">
            <w:pPr>
              <w:rPr>
                <w:rFonts w:ascii="Times New Roman" w:hAnsi="Times New Roman"/>
                <w:sz w:val="24"/>
              </w:rPr>
            </w:pPr>
            <w:r w:rsidRPr="00DA7625">
              <w:rPr>
                <w:rFonts w:ascii="Times New Roman" w:hAnsi="Times New Roman"/>
                <w:sz w:val="24"/>
              </w:rPr>
              <w:lastRenderedPageBreak/>
              <w:t>040</w:t>
            </w:r>
          </w:p>
        </w:tc>
        <w:tc>
          <w:tcPr>
            <w:tcW w:w="8131" w:type="dxa"/>
          </w:tcPr>
          <w:p w14:paraId="057C116C" w14:textId="66ED0793" w:rsidR="001B1411" w:rsidRPr="00DA7625" w:rsidRDefault="00BD5485">
            <w:pPr>
              <w:rPr>
                <w:rFonts w:ascii="Times New Roman" w:hAnsi="Times New Roman"/>
                <w:b/>
                <w:bCs/>
                <w:sz w:val="24"/>
                <w:u w:val="single"/>
              </w:rPr>
            </w:pPr>
            <w:r w:rsidRPr="00DA7625">
              <w:rPr>
                <w:rFonts w:ascii="Times New Roman" w:hAnsi="Times New Roman"/>
                <w:b/>
                <w:bCs/>
                <w:sz w:val="24"/>
                <w:u w:val="single"/>
              </w:rPr>
              <w:t>Kereskedési könyvi kitettségek értéke a belső modellek szerint</w:t>
            </w:r>
          </w:p>
          <w:p w14:paraId="03B50E71" w14:textId="0D073B2C" w:rsidR="001B1411" w:rsidRPr="00DA7625" w:rsidRDefault="00BD5485">
            <w:pPr>
              <w:autoSpaceDE w:val="0"/>
              <w:autoSpaceDN w:val="0"/>
              <w:adjustRightInd w:val="0"/>
              <w:rPr>
                <w:rFonts w:ascii="Times New Roman" w:hAnsi="Times New Roman"/>
                <w:sz w:val="24"/>
              </w:rPr>
            </w:pPr>
            <w:r w:rsidRPr="00DA7625">
              <w:rPr>
                <w:rFonts w:ascii="Times New Roman" w:hAnsi="Times New Roman"/>
                <w:sz w:val="24"/>
              </w:rPr>
              <w:t>A CRD 140. cikke (4) bekezdésének b) pontjában említett, a CRR harmadik része IV. címe 2. és 5. fejezetében előírt szavatolótőke-követelmények hatálya alá tartozó lényeges hitelkockázati kitettségek esetében a következők összegét kell jelenteni:</w:t>
            </w:r>
          </w:p>
          <w:p w14:paraId="53F7ACFD" w14:textId="66A139F7" w:rsidR="001B1411" w:rsidRPr="00DA7625" w:rsidRDefault="00125707">
            <w:pPr>
              <w:autoSpaceDE w:val="0"/>
              <w:autoSpaceDN w:val="0"/>
              <w:adjustRightInd w:val="0"/>
              <w:ind w:left="357" w:hanging="357"/>
              <w:contextualSpacing/>
              <w:rPr>
                <w:rFonts w:ascii="Times New Roman" w:hAnsi="Times New Roman"/>
                <w:sz w:val="24"/>
              </w:rPr>
            </w:pPr>
            <w:r w:rsidRPr="00DA7625">
              <w:rPr>
                <w:rFonts w:ascii="Calibri" w:hAnsi="Calibri"/>
                <w:sz w:val="24"/>
              </w:rPr>
              <w:t>–</w:t>
            </w:r>
            <w:r w:rsidRPr="00DA7625">
              <w:rPr>
                <w:rFonts w:ascii="Calibri" w:hAnsi="Calibri"/>
                <w:sz w:val="24"/>
              </w:rPr>
              <w:tab/>
            </w:r>
            <w:r w:rsidRPr="00DA7625">
              <w:rPr>
                <w:rFonts w:ascii="Times New Roman" w:hAnsi="Times New Roman"/>
                <w:sz w:val="24"/>
              </w:rPr>
              <w:t>olyan nem származtatott pozíciók CRR 104. cikkével összhangban meghatározott valós értéke, amelyek a CRD 140. cikke (4) bekezdésének b) pontjában említett lényeges hitelkockázati kitettségeket jelentenek,</w:t>
            </w:r>
          </w:p>
          <w:p w14:paraId="5FB438A1" w14:textId="1C96DB25" w:rsidR="001B1411" w:rsidRPr="00DA7625" w:rsidRDefault="00125707">
            <w:pPr>
              <w:autoSpaceDE w:val="0"/>
              <w:autoSpaceDN w:val="0"/>
              <w:adjustRightInd w:val="0"/>
              <w:ind w:left="357" w:hanging="357"/>
              <w:contextualSpacing/>
              <w:rPr>
                <w:rFonts w:ascii="Times New Roman" w:hAnsi="Times New Roman"/>
                <w:b/>
                <w:bCs/>
                <w:sz w:val="24"/>
                <w:u w:val="single"/>
              </w:rPr>
            </w:pPr>
            <w:r w:rsidRPr="00DA7625">
              <w:rPr>
                <w:rFonts w:ascii="Calibri" w:hAnsi="Calibri"/>
                <w:bCs/>
                <w:sz w:val="24"/>
              </w:rPr>
              <w:t>–</w:t>
            </w:r>
            <w:r w:rsidRPr="00DA7625">
              <w:rPr>
                <w:rFonts w:ascii="Calibri" w:hAnsi="Calibri"/>
                <w:bCs/>
                <w:sz w:val="24"/>
              </w:rPr>
              <w:tab/>
            </w:r>
            <w:r w:rsidRPr="00DA7625">
              <w:rPr>
                <w:rFonts w:ascii="Times New Roman" w:hAnsi="Times New Roman"/>
                <w:sz w:val="24"/>
              </w:rPr>
              <w:t>olyan származtatott ügyletek névleges értéke, amelyek a CRD 140. cikke (4) bekezdése b) pontjában említett lényeges hitelkockázati kitettségeket jelentenek.</w:t>
            </w:r>
          </w:p>
        </w:tc>
      </w:tr>
      <w:tr w:rsidR="001B1411" w:rsidRPr="00DA7625" w14:paraId="0C9C0584" w14:textId="77777777" w:rsidTr="00672D2A">
        <w:tc>
          <w:tcPr>
            <w:tcW w:w="1697" w:type="dxa"/>
          </w:tcPr>
          <w:p w14:paraId="718A0F02" w14:textId="77777777" w:rsidR="001B1411" w:rsidRPr="00DA7625" w:rsidRDefault="008B6B86">
            <w:pPr>
              <w:rPr>
                <w:rFonts w:ascii="Times New Roman" w:hAnsi="Times New Roman"/>
                <w:sz w:val="24"/>
              </w:rPr>
            </w:pPr>
            <w:r w:rsidRPr="00DA7625">
              <w:rPr>
                <w:rFonts w:ascii="Times New Roman" w:hAnsi="Times New Roman"/>
                <w:sz w:val="24"/>
              </w:rPr>
              <w:t>055</w:t>
            </w:r>
          </w:p>
        </w:tc>
        <w:tc>
          <w:tcPr>
            <w:tcW w:w="8131" w:type="dxa"/>
          </w:tcPr>
          <w:p w14:paraId="586EB716" w14:textId="77777777" w:rsidR="001B1411" w:rsidRPr="00DA7625" w:rsidRDefault="00BD5485">
            <w:pPr>
              <w:rPr>
                <w:rFonts w:ascii="Times New Roman" w:hAnsi="Times New Roman"/>
                <w:b/>
                <w:bCs/>
                <w:sz w:val="24"/>
                <w:u w:val="single"/>
              </w:rPr>
            </w:pPr>
            <w:r w:rsidRPr="00DA7625">
              <w:rPr>
                <w:rFonts w:ascii="Times New Roman" w:hAnsi="Times New Roman"/>
                <w:b/>
                <w:bCs/>
                <w:sz w:val="24"/>
                <w:u w:val="single"/>
              </w:rPr>
              <w:t>Lényeges hitelkockázati kitettségek – banki könyvi értékpapírosítási pozíciók</w:t>
            </w:r>
          </w:p>
          <w:p w14:paraId="2A72AE78" w14:textId="48612639" w:rsidR="001B1411" w:rsidRPr="00DA7625" w:rsidRDefault="00C44421">
            <w:pPr>
              <w:rPr>
                <w:rFonts w:ascii="Times New Roman" w:hAnsi="Times New Roman"/>
                <w:sz w:val="24"/>
              </w:rPr>
            </w:pPr>
            <w:r w:rsidRPr="00DA7625">
              <w:rPr>
                <w:rFonts w:ascii="Times New Roman" w:hAnsi="Times New Roman"/>
                <w:sz w:val="24"/>
              </w:rPr>
              <w:t>A CRD 140. cikke (4) bekezdése c) pontjában említett lényeges hitelkockázati kitettségekre vonatkozó, a CRR 248. cikkének megfelelően kiszámított kitettségérték.</w:t>
            </w:r>
          </w:p>
        </w:tc>
      </w:tr>
      <w:tr w:rsidR="001B1411" w:rsidRPr="00DA7625" w14:paraId="1A186CC1" w14:textId="77777777" w:rsidTr="00672D2A">
        <w:tc>
          <w:tcPr>
            <w:tcW w:w="1697" w:type="dxa"/>
          </w:tcPr>
          <w:p w14:paraId="588C5D36" w14:textId="77777777" w:rsidR="001B1411" w:rsidRPr="00DA7625" w:rsidRDefault="00BD5485">
            <w:pPr>
              <w:rPr>
                <w:rFonts w:ascii="Times New Roman" w:hAnsi="Times New Roman"/>
                <w:sz w:val="24"/>
              </w:rPr>
            </w:pPr>
            <w:r w:rsidRPr="00DA7625">
              <w:rPr>
                <w:rFonts w:ascii="Times New Roman" w:hAnsi="Times New Roman"/>
                <w:sz w:val="24"/>
              </w:rPr>
              <w:t>070–110</w:t>
            </w:r>
          </w:p>
        </w:tc>
        <w:tc>
          <w:tcPr>
            <w:tcW w:w="8131" w:type="dxa"/>
          </w:tcPr>
          <w:p w14:paraId="1BE0CCAB" w14:textId="77777777" w:rsidR="001B1411" w:rsidRPr="00DA7625" w:rsidRDefault="00BD5485">
            <w:pPr>
              <w:rPr>
                <w:rFonts w:ascii="Times New Roman" w:hAnsi="Times New Roman"/>
                <w:b/>
                <w:bCs/>
                <w:sz w:val="24"/>
                <w:u w:val="single"/>
              </w:rPr>
            </w:pPr>
            <w:r w:rsidRPr="00DA7625">
              <w:rPr>
                <w:rFonts w:ascii="Times New Roman" w:hAnsi="Times New Roman"/>
                <w:b/>
                <w:bCs/>
                <w:sz w:val="24"/>
                <w:u w:val="single"/>
              </w:rPr>
              <w:t>Szavatolótőke-követelmények és súlyok</w:t>
            </w:r>
          </w:p>
        </w:tc>
      </w:tr>
      <w:tr w:rsidR="001B1411" w:rsidRPr="00DA7625" w14:paraId="5EEE0196" w14:textId="77777777" w:rsidTr="00672D2A">
        <w:tc>
          <w:tcPr>
            <w:tcW w:w="1697" w:type="dxa"/>
          </w:tcPr>
          <w:p w14:paraId="3610D72B" w14:textId="77777777" w:rsidR="001B1411" w:rsidRPr="00DA7625" w:rsidRDefault="00BD5485">
            <w:pPr>
              <w:rPr>
                <w:rFonts w:ascii="Times New Roman" w:hAnsi="Times New Roman"/>
                <w:sz w:val="24"/>
              </w:rPr>
            </w:pPr>
            <w:r w:rsidRPr="00DA7625">
              <w:rPr>
                <w:rFonts w:ascii="Times New Roman" w:hAnsi="Times New Roman"/>
                <w:sz w:val="24"/>
              </w:rPr>
              <w:t>070</w:t>
            </w:r>
          </w:p>
        </w:tc>
        <w:tc>
          <w:tcPr>
            <w:tcW w:w="8131" w:type="dxa"/>
          </w:tcPr>
          <w:p w14:paraId="3F1B6928" w14:textId="77777777" w:rsidR="001B1411" w:rsidRPr="00DA7625" w:rsidRDefault="00BD5485">
            <w:pPr>
              <w:rPr>
                <w:rFonts w:ascii="Times New Roman" w:hAnsi="Times New Roman"/>
                <w:b/>
                <w:bCs/>
                <w:sz w:val="24"/>
                <w:u w:val="single"/>
              </w:rPr>
            </w:pPr>
            <w:r w:rsidRPr="00DA7625">
              <w:rPr>
                <w:rFonts w:ascii="Times New Roman" w:hAnsi="Times New Roman"/>
                <w:b/>
                <w:bCs/>
                <w:sz w:val="24"/>
                <w:u w:val="single"/>
              </w:rPr>
              <w:t>Az anticiklikus tőkepufferre vonatkozó teljes szavatolótőke-követelmény</w:t>
            </w:r>
          </w:p>
          <w:p w14:paraId="199E09E3" w14:textId="77777777" w:rsidR="001B1411" w:rsidRPr="00DA7625" w:rsidRDefault="00BD5485">
            <w:pPr>
              <w:rPr>
                <w:rFonts w:ascii="Times New Roman" w:hAnsi="Times New Roman"/>
                <w:b/>
                <w:bCs/>
                <w:sz w:val="24"/>
                <w:u w:val="single"/>
              </w:rPr>
            </w:pPr>
            <w:r w:rsidRPr="00DA7625">
              <w:rPr>
                <w:rFonts w:ascii="Times New Roman" w:hAnsi="Times New Roman"/>
                <w:sz w:val="24"/>
              </w:rPr>
              <w:t>A 080-as, 090-es és 100-as sorok összege.</w:t>
            </w:r>
          </w:p>
        </w:tc>
      </w:tr>
      <w:tr w:rsidR="001B1411" w:rsidRPr="00DA7625" w14:paraId="161C6590" w14:textId="77777777" w:rsidTr="00672D2A">
        <w:tc>
          <w:tcPr>
            <w:tcW w:w="1697" w:type="dxa"/>
          </w:tcPr>
          <w:p w14:paraId="6BBFB334" w14:textId="77777777" w:rsidR="001B1411" w:rsidRPr="00DA7625" w:rsidRDefault="00BD5485">
            <w:pPr>
              <w:rPr>
                <w:rFonts w:ascii="Times New Roman" w:hAnsi="Times New Roman"/>
                <w:sz w:val="24"/>
              </w:rPr>
            </w:pPr>
            <w:r w:rsidRPr="00DA7625">
              <w:rPr>
                <w:rFonts w:ascii="Times New Roman" w:hAnsi="Times New Roman"/>
                <w:sz w:val="24"/>
              </w:rPr>
              <w:t>080</w:t>
            </w:r>
          </w:p>
        </w:tc>
        <w:tc>
          <w:tcPr>
            <w:tcW w:w="8131" w:type="dxa"/>
          </w:tcPr>
          <w:p w14:paraId="344AB852" w14:textId="77777777" w:rsidR="001B1411" w:rsidRPr="00DA7625" w:rsidRDefault="00C211DC">
            <w:pPr>
              <w:rPr>
                <w:rFonts w:ascii="Times New Roman" w:hAnsi="Times New Roman"/>
                <w:b/>
                <w:bCs/>
                <w:sz w:val="24"/>
                <w:u w:val="single"/>
              </w:rPr>
            </w:pPr>
            <w:r w:rsidRPr="00DA7625">
              <w:rPr>
                <w:rFonts w:ascii="Times New Roman" w:hAnsi="Times New Roman"/>
                <w:b/>
                <w:sz w:val="24"/>
                <w:u w:val="single"/>
              </w:rPr>
              <w:t xml:space="preserve">A </w:t>
            </w:r>
            <w:r w:rsidRPr="00DA7625">
              <w:rPr>
                <w:rFonts w:ascii="Times New Roman" w:hAnsi="Times New Roman"/>
                <w:b/>
                <w:bCs/>
                <w:sz w:val="24"/>
                <w:u w:val="single"/>
              </w:rPr>
              <w:t xml:space="preserve">lényeges hitelkockázati kitettségekre vonatkozó szavatolótőke-követelmény – hitelkockázat </w:t>
            </w:r>
          </w:p>
          <w:p w14:paraId="318DE0F4" w14:textId="2C5D9445" w:rsidR="001B1411" w:rsidRPr="00DA7625" w:rsidRDefault="00BD5485">
            <w:pPr>
              <w:autoSpaceDE w:val="0"/>
              <w:autoSpaceDN w:val="0"/>
              <w:adjustRightInd w:val="0"/>
              <w:rPr>
                <w:rFonts w:ascii="Times New Roman" w:hAnsi="Times New Roman"/>
                <w:sz w:val="24"/>
              </w:rPr>
            </w:pPr>
            <w:r w:rsidRPr="00DA7625">
              <w:rPr>
                <w:rFonts w:ascii="Times New Roman" w:hAnsi="Times New Roman"/>
                <w:sz w:val="24"/>
              </w:rPr>
              <w:t>A CRD 140. cikke (4) bekezdése a) pontjában említett lényeges hitelkockázati kitettségekre vonatkozó, a CRR harmadik része II. címe 1–4. és 6. fejezete szerint kiszámított szavatolótőke-követelmények a szóban forgó országban.</w:t>
            </w:r>
          </w:p>
          <w:p w14:paraId="2AFBCF34" w14:textId="77777777" w:rsidR="001B1411" w:rsidRPr="00DA7625" w:rsidRDefault="00BD5485">
            <w:pPr>
              <w:autoSpaceDE w:val="0"/>
              <w:autoSpaceDN w:val="0"/>
              <w:adjustRightInd w:val="0"/>
              <w:rPr>
                <w:rFonts w:ascii="Times New Roman" w:hAnsi="Times New Roman"/>
                <w:sz w:val="24"/>
              </w:rPr>
            </w:pPr>
            <w:r w:rsidRPr="00DA7625">
              <w:rPr>
                <w:rFonts w:ascii="Times New Roman" w:hAnsi="Times New Roman"/>
                <w:sz w:val="24"/>
              </w:rPr>
              <w:t>A banki könyvi értékpapírosítási pozíciókra vonatkozó szavatolótőke-követelményeket ebben a sorban nem kell megadni, hanem a 100-as sorban kell jelenteni.</w:t>
            </w:r>
          </w:p>
          <w:p w14:paraId="1948BA36" w14:textId="1C89B589" w:rsidR="001B1411" w:rsidRPr="00DA7625" w:rsidRDefault="00BD5485">
            <w:pPr>
              <w:rPr>
                <w:rFonts w:ascii="Times New Roman" w:hAnsi="Times New Roman"/>
                <w:b/>
                <w:bCs/>
                <w:sz w:val="24"/>
                <w:u w:val="single"/>
              </w:rPr>
            </w:pPr>
            <w:r w:rsidRPr="00DA7625">
              <w:rPr>
                <w:rFonts w:ascii="Times New Roman" w:hAnsi="Times New Roman"/>
                <w:sz w:val="24"/>
              </w:rPr>
              <w:t>A szavatolótőke-követelmény a CRR harmadik része II. címe 1–4. és 6. fejezete szerint meghatározott kockázattal súlyozott kitettségérték 8 %-a.</w:t>
            </w:r>
          </w:p>
        </w:tc>
      </w:tr>
      <w:tr w:rsidR="001B1411" w:rsidRPr="00DA7625" w14:paraId="7D6F4CA6" w14:textId="77777777" w:rsidTr="00672D2A">
        <w:tc>
          <w:tcPr>
            <w:tcW w:w="1697" w:type="dxa"/>
          </w:tcPr>
          <w:p w14:paraId="5A7104C7" w14:textId="77777777" w:rsidR="001B1411" w:rsidRPr="00DA7625" w:rsidRDefault="00BD5485">
            <w:pPr>
              <w:rPr>
                <w:rFonts w:ascii="Times New Roman" w:hAnsi="Times New Roman"/>
                <w:sz w:val="24"/>
              </w:rPr>
            </w:pPr>
            <w:r w:rsidRPr="00DA7625">
              <w:rPr>
                <w:rFonts w:ascii="Times New Roman" w:hAnsi="Times New Roman"/>
                <w:sz w:val="24"/>
              </w:rPr>
              <w:t>090</w:t>
            </w:r>
          </w:p>
        </w:tc>
        <w:tc>
          <w:tcPr>
            <w:tcW w:w="8131" w:type="dxa"/>
          </w:tcPr>
          <w:p w14:paraId="3CD11A5D" w14:textId="77777777" w:rsidR="001B1411" w:rsidRPr="00DA7625" w:rsidRDefault="00C211DC">
            <w:pPr>
              <w:rPr>
                <w:rFonts w:ascii="Times New Roman" w:hAnsi="Times New Roman"/>
                <w:b/>
                <w:bCs/>
                <w:sz w:val="24"/>
                <w:u w:val="single"/>
              </w:rPr>
            </w:pPr>
            <w:r w:rsidRPr="00DA7625">
              <w:rPr>
                <w:rFonts w:ascii="Times New Roman" w:hAnsi="Times New Roman"/>
                <w:b/>
                <w:sz w:val="24"/>
                <w:u w:val="single"/>
              </w:rPr>
              <w:t>A lényeges hitelkockázati kitettségekre vonatkozó szavatolótőke-követelmény – piaci kockázat</w:t>
            </w:r>
            <w:r w:rsidRPr="00DA7625">
              <w:rPr>
                <w:rFonts w:ascii="Times New Roman" w:hAnsi="Times New Roman"/>
                <w:b/>
                <w:bCs/>
                <w:sz w:val="24"/>
                <w:u w:val="single"/>
              </w:rPr>
              <w:t xml:space="preserve"> </w:t>
            </w:r>
          </w:p>
          <w:p w14:paraId="3CED33FB" w14:textId="4223ED8D" w:rsidR="001B1411" w:rsidRPr="00DA7625" w:rsidRDefault="00BD5485">
            <w:pPr>
              <w:autoSpaceDE w:val="0"/>
              <w:autoSpaceDN w:val="0"/>
              <w:adjustRightInd w:val="0"/>
              <w:rPr>
                <w:rFonts w:ascii="Times New Roman" w:hAnsi="Times New Roman"/>
                <w:sz w:val="24"/>
              </w:rPr>
            </w:pPr>
            <w:r w:rsidRPr="00DA7625">
              <w:rPr>
                <w:rFonts w:ascii="Times New Roman" w:hAnsi="Times New Roman"/>
                <w:sz w:val="24"/>
              </w:rPr>
              <w:t xml:space="preserve">A CRD 140. cikke (4) bekezdése b) pontjában említett lényeges hitelkockázati kitettségekre vonatkozó, az egyedi kockázat esetében a CRR harmadik része IV. címe 2. fejezetének megfelelően kiszámított szavatolótőke-követelmény, vagy a járulékos nemteljesítési és átminősítési kockázat esetében a CRR harmadik része IV. címének 5. fejezete szerint kiszámított szavatolótőke-követelmény a szóban forgó országban. </w:t>
            </w:r>
          </w:p>
          <w:p w14:paraId="72F007FC" w14:textId="5A825C47" w:rsidR="001B1411" w:rsidRPr="00DA7625" w:rsidRDefault="00BD5485">
            <w:pPr>
              <w:autoSpaceDE w:val="0"/>
              <w:autoSpaceDN w:val="0"/>
              <w:adjustRightInd w:val="0"/>
              <w:rPr>
                <w:rFonts w:ascii="Times New Roman" w:hAnsi="Times New Roman"/>
                <w:b/>
                <w:bCs/>
                <w:sz w:val="24"/>
                <w:u w:val="single"/>
              </w:rPr>
            </w:pPr>
            <w:r w:rsidRPr="00DA7625">
              <w:rPr>
                <w:rFonts w:ascii="Times New Roman" w:hAnsi="Times New Roman"/>
                <w:sz w:val="24"/>
              </w:rPr>
              <w:t xml:space="preserve">A lényeges hitelkockázati kitettségekre vonatkozó szavatolótőke-követelmények a piaci kockázati szabályok értelmében többek között magukban foglalják az értékpapírosítási pozíciókra vonatkozó, a CRR harmadik része IV. címe 2. fejezete szerint kiszámított szavatolótőke-követelményeket, továbbá a kollektív befektetési </w:t>
            </w:r>
            <w:r w:rsidRPr="00DA7625">
              <w:rPr>
                <w:rFonts w:ascii="Times New Roman" w:hAnsi="Times New Roman"/>
                <w:sz w:val="24"/>
              </w:rPr>
              <w:lastRenderedPageBreak/>
              <w:t>formákkal szembeni kitettségekre vonatkozó, a CRR 348. cikkének megfelelően meghatározott szavatolótőke-követelményeket.</w:t>
            </w:r>
          </w:p>
        </w:tc>
      </w:tr>
      <w:tr w:rsidR="001B1411" w:rsidRPr="00DA7625" w14:paraId="208072B1" w14:textId="77777777" w:rsidTr="00672D2A">
        <w:tc>
          <w:tcPr>
            <w:tcW w:w="1697" w:type="dxa"/>
          </w:tcPr>
          <w:p w14:paraId="31DC711E" w14:textId="77777777" w:rsidR="001B1411" w:rsidRPr="00DA7625" w:rsidRDefault="00BD5485">
            <w:pPr>
              <w:rPr>
                <w:rFonts w:ascii="Times New Roman" w:hAnsi="Times New Roman"/>
                <w:sz w:val="24"/>
              </w:rPr>
            </w:pPr>
            <w:r w:rsidRPr="00DA7625">
              <w:rPr>
                <w:rFonts w:ascii="Times New Roman" w:hAnsi="Times New Roman"/>
                <w:sz w:val="24"/>
              </w:rPr>
              <w:lastRenderedPageBreak/>
              <w:t>100</w:t>
            </w:r>
          </w:p>
        </w:tc>
        <w:tc>
          <w:tcPr>
            <w:tcW w:w="8131" w:type="dxa"/>
          </w:tcPr>
          <w:p w14:paraId="70EC6CA1" w14:textId="77777777" w:rsidR="001B1411" w:rsidRPr="00DA7625" w:rsidRDefault="00C211DC">
            <w:pPr>
              <w:rPr>
                <w:rFonts w:ascii="Times New Roman" w:hAnsi="Times New Roman"/>
                <w:b/>
                <w:bCs/>
                <w:sz w:val="24"/>
                <w:u w:val="single"/>
              </w:rPr>
            </w:pPr>
            <w:r w:rsidRPr="00DA7625">
              <w:rPr>
                <w:rFonts w:ascii="Times New Roman" w:hAnsi="Times New Roman"/>
                <w:b/>
                <w:sz w:val="24"/>
                <w:u w:val="single"/>
              </w:rPr>
              <w:t xml:space="preserve">A </w:t>
            </w:r>
            <w:r w:rsidRPr="00DA7625">
              <w:rPr>
                <w:rFonts w:ascii="Times New Roman" w:hAnsi="Times New Roman"/>
                <w:b/>
                <w:bCs/>
                <w:sz w:val="24"/>
                <w:u w:val="single"/>
              </w:rPr>
              <w:t>lényeges hitelkockázati kitettségekre</w:t>
            </w:r>
            <w:r w:rsidRPr="00DA7625">
              <w:rPr>
                <w:rFonts w:ascii="Times New Roman" w:hAnsi="Times New Roman"/>
                <w:b/>
                <w:sz w:val="24"/>
                <w:u w:val="single"/>
              </w:rPr>
              <w:t xml:space="preserve"> vonatkozó szavatolótőke-követelmény – banki könyvi értékpapírosítási pozíciók</w:t>
            </w:r>
          </w:p>
          <w:p w14:paraId="3910496F" w14:textId="3BCA276A" w:rsidR="001B1411" w:rsidRPr="00DA7625" w:rsidRDefault="00BD5485">
            <w:pPr>
              <w:autoSpaceDE w:val="0"/>
              <w:autoSpaceDN w:val="0"/>
              <w:adjustRightInd w:val="0"/>
              <w:rPr>
                <w:rFonts w:ascii="Times New Roman" w:hAnsi="Times New Roman"/>
                <w:sz w:val="24"/>
              </w:rPr>
            </w:pPr>
            <w:r w:rsidRPr="00DA7625">
              <w:rPr>
                <w:rFonts w:ascii="Times New Roman" w:hAnsi="Times New Roman"/>
                <w:sz w:val="24"/>
              </w:rPr>
              <w:t>A CRD 140. cikke (4) bekezdése c) pontjában említett lényeges hitelkockázati kitettségekre vonatkozó, a CRR harmadik része II. címe 5. fejezete szerint kiszámított szavatolótőke-követelmények a szóban forgó országban.</w:t>
            </w:r>
          </w:p>
          <w:p w14:paraId="40DE055C" w14:textId="22D6AB04" w:rsidR="001B1411" w:rsidRPr="00DA7625" w:rsidRDefault="00BD5485">
            <w:pPr>
              <w:rPr>
                <w:rFonts w:ascii="Times New Roman" w:hAnsi="Times New Roman"/>
                <w:b/>
                <w:bCs/>
                <w:sz w:val="24"/>
                <w:u w:val="single"/>
              </w:rPr>
            </w:pPr>
            <w:r w:rsidRPr="00DA7625">
              <w:rPr>
                <w:rFonts w:ascii="Times New Roman" w:hAnsi="Times New Roman"/>
                <w:sz w:val="24"/>
              </w:rPr>
              <w:t>A szavatolótőke-követelmény a CRR harmadik része II. címének 5. fejezete szerint kiszámított kockázattal súlyozott kitettségérték 8 %-a.</w:t>
            </w:r>
          </w:p>
        </w:tc>
      </w:tr>
      <w:tr w:rsidR="001B1411" w:rsidRPr="00DA7625" w14:paraId="5C913484" w14:textId="77777777" w:rsidTr="00672D2A">
        <w:tc>
          <w:tcPr>
            <w:tcW w:w="1697" w:type="dxa"/>
          </w:tcPr>
          <w:p w14:paraId="7ABCA2B9" w14:textId="77777777" w:rsidR="001B1411" w:rsidRPr="00DA7625" w:rsidRDefault="00BD5485">
            <w:pPr>
              <w:rPr>
                <w:rFonts w:ascii="Times New Roman" w:hAnsi="Times New Roman"/>
                <w:sz w:val="24"/>
              </w:rPr>
            </w:pPr>
            <w:r w:rsidRPr="00DA7625">
              <w:rPr>
                <w:rFonts w:ascii="Times New Roman" w:hAnsi="Times New Roman"/>
                <w:sz w:val="24"/>
              </w:rPr>
              <w:t>110</w:t>
            </w:r>
          </w:p>
        </w:tc>
        <w:tc>
          <w:tcPr>
            <w:tcW w:w="8131" w:type="dxa"/>
          </w:tcPr>
          <w:p w14:paraId="31BB9CC7" w14:textId="77777777" w:rsidR="001B1411" w:rsidRPr="00DA7625" w:rsidRDefault="00966663">
            <w:pPr>
              <w:rPr>
                <w:rFonts w:ascii="Times New Roman" w:hAnsi="Times New Roman"/>
                <w:b/>
                <w:bCs/>
                <w:sz w:val="24"/>
                <w:u w:val="single"/>
              </w:rPr>
            </w:pPr>
            <w:r w:rsidRPr="00DA7625">
              <w:rPr>
                <w:rFonts w:ascii="Times New Roman" w:hAnsi="Times New Roman"/>
                <w:b/>
                <w:bCs/>
                <w:sz w:val="24"/>
                <w:u w:val="single"/>
              </w:rPr>
              <w:t>Szavatolótőke-követelmények súlyai</w:t>
            </w:r>
          </w:p>
          <w:p w14:paraId="057A44A8" w14:textId="206B6F27" w:rsidR="001B1411" w:rsidRPr="00DA7625" w:rsidRDefault="00966663">
            <w:pPr>
              <w:rPr>
                <w:rFonts w:ascii="Times New Roman" w:hAnsi="Times New Roman"/>
                <w:sz w:val="24"/>
              </w:rPr>
            </w:pPr>
            <w:r w:rsidRPr="00DA7625">
              <w:rPr>
                <w:rFonts w:ascii="Times New Roman" w:hAnsi="Times New Roman"/>
                <w:sz w:val="24"/>
              </w:rPr>
              <w:t>Az egyes országokban az anticiklikustőkepuffer-rátára alkalmazott súly a következőképpen meghatározott szavatolótőke-követelmény arányában kerül kiszámításra:</w:t>
            </w:r>
          </w:p>
          <w:p w14:paraId="3EA883A6" w14:textId="5493F592" w:rsidR="001B1411" w:rsidRPr="00DA7625" w:rsidRDefault="00966663">
            <w:pPr>
              <w:rPr>
                <w:rFonts w:ascii="Times New Roman" w:hAnsi="Times New Roman"/>
                <w:sz w:val="24"/>
              </w:rPr>
            </w:pPr>
            <w:r w:rsidRPr="00DA7625">
              <w:rPr>
                <w:rFonts w:ascii="Times New Roman" w:hAnsi="Times New Roman"/>
                <w:sz w:val="24"/>
              </w:rPr>
              <w:t>1.</w:t>
            </w:r>
            <w:r w:rsidRPr="00DA7625">
              <w:rPr>
                <w:rFonts w:ascii="Times New Roman" w:hAnsi="Times New Roman"/>
                <w:sz w:val="24"/>
              </w:rPr>
              <w:tab/>
              <w:t xml:space="preserve">Számláló: A szóban forgó országban a lényeges hitelkockázati kitettségekhez kapcsolódó teljes szavatolótőke-követelmény [r070; c010; országadatlap], </w:t>
            </w:r>
          </w:p>
          <w:p w14:paraId="61CF4DFF" w14:textId="0F93BFF9" w:rsidR="001B1411" w:rsidRPr="00DA7625" w:rsidRDefault="00966663">
            <w:pPr>
              <w:rPr>
                <w:rFonts w:ascii="Times New Roman" w:hAnsi="Times New Roman"/>
                <w:b/>
                <w:bCs/>
                <w:sz w:val="24"/>
                <w:u w:val="single"/>
              </w:rPr>
            </w:pPr>
            <w:r w:rsidRPr="00DA7625">
              <w:rPr>
                <w:rFonts w:ascii="Times New Roman" w:hAnsi="Times New Roman"/>
                <w:sz w:val="24"/>
              </w:rPr>
              <w:t>2.</w:t>
            </w:r>
            <w:r w:rsidRPr="00DA7625">
              <w:rPr>
                <w:rFonts w:ascii="Times New Roman" w:hAnsi="Times New Roman"/>
                <w:sz w:val="24"/>
              </w:rPr>
              <w:tab/>
              <w:t>Nevező: A CRD 140. cikkének (4) bekezdésében említett anticiklikus puffer kiszámításához releváns valamennyi hitelkockázati kitettséghez kapcsolódó teljes szavatolótőke-követelmény [r070; c010; Összesen].</w:t>
            </w:r>
          </w:p>
          <w:p w14:paraId="68F00F8B" w14:textId="77777777" w:rsidR="001B1411" w:rsidRPr="00DA7625" w:rsidRDefault="003B00F4">
            <w:pPr>
              <w:rPr>
                <w:rFonts w:ascii="Times New Roman" w:hAnsi="Times New Roman"/>
                <w:b/>
                <w:bCs/>
                <w:sz w:val="24"/>
                <w:u w:val="single"/>
              </w:rPr>
            </w:pPr>
            <w:r w:rsidRPr="00DA7625">
              <w:rPr>
                <w:rFonts w:ascii="Times New Roman" w:hAnsi="Times New Roman"/>
                <w:sz w:val="24"/>
              </w:rPr>
              <w:t>A szavatolótőke-követelményekhez tartozó súlyokra vonatkozó adatokat nem kell megadni az összes országra vonatkozó összesített adatban.</w:t>
            </w:r>
          </w:p>
        </w:tc>
      </w:tr>
      <w:tr w:rsidR="001B1411" w:rsidRPr="00DA7625" w14:paraId="55404630" w14:textId="77777777" w:rsidTr="00672D2A">
        <w:tc>
          <w:tcPr>
            <w:tcW w:w="1697" w:type="dxa"/>
          </w:tcPr>
          <w:p w14:paraId="499890CE" w14:textId="77777777" w:rsidR="001B1411" w:rsidRPr="00DA7625" w:rsidRDefault="00966663">
            <w:pPr>
              <w:rPr>
                <w:rFonts w:ascii="Times New Roman" w:hAnsi="Times New Roman"/>
                <w:sz w:val="24"/>
              </w:rPr>
            </w:pPr>
            <w:r w:rsidRPr="00DA7625">
              <w:rPr>
                <w:rFonts w:ascii="Times New Roman" w:hAnsi="Times New Roman"/>
                <w:sz w:val="24"/>
              </w:rPr>
              <w:t>120–140</w:t>
            </w:r>
          </w:p>
        </w:tc>
        <w:tc>
          <w:tcPr>
            <w:tcW w:w="8131" w:type="dxa"/>
          </w:tcPr>
          <w:p w14:paraId="7CF81B67" w14:textId="77777777" w:rsidR="001B1411" w:rsidRPr="00DA7625" w:rsidRDefault="00966663">
            <w:pPr>
              <w:rPr>
                <w:rFonts w:ascii="Times New Roman" w:hAnsi="Times New Roman"/>
                <w:b/>
                <w:bCs/>
                <w:sz w:val="24"/>
                <w:u w:val="single"/>
              </w:rPr>
            </w:pPr>
            <w:r w:rsidRPr="00DA7625">
              <w:rPr>
                <w:rFonts w:ascii="Times New Roman" w:hAnsi="Times New Roman"/>
                <w:b/>
                <w:bCs/>
                <w:sz w:val="24"/>
                <w:u w:val="single"/>
              </w:rPr>
              <w:t>Anticiklikustőkepuffer-ráták</w:t>
            </w:r>
          </w:p>
        </w:tc>
      </w:tr>
      <w:tr w:rsidR="001B1411" w:rsidRPr="00DA7625" w14:paraId="0F379AD6" w14:textId="77777777" w:rsidTr="00672D2A">
        <w:tc>
          <w:tcPr>
            <w:tcW w:w="1697" w:type="dxa"/>
          </w:tcPr>
          <w:p w14:paraId="1DD17E60" w14:textId="77777777" w:rsidR="001B1411" w:rsidRPr="00DA7625" w:rsidRDefault="00966663">
            <w:pPr>
              <w:rPr>
                <w:rFonts w:ascii="Times New Roman" w:hAnsi="Times New Roman"/>
                <w:sz w:val="24"/>
              </w:rPr>
            </w:pPr>
            <w:r w:rsidRPr="00DA7625">
              <w:rPr>
                <w:rFonts w:ascii="Times New Roman" w:hAnsi="Times New Roman"/>
                <w:sz w:val="24"/>
              </w:rPr>
              <w:t>120</w:t>
            </w:r>
          </w:p>
        </w:tc>
        <w:tc>
          <w:tcPr>
            <w:tcW w:w="8131" w:type="dxa"/>
          </w:tcPr>
          <w:p w14:paraId="08E9E1AD" w14:textId="77777777" w:rsidR="001B1411" w:rsidRPr="00DA7625" w:rsidRDefault="00966663">
            <w:pPr>
              <w:rPr>
                <w:rFonts w:ascii="Times New Roman" w:hAnsi="Times New Roman"/>
                <w:b/>
                <w:bCs/>
                <w:sz w:val="24"/>
                <w:u w:val="single"/>
              </w:rPr>
            </w:pPr>
            <w:r w:rsidRPr="00DA7625">
              <w:rPr>
                <w:rFonts w:ascii="Times New Roman" w:hAnsi="Times New Roman"/>
                <w:b/>
                <w:bCs/>
                <w:sz w:val="24"/>
                <w:u w:val="single"/>
              </w:rPr>
              <w:t>A kijelölt hatóság által meghatározott anticiklikustőkepuffer-ráta</w:t>
            </w:r>
          </w:p>
          <w:p w14:paraId="0F835130" w14:textId="64030E69" w:rsidR="001B1411" w:rsidRPr="00DA7625" w:rsidRDefault="00966663">
            <w:pPr>
              <w:autoSpaceDE w:val="0"/>
              <w:autoSpaceDN w:val="0"/>
              <w:adjustRightInd w:val="0"/>
              <w:rPr>
                <w:rFonts w:ascii="Times New Roman" w:hAnsi="Times New Roman"/>
                <w:sz w:val="24"/>
              </w:rPr>
            </w:pPr>
            <w:r w:rsidRPr="00DA7625">
              <w:rPr>
                <w:rFonts w:ascii="Times New Roman" w:hAnsi="Times New Roman"/>
                <w:sz w:val="24"/>
              </w:rPr>
              <w:t>A szóban forgó országra vonatkozóan az adott ország kijelölt hatósága által megállapított anticiklikustőkepuffer-ráta a CRD 136., 137., 139. cikkének, 140. cikke (2) bekezdése a) és c) pontjának, valamint 140. cikke (3) bekezdése b) pontjának megfelelően.</w:t>
            </w:r>
          </w:p>
          <w:p w14:paraId="3BCE5FC7" w14:textId="77777777" w:rsidR="001B1411" w:rsidRPr="00DA7625" w:rsidRDefault="00966663">
            <w:pPr>
              <w:autoSpaceDE w:val="0"/>
              <w:autoSpaceDN w:val="0"/>
              <w:adjustRightInd w:val="0"/>
              <w:rPr>
                <w:rFonts w:ascii="Times New Roman" w:hAnsi="Times New Roman"/>
                <w:sz w:val="24"/>
              </w:rPr>
            </w:pPr>
            <w:r w:rsidRPr="00DA7625">
              <w:rPr>
                <w:rFonts w:ascii="Times New Roman" w:hAnsi="Times New Roman"/>
                <w:sz w:val="24"/>
              </w:rPr>
              <w:t>Ezt a sort üresen kell hagyni, amennyiben a kijelölt hatóság nem állapított meg anticiklikustőkepuffer-rátát a szóban forgó országra vonatkozóan.</w:t>
            </w:r>
          </w:p>
          <w:p w14:paraId="773D17C0" w14:textId="644CB054" w:rsidR="001B1411" w:rsidRPr="00DA7625" w:rsidRDefault="00966663">
            <w:pPr>
              <w:autoSpaceDE w:val="0"/>
              <w:autoSpaceDN w:val="0"/>
              <w:adjustRightInd w:val="0"/>
              <w:rPr>
                <w:rFonts w:ascii="Times New Roman" w:hAnsi="Times New Roman"/>
                <w:sz w:val="24"/>
              </w:rPr>
            </w:pPr>
            <w:r w:rsidRPr="00DA7625">
              <w:rPr>
                <w:rFonts w:ascii="Times New Roman" w:hAnsi="Times New Roman"/>
                <w:sz w:val="24"/>
              </w:rPr>
              <w:t>A kijelölt hatóság által megállapított, de az adatszolgáltatás vonatkozási időpontjában a szóban forgó országban még nem alkalmazandó anticiklikustőkepuffer-rátát nem kell jelenteni.</w:t>
            </w:r>
          </w:p>
          <w:p w14:paraId="7DC5255F" w14:textId="77777777" w:rsidR="001B1411" w:rsidRPr="00DA7625" w:rsidRDefault="00966663">
            <w:pPr>
              <w:rPr>
                <w:rFonts w:ascii="Times New Roman" w:hAnsi="Times New Roman"/>
                <w:b/>
                <w:bCs/>
                <w:sz w:val="24"/>
                <w:u w:val="single"/>
              </w:rPr>
            </w:pPr>
            <w:r w:rsidRPr="00DA7625">
              <w:rPr>
                <w:rFonts w:ascii="Times New Roman" w:hAnsi="Times New Roman"/>
                <w:sz w:val="24"/>
              </w:rPr>
              <w:t xml:space="preserve">A kijelölt hatóság által megállapított anticiklikustőkepuffer-rátára vonatkozó adatot nem kell jelenteni az összes országra vonatkozó összesített adatban. </w:t>
            </w:r>
          </w:p>
        </w:tc>
      </w:tr>
      <w:tr w:rsidR="001B1411" w:rsidRPr="00DA7625" w14:paraId="22D3265F" w14:textId="77777777" w:rsidTr="00672D2A">
        <w:tc>
          <w:tcPr>
            <w:tcW w:w="1697" w:type="dxa"/>
          </w:tcPr>
          <w:p w14:paraId="633BB7D1" w14:textId="77777777" w:rsidR="001B1411" w:rsidRPr="00DA7625" w:rsidRDefault="00966663">
            <w:pPr>
              <w:rPr>
                <w:rFonts w:ascii="Times New Roman" w:hAnsi="Times New Roman"/>
                <w:sz w:val="24"/>
              </w:rPr>
            </w:pPr>
            <w:r w:rsidRPr="00DA7625">
              <w:rPr>
                <w:rFonts w:ascii="Times New Roman" w:hAnsi="Times New Roman"/>
                <w:sz w:val="24"/>
              </w:rPr>
              <w:t>130</w:t>
            </w:r>
          </w:p>
        </w:tc>
        <w:tc>
          <w:tcPr>
            <w:tcW w:w="8131" w:type="dxa"/>
          </w:tcPr>
          <w:p w14:paraId="0507AFFC" w14:textId="77777777" w:rsidR="001B1411" w:rsidRPr="00DA7625" w:rsidRDefault="00966663">
            <w:pPr>
              <w:rPr>
                <w:rFonts w:ascii="Times New Roman" w:hAnsi="Times New Roman"/>
                <w:b/>
                <w:bCs/>
                <w:sz w:val="24"/>
                <w:u w:val="single"/>
              </w:rPr>
            </w:pPr>
            <w:r w:rsidRPr="00DA7625">
              <w:rPr>
                <w:rFonts w:ascii="Times New Roman" w:hAnsi="Times New Roman"/>
                <w:b/>
                <w:bCs/>
                <w:sz w:val="24"/>
                <w:u w:val="single"/>
              </w:rPr>
              <w:t>Az intézmény helye szerinti országban alkalmazandó anticiklikustőkepuffer-ráta</w:t>
            </w:r>
          </w:p>
          <w:p w14:paraId="12F70EF9" w14:textId="7A12C6B4" w:rsidR="001B1411" w:rsidRPr="00DA7625" w:rsidRDefault="00966663">
            <w:pPr>
              <w:autoSpaceDE w:val="0"/>
              <w:autoSpaceDN w:val="0"/>
              <w:adjustRightInd w:val="0"/>
              <w:rPr>
                <w:rFonts w:ascii="Times New Roman" w:hAnsi="Times New Roman"/>
                <w:sz w:val="24"/>
              </w:rPr>
            </w:pPr>
            <w:r w:rsidRPr="00DA7625">
              <w:rPr>
                <w:rFonts w:ascii="Times New Roman" w:hAnsi="Times New Roman"/>
                <w:sz w:val="24"/>
              </w:rPr>
              <w:t>A szóban forgó országban alkalmazandó anticiklikustőkepuffer-ráta, amelyet az intézmény székhelye szerinti ország kijelölt hatósága állapított meg a CRD 137., 138., 139. cikkének, 140. cikke (2) bekezdése b pontjának, valamint 140. cikke (3) bekezdése a) pontjának megfelelően. Az adatszolgáltatás vonatkozási időpontjában még nem alkalmazandó anticiklikustőkepuffer-rátákat nem kell jelenteni.</w:t>
            </w:r>
          </w:p>
          <w:p w14:paraId="2B061151" w14:textId="77777777" w:rsidR="001B1411" w:rsidRPr="00DA7625" w:rsidRDefault="00966663">
            <w:pPr>
              <w:rPr>
                <w:rFonts w:ascii="Times New Roman" w:hAnsi="Times New Roman"/>
                <w:b/>
                <w:bCs/>
                <w:sz w:val="24"/>
                <w:u w:val="single"/>
              </w:rPr>
            </w:pPr>
            <w:r w:rsidRPr="00DA7625">
              <w:rPr>
                <w:rFonts w:ascii="Times New Roman" w:hAnsi="Times New Roman"/>
                <w:sz w:val="24"/>
              </w:rPr>
              <w:lastRenderedPageBreak/>
              <w:t>Az intézmény országában alkalmazandó anticiklikustőkepuffer-rátára vonatkozó adatot nem kell jelenteni az összes országra vonatkozó összesített adatban.</w:t>
            </w:r>
          </w:p>
        </w:tc>
      </w:tr>
      <w:tr w:rsidR="001B1411" w:rsidRPr="00DA7625" w14:paraId="262440CD" w14:textId="77777777" w:rsidTr="00672D2A">
        <w:tc>
          <w:tcPr>
            <w:tcW w:w="1697" w:type="dxa"/>
          </w:tcPr>
          <w:p w14:paraId="1973CB1A" w14:textId="77777777" w:rsidR="001B1411" w:rsidRPr="00DA7625" w:rsidRDefault="00966663">
            <w:pPr>
              <w:rPr>
                <w:rFonts w:ascii="Times New Roman" w:hAnsi="Times New Roman"/>
                <w:sz w:val="24"/>
              </w:rPr>
            </w:pPr>
            <w:r w:rsidRPr="00DA7625">
              <w:rPr>
                <w:rFonts w:ascii="Times New Roman" w:hAnsi="Times New Roman"/>
                <w:sz w:val="24"/>
              </w:rPr>
              <w:lastRenderedPageBreak/>
              <w:t>140</w:t>
            </w:r>
          </w:p>
        </w:tc>
        <w:tc>
          <w:tcPr>
            <w:tcW w:w="8131" w:type="dxa"/>
          </w:tcPr>
          <w:p w14:paraId="0A436DF4" w14:textId="77777777" w:rsidR="001B1411" w:rsidRPr="00DA7625" w:rsidRDefault="00966663">
            <w:pPr>
              <w:rPr>
                <w:rFonts w:ascii="Times New Roman" w:hAnsi="Times New Roman"/>
                <w:b/>
                <w:bCs/>
                <w:sz w:val="24"/>
                <w:u w:val="single"/>
              </w:rPr>
            </w:pPr>
            <w:r w:rsidRPr="00DA7625">
              <w:rPr>
                <w:rFonts w:ascii="Times New Roman" w:hAnsi="Times New Roman"/>
                <w:b/>
                <w:bCs/>
                <w:sz w:val="24"/>
                <w:u w:val="single"/>
              </w:rPr>
              <w:t xml:space="preserve">Intézményspecifikus anticiklikustőkepuffer-ráta </w:t>
            </w:r>
          </w:p>
          <w:p w14:paraId="57DDE462" w14:textId="3D5DCFC5" w:rsidR="001B1411" w:rsidRPr="00DA7625" w:rsidRDefault="00966663">
            <w:pPr>
              <w:autoSpaceDE w:val="0"/>
              <w:autoSpaceDN w:val="0"/>
              <w:adjustRightInd w:val="0"/>
              <w:rPr>
                <w:rFonts w:ascii="Times New Roman" w:hAnsi="Times New Roman"/>
                <w:sz w:val="24"/>
              </w:rPr>
            </w:pPr>
            <w:r w:rsidRPr="00DA7625">
              <w:rPr>
                <w:rFonts w:ascii="Times New Roman" w:hAnsi="Times New Roman"/>
                <w:sz w:val="24"/>
              </w:rPr>
              <w:t xml:space="preserve">A CRD 140. cikke (1) bekezdésének megfelelően kiszámított intézményspecifikus anticiklikustőkepuffer-ráta. </w:t>
            </w:r>
          </w:p>
          <w:p w14:paraId="768F6D06" w14:textId="39E530B3" w:rsidR="001B1411" w:rsidRPr="00DA7625" w:rsidRDefault="00966663">
            <w:pPr>
              <w:autoSpaceDE w:val="0"/>
              <w:autoSpaceDN w:val="0"/>
              <w:adjustRightInd w:val="0"/>
              <w:rPr>
                <w:rFonts w:ascii="Times New Roman" w:hAnsi="Times New Roman"/>
                <w:sz w:val="24"/>
              </w:rPr>
            </w:pPr>
            <w:r w:rsidRPr="00DA7625">
              <w:rPr>
                <w:rFonts w:ascii="Times New Roman" w:hAnsi="Times New Roman"/>
                <w:sz w:val="24"/>
              </w:rPr>
              <w:t>Az intézményspecifikus anticiklikustőkepuffer-ráta az azon joghatóságokban alkalmazandó anticiklikustőkepuffer-ráták súlyozott átlaga, amelyekben az intézmény lényeges hitelkockázati kitettségei elhelyezkednek vagy amelyek a 140. cikk céljából alkalmazottak a CRD 139. cikkének (2) vagy (3) bekezdése értelmében. A releváns anticiklikustőkepuffer-rátát az [r120; c020; országadatlap] mezőben vagy adott esetben az [r130; c020; országadatlap] mezőben kell megadni.</w:t>
            </w:r>
          </w:p>
          <w:p w14:paraId="77566ED2" w14:textId="56FDB140" w:rsidR="001B1411" w:rsidRPr="00DA7625" w:rsidRDefault="00966663">
            <w:pPr>
              <w:autoSpaceDE w:val="0"/>
              <w:autoSpaceDN w:val="0"/>
              <w:adjustRightInd w:val="0"/>
              <w:rPr>
                <w:rFonts w:ascii="Times New Roman" w:hAnsi="Times New Roman"/>
                <w:b/>
                <w:strike/>
                <w:sz w:val="24"/>
              </w:rPr>
            </w:pPr>
            <w:r w:rsidRPr="00DA7625">
              <w:rPr>
                <w:rFonts w:ascii="Times New Roman" w:hAnsi="Times New Roman"/>
                <w:sz w:val="24"/>
              </w:rPr>
              <w:t xml:space="preserve">Az anticiklikustőkepuffer-rátára vonatkozóan az egyes országokban alkalmazandó súly a szavatolótőke-követelménynek a teljes szavatolótőke-követelményhez viszonyított aránya, és az [r110; c020; országadatlap] mezőben kell megadni. </w:t>
            </w:r>
          </w:p>
          <w:p w14:paraId="49E66101" w14:textId="77777777" w:rsidR="001B1411" w:rsidRPr="00DA7625" w:rsidRDefault="00966663">
            <w:pPr>
              <w:rPr>
                <w:rFonts w:ascii="Times New Roman" w:hAnsi="Times New Roman"/>
                <w:b/>
                <w:bCs/>
                <w:sz w:val="24"/>
                <w:u w:val="single"/>
              </w:rPr>
            </w:pPr>
            <w:r w:rsidRPr="00DA7625">
              <w:rPr>
                <w:rFonts w:ascii="Times New Roman" w:hAnsi="Times New Roman"/>
                <w:sz w:val="24"/>
              </w:rPr>
              <w:t>Az intézményspecifikus anticiklikustőkepuffer-rátára vonatkozó adatot csak az összes országra vonatkozó összesített adatban kell jelenteni, az egyes országokra vonatkozóan nem.</w:t>
            </w:r>
          </w:p>
        </w:tc>
      </w:tr>
      <w:tr w:rsidR="001B1411" w:rsidRPr="00DA7625" w14:paraId="64DE1759" w14:textId="77777777" w:rsidTr="00672D2A">
        <w:tc>
          <w:tcPr>
            <w:tcW w:w="1697" w:type="dxa"/>
          </w:tcPr>
          <w:p w14:paraId="57D6BF5B" w14:textId="77777777" w:rsidR="001B1411" w:rsidRPr="00DA7625" w:rsidRDefault="006B1A77">
            <w:pPr>
              <w:rPr>
                <w:rFonts w:ascii="Times New Roman" w:hAnsi="Times New Roman"/>
                <w:sz w:val="24"/>
              </w:rPr>
            </w:pPr>
            <w:r w:rsidRPr="00DA7625">
              <w:rPr>
                <w:rFonts w:ascii="Times New Roman" w:hAnsi="Times New Roman"/>
                <w:sz w:val="24"/>
              </w:rPr>
              <w:t>150–160</w:t>
            </w:r>
          </w:p>
        </w:tc>
        <w:tc>
          <w:tcPr>
            <w:tcW w:w="8131" w:type="dxa"/>
          </w:tcPr>
          <w:p w14:paraId="6477D974" w14:textId="77777777" w:rsidR="001B1411" w:rsidRPr="00DA7625" w:rsidRDefault="006B1A77">
            <w:pPr>
              <w:rPr>
                <w:rFonts w:ascii="Times New Roman" w:hAnsi="Times New Roman"/>
                <w:b/>
                <w:bCs/>
                <w:sz w:val="24"/>
                <w:u w:val="single"/>
              </w:rPr>
            </w:pPr>
            <w:r w:rsidRPr="00DA7625">
              <w:rPr>
                <w:rFonts w:ascii="Times New Roman" w:hAnsi="Times New Roman"/>
                <w:b/>
                <w:bCs/>
                <w:sz w:val="24"/>
                <w:u w:val="single"/>
              </w:rPr>
              <w:t>2 %-os küszöbérték alkalmazása</w:t>
            </w:r>
          </w:p>
        </w:tc>
      </w:tr>
      <w:tr w:rsidR="001B1411" w:rsidRPr="00DA7625" w14:paraId="27996DE3" w14:textId="77777777" w:rsidTr="00672D2A">
        <w:tc>
          <w:tcPr>
            <w:tcW w:w="1697" w:type="dxa"/>
          </w:tcPr>
          <w:p w14:paraId="373293DD" w14:textId="77777777" w:rsidR="001B1411" w:rsidRPr="00DA7625" w:rsidRDefault="00966663">
            <w:pPr>
              <w:rPr>
                <w:rFonts w:ascii="Times New Roman" w:hAnsi="Times New Roman"/>
                <w:sz w:val="24"/>
              </w:rPr>
            </w:pPr>
            <w:r w:rsidRPr="00DA7625">
              <w:rPr>
                <w:rFonts w:ascii="Times New Roman" w:hAnsi="Times New Roman"/>
                <w:sz w:val="24"/>
              </w:rPr>
              <w:t>150</w:t>
            </w:r>
          </w:p>
        </w:tc>
        <w:tc>
          <w:tcPr>
            <w:tcW w:w="8131" w:type="dxa"/>
          </w:tcPr>
          <w:p w14:paraId="2A5F59A8" w14:textId="77777777" w:rsidR="001B1411" w:rsidRPr="00DA7625" w:rsidRDefault="00FC0B81">
            <w:pPr>
              <w:autoSpaceDE w:val="0"/>
              <w:autoSpaceDN w:val="0"/>
              <w:adjustRightInd w:val="0"/>
              <w:rPr>
                <w:rFonts w:ascii="Times New Roman" w:hAnsi="Times New Roman"/>
                <w:sz w:val="24"/>
              </w:rPr>
            </w:pPr>
            <w:r w:rsidRPr="00DA7625">
              <w:rPr>
                <w:rFonts w:ascii="Times New Roman" w:hAnsi="Times New Roman"/>
                <w:b/>
                <w:bCs/>
                <w:sz w:val="24"/>
                <w:u w:val="single"/>
              </w:rPr>
              <w:t>2 %-os küszöbérték alkalmazása az általános hitelkockázati kitettségekre</w:t>
            </w:r>
            <w:r w:rsidRPr="00DA7625">
              <w:rPr>
                <w:rFonts w:ascii="Times New Roman" w:hAnsi="Times New Roman"/>
                <w:sz w:val="24"/>
              </w:rPr>
              <w:t xml:space="preserve"> </w:t>
            </w:r>
          </w:p>
          <w:p w14:paraId="26FF49BD" w14:textId="73A3098E" w:rsidR="001B1411" w:rsidRPr="00DA7625" w:rsidRDefault="006A3A82">
            <w:pPr>
              <w:autoSpaceDE w:val="0"/>
              <w:autoSpaceDN w:val="0"/>
              <w:adjustRightInd w:val="0"/>
              <w:rPr>
                <w:rFonts w:ascii="Times New Roman" w:hAnsi="Times New Roman"/>
                <w:sz w:val="24"/>
              </w:rPr>
            </w:pPr>
            <w:r w:rsidRPr="00DA7625">
              <w:rPr>
                <w:rFonts w:ascii="Times New Roman" w:hAnsi="Times New Roman"/>
                <w:sz w:val="24"/>
              </w:rPr>
              <w:t>Az 1152/2014/EU felhatalmazáson alapuló bizottsági rendelet 2. cikke (5) bekezdése b) pontjának megfelelően azok a külföldi általános hitelkockázati kitettségek, amelyek együttesen nem haladják meg az adott intézmény összesített általános hitelkockázati, kereskedési könyvi és értékpapírosítási kitettségének 2 %-át, hozzárendelhetők az intézmény székhelye szerinti tagállamhoz. Az összesített általános hitelkockázati, kereskedési könyvi és értékpapírosítási kitettségeket az 1152/2014/EU felhatalmazáson alapuló bizottsági rendelet 2. cikke (5) bekezdése a) pontjának és 2. cikke (4) bekezdésének megfelelően lokalizált általános hitelkockázati kitettség kizárásával kell kiszámítani.</w:t>
            </w:r>
          </w:p>
          <w:p w14:paraId="2ABCAAFB" w14:textId="50B28332" w:rsidR="001B1411" w:rsidRPr="00DA7625" w:rsidRDefault="006A3A82">
            <w:pPr>
              <w:autoSpaceDE w:val="0"/>
              <w:autoSpaceDN w:val="0"/>
              <w:adjustRightInd w:val="0"/>
              <w:rPr>
                <w:rFonts w:ascii="Times New Roman" w:hAnsi="Times New Roman"/>
                <w:sz w:val="24"/>
              </w:rPr>
            </w:pPr>
            <w:r w:rsidRPr="00DA7625">
              <w:rPr>
                <w:rFonts w:ascii="Times New Roman" w:hAnsi="Times New Roman"/>
                <w:sz w:val="24"/>
              </w:rPr>
              <w:t>Ha egy intézmény alkalmazza ezt az eltérést, a táblában a székhelye szerinti tagállamnak megfelelő joghatóság és az összes országra vonatkozó összesített adat tekintetében y-t kell megadnia.</w:t>
            </w:r>
          </w:p>
          <w:p w14:paraId="22F8386D" w14:textId="77777777" w:rsidR="001B1411" w:rsidRPr="00DA7625" w:rsidRDefault="006A3A82">
            <w:pPr>
              <w:autoSpaceDE w:val="0"/>
              <w:autoSpaceDN w:val="0"/>
              <w:adjustRightInd w:val="0"/>
              <w:rPr>
                <w:rFonts w:ascii="Times New Roman" w:hAnsi="Times New Roman"/>
                <w:sz w:val="24"/>
              </w:rPr>
            </w:pPr>
            <w:r w:rsidRPr="00DA7625">
              <w:rPr>
                <w:rFonts w:ascii="Times New Roman" w:hAnsi="Times New Roman"/>
                <w:sz w:val="24"/>
              </w:rPr>
              <w:t>Ha egy intézmény nem alkalmazza ezt az eltérést, a megfelelő cellában n-t kell megadnia.</w:t>
            </w:r>
          </w:p>
        </w:tc>
      </w:tr>
      <w:tr w:rsidR="001B1411" w:rsidRPr="00DA7625" w14:paraId="72684D83" w14:textId="77777777" w:rsidTr="00672D2A">
        <w:tc>
          <w:tcPr>
            <w:tcW w:w="1697" w:type="dxa"/>
          </w:tcPr>
          <w:p w14:paraId="44197176" w14:textId="77777777" w:rsidR="001B1411" w:rsidRPr="00DA7625" w:rsidRDefault="00966663">
            <w:pPr>
              <w:rPr>
                <w:rFonts w:ascii="Times New Roman" w:hAnsi="Times New Roman"/>
                <w:sz w:val="24"/>
              </w:rPr>
            </w:pPr>
            <w:r w:rsidRPr="00DA7625">
              <w:rPr>
                <w:rFonts w:ascii="Times New Roman" w:hAnsi="Times New Roman"/>
                <w:sz w:val="24"/>
              </w:rPr>
              <w:t>160</w:t>
            </w:r>
          </w:p>
        </w:tc>
        <w:tc>
          <w:tcPr>
            <w:tcW w:w="8131" w:type="dxa"/>
          </w:tcPr>
          <w:p w14:paraId="1F228719" w14:textId="77777777" w:rsidR="001B1411" w:rsidRPr="00DA7625" w:rsidRDefault="00FC0B81">
            <w:pPr>
              <w:autoSpaceDE w:val="0"/>
              <w:autoSpaceDN w:val="0"/>
              <w:adjustRightInd w:val="0"/>
              <w:rPr>
                <w:rFonts w:ascii="Times New Roman" w:hAnsi="Times New Roman"/>
                <w:sz w:val="24"/>
              </w:rPr>
            </w:pPr>
            <w:r w:rsidRPr="00DA7625">
              <w:rPr>
                <w:rFonts w:ascii="Times New Roman" w:hAnsi="Times New Roman"/>
                <w:b/>
                <w:bCs/>
                <w:sz w:val="24"/>
                <w:u w:val="single"/>
              </w:rPr>
              <w:t>2 %-os küszöbérték alkalmazása a kereskedési könyvi kitettségekre</w:t>
            </w:r>
          </w:p>
          <w:p w14:paraId="0AA58BA6" w14:textId="32441BA2" w:rsidR="001B1411" w:rsidRPr="00DA7625" w:rsidRDefault="006A3A82">
            <w:pPr>
              <w:autoSpaceDE w:val="0"/>
              <w:autoSpaceDN w:val="0"/>
              <w:adjustRightInd w:val="0"/>
              <w:rPr>
                <w:rFonts w:ascii="Times New Roman" w:hAnsi="Times New Roman"/>
                <w:sz w:val="24"/>
              </w:rPr>
            </w:pPr>
            <w:r w:rsidRPr="00DA7625">
              <w:rPr>
                <w:rFonts w:ascii="Times New Roman" w:hAnsi="Times New Roman"/>
                <w:sz w:val="24"/>
              </w:rPr>
              <w:t>Az 1152/2014/EU felhatalmazáson alapuló bizottsági rendelet 3. cikke (3) bekezdésének megfelelően az intézmények a székhelyük szerinti tagállamhoz rendelhetik a kereskedési könyvi kitettségeket, amennyiben a teljes kereskedési könyvi kitettség nem haladja meg teljes általános hitelkockázati, kereskedési könyvi és értékpapírosítási kitettségük 2 %-át.</w:t>
            </w:r>
          </w:p>
          <w:p w14:paraId="0BEB1050" w14:textId="79E4E652" w:rsidR="001B1411" w:rsidRPr="00DA7625" w:rsidRDefault="006A3A82">
            <w:pPr>
              <w:rPr>
                <w:rFonts w:ascii="Times New Roman" w:hAnsi="Times New Roman"/>
                <w:sz w:val="24"/>
              </w:rPr>
            </w:pPr>
            <w:r w:rsidRPr="00DA7625">
              <w:rPr>
                <w:rFonts w:ascii="Times New Roman" w:hAnsi="Times New Roman"/>
                <w:sz w:val="24"/>
              </w:rPr>
              <w:t>Ha egy intézmény alkalmazza ezt az eltérést, a táblában a székhelye szerinti tagállamnak megfelelő joghatóság és az összes országra vonatkozó összesített adat tekintetében y-t kell megadnia.</w:t>
            </w:r>
          </w:p>
          <w:p w14:paraId="53DD7898" w14:textId="77777777" w:rsidR="001B1411" w:rsidRPr="00DA7625" w:rsidRDefault="006A3A82">
            <w:pPr>
              <w:rPr>
                <w:rFonts w:ascii="Times New Roman" w:hAnsi="Times New Roman"/>
                <w:b/>
                <w:bCs/>
                <w:sz w:val="24"/>
                <w:u w:val="single"/>
              </w:rPr>
            </w:pPr>
            <w:r w:rsidRPr="00DA7625">
              <w:rPr>
                <w:rFonts w:ascii="Times New Roman" w:hAnsi="Times New Roman"/>
                <w:sz w:val="24"/>
              </w:rPr>
              <w:lastRenderedPageBreak/>
              <w:t>Ha egy intézmény nem alkalmazza ezt az eltérést, a megfelelő cellában n-t kell megadnia.</w:t>
            </w:r>
          </w:p>
        </w:tc>
      </w:tr>
    </w:tbl>
    <w:p w14:paraId="267282D1" w14:textId="77777777" w:rsidR="001B1411" w:rsidRPr="00DA7625" w:rsidRDefault="001B1411">
      <w:pPr>
        <w:spacing w:before="0" w:after="0"/>
        <w:jc w:val="left"/>
        <w:rPr>
          <w:rFonts w:ascii="Times New Roman" w:hAnsi="Times New Roman"/>
          <w:bCs/>
          <w:sz w:val="24"/>
        </w:rPr>
      </w:pPr>
    </w:p>
    <w:p w14:paraId="121158E1"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57" w:name="_Toc31018803"/>
      <w:r w:rsidRPr="00DA7625">
        <w:rPr>
          <w:rFonts w:ascii="Times New Roman" w:hAnsi="Times New Roman"/>
          <w:sz w:val="24"/>
          <w:u w:val="none"/>
        </w:rPr>
        <w:t>3.5.</w:t>
      </w:r>
      <w:r w:rsidRPr="00DA7625">
        <w:rPr>
          <w:rFonts w:ascii="Times New Roman" w:hAnsi="Times New Roman"/>
          <w:sz w:val="24"/>
          <w:u w:val="none"/>
        </w:rPr>
        <w:tab/>
      </w:r>
      <w:r w:rsidRPr="00DA7625">
        <w:rPr>
          <w:rFonts w:ascii="Times New Roman" w:hAnsi="Times New Roman"/>
          <w:sz w:val="24"/>
        </w:rPr>
        <w:t>C 10.01 és C 10.02 – A belső minősítésen alapuló módszer szerinti részvényjellegű kitettségek (CR EQU IRB 1 és CR EQU IRB 2)</w:t>
      </w:r>
      <w:bookmarkEnd w:id="57"/>
    </w:p>
    <w:p w14:paraId="3E8B781F"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58" w:name="_Toc31018804"/>
      <w:r w:rsidRPr="00DA7625">
        <w:rPr>
          <w:rFonts w:ascii="Times New Roman" w:hAnsi="Times New Roman"/>
          <w:sz w:val="24"/>
          <w:u w:val="none"/>
        </w:rPr>
        <w:t>3.5.1.</w:t>
      </w:r>
      <w:r w:rsidRPr="00DA7625">
        <w:rPr>
          <w:rFonts w:ascii="Times New Roman" w:hAnsi="Times New Roman"/>
          <w:sz w:val="24"/>
          <w:u w:val="none"/>
        </w:rPr>
        <w:tab/>
      </w:r>
      <w:r w:rsidRPr="00DA7625">
        <w:rPr>
          <w:rFonts w:ascii="Times New Roman" w:hAnsi="Times New Roman"/>
          <w:sz w:val="24"/>
        </w:rPr>
        <w:t>Általános megjegyzések</w:t>
      </w:r>
      <w:bookmarkEnd w:id="58"/>
    </w:p>
    <w:p w14:paraId="078C0293" w14:textId="77777777" w:rsidR="001B1411" w:rsidRPr="00DA7625" w:rsidRDefault="00125707">
      <w:pPr>
        <w:pStyle w:val="InstructionsText2"/>
        <w:numPr>
          <w:ilvl w:val="0"/>
          <w:numId w:val="0"/>
        </w:numPr>
        <w:ind w:left="993"/>
      </w:pPr>
      <w:r w:rsidRPr="00DA7625">
        <w:t>86.</w:t>
      </w:r>
      <w:r w:rsidRPr="00DA7625">
        <w:tab/>
        <w:t>A CR EQU IRB két táblából áll: A CR EQU IRB 1 általános áttekintést nyújt a részvényjellegű kitettségi osztályba sorolt IRB kitettségekről, valamint a teljes kockázati kitettségértékek különböző számítási módszereiről. A CR EQU IRB 2 a teljes kitettségállományt ügyfél-kategóriák szerinti bontásban mutatja be a PD/LGD-módszerrel összefüggésben. Az alábbi útmutatóban a CR EQU IRB megjelölés a CR EQU IRB 1 és CR EQU IRB 2 táblára egyaránt vonatkozik a helyzettől függően.</w:t>
      </w:r>
    </w:p>
    <w:p w14:paraId="214B758E" w14:textId="56853A61" w:rsidR="001B1411" w:rsidRPr="00DA7625" w:rsidRDefault="00125707">
      <w:pPr>
        <w:pStyle w:val="InstructionsText2"/>
        <w:numPr>
          <w:ilvl w:val="0"/>
          <w:numId w:val="0"/>
        </w:numPr>
        <w:ind w:left="993"/>
      </w:pPr>
      <w:r w:rsidRPr="00DA7625">
        <w:t>87.</w:t>
      </w:r>
      <w:r w:rsidRPr="00DA7625">
        <w:tab/>
        <w:t>A CR EQU IRB tábla a kockázattal súlyozott hitelkockázati kitettségértékeknek (a CRR 92. cikke (3) bekezdésének a) pontja) a CRR harmadik része II. címének 3. fejezete szerinti kiszámításával kapcsolatos információkat nyújt a CRR 147. cikke (2) bekezdésének e) pontjában említett részvényjellegű kitettségekre vonatkozóan.</w:t>
      </w:r>
    </w:p>
    <w:p w14:paraId="66E98C3E" w14:textId="1E1C4A4C" w:rsidR="001B1411" w:rsidRPr="00DA7625" w:rsidRDefault="00125707">
      <w:pPr>
        <w:pStyle w:val="InstructionsText2"/>
        <w:numPr>
          <w:ilvl w:val="0"/>
          <w:numId w:val="0"/>
        </w:numPr>
        <w:ind w:left="993"/>
      </w:pPr>
      <w:r w:rsidRPr="00DA7625">
        <w:t>88.</w:t>
      </w:r>
      <w:r w:rsidRPr="00DA7625">
        <w:tab/>
        <w:t>A CRR 147. cikkének (6) bekezdése szerint a következő kitettségeket a részvényjellegű kitettségi osztályba kell sorolni:</w:t>
      </w:r>
    </w:p>
    <w:p w14:paraId="28B6278D" w14:textId="3E5AFA22" w:rsidR="001B1411" w:rsidRPr="00DA7625" w:rsidRDefault="00125707">
      <w:pPr>
        <w:pStyle w:val="InstructionsText2"/>
        <w:numPr>
          <w:ilvl w:val="0"/>
          <w:numId w:val="0"/>
        </w:numPr>
        <w:ind w:left="993"/>
      </w:pPr>
      <w:r w:rsidRPr="00DA7625">
        <w:t>a)</w:t>
      </w:r>
      <w:r w:rsidRPr="00DA7625">
        <w:tab/>
        <w:t>nem hitelviszonyt megtestesítő kitettségek, amelyek a kibocsátó eszközeivel vagy jövedelmével szembeni hátrasorolt maradványkövetelést testesítenek meg;</w:t>
      </w:r>
    </w:p>
    <w:p w14:paraId="6F181DD1" w14:textId="77777777" w:rsidR="001B1411" w:rsidRPr="00DA7625" w:rsidRDefault="00125707">
      <w:pPr>
        <w:pStyle w:val="InstructionsText2"/>
        <w:numPr>
          <w:ilvl w:val="0"/>
          <w:numId w:val="0"/>
        </w:numPr>
        <w:ind w:left="993"/>
      </w:pPr>
      <w:r w:rsidRPr="00DA7625">
        <w:t>b)</w:t>
      </w:r>
      <w:r w:rsidRPr="00DA7625">
        <w:tab/>
        <w:t>hitelviszonyt megtestesítő kitettségek és egyéb értékpapírok, partnerségek, származtatott ügyletek és egyéb eszközök, amelyek gazdasági tartalma hasonló az a) pontban ismertetett kitettségekhez.</w:t>
      </w:r>
    </w:p>
    <w:p w14:paraId="0B3CD3B7" w14:textId="426B279E" w:rsidR="001B1411" w:rsidRPr="00DA7625" w:rsidRDefault="00125707">
      <w:pPr>
        <w:pStyle w:val="InstructionsText2"/>
        <w:numPr>
          <w:ilvl w:val="0"/>
          <w:numId w:val="0"/>
        </w:numPr>
        <w:ind w:left="993"/>
      </w:pPr>
      <w:r w:rsidRPr="00DA7625">
        <w:t>89.</w:t>
      </w:r>
      <w:r w:rsidRPr="00DA7625">
        <w:tab/>
        <w:t>A CR EQU IRB táblán kell feltüntetni továbbá a CRR 152. cikkében említett egyszerű kockázati súlyozási módszerrel kezelt kollektív befektetési formákat is.</w:t>
      </w:r>
    </w:p>
    <w:p w14:paraId="3792BF77" w14:textId="3D5D4AD3" w:rsidR="001B1411" w:rsidRPr="00DA7625" w:rsidRDefault="00125707">
      <w:pPr>
        <w:pStyle w:val="InstructionsText2"/>
        <w:numPr>
          <w:ilvl w:val="0"/>
          <w:numId w:val="0"/>
        </w:numPr>
        <w:ind w:left="993"/>
      </w:pPr>
      <w:r w:rsidRPr="00DA7625">
        <w:t>90.</w:t>
      </w:r>
      <w:r w:rsidRPr="00DA7625">
        <w:tab/>
        <w:t xml:space="preserve">A CRR 151. cikkének (1) bekezdése szerint az intézményeknek ki kell tölteniük a CR EQU IRB táblát akkor, ha a CRR 155. cikkében említett három módszer valamelyikét alkalmazzák: </w:t>
      </w:r>
    </w:p>
    <w:p w14:paraId="13C8039D" w14:textId="3F0C5F10" w:rsidR="001B1411" w:rsidRPr="00DA7625" w:rsidRDefault="00C61FF5">
      <w:pPr>
        <w:pStyle w:val="InstructionsText"/>
        <w:ind w:left="993"/>
      </w:pPr>
      <w:r w:rsidRPr="00DA7625">
        <w:t>– egyszerű kockázati súlyozási módszer;</w:t>
      </w:r>
    </w:p>
    <w:p w14:paraId="7B3F472B" w14:textId="58A7BD8E" w:rsidR="001B1411" w:rsidRPr="00DA7625" w:rsidRDefault="00C61FF5">
      <w:pPr>
        <w:pStyle w:val="InstructionsText"/>
        <w:ind w:left="993"/>
      </w:pPr>
      <w:r w:rsidRPr="00DA7625">
        <w:t>– PD/LGD-módszer;</w:t>
      </w:r>
    </w:p>
    <w:p w14:paraId="459A321C" w14:textId="77777777" w:rsidR="001B1411" w:rsidRPr="00DA7625" w:rsidRDefault="00C61FF5">
      <w:pPr>
        <w:pStyle w:val="InstructionsText"/>
        <w:ind w:left="993"/>
      </w:pPr>
      <w:r w:rsidRPr="00DA7625">
        <w:t>– belső modelleken alapuló módszer.</w:t>
      </w:r>
    </w:p>
    <w:p w14:paraId="47812ED1" w14:textId="01BB01EB" w:rsidR="001B1411" w:rsidRPr="00DA7625" w:rsidRDefault="00C61FF5">
      <w:pPr>
        <w:pStyle w:val="InstructionsText"/>
        <w:ind w:left="993"/>
      </w:pPr>
      <w:r w:rsidRPr="00DA7625">
        <w:t>Ezenfelül az IRB-módszert alkalmazó intézményeknek a CR EQU IRB táblán adatot kell szolgáltatniuk az olyan részvényjellegű kitettségekre vonatkozó kockázattal súlyozott kitettségértékekről is, amelyekre fix kockázati súly vonatkozik (azonban az egyszerű kockázati súlyozási módszer kifejezett alkalmazása, vagy a hitelkockázati sztenderd módszer átmeneti vagy tartós mentesítés alapján történő alkalmazása nélkül; például a CRR 48. cikkének (4) bekezdése szerint 250 %-os, a CRR 471. cikkének (2) bekezdése szerint 370 %-os kockázati súllyal kezelt részvényjellegű kitettségek esetében).</w:t>
      </w:r>
    </w:p>
    <w:p w14:paraId="41EDEF2D" w14:textId="77777777" w:rsidR="001B1411" w:rsidRPr="00DA7625" w:rsidRDefault="00125707">
      <w:pPr>
        <w:pStyle w:val="InstructionsText2"/>
        <w:numPr>
          <w:ilvl w:val="0"/>
          <w:numId w:val="0"/>
        </w:numPr>
        <w:ind w:left="993"/>
      </w:pPr>
      <w:r w:rsidRPr="00DA7625">
        <w:lastRenderedPageBreak/>
        <w:t>91.</w:t>
      </w:r>
      <w:r w:rsidRPr="00DA7625">
        <w:tab/>
        <w:t>A CR EQU IRB táblán nem tüntethetők fel az alábbi részvényjellegű követelések:</w:t>
      </w:r>
    </w:p>
    <w:p w14:paraId="5FFD76B9" w14:textId="36E30DF1" w:rsidR="001B1411" w:rsidRPr="00DA7625" w:rsidRDefault="00C61FF5">
      <w:pPr>
        <w:pStyle w:val="InstructionsText"/>
        <w:ind w:left="993"/>
      </w:pPr>
      <w:r w:rsidRPr="00DA7625">
        <w:t xml:space="preserve">– a kereskedési könyvben nyilvántartott részvényjellegű kitettségek (ha az intézmények nem mentesülnek a kereskedési könyvi pozíciókra vonatkozó szavatolótőke-követelmények kiszámítása alól (a CRR 94. cikke)); </w:t>
      </w:r>
    </w:p>
    <w:p w14:paraId="19C08E32" w14:textId="2A657569" w:rsidR="001B1411" w:rsidRPr="00DA7625" w:rsidRDefault="00C61FF5">
      <w:pPr>
        <w:pStyle w:val="InstructionsText"/>
        <w:ind w:left="993"/>
      </w:pPr>
      <w:r w:rsidRPr="00DA7625">
        <w:t>– a mentesítés alapján a sztenderd módszerrel kezelt részvényjellegű kitettségek (a CRR. 150. cikke), ezen belül:</w:t>
      </w:r>
    </w:p>
    <w:p w14:paraId="0B1BD8BA" w14:textId="5F87A60E" w:rsidR="001B1411" w:rsidRPr="00DA7625" w:rsidRDefault="00C61FF5">
      <w:pPr>
        <w:pStyle w:val="InstructionsText"/>
        <w:ind w:left="993"/>
      </w:pPr>
      <w:r w:rsidRPr="00DA7625">
        <w:t>– a CRR 495. cikkének (1) bekezdése szerint a szerzett jogok alapján figyelembe vett részvényjellegű kitettségek;</w:t>
      </w:r>
    </w:p>
    <w:p w14:paraId="465612C3" w14:textId="5E46439A" w:rsidR="001B1411" w:rsidRPr="00DA7625" w:rsidRDefault="00C61FF5">
      <w:pPr>
        <w:pStyle w:val="InstructionsText"/>
        <w:ind w:left="993"/>
      </w:pPr>
      <w:r w:rsidRPr="00DA7625">
        <w:t>– az olyan szervezetekkel szembeni részvényjellegű kitettségek, amelyek hitelkötelezettségei a sztenderd módszer alapján 0 %-os kockázati súlyt kapnak, ideértve azokat a köztámogatásban részesülő szervezeteket is, amelyeknél alkalmazható a 0 %-os kockázati súly (a CRR 150. cikke (1) bekezdésének g) pontja);</w:t>
      </w:r>
    </w:p>
    <w:p w14:paraId="6F1AAFB5" w14:textId="719E5FD0" w:rsidR="001B1411" w:rsidRPr="00DA7625" w:rsidRDefault="00C61FF5">
      <w:pPr>
        <w:pStyle w:val="InstructionsText"/>
        <w:ind w:left="993"/>
      </w:pPr>
      <w:r w:rsidRPr="00DA7625">
        <w:t>– a gazdaság meghatározott ágazatainak előmozdítására irányuló olyan állami programok keretében felmerült részvényjellegű kitettségek, amelyek esetében az intézmény jelentős támogatást kap a befektetésre, és amelyekre a kormányzati felvigyázás bizonyos formája és a tőkerészesedés-befektetések korlátozása vonatkozik (a CRR 150. cikke (1) bekezdésének h) pontja);</w:t>
      </w:r>
    </w:p>
    <w:p w14:paraId="6DD3B008" w14:textId="2CDC22A5" w:rsidR="001B1411" w:rsidRPr="00DA7625" w:rsidRDefault="00C61FF5">
      <w:pPr>
        <w:pStyle w:val="InstructionsText"/>
        <w:ind w:left="993"/>
      </w:pPr>
      <w:r w:rsidRPr="00DA7625">
        <w:t>– az olyan járulékos vállalkozásokkal szembeni részvényjellegű kitettségek, amelyek kockázattal súlyozott kitettségértéke az egyéb, nem hitelkötelezettséget megtestesítő eszközök kezelésének megfelelő módon számítható ki (a CRR 155. cikkének (1) bekezdése szerint);</w:t>
      </w:r>
    </w:p>
    <w:p w14:paraId="6D1517B8" w14:textId="1429D9B4" w:rsidR="001B1411" w:rsidRPr="00DA7625" w:rsidRDefault="00C61FF5">
      <w:pPr>
        <w:pStyle w:val="InstructionsText"/>
        <w:ind w:left="993"/>
      </w:pPr>
      <w:r w:rsidRPr="00DA7625">
        <w:t>– a szavatolótőkéből a CRR 46. és 48. cikkével összhangban levont részvényjellegű követelések.</w:t>
      </w:r>
    </w:p>
    <w:p w14:paraId="5D3BCE93" w14:textId="77777777" w:rsidR="001B1411" w:rsidRPr="00DA7625" w:rsidRDefault="001B1411">
      <w:pPr>
        <w:pStyle w:val="InstructionsText"/>
      </w:pPr>
    </w:p>
    <w:p w14:paraId="5A70CA6C"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59" w:name="_Toc31018805"/>
      <w:r w:rsidRPr="00DA7625">
        <w:rPr>
          <w:rFonts w:ascii="Times New Roman" w:hAnsi="Times New Roman"/>
          <w:sz w:val="24"/>
          <w:u w:val="none"/>
        </w:rPr>
        <w:t>3.5.2.</w:t>
      </w:r>
      <w:r w:rsidRPr="00DA7625">
        <w:rPr>
          <w:rFonts w:ascii="Times New Roman" w:hAnsi="Times New Roman"/>
          <w:sz w:val="24"/>
          <w:u w:val="none"/>
        </w:rPr>
        <w:tab/>
      </w:r>
      <w:r w:rsidRPr="00DA7625">
        <w:rPr>
          <w:rFonts w:ascii="Times New Roman" w:hAnsi="Times New Roman"/>
          <w:sz w:val="24"/>
        </w:rPr>
        <w:t>A tábla egyes részeire vonatkozó útmutató (mind a CR EQU IRB 1, mind a CR EQU IRB 2 táblára alkalmazandó)</w:t>
      </w:r>
      <w:bookmarkEnd w:id="59"/>
    </w:p>
    <w:tbl>
      <w:tblPr>
        <w:tblW w:w="0" w:type="auto"/>
        <w:tblLook w:val="01E0" w:firstRow="1" w:lastRow="1" w:firstColumn="1" w:lastColumn="1" w:noHBand="0" w:noVBand="0"/>
      </w:tblPr>
      <w:tblGrid>
        <w:gridCol w:w="852"/>
        <w:gridCol w:w="8004"/>
      </w:tblGrid>
      <w:tr w:rsidR="001B1411" w:rsidRPr="00DA7625"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1B1411" w:rsidRPr="00DA7625" w:rsidRDefault="00C61FF5">
            <w:pPr>
              <w:spacing w:beforeLines="60" w:before="144" w:afterLines="60" w:after="144"/>
              <w:rPr>
                <w:rStyle w:val="InstructionsTabelleText"/>
                <w:rFonts w:ascii="Times New Roman" w:hAnsi="Times New Roman"/>
                <w:b/>
                <w:sz w:val="24"/>
              </w:rPr>
            </w:pPr>
            <w:r w:rsidRPr="00DA7625">
              <w:rPr>
                <w:rStyle w:val="InstructionsTabelleText"/>
                <w:rFonts w:ascii="Times New Roman" w:hAnsi="Times New Roman"/>
                <w:b/>
                <w:sz w:val="24"/>
              </w:rPr>
              <w:t>Oszlop</w:t>
            </w:r>
          </w:p>
        </w:tc>
      </w:tr>
      <w:tr w:rsidR="001B1411" w:rsidRPr="00DA7625"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77777777" w:rsidR="001B1411" w:rsidRPr="00DA7625" w:rsidRDefault="003F05A0">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005</w:t>
            </w:r>
          </w:p>
        </w:tc>
        <w:tc>
          <w:tcPr>
            <w:tcW w:w="8004" w:type="dxa"/>
          </w:tcPr>
          <w:p w14:paraId="47AB38C7" w14:textId="77777777" w:rsidR="001B1411" w:rsidRPr="00DA7625" w:rsidRDefault="003F05A0">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ÜGYFÉL-KATEGÓRIA (SORAZONOSÍTÓ)</w:t>
            </w:r>
          </w:p>
          <w:p w14:paraId="0EAE0975" w14:textId="7DCE0C34" w:rsidR="001B1411" w:rsidRPr="00DA7625" w:rsidRDefault="003F05A0">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 xml:space="preserve">Az ügyfél-kategória egy sorazonosító, amely a tábla egyes lapjainak minden sorát egyedileg azonosítja. </w:t>
            </w:r>
            <w:r w:rsidRPr="00DA7625">
              <w:rPr>
                <w:rFonts w:ascii="Times New Roman" w:hAnsi="Times New Roman"/>
                <w:sz w:val="24"/>
              </w:rPr>
              <w:t>Sorrendje: 1, 2, 3 stb.</w:t>
            </w:r>
          </w:p>
        </w:tc>
      </w:tr>
      <w:tr w:rsidR="001B1411" w:rsidRPr="00DA7625"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77777777"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010</w:t>
            </w:r>
          </w:p>
        </w:tc>
        <w:tc>
          <w:tcPr>
            <w:tcW w:w="8004" w:type="dxa"/>
          </w:tcPr>
          <w:p w14:paraId="7CFE1EA8" w14:textId="77777777" w:rsidR="001B1411" w:rsidRPr="00DA7625" w:rsidRDefault="00C61FF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 xml:space="preserve">BELSŐ MINŐSÍTÉSI RENDSZER </w:t>
            </w:r>
          </w:p>
          <w:p w14:paraId="3BEB17A8" w14:textId="77777777" w:rsidR="001B1411" w:rsidRPr="00DA7625" w:rsidRDefault="00C61FF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AZ ÜGYFÉL-KATEGÓRIÁHOZ RENDELT NEMTELJESÍTÉSI VALÓSZÍNŰSÉG (PD, %)</w:t>
            </w:r>
          </w:p>
          <w:p w14:paraId="44F74EFD" w14:textId="61D97016"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A PD/LGD-módszert alkalmazó intézmények a 010. oszlopban a CRR 165. cikkének (1) bekezdése szerint kiszámított nemteljesítési valószínűséget (PD) tüntetik fel.</w:t>
            </w:r>
          </w:p>
          <w:p w14:paraId="5E9E1A46" w14:textId="3B103F99"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 xml:space="preserve">Az ügyfél-kategóriához vagy -halmazhoz rendelt, feltüntetendő PD-értéket a CRR harmadik része II. címe 3. fejezetének 6. szakaszában foglalt minimumkövetelményeknek megfelelően kell megállapítani. Az egyes ügyfél-kategóriákhoz vagy </w:t>
            </w:r>
            <w:r w:rsidRPr="00DA7625">
              <w:rPr>
                <w:rStyle w:val="InstructionsTabelleText"/>
                <w:rFonts w:ascii="Times New Roman" w:hAnsi="Times New Roman"/>
                <w:sz w:val="24"/>
              </w:rPr>
              <w:lastRenderedPageBreak/>
              <w:t>-halmazokhoz rendelt PD-értéket kell feltüntetni. A feltüntetett kockázati paramétereket az adott illetékes hatóság által jóváhagyott belső minősítési rendszerben alkalmazott kockázati paraméterekből kell származtatni.</w:t>
            </w:r>
          </w:p>
          <w:p w14:paraId="7262CB84" w14:textId="77777777"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 xml:space="preserve">Az ügyfélkategóriák vagy -halmazok összesítő adataira (pl. a teljes kitettségre) vonatkozóan az összesítésbe beszámított ügyfél-kategóriákhoz vagy -halmazokhoz rendelt PD-értékek kitettséggel súlyozott átlagát kell feltüntetni. A kitettséggel súlyozott átlagos PD kiszámításakor valamennyi kitettséget figyelembe kell venni, ideértve a nemteljesítő kitettségeket is. A kitettséggel súlyozott átlagos PD érték kiszámításánál a súlyozást az előre nem rendelkezésre bocsátott hitelkockázati fedezet (060-as oszlop) figyelembevételével megállapított kitettségérték alapján kell végezni. </w:t>
            </w:r>
          </w:p>
        </w:tc>
      </w:tr>
      <w:tr w:rsidR="001B1411" w:rsidRPr="00DA7625"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77777777"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lastRenderedPageBreak/>
              <w:t>020</w:t>
            </w:r>
          </w:p>
        </w:tc>
        <w:tc>
          <w:tcPr>
            <w:tcW w:w="8004" w:type="dxa"/>
          </w:tcPr>
          <w:p w14:paraId="42297808" w14:textId="7964ADCA" w:rsidR="001B1411" w:rsidRPr="00DA7625" w:rsidRDefault="00C61FF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HITEL-EGYENÉRTÉKESÍTÉSI TÉNYEZŐK ELŐTTI EREDETI KITETTSÉG</w:t>
            </w:r>
          </w:p>
          <w:p w14:paraId="4BEEA019" w14:textId="78212A5D" w:rsidR="001B1411" w:rsidRPr="00DA7625" w:rsidRDefault="00C61FF5">
            <w:pPr>
              <w:autoSpaceDE w:val="0"/>
              <w:autoSpaceDN w:val="0"/>
              <w:adjustRightInd w:val="0"/>
              <w:spacing w:before="0" w:after="0"/>
              <w:rPr>
                <w:rStyle w:val="InstructionsTabelleText"/>
                <w:rFonts w:ascii="Times New Roman" w:hAnsi="Times New Roman"/>
                <w:sz w:val="24"/>
              </w:rPr>
            </w:pPr>
            <w:r w:rsidRPr="00DA7625">
              <w:rPr>
                <w:rStyle w:val="InstructionsTabelleText"/>
                <w:rFonts w:ascii="Times New Roman" w:hAnsi="Times New Roman"/>
                <w:sz w:val="24"/>
              </w:rPr>
              <w:t>Az intézmények a 020-as sorban a hitel-egyenértékesítési tényezők előtti eredeti kitettségértéket tüntetik fel. A CRR 167. cikke szerint a részvényjellegű kitettségekhez tartozó kitettségérték az egyedi hitelkockázati kiigazítások alkalmazását követően fennmaradó könyv szerinti értéknek felel meg. A</w:t>
            </w:r>
            <w:r w:rsidRPr="00DA7625">
              <w:rPr>
                <w:rFonts w:ascii="Times New Roman" w:hAnsi="Times New Roman"/>
                <w:sz w:val="24"/>
              </w:rPr>
              <w:t xml:space="preserve"> mérlegen kívüli részvényjellegű kitettségekhez tartozó kitettségérték az egyedi hitelkockázati kiigazításokkal csökkentett névérték.</w:t>
            </w:r>
          </w:p>
          <w:p w14:paraId="1C80CD14" w14:textId="2B631E0F"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Az intézmények ezenkívül a 020-as oszlopban tüntetik fel a CRR I. mellékletében említett, a részvényjellegű kitettségi osztályba sorolt mérlegen kívüli tételeket (pl. a részben kifizetett részvények és értékpapírok kifizetetlen részét).</w:t>
            </w:r>
          </w:p>
          <w:p w14:paraId="1448449F" w14:textId="3EACF17F"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 xml:space="preserve">Az egyszerű kockázati súlyozási módszert vagy a CRR 165. cikkének (1) bekezdésében említett PD/LGD-módszert alkalmazó intézményeknek figyelembe kell venniük a CRR 155. cikke (2) bekezdésének második albekezdésében említett beszámítást (offset) is. </w:t>
            </w:r>
          </w:p>
        </w:tc>
      </w:tr>
      <w:tr w:rsidR="001B1411" w:rsidRPr="00DA7625"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77777777"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030–040</w:t>
            </w:r>
          </w:p>
        </w:tc>
        <w:tc>
          <w:tcPr>
            <w:tcW w:w="8004" w:type="dxa"/>
          </w:tcPr>
          <w:p w14:paraId="5A5489A1" w14:textId="77777777" w:rsidR="001B1411" w:rsidRPr="00DA7625" w:rsidRDefault="00C61FF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A KITETTSÉGRE HELYETTESÍTÉSI HATÁSSAL JÁRÓ HITELKOCKÁZAT-MÉRSÉKLÉSI (CRM) TECHNIKÁK</w:t>
            </w:r>
          </w:p>
          <w:p w14:paraId="7830C552" w14:textId="77777777" w:rsidR="001B1411" w:rsidRPr="00DA7625" w:rsidRDefault="00C61FF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ELŐRE NEM RENDELKEZÉSRE BOCSÁTOTT HITELKOCKÁZATI FEDEZET</w:t>
            </w:r>
          </w:p>
          <w:p w14:paraId="020EC0D8" w14:textId="77777777" w:rsidR="001B1411" w:rsidRPr="00DA7625" w:rsidRDefault="00C61FF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GARANCIÁK</w:t>
            </w:r>
          </w:p>
          <w:p w14:paraId="0B08E13C" w14:textId="77777777" w:rsidR="001B1411" w:rsidRPr="00DA7625" w:rsidRDefault="00C61FF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HITELDERIVATÍVÁK</w:t>
            </w:r>
          </w:p>
          <w:p w14:paraId="6EB56834" w14:textId="2A97AEBC"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A részvényjellegű kitettségekre vonatkozó kockázattal súlyozott kitettségértékek kiszámításához alkalmazott módszertől függetlenül az intézmények a részvényjellegű kitettségek előre nem rendelkezésre bocsátott hitelkockázati fedezetét is elismerhetik (a CRR 155. cikkének (2), (3) és (4) bekezdése). Az egyszerű kockázati súlyozási módszert vagy a PD/LGD-módszert alkalmazó intézmények a 030-as és 040-es oszlopban a CRR harmadik része II. címének 4. fejezetében foglalt módszerek szerint elismert, előre nem rendelkezésre bocsátott hitelkockázati fedezet összegét garanciák (030-as oszlop) vagy hitelderivatívák (040-es oszlop) formájában tüntetik fel.</w:t>
            </w:r>
          </w:p>
        </w:tc>
      </w:tr>
      <w:tr w:rsidR="001B1411" w:rsidRPr="00DA7625"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77777777"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lastRenderedPageBreak/>
              <w:t>050</w:t>
            </w:r>
          </w:p>
        </w:tc>
        <w:tc>
          <w:tcPr>
            <w:tcW w:w="8004" w:type="dxa"/>
          </w:tcPr>
          <w:p w14:paraId="0F188D89" w14:textId="77777777" w:rsidR="001B1411" w:rsidRPr="00DA7625" w:rsidRDefault="00C61FF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A KITETTSÉGRE HELYETTESÍTÉSI HATÁSSAL JÁRÓ HITELKOCKÁZAT-MÉRSÉKLÉSI (CRM) TECHNIKÁK</w:t>
            </w:r>
          </w:p>
          <w:p w14:paraId="3BFA6B41" w14:textId="77777777" w:rsidR="001B1411" w:rsidRPr="00DA7625" w:rsidRDefault="00C61FF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A KITETTSÉG HITELKOCKÁZAT-MÉRSÉKLÉS MIATTI HELYETTESÍTÉSE</w:t>
            </w:r>
          </w:p>
          <w:p w14:paraId="10F17615" w14:textId="77777777" w:rsidR="001B1411" w:rsidRPr="00DA7625" w:rsidRDefault="00C61FF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 KIÁRAMLÁSOK ÖSSZESEN</w:t>
            </w:r>
          </w:p>
          <w:p w14:paraId="1A4BB276" w14:textId="2D4D113E"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Az intézmények az 050-es oszlopban tüntetik fel a hitel-egyenértékesítési tényezők előtti eredeti kitettségnek azt a részét, amely a CRR harmadik része II. címének 4. fejezetében foglalt módszerek szerint megjelenített, előre nem rendelkezésre bocsátott hitelkockázati fedezettel rendelkezik.</w:t>
            </w:r>
          </w:p>
        </w:tc>
      </w:tr>
      <w:tr w:rsidR="001B1411" w:rsidRPr="00DA7625"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77777777"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060</w:t>
            </w:r>
          </w:p>
        </w:tc>
        <w:tc>
          <w:tcPr>
            <w:tcW w:w="8004" w:type="dxa"/>
          </w:tcPr>
          <w:p w14:paraId="637A7A8E" w14:textId="77777777" w:rsidR="001B1411" w:rsidRPr="00DA7625" w:rsidRDefault="00C61FF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KITETTSÉGÉRTÉK</w:t>
            </w:r>
          </w:p>
          <w:p w14:paraId="6CBC7FDC" w14:textId="25B23E95"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Az egyszerű kockázati súlyozási módszert vagy a PD/LGD-módszert alkalmazó intézmények a 060. oszlopban a kitettségértéket tüntetik fel az előre nem rendelkezésre bocsátott hitelkockázati fedezetből eredő helyettesítési hatások figyelembevételével (a CRR 155. cikkének (2) és (3) bekezdése, valamint 167. cikke).</w:t>
            </w:r>
          </w:p>
          <w:p w14:paraId="168218CE" w14:textId="6661DDAE" w:rsidR="001B1411" w:rsidRPr="00DA7625" w:rsidRDefault="00A16FFF">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A mérlegen kívüli részvényjellegű kitettségek esetében a kitettségérték az egyedi hitelkockázati kiigazításokkal csökkentett névérték (a CRR 167. cikke).</w:t>
            </w:r>
          </w:p>
        </w:tc>
      </w:tr>
      <w:tr w:rsidR="001B1411" w:rsidRPr="00DA7625"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77777777"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070</w:t>
            </w:r>
          </w:p>
        </w:tc>
        <w:tc>
          <w:tcPr>
            <w:tcW w:w="8004" w:type="dxa"/>
          </w:tcPr>
          <w:p w14:paraId="610B0CF0" w14:textId="77777777" w:rsidR="001B1411" w:rsidRPr="00DA7625" w:rsidRDefault="00C61FF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KITETTSÉGGEL SÚLYOZOTT ÁTLAGOS LGD (%)</w:t>
            </w:r>
          </w:p>
          <w:p w14:paraId="7FFC3F61" w14:textId="75F0534A"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 xml:space="preserve">A PD/LGD-módszert alkalmazó intézmények az összesítésben szereplő ügyfél-kategóriákba vagy -halmazokba sorolt LGD-értékek kitettséggel súlyozott átlagát tüntetik fel. </w:t>
            </w:r>
          </w:p>
          <w:p w14:paraId="0B187789" w14:textId="77777777"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 xml:space="preserve">Az előre nem rendelkezésre bocsátott hitelkockázati fedezet figyelembevételével meghatározott kitettségérték (060-as oszlop) alapján kell kiszámítani a kitettséggel súlyozott átlagos LGD-értéket. </w:t>
            </w:r>
          </w:p>
          <w:p w14:paraId="44AE69A8" w14:textId="3703686A"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Az intézményeknek figyelembe kell venniük a CRR 165. cikkének (2) bekezdésében foglalt rendelkezéseket.</w:t>
            </w:r>
          </w:p>
        </w:tc>
      </w:tr>
      <w:tr w:rsidR="001B1411" w:rsidRPr="00DA7625"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77777777"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080</w:t>
            </w:r>
          </w:p>
        </w:tc>
        <w:tc>
          <w:tcPr>
            <w:tcW w:w="8004" w:type="dxa"/>
          </w:tcPr>
          <w:p w14:paraId="39CF20D7" w14:textId="77777777" w:rsidR="001B1411" w:rsidRPr="00DA7625" w:rsidRDefault="00C61FF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KOCKÁZATTAL SÚLYOZOTT KITETTSÉGÉRTÉK</w:t>
            </w:r>
          </w:p>
          <w:p w14:paraId="5A2BBB02" w14:textId="267239CE"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Az intézményeknek adatot kell szolgáltatniuk a részvényjellegű kitettségekre vonatkozó, a CRR 155. cikke szerint kiszámított kockázattal súlyozott kitettségértékekről.</w:t>
            </w:r>
          </w:p>
          <w:p w14:paraId="5AB232F0" w14:textId="6F820BB1" w:rsidR="001B1411" w:rsidRPr="00DA7625" w:rsidRDefault="00D021AF">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 xml:space="preserve">Ha a PD/LGD-módszert alkalmazó intézmények nem rendelkeznek elegendő információval a nemteljesítés CRR 178. cikkében meghatározott fogalmának használatához, akkor a kockázattal súlyozott kitettségértékek kiszámításakor a kockázati súlyokra 1,5-es szorzót kell alkalmazni (a CRR 155. cikkének (3) bekezdése). </w:t>
            </w:r>
          </w:p>
          <w:p w14:paraId="0158FAA8" w14:textId="6B077CA9"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A kockázatisúly-függvény M (lejárat) bemenő paramétere tekintetében a részvényjellegű kitettségekhez rendelt lejárat 5 év (a CRR 165. cikkének (3) bekezdése).</w:t>
            </w:r>
          </w:p>
        </w:tc>
      </w:tr>
      <w:tr w:rsidR="001B1411" w:rsidRPr="00DA7625"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77777777"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090</w:t>
            </w:r>
          </w:p>
        </w:tc>
        <w:tc>
          <w:tcPr>
            <w:tcW w:w="8004" w:type="dxa"/>
          </w:tcPr>
          <w:p w14:paraId="0B4F1531" w14:textId="77777777" w:rsidR="001B1411" w:rsidRPr="00DA7625" w:rsidRDefault="00C61FF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TÁJÉKOZTATÓ ADAT: VÁRHATÓ VESZTESÉGÉRTÉK</w:t>
            </w:r>
          </w:p>
          <w:p w14:paraId="73ECA7C7" w14:textId="3819AD02"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lastRenderedPageBreak/>
              <w:t xml:space="preserve">Az intézmények a 090-es oszlopban tüntetik fel a részvényjellegű kitettségekre vonatkozó várható veszteségértéket, amelyeket a CRR 158. cikkének (4), (7), (8) és (9) bekezdése szerint kell kiszámítani. </w:t>
            </w:r>
          </w:p>
        </w:tc>
      </w:tr>
    </w:tbl>
    <w:p w14:paraId="29506A55" w14:textId="77777777" w:rsidR="001B1411" w:rsidRPr="00DA7625" w:rsidRDefault="001B1411">
      <w:pPr>
        <w:pStyle w:val="InstructionsText"/>
      </w:pPr>
    </w:p>
    <w:p w14:paraId="0D0C0491" w14:textId="77836A0A" w:rsidR="001B1411" w:rsidRPr="00DA7625" w:rsidRDefault="00125707">
      <w:pPr>
        <w:pStyle w:val="InstructionsText2"/>
        <w:numPr>
          <w:ilvl w:val="0"/>
          <w:numId w:val="0"/>
        </w:numPr>
        <w:ind w:left="993"/>
      </w:pPr>
      <w:r w:rsidRPr="00DA7625">
        <w:t>92.</w:t>
      </w:r>
      <w:r w:rsidRPr="00DA7625">
        <w:tab/>
        <w:t>A CRR 155. cikke szerint az intézmények a különböző portfóliók esetében különböző módszereket (egyszerű kockázati súlyozási módszere, PD/LGD-módszer, belső modelleken alapuló módszer) alkalmazhatnak akkor, ha ezeket szervezeten belül alkalmazzák. Az intézményeknek a CR EQU IRB 1 táblán adatot kell szolgáltatniuk az olyan részvényjellegű kitettségekre vonatkozó kockázattal súlyozott kitettségértékekről is, amelyekre fix kockázati súly vonatkozik (azonban az egyszerű kockázati súlyozási módszer kifejezett alkalmazása, vagy a hitelkockázati sztenderd módszer átmeneti vagy tartós mentesítés alapján történő alkalmazása nélkül).</w:t>
      </w:r>
    </w:p>
    <w:tbl>
      <w:tblPr>
        <w:tblW w:w="9524" w:type="dxa"/>
        <w:tblLook w:val="01E0" w:firstRow="1" w:lastRow="1" w:firstColumn="1" w:lastColumn="1" w:noHBand="0" w:noVBand="0"/>
      </w:tblPr>
      <w:tblGrid>
        <w:gridCol w:w="1608"/>
        <w:gridCol w:w="7916"/>
      </w:tblGrid>
      <w:tr w:rsidR="001B1411" w:rsidRPr="00DA7625"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1B1411" w:rsidRPr="00DA7625" w:rsidRDefault="00C61FF5">
            <w:pPr>
              <w:spacing w:beforeLines="60" w:before="144" w:afterLines="60" w:after="144"/>
              <w:rPr>
                <w:rStyle w:val="InstructionsTabelleText"/>
                <w:rFonts w:ascii="Times New Roman" w:hAnsi="Times New Roman"/>
                <w:b/>
                <w:sz w:val="24"/>
              </w:rPr>
            </w:pPr>
            <w:r w:rsidRPr="00DA7625">
              <w:rPr>
                <w:rStyle w:val="InstructionsTabelleText"/>
                <w:rFonts w:ascii="Times New Roman" w:hAnsi="Times New Roman"/>
                <w:b/>
                <w:sz w:val="24"/>
              </w:rPr>
              <w:t>Sor</w:t>
            </w:r>
          </w:p>
        </w:tc>
      </w:tr>
      <w:tr w:rsidR="001B1411" w:rsidRPr="00DA7625"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77777777"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CR EQU IRB 1 – 020. sor</w:t>
            </w:r>
          </w:p>
          <w:p w14:paraId="612436A8" w14:textId="77777777" w:rsidR="001B1411" w:rsidRPr="00DA7625" w:rsidRDefault="001B1411">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1B1411" w:rsidRPr="00DA7625" w:rsidRDefault="00C61FF5">
            <w:pPr>
              <w:keepNext/>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 xml:space="preserve">PD/LGD-MÓDSZER: ÖSSZESEN </w:t>
            </w:r>
          </w:p>
          <w:p w14:paraId="68E108AA" w14:textId="0787FDDE" w:rsidR="001B1411" w:rsidRPr="00DA7625" w:rsidRDefault="00C61FF5">
            <w:pPr>
              <w:keepNext/>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A PD/LGD-módszert alkalmazó intézmények (a CRR 155. cikkének (3) pontja) a kért információkat a CR EQU IRB 1 tábla 020. sorában tüntetik fel.</w:t>
            </w:r>
          </w:p>
        </w:tc>
      </w:tr>
      <w:tr w:rsidR="001B1411" w:rsidRPr="00DA7625"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77777777"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CR EQU IRB 1 – 050–090. sor</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1B1411" w:rsidRPr="00DA7625" w:rsidRDefault="00C61FF5">
            <w:pPr>
              <w:rPr>
                <w:rStyle w:val="InstructionsTabelleText"/>
                <w:rFonts w:ascii="Times New Roman" w:hAnsi="Times New Roman"/>
                <w:b/>
                <w:sz w:val="24"/>
                <w:u w:val="single"/>
              </w:rPr>
            </w:pPr>
            <w:r w:rsidRPr="00DA7625">
              <w:rPr>
                <w:rStyle w:val="InstructionsTabelleText"/>
                <w:rFonts w:ascii="Times New Roman" w:hAnsi="Times New Roman"/>
                <w:b/>
                <w:sz w:val="24"/>
                <w:u w:val="single"/>
              </w:rPr>
              <w:t>EGYSZERŰ KOCKÁZATI SÚLYOZÁSI MÓDSZER: ÖSSZESEN</w:t>
            </w:r>
          </w:p>
          <w:p w14:paraId="365B8FA7" w14:textId="0722E76C" w:rsidR="001B1411" w:rsidRPr="00DA7625" w:rsidRDefault="00C61FF5">
            <w:pPr>
              <w:rPr>
                <w:rStyle w:val="InstructionsTabelleText"/>
                <w:rFonts w:ascii="Times New Roman" w:hAnsi="Times New Roman"/>
                <w:b/>
                <w:sz w:val="24"/>
                <w:u w:val="single"/>
              </w:rPr>
            </w:pPr>
            <w:r w:rsidRPr="00DA7625">
              <w:rPr>
                <w:rStyle w:val="InstructionsTabelleText"/>
                <w:rFonts w:ascii="Times New Roman" w:hAnsi="Times New Roman"/>
                <w:b/>
                <w:sz w:val="24"/>
                <w:u w:val="single"/>
              </w:rPr>
              <w:t>A TELJES KITETTSÉG KOCKÁZATI SÚLY SZERINTI BONTÁSA AZ EGYSZERŰ KOCKÁZATI SÚLYOZÁSI MÓDSZER ALAPJÁN:</w:t>
            </w:r>
          </w:p>
          <w:p w14:paraId="71A2DB99" w14:textId="7666ADD0" w:rsidR="001B1411" w:rsidRPr="00DA7625" w:rsidRDefault="00C61FF5">
            <w:pPr>
              <w:keepNext/>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Az egyszerű kockázati súlyozási módszert alkalmazó intézmények (a CRR 155. cikkének (2) bekezdése) a kért információkat az alapul szolgáló kitettségek jellemzőinek megfelelően az 050–090. sorban adják meg.</w:t>
            </w:r>
          </w:p>
        </w:tc>
      </w:tr>
      <w:tr w:rsidR="001B1411" w:rsidRPr="00DA7625"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77777777" w:rsidR="001B1411" w:rsidRPr="00DA7625" w:rsidRDefault="00C61FF5">
            <w:pPr>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CR EQU IRB 1 – 100. sor</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1B1411" w:rsidRPr="00DA7625" w:rsidRDefault="00C61FF5">
            <w:pPr>
              <w:rPr>
                <w:rStyle w:val="InstructionsTabelleberschrift"/>
                <w:rFonts w:ascii="Times New Roman" w:hAnsi="Times New Roman"/>
                <w:sz w:val="24"/>
              </w:rPr>
            </w:pPr>
            <w:r w:rsidRPr="00DA7625">
              <w:rPr>
                <w:rStyle w:val="InstructionsTabelleberschrift"/>
                <w:rFonts w:ascii="Times New Roman" w:hAnsi="Times New Roman"/>
                <w:sz w:val="24"/>
              </w:rPr>
              <w:t>BELSŐ MODELLEKEN ALAPULÓ MÓDSZER</w:t>
            </w:r>
          </w:p>
          <w:p w14:paraId="7303F976" w14:textId="5C26F242" w:rsidR="001B1411" w:rsidRPr="00DA7625" w:rsidRDefault="00C61FF5">
            <w:pPr>
              <w:pStyle w:val="InstructionsText"/>
              <w:rPr>
                <w:rStyle w:val="FormatvorlageInstructionsTabelleText"/>
                <w:rFonts w:ascii="Times New Roman" w:hAnsi="Times New Roman"/>
                <w:bCs w:val="0"/>
                <w:sz w:val="24"/>
              </w:rPr>
            </w:pPr>
            <w:r w:rsidRPr="00DA7625">
              <w:rPr>
                <w:rStyle w:val="FormatvorlageInstructionsTabelleText"/>
                <w:rFonts w:ascii="Times New Roman" w:hAnsi="Times New Roman"/>
                <w:sz w:val="24"/>
              </w:rPr>
              <w:t>A belső modelleken alapuló módszert alkalmazó intézmények (a CRR 155. cikkének (4) bekezdése) a kért információkat a 100. sorban tüntetik fel.</w:t>
            </w:r>
          </w:p>
        </w:tc>
      </w:tr>
      <w:tr w:rsidR="001B1411" w:rsidRPr="00DA7625"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77777777" w:rsidR="001B1411" w:rsidRPr="00DA7625" w:rsidRDefault="00C61FF5">
            <w:pPr>
              <w:spacing w:beforeLines="60" w:before="144" w:afterLines="60" w:after="144"/>
              <w:rPr>
                <w:rStyle w:val="InstructionsTabelleText"/>
                <w:rFonts w:ascii="Times New Roman" w:hAnsi="Times New Roman"/>
                <w:bCs/>
                <w:sz w:val="24"/>
              </w:rPr>
            </w:pPr>
            <w:r w:rsidRPr="00DA7625">
              <w:rPr>
                <w:rStyle w:val="InstructionsTabelleText"/>
                <w:rFonts w:ascii="Times New Roman" w:hAnsi="Times New Roman"/>
                <w:sz w:val="24"/>
              </w:rPr>
              <w:t>CR EQU IRB 1 – 110. sor</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1B1411" w:rsidRPr="00DA7625" w:rsidRDefault="00C61FF5">
            <w:pPr>
              <w:rPr>
                <w:rStyle w:val="InstructionsTabelleberschrift"/>
                <w:rFonts w:ascii="Times New Roman" w:hAnsi="Times New Roman"/>
                <w:sz w:val="24"/>
              </w:rPr>
            </w:pPr>
            <w:r w:rsidRPr="00DA7625">
              <w:rPr>
                <w:rStyle w:val="InstructionsTabelleberschrift"/>
                <w:rFonts w:ascii="Times New Roman" w:hAnsi="Times New Roman"/>
                <w:sz w:val="24"/>
              </w:rPr>
              <w:t>KOCKÁZATI SÚLYOZÁS ALÁ TARTOZÓ RÉSZVÉNYJELLEGŰ KITETTSÉGEK</w:t>
            </w:r>
          </w:p>
          <w:p w14:paraId="4B76CB87" w14:textId="046A42A7" w:rsidR="001B1411" w:rsidRPr="00DA7625" w:rsidRDefault="00C61FF5">
            <w:pPr>
              <w:rPr>
                <w:rFonts w:ascii="Times New Roman" w:hAnsi="Times New Roman"/>
                <w:sz w:val="24"/>
              </w:rPr>
            </w:pPr>
            <w:r w:rsidRPr="00DA7625">
              <w:rPr>
                <w:rFonts w:ascii="Times New Roman" w:hAnsi="Times New Roman"/>
                <w:sz w:val="24"/>
              </w:rPr>
              <w:t>Az IRB-módszert alkalmazó intézményeknek adatot kell szolgáltatniuk az olyan részvényjellegű kitettségekre vonatkozó kockázattal súlyozott kitettségértékekről, amelyekre fix kockázati súly alkalmazandó (azonban az egyszerű kockázati súlyozási módszer kifejezett alkalmazása, vagy a hitelkockázati sztenderd módszer átmeneti vagy tartós mentesítés alapján történő alkalmazása nélkül). Például:</w:t>
            </w:r>
          </w:p>
          <w:p w14:paraId="276AD23C" w14:textId="3696C320" w:rsidR="001B1411" w:rsidRPr="00DA7625" w:rsidRDefault="00C61FF5">
            <w:pPr>
              <w:rPr>
                <w:rStyle w:val="FormatvorlageInstructionsTabelleText"/>
                <w:rFonts w:ascii="Times New Roman" w:hAnsi="Times New Roman"/>
                <w:sz w:val="24"/>
              </w:rPr>
            </w:pPr>
            <w:r w:rsidRPr="00DA7625">
              <w:rPr>
                <w:rFonts w:ascii="Times New Roman" w:hAnsi="Times New Roman"/>
                <w:sz w:val="24"/>
              </w:rPr>
              <w:t xml:space="preserve">– </w:t>
            </w:r>
            <w:r w:rsidRPr="00DA7625">
              <w:rPr>
                <w:rStyle w:val="FormatvorlageInstructionsTabelleText"/>
                <w:rFonts w:ascii="Times New Roman" w:hAnsi="Times New Roman"/>
                <w:sz w:val="24"/>
              </w:rPr>
              <w:t>a pénzügyi ágazatbeli szervezetekkel szemben fennálló, a CRR 48. cikkének (4) bekezdése szerint kezelt részvényjellegű pozíciók kockázattal súlyozott kitettségértékét, valamint</w:t>
            </w:r>
          </w:p>
          <w:p w14:paraId="4810199E" w14:textId="50C885C1" w:rsidR="001B1411" w:rsidRPr="00DA7625" w:rsidRDefault="00C61FF5">
            <w:pPr>
              <w:rPr>
                <w:rStyle w:val="FormatvorlageInstructionsTabelleText"/>
                <w:rFonts w:ascii="Times New Roman" w:hAnsi="Times New Roman"/>
                <w:sz w:val="24"/>
              </w:rPr>
            </w:pPr>
            <w:r w:rsidRPr="00DA7625">
              <w:rPr>
                <w:rStyle w:val="FormatvorlageInstructionsTabelleText"/>
                <w:rFonts w:ascii="Times New Roman" w:hAnsi="Times New Roman"/>
                <w:sz w:val="24"/>
              </w:rPr>
              <w:t xml:space="preserve">– a CRR 471. cikkének (2) bekezdése szerint 370 %-os kockázati súlyú részvényjellegű pozíciókat </w:t>
            </w:r>
          </w:p>
          <w:p w14:paraId="2CB3A9BA" w14:textId="77777777" w:rsidR="001B1411" w:rsidRPr="00DA7625" w:rsidRDefault="00C61FF5">
            <w:pPr>
              <w:rPr>
                <w:rStyle w:val="FormatvorlageInstructionsTabelleText"/>
                <w:rFonts w:ascii="Times New Roman" w:hAnsi="Times New Roman"/>
                <w:sz w:val="24"/>
              </w:rPr>
            </w:pPr>
            <w:r w:rsidRPr="00DA7625">
              <w:rPr>
                <w:rStyle w:val="FormatvorlageInstructionsTabelleText"/>
                <w:rFonts w:ascii="Times New Roman" w:hAnsi="Times New Roman"/>
                <w:sz w:val="24"/>
              </w:rPr>
              <w:t>a 110. sorban kell feltüntetni.</w:t>
            </w:r>
          </w:p>
        </w:tc>
      </w:tr>
      <w:tr w:rsidR="001B1411" w:rsidRPr="00DA7625"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1B1411" w:rsidRPr="00DA7625" w:rsidRDefault="00C61FF5">
            <w:pPr>
              <w:rPr>
                <w:rStyle w:val="InstructionsTabelleText"/>
                <w:rFonts w:ascii="Times New Roman" w:hAnsi="Times New Roman"/>
                <w:sz w:val="24"/>
              </w:rPr>
            </w:pPr>
            <w:r w:rsidRPr="00DA7625">
              <w:rPr>
                <w:rStyle w:val="InstructionsTabelleText"/>
                <w:rFonts w:ascii="Times New Roman" w:hAnsi="Times New Roman"/>
                <w:sz w:val="24"/>
              </w:rPr>
              <w:lastRenderedPageBreak/>
              <w:t>CR EQU IRB 2</w:t>
            </w:r>
          </w:p>
          <w:p w14:paraId="7BAE5549" w14:textId="77777777" w:rsidR="001B1411" w:rsidRPr="00DA7625" w:rsidRDefault="001B1411">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1B1411" w:rsidRPr="00DA7625" w:rsidRDefault="00C61FF5">
            <w:pPr>
              <w:keepNext/>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A TELJES KITETTSÉG ÜGYFÉL-KATEGÓRIA SZERINTI BONTÁSA A PD/LGD-MÓDSZER ALAPJÁN</w:t>
            </w:r>
          </w:p>
          <w:p w14:paraId="3CBD70B6" w14:textId="37C022DE" w:rsidR="001B1411" w:rsidRPr="00DA7625" w:rsidRDefault="00C61FF5">
            <w:pPr>
              <w:keepNext/>
              <w:spacing w:beforeLines="60" w:before="144" w:afterLines="60" w:after="144"/>
              <w:rPr>
                <w:rStyle w:val="InstructionsTabelleText"/>
                <w:rFonts w:ascii="Times New Roman" w:hAnsi="Times New Roman"/>
                <w:sz w:val="24"/>
              </w:rPr>
            </w:pPr>
            <w:r w:rsidRPr="00DA7625">
              <w:rPr>
                <w:rStyle w:val="InstructionsTabelleText"/>
                <w:rFonts w:ascii="Times New Roman" w:hAnsi="Times New Roman"/>
                <w:sz w:val="24"/>
              </w:rPr>
              <w:t>A PD/LGD-módszert alkalmazó intézmények (a CRR 155. cikkének (3) bekezdése) a kért információkat a CR EQU IRB 2 táblán tüntetik fel.</w:t>
            </w:r>
          </w:p>
          <w:p w14:paraId="4A99D5E0" w14:textId="7EE2DEA1" w:rsidR="001B1411" w:rsidRPr="00DA7625" w:rsidRDefault="00D021AF">
            <w:pPr>
              <w:rPr>
                <w:rStyle w:val="InstructionsTabelleberschrift"/>
                <w:rFonts w:ascii="Times New Roman" w:hAnsi="Times New Roman"/>
                <w:b w:val="0"/>
                <w:bCs w:val="0"/>
                <w:sz w:val="24"/>
                <w:u w:val="none"/>
              </w:rPr>
            </w:pPr>
            <w:r w:rsidRPr="00DA7625">
              <w:rPr>
                <w:rStyle w:val="InstructionsTabelleText"/>
                <w:rFonts w:ascii="Times New Roman" w:hAnsi="Times New Roman"/>
                <w:sz w:val="24"/>
              </w:rPr>
              <w:t>Annak a PD/LGD-módszert alkalmazó intézménynek, amely egyedi minősítési rendszert alkalmaz, vagy az adatszolgáltatást irányadó belső skála alapján tudja teljesíteni, a CR EQU IRB 2 táblán az egyedi minősítési rendszer/irányadó skála szerinti minősítési kategóriákat vagy halmazokat kell megadnia. Minden más esetben a különböző minősítési rendszereket a következő kritériumok alapján kell összevonni és rangsorolni: a különböző minősítési rendszerek ügyfél-kategóriáit vagy -halmazait össze kell vonni, majd az egyes ügyfél-kategóriákhoz vagy -halmazokhoz rendelt PD-érték alapján növekvő sorrendbe kell állítani.</w:t>
            </w:r>
          </w:p>
        </w:tc>
      </w:tr>
    </w:tbl>
    <w:p w14:paraId="6FA66299" w14:textId="77777777" w:rsidR="001B1411" w:rsidRPr="00DA7625" w:rsidRDefault="001B1411">
      <w:pPr>
        <w:spacing w:before="0" w:after="0"/>
        <w:jc w:val="left"/>
        <w:rPr>
          <w:rStyle w:val="InstructionsTabelleText"/>
          <w:rFonts w:ascii="Times New Roman" w:hAnsi="Times New Roman"/>
          <w:sz w:val="24"/>
        </w:rPr>
      </w:pPr>
    </w:p>
    <w:p w14:paraId="5D217367"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60" w:name="_Toc31018806"/>
      <w:r w:rsidRPr="00DA7625">
        <w:rPr>
          <w:rFonts w:ascii="Times New Roman" w:hAnsi="Times New Roman"/>
          <w:sz w:val="24"/>
          <w:u w:val="none"/>
        </w:rPr>
        <w:t>3.6.</w:t>
      </w:r>
      <w:r w:rsidRPr="00DA7625">
        <w:rPr>
          <w:rFonts w:ascii="Times New Roman" w:hAnsi="Times New Roman"/>
          <w:sz w:val="24"/>
          <w:u w:val="none"/>
        </w:rPr>
        <w:tab/>
      </w:r>
      <w:r w:rsidRPr="00DA7625">
        <w:rPr>
          <w:rFonts w:ascii="Times New Roman" w:hAnsi="Times New Roman"/>
          <w:sz w:val="24"/>
        </w:rPr>
        <w:t>C 11.00 – Elszámolási/teljesítési kockázat (CR SETT)</w:t>
      </w:r>
      <w:bookmarkEnd w:id="60"/>
    </w:p>
    <w:p w14:paraId="67551EF1"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61" w:name="_Toc31018807"/>
      <w:r w:rsidRPr="00DA7625">
        <w:rPr>
          <w:rFonts w:ascii="Times New Roman" w:hAnsi="Times New Roman"/>
          <w:sz w:val="24"/>
          <w:u w:val="none"/>
        </w:rPr>
        <w:t>3.6.1.</w:t>
      </w:r>
      <w:r w:rsidRPr="00DA7625">
        <w:rPr>
          <w:rFonts w:ascii="Times New Roman" w:hAnsi="Times New Roman"/>
          <w:sz w:val="24"/>
          <w:u w:val="none"/>
        </w:rPr>
        <w:tab/>
      </w:r>
      <w:r w:rsidRPr="00DA7625">
        <w:rPr>
          <w:rFonts w:ascii="Times New Roman" w:hAnsi="Times New Roman"/>
          <w:sz w:val="24"/>
        </w:rPr>
        <w:t>Általános megjegyzések</w:t>
      </w:r>
      <w:bookmarkEnd w:id="61"/>
    </w:p>
    <w:p w14:paraId="4790EC4D" w14:textId="03F851B3" w:rsidR="001B1411" w:rsidRPr="00DA7625" w:rsidRDefault="00125707">
      <w:pPr>
        <w:pStyle w:val="InstructionsText2"/>
        <w:numPr>
          <w:ilvl w:val="0"/>
          <w:numId w:val="0"/>
        </w:numPr>
        <w:ind w:left="993"/>
      </w:pPr>
      <w:r w:rsidRPr="00DA7625">
        <w:t>93.</w:t>
      </w:r>
      <w:r w:rsidRPr="00DA7625">
        <w:tab/>
        <w:t xml:space="preserve">A tábla a kereskedési könyvben és a nem kereskedési könyvben nyilvántartott olyan ügyletekről kér információt, amelyek kiegyenlítése a teljesítési határidejükig nem történt meg, továbbá az elszámolási kockázat kapcsolódó szavatolótőke-követelményéről a CRR 92. cikke (3) bekezdése c) pontjának ii. alpontjában, valamint 378. cikkében említetteknek megfelelően. </w:t>
      </w:r>
    </w:p>
    <w:p w14:paraId="1DC61D44" w14:textId="77777777" w:rsidR="001B1411" w:rsidRPr="00DA7625" w:rsidRDefault="00125707">
      <w:pPr>
        <w:pStyle w:val="InstructionsText2"/>
        <w:numPr>
          <w:ilvl w:val="0"/>
          <w:numId w:val="0"/>
        </w:numPr>
        <w:ind w:left="993"/>
      </w:pPr>
      <w:r w:rsidRPr="00DA7625">
        <w:t>94.</w:t>
      </w:r>
      <w:r w:rsidRPr="00DA7625">
        <w:tab/>
        <w:t xml:space="preserve">Az intézmények a CR SETT táblán az elszámolási/teljesítési kockázattal kapcsolatos információkat adnak meg a kereskedési könyvben és a nem kereskedési könyvben nyilvántartott hitelviszonyt megtestesítő értékpapírokra, részvényekre, külföldi pénznemekre és árukra vonatkozóan. </w:t>
      </w:r>
    </w:p>
    <w:p w14:paraId="545D84A1" w14:textId="5D66B72A" w:rsidR="001B1411" w:rsidRPr="00DA7625" w:rsidRDefault="00125707">
      <w:pPr>
        <w:pStyle w:val="InstructionsText2"/>
        <w:numPr>
          <w:ilvl w:val="0"/>
          <w:numId w:val="0"/>
        </w:numPr>
        <w:ind w:left="993"/>
      </w:pPr>
      <w:r w:rsidRPr="00DA7625">
        <w:t>95.</w:t>
      </w:r>
      <w:r w:rsidRPr="00DA7625">
        <w:tab/>
        <w:t>A CRR 378. cikke szerint az elszámolási/teljesítési kockázatra vonatkozó szavatolótőke-követelmény nem érinti a repoügyleteket, valamint a hitelviszonyt megtestesítő értékpapírokkal, részvényekkel, külföldi pénznemekkel vagy áruval kapcsolatos értékpapír- és áru-kölcsönbeadási, illetve -kölcsönvételi ügyleteket. Ügyelni kell azonban arra, hogy a teljesítési határidőig ki nem egyenlített származtatott ügyletek és hosszú teljesítési idejű ügyletek ettől függetlenül a CRR 378. cikke szerint meghatározott, az elszámolási/teljesítési kockázatra vonatkozó szavatolótőke-követelmény hatálya alá esnek.</w:t>
      </w:r>
    </w:p>
    <w:p w14:paraId="22B606E8" w14:textId="7D57A456" w:rsidR="001B1411" w:rsidRPr="00DA7625" w:rsidRDefault="00125707">
      <w:pPr>
        <w:pStyle w:val="InstructionsText2"/>
        <w:numPr>
          <w:ilvl w:val="0"/>
          <w:numId w:val="0"/>
        </w:numPr>
        <w:ind w:left="993"/>
      </w:pPr>
      <w:r w:rsidRPr="00DA7625">
        <w:t>96.</w:t>
      </w:r>
      <w:r w:rsidRPr="00DA7625">
        <w:tab/>
        <w:t xml:space="preserve">A teljesítési határidőig ki nem egyenlített ügyletek esetében az intézményeknek ki kell számítaniuk a felmerült árkülönbözetet. Ez az adott hitelviszonyt megtestesítő értékpapír, részvény, külföldi pénznem vagy áru kikötött teljesítési ára és aktuális piaci értéke közötti különbözet, ahol a különbözet veszteséget is jelenthet az intézmény számára. </w:t>
      </w:r>
    </w:p>
    <w:p w14:paraId="3C33B3C5" w14:textId="433DF7A1" w:rsidR="001B1411" w:rsidRPr="00DA7625" w:rsidRDefault="00125707">
      <w:pPr>
        <w:pStyle w:val="InstructionsText2"/>
        <w:numPr>
          <w:ilvl w:val="0"/>
          <w:numId w:val="0"/>
        </w:numPr>
        <w:ind w:left="993"/>
      </w:pPr>
      <w:r w:rsidRPr="00DA7625">
        <w:t>97.</w:t>
      </w:r>
      <w:r w:rsidRPr="00DA7625">
        <w:tab/>
        <w:t>Az intézmények a különbözetet a CRR 378. cikkében található 1. táblázat megfelelő szorzójával megszorozva határozzák meg a vonatkozó szavatolótőke-követelményt.</w:t>
      </w:r>
    </w:p>
    <w:p w14:paraId="26845CF7" w14:textId="17CD59B8" w:rsidR="001B1411" w:rsidRPr="00DA7625" w:rsidRDefault="00125707">
      <w:pPr>
        <w:pStyle w:val="InstructionsText2"/>
        <w:numPr>
          <w:ilvl w:val="0"/>
          <w:numId w:val="0"/>
        </w:numPr>
        <w:ind w:left="993"/>
      </w:pPr>
      <w:r w:rsidRPr="00DA7625">
        <w:lastRenderedPageBreak/>
        <w:t>98.</w:t>
      </w:r>
      <w:r w:rsidRPr="00DA7625">
        <w:tab/>
        <w:t>A 92. cikk (4) bekezdésének b) pontja szerint a kockázati kitettség összegének kiszámításához az elszámolási/teljesítési kockázatra vonatkozó szavatolótőke-követelményt 12,5-del kell megszorozni.</w:t>
      </w:r>
    </w:p>
    <w:p w14:paraId="3EEF45C0" w14:textId="24A8C6AE" w:rsidR="001B1411" w:rsidRPr="00DA7625" w:rsidRDefault="00125707">
      <w:pPr>
        <w:pStyle w:val="InstructionsText2"/>
        <w:numPr>
          <w:ilvl w:val="0"/>
          <w:numId w:val="0"/>
        </w:numPr>
        <w:ind w:left="993"/>
      </w:pPr>
      <w:r w:rsidRPr="00DA7625">
        <w:t>99.</w:t>
      </w:r>
      <w:r w:rsidRPr="00DA7625">
        <w:tab/>
        <w:t>Ügyelni kell arra, hogy a CR SETT tábla alkalmazás köre nem terjed ki a nyitva szállításokra vonatkozó, a CRR 379. cikkében rögzített szavatolótőke-követelményre; azt a hitelkockázati táblacsoporton (CR SA, CR IRB) kell feltüntetni.</w:t>
      </w:r>
    </w:p>
    <w:p w14:paraId="7C539E4E"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62" w:name="_Toc31018808"/>
      <w:r w:rsidRPr="00DA7625">
        <w:rPr>
          <w:rFonts w:ascii="Times New Roman" w:hAnsi="Times New Roman"/>
          <w:sz w:val="24"/>
          <w:u w:val="none"/>
        </w:rPr>
        <w:t>3.6.2.</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B1411" w:rsidRPr="00DA7625" w14:paraId="5575C142" w14:textId="77777777" w:rsidTr="00672D2A">
        <w:tc>
          <w:tcPr>
            <w:tcW w:w="8856" w:type="dxa"/>
            <w:gridSpan w:val="2"/>
            <w:shd w:val="clear" w:color="auto" w:fill="CCCCCC"/>
          </w:tcPr>
          <w:p w14:paraId="2EED0216" w14:textId="77777777" w:rsidR="001B1411" w:rsidRPr="00DA7625" w:rsidRDefault="00612780">
            <w:pPr>
              <w:spacing w:beforeLines="60" w:before="144" w:afterLines="60" w:after="144"/>
              <w:rPr>
                <w:rFonts w:ascii="Times New Roman" w:hAnsi="Times New Roman"/>
                <w:b/>
                <w:sz w:val="24"/>
              </w:rPr>
            </w:pPr>
            <w:r w:rsidRPr="00DA7625">
              <w:rPr>
                <w:rFonts w:ascii="Times New Roman" w:hAnsi="Times New Roman"/>
                <w:b/>
                <w:sz w:val="24"/>
              </w:rPr>
              <w:t>Oszlopok</w:t>
            </w:r>
          </w:p>
        </w:tc>
      </w:tr>
      <w:tr w:rsidR="001B1411" w:rsidRPr="00DA7625" w14:paraId="60A7F75E" w14:textId="77777777" w:rsidTr="00672D2A">
        <w:tc>
          <w:tcPr>
            <w:tcW w:w="852" w:type="dxa"/>
          </w:tcPr>
          <w:p w14:paraId="2183F4D1" w14:textId="77777777" w:rsidR="001B1411" w:rsidRPr="00DA7625" w:rsidRDefault="00612780">
            <w:pPr>
              <w:spacing w:beforeLines="60" w:before="144" w:afterLines="60" w:after="144"/>
              <w:rPr>
                <w:rFonts w:ascii="Times New Roman" w:hAnsi="Times New Roman"/>
                <w:sz w:val="24"/>
              </w:rPr>
            </w:pPr>
            <w:r w:rsidRPr="00DA7625">
              <w:rPr>
                <w:rFonts w:ascii="Times New Roman" w:hAnsi="Times New Roman"/>
                <w:sz w:val="24"/>
              </w:rPr>
              <w:t>010</w:t>
            </w:r>
          </w:p>
        </w:tc>
        <w:tc>
          <w:tcPr>
            <w:tcW w:w="8004" w:type="dxa"/>
          </w:tcPr>
          <w:p w14:paraId="5E53C8B8" w14:textId="77777777" w:rsidR="001B1411" w:rsidRPr="00DA7625" w:rsidRDefault="00612780">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KI NEM EGYENLÍTETT ÜGYLETEK TELJESÍTÉSI ÁRA</w:t>
            </w:r>
          </w:p>
          <w:p w14:paraId="4F483008" w14:textId="73FBE602" w:rsidR="001B1411" w:rsidRPr="00DA7625" w:rsidRDefault="00A16FFF">
            <w:pPr>
              <w:spacing w:beforeLines="60" w:before="144" w:afterLines="60" w:after="144"/>
              <w:rPr>
                <w:rFonts w:ascii="Times New Roman" w:hAnsi="Times New Roman"/>
                <w:sz w:val="24"/>
              </w:rPr>
            </w:pPr>
            <w:r w:rsidRPr="00DA7625">
              <w:rPr>
                <w:rFonts w:ascii="Times New Roman" w:hAnsi="Times New Roman"/>
                <w:sz w:val="24"/>
              </w:rPr>
              <w:t xml:space="preserve">A CRR 378. cikkében említetteknek megfelelően az intézmények a teljesítési határidőig ki nem egyenlített ügyleteket azok elfogadott teljesítési árán tüntetik fel. </w:t>
            </w:r>
          </w:p>
          <w:p w14:paraId="1F67800B" w14:textId="21B3D72F" w:rsidR="001B1411" w:rsidRPr="00DA7625" w:rsidRDefault="00612780">
            <w:pPr>
              <w:spacing w:beforeLines="60" w:before="144" w:afterLines="60" w:after="144"/>
              <w:rPr>
                <w:rFonts w:ascii="Times New Roman" w:hAnsi="Times New Roman"/>
                <w:sz w:val="24"/>
              </w:rPr>
            </w:pPr>
            <w:r w:rsidRPr="00DA7625">
              <w:rPr>
                <w:rFonts w:ascii="Times New Roman" w:hAnsi="Times New Roman"/>
                <w:sz w:val="24"/>
              </w:rPr>
              <w:t>Ebben az oszlopban minden ki nem egyenlített ügyletet fel kell tüntetni attól függetlenül, hogy a teljesítési határidőt követően nyereséget vagy veszteséget mutatnak.</w:t>
            </w:r>
          </w:p>
        </w:tc>
      </w:tr>
      <w:tr w:rsidR="001B1411" w:rsidRPr="00DA7625" w14:paraId="7D156DB1" w14:textId="77777777" w:rsidTr="00672D2A">
        <w:tc>
          <w:tcPr>
            <w:tcW w:w="852" w:type="dxa"/>
          </w:tcPr>
          <w:p w14:paraId="26C9B508" w14:textId="77777777" w:rsidR="001B1411" w:rsidRPr="00DA7625" w:rsidRDefault="00612780">
            <w:pPr>
              <w:spacing w:beforeLines="60" w:before="144" w:afterLines="60" w:after="144"/>
              <w:rPr>
                <w:rFonts w:ascii="Times New Roman" w:hAnsi="Times New Roman"/>
                <w:sz w:val="24"/>
              </w:rPr>
            </w:pPr>
            <w:r w:rsidRPr="00DA7625">
              <w:rPr>
                <w:rFonts w:ascii="Times New Roman" w:hAnsi="Times New Roman"/>
                <w:sz w:val="24"/>
              </w:rPr>
              <w:t>020</w:t>
            </w:r>
          </w:p>
        </w:tc>
        <w:tc>
          <w:tcPr>
            <w:tcW w:w="8004" w:type="dxa"/>
          </w:tcPr>
          <w:p w14:paraId="2332AC41" w14:textId="77777777" w:rsidR="001B1411" w:rsidRPr="00DA7625" w:rsidRDefault="00612780">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A KI NEM EGYENLÍTETT ÜGYLETEKBŐL EREDŐ ÁRKÜLÖNBÖZETI KITETTSÉG</w:t>
            </w:r>
          </w:p>
          <w:p w14:paraId="6A0703DD" w14:textId="44103163" w:rsidR="001B1411" w:rsidRPr="00DA7625" w:rsidRDefault="00A16FFF">
            <w:pPr>
              <w:spacing w:beforeLines="60" w:before="144" w:afterLines="60" w:after="144"/>
              <w:rPr>
                <w:rFonts w:ascii="Times New Roman" w:hAnsi="Times New Roman"/>
                <w:sz w:val="24"/>
              </w:rPr>
            </w:pPr>
            <w:r w:rsidRPr="00DA7625">
              <w:rPr>
                <w:rFonts w:ascii="Times New Roman" w:hAnsi="Times New Roman"/>
                <w:sz w:val="24"/>
              </w:rPr>
              <w:t xml:space="preserve">Az intézmények feltüntetik az adott hitelviszonyt megtestesítő értékpapír, részvény, külföldi pénznem vagy áru kikötött teljesítési ára és aktuális piaci értéke közötti különbözetet, ahol a különbözet veszteséget is jelenthet az intézmény számára, a CRR 378. cikkében említetteknek megfelelően. </w:t>
            </w:r>
          </w:p>
          <w:p w14:paraId="2A2C35B7" w14:textId="3C4384AC" w:rsidR="001B1411" w:rsidRPr="00DA7625" w:rsidRDefault="00612780">
            <w:pPr>
              <w:spacing w:beforeLines="60" w:before="144" w:afterLines="60" w:after="144"/>
              <w:rPr>
                <w:rFonts w:ascii="Times New Roman" w:hAnsi="Times New Roman"/>
                <w:sz w:val="24"/>
              </w:rPr>
            </w:pPr>
            <w:r w:rsidRPr="00DA7625">
              <w:rPr>
                <w:rFonts w:ascii="Times New Roman" w:hAnsi="Times New Roman"/>
                <w:sz w:val="24"/>
              </w:rPr>
              <w:t>Ebben az oszlopban kizárólag azokat a ki nem egyenlített ügyleteket kell feltüntetni, amelyek a teljesítési határidőt követően veszteséget mutatnak.</w:t>
            </w:r>
          </w:p>
        </w:tc>
      </w:tr>
      <w:tr w:rsidR="001B1411" w:rsidRPr="00DA7625" w14:paraId="50BA0E72" w14:textId="77777777" w:rsidTr="00672D2A">
        <w:tc>
          <w:tcPr>
            <w:tcW w:w="852" w:type="dxa"/>
          </w:tcPr>
          <w:p w14:paraId="3A1E12B1" w14:textId="77777777" w:rsidR="001B1411" w:rsidRPr="00DA7625" w:rsidRDefault="00612780">
            <w:pPr>
              <w:spacing w:beforeLines="60" w:before="144" w:afterLines="60" w:after="144"/>
              <w:rPr>
                <w:rFonts w:ascii="Times New Roman" w:hAnsi="Times New Roman"/>
                <w:sz w:val="24"/>
              </w:rPr>
            </w:pPr>
            <w:r w:rsidRPr="00DA7625">
              <w:rPr>
                <w:rFonts w:ascii="Times New Roman" w:hAnsi="Times New Roman"/>
                <w:sz w:val="24"/>
              </w:rPr>
              <w:t>030</w:t>
            </w:r>
          </w:p>
        </w:tc>
        <w:tc>
          <w:tcPr>
            <w:tcW w:w="8004" w:type="dxa"/>
          </w:tcPr>
          <w:p w14:paraId="2EBFDFA7" w14:textId="77777777" w:rsidR="001B1411" w:rsidRPr="00DA7625" w:rsidRDefault="00612780">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SZAVATOLÓTŐKE-KÖVETELMÉNY</w:t>
            </w:r>
          </w:p>
          <w:p w14:paraId="11F3CADC" w14:textId="58890F22" w:rsidR="001B1411" w:rsidRPr="00DA7625" w:rsidRDefault="00612780">
            <w:pPr>
              <w:spacing w:beforeLines="60" w:before="144" w:afterLines="60" w:after="144"/>
              <w:rPr>
                <w:rFonts w:ascii="Times New Roman" w:hAnsi="Times New Roman"/>
                <w:sz w:val="24"/>
              </w:rPr>
            </w:pPr>
            <w:r w:rsidRPr="00DA7625">
              <w:rPr>
                <w:rFonts w:ascii="Times New Roman" w:hAnsi="Times New Roman"/>
                <w:sz w:val="24"/>
              </w:rPr>
              <w:t>Az intézmények feltüntetik a CRR 378. cikke szerint kiszámított szavatolótőke-követelményt.</w:t>
            </w:r>
          </w:p>
        </w:tc>
      </w:tr>
      <w:tr w:rsidR="001B1411" w:rsidRPr="00DA7625" w14:paraId="30291023" w14:textId="77777777" w:rsidTr="00672D2A">
        <w:tc>
          <w:tcPr>
            <w:tcW w:w="852" w:type="dxa"/>
          </w:tcPr>
          <w:p w14:paraId="0CC911EB" w14:textId="77777777" w:rsidR="001B1411" w:rsidRPr="00DA7625" w:rsidRDefault="00612780">
            <w:pPr>
              <w:spacing w:beforeLines="60" w:before="144" w:afterLines="60" w:after="144"/>
              <w:rPr>
                <w:rFonts w:ascii="Times New Roman" w:hAnsi="Times New Roman"/>
                <w:sz w:val="24"/>
              </w:rPr>
            </w:pPr>
            <w:r w:rsidRPr="00DA7625">
              <w:rPr>
                <w:rFonts w:ascii="Times New Roman" w:hAnsi="Times New Roman"/>
                <w:sz w:val="24"/>
              </w:rPr>
              <w:t>040</w:t>
            </w:r>
          </w:p>
        </w:tc>
        <w:tc>
          <w:tcPr>
            <w:tcW w:w="8004" w:type="dxa"/>
          </w:tcPr>
          <w:p w14:paraId="18C12A6F" w14:textId="77777777" w:rsidR="001B1411" w:rsidRPr="00DA7625" w:rsidRDefault="00612780">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ELSZÁMOLÁSI KOCKÁZAT TELJES KOCKÁZATI KITETTSÉGÉRTÉKE</w:t>
            </w:r>
          </w:p>
          <w:p w14:paraId="4585916E" w14:textId="035C6AA0" w:rsidR="001B1411" w:rsidRPr="00DA7625" w:rsidRDefault="00612780">
            <w:pPr>
              <w:spacing w:beforeLines="60" w:before="144" w:afterLines="60" w:after="144"/>
              <w:rPr>
                <w:rFonts w:ascii="Times New Roman" w:hAnsi="Times New Roman"/>
                <w:sz w:val="24"/>
              </w:rPr>
            </w:pPr>
            <w:r w:rsidRPr="00DA7625">
              <w:rPr>
                <w:rFonts w:ascii="Times New Roman" w:hAnsi="Times New Roman"/>
                <w:sz w:val="24"/>
              </w:rPr>
              <w:t>A CRR 92. cikke (4) bekezdésének b) pontja szerint az intézmények az elszámolási kockázati kitettség összegének kiszámításához a 030-as oszlopban feltüntetett szavatolótőke-követelményt 12,5-del szorozzák meg.</w:t>
            </w:r>
          </w:p>
        </w:tc>
      </w:tr>
    </w:tbl>
    <w:p w14:paraId="325CED20" w14:textId="77777777" w:rsidR="001B1411" w:rsidRPr="00DA7625" w:rsidRDefault="001B1411">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1B1411" w:rsidRPr="00DA7625" w14:paraId="073135B3" w14:textId="77777777" w:rsidTr="00672D2A">
        <w:tc>
          <w:tcPr>
            <w:tcW w:w="8862" w:type="dxa"/>
            <w:gridSpan w:val="2"/>
            <w:shd w:val="clear" w:color="auto" w:fill="CCCCCC"/>
          </w:tcPr>
          <w:p w14:paraId="3201B95F" w14:textId="77777777" w:rsidR="001B1411" w:rsidRPr="00DA7625" w:rsidRDefault="00612780">
            <w:pPr>
              <w:spacing w:beforeLines="60" w:before="144" w:afterLines="60" w:after="144"/>
              <w:rPr>
                <w:rFonts w:ascii="Times New Roman" w:hAnsi="Times New Roman"/>
                <w:b/>
                <w:sz w:val="24"/>
              </w:rPr>
            </w:pPr>
            <w:r w:rsidRPr="00DA7625">
              <w:rPr>
                <w:rFonts w:ascii="Times New Roman" w:hAnsi="Times New Roman"/>
                <w:b/>
                <w:sz w:val="24"/>
              </w:rPr>
              <w:t>Sor</w:t>
            </w:r>
          </w:p>
        </w:tc>
      </w:tr>
      <w:tr w:rsidR="001B1411" w:rsidRPr="00DA7625" w14:paraId="0189EB04" w14:textId="77777777" w:rsidTr="00672D2A">
        <w:tc>
          <w:tcPr>
            <w:tcW w:w="852" w:type="dxa"/>
          </w:tcPr>
          <w:p w14:paraId="05E5D2BF" w14:textId="77777777" w:rsidR="001B1411" w:rsidRPr="00DA7625" w:rsidRDefault="00612780">
            <w:pPr>
              <w:spacing w:beforeLines="60" w:before="144" w:afterLines="60" w:after="144"/>
              <w:rPr>
                <w:rFonts w:ascii="Times New Roman" w:hAnsi="Times New Roman"/>
                <w:sz w:val="24"/>
              </w:rPr>
            </w:pPr>
            <w:r w:rsidRPr="00DA7625">
              <w:rPr>
                <w:rFonts w:ascii="Times New Roman" w:hAnsi="Times New Roman"/>
                <w:sz w:val="24"/>
              </w:rPr>
              <w:t>010</w:t>
            </w:r>
          </w:p>
        </w:tc>
        <w:tc>
          <w:tcPr>
            <w:tcW w:w="8010" w:type="dxa"/>
          </w:tcPr>
          <w:p w14:paraId="5CD29E23" w14:textId="77777777" w:rsidR="001B1411" w:rsidRPr="00DA7625" w:rsidRDefault="00612780">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A nem kereskedési könyvi ki nem egyenlített ügyletek összesen</w:t>
            </w:r>
          </w:p>
          <w:p w14:paraId="170979C3" w14:textId="71CEE16F" w:rsidR="001B1411" w:rsidRPr="00DA7625" w:rsidRDefault="00612780">
            <w:pPr>
              <w:spacing w:beforeLines="60" w:before="144" w:afterLines="60" w:after="144"/>
              <w:rPr>
                <w:rFonts w:ascii="Times New Roman" w:hAnsi="Times New Roman"/>
                <w:sz w:val="24"/>
              </w:rPr>
            </w:pPr>
            <w:r w:rsidRPr="00DA7625">
              <w:rPr>
                <w:rFonts w:ascii="Times New Roman" w:hAnsi="Times New Roman"/>
                <w:sz w:val="24"/>
              </w:rPr>
              <w:lastRenderedPageBreak/>
              <w:t>Az intézmények összesített információkat közölnek a nem kereskedési könyvi pozíciók elszámolási/teljesítési kockázatával kapcsolatban (a CRR 92. cikke (3) bekezdése c) pontjának ii. alpontjában, valamint 378. cikkében említetteknek megfelelően).</w:t>
            </w:r>
          </w:p>
          <w:p w14:paraId="6190E788" w14:textId="28AB5D81" w:rsidR="001B1411" w:rsidRPr="00DA7625" w:rsidRDefault="00612780">
            <w:pPr>
              <w:spacing w:beforeLines="60" w:before="144"/>
              <w:rPr>
                <w:rFonts w:ascii="Times New Roman" w:hAnsi="Times New Roman"/>
                <w:sz w:val="24"/>
              </w:rPr>
            </w:pPr>
            <w:r w:rsidRPr="00DA7625">
              <w:rPr>
                <w:rFonts w:ascii="Times New Roman" w:hAnsi="Times New Roman"/>
                <w:sz w:val="24"/>
              </w:rPr>
              <w:t>Az intézmények az {r010;c010} cellában a teljesítési határidőig ki nem egyenlített ügyletek összesített értékét tüntetik fel azok elfogadott teljesítési árfolyamán.</w:t>
            </w:r>
          </w:p>
          <w:p w14:paraId="0F0F475E" w14:textId="512EF335" w:rsidR="001B1411" w:rsidRPr="00DA7625" w:rsidRDefault="00612780">
            <w:pPr>
              <w:spacing w:beforeLines="60" w:before="144"/>
              <w:rPr>
                <w:rFonts w:ascii="Times New Roman" w:hAnsi="Times New Roman"/>
                <w:sz w:val="24"/>
              </w:rPr>
            </w:pPr>
            <w:r w:rsidRPr="00DA7625">
              <w:rPr>
                <w:rFonts w:ascii="Times New Roman" w:hAnsi="Times New Roman"/>
                <w:sz w:val="24"/>
              </w:rPr>
              <w:t>Az intézmények az {r010;c020} cellában a nem teljesített, veszteséges ügyletekből eredő árkülönbözeti kitettségre vonatkozó összesített információkat tüntetik fel.</w:t>
            </w:r>
          </w:p>
          <w:p w14:paraId="58319765" w14:textId="3B601BC3" w:rsidR="001B1411" w:rsidRPr="00DA7625" w:rsidRDefault="00612780">
            <w:pPr>
              <w:spacing w:beforeLines="60" w:before="144" w:afterLines="60" w:after="144"/>
              <w:rPr>
                <w:rFonts w:ascii="Times New Roman" w:hAnsi="Times New Roman"/>
                <w:sz w:val="24"/>
              </w:rPr>
            </w:pPr>
            <w:r w:rsidRPr="00DA7625">
              <w:rPr>
                <w:rFonts w:ascii="Times New Roman" w:hAnsi="Times New Roman"/>
                <w:sz w:val="24"/>
              </w:rPr>
              <w:t>Az intézmények az {r010;c030] cellában az összesített szavatolótőke-követelményt tüntetik fel, amely a teljesítési határidő után eltelt munkanapok száma szerinti szorzó és a 020. oszlopban megadott árkülönbözet szorzatából adódó, a ki nem egyenlített ügyletekre vonatkozó szavatolótőke-követelmény (a CRR 378. cikkében található 1. táblázatban említett kategóriáknak megfelelően).</w:t>
            </w:r>
          </w:p>
        </w:tc>
      </w:tr>
      <w:tr w:rsidR="001B1411" w:rsidRPr="00DA7625" w14:paraId="1878C2AF" w14:textId="77777777" w:rsidTr="00672D2A">
        <w:tc>
          <w:tcPr>
            <w:tcW w:w="852" w:type="dxa"/>
          </w:tcPr>
          <w:p w14:paraId="2309AC75" w14:textId="77777777" w:rsidR="001B1411" w:rsidRPr="00DA7625" w:rsidRDefault="00612780">
            <w:pPr>
              <w:spacing w:beforeLines="60" w:before="144" w:afterLines="60" w:after="144"/>
              <w:rPr>
                <w:rFonts w:ascii="Times New Roman" w:hAnsi="Times New Roman"/>
                <w:sz w:val="24"/>
              </w:rPr>
            </w:pPr>
            <w:r w:rsidRPr="00DA7625">
              <w:rPr>
                <w:rFonts w:ascii="Times New Roman" w:hAnsi="Times New Roman"/>
                <w:sz w:val="24"/>
              </w:rPr>
              <w:lastRenderedPageBreak/>
              <w:t>020–060</w:t>
            </w:r>
          </w:p>
        </w:tc>
        <w:tc>
          <w:tcPr>
            <w:tcW w:w="8010" w:type="dxa"/>
          </w:tcPr>
          <w:p w14:paraId="4529BA3B" w14:textId="77777777" w:rsidR="001B1411" w:rsidRPr="00DA7625" w:rsidRDefault="00612780">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 xml:space="preserve">Legfeljebb 4 napig ki nem egyenlített ügyletek (0 %-os szorzó) </w:t>
            </w:r>
          </w:p>
          <w:p w14:paraId="6CDA317A" w14:textId="77777777" w:rsidR="001B1411" w:rsidRPr="00DA7625" w:rsidRDefault="00612780">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5–15 napig ki nem egyenlített ügyletek (8 %-os szorzó)</w:t>
            </w:r>
          </w:p>
          <w:p w14:paraId="09A8F4C8" w14:textId="77777777" w:rsidR="001B1411" w:rsidRPr="00DA7625" w:rsidRDefault="00612780">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16–30 napig ki nem egyenlített ügyletek (50 %-os szorzó)</w:t>
            </w:r>
          </w:p>
          <w:p w14:paraId="31C36005" w14:textId="77777777" w:rsidR="001B1411" w:rsidRPr="00DA7625" w:rsidRDefault="00612780">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31–45 napig ki nem egyenlített ügyletek (75 %-os szorzó)</w:t>
            </w:r>
          </w:p>
          <w:p w14:paraId="2F475E9C" w14:textId="77777777" w:rsidR="001B1411" w:rsidRPr="00DA7625" w:rsidRDefault="00612780">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Legalább 46 napig ki nem egyenlített ügyletek (100 %-os szorzó)</w:t>
            </w:r>
          </w:p>
          <w:p w14:paraId="60054263" w14:textId="0A554F81" w:rsidR="001B1411" w:rsidRPr="00DA7625" w:rsidRDefault="00612780">
            <w:pPr>
              <w:spacing w:beforeLines="60" w:before="144" w:afterLines="60" w:after="144"/>
              <w:rPr>
                <w:rFonts w:ascii="Times New Roman" w:hAnsi="Times New Roman"/>
                <w:sz w:val="24"/>
              </w:rPr>
            </w:pPr>
            <w:r w:rsidRPr="00DA7625">
              <w:rPr>
                <w:rFonts w:ascii="Times New Roman" w:hAnsi="Times New Roman"/>
                <w:sz w:val="24"/>
              </w:rPr>
              <w:t xml:space="preserve">Az intézmények a 020–060. sorban a nem kereskedési könyvi pozíciókra vonatkozó elszámolási/teljesítési kockázattal kapcsolatos információkat a CRR 378. cikkében található 1. táblázatban említett kategóriák szerint tüntetik fel. </w:t>
            </w:r>
          </w:p>
          <w:p w14:paraId="44D0C740" w14:textId="77777777" w:rsidR="001B1411" w:rsidRPr="00DA7625" w:rsidRDefault="00612780">
            <w:pPr>
              <w:spacing w:beforeLines="60" w:before="144" w:afterLines="60" w:after="144"/>
              <w:rPr>
                <w:rFonts w:ascii="Times New Roman" w:hAnsi="Times New Roman"/>
                <w:sz w:val="24"/>
              </w:rPr>
            </w:pPr>
            <w:r w:rsidRPr="00DA7625">
              <w:rPr>
                <w:rFonts w:ascii="Times New Roman" w:hAnsi="Times New Roman"/>
                <w:sz w:val="24"/>
              </w:rPr>
              <w:t>A teljesítési határidőt követően 5 munkanapnál rövidebb ideig ki nem egyenlített ügyletek esetében az elszámolási/teljesítési kockázatra nem vonatkozik szavatolótőke-követelmény.</w:t>
            </w:r>
          </w:p>
        </w:tc>
      </w:tr>
      <w:tr w:rsidR="001B1411" w:rsidRPr="00DA7625" w14:paraId="2C66FCE5" w14:textId="77777777" w:rsidTr="00672D2A">
        <w:tc>
          <w:tcPr>
            <w:tcW w:w="852" w:type="dxa"/>
          </w:tcPr>
          <w:p w14:paraId="6BD184A5" w14:textId="77777777" w:rsidR="001B1411" w:rsidRPr="00DA7625" w:rsidRDefault="00612780">
            <w:pPr>
              <w:spacing w:beforeLines="60" w:before="144" w:afterLines="60" w:after="144"/>
              <w:rPr>
                <w:rFonts w:ascii="Times New Roman" w:hAnsi="Times New Roman"/>
                <w:sz w:val="24"/>
              </w:rPr>
            </w:pPr>
            <w:r w:rsidRPr="00DA7625">
              <w:rPr>
                <w:rFonts w:ascii="Times New Roman" w:hAnsi="Times New Roman"/>
                <w:sz w:val="24"/>
              </w:rPr>
              <w:t>070</w:t>
            </w:r>
          </w:p>
        </w:tc>
        <w:tc>
          <w:tcPr>
            <w:tcW w:w="8010" w:type="dxa"/>
          </w:tcPr>
          <w:p w14:paraId="5FDA9C4F" w14:textId="77777777" w:rsidR="001B1411" w:rsidRPr="00DA7625" w:rsidRDefault="00612780">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A kereskedési könyvi ki nem egyenlített ügyletek összesen</w:t>
            </w:r>
          </w:p>
          <w:p w14:paraId="60AB71F7" w14:textId="03006947" w:rsidR="001B1411" w:rsidRPr="00DA7625" w:rsidRDefault="00612780">
            <w:pPr>
              <w:spacing w:beforeLines="60" w:before="144" w:afterLines="60" w:after="144"/>
              <w:rPr>
                <w:rFonts w:ascii="Times New Roman" w:hAnsi="Times New Roman"/>
                <w:sz w:val="24"/>
              </w:rPr>
            </w:pPr>
            <w:r w:rsidRPr="00DA7625">
              <w:rPr>
                <w:rFonts w:ascii="Times New Roman" w:hAnsi="Times New Roman"/>
                <w:sz w:val="24"/>
              </w:rPr>
              <w:t>Az intézmények összesített információkat közölnek a kereskedési könyvi pozíciók elszámolási/teljesítési kockázatával kapcsolatban (a CRR 92. cikke (3) bekezdése c) pontjának ii. alpontjában, valamint 378. cikkében említetteknek megfelelően).</w:t>
            </w:r>
          </w:p>
          <w:p w14:paraId="2C4006D2" w14:textId="41D388DB" w:rsidR="001B1411" w:rsidRPr="00DA7625" w:rsidRDefault="00612780">
            <w:pPr>
              <w:spacing w:beforeLines="60" w:before="144" w:afterLines="60" w:after="144"/>
              <w:rPr>
                <w:rFonts w:ascii="Times New Roman" w:hAnsi="Times New Roman"/>
                <w:sz w:val="24"/>
              </w:rPr>
            </w:pPr>
            <w:r w:rsidRPr="00DA7625">
              <w:rPr>
                <w:rFonts w:ascii="Times New Roman" w:hAnsi="Times New Roman"/>
                <w:sz w:val="24"/>
              </w:rPr>
              <w:t>Az intézmények az {r070;c010} cellában a teljesítési határidőig ki nem egyenlített ügyletek összesített értékét tüntetik fel azok elfogadott teljesítési árfolyamán.</w:t>
            </w:r>
          </w:p>
          <w:p w14:paraId="2F5263F5" w14:textId="6B361F03" w:rsidR="001B1411" w:rsidRPr="00DA7625" w:rsidRDefault="00612780">
            <w:pPr>
              <w:spacing w:beforeLines="60" w:before="144" w:afterLines="60" w:after="144"/>
              <w:rPr>
                <w:rFonts w:ascii="Times New Roman" w:hAnsi="Times New Roman"/>
                <w:sz w:val="24"/>
              </w:rPr>
            </w:pPr>
            <w:r w:rsidRPr="00DA7625">
              <w:rPr>
                <w:rFonts w:ascii="Times New Roman" w:hAnsi="Times New Roman"/>
                <w:sz w:val="24"/>
              </w:rPr>
              <w:t>Az intézmények az {r070;c020} cellában a nem teljesített, veszteséges ügyletekből eredő árkülönbözeti kitettségre vonatkozó összesített információkat tüntetik fel.</w:t>
            </w:r>
          </w:p>
          <w:p w14:paraId="06D1744A" w14:textId="2ECAAB50" w:rsidR="001B1411" w:rsidRPr="00DA7625" w:rsidRDefault="00612780">
            <w:pPr>
              <w:spacing w:beforeLines="60" w:before="144" w:afterLines="60" w:after="144"/>
              <w:rPr>
                <w:rFonts w:ascii="Times New Roman" w:hAnsi="Times New Roman"/>
                <w:b/>
                <w:sz w:val="24"/>
              </w:rPr>
            </w:pPr>
            <w:r w:rsidRPr="00DA7625">
              <w:rPr>
                <w:rFonts w:ascii="Times New Roman" w:hAnsi="Times New Roman"/>
                <w:sz w:val="24"/>
              </w:rPr>
              <w:t>Az intézmények az {r070;c030} cellában az összesített szavatolótőke-követelményt tüntetik fel, amely a teljesítési határidő után eltelt munkanapok száma szerinti szorzó és a 020. oszlopban megadott árkülönbözet szorzatából adódó, a ki nem egyenlített ügyletekre vonatkozó szavatolótőke-követelmény (a CRR 378. cikkében található 1. táblázatban említett kategóriáknak megfelelően).</w:t>
            </w:r>
          </w:p>
        </w:tc>
      </w:tr>
      <w:tr w:rsidR="001B1411" w:rsidRPr="00DA7625" w14:paraId="256C4BD4" w14:textId="77777777" w:rsidTr="00672D2A">
        <w:tc>
          <w:tcPr>
            <w:tcW w:w="852" w:type="dxa"/>
          </w:tcPr>
          <w:p w14:paraId="0600B802" w14:textId="77777777" w:rsidR="001B1411" w:rsidRPr="00DA7625" w:rsidRDefault="00612780">
            <w:pPr>
              <w:spacing w:beforeLines="60" w:before="144" w:afterLines="60" w:after="144"/>
              <w:rPr>
                <w:rFonts w:ascii="Times New Roman" w:hAnsi="Times New Roman"/>
                <w:sz w:val="24"/>
              </w:rPr>
            </w:pPr>
            <w:r w:rsidRPr="00DA7625">
              <w:rPr>
                <w:rFonts w:ascii="Times New Roman" w:hAnsi="Times New Roman"/>
                <w:sz w:val="24"/>
              </w:rPr>
              <w:lastRenderedPageBreak/>
              <w:t>080–120</w:t>
            </w:r>
          </w:p>
        </w:tc>
        <w:tc>
          <w:tcPr>
            <w:tcW w:w="8010" w:type="dxa"/>
          </w:tcPr>
          <w:p w14:paraId="649FDDE5" w14:textId="77777777" w:rsidR="001B1411" w:rsidRPr="00DA7625" w:rsidRDefault="00612780">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 xml:space="preserve">Legfeljebb 4 napig ki nem egyenlített ügyletek (0 %-os szorzó) </w:t>
            </w:r>
          </w:p>
          <w:p w14:paraId="64108ABB" w14:textId="77777777" w:rsidR="001B1411" w:rsidRPr="00DA7625" w:rsidRDefault="00612780">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5–15 napig ki nem egyenlített ügyletek (8 %-os szorzó)</w:t>
            </w:r>
          </w:p>
          <w:p w14:paraId="69A72164" w14:textId="77777777" w:rsidR="001B1411" w:rsidRPr="00DA7625" w:rsidRDefault="00612780">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16–30 napig ki nem egyenlített ügyletek (50 %-os szorzó)</w:t>
            </w:r>
          </w:p>
          <w:p w14:paraId="4BB8E407" w14:textId="77777777" w:rsidR="001B1411" w:rsidRPr="00DA7625" w:rsidRDefault="00612780">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31–45 napig ki nem egyenlített ügyletek (75 %-os szorzó)</w:t>
            </w:r>
          </w:p>
          <w:p w14:paraId="0F10AD33" w14:textId="77777777" w:rsidR="001B1411" w:rsidRPr="00DA7625" w:rsidRDefault="00612780">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Legalább 46 napig ki nem egyenlített ügyletek (100 %-os szorzó)</w:t>
            </w:r>
          </w:p>
          <w:p w14:paraId="0DD12A0A" w14:textId="480E616D" w:rsidR="001B1411" w:rsidRPr="00DA7625" w:rsidRDefault="00612780">
            <w:pPr>
              <w:spacing w:beforeLines="60" w:before="144" w:afterLines="60" w:after="144"/>
              <w:rPr>
                <w:rFonts w:ascii="Times New Roman" w:hAnsi="Times New Roman"/>
                <w:sz w:val="24"/>
              </w:rPr>
            </w:pPr>
            <w:r w:rsidRPr="00DA7625">
              <w:rPr>
                <w:rFonts w:ascii="Times New Roman" w:hAnsi="Times New Roman"/>
                <w:sz w:val="24"/>
              </w:rPr>
              <w:t xml:space="preserve">Az intézmények a 080–120. sorban a kereskedési könyvi pozíciókra vonatkozó elszámolási/teljesítési kockázattal kapcsolatos információkat a CRR 378. cikkében található 1. táblázatban említett kategóriák szerint tüntetik fel. </w:t>
            </w:r>
          </w:p>
          <w:p w14:paraId="2C467110" w14:textId="77777777" w:rsidR="001B1411" w:rsidRPr="00DA7625" w:rsidRDefault="00612780">
            <w:pPr>
              <w:spacing w:beforeLines="60" w:before="144" w:afterLines="60" w:after="144"/>
              <w:rPr>
                <w:rFonts w:ascii="Times New Roman" w:hAnsi="Times New Roman"/>
                <w:b/>
                <w:sz w:val="24"/>
              </w:rPr>
            </w:pPr>
            <w:r w:rsidRPr="00DA7625">
              <w:rPr>
                <w:rFonts w:ascii="Times New Roman" w:hAnsi="Times New Roman"/>
                <w:sz w:val="24"/>
              </w:rPr>
              <w:t>A teljesítési határidőt követően 5 munkanapnál rövidebb ideig ki nem egyenlített ügyletek esetében az elszámolási/teljesítési kockázatra nem vonatkozik szavatolótőke-követelmény.</w:t>
            </w:r>
          </w:p>
        </w:tc>
      </w:tr>
    </w:tbl>
    <w:p w14:paraId="46A5D5C3" w14:textId="77777777" w:rsidR="001B1411" w:rsidRPr="00DA7625" w:rsidRDefault="001B1411">
      <w:pPr>
        <w:spacing w:after="0"/>
        <w:rPr>
          <w:rFonts w:ascii="Times New Roman" w:hAnsi="Times New Roman"/>
          <w:sz w:val="24"/>
        </w:rPr>
      </w:pPr>
    </w:p>
    <w:p w14:paraId="63067A32" w14:textId="77777777" w:rsidR="001B1411" w:rsidRPr="00DA7625" w:rsidRDefault="00612780">
      <w:pPr>
        <w:spacing w:before="0" w:after="0"/>
        <w:jc w:val="left"/>
        <w:rPr>
          <w:rStyle w:val="InstructionsTabelleText"/>
          <w:rFonts w:ascii="Times New Roman" w:hAnsi="Times New Roman"/>
          <w:sz w:val="24"/>
        </w:rPr>
      </w:pPr>
      <w:r w:rsidRPr="00DA7625">
        <w:rPr>
          <w:sz w:val="24"/>
        </w:rPr>
        <w:br w:type="page"/>
      </w:r>
    </w:p>
    <w:p w14:paraId="0A8AC0A3" w14:textId="77777777" w:rsidR="001B1411" w:rsidRPr="00DA7625" w:rsidRDefault="001B1411">
      <w:pPr>
        <w:autoSpaceDE w:val="0"/>
        <w:autoSpaceDN w:val="0"/>
        <w:adjustRightInd w:val="0"/>
        <w:spacing w:before="0" w:after="0"/>
        <w:jc w:val="left"/>
        <w:rPr>
          <w:rFonts w:ascii="Times New Roman" w:hAnsi="Times New Roman"/>
          <w:sz w:val="24"/>
        </w:rPr>
      </w:pPr>
    </w:p>
    <w:p w14:paraId="080CD2FC" w14:textId="77777777" w:rsidR="001B1411" w:rsidRPr="00DA7625" w:rsidRDefault="00E026FB">
      <w:pPr>
        <w:pStyle w:val="Instructionsberschrift2"/>
        <w:numPr>
          <w:ilvl w:val="0"/>
          <w:numId w:val="0"/>
        </w:numPr>
        <w:ind w:left="357" w:hanging="357"/>
        <w:rPr>
          <w:rFonts w:ascii="Times New Roman" w:hAnsi="Times New Roman" w:cs="Times New Roman"/>
          <w:sz w:val="24"/>
        </w:rPr>
      </w:pPr>
      <w:bookmarkStart w:id="63" w:name="_Toc31018809"/>
      <w:r w:rsidRPr="00DA7625">
        <w:rPr>
          <w:rFonts w:ascii="Times New Roman" w:hAnsi="Times New Roman"/>
          <w:sz w:val="24"/>
          <w:u w:val="none"/>
        </w:rPr>
        <w:t>3.7.</w:t>
      </w:r>
      <w:r w:rsidRPr="00DA7625">
        <w:rPr>
          <w:rFonts w:ascii="Times New Roman" w:hAnsi="Times New Roman"/>
          <w:sz w:val="24"/>
          <w:u w:val="none"/>
        </w:rPr>
        <w:tab/>
      </w:r>
      <w:r w:rsidRPr="00DA7625">
        <w:rPr>
          <w:rFonts w:ascii="Times New Roman" w:hAnsi="Times New Roman"/>
          <w:sz w:val="24"/>
        </w:rPr>
        <w:t>C 13.01 – Hitelkockázat – Értékpapírosítás (CR SEC)</w:t>
      </w:r>
      <w:bookmarkEnd w:id="63"/>
    </w:p>
    <w:p w14:paraId="6F06AFA3" w14:textId="77777777" w:rsidR="001B1411" w:rsidRPr="00DA7625" w:rsidRDefault="00E026FB">
      <w:pPr>
        <w:pStyle w:val="Instructionsberschrift2"/>
        <w:numPr>
          <w:ilvl w:val="0"/>
          <w:numId w:val="0"/>
        </w:numPr>
        <w:ind w:left="357" w:hanging="357"/>
        <w:rPr>
          <w:rFonts w:ascii="Times New Roman" w:hAnsi="Times New Roman" w:cs="Times New Roman"/>
          <w:sz w:val="24"/>
        </w:rPr>
      </w:pPr>
      <w:bookmarkStart w:id="64" w:name="_Toc31018810"/>
      <w:r w:rsidRPr="00DA7625">
        <w:rPr>
          <w:rFonts w:ascii="Times New Roman" w:hAnsi="Times New Roman"/>
          <w:sz w:val="24"/>
          <w:u w:val="none"/>
        </w:rPr>
        <w:t>3.7.1.</w:t>
      </w:r>
      <w:r w:rsidRPr="00DA7625">
        <w:rPr>
          <w:rFonts w:ascii="Times New Roman" w:hAnsi="Times New Roman"/>
          <w:sz w:val="24"/>
          <w:u w:val="none"/>
        </w:rPr>
        <w:tab/>
      </w:r>
      <w:r w:rsidRPr="00DA7625">
        <w:rPr>
          <w:rFonts w:ascii="Times New Roman" w:hAnsi="Times New Roman"/>
          <w:sz w:val="24"/>
        </w:rPr>
        <w:t>Általános megjegyzések</w:t>
      </w:r>
      <w:bookmarkEnd w:id="64"/>
    </w:p>
    <w:p w14:paraId="6E8CF2DA" w14:textId="2868BF1B" w:rsidR="001B1411" w:rsidRPr="00DA7625" w:rsidRDefault="00E026FB">
      <w:pPr>
        <w:pStyle w:val="InstructionsText2"/>
        <w:numPr>
          <w:ilvl w:val="0"/>
          <w:numId w:val="0"/>
        </w:numPr>
        <w:ind w:left="993"/>
      </w:pPr>
      <w:r w:rsidRPr="00DA7625">
        <w:t xml:space="preserve">100. Amennyiben az intézmény értékpapírosítást kezdeményezőként jár el, ezt a táblát minden olyan értékpapírosításra vonatkozóan ki kell tölteni, amely jelentős kockázatátruházás elismerésével jár. Amennyiben az intézmény befektetőként jár el, minden kitettséget fel kell tüntetni. </w:t>
      </w:r>
    </w:p>
    <w:p w14:paraId="304D921A" w14:textId="7E2C8C27" w:rsidR="001B1411" w:rsidRPr="00DA7625" w:rsidRDefault="00E026FB">
      <w:pPr>
        <w:pStyle w:val="InstructionsText2"/>
        <w:numPr>
          <w:ilvl w:val="0"/>
          <w:numId w:val="0"/>
        </w:numPr>
        <w:ind w:left="993"/>
      </w:pPr>
      <w:r w:rsidRPr="00DA7625">
        <w:t>101.</w:t>
      </w:r>
      <w:r w:rsidRPr="00DA7625">
        <w:tab/>
        <w:t xml:space="preserve"> A feltüntetendő információk az intézménynek az értékpapírosítási folyamatban betöltött szerepétől függnek. Így külön adatszolgáltatási tételek vonatkoznak az értékpapírosítást kezdeményezőkre, a szponzorokra és a befektetőkre.</w:t>
      </w:r>
    </w:p>
    <w:p w14:paraId="2AEAC17E" w14:textId="2370C83F" w:rsidR="001B1411" w:rsidRPr="00DA7625" w:rsidRDefault="00E026FB">
      <w:pPr>
        <w:pStyle w:val="InstructionsText2"/>
        <w:numPr>
          <w:ilvl w:val="0"/>
          <w:numId w:val="0"/>
        </w:numPr>
        <w:ind w:left="993"/>
      </w:pPr>
      <w:r w:rsidRPr="00DA7625">
        <w:t xml:space="preserve">102. Ez a tábla összesített információkat gyűjt a banki könyvben nyilvántartott hagyományos és szintetikus értékpapírosításokról. </w:t>
      </w:r>
    </w:p>
    <w:p w14:paraId="0B0DD4A5" w14:textId="77777777" w:rsidR="001B1411" w:rsidRPr="00DA7625" w:rsidRDefault="00E026FB">
      <w:pPr>
        <w:pStyle w:val="Instructionsberschrift2"/>
        <w:numPr>
          <w:ilvl w:val="0"/>
          <w:numId w:val="0"/>
        </w:numPr>
        <w:ind w:left="357" w:hanging="357"/>
        <w:rPr>
          <w:rFonts w:ascii="Times New Roman" w:hAnsi="Times New Roman" w:cs="Times New Roman"/>
          <w:sz w:val="24"/>
        </w:rPr>
      </w:pPr>
      <w:bookmarkStart w:id="65" w:name="_Toc31018811"/>
      <w:r w:rsidRPr="00DA7625">
        <w:rPr>
          <w:rFonts w:ascii="Times New Roman" w:hAnsi="Times New Roman"/>
          <w:sz w:val="24"/>
          <w:u w:val="none"/>
        </w:rPr>
        <w:t>3.7.2.</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65"/>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1B1411" w:rsidRPr="00DA7625" w14:paraId="739CBB50" w14:textId="77777777" w:rsidTr="00E10B85">
        <w:tc>
          <w:tcPr>
            <w:tcW w:w="9004" w:type="dxa"/>
            <w:gridSpan w:val="2"/>
            <w:shd w:val="clear" w:color="auto" w:fill="CCCCCC"/>
          </w:tcPr>
          <w:p w14:paraId="2CA37790" w14:textId="77777777" w:rsidR="001B1411" w:rsidRPr="00DA7625" w:rsidRDefault="001B1411">
            <w:pPr>
              <w:autoSpaceDE w:val="0"/>
              <w:autoSpaceDN w:val="0"/>
              <w:adjustRightInd w:val="0"/>
              <w:spacing w:before="0" w:after="0"/>
              <w:ind w:left="426"/>
              <w:jc w:val="left"/>
              <w:rPr>
                <w:rFonts w:ascii="Times New Roman" w:hAnsi="Times New Roman"/>
                <w:sz w:val="24"/>
              </w:rPr>
            </w:pPr>
          </w:p>
          <w:p w14:paraId="162E9CF1" w14:textId="77777777" w:rsidR="001B1411" w:rsidRPr="00DA7625" w:rsidRDefault="00E026FB">
            <w:pPr>
              <w:autoSpaceDE w:val="0"/>
              <w:autoSpaceDN w:val="0"/>
              <w:adjustRightInd w:val="0"/>
              <w:spacing w:before="0" w:after="0"/>
              <w:rPr>
                <w:rFonts w:ascii="Times New Roman" w:hAnsi="Times New Roman"/>
                <w:b/>
                <w:bCs/>
                <w:sz w:val="24"/>
              </w:rPr>
            </w:pPr>
            <w:r w:rsidRPr="00DA7625">
              <w:rPr>
                <w:rFonts w:ascii="Times New Roman" w:hAnsi="Times New Roman"/>
                <w:b/>
                <w:sz w:val="24"/>
              </w:rPr>
              <w:t>Oszlop</w:t>
            </w:r>
          </w:p>
          <w:p w14:paraId="154783EC" w14:textId="77777777" w:rsidR="001B1411" w:rsidRPr="00DA7625" w:rsidRDefault="001B1411">
            <w:pPr>
              <w:autoSpaceDE w:val="0"/>
              <w:autoSpaceDN w:val="0"/>
              <w:adjustRightInd w:val="0"/>
              <w:spacing w:before="0" w:after="0"/>
              <w:rPr>
                <w:rFonts w:ascii="Times New Roman" w:hAnsi="Times New Roman"/>
                <w:bCs/>
                <w:sz w:val="24"/>
              </w:rPr>
            </w:pPr>
          </w:p>
        </w:tc>
      </w:tr>
      <w:tr w:rsidR="001B1411" w:rsidRPr="00DA7625" w14:paraId="192E1531" w14:textId="77777777" w:rsidTr="00E10B85">
        <w:tc>
          <w:tcPr>
            <w:tcW w:w="1568" w:type="dxa"/>
          </w:tcPr>
          <w:p w14:paraId="5ECAF04F"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t>0010</w:t>
            </w:r>
          </w:p>
        </w:tc>
        <w:tc>
          <w:tcPr>
            <w:tcW w:w="7436" w:type="dxa"/>
          </w:tcPr>
          <w:p w14:paraId="2A71F778" w14:textId="77777777" w:rsidR="001B1411" w:rsidRPr="00DA7625" w:rsidRDefault="00E026FB">
            <w:pPr>
              <w:spacing w:before="0" w:after="0"/>
              <w:jc w:val="left"/>
              <w:rPr>
                <w:rFonts w:ascii="Times New Roman" w:hAnsi="Times New Roman"/>
                <w:sz w:val="24"/>
              </w:rPr>
            </w:pPr>
            <w:r w:rsidRPr="00DA7625">
              <w:rPr>
                <w:rFonts w:ascii="Times New Roman" w:hAnsi="Times New Roman"/>
                <w:b/>
                <w:sz w:val="24"/>
                <w:u w:val="single"/>
              </w:rPr>
              <w:t>ÉRTÉKPAPÍROSÍTÁSRA KERÜLŐ KITETTSÉGEK ÖSSZÉRTÉKE</w:t>
            </w:r>
          </w:p>
          <w:p w14:paraId="712F783A" w14:textId="77777777" w:rsidR="001B1411" w:rsidRPr="00DA7625" w:rsidRDefault="001B1411">
            <w:pPr>
              <w:spacing w:before="0" w:after="0"/>
              <w:jc w:val="left"/>
              <w:rPr>
                <w:rFonts w:ascii="Times New Roman" w:hAnsi="Times New Roman"/>
                <w:sz w:val="24"/>
              </w:rPr>
            </w:pPr>
          </w:p>
          <w:p w14:paraId="45244DC5"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Az értékpapírosítást kezdeményező intézményeknek a pozíciót tartó személyétől függetlenül az értékpapírosítási ügyletből eredő valamennyi aktuális értékpapírosítási kitettségre vonatkozóan jelenteniük kell az adatszolgáltatás időpontjában fennálló összeget. Így fel kell tüntetni az értékpapírosításból eredő mérlegen belüli értékpapírosítási kitettségeket (pl. kötvényeket, alárendelt kölcsönöket), valamint a mérlegen kívüli kitettségeket és származtatott ügyleteket (pl. alárendelt hitelkereteket, likviditási hitelkereteket, kamatcsereügyleteket, hitel-nemteljesítési csereügyleteket stb.) </w:t>
            </w:r>
          </w:p>
          <w:p w14:paraId="1CC84C6B" w14:textId="77777777" w:rsidR="001B1411" w:rsidRPr="00DA7625" w:rsidRDefault="001B1411">
            <w:pPr>
              <w:autoSpaceDE w:val="0"/>
              <w:autoSpaceDN w:val="0"/>
              <w:adjustRightInd w:val="0"/>
              <w:spacing w:before="0" w:after="0"/>
              <w:rPr>
                <w:rFonts w:ascii="Times New Roman" w:hAnsi="Times New Roman"/>
                <w:sz w:val="24"/>
              </w:rPr>
            </w:pPr>
          </w:p>
          <w:p w14:paraId="4B287425" w14:textId="27181E3B"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Azoknál a hagyományos értékpapírosításoknál, amelyeknél az értékpapírosítást kezdeményező nem rendelkezik pozícióval, az értékpapírosítást kezdeményező az értékpapírosítást nem veheti figyelembe az e táblán történő adatszolgáltatás során. E tekintetben az értékpapírosítást kezdeményező értékpapírosítási pozíciói magukban foglalják rulírozó kitettség értékpapírosítására vonatkozóan a CRR 242. cikkének 16. pontjában meghatározott gyorsított visszafizetést biztosító rendelkezéseket.</w:t>
            </w:r>
          </w:p>
          <w:p w14:paraId="69FC9006" w14:textId="77777777" w:rsidR="001B1411" w:rsidRPr="00DA7625" w:rsidRDefault="001B1411">
            <w:pPr>
              <w:autoSpaceDE w:val="0"/>
              <w:autoSpaceDN w:val="0"/>
              <w:adjustRightInd w:val="0"/>
              <w:spacing w:before="0" w:after="0"/>
              <w:rPr>
                <w:rFonts w:ascii="Times New Roman" w:hAnsi="Times New Roman"/>
                <w:bCs/>
                <w:sz w:val="24"/>
              </w:rPr>
            </w:pPr>
          </w:p>
        </w:tc>
      </w:tr>
      <w:tr w:rsidR="001B1411" w:rsidRPr="00DA7625" w14:paraId="4D946982" w14:textId="77777777" w:rsidTr="00E10B85">
        <w:tc>
          <w:tcPr>
            <w:tcW w:w="1568" w:type="dxa"/>
          </w:tcPr>
          <w:p w14:paraId="17EFB891"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t>0020–0040</w:t>
            </w:r>
          </w:p>
        </w:tc>
        <w:tc>
          <w:tcPr>
            <w:tcW w:w="7436" w:type="dxa"/>
          </w:tcPr>
          <w:p w14:paraId="62885C41"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SZINTETIKUS ÉRTÉKPAPÍROSÍTÁS: ÉRTÉKPAPÍROSÍTOTT KITETTSÉGEK HITELKOCKÁZATI FEDEZETE</w:t>
            </w:r>
          </w:p>
          <w:p w14:paraId="244811B1" w14:textId="77777777" w:rsidR="001B1411" w:rsidRPr="00DA7625" w:rsidRDefault="001B1411">
            <w:pPr>
              <w:spacing w:before="0" w:after="0"/>
              <w:jc w:val="left"/>
              <w:rPr>
                <w:rFonts w:ascii="Times New Roman" w:hAnsi="Times New Roman"/>
                <w:sz w:val="24"/>
              </w:rPr>
            </w:pPr>
          </w:p>
          <w:p w14:paraId="7BDB723D" w14:textId="634C7E2B" w:rsidR="001B1411" w:rsidRPr="00DA7625" w:rsidRDefault="00E026FB">
            <w:pPr>
              <w:spacing w:before="0" w:after="0"/>
              <w:rPr>
                <w:rFonts w:ascii="Times New Roman" w:hAnsi="Times New Roman"/>
                <w:sz w:val="24"/>
              </w:rPr>
            </w:pPr>
            <w:r w:rsidRPr="00DA7625">
              <w:rPr>
                <w:rFonts w:ascii="Times New Roman" w:hAnsi="Times New Roman"/>
                <w:sz w:val="24"/>
              </w:rPr>
              <w:t xml:space="preserve">A CRR 251. és 252. cikke </w:t>
            </w:r>
          </w:p>
          <w:p w14:paraId="2CBA7E2E" w14:textId="77777777" w:rsidR="001B1411" w:rsidRPr="00DA7625" w:rsidRDefault="001B1411">
            <w:pPr>
              <w:spacing w:before="0" w:after="0"/>
              <w:rPr>
                <w:rFonts w:ascii="Times New Roman" w:hAnsi="Times New Roman"/>
                <w:sz w:val="24"/>
              </w:rPr>
            </w:pPr>
          </w:p>
          <w:p w14:paraId="09877378" w14:textId="77777777" w:rsidR="001B1411" w:rsidRPr="00DA7625" w:rsidRDefault="00E026FB">
            <w:pPr>
              <w:spacing w:before="0" w:after="0"/>
              <w:rPr>
                <w:rFonts w:ascii="Times New Roman" w:hAnsi="Times New Roman"/>
                <w:sz w:val="24"/>
              </w:rPr>
            </w:pPr>
            <w:r w:rsidRPr="00DA7625">
              <w:rPr>
                <w:rFonts w:ascii="Times New Roman" w:hAnsi="Times New Roman"/>
                <w:sz w:val="24"/>
              </w:rPr>
              <w:t xml:space="preserve">Az értékpapírosítási struktúrában foglalt hitelkockázat-mérséklési technikák korrigált értékében a lejárati eltérések nem vehetők figyelembe. </w:t>
            </w:r>
          </w:p>
          <w:p w14:paraId="2C658462" w14:textId="77777777" w:rsidR="001B1411" w:rsidRPr="00DA7625" w:rsidRDefault="001B1411">
            <w:pPr>
              <w:spacing w:before="0" w:after="0"/>
              <w:rPr>
                <w:rFonts w:ascii="Times New Roman" w:hAnsi="Times New Roman"/>
                <w:bCs/>
                <w:sz w:val="24"/>
              </w:rPr>
            </w:pPr>
          </w:p>
        </w:tc>
      </w:tr>
      <w:tr w:rsidR="001B1411" w:rsidRPr="00DA7625" w14:paraId="39646F32" w14:textId="77777777" w:rsidTr="00E10B85">
        <w:tc>
          <w:tcPr>
            <w:tcW w:w="1568" w:type="dxa"/>
          </w:tcPr>
          <w:p w14:paraId="51A08C1F"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lastRenderedPageBreak/>
              <w:t>0020</w:t>
            </w:r>
          </w:p>
        </w:tc>
        <w:tc>
          <w:tcPr>
            <w:tcW w:w="7436" w:type="dxa"/>
          </w:tcPr>
          <w:p w14:paraId="172C70AF" w14:textId="77777777" w:rsidR="001B1411" w:rsidRPr="00DA7625" w:rsidRDefault="00E026FB">
            <w:pPr>
              <w:spacing w:before="0" w:after="0"/>
              <w:jc w:val="left"/>
              <w:rPr>
                <w:rFonts w:ascii="Times New Roman" w:hAnsi="Times New Roman"/>
                <w:b/>
                <w:strike/>
                <w:sz w:val="24"/>
                <w:u w:val="single"/>
              </w:rPr>
            </w:pPr>
            <w:r w:rsidRPr="00DA7625">
              <w:rPr>
                <w:rFonts w:ascii="Times New Roman" w:hAnsi="Times New Roman"/>
                <w:b/>
                <w:sz w:val="24"/>
                <w:u w:val="single"/>
              </w:rPr>
              <w:t>(–) ELŐRE RENDELKEZÉSRE BOCSÁTOTT HITELKOCKÁZATI FEDEZET (C</w:t>
            </w:r>
            <w:r w:rsidRPr="00DA7625">
              <w:rPr>
                <w:rFonts w:ascii="Times New Roman" w:hAnsi="Times New Roman"/>
                <w:b/>
                <w:sz w:val="24"/>
                <w:u w:val="single"/>
                <w:vertAlign w:val="subscript"/>
              </w:rPr>
              <w:t>VA</w:t>
            </w:r>
            <w:r w:rsidRPr="00DA7625">
              <w:rPr>
                <w:rFonts w:ascii="Times New Roman" w:hAnsi="Times New Roman"/>
                <w:b/>
                <w:sz w:val="24"/>
                <w:u w:val="single"/>
              </w:rPr>
              <w:t xml:space="preserve">) </w:t>
            </w:r>
          </w:p>
          <w:p w14:paraId="1EEBA0E0" w14:textId="77777777" w:rsidR="001B1411" w:rsidRPr="00DA7625" w:rsidRDefault="001B1411">
            <w:pPr>
              <w:spacing w:before="0" w:after="0"/>
              <w:jc w:val="left"/>
              <w:rPr>
                <w:rFonts w:ascii="Times New Roman" w:hAnsi="Times New Roman"/>
                <w:sz w:val="24"/>
              </w:rPr>
            </w:pPr>
          </w:p>
          <w:p w14:paraId="508766CC" w14:textId="45BB6F76"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A biztosítéknak az ebben az oszlopban feltüntetendő volatilitással korrigált értékére (C</w:t>
            </w:r>
            <w:r w:rsidRPr="00DA7625">
              <w:rPr>
                <w:rFonts w:ascii="Times New Roman" w:hAnsi="Times New Roman"/>
                <w:sz w:val="24"/>
                <w:vertAlign w:val="subscript"/>
              </w:rPr>
              <w:t>VA</w:t>
            </w:r>
            <w:r w:rsidRPr="00DA7625">
              <w:rPr>
                <w:rFonts w:ascii="Times New Roman" w:hAnsi="Times New Roman"/>
                <w:sz w:val="24"/>
              </w:rPr>
              <w:t>) vonatkozó részletes számítási eljárást a CRR 223. cikkének (2) bekezdése határozza meg.</w:t>
            </w:r>
          </w:p>
          <w:p w14:paraId="757F8D80" w14:textId="77777777" w:rsidR="001B1411" w:rsidRPr="00DA7625" w:rsidRDefault="001B1411">
            <w:pPr>
              <w:spacing w:before="0" w:after="0"/>
              <w:jc w:val="left"/>
              <w:rPr>
                <w:rFonts w:ascii="Times New Roman" w:hAnsi="Times New Roman"/>
                <w:b/>
                <w:sz w:val="24"/>
                <w:u w:val="single"/>
              </w:rPr>
            </w:pPr>
          </w:p>
        </w:tc>
      </w:tr>
      <w:tr w:rsidR="001B1411" w:rsidRPr="00DA7625" w14:paraId="6D3E24DA" w14:textId="77777777" w:rsidTr="00E10B85">
        <w:tc>
          <w:tcPr>
            <w:tcW w:w="1568" w:type="dxa"/>
          </w:tcPr>
          <w:p w14:paraId="5D0AA934"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t>0030</w:t>
            </w:r>
          </w:p>
        </w:tc>
        <w:tc>
          <w:tcPr>
            <w:tcW w:w="7436" w:type="dxa"/>
          </w:tcPr>
          <w:p w14:paraId="7D0A1A23"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 xml:space="preserve">(–) KIÁRAMLÁSOK ÖSSZESEN: ELŐRE NEM RENDELKEZÉSRE BOCSÁTOTT HITELKOCKÁZATI FEDEZET: KORRIGÁLT ÉRTÉKEK (G*) </w:t>
            </w:r>
          </w:p>
          <w:p w14:paraId="0799A049" w14:textId="77777777" w:rsidR="001B1411" w:rsidRPr="00DA7625" w:rsidRDefault="001B1411">
            <w:pPr>
              <w:spacing w:before="0" w:after="0"/>
              <w:jc w:val="left"/>
              <w:rPr>
                <w:rFonts w:ascii="Times New Roman" w:hAnsi="Times New Roman"/>
                <w:sz w:val="24"/>
              </w:rPr>
            </w:pPr>
          </w:p>
          <w:p w14:paraId="2BA6D5D4" w14:textId="641DDB26" w:rsidR="001B1411" w:rsidRPr="00DA7625" w:rsidRDefault="00E026FB">
            <w:pPr>
              <w:spacing w:before="0" w:after="0"/>
              <w:rPr>
                <w:rFonts w:ascii="Times New Roman" w:hAnsi="Times New Roman"/>
                <w:sz w:val="24"/>
              </w:rPr>
            </w:pPr>
            <w:r w:rsidRPr="00DA7625">
              <w:rPr>
                <w:rFonts w:ascii="Times New Roman" w:hAnsi="Times New Roman"/>
                <w:sz w:val="24"/>
              </w:rPr>
              <w:t>A be- és kiáramlások általános szabálya szerint az ebben az oszlopban feltüntetett összegek a megfelelő hitelkockázati táblán (CR SA vagy CR IRB), valamint az adatszolgáltató szervezet által a fedezetnyújtóhoz (vagyis ahhoz a harmadik félhez, amelynek az ügyletrészsorozatot az előre nem rendelkezésre bocsátott hitelkockázati fedezet útján átadják) hozzárendelt kitettségi osztályban beáramlásként jelennek meg.</w:t>
            </w:r>
          </w:p>
          <w:p w14:paraId="3A660088" w14:textId="77777777" w:rsidR="001B1411" w:rsidRPr="00DA7625" w:rsidRDefault="001B1411">
            <w:pPr>
              <w:spacing w:before="0" w:after="0"/>
              <w:jc w:val="left"/>
              <w:rPr>
                <w:rFonts w:ascii="Times New Roman" w:hAnsi="Times New Roman"/>
                <w:sz w:val="24"/>
              </w:rPr>
            </w:pPr>
          </w:p>
          <w:p w14:paraId="762F2510" w14:textId="4166C6C8"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A hitelkockázati fedezet devizaárfolyam-kockázattal korrigált értékére (G*) vonatkozó részletes számítási eljárást a CRR 233. cikkének (3) bekezdése határozza meg.</w:t>
            </w:r>
          </w:p>
          <w:p w14:paraId="09ADD7D8" w14:textId="77777777" w:rsidR="001B1411" w:rsidRPr="00DA7625" w:rsidRDefault="001B1411">
            <w:pPr>
              <w:autoSpaceDE w:val="0"/>
              <w:autoSpaceDN w:val="0"/>
              <w:adjustRightInd w:val="0"/>
              <w:spacing w:before="0" w:after="0"/>
              <w:jc w:val="left"/>
              <w:rPr>
                <w:rFonts w:ascii="Times New Roman" w:hAnsi="Times New Roman"/>
                <w:bCs/>
                <w:sz w:val="24"/>
              </w:rPr>
            </w:pPr>
          </w:p>
        </w:tc>
      </w:tr>
      <w:tr w:rsidR="001B1411" w:rsidRPr="00DA7625" w14:paraId="352BC6C4" w14:textId="77777777" w:rsidTr="00E10B85">
        <w:tc>
          <w:tcPr>
            <w:tcW w:w="1568" w:type="dxa"/>
          </w:tcPr>
          <w:p w14:paraId="04189F8F"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t>0040</w:t>
            </w:r>
          </w:p>
        </w:tc>
        <w:tc>
          <w:tcPr>
            <w:tcW w:w="7436" w:type="dxa"/>
          </w:tcPr>
          <w:p w14:paraId="3FADD4D7"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A VISSZATARTOTT VAGY VISSZAVÁSÁROLT HITELKOCKÁZATI FEDEZET NÉVLEGES ÖSSZEGE</w:t>
            </w:r>
          </w:p>
          <w:p w14:paraId="0ACB162C" w14:textId="77777777" w:rsidR="001B1411" w:rsidRPr="00DA7625" w:rsidRDefault="001B1411">
            <w:pPr>
              <w:spacing w:before="0" w:after="0"/>
              <w:jc w:val="left"/>
              <w:rPr>
                <w:rFonts w:ascii="Times New Roman" w:hAnsi="Times New Roman"/>
                <w:sz w:val="24"/>
              </w:rPr>
            </w:pPr>
          </w:p>
          <w:p w14:paraId="2C1E5633"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Valamennyi visszatartott vagy visszavásárolt ügyletrészsorozatot, pl. a visszatartott, első veszteségviselő kategóriába tartozó pozíciókat névleges összegen kell feltüntetni.</w:t>
            </w:r>
          </w:p>
          <w:p w14:paraId="22DDAF8E" w14:textId="77777777" w:rsidR="001B1411" w:rsidRPr="00DA7625" w:rsidRDefault="001B1411">
            <w:pPr>
              <w:autoSpaceDE w:val="0"/>
              <w:autoSpaceDN w:val="0"/>
              <w:adjustRightInd w:val="0"/>
              <w:spacing w:before="0" w:after="0"/>
              <w:rPr>
                <w:rFonts w:ascii="Times New Roman" w:hAnsi="Times New Roman"/>
                <w:bCs/>
                <w:sz w:val="24"/>
              </w:rPr>
            </w:pPr>
          </w:p>
          <w:p w14:paraId="2DA4A9F0"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A hitelkockázati fedezet visszatartott vagy visszavásárolt összegének kiszámításakor nem vehető figyelembe a hitelkockázati fedezetben végrehajtott felügyeleti korrekció hatása.</w:t>
            </w:r>
          </w:p>
          <w:p w14:paraId="21181D61" w14:textId="77777777" w:rsidR="001B1411" w:rsidRPr="00DA7625" w:rsidRDefault="001B1411">
            <w:pPr>
              <w:autoSpaceDE w:val="0"/>
              <w:autoSpaceDN w:val="0"/>
              <w:adjustRightInd w:val="0"/>
              <w:spacing w:before="0" w:after="0"/>
              <w:rPr>
                <w:rFonts w:ascii="Times New Roman" w:hAnsi="Times New Roman"/>
                <w:bCs/>
                <w:sz w:val="24"/>
              </w:rPr>
            </w:pPr>
          </w:p>
        </w:tc>
      </w:tr>
      <w:tr w:rsidR="001B1411" w:rsidRPr="00DA7625" w14:paraId="5DCAA2E7" w14:textId="77777777" w:rsidTr="00E10B85">
        <w:tc>
          <w:tcPr>
            <w:tcW w:w="1568" w:type="dxa"/>
          </w:tcPr>
          <w:p w14:paraId="6B750D57"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t>0050</w:t>
            </w:r>
          </w:p>
        </w:tc>
        <w:tc>
          <w:tcPr>
            <w:tcW w:w="7436" w:type="dxa"/>
          </w:tcPr>
          <w:p w14:paraId="048DAF08" w14:textId="1EE4AB11" w:rsidR="001B1411" w:rsidRPr="00DA7625" w:rsidRDefault="00E026FB">
            <w:pPr>
              <w:spacing w:before="0" w:after="0"/>
              <w:rPr>
                <w:rFonts w:ascii="Times New Roman" w:hAnsi="Times New Roman"/>
                <w:b/>
                <w:sz w:val="24"/>
                <w:u w:val="single"/>
              </w:rPr>
            </w:pPr>
            <w:r w:rsidRPr="00DA7625">
              <w:rPr>
                <w:rFonts w:ascii="Times New Roman" w:hAnsi="Times New Roman"/>
                <w:b/>
                <w:sz w:val="24"/>
                <w:u w:val="single"/>
              </w:rPr>
              <w:t xml:space="preserve">ÉRTÉKPAPÍROSÍTÁSI POZÍCIÓK: HITEL-EGYENÉRTÉKESÍTÉSI TÉNYEZŐK ELŐTTI EREDETI KITETTSÉG </w:t>
            </w:r>
          </w:p>
          <w:p w14:paraId="4A807316" w14:textId="77777777" w:rsidR="001B1411" w:rsidRPr="00DA7625" w:rsidRDefault="001B1411">
            <w:pPr>
              <w:spacing w:before="0" w:after="0"/>
              <w:jc w:val="left"/>
              <w:rPr>
                <w:rFonts w:ascii="Times New Roman" w:hAnsi="Times New Roman"/>
                <w:sz w:val="24"/>
              </w:rPr>
            </w:pPr>
          </w:p>
          <w:p w14:paraId="3CCC0123" w14:textId="5791CA0B" w:rsidR="001B1411" w:rsidRPr="00DA7625" w:rsidRDefault="00A16FFF">
            <w:pPr>
              <w:autoSpaceDE w:val="0"/>
              <w:autoSpaceDN w:val="0"/>
              <w:adjustRightInd w:val="0"/>
              <w:spacing w:before="0" w:after="0"/>
              <w:jc w:val="left"/>
              <w:rPr>
                <w:rFonts w:ascii="Times New Roman" w:hAnsi="Times New Roman"/>
                <w:sz w:val="24"/>
              </w:rPr>
            </w:pPr>
            <w:r w:rsidRPr="00DA7625">
              <w:rPr>
                <w:rFonts w:ascii="Times New Roman" w:hAnsi="Times New Roman"/>
                <w:sz w:val="24"/>
              </w:rPr>
              <w:t>Ez az oszlop tartalmazza az adatszolgáltató intézmény által tartott értékpapírosítási pozíciók CRR 248. cikkének (1) és (2) bekezdése alapján számított kitettségértékeit hitel-egyenértékesítési tényezők alkalmazása nélkül, az értékelési korrekciók és a céltartalékok, valamint az értékpapírosított kitettségekre vonatkozó, a CRR 248. cikke (1) bekezdésének d) pontjában említett vissza nem fizetendő árengedmények levonása nélkül, továbbá az értékpapírosítási pozíciókra vonatkozó értékelési korrekciók és céltartalékok levonása nélkül.</w:t>
            </w:r>
          </w:p>
          <w:p w14:paraId="79547600" w14:textId="2EF32B47" w:rsidR="001B1411" w:rsidRPr="00DA7625" w:rsidRDefault="001B1411">
            <w:pPr>
              <w:autoSpaceDE w:val="0"/>
              <w:autoSpaceDN w:val="0"/>
              <w:adjustRightInd w:val="0"/>
              <w:spacing w:before="0" w:after="0"/>
              <w:jc w:val="left"/>
              <w:rPr>
                <w:rFonts w:ascii="Times New Roman" w:hAnsi="Times New Roman"/>
                <w:sz w:val="24"/>
              </w:rPr>
            </w:pPr>
          </w:p>
          <w:p w14:paraId="383FD97C" w14:textId="41D01D15"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Nettósítás kizárólag akkor alkalmazható, ha egy különleges célú gazdasági egységnek (SSPE) egy elismert nettósítási megállapodás keretében több származtatott ügylete áll fenn. </w:t>
            </w:r>
          </w:p>
          <w:p w14:paraId="04872AB7" w14:textId="77777777" w:rsidR="001B1411" w:rsidRPr="00DA7625" w:rsidRDefault="001B1411">
            <w:pPr>
              <w:autoSpaceDE w:val="0"/>
              <w:autoSpaceDN w:val="0"/>
              <w:adjustRightInd w:val="0"/>
              <w:spacing w:before="0" w:after="0"/>
              <w:rPr>
                <w:rFonts w:ascii="Times New Roman" w:hAnsi="Times New Roman"/>
                <w:sz w:val="24"/>
              </w:rPr>
            </w:pPr>
          </w:p>
          <w:p w14:paraId="507E5897"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A szintetikus értékpapírosításoknál az értékpapírosítást kezdeményező által mérlegtételek és/vagy befektetői érdekeltség formájában tartott pozíciók értéke a 0010–0040. oszlopok összesítéséből adódik.</w:t>
            </w:r>
          </w:p>
          <w:p w14:paraId="1A1975D8" w14:textId="77777777" w:rsidR="001B1411" w:rsidRPr="00DA7625" w:rsidRDefault="001B1411">
            <w:pPr>
              <w:autoSpaceDE w:val="0"/>
              <w:autoSpaceDN w:val="0"/>
              <w:adjustRightInd w:val="0"/>
              <w:spacing w:before="0" w:after="0"/>
              <w:rPr>
                <w:rFonts w:ascii="Times New Roman" w:hAnsi="Times New Roman"/>
                <w:bCs/>
                <w:sz w:val="24"/>
              </w:rPr>
            </w:pPr>
          </w:p>
        </w:tc>
      </w:tr>
      <w:tr w:rsidR="001B1411" w:rsidRPr="00DA7625" w14:paraId="03FDE2C8" w14:textId="77777777" w:rsidTr="00E10B85">
        <w:tc>
          <w:tcPr>
            <w:tcW w:w="1568" w:type="dxa"/>
          </w:tcPr>
          <w:p w14:paraId="41D8640A"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lastRenderedPageBreak/>
              <w:t>0060</w:t>
            </w:r>
          </w:p>
        </w:tc>
        <w:tc>
          <w:tcPr>
            <w:tcW w:w="7436" w:type="dxa"/>
          </w:tcPr>
          <w:p w14:paraId="2582B198"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 xml:space="preserve">(–) ÉRTÉKELÉSI KORREKCIÓK ÉS CÉLTARTALÉKOK </w:t>
            </w:r>
          </w:p>
          <w:p w14:paraId="21E3E585" w14:textId="77777777" w:rsidR="001B1411" w:rsidRPr="00DA7625" w:rsidRDefault="001B1411">
            <w:pPr>
              <w:pStyle w:val="ListParagraph"/>
              <w:spacing w:before="0" w:after="0"/>
              <w:ind w:left="284" w:hanging="284"/>
              <w:rPr>
                <w:rFonts w:ascii="Times New Roman" w:hAnsi="Times New Roman"/>
                <w:sz w:val="24"/>
              </w:rPr>
            </w:pPr>
          </w:p>
          <w:p w14:paraId="3EE8D5DD" w14:textId="67F883BF"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A CRR 248. cikke Az ebben az oszlopban feltüntetendő értékelési korrekciók és céltartalékok kizárólag az értékpapírosítási pozíciókra vonatkoznak. Az értékpapírosított kitettségek értékelési korrekciója nem vehető figyelembe.</w:t>
            </w:r>
          </w:p>
          <w:p w14:paraId="0561621F" w14:textId="77777777" w:rsidR="001B1411" w:rsidRPr="00DA7625" w:rsidRDefault="001B1411">
            <w:pPr>
              <w:autoSpaceDE w:val="0"/>
              <w:autoSpaceDN w:val="0"/>
              <w:adjustRightInd w:val="0"/>
              <w:spacing w:before="0" w:after="0"/>
              <w:rPr>
                <w:rFonts w:ascii="Times New Roman" w:hAnsi="Times New Roman"/>
                <w:b/>
                <w:sz w:val="24"/>
                <w:u w:val="single"/>
              </w:rPr>
            </w:pPr>
          </w:p>
        </w:tc>
      </w:tr>
      <w:tr w:rsidR="001B1411" w:rsidRPr="00DA7625" w14:paraId="230FB5A4" w14:textId="77777777" w:rsidTr="00E10B85">
        <w:tc>
          <w:tcPr>
            <w:tcW w:w="1568" w:type="dxa"/>
          </w:tcPr>
          <w:p w14:paraId="3DF1C9E1"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t>0070</w:t>
            </w:r>
          </w:p>
        </w:tc>
        <w:tc>
          <w:tcPr>
            <w:tcW w:w="7436" w:type="dxa"/>
          </w:tcPr>
          <w:p w14:paraId="7FDA918E"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ÉRTÉKELÉSI KORREKCIÓKKAL ÉS CÉLTARTALÉKOKKAL CSÖKKENTETT KITETTSÉG</w:t>
            </w:r>
          </w:p>
          <w:p w14:paraId="7F0EE619" w14:textId="77777777" w:rsidR="001B1411" w:rsidRPr="00DA7625" w:rsidRDefault="001B1411">
            <w:pPr>
              <w:spacing w:before="0" w:after="0"/>
              <w:jc w:val="left"/>
              <w:rPr>
                <w:rFonts w:ascii="Times New Roman" w:hAnsi="Times New Roman"/>
                <w:sz w:val="24"/>
              </w:rPr>
            </w:pPr>
          </w:p>
          <w:p w14:paraId="799E5479" w14:textId="12CB41D9" w:rsidR="001B1411" w:rsidRPr="00DA7625" w:rsidRDefault="00A16FFF">
            <w:pPr>
              <w:autoSpaceDE w:val="0"/>
              <w:autoSpaceDN w:val="0"/>
              <w:adjustRightInd w:val="0"/>
              <w:spacing w:before="0" w:after="0"/>
              <w:jc w:val="left"/>
              <w:rPr>
                <w:rFonts w:ascii="Times New Roman" w:hAnsi="Times New Roman"/>
                <w:sz w:val="24"/>
              </w:rPr>
            </w:pPr>
            <w:r w:rsidRPr="00DA7625">
              <w:rPr>
                <w:rFonts w:ascii="Times New Roman" w:hAnsi="Times New Roman"/>
                <w:sz w:val="24"/>
              </w:rPr>
              <w:t>Ez az oszlop tartalmazza az értékpapírosítási pozíciók CRR 248. cikkének (1) és (2) bekezdése alapján számított kitettségértékeit az értékelési korrekciók és a céltartalékok levonásával, valamint hitel-egyenértékesítési tényezők alkalmazása nélkül,</w:t>
            </w:r>
            <w:r w:rsidRPr="00DA7625">
              <w:rPr>
                <w:sz w:val="24"/>
              </w:rPr>
              <w:t xml:space="preserve"> </w:t>
            </w:r>
            <w:r w:rsidRPr="00DA7625">
              <w:rPr>
                <w:rFonts w:ascii="Times New Roman" w:hAnsi="Times New Roman"/>
                <w:sz w:val="24"/>
              </w:rPr>
              <w:t>továbbá az értékpapírosított kitettségekre vonatkozó, a CRR 248. cikke (1) bekezdésének d) pontjában említett vissza nem fizetendő árengedmények levonása nélkül, valamint az értékpapírosítási pozíciókra alkalmazott értékelési korrekciók és a céltartalékok levonásával.</w:t>
            </w:r>
          </w:p>
          <w:p w14:paraId="4A1BAEDA" w14:textId="77777777" w:rsidR="001B1411" w:rsidRPr="00DA7625" w:rsidRDefault="001B1411">
            <w:pPr>
              <w:autoSpaceDE w:val="0"/>
              <w:autoSpaceDN w:val="0"/>
              <w:adjustRightInd w:val="0"/>
              <w:spacing w:before="0" w:after="0"/>
              <w:jc w:val="left"/>
              <w:rPr>
                <w:rFonts w:ascii="Times New Roman" w:hAnsi="Times New Roman"/>
                <w:b/>
                <w:sz w:val="24"/>
                <w:u w:val="single"/>
              </w:rPr>
            </w:pPr>
          </w:p>
        </w:tc>
      </w:tr>
      <w:tr w:rsidR="001B1411" w:rsidRPr="00DA7625" w14:paraId="7C818E24" w14:textId="77777777" w:rsidTr="00E10B85">
        <w:tc>
          <w:tcPr>
            <w:tcW w:w="1568" w:type="dxa"/>
          </w:tcPr>
          <w:p w14:paraId="2CB82341"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t>0080–0110</w:t>
            </w:r>
          </w:p>
        </w:tc>
        <w:tc>
          <w:tcPr>
            <w:tcW w:w="7436" w:type="dxa"/>
          </w:tcPr>
          <w:p w14:paraId="2F2D43D0"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A KITETTSÉGRE HELYETTESÍTÉSI HATÁSSAL JÁRÓ HITELKOCKÁZAT-MÉRSÉKLÉSI (CRM) TECHNIKÁK</w:t>
            </w:r>
          </w:p>
          <w:p w14:paraId="768F5C2C" w14:textId="77777777" w:rsidR="001B1411" w:rsidRPr="00DA7625" w:rsidRDefault="001B1411">
            <w:pPr>
              <w:spacing w:before="0" w:after="0"/>
              <w:jc w:val="left"/>
              <w:rPr>
                <w:rFonts w:ascii="Times New Roman" w:hAnsi="Times New Roman"/>
                <w:sz w:val="24"/>
              </w:rPr>
            </w:pPr>
          </w:p>
          <w:p w14:paraId="74D00D7A" w14:textId="6656912B" w:rsidR="001B1411" w:rsidRPr="00DA7625" w:rsidRDefault="00A16FFF">
            <w:pPr>
              <w:spacing w:before="0" w:after="0"/>
              <w:rPr>
                <w:rFonts w:ascii="Times New Roman" w:hAnsi="Times New Roman"/>
                <w:sz w:val="24"/>
              </w:rPr>
            </w:pPr>
            <w:r w:rsidRPr="00DA7625">
              <w:rPr>
                <w:rFonts w:ascii="Times New Roman" w:hAnsi="Times New Roman"/>
                <w:sz w:val="24"/>
              </w:rPr>
              <w:t>A CRR 4. cikke (1) bekezdésének 57. pontja, a CRR harmadik része II. címének 4. fejezete, és a CRR 249. cikke</w:t>
            </w:r>
          </w:p>
          <w:p w14:paraId="6CA1E725" w14:textId="77777777" w:rsidR="001B1411" w:rsidRPr="00DA7625" w:rsidRDefault="001B1411">
            <w:pPr>
              <w:spacing w:before="0" w:after="0"/>
              <w:rPr>
                <w:rFonts w:ascii="Times New Roman" w:hAnsi="Times New Roman"/>
                <w:sz w:val="24"/>
              </w:rPr>
            </w:pPr>
          </w:p>
          <w:p w14:paraId="1A2D70F4" w14:textId="77777777" w:rsidR="001B1411" w:rsidRPr="00DA7625" w:rsidRDefault="007A00D6">
            <w:pPr>
              <w:spacing w:before="0" w:after="0"/>
              <w:rPr>
                <w:rFonts w:ascii="Times New Roman" w:hAnsi="Times New Roman"/>
                <w:sz w:val="24"/>
              </w:rPr>
            </w:pPr>
            <w:r w:rsidRPr="00DA7625">
              <w:rPr>
                <w:rFonts w:ascii="Times New Roman" w:hAnsi="Times New Roman"/>
                <w:sz w:val="24"/>
              </w:rPr>
              <w:t>Az intézmények ezekben az oszlopokban az olyan hitelkockázat-mérséklési technikákra vonatkozóan szolgáltatnak adatot, amelyek egy vagy több kitettség hitelkockázatát csökkentik a kitettségeknek az alább a be- és kiáramlásokra vonatkozóan meghatározott helyettesítésével.</w:t>
            </w:r>
          </w:p>
          <w:p w14:paraId="5C52F384" w14:textId="77777777" w:rsidR="001B1411" w:rsidRPr="00DA7625" w:rsidRDefault="001B1411">
            <w:pPr>
              <w:spacing w:before="0" w:after="0"/>
              <w:rPr>
                <w:rFonts w:ascii="Times New Roman" w:hAnsi="Times New Roman"/>
                <w:sz w:val="24"/>
              </w:rPr>
            </w:pPr>
          </w:p>
          <w:p w14:paraId="7554F59A" w14:textId="42839ECE" w:rsidR="001B1411" w:rsidRPr="00DA7625" w:rsidRDefault="00D021AF">
            <w:pPr>
              <w:pStyle w:val="InstructionsText"/>
            </w:pPr>
            <w:r w:rsidRPr="00DA7625">
              <w:t>A kitettségértéket befolyásoló biztosíték (pl. ha azt a kitettségre helyettesítési hatással járó hitelkockázat-mérséklési technikákhoz használják fel) értéke legfeljebb a kitettségérték lehet.</w:t>
            </w:r>
          </w:p>
          <w:p w14:paraId="575F0F4D" w14:textId="77777777" w:rsidR="001B1411" w:rsidRPr="00DA7625" w:rsidRDefault="00E026FB">
            <w:pPr>
              <w:pStyle w:val="InstructionsText"/>
            </w:pPr>
            <w:r w:rsidRPr="00DA7625">
              <w:t>Itt az alábbi tételeket kell feltüntetni:</w:t>
            </w:r>
          </w:p>
          <w:p w14:paraId="74DAEEA3" w14:textId="4E700FC4" w:rsidR="001B1411" w:rsidRPr="00DA7625" w:rsidRDefault="00E026FB">
            <w:pPr>
              <w:pStyle w:val="ListParagraph"/>
              <w:numPr>
                <w:ilvl w:val="0"/>
                <w:numId w:val="37"/>
              </w:numPr>
              <w:tabs>
                <w:tab w:val="num" w:pos="360"/>
              </w:tabs>
              <w:spacing w:before="0" w:after="0"/>
              <w:rPr>
                <w:rFonts w:ascii="Times New Roman" w:hAnsi="Times New Roman"/>
                <w:sz w:val="24"/>
              </w:rPr>
            </w:pPr>
            <w:r w:rsidRPr="00DA7625">
              <w:rPr>
                <w:rFonts w:ascii="Times New Roman" w:hAnsi="Times New Roman"/>
                <w:sz w:val="24"/>
              </w:rPr>
              <w:t>A CRR 222. cikkének megfelelően a pénzügyi biztosítékok egyszerű módszerével képzett biztosíték;</w:t>
            </w:r>
          </w:p>
          <w:p w14:paraId="0E01D21D" w14:textId="77777777" w:rsidR="001B1411" w:rsidRPr="00DA7625" w:rsidRDefault="00E026FB">
            <w:pPr>
              <w:pStyle w:val="ListParagraph"/>
              <w:numPr>
                <w:ilvl w:val="0"/>
                <w:numId w:val="37"/>
              </w:numPr>
              <w:tabs>
                <w:tab w:val="num" w:pos="360"/>
              </w:tabs>
              <w:spacing w:before="0" w:after="0"/>
              <w:rPr>
                <w:rFonts w:ascii="Times New Roman" w:hAnsi="Times New Roman"/>
                <w:sz w:val="24"/>
              </w:rPr>
            </w:pPr>
            <w:r w:rsidRPr="00DA7625">
              <w:rPr>
                <w:rFonts w:ascii="Times New Roman" w:hAnsi="Times New Roman"/>
                <w:sz w:val="24"/>
              </w:rPr>
              <w:t>figyelembe vehető, előre nem rendelkezésre bocsátott hitelkockázati fedezet.</w:t>
            </w:r>
          </w:p>
          <w:p w14:paraId="76E64F6A" w14:textId="77777777" w:rsidR="001B1411" w:rsidRPr="00DA7625" w:rsidRDefault="001B1411">
            <w:pPr>
              <w:spacing w:before="0" w:after="0"/>
              <w:rPr>
                <w:rFonts w:ascii="Times New Roman" w:hAnsi="Times New Roman"/>
                <w:b/>
                <w:sz w:val="24"/>
                <w:u w:val="single"/>
              </w:rPr>
            </w:pPr>
          </w:p>
        </w:tc>
      </w:tr>
      <w:tr w:rsidR="001B1411" w:rsidRPr="00DA7625" w14:paraId="795C8CE5" w14:textId="77777777" w:rsidTr="00E10B85">
        <w:tc>
          <w:tcPr>
            <w:tcW w:w="1568" w:type="dxa"/>
          </w:tcPr>
          <w:p w14:paraId="1136E601"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t>0080</w:t>
            </w:r>
          </w:p>
        </w:tc>
        <w:tc>
          <w:tcPr>
            <w:tcW w:w="7436" w:type="dxa"/>
          </w:tcPr>
          <w:p w14:paraId="02226FA3"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 ELŐRE NEM RENDELKEZÉSRE BOCSÁTOTT HITELKOCKÁZATI FEDEZET: KORRIGÁLT ÉRTÉKEK (G</w:t>
            </w:r>
            <w:r w:rsidRPr="00DA7625">
              <w:rPr>
                <w:rFonts w:ascii="Times New Roman" w:hAnsi="Times New Roman"/>
                <w:b/>
                <w:sz w:val="24"/>
                <w:u w:val="single"/>
                <w:vertAlign w:val="subscript"/>
              </w:rPr>
              <w:t>A</w:t>
            </w:r>
            <w:r w:rsidRPr="00DA7625">
              <w:rPr>
                <w:rFonts w:ascii="Times New Roman" w:hAnsi="Times New Roman"/>
                <w:b/>
                <w:sz w:val="24"/>
                <w:u w:val="single"/>
              </w:rPr>
              <w:t xml:space="preserve">) </w:t>
            </w:r>
          </w:p>
          <w:p w14:paraId="7E216753" w14:textId="77777777" w:rsidR="001B1411" w:rsidRPr="00DA7625" w:rsidRDefault="001B1411">
            <w:pPr>
              <w:spacing w:before="0" w:after="0"/>
              <w:jc w:val="left"/>
              <w:rPr>
                <w:rFonts w:ascii="Times New Roman" w:hAnsi="Times New Roman"/>
                <w:b/>
                <w:sz w:val="24"/>
                <w:u w:val="single"/>
              </w:rPr>
            </w:pPr>
          </w:p>
          <w:p w14:paraId="6285D450" w14:textId="4A99A4A1"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Előre nem rendelkezésre bocsátott hitelkockázati fedezet a CRR 4. cikke (1) bekezdésének 59. pontjában, valamint 234–236. cikkében meghatározottak szerint.</w:t>
            </w:r>
          </w:p>
          <w:p w14:paraId="432EE6E4" w14:textId="77777777" w:rsidR="001B1411" w:rsidRPr="00DA7625" w:rsidRDefault="001B1411">
            <w:pPr>
              <w:autoSpaceDE w:val="0"/>
              <w:autoSpaceDN w:val="0"/>
              <w:adjustRightInd w:val="0"/>
              <w:spacing w:before="0" w:after="0"/>
              <w:rPr>
                <w:rFonts w:ascii="Times New Roman" w:hAnsi="Times New Roman"/>
                <w:b/>
                <w:sz w:val="24"/>
                <w:u w:val="single"/>
              </w:rPr>
            </w:pPr>
          </w:p>
        </w:tc>
      </w:tr>
      <w:tr w:rsidR="001B1411" w:rsidRPr="00DA7625" w14:paraId="7F05EE55" w14:textId="77777777" w:rsidTr="00E10B85">
        <w:tc>
          <w:tcPr>
            <w:tcW w:w="1568" w:type="dxa"/>
          </w:tcPr>
          <w:p w14:paraId="6E9625C0"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lastRenderedPageBreak/>
              <w:t>0090</w:t>
            </w:r>
          </w:p>
        </w:tc>
        <w:tc>
          <w:tcPr>
            <w:tcW w:w="7436" w:type="dxa"/>
          </w:tcPr>
          <w:p w14:paraId="11331AA2" w14:textId="77777777" w:rsidR="001B1411" w:rsidRPr="00DA7625" w:rsidRDefault="00E026FB">
            <w:pPr>
              <w:spacing w:before="0" w:after="0"/>
              <w:rPr>
                <w:rFonts w:ascii="Times New Roman" w:hAnsi="Times New Roman"/>
                <w:b/>
                <w:sz w:val="24"/>
                <w:u w:val="single"/>
              </w:rPr>
            </w:pPr>
            <w:r w:rsidRPr="00DA7625">
              <w:rPr>
                <w:rFonts w:ascii="Times New Roman" w:hAnsi="Times New Roman"/>
                <w:b/>
                <w:sz w:val="24"/>
                <w:u w:val="single"/>
              </w:rPr>
              <w:t>(–) ELŐRE RENDELKEZÉSRE BOCSÁTOTT HITELKOCKÁZATI FEDEZET</w:t>
            </w:r>
          </w:p>
          <w:p w14:paraId="70917145" w14:textId="77777777" w:rsidR="001B1411" w:rsidRPr="00DA7625" w:rsidRDefault="001B1411">
            <w:pPr>
              <w:spacing w:before="0" w:after="0"/>
              <w:rPr>
                <w:rFonts w:ascii="Times New Roman" w:hAnsi="Times New Roman"/>
                <w:sz w:val="24"/>
              </w:rPr>
            </w:pPr>
          </w:p>
          <w:p w14:paraId="16B35BA8" w14:textId="43D810FA"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Előre rendelkezésre bocsátott hitelkockázati fedezet a CRR 4. cikke (1) bekezdésének 58. pontjában, a CRR 249. cikke (2) bekezdésének első albekezdésében említetteknek megfelelően, valamint a CRR 195., 197. és 200 cikkében előírtaknak megfelelően.</w:t>
            </w:r>
          </w:p>
          <w:p w14:paraId="79CFEB9C" w14:textId="77777777" w:rsidR="001B1411" w:rsidRPr="00DA7625" w:rsidRDefault="001B1411">
            <w:pPr>
              <w:autoSpaceDE w:val="0"/>
              <w:autoSpaceDN w:val="0"/>
              <w:adjustRightInd w:val="0"/>
              <w:spacing w:before="0" w:after="0"/>
              <w:ind w:left="284" w:hanging="284"/>
              <w:rPr>
                <w:rFonts w:ascii="Times New Roman" w:hAnsi="Times New Roman"/>
                <w:sz w:val="24"/>
              </w:rPr>
            </w:pPr>
          </w:p>
          <w:p w14:paraId="388EA6A0" w14:textId="0FEDF059" w:rsidR="001B1411" w:rsidRPr="00DA7625" w:rsidRDefault="00E026FB">
            <w:pPr>
              <w:spacing w:before="0" w:after="0"/>
              <w:rPr>
                <w:rFonts w:ascii="Times New Roman" w:hAnsi="Times New Roman"/>
                <w:sz w:val="24"/>
              </w:rPr>
            </w:pPr>
            <w:r w:rsidRPr="00DA7625">
              <w:rPr>
                <w:rFonts w:ascii="Times New Roman" w:hAnsi="Times New Roman"/>
                <w:sz w:val="24"/>
              </w:rPr>
              <w:t>A CRR 218. és 219. cikkében említett, hitelkockázati eseményhez kapcsolt értékpapírokat és mérlegen belüli nettósítási pozíciókat készpénzbiztosítékként kell kezelni.</w:t>
            </w:r>
          </w:p>
          <w:p w14:paraId="539B11C7" w14:textId="77777777" w:rsidR="001B1411" w:rsidRPr="00DA7625" w:rsidRDefault="001B1411">
            <w:pPr>
              <w:autoSpaceDE w:val="0"/>
              <w:autoSpaceDN w:val="0"/>
              <w:adjustRightInd w:val="0"/>
              <w:spacing w:before="0" w:after="0"/>
              <w:rPr>
                <w:rFonts w:ascii="Times New Roman" w:hAnsi="Times New Roman"/>
                <w:bCs/>
                <w:sz w:val="24"/>
              </w:rPr>
            </w:pPr>
          </w:p>
        </w:tc>
      </w:tr>
      <w:tr w:rsidR="001B1411" w:rsidRPr="00DA7625" w14:paraId="510C1FA5" w14:textId="77777777" w:rsidTr="00E10B85">
        <w:tc>
          <w:tcPr>
            <w:tcW w:w="1568" w:type="dxa"/>
          </w:tcPr>
          <w:p w14:paraId="21953A6D"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t>0100–0110</w:t>
            </w:r>
          </w:p>
        </w:tc>
        <w:tc>
          <w:tcPr>
            <w:tcW w:w="7436" w:type="dxa"/>
          </w:tcPr>
          <w:p w14:paraId="74EF31B3" w14:textId="77777777" w:rsidR="001B1411" w:rsidRPr="00DA7625" w:rsidRDefault="00E026FB">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A KITETTSÉG HITELKOCKÁZAT-MÉRSÉKLÉS MIATTI HELYETTESÍTÉSE</w:t>
            </w:r>
          </w:p>
          <w:p w14:paraId="17529285" w14:textId="77777777" w:rsidR="001B1411" w:rsidRPr="00DA7625" w:rsidRDefault="001B1411">
            <w:pPr>
              <w:spacing w:before="0" w:after="0"/>
              <w:rPr>
                <w:rFonts w:ascii="Times New Roman" w:hAnsi="Times New Roman"/>
                <w:b/>
                <w:sz w:val="24"/>
                <w:u w:val="single"/>
              </w:rPr>
            </w:pPr>
          </w:p>
          <w:p w14:paraId="55CBC0C5"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Fel kell tüntetni az azonos kitettségi osztályba, illetve adott esetben kockázatisúly- vagy ügyfél-kategóriába tartozó be- és kiáramlásokat.</w:t>
            </w:r>
          </w:p>
          <w:p w14:paraId="04AF3836" w14:textId="77777777" w:rsidR="001B1411" w:rsidRPr="00DA7625" w:rsidRDefault="001B1411">
            <w:pPr>
              <w:spacing w:before="0" w:after="0"/>
              <w:rPr>
                <w:rFonts w:ascii="Times New Roman" w:hAnsi="Times New Roman"/>
                <w:b/>
                <w:sz w:val="24"/>
                <w:u w:val="single"/>
              </w:rPr>
            </w:pPr>
          </w:p>
        </w:tc>
      </w:tr>
      <w:tr w:rsidR="001B1411" w:rsidRPr="00DA7625" w14:paraId="12F37967" w14:textId="77777777" w:rsidTr="00E10B85">
        <w:tc>
          <w:tcPr>
            <w:tcW w:w="1568" w:type="dxa"/>
          </w:tcPr>
          <w:p w14:paraId="5926E757"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t>0100</w:t>
            </w:r>
          </w:p>
        </w:tc>
        <w:tc>
          <w:tcPr>
            <w:tcW w:w="7436" w:type="dxa"/>
          </w:tcPr>
          <w:p w14:paraId="4485CBBF" w14:textId="77777777" w:rsidR="001B1411" w:rsidRPr="00DA7625" w:rsidRDefault="00E026FB">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 KIÁRAMLÁSOK ÖSSZESEN</w:t>
            </w:r>
          </w:p>
          <w:p w14:paraId="5BE641BE" w14:textId="77777777" w:rsidR="001B1411" w:rsidRPr="00DA7625" w:rsidRDefault="001B1411">
            <w:pPr>
              <w:autoSpaceDE w:val="0"/>
              <w:autoSpaceDN w:val="0"/>
              <w:adjustRightInd w:val="0"/>
              <w:spacing w:before="0" w:after="0"/>
              <w:jc w:val="left"/>
              <w:rPr>
                <w:rFonts w:ascii="Times New Roman" w:hAnsi="Times New Roman"/>
                <w:sz w:val="24"/>
              </w:rPr>
            </w:pPr>
          </w:p>
          <w:p w14:paraId="2B74EA52" w14:textId="3EE82C2F"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 CRR 222. cikkének (3) bekezdése, 235. cikkének (1)–(2) bekezdése, valamint 236. cikke </w:t>
            </w:r>
          </w:p>
          <w:p w14:paraId="3F4E0C87" w14:textId="77777777" w:rsidR="001B1411" w:rsidRPr="00DA7625" w:rsidRDefault="001B1411">
            <w:pPr>
              <w:autoSpaceDE w:val="0"/>
              <w:autoSpaceDN w:val="0"/>
              <w:adjustRightInd w:val="0"/>
              <w:spacing w:before="0" w:after="0"/>
              <w:rPr>
                <w:rFonts w:ascii="Times New Roman" w:hAnsi="Times New Roman"/>
                <w:sz w:val="24"/>
              </w:rPr>
            </w:pPr>
          </w:p>
          <w:p w14:paraId="30436E7C" w14:textId="02443BA9"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 kiáramlások értéke megegyezik az értékelési korrekciókkal és céltartalékokkal csökkentett kitettség fedezett részével, amelyet a kötelezett kitettségi osztályából, illetve adott esetben kockázatisúly- vagy ügyfél-kategóriájából való levonást követően a fedezetnyújtó kitettségi osztályába, illetve adott esetben kockázatisúly- vagy ügyfél-kategóriájába kell sorolni. </w:t>
            </w:r>
          </w:p>
          <w:p w14:paraId="25F263EA" w14:textId="77777777" w:rsidR="001B1411" w:rsidRPr="00DA7625" w:rsidRDefault="001B1411">
            <w:pPr>
              <w:autoSpaceDE w:val="0"/>
              <w:autoSpaceDN w:val="0"/>
              <w:adjustRightInd w:val="0"/>
              <w:spacing w:before="0" w:after="0"/>
              <w:rPr>
                <w:rFonts w:ascii="Times New Roman" w:hAnsi="Times New Roman"/>
                <w:sz w:val="24"/>
              </w:rPr>
            </w:pPr>
          </w:p>
          <w:p w14:paraId="5EEFCBD1" w14:textId="46603C14"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Ezt az összeget a fedezetnyújtó kitettségi osztályába, illetve adott esetben kockázatisúly- vagy ügyfél-kategóriájába irányuló beáramlásnak kell tekinteni.</w:t>
            </w:r>
          </w:p>
          <w:p w14:paraId="306AF987" w14:textId="77777777" w:rsidR="001B1411" w:rsidRPr="00DA7625" w:rsidRDefault="001B1411">
            <w:pPr>
              <w:autoSpaceDE w:val="0"/>
              <w:autoSpaceDN w:val="0"/>
              <w:adjustRightInd w:val="0"/>
              <w:spacing w:before="0" w:after="0"/>
              <w:rPr>
                <w:rFonts w:ascii="Times New Roman" w:hAnsi="Times New Roman"/>
                <w:b/>
                <w:sz w:val="24"/>
                <w:u w:val="single"/>
              </w:rPr>
            </w:pPr>
          </w:p>
        </w:tc>
      </w:tr>
      <w:tr w:rsidR="001B1411" w:rsidRPr="00DA7625" w14:paraId="5A37FD56" w14:textId="77777777" w:rsidTr="00E10B85">
        <w:tc>
          <w:tcPr>
            <w:tcW w:w="1568" w:type="dxa"/>
          </w:tcPr>
          <w:p w14:paraId="2185113A"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t>0110</w:t>
            </w:r>
          </w:p>
        </w:tc>
        <w:tc>
          <w:tcPr>
            <w:tcW w:w="7436" w:type="dxa"/>
          </w:tcPr>
          <w:p w14:paraId="08F2A960" w14:textId="77777777" w:rsidR="001B1411" w:rsidRPr="00DA7625" w:rsidRDefault="00E026FB">
            <w:pPr>
              <w:autoSpaceDE w:val="0"/>
              <w:autoSpaceDN w:val="0"/>
              <w:adjustRightInd w:val="0"/>
              <w:spacing w:before="0" w:after="0"/>
              <w:jc w:val="left"/>
              <w:rPr>
                <w:rStyle w:val="InstructionsTabelleberschrift"/>
                <w:rFonts w:ascii="Times New Roman" w:hAnsi="Times New Roman"/>
                <w:sz w:val="24"/>
              </w:rPr>
            </w:pPr>
            <w:r w:rsidRPr="00DA7625">
              <w:rPr>
                <w:rStyle w:val="InstructionsTabelleberschrift"/>
                <w:rFonts w:ascii="Times New Roman" w:hAnsi="Times New Roman"/>
                <w:sz w:val="24"/>
              </w:rPr>
              <w:t>BEÁRAMLÁSOK ÖSSZESEN</w:t>
            </w:r>
          </w:p>
          <w:p w14:paraId="60589067"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40A8B907" w14:textId="056C9BB2" w:rsidR="001B1411" w:rsidRPr="00DA7625" w:rsidRDefault="00E026FB">
            <w:pPr>
              <w:spacing w:before="0" w:after="0"/>
              <w:rPr>
                <w:rFonts w:ascii="Times New Roman" w:hAnsi="Times New Roman"/>
                <w:sz w:val="24"/>
              </w:rPr>
            </w:pPr>
            <w:r w:rsidRPr="00DA7625">
              <w:rPr>
                <w:rFonts w:ascii="Times New Roman" w:hAnsi="Times New Roman"/>
                <w:sz w:val="24"/>
              </w:rPr>
              <w:t>Az olyan értékpapírosítási pozíciókat, amelyek hitelviszonyt megtestesítő értékpapírnak minősülnek és a CRR 197. cikkének (1) bekezdése szerint elismert pénzügyi biztosítékként kerülnek felhasználásra, továbbá amelyekre a pénzügyi biztosítékok egyszerű módszerét alkalmazzák, ebben az oszlopban beáramlásként kell feltüntetni.</w:t>
            </w:r>
          </w:p>
          <w:p w14:paraId="23CF13D1" w14:textId="77777777" w:rsidR="001B1411" w:rsidRPr="00DA7625" w:rsidRDefault="001B1411">
            <w:pPr>
              <w:autoSpaceDE w:val="0"/>
              <w:autoSpaceDN w:val="0"/>
              <w:adjustRightInd w:val="0"/>
              <w:spacing w:before="0" w:after="0"/>
              <w:rPr>
                <w:rFonts w:ascii="Times New Roman" w:hAnsi="Times New Roman"/>
                <w:b/>
                <w:sz w:val="24"/>
                <w:u w:val="single"/>
              </w:rPr>
            </w:pPr>
          </w:p>
        </w:tc>
      </w:tr>
      <w:tr w:rsidR="001B1411" w:rsidRPr="00DA7625" w14:paraId="79317135" w14:textId="77777777" w:rsidTr="00E10B85">
        <w:tc>
          <w:tcPr>
            <w:tcW w:w="1568" w:type="dxa"/>
          </w:tcPr>
          <w:p w14:paraId="30FE9FDD"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t>0120</w:t>
            </w:r>
          </w:p>
        </w:tc>
        <w:tc>
          <w:tcPr>
            <w:tcW w:w="7436" w:type="dxa"/>
          </w:tcPr>
          <w:p w14:paraId="3347B009" w14:textId="329D9D02" w:rsidR="001B1411" w:rsidRPr="00DA7625" w:rsidRDefault="00E026FB">
            <w:pPr>
              <w:autoSpaceDE w:val="0"/>
              <w:autoSpaceDN w:val="0"/>
              <w:adjustRightInd w:val="0"/>
              <w:spacing w:before="0" w:after="0"/>
              <w:jc w:val="left"/>
              <w:rPr>
                <w:rStyle w:val="InstructionsTabelleberschrift"/>
                <w:rFonts w:ascii="Times New Roman" w:hAnsi="Times New Roman"/>
                <w:sz w:val="24"/>
              </w:rPr>
            </w:pPr>
            <w:r w:rsidRPr="00DA7625">
              <w:rPr>
                <w:rStyle w:val="InstructionsTabelleberschrift"/>
                <w:rFonts w:ascii="Times New Roman" w:hAnsi="Times New Roman"/>
                <w:sz w:val="24"/>
              </w:rPr>
              <w:t>HELYETTESÍTÉSI HATÁSSAL JÁRÓ CRM-TECHNIKÁK UTÁNI, HITEL-EGYENÉRTÉKESÍTÉSI TÉNYEZŐK ELŐTTI NETTÓ KITETTSÉG</w:t>
            </w:r>
          </w:p>
          <w:p w14:paraId="60391F6F" w14:textId="77777777" w:rsidR="001B1411" w:rsidRPr="00DA7625" w:rsidRDefault="001B1411">
            <w:pPr>
              <w:autoSpaceDE w:val="0"/>
              <w:autoSpaceDN w:val="0"/>
              <w:adjustRightInd w:val="0"/>
              <w:spacing w:before="0" w:after="0"/>
              <w:jc w:val="left"/>
              <w:rPr>
                <w:rStyle w:val="FormatvorlageInstructionsTabelleText"/>
                <w:rFonts w:ascii="Times New Roman" w:hAnsi="Times New Roman"/>
                <w:sz w:val="24"/>
              </w:rPr>
            </w:pPr>
          </w:p>
          <w:p w14:paraId="0A77E12F" w14:textId="639D290C" w:rsidR="001B1411" w:rsidRPr="00DA7625" w:rsidRDefault="00A16FFF">
            <w:pPr>
              <w:autoSpaceDE w:val="0"/>
              <w:autoSpaceDN w:val="0"/>
              <w:adjustRightInd w:val="0"/>
              <w:spacing w:before="0" w:after="0"/>
              <w:jc w:val="left"/>
              <w:rPr>
                <w:rStyle w:val="FormatvorlageInstructionsTabelleText"/>
                <w:rFonts w:ascii="Times New Roman" w:hAnsi="Times New Roman"/>
                <w:sz w:val="24"/>
              </w:rPr>
            </w:pPr>
            <w:r w:rsidRPr="00DA7625">
              <w:rPr>
                <w:rStyle w:val="FormatvorlageInstructionsTabelleText"/>
                <w:rFonts w:ascii="Times New Roman" w:hAnsi="Times New Roman"/>
                <w:sz w:val="24"/>
              </w:rPr>
              <w:t>Ez az oszlop tartalmazza a megfelelő kockázatisúly-kategóriába, illetve kitettségi osztályba sorolt kitettségeket a kitettségre helyettesítési hatással járó hitelkockázat-mérséklési (CRM) technikák miatti ki- és beáramlások figyelembevétele után.</w:t>
            </w:r>
          </w:p>
          <w:p w14:paraId="34068537" w14:textId="77777777" w:rsidR="001B1411" w:rsidRPr="00DA7625" w:rsidRDefault="001B1411">
            <w:pPr>
              <w:autoSpaceDE w:val="0"/>
              <w:autoSpaceDN w:val="0"/>
              <w:adjustRightInd w:val="0"/>
              <w:spacing w:before="0" w:after="0"/>
              <w:jc w:val="left"/>
              <w:rPr>
                <w:rStyle w:val="InstructionsTabelleberschrift"/>
                <w:rFonts w:ascii="Times New Roman" w:hAnsi="Times New Roman"/>
                <w:sz w:val="24"/>
              </w:rPr>
            </w:pPr>
          </w:p>
        </w:tc>
      </w:tr>
      <w:tr w:rsidR="001B1411" w:rsidRPr="00DA7625" w14:paraId="602C6CFB" w14:textId="77777777" w:rsidTr="00E10B85">
        <w:tc>
          <w:tcPr>
            <w:tcW w:w="1568" w:type="dxa"/>
          </w:tcPr>
          <w:p w14:paraId="78D10379"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lastRenderedPageBreak/>
              <w:t>0130</w:t>
            </w:r>
          </w:p>
        </w:tc>
        <w:tc>
          <w:tcPr>
            <w:tcW w:w="7436" w:type="dxa"/>
          </w:tcPr>
          <w:p w14:paraId="057F37AA" w14:textId="77777777" w:rsidR="001B1411" w:rsidRPr="00DA7625" w:rsidRDefault="00E026FB">
            <w:pPr>
              <w:autoSpaceDE w:val="0"/>
              <w:autoSpaceDN w:val="0"/>
              <w:adjustRightInd w:val="0"/>
              <w:spacing w:before="0" w:after="0"/>
              <w:jc w:val="left"/>
              <w:rPr>
                <w:rStyle w:val="InstructionsTabelleberschrift"/>
                <w:rFonts w:ascii="Times New Roman" w:hAnsi="Times New Roman"/>
                <w:sz w:val="24"/>
              </w:rPr>
            </w:pPr>
            <w:r w:rsidRPr="00DA7625">
              <w:rPr>
                <w:rStyle w:val="InstructionsTabelleberschrift"/>
                <w:rFonts w:ascii="Times New Roman" w:hAnsi="Times New Roman"/>
                <w:sz w:val="24"/>
              </w:rPr>
              <w:t>(–) A KITETTSÉGÉRTÉKET ÉRINTŐ HITELKOCKÁZAT-MÉRSÉKLÉSI TECHNIKÁK: ELŐRE RENDELKEZÉSRE BOCSÁTOTT HITELKOCKÁZATI FEDEZET, A PÉNZÜGYI BIZTOSÍTÉKOK ÖSSZETETT MÓDSZERE, KORRIGÁLT ÉRTÉK (CVAM)</w:t>
            </w:r>
          </w:p>
          <w:p w14:paraId="7C872E39" w14:textId="77777777" w:rsidR="001B1411" w:rsidRPr="00DA7625" w:rsidRDefault="001B1411">
            <w:pPr>
              <w:autoSpaceDE w:val="0"/>
              <w:autoSpaceDN w:val="0"/>
              <w:adjustRightInd w:val="0"/>
              <w:spacing w:before="0" w:after="0"/>
              <w:jc w:val="left"/>
              <w:rPr>
                <w:rStyle w:val="FormatvorlageInstructionsTabelleText"/>
                <w:rFonts w:ascii="Times New Roman" w:hAnsi="Times New Roman"/>
                <w:sz w:val="24"/>
              </w:rPr>
            </w:pPr>
          </w:p>
          <w:p w14:paraId="69054D1F" w14:textId="76FC2FCA" w:rsidR="001B1411" w:rsidRPr="00DA7625" w:rsidRDefault="00E026FB">
            <w:pPr>
              <w:pStyle w:val="InstructionsText"/>
            </w:pPr>
            <w:r w:rsidRPr="00DA7625">
              <w:t xml:space="preserve">A CRR 223–228. cikke </w:t>
            </w:r>
          </w:p>
          <w:p w14:paraId="0B6C8764" w14:textId="796379BA" w:rsidR="001B1411" w:rsidRPr="00DA7625" w:rsidRDefault="00A16FFF">
            <w:pPr>
              <w:pStyle w:val="InstructionsText"/>
            </w:pPr>
            <w:r w:rsidRPr="00DA7625">
              <w:t>A feltüntetett összeg magában foglalja a CRR 218. cikke szerinti hitelkockázati eseményhez kapcsolt értékpapírokat is.</w:t>
            </w:r>
          </w:p>
          <w:p w14:paraId="5D92B4BC" w14:textId="77777777" w:rsidR="001B1411" w:rsidRPr="00DA7625" w:rsidRDefault="001B1411">
            <w:pPr>
              <w:autoSpaceDE w:val="0"/>
              <w:autoSpaceDN w:val="0"/>
              <w:adjustRightInd w:val="0"/>
              <w:spacing w:before="0" w:after="0"/>
              <w:jc w:val="left"/>
              <w:rPr>
                <w:rStyle w:val="InstructionsTabelleberschrift"/>
                <w:rFonts w:ascii="Times New Roman" w:hAnsi="Times New Roman"/>
                <w:sz w:val="24"/>
              </w:rPr>
            </w:pPr>
          </w:p>
        </w:tc>
      </w:tr>
      <w:tr w:rsidR="001B1411" w:rsidRPr="00DA7625" w14:paraId="73A95B88" w14:textId="77777777" w:rsidTr="00E10B85">
        <w:tc>
          <w:tcPr>
            <w:tcW w:w="1568" w:type="dxa"/>
          </w:tcPr>
          <w:p w14:paraId="235DCD79"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sz w:val="24"/>
              </w:rPr>
              <w:t>0140</w:t>
            </w:r>
          </w:p>
        </w:tc>
        <w:tc>
          <w:tcPr>
            <w:tcW w:w="7436" w:type="dxa"/>
          </w:tcPr>
          <w:p w14:paraId="60A07133" w14:textId="77777777" w:rsidR="001B1411" w:rsidRPr="00DA7625" w:rsidRDefault="00E026FB">
            <w:pPr>
              <w:spacing w:before="0" w:after="0"/>
              <w:rPr>
                <w:rFonts w:ascii="Times New Roman" w:hAnsi="Times New Roman"/>
                <w:b/>
                <w:sz w:val="24"/>
                <w:u w:val="single"/>
              </w:rPr>
            </w:pPr>
            <w:r w:rsidRPr="00DA7625">
              <w:rPr>
                <w:rFonts w:ascii="Times New Roman" w:hAnsi="Times New Roman"/>
                <w:b/>
                <w:sz w:val="24"/>
                <w:u w:val="single"/>
              </w:rPr>
              <w:t>TELJES MÉRTÉKBEN KORRIGÁLT KITETTSÉGÉRTÉK (E*)</w:t>
            </w:r>
          </w:p>
          <w:p w14:paraId="06238DFE" w14:textId="77777777" w:rsidR="001B1411" w:rsidRPr="00DA7625" w:rsidRDefault="001B1411">
            <w:pPr>
              <w:pStyle w:val="Heading1"/>
              <w:rPr>
                <w:rFonts w:ascii="Times New Roman" w:eastAsia="Times New Roman" w:hAnsi="Times New Roman"/>
                <w:sz w:val="24"/>
                <w:szCs w:val="24"/>
              </w:rPr>
            </w:pPr>
          </w:p>
          <w:p w14:paraId="1D0B024C" w14:textId="0861B1C4" w:rsidR="001B1411" w:rsidRPr="00DA7625" w:rsidRDefault="00D021AF">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Az értékpapírosítási pozíciók CRR 248. cikkének megfelelően kiszámított kitettségértéke a CRR 248. cikke (1) bekezdésének b) pontjában meghatározott hitel-egyenértékesítési tényezők alkalmazása nélkül. </w:t>
            </w:r>
          </w:p>
          <w:p w14:paraId="4A63D9DA" w14:textId="77777777" w:rsidR="001B1411" w:rsidRPr="00DA7625" w:rsidRDefault="001B1411">
            <w:pPr>
              <w:autoSpaceDE w:val="0"/>
              <w:autoSpaceDN w:val="0"/>
              <w:adjustRightInd w:val="0"/>
              <w:spacing w:before="0" w:after="0"/>
              <w:jc w:val="left"/>
              <w:rPr>
                <w:rFonts w:ascii="Times New Roman" w:hAnsi="Times New Roman"/>
                <w:sz w:val="24"/>
              </w:rPr>
            </w:pPr>
          </w:p>
        </w:tc>
      </w:tr>
      <w:tr w:rsidR="001B1411" w:rsidRPr="00DA7625" w14:paraId="35F69331" w14:textId="77777777" w:rsidTr="00E10B85">
        <w:tc>
          <w:tcPr>
            <w:tcW w:w="1568" w:type="dxa"/>
          </w:tcPr>
          <w:p w14:paraId="43295A5B"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0150</w:t>
            </w:r>
          </w:p>
        </w:tc>
        <w:tc>
          <w:tcPr>
            <w:tcW w:w="7436" w:type="dxa"/>
          </w:tcPr>
          <w:p w14:paraId="247C28E8" w14:textId="77777777" w:rsidR="001B1411" w:rsidRPr="00DA7625" w:rsidRDefault="00E026FB">
            <w:pPr>
              <w:spacing w:before="0" w:after="0"/>
              <w:rPr>
                <w:rFonts w:ascii="Times New Roman" w:hAnsi="Times New Roman"/>
                <w:b/>
                <w:sz w:val="24"/>
                <w:u w:val="single"/>
              </w:rPr>
            </w:pPr>
            <w:r w:rsidRPr="00DA7625">
              <w:rPr>
                <w:rFonts w:ascii="Times New Roman" w:hAnsi="Times New Roman"/>
                <w:b/>
                <w:sz w:val="24"/>
                <w:u w:val="single"/>
              </w:rPr>
              <w:t>EBBŐL: 0 %-OS HITEL-EGYENÉRTÉKESÍTÉSI TÉNYEZŐ (CCF) ALÁ TARTOZÓ</w:t>
            </w:r>
          </w:p>
          <w:p w14:paraId="4A3A0993" w14:textId="77777777" w:rsidR="001B1411" w:rsidRPr="00DA7625" w:rsidRDefault="001B1411">
            <w:pPr>
              <w:spacing w:before="0" w:after="0"/>
              <w:rPr>
                <w:rFonts w:ascii="Times New Roman" w:hAnsi="Times New Roman"/>
                <w:b/>
                <w:sz w:val="24"/>
                <w:u w:val="single"/>
              </w:rPr>
            </w:pPr>
          </w:p>
          <w:p w14:paraId="2F8E1635" w14:textId="5516C1E9" w:rsidR="001B1411" w:rsidRPr="00DA7625" w:rsidRDefault="00705025">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 CRR 248. cikke (1) bekezdésének b) pontja </w:t>
            </w:r>
          </w:p>
          <w:p w14:paraId="78F6C5DE" w14:textId="77777777" w:rsidR="001B1411" w:rsidRPr="00DA7625" w:rsidRDefault="001B1411">
            <w:pPr>
              <w:autoSpaceDE w:val="0"/>
              <w:autoSpaceDN w:val="0"/>
              <w:adjustRightInd w:val="0"/>
              <w:spacing w:before="0" w:after="0"/>
              <w:rPr>
                <w:rFonts w:ascii="Times New Roman" w:hAnsi="Times New Roman"/>
                <w:sz w:val="24"/>
              </w:rPr>
            </w:pPr>
          </w:p>
          <w:p w14:paraId="2E11D4F4" w14:textId="30337DF5"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Erre vonatkozóan a hitel-egyenértékesítési tényezőt a CRR 4. cikke (1) bekezdésének 56. pontja határozza meg.</w:t>
            </w:r>
          </w:p>
          <w:p w14:paraId="7D235F7E" w14:textId="77777777" w:rsidR="001B1411" w:rsidRPr="00DA7625" w:rsidRDefault="001B1411">
            <w:pPr>
              <w:autoSpaceDE w:val="0"/>
              <w:autoSpaceDN w:val="0"/>
              <w:adjustRightInd w:val="0"/>
              <w:spacing w:before="0" w:after="0"/>
              <w:jc w:val="left"/>
              <w:rPr>
                <w:rFonts w:ascii="Times New Roman" w:hAnsi="Times New Roman"/>
                <w:sz w:val="24"/>
              </w:rPr>
            </w:pPr>
          </w:p>
          <w:p w14:paraId="51135038"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Az adatszolgáltatás során a 0 %-os hitel-egyenértékesítési tényezőre vonatkozóan teljes mértékben korrigált kitettségértéket (E*) kell megadni.</w:t>
            </w:r>
          </w:p>
          <w:p w14:paraId="6CF96076" w14:textId="77777777" w:rsidR="001B1411" w:rsidRPr="00DA7625" w:rsidRDefault="001B1411">
            <w:pPr>
              <w:spacing w:before="0" w:after="0"/>
              <w:rPr>
                <w:rFonts w:ascii="Times New Roman" w:hAnsi="Times New Roman"/>
                <w:b/>
                <w:sz w:val="24"/>
                <w:u w:val="single"/>
              </w:rPr>
            </w:pPr>
          </w:p>
        </w:tc>
      </w:tr>
      <w:tr w:rsidR="001B1411" w:rsidRPr="00DA7625" w14:paraId="5EDAFED5" w14:textId="77777777" w:rsidTr="00E10B85">
        <w:tc>
          <w:tcPr>
            <w:tcW w:w="1568" w:type="dxa"/>
          </w:tcPr>
          <w:p w14:paraId="4F79903F"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0160</w:t>
            </w:r>
          </w:p>
        </w:tc>
        <w:tc>
          <w:tcPr>
            <w:tcW w:w="7436" w:type="dxa"/>
          </w:tcPr>
          <w:p w14:paraId="059FABBD"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 VISSZA NEM FIZETENDŐ ÁRENGEDMÉNY</w:t>
            </w:r>
          </w:p>
          <w:p w14:paraId="598C25E2" w14:textId="77777777" w:rsidR="001B1411" w:rsidRPr="00DA7625" w:rsidRDefault="001B1411">
            <w:pPr>
              <w:spacing w:before="0" w:after="0"/>
              <w:jc w:val="left"/>
              <w:rPr>
                <w:rFonts w:ascii="Times New Roman" w:hAnsi="Times New Roman"/>
                <w:b/>
                <w:sz w:val="24"/>
                <w:u w:val="single"/>
              </w:rPr>
            </w:pPr>
          </w:p>
          <w:p w14:paraId="4F25AF43" w14:textId="0EF0A0A8" w:rsidR="001B1411" w:rsidRPr="00DA7625" w:rsidRDefault="00BB22D4">
            <w:pPr>
              <w:spacing w:before="0" w:after="0"/>
              <w:jc w:val="left"/>
              <w:rPr>
                <w:rFonts w:ascii="Times New Roman" w:hAnsi="Times New Roman"/>
                <w:sz w:val="24"/>
              </w:rPr>
            </w:pPr>
            <w:r w:rsidRPr="00DA7625">
              <w:rPr>
                <w:rFonts w:ascii="Times New Roman" w:hAnsi="Times New Roman"/>
                <w:sz w:val="24"/>
              </w:rPr>
              <w:t>A CRR 248. cikke (1) bekezdésének d) pontja szerint az értékpapírosítást kezdeményező intézmény az olyan értékpapírosítási pozíciók esetében, amelyekhez 1 250 %-os kockázati súlyt rendeltek, levonhatja az értékpapírosítási pozíció kitettségértékéből az ilyen alapul szolgáló kitettségekhez kapcsolódó vissza nem fizetendő árengedményeket, amennyiben ezek az árengedmények a szavatolótőke csökkenését eredményezték.</w:t>
            </w:r>
          </w:p>
          <w:p w14:paraId="73C16F62" w14:textId="77777777" w:rsidR="001B1411" w:rsidRPr="00DA7625" w:rsidRDefault="001B1411">
            <w:pPr>
              <w:spacing w:before="0" w:after="0"/>
              <w:jc w:val="left"/>
              <w:rPr>
                <w:rFonts w:ascii="Times New Roman" w:hAnsi="Times New Roman"/>
                <w:b/>
                <w:sz w:val="24"/>
                <w:u w:val="single"/>
              </w:rPr>
            </w:pPr>
          </w:p>
        </w:tc>
      </w:tr>
      <w:tr w:rsidR="001B1411" w:rsidRPr="00DA7625" w14:paraId="08AFADB1" w14:textId="77777777" w:rsidTr="00E10B85">
        <w:tc>
          <w:tcPr>
            <w:tcW w:w="1568" w:type="dxa"/>
          </w:tcPr>
          <w:p w14:paraId="126F1184"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0170</w:t>
            </w:r>
          </w:p>
        </w:tc>
        <w:tc>
          <w:tcPr>
            <w:tcW w:w="7436" w:type="dxa"/>
          </w:tcPr>
          <w:p w14:paraId="49FFAA27"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 AZ ALAPUL SZOLGÁLÓ KITETTSÉGEK EGYEDI HITELKOCKÁZATI KIIGAZÍTÁSA</w:t>
            </w:r>
          </w:p>
          <w:p w14:paraId="702F72A8" w14:textId="77777777" w:rsidR="001B1411" w:rsidRPr="00DA7625" w:rsidRDefault="001B1411">
            <w:pPr>
              <w:spacing w:before="0" w:after="0"/>
              <w:jc w:val="left"/>
              <w:rPr>
                <w:rFonts w:ascii="Times New Roman" w:hAnsi="Times New Roman"/>
                <w:b/>
                <w:sz w:val="24"/>
                <w:u w:val="single"/>
              </w:rPr>
            </w:pPr>
          </w:p>
          <w:p w14:paraId="4A46AA69" w14:textId="02E414CB" w:rsidR="001B1411" w:rsidRPr="00DA7625" w:rsidRDefault="00BB22D4">
            <w:pPr>
              <w:spacing w:before="0" w:after="0"/>
              <w:jc w:val="left"/>
              <w:rPr>
                <w:rFonts w:ascii="Times New Roman" w:hAnsi="Times New Roman"/>
                <w:sz w:val="24"/>
              </w:rPr>
            </w:pPr>
            <w:r w:rsidRPr="00DA7625">
              <w:rPr>
                <w:rFonts w:ascii="Times New Roman" w:hAnsi="Times New Roman"/>
                <w:sz w:val="24"/>
              </w:rPr>
              <w:t xml:space="preserve">A CRR 248. cikke (1) bekezdésének d) pontja szerint az értékpapírosítást kezdeményező intézmény az olyan értékpapírosítási pozíció esetében, amelyekhez 1 250 %-os kockázati súlyt rendeltek, vagy amely levonásra került az elsődleges alapvető tőkéből, a 110. cikknek megfelelően levonhatja a kitettségértékből az alapul szolgáló kitettségekre vonatkozó egyedi hitelkockázati kiigazításokat. </w:t>
            </w:r>
          </w:p>
          <w:p w14:paraId="14046BFE" w14:textId="77777777" w:rsidR="001B1411" w:rsidRPr="00DA7625" w:rsidRDefault="001B1411">
            <w:pPr>
              <w:spacing w:before="0" w:after="0"/>
              <w:jc w:val="left"/>
              <w:rPr>
                <w:rFonts w:ascii="Times New Roman" w:hAnsi="Times New Roman"/>
                <w:b/>
                <w:sz w:val="24"/>
                <w:u w:val="single"/>
              </w:rPr>
            </w:pPr>
          </w:p>
        </w:tc>
      </w:tr>
      <w:tr w:rsidR="001B1411" w:rsidRPr="00DA7625" w14:paraId="78CB838B" w14:textId="77777777" w:rsidTr="00E10B85">
        <w:tc>
          <w:tcPr>
            <w:tcW w:w="1568" w:type="dxa"/>
          </w:tcPr>
          <w:p w14:paraId="56A71E8A"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0180</w:t>
            </w:r>
          </w:p>
        </w:tc>
        <w:tc>
          <w:tcPr>
            <w:tcW w:w="7436" w:type="dxa"/>
          </w:tcPr>
          <w:p w14:paraId="644B79A9"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KITETTSÉGÉRTÉK</w:t>
            </w:r>
          </w:p>
          <w:p w14:paraId="3E8726F4" w14:textId="77777777" w:rsidR="001B1411" w:rsidRPr="00DA7625" w:rsidRDefault="001B1411">
            <w:pPr>
              <w:spacing w:before="0" w:after="0"/>
              <w:jc w:val="left"/>
              <w:rPr>
                <w:rFonts w:ascii="Times New Roman" w:hAnsi="Times New Roman"/>
                <w:b/>
                <w:sz w:val="24"/>
                <w:u w:val="single"/>
              </w:rPr>
            </w:pPr>
          </w:p>
          <w:p w14:paraId="61EE4152" w14:textId="084E947D" w:rsidR="001B1411" w:rsidRPr="00DA7625" w:rsidRDefault="00D021AF">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Az értékpapírosítási pozíciók CRR 248. cikke szerint kiszámított kitettségértéke.</w:t>
            </w:r>
          </w:p>
          <w:p w14:paraId="0C4CC919" w14:textId="77777777" w:rsidR="001B1411" w:rsidRPr="00DA7625" w:rsidRDefault="001B1411">
            <w:pPr>
              <w:spacing w:before="0" w:after="0"/>
              <w:jc w:val="left"/>
              <w:rPr>
                <w:rFonts w:ascii="Times New Roman" w:hAnsi="Times New Roman"/>
                <w:b/>
                <w:sz w:val="24"/>
                <w:u w:val="single"/>
              </w:rPr>
            </w:pPr>
          </w:p>
        </w:tc>
      </w:tr>
      <w:tr w:rsidR="001B1411" w:rsidRPr="00DA7625" w14:paraId="545D8C88" w14:textId="77777777" w:rsidTr="00E10B85">
        <w:tc>
          <w:tcPr>
            <w:tcW w:w="1568" w:type="dxa"/>
          </w:tcPr>
          <w:p w14:paraId="328265EE"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sz w:val="24"/>
              </w:rPr>
              <w:lastRenderedPageBreak/>
              <w:t>0190</w:t>
            </w:r>
          </w:p>
        </w:tc>
        <w:tc>
          <w:tcPr>
            <w:tcW w:w="7436" w:type="dxa"/>
          </w:tcPr>
          <w:p w14:paraId="4F8D2DCE"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 A SZAVATOLÓTŐKÉBŐL LEVONT KITETTSÉGÉRTÉK</w:t>
            </w:r>
          </w:p>
          <w:p w14:paraId="76232993" w14:textId="77777777" w:rsidR="001B1411" w:rsidRPr="00DA7625" w:rsidRDefault="001B1411">
            <w:pPr>
              <w:spacing w:before="0" w:after="0"/>
              <w:jc w:val="left"/>
              <w:rPr>
                <w:rFonts w:ascii="Times New Roman" w:hAnsi="Times New Roman"/>
                <w:sz w:val="24"/>
              </w:rPr>
            </w:pPr>
          </w:p>
          <w:p w14:paraId="3DFEE244" w14:textId="6E963FFE" w:rsidR="001B1411" w:rsidRPr="00DA7625" w:rsidRDefault="00BB22D4">
            <w:pPr>
              <w:spacing w:before="0" w:after="0"/>
              <w:rPr>
                <w:rFonts w:ascii="Times New Roman" w:hAnsi="Times New Roman"/>
                <w:sz w:val="24"/>
              </w:rPr>
            </w:pPr>
            <w:r w:rsidRPr="00DA7625">
              <w:rPr>
                <w:rFonts w:ascii="Times New Roman" w:hAnsi="Times New Roman"/>
                <w:sz w:val="24"/>
              </w:rPr>
              <w:t xml:space="preserve">A CRR 244. cikke (1) bekezdésének </w:t>
            </w:r>
            <w:r w:rsidRPr="00DA7625">
              <w:rPr>
                <w:rStyle w:val="FormatvorlageInstructionsTabelleText"/>
                <w:rFonts w:ascii="Times New Roman" w:hAnsi="Times New Roman"/>
                <w:sz w:val="24"/>
              </w:rPr>
              <w:t>b) pontja</w:t>
            </w:r>
            <w:r w:rsidRPr="00DA7625">
              <w:rPr>
                <w:rFonts w:ascii="Times New Roman" w:hAnsi="Times New Roman"/>
                <w:sz w:val="24"/>
              </w:rPr>
              <w:t xml:space="preserve">, </w:t>
            </w:r>
            <w:r w:rsidRPr="00DA7625">
              <w:rPr>
                <w:rStyle w:val="FormatvorlageInstructionsTabelleText"/>
                <w:rFonts w:ascii="Times New Roman" w:hAnsi="Times New Roman"/>
                <w:sz w:val="24"/>
              </w:rPr>
              <w:t>245. cikke (1) bekezdésének b) pontja</w:t>
            </w:r>
            <w:r w:rsidRPr="00DA7625">
              <w:rPr>
                <w:rFonts w:ascii="Times New Roman" w:hAnsi="Times New Roman"/>
                <w:sz w:val="24"/>
              </w:rPr>
              <w:t xml:space="preserve"> és 253. cikkének (1) bekezdése szerint az intézmények az olyan értékpapírosítási pozíciók esetében, amelyekhez 1 250 %-os kockázati súlyt rendeltek, a pozícióknak a kockázattal súlyozott kitettségérték kiszámításánál történő figyelembevétele helyett a pozíciók kitettségértékét levonhatják szavatolótőkéjükből.</w:t>
            </w:r>
          </w:p>
          <w:p w14:paraId="763B19E6" w14:textId="77777777" w:rsidR="001B1411" w:rsidRPr="00DA7625" w:rsidRDefault="001B1411">
            <w:pPr>
              <w:autoSpaceDE w:val="0"/>
              <w:autoSpaceDN w:val="0"/>
              <w:adjustRightInd w:val="0"/>
              <w:spacing w:before="0" w:after="0"/>
              <w:ind w:left="284" w:hanging="284"/>
              <w:jc w:val="left"/>
              <w:rPr>
                <w:rFonts w:ascii="Times New Roman" w:hAnsi="Times New Roman"/>
                <w:sz w:val="24"/>
              </w:rPr>
            </w:pPr>
          </w:p>
        </w:tc>
      </w:tr>
      <w:tr w:rsidR="001B1411" w:rsidRPr="00DA7625" w14:paraId="32DF26BB" w14:textId="77777777" w:rsidTr="00E10B85">
        <w:tc>
          <w:tcPr>
            <w:tcW w:w="1568" w:type="dxa"/>
          </w:tcPr>
          <w:p w14:paraId="23E5208A"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sz w:val="24"/>
              </w:rPr>
              <w:t>0200</w:t>
            </w:r>
          </w:p>
        </w:tc>
        <w:tc>
          <w:tcPr>
            <w:tcW w:w="7436" w:type="dxa"/>
          </w:tcPr>
          <w:p w14:paraId="281E0D86"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KOCKÁZATI SÚLYOZÁS ALÁ TARTOZÓ KITETTSÉGÉRTÉK</w:t>
            </w:r>
          </w:p>
          <w:p w14:paraId="23F99AC8" w14:textId="77777777" w:rsidR="001B1411" w:rsidRPr="00DA7625" w:rsidRDefault="001B1411">
            <w:pPr>
              <w:spacing w:before="0" w:after="0"/>
              <w:jc w:val="left"/>
              <w:rPr>
                <w:rFonts w:ascii="Times New Roman" w:hAnsi="Times New Roman"/>
                <w:b/>
                <w:sz w:val="24"/>
                <w:u w:val="single"/>
              </w:rPr>
            </w:pPr>
          </w:p>
          <w:p w14:paraId="39B3C0F9" w14:textId="77777777" w:rsidR="001B1411" w:rsidRPr="00DA7625" w:rsidRDefault="00E026FB">
            <w:pPr>
              <w:spacing w:before="0" w:after="0"/>
              <w:rPr>
                <w:rFonts w:ascii="Times New Roman" w:hAnsi="Times New Roman"/>
                <w:sz w:val="24"/>
              </w:rPr>
            </w:pPr>
            <w:r w:rsidRPr="00DA7625">
              <w:rPr>
                <w:rFonts w:ascii="Times New Roman" w:hAnsi="Times New Roman"/>
                <w:sz w:val="24"/>
              </w:rPr>
              <w:t>A szavatolótőkéből levont kitettségértékkel csökkentett kitettségérték.</w:t>
            </w:r>
          </w:p>
          <w:p w14:paraId="3FFEF3E3" w14:textId="77777777" w:rsidR="001B1411" w:rsidRPr="00DA7625" w:rsidRDefault="001B1411">
            <w:pPr>
              <w:pStyle w:val="Heading1"/>
              <w:rPr>
                <w:rFonts w:ascii="Times New Roman" w:eastAsia="Times New Roman" w:hAnsi="Times New Roman"/>
                <w:sz w:val="24"/>
                <w:szCs w:val="24"/>
              </w:rPr>
            </w:pPr>
          </w:p>
        </w:tc>
      </w:tr>
      <w:tr w:rsidR="001B1411" w:rsidRPr="00DA7625" w14:paraId="1DFD4FCD" w14:textId="77777777" w:rsidTr="00E10B85">
        <w:tc>
          <w:tcPr>
            <w:tcW w:w="1568" w:type="dxa"/>
          </w:tcPr>
          <w:p w14:paraId="35DD908D"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0210</w:t>
            </w:r>
          </w:p>
        </w:tc>
        <w:tc>
          <w:tcPr>
            <w:tcW w:w="7436" w:type="dxa"/>
          </w:tcPr>
          <w:p w14:paraId="0FFF490B"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SEC-IRBA</w:t>
            </w:r>
          </w:p>
          <w:p w14:paraId="4FA1D9FA" w14:textId="77777777" w:rsidR="001B1411" w:rsidRPr="00DA7625" w:rsidRDefault="001B1411">
            <w:pPr>
              <w:spacing w:before="0" w:after="0"/>
              <w:jc w:val="left"/>
              <w:rPr>
                <w:rFonts w:ascii="Times New Roman" w:hAnsi="Times New Roman"/>
                <w:b/>
                <w:sz w:val="24"/>
                <w:u w:val="single"/>
              </w:rPr>
            </w:pPr>
          </w:p>
          <w:p w14:paraId="0F342164" w14:textId="74871240" w:rsidR="001B1411" w:rsidRPr="00DA7625" w:rsidRDefault="001E0C80">
            <w:pPr>
              <w:spacing w:before="0" w:after="0"/>
              <w:jc w:val="left"/>
              <w:rPr>
                <w:rFonts w:ascii="Times New Roman" w:hAnsi="Times New Roman"/>
                <w:sz w:val="24"/>
              </w:rPr>
            </w:pPr>
            <w:r w:rsidRPr="00DA7625">
              <w:rPr>
                <w:rFonts w:ascii="Times New Roman" w:hAnsi="Times New Roman"/>
                <w:sz w:val="24"/>
              </w:rPr>
              <w:t>A CRR 254. cikke (1) bekezdésének a) pontja</w:t>
            </w:r>
          </w:p>
          <w:p w14:paraId="5DF1BD70" w14:textId="77777777" w:rsidR="001B1411" w:rsidRPr="00DA7625" w:rsidRDefault="001B1411">
            <w:pPr>
              <w:spacing w:before="0" w:after="0"/>
              <w:jc w:val="left"/>
              <w:rPr>
                <w:rFonts w:ascii="Times New Roman" w:hAnsi="Times New Roman"/>
                <w:sz w:val="24"/>
              </w:rPr>
            </w:pPr>
          </w:p>
        </w:tc>
      </w:tr>
      <w:tr w:rsidR="001B1411" w:rsidRPr="00DA7625" w14:paraId="0DF54B21" w14:textId="77777777" w:rsidTr="00E10B85">
        <w:tc>
          <w:tcPr>
            <w:tcW w:w="1568" w:type="dxa"/>
          </w:tcPr>
          <w:p w14:paraId="19EB2459"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0220–0260</w:t>
            </w:r>
          </w:p>
        </w:tc>
        <w:tc>
          <w:tcPr>
            <w:tcW w:w="7436" w:type="dxa"/>
          </w:tcPr>
          <w:p w14:paraId="6CDE18A3"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KOCKÁZATISÚLY-SÁVOK SZERINTI BONTÁS</w:t>
            </w:r>
          </w:p>
          <w:p w14:paraId="1F6408CC" w14:textId="77777777" w:rsidR="001B1411" w:rsidRPr="00DA7625" w:rsidRDefault="001B1411">
            <w:pPr>
              <w:spacing w:before="0" w:after="0"/>
              <w:jc w:val="left"/>
              <w:rPr>
                <w:rFonts w:ascii="Times New Roman" w:hAnsi="Times New Roman"/>
                <w:sz w:val="24"/>
              </w:rPr>
            </w:pPr>
          </w:p>
          <w:p w14:paraId="5BB23D05" w14:textId="77777777" w:rsidR="001B1411" w:rsidRPr="00DA7625" w:rsidRDefault="00E026FB">
            <w:pPr>
              <w:spacing w:before="0" w:after="0"/>
              <w:jc w:val="left"/>
              <w:rPr>
                <w:rFonts w:ascii="Times New Roman" w:hAnsi="Times New Roman"/>
                <w:sz w:val="24"/>
              </w:rPr>
            </w:pPr>
            <w:r w:rsidRPr="00DA7625">
              <w:rPr>
                <w:rFonts w:ascii="Times New Roman" w:hAnsi="Times New Roman"/>
                <w:sz w:val="24"/>
              </w:rPr>
              <w:t>SEC-IRBA kitettségek kockázatisúly-sávok szerinti bontásban.</w:t>
            </w:r>
          </w:p>
          <w:p w14:paraId="5FDBCA85" w14:textId="77777777" w:rsidR="001B1411" w:rsidRPr="00DA7625" w:rsidRDefault="001B1411">
            <w:pPr>
              <w:spacing w:before="0" w:after="0"/>
              <w:jc w:val="left"/>
              <w:rPr>
                <w:rFonts w:ascii="Times New Roman" w:hAnsi="Times New Roman"/>
                <w:b/>
                <w:sz w:val="24"/>
                <w:u w:val="single"/>
              </w:rPr>
            </w:pPr>
          </w:p>
        </w:tc>
      </w:tr>
      <w:tr w:rsidR="001B1411" w:rsidRPr="00DA7625" w14:paraId="73AB4ED3" w14:textId="77777777" w:rsidTr="00E10B85">
        <w:tc>
          <w:tcPr>
            <w:tcW w:w="1568" w:type="dxa"/>
          </w:tcPr>
          <w:p w14:paraId="164FD94D"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0270</w:t>
            </w:r>
          </w:p>
        </w:tc>
        <w:tc>
          <w:tcPr>
            <w:tcW w:w="7436" w:type="dxa"/>
          </w:tcPr>
          <w:p w14:paraId="10502E2D" w14:textId="7CD41CF4"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 xml:space="preserve">EBBŐL: A 255. CIKK (4) BEKEZDÉSE SZERINT SZÁMÍTVA (VÁSÁROLT KÖVETELÉSEK) </w:t>
            </w:r>
          </w:p>
          <w:p w14:paraId="6F082799" w14:textId="77777777" w:rsidR="001B1411" w:rsidRPr="00DA7625" w:rsidRDefault="001B1411">
            <w:pPr>
              <w:spacing w:before="0" w:after="0"/>
              <w:jc w:val="left"/>
              <w:rPr>
                <w:rFonts w:ascii="Times New Roman" w:hAnsi="Times New Roman"/>
                <w:sz w:val="24"/>
              </w:rPr>
            </w:pPr>
          </w:p>
          <w:p w14:paraId="26E3FBB7" w14:textId="56238375" w:rsidR="001B1411" w:rsidRPr="00DA7625" w:rsidRDefault="00E026FB">
            <w:pPr>
              <w:spacing w:before="0" w:after="0"/>
              <w:jc w:val="left"/>
              <w:rPr>
                <w:rFonts w:ascii="Times New Roman" w:hAnsi="Times New Roman"/>
                <w:sz w:val="24"/>
              </w:rPr>
            </w:pPr>
            <w:r w:rsidRPr="00DA7625">
              <w:rPr>
                <w:rFonts w:ascii="Times New Roman" w:hAnsi="Times New Roman"/>
                <w:sz w:val="24"/>
              </w:rPr>
              <w:t>A CRR 255. cikkének (4) bekezdése</w:t>
            </w:r>
          </w:p>
          <w:p w14:paraId="133C5AF3" w14:textId="2B77008A" w:rsidR="001B1411" w:rsidRPr="00DA7625" w:rsidRDefault="00E026FB">
            <w:pPr>
              <w:spacing w:before="0" w:after="0"/>
              <w:jc w:val="left"/>
              <w:rPr>
                <w:rFonts w:ascii="Times New Roman" w:hAnsi="Times New Roman"/>
                <w:sz w:val="24"/>
              </w:rPr>
            </w:pPr>
            <w:r w:rsidRPr="00DA7625">
              <w:rPr>
                <w:rFonts w:ascii="Times New Roman" w:hAnsi="Times New Roman"/>
                <w:sz w:val="24"/>
              </w:rPr>
              <w:t xml:space="preserve"> </w:t>
            </w:r>
          </w:p>
          <w:p w14:paraId="0D79C9FD" w14:textId="0F5C6A3B" w:rsidR="001B1411" w:rsidRPr="00DA7625" w:rsidRDefault="00E026FB">
            <w:pPr>
              <w:spacing w:before="0" w:after="0"/>
              <w:jc w:val="left"/>
              <w:rPr>
                <w:rFonts w:ascii="Times New Roman" w:hAnsi="Times New Roman"/>
                <w:sz w:val="24"/>
              </w:rPr>
            </w:pPr>
            <w:r w:rsidRPr="00DA7625">
              <w:rPr>
                <w:rFonts w:ascii="Times New Roman" w:hAnsi="Times New Roman"/>
                <w:sz w:val="24"/>
              </w:rPr>
              <w:t>Ezzel az oszloppal összefüggésben a lakossági kitettségeket vásárolt lakossági követelésként, a nem lakossági kitettségeket pedig vásárolt vállalati követelésként kell kezelni.</w:t>
            </w:r>
          </w:p>
          <w:p w14:paraId="14469ABF" w14:textId="77777777" w:rsidR="001B1411" w:rsidRPr="00DA7625" w:rsidRDefault="001B1411">
            <w:pPr>
              <w:spacing w:before="0" w:after="0"/>
              <w:jc w:val="left"/>
              <w:rPr>
                <w:rFonts w:ascii="Times New Roman" w:hAnsi="Times New Roman"/>
                <w:sz w:val="24"/>
              </w:rPr>
            </w:pPr>
          </w:p>
        </w:tc>
      </w:tr>
      <w:tr w:rsidR="001B1411" w:rsidRPr="00DA7625" w14:paraId="7AB9FDBC" w14:textId="77777777" w:rsidTr="00E10B85">
        <w:tc>
          <w:tcPr>
            <w:tcW w:w="1568" w:type="dxa"/>
          </w:tcPr>
          <w:p w14:paraId="0DFBF2C3"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0280</w:t>
            </w:r>
          </w:p>
        </w:tc>
        <w:tc>
          <w:tcPr>
            <w:tcW w:w="7436" w:type="dxa"/>
          </w:tcPr>
          <w:p w14:paraId="159CCAEE"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SEC-SA</w:t>
            </w:r>
          </w:p>
          <w:p w14:paraId="3B21C6C1" w14:textId="77777777" w:rsidR="001B1411" w:rsidRPr="00DA7625" w:rsidRDefault="001B1411">
            <w:pPr>
              <w:spacing w:before="0" w:after="0"/>
              <w:jc w:val="left"/>
              <w:rPr>
                <w:rFonts w:ascii="Times New Roman" w:hAnsi="Times New Roman"/>
                <w:b/>
                <w:sz w:val="24"/>
                <w:u w:val="single"/>
              </w:rPr>
            </w:pPr>
          </w:p>
          <w:p w14:paraId="19D2C018" w14:textId="0E190AF8" w:rsidR="001B1411" w:rsidRPr="00DA7625" w:rsidRDefault="001E0C80">
            <w:pPr>
              <w:spacing w:before="0" w:after="0"/>
              <w:jc w:val="left"/>
              <w:rPr>
                <w:rFonts w:ascii="Times New Roman" w:hAnsi="Times New Roman"/>
                <w:b/>
                <w:sz w:val="24"/>
                <w:u w:val="single"/>
              </w:rPr>
            </w:pPr>
            <w:r w:rsidRPr="00DA7625">
              <w:rPr>
                <w:rFonts w:ascii="Times New Roman" w:hAnsi="Times New Roman"/>
                <w:sz w:val="24"/>
              </w:rPr>
              <w:t>A CRR 254. cikke (1) bekezdésének b) pontja</w:t>
            </w:r>
          </w:p>
          <w:p w14:paraId="4520145D" w14:textId="77777777" w:rsidR="001B1411" w:rsidRPr="00DA7625" w:rsidRDefault="001B1411">
            <w:pPr>
              <w:spacing w:before="0" w:after="0"/>
              <w:jc w:val="left"/>
              <w:rPr>
                <w:rFonts w:ascii="Times New Roman" w:hAnsi="Times New Roman"/>
                <w:sz w:val="24"/>
              </w:rPr>
            </w:pPr>
          </w:p>
        </w:tc>
      </w:tr>
      <w:tr w:rsidR="001B1411" w:rsidRPr="00DA7625" w14:paraId="7E678937" w14:textId="77777777" w:rsidTr="00E10B85">
        <w:tc>
          <w:tcPr>
            <w:tcW w:w="1568" w:type="dxa"/>
          </w:tcPr>
          <w:p w14:paraId="4C482037"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0290–0340</w:t>
            </w:r>
          </w:p>
        </w:tc>
        <w:tc>
          <w:tcPr>
            <w:tcW w:w="7436" w:type="dxa"/>
          </w:tcPr>
          <w:p w14:paraId="0608AED5"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KOCKÁZATISÚLY-SÁVOK SZERINTI BONTÁS</w:t>
            </w:r>
          </w:p>
          <w:p w14:paraId="1627D47C" w14:textId="77777777" w:rsidR="001B1411" w:rsidRPr="00DA7625" w:rsidRDefault="001B1411">
            <w:pPr>
              <w:spacing w:before="0" w:after="0"/>
              <w:jc w:val="left"/>
              <w:rPr>
                <w:rFonts w:ascii="Times New Roman" w:hAnsi="Times New Roman"/>
                <w:sz w:val="24"/>
              </w:rPr>
            </w:pPr>
          </w:p>
          <w:p w14:paraId="110F47E1" w14:textId="77777777" w:rsidR="001B1411" w:rsidRPr="00DA7625" w:rsidRDefault="00E026FB">
            <w:pPr>
              <w:spacing w:before="0" w:after="0"/>
              <w:jc w:val="left"/>
              <w:rPr>
                <w:rFonts w:ascii="Times New Roman" w:hAnsi="Times New Roman"/>
                <w:sz w:val="24"/>
              </w:rPr>
            </w:pPr>
            <w:r w:rsidRPr="00DA7625">
              <w:rPr>
                <w:rFonts w:ascii="Times New Roman" w:hAnsi="Times New Roman"/>
                <w:sz w:val="24"/>
              </w:rPr>
              <w:t>SEC-SA kitettségek kockázatisúly-sávok szerinti bontásban.</w:t>
            </w:r>
          </w:p>
          <w:p w14:paraId="12454A5F" w14:textId="77777777" w:rsidR="001B1411" w:rsidRPr="00DA7625" w:rsidRDefault="001B1411">
            <w:pPr>
              <w:spacing w:before="0" w:after="0"/>
              <w:jc w:val="left"/>
              <w:rPr>
                <w:rFonts w:ascii="Times New Roman" w:hAnsi="Times New Roman"/>
                <w:sz w:val="24"/>
                <w:u w:val="single"/>
              </w:rPr>
            </w:pPr>
          </w:p>
          <w:p w14:paraId="0742EADE" w14:textId="24DC79CE" w:rsidR="001B1411" w:rsidRPr="00DA7625" w:rsidRDefault="00E026FB">
            <w:pPr>
              <w:spacing w:before="0" w:after="0"/>
              <w:jc w:val="left"/>
              <w:rPr>
                <w:rFonts w:ascii="Times New Roman" w:hAnsi="Times New Roman"/>
                <w:sz w:val="24"/>
              </w:rPr>
            </w:pPr>
            <w:r w:rsidRPr="00DA7625">
              <w:rPr>
                <w:rFonts w:ascii="Times New Roman" w:hAnsi="Times New Roman"/>
                <w:sz w:val="24"/>
              </w:rPr>
              <w:t>Amennyiben a kockázati súly = 1 250 % (W ismeretlen), a CRR 261. cikke (2) bekezdése b) pontjának negyedik bekezdése előírja, hogy az értékpapírosítási pozícióra 1 250 %-os kockázati súlyt kell alkalmazni, ha az intézmény a halmaz alapul szolgáló kitettségeinek több mint 5 %-a esetében nem ismeri a késedelmi státuszt.</w:t>
            </w:r>
          </w:p>
          <w:p w14:paraId="2D38FDA6" w14:textId="77777777" w:rsidR="001B1411" w:rsidRPr="00DA7625" w:rsidRDefault="001B1411">
            <w:pPr>
              <w:spacing w:before="0" w:after="0"/>
              <w:jc w:val="left"/>
              <w:rPr>
                <w:rFonts w:ascii="Times New Roman" w:hAnsi="Times New Roman"/>
                <w:sz w:val="24"/>
                <w:u w:val="single"/>
              </w:rPr>
            </w:pPr>
          </w:p>
        </w:tc>
      </w:tr>
      <w:tr w:rsidR="001B1411" w:rsidRPr="00DA7625" w14:paraId="793A2558" w14:textId="77777777" w:rsidTr="00E10B85">
        <w:tc>
          <w:tcPr>
            <w:tcW w:w="1568" w:type="dxa"/>
          </w:tcPr>
          <w:p w14:paraId="650800DC" w14:textId="77777777" w:rsidR="001B1411" w:rsidRPr="00DA7625" w:rsidDel="002122FF"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0350</w:t>
            </w:r>
          </w:p>
        </w:tc>
        <w:tc>
          <w:tcPr>
            <w:tcW w:w="7436" w:type="dxa"/>
          </w:tcPr>
          <w:p w14:paraId="7F15D7C0" w14:textId="77777777" w:rsidR="001B1411" w:rsidRPr="00DA7625" w:rsidRDefault="00E026FB">
            <w:pPr>
              <w:spacing w:before="0" w:after="0"/>
              <w:rPr>
                <w:rFonts w:ascii="Times New Roman" w:hAnsi="Times New Roman"/>
                <w:b/>
                <w:sz w:val="24"/>
                <w:u w:val="single"/>
              </w:rPr>
            </w:pPr>
            <w:r w:rsidRPr="00DA7625">
              <w:rPr>
                <w:rFonts w:ascii="Times New Roman" w:hAnsi="Times New Roman"/>
                <w:b/>
                <w:sz w:val="24"/>
                <w:u w:val="single"/>
              </w:rPr>
              <w:t>SEC-ERBA</w:t>
            </w:r>
          </w:p>
          <w:p w14:paraId="0402ED2B" w14:textId="77777777" w:rsidR="001B1411" w:rsidRPr="00DA7625" w:rsidRDefault="001B1411">
            <w:pPr>
              <w:spacing w:before="0" w:after="0"/>
              <w:rPr>
                <w:rFonts w:ascii="Times New Roman" w:hAnsi="Times New Roman"/>
                <w:sz w:val="24"/>
              </w:rPr>
            </w:pPr>
          </w:p>
          <w:p w14:paraId="7F514D61" w14:textId="4C82D9C9" w:rsidR="001B1411" w:rsidRPr="00DA7625" w:rsidRDefault="001E0C80">
            <w:pPr>
              <w:spacing w:before="0" w:after="0"/>
              <w:jc w:val="left"/>
              <w:rPr>
                <w:rFonts w:ascii="Times New Roman" w:hAnsi="Times New Roman"/>
                <w:sz w:val="24"/>
              </w:rPr>
            </w:pPr>
            <w:r w:rsidRPr="00DA7625">
              <w:rPr>
                <w:rFonts w:ascii="Times New Roman" w:hAnsi="Times New Roman"/>
                <w:sz w:val="24"/>
              </w:rPr>
              <w:t xml:space="preserve">A CRR 254. cikke (1) bekezdésének c) pontja </w:t>
            </w:r>
          </w:p>
          <w:p w14:paraId="6D127C5E" w14:textId="77777777" w:rsidR="001B1411" w:rsidRPr="00DA7625" w:rsidRDefault="001B1411">
            <w:pPr>
              <w:spacing w:before="0" w:after="0"/>
              <w:rPr>
                <w:rFonts w:ascii="Times New Roman" w:hAnsi="Times New Roman"/>
                <w:b/>
                <w:sz w:val="24"/>
                <w:u w:val="single"/>
              </w:rPr>
            </w:pPr>
          </w:p>
        </w:tc>
      </w:tr>
      <w:tr w:rsidR="001B1411" w:rsidRPr="00DA7625" w14:paraId="5BC56A45" w14:textId="77777777" w:rsidTr="00E10B85">
        <w:tc>
          <w:tcPr>
            <w:tcW w:w="1568" w:type="dxa"/>
          </w:tcPr>
          <w:p w14:paraId="46B7A345"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sz w:val="24"/>
              </w:rPr>
              <w:lastRenderedPageBreak/>
              <w:t>0360–0570</w:t>
            </w:r>
          </w:p>
        </w:tc>
        <w:tc>
          <w:tcPr>
            <w:tcW w:w="7436" w:type="dxa"/>
          </w:tcPr>
          <w:p w14:paraId="0DFF631D" w14:textId="77777777" w:rsidR="001B1411" w:rsidRPr="00DA7625" w:rsidRDefault="00E026FB">
            <w:pPr>
              <w:spacing w:before="0" w:after="0"/>
              <w:rPr>
                <w:rFonts w:ascii="Times New Roman" w:hAnsi="Times New Roman"/>
                <w:b/>
                <w:sz w:val="24"/>
                <w:u w:val="single"/>
              </w:rPr>
            </w:pPr>
            <w:r w:rsidRPr="00DA7625">
              <w:rPr>
                <w:rFonts w:ascii="Times New Roman" w:hAnsi="Times New Roman"/>
                <w:b/>
                <w:sz w:val="24"/>
                <w:u w:val="single"/>
              </w:rPr>
              <w:t>HITELMINŐSÉGI BESOROLÁSOK SZERINTI BONTÁS (RÖVID / HOSSZÚ TÁVÚ HITELMINŐSÉGI BESOROLÁSOK)</w:t>
            </w:r>
          </w:p>
          <w:p w14:paraId="198A093C" w14:textId="77777777" w:rsidR="001B1411" w:rsidRPr="00DA7625" w:rsidRDefault="001B1411">
            <w:pPr>
              <w:spacing w:before="0" w:after="0"/>
              <w:rPr>
                <w:rFonts w:ascii="Times New Roman" w:hAnsi="Times New Roman"/>
                <w:sz w:val="24"/>
              </w:rPr>
            </w:pPr>
          </w:p>
          <w:p w14:paraId="5F90F107" w14:textId="6FF8522B" w:rsidR="001B1411" w:rsidRPr="00DA7625" w:rsidRDefault="00E026FB">
            <w:pPr>
              <w:spacing w:before="0" w:after="0"/>
              <w:rPr>
                <w:rFonts w:ascii="Times New Roman" w:hAnsi="Times New Roman"/>
                <w:sz w:val="24"/>
              </w:rPr>
            </w:pPr>
            <w:r w:rsidRPr="00DA7625">
              <w:rPr>
                <w:rFonts w:ascii="Times New Roman" w:hAnsi="Times New Roman"/>
                <w:sz w:val="24"/>
              </w:rPr>
              <w:t>A CRR 263. cikke</w:t>
            </w:r>
          </w:p>
          <w:p w14:paraId="567B7627" w14:textId="77777777" w:rsidR="001B1411" w:rsidRPr="00DA7625" w:rsidRDefault="001B1411">
            <w:pPr>
              <w:spacing w:before="0" w:after="0"/>
              <w:rPr>
                <w:rFonts w:ascii="Times New Roman" w:hAnsi="Times New Roman"/>
                <w:sz w:val="24"/>
              </w:rPr>
            </w:pPr>
          </w:p>
          <w:p w14:paraId="5970A37D" w14:textId="05404ACC" w:rsidR="001B1411" w:rsidRPr="00DA7625" w:rsidRDefault="00E026FB">
            <w:pPr>
              <w:spacing w:before="0" w:after="0"/>
              <w:rPr>
                <w:rFonts w:ascii="Times New Roman" w:hAnsi="Times New Roman"/>
                <w:sz w:val="24"/>
              </w:rPr>
            </w:pPr>
            <w:r w:rsidRPr="00DA7625">
              <w:rPr>
                <w:rFonts w:ascii="Times New Roman" w:hAnsi="Times New Roman"/>
                <w:sz w:val="24"/>
              </w:rPr>
              <w:t>A CRR 254. cikkének (2) bekezdésében említett származtatott hitelminősítéssel rendelkező SEC-ERBA értékpapírosítási pozíciókat minősített pozícióként kell feltüntetni.</w:t>
            </w:r>
          </w:p>
          <w:p w14:paraId="513CCCC6" w14:textId="77777777" w:rsidR="001B1411" w:rsidRPr="00DA7625" w:rsidRDefault="001B1411">
            <w:pPr>
              <w:spacing w:before="0" w:after="0"/>
              <w:rPr>
                <w:rFonts w:ascii="Times New Roman" w:hAnsi="Times New Roman"/>
                <w:sz w:val="24"/>
              </w:rPr>
            </w:pPr>
          </w:p>
          <w:p w14:paraId="2488A405" w14:textId="44AA8D38"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 kockázati súlyozás alá tartozó kitettségértékeket a CRR 263. cikkének 1. és 2. táblázatában, valamint 264. cikkének 3. és 4. táblázatában meghatározott rövid és hosszú lejárat és hitelminőségi besorolások (CQS) szerint kell csoportosítani. </w:t>
            </w:r>
          </w:p>
          <w:p w14:paraId="2909105C" w14:textId="77777777" w:rsidR="001B1411" w:rsidRPr="00DA7625" w:rsidRDefault="001B1411">
            <w:pPr>
              <w:pStyle w:val="Heading1"/>
              <w:rPr>
                <w:rFonts w:ascii="Times New Roman" w:eastAsia="Times New Roman" w:hAnsi="Times New Roman"/>
                <w:sz w:val="24"/>
                <w:szCs w:val="24"/>
              </w:rPr>
            </w:pPr>
          </w:p>
        </w:tc>
      </w:tr>
      <w:tr w:rsidR="001B1411" w:rsidRPr="00DA7625" w14:paraId="23D98720" w14:textId="77777777" w:rsidTr="00E10B85">
        <w:tc>
          <w:tcPr>
            <w:tcW w:w="1568" w:type="dxa"/>
          </w:tcPr>
          <w:p w14:paraId="3F8AB288"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0580–0630</w:t>
            </w:r>
          </w:p>
        </w:tc>
        <w:tc>
          <w:tcPr>
            <w:tcW w:w="7436" w:type="dxa"/>
          </w:tcPr>
          <w:p w14:paraId="46EFE09A" w14:textId="77777777" w:rsidR="001B1411" w:rsidRPr="00DA7625" w:rsidRDefault="00E026FB">
            <w:pPr>
              <w:spacing w:before="0" w:after="0"/>
              <w:rPr>
                <w:rFonts w:ascii="Times New Roman" w:hAnsi="Times New Roman"/>
                <w:b/>
                <w:sz w:val="24"/>
                <w:u w:val="single"/>
              </w:rPr>
            </w:pPr>
            <w:r w:rsidRPr="00DA7625">
              <w:rPr>
                <w:rFonts w:ascii="Times New Roman" w:hAnsi="Times New Roman"/>
                <w:b/>
                <w:sz w:val="24"/>
                <w:u w:val="single"/>
              </w:rPr>
              <w:t>A SEC-ERBA ALKALMAZÁSÁNAK INDOKAI SZERINTI BONTÁS</w:t>
            </w:r>
          </w:p>
          <w:p w14:paraId="7B883B93" w14:textId="77777777" w:rsidR="001B1411" w:rsidRPr="00DA7625" w:rsidRDefault="001B1411">
            <w:pPr>
              <w:spacing w:before="0" w:after="0"/>
              <w:rPr>
                <w:rFonts w:ascii="Times New Roman" w:hAnsi="Times New Roman"/>
                <w:b/>
                <w:sz w:val="24"/>
                <w:u w:val="single"/>
              </w:rPr>
            </w:pPr>
          </w:p>
          <w:p w14:paraId="3462691E" w14:textId="77777777" w:rsidR="001B1411" w:rsidRPr="00DA7625" w:rsidRDefault="00E026FB">
            <w:pPr>
              <w:spacing w:before="0" w:after="0"/>
              <w:rPr>
                <w:rFonts w:ascii="Times New Roman" w:hAnsi="Times New Roman"/>
                <w:sz w:val="24"/>
              </w:rPr>
            </w:pPr>
            <w:r w:rsidRPr="00DA7625">
              <w:rPr>
                <w:rFonts w:ascii="Times New Roman" w:hAnsi="Times New Roman"/>
                <w:sz w:val="24"/>
              </w:rPr>
              <w:t>Az intézményeknek minden egyes értékpapírosítási pozíció esetében az alábbi opciók egyikét kell figyelembe venniük a 0580–0620. oszlopban.</w:t>
            </w:r>
          </w:p>
          <w:p w14:paraId="3E678156" w14:textId="77777777" w:rsidR="001B1411" w:rsidRPr="00DA7625" w:rsidRDefault="001B1411">
            <w:pPr>
              <w:spacing w:before="0" w:after="0"/>
              <w:rPr>
                <w:rFonts w:ascii="Times New Roman" w:hAnsi="Times New Roman"/>
                <w:sz w:val="24"/>
                <w:u w:val="single"/>
              </w:rPr>
            </w:pPr>
          </w:p>
        </w:tc>
      </w:tr>
      <w:tr w:rsidR="001B1411" w:rsidRPr="00DA7625" w14:paraId="1C6448C8" w14:textId="77777777" w:rsidTr="00E10B85">
        <w:tc>
          <w:tcPr>
            <w:tcW w:w="1568" w:type="dxa"/>
          </w:tcPr>
          <w:p w14:paraId="6B21AA05"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0580</w:t>
            </w:r>
          </w:p>
        </w:tc>
        <w:tc>
          <w:tcPr>
            <w:tcW w:w="7436" w:type="dxa"/>
          </w:tcPr>
          <w:p w14:paraId="05846207" w14:textId="77777777" w:rsidR="001B1411" w:rsidRPr="00DA7625" w:rsidRDefault="00E026FB">
            <w:pPr>
              <w:spacing w:before="0" w:after="0"/>
              <w:rPr>
                <w:rFonts w:ascii="Times New Roman" w:hAnsi="Times New Roman"/>
                <w:b/>
                <w:sz w:val="24"/>
                <w:u w:val="single"/>
              </w:rPr>
            </w:pPr>
            <w:r w:rsidRPr="00DA7625">
              <w:rPr>
                <w:rFonts w:ascii="Times New Roman" w:hAnsi="Times New Roman"/>
                <w:b/>
                <w:sz w:val="24"/>
                <w:u w:val="single"/>
              </w:rPr>
              <w:t>GÉPJÁRMŰHITELEK, GÉPJÁRMŰ- ÉS ESZKÖZLÍZINGEK</w:t>
            </w:r>
          </w:p>
          <w:p w14:paraId="42B162B6" w14:textId="77777777" w:rsidR="001B1411" w:rsidRPr="00DA7625" w:rsidRDefault="001B1411">
            <w:pPr>
              <w:spacing w:before="0" w:after="0"/>
              <w:rPr>
                <w:rFonts w:ascii="Times New Roman" w:hAnsi="Times New Roman"/>
                <w:b/>
                <w:sz w:val="24"/>
                <w:u w:val="single"/>
              </w:rPr>
            </w:pPr>
          </w:p>
          <w:p w14:paraId="2A24B47D" w14:textId="62BCF229" w:rsidR="001B1411" w:rsidRPr="00DA7625" w:rsidRDefault="001E0C80">
            <w:pPr>
              <w:spacing w:before="0" w:after="0"/>
              <w:rPr>
                <w:rFonts w:ascii="Times New Roman" w:hAnsi="Times New Roman"/>
                <w:sz w:val="24"/>
              </w:rPr>
            </w:pPr>
            <w:r w:rsidRPr="00DA7625">
              <w:rPr>
                <w:rFonts w:ascii="Times New Roman" w:hAnsi="Times New Roman"/>
                <w:sz w:val="24"/>
              </w:rPr>
              <w:t xml:space="preserve">A CRR 254. cikke (2) bekezdésének c) pontja </w:t>
            </w:r>
          </w:p>
          <w:p w14:paraId="5D2CE71D" w14:textId="77777777" w:rsidR="001B1411" w:rsidRPr="00DA7625" w:rsidRDefault="001B1411">
            <w:pPr>
              <w:spacing w:before="0" w:after="0"/>
              <w:rPr>
                <w:rFonts w:ascii="Times New Roman" w:hAnsi="Times New Roman"/>
                <w:sz w:val="24"/>
              </w:rPr>
            </w:pPr>
          </w:p>
          <w:p w14:paraId="2A586696" w14:textId="2FAEBD6A" w:rsidR="001B1411" w:rsidRPr="00DA7625" w:rsidRDefault="00FC5515">
            <w:pPr>
              <w:spacing w:before="0" w:after="0"/>
              <w:rPr>
                <w:rFonts w:ascii="Times New Roman" w:hAnsi="Times New Roman"/>
                <w:b/>
                <w:sz w:val="24"/>
                <w:u w:val="single"/>
              </w:rPr>
            </w:pPr>
            <w:r w:rsidRPr="00DA7625">
              <w:rPr>
                <w:rFonts w:ascii="Times New Roman" w:hAnsi="Times New Roman"/>
                <w:sz w:val="24"/>
              </w:rPr>
              <w:t>Ebben az oszlopban kell feltüntetni minden gépjárműhitelt, gépjármű- és eszközlízinget, akkor is, ha a CRR 254. cikke (2) bekezdése a) vagy b) pontja alkalmazható rájuk.</w:t>
            </w:r>
          </w:p>
        </w:tc>
      </w:tr>
      <w:tr w:rsidR="001B1411" w:rsidRPr="00DA7625" w14:paraId="61107D9E" w14:textId="77777777" w:rsidTr="00E10B85">
        <w:tc>
          <w:tcPr>
            <w:tcW w:w="1568" w:type="dxa"/>
          </w:tcPr>
          <w:p w14:paraId="4E48F4A6"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0590</w:t>
            </w:r>
          </w:p>
        </w:tc>
        <w:tc>
          <w:tcPr>
            <w:tcW w:w="7436" w:type="dxa"/>
          </w:tcPr>
          <w:p w14:paraId="5FDE75E5" w14:textId="77777777" w:rsidR="001B1411" w:rsidRPr="00DA7625" w:rsidRDefault="00E026FB">
            <w:pPr>
              <w:spacing w:before="0" w:after="0"/>
              <w:rPr>
                <w:rFonts w:ascii="Times New Roman" w:hAnsi="Times New Roman"/>
                <w:b/>
                <w:sz w:val="24"/>
                <w:u w:val="single"/>
              </w:rPr>
            </w:pPr>
            <w:r w:rsidRPr="00DA7625">
              <w:rPr>
                <w:rFonts w:ascii="Times New Roman" w:hAnsi="Times New Roman"/>
                <w:b/>
                <w:sz w:val="24"/>
                <w:u w:val="single"/>
              </w:rPr>
              <w:t>SEC-ERBA OPCIÓ</w:t>
            </w:r>
          </w:p>
          <w:p w14:paraId="745DBA1D" w14:textId="77777777" w:rsidR="001B1411" w:rsidRPr="00DA7625" w:rsidRDefault="001B1411">
            <w:pPr>
              <w:spacing w:before="0" w:after="0"/>
              <w:rPr>
                <w:rFonts w:ascii="Times New Roman" w:hAnsi="Times New Roman"/>
                <w:b/>
                <w:sz w:val="24"/>
                <w:u w:val="single"/>
              </w:rPr>
            </w:pPr>
          </w:p>
          <w:p w14:paraId="4AB9E844" w14:textId="0224B0AE" w:rsidR="001B1411" w:rsidRPr="00DA7625" w:rsidRDefault="00E026FB">
            <w:pPr>
              <w:spacing w:before="0" w:after="0"/>
              <w:rPr>
                <w:rFonts w:ascii="Times New Roman" w:hAnsi="Times New Roman"/>
                <w:sz w:val="24"/>
              </w:rPr>
            </w:pPr>
            <w:r w:rsidRPr="00DA7625">
              <w:rPr>
                <w:rFonts w:ascii="Times New Roman" w:hAnsi="Times New Roman"/>
                <w:sz w:val="24"/>
              </w:rPr>
              <w:t>A CRR 254. cikkének (3) bekezdése</w:t>
            </w:r>
          </w:p>
          <w:p w14:paraId="59104AC0" w14:textId="77777777" w:rsidR="001B1411" w:rsidRPr="00DA7625" w:rsidRDefault="001B1411">
            <w:pPr>
              <w:spacing w:before="0" w:after="0"/>
              <w:rPr>
                <w:rFonts w:ascii="Times New Roman" w:hAnsi="Times New Roman"/>
                <w:b/>
                <w:sz w:val="24"/>
                <w:u w:val="single"/>
              </w:rPr>
            </w:pPr>
          </w:p>
        </w:tc>
      </w:tr>
      <w:tr w:rsidR="001B1411" w:rsidRPr="00DA7625" w14:paraId="3BE197CE" w14:textId="77777777" w:rsidTr="00E10B85">
        <w:tc>
          <w:tcPr>
            <w:tcW w:w="1568" w:type="dxa"/>
          </w:tcPr>
          <w:p w14:paraId="50AFF662"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0600</w:t>
            </w:r>
          </w:p>
        </w:tc>
        <w:tc>
          <w:tcPr>
            <w:tcW w:w="7436" w:type="dxa"/>
          </w:tcPr>
          <w:p w14:paraId="098BDB3B" w14:textId="60FD329F" w:rsidR="001B1411" w:rsidRPr="00DA7625" w:rsidRDefault="00E026FB">
            <w:pPr>
              <w:spacing w:before="0" w:after="0"/>
              <w:rPr>
                <w:rFonts w:ascii="Times New Roman" w:hAnsi="Times New Roman"/>
                <w:b/>
                <w:bCs/>
                <w:sz w:val="24"/>
                <w:u w:val="single"/>
              </w:rPr>
            </w:pPr>
            <w:r w:rsidRPr="00DA7625">
              <w:rPr>
                <w:rFonts w:ascii="Times New Roman" w:hAnsi="Times New Roman"/>
                <w:b/>
                <w:bCs/>
                <w:sz w:val="24"/>
                <w:u w:val="single"/>
              </w:rPr>
              <w:t>A CRR 254. CIKKE (2) BEKEZDÉSÉNEK a) PONTJA SZERINTI POZÍCIÓK</w:t>
            </w:r>
          </w:p>
          <w:p w14:paraId="556620CD" w14:textId="77777777" w:rsidR="001B1411" w:rsidRPr="00DA7625" w:rsidRDefault="001B1411">
            <w:pPr>
              <w:spacing w:before="0" w:after="0"/>
              <w:rPr>
                <w:rFonts w:ascii="Times New Roman" w:hAnsi="Times New Roman"/>
                <w:b/>
                <w:bCs/>
                <w:sz w:val="24"/>
                <w:u w:val="single"/>
              </w:rPr>
            </w:pPr>
          </w:p>
          <w:p w14:paraId="4A05456B" w14:textId="66D8DC30" w:rsidR="001B1411" w:rsidRPr="00DA7625" w:rsidRDefault="001E0C80">
            <w:pPr>
              <w:spacing w:before="0" w:after="0"/>
              <w:rPr>
                <w:rFonts w:ascii="Times New Roman" w:hAnsi="Times New Roman"/>
                <w:sz w:val="24"/>
              </w:rPr>
            </w:pPr>
            <w:r w:rsidRPr="00DA7625">
              <w:rPr>
                <w:rFonts w:ascii="Times New Roman" w:hAnsi="Times New Roman"/>
                <w:sz w:val="24"/>
              </w:rPr>
              <w:t>A CRR 254. cikke (2) bekezdésének a) pontja</w:t>
            </w:r>
          </w:p>
          <w:p w14:paraId="4744F7C2" w14:textId="77777777" w:rsidR="001B1411" w:rsidRPr="00DA7625" w:rsidRDefault="001B1411">
            <w:pPr>
              <w:spacing w:before="0" w:after="0"/>
              <w:rPr>
                <w:rFonts w:ascii="Times New Roman" w:hAnsi="Times New Roman"/>
                <w:sz w:val="24"/>
              </w:rPr>
            </w:pPr>
          </w:p>
        </w:tc>
      </w:tr>
      <w:tr w:rsidR="001B1411" w:rsidRPr="00DA7625" w14:paraId="501BCF2F" w14:textId="77777777" w:rsidTr="00E10B85">
        <w:tc>
          <w:tcPr>
            <w:tcW w:w="1568" w:type="dxa"/>
          </w:tcPr>
          <w:p w14:paraId="58899ADE"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0610</w:t>
            </w:r>
          </w:p>
        </w:tc>
        <w:tc>
          <w:tcPr>
            <w:tcW w:w="7436" w:type="dxa"/>
          </w:tcPr>
          <w:p w14:paraId="3207191B" w14:textId="113C2A39" w:rsidR="001B1411" w:rsidRPr="00DA7625" w:rsidRDefault="00E026FB">
            <w:pPr>
              <w:spacing w:before="0" w:after="0"/>
              <w:rPr>
                <w:rFonts w:ascii="Times New Roman" w:hAnsi="Times New Roman"/>
                <w:b/>
                <w:sz w:val="24"/>
                <w:u w:val="single"/>
              </w:rPr>
            </w:pPr>
            <w:r w:rsidRPr="00DA7625">
              <w:rPr>
                <w:rFonts w:ascii="Times New Roman" w:hAnsi="Times New Roman"/>
                <w:b/>
                <w:sz w:val="24"/>
                <w:u w:val="single"/>
              </w:rPr>
              <w:t xml:space="preserve">A CRR 254. CIKKE (2) BEKEZDÉSÉNEK b) PONTJA SZERINTI POZÍCIÓK </w:t>
            </w:r>
          </w:p>
          <w:p w14:paraId="555AEE35" w14:textId="77777777" w:rsidR="001B1411" w:rsidRPr="00DA7625" w:rsidRDefault="001B1411">
            <w:pPr>
              <w:spacing w:before="0" w:after="0"/>
              <w:rPr>
                <w:rFonts w:ascii="Times New Roman" w:hAnsi="Times New Roman"/>
                <w:b/>
                <w:sz w:val="24"/>
                <w:u w:val="single"/>
              </w:rPr>
            </w:pPr>
          </w:p>
          <w:p w14:paraId="1C715972" w14:textId="06F7C58E" w:rsidR="001B1411" w:rsidRPr="00DA7625" w:rsidRDefault="001E0C80">
            <w:pPr>
              <w:spacing w:before="0" w:after="0"/>
              <w:rPr>
                <w:rFonts w:ascii="Times New Roman" w:hAnsi="Times New Roman"/>
                <w:sz w:val="24"/>
              </w:rPr>
            </w:pPr>
            <w:r w:rsidRPr="00DA7625">
              <w:rPr>
                <w:rFonts w:ascii="Times New Roman" w:hAnsi="Times New Roman"/>
                <w:sz w:val="24"/>
              </w:rPr>
              <w:t>A CRR 254. cikke (2) bekezdésének b) pontja</w:t>
            </w:r>
          </w:p>
          <w:p w14:paraId="43813D5C" w14:textId="77777777" w:rsidR="001B1411" w:rsidRPr="00DA7625" w:rsidRDefault="001B1411">
            <w:pPr>
              <w:spacing w:before="0" w:after="0"/>
              <w:rPr>
                <w:rFonts w:ascii="Times New Roman" w:hAnsi="Times New Roman"/>
                <w:b/>
                <w:sz w:val="24"/>
                <w:u w:val="single"/>
              </w:rPr>
            </w:pPr>
          </w:p>
        </w:tc>
      </w:tr>
      <w:tr w:rsidR="001B1411" w:rsidRPr="00DA7625" w14:paraId="5778B0D0" w14:textId="77777777" w:rsidTr="00E10B85">
        <w:tc>
          <w:tcPr>
            <w:tcW w:w="1568" w:type="dxa"/>
          </w:tcPr>
          <w:p w14:paraId="55E812F8"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0620</w:t>
            </w:r>
          </w:p>
        </w:tc>
        <w:tc>
          <w:tcPr>
            <w:tcW w:w="7436" w:type="dxa"/>
          </w:tcPr>
          <w:p w14:paraId="432C8637" w14:textId="338BC9D0" w:rsidR="001B1411" w:rsidRPr="00DA7625" w:rsidRDefault="00E026FB">
            <w:pPr>
              <w:spacing w:before="0" w:after="0"/>
              <w:rPr>
                <w:rFonts w:ascii="Times New Roman" w:hAnsi="Times New Roman"/>
                <w:b/>
                <w:bCs/>
                <w:sz w:val="24"/>
                <w:u w:val="single"/>
              </w:rPr>
            </w:pPr>
            <w:r w:rsidRPr="00DA7625">
              <w:rPr>
                <w:rFonts w:ascii="Times New Roman" w:hAnsi="Times New Roman"/>
                <w:b/>
                <w:bCs/>
                <w:sz w:val="24"/>
                <w:u w:val="single"/>
              </w:rPr>
              <w:t>A CRR 254. CIKKÉNEK (4) BEKEZDÉSE VAGY 258. CIKKÉNEK (2) BEKEZDÉSE SZERINTI POZÍCIÓK</w:t>
            </w:r>
          </w:p>
          <w:p w14:paraId="1E25C8D2" w14:textId="22017101" w:rsidR="001B1411" w:rsidRPr="00DA7625" w:rsidRDefault="001B1411">
            <w:pPr>
              <w:spacing w:before="0" w:after="0"/>
              <w:rPr>
                <w:rFonts w:ascii="Times New Roman" w:hAnsi="Times New Roman"/>
                <w:sz w:val="24"/>
              </w:rPr>
            </w:pPr>
          </w:p>
          <w:p w14:paraId="2A95D5CA" w14:textId="29BE4579" w:rsidR="001B1411" w:rsidRPr="00DA7625" w:rsidRDefault="00E026FB">
            <w:pPr>
              <w:spacing w:before="0" w:after="0"/>
              <w:rPr>
                <w:rFonts w:ascii="Times New Roman" w:hAnsi="Times New Roman"/>
                <w:sz w:val="24"/>
              </w:rPr>
            </w:pPr>
            <w:r w:rsidRPr="00DA7625">
              <w:rPr>
                <w:rFonts w:ascii="Times New Roman" w:hAnsi="Times New Roman"/>
                <w:sz w:val="24"/>
              </w:rPr>
              <w:t>A SEC-ERBA hatálya alá tartozó értékpapírosítási pozíciók, amennyiben az illetékes hatóságok a CRR 254. cikkének (4) bekezdésével vagy 258. cikkének (2) bekezdésével összhangban kizárták a SEC-IRBA vagy a SEC-SA alkalmazását.</w:t>
            </w:r>
          </w:p>
          <w:p w14:paraId="51377462" w14:textId="77777777" w:rsidR="001B1411" w:rsidRPr="00DA7625" w:rsidRDefault="001B1411">
            <w:pPr>
              <w:spacing w:before="0" w:after="0"/>
              <w:rPr>
                <w:rFonts w:ascii="Times New Roman" w:hAnsi="Times New Roman"/>
                <w:b/>
                <w:sz w:val="24"/>
                <w:u w:val="single"/>
              </w:rPr>
            </w:pPr>
          </w:p>
        </w:tc>
      </w:tr>
      <w:tr w:rsidR="001B1411" w:rsidRPr="00DA7625" w14:paraId="0DE28F3C" w14:textId="77777777" w:rsidTr="00E10B85">
        <w:tc>
          <w:tcPr>
            <w:tcW w:w="1568" w:type="dxa"/>
          </w:tcPr>
          <w:p w14:paraId="4C23F3E7"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0630</w:t>
            </w:r>
          </w:p>
        </w:tc>
        <w:tc>
          <w:tcPr>
            <w:tcW w:w="7436" w:type="dxa"/>
          </w:tcPr>
          <w:p w14:paraId="1A50C4AE" w14:textId="77777777" w:rsidR="001B1411" w:rsidRPr="00DA7625" w:rsidRDefault="00E026FB">
            <w:pPr>
              <w:spacing w:before="0" w:after="0"/>
              <w:rPr>
                <w:rFonts w:ascii="Times New Roman" w:hAnsi="Times New Roman"/>
                <w:b/>
                <w:sz w:val="24"/>
                <w:u w:val="single"/>
              </w:rPr>
            </w:pPr>
            <w:r w:rsidRPr="00DA7625">
              <w:rPr>
                <w:rFonts w:ascii="Times New Roman" w:hAnsi="Times New Roman"/>
                <w:b/>
                <w:sz w:val="24"/>
                <w:u w:val="single"/>
              </w:rPr>
              <w:t xml:space="preserve">A MÓDSZEREK HIERARCHIÁJÁT KÖVETVE </w:t>
            </w:r>
          </w:p>
          <w:p w14:paraId="2795FFEF" w14:textId="77777777" w:rsidR="001B1411" w:rsidRPr="00DA7625" w:rsidRDefault="001B1411">
            <w:pPr>
              <w:spacing w:before="0" w:after="0"/>
              <w:rPr>
                <w:rFonts w:ascii="Times New Roman" w:hAnsi="Times New Roman"/>
                <w:b/>
                <w:sz w:val="24"/>
                <w:u w:val="single"/>
              </w:rPr>
            </w:pPr>
          </w:p>
          <w:p w14:paraId="40883A8F" w14:textId="1D54E6E8" w:rsidR="001B1411" w:rsidRPr="00DA7625" w:rsidRDefault="00E026FB">
            <w:pPr>
              <w:spacing w:before="0" w:after="0"/>
              <w:rPr>
                <w:rFonts w:ascii="Times New Roman" w:hAnsi="Times New Roman"/>
                <w:sz w:val="24"/>
              </w:rPr>
            </w:pPr>
            <w:r w:rsidRPr="00DA7625">
              <w:rPr>
                <w:rFonts w:ascii="Times New Roman" w:hAnsi="Times New Roman"/>
                <w:sz w:val="24"/>
              </w:rPr>
              <w:t>Értékpapírosítási pozíciók, amelyek esetében a SEC-ERBA-t a módszerek CRR 254. cikkének (1) bekezdésében meghatározott hierarchiáját követve alkalmazzák.</w:t>
            </w:r>
          </w:p>
          <w:p w14:paraId="453B4568" w14:textId="77777777" w:rsidR="001B1411" w:rsidRPr="00DA7625" w:rsidRDefault="001B1411">
            <w:pPr>
              <w:spacing w:before="0" w:after="0"/>
              <w:rPr>
                <w:rFonts w:ascii="Times New Roman" w:hAnsi="Times New Roman"/>
                <w:b/>
                <w:sz w:val="24"/>
                <w:u w:val="single"/>
              </w:rPr>
            </w:pPr>
          </w:p>
        </w:tc>
      </w:tr>
      <w:tr w:rsidR="001B1411" w:rsidRPr="00DA7625" w14:paraId="56DC25F7" w14:textId="77777777" w:rsidTr="00E10B85">
        <w:tc>
          <w:tcPr>
            <w:tcW w:w="1568" w:type="dxa"/>
          </w:tcPr>
          <w:p w14:paraId="479DAC37"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sz w:val="24"/>
              </w:rPr>
              <w:t>0640</w:t>
            </w:r>
          </w:p>
        </w:tc>
        <w:tc>
          <w:tcPr>
            <w:tcW w:w="7436" w:type="dxa"/>
          </w:tcPr>
          <w:p w14:paraId="06E49566"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BELSŐ ÉRTÉKELÉSI MÓDSZER</w:t>
            </w:r>
          </w:p>
          <w:p w14:paraId="0A440E40" w14:textId="77777777" w:rsidR="001B1411" w:rsidRPr="00DA7625" w:rsidRDefault="001B1411">
            <w:pPr>
              <w:spacing w:before="0" w:after="0"/>
              <w:jc w:val="left"/>
              <w:rPr>
                <w:rFonts w:ascii="Times New Roman" w:hAnsi="Times New Roman"/>
                <w:sz w:val="24"/>
              </w:rPr>
            </w:pPr>
          </w:p>
          <w:p w14:paraId="6FE35675" w14:textId="5682F568" w:rsidR="001B1411" w:rsidRPr="00DA7625" w:rsidRDefault="008F2C6B">
            <w:pPr>
              <w:spacing w:before="0" w:after="0"/>
              <w:rPr>
                <w:rFonts w:ascii="Times New Roman" w:hAnsi="Times New Roman"/>
                <w:sz w:val="24"/>
              </w:rPr>
            </w:pPr>
            <w:r w:rsidRPr="00DA7625">
              <w:rPr>
                <w:rFonts w:ascii="Times New Roman" w:hAnsi="Times New Roman"/>
                <w:sz w:val="24"/>
              </w:rPr>
              <w:t>A CRR 254. cikkének (5) bekezdése az ABCP-programokon belüli pozíciókra vonatkozóan a belső értékelési módszerről (IAA).</w:t>
            </w:r>
          </w:p>
          <w:p w14:paraId="7F78C2F5" w14:textId="77777777" w:rsidR="001B1411" w:rsidRPr="00DA7625" w:rsidRDefault="001B1411">
            <w:pPr>
              <w:spacing w:before="0" w:after="0"/>
              <w:jc w:val="left"/>
              <w:rPr>
                <w:rFonts w:ascii="Times New Roman" w:hAnsi="Times New Roman"/>
                <w:sz w:val="24"/>
              </w:rPr>
            </w:pPr>
          </w:p>
        </w:tc>
      </w:tr>
      <w:tr w:rsidR="001B1411" w:rsidRPr="00DA7625" w14:paraId="0615923D" w14:textId="77777777" w:rsidTr="00E10B85">
        <w:tc>
          <w:tcPr>
            <w:tcW w:w="1568" w:type="dxa"/>
          </w:tcPr>
          <w:p w14:paraId="56A96366" w14:textId="77777777" w:rsidR="001B1411" w:rsidRPr="00DA7625" w:rsidDel="002122FF"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0650–0690</w:t>
            </w:r>
          </w:p>
        </w:tc>
        <w:tc>
          <w:tcPr>
            <w:tcW w:w="7436" w:type="dxa"/>
          </w:tcPr>
          <w:p w14:paraId="3B5724C2"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KOCKÁZATISÚLY-SÁVOK SZERINTI BONTÁS</w:t>
            </w:r>
          </w:p>
          <w:p w14:paraId="192A051D" w14:textId="77777777" w:rsidR="001B1411" w:rsidRPr="00DA7625" w:rsidRDefault="001B1411">
            <w:pPr>
              <w:spacing w:before="0" w:after="0"/>
              <w:jc w:val="left"/>
              <w:rPr>
                <w:rFonts w:ascii="Times New Roman" w:hAnsi="Times New Roman"/>
                <w:sz w:val="24"/>
              </w:rPr>
            </w:pPr>
          </w:p>
          <w:p w14:paraId="7C12ECD1" w14:textId="790D7869" w:rsidR="001B1411" w:rsidRPr="00DA7625" w:rsidRDefault="00E026FB">
            <w:pPr>
              <w:spacing w:before="0" w:after="0"/>
              <w:jc w:val="left"/>
              <w:rPr>
                <w:rFonts w:ascii="Times New Roman" w:hAnsi="Times New Roman"/>
                <w:sz w:val="24"/>
              </w:rPr>
            </w:pPr>
            <w:r w:rsidRPr="00DA7625">
              <w:rPr>
                <w:rFonts w:ascii="Times New Roman" w:hAnsi="Times New Roman"/>
                <w:sz w:val="24"/>
              </w:rPr>
              <w:t>A belső értékelési módszer szerinti kitettségek kockázatisúly-sávok szerinti bontásban</w:t>
            </w:r>
          </w:p>
          <w:p w14:paraId="7D141278" w14:textId="77777777" w:rsidR="001B1411" w:rsidRPr="00DA7625" w:rsidRDefault="001B1411">
            <w:pPr>
              <w:spacing w:before="0" w:after="0"/>
              <w:jc w:val="left"/>
              <w:rPr>
                <w:rFonts w:ascii="Times New Roman" w:hAnsi="Times New Roman"/>
                <w:b/>
                <w:sz w:val="24"/>
                <w:u w:val="single"/>
              </w:rPr>
            </w:pPr>
          </w:p>
        </w:tc>
      </w:tr>
      <w:tr w:rsidR="001B1411" w:rsidRPr="00DA7625" w14:paraId="6B79B5B6" w14:textId="77777777" w:rsidTr="00E10B85">
        <w:tc>
          <w:tcPr>
            <w:tcW w:w="1568" w:type="dxa"/>
          </w:tcPr>
          <w:p w14:paraId="0497DF64"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t>0700</w:t>
            </w:r>
          </w:p>
        </w:tc>
        <w:tc>
          <w:tcPr>
            <w:tcW w:w="7436" w:type="dxa"/>
          </w:tcPr>
          <w:p w14:paraId="5161BFC4"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EGYÉB (KOCKÁZATI SÚLY = 1 250 %)</w:t>
            </w:r>
          </w:p>
          <w:p w14:paraId="2E06A423" w14:textId="77777777" w:rsidR="001B1411" w:rsidRPr="00DA7625" w:rsidRDefault="001B1411">
            <w:pPr>
              <w:spacing w:before="0" w:after="0"/>
              <w:jc w:val="left"/>
              <w:rPr>
                <w:rFonts w:ascii="Times New Roman" w:hAnsi="Times New Roman"/>
                <w:b/>
                <w:sz w:val="24"/>
                <w:u w:val="single"/>
              </w:rPr>
            </w:pPr>
          </w:p>
          <w:p w14:paraId="4FD395B3" w14:textId="6A0B5D49" w:rsidR="001B1411" w:rsidRPr="00DA7625" w:rsidRDefault="00D021AF">
            <w:pPr>
              <w:spacing w:before="0" w:after="0"/>
              <w:jc w:val="left"/>
              <w:rPr>
                <w:rFonts w:ascii="Times New Roman" w:hAnsi="Times New Roman"/>
                <w:sz w:val="24"/>
              </w:rPr>
            </w:pPr>
            <w:r w:rsidRPr="00DA7625">
              <w:rPr>
                <w:rFonts w:ascii="Times New Roman" w:hAnsi="Times New Roman"/>
                <w:sz w:val="24"/>
              </w:rPr>
              <w:t>Amennyiben az előző módszerek egyikét sem alkalmazzák, a CRR 254. cikkének (7) bekezdésével összhangban az értékpapírosítási pozíciókhoz 1 250 %-os kockázati súlyt kell rendelni.</w:t>
            </w:r>
          </w:p>
          <w:p w14:paraId="0322DCB5" w14:textId="77777777" w:rsidR="001B1411" w:rsidRPr="00DA7625" w:rsidRDefault="001B1411">
            <w:pPr>
              <w:spacing w:before="0" w:after="0"/>
              <w:jc w:val="left"/>
              <w:rPr>
                <w:rFonts w:ascii="Times New Roman" w:hAnsi="Times New Roman"/>
                <w:b/>
                <w:sz w:val="24"/>
                <w:u w:val="single"/>
              </w:rPr>
            </w:pPr>
          </w:p>
        </w:tc>
      </w:tr>
      <w:tr w:rsidR="001B1411" w:rsidRPr="00DA7625" w14:paraId="575497AC" w14:textId="77777777" w:rsidTr="00E10B85">
        <w:tc>
          <w:tcPr>
            <w:tcW w:w="1568" w:type="dxa"/>
          </w:tcPr>
          <w:p w14:paraId="373CFC88"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sz w:val="24"/>
              </w:rPr>
              <w:t>0710–0860</w:t>
            </w:r>
          </w:p>
        </w:tc>
        <w:tc>
          <w:tcPr>
            <w:tcW w:w="7436" w:type="dxa"/>
          </w:tcPr>
          <w:p w14:paraId="39B0D016"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KOCKÁZATTAL SÚLYOZOTT KITETTSÉGÉRTÉK</w:t>
            </w:r>
          </w:p>
          <w:p w14:paraId="4F2BBE4C" w14:textId="77777777" w:rsidR="001B1411" w:rsidRPr="00DA7625" w:rsidRDefault="001B1411">
            <w:pPr>
              <w:spacing w:before="0" w:after="0"/>
              <w:jc w:val="left"/>
              <w:rPr>
                <w:rFonts w:ascii="Times New Roman" w:hAnsi="Times New Roman"/>
                <w:sz w:val="24"/>
              </w:rPr>
            </w:pPr>
          </w:p>
          <w:p w14:paraId="5C304F6F" w14:textId="57CEBC6A" w:rsidR="001B1411" w:rsidRPr="00DA7625" w:rsidRDefault="00E026FB">
            <w:pPr>
              <w:spacing w:before="0" w:after="0"/>
              <w:rPr>
                <w:rFonts w:ascii="Times New Roman" w:hAnsi="Times New Roman"/>
                <w:sz w:val="24"/>
              </w:rPr>
            </w:pPr>
            <w:r w:rsidRPr="00DA7625">
              <w:rPr>
                <w:rFonts w:ascii="Times New Roman" w:hAnsi="Times New Roman"/>
                <w:sz w:val="24"/>
              </w:rPr>
              <w:t xml:space="preserve">Teljes kockázattal súlyozott kitettségérték a CRR harmadik része II. címe 5. fejezetének 3. szakasza szerinti számítás alapján, a lejárati eltérések vagy az előzetes vizsgálatra vonatkozó rendelkezések megsértése miatti kiigazítások előtt, a más táblára irányuló kiáramlás útján átcsoportosított kitettségeknek megfelelő, kockázattal súlyozott kitettségértékek nélkül. </w:t>
            </w:r>
          </w:p>
          <w:p w14:paraId="44644FC2" w14:textId="77777777" w:rsidR="001B1411" w:rsidRPr="00DA7625" w:rsidRDefault="001B1411">
            <w:pPr>
              <w:spacing w:before="0" w:after="0"/>
              <w:rPr>
                <w:rFonts w:ascii="Times New Roman" w:hAnsi="Times New Roman"/>
                <w:sz w:val="24"/>
              </w:rPr>
            </w:pPr>
          </w:p>
        </w:tc>
      </w:tr>
      <w:tr w:rsidR="001B1411" w:rsidRPr="00DA7625" w14:paraId="3B5BB759" w14:textId="77777777" w:rsidTr="00E10B85">
        <w:tc>
          <w:tcPr>
            <w:tcW w:w="1568" w:type="dxa"/>
          </w:tcPr>
          <w:p w14:paraId="634B8549"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t>0840</w:t>
            </w:r>
          </w:p>
        </w:tc>
        <w:tc>
          <w:tcPr>
            <w:tcW w:w="7436" w:type="dxa"/>
          </w:tcPr>
          <w:p w14:paraId="63453F9F"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IAA: ÁTLAGOS KOCKÁZATI SÚLY (%)</w:t>
            </w:r>
          </w:p>
          <w:p w14:paraId="72A6AB7F" w14:textId="77777777" w:rsidR="001B1411" w:rsidRPr="00DA7625" w:rsidRDefault="001B1411">
            <w:pPr>
              <w:spacing w:before="0" w:after="0"/>
              <w:rPr>
                <w:rFonts w:ascii="Times New Roman" w:hAnsi="Times New Roman"/>
                <w:sz w:val="24"/>
              </w:rPr>
            </w:pPr>
          </w:p>
          <w:p w14:paraId="7F0E2730" w14:textId="77777777" w:rsidR="001B1411" w:rsidRPr="00DA7625" w:rsidRDefault="00E026FB">
            <w:pPr>
              <w:spacing w:before="0" w:after="0"/>
              <w:jc w:val="left"/>
              <w:rPr>
                <w:rFonts w:ascii="Times New Roman" w:hAnsi="Times New Roman"/>
                <w:sz w:val="24"/>
              </w:rPr>
            </w:pPr>
            <w:r w:rsidRPr="00DA7625">
              <w:rPr>
                <w:rFonts w:ascii="Times New Roman" w:hAnsi="Times New Roman"/>
                <w:sz w:val="24"/>
              </w:rPr>
              <w:t>Ebben az oszlopban az értékpapírosítási pozíciók kitettséggel súlyozott átlagos kockázati súlyait kell feltüntetni.</w:t>
            </w:r>
          </w:p>
          <w:p w14:paraId="5D02469C" w14:textId="77777777" w:rsidR="001B1411" w:rsidRPr="00DA7625" w:rsidRDefault="001B1411">
            <w:pPr>
              <w:spacing w:before="0" w:after="0"/>
              <w:jc w:val="left"/>
              <w:rPr>
                <w:rFonts w:ascii="Times New Roman" w:hAnsi="Times New Roman"/>
                <w:sz w:val="24"/>
              </w:rPr>
            </w:pPr>
          </w:p>
        </w:tc>
      </w:tr>
      <w:tr w:rsidR="001B1411" w:rsidRPr="00DA7625" w14:paraId="12CC8BA0" w14:textId="77777777" w:rsidTr="00E10B85">
        <w:tc>
          <w:tcPr>
            <w:tcW w:w="1568" w:type="dxa"/>
          </w:tcPr>
          <w:p w14:paraId="4895A1A8"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sz w:val="24"/>
              </w:rPr>
              <w:t>0860</w:t>
            </w:r>
          </w:p>
        </w:tc>
        <w:tc>
          <w:tcPr>
            <w:tcW w:w="7436" w:type="dxa"/>
          </w:tcPr>
          <w:p w14:paraId="2F677915" w14:textId="77777777" w:rsidR="001B1411" w:rsidRPr="00DA7625" w:rsidRDefault="00E026FB">
            <w:pPr>
              <w:spacing w:before="0" w:after="0"/>
              <w:rPr>
                <w:rFonts w:ascii="Times New Roman" w:hAnsi="Times New Roman"/>
                <w:b/>
                <w:sz w:val="24"/>
                <w:u w:val="single"/>
              </w:rPr>
            </w:pPr>
            <w:r w:rsidRPr="00DA7625">
              <w:rPr>
                <w:rFonts w:ascii="Times New Roman" w:hAnsi="Times New Roman"/>
                <w:b/>
                <w:sz w:val="24"/>
                <w:u w:val="single"/>
              </w:rPr>
              <w:t>KOCKÁZATTAL SÚLYOZOTT KITETTSÉGÉRTÉK, EBBŐL: SZINTETIKUS ÉRTÉKPAPÍROSÍTÁS</w:t>
            </w:r>
          </w:p>
          <w:p w14:paraId="2F9CE64F" w14:textId="77777777" w:rsidR="001B1411" w:rsidRPr="00DA7625" w:rsidRDefault="001B1411">
            <w:pPr>
              <w:spacing w:before="0" w:after="0"/>
              <w:jc w:val="left"/>
              <w:rPr>
                <w:rFonts w:ascii="Times New Roman" w:hAnsi="Times New Roman"/>
                <w:sz w:val="24"/>
              </w:rPr>
            </w:pPr>
          </w:p>
          <w:p w14:paraId="313C29B6" w14:textId="77777777" w:rsidR="001B1411" w:rsidRPr="00DA7625" w:rsidRDefault="00E026FB">
            <w:pPr>
              <w:spacing w:before="0" w:after="0"/>
              <w:rPr>
                <w:rFonts w:ascii="Times New Roman" w:hAnsi="Times New Roman"/>
                <w:sz w:val="24"/>
              </w:rPr>
            </w:pPr>
            <w:r w:rsidRPr="00DA7625">
              <w:rPr>
                <w:rFonts w:ascii="Times New Roman" w:hAnsi="Times New Roman"/>
                <w:sz w:val="24"/>
              </w:rPr>
              <w:t>A lejárati eltéréssel rendelkező szintetikus értékpapírosításokra vonatkozóan az ebben az oszlopban feltüntetendő érték nem foglalja magában a lejárati eltéréseket.</w:t>
            </w:r>
          </w:p>
          <w:p w14:paraId="6C18E9C1" w14:textId="77777777" w:rsidR="001B1411" w:rsidRPr="00DA7625" w:rsidRDefault="001B1411">
            <w:pPr>
              <w:spacing w:before="0" w:after="0"/>
              <w:jc w:val="left"/>
              <w:rPr>
                <w:rFonts w:ascii="Times New Roman" w:hAnsi="Times New Roman"/>
                <w:sz w:val="24"/>
              </w:rPr>
            </w:pPr>
          </w:p>
        </w:tc>
      </w:tr>
      <w:tr w:rsidR="001B1411" w:rsidRPr="00DA7625" w14:paraId="01314054" w14:textId="77777777" w:rsidTr="00E10B85">
        <w:tc>
          <w:tcPr>
            <w:tcW w:w="1568" w:type="dxa"/>
          </w:tcPr>
          <w:p w14:paraId="4C152C00"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0870</w:t>
            </w:r>
          </w:p>
        </w:tc>
        <w:tc>
          <w:tcPr>
            <w:tcW w:w="7436" w:type="dxa"/>
          </w:tcPr>
          <w:p w14:paraId="6345E2A6"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A KOCKÁZATTAL SÚLYOZOTT KITETTSÉGÉRTÉK LEJÁRATI ELTÉRÉS MIATTI KORREKCIÓJA</w:t>
            </w:r>
          </w:p>
          <w:p w14:paraId="0B14F4AB" w14:textId="77777777" w:rsidR="001B1411" w:rsidRPr="00DA7625" w:rsidRDefault="001B1411">
            <w:pPr>
              <w:spacing w:before="0" w:after="0"/>
              <w:jc w:val="left"/>
              <w:rPr>
                <w:rFonts w:ascii="Times New Roman" w:hAnsi="Times New Roman"/>
                <w:b/>
                <w:sz w:val="24"/>
                <w:u w:val="single"/>
              </w:rPr>
            </w:pPr>
          </w:p>
          <w:p w14:paraId="3DFAE8FC" w14:textId="4765786F" w:rsidR="001B1411" w:rsidRPr="00DA7625" w:rsidRDefault="008F2C6B">
            <w:pPr>
              <w:spacing w:before="0" w:after="0"/>
              <w:rPr>
                <w:rFonts w:ascii="Times New Roman" w:hAnsi="Times New Roman"/>
                <w:sz w:val="24"/>
              </w:rPr>
            </w:pPr>
            <w:r w:rsidRPr="00DA7625">
              <w:rPr>
                <w:rFonts w:ascii="Times New Roman" w:hAnsi="Times New Roman"/>
                <w:sz w:val="24"/>
              </w:rPr>
              <w:t xml:space="preserve">A szintetikus értékpapírosításokban megjelenő, a CRR 252. cikke szerint kiszámított RW*–RW(SP) lejárati eltéréseket be kell számítani, kivéve az 1 250 %-os kockázati súlyú ügyletrészsorozatokat, amelyeknél a feltüntetendő érték nulla. Az RW(SP) nemcsak a 0650-es oszlopban feltüntetett </w:t>
            </w:r>
            <w:r w:rsidRPr="00DA7625">
              <w:rPr>
                <w:rFonts w:ascii="Times New Roman" w:hAnsi="Times New Roman"/>
                <w:sz w:val="24"/>
              </w:rPr>
              <w:lastRenderedPageBreak/>
              <w:t>kockázattal súlyozott kitettségértékeket foglalja magában, hanem a más táblára irányuló kiáramlás útján átcsoportosított kitettségeknek megfelelő, kockázattal súlyozott kitettségértékeket is.</w:t>
            </w:r>
          </w:p>
          <w:p w14:paraId="5DC8F379" w14:textId="77777777" w:rsidR="001B1411" w:rsidRPr="00DA7625" w:rsidRDefault="001B1411">
            <w:pPr>
              <w:spacing w:before="0" w:after="0"/>
              <w:rPr>
                <w:rFonts w:ascii="Times New Roman" w:hAnsi="Times New Roman"/>
                <w:sz w:val="24"/>
              </w:rPr>
            </w:pPr>
          </w:p>
        </w:tc>
      </w:tr>
      <w:tr w:rsidR="001B1411" w:rsidRPr="00DA7625" w14:paraId="2ED3783F" w14:textId="77777777" w:rsidTr="00E10B85">
        <w:tc>
          <w:tcPr>
            <w:tcW w:w="1568" w:type="dxa"/>
          </w:tcPr>
          <w:p w14:paraId="597D820C" w14:textId="77777777" w:rsidR="001B1411" w:rsidRPr="00DA7625" w:rsidDel="002122FF"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0880</w:t>
            </w:r>
          </w:p>
        </w:tc>
        <w:tc>
          <w:tcPr>
            <w:tcW w:w="7436" w:type="dxa"/>
          </w:tcPr>
          <w:p w14:paraId="3EF2F4A8" w14:textId="1ACA04E1"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AZ (EU) 2017/2402 RENDELET 2. FEJEZETÉNEK MEGSÉRTÉSE MIATTI ÁLTALÁNOS HATÁS (KORREKCIÓ)</w:t>
            </w:r>
            <w:r w:rsidRPr="00DA7625">
              <w:rPr>
                <w:rStyle w:val="FootnoteReference"/>
                <w:rFonts w:ascii="Times New Roman" w:hAnsi="Times New Roman"/>
                <w:sz w:val="24"/>
                <w:szCs w:val="24"/>
                <w:vertAlign w:val="superscript"/>
              </w:rPr>
              <w:footnoteReference w:id="12"/>
            </w:r>
          </w:p>
          <w:p w14:paraId="09A09E5C" w14:textId="77777777" w:rsidR="001B1411" w:rsidRPr="00DA7625" w:rsidRDefault="001B1411">
            <w:pPr>
              <w:spacing w:before="0" w:after="0"/>
              <w:jc w:val="left"/>
              <w:rPr>
                <w:rFonts w:ascii="Times New Roman" w:hAnsi="Times New Roman"/>
                <w:sz w:val="24"/>
              </w:rPr>
            </w:pPr>
          </w:p>
          <w:p w14:paraId="71E7F447" w14:textId="02EA2C34" w:rsidR="001B1411" w:rsidRPr="00DA7625" w:rsidRDefault="00BB22D4">
            <w:pPr>
              <w:spacing w:before="0" w:after="0"/>
              <w:jc w:val="left"/>
              <w:rPr>
                <w:rFonts w:ascii="Times New Roman" w:eastAsia="Arial" w:hAnsi="Times New Roman"/>
                <w:sz w:val="24"/>
              </w:rPr>
            </w:pPr>
            <w:r w:rsidRPr="00DA7625">
              <w:rPr>
                <w:rFonts w:ascii="Times New Roman" w:hAnsi="Times New Roman"/>
                <w:sz w:val="24"/>
              </w:rPr>
              <w:t xml:space="preserve">A CRR 270a. cikkének megfelelően, ha egy intézmény bizonyos követelményeknek nem tesz eleget, az illetékes hatóságok arányos addicionális kockázati súlyt szabnak ki, amely annak a kockázati súlynak legalább 250 %-a (de legfeljebb 1 250 %-a), amely a CRR harmadik része II. címe 5. fejezetének 3. szakaszában meghatározott módon alkalmazandó az érintett értékpapírosított pozíciókra. </w:t>
            </w:r>
          </w:p>
          <w:p w14:paraId="6A934538" w14:textId="77777777" w:rsidR="001B1411" w:rsidRPr="00DA7625" w:rsidRDefault="001B1411">
            <w:pPr>
              <w:spacing w:before="0" w:after="0"/>
              <w:jc w:val="left"/>
              <w:rPr>
                <w:rFonts w:ascii="Times New Roman" w:hAnsi="Times New Roman"/>
                <w:b/>
                <w:sz w:val="24"/>
                <w:u w:val="single"/>
              </w:rPr>
            </w:pPr>
          </w:p>
        </w:tc>
      </w:tr>
      <w:tr w:rsidR="001B1411" w:rsidRPr="00DA7625" w14:paraId="3D1344FD" w14:textId="77777777" w:rsidTr="00E10B85">
        <w:tc>
          <w:tcPr>
            <w:tcW w:w="1568" w:type="dxa"/>
          </w:tcPr>
          <w:p w14:paraId="01B8C8E1"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0890</w:t>
            </w:r>
          </w:p>
        </w:tc>
        <w:tc>
          <w:tcPr>
            <w:tcW w:w="7436" w:type="dxa"/>
          </w:tcPr>
          <w:p w14:paraId="28FF17DC"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FELSŐ KORLÁT FIGYELEMBEVÉTELE ELŐTT</w:t>
            </w:r>
          </w:p>
          <w:p w14:paraId="5D432EA3" w14:textId="77777777" w:rsidR="001B1411" w:rsidRPr="00DA7625" w:rsidRDefault="001B1411">
            <w:pPr>
              <w:spacing w:before="0" w:after="0"/>
              <w:jc w:val="left"/>
              <w:rPr>
                <w:rFonts w:ascii="Times New Roman" w:hAnsi="Times New Roman"/>
                <w:b/>
                <w:sz w:val="24"/>
                <w:u w:val="single"/>
              </w:rPr>
            </w:pPr>
          </w:p>
          <w:p w14:paraId="7560FA47" w14:textId="6FE22E23" w:rsidR="001B1411" w:rsidRPr="00DA7625" w:rsidRDefault="00E026FB">
            <w:pPr>
              <w:spacing w:before="0" w:after="0"/>
              <w:jc w:val="left"/>
              <w:rPr>
                <w:rFonts w:ascii="Times New Roman" w:eastAsia="Arial" w:hAnsi="Times New Roman"/>
                <w:sz w:val="24"/>
              </w:rPr>
            </w:pPr>
            <w:r w:rsidRPr="00DA7625">
              <w:rPr>
                <w:rFonts w:ascii="Times New Roman" w:hAnsi="Times New Roman"/>
                <w:sz w:val="24"/>
              </w:rPr>
              <w:t xml:space="preserve">A CRR harmadik része II. címe 5. fejezetének 3. szakasza szerint számított teljes kockázattal súlyozott kitettségérték a CRR 267. és 268. cikkében meghatározott határértékek alkalmazása előtt. </w:t>
            </w:r>
          </w:p>
          <w:p w14:paraId="246E788B" w14:textId="77777777" w:rsidR="001B1411" w:rsidRPr="00DA7625" w:rsidRDefault="001B1411">
            <w:pPr>
              <w:spacing w:before="0" w:after="0"/>
              <w:jc w:val="left"/>
              <w:rPr>
                <w:rFonts w:ascii="Times New Roman" w:hAnsi="Times New Roman"/>
                <w:b/>
                <w:sz w:val="24"/>
                <w:u w:val="single"/>
              </w:rPr>
            </w:pPr>
          </w:p>
        </w:tc>
      </w:tr>
      <w:tr w:rsidR="001B1411" w:rsidRPr="00DA7625" w14:paraId="13A017A6" w14:textId="77777777" w:rsidTr="00E10B85">
        <w:tc>
          <w:tcPr>
            <w:tcW w:w="1568" w:type="dxa"/>
          </w:tcPr>
          <w:p w14:paraId="274A653E"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0900</w:t>
            </w:r>
          </w:p>
        </w:tc>
        <w:tc>
          <w:tcPr>
            <w:tcW w:w="7436" w:type="dxa"/>
          </w:tcPr>
          <w:p w14:paraId="6C1AD25D"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 A KOCKÁZATI SÚLYRA VONATKOZÓ FELSŐ KORLÁT MIATTI CSÖKKENTÉS</w:t>
            </w:r>
          </w:p>
          <w:p w14:paraId="5C0527A1" w14:textId="77777777" w:rsidR="001B1411" w:rsidRPr="00DA7625" w:rsidRDefault="001B1411">
            <w:pPr>
              <w:spacing w:before="0" w:after="0"/>
              <w:jc w:val="left"/>
              <w:rPr>
                <w:rFonts w:ascii="Times New Roman" w:hAnsi="Times New Roman"/>
                <w:b/>
                <w:sz w:val="24"/>
                <w:u w:val="single"/>
              </w:rPr>
            </w:pPr>
          </w:p>
          <w:p w14:paraId="4CCE306B" w14:textId="488DCEA9" w:rsidR="001B1411" w:rsidRPr="00DA7625" w:rsidRDefault="00BB22D4">
            <w:pPr>
              <w:spacing w:before="0" w:after="0"/>
              <w:jc w:val="left"/>
              <w:rPr>
                <w:rFonts w:ascii="Times New Roman" w:hAnsi="Times New Roman"/>
                <w:sz w:val="24"/>
              </w:rPr>
            </w:pPr>
            <w:r w:rsidRPr="00DA7625">
              <w:rPr>
                <w:rFonts w:ascii="Times New Roman" w:hAnsi="Times New Roman"/>
                <w:sz w:val="24"/>
              </w:rPr>
              <w:t>A CRR 267. cikkének megfelelően az az intézmény, amely mindenkor ismeri az alapul szolgáló kitettségek összetételét, az előresorolt értékpapírosítási pozícióhoz olyan maximális kockázati súlyt rendelhet, amely egyenlő az alapul szolgáló kitettségekre alkalmazandó, kitettséggel súlyozott azon átlagos kockázati súllyal, amely akkor lenne alkalmazandó az alapul szolgáló kitettségekre, ha azokat nem értékpapírosították volna.</w:t>
            </w:r>
          </w:p>
          <w:p w14:paraId="1D24460D" w14:textId="77777777" w:rsidR="001B1411" w:rsidRPr="00DA7625" w:rsidRDefault="001B1411">
            <w:pPr>
              <w:spacing w:before="0" w:after="0"/>
              <w:jc w:val="left"/>
              <w:rPr>
                <w:rFonts w:ascii="Times New Roman" w:hAnsi="Times New Roman"/>
                <w:b/>
                <w:sz w:val="24"/>
                <w:u w:val="single"/>
              </w:rPr>
            </w:pPr>
          </w:p>
        </w:tc>
      </w:tr>
      <w:tr w:rsidR="001B1411" w:rsidRPr="00DA7625" w14:paraId="6A644888" w14:textId="77777777" w:rsidTr="00E10B85">
        <w:tc>
          <w:tcPr>
            <w:tcW w:w="1568" w:type="dxa"/>
          </w:tcPr>
          <w:p w14:paraId="7FB7F43F"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0910</w:t>
            </w:r>
          </w:p>
        </w:tc>
        <w:tc>
          <w:tcPr>
            <w:tcW w:w="7436" w:type="dxa"/>
          </w:tcPr>
          <w:p w14:paraId="4F2216E3"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 AZ ÁLTALÁNOS FELSŐ KORLÁT MIATTI CSÖKKENTÉS</w:t>
            </w:r>
          </w:p>
          <w:p w14:paraId="69D4E1FF" w14:textId="77777777" w:rsidR="001B1411" w:rsidRPr="00DA7625" w:rsidRDefault="001B1411">
            <w:pPr>
              <w:spacing w:before="0" w:after="0"/>
              <w:jc w:val="left"/>
              <w:rPr>
                <w:rFonts w:ascii="Times New Roman" w:hAnsi="Times New Roman"/>
                <w:b/>
                <w:sz w:val="24"/>
                <w:u w:val="single"/>
              </w:rPr>
            </w:pPr>
          </w:p>
          <w:p w14:paraId="26EEE42E" w14:textId="610482E7" w:rsidR="001B1411" w:rsidRPr="00DA7625" w:rsidRDefault="00BB22D4">
            <w:pPr>
              <w:spacing w:before="0" w:after="0"/>
              <w:jc w:val="left"/>
              <w:rPr>
                <w:rFonts w:ascii="Times New Roman" w:hAnsi="Times New Roman"/>
                <w:sz w:val="24"/>
              </w:rPr>
            </w:pPr>
            <w:r w:rsidRPr="00DA7625">
              <w:rPr>
                <w:rFonts w:ascii="Times New Roman" w:hAnsi="Times New Roman"/>
                <w:sz w:val="24"/>
              </w:rPr>
              <w:t>A CRR 268. cikkével összhangban a SEC-IRBA-t használó értékpapírosítást kezdeményező intézmény, szponzor vagy más intézmény, vagy a SEC-SA-t, illetőleg a SEC-ERBA-t használó értékpapírosítást kezdeményező vagy szponzor intézmény az általa tartott értékpapírosítási pozícióra azzal a tőkekövetelménnyel egyenlő maximális tőkekövetelményt alkalmazhat, amelyet a harmadik rész II. címe 2. vagy 3. fejezetének megfelelően úgy számítanának ki az alapul szolgáló kitettségekre, mintha azokat nem értékpapírosították volna.</w:t>
            </w:r>
          </w:p>
          <w:p w14:paraId="35B48BCF" w14:textId="77777777" w:rsidR="001B1411" w:rsidRPr="00DA7625" w:rsidRDefault="001B1411">
            <w:pPr>
              <w:spacing w:before="0" w:after="0"/>
              <w:jc w:val="left"/>
              <w:rPr>
                <w:rFonts w:ascii="Times New Roman" w:hAnsi="Times New Roman"/>
                <w:b/>
                <w:sz w:val="24"/>
                <w:u w:val="single"/>
              </w:rPr>
            </w:pPr>
          </w:p>
        </w:tc>
      </w:tr>
      <w:tr w:rsidR="001B1411" w:rsidRPr="00DA7625" w14:paraId="72F6EAE4" w14:textId="77777777" w:rsidTr="00E10B85">
        <w:tc>
          <w:tcPr>
            <w:tcW w:w="1568" w:type="dxa"/>
          </w:tcPr>
          <w:p w14:paraId="243F7C6C"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0920</w:t>
            </w:r>
          </w:p>
        </w:tc>
        <w:tc>
          <w:tcPr>
            <w:tcW w:w="7436" w:type="dxa"/>
          </w:tcPr>
          <w:p w14:paraId="32950E1B"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KOCKÁZATTAL SÚLYOZOTT TELJES KITETTSÉGÉRTÉK</w:t>
            </w:r>
          </w:p>
          <w:p w14:paraId="1B4AF79B" w14:textId="77777777" w:rsidR="001B1411" w:rsidRPr="00DA7625" w:rsidRDefault="001B1411">
            <w:pPr>
              <w:spacing w:before="0" w:after="0"/>
              <w:jc w:val="left"/>
              <w:rPr>
                <w:rFonts w:ascii="Times New Roman" w:hAnsi="Times New Roman"/>
                <w:b/>
                <w:sz w:val="24"/>
                <w:u w:val="single"/>
              </w:rPr>
            </w:pPr>
          </w:p>
          <w:p w14:paraId="2609A7F6" w14:textId="06F6746D" w:rsidR="001B1411" w:rsidRPr="00DA7625" w:rsidRDefault="00E026FB">
            <w:pPr>
              <w:spacing w:before="0" w:after="0"/>
              <w:jc w:val="left"/>
              <w:rPr>
                <w:rFonts w:ascii="Times New Roman" w:hAnsi="Times New Roman"/>
                <w:b/>
                <w:sz w:val="24"/>
                <w:u w:val="single"/>
              </w:rPr>
            </w:pPr>
            <w:r w:rsidRPr="00DA7625">
              <w:rPr>
                <w:rFonts w:ascii="Times New Roman" w:hAnsi="Times New Roman"/>
                <w:sz w:val="24"/>
              </w:rPr>
              <w:t>A CRR harmadik része II. címe 5. fejezetének 3. szakasza szerint számított teljes kockázattal súlyozott kitettségérték, figyelembe véve a CRR 247. cikkének (6) bekezdésében meghatározott teljes kockázati súlyt.</w:t>
            </w:r>
          </w:p>
          <w:p w14:paraId="5B7D5A1D" w14:textId="77777777" w:rsidR="001B1411" w:rsidRPr="00DA7625" w:rsidRDefault="001B1411">
            <w:pPr>
              <w:spacing w:before="0" w:after="0"/>
              <w:jc w:val="left"/>
              <w:rPr>
                <w:rFonts w:ascii="Times New Roman" w:hAnsi="Times New Roman"/>
                <w:b/>
                <w:sz w:val="24"/>
                <w:u w:val="single"/>
              </w:rPr>
            </w:pPr>
          </w:p>
        </w:tc>
      </w:tr>
      <w:tr w:rsidR="001B1411" w:rsidRPr="00DA7625" w14:paraId="000B7A6E" w14:textId="77777777" w:rsidTr="00E10B85">
        <w:tc>
          <w:tcPr>
            <w:tcW w:w="1568" w:type="dxa"/>
          </w:tcPr>
          <w:p w14:paraId="059E1D4D"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lastRenderedPageBreak/>
              <w:t>0930</w:t>
            </w:r>
          </w:p>
        </w:tc>
        <w:tc>
          <w:tcPr>
            <w:tcW w:w="7436" w:type="dxa"/>
          </w:tcPr>
          <w:p w14:paraId="1DD6B8D0" w14:textId="77777777" w:rsidR="001B1411" w:rsidRPr="00DA7625" w:rsidRDefault="00E026FB">
            <w:pPr>
              <w:spacing w:before="0" w:after="0"/>
              <w:jc w:val="left"/>
              <w:rPr>
                <w:rFonts w:ascii="Times New Roman" w:hAnsi="Times New Roman"/>
                <w:b/>
                <w:sz w:val="24"/>
                <w:u w:val="single"/>
              </w:rPr>
            </w:pPr>
            <w:r w:rsidRPr="00DA7625">
              <w:rPr>
                <w:rFonts w:ascii="Times New Roman" w:hAnsi="Times New Roman"/>
                <w:b/>
                <w:sz w:val="24"/>
                <w:u w:val="single"/>
              </w:rPr>
              <w:t>TÁJÉKOZTATÓ ADAT: AZ ÉRTÉKPAPÍROSÍTÁSBÓL MÁS KITETTSÉGI OSZTÁLYOKBA IRÁNYULÓ KIÁRAMLÁSNAK MEGFELELŐ KOCKÁZATTAL SÚLYOZOTT KITETTSÉGÉRTÉK</w:t>
            </w:r>
          </w:p>
          <w:p w14:paraId="517CD2FC" w14:textId="77777777" w:rsidR="001B1411" w:rsidRPr="00DA7625" w:rsidRDefault="001B1411">
            <w:pPr>
              <w:spacing w:before="0" w:after="0"/>
              <w:jc w:val="left"/>
              <w:rPr>
                <w:rFonts w:ascii="Times New Roman" w:hAnsi="Times New Roman"/>
                <w:sz w:val="24"/>
              </w:rPr>
            </w:pPr>
          </w:p>
          <w:p w14:paraId="3CB6FC11" w14:textId="77777777" w:rsidR="001B1411" w:rsidRPr="00DA7625" w:rsidRDefault="00E026FB">
            <w:pPr>
              <w:spacing w:before="0" w:after="0"/>
              <w:rPr>
                <w:rFonts w:ascii="Times New Roman" w:hAnsi="Times New Roman"/>
                <w:sz w:val="24"/>
              </w:rPr>
            </w:pPr>
            <w:r w:rsidRPr="00DA7625">
              <w:rPr>
                <w:rFonts w:ascii="Times New Roman" w:hAnsi="Times New Roman"/>
                <w:sz w:val="24"/>
              </w:rPr>
              <w:t>A hitelkockázat-mérséklő eszközök nyújtójához átcsoportosított, így a megfelelő táblán számított, az értékpapírosítási pozíciók felső határának kiszámításánál figyelembe vett kitettségekből eredő, kockázattal súlyozott kitettségérték.</w:t>
            </w:r>
          </w:p>
          <w:p w14:paraId="52F0EEF1" w14:textId="77777777" w:rsidR="001B1411" w:rsidRPr="00DA7625" w:rsidRDefault="001B1411">
            <w:pPr>
              <w:spacing w:before="0" w:after="0"/>
              <w:jc w:val="left"/>
              <w:rPr>
                <w:rFonts w:ascii="Times New Roman" w:hAnsi="Times New Roman"/>
                <w:sz w:val="24"/>
              </w:rPr>
            </w:pPr>
          </w:p>
        </w:tc>
      </w:tr>
    </w:tbl>
    <w:p w14:paraId="5364907F" w14:textId="77777777" w:rsidR="001B1411" w:rsidRPr="00DA7625" w:rsidRDefault="001B1411">
      <w:pPr>
        <w:spacing w:before="0" w:after="0"/>
        <w:rPr>
          <w:rFonts w:ascii="Times New Roman" w:hAnsi="Times New Roman"/>
          <w:sz w:val="24"/>
        </w:rPr>
      </w:pPr>
    </w:p>
    <w:p w14:paraId="54083D5E" w14:textId="77777777" w:rsidR="001B1411" w:rsidRPr="00DA7625" w:rsidRDefault="001B1411">
      <w:pPr>
        <w:spacing w:before="0" w:after="0"/>
        <w:rPr>
          <w:rFonts w:ascii="Times New Roman" w:hAnsi="Times New Roman"/>
          <w:sz w:val="24"/>
        </w:rPr>
      </w:pPr>
    </w:p>
    <w:p w14:paraId="5B270F78" w14:textId="3990152A" w:rsidR="001B1411" w:rsidRPr="00DA7625" w:rsidRDefault="00E026FB">
      <w:pPr>
        <w:pStyle w:val="InstructionsText2"/>
        <w:numPr>
          <w:ilvl w:val="0"/>
          <w:numId w:val="0"/>
        </w:numPr>
        <w:ind w:left="993"/>
      </w:pPr>
      <w:r w:rsidRPr="00DA7625">
        <w:t>103.</w:t>
      </w:r>
      <w:r w:rsidRPr="00DA7625">
        <w:tab/>
        <w:t xml:space="preserve"> A tábla három fő sorcsoportból áll, amelyek a kezdeményezett, szponzorált, illetve visszatartott vagy visszavásárolt kitettségekről gyűjtenek adatokat értékpapírosítást kezdeményező, befektető és szponzor szerint. Ezek mindegyikére vonatkozóan az adatok mérlegtételek, mérlegen kívüli tételek és származtatott ügyletek, valamint aszerint oszlanak meg, hogy sor kerül-e differenciált tőkekövetelmény-megállapításra.</w:t>
      </w:r>
    </w:p>
    <w:p w14:paraId="04896403" w14:textId="27765607" w:rsidR="001B1411" w:rsidRPr="00DA7625" w:rsidRDefault="00E026FB">
      <w:pPr>
        <w:pStyle w:val="InstructionsText2"/>
        <w:numPr>
          <w:ilvl w:val="0"/>
          <w:numId w:val="0"/>
        </w:numPr>
        <w:ind w:left="993"/>
      </w:pPr>
      <w:r w:rsidRPr="00DA7625">
        <w:t>104. A SEC-ERBA szerint kezelt pozíciókat és a nem minősített pozíciókat (az adatszolgáltatás időpontjában fennálló kitettség) fel kell tüntetni a kezdeti hitelminőségi besorolás szerinti bontásban (az utolsó sorcsoport). Ezeket az információkat az értékpapírosítást kezdeményezőknek, a szponzoroknak és a befektetőknek is meg kell adniuk.</w:t>
      </w:r>
    </w:p>
    <w:p w14:paraId="25CE6C68" w14:textId="77777777" w:rsidR="001B1411" w:rsidRPr="00DA7625" w:rsidRDefault="001B1411">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1B1411" w:rsidRPr="00DA7625" w14:paraId="5F17B556" w14:textId="77777777" w:rsidTr="00E10B85">
        <w:tc>
          <w:tcPr>
            <w:tcW w:w="9145" w:type="dxa"/>
            <w:gridSpan w:val="2"/>
            <w:shd w:val="clear" w:color="auto" w:fill="CCCCCC"/>
          </w:tcPr>
          <w:p w14:paraId="7B2196C9" w14:textId="77777777" w:rsidR="001B1411" w:rsidRPr="00DA7625" w:rsidRDefault="001B1411">
            <w:pPr>
              <w:autoSpaceDE w:val="0"/>
              <w:autoSpaceDN w:val="0"/>
              <w:adjustRightInd w:val="0"/>
              <w:spacing w:before="0" w:after="0"/>
              <w:rPr>
                <w:rFonts w:ascii="Times New Roman" w:hAnsi="Times New Roman"/>
                <w:bCs/>
                <w:sz w:val="24"/>
              </w:rPr>
            </w:pPr>
          </w:p>
          <w:p w14:paraId="52A2A863" w14:textId="77777777" w:rsidR="001B1411" w:rsidRPr="00DA7625" w:rsidRDefault="00E026FB">
            <w:pPr>
              <w:autoSpaceDE w:val="0"/>
              <w:autoSpaceDN w:val="0"/>
              <w:adjustRightInd w:val="0"/>
              <w:spacing w:before="0" w:after="0"/>
              <w:rPr>
                <w:rFonts w:ascii="Times New Roman" w:hAnsi="Times New Roman"/>
                <w:b/>
                <w:bCs/>
                <w:sz w:val="24"/>
              </w:rPr>
            </w:pPr>
            <w:r w:rsidRPr="00DA7625">
              <w:rPr>
                <w:rFonts w:ascii="Times New Roman" w:hAnsi="Times New Roman"/>
                <w:b/>
                <w:bCs/>
                <w:sz w:val="24"/>
              </w:rPr>
              <w:t>Sor</w:t>
            </w:r>
          </w:p>
          <w:p w14:paraId="4522B21C" w14:textId="77777777" w:rsidR="001B1411" w:rsidRPr="00DA7625" w:rsidRDefault="001B1411">
            <w:pPr>
              <w:autoSpaceDE w:val="0"/>
              <w:autoSpaceDN w:val="0"/>
              <w:adjustRightInd w:val="0"/>
              <w:spacing w:before="0" w:after="0"/>
              <w:rPr>
                <w:rFonts w:ascii="Times New Roman" w:hAnsi="Times New Roman"/>
                <w:bCs/>
                <w:sz w:val="24"/>
              </w:rPr>
            </w:pPr>
          </w:p>
        </w:tc>
      </w:tr>
      <w:tr w:rsidR="001B1411" w:rsidRPr="00DA7625" w14:paraId="4720E70A" w14:textId="77777777" w:rsidTr="00E10B85">
        <w:tc>
          <w:tcPr>
            <w:tcW w:w="1256" w:type="dxa"/>
          </w:tcPr>
          <w:p w14:paraId="2B9483ED"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t>0010</w:t>
            </w:r>
          </w:p>
        </w:tc>
        <w:tc>
          <w:tcPr>
            <w:tcW w:w="7889" w:type="dxa"/>
          </w:tcPr>
          <w:p w14:paraId="7B95F336" w14:textId="77777777" w:rsidR="001B1411" w:rsidRPr="00DA7625" w:rsidRDefault="00E026FB">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 xml:space="preserve">TELJES KITETTSÉG </w:t>
            </w:r>
          </w:p>
          <w:p w14:paraId="42A04FD6" w14:textId="77777777" w:rsidR="001B1411" w:rsidRPr="00DA7625" w:rsidRDefault="001B1411">
            <w:pPr>
              <w:autoSpaceDE w:val="0"/>
              <w:autoSpaceDN w:val="0"/>
              <w:adjustRightInd w:val="0"/>
              <w:spacing w:before="0" w:after="0"/>
              <w:jc w:val="left"/>
              <w:rPr>
                <w:rFonts w:ascii="Times New Roman" w:hAnsi="Times New Roman"/>
                <w:sz w:val="24"/>
              </w:rPr>
            </w:pPr>
          </w:p>
          <w:p w14:paraId="1B2389E7"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A teljes kitettség a fennálló értékpapírosítások és az újra-értékpapírosítások teljes összegét jelenti. Ez a sor összesíti a későbbi sorokban az értékpapírosítást kezdeményezők, a szponzorok és a befektetők által megadott valamennyi információt.</w:t>
            </w:r>
          </w:p>
          <w:p w14:paraId="3D6E2F7F"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75E477ED" w14:textId="77777777" w:rsidTr="00E10B85">
        <w:tc>
          <w:tcPr>
            <w:tcW w:w="1256" w:type="dxa"/>
          </w:tcPr>
          <w:p w14:paraId="544C448C"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t>0020</w:t>
            </w:r>
          </w:p>
        </w:tc>
        <w:tc>
          <w:tcPr>
            <w:tcW w:w="7889" w:type="dxa"/>
          </w:tcPr>
          <w:p w14:paraId="0CEE8781" w14:textId="01CF1853" w:rsidR="001B1411" w:rsidRPr="00DA7625" w:rsidRDefault="00E026FB">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ÉRTÉKPAPÍROSÍTÁSI POZÍCIÓK</w:t>
            </w:r>
          </w:p>
          <w:p w14:paraId="35D10EC5"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30306A2B" w14:textId="739348B8" w:rsidR="001B1411" w:rsidRPr="00DA7625" w:rsidRDefault="00E026FB">
            <w:pPr>
              <w:autoSpaceDE w:val="0"/>
              <w:autoSpaceDN w:val="0"/>
              <w:adjustRightInd w:val="0"/>
              <w:spacing w:before="0" w:after="0"/>
              <w:jc w:val="left"/>
              <w:rPr>
                <w:rFonts w:ascii="Times New Roman" w:hAnsi="Times New Roman"/>
                <w:sz w:val="24"/>
              </w:rPr>
            </w:pPr>
            <w:r w:rsidRPr="00DA7625">
              <w:rPr>
                <w:rFonts w:ascii="Times New Roman" w:hAnsi="Times New Roman"/>
                <w:sz w:val="24"/>
              </w:rPr>
              <w:t>A CRR 4. cikke (1) bekezdésének 62. pontjában meghatározott olyan fennálló értékpapírosítási pozíciók teljes összege, amelyek nem a CRR 4. cikke (1) bekezdésének 63. pontja szerinti újra-értékpapírosítások.</w:t>
            </w:r>
          </w:p>
          <w:p w14:paraId="4C65BBDA" w14:textId="77777777" w:rsidR="001B1411" w:rsidRPr="00DA7625" w:rsidDel="002866DB" w:rsidRDefault="001B1411">
            <w:pPr>
              <w:autoSpaceDE w:val="0"/>
              <w:autoSpaceDN w:val="0"/>
              <w:adjustRightInd w:val="0"/>
              <w:spacing w:before="0" w:after="0"/>
              <w:jc w:val="left"/>
              <w:rPr>
                <w:rFonts w:ascii="Times New Roman" w:hAnsi="Times New Roman"/>
                <w:b/>
                <w:sz w:val="24"/>
                <w:u w:val="single"/>
              </w:rPr>
            </w:pPr>
          </w:p>
        </w:tc>
      </w:tr>
      <w:tr w:rsidR="001B1411" w:rsidRPr="00DA7625" w14:paraId="2BC883E2" w14:textId="77777777" w:rsidTr="00E10B85">
        <w:tc>
          <w:tcPr>
            <w:tcW w:w="1256" w:type="dxa"/>
          </w:tcPr>
          <w:p w14:paraId="58D9C837"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t>0030</w:t>
            </w:r>
          </w:p>
        </w:tc>
        <w:tc>
          <w:tcPr>
            <w:tcW w:w="7889" w:type="dxa"/>
          </w:tcPr>
          <w:p w14:paraId="35E2CF68" w14:textId="77777777" w:rsidR="001B1411" w:rsidRPr="00DA7625" w:rsidRDefault="00E026FB">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DIFFERENCIÁLT TŐKEKÖVETELMÉNY-MEGÁLLAPÍTÁSRA JOGOSULT</w:t>
            </w:r>
          </w:p>
          <w:p w14:paraId="593B920F"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4F8F63E5" w14:textId="10FDB8D7" w:rsidR="001B1411" w:rsidRPr="00DA7625" w:rsidRDefault="00E026FB">
            <w:pPr>
              <w:autoSpaceDE w:val="0"/>
              <w:autoSpaceDN w:val="0"/>
              <w:adjustRightInd w:val="0"/>
              <w:spacing w:before="0" w:after="0"/>
              <w:jc w:val="left"/>
              <w:rPr>
                <w:rFonts w:ascii="Times New Roman" w:hAnsi="Times New Roman"/>
                <w:sz w:val="24"/>
              </w:rPr>
            </w:pPr>
            <w:r w:rsidRPr="00DA7625">
              <w:rPr>
                <w:rFonts w:ascii="Times New Roman" w:hAnsi="Times New Roman"/>
                <w:sz w:val="24"/>
              </w:rPr>
              <w:t>Azon értékpapírosítási pozíciók teljes összege, amelyek megfelelnek a CRR 243. vagy 270. cikkében foglalt kritériumoknak, és ezért differenciált tőkekövetelmény-megállapításra jogosultak.</w:t>
            </w:r>
          </w:p>
          <w:p w14:paraId="4AF81EF5" w14:textId="77777777" w:rsidR="001B1411" w:rsidRPr="00DA7625" w:rsidDel="002866DB" w:rsidRDefault="001B1411">
            <w:pPr>
              <w:autoSpaceDE w:val="0"/>
              <w:autoSpaceDN w:val="0"/>
              <w:adjustRightInd w:val="0"/>
              <w:spacing w:before="0" w:after="0"/>
              <w:jc w:val="left"/>
              <w:rPr>
                <w:rFonts w:ascii="Times New Roman" w:hAnsi="Times New Roman"/>
                <w:b/>
                <w:sz w:val="24"/>
                <w:u w:val="single"/>
              </w:rPr>
            </w:pPr>
          </w:p>
        </w:tc>
      </w:tr>
      <w:tr w:rsidR="001B1411" w:rsidRPr="00DA7625" w14:paraId="5948BE37" w14:textId="77777777" w:rsidTr="00E10B85">
        <w:tc>
          <w:tcPr>
            <w:tcW w:w="1256" w:type="dxa"/>
          </w:tcPr>
          <w:p w14:paraId="467837A3"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lastRenderedPageBreak/>
              <w:t>0040</w:t>
            </w:r>
          </w:p>
        </w:tc>
        <w:tc>
          <w:tcPr>
            <w:tcW w:w="7889" w:type="dxa"/>
          </w:tcPr>
          <w:p w14:paraId="0CFB4D72" w14:textId="77777777" w:rsidR="001B1411" w:rsidRPr="00DA7625" w:rsidRDefault="00E026FB">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 xml:space="preserve">STS KITETTSÉGEK </w:t>
            </w:r>
          </w:p>
          <w:p w14:paraId="1FD6D11A"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0F209F40" w14:textId="66BCD063" w:rsidR="001B1411" w:rsidRPr="00DA7625" w:rsidRDefault="00E026FB">
            <w:pPr>
              <w:autoSpaceDE w:val="0"/>
              <w:autoSpaceDN w:val="0"/>
              <w:adjustRightInd w:val="0"/>
              <w:spacing w:before="0" w:after="0"/>
              <w:jc w:val="left"/>
              <w:rPr>
                <w:rFonts w:ascii="Times New Roman" w:hAnsi="Times New Roman"/>
                <w:sz w:val="24"/>
              </w:rPr>
            </w:pPr>
            <w:r w:rsidRPr="00DA7625">
              <w:rPr>
                <w:rFonts w:ascii="Times New Roman" w:hAnsi="Times New Roman"/>
                <w:sz w:val="24"/>
              </w:rPr>
              <w:t>Azon STS értékpapírosítási pozíciók teljes összege, amelyek megfelelnek a CRR 243. cikkében foglalt kritériumoknak.</w:t>
            </w:r>
          </w:p>
          <w:p w14:paraId="718A14B1" w14:textId="77777777" w:rsidR="001B1411" w:rsidRPr="00DA7625" w:rsidDel="002866DB" w:rsidRDefault="001B1411">
            <w:pPr>
              <w:autoSpaceDE w:val="0"/>
              <w:autoSpaceDN w:val="0"/>
              <w:adjustRightInd w:val="0"/>
              <w:spacing w:before="0" w:after="0"/>
              <w:jc w:val="left"/>
              <w:rPr>
                <w:rFonts w:ascii="Times New Roman" w:hAnsi="Times New Roman"/>
                <w:b/>
                <w:sz w:val="24"/>
                <w:u w:val="single"/>
              </w:rPr>
            </w:pPr>
          </w:p>
        </w:tc>
      </w:tr>
      <w:tr w:rsidR="001B1411" w:rsidRPr="00DA7625" w14:paraId="7897C86A" w14:textId="77777777" w:rsidTr="00E10B85">
        <w:tc>
          <w:tcPr>
            <w:tcW w:w="1256" w:type="dxa"/>
          </w:tcPr>
          <w:p w14:paraId="56B61DD2"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t>0050</w:t>
            </w:r>
          </w:p>
        </w:tc>
        <w:tc>
          <w:tcPr>
            <w:tcW w:w="7889" w:type="dxa"/>
          </w:tcPr>
          <w:p w14:paraId="23A2D2F7" w14:textId="77777777" w:rsidR="001B1411" w:rsidRPr="00DA7625" w:rsidRDefault="00E026FB">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 xml:space="preserve">KKV-ÉRTÉKPAPÍROSÍTÁSBAN LÉVŐ ELŐRESOROLT POZÍCIÓK </w:t>
            </w:r>
          </w:p>
          <w:p w14:paraId="388400C2"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3B1DE0B4" w14:textId="63DF818A" w:rsidR="001B1411" w:rsidRPr="00DA7625" w:rsidRDefault="00E026FB">
            <w:pPr>
              <w:autoSpaceDE w:val="0"/>
              <w:autoSpaceDN w:val="0"/>
              <w:adjustRightInd w:val="0"/>
              <w:spacing w:before="0" w:after="0"/>
              <w:jc w:val="left"/>
              <w:rPr>
                <w:rFonts w:ascii="Times New Roman" w:hAnsi="Times New Roman"/>
                <w:sz w:val="24"/>
              </w:rPr>
            </w:pPr>
            <w:r w:rsidRPr="00DA7625">
              <w:rPr>
                <w:rFonts w:ascii="Times New Roman" w:hAnsi="Times New Roman"/>
                <w:sz w:val="24"/>
              </w:rPr>
              <w:t>Azon kkv-értékpapírosítási előresorolt pozíciók teljes összege, amelyek megfelelnek a CRR 270. cikkében foglalt kritériumoknak.</w:t>
            </w:r>
          </w:p>
          <w:p w14:paraId="04422526" w14:textId="77777777" w:rsidR="001B1411" w:rsidRPr="00DA7625" w:rsidDel="002866DB" w:rsidRDefault="001B1411">
            <w:pPr>
              <w:autoSpaceDE w:val="0"/>
              <w:autoSpaceDN w:val="0"/>
              <w:adjustRightInd w:val="0"/>
              <w:spacing w:before="0" w:after="0"/>
              <w:jc w:val="left"/>
              <w:rPr>
                <w:rFonts w:ascii="Times New Roman" w:hAnsi="Times New Roman"/>
                <w:b/>
                <w:sz w:val="24"/>
                <w:u w:val="single"/>
              </w:rPr>
            </w:pPr>
          </w:p>
        </w:tc>
      </w:tr>
      <w:tr w:rsidR="001B1411" w:rsidRPr="00DA7625" w14:paraId="2FFCA40F" w14:textId="77777777" w:rsidTr="00E10B85">
        <w:tc>
          <w:tcPr>
            <w:tcW w:w="1256" w:type="dxa"/>
          </w:tcPr>
          <w:p w14:paraId="71F091C0"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t>0060, 0120, 0170, 0240, 0290, 0360 és 0410</w:t>
            </w:r>
          </w:p>
        </w:tc>
        <w:tc>
          <w:tcPr>
            <w:tcW w:w="7889" w:type="dxa"/>
          </w:tcPr>
          <w:p w14:paraId="35146DB5" w14:textId="77777777" w:rsidR="001B1411" w:rsidRPr="00DA7625" w:rsidRDefault="00E026FB">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DIFFERENCIÁLT TŐKEKÖVETELMÉNY-MEGÁLLAPÍTÁSRA NEM JOGOSULT ÉRTÉKPAPÍROSÍTÁS</w:t>
            </w:r>
          </w:p>
          <w:p w14:paraId="6BC19570"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7C8EDDF9" w14:textId="5BAECA58" w:rsidR="001B1411" w:rsidRPr="00DA7625" w:rsidRDefault="002409C1">
            <w:pPr>
              <w:autoSpaceDE w:val="0"/>
              <w:autoSpaceDN w:val="0"/>
              <w:adjustRightInd w:val="0"/>
              <w:spacing w:before="0" w:after="0"/>
              <w:jc w:val="left"/>
              <w:rPr>
                <w:rFonts w:ascii="Times New Roman" w:hAnsi="Times New Roman"/>
                <w:sz w:val="24"/>
              </w:rPr>
            </w:pPr>
            <w:r w:rsidRPr="00DA7625">
              <w:rPr>
                <w:rFonts w:ascii="Times New Roman" w:hAnsi="Times New Roman"/>
                <w:sz w:val="24"/>
              </w:rPr>
              <w:t>A CRR 254. cikkének (1), (4), (5) és (6) bekezdése, valamint 259., 261., 263., 265., 266. és 269. cikke</w:t>
            </w:r>
          </w:p>
          <w:p w14:paraId="0FE69611" w14:textId="77777777" w:rsidR="001B1411" w:rsidRPr="00DA7625" w:rsidRDefault="001B1411">
            <w:pPr>
              <w:autoSpaceDE w:val="0"/>
              <w:autoSpaceDN w:val="0"/>
              <w:adjustRightInd w:val="0"/>
              <w:spacing w:before="0" w:after="0"/>
              <w:jc w:val="left"/>
              <w:rPr>
                <w:rFonts w:ascii="Times New Roman" w:hAnsi="Times New Roman"/>
                <w:sz w:val="24"/>
              </w:rPr>
            </w:pPr>
          </w:p>
          <w:p w14:paraId="1C17C05A" w14:textId="77777777" w:rsidR="001B1411" w:rsidRPr="00DA7625" w:rsidRDefault="00E026FB">
            <w:pPr>
              <w:autoSpaceDE w:val="0"/>
              <w:autoSpaceDN w:val="0"/>
              <w:adjustRightInd w:val="0"/>
              <w:spacing w:before="0" w:after="0"/>
              <w:jc w:val="left"/>
              <w:rPr>
                <w:rFonts w:ascii="Times New Roman" w:hAnsi="Times New Roman"/>
                <w:sz w:val="24"/>
              </w:rPr>
            </w:pPr>
            <w:r w:rsidRPr="00DA7625">
              <w:rPr>
                <w:rFonts w:ascii="Times New Roman" w:hAnsi="Times New Roman"/>
                <w:sz w:val="24"/>
              </w:rPr>
              <w:t>Azon értékpapírosítási pozíciók teljes összege, amelyek nem jogosultak differenciált tőkekövetelmény-megállapításra.</w:t>
            </w:r>
          </w:p>
          <w:p w14:paraId="563AFCAF" w14:textId="77777777" w:rsidR="001B1411" w:rsidRPr="00DA7625" w:rsidRDefault="001B1411">
            <w:pPr>
              <w:autoSpaceDE w:val="0"/>
              <w:autoSpaceDN w:val="0"/>
              <w:adjustRightInd w:val="0"/>
              <w:spacing w:before="0" w:after="0"/>
              <w:jc w:val="left"/>
              <w:rPr>
                <w:rFonts w:ascii="Times New Roman" w:hAnsi="Times New Roman"/>
                <w:b/>
                <w:sz w:val="24"/>
                <w:u w:val="single"/>
              </w:rPr>
            </w:pPr>
          </w:p>
        </w:tc>
      </w:tr>
      <w:tr w:rsidR="001B1411" w:rsidRPr="00DA7625" w14:paraId="361D432D" w14:textId="77777777" w:rsidTr="00E10B85">
        <w:tc>
          <w:tcPr>
            <w:tcW w:w="1256" w:type="dxa"/>
          </w:tcPr>
          <w:p w14:paraId="0A2EAF2A"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t>0070, 0190, 0310 és 0430</w:t>
            </w:r>
          </w:p>
        </w:tc>
        <w:tc>
          <w:tcPr>
            <w:tcW w:w="7889" w:type="dxa"/>
          </w:tcPr>
          <w:p w14:paraId="3C029E52" w14:textId="5B9570D4" w:rsidR="001B1411" w:rsidRPr="00DA7625" w:rsidRDefault="00E026FB">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ÚJRA-ÉRTÉKPAPÍROSÍTÁSI POZÍCIÓK</w:t>
            </w:r>
          </w:p>
          <w:p w14:paraId="4B80953E"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1EEA431E" w14:textId="14C2649B" w:rsidR="001B1411" w:rsidRPr="00DA7625" w:rsidRDefault="00E026FB">
            <w:pPr>
              <w:autoSpaceDE w:val="0"/>
              <w:autoSpaceDN w:val="0"/>
              <w:adjustRightInd w:val="0"/>
              <w:spacing w:before="0" w:after="0"/>
              <w:jc w:val="left"/>
              <w:rPr>
                <w:rFonts w:ascii="Times New Roman" w:hAnsi="Times New Roman"/>
                <w:sz w:val="24"/>
              </w:rPr>
            </w:pPr>
            <w:r w:rsidRPr="00DA7625">
              <w:rPr>
                <w:rFonts w:ascii="Times New Roman" w:hAnsi="Times New Roman"/>
                <w:sz w:val="24"/>
              </w:rPr>
              <w:t>A CRR 4. cikke (1) bekezdésének 64. pontjában meghatározott, fennálló újra-értékpapírosítási pozíciók összértéke.</w:t>
            </w:r>
          </w:p>
          <w:p w14:paraId="1C1D9657" w14:textId="77777777" w:rsidR="001B1411" w:rsidRPr="00DA7625" w:rsidRDefault="001B1411">
            <w:pPr>
              <w:autoSpaceDE w:val="0"/>
              <w:autoSpaceDN w:val="0"/>
              <w:adjustRightInd w:val="0"/>
              <w:spacing w:before="0" w:after="0"/>
              <w:jc w:val="left"/>
              <w:rPr>
                <w:rFonts w:ascii="Times New Roman" w:hAnsi="Times New Roman"/>
                <w:b/>
                <w:sz w:val="24"/>
                <w:u w:val="single"/>
              </w:rPr>
            </w:pPr>
          </w:p>
        </w:tc>
      </w:tr>
      <w:tr w:rsidR="001B1411" w:rsidRPr="00DA7625" w14:paraId="0F58EDFB" w14:textId="77777777" w:rsidTr="00E10B85">
        <w:tc>
          <w:tcPr>
            <w:tcW w:w="1256" w:type="dxa"/>
          </w:tcPr>
          <w:p w14:paraId="1BA6D856" w14:textId="77777777" w:rsidR="001B1411" w:rsidRPr="00DA7625" w:rsidRDefault="00E026FB">
            <w:pPr>
              <w:autoSpaceDE w:val="0"/>
              <w:autoSpaceDN w:val="0"/>
              <w:adjustRightInd w:val="0"/>
              <w:spacing w:before="0" w:after="0"/>
              <w:rPr>
                <w:rFonts w:ascii="Times New Roman" w:hAnsi="Times New Roman"/>
                <w:bCs/>
                <w:sz w:val="24"/>
                <w:highlight w:val="yellow"/>
              </w:rPr>
            </w:pPr>
            <w:r w:rsidRPr="00DA7625">
              <w:rPr>
                <w:rFonts w:ascii="Times New Roman" w:hAnsi="Times New Roman"/>
                <w:bCs/>
                <w:sz w:val="24"/>
              </w:rPr>
              <w:t>0080</w:t>
            </w:r>
          </w:p>
        </w:tc>
        <w:tc>
          <w:tcPr>
            <w:tcW w:w="7889" w:type="dxa"/>
          </w:tcPr>
          <w:p w14:paraId="6AC61D8D" w14:textId="77777777" w:rsidR="001B1411" w:rsidRPr="00DA7625" w:rsidRDefault="00E026FB">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 xml:space="preserve">ÉRTÉKPAPÍROSÍTÁST KEZDEMÉNYEZŐ: TELJES KITETTSÉG </w:t>
            </w:r>
          </w:p>
          <w:p w14:paraId="4D68A0E9" w14:textId="77777777" w:rsidR="001B1411" w:rsidRPr="00DA7625" w:rsidRDefault="001B1411">
            <w:pPr>
              <w:autoSpaceDE w:val="0"/>
              <w:autoSpaceDN w:val="0"/>
              <w:adjustRightInd w:val="0"/>
              <w:spacing w:before="0" w:after="0"/>
              <w:jc w:val="left"/>
              <w:rPr>
                <w:rFonts w:ascii="Times New Roman" w:hAnsi="Times New Roman"/>
                <w:sz w:val="24"/>
              </w:rPr>
            </w:pPr>
          </w:p>
          <w:p w14:paraId="41F1D9B2" w14:textId="1D83C15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Ez a sor összefoglalja az olyan értékpapírosítási és újra-értékpapírosítási pozíciókkal kapcsolatos mérlegtételekre, mérlegen kívüli tételekre és származtatott ügyletekre vonatkozó információkat, amelyeknél az intézmény a CRR 4. cikke (1) bekezdésének 13. pontja szerinti értékpapírosítást kezdeményező szerepét tölti be.</w:t>
            </w:r>
          </w:p>
          <w:p w14:paraId="76394D57" w14:textId="77777777" w:rsidR="001B1411" w:rsidRPr="00DA7625" w:rsidRDefault="00E026FB">
            <w:pPr>
              <w:autoSpaceDE w:val="0"/>
              <w:autoSpaceDN w:val="0"/>
              <w:adjustRightInd w:val="0"/>
              <w:spacing w:before="0" w:after="0"/>
              <w:rPr>
                <w:rFonts w:ascii="Times New Roman" w:hAnsi="Times New Roman"/>
                <w:b/>
                <w:sz w:val="24"/>
                <w:u w:val="single"/>
              </w:rPr>
            </w:pPr>
            <w:r w:rsidRPr="00DA7625">
              <w:rPr>
                <w:rFonts w:ascii="Times New Roman" w:hAnsi="Times New Roman"/>
                <w:b/>
                <w:sz w:val="24"/>
                <w:u w:val="single"/>
              </w:rPr>
              <w:t xml:space="preserve"> </w:t>
            </w:r>
          </w:p>
        </w:tc>
      </w:tr>
      <w:tr w:rsidR="001B1411" w:rsidRPr="00DA7625" w14:paraId="73B6FD08" w14:textId="77777777" w:rsidTr="00E10B85">
        <w:tc>
          <w:tcPr>
            <w:tcW w:w="1256" w:type="dxa"/>
          </w:tcPr>
          <w:p w14:paraId="61AE74E6"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t>0090–0130, 0210–0250 és 0330–0370</w:t>
            </w:r>
          </w:p>
        </w:tc>
        <w:tc>
          <w:tcPr>
            <w:tcW w:w="7889" w:type="dxa"/>
          </w:tcPr>
          <w:p w14:paraId="7CC776AA" w14:textId="629CD822" w:rsidR="001B1411" w:rsidRPr="00DA7625" w:rsidRDefault="00E026FB">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 xml:space="preserve">ÉRTÉKPAPÍROSÍTÁSI POZÍCIÓK: MÉRLEGTÉTELEK </w:t>
            </w:r>
          </w:p>
          <w:p w14:paraId="0B20532B" w14:textId="77777777" w:rsidR="001B1411" w:rsidRPr="00DA7625" w:rsidRDefault="001B1411">
            <w:pPr>
              <w:autoSpaceDE w:val="0"/>
              <w:autoSpaceDN w:val="0"/>
              <w:adjustRightInd w:val="0"/>
              <w:spacing w:before="0" w:after="0"/>
              <w:jc w:val="left"/>
              <w:rPr>
                <w:rFonts w:ascii="Times New Roman" w:hAnsi="Times New Roman"/>
                <w:sz w:val="24"/>
              </w:rPr>
            </w:pPr>
          </w:p>
          <w:p w14:paraId="72235263" w14:textId="269B9C89" w:rsidR="001B1411" w:rsidRPr="00DA7625" w:rsidRDefault="00BB22D4">
            <w:pPr>
              <w:autoSpaceDE w:val="0"/>
              <w:autoSpaceDN w:val="0"/>
              <w:adjustRightInd w:val="0"/>
              <w:spacing w:before="0" w:after="0"/>
              <w:rPr>
                <w:rFonts w:ascii="Times New Roman" w:hAnsi="Times New Roman"/>
                <w:sz w:val="24"/>
              </w:rPr>
            </w:pPr>
            <w:r w:rsidRPr="00DA7625">
              <w:rPr>
                <w:rFonts w:ascii="Times New Roman" w:hAnsi="Times New Roman"/>
                <w:sz w:val="24"/>
              </w:rPr>
              <w:t>A CRR 248. cikke (1) bekezdése a) pontjának megfelelően a mérlegen belüli értékpapírosítási pozíció kitettségértéke az egyedi hitelkockázati kiigazításoknak az értékpapírosítási pozícióra történő, a CRR 110. cikkének megfelelő alkalmazását követően fennmaradó számviteli értéke.</w:t>
            </w:r>
          </w:p>
          <w:p w14:paraId="757B8077" w14:textId="69FFA7E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A mérlegtételeket a 0100. és a 0120. sorban a CRR 243. cikkében említett differenciált tőkekövetelmény alkalmazására vonatkozó információk, a 0110. és a 0130. sorban pedig a CRR 242. cikkének 6. pontjában meghatározott előresorolt értékpapírosítási pozíciók teljes összegére vonatkozó információk figyelembevétele érdekében kell lebontani.</w:t>
            </w:r>
          </w:p>
          <w:p w14:paraId="1DFC50DD" w14:textId="77777777" w:rsidR="001B1411" w:rsidRPr="00DA7625" w:rsidRDefault="001B1411">
            <w:pPr>
              <w:autoSpaceDE w:val="0"/>
              <w:autoSpaceDN w:val="0"/>
              <w:adjustRightInd w:val="0"/>
              <w:spacing w:before="0" w:after="0"/>
              <w:rPr>
                <w:rFonts w:ascii="Times New Roman" w:hAnsi="Times New Roman"/>
                <w:b/>
                <w:sz w:val="24"/>
                <w:u w:val="single"/>
              </w:rPr>
            </w:pPr>
          </w:p>
        </w:tc>
      </w:tr>
      <w:tr w:rsidR="001B1411" w:rsidRPr="00DA7625" w14:paraId="4D2F6B40" w14:textId="77777777" w:rsidTr="00E10B85">
        <w:tc>
          <w:tcPr>
            <w:tcW w:w="1256" w:type="dxa"/>
          </w:tcPr>
          <w:p w14:paraId="4E161870"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t>0100, 0220 és 0340</w:t>
            </w:r>
          </w:p>
        </w:tc>
        <w:tc>
          <w:tcPr>
            <w:tcW w:w="7889" w:type="dxa"/>
          </w:tcPr>
          <w:p w14:paraId="40B45655" w14:textId="77777777" w:rsidR="001B1411" w:rsidRPr="00DA7625" w:rsidRDefault="00E026FB">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DIFFERENCIÁLT TŐKEKÖVETELMÉNY-MEGÁLLAPÍTÁSRA JOGOSULT</w:t>
            </w:r>
          </w:p>
          <w:p w14:paraId="6160C5F5"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589721FE" w14:textId="0FD92F46" w:rsidR="001B1411" w:rsidRPr="00DA7625" w:rsidRDefault="00E026FB">
            <w:pPr>
              <w:autoSpaceDE w:val="0"/>
              <w:autoSpaceDN w:val="0"/>
              <w:adjustRightInd w:val="0"/>
              <w:spacing w:before="0" w:after="0"/>
              <w:jc w:val="left"/>
              <w:rPr>
                <w:rFonts w:ascii="Times New Roman" w:hAnsi="Times New Roman"/>
                <w:sz w:val="24"/>
              </w:rPr>
            </w:pPr>
            <w:r w:rsidRPr="00DA7625">
              <w:rPr>
                <w:rFonts w:ascii="Times New Roman" w:hAnsi="Times New Roman"/>
                <w:sz w:val="24"/>
              </w:rPr>
              <w:t>Azon értékpapírosítási pozíciók teljes összege, amelyek megfelelnek a CRR 243. cikkében foglalt kritériumoknak, és ezért differenciált tőkekövetelmény-megállapításra jogosultak.</w:t>
            </w:r>
          </w:p>
          <w:p w14:paraId="38FFECE2" w14:textId="77777777" w:rsidR="001B1411" w:rsidRPr="00DA7625" w:rsidRDefault="001B1411">
            <w:pPr>
              <w:autoSpaceDE w:val="0"/>
              <w:autoSpaceDN w:val="0"/>
              <w:adjustRightInd w:val="0"/>
              <w:spacing w:before="0" w:after="0"/>
              <w:jc w:val="left"/>
              <w:rPr>
                <w:rFonts w:ascii="Times New Roman" w:hAnsi="Times New Roman"/>
                <w:b/>
                <w:sz w:val="24"/>
                <w:u w:val="single"/>
              </w:rPr>
            </w:pPr>
          </w:p>
        </w:tc>
      </w:tr>
      <w:tr w:rsidR="001B1411" w:rsidRPr="00DA7625" w14:paraId="467718DD" w14:textId="77777777" w:rsidTr="00E10B85">
        <w:tc>
          <w:tcPr>
            <w:tcW w:w="1256" w:type="dxa"/>
          </w:tcPr>
          <w:p w14:paraId="2F32453A"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lastRenderedPageBreak/>
              <w:t>0110, 0130, 0160, 0180, 0230, 0250, 0280, 0300, 0350, 0370, 400 és 420</w:t>
            </w:r>
          </w:p>
        </w:tc>
        <w:tc>
          <w:tcPr>
            <w:tcW w:w="7889" w:type="dxa"/>
          </w:tcPr>
          <w:p w14:paraId="369686C8" w14:textId="77777777" w:rsidR="001B1411" w:rsidRPr="00DA7625" w:rsidRDefault="00E026FB">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EBBŐL: ELŐRESOROLT KITETTSÉGEK</w:t>
            </w:r>
          </w:p>
          <w:p w14:paraId="47BD6FC9"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497656A6" w14:textId="1B793FFC" w:rsidR="001B1411" w:rsidRPr="00DA7625" w:rsidRDefault="00E026FB">
            <w:pPr>
              <w:autoSpaceDE w:val="0"/>
              <w:autoSpaceDN w:val="0"/>
              <w:adjustRightInd w:val="0"/>
              <w:spacing w:before="0" w:after="0"/>
              <w:jc w:val="left"/>
              <w:rPr>
                <w:rFonts w:ascii="Times New Roman" w:hAnsi="Times New Roman"/>
                <w:sz w:val="24"/>
              </w:rPr>
            </w:pPr>
            <w:r w:rsidRPr="00DA7625">
              <w:rPr>
                <w:rFonts w:ascii="Times New Roman" w:hAnsi="Times New Roman"/>
                <w:sz w:val="24"/>
              </w:rPr>
              <w:t>Az előresorolt értékpapírosítási pozíciók teljes összege a CRR 242. cikke 6. pontjának megfelelően.</w:t>
            </w:r>
          </w:p>
          <w:p w14:paraId="5BE6F5F8" w14:textId="77777777" w:rsidR="001B1411" w:rsidRPr="00DA7625" w:rsidRDefault="001B1411">
            <w:pPr>
              <w:autoSpaceDE w:val="0"/>
              <w:autoSpaceDN w:val="0"/>
              <w:adjustRightInd w:val="0"/>
              <w:spacing w:before="0" w:after="0"/>
              <w:jc w:val="left"/>
              <w:rPr>
                <w:rFonts w:ascii="Times New Roman" w:hAnsi="Times New Roman"/>
                <w:b/>
                <w:sz w:val="24"/>
                <w:u w:val="single"/>
              </w:rPr>
            </w:pPr>
          </w:p>
        </w:tc>
      </w:tr>
      <w:tr w:rsidR="001B1411" w:rsidRPr="00DA7625" w14:paraId="7D7442D1" w14:textId="77777777" w:rsidTr="00E10B85">
        <w:tc>
          <w:tcPr>
            <w:tcW w:w="1256" w:type="dxa"/>
          </w:tcPr>
          <w:p w14:paraId="6201B418" w14:textId="77777777" w:rsidR="001B1411" w:rsidRPr="00DA7625" w:rsidRDefault="00E026FB">
            <w:pPr>
              <w:autoSpaceDE w:val="0"/>
              <w:autoSpaceDN w:val="0"/>
              <w:adjustRightInd w:val="0"/>
              <w:spacing w:before="0" w:after="0"/>
              <w:rPr>
                <w:rFonts w:ascii="Times New Roman" w:hAnsi="Times New Roman"/>
                <w:bCs/>
                <w:sz w:val="24"/>
                <w:highlight w:val="yellow"/>
              </w:rPr>
            </w:pPr>
            <w:r w:rsidRPr="00DA7625">
              <w:rPr>
                <w:rFonts w:ascii="Times New Roman" w:hAnsi="Times New Roman"/>
                <w:bCs/>
                <w:sz w:val="24"/>
              </w:rPr>
              <w:t>0140–0180, 0260–0300 és 0380–0420</w:t>
            </w:r>
          </w:p>
        </w:tc>
        <w:tc>
          <w:tcPr>
            <w:tcW w:w="7889" w:type="dxa"/>
          </w:tcPr>
          <w:p w14:paraId="7666E671" w14:textId="159866FD" w:rsidR="001B1411" w:rsidRPr="00DA7625" w:rsidRDefault="00E026FB">
            <w:pPr>
              <w:spacing w:before="0" w:after="0"/>
              <w:rPr>
                <w:rFonts w:ascii="Times New Roman" w:hAnsi="Times New Roman"/>
                <w:b/>
                <w:sz w:val="24"/>
                <w:u w:val="single"/>
              </w:rPr>
            </w:pPr>
            <w:r w:rsidRPr="00DA7625">
              <w:rPr>
                <w:rFonts w:ascii="Times New Roman" w:hAnsi="Times New Roman"/>
                <w:b/>
                <w:sz w:val="24"/>
                <w:u w:val="single"/>
              </w:rPr>
              <w:t>ÉRTÉKPAPÍROSÍTÁSI POZÍCIÓK: MÉRLEGEN KÍVÜLI TÉTELEK ÉS SZÁRMAZTATOTT ÜGYLETEK</w:t>
            </w:r>
          </w:p>
          <w:p w14:paraId="64A36234" w14:textId="77777777" w:rsidR="001B1411" w:rsidRPr="00DA7625" w:rsidRDefault="001B1411">
            <w:pPr>
              <w:autoSpaceDE w:val="0"/>
              <w:autoSpaceDN w:val="0"/>
              <w:adjustRightInd w:val="0"/>
              <w:spacing w:before="0" w:after="0"/>
              <w:jc w:val="left"/>
              <w:rPr>
                <w:rFonts w:ascii="Times New Roman" w:hAnsi="Times New Roman"/>
                <w:sz w:val="24"/>
              </w:rPr>
            </w:pPr>
          </w:p>
          <w:p w14:paraId="6AFB471F" w14:textId="77777777" w:rsidR="001B1411" w:rsidRPr="00DA7625" w:rsidRDefault="00E026FB">
            <w:pPr>
              <w:autoSpaceDE w:val="0"/>
              <w:autoSpaceDN w:val="0"/>
              <w:adjustRightInd w:val="0"/>
              <w:spacing w:before="0" w:after="0"/>
              <w:rPr>
                <w:rFonts w:ascii="Times New Roman" w:hAnsi="Times New Roman"/>
                <w:i/>
                <w:sz w:val="24"/>
              </w:rPr>
            </w:pPr>
            <w:r w:rsidRPr="00DA7625">
              <w:rPr>
                <w:rFonts w:ascii="Times New Roman" w:hAnsi="Times New Roman"/>
                <w:sz w:val="24"/>
              </w:rPr>
              <w:t>Ezek a sorok az olyan mérlegen kívüli tételnek és származtatott ügyletnek minősülő értékpapírosítási pozíciókkal kapcsolatos információkat gyűjtenek, amelyekre az értékpapírosítás keretében hitel-egyenértékesítési tényezőt kell alkalmazni. A mérlegen kívüli értékpapírosítási pozíció kitettségértéke az adott értékpapírosítási pozíciónak az esetleges egyedi hitelkockázati kiigazítások levonásával számított névértéke, egyéb rendelkezés hiányában 100 %-os hitel-egyenértékesítési tényezővel megszorozva.</w:t>
            </w:r>
          </w:p>
          <w:p w14:paraId="44E44F1F" w14:textId="77777777" w:rsidR="001B1411" w:rsidRPr="00DA7625" w:rsidRDefault="001B1411">
            <w:pPr>
              <w:autoSpaceDE w:val="0"/>
              <w:autoSpaceDN w:val="0"/>
              <w:adjustRightInd w:val="0"/>
              <w:spacing w:before="0" w:after="0"/>
              <w:rPr>
                <w:rFonts w:ascii="Times New Roman" w:hAnsi="Times New Roman"/>
                <w:i/>
                <w:sz w:val="24"/>
              </w:rPr>
            </w:pPr>
          </w:p>
          <w:p w14:paraId="05BC309B" w14:textId="25751C1B"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 CRR II. mellékletében felsorolt származtatott ügyletekből eredő mérlegen kívüli értékpapírosítási pozíciókat a CRR harmadik része II. címének 6. fejezete alapján kell megállapítani. A CRR II. mellékletében felsorolt származtatott ügyletek partnerkockázatához kapcsolódó kitettségértéket a CRR harmadik része II. címének 6. fejezete alapján kell megállapítani. </w:t>
            </w:r>
          </w:p>
          <w:p w14:paraId="1FA163B5" w14:textId="77777777" w:rsidR="001B1411" w:rsidRPr="00DA7625" w:rsidRDefault="001B1411">
            <w:pPr>
              <w:autoSpaceDE w:val="0"/>
              <w:autoSpaceDN w:val="0"/>
              <w:adjustRightInd w:val="0"/>
              <w:spacing w:before="0" w:after="0"/>
              <w:rPr>
                <w:rFonts w:ascii="Times New Roman" w:hAnsi="Times New Roman"/>
                <w:sz w:val="24"/>
              </w:rPr>
            </w:pPr>
          </w:p>
          <w:p w14:paraId="0D7ACF7A" w14:textId="18C40FED"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A likviditási hitelkeretek, hitelkeretek és hitelkezeléssel kapcsolatos szolgáltatásnyújtók által biztosított készpénzelőlegek esetében az intézményeknek a le nem hívott összeget kell megadniuk.</w:t>
            </w:r>
          </w:p>
          <w:p w14:paraId="3B76420E" w14:textId="77777777" w:rsidR="001B1411" w:rsidRPr="00DA7625" w:rsidRDefault="001B1411">
            <w:pPr>
              <w:autoSpaceDE w:val="0"/>
              <w:autoSpaceDN w:val="0"/>
              <w:adjustRightInd w:val="0"/>
              <w:spacing w:before="0" w:after="0"/>
              <w:rPr>
                <w:rFonts w:ascii="Times New Roman" w:hAnsi="Times New Roman"/>
                <w:sz w:val="24"/>
              </w:rPr>
            </w:pPr>
          </w:p>
          <w:p w14:paraId="42D0D88B" w14:textId="095472BA"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Kamatcsereügyletek és deviza-csereügyletek esetében a CRR 248. cikkének (1) bekezdése szerint kiszámított kitettségértéket kell feltüntetni.</w:t>
            </w:r>
          </w:p>
          <w:p w14:paraId="611034F2" w14:textId="77777777" w:rsidR="001B1411" w:rsidRPr="00DA7625" w:rsidRDefault="001B1411">
            <w:pPr>
              <w:autoSpaceDE w:val="0"/>
              <w:autoSpaceDN w:val="0"/>
              <w:adjustRightInd w:val="0"/>
              <w:spacing w:before="0" w:after="0"/>
              <w:rPr>
                <w:rFonts w:ascii="Times New Roman" w:hAnsi="Times New Roman"/>
                <w:sz w:val="24"/>
              </w:rPr>
            </w:pPr>
          </w:p>
          <w:p w14:paraId="45CC09B2" w14:textId="5F743E49"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A mérlegen kívüli tételeket és a származtatott ügyleteket a 0150. és a 0170. sorban a CRR 270. cikkében említett differenciált tőkekövetelmény alkalmazására vonatkozó információk, a 0160. és a 0180. sorban pedig a CRR 242. cikkének 6. pontjában meghatározott előresorolt értékpapírosítási pozíciók teljes összegére vonatkozó információk figyelembevétele érdekében kell lebontani. Ugyanazok a jogi hivatkozások alkalmazandók, mint a 0100–0130 sorok esetében.</w:t>
            </w:r>
          </w:p>
          <w:p w14:paraId="3F9CCD14" w14:textId="77777777" w:rsidR="001B1411" w:rsidRPr="00DA7625" w:rsidRDefault="001B1411">
            <w:pPr>
              <w:autoSpaceDE w:val="0"/>
              <w:autoSpaceDN w:val="0"/>
              <w:adjustRightInd w:val="0"/>
              <w:spacing w:before="0" w:after="0"/>
              <w:rPr>
                <w:rFonts w:ascii="Times New Roman" w:hAnsi="Times New Roman"/>
                <w:bCs/>
                <w:sz w:val="24"/>
              </w:rPr>
            </w:pPr>
          </w:p>
        </w:tc>
      </w:tr>
      <w:tr w:rsidR="001B1411" w:rsidRPr="00DA7625" w14:paraId="16F69C0F" w14:textId="77777777" w:rsidTr="00E10B85">
        <w:tc>
          <w:tcPr>
            <w:tcW w:w="1256" w:type="dxa"/>
          </w:tcPr>
          <w:p w14:paraId="703441DC"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t>0150, 0270 és 0390</w:t>
            </w:r>
          </w:p>
        </w:tc>
        <w:tc>
          <w:tcPr>
            <w:tcW w:w="7889" w:type="dxa"/>
          </w:tcPr>
          <w:p w14:paraId="1FCF9188" w14:textId="77777777" w:rsidR="001B1411" w:rsidRPr="00DA7625" w:rsidRDefault="00E026FB">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DIFFERENCIÁLT TŐKEKÖVETELMÉNY-MEGÁLLAPÍTÁSRA JOGOSULT</w:t>
            </w:r>
          </w:p>
          <w:p w14:paraId="790EC494"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4698481E" w14:textId="09866CD6" w:rsidR="001B1411" w:rsidRPr="00DA7625" w:rsidRDefault="00E026FB">
            <w:pPr>
              <w:autoSpaceDE w:val="0"/>
              <w:autoSpaceDN w:val="0"/>
              <w:adjustRightInd w:val="0"/>
              <w:spacing w:before="0" w:after="0"/>
              <w:jc w:val="left"/>
              <w:rPr>
                <w:rFonts w:ascii="Times New Roman" w:hAnsi="Times New Roman"/>
                <w:sz w:val="24"/>
              </w:rPr>
            </w:pPr>
            <w:r w:rsidRPr="00DA7625">
              <w:rPr>
                <w:rFonts w:ascii="Times New Roman" w:hAnsi="Times New Roman"/>
                <w:sz w:val="24"/>
              </w:rPr>
              <w:t>Azon értékpapírosítási pozíciók teljes összege, amelyek megfelelnek a CRR 243. vagy 270. cikkében foglalt kritériumoknak, és ezért differenciált tőkekövetelmény-megállapításra jogosultak.</w:t>
            </w:r>
          </w:p>
          <w:p w14:paraId="5B138588" w14:textId="77777777" w:rsidR="001B1411" w:rsidRPr="00DA7625" w:rsidRDefault="001B1411">
            <w:pPr>
              <w:spacing w:before="0" w:after="0"/>
              <w:rPr>
                <w:rFonts w:ascii="Times New Roman" w:hAnsi="Times New Roman"/>
                <w:b/>
                <w:sz w:val="24"/>
                <w:u w:val="single"/>
              </w:rPr>
            </w:pPr>
          </w:p>
        </w:tc>
      </w:tr>
      <w:tr w:rsidR="001B1411" w:rsidRPr="00DA7625" w14:paraId="5CE68763" w14:textId="77777777" w:rsidTr="00E10B85">
        <w:tc>
          <w:tcPr>
            <w:tcW w:w="1256" w:type="dxa"/>
          </w:tcPr>
          <w:p w14:paraId="0DCDA346"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lastRenderedPageBreak/>
              <w:t>0200</w:t>
            </w:r>
          </w:p>
        </w:tc>
        <w:tc>
          <w:tcPr>
            <w:tcW w:w="7889" w:type="dxa"/>
          </w:tcPr>
          <w:p w14:paraId="24FD7445" w14:textId="77777777" w:rsidR="001B1411" w:rsidRPr="00DA7625" w:rsidRDefault="00E026FB">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 xml:space="preserve">BEFEKTETŐ: TELJES KITETTSÉG </w:t>
            </w:r>
          </w:p>
          <w:p w14:paraId="2A624B9E" w14:textId="77777777" w:rsidR="001B1411" w:rsidRPr="00DA7625" w:rsidRDefault="001B1411">
            <w:pPr>
              <w:autoSpaceDE w:val="0"/>
              <w:autoSpaceDN w:val="0"/>
              <w:adjustRightInd w:val="0"/>
              <w:spacing w:before="0" w:after="0"/>
              <w:jc w:val="left"/>
              <w:rPr>
                <w:rFonts w:ascii="Times New Roman" w:hAnsi="Times New Roman"/>
                <w:sz w:val="24"/>
              </w:rPr>
            </w:pPr>
          </w:p>
          <w:p w14:paraId="17FBA9FE" w14:textId="77777777" w:rsidR="001B1411" w:rsidRPr="00DA7625" w:rsidRDefault="00E026FB">
            <w:pPr>
              <w:autoSpaceDE w:val="0"/>
              <w:autoSpaceDN w:val="0"/>
              <w:adjustRightInd w:val="0"/>
              <w:spacing w:before="0" w:after="0"/>
              <w:rPr>
                <w:rStyle w:val="FormatvorlageInstructionsTabelleText"/>
                <w:rFonts w:ascii="Times New Roman" w:hAnsi="Times New Roman"/>
                <w:sz w:val="24"/>
              </w:rPr>
            </w:pPr>
            <w:r w:rsidRPr="00DA7625">
              <w:rPr>
                <w:rStyle w:val="FormatvorlageInstructionsTabelleText"/>
                <w:rFonts w:ascii="Times New Roman" w:hAnsi="Times New Roman"/>
                <w:sz w:val="24"/>
              </w:rPr>
              <w:t>Ez a sor összefoglalja az olyan értékpapírosítási</w:t>
            </w:r>
            <w:r w:rsidRPr="00DA7625">
              <w:rPr>
                <w:rFonts w:ascii="Times New Roman" w:hAnsi="Times New Roman"/>
                <w:sz w:val="24"/>
              </w:rPr>
              <w:t xml:space="preserve"> és újra-értékpapírosítási pozíciókkal kapcsolatos mérlegtételekre, mérlegen kívüli tételekre </w:t>
            </w:r>
            <w:r w:rsidRPr="00DA7625">
              <w:rPr>
                <w:rStyle w:val="FormatvorlageInstructionsTabelleText"/>
                <w:rFonts w:ascii="Times New Roman" w:hAnsi="Times New Roman"/>
                <w:sz w:val="24"/>
              </w:rPr>
              <w:t xml:space="preserve">és származtatott ügyletekre vonatkozó információkat, amelyeknél az intézmény a befektető szerepét tölti be. </w:t>
            </w:r>
          </w:p>
          <w:p w14:paraId="2CB53497" w14:textId="77777777" w:rsidR="001B1411" w:rsidRPr="00DA7625" w:rsidRDefault="001B1411">
            <w:pPr>
              <w:autoSpaceDE w:val="0"/>
              <w:autoSpaceDN w:val="0"/>
              <w:adjustRightInd w:val="0"/>
              <w:spacing w:before="0" w:after="0"/>
              <w:rPr>
                <w:rStyle w:val="FormatvorlageInstructionsTabelleText"/>
                <w:rFonts w:ascii="Times New Roman" w:hAnsi="Times New Roman"/>
                <w:sz w:val="24"/>
              </w:rPr>
            </w:pPr>
          </w:p>
          <w:p w14:paraId="3EAF4AFD" w14:textId="0509F9F4" w:rsidR="001B1411" w:rsidRPr="00DA7625" w:rsidRDefault="00E20FAC">
            <w:pPr>
              <w:autoSpaceDE w:val="0"/>
              <w:autoSpaceDN w:val="0"/>
              <w:adjustRightInd w:val="0"/>
              <w:spacing w:before="0" w:after="0"/>
              <w:rPr>
                <w:rStyle w:val="FormatvorlageInstructionsTabelleText"/>
                <w:rFonts w:ascii="Times New Roman" w:hAnsi="Times New Roman"/>
                <w:sz w:val="24"/>
              </w:rPr>
            </w:pPr>
            <w:r w:rsidRPr="00DA7625">
              <w:rPr>
                <w:rStyle w:val="FormatvorlageInstructionsTabelleText"/>
                <w:rFonts w:ascii="Times New Roman" w:hAnsi="Times New Roman"/>
                <w:sz w:val="24"/>
              </w:rPr>
              <w:t>E táblával összefüggésben a befektető olyan intézmény, amely értékpapírosítási pozícióval rendelkezik egy olyan értékpapírosítási ügyletben, amelyben sem az értékpapírosítást kezdeményező, sem a szponzor szerepét nem tölti be.</w:t>
            </w:r>
          </w:p>
          <w:p w14:paraId="65DCA659" w14:textId="77777777" w:rsidR="001B1411" w:rsidRPr="00DA7625" w:rsidRDefault="001B1411">
            <w:pPr>
              <w:autoSpaceDE w:val="0"/>
              <w:autoSpaceDN w:val="0"/>
              <w:adjustRightInd w:val="0"/>
              <w:spacing w:before="0" w:after="0"/>
              <w:jc w:val="left"/>
              <w:rPr>
                <w:rFonts w:ascii="Times New Roman" w:hAnsi="Times New Roman"/>
                <w:b/>
                <w:sz w:val="24"/>
                <w:u w:val="single"/>
              </w:rPr>
            </w:pPr>
          </w:p>
        </w:tc>
      </w:tr>
      <w:tr w:rsidR="001B1411" w:rsidRPr="00DA7625" w14:paraId="32F3D76F" w14:textId="77777777" w:rsidTr="00E10B85">
        <w:tc>
          <w:tcPr>
            <w:tcW w:w="1256" w:type="dxa"/>
          </w:tcPr>
          <w:p w14:paraId="12E4BFC1" w14:textId="77777777" w:rsidR="001B1411" w:rsidRPr="00DA7625" w:rsidRDefault="00E026FB">
            <w:pPr>
              <w:autoSpaceDE w:val="0"/>
              <w:autoSpaceDN w:val="0"/>
              <w:adjustRightInd w:val="0"/>
              <w:spacing w:before="0" w:after="0"/>
              <w:rPr>
                <w:rFonts w:ascii="Times New Roman" w:hAnsi="Times New Roman"/>
                <w:bCs/>
                <w:sz w:val="24"/>
              </w:rPr>
            </w:pPr>
            <w:r w:rsidRPr="00DA7625">
              <w:rPr>
                <w:rFonts w:ascii="Times New Roman" w:hAnsi="Times New Roman"/>
                <w:bCs/>
                <w:sz w:val="24"/>
              </w:rPr>
              <w:t>0320</w:t>
            </w:r>
          </w:p>
        </w:tc>
        <w:tc>
          <w:tcPr>
            <w:tcW w:w="7889" w:type="dxa"/>
          </w:tcPr>
          <w:p w14:paraId="6C9CF9F8" w14:textId="77777777" w:rsidR="001B1411" w:rsidRPr="00DA7625" w:rsidRDefault="00E026FB">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 xml:space="preserve">SZPONZOR: TELJES KITETTSÉG </w:t>
            </w:r>
          </w:p>
          <w:p w14:paraId="5D2E9B66" w14:textId="77777777" w:rsidR="001B1411" w:rsidRPr="00DA7625" w:rsidRDefault="001B1411">
            <w:pPr>
              <w:autoSpaceDE w:val="0"/>
              <w:autoSpaceDN w:val="0"/>
              <w:adjustRightInd w:val="0"/>
              <w:spacing w:before="0" w:after="0"/>
              <w:jc w:val="left"/>
              <w:rPr>
                <w:rFonts w:ascii="Times New Roman" w:hAnsi="Times New Roman"/>
                <w:sz w:val="24"/>
              </w:rPr>
            </w:pPr>
          </w:p>
          <w:p w14:paraId="600C7F14" w14:textId="440B3AA0"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Ez a sor összefoglalja az olyan értékpapírosítási és újra-értékpapírosítási pozíciókkal kapcsolatos mérlegtételekre, mérlegen kívüli tételekre és származtatott ügyletekre vonatkozó információkat, amelyeknél az intézmény a CRR 4. cikke (1) bekezdésének 14. pontja szerinti szponzor szerepét tölti be. Ha egy szponzor saját eszközt is értékpapírosít, akkor a saját értékpapírosított eszközökkel kapcsolatos információkat az értékpapírosítást kezdeményezőre vonatkozó sorokban kell megadnia.</w:t>
            </w:r>
          </w:p>
          <w:p w14:paraId="5A74191A" w14:textId="77777777" w:rsidR="001B1411" w:rsidRPr="00DA7625" w:rsidRDefault="001B1411">
            <w:pPr>
              <w:autoSpaceDE w:val="0"/>
              <w:autoSpaceDN w:val="0"/>
              <w:adjustRightInd w:val="0"/>
              <w:spacing w:before="0" w:after="0"/>
              <w:rPr>
                <w:rFonts w:ascii="Times New Roman" w:hAnsi="Times New Roman"/>
                <w:sz w:val="24"/>
              </w:rPr>
            </w:pPr>
          </w:p>
        </w:tc>
      </w:tr>
      <w:tr w:rsidR="001B1411" w:rsidRPr="00DA7625" w14:paraId="581F91D8" w14:textId="77777777" w:rsidTr="00E10B85">
        <w:tc>
          <w:tcPr>
            <w:tcW w:w="1256" w:type="dxa"/>
          </w:tcPr>
          <w:p w14:paraId="4F9C80C2" w14:textId="77777777" w:rsidR="001B1411" w:rsidRPr="00DA7625" w:rsidRDefault="00E026FB">
            <w:pPr>
              <w:autoSpaceDE w:val="0"/>
              <w:autoSpaceDN w:val="0"/>
              <w:adjustRightInd w:val="0"/>
              <w:spacing w:before="0" w:after="0"/>
              <w:rPr>
                <w:rFonts w:ascii="Times New Roman" w:hAnsi="Times New Roman"/>
                <w:bCs/>
                <w:sz w:val="24"/>
                <w:highlight w:val="yellow"/>
              </w:rPr>
            </w:pPr>
            <w:r w:rsidRPr="00DA7625">
              <w:rPr>
                <w:rFonts w:ascii="Times New Roman" w:hAnsi="Times New Roman"/>
                <w:bCs/>
                <w:sz w:val="24"/>
              </w:rPr>
              <w:t>0440–0670</w:t>
            </w:r>
          </w:p>
        </w:tc>
        <w:tc>
          <w:tcPr>
            <w:tcW w:w="7889" w:type="dxa"/>
          </w:tcPr>
          <w:p w14:paraId="42047E99" w14:textId="6A05D7BB" w:rsidR="001B1411" w:rsidRPr="00DA7625" w:rsidRDefault="00E026FB">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A FENNÁLLÓ POZÍCIÓK KEZDETI HITELMINŐSÉGI BESOROLÁS SZERINTI BONTÁSA</w:t>
            </w:r>
          </w:p>
          <w:p w14:paraId="4179918B"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6FD152CA" w14:textId="38050660"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Ezek a sorok az adatszolgáltatás időpontjában fennálló olyan pozíciókra vonatkozóan gyűjtenek információkat, amelyekre vonatkozóan a kezdeményezésük (keletkezésük) időpontjában meghatározták a CRR 263. cikkének 1. és 2. táblázatában, valamint 264. cikkének 3. és 4. táblázatában megadott hitelminőségi besorolásokat. Az IAA szerint kezelt értékpapírosítási pozíciók esetében a hitelminőségi besorolás az IAA-minősítés első kibocsátásakor érvényes hitelminőségi besorolás. Ezen adatok hiányában a hitelminőségi besorolásnak megfelelő, rendelkezésre álló adatok közül a legkorábbiakat kell megadni.</w:t>
            </w:r>
          </w:p>
          <w:p w14:paraId="4C6212A8" w14:textId="77777777" w:rsidR="001B1411" w:rsidRPr="00DA7625" w:rsidRDefault="001B1411">
            <w:pPr>
              <w:autoSpaceDE w:val="0"/>
              <w:autoSpaceDN w:val="0"/>
              <w:adjustRightInd w:val="0"/>
              <w:spacing w:before="0" w:after="0"/>
              <w:jc w:val="left"/>
              <w:rPr>
                <w:rFonts w:ascii="Times New Roman" w:hAnsi="Times New Roman"/>
                <w:sz w:val="24"/>
              </w:rPr>
            </w:pPr>
          </w:p>
          <w:p w14:paraId="697299DC" w14:textId="77777777" w:rsidR="001B1411" w:rsidRPr="00DA7625" w:rsidRDefault="00E026FB">
            <w:pPr>
              <w:autoSpaceDE w:val="0"/>
              <w:autoSpaceDN w:val="0"/>
              <w:adjustRightInd w:val="0"/>
              <w:spacing w:before="0" w:after="0"/>
              <w:rPr>
                <w:rFonts w:ascii="Times New Roman" w:hAnsi="Times New Roman"/>
                <w:sz w:val="24"/>
              </w:rPr>
            </w:pPr>
            <w:r w:rsidRPr="00DA7625">
              <w:rPr>
                <w:rFonts w:ascii="Times New Roman" w:hAnsi="Times New Roman"/>
                <w:sz w:val="24"/>
              </w:rPr>
              <w:t>Ezeket a sorokat kizárólag a 0180–0210., 0280., 0350–0640., 0700–0720., 0740., 0760–0830. és 0850. oszlopban kell kitölteni.</w:t>
            </w:r>
          </w:p>
          <w:p w14:paraId="6C857D29" w14:textId="77777777" w:rsidR="001B1411" w:rsidRPr="00DA7625" w:rsidRDefault="001B1411">
            <w:pPr>
              <w:autoSpaceDE w:val="0"/>
              <w:autoSpaceDN w:val="0"/>
              <w:adjustRightInd w:val="0"/>
              <w:spacing w:before="0" w:after="0"/>
              <w:jc w:val="left"/>
              <w:rPr>
                <w:rFonts w:ascii="Times New Roman" w:hAnsi="Times New Roman"/>
                <w:b/>
                <w:sz w:val="24"/>
                <w:u w:val="single"/>
              </w:rPr>
            </w:pPr>
          </w:p>
        </w:tc>
      </w:tr>
    </w:tbl>
    <w:p w14:paraId="4E2AE05D" w14:textId="77777777" w:rsidR="001B1411" w:rsidRPr="00DA7625" w:rsidRDefault="001B1411">
      <w:pPr>
        <w:autoSpaceDE w:val="0"/>
        <w:autoSpaceDN w:val="0"/>
        <w:adjustRightInd w:val="0"/>
        <w:spacing w:before="0" w:after="0"/>
        <w:jc w:val="left"/>
        <w:rPr>
          <w:rFonts w:ascii="Times New Roman" w:hAnsi="Times New Roman"/>
          <w:sz w:val="24"/>
        </w:rPr>
      </w:pPr>
    </w:p>
    <w:p w14:paraId="5DEE21E8"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66" w:name="_Toc31018812"/>
      <w:r w:rsidRPr="00DA7625">
        <w:rPr>
          <w:rFonts w:ascii="Times New Roman" w:hAnsi="Times New Roman"/>
          <w:sz w:val="24"/>
          <w:u w:val="none"/>
        </w:rPr>
        <w:t>3.9.</w:t>
      </w:r>
      <w:r w:rsidRPr="00DA7625">
        <w:rPr>
          <w:rFonts w:ascii="Times New Roman" w:hAnsi="Times New Roman"/>
          <w:sz w:val="24"/>
          <w:u w:val="none"/>
        </w:rPr>
        <w:tab/>
      </w:r>
      <w:r w:rsidRPr="00DA7625">
        <w:rPr>
          <w:rFonts w:ascii="Times New Roman" w:hAnsi="Times New Roman"/>
          <w:sz w:val="24"/>
        </w:rPr>
        <w:t>Az értékpapírosítással kapcsolatos részletes információk (SEC DETAILS)</w:t>
      </w:r>
      <w:bookmarkEnd w:id="66"/>
    </w:p>
    <w:p w14:paraId="13979E1F" w14:textId="77777777" w:rsidR="001B1411" w:rsidRPr="00DA7625" w:rsidRDefault="00125707">
      <w:pPr>
        <w:pStyle w:val="Instructionsberschrift2"/>
        <w:numPr>
          <w:ilvl w:val="0"/>
          <w:numId w:val="0"/>
        </w:numPr>
        <w:ind w:left="357" w:hanging="357"/>
        <w:rPr>
          <w:rFonts w:ascii="Times New Roman" w:hAnsi="Times New Roman" w:cs="Times New Roman"/>
          <w:sz w:val="24"/>
          <w:u w:val="none"/>
        </w:rPr>
      </w:pPr>
      <w:bookmarkStart w:id="67" w:name="_Toc31018813"/>
      <w:r w:rsidRPr="00DA7625">
        <w:rPr>
          <w:rFonts w:ascii="Times New Roman" w:hAnsi="Times New Roman"/>
          <w:sz w:val="24"/>
          <w:u w:val="none"/>
        </w:rPr>
        <w:t>3.9.1.</w:t>
      </w:r>
      <w:r w:rsidRPr="00DA7625">
        <w:rPr>
          <w:rFonts w:ascii="Times New Roman" w:hAnsi="Times New Roman"/>
          <w:sz w:val="24"/>
          <w:u w:val="none"/>
        </w:rPr>
        <w:tab/>
        <w:t>A SEC DETAILS tábla alkalmazási köre</w:t>
      </w:r>
      <w:bookmarkEnd w:id="67"/>
    </w:p>
    <w:p w14:paraId="3A99C0C3" w14:textId="77777777" w:rsidR="001B1411" w:rsidRPr="00DA7625" w:rsidRDefault="00062A1F">
      <w:pPr>
        <w:pStyle w:val="InstructionsText2"/>
        <w:numPr>
          <w:ilvl w:val="0"/>
          <w:numId w:val="0"/>
        </w:numPr>
        <w:ind w:left="993"/>
      </w:pPr>
      <w:r w:rsidRPr="00DA7625">
        <w:t>109.</w:t>
      </w:r>
      <w:r w:rsidRPr="00DA7625">
        <w:tab/>
        <w:t xml:space="preserve"> Ez a tábla – a CR SEC SA, MKR SA SEC, MKR SA CTP, CA1 és CA2 tábla összesített információival szemben – ügyletenkénti információkat gyűjt valamennyi olyan értékpapírosításról, amelyben az adatot szolgáltató intézmény érintett. Meg kell adni az egyes értékpapírosítások főbb jellemzőit, például az alapul szolgáló halmaz jellegét és a szavatolótőke-követelményt. </w:t>
      </w:r>
    </w:p>
    <w:p w14:paraId="3784C6D7" w14:textId="77777777" w:rsidR="001B1411" w:rsidRPr="00DA7625" w:rsidRDefault="00062A1F">
      <w:pPr>
        <w:pStyle w:val="InstructionsText2"/>
        <w:numPr>
          <w:ilvl w:val="0"/>
          <w:numId w:val="0"/>
        </w:numPr>
        <w:ind w:left="993"/>
      </w:pPr>
      <w:r w:rsidRPr="00DA7625">
        <w:t>110.</w:t>
      </w:r>
      <w:r w:rsidRPr="00DA7625">
        <w:tab/>
        <w:t xml:space="preserve"> Ezeket a táblákat az alábbi esetekben kell kitölteni:</w:t>
      </w:r>
    </w:p>
    <w:p w14:paraId="7BCD0350" w14:textId="7BBFD7E9" w:rsidR="001B1411" w:rsidRPr="00DA7625" w:rsidRDefault="00062A1F">
      <w:pPr>
        <w:pStyle w:val="InstructionsText2"/>
        <w:numPr>
          <w:ilvl w:val="0"/>
          <w:numId w:val="0"/>
        </w:numPr>
        <w:ind w:left="993"/>
      </w:pPr>
      <w:r w:rsidRPr="00DA7625">
        <w:lastRenderedPageBreak/>
        <w:t>a)</w:t>
      </w:r>
      <w:r w:rsidRPr="00DA7625">
        <w:tab/>
        <w:t>Az adatszolgáltató intézmény által kezdeményezett vagy szponzorált értékpapírosítások esetében, beleértve azt is, amikor az intézmény nem rendelkezik pozícióval az értékpapírosításban. Abban az esetben, ha az intézmény legalább egy pozícióval rendelkezik az értékpapírosításban – attól függetlenül, hogy jelentős kockázat átruházására sor került-e vagy sem –, az intézményeknek az általuk – akár a banki könyvben, akár a kereskedési könyvben – tartott valamennyi pozícióról adatot kell szolgáltatniuk. A tartott pozíciók magukban foglalják az (EU) 2017/2402 rendelet 6. cikke szerint megtartott pozíciókat, és – amennyiben az említett rendelet 43. cikkének (6) bekezdése alkalmazandó – a CRR 2018. december 31-én hatályos változatának 405. cikke alapján megtartott pozíciókat.</w:t>
      </w:r>
    </w:p>
    <w:p w14:paraId="030512C5" w14:textId="09CB0A7F" w:rsidR="001B1411" w:rsidRPr="00DA7625" w:rsidRDefault="00062A1F">
      <w:pPr>
        <w:pStyle w:val="InstructionsText2"/>
        <w:numPr>
          <w:ilvl w:val="0"/>
          <w:numId w:val="0"/>
        </w:numPr>
        <w:ind w:left="993"/>
      </w:pPr>
      <w:r w:rsidRPr="00DA7625">
        <w:t>b)</w:t>
      </w:r>
      <w:r w:rsidRPr="00DA7625">
        <w:tab/>
        <w:t>Olyan értékpapírosítások, amelyek végső alapeszköze eredetileg az adatszolgáltató intézmény által kibocsátott és az értékpapírosítási eszköz által (részben) megszerzett pénzügyi kötelezettség. Ez az alapeszköz fedezett kötvény vagy más kötelezettség is lehet, amelyet ilyenként a 160. oszlopban fel kell tüntetni.</w:t>
      </w:r>
    </w:p>
    <w:p w14:paraId="74ADC909" w14:textId="4D5E5F8F" w:rsidR="001B1411" w:rsidRPr="00DA7625" w:rsidRDefault="002409C1">
      <w:pPr>
        <w:pStyle w:val="InstructionsText2"/>
        <w:numPr>
          <w:ilvl w:val="0"/>
          <w:numId w:val="0"/>
        </w:numPr>
        <w:ind w:left="993"/>
      </w:pPr>
      <w:r w:rsidRPr="00DA7625">
        <w:t>c)</w:t>
      </w:r>
      <w:r w:rsidRPr="00DA7625">
        <w:tab/>
        <w:t>Az értékpapírosításokban meglévő olyan pozíciók, amelyeknél az adatszolgáltató intézmény nem értékpapírosítást kezdeményező és nem szponzor (tehát befektetők és eredeti hitelezők esetében).</w:t>
      </w:r>
    </w:p>
    <w:p w14:paraId="4A064453" w14:textId="77777777" w:rsidR="001B1411" w:rsidRPr="00DA7625" w:rsidRDefault="00062A1F">
      <w:pPr>
        <w:pStyle w:val="InstructionsText2"/>
        <w:numPr>
          <w:ilvl w:val="0"/>
          <w:numId w:val="0"/>
        </w:numPr>
        <w:ind w:left="993"/>
      </w:pPr>
      <w:r w:rsidRPr="00DA7625">
        <w:t>111.</w:t>
      </w:r>
      <w:r w:rsidRPr="00DA7625">
        <w:tab/>
        <w:t xml:space="preserve"> Ezeket a táblákat kizárólag az abban az országban található konszolidált csoportok és önálló intézmények</w:t>
      </w:r>
      <w:r w:rsidRPr="00DA7625">
        <w:rPr>
          <w:vertAlign w:val="superscript"/>
        </w:rPr>
        <w:footnoteReference w:id="13"/>
      </w:r>
      <w:r w:rsidRPr="00DA7625">
        <w:t xml:space="preserve"> alkalmazhatják, ahol szavatolótőke-követelmény hatálya alá esnek. Ha egy értékpapírosításban egy konszolidált csoporton belül több intézmény is részt vesz, akkor az adatokat intézményenkénti részletes bontásban kell megadni. </w:t>
      </w:r>
    </w:p>
    <w:p w14:paraId="6D77FDD7" w14:textId="24C92077" w:rsidR="001B1411" w:rsidRPr="00DA7625" w:rsidRDefault="00062A1F">
      <w:pPr>
        <w:pStyle w:val="InstructionsText2"/>
        <w:numPr>
          <w:ilvl w:val="0"/>
          <w:numId w:val="0"/>
        </w:numPr>
        <w:ind w:left="993"/>
      </w:pPr>
      <w:r w:rsidRPr="00DA7625">
        <w:t>112.</w:t>
      </w:r>
      <w:r w:rsidRPr="00DA7625">
        <w:tab/>
        <w:t xml:space="preserve"> Az (EU) 2017/2402 rendelet 5. cikke alapján, amely szerint az értékpapírosítási pozíciókba fektető intézményeknek az ilyen pozíciókról nagy mennyiségű információt kell beszerezniük az előzetes vizsgálatra vonatkozó követelmények teljesítéséhez, a tábla alkalmazási köre bizonyos mértékig a befektetőkre is kiterjed. Így különösen a 010–040., 070–110., 161., 190., 290–300., 310–470.,</w:t>
      </w:r>
    </w:p>
    <w:p w14:paraId="2F520B35" w14:textId="77777777" w:rsidR="001B1411" w:rsidRPr="00DA7625" w:rsidRDefault="00062A1F">
      <w:pPr>
        <w:pStyle w:val="InstructionsText2"/>
        <w:numPr>
          <w:ilvl w:val="0"/>
          <w:numId w:val="0"/>
        </w:numPr>
        <w:ind w:left="993"/>
      </w:pPr>
      <w:r w:rsidRPr="00DA7625">
        <w:t>113. oszlopot kell kitölteniük.</w:t>
      </w:r>
      <w:r w:rsidRPr="00DA7625">
        <w:tab/>
        <w:t xml:space="preserve"> Az eredeti hitelező szerepét betöltő intézményeknek (amelyek ugyanabban az értékpapírosításban nem értékpapírosítást kezdeményezők vagy szponzorok) a táblát általában a befektetőkkel azonos terjedelemben kell kitölteniük.</w:t>
      </w:r>
    </w:p>
    <w:p w14:paraId="7984AB85" w14:textId="77777777" w:rsidR="001B1411" w:rsidRPr="00DA7625" w:rsidRDefault="00062A1F">
      <w:pPr>
        <w:pStyle w:val="Instructionsberschrift2"/>
        <w:numPr>
          <w:ilvl w:val="0"/>
          <w:numId w:val="0"/>
        </w:numPr>
        <w:ind w:left="357" w:hanging="357"/>
        <w:rPr>
          <w:rFonts w:ascii="Times New Roman" w:hAnsi="Times New Roman" w:cs="Times New Roman"/>
          <w:sz w:val="24"/>
          <w:u w:val="none"/>
        </w:rPr>
      </w:pPr>
      <w:bookmarkStart w:id="68" w:name="_Toc31018814"/>
      <w:r w:rsidRPr="00DA7625">
        <w:rPr>
          <w:rFonts w:ascii="Times New Roman" w:hAnsi="Times New Roman"/>
          <w:sz w:val="24"/>
          <w:u w:val="none"/>
        </w:rPr>
        <w:t>3.9.2 A SEC DETAILS tábla alkalmazási köre</w:t>
      </w:r>
      <w:bookmarkEnd w:id="68"/>
    </w:p>
    <w:p w14:paraId="71B50127" w14:textId="77777777" w:rsidR="001B1411" w:rsidRPr="00DA7625" w:rsidRDefault="00CA4EB2">
      <w:pPr>
        <w:pStyle w:val="InstructionsText2"/>
        <w:numPr>
          <w:ilvl w:val="0"/>
          <w:numId w:val="0"/>
        </w:numPr>
        <w:ind w:left="993"/>
      </w:pPr>
      <w:r w:rsidRPr="00DA7625">
        <w:t xml:space="preserve">113 a. A SEC DETAILS táblacsoport két táblából áll. A SEC DETAILS általános áttekintést nyújt az értékpapírosításokról, a SEC DETAILS 2 pedig ugyanazon értékpapírosítások alkalmazott módszer szerinti bontását tartalmazza. </w:t>
      </w:r>
    </w:p>
    <w:p w14:paraId="47FA2E7A" w14:textId="77777777" w:rsidR="001B1411" w:rsidRPr="00DA7625" w:rsidRDefault="00CA4EB2">
      <w:pPr>
        <w:pStyle w:val="InstructionsText2"/>
        <w:numPr>
          <w:ilvl w:val="0"/>
          <w:numId w:val="0"/>
        </w:numPr>
        <w:ind w:left="1353" w:hanging="360"/>
      </w:pPr>
      <w:r w:rsidRPr="00DA7625">
        <w:t xml:space="preserve">113b. A kereskedési könyvben szereplő értékpapírosítási pozíciókat csak a 005–020., 420., 430., 431., 432., 440. és 450–470. oszlopban kell feltüntetni. A 420., 430. és 440. oszlop esetében az intézményeknek a nettó pozíció szavatolótőke-követelményének megfelelő kockázati súlyt kell figyelembe venniük. </w:t>
      </w:r>
    </w:p>
    <w:p w14:paraId="63D5DB28" w14:textId="77777777" w:rsidR="001B1411" w:rsidRPr="00DA7625" w:rsidRDefault="00FC6275">
      <w:pPr>
        <w:pStyle w:val="Instructionsberschrift2"/>
        <w:numPr>
          <w:ilvl w:val="0"/>
          <w:numId w:val="0"/>
        </w:numPr>
        <w:ind w:left="357" w:hanging="357"/>
        <w:rPr>
          <w:rFonts w:ascii="Times New Roman" w:hAnsi="Times New Roman" w:cs="Times New Roman"/>
          <w:sz w:val="24"/>
          <w:u w:val="none"/>
        </w:rPr>
      </w:pPr>
      <w:bookmarkStart w:id="69" w:name="_Toc31018815"/>
      <w:r w:rsidRPr="00DA7625">
        <w:rPr>
          <w:rFonts w:ascii="Times New Roman" w:hAnsi="Times New Roman"/>
          <w:sz w:val="24"/>
          <w:u w:val="none"/>
        </w:rPr>
        <w:lastRenderedPageBreak/>
        <w:t>3.9.3 C 14.00 – Az értékpapírosítással kapcsolatos részletes információk (SEC DETAILS)</w:t>
      </w:r>
      <w:bookmarkEnd w:id="6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1B1411" w:rsidRPr="00DA7625" w14:paraId="26A3EDEF" w14:textId="77777777" w:rsidTr="00E10B85">
        <w:tc>
          <w:tcPr>
            <w:tcW w:w="9004" w:type="dxa"/>
            <w:gridSpan w:val="2"/>
            <w:shd w:val="clear" w:color="auto" w:fill="CCCCCC"/>
          </w:tcPr>
          <w:p w14:paraId="1E456965" w14:textId="77777777" w:rsidR="001B1411" w:rsidRPr="00DA7625" w:rsidRDefault="001B1411">
            <w:pPr>
              <w:autoSpaceDE w:val="0"/>
              <w:autoSpaceDN w:val="0"/>
              <w:adjustRightInd w:val="0"/>
              <w:spacing w:before="0" w:after="0"/>
              <w:rPr>
                <w:rFonts w:ascii="Times New Roman" w:hAnsi="Times New Roman"/>
                <w:bCs/>
                <w:sz w:val="24"/>
              </w:rPr>
            </w:pPr>
          </w:p>
          <w:p w14:paraId="67E915B1" w14:textId="77777777" w:rsidR="001B1411" w:rsidRPr="00DA7625" w:rsidRDefault="00C55547">
            <w:pPr>
              <w:autoSpaceDE w:val="0"/>
              <w:autoSpaceDN w:val="0"/>
              <w:adjustRightInd w:val="0"/>
              <w:spacing w:before="0" w:after="0"/>
              <w:rPr>
                <w:rFonts w:ascii="Times New Roman" w:hAnsi="Times New Roman"/>
                <w:b/>
                <w:bCs/>
                <w:sz w:val="24"/>
              </w:rPr>
            </w:pPr>
            <w:r w:rsidRPr="00DA7625">
              <w:rPr>
                <w:rFonts w:ascii="Times New Roman" w:hAnsi="Times New Roman"/>
                <w:b/>
                <w:sz w:val="24"/>
              </w:rPr>
              <w:t>Oszlop</w:t>
            </w:r>
          </w:p>
          <w:p w14:paraId="73F20482" w14:textId="77777777" w:rsidR="001B1411" w:rsidRPr="00DA7625" w:rsidRDefault="001B1411">
            <w:pPr>
              <w:autoSpaceDE w:val="0"/>
              <w:autoSpaceDN w:val="0"/>
              <w:adjustRightInd w:val="0"/>
              <w:spacing w:before="0" w:after="0"/>
              <w:rPr>
                <w:rFonts w:ascii="Times New Roman" w:hAnsi="Times New Roman"/>
                <w:bCs/>
                <w:sz w:val="24"/>
              </w:rPr>
            </w:pPr>
          </w:p>
        </w:tc>
      </w:tr>
      <w:tr w:rsidR="001B1411" w:rsidRPr="00DA7625" w14:paraId="61E4AA35" w14:textId="77777777" w:rsidTr="00E10B85">
        <w:tc>
          <w:tcPr>
            <w:tcW w:w="1101" w:type="dxa"/>
          </w:tcPr>
          <w:p w14:paraId="79EBA34A" w14:textId="77777777" w:rsidR="001B1411" w:rsidRPr="00DA7625" w:rsidRDefault="00C55547">
            <w:pPr>
              <w:autoSpaceDE w:val="0"/>
              <w:autoSpaceDN w:val="0"/>
              <w:adjustRightInd w:val="0"/>
              <w:spacing w:before="0" w:after="0"/>
              <w:rPr>
                <w:rFonts w:ascii="Times New Roman" w:hAnsi="Times New Roman"/>
                <w:bCs/>
                <w:sz w:val="24"/>
              </w:rPr>
            </w:pPr>
            <w:r w:rsidRPr="00DA7625">
              <w:rPr>
                <w:rFonts w:ascii="Times New Roman" w:hAnsi="Times New Roman"/>
                <w:bCs/>
                <w:sz w:val="24"/>
              </w:rPr>
              <w:t>005</w:t>
            </w:r>
          </w:p>
        </w:tc>
        <w:tc>
          <w:tcPr>
            <w:tcW w:w="7903" w:type="dxa"/>
          </w:tcPr>
          <w:p w14:paraId="5FE45A4C"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SOR SZÁMA</w:t>
            </w:r>
          </w:p>
          <w:p w14:paraId="5668FEBC" w14:textId="77777777" w:rsidR="001B1411" w:rsidRPr="00DA7625" w:rsidRDefault="001B1411">
            <w:pPr>
              <w:spacing w:before="0" w:after="0"/>
              <w:jc w:val="left"/>
              <w:rPr>
                <w:rFonts w:ascii="Times New Roman" w:hAnsi="Times New Roman"/>
                <w:b/>
                <w:sz w:val="24"/>
                <w:u w:val="single"/>
              </w:rPr>
            </w:pPr>
          </w:p>
          <w:p w14:paraId="15014612" w14:textId="1427EBA3"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A sor száma egy sorazonosító, amely a tábla minden sorát egyedileg azonosítja. Sorrendje: 1, 2, 3 stb.</w:t>
            </w:r>
          </w:p>
          <w:p w14:paraId="6CE9D6DC" w14:textId="77777777" w:rsidR="001B1411" w:rsidRPr="00DA7625" w:rsidRDefault="001B1411">
            <w:pPr>
              <w:autoSpaceDE w:val="0"/>
              <w:autoSpaceDN w:val="0"/>
              <w:adjustRightInd w:val="0"/>
              <w:spacing w:before="0" w:after="0"/>
              <w:rPr>
                <w:rFonts w:ascii="Times New Roman" w:hAnsi="Times New Roman"/>
                <w:b/>
                <w:sz w:val="24"/>
                <w:u w:val="single"/>
              </w:rPr>
            </w:pPr>
          </w:p>
        </w:tc>
      </w:tr>
      <w:tr w:rsidR="001B1411" w:rsidRPr="00DA7625" w14:paraId="3BDF78D0" w14:textId="77777777" w:rsidTr="00E10B85">
        <w:tc>
          <w:tcPr>
            <w:tcW w:w="1101" w:type="dxa"/>
          </w:tcPr>
          <w:p w14:paraId="1C62AFDD" w14:textId="77777777" w:rsidR="001B1411" w:rsidRPr="00DA7625" w:rsidRDefault="00C55547">
            <w:pPr>
              <w:autoSpaceDE w:val="0"/>
              <w:autoSpaceDN w:val="0"/>
              <w:adjustRightInd w:val="0"/>
              <w:spacing w:before="0" w:after="0"/>
              <w:rPr>
                <w:rFonts w:ascii="Times New Roman" w:hAnsi="Times New Roman"/>
                <w:bCs/>
                <w:sz w:val="24"/>
                <w:highlight w:val="yellow"/>
              </w:rPr>
            </w:pPr>
            <w:r w:rsidRPr="00DA7625">
              <w:rPr>
                <w:rFonts w:ascii="Times New Roman" w:hAnsi="Times New Roman"/>
                <w:bCs/>
                <w:sz w:val="24"/>
              </w:rPr>
              <w:t>010</w:t>
            </w:r>
          </w:p>
        </w:tc>
        <w:tc>
          <w:tcPr>
            <w:tcW w:w="7903" w:type="dxa"/>
          </w:tcPr>
          <w:p w14:paraId="11016763"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BELSŐ KÓD</w:t>
            </w:r>
          </w:p>
          <w:p w14:paraId="7DE7F9FB" w14:textId="77777777" w:rsidR="001B1411" w:rsidRPr="00DA7625" w:rsidRDefault="001B1411">
            <w:pPr>
              <w:spacing w:before="0" w:after="0"/>
              <w:jc w:val="left"/>
              <w:rPr>
                <w:rFonts w:ascii="Times New Roman" w:hAnsi="Times New Roman"/>
                <w:sz w:val="24"/>
              </w:rPr>
            </w:pPr>
          </w:p>
          <w:p w14:paraId="476E1B27" w14:textId="77777777" w:rsidR="001B1411" w:rsidRPr="00DA7625" w:rsidRDefault="00D956C2">
            <w:pPr>
              <w:autoSpaceDE w:val="0"/>
              <w:autoSpaceDN w:val="0"/>
              <w:adjustRightInd w:val="0"/>
              <w:spacing w:before="0" w:after="0"/>
              <w:rPr>
                <w:rFonts w:ascii="Times New Roman" w:hAnsi="Times New Roman"/>
                <w:sz w:val="24"/>
              </w:rPr>
            </w:pPr>
            <w:r w:rsidRPr="00DA7625">
              <w:rPr>
                <w:rFonts w:ascii="Times New Roman" w:hAnsi="Times New Roman"/>
                <w:sz w:val="24"/>
              </w:rPr>
              <w:t>Belső (alfanumerikus) kód, amelyet az intézmény az értékpapírosítás azonosítására használ. A belső kódot az értékpapírosítási ügylet azonosítójához kell hozzárendelni.</w:t>
            </w:r>
          </w:p>
          <w:p w14:paraId="66148281" w14:textId="77777777" w:rsidR="001B1411" w:rsidRPr="00DA7625" w:rsidRDefault="001B1411">
            <w:pPr>
              <w:autoSpaceDE w:val="0"/>
              <w:autoSpaceDN w:val="0"/>
              <w:adjustRightInd w:val="0"/>
              <w:spacing w:before="0" w:after="0"/>
              <w:jc w:val="left"/>
              <w:rPr>
                <w:rFonts w:ascii="Times New Roman" w:hAnsi="Times New Roman"/>
                <w:bCs/>
                <w:sz w:val="24"/>
              </w:rPr>
            </w:pPr>
          </w:p>
        </w:tc>
      </w:tr>
      <w:tr w:rsidR="001B1411" w:rsidRPr="00DA7625" w14:paraId="3DA7E308" w14:textId="77777777" w:rsidTr="00E10B85">
        <w:tc>
          <w:tcPr>
            <w:tcW w:w="1101" w:type="dxa"/>
          </w:tcPr>
          <w:p w14:paraId="072A9743" w14:textId="77777777" w:rsidR="001B1411" w:rsidRPr="00DA7625" w:rsidRDefault="00C55547">
            <w:pPr>
              <w:autoSpaceDE w:val="0"/>
              <w:autoSpaceDN w:val="0"/>
              <w:adjustRightInd w:val="0"/>
              <w:spacing w:before="0" w:after="0"/>
              <w:rPr>
                <w:rFonts w:ascii="Times New Roman" w:hAnsi="Times New Roman"/>
                <w:bCs/>
                <w:sz w:val="24"/>
              </w:rPr>
            </w:pPr>
            <w:r w:rsidRPr="00DA7625">
              <w:rPr>
                <w:rFonts w:ascii="Times New Roman" w:hAnsi="Times New Roman"/>
                <w:sz w:val="24"/>
              </w:rPr>
              <w:t>020</w:t>
            </w:r>
          </w:p>
        </w:tc>
        <w:tc>
          <w:tcPr>
            <w:tcW w:w="7903" w:type="dxa"/>
          </w:tcPr>
          <w:p w14:paraId="07F994B3"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AZ ÉRTÉKPAPÍROSÍTÁS AZONOSÍTÓJA</w:t>
            </w:r>
            <w:r w:rsidRPr="00DA7625">
              <w:rPr>
                <w:rFonts w:ascii="Times New Roman" w:hAnsi="Times New Roman"/>
                <w:b/>
                <w:sz w:val="24"/>
              </w:rPr>
              <w:t xml:space="preserve"> (kódja/neve)</w:t>
            </w:r>
          </w:p>
          <w:p w14:paraId="0CCA42B7" w14:textId="77777777" w:rsidR="001B1411" w:rsidRPr="00DA7625" w:rsidRDefault="001B1411">
            <w:pPr>
              <w:spacing w:before="0" w:after="0"/>
              <w:jc w:val="left"/>
              <w:rPr>
                <w:rFonts w:ascii="Times New Roman" w:hAnsi="Times New Roman"/>
                <w:sz w:val="24"/>
              </w:rPr>
            </w:pPr>
          </w:p>
          <w:p w14:paraId="466E15FC" w14:textId="19F5A99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Az értékpapírosítási ügylet jogszabályban előírt nyilvántartásba vételéhez használt kód, vagy ha ilyen nincs, akkor az a név, amelyen az értékpapírosítási ügylet a piacon vagy – belső, illetve magán értékpapírosítás esetén – az intézményen belül ismert. Ha van nemzetközi értékpapír-azonosító szám (ISIN) – nyilvános ügyletnél –, akkor az oszlopban az értékpapírosítás valamennyi ügyletrészsorozatában közös karaktereket kell megadni.</w:t>
            </w:r>
          </w:p>
          <w:p w14:paraId="084E4489" w14:textId="77777777" w:rsidR="001B1411" w:rsidRPr="00DA7625" w:rsidRDefault="001B1411">
            <w:pPr>
              <w:autoSpaceDE w:val="0"/>
              <w:autoSpaceDN w:val="0"/>
              <w:adjustRightInd w:val="0"/>
              <w:spacing w:before="0" w:after="0"/>
              <w:jc w:val="left"/>
              <w:rPr>
                <w:rFonts w:ascii="Times New Roman" w:hAnsi="Times New Roman"/>
                <w:bCs/>
                <w:sz w:val="24"/>
              </w:rPr>
            </w:pPr>
          </w:p>
        </w:tc>
      </w:tr>
      <w:tr w:rsidR="001B1411" w:rsidRPr="00DA7625" w14:paraId="6B879E4A" w14:textId="77777777" w:rsidTr="00E10B85">
        <w:tc>
          <w:tcPr>
            <w:tcW w:w="1101" w:type="dxa"/>
          </w:tcPr>
          <w:p w14:paraId="6CBD8AA3"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021</w:t>
            </w:r>
          </w:p>
        </w:tc>
        <w:tc>
          <w:tcPr>
            <w:tcW w:w="7903" w:type="dxa"/>
          </w:tcPr>
          <w:p w14:paraId="3E7C7C29"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CSOPORTON BELÜLI, MAGÁN VAGY NYILVÁNOS ÉRTÉKPAPÍROSÍTÁS?</w:t>
            </w:r>
          </w:p>
          <w:p w14:paraId="48B40EEE"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3EAD98BA"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Ebben az oszlopban azt kell feltüntetni, hogy az értékpapírosítás csoporton belüli, magán- vagy nyilvános értékpapírosítás-e.</w:t>
            </w:r>
          </w:p>
          <w:p w14:paraId="24C8F05D" w14:textId="77777777" w:rsidR="001B1411" w:rsidRPr="00DA7625" w:rsidRDefault="001B1411">
            <w:pPr>
              <w:autoSpaceDE w:val="0"/>
              <w:autoSpaceDN w:val="0"/>
              <w:adjustRightInd w:val="0"/>
              <w:spacing w:before="0" w:after="0"/>
              <w:jc w:val="left"/>
              <w:rPr>
                <w:rFonts w:ascii="Times New Roman" w:hAnsi="Times New Roman"/>
                <w:sz w:val="24"/>
              </w:rPr>
            </w:pPr>
          </w:p>
          <w:p w14:paraId="4BB9DCA0" w14:textId="77777777" w:rsidR="001B1411" w:rsidRPr="00DA7625" w:rsidRDefault="00E20FAC">
            <w:pPr>
              <w:autoSpaceDE w:val="0"/>
              <w:autoSpaceDN w:val="0"/>
              <w:adjustRightInd w:val="0"/>
              <w:spacing w:before="0" w:after="0"/>
              <w:jc w:val="left"/>
              <w:rPr>
                <w:rFonts w:ascii="Times New Roman" w:hAnsi="Times New Roman"/>
                <w:sz w:val="24"/>
              </w:rPr>
            </w:pPr>
            <w:r w:rsidRPr="00DA7625">
              <w:rPr>
                <w:rFonts w:ascii="Times New Roman" w:hAnsi="Times New Roman"/>
                <w:sz w:val="24"/>
              </w:rPr>
              <w:t>Az intézményeknek a következő rövidítések egyikét kell feltüntetniük:</w:t>
            </w:r>
          </w:p>
          <w:p w14:paraId="3451D2D9" w14:textId="77777777" w:rsidR="001B1411" w:rsidRPr="00DA7625" w:rsidRDefault="001B1411">
            <w:pPr>
              <w:autoSpaceDE w:val="0"/>
              <w:autoSpaceDN w:val="0"/>
              <w:adjustRightInd w:val="0"/>
              <w:spacing w:before="0" w:after="0"/>
              <w:jc w:val="left"/>
              <w:rPr>
                <w:rFonts w:ascii="Times New Roman" w:hAnsi="Times New Roman"/>
                <w:sz w:val="24"/>
              </w:rPr>
            </w:pPr>
          </w:p>
          <w:p w14:paraId="421297D0" w14:textId="77777777" w:rsidR="001B1411" w:rsidRPr="00DA7625"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DA7625">
              <w:rPr>
                <w:rFonts w:ascii="Times New Roman" w:hAnsi="Times New Roman"/>
                <w:sz w:val="24"/>
              </w:rPr>
              <w:t>„PRI”: magán</w:t>
            </w:r>
          </w:p>
          <w:p w14:paraId="4572E686" w14:textId="0CC89B26" w:rsidR="001B1411" w:rsidRPr="00DA7625" w:rsidRDefault="00BF67D7">
            <w:pPr>
              <w:pStyle w:val="ListParagraph"/>
              <w:numPr>
                <w:ilvl w:val="0"/>
                <w:numId w:val="42"/>
              </w:numPr>
              <w:autoSpaceDE w:val="0"/>
              <w:autoSpaceDN w:val="0"/>
              <w:adjustRightInd w:val="0"/>
              <w:spacing w:before="0" w:after="0"/>
              <w:jc w:val="left"/>
              <w:rPr>
                <w:rFonts w:ascii="Times New Roman" w:hAnsi="Times New Roman"/>
                <w:sz w:val="24"/>
              </w:rPr>
            </w:pPr>
            <w:r w:rsidRPr="00DA7625">
              <w:rPr>
                <w:rFonts w:ascii="Times New Roman" w:hAnsi="Times New Roman"/>
                <w:sz w:val="24"/>
              </w:rPr>
              <w:t>„INT”: csoporton belüli</w:t>
            </w:r>
          </w:p>
          <w:p w14:paraId="64026956" w14:textId="77777777" w:rsidR="001B1411" w:rsidRPr="00DA7625"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DA7625">
              <w:rPr>
                <w:rFonts w:ascii="Times New Roman" w:hAnsi="Times New Roman"/>
                <w:sz w:val="24"/>
              </w:rPr>
              <w:t>„PUB”: nyilvános.</w:t>
            </w:r>
          </w:p>
          <w:p w14:paraId="4B8FED18" w14:textId="77777777" w:rsidR="001B1411" w:rsidRPr="00DA7625" w:rsidRDefault="001B1411">
            <w:pPr>
              <w:autoSpaceDE w:val="0"/>
              <w:autoSpaceDN w:val="0"/>
              <w:adjustRightInd w:val="0"/>
              <w:spacing w:before="0" w:after="0"/>
              <w:jc w:val="left"/>
              <w:rPr>
                <w:rFonts w:ascii="Times New Roman" w:hAnsi="Times New Roman"/>
                <w:b/>
                <w:sz w:val="24"/>
                <w:u w:val="single"/>
              </w:rPr>
            </w:pPr>
          </w:p>
        </w:tc>
      </w:tr>
      <w:tr w:rsidR="001B1411" w:rsidRPr="00DA7625" w14:paraId="1FD2A43D" w14:textId="77777777" w:rsidTr="00E10B85">
        <w:tc>
          <w:tcPr>
            <w:tcW w:w="1101" w:type="dxa"/>
            <w:shd w:val="clear" w:color="auto" w:fill="auto"/>
          </w:tcPr>
          <w:p w14:paraId="4CD05E4A" w14:textId="77777777" w:rsidR="001B1411" w:rsidRPr="00DA7625" w:rsidRDefault="00C55547">
            <w:pPr>
              <w:autoSpaceDE w:val="0"/>
              <w:autoSpaceDN w:val="0"/>
              <w:adjustRightInd w:val="0"/>
              <w:spacing w:before="0" w:after="0"/>
              <w:rPr>
                <w:rFonts w:ascii="Times New Roman" w:hAnsi="Times New Roman"/>
                <w:bCs/>
                <w:sz w:val="24"/>
                <w:highlight w:val="yellow"/>
              </w:rPr>
            </w:pPr>
            <w:r w:rsidRPr="00DA7625">
              <w:rPr>
                <w:rFonts w:ascii="Times New Roman" w:hAnsi="Times New Roman"/>
                <w:bCs/>
                <w:sz w:val="24"/>
              </w:rPr>
              <w:t>110</w:t>
            </w:r>
          </w:p>
        </w:tc>
        <w:tc>
          <w:tcPr>
            <w:tcW w:w="7903" w:type="dxa"/>
            <w:shd w:val="clear" w:color="auto" w:fill="auto"/>
          </w:tcPr>
          <w:p w14:paraId="70BE1BD0"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AZ INTÉZMÉNY SZEREPE: (ÉRTÉKPAPÍROSÍTÁST KEZDEMÉNYEZŐ / SZPONZOR / EREDETI HITELEZŐ / BEFEKTETŐ)</w:t>
            </w:r>
          </w:p>
          <w:p w14:paraId="483E0016" w14:textId="77777777" w:rsidR="001B1411" w:rsidRPr="00DA7625" w:rsidRDefault="001B1411">
            <w:pPr>
              <w:autoSpaceDE w:val="0"/>
              <w:autoSpaceDN w:val="0"/>
              <w:adjustRightInd w:val="0"/>
              <w:spacing w:before="0" w:after="0"/>
              <w:jc w:val="left"/>
              <w:rPr>
                <w:rFonts w:ascii="Times New Roman" w:hAnsi="Times New Roman"/>
                <w:sz w:val="24"/>
              </w:rPr>
            </w:pPr>
          </w:p>
          <w:p w14:paraId="0D9619D9" w14:textId="77777777" w:rsidR="001B1411" w:rsidRPr="00DA7625" w:rsidRDefault="00E20FAC">
            <w:pPr>
              <w:autoSpaceDE w:val="0"/>
              <w:autoSpaceDN w:val="0"/>
              <w:adjustRightInd w:val="0"/>
              <w:spacing w:before="0" w:after="0"/>
              <w:jc w:val="left"/>
              <w:rPr>
                <w:rFonts w:ascii="Times New Roman" w:hAnsi="Times New Roman"/>
                <w:sz w:val="24"/>
              </w:rPr>
            </w:pPr>
            <w:r w:rsidRPr="00DA7625">
              <w:rPr>
                <w:rFonts w:ascii="Times New Roman" w:hAnsi="Times New Roman"/>
                <w:sz w:val="24"/>
              </w:rPr>
              <w:t xml:space="preserve">Az intézményeknek a következő rövidítéseket kell feltüntetniük: </w:t>
            </w:r>
          </w:p>
          <w:p w14:paraId="526A42BE"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„O”: értékpapírosítást kezdeményező;</w:t>
            </w:r>
          </w:p>
          <w:p w14:paraId="518F539B"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„S”: szponzor;</w:t>
            </w:r>
          </w:p>
          <w:p w14:paraId="02874052"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xml:space="preserve">„I”: befektető. </w:t>
            </w:r>
          </w:p>
          <w:p w14:paraId="19BB498E"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„L”: eredeti hitelező;</w:t>
            </w:r>
          </w:p>
          <w:p w14:paraId="4101962B" w14:textId="77777777" w:rsidR="001B1411" w:rsidRPr="00DA7625" w:rsidRDefault="001B1411">
            <w:pPr>
              <w:autoSpaceDE w:val="0"/>
              <w:autoSpaceDN w:val="0"/>
              <w:adjustRightInd w:val="0"/>
              <w:spacing w:before="0" w:after="0"/>
              <w:jc w:val="left"/>
              <w:rPr>
                <w:rFonts w:ascii="Times New Roman" w:hAnsi="Times New Roman"/>
                <w:sz w:val="24"/>
              </w:rPr>
            </w:pPr>
          </w:p>
          <w:p w14:paraId="74EAC855" w14:textId="22EF6832" w:rsidR="001B1411" w:rsidRPr="00DA7625" w:rsidRDefault="00E20FAC">
            <w:pPr>
              <w:autoSpaceDE w:val="0"/>
              <w:autoSpaceDN w:val="0"/>
              <w:adjustRightInd w:val="0"/>
              <w:spacing w:before="0" w:after="0"/>
              <w:jc w:val="left"/>
              <w:rPr>
                <w:rFonts w:ascii="Times New Roman" w:hAnsi="Times New Roman"/>
                <w:sz w:val="24"/>
              </w:rPr>
            </w:pPr>
            <w:r w:rsidRPr="00DA7625">
              <w:rPr>
                <w:rFonts w:ascii="Times New Roman" w:hAnsi="Times New Roman"/>
                <w:sz w:val="24"/>
              </w:rPr>
              <w:t xml:space="preserve">A CRR 4. cikke (1) bekezdésének 13. pontja szerinti értékpapírosítást kezdeményező és 14. pontja szerinti szponzor. Befektetőknek azok az intézmények tekinthetők, amelyekre az (EU) 2017/2402 rendelet 5. cikke alkalmazandó. </w:t>
            </w:r>
            <w:r w:rsidRPr="00DA7625">
              <w:rPr>
                <w:rFonts w:ascii="Times New Roman" w:hAnsi="Times New Roman"/>
                <w:sz w:val="24"/>
              </w:rPr>
              <w:lastRenderedPageBreak/>
              <w:t>Amennyiben az (EU) 2017/2402 rendelet 43. cikkének (5) bekezdése alkalmazandó, a CRR 2018. december 31-én hatályos változatának 406. és 407. cikkét kell alkalmazni.</w:t>
            </w:r>
          </w:p>
          <w:p w14:paraId="6E14677A" w14:textId="77777777" w:rsidR="001B1411" w:rsidRPr="00DA7625" w:rsidRDefault="001B1411">
            <w:pPr>
              <w:autoSpaceDE w:val="0"/>
              <w:autoSpaceDN w:val="0"/>
              <w:adjustRightInd w:val="0"/>
              <w:spacing w:before="0" w:after="0"/>
              <w:jc w:val="left"/>
              <w:rPr>
                <w:rFonts w:ascii="Times New Roman" w:hAnsi="Times New Roman"/>
                <w:sz w:val="24"/>
              </w:rPr>
            </w:pPr>
          </w:p>
        </w:tc>
      </w:tr>
      <w:tr w:rsidR="001B1411" w:rsidRPr="00DA7625" w14:paraId="7C1F8386" w14:textId="77777777" w:rsidTr="00E10B85">
        <w:tc>
          <w:tcPr>
            <w:tcW w:w="1101" w:type="dxa"/>
          </w:tcPr>
          <w:p w14:paraId="6EF387CE" w14:textId="77777777" w:rsidR="001B1411" w:rsidRPr="00DA7625" w:rsidRDefault="00C55547">
            <w:pPr>
              <w:autoSpaceDE w:val="0"/>
              <w:autoSpaceDN w:val="0"/>
              <w:adjustRightInd w:val="0"/>
              <w:spacing w:before="0" w:after="0"/>
              <w:rPr>
                <w:rFonts w:ascii="Times New Roman" w:hAnsi="Times New Roman"/>
                <w:bCs/>
                <w:sz w:val="24"/>
              </w:rPr>
            </w:pPr>
            <w:r w:rsidRPr="00DA7625">
              <w:rPr>
                <w:rFonts w:ascii="Times New Roman" w:hAnsi="Times New Roman"/>
                <w:sz w:val="24"/>
              </w:rPr>
              <w:lastRenderedPageBreak/>
              <w:t>030</w:t>
            </w:r>
          </w:p>
        </w:tc>
        <w:tc>
          <w:tcPr>
            <w:tcW w:w="7903" w:type="dxa"/>
          </w:tcPr>
          <w:p w14:paraId="0FADED43"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AZ ÉRTÉKPAPÍROSÍTÁST KEZDEMÉNYEZŐ AZONOSÍTÓJA</w:t>
            </w:r>
            <w:r w:rsidRPr="00DA7625">
              <w:rPr>
                <w:rFonts w:ascii="Times New Roman" w:hAnsi="Times New Roman"/>
                <w:b/>
                <w:sz w:val="24"/>
              </w:rPr>
              <w:t xml:space="preserve"> (kódja/neve)</w:t>
            </w:r>
          </w:p>
          <w:p w14:paraId="1E73EDE5" w14:textId="77777777" w:rsidR="001B1411" w:rsidRPr="00DA7625" w:rsidRDefault="001B1411">
            <w:pPr>
              <w:autoSpaceDE w:val="0"/>
              <w:autoSpaceDN w:val="0"/>
              <w:adjustRightInd w:val="0"/>
              <w:spacing w:before="0" w:after="0"/>
              <w:jc w:val="left"/>
              <w:rPr>
                <w:rFonts w:ascii="Times New Roman" w:hAnsi="Times New Roman"/>
                <w:sz w:val="24"/>
              </w:rPr>
            </w:pPr>
          </w:p>
          <w:p w14:paraId="607A39C3" w14:textId="557D01F5"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Az oszlopban az értékpapírosítást kezdeményezőre alkalmazandó LEI-kódot, vagy ha az nem áll rendelkezésre, az értékpapírosítást kezdeményező részére a felügyeleti hatóság által megállapított kódot, vagy ha ilyen nincs, akkor az intézmény nevét kell megadni.</w:t>
            </w:r>
          </w:p>
          <w:p w14:paraId="4C06EA4C" w14:textId="77777777" w:rsidR="001B1411" w:rsidRPr="00DA7625" w:rsidRDefault="001B1411">
            <w:pPr>
              <w:autoSpaceDE w:val="0"/>
              <w:autoSpaceDN w:val="0"/>
              <w:adjustRightInd w:val="0"/>
              <w:spacing w:before="0" w:after="0"/>
              <w:rPr>
                <w:rFonts w:ascii="Times New Roman" w:hAnsi="Times New Roman"/>
                <w:sz w:val="24"/>
              </w:rPr>
            </w:pPr>
          </w:p>
          <w:p w14:paraId="40573422" w14:textId="37C0EBE5"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Több eladó részvételével végrehajtott olyan értékpapírosítás esetén, amelyben az intézmény mint értékpapírosítást kezdeményező, szponzor vagy eredeti hitelező vesz részt, az adatszolgáltató intézménynek meg kell adnia a konszolidált csoportján belüli valamennyi olyan intézmény azonosítóját, amely az ügyletben (mint kezdeményező, szponzor vagy eredeti hitelező) részt vesz. Ha kód nem áll rendelkezésre, vagy azt az adatszolgáltató intézmény nem ismeri, akkor az intézmény nevét kell megadni.</w:t>
            </w:r>
          </w:p>
          <w:p w14:paraId="6C77E3FA" w14:textId="77777777" w:rsidR="001B1411" w:rsidRPr="00DA7625" w:rsidRDefault="001B1411">
            <w:pPr>
              <w:autoSpaceDE w:val="0"/>
              <w:autoSpaceDN w:val="0"/>
              <w:adjustRightInd w:val="0"/>
              <w:spacing w:before="0" w:after="0"/>
              <w:rPr>
                <w:rFonts w:ascii="Times New Roman" w:hAnsi="Times New Roman"/>
                <w:sz w:val="24"/>
              </w:rPr>
            </w:pPr>
          </w:p>
          <w:p w14:paraId="4E71CFAD" w14:textId="3E566472"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Több eladó részvételével végrehajtott olyan értékpapírosítás esetén, amelyben az adatszolgáltató intézmény befektetőként pozícióval rendelkezik, az adatszolgáltató intézménynek meg kell adnia az értékpapírosításban részt vevő összes különböző értékpapírosítást kezdeményező azonosítóját, vagy ha az nem áll rendelkezésre, az értékpapírosítást kezdeményezők nevét. Amennyiben az adatszolgáltató intézmény nem ismeri a neveket, az adatszolgáltató intézménynek azt kell feltüntetnie, hogy az értékpapírosítás „több eladó részvételével végrehajtott”.</w:t>
            </w:r>
          </w:p>
          <w:p w14:paraId="7F390260" w14:textId="77777777" w:rsidR="001B1411" w:rsidRPr="00DA7625" w:rsidRDefault="001B1411">
            <w:pPr>
              <w:autoSpaceDE w:val="0"/>
              <w:autoSpaceDN w:val="0"/>
              <w:adjustRightInd w:val="0"/>
              <w:spacing w:before="0" w:after="0"/>
              <w:rPr>
                <w:rFonts w:ascii="Times New Roman" w:hAnsi="Times New Roman"/>
                <w:sz w:val="24"/>
              </w:rPr>
            </w:pPr>
          </w:p>
          <w:p w14:paraId="491D179B" w14:textId="77777777" w:rsidR="001B1411" w:rsidRPr="00DA7625" w:rsidRDefault="001B1411">
            <w:pPr>
              <w:autoSpaceDE w:val="0"/>
              <w:autoSpaceDN w:val="0"/>
              <w:adjustRightInd w:val="0"/>
              <w:spacing w:before="0" w:after="0"/>
              <w:rPr>
                <w:rFonts w:ascii="Times New Roman" w:hAnsi="Times New Roman"/>
                <w:bCs/>
                <w:sz w:val="24"/>
              </w:rPr>
            </w:pPr>
          </w:p>
        </w:tc>
      </w:tr>
      <w:tr w:rsidR="001B1411" w:rsidRPr="00DA7625" w14:paraId="1F46A12A" w14:textId="77777777" w:rsidTr="00E10B85">
        <w:tc>
          <w:tcPr>
            <w:tcW w:w="1101" w:type="dxa"/>
          </w:tcPr>
          <w:p w14:paraId="6005B34C" w14:textId="77777777" w:rsidR="001B1411" w:rsidRPr="00DA7625" w:rsidRDefault="00C55547">
            <w:pPr>
              <w:autoSpaceDE w:val="0"/>
              <w:autoSpaceDN w:val="0"/>
              <w:adjustRightInd w:val="0"/>
              <w:spacing w:before="0" w:after="0"/>
              <w:rPr>
                <w:rFonts w:ascii="Times New Roman" w:hAnsi="Times New Roman"/>
                <w:bCs/>
                <w:sz w:val="24"/>
                <w:highlight w:val="yellow"/>
              </w:rPr>
            </w:pPr>
            <w:r w:rsidRPr="00DA7625">
              <w:rPr>
                <w:rFonts w:ascii="Times New Roman" w:hAnsi="Times New Roman"/>
                <w:bCs/>
                <w:sz w:val="24"/>
              </w:rPr>
              <w:t>040</w:t>
            </w:r>
          </w:p>
        </w:tc>
        <w:tc>
          <w:tcPr>
            <w:tcW w:w="7903" w:type="dxa"/>
          </w:tcPr>
          <w:p w14:paraId="55BC621E"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 xml:space="preserve">ÉRTÉKPAPÍROSÍTÁS TÍPUSA: HAGYOMÁNYOS / SZINTETIKUS / ABCP-PROGRAM / ABCP-ÜGYLET) </w:t>
            </w:r>
          </w:p>
          <w:p w14:paraId="370D0E3D" w14:textId="77777777" w:rsidR="001B1411" w:rsidRPr="00DA7625" w:rsidRDefault="001B1411">
            <w:pPr>
              <w:spacing w:before="0" w:after="0"/>
              <w:jc w:val="left"/>
              <w:rPr>
                <w:rFonts w:ascii="Times New Roman" w:hAnsi="Times New Roman"/>
                <w:sz w:val="24"/>
              </w:rPr>
            </w:pPr>
          </w:p>
          <w:p w14:paraId="0AE7FEDF" w14:textId="77777777" w:rsidR="001B1411" w:rsidRPr="00DA7625" w:rsidRDefault="00E20FAC">
            <w:pPr>
              <w:autoSpaceDE w:val="0"/>
              <w:autoSpaceDN w:val="0"/>
              <w:adjustRightInd w:val="0"/>
              <w:spacing w:before="0" w:after="0"/>
              <w:jc w:val="left"/>
              <w:rPr>
                <w:rFonts w:ascii="Times New Roman" w:hAnsi="Times New Roman"/>
                <w:sz w:val="24"/>
              </w:rPr>
            </w:pPr>
            <w:r w:rsidRPr="00DA7625">
              <w:rPr>
                <w:rFonts w:ascii="Times New Roman" w:hAnsi="Times New Roman"/>
                <w:sz w:val="24"/>
              </w:rPr>
              <w:t>Az intézményeknek a következő rövidítéseket kell feltüntetniük:</w:t>
            </w:r>
            <w:r w:rsidRPr="00DA7625">
              <w:rPr>
                <w:rFonts w:ascii="Times New Roman" w:hAnsi="Times New Roman"/>
                <w:sz w:val="24"/>
              </w:rPr>
              <w:br/>
              <w:t>– „AP”: ABCP-program;</w:t>
            </w:r>
          </w:p>
          <w:p w14:paraId="01297A25"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„AT”: ABCP-ügylet;</w:t>
            </w:r>
          </w:p>
          <w:p w14:paraId="2F3F9BB5"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„T”: hagyományos;</w:t>
            </w:r>
          </w:p>
          <w:p w14:paraId="3645466C"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xml:space="preserve">– „S”: szintetikus. </w:t>
            </w:r>
          </w:p>
          <w:p w14:paraId="1AAB7025" w14:textId="77777777" w:rsidR="001B1411" w:rsidRPr="00DA7625" w:rsidRDefault="001B1411">
            <w:pPr>
              <w:autoSpaceDE w:val="0"/>
              <w:autoSpaceDN w:val="0"/>
              <w:adjustRightInd w:val="0"/>
              <w:spacing w:before="0" w:after="0"/>
              <w:jc w:val="left"/>
              <w:rPr>
                <w:rFonts w:ascii="Times New Roman" w:hAnsi="Times New Roman"/>
                <w:sz w:val="24"/>
              </w:rPr>
            </w:pPr>
          </w:p>
          <w:p w14:paraId="3DFA0193" w14:textId="640EE060"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Az „eszközfedezetű kereskedelmiértékpapír-kibocsátási program”, az „eszközfedezetű kereskedelmiértékpapír-ügylet”, a „hagyományos értékpapírosítás” és a „szintetikus értékpapírosítás” meghatározását a CRR 242. cikkének 11–14. pontja tartalmazza.</w:t>
            </w:r>
          </w:p>
          <w:p w14:paraId="3B1B3ED7" w14:textId="77777777" w:rsidR="001B1411" w:rsidRPr="00DA7625" w:rsidRDefault="001B1411">
            <w:pPr>
              <w:autoSpaceDE w:val="0"/>
              <w:autoSpaceDN w:val="0"/>
              <w:adjustRightInd w:val="0"/>
              <w:spacing w:before="0" w:after="0"/>
              <w:jc w:val="left"/>
              <w:rPr>
                <w:rFonts w:ascii="Times New Roman" w:hAnsi="Times New Roman"/>
                <w:sz w:val="24"/>
              </w:rPr>
            </w:pPr>
          </w:p>
        </w:tc>
      </w:tr>
      <w:tr w:rsidR="001B1411" w:rsidRPr="00DA7625" w14:paraId="38B30F06" w14:textId="77777777" w:rsidTr="00E10B85">
        <w:tc>
          <w:tcPr>
            <w:tcW w:w="1101" w:type="dxa"/>
          </w:tcPr>
          <w:p w14:paraId="73A180AD" w14:textId="77777777" w:rsidR="001B1411" w:rsidRPr="00DA7625" w:rsidRDefault="00C55547">
            <w:pPr>
              <w:autoSpaceDE w:val="0"/>
              <w:autoSpaceDN w:val="0"/>
              <w:adjustRightInd w:val="0"/>
              <w:spacing w:before="0" w:after="0"/>
              <w:rPr>
                <w:rFonts w:ascii="Times New Roman" w:hAnsi="Times New Roman"/>
                <w:bCs/>
                <w:sz w:val="24"/>
                <w:highlight w:val="yellow"/>
              </w:rPr>
            </w:pPr>
            <w:r w:rsidRPr="00DA7625">
              <w:rPr>
                <w:rFonts w:ascii="Times New Roman" w:hAnsi="Times New Roman"/>
                <w:sz w:val="24"/>
              </w:rPr>
              <w:t>051</w:t>
            </w:r>
          </w:p>
        </w:tc>
        <w:tc>
          <w:tcPr>
            <w:tcW w:w="7903" w:type="dxa"/>
          </w:tcPr>
          <w:p w14:paraId="15D26470"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SZÁMVITELI KEZELÉS: AZ ÉRTÉKPAPÍROSÍTOTT KITETTSÉGEK A MÉRLEGBEN MARADNAK, VAGY KIVEZETÉSRE KERÜLNEK?</w:t>
            </w:r>
          </w:p>
          <w:p w14:paraId="4363CC44" w14:textId="77777777" w:rsidR="001B1411" w:rsidRPr="00DA7625" w:rsidRDefault="001B1411">
            <w:pPr>
              <w:autoSpaceDE w:val="0"/>
              <w:autoSpaceDN w:val="0"/>
              <w:adjustRightInd w:val="0"/>
              <w:spacing w:before="0" w:after="0"/>
              <w:jc w:val="left"/>
              <w:rPr>
                <w:rFonts w:ascii="Times New Roman" w:hAnsi="Times New Roman"/>
                <w:sz w:val="24"/>
              </w:rPr>
            </w:pPr>
          </w:p>
          <w:p w14:paraId="66A033A7" w14:textId="77777777" w:rsidR="001B1411" w:rsidRPr="00DA7625" w:rsidRDefault="00784A19">
            <w:pPr>
              <w:autoSpaceDE w:val="0"/>
              <w:autoSpaceDN w:val="0"/>
              <w:adjustRightInd w:val="0"/>
              <w:spacing w:before="0" w:after="0"/>
              <w:jc w:val="left"/>
              <w:rPr>
                <w:rFonts w:ascii="Times New Roman" w:hAnsi="Times New Roman"/>
                <w:sz w:val="24"/>
              </w:rPr>
            </w:pPr>
            <w:r w:rsidRPr="00DA7625">
              <w:rPr>
                <w:rFonts w:ascii="Times New Roman" w:hAnsi="Times New Roman"/>
                <w:sz w:val="24"/>
              </w:rPr>
              <w:t>Az értékpapírosítást kezdeményezőként, szponzorként vagy eredeti hitelezőként eljáró intézmények a következő rövidítések egyikét kötelesek feltüntetni:</w:t>
            </w:r>
          </w:p>
          <w:p w14:paraId="2AEA7D8A" w14:textId="77777777" w:rsidR="001B1411" w:rsidRPr="00DA7625" w:rsidRDefault="00C55547">
            <w:pPr>
              <w:autoSpaceDE w:val="0"/>
              <w:autoSpaceDN w:val="0"/>
              <w:adjustRightInd w:val="0"/>
              <w:spacing w:before="0" w:after="0"/>
              <w:ind w:left="1440" w:hanging="1440"/>
              <w:jc w:val="left"/>
              <w:rPr>
                <w:rFonts w:ascii="Times New Roman" w:hAnsi="Times New Roman"/>
                <w:sz w:val="24"/>
              </w:rPr>
            </w:pPr>
            <w:r w:rsidRPr="00DA7625">
              <w:rPr>
                <w:rFonts w:ascii="Times New Roman" w:hAnsi="Times New Roman"/>
                <w:sz w:val="24"/>
              </w:rPr>
              <w:t>– „K”: teljes megjelenítés;</w:t>
            </w:r>
          </w:p>
          <w:p w14:paraId="00DED1E1"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lastRenderedPageBreak/>
              <w:t>– „P”: részleges kivezetés;</w:t>
            </w:r>
          </w:p>
          <w:p w14:paraId="7F2667CC"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„R”: teljes kivezetés;</w:t>
            </w:r>
          </w:p>
          <w:p w14:paraId="7F68ECC0"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„N”: nem alkalmazható.</w:t>
            </w:r>
          </w:p>
          <w:p w14:paraId="774F7FDA" w14:textId="77777777" w:rsidR="001B1411" w:rsidRPr="00DA7625" w:rsidRDefault="001B1411">
            <w:pPr>
              <w:autoSpaceDE w:val="0"/>
              <w:autoSpaceDN w:val="0"/>
              <w:adjustRightInd w:val="0"/>
              <w:spacing w:before="0" w:after="0"/>
              <w:jc w:val="left"/>
              <w:rPr>
                <w:rFonts w:ascii="Times New Roman" w:hAnsi="Times New Roman"/>
                <w:sz w:val="24"/>
              </w:rPr>
            </w:pPr>
          </w:p>
          <w:p w14:paraId="3FE8C302" w14:textId="2ADA8074"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Az oszlop az ügylet elszámolási módját foglalja össze. A CRR 244. és 245. cikke szerinti jelentős kockázat átruházása nem befolyásolja az ügylet vonatkozó számviteli szabályozás szerinti elszámolását.</w:t>
            </w:r>
          </w:p>
          <w:p w14:paraId="5F8E0475" w14:textId="77777777" w:rsidR="001B1411" w:rsidRPr="00DA7625" w:rsidRDefault="001B1411">
            <w:pPr>
              <w:autoSpaceDE w:val="0"/>
              <w:autoSpaceDN w:val="0"/>
              <w:adjustRightInd w:val="0"/>
              <w:spacing w:before="0" w:after="0"/>
              <w:rPr>
                <w:rFonts w:ascii="Times New Roman" w:hAnsi="Times New Roman"/>
                <w:sz w:val="24"/>
              </w:rPr>
            </w:pPr>
          </w:p>
          <w:p w14:paraId="664DE973" w14:textId="1B7EB95C"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Kötelezettségek értékpapírosítása esetében az értékpapírosítást kezdeményezők az oszlopot nem töltik ki.</w:t>
            </w:r>
          </w:p>
          <w:p w14:paraId="5601BEA9" w14:textId="10C2F9C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A „P” (részleges kivezetés) értéket kell megadni akkor, ha az értékpapírosított eszközöket a mérlegben az adatszolgáltató intézménynek az IFRS 9 3.2.16–3.2.21. bekezdése szerinti folytatódó részvétele mértékéig jelenítik meg.</w:t>
            </w:r>
          </w:p>
          <w:p w14:paraId="1BFC4A17" w14:textId="77777777" w:rsidR="001B1411" w:rsidRPr="00DA7625" w:rsidRDefault="001B1411">
            <w:pPr>
              <w:autoSpaceDE w:val="0"/>
              <w:autoSpaceDN w:val="0"/>
              <w:adjustRightInd w:val="0"/>
              <w:spacing w:before="0" w:after="0"/>
              <w:jc w:val="left"/>
              <w:rPr>
                <w:rFonts w:ascii="Times New Roman" w:hAnsi="Times New Roman"/>
                <w:bCs/>
                <w:sz w:val="24"/>
              </w:rPr>
            </w:pPr>
          </w:p>
        </w:tc>
      </w:tr>
      <w:tr w:rsidR="001B1411" w:rsidRPr="00DA7625" w14:paraId="29433D54" w14:textId="77777777" w:rsidTr="00E10B85">
        <w:tc>
          <w:tcPr>
            <w:tcW w:w="1101" w:type="dxa"/>
          </w:tcPr>
          <w:p w14:paraId="48543BA3" w14:textId="77777777" w:rsidR="001B1411" w:rsidRPr="00DA7625" w:rsidRDefault="00C55547">
            <w:pPr>
              <w:autoSpaceDE w:val="0"/>
              <w:autoSpaceDN w:val="0"/>
              <w:adjustRightInd w:val="0"/>
              <w:spacing w:before="0" w:after="0"/>
              <w:rPr>
                <w:rFonts w:ascii="Times New Roman" w:hAnsi="Times New Roman"/>
                <w:bCs/>
                <w:sz w:val="24"/>
                <w:highlight w:val="yellow"/>
              </w:rPr>
            </w:pPr>
            <w:r w:rsidRPr="00DA7625">
              <w:rPr>
                <w:rFonts w:ascii="Times New Roman" w:hAnsi="Times New Roman"/>
                <w:sz w:val="24"/>
              </w:rPr>
              <w:lastRenderedPageBreak/>
              <w:t>060</w:t>
            </w:r>
          </w:p>
        </w:tc>
        <w:tc>
          <w:tcPr>
            <w:tcW w:w="7903" w:type="dxa"/>
          </w:tcPr>
          <w:p w14:paraId="6280A99D"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A FIZETŐKÉPESSÉG KEZELÉSE: AZ ÉRTÉKPAPÍROSÍTÁSI POZÍCIÓKRA SZAVATOLÓTŐKE-KÖVETELMÉNY VONATKOZIK?</w:t>
            </w:r>
          </w:p>
          <w:p w14:paraId="7CF7DE39" w14:textId="77777777" w:rsidR="001B1411" w:rsidRPr="00DA7625" w:rsidRDefault="001B1411">
            <w:pPr>
              <w:autoSpaceDE w:val="0"/>
              <w:autoSpaceDN w:val="0"/>
              <w:adjustRightInd w:val="0"/>
              <w:spacing w:before="0" w:after="0"/>
              <w:jc w:val="left"/>
              <w:rPr>
                <w:rFonts w:ascii="Times New Roman" w:hAnsi="Times New Roman"/>
                <w:sz w:val="24"/>
              </w:rPr>
            </w:pPr>
          </w:p>
          <w:p w14:paraId="4C152A04"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xml:space="preserve">Kizárólag az értékpapírosítást kezdeményezőknek a következő rövidítéseket kell megadniuk: </w:t>
            </w:r>
          </w:p>
          <w:p w14:paraId="62F9B84A"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„N”: nincs vonatkozó szavatolótőke-követelmény;</w:t>
            </w:r>
          </w:p>
          <w:p w14:paraId="211FCABF"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„B”: banki könyv;</w:t>
            </w:r>
          </w:p>
          <w:p w14:paraId="5BB1CF63"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„T”: kereskedési könyv;</w:t>
            </w:r>
          </w:p>
          <w:p w14:paraId="4F6DE62D"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xml:space="preserve">– „A”: részben mindkét könyv. </w:t>
            </w:r>
          </w:p>
          <w:p w14:paraId="462424B0" w14:textId="77777777" w:rsidR="001B1411" w:rsidRPr="00DA7625" w:rsidRDefault="001B1411">
            <w:pPr>
              <w:autoSpaceDE w:val="0"/>
              <w:autoSpaceDN w:val="0"/>
              <w:adjustRightInd w:val="0"/>
              <w:spacing w:before="0" w:after="0"/>
              <w:jc w:val="left"/>
              <w:rPr>
                <w:rFonts w:ascii="Times New Roman" w:hAnsi="Times New Roman"/>
                <w:sz w:val="24"/>
              </w:rPr>
            </w:pPr>
          </w:p>
          <w:p w14:paraId="73A053B1" w14:textId="22F50868"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A CRR 109., 244. és 245. cikke</w:t>
            </w:r>
          </w:p>
          <w:p w14:paraId="68B7B2BF" w14:textId="77777777" w:rsidR="001B1411" w:rsidRPr="00DA7625" w:rsidRDefault="001B1411">
            <w:pPr>
              <w:autoSpaceDE w:val="0"/>
              <w:autoSpaceDN w:val="0"/>
              <w:adjustRightInd w:val="0"/>
              <w:spacing w:before="0" w:after="0"/>
              <w:rPr>
                <w:rFonts w:ascii="Times New Roman" w:hAnsi="Times New Roman"/>
                <w:sz w:val="24"/>
              </w:rPr>
            </w:pPr>
          </w:p>
          <w:p w14:paraId="6A51368E" w14:textId="2D800E5A"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Az oszlop azt foglalja össze, hogy az értékpapírosítási programot az értékpapírosítást kezdeményező hogyan kezeli a fizetőképesség szempontjából. Azt mutatja, hogy a szavatolótőke-követelmény számítása az értékpapírosított kitettségek vagy az értékpapírosítási pozíciók alapján történik (banki könyv/kereskedési könyv). </w:t>
            </w:r>
          </w:p>
          <w:p w14:paraId="48A6D860" w14:textId="77777777" w:rsidR="001B1411" w:rsidRPr="00DA7625" w:rsidRDefault="001B1411">
            <w:pPr>
              <w:autoSpaceDE w:val="0"/>
              <w:autoSpaceDN w:val="0"/>
              <w:adjustRightInd w:val="0"/>
              <w:spacing w:before="0" w:after="0"/>
              <w:rPr>
                <w:rFonts w:ascii="Times New Roman" w:hAnsi="Times New Roman"/>
                <w:sz w:val="24"/>
              </w:rPr>
            </w:pPr>
          </w:p>
          <w:p w14:paraId="43C7BF34" w14:textId="067CC044" w:rsidR="001B1411" w:rsidRPr="00DA7625" w:rsidRDefault="007F1970">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Ha a szavatolótőke-követelmény alapját </w:t>
            </w:r>
            <w:r w:rsidRPr="00DA7625">
              <w:rPr>
                <w:rFonts w:ascii="Times New Roman" w:hAnsi="Times New Roman"/>
                <w:i/>
                <w:sz w:val="24"/>
              </w:rPr>
              <w:t>értékpapírosított kitettségek</w:t>
            </w:r>
            <w:r w:rsidRPr="00DA7625">
              <w:rPr>
                <w:rFonts w:ascii="Times New Roman" w:hAnsi="Times New Roman"/>
                <w:sz w:val="24"/>
              </w:rPr>
              <w:t xml:space="preserve"> képezik (vagyis jelentős kockázat átruházására </w:t>
            </w:r>
            <w:r w:rsidRPr="00DA7625">
              <w:rPr>
                <w:rFonts w:ascii="Times New Roman" w:hAnsi="Times New Roman"/>
                <w:sz w:val="24"/>
                <w:highlight w:val="cyan"/>
              </w:rPr>
              <w:t>nem</w:t>
            </w:r>
            <w:r w:rsidRPr="00DA7625">
              <w:rPr>
                <w:rFonts w:ascii="Times New Roman" w:hAnsi="Times New Roman"/>
                <w:sz w:val="24"/>
              </w:rPr>
              <w:t xml:space="preserve"> </w:t>
            </w:r>
            <w:r w:rsidRPr="00DA7625">
              <w:rPr>
                <w:rFonts w:ascii="Times New Roman" w:hAnsi="Times New Roman"/>
                <w:sz w:val="24"/>
                <w:highlight w:val="cyan"/>
              </w:rPr>
              <w:t>kerül sor)</w:t>
            </w:r>
            <w:r w:rsidRPr="00DA7625">
              <w:rPr>
                <w:rFonts w:ascii="Times New Roman" w:hAnsi="Times New Roman"/>
                <w:sz w:val="24"/>
              </w:rPr>
              <w:t>, akkor a hitelkockázat szavatolótőke-követelményének kiszámítását az intézmény a CR SA táblán tünteti fel azon értékpapírosított kitettségek esetén, amelyeknél a sztenderd módszert alkalmazza, a CR IRB táblán pedig azon értékpapírosított kitettségek esetén, amelyeknél a belső minősítésen alapuló módszert alkalmazza.</w:t>
            </w:r>
          </w:p>
          <w:p w14:paraId="60FF100C" w14:textId="77777777" w:rsidR="001B1411" w:rsidRPr="00DA7625" w:rsidRDefault="001B1411">
            <w:pPr>
              <w:autoSpaceDE w:val="0"/>
              <w:autoSpaceDN w:val="0"/>
              <w:adjustRightInd w:val="0"/>
              <w:spacing w:before="0" w:after="0"/>
              <w:rPr>
                <w:rFonts w:ascii="Times New Roman" w:hAnsi="Times New Roman"/>
                <w:sz w:val="24"/>
              </w:rPr>
            </w:pPr>
          </w:p>
          <w:p w14:paraId="34177440" w14:textId="172C5459"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Ugyanakkor, ha a szavatolótőke-követelmény alapját </w:t>
            </w:r>
            <w:r w:rsidRPr="00DA7625">
              <w:rPr>
                <w:rFonts w:ascii="Times New Roman" w:hAnsi="Times New Roman"/>
                <w:i/>
                <w:sz w:val="24"/>
              </w:rPr>
              <w:t>a banki könyvben nyilvántartott értékpapírosítási pozíciók</w:t>
            </w:r>
            <w:r w:rsidRPr="00DA7625">
              <w:rPr>
                <w:rFonts w:ascii="Times New Roman" w:hAnsi="Times New Roman"/>
                <w:sz w:val="24"/>
              </w:rPr>
              <w:t xml:space="preserve"> képezik (jelentős kockázat átruházására kerül sor), akkor a hitelkockázat szavatolótőke-követelményének kiszámítására vonatkozó információt az intézmény a CR SEC táblán adja meg. A </w:t>
            </w:r>
            <w:r w:rsidRPr="00DA7625">
              <w:rPr>
                <w:rFonts w:ascii="Times New Roman" w:hAnsi="Times New Roman"/>
                <w:i/>
                <w:sz w:val="24"/>
              </w:rPr>
              <w:t>kereskedési könyvben nyilvántartott értékpapírosítási pozíciók</w:t>
            </w:r>
            <w:r w:rsidRPr="00DA7625">
              <w:rPr>
                <w:rFonts w:ascii="Times New Roman" w:hAnsi="Times New Roman"/>
                <w:sz w:val="24"/>
              </w:rPr>
              <w:t xml:space="preserve"> esetében a piaci kockázat szavatolótőke-követelményének kiszámítására vonatkozó információt az MKR SA TDI (sztenderd módszer szerinti általános pozíciókockázat), az MKR SA SEC vagy MKR SA CTP (sztenderd módszer szerinti egyedi pozíciókockázat), vagy az MKR IM (belső modellek) táblán kell feltüntetni.</w:t>
            </w:r>
          </w:p>
          <w:p w14:paraId="02D39791"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Kötelezettségek értékpapírosítása esetében az értékpapírosítást kezdeményezők az oszlopot nem töltik ki.</w:t>
            </w:r>
          </w:p>
          <w:p w14:paraId="0A6A40C3" w14:textId="77777777" w:rsidR="001B1411" w:rsidRPr="00DA7625" w:rsidRDefault="001B1411">
            <w:pPr>
              <w:autoSpaceDE w:val="0"/>
              <w:autoSpaceDN w:val="0"/>
              <w:adjustRightInd w:val="0"/>
              <w:spacing w:before="0" w:after="0"/>
              <w:jc w:val="left"/>
              <w:rPr>
                <w:rFonts w:ascii="Times New Roman" w:hAnsi="Times New Roman"/>
                <w:bCs/>
                <w:sz w:val="24"/>
              </w:rPr>
            </w:pPr>
          </w:p>
        </w:tc>
      </w:tr>
      <w:tr w:rsidR="001B1411" w:rsidRPr="00DA7625" w14:paraId="083C831B" w14:textId="77777777" w:rsidTr="00E10B85">
        <w:tc>
          <w:tcPr>
            <w:tcW w:w="1101" w:type="dxa"/>
          </w:tcPr>
          <w:p w14:paraId="13948ABD"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061</w:t>
            </w:r>
          </w:p>
        </w:tc>
        <w:tc>
          <w:tcPr>
            <w:tcW w:w="7903" w:type="dxa"/>
          </w:tcPr>
          <w:p w14:paraId="449B26F9"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JELENTŐS KOCKÁZATÁTRUHÁZÁS</w:t>
            </w:r>
          </w:p>
          <w:p w14:paraId="0F330A65"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34227E16"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Kizárólag az értékpapírosítást kezdeményezőknek a következő rövidítéseket kell megadniuk:</w:t>
            </w:r>
          </w:p>
          <w:p w14:paraId="2A4BF114" w14:textId="1AACA603"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„N”: a jelentős kockázatátruházásra nem alkalmazandó, és az adatszolgáltató intézmény kockázati súlyt alkalmaz az értékpapírosított kitettségeire;</w:t>
            </w:r>
          </w:p>
          <w:p w14:paraId="3E6C5300" w14:textId="0D21DE8D"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„A”: megvalósított SRT a CRR 244. cikke (2) bekezdésének a) pontja vagy 245. cikke (2) bekezdésének a) pontja szerint;</w:t>
            </w:r>
          </w:p>
          <w:p w14:paraId="5CB8EC75" w14:textId="39B63EB9"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„B”: megvalósított SRT a CRR 244. cikke (2) bekezdésének b) pontja vagy 245. cikke (2) bekezdésének b) pontja szerint;</w:t>
            </w:r>
          </w:p>
          <w:p w14:paraId="3D542CF4" w14:textId="71196BBB"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„C”: megvalósított SRT a CRR 244. cikke (3) bekezdésének a) pontja vagy 245. cikke (3) bekezdésének a) pontja szerint;</w:t>
            </w:r>
          </w:p>
          <w:p w14:paraId="614D6E6C" w14:textId="4C4419BF"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„D”: 1 250 %-os kockázati súly alkalmazása vagy a megtartott pozíciók levonása a CRR 244. cikke (1) bekezdésének b) pontjával vagy 245. cikke (1) bekezdésének b) pontjával összhangban.</w:t>
            </w:r>
          </w:p>
          <w:p w14:paraId="729200A5" w14:textId="77777777" w:rsidR="001B1411" w:rsidRPr="00DA7625" w:rsidRDefault="001B1411">
            <w:pPr>
              <w:autoSpaceDE w:val="0"/>
              <w:autoSpaceDN w:val="0"/>
              <w:adjustRightInd w:val="0"/>
              <w:spacing w:before="0" w:after="0"/>
              <w:jc w:val="left"/>
              <w:rPr>
                <w:rFonts w:ascii="Times New Roman" w:hAnsi="Times New Roman"/>
                <w:sz w:val="24"/>
              </w:rPr>
            </w:pPr>
          </w:p>
          <w:p w14:paraId="662FAADB" w14:textId="33649DA4"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highlight w:val="yellow"/>
              </w:rPr>
              <w:t>Ez az oszlop összefoglalja, hogy történt-e jelentős átruházás, és ha igen, milyen módon. A megvalósított jelentős kockázatátruházás meghatározza az értékpapírosítást kezdeményező megfelelő fizetőképesség-kezelését.</w:t>
            </w:r>
          </w:p>
          <w:p w14:paraId="4DBA8992" w14:textId="77777777" w:rsidR="001B1411" w:rsidRPr="00DA7625" w:rsidRDefault="001B1411">
            <w:pPr>
              <w:spacing w:before="0" w:after="0"/>
              <w:jc w:val="left"/>
              <w:rPr>
                <w:sz w:val="24"/>
              </w:rPr>
            </w:pPr>
          </w:p>
        </w:tc>
      </w:tr>
      <w:tr w:rsidR="001B1411" w:rsidRPr="00DA7625" w14:paraId="73D0A23B" w14:textId="77777777" w:rsidTr="00E10B85">
        <w:tc>
          <w:tcPr>
            <w:tcW w:w="1101" w:type="dxa"/>
          </w:tcPr>
          <w:p w14:paraId="147E46DA"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070</w:t>
            </w:r>
          </w:p>
        </w:tc>
        <w:tc>
          <w:tcPr>
            <w:tcW w:w="7903" w:type="dxa"/>
          </w:tcPr>
          <w:p w14:paraId="4B70DAD5"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ÉRTÉKPAPÍROSÍTÁS VAGY ÚJRA-ÉRTÉKPAPÍROSÍTÁS?</w:t>
            </w:r>
          </w:p>
          <w:p w14:paraId="4387FBB7" w14:textId="77777777" w:rsidR="001B1411" w:rsidRPr="00DA7625" w:rsidRDefault="001B1411">
            <w:pPr>
              <w:autoSpaceDE w:val="0"/>
              <w:autoSpaceDN w:val="0"/>
              <w:adjustRightInd w:val="0"/>
              <w:spacing w:before="0" w:after="0"/>
              <w:jc w:val="left"/>
              <w:rPr>
                <w:rFonts w:ascii="Times New Roman" w:hAnsi="Times New Roman"/>
                <w:sz w:val="24"/>
              </w:rPr>
            </w:pPr>
          </w:p>
          <w:p w14:paraId="52D06941" w14:textId="2E0F57E3" w:rsidR="001B1411" w:rsidRPr="00DA7625" w:rsidRDefault="00BB22D4">
            <w:pPr>
              <w:autoSpaceDE w:val="0"/>
              <w:autoSpaceDN w:val="0"/>
              <w:adjustRightInd w:val="0"/>
              <w:spacing w:before="0" w:after="0"/>
              <w:jc w:val="left"/>
              <w:rPr>
                <w:rFonts w:ascii="Times New Roman" w:hAnsi="Times New Roman"/>
                <w:sz w:val="24"/>
              </w:rPr>
            </w:pPr>
            <w:r w:rsidRPr="00DA7625">
              <w:rPr>
                <w:rFonts w:ascii="Times New Roman" w:hAnsi="Times New Roman"/>
                <w:sz w:val="24"/>
              </w:rPr>
              <w:t>Az értékpapírosítás fogalmának a CRR 4. cikke (1) bekezdésének 61. és az újra-értékpapírosítás fogalmának a CRR 4. cikke (1) bekezdésének 64. pontjában foglalt meghatározása szerint az alábbi rövidítésekkel meg kell adni az alapul szolgáló értékpapírok típusát:</w:t>
            </w:r>
          </w:p>
          <w:p w14:paraId="2062D149"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„S”: értékpapírosítás;</w:t>
            </w:r>
          </w:p>
          <w:p w14:paraId="0A039BDD"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„R”: újra-értékpapírosítás.</w:t>
            </w:r>
          </w:p>
          <w:p w14:paraId="477F258E" w14:textId="77777777" w:rsidR="001B1411" w:rsidRPr="00DA7625" w:rsidRDefault="001B1411">
            <w:pPr>
              <w:spacing w:before="0" w:after="0"/>
              <w:jc w:val="left"/>
              <w:rPr>
                <w:rFonts w:ascii="Times New Roman" w:hAnsi="Times New Roman"/>
                <w:b/>
                <w:sz w:val="24"/>
                <w:u w:val="single"/>
              </w:rPr>
            </w:pPr>
          </w:p>
        </w:tc>
      </w:tr>
      <w:tr w:rsidR="001B1411" w:rsidRPr="00DA7625" w14:paraId="1B9412A4" w14:textId="77777777" w:rsidTr="00E10B85">
        <w:tc>
          <w:tcPr>
            <w:tcW w:w="1101" w:type="dxa"/>
          </w:tcPr>
          <w:p w14:paraId="25ECB5FC"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075</w:t>
            </w:r>
          </w:p>
        </w:tc>
        <w:tc>
          <w:tcPr>
            <w:tcW w:w="7903" w:type="dxa"/>
          </w:tcPr>
          <w:p w14:paraId="050E4477" w14:textId="77777777" w:rsidR="001B1411" w:rsidRPr="00DA7625" w:rsidRDefault="00C55547">
            <w:pPr>
              <w:tabs>
                <w:tab w:val="left" w:pos="3274"/>
              </w:tabs>
              <w:spacing w:before="0" w:after="0"/>
              <w:jc w:val="left"/>
              <w:rPr>
                <w:rFonts w:ascii="Times New Roman" w:hAnsi="Times New Roman"/>
                <w:b/>
                <w:sz w:val="24"/>
                <w:u w:val="single"/>
              </w:rPr>
            </w:pPr>
            <w:r w:rsidRPr="00DA7625">
              <w:rPr>
                <w:rFonts w:ascii="Times New Roman" w:hAnsi="Times New Roman"/>
                <w:b/>
                <w:sz w:val="24"/>
                <w:u w:val="single"/>
              </w:rPr>
              <w:t>STS ÉRTÉKPAPÍROSÍTÁS</w:t>
            </w:r>
          </w:p>
          <w:p w14:paraId="0F653A63" w14:textId="77777777" w:rsidR="001B1411" w:rsidRPr="00DA7625" w:rsidRDefault="001B1411">
            <w:pPr>
              <w:spacing w:before="0" w:after="0"/>
              <w:jc w:val="left"/>
              <w:rPr>
                <w:rFonts w:ascii="Times New Roman" w:hAnsi="Times New Roman"/>
                <w:sz w:val="24"/>
              </w:rPr>
            </w:pPr>
          </w:p>
          <w:p w14:paraId="397DA170" w14:textId="77777777" w:rsidR="001B1411" w:rsidRPr="00DA7625" w:rsidRDefault="00C55547">
            <w:pPr>
              <w:spacing w:before="0" w:after="0"/>
              <w:jc w:val="left"/>
              <w:rPr>
                <w:rFonts w:ascii="Times New Roman" w:hAnsi="Times New Roman"/>
                <w:sz w:val="24"/>
              </w:rPr>
            </w:pPr>
            <w:r w:rsidRPr="00DA7625">
              <w:rPr>
                <w:rFonts w:ascii="Times New Roman" w:hAnsi="Times New Roman"/>
                <w:sz w:val="24"/>
              </w:rPr>
              <w:t>Az (EU) 2017/2402 rendelet 18. cikke</w:t>
            </w:r>
          </w:p>
          <w:p w14:paraId="23A70561" w14:textId="77777777" w:rsidR="001B1411" w:rsidRPr="00DA7625" w:rsidRDefault="001B1411">
            <w:pPr>
              <w:spacing w:before="0" w:after="0"/>
              <w:jc w:val="left"/>
              <w:rPr>
                <w:rFonts w:ascii="Times New Roman" w:hAnsi="Times New Roman"/>
                <w:sz w:val="24"/>
              </w:rPr>
            </w:pPr>
          </w:p>
          <w:p w14:paraId="59861CD9" w14:textId="77777777" w:rsidR="001B1411" w:rsidRPr="00DA7625" w:rsidRDefault="00C55547">
            <w:pPr>
              <w:spacing w:before="0" w:after="0"/>
              <w:jc w:val="left"/>
              <w:rPr>
                <w:rFonts w:ascii="Times New Roman" w:hAnsi="Times New Roman"/>
                <w:sz w:val="24"/>
              </w:rPr>
            </w:pPr>
            <w:r w:rsidRPr="00DA7625">
              <w:rPr>
                <w:rFonts w:ascii="Times New Roman" w:hAnsi="Times New Roman"/>
                <w:sz w:val="24"/>
              </w:rPr>
              <w:t>A következő rövidítések egyikét kell megadni:</w:t>
            </w:r>
          </w:p>
          <w:p w14:paraId="090D9D08" w14:textId="77777777" w:rsidR="001B1411" w:rsidRPr="00DA7625" w:rsidRDefault="00C55547">
            <w:pPr>
              <w:spacing w:before="0" w:after="0"/>
              <w:jc w:val="left"/>
              <w:rPr>
                <w:rFonts w:ascii="Times New Roman" w:hAnsi="Times New Roman"/>
                <w:sz w:val="24"/>
              </w:rPr>
            </w:pPr>
            <w:r w:rsidRPr="00DA7625">
              <w:rPr>
                <w:rFonts w:ascii="Times New Roman" w:hAnsi="Times New Roman"/>
                <w:sz w:val="24"/>
              </w:rPr>
              <w:t>Y – igen</w:t>
            </w:r>
          </w:p>
          <w:p w14:paraId="6A4DFA78" w14:textId="77777777" w:rsidR="001B1411" w:rsidRPr="00DA7625" w:rsidRDefault="00C55547">
            <w:pPr>
              <w:spacing w:before="0" w:after="0"/>
              <w:jc w:val="left"/>
              <w:rPr>
                <w:rFonts w:ascii="Times New Roman" w:hAnsi="Times New Roman"/>
                <w:sz w:val="24"/>
              </w:rPr>
            </w:pPr>
            <w:r w:rsidRPr="00DA7625">
              <w:rPr>
                <w:rFonts w:ascii="Times New Roman" w:hAnsi="Times New Roman"/>
                <w:sz w:val="24"/>
              </w:rPr>
              <w:t>N – nem</w:t>
            </w:r>
          </w:p>
          <w:p w14:paraId="4C8EC122" w14:textId="77777777" w:rsidR="001B1411" w:rsidRPr="00DA7625" w:rsidRDefault="001B1411">
            <w:pPr>
              <w:spacing w:before="0" w:after="0"/>
              <w:jc w:val="left"/>
              <w:rPr>
                <w:rFonts w:ascii="Times New Roman" w:hAnsi="Times New Roman"/>
                <w:b/>
                <w:sz w:val="24"/>
                <w:u w:val="single"/>
              </w:rPr>
            </w:pPr>
          </w:p>
        </w:tc>
      </w:tr>
      <w:tr w:rsidR="001B1411" w:rsidRPr="00DA7625" w14:paraId="5C84F17B" w14:textId="77777777" w:rsidTr="00E10B85">
        <w:tc>
          <w:tcPr>
            <w:tcW w:w="1101" w:type="dxa"/>
          </w:tcPr>
          <w:p w14:paraId="1A9BD687"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446</w:t>
            </w:r>
          </w:p>
        </w:tc>
        <w:tc>
          <w:tcPr>
            <w:tcW w:w="7903" w:type="dxa"/>
          </w:tcPr>
          <w:p w14:paraId="6781AE51"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DIFFERENCIÁLT TŐKEKÖVETELMÉNY-MEGÁLLAPÍTÁSRA JOGOSULT ÉRTÉKPAPÍROSÍTÁS</w:t>
            </w:r>
          </w:p>
          <w:p w14:paraId="750938E2" w14:textId="77777777" w:rsidR="001B1411" w:rsidRPr="00DA7625" w:rsidRDefault="001B1411">
            <w:pPr>
              <w:spacing w:before="0" w:after="0"/>
              <w:jc w:val="left"/>
              <w:rPr>
                <w:rFonts w:ascii="Times New Roman" w:hAnsi="Times New Roman"/>
                <w:sz w:val="24"/>
              </w:rPr>
            </w:pPr>
          </w:p>
          <w:p w14:paraId="7DD81FAC" w14:textId="1DAB758F" w:rsidR="001B1411" w:rsidRPr="00DA7625" w:rsidRDefault="00C55547">
            <w:pPr>
              <w:spacing w:before="0" w:after="0"/>
              <w:jc w:val="left"/>
              <w:rPr>
                <w:rFonts w:ascii="Times New Roman" w:hAnsi="Times New Roman"/>
                <w:sz w:val="24"/>
              </w:rPr>
            </w:pPr>
            <w:r w:rsidRPr="00DA7625">
              <w:rPr>
                <w:rFonts w:ascii="Times New Roman" w:hAnsi="Times New Roman"/>
                <w:sz w:val="24"/>
              </w:rPr>
              <w:t>A CRR 243. és 270. cikke</w:t>
            </w:r>
          </w:p>
          <w:p w14:paraId="67440723" w14:textId="77777777" w:rsidR="001B1411" w:rsidRPr="00DA7625" w:rsidRDefault="001B1411">
            <w:pPr>
              <w:spacing w:before="0" w:after="0"/>
              <w:jc w:val="left"/>
              <w:rPr>
                <w:rFonts w:ascii="Times New Roman" w:hAnsi="Times New Roman"/>
                <w:sz w:val="24"/>
              </w:rPr>
            </w:pPr>
          </w:p>
          <w:p w14:paraId="37D2BB15" w14:textId="77777777" w:rsidR="001B1411" w:rsidRPr="00DA7625" w:rsidRDefault="00EE2BEA">
            <w:pPr>
              <w:spacing w:before="0" w:after="0"/>
              <w:jc w:val="left"/>
              <w:rPr>
                <w:rFonts w:ascii="Times New Roman" w:hAnsi="Times New Roman"/>
                <w:sz w:val="24"/>
              </w:rPr>
            </w:pPr>
            <w:r w:rsidRPr="00DA7625">
              <w:rPr>
                <w:rFonts w:ascii="Times New Roman" w:hAnsi="Times New Roman"/>
                <w:sz w:val="24"/>
              </w:rPr>
              <w:t>Az intézményeknek a következő rövidítések egyikét kell feltüntetniük:</w:t>
            </w:r>
          </w:p>
          <w:p w14:paraId="2A5FE7A7" w14:textId="77777777" w:rsidR="001B1411" w:rsidRPr="00DA7625" w:rsidRDefault="00C55547">
            <w:pPr>
              <w:spacing w:before="0" w:after="0"/>
              <w:jc w:val="left"/>
              <w:rPr>
                <w:rFonts w:ascii="Times New Roman" w:hAnsi="Times New Roman"/>
                <w:sz w:val="24"/>
              </w:rPr>
            </w:pPr>
            <w:r w:rsidRPr="00DA7625">
              <w:rPr>
                <w:rFonts w:ascii="Times New Roman" w:hAnsi="Times New Roman"/>
                <w:sz w:val="24"/>
              </w:rPr>
              <w:t>Y</w:t>
            </w:r>
            <w:r w:rsidRPr="00DA7625">
              <w:rPr>
                <w:rFonts w:ascii="Times New Roman" w:hAnsi="Times New Roman"/>
                <w:sz w:val="24"/>
              </w:rPr>
              <w:tab/>
              <w:t>– igen</w:t>
            </w:r>
          </w:p>
          <w:p w14:paraId="3C46AF09" w14:textId="77777777" w:rsidR="001B1411" w:rsidRPr="00DA7625" w:rsidRDefault="00C55547">
            <w:pPr>
              <w:spacing w:before="0" w:after="0"/>
              <w:jc w:val="left"/>
              <w:rPr>
                <w:rFonts w:ascii="Times New Roman" w:hAnsi="Times New Roman"/>
                <w:sz w:val="24"/>
              </w:rPr>
            </w:pPr>
            <w:r w:rsidRPr="00DA7625">
              <w:rPr>
                <w:rFonts w:ascii="Times New Roman" w:hAnsi="Times New Roman"/>
                <w:sz w:val="24"/>
              </w:rPr>
              <w:t>N</w:t>
            </w:r>
            <w:r w:rsidRPr="00DA7625">
              <w:rPr>
                <w:rFonts w:ascii="Times New Roman" w:hAnsi="Times New Roman"/>
                <w:sz w:val="24"/>
              </w:rPr>
              <w:tab/>
              <w:t>– nem</w:t>
            </w:r>
          </w:p>
          <w:p w14:paraId="7EB5BD0A" w14:textId="77777777" w:rsidR="001B1411" w:rsidRPr="00DA7625" w:rsidRDefault="001B1411">
            <w:pPr>
              <w:spacing w:before="0" w:after="0"/>
              <w:jc w:val="left"/>
              <w:rPr>
                <w:rFonts w:ascii="Times New Roman" w:hAnsi="Times New Roman"/>
                <w:b/>
                <w:sz w:val="24"/>
                <w:u w:val="single"/>
              </w:rPr>
            </w:pPr>
          </w:p>
          <w:p w14:paraId="1D22217F" w14:textId="3776B295" w:rsidR="001B1411" w:rsidRPr="00DA7625" w:rsidRDefault="00C55547">
            <w:pPr>
              <w:spacing w:before="0" w:after="0"/>
              <w:jc w:val="left"/>
              <w:rPr>
                <w:rFonts w:ascii="Times New Roman" w:hAnsi="Times New Roman"/>
                <w:sz w:val="24"/>
              </w:rPr>
            </w:pPr>
            <w:r w:rsidRPr="00DA7625">
              <w:rPr>
                <w:rFonts w:ascii="Times New Roman" w:hAnsi="Times New Roman"/>
                <w:sz w:val="24"/>
              </w:rPr>
              <w:t xml:space="preserve">„igen” értéket kell feltüntetni mind a CRR 243. cikke szerint differenciált tőkekövetelmény-megállapításra jogosult STS értékpapírosítások, mind a CRR 270. </w:t>
            </w:r>
            <w:r w:rsidRPr="00DA7625">
              <w:rPr>
                <w:rFonts w:ascii="Times New Roman" w:hAnsi="Times New Roman"/>
                <w:sz w:val="24"/>
              </w:rPr>
              <w:lastRenderedPageBreak/>
              <w:t>cikke szerint differenciált tőkekövetelmény-megállapításra jogosult (nem STS) kkv-értékpapírosításokban lévő előresorolt pozíciók esetében.</w:t>
            </w:r>
          </w:p>
          <w:p w14:paraId="416BB82A" w14:textId="77777777" w:rsidR="001B1411" w:rsidRPr="00DA7625" w:rsidRDefault="001B1411">
            <w:pPr>
              <w:tabs>
                <w:tab w:val="left" w:pos="3274"/>
              </w:tabs>
              <w:spacing w:before="0" w:after="0"/>
              <w:jc w:val="left"/>
              <w:rPr>
                <w:rFonts w:ascii="Times New Roman" w:hAnsi="Times New Roman"/>
                <w:b/>
                <w:sz w:val="24"/>
                <w:u w:val="single"/>
              </w:rPr>
            </w:pPr>
          </w:p>
        </w:tc>
      </w:tr>
      <w:tr w:rsidR="001B1411" w:rsidRPr="00DA7625" w14:paraId="2D795827" w14:textId="77777777" w:rsidTr="00E10B85">
        <w:tc>
          <w:tcPr>
            <w:tcW w:w="1101" w:type="dxa"/>
          </w:tcPr>
          <w:p w14:paraId="7330EDCC" w14:textId="77777777" w:rsidR="001B1411" w:rsidRPr="00DA7625" w:rsidRDefault="00C55547">
            <w:pPr>
              <w:autoSpaceDE w:val="0"/>
              <w:autoSpaceDN w:val="0"/>
              <w:adjustRightInd w:val="0"/>
              <w:spacing w:before="0" w:after="0"/>
              <w:rPr>
                <w:rFonts w:ascii="Times New Roman" w:hAnsi="Times New Roman"/>
                <w:sz w:val="24"/>
                <w:highlight w:val="yellow"/>
              </w:rPr>
            </w:pPr>
            <w:r w:rsidRPr="00DA7625">
              <w:rPr>
                <w:rFonts w:ascii="Times New Roman" w:hAnsi="Times New Roman"/>
                <w:sz w:val="24"/>
              </w:rPr>
              <w:lastRenderedPageBreak/>
              <w:t>080–100</w:t>
            </w:r>
          </w:p>
        </w:tc>
        <w:tc>
          <w:tcPr>
            <w:tcW w:w="7903" w:type="dxa"/>
          </w:tcPr>
          <w:p w14:paraId="371F9D73" w14:textId="77777777" w:rsidR="001B1411" w:rsidRPr="00DA7625" w:rsidRDefault="00C55547">
            <w:pPr>
              <w:spacing w:before="0" w:after="0"/>
              <w:jc w:val="left"/>
              <w:rPr>
                <w:rFonts w:ascii="Times New Roman" w:hAnsi="Times New Roman"/>
                <w:sz w:val="24"/>
              </w:rPr>
            </w:pPr>
            <w:r w:rsidRPr="00DA7625">
              <w:rPr>
                <w:rFonts w:ascii="Times New Roman" w:hAnsi="Times New Roman"/>
                <w:b/>
                <w:sz w:val="24"/>
                <w:u w:val="single"/>
              </w:rPr>
              <w:t>MEGTARTOTT ÉRDEKELTSÉGEK</w:t>
            </w:r>
          </w:p>
          <w:p w14:paraId="52E825CF" w14:textId="77777777" w:rsidR="001B1411" w:rsidRPr="00DA7625" w:rsidRDefault="001B1411">
            <w:pPr>
              <w:spacing w:before="0" w:after="0"/>
              <w:rPr>
                <w:rFonts w:ascii="Times New Roman" w:hAnsi="Times New Roman"/>
                <w:sz w:val="24"/>
              </w:rPr>
            </w:pPr>
          </w:p>
          <w:p w14:paraId="2EFF58A8" w14:textId="2F606CA7" w:rsidR="001B1411" w:rsidRPr="00DA7625" w:rsidRDefault="00C55547">
            <w:pPr>
              <w:spacing w:before="0" w:after="0"/>
              <w:rPr>
                <w:rFonts w:ascii="Times New Roman" w:hAnsi="Times New Roman"/>
                <w:sz w:val="24"/>
              </w:rPr>
            </w:pPr>
            <w:r w:rsidRPr="00DA7625">
              <w:rPr>
                <w:rFonts w:ascii="Times New Roman" w:hAnsi="Times New Roman"/>
                <w:sz w:val="24"/>
              </w:rPr>
              <w:t xml:space="preserve">Az (EU) 2017/2402 rendelet 6. cikke. Amennyiben az (EU) 2017/2402 rendelet 43. cikkének (6) bekezdése alkalmazandó, a CRR 2018. december 31-én hatályos változatának 405. cikkét kell alkalmazni. </w:t>
            </w:r>
          </w:p>
          <w:p w14:paraId="14F8F26F" w14:textId="77777777" w:rsidR="001B1411" w:rsidRPr="00DA7625" w:rsidRDefault="001B1411">
            <w:pPr>
              <w:spacing w:before="0" w:after="0"/>
              <w:jc w:val="left"/>
              <w:rPr>
                <w:rFonts w:ascii="Times New Roman" w:hAnsi="Times New Roman"/>
                <w:sz w:val="24"/>
              </w:rPr>
            </w:pPr>
          </w:p>
        </w:tc>
      </w:tr>
      <w:tr w:rsidR="001B1411" w:rsidRPr="00DA7625" w14:paraId="2129CABA" w14:textId="77777777" w:rsidTr="00E10B85">
        <w:tc>
          <w:tcPr>
            <w:tcW w:w="1101" w:type="dxa"/>
          </w:tcPr>
          <w:p w14:paraId="2337A31E" w14:textId="77777777" w:rsidR="001B1411" w:rsidRPr="00DA7625" w:rsidRDefault="00C55547">
            <w:pPr>
              <w:autoSpaceDE w:val="0"/>
              <w:autoSpaceDN w:val="0"/>
              <w:adjustRightInd w:val="0"/>
              <w:spacing w:before="0" w:after="0"/>
              <w:rPr>
                <w:rFonts w:ascii="Times New Roman" w:hAnsi="Times New Roman"/>
                <w:bCs/>
                <w:sz w:val="24"/>
                <w:highlight w:val="yellow"/>
              </w:rPr>
            </w:pPr>
            <w:r w:rsidRPr="00DA7625">
              <w:rPr>
                <w:rFonts w:ascii="Times New Roman" w:hAnsi="Times New Roman"/>
                <w:bCs/>
                <w:sz w:val="24"/>
              </w:rPr>
              <w:t>080</w:t>
            </w:r>
          </w:p>
        </w:tc>
        <w:tc>
          <w:tcPr>
            <w:tcW w:w="7903" w:type="dxa"/>
          </w:tcPr>
          <w:p w14:paraId="28796C4C"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AZ ÉRDEKELTSÉG MEGTARTÁSÁNAK MÓDJA</w:t>
            </w:r>
          </w:p>
          <w:p w14:paraId="553C7481" w14:textId="77777777" w:rsidR="001B1411" w:rsidRPr="00DA7625" w:rsidRDefault="001B1411">
            <w:pPr>
              <w:spacing w:before="0" w:after="0"/>
              <w:jc w:val="left"/>
              <w:rPr>
                <w:rFonts w:ascii="Times New Roman" w:hAnsi="Times New Roman"/>
                <w:sz w:val="24"/>
              </w:rPr>
            </w:pPr>
          </w:p>
          <w:p w14:paraId="0B4E4AFD" w14:textId="77777777" w:rsidR="001B1411" w:rsidRPr="00DA7625" w:rsidRDefault="00C55547">
            <w:pPr>
              <w:spacing w:before="0" w:after="0"/>
              <w:rPr>
                <w:rFonts w:ascii="Times New Roman" w:hAnsi="Times New Roman"/>
                <w:sz w:val="24"/>
              </w:rPr>
            </w:pPr>
            <w:r w:rsidRPr="00DA7625">
              <w:rPr>
                <w:rFonts w:ascii="Times New Roman" w:hAnsi="Times New Roman"/>
                <w:sz w:val="24"/>
              </w:rPr>
              <w:t>Minden egyes kezdeményezett értékpapírosítási programnál fel kell tüntetni a nettó gazdasági érdekeltség megtartásának módját az (EU) 2017/2402 rendelet 6. cikke alapján:</w:t>
            </w:r>
          </w:p>
          <w:p w14:paraId="559F8262" w14:textId="77777777" w:rsidR="001B1411" w:rsidRPr="00DA7625" w:rsidRDefault="001B1411">
            <w:pPr>
              <w:spacing w:before="0" w:after="0"/>
              <w:rPr>
                <w:rFonts w:ascii="Times New Roman" w:hAnsi="Times New Roman"/>
                <w:sz w:val="24"/>
              </w:rPr>
            </w:pPr>
          </w:p>
          <w:p w14:paraId="6359C576" w14:textId="77777777" w:rsidR="001B1411" w:rsidRPr="00DA7625" w:rsidRDefault="00C55547">
            <w:pPr>
              <w:spacing w:before="0" w:after="0"/>
              <w:rPr>
                <w:rFonts w:ascii="Times New Roman" w:hAnsi="Times New Roman"/>
                <w:sz w:val="24"/>
              </w:rPr>
            </w:pPr>
            <w:r w:rsidRPr="00DA7625">
              <w:rPr>
                <w:rFonts w:ascii="Times New Roman" w:hAnsi="Times New Roman"/>
                <w:sz w:val="24"/>
              </w:rPr>
              <w:t xml:space="preserve">A – Függőleges szelet (értékpapírosítási pozíciók): </w:t>
            </w:r>
            <w:r w:rsidRPr="00DA7625">
              <w:rPr>
                <w:rFonts w:ascii="Times New Roman" w:hAnsi="Times New Roman"/>
                <w:i/>
                <w:sz w:val="24"/>
              </w:rPr>
              <w:t xml:space="preserve">„a befektetőknek eladott vagy a befektetőkre átruházott minden egyes ügyletrészsorozat névértéke legalább 5 %-ának megtartása.” </w:t>
            </w:r>
          </w:p>
          <w:p w14:paraId="05F9343C" w14:textId="77777777" w:rsidR="001B1411" w:rsidRPr="00DA7625" w:rsidRDefault="001B1411">
            <w:pPr>
              <w:spacing w:before="0" w:after="0"/>
              <w:rPr>
                <w:rFonts w:ascii="Times New Roman" w:hAnsi="Times New Roman"/>
                <w:sz w:val="24"/>
              </w:rPr>
            </w:pPr>
          </w:p>
          <w:p w14:paraId="445598A5" w14:textId="77777777" w:rsidR="001B1411" w:rsidRPr="00DA7625" w:rsidRDefault="00C55547">
            <w:pPr>
              <w:spacing w:before="0" w:after="0"/>
              <w:rPr>
                <w:rFonts w:ascii="Times New Roman" w:hAnsi="Times New Roman"/>
                <w:sz w:val="24"/>
              </w:rPr>
            </w:pPr>
            <w:r w:rsidRPr="00DA7625">
              <w:rPr>
                <w:rFonts w:ascii="Times New Roman" w:hAnsi="Times New Roman"/>
                <w:sz w:val="24"/>
              </w:rPr>
              <w:t>V – Függőleges szelet (értékpapírosított kitettségek): legalább 5 % megtartása</w:t>
            </w:r>
            <w:r w:rsidRPr="00DA7625">
              <w:rPr>
                <w:rFonts w:ascii="Times New Roman" w:hAnsi="Times New Roman"/>
                <w:i/>
                <w:sz w:val="24"/>
              </w:rPr>
              <w:t xml:space="preserve"> </w:t>
            </w:r>
            <w:r w:rsidRPr="00DA7625">
              <w:rPr>
                <w:rFonts w:ascii="Times New Roman" w:hAnsi="Times New Roman"/>
                <w:sz w:val="24"/>
              </w:rPr>
              <w:t>az egyes értékpapírosított kitettségek hitelkockázatából akkor, ha az értékpapírosított kitettségek így megtartott hitelkockázatának besorolása minden esetben megegyezik (pari passu) az ugyanazon kitettségekre vonatkozóan értékpapírosított hitelkockázatéval, vagy annál alacsonyabb besorolású.</w:t>
            </w:r>
          </w:p>
          <w:p w14:paraId="22CDCA49" w14:textId="77777777" w:rsidR="001B1411" w:rsidRPr="00DA7625" w:rsidRDefault="001B1411">
            <w:pPr>
              <w:spacing w:before="0" w:after="0"/>
              <w:rPr>
                <w:rFonts w:ascii="Times New Roman" w:hAnsi="Times New Roman"/>
                <w:sz w:val="24"/>
              </w:rPr>
            </w:pPr>
          </w:p>
          <w:p w14:paraId="4BD60BEA" w14:textId="77777777" w:rsidR="001B1411" w:rsidRPr="00DA7625" w:rsidRDefault="00C55547">
            <w:pPr>
              <w:spacing w:before="0" w:after="0"/>
              <w:rPr>
                <w:rFonts w:ascii="Times New Roman" w:hAnsi="Times New Roman"/>
                <w:sz w:val="24"/>
              </w:rPr>
            </w:pPr>
            <w:r w:rsidRPr="00DA7625">
              <w:rPr>
                <w:rFonts w:ascii="Times New Roman" w:hAnsi="Times New Roman"/>
                <w:sz w:val="24"/>
              </w:rPr>
              <w:t>B – Rulírozó kitettségek: „</w:t>
            </w:r>
            <w:r w:rsidRPr="00DA7625">
              <w:rPr>
                <w:rFonts w:ascii="Times New Roman" w:hAnsi="Times New Roman"/>
                <w:i/>
                <w:sz w:val="24"/>
              </w:rPr>
              <w:t>rulírozó kitettségek értékpapírosítása esetén az értékpapírosított kitettségek névértékének legalább 5 %-a mértékéig az értékpapírosítást kezdeményező érdekeltségének megtartása</w:t>
            </w:r>
            <w:r w:rsidRPr="00DA7625">
              <w:rPr>
                <w:rFonts w:ascii="Times New Roman" w:hAnsi="Times New Roman"/>
                <w:sz w:val="24"/>
              </w:rPr>
              <w:t xml:space="preserve">”. </w:t>
            </w:r>
          </w:p>
          <w:p w14:paraId="6D93EF17" w14:textId="77777777" w:rsidR="001B1411" w:rsidRPr="00DA7625" w:rsidRDefault="001B1411">
            <w:pPr>
              <w:spacing w:before="0" w:after="0"/>
              <w:rPr>
                <w:rFonts w:ascii="Times New Roman" w:hAnsi="Times New Roman"/>
                <w:sz w:val="24"/>
              </w:rPr>
            </w:pPr>
          </w:p>
          <w:p w14:paraId="5F483273" w14:textId="77777777" w:rsidR="001B1411" w:rsidRPr="00DA7625" w:rsidRDefault="00C55547">
            <w:pPr>
              <w:spacing w:before="0" w:after="0"/>
              <w:rPr>
                <w:rFonts w:ascii="Times New Roman" w:hAnsi="Times New Roman"/>
                <w:sz w:val="24"/>
              </w:rPr>
            </w:pPr>
            <w:r w:rsidRPr="00DA7625">
              <w:rPr>
                <w:rFonts w:ascii="Times New Roman" w:hAnsi="Times New Roman"/>
                <w:sz w:val="24"/>
              </w:rPr>
              <w:t>C – Mérlegen belüli: „</w:t>
            </w:r>
            <w:r w:rsidRPr="00DA7625">
              <w:rPr>
                <w:rFonts w:ascii="Times New Roman" w:hAnsi="Times New Roman"/>
                <w:i/>
                <w:sz w:val="24"/>
              </w:rPr>
              <w:t>véletlenszerűen kiválasztott – legalább az értékpapírosított kitettségek névértékének 5 %-ával egyenértékű – kitettségek megtartása, amennyiben ezeket az értékpapírosítás során egyébként értékpapírosították volna, feltéve hogy a potenciálisan értékpapírosítandó kitettségek száma az értékpapírosítás kezdeményezésekor legalább 100</w:t>
            </w:r>
            <w:r w:rsidRPr="00DA7625">
              <w:rPr>
                <w:rFonts w:ascii="Times New Roman" w:hAnsi="Times New Roman"/>
                <w:sz w:val="24"/>
              </w:rPr>
              <w:t>”.</w:t>
            </w:r>
          </w:p>
          <w:p w14:paraId="6FC45199" w14:textId="77777777" w:rsidR="001B1411" w:rsidRPr="00DA7625" w:rsidRDefault="001B1411">
            <w:pPr>
              <w:spacing w:before="0" w:after="0"/>
              <w:rPr>
                <w:rFonts w:ascii="Times New Roman" w:hAnsi="Times New Roman"/>
                <w:sz w:val="24"/>
              </w:rPr>
            </w:pPr>
          </w:p>
          <w:p w14:paraId="597B4308" w14:textId="77777777" w:rsidR="001B1411" w:rsidRPr="00DA7625" w:rsidRDefault="00C55547">
            <w:pPr>
              <w:spacing w:before="0" w:after="0"/>
              <w:rPr>
                <w:rFonts w:ascii="Times New Roman" w:hAnsi="Times New Roman"/>
                <w:sz w:val="24"/>
              </w:rPr>
            </w:pPr>
            <w:r w:rsidRPr="00DA7625">
              <w:rPr>
                <w:rFonts w:ascii="Times New Roman" w:hAnsi="Times New Roman"/>
                <w:sz w:val="24"/>
              </w:rPr>
              <w:t>D – Első veszteségviselő: „</w:t>
            </w:r>
            <w:r w:rsidRPr="00DA7625">
              <w:rPr>
                <w:rFonts w:ascii="Times New Roman" w:hAnsi="Times New Roman"/>
                <w:i/>
                <w:sz w:val="24"/>
              </w:rPr>
              <w:t>az első veszteségviselő ügyletrészsorozat és szükség esetén a befektetőkre átruházott vagy a befektetőknek eladott ügyletrészsorozatokkal azonos vagy magasabb kockázati profilú, és a befektetőkre átruházott vagy a befektetőknek eladott ügyletrészsorozatoknál nem korábbi lejáratú ügyletrészsorozatok megtartása úgy, hogy a megtartott rész összesen legalább az értékpapírosított kitettségek névértékének 5 %-ával egyenlő</w:t>
            </w:r>
            <w:r w:rsidRPr="00DA7625">
              <w:rPr>
                <w:rFonts w:ascii="Times New Roman" w:hAnsi="Times New Roman"/>
                <w:sz w:val="24"/>
              </w:rPr>
              <w:t>”.</w:t>
            </w:r>
          </w:p>
          <w:p w14:paraId="68C76BD6" w14:textId="77777777" w:rsidR="001B1411" w:rsidRPr="00DA7625" w:rsidRDefault="001B1411">
            <w:pPr>
              <w:spacing w:before="0" w:after="0"/>
              <w:rPr>
                <w:rFonts w:ascii="Times New Roman" w:hAnsi="Times New Roman"/>
                <w:sz w:val="24"/>
              </w:rPr>
            </w:pPr>
          </w:p>
          <w:p w14:paraId="4580DA17" w14:textId="08CAEFFF" w:rsidR="001B1411" w:rsidRPr="00DA7625" w:rsidRDefault="00C55547">
            <w:pPr>
              <w:spacing w:before="0" w:after="0"/>
              <w:rPr>
                <w:rFonts w:ascii="Times New Roman" w:hAnsi="Times New Roman"/>
                <w:sz w:val="24"/>
              </w:rPr>
            </w:pPr>
            <w:r w:rsidRPr="00DA7625">
              <w:rPr>
                <w:rFonts w:ascii="Times New Roman" w:hAnsi="Times New Roman"/>
                <w:sz w:val="24"/>
              </w:rPr>
              <w:t>E – Mentesül. Ezt a kódot az (EU) 2017/2402 rendelet 6. cikke (6) bekezdésének alkalmazása által érintett értékpapírosításoknál kell megadni.</w:t>
            </w:r>
          </w:p>
          <w:p w14:paraId="7B3B8D07" w14:textId="77777777" w:rsidR="001B1411" w:rsidRPr="00DA7625" w:rsidRDefault="001B1411">
            <w:pPr>
              <w:spacing w:before="0" w:after="0"/>
              <w:rPr>
                <w:rFonts w:ascii="Times New Roman" w:hAnsi="Times New Roman"/>
                <w:sz w:val="24"/>
              </w:rPr>
            </w:pPr>
          </w:p>
          <w:p w14:paraId="369E3C3B" w14:textId="6C65B385" w:rsidR="001B1411" w:rsidRPr="00DA7625" w:rsidRDefault="00C55547">
            <w:pPr>
              <w:spacing w:before="0" w:after="0"/>
              <w:rPr>
                <w:rFonts w:ascii="Times New Roman" w:hAnsi="Times New Roman"/>
                <w:sz w:val="24"/>
              </w:rPr>
            </w:pPr>
            <w:r w:rsidRPr="00DA7625">
              <w:rPr>
                <w:rFonts w:ascii="Times New Roman" w:hAnsi="Times New Roman"/>
                <w:sz w:val="24"/>
              </w:rPr>
              <w:t>U – Nem megfelelő vagy ismeretlen. Ezt a kódot akkor kell megadni, ha az adatszolgáltató intézmény nem tudja biztosan, hogy a megtartás melyik módját alkalmazzák, vagy az nem felel meg a szabályoknak.</w:t>
            </w:r>
          </w:p>
          <w:p w14:paraId="6F79727B" w14:textId="77777777" w:rsidR="001B1411" w:rsidRPr="00DA7625" w:rsidRDefault="001B1411">
            <w:pPr>
              <w:autoSpaceDE w:val="0"/>
              <w:autoSpaceDN w:val="0"/>
              <w:adjustRightInd w:val="0"/>
              <w:spacing w:before="0" w:after="0"/>
              <w:jc w:val="left"/>
              <w:rPr>
                <w:rFonts w:ascii="Times New Roman" w:hAnsi="Times New Roman"/>
                <w:sz w:val="24"/>
              </w:rPr>
            </w:pPr>
          </w:p>
        </w:tc>
      </w:tr>
      <w:tr w:rsidR="001B1411" w:rsidRPr="00DA7625" w14:paraId="4BA4A4DE" w14:textId="77777777" w:rsidTr="00E10B85">
        <w:tc>
          <w:tcPr>
            <w:tcW w:w="1101" w:type="dxa"/>
          </w:tcPr>
          <w:p w14:paraId="5B5306BA" w14:textId="77777777" w:rsidR="001B1411" w:rsidRPr="00DA7625" w:rsidRDefault="00C55547">
            <w:pPr>
              <w:autoSpaceDE w:val="0"/>
              <w:autoSpaceDN w:val="0"/>
              <w:adjustRightInd w:val="0"/>
              <w:spacing w:before="0" w:after="0"/>
              <w:rPr>
                <w:rFonts w:ascii="Times New Roman" w:hAnsi="Times New Roman"/>
                <w:bCs/>
                <w:sz w:val="24"/>
              </w:rPr>
            </w:pPr>
            <w:r w:rsidRPr="00DA7625">
              <w:rPr>
                <w:rFonts w:ascii="Times New Roman" w:hAnsi="Times New Roman"/>
                <w:bCs/>
                <w:sz w:val="24"/>
              </w:rPr>
              <w:lastRenderedPageBreak/>
              <w:t>090</w:t>
            </w:r>
          </w:p>
        </w:tc>
        <w:tc>
          <w:tcPr>
            <w:tcW w:w="7903" w:type="dxa"/>
          </w:tcPr>
          <w:p w14:paraId="1B360083"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A MEGTARTOTT ÉRDEKELTSÉGEK ARÁNYA AZ ADATSZOLGÁLTATÁS IDŐPONTJÁBAN (%)</w:t>
            </w:r>
          </w:p>
          <w:p w14:paraId="01BE6D7F" w14:textId="77777777" w:rsidR="001B1411" w:rsidRPr="00DA7625" w:rsidRDefault="001B1411">
            <w:pPr>
              <w:spacing w:before="0" w:after="0"/>
              <w:jc w:val="left"/>
              <w:rPr>
                <w:rFonts w:ascii="Times New Roman" w:hAnsi="Times New Roman"/>
                <w:sz w:val="24"/>
              </w:rPr>
            </w:pPr>
          </w:p>
          <w:p w14:paraId="017B54B1" w14:textId="77777777" w:rsidR="001B1411" w:rsidRPr="00DA7625" w:rsidRDefault="00C55547">
            <w:pPr>
              <w:spacing w:before="0" w:after="0"/>
              <w:rPr>
                <w:rFonts w:ascii="Times New Roman" w:hAnsi="Times New Roman"/>
                <w:i/>
                <w:sz w:val="24"/>
              </w:rPr>
            </w:pPr>
            <w:r w:rsidRPr="00DA7625">
              <w:rPr>
                <w:rFonts w:ascii="Times New Roman" w:hAnsi="Times New Roman"/>
                <w:i/>
                <w:sz w:val="24"/>
              </w:rPr>
              <w:t>Az értékpapírosítást kezdeményező, a szponzor vagy az eredeti hitelező által megtartott jelentős mértékű nettó gazdasági érdekeltség</w:t>
            </w:r>
            <w:r w:rsidRPr="00DA7625">
              <w:rPr>
                <w:rFonts w:ascii="Times New Roman" w:hAnsi="Times New Roman"/>
                <w:sz w:val="24"/>
              </w:rPr>
              <w:t xml:space="preserve"> aránya a kezdeményezés időpontjában legalább 5 %.</w:t>
            </w:r>
          </w:p>
          <w:p w14:paraId="736CBC94" w14:textId="77777777" w:rsidR="001B1411" w:rsidRPr="00DA7625" w:rsidRDefault="001B1411">
            <w:pPr>
              <w:spacing w:before="0" w:after="0"/>
              <w:rPr>
                <w:rFonts w:ascii="Times New Roman" w:hAnsi="Times New Roman"/>
                <w:i/>
                <w:sz w:val="24"/>
              </w:rPr>
            </w:pPr>
          </w:p>
          <w:p w14:paraId="2D8B6608" w14:textId="14A4E3C4" w:rsidR="001B1411" w:rsidRPr="00DA7625" w:rsidRDefault="00C55547">
            <w:pPr>
              <w:autoSpaceDE w:val="0"/>
              <w:autoSpaceDN w:val="0"/>
              <w:adjustRightInd w:val="0"/>
              <w:spacing w:before="0" w:after="0"/>
              <w:rPr>
                <w:rFonts w:ascii="Times New Roman" w:hAnsi="Times New Roman"/>
                <w:i/>
                <w:sz w:val="24"/>
              </w:rPr>
            </w:pPr>
            <w:r w:rsidRPr="00DA7625">
              <w:rPr>
                <w:rFonts w:ascii="Times New Roman" w:hAnsi="Times New Roman"/>
                <w:sz w:val="24"/>
              </w:rPr>
              <w:t>Az oszlop nem töltendő ki akkor, ha a 080-as oszlopban (Az érdekeltség megtartásának módja) az „E” (Mentesül) vagy „N” (Nem alkalmazható) kód szerepel.</w:t>
            </w:r>
          </w:p>
          <w:p w14:paraId="57D619B2" w14:textId="77777777" w:rsidR="001B1411" w:rsidRPr="00DA7625" w:rsidRDefault="001B1411">
            <w:pPr>
              <w:spacing w:before="0" w:after="0"/>
              <w:jc w:val="left"/>
              <w:rPr>
                <w:rFonts w:ascii="Times New Roman" w:hAnsi="Times New Roman"/>
                <w:sz w:val="24"/>
              </w:rPr>
            </w:pPr>
          </w:p>
        </w:tc>
      </w:tr>
      <w:tr w:rsidR="001B1411" w:rsidRPr="00DA7625" w14:paraId="40B36568" w14:textId="77777777" w:rsidTr="00E10B85">
        <w:tc>
          <w:tcPr>
            <w:tcW w:w="1101" w:type="dxa"/>
          </w:tcPr>
          <w:p w14:paraId="0655C560" w14:textId="77777777" w:rsidR="001B1411" w:rsidRPr="00DA7625" w:rsidRDefault="00C55547">
            <w:pPr>
              <w:autoSpaceDE w:val="0"/>
              <w:autoSpaceDN w:val="0"/>
              <w:adjustRightInd w:val="0"/>
              <w:spacing w:before="0" w:after="0"/>
              <w:rPr>
                <w:rFonts w:ascii="Times New Roman" w:hAnsi="Times New Roman"/>
                <w:bCs/>
                <w:sz w:val="24"/>
              </w:rPr>
            </w:pPr>
            <w:r w:rsidRPr="00DA7625">
              <w:rPr>
                <w:rFonts w:ascii="Times New Roman" w:hAnsi="Times New Roman"/>
                <w:bCs/>
                <w:sz w:val="24"/>
              </w:rPr>
              <w:t>100</w:t>
            </w:r>
          </w:p>
        </w:tc>
        <w:tc>
          <w:tcPr>
            <w:tcW w:w="7903" w:type="dxa"/>
          </w:tcPr>
          <w:p w14:paraId="2381967E"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A MEGTARTÁSI KÖVETELMÉNY TELJESÜL?</w:t>
            </w:r>
          </w:p>
          <w:p w14:paraId="3D773677" w14:textId="77777777" w:rsidR="001B1411" w:rsidRPr="00DA7625" w:rsidRDefault="001B1411">
            <w:pPr>
              <w:spacing w:before="0" w:after="0"/>
              <w:jc w:val="left"/>
              <w:rPr>
                <w:rFonts w:ascii="Times New Roman" w:hAnsi="Times New Roman"/>
                <w:b/>
                <w:sz w:val="24"/>
                <w:u w:val="single"/>
              </w:rPr>
            </w:pPr>
          </w:p>
          <w:p w14:paraId="21715324" w14:textId="77777777" w:rsidR="001B1411" w:rsidRPr="00DA7625" w:rsidRDefault="00EE2BEA">
            <w:pPr>
              <w:spacing w:before="0" w:after="0"/>
              <w:jc w:val="left"/>
              <w:rPr>
                <w:rFonts w:ascii="Times New Roman" w:hAnsi="Times New Roman"/>
                <w:sz w:val="24"/>
              </w:rPr>
            </w:pPr>
            <w:r w:rsidRPr="00DA7625">
              <w:rPr>
                <w:rFonts w:ascii="Times New Roman" w:hAnsi="Times New Roman"/>
                <w:sz w:val="24"/>
              </w:rPr>
              <w:t>Az intézményeknek a következő rövidítéseket kell feltüntetniük:</w:t>
            </w:r>
          </w:p>
          <w:p w14:paraId="138F52BD" w14:textId="77777777" w:rsidR="001B1411" w:rsidRPr="00DA7625" w:rsidRDefault="00C55547">
            <w:pPr>
              <w:tabs>
                <w:tab w:val="left" w:pos="317"/>
                <w:tab w:val="left" w:pos="600"/>
              </w:tabs>
              <w:spacing w:before="0" w:after="0"/>
              <w:jc w:val="left"/>
              <w:rPr>
                <w:rFonts w:ascii="Times New Roman" w:hAnsi="Times New Roman"/>
                <w:sz w:val="24"/>
              </w:rPr>
            </w:pPr>
            <w:r w:rsidRPr="00DA7625">
              <w:rPr>
                <w:rFonts w:ascii="Times New Roman" w:hAnsi="Times New Roman"/>
                <w:sz w:val="24"/>
              </w:rPr>
              <w:t>Y</w:t>
            </w:r>
            <w:r w:rsidRPr="00DA7625">
              <w:rPr>
                <w:rFonts w:ascii="Times New Roman" w:hAnsi="Times New Roman"/>
                <w:sz w:val="24"/>
              </w:rPr>
              <w:tab/>
              <w:t>–</w:t>
            </w:r>
            <w:r w:rsidRPr="00DA7625">
              <w:rPr>
                <w:rFonts w:ascii="Times New Roman" w:hAnsi="Times New Roman"/>
                <w:sz w:val="24"/>
              </w:rPr>
              <w:tab/>
              <w:t>igen;</w:t>
            </w:r>
          </w:p>
          <w:p w14:paraId="7C65DB26" w14:textId="77777777" w:rsidR="001B1411" w:rsidRPr="00DA7625" w:rsidRDefault="00C55547">
            <w:pPr>
              <w:tabs>
                <w:tab w:val="left" w:pos="317"/>
                <w:tab w:val="left" w:pos="600"/>
              </w:tabs>
              <w:spacing w:before="0" w:after="0"/>
              <w:jc w:val="left"/>
              <w:rPr>
                <w:rFonts w:ascii="Times New Roman" w:hAnsi="Times New Roman"/>
                <w:sz w:val="24"/>
              </w:rPr>
            </w:pPr>
            <w:r w:rsidRPr="00DA7625">
              <w:rPr>
                <w:rFonts w:ascii="Times New Roman" w:hAnsi="Times New Roman"/>
                <w:sz w:val="24"/>
              </w:rPr>
              <w:t>N</w:t>
            </w:r>
            <w:r w:rsidRPr="00DA7625">
              <w:rPr>
                <w:rFonts w:ascii="Times New Roman" w:hAnsi="Times New Roman"/>
                <w:sz w:val="24"/>
              </w:rPr>
              <w:tab/>
              <w:t>–</w:t>
            </w:r>
            <w:r w:rsidRPr="00DA7625">
              <w:rPr>
                <w:rFonts w:ascii="Times New Roman" w:hAnsi="Times New Roman"/>
                <w:sz w:val="24"/>
              </w:rPr>
              <w:tab/>
              <w:t>nem.</w:t>
            </w:r>
          </w:p>
          <w:p w14:paraId="6A952D60" w14:textId="77777777" w:rsidR="001B1411" w:rsidRPr="00DA7625" w:rsidRDefault="001B1411">
            <w:pPr>
              <w:spacing w:before="0" w:after="0"/>
              <w:jc w:val="left"/>
              <w:rPr>
                <w:rFonts w:ascii="Times New Roman" w:hAnsi="Times New Roman"/>
                <w:sz w:val="24"/>
              </w:rPr>
            </w:pPr>
          </w:p>
          <w:p w14:paraId="77FA9D5B" w14:textId="04AD3AF5" w:rsidR="001B1411" w:rsidRPr="00DA7625" w:rsidRDefault="00C55547">
            <w:pPr>
              <w:autoSpaceDE w:val="0"/>
              <w:autoSpaceDN w:val="0"/>
              <w:adjustRightInd w:val="0"/>
              <w:spacing w:before="0" w:after="0"/>
              <w:rPr>
                <w:rFonts w:ascii="Times New Roman" w:hAnsi="Times New Roman"/>
                <w:i/>
                <w:sz w:val="24"/>
              </w:rPr>
            </w:pPr>
            <w:r w:rsidRPr="00DA7625">
              <w:rPr>
                <w:rFonts w:ascii="Times New Roman" w:hAnsi="Times New Roman"/>
                <w:sz w:val="24"/>
              </w:rPr>
              <w:t>Az oszlop nem töltendő ki akkor, ha a 080-as oszlopban (Az érdekeltség megtartásának módja) az „E” (Mentesül) kód szerepel.</w:t>
            </w:r>
          </w:p>
          <w:p w14:paraId="647391F6" w14:textId="77777777" w:rsidR="001B1411" w:rsidRPr="00DA7625" w:rsidRDefault="001B1411">
            <w:pPr>
              <w:spacing w:before="0" w:after="0"/>
              <w:jc w:val="left"/>
              <w:rPr>
                <w:rFonts w:ascii="Times New Roman" w:hAnsi="Times New Roman"/>
                <w:b/>
                <w:sz w:val="24"/>
                <w:u w:val="single"/>
              </w:rPr>
            </w:pPr>
          </w:p>
        </w:tc>
      </w:tr>
      <w:tr w:rsidR="001B1411" w:rsidRPr="00DA7625" w14:paraId="3B97E3E5" w14:textId="77777777" w:rsidTr="00E10B85">
        <w:tc>
          <w:tcPr>
            <w:tcW w:w="1101" w:type="dxa"/>
          </w:tcPr>
          <w:p w14:paraId="3D4614DB" w14:textId="77777777" w:rsidR="001B1411" w:rsidRPr="00DA7625" w:rsidRDefault="00C55547">
            <w:pPr>
              <w:autoSpaceDE w:val="0"/>
              <w:autoSpaceDN w:val="0"/>
              <w:adjustRightInd w:val="0"/>
              <w:spacing w:before="0" w:after="0"/>
              <w:rPr>
                <w:rFonts w:ascii="Times New Roman" w:hAnsi="Times New Roman"/>
                <w:bCs/>
                <w:sz w:val="24"/>
                <w:highlight w:val="yellow"/>
              </w:rPr>
            </w:pPr>
            <w:r w:rsidRPr="00DA7625">
              <w:rPr>
                <w:rFonts w:ascii="Times New Roman" w:hAnsi="Times New Roman"/>
                <w:bCs/>
                <w:sz w:val="24"/>
              </w:rPr>
              <w:t>120–130</w:t>
            </w:r>
          </w:p>
        </w:tc>
        <w:tc>
          <w:tcPr>
            <w:tcW w:w="7903" w:type="dxa"/>
          </w:tcPr>
          <w:p w14:paraId="449AF9BD" w14:textId="77777777" w:rsidR="001B1411" w:rsidRPr="00DA7625" w:rsidRDefault="00C55547">
            <w:pPr>
              <w:autoSpaceDE w:val="0"/>
              <w:autoSpaceDN w:val="0"/>
              <w:adjustRightInd w:val="0"/>
              <w:spacing w:before="0" w:after="0"/>
              <w:jc w:val="left"/>
              <w:rPr>
                <w:rFonts w:ascii="Times New Roman" w:hAnsi="Times New Roman"/>
                <w:b/>
                <w:sz w:val="24"/>
              </w:rPr>
            </w:pPr>
            <w:r w:rsidRPr="00DA7625">
              <w:rPr>
                <w:rFonts w:ascii="Times New Roman" w:hAnsi="Times New Roman"/>
                <w:b/>
                <w:sz w:val="24"/>
              </w:rPr>
              <w:t>NEM ABCP-PROGRAMOK</w:t>
            </w:r>
          </w:p>
          <w:p w14:paraId="086B9BE2" w14:textId="77777777" w:rsidR="001B1411" w:rsidRPr="00DA7625" w:rsidRDefault="001B1411">
            <w:pPr>
              <w:autoSpaceDE w:val="0"/>
              <w:autoSpaceDN w:val="0"/>
              <w:adjustRightInd w:val="0"/>
              <w:spacing w:before="0" w:after="0"/>
              <w:jc w:val="left"/>
              <w:rPr>
                <w:rFonts w:ascii="Times New Roman" w:hAnsi="Times New Roman"/>
                <w:sz w:val="24"/>
              </w:rPr>
            </w:pPr>
          </w:p>
          <w:p w14:paraId="2347E6E0" w14:textId="7B62C5D9"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Az ABCP-programok speciális jellegéből adódóan, ami azzal függ össze, hogy több egyedi értékpapírosítási pozíciót foglalnak magukban, a CRR 242. cikkének 11. pontjában meghatározott ABCP-programokról a 120-as, 121-es és 130-as oszlopban nem kell adatot szolgáltatni.</w:t>
            </w:r>
          </w:p>
          <w:p w14:paraId="1870D494" w14:textId="77777777" w:rsidR="001B1411" w:rsidRPr="00DA7625" w:rsidRDefault="001B1411">
            <w:pPr>
              <w:spacing w:before="0" w:after="0"/>
              <w:jc w:val="left"/>
              <w:rPr>
                <w:rFonts w:ascii="Times New Roman" w:hAnsi="Times New Roman"/>
                <w:sz w:val="24"/>
              </w:rPr>
            </w:pPr>
          </w:p>
        </w:tc>
      </w:tr>
      <w:tr w:rsidR="001B1411" w:rsidRPr="00DA7625" w14:paraId="29BDE928" w14:textId="77777777" w:rsidTr="00E10B85">
        <w:tc>
          <w:tcPr>
            <w:tcW w:w="1101" w:type="dxa"/>
          </w:tcPr>
          <w:p w14:paraId="4D0E8F86" w14:textId="77777777" w:rsidR="001B1411" w:rsidRPr="00DA7625" w:rsidRDefault="00C55547">
            <w:pPr>
              <w:autoSpaceDE w:val="0"/>
              <w:autoSpaceDN w:val="0"/>
              <w:adjustRightInd w:val="0"/>
              <w:spacing w:before="0" w:after="0"/>
              <w:rPr>
                <w:rFonts w:ascii="Times New Roman" w:hAnsi="Times New Roman"/>
                <w:bCs/>
                <w:sz w:val="24"/>
              </w:rPr>
            </w:pPr>
            <w:r w:rsidRPr="00DA7625">
              <w:rPr>
                <w:rFonts w:ascii="Times New Roman" w:hAnsi="Times New Roman"/>
                <w:bCs/>
                <w:sz w:val="24"/>
              </w:rPr>
              <w:t>120</w:t>
            </w:r>
          </w:p>
        </w:tc>
        <w:tc>
          <w:tcPr>
            <w:tcW w:w="7903" w:type="dxa"/>
          </w:tcPr>
          <w:p w14:paraId="42A4DE86" w14:textId="77777777" w:rsidR="001B1411" w:rsidRPr="00DA7625" w:rsidRDefault="00C55547">
            <w:pPr>
              <w:spacing w:before="0" w:after="0"/>
              <w:jc w:val="left"/>
              <w:rPr>
                <w:rFonts w:ascii="Times New Roman" w:hAnsi="Times New Roman"/>
                <w:b/>
                <w:sz w:val="24"/>
              </w:rPr>
            </w:pPr>
            <w:r w:rsidRPr="00DA7625">
              <w:rPr>
                <w:rFonts w:ascii="Times New Roman" w:hAnsi="Times New Roman"/>
                <w:b/>
                <w:sz w:val="24"/>
              </w:rPr>
              <w:t>KEZDEMÉNYEZÉS IDŐPONTJA (hh/éééé)</w:t>
            </w:r>
          </w:p>
          <w:p w14:paraId="49F98229" w14:textId="77777777" w:rsidR="001B1411" w:rsidRPr="00DA7625" w:rsidRDefault="001B1411">
            <w:pPr>
              <w:spacing w:before="0" w:after="0"/>
              <w:jc w:val="left"/>
              <w:rPr>
                <w:rFonts w:ascii="Times New Roman" w:hAnsi="Times New Roman"/>
                <w:sz w:val="24"/>
              </w:rPr>
            </w:pPr>
          </w:p>
          <w:p w14:paraId="040343AD" w14:textId="407F6FE2"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Az értékpapírosítás kezdeményezésének időpontjában (a halmazra [poolra] vonatkozó határidőben vagy záró dátumban) a hónapot és az évet  a „hh/éééé” formában kell megadni.</w:t>
            </w:r>
          </w:p>
          <w:p w14:paraId="0C480317" w14:textId="77777777" w:rsidR="001B1411" w:rsidRPr="00DA7625" w:rsidRDefault="001B1411">
            <w:pPr>
              <w:autoSpaceDE w:val="0"/>
              <w:autoSpaceDN w:val="0"/>
              <w:adjustRightInd w:val="0"/>
              <w:spacing w:before="0" w:after="0"/>
              <w:rPr>
                <w:rFonts w:ascii="Times New Roman" w:hAnsi="Times New Roman"/>
                <w:sz w:val="24"/>
              </w:rPr>
            </w:pPr>
          </w:p>
          <w:p w14:paraId="41AB4885"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Az egyes értékpapírosítási programok kezdeményezésének időpontja az adatszolgáltatás időpontjai között nem változhat. A nyitott halmazokkal fedezett értékpapírosítási programok esetében a kezdeményezés napja az értékpapírok első kibocsátásának napja. </w:t>
            </w:r>
          </w:p>
          <w:p w14:paraId="6309F4E0" w14:textId="77777777" w:rsidR="001B1411" w:rsidRPr="00DA7625" w:rsidRDefault="001B1411">
            <w:pPr>
              <w:autoSpaceDE w:val="0"/>
              <w:autoSpaceDN w:val="0"/>
              <w:adjustRightInd w:val="0"/>
              <w:spacing w:before="0" w:after="0"/>
              <w:rPr>
                <w:rFonts w:ascii="Times New Roman" w:hAnsi="Times New Roman"/>
                <w:sz w:val="24"/>
              </w:rPr>
            </w:pPr>
          </w:p>
          <w:p w14:paraId="1004180F" w14:textId="73F40864"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Ezt az információt akkor is fel kell tüntetni, ha az adatszolgáltató intézmény nem rendelkezik pozícióval az értékpapírosításban.</w:t>
            </w:r>
          </w:p>
          <w:p w14:paraId="081BB365" w14:textId="77777777" w:rsidR="001B1411" w:rsidRPr="00DA7625" w:rsidRDefault="001B1411">
            <w:pPr>
              <w:autoSpaceDE w:val="0"/>
              <w:autoSpaceDN w:val="0"/>
              <w:adjustRightInd w:val="0"/>
              <w:spacing w:before="0" w:after="0"/>
              <w:jc w:val="left"/>
              <w:rPr>
                <w:rFonts w:ascii="Times New Roman" w:hAnsi="Times New Roman"/>
                <w:sz w:val="24"/>
              </w:rPr>
            </w:pPr>
          </w:p>
        </w:tc>
      </w:tr>
      <w:tr w:rsidR="001B1411" w:rsidRPr="00DA7625" w14:paraId="14C2F7C0" w14:textId="77777777" w:rsidTr="00E10B85">
        <w:tc>
          <w:tcPr>
            <w:tcW w:w="1101" w:type="dxa"/>
          </w:tcPr>
          <w:p w14:paraId="75A67799" w14:textId="77777777" w:rsidR="001B1411" w:rsidRPr="00DA7625" w:rsidRDefault="00C55547">
            <w:pPr>
              <w:autoSpaceDE w:val="0"/>
              <w:autoSpaceDN w:val="0"/>
              <w:adjustRightInd w:val="0"/>
              <w:spacing w:before="0" w:after="0"/>
              <w:rPr>
                <w:rFonts w:ascii="Times New Roman" w:hAnsi="Times New Roman"/>
                <w:bCs/>
                <w:sz w:val="24"/>
              </w:rPr>
            </w:pPr>
            <w:r w:rsidRPr="00DA7625">
              <w:rPr>
                <w:rFonts w:ascii="Times New Roman" w:hAnsi="Times New Roman"/>
                <w:bCs/>
                <w:sz w:val="24"/>
              </w:rPr>
              <w:t>121</w:t>
            </w:r>
          </w:p>
        </w:tc>
        <w:tc>
          <w:tcPr>
            <w:tcW w:w="7903" w:type="dxa"/>
          </w:tcPr>
          <w:p w14:paraId="0E472125"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A LEGUTOLSÓ KIBOCSÁTÁS IDŐPONTJA (hh/éééé)</w:t>
            </w:r>
          </w:p>
          <w:p w14:paraId="59CF45F5" w14:textId="77777777" w:rsidR="001B1411" w:rsidRPr="00DA7625" w:rsidRDefault="001B1411">
            <w:pPr>
              <w:spacing w:before="0" w:after="0"/>
              <w:jc w:val="left"/>
              <w:rPr>
                <w:rFonts w:ascii="Times New Roman" w:hAnsi="Times New Roman"/>
                <w:b/>
                <w:sz w:val="24"/>
                <w:u w:val="single"/>
              </w:rPr>
            </w:pPr>
          </w:p>
          <w:p w14:paraId="7FBBA6B6" w14:textId="57CD7E7F" w:rsidR="001B1411" w:rsidRPr="00DA7625" w:rsidRDefault="00C55547">
            <w:pPr>
              <w:spacing w:before="0" w:after="0"/>
              <w:jc w:val="left"/>
              <w:rPr>
                <w:rFonts w:ascii="Times New Roman" w:hAnsi="Times New Roman"/>
                <w:sz w:val="24"/>
              </w:rPr>
            </w:pPr>
            <w:r w:rsidRPr="00DA7625">
              <w:rPr>
                <w:rFonts w:ascii="Times New Roman" w:hAnsi="Times New Roman"/>
                <w:sz w:val="24"/>
              </w:rPr>
              <w:t>Az értékpapírosítás keretében az értékpapírok legutóbbi kibocsátásának időpontjában a hónapot és az évet a „hh/éééé” formában kell megadni.</w:t>
            </w:r>
          </w:p>
          <w:p w14:paraId="5CF784BC" w14:textId="77777777" w:rsidR="001B1411" w:rsidRPr="00DA7625" w:rsidRDefault="001B1411">
            <w:pPr>
              <w:spacing w:before="0" w:after="0"/>
              <w:jc w:val="left"/>
              <w:rPr>
                <w:rFonts w:ascii="Times New Roman" w:hAnsi="Times New Roman"/>
                <w:sz w:val="24"/>
              </w:rPr>
            </w:pPr>
          </w:p>
          <w:p w14:paraId="1EABFA70" w14:textId="1BF17B48" w:rsidR="001B1411" w:rsidRPr="00DA7625" w:rsidRDefault="00C55547">
            <w:pPr>
              <w:spacing w:before="0" w:after="0"/>
              <w:jc w:val="left"/>
              <w:rPr>
                <w:rFonts w:ascii="Times New Roman" w:hAnsi="Times New Roman"/>
                <w:sz w:val="24"/>
              </w:rPr>
            </w:pPr>
            <w:r w:rsidRPr="00DA7625">
              <w:rPr>
                <w:rFonts w:ascii="Times New Roman" w:hAnsi="Times New Roman"/>
                <w:sz w:val="24"/>
              </w:rPr>
              <w:t>Az (EU) 2017/2402 rendeletet csak azon értékpapírosításokra kell alkalmazni, amelyek értékpapírjait 2019. január 1-jén vagy azt követően bocsátották ki. Az értékpapírok legutolsó kibocsátásának időpontja határozza meg, hogy az egyes értékpapírosítási programok az (EU) 2017/2402 rendelet hatálya alá tartoznak-e.</w:t>
            </w:r>
          </w:p>
          <w:p w14:paraId="46B361DF" w14:textId="77777777" w:rsidR="001B1411" w:rsidRPr="00DA7625" w:rsidRDefault="001B1411">
            <w:pPr>
              <w:spacing w:before="0" w:after="0"/>
              <w:jc w:val="left"/>
              <w:rPr>
                <w:rFonts w:ascii="Times New Roman" w:hAnsi="Times New Roman"/>
                <w:sz w:val="24"/>
              </w:rPr>
            </w:pPr>
          </w:p>
          <w:p w14:paraId="6ABE70EA" w14:textId="1A133939" w:rsidR="001B1411" w:rsidRPr="00DA7625" w:rsidRDefault="00C55547">
            <w:pPr>
              <w:spacing w:before="0" w:after="0"/>
              <w:jc w:val="left"/>
              <w:rPr>
                <w:rFonts w:ascii="Times New Roman" w:hAnsi="Times New Roman"/>
                <w:sz w:val="24"/>
              </w:rPr>
            </w:pPr>
            <w:r w:rsidRPr="00DA7625">
              <w:rPr>
                <w:rFonts w:ascii="Times New Roman" w:hAnsi="Times New Roman"/>
                <w:sz w:val="24"/>
              </w:rPr>
              <w:t>Ezt az információt akkor is fel kell tüntetni, ha az adatszolgáltató intézmény nem rendelkezik pozícióval az értékpapírosításban.</w:t>
            </w:r>
          </w:p>
          <w:p w14:paraId="26FEB719" w14:textId="77777777" w:rsidR="001B1411" w:rsidRPr="00DA7625" w:rsidRDefault="001B1411">
            <w:pPr>
              <w:spacing w:before="0" w:after="0"/>
              <w:jc w:val="left"/>
              <w:rPr>
                <w:rFonts w:ascii="Times New Roman" w:hAnsi="Times New Roman"/>
                <w:b/>
                <w:sz w:val="24"/>
                <w:u w:val="single"/>
              </w:rPr>
            </w:pPr>
          </w:p>
        </w:tc>
      </w:tr>
      <w:tr w:rsidR="001B1411" w:rsidRPr="00DA7625" w14:paraId="04911088" w14:textId="77777777" w:rsidTr="00E10B85">
        <w:tc>
          <w:tcPr>
            <w:tcW w:w="1101" w:type="dxa"/>
          </w:tcPr>
          <w:p w14:paraId="16A74709" w14:textId="77777777" w:rsidR="001B1411" w:rsidRPr="00DA7625" w:rsidRDefault="00C55547">
            <w:pPr>
              <w:autoSpaceDE w:val="0"/>
              <w:autoSpaceDN w:val="0"/>
              <w:adjustRightInd w:val="0"/>
              <w:spacing w:before="0" w:after="0"/>
              <w:rPr>
                <w:rFonts w:ascii="Times New Roman" w:hAnsi="Times New Roman"/>
                <w:bCs/>
                <w:sz w:val="24"/>
              </w:rPr>
            </w:pPr>
            <w:r w:rsidRPr="00DA7625">
              <w:rPr>
                <w:rFonts w:ascii="Times New Roman" w:hAnsi="Times New Roman"/>
                <w:bCs/>
                <w:sz w:val="24"/>
              </w:rPr>
              <w:lastRenderedPageBreak/>
              <w:t>130</w:t>
            </w:r>
          </w:p>
        </w:tc>
        <w:tc>
          <w:tcPr>
            <w:tcW w:w="7903" w:type="dxa"/>
          </w:tcPr>
          <w:p w14:paraId="2A5CE648"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AZ ÉRTÉKPAPÍROSÍTOTT KITETTSÉGEK ÖSSZÉRTÉKE A KEZDEMÉNYEZÉS IDŐPONTJÁBAN</w:t>
            </w:r>
          </w:p>
          <w:p w14:paraId="48FB32F8" w14:textId="77777777" w:rsidR="001B1411" w:rsidRPr="00DA7625" w:rsidRDefault="001B1411">
            <w:pPr>
              <w:spacing w:before="0" w:after="0"/>
              <w:jc w:val="left"/>
              <w:rPr>
                <w:rFonts w:ascii="Times New Roman" w:hAnsi="Times New Roman"/>
                <w:sz w:val="24"/>
              </w:rPr>
            </w:pPr>
          </w:p>
          <w:p w14:paraId="67DF33A0" w14:textId="4BE9AFB3"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Ez az oszlop az értékpapírosított portfóliónak a kezdeményezés időpontjában érvényes (a hitel-egyenértékesítési tényezők előtti eredeti kitettség alapján kiszámított) értékét összesíti. </w:t>
            </w:r>
          </w:p>
          <w:p w14:paraId="78CC71AA" w14:textId="77777777" w:rsidR="001B1411" w:rsidRPr="00DA7625" w:rsidRDefault="001B1411">
            <w:pPr>
              <w:autoSpaceDE w:val="0"/>
              <w:autoSpaceDN w:val="0"/>
              <w:adjustRightInd w:val="0"/>
              <w:spacing w:before="0" w:after="0"/>
              <w:rPr>
                <w:rFonts w:ascii="Times New Roman" w:hAnsi="Times New Roman"/>
                <w:sz w:val="24"/>
              </w:rPr>
            </w:pPr>
          </w:p>
          <w:p w14:paraId="56318037" w14:textId="5D0A6E37" w:rsidR="001B1411" w:rsidRPr="00DA7625" w:rsidRDefault="005E5070">
            <w:pPr>
              <w:autoSpaceDE w:val="0"/>
              <w:autoSpaceDN w:val="0"/>
              <w:adjustRightInd w:val="0"/>
              <w:spacing w:before="0" w:after="0"/>
              <w:rPr>
                <w:rFonts w:ascii="Times New Roman" w:hAnsi="Times New Roman"/>
                <w:sz w:val="24"/>
              </w:rPr>
            </w:pPr>
            <w:r w:rsidRPr="00DA7625">
              <w:rPr>
                <w:rFonts w:ascii="Times New Roman" w:hAnsi="Times New Roman"/>
                <w:sz w:val="24"/>
              </w:rPr>
              <w:t>A nyitott halmazokkal fedezett értékpapírosítási programok esetében az értékpapírok első kibocsátásának napjára vonatkozó értéket kell megadni. A hagyományos értékpapírosítások esetében az értékpapírosítási halmaz más eszközei nem számíthatók be. A több eladó (azaz egynél több értékpapírosítást kezdeményező) részvételével működő értékpapírosítási programoknál kizárólag az adatszolgáltató intézménynek az értékpapírosított portfólióhoz való hozzájárulásának megfelelő összeget kell feltüntetni. Kötelezettségek értékpapírosítása esetében kizárólag az adatszolgáltató intézmény által kibocsátott összeget kell megadni.</w:t>
            </w:r>
          </w:p>
          <w:p w14:paraId="4410A8C1" w14:textId="77777777" w:rsidR="001B1411" w:rsidRPr="00DA7625" w:rsidRDefault="001B1411">
            <w:pPr>
              <w:autoSpaceDE w:val="0"/>
              <w:autoSpaceDN w:val="0"/>
              <w:adjustRightInd w:val="0"/>
              <w:spacing w:before="0" w:after="0"/>
              <w:rPr>
                <w:rFonts w:ascii="Times New Roman" w:hAnsi="Times New Roman"/>
                <w:sz w:val="24"/>
              </w:rPr>
            </w:pPr>
          </w:p>
          <w:p w14:paraId="4E26C7BC" w14:textId="7433274B"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Ezt az információt akkor is fel kell tüntetni, ha az adatszolgáltató intézmény nem rendelkezik pozícióval az értékpapírosításban.</w:t>
            </w:r>
          </w:p>
          <w:p w14:paraId="40C9460C" w14:textId="77777777" w:rsidR="001B1411" w:rsidRPr="00DA7625" w:rsidRDefault="001B1411">
            <w:pPr>
              <w:autoSpaceDE w:val="0"/>
              <w:autoSpaceDN w:val="0"/>
              <w:adjustRightInd w:val="0"/>
              <w:spacing w:before="0" w:after="0"/>
              <w:jc w:val="left"/>
              <w:rPr>
                <w:rFonts w:ascii="Times New Roman" w:hAnsi="Times New Roman"/>
                <w:sz w:val="24"/>
              </w:rPr>
            </w:pPr>
          </w:p>
        </w:tc>
      </w:tr>
      <w:tr w:rsidR="001B1411" w:rsidRPr="00DA7625" w14:paraId="0034138D" w14:textId="77777777" w:rsidTr="00E10B85">
        <w:tc>
          <w:tcPr>
            <w:tcW w:w="1101" w:type="dxa"/>
          </w:tcPr>
          <w:p w14:paraId="4C33E089" w14:textId="77777777" w:rsidR="001B1411" w:rsidRPr="00DA7625" w:rsidRDefault="00C55547">
            <w:pPr>
              <w:autoSpaceDE w:val="0"/>
              <w:autoSpaceDN w:val="0"/>
              <w:adjustRightInd w:val="0"/>
              <w:spacing w:before="0" w:after="0"/>
              <w:rPr>
                <w:rFonts w:ascii="Times New Roman" w:hAnsi="Times New Roman"/>
                <w:bCs/>
                <w:sz w:val="24"/>
                <w:highlight w:val="yellow"/>
              </w:rPr>
            </w:pPr>
            <w:r w:rsidRPr="00DA7625">
              <w:rPr>
                <w:rFonts w:ascii="Times New Roman" w:hAnsi="Times New Roman"/>
                <w:bCs/>
                <w:sz w:val="24"/>
              </w:rPr>
              <w:t>140-225</w:t>
            </w:r>
          </w:p>
        </w:tc>
        <w:tc>
          <w:tcPr>
            <w:tcW w:w="7903" w:type="dxa"/>
          </w:tcPr>
          <w:p w14:paraId="7D39CB45"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ÉRTÉKPAPÍROSÍTOTT KITETTSÉGEK</w:t>
            </w:r>
          </w:p>
          <w:p w14:paraId="2D381EAA" w14:textId="77777777" w:rsidR="001B1411" w:rsidRPr="00DA7625" w:rsidRDefault="001B1411">
            <w:pPr>
              <w:autoSpaceDE w:val="0"/>
              <w:autoSpaceDN w:val="0"/>
              <w:adjustRightInd w:val="0"/>
              <w:spacing w:before="0" w:after="0"/>
              <w:jc w:val="left"/>
              <w:rPr>
                <w:rFonts w:ascii="Times New Roman" w:hAnsi="Times New Roman"/>
                <w:sz w:val="24"/>
              </w:rPr>
            </w:pPr>
          </w:p>
          <w:p w14:paraId="5CFD1854"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A 140–225. oszlopban az adatszolgáltató intézménynek az értékpapírosított portfólió több jellemzőjére vonatkozó információkat kell feltüntetnie.</w:t>
            </w:r>
          </w:p>
          <w:p w14:paraId="749B2DAC" w14:textId="77777777" w:rsidR="001B1411" w:rsidRPr="00DA7625" w:rsidRDefault="001B1411">
            <w:pPr>
              <w:autoSpaceDE w:val="0"/>
              <w:autoSpaceDN w:val="0"/>
              <w:adjustRightInd w:val="0"/>
              <w:spacing w:before="0" w:after="0"/>
              <w:jc w:val="left"/>
              <w:rPr>
                <w:rFonts w:ascii="Times New Roman" w:hAnsi="Times New Roman"/>
                <w:sz w:val="24"/>
              </w:rPr>
            </w:pPr>
          </w:p>
        </w:tc>
      </w:tr>
      <w:tr w:rsidR="001B1411" w:rsidRPr="00DA7625" w14:paraId="0AB7A1D4" w14:textId="77777777" w:rsidTr="00E10B85">
        <w:tc>
          <w:tcPr>
            <w:tcW w:w="1101" w:type="dxa"/>
          </w:tcPr>
          <w:p w14:paraId="68DEC9A2" w14:textId="77777777" w:rsidR="001B1411" w:rsidRPr="00DA7625" w:rsidRDefault="00C55547">
            <w:pPr>
              <w:autoSpaceDE w:val="0"/>
              <w:autoSpaceDN w:val="0"/>
              <w:adjustRightInd w:val="0"/>
              <w:spacing w:before="0" w:after="0"/>
              <w:rPr>
                <w:rFonts w:ascii="Times New Roman" w:hAnsi="Times New Roman"/>
                <w:bCs/>
                <w:sz w:val="24"/>
              </w:rPr>
            </w:pPr>
            <w:r w:rsidRPr="00DA7625">
              <w:rPr>
                <w:rFonts w:ascii="Times New Roman" w:hAnsi="Times New Roman"/>
                <w:bCs/>
                <w:sz w:val="24"/>
              </w:rPr>
              <w:t>140</w:t>
            </w:r>
          </w:p>
        </w:tc>
        <w:tc>
          <w:tcPr>
            <w:tcW w:w="7903" w:type="dxa"/>
          </w:tcPr>
          <w:p w14:paraId="45EA3BA5"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ÖSSZÉRTÉK</w:t>
            </w:r>
          </w:p>
          <w:p w14:paraId="45FF1177" w14:textId="77777777" w:rsidR="001B1411" w:rsidRPr="00DA7625" w:rsidRDefault="001B1411">
            <w:pPr>
              <w:spacing w:before="0" w:after="0"/>
              <w:jc w:val="left"/>
              <w:rPr>
                <w:rFonts w:ascii="Times New Roman" w:hAnsi="Times New Roman"/>
                <w:sz w:val="24"/>
              </w:rPr>
            </w:pPr>
          </w:p>
          <w:p w14:paraId="654DEAFA"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Az intézményeknek az értékpapírosított portfóliónak az adatszolgáltatás időpontjában érvényes értékét, vagyis a fennálló értékpapírosított kitettségek összegét kell megadniuk. A hagyományos értékpapírosítások esetében az értékpapírosítási halmaz más eszközei nem számíthatók be. A több eladó (azaz egynél több értékpapírosítást kezdeményező) részvételével működő értékpapírosítási programoknál kizárólag az adatszolgáltató intézménynek az értékpapírosított portfólióhoz való hozzájárulásának megfelelő összeget kell feltüntetni. A zárt halmazzal fedezett értékpapírosítási programoknál (vagyis ahol az értékpapírosított eszközportfólió a kezdeményezés napját követően nem bővíthető) az értéket fokozatosan csökkenteni kell.</w:t>
            </w:r>
          </w:p>
          <w:p w14:paraId="793C7679" w14:textId="77777777" w:rsidR="001B1411" w:rsidRPr="00DA7625" w:rsidRDefault="001B1411">
            <w:pPr>
              <w:autoSpaceDE w:val="0"/>
              <w:autoSpaceDN w:val="0"/>
              <w:adjustRightInd w:val="0"/>
              <w:spacing w:before="0" w:after="0"/>
              <w:rPr>
                <w:rFonts w:ascii="Times New Roman" w:hAnsi="Times New Roman"/>
                <w:sz w:val="24"/>
              </w:rPr>
            </w:pPr>
          </w:p>
          <w:p w14:paraId="1F99F140" w14:textId="697756FD"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Ezt az információt akkor is fel kell tüntetni, ha az adatszolgáltató intézmény nem rendelkezik pozícióval az értékpapírosításban.</w:t>
            </w:r>
          </w:p>
          <w:p w14:paraId="6FC8F04D" w14:textId="77777777" w:rsidR="001B1411" w:rsidRPr="00DA7625" w:rsidRDefault="001B1411">
            <w:pPr>
              <w:autoSpaceDE w:val="0"/>
              <w:autoSpaceDN w:val="0"/>
              <w:adjustRightInd w:val="0"/>
              <w:spacing w:before="0" w:after="0"/>
              <w:jc w:val="left"/>
              <w:rPr>
                <w:rFonts w:ascii="Times New Roman" w:hAnsi="Times New Roman"/>
                <w:sz w:val="24"/>
              </w:rPr>
            </w:pPr>
          </w:p>
        </w:tc>
      </w:tr>
      <w:tr w:rsidR="001B1411" w:rsidRPr="00DA7625" w14:paraId="73C7DA2A" w14:textId="77777777" w:rsidTr="00E10B85">
        <w:tc>
          <w:tcPr>
            <w:tcW w:w="1101" w:type="dxa"/>
          </w:tcPr>
          <w:p w14:paraId="41C7EC33" w14:textId="77777777" w:rsidR="001B1411" w:rsidRPr="00DA7625" w:rsidRDefault="00C55547">
            <w:pPr>
              <w:autoSpaceDE w:val="0"/>
              <w:autoSpaceDN w:val="0"/>
              <w:adjustRightInd w:val="0"/>
              <w:spacing w:before="0" w:after="0"/>
              <w:rPr>
                <w:rFonts w:ascii="Times New Roman" w:hAnsi="Times New Roman"/>
                <w:bCs/>
                <w:sz w:val="24"/>
              </w:rPr>
            </w:pPr>
            <w:r w:rsidRPr="00DA7625">
              <w:rPr>
                <w:rFonts w:ascii="Times New Roman" w:hAnsi="Times New Roman"/>
                <w:bCs/>
                <w:sz w:val="24"/>
              </w:rPr>
              <w:t>150</w:t>
            </w:r>
          </w:p>
        </w:tc>
        <w:tc>
          <w:tcPr>
            <w:tcW w:w="7903" w:type="dxa"/>
          </w:tcPr>
          <w:p w14:paraId="2DBD447C"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AZ INTÉZMÉNY RÉSZESEDÉSE (%)</w:t>
            </w:r>
          </w:p>
          <w:p w14:paraId="50F9085C" w14:textId="77777777" w:rsidR="001B1411" w:rsidRPr="00DA7625" w:rsidRDefault="001B1411">
            <w:pPr>
              <w:spacing w:before="0" w:after="0"/>
              <w:jc w:val="left"/>
              <w:rPr>
                <w:rFonts w:ascii="Times New Roman" w:hAnsi="Times New Roman"/>
                <w:sz w:val="24"/>
              </w:rPr>
            </w:pPr>
          </w:p>
          <w:p w14:paraId="7CC29DEA" w14:textId="77777777" w:rsidR="001B1411" w:rsidRPr="00DA7625" w:rsidRDefault="00EE2BEA">
            <w:pPr>
              <w:spacing w:before="0" w:after="0"/>
              <w:rPr>
                <w:rFonts w:ascii="Times New Roman" w:hAnsi="Times New Roman"/>
                <w:sz w:val="24"/>
              </w:rPr>
            </w:pPr>
            <w:r w:rsidRPr="00DA7625">
              <w:rPr>
                <w:rFonts w:ascii="Times New Roman" w:hAnsi="Times New Roman"/>
                <w:sz w:val="24"/>
              </w:rPr>
              <w:t xml:space="preserve">Az intézménynek az értékpapírosított portfólióban az adatszolgáltatás időpontjában meglévő részesedését kell megadni (százalékban, két tizedesjegy pontossággal). Az ebben az oszlopban feltüntetendő érték alapértelmezés szerint 100 %, kivéve a több eladó részvételével működő értékpapírosítási programokat. Az </w:t>
            </w:r>
            <w:r w:rsidRPr="00DA7625">
              <w:rPr>
                <w:rFonts w:ascii="Times New Roman" w:hAnsi="Times New Roman"/>
                <w:sz w:val="24"/>
              </w:rPr>
              <w:lastRenderedPageBreak/>
              <w:t>utóbbi esetben az adatszolgáltató intézménynek az értékpapírosított portfólióban meglévő aktuális hozzájárulását kell megadnia (arányát tekintve a 140-es oszlopnak felel meg).</w:t>
            </w:r>
          </w:p>
          <w:p w14:paraId="51311ACF" w14:textId="77777777" w:rsidR="001B1411" w:rsidRPr="00DA7625" w:rsidRDefault="001B1411">
            <w:pPr>
              <w:spacing w:before="0" w:after="0"/>
              <w:rPr>
                <w:rFonts w:ascii="Times New Roman" w:hAnsi="Times New Roman"/>
                <w:sz w:val="24"/>
              </w:rPr>
            </w:pPr>
          </w:p>
          <w:p w14:paraId="63DE5A54" w14:textId="225113BC"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Ezt az információt akkor is fel kell tüntetni, ha az adatszolgáltató intézmény nem rendelkezik pozícióval az értékpapírosításban.</w:t>
            </w:r>
          </w:p>
          <w:p w14:paraId="643C2E44" w14:textId="77777777" w:rsidR="001B1411" w:rsidRPr="00DA7625" w:rsidRDefault="001B1411">
            <w:pPr>
              <w:autoSpaceDE w:val="0"/>
              <w:autoSpaceDN w:val="0"/>
              <w:adjustRightInd w:val="0"/>
              <w:spacing w:before="0" w:after="0"/>
              <w:jc w:val="left"/>
              <w:rPr>
                <w:rFonts w:ascii="Times New Roman" w:hAnsi="Times New Roman"/>
                <w:sz w:val="24"/>
              </w:rPr>
            </w:pPr>
          </w:p>
        </w:tc>
      </w:tr>
      <w:tr w:rsidR="001B1411" w:rsidRPr="00DA7625" w14:paraId="7A56B349" w14:textId="77777777" w:rsidTr="00E10B85">
        <w:tc>
          <w:tcPr>
            <w:tcW w:w="1101" w:type="dxa"/>
          </w:tcPr>
          <w:p w14:paraId="550979F0" w14:textId="77777777" w:rsidR="001B1411" w:rsidRPr="00DA7625" w:rsidDel="00817047" w:rsidRDefault="00C55547">
            <w:pPr>
              <w:autoSpaceDE w:val="0"/>
              <w:autoSpaceDN w:val="0"/>
              <w:adjustRightInd w:val="0"/>
              <w:spacing w:before="0" w:after="0"/>
              <w:rPr>
                <w:rFonts w:ascii="Times New Roman" w:hAnsi="Times New Roman"/>
                <w:bCs/>
                <w:sz w:val="24"/>
              </w:rPr>
            </w:pPr>
            <w:r w:rsidRPr="00DA7625">
              <w:rPr>
                <w:rFonts w:ascii="Times New Roman" w:hAnsi="Times New Roman"/>
                <w:bCs/>
                <w:sz w:val="24"/>
              </w:rPr>
              <w:lastRenderedPageBreak/>
              <w:t>160</w:t>
            </w:r>
          </w:p>
        </w:tc>
        <w:tc>
          <w:tcPr>
            <w:tcW w:w="7903" w:type="dxa"/>
          </w:tcPr>
          <w:p w14:paraId="6797CF9E"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TÍPUS</w:t>
            </w:r>
          </w:p>
          <w:p w14:paraId="4604BBA9" w14:textId="77777777" w:rsidR="001B1411" w:rsidRPr="00DA7625" w:rsidRDefault="001B1411">
            <w:pPr>
              <w:autoSpaceDE w:val="0"/>
              <w:autoSpaceDN w:val="0"/>
              <w:adjustRightInd w:val="0"/>
              <w:spacing w:before="0" w:after="0"/>
              <w:rPr>
                <w:rFonts w:ascii="Times New Roman" w:hAnsi="Times New Roman"/>
                <w:sz w:val="24"/>
              </w:rPr>
            </w:pPr>
          </w:p>
          <w:p w14:paraId="3EA02560"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Ez az oszlop az értékpapírosított portfólióban lévő eszközökről (lakóingatlant terhelő jelzálog – egyéb nem lakossági kitettségek) és kötelezettségekről (fedezett kötvények és egyéb kötelezettségek) gyűjt információkat. Az intézménynek a következő opciók egyikét kell feltüntetnie a legmagasabb EAD figyelembevételével:</w:t>
            </w:r>
          </w:p>
          <w:p w14:paraId="20C6ABB1" w14:textId="77777777" w:rsidR="001B1411" w:rsidRPr="00DA7625" w:rsidRDefault="001B1411">
            <w:pPr>
              <w:autoSpaceDE w:val="0"/>
              <w:autoSpaceDN w:val="0"/>
              <w:adjustRightInd w:val="0"/>
              <w:spacing w:before="0" w:after="0"/>
              <w:jc w:val="left"/>
              <w:rPr>
                <w:rFonts w:ascii="Times New Roman" w:hAnsi="Times New Roman"/>
                <w:sz w:val="24"/>
              </w:rPr>
            </w:pPr>
          </w:p>
          <w:p w14:paraId="00B57AA6" w14:textId="77777777" w:rsidR="001B1411" w:rsidRPr="00DA7625" w:rsidRDefault="00C55547">
            <w:pPr>
              <w:autoSpaceDE w:val="0"/>
              <w:autoSpaceDN w:val="0"/>
              <w:adjustRightInd w:val="0"/>
              <w:spacing w:before="0" w:after="0"/>
              <w:jc w:val="left"/>
              <w:rPr>
                <w:rFonts w:ascii="Times New Roman" w:hAnsi="Times New Roman"/>
                <w:b/>
                <w:sz w:val="24"/>
              </w:rPr>
            </w:pPr>
            <w:r w:rsidRPr="00DA7625">
              <w:rPr>
                <w:rFonts w:ascii="Times New Roman" w:hAnsi="Times New Roman"/>
                <w:b/>
                <w:sz w:val="24"/>
              </w:rPr>
              <w:t>Lakosság:</w:t>
            </w:r>
          </w:p>
          <w:p w14:paraId="4D2EE182"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xml:space="preserve">lakóingatlant terhelő jelzálog; </w:t>
            </w:r>
          </w:p>
          <w:p w14:paraId="1A8E22B4"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xml:space="preserve">hitelkártya-követelés; </w:t>
            </w:r>
          </w:p>
          <w:p w14:paraId="59D6169A"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fogyasztási hitel;</w:t>
            </w:r>
          </w:p>
          <w:p w14:paraId="052DE92A"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kkv-knak nyújtott hitel (lakosságiként kezelt);</w:t>
            </w:r>
          </w:p>
          <w:p w14:paraId="4D56B438"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egyéb lakossággal szembeni kitettségek.</w:t>
            </w:r>
          </w:p>
          <w:p w14:paraId="124C9885" w14:textId="77777777" w:rsidR="001B1411" w:rsidRPr="00DA7625" w:rsidRDefault="001B1411">
            <w:pPr>
              <w:autoSpaceDE w:val="0"/>
              <w:autoSpaceDN w:val="0"/>
              <w:adjustRightInd w:val="0"/>
              <w:spacing w:before="0" w:after="0"/>
              <w:jc w:val="left"/>
              <w:rPr>
                <w:rFonts w:ascii="Times New Roman" w:hAnsi="Times New Roman"/>
                <w:sz w:val="24"/>
              </w:rPr>
            </w:pPr>
          </w:p>
          <w:p w14:paraId="1F83E76E" w14:textId="77777777" w:rsidR="001B1411" w:rsidRPr="00DA7625" w:rsidRDefault="00C55547">
            <w:pPr>
              <w:autoSpaceDE w:val="0"/>
              <w:autoSpaceDN w:val="0"/>
              <w:adjustRightInd w:val="0"/>
              <w:spacing w:before="0" w:after="0"/>
              <w:jc w:val="left"/>
              <w:rPr>
                <w:rFonts w:ascii="Times New Roman" w:hAnsi="Times New Roman"/>
                <w:b/>
                <w:sz w:val="24"/>
              </w:rPr>
            </w:pPr>
            <w:r w:rsidRPr="00DA7625">
              <w:rPr>
                <w:rFonts w:ascii="Times New Roman" w:hAnsi="Times New Roman"/>
                <w:b/>
                <w:sz w:val="24"/>
              </w:rPr>
              <w:t>Nem lakosság:</w:t>
            </w:r>
          </w:p>
          <w:p w14:paraId="22523AE2"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xml:space="preserve">kereskedelmi ingatlant terhelő jelzálog; </w:t>
            </w:r>
          </w:p>
          <w:p w14:paraId="47A9B45C"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xml:space="preserve">lízing; </w:t>
            </w:r>
          </w:p>
          <w:p w14:paraId="54791978"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vállalatoknak nyújtott hitelek;</w:t>
            </w:r>
          </w:p>
          <w:p w14:paraId="44D2E796"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xml:space="preserve">kkv-knak nyújtott hitel (vállalatiként kezelt); </w:t>
            </w:r>
          </w:p>
          <w:p w14:paraId="6A0B3AE8"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kereskedelemfinanszírozás;</w:t>
            </w:r>
          </w:p>
          <w:p w14:paraId="4BDFD92E"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xml:space="preserve">egyéb nem lakossági kitettségek. </w:t>
            </w:r>
          </w:p>
          <w:p w14:paraId="659BA010" w14:textId="77777777" w:rsidR="001B1411" w:rsidRPr="00DA7625" w:rsidRDefault="001B1411">
            <w:pPr>
              <w:autoSpaceDE w:val="0"/>
              <w:autoSpaceDN w:val="0"/>
              <w:adjustRightInd w:val="0"/>
              <w:spacing w:before="0" w:after="0"/>
              <w:jc w:val="left"/>
              <w:rPr>
                <w:rFonts w:ascii="Times New Roman" w:hAnsi="Times New Roman"/>
                <w:sz w:val="24"/>
              </w:rPr>
            </w:pPr>
          </w:p>
          <w:p w14:paraId="1E58644D" w14:textId="77777777" w:rsidR="001B1411" w:rsidRPr="00DA7625" w:rsidRDefault="00C55547">
            <w:pPr>
              <w:autoSpaceDE w:val="0"/>
              <w:autoSpaceDN w:val="0"/>
              <w:adjustRightInd w:val="0"/>
              <w:spacing w:before="0" w:after="0"/>
              <w:jc w:val="left"/>
              <w:rPr>
                <w:rFonts w:ascii="Times New Roman" w:hAnsi="Times New Roman"/>
                <w:b/>
                <w:sz w:val="24"/>
              </w:rPr>
            </w:pPr>
            <w:r w:rsidRPr="00DA7625">
              <w:rPr>
                <w:rFonts w:ascii="Times New Roman" w:hAnsi="Times New Roman"/>
                <w:b/>
                <w:sz w:val="24"/>
              </w:rPr>
              <w:t>Kötelezettségek:</w:t>
            </w:r>
          </w:p>
          <w:p w14:paraId="400C9352"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fedezett kötvények;</w:t>
            </w:r>
          </w:p>
          <w:p w14:paraId="3D7C9737"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egyéb kötelezettségek.</w:t>
            </w:r>
          </w:p>
          <w:p w14:paraId="6FC1FE6E" w14:textId="77777777" w:rsidR="001B1411" w:rsidRPr="00DA7625" w:rsidRDefault="001B1411">
            <w:pPr>
              <w:autoSpaceDE w:val="0"/>
              <w:autoSpaceDN w:val="0"/>
              <w:adjustRightInd w:val="0"/>
              <w:spacing w:before="0" w:after="0"/>
              <w:jc w:val="left"/>
              <w:rPr>
                <w:rFonts w:ascii="Times New Roman" w:hAnsi="Times New Roman"/>
                <w:sz w:val="24"/>
              </w:rPr>
            </w:pPr>
          </w:p>
          <w:p w14:paraId="004ABFEB" w14:textId="05FCF263" w:rsidR="001B1411" w:rsidRPr="00DA7625" w:rsidRDefault="005E5070">
            <w:pPr>
              <w:autoSpaceDE w:val="0"/>
              <w:autoSpaceDN w:val="0"/>
              <w:adjustRightInd w:val="0"/>
              <w:spacing w:before="0" w:after="0"/>
              <w:rPr>
                <w:rFonts w:ascii="Times New Roman" w:hAnsi="Times New Roman"/>
                <w:sz w:val="24"/>
              </w:rPr>
            </w:pPr>
            <w:r w:rsidRPr="00DA7625">
              <w:rPr>
                <w:rFonts w:ascii="Times New Roman" w:hAnsi="Times New Roman"/>
                <w:sz w:val="24"/>
              </w:rPr>
              <w:t>Ha az értékpapírosított kitettségek halmaza a fent felsorolt típusokat vegyesen tartalmazza, akkor az intézménynek a legfontosabb típust kell feltüntetnie. Újra-értékpapírosítás esetén az intézménynek a végső alapul szolgáló eszközhalmazt kell megjelölnie. Az „egyéb kötelezettség” típus az államkötvényeket és a hitelkockázati eseményhez kapcsolt értékpapírokat foglalja magában.</w:t>
            </w:r>
          </w:p>
          <w:p w14:paraId="4EB15AE2" w14:textId="77777777" w:rsidR="001B1411" w:rsidRPr="00DA7625" w:rsidRDefault="001B1411">
            <w:pPr>
              <w:autoSpaceDE w:val="0"/>
              <w:autoSpaceDN w:val="0"/>
              <w:adjustRightInd w:val="0"/>
              <w:spacing w:before="0" w:after="0"/>
              <w:rPr>
                <w:rFonts w:ascii="Times New Roman" w:hAnsi="Times New Roman"/>
                <w:sz w:val="24"/>
              </w:rPr>
            </w:pPr>
          </w:p>
          <w:p w14:paraId="04F87902"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A zárt halmazzal fedezett értékpapírosítási programoknál a típus az adatszolgáltatás időpontjai között nem változhat.</w:t>
            </w:r>
          </w:p>
          <w:p w14:paraId="4B46E89D" w14:textId="77777777" w:rsidR="001B1411" w:rsidRPr="00DA7625" w:rsidRDefault="001B1411">
            <w:pPr>
              <w:spacing w:before="0" w:after="0"/>
              <w:jc w:val="left"/>
              <w:rPr>
                <w:rFonts w:ascii="Times New Roman" w:hAnsi="Times New Roman"/>
                <w:b/>
                <w:sz w:val="24"/>
                <w:u w:val="single"/>
              </w:rPr>
            </w:pPr>
          </w:p>
        </w:tc>
      </w:tr>
      <w:tr w:rsidR="001B1411" w:rsidRPr="00DA7625" w14:paraId="646A03A8" w14:textId="77777777" w:rsidTr="00E10B85">
        <w:tc>
          <w:tcPr>
            <w:tcW w:w="1101" w:type="dxa"/>
          </w:tcPr>
          <w:p w14:paraId="6B28F911" w14:textId="77777777" w:rsidR="001B1411" w:rsidRPr="00DA7625" w:rsidRDefault="00C55547">
            <w:pPr>
              <w:autoSpaceDE w:val="0"/>
              <w:autoSpaceDN w:val="0"/>
              <w:adjustRightInd w:val="0"/>
              <w:spacing w:before="0" w:after="0"/>
              <w:rPr>
                <w:rFonts w:ascii="Times New Roman" w:hAnsi="Times New Roman"/>
                <w:bCs/>
                <w:sz w:val="24"/>
              </w:rPr>
            </w:pPr>
            <w:r w:rsidRPr="00DA7625">
              <w:rPr>
                <w:rFonts w:ascii="Times New Roman" w:hAnsi="Times New Roman"/>
                <w:bCs/>
                <w:sz w:val="24"/>
              </w:rPr>
              <w:t>171</w:t>
            </w:r>
          </w:p>
        </w:tc>
        <w:tc>
          <w:tcPr>
            <w:tcW w:w="7903" w:type="dxa"/>
          </w:tcPr>
          <w:p w14:paraId="1DE803A1"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AZ IRB %-OS ARÁNYA AZ ALKALMAZOTT MÓDSZEREK KÖZÖTT</w:t>
            </w:r>
          </w:p>
          <w:p w14:paraId="68DFF41A" w14:textId="77777777" w:rsidR="001B1411" w:rsidRPr="00DA7625" w:rsidRDefault="001B1411">
            <w:pPr>
              <w:spacing w:before="0" w:after="0"/>
              <w:jc w:val="left"/>
              <w:rPr>
                <w:rFonts w:ascii="Times New Roman" w:hAnsi="Times New Roman"/>
                <w:sz w:val="24"/>
              </w:rPr>
            </w:pPr>
          </w:p>
          <w:p w14:paraId="72A4879F"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Ez az oszlop arról a módszerről (azokról a módszerekről) gyűjt információkat, amelye(ke)t az intézmény az adatszolgáltatás időpontjában alkalmazna az értékpapírosított kitettségekre.</w:t>
            </w:r>
          </w:p>
          <w:p w14:paraId="2CF3DA78" w14:textId="77777777" w:rsidR="001B1411" w:rsidRPr="00DA7625" w:rsidRDefault="001B1411">
            <w:pPr>
              <w:autoSpaceDE w:val="0"/>
              <w:autoSpaceDN w:val="0"/>
              <w:adjustRightInd w:val="0"/>
              <w:spacing w:before="0" w:after="0"/>
              <w:jc w:val="left"/>
              <w:rPr>
                <w:rFonts w:ascii="Times New Roman" w:hAnsi="Times New Roman"/>
                <w:sz w:val="24"/>
              </w:rPr>
            </w:pPr>
          </w:p>
          <w:p w14:paraId="2211033D"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lastRenderedPageBreak/>
              <w:t xml:space="preserve">Az intézményeknek azon értékpapírosított kitettségek kitettségértékkel mért százalékos arányát kell megadniuk, amelyekre az adatszolgáltatás időpontjában a belső minősítésen alapuló módszer alkalmazandó. </w:t>
            </w:r>
          </w:p>
          <w:p w14:paraId="01B6063E" w14:textId="77777777" w:rsidR="001B1411" w:rsidRPr="00DA7625" w:rsidRDefault="001B1411">
            <w:pPr>
              <w:autoSpaceDE w:val="0"/>
              <w:autoSpaceDN w:val="0"/>
              <w:adjustRightInd w:val="0"/>
              <w:spacing w:before="0" w:after="0"/>
              <w:rPr>
                <w:rFonts w:ascii="Times New Roman" w:hAnsi="Times New Roman"/>
                <w:sz w:val="24"/>
              </w:rPr>
            </w:pPr>
          </w:p>
          <w:p w14:paraId="3F1A2C26" w14:textId="0AF4E503"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Ezt az információt akkor is fel kell tüntetni, ha az adatszolgáltató intézmény nem rendelkezik pozícióval az értékpapírosításban. Ez az oszlop azonban nem vonatkozik a kötelezettségek értékpapírosítására. </w:t>
            </w:r>
          </w:p>
          <w:p w14:paraId="6A1C8D6A" w14:textId="77777777" w:rsidR="001B1411" w:rsidRPr="00DA7625" w:rsidRDefault="001B1411">
            <w:pPr>
              <w:autoSpaceDE w:val="0"/>
              <w:autoSpaceDN w:val="0"/>
              <w:adjustRightInd w:val="0"/>
              <w:spacing w:before="0" w:after="0"/>
              <w:jc w:val="left"/>
              <w:rPr>
                <w:rFonts w:ascii="Times New Roman" w:hAnsi="Times New Roman"/>
                <w:sz w:val="24"/>
              </w:rPr>
            </w:pPr>
          </w:p>
        </w:tc>
      </w:tr>
      <w:tr w:rsidR="001B1411" w:rsidRPr="00DA7625" w14:paraId="6E9ED292" w14:textId="77777777" w:rsidTr="00E10B85">
        <w:tc>
          <w:tcPr>
            <w:tcW w:w="1101" w:type="dxa"/>
          </w:tcPr>
          <w:p w14:paraId="521B304D" w14:textId="77777777" w:rsidR="001B1411" w:rsidRPr="00DA7625" w:rsidRDefault="00C55547">
            <w:pPr>
              <w:autoSpaceDE w:val="0"/>
              <w:autoSpaceDN w:val="0"/>
              <w:adjustRightInd w:val="0"/>
              <w:spacing w:before="0" w:after="0"/>
              <w:rPr>
                <w:rFonts w:ascii="Times New Roman" w:hAnsi="Times New Roman"/>
                <w:bCs/>
                <w:sz w:val="24"/>
              </w:rPr>
            </w:pPr>
            <w:r w:rsidRPr="00DA7625">
              <w:rPr>
                <w:rFonts w:ascii="Times New Roman" w:hAnsi="Times New Roman"/>
                <w:bCs/>
                <w:sz w:val="24"/>
              </w:rPr>
              <w:lastRenderedPageBreak/>
              <w:t>180</w:t>
            </w:r>
          </w:p>
        </w:tc>
        <w:tc>
          <w:tcPr>
            <w:tcW w:w="7903" w:type="dxa"/>
            <w:shd w:val="clear" w:color="auto" w:fill="auto"/>
          </w:tcPr>
          <w:p w14:paraId="7818E5DE"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A KITETTSÉGEK SZÁMA</w:t>
            </w:r>
          </w:p>
          <w:p w14:paraId="6E376510" w14:textId="77777777" w:rsidR="001B1411" w:rsidRPr="00DA7625" w:rsidRDefault="001B1411">
            <w:pPr>
              <w:spacing w:before="0" w:after="0"/>
              <w:jc w:val="left"/>
              <w:rPr>
                <w:rFonts w:ascii="Times New Roman" w:hAnsi="Times New Roman"/>
                <w:sz w:val="24"/>
              </w:rPr>
            </w:pPr>
          </w:p>
          <w:p w14:paraId="5E2D1AE9" w14:textId="70024D4C"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A CRR 259. cikkének (4) bekezdése</w:t>
            </w:r>
          </w:p>
          <w:p w14:paraId="036E3F7B" w14:textId="77777777" w:rsidR="001B1411" w:rsidRPr="00DA7625" w:rsidRDefault="001B1411">
            <w:pPr>
              <w:autoSpaceDE w:val="0"/>
              <w:autoSpaceDN w:val="0"/>
              <w:adjustRightInd w:val="0"/>
              <w:spacing w:before="0" w:after="0"/>
              <w:jc w:val="left"/>
              <w:rPr>
                <w:rFonts w:ascii="Times New Roman" w:hAnsi="Times New Roman"/>
                <w:sz w:val="24"/>
              </w:rPr>
            </w:pPr>
          </w:p>
          <w:p w14:paraId="3785F533"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Az oszlopot azoknak az intézményeknek kötelező kitölteniük, amelyek az értékpapírosítási pozíciókra a SEC-IRBA-módszert alkalmazzák (és ennek megfelelően a 171-es oszlopban 95 %-nál nagyobb értéket adnak meg). Az intézmény a kitettségek tényleges számáról szolgáltat adatot.</w:t>
            </w:r>
          </w:p>
          <w:p w14:paraId="291C831D" w14:textId="235C5911" w:rsidR="001B1411" w:rsidRPr="00DA7625" w:rsidRDefault="001B1411">
            <w:pPr>
              <w:autoSpaceDE w:val="0"/>
              <w:autoSpaceDN w:val="0"/>
              <w:adjustRightInd w:val="0"/>
              <w:spacing w:before="0" w:after="0"/>
              <w:jc w:val="left"/>
              <w:rPr>
                <w:rFonts w:ascii="Times New Roman" w:hAnsi="Times New Roman"/>
                <w:sz w:val="24"/>
              </w:rPr>
            </w:pPr>
          </w:p>
          <w:p w14:paraId="45DEC45B" w14:textId="0F512D8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Az oszlop nem töltendő ki kötelezettségek értékpapírosítása esetén, valamint akkor, ha a szavatolótőke-követelmény az értékpapírosított kitettségeken alapul (eszközök értékpapírosítása esetén). Az oszlop nem töltendő ki, ha az adatszolgáltató intézmény nem rendelkezik pozícióval az értékpapírosításban. Az oszlopot a befektetők nem töltik ki.</w:t>
            </w:r>
          </w:p>
          <w:p w14:paraId="0E1FA237" w14:textId="77777777" w:rsidR="001B1411" w:rsidRPr="00DA7625" w:rsidRDefault="001B1411">
            <w:pPr>
              <w:autoSpaceDE w:val="0"/>
              <w:autoSpaceDN w:val="0"/>
              <w:adjustRightInd w:val="0"/>
              <w:spacing w:before="0" w:after="0"/>
              <w:jc w:val="left"/>
              <w:rPr>
                <w:rFonts w:ascii="Times New Roman" w:hAnsi="Times New Roman"/>
                <w:sz w:val="24"/>
              </w:rPr>
            </w:pPr>
          </w:p>
        </w:tc>
      </w:tr>
      <w:tr w:rsidR="001B1411" w:rsidRPr="00DA7625" w14:paraId="6B1AC828" w14:textId="77777777" w:rsidTr="00E10B85">
        <w:tc>
          <w:tcPr>
            <w:tcW w:w="1101" w:type="dxa"/>
            <w:shd w:val="clear" w:color="auto" w:fill="auto"/>
          </w:tcPr>
          <w:p w14:paraId="5E012CE3" w14:textId="77777777" w:rsidR="001B1411" w:rsidRPr="00DA7625" w:rsidRDefault="00C55547">
            <w:pPr>
              <w:autoSpaceDE w:val="0"/>
              <w:autoSpaceDN w:val="0"/>
              <w:adjustRightInd w:val="0"/>
              <w:spacing w:before="0" w:after="0"/>
              <w:rPr>
                <w:rFonts w:ascii="Times New Roman" w:hAnsi="Times New Roman"/>
                <w:bCs/>
                <w:sz w:val="24"/>
              </w:rPr>
            </w:pPr>
            <w:r w:rsidRPr="00DA7625">
              <w:rPr>
                <w:rFonts w:ascii="Times New Roman" w:hAnsi="Times New Roman"/>
                <w:bCs/>
                <w:sz w:val="24"/>
              </w:rPr>
              <w:t>181</w:t>
            </w:r>
          </w:p>
        </w:tc>
        <w:tc>
          <w:tcPr>
            <w:tcW w:w="7903" w:type="dxa"/>
            <w:shd w:val="clear" w:color="auto" w:fill="auto"/>
          </w:tcPr>
          <w:p w14:paraId="6E23F86C"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NEMTELJESÍTŐ KITETTSÉGEK „W” (%)</w:t>
            </w:r>
          </w:p>
          <w:p w14:paraId="74FE4004" w14:textId="77777777" w:rsidR="001B1411" w:rsidRPr="00DA7625" w:rsidRDefault="001B1411">
            <w:pPr>
              <w:spacing w:before="0" w:after="0"/>
              <w:jc w:val="left"/>
              <w:rPr>
                <w:rFonts w:ascii="Times New Roman" w:hAnsi="Times New Roman"/>
                <w:b/>
                <w:sz w:val="24"/>
                <w:u w:val="single"/>
              </w:rPr>
            </w:pPr>
          </w:p>
          <w:p w14:paraId="58EAD229" w14:textId="384C4B6A" w:rsidR="001B1411" w:rsidRPr="00DA7625" w:rsidRDefault="00C55547">
            <w:pPr>
              <w:spacing w:before="0" w:after="0"/>
              <w:jc w:val="left"/>
              <w:rPr>
                <w:rFonts w:ascii="Times New Roman" w:hAnsi="Times New Roman"/>
                <w:sz w:val="24"/>
              </w:rPr>
            </w:pPr>
            <w:r w:rsidRPr="00DA7625">
              <w:rPr>
                <w:rFonts w:ascii="Times New Roman" w:hAnsi="Times New Roman"/>
                <w:sz w:val="24"/>
              </w:rPr>
              <w:t>A CRR 261. cikkének (2) bekezdése</w:t>
            </w:r>
          </w:p>
          <w:p w14:paraId="438D60B6" w14:textId="77777777" w:rsidR="001B1411" w:rsidRPr="00DA7625" w:rsidRDefault="001B1411">
            <w:pPr>
              <w:spacing w:before="0" w:after="0"/>
              <w:jc w:val="left"/>
              <w:rPr>
                <w:rFonts w:ascii="Times New Roman" w:hAnsi="Times New Roman"/>
                <w:sz w:val="24"/>
              </w:rPr>
            </w:pPr>
          </w:p>
          <w:p w14:paraId="21C3FC96" w14:textId="360E679D" w:rsidR="001B1411" w:rsidRPr="00DA7625" w:rsidRDefault="00C55547">
            <w:pPr>
              <w:spacing w:before="0" w:after="0"/>
              <w:jc w:val="left"/>
              <w:rPr>
                <w:rFonts w:ascii="Times New Roman" w:hAnsi="Times New Roman"/>
                <w:sz w:val="24"/>
              </w:rPr>
            </w:pPr>
            <w:r w:rsidRPr="00DA7625">
              <w:rPr>
                <w:rFonts w:ascii="Times New Roman" w:hAnsi="Times New Roman"/>
                <w:sz w:val="24"/>
              </w:rPr>
              <w:t xml:space="preserve">Az intézménynek meg kell adnia a CRR 261. cikkének (2) bekezdése szerint kiszámított W-t (a nemteljesítő alapul szolgáló kitettségekre), még abban az esetben is, ha nem alkalmazza a SEC-SA módszert az értékpapírosítási pozíciókra. </w:t>
            </w:r>
          </w:p>
          <w:p w14:paraId="76BDD17E" w14:textId="77777777" w:rsidR="001B1411" w:rsidRPr="00DA7625" w:rsidRDefault="001B1411">
            <w:pPr>
              <w:spacing w:before="0" w:after="0"/>
              <w:jc w:val="left"/>
              <w:rPr>
                <w:rFonts w:ascii="Times New Roman" w:hAnsi="Times New Roman"/>
                <w:b/>
                <w:sz w:val="24"/>
                <w:u w:val="single"/>
              </w:rPr>
            </w:pPr>
          </w:p>
        </w:tc>
      </w:tr>
      <w:tr w:rsidR="001B1411" w:rsidRPr="00DA7625" w14:paraId="730B382C" w14:textId="77777777" w:rsidTr="00E10B85">
        <w:tc>
          <w:tcPr>
            <w:tcW w:w="1101" w:type="dxa"/>
            <w:shd w:val="clear" w:color="auto" w:fill="auto"/>
          </w:tcPr>
          <w:p w14:paraId="7D7D8A42" w14:textId="77777777" w:rsidR="001B1411" w:rsidRPr="00DA7625" w:rsidDel="00A749EA" w:rsidRDefault="00C55547">
            <w:pPr>
              <w:autoSpaceDE w:val="0"/>
              <w:autoSpaceDN w:val="0"/>
              <w:adjustRightInd w:val="0"/>
              <w:spacing w:before="0" w:after="0"/>
              <w:rPr>
                <w:rFonts w:ascii="Times New Roman" w:hAnsi="Times New Roman"/>
                <w:bCs/>
                <w:sz w:val="24"/>
              </w:rPr>
            </w:pPr>
            <w:r w:rsidRPr="00DA7625">
              <w:rPr>
                <w:rFonts w:ascii="Times New Roman" w:hAnsi="Times New Roman"/>
                <w:bCs/>
                <w:sz w:val="24"/>
              </w:rPr>
              <w:t>190</w:t>
            </w:r>
          </w:p>
        </w:tc>
        <w:tc>
          <w:tcPr>
            <w:tcW w:w="7903" w:type="dxa"/>
            <w:shd w:val="clear" w:color="auto" w:fill="auto"/>
          </w:tcPr>
          <w:p w14:paraId="542DFD30"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ORSZÁG</w:t>
            </w:r>
          </w:p>
          <w:p w14:paraId="0356F3FB" w14:textId="77777777" w:rsidR="001B1411" w:rsidRPr="00DA7625" w:rsidRDefault="001B1411">
            <w:pPr>
              <w:spacing w:before="0" w:after="0"/>
              <w:jc w:val="left"/>
              <w:rPr>
                <w:rFonts w:ascii="Times New Roman" w:hAnsi="Times New Roman"/>
                <w:sz w:val="24"/>
              </w:rPr>
            </w:pPr>
          </w:p>
          <w:p w14:paraId="39DA99FC" w14:textId="4B2CF478" w:rsidR="001B1411" w:rsidRPr="00DA7625" w:rsidRDefault="00EE2BEA">
            <w:pPr>
              <w:spacing w:before="0" w:after="0"/>
              <w:rPr>
                <w:rFonts w:ascii="Times New Roman" w:hAnsi="Times New Roman"/>
                <w:sz w:val="24"/>
              </w:rPr>
            </w:pPr>
            <w:r w:rsidRPr="00DA7625">
              <w:rPr>
                <w:rFonts w:ascii="Times New Roman" w:hAnsi="Times New Roman"/>
                <w:sz w:val="24"/>
              </w:rPr>
              <w:t>Az intézmény az ISO 3166-1 alpha-2 szabvány szerinti kód alapján az ügylet végső alapul szolgáló eszközeinek származási országát adja meg, vagyis az eredeti értékpapírosított kitettségek közvetlen kötelezettjének az országát (alapul szolgáló eszközök vizsgálata). Ha az értékpapírosítás halmaza több országot tartalmaz, akkor az intézménynek a legfontosabb országot kell feltüntetnie. Ha az eszközök és kötelezettségek összege alapján számított 20 %-os küszöböt egyik ország sem lépi túl, akkor az „egyéb országok” értéket kell feltüntetni.</w:t>
            </w:r>
          </w:p>
          <w:p w14:paraId="12521C0F" w14:textId="77777777" w:rsidR="001B1411" w:rsidRPr="00DA7625" w:rsidRDefault="001B1411">
            <w:pPr>
              <w:spacing w:before="0" w:after="0"/>
              <w:rPr>
                <w:rFonts w:ascii="Times New Roman" w:hAnsi="Times New Roman"/>
                <w:sz w:val="24"/>
              </w:rPr>
            </w:pPr>
          </w:p>
        </w:tc>
      </w:tr>
      <w:tr w:rsidR="001B1411" w:rsidRPr="00DA7625" w14:paraId="3BEDBFD7" w14:textId="77777777" w:rsidTr="00E10B85">
        <w:tc>
          <w:tcPr>
            <w:tcW w:w="1101" w:type="dxa"/>
          </w:tcPr>
          <w:p w14:paraId="1076F031" w14:textId="77777777" w:rsidR="001B1411" w:rsidRPr="00DA7625" w:rsidRDefault="00C55547">
            <w:pPr>
              <w:autoSpaceDE w:val="0"/>
              <w:autoSpaceDN w:val="0"/>
              <w:adjustRightInd w:val="0"/>
              <w:spacing w:before="0" w:after="0"/>
              <w:rPr>
                <w:rFonts w:ascii="Times New Roman" w:hAnsi="Times New Roman"/>
                <w:bCs/>
                <w:sz w:val="24"/>
                <w:highlight w:val="yellow"/>
              </w:rPr>
            </w:pPr>
            <w:r w:rsidRPr="00DA7625">
              <w:rPr>
                <w:rFonts w:ascii="Times New Roman" w:hAnsi="Times New Roman"/>
                <w:bCs/>
                <w:sz w:val="24"/>
              </w:rPr>
              <w:t>201</w:t>
            </w:r>
          </w:p>
        </w:tc>
        <w:tc>
          <w:tcPr>
            <w:tcW w:w="7903" w:type="dxa"/>
          </w:tcPr>
          <w:p w14:paraId="3DE9332F"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 xml:space="preserve">LGD (%) </w:t>
            </w:r>
          </w:p>
          <w:p w14:paraId="365D726F" w14:textId="77777777" w:rsidR="001B1411" w:rsidRPr="00DA7625" w:rsidRDefault="001B1411">
            <w:pPr>
              <w:spacing w:before="0" w:after="0"/>
              <w:jc w:val="left"/>
              <w:rPr>
                <w:rFonts w:ascii="Times New Roman" w:hAnsi="Times New Roman"/>
                <w:sz w:val="24"/>
              </w:rPr>
            </w:pPr>
          </w:p>
          <w:p w14:paraId="39FBD66E" w14:textId="16AB6E45"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 kitettséggel súlyozott átlagos LGD értékét csak azok az intézmények adják meg, amelyek a SEC-IRBA-t alkalmazzák (és ennek megfelelően a 170-es oszlopban legalább 95 %-os értéket tüntetnek fel). Az LGD értékét a CRR 259. cikkének (5) bekezdése alapján kell kiszámítani. </w:t>
            </w:r>
          </w:p>
          <w:p w14:paraId="0D5E0617" w14:textId="49B21C44"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Az oszlop nem töltendő ki kötelezettségek értékpapírosítása esetén, valamint akkor, ha a szavatolótőke-követelmény az értékpapírosított kitettségeken alapul (eszközök értékpapírosítása esetén). </w:t>
            </w:r>
          </w:p>
          <w:p w14:paraId="6B1C68CF" w14:textId="77777777" w:rsidR="001B1411" w:rsidRPr="00DA7625" w:rsidRDefault="001B1411">
            <w:pPr>
              <w:spacing w:before="0" w:after="0"/>
              <w:jc w:val="left"/>
              <w:rPr>
                <w:rFonts w:ascii="Times New Roman" w:hAnsi="Times New Roman"/>
                <w:sz w:val="24"/>
              </w:rPr>
            </w:pPr>
          </w:p>
        </w:tc>
      </w:tr>
      <w:tr w:rsidR="001B1411" w:rsidRPr="00DA7625" w14:paraId="1293712A" w14:textId="77777777" w:rsidTr="00E10B85">
        <w:tc>
          <w:tcPr>
            <w:tcW w:w="1101" w:type="dxa"/>
          </w:tcPr>
          <w:p w14:paraId="2AE571A6" w14:textId="77777777" w:rsidR="001B1411" w:rsidRPr="00DA7625" w:rsidRDefault="00C55547">
            <w:pPr>
              <w:autoSpaceDE w:val="0"/>
              <w:autoSpaceDN w:val="0"/>
              <w:adjustRightInd w:val="0"/>
              <w:spacing w:before="0" w:after="0"/>
              <w:rPr>
                <w:rFonts w:ascii="Times New Roman" w:hAnsi="Times New Roman"/>
                <w:bCs/>
                <w:sz w:val="24"/>
              </w:rPr>
            </w:pPr>
            <w:r w:rsidRPr="00DA7625">
              <w:rPr>
                <w:rFonts w:ascii="Times New Roman" w:hAnsi="Times New Roman"/>
                <w:bCs/>
                <w:sz w:val="24"/>
              </w:rPr>
              <w:lastRenderedPageBreak/>
              <w:t>202</w:t>
            </w:r>
          </w:p>
        </w:tc>
        <w:tc>
          <w:tcPr>
            <w:tcW w:w="7903" w:type="dxa"/>
          </w:tcPr>
          <w:p w14:paraId="3F45BF47"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EL (%)</w:t>
            </w:r>
          </w:p>
          <w:p w14:paraId="71C7D5B1" w14:textId="77777777" w:rsidR="001B1411" w:rsidRPr="00DA7625" w:rsidRDefault="001B1411">
            <w:pPr>
              <w:spacing w:before="0" w:after="0"/>
              <w:jc w:val="left"/>
              <w:rPr>
                <w:rFonts w:ascii="Times New Roman" w:hAnsi="Times New Roman"/>
                <w:b/>
                <w:sz w:val="24"/>
                <w:u w:val="single"/>
              </w:rPr>
            </w:pPr>
          </w:p>
          <w:p w14:paraId="1A5DCB68" w14:textId="6EDABEF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Az értékpapírosított eszközök kitettséggel súlyozott átlagos várható veszteségének (EL) értékét csak azok az intézmények adják meg, amelyek a SEC-IRBA-t alkalmazzák (és ennek megfelelően a 171-es oszlopban legalább 95 %-os értéket tüntetnek fel). SA értékpapírosított eszközök esetében a feltüntetendő EL a CRR 111. cikkében említett egyedi hitelkockázati kiigazítás. Az EL-t a CRR harmadik része II. címe 3. fejezetének 3. szakaszában foglaltak szerint kell kiszámítani. Az oszlop nem töltendő ki kötelezettségek értékpapírosítása esetén, valamint akkor, ha a szavatolótőke-követelmény az értékpapírosított kitettségeken alapul (eszközök értékpapírosítása esetén).</w:t>
            </w:r>
          </w:p>
          <w:p w14:paraId="1B512209" w14:textId="77777777" w:rsidR="001B1411" w:rsidRPr="00DA7625" w:rsidRDefault="001B1411">
            <w:pPr>
              <w:spacing w:before="0" w:after="0"/>
              <w:jc w:val="left"/>
              <w:rPr>
                <w:rFonts w:ascii="Times New Roman" w:hAnsi="Times New Roman"/>
                <w:b/>
                <w:sz w:val="24"/>
                <w:u w:val="single"/>
              </w:rPr>
            </w:pPr>
          </w:p>
        </w:tc>
      </w:tr>
      <w:tr w:rsidR="001B1411" w:rsidRPr="00DA7625" w14:paraId="2CA50EAA" w14:textId="77777777" w:rsidTr="00E10B85">
        <w:tc>
          <w:tcPr>
            <w:tcW w:w="1101" w:type="dxa"/>
          </w:tcPr>
          <w:p w14:paraId="3D690D15" w14:textId="77777777" w:rsidR="001B1411" w:rsidRPr="00DA7625" w:rsidRDefault="00C55547">
            <w:pPr>
              <w:autoSpaceDE w:val="0"/>
              <w:autoSpaceDN w:val="0"/>
              <w:adjustRightInd w:val="0"/>
              <w:spacing w:before="0" w:after="0"/>
              <w:rPr>
                <w:rFonts w:ascii="Times New Roman" w:hAnsi="Times New Roman"/>
                <w:bCs/>
                <w:sz w:val="24"/>
              </w:rPr>
            </w:pPr>
            <w:r w:rsidRPr="00DA7625">
              <w:rPr>
                <w:rFonts w:ascii="Times New Roman" w:hAnsi="Times New Roman"/>
                <w:bCs/>
                <w:sz w:val="24"/>
              </w:rPr>
              <w:t>203</w:t>
            </w:r>
          </w:p>
        </w:tc>
        <w:tc>
          <w:tcPr>
            <w:tcW w:w="7903" w:type="dxa"/>
          </w:tcPr>
          <w:p w14:paraId="0227BAA5"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UL (%)</w:t>
            </w:r>
          </w:p>
          <w:p w14:paraId="49300184" w14:textId="77777777" w:rsidR="001B1411" w:rsidRPr="00DA7625" w:rsidRDefault="001B1411">
            <w:pPr>
              <w:spacing w:before="0" w:after="0"/>
              <w:jc w:val="left"/>
              <w:rPr>
                <w:rFonts w:ascii="Times New Roman" w:hAnsi="Times New Roman"/>
                <w:b/>
                <w:sz w:val="24"/>
                <w:u w:val="single"/>
              </w:rPr>
            </w:pPr>
          </w:p>
          <w:p w14:paraId="51B6F9EC" w14:textId="33098531"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Az értékpapírosított eszközök kitettséggel súlyozott átlagos nem várható veszteségének (UL) értékét csak azok az intézmények adják meg, amelyek a SEC-IRBA-t alkalmazzák (és ennek megfelelően a 170-es oszlopban legalább 95 %-os értéket tüntetnek fel). Az eszközök UL-értéke a kockázattal súlyozott kitettségérték (RWEA) szorozva 8 %-kal. Az RWEA-t a CRR harmadik része II. címe 3. fejezetének 2. szakaszában foglaltak szerint kell kiszámítani. Az oszlop nem töltendő ki kötelezettségek értékpapírosítása esetén, valamint akkor, ha a szavatolótőke-követelmény az értékpapírosított kitettségeken alapul (eszközök értékpapírosítása esetén).</w:t>
            </w:r>
          </w:p>
          <w:p w14:paraId="739EC2D3" w14:textId="77777777" w:rsidR="001B1411" w:rsidRPr="00DA7625" w:rsidRDefault="001B1411">
            <w:pPr>
              <w:spacing w:before="0" w:after="0"/>
              <w:jc w:val="left"/>
              <w:rPr>
                <w:rFonts w:ascii="Times New Roman" w:hAnsi="Times New Roman"/>
                <w:b/>
                <w:sz w:val="24"/>
                <w:u w:val="single"/>
              </w:rPr>
            </w:pPr>
          </w:p>
        </w:tc>
      </w:tr>
      <w:tr w:rsidR="001B1411" w:rsidRPr="00DA7625" w14:paraId="7F4B9387" w14:textId="77777777" w:rsidTr="00E10B85">
        <w:tc>
          <w:tcPr>
            <w:tcW w:w="1101" w:type="dxa"/>
          </w:tcPr>
          <w:p w14:paraId="53306CE5" w14:textId="77777777" w:rsidR="001B1411" w:rsidRPr="00DA7625" w:rsidRDefault="00C55547">
            <w:pPr>
              <w:autoSpaceDE w:val="0"/>
              <w:autoSpaceDN w:val="0"/>
              <w:adjustRightInd w:val="0"/>
              <w:spacing w:before="0" w:after="0"/>
              <w:rPr>
                <w:rFonts w:ascii="Times New Roman" w:hAnsi="Times New Roman"/>
                <w:bCs/>
                <w:sz w:val="24"/>
              </w:rPr>
            </w:pPr>
            <w:r w:rsidRPr="00DA7625">
              <w:rPr>
                <w:rFonts w:ascii="Times New Roman" w:hAnsi="Times New Roman"/>
                <w:bCs/>
                <w:sz w:val="24"/>
              </w:rPr>
              <w:t>204</w:t>
            </w:r>
          </w:p>
        </w:tc>
        <w:tc>
          <w:tcPr>
            <w:tcW w:w="7903" w:type="dxa"/>
          </w:tcPr>
          <w:p w14:paraId="03CE5E91"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AZ ESZKÖZÖK KITETTSÉGGEL SÚLYOZOTT ÁTLAGOS LEJÁRATA</w:t>
            </w:r>
          </w:p>
          <w:p w14:paraId="1F0E9E32" w14:textId="77777777" w:rsidR="001B1411" w:rsidRPr="00DA7625" w:rsidRDefault="001B1411">
            <w:pPr>
              <w:spacing w:before="0" w:after="0"/>
              <w:jc w:val="left"/>
              <w:rPr>
                <w:rFonts w:ascii="Times New Roman" w:hAnsi="Times New Roman"/>
                <w:b/>
                <w:sz w:val="24"/>
                <w:u w:val="single"/>
              </w:rPr>
            </w:pPr>
          </w:p>
          <w:p w14:paraId="0ED79C83" w14:textId="4174ECE7" w:rsidR="001B1411" w:rsidRPr="00DA7625" w:rsidRDefault="00C55547">
            <w:pPr>
              <w:spacing w:before="0" w:after="0"/>
              <w:jc w:val="left"/>
              <w:rPr>
                <w:rFonts w:ascii="Times New Roman" w:hAnsi="Times New Roman"/>
                <w:b/>
                <w:sz w:val="24"/>
                <w:u w:val="single"/>
              </w:rPr>
            </w:pPr>
            <w:r w:rsidRPr="00DA7625">
              <w:rPr>
                <w:rFonts w:ascii="Times New Roman" w:hAnsi="Times New Roman"/>
                <w:sz w:val="24"/>
              </w:rPr>
              <w:t>Minden intézménynek meg kell adnia az értékpapírosított eszközök adatszolgáltatás időpontjára vonatkozó, kitettséggel súlyozott átlagos lejáratát (WAM), függetlenül a tőkekövetelmények kiszámításához használt módszertől. Az intézményeknek az egyes eszközök lejáratát a CRR 162. cikke (2) bekezdésének a) és f) pontja szerint, az ötéves felső korlát alkalmazása nélkül kell kiszámítaniuk.</w:t>
            </w:r>
          </w:p>
          <w:p w14:paraId="009C17D9" w14:textId="77777777" w:rsidR="001B1411" w:rsidRPr="00DA7625" w:rsidRDefault="001B1411">
            <w:pPr>
              <w:spacing w:before="0" w:after="0"/>
              <w:jc w:val="left"/>
              <w:rPr>
                <w:rFonts w:ascii="Times New Roman" w:hAnsi="Times New Roman"/>
                <w:b/>
                <w:sz w:val="24"/>
                <w:u w:val="single"/>
              </w:rPr>
            </w:pPr>
          </w:p>
        </w:tc>
      </w:tr>
      <w:tr w:rsidR="001B1411" w:rsidRPr="00DA7625" w14:paraId="51C4B4B4" w14:textId="77777777" w:rsidTr="00E10B85">
        <w:tc>
          <w:tcPr>
            <w:tcW w:w="1101" w:type="dxa"/>
          </w:tcPr>
          <w:p w14:paraId="1167AEFD" w14:textId="77777777" w:rsidR="001B1411" w:rsidRPr="00DA7625" w:rsidRDefault="00C55547">
            <w:pPr>
              <w:autoSpaceDE w:val="0"/>
              <w:autoSpaceDN w:val="0"/>
              <w:adjustRightInd w:val="0"/>
              <w:spacing w:before="0" w:after="0"/>
              <w:rPr>
                <w:rFonts w:ascii="Times New Roman" w:hAnsi="Times New Roman"/>
                <w:bCs/>
                <w:sz w:val="24"/>
                <w:highlight w:val="yellow"/>
              </w:rPr>
            </w:pPr>
            <w:r w:rsidRPr="00DA7625">
              <w:rPr>
                <w:rFonts w:ascii="Times New Roman" w:hAnsi="Times New Roman"/>
                <w:bCs/>
                <w:sz w:val="24"/>
              </w:rPr>
              <w:t>210</w:t>
            </w:r>
          </w:p>
        </w:tc>
        <w:tc>
          <w:tcPr>
            <w:tcW w:w="7903" w:type="dxa"/>
          </w:tcPr>
          <w:p w14:paraId="51B0D230"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 ÉRTÉKELÉSI KORREKCIÓK ÉS CÉLTARTALÉKOK</w:t>
            </w:r>
          </w:p>
          <w:p w14:paraId="077C50B6" w14:textId="77777777" w:rsidR="001B1411" w:rsidRPr="00DA7625" w:rsidRDefault="001B1411">
            <w:pPr>
              <w:spacing w:before="0" w:after="0"/>
              <w:jc w:val="left"/>
              <w:rPr>
                <w:rFonts w:ascii="Times New Roman" w:hAnsi="Times New Roman"/>
                <w:sz w:val="24"/>
              </w:rPr>
            </w:pPr>
          </w:p>
          <w:p w14:paraId="4730FE5B" w14:textId="0F296EEF"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Az adatszolgáltató intézményre alkalmazandó számviteli szabályozásnak megfelelő értékelési korrekciók és hitelveszteségre képzett céltartalékok (a CRR 159. cikke). Az értékelési korrekciók magukban foglalják a pénzügyi eszközökön a mérlegben történő kezdeti megjelenítésük óta keletkezett hitelveszteségnek az eredményben elszámolt összegét (ideértve a valós értéken értékelt pénzügyi eszközök hitelkockázatából eredő, a kitettségértékből nem levonható veszteségeket), valamint a CRR 166. cikkének (1) bekezdésében említetteknek megfelelően nemteljesítőként megvásárolt eszközökre kapott kedvezményeket. A céltartalékok a mérlegen kívüli tételeken keletkezett hitelveszteségek halmozott összegét foglalják magukban.</w:t>
            </w:r>
          </w:p>
          <w:p w14:paraId="3D9AB14A" w14:textId="77777777" w:rsidR="001B1411" w:rsidRPr="00DA7625" w:rsidRDefault="001B1411">
            <w:pPr>
              <w:autoSpaceDE w:val="0"/>
              <w:autoSpaceDN w:val="0"/>
              <w:adjustRightInd w:val="0"/>
              <w:spacing w:before="0" w:after="0"/>
              <w:jc w:val="left"/>
              <w:rPr>
                <w:rFonts w:ascii="Times New Roman" w:hAnsi="Times New Roman"/>
                <w:sz w:val="24"/>
              </w:rPr>
            </w:pPr>
          </w:p>
          <w:p w14:paraId="7290419E"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Ez az oszlop az értékpapírosított kitettségekre alkalmazott értékelési korrekciókról és céltartalékokról gyűjt információkat. Az oszlop nem töltendő ki kötelezettségek értékpapírosítása esetén.</w:t>
            </w:r>
          </w:p>
          <w:p w14:paraId="23322D28" w14:textId="77777777" w:rsidR="001B1411" w:rsidRPr="00DA7625" w:rsidRDefault="001B1411">
            <w:pPr>
              <w:autoSpaceDE w:val="0"/>
              <w:autoSpaceDN w:val="0"/>
              <w:adjustRightInd w:val="0"/>
              <w:spacing w:before="0" w:after="0"/>
              <w:rPr>
                <w:rFonts w:ascii="Times New Roman" w:hAnsi="Times New Roman"/>
                <w:sz w:val="24"/>
              </w:rPr>
            </w:pPr>
          </w:p>
          <w:p w14:paraId="56FB1A97" w14:textId="43918AEF"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Ezt az információt akkor is fel kell tüntetni, ha az adatszolgáltató intézmény nem rendelkezik pozícióval az értékpapírosításban. </w:t>
            </w:r>
          </w:p>
          <w:p w14:paraId="7A38027F" w14:textId="77777777" w:rsidR="001B1411" w:rsidRPr="00DA7625" w:rsidRDefault="001B1411">
            <w:pPr>
              <w:autoSpaceDE w:val="0"/>
              <w:autoSpaceDN w:val="0"/>
              <w:adjustRightInd w:val="0"/>
              <w:spacing w:before="0" w:after="0"/>
              <w:rPr>
                <w:rFonts w:ascii="Times New Roman" w:hAnsi="Times New Roman"/>
                <w:sz w:val="24"/>
              </w:rPr>
            </w:pPr>
          </w:p>
        </w:tc>
      </w:tr>
      <w:tr w:rsidR="001B1411" w:rsidRPr="00DA7625" w14:paraId="557AB33B" w14:textId="77777777" w:rsidTr="00E10B85">
        <w:tc>
          <w:tcPr>
            <w:tcW w:w="1101" w:type="dxa"/>
          </w:tcPr>
          <w:p w14:paraId="02552CE5" w14:textId="77777777" w:rsidR="001B1411" w:rsidRPr="00DA7625" w:rsidRDefault="00C55547">
            <w:pPr>
              <w:autoSpaceDE w:val="0"/>
              <w:autoSpaceDN w:val="0"/>
              <w:adjustRightInd w:val="0"/>
              <w:spacing w:before="0" w:after="0"/>
              <w:rPr>
                <w:rFonts w:ascii="Times New Roman" w:hAnsi="Times New Roman"/>
                <w:bCs/>
                <w:sz w:val="24"/>
                <w:highlight w:val="yellow"/>
              </w:rPr>
            </w:pPr>
            <w:r w:rsidRPr="00DA7625">
              <w:rPr>
                <w:rFonts w:ascii="Times New Roman" w:hAnsi="Times New Roman"/>
                <w:sz w:val="24"/>
              </w:rPr>
              <w:lastRenderedPageBreak/>
              <w:t>221</w:t>
            </w:r>
          </w:p>
        </w:tc>
        <w:tc>
          <w:tcPr>
            <w:tcW w:w="7903" w:type="dxa"/>
          </w:tcPr>
          <w:p w14:paraId="18A7F5F5" w14:textId="77777777" w:rsidR="001B1411" w:rsidRPr="00DA7625" w:rsidRDefault="00C55547">
            <w:pPr>
              <w:spacing w:before="0" w:after="0"/>
              <w:jc w:val="left"/>
              <w:rPr>
                <w:rFonts w:ascii="Times New Roman" w:hAnsi="Times New Roman"/>
                <w:b/>
                <w:sz w:val="24"/>
                <w:u w:val="single"/>
                <w:vertAlign w:val="subscript"/>
              </w:rPr>
            </w:pPr>
            <w:r w:rsidRPr="00DA7625">
              <w:rPr>
                <w:rFonts w:ascii="Times New Roman" w:hAnsi="Times New Roman"/>
                <w:b/>
                <w:sz w:val="24"/>
                <w:u w:val="single"/>
              </w:rPr>
              <w:t>ÉRTÉKPAPÍROSÍTÁS ELŐTTI SZAVATOLÓTŐKE-KÖVETELMÉNY (%) K</w:t>
            </w:r>
            <w:r w:rsidRPr="00DA7625">
              <w:rPr>
                <w:rFonts w:ascii="Times New Roman" w:hAnsi="Times New Roman"/>
                <w:b/>
                <w:sz w:val="24"/>
                <w:u w:val="single"/>
                <w:vertAlign w:val="subscript"/>
              </w:rPr>
              <w:t>IRB</w:t>
            </w:r>
          </w:p>
          <w:p w14:paraId="7E936449" w14:textId="77777777" w:rsidR="001B1411" w:rsidRPr="00DA7625" w:rsidRDefault="001B1411">
            <w:pPr>
              <w:spacing w:before="0" w:after="0"/>
              <w:jc w:val="left"/>
              <w:rPr>
                <w:rFonts w:ascii="Times New Roman" w:hAnsi="Times New Roman"/>
                <w:sz w:val="24"/>
              </w:rPr>
            </w:pPr>
          </w:p>
          <w:p w14:paraId="777B42C5" w14:textId="39E8E67B"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Ezt az oszlopot csak a SEC-IRBA-t alkalmazó (és ezért az 171. oszlopban legalább 95 %-ot feltüntető) intézmények töltik ki, és ebben az oszlopban a CRR 255. cikkében említettek szerint a K</w:t>
            </w:r>
            <w:r w:rsidRPr="00DA7625">
              <w:rPr>
                <w:rFonts w:ascii="Times New Roman" w:hAnsi="Times New Roman"/>
                <w:sz w:val="24"/>
                <w:vertAlign w:val="subscript"/>
              </w:rPr>
              <w:t>IRB</w:t>
            </w:r>
            <w:r w:rsidRPr="00DA7625">
              <w:rPr>
                <w:rFonts w:ascii="Times New Roman" w:hAnsi="Times New Roman"/>
                <w:sz w:val="24"/>
              </w:rPr>
              <w:t>-re vonatkozó adatokat kell megadni. A K</w:t>
            </w:r>
            <w:r w:rsidRPr="00DA7625">
              <w:rPr>
                <w:rFonts w:ascii="Times New Roman" w:hAnsi="Times New Roman"/>
                <w:sz w:val="24"/>
                <w:vertAlign w:val="subscript"/>
              </w:rPr>
              <w:t>IRB</w:t>
            </w:r>
            <w:r w:rsidRPr="00DA7625">
              <w:rPr>
                <w:rFonts w:ascii="Times New Roman" w:hAnsi="Times New Roman"/>
                <w:sz w:val="24"/>
              </w:rPr>
              <w:t xml:space="preserve"> értékét százalékban (két tizedesjegy pontossággal) kell kifejezni.</w:t>
            </w:r>
          </w:p>
          <w:p w14:paraId="4EBD8251" w14:textId="77777777" w:rsidR="001B1411" w:rsidRPr="00DA7625" w:rsidRDefault="001B1411">
            <w:pPr>
              <w:autoSpaceDE w:val="0"/>
              <w:autoSpaceDN w:val="0"/>
              <w:adjustRightInd w:val="0"/>
              <w:spacing w:before="0" w:after="0"/>
              <w:rPr>
                <w:rFonts w:ascii="Times New Roman" w:hAnsi="Times New Roman"/>
                <w:sz w:val="24"/>
              </w:rPr>
            </w:pPr>
          </w:p>
          <w:p w14:paraId="573D35EA" w14:textId="1A662C0F"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Az oszlop nem töltendő ki kötelezettségek értékpapírosítása esetén. Eszközök értékpapírosítása esetén ezt az információt akkor is fel kell tüntetni, ha az adatszolgáltató intézmény nem rendelkezik pozícióval az értékpapírosításban. </w:t>
            </w:r>
          </w:p>
          <w:p w14:paraId="624A3FB3" w14:textId="77777777" w:rsidR="001B1411" w:rsidRPr="00DA7625" w:rsidRDefault="001B1411">
            <w:pPr>
              <w:autoSpaceDE w:val="0"/>
              <w:autoSpaceDN w:val="0"/>
              <w:adjustRightInd w:val="0"/>
              <w:spacing w:before="0" w:after="0"/>
              <w:rPr>
                <w:rFonts w:ascii="Times New Roman" w:hAnsi="Times New Roman"/>
                <w:sz w:val="24"/>
              </w:rPr>
            </w:pPr>
          </w:p>
        </w:tc>
      </w:tr>
      <w:tr w:rsidR="001B1411" w:rsidRPr="00DA7625" w14:paraId="2E47BDD5" w14:textId="77777777" w:rsidTr="00E10B85">
        <w:tc>
          <w:tcPr>
            <w:tcW w:w="1101" w:type="dxa"/>
          </w:tcPr>
          <w:p w14:paraId="5F3ACC47"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222</w:t>
            </w:r>
          </w:p>
        </w:tc>
        <w:tc>
          <w:tcPr>
            <w:tcW w:w="7903" w:type="dxa"/>
          </w:tcPr>
          <w:p w14:paraId="6DBBA492"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A LAKOSSÁGGAL SZEMBENI KITETTSÉGEK %-OS ARÁNYA AZ IRB-HALMAZOKBAN</w:t>
            </w:r>
          </w:p>
          <w:p w14:paraId="52A55AA4" w14:textId="77777777" w:rsidR="001B1411" w:rsidRPr="00DA7625" w:rsidRDefault="001B1411">
            <w:pPr>
              <w:autoSpaceDE w:val="0"/>
              <w:autoSpaceDN w:val="0"/>
              <w:adjustRightInd w:val="0"/>
              <w:spacing w:before="0" w:after="0"/>
              <w:jc w:val="left"/>
              <w:rPr>
                <w:rFonts w:ascii="Times New Roman" w:hAnsi="Times New Roman"/>
                <w:sz w:val="24"/>
              </w:rPr>
            </w:pPr>
          </w:p>
          <w:p w14:paraId="2C932B1C" w14:textId="39F86E28"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A CRR 242. cikkének 7. pontjában meghatározott IRB-halmazok, feltéve, hogy az intézmény a CRR harmadik része II. címe 6. fejezetének 3. szakaszával összhangban az alapul szolgáló kitettségérték legalább 95 %-ára ki tudja számítani a K</w:t>
            </w:r>
            <w:r w:rsidRPr="00DA7625">
              <w:rPr>
                <w:rFonts w:ascii="Times New Roman" w:hAnsi="Times New Roman"/>
                <w:sz w:val="24"/>
                <w:vertAlign w:val="subscript"/>
              </w:rPr>
              <w:t>IRB</w:t>
            </w:r>
            <w:r w:rsidRPr="00DA7625">
              <w:rPr>
                <w:rFonts w:ascii="Times New Roman" w:hAnsi="Times New Roman"/>
                <w:sz w:val="24"/>
              </w:rPr>
              <w:t xml:space="preserve"> értékét (a CRR 259. cikkének (2) bekezdése). </w:t>
            </w:r>
          </w:p>
          <w:p w14:paraId="24E9895F" w14:textId="77777777" w:rsidR="001B1411" w:rsidRPr="00DA7625" w:rsidRDefault="001B1411">
            <w:pPr>
              <w:autoSpaceDE w:val="0"/>
              <w:autoSpaceDN w:val="0"/>
              <w:adjustRightInd w:val="0"/>
              <w:spacing w:before="0" w:after="0"/>
              <w:jc w:val="left"/>
              <w:rPr>
                <w:rFonts w:ascii="Times New Roman" w:hAnsi="Times New Roman"/>
                <w:b/>
                <w:sz w:val="24"/>
                <w:u w:val="single"/>
              </w:rPr>
            </w:pPr>
          </w:p>
        </w:tc>
      </w:tr>
      <w:tr w:rsidR="001B1411" w:rsidRPr="00DA7625" w14:paraId="60E48A4A" w14:textId="77777777" w:rsidTr="00E10B85">
        <w:tc>
          <w:tcPr>
            <w:tcW w:w="1101" w:type="dxa"/>
          </w:tcPr>
          <w:p w14:paraId="114A5053"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223</w:t>
            </w:r>
          </w:p>
        </w:tc>
        <w:tc>
          <w:tcPr>
            <w:tcW w:w="7903" w:type="dxa"/>
          </w:tcPr>
          <w:p w14:paraId="6AF83F9D"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ÉRTÉKPAPÍROSÍTÁS ELŐTTI SZAVATOLÓTŐKE-KÖVETELMÉNY (%) K</w:t>
            </w:r>
            <w:r w:rsidRPr="00DA7625">
              <w:rPr>
                <w:rFonts w:ascii="Times New Roman" w:hAnsi="Times New Roman"/>
                <w:b/>
                <w:sz w:val="24"/>
                <w:u w:val="single"/>
                <w:vertAlign w:val="subscript"/>
              </w:rPr>
              <w:t>sa</w:t>
            </w:r>
          </w:p>
          <w:p w14:paraId="50AD6478"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26F421F1" w14:textId="23427B89"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Az intézménynek abban az esetben is ki kell töltenie ezt az oszlopot, ha nem alkalmazza a SEC-SA módszert az értékpapírosítási pozíciókra. Ebben az oszlopban a K</w:t>
            </w:r>
            <w:r w:rsidRPr="00DA7625">
              <w:rPr>
                <w:rFonts w:ascii="Times New Roman" w:hAnsi="Times New Roman"/>
                <w:sz w:val="24"/>
                <w:vertAlign w:val="subscript"/>
              </w:rPr>
              <w:t>SA</w:t>
            </w:r>
            <w:r w:rsidRPr="00DA7625">
              <w:rPr>
                <w:rFonts w:ascii="Times New Roman" w:hAnsi="Times New Roman"/>
                <w:sz w:val="24"/>
              </w:rPr>
              <w:t xml:space="preserve"> értékére vonatkozó információkat kell megadni a CRR 255. cikke (6) bekezdésének megfelelően. A K</w:t>
            </w:r>
            <w:r w:rsidRPr="00DA7625">
              <w:rPr>
                <w:rFonts w:ascii="Times New Roman" w:hAnsi="Times New Roman"/>
                <w:sz w:val="24"/>
                <w:vertAlign w:val="subscript"/>
              </w:rPr>
              <w:t>SA</w:t>
            </w:r>
            <w:r w:rsidRPr="00DA7625">
              <w:rPr>
                <w:rFonts w:ascii="Times New Roman" w:hAnsi="Times New Roman"/>
                <w:sz w:val="24"/>
              </w:rPr>
              <w:t xml:space="preserve"> értékét százalékban (két tizedesjegy pontossággal) kell kifejezni.</w:t>
            </w:r>
          </w:p>
          <w:p w14:paraId="7EC6E5ED" w14:textId="77777777" w:rsidR="001B1411" w:rsidRPr="00DA7625" w:rsidRDefault="001B1411">
            <w:pPr>
              <w:autoSpaceDE w:val="0"/>
              <w:autoSpaceDN w:val="0"/>
              <w:adjustRightInd w:val="0"/>
              <w:spacing w:before="0" w:after="0"/>
              <w:rPr>
                <w:rFonts w:ascii="Times New Roman" w:hAnsi="Times New Roman"/>
                <w:sz w:val="24"/>
              </w:rPr>
            </w:pPr>
          </w:p>
          <w:p w14:paraId="2F6FAAF6" w14:textId="728C8F46"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Az oszlop nem töltendő ki kötelezettségek értékpapírosítása esetén. Eszközök értékpapírosítása esetén ezt az információt akkor is fel kell tüntetni, ha az adatszolgáltató intézmény nem rendelkezik pozícióval az értékpapírosításban. </w:t>
            </w:r>
          </w:p>
          <w:p w14:paraId="69FE6E90" w14:textId="77777777" w:rsidR="001B1411" w:rsidRPr="00DA7625" w:rsidRDefault="001B1411">
            <w:pPr>
              <w:autoSpaceDE w:val="0"/>
              <w:autoSpaceDN w:val="0"/>
              <w:adjustRightInd w:val="0"/>
              <w:spacing w:before="0" w:after="0"/>
              <w:jc w:val="left"/>
              <w:rPr>
                <w:rFonts w:ascii="Times New Roman" w:hAnsi="Times New Roman"/>
                <w:b/>
                <w:sz w:val="24"/>
                <w:u w:val="single"/>
              </w:rPr>
            </w:pPr>
          </w:p>
        </w:tc>
      </w:tr>
      <w:tr w:rsidR="001B1411" w:rsidRPr="00DA7625" w14:paraId="17C21F93" w14:textId="77777777" w:rsidTr="00E10B85">
        <w:tc>
          <w:tcPr>
            <w:tcW w:w="1101" w:type="dxa"/>
          </w:tcPr>
          <w:p w14:paraId="3A9A1C03"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225</w:t>
            </w:r>
          </w:p>
        </w:tc>
        <w:tc>
          <w:tcPr>
            <w:tcW w:w="7903" w:type="dxa"/>
          </w:tcPr>
          <w:p w14:paraId="453184D8"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TÁJÉKOZTATÓ ADATOK</w:t>
            </w:r>
          </w:p>
        </w:tc>
      </w:tr>
      <w:tr w:rsidR="001B1411" w:rsidRPr="00DA7625" w14:paraId="7F0CF1B3" w14:textId="77777777" w:rsidTr="00E10B85">
        <w:tc>
          <w:tcPr>
            <w:tcW w:w="1101" w:type="dxa"/>
          </w:tcPr>
          <w:p w14:paraId="0D41FA5C"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225</w:t>
            </w:r>
          </w:p>
        </w:tc>
        <w:tc>
          <w:tcPr>
            <w:tcW w:w="7903" w:type="dxa"/>
          </w:tcPr>
          <w:p w14:paraId="372E587D"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 xml:space="preserve">HITELKOCKÁZATI KIIGAZÍTÁSOK A TÁRGYIDŐSZAKBAN </w:t>
            </w:r>
          </w:p>
          <w:p w14:paraId="08058EAD"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583F3F77" w14:textId="549E1A72"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A CRR 110. cikke</w:t>
            </w:r>
          </w:p>
          <w:p w14:paraId="0D72900D" w14:textId="77777777" w:rsidR="001B1411" w:rsidRPr="00DA7625" w:rsidRDefault="001B1411">
            <w:pPr>
              <w:autoSpaceDE w:val="0"/>
              <w:autoSpaceDN w:val="0"/>
              <w:adjustRightInd w:val="0"/>
              <w:spacing w:before="0" w:after="0"/>
              <w:jc w:val="left"/>
              <w:rPr>
                <w:rFonts w:ascii="Times New Roman" w:hAnsi="Times New Roman"/>
                <w:b/>
                <w:sz w:val="24"/>
                <w:u w:val="single"/>
              </w:rPr>
            </w:pPr>
          </w:p>
        </w:tc>
      </w:tr>
      <w:tr w:rsidR="001B1411" w:rsidRPr="00DA7625" w14:paraId="5A9945E1" w14:textId="77777777" w:rsidTr="00E10B85">
        <w:tc>
          <w:tcPr>
            <w:tcW w:w="1101" w:type="dxa"/>
          </w:tcPr>
          <w:p w14:paraId="2EA15BF6" w14:textId="77777777" w:rsidR="001B1411" w:rsidRPr="00DA7625" w:rsidRDefault="00C55547">
            <w:pPr>
              <w:autoSpaceDE w:val="0"/>
              <w:autoSpaceDN w:val="0"/>
              <w:adjustRightInd w:val="0"/>
              <w:spacing w:before="0" w:after="0"/>
              <w:rPr>
                <w:rFonts w:ascii="Times New Roman" w:hAnsi="Times New Roman"/>
                <w:bCs/>
                <w:sz w:val="24"/>
                <w:highlight w:val="yellow"/>
              </w:rPr>
            </w:pPr>
            <w:r w:rsidRPr="00DA7625">
              <w:rPr>
                <w:rFonts w:ascii="Times New Roman" w:hAnsi="Times New Roman"/>
                <w:sz w:val="24"/>
              </w:rPr>
              <w:t>230–304</w:t>
            </w:r>
          </w:p>
        </w:tc>
        <w:tc>
          <w:tcPr>
            <w:tcW w:w="7903" w:type="dxa"/>
          </w:tcPr>
          <w:p w14:paraId="7F51B0A0"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ÉRTÉKPAPÍROSÍTÁSI STRUKTÚRA</w:t>
            </w:r>
          </w:p>
          <w:p w14:paraId="7BF1D62B" w14:textId="77777777" w:rsidR="001B1411" w:rsidRPr="00DA7625" w:rsidRDefault="001B1411">
            <w:pPr>
              <w:autoSpaceDE w:val="0"/>
              <w:autoSpaceDN w:val="0"/>
              <w:adjustRightInd w:val="0"/>
              <w:spacing w:before="0" w:after="0"/>
              <w:jc w:val="left"/>
              <w:rPr>
                <w:rFonts w:ascii="Times New Roman" w:hAnsi="Times New Roman"/>
                <w:sz w:val="24"/>
                <w:u w:val="single"/>
              </w:rPr>
            </w:pPr>
          </w:p>
          <w:p w14:paraId="07B22D21" w14:textId="5069610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Az oszlopcsoport az értékpapírosítás struktúrájáról gyűjt adatokat mérlegen belüli/kívüli pozíciók, ügyletrészsorozatok (előresorolt, köztes, első veszteségviselő), valamint az adatszolgáltatás időpontjában érvényes lejárat alapján. </w:t>
            </w:r>
          </w:p>
          <w:p w14:paraId="597A080E" w14:textId="77777777" w:rsidR="001B1411" w:rsidRPr="00DA7625" w:rsidRDefault="001B1411">
            <w:pPr>
              <w:autoSpaceDE w:val="0"/>
              <w:autoSpaceDN w:val="0"/>
              <w:adjustRightInd w:val="0"/>
              <w:spacing w:before="0" w:after="0"/>
              <w:rPr>
                <w:rFonts w:ascii="Times New Roman" w:hAnsi="Times New Roman"/>
                <w:sz w:val="24"/>
              </w:rPr>
            </w:pPr>
          </w:p>
          <w:p w14:paraId="3993DC59" w14:textId="75BC2CAC" w:rsidR="001B1411" w:rsidRPr="00DA7625" w:rsidRDefault="005E5070">
            <w:pPr>
              <w:spacing w:before="0" w:after="0"/>
              <w:rPr>
                <w:rFonts w:ascii="Times New Roman" w:hAnsi="Times New Roman"/>
                <w:sz w:val="24"/>
              </w:rPr>
            </w:pPr>
            <w:r w:rsidRPr="00DA7625">
              <w:rPr>
                <w:rFonts w:ascii="Times New Roman" w:hAnsi="Times New Roman"/>
                <w:sz w:val="24"/>
              </w:rPr>
              <w:t>Több eladó részvételével végrehajtott értékpapírosítás esetén kizárólag az adatot szolgáltató intézménynek megfelelő, vagy annak tulajdonított összeget kell feltüntetni.</w:t>
            </w:r>
          </w:p>
          <w:p w14:paraId="7879254F" w14:textId="77777777" w:rsidR="001B1411" w:rsidRPr="00DA7625" w:rsidRDefault="001B1411">
            <w:pPr>
              <w:spacing w:before="0" w:after="0"/>
              <w:jc w:val="left"/>
              <w:rPr>
                <w:rFonts w:ascii="Times New Roman" w:hAnsi="Times New Roman"/>
                <w:sz w:val="24"/>
              </w:rPr>
            </w:pPr>
          </w:p>
        </w:tc>
      </w:tr>
      <w:tr w:rsidR="001B1411" w:rsidRPr="00DA7625" w14:paraId="030979A3" w14:textId="77777777" w:rsidTr="00E10B85">
        <w:tc>
          <w:tcPr>
            <w:tcW w:w="1101" w:type="dxa"/>
          </w:tcPr>
          <w:p w14:paraId="451A9E15" w14:textId="77777777" w:rsidR="001B1411" w:rsidRPr="00DA7625" w:rsidRDefault="00C55547">
            <w:pPr>
              <w:autoSpaceDE w:val="0"/>
              <w:autoSpaceDN w:val="0"/>
              <w:adjustRightInd w:val="0"/>
              <w:spacing w:before="0" w:after="0"/>
              <w:rPr>
                <w:rFonts w:ascii="Times New Roman" w:hAnsi="Times New Roman"/>
                <w:sz w:val="24"/>
                <w:highlight w:val="yellow"/>
              </w:rPr>
            </w:pPr>
            <w:r w:rsidRPr="00DA7625">
              <w:rPr>
                <w:rFonts w:ascii="Times New Roman" w:hAnsi="Times New Roman"/>
                <w:sz w:val="24"/>
              </w:rPr>
              <w:lastRenderedPageBreak/>
              <w:t>230–252</w:t>
            </w:r>
          </w:p>
        </w:tc>
        <w:tc>
          <w:tcPr>
            <w:tcW w:w="7903" w:type="dxa"/>
          </w:tcPr>
          <w:p w14:paraId="292F6133"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MÉRLEGTÉTELEK</w:t>
            </w:r>
          </w:p>
          <w:p w14:paraId="19B0A5A4"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28CF3C54"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Ez az oszlopcsoport a mérlegtételekről gyűjt információkat ügyletrészsorozatok szerinti bontásban (előre sorolt, köztes, első veszteségviselő).</w:t>
            </w:r>
          </w:p>
          <w:p w14:paraId="314A1B63" w14:textId="77777777" w:rsidR="001B1411" w:rsidRPr="00DA7625" w:rsidRDefault="001B1411">
            <w:pPr>
              <w:autoSpaceDE w:val="0"/>
              <w:autoSpaceDN w:val="0"/>
              <w:adjustRightInd w:val="0"/>
              <w:spacing w:before="0" w:after="0"/>
              <w:jc w:val="left"/>
              <w:rPr>
                <w:rFonts w:ascii="Times New Roman" w:hAnsi="Times New Roman"/>
                <w:b/>
                <w:sz w:val="24"/>
                <w:u w:val="single"/>
              </w:rPr>
            </w:pPr>
          </w:p>
        </w:tc>
      </w:tr>
      <w:tr w:rsidR="001B1411" w:rsidRPr="00DA7625" w14:paraId="37F222B7" w14:textId="77777777" w:rsidTr="00E10B85">
        <w:tc>
          <w:tcPr>
            <w:tcW w:w="1101" w:type="dxa"/>
          </w:tcPr>
          <w:p w14:paraId="1D8C1F6F"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230–232</w:t>
            </w:r>
          </w:p>
        </w:tc>
        <w:tc>
          <w:tcPr>
            <w:tcW w:w="7903" w:type="dxa"/>
          </w:tcPr>
          <w:p w14:paraId="239EA82A"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ELŐRESOROLT</w:t>
            </w:r>
          </w:p>
          <w:p w14:paraId="18A61EA3" w14:textId="77777777" w:rsidR="001B1411" w:rsidRPr="00DA7625" w:rsidRDefault="001B1411">
            <w:pPr>
              <w:autoSpaceDE w:val="0"/>
              <w:autoSpaceDN w:val="0"/>
              <w:adjustRightInd w:val="0"/>
              <w:spacing w:before="0" w:after="0"/>
              <w:jc w:val="left"/>
              <w:rPr>
                <w:rFonts w:ascii="Times New Roman" w:hAnsi="Times New Roman"/>
                <w:b/>
                <w:sz w:val="24"/>
                <w:u w:val="single"/>
              </w:rPr>
            </w:pPr>
          </w:p>
        </w:tc>
      </w:tr>
      <w:tr w:rsidR="001B1411" w:rsidRPr="00DA7625" w14:paraId="7AB80D13" w14:textId="77777777" w:rsidTr="00E10B85">
        <w:tc>
          <w:tcPr>
            <w:tcW w:w="1101" w:type="dxa"/>
          </w:tcPr>
          <w:p w14:paraId="5F2A959A"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230</w:t>
            </w:r>
          </w:p>
        </w:tc>
        <w:tc>
          <w:tcPr>
            <w:tcW w:w="7903" w:type="dxa"/>
          </w:tcPr>
          <w:p w14:paraId="7FBA2DF3"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ÖSSZEG</w:t>
            </w:r>
          </w:p>
          <w:p w14:paraId="2481D0E5"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2337A05C" w14:textId="66E4F969"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Az előresorolt értékpapírosítási pozíciók összege a CRR 242. cikke 6. pontjának megfelelően.</w:t>
            </w:r>
          </w:p>
          <w:p w14:paraId="280FA19F" w14:textId="77777777" w:rsidR="001B1411" w:rsidRPr="00DA7625" w:rsidRDefault="001B1411">
            <w:pPr>
              <w:autoSpaceDE w:val="0"/>
              <w:autoSpaceDN w:val="0"/>
              <w:adjustRightInd w:val="0"/>
              <w:spacing w:before="0" w:after="0"/>
              <w:jc w:val="left"/>
              <w:rPr>
                <w:rFonts w:ascii="Times New Roman" w:hAnsi="Times New Roman"/>
                <w:b/>
                <w:sz w:val="24"/>
                <w:u w:val="single"/>
              </w:rPr>
            </w:pPr>
          </w:p>
        </w:tc>
      </w:tr>
      <w:tr w:rsidR="001B1411" w:rsidRPr="00DA7625" w14:paraId="74EF90DC" w14:textId="77777777" w:rsidTr="00E10B85">
        <w:tc>
          <w:tcPr>
            <w:tcW w:w="1101" w:type="dxa"/>
          </w:tcPr>
          <w:p w14:paraId="01DA9A93"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231</w:t>
            </w:r>
          </w:p>
        </w:tc>
        <w:tc>
          <w:tcPr>
            <w:tcW w:w="7903" w:type="dxa"/>
          </w:tcPr>
          <w:p w14:paraId="3A68B8DE"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ALSÓ VESZTESÉGVISELÉSI HATÁR (%)</w:t>
            </w:r>
          </w:p>
          <w:p w14:paraId="5E88F0B8"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4687AC0B" w14:textId="2D2DBE94"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A CRR 256. cikkének (1) bekezdésében említett alsó veszteségviselési határ (%)</w:t>
            </w:r>
          </w:p>
          <w:p w14:paraId="5DDFFCBC" w14:textId="77777777" w:rsidR="001B1411" w:rsidRPr="00DA7625" w:rsidRDefault="001B1411">
            <w:pPr>
              <w:autoSpaceDE w:val="0"/>
              <w:autoSpaceDN w:val="0"/>
              <w:adjustRightInd w:val="0"/>
              <w:spacing w:before="0" w:after="0"/>
              <w:jc w:val="left"/>
              <w:rPr>
                <w:rFonts w:ascii="Times New Roman" w:hAnsi="Times New Roman"/>
                <w:b/>
                <w:sz w:val="24"/>
                <w:u w:val="single"/>
              </w:rPr>
            </w:pPr>
          </w:p>
        </w:tc>
      </w:tr>
      <w:tr w:rsidR="001B1411" w:rsidRPr="00DA7625" w14:paraId="6863D268" w14:textId="77777777" w:rsidTr="00E10B85">
        <w:tc>
          <w:tcPr>
            <w:tcW w:w="1101" w:type="dxa"/>
          </w:tcPr>
          <w:p w14:paraId="25953C96"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232 és 252</w:t>
            </w:r>
          </w:p>
        </w:tc>
        <w:tc>
          <w:tcPr>
            <w:tcW w:w="7903" w:type="dxa"/>
          </w:tcPr>
          <w:p w14:paraId="69421949"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CQS</w:t>
            </w:r>
          </w:p>
          <w:p w14:paraId="27D0FAB6"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172ECEE5" w14:textId="1C58D2F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sz w:val="24"/>
              </w:rPr>
              <w:t>A SEC-ERBA-t alkalmazó intézmények esetében előirányzott hitelminőségi besorolások (a CRR 263. cikkének 1. és 2. táblázata, valamint 264. cikkének 3. és 4. táblázata). Ezeket az oszlopokat az alkalmazott módszertől függetlenül valamennyi minősített ügyletre vonatkozóan meg kell adni.</w:t>
            </w:r>
          </w:p>
          <w:p w14:paraId="79C3D232" w14:textId="77777777" w:rsidR="001B1411" w:rsidRPr="00DA7625" w:rsidRDefault="001B1411">
            <w:pPr>
              <w:autoSpaceDE w:val="0"/>
              <w:autoSpaceDN w:val="0"/>
              <w:adjustRightInd w:val="0"/>
              <w:spacing w:before="0" w:after="0"/>
              <w:jc w:val="left"/>
              <w:rPr>
                <w:rFonts w:ascii="Times New Roman" w:hAnsi="Times New Roman"/>
                <w:b/>
                <w:sz w:val="24"/>
                <w:u w:val="single"/>
              </w:rPr>
            </w:pPr>
          </w:p>
        </w:tc>
      </w:tr>
      <w:tr w:rsidR="001B1411" w:rsidRPr="00DA7625" w14:paraId="05A5C118" w14:textId="77777777" w:rsidTr="00E10B85">
        <w:tc>
          <w:tcPr>
            <w:tcW w:w="1101" w:type="dxa"/>
          </w:tcPr>
          <w:p w14:paraId="588BBE90"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240–242</w:t>
            </w:r>
          </w:p>
        </w:tc>
        <w:tc>
          <w:tcPr>
            <w:tcW w:w="7903" w:type="dxa"/>
          </w:tcPr>
          <w:p w14:paraId="041A91E7"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KÖZTES</w:t>
            </w:r>
          </w:p>
          <w:p w14:paraId="0A5BFA80" w14:textId="77777777" w:rsidR="001B1411" w:rsidRPr="00DA7625" w:rsidRDefault="001B1411">
            <w:pPr>
              <w:autoSpaceDE w:val="0"/>
              <w:autoSpaceDN w:val="0"/>
              <w:adjustRightInd w:val="0"/>
              <w:spacing w:before="0" w:after="0"/>
              <w:jc w:val="left"/>
              <w:rPr>
                <w:rFonts w:ascii="Times New Roman" w:hAnsi="Times New Roman"/>
                <w:b/>
                <w:sz w:val="24"/>
                <w:u w:val="single"/>
              </w:rPr>
            </w:pPr>
          </w:p>
        </w:tc>
      </w:tr>
      <w:tr w:rsidR="001B1411" w:rsidRPr="00DA7625" w14:paraId="4A86FB45" w14:textId="77777777" w:rsidTr="00E10B85">
        <w:tc>
          <w:tcPr>
            <w:tcW w:w="1101" w:type="dxa"/>
          </w:tcPr>
          <w:p w14:paraId="42ED58DC"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240</w:t>
            </w:r>
          </w:p>
        </w:tc>
        <w:tc>
          <w:tcPr>
            <w:tcW w:w="7903" w:type="dxa"/>
          </w:tcPr>
          <w:p w14:paraId="2676D108"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ÖSSZEG</w:t>
            </w:r>
          </w:p>
          <w:p w14:paraId="373DE2F8"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5C390D5F"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A feltüntetendő érték magában foglalja:</w:t>
            </w:r>
          </w:p>
          <w:p w14:paraId="13C2E815" w14:textId="609C39D9" w:rsidR="001B1411" w:rsidRPr="00DA7625"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DA7625">
              <w:rPr>
                <w:rFonts w:ascii="Times New Roman" w:hAnsi="Times New Roman"/>
                <w:sz w:val="24"/>
              </w:rPr>
              <w:t>a CRR 242. cikkének 18. pontja szerinti köztes értékpapírosítási pozíciót;</w:t>
            </w:r>
          </w:p>
          <w:p w14:paraId="374E16B1" w14:textId="5C0647D2" w:rsidR="001B1411" w:rsidRPr="00DA7625"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DA7625">
              <w:rPr>
                <w:rFonts w:ascii="Times New Roman" w:hAnsi="Times New Roman"/>
                <w:sz w:val="24"/>
              </w:rPr>
              <w:t>további értékpapírosítási pozíciókat, amelyek nem a CRR 242. cikkének 6., 17. vagy 18. pontjában meghatározott pozíciók.</w:t>
            </w:r>
          </w:p>
          <w:p w14:paraId="49C94C75" w14:textId="77777777" w:rsidR="001B1411" w:rsidRPr="00DA7625" w:rsidRDefault="001B1411">
            <w:pPr>
              <w:autoSpaceDE w:val="0"/>
              <w:autoSpaceDN w:val="0"/>
              <w:adjustRightInd w:val="0"/>
              <w:spacing w:before="0" w:after="0"/>
              <w:jc w:val="left"/>
              <w:rPr>
                <w:rFonts w:ascii="Times New Roman" w:hAnsi="Times New Roman"/>
                <w:sz w:val="24"/>
              </w:rPr>
            </w:pPr>
          </w:p>
        </w:tc>
      </w:tr>
      <w:tr w:rsidR="001B1411" w:rsidRPr="00DA7625" w14:paraId="2F145853" w14:textId="77777777" w:rsidTr="00E10B85">
        <w:tc>
          <w:tcPr>
            <w:tcW w:w="1101" w:type="dxa"/>
          </w:tcPr>
          <w:p w14:paraId="37626CF2"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241</w:t>
            </w:r>
          </w:p>
        </w:tc>
        <w:tc>
          <w:tcPr>
            <w:tcW w:w="7903" w:type="dxa"/>
          </w:tcPr>
          <w:p w14:paraId="55FA4273"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AZ ÜGYLETRÉSZSOROZATOK SZÁMA</w:t>
            </w:r>
          </w:p>
          <w:p w14:paraId="7CD41B01"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701CDE69"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A köztes ügyletrészsorozatok száma.</w:t>
            </w:r>
          </w:p>
          <w:p w14:paraId="1E8D5576" w14:textId="77777777" w:rsidR="001B1411" w:rsidRPr="00DA7625" w:rsidRDefault="001B1411">
            <w:pPr>
              <w:autoSpaceDE w:val="0"/>
              <w:autoSpaceDN w:val="0"/>
              <w:adjustRightInd w:val="0"/>
              <w:spacing w:before="0" w:after="0"/>
              <w:jc w:val="left"/>
              <w:rPr>
                <w:rFonts w:ascii="Times New Roman" w:hAnsi="Times New Roman"/>
                <w:b/>
                <w:sz w:val="24"/>
                <w:u w:val="single"/>
              </w:rPr>
            </w:pPr>
          </w:p>
        </w:tc>
      </w:tr>
      <w:tr w:rsidR="001B1411" w:rsidRPr="00DA7625" w14:paraId="76EF4716" w14:textId="77777777" w:rsidTr="00E10B85">
        <w:tc>
          <w:tcPr>
            <w:tcW w:w="1101" w:type="dxa"/>
          </w:tcPr>
          <w:p w14:paraId="3A8D346E"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242</w:t>
            </w:r>
          </w:p>
        </w:tc>
        <w:tc>
          <w:tcPr>
            <w:tcW w:w="7903" w:type="dxa"/>
          </w:tcPr>
          <w:p w14:paraId="5621365A"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A LEGINKÁBB ALÁRENDELT ÜGYLETRÉSZSOROZAT HITELMINŐSÉGI BESOROLÁSA</w:t>
            </w:r>
          </w:p>
          <w:p w14:paraId="532F0518"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4DE340DC" w14:textId="6F8734EB"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 xml:space="preserve">A leginkább alárendelt köztes ügyletrészsorozatnak a CRR 263. cikkében található 2. táblázat és 264. cikkében található 3. táblázat szerint meghatározott hitelminőségi besorolása. </w:t>
            </w:r>
          </w:p>
          <w:p w14:paraId="223C1B47" w14:textId="77777777" w:rsidR="001B1411" w:rsidRPr="00DA7625" w:rsidRDefault="001B1411">
            <w:pPr>
              <w:autoSpaceDE w:val="0"/>
              <w:autoSpaceDN w:val="0"/>
              <w:adjustRightInd w:val="0"/>
              <w:spacing w:before="0" w:after="0"/>
              <w:jc w:val="left"/>
              <w:rPr>
                <w:rFonts w:ascii="Times New Roman" w:hAnsi="Times New Roman"/>
                <w:b/>
                <w:sz w:val="24"/>
                <w:u w:val="single"/>
              </w:rPr>
            </w:pPr>
          </w:p>
        </w:tc>
      </w:tr>
      <w:tr w:rsidR="001B1411" w:rsidRPr="00DA7625" w14:paraId="2C48CBA7" w14:textId="77777777" w:rsidTr="00E10B85">
        <w:tc>
          <w:tcPr>
            <w:tcW w:w="1101" w:type="dxa"/>
          </w:tcPr>
          <w:p w14:paraId="5486FE18"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250–252</w:t>
            </w:r>
          </w:p>
        </w:tc>
        <w:tc>
          <w:tcPr>
            <w:tcW w:w="7903" w:type="dxa"/>
          </w:tcPr>
          <w:p w14:paraId="59CEB629"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ELSŐ VESZTESÉGVISELŐ</w:t>
            </w:r>
          </w:p>
          <w:p w14:paraId="6A2F1BC2" w14:textId="77777777" w:rsidR="001B1411" w:rsidRPr="00DA7625" w:rsidRDefault="001B1411">
            <w:pPr>
              <w:autoSpaceDE w:val="0"/>
              <w:autoSpaceDN w:val="0"/>
              <w:adjustRightInd w:val="0"/>
              <w:spacing w:before="0" w:after="0"/>
              <w:jc w:val="left"/>
              <w:rPr>
                <w:rFonts w:ascii="Times New Roman" w:hAnsi="Times New Roman"/>
                <w:b/>
                <w:sz w:val="24"/>
                <w:u w:val="single"/>
              </w:rPr>
            </w:pPr>
          </w:p>
        </w:tc>
      </w:tr>
      <w:tr w:rsidR="001B1411" w:rsidRPr="00DA7625" w14:paraId="472C1508" w14:textId="77777777" w:rsidTr="00E10B85">
        <w:tc>
          <w:tcPr>
            <w:tcW w:w="1101" w:type="dxa"/>
          </w:tcPr>
          <w:p w14:paraId="7FB987E7"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250</w:t>
            </w:r>
          </w:p>
        </w:tc>
        <w:tc>
          <w:tcPr>
            <w:tcW w:w="7903" w:type="dxa"/>
          </w:tcPr>
          <w:p w14:paraId="0B9F98A4"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ÖSSZEG</w:t>
            </w:r>
          </w:p>
          <w:p w14:paraId="04AF7877"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5AAD1923" w14:textId="0B505A9D"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sz w:val="24"/>
              </w:rPr>
              <w:t>Az első veszteségviselő ügyletrészsorozat összege a CRR 242. cikke 17. pontjának megfelelően.</w:t>
            </w:r>
          </w:p>
          <w:p w14:paraId="3DAA3E7D" w14:textId="77777777" w:rsidR="001B1411" w:rsidRPr="00DA7625" w:rsidRDefault="001B1411">
            <w:pPr>
              <w:autoSpaceDE w:val="0"/>
              <w:autoSpaceDN w:val="0"/>
              <w:adjustRightInd w:val="0"/>
              <w:spacing w:before="0" w:after="0"/>
              <w:jc w:val="left"/>
              <w:rPr>
                <w:rFonts w:ascii="Times New Roman" w:hAnsi="Times New Roman"/>
                <w:sz w:val="24"/>
              </w:rPr>
            </w:pPr>
          </w:p>
        </w:tc>
      </w:tr>
      <w:tr w:rsidR="001B1411" w:rsidRPr="00DA7625" w14:paraId="5503E2EE" w14:textId="77777777" w:rsidTr="00E10B85">
        <w:tc>
          <w:tcPr>
            <w:tcW w:w="1101" w:type="dxa"/>
          </w:tcPr>
          <w:p w14:paraId="012FA2A9"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251</w:t>
            </w:r>
          </w:p>
        </w:tc>
        <w:tc>
          <w:tcPr>
            <w:tcW w:w="7903" w:type="dxa"/>
          </w:tcPr>
          <w:p w14:paraId="1B7FDD34"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FELSŐ VESZTESÉGVISELÉSI HATÁR (%)</w:t>
            </w:r>
          </w:p>
          <w:p w14:paraId="1355C306"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5C2785D2" w14:textId="4DBEC623"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A CRR 256. cikkének (2) bekezdésében említett felső veszteségviselési határ (%)</w:t>
            </w:r>
          </w:p>
          <w:p w14:paraId="7345BA2A" w14:textId="77777777" w:rsidR="001B1411" w:rsidRPr="00DA7625" w:rsidRDefault="001B1411">
            <w:pPr>
              <w:autoSpaceDE w:val="0"/>
              <w:autoSpaceDN w:val="0"/>
              <w:adjustRightInd w:val="0"/>
              <w:spacing w:before="0" w:after="0"/>
              <w:jc w:val="left"/>
              <w:rPr>
                <w:rFonts w:ascii="Times New Roman" w:hAnsi="Times New Roman"/>
                <w:b/>
                <w:sz w:val="24"/>
                <w:u w:val="single"/>
              </w:rPr>
            </w:pPr>
          </w:p>
        </w:tc>
      </w:tr>
      <w:tr w:rsidR="001B1411" w:rsidRPr="00DA7625" w14:paraId="105D61AE" w14:textId="77777777" w:rsidTr="00E10B85">
        <w:tc>
          <w:tcPr>
            <w:tcW w:w="1101" w:type="dxa"/>
          </w:tcPr>
          <w:p w14:paraId="1125A01A"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260–280</w:t>
            </w:r>
          </w:p>
        </w:tc>
        <w:tc>
          <w:tcPr>
            <w:tcW w:w="7903" w:type="dxa"/>
          </w:tcPr>
          <w:p w14:paraId="6B7BBE8A" w14:textId="77777777" w:rsidR="001B1411" w:rsidRPr="00DA7625" w:rsidRDefault="00C55547">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MÉRLEGEN KÍVÜLI TÉTELEK ÉS SZÁRMAZTATOTT ÜGYLETEK</w:t>
            </w:r>
          </w:p>
          <w:p w14:paraId="05499DB6"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7434000B" w14:textId="77777777" w:rsidR="001B1411" w:rsidRPr="00DA7625" w:rsidRDefault="00C55547">
            <w:pPr>
              <w:autoSpaceDE w:val="0"/>
              <w:autoSpaceDN w:val="0"/>
              <w:adjustRightInd w:val="0"/>
              <w:spacing w:before="0" w:after="0"/>
              <w:jc w:val="left"/>
              <w:rPr>
                <w:rFonts w:ascii="Times New Roman" w:hAnsi="Times New Roman"/>
                <w:sz w:val="24"/>
              </w:rPr>
            </w:pPr>
            <w:r w:rsidRPr="00DA7625">
              <w:rPr>
                <w:rFonts w:ascii="Times New Roman" w:hAnsi="Times New Roman"/>
                <w:sz w:val="24"/>
              </w:rPr>
              <w:t>Ez az oszlopcsoport a mérlegen kívüli tételekről és származtatott ügyletekről gyűjt információkat ügyletrészsorozatok szerinti bontásban (előre sorolt, köztes, első veszteségviselő).</w:t>
            </w:r>
          </w:p>
          <w:p w14:paraId="09F2974B"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Itt is ugyanazokat a besorolási kritériumokat kell alkalmazni, amelyek alapján a mérlegtételek oszthatók fel ügyletrészsorozatok szerint.</w:t>
            </w:r>
          </w:p>
          <w:p w14:paraId="3AA2BDF0" w14:textId="77777777" w:rsidR="001B1411" w:rsidRPr="00DA7625" w:rsidRDefault="001B1411">
            <w:pPr>
              <w:autoSpaceDE w:val="0"/>
              <w:autoSpaceDN w:val="0"/>
              <w:adjustRightInd w:val="0"/>
              <w:spacing w:before="0" w:after="0"/>
              <w:jc w:val="left"/>
              <w:rPr>
                <w:rFonts w:ascii="Times New Roman" w:hAnsi="Times New Roman"/>
                <w:b/>
                <w:sz w:val="24"/>
                <w:u w:val="single"/>
              </w:rPr>
            </w:pPr>
          </w:p>
        </w:tc>
      </w:tr>
      <w:tr w:rsidR="001B1411" w:rsidRPr="00DA7625" w14:paraId="673943D6" w14:textId="77777777" w:rsidTr="00E10B85">
        <w:tc>
          <w:tcPr>
            <w:tcW w:w="1101" w:type="dxa"/>
            <w:shd w:val="clear" w:color="auto" w:fill="auto"/>
          </w:tcPr>
          <w:p w14:paraId="6978FA3E"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290–300</w:t>
            </w:r>
          </w:p>
        </w:tc>
        <w:tc>
          <w:tcPr>
            <w:tcW w:w="7903" w:type="dxa"/>
            <w:shd w:val="clear" w:color="auto" w:fill="auto"/>
          </w:tcPr>
          <w:p w14:paraId="612518E7"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LEJÁRAT</w:t>
            </w:r>
          </w:p>
        </w:tc>
      </w:tr>
      <w:tr w:rsidR="001B1411" w:rsidRPr="00DA7625" w14:paraId="6AA63705" w14:textId="77777777" w:rsidTr="00E10B85">
        <w:tc>
          <w:tcPr>
            <w:tcW w:w="1101" w:type="dxa"/>
            <w:shd w:val="clear" w:color="auto" w:fill="auto"/>
          </w:tcPr>
          <w:p w14:paraId="1AEC547E" w14:textId="77777777" w:rsidR="001B1411" w:rsidRPr="00DA7625" w:rsidDel="00304CB1"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290</w:t>
            </w:r>
          </w:p>
        </w:tc>
        <w:tc>
          <w:tcPr>
            <w:tcW w:w="7903" w:type="dxa"/>
            <w:shd w:val="clear" w:color="auto" w:fill="auto"/>
          </w:tcPr>
          <w:p w14:paraId="777220E4"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A FELMONDÁS VÁRHATÓ LEGKORÁBBI IDŐPONTJA</w:t>
            </w:r>
          </w:p>
          <w:p w14:paraId="7064B0BA" w14:textId="77777777" w:rsidR="001B1411" w:rsidRPr="00DA7625" w:rsidRDefault="001B1411">
            <w:pPr>
              <w:spacing w:before="0" w:after="0"/>
              <w:jc w:val="left"/>
              <w:rPr>
                <w:rFonts w:ascii="Times New Roman" w:hAnsi="Times New Roman"/>
                <w:b/>
                <w:sz w:val="24"/>
                <w:u w:val="single"/>
              </w:rPr>
            </w:pPr>
          </w:p>
          <w:p w14:paraId="61DCD0F8" w14:textId="77777777" w:rsidR="001B1411" w:rsidRPr="00DA7625" w:rsidRDefault="00C55547">
            <w:pPr>
              <w:spacing w:before="0" w:after="0"/>
              <w:jc w:val="left"/>
              <w:rPr>
                <w:rFonts w:ascii="Times New Roman" w:hAnsi="Times New Roman"/>
                <w:sz w:val="24"/>
              </w:rPr>
            </w:pPr>
            <w:r w:rsidRPr="00DA7625">
              <w:rPr>
                <w:rFonts w:ascii="Times New Roman" w:hAnsi="Times New Roman"/>
                <w:sz w:val="24"/>
              </w:rPr>
              <w:t xml:space="preserve">A teljes értékpapírosítás felmondásának valószínű időpontja a szerződési feltételek és a jelenleg várható pénzügyi feltételek alapján. Általában az alábbiak közül a legkorábbi időpont: </w:t>
            </w:r>
          </w:p>
          <w:p w14:paraId="6F49AE9B" w14:textId="77777777" w:rsidR="001B1411" w:rsidRPr="00DA7625" w:rsidRDefault="001B1411">
            <w:pPr>
              <w:spacing w:before="0" w:after="0"/>
              <w:jc w:val="left"/>
              <w:rPr>
                <w:rFonts w:ascii="Times New Roman" w:hAnsi="Times New Roman"/>
                <w:sz w:val="24"/>
              </w:rPr>
            </w:pPr>
          </w:p>
          <w:p w14:paraId="78BC5B74" w14:textId="3C59317A" w:rsidR="001B1411" w:rsidRPr="00DA7625" w:rsidRDefault="00C55547">
            <w:pPr>
              <w:spacing w:before="0" w:after="0"/>
              <w:jc w:val="left"/>
              <w:rPr>
                <w:rFonts w:ascii="Times New Roman" w:hAnsi="Times New Roman"/>
                <w:sz w:val="24"/>
              </w:rPr>
            </w:pPr>
            <w:r w:rsidRPr="00DA7625">
              <w:rPr>
                <w:rFonts w:ascii="Times New Roman" w:hAnsi="Times New Roman"/>
                <w:sz w:val="24"/>
              </w:rPr>
              <w:t>i.</w:t>
            </w:r>
            <w:r w:rsidRPr="00DA7625">
              <w:rPr>
                <w:rFonts w:ascii="Times New Roman" w:hAnsi="Times New Roman"/>
                <w:sz w:val="24"/>
              </w:rPr>
              <w:tab/>
              <w:t>az a nap, amelyen a CRR 242. cikkének 1. pontjában meghatározott maradék pozíciókra vonatkozó visszavásárlási jog az alapul szolgáló kitettségek lejáratát, valamint azok előtörlesztési rátáit és esetleges újratárgyalását figyelembe véve először gyakorolható;</w:t>
            </w:r>
          </w:p>
          <w:p w14:paraId="6D0D67C0" w14:textId="77777777" w:rsidR="001B1411" w:rsidRPr="00DA7625" w:rsidRDefault="001B1411">
            <w:pPr>
              <w:spacing w:before="0" w:after="0"/>
              <w:jc w:val="left"/>
              <w:rPr>
                <w:rFonts w:ascii="Times New Roman" w:hAnsi="Times New Roman"/>
                <w:sz w:val="24"/>
              </w:rPr>
            </w:pPr>
          </w:p>
          <w:p w14:paraId="36521F45" w14:textId="77777777" w:rsidR="001B1411" w:rsidRPr="00DA7625" w:rsidRDefault="00C55547">
            <w:pPr>
              <w:spacing w:before="0" w:after="0"/>
              <w:jc w:val="left"/>
              <w:rPr>
                <w:rFonts w:ascii="Times New Roman" w:hAnsi="Times New Roman"/>
                <w:sz w:val="24"/>
              </w:rPr>
            </w:pPr>
            <w:r w:rsidRPr="00DA7625">
              <w:rPr>
                <w:rFonts w:ascii="Times New Roman" w:hAnsi="Times New Roman"/>
                <w:sz w:val="24"/>
              </w:rPr>
              <w:t>ii.</w:t>
            </w:r>
            <w:r w:rsidRPr="00DA7625">
              <w:rPr>
                <w:rFonts w:ascii="Times New Roman" w:hAnsi="Times New Roman"/>
                <w:sz w:val="24"/>
              </w:rPr>
              <w:tab/>
              <w:t>az a nap, amelyen az értékpapírosítást kezdeményező először érvényesíthet az értékpapírosítás szerződési feltételeiben foglalt olyan egyéb lehívási opciót, amely az értékpapírosítás teljes visszaváltását eredményezi.</w:t>
            </w:r>
          </w:p>
          <w:p w14:paraId="078670E9" w14:textId="77777777" w:rsidR="001B1411" w:rsidRPr="00DA7625" w:rsidRDefault="001B1411">
            <w:pPr>
              <w:spacing w:before="0" w:after="0"/>
              <w:jc w:val="left"/>
              <w:rPr>
                <w:rFonts w:ascii="Times New Roman" w:hAnsi="Times New Roman"/>
                <w:sz w:val="24"/>
              </w:rPr>
            </w:pPr>
          </w:p>
          <w:p w14:paraId="4BA66220" w14:textId="461E547A"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A felmondás várható legkorábbi időpontja tekintetében a napot, a hónapot és az évet kell megadni. Amennyiben ismert, a pontos napot kell feltüntetni, egyéb esetben a hónap első napját.</w:t>
            </w:r>
          </w:p>
          <w:p w14:paraId="490F4A67" w14:textId="77777777" w:rsidR="001B1411" w:rsidRPr="00DA7625" w:rsidRDefault="001B1411">
            <w:pPr>
              <w:spacing w:before="0" w:after="0"/>
              <w:jc w:val="left"/>
              <w:rPr>
                <w:rFonts w:ascii="Times New Roman" w:hAnsi="Times New Roman"/>
                <w:sz w:val="24"/>
              </w:rPr>
            </w:pPr>
          </w:p>
        </w:tc>
      </w:tr>
      <w:tr w:rsidR="001B1411" w:rsidRPr="00DA7625" w14:paraId="24FD7BB3" w14:textId="77777777" w:rsidTr="00E10B85">
        <w:tc>
          <w:tcPr>
            <w:tcW w:w="1101" w:type="dxa"/>
            <w:shd w:val="clear" w:color="auto" w:fill="auto"/>
          </w:tcPr>
          <w:p w14:paraId="0599A059"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bCs/>
                <w:sz w:val="24"/>
              </w:rPr>
              <w:t>291</w:t>
            </w:r>
          </w:p>
        </w:tc>
        <w:tc>
          <w:tcPr>
            <w:tcW w:w="7903" w:type="dxa"/>
            <w:shd w:val="clear" w:color="auto" w:fill="auto"/>
          </w:tcPr>
          <w:p w14:paraId="71A92E87"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AZ ÉRTÉKPAPÍROSÍTÁST KEZDEMÉNYEZŐ ÜGYLETBE FOGLALT VISSZAVÁSÁRLÁSI JOGA</w:t>
            </w:r>
          </w:p>
          <w:p w14:paraId="026AD3BA" w14:textId="77777777" w:rsidR="001B1411" w:rsidRPr="00DA7625" w:rsidRDefault="001B1411">
            <w:pPr>
              <w:spacing w:before="0" w:after="0"/>
              <w:jc w:val="left"/>
              <w:rPr>
                <w:rFonts w:ascii="Times New Roman" w:hAnsi="Times New Roman"/>
                <w:b/>
                <w:sz w:val="24"/>
                <w:u w:val="single"/>
              </w:rPr>
            </w:pPr>
          </w:p>
          <w:p w14:paraId="57494296" w14:textId="149BA8DC" w:rsidR="001B1411" w:rsidRPr="00DA7625" w:rsidRDefault="00C55547">
            <w:pPr>
              <w:spacing w:before="0" w:after="0"/>
              <w:jc w:val="left"/>
              <w:rPr>
                <w:rFonts w:ascii="Times New Roman" w:hAnsi="Times New Roman"/>
                <w:sz w:val="24"/>
              </w:rPr>
            </w:pPr>
            <w:r w:rsidRPr="00DA7625">
              <w:rPr>
                <w:rFonts w:ascii="Times New Roman" w:hAnsi="Times New Roman"/>
                <w:sz w:val="24"/>
              </w:rPr>
              <w:t>A felmondás várható legkorábbi időpontja szempontjából releváns visszavásárlási jog típusa:</w:t>
            </w:r>
          </w:p>
          <w:p w14:paraId="308C614B" w14:textId="32A9BFE9" w:rsidR="001B1411" w:rsidRPr="00DA7625" w:rsidRDefault="00C55547">
            <w:pPr>
              <w:pStyle w:val="ListParagraph"/>
              <w:numPr>
                <w:ilvl w:val="0"/>
                <w:numId w:val="29"/>
              </w:numPr>
              <w:spacing w:before="0" w:after="0"/>
              <w:jc w:val="left"/>
              <w:rPr>
                <w:rFonts w:ascii="Times New Roman" w:hAnsi="Times New Roman"/>
                <w:sz w:val="24"/>
              </w:rPr>
            </w:pPr>
            <w:r w:rsidRPr="00DA7625">
              <w:rPr>
                <w:rFonts w:ascii="Times New Roman" w:hAnsi="Times New Roman"/>
                <w:sz w:val="24"/>
              </w:rPr>
              <w:t>maradék pozíciókra vonatkozó visszavásárlási jog, amely megfelel a CRR 244. cikke (4) bekezdése g) pontjának;</w:t>
            </w:r>
          </w:p>
          <w:p w14:paraId="147D3AD6" w14:textId="77777777" w:rsidR="001B1411" w:rsidRPr="00DA7625" w:rsidRDefault="00C55547">
            <w:pPr>
              <w:pStyle w:val="ListParagraph"/>
              <w:numPr>
                <w:ilvl w:val="0"/>
                <w:numId w:val="29"/>
              </w:numPr>
              <w:spacing w:before="0" w:after="0"/>
              <w:jc w:val="left"/>
              <w:rPr>
                <w:rFonts w:ascii="Times New Roman" w:hAnsi="Times New Roman"/>
                <w:sz w:val="24"/>
              </w:rPr>
            </w:pPr>
            <w:r w:rsidRPr="00DA7625">
              <w:rPr>
                <w:rFonts w:ascii="Times New Roman" w:hAnsi="Times New Roman"/>
                <w:sz w:val="24"/>
              </w:rPr>
              <w:t>maradék pozíciókra vonatkozó egyéb visszavásárlási jog;</w:t>
            </w:r>
          </w:p>
          <w:p w14:paraId="2346ED40" w14:textId="35342C21" w:rsidR="001B1411" w:rsidRPr="00DA7625" w:rsidRDefault="00C55547">
            <w:pPr>
              <w:pStyle w:val="ListParagraph"/>
              <w:numPr>
                <w:ilvl w:val="0"/>
                <w:numId w:val="29"/>
              </w:numPr>
              <w:spacing w:before="0" w:after="0"/>
              <w:jc w:val="left"/>
              <w:rPr>
                <w:rFonts w:ascii="Times New Roman" w:hAnsi="Times New Roman"/>
                <w:sz w:val="24"/>
              </w:rPr>
            </w:pPr>
            <w:r w:rsidRPr="00DA7625">
              <w:rPr>
                <w:rFonts w:ascii="Times New Roman" w:hAnsi="Times New Roman"/>
                <w:sz w:val="24"/>
              </w:rPr>
              <w:t>egyéb típusú visszavásárlási jog.</w:t>
            </w:r>
          </w:p>
          <w:p w14:paraId="73086AFE" w14:textId="77777777" w:rsidR="001B1411" w:rsidRPr="00DA7625" w:rsidRDefault="001B1411">
            <w:pPr>
              <w:spacing w:before="0" w:after="0"/>
              <w:jc w:val="left"/>
              <w:rPr>
                <w:rFonts w:ascii="Times New Roman" w:hAnsi="Times New Roman"/>
                <w:b/>
                <w:sz w:val="24"/>
                <w:u w:val="single"/>
              </w:rPr>
            </w:pPr>
          </w:p>
        </w:tc>
      </w:tr>
      <w:tr w:rsidR="001B1411" w:rsidRPr="00DA7625" w14:paraId="228A076D" w14:textId="77777777" w:rsidTr="00E10B85">
        <w:tc>
          <w:tcPr>
            <w:tcW w:w="1101" w:type="dxa"/>
            <w:shd w:val="clear" w:color="auto" w:fill="auto"/>
          </w:tcPr>
          <w:p w14:paraId="2B7F4B62" w14:textId="77777777" w:rsidR="001B1411" w:rsidRPr="00DA7625" w:rsidDel="00304CB1"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300</w:t>
            </w:r>
          </w:p>
        </w:tc>
        <w:tc>
          <w:tcPr>
            <w:tcW w:w="7903" w:type="dxa"/>
            <w:shd w:val="clear" w:color="auto" w:fill="auto"/>
          </w:tcPr>
          <w:p w14:paraId="4D7BC1C5"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JOGSZERŰ VÉGSŐ LEJÁRATI IDŐPONT</w:t>
            </w:r>
          </w:p>
          <w:p w14:paraId="1FC5943C" w14:textId="77777777" w:rsidR="001B1411" w:rsidRPr="00DA7625" w:rsidRDefault="001B1411">
            <w:pPr>
              <w:spacing w:before="0" w:after="0"/>
              <w:jc w:val="left"/>
              <w:rPr>
                <w:rFonts w:ascii="Times New Roman" w:hAnsi="Times New Roman"/>
                <w:b/>
                <w:sz w:val="24"/>
                <w:u w:val="single"/>
              </w:rPr>
            </w:pPr>
          </w:p>
          <w:p w14:paraId="79D48A53" w14:textId="77777777" w:rsidR="001B1411" w:rsidRPr="00DA7625" w:rsidRDefault="00C55547">
            <w:pPr>
              <w:spacing w:before="0" w:after="0"/>
              <w:jc w:val="left"/>
              <w:rPr>
                <w:rFonts w:ascii="Times New Roman" w:hAnsi="Times New Roman"/>
                <w:sz w:val="24"/>
              </w:rPr>
            </w:pPr>
            <w:r w:rsidRPr="00DA7625">
              <w:rPr>
                <w:rFonts w:ascii="Times New Roman" w:hAnsi="Times New Roman"/>
                <w:sz w:val="24"/>
              </w:rPr>
              <w:t>Az a nap, amelyen az értékpapírosítás teljes tőke- és kamatrészét jogszerűen vissza kell fizetni (az ügylet dokumentációja alapján).</w:t>
            </w:r>
          </w:p>
          <w:p w14:paraId="69CB8BC2" w14:textId="77777777" w:rsidR="001B1411" w:rsidRPr="00DA7625" w:rsidRDefault="001B1411">
            <w:pPr>
              <w:spacing w:before="0" w:after="0"/>
              <w:jc w:val="left"/>
              <w:rPr>
                <w:rFonts w:ascii="Times New Roman" w:hAnsi="Times New Roman"/>
                <w:sz w:val="24"/>
              </w:rPr>
            </w:pPr>
          </w:p>
          <w:p w14:paraId="40BD8A30" w14:textId="337FBE75"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A jogszerű végső lejárati időpont tekintetében a napot, a hónapot és az évet kell megadni. Amennyiben ismert, a pontos napot kell feltüntetni, egyéb esetben a hónap első napját.</w:t>
            </w:r>
          </w:p>
          <w:p w14:paraId="426B1ED1" w14:textId="77777777" w:rsidR="001B1411" w:rsidRPr="00DA7625" w:rsidRDefault="001B1411">
            <w:pPr>
              <w:spacing w:before="0" w:after="0"/>
              <w:jc w:val="left"/>
              <w:rPr>
                <w:rFonts w:ascii="Times New Roman" w:hAnsi="Times New Roman"/>
                <w:sz w:val="24"/>
              </w:rPr>
            </w:pPr>
          </w:p>
        </w:tc>
      </w:tr>
      <w:tr w:rsidR="001B1411" w:rsidRPr="00DA7625" w14:paraId="6E297872" w14:textId="77777777" w:rsidTr="00E10B85">
        <w:tc>
          <w:tcPr>
            <w:tcW w:w="1101" w:type="dxa"/>
            <w:shd w:val="clear" w:color="auto" w:fill="auto"/>
          </w:tcPr>
          <w:p w14:paraId="244BAFB9" w14:textId="77777777" w:rsidR="001B1411" w:rsidRPr="00DA7625" w:rsidRDefault="00C55547">
            <w:pPr>
              <w:autoSpaceDE w:val="0"/>
              <w:autoSpaceDN w:val="0"/>
              <w:adjustRightInd w:val="0"/>
              <w:spacing w:before="0" w:after="0"/>
              <w:rPr>
                <w:rFonts w:ascii="Times New Roman" w:hAnsi="Times New Roman"/>
                <w:bCs/>
                <w:sz w:val="24"/>
              </w:rPr>
            </w:pPr>
            <w:r w:rsidRPr="00DA7625">
              <w:rPr>
                <w:rFonts w:ascii="Times New Roman" w:hAnsi="Times New Roman"/>
                <w:bCs/>
                <w:sz w:val="24"/>
              </w:rPr>
              <w:lastRenderedPageBreak/>
              <w:t>302–304</w:t>
            </w:r>
          </w:p>
        </w:tc>
        <w:tc>
          <w:tcPr>
            <w:tcW w:w="7903" w:type="dxa"/>
            <w:shd w:val="clear" w:color="auto" w:fill="auto"/>
          </w:tcPr>
          <w:p w14:paraId="06A11EDB"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 xml:space="preserve">TÁJÉKOZTATÓ ADATOK </w:t>
            </w:r>
          </w:p>
        </w:tc>
      </w:tr>
      <w:tr w:rsidR="001B1411" w:rsidRPr="00DA7625" w14:paraId="72A5FF23" w14:textId="77777777" w:rsidTr="00E10B85">
        <w:tc>
          <w:tcPr>
            <w:tcW w:w="1101" w:type="dxa"/>
            <w:shd w:val="clear" w:color="auto" w:fill="auto"/>
          </w:tcPr>
          <w:p w14:paraId="47FE92CB"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bCs/>
                <w:sz w:val="24"/>
              </w:rPr>
              <w:t>302</w:t>
            </w:r>
          </w:p>
        </w:tc>
        <w:tc>
          <w:tcPr>
            <w:tcW w:w="7903" w:type="dxa"/>
            <w:shd w:val="clear" w:color="auto" w:fill="auto"/>
          </w:tcPr>
          <w:p w14:paraId="0C524673"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AZ ELADOTT KOCKÁZAT ALSÓ VESZTESÉGVISELÉSI HATÁRA (%)</w:t>
            </w:r>
          </w:p>
          <w:p w14:paraId="4B654EF1" w14:textId="77777777" w:rsidR="001B1411" w:rsidRPr="00DA7625" w:rsidRDefault="001B1411">
            <w:pPr>
              <w:spacing w:before="0" w:after="0"/>
              <w:jc w:val="left"/>
              <w:rPr>
                <w:rFonts w:ascii="Times New Roman" w:hAnsi="Times New Roman"/>
                <w:b/>
                <w:sz w:val="24"/>
                <w:u w:val="single"/>
              </w:rPr>
            </w:pPr>
          </w:p>
          <w:p w14:paraId="089250FD" w14:textId="60722CEE" w:rsidR="001B1411" w:rsidRPr="00DA7625" w:rsidRDefault="00C55547">
            <w:pPr>
              <w:spacing w:before="0" w:after="0"/>
              <w:jc w:val="left"/>
              <w:rPr>
                <w:rFonts w:ascii="Times New Roman" w:hAnsi="Times New Roman"/>
                <w:b/>
                <w:sz w:val="24"/>
                <w:u w:val="single"/>
              </w:rPr>
            </w:pPr>
            <w:r w:rsidRPr="00DA7625">
              <w:rPr>
                <w:rFonts w:ascii="Times New Roman" w:hAnsi="Times New Roman"/>
                <w:sz w:val="24"/>
              </w:rPr>
              <w:t>Kizárólag az értékpapírosítást kezdeményezőknek kell megadniuk a hagyományos értékpapírosítások esetében harmadik feleknek eladott, vagy szintetikus értékpapírosítások esetében harmadik fél általi hitelkockázati fedezetben részesülő leginkább alárendelt ügyletrészsorozat alsó veszteségviselési határát.</w:t>
            </w:r>
          </w:p>
          <w:p w14:paraId="7039C0CA" w14:textId="77777777" w:rsidR="001B1411" w:rsidRPr="00DA7625" w:rsidRDefault="001B1411">
            <w:pPr>
              <w:spacing w:before="0" w:after="0"/>
              <w:jc w:val="left"/>
              <w:rPr>
                <w:rFonts w:ascii="Times New Roman" w:hAnsi="Times New Roman"/>
                <w:b/>
                <w:sz w:val="24"/>
                <w:u w:val="single"/>
              </w:rPr>
            </w:pPr>
          </w:p>
        </w:tc>
      </w:tr>
      <w:tr w:rsidR="001B1411" w:rsidRPr="00DA7625" w14:paraId="279000E3" w14:textId="77777777" w:rsidTr="00E10B85">
        <w:tc>
          <w:tcPr>
            <w:tcW w:w="1101" w:type="dxa"/>
            <w:shd w:val="clear" w:color="auto" w:fill="auto"/>
          </w:tcPr>
          <w:p w14:paraId="6539E85C"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bCs/>
                <w:sz w:val="24"/>
              </w:rPr>
              <w:t>303</w:t>
            </w:r>
          </w:p>
        </w:tc>
        <w:tc>
          <w:tcPr>
            <w:tcW w:w="7903" w:type="dxa"/>
            <w:shd w:val="clear" w:color="auto" w:fill="auto"/>
          </w:tcPr>
          <w:p w14:paraId="7993FAFE"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AZ ELADOTT KOCKÁZAT FELSŐ VESZTESÉGVISELÉSI HATÁRA (%)</w:t>
            </w:r>
          </w:p>
          <w:p w14:paraId="3D10DFDB" w14:textId="77777777" w:rsidR="001B1411" w:rsidRPr="00DA7625" w:rsidRDefault="001B1411">
            <w:pPr>
              <w:spacing w:before="0" w:after="0"/>
              <w:jc w:val="left"/>
              <w:rPr>
                <w:rFonts w:ascii="Times New Roman" w:hAnsi="Times New Roman"/>
                <w:b/>
                <w:sz w:val="24"/>
                <w:u w:val="single"/>
              </w:rPr>
            </w:pPr>
          </w:p>
          <w:p w14:paraId="4B689885" w14:textId="3A96C1B3" w:rsidR="001B1411" w:rsidRPr="00DA7625" w:rsidRDefault="00C55547">
            <w:pPr>
              <w:spacing w:before="0" w:after="0"/>
              <w:jc w:val="left"/>
              <w:rPr>
                <w:rFonts w:ascii="Times New Roman" w:hAnsi="Times New Roman"/>
                <w:sz w:val="24"/>
              </w:rPr>
            </w:pPr>
            <w:r w:rsidRPr="00DA7625">
              <w:rPr>
                <w:rFonts w:ascii="Times New Roman" w:hAnsi="Times New Roman"/>
                <w:sz w:val="24"/>
              </w:rPr>
              <w:t>Kizárólag az értékpapírosítást kezdeményezőknek kell megadniuk a hagyományos értékpapírosítások esetében harmadik feleknek eladott, vagy szintetikus értékpapírosítások esetében harmadik fél általi hitelkockázati fedezetben részesülő leginkább előresorolt ügyletrészsorozat felső veszteségviselési határát.</w:t>
            </w:r>
          </w:p>
          <w:p w14:paraId="06AFF67E" w14:textId="77777777" w:rsidR="001B1411" w:rsidRPr="00DA7625" w:rsidRDefault="001B1411">
            <w:pPr>
              <w:spacing w:before="0" w:after="0"/>
              <w:jc w:val="left"/>
              <w:rPr>
                <w:rFonts w:ascii="Times New Roman" w:hAnsi="Times New Roman"/>
                <w:b/>
                <w:sz w:val="24"/>
                <w:u w:val="single"/>
              </w:rPr>
            </w:pPr>
          </w:p>
        </w:tc>
      </w:tr>
      <w:tr w:rsidR="001B1411" w:rsidRPr="00DA7625" w14:paraId="5F86659B" w14:textId="77777777" w:rsidTr="00E10B85">
        <w:tc>
          <w:tcPr>
            <w:tcW w:w="1101" w:type="dxa"/>
            <w:shd w:val="clear" w:color="auto" w:fill="auto"/>
          </w:tcPr>
          <w:p w14:paraId="5A7ED862"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bCs/>
                <w:sz w:val="24"/>
              </w:rPr>
              <w:t>304</w:t>
            </w:r>
          </w:p>
        </w:tc>
        <w:tc>
          <w:tcPr>
            <w:tcW w:w="7903" w:type="dxa"/>
            <w:shd w:val="clear" w:color="auto" w:fill="auto"/>
          </w:tcPr>
          <w:p w14:paraId="4F401239" w14:textId="77777777" w:rsidR="001B1411" w:rsidRPr="00DA7625" w:rsidRDefault="00C55547">
            <w:pPr>
              <w:spacing w:before="0" w:after="0"/>
              <w:jc w:val="left"/>
              <w:rPr>
                <w:rFonts w:ascii="Times New Roman" w:hAnsi="Times New Roman"/>
                <w:b/>
                <w:sz w:val="24"/>
                <w:u w:val="single"/>
              </w:rPr>
            </w:pPr>
            <w:r w:rsidRPr="00DA7625">
              <w:rPr>
                <w:rFonts w:ascii="Times New Roman" w:hAnsi="Times New Roman"/>
                <w:b/>
                <w:sz w:val="24"/>
                <w:u w:val="single"/>
              </w:rPr>
              <w:t>AZ ÉRTÉKPAPÍROSÍTÁST KEZDEMÉNYEZŐ ÁLTAL MEGÁLLAPÍTOTT KOCKÁZATÁTRUHÁZÁS (%)</w:t>
            </w:r>
          </w:p>
          <w:p w14:paraId="680800C0" w14:textId="77777777" w:rsidR="001B1411" w:rsidRPr="00DA7625" w:rsidRDefault="001B1411">
            <w:pPr>
              <w:spacing w:before="0" w:after="0"/>
              <w:jc w:val="left"/>
              <w:rPr>
                <w:rFonts w:ascii="Times New Roman" w:hAnsi="Times New Roman"/>
                <w:b/>
                <w:sz w:val="24"/>
                <w:u w:val="single"/>
              </w:rPr>
            </w:pPr>
          </w:p>
          <w:p w14:paraId="1611C31C" w14:textId="3ED215FA" w:rsidR="001B1411" w:rsidRPr="00DA7625" w:rsidRDefault="00C55547">
            <w:pPr>
              <w:spacing w:before="0" w:after="0"/>
              <w:jc w:val="left"/>
              <w:rPr>
                <w:rFonts w:ascii="Times New Roman" w:hAnsi="Times New Roman"/>
                <w:sz w:val="24"/>
              </w:rPr>
            </w:pPr>
            <w:r w:rsidRPr="00DA7625">
              <w:rPr>
                <w:rFonts w:ascii="Times New Roman" w:hAnsi="Times New Roman"/>
                <w:sz w:val="24"/>
              </w:rPr>
              <w:t xml:space="preserve">Kizárólag az értékpapírosítást kezdeményezőknek kell megadniuk az értékpapírosított eszközök harmadik felekre átruházott, nem várható veszteséggel (UL) növelt várható veszteségét (EL) a teljes várható veszteség és nem várható veszteség összegének százalékos arányában kifejezve. Meg kell adni az alapul szolgáló kitettségek EL- és UL-értékét, amelyeket ezt követően a többlépcsős értékpapírosítási veszteségviselés szerint hozzá kell rendelni az értékpapírosítás megfelelő ügyletrészsorozataihoz. SA bankok esetében az EL az értékpapírosított eszközök egyedi hitelkockázati kiigazítása, az UL pedig az értékpapírosított kitettségek tőkekövetelménye. </w:t>
            </w:r>
          </w:p>
          <w:p w14:paraId="4276B83A" w14:textId="77777777" w:rsidR="001B1411" w:rsidRPr="00DA7625" w:rsidRDefault="001B1411">
            <w:pPr>
              <w:spacing w:before="0" w:after="0"/>
              <w:jc w:val="left"/>
              <w:rPr>
                <w:rFonts w:ascii="Times New Roman" w:hAnsi="Times New Roman"/>
                <w:b/>
                <w:sz w:val="24"/>
                <w:u w:val="single"/>
              </w:rPr>
            </w:pPr>
          </w:p>
        </w:tc>
      </w:tr>
    </w:tbl>
    <w:p w14:paraId="41F4D1A9" w14:textId="77777777" w:rsidR="001B1411" w:rsidRPr="00DA7625" w:rsidRDefault="001B1411">
      <w:pPr>
        <w:spacing w:before="0" w:after="0"/>
        <w:jc w:val="left"/>
        <w:rPr>
          <w:rStyle w:val="InstructionsTabelleText"/>
          <w:rFonts w:ascii="Times New Roman" w:hAnsi="Times New Roman"/>
          <w:sz w:val="24"/>
        </w:rPr>
      </w:pPr>
    </w:p>
    <w:p w14:paraId="681C1EE1" w14:textId="77777777" w:rsidR="001B1411" w:rsidRPr="00DA7625" w:rsidRDefault="00FC6275">
      <w:pPr>
        <w:pStyle w:val="Instructionsberschrift2"/>
        <w:numPr>
          <w:ilvl w:val="0"/>
          <w:numId w:val="0"/>
        </w:numPr>
        <w:ind w:left="357" w:hanging="357"/>
        <w:rPr>
          <w:rFonts w:ascii="Times New Roman" w:hAnsi="Times New Roman" w:cs="Times New Roman"/>
          <w:sz w:val="24"/>
        </w:rPr>
      </w:pPr>
      <w:bookmarkStart w:id="70" w:name="_Toc31018816"/>
      <w:r w:rsidRPr="00DA7625">
        <w:rPr>
          <w:rFonts w:ascii="Times New Roman" w:hAnsi="Times New Roman"/>
          <w:sz w:val="24"/>
          <w:u w:val="none"/>
        </w:rPr>
        <w:t>3.9.4.</w:t>
      </w:r>
      <w:r w:rsidRPr="00DA7625">
        <w:rPr>
          <w:rFonts w:ascii="Times New Roman" w:hAnsi="Times New Roman"/>
          <w:sz w:val="24"/>
          <w:u w:val="none"/>
        </w:rPr>
        <w:tab/>
      </w:r>
      <w:r w:rsidRPr="00DA7625">
        <w:rPr>
          <w:rFonts w:ascii="Times New Roman" w:hAnsi="Times New Roman"/>
          <w:sz w:val="24"/>
        </w:rPr>
        <w:t>C 14.01 – Az értékpapírosítással kapcsolatos részletes információk (SEC DETAILS 2)</w:t>
      </w:r>
      <w:bookmarkEnd w:id="70"/>
    </w:p>
    <w:p w14:paraId="19D97974" w14:textId="77777777" w:rsidR="001B1411" w:rsidRPr="00DA7625" w:rsidRDefault="00CA4EB2">
      <w:pPr>
        <w:pStyle w:val="InstructionsText2"/>
        <w:numPr>
          <w:ilvl w:val="0"/>
          <w:numId w:val="0"/>
        </w:numPr>
      </w:pPr>
      <w:r w:rsidRPr="00DA7625">
        <w:t>113c. Az alábbi módszerekre vonatkozóan a SEC DETAILS 2 táblán külön kell adatot szolgáltatni:</w:t>
      </w:r>
    </w:p>
    <w:p w14:paraId="47151734" w14:textId="77777777" w:rsidR="001B1411" w:rsidRPr="00DA7625" w:rsidRDefault="00CA4EB2">
      <w:pPr>
        <w:pStyle w:val="InstructionsText2"/>
        <w:numPr>
          <w:ilvl w:val="0"/>
          <w:numId w:val="0"/>
        </w:numPr>
        <w:ind w:firstLine="423"/>
      </w:pPr>
      <w:r w:rsidRPr="00DA7625">
        <w:t>1) SEC-IRBA;</w:t>
      </w:r>
    </w:p>
    <w:p w14:paraId="0F280B59" w14:textId="77777777" w:rsidR="001B1411" w:rsidRPr="00DA7625" w:rsidRDefault="00CA4EB2">
      <w:pPr>
        <w:pStyle w:val="InstructionsText2"/>
        <w:numPr>
          <w:ilvl w:val="0"/>
          <w:numId w:val="0"/>
        </w:numPr>
        <w:ind w:firstLine="423"/>
      </w:pPr>
      <w:r w:rsidRPr="00DA7625">
        <w:t>2) SEC-SA;</w:t>
      </w:r>
    </w:p>
    <w:p w14:paraId="0E480690" w14:textId="77777777" w:rsidR="001B1411" w:rsidRPr="00DA7625" w:rsidRDefault="00CA4EB2">
      <w:pPr>
        <w:pStyle w:val="InstructionsText2"/>
        <w:numPr>
          <w:ilvl w:val="0"/>
          <w:numId w:val="0"/>
        </w:numPr>
        <w:ind w:firstLine="423"/>
      </w:pPr>
      <w:r w:rsidRPr="00DA7625">
        <w:t>3) SEC-ERBA;</w:t>
      </w:r>
    </w:p>
    <w:p w14:paraId="7C3082BF" w14:textId="77777777" w:rsidR="001B1411" w:rsidRPr="00DA7625" w:rsidRDefault="00CA4EB2">
      <w:pPr>
        <w:pStyle w:val="InstructionsText2"/>
        <w:numPr>
          <w:ilvl w:val="0"/>
          <w:numId w:val="0"/>
        </w:numPr>
        <w:ind w:firstLine="423"/>
      </w:pPr>
      <w:r w:rsidRPr="00DA7625">
        <w:lastRenderedPageBreak/>
        <w:t>4) 1 250 %.</w:t>
      </w:r>
    </w:p>
    <w:p w14:paraId="6C14E1AE" w14:textId="77777777" w:rsidR="001B1411" w:rsidRPr="00DA7625" w:rsidRDefault="001B1411">
      <w:pPr>
        <w:pStyle w:val="InstructionsText2"/>
        <w:numPr>
          <w:ilvl w:val="0"/>
          <w:numId w:val="0"/>
        </w:numPr>
        <w:ind w:firstLine="423"/>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1B1411" w:rsidRPr="00DA7625" w14:paraId="24B629CB" w14:textId="77777777" w:rsidTr="00E10B85">
        <w:tc>
          <w:tcPr>
            <w:tcW w:w="9004" w:type="dxa"/>
            <w:gridSpan w:val="2"/>
            <w:shd w:val="clear" w:color="auto" w:fill="CCCCCC"/>
          </w:tcPr>
          <w:p w14:paraId="7822B9A2" w14:textId="77777777" w:rsidR="001B1411" w:rsidRPr="00DA7625" w:rsidRDefault="001B1411">
            <w:pPr>
              <w:autoSpaceDE w:val="0"/>
              <w:autoSpaceDN w:val="0"/>
              <w:adjustRightInd w:val="0"/>
              <w:spacing w:before="0" w:after="0"/>
              <w:rPr>
                <w:rFonts w:ascii="Times New Roman" w:hAnsi="Times New Roman"/>
                <w:bCs/>
                <w:sz w:val="24"/>
              </w:rPr>
            </w:pPr>
          </w:p>
          <w:p w14:paraId="67386B91" w14:textId="77777777" w:rsidR="001B1411" w:rsidRPr="00DA7625" w:rsidRDefault="00FC6275">
            <w:pPr>
              <w:autoSpaceDE w:val="0"/>
              <w:autoSpaceDN w:val="0"/>
              <w:adjustRightInd w:val="0"/>
              <w:spacing w:before="0" w:after="0"/>
              <w:rPr>
                <w:rFonts w:ascii="Times New Roman" w:hAnsi="Times New Roman"/>
                <w:b/>
                <w:bCs/>
                <w:sz w:val="24"/>
              </w:rPr>
            </w:pPr>
            <w:r w:rsidRPr="00DA7625">
              <w:rPr>
                <w:rFonts w:ascii="Times New Roman" w:hAnsi="Times New Roman"/>
                <w:b/>
                <w:sz w:val="24"/>
              </w:rPr>
              <w:t>Oszlop</w:t>
            </w:r>
          </w:p>
          <w:p w14:paraId="7A839348" w14:textId="77777777" w:rsidR="001B1411" w:rsidRPr="00DA7625" w:rsidRDefault="001B1411">
            <w:pPr>
              <w:autoSpaceDE w:val="0"/>
              <w:autoSpaceDN w:val="0"/>
              <w:adjustRightInd w:val="0"/>
              <w:spacing w:before="0" w:after="0"/>
              <w:rPr>
                <w:rFonts w:ascii="Times New Roman" w:hAnsi="Times New Roman"/>
                <w:bCs/>
                <w:sz w:val="24"/>
              </w:rPr>
            </w:pPr>
          </w:p>
        </w:tc>
      </w:tr>
      <w:tr w:rsidR="001B1411" w:rsidRPr="00DA7625" w14:paraId="46BFB097" w14:textId="77777777" w:rsidTr="00E10B85">
        <w:tc>
          <w:tcPr>
            <w:tcW w:w="1101" w:type="dxa"/>
          </w:tcPr>
          <w:p w14:paraId="7B6E154D" w14:textId="77777777" w:rsidR="001B1411" w:rsidRPr="00DA7625" w:rsidRDefault="00FC6275">
            <w:pPr>
              <w:autoSpaceDE w:val="0"/>
              <w:autoSpaceDN w:val="0"/>
              <w:adjustRightInd w:val="0"/>
              <w:spacing w:before="0" w:after="0"/>
              <w:rPr>
                <w:rFonts w:ascii="Times New Roman" w:hAnsi="Times New Roman"/>
                <w:bCs/>
                <w:sz w:val="24"/>
              </w:rPr>
            </w:pPr>
            <w:r w:rsidRPr="00DA7625">
              <w:rPr>
                <w:rFonts w:ascii="Times New Roman" w:hAnsi="Times New Roman"/>
                <w:bCs/>
                <w:sz w:val="24"/>
              </w:rPr>
              <w:t>005</w:t>
            </w:r>
          </w:p>
        </w:tc>
        <w:tc>
          <w:tcPr>
            <w:tcW w:w="7903" w:type="dxa"/>
          </w:tcPr>
          <w:p w14:paraId="493432E4" w14:textId="77777777" w:rsidR="001B1411" w:rsidRPr="00DA7625" w:rsidRDefault="00FC6275">
            <w:pPr>
              <w:spacing w:before="0" w:after="0"/>
              <w:jc w:val="left"/>
              <w:rPr>
                <w:rFonts w:ascii="Times New Roman" w:hAnsi="Times New Roman"/>
                <w:b/>
                <w:sz w:val="24"/>
                <w:u w:val="single"/>
              </w:rPr>
            </w:pPr>
            <w:r w:rsidRPr="00DA7625">
              <w:rPr>
                <w:rFonts w:ascii="Times New Roman" w:hAnsi="Times New Roman"/>
                <w:b/>
                <w:sz w:val="24"/>
                <w:u w:val="single"/>
              </w:rPr>
              <w:t>SOR SZÁMA</w:t>
            </w:r>
          </w:p>
          <w:p w14:paraId="729141D9" w14:textId="77777777" w:rsidR="001B1411" w:rsidRPr="00DA7625" w:rsidRDefault="001B1411">
            <w:pPr>
              <w:spacing w:before="0" w:after="0"/>
              <w:jc w:val="left"/>
              <w:rPr>
                <w:rFonts w:ascii="Times New Roman" w:hAnsi="Times New Roman"/>
                <w:b/>
                <w:sz w:val="24"/>
                <w:u w:val="single"/>
              </w:rPr>
            </w:pPr>
          </w:p>
          <w:p w14:paraId="499806AF" w14:textId="2FD2D0FF" w:rsidR="001B1411" w:rsidRPr="00DA7625" w:rsidRDefault="00FC6275">
            <w:pPr>
              <w:autoSpaceDE w:val="0"/>
              <w:autoSpaceDN w:val="0"/>
              <w:adjustRightInd w:val="0"/>
              <w:spacing w:before="0" w:after="0"/>
              <w:rPr>
                <w:rFonts w:ascii="Times New Roman" w:hAnsi="Times New Roman"/>
                <w:sz w:val="24"/>
              </w:rPr>
            </w:pPr>
            <w:r w:rsidRPr="00DA7625">
              <w:rPr>
                <w:rFonts w:ascii="Times New Roman" w:hAnsi="Times New Roman"/>
                <w:sz w:val="24"/>
              </w:rPr>
              <w:t>A sor száma egy sorazonosító, amely a tábla minden sorát egyedileg azonosítja. Sorrendje: 1, 2, 3 stb.</w:t>
            </w:r>
          </w:p>
          <w:p w14:paraId="6845544B" w14:textId="77777777" w:rsidR="001B1411" w:rsidRPr="00DA7625" w:rsidRDefault="001B1411">
            <w:pPr>
              <w:autoSpaceDE w:val="0"/>
              <w:autoSpaceDN w:val="0"/>
              <w:adjustRightInd w:val="0"/>
              <w:spacing w:before="0" w:after="0"/>
              <w:rPr>
                <w:rFonts w:ascii="Times New Roman" w:hAnsi="Times New Roman"/>
                <w:b/>
                <w:sz w:val="24"/>
                <w:u w:val="single"/>
              </w:rPr>
            </w:pPr>
          </w:p>
        </w:tc>
      </w:tr>
      <w:tr w:rsidR="001B1411" w:rsidRPr="00DA7625" w14:paraId="59423977" w14:textId="77777777" w:rsidTr="00E10B85">
        <w:tc>
          <w:tcPr>
            <w:tcW w:w="1101" w:type="dxa"/>
          </w:tcPr>
          <w:p w14:paraId="42E6678C" w14:textId="77777777" w:rsidR="001B1411" w:rsidRPr="00DA7625" w:rsidRDefault="00FC6275">
            <w:pPr>
              <w:autoSpaceDE w:val="0"/>
              <w:autoSpaceDN w:val="0"/>
              <w:adjustRightInd w:val="0"/>
              <w:spacing w:before="0" w:after="0"/>
              <w:rPr>
                <w:rFonts w:ascii="Times New Roman" w:hAnsi="Times New Roman"/>
                <w:bCs/>
                <w:sz w:val="24"/>
                <w:highlight w:val="yellow"/>
              </w:rPr>
            </w:pPr>
            <w:r w:rsidRPr="00DA7625">
              <w:rPr>
                <w:rFonts w:ascii="Times New Roman" w:hAnsi="Times New Roman"/>
                <w:bCs/>
                <w:sz w:val="24"/>
              </w:rPr>
              <w:t>010</w:t>
            </w:r>
          </w:p>
        </w:tc>
        <w:tc>
          <w:tcPr>
            <w:tcW w:w="7903" w:type="dxa"/>
          </w:tcPr>
          <w:p w14:paraId="1C1F45C5" w14:textId="77777777" w:rsidR="001B1411" w:rsidRPr="00DA7625" w:rsidRDefault="00FC6275">
            <w:pPr>
              <w:spacing w:before="0" w:after="0"/>
              <w:jc w:val="left"/>
              <w:rPr>
                <w:rFonts w:ascii="Times New Roman" w:hAnsi="Times New Roman"/>
                <w:b/>
                <w:sz w:val="24"/>
                <w:u w:val="single"/>
              </w:rPr>
            </w:pPr>
            <w:r w:rsidRPr="00DA7625">
              <w:rPr>
                <w:rFonts w:ascii="Times New Roman" w:hAnsi="Times New Roman"/>
                <w:b/>
                <w:sz w:val="24"/>
                <w:u w:val="single"/>
              </w:rPr>
              <w:t>BELSŐ KÓD</w:t>
            </w:r>
          </w:p>
          <w:p w14:paraId="76C45D39" w14:textId="77777777" w:rsidR="001B1411" w:rsidRPr="00DA7625" w:rsidRDefault="001B1411">
            <w:pPr>
              <w:spacing w:before="0" w:after="0"/>
              <w:jc w:val="left"/>
              <w:rPr>
                <w:rFonts w:ascii="Times New Roman" w:hAnsi="Times New Roman"/>
                <w:sz w:val="24"/>
              </w:rPr>
            </w:pPr>
          </w:p>
          <w:p w14:paraId="6639388F" w14:textId="77777777" w:rsidR="001B1411" w:rsidRPr="00DA7625" w:rsidRDefault="00FC6275">
            <w:pPr>
              <w:autoSpaceDE w:val="0"/>
              <w:autoSpaceDN w:val="0"/>
              <w:adjustRightInd w:val="0"/>
              <w:spacing w:before="0" w:after="0"/>
              <w:rPr>
                <w:rFonts w:ascii="Times New Roman" w:hAnsi="Times New Roman"/>
                <w:sz w:val="24"/>
              </w:rPr>
            </w:pPr>
            <w:r w:rsidRPr="00DA7625">
              <w:rPr>
                <w:rFonts w:ascii="Times New Roman" w:hAnsi="Times New Roman"/>
                <w:sz w:val="24"/>
              </w:rPr>
              <w:t>Belső (alfanumerikus) kód, amelyet az intézmény az értékpapírosítás azonosítására használ. A belső kódot az értékpapírosítási ügylet azonosítójához kell hozzárendelni.</w:t>
            </w:r>
          </w:p>
          <w:p w14:paraId="3C3BB2AC" w14:textId="77777777" w:rsidR="001B1411" w:rsidRPr="00DA7625" w:rsidRDefault="001B1411">
            <w:pPr>
              <w:autoSpaceDE w:val="0"/>
              <w:autoSpaceDN w:val="0"/>
              <w:adjustRightInd w:val="0"/>
              <w:spacing w:before="0" w:after="0"/>
              <w:jc w:val="left"/>
              <w:rPr>
                <w:rFonts w:ascii="Times New Roman" w:hAnsi="Times New Roman"/>
                <w:bCs/>
                <w:sz w:val="24"/>
              </w:rPr>
            </w:pPr>
          </w:p>
        </w:tc>
      </w:tr>
      <w:tr w:rsidR="001B1411" w:rsidRPr="00DA7625" w14:paraId="57044FE5" w14:textId="77777777" w:rsidTr="00E10B85">
        <w:tc>
          <w:tcPr>
            <w:tcW w:w="1101" w:type="dxa"/>
          </w:tcPr>
          <w:p w14:paraId="5CA360EC" w14:textId="77777777" w:rsidR="001B1411" w:rsidRPr="00DA7625" w:rsidRDefault="00FC6275">
            <w:pPr>
              <w:autoSpaceDE w:val="0"/>
              <w:autoSpaceDN w:val="0"/>
              <w:adjustRightInd w:val="0"/>
              <w:spacing w:before="0" w:after="0"/>
              <w:rPr>
                <w:rFonts w:ascii="Times New Roman" w:hAnsi="Times New Roman"/>
                <w:bCs/>
                <w:sz w:val="24"/>
              </w:rPr>
            </w:pPr>
            <w:r w:rsidRPr="00DA7625">
              <w:rPr>
                <w:rFonts w:ascii="Times New Roman" w:hAnsi="Times New Roman"/>
                <w:sz w:val="24"/>
              </w:rPr>
              <w:t>020</w:t>
            </w:r>
          </w:p>
        </w:tc>
        <w:tc>
          <w:tcPr>
            <w:tcW w:w="7903" w:type="dxa"/>
          </w:tcPr>
          <w:p w14:paraId="02CA1DA6" w14:textId="77777777" w:rsidR="001B1411" w:rsidRPr="00DA7625" w:rsidRDefault="00FC6275">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AZ ÉRTÉKPAPÍROSÍTÁS AZONOSÍTÓJA</w:t>
            </w:r>
            <w:r w:rsidRPr="00DA7625">
              <w:rPr>
                <w:rFonts w:ascii="Times New Roman" w:hAnsi="Times New Roman"/>
                <w:b/>
                <w:sz w:val="24"/>
              </w:rPr>
              <w:t xml:space="preserve"> (kódja/neve)</w:t>
            </w:r>
          </w:p>
          <w:p w14:paraId="1EE0099A" w14:textId="77777777" w:rsidR="001B1411" w:rsidRPr="00DA7625" w:rsidRDefault="001B1411">
            <w:pPr>
              <w:spacing w:before="0" w:after="0"/>
              <w:jc w:val="left"/>
              <w:rPr>
                <w:rFonts w:ascii="Times New Roman" w:hAnsi="Times New Roman"/>
                <w:sz w:val="24"/>
              </w:rPr>
            </w:pPr>
          </w:p>
          <w:p w14:paraId="13DD1771" w14:textId="45A8A559" w:rsidR="001B1411" w:rsidRPr="00DA7625" w:rsidRDefault="00FC6275">
            <w:pPr>
              <w:autoSpaceDE w:val="0"/>
              <w:autoSpaceDN w:val="0"/>
              <w:adjustRightInd w:val="0"/>
              <w:spacing w:before="0" w:after="0"/>
              <w:rPr>
                <w:rFonts w:ascii="Times New Roman" w:hAnsi="Times New Roman"/>
                <w:sz w:val="24"/>
              </w:rPr>
            </w:pPr>
            <w:r w:rsidRPr="00DA7625">
              <w:rPr>
                <w:rFonts w:ascii="Times New Roman" w:hAnsi="Times New Roman"/>
                <w:sz w:val="24"/>
              </w:rPr>
              <w:t>Az értékpapírosítás vagy – amennyiben ugyanabban a sorban több pozíció megadható – az ügylet jogszabályban előírt nyilvántartásba vételéhez használt kód, vagy ha ilyen nincs, akkor az a név, amelyen az értékpapírosítás vagy az ügylet a piacon, illetőleg belső vagy magán értékpapírosítás esetében az intézményen belül ismert. Ha van nemzetközi értékpapír-azonosító szám (ISIN) – nyilvános ügyletnél –, akkor az oszlopban az értékpapírosítás valamennyi ügyletrészsorozatában közös karaktereket kell megadni.</w:t>
            </w:r>
          </w:p>
          <w:p w14:paraId="23D900E6" w14:textId="77777777" w:rsidR="001B1411" w:rsidRPr="00DA7625" w:rsidRDefault="001B1411">
            <w:pPr>
              <w:autoSpaceDE w:val="0"/>
              <w:autoSpaceDN w:val="0"/>
              <w:adjustRightInd w:val="0"/>
              <w:spacing w:before="0" w:after="0"/>
              <w:jc w:val="left"/>
              <w:rPr>
                <w:rFonts w:ascii="Times New Roman" w:hAnsi="Times New Roman"/>
                <w:bCs/>
                <w:sz w:val="24"/>
              </w:rPr>
            </w:pPr>
          </w:p>
        </w:tc>
      </w:tr>
      <w:tr w:rsidR="001B1411" w:rsidRPr="00DA7625" w14:paraId="553DE7E4" w14:textId="77777777" w:rsidTr="00E10B85">
        <w:tc>
          <w:tcPr>
            <w:tcW w:w="1101" w:type="dxa"/>
          </w:tcPr>
          <w:p w14:paraId="5B79E3F3" w14:textId="77777777" w:rsidR="001B1411" w:rsidRPr="00DA7625" w:rsidRDefault="00FC6275">
            <w:pPr>
              <w:autoSpaceDE w:val="0"/>
              <w:autoSpaceDN w:val="0"/>
              <w:adjustRightInd w:val="0"/>
              <w:spacing w:before="0" w:after="0"/>
              <w:rPr>
                <w:rFonts w:ascii="Times New Roman" w:hAnsi="Times New Roman"/>
                <w:bCs/>
                <w:sz w:val="24"/>
              </w:rPr>
            </w:pPr>
            <w:r w:rsidRPr="00DA7625">
              <w:rPr>
                <w:rFonts w:ascii="Times New Roman" w:hAnsi="Times New Roman"/>
                <w:sz w:val="24"/>
              </w:rPr>
              <w:t>310–400</w:t>
            </w:r>
          </w:p>
        </w:tc>
        <w:tc>
          <w:tcPr>
            <w:tcW w:w="7903" w:type="dxa"/>
          </w:tcPr>
          <w:p w14:paraId="6E2AC05C" w14:textId="71DC1195" w:rsidR="001B1411" w:rsidRPr="00DA7625" w:rsidRDefault="00FC6275">
            <w:pPr>
              <w:spacing w:before="0" w:after="0"/>
              <w:jc w:val="left"/>
              <w:rPr>
                <w:rFonts w:ascii="Times New Roman" w:hAnsi="Times New Roman"/>
                <w:b/>
                <w:sz w:val="24"/>
                <w:u w:val="single"/>
              </w:rPr>
            </w:pPr>
            <w:r w:rsidRPr="00DA7625">
              <w:rPr>
                <w:rFonts w:ascii="Times New Roman" w:hAnsi="Times New Roman"/>
                <w:b/>
                <w:sz w:val="24"/>
                <w:u w:val="single"/>
              </w:rPr>
              <w:t>ÉRTÉKPAPÍROSÍTÁSI POZÍCIÓK: HITEL-EGYENÉRTÉKESÍTÉSI TÉNYEZŐK ELŐTTI EREDETI KITETTSÉG</w:t>
            </w:r>
          </w:p>
          <w:p w14:paraId="79227684" w14:textId="77777777" w:rsidR="001B1411" w:rsidRPr="00DA7625" w:rsidRDefault="001B1411">
            <w:pPr>
              <w:spacing w:before="0" w:after="0"/>
              <w:jc w:val="left"/>
              <w:rPr>
                <w:rFonts w:ascii="Times New Roman" w:hAnsi="Times New Roman"/>
                <w:sz w:val="24"/>
              </w:rPr>
            </w:pPr>
          </w:p>
          <w:p w14:paraId="3A2991C7" w14:textId="42C60B50" w:rsidR="001B1411" w:rsidRPr="00DA7625" w:rsidRDefault="00FC6275">
            <w:pPr>
              <w:spacing w:before="0" w:after="0"/>
              <w:rPr>
                <w:rFonts w:ascii="Times New Roman" w:hAnsi="Times New Roman"/>
                <w:sz w:val="24"/>
              </w:rPr>
            </w:pPr>
            <w:r w:rsidRPr="00DA7625">
              <w:rPr>
                <w:rFonts w:ascii="Times New Roman" w:hAnsi="Times New Roman"/>
                <w:sz w:val="24"/>
              </w:rPr>
              <w:t xml:space="preserve">Az oszlopcsoport az értékpapírosítási pozíciókról gyűjt adatokat az adatszolgáltatás időpontjában fennálló mérlegen belüli/kívüli pozíciók, valamint ügyletrészsorozatok (előre sorolt, köztes, első veszteségviselő) szerinti bontásban. </w:t>
            </w:r>
          </w:p>
          <w:p w14:paraId="67CA4174" w14:textId="77777777" w:rsidR="001B1411" w:rsidRPr="00DA7625" w:rsidRDefault="001B1411">
            <w:pPr>
              <w:spacing w:before="0" w:after="0"/>
              <w:jc w:val="left"/>
              <w:rPr>
                <w:rFonts w:ascii="Times New Roman" w:hAnsi="Times New Roman"/>
                <w:sz w:val="24"/>
              </w:rPr>
            </w:pPr>
          </w:p>
        </w:tc>
      </w:tr>
      <w:tr w:rsidR="001B1411" w:rsidRPr="00DA7625" w14:paraId="18FAD142" w14:textId="77777777" w:rsidTr="00E10B85">
        <w:tc>
          <w:tcPr>
            <w:tcW w:w="1101" w:type="dxa"/>
          </w:tcPr>
          <w:p w14:paraId="42F5ED1F" w14:textId="77777777" w:rsidR="001B1411" w:rsidRPr="00DA7625" w:rsidRDefault="00FC6275">
            <w:pPr>
              <w:autoSpaceDE w:val="0"/>
              <w:autoSpaceDN w:val="0"/>
              <w:adjustRightInd w:val="0"/>
              <w:spacing w:before="0" w:after="0"/>
              <w:rPr>
                <w:rFonts w:ascii="Times New Roman" w:hAnsi="Times New Roman"/>
                <w:bCs/>
                <w:sz w:val="24"/>
              </w:rPr>
            </w:pPr>
            <w:r w:rsidRPr="00DA7625">
              <w:rPr>
                <w:rFonts w:ascii="Times New Roman" w:hAnsi="Times New Roman"/>
                <w:sz w:val="24"/>
              </w:rPr>
              <w:t>310–330</w:t>
            </w:r>
          </w:p>
        </w:tc>
        <w:tc>
          <w:tcPr>
            <w:tcW w:w="7903" w:type="dxa"/>
          </w:tcPr>
          <w:p w14:paraId="6F968930" w14:textId="77777777" w:rsidR="001B1411" w:rsidRPr="00DA7625" w:rsidRDefault="00FC6275">
            <w:pPr>
              <w:spacing w:before="0" w:after="0"/>
              <w:jc w:val="left"/>
              <w:rPr>
                <w:rFonts w:ascii="Times New Roman" w:hAnsi="Times New Roman"/>
                <w:b/>
                <w:sz w:val="24"/>
                <w:u w:val="single"/>
              </w:rPr>
            </w:pPr>
            <w:r w:rsidRPr="00DA7625">
              <w:rPr>
                <w:rFonts w:ascii="Times New Roman" w:hAnsi="Times New Roman"/>
                <w:b/>
                <w:sz w:val="24"/>
                <w:u w:val="single"/>
              </w:rPr>
              <w:t xml:space="preserve">MÉRLEGTÉTELEK </w:t>
            </w:r>
          </w:p>
          <w:p w14:paraId="7D19E8D9" w14:textId="77777777" w:rsidR="001B1411" w:rsidRPr="00DA7625" w:rsidRDefault="001B1411">
            <w:pPr>
              <w:spacing w:before="0" w:after="0"/>
              <w:jc w:val="left"/>
              <w:rPr>
                <w:rFonts w:ascii="Times New Roman" w:hAnsi="Times New Roman"/>
                <w:sz w:val="24"/>
              </w:rPr>
            </w:pPr>
          </w:p>
          <w:p w14:paraId="6606DB1E" w14:textId="77777777" w:rsidR="001B1411" w:rsidRPr="00DA7625" w:rsidRDefault="00FC6275">
            <w:pPr>
              <w:spacing w:before="0" w:after="0"/>
              <w:jc w:val="left"/>
              <w:rPr>
                <w:rFonts w:ascii="Times New Roman" w:hAnsi="Times New Roman"/>
                <w:sz w:val="24"/>
              </w:rPr>
            </w:pPr>
            <w:r w:rsidRPr="00DA7625">
              <w:rPr>
                <w:rFonts w:ascii="Times New Roman" w:hAnsi="Times New Roman"/>
                <w:sz w:val="24"/>
              </w:rPr>
              <w:t>Itt is ugyanazokat az ügyletrészsorozatok szerinti besorolási kritériumokat kell alkalmazni, mint a 230., 240. és 250. oszlop esetében.</w:t>
            </w:r>
          </w:p>
          <w:p w14:paraId="30110BB4" w14:textId="77777777" w:rsidR="001B1411" w:rsidRPr="00DA7625" w:rsidRDefault="001B1411">
            <w:pPr>
              <w:spacing w:before="0" w:after="0"/>
              <w:jc w:val="left"/>
              <w:rPr>
                <w:rFonts w:ascii="Times New Roman" w:hAnsi="Times New Roman"/>
                <w:sz w:val="24"/>
              </w:rPr>
            </w:pPr>
          </w:p>
        </w:tc>
      </w:tr>
      <w:tr w:rsidR="001B1411" w:rsidRPr="00DA7625" w14:paraId="63BABDFF" w14:textId="77777777" w:rsidTr="00E10B85">
        <w:tc>
          <w:tcPr>
            <w:tcW w:w="1101" w:type="dxa"/>
          </w:tcPr>
          <w:p w14:paraId="693A94C9" w14:textId="77777777" w:rsidR="001B1411" w:rsidRPr="00DA7625" w:rsidRDefault="00FC6275">
            <w:pPr>
              <w:autoSpaceDE w:val="0"/>
              <w:autoSpaceDN w:val="0"/>
              <w:adjustRightInd w:val="0"/>
              <w:spacing w:before="0" w:after="0"/>
              <w:rPr>
                <w:rFonts w:ascii="Times New Roman" w:hAnsi="Times New Roman"/>
                <w:bCs/>
                <w:sz w:val="24"/>
              </w:rPr>
            </w:pPr>
            <w:r w:rsidRPr="00DA7625">
              <w:rPr>
                <w:rFonts w:ascii="Times New Roman" w:hAnsi="Times New Roman"/>
                <w:bCs/>
                <w:sz w:val="24"/>
              </w:rPr>
              <w:t>340–361</w:t>
            </w:r>
          </w:p>
        </w:tc>
        <w:tc>
          <w:tcPr>
            <w:tcW w:w="7903" w:type="dxa"/>
          </w:tcPr>
          <w:p w14:paraId="076ACBA0" w14:textId="77777777" w:rsidR="001B1411" w:rsidRPr="00DA7625" w:rsidRDefault="00FC6275">
            <w:pPr>
              <w:spacing w:before="0" w:after="0"/>
              <w:jc w:val="left"/>
              <w:rPr>
                <w:rFonts w:ascii="Times New Roman" w:hAnsi="Times New Roman"/>
                <w:b/>
                <w:sz w:val="24"/>
                <w:u w:val="single"/>
              </w:rPr>
            </w:pPr>
            <w:r w:rsidRPr="00DA7625">
              <w:rPr>
                <w:rFonts w:ascii="Times New Roman" w:hAnsi="Times New Roman"/>
                <w:b/>
                <w:sz w:val="24"/>
                <w:u w:val="single"/>
              </w:rPr>
              <w:t>MÉRLEGEN KÍVÜLI TÉTELEK ÉS SZÁRMAZTATOTT ÜGYLETEK</w:t>
            </w:r>
          </w:p>
          <w:p w14:paraId="27125C1E" w14:textId="77777777" w:rsidR="001B1411" w:rsidRPr="00DA7625" w:rsidRDefault="001B1411">
            <w:pPr>
              <w:spacing w:before="0" w:after="0"/>
              <w:jc w:val="left"/>
              <w:rPr>
                <w:rFonts w:ascii="Times New Roman" w:hAnsi="Times New Roman"/>
                <w:sz w:val="24"/>
              </w:rPr>
            </w:pPr>
          </w:p>
          <w:p w14:paraId="0664BE13" w14:textId="77777777" w:rsidR="001B1411" w:rsidRPr="00DA7625" w:rsidRDefault="00FC6275">
            <w:pPr>
              <w:spacing w:before="0" w:after="0"/>
              <w:jc w:val="left"/>
              <w:rPr>
                <w:rFonts w:ascii="Times New Roman" w:hAnsi="Times New Roman"/>
                <w:sz w:val="24"/>
              </w:rPr>
            </w:pPr>
            <w:r w:rsidRPr="00DA7625">
              <w:rPr>
                <w:rFonts w:ascii="Times New Roman" w:hAnsi="Times New Roman"/>
                <w:sz w:val="24"/>
              </w:rPr>
              <w:t>Itt is ugyanazokat az ügyletrészsorozatok szerinti besorolási kritériumokat kell alkalmazni, mint a 260–280. oszlop esetében.</w:t>
            </w:r>
          </w:p>
          <w:p w14:paraId="61DC83D7" w14:textId="77777777" w:rsidR="001B1411" w:rsidRPr="00DA7625" w:rsidRDefault="001B1411">
            <w:pPr>
              <w:spacing w:before="0" w:after="0"/>
              <w:jc w:val="left"/>
              <w:rPr>
                <w:rFonts w:ascii="Times New Roman" w:hAnsi="Times New Roman"/>
                <w:sz w:val="24"/>
              </w:rPr>
            </w:pPr>
          </w:p>
        </w:tc>
      </w:tr>
      <w:tr w:rsidR="001B1411" w:rsidRPr="00DA7625" w14:paraId="49D31348" w14:textId="77777777" w:rsidTr="00E10B85">
        <w:tc>
          <w:tcPr>
            <w:tcW w:w="1101" w:type="dxa"/>
          </w:tcPr>
          <w:p w14:paraId="0E17D940" w14:textId="77777777" w:rsidR="001B1411" w:rsidRPr="00DA7625" w:rsidRDefault="00FC6275">
            <w:pPr>
              <w:autoSpaceDE w:val="0"/>
              <w:autoSpaceDN w:val="0"/>
              <w:adjustRightInd w:val="0"/>
              <w:spacing w:before="0" w:after="0"/>
              <w:rPr>
                <w:rFonts w:ascii="Times New Roman" w:hAnsi="Times New Roman"/>
                <w:sz w:val="24"/>
              </w:rPr>
            </w:pPr>
            <w:r w:rsidRPr="00DA7625">
              <w:rPr>
                <w:rFonts w:ascii="Times New Roman" w:hAnsi="Times New Roman"/>
                <w:sz w:val="24"/>
              </w:rPr>
              <w:t>351 és 361</w:t>
            </w:r>
          </w:p>
        </w:tc>
        <w:tc>
          <w:tcPr>
            <w:tcW w:w="7903" w:type="dxa"/>
          </w:tcPr>
          <w:p w14:paraId="43F61828" w14:textId="77777777" w:rsidR="001B1411" w:rsidRPr="00DA7625" w:rsidRDefault="00FC6275">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A FEDEZETNYÚJTÓNAK / INSTRUMENTUMNAK MEGFELELŐ KOCKÁZATI SÚLY</w:t>
            </w:r>
          </w:p>
          <w:p w14:paraId="5309A14E"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337E00F5" w14:textId="7D879426" w:rsidR="001B1411" w:rsidRPr="00DA7625" w:rsidRDefault="00FC6275">
            <w:pPr>
              <w:autoSpaceDE w:val="0"/>
              <w:autoSpaceDN w:val="0"/>
              <w:adjustRightInd w:val="0"/>
              <w:spacing w:before="0" w:after="0"/>
              <w:jc w:val="left"/>
              <w:rPr>
                <w:rFonts w:ascii="Times New Roman" w:hAnsi="Times New Roman"/>
                <w:sz w:val="24"/>
              </w:rPr>
            </w:pPr>
            <w:r w:rsidRPr="00DA7625">
              <w:rPr>
                <w:rFonts w:ascii="Times New Roman" w:hAnsi="Times New Roman"/>
                <w:sz w:val="24"/>
              </w:rPr>
              <w:lastRenderedPageBreak/>
              <w:t>Az elismert garanciavállaló %-os kockázati súlya vagy a CRR 249. cikke szerinti hitelkockázati fedezetet nyújtó megfelelő instrumentum %-os kockázati súlya.</w:t>
            </w:r>
          </w:p>
          <w:p w14:paraId="03F785C2" w14:textId="77777777" w:rsidR="001B1411" w:rsidRPr="00DA7625" w:rsidRDefault="001B1411">
            <w:pPr>
              <w:autoSpaceDE w:val="0"/>
              <w:autoSpaceDN w:val="0"/>
              <w:adjustRightInd w:val="0"/>
              <w:spacing w:before="0" w:after="0"/>
              <w:jc w:val="left"/>
              <w:rPr>
                <w:rFonts w:ascii="Times New Roman" w:hAnsi="Times New Roman"/>
                <w:b/>
                <w:sz w:val="24"/>
                <w:u w:val="single"/>
              </w:rPr>
            </w:pPr>
          </w:p>
        </w:tc>
      </w:tr>
      <w:tr w:rsidR="001B1411" w:rsidRPr="00DA7625" w14:paraId="20282866" w14:textId="77777777" w:rsidTr="00E10B85">
        <w:tc>
          <w:tcPr>
            <w:tcW w:w="1101" w:type="dxa"/>
          </w:tcPr>
          <w:p w14:paraId="419786A6" w14:textId="77777777" w:rsidR="001B1411" w:rsidRPr="00DA7625" w:rsidRDefault="00FC6275">
            <w:pPr>
              <w:autoSpaceDE w:val="0"/>
              <w:autoSpaceDN w:val="0"/>
              <w:adjustRightInd w:val="0"/>
              <w:spacing w:before="0" w:after="0"/>
              <w:rPr>
                <w:rFonts w:ascii="Times New Roman" w:hAnsi="Times New Roman"/>
                <w:sz w:val="24"/>
                <w:highlight w:val="yellow"/>
              </w:rPr>
            </w:pPr>
            <w:r w:rsidRPr="00DA7625">
              <w:rPr>
                <w:rFonts w:ascii="Times New Roman" w:hAnsi="Times New Roman"/>
                <w:sz w:val="24"/>
              </w:rPr>
              <w:lastRenderedPageBreak/>
              <w:t>370–400</w:t>
            </w:r>
          </w:p>
        </w:tc>
        <w:tc>
          <w:tcPr>
            <w:tcW w:w="7903" w:type="dxa"/>
          </w:tcPr>
          <w:p w14:paraId="6D1571CF" w14:textId="554B7FD2" w:rsidR="001B1411" w:rsidRPr="00DA7625" w:rsidRDefault="00FC6275">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TÁJÉKOZTATÓ ADATOK MÉRLEGEN KÍVÜLI TÉTELEK ÉS SZÁRMAZTATOTT ÜGYLETEK HITEL-EGYENÉRTÉKESÍTÉSI TÉNYEZŐK ELŐTT</w:t>
            </w:r>
          </w:p>
          <w:p w14:paraId="6ABBF46E"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479CFEE5" w14:textId="77777777" w:rsidR="001B1411" w:rsidRPr="00DA7625" w:rsidRDefault="00FC6275">
            <w:pPr>
              <w:autoSpaceDE w:val="0"/>
              <w:autoSpaceDN w:val="0"/>
              <w:adjustRightInd w:val="0"/>
              <w:spacing w:before="0" w:after="0"/>
              <w:rPr>
                <w:rFonts w:ascii="Times New Roman" w:hAnsi="Times New Roman"/>
                <w:sz w:val="24"/>
              </w:rPr>
            </w:pPr>
            <w:r w:rsidRPr="00DA7625">
              <w:rPr>
                <w:rFonts w:ascii="Times New Roman" w:hAnsi="Times New Roman"/>
                <w:sz w:val="24"/>
              </w:rPr>
              <w:t>Ez az oszlopcsoport a 340–361. oszlopban más bontásban már megadott mérlegen kívüli tételekről és származtatott ügyletekről gyűjt kiegészítő információkat.</w:t>
            </w:r>
          </w:p>
          <w:p w14:paraId="6CEB7659" w14:textId="77777777" w:rsidR="001B1411" w:rsidRPr="00DA7625" w:rsidRDefault="001B1411">
            <w:pPr>
              <w:autoSpaceDE w:val="0"/>
              <w:autoSpaceDN w:val="0"/>
              <w:adjustRightInd w:val="0"/>
              <w:spacing w:before="0" w:after="0"/>
              <w:jc w:val="left"/>
              <w:rPr>
                <w:rFonts w:ascii="Times New Roman" w:hAnsi="Times New Roman"/>
                <w:sz w:val="24"/>
              </w:rPr>
            </w:pPr>
          </w:p>
        </w:tc>
      </w:tr>
      <w:tr w:rsidR="001B1411" w:rsidRPr="00DA7625" w14:paraId="1450EA12" w14:textId="77777777" w:rsidTr="00E10B85">
        <w:tc>
          <w:tcPr>
            <w:tcW w:w="1101" w:type="dxa"/>
          </w:tcPr>
          <w:p w14:paraId="3FA29278" w14:textId="77777777" w:rsidR="001B1411" w:rsidRPr="00DA7625" w:rsidRDefault="00FC6275">
            <w:pPr>
              <w:autoSpaceDE w:val="0"/>
              <w:autoSpaceDN w:val="0"/>
              <w:adjustRightInd w:val="0"/>
              <w:spacing w:before="0" w:after="0"/>
              <w:rPr>
                <w:rFonts w:ascii="Times New Roman" w:hAnsi="Times New Roman"/>
                <w:sz w:val="24"/>
              </w:rPr>
            </w:pPr>
            <w:r w:rsidRPr="00DA7625">
              <w:rPr>
                <w:rFonts w:ascii="Times New Roman" w:hAnsi="Times New Roman"/>
                <w:sz w:val="24"/>
              </w:rPr>
              <w:t>370</w:t>
            </w:r>
          </w:p>
        </w:tc>
        <w:tc>
          <w:tcPr>
            <w:tcW w:w="7903" w:type="dxa"/>
          </w:tcPr>
          <w:p w14:paraId="5AD9CF06" w14:textId="77777777" w:rsidR="001B1411" w:rsidRPr="00DA7625" w:rsidRDefault="00FC6275">
            <w:pPr>
              <w:autoSpaceDE w:val="0"/>
              <w:autoSpaceDN w:val="0"/>
              <w:adjustRightInd w:val="0"/>
              <w:spacing w:before="0" w:after="0"/>
              <w:jc w:val="left"/>
              <w:rPr>
                <w:rFonts w:ascii="Times New Roman" w:hAnsi="Times New Roman"/>
                <w:b/>
                <w:sz w:val="24"/>
                <w:u w:val="single"/>
              </w:rPr>
            </w:pPr>
            <w:r w:rsidRPr="00DA7625">
              <w:rPr>
                <w:rFonts w:ascii="Times New Roman" w:hAnsi="Times New Roman"/>
                <w:b/>
                <w:sz w:val="24"/>
                <w:u w:val="single"/>
              </w:rPr>
              <w:t>KÖZVETLEN HITELHELYETTESÍTŐK (DCS)</w:t>
            </w:r>
          </w:p>
          <w:p w14:paraId="70E7F351" w14:textId="77777777" w:rsidR="001B1411" w:rsidRPr="00DA7625" w:rsidRDefault="001B1411">
            <w:pPr>
              <w:autoSpaceDE w:val="0"/>
              <w:autoSpaceDN w:val="0"/>
              <w:adjustRightInd w:val="0"/>
              <w:spacing w:before="0" w:after="0"/>
              <w:jc w:val="left"/>
              <w:rPr>
                <w:rFonts w:ascii="Times New Roman" w:hAnsi="Times New Roman"/>
                <w:b/>
                <w:sz w:val="24"/>
                <w:u w:val="single"/>
              </w:rPr>
            </w:pPr>
          </w:p>
          <w:p w14:paraId="0D6E57F9" w14:textId="77777777" w:rsidR="001B1411" w:rsidRPr="00DA7625" w:rsidRDefault="00FC6275">
            <w:pPr>
              <w:spacing w:before="0" w:after="0"/>
              <w:rPr>
                <w:rFonts w:ascii="Times New Roman" w:hAnsi="Times New Roman"/>
                <w:sz w:val="24"/>
              </w:rPr>
            </w:pPr>
            <w:r w:rsidRPr="00DA7625">
              <w:rPr>
                <w:rFonts w:ascii="Times New Roman" w:hAnsi="Times New Roman"/>
                <w:sz w:val="24"/>
              </w:rPr>
              <w:t>Ez az oszlop az értékpapírosítást kezdeményező által tartott és közvetlen hitelhelyettesítőkkel garantált értékpapírosítási pozíciókra vonatkozik.</w:t>
            </w:r>
          </w:p>
          <w:p w14:paraId="5D31B483" w14:textId="77777777" w:rsidR="001B1411" w:rsidRPr="00DA7625" w:rsidRDefault="001B1411">
            <w:pPr>
              <w:spacing w:before="0" w:after="0"/>
              <w:rPr>
                <w:rFonts w:ascii="Times New Roman" w:hAnsi="Times New Roman"/>
                <w:sz w:val="24"/>
              </w:rPr>
            </w:pPr>
          </w:p>
          <w:p w14:paraId="56E6E340" w14:textId="5D17F7FB" w:rsidR="001B1411" w:rsidRPr="00DA7625" w:rsidRDefault="00BB22D4">
            <w:pPr>
              <w:spacing w:before="0" w:after="0"/>
              <w:rPr>
                <w:rFonts w:ascii="Times New Roman" w:hAnsi="Times New Roman"/>
                <w:sz w:val="24"/>
              </w:rPr>
            </w:pPr>
            <w:r w:rsidRPr="00DA7625">
              <w:rPr>
                <w:rFonts w:ascii="Times New Roman" w:hAnsi="Times New Roman"/>
                <w:sz w:val="24"/>
              </w:rPr>
              <w:t>A CRR I. melléklete szerint közvetlen hitelhelyettesítőnek az alábbi teljes kockázatú mérlegen kívüli tételek minősülnek:</w:t>
            </w:r>
          </w:p>
          <w:p w14:paraId="72A8EA09" w14:textId="77777777" w:rsidR="001B1411" w:rsidRPr="00DA7625" w:rsidRDefault="001B1411">
            <w:pPr>
              <w:spacing w:before="0" w:after="0"/>
              <w:rPr>
                <w:rFonts w:ascii="Times New Roman" w:hAnsi="Times New Roman"/>
                <w:sz w:val="24"/>
              </w:rPr>
            </w:pPr>
          </w:p>
          <w:p w14:paraId="552748AA" w14:textId="77777777" w:rsidR="001B1411" w:rsidRPr="00DA7625" w:rsidRDefault="00FC6275">
            <w:pPr>
              <w:spacing w:before="0" w:after="0"/>
              <w:rPr>
                <w:rFonts w:ascii="Times New Roman" w:hAnsi="Times New Roman"/>
                <w:i/>
                <w:sz w:val="24"/>
              </w:rPr>
            </w:pPr>
            <w:r w:rsidRPr="00DA7625">
              <w:rPr>
                <w:rFonts w:ascii="Times New Roman" w:hAnsi="Times New Roman"/>
                <w:i/>
                <w:sz w:val="24"/>
              </w:rPr>
              <w:t>– a hitelhelyettesítő jellegű garanciák;</w:t>
            </w:r>
          </w:p>
          <w:p w14:paraId="5F1B8317" w14:textId="77777777" w:rsidR="001B1411" w:rsidRPr="00DA7625" w:rsidRDefault="00FC6275">
            <w:pPr>
              <w:spacing w:before="0" w:after="0"/>
              <w:rPr>
                <w:rFonts w:ascii="Times New Roman" w:hAnsi="Times New Roman"/>
                <w:i/>
                <w:sz w:val="24"/>
              </w:rPr>
            </w:pPr>
            <w:r w:rsidRPr="00DA7625">
              <w:rPr>
                <w:rFonts w:ascii="Times New Roman" w:hAnsi="Times New Roman"/>
                <w:i/>
                <w:sz w:val="24"/>
              </w:rPr>
              <w:t>– a hitelhelyettesítő jellegű visszavonhatatlan készenléti hitellevelek.</w:t>
            </w:r>
          </w:p>
          <w:p w14:paraId="3D80E152" w14:textId="77777777" w:rsidR="001B1411" w:rsidRPr="00DA7625" w:rsidRDefault="001B1411">
            <w:pPr>
              <w:autoSpaceDE w:val="0"/>
              <w:autoSpaceDN w:val="0"/>
              <w:adjustRightInd w:val="0"/>
              <w:spacing w:before="0" w:after="0"/>
              <w:jc w:val="left"/>
              <w:rPr>
                <w:rFonts w:ascii="Times New Roman" w:hAnsi="Times New Roman"/>
                <w:b/>
                <w:sz w:val="24"/>
                <w:u w:val="single"/>
              </w:rPr>
            </w:pPr>
          </w:p>
        </w:tc>
      </w:tr>
      <w:tr w:rsidR="001B1411" w:rsidRPr="00DA7625" w14:paraId="78D623ED" w14:textId="77777777" w:rsidTr="00E10B85">
        <w:tc>
          <w:tcPr>
            <w:tcW w:w="1101" w:type="dxa"/>
          </w:tcPr>
          <w:p w14:paraId="7F3081DD" w14:textId="77777777" w:rsidR="001B1411" w:rsidRPr="00DA7625" w:rsidRDefault="00FC6275">
            <w:pPr>
              <w:autoSpaceDE w:val="0"/>
              <w:autoSpaceDN w:val="0"/>
              <w:adjustRightInd w:val="0"/>
              <w:spacing w:before="0" w:after="0"/>
              <w:rPr>
                <w:rFonts w:ascii="Times New Roman" w:hAnsi="Times New Roman"/>
                <w:bCs/>
                <w:sz w:val="24"/>
              </w:rPr>
            </w:pPr>
            <w:r w:rsidRPr="00DA7625">
              <w:rPr>
                <w:rFonts w:ascii="Times New Roman" w:hAnsi="Times New Roman"/>
                <w:bCs/>
                <w:sz w:val="24"/>
              </w:rPr>
              <w:t>380</w:t>
            </w:r>
          </w:p>
        </w:tc>
        <w:tc>
          <w:tcPr>
            <w:tcW w:w="7903" w:type="dxa"/>
          </w:tcPr>
          <w:p w14:paraId="02F2E683" w14:textId="77777777" w:rsidR="001B1411" w:rsidRPr="00DA7625" w:rsidRDefault="00FC6275">
            <w:pPr>
              <w:spacing w:before="0" w:after="0"/>
              <w:jc w:val="left"/>
              <w:rPr>
                <w:rFonts w:ascii="Times New Roman" w:hAnsi="Times New Roman"/>
                <w:b/>
                <w:sz w:val="24"/>
                <w:u w:val="single"/>
              </w:rPr>
            </w:pPr>
            <w:r w:rsidRPr="00DA7625">
              <w:rPr>
                <w:rFonts w:ascii="Times New Roman" w:hAnsi="Times New Roman"/>
                <w:b/>
                <w:sz w:val="24"/>
                <w:u w:val="single"/>
              </w:rPr>
              <w:t>IRS / CRS</w:t>
            </w:r>
          </w:p>
          <w:p w14:paraId="3B81E05E" w14:textId="77777777" w:rsidR="001B1411" w:rsidRPr="00DA7625" w:rsidRDefault="001B1411">
            <w:pPr>
              <w:spacing w:before="0" w:after="0"/>
              <w:jc w:val="left"/>
              <w:rPr>
                <w:rFonts w:ascii="Times New Roman" w:hAnsi="Times New Roman"/>
                <w:sz w:val="24"/>
              </w:rPr>
            </w:pPr>
          </w:p>
          <w:p w14:paraId="00895983" w14:textId="0FD39857" w:rsidR="001B1411" w:rsidRPr="00DA7625" w:rsidRDefault="00FC6275">
            <w:pPr>
              <w:spacing w:before="0" w:after="0"/>
              <w:rPr>
                <w:rFonts w:ascii="Times New Roman" w:hAnsi="Times New Roman"/>
                <w:sz w:val="24"/>
              </w:rPr>
            </w:pPr>
            <w:r w:rsidRPr="00DA7625">
              <w:rPr>
                <w:rFonts w:ascii="Times New Roman" w:hAnsi="Times New Roman"/>
                <w:sz w:val="24"/>
              </w:rPr>
              <w:t>Az IRS a kamatcsereügyletek, a CRS a deviza-csereügyletek rövidítése. Ezeket a származtatott ügyleteket a CRR II. melléklete sorolja fel.</w:t>
            </w:r>
          </w:p>
          <w:p w14:paraId="303B9529" w14:textId="77777777" w:rsidR="001B1411" w:rsidRPr="00DA7625" w:rsidRDefault="001B1411">
            <w:pPr>
              <w:spacing w:before="0" w:after="0"/>
              <w:jc w:val="left"/>
              <w:rPr>
                <w:rFonts w:ascii="Times New Roman" w:hAnsi="Times New Roman"/>
                <w:sz w:val="24"/>
              </w:rPr>
            </w:pPr>
          </w:p>
        </w:tc>
      </w:tr>
      <w:tr w:rsidR="001B1411" w:rsidRPr="00DA7625" w14:paraId="185C7415" w14:textId="77777777" w:rsidTr="00E10B85">
        <w:tc>
          <w:tcPr>
            <w:tcW w:w="1101" w:type="dxa"/>
          </w:tcPr>
          <w:p w14:paraId="4A2D453A" w14:textId="77777777" w:rsidR="001B1411" w:rsidRPr="00DA7625" w:rsidRDefault="00FC6275">
            <w:pPr>
              <w:autoSpaceDE w:val="0"/>
              <w:autoSpaceDN w:val="0"/>
              <w:adjustRightInd w:val="0"/>
              <w:spacing w:before="0" w:after="0"/>
              <w:rPr>
                <w:rFonts w:ascii="Times New Roman" w:hAnsi="Times New Roman"/>
                <w:bCs/>
                <w:sz w:val="24"/>
              </w:rPr>
            </w:pPr>
            <w:r w:rsidRPr="00DA7625">
              <w:rPr>
                <w:rFonts w:ascii="Times New Roman" w:hAnsi="Times New Roman"/>
                <w:bCs/>
                <w:sz w:val="24"/>
              </w:rPr>
              <w:t>390</w:t>
            </w:r>
          </w:p>
        </w:tc>
        <w:tc>
          <w:tcPr>
            <w:tcW w:w="7903" w:type="dxa"/>
          </w:tcPr>
          <w:p w14:paraId="45C5A98C" w14:textId="77777777" w:rsidR="001B1411" w:rsidRPr="00DA7625" w:rsidRDefault="00FC6275">
            <w:pPr>
              <w:spacing w:before="0" w:after="0"/>
              <w:jc w:val="left"/>
              <w:rPr>
                <w:rFonts w:ascii="Times New Roman" w:hAnsi="Times New Roman"/>
                <w:b/>
                <w:sz w:val="24"/>
                <w:u w:val="single"/>
              </w:rPr>
            </w:pPr>
            <w:r w:rsidRPr="00DA7625">
              <w:rPr>
                <w:rFonts w:ascii="Times New Roman" w:hAnsi="Times New Roman"/>
                <w:b/>
                <w:sz w:val="24"/>
                <w:u w:val="single"/>
              </w:rPr>
              <w:t>LIKVIDITÁSI KERETEK</w:t>
            </w:r>
          </w:p>
          <w:p w14:paraId="4B0633C7" w14:textId="77777777" w:rsidR="001B1411" w:rsidRPr="00DA7625" w:rsidRDefault="001B1411">
            <w:pPr>
              <w:spacing w:before="0" w:after="0"/>
              <w:jc w:val="left"/>
              <w:rPr>
                <w:rFonts w:ascii="Times New Roman" w:hAnsi="Times New Roman"/>
                <w:sz w:val="24"/>
              </w:rPr>
            </w:pPr>
          </w:p>
          <w:p w14:paraId="47FD43EA" w14:textId="54BD56AD" w:rsidR="001B1411" w:rsidRPr="00DA7625" w:rsidRDefault="00FC6275">
            <w:pPr>
              <w:spacing w:before="0" w:after="0"/>
              <w:rPr>
                <w:rFonts w:ascii="Times New Roman" w:hAnsi="Times New Roman"/>
                <w:sz w:val="24"/>
              </w:rPr>
            </w:pPr>
            <w:r w:rsidRPr="00DA7625">
              <w:rPr>
                <w:rFonts w:ascii="Times New Roman" w:hAnsi="Times New Roman"/>
                <w:sz w:val="24"/>
              </w:rPr>
              <w:t>A CRR 242. cikkének 3. pontjában meghatározott likviditási hitelkeretek.</w:t>
            </w:r>
          </w:p>
          <w:p w14:paraId="5A23540E" w14:textId="77777777" w:rsidR="001B1411" w:rsidRPr="00DA7625" w:rsidRDefault="001B1411">
            <w:pPr>
              <w:spacing w:before="0" w:after="0"/>
              <w:rPr>
                <w:rFonts w:ascii="Times New Roman" w:hAnsi="Times New Roman"/>
                <w:sz w:val="24"/>
              </w:rPr>
            </w:pPr>
          </w:p>
        </w:tc>
      </w:tr>
      <w:tr w:rsidR="001B1411" w:rsidRPr="00DA7625" w14:paraId="0D87AF86" w14:textId="77777777" w:rsidTr="00E10B85">
        <w:tc>
          <w:tcPr>
            <w:tcW w:w="1101" w:type="dxa"/>
          </w:tcPr>
          <w:p w14:paraId="2DDDF8AF" w14:textId="77777777" w:rsidR="001B1411" w:rsidRPr="00DA7625" w:rsidRDefault="00FC6275">
            <w:pPr>
              <w:autoSpaceDE w:val="0"/>
              <w:autoSpaceDN w:val="0"/>
              <w:adjustRightInd w:val="0"/>
              <w:spacing w:before="0" w:after="0"/>
              <w:rPr>
                <w:rFonts w:ascii="Times New Roman" w:hAnsi="Times New Roman"/>
                <w:bCs/>
                <w:sz w:val="24"/>
              </w:rPr>
            </w:pPr>
            <w:r w:rsidRPr="00DA7625">
              <w:rPr>
                <w:rFonts w:ascii="Times New Roman" w:hAnsi="Times New Roman"/>
                <w:bCs/>
                <w:sz w:val="24"/>
              </w:rPr>
              <w:t>400</w:t>
            </w:r>
          </w:p>
        </w:tc>
        <w:tc>
          <w:tcPr>
            <w:tcW w:w="7903" w:type="dxa"/>
          </w:tcPr>
          <w:p w14:paraId="379A2E1D" w14:textId="77777777" w:rsidR="001B1411" w:rsidRPr="00DA7625" w:rsidRDefault="00FC6275">
            <w:pPr>
              <w:spacing w:before="0" w:after="0"/>
              <w:jc w:val="left"/>
              <w:rPr>
                <w:rFonts w:ascii="Times New Roman" w:hAnsi="Times New Roman"/>
                <w:b/>
                <w:sz w:val="24"/>
                <w:u w:val="single"/>
              </w:rPr>
            </w:pPr>
            <w:r w:rsidRPr="00DA7625">
              <w:rPr>
                <w:rFonts w:ascii="Times New Roman" w:hAnsi="Times New Roman"/>
                <w:b/>
                <w:sz w:val="24"/>
                <w:u w:val="single"/>
              </w:rPr>
              <w:t xml:space="preserve">EGYÉB </w:t>
            </w:r>
          </w:p>
          <w:p w14:paraId="30E7CE86" w14:textId="77777777" w:rsidR="001B1411" w:rsidRPr="00DA7625" w:rsidRDefault="001B1411">
            <w:pPr>
              <w:spacing w:before="0" w:after="0"/>
              <w:jc w:val="left"/>
              <w:rPr>
                <w:rFonts w:ascii="Times New Roman" w:hAnsi="Times New Roman"/>
                <w:sz w:val="24"/>
              </w:rPr>
            </w:pPr>
          </w:p>
          <w:p w14:paraId="47EAC92A" w14:textId="7EB306EE" w:rsidR="001B1411" w:rsidRPr="00DA7625" w:rsidRDefault="001C3443">
            <w:pPr>
              <w:spacing w:before="0" w:after="0"/>
              <w:rPr>
                <w:rFonts w:ascii="Times New Roman" w:hAnsi="Times New Roman"/>
                <w:sz w:val="24"/>
              </w:rPr>
            </w:pPr>
            <w:r w:rsidRPr="00DA7625">
              <w:rPr>
                <w:rFonts w:ascii="Times New Roman" w:hAnsi="Times New Roman"/>
                <w:sz w:val="24"/>
              </w:rPr>
              <w:t>Fennmaradó mérlegen kívüli tételek.</w:t>
            </w:r>
          </w:p>
          <w:p w14:paraId="15342BF9" w14:textId="77777777" w:rsidR="001B1411" w:rsidRPr="00DA7625" w:rsidRDefault="001B1411">
            <w:pPr>
              <w:spacing w:before="0" w:after="0"/>
              <w:jc w:val="left"/>
              <w:rPr>
                <w:rFonts w:ascii="Times New Roman" w:hAnsi="Times New Roman"/>
                <w:sz w:val="24"/>
              </w:rPr>
            </w:pPr>
          </w:p>
        </w:tc>
      </w:tr>
      <w:tr w:rsidR="001B1411" w:rsidRPr="00DA7625" w14:paraId="123D3B8A" w14:textId="77777777" w:rsidTr="00E10B85">
        <w:tc>
          <w:tcPr>
            <w:tcW w:w="1101" w:type="dxa"/>
          </w:tcPr>
          <w:p w14:paraId="296566C5" w14:textId="77777777" w:rsidR="001B1411" w:rsidRPr="00DA7625" w:rsidRDefault="00FC6275">
            <w:pPr>
              <w:autoSpaceDE w:val="0"/>
              <w:autoSpaceDN w:val="0"/>
              <w:adjustRightInd w:val="0"/>
              <w:spacing w:before="0" w:after="0"/>
              <w:rPr>
                <w:rFonts w:ascii="Times New Roman" w:hAnsi="Times New Roman"/>
                <w:bCs/>
                <w:sz w:val="24"/>
              </w:rPr>
            </w:pPr>
            <w:r w:rsidRPr="00DA7625">
              <w:rPr>
                <w:rFonts w:ascii="Times New Roman" w:hAnsi="Times New Roman"/>
                <w:bCs/>
                <w:sz w:val="24"/>
              </w:rPr>
              <w:t>411</w:t>
            </w:r>
          </w:p>
        </w:tc>
        <w:tc>
          <w:tcPr>
            <w:tcW w:w="7903" w:type="dxa"/>
          </w:tcPr>
          <w:p w14:paraId="32246B29" w14:textId="77777777" w:rsidR="001B1411" w:rsidRPr="00DA7625" w:rsidRDefault="00FC6275">
            <w:pPr>
              <w:spacing w:before="0" w:after="0"/>
              <w:jc w:val="left"/>
              <w:rPr>
                <w:rFonts w:ascii="Times New Roman" w:hAnsi="Times New Roman"/>
                <w:b/>
                <w:sz w:val="24"/>
                <w:u w:val="single"/>
              </w:rPr>
            </w:pPr>
            <w:r w:rsidRPr="00DA7625">
              <w:rPr>
                <w:rFonts w:ascii="Times New Roman" w:hAnsi="Times New Roman"/>
                <w:b/>
                <w:sz w:val="24"/>
                <w:u w:val="single"/>
              </w:rPr>
              <w:t>KITETTSÉGÉRTÉK</w:t>
            </w:r>
          </w:p>
          <w:p w14:paraId="3A2FC455" w14:textId="77777777" w:rsidR="001B1411" w:rsidRPr="00DA7625" w:rsidRDefault="001B1411">
            <w:pPr>
              <w:spacing w:before="0" w:after="0"/>
              <w:jc w:val="left"/>
              <w:rPr>
                <w:rFonts w:ascii="Times New Roman" w:hAnsi="Times New Roman"/>
                <w:b/>
                <w:sz w:val="24"/>
                <w:u w:val="single"/>
              </w:rPr>
            </w:pPr>
          </w:p>
          <w:p w14:paraId="558BD2CF" w14:textId="77777777" w:rsidR="001B1411" w:rsidRPr="00DA7625" w:rsidRDefault="00FC6275">
            <w:pPr>
              <w:spacing w:before="0" w:after="0"/>
              <w:rPr>
                <w:rFonts w:ascii="Times New Roman" w:hAnsi="Times New Roman"/>
                <w:sz w:val="24"/>
              </w:rPr>
            </w:pPr>
            <w:r w:rsidRPr="00DA7625">
              <w:rPr>
                <w:rFonts w:ascii="Times New Roman" w:hAnsi="Times New Roman"/>
                <w:sz w:val="24"/>
              </w:rPr>
              <w:t>Ez az információ szorosan kapcsolódik a CR SEC tábla 0180-as oszlopához.</w:t>
            </w:r>
          </w:p>
          <w:p w14:paraId="7023388C" w14:textId="77777777" w:rsidR="001B1411" w:rsidRPr="00DA7625" w:rsidRDefault="001B1411">
            <w:pPr>
              <w:spacing w:before="0" w:after="0"/>
              <w:jc w:val="left"/>
              <w:rPr>
                <w:rFonts w:ascii="Times New Roman" w:hAnsi="Times New Roman"/>
                <w:b/>
                <w:sz w:val="24"/>
                <w:u w:val="single"/>
              </w:rPr>
            </w:pPr>
          </w:p>
        </w:tc>
      </w:tr>
      <w:tr w:rsidR="001B1411" w:rsidRPr="00DA7625" w14:paraId="418CFD31" w14:textId="77777777" w:rsidTr="00E10B85">
        <w:tc>
          <w:tcPr>
            <w:tcW w:w="1101" w:type="dxa"/>
          </w:tcPr>
          <w:p w14:paraId="5221C72B" w14:textId="77777777" w:rsidR="001B1411" w:rsidRPr="00DA7625" w:rsidRDefault="00FC6275">
            <w:pPr>
              <w:autoSpaceDE w:val="0"/>
              <w:autoSpaceDN w:val="0"/>
              <w:adjustRightInd w:val="0"/>
              <w:spacing w:before="0" w:after="0"/>
              <w:rPr>
                <w:rFonts w:ascii="Times New Roman" w:hAnsi="Times New Roman"/>
                <w:bCs/>
                <w:sz w:val="24"/>
              </w:rPr>
            </w:pPr>
            <w:r w:rsidRPr="00DA7625">
              <w:rPr>
                <w:rFonts w:ascii="Times New Roman" w:hAnsi="Times New Roman"/>
                <w:bCs/>
                <w:sz w:val="24"/>
              </w:rPr>
              <w:t>420</w:t>
            </w:r>
          </w:p>
        </w:tc>
        <w:tc>
          <w:tcPr>
            <w:tcW w:w="7903" w:type="dxa"/>
          </w:tcPr>
          <w:p w14:paraId="74E292A3" w14:textId="77777777" w:rsidR="001B1411" w:rsidRPr="00DA7625" w:rsidRDefault="00FC6275">
            <w:pPr>
              <w:spacing w:before="0" w:after="0"/>
              <w:jc w:val="left"/>
              <w:rPr>
                <w:rFonts w:ascii="Times New Roman" w:hAnsi="Times New Roman"/>
                <w:b/>
                <w:sz w:val="24"/>
                <w:u w:val="single"/>
              </w:rPr>
            </w:pPr>
            <w:r w:rsidRPr="00DA7625">
              <w:rPr>
                <w:rFonts w:ascii="Times New Roman" w:hAnsi="Times New Roman"/>
                <w:b/>
                <w:sz w:val="24"/>
                <w:u w:val="single"/>
              </w:rPr>
              <w:t>(–) A SZAVATOLÓTŐKÉBŐL LEVONT KITETTSÉGÉRTÉK</w:t>
            </w:r>
          </w:p>
          <w:p w14:paraId="33206523" w14:textId="77777777" w:rsidR="001B1411" w:rsidRPr="00DA7625" w:rsidRDefault="001B1411">
            <w:pPr>
              <w:spacing w:before="0" w:after="0"/>
              <w:jc w:val="left"/>
              <w:rPr>
                <w:rFonts w:ascii="Times New Roman" w:hAnsi="Times New Roman"/>
                <w:sz w:val="24"/>
              </w:rPr>
            </w:pPr>
          </w:p>
          <w:p w14:paraId="7CD4B52C" w14:textId="77777777" w:rsidR="001B1411" w:rsidRPr="00DA7625" w:rsidRDefault="00FC6275">
            <w:pPr>
              <w:spacing w:before="0" w:after="0"/>
              <w:rPr>
                <w:rFonts w:ascii="Times New Roman" w:hAnsi="Times New Roman"/>
                <w:sz w:val="24"/>
              </w:rPr>
            </w:pPr>
            <w:r w:rsidRPr="00DA7625">
              <w:rPr>
                <w:rFonts w:ascii="Times New Roman" w:hAnsi="Times New Roman"/>
                <w:sz w:val="24"/>
              </w:rPr>
              <w:t>Ez az információ szorosan kapcsolódik a CR SEC tábla 0190-es oszlopához.</w:t>
            </w:r>
          </w:p>
          <w:p w14:paraId="07374170" w14:textId="77777777" w:rsidR="001B1411" w:rsidRPr="00DA7625" w:rsidRDefault="001B1411">
            <w:pPr>
              <w:spacing w:before="0" w:after="0"/>
              <w:rPr>
                <w:rFonts w:ascii="Times New Roman" w:hAnsi="Times New Roman"/>
                <w:sz w:val="24"/>
              </w:rPr>
            </w:pPr>
          </w:p>
          <w:p w14:paraId="6DD62141" w14:textId="77777777" w:rsidR="001B1411" w:rsidRPr="00DA7625" w:rsidRDefault="00FC6275">
            <w:pPr>
              <w:spacing w:before="0" w:after="0"/>
              <w:rPr>
                <w:rFonts w:ascii="Times New Roman" w:hAnsi="Times New Roman"/>
                <w:sz w:val="24"/>
              </w:rPr>
            </w:pPr>
            <w:r w:rsidRPr="00DA7625">
              <w:rPr>
                <w:rFonts w:ascii="Times New Roman" w:hAnsi="Times New Roman"/>
                <w:sz w:val="24"/>
              </w:rPr>
              <w:t>Ebben az oszlopban negatív értéket kell megadni.</w:t>
            </w:r>
          </w:p>
          <w:p w14:paraId="4AC6A3F6" w14:textId="77777777" w:rsidR="001B1411" w:rsidRPr="00DA7625" w:rsidRDefault="001B1411">
            <w:pPr>
              <w:spacing w:before="0" w:after="0"/>
              <w:jc w:val="left"/>
              <w:rPr>
                <w:rFonts w:ascii="Times New Roman" w:hAnsi="Times New Roman"/>
                <w:sz w:val="24"/>
              </w:rPr>
            </w:pPr>
          </w:p>
        </w:tc>
      </w:tr>
      <w:tr w:rsidR="001B1411" w:rsidRPr="00DA7625" w14:paraId="7B6F2701" w14:textId="77777777" w:rsidTr="00E10B85">
        <w:tc>
          <w:tcPr>
            <w:tcW w:w="1101" w:type="dxa"/>
          </w:tcPr>
          <w:p w14:paraId="58DA1F0F" w14:textId="77777777" w:rsidR="001B1411" w:rsidRPr="00DA7625" w:rsidDel="00304CB1" w:rsidRDefault="00FC6275">
            <w:pPr>
              <w:autoSpaceDE w:val="0"/>
              <w:autoSpaceDN w:val="0"/>
              <w:adjustRightInd w:val="0"/>
              <w:spacing w:before="0" w:after="0"/>
              <w:rPr>
                <w:rFonts w:ascii="Times New Roman" w:hAnsi="Times New Roman"/>
                <w:bCs/>
                <w:sz w:val="24"/>
              </w:rPr>
            </w:pPr>
            <w:r w:rsidRPr="00DA7625">
              <w:rPr>
                <w:rFonts w:ascii="Times New Roman" w:hAnsi="Times New Roman"/>
                <w:bCs/>
                <w:sz w:val="24"/>
              </w:rPr>
              <w:t>430</w:t>
            </w:r>
          </w:p>
        </w:tc>
        <w:tc>
          <w:tcPr>
            <w:tcW w:w="7903" w:type="dxa"/>
          </w:tcPr>
          <w:p w14:paraId="42E66F9F" w14:textId="77777777" w:rsidR="001B1411" w:rsidRPr="00DA7625" w:rsidRDefault="00FC6275">
            <w:pPr>
              <w:spacing w:before="0" w:after="0"/>
              <w:jc w:val="left"/>
              <w:rPr>
                <w:rFonts w:ascii="Times New Roman" w:hAnsi="Times New Roman"/>
                <w:b/>
                <w:sz w:val="24"/>
                <w:u w:val="single"/>
              </w:rPr>
            </w:pPr>
            <w:r w:rsidRPr="00DA7625">
              <w:rPr>
                <w:rFonts w:ascii="Times New Roman" w:hAnsi="Times New Roman"/>
                <w:b/>
                <w:sz w:val="24"/>
                <w:u w:val="single"/>
              </w:rPr>
              <w:t>KOCKÁZATTAL SÚLYOZOTT TELJES KITETTSÉGÉRTÉK A FELSŐ KORLÁT FIGYELEMBEVÉTELE ELŐTT</w:t>
            </w:r>
          </w:p>
          <w:p w14:paraId="1D54F331" w14:textId="77777777" w:rsidR="001B1411" w:rsidRPr="00DA7625" w:rsidRDefault="001B1411">
            <w:pPr>
              <w:spacing w:before="0" w:after="0"/>
              <w:jc w:val="left"/>
              <w:rPr>
                <w:rFonts w:ascii="Times New Roman" w:hAnsi="Times New Roman"/>
                <w:sz w:val="24"/>
              </w:rPr>
            </w:pPr>
          </w:p>
          <w:p w14:paraId="5F025CC4" w14:textId="2B57391F" w:rsidR="001B1411" w:rsidRPr="00DA7625" w:rsidRDefault="00FC6275">
            <w:pPr>
              <w:spacing w:before="0" w:after="0"/>
              <w:rPr>
                <w:rFonts w:ascii="Times New Roman" w:hAnsi="Times New Roman"/>
                <w:sz w:val="24"/>
              </w:rPr>
            </w:pPr>
            <w:r w:rsidRPr="00DA7625">
              <w:rPr>
                <w:rFonts w:ascii="Times New Roman" w:hAnsi="Times New Roman"/>
                <w:sz w:val="24"/>
              </w:rPr>
              <w:lastRenderedPageBreak/>
              <w:t>Ez az oszlop a kockázattal súlyozott kitettségértéknek az értékpapírosítási pozíciókra vonatkozó felső határ alkalmazása előtti értékéről gyűjt információkat (jelentős kockázat átruházásával járó értékpapírosítási programok esetében). A jelentős kockázat átruházásával nem járó értékpapírosítási programok esetében (ahol a kockázattal súlyozott kitettségérték meghatározása az értékpapírosított kitettségek alapján történik) az oszlop nem tartalmaz adatot.</w:t>
            </w:r>
          </w:p>
          <w:p w14:paraId="78ADAD5B" w14:textId="77777777" w:rsidR="001B1411" w:rsidRPr="00DA7625" w:rsidRDefault="001B1411">
            <w:pPr>
              <w:spacing w:before="0" w:after="0"/>
              <w:jc w:val="left"/>
              <w:rPr>
                <w:rFonts w:ascii="Times New Roman" w:hAnsi="Times New Roman"/>
                <w:sz w:val="24"/>
              </w:rPr>
            </w:pPr>
          </w:p>
          <w:p w14:paraId="39E07A50" w14:textId="4C372F74" w:rsidR="001B1411" w:rsidRPr="00DA7625" w:rsidRDefault="00FC6275">
            <w:pPr>
              <w:spacing w:before="0" w:after="0"/>
              <w:jc w:val="left"/>
              <w:rPr>
                <w:rFonts w:ascii="Times New Roman" w:hAnsi="Times New Roman"/>
                <w:sz w:val="24"/>
              </w:rPr>
            </w:pPr>
            <w:r w:rsidRPr="00DA7625">
              <w:rPr>
                <w:rFonts w:ascii="Times New Roman" w:hAnsi="Times New Roman"/>
                <w:sz w:val="24"/>
              </w:rPr>
              <w:t xml:space="preserve">Az oszlop nem töltendő ki kötelezettségek értékpapírosítása esetén. </w:t>
            </w:r>
          </w:p>
          <w:p w14:paraId="73C12B72" w14:textId="77777777" w:rsidR="001B1411" w:rsidRPr="00DA7625" w:rsidRDefault="001B1411">
            <w:pPr>
              <w:spacing w:before="0" w:after="0"/>
              <w:jc w:val="left"/>
              <w:rPr>
                <w:rFonts w:ascii="Times New Roman" w:hAnsi="Times New Roman"/>
                <w:sz w:val="24"/>
              </w:rPr>
            </w:pPr>
          </w:p>
          <w:p w14:paraId="54ACB331" w14:textId="77777777" w:rsidR="001B1411" w:rsidRPr="00DA7625" w:rsidRDefault="00FC6275">
            <w:pPr>
              <w:spacing w:before="0" w:after="0"/>
              <w:jc w:val="left"/>
              <w:rPr>
                <w:rFonts w:ascii="Times New Roman" w:hAnsi="Times New Roman"/>
                <w:sz w:val="24"/>
              </w:rPr>
            </w:pPr>
            <w:r w:rsidRPr="00DA7625">
              <w:rPr>
                <w:rFonts w:ascii="Times New Roman" w:hAnsi="Times New Roman"/>
                <w:sz w:val="24"/>
              </w:rPr>
              <w:t xml:space="preserve">A kereskedési könyvi értékpapírosítások esetében az egyedi kockázatra vonatkozó RWEA-t kell feltüntetni. Lásd az MKR SA SEC 570. oszlopát, illetve az MKR SA CTP 410. és 420. oszlopát (amennyiben a szavatolótőke-követelmény szempontjából releváns). </w:t>
            </w:r>
          </w:p>
          <w:p w14:paraId="00634588" w14:textId="77777777" w:rsidR="001B1411" w:rsidRPr="00DA7625" w:rsidRDefault="001B1411">
            <w:pPr>
              <w:spacing w:before="0" w:after="0"/>
              <w:jc w:val="left"/>
              <w:rPr>
                <w:rFonts w:ascii="Times New Roman" w:hAnsi="Times New Roman"/>
                <w:b/>
                <w:sz w:val="24"/>
                <w:u w:val="single"/>
              </w:rPr>
            </w:pPr>
          </w:p>
        </w:tc>
      </w:tr>
      <w:tr w:rsidR="001B1411" w:rsidRPr="00DA7625" w14:paraId="75EBB5F1" w14:textId="77777777" w:rsidTr="00E10B85">
        <w:tc>
          <w:tcPr>
            <w:tcW w:w="1101" w:type="dxa"/>
          </w:tcPr>
          <w:p w14:paraId="72383ED5" w14:textId="77777777" w:rsidR="001B1411" w:rsidRPr="00DA7625" w:rsidRDefault="00FC6275">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431</w:t>
            </w:r>
          </w:p>
        </w:tc>
        <w:tc>
          <w:tcPr>
            <w:tcW w:w="7903" w:type="dxa"/>
          </w:tcPr>
          <w:p w14:paraId="72CF6823" w14:textId="77777777" w:rsidR="001B1411" w:rsidRPr="00DA7625" w:rsidRDefault="00FC6275">
            <w:pPr>
              <w:spacing w:before="0" w:after="0"/>
              <w:jc w:val="left"/>
              <w:rPr>
                <w:rFonts w:ascii="Times New Roman" w:hAnsi="Times New Roman"/>
                <w:b/>
                <w:sz w:val="24"/>
                <w:u w:val="single"/>
              </w:rPr>
            </w:pPr>
            <w:r w:rsidRPr="00DA7625">
              <w:rPr>
                <w:rFonts w:ascii="Times New Roman" w:hAnsi="Times New Roman"/>
                <w:b/>
                <w:sz w:val="24"/>
                <w:u w:val="single"/>
              </w:rPr>
              <w:t>(–) A KOCKÁZATI SÚLYRA VONATKOZÓ FELSŐ KORLÁT MIATTI CSÖKKENTÉS</w:t>
            </w:r>
          </w:p>
          <w:p w14:paraId="19DB032C" w14:textId="77777777" w:rsidR="001B1411" w:rsidRPr="00DA7625" w:rsidRDefault="001B1411">
            <w:pPr>
              <w:spacing w:before="0" w:after="0"/>
              <w:jc w:val="left"/>
              <w:rPr>
                <w:rFonts w:ascii="Times New Roman" w:hAnsi="Times New Roman"/>
                <w:b/>
                <w:sz w:val="24"/>
                <w:u w:val="single"/>
              </w:rPr>
            </w:pPr>
          </w:p>
          <w:p w14:paraId="02157D97" w14:textId="1AFC0212" w:rsidR="001B1411" w:rsidRPr="00DA7625" w:rsidRDefault="00FC6275">
            <w:pPr>
              <w:spacing w:before="0" w:after="0"/>
              <w:jc w:val="left"/>
              <w:rPr>
                <w:rFonts w:ascii="Times New Roman" w:hAnsi="Times New Roman"/>
                <w:sz w:val="24"/>
              </w:rPr>
            </w:pPr>
            <w:r w:rsidRPr="00DA7625">
              <w:rPr>
                <w:rFonts w:ascii="Times New Roman" w:hAnsi="Times New Roman"/>
                <w:sz w:val="24"/>
              </w:rPr>
              <w:t>A CRR 267. cikke</w:t>
            </w:r>
          </w:p>
          <w:p w14:paraId="0D7FABBA" w14:textId="77777777" w:rsidR="001B1411" w:rsidRPr="00DA7625" w:rsidRDefault="001B1411">
            <w:pPr>
              <w:spacing w:before="0" w:after="0"/>
              <w:jc w:val="left"/>
              <w:rPr>
                <w:rFonts w:ascii="Times New Roman" w:hAnsi="Times New Roman"/>
                <w:b/>
                <w:sz w:val="24"/>
                <w:u w:val="single"/>
              </w:rPr>
            </w:pPr>
          </w:p>
        </w:tc>
      </w:tr>
      <w:tr w:rsidR="001B1411" w:rsidRPr="00DA7625" w14:paraId="0BCA0CA8" w14:textId="77777777" w:rsidTr="00E10B85">
        <w:tc>
          <w:tcPr>
            <w:tcW w:w="1101" w:type="dxa"/>
          </w:tcPr>
          <w:p w14:paraId="6EAFD84F" w14:textId="77777777" w:rsidR="001B1411" w:rsidRPr="00DA7625" w:rsidRDefault="00FC6275">
            <w:pPr>
              <w:autoSpaceDE w:val="0"/>
              <w:autoSpaceDN w:val="0"/>
              <w:adjustRightInd w:val="0"/>
              <w:spacing w:before="0" w:after="0"/>
              <w:rPr>
                <w:rFonts w:ascii="Times New Roman" w:hAnsi="Times New Roman"/>
                <w:sz w:val="24"/>
              </w:rPr>
            </w:pPr>
            <w:r w:rsidRPr="00DA7625">
              <w:rPr>
                <w:rFonts w:ascii="Times New Roman" w:hAnsi="Times New Roman"/>
                <w:sz w:val="24"/>
              </w:rPr>
              <w:t>432</w:t>
            </w:r>
          </w:p>
        </w:tc>
        <w:tc>
          <w:tcPr>
            <w:tcW w:w="7903" w:type="dxa"/>
          </w:tcPr>
          <w:p w14:paraId="6B0A2EFB" w14:textId="77777777" w:rsidR="001B1411" w:rsidRPr="00DA7625" w:rsidRDefault="00FC6275">
            <w:pPr>
              <w:spacing w:before="0" w:after="0"/>
              <w:jc w:val="left"/>
              <w:rPr>
                <w:rFonts w:ascii="Times New Roman" w:hAnsi="Times New Roman"/>
                <w:b/>
                <w:sz w:val="24"/>
                <w:u w:val="single"/>
              </w:rPr>
            </w:pPr>
            <w:r w:rsidRPr="00DA7625">
              <w:rPr>
                <w:rFonts w:ascii="Times New Roman" w:hAnsi="Times New Roman"/>
                <w:b/>
                <w:sz w:val="24"/>
                <w:u w:val="single"/>
              </w:rPr>
              <w:t>(–) AZ ÁLTALÁNOS KORLÁT MIATTI CSÖKKENTÉS</w:t>
            </w:r>
          </w:p>
          <w:p w14:paraId="00B93CC3" w14:textId="77777777" w:rsidR="001B1411" w:rsidRPr="00DA7625" w:rsidRDefault="001B1411">
            <w:pPr>
              <w:spacing w:before="0" w:after="0"/>
              <w:jc w:val="left"/>
              <w:rPr>
                <w:rFonts w:ascii="Times New Roman" w:hAnsi="Times New Roman"/>
                <w:b/>
                <w:sz w:val="24"/>
                <w:u w:val="single"/>
              </w:rPr>
            </w:pPr>
          </w:p>
          <w:p w14:paraId="5D5CB5C4" w14:textId="74AB04EA" w:rsidR="001B1411" w:rsidRPr="00DA7625" w:rsidRDefault="00FC6275">
            <w:pPr>
              <w:spacing w:before="0" w:after="0"/>
              <w:jc w:val="left"/>
              <w:rPr>
                <w:rFonts w:ascii="Times New Roman" w:hAnsi="Times New Roman"/>
                <w:sz w:val="24"/>
              </w:rPr>
            </w:pPr>
            <w:r w:rsidRPr="00DA7625">
              <w:rPr>
                <w:rFonts w:ascii="Times New Roman" w:hAnsi="Times New Roman"/>
                <w:sz w:val="24"/>
              </w:rPr>
              <w:t>A CRR 268. cikke</w:t>
            </w:r>
          </w:p>
          <w:p w14:paraId="48B6117F" w14:textId="77777777" w:rsidR="001B1411" w:rsidRPr="00DA7625" w:rsidRDefault="001B1411">
            <w:pPr>
              <w:spacing w:before="0" w:after="0"/>
              <w:jc w:val="left"/>
              <w:rPr>
                <w:rFonts w:ascii="Times New Roman" w:hAnsi="Times New Roman"/>
                <w:b/>
                <w:sz w:val="24"/>
                <w:u w:val="single"/>
              </w:rPr>
            </w:pPr>
          </w:p>
        </w:tc>
      </w:tr>
      <w:tr w:rsidR="001B1411" w:rsidRPr="00DA7625" w14:paraId="5507B657" w14:textId="77777777" w:rsidTr="00E10B85">
        <w:tc>
          <w:tcPr>
            <w:tcW w:w="1101" w:type="dxa"/>
          </w:tcPr>
          <w:p w14:paraId="61544280" w14:textId="77777777" w:rsidR="001B1411" w:rsidRPr="00DA7625" w:rsidRDefault="00FC6275">
            <w:pPr>
              <w:autoSpaceDE w:val="0"/>
              <w:autoSpaceDN w:val="0"/>
              <w:adjustRightInd w:val="0"/>
              <w:spacing w:before="0" w:after="0"/>
              <w:rPr>
                <w:rFonts w:ascii="Times New Roman" w:hAnsi="Times New Roman"/>
                <w:bCs/>
                <w:sz w:val="24"/>
              </w:rPr>
            </w:pPr>
            <w:r w:rsidRPr="00DA7625">
              <w:rPr>
                <w:rFonts w:ascii="Times New Roman" w:hAnsi="Times New Roman"/>
                <w:sz w:val="24"/>
              </w:rPr>
              <w:t>440</w:t>
            </w:r>
          </w:p>
        </w:tc>
        <w:tc>
          <w:tcPr>
            <w:tcW w:w="7903" w:type="dxa"/>
          </w:tcPr>
          <w:p w14:paraId="78880E8D" w14:textId="77777777" w:rsidR="001B1411" w:rsidRPr="00DA7625" w:rsidRDefault="00FC6275">
            <w:pPr>
              <w:spacing w:before="0" w:after="0"/>
              <w:jc w:val="left"/>
              <w:rPr>
                <w:rFonts w:ascii="Times New Roman" w:hAnsi="Times New Roman"/>
                <w:b/>
                <w:sz w:val="24"/>
                <w:u w:val="single"/>
              </w:rPr>
            </w:pPr>
            <w:r w:rsidRPr="00DA7625">
              <w:rPr>
                <w:rFonts w:ascii="Times New Roman" w:hAnsi="Times New Roman"/>
                <w:b/>
                <w:sz w:val="24"/>
                <w:u w:val="single"/>
              </w:rPr>
              <w:t>KOCKÁZATTAL SÚLYOZOTT TELJES KITETTSÉGÉRTÉK A FELSŐ KORLÁT FIGYELEMBEVÉTELE UTÁN</w:t>
            </w:r>
          </w:p>
          <w:p w14:paraId="16A32033" w14:textId="77777777" w:rsidR="001B1411" w:rsidRPr="00DA7625" w:rsidRDefault="001B1411">
            <w:pPr>
              <w:spacing w:before="0" w:after="0"/>
              <w:jc w:val="left"/>
              <w:rPr>
                <w:rFonts w:ascii="Times New Roman" w:hAnsi="Times New Roman"/>
                <w:sz w:val="24"/>
              </w:rPr>
            </w:pPr>
          </w:p>
          <w:p w14:paraId="0B170A70" w14:textId="33634F8C" w:rsidR="001B1411" w:rsidRPr="00DA7625" w:rsidRDefault="00FC6275">
            <w:pPr>
              <w:spacing w:before="0" w:after="0"/>
              <w:rPr>
                <w:rFonts w:ascii="Times New Roman" w:hAnsi="Times New Roman"/>
                <w:sz w:val="24"/>
              </w:rPr>
            </w:pPr>
            <w:r w:rsidRPr="00DA7625">
              <w:rPr>
                <w:rFonts w:ascii="Times New Roman" w:hAnsi="Times New Roman"/>
                <w:sz w:val="24"/>
              </w:rPr>
              <w:t>Ez az oszlop a kockázattal súlyozott kitettségértéknek az értékpapírosítási pozíciókra vonatkozó felső korlátok alkalmazása utáni értékéről gyűjt információkat (jelentős kockázat átruházásával járó értékpapírosítási programok esetében). A jelentős kockázat átruházásával nem járó értékpapírosítási programok esetében (ahol a szavatolótőke-követelmény meghatározása az értékpapírosított kitettségek alapján történik) az oszlop nem tartalmaz adatot.</w:t>
            </w:r>
          </w:p>
          <w:p w14:paraId="0DF83039" w14:textId="77777777" w:rsidR="001B1411" w:rsidRPr="00DA7625" w:rsidRDefault="001B1411">
            <w:pPr>
              <w:spacing w:before="0" w:after="0"/>
              <w:rPr>
                <w:rFonts w:ascii="Times New Roman" w:hAnsi="Times New Roman"/>
                <w:sz w:val="24"/>
              </w:rPr>
            </w:pPr>
          </w:p>
          <w:p w14:paraId="055EC3C4" w14:textId="03EF7E1D" w:rsidR="001B1411" w:rsidRPr="00DA7625" w:rsidRDefault="00FC6275">
            <w:pPr>
              <w:spacing w:before="0" w:after="0"/>
              <w:rPr>
                <w:rFonts w:ascii="Times New Roman" w:hAnsi="Times New Roman"/>
                <w:sz w:val="24"/>
              </w:rPr>
            </w:pPr>
            <w:r w:rsidRPr="00DA7625">
              <w:rPr>
                <w:rFonts w:ascii="Times New Roman" w:hAnsi="Times New Roman"/>
                <w:sz w:val="24"/>
              </w:rPr>
              <w:t xml:space="preserve">Az oszlop nem töltendő ki kötelezettségek értékpapírosítása esetén. </w:t>
            </w:r>
          </w:p>
          <w:p w14:paraId="1F88ED81" w14:textId="77777777" w:rsidR="001B1411" w:rsidRPr="00DA7625" w:rsidRDefault="001B1411">
            <w:pPr>
              <w:spacing w:before="0" w:after="0"/>
              <w:rPr>
                <w:rFonts w:ascii="Times New Roman" w:hAnsi="Times New Roman"/>
                <w:sz w:val="24"/>
              </w:rPr>
            </w:pPr>
          </w:p>
          <w:p w14:paraId="630C2349" w14:textId="77777777" w:rsidR="001B1411" w:rsidRPr="00DA7625" w:rsidRDefault="00FC6275">
            <w:pPr>
              <w:spacing w:before="0" w:after="0"/>
              <w:rPr>
                <w:rFonts w:ascii="Times New Roman" w:hAnsi="Times New Roman"/>
                <w:sz w:val="24"/>
              </w:rPr>
            </w:pPr>
            <w:r w:rsidRPr="00DA7625">
              <w:rPr>
                <w:rFonts w:ascii="Times New Roman" w:hAnsi="Times New Roman"/>
                <w:sz w:val="24"/>
              </w:rPr>
              <w:t>A kereskedési könyvi értékpapírosítások esetében az egyedi kockázatra vonatkozó RWEA-t kell feltüntetni. Lásd az MKR SA SEC 600-as, illetve az MKR SA CTP 450-es oszlopát.</w:t>
            </w:r>
          </w:p>
          <w:p w14:paraId="63B294EA" w14:textId="77777777" w:rsidR="001B1411" w:rsidRPr="00DA7625" w:rsidRDefault="001B1411">
            <w:pPr>
              <w:spacing w:before="0" w:after="0"/>
              <w:jc w:val="left"/>
              <w:rPr>
                <w:rFonts w:ascii="Times New Roman" w:hAnsi="Times New Roman"/>
                <w:sz w:val="24"/>
              </w:rPr>
            </w:pPr>
          </w:p>
        </w:tc>
      </w:tr>
      <w:tr w:rsidR="001B1411" w:rsidRPr="00DA7625" w14:paraId="1297821E" w14:textId="77777777" w:rsidTr="00E10B85">
        <w:tc>
          <w:tcPr>
            <w:tcW w:w="1101" w:type="dxa"/>
          </w:tcPr>
          <w:p w14:paraId="23EAFF93" w14:textId="77777777" w:rsidR="001B1411" w:rsidRPr="00DA7625" w:rsidRDefault="00FC6275">
            <w:pPr>
              <w:autoSpaceDE w:val="0"/>
              <w:autoSpaceDN w:val="0"/>
              <w:adjustRightInd w:val="0"/>
              <w:spacing w:before="0" w:after="0"/>
              <w:rPr>
                <w:rFonts w:ascii="Times New Roman" w:hAnsi="Times New Roman"/>
                <w:sz w:val="24"/>
              </w:rPr>
            </w:pPr>
            <w:r w:rsidRPr="00DA7625">
              <w:rPr>
                <w:rFonts w:ascii="Times New Roman" w:hAnsi="Times New Roman"/>
                <w:sz w:val="24"/>
              </w:rPr>
              <w:t>447–448</w:t>
            </w:r>
          </w:p>
        </w:tc>
        <w:tc>
          <w:tcPr>
            <w:tcW w:w="7903" w:type="dxa"/>
          </w:tcPr>
          <w:p w14:paraId="095B6753" w14:textId="77777777" w:rsidR="001B1411" w:rsidRPr="00DA7625" w:rsidRDefault="00FC6275">
            <w:pPr>
              <w:spacing w:before="0" w:after="0"/>
              <w:jc w:val="left"/>
              <w:rPr>
                <w:rFonts w:ascii="Times New Roman" w:hAnsi="Times New Roman"/>
                <w:b/>
                <w:sz w:val="24"/>
                <w:u w:val="single"/>
              </w:rPr>
            </w:pPr>
            <w:r w:rsidRPr="00DA7625">
              <w:rPr>
                <w:rFonts w:ascii="Times New Roman" w:hAnsi="Times New Roman"/>
                <w:b/>
                <w:sz w:val="24"/>
                <w:u w:val="single"/>
              </w:rPr>
              <w:t>TÁJÉKOZTATÓ ADATOK</w:t>
            </w:r>
          </w:p>
        </w:tc>
      </w:tr>
      <w:tr w:rsidR="001B1411" w:rsidRPr="00DA7625" w14:paraId="29E4D611" w14:textId="77777777" w:rsidTr="00E10B85">
        <w:tc>
          <w:tcPr>
            <w:tcW w:w="1101" w:type="dxa"/>
          </w:tcPr>
          <w:p w14:paraId="59677DC2" w14:textId="77777777" w:rsidR="001B1411" w:rsidRPr="00DA7625" w:rsidRDefault="00FC6275">
            <w:pPr>
              <w:autoSpaceDE w:val="0"/>
              <w:autoSpaceDN w:val="0"/>
              <w:adjustRightInd w:val="0"/>
              <w:spacing w:before="0" w:after="0"/>
              <w:rPr>
                <w:rFonts w:ascii="Times New Roman" w:hAnsi="Times New Roman"/>
                <w:sz w:val="24"/>
              </w:rPr>
            </w:pPr>
            <w:r w:rsidRPr="00DA7625">
              <w:rPr>
                <w:rFonts w:ascii="Times New Roman" w:hAnsi="Times New Roman"/>
                <w:sz w:val="24"/>
              </w:rPr>
              <w:t>447</w:t>
            </w:r>
          </w:p>
        </w:tc>
        <w:tc>
          <w:tcPr>
            <w:tcW w:w="7903" w:type="dxa"/>
          </w:tcPr>
          <w:p w14:paraId="7250528A" w14:textId="77777777" w:rsidR="001B1411" w:rsidRPr="00DA7625" w:rsidRDefault="00FC6275">
            <w:pPr>
              <w:spacing w:before="0" w:after="0"/>
              <w:jc w:val="left"/>
              <w:rPr>
                <w:rFonts w:ascii="Times New Roman" w:hAnsi="Times New Roman"/>
                <w:b/>
                <w:sz w:val="24"/>
                <w:u w:val="single"/>
              </w:rPr>
            </w:pPr>
            <w:r w:rsidRPr="00DA7625">
              <w:rPr>
                <w:rFonts w:ascii="Times New Roman" w:hAnsi="Times New Roman"/>
                <w:b/>
                <w:sz w:val="24"/>
                <w:u w:val="single"/>
              </w:rPr>
              <w:t>KOCKÁZATTAL SÚLYOZOTT KITETTSÉGÉRTÉK A SEC-ERBA SZERINT</w:t>
            </w:r>
          </w:p>
          <w:p w14:paraId="0E7B7AE3" w14:textId="77777777" w:rsidR="001B1411" w:rsidRPr="00DA7625" w:rsidRDefault="001B1411">
            <w:pPr>
              <w:spacing w:before="0" w:after="0"/>
              <w:jc w:val="left"/>
              <w:rPr>
                <w:rFonts w:ascii="Times New Roman" w:hAnsi="Times New Roman"/>
                <w:b/>
                <w:sz w:val="24"/>
                <w:u w:val="single"/>
              </w:rPr>
            </w:pPr>
          </w:p>
          <w:p w14:paraId="32260898" w14:textId="15C5C041" w:rsidR="001B1411" w:rsidRPr="00DA7625" w:rsidRDefault="00FC6275">
            <w:pPr>
              <w:spacing w:before="0" w:after="0"/>
              <w:jc w:val="left"/>
              <w:rPr>
                <w:rFonts w:ascii="Times New Roman" w:hAnsi="Times New Roman"/>
                <w:sz w:val="24"/>
              </w:rPr>
            </w:pPr>
            <w:r w:rsidRPr="00DA7625">
              <w:rPr>
                <w:rFonts w:ascii="Times New Roman" w:hAnsi="Times New Roman"/>
                <w:sz w:val="24"/>
              </w:rPr>
              <w:t xml:space="preserve">A CRR 263. és 264. cikke Ezt az oszlopot csak a felső korlát alkalmazása előtti minősített ügyletek esetében kell kitölteni, és nem kell megadni a SEC-ERBA szerinti ügyletek esetében. </w:t>
            </w:r>
          </w:p>
          <w:p w14:paraId="7824768C" w14:textId="77777777" w:rsidR="001B1411" w:rsidRPr="00DA7625" w:rsidRDefault="001B1411">
            <w:pPr>
              <w:spacing w:before="0" w:after="0"/>
              <w:jc w:val="left"/>
              <w:rPr>
                <w:rFonts w:ascii="Times New Roman" w:hAnsi="Times New Roman"/>
                <w:b/>
                <w:sz w:val="24"/>
                <w:u w:val="single"/>
              </w:rPr>
            </w:pPr>
          </w:p>
        </w:tc>
      </w:tr>
      <w:tr w:rsidR="001B1411" w:rsidRPr="00DA7625" w14:paraId="46017789" w14:textId="77777777" w:rsidTr="00E10B85">
        <w:tc>
          <w:tcPr>
            <w:tcW w:w="1101" w:type="dxa"/>
          </w:tcPr>
          <w:p w14:paraId="4AF511BB" w14:textId="77777777" w:rsidR="001B1411" w:rsidRPr="00DA7625" w:rsidRDefault="00FC6275">
            <w:pPr>
              <w:autoSpaceDE w:val="0"/>
              <w:autoSpaceDN w:val="0"/>
              <w:adjustRightInd w:val="0"/>
              <w:spacing w:before="0" w:after="0"/>
              <w:rPr>
                <w:rFonts w:ascii="Times New Roman" w:hAnsi="Times New Roman"/>
                <w:sz w:val="24"/>
              </w:rPr>
            </w:pPr>
            <w:r w:rsidRPr="00DA7625">
              <w:rPr>
                <w:rFonts w:ascii="Times New Roman" w:hAnsi="Times New Roman"/>
                <w:sz w:val="24"/>
              </w:rPr>
              <w:t>448</w:t>
            </w:r>
          </w:p>
        </w:tc>
        <w:tc>
          <w:tcPr>
            <w:tcW w:w="7903" w:type="dxa"/>
          </w:tcPr>
          <w:p w14:paraId="36B61EAE" w14:textId="77777777" w:rsidR="001B1411" w:rsidRPr="00DA7625" w:rsidRDefault="00FC6275">
            <w:pPr>
              <w:spacing w:before="0" w:after="0"/>
              <w:jc w:val="left"/>
              <w:rPr>
                <w:rFonts w:ascii="Times New Roman" w:hAnsi="Times New Roman"/>
                <w:b/>
                <w:sz w:val="24"/>
                <w:u w:val="single"/>
              </w:rPr>
            </w:pPr>
            <w:r w:rsidRPr="00DA7625">
              <w:rPr>
                <w:rFonts w:ascii="Times New Roman" w:hAnsi="Times New Roman"/>
                <w:b/>
                <w:sz w:val="24"/>
                <w:u w:val="single"/>
              </w:rPr>
              <w:t>KOCKÁZATTAL SÚLYOZOTT KITETTSÉGÉRTÉK A SEC-SA SZERINT</w:t>
            </w:r>
          </w:p>
          <w:p w14:paraId="03C3DAB2" w14:textId="77777777" w:rsidR="001B1411" w:rsidRPr="00DA7625" w:rsidRDefault="001B1411">
            <w:pPr>
              <w:spacing w:before="0" w:after="0"/>
              <w:jc w:val="left"/>
              <w:rPr>
                <w:rFonts w:ascii="Times New Roman" w:hAnsi="Times New Roman"/>
                <w:b/>
                <w:sz w:val="24"/>
                <w:u w:val="single"/>
              </w:rPr>
            </w:pPr>
          </w:p>
          <w:p w14:paraId="0BA99E35" w14:textId="5E6D4D69" w:rsidR="001B1411" w:rsidRPr="00DA7625" w:rsidRDefault="00FC6275">
            <w:pPr>
              <w:spacing w:before="0" w:after="0"/>
              <w:jc w:val="left"/>
              <w:rPr>
                <w:rFonts w:ascii="Times New Roman" w:hAnsi="Times New Roman"/>
                <w:sz w:val="24"/>
              </w:rPr>
            </w:pPr>
            <w:r w:rsidRPr="00DA7625">
              <w:rPr>
                <w:rFonts w:ascii="Times New Roman" w:hAnsi="Times New Roman"/>
                <w:sz w:val="24"/>
              </w:rPr>
              <w:lastRenderedPageBreak/>
              <w:t>A CRR 261. és 262. cikke. Ezt az oszlopot a felső korlát alkalmazása előtt kell megadni, és nem kell megadni a SEC-SA szerinti ügyletek esetében.</w:t>
            </w:r>
          </w:p>
          <w:p w14:paraId="05270BEF" w14:textId="77777777" w:rsidR="001B1411" w:rsidRPr="00DA7625" w:rsidRDefault="001B1411">
            <w:pPr>
              <w:spacing w:before="0" w:after="0"/>
              <w:jc w:val="left"/>
              <w:rPr>
                <w:rFonts w:ascii="Times New Roman" w:hAnsi="Times New Roman"/>
                <w:b/>
                <w:sz w:val="24"/>
                <w:u w:val="single"/>
              </w:rPr>
            </w:pPr>
          </w:p>
        </w:tc>
      </w:tr>
      <w:tr w:rsidR="001B1411" w:rsidRPr="00DA7625" w14:paraId="1AE066A2" w14:textId="77777777" w:rsidTr="00E10B85">
        <w:tc>
          <w:tcPr>
            <w:tcW w:w="1101" w:type="dxa"/>
            <w:shd w:val="clear" w:color="auto" w:fill="auto"/>
          </w:tcPr>
          <w:p w14:paraId="4153A6F3" w14:textId="77777777" w:rsidR="001B1411" w:rsidRPr="00DA7625" w:rsidRDefault="00677A91">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450–470</w:t>
            </w:r>
          </w:p>
        </w:tc>
        <w:tc>
          <w:tcPr>
            <w:tcW w:w="7903" w:type="dxa"/>
            <w:shd w:val="clear" w:color="auto" w:fill="auto"/>
          </w:tcPr>
          <w:p w14:paraId="41388C7F" w14:textId="77777777" w:rsidR="001B1411" w:rsidRPr="00DA7625" w:rsidRDefault="00FC6275">
            <w:pPr>
              <w:spacing w:before="0" w:after="0"/>
              <w:jc w:val="left"/>
              <w:rPr>
                <w:rFonts w:ascii="Times New Roman" w:hAnsi="Times New Roman"/>
                <w:b/>
                <w:sz w:val="24"/>
                <w:u w:val="single"/>
              </w:rPr>
            </w:pPr>
            <w:r w:rsidRPr="00DA7625">
              <w:rPr>
                <w:rFonts w:ascii="Times New Roman" w:hAnsi="Times New Roman"/>
                <w:b/>
                <w:sz w:val="24"/>
                <w:u w:val="single"/>
              </w:rPr>
              <w:t>ÉRTÉKPAPÍROSÍTÁSI POZÍCIÓK – KERESKEDÉSI KÖNYV</w:t>
            </w:r>
          </w:p>
          <w:p w14:paraId="3172C445" w14:textId="77777777" w:rsidR="001B1411" w:rsidRPr="00DA7625" w:rsidRDefault="001B1411">
            <w:pPr>
              <w:spacing w:before="0" w:after="0"/>
              <w:jc w:val="left"/>
              <w:rPr>
                <w:rFonts w:ascii="Times New Roman" w:hAnsi="Times New Roman"/>
                <w:b/>
                <w:sz w:val="24"/>
                <w:u w:val="single"/>
              </w:rPr>
            </w:pPr>
          </w:p>
        </w:tc>
      </w:tr>
      <w:tr w:rsidR="001B1411" w:rsidRPr="00DA7625"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77777777" w:rsidR="001B1411" w:rsidRPr="00DA7625" w:rsidDel="00304CB1" w:rsidRDefault="00FC6275">
            <w:pPr>
              <w:autoSpaceDE w:val="0"/>
              <w:autoSpaceDN w:val="0"/>
              <w:adjustRightInd w:val="0"/>
              <w:spacing w:before="0" w:after="0"/>
              <w:rPr>
                <w:rFonts w:ascii="Times New Roman" w:hAnsi="Times New Roman"/>
                <w:sz w:val="24"/>
              </w:rPr>
            </w:pPr>
            <w:r w:rsidRPr="00DA7625">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1B1411" w:rsidRPr="00DA7625" w:rsidRDefault="00FC6275">
            <w:pPr>
              <w:spacing w:before="0" w:after="0"/>
              <w:jc w:val="left"/>
              <w:rPr>
                <w:rFonts w:ascii="Times New Roman" w:hAnsi="Times New Roman"/>
                <w:b/>
                <w:sz w:val="24"/>
                <w:u w:val="single"/>
              </w:rPr>
            </w:pPr>
            <w:r w:rsidRPr="00DA7625">
              <w:rPr>
                <w:rFonts w:ascii="Times New Roman" w:hAnsi="Times New Roman"/>
                <w:b/>
                <w:sz w:val="24"/>
                <w:u w:val="single"/>
              </w:rPr>
              <w:t>CTP/NEM CTP</w:t>
            </w:r>
          </w:p>
          <w:p w14:paraId="0277A8CD" w14:textId="77777777" w:rsidR="001B1411" w:rsidRPr="00DA7625" w:rsidRDefault="001B1411">
            <w:pPr>
              <w:spacing w:before="0" w:after="0"/>
              <w:jc w:val="left"/>
              <w:rPr>
                <w:rStyle w:val="InstructionsTabelleText"/>
                <w:rFonts w:ascii="Times New Roman" w:hAnsi="Times New Roman"/>
                <w:sz w:val="24"/>
              </w:rPr>
            </w:pPr>
          </w:p>
          <w:p w14:paraId="43936197" w14:textId="77777777" w:rsidR="001B1411" w:rsidRPr="00DA7625" w:rsidRDefault="00037FCC">
            <w:pPr>
              <w:spacing w:before="0" w:after="0"/>
              <w:jc w:val="left"/>
              <w:rPr>
                <w:rStyle w:val="InstructionsTabelleText"/>
                <w:rFonts w:ascii="Times New Roman" w:hAnsi="Times New Roman"/>
                <w:sz w:val="24"/>
              </w:rPr>
            </w:pPr>
            <w:r w:rsidRPr="00DA7625">
              <w:rPr>
                <w:rStyle w:val="InstructionsTabelleText"/>
                <w:rFonts w:ascii="Times New Roman" w:hAnsi="Times New Roman"/>
                <w:sz w:val="24"/>
              </w:rPr>
              <w:t>Az intézményeknek a következő rövidítéseket kell feltüntetniük:</w:t>
            </w:r>
          </w:p>
          <w:p w14:paraId="0813C2A4" w14:textId="77777777" w:rsidR="001B1411" w:rsidRPr="00DA7625" w:rsidRDefault="00FC6275">
            <w:pPr>
              <w:spacing w:before="0" w:after="0"/>
              <w:jc w:val="left"/>
              <w:rPr>
                <w:rStyle w:val="InstructionsTabelleText"/>
                <w:rFonts w:ascii="Times New Roman" w:hAnsi="Times New Roman"/>
                <w:sz w:val="24"/>
              </w:rPr>
            </w:pPr>
            <w:r w:rsidRPr="00DA7625">
              <w:rPr>
                <w:rStyle w:val="InstructionsTabelleText"/>
                <w:rFonts w:ascii="Times New Roman" w:hAnsi="Times New Roman"/>
                <w:sz w:val="24"/>
              </w:rPr>
              <w:t>C – korrelációkereskedési portfólió (CTP);</w:t>
            </w:r>
          </w:p>
          <w:p w14:paraId="791EBD74" w14:textId="77777777" w:rsidR="001B1411" w:rsidRPr="00DA7625" w:rsidRDefault="00FC6275">
            <w:pPr>
              <w:spacing w:before="0" w:after="0"/>
              <w:jc w:val="left"/>
              <w:rPr>
                <w:rStyle w:val="InstructionsTabelleText"/>
                <w:rFonts w:ascii="Times New Roman" w:hAnsi="Times New Roman"/>
                <w:sz w:val="24"/>
              </w:rPr>
            </w:pPr>
            <w:r w:rsidRPr="00DA7625">
              <w:rPr>
                <w:rStyle w:val="InstructionsTabelleText"/>
                <w:rFonts w:ascii="Times New Roman" w:hAnsi="Times New Roman"/>
                <w:sz w:val="24"/>
              </w:rPr>
              <w:t>N – nem CTP.</w:t>
            </w:r>
          </w:p>
          <w:p w14:paraId="2B570DF8" w14:textId="77777777" w:rsidR="001B1411" w:rsidRPr="00DA7625" w:rsidRDefault="001B1411">
            <w:pPr>
              <w:spacing w:before="0" w:after="0"/>
              <w:jc w:val="left"/>
              <w:rPr>
                <w:rFonts w:ascii="Times New Roman" w:hAnsi="Times New Roman"/>
                <w:b/>
                <w:sz w:val="24"/>
                <w:u w:val="single"/>
              </w:rPr>
            </w:pPr>
          </w:p>
        </w:tc>
      </w:tr>
      <w:tr w:rsidR="001B1411" w:rsidRPr="00DA7625"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77777777" w:rsidR="001B1411" w:rsidRPr="00DA7625" w:rsidDel="00304CB1" w:rsidRDefault="00FC6275">
            <w:pPr>
              <w:autoSpaceDE w:val="0"/>
              <w:autoSpaceDN w:val="0"/>
              <w:adjustRightInd w:val="0"/>
              <w:spacing w:before="0" w:after="0"/>
              <w:rPr>
                <w:rFonts w:ascii="Times New Roman" w:hAnsi="Times New Roman"/>
                <w:sz w:val="24"/>
              </w:rPr>
            </w:pPr>
            <w:r w:rsidRPr="00DA7625">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1B1411" w:rsidRPr="00DA7625" w:rsidRDefault="00FC6275">
            <w:pPr>
              <w:spacing w:before="0" w:after="0"/>
              <w:jc w:val="left"/>
              <w:rPr>
                <w:rStyle w:val="InstructionsTabelleberschrift"/>
                <w:rFonts w:ascii="Times New Roman" w:hAnsi="Times New Roman"/>
                <w:sz w:val="24"/>
              </w:rPr>
            </w:pPr>
            <w:r w:rsidRPr="00DA7625">
              <w:rPr>
                <w:rStyle w:val="InstructionsTabelleberschrift"/>
                <w:rFonts w:ascii="Times New Roman" w:hAnsi="Times New Roman"/>
                <w:sz w:val="24"/>
              </w:rPr>
              <w:t>NETTÓ POZÍCIÓK – HOSSZÚ/RÖVID</w:t>
            </w:r>
          </w:p>
          <w:p w14:paraId="4D8B0BDD" w14:textId="77777777" w:rsidR="001B1411" w:rsidRPr="00DA7625" w:rsidRDefault="001B1411">
            <w:pPr>
              <w:spacing w:before="0" w:after="0"/>
              <w:jc w:val="left"/>
              <w:rPr>
                <w:rFonts w:ascii="Times New Roman" w:hAnsi="Times New Roman"/>
                <w:b/>
                <w:sz w:val="24"/>
                <w:u w:val="single"/>
              </w:rPr>
            </w:pPr>
          </w:p>
          <w:p w14:paraId="6A52E9EF" w14:textId="77777777" w:rsidR="001B1411" w:rsidRPr="00DA7625" w:rsidRDefault="00FC6275">
            <w:pPr>
              <w:spacing w:before="0" w:after="0"/>
              <w:jc w:val="left"/>
              <w:rPr>
                <w:rStyle w:val="InstructionsTabelleText"/>
                <w:rFonts w:ascii="Times New Roman" w:hAnsi="Times New Roman"/>
                <w:sz w:val="24"/>
              </w:rPr>
            </w:pPr>
            <w:r w:rsidRPr="00DA7625">
              <w:rPr>
                <w:rStyle w:val="InstructionsTabelleText"/>
                <w:rFonts w:ascii="Times New Roman" w:hAnsi="Times New Roman"/>
                <w:sz w:val="24"/>
              </w:rPr>
              <w:t xml:space="preserve">Lásd az MKR SA SEC, illetve MKR SA CTP 050. és 060. oszlopát. </w:t>
            </w:r>
          </w:p>
          <w:p w14:paraId="09E56F10" w14:textId="77777777" w:rsidR="001B1411" w:rsidRPr="00DA7625" w:rsidRDefault="001B1411">
            <w:pPr>
              <w:spacing w:before="0" w:after="0"/>
              <w:jc w:val="left"/>
              <w:rPr>
                <w:rFonts w:ascii="Times New Roman" w:hAnsi="Times New Roman"/>
                <w:b/>
                <w:sz w:val="24"/>
                <w:u w:val="single"/>
              </w:rPr>
            </w:pPr>
          </w:p>
        </w:tc>
      </w:tr>
    </w:tbl>
    <w:p w14:paraId="25C5EB8A" w14:textId="77777777" w:rsidR="001B1411" w:rsidRPr="00DA7625" w:rsidRDefault="001B1411">
      <w:pPr>
        <w:spacing w:before="0" w:after="0"/>
        <w:jc w:val="left"/>
        <w:rPr>
          <w:rStyle w:val="InstructionsTabelleText"/>
          <w:rFonts w:ascii="Times New Roman" w:hAnsi="Times New Roman"/>
          <w:b/>
          <w:sz w:val="24"/>
        </w:rPr>
      </w:pPr>
    </w:p>
    <w:p w14:paraId="34E9DEE1" w14:textId="77777777" w:rsidR="001B1411" w:rsidRPr="00DA7625" w:rsidRDefault="00CE4C49">
      <w:pPr>
        <w:pStyle w:val="Instructionsberschrift2"/>
        <w:numPr>
          <w:ilvl w:val="0"/>
          <w:numId w:val="0"/>
        </w:numPr>
        <w:ind w:left="357" w:hanging="357"/>
        <w:rPr>
          <w:rFonts w:ascii="Times New Roman" w:hAnsi="Times New Roman" w:cs="Times New Roman"/>
          <w:sz w:val="24"/>
        </w:rPr>
      </w:pPr>
      <w:bookmarkStart w:id="71" w:name="_Toc31018817"/>
      <w:r w:rsidRPr="00DA7625">
        <w:rPr>
          <w:rFonts w:ascii="Times New Roman" w:hAnsi="Times New Roman"/>
          <w:sz w:val="24"/>
        </w:rPr>
        <w:t>4.</w:t>
      </w:r>
      <w:r w:rsidRPr="00DA7625">
        <w:rPr>
          <w:rFonts w:ascii="Times New Roman" w:hAnsi="Times New Roman"/>
          <w:sz w:val="24"/>
        </w:rPr>
        <w:tab/>
        <w:t>Működési kockázati táblacsoport</w:t>
      </w:r>
      <w:bookmarkEnd w:id="71"/>
    </w:p>
    <w:p w14:paraId="0B183E1A" w14:textId="77777777" w:rsidR="001B1411" w:rsidRPr="00DA7625" w:rsidRDefault="00CE4C49">
      <w:pPr>
        <w:pStyle w:val="Instructionsberschrift2"/>
        <w:numPr>
          <w:ilvl w:val="0"/>
          <w:numId w:val="0"/>
        </w:numPr>
        <w:ind w:left="357" w:hanging="357"/>
        <w:rPr>
          <w:rFonts w:ascii="Times New Roman" w:hAnsi="Times New Roman" w:cs="Times New Roman"/>
          <w:sz w:val="24"/>
        </w:rPr>
      </w:pPr>
      <w:bookmarkStart w:id="72" w:name="_Toc31018818"/>
      <w:r w:rsidRPr="00DA7625">
        <w:rPr>
          <w:rFonts w:ascii="Times New Roman" w:hAnsi="Times New Roman"/>
          <w:sz w:val="24"/>
        </w:rPr>
        <w:t>4.1</w:t>
      </w:r>
      <w:r w:rsidRPr="00DA7625">
        <w:rPr>
          <w:rFonts w:ascii="Times New Roman" w:hAnsi="Times New Roman"/>
          <w:sz w:val="24"/>
        </w:rPr>
        <w:tab/>
      </w:r>
      <w:r w:rsidRPr="00DA7625">
        <w:rPr>
          <w:rFonts w:ascii="Times New Roman" w:hAnsi="Times New Roman"/>
          <w:sz w:val="24"/>
        </w:rPr>
        <w:tab/>
        <w:t>C 16.00 – Működési kockázat (OPR)</w:t>
      </w:r>
      <w:bookmarkEnd w:id="72"/>
    </w:p>
    <w:p w14:paraId="3C130F30" w14:textId="77777777" w:rsidR="001B1411" w:rsidRPr="00DA7625" w:rsidRDefault="00CE4C49">
      <w:pPr>
        <w:pStyle w:val="Instructionsberschrift2"/>
        <w:numPr>
          <w:ilvl w:val="0"/>
          <w:numId w:val="0"/>
        </w:numPr>
        <w:ind w:left="357" w:hanging="357"/>
        <w:rPr>
          <w:rFonts w:ascii="Times New Roman" w:hAnsi="Times New Roman" w:cs="Times New Roman"/>
          <w:sz w:val="24"/>
          <w:u w:val="none"/>
        </w:rPr>
      </w:pPr>
      <w:bookmarkStart w:id="73" w:name="_Toc31018819"/>
      <w:r w:rsidRPr="00DA7625">
        <w:rPr>
          <w:rFonts w:ascii="Times New Roman" w:hAnsi="Times New Roman"/>
          <w:sz w:val="24"/>
          <w:u w:val="none"/>
        </w:rPr>
        <w:t>4.1.1</w:t>
      </w:r>
      <w:r w:rsidRPr="00DA7625">
        <w:rPr>
          <w:rFonts w:ascii="Times New Roman" w:hAnsi="Times New Roman"/>
          <w:sz w:val="24"/>
          <w:u w:val="none"/>
        </w:rPr>
        <w:tab/>
        <w:t>Általános megjegyzések</w:t>
      </w:r>
      <w:bookmarkEnd w:id="73"/>
      <w:r w:rsidRPr="00DA7625">
        <w:rPr>
          <w:rFonts w:ascii="Times New Roman" w:hAnsi="Times New Roman"/>
          <w:sz w:val="24"/>
          <w:u w:val="none"/>
        </w:rPr>
        <w:t xml:space="preserve"> </w:t>
      </w:r>
    </w:p>
    <w:p w14:paraId="423A7091" w14:textId="654C95B1" w:rsidR="001B1411" w:rsidRPr="00DA7625" w:rsidRDefault="006660B9">
      <w:pPr>
        <w:pStyle w:val="InstructionsText2"/>
        <w:numPr>
          <w:ilvl w:val="0"/>
          <w:numId w:val="0"/>
        </w:numPr>
        <w:ind w:left="993"/>
      </w:pPr>
      <w:r w:rsidRPr="00DA7625">
        <w:t>114.</w:t>
      </w:r>
      <w:r w:rsidRPr="00DA7625">
        <w:tab/>
        <w:t xml:space="preserve"> Ez a tábla a működési kockázat szavatolótőke-követelményének a CRR 312–324. cikke szerinti, az alapmutató módszere (BIA), a sztenderd módszer (TSA), az alternatív sztenderd módszer (ASA), valamint a fejlett mérési módszerek (AMA) alkalmazásával történő kiszámításával kapcsolatos információkat nyújt. Egy intézmény egyedi alapon nem alkalmazhatja egyidejűleg a sztenderd módszert és az alternatív sztenderd módszert „lakossági banki tevékenység” és „kereskedelmi banki tevékenység” üzletágára.</w:t>
      </w:r>
    </w:p>
    <w:p w14:paraId="56FD3321" w14:textId="528E0A35" w:rsidR="001B1411" w:rsidRPr="00DA7625" w:rsidRDefault="00125707">
      <w:pPr>
        <w:pStyle w:val="InstructionsText2"/>
        <w:numPr>
          <w:ilvl w:val="0"/>
          <w:numId w:val="0"/>
        </w:numPr>
        <w:ind w:left="993"/>
      </w:pPr>
      <w:r w:rsidRPr="00DA7625">
        <w:t xml:space="preserve">115. Az alapmutató módszerét, a sztenderd módszert vagy alternatív sztenderd módszert alkalmazó intézmények a szavatolótőke-követelményt a pénzügyi év végén rendelkezésre álló információk alapján számítják ki. Ha nem állnak rendelkezésre auditált adatok, az intézmények használhatnak üzleti becsléseket. Ha auditált adatokat használnak, akkor az intézményeknek a várhatóan változatlan auditált adatokat kell feltüntetniük. A változtatás nélküli adatszolgáltatás elvétől az intézmények eltérhetnek például akkor, ha az adott időszakban rendkívüli körülmények merülnek fel, például szervezetekben vagy tevékenységekben részesedésszerzés, illetve -elidegenítés történik. </w:t>
      </w:r>
    </w:p>
    <w:p w14:paraId="4A9F6BA1" w14:textId="1822CBBC" w:rsidR="001B1411" w:rsidRPr="00DA7625" w:rsidRDefault="00125707">
      <w:pPr>
        <w:pStyle w:val="InstructionsText2"/>
        <w:numPr>
          <w:ilvl w:val="0"/>
          <w:numId w:val="0"/>
        </w:numPr>
        <w:ind w:left="993"/>
      </w:pPr>
      <w:r w:rsidRPr="00DA7625">
        <w:t>116.</w:t>
      </w:r>
      <w:r w:rsidRPr="00DA7625">
        <w:tab/>
        <w:t xml:space="preserve"> Amennyiben az intézmény bizonyítani tudja az illetékes hatóság számára, hogy – rendkívüli körülmény, például egyesülés vagy bizonyos egységek vagy tevékenységek megszűnése miatt – a hároméves átlagnak az irányadó mutató kiszámítása céljára való felhasználása a működési kockázathoz kapcsolódó szavatolótőke-követelmény torz becslését eredményezné, az illetékes hatóság engedélyezheti az intézmény számára a számítás olyan módon történő módosítását, amely figyelembe veszi az említett eseményeket. Az illetékes hatóság saját kezdeményezésre is előírhatja az intézmény számára a számítás módosítását. Az az intézmény, amely három évnél rövidebb ideje működik, az irányadó mutató kiszámításához a jövőre vonatkozó üzleti </w:t>
      </w:r>
      <w:r w:rsidRPr="00DA7625">
        <w:lastRenderedPageBreak/>
        <w:t>becsléseket is felhasználhat, feltéve, hogy amint a tényleges múltbeli adatok legkorábban rendelkezésre állnak, attól az időponttól azokra támaszkodik.</w:t>
      </w:r>
    </w:p>
    <w:p w14:paraId="60F0D5E1" w14:textId="267293E2" w:rsidR="001B1411" w:rsidRPr="00DA7625" w:rsidRDefault="00125707">
      <w:pPr>
        <w:pStyle w:val="InstructionsText2"/>
        <w:numPr>
          <w:ilvl w:val="0"/>
          <w:numId w:val="0"/>
        </w:numPr>
        <w:ind w:left="993"/>
      </w:pPr>
      <w:r w:rsidRPr="00DA7625">
        <w:t>117.</w:t>
      </w:r>
      <w:r w:rsidRPr="00DA7625">
        <w:tab/>
        <w:t xml:space="preserve"> A tábla oszlopai a legutóbbi három évre vonatkozóan mutatják be a működési kockázattal érintett banki tevékenységek irányadó mutatójának értékével, valamint a kölcsönök és előlegek összegével kapcsolatos információkat (az utóbbi csak az alternatív sztenderd módszer esetében alkalmazható). Ezután kell feltüntetni a működési kockázathoz kapcsolódó szavatolótőke-követelmény értékével kapcsolatos információkat. Adott esetben részletezni kell, hogy az összeg mely része származik allokációs eljárásból. A fejlett mérési módszerekkel kapcsolatban további tájékoztató adatok mutatják be a várható veszteségnek, a diverzifikációnak és a mérséklési technikáknak a működési kockázathoz kapcsolódó szavatolótőke-követelményre gyakorolt hatását.</w:t>
      </w:r>
    </w:p>
    <w:p w14:paraId="124A0324" w14:textId="77777777" w:rsidR="001B1411" w:rsidRPr="00DA7625" w:rsidRDefault="00125707">
      <w:pPr>
        <w:pStyle w:val="InstructionsText2"/>
        <w:numPr>
          <w:ilvl w:val="0"/>
          <w:numId w:val="0"/>
        </w:numPr>
        <w:ind w:left="993"/>
      </w:pPr>
      <w:r w:rsidRPr="00DA7625">
        <w:t>118.</w:t>
      </w:r>
      <w:r w:rsidRPr="00DA7625">
        <w:tab/>
        <w:t xml:space="preserve"> Az egyes sorokban a működési kockázathoz kapcsolódó szavatolótőke-követelmény számítási módszerére vonatkozó információk találhatók, üzletáganként a sztenderd módszer és alternatív sztenderd módszer szerinti részletezésben.</w:t>
      </w:r>
    </w:p>
    <w:p w14:paraId="3C672CDB" w14:textId="77777777" w:rsidR="001B1411" w:rsidRPr="00DA7625" w:rsidRDefault="00125707">
      <w:pPr>
        <w:pStyle w:val="InstructionsText2"/>
        <w:numPr>
          <w:ilvl w:val="0"/>
          <w:numId w:val="0"/>
        </w:numPr>
        <w:ind w:left="993"/>
      </w:pPr>
      <w:r w:rsidRPr="00DA7625">
        <w:t>119.</w:t>
      </w:r>
      <w:r w:rsidRPr="00DA7625">
        <w:tab/>
        <w:t xml:space="preserve"> A táblát minden olyan intézménynek be kell nyújtania, amelyre a működési kockázathoz kapcsolódó szavatolótőke-követelmény vonatkozik.</w:t>
      </w:r>
    </w:p>
    <w:p w14:paraId="5D30B0E9"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74" w:name="_Toc31018820"/>
      <w:r w:rsidRPr="00DA7625">
        <w:rPr>
          <w:rFonts w:ascii="Times New Roman" w:hAnsi="Times New Roman"/>
          <w:sz w:val="24"/>
          <w:u w:val="none"/>
        </w:rPr>
        <w:t>4.1.2.</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74"/>
    </w:p>
    <w:p w14:paraId="2FFFD54E" w14:textId="77777777" w:rsidR="001B1411" w:rsidRPr="00DA7625" w:rsidRDefault="001B1411">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1B1411" w:rsidRPr="00DA7625" w14:paraId="0ED5FA59" w14:textId="77777777" w:rsidTr="00672D2A">
        <w:trPr>
          <w:trHeight w:val="553"/>
        </w:trPr>
        <w:tc>
          <w:tcPr>
            <w:tcW w:w="8862" w:type="dxa"/>
            <w:gridSpan w:val="2"/>
            <w:shd w:val="clear" w:color="auto" w:fill="CCCCCC"/>
          </w:tcPr>
          <w:p w14:paraId="04A6D214" w14:textId="77777777" w:rsidR="001B1411" w:rsidRPr="00DA7625" w:rsidRDefault="00AC6255">
            <w:pPr>
              <w:autoSpaceDE w:val="0"/>
              <w:autoSpaceDN w:val="0"/>
              <w:adjustRightInd w:val="0"/>
              <w:spacing w:after="0"/>
              <w:rPr>
                <w:rFonts w:ascii="Times New Roman" w:hAnsi="Times New Roman"/>
                <w:b/>
                <w:bCs/>
                <w:sz w:val="24"/>
              </w:rPr>
            </w:pPr>
            <w:r w:rsidRPr="00DA7625">
              <w:rPr>
                <w:rFonts w:ascii="Times New Roman" w:hAnsi="Times New Roman"/>
                <w:b/>
                <w:bCs/>
                <w:sz w:val="24"/>
              </w:rPr>
              <w:t>Oszlop</w:t>
            </w:r>
          </w:p>
        </w:tc>
      </w:tr>
      <w:tr w:rsidR="001B1411" w:rsidRPr="00DA7625" w14:paraId="75B0A424" w14:textId="77777777" w:rsidTr="00672D2A">
        <w:tc>
          <w:tcPr>
            <w:tcW w:w="985" w:type="dxa"/>
          </w:tcPr>
          <w:p w14:paraId="41F1DAD5" w14:textId="77777777" w:rsidR="001B1411" w:rsidRPr="00DA7625" w:rsidRDefault="00AC6255">
            <w:pPr>
              <w:autoSpaceDE w:val="0"/>
              <w:autoSpaceDN w:val="0"/>
              <w:adjustRightInd w:val="0"/>
              <w:spacing w:before="0" w:after="0"/>
              <w:rPr>
                <w:rFonts w:ascii="Times New Roman" w:hAnsi="Times New Roman"/>
                <w:bCs/>
                <w:sz w:val="24"/>
              </w:rPr>
            </w:pPr>
            <w:r w:rsidRPr="00DA7625">
              <w:rPr>
                <w:rFonts w:ascii="Times New Roman" w:hAnsi="Times New Roman"/>
                <w:bCs/>
                <w:sz w:val="24"/>
              </w:rPr>
              <w:t>010–030</w:t>
            </w:r>
          </w:p>
        </w:tc>
        <w:tc>
          <w:tcPr>
            <w:tcW w:w="7877" w:type="dxa"/>
          </w:tcPr>
          <w:p w14:paraId="7665078D" w14:textId="77777777" w:rsidR="001B1411" w:rsidRPr="00DA7625" w:rsidRDefault="00AC6255">
            <w:pPr>
              <w:autoSpaceDE w:val="0"/>
              <w:autoSpaceDN w:val="0"/>
              <w:adjustRightInd w:val="0"/>
              <w:spacing w:before="0" w:after="0"/>
              <w:jc w:val="left"/>
              <w:rPr>
                <w:rStyle w:val="InstructionsTabelleberschrift"/>
                <w:rFonts w:ascii="Times New Roman" w:hAnsi="Times New Roman"/>
                <w:sz w:val="24"/>
              </w:rPr>
            </w:pPr>
            <w:r w:rsidRPr="00DA7625">
              <w:rPr>
                <w:rStyle w:val="InstructionsTabelleberschrift"/>
                <w:rFonts w:ascii="Times New Roman" w:hAnsi="Times New Roman"/>
                <w:sz w:val="24"/>
              </w:rPr>
              <w:t>IRÁNYADÓ MUTATÓ</w:t>
            </w:r>
          </w:p>
          <w:p w14:paraId="1CDF94D3" w14:textId="77777777" w:rsidR="001B1411" w:rsidRPr="00DA7625" w:rsidRDefault="001B1411">
            <w:pPr>
              <w:autoSpaceDE w:val="0"/>
              <w:autoSpaceDN w:val="0"/>
              <w:adjustRightInd w:val="0"/>
              <w:spacing w:before="0" w:after="0"/>
              <w:jc w:val="left"/>
              <w:rPr>
                <w:rFonts w:ascii="Times New Roman" w:hAnsi="Times New Roman"/>
                <w:bCs/>
                <w:sz w:val="24"/>
              </w:rPr>
            </w:pPr>
          </w:p>
          <w:p w14:paraId="485D2C02" w14:textId="5FDE8E0A" w:rsidR="001B1411" w:rsidRPr="00DA7625" w:rsidRDefault="00AC6255">
            <w:pPr>
              <w:autoSpaceDE w:val="0"/>
              <w:autoSpaceDN w:val="0"/>
              <w:adjustRightInd w:val="0"/>
              <w:spacing w:before="0" w:after="0"/>
              <w:rPr>
                <w:rFonts w:ascii="Times New Roman" w:hAnsi="Times New Roman"/>
                <w:sz w:val="24"/>
              </w:rPr>
            </w:pPr>
            <w:r w:rsidRPr="00DA7625">
              <w:rPr>
                <w:rFonts w:ascii="Times New Roman" w:hAnsi="Times New Roman"/>
                <w:sz w:val="24"/>
              </w:rPr>
              <w:t>A működési kockázathoz kapcsolódó szavatolótőke-követelményt az irányadó mutató segítségével (az alapmutató módszerével, a sztenderd módszerrel vagy az alternatív sztenderd módszerrel) számító intézmények a megfelelő évekre vonatkozó irányadó mutatót a 010–030. oszlopban tüntetik fel. Ezenkívül a különböző módszerek együttes, a CRR 314. cikkében említett alkalmazása esetén az intézmények tájékoztató jelleggel megadják a fejlett mérési módszerek alkalmazási körébe tartozó tevékenységekre vonatkozó irányadó mutatót is. Ugyanígy kell eljárni a fejlett mérési módszereket alkalmazó egyéb bankokkal is.</w:t>
            </w:r>
          </w:p>
          <w:p w14:paraId="396E1BE6" w14:textId="77777777" w:rsidR="001B1411" w:rsidRPr="00DA7625" w:rsidRDefault="001B1411">
            <w:pPr>
              <w:autoSpaceDE w:val="0"/>
              <w:autoSpaceDN w:val="0"/>
              <w:adjustRightInd w:val="0"/>
              <w:spacing w:before="0" w:after="0"/>
              <w:rPr>
                <w:rFonts w:ascii="Times New Roman" w:hAnsi="Times New Roman"/>
                <w:bCs/>
                <w:strike/>
                <w:sz w:val="24"/>
              </w:rPr>
            </w:pPr>
          </w:p>
          <w:p w14:paraId="503111DB" w14:textId="36BE9C98" w:rsidR="001B1411" w:rsidRPr="00DA7625" w:rsidRDefault="00AC6255">
            <w:pPr>
              <w:autoSpaceDE w:val="0"/>
              <w:autoSpaceDN w:val="0"/>
              <w:adjustRightInd w:val="0"/>
              <w:spacing w:before="0" w:after="0"/>
              <w:rPr>
                <w:rFonts w:ascii="Times New Roman" w:hAnsi="Times New Roman"/>
                <w:bCs/>
                <w:sz w:val="24"/>
              </w:rPr>
            </w:pPr>
            <w:r w:rsidRPr="00DA7625">
              <w:rPr>
                <w:rFonts w:ascii="Times New Roman" w:hAnsi="Times New Roman"/>
                <w:sz w:val="24"/>
              </w:rPr>
              <w:t xml:space="preserve">A továbbiakban az irányadó mutató a CRR 316. cikke 1. táblázatának 1. pontjában említett elemek pénzügyi év végén mért értékének az összege. </w:t>
            </w:r>
          </w:p>
          <w:p w14:paraId="0586ED75" w14:textId="77777777" w:rsidR="001B1411" w:rsidRPr="00DA7625" w:rsidRDefault="001B1411">
            <w:pPr>
              <w:autoSpaceDE w:val="0"/>
              <w:autoSpaceDN w:val="0"/>
              <w:adjustRightInd w:val="0"/>
              <w:spacing w:before="0" w:after="0"/>
              <w:rPr>
                <w:rFonts w:ascii="Times New Roman" w:hAnsi="Times New Roman"/>
                <w:sz w:val="24"/>
              </w:rPr>
            </w:pPr>
          </w:p>
          <w:p w14:paraId="24504E63" w14:textId="77C06CD6" w:rsidR="001B1411" w:rsidRPr="00DA7625" w:rsidRDefault="001C3443">
            <w:pPr>
              <w:autoSpaceDE w:val="0"/>
              <w:autoSpaceDN w:val="0"/>
              <w:adjustRightInd w:val="0"/>
              <w:spacing w:before="0" w:after="0"/>
              <w:rPr>
                <w:rFonts w:ascii="Times New Roman" w:hAnsi="Times New Roman"/>
                <w:sz w:val="24"/>
              </w:rPr>
            </w:pPr>
            <w:r w:rsidRPr="00DA7625">
              <w:rPr>
                <w:rFonts w:ascii="Times New Roman" w:hAnsi="Times New Roman"/>
                <w:sz w:val="24"/>
              </w:rPr>
              <w:t>Ha az intézmény az irányadó mutatóról 3 évnél rövidebb időszakra vonatkozóan rendelkezik adatokkal, akkor a rendelkezésre álló historikus (auditált) adatokat kell a tábla megfelelő oszlopaiban szerepeltetni. Ha például korábbi adatok csak egy évről állnak rendelkezésre, akkor azokat a 030-as oszlopban kell feltüntetni. Indokolt esetben a jövőre vonatkozó becsléseket a 020-as oszlopban (a t+1 évre vonatkozó becslés), valamint a 010-es oszlopban (a t+2 évre vonatkozó becslés) kell feltüntetni.</w:t>
            </w:r>
          </w:p>
          <w:p w14:paraId="37DBFE3D" w14:textId="77777777" w:rsidR="001B1411" w:rsidRPr="00DA7625" w:rsidRDefault="001B1411">
            <w:pPr>
              <w:autoSpaceDE w:val="0"/>
              <w:autoSpaceDN w:val="0"/>
              <w:adjustRightInd w:val="0"/>
              <w:spacing w:before="0" w:after="0"/>
              <w:rPr>
                <w:rFonts w:ascii="Times New Roman" w:hAnsi="Times New Roman"/>
                <w:i/>
                <w:sz w:val="24"/>
              </w:rPr>
            </w:pPr>
          </w:p>
          <w:p w14:paraId="0DB52E93" w14:textId="2C1C470D" w:rsidR="001B1411" w:rsidRPr="00DA7625" w:rsidRDefault="00AC6255">
            <w:pPr>
              <w:autoSpaceDE w:val="0"/>
              <w:autoSpaceDN w:val="0"/>
              <w:adjustRightInd w:val="0"/>
              <w:spacing w:before="0" w:after="0"/>
              <w:rPr>
                <w:rFonts w:ascii="Times New Roman" w:hAnsi="Times New Roman"/>
                <w:sz w:val="24"/>
              </w:rPr>
            </w:pPr>
            <w:r w:rsidRPr="00DA7625">
              <w:rPr>
                <w:rFonts w:ascii="Times New Roman" w:hAnsi="Times New Roman"/>
                <w:sz w:val="24"/>
              </w:rPr>
              <w:t>Ha az irányadó mutatóra vonatkozóan korábbi adatok nem állnak rendelkezésre, akkor az intézmény a jövőre vonatkozó üzleti becslést is alkalmazhat.</w:t>
            </w:r>
          </w:p>
          <w:p w14:paraId="7AC86AA8" w14:textId="77777777" w:rsidR="001B1411" w:rsidRPr="00DA7625" w:rsidRDefault="001B1411">
            <w:pPr>
              <w:autoSpaceDE w:val="0"/>
              <w:autoSpaceDN w:val="0"/>
              <w:adjustRightInd w:val="0"/>
              <w:spacing w:before="0" w:after="0"/>
              <w:jc w:val="left"/>
              <w:rPr>
                <w:rFonts w:ascii="Times New Roman" w:hAnsi="Times New Roman"/>
                <w:bCs/>
                <w:sz w:val="24"/>
              </w:rPr>
            </w:pPr>
          </w:p>
        </w:tc>
      </w:tr>
      <w:tr w:rsidR="001B1411" w:rsidRPr="00DA7625" w14:paraId="0E3385AA" w14:textId="77777777" w:rsidTr="00672D2A">
        <w:tc>
          <w:tcPr>
            <w:tcW w:w="985" w:type="dxa"/>
          </w:tcPr>
          <w:p w14:paraId="1495F5B0" w14:textId="77777777" w:rsidR="001B1411" w:rsidRPr="00DA7625" w:rsidRDefault="00AC6255">
            <w:pPr>
              <w:autoSpaceDE w:val="0"/>
              <w:autoSpaceDN w:val="0"/>
              <w:adjustRightInd w:val="0"/>
              <w:spacing w:before="0" w:after="0"/>
              <w:rPr>
                <w:rFonts w:ascii="Times New Roman" w:hAnsi="Times New Roman"/>
                <w:bCs/>
                <w:sz w:val="24"/>
              </w:rPr>
            </w:pPr>
            <w:r w:rsidRPr="00DA7625">
              <w:rPr>
                <w:rFonts w:ascii="Times New Roman" w:hAnsi="Times New Roman"/>
                <w:bCs/>
                <w:sz w:val="24"/>
              </w:rPr>
              <w:lastRenderedPageBreak/>
              <w:t>040–060</w:t>
            </w:r>
          </w:p>
        </w:tc>
        <w:tc>
          <w:tcPr>
            <w:tcW w:w="7877" w:type="dxa"/>
          </w:tcPr>
          <w:p w14:paraId="57FF171C" w14:textId="77777777" w:rsidR="001B1411" w:rsidRPr="00DA7625" w:rsidRDefault="00AC6255">
            <w:pPr>
              <w:autoSpaceDE w:val="0"/>
              <w:autoSpaceDN w:val="0"/>
              <w:adjustRightInd w:val="0"/>
              <w:spacing w:before="0" w:after="0"/>
              <w:jc w:val="left"/>
              <w:rPr>
                <w:rStyle w:val="InstructionsTabelleberschrift"/>
                <w:rFonts w:ascii="Times New Roman" w:hAnsi="Times New Roman"/>
                <w:sz w:val="24"/>
              </w:rPr>
            </w:pPr>
            <w:r w:rsidRPr="00DA7625">
              <w:rPr>
                <w:rStyle w:val="InstructionsTabelleberschrift"/>
                <w:rFonts w:ascii="Times New Roman" w:hAnsi="Times New Roman"/>
                <w:sz w:val="24"/>
              </w:rPr>
              <w:t>KÖLCSÖNÖK ÉS ELŐLEGEK (AZ ALTERNATÍV SZTENDERD MÓDSZER ALKALMAZÁSA ESETÉN)</w:t>
            </w:r>
          </w:p>
          <w:p w14:paraId="70267385" w14:textId="77777777" w:rsidR="001B1411" w:rsidRPr="00DA7625" w:rsidRDefault="001B1411">
            <w:pPr>
              <w:autoSpaceDE w:val="0"/>
              <w:autoSpaceDN w:val="0"/>
              <w:adjustRightInd w:val="0"/>
              <w:spacing w:before="0" w:after="0"/>
              <w:jc w:val="left"/>
              <w:rPr>
                <w:rFonts w:ascii="Times New Roman" w:hAnsi="Times New Roman"/>
                <w:bCs/>
                <w:sz w:val="24"/>
              </w:rPr>
            </w:pPr>
          </w:p>
          <w:p w14:paraId="0E2ABA2B" w14:textId="44A55D54" w:rsidR="001B1411" w:rsidRPr="00DA7625" w:rsidRDefault="00AC6255">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Ezekben az oszlopokban a CRR 319. cikke (1) bekezdésének b) pontjában említett „kereskedelmi banki tevékenység” és „lakossági banki tevékenység” üzletágban nyújtott hitelek és előlegek állományát kell feltüntetni. Ezen állományok alapján számítható ki az alternatív irányadó mutató, amelyből megállapítható az alternatív sztenderd módszer alkalmazási körébe tartozó tevékenységek szavatolótőke-követelménye (a CRR 319. cikke (1) bekezdésének a) pontja). </w:t>
            </w:r>
          </w:p>
          <w:p w14:paraId="1834B90C" w14:textId="77777777" w:rsidR="001B1411" w:rsidRPr="00DA7625" w:rsidRDefault="001B1411">
            <w:pPr>
              <w:autoSpaceDE w:val="0"/>
              <w:autoSpaceDN w:val="0"/>
              <w:adjustRightInd w:val="0"/>
              <w:spacing w:before="0" w:after="0"/>
              <w:rPr>
                <w:rFonts w:ascii="Times New Roman" w:hAnsi="Times New Roman"/>
                <w:sz w:val="24"/>
              </w:rPr>
            </w:pPr>
          </w:p>
          <w:p w14:paraId="39ABC864" w14:textId="77777777" w:rsidR="001B1411" w:rsidRPr="00DA7625" w:rsidRDefault="00AC6255">
            <w:pPr>
              <w:autoSpaceDE w:val="0"/>
              <w:autoSpaceDN w:val="0"/>
              <w:adjustRightInd w:val="0"/>
              <w:spacing w:before="0" w:after="0"/>
              <w:rPr>
                <w:rFonts w:ascii="Times New Roman" w:hAnsi="Times New Roman"/>
                <w:bCs/>
                <w:sz w:val="24"/>
              </w:rPr>
            </w:pPr>
            <w:r w:rsidRPr="00DA7625">
              <w:rPr>
                <w:rFonts w:ascii="Times New Roman" w:hAnsi="Times New Roman"/>
                <w:sz w:val="24"/>
              </w:rPr>
              <w:t>A „kereskedelmi banki tevékenység” üzletág esetében a nem kereskedési könyvben szereplő értékpapírokat is meg kell adni.</w:t>
            </w:r>
          </w:p>
        </w:tc>
      </w:tr>
      <w:tr w:rsidR="001B1411" w:rsidRPr="00DA7625" w14:paraId="47DB7975" w14:textId="77777777" w:rsidTr="00672D2A">
        <w:tc>
          <w:tcPr>
            <w:tcW w:w="985" w:type="dxa"/>
          </w:tcPr>
          <w:p w14:paraId="699B7C5C" w14:textId="77777777" w:rsidR="001B1411" w:rsidRPr="00DA7625" w:rsidRDefault="00AC6255">
            <w:pPr>
              <w:autoSpaceDE w:val="0"/>
              <w:autoSpaceDN w:val="0"/>
              <w:adjustRightInd w:val="0"/>
              <w:spacing w:before="0" w:after="0"/>
              <w:rPr>
                <w:rFonts w:ascii="Times New Roman" w:hAnsi="Times New Roman"/>
                <w:bCs/>
                <w:sz w:val="24"/>
              </w:rPr>
            </w:pPr>
            <w:r w:rsidRPr="00DA7625">
              <w:rPr>
                <w:rFonts w:ascii="Times New Roman" w:hAnsi="Times New Roman"/>
                <w:bCs/>
                <w:sz w:val="24"/>
              </w:rPr>
              <w:t>070</w:t>
            </w:r>
          </w:p>
        </w:tc>
        <w:tc>
          <w:tcPr>
            <w:tcW w:w="7877" w:type="dxa"/>
          </w:tcPr>
          <w:p w14:paraId="0CFEB8B5" w14:textId="77777777" w:rsidR="001B1411" w:rsidRPr="00DA7625" w:rsidRDefault="00AC6255">
            <w:pPr>
              <w:autoSpaceDE w:val="0"/>
              <w:autoSpaceDN w:val="0"/>
              <w:adjustRightInd w:val="0"/>
              <w:spacing w:before="0" w:after="0"/>
              <w:jc w:val="left"/>
              <w:rPr>
                <w:rStyle w:val="InstructionsTabelleberschrift"/>
                <w:rFonts w:ascii="Times New Roman" w:hAnsi="Times New Roman"/>
                <w:sz w:val="24"/>
              </w:rPr>
            </w:pPr>
            <w:r w:rsidRPr="00DA7625">
              <w:rPr>
                <w:rStyle w:val="InstructionsTabelleberschrift"/>
                <w:rFonts w:ascii="Times New Roman" w:hAnsi="Times New Roman"/>
                <w:sz w:val="24"/>
              </w:rPr>
              <w:t>SZAVATOLÓTŐKE-KÖVETELMÉNY</w:t>
            </w:r>
          </w:p>
          <w:p w14:paraId="23009EB8" w14:textId="77777777" w:rsidR="001B1411" w:rsidRPr="00DA7625" w:rsidRDefault="001B1411">
            <w:pPr>
              <w:autoSpaceDE w:val="0"/>
              <w:autoSpaceDN w:val="0"/>
              <w:adjustRightInd w:val="0"/>
              <w:spacing w:before="0" w:after="0"/>
              <w:jc w:val="left"/>
              <w:rPr>
                <w:rFonts w:ascii="Times New Roman" w:hAnsi="Times New Roman"/>
                <w:sz w:val="24"/>
              </w:rPr>
            </w:pPr>
          </w:p>
          <w:p w14:paraId="69D5BDB3" w14:textId="7CFA541C" w:rsidR="001B1411" w:rsidRPr="00DA7625" w:rsidRDefault="00AC6255">
            <w:pPr>
              <w:autoSpaceDE w:val="0"/>
              <w:autoSpaceDN w:val="0"/>
              <w:adjustRightInd w:val="0"/>
              <w:spacing w:before="0" w:after="0"/>
              <w:jc w:val="left"/>
              <w:rPr>
                <w:rFonts w:ascii="Times New Roman" w:hAnsi="Times New Roman"/>
                <w:bCs/>
                <w:sz w:val="24"/>
              </w:rPr>
            </w:pPr>
            <w:r w:rsidRPr="00DA7625">
              <w:rPr>
                <w:rFonts w:ascii="Times New Roman" w:hAnsi="Times New Roman"/>
                <w:sz w:val="24"/>
              </w:rPr>
              <w:t>A szavatolótőke-követelményt az alkalmazott módszerekkel, a CRR 312–324. cikkének megfelelően kell kiszámítani. Az eredményül kapott összeget a 070-es oszlopban kell feltüntetni.</w:t>
            </w:r>
          </w:p>
        </w:tc>
      </w:tr>
      <w:tr w:rsidR="001B1411" w:rsidRPr="00DA7625" w14:paraId="49D9544B" w14:textId="77777777" w:rsidTr="00672D2A">
        <w:tc>
          <w:tcPr>
            <w:tcW w:w="985" w:type="dxa"/>
          </w:tcPr>
          <w:p w14:paraId="49CF59E4" w14:textId="77777777" w:rsidR="001B1411" w:rsidRPr="00DA7625" w:rsidRDefault="00AC6255">
            <w:pPr>
              <w:autoSpaceDE w:val="0"/>
              <w:autoSpaceDN w:val="0"/>
              <w:adjustRightInd w:val="0"/>
              <w:spacing w:before="0" w:after="0"/>
              <w:rPr>
                <w:rFonts w:ascii="Times New Roman" w:hAnsi="Times New Roman"/>
                <w:bCs/>
                <w:sz w:val="24"/>
              </w:rPr>
            </w:pPr>
            <w:r w:rsidRPr="00DA7625">
              <w:rPr>
                <w:rFonts w:ascii="Times New Roman" w:hAnsi="Times New Roman"/>
                <w:bCs/>
                <w:sz w:val="24"/>
              </w:rPr>
              <w:t>071</w:t>
            </w:r>
          </w:p>
        </w:tc>
        <w:tc>
          <w:tcPr>
            <w:tcW w:w="7877" w:type="dxa"/>
          </w:tcPr>
          <w:p w14:paraId="32B8583F" w14:textId="77777777" w:rsidR="001B1411" w:rsidRPr="00DA7625" w:rsidRDefault="00AC6255">
            <w:pPr>
              <w:autoSpaceDE w:val="0"/>
              <w:autoSpaceDN w:val="0"/>
              <w:adjustRightInd w:val="0"/>
              <w:spacing w:before="0" w:after="0"/>
              <w:jc w:val="left"/>
              <w:rPr>
                <w:rStyle w:val="InstructionsTabelleberschrift"/>
                <w:rFonts w:ascii="Times New Roman" w:hAnsi="Times New Roman"/>
                <w:sz w:val="24"/>
              </w:rPr>
            </w:pPr>
            <w:r w:rsidRPr="00DA7625">
              <w:rPr>
                <w:rStyle w:val="InstructionsTabelleberschrift"/>
                <w:rFonts w:ascii="Times New Roman" w:hAnsi="Times New Roman"/>
                <w:sz w:val="24"/>
              </w:rPr>
              <w:t>TELJES MŰKÖDÉSI KOCKÁZATI KITETTSÉGÉRTÉK</w:t>
            </w:r>
          </w:p>
          <w:p w14:paraId="51215736" w14:textId="3B9CCEDA" w:rsidR="001B1411" w:rsidRPr="00DA7625" w:rsidRDefault="00AC6255">
            <w:pPr>
              <w:rPr>
                <w:rFonts w:ascii="Times New Roman" w:hAnsi="Times New Roman"/>
                <w:sz w:val="24"/>
              </w:rPr>
            </w:pPr>
            <w:r w:rsidRPr="00DA7625">
              <w:rPr>
                <w:sz w:val="24"/>
              </w:rPr>
              <w:t xml:space="preserve">A CRR 92. cikkének (4) bekezdése </w:t>
            </w:r>
          </w:p>
          <w:p w14:paraId="071BA017" w14:textId="77777777" w:rsidR="001B1411" w:rsidRPr="00DA7625" w:rsidRDefault="00AC6255">
            <w:pPr>
              <w:rPr>
                <w:rStyle w:val="InstructionsTabelleberschrift"/>
                <w:rFonts w:ascii="Times New Roman" w:hAnsi="Times New Roman"/>
                <w:b w:val="0"/>
                <w:sz w:val="24"/>
              </w:rPr>
            </w:pPr>
            <w:r w:rsidRPr="00DA7625">
              <w:rPr>
                <w:sz w:val="24"/>
              </w:rPr>
              <w:t>A 070. oszlopban megadott szavatolótőke-követelmény szorozva 12,5-del.</w:t>
            </w:r>
          </w:p>
        </w:tc>
      </w:tr>
      <w:tr w:rsidR="001B1411" w:rsidRPr="00DA7625" w14:paraId="3915C7EF" w14:textId="77777777" w:rsidTr="00672D2A">
        <w:tc>
          <w:tcPr>
            <w:tcW w:w="985" w:type="dxa"/>
          </w:tcPr>
          <w:p w14:paraId="31839518" w14:textId="77777777" w:rsidR="001B1411" w:rsidRPr="00DA7625" w:rsidRDefault="00AC6255">
            <w:pPr>
              <w:autoSpaceDE w:val="0"/>
              <w:autoSpaceDN w:val="0"/>
              <w:adjustRightInd w:val="0"/>
              <w:spacing w:before="0" w:after="0"/>
              <w:rPr>
                <w:rFonts w:ascii="Times New Roman" w:hAnsi="Times New Roman"/>
                <w:bCs/>
                <w:sz w:val="24"/>
              </w:rPr>
            </w:pPr>
            <w:r w:rsidRPr="00DA7625">
              <w:rPr>
                <w:rFonts w:ascii="Times New Roman" w:hAnsi="Times New Roman"/>
                <w:bCs/>
                <w:sz w:val="24"/>
              </w:rPr>
              <w:t>080</w:t>
            </w:r>
          </w:p>
        </w:tc>
        <w:tc>
          <w:tcPr>
            <w:tcW w:w="7877" w:type="dxa"/>
          </w:tcPr>
          <w:p w14:paraId="1FFB7703" w14:textId="77777777" w:rsidR="001B1411" w:rsidRPr="00DA7625" w:rsidRDefault="00AC6255">
            <w:pPr>
              <w:autoSpaceDE w:val="0"/>
              <w:autoSpaceDN w:val="0"/>
              <w:adjustRightInd w:val="0"/>
              <w:spacing w:before="0" w:after="0"/>
              <w:jc w:val="left"/>
              <w:rPr>
                <w:rStyle w:val="InstructionsTabelleberschrift"/>
                <w:rFonts w:ascii="Times New Roman" w:hAnsi="Times New Roman"/>
                <w:sz w:val="24"/>
                <w:highlight w:val="yellow"/>
              </w:rPr>
            </w:pPr>
            <w:r w:rsidRPr="00DA7625">
              <w:rPr>
                <w:rStyle w:val="InstructionsTabelleberschrift"/>
                <w:rFonts w:ascii="Times New Roman" w:hAnsi="Times New Roman"/>
                <w:sz w:val="24"/>
                <w:highlight w:val="yellow"/>
              </w:rPr>
              <w:t>EBBŐL: ALLOKÁCIÓS ELJÁRÁSBÓL SZÁRMAZÓ</w:t>
            </w:r>
          </w:p>
          <w:p w14:paraId="0D1177E6" w14:textId="77777777" w:rsidR="001B1411" w:rsidRPr="00DA7625" w:rsidRDefault="001B1411">
            <w:pPr>
              <w:autoSpaceDE w:val="0"/>
              <w:autoSpaceDN w:val="0"/>
              <w:adjustRightInd w:val="0"/>
              <w:spacing w:before="0" w:after="0"/>
              <w:jc w:val="left"/>
              <w:rPr>
                <w:rFonts w:ascii="Times New Roman" w:hAnsi="Times New Roman"/>
                <w:bCs/>
                <w:sz w:val="24"/>
                <w:highlight w:val="yellow"/>
              </w:rPr>
            </w:pPr>
          </w:p>
          <w:p w14:paraId="723162CE" w14:textId="0EDA2C48" w:rsidR="001B1411" w:rsidRPr="00DA7625" w:rsidRDefault="003E7AEC">
            <w:pPr>
              <w:jc w:val="left"/>
              <w:rPr>
                <w:rFonts w:ascii="Times New Roman" w:hAnsi="Times New Roman"/>
                <w:bCs/>
                <w:sz w:val="24"/>
                <w:highlight w:val="yellow"/>
              </w:rPr>
            </w:pPr>
            <w:r w:rsidRPr="00DA7625">
              <w:rPr>
                <w:rFonts w:ascii="Times New Roman" w:hAnsi="Times New Roman"/>
                <w:bCs/>
                <w:sz w:val="24"/>
                <w:highlight w:val="yellow"/>
              </w:rPr>
              <w:t>Ha az intézmény a CRR 312. cikke (2) bekezdésének megfelelően engedélyt kapott a fejlett mérési módszer konszolidált szintű alkalmazására</w:t>
            </w:r>
            <w:r w:rsidRPr="00DA7625">
              <w:rPr>
                <w:rFonts w:ascii="Times New Roman" w:hAnsi="Times New Roman"/>
                <w:sz w:val="24"/>
                <w:highlight w:val="yellow"/>
              </w:rPr>
              <w:t xml:space="preserve"> (a CRR 18. cikkének (1) bekezdése), akkor a működési kockázati tőkének a csoporthoz tartozó különböző szervezetek közötti allokálása az intézmények által arra alkalmazott módszer alapján történik, amely alapján figyelembe veszik az EU-szintű hitelintézeti anyavállalat és leányvállalatai, vagy egy EU-szintű pénzügyi holdingtársaság anyavállalat vagy egy EU-szintű vegyes pénzügyi holdingtársaság anyavállalat leányvállalatai által együttesen használt kockázatmérési rendszerben a diverzifikációs hatásokat. Az említett allokáció eredményét ebben az oszlopban kell feltüntetni. </w:t>
            </w:r>
          </w:p>
          <w:p w14:paraId="6BA87823" w14:textId="77777777" w:rsidR="001B1411" w:rsidRPr="00DA7625" w:rsidRDefault="001B1411">
            <w:pPr>
              <w:autoSpaceDE w:val="0"/>
              <w:autoSpaceDN w:val="0"/>
              <w:adjustRightInd w:val="0"/>
              <w:spacing w:before="0" w:after="0"/>
              <w:jc w:val="left"/>
              <w:rPr>
                <w:rFonts w:ascii="Times New Roman" w:hAnsi="Times New Roman"/>
                <w:bCs/>
                <w:sz w:val="24"/>
                <w:highlight w:val="yellow"/>
              </w:rPr>
            </w:pPr>
          </w:p>
        </w:tc>
      </w:tr>
      <w:tr w:rsidR="001B1411" w:rsidRPr="00DA7625" w14:paraId="05DAC788" w14:textId="77777777" w:rsidTr="00672D2A">
        <w:tc>
          <w:tcPr>
            <w:tcW w:w="985" w:type="dxa"/>
          </w:tcPr>
          <w:p w14:paraId="13A3E0FC" w14:textId="77777777" w:rsidR="001B1411" w:rsidRPr="00DA7625" w:rsidRDefault="00AC6255">
            <w:pPr>
              <w:autoSpaceDE w:val="0"/>
              <w:autoSpaceDN w:val="0"/>
              <w:adjustRightInd w:val="0"/>
              <w:spacing w:before="0" w:after="0"/>
              <w:rPr>
                <w:rFonts w:ascii="Times New Roman" w:hAnsi="Times New Roman"/>
                <w:bCs/>
                <w:sz w:val="24"/>
              </w:rPr>
            </w:pPr>
            <w:r w:rsidRPr="00DA7625">
              <w:rPr>
                <w:rFonts w:ascii="Times New Roman" w:hAnsi="Times New Roman"/>
                <w:bCs/>
                <w:sz w:val="24"/>
              </w:rPr>
              <w:t>090–120</w:t>
            </w:r>
          </w:p>
        </w:tc>
        <w:tc>
          <w:tcPr>
            <w:tcW w:w="7877" w:type="dxa"/>
          </w:tcPr>
          <w:p w14:paraId="10FAF020" w14:textId="77777777" w:rsidR="001B1411" w:rsidRPr="00DA7625" w:rsidRDefault="00AC6255">
            <w:pPr>
              <w:autoSpaceDE w:val="0"/>
              <w:autoSpaceDN w:val="0"/>
              <w:adjustRightInd w:val="0"/>
              <w:spacing w:before="0" w:after="0"/>
              <w:jc w:val="left"/>
              <w:rPr>
                <w:rStyle w:val="InstructionsTabelleberschrift"/>
                <w:rFonts w:ascii="Times New Roman" w:hAnsi="Times New Roman"/>
                <w:sz w:val="24"/>
              </w:rPr>
            </w:pPr>
            <w:r w:rsidRPr="00DA7625">
              <w:rPr>
                <w:rStyle w:val="InstructionsTabelleberschrift"/>
                <w:rFonts w:ascii="Times New Roman" w:hAnsi="Times New Roman"/>
                <w:sz w:val="24"/>
              </w:rPr>
              <w:t>TÁJÉKOZTATÓ ADATOK A FEJLETT MÉRÉSI MÓDSZEREK ALKALMAZÁSÁRÓL, ADOTT ESETBEN SZOLGÁLTATANDÓ</w:t>
            </w:r>
          </w:p>
        </w:tc>
      </w:tr>
      <w:tr w:rsidR="001B1411" w:rsidRPr="00DA7625" w14:paraId="35EEC7EB" w14:textId="77777777" w:rsidTr="00672D2A">
        <w:tc>
          <w:tcPr>
            <w:tcW w:w="985" w:type="dxa"/>
          </w:tcPr>
          <w:p w14:paraId="35255FF5" w14:textId="77777777" w:rsidR="001B1411" w:rsidRPr="00DA7625" w:rsidRDefault="00AC6255">
            <w:pPr>
              <w:autoSpaceDE w:val="0"/>
              <w:autoSpaceDN w:val="0"/>
              <w:adjustRightInd w:val="0"/>
              <w:spacing w:before="0" w:after="0"/>
              <w:rPr>
                <w:rFonts w:ascii="Times New Roman" w:hAnsi="Times New Roman"/>
                <w:bCs/>
                <w:sz w:val="24"/>
              </w:rPr>
            </w:pPr>
            <w:r w:rsidRPr="00DA7625">
              <w:rPr>
                <w:rFonts w:ascii="Times New Roman" w:hAnsi="Times New Roman"/>
                <w:bCs/>
                <w:sz w:val="24"/>
              </w:rPr>
              <w:t>090</w:t>
            </w:r>
          </w:p>
        </w:tc>
        <w:tc>
          <w:tcPr>
            <w:tcW w:w="7877" w:type="dxa"/>
          </w:tcPr>
          <w:p w14:paraId="75DF12A4" w14:textId="77777777" w:rsidR="001B1411" w:rsidRPr="00DA7625" w:rsidRDefault="00AC6255">
            <w:pPr>
              <w:autoSpaceDE w:val="0"/>
              <w:autoSpaceDN w:val="0"/>
              <w:adjustRightInd w:val="0"/>
              <w:spacing w:before="0" w:after="0"/>
              <w:jc w:val="left"/>
              <w:rPr>
                <w:rStyle w:val="InstructionsTabelleberschrift"/>
                <w:rFonts w:ascii="Times New Roman" w:hAnsi="Times New Roman"/>
                <w:sz w:val="24"/>
              </w:rPr>
            </w:pPr>
            <w:r w:rsidRPr="00DA7625">
              <w:rPr>
                <w:rStyle w:val="InstructionsTabelleberschrift"/>
                <w:rFonts w:ascii="Times New Roman" w:hAnsi="Times New Roman"/>
                <w:sz w:val="24"/>
              </w:rPr>
              <w:t>SZAVATOLÓTŐKE-KÖVETELMÉNY A VÁRHATÓ VESZTESÉG, A DIVERZIFIKÁCIÓ ÉS A KOCKÁZATMÉRSÉKLÉSI TECHNIKÁK MIATTI MÉRSÉKLÉS ELŐTT</w:t>
            </w:r>
          </w:p>
          <w:p w14:paraId="09DB1937" w14:textId="77777777" w:rsidR="001B1411" w:rsidRPr="00DA7625" w:rsidRDefault="001B1411">
            <w:pPr>
              <w:autoSpaceDE w:val="0"/>
              <w:autoSpaceDN w:val="0"/>
              <w:adjustRightInd w:val="0"/>
              <w:spacing w:before="0" w:after="0"/>
              <w:jc w:val="left"/>
              <w:rPr>
                <w:rFonts w:ascii="Times New Roman" w:hAnsi="Times New Roman"/>
                <w:bCs/>
                <w:sz w:val="24"/>
              </w:rPr>
            </w:pPr>
          </w:p>
          <w:p w14:paraId="3562FB5E" w14:textId="77777777" w:rsidR="001B1411" w:rsidRPr="00DA7625" w:rsidRDefault="00AC6255">
            <w:pPr>
              <w:autoSpaceDE w:val="0"/>
              <w:autoSpaceDN w:val="0"/>
              <w:adjustRightInd w:val="0"/>
              <w:spacing w:before="0" w:after="0"/>
              <w:rPr>
                <w:rFonts w:ascii="Times New Roman" w:hAnsi="Times New Roman"/>
                <w:sz w:val="24"/>
              </w:rPr>
            </w:pPr>
            <w:r w:rsidRPr="00DA7625">
              <w:rPr>
                <w:rFonts w:ascii="Times New Roman" w:hAnsi="Times New Roman"/>
                <w:sz w:val="24"/>
              </w:rPr>
              <w:t>A 090-es oszlopban feltüntetett szavatolótőke-követelmény megegyezik a 070-es oszlopban szereplő adatnak a várható veszteség, a diverzifikáció és a kockázatmérséklési technikák miatti mérséklő hatás figyelembevétele előtt számított értékével (lásd lejjebb).</w:t>
            </w:r>
          </w:p>
          <w:p w14:paraId="31521B51" w14:textId="77777777" w:rsidR="001B1411" w:rsidRPr="00DA7625" w:rsidRDefault="001B1411">
            <w:pPr>
              <w:autoSpaceDE w:val="0"/>
              <w:autoSpaceDN w:val="0"/>
              <w:adjustRightInd w:val="0"/>
              <w:spacing w:before="0" w:after="0"/>
              <w:jc w:val="left"/>
              <w:rPr>
                <w:rFonts w:ascii="Times New Roman" w:hAnsi="Times New Roman"/>
                <w:bCs/>
                <w:sz w:val="24"/>
              </w:rPr>
            </w:pPr>
          </w:p>
        </w:tc>
      </w:tr>
      <w:tr w:rsidR="001B1411" w:rsidRPr="00DA7625" w14:paraId="62BCB1ED" w14:textId="77777777" w:rsidTr="00672D2A">
        <w:tc>
          <w:tcPr>
            <w:tcW w:w="985" w:type="dxa"/>
          </w:tcPr>
          <w:p w14:paraId="247865E1" w14:textId="77777777" w:rsidR="001B1411" w:rsidRPr="00DA7625" w:rsidRDefault="00AC6255">
            <w:pPr>
              <w:autoSpaceDE w:val="0"/>
              <w:autoSpaceDN w:val="0"/>
              <w:adjustRightInd w:val="0"/>
              <w:spacing w:before="0" w:after="0"/>
              <w:rPr>
                <w:rFonts w:ascii="Times New Roman" w:hAnsi="Times New Roman"/>
                <w:bCs/>
                <w:sz w:val="24"/>
              </w:rPr>
            </w:pPr>
            <w:r w:rsidRPr="00DA7625">
              <w:rPr>
                <w:rFonts w:ascii="Times New Roman" w:hAnsi="Times New Roman"/>
                <w:bCs/>
                <w:sz w:val="24"/>
              </w:rPr>
              <w:lastRenderedPageBreak/>
              <w:t>100</w:t>
            </w:r>
          </w:p>
        </w:tc>
        <w:tc>
          <w:tcPr>
            <w:tcW w:w="7877" w:type="dxa"/>
          </w:tcPr>
          <w:p w14:paraId="39E9249B" w14:textId="77777777" w:rsidR="001B1411" w:rsidRPr="00DA7625" w:rsidRDefault="00AC6255">
            <w:pPr>
              <w:autoSpaceDE w:val="0"/>
              <w:autoSpaceDN w:val="0"/>
              <w:adjustRightInd w:val="0"/>
              <w:spacing w:before="0" w:after="0"/>
              <w:jc w:val="left"/>
              <w:rPr>
                <w:rStyle w:val="InstructionsTabelleberschrift"/>
                <w:rFonts w:ascii="Times New Roman" w:hAnsi="Times New Roman"/>
                <w:sz w:val="24"/>
              </w:rPr>
            </w:pPr>
            <w:r w:rsidRPr="00DA7625">
              <w:rPr>
                <w:rStyle w:val="InstructionsTabelleberschrift"/>
                <w:rFonts w:ascii="Times New Roman" w:hAnsi="Times New Roman"/>
                <w:sz w:val="24"/>
              </w:rPr>
              <w:t>(–) A SZAVATOLÓTŐKE-KÖVETELMÉNY MÉRSÉKLÉSE A BELSŐ ÜZLETVITELI GYAKORLATBAN FIGYELEMBE VETT VÁRHATÓ VESZTESÉG MIATT</w:t>
            </w:r>
          </w:p>
          <w:p w14:paraId="402E2D2B" w14:textId="77777777" w:rsidR="001B1411" w:rsidRPr="00DA7625" w:rsidRDefault="001B1411">
            <w:pPr>
              <w:autoSpaceDE w:val="0"/>
              <w:autoSpaceDN w:val="0"/>
              <w:adjustRightInd w:val="0"/>
              <w:spacing w:before="0" w:after="0"/>
              <w:jc w:val="left"/>
              <w:rPr>
                <w:rFonts w:ascii="Times New Roman" w:hAnsi="Times New Roman"/>
                <w:bCs/>
                <w:sz w:val="24"/>
              </w:rPr>
            </w:pPr>
          </w:p>
          <w:p w14:paraId="4687A2D0" w14:textId="6B14B670" w:rsidR="001B1411" w:rsidRPr="00DA7625" w:rsidRDefault="00AC6255">
            <w:pPr>
              <w:autoSpaceDE w:val="0"/>
              <w:autoSpaceDN w:val="0"/>
              <w:adjustRightInd w:val="0"/>
              <w:spacing w:before="0" w:after="0"/>
              <w:rPr>
                <w:rFonts w:ascii="Times New Roman" w:hAnsi="Times New Roman"/>
                <w:sz w:val="24"/>
              </w:rPr>
            </w:pPr>
            <w:r w:rsidRPr="00DA7625">
              <w:rPr>
                <w:rFonts w:ascii="Times New Roman" w:hAnsi="Times New Roman"/>
                <w:sz w:val="24"/>
              </w:rPr>
              <w:t>A 100-as oszlopban a szavatolótőke-követelménynek a belső üzletviteli gyakorlatban figyelembe vett várható veszteség miatti mérséklését kell megadni a CRR 322 cikke (2) bekezdésének a) pontjában említetteknek megfelelően.</w:t>
            </w:r>
          </w:p>
          <w:p w14:paraId="5C7DD762" w14:textId="77777777" w:rsidR="001B1411" w:rsidRPr="00DA7625" w:rsidRDefault="001B1411">
            <w:pPr>
              <w:autoSpaceDE w:val="0"/>
              <w:autoSpaceDN w:val="0"/>
              <w:adjustRightInd w:val="0"/>
              <w:spacing w:before="0" w:after="0"/>
              <w:jc w:val="left"/>
              <w:rPr>
                <w:rFonts w:ascii="Times New Roman" w:hAnsi="Times New Roman"/>
                <w:bCs/>
                <w:sz w:val="24"/>
              </w:rPr>
            </w:pPr>
          </w:p>
        </w:tc>
      </w:tr>
      <w:tr w:rsidR="001B1411" w:rsidRPr="00DA7625" w14:paraId="1ABEA2AC" w14:textId="77777777" w:rsidTr="00672D2A">
        <w:tc>
          <w:tcPr>
            <w:tcW w:w="985" w:type="dxa"/>
          </w:tcPr>
          <w:p w14:paraId="7C02BD71" w14:textId="77777777" w:rsidR="001B1411" w:rsidRPr="00DA7625" w:rsidRDefault="00AC6255">
            <w:pPr>
              <w:autoSpaceDE w:val="0"/>
              <w:autoSpaceDN w:val="0"/>
              <w:adjustRightInd w:val="0"/>
              <w:spacing w:before="0" w:after="0"/>
              <w:rPr>
                <w:rFonts w:ascii="Times New Roman" w:hAnsi="Times New Roman"/>
                <w:bCs/>
                <w:sz w:val="24"/>
              </w:rPr>
            </w:pPr>
            <w:r w:rsidRPr="00DA7625">
              <w:rPr>
                <w:rFonts w:ascii="Times New Roman" w:hAnsi="Times New Roman"/>
                <w:bCs/>
                <w:sz w:val="24"/>
              </w:rPr>
              <w:t>110</w:t>
            </w:r>
          </w:p>
        </w:tc>
        <w:tc>
          <w:tcPr>
            <w:tcW w:w="7877" w:type="dxa"/>
          </w:tcPr>
          <w:p w14:paraId="102A8AEB" w14:textId="77777777" w:rsidR="001B1411" w:rsidRPr="00DA7625" w:rsidRDefault="00AC6255">
            <w:pPr>
              <w:autoSpaceDE w:val="0"/>
              <w:autoSpaceDN w:val="0"/>
              <w:adjustRightInd w:val="0"/>
              <w:spacing w:before="0" w:after="0"/>
              <w:jc w:val="left"/>
              <w:rPr>
                <w:rStyle w:val="InstructionsTabelleberschrift"/>
                <w:rFonts w:ascii="Times New Roman" w:hAnsi="Times New Roman"/>
                <w:sz w:val="24"/>
              </w:rPr>
            </w:pPr>
            <w:r w:rsidRPr="00DA7625">
              <w:rPr>
                <w:rStyle w:val="InstructionsTabelleberschrift"/>
                <w:rFonts w:ascii="Times New Roman" w:hAnsi="Times New Roman"/>
                <w:sz w:val="24"/>
              </w:rPr>
              <w:t>(–) A SZAVATOLÓTŐKE-KÖVETELMÉNY MÉRSÉKLÉSE DIVERZIFIKÁCIÓ MIATT</w:t>
            </w:r>
          </w:p>
          <w:p w14:paraId="4B201E61" w14:textId="74393C1E" w:rsidR="001B1411" w:rsidRPr="00DA7625" w:rsidRDefault="00AC6255">
            <w:pPr>
              <w:rPr>
                <w:rFonts w:ascii="Times New Roman" w:hAnsi="Times New Roman"/>
                <w:sz w:val="24"/>
              </w:rPr>
            </w:pPr>
            <w:r w:rsidRPr="00DA7625">
              <w:rPr>
                <w:rFonts w:ascii="Times New Roman" w:hAnsi="Times New Roman"/>
                <w:sz w:val="24"/>
              </w:rPr>
              <w:t>A 110-es oszlopban szereplő diverzifikációs hatás az egyes működésikockázat-osztályokra vonatkozóan külön számított szavatolótőke-követelmények összegének (tökéletes függőségi helyzet), valamint a függőségi és korrelációs hatások figyelembevételével számított diverzifikált szavatolótőke-követelménynek (a kockázati osztályok között feltételezett nem tökéletes függőségi helyzet) a különbsége. Tökéletes függőségi helyzet az alapesetben áll fenn, vagyis amikor az intézmény nem alkalmaz kifejezetten a kockázati osztályok közötti korrelációt mérő struktúrát, így a fejlett mérési módszerrel megállapított tőke a választott kockázati osztályok egyedi működési kockázati mérőszámainak az összegeként számítható ki. Ilyenkor a kockázati osztályok között 100 %-os korrelációt kell feltételezni, és az oszlopban a nulla értéket kell megadni. Ezzel szemben akkor, ha az intézmény kifejezetten a kockázati osztályok közötti korrelációt mérő struktúrát alkalmaz, akkor ebben az oszlopban az alapesetből eredő, fejlett mérési módszerrel megállapított tőke és a kockázati osztályok közötti korrelációt mérő struktúra alkalmazása után kapott érték különbözetét kell feltüntetnie. Ez az érték a fejlett mérési módszerre épülő modell diverzifikációs kapacitását mutatja, vagyis a modell azon képességét, hogy a működési kockázatból eredő súlyos veszteséget okozó, nem egyidejű veszteségesemények előfordulását figyelembe vegye. A 110-es oszlopban azt az összeget kell feltüntetni, amellyel a feltételezett korrelációs struktúra a fejlett mérési módszerrel megállapított tőkét csökkenti a 100 %-os feltételezéshez képest.</w:t>
            </w:r>
          </w:p>
          <w:p w14:paraId="2A3A543E" w14:textId="77777777" w:rsidR="001B1411" w:rsidRPr="00DA7625" w:rsidRDefault="001B1411">
            <w:pPr>
              <w:autoSpaceDE w:val="0"/>
              <w:autoSpaceDN w:val="0"/>
              <w:adjustRightInd w:val="0"/>
              <w:spacing w:before="0" w:after="0"/>
              <w:jc w:val="left"/>
              <w:rPr>
                <w:rFonts w:ascii="Times New Roman" w:hAnsi="Times New Roman"/>
                <w:bCs/>
                <w:sz w:val="24"/>
              </w:rPr>
            </w:pPr>
          </w:p>
        </w:tc>
      </w:tr>
      <w:tr w:rsidR="001B1411" w:rsidRPr="00DA7625" w14:paraId="3B67DD76" w14:textId="77777777" w:rsidTr="00672D2A">
        <w:tc>
          <w:tcPr>
            <w:tcW w:w="985" w:type="dxa"/>
          </w:tcPr>
          <w:p w14:paraId="1E73534A" w14:textId="77777777" w:rsidR="001B1411" w:rsidRPr="00DA7625" w:rsidRDefault="00AC6255">
            <w:pPr>
              <w:autoSpaceDE w:val="0"/>
              <w:autoSpaceDN w:val="0"/>
              <w:adjustRightInd w:val="0"/>
              <w:spacing w:before="0" w:after="0"/>
              <w:rPr>
                <w:rFonts w:ascii="Times New Roman" w:hAnsi="Times New Roman"/>
                <w:bCs/>
                <w:sz w:val="24"/>
              </w:rPr>
            </w:pPr>
            <w:r w:rsidRPr="00DA7625">
              <w:rPr>
                <w:rFonts w:ascii="Times New Roman" w:hAnsi="Times New Roman"/>
                <w:bCs/>
                <w:sz w:val="24"/>
              </w:rPr>
              <w:t>120</w:t>
            </w:r>
          </w:p>
        </w:tc>
        <w:tc>
          <w:tcPr>
            <w:tcW w:w="7877" w:type="dxa"/>
          </w:tcPr>
          <w:p w14:paraId="494EF734" w14:textId="77777777" w:rsidR="001B1411" w:rsidRPr="00DA7625" w:rsidRDefault="00AC6255">
            <w:pPr>
              <w:autoSpaceDE w:val="0"/>
              <w:autoSpaceDN w:val="0"/>
              <w:adjustRightInd w:val="0"/>
              <w:spacing w:before="0" w:after="0"/>
              <w:jc w:val="left"/>
              <w:rPr>
                <w:rFonts w:ascii="Times New Roman" w:hAnsi="Times New Roman"/>
                <w:sz w:val="24"/>
              </w:rPr>
            </w:pPr>
            <w:r w:rsidRPr="00DA7625">
              <w:rPr>
                <w:rStyle w:val="InstructionsTabelleberschrift"/>
                <w:rFonts w:ascii="Times New Roman" w:hAnsi="Times New Roman"/>
                <w:sz w:val="24"/>
              </w:rPr>
              <w:t>(–) A SZAVATOLÓTŐKE-KÖVETELMÉNY MÉRSÉKLÉSE KOCKÁZATMÉRSÉKLÉSI TECHNIKÁK (BIZTOSÍTÁS ÉS EGYÉB KOCKÁZATÁTRUHÁZÁSI MECHANIZMUSOK) MIATT</w:t>
            </w:r>
          </w:p>
          <w:p w14:paraId="756E5E01" w14:textId="77777777" w:rsidR="001B1411" w:rsidRPr="00DA7625" w:rsidRDefault="001B1411">
            <w:pPr>
              <w:autoSpaceDE w:val="0"/>
              <w:autoSpaceDN w:val="0"/>
              <w:adjustRightInd w:val="0"/>
              <w:spacing w:before="0" w:after="0"/>
              <w:jc w:val="left"/>
              <w:rPr>
                <w:rFonts w:ascii="Times New Roman" w:hAnsi="Times New Roman"/>
                <w:sz w:val="24"/>
              </w:rPr>
            </w:pPr>
          </w:p>
          <w:p w14:paraId="26193D95" w14:textId="43423D10" w:rsidR="001B1411" w:rsidRPr="00DA7625" w:rsidRDefault="00AC6255">
            <w:pPr>
              <w:autoSpaceDE w:val="0"/>
              <w:autoSpaceDN w:val="0"/>
              <w:adjustRightInd w:val="0"/>
              <w:spacing w:before="0" w:after="0"/>
              <w:jc w:val="left"/>
              <w:rPr>
                <w:rFonts w:ascii="Times New Roman" w:hAnsi="Times New Roman"/>
                <w:sz w:val="24"/>
              </w:rPr>
            </w:pPr>
            <w:r w:rsidRPr="00DA7625">
              <w:rPr>
                <w:rFonts w:ascii="Times New Roman" w:hAnsi="Times New Roman"/>
                <w:sz w:val="24"/>
              </w:rPr>
              <w:t>A 120-as oszlopban a CRR 323. cikkében említett biztosítás és más kockázatátruházási mechanizmusok hatását kell feltüntetni.</w:t>
            </w:r>
          </w:p>
          <w:p w14:paraId="315C424A" w14:textId="77777777" w:rsidR="001B1411" w:rsidRPr="00DA7625" w:rsidRDefault="001B1411">
            <w:pPr>
              <w:autoSpaceDE w:val="0"/>
              <w:autoSpaceDN w:val="0"/>
              <w:adjustRightInd w:val="0"/>
              <w:spacing w:before="0" w:after="0"/>
              <w:jc w:val="left"/>
              <w:rPr>
                <w:rFonts w:ascii="Times New Roman" w:hAnsi="Times New Roman"/>
                <w:bCs/>
                <w:sz w:val="24"/>
              </w:rPr>
            </w:pPr>
          </w:p>
        </w:tc>
      </w:tr>
    </w:tbl>
    <w:p w14:paraId="1AA7C3C6" w14:textId="77777777" w:rsidR="001B1411" w:rsidRPr="00DA7625" w:rsidRDefault="001B1411">
      <w:pPr>
        <w:autoSpaceDE w:val="0"/>
        <w:autoSpaceDN w:val="0"/>
        <w:adjustRightInd w:val="0"/>
        <w:spacing w:before="0" w:after="0"/>
        <w:rPr>
          <w:rFonts w:ascii="Times New Roman" w:hAnsi="Times New Roman"/>
          <w:sz w:val="24"/>
        </w:rPr>
      </w:pPr>
    </w:p>
    <w:p w14:paraId="310E367B" w14:textId="77777777" w:rsidR="001B1411" w:rsidRPr="00DA7625" w:rsidRDefault="001B1411">
      <w:pPr>
        <w:autoSpaceDE w:val="0"/>
        <w:autoSpaceDN w:val="0"/>
        <w:adjustRightInd w:val="0"/>
        <w:spacing w:before="0" w:after="0"/>
        <w:rPr>
          <w:rFonts w:ascii="Times New Roman" w:hAnsi="Times New Roman"/>
          <w:sz w:val="24"/>
        </w:rPr>
      </w:pPr>
    </w:p>
    <w:p w14:paraId="094CE554" w14:textId="77777777" w:rsidR="001B1411" w:rsidRPr="00DA7625" w:rsidRDefault="001B1411">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1B1411" w:rsidRPr="00DA7625" w14:paraId="20F9DBD6" w14:textId="77777777" w:rsidTr="00672D2A">
        <w:trPr>
          <w:trHeight w:val="518"/>
        </w:trPr>
        <w:tc>
          <w:tcPr>
            <w:tcW w:w="8862" w:type="dxa"/>
            <w:gridSpan w:val="2"/>
            <w:shd w:val="clear" w:color="auto" w:fill="CCCCCC"/>
          </w:tcPr>
          <w:p w14:paraId="6606766B" w14:textId="77777777" w:rsidR="001B1411" w:rsidRPr="00DA7625" w:rsidRDefault="00AC6255">
            <w:pPr>
              <w:autoSpaceDE w:val="0"/>
              <w:autoSpaceDN w:val="0"/>
              <w:adjustRightInd w:val="0"/>
              <w:spacing w:after="0"/>
              <w:rPr>
                <w:rFonts w:ascii="Times New Roman" w:hAnsi="Times New Roman"/>
                <w:b/>
                <w:bCs/>
                <w:sz w:val="24"/>
              </w:rPr>
            </w:pPr>
            <w:r w:rsidRPr="00DA7625">
              <w:rPr>
                <w:rFonts w:ascii="Times New Roman" w:hAnsi="Times New Roman"/>
                <w:b/>
                <w:bCs/>
                <w:sz w:val="24"/>
              </w:rPr>
              <w:t>Sor</w:t>
            </w:r>
          </w:p>
        </w:tc>
      </w:tr>
      <w:tr w:rsidR="001B1411" w:rsidRPr="00DA7625" w14:paraId="02B071F0" w14:textId="77777777" w:rsidTr="00672D2A">
        <w:tc>
          <w:tcPr>
            <w:tcW w:w="985" w:type="dxa"/>
          </w:tcPr>
          <w:p w14:paraId="2C7368F9" w14:textId="77777777" w:rsidR="001B1411" w:rsidRPr="00DA7625" w:rsidRDefault="00AC6255">
            <w:pPr>
              <w:autoSpaceDE w:val="0"/>
              <w:autoSpaceDN w:val="0"/>
              <w:adjustRightInd w:val="0"/>
              <w:spacing w:before="0" w:after="0"/>
              <w:rPr>
                <w:rFonts w:ascii="Times New Roman" w:hAnsi="Times New Roman"/>
                <w:bCs/>
                <w:sz w:val="24"/>
              </w:rPr>
            </w:pPr>
            <w:r w:rsidRPr="00DA7625">
              <w:rPr>
                <w:rFonts w:ascii="Times New Roman" w:hAnsi="Times New Roman"/>
                <w:bCs/>
                <w:sz w:val="24"/>
              </w:rPr>
              <w:t xml:space="preserve">010 </w:t>
            </w:r>
          </w:p>
        </w:tc>
        <w:tc>
          <w:tcPr>
            <w:tcW w:w="7877" w:type="dxa"/>
          </w:tcPr>
          <w:p w14:paraId="628EF631" w14:textId="77777777" w:rsidR="001B1411" w:rsidRPr="00DA7625" w:rsidRDefault="00AC6255">
            <w:pPr>
              <w:autoSpaceDE w:val="0"/>
              <w:autoSpaceDN w:val="0"/>
              <w:adjustRightInd w:val="0"/>
              <w:spacing w:before="0" w:after="0"/>
              <w:rPr>
                <w:rStyle w:val="InstructionsTabelleberschrift"/>
                <w:rFonts w:ascii="Times New Roman" w:hAnsi="Times New Roman"/>
                <w:sz w:val="24"/>
              </w:rPr>
            </w:pPr>
            <w:r w:rsidRPr="00DA7625">
              <w:rPr>
                <w:rStyle w:val="InstructionsTabelleberschrift"/>
                <w:rFonts w:ascii="Times New Roman" w:hAnsi="Times New Roman"/>
                <w:sz w:val="24"/>
              </w:rPr>
              <w:t>AZ ALAPMUTATÓ-MÓDSZER (BIA) SZERINTI BANKI TEVÉKENYSÉGEK</w:t>
            </w:r>
          </w:p>
          <w:p w14:paraId="2187988F" w14:textId="77777777" w:rsidR="001B1411" w:rsidRPr="00DA7625" w:rsidRDefault="001B1411">
            <w:pPr>
              <w:pStyle w:val="PlainText"/>
              <w:jc w:val="both"/>
              <w:rPr>
                <w:rFonts w:ascii="Times New Roman" w:eastAsia="Times New Roman" w:hAnsi="Times New Roman"/>
                <w:sz w:val="24"/>
                <w:szCs w:val="24"/>
              </w:rPr>
            </w:pPr>
          </w:p>
          <w:p w14:paraId="69F468DC" w14:textId="5F2D62F5" w:rsidR="001B1411" w:rsidRPr="00DA7625" w:rsidRDefault="00AC6255">
            <w:pPr>
              <w:pStyle w:val="PlainText"/>
              <w:jc w:val="both"/>
              <w:rPr>
                <w:rFonts w:ascii="Times New Roman" w:eastAsia="Times New Roman" w:hAnsi="Times New Roman"/>
                <w:sz w:val="24"/>
                <w:szCs w:val="24"/>
              </w:rPr>
            </w:pPr>
            <w:r w:rsidRPr="00DA7625">
              <w:rPr>
                <w:rFonts w:ascii="Times New Roman" w:hAnsi="Times New Roman"/>
                <w:sz w:val="24"/>
                <w:szCs w:val="24"/>
              </w:rPr>
              <w:lastRenderedPageBreak/>
              <w:t>Ez a sor az alapmutató módszerének alkalmazási körébe tartozó banki tevékenységekre vonatkozó összegeket mutatja be a működési kockázathoz kapcsolódó szavatolótőke-követelmény kiszámítása céljából (a CRR 315. és 316. cikke).</w:t>
            </w:r>
          </w:p>
          <w:p w14:paraId="6067A1A0" w14:textId="77777777" w:rsidR="001B1411" w:rsidRPr="00DA7625" w:rsidRDefault="001B1411">
            <w:pPr>
              <w:pStyle w:val="PlainText"/>
              <w:jc w:val="both"/>
              <w:rPr>
                <w:rFonts w:ascii="Times New Roman" w:eastAsia="Times New Roman" w:hAnsi="Times New Roman"/>
                <w:bCs/>
                <w:sz w:val="24"/>
                <w:szCs w:val="24"/>
              </w:rPr>
            </w:pPr>
          </w:p>
        </w:tc>
      </w:tr>
      <w:tr w:rsidR="001B1411" w:rsidRPr="00DA7625" w14:paraId="155512A8" w14:textId="77777777" w:rsidTr="00672D2A">
        <w:tc>
          <w:tcPr>
            <w:tcW w:w="985" w:type="dxa"/>
          </w:tcPr>
          <w:p w14:paraId="460FAC80" w14:textId="77777777" w:rsidR="001B1411" w:rsidRPr="00DA7625" w:rsidRDefault="00AC6255">
            <w:pPr>
              <w:autoSpaceDE w:val="0"/>
              <w:autoSpaceDN w:val="0"/>
              <w:adjustRightInd w:val="0"/>
              <w:spacing w:before="0" w:after="0"/>
              <w:rPr>
                <w:rFonts w:ascii="Times New Roman" w:hAnsi="Times New Roman"/>
                <w:bCs/>
                <w:sz w:val="24"/>
              </w:rPr>
            </w:pPr>
            <w:r w:rsidRPr="00DA7625">
              <w:rPr>
                <w:rFonts w:ascii="Times New Roman" w:hAnsi="Times New Roman"/>
                <w:bCs/>
                <w:sz w:val="24"/>
              </w:rPr>
              <w:lastRenderedPageBreak/>
              <w:t>020</w:t>
            </w:r>
          </w:p>
        </w:tc>
        <w:tc>
          <w:tcPr>
            <w:tcW w:w="7877" w:type="dxa"/>
          </w:tcPr>
          <w:p w14:paraId="625979B3" w14:textId="77777777" w:rsidR="001B1411" w:rsidRPr="00DA7625" w:rsidRDefault="00AC6255">
            <w:pPr>
              <w:autoSpaceDE w:val="0"/>
              <w:autoSpaceDN w:val="0"/>
              <w:adjustRightInd w:val="0"/>
              <w:spacing w:before="0" w:after="0"/>
              <w:rPr>
                <w:rStyle w:val="InstructionsTabelleberschrift"/>
                <w:rFonts w:ascii="Times New Roman" w:hAnsi="Times New Roman"/>
                <w:sz w:val="24"/>
              </w:rPr>
            </w:pPr>
            <w:r w:rsidRPr="00DA7625">
              <w:rPr>
                <w:rStyle w:val="InstructionsTabelleberschrift"/>
                <w:rFonts w:ascii="Times New Roman" w:hAnsi="Times New Roman"/>
                <w:sz w:val="24"/>
              </w:rPr>
              <w:t>A SZTENDERD (TSA)/ALTERNATÍV SZTENDERD MÓDSZER (ASA) SZERINTI BANKI TEVÉKENYSÉGEK</w:t>
            </w:r>
          </w:p>
          <w:p w14:paraId="1D9EB8A6" w14:textId="77777777" w:rsidR="001B1411" w:rsidRPr="00DA7625" w:rsidRDefault="001B1411">
            <w:pPr>
              <w:autoSpaceDE w:val="0"/>
              <w:autoSpaceDN w:val="0"/>
              <w:adjustRightInd w:val="0"/>
              <w:spacing w:before="0" w:after="0"/>
              <w:rPr>
                <w:rFonts w:ascii="Times New Roman" w:hAnsi="Times New Roman"/>
                <w:sz w:val="24"/>
              </w:rPr>
            </w:pPr>
          </w:p>
          <w:p w14:paraId="6D1E6C01" w14:textId="46CFEF87" w:rsidR="001B1411" w:rsidRPr="00DA7625" w:rsidRDefault="00AC6255">
            <w:pPr>
              <w:autoSpaceDE w:val="0"/>
              <w:autoSpaceDN w:val="0"/>
              <w:adjustRightInd w:val="0"/>
              <w:spacing w:before="0" w:after="0"/>
              <w:rPr>
                <w:rFonts w:ascii="Times New Roman" w:hAnsi="Times New Roman"/>
                <w:sz w:val="24"/>
              </w:rPr>
            </w:pPr>
            <w:r w:rsidRPr="00DA7625">
              <w:rPr>
                <w:rFonts w:ascii="Times New Roman" w:hAnsi="Times New Roman"/>
                <w:sz w:val="24"/>
              </w:rPr>
              <w:t>A sztenderd módszerrel és alternatív sztenderd módszerrel (a CRR 317–319. cikke alapján) kiszámított szavatolótőke-követelményt kell feltüntetni.</w:t>
            </w:r>
          </w:p>
          <w:p w14:paraId="432248F1" w14:textId="77777777" w:rsidR="001B1411" w:rsidRPr="00DA7625" w:rsidRDefault="001B1411">
            <w:pPr>
              <w:autoSpaceDE w:val="0"/>
              <w:autoSpaceDN w:val="0"/>
              <w:adjustRightInd w:val="0"/>
              <w:spacing w:before="0" w:after="0"/>
              <w:rPr>
                <w:rFonts w:ascii="Times New Roman" w:hAnsi="Times New Roman"/>
                <w:bCs/>
                <w:sz w:val="24"/>
              </w:rPr>
            </w:pPr>
          </w:p>
        </w:tc>
      </w:tr>
      <w:tr w:rsidR="001B1411" w:rsidRPr="00DA7625" w14:paraId="6228067A" w14:textId="77777777" w:rsidTr="00672D2A">
        <w:trPr>
          <w:trHeight w:val="1705"/>
        </w:trPr>
        <w:tc>
          <w:tcPr>
            <w:tcW w:w="985" w:type="dxa"/>
          </w:tcPr>
          <w:p w14:paraId="7BB966FB" w14:textId="77777777" w:rsidR="001B1411" w:rsidRPr="00DA7625" w:rsidRDefault="00AC6255">
            <w:pPr>
              <w:autoSpaceDE w:val="0"/>
              <w:autoSpaceDN w:val="0"/>
              <w:adjustRightInd w:val="0"/>
              <w:spacing w:before="0" w:after="0"/>
              <w:rPr>
                <w:rFonts w:ascii="Times New Roman" w:hAnsi="Times New Roman"/>
                <w:bCs/>
                <w:sz w:val="24"/>
              </w:rPr>
            </w:pPr>
            <w:r w:rsidRPr="00DA7625">
              <w:rPr>
                <w:rFonts w:ascii="Times New Roman" w:hAnsi="Times New Roman"/>
                <w:bCs/>
                <w:sz w:val="24"/>
              </w:rPr>
              <w:t>030–100</w:t>
            </w:r>
          </w:p>
        </w:tc>
        <w:tc>
          <w:tcPr>
            <w:tcW w:w="7877" w:type="dxa"/>
          </w:tcPr>
          <w:p w14:paraId="12B0B4FB" w14:textId="77777777" w:rsidR="001B1411" w:rsidRPr="00DA7625" w:rsidRDefault="00AC6255">
            <w:pPr>
              <w:rPr>
                <w:rStyle w:val="InstructionsTabelleberschrift"/>
                <w:rFonts w:ascii="Times New Roman" w:hAnsi="Times New Roman"/>
                <w:sz w:val="24"/>
              </w:rPr>
            </w:pPr>
            <w:r w:rsidRPr="00DA7625">
              <w:rPr>
                <w:rStyle w:val="InstructionsTabelleberschrift"/>
                <w:rFonts w:ascii="Times New Roman" w:hAnsi="Times New Roman"/>
                <w:sz w:val="24"/>
              </w:rPr>
              <w:t>A SZTENDERD MÓDSZER SZERINT</w:t>
            </w:r>
          </w:p>
          <w:p w14:paraId="201BB629" w14:textId="41C787B9" w:rsidR="001B1411" w:rsidRPr="00DA7625" w:rsidRDefault="001C3443">
            <w:pPr>
              <w:autoSpaceDE w:val="0"/>
              <w:autoSpaceDN w:val="0"/>
              <w:adjustRightInd w:val="0"/>
              <w:spacing w:before="0" w:after="0"/>
              <w:jc w:val="left"/>
              <w:rPr>
                <w:rFonts w:ascii="Times New Roman" w:hAnsi="Times New Roman"/>
                <w:bCs/>
                <w:sz w:val="24"/>
              </w:rPr>
            </w:pPr>
            <w:r w:rsidRPr="00DA7625">
              <w:rPr>
                <w:rFonts w:ascii="Times New Roman" w:hAnsi="Times New Roman"/>
                <w:sz w:val="24"/>
              </w:rPr>
              <w:t>A sztenderd módszer alkalmazása esetén az adott évekre vonatkozó irányadó mutatót a 030–100. sorban a CRR 317. cikkében található 2. táblázatban említett üzletágak között kell felosztani. A tevékenységek üzletág szerinti besorolásakor a CRR 318. cikkében foglalt elveket kell követni.</w:t>
            </w:r>
          </w:p>
        </w:tc>
      </w:tr>
      <w:tr w:rsidR="001B1411" w:rsidRPr="00DA7625" w14:paraId="76BCFFD6" w14:textId="77777777" w:rsidTr="00672D2A">
        <w:tc>
          <w:tcPr>
            <w:tcW w:w="985" w:type="dxa"/>
          </w:tcPr>
          <w:p w14:paraId="348D7061" w14:textId="77777777" w:rsidR="001B1411" w:rsidRPr="00DA7625" w:rsidRDefault="00AC6255">
            <w:pPr>
              <w:autoSpaceDE w:val="0"/>
              <w:autoSpaceDN w:val="0"/>
              <w:adjustRightInd w:val="0"/>
              <w:spacing w:before="0" w:after="0"/>
              <w:rPr>
                <w:rFonts w:ascii="Times New Roman" w:hAnsi="Times New Roman"/>
                <w:bCs/>
                <w:sz w:val="24"/>
              </w:rPr>
            </w:pPr>
            <w:r w:rsidRPr="00DA7625">
              <w:rPr>
                <w:rFonts w:ascii="Times New Roman" w:hAnsi="Times New Roman"/>
                <w:bCs/>
                <w:sz w:val="24"/>
              </w:rPr>
              <w:t>110–120</w:t>
            </w:r>
          </w:p>
        </w:tc>
        <w:tc>
          <w:tcPr>
            <w:tcW w:w="7877" w:type="dxa"/>
          </w:tcPr>
          <w:p w14:paraId="311D0EF5" w14:textId="77777777" w:rsidR="001B1411" w:rsidRPr="00DA7625" w:rsidRDefault="00AC6255">
            <w:pPr>
              <w:autoSpaceDE w:val="0"/>
              <w:autoSpaceDN w:val="0"/>
              <w:adjustRightInd w:val="0"/>
              <w:spacing w:before="0" w:after="0"/>
              <w:jc w:val="left"/>
              <w:rPr>
                <w:rStyle w:val="InstructionsTabelleberschrift"/>
                <w:rFonts w:ascii="Times New Roman" w:hAnsi="Times New Roman"/>
                <w:sz w:val="24"/>
              </w:rPr>
            </w:pPr>
            <w:r w:rsidRPr="00DA7625">
              <w:rPr>
                <w:rStyle w:val="InstructionsTabelleberschrift"/>
                <w:rFonts w:ascii="Times New Roman" w:hAnsi="Times New Roman"/>
                <w:sz w:val="24"/>
              </w:rPr>
              <w:t>AZ ALTERNATÍV SZTENDERD MÓDSZER SZERINT</w:t>
            </w:r>
          </w:p>
          <w:p w14:paraId="42D39F0D" w14:textId="49294729" w:rsidR="001B1411" w:rsidRPr="00DA7625" w:rsidRDefault="00AC6255">
            <w:pPr>
              <w:rPr>
                <w:rFonts w:ascii="Times New Roman" w:hAnsi="Times New Roman"/>
                <w:sz w:val="24"/>
              </w:rPr>
            </w:pPr>
            <w:r w:rsidRPr="00DA7625">
              <w:rPr>
                <w:rFonts w:ascii="Times New Roman" w:hAnsi="Times New Roman"/>
                <w:sz w:val="24"/>
              </w:rPr>
              <w:t xml:space="preserve">A CRR 319. cikke szerinti alternatív sztenderd módszert alkalmazó intézményeknek a vonatkozó évekre az irányadó mutatót üzletáganként elkülönítve kell megadniuk a 030–050. és 080–100. sorban, valamint a „kereskedelmi banki tevékenység” és „lakossági banki tevékenység” üzletágra vonatkozóan a 110-es és 120-as sorban. </w:t>
            </w:r>
          </w:p>
          <w:p w14:paraId="4B898B97" w14:textId="09CE8C67" w:rsidR="001B1411" w:rsidRPr="00DA7625" w:rsidRDefault="00AC6255">
            <w:pPr>
              <w:autoSpaceDE w:val="0"/>
              <w:autoSpaceDN w:val="0"/>
              <w:adjustRightInd w:val="0"/>
              <w:spacing w:before="0" w:after="0"/>
              <w:rPr>
                <w:rFonts w:ascii="Times New Roman" w:hAnsi="Times New Roman"/>
                <w:bCs/>
                <w:sz w:val="24"/>
              </w:rPr>
            </w:pPr>
            <w:r w:rsidRPr="00DA7625">
              <w:rPr>
                <w:rStyle w:val="InstructionsTabelleText"/>
                <w:rFonts w:ascii="Times New Roman" w:hAnsi="Times New Roman"/>
                <w:sz w:val="24"/>
              </w:rPr>
              <w:t>A 110-es és 120-as sor</w:t>
            </w:r>
            <w:r w:rsidRPr="00DA7625">
              <w:rPr>
                <w:rFonts w:ascii="Times New Roman" w:hAnsi="Times New Roman"/>
                <w:sz w:val="24"/>
              </w:rPr>
              <w:t xml:space="preserve"> az alternatív sztenderd módszer alkalmazási körébe </w:t>
            </w:r>
            <w:r w:rsidRPr="00DA7625">
              <w:rPr>
                <w:rStyle w:val="InstructionsTabelleText"/>
                <w:rFonts w:ascii="Times New Roman" w:hAnsi="Times New Roman"/>
                <w:sz w:val="24"/>
              </w:rPr>
              <w:t>tartozó tevékenységekre vonatkozóan mutatja az irányadó mutató értékét, megkülönböztetve a „kereskedelmi banki tevékenység” üzletágba és a „lakossági banki tevékenység” üzletágba tartozó tevékenységeknek megfelelő összegeket</w:t>
            </w:r>
            <w:r w:rsidRPr="00DA7625">
              <w:rPr>
                <w:rFonts w:ascii="Times New Roman" w:hAnsi="Times New Roman"/>
                <w:sz w:val="24"/>
              </w:rPr>
              <w:t xml:space="preserve"> (a CRR 319. cikke</w:t>
            </w:r>
            <w:r w:rsidRPr="00DA7625">
              <w:rPr>
                <w:rStyle w:val="InstructionsTabelleText"/>
                <w:rFonts w:ascii="Times New Roman" w:hAnsi="Times New Roman"/>
                <w:sz w:val="24"/>
              </w:rPr>
              <w:t>). Egyszerre szerepelhet érték a „kereskedelmi banki tevékenység” és „lakossági banki tevékenység” üzletágaknak a sztenderd módszer szerinti 060. és 070. sorában és az alternatív sztenderd módszer szerinti 110. és 120. sorában, pl. ha egy leányvállalat a sztenderd módszer, míg anyavállalata az alternatív sztenderd módszer alkalmazási körébe tartozik.</w:t>
            </w:r>
          </w:p>
        </w:tc>
      </w:tr>
      <w:tr w:rsidR="001B1411" w:rsidRPr="00DA7625" w14:paraId="29C852E3" w14:textId="77777777" w:rsidTr="00672D2A">
        <w:tc>
          <w:tcPr>
            <w:tcW w:w="985" w:type="dxa"/>
          </w:tcPr>
          <w:p w14:paraId="4BAFA8BB" w14:textId="77777777" w:rsidR="001B1411" w:rsidRPr="00DA7625" w:rsidRDefault="00AC6255">
            <w:pPr>
              <w:autoSpaceDE w:val="0"/>
              <w:autoSpaceDN w:val="0"/>
              <w:adjustRightInd w:val="0"/>
              <w:spacing w:before="0" w:after="0"/>
              <w:rPr>
                <w:rFonts w:ascii="Times New Roman" w:hAnsi="Times New Roman"/>
                <w:bCs/>
                <w:sz w:val="24"/>
              </w:rPr>
            </w:pPr>
            <w:r w:rsidRPr="00DA7625">
              <w:rPr>
                <w:rFonts w:ascii="Times New Roman" w:hAnsi="Times New Roman"/>
                <w:bCs/>
                <w:sz w:val="24"/>
              </w:rPr>
              <w:t>130</w:t>
            </w:r>
          </w:p>
        </w:tc>
        <w:tc>
          <w:tcPr>
            <w:tcW w:w="7877" w:type="dxa"/>
          </w:tcPr>
          <w:p w14:paraId="2CE8EEAB" w14:textId="77777777" w:rsidR="001B1411" w:rsidRPr="00DA7625" w:rsidRDefault="00AC6255">
            <w:pPr>
              <w:autoSpaceDE w:val="0"/>
              <w:autoSpaceDN w:val="0"/>
              <w:adjustRightInd w:val="0"/>
              <w:spacing w:before="0" w:after="0"/>
              <w:rPr>
                <w:rStyle w:val="InstructionsTabelleberschrift"/>
                <w:rFonts w:ascii="Times New Roman" w:hAnsi="Times New Roman"/>
                <w:sz w:val="24"/>
              </w:rPr>
            </w:pPr>
            <w:r w:rsidRPr="00DA7625">
              <w:rPr>
                <w:rStyle w:val="InstructionsTabelleberschrift"/>
                <w:rFonts w:ascii="Times New Roman" w:hAnsi="Times New Roman"/>
                <w:sz w:val="24"/>
              </w:rPr>
              <w:t>A FEJLETT MÉRÉSI MÓDSZEREK (AMA) SZERINTI BANKI TEVÉKENYSÉGEK</w:t>
            </w:r>
          </w:p>
          <w:p w14:paraId="7F18DCB3" w14:textId="77777777" w:rsidR="001B1411" w:rsidRPr="00DA7625" w:rsidRDefault="001B1411">
            <w:pPr>
              <w:autoSpaceDE w:val="0"/>
              <w:autoSpaceDN w:val="0"/>
              <w:adjustRightInd w:val="0"/>
              <w:spacing w:before="0" w:after="0"/>
              <w:rPr>
                <w:rFonts w:ascii="Times New Roman" w:hAnsi="Times New Roman"/>
                <w:bCs/>
                <w:sz w:val="24"/>
              </w:rPr>
            </w:pPr>
          </w:p>
          <w:p w14:paraId="77D7C346" w14:textId="112AF953" w:rsidR="001B1411" w:rsidRPr="00DA7625" w:rsidRDefault="00AC6255">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Ebben a sorban a CRR 312. cikkének (2) bekezdése, valamint 321–323. cikke szerint a fejlett mérési módszerek alkalmazási körébe tartozó intézmények vonatkozó adatait kell megadni. </w:t>
            </w:r>
          </w:p>
          <w:p w14:paraId="2B6B4533" w14:textId="77777777" w:rsidR="001B1411" w:rsidRPr="00DA7625" w:rsidRDefault="001B1411">
            <w:pPr>
              <w:autoSpaceDE w:val="0"/>
              <w:autoSpaceDN w:val="0"/>
              <w:adjustRightInd w:val="0"/>
              <w:spacing w:before="0" w:after="0"/>
              <w:rPr>
                <w:rFonts w:ascii="Times New Roman" w:hAnsi="Times New Roman"/>
                <w:sz w:val="24"/>
              </w:rPr>
            </w:pPr>
          </w:p>
          <w:p w14:paraId="4D4A773D" w14:textId="25F36B51" w:rsidR="001B1411" w:rsidRPr="00DA7625" w:rsidRDefault="00A369C3">
            <w:pPr>
              <w:autoSpaceDE w:val="0"/>
              <w:autoSpaceDN w:val="0"/>
              <w:adjustRightInd w:val="0"/>
              <w:spacing w:before="0" w:after="0"/>
              <w:rPr>
                <w:rFonts w:ascii="Times New Roman" w:hAnsi="Times New Roman"/>
                <w:sz w:val="24"/>
              </w:rPr>
            </w:pPr>
            <w:r w:rsidRPr="00DA7625">
              <w:rPr>
                <w:rFonts w:ascii="Times New Roman" w:hAnsi="Times New Roman"/>
                <w:sz w:val="24"/>
              </w:rPr>
              <w:t>A különböző módszerek együttes (a CRR 314. cikkében említett) alkalmazása esetén ebben a sorban kell megadni a fejlett mérési módszerek szerinti tevékenységek irányadó mutatójával kapcsolatos információkat. Ugyanígy kell eljárni a fejlett mérési módszereket alkalmazó egyéb bankokkal is.</w:t>
            </w:r>
          </w:p>
          <w:p w14:paraId="3CCD4477" w14:textId="77777777" w:rsidR="001B1411" w:rsidRPr="00DA7625" w:rsidRDefault="001B1411">
            <w:pPr>
              <w:autoSpaceDE w:val="0"/>
              <w:autoSpaceDN w:val="0"/>
              <w:adjustRightInd w:val="0"/>
              <w:spacing w:before="0" w:after="0"/>
              <w:rPr>
                <w:rFonts w:ascii="Times New Roman" w:hAnsi="Times New Roman"/>
                <w:bCs/>
                <w:sz w:val="24"/>
              </w:rPr>
            </w:pPr>
          </w:p>
        </w:tc>
      </w:tr>
    </w:tbl>
    <w:p w14:paraId="05209726" w14:textId="77777777" w:rsidR="001B1411" w:rsidRPr="00DA7625" w:rsidRDefault="001B1411">
      <w:pPr>
        <w:pStyle w:val="PlainText"/>
        <w:jc w:val="both"/>
        <w:rPr>
          <w:rFonts w:ascii="Times New Roman" w:hAnsi="Times New Roman"/>
          <w:sz w:val="24"/>
          <w:szCs w:val="24"/>
        </w:rPr>
      </w:pPr>
    </w:p>
    <w:p w14:paraId="4E53479F" w14:textId="77777777" w:rsidR="001B1411" w:rsidRPr="00DA7625" w:rsidRDefault="001B1411">
      <w:pPr>
        <w:rPr>
          <w:rFonts w:ascii="Times New Roman" w:hAnsi="Times New Roman"/>
          <w:sz w:val="24"/>
        </w:rPr>
      </w:pPr>
    </w:p>
    <w:p w14:paraId="6BEF8F27"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75" w:name="_Toc31018821"/>
      <w:r w:rsidRPr="00DA7625">
        <w:rPr>
          <w:rFonts w:ascii="Times New Roman" w:hAnsi="Times New Roman"/>
          <w:sz w:val="24"/>
          <w:u w:val="none"/>
        </w:rPr>
        <w:lastRenderedPageBreak/>
        <w:t>4.2.</w:t>
      </w:r>
      <w:r w:rsidRPr="00DA7625">
        <w:rPr>
          <w:rFonts w:ascii="Times New Roman" w:hAnsi="Times New Roman"/>
          <w:sz w:val="24"/>
          <w:u w:val="none"/>
        </w:rPr>
        <w:tab/>
      </w:r>
      <w:r w:rsidRPr="00DA7625">
        <w:rPr>
          <w:rFonts w:ascii="Times New Roman" w:hAnsi="Times New Roman"/>
          <w:sz w:val="24"/>
        </w:rPr>
        <w:t>Működési kockázat: Az előző évi veszteségekre vonatkozó részletes információk (OPR DETAILS)</w:t>
      </w:r>
      <w:bookmarkEnd w:id="75"/>
    </w:p>
    <w:p w14:paraId="6053B6B0"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76" w:name="_Toc31018822"/>
      <w:r w:rsidRPr="00DA7625">
        <w:rPr>
          <w:rFonts w:ascii="Times New Roman" w:hAnsi="Times New Roman"/>
          <w:sz w:val="24"/>
          <w:u w:val="none"/>
        </w:rPr>
        <w:t>4.2.1.</w:t>
      </w:r>
      <w:r w:rsidRPr="00DA7625">
        <w:rPr>
          <w:rFonts w:ascii="Times New Roman" w:hAnsi="Times New Roman"/>
          <w:sz w:val="24"/>
          <w:u w:val="none"/>
        </w:rPr>
        <w:tab/>
      </w:r>
      <w:r w:rsidRPr="00DA7625">
        <w:rPr>
          <w:rFonts w:ascii="Times New Roman" w:hAnsi="Times New Roman"/>
          <w:sz w:val="24"/>
        </w:rPr>
        <w:t>Általános megjegyzések</w:t>
      </w:r>
      <w:bookmarkEnd w:id="76"/>
    </w:p>
    <w:p w14:paraId="069470F5" w14:textId="7F80B240" w:rsidR="001B1411" w:rsidRPr="00DA7625" w:rsidRDefault="00125707">
      <w:pPr>
        <w:pStyle w:val="InstructionsText2"/>
        <w:numPr>
          <w:ilvl w:val="0"/>
          <w:numId w:val="0"/>
        </w:numPr>
        <w:ind w:left="993"/>
      </w:pPr>
      <w:r w:rsidRPr="00DA7625">
        <w:t>120.</w:t>
      </w:r>
      <w:r w:rsidRPr="00DA7625">
        <w:tab/>
        <w:t xml:space="preserve"> A C 17.01 (OPR DETAILS 1) tábla az intézmény által az előző évben elkönyvelt bruttó veszteséggel és megtérült veszteséggel kapcsolatos információkat összesíti eseménytípusonként és üzletáganként. A C 17.02 (OPR DETAILS 2) tábla az előző évi legnagyobb veszteségeseményekről ad részletes információkat. </w:t>
      </w:r>
    </w:p>
    <w:p w14:paraId="07BE1384" w14:textId="0743498C" w:rsidR="001B1411" w:rsidRPr="00DA7625" w:rsidRDefault="00125707">
      <w:pPr>
        <w:pStyle w:val="InstructionsText2"/>
        <w:numPr>
          <w:ilvl w:val="0"/>
          <w:numId w:val="0"/>
        </w:numPr>
        <w:ind w:left="993"/>
      </w:pPr>
      <w:r w:rsidRPr="00DA7625">
        <w:t>121. A hitelkockázathoz kapcsolódó és a hitelkockázatra vonatkozó szavatolótőke-követelmény hatálya alá tartozó működési kockázati veszteségeket (határhelyzetű hitelvonatkozású működési kockázati események) sem a C 17.01 sem a C 17.02 táblában nem kell figyelembe venni.</w:t>
      </w:r>
    </w:p>
    <w:p w14:paraId="21FF5E63" w14:textId="50392103" w:rsidR="001B1411" w:rsidRPr="00DA7625" w:rsidRDefault="00125707">
      <w:pPr>
        <w:pStyle w:val="InstructionsText2"/>
        <w:numPr>
          <w:ilvl w:val="0"/>
          <w:numId w:val="0"/>
        </w:numPr>
        <w:ind w:left="993"/>
      </w:pPr>
      <w:r w:rsidRPr="00DA7625">
        <w:t>122. Amennyiben a CRR 314. cikkének megfelelően a működési kockázat szavatolótőke-követelményének kiszámítása különböző módszerek együttes alkalmazásával történik, az intézmény által regisztrált veszteségeket és a megtérült veszteségeket jelenteni kell a C 17.01 és C 17.02 táblában, tekintet nélkül a szavatolótőke-követelmény kiszámításához használt módszerre.</w:t>
      </w:r>
    </w:p>
    <w:p w14:paraId="5CD4AE9D" w14:textId="2B5838F6" w:rsidR="001B1411" w:rsidRPr="00DA7625" w:rsidRDefault="00125707">
      <w:pPr>
        <w:pStyle w:val="InstructionsText2"/>
        <w:numPr>
          <w:ilvl w:val="0"/>
          <w:numId w:val="0"/>
        </w:numPr>
        <w:ind w:left="993"/>
      </w:pPr>
      <w:r w:rsidRPr="00DA7625">
        <w:t xml:space="preserve">123. A „bruttó veszteség” a CRR 322. cikke (3) bekezdésének b) pontjában említetteknek megfelelően a működési kockázati eseményből vagy veszteségesemény-típusból adódó, az esetleges megtérült veszteség előtti veszteség, az alább definiált „gyorsan megtérült veszteségesemények” sérelme nélkül. </w:t>
      </w:r>
    </w:p>
    <w:p w14:paraId="663BB525" w14:textId="4BE7D896" w:rsidR="001B1411" w:rsidRPr="00DA7625" w:rsidRDefault="00125707">
      <w:pPr>
        <w:pStyle w:val="InstructionsText2"/>
        <w:numPr>
          <w:ilvl w:val="0"/>
          <w:numId w:val="0"/>
        </w:numPr>
        <w:ind w:left="993"/>
      </w:pPr>
      <w:r w:rsidRPr="00DA7625">
        <w:t>124. A »megtérült veszteség« az eredeti működési kockázati veszteséggel összefüggő, attól időben elkülönülő, független esemény, amelynek során az intézményhez első vagy harmadik felektől – például biztosítóktól vagy más felektől – pénz vagy gazdasági előny folyik be. A megtérült veszteségeket biztosításból és más kockázatátruházási mechanizmusokból származó megtérült veszteségekre és közvetlenül megtérült veszteségekre kell bontani.</w:t>
      </w:r>
    </w:p>
    <w:p w14:paraId="1BA12CCD" w14:textId="33B868DC" w:rsidR="001B1411" w:rsidRPr="00DA7625" w:rsidRDefault="00125707">
      <w:pPr>
        <w:pStyle w:val="InstructionsText2"/>
        <w:numPr>
          <w:ilvl w:val="0"/>
          <w:numId w:val="0"/>
        </w:numPr>
        <w:ind w:left="993"/>
      </w:pPr>
      <w:r w:rsidRPr="00DA7625">
        <w:t>125.</w:t>
      </w:r>
      <w:r w:rsidRPr="00DA7625">
        <w:tab/>
        <w:t xml:space="preserve"> A »gyorsan megtérült veszteségesemény« olyan működési kockázati esemény, amelynek veszteségei részben vagy egészben öt munkanapon belül megtérülnek. Gyorsan megtérült veszteségesemény esetében a bruttó veszteségnek csak a maradéktalanul meg nem térült veszteségrész (a gyorsan megtérült veszteségrész levonásával képzett veszteség) képezi részét. Következésképpen sem a bruttó veszteség meghatározása, sem az OPR DETAILS adatszolgáltatás egyéb elemei nem tartalmazzák az öt munkanapon belül teljes mértékben megtérült veszteségekhez vezető veszteségeseményeket.</w:t>
      </w:r>
    </w:p>
    <w:p w14:paraId="11407E94" w14:textId="2A2C462D" w:rsidR="001B1411" w:rsidRPr="00DA7625" w:rsidRDefault="00125707">
      <w:pPr>
        <w:pStyle w:val="InstructionsText2"/>
        <w:numPr>
          <w:ilvl w:val="0"/>
          <w:numId w:val="0"/>
        </w:numPr>
        <w:ind w:left="993"/>
      </w:pPr>
      <w:r w:rsidRPr="00DA7625">
        <w:t>126.</w:t>
      </w:r>
      <w:r w:rsidRPr="00DA7625">
        <w:tab/>
        <w:t xml:space="preserve"> Az „elszámolás napja” az a nap, amikor a veszteség vagy tartalék/céltartalék először került megjelenítésre az eredménykimutatásban a működési kockázati veszteséggel szemben. Logikus módon, ez a nap későbbi, mint az „esemény napja” (az a nap, amikor a működési kockázati esemény bekövetkezett vagy kezdetét vette) és a „felismerés napja” (az a nap, amikor a működési kockázati esemény az intézmény tudomására jutott). </w:t>
      </w:r>
    </w:p>
    <w:p w14:paraId="7244BFE4" w14:textId="77777777" w:rsidR="001B1411" w:rsidRPr="00DA7625" w:rsidRDefault="00125707">
      <w:pPr>
        <w:pStyle w:val="InstructionsText2"/>
        <w:numPr>
          <w:ilvl w:val="0"/>
          <w:numId w:val="0"/>
        </w:numPr>
        <w:ind w:left="993"/>
      </w:pPr>
      <w:r w:rsidRPr="00DA7625">
        <w:t>127.</w:t>
      </w:r>
      <w:r w:rsidRPr="00DA7625">
        <w:tab/>
        <w:t xml:space="preserve"> A közös működési kockázati esemény vagy eseményeket/veszteségeket generáló egyetlen eredeti működési kockázati eseményhez („alapesemény”) kapcsolódó </w:t>
      </w:r>
      <w:r w:rsidRPr="00DA7625">
        <w:lastRenderedPageBreak/>
        <w:t>több esemény által okozott veszteségeket össze kell vonni. Az összevont eseményeket egy eseményként kell figyelembe venni és jelenteni, így a vonatkozó bruttó veszteségeket, illetve a veszteségkorrekciókat összegezni kell.</w:t>
      </w:r>
    </w:p>
    <w:p w14:paraId="52827CA5" w14:textId="78CE1CEE" w:rsidR="001B1411" w:rsidRPr="00DA7625" w:rsidRDefault="00125707">
      <w:pPr>
        <w:pStyle w:val="InstructionsText2"/>
        <w:numPr>
          <w:ilvl w:val="0"/>
          <w:numId w:val="0"/>
        </w:numPr>
        <w:ind w:left="993"/>
      </w:pPr>
      <w:r w:rsidRPr="00DA7625">
        <w:t>128.</w:t>
      </w:r>
      <w:r w:rsidRPr="00DA7625">
        <w:tab/>
        <w:t xml:space="preserve"> Az adott év júniusában jelentett adatok köztes adatok; a végleges adatokat decemberben jelentik az intézmények. Így a júniusban jelentett adatok hat hónapos referencia-időszakra vonatkoznak (január 1-től június 30-ig), míg a decemberben jelentett adatok tizenkét hónapos referencia-időszakra vonatkoznak (január 1-től december 31-ig). A „korábbi adatszolgáltatási referencia-időszakok” kifejezés mind a júniusban, mind a decemberben jelentett adatok esetében a megelőző naptári év végéig lezárult összes adatszolgáltatási referencia-időszakot jelöli (beleértve tehát azt is, amely a megelőző naptári év végén zárul).</w:t>
      </w:r>
    </w:p>
    <w:p w14:paraId="72F4B8A7" w14:textId="09871605" w:rsidR="001B1411" w:rsidRPr="00DA7625" w:rsidRDefault="00125707">
      <w:pPr>
        <w:pStyle w:val="InstructionsText2"/>
        <w:numPr>
          <w:ilvl w:val="0"/>
          <w:numId w:val="0"/>
        </w:numPr>
        <w:ind w:left="993"/>
      </w:pPr>
      <w:r w:rsidRPr="00DA7625">
        <w:t>129.</w:t>
      </w:r>
      <w:r w:rsidRPr="00DA7625">
        <w:tab/>
        <w:t xml:space="preserve"> Az e végrehajtási rendelet 5. cikke b) pontja 2.b) pontjának i. alpontjában meghatározott feltételeknek való megfelelés ellenőrzése céljából az intézmények „az ugyanazon tagállamon belüli összes intézmény összesített mérlegfőösszegének” meghatározásához az EBA „Supervisory Disclosure” weboldalán megtalálható legfrissebb statisztikai adatokat kötelesek használni. Az e végrehajtási rendelet 5. cikke b) pontja 2.b) pontjának iii. alpontjában meghatározott feltételeknek való megfelelés ellenőrzése céljából az 549/2013/EU európai parlamenti és tanácsi rendelet (ESA 2010)</w:t>
      </w:r>
      <w:r w:rsidRPr="00DA7625">
        <w:rPr>
          <w:rStyle w:val="FootnoteReference"/>
          <w:rFonts w:ascii="Times New Roman" w:hAnsi="Times New Roman"/>
          <w:sz w:val="24"/>
          <w:szCs w:val="24"/>
          <w:vertAlign w:val="superscript"/>
        </w:rPr>
        <w:footnoteReference w:id="14"/>
      </w:r>
      <w:r w:rsidRPr="00DA7625">
        <w:t xml:space="preserve"> A. mellékletének 8.89. pontjában meghatározott, az Eurostat által az előző naptári évre vonatkozóan közzétett, piaci áron számolt bruttó hazai terméket kell használni.</w:t>
      </w:r>
    </w:p>
    <w:p w14:paraId="315CE265"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77" w:name="_Toc31018823"/>
      <w:r w:rsidRPr="00DA7625">
        <w:rPr>
          <w:rFonts w:ascii="Times New Roman" w:hAnsi="Times New Roman"/>
          <w:sz w:val="24"/>
          <w:u w:val="none"/>
        </w:rPr>
        <w:t>4.2.2.</w:t>
      </w:r>
      <w:r w:rsidRPr="00DA7625">
        <w:rPr>
          <w:rFonts w:ascii="Times New Roman" w:hAnsi="Times New Roman"/>
          <w:sz w:val="24"/>
          <w:u w:val="none"/>
        </w:rPr>
        <w:tab/>
      </w:r>
      <w:r w:rsidRPr="00DA7625">
        <w:rPr>
          <w:rFonts w:ascii="Times New Roman" w:hAnsi="Times New Roman"/>
          <w:sz w:val="24"/>
        </w:rPr>
        <w:t>C 17.01: Működési kockázat: Az előző évi veszteségek és megtérült veszteségek üzletáganként és veszteségesemény-típusonként (OPR DETAILS 1)</w:t>
      </w:r>
      <w:bookmarkEnd w:id="77"/>
    </w:p>
    <w:p w14:paraId="5365FCC1"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78" w:name="_Toc31018824"/>
      <w:r w:rsidRPr="00DA7625">
        <w:rPr>
          <w:rFonts w:ascii="Times New Roman" w:hAnsi="Times New Roman"/>
          <w:sz w:val="24"/>
          <w:u w:val="none"/>
        </w:rPr>
        <w:t>4.2.2.1.</w:t>
      </w:r>
      <w:r w:rsidRPr="00DA7625">
        <w:rPr>
          <w:rFonts w:ascii="Times New Roman" w:hAnsi="Times New Roman"/>
          <w:sz w:val="24"/>
          <w:u w:val="none"/>
        </w:rPr>
        <w:tab/>
      </w:r>
      <w:r w:rsidRPr="00DA7625">
        <w:rPr>
          <w:rFonts w:ascii="Times New Roman" w:hAnsi="Times New Roman"/>
          <w:sz w:val="24"/>
        </w:rPr>
        <w:t>Általános megjegyzések</w:t>
      </w:r>
      <w:bookmarkEnd w:id="78"/>
    </w:p>
    <w:p w14:paraId="0A9E5D92" w14:textId="722C1B84" w:rsidR="001B1411" w:rsidRPr="00DA7625" w:rsidRDefault="00125707">
      <w:pPr>
        <w:pStyle w:val="InstructionsText2"/>
        <w:numPr>
          <w:ilvl w:val="0"/>
          <w:numId w:val="0"/>
        </w:numPr>
        <w:ind w:left="993"/>
      </w:pPr>
      <w:r w:rsidRPr="00DA7625">
        <w:t>130. A C 17.01 táblában az információkat a belső küszöbértékeket meghaladó veszteségek és megtérült veszteségek üzletágak (a CRR 317. cikkében található 2. táblázatban meghatározott üzletágak, valamint a CRR 322. cikke (3) bekezdésének b) pontjában említett „társasági szintű tételek” üzletág) és (a CRR 324. cikkében meghatározott) veszteségesemény-típusok közötti felosztásával kell bemutatni. Lehetséges, hogy egy adott eseményhez tartozó veszteségek több üzletág között kerülnek felosztásra.</w:t>
      </w:r>
    </w:p>
    <w:p w14:paraId="78785B44" w14:textId="35E2A46B" w:rsidR="001B1411" w:rsidRPr="00DA7625" w:rsidRDefault="00125707">
      <w:pPr>
        <w:pStyle w:val="InstructionsText2"/>
        <w:numPr>
          <w:ilvl w:val="0"/>
          <w:numId w:val="0"/>
        </w:numPr>
        <w:ind w:left="993"/>
      </w:pPr>
      <w:r w:rsidRPr="00DA7625">
        <w:t>131. Az oszlopok a különböző veszteségesemény-típusokat és az egyes üzletágakra vonatkozó összértéket jelenítik meg egy tájékoztató adattal együtt, amely a veszteségekre vonatkozó adatgyűjtés során alkalmazott legalacsonyabb belső küszöbértéket mutatja, amelyből egynél több küszöbérték esetén az egyes üzletágakon belül megállapítható a legalacsonyabb és legmagasabb küszöbérték.</w:t>
      </w:r>
    </w:p>
    <w:p w14:paraId="3C522681" w14:textId="6B50C409" w:rsidR="001B1411" w:rsidRPr="00DA7625" w:rsidRDefault="00125707">
      <w:pPr>
        <w:pStyle w:val="InstructionsText2"/>
        <w:numPr>
          <w:ilvl w:val="0"/>
          <w:numId w:val="0"/>
        </w:numPr>
        <w:ind w:left="993"/>
      </w:pPr>
      <w:r w:rsidRPr="00DA7625">
        <w:t>132.</w:t>
      </w:r>
      <w:r w:rsidRPr="00DA7625">
        <w:tab/>
        <w:t xml:space="preserve"> A sorok az üzletágakat jelenítik meg, valamint az egyes üzletágakon belül a veszteségesemények számára (új veszteségesemények), a bruttó veszteségértékre (új veszteségesemények), a veszteségkorrekcióval érintett veszteségesemények számára, a korábbi adatszolgáltatási időszakokhoz kapcsolódó veszteségkorrekciókra, a legnagyobb egyedi veszteségre, az öt legnagyobb veszteség összegére és a teljes </w:t>
      </w:r>
      <w:r w:rsidRPr="00DA7625">
        <w:lastRenderedPageBreak/>
        <w:t>megtérült veszteségre (közvetlen megtérült veszteség és biztosításból és más kockázatátruházási mechanizmusokból származó megtérülés) vonatkozó információkat tartalmaznak.</w:t>
      </w:r>
    </w:p>
    <w:p w14:paraId="369C04CC" w14:textId="6780CB25" w:rsidR="001B1411" w:rsidRPr="00DA7625" w:rsidRDefault="00125707">
      <w:pPr>
        <w:pStyle w:val="InstructionsText2"/>
        <w:numPr>
          <w:ilvl w:val="0"/>
          <w:numId w:val="0"/>
        </w:numPr>
        <w:ind w:left="993"/>
      </w:pPr>
      <w:r w:rsidRPr="00DA7625">
        <w:t>133. Az „üzletágak összesen” sorokban a veszteségesemények számát és a bruttó veszteségértéket megadott küszöbértékek (10 000, 20 000, 100 000 és 1 000 000) szerint rendezett tartományokba sorolva kell megadni. A küszöbértékek EUR-ban vannak megadva, és céljuk a megadott veszteségértékek intézmények közötti összehasonlíthatóságának biztosítása. Az említett küszöbértékek ezért nem szükségképpen felelnek meg a veszteségadatok belső gyűjtésekor használt, a tábla más szakaszában megadott alsó küszöbértékeknek.</w:t>
      </w:r>
    </w:p>
    <w:p w14:paraId="1A70C919"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79" w:name="_Toc31018825"/>
      <w:r w:rsidRPr="00DA7625">
        <w:rPr>
          <w:rFonts w:ascii="Times New Roman" w:hAnsi="Times New Roman"/>
          <w:sz w:val="24"/>
          <w:u w:val="none"/>
        </w:rPr>
        <w:t>4.2.2.2.</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1B1411" w:rsidRPr="00DA7625" w14:paraId="6133A103" w14:textId="77777777" w:rsidTr="00672D2A">
        <w:trPr>
          <w:trHeight w:val="576"/>
        </w:trPr>
        <w:tc>
          <w:tcPr>
            <w:tcW w:w="9180" w:type="dxa"/>
            <w:gridSpan w:val="2"/>
            <w:shd w:val="clear" w:color="auto" w:fill="CCCCCC"/>
          </w:tcPr>
          <w:p w14:paraId="73DF8664" w14:textId="77777777" w:rsidR="001B1411" w:rsidRPr="00DA7625" w:rsidRDefault="00FD54FC">
            <w:pPr>
              <w:autoSpaceDE w:val="0"/>
              <w:autoSpaceDN w:val="0"/>
              <w:adjustRightInd w:val="0"/>
              <w:spacing w:after="0"/>
              <w:rPr>
                <w:rFonts w:ascii="Times New Roman" w:hAnsi="Times New Roman"/>
                <w:b/>
                <w:bCs/>
                <w:sz w:val="24"/>
              </w:rPr>
            </w:pPr>
            <w:r w:rsidRPr="00DA7625">
              <w:rPr>
                <w:rFonts w:ascii="Times New Roman" w:hAnsi="Times New Roman"/>
                <w:b/>
                <w:bCs/>
                <w:sz w:val="24"/>
              </w:rPr>
              <w:t>Oszlop</w:t>
            </w:r>
          </w:p>
        </w:tc>
      </w:tr>
      <w:tr w:rsidR="001B1411" w:rsidRPr="00DA7625" w14:paraId="512463AA" w14:textId="77777777" w:rsidTr="00672D2A">
        <w:tc>
          <w:tcPr>
            <w:tcW w:w="985" w:type="dxa"/>
          </w:tcPr>
          <w:p w14:paraId="14B4E581" w14:textId="77777777" w:rsidR="001B1411" w:rsidRPr="00DA7625" w:rsidRDefault="00C93FC2">
            <w:pPr>
              <w:autoSpaceDE w:val="0"/>
              <w:autoSpaceDN w:val="0"/>
              <w:adjustRightInd w:val="0"/>
              <w:spacing w:before="0" w:after="0"/>
              <w:rPr>
                <w:rFonts w:ascii="Times New Roman" w:hAnsi="Times New Roman"/>
                <w:bCs/>
                <w:sz w:val="24"/>
              </w:rPr>
            </w:pPr>
            <w:r w:rsidRPr="00DA7625">
              <w:rPr>
                <w:rFonts w:ascii="Times New Roman" w:hAnsi="Times New Roman"/>
                <w:bCs/>
                <w:sz w:val="24"/>
              </w:rPr>
              <w:t>0010–0070</w:t>
            </w:r>
          </w:p>
        </w:tc>
        <w:tc>
          <w:tcPr>
            <w:tcW w:w="8195" w:type="dxa"/>
          </w:tcPr>
          <w:p w14:paraId="7AD5518A" w14:textId="77777777" w:rsidR="001B1411" w:rsidRPr="00DA7625" w:rsidRDefault="00FD54FC">
            <w:pPr>
              <w:autoSpaceDE w:val="0"/>
              <w:autoSpaceDN w:val="0"/>
              <w:adjustRightInd w:val="0"/>
              <w:spacing w:before="0" w:after="0"/>
              <w:rPr>
                <w:rStyle w:val="InstructionsTabelleberschrift"/>
                <w:rFonts w:ascii="Times New Roman" w:hAnsi="Times New Roman"/>
                <w:sz w:val="24"/>
              </w:rPr>
            </w:pPr>
            <w:r w:rsidRPr="00DA7625">
              <w:rPr>
                <w:rStyle w:val="InstructionsTabelleberschrift"/>
                <w:rFonts w:ascii="Times New Roman" w:hAnsi="Times New Roman"/>
                <w:sz w:val="24"/>
              </w:rPr>
              <w:t>ESEMÉNYTÍPUSOK</w:t>
            </w:r>
          </w:p>
          <w:p w14:paraId="64A60681" w14:textId="667B2BD2" w:rsidR="001B1411" w:rsidRPr="00DA7625" w:rsidRDefault="00FD54FC">
            <w:pPr>
              <w:rPr>
                <w:rFonts w:ascii="Times New Roman" w:hAnsi="Times New Roman"/>
                <w:sz w:val="24"/>
              </w:rPr>
            </w:pPr>
            <w:r w:rsidRPr="00DA7625">
              <w:rPr>
                <w:rFonts w:ascii="Times New Roman" w:hAnsi="Times New Roman"/>
                <w:sz w:val="24"/>
              </w:rPr>
              <w:t xml:space="preserve">Az intézmények a veszteségeket a 010–070. oszlopban a CRR 324. cikkében említett veszteségesemény-típusoknak megfelelően tüntetik fel. </w:t>
            </w:r>
          </w:p>
          <w:p w14:paraId="505467F1" w14:textId="1E4CF686" w:rsidR="001B1411" w:rsidRPr="00DA7625" w:rsidRDefault="00FD54FC">
            <w:pPr>
              <w:rPr>
                <w:rFonts w:ascii="Times New Roman" w:hAnsi="Times New Roman"/>
                <w:bCs/>
                <w:sz w:val="24"/>
              </w:rPr>
            </w:pPr>
            <w:r w:rsidRPr="00DA7625">
              <w:rPr>
                <w:rFonts w:ascii="Times New Roman" w:hAnsi="Times New Roman"/>
                <w:bCs/>
                <w:sz w:val="24"/>
              </w:rPr>
              <w:t>A szavatolótőke-követelményt az alapmutató módszere szerint számító intézmények a felsorolt veszteségesemény-típusokba nem sorolható veszteségeket csak a 080-as oszlopban adhatják meg.</w:t>
            </w:r>
          </w:p>
        </w:tc>
      </w:tr>
      <w:tr w:rsidR="001B1411" w:rsidRPr="00DA7625" w14:paraId="7B954609" w14:textId="77777777" w:rsidTr="00672D2A">
        <w:tc>
          <w:tcPr>
            <w:tcW w:w="985" w:type="dxa"/>
          </w:tcPr>
          <w:p w14:paraId="7C1045CC" w14:textId="77777777" w:rsidR="001B1411" w:rsidRPr="00DA7625" w:rsidRDefault="00C93FC2">
            <w:pPr>
              <w:autoSpaceDE w:val="0"/>
              <w:autoSpaceDN w:val="0"/>
              <w:adjustRightInd w:val="0"/>
              <w:spacing w:before="0" w:after="0"/>
              <w:rPr>
                <w:rFonts w:ascii="Times New Roman" w:hAnsi="Times New Roman"/>
                <w:bCs/>
                <w:sz w:val="24"/>
              </w:rPr>
            </w:pPr>
            <w:r w:rsidRPr="00DA7625">
              <w:rPr>
                <w:rFonts w:ascii="Times New Roman" w:hAnsi="Times New Roman"/>
                <w:bCs/>
                <w:sz w:val="24"/>
              </w:rPr>
              <w:t>0080</w:t>
            </w:r>
          </w:p>
        </w:tc>
        <w:tc>
          <w:tcPr>
            <w:tcW w:w="8195" w:type="dxa"/>
          </w:tcPr>
          <w:p w14:paraId="1752A989" w14:textId="77777777" w:rsidR="001B1411" w:rsidRPr="00DA7625" w:rsidRDefault="00FD54FC">
            <w:pPr>
              <w:autoSpaceDE w:val="0"/>
              <w:autoSpaceDN w:val="0"/>
              <w:adjustRightInd w:val="0"/>
              <w:spacing w:before="0" w:after="0"/>
              <w:rPr>
                <w:rStyle w:val="InstructionsTabelleberschrift"/>
                <w:rFonts w:ascii="Times New Roman" w:hAnsi="Times New Roman"/>
                <w:sz w:val="24"/>
              </w:rPr>
            </w:pPr>
            <w:r w:rsidRPr="00DA7625">
              <w:rPr>
                <w:rStyle w:val="InstructionsTabelleberschrift"/>
                <w:rFonts w:ascii="Times New Roman" w:hAnsi="Times New Roman"/>
                <w:sz w:val="24"/>
              </w:rPr>
              <w:t>VESZTESÉGESEMÉNY-TÍPUSOK ÖSSZESEN</w:t>
            </w:r>
          </w:p>
          <w:p w14:paraId="593E9B26" w14:textId="5370CC6C" w:rsidR="001B1411" w:rsidRPr="00DA7625" w:rsidRDefault="00FD54FC">
            <w:pPr>
              <w:rPr>
                <w:rStyle w:val="InstructionsTabelleText"/>
                <w:rFonts w:ascii="Times New Roman" w:hAnsi="Times New Roman"/>
                <w:sz w:val="24"/>
              </w:rPr>
            </w:pPr>
            <w:r w:rsidRPr="00DA7625">
              <w:rPr>
                <w:rStyle w:val="InstructionsTabelleText"/>
                <w:rFonts w:ascii="Times New Roman" w:hAnsi="Times New Roman"/>
                <w:sz w:val="24"/>
              </w:rPr>
              <w:t>A 080-as oszlopban az egyes üzletágakra vonatkozóan az intézmények a veszteségesemények száma (új veszteségesemények) sor összesenjét, a bruttó veszteségérték (új veszteségesemények) sor összesenjét, a veszteségkorrekcióval érintett veszteségesemények száma sor összesenjét, a korábbi adatszolgáltatási időszakokhoz kapcsolódó veszteségkorrekciók sor összesenjét, a legnagyobb egyedi veszteséget, az öt legnagyobb veszteség összegét, valamint a teljes közvetlen megtérült veszteség sor összesenjét és a biztosításból és más kockázatátruházási mechanizmusokból származó teljes megtérülés sor összesenjét jelentik.</w:t>
            </w:r>
          </w:p>
          <w:p w14:paraId="51D2EB5A" w14:textId="4A16C9CD" w:rsidR="001B1411" w:rsidRPr="00DA7625" w:rsidRDefault="00FD54FC">
            <w:pPr>
              <w:rPr>
                <w:rStyle w:val="InstructionsTabelleText"/>
                <w:rFonts w:ascii="Times New Roman" w:hAnsi="Times New Roman"/>
                <w:sz w:val="24"/>
              </w:rPr>
            </w:pPr>
            <w:r w:rsidRPr="00DA7625">
              <w:rPr>
                <w:rStyle w:val="InstructionsTabelleText"/>
                <w:rFonts w:ascii="Times New Roman" w:hAnsi="Times New Roman"/>
                <w:sz w:val="24"/>
              </w:rPr>
              <w:t xml:space="preserve">Amennyiben az intézmény minden veszteség esetében azonosított veszteségesemény-típust, a 080-as oszlopban a 010–070. oszlopban megadott eseményszámok, teljes bruttó veszteségértékek, teljes megtérült veszteségek és korábbi adatszolgáltatási időszakokhoz kapcsolódó veszteségkorrekciók egyszerű összegét tüntetik fel. </w:t>
            </w:r>
          </w:p>
          <w:p w14:paraId="239BC0C7" w14:textId="260DB9E6" w:rsidR="001B1411" w:rsidRPr="00DA7625" w:rsidRDefault="00FD54FC">
            <w:pPr>
              <w:rPr>
                <w:rStyle w:val="InstructionsTabelleText"/>
                <w:rFonts w:ascii="Times New Roman" w:hAnsi="Times New Roman"/>
                <w:sz w:val="24"/>
              </w:rPr>
            </w:pPr>
            <w:r w:rsidRPr="00DA7625">
              <w:rPr>
                <w:rStyle w:val="InstructionsTabelleText"/>
                <w:rFonts w:ascii="Times New Roman" w:hAnsi="Times New Roman"/>
                <w:sz w:val="24"/>
              </w:rPr>
              <w:t xml:space="preserve">Amennyiben az intézmény minden veszteség esetében azonosított veszteségesemény-típust, a 080. oszlopban feltüntetendő legnagyobb egyedi veszteség a 010–070. oszlopokban feltüntetett legnagyobb egyedi veszteségek közül a legnagyobb. </w:t>
            </w:r>
          </w:p>
          <w:p w14:paraId="293F470B" w14:textId="77A168B8" w:rsidR="001B1411" w:rsidRPr="00DA7625" w:rsidRDefault="00FD54FC">
            <w:pPr>
              <w:rPr>
                <w:rFonts w:ascii="Times New Roman" w:hAnsi="Times New Roman"/>
                <w:bCs/>
                <w:sz w:val="24"/>
              </w:rPr>
            </w:pPr>
            <w:r w:rsidRPr="00DA7625">
              <w:rPr>
                <w:rStyle w:val="InstructionsTabelleText"/>
                <w:rFonts w:ascii="Times New Roman" w:hAnsi="Times New Roman"/>
                <w:sz w:val="24"/>
              </w:rPr>
              <w:t>Az öt legnagyobb veszteség összegénél a 080-as oszlopban az egy üzletágon belüli öt legnagyobb veszteség összegét kell megadni.</w:t>
            </w:r>
          </w:p>
        </w:tc>
      </w:tr>
      <w:tr w:rsidR="001B1411" w:rsidRPr="00DA7625" w14:paraId="3B74DBFF" w14:textId="77777777" w:rsidTr="00672D2A">
        <w:tc>
          <w:tcPr>
            <w:tcW w:w="985" w:type="dxa"/>
          </w:tcPr>
          <w:p w14:paraId="28ACCDB1" w14:textId="77777777" w:rsidR="001B1411" w:rsidRPr="00DA7625" w:rsidRDefault="00C93FC2">
            <w:pPr>
              <w:autoSpaceDE w:val="0"/>
              <w:autoSpaceDN w:val="0"/>
              <w:adjustRightInd w:val="0"/>
              <w:spacing w:before="0" w:after="0"/>
              <w:rPr>
                <w:rFonts w:ascii="Times New Roman" w:hAnsi="Times New Roman"/>
                <w:bCs/>
                <w:sz w:val="24"/>
              </w:rPr>
            </w:pPr>
            <w:r w:rsidRPr="00DA7625">
              <w:rPr>
                <w:rFonts w:ascii="Times New Roman" w:hAnsi="Times New Roman"/>
                <w:bCs/>
                <w:sz w:val="24"/>
              </w:rPr>
              <w:t>0090–0100</w:t>
            </w:r>
          </w:p>
        </w:tc>
        <w:tc>
          <w:tcPr>
            <w:tcW w:w="8195" w:type="dxa"/>
          </w:tcPr>
          <w:p w14:paraId="085BD40C" w14:textId="77777777" w:rsidR="001B1411" w:rsidRPr="00DA7625" w:rsidRDefault="00FD54FC">
            <w:pPr>
              <w:autoSpaceDE w:val="0"/>
              <w:autoSpaceDN w:val="0"/>
              <w:adjustRightInd w:val="0"/>
              <w:spacing w:before="0" w:after="0"/>
              <w:rPr>
                <w:rFonts w:ascii="Times New Roman" w:hAnsi="Times New Roman"/>
                <w:sz w:val="24"/>
              </w:rPr>
            </w:pPr>
            <w:r w:rsidRPr="00DA7625">
              <w:rPr>
                <w:rStyle w:val="InstructionsTabelleberschrift"/>
                <w:rFonts w:ascii="Times New Roman" w:hAnsi="Times New Roman"/>
                <w:sz w:val="24"/>
              </w:rPr>
              <w:t>TÁJÉKOZTATÓ ADAT: AZ ADATGYŰJTÉS SORÁN ALKALMAZOTT KÜSZÖBÉRTÉK</w:t>
            </w:r>
          </w:p>
          <w:p w14:paraId="45E2948B" w14:textId="5B2557D0" w:rsidR="001B1411" w:rsidRPr="00DA7625" w:rsidRDefault="00FD54FC">
            <w:pPr>
              <w:autoSpaceDE w:val="0"/>
              <w:autoSpaceDN w:val="0"/>
              <w:adjustRightInd w:val="0"/>
              <w:spacing w:before="0" w:after="0"/>
              <w:rPr>
                <w:rStyle w:val="InstructionsTabelleText"/>
                <w:rFonts w:ascii="Times New Roman" w:hAnsi="Times New Roman"/>
                <w:sz w:val="24"/>
              </w:rPr>
            </w:pPr>
            <w:r w:rsidRPr="00DA7625">
              <w:rPr>
                <w:rStyle w:val="InstructionsTabelleText"/>
                <w:rFonts w:ascii="Times New Roman" w:hAnsi="Times New Roman"/>
                <w:sz w:val="24"/>
              </w:rPr>
              <w:t xml:space="preserve">A 090-es és 100-as oszlopban az intézmények azokat az alsó küszöbértékeket tüntetik fel, amelyeket a CRR 322. cikke (3) bekezdése c) pontjának utolsó mondata alapján a veszteségadatok belső gyűjtésekor alkalmaznak. </w:t>
            </w:r>
          </w:p>
          <w:p w14:paraId="20697D94" w14:textId="0F6CA9AF" w:rsidR="001B1411" w:rsidRPr="00DA7625" w:rsidRDefault="001F6487">
            <w:pPr>
              <w:autoSpaceDE w:val="0"/>
              <w:autoSpaceDN w:val="0"/>
              <w:adjustRightInd w:val="0"/>
              <w:spacing w:before="0" w:after="0"/>
              <w:rPr>
                <w:rStyle w:val="InstructionsTabelleText"/>
                <w:rFonts w:ascii="Times New Roman" w:hAnsi="Times New Roman"/>
                <w:sz w:val="24"/>
              </w:rPr>
            </w:pPr>
            <w:r w:rsidRPr="00DA7625">
              <w:rPr>
                <w:rStyle w:val="InstructionsTabelleText"/>
                <w:rFonts w:ascii="Times New Roman" w:hAnsi="Times New Roman"/>
                <w:sz w:val="24"/>
              </w:rPr>
              <w:lastRenderedPageBreak/>
              <w:t xml:space="preserve">Ha az intézmény az egyes üzletágakon belül csak egy küszöbértéket alkalmaz, akkor csak a 090-es oszlopot kell kitölteni. </w:t>
            </w:r>
          </w:p>
          <w:p w14:paraId="0A034B85" w14:textId="2E988A50" w:rsidR="001B1411" w:rsidRPr="00DA7625" w:rsidRDefault="001F6487">
            <w:pPr>
              <w:rPr>
                <w:rStyle w:val="InstructionsTabelleText"/>
                <w:rFonts w:ascii="Times New Roman" w:hAnsi="Times New Roman"/>
                <w:sz w:val="24"/>
              </w:rPr>
            </w:pPr>
            <w:r w:rsidRPr="00DA7625">
              <w:rPr>
                <w:rStyle w:val="InstructionsTabelleText"/>
                <w:rFonts w:ascii="Times New Roman" w:hAnsi="Times New Roman"/>
                <w:sz w:val="24"/>
              </w:rPr>
              <w:t>Ha az intézmény azonos üzletágon belül több különböző küszöbértéket alkalmaz, akkor a legmagasabb alkalmazott küszöbértéket is meg kell adni (100-as oszlop).</w:t>
            </w:r>
          </w:p>
        </w:tc>
      </w:tr>
    </w:tbl>
    <w:p w14:paraId="0D28A5B3" w14:textId="77777777" w:rsidR="001B1411" w:rsidRPr="00DA7625" w:rsidRDefault="001B1411">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1B1411" w:rsidRPr="00DA7625" w14:paraId="47512A96" w14:textId="77777777" w:rsidTr="00672D2A">
        <w:trPr>
          <w:trHeight w:val="504"/>
        </w:trPr>
        <w:tc>
          <w:tcPr>
            <w:tcW w:w="9180" w:type="dxa"/>
            <w:gridSpan w:val="2"/>
            <w:shd w:val="clear" w:color="auto" w:fill="CCCCCC"/>
          </w:tcPr>
          <w:p w14:paraId="6B697241" w14:textId="77777777" w:rsidR="001B1411" w:rsidRPr="00DA7625" w:rsidRDefault="00FD54FC">
            <w:pPr>
              <w:autoSpaceDE w:val="0"/>
              <w:autoSpaceDN w:val="0"/>
              <w:adjustRightInd w:val="0"/>
              <w:spacing w:after="0"/>
              <w:rPr>
                <w:rFonts w:ascii="Times New Roman" w:hAnsi="Times New Roman"/>
                <w:b/>
                <w:bCs/>
                <w:sz w:val="24"/>
              </w:rPr>
            </w:pPr>
            <w:r w:rsidRPr="00DA7625">
              <w:rPr>
                <w:rFonts w:ascii="Times New Roman" w:hAnsi="Times New Roman"/>
                <w:b/>
                <w:bCs/>
                <w:sz w:val="24"/>
              </w:rPr>
              <w:t>Sor</w:t>
            </w:r>
          </w:p>
        </w:tc>
      </w:tr>
      <w:tr w:rsidR="001B1411" w:rsidRPr="00DA7625" w14:paraId="06F4EB44" w14:textId="77777777" w:rsidTr="00672D2A">
        <w:tc>
          <w:tcPr>
            <w:tcW w:w="1101" w:type="dxa"/>
          </w:tcPr>
          <w:p w14:paraId="0FDBA9D1" w14:textId="77777777" w:rsidR="001B1411" w:rsidRPr="00DA7625" w:rsidRDefault="00C93FC2">
            <w:pPr>
              <w:rPr>
                <w:rFonts w:ascii="Times New Roman" w:hAnsi="Times New Roman"/>
                <w:bCs/>
                <w:sz w:val="24"/>
              </w:rPr>
            </w:pPr>
            <w:r w:rsidRPr="00DA7625">
              <w:rPr>
                <w:rFonts w:ascii="Times New Roman" w:hAnsi="Times New Roman"/>
                <w:sz w:val="24"/>
              </w:rPr>
              <w:t>0010</w:t>
            </w:r>
            <w:r w:rsidRPr="00DA7625">
              <w:rPr>
                <w:rFonts w:ascii="Times New Roman" w:hAnsi="Times New Roman"/>
                <w:bCs/>
                <w:sz w:val="24"/>
              </w:rPr>
              <w:t>–0880</w:t>
            </w:r>
          </w:p>
        </w:tc>
        <w:tc>
          <w:tcPr>
            <w:tcW w:w="8079" w:type="dxa"/>
          </w:tcPr>
          <w:p w14:paraId="790E6AEC" w14:textId="77777777"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t>ÜZLETÁGAK: VÁLLALATI PÉNZÜGYEK, KERESKEDÉS ÉS ÉRTÉKESÍTÉS, LAKOSSÁGI KÖZVETÍTŐI TEVÉKENYSÉG, KERESKEDELMI BANKI TEVÉKENYSÉG, LAKOSSÁGI BANKI TEVÉKENYSÉG, FIZETÉSI ÉS ELSZÁMOLÁSI SZOLGÁLTATÁSOK, ÜGYNÖKI SZOLGÁLTATÁSOK, VAGYONKEZELÉS, TÁRSASÁGI SZINTŰ TÉTELEK</w:t>
            </w:r>
          </w:p>
          <w:p w14:paraId="3928E22F" w14:textId="395CDDBF" w:rsidR="001B1411" w:rsidRPr="00DA7625" w:rsidRDefault="00FD54FC">
            <w:pPr>
              <w:pStyle w:val="PlainText"/>
              <w:jc w:val="both"/>
              <w:rPr>
                <w:rFonts w:ascii="Times New Roman" w:hAnsi="Times New Roman"/>
                <w:sz w:val="24"/>
                <w:szCs w:val="24"/>
              </w:rPr>
            </w:pPr>
            <w:r w:rsidRPr="00DA7625">
              <w:rPr>
                <w:rFonts w:ascii="Times New Roman" w:hAnsi="Times New Roman"/>
                <w:sz w:val="24"/>
                <w:szCs w:val="24"/>
              </w:rPr>
              <w:t>A CRR 317. cikkének (4) bekezdésének 2. táblázatában említett üzletágakra, ideértve a 322. cikk (3) bekezdésének b) pontjában említett „társasági szintű tételek” üzletágat, valamint az egyes veszteségesemény-típusokra vonatkozóan az intézmény a belső küszöbértékeknek megfelelően a következő információkat tünteti fel: a események száma (új veszteségesemények), a bruttó veszteségérték (új veszteségesemények), a veszteségkorrekcióval érintett veszteségesemények száma, a korábbi adatszolgáltatási időszakokhoz kapcsolódó veszteségkorrekciók, a legnagyobb egyedi veszteség, az öt legnagyobb veszteség összege, teljes közvetlen megtérült veszteség és a biztosításból és más kockázatátruházási mechanizmusokból származó teljes megtérülés).</w:t>
            </w:r>
          </w:p>
          <w:p w14:paraId="707A080D" w14:textId="3AB3AFF2" w:rsidR="001B1411" w:rsidRPr="00DA7625" w:rsidRDefault="00FD54FC">
            <w:pPr>
              <w:rPr>
                <w:rFonts w:ascii="Times New Roman" w:hAnsi="Times New Roman"/>
                <w:sz w:val="24"/>
              </w:rPr>
            </w:pPr>
            <w:r w:rsidRPr="00DA7625">
              <w:rPr>
                <w:rFonts w:ascii="Times New Roman" w:hAnsi="Times New Roman"/>
                <w:sz w:val="24"/>
              </w:rPr>
              <w:t>Az olyan veszteséget okozó eseménynél, amely több üzletágat érint, a bruttó veszteségértéket fel kell osztani az összes érintett üzletág között.</w:t>
            </w:r>
          </w:p>
          <w:p w14:paraId="1493D8E8" w14:textId="1A719C4D" w:rsidR="001B1411" w:rsidRPr="00DA7625" w:rsidRDefault="00FD54FC">
            <w:pPr>
              <w:rPr>
                <w:rFonts w:ascii="Times New Roman" w:hAnsi="Times New Roman"/>
                <w:bCs/>
                <w:sz w:val="24"/>
              </w:rPr>
            </w:pPr>
            <w:r w:rsidRPr="00DA7625">
              <w:rPr>
                <w:rFonts w:ascii="Times New Roman" w:hAnsi="Times New Roman"/>
                <w:sz w:val="24"/>
              </w:rPr>
              <w:t>A szavatolótőke-követelményt az alapmutató módszere szerint számító intézmények az üzletághoz nem sorolt veszteségeket csak a 910–980-as oszlopban vehetik figyelembe.</w:t>
            </w:r>
          </w:p>
        </w:tc>
      </w:tr>
      <w:tr w:rsidR="001B1411" w:rsidRPr="00DA7625" w14:paraId="6A147BD6" w14:textId="77777777" w:rsidTr="00672D2A">
        <w:tc>
          <w:tcPr>
            <w:tcW w:w="1101" w:type="dxa"/>
          </w:tcPr>
          <w:p w14:paraId="7CF23EE8" w14:textId="77777777" w:rsidR="001B1411" w:rsidRPr="00DA7625" w:rsidRDefault="00C93FC2">
            <w:pPr>
              <w:rPr>
                <w:rFonts w:ascii="Times New Roman" w:hAnsi="Times New Roman"/>
                <w:bCs/>
                <w:sz w:val="24"/>
              </w:rPr>
            </w:pPr>
            <w:r w:rsidRPr="00DA7625">
              <w:rPr>
                <w:rFonts w:ascii="Times New Roman" w:hAnsi="Times New Roman"/>
                <w:bCs/>
                <w:sz w:val="24"/>
              </w:rPr>
              <w:t>0010, 0110, 0210, 0310, 0410, 0510, 0610, 0710, 0810</w:t>
            </w:r>
          </w:p>
        </w:tc>
        <w:tc>
          <w:tcPr>
            <w:tcW w:w="8079" w:type="dxa"/>
          </w:tcPr>
          <w:p w14:paraId="746434C0" w14:textId="77777777"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t>Veszteségesemények száma (új veszteségesemények)</w:t>
            </w:r>
          </w:p>
          <w:p w14:paraId="4348AE4C" w14:textId="589AB41A" w:rsidR="001B1411" w:rsidRPr="00DA7625" w:rsidRDefault="00FD54FC">
            <w:pPr>
              <w:rPr>
                <w:rFonts w:ascii="Times New Roman" w:hAnsi="Times New Roman"/>
                <w:sz w:val="24"/>
              </w:rPr>
            </w:pPr>
            <w:r w:rsidRPr="00DA7625">
              <w:rPr>
                <w:rFonts w:ascii="Times New Roman" w:hAnsi="Times New Roman"/>
                <w:sz w:val="24"/>
              </w:rPr>
              <w:t>A „veszteségesemények száma” azon veszteségesemények száma, amelyek vonatkozásában az aktuális adatszolgáltatási vonatkozási időszakban bruttó veszteség elszámolására került sor.</w:t>
            </w:r>
          </w:p>
          <w:p w14:paraId="56537FE3" w14:textId="02E49BF5" w:rsidR="001B1411" w:rsidRPr="00DA7625" w:rsidRDefault="00FD54FC">
            <w:pPr>
              <w:rPr>
                <w:rFonts w:ascii="Times New Roman" w:hAnsi="Times New Roman"/>
                <w:sz w:val="24"/>
              </w:rPr>
            </w:pPr>
            <w:r w:rsidRPr="00DA7625">
              <w:rPr>
                <w:rFonts w:ascii="Times New Roman" w:hAnsi="Times New Roman"/>
                <w:sz w:val="24"/>
              </w:rPr>
              <w:t>Az itt megadott veszteségesemények „új események”, azaz olyan működési kockázati események, amelyeket</w:t>
            </w:r>
          </w:p>
          <w:p w14:paraId="5C5DFEFB" w14:textId="77777777" w:rsidR="001B1411" w:rsidRPr="00DA7625" w:rsidRDefault="00FD54FC">
            <w:pPr>
              <w:tabs>
                <w:tab w:val="left" w:pos="459"/>
              </w:tabs>
              <w:ind w:left="459" w:hanging="459"/>
              <w:rPr>
                <w:rFonts w:ascii="Times New Roman" w:hAnsi="Times New Roman"/>
                <w:sz w:val="24"/>
              </w:rPr>
            </w:pPr>
            <w:r w:rsidRPr="00DA7625">
              <w:rPr>
                <w:rFonts w:ascii="Times New Roman" w:hAnsi="Times New Roman"/>
                <w:sz w:val="24"/>
              </w:rPr>
              <w:t>i.</w:t>
            </w:r>
            <w:r w:rsidRPr="00DA7625">
              <w:rPr>
                <w:rFonts w:ascii="Times New Roman" w:hAnsi="Times New Roman"/>
                <w:sz w:val="24"/>
              </w:rPr>
              <w:tab/>
              <w:t>először az adatszolgáltatási vonatkozási időszakban számoltak el, vagy</w:t>
            </w:r>
          </w:p>
          <w:p w14:paraId="1D0BC305" w14:textId="7EA901E1" w:rsidR="001B1411" w:rsidRPr="00DA7625" w:rsidRDefault="00FD54FC">
            <w:pPr>
              <w:tabs>
                <w:tab w:val="left" w:pos="459"/>
              </w:tabs>
              <w:ind w:left="459" w:hanging="459"/>
              <w:rPr>
                <w:rFonts w:ascii="Times New Roman" w:hAnsi="Times New Roman"/>
                <w:sz w:val="24"/>
              </w:rPr>
            </w:pPr>
            <w:r w:rsidRPr="00DA7625">
              <w:rPr>
                <w:rFonts w:ascii="Times New Roman" w:hAnsi="Times New Roman"/>
                <w:sz w:val="24"/>
              </w:rPr>
              <w:t>ii.</w:t>
            </w:r>
            <w:r w:rsidRPr="00DA7625">
              <w:rPr>
                <w:rFonts w:ascii="Times New Roman" w:hAnsi="Times New Roman"/>
                <w:sz w:val="24"/>
              </w:rPr>
              <w:tab/>
              <w:t>először egy korábbi adatszolgáltatási vonatkozási időszakban számoltak el, amikor a veszteségeseményről korábbi felügyeleti jelentésben nem számolt be az intézmény, például azért, mert az eseményt csak a jelenlegi adatszolgáltatási vonatkozási időszakban minősítették működési kockázati eseménynek, vagy mert az adott veszteségeseménynek betudható kumulált veszteség (az eredeti veszteség +/– a korábbi adatszolgáltatási vonatkozási időszakokban eszközölt veszteségkorrekciók eredője) csak az aktuális adatszolgáltatási vonatkozási időszakban haladta meg a belső adatgyűjtési küszöbértéket.</w:t>
            </w:r>
          </w:p>
          <w:p w14:paraId="67455681" w14:textId="14485A52" w:rsidR="001B1411" w:rsidRPr="00DA7625" w:rsidRDefault="00FD54FC">
            <w:pPr>
              <w:rPr>
                <w:rStyle w:val="InstructionsTabelleberschrift"/>
                <w:rFonts w:ascii="Times New Roman" w:hAnsi="Times New Roman"/>
                <w:sz w:val="24"/>
              </w:rPr>
            </w:pPr>
            <w:r w:rsidRPr="00DA7625">
              <w:rPr>
                <w:rFonts w:ascii="Times New Roman" w:hAnsi="Times New Roman"/>
                <w:sz w:val="24"/>
              </w:rPr>
              <w:lastRenderedPageBreak/>
              <w:t>Az „új veszteségesemények” nem tartalmazzák az először egy korábbi adatszolgáltatási vonatkozási időszakban elszámolt azon veszteségeseményeket, amelyekről korábbi felügyeleti jelentésekben már jelentett az intézmény.</w:t>
            </w:r>
          </w:p>
        </w:tc>
      </w:tr>
      <w:tr w:rsidR="001B1411" w:rsidRPr="00DA7625" w14:paraId="280792D0" w14:textId="77777777" w:rsidTr="00672D2A">
        <w:tc>
          <w:tcPr>
            <w:tcW w:w="1101" w:type="dxa"/>
          </w:tcPr>
          <w:p w14:paraId="2EDFACF1" w14:textId="77777777" w:rsidR="001B1411" w:rsidRPr="00DA7625" w:rsidRDefault="00C93FC2">
            <w:pPr>
              <w:rPr>
                <w:rFonts w:ascii="Times New Roman" w:hAnsi="Times New Roman"/>
                <w:bCs/>
                <w:sz w:val="24"/>
              </w:rPr>
            </w:pPr>
            <w:r w:rsidRPr="00DA7625">
              <w:rPr>
                <w:rFonts w:ascii="Times New Roman" w:hAnsi="Times New Roman"/>
                <w:bCs/>
                <w:sz w:val="24"/>
              </w:rPr>
              <w:lastRenderedPageBreak/>
              <w:t>0020, 0120, 0220, 0320, 0420, 0520, 0620, 0720, 0820</w:t>
            </w:r>
          </w:p>
        </w:tc>
        <w:tc>
          <w:tcPr>
            <w:tcW w:w="8079" w:type="dxa"/>
          </w:tcPr>
          <w:p w14:paraId="55FA581D" w14:textId="77777777"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t>Bruttó veszteségérték (új veszteségesemények)</w:t>
            </w:r>
          </w:p>
          <w:p w14:paraId="00134414" w14:textId="3B544272" w:rsidR="001B1411" w:rsidRPr="00DA7625" w:rsidRDefault="00FD54FC">
            <w:pPr>
              <w:rPr>
                <w:rFonts w:ascii="Times New Roman" w:hAnsi="Times New Roman"/>
                <w:sz w:val="24"/>
              </w:rPr>
            </w:pPr>
            <w:r w:rsidRPr="00DA7625">
              <w:rPr>
                <w:rFonts w:ascii="Times New Roman" w:hAnsi="Times New Roman"/>
                <w:sz w:val="24"/>
              </w:rPr>
              <w:t>A bruttó veszteségérték a működési kockázati veszteségeseményekkel összefüggő bruttó veszteség értéke (pl. közvetlen díjfizetések, céltartalékok, elszámolások). Az egy adott veszteségeseményhez kapcsolódó minden, az adatszolgáltatási vonatkozási időszakban elszámolt veszteséget össze kell adni, és ez képezi az adott adatszolgáltatási vonatkozási időszakban az adott veszteségeseményhez tartozó bruttó veszteséget.</w:t>
            </w:r>
          </w:p>
          <w:p w14:paraId="7E276A2F" w14:textId="6E927AB8" w:rsidR="001B1411" w:rsidRPr="00DA7625" w:rsidRDefault="00FD54FC">
            <w:pPr>
              <w:rPr>
                <w:rFonts w:ascii="Times New Roman" w:hAnsi="Times New Roman"/>
                <w:sz w:val="24"/>
              </w:rPr>
            </w:pPr>
            <w:r w:rsidRPr="00DA7625">
              <w:rPr>
                <w:rFonts w:ascii="Times New Roman" w:hAnsi="Times New Roman"/>
                <w:sz w:val="24"/>
              </w:rPr>
              <w:t>A feltüntetett bruttó veszteségérték az e táblázat fenti sorában meghatározott „új veszteségeseményekre” vonatkozik. Az először egy korábbi adatszolgáltatási vonatkozási időszakban elszámolt azon veszteségesemények esetében, amelyekről korábbi felügyeleti jelentésekben még nem jelentett az intézmény, az adatszolgáltatási vonatkozási időpontban bruttó veszteségként az adatszolgáltatási vonatkozási időpontig felhalmozott teljes veszteségértéket kell feltüntetni (azaz az eredeti veszteséget +/– a korábbi adatszolgáltatási vonatkozási időszakokban eszközölt veszteségkorrekciók eredőjét).</w:t>
            </w:r>
          </w:p>
          <w:p w14:paraId="492192BF" w14:textId="047AC907" w:rsidR="001B1411" w:rsidRPr="00DA7625" w:rsidRDefault="00FD54FC">
            <w:pPr>
              <w:rPr>
                <w:rStyle w:val="InstructionsTabelleberschrift"/>
                <w:rFonts w:ascii="Times New Roman" w:hAnsi="Times New Roman"/>
                <w:sz w:val="24"/>
              </w:rPr>
            </w:pPr>
            <w:r w:rsidRPr="00DA7625">
              <w:rPr>
                <w:rFonts w:ascii="Times New Roman" w:hAnsi="Times New Roman"/>
                <w:sz w:val="24"/>
              </w:rPr>
              <w:t>A jelentett értékben nem vehető figyelembe a már megtérült veszteség.</w:t>
            </w:r>
          </w:p>
        </w:tc>
      </w:tr>
      <w:tr w:rsidR="001B1411" w:rsidRPr="00DA7625" w14:paraId="2F31663E" w14:textId="77777777" w:rsidTr="00672D2A">
        <w:tc>
          <w:tcPr>
            <w:tcW w:w="1101" w:type="dxa"/>
          </w:tcPr>
          <w:p w14:paraId="4597FED8" w14:textId="77777777" w:rsidR="001B1411" w:rsidRPr="00DA7625" w:rsidRDefault="00C93FC2">
            <w:pPr>
              <w:rPr>
                <w:rFonts w:ascii="Times New Roman" w:hAnsi="Times New Roman"/>
                <w:bCs/>
                <w:sz w:val="24"/>
              </w:rPr>
            </w:pPr>
            <w:r w:rsidRPr="00DA7625">
              <w:rPr>
                <w:rFonts w:ascii="Times New Roman" w:hAnsi="Times New Roman"/>
                <w:bCs/>
                <w:sz w:val="24"/>
              </w:rPr>
              <w:t>0030, 0130, 0230, 0330, 0430, 0530, 0630, 0730, 0830</w:t>
            </w:r>
          </w:p>
        </w:tc>
        <w:tc>
          <w:tcPr>
            <w:tcW w:w="8079" w:type="dxa"/>
          </w:tcPr>
          <w:p w14:paraId="731870AB" w14:textId="77777777"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t>Veszteségkorrekcióval érintett veszteségesemények száma</w:t>
            </w:r>
          </w:p>
          <w:p w14:paraId="0BA745E9" w14:textId="1A846C10" w:rsidR="001B1411" w:rsidRPr="00DA7625" w:rsidRDefault="00FD54FC">
            <w:pPr>
              <w:rPr>
                <w:rFonts w:ascii="Times New Roman" w:hAnsi="Times New Roman"/>
                <w:sz w:val="24"/>
              </w:rPr>
            </w:pPr>
            <w:r w:rsidRPr="00DA7625">
              <w:rPr>
                <w:rFonts w:ascii="Times New Roman" w:hAnsi="Times New Roman"/>
                <w:sz w:val="24"/>
              </w:rPr>
              <w:t xml:space="preserve">A veszteségkorrekcióval érintett veszteségesemények száma az először egy korábbi adatszolgáltatási vonatkozási időszakban elszámolt és korábbi jelentésekben már jelentett azon működési kockázati események száma, amelyek tekintetében az aktuális adatszolgáltatási vonatkozási időszakban veszteségkorrekciót eszközöltek. </w:t>
            </w:r>
          </w:p>
          <w:p w14:paraId="2B31C3CD" w14:textId="56A2CDB1" w:rsidR="001B1411" w:rsidRPr="00DA7625" w:rsidRDefault="001F6487">
            <w:pPr>
              <w:rPr>
                <w:b/>
                <w:sz w:val="24"/>
              </w:rPr>
            </w:pPr>
            <w:r w:rsidRPr="00DA7625">
              <w:rPr>
                <w:rFonts w:ascii="Times New Roman" w:hAnsi="Times New Roman"/>
                <w:sz w:val="24"/>
              </w:rPr>
              <w:t>Amennyiben az adatszolgáltatási vonatkozási időszakban egy veszteségeseményre vonatkozóan több veszteségkorrekció történt, ezek összegét egy korrekciónak kell tekinteni az időszakban.</w:t>
            </w:r>
          </w:p>
        </w:tc>
      </w:tr>
      <w:tr w:rsidR="001B1411" w:rsidRPr="00DA7625" w14:paraId="24028166" w14:textId="77777777" w:rsidTr="00672D2A">
        <w:tc>
          <w:tcPr>
            <w:tcW w:w="1101" w:type="dxa"/>
          </w:tcPr>
          <w:p w14:paraId="152C190A" w14:textId="77777777" w:rsidR="001B1411" w:rsidRPr="00DA7625" w:rsidRDefault="00C93FC2">
            <w:pPr>
              <w:rPr>
                <w:rFonts w:ascii="Times New Roman" w:hAnsi="Times New Roman"/>
                <w:bCs/>
                <w:sz w:val="24"/>
              </w:rPr>
            </w:pPr>
            <w:r w:rsidRPr="00DA7625">
              <w:rPr>
                <w:rFonts w:ascii="Times New Roman" w:hAnsi="Times New Roman"/>
                <w:bCs/>
                <w:sz w:val="24"/>
              </w:rPr>
              <w:t>0040, 0140, 0240, 0340, 0440, 0540, 0640, 0</w:t>
            </w:r>
            <w:r w:rsidRPr="00DA7625">
              <w:rPr>
                <w:rFonts w:ascii="Times New Roman" w:hAnsi="Times New Roman"/>
                <w:sz w:val="24"/>
              </w:rPr>
              <w:t>740</w:t>
            </w:r>
            <w:r w:rsidRPr="00DA7625">
              <w:rPr>
                <w:rFonts w:ascii="Times New Roman" w:hAnsi="Times New Roman"/>
                <w:bCs/>
                <w:sz w:val="24"/>
              </w:rPr>
              <w:t>, 0840</w:t>
            </w:r>
          </w:p>
        </w:tc>
        <w:tc>
          <w:tcPr>
            <w:tcW w:w="8079" w:type="dxa"/>
          </w:tcPr>
          <w:p w14:paraId="57C9572B" w14:textId="77777777"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t>Korábbi adatszolgáltatási időszakokhoz kapcsolódó veszteségkorrekciók</w:t>
            </w:r>
          </w:p>
          <w:p w14:paraId="6221F1D9" w14:textId="3EB9E979" w:rsidR="001B1411" w:rsidRPr="00DA7625" w:rsidRDefault="00FD54FC">
            <w:pPr>
              <w:rPr>
                <w:rFonts w:ascii="Times New Roman" w:hAnsi="Times New Roman"/>
                <w:sz w:val="24"/>
              </w:rPr>
            </w:pPr>
            <w:r w:rsidRPr="00DA7625">
              <w:rPr>
                <w:rFonts w:ascii="Times New Roman" w:hAnsi="Times New Roman"/>
                <w:sz w:val="24"/>
              </w:rPr>
              <w:t>A korábbi adatszolgáltatási vonatkozási időszakokhoz kapcsolódó veszteségkorrekciókat a következő (pozitív vagy negatív) elemek összegeként kell kiszámolni:</w:t>
            </w:r>
          </w:p>
          <w:p w14:paraId="4B47FAE2" w14:textId="77777777" w:rsidR="001B1411" w:rsidRPr="00DA7625" w:rsidRDefault="00FD54FC">
            <w:pPr>
              <w:tabs>
                <w:tab w:val="left" w:pos="459"/>
              </w:tabs>
              <w:ind w:left="459" w:hanging="459"/>
              <w:rPr>
                <w:rFonts w:ascii="Times New Roman" w:hAnsi="Times New Roman"/>
                <w:sz w:val="24"/>
              </w:rPr>
            </w:pPr>
            <w:r w:rsidRPr="00DA7625">
              <w:rPr>
                <w:rFonts w:ascii="Times New Roman" w:hAnsi="Times New Roman"/>
                <w:sz w:val="24"/>
              </w:rPr>
              <w:t>i.</w:t>
            </w:r>
            <w:r w:rsidRPr="00DA7625">
              <w:rPr>
                <w:rFonts w:ascii="Times New Roman" w:hAnsi="Times New Roman"/>
                <w:sz w:val="24"/>
              </w:rPr>
              <w:tab/>
              <w:t>azon működési kockázati események aktuális adatszolgáltatási vonatkozási időszakban végrehajtott pozitív veszteségkorrekcióival (pl. céltartalék-emelés, kapcsolódó veszteségesemények, kiegészítő elszámolások) összefüggő bruttó veszteség, amelyeket korábbi adatszolgáltatási vonatkozási időszakban számolt el és jelentett először az intézmény;</w:t>
            </w:r>
          </w:p>
          <w:p w14:paraId="23707CE8" w14:textId="77777777" w:rsidR="001B1411" w:rsidRPr="00DA7625" w:rsidRDefault="00FD54FC">
            <w:pPr>
              <w:tabs>
                <w:tab w:val="left" w:pos="459"/>
              </w:tabs>
              <w:ind w:left="459" w:hanging="459"/>
              <w:rPr>
                <w:rFonts w:ascii="Times New Roman" w:hAnsi="Times New Roman"/>
                <w:sz w:val="24"/>
              </w:rPr>
            </w:pPr>
            <w:r w:rsidRPr="00DA7625">
              <w:rPr>
                <w:rFonts w:ascii="Times New Roman" w:hAnsi="Times New Roman"/>
                <w:sz w:val="24"/>
              </w:rPr>
              <w:t>ii.</w:t>
            </w:r>
            <w:r w:rsidRPr="00DA7625">
              <w:rPr>
                <w:rFonts w:ascii="Times New Roman" w:hAnsi="Times New Roman"/>
                <w:sz w:val="24"/>
              </w:rPr>
              <w:tab/>
              <w:t xml:space="preserve">azon működési kockázati veszteségesemények aktuális adatszolgáltatási vonatkozási időszakban végrehajtott negatív veszteségkorrekcióival (pl. céltartalék-csökkentés) összefüggő bruttó veszteség, amelyeket korábbi adatszolgáltatási vonatkozási időszakban számolt el és jelentett először az intézmény. </w:t>
            </w:r>
          </w:p>
          <w:p w14:paraId="2D748ABA" w14:textId="3AB3CED4" w:rsidR="001B1411" w:rsidRPr="00DA7625" w:rsidRDefault="001F6487">
            <w:pPr>
              <w:rPr>
                <w:rFonts w:ascii="Times New Roman" w:hAnsi="Times New Roman"/>
                <w:sz w:val="24"/>
              </w:rPr>
            </w:pPr>
            <w:r w:rsidRPr="00DA7625">
              <w:rPr>
                <w:rFonts w:ascii="Times New Roman" w:hAnsi="Times New Roman"/>
                <w:sz w:val="24"/>
              </w:rPr>
              <w:t xml:space="preserve">Amennyiben az adatszolgáltatási vonatkozási időszakban egy veszteségeseményre vonatkozóan több veszteségkorrekció történt, ezek értékét összegezni </w:t>
            </w:r>
            <w:r w:rsidRPr="00DA7625">
              <w:rPr>
                <w:rFonts w:ascii="Times New Roman" w:hAnsi="Times New Roman"/>
                <w:sz w:val="24"/>
              </w:rPr>
              <w:lastRenderedPageBreak/>
              <w:t>kell, figyelembe véve a korrekció előjelét (pozitív vagy negatív). Az adott veszteségesemény és adatszolgáltatási vonatkozási időszak tekintetében ez az összeg tekintendő a veszteségkorrekciónak.</w:t>
            </w:r>
          </w:p>
          <w:p w14:paraId="6AFACF1E" w14:textId="212B31F7" w:rsidR="001B1411" w:rsidRPr="00DA7625" w:rsidRDefault="001F6487">
            <w:pPr>
              <w:rPr>
                <w:rFonts w:ascii="Times New Roman" w:hAnsi="Times New Roman"/>
                <w:sz w:val="24"/>
              </w:rPr>
            </w:pPr>
            <w:r w:rsidRPr="00DA7625">
              <w:rPr>
                <w:rFonts w:ascii="Times New Roman" w:hAnsi="Times New Roman"/>
                <w:sz w:val="24"/>
              </w:rPr>
              <w:t>Amennyiben negatív veszteségkorrekció miatt a veszteségeseménynek tulajdonítható kiigazított veszteségérték az intézmény belső adatgyűjtési küszöbértéke alá csökken, az intézménynek nem magát a negatív veszteségkorrekciót kell jelentenie, hanem negatív előjellel a veszteségeseményhez kapcsolódó, az esemény legutóbbi decemberi referencia-időponttal történő jelentéséig felhalmozott teljes veszteségértéket (az eredeti veszteség +/– a korábbi adatszolgáltatási vonatkozási időszakokban eszközölt veszteségkorrekciók eredője).</w:t>
            </w:r>
          </w:p>
          <w:p w14:paraId="32E8B207" w14:textId="1128A6E7" w:rsidR="001B1411" w:rsidRPr="00DA7625" w:rsidRDefault="00FD54FC">
            <w:pPr>
              <w:rPr>
                <w:b/>
                <w:sz w:val="24"/>
              </w:rPr>
            </w:pPr>
            <w:r w:rsidRPr="00DA7625">
              <w:rPr>
                <w:rFonts w:ascii="Times New Roman" w:hAnsi="Times New Roman"/>
                <w:sz w:val="24"/>
              </w:rPr>
              <w:t>A jelentett értékben nem vehető figyelembe a már megtérült veszteség.</w:t>
            </w:r>
          </w:p>
        </w:tc>
      </w:tr>
      <w:tr w:rsidR="001B1411" w:rsidRPr="00DA7625" w14:paraId="57752AD3" w14:textId="77777777" w:rsidTr="00672D2A">
        <w:tc>
          <w:tcPr>
            <w:tcW w:w="1101" w:type="dxa"/>
          </w:tcPr>
          <w:p w14:paraId="0F2AEB24" w14:textId="77777777" w:rsidR="001B1411" w:rsidRPr="00DA7625" w:rsidRDefault="00C93FC2">
            <w:pPr>
              <w:rPr>
                <w:rFonts w:ascii="Times New Roman" w:hAnsi="Times New Roman"/>
                <w:bCs/>
                <w:sz w:val="24"/>
              </w:rPr>
            </w:pPr>
            <w:r w:rsidRPr="00DA7625">
              <w:rPr>
                <w:rFonts w:ascii="Times New Roman" w:hAnsi="Times New Roman"/>
                <w:bCs/>
                <w:sz w:val="24"/>
              </w:rPr>
              <w:lastRenderedPageBreak/>
              <w:t>0050, 0150, 0250, 0350, 0450, 0550, 0650, 0750, 0850</w:t>
            </w:r>
          </w:p>
        </w:tc>
        <w:tc>
          <w:tcPr>
            <w:tcW w:w="8079" w:type="dxa"/>
          </w:tcPr>
          <w:p w14:paraId="7C8B89AF" w14:textId="77777777"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t>Legnagyobb egyedi veszteség</w:t>
            </w:r>
          </w:p>
          <w:p w14:paraId="102DF4F7" w14:textId="5F979B0C" w:rsidR="001B1411" w:rsidRPr="00DA7625" w:rsidRDefault="00FD54FC">
            <w:pPr>
              <w:rPr>
                <w:rFonts w:ascii="Times New Roman" w:hAnsi="Times New Roman"/>
                <w:sz w:val="24"/>
              </w:rPr>
            </w:pPr>
            <w:r w:rsidRPr="00DA7625">
              <w:rPr>
                <w:rFonts w:ascii="Times New Roman" w:hAnsi="Times New Roman"/>
                <w:sz w:val="24"/>
              </w:rPr>
              <w:t>A legnagyobb egyedi veszteség</w:t>
            </w:r>
          </w:p>
          <w:p w14:paraId="4E1B5AE8" w14:textId="5623FEDD" w:rsidR="001B1411" w:rsidRPr="00DA7625" w:rsidRDefault="00FD54FC">
            <w:pPr>
              <w:tabs>
                <w:tab w:val="left" w:pos="459"/>
              </w:tabs>
              <w:ind w:left="459" w:hanging="459"/>
              <w:rPr>
                <w:rFonts w:ascii="Times New Roman" w:hAnsi="Times New Roman"/>
                <w:sz w:val="24"/>
              </w:rPr>
            </w:pPr>
            <w:r w:rsidRPr="00DA7625">
              <w:rPr>
                <w:rFonts w:ascii="Times New Roman" w:hAnsi="Times New Roman"/>
                <w:sz w:val="24"/>
              </w:rPr>
              <w:t>i.</w:t>
            </w:r>
            <w:r w:rsidRPr="00DA7625">
              <w:rPr>
                <w:rFonts w:ascii="Times New Roman" w:hAnsi="Times New Roman"/>
                <w:sz w:val="24"/>
              </w:rPr>
              <w:tab/>
              <w:t>az adatszolgáltatási vonatkozási időszakban először jelentett valamely veszteségeseményhez kapcsolódó legnagyobb bruttó veszteségérték; és</w:t>
            </w:r>
          </w:p>
          <w:p w14:paraId="0A7B5272" w14:textId="59833E26" w:rsidR="001B1411" w:rsidRPr="00DA7625" w:rsidRDefault="00FD54FC">
            <w:pPr>
              <w:tabs>
                <w:tab w:val="left" w:pos="459"/>
              </w:tabs>
              <w:ind w:left="459" w:hanging="459"/>
              <w:rPr>
                <w:rFonts w:ascii="Times New Roman" w:hAnsi="Times New Roman"/>
                <w:sz w:val="24"/>
              </w:rPr>
            </w:pPr>
            <w:r w:rsidRPr="00DA7625">
              <w:rPr>
                <w:rFonts w:ascii="Times New Roman" w:hAnsi="Times New Roman"/>
                <w:sz w:val="24"/>
                <w:highlight w:val="yellow"/>
              </w:rPr>
              <w:t>ii.</w:t>
            </w:r>
            <w:r w:rsidRPr="00DA7625">
              <w:rPr>
                <w:rFonts w:ascii="Times New Roman" w:hAnsi="Times New Roman"/>
                <w:sz w:val="24"/>
                <w:highlight w:val="yellow"/>
              </w:rPr>
              <w:tab/>
              <w:t>egy korábbi adatszolgáltatási vonatkozási időszakban először jelentett valamely veszteségeseményhez kapcsolódó (a fenti 040, 0140, …, 0840 sorokban említett) legnagyobb pozitív veszteségkorrekció.</w:t>
            </w:r>
          </w:p>
          <w:p w14:paraId="3816A2ED" w14:textId="1AF42AAC" w:rsidR="001B1411" w:rsidRPr="00DA7625" w:rsidRDefault="00FD54FC">
            <w:pPr>
              <w:rPr>
                <w:sz w:val="24"/>
              </w:rPr>
            </w:pPr>
            <w:r w:rsidRPr="00DA7625">
              <w:rPr>
                <w:rFonts w:ascii="Times New Roman" w:hAnsi="Times New Roman"/>
                <w:sz w:val="24"/>
              </w:rPr>
              <w:t>A jelentett értékben nem vehető figyelembe a már megtérült veszteség.</w:t>
            </w:r>
          </w:p>
        </w:tc>
      </w:tr>
      <w:tr w:rsidR="001B1411" w:rsidRPr="00DA7625" w14:paraId="4B199E8D" w14:textId="77777777" w:rsidTr="00672D2A">
        <w:tc>
          <w:tcPr>
            <w:tcW w:w="1101" w:type="dxa"/>
          </w:tcPr>
          <w:p w14:paraId="44F8BA7E" w14:textId="77777777" w:rsidR="001B1411" w:rsidRPr="00DA7625" w:rsidRDefault="00C93FC2">
            <w:pPr>
              <w:rPr>
                <w:rFonts w:ascii="Times New Roman" w:hAnsi="Times New Roman"/>
                <w:bCs/>
                <w:sz w:val="24"/>
              </w:rPr>
            </w:pPr>
            <w:r w:rsidRPr="00DA7625">
              <w:rPr>
                <w:rFonts w:ascii="Times New Roman" w:hAnsi="Times New Roman"/>
                <w:bCs/>
                <w:sz w:val="24"/>
              </w:rPr>
              <w:t>0060, 0160, 0260, 0360, 0460, 0560, 0660, 0760, 0860</w:t>
            </w:r>
          </w:p>
        </w:tc>
        <w:tc>
          <w:tcPr>
            <w:tcW w:w="8079" w:type="dxa"/>
          </w:tcPr>
          <w:p w14:paraId="15174573" w14:textId="77777777"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t>Az öt legnagyobb veszteség összege</w:t>
            </w:r>
          </w:p>
          <w:p w14:paraId="38CFFFCE" w14:textId="2415CD6C" w:rsidR="001B1411" w:rsidRPr="00DA7625" w:rsidRDefault="00FD54FC">
            <w:pPr>
              <w:rPr>
                <w:rFonts w:ascii="Times New Roman" w:hAnsi="Times New Roman"/>
                <w:sz w:val="24"/>
              </w:rPr>
            </w:pPr>
            <w:r w:rsidRPr="00DA7625">
              <w:rPr>
                <w:rFonts w:ascii="Times New Roman" w:hAnsi="Times New Roman"/>
                <w:sz w:val="24"/>
              </w:rPr>
              <w:t>Az öt legnagyobb veszteség összege az alábbiak közüli öt legmagasabb érték összege:</w:t>
            </w:r>
          </w:p>
          <w:p w14:paraId="1E955010" w14:textId="77777777" w:rsidR="001B1411" w:rsidRPr="00DA7625" w:rsidRDefault="00FD54FC">
            <w:pPr>
              <w:tabs>
                <w:tab w:val="left" w:pos="459"/>
              </w:tabs>
              <w:ind w:left="459" w:hanging="459"/>
              <w:rPr>
                <w:rFonts w:ascii="Times New Roman" w:hAnsi="Times New Roman"/>
                <w:sz w:val="24"/>
              </w:rPr>
            </w:pPr>
            <w:r w:rsidRPr="00DA7625">
              <w:rPr>
                <w:rFonts w:ascii="Times New Roman" w:hAnsi="Times New Roman"/>
                <w:sz w:val="24"/>
              </w:rPr>
              <w:t>i.</w:t>
            </w:r>
            <w:r w:rsidRPr="00DA7625">
              <w:rPr>
                <w:rFonts w:ascii="Times New Roman" w:hAnsi="Times New Roman"/>
                <w:sz w:val="24"/>
              </w:rPr>
              <w:tab/>
              <w:t>az adatszolgáltatási vonatkozási időszakban első alkalommal bejelentett veszteségeseményekhez kapcsolódó legnagyobb bruttó veszteségértékek; valamint</w:t>
            </w:r>
          </w:p>
          <w:p w14:paraId="612D4190" w14:textId="73765FE7" w:rsidR="001B1411" w:rsidRPr="00DA7625" w:rsidRDefault="00FD54FC">
            <w:pPr>
              <w:tabs>
                <w:tab w:val="left" w:pos="459"/>
              </w:tabs>
              <w:ind w:left="459" w:hanging="459"/>
              <w:rPr>
                <w:rFonts w:ascii="Times New Roman" w:hAnsi="Times New Roman"/>
                <w:sz w:val="24"/>
              </w:rPr>
            </w:pPr>
            <w:r w:rsidRPr="00DA7625">
              <w:rPr>
                <w:rFonts w:ascii="Times New Roman" w:hAnsi="Times New Roman"/>
                <w:sz w:val="24"/>
              </w:rPr>
              <w:t>ii.</w:t>
            </w:r>
            <w:r w:rsidRPr="00DA7625">
              <w:rPr>
                <w:rFonts w:ascii="Times New Roman" w:hAnsi="Times New Roman"/>
                <w:sz w:val="24"/>
              </w:rPr>
              <w:tab/>
              <w:t>egy korábbi adatszolgáltatási vonatkozási időszakban először jelentett veszteségeseményekhez kapcsolódó (a fenti 040, 140, …, 840 sorokban meghatározott) pozitív veszteségkorrekciók. Az öt legmagasabb összeg között csak maga a veszteségkorrekció összege vehető számításba, nem pedig az adott eseményhez kapcsolódó, a korrekció előtti vagy utáni teljes veszteségérték.</w:t>
            </w:r>
          </w:p>
          <w:p w14:paraId="203923A8" w14:textId="1F4A1F8D" w:rsidR="001B1411" w:rsidRPr="00DA7625" w:rsidRDefault="00FD54FC">
            <w:pPr>
              <w:rPr>
                <w:sz w:val="24"/>
              </w:rPr>
            </w:pPr>
            <w:r w:rsidRPr="00DA7625">
              <w:rPr>
                <w:rFonts w:ascii="Times New Roman" w:hAnsi="Times New Roman"/>
                <w:sz w:val="24"/>
              </w:rPr>
              <w:t>A jelentett értékben nem vehető figyelembe a már megtérült veszteség.</w:t>
            </w:r>
          </w:p>
        </w:tc>
      </w:tr>
      <w:tr w:rsidR="001B1411" w:rsidRPr="00DA7625" w14:paraId="413941A3" w14:textId="77777777" w:rsidTr="00672D2A">
        <w:tc>
          <w:tcPr>
            <w:tcW w:w="1101" w:type="dxa"/>
          </w:tcPr>
          <w:p w14:paraId="30E45BBE" w14:textId="77777777" w:rsidR="001B1411" w:rsidRPr="00DA7625" w:rsidRDefault="00C93FC2">
            <w:pPr>
              <w:rPr>
                <w:rFonts w:ascii="Times New Roman" w:hAnsi="Times New Roman"/>
                <w:bCs/>
                <w:sz w:val="24"/>
              </w:rPr>
            </w:pPr>
            <w:r w:rsidRPr="00DA7625">
              <w:rPr>
                <w:rFonts w:ascii="Times New Roman" w:hAnsi="Times New Roman"/>
                <w:bCs/>
                <w:sz w:val="24"/>
              </w:rPr>
              <w:t>0070, 0170, 0270, 0370, 0470, 0570, 0670, 0770, 0870</w:t>
            </w:r>
          </w:p>
        </w:tc>
        <w:tc>
          <w:tcPr>
            <w:tcW w:w="8079" w:type="dxa"/>
          </w:tcPr>
          <w:p w14:paraId="43A05DAB" w14:textId="77777777" w:rsidR="001B1411" w:rsidRPr="00DA7625" w:rsidRDefault="00B34B0B">
            <w:pPr>
              <w:rPr>
                <w:sz w:val="24"/>
              </w:rPr>
            </w:pPr>
            <w:r w:rsidRPr="00DA7625">
              <w:rPr>
                <w:rStyle w:val="InstructionsTabelleberschrift"/>
                <w:rFonts w:ascii="Times New Roman" w:hAnsi="Times New Roman"/>
                <w:sz w:val="24"/>
              </w:rPr>
              <w:t>Teljes közvetlen megtérült veszteség</w:t>
            </w:r>
          </w:p>
          <w:p w14:paraId="7A363432" w14:textId="345758E1" w:rsidR="001B1411" w:rsidRPr="00DA7625" w:rsidRDefault="00FD54FC">
            <w:pPr>
              <w:rPr>
                <w:rFonts w:ascii="Times New Roman" w:hAnsi="Times New Roman"/>
                <w:sz w:val="24"/>
              </w:rPr>
            </w:pPr>
            <w:r w:rsidRPr="00DA7625">
              <w:rPr>
                <w:rFonts w:ascii="Times New Roman" w:hAnsi="Times New Roman"/>
                <w:sz w:val="24"/>
              </w:rPr>
              <w:t xml:space="preserve">A közvetlen megtérült veszteség valamennyi megtérült veszteség a CRR 323. cikkének hatálya alá tartozó, az e tábla alábbi sorában jelentett megtérülések kivételével. </w:t>
            </w:r>
          </w:p>
          <w:p w14:paraId="0C7D6285" w14:textId="15F98768" w:rsidR="001B1411" w:rsidRPr="00DA7625" w:rsidRDefault="00FD54FC">
            <w:pPr>
              <w:rPr>
                <w:b/>
                <w:sz w:val="24"/>
              </w:rPr>
            </w:pPr>
            <w:r w:rsidRPr="00DA7625">
              <w:rPr>
                <w:rFonts w:ascii="Times New Roman" w:hAnsi="Times New Roman"/>
                <w:sz w:val="24"/>
              </w:rPr>
              <w:t>A teljes közvetlen megtérült veszteség az aktuális vagy a korábbi adatszolgáltatási vonatkozási időszakban először elszámolt működési kockázati eseményekkel összefüggő, az aktuális adatszolgáltatási időszakban elszámolt közvetlen megtérült veszteségek és ezek korrekcióinak összege.</w:t>
            </w:r>
          </w:p>
        </w:tc>
      </w:tr>
      <w:tr w:rsidR="001B1411" w:rsidRPr="00DA7625" w14:paraId="05698663" w14:textId="77777777" w:rsidTr="00672D2A">
        <w:tc>
          <w:tcPr>
            <w:tcW w:w="1101" w:type="dxa"/>
          </w:tcPr>
          <w:p w14:paraId="4C97E254" w14:textId="77777777" w:rsidR="001B1411" w:rsidRPr="00DA7625" w:rsidRDefault="00C93FC2">
            <w:pPr>
              <w:rPr>
                <w:rFonts w:ascii="Times New Roman" w:hAnsi="Times New Roman"/>
                <w:bCs/>
                <w:sz w:val="24"/>
              </w:rPr>
            </w:pPr>
            <w:r w:rsidRPr="00DA7625">
              <w:rPr>
                <w:rFonts w:ascii="Times New Roman" w:hAnsi="Times New Roman"/>
                <w:bCs/>
                <w:sz w:val="24"/>
              </w:rPr>
              <w:t xml:space="preserve">0080, 0180, </w:t>
            </w:r>
            <w:r w:rsidRPr="00DA7625">
              <w:rPr>
                <w:rFonts w:ascii="Times New Roman" w:hAnsi="Times New Roman"/>
                <w:bCs/>
                <w:sz w:val="24"/>
              </w:rPr>
              <w:lastRenderedPageBreak/>
              <w:t>0</w:t>
            </w:r>
            <w:r w:rsidRPr="00DA7625">
              <w:rPr>
                <w:rFonts w:ascii="Times New Roman" w:hAnsi="Times New Roman"/>
                <w:sz w:val="24"/>
              </w:rPr>
              <w:t>280</w:t>
            </w:r>
            <w:r w:rsidRPr="00DA7625">
              <w:rPr>
                <w:rFonts w:ascii="Times New Roman" w:hAnsi="Times New Roman"/>
                <w:bCs/>
                <w:sz w:val="24"/>
              </w:rPr>
              <w:t>, 0380, 0480, 0580, 0680, 0780, 0880</w:t>
            </w:r>
          </w:p>
        </w:tc>
        <w:tc>
          <w:tcPr>
            <w:tcW w:w="8079" w:type="dxa"/>
          </w:tcPr>
          <w:p w14:paraId="79D2A1BB" w14:textId="77777777"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lastRenderedPageBreak/>
              <w:t>Biztosításból és más kockázatátruházási mechanizmusokból származó teljes megtérülés</w:t>
            </w:r>
          </w:p>
          <w:p w14:paraId="20936E62" w14:textId="20CC6831" w:rsidR="001B1411" w:rsidRPr="00DA7625" w:rsidRDefault="00FD54FC">
            <w:pPr>
              <w:rPr>
                <w:rFonts w:ascii="Times New Roman" w:hAnsi="Times New Roman"/>
                <w:sz w:val="24"/>
              </w:rPr>
            </w:pPr>
            <w:r w:rsidRPr="00DA7625">
              <w:rPr>
                <w:rFonts w:ascii="Times New Roman" w:hAnsi="Times New Roman"/>
                <w:sz w:val="24"/>
              </w:rPr>
              <w:lastRenderedPageBreak/>
              <w:t xml:space="preserve">A CRR 323. cikkének hatálya alá tartozó megtérülések tartoznak ide. </w:t>
            </w:r>
          </w:p>
          <w:p w14:paraId="52FE6B5C" w14:textId="2CDF759D" w:rsidR="001B1411" w:rsidRPr="00DA7625" w:rsidRDefault="00FD54FC">
            <w:pPr>
              <w:rPr>
                <w:sz w:val="24"/>
              </w:rPr>
            </w:pPr>
            <w:r w:rsidRPr="00DA7625">
              <w:rPr>
                <w:rFonts w:ascii="Times New Roman" w:hAnsi="Times New Roman"/>
                <w:sz w:val="24"/>
              </w:rPr>
              <w:t>A biztosításból és más kockázatátruházási mechanizmusokból származó teljes megtérülés az aktuális vagy a korábbi adatszolgáltatási vonatkozási időszakban először elszámolt működési kockázati veszteségeseményekkel összefüggő, az aktuális adatszolgáltatási időszakban elszámolt, biztosításból és más kockázatátruházási mechanizmusokból származó megtérülések és ezek korrekcióinak összege.</w:t>
            </w:r>
          </w:p>
        </w:tc>
      </w:tr>
      <w:tr w:rsidR="001B1411" w:rsidRPr="00DA7625" w14:paraId="1D4EE1B2" w14:textId="77777777" w:rsidTr="00672D2A">
        <w:tc>
          <w:tcPr>
            <w:tcW w:w="1101" w:type="dxa"/>
          </w:tcPr>
          <w:p w14:paraId="3C552EE6" w14:textId="77777777" w:rsidR="001B1411" w:rsidRPr="00DA7625" w:rsidRDefault="00C93FC2">
            <w:pPr>
              <w:rPr>
                <w:rFonts w:ascii="Times New Roman" w:hAnsi="Times New Roman"/>
                <w:bCs/>
                <w:sz w:val="24"/>
              </w:rPr>
            </w:pPr>
            <w:r w:rsidRPr="00DA7625">
              <w:rPr>
                <w:rFonts w:ascii="Times New Roman" w:hAnsi="Times New Roman"/>
                <w:sz w:val="24"/>
              </w:rPr>
              <w:lastRenderedPageBreak/>
              <w:t>0910</w:t>
            </w:r>
            <w:r w:rsidRPr="00DA7625">
              <w:rPr>
                <w:rFonts w:ascii="Times New Roman" w:hAnsi="Times New Roman"/>
                <w:bCs/>
                <w:sz w:val="24"/>
              </w:rPr>
              <w:t>–0980</w:t>
            </w:r>
          </w:p>
        </w:tc>
        <w:tc>
          <w:tcPr>
            <w:tcW w:w="8079" w:type="dxa"/>
          </w:tcPr>
          <w:p w14:paraId="2AF50A78" w14:textId="77777777"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t>ÜZLETÁGAK ÖSSZESEN</w:t>
            </w:r>
          </w:p>
          <w:p w14:paraId="159F5A10" w14:textId="49FD225D" w:rsidR="001B1411" w:rsidRPr="00DA7625" w:rsidRDefault="00FD54FC">
            <w:pPr>
              <w:rPr>
                <w:rFonts w:ascii="Times New Roman" w:hAnsi="Times New Roman"/>
                <w:sz w:val="24"/>
              </w:rPr>
            </w:pPr>
            <w:r w:rsidRPr="00DA7625">
              <w:rPr>
                <w:rFonts w:ascii="Times New Roman" w:hAnsi="Times New Roman"/>
                <w:sz w:val="24"/>
              </w:rPr>
              <w:t>Az üzletágak összesen sorokon az összesítő információkat kell feltüntetni az egyes veszteségesemény-típusok (0010–0080. oszlop) szerint.</w:t>
            </w:r>
          </w:p>
        </w:tc>
      </w:tr>
      <w:tr w:rsidR="001B1411" w:rsidRPr="00DA7625" w14:paraId="52871EAA" w14:textId="77777777" w:rsidTr="00672D2A">
        <w:tc>
          <w:tcPr>
            <w:tcW w:w="1101" w:type="dxa"/>
          </w:tcPr>
          <w:p w14:paraId="763520E2" w14:textId="77777777" w:rsidR="001B1411" w:rsidRPr="00DA7625" w:rsidRDefault="00C93FC2">
            <w:pPr>
              <w:rPr>
                <w:rFonts w:ascii="Times New Roman" w:hAnsi="Times New Roman"/>
                <w:bCs/>
                <w:sz w:val="24"/>
              </w:rPr>
            </w:pPr>
            <w:r w:rsidRPr="00DA7625">
              <w:rPr>
                <w:rFonts w:ascii="Times New Roman" w:hAnsi="Times New Roman"/>
                <w:bCs/>
                <w:sz w:val="24"/>
              </w:rPr>
              <w:t>0910–0914</w:t>
            </w:r>
          </w:p>
        </w:tc>
        <w:tc>
          <w:tcPr>
            <w:tcW w:w="8079" w:type="dxa"/>
          </w:tcPr>
          <w:p w14:paraId="6F3B7948" w14:textId="0F1C3828"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t>Veszteségesemények száma</w:t>
            </w:r>
          </w:p>
          <w:p w14:paraId="57A8B0AC" w14:textId="34F6FB8B" w:rsidR="001B1411" w:rsidRPr="00DA7625" w:rsidRDefault="00FD54FC">
            <w:pPr>
              <w:rPr>
                <w:rFonts w:ascii="Times New Roman" w:hAnsi="Times New Roman"/>
                <w:sz w:val="24"/>
              </w:rPr>
            </w:pPr>
            <w:r w:rsidRPr="00DA7625">
              <w:rPr>
                <w:rFonts w:ascii="Times New Roman" w:hAnsi="Times New Roman"/>
                <w:sz w:val="24"/>
              </w:rPr>
              <w:t>A 0910-es sorban kell feltüntetni a belső küszöbértéket meghaladó veszteségesemények számát veszteségesemény-típusonként az összes üzletágra összesítve. Lehetséges, hogy ez az érték alacsonyabb az üzletáganként összesített veszteségesemény-számnál, mivel a többszörös hatású (több üzletágat érintő) veszteségesemények egy eseménynek minősülnek. Az érték ennél magasabb is lehet, ha a szavatolótőke-követelményt az alapmutató módszere szerint számító intézmény nem tudja minden esetben azonosítani a veszteség által érintett üzletágat.</w:t>
            </w:r>
          </w:p>
          <w:p w14:paraId="7D8E9783" w14:textId="77777777" w:rsidR="001B1411" w:rsidRPr="00DA7625" w:rsidRDefault="00FD54FC">
            <w:pPr>
              <w:rPr>
                <w:rFonts w:ascii="Times New Roman" w:hAnsi="Times New Roman"/>
                <w:sz w:val="24"/>
              </w:rPr>
            </w:pPr>
            <w:r w:rsidRPr="00DA7625">
              <w:rPr>
                <w:rFonts w:ascii="Times New Roman" w:hAnsi="Times New Roman"/>
                <w:sz w:val="24"/>
              </w:rPr>
              <w:t>A 0911–0914. sorban azon veszteségesemények száma jelentendő, amelyek bruttó veszteségértéke a tábla vonatkozó sorában megadott tartományba esik.</w:t>
            </w:r>
          </w:p>
          <w:p w14:paraId="62578568" w14:textId="3FFE9ED6" w:rsidR="001B1411" w:rsidRPr="00DA7625" w:rsidRDefault="00FD54FC">
            <w:pPr>
              <w:rPr>
                <w:rFonts w:ascii="Times New Roman" w:hAnsi="Times New Roman"/>
                <w:sz w:val="24"/>
              </w:rPr>
            </w:pPr>
            <w:r w:rsidRPr="00DA7625">
              <w:rPr>
                <w:rFonts w:ascii="Times New Roman" w:hAnsi="Times New Roman"/>
                <w:sz w:val="24"/>
              </w:rPr>
              <w:t>Feltéve, hogy az intézmény valamennyi veszteségét hozzárendelte a CRR 317. cikke (4) bekezdésében szereplő 2. táblázatban felsorolt üzletágak valamelyikéhez vagy a CRR 322. cikke (3) bekezdésének b) pontjában említett „társasági szintű tételek” üzletághoz, illetve hogy minden veszteség esetében azonosította a veszteségesemény-típust, a 080-as oszlopra a következők vonatkoznak, értelemszerűen:</w:t>
            </w:r>
          </w:p>
          <w:p w14:paraId="52A5DAB2" w14:textId="1A37D047" w:rsidR="001B1411" w:rsidRPr="00DA7625" w:rsidRDefault="00125707">
            <w:pPr>
              <w:ind w:left="360" w:hanging="360"/>
              <w:rPr>
                <w:rFonts w:ascii="Times New Roman" w:hAnsi="Times New Roman"/>
                <w:sz w:val="24"/>
              </w:rPr>
            </w:pPr>
            <w:r w:rsidRPr="00DA7625">
              <w:rPr>
                <w:rFonts w:ascii="Times New Roman" w:hAnsi="Times New Roman"/>
                <w:sz w:val="24"/>
              </w:rPr>
              <w:t>–</w:t>
            </w:r>
            <w:r w:rsidRPr="00DA7625">
              <w:rPr>
                <w:rFonts w:ascii="Times New Roman" w:hAnsi="Times New Roman"/>
                <w:sz w:val="24"/>
              </w:rPr>
              <w:tab/>
              <w:t>A 0910–0914. sorokban jelentett teljes veszteségesemény-szám megegyezik a megfelelő sorban szereplő veszteségesemény-számok vízszintes összegével, mivel ezen adatok között a több üzletágat érintő veszteségeseményeket már egy veszteségeseményként számították be.</w:t>
            </w:r>
          </w:p>
          <w:p w14:paraId="3FC3B86E" w14:textId="6A3E01F1" w:rsidR="001B1411" w:rsidRPr="00DA7625" w:rsidRDefault="00125707">
            <w:pPr>
              <w:ind w:left="360" w:hanging="360"/>
              <w:rPr>
                <w:rStyle w:val="InstructionsTabelleberschrift"/>
                <w:rFonts w:ascii="Times New Roman" w:hAnsi="Times New Roman"/>
                <w:b w:val="0"/>
                <w:bCs w:val="0"/>
                <w:sz w:val="24"/>
                <w:u w:val="none"/>
              </w:rPr>
            </w:pPr>
            <w:r w:rsidRPr="00DA7625">
              <w:rPr>
                <w:rStyle w:val="InstructionsTabelleberschrift"/>
                <w:rFonts w:ascii="Times New Roman" w:hAnsi="Times New Roman"/>
                <w:b w:val="0"/>
                <w:bCs w:val="0"/>
                <w:sz w:val="24"/>
                <w:u w:val="none"/>
              </w:rPr>
              <w:t>–</w:t>
            </w:r>
            <w:r w:rsidRPr="00DA7625">
              <w:rPr>
                <w:rStyle w:val="InstructionsTabelleberschrift"/>
                <w:rFonts w:ascii="Times New Roman" w:hAnsi="Times New Roman"/>
                <w:b w:val="0"/>
                <w:bCs w:val="0"/>
                <w:sz w:val="24"/>
                <w:u w:val="none"/>
              </w:rPr>
              <w:tab/>
            </w:r>
            <w:r w:rsidRPr="00DA7625">
              <w:rPr>
                <w:rFonts w:ascii="Times New Roman" w:hAnsi="Times New Roman"/>
                <w:sz w:val="24"/>
              </w:rPr>
              <w:t>A 0910-es sor 0080-as oszlopban feltüntetett adata nem feltétlenül egyezik meg a 080-as oszlopban szereplő veszteségesemény-számok függőleges összegével, mivel egy veszteségesemény egyszerre több üzletágat is érinthet.</w:t>
            </w:r>
          </w:p>
        </w:tc>
      </w:tr>
      <w:tr w:rsidR="001B1411" w:rsidRPr="00DA7625" w14:paraId="17C91CB1" w14:textId="77777777" w:rsidTr="00672D2A">
        <w:tc>
          <w:tcPr>
            <w:tcW w:w="1101" w:type="dxa"/>
          </w:tcPr>
          <w:p w14:paraId="24B03D45" w14:textId="77777777" w:rsidR="001B1411" w:rsidRPr="00DA7625" w:rsidRDefault="00C93FC2">
            <w:pPr>
              <w:rPr>
                <w:rFonts w:ascii="Times New Roman" w:hAnsi="Times New Roman"/>
                <w:bCs/>
                <w:sz w:val="24"/>
              </w:rPr>
            </w:pPr>
            <w:r w:rsidRPr="00DA7625">
              <w:rPr>
                <w:rFonts w:ascii="Times New Roman" w:hAnsi="Times New Roman"/>
                <w:bCs/>
                <w:sz w:val="24"/>
              </w:rPr>
              <w:t>0920–0924</w:t>
            </w:r>
          </w:p>
        </w:tc>
        <w:tc>
          <w:tcPr>
            <w:tcW w:w="8079" w:type="dxa"/>
          </w:tcPr>
          <w:p w14:paraId="182B4DEB" w14:textId="77777777"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t>Bruttó veszteségérték (új veszteségesemények)</w:t>
            </w:r>
          </w:p>
          <w:p w14:paraId="5058FFA5" w14:textId="3CB4A96F" w:rsidR="001B1411" w:rsidRPr="00DA7625" w:rsidRDefault="00FD54FC">
            <w:pPr>
              <w:rPr>
                <w:rFonts w:ascii="Times New Roman" w:hAnsi="Times New Roman"/>
                <w:sz w:val="24"/>
              </w:rPr>
            </w:pPr>
            <w:r w:rsidRPr="00DA7625">
              <w:rPr>
                <w:rFonts w:ascii="Times New Roman" w:hAnsi="Times New Roman"/>
                <w:sz w:val="24"/>
              </w:rPr>
              <w:t xml:space="preserve">Feltéve, hogy az intézmény valamennyi veszteségét hozzárendelte a CRR 317. cikke (4) bekezdésében szereplő 2. táblázatban felsorolt üzletágak valamelyikéhez vagy a CRR 322. cikke (3) bekezdésének b) pontjában említett „társasági szintű tételek” üzletághoz, a 0920-as sorban jelentett bruttó veszteségérték (új veszteségesemények) az új veszteségesemények egyes üzletágak szerinti bruttó veszteségértékeinek összege. </w:t>
            </w:r>
          </w:p>
          <w:p w14:paraId="01543D87" w14:textId="77777777" w:rsidR="001B1411" w:rsidRPr="00DA7625" w:rsidRDefault="00FD54FC">
            <w:pPr>
              <w:rPr>
                <w:rStyle w:val="InstructionsTabelleberschrift"/>
                <w:rFonts w:ascii="Times New Roman" w:hAnsi="Times New Roman"/>
                <w:sz w:val="24"/>
              </w:rPr>
            </w:pPr>
            <w:r w:rsidRPr="00DA7625">
              <w:rPr>
                <w:rFonts w:ascii="Times New Roman" w:hAnsi="Times New Roman"/>
                <w:sz w:val="24"/>
              </w:rPr>
              <w:t>A 0921–0924. sorban azon veszteségesemények bruttó veszteségértéke jelentendő, amelyek bruttó veszteségértéke a vonatkozó sorban megadott tartományba esik.</w:t>
            </w:r>
          </w:p>
        </w:tc>
      </w:tr>
      <w:tr w:rsidR="001B1411" w:rsidRPr="00DA7625" w14:paraId="0F05F6E4" w14:textId="77777777" w:rsidTr="00672D2A">
        <w:tc>
          <w:tcPr>
            <w:tcW w:w="1101" w:type="dxa"/>
          </w:tcPr>
          <w:p w14:paraId="195E7212" w14:textId="77777777" w:rsidR="001B1411" w:rsidRPr="00DA7625" w:rsidRDefault="00C93FC2">
            <w:pPr>
              <w:rPr>
                <w:rFonts w:ascii="Times New Roman" w:hAnsi="Times New Roman"/>
                <w:bCs/>
                <w:sz w:val="24"/>
              </w:rPr>
            </w:pPr>
            <w:r w:rsidRPr="00DA7625">
              <w:rPr>
                <w:rFonts w:ascii="Times New Roman" w:hAnsi="Times New Roman"/>
                <w:sz w:val="24"/>
              </w:rPr>
              <w:lastRenderedPageBreak/>
              <w:t>0930, 0</w:t>
            </w:r>
            <w:r w:rsidRPr="00DA7625">
              <w:rPr>
                <w:rFonts w:ascii="Times New Roman" w:hAnsi="Times New Roman"/>
                <w:bCs/>
                <w:sz w:val="24"/>
              </w:rPr>
              <w:t>935, 0936</w:t>
            </w:r>
          </w:p>
        </w:tc>
        <w:tc>
          <w:tcPr>
            <w:tcW w:w="8079" w:type="dxa"/>
          </w:tcPr>
          <w:p w14:paraId="574ACB41" w14:textId="77777777" w:rsidR="001B1411" w:rsidRPr="00DA7625" w:rsidRDefault="00FD54FC">
            <w:pPr>
              <w:rPr>
                <w:rFonts w:ascii="Times New Roman" w:hAnsi="Times New Roman"/>
                <w:sz w:val="24"/>
              </w:rPr>
            </w:pPr>
            <w:r w:rsidRPr="00DA7625">
              <w:rPr>
                <w:rStyle w:val="InstructionsTabelleberschrift"/>
                <w:rFonts w:ascii="Times New Roman" w:hAnsi="Times New Roman"/>
                <w:sz w:val="24"/>
              </w:rPr>
              <w:t>Veszteségkorrekcióval érintett veszteségesemények száma</w:t>
            </w:r>
          </w:p>
          <w:p w14:paraId="6B647356" w14:textId="1507AA29" w:rsidR="001B1411" w:rsidRPr="00DA7625" w:rsidRDefault="00FD54FC">
            <w:pPr>
              <w:rPr>
                <w:rFonts w:ascii="Times New Roman" w:hAnsi="Times New Roman"/>
                <w:sz w:val="24"/>
              </w:rPr>
            </w:pPr>
            <w:r w:rsidRPr="00DA7625">
              <w:rPr>
                <w:rFonts w:ascii="Times New Roman" w:hAnsi="Times New Roman"/>
                <w:sz w:val="24"/>
              </w:rPr>
              <w:t>A 0930-as sorban a 0030, 0130, …, 0830-as sorokban megadott, veszteségkorrekcióval érintett veszteségesemények teljes száma jelentendő. Lehetséges, hogy ez az érték alacsonyabb a veszteségkorrekcióval érintett, üzletáganként összesített veszteségesemény-számnál, mivel a többszörös hatású (több üzletágat érintő) veszteségesemények egy eseménynek minősülnek. Az érték ennél magasabb is lehet, ha a szavatolótőke-követelményt az alapmutató módszere szerint számító intézmény nem tudja minden esetben azonosítani a veszteség által érintett üzletágat.</w:t>
            </w:r>
          </w:p>
          <w:p w14:paraId="07A99000" w14:textId="77777777" w:rsidR="001B1411" w:rsidRPr="00DA7625" w:rsidRDefault="00FD54FC">
            <w:pPr>
              <w:rPr>
                <w:rStyle w:val="InstructionsTabelleberschrift"/>
                <w:rFonts w:ascii="Times New Roman" w:hAnsi="Times New Roman"/>
                <w:sz w:val="24"/>
              </w:rPr>
            </w:pPr>
            <w:r w:rsidRPr="00DA7625">
              <w:rPr>
                <w:rFonts w:ascii="Times New Roman" w:hAnsi="Times New Roman"/>
                <w:sz w:val="24"/>
              </w:rPr>
              <w:t>A veszteségkorrekcióval érintett veszteségesemények számát le kell bontani az adatszolgáltatási vonatkozási időszakban pozitív veszteségkorrekcióval érintett veszteségesemények száma és az adatszolgáltatási időszakban negatív veszteségkorrekcióval érintett események száma szerint (mindkettőt pozitív előjellel kell feltüntetni).</w:t>
            </w:r>
          </w:p>
        </w:tc>
      </w:tr>
      <w:tr w:rsidR="001B1411" w:rsidRPr="00DA7625" w14:paraId="7291468E" w14:textId="77777777" w:rsidTr="00672D2A">
        <w:tc>
          <w:tcPr>
            <w:tcW w:w="1101" w:type="dxa"/>
          </w:tcPr>
          <w:p w14:paraId="72DD46B7" w14:textId="77777777" w:rsidR="001B1411" w:rsidRPr="00DA7625" w:rsidRDefault="00C93FC2">
            <w:pPr>
              <w:rPr>
                <w:rFonts w:ascii="Times New Roman" w:hAnsi="Times New Roman"/>
                <w:sz w:val="24"/>
              </w:rPr>
            </w:pPr>
            <w:r w:rsidRPr="00DA7625">
              <w:rPr>
                <w:rFonts w:ascii="Times New Roman" w:hAnsi="Times New Roman"/>
                <w:sz w:val="24"/>
              </w:rPr>
              <w:t>0940, 0945, 0946</w:t>
            </w:r>
          </w:p>
        </w:tc>
        <w:tc>
          <w:tcPr>
            <w:tcW w:w="8079" w:type="dxa"/>
          </w:tcPr>
          <w:p w14:paraId="2DEEDC08" w14:textId="77777777" w:rsidR="001B1411" w:rsidRPr="00DA7625" w:rsidRDefault="00FD54FC">
            <w:pPr>
              <w:rPr>
                <w:rFonts w:ascii="Times New Roman" w:hAnsi="Times New Roman"/>
                <w:sz w:val="24"/>
              </w:rPr>
            </w:pPr>
            <w:r w:rsidRPr="00DA7625">
              <w:rPr>
                <w:rStyle w:val="InstructionsTabelleberschrift"/>
                <w:rFonts w:ascii="Times New Roman" w:hAnsi="Times New Roman"/>
                <w:sz w:val="24"/>
              </w:rPr>
              <w:t>Korábbi adatszolgáltatási időszakokhoz kapcsolódó veszteségkorrekciók</w:t>
            </w:r>
          </w:p>
          <w:p w14:paraId="3F7BFAFE" w14:textId="63C79774" w:rsidR="001B1411" w:rsidRPr="00DA7625" w:rsidRDefault="00FD54FC">
            <w:pPr>
              <w:rPr>
                <w:rFonts w:ascii="Times New Roman" w:hAnsi="Times New Roman"/>
                <w:sz w:val="24"/>
              </w:rPr>
            </w:pPr>
            <w:r w:rsidRPr="00DA7625">
              <w:rPr>
                <w:rFonts w:ascii="Times New Roman" w:hAnsi="Times New Roman"/>
                <w:sz w:val="24"/>
              </w:rPr>
              <w:t>A 0940-es sorban az üzletáganként a 0040, 0140, …, 0840-es sorokban megadott, korábbi adatszolgáltatási időszakokhoz kapcsolódó veszteségkorrekciók teljes összege jelentendő. Feltéve, hogy az intézmény valamennyi veszteségét hozzárendelte a CRR 317. cikke (4) bekezdésében szereplő 2. táblázatban felsorolt üzletágak valamelyikéhez vagy a CRR 322. cikke (3) bekezdésének b) pontjában említett „társasági szintű tételek” üzletághoz, a 0940-es sorban jelentett összeg a korábbi adatszolgáltatási időszakokhoz kapcsolódó veszteségkorrekciók egyes üzletágak szerinti értékeinek összege.</w:t>
            </w:r>
          </w:p>
          <w:p w14:paraId="1258C52F" w14:textId="5202D499" w:rsidR="001B1411" w:rsidRPr="00DA7625" w:rsidRDefault="00FD54FC">
            <w:pPr>
              <w:rPr>
                <w:rFonts w:ascii="Times New Roman" w:hAnsi="Times New Roman"/>
                <w:sz w:val="24"/>
              </w:rPr>
            </w:pPr>
            <w:r w:rsidRPr="00DA7625">
              <w:rPr>
                <w:rFonts w:ascii="Times New Roman" w:hAnsi="Times New Roman"/>
                <w:sz w:val="24"/>
              </w:rPr>
              <w:t>A veszteségkorrekciók összegét le kell bontani az adatszolgáltatási vonatkozási időszakban pozitív veszteségkorrekcióval érintett eseményekhez kapcsolódó összeg (0945-ös sor, pozitív előjellel) és az adatszolgáltatási időszakban negatív veszteségkorrekcióval érintett veszteségeseményekhez kapcsolódó összeg szerint (0946-os sor, negatív előjellel). Amennyiben negatív veszteségkorrekció miatt a veszteségeseménynek tulajdonítható kiigazított veszteségérték az intézmény belső adatgyűjtési küszöbértéke alá csökken, az intézménynek nem magát a negatív veszteségkorrekciót kell jelentenie, hanem a 946-os sorban negatív előjellel az eseményhez kapcsolódó, az esemény legutóbbi decemberi referencia-időponttal történő jelentéséig felhalmozott teljes veszteségértéket (az eredeti veszteség +/– a korábbi adatszolgáltatási vonatkozási időszakokban eszközölt veszteségkorrekciók eredője).</w:t>
            </w:r>
          </w:p>
        </w:tc>
      </w:tr>
      <w:tr w:rsidR="001B1411" w:rsidRPr="00DA7625"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1B1411" w:rsidRPr="00DA7625" w:rsidRDefault="00C93FC2">
            <w:pPr>
              <w:rPr>
                <w:rFonts w:ascii="Times New Roman" w:hAnsi="Times New Roman"/>
                <w:sz w:val="24"/>
              </w:rPr>
            </w:pPr>
            <w:r w:rsidRPr="00DA7625">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t>Legnagyobb egyedi veszteség</w:t>
            </w:r>
          </w:p>
          <w:p w14:paraId="3AA118C4" w14:textId="7A14A978" w:rsidR="001B1411" w:rsidRPr="00DA7625" w:rsidRDefault="00FD54FC">
            <w:pPr>
              <w:rPr>
                <w:rFonts w:ascii="Times New Roman" w:hAnsi="Times New Roman"/>
                <w:sz w:val="24"/>
              </w:rPr>
            </w:pPr>
            <w:r w:rsidRPr="00DA7625">
              <w:rPr>
                <w:rFonts w:ascii="Times New Roman" w:hAnsi="Times New Roman"/>
                <w:sz w:val="24"/>
              </w:rPr>
              <w:t>Feltéve, hogy az intézmény valamennyi veszteségét hozzárendelte a CRR 317. cikke (4) bekezdésében szereplő 2. táblázatban felsorolt üzletágak valamelyikéhez vagy a CRR 322. cikke (3) bekezdésének b) pontjában említett „társasági szintű tételek” üzletághoz, a legnagyobb egyedi veszteség a belső küszöbértéket meghaladó legnagyobb veszteség az egyes veszteségesemény-típusokon belül, minden üzletágra vonatkozóan. Abban az esetben, ha egy veszteségesemény több üzletágat is érint, ez az adat magasabb lehet, mint az egyes üzletágaknál rögzített legmagasabb egyedi veszteség értéke.</w:t>
            </w:r>
          </w:p>
          <w:p w14:paraId="513FDB76" w14:textId="6728B4CB" w:rsidR="001B1411" w:rsidRPr="00DA7625" w:rsidRDefault="00FD54FC">
            <w:pPr>
              <w:rPr>
                <w:rFonts w:ascii="Times New Roman" w:hAnsi="Times New Roman"/>
                <w:sz w:val="24"/>
              </w:rPr>
            </w:pPr>
            <w:r w:rsidRPr="00DA7625">
              <w:rPr>
                <w:rFonts w:ascii="Times New Roman" w:hAnsi="Times New Roman"/>
                <w:sz w:val="24"/>
              </w:rPr>
              <w:lastRenderedPageBreak/>
              <w:t>Feltéve, hogy az intézmény valamennyi veszteségét hozzárendelte a CRR 317. cikke (4) bekezdésében szereplő 2. táblázatban felsorolt üzletágak valamelyikéhez vagy a CRR 322. cikke (3) bekezdésének b) pontjában említett „társasági szintű tételek” üzletághoz, illetve hogy minden veszteség esetében azonosította a veszteségesemény-típust, a 0080-as oszlopra a következők vonatkoznak:</w:t>
            </w:r>
          </w:p>
          <w:p w14:paraId="19D329EB" w14:textId="77777777" w:rsidR="001B1411" w:rsidRPr="00DA7625" w:rsidRDefault="00125707">
            <w:pPr>
              <w:ind w:left="360" w:hanging="360"/>
              <w:rPr>
                <w:rFonts w:ascii="Times New Roman" w:hAnsi="Times New Roman"/>
                <w:b/>
                <w:bCs/>
                <w:sz w:val="24"/>
                <w:u w:val="single"/>
              </w:rPr>
            </w:pPr>
            <w:r w:rsidRPr="00DA7625">
              <w:rPr>
                <w:rFonts w:ascii="Times New Roman" w:hAnsi="Times New Roman"/>
                <w:bCs/>
                <w:sz w:val="24"/>
              </w:rPr>
              <w:t>–</w:t>
            </w:r>
            <w:r w:rsidRPr="00DA7625">
              <w:rPr>
                <w:rFonts w:ascii="Times New Roman" w:hAnsi="Times New Roman"/>
                <w:bCs/>
                <w:sz w:val="24"/>
              </w:rPr>
              <w:tab/>
            </w:r>
            <w:r w:rsidRPr="00DA7625">
              <w:rPr>
                <w:rFonts w:ascii="Times New Roman" w:hAnsi="Times New Roman"/>
                <w:sz w:val="24"/>
              </w:rPr>
              <w:t>Az itt jelentett legnagyobb egyedi veszteség az e sor 0010–0070-es oszlopában jelentett értékek közül a legnagyobb.</w:t>
            </w:r>
          </w:p>
          <w:p w14:paraId="54FBCD00" w14:textId="1FACAB03" w:rsidR="001B1411" w:rsidRPr="00DA7625" w:rsidRDefault="00125707">
            <w:pPr>
              <w:ind w:left="360" w:hanging="360"/>
              <w:rPr>
                <w:rStyle w:val="InstructionsTabelleberschrift"/>
                <w:rFonts w:ascii="Times New Roman" w:hAnsi="Times New Roman"/>
                <w:bCs w:val="0"/>
                <w:sz w:val="24"/>
              </w:rPr>
            </w:pPr>
            <w:r w:rsidRPr="00DA7625">
              <w:rPr>
                <w:rStyle w:val="InstructionsTabelleberschrift"/>
                <w:rFonts w:ascii="Times New Roman" w:hAnsi="Times New Roman"/>
                <w:b w:val="0"/>
                <w:bCs w:val="0"/>
                <w:sz w:val="24"/>
                <w:u w:val="none"/>
              </w:rPr>
              <w:t>–</w:t>
            </w:r>
            <w:r w:rsidRPr="00DA7625">
              <w:rPr>
                <w:rStyle w:val="InstructionsTabelleberschrift"/>
                <w:rFonts w:ascii="Times New Roman" w:hAnsi="Times New Roman"/>
                <w:b w:val="0"/>
                <w:bCs w:val="0"/>
                <w:sz w:val="24"/>
                <w:u w:val="none"/>
              </w:rPr>
              <w:tab/>
            </w:r>
            <w:r w:rsidRPr="00DA7625">
              <w:rPr>
                <w:rFonts w:ascii="Times New Roman" w:hAnsi="Times New Roman"/>
                <w:sz w:val="24"/>
              </w:rPr>
              <w:t xml:space="preserve">Amennyiben vannak olyan veszteségesemények, amelyek több üzletágra is hatnak, a {r950, c080} cellában jelentett összeg magasabb lehet, mint a 080-as oszlop más soraiban jelentett üzletágankénti legnagyobb egyedi veszteség. </w:t>
            </w:r>
          </w:p>
        </w:tc>
      </w:tr>
      <w:tr w:rsidR="001B1411" w:rsidRPr="00DA7625"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1B1411" w:rsidRPr="00DA7625" w:rsidRDefault="00C93FC2">
            <w:pPr>
              <w:rPr>
                <w:rFonts w:ascii="Times New Roman" w:hAnsi="Times New Roman"/>
                <w:sz w:val="24"/>
              </w:rPr>
            </w:pPr>
            <w:r w:rsidRPr="00DA7625">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t>Az öt legnagyobb veszteség összege</w:t>
            </w:r>
          </w:p>
          <w:p w14:paraId="164955D7" w14:textId="6655AF61" w:rsidR="001B1411" w:rsidRPr="00DA7625" w:rsidRDefault="00FD54FC">
            <w:pPr>
              <w:rPr>
                <w:rFonts w:ascii="Times New Roman" w:hAnsi="Times New Roman"/>
                <w:sz w:val="24"/>
              </w:rPr>
            </w:pPr>
            <w:r w:rsidRPr="00DA7625">
              <w:rPr>
                <w:rFonts w:ascii="Times New Roman" w:hAnsi="Times New Roman"/>
                <w:sz w:val="24"/>
              </w:rPr>
              <w:t xml:space="preserve">Az egyes üzletágakon belüli öt legnagyobb bruttó veszteség összegét kell megadni az egyes veszteségesemény-típusokra és minden üzletágra vonatkozóan. Lehetséges, hogy ez az összeg magasabb, mint az egyes üzletágaknál rögzített öt legnagyobb egyedi veszteség összege. Az összeget a veszteségek számától függetlenül meg kell adni. </w:t>
            </w:r>
          </w:p>
          <w:p w14:paraId="166ECE75" w14:textId="11DFEF71" w:rsidR="001B1411" w:rsidRPr="00DA7625" w:rsidRDefault="00FD54FC">
            <w:pPr>
              <w:rPr>
                <w:rStyle w:val="InstructionsTabelleberschrift"/>
                <w:rFonts w:ascii="Times New Roman" w:hAnsi="Times New Roman"/>
                <w:sz w:val="24"/>
              </w:rPr>
            </w:pPr>
            <w:r w:rsidRPr="00DA7625">
              <w:rPr>
                <w:rFonts w:ascii="Times New Roman" w:hAnsi="Times New Roman"/>
                <w:sz w:val="24"/>
              </w:rPr>
              <w:t>Feltéve, hogy az intézmény valamennyi veszteségét hozzárendelte a CRR 317. cikke (4) bekezdésében szereplő 2. táblázatban felsorolt üzletágak valamelyikéhez vagy a CRR 322. cikke (3) bekezdésének b) pontjában említett »társasági szintű tételek« üzletághoz, illetve hogy minden veszteség esetében azonosította a veszteségesemény-típust, a 0080-as oszlopra vonatkozóan az öt legnagyobb veszteség összege a teljes mátrixban szereplő öt legnagyobb veszteség összege, ami azt jelenti, hogy ez nem szükségképpen egyenlő sem a 0960-as »Az öt legnagyobb veszteség összege« sor maximális értékével, sem a 0080-as oszlopban feltüntetett »öt legnagyobb veszteségösszegek« maximális értékével.</w:t>
            </w:r>
          </w:p>
        </w:tc>
      </w:tr>
      <w:tr w:rsidR="001B1411" w:rsidRPr="00DA7625"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1B1411" w:rsidRPr="00DA7625" w:rsidRDefault="00C93FC2">
            <w:pPr>
              <w:rPr>
                <w:rFonts w:ascii="Times New Roman" w:hAnsi="Times New Roman"/>
                <w:sz w:val="24"/>
              </w:rPr>
            </w:pPr>
            <w:r w:rsidRPr="00DA7625">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t>Teljes közvetlen megtérült veszteség</w:t>
            </w:r>
          </w:p>
          <w:p w14:paraId="7FEE4F90" w14:textId="11DC8F36" w:rsidR="001B1411" w:rsidRPr="00DA7625" w:rsidRDefault="00FD54FC">
            <w:pPr>
              <w:rPr>
                <w:rStyle w:val="InstructionsTabelleberschrift"/>
                <w:rFonts w:ascii="Times New Roman" w:hAnsi="Times New Roman"/>
                <w:sz w:val="24"/>
              </w:rPr>
            </w:pPr>
            <w:r w:rsidRPr="00DA7625">
              <w:rPr>
                <w:rFonts w:ascii="Times New Roman" w:hAnsi="Times New Roman"/>
                <w:sz w:val="24"/>
              </w:rPr>
              <w:t>Feltéve, hogy az intézmény valamennyi veszteségét hozzárendelte a CRR 317. cikke (4) bekezdésében szereplő 2. táblázatban felsorolt üzletágak valamelyikéhez vagy a CRR 322. cikke (3) bekezdésének b) pontjában említett „társasági szintű tételek” üzletághoz, a teljes közvetlen megtérült veszteség az üzletáganként megadott teljes közvetlen megtérült veszteségek összege.</w:t>
            </w:r>
          </w:p>
        </w:tc>
      </w:tr>
      <w:tr w:rsidR="001B1411" w:rsidRPr="00DA7625"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1B1411" w:rsidRPr="00DA7625" w:rsidRDefault="00C93FC2">
            <w:pPr>
              <w:rPr>
                <w:rFonts w:ascii="Times New Roman" w:hAnsi="Times New Roman"/>
                <w:sz w:val="24"/>
              </w:rPr>
            </w:pPr>
            <w:r w:rsidRPr="00DA7625">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5E33B3A6" w14:textId="77777777"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t>Biztosításból és más kockázatátruházási mechanizmusokból származó teljes megtérülés</w:t>
            </w:r>
          </w:p>
          <w:p w14:paraId="007FE0EB" w14:textId="53113F24" w:rsidR="001B1411" w:rsidRPr="00DA7625" w:rsidRDefault="00FD54FC">
            <w:pPr>
              <w:rPr>
                <w:rFonts w:ascii="Times New Roman" w:hAnsi="Times New Roman"/>
                <w:b/>
                <w:bCs/>
                <w:sz w:val="24"/>
                <w:u w:val="single"/>
              </w:rPr>
            </w:pPr>
            <w:r w:rsidRPr="00DA7625">
              <w:rPr>
                <w:rFonts w:ascii="Times New Roman" w:hAnsi="Times New Roman"/>
                <w:sz w:val="24"/>
              </w:rPr>
              <w:t>Feltéve, hogy az intézmény valamennyi veszteségét hozzárendelte a CRR 317. cikke (4) bekezdésében szereplő 2. táblázatban felsorolt üzletágak valamelyikéhez vagy a CRR 322. cikke (3) bekezdésének b) pontjában említett „társasági szintű tételek” üzletághoz, a biztosításból és más kockázatátruházási mechanizmusokból származó teljes megtérülés az üzletáganként megadott biztosításból és más kockázat-átruházási mechanizmusokból származó teljes megtérült veszteségek összege.</w:t>
            </w:r>
          </w:p>
        </w:tc>
      </w:tr>
    </w:tbl>
    <w:p w14:paraId="03F5E592" w14:textId="77777777" w:rsidR="001B1411" w:rsidRPr="00DA7625" w:rsidRDefault="001B1411">
      <w:pPr>
        <w:spacing w:before="0" w:after="0"/>
        <w:jc w:val="left"/>
        <w:rPr>
          <w:rStyle w:val="InstructionsTabelleText"/>
          <w:rFonts w:ascii="Times New Roman" w:hAnsi="Times New Roman"/>
          <w:sz w:val="24"/>
        </w:rPr>
      </w:pPr>
    </w:p>
    <w:p w14:paraId="0B74CAC3"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80" w:name="_Toc31018826"/>
      <w:r w:rsidRPr="00DA7625">
        <w:rPr>
          <w:rFonts w:ascii="Times New Roman" w:hAnsi="Times New Roman"/>
          <w:sz w:val="24"/>
          <w:u w:val="none"/>
        </w:rPr>
        <w:lastRenderedPageBreak/>
        <w:t>4.2.3.</w:t>
      </w:r>
      <w:r w:rsidRPr="00DA7625">
        <w:rPr>
          <w:rFonts w:ascii="Times New Roman" w:hAnsi="Times New Roman"/>
          <w:sz w:val="24"/>
          <w:u w:val="none"/>
        </w:rPr>
        <w:tab/>
      </w:r>
      <w:r w:rsidRPr="00DA7625">
        <w:rPr>
          <w:rFonts w:ascii="Times New Roman" w:hAnsi="Times New Roman"/>
          <w:sz w:val="24"/>
        </w:rPr>
        <w:t>C 17.02: Működési kockázat: Az utolsó évi nagy veszteségeseményekre vonatkozó részletes információk (OPR DETAILS 2)</w:t>
      </w:r>
      <w:bookmarkEnd w:id="80"/>
    </w:p>
    <w:p w14:paraId="1A936193"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81" w:name="_Toc31018827"/>
      <w:r w:rsidRPr="00DA7625">
        <w:rPr>
          <w:rFonts w:ascii="Times New Roman" w:hAnsi="Times New Roman"/>
          <w:sz w:val="24"/>
          <w:u w:val="none"/>
        </w:rPr>
        <w:t>4.2.3.1.</w:t>
      </w:r>
      <w:r w:rsidRPr="00DA7625">
        <w:rPr>
          <w:rFonts w:ascii="Times New Roman" w:hAnsi="Times New Roman"/>
          <w:sz w:val="24"/>
          <w:u w:val="none"/>
        </w:rPr>
        <w:tab/>
      </w:r>
      <w:r w:rsidRPr="00DA7625">
        <w:rPr>
          <w:rFonts w:ascii="Times New Roman" w:hAnsi="Times New Roman"/>
          <w:sz w:val="24"/>
        </w:rPr>
        <w:t>Általános megjegyzések</w:t>
      </w:r>
      <w:bookmarkEnd w:id="81"/>
    </w:p>
    <w:p w14:paraId="231309DD" w14:textId="57B03D0A" w:rsidR="001B1411" w:rsidRPr="00DA7625" w:rsidRDefault="00125707">
      <w:pPr>
        <w:pStyle w:val="InstructionsText2"/>
        <w:numPr>
          <w:ilvl w:val="0"/>
          <w:numId w:val="0"/>
        </w:numPr>
        <w:ind w:left="993"/>
      </w:pPr>
      <w:r w:rsidRPr="00DA7625">
        <w:t>134. A C 17.02 táblában egyedi veszteségeseményekre vonatkozó információkat kell közölni (soronként egy veszteségesemény).</w:t>
      </w:r>
    </w:p>
    <w:p w14:paraId="2C6E2560" w14:textId="1F22973B" w:rsidR="001B1411" w:rsidRPr="00DA7625" w:rsidRDefault="00125707">
      <w:pPr>
        <w:pStyle w:val="InstructionsText2"/>
        <w:numPr>
          <w:ilvl w:val="0"/>
          <w:numId w:val="0"/>
        </w:numPr>
        <w:ind w:left="993"/>
      </w:pPr>
      <w:r w:rsidRPr="00DA7625">
        <w:t>135.</w:t>
      </w:r>
      <w:r w:rsidRPr="00DA7625">
        <w:tab/>
        <w:t xml:space="preserve"> Az ebben a táblában megadott információk „új veszteségeseményekre”, azaz olyan működési kockázati eseményekre vonatkoznak, amelyeket</w:t>
      </w:r>
    </w:p>
    <w:p w14:paraId="189C8F4C" w14:textId="77777777" w:rsidR="001B1411" w:rsidRPr="00DA7625" w:rsidRDefault="00125707">
      <w:pPr>
        <w:pStyle w:val="InstructionsText2"/>
        <w:numPr>
          <w:ilvl w:val="0"/>
          <w:numId w:val="0"/>
        </w:numPr>
        <w:ind w:left="993"/>
      </w:pPr>
      <w:r w:rsidRPr="00DA7625">
        <w:t>a)</w:t>
      </w:r>
      <w:r w:rsidRPr="00DA7625">
        <w:tab/>
        <w:t>először az adatszolgáltatási vonatkozási időszakban számoltak el, vagy</w:t>
      </w:r>
    </w:p>
    <w:p w14:paraId="49320BA9" w14:textId="7DA88BB1" w:rsidR="001B1411" w:rsidRPr="00DA7625" w:rsidRDefault="00125707">
      <w:pPr>
        <w:pStyle w:val="InstructionsText2"/>
        <w:numPr>
          <w:ilvl w:val="0"/>
          <w:numId w:val="0"/>
        </w:numPr>
        <w:ind w:left="993"/>
      </w:pPr>
      <w:r w:rsidRPr="00DA7625">
        <w:t>b)</w:t>
      </w:r>
      <w:r w:rsidRPr="00DA7625">
        <w:tab/>
        <w:t>először egy korábbi adatszolgáltatási vonatkozási időszakban számoltak el, amikor a veszteségeseményről korábbi felügyeleti jelentésben nem számolt be az intézmény, például azért, mert a veszteségeseményt csak a jelenlegi adatszolgáltatási vonatkozási időszakban minősítették működési kockázati eseménynek, vagy mert az adott eseménynek betudható kumulált veszteség (az eredeti veszteség +/– a korábbi adatszolgáltatási vonatkozási időszakokban eszközölt veszteségkorrekciók eredője) csak az aktuális adatszolgáltatási vonatkozási időszakban haladta meg a belső adatgyűjtési küszöbértéket.</w:t>
      </w:r>
    </w:p>
    <w:p w14:paraId="1FF61CF3" w14:textId="4604001C" w:rsidR="001B1411" w:rsidRPr="00DA7625" w:rsidRDefault="00125707">
      <w:pPr>
        <w:pStyle w:val="InstructionsText2"/>
        <w:numPr>
          <w:ilvl w:val="0"/>
          <w:numId w:val="0"/>
        </w:numPr>
        <w:ind w:left="993"/>
      </w:pPr>
      <w:r w:rsidRPr="00DA7625">
        <w:t>136. Csak a legalább 100 000 EUR bruttó veszteségértéket magukban foglaló veszteségeseményeket kell itt jelenteni.</w:t>
      </w:r>
    </w:p>
    <w:p w14:paraId="3FC165DA" w14:textId="638133E6" w:rsidR="001B1411" w:rsidRPr="00DA7625" w:rsidRDefault="00FD54FC">
      <w:pPr>
        <w:pStyle w:val="InstructionsText2"/>
        <w:numPr>
          <w:ilvl w:val="0"/>
          <w:numId w:val="0"/>
        </w:numPr>
        <w:ind w:left="993"/>
      </w:pPr>
      <w:r w:rsidRPr="00DA7625">
        <w:t>E küszöbértéktől függően:</w:t>
      </w:r>
    </w:p>
    <w:p w14:paraId="796D3249" w14:textId="77777777" w:rsidR="001B1411" w:rsidRPr="00DA7625" w:rsidRDefault="00125707">
      <w:pPr>
        <w:pStyle w:val="InstructionsText2"/>
        <w:numPr>
          <w:ilvl w:val="0"/>
          <w:numId w:val="0"/>
        </w:numPr>
        <w:ind w:left="993"/>
      </w:pPr>
      <w:r w:rsidRPr="00DA7625">
        <w:t>a)</w:t>
      </w:r>
      <w:r w:rsidRPr="00DA7625">
        <w:tab/>
        <w:t>A táblában fel kell tüntetni minden egyes eseménytípus legnagyobb veszteségeseményét, amennyiben az intézmény a veszteséget eseménytípushoz rendelte, valamint</w:t>
      </w:r>
    </w:p>
    <w:p w14:paraId="6D2F0F68" w14:textId="6EB0FA69" w:rsidR="001B1411" w:rsidRPr="00DA7625" w:rsidRDefault="00125707">
      <w:pPr>
        <w:pStyle w:val="InstructionsText2"/>
        <w:numPr>
          <w:ilvl w:val="0"/>
          <w:numId w:val="0"/>
        </w:numPr>
        <w:ind w:left="993"/>
      </w:pPr>
      <w:r w:rsidRPr="00DA7625">
        <w:t>b)</w:t>
      </w:r>
      <w:r w:rsidRPr="00DA7625">
        <w:tab/>
        <w:t>a fennmaradó veszteségesemények közül a tíz legnagyobb bruttó veszteséget okozó veszteségeseményt, függetlenül attól, hogy ezeket az intézmény eseménytípushoz rendelte-e vagy sem.</w:t>
      </w:r>
    </w:p>
    <w:p w14:paraId="416EF068" w14:textId="194599A2" w:rsidR="001B1411" w:rsidRPr="00DA7625" w:rsidRDefault="00125707">
      <w:pPr>
        <w:pStyle w:val="InstructionsText2"/>
        <w:numPr>
          <w:ilvl w:val="0"/>
          <w:numId w:val="0"/>
        </w:numPr>
        <w:ind w:left="993"/>
      </w:pPr>
      <w:r w:rsidRPr="00DA7625">
        <w:t>c)</w:t>
      </w:r>
      <w:r w:rsidRPr="00DA7625">
        <w:tab/>
        <w:t>A veszteségeseményeket a hozzájuk rendelt bruttó veszteség szerinti sorrendben kell feltüntetni.</w:t>
      </w:r>
    </w:p>
    <w:p w14:paraId="5809A7B6" w14:textId="1E238DAE" w:rsidR="001B1411" w:rsidRPr="00DA7625" w:rsidRDefault="00125707">
      <w:pPr>
        <w:pStyle w:val="InstructionsText2"/>
        <w:numPr>
          <w:ilvl w:val="0"/>
          <w:numId w:val="0"/>
        </w:numPr>
        <w:ind w:left="993"/>
      </w:pPr>
      <w:r w:rsidRPr="00DA7625">
        <w:t>d)</w:t>
      </w:r>
      <w:r w:rsidRPr="00DA7625">
        <w:tab/>
        <w:t>Egy veszteségesemény csak egyszer vehető figyelembe.</w:t>
      </w:r>
    </w:p>
    <w:p w14:paraId="0573DA78"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82" w:name="_Toc31018828"/>
      <w:r w:rsidRPr="00DA7625">
        <w:rPr>
          <w:rFonts w:ascii="Times New Roman" w:hAnsi="Times New Roman"/>
          <w:sz w:val="24"/>
          <w:u w:val="none"/>
        </w:rPr>
        <w:t>4.2.3.2.</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8107"/>
      </w:tblGrid>
      <w:tr w:rsidR="001B1411" w:rsidRPr="00DA7625" w14:paraId="7B50679A" w14:textId="77777777" w:rsidTr="00672D2A">
        <w:tc>
          <w:tcPr>
            <w:tcW w:w="9288" w:type="dxa"/>
            <w:gridSpan w:val="2"/>
            <w:shd w:val="clear" w:color="auto" w:fill="BFBFBF"/>
          </w:tcPr>
          <w:p w14:paraId="4890EFE8" w14:textId="77777777" w:rsidR="001B1411" w:rsidRPr="00DA7625" w:rsidRDefault="00FD54FC">
            <w:pPr>
              <w:rPr>
                <w:rFonts w:ascii="Times New Roman" w:hAnsi="Times New Roman"/>
                <w:sz w:val="24"/>
              </w:rPr>
            </w:pPr>
            <w:r w:rsidRPr="00DA7625">
              <w:rPr>
                <w:rFonts w:ascii="Times New Roman" w:hAnsi="Times New Roman"/>
                <w:b/>
                <w:bCs/>
                <w:sz w:val="24"/>
              </w:rPr>
              <w:t>Oszlop</w:t>
            </w:r>
          </w:p>
        </w:tc>
      </w:tr>
      <w:tr w:rsidR="001B1411" w:rsidRPr="00DA7625" w14:paraId="748A91C9" w14:textId="77777777" w:rsidTr="00672D2A">
        <w:tc>
          <w:tcPr>
            <w:tcW w:w="959" w:type="dxa"/>
            <w:shd w:val="clear" w:color="auto" w:fill="auto"/>
          </w:tcPr>
          <w:p w14:paraId="56A3745B" w14:textId="77777777" w:rsidR="001B1411" w:rsidRPr="00DA7625" w:rsidRDefault="00C93FC2">
            <w:pPr>
              <w:rPr>
                <w:rFonts w:ascii="Times New Roman" w:hAnsi="Times New Roman"/>
                <w:sz w:val="24"/>
              </w:rPr>
            </w:pPr>
            <w:r w:rsidRPr="00DA7625">
              <w:rPr>
                <w:rFonts w:ascii="Times New Roman" w:hAnsi="Times New Roman"/>
                <w:sz w:val="24"/>
              </w:rPr>
              <w:t>0010</w:t>
            </w:r>
          </w:p>
        </w:tc>
        <w:tc>
          <w:tcPr>
            <w:tcW w:w="8329" w:type="dxa"/>
            <w:shd w:val="clear" w:color="auto" w:fill="auto"/>
          </w:tcPr>
          <w:p w14:paraId="57B3B92C" w14:textId="77777777" w:rsidR="001B1411" w:rsidRPr="00DA7625" w:rsidRDefault="00FD54FC">
            <w:pPr>
              <w:rPr>
                <w:rFonts w:ascii="Times New Roman" w:hAnsi="Times New Roman"/>
                <w:sz w:val="24"/>
              </w:rPr>
            </w:pPr>
            <w:r w:rsidRPr="00DA7625">
              <w:rPr>
                <w:rStyle w:val="InstructionsTabelleberschrift"/>
                <w:rFonts w:ascii="Times New Roman" w:hAnsi="Times New Roman"/>
                <w:sz w:val="24"/>
              </w:rPr>
              <w:t>Eseményazonosító</w:t>
            </w:r>
          </w:p>
          <w:p w14:paraId="24D3BF54" w14:textId="54FF1E08" w:rsidR="001B1411" w:rsidRPr="00DA7625" w:rsidRDefault="00FD54FC">
            <w:pPr>
              <w:rPr>
                <w:rFonts w:ascii="Times New Roman" w:hAnsi="Times New Roman"/>
                <w:sz w:val="24"/>
              </w:rPr>
            </w:pPr>
            <w:r w:rsidRPr="00DA7625">
              <w:rPr>
                <w:rFonts w:ascii="Times New Roman" w:hAnsi="Times New Roman"/>
                <w:sz w:val="24"/>
              </w:rPr>
              <w:t xml:space="preserve">Az eseményazonosító egy sorazonosító, amely a tábla minden sorát egyedileg azonosítja. </w:t>
            </w:r>
          </w:p>
          <w:p w14:paraId="6A5FB408" w14:textId="77777777" w:rsidR="001B1411" w:rsidRPr="00DA7625" w:rsidRDefault="00FD54FC">
            <w:pPr>
              <w:rPr>
                <w:rFonts w:ascii="Times New Roman" w:hAnsi="Times New Roman"/>
                <w:sz w:val="24"/>
              </w:rPr>
            </w:pPr>
            <w:r w:rsidRPr="00DA7625">
              <w:rPr>
                <w:rFonts w:ascii="Times New Roman" w:hAnsi="Times New Roman"/>
                <w:sz w:val="24"/>
              </w:rPr>
              <w:t>Amennyiben létezik belső azonosító, az intézmények ezt adják meg. Másként a természetes számok sorrendjét kell követni (1, 2, 3 stb.).</w:t>
            </w:r>
          </w:p>
        </w:tc>
      </w:tr>
      <w:tr w:rsidR="001B1411" w:rsidRPr="00DA7625" w14:paraId="3170B641" w14:textId="77777777" w:rsidTr="00672D2A">
        <w:tc>
          <w:tcPr>
            <w:tcW w:w="959" w:type="dxa"/>
            <w:shd w:val="clear" w:color="auto" w:fill="auto"/>
          </w:tcPr>
          <w:p w14:paraId="0307C808" w14:textId="77777777" w:rsidR="001B1411" w:rsidRPr="00DA7625" w:rsidRDefault="00C93FC2">
            <w:pPr>
              <w:rPr>
                <w:rFonts w:ascii="Times New Roman" w:hAnsi="Times New Roman"/>
                <w:sz w:val="24"/>
              </w:rPr>
            </w:pPr>
            <w:r w:rsidRPr="00DA7625">
              <w:rPr>
                <w:rFonts w:ascii="Times New Roman" w:hAnsi="Times New Roman"/>
                <w:sz w:val="24"/>
              </w:rPr>
              <w:lastRenderedPageBreak/>
              <w:t>0020</w:t>
            </w:r>
          </w:p>
        </w:tc>
        <w:tc>
          <w:tcPr>
            <w:tcW w:w="8329" w:type="dxa"/>
            <w:shd w:val="clear" w:color="auto" w:fill="auto"/>
          </w:tcPr>
          <w:p w14:paraId="5C917FB2" w14:textId="77777777"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t>Elszámolás napja</w:t>
            </w:r>
          </w:p>
          <w:p w14:paraId="54DCB09F" w14:textId="7E85C3C7" w:rsidR="001B1411" w:rsidRPr="00DA7625" w:rsidRDefault="00FD54FC">
            <w:pPr>
              <w:rPr>
                <w:rFonts w:ascii="Times New Roman" w:hAnsi="Times New Roman"/>
                <w:sz w:val="24"/>
              </w:rPr>
            </w:pPr>
            <w:r w:rsidRPr="00DA7625">
              <w:rPr>
                <w:rFonts w:ascii="Times New Roman" w:hAnsi="Times New Roman"/>
                <w:sz w:val="24"/>
              </w:rPr>
              <w:t xml:space="preserve">Az elszámolás napja az a nap, amikor a veszteség vagy tartalék/céltartalék először került megjelenítésre az eredménykimutatásban a működési kockázati veszteséggel szemben. </w:t>
            </w:r>
          </w:p>
        </w:tc>
      </w:tr>
      <w:tr w:rsidR="001B1411" w:rsidRPr="00DA7625" w14:paraId="41A2B7D3" w14:textId="77777777" w:rsidTr="00672D2A">
        <w:tc>
          <w:tcPr>
            <w:tcW w:w="959" w:type="dxa"/>
            <w:shd w:val="clear" w:color="auto" w:fill="auto"/>
          </w:tcPr>
          <w:p w14:paraId="4C0CA412" w14:textId="77777777" w:rsidR="001B1411" w:rsidRPr="00DA7625" w:rsidRDefault="00C93FC2">
            <w:pPr>
              <w:rPr>
                <w:rFonts w:ascii="Times New Roman" w:hAnsi="Times New Roman"/>
                <w:sz w:val="24"/>
              </w:rPr>
            </w:pPr>
            <w:r w:rsidRPr="00DA7625">
              <w:rPr>
                <w:rFonts w:ascii="Times New Roman" w:hAnsi="Times New Roman"/>
                <w:sz w:val="24"/>
              </w:rPr>
              <w:t>0030</w:t>
            </w:r>
          </w:p>
        </w:tc>
        <w:tc>
          <w:tcPr>
            <w:tcW w:w="8329" w:type="dxa"/>
            <w:shd w:val="clear" w:color="auto" w:fill="auto"/>
          </w:tcPr>
          <w:p w14:paraId="1BFF12D2" w14:textId="77777777"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t>Esemény napja</w:t>
            </w:r>
          </w:p>
          <w:p w14:paraId="2381B252" w14:textId="6CB49C28" w:rsidR="001B1411" w:rsidRPr="00DA7625" w:rsidRDefault="00FD54FC">
            <w:pPr>
              <w:rPr>
                <w:rFonts w:ascii="Times New Roman" w:hAnsi="Times New Roman"/>
                <w:sz w:val="24"/>
              </w:rPr>
            </w:pPr>
            <w:r w:rsidRPr="00DA7625">
              <w:rPr>
                <w:rFonts w:ascii="Times New Roman" w:hAnsi="Times New Roman"/>
                <w:sz w:val="24"/>
              </w:rPr>
              <w:t>Az esemény napja az a nap, amikor a működési kockázati veszteségesemény bekövetkezett vagy kezdetét vette.</w:t>
            </w:r>
          </w:p>
        </w:tc>
      </w:tr>
      <w:tr w:rsidR="001B1411" w:rsidRPr="00DA7625" w14:paraId="4AC525C3" w14:textId="77777777" w:rsidTr="00672D2A">
        <w:tc>
          <w:tcPr>
            <w:tcW w:w="959" w:type="dxa"/>
            <w:shd w:val="clear" w:color="auto" w:fill="auto"/>
          </w:tcPr>
          <w:p w14:paraId="1A72F0CC" w14:textId="77777777" w:rsidR="001B1411" w:rsidRPr="00DA7625" w:rsidRDefault="00C93FC2">
            <w:pPr>
              <w:rPr>
                <w:rFonts w:ascii="Times New Roman" w:hAnsi="Times New Roman"/>
                <w:sz w:val="24"/>
              </w:rPr>
            </w:pPr>
            <w:r w:rsidRPr="00DA7625">
              <w:rPr>
                <w:rFonts w:ascii="Times New Roman" w:hAnsi="Times New Roman"/>
                <w:sz w:val="24"/>
              </w:rPr>
              <w:t>0040</w:t>
            </w:r>
          </w:p>
        </w:tc>
        <w:tc>
          <w:tcPr>
            <w:tcW w:w="8329" w:type="dxa"/>
            <w:shd w:val="clear" w:color="auto" w:fill="auto"/>
          </w:tcPr>
          <w:p w14:paraId="468C7F1A" w14:textId="77777777"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t>Felismerés napja</w:t>
            </w:r>
          </w:p>
          <w:p w14:paraId="16F4DCBE" w14:textId="67D795E7" w:rsidR="001B1411" w:rsidRPr="00DA7625" w:rsidRDefault="00FD54FC">
            <w:pPr>
              <w:rPr>
                <w:rFonts w:ascii="Times New Roman" w:hAnsi="Times New Roman"/>
                <w:sz w:val="24"/>
              </w:rPr>
            </w:pPr>
            <w:r w:rsidRPr="00DA7625">
              <w:rPr>
                <w:rFonts w:ascii="Times New Roman" w:hAnsi="Times New Roman"/>
                <w:sz w:val="24"/>
              </w:rPr>
              <w:t>A felismerés napja az a nap, amikor a működési kockázati veszteségesemény az intézmény tudomására jutott.</w:t>
            </w:r>
          </w:p>
        </w:tc>
      </w:tr>
      <w:tr w:rsidR="001B1411" w:rsidRPr="00DA7625" w14:paraId="5D4DB782" w14:textId="77777777" w:rsidTr="00672D2A">
        <w:tc>
          <w:tcPr>
            <w:tcW w:w="959" w:type="dxa"/>
            <w:shd w:val="clear" w:color="auto" w:fill="auto"/>
          </w:tcPr>
          <w:p w14:paraId="08468149" w14:textId="77777777" w:rsidR="001B1411" w:rsidRPr="00DA7625" w:rsidRDefault="00C93FC2">
            <w:pPr>
              <w:rPr>
                <w:rFonts w:ascii="Times New Roman" w:hAnsi="Times New Roman"/>
                <w:sz w:val="24"/>
              </w:rPr>
            </w:pPr>
            <w:r w:rsidRPr="00DA7625">
              <w:rPr>
                <w:rFonts w:ascii="Times New Roman" w:hAnsi="Times New Roman"/>
                <w:sz w:val="24"/>
              </w:rPr>
              <w:t>0050</w:t>
            </w:r>
          </w:p>
        </w:tc>
        <w:tc>
          <w:tcPr>
            <w:tcW w:w="8329" w:type="dxa"/>
            <w:shd w:val="clear" w:color="auto" w:fill="auto"/>
          </w:tcPr>
          <w:p w14:paraId="13DA8006" w14:textId="650648BF" w:rsidR="001B1411" w:rsidRPr="00DA7625" w:rsidRDefault="00F41508">
            <w:pPr>
              <w:rPr>
                <w:rStyle w:val="InstructionsTabelleberschrift"/>
                <w:rFonts w:ascii="Times New Roman" w:hAnsi="Times New Roman"/>
                <w:sz w:val="24"/>
              </w:rPr>
            </w:pPr>
            <w:r w:rsidRPr="00DA7625">
              <w:rPr>
                <w:rStyle w:val="InstructionsTabelleberschrift"/>
                <w:rFonts w:ascii="Times New Roman" w:hAnsi="Times New Roman"/>
                <w:sz w:val="24"/>
              </w:rPr>
              <w:t>Veszteségesemény-típus</w:t>
            </w:r>
          </w:p>
          <w:p w14:paraId="406E29FD" w14:textId="533AC5CE" w:rsidR="001B1411" w:rsidRPr="00DA7625" w:rsidRDefault="00F41508">
            <w:pPr>
              <w:rPr>
                <w:rFonts w:ascii="Times New Roman" w:hAnsi="Times New Roman"/>
                <w:sz w:val="24"/>
              </w:rPr>
            </w:pPr>
            <w:r w:rsidRPr="00DA7625">
              <w:rPr>
                <w:rFonts w:ascii="Times New Roman" w:hAnsi="Times New Roman"/>
                <w:sz w:val="24"/>
              </w:rPr>
              <w:t>A CRR 324. cikkében említett veszteségesemény-típusok.</w:t>
            </w:r>
          </w:p>
        </w:tc>
      </w:tr>
      <w:tr w:rsidR="001B1411" w:rsidRPr="00DA7625" w14:paraId="1D660F38" w14:textId="77777777" w:rsidTr="00672D2A">
        <w:tc>
          <w:tcPr>
            <w:tcW w:w="959" w:type="dxa"/>
            <w:shd w:val="clear" w:color="auto" w:fill="auto"/>
          </w:tcPr>
          <w:p w14:paraId="0985E5F3" w14:textId="77777777" w:rsidR="001B1411" w:rsidRPr="00DA7625" w:rsidRDefault="00C93FC2">
            <w:pPr>
              <w:rPr>
                <w:rFonts w:ascii="Times New Roman" w:hAnsi="Times New Roman"/>
                <w:sz w:val="24"/>
              </w:rPr>
            </w:pPr>
            <w:r w:rsidRPr="00DA7625">
              <w:rPr>
                <w:rFonts w:ascii="Times New Roman" w:hAnsi="Times New Roman"/>
                <w:sz w:val="24"/>
              </w:rPr>
              <w:t>0060</w:t>
            </w:r>
          </w:p>
        </w:tc>
        <w:tc>
          <w:tcPr>
            <w:tcW w:w="8329" w:type="dxa"/>
            <w:shd w:val="clear" w:color="auto" w:fill="auto"/>
          </w:tcPr>
          <w:p w14:paraId="70D34815" w14:textId="77777777"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t>Bruttó veszteség</w:t>
            </w:r>
          </w:p>
          <w:p w14:paraId="74813F4B" w14:textId="568D2C1B" w:rsidR="001B1411" w:rsidRPr="00DA7625" w:rsidRDefault="00FD54FC">
            <w:pPr>
              <w:rPr>
                <w:rFonts w:ascii="Times New Roman" w:hAnsi="Times New Roman"/>
                <w:sz w:val="24"/>
              </w:rPr>
            </w:pPr>
            <w:r w:rsidRPr="00DA7625">
              <w:rPr>
                <w:rFonts w:ascii="Times New Roman" w:hAnsi="Times New Roman"/>
                <w:sz w:val="24"/>
              </w:rPr>
              <w:t>A 17.01 tábla 0020, 0120 stb. sorában megadott, a veszteségeseményhez kapcsolódó bruttó veszteség.</w:t>
            </w:r>
          </w:p>
        </w:tc>
      </w:tr>
      <w:tr w:rsidR="001B1411" w:rsidRPr="00DA7625" w14:paraId="566DE2EB" w14:textId="77777777" w:rsidTr="00672D2A">
        <w:tc>
          <w:tcPr>
            <w:tcW w:w="959" w:type="dxa"/>
            <w:shd w:val="clear" w:color="auto" w:fill="auto"/>
          </w:tcPr>
          <w:p w14:paraId="6F628B44" w14:textId="77777777" w:rsidR="001B1411" w:rsidRPr="00DA7625" w:rsidRDefault="00C93FC2">
            <w:pPr>
              <w:rPr>
                <w:rFonts w:ascii="Times New Roman" w:hAnsi="Times New Roman"/>
                <w:sz w:val="24"/>
              </w:rPr>
            </w:pPr>
            <w:r w:rsidRPr="00DA7625">
              <w:rPr>
                <w:rFonts w:ascii="Times New Roman" w:hAnsi="Times New Roman"/>
                <w:sz w:val="24"/>
              </w:rPr>
              <w:t>0070</w:t>
            </w:r>
          </w:p>
        </w:tc>
        <w:tc>
          <w:tcPr>
            <w:tcW w:w="8329" w:type="dxa"/>
            <w:shd w:val="clear" w:color="auto" w:fill="auto"/>
          </w:tcPr>
          <w:p w14:paraId="3285AB30" w14:textId="77777777"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t>Bruttó veszteség a közvetlen megtérülések levonásával</w:t>
            </w:r>
          </w:p>
          <w:p w14:paraId="4D05111A" w14:textId="7607C8F4" w:rsidR="001B1411" w:rsidRPr="00DA7625" w:rsidRDefault="00FD54FC">
            <w:pPr>
              <w:rPr>
                <w:rFonts w:ascii="Times New Roman" w:hAnsi="Times New Roman"/>
                <w:sz w:val="24"/>
              </w:rPr>
            </w:pPr>
            <w:r w:rsidRPr="00DA7625">
              <w:rPr>
                <w:rFonts w:ascii="Times New Roman" w:hAnsi="Times New Roman"/>
                <w:sz w:val="24"/>
              </w:rPr>
              <w:t>A 17.01 tábla 0020, 0120 stb. sorában megadott, a veszteségeseményhez kapcsolódó bruttó veszteség az adott veszteségeseményhez kapcsolódó közvetlen megtérülések levonásával.</w:t>
            </w:r>
          </w:p>
        </w:tc>
      </w:tr>
      <w:tr w:rsidR="001B1411" w:rsidRPr="00DA7625" w14:paraId="333A6C2C" w14:textId="77777777" w:rsidTr="00672D2A">
        <w:tc>
          <w:tcPr>
            <w:tcW w:w="959" w:type="dxa"/>
            <w:shd w:val="clear" w:color="auto" w:fill="auto"/>
          </w:tcPr>
          <w:p w14:paraId="50A72E5B" w14:textId="77777777" w:rsidR="001B1411" w:rsidRPr="00DA7625" w:rsidRDefault="00C93FC2">
            <w:pPr>
              <w:rPr>
                <w:rFonts w:ascii="Times New Roman" w:hAnsi="Times New Roman"/>
                <w:sz w:val="24"/>
              </w:rPr>
            </w:pPr>
            <w:r w:rsidRPr="00DA7625">
              <w:rPr>
                <w:rFonts w:ascii="Times New Roman" w:hAnsi="Times New Roman"/>
                <w:sz w:val="24"/>
              </w:rPr>
              <w:t>0080–0160</w:t>
            </w:r>
          </w:p>
        </w:tc>
        <w:tc>
          <w:tcPr>
            <w:tcW w:w="8329" w:type="dxa"/>
            <w:shd w:val="clear" w:color="auto" w:fill="auto"/>
          </w:tcPr>
          <w:p w14:paraId="38AA42DC" w14:textId="77777777"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t>Bruttó veszteség üzletáganként</w:t>
            </w:r>
          </w:p>
          <w:p w14:paraId="76D3B7AD" w14:textId="7C485E6B" w:rsidR="001B1411" w:rsidRPr="00DA7625" w:rsidRDefault="00FD54FC">
            <w:pPr>
              <w:rPr>
                <w:rFonts w:ascii="Times New Roman" w:hAnsi="Times New Roman"/>
                <w:sz w:val="24"/>
              </w:rPr>
            </w:pPr>
            <w:r w:rsidRPr="00DA7625">
              <w:rPr>
                <w:rFonts w:ascii="Times New Roman" w:hAnsi="Times New Roman"/>
                <w:sz w:val="24"/>
              </w:rPr>
              <w:t>A 0060-as oszlopban feltüntetett bruttó veszteséget a CRR 317. cikke (4) bekezdésének 2. táblázatában és 322. cikke (3) bekezdésének b) pontjában említett megfelelő üzletágba kell sorolni.</w:t>
            </w:r>
          </w:p>
        </w:tc>
      </w:tr>
      <w:tr w:rsidR="001B1411" w:rsidRPr="00DA7625" w14:paraId="26276203" w14:textId="77777777" w:rsidTr="00672D2A">
        <w:tc>
          <w:tcPr>
            <w:tcW w:w="959" w:type="dxa"/>
            <w:shd w:val="clear" w:color="auto" w:fill="auto"/>
          </w:tcPr>
          <w:p w14:paraId="6354A56E" w14:textId="77777777" w:rsidR="001B1411" w:rsidRPr="00DA7625" w:rsidRDefault="00C93FC2">
            <w:pPr>
              <w:rPr>
                <w:rFonts w:ascii="Times New Roman" w:hAnsi="Times New Roman"/>
                <w:sz w:val="24"/>
              </w:rPr>
            </w:pPr>
            <w:r w:rsidRPr="00DA7625">
              <w:rPr>
                <w:rFonts w:ascii="Times New Roman" w:hAnsi="Times New Roman"/>
                <w:sz w:val="24"/>
              </w:rPr>
              <w:t>0170</w:t>
            </w:r>
          </w:p>
        </w:tc>
        <w:tc>
          <w:tcPr>
            <w:tcW w:w="8329" w:type="dxa"/>
            <w:shd w:val="clear" w:color="auto" w:fill="auto"/>
          </w:tcPr>
          <w:p w14:paraId="415B57CF" w14:textId="77777777"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t>Jogalany neve</w:t>
            </w:r>
          </w:p>
          <w:p w14:paraId="68447AC9" w14:textId="77777777" w:rsidR="001B1411" w:rsidRPr="00DA7625" w:rsidRDefault="00FD54FC">
            <w:pPr>
              <w:rPr>
                <w:rFonts w:ascii="Times New Roman" w:hAnsi="Times New Roman"/>
                <w:sz w:val="24"/>
              </w:rPr>
            </w:pPr>
            <w:r w:rsidRPr="00DA7625">
              <w:rPr>
                <w:rFonts w:ascii="Times New Roman" w:hAnsi="Times New Roman"/>
                <w:sz w:val="24"/>
              </w:rPr>
              <w:t>Annak a jogalanynak a C 06.02 tábla 010-es oszlopában jelentett neve, amelynél a veszteség – vagy ha több jogalany is érintett volt, a veszteség legnagyobb része – felmerült.</w:t>
            </w:r>
          </w:p>
        </w:tc>
      </w:tr>
      <w:tr w:rsidR="001B1411" w:rsidRPr="00DA7625" w14:paraId="7F2AE553" w14:textId="77777777" w:rsidTr="00672D2A">
        <w:tc>
          <w:tcPr>
            <w:tcW w:w="959" w:type="dxa"/>
            <w:shd w:val="clear" w:color="auto" w:fill="auto"/>
          </w:tcPr>
          <w:p w14:paraId="4FE7E3A2" w14:textId="77777777" w:rsidR="001B1411" w:rsidRPr="00DA7625" w:rsidRDefault="00C93FC2">
            <w:pPr>
              <w:rPr>
                <w:rFonts w:ascii="Times New Roman" w:hAnsi="Times New Roman"/>
                <w:sz w:val="24"/>
              </w:rPr>
            </w:pPr>
            <w:r w:rsidRPr="00DA7625">
              <w:rPr>
                <w:rFonts w:ascii="Times New Roman" w:hAnsi="Times New Roman"/>
                <w:sz w:val="24"/>
              </w:rPr>
              <w:t>0180</w:t>
            </w:r>
          </w:p>
        </w:tc>
        <w:tc>
          <w:tcPr>
            <w:tcW w:w="8329" w:type="dxa"/>
            <w:shd w:val="clear" w:color="auto" w:fill="auto"/>
          </w:tcPr>
          <w:p w14:paraId="0E148FD4" w14:textId="77777777"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t>Jogalany-azonosító</w:t>
            </w:r>
          </w:p>
          <w:p w14:paraId="45DE608D" w14:textId="77777777" w:rsidR="001B1411" w:rsidRPr="00DA7625" w:rsidRDefault="00FD54FC">
            <w:pPr>
              <w:rPr>
                <w:rFonts w:ascii="Times New Roman" w:hAnsi="Times New Roman"/>
                <w:sz w:val="24"/>
              </w:rPr>
            </w:pPr>
            <w:r w:rsidRPr="00DA7625">
              <w:rPr>
                <w:rFonts w:ascii="Times New Roman" w:hAnsi="Times New Roman"/>
                <w:sz w:val="24"/>
              </w:rPr>
              <w:t>Annak a jogalanynak a C 06.02 tábla 025-ös oszlopában jelentett jogalany-azonosítója (LEI), amelynél a veszteség – vagy ha több jogalany is érintett volt, a veszteség legnagyobb része – felmerült.</w:t>
            </w:r>
          </w:p>
        </w:tc>
      </w:tr>
      <w:tr w:rsidR="001B1411" w:rsidRPr="00DA7625" w14:paraId="14CE4235" w14:textId="77777777" w:rsidTr="00672D2A">
        <w:tc>
          <w:tcPr>
            <w:tcW w:w="959" w:type="dxa"/>
            <w:shd w:val="clear" w:color="auto" w:fill="auto"/>
          </w:tcPr>
          <w:p w14:paraId="2BAC94C5" w14:textId="77777777" w:rsidR="001B1411" w:rsidRPr="00DA7625" w:rsidRDefault="00C93FC2">
            <w:pPr>
              <w:rPr>
                <w:rFonts w:ascii="Times New Roman" w:hAnsi="Times New Roman"/>
                <w:sz w:val="24"/>
              </w:rPr>
            </w:pPr>
            <w:r w:rsidRPr="00DA7625">
              <w:rPr>
                <w:rFonts w:ascii="Times New Roman" w:hAnsi="Times New Roman"/>
                <w:sz w:val="24"/>
              </w:rPr>
              <w:t>0190</w:t>
            </w:r>
          </w:p>
        </w:tc>
        <w:tc>
          <w:tcPr>
            <w:tcW w:w="8329" w:type="dxa"/>
            <w:shd w:val="clear" w:color="auto" w:fill="auto"/>
          </w:tcPr>
          <w:p w14:paraId="16D40789" w14:textId="77777777"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t>Üzleti egység</w:t>
            </w:r>
          </w:p>
          <w:p w14:paraId="5F31CE90" w14:textId="77777777" w:rsidR="001B1411" w:rsidRPr="00DA7625" w:rsidRDefault="00FD54FC">
            <w:pPr>
              <w:rPr>
                <w:rFonts w:ascii="Times New Roman" w:hAnsi="Times New Roman"/>
                <w:sz w:val="24"/>
              </w:rPr>
            </w:pPr>
            <w:r w:rsidRPr="00DA7625">
              <w:rPr>
                <w:rFonts w:ascii="Times New Roman" w:hAnsi="Times New Roman"/>
                <w:sz w:val="24"/>
              </w:rPr>
              <w:t>Az intézmény azon üzleti egysége vagy vállalati divíziója, amelynél a veszteség – vagy ha több egység vagy divízió is érintett volt, a veszteség legnagyobb része – felmerült.</w:t>
            </w:r>
          </w:p>
        </w:tc>
      </w:tr>
      <w:tr w:rsidR="001B1411" w:rsidRPr="00DA7625" w14:paraId="2E2FC3F2" w14:textId="77777777" w:rsidTr="00672D2A">
        <w:tc>
          <w:tcPr>
            <w:tcW w:w="959" w:type="dxa"/>
            <w:shd w:val="clear" w:color="auto" w:fill="auto"/>
          </w:tcPr>
          <w:p w14:paraId="47CEA134" w14:textId="77777777" w:rsidR="001B1411" w:rsidRPr="00DA7625" w:rsidRDefault="00C93FC2">
            <w:pPr>
              <w:rPr>
                <w:rFonts w:ascii="Times New Roman" w:hAnsi="Times New Roman"/>
                <w:sz w:val="24"/>
              </w:rPr>
            </w:pPr>
            <w:r w:rsidRPr="00DA7625">
              <w:rPr>
                <w:rFonts w:ascii="Times New Roman" w:hAnsi="Times New Roman"/>
                <w:sz w:val="24"/>
              </w:rPr>
              <w:t>0200</w:t>
            </w:r>
          </w:p>
        </w:tc>
        <w:tc>
          <w:tcPr>
            <w:tcW w:w="8329" w:type="dxa"/>
            <w:shd w:val="clear" w:color="auto" w:fill="auto"/>
          </w:tcPr>
          <w:p w14:paraId="5D0B1956" w14:textId="77777777" w:rsidR="001B1411" w:rsidRPr="00DA7625" w:rsidRDefault="00FD54FC">
            <w:pPr>
              <w:rPr>
                <w:rStyle w:val="InstructionsTabelleberschrift"/>
                <w:rFonts w:ascii="Times New Roman" w:hAnsi="Times New Roman"/>
                <w:sz w:val="24"/>
              </w:rPr>
            </w:pPr>
            <w:r w:rsidRPr="00DA7625">
              <w:rPr>
                <w:rStyle w:val="InstructionsTabelleberschrift"/>
                <w:rFonts w:ascii="Times New Roman" w:hAnsi="Times New Roman"/>
                <w:sz w:val="24"/>
              </w:rPr>
              <w:t>Leírás</w:t>
            </w:r>
          </w:p>
          <w:p w14:paraId="0DD7E318" w14:textId="7F5B2E78" w:rsidR="001B1411" w:rsidRPr="00DA7625" w:rsidRDefault="00FD54FC">
            <w:pPr>
              <w:rPr>
                <w:rFonts w:ascii="Times New Roman" w:hAnsi="Times New Roman"/>
                <w:sz w:val="24"/>
              </w:rPr>
            </w:pPr>
            <w:r w:rsidRPr="00DA7625">
              <w:rPr>
                <w:rFonts w:ascii="Times New Roman" w:hAnsi="Times New Roman"/>
                <w:sz w:val="24"/>
              </w:rPr>
              <w:lastRenderedPageBreak/>
              <w:t>A veszteségesemény szöveges ismertetése, szükség esetén általános vagy anonimizált módon, amelynek ki kell terjednie legalább magára az eseményre és – amennyiben ismertek – a veszteségesemény okaira vonatkozó információkra.</w:t>
            </w:r>
          </w:p>
        </w:tc>
      </w:tr>
    </w:tbl>
    <w:p w14:paraId="797CE58A" w14:textId="77777777" w:rsidR="001B1411" w:rsidRPr="00DA7625" w:rsidRDefault="001B1411">
      <w:pPr>
        <w:spacing w:after="0"/>
        <w:rPr>
          <w:rFonts w:ascii="Times New Roman" w:hAnsi="Times New Roman"/>
          <w:sz w:val="24"/>
        </w:rPr>
      </w:pPr>
    </w:p>
    <w:p w14:paraId="477EDC0A" w14:textId="77777777" w:rsidR="001B1411" w:rsidRPr="00DA7625" w:rsidRDefault="00AC6255">
      <w:pPr>
        <w:spacing w:before="0" w:after="0"/>
        <w:jc w:val="left"/>
        <w:rPr>
          <w:rStyle w:val="InstructionsTabelleText"/>
          <w:rFonts w:ascii="Times New Roman" w:hAnsi="Times New Roman"/>
          <w:sz w:val="24"/>
        </w:rPr>
      </w:pPr>
      <w:r w:rsidRPr="00DA7625">
        <w:rPr>
          <w:sz w:val="24"/>
        </w:rPr>
        <w:br w:type="page"/>
      </w:r>
    </w:p>
    <w:p w14:paraId="68CC3DAD"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83" w:name="_Toc31018829"/>
      <w:r w:rsidRPr="00DA7625">
        <w:rPr>
          <w:rFonts w:ascii="Times New Roman" w:hAnsi="Times New Roman"/>
          <w:sz w:val="24"/>
          <w:u w:val="none"/>
        </w:rPr>
        <w:lastRenderedPageBreak/>
        <w:t>5.</w:t>
      </w:r>
      <w:r w:rsidRPr="00DA7625">
        <w:rPr>
          <w:rFonts w:ascii="Times New Roman" w:hAnsi="Times New Roman"/>
          <w:sz w:val="24"/>
          <w:u w:val="none"/>
        </w:rPr>
        <w:tab/>
      </w:r>
      <w:r w:rsidRPr="00DA7625">
        <w:rPr>
          <w:rFonts w:ascii="Times New Roman" w:hAnsi="Times New Roman"/>
          <w:sz w:val="24"/>
        </w:rPr>
        <w:t>Piaci kockázati táblacsoport</w:t>
      </w:r>
      <w:bookmarkEnd w:id="83"/>
    </w:p>
    <w:p w14:paraId="7E671213" w14:textId="144BC71D" w:rsidR="001B1411" w:rsidRPr="00DA7625" w:rsidRDefault="00125707">
      <w:pPr>
        <w:pStyle w:val="InstructionsText2"/>
        <w:numPr>
          <w:ilvl w:val="0"/>
          <w:numId w:val="0"/>
        </w:numPr>
        <w:ind w:left="993"/>
      </w:pPr>
      <w:r w:rsidRPr="00DA7625">
        <w:t>137.</w:t>
      </w:r>
      <w:r w:rsidRPr="00DA7625">
        <w:tab/>
        <w:t xml:space="preserve"> Az itt megadott útmutató a devizaárfolyam-kockázathoz (MKR SA FX), árukockázathoz (MKR SA COM), kamatlábkockázathoz (MKR SA TDI, MKR SA SEC, MKR SA CTP) és részvénypiaci kockázathoz (MKR SA EQU) kapcsolódó szavatolótőke-követelmény sztenderd módszer szerinti kiszámításáról történő adatszolgáltatáshoz használt táblákra terjed ki. Ebben a részben útmutató található továbbá a szavatolótőke-követelmény belső modelleken alapuló módszer szerinti kiszámításáról történő adatszolgáltatáshoz használt táblára vonatkozóan (MKR IM) is. </w:t>
      </w:r>
    </w:p>
    <w:p w14:paraId="532D693F" w14:textId="683C2F49" w:rsidR="001B1411" w:rsidRPr="00DA7625" w:rsidRDefault="00125707">
      <w:pPr>
        <w:pStyle w:val="InstructionsText2"/>
        <w:numPr>
          <w:ilvl w:val="0"/>
          <w:numId w:val="0"/>
        </w:numPr>
        <w:ind w:left="993"/>
      </w:pPr>
      <w:r w:rsidRPr="00DA7625">
        <w:t>138.</w:t>
      </w:r>
      <w:r w:rsidRPr="00DA7625">
        <w:tab/>
        <w:t xml:space="preserve"> A forgalmazott, hitelviszonyt megtestesítő értékpapírok vagy tulajdoni részesedést megtestesítő instrumentumok, illetve ezek származtatott eszközének pozíciókockázatát tőkeszükségletük kiszámítása céljából két összetevőre kell bontani. Az első elem az egyedi kockázati összetevő – azaz az adott eszköz árváltozásának kockázata, ami a kibocsátójával, illetve, származtatott eszköz esetében, az alapul szolgáló eszköz kibocsátójával kapcsolatos tényezőkből adódik. A második elem az általános kockázatot foglalja magában: az eszköz árváltozásának azt a kockázatát, amely forgalmazott, hitelviszonyt megtestesítő értékpapírok vagy azok származtatott eszköze esetében a kamatszintek változásából, tőkeinstrumentum vagy annak származtatott eszköze esetében az egyes értékpapírok sajátos tulajdonságaival kapcsolatban nem lévő, általános részvénypiaci mozgásokból adódik. Az egyes instrumentumok és nettósítási eljárások általános kezelését a CRR 326–333. cikke ismerteti. </w:t>
      </w:r>
    </w:p>
    <w:p w14:paraId="102B89F4"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84" w:name="_Toc31018830"/>
      <w:r w:rsidRPr="00DA7625">
        <w:rPr>
          <w:rFonts w:ascii="Times New Roman" w:hAnsi="Times New Roman"/>
          <w:sz w:val="24"/>
          <w:u w:val="none"/>
        </w:rPr>
        <w:t>5.1.</w:t>
      </w:r>
      <w:r w:rsidRPr="00DA7625">
        <w:rPr>
          <w:rFonts w:ascii="Times New Roman" w:hAnsi="Times New Roman"/>
          <w:sz w:val="24"/>
          <w:u w:val="none"/>
        </w:rPr>
        <w:tab/>
      </w:r>
      <w:r w:rsidRPr="00DA7625">
        <w:rPr>
          <w:rFonts w:ascii="Times New Roman" w:hAnsi="Times New Roman"/>
          <w:sz w:val="24"/>
        </w:rPr>
        <w:t>C 18.00 – Piaci kockázat: A forgalmazott, hitelviszonyt megtestesítő értékpapírok pozíciókockázatának sztenderd módszere (MKR SA TDI)</w:t>
      </w:r>
      <w:bookmarkEnd w:id="84"/>
    </w:p>
    <w:p w14:paraId="715816FA"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85" w:name="_Toc31018831"/>
      <w:r w:rsidRPr="00DA7625">
        <w:rPr>
          <w:rFonts w:ascii="Times New Roman" w:hAnsi="Times New Roman"/>
          <w:sz w:val="24"/>
          <w:u w:val="none"/>
        </w:rPr>
        <w:t>5.1.1.</w:t>
      </w:r>
      <w:r w:rsidRPr="00DA7625">
        <w:rPr>
          <w:rFonts w:ascii="Times New Roman" w:hAnsi="Times New Roman"/>
          <w:sz w:val="24"/>
          <w:u w:val="none"/>
        </w:rPr>
        <w:tab/>
      </w:r>
      <w:r w:rsidRPr="00DA7625">
        <w:rPr>
          <w:rFonts w:ascii="Times New Roman" w:hAnsi="Times New Roman"/>
          <w:sz w:val="24"/>
        </w:rPr>
        <w:t>Általános megjegyzések</w:t>
      </w:r>
      <w:bookmarkEnd w:id="85"/>
    </w:p>
    <w:p w14:paraId="5B765DA5" w14:textId="38512066" w:rsidR="001B1411" w:rsidRPr="00DA7625" w:rsidRDefault="00125707">
      <w:pPr>
        <w:pStyle w:val="InstructionsText2"/>
        <w:numPr>
          <w:ilvl w:val="0"/>
          <w:numId w:val="0"/>
        </w:numPr>
        <w:ind w:left="993"/>
      </w:pPr>
      <w:r w:rsidRPr="00DA7625">
        <w:t>139.</w:t>
      </w:r>
      <w:r w:rsidRPr="00DA7625">
        <w:tab/>
        <w:t xml:space="preserve"> Ez a tábla a forgalmazott, hitelviszonyt megtestesítő értékpapírok sztenderd módszer szerinti pozíciókockázatát érintő pozíciókat és az azokhoz kapcsolódó szavatolótőke-követelményt rögzíti (a CRR 102. cikke, valamint 105. cikkének (1) bekezdése). A különböző kockázatok és a CRR alapján alkalmazható módszerek az egyes sorokban vehetők figyelembe. Az MKR SA SEC és MKR SA CTP táblán szereplő kitettségekkel összefüggő egyedi kockázatok kizárólag az MKR SA TDI Total táblán tüntethetők fel. Az említett táblákon feltüntetett szavatolótőke-követelményt át kell vinni a {325;060} (értékpapírosítások), illetve {330;060} (CTP) cellába.</w:t>
      </w:r>
    </w:p>
    <w:p w14:paraId="66F36146" w14:textId="77777777" w:rsidR="001B1411" w:rsidRPr="00DA7625" w:rsidRDefault="00125707">
      <w:pPr>
        <w:pStyle w:val="InstructionsText2"/>
        <w:numPr>
          <w:ilvl w:val="0"/>
          <w:numId w:val="0"/>
        </w:numPr>
        <w:ind w:left="993"/>
      </w:pPr>
      <w:r w:rsidRPr="00DA7625">
        <w:t>140.</w:t>
      </w:r>
      <w:r w:rsidRPr="00DA7625">
        <w:tab/>
        <w:t xml:space="preserve"> A táblát külön ki kell tölteni összesítve, valamint az alábbi előre meghatározott felsorolásban szereplő pénznemekre vonatkozóan: EUR, ALL, BGN, CZK, DKK, EGP, GBP, HRK, HUF, ISK, JPY, MKD, NOK, PLN, RON, RUB, RSD, SEK, CHF, TRY, UAH, USD, továbbá egy táblát minden egyéb pénznemre összevontan. </w:t>
      </w:r>
    </w:p>
    <w:p w14:paraId="21E7AE92"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86" w:name="_Toc31018832"/>
      <w:r w:rsidRPr="00DA7625">
        <w:rPr>
          <w:rFonts w:ascii="Times New Roman" w:hAnsi="Times New Roman"/>
          <w:sz w:val="24"/>
          <w:u w:val="none"/>
        </w:rPr>
        <w:t>5.1.2.</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1B1411" w:rsidRPr="00DA7625" w14:paraId="182517AD" w14:textId="77777777" w:rsidTr="00672D2A">
        <w:trPr>
          <w:trHeight w:val="569"/>
        </w:trPr>
        <w:tc>
          <w:tcPr>
            <w:tcW w:w="8862" w:type="dxa"/>
            <w:gridSpan w:val="2"/>
            <w:shd w:val="clear" w:color="auto" w:fill="CCCCCC"/>
          </w:tcPr>
          <w:p w14:paraId="5020DF58" w14:textId="77777777" w:rsidR="001B1411" w:rsidRPr="00DA7625" w:rsidRDefault="000B0B09">
            <w:pPr>
              <w:autoSpaceDE w:val="0"/>
              <w:autoSpaceDN w:val="0"/>
              <w:adjustRightInd w:val="0"/>
              <w:spacing w:after="0"/>
              <w:rPr>
                <w:rFonts w:ascii="Times New Roman" w:hAnsi="Times New Roman"/>
                <w:b/>
                <w:sz w:val="24"/>
              </w:rPr>
            </w:pPr>
            <w:r w:rsidRPr="00DA7625">
              <w:rPr>
                <w:rFonts w:ascii="Times New Roman" w:hAnsi="Times New Roman"/>
                <w:b/>
                <w:sz w:val="24"/>
              </w:rPr>
              <w:t>Oszlop</w:t>
            </w:r>
          </w:p>
        </w:tc>
      </w:tr>
      <w:tr w:rsidR="001B1411" w:rsidRPr="00DA7625" w14:paraId="74254EDB" w14:textId="77777777" w:rsidTr="00672D2A">
        <w:tc>
          <w:tcPr>
            <w:tcW w:w="988" w:type="dxa"/>
          </w:tcPr>
          <w:p w14:paraId="620A001E"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010–020</w:t>
            </w:r>
          </w:p>
        </w:tc>
        <w:tc>
          <w:tcPr>
            <w:tcW w:w="7874" w:type="dxa"/>
          </w:tcPr>
          <w:p w14:paraId="34B3688C"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ÖSSZES POZÍCIÓ (HOSSZÚ ÉS RÖVID)</w:t>
            </w:r>
          </w:p>
          <w:p w14:paraId="32AEBA14" w14:textId="1AC393D5" w:rsidR="001B1411" w:rsidRPr="00DA7625" w:rsidRDefault="000B0B09">
            <w:pPr>
              <w:rPr>
                <w:rFonts w:ascii="Times New Roman" w:hAnsi="Times New Roman"/>
                <w:sz w:val="24"/>
              </w:rPr>
            </w:pPr>
            <w:r w:rsidRPr="00DA7625">
              <w:rPr>
                <w:rFonts w:ascii="Times New Roman" w:hAnsi="Times New Roman"/>
                <w:sz w:val="24"/>
              </w:rPr>
              <w:t>A CRR 102. cikke, valamint 105. cikkének (1) bekezdése Bruttó, instrumentumonként nem nettósított pozíciók azon jegyzési pozíciók levonásával, amelyeket harmadik fél az intézménytől lejegyzett, vagy amelyekre jegyzési garanciát vál</w:t>
            </w:r>
            <w:r w:rsidRPr="00DA7625">
              <w:rPr>
                <w:rFonts w:ascii="Times New Roman" w:hAnsi="Times New Roman"/>
                <w:sz w:val="24"/>
              </w:rPr>
              <w:lastRenderedPageBreak/>
              <w:t>lal a CRR 345. cikke (1) bekezdése, első albekezdése második mondatának megfelelően. A hosszú és rövid pozícióknak az említett bruttó pozíciókra is alkalmazandó megkülönböztetésével kapcsolatban lásd a CRR 328. cikkének (2) bekezdését.</w:t>
            </w:r>
          </w:p>
        </w:tc>
      </w:tr>
      <w:tr w:rsidR="001B1411" w:rsidRPr="00DA7625" w14:paraId="58994B05" w14:textId="77777777" w:rsidTr="00672D2A">
        <w:tc>
          <w:tcPr>
            <w:tcW w:w="988" w:type="dxa"/>
          </w:tcPr>
          <w:p w14:paraId="564F0D3C"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030–040</w:t>
            </w:r>
          </w:p>
        </w:tc>
        <w:tc>
          <w:tcPr>
            <w:tcW w:w="7874" w:type="dxa"/>
          </w:tcPr>
          <w:p w14:paraId="31BBA35F"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NETTÓ POZÍCIÓK (HOSSZÚ ÉS RÖVID)</w:t>
            </w:r>
          </w:p>
          <w:p w14:paraId="6AB5B979" w14:textId="777392E7" w:rsidR="001B1411" w:rsidRPr="00DA7625" w:rsidRDefault="000B0B09">
            <w:pPr>
              <w:rPr>
                <w:rFonts w:ascii="Times New Roman" w:hAnsi="Times New Roman"/>
                <w:sz w:val="24"/>
              </w:rPr>
            </w:pPr>
            <w:r w:rsidRPr="00DA7625">
              <w:rPr>
                <w:rFonts w:ascii="Times New Roman" w:hAnsi="Times New Roman"/>
                <w:sz w:val="24"/>
              </w:rPr>
              <w:t>A CRR 327–329., valamint 334. cikke A hosszú és rövid pozíciók megkülönböztetésével kapcsolatban lásd a CRR 328. cikkének (2) bekezdését.</w:t>
            </w:r>
          </w:p>
        </w:tc>
      </w:tr>
      <w:tr w:rsidR="001B1411" w:rsidRPr="00DA7625" w14:paraId="557B6B1E" w14:textId="77777777" w:rsidTr="00672D2A">
        <w:tc>
          <w:tcPr>
            <w:tcW w:w="988" w:type="dxa"/>
          </w:tcPr>
          <w:p w14:paraId="0BDFE685"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050</w:t>
            </w:r>
          </w:p>
        </w:tc>
        <w:tc>
          <w:tcPr>
            <w:tcW w:w="7874" w:type="dxa"/>
          </w:tcPr>
          <w:p w14:paraId="279B3EC8"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TŐKEKÖVETELMÉNNYEL ÉRINTETT POZÍCIÓK</w:t>
            </w:r>
          </w:p>
          <w:p w14:paraId="476DAC65" w14:textId="2B09687E" w:rsidR="001B1411" w:rsidRPr="00DA7625" w:rsidRDefault="000B0B09">
            <w:pPr>
              <w:rPr>
                <w:rFonts w:ascii="Times New Roman" w:hAnsi="Times New Roman"/>
                <w:b/>
                <w:bCs/>
                <w:sz w:val="24"/>
                <w:u w:val="single"/>
              </w:rPr>
            </w:pPr>
            <w:r w:rsidRPr="00DA7625">
              <w:rPr>
                <w:rFonts w:ascii="Times New Roman" w:hAnsi="Times New Roman"/>
                <w:sz w:val="24"/>
              </w:rPr>
              <w:t>Azok a nettó pozíciók, amelyekre a CRR harmadik része IV. címének 2. fejezetében foglalt különböző módszerek szerint tőkekövetelmény vonatkozik.</w:t>
            </w:r>
          </w:p>
        </w:tc>
      </w:tr>
      <w:tr w:rsidR="001B1411" w:rsidRPr="00DA7625" w14:paraId="5EAA7670" w14:textId="77777777" w:rsidTr="00672D2A">
        <w:tc>
          <w:tcPr>
            <w:tcW w:w="988" w:type="dxa"/>
          </w:tcPr>
          <w:p w14:paraId="7AC94239"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060</w:t>
            </w:r>
          </w:p>
        </w:tc>
        <w:tc>
          <w:tcPr>
            <w:tcW w:w="7874" w:type="dxa"/>
          </w:tcPr>
          <w:p w14:paraId="15FE8D3B" w14:textId="77777777" w:rsidR="001B1411" w:rsidRPr="00DA7625" w:rsidRDefault="000B0B09">
            <w:pPr>
              <w:tabs>
                <w:tab w:val="left" w:pos="1665"/>
              </w:tabs>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SZAVATOLÓTŐKE-KÖVETELMÉNY</w:t>
            </w:r>
          </w:p>
          <w:p w14:paraId="0A2F966C" w14:textId="6172FA9B" w:rsidR="001B1411" w:rsidRPr="00DA7625" w:rsidRDefault="000B0B09">
            <w:pPr>
              <w:rPr>
                <w:rFonts w:ascii="Times New Roman" w:hAnsi="Times New Roman"/>
                <w:b/>
                <w:bCs/>
                <w:sz w:val="24"/>
                <w:u w:val="single"/>
              </w:rPr>
            </w:pPr>
            <w:r w:rsidRPr="00DA7625">
              <w:rPr>
                <w:rFonts w:ascii="Times New Roman" w:hAnsi="Times New Roman"/>
                <w:sz w:val="24"/>
              </w:rPr>
              <w:t>A CRR harmadik része IV. címének 2. fejezete szerinti releváns pozíciók tőkekövetelménye.</w:t>
            </w:r>
          </w:p>
        </w:tc>
      </w:tr>
      <w:tr w:rsidR="001B1411" w:rsidRPr="00DA7625" w14:paraId="15A8F05E" w14:textId="77777777" w:rsidTr="00672D2A">
        <w:tc>
          <w:tcPr>
            <w:tcW w:w="988" w:type="dxa"/>
          </w:tcPr>
          <w:p w14:paraId="4C8E9249"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070</w:t>
            </w:r>
          </w:p>
        </w:tc>
        <w:tc>
          <w:tcPr>
            <w:tcW w:w="7874" w:type="dxa"/>
          </w:tcPr>
          <w:p w14:paraId="148ECE11" w14:textId="77777777" w:rsidR="001B1411" w:rsidRPr="00DA7625" w:rsidRDefault="000B0B09">
            <w:pPr>
              <w:tabs>
                <w:tab w:val="left" w:pos="1665"/>
              </w:tabs>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TELJES KOCKÁZATI KITETTSÉGÉRTÉK</w:t>
            </w:r>
          </w:p>
          <w:p w14:paraId="7A4A764A" w14:textId="0AB379D0" w:rsidR="001B1411" w:rsidRPr="00DA7625" w:rsidRDefault="00D21B29">
            <w:pPr>
              <w:rPr>
                <w:rFonts w:ascii="Times New Roman" w:hAnsi="Times New Roman"/>
                <w:b/>
                <w:bCs/>
                <w:sz w:val="24"/>
                <w:u w:val="single"/>
              </w:rPr>
            </w:pPr>
            <w:r w:rsidRPr="00DA7625">
              <w:rPr>
                <w:rFonts w:ascii="Times New Roman" w:hAnsi="Times New Roman"/>
                <w:sz w:val="24"/>
              </w:rPr>
              <w:t xml:space="preserve">A CRR 92. cikke (4) bekezdésének b) pontja A szavatolótőke-követelmény 12,5-del való szorzásának az eredménye. </w:t>
            </w:r>
          </w:p>
        </w:tc>
      </w:tr>
    </w:tbl>
    <w:p w14:paraId="0D1A06D1" w14:textId="77777777" w:rsidR="001B1411" w:rsidRPr="00DA7625" w:rsidRDefault="001B1411">
      <w:pPr>
        <w:autoSpaceDE w:val="0"/>
        <w:autoSpaceDN w:val="0"/>
        <w:adjustRightInd w:val="0"/>
        <w:spacing w:before="0" w:after="0"/>
        <w:rPr>
          <w:rFonts w:ascii="Times New Roman" w:hAnsi="Times New Roman"/>
          <w:sz w:val="24"/>
        </w:rPr>
      </w:pPr>
    </w:p>
    <w:p w14:paraId="3A842A09" w14:textId="77777777" w:rsidR="001B1411" w:rsidRPr="00DA7625" w:rsidRDefault="001B1411">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1B1411" w:rsidRPr="00DA7625" w14:paraId="660B3F69" w14:textId="77777777" w:rsidTr="00672D2A">
        <w:trPr>
          <w:trHeight w:val="533"/>
        </w:trPr>
        <w:tc>
          <w:tcPr>
            <w:tcW w:w="8862" w:type="dxa"/>
            <w:gridSpan w:val="2"/>
            <w:shd w:val="clear" w:color="auto" w:fill="CCCCCC"/>
          </w:tcPr>
          <w:p w14:paraId="7B4D7841" w14:textId="77777777" w:rsidR="001B1411" w:rsidRPr="00DA7625" w:rsidRDefault="000B0B09">
            <w:pPr>
              <w:autoSpaceDE w:val="0"/>
              <w:autoSpaceDN w:val="0"/>
              <w:adjustRightInd w:val="0"/>
              <w:spacing w:after="0"/>
              <w:rPr>
                <w:rFonts w:ascii="Times New Roman" w:hAnsi="Times New Roman"/>
                <w:b/>
                <w:sz w:val="24"/>
              </w:rPr>
            </w:pPr>
            <w:r w:rsidRPr="00DA7625">
              <w:rPr>
                <w:rFonts w:ascii="Times New Roman" w:hAnsi="Times New Roman"/>
                <w:b/>
                <w:sz w:val="24"/>
              </w:rPr>
              <w:t>Sor</w:t>
            </w:r>
          </w:p>
        </w:tc>
      </w:tr>
      <w:tr w:rsidR="001B1411" w:rsidRPr="00DA7625" w14:paraId="6E8D9E7C" w14:textId="77777777" w:rsidTr="00672D2A">
        <w:trPr>
          <w:trHeight w:val="1168"/>
        </w:trPr>
        <w:tc>
          <w:tcPr>
            <w:tcW w:w="987" w:type="dxa"/>
          </w:tcPr>
          <w:p w14:paraId="22C78DAA" w14:textId="2254D038"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010–350</w:t>
            </w:r>
          </w:p>
          <w:p w14:paraId="5C92840E" w14:textId="77777777" w:rsidR="001B1411" w:rsidRPr="00DA7625" w:rsidRDefault="001B1411">
            <w:pPr>
              <w:autoSpaceDE w:val="0"/>
              <w:autoSpaceDN w:val="0"/>
              <w:adjustRightInd w:val="0"/>
              <w:spacing w:before="0" w:after="0"/>
              <w:rPr>
                <w:rFonts w:ascii="Times New Roman" w:hAnsi="Times New Roman"/>
                <w:sz w:val="24"/>
              </w:rPr>
            </w:pPr>
          </w:p>
        </w:tc>
        <w:tc>
          <w:tcPr>
            <w:tcW w:w="7875" w:type="dxa"/>
          </w:tcPr>
          <w:p w14:paraId="7BE0E9FE"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KERESKEDÉSI KÖNYVBEN NYILVÁNTARTOTT, FORGALMAZOTT, HITELVISZONYT MEGTESTESÍTŐ ÉRTÉKPAPÍROK</w:t>
            </w:r>
          </w:p>
          <w:p w14:paraId="3900CB8C" w14:textId="03381506" w:rsidR="001B1411" w:rsidRPr="00DA7625" w:rsidRDefault="000B0B09">
            <w:pPr>
              <w:rPr>
                <w:rFonts w:ascii="Times New Roman" w:hAnsi="Times New Roman"/>
                <w:sz w:val="24"/>
              </w:rPr>
            </w:pPr>
            <w:r w:rsidRPr="00DA7625">
              <w:rPr>
                <w:rFonts w:ascii="Times New Roman" w:hAnsi="Times New Roman"/>
                <w:sz w:val="24"/>
              </w:rPr>
              <w:t>A forgalmazott, hitelviszonyt megtestesítő értékpapírokban meglévő, kereskedési könyvben nyilvántartott pozíciókat és az azoknak megfelelő, a CRR 92. cikke (3) bekezdése b) pontjának i. alpontja, valamint a CRR harmadik része IV. címének 2. fejezete szerinti pozíciókockázathoz kapcsolódó szavatolótőke-követelményt a kockázati kategóriától, a lejárattól és az alkalmazott módszertől függően kell feltüntetni.</w:t>
            </w:r>
          </w:p>
        </w:tc>
      </w:tr>
      <w:tr w:rsidR="001B1411" w:rsidRPr="00DA7625" w14:paraId="15D0D30A" w14:textId="77777777" w:rsidTr="00672D2A">
        <w:tc>
          <w:tcPr>
            <w:tcW w:w="987" w:type="dxa"/>
          </w:tcPr>
          <w:p w14:paraId="4A05F913"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011</w:t>
            </w:r>
          </w:p>
        </w:tc>
        <w:tc>
          <w:tcPr>
            <w:tcW w:w="7875" w:type="dxa"/>
          </w:tcPr>
          <w:p w14:paraId="62313BD2"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b/>
                <w:bCs/>
                <w:sz w:val="24"/>
                <w:u w:val="single"/>
              </w:rPr>
              <w:t xml:space="preserve">ÁLTALÁNOS KOCKÁZAT </w:t>
            </w:r>
          </w:p>
        </w:tc>
      </w:tr>
      <w:tr w:rsidR="001B1411" w:rsidRPr="00DA7625" w14:paraId="1A597333" w14:textId="77777777" w:rsidTr="00672D2A">
        <w:tc>
          <w:tcPr>
            <w:tcW w:w="987" w:type="dxa"/>
          </w:tcPr>
          <w:p w14:paraId="073CE1C1"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012</w:t>
            </w:r>
          </w:p>
        </w:tc>
        <w:tc>
          <w:tcPr>
            <w:tcW w:w="7875" w:type="dxa"/>
          </w:tcPr>
          <w:p w14:paraId="45AD68A7"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b/>
                <w:bCs/>
                <w:sz w:val="24"/>
                <w:u w:val="single"/>
              </w:rPr>
              <w:t>Származtatott ügyletek</w:t>
            </w:r>
          </w:p>
          <w:p w14:paraId="6A3F52D4" w14:textId="198B30EB" w:rsidR="001B1411" w:rsidRPr="00DA7625" w:rsidRDefault="000B0B09">
            <w:pPr>
              <w:rPr>
                <w:rFonts w:ascii="Times New Roman" w:hAnsi="Times New Roman"/>
                <w:b/>
                <w:bCs/>
                <w:sz w:val="24"/>
                <w:u w:val="single"/>
              </w:rPr>
            </w:pPr>
            <w:r w:rsidRPr="00DA7625">
              <w:rPr>
                <w:rFonts w:ascii="Times New Roman" w:hAnsi="Times New Roman"/>
                <w:sz w:val="24"/>
              </w:rPr>
              <w:t>A kereskedési könyvi pozíciók kamatlábkockázatának számítása során figyelembe vett származtatott ügyletek, a CRR 328–331. cikkének figyelembevételével, ha e cikkek alkalmazhatók.</w:t>
            </w:r>
          </w:p>
        </w:tc>
      </w:tr>
      <w:tr w:rsidR="001B1411" w:rsidRPr="00DA7625" w14:paraId="4066369A" w14:textId="77777777" w:rsidTr="00672D2A">
        <w:tc>
          <w:tcPr>
            <w:tcW w:w="987" w:type="dxa"/>
          </w:tcPr>
          <w:p w14:paraId="74A51961"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013</w:t>
            </w:r>
          </w:p>
        </w:tc>
        <w:tc>
          <w:tcPr>
            <w:tcW w:w="7875" w:type="dxa"/>
          </w:tcPr>
          <w:p w14:paraId="7CCBA4BB"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Egyéb eszközök és kötelezettségek</w:t>
            </w:r>
          </w:p>
          <w:p w14:paraId="4019FF5C" w14:textId="77777777" w:rsidR="001B1411" w:rsidRPr="00DA7625" w:rsidRDefault="000B0B09">
            <w:pPr>
              <w:rPr>
                <w:rFonts w:ascii="Times New Roman" w:hAnsi="Times New Roman"/>
                <w:b/>
                <w:bCs/>
                <w:sz w:val="24"/>
                <w:u w:val="single"/>
              </w:rPr>
            </w:pPr>
            <w:r w:rsidRPr="00DA7625">
              <w:rPr>
                <w:rFonts w:ascii="Times New Roman" w:hAnsi="Times New Roman"/>
                <w:sz w:val="24"/>
              </w:rPr>
              <w:t xml:space="preserve">A kereskedési könyvi pozíciók kamatlábkockázatának számítása során figyelembe vett származtatott ügyleteken kívüli instrumentumok. </w:t>
            </w:r>
          </w:p>
        </w:tc>
      </w:tr>
      <w:tr w:rsidR="001B1411" w:rsidRPr="00DA7625" w14:paraId="40B19596" w14:textId="77777777" w:rsidTr="00672D2A">
        <w:tc>
          <w:tcPr>
            <w:tcW w:w="987" w:type="dxa"/>
          </w:tcPr>
          <w:p w14:paraId="2C49850B"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020-200</w:t>
            </w:r>
          </w:p>
        </w:tc>
        <w:tc>
          <w:tcPr>
            <w:tcW w:w="7875" w:type="dxa"/>
          </w:tcPr>
          <w:p w14:paraId="1B81BB55"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LEJÁRATON ALAPULÓ MÓDSZER</w:t>
            </w:r>
          </w:p>
          <w:p w14:paraId="22A8CC47" w14:textId="4118D35C" w:rsidR="001B1411" w:rsidRPr="00DA7625" w:rsidRDefault="000B0B09">
            <w:pPr>
              <w:rPr>
                <w:rFonts w:ascii="Times New Roman" w:hAnsi="Times New Roman"/>
                <w:b/>
                <w:bCs/>
                <w:sz w:val="24"/>
                <w:u w:val="single"/>
              </w:rPr>
            </w:pPr>
            <w:r w:rsidRPr="00DA7625">
              <w:rPr>
                <w:rFonts w:ascii="Times New Roman" w:hAnsi="Times New Roman"/>
                <w:sz w:val="24"/>
              </w:rPr>
              <w:t xml:space="preserve">A forgalmazott, hitelviszonyt megtestesítő értékpapírokban meglévő pozíciók, amelyek a CRR 339. cikkének (1)–(8) bekezdésében említett, lejáraton alapuló módszer, valamint az annak megfelelő, a CRR 339. cikkének (9) bekezdése szerint kiszámított szavatolótőke-követelmények alkalmazási körébe tartoznak. A </w:t>
            </w:r>
            <w:r w:rsidRPr="00DA7625">
              <w:rPr>
                <w:rFonts w:ascii="Times New Roman" w:hAnsi="Times New Roman"/>
                <w:sz w:val="24"/>
              </w:rPr>
              <w:lastRenderedPageBreak/>
              <w:t>pozíciót az 1., 2. és 3. zónákra, ezeket pedig az instrumentumok lejárata szerint kell felosztani.</w:t>
            </w:r>
          </w:p>
        </w:tc>
      </w:tr>
      <w:tr w:rsidR="001B1411" w:rsidRPr="00DA7625" w14:paraId="401470EE" w14:textId="77777777" w:rsidTr="00672D2A">
        <w:tc>
          <w:tcPr>
            <w:tcW w:w="987" w:type="dxa"/>
          </w:tcPr>
          <w:p w14:paraId="77C47481"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210–240</w:t>
            </w:r>
          </w:p>
        </w:tc>
        <w:tc>
          <w:tcPr>
            <w:tcW w:w="7875" w:type="dxa"/>
          </w:tcPr>
          <w:p w14:paraId="46B670F9"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b/>
                <w:bCs/>
                <w:sz w:val="24"/>
                <w:u w:val="single"/>
              </w:rPr>
              <w:t>ÁLTALÁNOS KOCKÁZAT ÁTLAGOS HÁTRALÉVŐ FUTAMIDŐN ALAPULÓ MÓDSZER</w:t>
            </w:r>
          </w:p>
          <w:p w14:paraId="656A74EC" w14:textId="2DE28CB3" w:rsidR="001B1411" w:rsidRPr="00DA7625" w:rsidRDefault="000B0B09">
            <w:pPr>
              <w:rPr>
                <w:rFonts w:ascii="Times New Roman" w:hAnsi="Times New Roman"/>
                <w:b/>
                <w:bCs/>
                <w:sz w:val="24"/>
                <w:u w:val="single"/>
              </w:rPr>
            </w:pPr>
            <w:r w:rsidRPr="00DA7625">
              <w:rPr>
                <w:rFonts w:ascii="Times New Roman" w:hAnsi="Times New Roman"/>
                <w:sz w:val="24"/>
              </w:rPr>
              <w:t>A forgalmazott, hitelviszonyt megtestesítő értékpapírokban meglévő pozíciók, amelyek a CRR 340. cikkének (1)–(6) bekezdésében említett, hátralévő futamidőn alapuló módszer, valamint az annak megfelelő, a CRR 340. cikkének (7) bekezdése szerint kiszámított szavatolótőke-követelmények alkalmazási körébe tartoznak. A pozíciót az 1., 2. és 3. zónákra kell felosztani.</w:t>
            </w:r>
          </w:p>
        </w:tc>
      </w:tr>
      <w:tr w:rsidR="001B1411" w:rsidRPr="00DA7625" w14:paraId="56133F49" w14:textId="77777777" w:rsidTr="00672D2A">
        <w:tc>
          <w:tcPr>
            <w:tcW w:w="987" w:type="dxa"/>
          </w:tcPr>
          <w:p w14:paraId="6B3D2337"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250</w:t>
            </w:r>
          </w:p>
        </w:tc>
        <w:tc>
          <w:tcPr>
            <w:tcW w:w="7875" w:type="dxa"/>
          </w:tcPr>
          <w:p w14:paraId="237CDD22"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EGYEDI KOCKÁZAT</w:t>
            </w:r>
          </w:p>
          <w:p w14:paraId="06C0BA9E" w14:textId="77777777" w:rsidR="001B1411" w:rsidRPr="00DA7625" w:rsidRDefault="000B0B09">
            <w:pPr>
              <w:rPr>
                <w:rFonts w:ascii="Times New Roman" w:hAnsi="Times New Roman"/>
                <w:sz w:val="24"/>
              </w:rPr>
            </w:pPr>
            <w:r w:rsidRPr="00DA7625">
              <w:rPr>
                <w:rFonts w:ascii="Times New Roman" w:hAnsi="Times New Roman"/>
                <w:sz w:val="24"/>
              </w:rPr>
              <w:t xml:space="preserve">A 251-es, 325-ös és 330-as sorban megadott értékek összege. </w:t>
            </w:r>
          </w:p>
          <w:p w14:paraId="3C48F607" w14:textId="005F7C7A" w:rsidR="001B1411" w:rsidRPr="00DA7625" w:rsidRDefault="000B0B09">
            <w:pPr>
              <w:rPr>
                <w:rFonts w:ascii="Times New Roman" w:hAnsi="Times New Roman"/>
                <w:b/>
                <w:bCs/>
                <w:sz w:val="24"/>
                <w:u w:val="single"/>
              </w:rPr>
            </w:pPr>
            <w:r w:rsidRPr="00DA7625">
              <w:rPr>
                <w:rFonts w:ascii="Times New Roman" w:hAnsi="Times New Roman"/>
                <w:sz w:val="24"/>
              </w:rPr>
              <w:t>A forgalmazott, hitelviszonyt megtestesítő értékpapírokban meglévő pozíciók, amelyek az egyedi kockázathoz kapcsolódó tőkekövetelmény hatálya alá tartoznak, valamint a rájuk vonatkozó tőkekövetelmények a CRR 92. cikke (3) bekezdésének b) pontja, 335. cikke, 336. cikkének (1)–(3) bekezdése, valamint 337. és 338. cikke szerint. Figyelembe kell venni továbbá a CRR 327. cikke (1) bekezdésének utolsó mondatát.</w:t>
            </w:r>
          </w:p>
        </w:tc>
      </w:tr>
      <w:tr w:rsidR="001B1411" w:rsidRPr="00DA7625" w14:paraId="592D5F2E" w14:textId="77777777" w:rsidTr="00672D2A">
        <w:tc>
          <w:tcPr>
            <w:tcW w:w="987" w:type="dxa"/>
          </w:tcPr>
          <w:p w14:paraId="3B6FBE11"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251–321</w:t>
            </w:r>
          </w:p>
        </w:tc>
        <w:tc>
          <w:tcPr>
            <w:tcW w:w="7875" w:type="dxa"/>
          </w:tcPr>
          <w:p w14:paraId="48DB7741"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A nem értékpapírosítási pozíciót jelentő, hitelviszonyt megtestesítő értékpapírok szavatolótőke-követelménye</w:t>
            </w:r>
          </w:p>
          <w:p w14:paraId="51195B9D" w14:textId="77777777" w:rsidR="001B1411" w:rsidRPr="00DA7625" w:rsidRDefault="000B0B09">
            <w:pPr>
              <w:rPr>
                <w:rFonts w:ascii="Times New Roman" w:hAnsi="Times New Roman"/>
                <w:sz w:val="24"/>
              </w:rPr>
            </w:pPr>
            <w:r w:rsidRPr="00DA7625">
              <w:rPr>
                <w:rFonts w:ascii="Times New Roman" w:hAnsi="Times New Roman"/>
                <w:sz w:val="24"/>
              </w:rPr>
              <w:t>A 260–321. sorokban megadott értékek összege.</w:t>
            </w:r>
          </w:p>
          <w:p w14:paraId="28AB4B51" w14:textId="37207696" w:rsidR="001B1411" w:rsidRPr="00DA7625" w:rsidRDefault="000B0B09">
            <w:pPr>
              <w:rPr>
                <w:rFonts w:ascii="Times New Roman" w:hAnsi="Times New Roman"/>
                <w:sz w:val="24"/>
              </w:rPr>
            </w:pPr>
            <w:r w:rsidRPr="00DA7625">
              <w:rPr>
                <w:rFonts w:ascii="Times New Roman" w:hAnsi="Times New Roman"/>
                <w:sz w:val="24"/>
              </w:rPr>
              <w:t xml:space="preserve">A külső minősítéssel nem rendelkező, n-edik nemteljesítéskor lehívható hitelderivatívák szavatolótőke-követelményét az alaptermék-kibocsátók kockázati súlyainak összeadásával kell kiszámítani (a CRR 332. cikke (1) bekezdése e) pontja és a CRR 332. cikke (1) bekezdésének második albekezdése – az alapul szolgáló eszközök vizsgálata). A külső minősítéssel rendelkező, n-edik nemteljesítéskor lehívható hitelderivatívákat (a CRR 332. cikke (1) bekezdésének harmadik albekezdése) külön kell feltüntetni a 321. sorban. </w:t>
            </w:r>
          </w:p>
          <w:p w14:paraId="7D406BCD" w14:textId="2EC1B88B" w:rsidR="001B1411" w:rsidRPr="00DA7625" w:rsidRDefault="000B0B09">
            <w:pPr>
              <w:rPr>
                <w:rFonts w:ascii="Times New Roman" w:hAnsi="Times New Roman"/>
                <w:sz w:val="24"/>
              </w:rPr>
            </w:pPr>
            <w:r w:rsidRPr="00DA7625">
              <w:rPr>
                <w:rFonts w:ascii="Times New Roman" w:hAnsi="Times New Roman"/>
                <w:sz w:val="24"/>
              </w:rPr>
              <w:t>A CRR 336. cikkének (3) bekezdése szerinti pozíciókkal kapcsolatos adatszolgáltatás: A CRR 129. cikkének (3) bekezdése szerint speciálisan kezelendők azok a kötvények, amelyek a banki könyvben 10 %-ot elérő kockázati súlyt képviselnek (fedezett kötvények). Az egyedi szavatolótőke-követelmény a CRR 336. cikke 1. táblázatának második kategóriájában említett százalékos arány fele. Ezeket a pozíciókat a végső lejáratig hátralévő idő alapján kell a 280–300. sorokban feltüntetni.</w:t>
            </w:r>
          </w:p>
          <w:p w14:paraId="176001AF" w14:textId="75838C4C" w:rsidR="001B1411" w:rsidRPr="00DA7625" w:rsidRDefault="00F41508">
            <w:pPr>
              <w:rPr>
                <w:rFonts w:ascii="Times New Roman" w:hAnsi="Times New Roman"/>
                <w:b/>
                <w:bCs/>
                <w:sz w:val="24"/>
                <w:u w:val="single"/>
              </w:rPr>
            </w:pPr>
            <w:r w:rsidRPr="00DA7625">
              <w:rPr>
                <w:rFonts w:ascii="Times New Roman" w:hAnsi="Times New Roman"/>
                <w:sz w:val="24"/>
              </w:rPr>
              <w:t xml:space="preserve">Ha a kamatláb-pozíciók általános kockázatát hitelderivatíva fedezi, akkor a CRR 346. és 347. cikkét kell alkalmazni. </w:t>
            </w:r>
          </w:p>
        </w:tc>
      </w:tr>
      <w:tr w:rsidR="001B1411" w:rsidRPr="00DA7625" w14:paraId="17067F13" w14:textId="77777777" w:rsidTr="00672D2A">
        <w:tc>
          <w:tcPr>
            <w:tcW w:w="987" w:type="dxa"/>
          </w:tcPr>
          <w:p w14:paraId="3CA941ED" w14:textId="77777777" w:rsidR="001B1411" w:rsidRPr="00DA7625" w:rsidDel="00F27BD6"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325</w:t>
            </w:r>
          </w:p>
        </w:tc>
        <w:tc>
          <w:tcPr>
            <w:tcW w:w="7875" w:type="dxa"/>
          </w:tcPr>
          <w:p w14:paraId="4452EF3F"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Az értékpapírosított eszközök szavatolótőke-követelménye</w:t>
            </w:r>
          </w:p>
          <w:p w14:paraId="1126C2A9" w14:textId="64B5CA78" w:rsidR="001B1411" w:rsidRPr="00DA7625" w:rsidDel="00F27BD6" w:rsidRDefault="000B0B09">
            <w:pPr>
              <w:rPr>
                <w:rFonts w:ascii="Times New Roman" w:hAnsi="Times New Roman"/>
                <w:b/>
                <w:bCs/>
                <w:sz w:val="24"/>
                <w:u w:val="single"/>
              </w:rPr>
            </w:pPr>
            <w:r w:rsidRPr="00DA7625">
              <w:rPr>
                <w:rFonts w:ascii="Times New Roman" w:hAnsi="Times New Roman"/>
                <w:sz w:val="24"/>
              </w:rPr>
              <w:t>Az MKR SA SEC tábla 610-es oszlopában feltüntetett teljes szavatolótőke-követelmény. Az említett teljes szavatolótőke-követelményt csak az MKR SA TDI „Összesen” sorában kell megadni.</w:t>
            </w:r>
          </w:p>
        </w:tc>
      </w:tr>
      <w:tr w:rsidR="001B1411" w:rsidRPr="00DA7625" w14:paraId="55601A85" w14:textId="77777777" w:rsidTr="00672D2A">
        <w:tc>
          <w:tcPr>
            <w:tcW w:w="987" w:type="dxa"/>
          </w:tcPr>
          <w:p w14:paraId="6F45BFC9" w14:textId="77777777" w:rsidR="001B1411" w:rsidRPr="00DA7625" w:rsidDel="00F27BD6"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330</w:t>
            </w:r>
          </w:p>
        </w:tc>
        <w:tc>
          <w:tcPr>
            <w:tcW w:w="7875" w:type="dxa"/>
          </w:tcPr>
          <w:p w14:paraId="61DB7196"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A korrelációkereskedési portfólió szavatolótőke-követelménye</w:t>
            </w:r>
          </w:p>
          <w:p w14:paraId="50472B97" w14:textId="08E34275" w:rsidR="001B1411" w:rsidRPr="00DA7625" w:rsidDel="00F27BD6" w:rsidRDefault="000B0B09">
            <w:pPr>
              <w:rPr>
                <w:rFonts w:ascii="Times New Roman" w:hAnsi="Times New Roman"/>
                <w:b/>
                <w:bCs/>
                <w:sz w:val="24"/>
                <w:u w:val="single"/>
              </w:rPr>
            </w:pPr>
            <w:r w:rsidRPr="00DA7625">
              <w:rPr>
                <w:rFonts w:ascii="Times New Roman" w:hAnsi="Times New Roman"/>
                <w:sz w:val="24"/>
              </w:rPr>
              <w:lastRenderedPageBreak/>
              <w:t>Az MKR SA CTP tábla 450-es oszlopában feltüntetett teljes szavatolótőke-követelmény. Az említett teljes szavatolótőke-követelmény csak az MKR SA TDI összesítésében adható meg.</w:t>
            </w:r>
          </w:p>
        </w:tc>
      </w:tr>
      <w:tr w:rsidR="001B1411" w:rsidRPr="00DA7625" w14:paraId="3E08FD25" w14:textId="77777777" w:rsidTr="00672D2A">
        <w:tc>
          <w:tcPr>
            <w:tcW w:w="987" w:type="dxa"/>
          </w:tcPr>
          <w:p w14:paraId="62E631E9"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350–390</w:t>
            </w:r>
          </w:p>
        </w:tc>
        <w:tc>
          <w:tcPr>
            <w:tcW w:w="7875" w:type="dxa"/>
          </w:tcPr>
          <w:p w14:paraId="3415B06E" w14:textId="77777777" w:rsidR="001B1411" w:rsidRPr="00DA7625" w:rsidRDefault="000B0B09">
            <w:pPr>
              <w:autoSpaceDE w:val="0"/>
              <w:autoSpaceDN w:val="0"/>
              <w:adjustRightInd w:val="0"/>
              <w:spacing w:before="0" w:after="0"/>
              <w:rPr>
                <w:rStyle w:val="InstructionsTabelleberschrift"/>
                <w:rFonts w:ascii="Times New Roman" w:hAnsi="Times New Roman"/>
                <w:sz w:val="24"/>
              </w:rPr>
            </w:pPr>
            <w:r w:rsidRPr="00DA7625">
              <w:rPr>
                <w:rStyle w:val="InstructionsTabelleberschrift"/>
                <w:rFonts w:ascii="Times New Roman" w:hAnsi="Times New Roman"/>
                <w:sz w:val="24"/>
              </w:rPr>
              <w:t xml:space="preserve">OPCIÓKRA VONATKOZÓ TOVÁBBI KÖVETELMÉNYEK (NEM DELTA KOCKÁZATOK) </w:t>
            </w:r>
          </w:p>
          <w:p w14:paraId="06492815" w14:textId="0555D41E" w:rsidR="001B1411" w:rsidRPr="00DA7625" w:rsidRDefault="000B0B09">
            <w:pPr>
              <w:rPr>
                <w:rFonts w:ascii="Times New Roman" w:hAnsi="Times New Roman"/>
                <w:sz w:val="24"/>
              </w:rPr>
            </w:pPr>
            <w:r w:rsidRPr="00DA7625">
              <w:rPr>
                <w:rFonts w:ascii="Times New Roman" w:hAnsi="Times New Roman"/>
                <w:sz w:val="24"/>
              </w:rPr>
              <w:t>A CRR 329. cikkének (3) bekezdése</w:t>
            </w:r>
          </w:p>
          <w:p w14:paraId="176CA52A" w14:textId="7989800D" w:rsidR="001B1411" w:rsidRPr="00DA7625" w:rsidRDefault="000B0B09">
            <w:pPr>
              <w:rPr>
                <w:rFonts w:ascii="Times New Roman" w:hAnsi="Times New Roman"/>
                <w:bCs/>
                <w:sz w:val="24"/>
              </w:rPr>
            </w:pPr>
            <w:r w:rsidRPr="00DA7625">
              <w:rPr>
                <w:rFonts w:ascii="Times New Roman" w:hAnsi="Times New Roman"/>
                <w:sz w:val="24"/>
              </w:rPr>
              <w:t>A nem delta kockázatokkal kapcsolatos, opciókra vonatkozó további követelményeket a kiszámításukhoz használt módszer szerinti bontásban kell feltüntetni.</w:t>
            </w:r>
          </w:p>
        </w:tc>
      </w:tr>
    </w:tbl>
    <w:p w14:paraId="79E459D1" w14:textId="77777777" w:rsidR="001B1411" w:rsidRPr="00DA7625" w:rsidRDefault="001B1411">
      <w:pPr>
        <w:autoSpaceDE w:val="0"/>
        <w:autoSpaceDN w:val="0"/>
        <w:adjustRightInd w:val="0"/>
        <w:spacing w:before="0" w:after="0"/>
        <w:rPr>
          <w:rFonts w:ascii="Times New Roman" w:hAnsi="Times New Roman"/>
          <w:bCs/>
          <w:sz w:val="24"/>
        </w:rPr>
      </w:pPr>
    </w:p>
    <w:p w14:paraId="48569DE9"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87" w:name="_Toc31018833"/>
      <w:r w:rsidRPr="00DA7625">
        <w:rPr>
          <w:rFonts w:ascii="Times New Roman" w:hAnsi="Times New Roman"/>
          <w:sz w:val="24"/>
          <w:u w:val="none"/>
        </w:rPr>
        <w:t>5.2.</w:t>
      </w:r>
      <w:r w:rsidRPr="00DA7625">
        <w:rPr>
          <w:rFonts w:ascii="Times New Roman" w:hAnsi="Times New Roman"/>
          <w:sz w:val="24"/>
          <w:u w:val="none"/>
        </w:rPr>
        <w:tab/>
      </w:r>
      <w:r w:rsidRPr="00DA7625">
        <w:rPr>
          <w:rFonts w:ascii="Times New Roman" w:hAnsi="Times New Roman"/>
          <w:sz w:val="24"/>
        </w:rPr>
        <w:t>C 19.00 – PIACI KOCKÁZAT: AZ ÉRTÉKPAPÍROSÍTÁSOK EGYEDI KOCKÁZATÁNAK SZTENDERD MÓDSZERE (MKR SA SEC)</w:t>
      </w:r>
      <w:bookmarkEnd w:id="87"/>
    </w:p>
    <w:p w14:paraId="3DF4DE91"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88" w:name="_Toc31018834"/>
      <w:r w:rsidRPr="00DA7625">
        <w:rPr>
          <w:rFonts w:ascii="Times New Roman" w:hAnsi="Times New Roman"/>
          <w:sz w:val="24"/>
          <w:u w:val="none"/>
        </w:rPr>
        <w:t>5.2.1.</w:t>
      </w:r>
      <w:r w:rsidRPr="00DA7625">
        <w:rPr>
          <w:rFonts w:ascii="Times New Roman" w:hAnsi="Times New Roman"/>
          <w:sz w:val="24"/>
          <w:u w:val="none"/>
        </w:rPr>
        <w:tab/>
      </w:r>
      <w:r w:rsidRPr="00DA7625">
        <w:rPr>
          <w:rFonts w:ascii="Times New Roman" w:hAnsi="Times New Roman"/>
          <w:sz w:val="24"/>
        </w:rPr>
        <w:t>Általános megjegyzések</w:t>
      </w:r>
      <w:bookmarkEnd w:id="88"/>
    </w:p>
    <w:p w14:paraId="760B423B" w14:textId="2B025BA0" w:rsidR="001B1411" w:rsidRPr="00DA7625" w:rsidRDefault="00FC6275">
      <w:pPr>
        <w:pStyle w:val="InstructionsText2"/>
        <w:numPr>
          <w:ilvl w:val="0"/>
          <w:numId w:val="0"/>
        </w:numPr>
        <w:ind w:left="993"/>
      </w:pPr>
      <w:r w:rsidRPr="00DA7625">
        <w:t>141.</w:t>
      </w:r>
      <w:r w:rsidRPr="00DA7625">
        <w:tab/>
        <w:t xml:space="preserve"> Ezen a táblán a sztenderd módszer alkalmazási körébe tartozó pozíciókról (összes/nettó, hosszú/rövid), valamint az ezekhez kapcsolódóan a kereskedési könyvben nyilvántartott (a korrelációkereskedési portfólióban figyelembe nem vehető) értékpapírosítások és újra-értékpapírosítások pozíciókockázatán belüli egyedi kockázatra vonatkozó szavatolótőke-követelményről kell adatot szolgáltatni. </w:t>
      </w:r>
    </w:p>
    <w:p w14:paraId="28F8BE4E" w14:textId="3D12444A" w:rsidR="001B1411" w:rsidRPr="00DA7625" w:rsidRDefault="00FC6275">
      <w:pPr>
        <w:pStyle w:val="InstructionsText2"/>
        <w:numPr>
          <w:ilvl w:val="0"/>
          <w:numId w:val="0"/>
        </w:numPr>
        <w:ind w:left="993"/>
      </w:pPr>
      <w:r w:rsidRPr="00DA7625">
        <w:t>142.</w:t>
      </w:r>
      <w:r w:rsidRPr="00DA7625">
        <w:tab/>
        <w:t xml:space="preserve"> Az MKR SA SEC tábla kizárólag a CRR 335. cikke, valamint azzal összefüggésben a CRR 337. cikke szerinti értékpapírosítási pozíciók egyedi kockázatához kapcsolódó szavatolótőke-követelményt adja meg. Ha a kereskedési könyvben nyilvántartott értékpapírosítási pozíciókat hitelderivatívákkal fedezik, akkor a CRR 346. és 347. cikkét kell alkalmazni. Valamennyi kereskedési könyvi pozícióról egy táblán kell adatot szolgáltatni attól függetlenül, hogy az intézmény melyik módszert alkalmazza a CRR harmadik része II. címének 5. fejezete szerinti egyes pozíciók kockázati súlyának meghatározásakor. Az e pozíciók általános kockázatához kapcsolódó szavatolótőke-követelményre vonatkozó adatszolgáltatás az MKR SA TDI vagy az MKR IM táblán történik.</w:t>
      </w:r>
    </w:p>
    <w:p w14:paraId="69A98D53" w14:textId="51F65A7C" w:rsidR="001B1411" w:rsidRPr="00DA7625" w:rsidRDefault="00FC6275">
      <w:pPr>
        <w:pStyle w:val="InstructionsText2"/>
        <w:numPr>
          <w:ilvl w:val="0"/>
          <w:numId w:val="0"/>
        </w:numPr>
        <w:ind w:left="993"/>
      </w:pPr>
      <w:r w:rsidRPr="00DA7625">
        <w:t>143. Az 1 250 %-os kockázati súlyú pozíciók az elsődleges alapvető tőkéből (CET1) is levonhatók (lásd a CRR 244. cikke (1) bekezdésének b) pontját, 245. cikke (1) bekezdésének b) pontját és 253. cikkét). Ebben az esetben a pozícióról a CA1 tábla 460-as sorában kell adatot szolgáltatni.</w:t>
      </w:r>
    </w:p>
    <w:p w14:paraId="289FA4F0"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89" w:name="_Toc31018835"/>
      <w:r w:rsidRPr="00DA7625">
        <w:rPr>
          <w:rFonts w:ascii="Times New Roman" w:hAnsi="Times New Roman"/>
          <w:sz w:val="24"/>
          <w:u w:val="none"/>
        </w:rPr>
        <w:t>5.2.2.</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1B1411" w:rsidRPr="00DA7625" w14:paraId="52E34CC6" w14:textId="77777777" w:rsidTr="00E10B85">
        <w:trPr>
          <w:trHeight w:val="631"/>
        </w:trPr>
        <w:tc>
          <w:tcPr>
            <w:tcW w:w="9018" w:type="dxa"/>
            <w:gridSpan w:val="2"/>
            <w:shd w:val="clear" w:color="auto" w:fill="CCCCCC"/>
          </w:tcPr>
          <w:p w14:paraId="0F87415D" w14:textId="77777777" w:rsidR="001B1411" w:rsidRPr="00DA7625" w:rsidRDefault="00C55547">
            <w:pPr>
              <w:autoSpaceDE w:val="0"/>
              <w:autoSpaceDN w:val="0"/>
              <w:adjustRightInd w:val="0"/>
              <w:spacing w:after="0"/>
              <w:rPr>
                <w:rFonts w:ascii="Times New Roman" w:hAnsi="Times New Roman"/>
                <w:b/>
                <w:sz w:val="24"/>
              </w:rPr>
            </w:pPr>
            <w:r w:rsidRPr="00DA7625">
              <w:rPr>
                <w:rFonts w:ascii="Times New Roman" w:hAnsi="Times New Roman"/>
                <w:b/>
                <w:sz w:val="24"/>
              </w:rPr>
              <w:t>Oszlop</w:t>
            </w:r>
          </w:p>
        </w:tc>
      </w:tr>
      <w:tr w:rsidR="001B1411" w:rsidRPr="00DA7625" w14:paraId="799318A8" w14:textId="77777777" w:rsidTr="00E10B85">
        <w:tc>
          <w:tcPr>
            <w:tcW w:w="1144" w:type="dxa"/>
          </w:tcPr>
          <w:p w14:paraId="75052669"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010–020</w:t>
            </w:r>
          </w:p>
        </w:tc>
        <w:tc>
          <w:tcPr>
            <w:tcW w:w="7874" w:type="dxa"/>
          </w:tcPr>
          <w:p w14:paraId="619F8C38" w14:textId="77777777" w:rsidR="001B1411" w:rsidRPr="00DA7625" w:rsidRDefault="00C55547">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ÖSSZES POZÍCIÓ (HOSSZÚ ÉS RÖVID)</w:t>
            </w:r>
          </w:p>
          <w:p w14:paraId="682F4C68" w14:textId="76552070" w:rsidR="001B1411" w:rsidRPr="00DA7625" w:rsidRDefault="00C55547">
            <w:pPr>
              <w:rPr>
                <w:rFonts w:ascii="Times New Roman" w:hAnsi="Times New Roman"/>
                <w:sz w:val="24"/>
              </w:rPr>
            </w:pPr>
            <w:r w:rsidRPr="00DA7625">
              <w:rPr>
                <w:rFonts w:ascii="Times New Roman" w:hAnsi="Times New Roman"/>
                <w:sz w:val="24"/>
              </w:rPr>
              <w:t xml:space="preserve">A CRR </w:t>
            </w:r>
            <w:r w:rsidRPr="00DA7625">
              <w:rPr>
                <w:rStyle w:val="InstructionsTabelleText"/>
                <w:rFonts w:ascii="Times New Roman" w:hAnsi="Times New Roman"/>
                <w:sz w:val="24"/>
              </w:rPr>
              <w:t xml:space="preserve">102. cikke, valamint 105. cikkének (1) bekezdése a CRR 337. cikkével összefüggésben (értékpapírosítási pozíciók). A hosszú és rövid pozícióknak az említett bruttó pozíciókra is alkalmazandó megkülönböztetésével kapcsolatban lásd a CRR 328. cikkének (2) bekezdését. </w:t>
            </w:r>
          </w:p>
        </w:tc>
      </w:tr>
      <w:tr w:rsidR="001B1411" w:rsidRPr="00DA7625" w14:paraId="6199F4EC" w14:textId="77777777" w:rsidTr="00E10B85">
        <w:tc>
          <w:tcPr>
            <w:tcW w:w="1144" w:type="dxa"/>
          </w:tcPr>
          <w:p w14:paraId="1B25CDEF"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030–040</w:t>
            </w:r>
          </w:p>
        </w:tc>
        <w:tc>
          <w:tcPr>
            <w:tcW w:w="7874" w:type="dxa"/>
          </w:tcPr>
          <w:p w14:paraId="145A08B1" w14:textId="77777777" w:rsidR="001B1411" w:rsidRPr="00DA7625" w:rsidRDefault="00C55547">
            <w:pPr>
              <w:rPr>
                <w:rStyle w:val="InstructionsTabelleberschrift"/>
                <w:rFonts w:ascii="Times New Roman" w:hAnsi="Times New Roman"/>
                <w:sz w:val="24"/>
              </w:rPr>
            </w:pPr>
            <w:r w:rsidRPr="00DA7625">
              <w:rPr>
                <w:rStyle w:val="InstructionsTabelleberschrift"/>
                <w:rFonts w:ascii="Times New Roman" w:hAnsi="Times New Roman"/>
                <w:sz w:val="24"/>
              </w:rPr>
              <w:t>(–) SZAVATOLÓTŐKÉBŐL LEVONT</w:t>
            </w:r>
            <w:r w:rsidRPr="00DA7625">
              <w:rPr>
                <w:rFonts w:ascii="Times New Roman" w:hAnsi="Times New Roman"/>
                <w:sz w:val="24"/>
              </w:rPr>
              <w:t xml:space="preserve"> </w:t>
            </w:r>
            <w:r w:rsidRPr="00DA7625">
              <w:rPr>
                <w:rFonts w:ascii="Times New Roman" w:hAnsi="Times New Roman"/>
                <w:b/>
                <w:bCs/>
                <w:sz w:val="24"/>
                <w:u w:val="single"/>
              </w:rPr>
              <w:t>POZÍCIÓK (HOSSZÚ ÉS RÖVID)</w:t>
            </w:r>
          </w:p>
          <w:p w14:paraId="37C026B6" w14:textId="2D08514C" w:rsidR="001B1411" w:rsidRPr="00DA7625" w:rsidRDefault="00705025">
            <w:pPr>
              <w:rPr>
                <w:rStyle w:val="InstructionsTabelleText"/>
                <w:rFonts w:ascii="Times New Roman" w:hAnsi="Times New Roman"/>
                <w:sz w:val="24"/>
              </w:rPr>
            </w:pPr>
            <w:r w:rsidRPr="00DA7625">
              <w:rPr>
                <w:rStyle w:val="InstructionsTabelleText"/>
                <w:rFonts w:ascii="Times New Roman" w:hAnsi="Times New Roman"/>
                <w:sz w:val="24"/>
              </w:rPr>
              <w:t>A CRR 244. cikke (1) bekezdésének b) pontja, 245. cikke (1) bekezdésének b) pontja, valamint 253. cikke</w:t>
            </w:r>
          </w:p>
        </w:tc>
      </w:tr>
      <w:tr w:rsidR="001B1411" w:rsidRPr="00DA7625" w14:paraId="024C5AFF" w14:textId="77777777" w:rsidTr="00E10B85">
        <w:tc>
          <w:tcPr>
            <w:tcW w:w="1144" w:type="dxa"/>
          </w:tcPr>
          <w:p w14:paraId="6A55F5A5"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050–060</w:t>
            </w:r>
          </w:p>
        </w:tc>
        <w:tc>
          <w:tcPr>
            <w:tcW w:w="7874" w:type="dxa"/>
          </w:tcPr>
          <w:p w14:paraId="7EBDBB11" w14:textId="77777777" w:rsidR="001B1411" w:rsidRPr="00DA7625" w:rsidRDefault="00C55547">
            <w:pPr>
              <w:rPr>
                <w:rStyle w:val="InstructionsTabelleberschrift"/>
                <w:rFonts w:ascii="Times New Roman" w:hAnsi="Times New Roman"/>
                <w:sz w:val="24"/>
              </w:rPr>
            </w:pPr>
            <w:r w:rsidRPr="00DA7625">
              <w:rPr>
                <w:rStyle w:val="InstructionsTabelleberschrift"/>
                <w:rFonts w:ascii="Times New Roman" w:hAnsi="Times New Roman"/>
                <w:sz w:val="24"/>
              </w:rPr>
              <w:t>NETTÓ POZÍCIÓK</w:t>
            </w:r>
            <w:r w:rsidRPr="00DA7625">
              <w:rPr>
                <w:rFonts w:ascii="Times New Roman" w:hAnsi="Times New Roman"/>
                <w:b/>
                <w:bCs/>
                <w:sz w:val="24"/>
                <w:u w:val="single"/>
              </w:rPr>
              <w:t xml:space="preserve"> (HOSSZÚ ÉS RÖVID)</w:t>
            </w:r>
          </w:p>
          <w:p w14:paraId="574B641C" w14:textId="023103BC" w:rsidR="001B1411" w:rsidRPr="00DA7625" w:rsidRDefault="00C55547">
            <w:pPr>
              <w:rPr>
                <w:rStyle w:val="InstructionsTabelleText"/>
                <w:rFonts w:ascii="Times New Roman" w:hAnsi="Times New Roman"/>
                <w:sz w:val="24"/>
              </w:rPr>
            </w:pPr>
            <w:r w:rsidRPr="00DA7625">
              <w:rPr>
                <w:rFonts w:ascii="Times New Roman" w:hAnsi="Times New Roman"/>
                <w:sz w:val="24"/>
              </w:rPr>
              <w:t>A CRR 3</w:t>
            </w:r>
            <w:r w:rsidRPr="00DA7625">
              <w:rPr>
                <w:rStyle w:val="InstructionsTabelleText"/>
                <w:rFonts w:ascii="Times New Roman" w:hAnsi="Times New Roman"/>
                <w:sz w:val="24"/>
              </w:rPr>
              <w:t>27., 328., 329. és 334. cikke. A hosszú és rövid pozíciók megkülönböztetésével kapcsolatban lásd a CRR 328. cikkének (2) bekezdését.</w:t>
            </w:r>
          </w:p>
        </w:tc>
      </w:tr>
      <w:tr w:rsidR="001B1411" w:rsidRPr="00DA7625" w14:paraId="546368FA" w14:textId="77777777" w:rsidTr="00E10B85">
        <w:tc>
          <w:tcPr>
            <w:tcW w:w="1144" w:type="dxa"/>
          </w:tcPr>
          <w:p w14:paraId="464B8D6D"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061–104</w:t>
            </w:r>
          </w:p>
        </w:tc>
        <w:tc>
          <w:tcPr>
            <w:tcW w:w="7874" w:type="dxa"/>
          </w:tcPr>
          <w:p w14:paraId="5B7D6F8E" w14:textId="30FD8284" w:rsidR="001B1411" w:rsidRPr="00DA7625" w:rsidRDefault="00C55547">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A NETTÓ POZÍCIÓK KOCKÁZATI SÚLY SZERINTI BONTÁSA</w:t>
            </w:r>
          </w:p>
          <w:p w14:paraId="4C8A00B9" w14:textId="4F58B468" w:rsidR="001B1411" w:rsidRPr="00DA7625" w:rsidRDefault="00C55547">
            <w:pPr>
              <w:rPr>
                <w:rStyle w:val="InstructionsTabelleText"/>
                <w:rFonts w:ascii="Times New Roman" w:hAnsi="Times New Roman"/>
                <w:sz w:val="24"/>
              </w:rPr>
            </w:pPr>
            <w:r w:rsidRPr="00DA7625">
              <w:rPr>
                <w:rStyle w:val="InstructionsTabelleText"/>
                <w:rFonts w:ascii="Times New Roman" w:hAnsi="Times New Roman"/>
                <w:sz w:val="24"/>
              </w:rPr>
              <w:t xml:space="preserve">A CRR 259–262. cikke, 263. cikkének 1. és 2. táblázata, 264. cikkének 3. és 4. táblázata, valamint 266. cikke </w:t>
            </w:r>
          </w:p>
          <w:p w14:paraId="76F29C4F" w14:textId="190DE5E8" w:rsidR="001B1411" w:rsidRPr="00DA7625" w:rsidRDefault="00C55547">
            <w:pPr>
              <w:rPr>
                <w:rStyle w:val="InstructionsTabelleText"/>
                <w:rFonts w:ascii="Times New Roman" w:hAnsi="Times New Roman"/>
                <w:sz w:val="24"/>
              </w:rPr>
            </w:pPr>
            <w:r w:rsidRPr="00DA7625">
              <w:rPr>
                <w:rStyle w:val="InstructionsTabelleText"/>
                <w:rFonts w:ascii="Times New Roman" w:hAnsi="Times New Roman"/>
                <w:sz w:val="24"/>
              </w:rPr>
              <w:t>A hosszú és rövid pozíciókat külön kell csoportosítani.</w:t>
            </w:r>
          </w:p>
        </w:tc>
      </w:tr>
      <w:tr w:rsidR="001B1411" w:rsidRPr="00DA7625" w14:paraId="4849CE02" w14:textId="77777777" w:rsidTr="00E10B85">
        <w:tc>
          <w:tcPr>
            <w:tcW w:w="1144" w:type="dxa"/>
          </w:tcPr>
          <w:p w14:paraId="04BF166A"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402–406</w:t>
            </w:r>
          </w:p>
        </w:tc>
        <w:tc>
          <w:tcPr>
            <w:tcW w:w="7874" w:type="dxa"/>
          </w:tcPr>
          <w:p w14:paraId="31CBA0F3" w14:textId="4539ACE1" w:rsidR="001B1411" w:rsidRPr="00DA7625" w:rsidRDefault="00C55547">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A NETTÓ POZÍCIÓK MÓDSZEREK SZERINTI BONTÁSA</w:t>
            </w:r>
          </w:p>
          <w:p w14:paraId="5E0A32C0" w14:textId="2170528B" w:rsidR="001B1411" w:rsidRPr="00DA7625" w:rsidRDefault="00C55547">
            <w:pPr>
              <w:rPr>
                <w:rFonts w:ascii="Times New Roman" w:hAnsi="Times New Roman"/>
                <w:b/>
                <w:bCs/>
                <w:sz w:val="24"/>
                <w:u w:val="single"/>
              </w:rPr>
            </w:pPr>
            <w:r w:rsidRPr="00DA7625">
              <w:rPr>
                <w:rFonts w:ascii="Times New Roman" w:hAnsi="Times New Roman"/>
                <w:sz w:val="24"/>
              </w:rPr>
              <w:t xml:space="preserve">A </w:t>
            </w:r>
            <w:r w:rsidRPr="00DA7625">
              <w:rPr>
                <w:rStyle w:val="InstructionsTabelleText"/>
                <w:rFonts w:ascii="Times New Roman" w:hAnsi="Times New Roman"/>
                <w:sz w:val="24"/>
              </w:rPr>
              <w:t>CRR 254</w:t>
            </w:r>
            <w:r w:rsidRPr="00DA7625">
              <w:rPr>
                <w:rFonts w:ascii="Times New Roman" w:hAnsi="Times New Roman"/>
                <w:sz w:val="24"/>
              </w:rPr>
              <w:t>. cikke</w:t>
            </w:r>
            <w:r w:rsidRPr="00DA7625">
              <w:rPr>
                <w:rStyle w:val="InstructionsTabelleText"/>
                <w:rFonts w:ascii="Times New Roman" w:hAnsi="Times New Roman"/>
                <w:sz w:val="24"/>
              </w:rPr>
              <w:t xml:space="preserve"> </w:t>
            </w:r>
          </w:p>
        </w:tc>
      </w:tr>
      <w:tr w:rsidR="001B1411" w:rsidRPr="00DA7625" w14:paraId="04E9E548" w14:textId="77777777" w:rsidTr="00E10B85">
        <w:tc>
          <w:tcPr>
            <w:tcW w:w="1144" w:type="dxa"/>
          </w:tcPr>
          <w:p w14:paraId="52710FE5"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402</w:t>
            </w:r>
          </w:p>
        </w:tc>
        <w:tc>
          <w:tcPr>
            <w:tcW w:w="7874" w:type="dxa"/>
          </w:tcPr>
          <w:p w14:paraId="567BB6FB" w14:textId="77777777" w:rsidR="001B1411" w:rsidRPr="00DA7625" w:rsidRDefault="00C55547">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SEC-IRBA</w:t>
            </w:r>
          </w:p>
          <w:p w14:paraId="021F46C0" w14:textId="7DD16BC2" w:rsidR="001B1411" w:rsidRPr="00DA7625" w:rsidRDefault="00C55547">
            <w:pPr>
              <w:rPr>
                <w:rFonts w:ascii="Times New Roman" w:hAnsi="Times New Roman"/>
                <w:b/>
                <w:bCs/>
                <w:sz w:val="24"/>
                <w:u w:val="single"/>
              </w:rPr>
            </w:pPr>
            <w:r w:rsidRPr="00DA7625">
              <w:rPr>
                <w:rStyle w:val="InstructionsTabelleText"/>
                <w:rFonts w:ascii="Times New Roman" w:hAnsi="Times New Roman"/>
                <w:sz w:val="24"/>
              </w:rPr>
              <w:t>A CRR 259. és 260. cikke</w:t>
            </w:r>
          </w:p>
        </w:tc>
      </w:tr>
      <w:tr w:rsidR="001B1411" w:rsidRPr="00DA7625" w14:paraId="6AA0D3A8" w14:textId="77777777" w:rsidTr="00E10B85">
        <w:tc>
          <w:tcPr>
            <w:tcW w:w="1144" w:type="dxa"/>
          </w:tcPr>
          <w:p w14:paraId="1C0DB11C"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403</w:t>
            </w:r>
          </w:p>
        </w:tc>
        <w:tc>
          <w:tcPr>
            <w:tcW w:w="7874" w:type="dxa"/>
          </w:tcPr>
          <w:p w14:paraId="54504140" w14:textId="77777777" w:rsidR="001B1411" w:rsidRPr="00DA7625" w:rsidRDefault="00C55547">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SEC-SA</w:t>
            </w:r>
          </w:p>
          <w:p w14:paraId="37E5169A" w14:textId="72D429C0" w:rsidR="001B1411" w:rsidRPr="00DA7625" w:rsidRDefault="00C55547">
            <w:pPr>
              <w:autoSpaceDE w:val="0"/>
              <w:autoSpaceDN w:val="0"/>
              <w:adjustRightInd w:val="0"/>
              <w:jc w:val="left"/>
              <w:rPr>
                <w:rFonts w:ascii="Times New Roman" w:hAnsi="Times New Roman"/>
                <w:b/>
                <w:bCs/>
                <w:sz w:val="24"/>
                <w:u w:val="single"/>
              </w:rPr>
            </w:pPr>
            <w:r w:rsidRPr="00DA7625">
              <w:rPr>
                <w:rStyle w:val="InstructionsTabelleText"/>
                <w:rFonts w:ascii="Times New Roman" w:hAnsi="Times New Roman"/>
                <w:sz w:val="24"/>
              </w:rPr>
              <w:t>A CRR 261. és 262. cikke</w:t>
            </w:r>
          </w:p>
        </w:tc>
      </w:tr>
      <w:tr w:rsidR="001B1411" w:rsidRPr="00DA7625" w14:paraId="7C8171F3" w14:textId="77777777" w:rsidTr="00E10B85">
        <w:tc>
          <w:tcPr>
            <w:tcW w:w="1144" w:type="dxa"/>
          </w:tcPr>
          <w:p w14:paraId="36E4B956"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404</w:t>
            </w:r>
          </w:p>
        </w:tc>
        <w:tc>
          <w:tcPr>
            <w:tcW w:w="7874" w:type="dxa"/>
          </w:tcPr>
          <w:p w14:paraId="7FA6E1E5" w14:textId="77777777" w:rsidR="001B1411" w:rsidRPr="00DA7625" w:rsidRDefault="00C55547">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SEC-ERBA</w:t>
            </w:r>
          </w:p>
          <w:p w14:paraId="4BE3C821" w14:textId="0C194362" w:rsidR="001B1411" w:rsidRPr="00DA7625" w:rsidRDefault="00C55547">
            <w:pPr>
              <w:rPr>
                <w:rFonts w:ascii="Times New Roman" w:hAnsi="Times New Roman"/>
                <w:b/>
                <w:bCs/>
                <w:sz w:val="24"/>
                <w:u w:val="single"/>
              </w:rPr>
            </w:pPr>
            <w:r w:rsidRPr="00DA7625">
              <w:rPr>
                <w:rStyle w:val="InstructionsTabelleText"/>
                <w:rFonts w:ascii="Times New Roman" w:hAnsi="Times New Roman"/>
                <w:sz w:val="24"/>
              </w:rPr>
              <w:t>A CRR 263. és 264. cikke</w:t>
            </w:r>
          </w:p>
        </w:tc>
      </w:tr>
      <w:tr w:rsidR="001B1411" w:rsidRPr="00DA7625" w14:paraId="31ABA7E3" w14:textId="77777777" w:rsidTr="00E10B85">
        <w:tc>
          <w:tcPr>
            <w:tcW w:w="1144" w:type="dxa"/>
          </w:tcPr>
          <w:p w14:paraId="0CFD80ED"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405</w:t>
            </w:r>
          </w:p>
        </w:tc>
        <w:tc>
          <w:tcPr>
            <w:tcW w:w="7874" w:type="dxa"/>
          </w:tcPr>
          <w:p w14:paraId="7447AB22" w14:textId="77777777" w:rsidR="001B1411" w:rsidRPr="00DA7625" w:rsidRDefault="00C55547">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BELSŐ ÉRTÉKELÉSI MÓDSZER</w:t>
            </w:r>
          </w:p>
          <w:p w14:paraId="68AF8C71" w14:textId="375124E3" w:rsidR="001B1411" w:rsidRPr="00DA7625" w:rsidRDefault="00C55547">
            <w:pPr>
              <w:rPr>
                <w:rFonts w:ascii="Times New Roman" w:hAnsi="Times New Roman"/>
                <w:bCs/>
                <w:sz w:val="24"/>
                <w:u w:val="single"/>
              </w:rPr>
            </w:pPr>
            <w:r w:rsidRPr="00DA7625">
              <w:rPr>
                <w:rStyle w:val="InstructionsTabelleText"/>
                <w:rFonts w:ascii="Times New Roman" w:hAnsi="Times New Roman"/>
                <w:sz w:val="24"/>
              </w:rPr>
              <w:t>A CRR 254. és 265. cikke, valamint 266. cikkének (5) bekezdése.</w:t>
            </w:r>
          </w:p>
        </w:tc>
      </w:tr>
      <w:tr w:rsidR="001B1411" w:rsidRPr="00DA7625" w14:paraId="11417FB2" w14:textId="77777777" w:rsidTr="00E10B85">
        <w:tc>
          <w:tcPr>
            <w:tcW w:w="1144" w:type="dxa"/>
          </w:tcPr>
          <w:p w14:paraId="21548B54"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406</w:t>
            </w:r>
          </w:p>
        </w:tc>
        <w:tc>
          <w:tcPr>
            <w:tcW w:w="7874" w:type="dxa"/>
          </w:tcPr>
          <w:p w14:paraId="4371E384" w14:textId="77777777" w:rsidR="001B1411" w:rsidRPr="00DA7625" w:rsidRDefault="00C55547">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EGYÉB (KOCKÁZATI SÚLY = 1 250 %)</w:t>
            </w:r>
          </w:p>
          <w:p w14:paraId="2D4D8058" w14:textId="7ADB34D6" w:rsidR="001B1411" w:rsidRPr="00DA7625" w:rsidRDefault="00C55547">
            <w:pPr>
              <w:rPr>
                <w:rFonts w:ascii="Times New Roman" w:hAnsi="Times New Roman"/>
                <w:b/>
                <w:bCs/>
                <w:sz w:val="24"/>
                <w:u w:val="single"/>
              </w:rPr>
            </w:pPr>
            <w:r w:rsidRPr="00DA7625">
              <w:rPr>
                <w:rStyle w:val="InstructionsTabelleText"/>
                <w:rFonts w:ascii="Times New Roman" w:hAnsi="Times New Roman"/>
                <w:sz w:val="24"/>
              </w:rPr>
              <w:t>A CRR 254. cikkének (7) bekezdése</w:t>
            </w:r>
          </w:p>
        </w:tc>
      </w:tr>
      <w:tr w:rsidR="001B1411" w:rsidRPr="00DA7625" w14:paraId="2E14A25F" w14:textId="77777777" w:rsidTr="00E10B85">
        <w:tc>
          <w:tcPr>
            <w:tcW w:w="1144" w:type="dxa"/>
          </w:tcPr>
          <w:p w14:paraId="18CC8D55"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530–540</w:t>
            </w:r>
          </w:p>
        </w:tc>
        <w:tc>
          <w:tcPr>
            <w:tcW w:w="7874" w:type="dxa"/>
          </w:tcPr>
          <w:p w14:paraId="7A56BC29" w14:textId="4686DEDE" w:rsidR="001B1411" w:rsidRPr="00DA7625" w:rsidRDefault="00C55547">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AZ (EU) 2017/2402 RENDELET 2. FEJEZETÉNEK MEGSÉRTÉSE MIATTI ÁLTALÁNOS HATÁS (KORREKCIÓ)</w:t>
            </w:r>
          </w:p>
          <w:p w14:paraId="04042539" w14:textId="2BE104C4" w:rsidR="001B1411" w:rsidRPr="00DA7625" w:rsidRDefault="00C55547">
            <w:pPr>
              <w:rPr>
                <w:rFonts w:ascii="Times New Roman" w:hAnsi="Times New Roman"/>
                <w:b/>
                <w:bCs/>
                <w:sz w:val="24"/>
                <w:u w:val="single"/>
              </w:rPr>
            </w:pPr>
            <w:r w:rsidRPr="00DA7625">
              <w:rPr>
                <w:rStyle w:val="InstructionsTabelleText"/>
                <w:rFonts w:ascii="Times New Roman" w:hAnsi="Times New Roman"/>
                <w:sz w:val="24"/>
              </w:rPr>
              <w:t>A CRR 270a. cikke</w:t>
            </w:r>
          </w:p>
        </w:tc>
      </w:tr>
      <w:tr w:rsidR="001B1411" w:rsidRPr="00DA7625" w14:paraId="3ABCF96D" w14:textId="77777777" w:rsidTr="00E10B85">
        <w:tc>
          <w:tcPr>
            <w:tcW w:w="1144" w:type="dxa"/>
          </w:tcPr>
          <w:p w14:paraId="68A5E5DC"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570</w:t>
            </w:r>
          </w:p>
        </w:tc>
        <w:tc>
          <w:tcPr>
            <w:tcW w:w="7874" w:type="dxa"/>
          </w:tcPr>
          <w:p w14:paraId="3F701079" w14:textId="77777777" w:rsidR="001B1411" w:rsidRPr="00DA7625" w:rsidRDefault="00C55547">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 xml:space="preserve">FELSŐ KORLÁT FIGYELEMBEVÉTELE ELŐTT </w:t>
            </w:r>
          </w:p>
          <w:p w14:paraId="5BCBF683" w14:textId="6BD86F0B" w:rsidR="001B1411" w:rsidRPr="00DA7625" w:rsidRDefault="00C55547">
            <w:pPr>
              <w:rPr>
                <w:rFonts w:ascii="Times New Roman" w:hAnsi="Times New Roman"/>
                <w:bCs/>
                <w:sz w:val="24"/>
              </w:rPr>
            </w:pPr>
            <w:r w:rsidRPr="00DA7625">
              <w:rPr>
                <w:rFonts w:ascii="Times New Roman" w:hAnsi="Times New Roman"/>
                <w:bCs/>
                <w:sz w:val="24"/>
              </w:rPr>
              <w:t>A CRR 337. cikke, figyelmen kívül hagyva a CRR 335. cikkében biztosított jogosultságot, amely alapján egy intézmény a nemteljesítési kockázathoz kapcsolódó veszteség lehetséges maximális összegében korlátozhatja a súly és a nettó pozíció szorzatát.</w:t>
            </w:r>
          </w:p>
        </w:tc>
      </w:tr>
      <w:tr w:rsidR="001B1411" w:rsidRPr="00DA7625" w14:paraId="42B025F1" w14:textId="77777777" w:rsidTr="00E10B85">
        <w:tc>
          <w:tcPr>
            <w:tcW w:w="1144" w:type="dxa"/>
          </w:tcPr>
          <w:p w14:paraId="7EB98B68" w14:textId="77777777" w:rsidR="001B1411" w:rsidRPr="00DA7625" w:rsidRDefault="00EE079A">
            <w:pPr>
              <w:autoSpaceDE w:val="0"/>
              <w:autoSpaceDN w:val="0"/>
              <w:adjustRightInd w:val="0"/>
              <w:spacing w:before="0" w:after="0"/>
              <w:rPr>
                <w:rFonts w:ascii="Times New Roman" w:hAnsi="Times New Roman"/>
                <w:sz w:val="24"/>
              </w:rPr>
            </w:pPr>
            <w:r w:rsidRPr="00DA7625">
              <w:rPr>
                <w:rFonts w:ascii="Times New Roman" w:hAnsi="Times New Roman"/>
                <w:sz w:val="24"/>
              </w:rPr>
              <w:t>601</w:t>
            </w:r>
          </w:p>
        </w:tc>
        <w:tc>
          <w:tcPr>
            <w:tcW w:w="7874" w:type="dxa"/>
          </w:tcPr>
          <w:p w14:paraId="2F26198E" w14:textId="77777777" w:rsidR="001B1411" w:rsidRPr="00DA7625" w:rsidRDefault="00C55547">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 xml:space="preserve">FELSŐ KORLÁT FIGYELEMBEVÉTELE UTÁN /TELJES SZAVATOLÓTŐKE-KÖVETELMÉNY </w:t>
            </w:r>
          </w:p>
          <w:p w14:paraId="6733A0E4" w14:textId="6D946F44" w:rsidR="001B1411" w:rsidRPr="00DA7625" w:rsidRDefault="00C55547">
            <w:pPr>
              <w:rPr>
                <w:rFonts w:ascii="Times New Roman" w:hAnsi="Times New Roman"/>
                <w:bCs/>
                <w:sz w:val="24"/>
              </w:rPr>
            </w:pPr>
            <w:r w:rsidRPr="00DA7625">
              <w:rPr>
                <w:rFonts w:ascii="Times New Roman" w:hAnsi="Times New Roman"/>
                <w:sz w:val="24"/>
              </w:rPr>
              <w:t xml:space="preserve">A </w:t>
            </w:r>
            <w:r w:rsidRPr="00DA7625">
              <w:rPr>
                <w:rFonts w:ascii="Times New Roman" w:hAnsi="Times New Roman"/>
                <w:bCs/>
                <w:sz w:val="24"/>
              </w:rPr>
              <w:t>CRR 337. cikke, figyelembe</w:t>
            </w:r>
            <w:r w:rsidRPr="00DA7625">
              <w:rPr>
                <w:rFonts w:ascii="Times New Roman" w:hAnsi="Times New Roman"/>
                <w:sz w:val="24"/>
              </w:rPr>
              <w:t xml:space="preserve"> </w:t>
            </w:r>
            <w:r w:rsidRPr="00DA7625">
              <w:rPr>
                <w:rStyle w:val="InstructionsTabelleText"/>
                <w:rFonts w:ascii="Times New Roman" w:hAnsi="Times New Roman"/>
                <w:sz w:val="24"/>
              </w:rPr>
              <w:t>véve</w:t>
            </w:r>
            <w:r w:rsidRPr="00DA7625">
              <w:rPr>
                <w:rFonts w:ascii="Times New Roman" w:hAnsi="Times New Roman"/>
                <w:sz w:val="24"/>
              </w:rPr>
              <w:t xml:space="preserve"> </w:t>
            </w:r>
            <w:r w:rsidRPr="00DA7625">
              <w:rPr>
                <w:rFonts w:ascii="Times New Roman" w:hAnsi="Times New Roman"/>
                <w:bCs/>
                <w:sz w:val="24"/>
              </w:rPr>
              <w:t>a CRR 335. cikkében biztosított jogosultságot.</w:t>
            </w:r>
          </w:p>
        </w:tc>
      </w:tr>
    </w:tbl>
    <w:p w14:paraId="7AAC6397" w14:textId="77777777" w:rsidR="001B1411" w:rsidRPr="00DA7625" w:rsidRDefault="001B1411">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1B1411" w:rsidRPr="00DA7625" w14:paraId="3545DE8A" w14:textId="77777777" w:rsidTr="00E10B85">
        <w:trPr>
          <w:trHeight w:val="537"/>
        </w:trPr>
        <w:tc>
          <w:tcPr>
            <w:tcW w:w="8950" w:type="dxa"/>
            <w:gridSpan w:val="2"/>
            <w:shd w:val="clear" w:color="auto" w:fill="BFBFBF"/>
          </w:tcPr>
          <w:p w14:paraId="42759E47" w14:textId="77777777" w:rsidR="001B1411" w:rsidRPr="00DA7625" w:rsidRDefault="00C55547">
            <w:pPr>
              <w:autoSpaceDE w:val="0"/>
              <w:autoSpaceDN w:val="0"/>
              <w:adjustRightInd w:val="0"/>
              <w:spacing w:after="0"/>
              <w:rPr>
                <w:rFonts w:ascii="Times New Roman" w:hAnsi="Times New Roman"/>
                <w:b/>
                <w:sz w:val="24"/>
              </w:rPr>
            </w:pPr>
            <w:r w:rsidRPr="00DA7625">
              <w:rPr>
                <w:rFonts w:ascii="Times New Roman" w:hAnsi="Times New Roman"/>
                <w:b/>
                <w:sz w:val="24"/>
              </w:rPr>
              <w:t>Sor</w:t>
            </w:r>
          </w:p>
        </w:tc>
      </w:tr>
      <w:tr w:rsidR="001B1411" w:rsidRPr="00DA7625" w14:paraId="212CE458" w14:textId="77777777" w:rsidTr="00E10B85">
        <w:tc>
          <w:tcPr>
            <w:tcW w:w="1056" w:type="dxa"/>
          </w:tcPr>
          <w:p w14:paraId="54771851"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010</w:t>
            </w:r>
          </w:p>
        </w:tc>
        <w:tc>
          <w:tcPr>
            <w:tcW w:w="7894" w:type="dxa"/>
          </w:tcPr>
          <w:p w14:paraId="77ECC080" w14:textId="77777777" w:rsidR="001B1411" w:rsidRPr="00DA7625" w:rsidRDefault="00C55547">
            <w:pPr>
              <w:rPr>
                <w:rFonts w:ascii="Times New Roman" w:hAnsi="Times New Roman"/>
                <w:sz w:val="24"/>
              </w:rPr>
            </w:pPr>
            <w:r w:rsidRPr="00DA7625">
              <w:rPr>
                <w:rStyle w:val="InstructionsTabelleberschrift"/>
                <w:rFonts w:ascii="Times New Roman" w:hAnsi="Times New Roman"/>
                <w:sz w:val="24"/>
              </w:rPr>
              <w:t>TELJES KITETTSÉG</w:t>
            </w:r>
          </w:p>
          <w:p w14:paraId="6F801EDD" w14:textId="749CC600" w:rsidR="001B1411" w:rsidRPr="00DA7625" w:rsidRDefault="00C55547">
            <w:pPr>
              <w:autoSpaceDE w:val="0"/>
              <w:autoSpaceDN w:val="0"/>
              <w:adjustRightInd w:val="0"/>
              <w:spacing w:before="0" w:after="0"/>
              <w:rPr>
                <w:rFonts w:ascii="Times New Roman" w:hAnsi="Times New Roman"/>
                <w:sz w:val="24"/>
              </w:rPr>
            </w:pPr>
            <w:r w:rsidRPr="00DA7625">
              <w:rPr>
                <w:rStyle w:val="InstructionsTabelleText"/>
                <w:rFonts w:ascii="Times New Roman" w:hAnsi="Times New Roman"/>
                <w:sz w:val="24"/>
              </w:rPr>
              <w:t>A kereskedési könyvben nyilvántartott, fennálló értékpapírosítások és újra-értékpapírosítások összértéke az értékpapírosítást kezdeményező vagy befektető vagy szponzor szerepét betöltő intézmény adatszolgáltatása szerint.</w:t>
            </w:r>
          </w:p>
        </w:tc>
      </w:tr>
      <w:tr w:rsidR="001B1411" w:rsidRPr="00DA7625" w14:paraId="3CD58C01" w14:textId="77777777" w:rsidTr="00E10B85">
        <w:tc>
          <w:tcPr>
            <w:tcW w:w="1056" w:type="dxa"/>
          </w:tcPr>
          <w:p w14:paraId="5240D8B6"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040, 070 és</w:t>
            </w:r>
          </w:p>
          <w:p w14:paraId="1CC6A8AB"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100</w:t>
            </w:r>
          </w:p>
        </w:tc>
        <w:tc>
          <w:tcPr>
            <w:tcW w:w="7894" w:type="dxa"/>
          </w:tcPr>
          <w:p w14:paraId="0C4166D7" w14:textId="6255869B" w:rsidR="001B1411" w:rsidRPr="00DA7625" w:rsidRDefault="00C55547">
            <w:pPr>
              <w:rPr>
                <w:rStyle w:val="InstructionsTabelleberschrift"/>
                <w:rFonts w:ascii="Times New Roman" w:hAnsi="Times New Roman"/>
                <w:sz w:val="24"/>
              </w:rPr>
            </w:pPr>
            <w:r w:rsidRPr="00DA7625">
              <w:rPr>
                <w:rStyle w:val="InstructionsTabelleberschrift"/>
                <w:rFonts w:ascii="Times New Roman" w:hAnsi="Times New Roman"/>
                <w:sz w:val="24"/>
              </w:rPr>
              <w:t>ÉRTÉKPAPÍROSÍTÁSI POZÍCIÓK</w:t>
            </w:r>
          </w:p>
          <w:p w14:paraId="4412FADB" w14:textId="18AF4CF6" w:rsidR="001B1411" w:rsidRPr="00DA7625" w:rsidRDefault="00532026">
            <w:pPr>
              <w:autoSpaceDE w:val="0"/>
              <w:autoSpaceDN w:val="0"/>
              <w:adjustRightInd w:val="0"/>
              <w:spacing w:before="0" w:after="0"/>
              <w:rPr>
                <w:rFonts w:ascii="Times New Roman" w:hAnsi="Times New Roman"/>
                <w:bCs/>
                <w:sz w:val="24"/>
              </w:rPr>
            </w:pPr>
            <w:r w:rsidRPr="00DA7625">
              <w:rPr>
                <w:rFonts w:ascii="Times New Roman" w:hAnsi="Times New Roman"/>
                <w:bCs/>
                <w:sz w:val="24"/>
              </w:rPr>
              <w:t>A CRR 4. cikke (1) bekezdésének 62. pontja.</w:t>
            </w:r>
          </w:p>
          <w:p w14:paraId="272E789B" w14:textId="77777777" w:rsidR="001B1411" w:rsidRPr="00DA7625" w:rsidRDefault="001B1411">
            <w:pPr>
              <w:autoSpaceDE w:val="0"/>
              <w:autoSpaceDN w:val="0"/>
              <w:adjustRightInd w:val="0"/>
              <w:spacing w:before="0" w:after="0"/>
              <w:rPr>
                <w:rFonts w:ascii="Times New Roman" w:hAnsi="Times New Roman"/>
                <w:bCs/>
                <w:sz w:val="24"/>
              </w:rPr>
            </w:pPr>
          </w:p>
        </w:tc>
      </w:tr>
      <w:tr w:rsidR="001B1411" w:rsidRPr="00DA7625" w14:paraId="2E87B5B2" w14:textId="77777777" w:rsidTr="00E10B85">
        <w:tc>
          <w:tcPr>
            <w:tcW w:w="1056" w:type="dxa"/>
          </w:tcPr>
          <w:p w14:paraId="6768D6F5"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020, 050,</w:t>
            </w:r>
          </w:p>
          <w:p w14:paraId="3C0B519E"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080 és 110</w:t>
            </w:r>
          </w:p>
        </w:tc>
        <w:tc>
          <w:tcPr>
            <w:tcW w:w="7894" w:type="dxa"/>
          </w:tcPr>
          <w:p w14:paraId="1946E15C" w14:textId="182828A6" w:rsidR="001B1411" w:rsidRPr="00DA7625" w:rsidRDefault="00C55547">
            <w:pPr>
              <w:rPr>
                <w:rStyle w:val="InstructionsTabelleberschrift"/>
                <w:rFonts w:ascii="Times New Roman" w:hAnsi="Times New Roman"/>
                <w:sz w:val="24"/>
              </w:rPr>
            </w:pPr>
            <w:r w:rsidRPr="00DA7625">
              <w:rPr>
                <w:rStyle w:val="InstructionsTabelleberschrift"/>
                <w:rFonts w:ascii="Times New Roman" w:hAnsi="Times New Roman"/>
                <w:sz w:val="24"/>
              </w:rPr>
              <w:t>ÚJRA-ÉRTÉKPAPÍROSÍTÁSI POZÍCIÓK</w:t>
            </w:r>
          </w:p>
          <w:p w14:paraId="4F403A6C" w14:textId="56FCB660" w:rsidR="001B1411" w:rsidRPr="00DA7625" w:rsidRDefault="00532026">
            <w:pPr>
              <w:autoSpaceDE w:val="0"/>
              <w:autoSpaceDN w:val="0"/>
              <w:adjustRightInd w:val="0"/>
              <w:spacing w:before="0" w:after="0"/>
              <w:rPr>
                <w:rFonts w:ascii="Times New Roman" w:hAnsi="Times New Roman"/>
                <w:bCs/>
                <w:sz w:val="24"/>
              </w:rPr>
            </w:pPr>
            <w:r w:rsidRPr="00DA7625">
              <w:rPr>
                <w:rFonts w:ascii="Times New Roman" w:hAnsi="Times New Roman"/>
                <w:bCs/>
                <w:sz w:val="24"/>
              </w:rPr>
              <w:t>A CRR 4. cikke (1) bekezdésének 64. pontja.</w:t>
            </w:r>
          </w:p>
          <w:p w14:paraId="6E0E1D52" w14:textId="77777777" w:rsidR="001B1411" w:rsidRPr="00DA7625" w:rsidRDefault="001B1411">
            <w:pPr>
              <w:autoSpaceDE w:val="0"/>
              <w:autoSpaceDN w:val="0"/>
              <w:adjustRightInd w:val="0"/>
              <w:spacing w:before="0" w:after="0"/>
              <w:rPr>
                <w:rFonts w:ascii="Times New Roman" w:hAnsi="Times New Roman"/>
                <w:bCs/>
                <w:sz w:val="24"/>
              </w:rPr>
            </w:pPr>
          </w:p>
        </w:tc>
      </w:tr>
      <w:tr w:rsidR="001B1411" w:rsidRPr="00DA7625" w14:paraId="31E7E238" w14:textId="77777777" w:rsidTr="00E10B85">
        <w:tc>
          <w:tcPr>
            <w:tcW w:w="1056" w:type="dxa"/>
          </w:tcPr>
          <w:p w14:paraId="27523E83"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041, 071 és 101</w:t>
            </w:r>
          </w:p>
        </w:tc>
        <w:tc>
          <w:tcPr>
            <w:tcW w:w="7894" w:type="dxa"/>
          </w:tcPr>
          <w:p w14:paraId="1935010F" w14:textId="77777777" w:rsidR="001B1411" w:rsidRPr="00DA7625" w:rsidRDefault="00C55547">
            <w:pPr>
              <w:rPr>
                <w:rStyle w:val="InstructionsTabelleberschrift"/>
                <w:rFonts w:ascii="Times New Roman" w:hAnsi="Times New Roman"/>
                <w:sz w:val="24"/>
              </w:rPr>
            </w:pPr>
            <w:r w:rsidRPr="00DA7625">
              <w:rPr>
                <w:rStyle w:val="InstructionsTabelleberschrift"/>
                <w:rFonts w:ascii="Times New Roman" w:hAnsi="Times New Roman"/>
                <w:sz w:val="24"/>
              </w:rPr>
              <w:t>EBBŐL: DIFFERENCIÁLT TŐKEKÖVETELMÉNY-MEGÁLLAPÍTÁSRA JOGOSULT</w:t>
            </w:r>
          </w:p>
          <w:p w14:paraId="1D3FC150" w14:textId="414B3A66" w:rsidR="001B1411" w:rsidRPr="00DA7625" w:rsidRDefault="00C55547">
            <w:pPr>
              <w:rPr>
                <w:rStyle w:val="InstructionsTabelleberschrift"/>
                <w:rFonts w:ascii="Times New Roman" w:hAnsi="Times New Roman"/>
                <w:sz w:val="24"/>
              </w:rPr>
            </w:pPr>
            <w:r w:rsidRPr="00DA7625">
              <w:rPr>
                <w:rFonts w:ascii="Times New Roman" w:hAnsi="Times New Roman"/>
                <w:bCs/>
                <w:sz w:val="24"/>
              </w:rPr>
              <w:t>Azon értékpapírosítási pozíciók teljes összege, amelyek megfelelnek a CRR 243. vagy 270. cikkében foglalt kritériumoknak, és ezért differenciált tőkekövetelmény-megállapításra jogosultak.</w:t>
            </w:r>
          </w:p>
        </w:tc>
      </w:tr>
      <w:tr w:rsidR="001B1411" w:rsidRPr="00DA7625" w14:paraId="17F2B7F1" w14:textId="77777777" w:rsidTr="00E10B85">
        <w:tc>
          <w:tcPr>
            <w:tcW w:w="1056" w:type="dxa"/>
          </w:tcPr>
          <w:p w14:paraId="27DE551D"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030–050</w:t>
            </w:r>
          </w:p>
        </w:tc>
        <w:tc>
          <w:tcPr>
            <w:tcW w:w="7894" w:type="dxa"/>
          </w:tcPr>
          <w:p w14:paraId="1773FA0D" w14:textId="77777777" w:rsidR="001B1411" w:rsidRPr="00DA7625" w:rsidRDefault="00C55547">
            <w:pPr>
              <w:rPr>
                <w:rStyle w:val="InstructionsTabelleberschrift"/>
                <w:rFonts w:ascii="Times New Roman" w:hAnsi="Times New Roman"/>
                <w:sz w:val="24"/>
              </w:rPr>
            </w:pPr>
            <w:r w:rsidRPr="00DA7625">
              <w:rPr>
                <w:rStyle w:val="InstructionsTabelleberschrift"/>
                <w:rFonts w:ascii="Times New Roman" w:hAnsi="Times New Roman"/>
                <w:sz w:val="24"/>
              </w:rPr>
              <w:t>ÉRTÉKPAPÍROSÍTÁST KEZDEMÉNYEZŐ</w:t>
            </w:r>
          </w:p>
          <w:p w14:paraId="574C8742" w14:textId="359823E4" w:rsidR="001B1411" w:rsidRPr="00DA7625" w:rsidRDefault="000242CC">
            <w:pPr>
              <w:autoSpaceDE w:val="0"/>
              <w:autoSpaceDN w:val="0"/>
              <w:adjustRightInd w:val="0"/>
              <w:spacing w:before="0" w:after="0"/>
              <w:rPr>
                <w:rFonts w:ascii="Times New Roman" w:hAnsi="Times New Roman"/>
                <w:bCs/>
                <w:sz w:val="24"/>
              </w:rPr>
            </w:pPr>
            <w:r w:rsidRPr="00DA7625">
              <w:rPr>
                <w:rFonts w:ascii="Times New Roman" w:hAnsi="Times New Roman"/>
                <w:bCs/>
                <w:sz w:val="24"/>
              </w:rPr>
              <w:t>A CRR 4. cikke (1) bekezdésének 13. pontja.</w:t>
            </w:r>
          </w:p>
          <w:p w14:paraId="2DEDD435" w14:textId="77777777" w:rsidR="001B1411" w:rsidRPr="00DA7625" w:rsidRDefault="001B1411">
            <w:pPr>
              <w:autoSpaceDE w:val="0"/>
              <w:autoSpaceDN w:val="0"/>
              <w:adjustRightInd w:val="0"/>
              <w:spacing w:before="0" w:after="0"/>
              <w:rPr>
                <w:rFonts w:ascii="Times New Roman" w:hAnsi="Times New Roman"/>
                <w:bCs/>
                <w:sz w:val="24"/>
              </w:rPr>
            </w:pPr>
          </w:p>
        </w:tc>
      </w:tr>
      <w:tr w:rsidR="001B1411" w:rsidRPr="00DA7625" w14:paraId="501C8C22" w14:textId="77777777" w:rsidTr="00E10B85">
        <w:tc>
          <w:tcPr>
            <w:tcW w:w="1056" w:type="dxa"/>
          </w:tcPr>
          <w:p w14:paraId="5587655A"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060–080</w:t>
            </w:r>
          </w:p>
        </w:tc>
        <w:tc>
          <w:tcPr>
            <w:tcW w:w="7894" w:type="dxa"/>
          </w:tcPr>
          <w:p w14:paraId="46480E81" w14:textId="77777777" w:rsidR="001B1411" w:rsidRPr="00DA7625" w:rsidRDefault="00C55547">
            <w:pPr>
              <w:rPr>
                <w:rStyle w:val="InstructionsTabelleberschrift"/>
                <w:rFonts w:ascii="Times New Roman" w:hAnsi="Times New Roman"/>
                <w:sz w:val="24"/>
              </w:rPr>
            </w:pPr>
            <w:r w:rsidRPr="00DA7625">
              <w:rPr>
                <w:rStyle w:val="InstructionsTabelleberschrift"/>
                <w:rFonts w:ascii="Times New Roman" w:hAnsi="Times New Roman"/>
                <w:sz w:val="24"/>
              </w:rPr>
              <w:t>BEFEKTETŐ</w:t>
            </w:r>
          </w:p>
          <w:p w14:paraId="5561386A" w14:textId="77777777" w:rsidR="001B1411" w:rsidRPr="00DA7625" w:rsidRDefault="00C55547">
            <w:pPr>
              <w:autoSpaceDE w:val="0"/>
              <w:autoSpaceDN w:val="0"/>
              <w:adjustRightInd w:val="0"/>
              <w:spacing w:before="0" w:after="0"/>
              <w:rPr>
                <w:rFonts w:ascii="Times New Roman" w:hAnsi="Times New Roman"/>
                <w:bCs/>
                <w:sz w:val="24"/>
              </w:rPr>
            </w:pPr>
            <w:r w:rsidRPr="00DA7625">
              <w:rPr>
                <w:rFonts w:ascii="Times New Roman" w:hAnsi="Times New Roman"/>
                <w:bCs/>
                <w:sz w:val="24"/>
              </w:rPr>
              <w:t>Olyan hitelintézet, amely értékpapírosítási pozícióval rendelkezik egy olyan értékpapírosítási ügyletben, amelyben sem az értékpapírosítást kezdeményező, sem a szponzor, sem az eredeti hitelező szerepét nem tölti be.</w:t>
            </w:r>
          </w:p>
          <w:p w14:paraId="0DBE1446" w14:textId="77777777" w:rsidR="001B1411" w:rsidRPr="00DA7625" w:rsidRDefault="001B1411">
            <w:pPr>
              <w:autoSpaceDE w:val="0"/>
              <w:autoSpaceDN w:val="0"/>
              <w:adjustRightInd w:val="0"/>
              <w:spacing w:before="0" w:after="0"/>
              <w:rPr>
                <w:rFonts w:ascii="Times New Roman" w:hAnsi="Times New Roman"/>
                <w:bCs/>
                <w:sz w:val="24"/>
              </w:rPr>
            </w:pPr>
          </w:p>
        </w:tc>
      </w:tr>
      <w:tr w:rsidR="001B1411" w:rsidRPr="00DA7625" w14:paraId="488BF2FC" w14:textId="77777777" w:rsidTr="00E10B85">
        <w:tc>
          <w:tcPr>
            <w:tcW w:w="1056" w:type="dxa"/>
          </w:tcPr>
          <w:p w14:paraId="7238D1DC"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090–110</w:t>
            </w:r>
          </w:p>
        </w:tc>
        <w:tc>
          <w:tcPr>
            <w:tcW w:w="7894" w:type="dxa"/>
          </w:tcPr>
          <w:p w14:paraId="08D7D924" w14:textId="77777777" w:rsidR="001B1411" w:rsidRPr="00DA7625" w:rsidRDefault="00C55547">
            <w:pPr>
              <w:rPr>
                <w:rStyle w:val="InstructionsTabelleberschrift"/>
                <w:rFonts w:ascii="Times New Roman" w:hAnsi="Times New Roman"/>
                <w:sz w:val="24"/>
              </w:rPr>
            </w:pPr>
            <w:r w:rsidRPr="00DA7625">
              <w:rPr>
                <w:rStyle w:val="InstructionsTabelleberschrift"/>
                <w:rFonts w:ascii="Times New Roman" w:hAnsi="Times New Roman"/>
                <w:sz w:val="24"/>
              </w:rPr>
              <w:t>SZPONZOR</w:t>
            </w:r>
          </w:p>
          <w:p w14:paraId="5BB1E310" w14:textId="765A409B" w:rsidR="001B1411" w:rsidRPr="00DA7625" w:rsidRDefault="000242CC">
            <w:pPr>
              <w:autoSpaceDE w:val="0"/>
              <w:autoSpaceDN w:val="0"/>
              <w:adjustRightInd w:val="0"/>
              <w:spacing w:before="0" w:after="0"/>
              <w:rPr>
                <w:rStyle w:val="InstructionsTabelleText"/>
                <w:rFonts w:ascii="Times New Roman" w:hAnsi="Times New Roman"/>
                <w:sz w:val="24"/>
              </w:rPr>
            </w:pPr>
            <w:r w:rsidRPr="00DA7625">
              <w:rPr>
                <w:rStyle w:val="InstructionsTabelleText"/>
                <w:rFonts w:ascii="Times New Roman" w:hAnsi="Times New Roman"/>
                <w:sz w:val="24"/>
              </w:rPr>
              <w:t xml:space="preserve">A CRR 4. cikke (1) bekezdésének 14. pontja. </w:t>
            </w:r>
          </w:p>
          <w:p w14:paraId="6559FEAC" w14:textId="3BF66031" w:rsidR="001B1411" w:rsidRPr="00DA7625" w:rsidRDefault="00532026">
            <w:pPr>
              <w:autoSpaceDE w:val="0"/>
              <w:autoSpaceDN w:val="0"/>
              <w:adjustRightInd w:val="0"/>
              <w:spacing w:before="0" w:after="0"/>
              <w:rPr>
                <w:rStyle w:val="InstructionsTabelleText"/>
                <w:rFonts w:ascii="Times New Roman" w:hAnsi="Times New Roman"/>
                <w:sz w:val="24"/>
              </w:rPr>
            </w:pPr>
            <w:r w:rsidRPr="00DA7625">
              <w:rPr>
                <w:rStyle w:val="InstructionsTabelleText"/>
                <w:rFonts w:ascii="Times New Roman" w:hAnsi="Times New Roman"/>
                <w:sz w:val="24"/>
              </w:rPr>
              <w:t>Annak a szponzornak, aki saját eszközt is értékpapírosít, a saját értékpapírosított eszközökkel kapcsolatos információkat az értékpapírosítást kezdeményezőre vonatkozó sorokban kell megadnia.</w:t>
            </w:r>
          </w:p>
        </w:tc>
      </w:tr>
    </w:tbl>
    <w:p w14:paraId="3BF599F8" w14:textId="77777777" w:rsidR="001B1411" w:rsidRPr="00DA7625" w:rsidRDefault="001B1411">
      <w:pPr>
        <w:autoSpaceDE w:val="0"/>
        <w:autoSpaceDN w:val="0"/>
        <w:adjustRightInd w:val="0"/>
        <w:spacing w:before="0" w:after="0"/>
        <w:rPr>
          <w:rFonts w:ascii="Times New Roman" w:hAnsi="Times New Roman"/>
          <w:sz w:val="24"/>
        </w:rPr>
      </w:pPr>
    </w:p>
    <w:p w14:paraId="58209290" w14:textId="77777777" w:rsidR="001B1411" w:rsidRPr="00DA7625" w:rsidRDefault="001B1411">
      <w:pPr>
        <w:autoSpaceDE w:val="0"/>
        <w:autoSpaceDN w:val="0"/>
        <w:adjustRightInd w:val="0"/>
        <w:spacing w:before="0" w:after="0"/>
        <w:rPr>
          <w:rFonts w:ascii="Times New Roman" w:hAnsi="Times New Roman"/>
          <w:sz w:val="24"/>
        </w:rPr>
      </w:pPr>
    </w:p>
    <w:p w14:paraId="74A3857C"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90" w:name="_Toc31018836"/>
      <w:r w:rsidRPr="00DA7625">
        <w:rPr>
          <w:rFonts w:ascii="Times New Roman" w:hAnsi="Times New Roman"/>
          <w:sz w:val="24"/>
          <w:u w:val="none"/>
        </w:rPr>
        <w:t>5.3.</w:t>
      </w:r>
      <w:r w:rsidRPr="00DA7625">
        <w:rPr>
          <w:rFonts w:ascii="Times New Roman" w:hAnsi="Times New Roman"/>
          <w:sz w:val="24"/>
          <w:u w:val="none"/>
        </w:rPr>
        <w:tab/>
      </w:r>
      <w:r w:rsidRPr="00DA7625">
        <w:rPr>
          <w:rFonts w:ascii="Times New Roman" w:hAnsi="Times New Roman"/>
          <w:sz w:val="24"/>
        </w:rPr>
        <w:t>C 20.00 – PIACI KOCKÁZAT: A KORRELÁCIÓKERESKEDÉSI PORTFÓLIÓBA SOROLT POZÍCIÓK EGYEDI KOCKÁZATÁNAK SZTENDERD MÓDSZERE (MKR SA CTP)</w:t>
      </w:r>
      <w:bookmarkEnd w:id="90"/>
    </w:p>
    <w:p w14:paraId="4044EAD2"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91" w:name="_Toc31018837"/>
      <w:r w:rsidRPr="00DA7625">
        <w:rPr>
          <w:rFonts w:ascii="Times New Roman" w:hAnsi="Times New Roman"/>
          <w:sz w:val="24"/>
          <w:u w:val="none"/>
        </w:rPr>
        <w:t>5.3.1.</w:t>
      </w:r>
      <w:r w:rsidRPr="00DA7625">
        <w:rPr>
          <w:rFonts w:ascii="Times New Roman" w:hAnsi="Times New Roman"/>
          <w:sz w:val="24"/>
          <w:u w:val="none"/>
        </w:rPr>
        <w:tab/>
      </w:r>
      <w:r w:rsidRPr="00DA7625">
        <w:rPr>
          <w:rFonts w:ascii="Times New Roman" w:hAnsi="Times New Roman"/>
          <w:sz w:val="24"/>
        </w:rPr>
        <w:t>Általános megjegyzések</w:t>
      </w:r>
      <w:bookmarkEnd w:id="91"/>
    </w:p>
    <w:p w14:paraId="2EF14F09" w14:textId="151DD272" w:rsidR="001B1411" w:rsidRPr="00DA7625" w:rsidRDefault="00C55547">
      <w:pPr>
        <w:pStyle w:val="InstructionsText2"/>
        <w:numPr>
          <w:ilvl w:val="0"/>
          <w:numId w:val="0"/>
        </w:numPr>
        <w:ind w:left="993"/>
      </w:pPr>
      <w:r w:rsidRPr="00DA7625">
        <w:t>144. Ezen a táblán a sztenderd módszer alkalmazási körébe tartozó korrelációkereskedési portfólióban (CTP) levő pozíciókról (értékpapírosításokról, n-edik nemteljesítéskor lehívható hitelderivatívákról és a CRR 338. cikkének (3) bekezdése alapján besorolt egyéb CTP-pozíciókról), valamint az ezekhez kapcsolódó szavatolótőke-követelményről kell adatot szolgáltatni.</w:t>
      </w:r>
    </w:p>
    <w:p w14:paraId="7A71D073" w14:textId="4700C4C5" w:rsidR="001B1411" w:rsidRPr="00DA7625" w:rsidRDefault="00C55547">
      <w:pPr>
        <w:pStyle w:val="InstructionsText2"/>
        <w:numPr>
          <w:ilvl w:val="0"/>
          <w:numId w:val="0"/>
        </w:numPr>
        <w:ind w:left="993"/>
      </w:pPr>
      <w:r w:rsidRPr="00DA7625">
        <w:lastRenderedPageBreak/>
        <w:t>145.</w:t>
      </w:r>
      <w:r w:rsidRPr="00DA7625">
        <w:tab/>
        <w:t xml:space="preserve"> Az MKR SA CTP tábla kizárólag a CRR 335. cikke, valamint azzal összefüggésben a CRR 338. cikkének (2) és (3) bekezdése szerint a CTP-be sorolt pozíciók egyedi kockázatához kapcsolódó szavatolótőke-követelményt mutatja be. Ha a kereskedési könyvben nyilvántartott CTP-pozíciókat hitelderivatívákkal fedezik, akkor a CRR 346. és 347. cikkét kell alkalmazni. Valamennyi kereskedési könyvi CTP-pozícióról egy táblán kell adatot szolgáltatni attól függetlenül, hogy az intézmény melyik módszert alkalmazza a CRR harmadik része II. címének 5. fejezete szerinti egyes pozíciók kockázati súlyának meghatározásakor. Az e pozíciók általános kockázatához kapcsolódó szavatolótőke-követelményre vonatkozó adatszolgáltatás az MKR SA TDI vagy az MKR IM táblán történik.</w:t>
      </w:r>
    </w:p>
    <w:p w14:paraId="7B56D737" w14:textId="69450C71" w:rsidR="001B1411" w:rsidRPr="00DA7625" w:rsidRDefault="00C55547">
      <w:pPr>
        <w:pStyle w:val="InstructionsText2"/>
        <w:numPr>
          <w:ilvl w:val="0"/>
          <w:numId w:val="0"/>
        </w:numPr>
        <w:ind w:left="993"/>
      </w:pPr>
      <w:r w:rsidRPr="00DA7625">
        <w:t>146.</w:t>
      </w:r>
      <w:r w:rsidRPr="00DA7625">
        <w:tab/>
        <w:t xml:space="preserve"> A tábla elkülöníti az értékpapírosítási pozíciókat, az n-edik nemteljesítéskor lehívható hitelderivatívákat, valamint az egyéb CTP-pozíciókat. Az értékpapírosítási pozíciókat minden esetben a 030-as, 060-as vagy 090-es sorban kell feltüntetni az intézmény által az értékpapírosításban betöltött szereptől függően. Az n-edik nemteljesítéskor lehívható hitelderivatívákat minden esetben a 110-es sorban kell feltüntetni. Az „egyéb CTP-pozíciók” nem értékpapírosítási pozíciók és nem az n-edik nemteljesítéskor lehívható hitelderivatívák (lásd a CRR 338. cikkének (3) bekezdését), de a fedezési szándék miatt egyértelműen kapcsolódnak e két pozíció egyikéhez. </w:t>
      </w:r>
    </w:p>
    <w:p w14:paraId="4D8B5A88" w14:textId="721BB075" w:rsidR="001B1411" w:rsidRPr="00DA7625" w:rsidRDefault="00C55547">
      <w:pPr>
        <w:pStyle w:val="InstructionsText2"/>
        <w:numPr>
          <w:ilvl w:val="0"/>
          <w:numId w:val="0"/>
        </w:numPr>
        <w:ind w:left="993"/>
      </w:pPr>
      <w:r w:rsidRPr="00DA7625">
        <w:t>147.</w:t>
      </w:r>
      <w:r w:rsidRPr="00DA7625">
        <w:tab/>
        <w:t xml:space="preserve"> Az 1 250 %-os kockázati súlyú pozíciók az elsődleges alapvető tőkéből (CET1) is levonhatók (lásd a CRR 244. cikke (1) bekezdésének b) pontját, 245. cikke (1) bekezdésének b) pontját és 253. cikkét). Ebben az esetben a pozícióról a CA1 tábla 460-as sorában kell adatot szolgáltatni.</w:t>
      </w:r>
    </w:p>
    <w:p w14:paraId="761CEF7D"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92" w:name="_Toc31018838"/>
      <w:r w:rsidRPr="00DA7625">
        <w:rPr>
          <w:rFonts w:ascii="Times New Roman" w:hAnsi="Times New Roman"/>
          <w:sz w:val="24"/>
          <w:u w:val="none"/>
        </w:rPr>
        <w:t>5.3.2.</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92"/>
    </w:p>
    <w:p w14:paraId="4F1C97AE" w14:textId="77777777" w:rsidR="001B1411" w:rsidRPr="00DA7625" w:rsidRDefault="001B1411">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1B1411" w:rsidRPr="00DA7625" w14:paraId="279F9534" w14:textId="77777777" w:rsidTr="00E10B85">
        <w:trPr>
          <w:trHeight w:val="602"/>
        </w:trPr>
        <w:tc>
          <w:tcPr>
            <w:tcW w:w="8890" w:type="dxa"/>
            <w:gridSpan w:val="2"/>
            <w:shd w:val="clear" w:color="auto" w:fill="CCCCCC"/>
          </w:tcPr>
          <w:p w14:paraId="1FF57BEA" w14:textId="77777777" w:rsidR="001B1411" w:rsidRPr="00DA7625" w:rsidRDefault="00C55547">
            <w:pPr>
              <w:autoSpaceDE w:val="0"/>
              <w:autoSpaceDN w:val="0"/>
              <w:adjustRightInd w:val="0"/>
              <w:spacing w:after="0"/>
              <w:rPr>
                <w:rFonts w:ascii="Times New Roman" w:hAnsi="Times New Roman"/>
                <w:b/>
                <w:sz w:val="24"/>
              </w:rPr>
            </w:pPr>
            <w:r w:rsidRPr="00DA7625">
              <w:rPr>
                <w:rFonts w:ascii="Times New Roman" w:hAnsi="Times New Roman"/>
                <w:b/>
                <w:sz w:val="24"/>
              </w:rPr>
              <w:t>Oszlop</w:t>
            </w:r>
          </w:p>
        </w:tc>
      </w:tr>
      <w:tr w:rsidR="001B1411" w:rsidRPr="00DA7625" w14:paraId="4222B4BB" w14:textId="77777777" w:rsidTr="00E10B85">
        <w:tc>
          <w:tcPr>
            <w:tcW w:w="1016" w:type="dxa"/>
          </w:tcPr>
          <w:p w14:paraId="302BB386"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010–020</w:t>
            </w:r>
          </w:p>
        </w:tc>
        <w:tc>
          <w:tcPr>
            <w:tcW w:w="7874" w:type="dxa"/>
          </w:tcPr>
          <w:p w14:paraId="1792E809" w14:textId="77777777" w:rsidR="001B1411" w:rsidRPr="00DA7625" w:rsidRDefault="00C55547">
            <w:pPr>
              <w:rPr>
                <w:rStyle w:val="InstructionsTabelleberschrift"/>
                <w:rFonts w:ascii="Times New Roman" w:hAnsi="Times New Roman"/>
                <w:sz w:val="24"/>
              </w:rPr>
            </w:pPr>
            <w:r w:rsidRPr="00DA7625">
              <w:rPr>
                <w:rStyle w:val="InstructionsTabelleberschrift"/>
                <w:rFonts w:ascii="Times New Roman" w:hAnsi="Times New Roman"/>
                <w:sz w:val="24"/>
              </w:rPr>
              <w:t>ÖSSZES POZÍCIÓ (HOSSZÚ ÉS RÖVID)</w:t>
            </w:r>
          </w:p>
          <w:p w14:paraId="79DC5844" w14:textId="5CA962C2" w:rsidR="001B1411" w:rsidRPr="00DA7625" w:rsidRDefault="00C55547">
            <w:pPr>
              <w:rPr>
                <w:rFonts w:ascii="Times New Roman" w:hAnsi="Times New Roman"/>
                <w:sz w:val="24"/>
              </w:rPr>
            </w:pPr>
            <w:r w:rsidRPr="00DA7625">
              <w:rPr>
                <w:rFonts w:ascii="Times New Roman" w:hAnsi="Times New Roman"/>
                <w:sz w:val="24"/>
              </w:rPr>
              <w:t>A CRR 102. cikke, valamint 105. cikkének (1) bekezdése a CRR 338. cikke (2) és (3) bekezdésével összefüggésben (a korrelációkereskedési portfólióba sorolt pozíciókkal)</w:t>
            </w:r>
          </w:p>
          <w:p w14:paraId="62D28AC6" w14:textId="1CB7A31B" w:rsidR="001B1411" w:rsidRPr="00DA7625" w:rsidRDefault="00C55547">
            <w:pPr>
              <w:rPr>
                <w:rFonts w:ascii="Times New Roman" w:hAnsi="Times New Roman"/>
                <w:sz w:val="24"/>
              </w:rPr>
            </w:pPr>
            <w:r w:rsidRPr="00DA7625">
              <w:rPr>
                <w:rFonts w:ascii="Times New Roman" w:hAnsi="Times New Roman"/>
                <w:sz w:val="24"/>
              </w:rPr>
              <w:t>A hosszú és rövid pozícióknak az említett bruttó pozíciókra is alkalmazandó megkülönböztetésével kapcsolatban lásd a CRR 328. cikkének (2) bekezdését.</w:t>
            </w:r>
          </w:p>
        </w:tc>
      </w:tr>
      <w:tr w:rsidR="001B1411" w:rsidRPr="00DA7625" w14:paraId="04A72934" w14:textId="77777777" w:rsidTr="00E10B85">
        <w:tc>
          <w:tcPr>
            <w:tcW w:w="1016" w:type="dxa"/>
          </w:tcPr>
          <w:p w14:paraId="487C4BDD"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030–040</w:t>
            </w:r>
          </w:p>
        </w:tc>
        <w:tc>
          <w:tcPr>
            <w:tcW w:w="7874" w:type="dxa"/>
          </w:tcPr>
          <w:p w14:paraId="637746A2" w14:textId="77777777" w:rsidR="001B1411" w:rsidRPr="00DA7625" w:rsidRDefault="00C55547">
            <w:pPr>
              <w:rPr>
                <w:rStyle w:val="InstructionsTabelleberschrift"/>
                <w:rFonts w:ascii="Times New Roman" w:hAnsi="Times New Roman"/>
                <w:sz w:val="24"/>
              </w:rPr>
            </w:pPr>
            <w:r w:rsidRPr="00DA7625">
              <w:rPr>
                <w:rStyle w:val="InstructionsTabelleberschrift"/>
                <w:rFonts w:ascii="Times New Roman" w:hAnsi="Times New Roman"/>
                <w:sz w:val="24"/>
              </w:rPr>
              <w:t>(–) SZAVATOLÓTŐKÉBŐL LEVONT POZÍCIÓK (HOSSZÚ ÉS RÖVID)</w:t>
            </w:r>
          </w:p>
          <w:p w14:paraId="5DF1145D" w14:textId="6BD2217C" w:rsidR="001B1411" w:rsidRPr="00DA7625" w:rsidRDefault="00C55547">
            <w:pPr>
              <w:rPr>
                <w:rFonts w:ascii="Times New Roman" w:hAnsi="Times New Roman"/>
                <w:sz w:val="24"/>
              </w:rPr>
            </w:pPr>
            <w:r w:rsidRPr="00DA7625">
              <w:rPr>
                <w:rFonts w:ascii="Times New Roman" w:hAnsi="Times New Roman"/>
                <w:sz w:val="24"/>
              </w:rPr>
              <w:t xml:space="preserve">A CRR 253. cikke </w:t>
            </w:r>
          </w:p>
        </w:tc>
      </w:tr>
      <w:tr w:rsidR="001B1411" w:rsidRPr="00DA7625" w14:paraId="5D2995B6" w14:textId="77777777" w:rsidTr="00E10B85">
        <w:tc>
          <w:tcPr>
            <w:tcW w:w="1016" w:type="dxa"/>
          </w:tcPr>
          <w:p w14:paraId="1BE45535"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050–060</w:t>
            </w:r>
          </w:p>
        </w:tc>
        <w:tc>
          <w:tcPr>
            <w:tcW w:w="7874" w:type="dxa"/>
          </w:tcPr>
          <w:p w14:paraId="21A59744" w14:textId="77777777" w:rsidR="001B1411" w:rsidRPr="00DA7625" w:rsidRDefault="00C55547">
            <w:pPr>
              <w:rPr>
                <w:rStyle w:val="InstructionsTabelleberschrift"/>
                <w:rFonts w:ascii="Times New Roman" w:hAnsi="Times New Roman"/>
                <w:sz w:val="24"/>
              </w:rPr>
            </w:pPr>
            <w:r w:rsidRPr="00DA7625">
              <w:rPr>
                <w:rStyle w:val="InstructionsTabelleberschrift"/>
                <w:rFonts w:ascii="Times New Roman" w:hAnsi="Times New Roman"/>
                <w:sz w:val="24"/>
              </w:rPr>
              <w:t>NETTÓ POZÍCIÓK (HOSSZÚ ÉS RÖVID)</w:t>
            </w:r>
          </w:p>
          <w:p w14:paraId="68A8CA57" w14:textId="05F2F580" w:rsidR="001B1411" w:rsidRPr="00DA7625" w:rsidRDefault="00C55547">
            <w:pPr>
              <w:rPr>
                <w:rFonts w:ascii="Times New Roman" w:hAnsi="Times New Roman"/>
                <w:sz w:val="24"/>
              </w:rPr>
            </w:pPr>
            <w:r w:rsidRPr="00DA7625">
              <w:rPr>
                <w:rFonts w:ascii="Times New Roman" w:hAnsi="Times New Roman"/>
                <w:sz w:val="24"/>
              </w:rPr>
              <w:t xml:space="preserve">A CRR 327., 328., 329. és 334. cikke </w:t>
            </w:r>
          </w:p>
          <w:p w14:paraId="4FC53FB3" w14:textId="4E244FB6" w:rsidR="001B1411" w:rsidRPr="00DA7625" w:rsidRDefault="00C55547">
            <w:pPr>
              <w:rPr>
                <w:rFonts w:ascii="Times New Roman" w:hAnsi="Times New Roman"/>
                <w:sz w:val="24"/>
              </w:rPr>
            </w:pPr>
            <w:r w:rsidRPr="00DA7625">
              <w:rPr>
                <w:rFonts w:ascii="Times New Roman" w:hAnsi="Times New Roman"/>
                <w:sz w:val="24"/>
              </w:rPr>
              <w:t>A hosszú és rövid pozíciók megkülönböztetésével kapcsolatban lásd a CRR 328. cikkének (2) bekezdését.</w:t>
            </w:r>
          </w:p>
        </w:tc>
      </w:tr>
      <w:tr w:rsidR="001B1411" w:rsidRPr="00DA7625" w14:paraId="588F4FF8" w14:textId="77777777" w:rsidTr="00E10B85">
        <w:tc>
          <w:tcPr>
            <w:tcW w:w="1016" w:type="dxa"/>
          </w:tcPr>
          <w:p w14:paraId="1F613F3C"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071–097</w:t>
            </w:r>
          </w:p>
        </w:tc>
        <w:tc>
          <w:tcPr>
            <w:tcW w:w="7874" w:type="dxa"/>
          </w:tcPr>
          <w:p w14:paraId="70C3ABA6" w14:textId="059BA50B" w:rsidR="001B1411" w:rsidRPr="00DA7625" w:rsidRDefault="00C55547">
            <w:pPr>
              <w:rPr>
                <w:rStyle w:val="InstructionsTabelleberschrift"/>
                <w:rFonts w:ascii="Times New Roman" w:hAnsi="Times New Roman"/>
                <w:sz w:val="24"/>
              </w:rPr>
            </w:pPr>
            <w:r w:rsidRPr="00DA7625">
              <w:rPr>
                <w:rStyle w:val="InstructionsTabelleberschrift"/>
                <w:rFonts w:ascii="Times New Roman" w:hAnsi="Times New Roman"/>
                <w:sz w:val="24"/>
              </w:rPr>
              <w:t>A NETTÓ POZÍCIÓK KOCKÁZATI SÚLY SZERINTI BONTÁSA</w:t>
            </w:r>
          </w:p>
          <w:p w14:paraId="27E6B3E0" w14:textId="6A82112E" w:rsidR="001B1411" w:rsidRPr="00DA7625" w:rsidRDefault="00133396">
            <w:pPr>
              <w:rPr>
                <w:rFonts w:ascii="Times New Roman" w:hAnsi="Times New Roman"/>
                <w:sz w:val="24"/>
              </w:rPr>
            </w:pPr>
            <w:r w:rsidRPr="00DA7625">
              <w:rPr>
                <w:rStyle w:val="InstructionsTabelleText"/>
                <w:rFonts w:ascii="Times New Roman" w:hAnsi="Times New Roman"/>
                <w:sz w:val="24"/>
              </w:rPr>
              <w:lastRenderedPageBreak/>
              <w:t>A CRR 259–262. cikke, 263. cikkének 1. és 2. táblázata, 264. cikkének 3. és 4. táblázata, valamint 266. cikke</w:t>
            </w:r>
          </w:p>
        </w:tc>
      </w:tr>
      <w:tr w:rsidR="001B1411" w:rsidRPr="00DA7625" w14:paraId="512F98C5" w14:textId="77777777" w:rsidTr="00E10B85">
        <w:tc>
          <w:tcPr>
            <w:tcW w:w="1016" w:type="dxa"/>
          </w:tcPr>
          <w:p w14:paraId="0CFBD4C2" w14:textId="77777777" w:rsidR="001B1411" w:rsidRPr="00DA7625" w:rsidRDefault="00C55547">
            <w:pPr>
              <w:rPr>
                <w:rFonts w:ascii="Times New Roman" w:hAnsi="Times New Roman"/>
                <w:sz w:val="24"/>
              </w:rPr>
            </w:pPr>
            <w:r w:rsidRPr="00DA7625">
              <w:rPr>
                <w:rFonts w:ascii="Times New Roman" w:hAnsi="Times New Roman"/>
                <w:sz w:val="24"/>
              </w:rPr>
              <w:lastRenderedPageBreak/>
              <w:t>402–406</w:t>
            </w:r>
          </w:p>
        </w:tc>
        <w:tc>
          <w:tcPr>
            <w:tcW w:w="7874" w:type="dxa"/>
          </w:tcPr>
          <w:p w14:paraId="341DCD07" w14:textId="1AD9FC1D" w:rsidR="001B1411" w:rsidRPr="00DA7625" w:rsidRDefault="00543964">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A NETTÓ POZÍCIÓK MÓDSZEREK SZERINTI BONTÁSA</w:t>
            </w:r>
          </w:p>
          <w:p w14:paraId="0BDDA5D5" w14:textId="368D3A2B" w:rsidR="001B1411" w:rsidRPr="00DA7625" w:rsidRDefault="00C55547">
            <w:pPr>
              <w:autoSpaceDE w:val="0"/>
              <w:autoSpaceDN w:val="0"/>
              <w:adjustRightInd w:val="0"/>
              <w:spacing w:before="0" w:after="0"/>
              <w:rPr>
                <w:rStyle w:val="InstructionsTabelleberschrift"/>
                <w:rFonts w:ascii="Times New Roman" w:hAnsi="Times New Roman"/>
                <w:sz w:val="24"/>
              </w:rPr>
            </w:pPr>
            <w:r w:rsidRPr="00DA7625">
              <w:rPr>
                <w:rStyle w:val="InstructionsTabelleText"/>
                <w:rFonts w:ascii="Times New Roman" w:hAnsi="Times New Roman"/>
                <w:sz w:val="24"/>
              </w:rPr>
              <w:t xml:space="preserve">A CRR 254. cikke </w:t>
            </w:r>
          </w:p>
        </w:tc>
      </w:tr>
      <w:tr w:rsidR="001B1411" w:rsidRPr="00DA7625" w14:paraId="7D6C10C3" w14:textId="77777777" w:rsidTr="00E10B85">
        <w:tc>
          <w:tcPr>
            <w:tcW w:w="1016" w:type="dxa"/>
          </w:tcPr>
          <w:p w14:paraId="2A04A6D8" w14:textId="77777777" w:rsidR="001B1411" w:rsidRPr="00DA7625" w:rsidRDefault="00C55547">
            <w:pPr>
              <w:rPr>
                <w:rFonts w:ascii="Times New Roman" w:hAnsi="Times New Roman"/>
                <w:sz w:val="24"/>
              </w:rPr>
            </w:pPr>
            <w:r w:rsidRPr="00DA7625">
              <w:rPr>
                <w:rFonts w:ascii="Times New Roman" w:hAnsi="Times New Roman"/>
                <w:sz w:val="24"/>
              </w:rPr>
              <w:t>402</w:t>
            </w:r>
          </w:p>
        </w:tc>
        <w:tc>
          <w:tcPr>
            <w:tcW w:w="7874" w:type="dxa"/>
          </w:tcPr>
          <w:p w14:paraId="0F8167D1" w14:textId="77777777" w:rsidR="001B1411" w:rsidRPr="00DA7625" w:rsidRDefault="00C55547">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SEC-IRBA</w:t>
            </w:r>
          </w:p>
          <w:p w14:paraId="10ADFA68" w14:textId="45EEE50A" w:rsidR="001B1411" w:rsidRPr="00DA7625" w:rsidRDefault="00C55547">
            <w:pPr>
              <w:autoSpaceDE w:val="0"/>
              <w:autoSpaceDN w:val="0"/>
              <w:adjustRightInd w:val="0"/>
              <w:jc w:val="left"/>
              <w:rPr>
                <w:rStyle w:val="InstructionsTabelleberschrift"/>
                <w:rFonts w:ascii="Times New Roman" w:hAnsi="Times New Roman"/>
                <w:sz w:val="24"/>
              </w:rPr>
            </w:pPr>
            <w:r w:rsidRPr="00DA7625">
              <w:rPr>
                <w:rStyle w:val="InstructionsTabelleText"/>
                <w:rFonts w:ascii="Times New Roman" w:hAnsi="Times New Roman"/>
                <w:sz w:val="24"/>
              </w:rPr>
              <w:t>A CRR 259. és 260. cikke</w:t>
            </w:r>
          </w:p>
        </w:tc>
      </w:tr>
      <w:tr w:rsidR="001B1411" w:rsidRPr="00DA7625" w14:paraId="1603725B" w14:textId="77777777" w:rsidTr="00E10B85">
        <w:tc>
          <w:tcPr>
            <w:tcW w:w="1016" w:type="dxa"/>
          </w:tcPr>
          <w:p w14:paraId="35CC16C1" w14:textId="77777777" w:rsidR="001B1411" w:rsidRPr="00DA7625" w:rsidRDefault="00C55547">
            <w:pPr>
              <w:rPr>
                <w:rFonts w:ascii="Times New Roman" w:hAnsi="Times New Roman"/>
                <w:sz w:val="24"/>
              </w:rPr>
            </w:pPr>
            <w:r w:rsidRPr="00DA7625">
              <w:rPr>
                <w:rFonts w:ascii="Times New Roman" w:hAnsi="Times New Roman"/>
                <w:sz w:val="24"/>
              </w:rPr>
              <w:t>403</w:t>
            </w:r>
          </w:p>
        </w:tc>
        <w:tc>
          <w:tcPr>
            <w:tcW w:w="7874" w:type="dxa"/>
          </w:tcPr>
          <w:p w14:paraId="7191C526" w14:textId="77777777" w:rsidR="001B1411" w:rsidRPr="00DA7625" w:rsidRDefault="00C55547">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SEC-SA</w:t>
            </w:r>
          </w:p>
          <w:p w14:paraId="7A6529D9" w14:textId="1956D893" w:rsidR="001B1411" w:rsidRPr="00DA7625" w:rsidRDefault="00C55547">
            <w:pPr>
              <w:autoSpaceDE w:val="0"/>
              <w:autoSpaceDN w:val="0"/>
              <w:adjustRightInd w:val="0"/>
              <w:jc w:val="left"/>
              <w:rPr>
                <w:rStyle w:val="InstructionsTabelleberschrift"/>
                <w:rFonts w:ascii="Times New Roman" w:hAnsi="Times New Roman"/>
                <w:sz w:val="24"/>
              </w:rPr>
            </w:pPr>
            <w:r w:rsidRPr="00DA7625">
              <w:rPr>
                <w:rStyle w:val="InstructionsTabelleText"/>
                <w:rFonts w:ascii="Times New Roman" w:hAnsi="Times New Roman"/>
                <w:sz w:val="24"/>
              </w:rPr>
              <w:t>A CRR 261. és 262. cikke</w:t>
            </w:r>
          </w:p>
        </w:tc>
      </w:tr>
      <w:tr w:rsidR="001B1411" w:rsidRPr="00DA7625" w14:paraId="787A44CC" w14:textId="77777777" w:rsidTr="00E10B85">
        <w:tc>
          <w:tcPr>
            <w:tcW w:w="1016" w:type="dxa"/>
          </w:tcPr>
          <w:p w14:paraId="1D46CCFA" w14:textId="77777777" w:rsidR="001B1411" w:rsidRPr="00DA7625" w:rsidRDefault="00C55547">
            <w:pPr>
              <w:rPr>
                <w:rFonts w:ascii="Times New Roman" w:hAnsi="Times New Roman"/>
                <w:sz w:val="24"/>
              </w:rPr>
            </w:pPr>
            <w:r w:rsidRPr="00DA7625">
              <w:rPr>
                <w:rFonts w:ascii="Times New Roman" w:hAnsi="Times New Roman"/>
                <w:sz w:val="24"/>
              </w:rPr>
              <w:t>404</w:t>
            </w:r>
          </w:p>
        </w:tc>
        <w:tc>
          <w:tcPr>
            <w:tcW w:w="7874" w:type="dxa"/>
          </w:tcPr>
          <w:p w14:paraId="403243F9" w14:textId="77777777" w:rsidR="001B1411" w:rsidRPr="00DA7625" w:rsidRDefault="00C55547">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SEC-ERBA</w:t>
            </w:r>
          </w:p>
          <w:p w14:paraId="6F6107EF" w14:textId="785C9B5C" w:rsidR="001B1411" w:rsidRPr="00DA7625" w:rsidRDefault="00C55547">
            <w:pPr>
              <w:autoSpaceDE w:val="0"/>
              <w:autoSpaceDN w:val="0"/>
              <w:adjustRightInd w:val="0"/>
              <w:jc w:val="left"/>
              <w:rPr>
                <w:rStyle w:val="InstructionsTabelleberschrift"/>
                <w:rFonts w:ascii="Times New Roman" w:hAnsi="Times New Roman"/>
                <w:sz w:val="24"/>
              </w:rPr>
            </w:pPr>
            <w:r w:rsidRPr="00DA7625">
              <w:rPr>
                <w:rStyle w:val="InstructionsTabelleText"/>
                <w:rFonts w:ascii="Times New Roman" w:hAnsi="Times New Roman"/>
                <w:sz w:val="24"/>
              </w:rPr>
              <w:t>A CRR 263. és 264. cikke</w:t>
            </w:r>
          </w:p>
        </w:tc>
      </w:tr>
      <w:tr w:rsidR="001B1411" w:rsidRPr="00DA7625" w14:paraId="74126E0F" w14:textId="77777777" w:rsidTr="00E10B85">
        <w:tc>
          <w:tcPr>
            <w:tcW w:w="1016" w:type="dxa"/>
          </w:tcPr>
          <w:p w14:paraId="05AE3262" w14:textId="77777777" w:rsidR="001B1411" w:rsidRPr="00DA7625" w:rsidRDefault="00C55547">
            <w:pPr>
              <w:rPr>
                <w:rFonts w:ascii="Times New Roman" w:hAnsi="Times New Roman"/>
                <w:sz w:val="24"/>
              </w:rPr>
            </w:pPr>
            <w:r w:rsidRPr="00DA7625">
              <w:rPr>
                <w:rFonts w:ascii="Times New Roman" w:hAnsi="Times New Roman"/>
                <w:sz w:val="24"/>
              </w:rPr>
              <w:t>405</w:t>
            </w:r>
          </w:p>
        </w:tc>
        <w:tc>
          <w:tcPr>
            <w:tcW w:w="7874" w:type="dxa"/>
          </w:tcPr>
          <w:p w14:paraId="06CF9F37" w14:textId="77777777" w:rsidR="001B1411" w:rsidRPr="00DA7625" w:rsidRDefault="00C55547">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BELSŐ ÉRTÉKELÉSI MÓDSZER</w:t>
            </w:r>
          </w:p>
          <w:p w14:paraId="4E6E2F1E" w14:textId="2D5AFE97" w:rsidR="001B1411" w:rsidRPr="00DA7625" w:rsidRDefault="00C55547">
            <w:pPr>
              <w:autoSpaceDE w:val="0"/>
              <w:autoSpaceDN w:val="0"/>
              <w:adjustRightInd w:val="0"/>
              <w:jc w:val="left"/>
              <w:rPr>
                <w:rStyle w:val="InstructionsTabelleberschrift"/>
                <w:rFonts w:ascii="Times New Roman" w:hAnsi="Times New Roman"/>
                <w:sz w:val="24"/>
              </w:rPr>
            </w:pPr>
            <w:r w:rsidRPr="00DA7625">
              <w:rPr>
                <w:rStyle w:val="InstructionsTabelleText"/>
                <w:rFonts w:ascii="Times New Roman" w:hAnsi="Times New Roman"/>
                <w:sz w:val="24"/>
              </w:rPr>
              <w:t>A CRR 254. és 265. cikke, valamint 266. cikkének (5) bekezdése.</w:t>
            </w:r>
          </w:p>
        </w:tc>
      </w:tr>
      <w:tr w:rsidR="001B1411" w:rsidRPr="00DA7625" w14:paraId="2935A030" w14:textId="77777777" w:rsidTr="00E10B85">
        <w:tc>
          <w:tcPr>
            <w:tcW w:w="1016" w:type="dxa"/>
          </w:tcPr>
          <w:p w14:paraId="02151F54" w14:textId="77777777" w:rsidR="001B1411" w:rsidRPr="00DA7625" w:rsidRDefault="00C55547">
            <w:pPr>
              <w:rPr>
                <w:rFonts w:ascii="Times New Roman" w:hAnsi="Times New Roman"/>
                <w:sz w:val="24"/>
              </w:rPr>
            </w:pPr>
            <w:r w:rsidRPr="00DA7625">
              <w:rPr>
                <w:rFonts w:ascii="Times New Roman" w:hAnsi="Times New Roman"/>
                <w:sz w:val="24"/>
              </w:rPr>
              <w:t>406</w:t>
            </w:r>
          </w:p>
        </w:tc>
        <w:tc>
          <w:tcPr>
            <w:tcW w:w="7874" w:type="dxa"/>
          </w:tcPr>
          <w:p w14:paraId="7F5F7FF3" w14:textId="77777777" w:rsidR="001B1411" w:rsidRPr="00DA7625" w:rsidRDefault="00C55547">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EGYÉB (KOCKÁZATI SÚLY = 1 250 %)</w:t>
            </w:r>
          </w:p>
          <w:p w14:paraId="5C224172" w14:textId="0BD89175" w:rsidR="001B1411" w:rsidRPr="00DA7625" w:rsidRDefault="00C55547">
            <w:pPr>
              <w:autoSpaceDE w:val="0"/>
              <w:autoSpaceDN w:val="0"/>
              <w:adjustRightInd w:val="0"/>
              <w:jc w:val="left"/>
              <w:rPr>
                <w:rStyle w:val="InstructionsTabelleberschrift"/>
                <w:rFonts w:ascii="Times New Roman" w:hAnsi="Times New Roman"/>
                <w:sz w:val="24"/>
              </w:rPr>
            </w:pPr>
            <w:r w:rsidRPr="00DA7625">
              <w:rPr>
                <w:rStyle w:val="InstructionsTabelleText"/>
                <w:rFonts w:ascii="Times New Roman" w:hAnsi="Times New Roman"/>
                <w:sz w:val="24"/>
              </w:rPr>
              <w:t>A CRR 254. cikkének (7) bekezdése</w:t>
            </w:r>
          </w:p>
        </w:tc>
      </w:tr>
      <w:tr w:rsidR="001B1411" w:rsidRPr="00DA7625" w14:paraId="415733AE" w14:textId="77777777" w:rsidTr="00E10B85">
        <w:tc>
          <w:tcPr>
            <w:tcW w:w="1016" w:type="dxa"/>
          </w:tcPr>
          <w:p w14:paraId="3814AFD4" w14:textId="0E50F3FF" w:rsidR="001B1411" w:rsidRPr="00DA7625" w:rsidRDefault="00C55547">
            <w:pPr>
              <w:rPr>
                <w:rFonts w:ascii="Times New Roman" w:hAnsi="Times New Roman"/>
                <w:sz w:val="24"/>
              </w:rPr>
            </w:pPr>
            <w:r w:rsidRPr="00DA7625">
              <w:rPr>
                <w:rFonts w:ascii="Times New Roman" w:hAnsi="Times New Roman"/>
                <w:sz w:val="24"/>
              </w:rPr>
              <w:t>410–420</w:t>
            </w:r>
          </w:p>
        </w:tc>
        <w:tc>
          <w:tcPr>
            <w:tcW w:w="7874" w:type="dxa"/>
          </w:tcPr>
          <w:p w14:paraId="0CAA16CF" w14:textId="77777777" w:rsidR="001B1411" w:rsidRPr="00DA7625" w:rsidRDefault="00C55547">
            <w:pPr>
              <w:rPr>
                <w:rStyle w:val="InstructionsTabelleberschrift"/>
                <w:rFonts w:ascii="Times New Roman" w:hAnsi="Times New Roman"/>
                <w:sz w:val="24"/>
              </w:rPr>
            </w:pPr>
            <w:r w:rsidRPr="00DA7625">
              <w:rPr>
                <w:rStyle w:val="InstructionsTabelleberschrift"/>
                <w:rFonts w:ascii="Times New Roman" w:hAnsi="Times New Roman"/>
                <w:sz w:val="24"/>
              </w:rPr>
              <w:t>FELSŐ KORLÁT FIGYELEMBEVÉTELE ELŐTT – SÚLYOZOTT NETTÓ HOSSZÚ ÉS RÖVID POZÍCIÓK</w:t>
            </w:r>
          </w:p>
          <w:p w14:paraId="665E0E4B" w14:textId="0378EE50" w:rsidR="001B1411" w:rsidRPr="00DA7625" w:rsidRDefault="00C55547">
            <w:pPr>
              <w:rPr>
                <w:rFonts w:ascii="Times New Roman" w:hAnsi="Times New Roman"/>
                <w:sz w:val="24"/>
              </w:rPr>
            </w:pPr>
            <w:r w:rsidRPr="00DA7625">
              <w:rPr>
                <w:rFonts w:ascii="Times New Roman" w:hAnsi="Times New Roman"/>
                <w:sz w:val="24"/>
              </w:rPr>
              <w:t>A CRR 338. cikke, a CRR 335. cikkében biztosított jogosultság figyelmen kívül hagyásával</w:t>
            </w:r>
          </w:p>
        </w:tc>
      </w:tr>
      <w:tr w:rsidR="001B1411" w:rsidRPr="00DA7625" w14:paraId="7E47DA23" w14:textId="77777777" w:rsidTr="00E10B85">
        <w:tc>
          <w:tcPr>
            <w:tcW w:w="1016" w:type="dxa"/>
          </w:tcPr>
          <w:p w14:paraId="792E9786" w14:textId="515B2BDB" w:rsidR="001B1411" w:rsidRPr="00DA7625" w:rsidRDefault="00C55547">
            <w:pPr>
              <w:rPr>
                <w:rFonts w:ascii="Times New Roman" w:hAnsi="Times New Roman"/>
                <w:sz w:val="24"/>
              </w:rPr>
            </w:pPr>
            <w:r w:rsidRPr="00DA7625">
              <w:rPr>
                <w:rFonts w:ascii="Times New Roman" w:hAnsi="Times New Roman"/>
                <w:sz w:val="24"/>
              </w:rPr>
              <w:t>430-440</w:t>
            </w:r>
          </w:p>
        </w:tc>
        <w:tc>
          <w:tcPr>
            <w:tcW w:w="7874" w:type="dxa"/>
          </w:tcPr>
          <w:p w14:paraId="0B77DEE0" w14:textId="77777777" w:rsidR="001B1411" w:rsidRPr="00DA7625" w:rsidRDefault="00C55547">
            <w:pPr>
              <w:rPr>
                <w:rStyle w:val="InstructionsTabelleberschrift"/>
                <w:rFonts w:ascii="Times New Roman" w:hAnsi="Times New Roman"/>
                <w:sz w:val="24"/>
              </w:rPr>
            </w:pPr>
            <w:r w:rsidRPr="00DA7625">
              <w:rPr>
                <w:rStyle w:val="InstructionsTabelleberschrift"/>
                <w:rFonts w:ascii="Times New Roman" w:hAnsi="Times New Roman"/>
                <w:sz w:val="24"/>
              </w:rPr>
              <w:t>FELSŐ KORLÁT FIGYELEMBEVÉTELE UTÁN – SÚLYOZOTT NETTÓ HOSSZÚ ÉS RÖVID POZÍCIÓK</w:t>
            </w:r>
          </w:p>
          <w:p w14:paraId="10AE0022" w14:textId="0A570F77" w:rsidR="001B1411" w:rsidRPr="00DA7625" w:rsidRDefault="00C55547">
            <w:pPr>
              <w:rPr>
                <w:rFonts w:ascii="Times New Roman" w:hAnsi="Times New Roman"/>
                <w:sz w:val="24"/>
              </w:rPr>
            </w:pPr>
            <w:r w:rsidRPr="00DA7625">
              <w:rPr>
                <w:rFonts w:ascii="Times New Roman" w:hAnsi="Times New Roman"/>
                <w:sz w:val="24"/>
              </w:rPr>
              <w:t xml:space="preserve">A CRR 338. cikke, a CRR 335. cikkében biztosított jogosultság figyelembevételével </w:t>
            </w:r>
          </w:p>
        </w:tc>
      </w:tr>
      <w:tr w:rsidR="001B1411" w:rsidRPr="00DA7625" w14:paraId="6533939A" w14:textId="77777777" w:rsidTr="00E10B85">
        <w:tc>
          <w:tcPr>
            <w:tcW w:w="1016" w:type="dxa"/>
          </w:tcPr>
          <w:p w14:paraId="7B641B84" w14:textId="48F90AB1" w:rsidR="001B1411" w:rsidRPr="00DA7625" w:rsidRDefault="00C55547">
            <w:pPr>
              <w:rPr>
                <w:rFonts w:ascii="Times New Roman" w:hAnsi="Times New Roman"/>
                <w:sz w:val="24"/>
              </w:rPr>
            </w:pPr>
            <w:r w:rsidRPr="00DA7625">
              <w:rPr>
                <w:rFonts w:ascii="Times New Roman" w:hAnsi="Times New Roman"/>
                <w:sz w:val="24"/>
              </w:rPr>
              <w:t>450</w:t>
            </w:r>
          </w:p>
        </w:tc>
        <w:tc>
          <w:tcPr>
            <w:tcW w:w="7874" w:type="dxa"/>
          </w:tcPr>
          <w:p w14:paraId="4A808D57" w14:textId="77777777" w:rsidR="001B1411" w:rsidRPr="00DA7625" w:rsidRDefault="00C55547">
            <w:pPr>
              <w:rPr>
                <w:rStyle w:val="InstructionsTabelleberschrift"/>
                <w:rFonts w:ascii="Times New Roman" w:hAnsi="Times New Roman"/>
                <w:sz w:val="24"/>
              </w:rPr>
            </w:pPr>
            <w:r w:rsidRPr="00DA7625">
              <w:rPr>
                <w:rStyle w:val="InstructionsTabelleberschrift"/>
                <w:rFonts w:ascii="Times New Roman" w:hAnsi="Times New Roman"/>
                <w:sz w:val="24"/>
              </w:rPr>
              <w:t>TELJES SZAVATOLÓTŐKE-KÖVETELMÉNY</w:t>
            </w:r>
          </w:p>
          <w:p w14:paraId="40BB1C25" w14:textId="77777777" w:rsidR="001B1411" w:rsidRPr="00DA7625" w:rsidRDefault="00C55547">
            <w:pPr>
              <w:rPr>
                <w:rFonts w:ascii="Times New Roman" w:hAnsi="Times New Roman"/>
                <w:sz w:val="24"/>
              </w:rPr>
            </w:pPr>
            <w:r w:rsidRPr="00DA7625">
              <w:rPr>
                <w:rFonts w:ascii="Times New Roman" w:hAnsi="Times New Roman"/>
                <w:sz w:val="24"/>
              </w:rPr>
              <w:t>A szavatolótőke-követelmény az i. kizárólag a nettó hosszú pozíciók egyedi kockázatához kapcsolódó szavatolótőke-követelmény (430. oszlop), valamint ii. kizárólag a nettó rövid pozíciók egyedi kockázatához kapcsolódó szavatolótőke-követelmény (440. oszlop) közül a nagyobb érték.</w:t>
            </w:r>
          </w:p>
        </w:tc>
      </w:tr>
    </w:tbl>
    <w:p w14:paraId="06B264D3" w14:textId="77777777" w:rsidR="001B1411" w:rsidRPr="00DA7625" w:rsidRDefault="001B1411">
      <w:pPr>
        <w:autoSpaceDE w:val="0"/>
        <w:autoSpaceDN w:val="0"/>
        <w:adjustRightInd w:val="0"/>
        <w:spacing w:before="0" w:after="0"/>
        <w:rPr>
          <w:rFonts w:ascii="Times New Roman" w:hAnsi="Times New Roman"/>
          <w:sz w:val="24"/>
        </w:rPr>
      </w:pPr>
    </w:p>
    <w:p w14:paraId="04D29905" w14:textId="77777777" w:rsidR="001B1411" w:rsidRPr="00DA7625" w:rsidRDefault="001B1411">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1B1411" w:rsidRPr="00DA7625" w14:paraId="595BF6EB" w14:textId="77777777" w:rsidTr="00E10B85">
        <w:trPr>
          <w:trHeight w:val="642"/>
        </w:trPr>
        <w:tc>
          <w:tcPr>
            <w:tcW w:w="9212" w:type="dxa"/>
            <w:gridSpan w:val="2"/>
            <w:shd w:val="clear" w:color="auto" w:fill="CCCCCC"/>
          </w:tcPr>
          <w:p w14:paraId="1E45084B" w14:textId="77777777" w:rsidR="001B1411" w:rsidRPr="00DA7625" w:rsidRDefault="00C55547">
            <w:pPr>
              <w:autoSpaceDE w:val="0"/>
              <w:autoSpaceDN w:val="0"/>
              <w:adjustRightInd w:val="0"/>
              <w:spacing w:after="0"/>
              <w:rPr>
                <w:rFonts w:ascii="Times New Roman" w:hAnsi="Times New Roman"/>
                <w:b/>
                <w:sz w:val="24"/>
              </w:rPr>
            </w:pPr>
            <w:r w:rsidRPr="00DA7625">
              <w:rPr>
                <w:rFonts w:ascii="Times New Roman" w:hAnsi="Times New Roman"/>
                <w:b/>
                <w:sz w:val="24"/>
              </w:rPr>
              <w:t>Sor</w:t>
            </w:r>
          </w:p>
        </w:tc>
      </w:tr>
      <w:tr w:rsidR="001B1411" w:rsidRPr="00DA7625" w14:paraId="4355B670" w14:textId="77777777" w:rsidTr="00E10B85">
        <w:tc>
          <w:tcPr>
            <w:tcW w:w="1008" w:type="dxa"/>
          </w:tcPr>
          <w:p w14:paraId="381C6EC3"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010</w:t>
            </w:r>
          </w:p>
        </w:tc>
        <w:tc>
          <w:tcPr>
            <w:tcW w:w="8204" w:type="dxa"/>
          </w:tcPr>
          <w:p w14:paraId="35D1FD11" w14:textId="77777777" w:rsidR="001B1411" w:rsidRPr="00DA7625" w:rsidRDefault="00C55547">
            <w:pPr>
              <w:rPr>
                <w:rStyle w:val="InstructionsTabelleberschrift"/>
                <w:rFonts w:ascii="Times New Roman" w:hAnsi="Times New Roman"/>
                <w:sz w:val="24"/>
              </w:rPr>
            </w:pPr>
            <w:r w:rsidRPr="00DA7625">
              <w:rPr>
                <w:rStyle w:val="InstructionsTabelleberschrift"/>
                <w:rFonts w:ascii="Times New Roman" w:hAnsi="Times New Roman"/>
                <w:sz w:val="24"/>
              </w:rPr>
              <w:t>TELJES KITETTSÉG</w:t>
            </w:r>
          </w:p>
          <w:p w14:paraId="53E640ED" w14:textId="77777777" w:rsidR="001B1411" w:rsidRPr="00DA7625" w:rsidRDefault="00C55547">
            <w:pPr>
              <w:rPr>
                <w:rFonts w:ascii="Times New Roman" w:hAnsi="Times New Roman"/>
                <w:sz w:val="24"/>
              </w:rPr>
            </w:pPr>
            <w:r w:rsidRPr="00DA7625">
              <w:rPr>
                <w:rFonts w:ascii="Times New Roman" w:hAnsi="Times New Roman"/>
                <w:sz w:val="24"/>
              </w:rPr>
              <w:t>A korrelációkereskedési portfólióban nyilvántartott, fennálló pozíciók összértéke az értékpapírosítást kezdeményező, befektető vagy szponzor szerepét betöltő intézmény adatszolgáltatása szerint.</w:t>
            </w:r>
          </w:p>
        </w:tc>
      </w:tr>
      <w:tr w:rsidR="001B1411" w:rsidRPr="00DA7625" w14:paraId="3938E94C" w14:textId="77777777" w:rsidTr="00E10B85">
        <w:tc>
          <w:tcPr>
            <w:tcW w:w="1008" w:type="dxa"/>
          </w:tcPr>
          <w:p w14:paraId="4A44C792"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020-040</w:t>
            </w:r>
          </w:p>
        </w:tc>
        <w:tc>
          <w:tcPr>
            <w:tcW w:w="8204" w:type="dxa"/>
          </w:tcPr>
          <w:p w14:paraId="4BA9008F" w14:textId="77777777" w:rsidR="001B1411" w:rsidRPr="00DA7625" w:rsidRDefault="00C55547">
            <w:pPr>
              <w:rPr>
                <w:rStyle w:val="InstructionsTabelleberschrift"/>
                <w:rFonts w:ascii="Times New Roman" w:hAnsi="Times New Roman"/>
                <w:sz w:val="24"/>
              </w:rPr>
            </w:pPr>
            <w:r w:rsidRPr="00DA7625">
              <w:rPr>
                <w:rStyle w:val="InstructionsTabelleberschrift"/>
                <w:rFonts w:ascii="Times New Roman" w:hAnsi="Times New Roman"/>
                <w:sz w:val="24"/>
              </w:rPr>
              <w:t>ÉRTÉKPAPÍROSÍTÁST KEZDEMÉNYEZŐ</w:t>
            </w:r>
          </w:p>
          <w:p w14:paraId="2D874398" w14:textId="57A7E244" w:rsidR="001B1411" w:rsidRPr="00DA7625" w:rsidRDefault="00E64BFE">
            <w:pPr>
              <w:rPr>
                <w:rFonts w:ascii="Times New Roman" w:hAnsi="Times New Roman"/>
                <w:sz w:val="24"/>
              </w:rPr>
            </w:pPr>
            <w:r w:rsidRPr="00DA7625">
              <w:rPr>
                <w:rFonts w:ascii="Times New Roman" w:hAnsi="Times New Roman"/>
                <w:sz w:val="24"/>
              </w:rPr>
              <w:t xml:space="preserve">A CRR 4. cikke (1) bekezdésének 13. pontja </w:t>
            </w:r>
          </w:p>
        </w:tc>
      </w:tr>
      <w:tr w:rsidR="001B1411" w:rsidRPr="00DA7625" w14:paraId="1B3F2041" w14:textId="77777777" w:rsidTr="00E10B85">
        <w:tc>
          <w:tcPr>
            <w:tcW w:w="1008" w:type="dxa"/>
          </w:tcPr>
          <w:p w14:paraId="575AE299"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050–070</w:t>
            </w:r>
          </w:p>
        </w:tc>
        <w:tc>
          <w:tcPr>
            <w:tcW w:w="8204" w:type="dxa"/>
          </w:tcPr>
          <w:p w14:paraId="54B3E731" w14:textId="77777777" w:rsidR="001B1411" w:rsidRPr="00DA7625" w:rsidRDefault="00C55547">
            <w:pPr>
              <w:rPr>
                <w:rStyle w:val="InstructionsTabelleberschrift"/>
                <w:rFonts w:ascii="Times New Roman" w:hAnsi="Times New Roman"/>
                <w:sz w:val="24"/>
              </w:rPr>
            </w:pPr>
            <w:r w:rsidRPr="00DA7625">
              <w:rPr>
                <w:rStyle w:val="InstructionsTabelleberschrift"/>
                <w:rFonts w:ascii="Times New Roman" w:hAnsi="Times New Roman"/>
                <w:sz w:val="24"/>
              </w:rPr>
              <w:t>BEFEKTETŐ</w:t>
            </w:r>
          </w:p>
          <w:p w14:paraId="14B913F3" w14:textId="5EA02CDC" w:rsidR="001B1411" w:rsidRPr="00DA7625" w:rsidRDefault="00C55547">
            <w:pPr>
              <w:rPr>
                <w:rFonts w:ascii="Times New Roman" w:hAnsi="Times New Roman"/>
                <w:sz w:val="24"/>
              </w:rPr>
            </w:pPr>
            <w:r w:rsidRPr="00DA7625">
              <w:rPr>
                <w:rFonts w:ascii="Times New Roman" w:hAnsi="Times New Roman"/>
                <w:sz w:val="24"/>
              </w:rPr>
              <w:t>Olyan hitelintézet, amely értékpapírosítási pozícióval rendelkezik egy olyan értékpapírosítási ügyletben, amelyben sem az értékpapírosítást kezdeményező, sem a szponzor, sem az eredeti hitelező szerepét nem tölti be.</w:t>
            </w:r>
          </w:p>
        </w:tc>
      </w:tr>
      <w:tr w:rsidR="001B1411" w:rsidRPr="00DA7625" w14:paraId="64F90258" w14:textId="77777777" w:rsidTr="00E10B85">
        <w:tc>
          <w:tcPr>
            <w:tcW w:w="1008" w:type="dxa"/>
          </w:tcPr>
          <w:p w14:paraId="5FC52252"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080–100</w:t>
            </w:r>
          </w:p>
        </w:tc>
        <w:tc>
          <w:tcPr>
            <w:tcW w:w="8204" w:type="dxa"/>
          </w:tcPr>
          <w:p w14:paraId="28C29349" w14:textId="77777777" w:rsidR="001B1411" w:rsidRPr="00DA7625" w:rsidRDefault="00C55547">
            <w:pPr>
              <w:rPr>
                <w:rStyle w:val="InstructionsTabelleberschrift"/>
                <w:rFonts w:ascii="Times New Roman" w:hAnsi="Times New Roman"/>
                <w:sz w:val="24"/>
              </w:rPr>
            </w:pPr>
            <w:r w:rsidRPr="00DA7625">
              <w:rPr>
                <w:rStyle w:val="InstructionsTabelleberschrift"/>
                <w:rFonts w:ascii="Times New Roman" w:hAnsi="Times New Roman"/>
                <w:sz w:val="24"/>
              </w:rPr>
              <w:t>SZPONZOR</w:t>
            </w:r>
          </w:p>
          <w:p w14:paraId="4B9915C9" w14:textId="1844E04E" w:rsidR="001B1411" w:rsidRPr="00DA7625" w:rsidRDefault="00E64BFE">
            <w:pPr>
              <w:rPr>
                <w:rFonts w:ascii="Times New Roman" w:hAnsi="Times New Roman"/>
                <w:sz w:val="24"/>
              </w:rPr>
            </w:pPr>
            <w:r w:rsidRPr="00DA7625">
              <w:rPr>
                <w:rFonts w:ascii="Times New Roman" w:hAnsi="Times New Roman"/>
                <w:sz w:val="24"/>
              </w:rPr>
              <w:t xml:space="preserve">A CRR 4. cikke (1) bekezdésének 14. pontja </w:t>
            </w:r>
          </w:p>
          <w:p w14:paraId="4AE597AF" w14:textId="3DCDD088" w:rsidR="001B1411" w:rsidRPr="00DA7625" w:rsidRDefault="005F3BBE">
            <w:pPr>
              <w:rPr>
                <w:rFonts w:ascii="Times New Roman" w:hAnsi="Times New Roman"/>
                <w:sz w:val="24"/>
              </w:rPr>
            </w:pPr>
            <w:r w:rsidRPr="00DA7625">
              <w:rPr>
                <w:rFonts w:ascii="Times New Roman" w:hAnsi="Times New Roman"/>
                <w:sz w:val="24"/>
              </w:rPr>
              <w:t>Annak a szponzornak, aki saját eszközt is értékpapírosít, a saját értékpapírosított eszközökkel kapcsolatos információkat az értékpapírosítást kezdeményezőre vonatkozó sorokban kell megadnia.</w:t>
            </w:r>
          </w:p>
        </w:tc>
      </w:tr>
      <w:tr w:rsidR="001B1411" w:rsidRPr="00DA7625" w14:paraId="5F06ED76" w14:textId="77777777" w:rsidTr="00E10B85">
        <w:tc>
          <w:tcPr>
            <w:tcW w:w="1008" w:type="dxa"/>
          </w:tcPr>
          <w:p w14:paraId="3FDBC7C8"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030, 060 és 090</w:t>
            </w:r>
          </w:p>
        </w:tc>
        <w:tc>
          <w:tcPr>
            <w:tcW w:w="8204" w:type="dxa"/>
          </w:tcPr>
          <w:p w14:paraId="6D8C0704" w14:textId="1BC5BEA9" w:rsidR="001B1411" w:rsidRPr="00DA7625" w:rsidRDefault="00C55547">
            <w:pPr>
              <w:rPr>
                <w:rStyle w:val="InstructionsTabelleberschrift"/>
                <w:rFonts w:ascii="Times New Roman" w:hAnsi="Times New Roman"/>
                <w:sz w:val="24"/>
              </w:rPr>
            </w:pPr>
            <w:r w:rsidRPr="00DA7625">
              <w:rPr>
                <w:rStyle w:val="InstructionsTabelleberschrift"/>
                <w:rFonts w:ascii="Times New Roman" w:hAnsi="Times New Roman"/>
                <w:sz w:val="24"/>
              </w:rPr>
              <w:t>ÉRTÉKPAPÍROSÍTÁSI POZÍCIÓK</w:t>
            </w:r>
          </w:p>
          <w:p w14:paraId="2FF6099C" w14:textId="36ABC9C4" w:rsidR="001B1411" w:rsidRPr="00DA7625" w:rsidRDefault="00C55547">
            <w:pPr>
              <w:rPr>
                <w:rFonts w:ascii="Times New Roman" w:hAnsi="Times New Roman"/>
                <w:sz w:val="24"/>
              </w:rPr>
            </w:pPr>
            <w:r w:rsidRPr="00DA7625">
              <w:rPr>
                <w:rFonts w:ascii="Times New Roman" w:hAnsi="Times New Roman"/>
                <w:sz w:val="24"/>
              </w:rPr>
              <w:t>A korrelációkereskedési portfólió értékpapírosításokat, n-edik nemteljesítéskor lehívható hitelderivatívákat, valamint esetlegesen a CRR 338. cikkének (2) és (3) bekezdésében előírt kritériumokat teljesítő egyéb fedezeti pozíciókat foglal magában.</w:t>
            </w:r>
          </w:p>
          <w:p w14:paraId="5739C9FE" w14:textId="77777777" w:rsidR="001B1411" w:rsidRPr="00DA7625" w:rsidRDefault="00C55547">
            <w:pPr>
              <w:rPr>
                <w:rFonts w:ascii="Times New Roman" w:hAnsi="Times New Roman"/>
                <w:sz w:val="24"/>
              </w:rPr>
            </w:pPr>
            <w:r w:rsidRPr="00DA7625">
              <w:rPr>
                <w:rFonts w:ascii="Times New Roman" w:hAnsi="Times New Roman"/>
                <w:sz w:val="24"/>
              </w:rPr>
              <w:t>Az értékpapírosítási kitettségek arányos részesedést biztosító származtatott ügyleteit, valamint a CTP-pozíciókat fedező pozíciókat az „Egyéb CTP-pozíciók” sorban kell feltüntetni.</w:t>
            </w:r>
          </w:p>
        </w:tc>
      </w:tr>
      <w:tr w:rsidR="001B1411" w:rsidRPr="00DA7625" w14:paraId="184CDEEA" w14:textId="77777777" w:rsidTr="00E10B85">
        <w:tc>
          <w:tcPr>
            <w:tcW w:w="1008" w:type="dxa"/>
          </w:tcPr>
          <w:p w14:paraId="27D0C00E"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110</w:t>
            </w:r>
          </w:p>
        </w:tc>
        <w:tc>
          <w:tcPr>
            <w:tcW w:w="8204" w:type="dxa"/>
          </w:tcPr>
          <w:p w14:paraId="0E649A0D" w14:textId="77777777" w:rsidR="001B1411" w:rsidRPr="00DA7625" w:rsidRDefault="00C55547">
            <w:pPr>
              <w:rPr>
                <w:rStyle w:val="InstructionsTabelleberschrift"/>
                <w:rFonts w:ascii="Times New Roman" w:hAnsi="Times New Roman"/>
                <w:sz w:val="24"/>
              </w:rPr>
            </w:pPr>
            <w:r w:rsidRPr="00DA7625">
              <w:rPr>
                <w:rStyle w:val="InstructionsTabelleberschrift"/>
                <w:rFonts w:ascii="Times New Roman" w:hAnsi="Times New Roman"/>
                <w:sz w:val="24"/>
              </w:rPr>
              <w:t>N-EDIK NEMTELJESÍTÉSKOR LEHÍVHATÓ HITELDERIVATÍVÁK</w:t>
            </w:r>
          </w:p>
          <w:p w14:paraId="4476AAB5" w14:textId="77684023" w:rsidR="001B1411" w:rsidRPr="00DA7625" w:rsidRDefault="00C55547">
            <w:pPr>
              <w:rPr>
                <w:rFonts w:ascii="Times New Roman" w:hAnsi="Times New Roman"/>
                <w:sz w:val="24"/>
              </w:rPr>
            </w:pPr>
            <w:r w:rsidRPr="00DA7625">
              <w:rPr>
                <w:rFonts w:ascii="Times New Roman" w:hAnsi="Times New Roman"/>
                <w:sz w:val="24"/>
              </w:rPr>
              <w:t>Itt az n-edik nemteljesítéskor lehívható hitelderivatívákat, valamint az azokat a CRR 347. cikke szerint fedező n-edik nemteljesítéskor lehívható hitelderivatívákat kell megadni.</w:t>
            </w:r>
          </w:p>
          <w:p w14:paraId="177FAE42" w14:textId="77777777" w:rsidR="001B1411" w:rsidRPr="00DA7625" w:rsidRDefault="00C55547">
            <w:pPr>
              <w:rPr>
                <w:rFonts w:ascii="Times New Roman" w:hAnsi="Times New Roman"/>
                <w:sz w:val="24"/>
              </w:rPr>
            </w:pPr>
            <w:r w:rsidRPr="00DA7625">
              <w:rPr>
                <w:rFonts w:ascii="Times New Roman" w:hAnsi="Times New Roman"/>
                <w:sz w:val="24"/>
              </w:rPr>
              <w:t>Az értékpapírosítást kezdeményező, a befektető és szponzor pozíciói az n-edik nemteljesítéskor lehívható hitelderivatívákkal nem egyeztethetők össze. Emiatt az értékpapírosítási pozícióknál alkalmazott megbontás az n-edik nemteljesítéskor lehívható hitelderivatívák esetében nem alkalmazható.</w:t>
            </w:r>
          </w:p>
        </w:tc>
      </w:tr>
      <w:tr w:rsidR="001B1411" w:rsidRPr="00DA7625" w14:paraId="29930146" w14:textId="77777777" w:rsidTr="00E10B85">
        <w:tc>
          <w:tcPr>
            <w:tcW w:w="1008" w:type="dxa"/>
          </w:tcPr>
          <w:p w14:paraId="58106EAE" w14:textId="77777777" w:rsidR="001B1411" w:rsidRPr="00DA7625" w:rsidRDefault="00C55547">
            <w:pPr>
              <w:autoSpaceDE w:val="0"/>
              <w:autoSpaceDN w:val="0"/>
              <w:adjustRightInd w:val="0"/>
              <w:spacing w:before="0" w:after="0"/>
              <w:rPr>
                <w:rFonts w:ascii="Times New Roman" w:hAnsi="Times New Roman"/>
                <w:sz w:val="24"/>
              </w:rPr>
            </w:pPr>
            <w:r w:rsidRPr="00DA7625">
              <w:rPr>
                <w:rFonts w:ascii="Times New Roman" w:hAnsi="Times New Roman"/>
                <w:sz w:val="24"/>
              </w:rPr>
              <w:t>040, 070, 100 és 120</w:t>
            </w:r>
          </w:p>
        </w:tc>
        <w:tc>
          <w:tcPr>
            <w:tcW w:w="8204" w:type="dxa"/>
          </w:tcPr>
          <w:p w14:paraId="0972E17B" w14:textId="77777777" w:rsidR="001B1411" w:rsidRPr="00DA7625" w:rsidRDefault="00C55547">
            <w:pPr>
              <w:rPr>
                <w:rStyle w:val="InstructionsTabelleberschrift"/>
                <w:rFonts w:ascii="Times New Roman" w:hAnsi="Times New Roman"/>
                <w:sz w:val="24"/>
              </w:rPr>
            </w:pPr>
            <w:r w:rsidRPr="00DA7625">
              <w:rPr>
                <w:rStyle w:val="InstructionsTabelleberschrift"/>
                <w:rFonts w:ascii="Times New Roman" w:hAnsi="Times New Roman"/>
                <w:sz w:val="24"/>
              </w:rPr>
              <w:t>EGYÉB CTP-POZÍCIÓK</w:t>
            </w:r>
          </w:p>
          <w:p w14:paraId="1740DE1D" w14:textId="75717A0B" w:rsidR="001B1411" w:rsidRPr="00DA7625" w:rsidRDefault="00C55547">
            <w:pPr>
              <w:rPr>
                <w:rFonts w:ascii="Times New Roman" w:hAnsi="Times New Roman"/>
                <w:sz w:val="24"/>
              </w:rPr>
            </w:pPr>
            <w:r w:rsidRPr="00DA7625">
              <w:rPr>
                <w:rFonts w:ascii="Times New Roman" w:hAnsi="Times New Roman"/>
                <w:sz w:val="24"/>
              </w:rPr>
              <w:t xml:space="preserve">Az alábbi pozíciók tartoznak ide: </w:t>
            </w:r>
          </w:p>
          <w:p w14:paraId="2E95BB61" w14:textId="77777777" w:rsidR="001B1411" w:rsidRPr="00DA7625" w:rsidRDefault="00C55547">
            <w:pPr>
              <w:tabs>
                <w:tab w:val="left" w:pos="720"/>
              </w:tabs>
              <w:ind w:left="720" w:hanging="360"/>
              <w:rPr>
                <w:rFonts w:ascii="Times New Roman" w:hAnsi="Times New Roman"/>
                <w:sz w:val="24"/>
              </w:rPr>
            </w:pPr>
            <w:r w:rsidRPr="00DA7625">
              <w:rPr>
                <w:rFonts w:ascii="Symbol" w:hAnsi="Symbol"/>
                <w:sz w:val="24"/>
              </w:rPr>
              <w:t></w:t>
            </w:r>
            <w:r w:rsidRPr="00DA7625">
              <w:rPr>
                <w:rFonts w:ascii="Symbol" w:hAnsi="Symbol"/>
                <w:sz w:val="24"/>
              </w:rPr>
              <w:tab/>
            </w:r>
            <w:r w:rsidRPr="00DA7625">
              <w:rPr>
                <w:rFonts w:ascii="Times New Roman" w:hAnsi="Times New Roman"/>
                <w:sz w:val="24"/>
              </w:rPr>
              <w:t>az értékpapírosítási kitettségek arányos részesedést biztosító származtatott ügyletei, valamint a CTP-pozíciókat fedező pozíciók;</w:t>
            </w:r>
          </w:p>
          <w:p w14:paraId="41423E99" w14:textId="1D63F79A" w:rsidR="001B1411" w:rsidRPr="00DA7625" w:rsidRDefault="00C55547">
            <w:pPr>
              <w:tabs>
                <w:tab w:val="left" w:pos="720"/>
              </w:tabs>
              <w:ind w:left="720" w:hanging="360"/>
              <w:rPr>
                <w:rFonts w:ascii="Times New Roman" w:hAnsi="Times New Roman"/>
                <w:sz w:val="24"/>
              </w:rPr>
            </w:pPr>
            <w:r w:rsidRPr="00DA7625">
              <w:rPr>
                <w:rFonts w:ascii="Symbol" w:hAnsi="Symbol"/>
                <w:sz w:val="24"/>
              </w:rPr>
              <w:t></w:t>
            </w:r>
            <w:r w:rsidRPr="00DA7625">
              <w:rPr>
                <w:rFonts w:ascii="Symbol" w:hAnsi="Symbol"/>
                <w:sz w:val="24"/>
              </w:rPr>
              <w:tab/>
            </w:r>
            <w:r w:rsidRPr="00DA7625">
              <w:rPr>
                <w:rFonts w:ascii="Times New Roman" w:hAnsi="Times New Roman"/>
                <w:sz w:val="24"/>
              </w:rPr>
              <w:t>a CRR 346. cikke szerint hitelderivatívákkal fedezett CTP-pozíciók;</w:t>
            </w:r>
          </w:p>
          <w:p w14:paraId="2AE83702" w14:textId="6649D035" w:rsidR="001B1411" w:rsidRPr="00DA7625" w:rsidRDefault="00C55547">
            <w:pPr>
              <w:tabs>
                <w:tab w:val="left" w:pos="720"/>
              </w:tabs>
              <w:ind w:left="720" w:hanging="360"/>
              <w:rPr>
                <w:rFonts w:ascii="Times New Roman" w:hAnsi="Times New Roman"/>
                <w:sz w:val="24"/>
              </w:rPr>
            </w:pPr>
            <w:r w:rsidRPr="00DA7625">
              <w:rPr>
                <w:rFonts w:ascii="Symbol" w:hAnsi="Symbol"/>
                <w:sz w:val="24"/>
              </w:rPr>
              <w:t></w:t>
            </w:r>
            <w:r w:rsidRPr="00DA7625">
              <w:rPr>
                <w:rFonts w:ascii="Symbol" w:hAnsi="Symbol"/>
                <w:sz w:val="24"/>
              </w:rPr>
              <w:tab/>
            </w:r>
            <w:r w:rsidRPr="00DA7625">
              <w:rPr>
                <w:rFonts w:ascii="Times New Roman" w:hAnsi="Times New Roman"/>
                <w:sz w:val="24"/>
              </w:rPr>
              <w:t>a CRR 338. cikkének (3) bekezdése szerinti egyéb pozíciók.</w:t>
            </w:r>
          </w:p>
        </w:tc>
      </w:tr>
    </w:tbl>
    <w:p w14:paraId="07A4A117" w14:textId="77777777" w:rsidR="001B1411" w:rsidRPr="00DA7625" w:rsidRDefault="001B1411">
      <w:pPr>
        <w:autoSpaceDE w:val="0"/>
        <w:autoSpaceDN w:val="0"/>
        <w:adjustRightInd w:val="0"/>
        <w:spacing w:before="0" w:after="0"/>
        <w:rPr>
          <w:rFonts w:ascii="Times New Roman" w:hAnsi="Times New Roman"/>
          <w:sz w:val="24"/>
        </w:rPr>
      </w:pPr>
    </w:p>
    <w:p w14:paraId="51C4ADD8"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93" w:name="_Toc31018839"/>
      <w:r w:rsidRPr="00DA7625">
        <w:rPr>
          <w:rFonts w:ascii="Times New Roman" w:hAnsi="Times New Roman"/>
          <w:sz w:val="24"/>
          <w:u w:val="none"/>
        </w:rPr>
        <w:t>5.4.</w:t>
      </w:r>
      <w:r w:rsidRPr="00DA7625">
        <w:rPr>
          <w:rFonts w:ascii="Times New Roman" w:hAnsi="Times New Roman"/>
          <w:sz w:val="24"/>
          <w:u w:val="none"/>
        </w:rPr>
        <w:tab/>
      </w:r>
      <w:r w:rsidRPr="00DA7625">
        <w:rPr>
          <w:rFonts w:ascii="Times New Roman" w:hAnsi="Times New Roman"/>
          <w:sz w:val="24"/>
        </w:rPr>
        <w:t>C 21.00 – Piaci kockázat: Az értékpapírosítások egyedi kockázatának sztenderd módszere (MKR SA SEC)</w:t>
      </w:r>
      <w:bookmarkEnd w:id="93"/>
    </w:p>
    <w:p w14:paraId="014E240B"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94" w:name="_Toc31018840"/>
      <w:r w:rsidRPr="00DA7625">
        <w:rPr>
          <w:rFonts w:ascii="Times New Roman" w:hAnsi="Times New Roman"/>
          <w:sz w:val="24"/>
          <w:u w:val="none"/>
        </w:rPr>
        <w:t>5.4.1.</w:t>
      </w:r>
      <w:r w:rsidRPr="00DA7625">
        <w:rPr>
          <w:rFonts w:ascii="Times New Roman" w:hAnsi="Times New Roman"/>
          <w:sz w:val="24"/>
          <w:u w:val="none"/>
        </w:rPr>
        <w:tab/>
      </w:r>
      <w:r w:rsidRPr="00DA7625">
        <w:rPr>
          <w:rFonts w:ascii="Times New Roman" w:hAnsi="Times New Roman"/>
          <w:sz w:val="24"/>
        </w:rPr>
        <w:t>Általános megjegyzések</w:t>
      </w:r>
      <w:bookmarkEnd w:id="94"/>
    </w:p>
    <w:p w14:paraId="2DC9750B" w14:textId="38C560CA" w:rsidR="001B1411" w:rsidRPr="00DA7625" w:rsidRDefault="00125707">
      <w:pPr>
        <w:pStyle w:val="InstructionsText2"/>
        <w:numPr>
          <w:ilvl w:val="0"/>
          <w:numId w:val="0"/>
        </w:numPr>
        <w:ind w:left="993"/>
      </w:pPr>
      <w:r w:rsidRPr="00DA7625">
        <w:t>148.</w:t>
      </w:r>
      <w:r w:rsidRPr="00DA7625">
        <w:tab/>
        <w:t xml:space="preserve"> Ezen a táblán a sztenderd módszer alkalmazási körébe tartozó pozíciókról, valamint az ezekhez kapcsolódóan a kereskedési könyvben nyilvántartott részvények </w:t>
      </w:r>
      <w:r w:rsidRPr="00DA7625">
        <w:lastRenderedPageBreak/>
        <w:t>pozíciókockázatára vonatkozó szavatolótőke-követelményről kell adatot szolgáltatni.</w:t>
      </w:r>
    </w:p>
    <w:p w14:paraId="249BDF92" w14:textId="77777777" w:rsidR="001B1411" w:rsidRPr="00DA7625" w:rsidRDefault="00125707">
      <w:pPr>
        <w:pStyle w:val="InstructionsText2"/>
        <w:numPr>
          <w:ilvl w:val="0"/>
          <w:numId w:val="0"/>
        </w:numPr>
        <w:ind w:left="993"/>
      </w:pPr>
      <w:r w:rsidRPr="00DA7625">
        <w:t>149.</w:t>
      </w:r>
      <w:r w:rsidRPr="00DA7625">
        <w:tab/>
        <w:t xml:space="preserve"> A táblát külön ki kell tölteni összesítve, valamint az alábbi előre meghatározott felsorolásban szereplő piacokra vonatkozóan: Albánia, Bulgária, Csehország, Dánia, Egyesült Államok, Egyesült Királyság, Egyiptom, Horvátország, Izland, Japán, Lengyelország, Liechtenstein, Macedónia, Magyarország, Norvégia, Oroszország, Románia, Svájc, Svédország, Szerbia, Törökország, Ukrajna, az euróövezet továbbá egy táblát az összes többi piacra összesítve. Ezen adatszolgáltatási kötelezettség alkalmazásában piac alatt országot kell érteni (kivéve az euróövezethez tartozó országokat, lásd az 525/2014/EU felhatalmazáson alapuló bizottsági rendeletet</w:t>
      </w:r>
      <w:r w:rsidRPr="00DA7625">
        <w:rPr>
          <w:rStyle w:val="FootnoteReference"/>
          <w:rFonts w:ascii="Times New Roman" w:hAnsi="Times New Roman"/>
          <w:sz w:val="24"/>
          <w:szCs w:val="24"/>
          <w:vertAlign w:val="superscript"/>
        </w:rPr>
        <w:footnoteReference w:id="15"/>
      </w:r>
      <w:r w:rsidRPr="00DA7625">
        <w:t>).</w:t>
      </w:r>
    </w:p>
    <w:p w14:paraId="0ADCA857"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95" w:name="_Toc31018841"/>
      <w:r w:rsidRPr="00DA7625">
        <w:rPr>
          <w:rFonts w:ascii="Times New Roman" w:hAnsi="Times New Roman"/>
          <w:sz w:val="24"/>
          <w:u w:val="none"/>
        </w:rPr>
        <w:t>5.4.2.</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1B1411" w:rsidRPr="00DA7625" w14:paraId="0D1FD3F9" w14:textId="77777777" w:rsidTr="00672D2A">
        <w:trPr>
          <w:trHeight w:val="626"/>
        </w:trPr>
        <w:tc>
          <w:tcPr>
            <w:tcW w:w="8862" w:type="dxa"/>
            <w:gridSpan w:val="2"/>
            <w:shd w:val="clear" w:color="auto" w:fill="CCCCCC"/>
          </w:tcPr>
          <w:p w14:paraId="4E32C797" w14:textId="77777777" w:rsidR="001B1411" w:rsidRPr="00DA7625" w:rsidRDefault="000B0B09">
            <w:pPr>
              <w:autoSpaceDE w:val="0"/>
              <w:autoSpaceDN w:val="0"/>
              <w:adjustRightInd w:val="0"/>
              <w:spacing w:after="0"/>
              <w:rPr>
                <w:rFonts w:ascii="Times New Roman" w:hAnsi="Times New Roman"/>
                <w:b/>
                <w:sz w:val="24"/>
              </w:rPr>
            </w:pPr>
            <w:r w:rsidRPr="00DA7625">
              <w:rPr>
                <w:rFonts w:ascii="Times New Roman" w:hAnsi="Times New Roman"/>
                <w:b/>
                <w:sz w:val="24"/>
              </w:rPr>
              <w:t>Oszlop</w:t>
            </w:r>
          </w:p>
        </w:tc>
      </w:tr>
      <w:tr w:rsidR="001B1411" w:rsidRPr="00DA7625" w14:paraId="44C5D299" w14:textId="77777777" w:rsidTr="00672D2A">
        <w:tc>
          <w:tcPr>
            <w:tcW w:w="988" w:type="dxa"/>
          </w:tcPr>
          <w:p w14:paraId="1913A6AA"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010–020</w:t>
            </w:r>
          </w:p>
        </w:tc>
        <w:tc>
          <w:tcPr>
            <w:tcW w:w="7874" w:type="dxa"/>
          </w:tcPr>
          <w:p w14:paraId="21ED8BDF" w14:textId="77777777" w:rsidR="001B1411" w:rsidRPr="00DA7625" w:rsidRDefault="000B0B09">
            <w:pPr>
              <w:autoSpaceDE w:val="0"/>
              <w:autoSpaceDN w:val="0"/>
              <w:adjustRightInd w:val="0"/>
              <w:rPr>
                <w:rFonts w:ascii="Times New Roman" w:hAnsi="Times New Roman"/>
                <w:b/>
                <w:bCs/>
                <w:sz w:val="24"/>
                <w:u w:val="single"/>
              </w:rPr>
            </w:pPr>
            <w:r w:rsidRPr="00DA7625">
              <w:rPr>
                <w:rFonts w:ascii="Times New Roman" w:hAnsi="Times New Roman"/>
                <w:b/>
                <w:bCs/>
                <w:sz w:val="24"/>
                <w:u w:val="single"/>
              </w:rPr>
              <w:t>ÖSSZES POZÍCIÓ (HOSSZÚ ÉS RÖVID)</w:t>
            </w:r>
          </w:p>
          <w:p w14:paraId="0C196EB7" w14:textId="07DA4557" w:rsidR="001B1411" w:rsidRPr="00DA7625" w:rsidRDefault="000B0B09">
            <w:pPr>
              <w:autoSpaceDE w:val="0"/>
              <w:autoSpaceDN w:val="0"/>
              <w:adjustRightInd w:val="0"/>
              <w:spacing w:before="0"/>
              <w:rPr>
                <w:rFonts w:ascii="Times New Roman" w:hAnsi="Times New Roman"/>
                <w:sz w:val="24"/>
              </w:rPr>
            </w:pPr>
            <w:r w:rsidRPr="00DA7625">
              <w:rPr>
                <w:rFonts w:ascii="Times New Roman" w:hAnsi="Times New Roman"/>
                <w:sz w:val="24"/>
              </w:rPr>
              <w:t xml:space="preserve">A CRR 102. cikke, valamint 105. cikkének (1) bekezdése. </w:t>
            </w:r>
          </w:p>
          <w:p w14:paraId="46B910C9" w14:textId="75F18726" w:rsidR="001B1411" w:rsidRPr="00DA7625" w:rsidRDefault="000B0B09">
            <w:pPr>
              <w:autoSpaceDE w:val="0"/>
              <w:autoSpaceDN w:val="0"/>
              <w:adjustRightInd w:val="0"/>
              <w:spacing w:before="0"/>
              <w:rPr>
                <w:rFonts w:ascii="Times New Roman" w:hAnsi="Times New Roman"/>
                <w:sz w:val="24"/>
              </w:rPr>
            </w:pPr>
            <w:r w:rsidRPr="00DA7625">
              <w:rPr>
                <w:rFonts w:ascii="Times New Roman" w:hAnsi="Times New Roman"/>
                <w:sz w:val="24"/>
              </w:rPr>
              <w:t xml:space="preserve">Bruttó, instrumentumonként nem nettósított pozíciók azon jegyzési pozíciók levonásával, amelyeket harmadik fél az intézménytől lejegyzett, vagy amelyekre jegyzési garanciát vállalt a CRR 345. cikke (1) bekezdése első albekezdésének második mondatában említettek szerint. </w:t>
            </w:r>
          </w:p>
        </w:tc>
      </w:tr>
      <w:tr w:rsidR="001B1411" w:rsidRPr="00DA7625" w14:paraId="5BB4F368" w14:textId="77777777" w:rsidTr="00672D2A">
        <w:tc>
          <w:tcPr>
            <w:tcW w:w="988" w:type="dxa"/>
          </w:tcPr>
          <w:p w14:paraId="742D20C7"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030–040 </w:t>
            </w:r>
          </w:p>
        </w:tc>
        <w:tc>
          <w:tcPr>
            <w:tcW w:w="7874" w:type="dxa"/>
          </w:tcPr>
          <w:p w14:paraId="024F7366"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NETTÓ POZÍCIÓK (HOSSZÚ ÉS RÖVID)</w:t>
            </w:r>
          </w:p>
          <w:p w14:paraId="60CE0C26" w14:textId="5C8BDC4C" w:rsidR="001B1411" w:rsidRPr="00DA7625" w:rsidRDefault="000B0B09">
            <w:pPr>
              <w:autoSpaceDE w:val="0"/>
              <w:autoSpaceDN w:val="0"/>
              <w:adjustRightInd w:val="0"/>
              <w:rPr>
                <w:rFonts w:ascii="Times New Roman" w:hAnsi="Times New Roman"/>
                <w:sz w:val="24"/>
              </w:rPr>
            </w:pPr>
            <w:r w:rsidRPr="00DA7625">
              <w:rPr>
                <w:rFonts w:ascii="Times New Roman" w:hAnsi="Times New Roman"/>
                <w:sz w:val="24"/>
              </w:rPr>
              <w:t xml:space="preserve">A CRR 327., 329., 332., 341. és 345. cikke. </w:t>
            </w:r>
          </w:p>
        </w:tc>
      </w:tr>
      <w:tr w:rsidR="001B1411" w:rsidRPr="00DA7625" w14:paraId="6D268F9B" w14:textId="77777777" w:rsidTr="00672D2A">
        <w:tc>
          <w:tcPr>
            <w:tcW w:w="988" w:type="dxa"/>
          </w:tcPr>
          <w:p w14:paraId="47EAC24F"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050</w:t>
            </w:r>
          </w:p>
        </w:tc>
        <w:tc>
          <w:tcPr>
            <w:tcW w:w="7874" w:type="dxa"/>
          </w:tcPr>
          <w:p w14:paraId="142D2F43" w14:textId="77777777" w:rsidR="001B1411" w:rsidRPr="00DA7625" w:rsidRDefault="000B0B09">
            <w:pPr>
              <w:tabs>
                <w:tab w:val="left" w:pos="5795"/>
              </w:tabs>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TŐKEKÖVETELMÉNNYEL ÉRINTETT POZÍCIÓK</w:t>
            </w:r>
          </w:p>
          <w:p w14:paraId="17FCE457" w14:textId="0D8E5A85" w:rsidR="001B1411" w:rsidRPr="00DA7625" w:rsidRDefault="000B0B09">
            <w:pPr>
              <w:autoSpaceDE w:val="0"/>
              <w:autoSpaceDN w:val="0"/>
              <w:adjustRightInd w:val="0"/>
              <w:spacing w:after="0"/>
              <w:rPr>
                <w:rFonts w:ascii="Times New Roman" w:hAnsi="Times New Roman"/>
                <w:sz w:val="24"/>
              </w:rPr>
            </w:pPr>
            <w:r w:rsidRPr="00DA7625">
              <w:rPr>
                <w:rFonts w:ascii="Times New Roman" w:hAnsi="Times New Roman"/>
                <w:sz w:val="24"/>
              </w:rPr>
              <w:t>Azok a nettó pozíciók, amelyekre a CRR harmadik része IV. címének 2. fejezetében foglalt különböző módszerek szerint tőkekövetelmény vonatkozik. A tőkekövetelményt az egyes nemzeti piacokra külön kell kiszámítani. A CRR 344. cikke (4) bekezdésének második mondatában említett tőzsdei határidős részvényindex-ügyletekben levő pozíciókat nem kell feltüntetni ebben az oszlopban.</w:t>
            </w:r>
          </w:p>
          <w:p w14:paraId="5BD09D12"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1A0ACA66" w14:textId="77777777" w:rsidTr="00672D2A">
        <w:tc>
          <w:tcPr>
            <w:tcW w:w="988" w:type="dxa"/>
          </w:tcPr>
          <w:p w14:paraId="7B6025DD"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060</w:t>
            </w:r>
          </w:p>
        </w:tc>
        <w:tc>
          <w:tcPr>
            <w:tcW w:w="7874" w:type="dxa"/>
          </w:tcPr>
          <w:p w14:paraId="32999987" w14:textId="77777777" w:rsidR="001B1411" w:rsidRPr="00DA7625" w:rsidRDefault="000B0B09">
            <w:pPr>
              <w:tabs>
                <w:tab w:val="left" w:pos="1665"/>
              </w:tabs>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SZAVATOLÓTŐKE-KÖVETELMÉNY</w:t>
            </w:r>
          </w:p>
          <w:p w14:paraId="2776CC3D" w14:textId="28B97DBB" w:rsidR="001B1411" w:rsidRPr="00DA7625" w:rsidRDefault="000B0B09">
            <w:pPr>
              <w:autoSpaceDE w:val="0"/>
              <w:autoSpaceDN w:val="0"/>
              <w:adjustRightInd w:val="0"/>
              <w:spacing w:after="0"/>
              <w:rPr>
                <w:rFonts w:ascii="Times New Roman" w:hAnsi="Times New Roman"/>
                <w:sz w:val="24"/>
              </w:rPr>
            </w:pPr>
            <w:r w:rsidRPr="00DA7625">
              <w:rPr>
                <w:rFonts w:ascii="Times New Roman" w:hAnsi="Times New Roman"/>
                <w:sz w:val="24"/>
              </w:rPr>
              <w:t>A CRR harmadik része IV. címe 2. fejezete szerint megállapított, bármely releváns pozícióra vonatkozó szavatolótőke-követelmény</w:t>
            </w:r>
          </w:p>
          <w:p w14:paraId="1386161B" w14:textId="77777777" w:rsidR="001B1411" w:rsidRPr="00DA7625" w:rsidRDefault="001B1411">
            <w:pPr>
              <w:tabs>
                <w:tab w:val="left" w:pos="1665"/>
              </w:tabs>
              <w:autoSpaceDE w:val="0"/>
              <w:autoSpaceDN w:val="0"/>
              <w:adjustRightInd w:val="0"/>
              <w:spacing w:before="0" w:after="0"/>
              <w:rPr>
                <w:rFonts w:ascii="Times New Roman" w:hAnsi="Times New Roman"/>
                <w:b/>
                <w:bCs/>
                <w:sz w:val="24"/>
                <w:u w:val="single"/>
              </w:rPr>
            </w:pPr>
          </w:p>
        </w:tc>
      </w:tr>
      <w:tr w:rsidR="001B1411" w:rsidRPr="00DA7625" w14:paraId="16CCEF26" w14:textId="77777777" w:rsidTr="00672D2A">
        <w:tc>
          <w:tcPr>
            <w:tcW w:w="988" w:type="dxa"/>
          </w:tcPr>
          <w:p w14:paraId="2B037490"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070</w:t>
            </w:r>
          </w:p>
        </w:tc>
        <w:tc>
          <w:tcPr>
            <w:tcW w:w="7874" w:type="dxa"/>
          </w:tcPr>
          <w:p w14:paraId="3E9B730F" w14:textId="77777777" w:rsidR="001B1411" w:rsidRPr="00DA7625" w:rsidRDefault="000B0B09">
            <w:pPr>
              <w:tabs>
                <w:tab w:val="left" w:pos="1665"/>
              </w:tabs>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TELJES KOCKÁZATI KITETTSÉGÉRTÉK</w:t>
            </w:r>
          </w:p>
          <w:p w14:paraId="62D46FDE" w14:textId="790192CB" w:rsidR="001B1411" w:rsidRPr="00DA7625" w:rsidRDefault="00D21B29">
            <w:pPr>
              <w:tabs>
                <w:tab w:val="left" w:pos="1665"/>
              </w:tabs>
              <w:autoSpaceDE w:val="0"/>
              <w:autoSpaceDN w:val="0"/>
              <w:adjustRightInd w:val="0"/>
              <w:spacing w:after="0"/>
              <w:rPr>
                <w:rFonts w:ascii="Times New Roman" w:hAnsi="Times New Roman"/>
                <w:sz w:val="24"/>
              </w:rPr>
            </w:pPr>
            <w:r w:rsidRPr="00DA7625">
              <w:rPr>
                <w:rFonts w:ascii="Times New Roman" w:hAnsi="Times New Roman"/>
                <w:sz w:val="24"/>
              </w:rPr>
              <w:t xml:space="preserve">A CRR 92. cikke (4) bekezdésének b) pontja </w:t>
            </w:r>
          </w:p>
          <w:p w14:paraId="0AD48A5E" w14:textId="0496E056" w:rsidR="001B1411" w:rsidRPr="00DA7625" w:rsidRDefault="000B0B09">
            <w:pPr>
              <w:tabs>
                <w:tab w:val="left" w:pos="1665"/>
              </w:tabs>
              <w:autoSpaceDE w:val="0"/>
              <w:autoSpaceDN w:val="0"/>
              <w:adjustRightInd w:val="0"/>
              <w:spacing w:after="0"/>
              <w:rPr>
                <w:rFonts w:ascii="Times New Roman" w:hAnsi="Times New Roman"/>
                <w:b/>
                <w:bCs/>
                <w:sz w:val="24"/>
                <w:u w:val="single"/>
              </w:rPr>
            </w:pPr>
            <w:r w:rsidRPr="00DA7625">
              <w:rPr>
                <w:rFonts w:ascii="Times New Roman" w:hAnsi="Times New Roman"/>
                <w:sz w:val="24"/>
              </w:rPr>
              <w:t xml:space="preserve">A szavatolótőke-követelmény 12,5-del való szorzásának az eredménye. </w:t>
            </w:r>
          </w:p>
        </w:tc>
      </w:tr>
    </w:tbl>
    <w:p w14:paraId="4EFF44B8" w14:textId="77777777" w:rsidR="001B1411" w:rsidRPr="00DA7625" w:rsidRDefault="001B1411">
      <w:pPr>
        <w:autoSpaceDE w:val="0"/>
        <w:autoSpaceDN w:val="0"/>
        <w:adjustRightInd w:val="0"/>
        <w:spacing w:before="0" w:after="0"/>
        <w:rPr>
          <w:rFonts w:ascii="Times New Roman" w:hAnsi="Times New Roman"/>
          <w:sz w:val="24"/>
        </w:rPr>
      </w:pPr>
    </w:p>
    <w:p w14:paraId="31FC1E5C" w14:textId="77777777" w:rsidR="001B1411" w:rsidRPr="00DA7625" w:rsidRDefault="001B1411">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1B1411" w:rsidRPr="00DA7625" w14:paraId="2BF596AB" w14:textId="77777777" w:rsidTr="00672D2A">
        <w:trPr>
          <w:trHeight w:val="662"/>
        </w:trPr>
        <w:tc>
          <w:tcPr>
            <w:tcW w:w="9212" w:type="dxa"/>
            <w:gridSpan w:val="2"/>
            <w:shd w:val="clear" w:color="auto" w:fill="CCCCCC"/>
          </w:tcPr>
          <w:p w14:paraId="30258F42" w14:textId="77777777" w:rsidR="001B1411" w:rsidRPr="00DA7625" w:rsidRDefault="000B0B09">
            <w:pPr>
              <w:autoSpaceDE w:val="0"/>
              <w:autoSpaceDN w:val="0"/>
              <w:adjustRightInd w:val="0"/>
              <w:spacing w:after="0"/>
              <w:rPr>
                <w:rFonts w:ascii="Times New Roman" w:hAnsi="Times New Roman"/>
                <w:b/>
                <w:sz w:val="24"/>
              </w:rPr>
            </w:pPr>
            <w:r w:rsidRPr="00DA7625">
              <w:rPr>
                <w:rFonts w:ascii="Times New Roman" w:hAnsi="Times New Roman"/>
                <w:b/>
                <w:sz w:val="24"/>
              </w:rPr>
              <w:t>Sor</w:t>
            </w:r>
          </w:p>
        </w:tc>
      </w:tr>
      <w:tr w:rsidR="001B1411" w:rsidRPr="00DA7625" w14:paraId="53CC4F42" w14:textId="77777777" w:rsidTr="00672D2A">
        <w:tc>
          <w:tcPr>
            <w:tcW w:w="1008" w:type="dxa"/>
          </w:tcPr>
          <w:p w14:paraId="07A1E0BC"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010–130</w:t>
            </w:r>
          </w:p>
        </w:tc>
        <w:tc>
          <w:tcPr>
            <w:tcW w:w="8204" w:type="dxa"/>
          </w:tcPr>
          <w:p w14:paraId="68375221"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KERESKEDÉSI KÖNYVBEN NYILVÁNTARTOTT RÉSZVÉNYEK</w:t>
            </w:r>
          </w:p>
          <w:p w14:paraId="2D56A0EB" w14:textId="77777777" w:rsidR="001B1411" w:rsidRPr="00DA7625" w:rsidRDefault="001B1411">
            <w:pPr>
              <w:autoSpaceDE w:val="0"/>
              <w:autoSpaceDN w:val="0"/>
              <w:adjustRightInd w:val="0"/>
              <w:spacing w:before="0" w:after="0"/>
              <w:rPr>
                <w:rFonts w:ascii="Times New Roman" w:hAnsi="Times New Roman"/>
                <w:sz w:val="24"/>
              </w:rPr>
            </w:pPr>
          </w:p>
          <w:p w14:paraId="6F68248B" w14:textId="58D439B3" w:rsidR="001B1411" w:rsidRPr="00DA7625" w:rsidRDefault="000B0B09">
            <w:pPr>
              <w:autoSpaceDE w:val="0"/>
              <w:autoSpaceDN w:val="0"/>
              <w:adjustRightInd w:val="0"/>
              <w:rPr>
                <w:rFonts w:ascii="Times New Roman" w:hAnsi="Times New Roman"/>
                <w:sz w:val="24"/>
              </w:rPr>
            </w:pPr>
            <w:r w:rsidRPr="00DA7625">
              <w:rPr>
                <w:rFonts w:ascii="Times New Roman" w:hAnsi="Times New Roman"/>
                <w:sz w:val="24"/>
              </w:rPr>
              <w:t>A CRR 92. cikke (3) bekezdése b) pontjának i. alpontjában, valamint a CRR harmadik része IV. címe 2. fejezete 3. szakaszában említett pozíciókockázathoz kapcsolódó szavatolótőke-követelmény.</w:t>
            </w:r>
          </w:p>
          <w:p w14:paraId="33C626D4" w14:textId="77777777" w:rsidR="001B1411" w:rsidRPr="00DA7625" w:rsidRDefault="001B1411">
            <w:pPr>
              <w:autoSpaceDE w:val="0"/>
              <w:autoSpaceDN w:val="0"/>
              <w:adjustRightInd w:val="0"/>
              <w:spacing w:before="0" w:after="0"/>
              <w:rPr>
                <w:rFonts w:ascii="Times New Roman" w:hAnsi="Times New Roman"/>
                <w:sz w:val="24"/>
              </w:rPr>
            </w:pPr>
          </w:p>
        </w:tc>
      </w:tr>
      <w:tr w:rsidR="001B1411" w:rsidRPr="00DA7625" w14:paraId="0D311520" w14:textId="77777777" w:rsidTr="00672D2A">
        <w:tc>
          <w:tcPr>
            <w:tcW w:w="1008" w:type="dxa"/>
          </w:tcPr>
          <w:p w14:paraId="60097250"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020–040</w:t>
            </w:r>
          </w:p>
        </w:tc>
        <w:tc>
          <w:tcPr>
            <w:tcW w:w="8204" w:type="dxa"/>
          </w:tcPr>
          <w:p w14:paraId="65735102"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ÁLTALÁNOS KOCKÁZAT</w:t>
            </w:r>
          </w:p>
          <w:p w14:paraId="20B8FBBD" w14:textId="22E30883" w:rsidR="001B1411" w:rsidRPr="00DA7625" w:rsidRDefault="000B0B09">
            <w:pPr>
              <w:autoSpaceDE w:val="0"/>
              <w:autoSpaceDN w:val="0"/>
              <w:adjustRightInd w:val="0"/>
              <w:rPr>
                <w:rFonts w:ascii="Times New Roman" w:hAnsi="Times New Roman"/>
                <w:sz w:val="24"/>
              </w:rPr>
            </w:pPr>
            <w:r w:rsidRPr="00DA7625">
              <w:rPr>
                <w:rFonts w:ascii="Times New Roman" w:hAnsi="Times New Roman"/>
                <w:sz w:val="24"/>
              </w:rPr>
              <w:t>Az általános kockázattal érintett részvényekben lévő pozíciók (a CRR 343. cikke), valamint az azoknak megfelelő, a CRR harmadik része IV. címe 2. fejezetének 3. szakasza szerinti szavatolótőke-követelmény.</w:t>
            </w:r>
          </w:p>
          <w:p w14:paraId="1BFE1CA0" w14:textId="77777777" w:rsidR="001B1411" w:rsidRPr="00DA7625" w:rsidRDefault="000B0B09">
            <w:pPr>
              <w:autoSpaceDE w:val="0"/>
              <w:autoSpaceDN w:val="0"/>
              <w:adjustRightInd w:val="0"/>
              <w:spacing w:before="0"/>
              <w:rPr>
                <w:rFonts w:ascii="Times New Roman" w:hAnsi="Times New Roman"/>
                <w:sz w:val="24"/>
              </w:rPr>
            </w:pPr>
            <w:r w:rsidRPr="00DA7625">
              <w:rPr>
                <w:rFonts w:ascii="Times New Roman" w:hAnsi="Times New Roman"/>
                <w:sz w:val="24"/>
              </w:rPr>
              <w:t>Mindkét felosztás (021/022 és 030/040) valamennyi olyan pozícióhoz kapcsolódik, amelyet általános kockázat érint.</w:t>
            </w:r>
          </w:p>
          <w:p w14:paraId="63462FC1" w14:textId="29CC009F"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 021-es és 022-es sorban az információkat eszközönkénti bontásban kell megadni. </w:t>
            </w:r>
          </w:p>
          <w:p w14:paraId="16A2D7C2" w14:textId="12409853"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A szavatolótőke-követelmény számításakor kizárólag a 030-as és 040-es sorban csoportosított adatok vehetők figyelembe.</w:t>
            </w:r>
          </w:p>
          <w:p w14:paraId="13826A34" w14:textId="77777777" w:rsidR="001B1411" w:rsidRPr="00DA7625" w:rsidRDefault="001B1411">
            <w:pPr>
              <w:autoSpaceDE w:val="0"/>
              <w:autoSpaceDN w:val="0"/>
              <w:adjustRightInd w:val="0"/>
              <w:spacing w:before="0" w:after="0"/>
              <w:rPr>
                <w:rFonts w:ascii="Times New Roman" w:hAnsi="Times New Roman"/>
                <w:sz w:val="24"/>
              </w:rPr>
            </w:pPr>
          </w:p>
        </w:tc>
      </w:tr>
      <w:tr w:rsidR="001B1411" w:rsidRPr="00DA7625" w14:paraId="5713A497" w14:textId="77777777" w:rsidTr="00672D2A">
        <w:tc>
          <w:tcPr>
            <w:tcW w:w="1008" w:type="dxa"/>
          </w:tcPr>
          <w:p w14:paraId="2F04325E"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021</w:t>
            </w:r>
          </w:p>
        </w:tc>
        <w:tc>
          <w:tcPr>
            <w:tcW w:w="8204" w:type="dxa"/>
          </w:tcPr>
          <w:p w14:paraId="4F0CFF98" w14:textId="77777777" w:rsidR="001B1411" w:rsidRPr="00DA7625" w:rsidRDefault="000B0B09">
            <w:pPr>
              <w:autoSpaceDE w:val="0"/>
              <w:autoSpaceDN w:val="0"/>
              <w:adjustRightInd w:val="0"/>
              <w:spacing w:before="0" w:after="0"/>
              <w:rPr>
                <w:rFonts w:ascii="Times New Roman" w:hAnsi="Times New Roman"/>
                <w:b/>
                <w:sz w:val="24"/>
                <w:u w:val="single"/>
              </w:rPr>
            </w:pPr>
            <w:r w:rsidRPr="00DA7625">
              <w:rPr>
                <w:rFonts w:ascii="Times New Roman" w:hAnsi="Times New Roman"/>
                <w:b/>
                <w:sz w:val="24"/>
                <w:u w:val="single"/>
              </w:rPr>
              <w:t>Származtatott ügyletek</w:t>
            </w:r>
          </w:p>
          <w:p w14:paraId="2BAE4180" w14:textId="5E55F605" w:rsidR="001B1411" w:rsidRPr="00DA7625" w:rsidRDefault="000B0B09">
            <w:pPr>
              <w:autoSpaceDE w:val="0"/>
              <w:autoSpaceDN w:val="0"/>
              <w:adjustRightInd w:val="0"/>
              <w:rPr>
                <w:rFonts w:ascii="Times New Roman" w:hAnsi="Times New Roman"/>
                <w:b/>
                <w:bCs/>
                <w:sz w:val="24"/>
                <w:u w:val="single"/>
              </w:rPr>
            </w:pPr>
            <w:r w:rsidRPr="00DA7625">
              <w:rPr>
                <w:rFonts w:ascii="Times New Roman" w:hAnsi="Times New Roman"/>
                <w:sz w:val="24"/>
              </w:rPr>
              <w:t>A kereskedési könyvi pozíciók részvénypiaci kockázatának számítása során figyelembe vett származtatott ügyletek, a 329. cikk és a 332. cikk figyelembevételével, ha e cikkek alkalmazhatók.</w:t>
            </w:r>
          </w:p>
        </w:tc>
      </w:tr>
      <w:tr w:rsidR="001B1411" w:rsidRPr="00DA7625" w14:paraId="6B052FFA" w14:textId="77777777" w:rsidTr="00672D2A">
        <w:tc>
          <w:tcPr>
            <w:tcW w:w="1008" w:type="dxa"/>
          </w:tcPr>
          <w:p w14:paraId="279E0D93"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022</w:t>
            </w:r>
          </w:p>
        </w:tc>
        <w:tc>
          <w:tcPr>
            <w:tcW w:w="8204" w:type="dxa"/>
          </w:tcPr>
          <w:p w14:paraId="757B7646" w14:textId="77777777" w:rsidR="001B1411" w:rsidRPr="00DA7625" w:rsidRDefault="000B0B09">
            <w:pPr>
              <w:autoSpaceDE w:val="0"/>
              <w:autoSpaceDN w:val="0"/>
              <w:adjustRightInd w:val="0"/>
              <w:spacing w:before="0" w:after="0"/>
              <w:rPr>
                <w:rFonts w:ascii="Times New Roman" w:hAnsi="Times New Roman"/>
                <w:b/>
                <w:sz w:val="24"/>
                <w:u w:val="single"/>
              </w:rPr>
            </w:pPr>
            <w:r w:rsidRPr="00DA7625">
              <w:rPr>
                <w:rFonts w:ascii="Times New Roman" w:hAnsi="Times New Roman"/>
                <w:b/>
                <w:sz w:val="24"/>
                <w:u w:val="single"/>
              </w:rPr>
              <w:t>Egyéb eszközök és kötelezettségek</w:t>
            </w:r>
          </w:p>
          <w:p w14:paraId="0C210D3A" w14:textId="09F38B26" w:rsidR="001B1411" w:rsidRPr="00DA7625" w:rsidRDefault="000B0B09">
            <w:pPr>
              <w:autoSpaceDE w:val="0"/>
              <w:autoSpaceDN w:val="0"/>
              <w:adjustRightInd w:val="0"/>
              <w:rPr>
                <w:rFonts w:ascii="Times New Roman" w:hAnsi="Times New Roman"/>
                <w:b/>
                <w:bCs/>
                <w:sz w:val="24"/>
                <w:u w:val="single"/>
              </w:rPr>
            </w:pPr>
            <w:r w:rsidRPr="00DA7625">
              <w:rPr>
                <w:rFonts w:ascii="Times New Roman" w:hAnsi="Times New Roman"/>
                <w:sz w:val="24"/>
              </w:rPr>
              <w:t xml:space="preserve">A kereskedési könyvi pozíciók részvénypiaci kockázatának számítása során figyelembe vett származtatott ügyleteken kívüli instrumentumok. </w:t>
            </w:r>
          </w:p>
        </w:tc>
      </w:tr>
      <w:tr w:rsidR="001B1411" w:rsidRPr="00DA7625" w14:paraId="0BFC1543" w14:textId="77777777" w:rsidTr="00672D2A">
        <w:tc>
          <w:tcPr>
            <w:tcW w:w="1008" w:type="dxa"/>
          </w:tcPr>
          <w:p w14:paraId="410E75B8"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030</w:t>
            </w:r>
          </w:p>
        </w:tc>
        <w:tc>
          <w:tcPr>
            <w:tcW w:w="8204" w:type="dxa"/>
          </w:tcPr>
          <w:p w14:paraId="62C6DCE6"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Tőzsdei forgalomban szereplő, megfelelően diverzifikált, egyedi módszer alkalmazási körébe tartozó határidős részvényindex-ügyletek</w:t>
            </w:r>
          </w:p>
          <w:p w14:paraId="02154138" w14:textId="77777777" w:rsidR="001B1411" w:rsidRPr="00DA7625" w:rsidRDefault="001B1411">
            <w:pPr>
              <w:autoSpaceDE w:val="0"/>
              <w:autoSpaceDN w:val="0"/>
              <w:adjustRightInd w:val="0"/>
              <w:spacing w:before="0" w:after="0"/>
              <w:rPr>
                <w:rFonts w:ascii="Times New Roman" w:hAnsi="Times New Roman"/>
                <w:sz w:val="24"/>
              </w:rPr>
            </w:pPr>
          </w:p>
          <w:p w14:paraId="0473B6C6" w14:textId="73AE1F75"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Tőzsdei forgalomban szereplő, megfelelően diverzifikált, egyedi módszer alkalmazási körébe tartozó határidős részvényindex-ügyletek a 945/2014/EU bizottsági végrehajtási rendelet szerint</w:t>
            </w:r>
            <w:r w:rsidRPr="00DA7625">
              <w:rPr>
                <w:rStyle w:val="FootnoteReference"/>
                <w:sz w:val="24"/>
                <w:szCs w:val="24"/>
              </w:rPr>
              <w:footnoteReference w:id="16"/>
            </w:r>
          </w:p>
          <w:p w14:paraId="770167E8" w14:textId="18B416A6" w:rsidR="001B1411" w:rsidRPr="00DA7625" w:rsidRDefault="000B0B09">
            <w:pPr>
              <w:autoSpaceDE w:val="0"/>
              <w:autoSpaceDN w:val="0"/>
              <w:adjustRightInd w:val="0"/>
              <w:rPr>
                <w:rFonts w:ascii="Times New Roman" w:hAnsi="Times New Roman"/>
                <w:b/>
                <w:bCs/>
                <w:sz w:val="24"/>
                <w:u w:val="single"/>
              </w:rPr>
            </w:pPr>
            <w:r w:rsidRPr="00DA7625">
              <w:rPr>
                <w:rFonts w:ascii="Times New Roman" w:hAnsi="Times New Roman"/>
                <w:sz w:val="24"/>
              </w:rPr>
              <w:t>Ezeknél a pozícióknál csak általános kockázat áll fenn, így azok az 050-es sorban nem tüntethetők fel.</w:t>
            </w:r>
          </w:p>
        </w:tc>
      </w:tr>
      <w:tr w:rsidR="001B1411" w:rsidRPr="00DA7625" w14:paraId="75CC6FFE" w14:textId="77777777" w:rsidTr="00672D2A">
        <w:tc>
          <w:tcPr>
            <w:tcW w:w="1008" w:type="dxa"/>
          </w:tcPr>
          <w:p w14:paraId="60C8670E"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040</w:t>
            </w:r>
          </w:p>
        </w:tc>
        <w:tc>
          <w:tcPr>
            <w:tcW w:w="8204" w:type="dxa"/>
          </w:tcPr>
          <w:p w14:paraId="03267B60"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A tőzsdei forgalomban szereplő, megfelelően diverzifikált határidős részvényindex-ügyleteken kívüli részvények</w:t>
            </w:r>
          </w:p>
          <w:p w14:paraId="2137D3FE" w14:textId="1EA14295" w:rsidR="001B1411" w:rsidRPr="00DA7625" w:rsidRDefault="000B0B09">
            <w:pPr>
              <w:autoSpaceDE w:val="0"/>
              <w:autoSpaceDN w:val="0"/>
              <w:adjustRightInd w:val="0"/>
              <w:rPr>
                <w:rFonts w:ascii="Times New Roman" w:hAnsi="Times New Roman"/>
                <w:sz w:val="24"/>
              </w:rPr>
            </w:pPr>
            <w:r w:rsidRPr="00DA7625">
              <w:rPr>
                <w:rFonts w:ascii="Times New Roman" w:hAnsi="Times New Roman"/>
                <w:sz w:val="24"/>
              </w:rPr>
              <w:t xml:space="preserve">Az egyedi kockázattal érintett részvényekben lévő egyéb pozíciók, valamint az azoknak megfelelő szavatolótőke-követelmények a CRR 343. cikkének megfelelően, ideértve a CRR 344. cikke (3) bekezdésének megfelelően kezelt tőzsdei határidős részvényindex-ügyletekben lévő pozíciókat. </w:t>
            </w:r>
          </w:p>
        </w:tc>
      </w:tr>
      <w:tr w:rsidR="001B1411" w:rsidRPr="00DA7625" w14:paraId="60F1FFCE" w14:textId="77777777" w:rsidTr="00672D2A">
        <w:tc>
          <w:tcPr>
            <w:tcW w:w="1008" w:type="dxa"/>
          </w:tcPr>
          <w:p w14:paraId="3EF1505F"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050 </w:t>
            </w:r>
          </w:p>
        </w:tc>
        <w:tc>
          <w:tcPr>
            <w:tcW w:w="8204" w:type="dxa"/>
          </w:tcPr>
          <w:p w14:paraId="4AA511F8"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EGYEDI KOCKÁZAT</w:t>
            </w:r>
          </w:p>
          <w:p w14:paraId="24761435" w14:textId="54D53325" w:rsidR="001B1411" w:rsidRPr="00DA7625" w:rsidRDefault="000B0B09">
            <w:pPr>
              <w:autoSpaceDE w:val="0"/>
              <w:autoSpaceDN w:val="0"/>
              <w:adjustRightInd w:val="0"/>
              <w:rPr>
                <w:rFonts w:ascii="Times New Roman" w:hAnsi="Times New Roman"/>
                <w:sz w:val="24"/>
              </w:rPr>
            </w:pPr>
            <w:r w:rsidRPr="00DA7625">
              <w:rPr>
                <w:rFonts w:ascii="Times New Roman" w:hAnsi="Times New Roman"/>
                <w:sz w:val="24"/>
              </w:rPr>
              <w:lastRenderedPageBreak/>
              <w:t xml:space="preserve">Az egyedi kockázattal érintett részvényekben lévő pozíciók, valamint az azoknak megfelelő szavatolótőke-követelmények a CRR 342. cikkének megfelelően, kivéve a CRR 344. cikke (4) bekezdése második mondatának megfelelően kezelt tőzsdei határidős részvényindex-ügyletekben lévő pozíciókat </w:t>
            </w:r>
          </w:p>
        </w:tc>
      </w:tr>
      <w:tr w:rsidR="001B1411" w:rsidRPr="00DA7625" w14:paraId="605363C2" w14:textId="77777777" w:rsidTr="00672D2A">
        <w:tc>
          <w:tcPr>
            <w:tcW w:w="1008" w:type="dxa"/>
          </w:tcPr>
          <w:p w14:paraId="3EEF77C6"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090–130</w:t>
            </w:r>
          </w:p>
        </w:tc>
        <w:tc>
          <w:tcPr>
            <w:tcW w:w="8204" w:type="dxa"/>
          </w:tcPr>
          <w:p w14:paraId="03D2BD07"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Style w:val="InstructionsTabelleberschrift"/>
                <w:rFonts w:ascii="Times New Roman" w:hAnsi="Times New Roman"/>
                <w:sz w:val="24"/>
              </w:rPr>
              <w:t>OPCIÓKRA VONATKOZÓ TOVÁBBI KÖVETELMÉNYEK (NEM DELTA KOCKÁZATOK)</w:t>
            </w:r>
          </w:p>
          <w:p w14:paraId="10D9AA05" w14:textId="79412E76" w:rsidR="001B1411" w:rsidRPr="00DA7625" w:rsidRDefault="00F2521E">
            <w:pPr>
              <w:autoSpaceDE w:val="0"/>
              <w:autoSpaceDN w:val="0"/>
              <w:adjustRightInd w:val="0"/>
              <w:rPr>
                <w:rFonts w:ascii="Times New Roman" w:hAnsi="Times New Roman"/>
                <w:sz w:val="24"/>
              </w:rPr>
            </w:pPr>
            <w:r w:rsidRPr="00DA7625">
              <w:rPr>
                <w:rFonts w:ascii="Times New Roman" w:hAnsi="Times New Roman"/>
                <w:sz w:val="24"/>
              </w:rPr>
              <w:t xml:space="preserve">A CRR 329. cikkének (2) és (3) bekezdése </w:t>
            </w:r>
          </w:p>
          <w:p w14:paraId="13F60611" w14:textId="54A07015"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A nem delta kockázatokkal kapcsolatos, opciókra vonatkozó további követelményeket a számítási módszerben kell feltüntetni.</w:t>
            </w:r>
          </w:p>
        </w:tc>
      </w:tr>
    </w:tbl>
    <w:p w14:paraId="7A270268" w14:textId="77777777" w:rsidR="001B1411" w:rsidRPr="00DA7625" w:rsidRDefault="001B1411">
      <w:pPr>
        <w:autoSpaceDE w:val="0"/>
        <w:autoSpaceDN w:val="0"/>
        <w:adjustRightInd w:val="0"/>
        <w:spacing w:before="0" w:after="0"/>
        <w:rPr>
          <w:rFonts w:ascii="Times New Roman" w:hAnsi="Times New Roman"/>
          <w:bCs/>
          <w:sz w:val="24"/>
        </w:rPr>
      </w:pPr>
    </w:p>
    <w:p w14:paraId="4594566D"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96" w:name="_Toc31018842"/>
      <w:r w:rsidRPr="00DA7625">
        <w:rPr>
          <w:rFonts w:ascii="Times New Roman" w:hAnsi="Times New Roman"/>
          <w:sz w:val="24"/>
          <w:u w:val="none"/>
        </w:rPr>
        <w:t>5.5.</w:t>
      </w:r>
      <w:r w:rsidRPr="00DA7625">
        <w:rPr>
          <w:rFonts w:ascii="Times New Roman" w:hAnsi="Times New Roman"/>
          <w:sz w:val="24"/>
          <w:u w:val="none"/>
        </w:rPr>
        <w:tab/>
      </w:r>
      <w:r w:rsidRPr="00DA7625">
        <w:rPr>
          <w:rFonts w:ascii="Times New Roman" w:hAnsi="Times New Roman"/>
          <w:sz w:val="24"/>
        </w:rPr>
        <w:t>C 22.00 – Piaci kockázat: a devizaárfolyam-kockázat sztenderd módszerei (MKR SA FX)</w:t>
      </w:r>
      <w:bookmarkEnd w:id="96"/>
    </w:p>
    <w:p w14:paraId="66C47D2B"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97" w:name="_Toc31018843"/>
      <w:r w:rsidRPr="00DA7625">
        <w:rPr>
          <w:rFonts w:ascii="Times New Roman" w:hAnsi="Times New Roman"/>
          <w:sz w:val="24"/>
          <w:u w:val="none"/>
        </w:rPr>
        <w:t>5.5.1.</w:t>
      </w:r>
      <w:r w:rsidRPr="00DA7625">
        <w:rPr>
          <w:rFonts w:ascii="Times New Roman" w:hAnsi="Times New Roman"/>
          <w:sz w:val="24"/>
          <w:u w:val="none"/>
        </w:rPr>
        <w:tab/>
      </w:r>
      <w:r w:rsidRPr="00DA7625">
        <w:rPr>
          <w:rFonts w:ascii="Times New Roman" w:hAnsi="Times New Roman"/>
          <w:sz w:val="24"/>
        </w:rPr>
        <w:t>Általános megjegyzések</w:t>
      </w:r>
      <w:bookmarkEnd w:id="97"/>
    </w:p>
    <w:p w14:paraId="1B02D834" w14:textId="6448D8A7" w:rsidR="001B1411" w:rsidRPr="00DA7625" w:rsidRDefault="00125707">
      <w:pPr>
        <w:pStyle w:val="InstructionsText2"/>
        <w:numPr>
          <w:ilvl w:val="0"/>
          <w:numId w:val="0"/>
        </w:numPr>
        <w:ind w:left="993"/>
      </w:pPr>
      <w:r w:rsidRPr="00DA7625">
        <w:t>150. Ezen a táblán az egyes devizákban lévő pozíciókról (ideértve a beszámoló pénznemét is), valamint ezekhez kapcsolódóan a devizaárfolyam-kockázatra vonatkozó, sztenderd módszer szerinti szavatolótőke-követelményről kell az intézményeknek adatot szolgáltatniuk. A pozíciót az egyes pénznemekre (ideértve az EUR-t is), aranyra, valamint a kollektív befektetési formákra is ki kell számítani.</w:t>
      </w:r>
    </w:p>
    <w:p w14:paraId="572D06D9" w14:textId="311A63CD" w:rsidR="001B1411" w:rsidRPr="00DA7625" w:rsidRDefault="00125707">
      <w:pPr>
        <w:pStyle w:val="InstructionsText2"/>
        <w:numPr>
          <w:ilvl w:val="0"/>
          <w:numId w:val="0"/>
        </w:numPr>
        <w:ind w:left="993"/>
      </w:pPr>
      <w:r w:rsidRPr="00DA7625">
        <w:t>151.</w:t>
      </w:r>
      <w:r w:rsidRPr="00DA7625">
        <w:tab/>
        <w:t xml:space="preserve"> A tábla 100–480. sorában akkor is adatot kell szolgáltatni, ha az intézmény nem köteles szavatolótőke-követelményt számolni a devizaárfolyam-kockázatra a CRR 351. cikke szerint. E tájékoztató adatok körében a beszámoló pénznemében lévő összes pozíciót is jelenteni kell, függetlenül attól, hogy ezeket figyelembe veszik-e a CRR 354. cikkének alkalmazásában. A tábla tájékoztató adatainak 130–480-as sorát külön-külön ki kell tölteni az Unió tagállamaiban használt valamennyi pénznemre, a következő pénznemekre: USD, CHF, JPY, RUB, TRY, AUD, CAD, RSD, ALL, UAH, MKD, EGP, ARS, BRL, MXN, HKD, ICK, TWD, NZD, NOK, SGD, KRW, CNY, valamint minden egyéb pénznemre.</w:t>
      </w:r>
    </w:p>
    <w:p w14:paraId="756CA95E"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98" w:name="_Toc31018844"/>
      <w:r w:rsidRPr="00DA7625">
        <w:rPr>
          <w:rFonts w:ascii="Times New Roman" w:hAnsi="Times New Roman"/>
          <w:sz w:val="24"/>
          <w:u w:val="none"/>
        </w:rPr>
        <w:t>5.5.2.</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1B1411" w:rsidRPr="00DA7625" w14:paraId="7796681E" w14:textId="77777777" w:rsidTr="00672D2A">
        <w:trPr>
          <w:trHeight w:val="595"/>
        </w:trPr>
        <w:tc>
          <w:tcPr>
            <w:tcW w:w="8862" w:type="dxa"/>
            <w:gridSpan w:val="2"/>
            <w:shd w:val="clear" w:color="auto" w:fill="CCCCCC"/>
          </w:tcPr>
          <w:p w14:paraId="64AA629F" w14:textId="77777777" w:rsidR="001B1411" w:rsidRPr="00DA7625" w:rsidRDefault="000B0B09">
            <w:pPr>
              <w:autoSpaceDE w:val="0"/>
              <w:autoSpaceDN w:val="0"/>
              <w:adjustRightInd w:val="0"/>
              <w:spacing w:after="0"/>
              <w:rPr>
                <w:rFonts w:ascii="Times New Roman" w:hAnsi="Times New Roman"/>
                <w:b/>
                <w:sz w:val="24"/>
              </w:rPr>
            </w:pPr>
            <w:r w:rsidRPr="00DA7625">
              <w:rPr>
                <w:rFonts w:ascii="Times New Roman" w:hAnsi="Times New Roman"/>
                <w:b/>
                <w:sz w:val="24"/>
              </w:rPr>
              <w:t>Oszlop</w:t>
            </w:r>
          </w:p>
        </w:tc>
      </w:tr>
      <w:tr w:rsidR="001B1411" w:rsidRPr="00DA7625" w14:paraId="48023067" w14:textId="77777777" w:rsidTr="00672D2A">
        <w:tc>
          <w:tcPr>
            <w:tcW w:w="988" w:type="dxa"/>
          </w:tcPr>
          <w:p w14:paraId="6025387D"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020–030</w:t>
            </w:r>
          </w:p>
          <w:p w14:paraId="0EF4FB57" w14:textId="77777777" w:rsidR="001B1411" w:rsidRPr="00DA7625" w:rsidRDefault="001B1411">
            <w:pPr>
              <w:autoSpaceDE w:val="0"/>
              <w:autoSpaceDN w:val="0"/>
              <w:adjustRightInd w:val="0"/>
              <w:spacing w:before="0" w:after="0"/>
              <w:rPr>
                <w:rFonts w:ascii="Times New Roman" w:hAnsi="Times New Roman"/>
                <w:sz w:val="24"/>
              </w:rPr>
            </w:pPr>
          </w:p>
        </w:tc>
        <w:tc>
          <w:tcPr>
            <w:tcW w:w="7874" w:type="dxa"/>
          </w:tcPr>
          <w:p w14:paraId="675AE99B"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ÖSSZES POZÍCIÓ (HOSSZÚ ÉS RÖVID)</w:t>
            </w:r>
          </w:p>
          <w:p w14:paraId="25C0D792" w14:textId="77777777" w:rsidR="001B1411" w:rsidRPr="00DA7625" w:rsidRDefault="001B1411">
            <w:pPr>
              <w:autoSpaceDE w:val="0"/>
              <w:autoSpaceDN w:val="0"/>
              <w:adjustRightInd w:val="0"/>
              <w:spacing w:before="0" w:after="0"/>
              <w:rPr>
                <w:rFonts w:ascii="Times New Roman" w:hAnsi="Times New Roman"/>
                <w:sz w:val="24"/>
              </w:rPr>
            </w:pPr>
          </w:p>
          <w:p w14:paraId="721AC3F8" w14:textId="5705D821" w:rsidR="001B1411" w:rsidRPr="00DA7625" w:rsidRDefault="000B0B09">
            <w:pPr>
              <w:autoSpaceDE w:val="0"/>
              <w:autoSpaceDN w:val="0"/>
              <w:adjustRightInd w:val="0"/>
              <w:spacing w:before="0"/>
              <w:rPr>
                <w:rFonts w:ascii="Times New Roman" w:hAnsi="Times New Roman"/>
                <w:sz w:val="24"/>
              </w:rPr>
            </w:pPr>
            <w:r w:rsidRPr="00DA7625">
              <w:rPr>
                <w:rFonts w:ascii="Times New Roman" w:hAnsi="Times New Roman"/>
                <w:sz w:val="24"/>
              </w:rPr>
              <w:t>Az eszközökből, a jövőben befolyó összegekből és a CRR 352. cikkének (1) bekezdésében említett egyéb tételekből eredő bruttó pozíciók.</w:t>
            </w:r>
          </w:p>
          <w:p w14:paraId="07DCE953" w14:textId="16415C68" w:rsidR="001B1411" w:rsidRPr="00DA7625" w:rsidRDefault="00BB22D4">
            <w:pPr>
              <w:autoSpaceDE w:val="0"/>
              <w:autoSpaceDN w:val="0"/>
              <w:adjustRightInd w:val="0"/>
              <w:spacing w:before="0" w:after="0"/>
              <w:rPr>
                <w:rFonts w:ascii="Times New Roman" w:hAnsi="Times New Roman"/>
                <w:sz w:val="24"/>
              </w:rPr>
            </w:pPr>
            <w:r w:rsidRPr="00DA7625">
              <w:rPr>
                <w:rFonts w:ascii="Times New Roman" w:hAnsi="Times New Roman"/>
                <w:sz w:val="24"/>
              </w:rPr>
              <w:t>A CRR 352. cikkének (2) bekezdése alapján és az illetékes hatóságok engedélyének függvényében nem tüntetendők fel azok a pozíciók, amelyeket az intézmény kifejezetten azért vállal, hogy ezzel a devizaárfolyamnak a CRR 92. cikkének (1) bekezdése szerinti tőkemegfelelési mutatókra gyakorolt negatív hatását fedezze, és az olyan tételekhez kapcsolódó pozíciók sem, amelyeket a szavatolótőke-számítás során már levontak.</w:t>
            </w:r>
          </w:p>
          <w:p w14:paraId="40EFBBBE" w14:textId="77777777" w:rsidR="001B1411" w:rsidRPr="00DA7625" w:rsidRDefault="001B1411">
            <w:pPr>
              <w:autoSpaceDE w:val="0"/>
              <w:autoSpaceDN w:val="0"/>
              <w:adjustRightInd w:val="0"/>
              <w:spacing w:before="0" w:after="0"/>
              <w:rPr>
                <w:rFonts w:ascii="Times New Roman" w:hAnsi="Times New Roman"/>
                <w:sz w:val="24"/>
              </w:rPr>
            </w:pPr>
          </w:p>
        </w:tc>
      </w:tr>
      <w:tr w:rsidR="001B1411" w:rsidRPr="00DA7625" w14:paraId="76AE6473" w14:textId="77777777" w:rsidTr="00672D2A">
        <w:tc>
          <w:tcPr>
            <w:tcW w:w="988" w:type="dxa"/>
          </w:tcPr>
          <w:p w14:paraId="1707CB18"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040–050</w:t>
            </w:r>
          </w:p>
        </w:tc>
        <w:tc>
          <w:tcPr>
            <w:tcW w:w="7874" w:type="dxa"/>
          </w:tcPr>
          <w:p w14:paraId="21070BDF"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NETTÓ POZÍCIÓK (HOSSZÚ ÉS RÖVID)</w:t>
            </w:r>
          </w:p>
          <w:p w14:paraId="265F2DAD" w14:textId="77777777" w:rsidR="001B1411" w:rsidRPr="00DA7625" w:rsidRDefault="001B1411">
            <w:pPr>
              <w:autoSpaceDE w:val="0"/>
              <w:autoSpaceDN w:val="0"/>
              <w:adjustRightInd w:val="0"/>
              <w:spacing w:before="0" w:after="0"/>
              <w:rPr>
                <w:rFonts w:ascii="Times New Roman" w:hAnsi="Times New Roman"/>
                <w:sz w:val="24"/>
              </w:rPr>
            </w:pPr>
          </w:p>
          <w:p w14:paraId="2C67FA26" w14:textId="18050CCD" w:rsidR="001B1411" w:rsidRPr="00DA7625" w:rsidRDefault="000B0B09">
            <w:pPr>
              <w:autoSpaceDE w:val="0"/>
              <w:autoSpaceDN w:val="0"/>
              <w:adjustRightInd w:val="0"/>
              <w:spacing w:before="0"/>
              <w:rPr>
                <w:rFonts w:ascii="Times New Roman" w:hAnsi="Times New Roman"/>
                <w:sz w:val="24"/>
              </w:rPr>
            </w:pPr>
            <w:r w:rsidRPr="00DA7625">
              <w:rPr>
                <w:rFonts w:ascii="Times New Roman" w:hAnsi="Times New Roman"/>
                <w:sz w:val="24"/>
              </w:rPr>
              <w:t>A CRR 352. cikkének (3) bekezdése, 352. cikke (4) bekezdésének első két mondata, valamint 353. cikke</w:t>
            </w:r>
          </w:p>
          <w:p w14:paraId="2BF45567" w14:textId="42C6953C"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A nettó pozíciókat pénznemenként kell kiszámítani a CRR 352. cikkének (1) bekezdése szerint. Következésképpen a hosszú és a rövid pozíciókat egyszerre lehet jelenteni.</w:t>
            </w:r>
          </w:p>
          <w:p w14:paraId="577D22D7" w14:textId="77777777" w:rsidR="001B1411" w:rsidRPr="00DA7625" w:rsidRDefault="001B1411">
            <w:pPr>
              <w:autoSpaceDE w:val="0"/>
              <w:autoSpaceDN w:val="0"/>
              <w:adjustRightInd w:val="0"/>
              <w:spacing w:before="0" w:after="0"/>
              <w:rPr>
                <w:rFonts w:ascii="Times New Roman" w:hAnsi="Times New Roman"/>
                <w:sz w:val="24"/>
              </w:rPr>
            </w:pPr>
          </w:p>
        </w:tc>
      </w:tr>
      <w:tr w:rsidR="001B1411" w:rsidRPr="00DA7625" w14:paraId="3D0085D3" w14:textId="77777777" w:rsidTr="00672D2A">
        <w:tc>
          <w:tcPr>
            <w:tcW w:w="988" w:type="dxa"/>
          </w:tcPr>
          <w:p w14:paraId="1B508185"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060–080</w:t>
            </w:r>
          </w:p>
        </w:tc>
        <w:tc>
          <w:tcPr>
            <w:tcW w:w="7874" w:type="dxa"/>
          </w:tcPr>
          <w:p w14:paraId="7A859AF6"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TŐKEKÖVETELMÉNNYEL ÉRINTETT POZÍCIÓK</w:t>
            </w:r>
          </w:p>
          <w:p w14:paraId="7296D2CA" w14:textId="77777777" w:rsidR="001B1411" w:rsidRPr="00DA7625" w:rsidRDefault="001B1411">
            <w:pPr>
              <w:autoSpaceDE w:val="0"/>
              <w:autoSpaceDN w:val="0"/>
              <w:adjustRightInd w:val="0"/>
              <w:spacing w:before="0" w:after="0"/>
              <w:rPr>
                <w:rFonts w:ascii="Times New Roman" w:hAnsi="Times New Roman"/>
                <w:sz w:val="24"/>
              </w:rPr>
            </w:pPr>
          </w:p>
          <w:p w14:paraId="1F21804D" w14:textId="608C7F15" w:rsidR="001B1411" w:rsidRPr="00DA7625" w:rsidRDefault="00705025">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 CRR 352. cikke (4) bekezdésének harmadik mondata, valamint 353. és 354. cikke </w:t>
            </w:r>
          </w:p>
          <w:p w14:paraId="6343D99F"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5EB37095" w14:textId="77777777" w:rsidTr="00672D2A">
        <w:tc>
          <w:tcPr>
            <w:tcW w:w="988" w:type="dxa"/>
          </w:tcPr>
          <w:p w14:paraId="581ABA0E"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060–070</w:t>
            </w:r>
          </w:p>
        </w:tc>
        <w:tc>
          <w:tcPr>
            <w:tcW w:w="7874" w:type="dxa"/>
          </w:tcPr>
          <w:p w14:paraId="14609317"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b/>
                <w:bCs/>
                <w:sz w:val="24"/>
                <w:u w:val="single"/>
              </w:rPr>
              <w:t>TŐKEKÖVETELMÉNNYEL ÉRINTETT POZÍCIÓK (HOSSZÚ ÉS RÖVID)</w:t>
            </w:r>
          </w:p>
          <w:p w14:paraId="57F79153" w14:textId="08F42552" w:rsidR="001B1411" w:rsidRPr="00DA7625" w:rsidRDefault="000B0B09">
            <w:pPr>
              <w:autoSpaceDE w:val="0"/>
              <w:autoSpaceDN w:val="0"/>
              <w:adjustRightInd w:val="0"/>
              <w:spacing w:after="0"/>
              <w:rPr>
                <w:rFonts w:ascii="Times New Roman" w:hAnsi="Times New Roman"/>
                <w:sz w:val="24"/>
              </w:rPr>
            </w:pPr>
            <w:r w:rsidRPr="00DA7625">
              <w:rPr>
                <w:rFonts w:ascii="Times New Roman" w:hAnsi="Times New Roman"/>
                <w:sz w:val="24"/>
              </w:rPr>
              <w:t>Az egyes pénznemekben lévő nettó hosszú és rövid pozíciókat a rövid pozíciók összegének a hosszú pozíciók összegéből való kivonásával kell kiszámítani.</w:t>
            </w:r>
          </w:p>
          <w:p w14:paraId="4F8F114A" w14:textId="1948625B" w:rsidR="001B1411" w:rsidRPr="00DA7625" w:rsidRDefault="000B0B09">
            <w:pPr>
              <w:autoSpaceDE w:val="0"/>
              <w:autoSpaceDN w:val="0"/>
              <w:adjustRightInd w:val="0"/>
              <w:spacing w:after="0"/>
              <w:rPr>
                <w:rFonts w:ascii="Times New Roman" w:hAnsi="Times New Roman"/>
                <w:sz w:val="24"/>
              </w:rPr>
            </w:pPr>
            <w:r w:rsidRPr="00DA7625">
              <w:rPr>
                <w:rFonts w:ascii="Times New Roman" w:hAnsi="Times New Roman"/>
                <w:sz w:val="24"/>
              </w:rPr>
              <w:t>Egy pénznemben meglévő nettó hosszú pozíció az adott pénznemben végrehajtott műveletekhez tartozó nettó hosszú pozíciók összeadásával számítható ki.</w:t>
            </w:r>
          </w:p>
          <w:p w14:paraId="3E97328D" w14:textId="08F1ECF1" w:rsidR="001B1411" w:rsidRPr="00DA7625" w:rsidRDefault="000B0B09">
            <w:pPr>
              <w:autoSpaceDE w:val="0"/>
              <w:autoSpaceDN w:val="0"/>
              <w:adjustRightInd w:val="0"/>
              <w:spacing w:after="0"/>
              <w:rPr>
                <w:rFonts w:ascii="Times New Roman" w:hAnsi="Times New Roman"/>
                <w:sz w:val="24"/>
              </w:rPr>
            </w:pPr>
            <w:r w:rsidRPr="00DA7625">
              <w:rPr>
                <w:rFonts w:ascii="Times New Roman" w:hAnsi="Times New Roman"/>
                <w:sz w:val="24"/>
              </w:rPr>
              <w:t>Egy pénznemben meglévő nettó rövid pozíció az adott pénznemben végrehajtott műveletekhez tartozó nettó rövid pozíciók összeadásával számítható ki.</w:t>
            </w:r>
          </w:p>
          <w:p w14:paraId="497B2FED" w14:textId="04EDB455" w:rsidR="001B1411" w:rsidRPr="00DA7625" w:rsidRDefault="000B0B09">
            <w:pPr>
              <w:autoSpaceDE w:val="0"/>
              <w:autoSpaceDN w:val="0"/>
              <w:adjustRightInd w:val="0"/>
              <w:spacing w:after="0"/>
              <w:rPr>
                <w:rFonts w:ascii="Times New Roman" w:hAnsi="Times New Roman"/>
                <w:sz w:val="24"/>
              </w:rPr>
            </w:pPr>
            <w:r w:rsidRPr="00DA7625">
              <w:rPr>
                <w:rFonts w:ascii="Times New Roman" w:hAnsi="Times New Roman"/>
                <w:sz w:val="24"/>
              </w:rPr>
              <w:t>A beszámoló pénznemén kívüli pénznemben lévő kiegyenlítetlen pozíciókat az egyéb pénznemben lévő, tőkekövetelménnyel érintett pozíciókhoz (030-as sor) kell adni a 060-as vagy 070-es oszlopban attól függően, hogy a pozíciók rövidek vagy hosszúak.</w:t>
            </w:r>
          </w:p>
          <w:p w14:paraId="15EA75BC"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2AF0BC2C" w14:textId="77777777" w:rsidTr="00672D2A">
        <w:tc>
          <w:tcPr>
            <w:tcW w:w="988" w:type="dxa"/>
          </w:tcPr>
          <w:p w14:paraId="24F2E251"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080</w:t>
            </w:r>
          </w:p>
        </w:tc>
        <w:tc>
          <w:tcPr>
            <w:tcW w:w="7874" w:type="dxa"/>
          </w:tcPr>
          <w:p w14:paraId="14E0FD45"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TŐKEKÖVETELMÉNNYEL ÉRINTETT POZÍCIÓK (KIEGYENLÍTETT)</w:t>
            </w:r>
          </w:p>
          <w:p w14:paraId="1660EA41" w14:textId="77777777" w:rsidR="001B1411" w:rsidRPr="00DA7625" w:rsidRDefault="001B1411">
            <w:pPr>
              <w:autoSpaceDE w:val="0"/>
              <w:autoSpaceDN w:val="0"/>
              <w:adjustRightInd w:val="0"/>
              <w:spacing w:before="0" w:after="0"/>
              <w:rPr>
                <w:rFonts w:ascii="Times New Roman" w:hAnsi="Times New Roman"/>
                <w:sz w:val="24"/>
              </w:rPr>
            </w:pPr>
          </w:p>
          <w:p w14:paraId="1F077D35"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Egymással nagymértékben korreláló pénznemekben lévő kiegyenlített pozíciók.</w:t>
            </w:r>
          </w:p>
          <w:p w14:paraId="7D5B1991"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666A5D00" w14:textId="77777777" w:rsidTr="00672D2A">
        <w:tc>
          <w:tcPr>
            <w:tcW w:w="988" w:type="dxa"/>
          </w:tcPr>
          <w:p w14:paraId="706FBE6C"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090</w:t>
            </w:r>
          </w:p>
        </w:tc>
        <w:tc>
          <w:tcPr>
            <w:tcW w:w="7874" w:type="dxa"/>
          </w:tcPr>
          <w:p w14:paraId="09E9184B"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SZAVATOLÓTŐKE-KÖVETELMÉNY</w:t>
            </w:r>
          </w:p>
          <w:p w14:paraId="4E55ADD1" w14:textId="77777777" w:rsidR="001B1411" w:rsidRPr="00DA7625" w:rsidRDefault="001B1411">
            <w:pPr>
              <w:autoSpaceDE w:val="0"/>
              <w:autoSpaceDN w:val="0"/>
              <w:adjustRightInd w:val="0"/>
              <w:spacing w:before="0" w:after="0"/>
              <w:rPr>
                <w:rFonts w:ascii="Times New Roman" w:hAnsi="Times New Roman"/>
                <w:b/>
                <w:bCs/>
                <w:sz w:val="24"/>
                <w:u w:val="single"/>
              </w:rPr>
            </w:pPr>
          </w:p>
          <w:p w14:paraId="47FA0A16" w14:textId="15E84DBC"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 CRR harmadik része IV. címének 3. fejezete szerint releváns pozíciók tőkekövetelménye. </w:t>
            </w:r>
          </w:p>
          <w:p w14:paraId="5E61BBB1"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2368BE23" w14:textId="77777777" w:rsidTr="00672D2A">
        <w:tc>
          <w:tcPr>
            <w:tcW w:w="988" w:type="dxa"/>
          </w:tcPr>
          <w:p w14:paraId="197EB1D4"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100</w:t>
            </w:r>
          </w:p>
        </w:tc>
        <w:tc>
          <w:tcPr>
            <w:tcW w:w="7874" w:type="dxa"/>
          </w:tcPr>
          <w:p w14:paraId="2C78C9EA" w14:textId="77777777" w:rsidR="001B1411" w:rsidRPr="00DA7625" w:rsidRDefault="000B0B09">
            <w:pPr>
              <w:tabs>
                <w:tab w:val="left" w:pos="1665"/>
              </w:tabs>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TELJES KOCKÁZATI KITETTSÉGÉRTÉK</w:t>
            </w:r>
          </w:p>
          <w:p w14:paraId="30E6DCD1" w14:textId="77777777" w:rsidR="001B1411" w:rsidRPr="00DA7625" w:rsidRDefault="001B1411">
            <w:pPr>
              <w:tabs>
                <w:tab w:val="left" w:pos="1665"/>
              </w:tabs>
              <w:autoSpaceDE w:val="0"/>
              <w:autoSpaceDN w:val="0"/>
              <w:adjustRightInd w:val="0"/>
              <w:spacing w:before="0" w:after="0"/>
              <w:rPr>
                <w:rFonts w:ascii="Times New Roman" w:hAnsi="Times New Roman"/>
                <w:b/>
                <w:bCs/>
                <w:sz w:val="24"/>
                <w:u w:val="single"/>
              </w:rPr>
            </w:pPr>
          </w:p>
          <w:p w14:paraId="23B20A5B" w14:textId="7DA97E3B" w:rsidR="001B1411" w:rsidRPr="00DA7625" w:rsidRDefault="00D21B29">
            <w:pPr>
              <w:tabs>
                <w:tab w:val="left" w:pos="1665"/>
              </w:tabs>
              <w:autoSpaceDE w:val="0"/>
              <w:autoSpaceDN w:val="0"/>
              <w:adjustRightInd w:val="0"/>
              <w:spacing w:before="0"/>
              <w:rPr>
                <w:rFonts w:ascii="Times New Roman" w:hAnsi="Times New Roman"/>
                <w:sz w:val="24"/>
              </w:rPr>
            </w:pPr>
            <w:r w:rsidRPr="00DA7625">
              <w:rPr>
                <w:rFonts w:ascii="Times New Roman" w:hAnsi="Times New Roman"/>
                <w:sz w:val="24"/>
              </w:rPr>
              <w:t>A CRR 92. cikke (4) bekezdésének b) pontja</w:t>
            </w:r>
          </w:p>
          <w:p w14:paraId="00440307" w14:textId="6A5C8E20" w:rsidR="001B1411" w:rsidRPr="00DA7625" w:rsidRDefault="000B0B09">
            <w:pPr>
              <w:tabs>
                <w:tab w:val="left" w:pos="1665"/>
              </w:tabs>
              <w:autoSpaceDE w:val="0"/>
              <w:autoSpaceDN w:val="0"/>
              <w:adjustRightInd w:val="0"/>
              <w:spacing w:before="0" w:after="0"/>
              <w:rPr>
                <w:rFonts w:ascii="Times New Roman" w:hAnsi="Times New Roman"/>
                <w:sz w:val="24"/>
              </w:rPr>
            </w:pPr>
            <w:r w:rsidRPr="00DA7625">
              <w:rPr>
                <w:rFonts w:ascii="Times New Roman" w:hAnsi="Times New Roman"/>
                <w:sz w:val="24"/>
              </w:rPr>
              <w:t xml:space="preserve">A szavatolótőke-követelmény 12,5-del való szorzásának az eredménye. </w:t>
            </w:r>
          </w:p>
          <w:p w14:paraId="4C34DF56" w14:textId="77777777" w:rsidR="001B1411" w:rsidRPr="00DA7625" w:rsidRDefault="001B1411">
            <w:pPr>
              <w:tabs>
                <w:tab w:val="left" w:pos="1665"/>
              </w:tabs>
              <w:autoSpaceDE w:val="0"/>
              <w:autoSpaceDN w:val="0"/>
              <w:adjustRightInd w:val="0"/>
              <w:spacing w:before="0" w:after="0"/>
              <w:rPr>
                <w:rFonts w:ascii="Times New Roman" w:hAnsi="Times New Roman"/>
                <w:b/>
                <w:bCs/>
                <w:sz w:val="24"/>
                <w:u w:val="single"/>
              </w:rPr>
            </w:pPr>
          </w:p>
        </w:tc>
      </w:tr>
    </w:tbl>
    <w:p w14:paraId="0453090E" w14:textId="77777777" w:rsidR="001B1411" w:rsidRPr="00DA7625" w:rsidRDefault="001B1411">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1B1411" w:rsidRPr="00DA7625" w14:paraId="09A7A9C0" w14:textId="77777777" w:rsidTr="00672D2A">
        <w:trPr>
          <w:trHeight w:val="497"/>
        </w:trPr>
        <w:tc>
          <w:tcPr>
            <w:tcW w:w="8862" w:type="dxa"/>
            <w:gridSpan w:val="2"/>
            <w:shd w:val="clear" w:color="auto" w:fill="CCCCCC"/>
          </w:tcPr>
          <w:p w14:paraId="008F0461" w14:textId="77777777" w:rsidR="001B1411" w:rsidRPr="00DA7625" w:rsidRDefault="000B0B09">
            <w:pPr>
              <w:autoSpaceDE w:val="0"/>
              <w:autoSpaceDN w:val="0"/>
              <w:adjustRightInd w:val="0"/>
              <w:spacing w:after="0"/>
              <w:rPr>
                <w:rFonts w:ascii="Times New Roman" w:hAnsi="Times New Roman"/>
                <w:b/>
                <w:sz w:val="24"/>
              </w:rPr>
            </w:pPr>
            <w:r w:rsidRPr="00DA7625">
              <w:rPr>
                <w:rFonts w:ascii="Times New Roman" w:hAnsi="Times New Roman"/>
                <w:b/>
                <w:sz w:val="24"/>
              </w:rPr>
              <w:t>Sor</w:t>
            </w:r>
          </w:p>
        </w:tc>
      </w:tr>
      <w:tr w:rsidR="001B1411" w:rsidRPr="00DA7625" w14:paraId="5C001F68" w14:textId="77777777" w:rsidTr="00672D2A">
        <w:tc>
          <w:tcPr>
            <w:tcW w:w="991" w:type="dxa"/>
          </w:tcPr>
          <w:p w14:paraId="0027DA2F"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010</w:t>
            </w:r>
          </w:p>
        </w:tc>
        <w:tc>
          <w:tcPr>
            <w:tcW w:w="7871" w:type="dxa"/>
          </w:tcPr>
          <w:p w14:paraId="13E9FB3B"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POZÍCIÓK ÖSSZESEN</w:t>
            </w:r>
          </w:p>
          <w:p w14:paraId="1257C078" w14:textId="77777777" w:rsidR="001B1411" w:rsidRPr="00DA7625" w:rsidRDefault="001B1411">
            <w:pPr>
              <w:autoSpaceDE w:val="0"/>
              <w:autoSpaceDN w:val="0"/>
              <w:adjustRightInd w:val="0"/>
              <w:spacing w:before="0" w:after="0"/>
              <w:rPr>
                <w:rFonts w:ascii="Times New Roman" w:hAnsi="Times New Roman"/>
                <w:sz w:val="24"/>
              </w:rPr>
            </w:pPr>
          </w:p>
          <w:p w14:paraId="4B7F845E" w14:textId="11A82F64" w:rsidR="001B1411" w:rsidRPr="00DA7625" w:rsidRDefault="00491F4D">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A nem a beszámoló pénznemében meglévő összes pozíció és a beszámoló pénznemében lévő azon pozíciók, amelyeket figyelembe vesznek a CRR 354. cikke alkalmazásában, valamint az ezekhez kapcsolódó, a devizaárfolyam-kockázatra vonatkozó szavatolótőke-követelmény a CRR 92. cikke (3) bekezdése c) pontjának i. alpontjában említettek szerint, figyelembe véve a CRR 352. cikkének (2) és (4) bekezdését (a beszámoló pénznemére történő átváltás tekintetében).</w:t>
            </w:r>
          </w:p>
          <w:p w14:paraId="7605EA72" w14:textId="77777777" w:rsidR="001B1411" w:rsidRPr="00DA7625" w:rsidRDefault="001B1411">
            <w:pPr>
              <w:autoSpaceDE w:val="0"/>
              <w:autoSpaceDN w:val="0"/>
              <w:adjustRightInd w:val="0"/>
              <w:spacing w:before="0" w:after="0"/>
              <w:rPr>
                <w:rFonts w:ascii="Times New Roman" w:hAnsi="Times New Roman"/>
                <w:sz w:val="24"/>
              </w:rPr>
            </w:pPr>
          </w:p>
        </w:tc>
      </w:tr>
      <w:tr w:rsidR="001B1411" w:rsidRPr="00DA7625" w14:paraId="30F009A5" w14:textId="77777777" w:rsidTr="00672D2A">
        <w:tc>
          <w:tcPr>
            <w:tcW w:w="991" w:type="dxa"/>
          </w:tcPr>
          <w:p w14:paraId="0BC1CCB3"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020</w:t>
            </w:r>
          </w:p>
        </w:tc>
        <w:tc>
          <w:tcPr>
            <w:tcW w:w="7871" w:type="dxa"/>
          </w:tcPr>
          <w:p w14:paraId="24D6A26E"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EGYMÁSSAL NAGYMÉRTÉKBEN KORRELÁLÓ PÉNZNEMEK</w:t>
            </w:r>
          </w:p>
          <w:p w14:paraId="592220AA" w14:textId="77777777" w:rsidR="001B1411" w:rsidRPr="00DA7625" w:rsidRDefault="001B1411">
            <w:pPr>
              <w:autoSpaceDE w:val="0"/>
              <w:autoSpaceDN w:val="0"/>
              <w:adjustRightInd w:val="0"/>
              <w:spacing w:before="0" w:after="0"/>
              <w:rPr>
                <w:rFonts w:ascii="Times New Roman" w:hAnsi="Times New Roman"/>
                <w:sz w:val="24"/>
              </w:rPr>
            </w:pPr>
          </w:p>
          <w:p w14:paraId="0D4BF746" w14:textId="7C2ED36F"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A CRR 354. cikkében említett, egymással nagymértékben korreláló pénznemekben lévő pozíciók, valamint az ezekhez kapcsolódó szavatolótőke-követelmény.</w:t>
            </w:r>
          </w:p>
          <w:p w14:paraId="3659DFEB" w14:textId="77777777" w:rsidR="001B1411" w:rsidRPr="00DA7625" w:rsidRDefault="001B1411">
            <w:pPr>
              <w:autoSpaceDE w:val="0"/>
              <w:autoSpaceDN w:val="0"/>
              <w:adjustRightInd w:val="0"/>
              <w:spacing w:before="0" w:after="0"/>
              <w:rPr>
                <w:rFonts w:ascii="Times New Roman" w:hAnsi="Times New Roman"/>
                <w:sz w:val="24"/>
              </w:rPr>
            </w:pPr>
          </w:p>
        </w:tc>
      </w:tr>
      <w:tr w:rsidR="001B1411" w:rsidRPr="00DA7625" w14:paraId="41510BBE" w14:textId="77777777" w:rsidTr="00672D2A">
        <w:tc>
          <w:tcPr>
            <w:tcW w:w="991" w:type="dxa"/>
          </w:tcPr>
          <w:p w14:paraId="03AEDF87" w14:textId="77777777" w:rsidR="001B1411" w:rsidRPr="00DA7625" w:rsidRDefault="00491F4D">
            <w:pPr>
              <w:autoSpaceDE w:val="0"/>
              <w:autoSpaceDN w:val="0"/>
              <w:adjustRightInd w:val="0"/>
              <w:spacing w:before="0" w:after="0"/>
              <w:rPr>
                <w:rFonts w:ascii="Times New Roman" w:hAnsi="Times New Roman"/>
                <w:sz w:val="24"/>
              </w:rPr>
            </w:pPr>
            <w:r w:rsidRPr="00DA7625">
              <w:rPr>
                <w:rFonts w:ascii="Times New Roman" w:hAnsi="Times New Roman"/>
                <w:sz w:val="24"/>
              </w:rPr>
              <w:t>025</w:t>
            </w:r>
          </w:p>
        </w:tc>
        <w:tc>
          <w:tcPr>
            <w:tcW w:w="7871" w:type="dxa"/>
          </w:tcPr>
          <w:p w14:paraId="66C1F6B0" w14:textId="77777777" w:rsidR="001B1411" w:rsidRPr="00DA7625" w:rsidRDefault="00491F4D">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 xml:space="preserve">Egymással nagymértékben korreláló pénznemek: </w:t>
            </w:r>
            <w:r w:rsidRPr="00DA7625">
              <w:rPr>
                <w:rFonts w:ascii="Times New Roman" w:hAnsi="Times New Roman"/>
                <w:b/>
                <w:bCs/>
                <w:i/>
                <w:sz w:val="24"/>
                <w:u w:val="single"/>
              </w:rPr>
              <w:t>Ebből</w:t>
            </w:r>
            <w:r w:rsidRPr="00DA7625">
              <w:rPr>
                <w:rFonts w:ascii="Times New Roman" w:hAnsi="Times New Roman"/>
                <w:b/>
                <w:bCs/>
                <w:sz w:val="24"/>
                <w:u w:val="single"/>
              </w:rPr>
              <w:t>: a beszámoló pénzneme</w:t>
            </w:r>
          </w:p>
          <w:p w14:paraId="3A21A411" w14:textId="77777777" w:rsidR="001B1411" w:rsidRPr="00DA7625" w:rsidRDefault="001B1411">
            <w:pPr>
              <w:autoSpaceDE w:val="0"/>
              <w:autoSpaceDN w:val="0"/>
              <w:adjustRightInd w:val="0"/>
              <w:spacing w:before="0" w:after="0"/>
              <w:rPr>
                <w:rFonts w:ascii="Times New Roman" w:hAnsi="Times New Roman"/>
                <w:sz w:val="24"/>
              </w:rPr>
            </w:pPr>
          </w:p>
          <w:p w14:paraId="379FE9C2" w14:textId="231CFECC" w:rsidR="001B1411" w:rsidRPr="00DA7625" w:rsidRDefault="00491F4D">
            <w:pPr>
              <w:autoSpaceDE w:val="0"/>
              <w:autoSpaceDN w:val="0"/>
              <w:adjustRightInd w:val="0"/>
              <w:spacing w:before="0" w:after="0"/>
              <w:rPr>
                <w:rFonts w:ascii="Times New Roman" w:hAnsi="Times New Roman"/>
                <w:sz w:val="24"/>
              </w:rPr>
            </w:pPr>
            <w:r w:rsidRPr="00DA7625">
              <w:rPr>
                <w:rFonts w:ascii="Times New Roman" w:hAnsi="Times New Roman"/>
                <w:sz w:val="24"/>
              </w:rPr>
              <w:t>A beszámoló pénznemében lévő pozíciók, amelyeket figyelembe vesznek a szavatolótőke-követelmény CRR 354. cikke szerinti kiszámítása során.</w:t>
            </w:r>
          </w:p>
          <w:p w14:paraId="0CD77931"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304C357C" w14:textId="77777777" w:rsidTr="00672D2A">
        <w:tc>
          <w:tcPr>
            <w:tcW w:w="991" w:type="dxa"/>
          </w:tcPr>
          <w:p w14:paraId="5D3C41AD"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030</w:t>
            </w:r>
          </w:p>
        </w:tc>
        <w:tc>
          <w:tcPr>
            <w:tcW w:w="7871" w:type="dxa"/>
          </w:tcPr>
          <w:p w14:paraId="6BB078E4"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MINDEN EGYÉB PÉNZNEM (a kollektív befektetési formákat külön pénznemként kezelve)</w:t>
            </w:r>
          </w:p>
          <w:p w14:paraId="6C1AA402" w14:textId="77777777" w:rsidR="001B1411" w:rsidRPr="00DA7625" w:rsidRDefault="001B1411">
            <w:pPr>
              <w:autoSpaceDE w:val="0"/>
              <w:autoSpaceDN w:val="0"/>
              <w:adjustRightInd w:val="0"/>
              <w:spacing w:before="0" w:after="0"/>
              <w:rPr>
                <w:rFonts w:ascii="Times New Roman" w:hAnsi="Times New Roman"/>
                <w:b/>
                <w:bCs/>
                <w:sz w:val="24"/>
                <w:u w:val="single"/>
              </w:rPr>
            </w:pPr>
          </w:p>
          <w:p w14:paraId="5512D131" w14:textId="1994CA91"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A CRR 351. cikkében, valamint 352. cikkének (2) és (4) bekezdésében említett általános eljárás alkalmazási körébe tartozó pénznemekben lévő pozíciók, valamint az ezekhez kapcsolódó szavatolótőke-követelmény.</w:t>
            </w:r>
          </w:p>
          <w:p w14:paraId="4DF0375E" w14:textId="77777777" w:rsidR="001B1411" w:rsidRPr="00DA7625" w:rsidRDefault="001B1411">
            <w:pPr>
              <w:autoSpaceDE w:val="0"/>
              <w:autoSpaceDN w:val="0"/>
              <w:adjustRightInd w:val="0"/>
              <w:spacing w:before="0" w:after="0"/>
              <w:rPr>
                <w:rFonts w:ascii="Times New Roman" w:hAnsi="Times New Roman"/>
                <w:b/>
                <w:bCs/>
                <w:sz w:val="24"/>
                <w:u w:val="single"/>
              </w:rPr>
            </w:pPr>
          </w:p>
          <w:p w14:paraId="1388E093" w14:textId="385BB426" w:rsidR="001B1411" w:rsidRPr="00DA7625" w:rsidRDefault="000B0B09">
            <w:pPr>
              <w:autoSpaceDE w:val="0"/>
              <w:autoSpaceDN w:val="0"/>
              <w:adjustRightInd w:val="0"/>
              <w:spacing w:before="0" w:after="0"/>
              <w:rPr>
                <w:rFonts w:ascii="Times New Roman" w:hAnsi="Times New Roman"/>
                <w:bCs/>
                <w:sz w:val="24"/>
                <w:u w:val="single"/>
              </w:rPr>
            </w:pPr>
            <w:r w:rsidRPr="00DA7625">
              <w:rPr>
                <w:rFonts w:ascii="Times New Roman" w:hAnsi="Times New Roman"/>
                <w:bCs/>
                <w:sz w:val="24"/>
                <w:u w:val="single"/>
              </w:rPr>
              <w:t>A CRR 353. cikke szerint külön pénznemként kezelt kollektív befektetési formákkal kapcsolatos adatszolgáltatás:</w:t>
            </w:r>
          </w:p>
          <w:p w14:paraId="051C2F90" w14:textId="311AF9D6" w:rsidR="001B1411" w:rsidRPr="00DA7625" w:rsidRDefault="000B0B09">
            <w:pPr>
              <w:autoSpaceDE w:val="0"/>
              <w:autoSpaceDN w:val="0"/>
              <w:adjustRightInd w:val="0"/>
              <w:spacing w:before="0" w:after="0"/>
              <w:rPr>
                <w:rFonts w:ascii="Times New Roman" w:hAnsi="Times New Roman"/>
                <w:bCs/>
                <w:sz w:val="24"/>
              </w:rPr>
            </w:pPr>
            <w:r w:rsidRPr="00DA7625">
              <w:rPr>
                <w:rFonts w:ascii="Times New Roman" w:hAnsi="Times New Roman"/>
                <w:bCs/>
                <w:sz w:val="24"/>
              </w:rPr>
              <w:t>A külön pénznemként kezelt kollektív befektetési formák tőkekövetelménye kétféle módszerrel számítható ki:</w:t>
            </w:r>
          </w:p>
          <w:p w14:paraId="255957B8" w14:textId="5252A175" w:rsidR="001B1411" w:rsidRPr="00DA7625" w:rsidRDefault="00125707">
            <w:pPr>
              <w:autoSpaceDE w:val="0"/>
              <w:autoSpaceDN w:val="0"/>
              <w:adjustRightInd w:val="0"/>
              <w:spacing w:before="0" w:after="0"/>
              <w:ind w:left="720" w:hanging="360"/>
              <w:rPr>
                <w:rFonts w:ascii="Times New Roman" w:hAnsi="Times New Roman"/>
                <w:bCs/>
                <w:sz w:val="24"/>
              </w:rPr>
            </w:pPr>
            <w:r w:rsidRPr="00DA7625">
              <w:rPr>
                <w:rFonts w:ascii="Times New Roman" w:hAnsi="Times New Roman"/>
                <w:bCs/>
                <w:sz w:val="24"/>
              </w:rPr>
              <w:t>1.</w:t>
            </w:r>
            <w:r w:rsidRPr="00DA7625">
              <w:rPr>
                <w:rFonts w:ascii="Times New Roman" w:hAnsi="Times New Roman"/>
                <w:bCs/>
                <w:sz w:val="24"/>
              </w:rPr>
              <w:tab/>
              <w:t>a módosított aranymódszerrel, ha a KBF-ek befektetésének az iránya nem ismert (az ilyen KBF-eket az intézmény teljes nettó devizapozíciójához kell hozzáadni);</w:t>
            </w:r>
          </w:p>
          <w:p w14:paraId="6F86EE5B" w14:textId="3D35E491" w:rsidR="001B1411" w:rsidRPr="00DA7625" w:rsidRDefault="00125707">
            <w:pPr>
              <w:autoSpaceDE w:val="0"/>
              <w:autoSpaceDN w:val="0"/>
              <w:adjustRightInd w:val="0"/>
              <w:spacing w:before="0" w:after="0"/>
              <w:ind w:left="720" w:hanging="360"/>
              <w:rPr>
                <w:rFonts w:ascii="Times New Roman" w:hAnsi="Times New Roman"/>
                <w:bCs/>
                <w:sz w:val="24"/>
              </w:rPr>
            </w:pPr>
            <w:r w:rsidRPr="00DA7625">
              <w:rPr>
                <w:rFonts w:ascii="Times New Roman" w:hAnsi="Times New Roman"/>
                <w:bCs/>
                <w:sz w:val="24"/>
              </w:rPr>
              <w:t>2.</w:t>
            </w:r>
            <w:r w:rsidRPr="00DA7625">
              <w:rPr>
                <w:rFonts w:ascii="Times New Roman" w:hAnsi="Times New Roman"/>
                <w:bCs/>
                <w:sz w:val="24"/>
              </w:rPr>
              <w:tab/>
              <w:t>ha a KBF-ek befektetésének az iránya ismert, akkor a KBF-eket a teljes nyitott devizapozícióhoz kell hozzáadni (hosszú vagy rövid, az egyes KBF-ek irányától függően).</w:t>
            </w:r>
          </w:p>
          <w:p w14:paraId="267301F6" w14:textId="733FB10D" w:rsidR="001B1411" w:rsidRPr="00DA7625" w:rsidRDefault="000B0B09">
            <w:pPr>
              <w:autoSpaceDE w:val="0"/>
              <w:autoSpaceDN w:val="0"/>
              <w:adjustRightInd w:val="0"/>
              <w:spacing w:before="0" w:after="0"/>
              <w:rPr>
                <w:rFonts w:ascii="Times New Roman" w:hAnsi="Times New Roman"/>
                <w:bCs/>
                <w:sz w:val="24"/>
                <w:u w:val="single"/>
              </w:rPr>
            </w:pPr>
            <w:r w:rsidRPr="00DA7625">
              <w:rPr>
                <w:rFonts w:ascii="Times New Roman" w:hAnsi="Times New Roman"/>
                <w:bCs/>
                <w:sz w:val="24"/>
              </w:rPr>
              <w:t>Az érintett KBF-ekről a tőkekövetelmény számításának megfelelően kell adatot szolgáltatni.</w:t>
            </w:r>
          </w:p>
          <w:p w14:paraId="251EF93C"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062E0484" w14:textId="77777777" w:rsidTr="00672D2A">
        <w:tc>
          <w:tcPr>
            <w:tcW w:w="991" w:type="dxa"/>
          </w:tcPr>
          <w:p w14:paraId="76ACA2D8"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040</w:t>
            </w:r>
          </w:p>
        </w:tc>
        <w:tc>
          <w:tcPr>
            <w:tcW w:w="7871" w:type="dxa"/>
          </w:tcPr>
          <w:p w14:paraId="57F03FA3"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ARANY</w:t>
            </w:r>
          </w:p>
          <w:p w14:paraId="36C64421" w14:textId="77777777" w:rsidR="001B1411" w:rsidRPr="00DA7625" w:rsidRDefault="001B1411">
            <w:pPr>
              <w:autoSpaceDE w:val="0"/>
              <w:autoSpaceDN w:val="0"/>
              <w:adjustRightInd w:val="0"/>
              <w:spacing w:before="0" w:after="0"/>
              <w:rPr>
                <w:rFonts w:ascii="Times New Roman" w:hAnsi="Times New Roman"/>
                <w:b/>
                <w:bCs/>
                <w:sz w:val="24"/>
                <w:u w:val="single"/>
              </w:rPr>
            </w:pPr>
          </w:p>
          <w:p w14:paraId="6F307FC0" w14:textId="06A4C2D9"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 CRR 351. cikkében, valamint 352. cikkének (2) és (4) bekezdésében említett általános eljárás alkalmazási körébe tartozó pénznemekben lévő pozíciók, valamint az ezekhez kapcsolódó szavatolótőke-követelmény. </w:t>
            </w:r>
          </w:p>
          <w:p w14:paraId="32A1D9D1"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63E78194" w14:textId="77777777" w:rsidTr="00672D2A">
        <w:tc>
          <w:tcPr>
            <w:tcW w:w="991" w:type="dxa"/>
          </w:tcPr>
          <w:p w14:paraId="2E6FEA69"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050–090</w:t>
            </w:r>
          </w:p>
        </w:tc>
        <w:tc>
          <w:tcPr>
            <w:tcW w:w="7871" w:type="dxa"/>
          </w:tcPr>
          <w:p w14:paraId="1680894D"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Style w:val="InstructionsTabelleberschrift"/>
                <w:rFonts w:ascii="Times New Roman" w:hAnsi="Times New Roman"/>
                <w:sz w:val="24"/>
              </w:rPr>
              <w:t>OPCIÓKRA VONATKOZÓ TOVÁBBI KÖVETELMÉNYEK (NEM DELTA KOCKÁZATOK)</w:t>
            </w:r>
          </w:p>
          <w:p w14:paraId="5C200991" w14:textId="39577EC6" w:rsidR="001B1411" w:rsidRPr="00DA7625" w:rsidRDefault="001A0143">
            <w:pPr>
              <w:autoSpaceDE w:val="0"/>
              <w:autoSpaceDN w:val="0"/>
              <w:adjustRightInd w:val="0"/>
              <w:spacing w:after="0"/>
              <w:rPr>
                <w:rFonts w:ascii="Times New Roman" w:hAnsi="Times New Roman"/>
                <w:sz w:val="24"/>
              </w:rPr>
            </w:pPr>
            <w:r w:rsidRPr="00DA7625">
              <w:rPr>
                <w:rFonts w:ascii="Times New Roman" w:hAnsi="Times New Roman"/>
                <w:sz w:val="24"/>
              </w:rPr>
              <w:t xml:space="preserve">A CRR 352. cikkének (5) és (6) bekezdése </w:t>
            </w:r>
          </w:p>
          <w:p w14:paraId="541BDB2A" w14:textId="77777777" w:rsidR="001B1411" w:rsidRPr="00DA7625" w:rsidRDefault="001B1411">
            <w:pPr>
              <w:autoSpaceDE w:val="0"/>
              <w:autoSpaceDN w:val="0"/>
              <w:adjustRightInd w:val="0"/>
              <w:spacing w:before="0" w:after="0"/>
              <w:rPr>
                <w:rFonts w:ascii="Times New Roman" w:hAnsi="Times New Roman"/>
                <w:sz w:val="24"/>
              </w:rPr>
            </w:pPr>
          </w:p>
          <w:p w14:paraId="4BB3ABC8" w14:textId="042C4ACA"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 xml:space="preserve">A nem delta kockázatokkal kapcsolatos, opciókra vonatkozó további követelményeket a kiszámításukhoz használt módszer szerinti bontásban kell feltüntetni. </w:t>
            </w:r>
          </w:p>
          <w:p w14:paraId="7D027FA3"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74B7B704" w14:textId="77777777" w:rsidTr="00672D2A">
        <w:tc>
          <w:tcPr>
            <w:tcW w:w="991" w:type="dxa"/>
          </w:tcPr>
          <w:p w14:paraId="43630439"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100–120</w:t>
            </w:r>
          </w:p>
        </w:tc>
        <w:tc>
          <w:tcPr>
            <w:tcW w:w="7871" w:type="dxa"/>
          </w:tcPr>
          <w:p w14:paraId="48A5E968"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A beszámoló pénznemével együtt számított összes pozíció kitettségtípus szerinti bontása</w:t>
            </w:r>
          </w:p>
          <w:p w14:paraId="1FF8076F" w14:textId="77777777" w:rsidR="001B1411" w:rsidRPr="00DA7625" w:rsidRDefault="001B1411">
            <w:pPr>
              <w:autoSpaceDE w:val="0"/>
              <w:autoSpaceDN w:val="0"/>
              <w:adjustRightInd w:val="0"/>
              <w:spacing w:before="0" w:after="0"/>
              <w:rPr>
                <w:rFonts w:ascii="Times New Roman" w:hAnsi="Times New Roman"/>
                <w:b/>
                <w:bCs/>
                <w:sz w:val="24"/>
                <w:u w:val="single"/>
              </w:rPr>
            </w:pPr>
          </w:p>
          <w:p w14:paraId="09420033" w14:textId="55E855A3"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Az összes pozíciót származtatott ügyletek, egyéb eszközök és kötelezettségek, valamint mérlegen kívüli tételek szerint kell felosztani.</w:t>
            </w:r>
          </w:p>
          <w:p w14:paraId="440E53F5"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37181203" w14:textId="77777777" w:rsidTr="00672D2A">
        <w:tc>
          <w:tcPr>
            <w:tcW w:w="991" w:type="dxa"/>
          </w:tcPr>
          <w:p w14:paraId="46F50C90"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100</w:t>
            </w:r>
          </w:p>
        </w:tc>
        <w:tc>
          <w:tcPr>
            <w:tcW w:w="7871" w:type="dxa"/>
          </w:tcPr>
          <w:p w14:paraId="41EFD0BF"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Mérlegen kívüli tételnek és származtatott ügyletnek nem minősülő egyéb eszközök és kötelezettségek</w:t>
            </w:r>
          </w:p>
          <w:p w14:paraId="28280076" w14:textId="77777777" w:rsidR="001B1411" w:rsidRPr="00DA7625" w:rsidRDefault="001B1411">
            <w:pPr>
              <w:autoSpaceDE w:val="0"/>
              <w:autoSpaceDN w:val="0"/>
              <w:adjustRightInd w:val="0"/>
              <w:spacing w:before="0" w:after="0"/>
              <w:rPr>
                <w:rFonts w:ascii="Times New Roman" w:hAnsi="Times New Roman"/>
                <w:b/>
                <w:bCs/>
                <w:sz w:val="24"/>
                <w:u w:val="single"/>
              </w:rPr>
            </w:pPr>
          </w:p>
          <w:p w14:paraId="21A676E0" w14:textId="4D2A25C5"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 110-es vagy 120-as sorban nem szerepeltetett pozíciókat itt kell megadni. </w:t>
            </w:r>
          </w:p>
          <w:p w14:paraId="0A2B3835"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sz w:val="24"/>
              </w:rPr>
              <w:t xml:space="preserve"> </w:t>
            </w:r>
          </w:p>
        </w:tc>
      </w:tr>
      <w:tr w:rsidR="001B1411" w:rsidRPr="00DA7625" w14:paraId="66AED25F" w14:textId="77777777" w:rsidTr="00672D2A">
        <w:tc>
          <w:tcPr>
            <w:tcW w:w="991" w:type="dxa"/>
          </w:tcPr>
          <w:p w14:paraId="3177BEE1"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110</w:t>
            </w:r>
          </w:p>
        </w:tc>
        <w:tc>
          <w:tcPr>
            <w:tcW w:w="7871" w:type="dxa"/>
          </w:tcPr>
          <w:p w14:paraId="59E283A5"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Mérlegen kívüli tételek</w:t>
            </w:r>
          </w:p>
          <w:p w14:paraId="61E13CD6" w14:textId="77777777" w:rsidR="001B1411" w:rsidRPr="00DA7625" w:rsidRDefault="001B1411">
            <w:pPr>
              <w:autoSpaceDE w:val="0"/>
              <w:autoSpaceDN w:val="0"/>
              <w:adjustRightInd w:val="0"/>
              <w:spacing w:before="0" w:after="0"/>
              <w:rPr>
                <w:rFonts w:ascii="Times New Roman" w:hAnsi="Times New Roman"/>
                <w:b/>
                <w:bCs/>
                <w:sz w:val="24"/>
                <w:u w:val="single"/>
              </w:rPr>
            </w:pPr>
          </w:p>
          <w:p w14:paraId="18E7CD2A" w14:textId="10902824"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A CRR 352. cikkének hatályába tartozó tételek, tekintet nélkül a denomináció pénznemére, amely tételek a CRR I. mellékletében szerepelnek az értékpapír-finanszírozási ügyletként vagy hosszú teljesítési idejű ügyletként beszámított, vagy eltérő termékkategóriák közötti nettósításról szóló szerződéses megállapodásból eredő tételek kivételével.</w:t>
            </w:r>
          </w:p>
          <w:p w14:paraId="0FB67B8F"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03B0796D" w14:textId="77777777" w:rsidTr="00672D2A">
        <w:tc>
          <w:tcPr>
            <w:tcW w:w="991" w:type="dxa"/>
          </w:tcPr>
          <w:p w14:paraId="5BC973E8"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120</w:t>
            </w:r>
          </w:p>
          <w:p w14:paraId="5A706C9D" w14:textId="77777777" w:rsidR="001B1411" w:rsidRPr="00DA7625" w:rsidRDefault="001B1411">
            <w:pPr>
              <w:autoSpaceDE w:val="0"/>
              <w:autoSpaceDN w:val="0"/>
              <w:adjustRightInd w:val="0"/>
              <w:spacing w:before="0" w:after="0"/>
              <w:rPr>
                <w:rFonts w:ascii="Times New Roman" w:hAnsi="Times New Roman"/>
                <w:sz w:val="24"/>
              </w:rPr>
            </w:pPr>
          </w:p>
        </w:tc>
        <w:tc>
          <w:tcPr>
            <w:tcW w:w="7871" w:type="dxa"/>
          </w:tcPr>
          <w:p w14:paraId="26039B01"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Származtatott ügyletek</w:t>
            </w:r>
          </w:p>
          <w:p w14:paraId="735E3247" w14:textId="77777777" w:rsidR="001B1411" w:rsidRPr="00DA7625" w:rsidRDefault="001B1411">
            <w:pPr>
              <w:autoSpaceDE w:val="0"/>
              <w:autoSpaceDN w:val="0"/>
              <w:adjustRightInd w:val="0"/>
              <w:spacing w:before="0" w:after="0"/>
              <w:rPr>
                <w:rFonts w:ascii="Times New Roman" w:hAnsi="Times New Roman"/>
                <w:b/>
                <w:bCs/>
                <w:sz w:val="24"/>
                <w:u w:val="single"/>
              </w:rPr>
            </w:pPr>
          </w:p>
          <w:p w14:paraId="7FBBC17B" w14:textId="6D72C500"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A CRR 352. cikkének megfelelően értékelt pozíciók.</w:t>
            </w:r>
          </w:p>
          <w:p w14:paraId="60FA76E8"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4E1851B6" w14:textId="77777777" w:rsidTr="00672D2A">
        <w:tc>
          <w:tcPr>
            <w:tcW w:w="991" w:type="dxa"/>
          </w:tcPr>
          <w:p w14:paraId="242F0797"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130–480</w:t>
            </w:r>
          </w:p>
          <w:p w14:paraId="3B430027" w14:textId="77777777" w:rsidR="001B1411" w:rsidRPr="00DA7625" w:rsidRDefault="001B1411">
            <w:pPr>
              <w:autoSpaceDE w:val="0"/>
              <w:autoSpaceDN w:val="0"/>
              <w:adjustRightInd w:val="0"/>
              <w:spacing w:before="0" w:after="0"/>
              <w:rPr>
                <w:rFonts w:ascii="Times New Roman" w:hAnsi="Times New Roman"/>
                <w:sz w:val="24"/>
              </w:rPr>
            </w:pPr>
          </w:p>
        </w:tc>
        <w:tc>
          <w:tcPr>
            <w:tcW w:w="7871" w:type="dxa"/>
          </w:tcPr>
          <w:p w14:paraId="146998E9"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b/>
                <w:bCs/>
                <w:sz w:val="24"/>
                <w:u w:val="single"/>
              </w:rPr>
              <w:t>TÁJÉKOZTATÓ ADATOK: DEVIZAPOZÍCIÓK</w:t>
            </w:r>
          </w:p>
          <w:p w14:paraId="321BD3B9" w14:textId="77777777" w:rsidR="001B1411" w:rsidRPr="00DA7625" w:rsidRDefault="001B1411">
            <w:pPr>
              <w:autoSpaceDE w:val="0"/>
              <w:autoSpaceDN w:val="0"/>
              <w:adjustRightInd w:val="0"/>
              <w:spacing w:before="0" w:after="0"/>
              <w:rPr>
                <w:rFonts w:ascii="Times New Roman" w:hAnsi="Times New Roman"/>
                <w:b/>
                <w:bCs/>
                <w:sz w:val="24"/>
              </w:rPr>
            </w:pPr>
          </w:p>
          <w:p w14:paraId="70963912" w14:textId="7ADF3555" w:rsidR="001B1411" w:rsidRPr="00DA7625" w:rsidRDefault="000B0B09">
            <w:pPr>
              <w:autoSpaceDE w:val="0"/>
              <w:autoSpaceDN w:val="0"/>
              <w:adjustRightInd w:val="0"/>
              <w:spacing w:before="0" w:after="0"/>
              <w:rPr>
                <w:rStyle w:val="InstructionsTabelleText"/>
                <w:rFonts w:ascii="Times New Roman" w:hAnsi="Times New Roman"/>
                <w:sz w:val="24"/>
              </w:rPr>
            </w:pPr>
            <w:r w:rsidRPr="00DA7625">
              <w:rPr>
                <w:rFonts w:ascii="Times New Roman" w:hAnsi="Times New Roman"/>
                <w:sz w:val="24"/>
              </w:rPr>
              <w:t xml:space="preserve">A tábla tájékoztató adatait külön-külön meg kell adni az Unió tagállamaiban használt valamennyi pénznemre, a következő pénznemekre: USD, CHF, JPY, RUB, TRY, AUD, CAD, RSD, ALL, UAH, MKD, EGP, ARS, BRL, MXN, HKD, ICK, TWD, NZD, NOK, SGD, KRW, CNY, valamint összevontan minden egyéb pénznemre. </w:t>
            </w:r>
          </w:p>
        </w:tc>
      </w:tr>
    </w:tbl>
    <w:p w14:paraId="16039BCB" w14:textId="77777777" w:rsidR="001B1411" w:rsidRPr="00DA7625" w:rsidRDefault="001B1411">
      <w:pPr>
        <w:rPr>
          <w:rFonts w:ascii="Times New Roman" w:hAnsi="Times New Roman"/>
          <w:sz w:val="24"/>
        </w:rPr>
      </w:pPr>
    </w:p>
    <w:p w14:paraId="237C8B12"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99" w:name="_Toc31018845"/>
      <w:r w:rsidRPr="00DA7625">
        <w:rPr>
          <w:rFonts w:ascii="Times New Roman" w:hAnsi="Times New Roman"/>
          <w:sz w:val="24"/>
          <w:u w:val="none"/>
        </w:rPr>
        <w:t>5.6.</w:t>
      </w:r>
      <w:r w:rsidRPr="00DA7625">
        <w:rPr>
          <w:rFonts w:ascii="Times New Roman" w:hAnsi="Times New Roman"/>
          <w:sz w:val="24"/>
          <w:u w:val="none"/>
        </w:rPr>
        <w:tab/>
      </w:r>
      <w:r w:rsidRPr="00DA7625">
        <w:rPr>
          <w:rFonts w:ascii="Times New Roman" w:hAnsi="Times New Roman"/>
          <w:sz w:val="24"/>
        </w:rPr>
        <w:t>C 23.00 – Piaci kockázat: Az árupozíciók sztenderd módszerei (MKR SA COM)</w:t>
      </w:r>
      <w:bookmarkEnd w:id="99"/>
    </w:p>
    <w:p w14:paraId="7BF00096"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100" w:name="_Toc31018846"/>
      <w:r w:rsidRPr="00DA7625">
        <w:rPr>
          <w:rFonts w:ascii="Times New Roman" w:hAnsi="Times New Roman"/>
          <w:sz w:val="24"/>
          <w:u w:val="none"/>
        </w:rPr>
        <w:t>5.6.1.</w:t>
      </w:r>
      <w:r w:rsidRPr="00DA7625">
        <w:rPr>
          <w:rFonts w:ascii="Times New Roman" w:hAnsi="Times New Roman"/>
          <w:sz w:val="24"/>
          <w:u w:val="none"/>
        </w:rPr>
        <w:tab/>
      </w:r>
      <w:r w:rsidRPr="00DA7625">
        <w:rPr>
          <w:rFonts w:ascii="Times New Roman" w:hAnsi="Times New Roman"/>
          <w:sz w:val="24"/>
        </w:rPr>
        <w:t>Általános megjegyzések</w:t>
      </w:r>
      <w:bookmarkEnd w:id="100"/>
    </w:p>
    <w:p w14:paraId="41536C89" w14:textId="600DF35D" w:rsidR="001B1411" w:rsidRPr="00DA7625" w:rsidRDefault="00125707">
      <w:pPr>
        <w:pStyle w:val="InstructionsText2"/>
        <w:numPr>
          <w:ilvl w:val="0"/>
          <w:numId w:val="0"/>
        </w:numPr>
        <w:ind w:left="993"/>
      </w:pPr>
      <w:r w:rsidRPr="00DA7625">
        <w:t>152.</w:t>
      </w:r>
      <w:r w:rsidRPr="00DA7625">
        <w:tab/>
        <w:t xml:space="preserve"> Ezen a táblán a sztenderd módszer alkalmazási körébe tartozó árupozíciókról, valamint a rájuk vonatkozó szavatolótőke-követelményről kell adatot szolgáltatni.</w:t>
      </w:r>
    </w:p>
    <w:p w14:paraId="387788EE"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101" w:name="_Toc31018847"/>
      <w:r w:rsidRPr="00DA7625">
        <w:rPr>
          <w:rFonts w:ascii="Times New Roman" w:hAnsi="Times New Roman"/>
          <w:sz w:val="24"/>
          <w:u w:val="none"/>
        </w:rPr>
        <w:t>5.6.2.</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1B1411" w:rsidRPr="00DA7625" w14:paraId="3A954E89" w14:textId="77777777" w:rsidTr="00672D2A">
        <w:trPr>
          <w:trHeight w:val="591"/>
        </w:trPr>
        <w:tc>
          <w:tcPr>
            <w:tcW w:w="8862" w:type="dxa"/>
            <w:gridSpan w:val="2"/>
            <w:shd w:val="clear" w:color="auto" w:fill="CCCCCC"/>
          </w:tcPr>
          <w:p w14:paraId="5CCCDF09" w14:textId="77777777" w:rsidR="001B1411" w:rsidRPr="00DA7625" w:rsidRDefault="000B0B09">
            <w:pPr>
              <w:autoSpaceDE w:val="0"/>
              <w:autoSpaceDN w:val="0"/>
              <w:adjustRightInd w:val="0"/>
              <w:spacing w:after="0"/>
              <w:rPr>
                <w:rFonts w:ascii="Times New Roman" w:hAnsi="Times New Roman"/>
                <w:b/>
                <w:sz w:val="24"/>
              </w:rPr>
            </w:pPr>
            <w:r w:rsidRPr="00DA7625">
              <w:rPr>
                <w:rFonts w:ascii="Times New Roman" w:hAnsi="Times New Roman"/>
                <w:b/>
                <w:sz w:val="24"/>
              </w:rPr>
              <w:t>Oszlop</w:t>
            </w:r>
          </w:p>
        </w:tc>
      </w:tr>
      <w:tr w:rsidR="001B1411" w:rsidRPr="00DA7625" w14:paraId="4954C355" w14:textId="77777777" w:rsidTr="00672D2A">
        <w:tc>
          <w:tcPr>
            <w:tcW w:w="986" w:type="dxa"/>
          </w:tcPr>
          <w:p w14:paraId="0CF2B7B0"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010–020</w:t>
            </w:r>
          </w:p>
        </w:tc>
        <w:tc>
          <w:tcPr>
            <w:tcW w:w="7876" w:type="dxa"/>
          </w:tcPr>
          <w:p w14:paraId="567D8D37"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ÖSSZES POZÍCIÓ (HOSSZÚ ÉS RÖVID)</w:t>
            </w:r>
          </w:p>
          <w:p w14:paraId="299F4C40" w14:textId="77777777" w:rsidR="001B1411" w:rsidRPr="00DA7625" w:rsidRDefault="001B1411">
            <w:pPr>
              <w:autoSpaceDE w:val="0"/>
              <w:autoSpaceDN w:val="0"/>
              <w:adjustRightInd w:val="0"/>
              <w:spacing w:before="0" w:after="0"/>
              <w:rPr>
                <w:rFonts w:ascii="Times New Roman" w:hAnsi="Times New Roman"/>
                <w:b/>
                <w:bCs/>
                <w:sz w:val="24"/>
                <w:u w:val="single"/>
              </w:rPr>
            </w:pPr>
          </w:p>
          <w:p w14:paraId="5F3D01D9" w14:textId="09893855"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A CRR 357. cikkének (4) bekezdése szerint azonos áruban lévő pozícióknak minősülő bruttó hosszú/rövid pozíciók (lásd még a CRR 359. cikkének (1) bekezdését).</w:t>
            </w:r>
          </w:p>
          <w:p w14:paraId="427CD06D"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 </w:t>
            </w:r>
          </w:p>
        </w:tc>
      </w:tr>
      <w:tr w:rsidR="001B1411" w:rsidRPr="00DA7625" w14:paraId="404D06D4" w14:textId="77777777" w:rsidTr="00672D2A">
        <w:tc>
          <w:tcPr>
            <w:tcW w:w="986" w:type="dxa"/>
          </w:tcPr>
          <w:p w14:paraId="53D676A2"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 xml:space="preserve">030–040 </w:t>
            </w:r>
          </w:p>
        </w:tc>
        <w:tc>
          <w:tcPr>
            <w:tcW w:w="7876" w:type="dxa"/>
          </w:tcPr>
          <w:p w14:paraId="65920E20"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NETTÓ POZÍCIÓK (HOSSZÚ ÉS RÖVID)</w:t>
            </w:r>
          </w:p>
          <w:p w14:paraId="2F34C355" w14:textId="77777777" w:rsidR="001B1411" w:rsidRPr="00DA7625" w:rsidRDefault="001B1411">
            <w:pPr>
              <w:autoSpaceDE w:val="0"/>
              <w:autoSpaceDN w:val="0"/>
              <w:adjustRightInd w:val="0"/>
              <w:spacing w:before="0" w:after="0"/>
              <w:rPr>
                <w:rFonts w:ascii="Times New Roman" w:hAnsi="Times New Roman"/>
                <w:sz w:val="24"/>
              </w:rPr>
            </w:pPr>
          </w:p>
          <w:p w14:paraId="16366853" w14:textId="7F6C78B9" w:rsidR="001B1411" w:rsidRPr="00DA7625" w:rsidRDefault="000B0B09">
            <w:pPr>
              <w:autoSpaceDE w:val="0"/>
              <w:autoSpaceDN w:val="0"/>
              <w:adjustRightInd w:val="0"/>
              <w:spacing w:before="0"/>
              <w:rPr>
                <w:rFonts w:ascii="Times New Roman" w:hAnsi="Times New Roman"/>
                <w:sz w:val="24"/>
              </w:rPr>
            </w:pPr>
            <w:r w:rsidRPr="00DA7625">
              <w:rPr>
                <w:rFonts w:ascii="Times New Roman" w:hAnsi="Times New Roman"/>
                <w:sz w:val="24"/>
              </w:rPr>
              <w:t xml:space="preserve">A CRR 357. cikkének (3) bekezdésében található meghatározás szerint. </w:t>
            </w:r>
          </w:p>
        </w:tc>
      </w:tr>
      <w:tr w:rsidR="001B1411" w:rsidRPr="00DA7625" w14:paraId="1E20BCEE" w14:textId="77777777" w:rsidTr="00672D2A">
        <w:tc>
          <w:tcPr>
            <w:tcW w:w="986" w:type="dxa"/>
          </w:tcPr>
          <w:p w14:paraId="660BC236"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050</w:t>
            </w:r>
          </w:p>
        </w:tc>
        <w:tc>
          <w:tcPr>
            <w:tcW w:w="7876" w:type="dxa"/>
          </w:tcPr>
          <w:p w14:paraId="6C269198"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TŐKEKÖVETELMÉNNYEL ÉRINTETT POZÍCIÓK</w:t>
            </w:r>
          </w:p>
          <w:p w14:paraId="1EAC575A" w14:textId="77777777" w:rsidR="001B1411" w:rsidRPr="00DA7625" w:rsidRDefault="001B1411">
            <w:pPr>
              <w:autoSpaceDE w:val="0"/>
              <w:autoSpaceDN w:val="0"/>
              <w:adjustRightInd w:val="0"/>
              <w:spacing w:before="0" w:after="0"/>
              <w:rPr>
                <w:rFonts w:ascii="Times New Roman" w:hAnsi="Times New Roman"/>
                <w:sz w:val="24"/>
              </w:rPr>
            </w:pPr>
          </w:p>
          <w:p w14:paraId="549FD729" w14:textId="6F1359FB"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Azok a nettó pozíciók, amelyekre a CRR harmadik része IV. címének 4. fejezetében foglalt különböző módszerek szerint tőkekövetelmény vonatkozik.</w:t>
            </w:r>
          </w:p>
          <w:p w14:paraId="130E13F8"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268A7FB7" w14:textId="77777777" w:rsidTr="00672D2A">
        <w:tc>
          <w:tcPr>
            <w:tcW w:w="986" w:type="dxa"/>
          </w:tcPr>
          <w:p w14:paraId="68FCB3E6"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060</w:t>
            </w:r>
          </w:p>
        </w:tc>
        <w:tc>
          <w:tcPr>
            <w:tcW w:w="7876" w:type="dxa"/>
          </w:tcPr>
          <w:p w14:paraId="418E7CA9"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SZAVATOLÓTŐKE-KÖVETELMÉNY</w:t>
            </w:r>
          </w:p>
          <w:p w14:paraId="12512DC6" w14:textId="77777777" w:rsidR="001B1411" w:rsidRPr="00DA7625" w:rsidRDefault="001B1411">
            <w:pPr>
              <w:autoSpaceDE w:val="0"/>
              <w:autoSpaceDN w:val="0"/>
              <w:adjustRightInd w:val="0"/>
              <w:spacing w:before="0" w:after="0"/>
              <w:rPr>
                <w:rFonts w:ascii="Times New Roman" w:hAnsi="Times New Roman"/>
                <w:b/>
                <w:bCs/>
                <w:sz w:val="24"/>
                <w:u w:val="single"/>
              </w:rPr>
            </w:pPr>
          </w:p>
          <w:p w14:paraId="4F55B841" w14:textId="36D5647F" w:rsidR="001B1411" w:rsidRPr="00DA7625" w:rsidRDefault="000B0B09">
            <w:pPr>
              <w:autoSpaceDE w:val="0"/>
              <w:autoSpaceDN w:val="0"/>
              <w:adjustRightInd w:val="0"/>
              <w:spacing w:before="0"/>
              <w:rPr>
                <w:rFonts w:ascii="Times New Roman" w:hAnsi="Times New Roman"/>
                <w:b/>
                <w:bCs/>
                <w:sz w:val="24"/>
                <w:u w:val="single"/>
              </w:rPr>
            </w:pPr>
            <w:r w:rsidRPr="00DA7625">
              <w:rPr>
                <w:rFonts w:ascii="Times New Roman" w:hAnsi="Times New Roman"/>
                <w:sz w:val="24"/>
              </w:rPr>
              <w:t>A CRR harmadik része IV. címének 4. fejezete szerint számított szavatolótőke-követelmény bármely releváns pozícióra vonatkozóan</w:t>
            </w:r>
          </w:p>
        </w:tc>
      </w:tr>
      <w:tr w:rsidR="001B1411" w:rsidRPr="00DA7625" w14:paraId="15C10C2B" w14:textId="77777777" w:rsidTr="00672D2A">
        <w:tc>
          <w:tcPr>
            <w:tcW w:w="986" w:type="dxa"/>
          </w:tcPr>
          <w:p w14:paraId="2A524AC0"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070</w:t>
            </w:r>
          </w:p>
        </w:tc>
        <w:tc>
          <w:tcPr>
            <w:tcW w:w="7876" w:type="dxa"/>
          </w:tcPr>
          <w:p w14:paraId="320A753A" w14:textId="77777777" w:rsidR="001B1411" w:rsidRPr="00DA7625" w:rsidRDefault="000B0B09">
            <w:pPr>
              <w:tabs>
                <w:tab w:val="left" w:pos="1665"/>
              </w:tabs>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TELJES KOCKÁZATI KITETTSÉGÉRTÉK</w:t>
            </w:r>
          </w:p>
          <w:p w14:paraId="564004DD" w14:textId="77777777" w:rsidR="001B1411" w:rsidRPr="00DA7625" w:rsidRDefault="001B1411">
            <w:pPr>
              <w:tabs>
                <w:tab w:val="left" w:pos="1665"/>
              </w:tabs>
              <w:autoSpaceDE w:val="0"/>
              <w:autoSpaceDN w:val="0"/>
              <w:adjustRightInd w:val="0"/>
              <w:spacing w:before="0" w:after="0"/>
              <w:rPr>
                <w:rFonts w:ascii="Times New Roman" w:hAnsi="Times New Roman"/>
                <w:b/>
                <w:bCs/>
                <w:sz w:val="24"/>
                <w:u w:val="single"/>
              </w:rPr>
            </w:pPr>
          </w:p>
          <w:p w14:paraId="71078778" w14:textId="7149189C" w:rsidR="001B1411" w:rsidRPr="00DA7625" w:rsidRDefault="00D21B29">
            <w:pPr>
              <w:tabs>
                <w:tab w:val="left" w:pos="1665"/>
              </w:tabs>
              <w:autoSpaceDE w:val="0"/>
              <w:autoSpaceDN w:val="0"/>
              <w:adjustRightInd w:val="0"/>
              <w:spacing w:before="0"/>
              <w:rPr>
                <w:rFonts w:ascii="Times New Roman" w:hAnsi="Times New Roman"/>
                <w:sz w:val="24"/>
              </w:rPr>
            </w:pPr>
            <w:r w:rsidRPr="00DA7625">
              <w:rPr>
                <w:rFonts w:ascii="Times New Roman" w:hAnsi="Times New Roman"/>
                <w:sz w:val="24"/>
              </w:rPr>
              <w:t xml:space="preserve">A CRR 92. cikke (4) bekezdésének b) pontja </w:t>
            </w:r>
          </w:p>
          <w:p w14:paraId="48E50A18" w14:textId="42488E70" w:rsidR="001B1411" w:rsidRPr="00DA7625" w:rsidRDefault="000B0B09">
            <w:pPr>
              <w:tabs>
                <w:tab w:val="left" w:pos="1665"/>
              </w:tabs>
              <w:autoSpaceDE w:val="0"/>
              <w:autoSpaceDN w:val="0"/>
              <w:adjustRightInd w:val="0"/>
              <w:spacing w:before="0"/>
              <w:rPr>
                <w:rFonts w:ascii="Times New Roman" w:hAnsi="Times New Roman"/>
                <w:b/>
                <w:bCs/>
                <w:sz w:val="24"/>
                <w:u w:val="single"/>
              </w:rPr>
            </w:pPr>
            <w:r w:rsidRPr="00DA7625">
              <w:rPr>
                <w:rFonts w:ascii="Times New Roman" w:hAnsi="Times New Roman"/>
                <w:sz w:val="24"/>
              </w:rPr>
              <w:t>A szavatolótőke-követelmény 12,5-del való szorzásának az eredménye.</w:t>
            </w:r>
          </w:p>
        </w:tc>
      </w:tr>
    </w:tbl>
    <w:p w14:paraId="29FC921B" w14:textId="77777777" w:rsidR="001B1411" w:rsidRPr="00DA7625" w:rsidRDefault="001B1411">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1B1411" w:rsidRPr="00DA7625" w14:paraId="4F7C43AF" w14:textId="77777777" w:rsidTr="00672D2A">
        <w:trPr>
          <w:trHeight w:val="483"/>
        </w:trPr>
        <w:tc>
          <w:tcPr>
            <w:tcW w:w="8862" w:type="dxa"/>
            <w:gridSpan w:val="2"/>
            <w:shd w:val="clear" w:color="auto" w:fill="CCCCCC"/>
          </w:tcPr>
          <w:p w14:paraId="597DF065" w14:textId="77777777" w:rsidR="001B1411" w:rsidRPr="00DA7625" w:rsidRDefault="000B0B09">
            <w:pPr>
              <w:autoSpaceDE w:val="0"/>
              <w:autoSpaceDN w:val="0"/>
              <w:adjustRightInd w:val="0"/>
              <w:spacing w:after="0"/>
              <w:rPr>
                <w:rFonts w:ascii="Times New Roman" w:hAnsi="Times New Roman"/>
                <w:b/>
                <w:sz w:val="24"/>
              </w:rPr>
            </w:pPr>
            <w:r w:rsidRPr="00DA7625">
              <w:rPr>
                <w:rFonts w:ascii="Times New Roman" w:hAnsi="Times New Roman"/>
                <w:b/>
                <w:sz w:val="24"/>
              </w:rPr>
              <w:t>Sor</w:t>
            </w:r>
          </w:p>
        </w:tc>
      </w:tr>
      <w:tr w:rsidR="001B1411" w:rsidRPr="00DA7625" w14:paraId="3070A4EF" w14:textId="77777777" w:rsidTr="00672D2A">
        <w:tc>
          <w:tcPr>
            <w:tcW w:w="987" w:type="dxa"/>
          </w:tcPr>
          <w:p w14:paraId="6D3D671D"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010</w:t>
            </w:r>
          </w:p>
        </w:tc>
        <w:tc>
          <w:tcPr>
            <w:tcW w:w="7875" w:type="dxa"/>
          </w:tcPr>
          <w:p w14:paraId="67A9BBDE"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ÁRUPOZÍCIÓK ÖSSZESEN</w:t>
            </w:r>
          </w:p>
          <w:p w14:paraId="7599290F" w14:textId="77777777" w:rsidR="001B1411" w:rsidRPr="00DA7625" w:rsidRDefault="001B1411">
            <w:pPr>
              <w:autoSpaceDE w:val="0"/>
              <w:autoSpaceDN w:val="0"/>
              <w:adjustRightInd w:val="0"/>
              <w:spacing w:before="0" w:after="0"/>
              <w:rPr>
                <w:rFonts w:ascii="Times New Roman" w:hAnsi="Times New Roman"/>
                <w:sz w:val="24"/>
              </w:rPr>
            </w:pPr>
          </w:p>
          <w:p w14:paraId="0FC9167E" w14:textId="61FEB305" w:rsidR="001B1411" w:rsidRPr="00DA7625" w:rsidRDefault="000B0B09">
            <w:pPr>
              <w:autoSpaceDE w:val="0"/>
              <w:autoSpaceDN w:val="0"/>
              <w:adjustRightInd w:val="0"/>
              <w:spacing w:before="0"/>
              <w:rPr>
                <w:rFonts w:ascii="Times New Roman" w:hAnsi="Times New Roman"/>
                <w:sz w:val="24"/>
              </w:rPr>
            </w:pPr>
            <w:r w:rsidRPr="00DA7625">
              <w:rPr>
                <w:rFonts w:ascii="Times New Roman" w:hAnsi="Times New Roman"/>
                <w:sz w:val="24"/>
              </w:rPr>
              <w:t xml:space="preserve">Árupozíciók és a rájuk vonatkozó piaci kockázat szavatolótőke-követelménye a CRR 92. cikke (3) bekezdése c) pontjának iii. alpontja, valamint a CRR harmadik része IV. címének 4. fejezete szerint. </w:t>
            </w:r>
          </w:p>
        </w:tc>
      </w:tr>
      <w:tr w:rsidR="001B1411" w:rsidRPr="00DA7625" w14:paraId="5922DE26" w14:textId="77777777" w:rsidTr="00672D2A">
        <w:tc>
          <w:tcPr>
            <w:tcW w:w="987" w:type="dxa"/>
          </w:tcPr>
          <w:p w14:paraId="6C743166"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020–060</w:t>
            </w:r>
          </w:p>
        </w:tc>
        <w:tc>
          <w:tcPr>
            <w:tcW w:w="7875" w:type="dxa"/>
          </w:tcPr>
          <w:p w14:paraId="40980852"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POZÍCIÓK ÁRUKATEGÓRIA SZERINT</w:t>
            </w:r>
          </w:p>
          <w:p w14:paraId="23840BC8" w14:textId="77777777" w:rsidR="001B1411" w:rsidRPr="00DA7625" w:rsidRDefault="001B1411">
            <w:pPr>
              <w:autoSpaceDE w:val="0"/>
              <w:autoSpaceDN w:val="0"/>
              <w:adjustRightInd w:val="0"/>
              <w:spacing w:before="0" w:after="0"/>
              <w:rPr>
                <w:rFonts w:ascii="Times New Roman" w:hAnsi="Times New Roman"/>
                <w:sz w:val="24"/>
              </w:rPr>
            </w:pPr>
          </w:p>
          <w:p w14:paraId="1BC4B0E7" w14:textId="7D60EE04"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Adatszolgáltatás céljából az árukat a CRR 361. cikkében található 2. táblázatban említett négy árucsoportba kell sorolni.</w:t>
            </w:r>
          </w:p>
          <w:p w14:paraId="63C35F10"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 </w:t>
            </w:r>
          </w:p>
        </w:tc>
      </w:tr>
      <w:tr w:rsidR="001B1411" w:rsidRPr="00DA7625" w14:paraId="45E2333D" w14:textId="77777777" w:rsidTr="00672D2A">
        <w:tc>
          <w:tcPr>
            <w:tcW w:w="987" w:type="dxa"/>
          </w:tcPr>
          <w:p w14:paraId="29B142E1"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070</w:t>
            </w:r>
          </w:p>
        </w:tc>
        <w:tc>
          <w:tcPr>
            <w:tcW w:w="7875" w:type="dxa"/>
          </w:tcPr>
          <w:p w14:paraId="105F7ADF"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FUTAMIDŐTÁBLÁS MÓDSZER</w:t>
            </w:r>
          </w:p>
          <w:p w14:paraId="39F97B47" w14:textId="77777777" w:rsidR="001B1411" w:rsidRPr="00DA7625" w:rsidRDefault="001B1411">
            <w:pPr>
              <w:autoSpaceDE w:val="0"/>
              <w:autoSpaceDN w:val="0"/>
              <w:adjustRightInd w:val="0"/>
              <w:spacing w:before="0" w:after="0"/>
              <w:rPr>
                <w:rFonts w:ascii="Times New Roman" w:hAnsi="Times New Roman"/>
                <w:sz w:val="24"/>
              </w:rPr>
            </w:pPr>
          </w:p>
          <w:p w14:paraId="32FB2A76" w14:textId="101873EC"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A CRR 359. cikkében említett futamidőtáblás módszer alkalmazási körébe tartozó árupozíciók.</w:t>
            </w:r>
          </w:p>
          <w:p w14:paraId="6898B846"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4B767E2B" w14:textId="77777777" w:rsidTr="00672D2A">
        <w:tc>
          <w:tcPr>
            <w:tcW w:w="987" w:type="dxa"/>
          </w:tcPr>
          <w:p w14:paraId="11D494E3"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080</w:t>
            </w:r>
          </w:p>
        </w:tc>
        <w:tc>
          <w:tcPr>
            <w:tcW w:w="7875" w:type="dxa"/>
          </w:tcPr>
          <w:p w14:paraId="23608742"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KITERJESZTETT LEJÁRATI TÁBLÁS MÓDSZER</w:t>
            </w:r>
          </w:p>
          <w:p w14:paraId="4931AAB2" w14:textId="77777777" w:rsidR="001B1411" w:rsidRPr="00DA7625" w:rsidRDefault="001B1411">
            <w:pPr>
              <w:autoSpaceDE w:val="0"/>
              <w:autoSpaceDN w:val="0"/>
              <w:adjustRightInd w:val="0"/>
              <w:spacing w:before="0" w:after="0"/>
              <w:rPr>
                <w:rFonts w:ascii="Times New Roman" w:hAnsi="Times New Roman"/>
                <w:sz w:val="24"/>
              </w:rPr>
            </w:pPr>
          </w:p>
          <w:p w14:paraId="116E3F97" w14:textId="56807C94"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A CRR 361. cikkében említett kiterjesztett lejárati táblás módszer alkalmazási körébe tartozó árupozíciók.</w:t>
            </w:r>
          </w:p>
          <w:p w14:paraId="4D8A3DED"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723D639C" w14:textId="77777777" w:rsidTr="00672D2A">
        <w:tc>
          <w:tcPr>
            <w:tcW w:w="987" w:type="dxa"/>
          </w:tcPr>
          <w:p w14:paraId="1BD325FE"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090</w:t>
            </w:r>
          </w:p>
        </w:tc>
        <w:tc>
          <w:tcPr>
            <w:tcW w:w="7875" w:type="dxa"/>
          </w:tcPr>
          <w:p w14:paraId="0E654A1B"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EGYSZERŰSÍTETT MÓDSZER</w:t>
            </w:r>
          </w:p>
          <w:p w14:paraId="5ED8B690" w14:textId="77777777" w:rsidR="001B1411" w:rsidRPr="00DA7625" w:rsidRDefault="001B1411">
            <w:pPr>
              <w:autoSpaceDE w:val="0"/>
              <w:autoSpaceDN w:val="0"/>
              <w:adjustRightInd w:val="0"/>
              <w:spacing w:before="0" w:after="0"/>
              <w:rPr>
                <w:rFonts w:ascii="Times New Roman" w:hAnsi="Times New Roman"/>
                <w:b/>
                <w:bCs/>
                <w:sz w:val="24"/>
                <w:u w:val="single"/>
              </w:rPr>
            </w:pPr>
          </w:p>
          <w:p w14:paraId="3AE09A77" w14:textId="6980F9D4"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 CRR 360. cikkében említett egyszerűsített módszer alkalmazási körébe tartozó árupozíciók. </w:t>
            </w:r>
          </w:p>
          <w:p w14:paraId="55928D23"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3BB179E1" w14:textId="77777777" w:rsidTr="00672D2A">
        <w:tc>
          <w:tcPr>
            <w:tcW w:w="987" w:type="dxa"/>
          </w:tcPr>
          <w:p w14:paraId="38234717"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100–140</w:t>
            </w:r>
          </w:p>
        </w:tc>
        <w:tc>
          <w:tcPr>
            <w:tcW w:w="7875" w:type="dxa"/>
          </w:tcPr>
          <w:p w14:paraId="3C6B1B17"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Style w:val="InstructionsTabelleberschrift"/>
                <w:rFonts w:ascii="Times New Roman" w:hAnsi="Times New Roman"/>
                <w:sz w:val="24"/>
              </w:rPr>
              <w:t>OPCIÓKRA VONATKOZÓ TOVÁBBI KÖVETELMÉNYEK (NEM DELTA KOCKÁZATOK)</w:t>
            </w:r>
          </w:p>
          <w:p w14:paraId="04A52F73" w14:textId="0D4A667C" w:rsidR="001B1411" w:rsidRPr="00DA7625" w:rsidRDefault="000B0B09">
            <w:pPr>
              <w:autoSpaceDE w:val="0"/>
              <w:autoSpaceDN w:val="0"/>
              <w:adjustRightInd w:val="0"/>
              <w:rPr>
                <w:rFonts w:ascii="Times New Roman" w:hAnsi="Times New Roman"/>
                <w:sz w:val="24"/>
              </w:rPr>
            </w:pPr>
            <w:r w:rsidRPr="00DA7625">
              <w:rPr>
                <w:rFonts w:ascii="Times New Roman" w:hAnsi="Times New Roman"/>
                <w:sz w:val="24"/>
              </w:rPr>
              <w:t xml:space="preserve">A CRR 358. cikkének (4) bekezdése </w:t>
            </w:r>
          </w:p>
          <w:p w14:paraId="0A912753" w14:textId="7A4A6BCD"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A nem delta kockázatokkal kapcsolatos, opciókra vonatkozó további követelményeket a számítási módszerben kell feltüntetni.</w:t>
            </w:r>
          </w:p>
          <w:p w14:paraId="7D9E445C" w14:textId="77777777" w:rsidR="001B1411" w:rsidRPr="00DA7625" w:rsidRDefault="001B1411">
            <w:pPr>
              <w:autoSpaceDE w:val="0"/>
              <w:autoSpaceDN w:val="0"/>
              <w:adjustRightInd w:val="0"/>
              <w:spacing w:before="0" w:after="0"/>
              <w:rPr>
                <w:rFonts w:ascii="Times New Roman" w:hAnsi="Times New Roman"/>
                <w:sz w:val="24"/>
              </w:rPr>
            </w:pPr>
          </w:p>
        </w:tc>
      </w:tr>
    </w:tbl>
    <w:p w14:paraId="229D7B57" w14:textId="77777777" w:rsidR="001B1411" w:rsidRPr="00DA7625" w:rsidRDefault="001B1411">
      <w:pPr>
        <w:rPr>
          <w:rFonts w:ascii="Times New Roman" w:hAnsi="Times New Roman"/>
          <w:sz w:val="24"/>
        </w:rPr>
      </w:pPr>
    </w:p>
    <w:p w14:paraId="0E9180D7" w14:textId="0CB02E46" w:rsidR="001B1411" w:rsidRPr="00DA7625" w:rsidRDefault="00CD30E6">
      <w:pPr>
        <w:pStyle w:val="Instructionsberschrift2"/>
        <w:numPr>
          <w:ilvl w:val="0"/>
          <w:numId w:val="0"/>
        </w:numPr>
        <w:ind w:left="357" w:hanging="357"/>
        <w:rPr>
          <w:rFonts w:ascii="Times New Roman" w:hAnsi="Times New Roman"/>
          <w:sz w:val="24"/>
        </w:rPr>
      </w:pPr>
      <w:bookmarkStart w:id="102" w:name="_Toc31018848"/>
      <w:r>
        <w:rPr>
          <w:rFonts w:ascii="Times New Roman" w:hAnsi="Times New Roman"/>
          <w:sz w:val="24"/>
          <w:u w:val="none"/>
        </w:rPr>
        <w:t>5.</w:t>
      </w:r>
      <w:r w:rsidR="00125707" w:rsidRPr="00DA7625">
        <w:rPr>
          <w:rFonts w:ascii="Times New Roman" w:hAnsi="Times New Roman"/>
          <w:sz w:val="24"/>
          <w:u w:val="none"/>
        </w:rPr>
        <w:t>7.</w:t>
      </w:r>
      <w:r w:rsidR="00125707" w:rsidRPr="00DA7625">
        <w:rPr>
          <w:rFonts w:ascii="Times New Roman" w:hAnsi="Times New Roman"/>
          <w:sz w:val="24"/>
          <w:u w:val="none"/>
        </w:rPr>
        <w:tab/>
      </w:r>
      <w:r w:rsidR="00125707" w:rsidRPr="00DA7625">
        <w:rPr>
          <w:rFonts w:ascii="Times New Roman" w:hAnsi="Times New Roman"/>
          <w:sz w:val="24"/>
        </w:rPr>
        <w:t>C 24.00 – Piaci kockázat: Belső modellek (MKR IM)</w:t>
      </w:r>
      <w:bookmarkEnd w:id="102"/>
    </w:p>
    <w:p w14:paraId="7F086F79"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103" w:name="_Toc31018849"/>
      <w:r w:rsidRPr="00DA7625">
        <w:rPr>
          <w:rFonts w:ascii="Times New Roman" w:hAnsi="Times New Roman"/>
          <w:sz w:val="24"/>
          <w:u w:val="none"/>
        </w:rPr>
        <w:t>5.7.1.</w:t>
      </w:r>
      <w:r w:rsidRPr="00DA7625">
        <w:rPr>
          <w:rFonts w:ascii="Times New Roman" w:hAnsi="Times New Roman"/>
          <w:sz w:val="24"/>
          <w:u w:val="none"/>
        </w:rPr>
        <w:tab/>
      </w:r>
      <w:r w:rsidRPr="00DA7625">
        <w:rPr>
          <w:rFonts w:ascii="Times New Roman" w:hAnsi="Times New Roman"/>
          <w:sz w:val="24"/>
        </w:rPr>
        <w:t>Általános megjegyzések</w:t>
      </w:r>
      <w:bookmarkEnd w:id="103"/>
    </w:p>
    <w:p w14:paraId="01A97E14" w14:textId="0E5A558C" w:rsidR="001B1411" w:rsidRPr="00DA7625" w:rsidRDefault="00125707">
      <w:pPr>
        <w:pStyle w:val="InstructionsText2"/>
        <w:numPr>
          <w:ilvl w:val="0"/>
          <w:numId w:val="0"/>
        </w:numPr>
        <w:ind w:left="993"/>
      </w:pPr>
      <w:r w:rsidRPr="00DA7625">
        <w:t>153.</w:t>
      </w:r>
      <w:r w:rsidRPr="00DA7625">
        <w:tab/>
        <w:t xml:space="preserve"> Ez a tábla a kockáztatott érték (VaR) és a stresszhelyzeti kockáztatott érték (sVaR) adatait mutatja be különböző (adósságinstrumentumokkal, részvényekkel, külföldi pénznemekkel vagy áruval kapcsolatos) piaci kockázatok szerinti bontásban, továbbá a szavatolótőke-követelmény számítása szempontjából lényeges egyéb információkat.</w:t>
      </w:r>
    </w:p>
    <w:p w14:paraId="5E568853" w14:textId="20234B99" w:rsidR="001B1411" w:rsidRPr="00DA7625" w:rsidRDefault="00125707">
      <w:pPr>
        <w:pStyle w:val="InstructionsText2"/>
        <w:numPr>
          <w:ilvl w:val="0"/>
          <w:numId w:val="0"/>
        </w:numPr>
        <w:ind w:left="993"/>
      </w:pPr>
      <w:r w:rsidRPr="00DA7625">
        <w:t>154.</w:t>
      </w:r>
      <w:r w:rsidRPr="00DA7625">
        <w:tab/>
        <w:t xml:space="preserve"> Általában az intézményi modell felépítésétől függ, hogy az általános és egyedi kockázatra vonatkozó adatokat elkülönítve vagy csak összesítve lehet-e meghatározni és feltüntetni. Ugyanez vonatkozik a VaR/Stress-VaR értékek kockázati kategóriák (kamatlábkockázat, részvénypiaci kockázat, árukockázat, valamint devizaárfolyam-kockázat) szerinti bontására is. Az intézmény eltekinthet a fenti bontásban történő adatszolgáltatástól, ha bizonyítani tudja, hogy az indokolatlan terhet jelentene számára. </w:t>
      </w:r>
    </w:p>
    <w:p w14:paraId="38B8C7CC"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104" w:name="_Toc31018850"/>
      <w:r w:rsidRPr="00DA7625">
        <w:rPr>
          <w:rFonts w:ascii="Times New Roman" w:hAnsi="Times New Roman"/>
          <w:sz w:val="24"/>
          <w:u w:val="none"/>
        </w:rPr>
        <w:t>5.7.2.</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1B1411" w:rsidRPr="00DA7625" w14:paraId="5884FDB3" w14:textId="77777777" w:rsidTr="00672D2A">
        <w:tc>
          <w:tcPr>
            <w:tcW w:w="8862" w:type="dxa"/>
            <w:gridSpan w:val="2"/>
            <w:shd w:val="clear" w:color="auto" w:fill="BFBFBF"/>
          </w:tcPr>
          <w:p w14:paraId="23D5B4C7" w14:textId="77777777" w:rsidR="001B1411" w:rsidRPr="00DA7625" w:rsidRDefault="0034786E">
            <w:pPr>
              <w:autoSpaceDE w:val="0"/>
              <w:autoSpaceDN w:val="0"/>
              <w:adjustRightInd w:val="0"/>
              <w:spacing w:before="0" w:after="0"/>
              <w:rPr>
                <w:rFonts w:ascii="Times New Roman" w:hAnsi="Times New Roman"/>
                <w:sz w:val="24"/>
              </w:rPr>
            </w:pPr>
            <w:r w:rsidRPr="00DA7625">
              <w:rPr>
                <w:rFonts w:ascii="Times New Roman" w:hAnsi="Times New Roman"/>
                <w:sz w:val="24"/>
              </w:rPr>
              <w:t>Oszlop</w:t>
            </w:r>
          </w:p>
        </w:tc>
      </w:tr>
      <w:tr w:rsidR="001B1411" w:rsidRPr="00DA7625" w14:paraId="55253F25" w14:textId="77777777" w:rsidTr="00672D2A">
        <w:tc>
          <w:tcPr>
            <w:tcW w:w="993" w:type="dxa"/>
          </w:tcPr>
          <w:p w14:paraId="010599D7"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030–040</w:t>
            </w:r>
          </w:p>
        </w:tc>
        <w:tc>
          <w:tcPr>
            <w:tcW w:w="7869" w:type="dxa"/>
          </w:tcPr>
          <w:p w14:paraId="4EEB9077" w14:textId="0517FC9C" w:rsidR="001B1411" w:rsidRPr="00DA7625" w:rsidRDefault="0016282F">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Kockáztatott érték (VaR)</w:t>
            </w:r>
          </w:p>
          <w:p w14:paraId="3E120A63" w14:textId="5FA0B125" w:rsidR="001B1411" w:rsidRPr="00DA7625" w:rsidRDefault="0016282F">
            <w:pPr>
              <w:autoSpaceDE w:val="0"/>
              <w:autoSpaceDN w:val="0"/>
              <w:adjustRightInd w:val="0"/>
              <w:rPr>
                <w:rFonts w:ascii="Times New Roman" w:hAnsi="Times New Roman"/>
                <w:b/>
                <w:bCs/>
                <w:sz w:val="24"/>
                <w:u w:val="single"/>
              </w:rPr>
            </w:pPr>
            <w:r w:rsidRPr="00DA7625">
              <w:rPr>
                <w:rFonts w:ascii="Times New Roman" w:hAnsi="Times New Roman"/>
                <w:sz w:val="24"/>
              </w:rPr>
              <w:t>Egy adott valószínűséggel, meghatározott időtávon bekövetkező árváltozásból származó veszteség maximális lehetséges mértéke.</w:t>
            </w:r>
          </w:p>
        </w:tc>
      </w:tr>
      <w:tr w:rsidR="001B1411" w:rsidRPr="00DA7625" w14:paraId="3FC67EE7" w14:textId="77777777" w:rsidTr="00672D2A">
        <w:tc>
          <w:tcPr>
            <w:tcW w:w="993" w:type="dxa"/>
          </w:tcPr>
          <w:p w14:paraId="10F45DB7"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030</w:t>
            </w:r>
          </w:p>
        </w:tc>
        <w:tc>
          <w:tcPr>
            <w:tcW w:w="7869" w:type="dxa"/>
          </w:tcPr>
          <w:p w14:paraId="09BBDED8"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Szorzó (mc) x Előző 60 munkanap átalagos kockáztatott értéke (VaRavg)</w:t>
            </w:r>
          </w:p>
          <w:p w14:paraId="0760C223" w14:textId="77777777" w:rsidR="001B1411" w:rsidRPr="00DA7625" w:rsidRDefault="001B1411">
            <w:pPr>
              <w:autoSpaceDE w:val="0"/>
              <w:autoSpaceDN w:val="0"/>
              <w:adjustRightInd w:val="0"/>
              <w:spacing w:before="0" w:after="0"/>
              <w:rPr>
                <w:rFonts w:ascii="Times New Roman" w:hAnsi="Times New Roman"/>
                <w:b/>
                <w:bCs/>
                <w:sz w:val="24"/>
                <w:u w:val="single"/>
              </w:rPr>
            </w:pPr>
          </w:p>
          <w:p w14:paraId="26047F00" w14:textId="00BEAB64" w:rsidR="001B1411" w:rsidRPr="00DA7625" w:rsidRDefault="00705025">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 CRR 364. cikke (1) bekezdése a) pontjának ii. alpontja, valamint 365. cikkének (1) bekezdése </w:t>
            </w:r>
          </w:p>
          <w:p w14:paraId="1588E504" w14:textId="77777777" w:rsidR="001B1411" w:rsidRPr="00DA7625" w:rsidRDefault="001B1411">
            <w:pPr>
              <w:autoSpaceDE w:val="0"/>
              <w:autoSpaceDN w:val="0"/>
              <w:adjustRightInd w:val="0"/>
              <w:spacing w:before="0" w:after="0"/>
              <w:rPr>
                <w:rFonts w:ascii="Times New Roman" w:hAnsi="Times New Roman"/>
                <w:sz w:val="24"/>
              </w:rPr>
            </w:pPr>
          </w:p>
        </w:tc>
      </w:tr>
      <w:tr w:rsidR="001B1411" w:rsidRPr="00DA7625" w14:paraId="013A7680" w14:textId="77777777" w:rsidTr="00672D2A">
        <w:tc>
          <w:tcPr>
            <w:tcW w:w="993" w:type="dxa"/>
          </w:tcPr>
          <w:p w14:paraId="3CFF4374"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040</w:t>
            </w:r>
          </w:p>
        </w:tc>
        <w:tc>
          <w:tcPr>
            <w:tcW w:w="7869" w:type="dxa"/>
          </w:tcPr>
          <w:p w14:paraId="27CB8352"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Előző napi kockáztatott érték (VaRt–1)</w:t>
            </w:r>
          </w:p>
          <w:p w14:paraId="4579B3E2" w14:textId="77777777" w:rsidR="001B1411" w:rsidRPr="00DA7625" w:rsidRDefault="001B1411">
            <w:pPr>
              <w:autoSpaceDE w:val="0"/>
              <w:autoSpaceDN w:val="0"/>
              <w:adjustRightInd w:val="0"/>
              <w:spacing w:before="0" w:after="0"/>
              <w:rPr>
                <w:rFonts w:ascii="Times New Roman" w:hAnsi="Times New Roman"/>
                <w:b/>
                <w:bCs/>
                <w:sz w:val="24"/>
                <w:u w:val="single"/>
              </w:rPr>
            </w:pPr>
          </w:p>
          <w:p w14:paraId="68F6CFCC" w14:textId="7F8EE9D3" w:rsidR="001B1411" w:rsidRPr="00DA7625" w:rsidRDefault="00705025">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 CRR 364. cikke (1) bekezdése a) pontjának i. alpontja, valamint 365. cikkének (1) bekezdése </w:t>
            </w:r>
          </w:p>
          <w:p w14:paraId="5F8EB81F" w14:textId="77777777" w:rsidR="001B1411" w:rsidRPr="00DA7625" w:rsidRDefault="001B1411">
            <w:pPr>
              <w:autoSpaceDE w:val="0"/>
              <w:autoSpaceDN w:val="0"/>
              <w:adjustRightInd w:val="0"/>
              <w:spacing w:before="0" w:after="0"/>
              <w:rPr>
                <w:rFonts w:ascii="Times New Roman" w:hAnsi="Times New Roman"/>
                <w:sz w:val="24"/>
              </w:rPr>
            </w:pPr>
          </w:p>
        </w:tc>
      </w:tr>
      <w:tr w:rsidR="001B1411" w:rsidRPr="00DA7625" w14:paraId="0D767B26" w14:textId="77777777" w:rsidTr="00672D2A">
        <w:tc>
          <w:tcPr>
            <w:tcW w:w="993" w:type="dxa"/>
          </w:tcPr>
          <w:p w14:paraId="3AE0BBEE"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050–060</w:t>
            </w:r>
          </w:p>
        </w:tc>
        <w:tc>
          <w:tcPr>
            <w:tcW w:w="7869" w:type="dxa"/>
          </w:tcPr>
          <w:p w14:paraId="5A96727A"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Stresszhelyzeti kockáztatott érték</w:t>
            </w:r>
          </w:p>
          <w:p w14:paraId="58B28F88" w14:textId="77777777" w:rsidR="001B1411" w:rsidRPr="00DA7625" w:rsidRDefault="001B1411">
            <w:pPr>
              <w:autoSpaceDE w:val="0"/>
              <w:autoSpaceDN w:val="0"/>
              <w:adjustRightInd w:val="0"/>
              <w:spacing w:before="0" w:after="0"/>
              <w:rPr>
                <w:rFonts w:ascii="Times New Roman" w:hAnsi="Times New Roman"/>
                <w:b/>
                <w:bCs/>
                <w:sz w:val="24"/>
                <w:u w:val="single"/>
              </w:rPr>
            </w:pPr>
          </w:p>
          <w:p w14:paraId="55392CBF" w14:textId="0C7995E3" w:rsidR="001B1411" w:rsidRPr="00DA7625" w:rsidRDefault="0016282F">
            <w:pPr>
              <w:autoSpaceDE w:val="0"/>
              <w:autoSpaceDN w:val="0"/>
              <w:adjustRightInd w:val="0"/>
              <w:spacing w:before="0"/>
              <w:rPr>
                <w:rFonts w:ascii="Times New Roman" w:hAnsi="Times New Roman"/>
                <w:sz w:val="24"/>
              </w:rPr>
            </w:pPr>
            <w:r w:rsidRPr="00DA7625">
              <w:rPr>
                <w:rFonts w:ascii="Times New Roman" w:hAnsi="Times New Roman"/>
                <w:sz w:val="24"/>
              </w:rPr>
              <w:t xml:space="preserve">Egy adott valószínűséggel, meghatározott időtávon bekövetkező árváltozásból származó veszteség maximális lehetséges mértéke, amelynek kiszámításához a bemeneti adatokat az intézmény portfóliója szempontjából lényeges, számottevő </w:t>
            </w:r>
            <w:r w:rsidRPr="00DA7625">
              <w:rPr>
                <w:rFonts w:ascii="Times New Roman" w:hAnsi="Times New Roman"/>
                <w:sz w:val="24"/>
              </w:rPr>
              <w:lastRenderedPageBreak/>
              <w:t>pénzügyi stresszhelyzetet jelentő, folyamatos 12 hónapos időszak történeti adatai alapján kell kalibrálni.</w:t>
            </w:r>
          </w:p>
        </w:tc>
      </w:tr>
      <w:tr w:rsidR="001B1411" w:rsidRPr="00DA7625" w14:paraId="44735C81" w14:textId="77777777" w:rsidTr="00672D2A">
        <w:tc>
          <w:tcPr>
            <w:tcW w:w="993" w:type="dxa"/>
          </w:tcPr>
          <w:p w14:paraId="155F1987"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050</w:t>
            </w:r>
          </w:p>
        </w:tc>
        <w:tc>
          <w:tcPr>
            <w:tcW w:w="7869" w:type="dxa"/>
          </w:tcPr>
          <w:p w14:paraId="7C6316C6"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Szorzó (ms) x Előző 60 munkanap átlaga (SVaRavg)</w:t>
            </w:r>
          </w:p>
          <w:p w14:paraId="006D95C1" w14:textId="77777777" w:rsidR="001B1411" w:rsidRPr="00DA7625" w:rsidRDefault="001B1411">
            <w:pPr>
              <w:autoSpaceDE w:val="0"/>
              <w:autoSpaceDN w:val="0"/>
              <w:adjustRightInd w:val="0"/>
              <w:spacing w:before="0" w:after="0"/>
              <w:rPr>
                <w:rStyle w:val="InstructionsTabelleberschrift"/>
                <w:rFonts w:ascii="Times New Roman" w:hAnsi="Times New Roman"/>
                <w:sz w:val="24"/>
              </w:rPr>
            </w:pPr>
          </w:p>
          <w:p w14:paraId="0716CF47" w14:textId="416CB9D0" w:rsidR="001B1411" w:rsidRPr="00DA7625" w:rsidRDefault="00705025">
            <w:pPr>
              <w:autoSpaceDE w:val="0"/>
              <w:autoSpaceDN w:val="0"/>
              <w:adjustRightInd w:val="0"/>
              <w:spacing w:before="0" w:after="0"/>
              <w:rPr>
                <w:rStyle w:val="InstructionsTabelleberschrift"/>
                <w:rFonts w:ascii="Times New Roman" w:hAnsi="Times New Roman"/>
                <w:b w:val="0"/>
                <w:bCs w:val="0"/>
                <w:sz w:val="24"/>
              </w:rPr>
            </w:pPr>
            <w:r w:rsidRPr="00DA7625">
              <w:rPr>
                <w:rFonts w:ascii="Times New Roman" w:hAnsi="Times New Roman"/>
                <w:sz w:val="24"/>
              </w:rPr>
              <w:t>A CRR 364. cikke (1) bekezdése b) pontjának ii. alpontja, valamint 365. cikkének (1) bekezdése</w:t>
            </w:r>
            <w:r w:rsidRPr="00DA7625">
              <w:rPr>
                <w:rStyle w:val="InstructionsTabelleberschrift"/>
                <w:rFonts w:ascii="Times New Roman" w:hAnsi="Times New Roman"/>
                <w:bCs w:val="0"/>
                <w:sz w:val="24"/>
              </w:rPr>
              <w:t xml:space="preserve"> </w:t>
            </w:r>
          </w:p>
          <w:p w14:paraId="111A992F" w14:textId="77777777" w:rsidR="001B1411" w:rsidRPr="00DA7625" w:rsidRDefault="001B1411">
            <w:pPr>
              <w:autoSpaceDE w:val="0"/>
              <w:autoSpaceDN w:val="0"/>
              <w:adjustRightInd w:val="0"/>
              <w:spacing w:before="0" w:after="0"/>
              <w:rPr>
                <w:rStyle w:val="InstructionsTabelleberschrift"/>
                <w:rFonts w:ascii="Times New Roman" w:hAnsi="Times New Roman"/>
                <w:sz w:val="24"/>
              </w:rPr>
            </w:pPr>
          </w:p>
        </w:tc>
      </w:tr>
      <w:tr w:rsidR="001B1411" w:rsidRPr="00DA7625" w14:paraId="441907CA" w14:textId="77777777" w:rsidTr="00672D2A">
        <w:tc>
          <w:tcPr>
            <w:tcW w:w="993" w:type="dxa"/>
          </w:tcPr>
          <w:p w14:paraId="18B09A71"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060</w:t>
            </w:r>
          </w:p>
        </w:tc>
        <w:tc>
          <w:tcPr>
            <w:tcW w:w="7869" w:type="dxa"/>
          </w:tcPr>
          <w:p w14:paraId="4A21AD7A"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Legfrissebb (SVaRt–1)</w:t>
            </w:r>
          </w:p>
          <w:p w14:paraId="090905A7" w14:textId="77777777" w:rsidR="001B1411" w:rsidRPr="00DA7625" w:rsidRDefault="001B1411">
            <w:pPr>
              <w:autoSpaceDE w:val="0"/>
              <w:autoSpaceDN w:val="0"/>
              <w:adjustRightInd w:val="0"/>
              <w:spacing w:before="0" w:after="0"/>
              <w:rPr>
                <w:rFonts w:ascii="Times New Roman" w:hAnsi="Times New Roman"/>
                <w:sz w:val="24"/>
              </w:rPr>
            </w:pPr>
          </w:p>
          <w:p w14:paraId="3A2A9376" w14:textId="4106F60B" w:rsidR="001B1411" w:rsidRPr="00DA7625" w:rsidRDefault="00705025">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 CRR 364. cikke (1) bekezdése b) pontjának i. alpontja, valamint 365. cikkének (1) bekezdése </w:t>
            </w:r>
          </w:p>
          <w:p w14:paraId="0E67EDC3"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53582240" w14:textId="77777777" w:rsidTr="00672D2A">
        <w:tc>
          <w:tcPr>
            <w:tcW w:w="993" w:type="dxa"/>
          </w:tcPr>
          <w:p w14:paraId="0F4CA1D5"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070–080</w:t>
            </w:r>
          </w:p>
        </w:tc>
        <w:tc>
          <w:tcPr>
            <w:tcW w:w="7869" w:type="dxa"/>
          </w:tcPr>
          <w:p w14:paraId="09E92CDE"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A JÁRULÉKOS NEMTELJESÍTÉSI ÉS ÁTMINŐSÍTÉSI KOCKÁZATRA VONATKOZÓ TŐKEKÖVETELMÉNY</w:t>
            </w:r>
          </w:p>
          <w:p w14:paraId="4BA9FCE8" w14:textId="093ABC6B" w:rsidR="001B1411" w:rsidRPr="00DA7625" w:rsidRDefault="0016282F">
            <w:pPr>
              <w:rPr>
                <w:rFonts w:ascii="Times New Roman" w:hAnsi="Times New Roman"/>
                <w:b/>
                <w:bCs/>
                <w:sz w:val="24"/>
                <w:u w:val="single"/>
              </w:rPr>
            </w:pPr>
            <w:r w:rsidRPr="00DA7625">
              <w:rPr>
                <w:rFonts w:ascii="Times New Roman" w:hAnsi="Times New Roman"/>
                <w:sz w:val="24"/>
              </w:rPr>
              <w:t xml:space="preserve">A járulékos nemteljesítési és átminősítési kockázatra vonatkozó tőkekövetelmény a nemteljesítési és átminősítési kockázatokkal összefüggésben bekövetkező árváltozásból származó veszteség maximális lehetséges mértéke, amelynek kiszámítása a CRR harmadik része IV. címe 5. fejezetének 4. szakaszával összefüggésben a CRR 364. cikke (2) bekezdésének b) pontja alapján történik. </w:t>
            </w:r>
          </w:p>
        </w:tc>
      </w:tr>
      <w:tr w:rsidR="001B1411" w:rsidRPr="00DA7625" w14:paraId="23B42927" w14:textId="77777777" w:rsidTr="00672D2A">
        <w:tc>
          <w:tcPr>
            <w:tcW w:w="993" w:type="dxa"/>
          </w:tcPr>
          <w:p w14:paraId="7726E682"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070</w:t>
            </w:r>
          </w:p>
        </w:tc>
        <w:tc>
          <w:tcPr>
            <w:tcW w:w="7869" w:type="dxa"/>
          </w:tcPr>
          <w:p w14:paraId="2A6613B2"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12 hetes átlagos mérőszám</w:t>
            </w:r>
          </w:p>
          <w:p w14:paraId="27A8D544" w14:textId="77777777" w:rsidR="001B1411" w:rsidRPr="00DA7625" w:rsidRDefault="001B1411">
            <w:pPr>
              <w:autoSpaceDE w:val="0"/>
              <w:autoSpaceDN w:val="0"/>
              <w:adjustRightInd w:val="0"/>
              <w:spacing w:before="0" w:after="0"/>
              <w:rPr>
                <w:rFonts w:ascii="Times New Roman" w:hAnsi="Times New Roman"/>
                <w:sz w:val="24"/>
              </w:rPr>
            </w:pPr>
          </w:p>
          <w:p w14:paraId="130A4688" w14:textId="66F2BC66" w:rsidR="001B1411" w:rsidRPr="00DA7625" w:rsidRDefault="00705025">
            <w:pPr>
              <w:autoSpaceDE w:val="0"/>
              <w:autoSpaceDN w:val="0"/>
              <w:adjustRightInd w:val="0"/>
              <w:spacing w:before="0" w:after="0"/>
              <w:rPr>
                <w:rFonts w:ascii="Times New Roman" w:hAnsi="Times New Roman"/>
                <w:sz w:val="24"/>
              </w:rPr>
            </w:pPr>
            <w:r w:rsidRPr="00DA7625">
              <w:rPr>
                <w:rFonts w:ascii="Times New Roman" w:hAnsi="Times New Roman"/>
                <w:sz w:val="24"/>
              </w:rPr>
              <w:t>A CRR 364. cikke (2) bekezdése b) pontjának ii. alpontja, a CRR harmadik része IV. címe 5. fejezetének 4. szakaszával összefüggésben</w:t>
            </w:r>
          </w:p>
          <w:p w14:paraId="223D4606"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3223CCB2" w14:textId="77777777" w:rsidTr="00672D2A">
        <w:tc>
          <w:tcPr>
            <w:tcW w:w="993" w:type="dxa"/>
          </w:tcPr>
          <w:p w14:paraId="519B6FE5"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080</w:t>
            </w:r>
          </w:p>
        </w:tc>
        <w:tc>
          <w:tcPr>
            <w:tcW w:w="7869" w:type="dxa"/>
          </w:tcPr>
          <w:p w14:paraId="53207CE8"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Legfrissebb mérőszám</w:t>
            </w:r>
          </w:p>
          <w:p w14:paraId="2064AC85" w14:textId="77777777" w:rsidR="001B1411" w:rsidRPr="00DA7625" w:rsidRDefault="001B1411">
            <w:pPr>
              <w:autoSpaceDE w:val="0"/>
              <w:autoSpaceDN w:val="0"/>
              <w:adjustRightInd w:val="0"/>
              <w:spacing w:before="0" w:after="0"/>
              <w:rPr>
                <w:rFonts w:ascii="Times New Roman" w:hAnsi="Times New Roman"/>
                <w:b/>
                <w:bCs/>
                <w:sz w:val="24"/>
                <w:u w:val="single"/>
              </w:rPr>
            </w:pPr>
          </w:p>
          <w:p w14:paraId="513B34CB" w14:textId="3403633E" w:rsidR="001B1411" w:rsidRPr="00DA7625" w:rsidRDefault="00705025">
            <w:pPr>
              <w:autoSpaceDE w:val="0"/>
              <w:autoSpaceDN w:val="0"/>
              <w:adjustRightInd w:val="0"/>
              <w:spacing w:before="0" w:after="0"/>
              <w:rPr>
                <w:rFonts w:ascii="Times New Roman" w:hAnsi="Times New Roman"/>
                <w:sz w:val="24"/>
              </w:rPr>
            </w:pPr>
            <w:r w:rsidRPr="00DA7625">
              <w:rPr>
                <w:rFonts w:ascii="Times New Roman" w:hAnsi="Times New Roman"/>
                <w:sz w:val="24"/>
              </w:rPr>
              <w:t>A CRR 364. cikke (2) bekezdése b) pontjának i. alpontja, a CRR harmadik része IV. címe 5. fejezetének 4. szakaszával összefüggésben.</w:t>
            </w:r>
          </w:p>
          <w:p w14:paraId="67653EB6"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7B27507C" w14:textId="77777777" w:rsidTr="00672D2A">
        <w:tc>
          <w:tcPr>
            <w:tcW w:w="993" w:type="dxa"/>
          </w:tcPr>
          <w:p w14:paraId="227096D1"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090–110</w:t>
            </w:r>
          </w:p>
        </w:tc>
        <w:tc>
          <w:tcPr>
            <w:tcW w:w="7869" w:type="dxa"/>
          </w:tcPr>
          <w:p w14:paraId="545694B6"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TELJES ÁRKOCKÁZATI TŐKEKÖVETELMÉNY A CTP-RE VONATKOZÓAN</w:t>
            </w:r>
          </w:p>
          <w:p w14:paraId="1893DA38"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219582DF" w14:textId="77777777" w:rsidTr="00672D2A">
        <w:tc>
          <w:tcPr>
            <w:tcW w:w="993" w:type="dxa"/>
          </w:tcPr>
          <w:p w14:paraId="2E47A374"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090</w:t>
            </w:r>
          </w:p>
        </w:tc>
        <w:tc>
          <w:tcPr>
            <w:tcW w:w="7869" w:type="dxa"/>
          </w:tcPr>
          <w:p w14:paraId="0D565D1B"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ALSÓ KORLÁT</w:t>
            </w:r>
          </w:p>
          <w:p w14:paraId="453E7E9E" w14:textId="0056C5C0" w:rsidR="001B1411" w:rsidRPr="00DA7625" w:rsidRDefault="00705025">
            <w:pPr>
              <w:rPr>
                <w:rFonts w:ascii="Times New Roman" w:hAnsi="Times New Roman"/>
                <w:sz w:val="24"/>
              </w:rPr>
            </w:pPr>
            <w:r w:rsidRPr="00DA7625">
              <w:rPr>
                <w:rFonts w:ascii="Times New Roman" w:hAnsi="Times New Roman"/>
                <w:sz w:val="24"/>
              </w:rPr>
              <w:t>A CRR 364. cikke (3) bekezdésének c) pontja</w:t>
            </w:r>
          </w:p>
          <w:p w14:paraId="098C5AE1" w14:textId="6D1BE25B"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sz w:val="24"/>
              </w:rPr>
              <w:t>= azon tőkekövetelmény 8 %-a, amely a CRR 338. cikkének (1) bekezdése szerint került volna kiszámításra a teljes árkockázati tőkekövetelménnyel érintett valamennyi pozíció tekintetében.</w:t>
            </w:r>
            <w:r w:rsidRPr="00DA7625">
              <w:rPr>
                <w:rFonts w:ascii="Times New Roman" w:hAnsi="Times New Roman"/>
                <w:b/>
                <w:bCs/>
                <w:sz w:val="24"/>
                <w:u w:val="single"/>
              </w:rPr>
              <w:t xml:space="preserve"> </w:t>
            </w:r>
          </w:p>
          <w:p w14:paraId="6887174B"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1D33B04F" w14:textId="77777777" w:rsidTr="00672D2A">
        <w:tc>
          <w:tcPr>
            <w:tcW w:w="993" w:type="dxa"/>
          </w:tcPr>
          <w:p w14:paraId="7FCA6AB1"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100–110</w:t>
            </w:r>
          </w:p>
        </w:tc>
        <w:tc>
          <w:tcPr>
            <w:tcW w:w="7869" w:type="dxa"/>
          </w:tcPr>
          <w:p w14:paraId="136C05A9"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12 HETES ÁTLAGOS MÉRŐSZÁM ÉS LEGFRISSEBB MÉRŐSZÁM</w:t>
            </w:r>
          </w:p>
          <w:p w14:paraId="3221D387" w14:textId="467DE778" w:rsidR="001B1411" w:rsidRPr="00DA7625" w:rsidRDefault="00705025">
            <w:pPr>
              <w:autoSpaceDE w:val="0"/>
              <w:autoSpaceDN w:val="0"/>
              <w:adjustRightInd w:val="0"/>
              <w:spacing w:after="0"/>
              <w:rPr>
                <w:rFonts w:ascii="Times New Roman" w:hAnsi="Times New Roman"/>
                <w:bCs/>
                <w:sz w:val="24"/>
              </w:rPr>
            </w:pPr>
            <w:r w:rsidRPr="00DA7625">
              <w:rPr>
                <w:rFonts w:ascii="Times New Roman" w:hAnsi="Times New Roman"/>
                <w:bCs/>
                <w:sz w:val="24"/>
              </w:rPr>
              <w:t>A CRR 364. cikke (3) bekezdésének b) pontja</w:t>
            </w:r>
          </w:p>
          <w:p w14:paraId="56BC9F2F" w14:textId="77777777" w:rsidR="001B1411" w:rsidRPr="00DA7625" w:rsidRDefault="001B1411">
            <w:pPr>
              <w:autoSpaceDE w:val="0"/>
              <w:autoSpaceDN w:val="0"/>
              <w:adjustRightInd w:val="0"/>
              <w:spacing w:before="0" w:after="0"/>
              <w:rPr>
                <w:rFonts w:ascii="Times New Roman" w:hAnsi="Times New Roman"/>
                <w:bCs/>
                <w:sz w:val="24"/>
                <w:u w:val="single"/>
              </w:rPr>
            </w:pPr>
          </w:p>
        </w:tc>
      </w:tr>
      <w:tr w:rsidR="001B1411" w:rsidRPr="00DA7625" w14:paraId="75D9D0FC" w14:textId="77777777" w:rsidTr="00672D2A">
        <w:tc>
          <w:tcPr>
            <w:tcW w:w="993" w:type="dxa"/>
          </w:tcPr>
          <w:p w14:paraId="62FF7F31"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110</w:t>
            </w:r>
          </w:p>
        </w:tc>
        <w:tc>
          <w:tcPr>
            <w:tcW w:w="7869" w:type="dxa"/>
          </w:tcPr>
          <w:p w14:paraId="7EBF795A" w14:textId="77777777" w:rsidR="001B1411" w:rsidRPr="00DA7625" w:rsidRDefault="000B0B09">
            <w:pPr>
              <w:autoSpaceDE w:val="0"/>
              <w:autoSpaceDN w:val="0"/>
              <w:adjustRightInd w:val="0"/>
              <w:spacing w:before="0"/>
              <w:rPr>
                <w:rFonts w:ascii="Times New Roman" w:hAnsi="Times New Roman"/>
                <w:b/>
                <w:bCs/>
                <w:sz w:val="24"/>
                <w:u w:val="single"/>
              </w:rPr>
            </w:pPr>
            <w:r w:rsidRPr="00DA7625">
              <w:rPr>
                <w:rFonts w:ascii="Times New Roman" w:hAnsi="Times New Roman"/>
                <w:b/>
                <w:bCs/>
                <w:sz w:val="24"/>
                <w:u w:val="single"/>
              </w:rPr>
              <w:t>LEGFRISSEBB MÉRŐSZÁM</w:t>
            </w:r>
          </w:p>
          <w:p w14:paraId="08ADC411" w14:textId="77777777" w:rsidR="001B1411" w:rsidRPr="00DA7625" w:rsidRDefault="00705025">
            <w:pPr>
              <w:autoSpaceDE w:val="0"/>
              <w:autoSpaceDN w:val="0"/>
              <w:adjustRightInd w:val="0"/>
              <w:spacing w:before="0" w:after="0"/>
              <w:rPr>
                <w:rFonts w:ascii="Times New Roman" w:hAnsi="Times New Roman"/>
                <w:bCs/>
                <w:sz w:val="24"/>
              </w:rPr>
            </w:pPr>
            <w:r w:rsidRPr="00DA7625">
              <w:rPr>
                <w:rFonts w:ascii="Times New Roman" w:hAnsi="Times New Roman"/>
                <w:bCs/>
                <w:sz w:val="24"/>
              </w:rPr>
              <w:t>A CRR 364. cikke (3) bekezdésének a) pontja</w:t>
            </w:r>
          </w:p>
          <w:p w14:paraId="0BF29F66"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07E3D7C2" w14:textId="77777777" w:rsidTr="00672D2A">
        <w:tc>
          <w:tcPr>
            <w:tcW w:w="993" w:type="dxa"/>
          </w:tcPr>
          <w:p w14:paraId="403357F2"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120</w:t>
            </w:r>
          </w:p>
        </w:tc>
        <w:tc>
          <w:tcPr>
            <w:tcW w:w="7869" w:type="dxa"/>
          </w:tcPr>
          <w:p w14:paraId="0CC1B742"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SZAVATOLÓTŐKE-KÖVETELMÉNY</w:t>
            </w:r>
          </w:p>
          <w:p w14:paraId="7F695B63" w14:textId="5EB52E01" w:rsidR="001B1411" w:rsidRPr="00DA7625" w:rsidRDefault="00BE0363">
            <w:pPr>
              <w:autoSpaceDE w:val="0"/>
              <w:autoSpaceDN w:val="0"/>
              <w:adjustRightInd w:val="0"/>
              <w:rPr>
                <w:rFonts w:ascii="Times New Roman" w:hAnsi="Times New Roman"/>
                <w:b/>
                <w:bCs/>
                <w:sz w:val="24"/>
                <w:u w:val="single"/>
              </w:rPr>
            </w:pPr>
            <w:r w:rsidRPr="00DA7625">
              <w:rPr>
                <w:rFonts w:ascii="Times New Roman" w:hAnsi="Times New Roman"/>
                <w:sz w:val="24"/>
              </w:rPr>
              <w:lastRenderedPageBreak/>
              <w:t xml:space="preserve">A CRR 364. cikkében említett </w:t>
            </w:r>
            <w:r w:rsidRPr="00DA7625">
              <w:rPr>
                <w:rFonts w:ascii="Times New Roman" w:hAnsi="Times New Roman"/>
                <w:bCs/>
                <w:sz w:val="24"/>
              </w:rPr>
              <w:t>szavatolótőke-követelmények</w:t>
            </w:r>
            <w:r w:rsidRPr="00DA7625">
              <w:rPr>
                <w:rFonts w:ascii="Times New Roman" w:hAnsi="Times New Roman"/>
                <w:sz w:val="24"/>
              </w:rPr>
              <w:t xml:space="preserve"> az összes kockázati tényezőre vonatkozóan, adott esetben figyelembe véve a korrelációs hatásokat, valamint a járulékos nemteljesítési és átminősítési kockázatot és a CTP-ben árazott valamennyi kockázatot, figyelmen kívül hagyva azonban a CRR 364. cikkének (2) bekezdése szerinti, az értékpapírosításhoz és az n-edik nemteljesítéskor lehívható hitelderivatívákhoz kapcsolódó tőkekövetelményt. </w:t>
            </w:r>
          </w:p>
        </w:tc>
      </w:tr>
      <w:tr w:rsidR="001B1411" w:rsidRPr="00DA7625" w14:paraId="5330A5E6" w14:textId="77777777" w:rsidTr="00672D2A">
        <w:tc>
          <w:tcPr>
            <w:tcW w:w="993" w:type="dxa"/>
          </w:tcPr>
          <w:p w14:paraId="4AD8EB71"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130</w:t>
            </w:r>
          </w:p>
        </w:tc>
        <w:tc>
          <w:tcPr>
            <w:tcW w:w="7869" w:type="dxa"/>
          </w:tcPr>
          <w:p w14:paraId="7ECD3034"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TELJES KOCKÁZATI KITETTSÉGÉRTÉK</w:t>
            </w:r>
          </w:p>
          <w:p w14:paraId="20BF3926" w14:textId="77777777" w:rsidR="001B1411" w:rsidRPr="00DA7625" w:rsidRDefault="001B1411">
            <w:pPr>
              <w:autoSpaceDE w:val="0"/>
              <w:autoSpaceDN w:val="0"/>
              <w:adjustRightInd w:val="0"/>
              <w:spacing w:before="0" w:after="0"/>
              <w:rPr>
                <w:rFonts w:ascii="Times New Roman" w:hAnsi="Times New Roman"/>
                <w:b/>
                <w:bCs/>
                <w:sz w:val="24"/>
                <w:u w:val="single"/>
              </w:rPr>
            </w:pPr>
          </w:p>
          <w:p w14:paraId="63001CD4" w14:textId="046D4320" w:rsidR="001B1411" w:rsidRPr="00DA7625" w:rsidRDefault="00D21B29">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 CRR 92. cikke (4) bekezdésének b) pontja </w:t>
            </w:r>
          </w:p>
          <w:p w14:paraId="165EC96F" w14:textId="6DFEB556"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A szavatolótőke-követelmény 12,5-del való szorzásának az eredménye.</w:t>
            </w:r>
          </w:p>
          <w:p w14:paraId="4D6267B0"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1A4AC48C" w14:textId="77777777" w:rsidTr="00672D2A">
        <w:tc>
          <w:tcPr>
            <w:tcW w:w="993" w:type="dxa"/>
          </w:tcPr>
          <w:p w14:paraId="0C595607"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140</w:t>
            </w:r>
          </w:p>
        </w:tc>
        <w:tc>
          <w:tcPr>
            <w:tcW w:w="7869" w:type="dxa"/>
          </w:tcPr>
          <w:p w14:paraId="5A460C7B" w14:textId="77777777" w:rsidR="001B1411" w:rsidRPr="00DA7625" w:rsidRDefault="000B0B09">
            <w:pPr>
              <w:autoSpaceDE w:val="0"/>
              <w:autoSpaceDN w:val="0"/>
              <w:adjustRightInd w:val="0"/>
              <w:spacing w:before="0"/>
              <w:rPr>
                <w:rFonts w:ascii="Times New Roman" w:hAnsi="Times New Roman"/>
                <w:b/>
                <w:bCs/>
                <w:sz w:val="24"/>
                <w:u w:val="single"/>
              </w:rPr>
            </w:pPr>
            <w:r w:rsidRPr="00DA7625">
              <w:rPr>
                <w:rFonts w:ascii="Times New Roman" w:hAnsi="Times New Roman"/>
                <w:b/>
                <w:bCs/>
                <w:sz w:val="24"/>
                <w:u w:val="single"/>
              </w:rPr>
              <w:t>Túllépések száma az előző 250 munkanap során</w:t>
            </w:r>
          </w:p>
          <w:p w14:paraId="5EA690D5" w14:textId="72AF0B15" w:rsidR="001B1411" w:rsidRPr="00DA7625" w:rsidRDefault="000B0B09">
            <w:pPr>
              <w:autoSpaceDE w:val="0"/>
              <w:autoSpaceDN w:val="0"/>
              <w:adjustRightInd w:val="0"/>
              <w:spacing w:before="0"/>
              <w:rPr>
                <w:rFonts w:ascii="Times New Roman" w:hAnsi="Times New Roman"/>
                <w:sz w:val="24"/>
              </w:rPr>
            </w:pPr>
            <w:r w:rsidRPr="00DA7625">
              <w:rPr>
                <w:rFonts w:ascii="Times New Roman" w:hAnsi="Times New Roman"/>
                <w:sz w:val="24"/>
              </w:rPr>
              <w:t>A CRR 366. cikkében említettek szerint</w:t>
            </w:r>
          </w:p>
          <w:p w14:paraId="58323C93" w14:textId="4049091C" w:rsidR="001B1411" w:rsidRPr="00DA7625" w:rsidRDefault="00A92CFF">
            <w:pPr>
              <w:autoSpaceDE w:val="0"/>
              <w:autoSpaceDN w:val="0"/>
              <w:adjustRightInd w:val="0"/>
              <w:spacing w:before="0"/>
              <w:rPr>
                <w:rFonts w:ascii="Times New Roman" w:hAnsi="Times New Roman"/>
                <w:b/>
                <w:bCs/>
                <w:sz w:val="24"/>
                <w:u w:val="single"/>
              </w:rPr>
            </w:pPr>
            <w:r w:rsidRPr="00DA7625">
              <w:rPr>
                <w:rFonts w:ascii="Times New Roman" w:hAnsi="Times New Roman"/>
                <w:sz w:val="24"/>
              </w:rPr>
              <w:t>Azon túllépések számát kell feltüntetni, amelyek alapján a kiegészítő tétel meghatározásra kerül.</w:t>
            </w:r>
          </w:p>
        </w:tc>
      </w:tr>
      <w:tr w:rsidR="001B1411" w:rsidRPr="00DA7625" w14:paraId="4A919894" w14:textId="77777777" w:rsidTr="00672D2A">
        <w:tc>
          <w:tcPr>
            <w:tcW w:w="993" w:type="dxa"/>
          </w:tcPr>
          <w:p w14:paraId="4162ECFA"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150–160</w:t>
            </w:r>
          </w:p>
        </w:tc>
        <w:tc>
          <w:tcPr>
            <w:tcW w:w="7869" w:type="dxa"/>
          </w:tcPr>
          <w:p w14:paraId="0B29FC8E" w14:textId="77777777" w:rsidR="001B1411" w:rsidRPr="00DA7625" w:rsidRDefault="000B0B09">
            <w:pPr>
              <w:autoSpaceDE w:val="0"/>
              <w:autoSpaceDN w:val="0"/>
              <w:adjustRightInd w:val="0"/>
              <w:spacing w:before="0"/>
              <w:rPr>
                <w:rFonts w:ascii="Times New Roman" w:hAnsi="Times New Roman"/>
                <w:b/>
                <w:bCs/>
                <w:sz w:val="24"/>
                <w:u w:val="single"/>
              </w:rPr>
            </w:pPr>
            <w:r w:rsidRPr="00DA7625">
              <w:rPr>
                <w:rFonts w:ascii="Times New Roman" w:hAnsi="Times New Roman"/>
                <w:b/>
                <w:bCs/>
                <w:sz w:val="24"/>
                <w:u w:val="single"/>
              </w:rPr>
              <w:t>VaR szorzó (mc) és SVaR szorzó (ms)</w:t>
            </w:r>
          </w:p>
          <w:p w14:paraId="47255413" w14:textId="119C8D71" w:rsidR="001B1411" w:rsidRPr="00DA7625" w:rsidRDefault="000B0B09">
            <w:pPr>
              <w:autoSpaceDE w:val="0"/>
              <w:autoSpaceDN w:val="0"/>
              <w:adjustRightInd w:val="0"/>
              <w:spacing w:before="0" w:after="0"/>
              <w:rPr>
                <w:rStyle w:val="InstructionsTabelleberschrift"/>
                <w:sz w:val="24"/>
              </w:rPr>
            </w:pPr>
            <w:r w:rsidRPr="00DA7625">
              <w:rPr>
                <w:rFonts w:ascii="Times New Roman" w:hAnsi="Times New Roman"/>
                <w:sz w:val="24"/>
              </w:rPr>
              <w:t>A CRR 366. cikkében említettek szerint</w:t>
            </w:r>
          </w:p>
          <w:p w14:paraId="594BC356"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40219790" w14:textId="77777777" w:rsidTr="00672D2A">
        <w:tc>
          <w:tcPr>
            <w:tcW w:w="993" w:type="dxa"/>
          </w:tcPr>
          <w:p w14:paraId="4E97338A"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170–180</w:t>
            </w:r>
          </w:p>
        </w:tc>
        <w:tc>
          <w:tcPr>
            <w:tcW w:w="7869" w:type="dxa"/>
          </w:tcPr>
          <w:p w14:paraId="19A123CE"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A CTP-TŐKEKÖVETELMÉNY FELTÉTELEZETT ALSÓ KORLÁTJA – SÚLYOZOTT NETTÓ HOSSZÚ/RÖVID POZÍCIÓK A FELSŐ KORLÁT FIGYELEMBEVÉTELÉVEL</w:t>
            </w:r>
          </w:p>
          <w:p w14:paraId="421F26D5" w14:textId="4BF7D80B" w:rsidR="001B1411" w:rsidRPr="00DA7625" w:rsidRDefault="000B0B09">
            <w:pPr>
              <w:autoSpaceDE w:val="0"/>
              <w:autoSpaceDN w:val="0"/>
              <w:adjustRightInd w:val="0"/>
              <w:rPr>
                <w:rStyle w:val="InstructionsTabelleberschrift"/>
                <w:rFonts w:ascii="Times New Roman" w:hAnsi="Times New Roman"/>
                <w:sz w:val="24"/>
              </w:rPr>
            </w:pPr>
            <w:r w:rsidRPr="00DA7625">
              <w:rPr>
                <w:rFonts w:ascii="Times New Roman" w:hAnsi="Times New Roman"/>
                <w:sz w:val="24"/>
              </w:rPr>
              <w:t xml:space="preserve">A feltüntetett és a teljes árkockázati tőkekövetelményre vonatkozó, a CRR 364. cikke (3) bekezdésének c) pontja szerinti alsó határ kiszámításához felhasznált összeg figyelembe veszi a CRR 335. cikkében biztosított jogosultságot, amely előírja, hogy egy intézmény a nemteljesítési kockázathoz kapcsolódó veszteség lehetséges maximális összegében korlátozhatja a súly és a nettó pozíció szorzatát. </w:t>
            </w:r>
          </w:p>
        </w:tc>
      </w:tr>
    </w:tbl>
    <w:p w14:paraId="63C05583" w14:textId="77777777" w:rsidR="001B1411" w:rsidRPr="00DA7625" w:rsidRDefault="001B1411">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1B1411" w:rsidRPr="00DA7625" w14:paraId="084B0775" w14:textId="77777777" w:rsidTr="00672D2A">
        <w:trPr>
          <w:trHeight w:val="566"/>
        </w:trPr>
        <w:tc>
          <w:tcPr>
            <w:tcW w:w="8896" w:type="dxa"/>
            <w:gridSpan w:val="2"/>
            <w:shd w:val="clear" w:color="auto" w:fill="CCCCCC"/>
          </w:tcPr>
          <w:p w14:paraId="649D7980" w14:textId="77777777" w:rsidR="001B1411" w:rsidRPr="00DA7625" w:rsidRDefault="000B0B09">
            <w:pPr>
              <w:autoSpaceDE w:val="0"/>
              <w:autoSpaceDN w:val="0"/>
              <w:adjustRightInd w:val="0"/>
              <w:spacing w:after="0"/>
              <w:rPr>
                <w:rFonts w:ascii="Times New Roman" w:hAnsi="Times New Roman"/>
                <w:b/>
                <w:sz w:val="24"/>
              </w:rPr>
            </w:pPr>
            <w:r w:rsidRPr="00DA7625">
              <w:rPr>
                <w:rFonts w:ascii="Times New Roman" w:hAnsi="Times New Roman"/>
                <w:b/>
                <w:sz w:val="24"/>
              </w:rPr>
              <w:t>Sor</w:t>
            </w:r>
          </w:p>
        </w:tc>
      </w:tr>
      <w:tr w:rsidR="001B1411" w:rsidRPr="00DA7625" w14:paraId="6031AED8" w14:textId="77777777" w:rsidTr="00672D2A">
        <w:tc>
          <w:tcPr>
            <w:tcW w:w="993" w:type="dxa"/>
          </w:tcPr>
          <w:p w14:paraId="4169D2D2"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010</w:t>
            </w:r>
          </w:p>
        </w:tc>
        <w:tc>
          <w:tcPr>
            <w:tcW w:w="7903" w:type="dxa"/>
          </w:tcPr>
          <w:p w14:paraId="13C9886D"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POZÍCIÓK ÖSSZESEN</w:t>
            </w:r>
          </w:p>
          <w:p w14:paraId="358371AC" w14:textId="77777777" w:rsidR="001B1411" w:rsidRPr="00DA7625" w:rsidRDefault="001B1411">
            <w:pPr>
              <w:autoSpaceDE w:val="0"/>
              <w:autoSpaceDN w:val="0"/>
              <w:adjustRightInd w:val="0"/>
              <w:spacing w:before="0" w:after="0"/>
              <w:rPr>
                <w:rFonts w:ascii="Times New Roman" w:hAnsi="Times New Roman"/>
                <w:b/>
                <w:bCs/>
                <w:sz w:val="24"/>
                <w:u w:val="single"/>
              </w:rPr>
            </w:pPr>
          </w:p>
          <w:p w14:paraId="0EACB68B" w14:textId="34B7552B" w:rsidR="001B1411" w:rsidRPr="00DA7625" w:rsidRDefault="000B0B09">
            <w:pPr>
              <w:autoSpaceDE w:val="0"/>
              <w:autoSpaceDN w:val="0"/>
              <w:adjustRightInd w:val="0"/>
              <w:spacing w:before="0"/>
              <w:rPr>
                <w:rFonts w:ascii="Times New Roman" w:hAnsi="Times New Roman"/>
                <w:sz w:val="24"/>
              </w:rPr>
            </w:pPr>
            <w:r w:rsidRPr="00DA7625">
              <w:rPr>
                <w:rFonts w:ascii="Times New Roman" w:hAnsi="Times New Roman"/>
                <w:sz w:val="24"/>
              </w:rPr>
              <w:t>A CRR 363. cikkének (1) bekezdésében említett pozíció-, devizaárfolyam- és árukockázatnak az a része, amely a CRR 367. cikkének (2) bekezdésében meghatározott kockázati tényezőkhöz kapcsolódik.</w:t>
            </w:r>
          </w:p>
          <w:p w14:paraId="12E3AAEC" w14:textId="1B3D92D8"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A 030–060. oszlop VaR és Stress-VaR értékeit illetően az összesítő sorban szereplő adatok nem egyeznek meg a vonatkozó kockázati elemek szerint lebontott VaR és Stress-VaR értékekkel.</w:t>
            </w:r>
          </w:p>
          <w:p w14:paraId="5C08FF29" w14:textId="77777777" w:rsidR="001B1411" w:rsidRPr="00DA7625" w:rsidRDefault="001B1411">
            <w:pPr>
              <w:autoSpaceDE w:val="0"/>
              <w:autoSpaceDN w:val="0"/>
              <w:adjustRightInd w:val="0"/>
              <w:spacing w:before="0" w:after="0"/>
              <w:rPr>
                <w:rFonts w:ascii="Times New Roman" w:hAnsi="Times New Roman"/>
                <w:sz w:val="24"/>
              </w:rPr>
            </w:pPr>
          </w:p>
        </w:tc>
      </w:tr>
      <w:tr w:rsidR="001B1411" w:rsidRPr="00DA7625" w14:paraId="05C47CAF" w14:textId="77777777" w:rsidTr="00672D2A">
        <w:tc>
          <w:tcPr>
            <w:tcW w:w="993" w:type="dxa"/>
          </w:tcPr>
          <w:p w14:paraId="6D0D8456"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020</w:t>
            </w:r>
          </w:p>
        </w:tc>
        <w:tc>
          <w:tcPr>
            <w:tcW w:w="7903" w:type="dxa"/>
          </w:tcPr>
          <w:p w14:paraId="3A9AB85A"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FORGALMAZOTT, HITELVISZONYT MEGTESTESÍTŐ ÉRTÉKPAPÍROK</w:t>
            </w:r>
          </w:p>
          <w:p w14:paraId="5E5F36C1" w14:textId="574BB04C" w:rsidR="001B1411" w:rsidRPr="00DA7625" w:rsidRDefault="000B0B09">
            <w:pPr>
              <w:autoSpaceDE w:val="0"/>
              <w:autoSpaceDN w:val="0"/>
              <w:adjustRightInd w:val="0"/>
              <w:rPr>
                <w:rFonts w:ascii="Times New Roman" w:hAnsi="Times New Roman"/>
                <w:sz w:val="24"/>
              </w:rPr>
            </w:pPr>
            <w:r w:rsidRPr="00DA7625">
              <w:rPr>
                <w:rFonts w:ascii="Times New Roman" w:hAnsi="Times New Roman"/>
                <w:sz w:val="24"/>
              </w:rPr>
              <w:t>A CRR 363. cikkének (1) bekezdésében említett pozíciókockázatnak az a része, amely a CRR 367. cikke (2) bekezdésének a) pontjában meghatározott kamatláb-kockázati tényezőkhöz kapcsolódik.</w:t>
            </w:r>
          </w:p>
        </w:tc>
      </w:tr>
      <w:tr w:rsidR="001B1411" w:rsidRPr="00DA7625" w14:paraId="253DED19" w14:textId="77777777" w:rsidTr="00672D2A">
        <w:tc>
          <w:tcPr>
            <w:tcW w:w="993" w:type="dxa"/>
          </w:tcPr>
          <w:p w14:paraId="5DEFEEA2"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lastRenderedPageBreak/>
              <w:t>030</w:t>
            </w:r>
          </w:p>
        </w:tc>
        <w:tc>
          <w:tcPr>
            <w:tcW w:w="7903" w:type="dxa"/>
          </w:tcPr>
          <w:p w14:paraId="58A2AB5F"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TDI – ÁLTALÁNOS KOCKÁZAT</w:t>
            </w:r>
          </w:p>
          <w:p w14:paraId="3DB6B4AC" w14:textId="65116B44" w:rsidR="001B1411" w:rsidRPr="00DA7625" w:rsidRDefault="000B0B09">
            <w:pPr>
              <w:autoSpaceDE w:val="0"/>
              <w:autoSpaceDN w:val="0"/>
              <w:adjustRightInd w:val="0"/>
              <w:rPr>
                <w:rFonts w:ascii="Times New Roman" w:hAnsi="Times New Roman"/>
                <w:sz w:val="24"/>
              </w:rPr>
            </w:pPr>
            <w:r w:rsidRPr="00DA7625">
              <w:rPr>
                <w:rFonts w:ascii="Times New Roman" w:hAnsi="Times New Roman"/>
                <w:sz w:val="24"/>
              </w:rPr>
              <w:t xml:space="preserve">A CRR 362. cikkében említett általános kockázati elem </w:t>
            </w:r>
          </w:p>
        </w:tc>
      </w:tr>
      <w:tr w:rsidR="001B1411" w:rsidRPr="00DA7625" w14:paraId="3A87E4EC" w14:textId="77777777" w:rsidTr="00672D2A">
        <w:tc>
          <w:tcPr>
            <w:tcW w:w="993" w:type="dxa"/>
          </w:tcPr>
          <w:p w14:paraId="53BD9DEA"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040</w:t>
            </w:r>
          </w:p>
        </w:tc>
        <w:tc>
          <w:tcPr>
            <w:tcW w:w="7903" w:type="dxa"/>
          </w:tcPr>
          <w:p w14:paraId="2C5FFEF0"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TDI – EGYEDI KOCKÁZAT</w:t>
            </w:r>
          </w:p>
          <w:p w14:paraId="79C40A5C" w14:textId="77777777" w:rsidR="001B1411" w:rsidRPr="00DA7625" w:rsidRDefault="001B1411">
            <w:pPr>
              <w:autoSpaceDE w:val="0"/>
              <w:autoSpaceDN w:val="0"/>
              <w:adjustRightInd w:val="0"/>
              <w:spacing w:before="0" w:after="0"/>
              <w:rPr>
                <w:rFonts w:ascii="Times New Roman" w:hAnsi="Times New Roman"/>
                <w:sz w:val="24"/>
              </w:rPr>
            </w:pPr>
          </w:p>
          <w:p w14:paraId="70CE6F11" w14:textId="252F0D72" w:rsidR="001B1411" w:rsidRPr="00DA7625" w:rsidRDefault="000B0B09">
            <w:pPr>
              <w:autoSpaceDE w:val="0"/>
              <w:autoSpaceDN w:val="0"/>
              <w:adjustRightInd w:val="0"/>
              <w:rPr>
                <w:rFonts w:ascii="Times New Roman" w:hAnsi="Times New Roman"/>
                <w:b/>
                <w:bCs/>
                <w:sz w:val="24"/>
                <w:u w:val="single"/>
              </w:rPr>
            </w:pPr>
            <w:r w:rsidRPr="00DA7625">
              <w:rPr>
                <w:rFonts w:ascii="Times New Roman" w:hAnsi="Times New Roman"/>
                <w:sz w:val="24"/>
              </w:rPr>
              <w:t xml:space="preserve">A CRR 362. cikkében említett egyedi kockázati elem </w:t>
            </w:r>
          </w:p>
        </w:tc>
      </w:tr>
      <w:tr w:rsidR="001B1411" w:rsidRPr="00DA7625" w14:paraId="7E61770D" w14:textId="77777777" w:rsidTr="00672D2A">
        <w:tc>
          <w:tcPr>
            <w:tcW w:w="993" w:type="dxa"/>
          </w:tcPr>
          <w:p w14:paraId="0A66146B"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050</w:t>
            </w:r>
          </w:p>
        </w:tc>
        <w:tc>
          <w:tcPr>
            <w:tcW w:w="7903" w:type="dxa"/>
          </w:tcPr>
          <w:p w14:paraId="092A08D1"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RÉSZVÉNYEK</w:t>
            </w:r>
          </w:p>
          <w:p w14:paraId="2CA0F964" w14:textId="77777777" w:rsidR="001B1411" w:rsidRPr="00DA7625" w:rsidRDefault="001B1411">
            <w:pPr>
              <w:autoSpaceDE w:val="0"/>
              <w:autoSpaceDN w:val="0"/>
              <w:adjustRightInd w:val="0"/>
              <w:spacing w:before="0" w:after="0"/>
              <w:rPr>
                <w:rFonts w:ascii="Times New Roman" w:hAnsi="Times New Roman"/>
                <w:sz w:val="24"/>
              </w:rPr>
            </w:pPr>
          </w:p>
          <w:p w14:paraId="368C4566" w14:textId="47002C5B"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 xml:space="preserve">A CRR 363. cikkének (1) bekezdésében említett pozíciókockázatnak az a része, amely a CRR 367. cikke (2) bekezdésének c) pontjában meghatározott részvénypiaci kockázati tényezőkhöz kapcsolódik. </w:t>
            </w:r>
          </w:p>
          <w:p w14:paraId="3E4F2C40"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750053F2" w14:textId="77777777" w:rsidTr="00672D2A">
        <w:tc>
          <w:tcPr>
            <w:tcW w:w="993" w:type="dxa"/>
          </w:tcPr>
          <w:p w14:paraId="7C212BD3"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060</w:t>
            </w:r>
          </w:p>
        </w:tc>
        <w:tc>
          <w:tcPr>
            <w:tcW w:w="7903" w:type="dxa"/>
          </w:tcPr>
          <w:p w14:paraId="1F9B3278"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RÉSZVÉNYEK – ÁLTALÁNOS KOCKÁZAT</w:t>
            </w:r>
          </w:p>
          <w:p w14:paraId="36FBCD50" w14:textId="57AA9076" w:rsidR="001B1411" w:rsidRPr="00DA7625" w:rsidRDefault="000B0B09">
            <w:pPr>
              <w:autoSpaceDE w:val="0"/>
              <w:autoSpaceDN w:val="0"/>
              <w:adjustRightInd w:val="0"/>
              <w:rPr>
                <w:rFonts w:ascii="Times New Roman" w:hAnsi="Times New Roman"/>
                <w:b/>
                <w:bCs/>
                <w:sz w:val="24"/>
                <w:u w:val="single"/>
              </w:rPr>
            </w:pPr>
            <w:r w:rsidRPr="00DA7625">
              <w:rPr>
                <w:rFonts w:ascii="Times New Roman" w:hAnsi="Times New Roman"/>
                <w:sz w:val="24"/>
              </w:rPr>
              <w:t>A CRR 362. cikkében említett általános kockázati elem</w:t>
            </w:r>
          </w:p>
        </w:tc>
      </w:tr>
      <w:tr w:rsidR="001B1411" w:rsidRPr="00DA7625" w14:paraId="24E7AECF" w14:textId="77777777" w:rsidTr="00672D2A">
        <w:tc>
          <w:tcPr>
            <w:tcW w:w="993" w:type="dxa"/>
          </w:tcPr>
          <w:p w14:paraId="28A15B9C"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070</w:t>
            </w:r>
          </w:p>
        </w:tc>
        <w:tc>
          <w:tcPr>
            <w:tcW w:w="7903" w:type="dxa"/>
          </w:tcPr>
          <w:p w14:paraId="51442A57"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RÉSZVÉNYEK – EGYEDI KOCKÁZAT</w:t>
            </w:r>
          </w:p>
          <w:p w14:paraId="4408E937" w14:textId="1F9AC85D" w:rsidR="001B1411" w:rsidRPr="00DA7625" w:rsidRDefault="000B0B09">
            <w:pPr>
              <w:autoSpaceDE w:val="0"/>
              <w:autoSpaceDN w:val="0"/>
              <w:adjustRightInd w:val="0"/>
              <w:rPr>
                <w:rFonts w:ascii="Times New Roman" w:hAnsi="Times New Roman"/>
                <w:b/>
                <w:bCs/>
                <w:sz w:val="24"/>
                <w:u w:val="single"/>
              </w:rPr>
            </w:pPr>
            <w:r w:rsidRPr="00DA7625">
              <w:rPr>
                <w:rFonts w:ascii="Times New Roman" w:hAnsi="Times New Roman"/>
                <w:sz w:val="24"/>
              </w:rPr>
              <w:t xml:space="preserve">A CRR 362. cikkében említett egyedi kockázati elem </w:t>
            </w:r>
          </w:p>
        </w:tc>
      </w:tr>
      <w:tr w:rsidR="001B1411" w:rsidRPr="00DA7625" w14:paraId="7C991BE9" w14:textId="77777777" w:rsidTr="00672D2A">
        <w:tc>
          <w:tcPr>
            <w:tcW w:w="993" w:type="dxa"/>
          </w:tcPr>
          <w:p w14:paraId="672A0E25"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080</w:t>
            </w:r>
          </w:p>
        </w:tc>
        <w:tc>
          <w:tcPr>
            <w:tcW w:w="7903" w:type="dxa"/>
          </w:tcPr>
          <w:p w14:paraId="536D7E34"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DEVIZAÁRFOLYAM-KOCKÁZAT</w:t>
            </w:r>
          </w:p>
          <w:p w14:paraId="5A40A224" w14:textId="7B1A3BBD" w:rsidR="001B1411" w:rsidRPr="00DA7625" w:rsidRDefault="000B0B09">
            <w:pPr>
              <w:autoSpaceDE w:val="0"/>
              <w:autoSpaceDN w:val="0"/>
              <w:adjustRightInd w:val="0"/>
              <w:rPr>
                <w:rFonts w:ascii="Times New Roman" w:hAnsi="Times New Roman"/>
                <w:b/>
                <w:bCs/>
                <w:sz w:val="24"/>
                <w:u w:val="single"/>
              </w:rPr>
            </w:pPr>
            <w:r w:rsidRPr="00DA7625">
              <w:rPr>
                <w:rFonts w:ascii="Times New Roman" w:hAnsi="Times New Roman"/>
                <w:sz w:val="24"/>
              </w:rPr>
              <w:t>A CRR 363. cikkének (1) bekezdése, valamint 367. cikke (2) bekezdésének b) pontja</w:t>
            </w:r>
          </w:p>
        </w:tc>
      </w:tr>
      <w:tr w:rsidR="001B1411" w:rsidRPr="00DA7625" w14:paraId="16B1AF4E" w14:textId="77777777" w:rsidTr="00672D2A">
        <w:tc>
          <w:tcPr>
            <w:tcW w:w="993" w:type="dxa"/>
          </w:tcPr>
          <w:p w14:paraId="18D0BBDF"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090</w:t>
            </w:r>
          </w:p>
        </w:tc>
        <w:tc>
          <w:tcPr>
            <w:tcW w:w="7903" w:type="dxa"/>
          </w:tcPr>
          <w:p w14:paraId="1AC4282A"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ÁRUKOCKÁZAT</w:t>
            </w:r>
          </w:p>
          <w:p w14:paraId="72E6AE17" w14:textId="31B613D5" w:rsidR="001B1411" w:rsidRPr="00DA7625" w:rsidRDefault="000B0B09">
            <w:pPr>
              <w:autoSpaceDE w:val="0"/>
              <w:autoSpaceDN w:val="0"/>
              <w:adjustRightInd w:val="0"/>
              <w:rPr>
                <w:rFonts w:ascii="Times New Roman" w:hAnsi="Times New Roman"/>
                <w:b/>
                <w:bCs/>
                <w:sz w:val="24"/>
                <w:u w:val="single"/>
              </w:rPr>
            </w:pPr>
            <w:r w:rsidRPr="00DA7625">
              <w:rPr>
                <w:rFonts w:ascii="Times New Roman" w:hAnsi="Times New Roman"/>
                <w:sz w:val="24"/>
              </w:rPr>
              <w:t xml:space="preserve">A CRR 363. cikkének (1) bekezdése és 367. cikke (2) bekezdésének d) pontja </w:t>
            </w:r>
          </w:p>
        </w:tc>
      </w:tr>
      <w:tr w:rsidR="001B1411" w:rsidRPr="00DA7625" w14:paraId="606DE515" w14:textId="77777777" w:rsidTr="00672D2A">
        <w:tc>
          <w:tcPr>
            <w:tcW w:w="993" w:type="dxa"/>
          </w:tcPr>
          <w:p w14:paraId="399EFC0F"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100</w:t>
            </w:r>
          </w:p>
        </w:tc>
        <w:tc>
          <w:tcPr>
            <w:tcW w:w="7903" w:type="dxa"/>
          </w:tcPr>
          <w:p w14:paraId="2338922F"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ÁLTALÁNOS KOCKÁZAT ÖSSZESEN</w:t>
            </w:r>
          </w:p>
          <w:p w14:paraId="4C4CDA88" w14:textId="77777777" w:rsidR="001B1411" w:rsidRPr="00DA7625" w:rsidRDefault="001B1411">
            <w:pPr>
              <w:autoSpaceDE w:val="0"/>
              <w:autoSpaceDN w:val="0"/>
              <w:adjustRightInd w:val="0"/>
              <w:spacing w:before="0" w:after="0"/>
              <w:rPr>
                <w:rFonts w:ascii="Times New Roman" w:hAnsi="Times New Roman"/>
                <w:b/>
                <w:bCs/>
                <w:sz w:val="24"/>
                <w:u w:val="single"/>
              </w:rPr>
            </w:pPr>
          </w:p>
          <w:p w14:paraId="501D7F04" w14:textId="19099848" w:rsidR="001B1411" w:rsidRPr="00DA7625" w:rsidRDefault="000B0B09">
            <w:pPr>
              <w:autoSpaceDE w:val="0"/>
              <w:autoSpaceDN w:val="0"/>
              <w:adjustRightInd w:val="0"/>
              <w:spacing w:before="0" w:after="0"/>
              <w:rPr>
                <w:rFonts w:ascii="Times New Roman" w:hAnsi="Times New Roman"/>
                <w:b/>
                <w:bCs/>
                <w:sz w:val="24"/>
                <w:u w:val="single"/>
              </w:rPr>
            </w:pPr>
            <w:r w:rsidRPr="00DA7625">
              <w:rPr>
                <w:rStyle w:val="InstructionsTabelleText"/>
                <w:rFonts w:ascii="Times New Roman" w:hAnsi="Times New Roman"/>
                <w:sz w:val="24"/>
              </w:rPr>
              <w:t xml:space="preserve">A forgalmazott, hitelviszonyt megtestesítő értékpapírok, részvények, külföldi pénznemek és áruk általános piaci mozgásaiból eredő piaci kockázat. Az összes kockázati tényező általános kockázatára vonatkozó VaR érték (az esetleges korrelációs hatások figyelembevételével). </w:t>
            </w:r>
            <w:r w:rsidRPr="00DA7625">
              <w:rPr>
                <w:rFonts w:ascii="Times New Roman" w:hAnsi="Times New Roman"/>
                <w:b/>
                <w:bCs/>
                <w:sz w:val="24"/>
                <w:u w:val="single"/>
              </w:rPr>
              <w:t xml:space="preserve"> </w:t>
            </w:r>
          </w:p>
          <w:p w14:paraId="169EAD5F" w14:textId="77777777" w:rsidR="001B1411" w:rsidRPr="00DA7625" w:rsidRDefault="001B1411">
            <w:pPr>
              <w:autoSpaceDE w:val="0"/>
              <w:autoSpaceDN w:val="0"/>
              <w:adjustRightInd w:val="0"/>
              <w:spacing w:before="0" w:after="0"/>
              <w:rPr>
                <w:rFonts w:ascii="Times New Roman" w:hAnsi="Times New Roman"/>
                <w:b/>
                <w:bCs/>
                <w:sz w:val="24"/>
                <w:u w:val="single"/>
              </w:rPr>
            </w:pPr>
          </w:p>
        </w:tc>
      </w:tr>
      <w:tr w:rsidR="001B1411" w:rsidRPr="00DA7625" w14:paraId="1CAFB2E0" w14:textId="77777777" w:rsidTr="00672D2A">
        <w:tc>
          <w:tcPr>
            <w:tcW w:w="993" w:type="dxa"/>
          </w:tcPr>
          <w:p w14:paraId="72FA5315" w14:textId="77777777" w:rsidR="001B1411" w:rsidRPr="00DA7625" w:rsidRDefault="000B0B09">
            <w:pPr>
              <w:autoSpaceDE w:val="0"/>
              <w:autoSpaceDN w:val="0"/>
              <w:adjustRightInd w:val="0"/>
              <w:spacing w:before="0" w:after="0"/>
              <w:rPr>
                <w:rFonts w:ascii="Times New Roman" w:hAnsi="Times New Roman"/>
                <w:sz w:val="24"/>
              </w:rPr>
            </w:pPr>
            <w:r w:rsidRPr="00DA7625">
              <w:rPr>
                <w:rFonts w:ascii="Times New Roman" w:hAnsi="Times New Roman"/>
                <w:sz w:val="24"/>
              </w:rPr>
              <w:t>110</w:t>
            </w:r>
          </w:p>
          <w:p w14:paraId="08524185" w14:textId="77777777" w:rsidR="001B1411" w:rsidRPr="00DA7625" w:rsidRDefault="001B1411">
            <w:pPr>
              <w:jc w:val="center"/>
              <w:rPr>
                <w:rFonts w:ascii="Times New Roman" w:hAnsi="Times New Roman"/>
                <w:sz w:val="24"/>
              </w:rPr>
            </w:pPr>
          </w:p>
        </w:tc>
        <w:tc>
          <w:tcPr>
            <w:tcW w:w="7903" w:type="dxa"/>
          </w:tcPr>
          <w:p w14:paraId="56A84C94" w14:textId="77777777" w:rsidR="001B1411" w:rsidRPr="00DA7625" w:rsidRDefault="000B0B09">
            <w:pPr>
              <w:autoSpaceDE w:val="0"/>
              <w:autoSpaceDN w:val="0"/>
              <w:adjustRightInd w:val="0"/>
              <w:spacing w:before="0" w:after="0"/>
              <w:rPr>
                <w:rFonts w:ascii="Times New Roman" w:hAnsi="Times New Roman"/>
                <w:b/>
                <w:bCs/>
                <w:sz w:val="24"/>
                <w:u w:val="single"/>
              </w:rPr>
            </w:pPr>
            <w:r w:rsidRPr="00DA7625">
              <w:rPr>
                <w:rFonts w:ascii="Times New Roman" w:hAnsi="Times New Roman"/>
                <w:b/>
                <w:bCs/>
                <w:sz w:val="24"/>
                <w:u w:val="single"/>
              </w:rPr>
              <w:t>EGYEDI KOCKÁZAT ÖSSZESEN</w:t>
            </w:r>
          </w:p>
          <w:p w14:paraId="295AD525" w14:textId="283E1B74" w:rsidR="001B1411" w:rsidRPr="00DA7625" w:rsidRDefault="000B0B09">
            <w:pPr>
              <w:autoSpaceDE w:val="0"/>
              <w:autoSpaceDN w:val="0"/>
              <w:adjustRightInd w:val="0"/>
              <w:rPr>
                <w:rFonts w:ascii="Times New Roman" w:hAnsi="Times New Roman"/>
                <w:b/>
                <w:bCs/>
                <w:sz w:val="24"/>
                <w:u w:val="single"/>
              </w:rPr>
            </w:pPr>
            <w:r w:rsidRPr="00DA7625">
              <w:rPr>
                <w:rStyle w:val="InstructionsTabelleText"/>
                <w:rFonts w:ascii="Times New Roman" w:hAnsi="Times New Roman"/>
                <w:sz w:val="24"/>
              </w:rPr>
              <w:t>A forgalmazott, hitelviszonyt megtestesítő értékpapírok és részvények egyedi kockázati eleme. A kereskedési könyvben nyilvántartott, forgalmazott, hitelviszonyt megtestesítő értékpapírok és részvények egyedi kockázatára vonatkozó VaR érték (az esetleges korrelációs hatások figyelembevételével).</w:t>
            </w:r>
          </w:p>
        </w:tc>
      </w:tr>
    </w:tbl>
    <w:p w14:paraId="1B6E0B53" w14:textId="77777777" w:rsidR="001B1411" w:rsidRPr="00DA7625" w:rsidRDefault="001B1411">
      <w:pPr>
        <w:spacing w:before="0" w:after="0"/>
        <w:jc w:val="left"/>
        <w:rPr>
          <w:rStyle w:val="InstructionsTabelleText"/>
          <w:rFonts w:ascii="Times New Roman" w:hAnsi="Times New Roman"/>
          <w:sz w:val="24"/>
        </w:rPr>
      </w:pPr>
    </w:p>
    <w:p w14:paraId="67B541B9"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105" w:name="_Toc31018851"/>
      <w:r w:rsidRPr="00DA7625">
        <w:rPr>
          <w:rFonts w:ascii="Times New Roman" w:hAnsi="Times New Roman"/>
          <w:sz w:val="24"/>
          <w:u w:val="none"/>
        </w:rPr>
        <w:t>5.8.</w:t>
      </w:r>
      <w:r w:rsidRPr="00DA7625">
        <w:rPr>
          <w:rFonts w:ascii="Times New Roman" w:hAnsi="Times New Roman"/>
          <w:sz w:val="24"/>
          <w:u w:val="none"/>
        </w:rPr>
        <w:tab/>
      </w:r>
      <w:r w:rsidRPr="00DA7625">
        <w:rPr>
          <w:rFonts w:ascii="Times New Roman" w:hAnsi="Times New Roman"/>
          <w:sz w:val="24"/>
        </w:rPr>
        <w:t>C 25.00 – HITELÉRTÉKELÉSI KORREKCIÓK KOCKÁZATA (CVA)</w:t>
      </w:r>
      <w:bookmarkEnd w:id="105"/>
    </w:p>
    <w:p w14:paraId="2FA7367E" w14:textId="77777777" w:rsidR="001B1411" w:rsidRPr="00DA7625" w:rsidRDefault="00125707">
      <w:pPr>
        <w:pStyle w:val="Instructionsberschrift2"/>
        <w:numPr>
          <w:ilvl w:val="0"/>
          <w:numId w:val="0"/>
        </w:numPr>
        <w:ind w:left="357" w:hanging="357"/>
        <w:rPr>
          <w:rFonts w:ascii="Times New Roman" w:hAnsi="Times New Roman" w:cs="Times New Roman"/>
          <w:sz w:val="24"/>
        </w:rPr>
      </w:pPr>
      <w:bookmarkStart w:id="106" w:name="_Toc31018852"/>
      <w:r w:rsidRPr="00DA7625">
        <w:rPr>
          <w:rFonts w:ascii="Times New Roman" w:hAnsi="Times New Roman"/>
          <w:sz w:val="24"/>
          <w:u w:val="none"/>
        </w:rPr>
        <w:t>5.8.1.</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1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B1411" w:rsidRPr="00DA7625" w14:paraId="4F2DB4E4" w14:textId="77777777" w:rsidTr="00672D2A">
        <w:tc>
          <w:tcPr>
            <w:tcW w:w="8856" w:type="dxa"/>
            <w:gridSpan w:val="2"/>
            <w:shd w:val="clear" w:color="auto" w:fill="CCCCCC"/>
          </w:tcPr>
          <w:p w14:paraId="3CE242E9" w14:textId="77777777" w:rsidR="001B1411" w:rsidRPr="00DA7625" w:rsidRDefault="000B0B09">
            <w:pPr>
              <w:rPr>
                <w:rFonts w:ascii="Times New Roman" w:hAnsi="Times New Roman"/>
                <w:b/>
                <w:sz w:val="24"/>
              </w:rPr>
            </w:pPr>
            <w:r w:rsidRPr="00DA7625">
              <w:rPr>
                <w:rFonts w:ascii="Times New Roman" w:hAnsi="Times New Roman"/>
                <w:b/>
                <w:sz w:val="24"/>
              </w:rPr>
              <w:t>Oszlop</w:t>
            </w:r>
          </w:p>
        </w:tc>
      </w:tr>
      <w:tr w:rsidR="001B1411" w:rsidRPr="00DA7625" w14:paraId="03BEE9C8" w14:textId="77777777" w:rsidTr="00672D2A">
        <w:tc>
          <w:tcPr>
            <w:tcW w:w="852" w:type="dxa"/>
          </w:tcPr>
          <w:p w14:paraId="27817D46" w14:textId="77777777" w:rsidR="001B1411" w:rsidRPr="00DA7625" w:rsidRDefault="000B0B09">
            <w:pPr>
              <w:rPr>
                <w:rFonts w:ascii="Times New Roman" w:hAnsi="Times New Roman"/>
                <w:sz w:val="24"/>
              </w:rPr>
            </w:pPr>
            <w:r w:rsidRPr="00DA7625">
              <w:rPr>
                <w:rFonts w:ascii="Times New Roman" w:hAnsi="Times New Roman"/>
                <w:sz w:val="24"/>
              </w:rPr>
              <w:t>010</w:t>
            </w:r>
          </w:p>
        </w:tc>
        <w:tc>
          <w:tcPr>
            <w:tcW w:w="8004" w:type="dxa"/>
          </w:tcPr>
          <w:p w14:paraId="2DAFB63B" w14:textId="77777777" w:rsidR="001B1411" w:rsidRPr="00DA7625" w:rsidRDefault="000B0B09">
            <w:pPr>
              <w:rPr>
                <w:rFonts w:ascii="Times New Roman" w:hAnsi="Times New Roman"/>
                <w:b/>
                <w:bCs/>
                <w:sz w:val="24"/>
                <w:u w:val="single"/>
              </w:rPr>
            </w:pPr>
            <w:r w:rsidRPr="00DA7625">
              <w:rPr>
                <w:rFonts w:ascii="Times New Roman" w:hAnsi="Times New Roman"/>
                <w:b/>
                <w:bCs/>
                <w:sz w:val="24"/>
                <w:u w:val="single"/>
              </w:rPr>
              <w:t xml:space="preserve">Kitettségérték </w:t>
            </w:r>
          </w:p>
          <w:p w14:paraId="48EEBA11" w14:textId="2192664D" w:rsidR="001B1411" w:rsidRPr="00DA7625" w:rsidRDefault="000B0B09">
            <w:pPr>
              <w:rPr>
                <w:rFonts w:ascii="Times New Roman" w:hAnsi="Times New Roman"/>
                <w:sz w:val="24"/>
              </w:rPr>
            </w:pPr>
            <w:r w:rsidRPr="00DA7625">
              <w:rPr>
                <w:rFonts w:ascii="Times New Roman" w:hAnsi="Times New Roman"/>
                <w:sz w:val="24"/>
              </w:rPr>
              <w:t>A CRR 271. cikke, összefüggésben 382. cikkével</w:t>
            </w:r>
          </w:p>
          <w:p w14:paraId="096506B4" w14:textId="086B62FB" w:rsidR="001B1411" w:rsidRPr="00DA7625" w:rsidRDefault="000B0B09">
            <w:pPr>
              <w:rPr>
                <w:rFonts w:ascii="Times New Roman" w:hAnsi="Times New Roman"/>
                <w:sz w:val="24"/>
              </w:rPr>
            </w:pPr>
            <w:r w:rsidRPr="00DA7625">
              <w:rPr>
                <w:rFonts w:ascii="Times New Roman" w:hAnsi="Times New Roman"/>
                <w:sz w:val="24"/>
              </w:rPr>
              <w:lastRenderedPageBreak/>
              <w:t>A CVA-tőkekövetelménnyel érintett összes ügyletből eredő teljes nemteljesítéskori kitettség (EAD).</w:t>
            </w:r>
          </w:p>
        </w:tc>
      </w:tr>
      <w:tr w:rsidR="001B1411" w:rsidRPr="00DA7625" w14:paraId="66299EE8" w14:textId="77777777" w:rsidTr="00672D2A">
        <w:tc>
          <w:tcPr>
            <w:tcW w:w="852" w:type="dxa"/>
          </w:tcPr>
          <w:p w14:paraId="4E1B4E95" w14:textId="77777777" w:rsidR="001B1411" w:rsidRPr="00DA7625" w:rsidRDefault="000B0B09">
            <w:pPr>
              <w:rPr>
                <w:rFonts w:ascii="Times New Roman" w:hAnsi="Times New Roman"/>
                <w:sz w:val="24"/>
              </w:rPr>
            </w:pPr>
            <w:r w:rsidRPr="00DA7625">
              <w:rPr>
                <w:rFonts w:ascii="Times New Roman" w:hAnsi="Times New Roman"/>
                <w:sz w:val="24"/>
              </w:rPr>
              <w:lastRenderedPageBreak/>
              <w:t>020</w:t>
            </w:r>
          </w:p>
        </w:tc>
        <w:tc>
          <w:tcPr>
            <w:tcW w:w="8004" w:type="dxa"/>
          </w:tcPr>
          <w:p w14:paraId="08A29B6D" w14:textId="77777777" w:rsidR="001B1411" w:rsidRPr="00DA7625" w:rsidRDefault="000B0B09">
            <w:pPr>
              <w:rPr>
                <w:rFonts w:ascii="Times New Roman" w:hAnsi="Times New Roman"/>
                <w:b/>
                <w:bCs/>
                <w:sz w:val="24"/>
                <w:u w:val="single"/>
              </w:rPr>
            </w:pPr>
            <w:r w:rsidRPr="00DA7625">
              <w:rPr>
                <w:rFonts w:ascii="Times New Roman" w:hAnsi="Times New Roman"/>
                <w:b/>
                <w:bCs/>
                <w:sz w:val="24"/>
                <w:u w:val="single"/>
              </w:rPr>
              <w:t xml:space="preserve">Ebből: tőzsdén kívüli származtatott ügyletek </w:t>
            </w:r>
          </w:p>
          <w:p w14:paraId="61314A49" w14:textId="3CB712E9" w:rsidR="001B1411" w:rsidRPr="00DA7625" w:rsidRDefault="000B0B09">
            <w:pPr>
              <w:rPr>
                <w:rFonts w:ascii="Times New Roman" w:hAnsi="Times New Roman"/>
                <w:sz w:val="24"/>
              </w:rPr>
            </w:pPr>
            <w:r w:rsidRPr="00DA7625">
              <w:rPr>
                <w:rFonts w:ascii="Times New Roman" w:hAnsi="Times New Roman"/>
                <w:sz w:val="24"/>
              </w:rPr>
              <w:t>A CRR 271. cikke, összefüggésben 382. cikkének (1) bekezdésével.</w:t>
            </w:r>
          </w:p>
          <w:p w14:paraId="3AFBBA5F" w14:textId="77777777" w:rsidR="001B1411" w:rsidRPr="00DA7625" w:rsidRDefault="000B0B09">
            <w:pPr>
              <w:rPr>
                <w:rFonts w:ascii="Times New Roman" w:hAnsi="Times New Roman"/>
                <w:sz w:val="24"/>
              </w:rPr>
            </w:pPr>
            <w:r w:rsidRPr="00DA7625">
              <w:rPr>
                <w:rFonts w:ascii="Times New Roman" w:hAnsi="Times New Roman"/>
                <w:sz w:val="24"/>
              </w:rPr>
              <w:t>A teljes partnerkockázati kitettségnek az a része, amely kizárólag tőzsdén kívüli származtatott ügyletből ered. Az információt nem kötelező megadniuk azoknak a belső modell módszerét alkalmazó intézményeknek, amelyek azonos nettósítási halmazban tőzsdén kívüli származtatott ügylettel és értékpapír-finanszírozási ügylettel is rendelkeznek.</w:t>
            </w:r>
          </w:p>
        </w:tc>
      </w:tr>
      <w:tr w:rsidR="001B1411" w:rsidRPr="00DA7625" w14:paraId="2E65FA1D" w14:textId="77777777" w:rsidTr="00672D2A">
        <w:tc>
          <w:tcPr>
            <w:tcW w:w="852" w:type="dxa"/>
          </w:tcPr>
          <w:p w14:paraId="65C226A9" w14:textId="77777777" w:rsidR="001B1411" w:rsidRPr="00DA7625" w:rsidRDefault="000B0B09">
            <w:pPr>
              <w:rPr>
                <w:rFonts w:ascii="Times New Roman" w:hAnsi="Times New Roman"/>
                <w:sz w:val="24"/>
              </w:rPr>
            </w:pPr>
            <w:r w:rsidRPr="00DA7625">
              <w:rPr>
                <w:rFonts w:ascii="Times New Roman" w:hAnsi="Times New Roman"/>
                <w:sz w:val="24"/>
              </w:rPr>
              <w:t>030</w:t>
            </w:r>
          </w:p>
        </w:tc>
        <w:tc>
          <w:tcPr>
            <w:tcW w:w="8004" w:type="dxa"/>
          </w:tcPr>
          <w:p w14:paraId="64520F50" w14:textId="77777777" w:rsidR="001B1411" w:rsidRPr="00DA7625" w:rsidRDefault="000B0B09">
            <w:pPr>
              <w:rPr>
                <w:rFonts w:ascii="Times New Roman" w:hAnsi="Times New Roman"/>
                <w:b/>
                <w:bCs/>
                <w:sz w:val="24"/>
                <w:u w:val="single"/>
              </w:rPr>
            </w:pPr>
            <w:r w:rsidRPr="00DA7625">
              <w:rPr>
                <w:rFonts w:ascii="Times New Roman" w:hAnsi="Times New Roman"/>
                <w:b/>
                <w:bCs/>
                <w:sz w:val="24"/>
                <w:u w:val="single"/>
              </w:rPr>
              <w:t xml:space="preserve">Ebből: értékpapír-finanszírozási ügylet </w:t>
            </w:r>
          </w:p>
          <w:p w14:paraId="3B225BCF" w14:textId="39CD6B99" w:rsidR="001B1411" w:rsidRPr="00DA7625" w:rsidRDefault="000B0B09">
            <w:pPr>
              <w:rPr>
                <w:rFonts w:ascii="Times New Roman" w:hAnsi="Times New Roman"/>
                <w:sz w:val="24"/>
              </w:rPr>
            </w:pPr>
            <w:r w:rsidRPr="00DA7625">
              <w:rPr>
                <w:rFonts w:ascii="Times New Roman" w:hAnsi="Times New Roman"/>
                <w:sz w:val="24"/>
              </w:rPr>
              <w:t>A CRR 271. cikke, összefüggésben 382. cikkének (2) bekezdésével.</w:t>
            </w:r>
          </w:p>
          <w:p w14:paraId="3028F5AF" w14:textId="18A5950A" w:rsidR="001B1411" w:rsidRPr="00DA7625" w:rsidRDefault="000B0B09">
            <w:pPr>
              <w:rPr>
                <w:rFonts w:ascii="Times New Roman" w:hAnsi="Times New Roman"/>
                <w:sz w:val="24"/>
              </w:rPr>
            </w:pPr>
            <w:r w:rsidRPr="00DA7625">
              <w:rPr>
                <w:rFonts w:ascii="Times New Roman" w:hAnsi="Times New Roman"/>
                <w:sz w:val="24"/>
              </w:rPr>
              <w:t>A teljes partnerkockázati kitettségnek az a része, amely kizárólag származtatott értékpapír-finanszírozási ügyletből ered. Az információt nem kötelező megadniuk azoknak a belső modell módszerét alkalmazó intézményeknek, amelyek azonos nettósítási halmazban tőzsdén kívüli származtatott ügylettel és értékpapír-finanszírozási ügylettel is rendelkeznek.</w:t>
            </w:r>
          </w:p>
        </w:tc>
      </w:tr>
      <w:tr w:rsidR="001B1411" w:rsidRPr="00DA7625" w14:paraId="75FFB061" w14:textId="77777777" w:rsidTr="00672D2A">
        <w:tc>
          <w:tcPr>
            <w:tcW w:w="852" w:type="dxa"/>
          </w:tcPr>
          <w:p w14:paraId="19390593" w14:textId="77777777" w:rsidR="001B1411" w:rsidRPr="00DA7625" w:rsidRDefault="000B0B09">
            <w:pPr>
              <w:rPr>
                <w:rFonts w:ascii="Times New Roman" w:hAnsi="Times New Roman"/>
                <w:sz w:val="24"/>
              </w:rPr>
            </w:pPr>
            <w:r w:rsidRPr="00DA7625">
              <w:rPr>
                <w:rFonts w:ascii="Times New Roman" w:hAnsi="Times New Roman"/>
                <w:sz w:val="24"/>
              </w:rPr>
              <w:t>040</w:t>
            </w:r>
          </w:p>
        </w:tc>
        <w:tc>
          <w:tcPr>
            <w:tcW w:w="8004" w:type="dxa"/>
          </w:tcPr>
          <w:p w14:paraId="3B97A67A" w14:textId="77777777" w:rsidR="001B1411" w:rsidRPr="00DA7625" w:rsidRDefault="000B0B09">
            <w:pPr>
              <w:rPr>
                <w:rFonts w:ascii="Times New Roman" w:hAnsi="Times New Roman"/>
                <w:b/>
                <w:sz w:val="24"/>
                <w:u w:val="single"/>
              </w:rPr>
            </w:pPr>
            <w:r w:rsidRPr="00DA7625">
              <w:rPr>
                <w:rFonts w:ascii="Times New Roman" w:hAnsi="Times New Roman"/>
                <w:b/>
                <w:sz w:val="24"/>
                <w:u w:val="single"/>
              </w:rPr>
              <w:t>SZORZÓ (mc) x ELŐZŐ 60 MUNKANAP ÁTALAGA (VaRavg)</w:t>
            </w:r>
          </w:p>
          <w:p w14:paraId="2F9A54B9" w14:textId="67F3DBFE" w:rsidR="001B1411" w:rsidRPr="00DA7625" w:rsidRDefault="000B0B09">
            <w:pPr>
              <w:rPr>
                <w:rFonts w:ascii="Times New Roman" w:hAnsi="Times New Roman"/>
                <w:sz w:val="24"/>
              </w:rPr>
            </w:pPr>
            <w:r w:rsidRPr="00DA7625">
              <w:rPr>
                <w:rFonts w:ascii="Times New Roman" w:hAnsi="Times New Roman"/>
                <w:sz w:val="24"/>
              </w:rPr>
              <w:t xml:space="preserve">A CRR 383. cikke, összefüggésben 363. cikke (1) bekezdésének d) pontjával. </w:t>
            </w:r>
          </w:p>
          <w:p w14:paraId="4EB0F6FA" w14:textId="77777777" w:rsidR="001B1411" w:rsidRPr="00DA7625" w:rsidRDefault="000B0B09">
            <w:pPr>
              <w:rPr>
                <w:rFonts w:ascii="Times New Roman" w:hAnsi="Times New Roman"/>
                <w:sz w:val="24"/>
              </w:rPr>
            </w:pPr>
            <w:r w:rsidRPr="00DA7625">
              <w:rPr>
                <w:rFonts w:ascii="Times New Roman" w:hAnsi="Times New Roman"/>
                <w:sz w:val="24"/>
              </w:rPr>
              <w:t xml:space="preserve">A VaR kiszámítása a piaci kockázatra vonatkozó belső modell alapján. </w:t>
            </w:r>
          </w:p>
        </w:tc>
      </w:tr>
      <w:tr w:rsidR="001B1411" w:rsidRPr="00DA7625" w14:paraId="5DB488EB" w14:textId="77777777" w:rsidTr="00672D2A">
        <w:tc>
          <w:tcPr>
            <w:tcW w:w="852" w:type="dxa"/>
          </w:tcPr>
          <w:p w14:paraId="6D1E7817" w14:textId="77777777" w:rsidR="001B1411" w:rsidRPr="00DA7625" w:rsidRDefault="000B0B09">
            <w:pPr>
              <w:rPr>
                <w:rFonts w:ascii="Times New Roman" w:hAnsi="Times New Roman"/>
                <w:sz w:val="24"/>
              </w:rPr>
            </w:pPr>
            <w:r w:rsidRPr="00DA7625">
              <w:rPr>
                <w:rFonts w:ascii="Times New Roman" w:hAnsi="Times New Roman"/>
                <w:sz w:val="24"/>
              </w:rPr>
              <w:t>050</w:t>
            </w:r>
          </w:p>
        </w:tc>
        <w:tc>
          <w:tcPr>
            <w:tcW w:w="8004" w:type="dxa"/>
          </w:tcPr>
          <w:p w14:paraId="44F1F820" w14:textId="77777777" w:rsidR="001B1411" w:rsidRPr="00DA7625" w:rsidRDefault="000B0B09">
            <w:pPr>
              <w:rPr>
                <w:rFonts w:ascii="Times New Roman" w:hAnsi="Times New Roman"/>
                <w:b/>
                <w:bCs/>
                <w:sz w:val="24"/>
                <w:u w:val="single"/>
              </w:rPr>
            </w:pPr>
            <w:r w:rsidRPr="00DA7625">
              <w:rPr>
                <w:rFonts w:ascii="Times New Roman" w:hAnsi="Times New Roman"/>
                <w:b/>
                <w:bCs/>
                <w:sz w:val="24"/>
                <w:u w:val="single"/>
              </w:rPr>
              <w:t>ELŐZŐ NAPI (VARt-1)</w:t>
            </w:r>
          </w:p>
          <w:p w14:paraId="11C8C183" w14:textId="114B9D75" w:rsidR="001B1411" w:rsidRPr="00DA7625" w:rsidRDefault="000B0B09">
            <w:pPr>
              <w:rPr>
                <w:rFonts w:ascii="Times New Roman" w:hAnsi="Times New Roman"/>
                <w:sz w:val="24"/>
              </w:rPr>
            </w:pPr>
            <w:r w:rsidRPr="00DA7625">
              <w:rPr>
                <w:rFonts w:ascii="Times New Roman" w:hAnsi="Times New Roman"/>
                <w:sz w:val="24"/>
              </w:rPr>
              <w:t>Lásd a 040-es oszlopra vonatkozó útmutatót.</w:t>
            </w:r>
          </w:p>
        </w:tc>
      </w:tr>
      <w:tr w:rsidR="001B1411" w:rsidRPr="00DA7625" w14:paraId="02D09CF1" w14:textId="77777777" w:rsidTr="00672D2A">
        <w:tc>
          <w:tcPr>
            <w:tcW w:w="852" w:type="dxa"/>
          </w:tcPr>
          <w:p w14:paraId="71F58067" w14:textId="77777777" w:rsidR="001B1411" w:rsidRPr="00DA7625" w:rsidRDefault="000B0B09">
            <w:pPr>
              <w:rPr>
                <w:rFonts w:ascii="Times New Roman" w:hAnsi="Times New Roman"/>
                <w:sz w:val="24"/>
              </w:rPr>
            </w:pPr>
            <w:r w:rsidRPr="00DA7625">
              <w:rPr>
                <w:rFonts w:ascii="Times New Roman" w:hAnsi="Times New Roman"/>
                <w:sz w:val="24"/>
              </w:rPr>
              <w:t>060</w:t>
            </w:r>
          </w:p>
        </w:tc>
        <w:tc>
          <w:tcPr>
            <w:tcW w:w="8004" w:type="dxa"/>
          </w:tcPr>
          <w:p w14:paraId="724BD1DF" w14:textId="77777777" w:rsidR="001B1411" w:rsidRPr="00DA7625" w:rsidRDefault="000B0B09">
            <w:pPr>
              <w:rPr>
                <w:rFonts w:ascii="Times New Roman" w:hAnsi="Times New Roman"/>
                <w:b/>
                <w:bCs/>
                <w:sz w:val="24"/>
                <w:u w:val="single"/>
              </w:rPr>
            </w:pPr>
            <w:r w:rsidRPr="00DA7625">
              <w:rPr>
                <w:rFonts w:ascii="Times New Roman" w:hAnsi="Times New Roman"/>
                <w:b/>
                <w:bCs/>
                <w:sz w:val="24"/>
                <w:u w:val="single"/>
              </w:rPr>
              <w:t>SZORZÓ (ms) X ELŐZŐ 60 MUNKANAP ÁTLAGA (SVaRavg)</w:t>
            </w:r>
          </w:p>
          <w:p w14:paraId="61BF4BED" w14:textId="1CE4407D" w:rsidR="001B1411" w:rsidRPr="00DA7625" w:rsidRDefault="000B0B09">
            <w:pPr>
              <w:rPr>
                <w:rFonts w:ascii="Times New Roman" w:hAnsi="Times New Roman"/>
                <w:sz w:val="24"/>
              </w:rPr>
            </w:pPr>
            <w:r w:rsidRPr="00DA7625">
              <w:rPr>
                <w:rFonts w:ascii="Times New Roman" w:hAnsi="Times New Roman"/>
                <w:sz w:val="24"/>
              </w:rPr>
              <w:t>Lásd a 040-es oszlopra vonatkozó útmutatót.</w:t>
            </w:r>
          </w:p>
        </w:tc>
      </w:tr>
      <w:tr w:rsidR="001B1411" w:rsidRPr="00DA7625" w14:paraId="753B76EE" w14:textId="77777777" w:rsidTr="00672D2A">
        <w:tc>
          <w:tcPr>
            <w:tcW w:w="852" w:type="dxa"/>
          </w:tcPr>
          <w:p w14:paraId="182174DD" w14:textId="77777777" w:rsidR="001B1411" w:rsidRPr="00DA7625" w:rsidRDefault="000B0B09">
            <w:pPr>
              <w:rPr>
                <w:rFonts w:ascii="Times New Roman" w:hAnsi="Times New Roman"/>
                <w:sz w:val="24"/>
              </w:rPr>
            </w:pPr>
            <w:r w:rsidRPr="00DA7625">
              <w:rPr>
                <w:rFonts w:ascii="Times New Roman" w:hAnsi="Times New Roman"/>
                <w:sz w:val="24"/>
              </w:rPr>
              <w:t>070</w:t>
            </w:r>
          </w:p>
        </w:tc>
        <w:tc>
          <w:tcPr>
            <w:tcW w:w="8004" w:type="dxa"/>
          </w:tcPr>
          <w:p w14:paraId="568CF550" w14:textId="77777777" w:rsidR="001B1411" w:rsidRPr="00DA7625" w:rsidRDefault="000B0B09">
            <w:pPr>
              <w:rPr>
                <w:rFonts w:ascii="Times New Roman" w:hAnsi="Times New Roman"/>
                <w:b/>
                <w:sz w:val="24"/>
                <w:u w:val="single"/>
              </w:rPr>
            </w:pPr>
            <w:r w:rsidRPr="00DA7625">
              <w:rPr>
                <w:rFonts w:ascii="Times New Roman" w:hAnsi="Times New Roman"/>
                <w:b/>
                <w:sz w:val="24"/>
                <w:u w:val="single"/>
              </w:rPr>
              <w:t>LEGFRISSEBB (SVaRt–1)</w:t>
            </w:r>
          </w:p>
          <w:p w14:paraId="78ABE34A" w14:textId="7B8AAA9D" w:rsidR="001B1411" w:rsidRPr="00DA7625" w:rsidRDefault="000B0B09">
            <w:pPr>
              <w:rPr>
                <w:rFonts w:ascii="Times New Roman" w:hAnsi="Times New Roman"/>
                <w:b/>
                <w:sz w:val="24"/>
                <w:u w:val="single"/>
              </w:rPr>
            </w:pPr>
            <w:r w:rsidRPr="00DA7625">
              <w:rPr>
                <w:rFonts w:ascii="Times New Roman" w:hAnsi="Times New Roman"/>
                <w:sz w:val="24"/>
              </w:rPr>
              <w:t>Lásd a 040-es oszlopra vonatkozó útmutatót.</w:t>
            </w:r>
          </w:p>
        </w:tc>
      </w:tr>
      <w:tr w:rsidR="001B1411" w:rsidRPr="00DA7625" w14:paraId="62E535D9" w14:textId="77777777" w:rsidTr="00672D2A">
        <w:tc>
          <w:tcPr>
            <w:tcW w:w="852" w:type="dxa"/>
          </w:tcPr>
          <w:p w14:paraId="054E7BC8" w14:textId="77777777" w:rsidR="001B1411" w:rsidRPr="00DA7625" w:rsidRDefault="000B0B09">
            <w:pPr>
              <w:rPr>
                <w:rFonts w:ascii="Times New Roman" w:hAnsi="Times New Roman"/>
                <w:sz w:val="24"/>
              </w:rPr>
            </w:pPr>
            <w:r w:rsidRPr="00DA7625">
              <w:rPr>
                <w:rFonts w:ascii="Times New Roman" w:hAnsi="Times New Roman"/>
                <w:sz w:val="24"/>
              </w:rPr>
              <w:t>080</w:t>
            </w:r>
          </w:p>
        </w:tc>
        <w:tc>
          <w:tcPr>
            <w:tcW w:w="8004" w:type="dxa"/>
          </w:tcPr>
          <w:p w14:paraId="2EEF49C0" w14:textId="77777777" w:rsidR="001B1411" w:rsidRPr="00DA7625" w:rsidRDefault="000B0B09">
            <w:pPr>
              <w:rPr>
                <w:rFonts w:ascii="Times New Roman" w:hAnsi="Times New Roman"/>
                <w:b/>
                <w:sz w:val="24"/>
                <w:u w:val="single"/>
              </w:rPr>
            </w:pPr>
            <w:r w:rsidRPr="00DA7625">
              <w:rPr>
                <w:rFonts w:ascii="Times New Roman" w:hAnsi="Times New Roman"/>
                <w:b/>
                <w:sz w:val="24"/>
                <w:u w:val="single"/>
              </w:rPr>
              <w:t>SZAVATOLÓTŐKE-KÖVETELMÉNY</w:t>
            </w:r>
          </w:p>
          <w:p w14:paraId="1E993DF0" w14:textId="5340E0E1" w:rsidR="001B1411" w:rsidRPr="00DA7625" w:rsidRDefault="001E0C80">
            <w:pPr>
              <w:rPr>
                <w:rFonts w:ascii="Times New Roman" w:hAnsi="Times New Roman"/>
                <w:sz w:val="24"/>
              </w:rPr>
            </w:pPr>
            <w:r w:rsidRPr="00DA7625">
              <w:rPr>
                <w:rFonts w:ascii="Times New Roman" w:hAnsi="Times New Roman"/>
                <w:sz w:val="24"/>
              </w:rPr>
              <w:t xml:space="preserve">A CRR 92. cikke (3) bekezdésének d) pontja. </w:t>
            </w:r>
          </w:p>
          <w:p w14:paraId="77E9E438" w14:textId="7AFFFBB0" w:rsidR="001B1411" w:rsidRPr="00DA7625" w:rsidRDefault="000B0B09">
            <w:pPr>
              <w:rPr>
                <w:rFonts w:ascii="Times New Roman" w:hAnsi="Times New Roman"/>
                <w:sz w:val="24"/>
              </w:rPr>
            </w:pPr>
            <w:r w:rsidRPr="00DA7625">
              <w:rPr>
                <w:rFonts w:ascii="Times New Roman" w:hAnsi="Times New Roman"/>
                <w:sz w:val="24"/>
              </w:rPr>
              <w:t>A CVA-kockázathoz kapcsolódó szavatolótőke-követelmény kiszámítása a választott modell alapján.</w:t>
            </w:r>
          </w:p>
        </w:tc>
      </w:tr>
      <w:tr w:rsidR="001B1411" w:rsidRPr="00DA7625" w14:paraId="7C5E8B43" w14:textId="77777777" w:rsidTr="00672D2A">
        <w:tc>
          <w:tcPr>
            <w:tcW w:w="852" w:type="dxa"/>
          </w:tcPr>
          <w:p w14:paraId="0E4FA944" w14:textId="77777777" w:rsidR="001B1411" w:rsidRPr="00DA7625" w:rsidRDefault="000B0B09">
            <w:pPr>
              <w:rPr>
                <w:rFonts w:ascii="Times New Roman" w:hAnsi="Times New Roman"/>
                <w:sz w:val="24"/>
              </w:rPr>
            </w:pPr>
            <w:r w:rsidRPr="00DA7625">
              <w:rPr>
                <w:rFonts w:ascii="Times New Roman" w:hAnsi="Times New Roman"/>
                <w:sz w:val="24"/>
              </w:rPr>
              <w:t>090</w:t>
            </w:r>
          </w:p>
        </w:tc>
        <w:tc>
          <w:tcPr>
            <w:tcW w:w="8004" w:type="dxa"/>
          </w:tcPr>
          <w:p w14:paraId="211D4A9B" w14:textId="77777777" w:rsidR="001B1411" w:rsidRPr="00DA7625" w:rsidRDefault="000B0B09">
            <w:pPr>
              <w:rPr>
                <w:rFonts w:ascii="Times New Roman" w:hAnsi="Times New Roman"/>
                <w:b/>
                <w:sz w:val="24"/>
                <w:u w:val="single"/>
              </w:rPr>
            </w:pPr>
            <w:r w:rsidRPr="00DA7625">
              <w:rPr>
                <w:rFonts w:ascii="Times New Roman" w:hAnsi="Times New Roman"/>
                <w:b/>
                <w:sz w:val="24"/>
                <w:u w:val="single"/>
              </w:rPr>
              <w:t>TELJES KOCKÁZATI KITETTSÉGÉRTÉK</w:t>
            </w:r>
          </w:p>
          <w:p w14:paraId="2365D3EA" w14:textId="4F13113B" w:rsidR="001B1411" w:rsidRPr="00DA7625" w:rsidRDefault="001E0C80">
            <w:pPr>
              <w:rPr>
                <w:rFonts w:ascii="Times New Roman" w:hAnsi="Times New Roman"/>
                <w:sz w:val="24"/>
              </w:rPr>
            </w:pPr>
            <w:r w:rsidRPr="00DA7625">
              <w:rPr>
                <w:rFonts w:ascii="Times New Roman" w:hAnsi="Times New Roman"/>
                <w:sz w:val="24"/>
              </w:rPr>
              <w:t>A CRR 92. cikke (4) bekezdésének b) pontja</w:t>
            </w:r>
          </w:p>
          <w:p w14:paraId="147F8D5B" w14:textId="0392EBCB" w:rsidR="001B1411" w:rsidRPr="00DA7625" w:rsidRDefault="000B0B09">
            <w:pPr>
              <w:rPr>
                <w:rFonts w:ascii="Times New Roman" w:hAnsi="Times New Roman"/>
                <w:sz w:val="24"/>
              </w:rPr>
            </w:pPr>
            <w:r w:rsidRPr="00DA7625">
              <w:rPr>
                <w:rFonts w:ascii="Times New Roman" w:hAnsi="Times New Roman"/>
                <w:sz w:val="24"/>
              </w:rPr>
              <w:t>A szavatolótőke-követelmény 12,5-del szorozva.</w:t>
            </w:r>
          </w:p>
        </w:tc>
      </w:tr>
      <w:tr w:rsidR="001B1411" w:rsidRPr="00DA7625" w14:paraId="22191597" w14:textId="77777777" w:rsidTr="00672D2A">
        <w:tc>
          <w:tcPr>
            <w:tcW w:w="852" w:type="dxa"/>
          </w:tcPr>
          <w:p w14:paraId="521173D0" w14:textId="77777777" w:rsidR="001B1411" w:rsidRPr="00DA7625" w:rsidRDefault="001B1411">
            <w:pPr>
              <w:rPr>
                <w:rFonts w:ascii="Times New Roman" w:hAnsi="Times New Roman"/>
                <w:sz w:val="24"/>
              </w:rPr>
            </w:pPr>
          </w:p>
        </w:tc>
        <w:tc>
          <w:tcPr>
            <w:tcW w:w="8004" w:type="dxa"/>
          </w:tcPr>
          <w:p w14:paraId="0294D0C0" w14:textId="77777777" w:rsidR="001B1411" w:rsidRPr="00DA7625" w:rsidRDefault="000B0B09">
            <w:pPr>
              <w:rPr>
                <w:rFonts w:ascii="Times New Roman" w:hAnsi="Times New Roman"/>
                <w:b/>
                <w:sz w:val="24"/>
                <w:u w:val="single"/>
              </w:rPr>
            </w:pPr>
            <w:r w:rsidRPr="00DA7625">
              <w:rPr>
                <w:rFonts w:ascii="Times New Roman" w:hAnsi="Times New Roman"/>
                <w:b/>
                <w:sz w:val="24"/>
                <w:u w:val="single"/>
              </w:rPr>
              <w:t>Tájékoztató adatok</w:t>
            </w:r>
          </w:p>
        </w:tc>
      </w:tr>
      <w:tr w:rsidR="001B1411" w:rsidRPr="00DA7625" w14:paraId="22282EAE" w14:textId="77777777" w:rsidTr="00672D2A">
        <w:tc>
          <w:tcPr>
            <w:tcW w:w="852" w:type="dxa"/>
          </w:tcPr>
          <w:p w14:paraId="375E1268" w14:textId="77777777" w:rsidR="001B1411" w:rsidRPr="00DA7625" w:rsidRDefault="000B0B09">
            <w:pPr>
              <w:rPr>
                <w:rFonts w:ascii="Times New Roman" w:hAnsi="Times New Roman"/>
                <w:sz w:val="24"/>
              </w:rPr>
            </w:pPr>
            <w:r w:rsidRPr="00DA7625">
              <w:rPr>
                <w:rFonts w:ascii="Times New Roman" w:hAnsi="Times New Roman"/>
                <w:sz w:val="24"/>
              </w:rPr>
              <w:t>100</w:t>
            </w:r>
          </w:p>
        </w:tc>
        <w:tc>
          <w:tcPr>
            <w:tcW w:w="8004" w:type="dxa"/>
          </w:tcPr>
          <w:p w14:paraId="2EF4F460" w14:textId="77777777" w:rsidR="001B1411" w:rsidRPr="00DA7625" w:rsidRDefault="000B0B09">
            <w:pPr>
              <w:rPr>
                <w:rFonts w:ascii="Times New Roman" w:hAnsi="Times New Roman"/>
                <w:b/>
                <w:sz w:val="24"/>
                <w:u w:val="single"/>
              </w:rPr>
            </w:pPr>
            <w:r w:rsidRPr="00DA7625">
              <w:rPr>
                <w:rFonts w:ascii="Times New Roman" w:hAnsi="Times New Roman"/>
                <w:b/>
                <w:sz w:val="24"/>
                <w:u w:val="single"/>
              </w:rPr>
              <w:t>Partnerek száma</w:t>
            </w:r>
          </w:p>
          <w:p w14:paraId="064FE37D" w14:textId="366C87F7" w:rsidR="001B1411" w:rsidRPr="00DA7625" w:rsidRDefault="000B0B09">
            <w:pPr>
              <w:rPr>
                <w:rFonts w:ascii="Times New Roman" w:hAnsi="Times New Roman"/>
                <w:sz w:val="24"/>
              </w:rPr>
            </w:pPr>
            <w:r w:rsidRPr="00DA7625">
              <w:rPr>
                <w:rFonts w:ascii="Times New Roman" w:hAnsi="Times New Roman"/>
                <w:sz w:val="24"/>
              </w:rPr>
              <w:lastRenderedPageBreak/>
              <w:t>A CRR 382. cikke</w:t>
            </w:r>
          </w:p>
          <w:p w14:paraId="41D6F95E" w14:textId="77777777" w:rsidR="001B1411" w:rsidRPr="00DA7625" w:rsidRDefault="000B0B09">
            <w:pPr>
              <w:rPr>
                <w:rFonts w:ascii="Times New Roman" w:hAnsi="Times New Roman"/>
                <w:sz w:val="24"/>
              </w:rPr>
            </w:pPr>
            <w:r w:rsidRPr="00DA7625">
              <w:rPr>
                <w:rFonts w:ascii="Times New Roman" w:hAnsi="Times New Roman"/>
                <w:sz w:val="24"/>
              </w:rPr>
              <w:t>A CVA-kockázathoz kapcsolódó szavatolótőke kiszámításánál figyelembe vett partnerek száma.</w:t>
            </w:r>
          </w:p>
          <w:p w14:paraId="6F296582" w14:textId="7CA8D190" w:rsidR="001B1411" w:rsidRPr="00DA7625" w:rsidRDefault="000B0B09">
            <w:pPr>
              <w:rPr>
                <w:rFonts w:ascii="Times New Roman" w:hAnsi="Times New Roman"/>
                <w:sz w:val="24"/>
              </w:rPr>
            </w:pPr>
            <w:r w:rsidRPr="00DA7625">
              <w:rPr>
                <w:rFonts w:ascii="Times New Roman" w:hAnsi="Times New Roman"/>
                <w:sz w:val="24"/>
              </w:rPr>
              <w:t xml:space="preserve">A partnerek a kötelezettek részhalmazát képezik. Kizárólag származtatott ügyletek vagy értékpapír-finanszírozási ügyletek esetében léteznek, ahol a másik szerződő felet jelentik. </w:t>
            </w:r>
          </w:p>
        </w:tc>
      </w:tr>
      <w:tr w:rsidR="001B1411" w:rsidRPr="00DA7625" w14:paraId="208E8D8E" w14:textId="77777777" w:rsidTr="00672D2A">
        <w:tc>
          <w:tcPr>
            <w:tcW w:w="852" w:type="dxa"/>
          </w:tcPr>
          <w:p w14:paraId="7A9385D3" w14:textId="77777777" w:rsidR="001B1411" w:rsidRPr="00DA7625" w:rsidRDefault="000B0B09">
            <w:pPr>
              <w:rPr>
                <w:rFonts w:ascii="Times New Roman" w:hAnsi="Times New Roman"/>
                <w:sz w:val="24"/>
              </w:rPr>
            </w:pPr>
            <w:r w:rsidRPr="00DA7625">
              <w:rPr>
                <w:rFonts w:ascii="Times New Roman" w:hAnsi="Times New Roman"/>
                <w:sz w:val="24"/>
              </w:rPr>
              <w:lastRenderedPageBreak/>
              <w:t>110</w:t>
            </w:r>
          </w:p>
        </w:tc>
        <w:tc>
          <w:tcPr>
            <w:tcW w:w="8004" w:type="dxa"/>
          </w:tcPr>
          <w:p w14:paraId="0881EDD6" w14:textId="77777777" w:rsidR="001B1411" w:rsidRPr="00DA7625" w:rsidRDefault="000B0B09">
            <w:pPr>
              <w:rPr>
                <w:rFonts w:ascii="Times New Roman" w:hAnsi="Times New Roman"/>
                <w:b/>
                <w:sz w:val="24"/>
                <w:u w:val="single"/>
              </w:rPr>
            </w:pPr>
            <w:r w:rsidRPr="00DA7625">
              <w:rPr>
                <w:rFonts w:ascii="Times New Roman" w:hAnsi="Times New Roman"/>
                <w:b/>
                <w:sz w:val="24"/>
                <w:u w:val="single"/>
              </w:rPr>
              <w:t>Ebből: közelítő érték alapján meghatározott hitelkockázati felár</w:t>
            </w:r>
          </w:p>
          <w:p w14:paraId="0BE663C7" w14:textId="0AA3F527" w:rsidR="001B1411" w:rsidRPr="00DA7625" w:rsidRDefault="005C14B0">
            <w:pPr>
              <w:rPr>
                <w:rFonts w:ascii="Times New Roman" w:hAnsi="Times New Roman"/>
                <w:b/>
                <w:sz w:val="24"/>
                <w:u w:val="single"/>
              </w:rPr>
            </w:pPr>
            <w:r w:rsidRPr="00DA7625">
              <w:rPr>
                <w:rFonts w:ascii="Times New Roman" w:hAnsi="Times New Roman"/>
                <w:sz w:val="24"/>
              </w:rPr>
              <w:t>Az olyan partnerek száma, amelyeknél a hitelkockázati felárat a közvetlenül észlelt piaci adatok helyett közelítő érték alapján határozták meg.</w:t>
            </w:r>
          </w:p>
        </w:tc>
      </w:tr>
      <w:tr w:rsidR="001B1411" w:rsidRPr="00DA7625" w14:paraId="5146AE6D" w14:textId="77777777" w:rsidTr="00672D2A">
        <w:tc>
          <w:tcPr>
            <w:tcW w:w="852" w:type="dxa"/>
          </w:tcPr>
          <w:p w14:paraId="17D94646" w14:textId="77777777" w:rsidR="001B1411" w:rsidRPr="00DA7625" w:rsidRDefault="000B0B09">
            <w:pPr>
              <w:rPr>
                <w:rFonts w:ascii="Times New Roman" w:hAnsi="Times New Roman"/>
                <w:sz w:val="24"/>
              </w:rPr>
            </w:pPr>
            <w:r w:rsidRPr="00DA7625">
              <w:rPr>
                <w:rFonts w:ascii="Times New Roman" w:hAnsi="Times New Roman"/>
                <w:sz w:val="24"/>
              </w:rPr>
              <w:t>120</w:t>
            </w:r>
          </w:p>
        </w:tc>
        <w:tc>
          <w:tcPr>
            <w:tcW w:w="8004" w:type="dxa"/>
          </w:tcPr>
          <w:p w14:paraId="05699C10" w14:textId="77777777" w:rsidR="001B1411" w:rsidRPr="00DA7625" w:rsidRDefault="000B0B09">
            <w:pPr>
              <w:rPr>
                <w:rFonts w:ascii="Times New Roman" w:hAnsi="Times New Roman"/>
                <w:b/>
                <w:sz w:val="24"/>
                <w:u w:val="single"/>
              </w:rPr>
            </w:pPr>
            <w:r w:rsidRPr="00DA7625">
              <w:rPr>
                <w:rFonts w:ascii="Times New Roman" w:hAnsi="Times New Roman"/>
                <w:b/>
                <w:sz w:val="24"/>
                <w:u w:val="single"/>
              </w:rPr>
              <w:t>VISELT CVA-KOCKÁZAT</w:t>
            </w:r>
          </w:p>
          <w:p w14:paraId="48B7E12F" w14:textId="77777777" w:rsidR="001B1411" w:rsidRPr="00DA7625" w:rsidRDefault="000B0B09">
            <w:pPr>
              <w:rPr>
                <w:rFonts w:ascii="Times New Roman" w:hAnsi="Times New Roman"/>
                <w:sz w:val="24"/>
              </w:rPr>
            </w:pPr>
            <w:r w:rsidRPr="00DA7625">
              <w:rPr>
                <w:rFonts w:ascii="Times New Roman" w:hAnsi="Times New Roman"/>
                <w:sz w:val="24"/>
              </w:rPr>
              <w:t>A származtatott ügyletekben részes partnerek romló hitelképességére képzett számviteli céltartalék.</w:t>
            </w:r>
          </w:p>
        </w:tc>
      </w:tr>
      <w:tr w:rsidR="001B1411" w:rsidRPr="00DA7625" w14:paraId="2C695804" w14:textId="77777777" w:rsidTr="00672D2A">
        <w:tc>
          <w:tcPr>
            <w:tcW w:w="852" w:type="dxa"/>
          </w:tcPr>
          <w:p w14:paraId="1F9E6A16" w14:textId="77777777" w:rsidR="001B1411" w:rsidRPr="00DA7625" w:rsidRDefault="000B0B09">
            <w:pPr>
              <w:rPr>
                <w:rFonts w:ascii="Times New Roman" w:hAnsi="Times New Roman"/>
                <w:sz w:val="24"/>
              </w:rPr>
            </w:pPr>
            <w:r w:rsidRPr="00DA7625">
              <w:rPr>
                <w:rFonts w:ascii="Times New Roman" w:hAnsi="Times New Roman"/>
                <w:sz w:val="24"/>
              </w:rPr>
              <w:t>130</w:t>
            </w:r>
          </w:p>
        </w:tc>
        <w:tc>
          <w:tcPr>
            <w:tcW w:w="8004" w:type="dxa"/>
          </w:tcPr>
          <w:p w14:paraId="1B588358" w14:textId="77777777" w:rsidR="001B1411" w:rsidRPr="00DA7625" w:rsidRDefault="000B0B09">
            <w:pPr>
              <w:rPr>
                <w:rFonts w:ascii="Times New Roman" w:hAnsi="Times New Roman"/>
                <w:b/>
                <w:sz w:val="24"/>
                <w:u w:val="single"/>
              </w:rPr>
            </w:pPr>
            <w:r w:rsidRPr="00DA7625">
              <w:rPr>
                <w:rFonts w:ascii="Times New Roman" w:hAnsi="Times New Roman"/>
                <w:b/>
                <w:sz w:val="24"/>
                <w:u w:val="single"/>
              </w:rPr>
              <w:t>EGY ALAPTERMÉKES CDS</w:t>
            </w:r>
          </w:p>
          <w:p w14:paraId="2DB38709" w14:textId="14B2F9FD" w:rsidR="001B1411" w:rsidRPr="00DA7625" w:rsidRDefault="00D21B29">
            <w:pPr>
              <w:rPr>
                <w:rFonts w:ascii="Times New Roman" w:hAnsi="Times New Roman"/>
                <w:sz w:val="24"/>
              </w:rPr>
            </w:pPr>
            <w:r w:rsidRPr="00DA7625">
              <w:rPr>
                <w:rFonts w:ascii="Times New Roman" w:hAnsi="Times New Roman"/>
                <w:sz w:val="24"/>
              </w:rPr>
              <w:t xml:space="preserve">A CRR 386. cikke (1) bekezdésének a) pontja </w:t>
            </w:r>
          </w:p>
          <w:p w14:paraId="5B50235C" w14:textId="312D16A8" w:rsidR="001B1411" w:rsidRPr="00DA7625" w:rsidRDefault="000B0B09">
            <w:pPr>
              <w:rPr>
                <w:rFonts w:ascii="Times New Roman" w:hAnsi="Times New Roman"/>
                <w:sz w:val="24"/>
              </w:rPr>
            </w:pPr>
            <w:r w:rsidRPr="00DA7625">
              <w:rPr>
                <w:rFonts w:ascii="Times New Roman" w:hAnsi="Times New Roman"/>
                <w:sz w:val="24"/>
              </w:rPr>
              <w:t>A CVA-kockázatot fedező egy alaptermékes hitel-nemteljesítési csereügylet teljes névleges összege.</w:t>
            </w:r>
          </w:p>
        </w:tc>
      </w:tr>
      <w:tr w:rsidR="001B1411" w:rsidRPr="00DA7625" w14:paraId="39BBE1D7" w14:textId="77777777" w:rsidTr="00672D2A">
        <w:tc>
          <w:tcPr>
            <w:tcW w:w="852" w:type="dxa"/>
          </w:tcPr>
          <w:p w14:paraId="606251E4" w14:textId="77777777" w:rsidR="001B1411" w:rsidRPr="00DA7625" w:rsidRDefault="000B0B09">
            <w:pPr>
              <w:rPr>
                <w:rFonts w:ascii="Times New Roman" w:hAnsi="Times New Roman"/>
                <w:sz w:val="24"/>
              </w:rPr>
            </w:pPr>
            <w:r w:rsidRPr="00DA7625">
              <w:rPr>
                <w:rFonts w:ascii="Times New Roman" w:hAnsi="Times New Roman"/>
                <w:sz w:val="24"/>
              </w:rPr>
              <w:t>140</w:t>
            </w:r>
          </w:p>
        </w:tc>
        <w:tc>
          <w:tcPr>
            <w:tcW w:w="8004" w:type="dxa"/>
          </w:tcPr>
          <w:p w14:paraId="36EC79C3" w14:textId="77777777" w:rsidR="001B1411" w:rsidRPr="00DA7625" w:rsidRDefault="000B0B09">
            <w:pPr>
              <w:rPr>
                <w:rFonts w:ascii="Times New Roman" w:hAnsi="Times New Roman"/>
                <w:b/>
                <w:sz w:val="24"/>
                <w:u w:val="single"/>
              </w:rPr>
            </w:pPr>
            <w:r w:rsidRPr="00DA7625">
              <w:rPr>
                <w:rFonts w:ascii="Times New Roman" w:hAnsi="Times New Roman"/>
                <w:b/>
                <w:sz w:val="24"/>
                <w:u w:val="single"/>
              </w:rPr>
              <w:t>INDEX CDS</w:t>
            </w:r>
          </w:p>
          <w:p w14:paraId="2907F0D4" w14:textId="0A02CB18" w:rsidR="001B1411" w:rsidRPr="00DA7625" w:rsidRDefault="00D21B29">
            <w:pPr>
              <w:rPr>
                <w:rFonts w:ascii="Times New Roman" w:hAnsi="Times New Roman"/>
                <w:sz w:val="24"/>
              </w:rPr>
            </w:pPr>
            <w:r w:rsidRPr="00DA7625">
              <w:rPr>
                <w:rFonts w:ascii="Times New Roman" w:hAnsi="Times New Roman"/>
                <w:sz w:val="24"/>
              </w:rPr>
              <w:t>A CRR 386. cikke (1) bekezdésének b) pontja</w:t>
            </w:r>
          </w:p>
          <w:p w14:paraId="30AEB754" w14:textId="28361AA2" w:rsidR="001B1411" w:rsidRPr="00DA7625" w:rsidRDefault="000B0B09">
            <w:pPr>
              <w:rPr>
                <w:rFonts w:ascii="Times New Roman" w:hAnsi="Times New Roman"/>
                <w:b/>
                <w:sz w:val="24"/>
                <w:u w:val="single"/>
              </w:rPr>
            </w:pPr>
            <w:r w:rsidRPr="00DA7625">
              <w:rPr>
                <w:rFonts w:ascii="Times New Roman" w:hAnsi="Times New Roman"/>
                <w:sz w:val="24"/>
              </w:rPr>
              <w:t>A CVA-kockázatot fedező index CDS teljes névleges összege.</w:t>
            </w:r>
          </w:p>
        </w:tc>
      </w:tr>
    </w:tbl>
    <w:p w14:paraId="77D3C427" w14:textId="77777777" w:rsidR="001B1411" w:rsidRPr="00DA7625" w:rsidRDefault="001B1411">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B1411" w:rsidRPr="00DA7625" w14:paraId="63DD22C6" w14:textId="77777777" w:rsidTr="00672D2A">
        <w:tc>
          <w:tcPr>
            <w:tcW w:w="8856" w:type="dxa"/>
            <w:gridSpan w:val="2"/>
            <w:shd w:val="clear" w:color="auto" w:fill="CCCCCC"/>
          </w:tcPr>
          <w:p w14:paraId="1218FE36" w14:textId="77777777" w:rsidR="001B1411" w:rsidRPr="00DA7625" w:rsidRDefault="000B0B09">
            <w:pPr>
              <w:rPr>
                <w:rFonts w:ascii="Times New Roman" w:hAnsi="Times New Roman"/>
                <w:b/>
                <w:sz w:val="24"/>
              </w:rPr>
            </w:pPr>
            <w:r w:rsidRPr="00DA7625">
              <w:rPr>
                <w:rFonts w:ascii="Times New Roman" w:hAnsi="Times New Roman"/>
                <w:b/>
                <w:sz w:val="24"/>
              </w:rPr>
              <w:t>Sor</w:t>
            </w:r>
          </w:p>
        </w:tc>
      </w:tr>
      <w:tr w:rsidR="001B1411" w:rsidRPr="00DA7625" w14:paraId="24F67660" w14:textId="77777777" w:rsidTr="00672D2A">
        <w:tc>
          <w:tcPr>
            <w:tcW w:w="852" w:type="dxa"/>
          </w:tcPr>
          <w:p w14:paraId="358BF8DF" w14:textId="77777777" w:rsidR="001B1411" w:rsidRPr="00DA7625" w:rsidRDefault="000B0B09">
            <w:pPr>
              <w:rPr>
                <w:rFonts w:ascii="Times New Roman" w:hAnsi="Times New Roman"/>
                <w:sz w:val="24"/>
              </w:rPr>
            </w:pPr>
            <w:r w:rsidRPr="00DA7625">
              <w:rPr>
                <w:rFonts w:ascii="Times New Roman" w:hAnsi="Times New Roman"/>
                <w:sz w:val="24"/>
              </w:rPr>
              <w:t>010</w:t>
            </w:r>
          </w:p>
        </w:tc>
        <w:tc>
          <w:tcPr>
            <w:tcW w:w="8004" w:type="dxa"/>
          </w:tcPr>
          <w:p w14:paraId="55D74EEA" w14:textId="77777777" w:rsidR="001B1411" w:rsidRPr="00DA7625" w:rsidRDefault="000B0B09">
            <w:pPr>
              <w:rPr>
                <w:rFonts w:ascii="Times New Roman" w:hAnsi="Times New Roman"/>
                <w:b/>
                <w:bCs/>
                <w:sz w:val="24"/>
                <w:u w:val="single"/>
              </w:rPr>
            </w:pPr>
            <w:r w:rsidRPr="00DA7625">
              <w:rPr>
                <w:rFonts w:ascii="Times New Roman" w:hAnsi="Times New Roman"/>
                <w:b/>
                <w:bCs/>
                <w:sz w:val="24"/>
                <w:u w:val="single"/>
              </w:rPr>
              <w:t>CVA-kockázat összesen</w:t>
            </w:r>
          </w:p>
          <w:p w14:paraId="3FFB40EC" w14:textId="11990D5A" w:rsidR="001B1411" w:rsidRPr="00DA7625" w:rsidRDefault="000B0B09">
            <w:pPr>
              <w:rPr>
                <w:rFonts w:ascii="Times New Roman" w:hAnsi="Times New Roman"/>
                <w:bCs/>
                <w:sz w:val="24"/>
              </w:rPr>
            </w:pPr>
            <w:r w:rsidRPr="00DA7625">
              <w:rPr>
                <w:rFonts w:ascii="Times New Roman" w:hAnsi="Times New Roman"/>
                <w:bCs/>
                <w:sz w:val="24"/>
              </w:rPr>
              <w:t>A 020–040. sorok összege</w:t>
            </w:r>
          </w:p>
        </w:tc>
      </w:tr>
      <w:tr w:rsidR="001B1411" w:rsidRPr="00DA7625" w14:paraId="117A9CD0" w14:textId="77777777" w:rsidTr="00672D2A">
        <w:tc>
          <w:tcPr>
            <w:tcW w:w="852" w:type="dxa"/>
          </w:tcPr>
          <w:p w14:paraId="1E281625" w14:textId="77777777" w:rsidR="001B1411" w:rsidRPr="00DA7625" w:rsidRDefault="000B0B09">
            <w:pPr>
              <w:rPr>
                <w:rFonts w:ascii="Times New Roman" w:hAnsi="Times New Roman"/>
                <w:sz w:val="24"/>
              </w:rPr>
            </w:pPr>
            <w:r w:rsidRPr="00DA7625">
              <w:rPr>
                <w:rFonts w:ascii="Times New Roman" w:hAnsi="Times New Roman"/>
                <w:sz w:val="24"/>
              </w:rPr>
              <w:t xml:space="preserve">020 </w:t>
            </w:r>
          </w:p>
        </w:tc>
        <w:tc>
          <w:tcPr>
            <w:tcW w:w="8004" w:type="dxa"/>
          </w:tcPr>
          <w:p w14:paraId="02E6580C" w14:textId="35DF5FF3" w:rsidR="001B1411" w:rsidRPr="00DA7625" w:rsidRDefault="000B0B09">
            <w:pPr>
              <w:rPr>
                <w:rFonts w:ascii="Times New Roman" w:hAnsi="Times New Roman"/>
                <w:b/>
                <w:bCs/>
                <w:sz w:val="24"/>
                <w:u w:val="single"/>
              </w:rPr>
            </w:pPr>
            <w:r w:rsidRPr="00DA7625">
              <w:rPr>
                <w:rFonts w:ascii="Times New Roman" w:hAnsi="Times New Roman"/>
                <w:b/>
                <w:bCs/>
                <w:sz w:val="24"/>
                <w:u w:val="single"/>
              </w:rPr>
              <w:t>Fejlett módszer szerint</w:t>
            </w:r>
          </w:p>
          <w:p w14:paraId="59CC663A" w14:textId="5570ACAA" w:rsidR="001B1411" w:rsidRPr="00DA7625" w:rsidRDefault="000B0B09">
            <w:pPr>
              <w:rPr>
                <w:rFonts w:ascii="Times New Roman" w:hAnsi="Times New Roman"/>
                <w:bCs/>
                <w:sz w:val="24"/>
              </w:rPr>
            </w:pPr>
            <w:r w:rsidRPr="00DA7625">
              <w:rPr>
                <w:rFonts w:ascii="Times New Roman" w:hAnsi="Times New Roman"/>
                <w:bCs/>
                <w:sz w:val="24"/>
              </w:rPr>
              <w:t>Fejlett CVA-kockázati módszer a CRR 383. cikkének előírásai</w:t>
            </w:r>
            <w:r w:rsidRPr="00DA7625">
              <w:rPr>
                <w:rFonts w:ascii="Times New Roman" w:hAnsi="Times New Roman"/>
                <w:sz w:val="24"/>
              </w:rPr>
              <w:t xml:space="preserve"> szerint.</w:t>
            </w:r>
            <w:r w:rsidRPr="00DA7625">
              <w:rPr>
                <w:rFonts w:ascii="Times New Roman" w:hAnsi="Times New Roman"/>
                <w:bCs/>
                <w:sz w:val="24"/>
              </w:rPr>
              <w:t xml:space="preserve"> </w:t>
            </w:r>
          </w:p>
        </w:tc>
      </w:tr>
      <w:tr w:rsidR="001B1411" w:rsidRPr="00DA7625" w14:paraId="6FC0D15B" w14:textId="77777777" w:rsidTr="00672D2A">
        <w:tc>
          <w:tcPr>
            <w:tcW w:w="852" w:type="dxa"/>
          </w:tcPr>
          <w:p w14:paraId="27DE8499" w14:textId="77777777" w:rsidR="001B1411" w:rsidRPr="00DA7625" w:rsidRDefault="000B0B09">
            <w:pPr>
              <w:rPr>
                <w:rFonts w:ascii="Times New Roman" w:hAnsi="Times New Roman"/>
                <w:sz w:val="24"/>
              </w:rPr>
            </w:pPr>
            <w:r w:rsidRPr="00DA7625">
              <w:rPr>
                <w:rFonts w:ascii="Times New Roman" w:hAnsi="Times New Roman"/>
                <w:sz w:val="24"/>
              </w:rPr>
              <w:t>030</w:t>
            </w:r>
          </w:p>
        </w:tc>
        <w:tc>
          <w:tcPr>
            <w:tcW w:w="8004" w:type="dxa"/>
          </w:tcPr>
          <w:p w14:paraId="1E919B6E" w14:textId="607AF6EF" w:rsidR="001B1411" w:rsidRPr="00DA7625" w:rsidRDefault="000B0B09">
            <w:pPr>
              <w:rPr>
                <w:rFonts w:ascii="Times New Roman" w:hAnsi="Times New Roman"/>
                <w:b/>
                <w:bCs/>
                <w:sz w:val="24"/>
                <w:u w:val="single"/>
              </w:rPr>
            </w:pPr>
            <w:r w:rsidRPr="00DA7625">
              <w:rPr>
                <w:rFonts w:ascii="Times New Roman" w:hAnsi="Times New Roman"/>
                <w:b/>
                <w:bCs/>
                <w:sz w:val="24"/>
                <w:u w:val="single"/>
              </w:rPr>
              <w:t>Sztenderd módszer szerint</w:t>
            </w:r>
          </w:p>
          <w:p w14:paraId="53048721" w14:textId="686011CD" w:rsidR="001B1411" w:rsidRPr="00DA7625" w:rsidRDefault="000B0B09">
            <w:pPr>
              <w:rPr>
                <w:rFonts w:ascii="Times New Roman" w:hAnsi="Times New Roman"/>
                <w:bCs/>
                <w:sz w:val="24"/>
              </w:rPr>
            </w:pPr>
            <w:r w:rsidRPr="00DA7625">
              <w:rPr>
                <w:rFonts w:ascii="Times New Roman" w:hAnsi="Times New Roman"/>
                <w:bCs/>
                <w:sz w:val="24"/>
              </w:rPr>
              <w:t>Sztenderd CVA-kockázati módszer a CRR 384. cikkének előírásai</w:t>
            </w:r>
            <w:r w:rsidRPr="00DA7625">
              <w:rPr>
                <w:rFonts w:ascii="Times New Roman" w:hAnsi="Times New Roman"/>
                <w:sz w:val="24"/>
              </w:rPr>
              <w:t xml:space="preserve"> szerint.</w:t>
            </w:r>
            <w:r w:rsidRPr="00DA7625">
              <w:rPr>
                <w:rFonts w:ascii="Times New Roman" w:hAnsi="Times New Roman"/>
                <w:bCs/>
                <w:sz w:val="24"/>
              </w:rPr>
              <w:t xml:space="preserve"> </w:t>
            </w:r>
          </w:p>
        </w:tc>
      </w:tr>
      <w:tr w:rsidR="001B1411" w:rsidRPr="00DA7625" w14:paraId="221BFDBB" w14:textId="77777777" w:rsidTr="00672D2A">
        <w:tc>
          <w:tcPr>
            <w:tcW w:w="852" w:type="dxa"/>
          </w:tcPr>
          <w:p w14:paraId="532C7E21" w14:textId="77777777" w:rsidR="001B1411" w:rsidRPr="00DA7625" w:rsidRDefault="000B0B09">
            <w:pPr>
              <w:rPr>
                <w:rFonts w:ascii="Times New Roman" w:hAnsi="Times New Roman"/>
                <w:sz w:val="24"/>
              </w:rPr>
            </w:pPr>
            <w:r w:rsidRPr="00DA7625">
              <w:rPr>
                <w:rFonts w:ascii="Times New Roman" w:hAnsi="Times New Roman"/>
                <w:sz w:val="24"/>
              </w:rPr>
              <w:t>040</w:t>
            </w:r>
          </w:p>
        </w:tc>
        <w:tc>
          <w:tcPr>
            <w:tcW w:w="8004" w:type="dxa"/>
          </w:tcPr>
          <w:p w14:paraId="6CEF8B62" w14:textId="77777777" w:rsidR="001B1411" w:rsidRPr="00DA7625" w:rsidRDefault="000B0B09">
            <w:pPr>
              <w:rPr>
                <w:rFonts w:ascii="Times New Roman" w:hAnsi="Times New Roman"/>
                <w:b/>
                <w:bCs/>
                <w:sz w:val="24"/>
                <w:u w:val="single"/>
              </w:rPr>
            </w:pPr>
            <w:r w:rsidRPr="00DA7625">
              <w:rPr>
                <w:rFonts w:ascii="Times New Roman" w:hAnsi="Times New Roman"/>
                <w:b/>
                <w:bCs/>
                <w:sz w:val="24"/>
                <w:u w:val="single"/>
              </w:rPr>
              <w:t>Eredeti kitettség szerinti módszer (OEM) alapján</w:t>
            </w:r>
          </w:p>
          <w:p w14:paraId="3CC30ECF" w14:textId="4897E3A7" w:rsidR="001B1411" w:rsidRPr="00DA7625" w:rsidRDefault="000B0B09">
            <w:pPr>
              <w:rPr>
                <w:rFonts w:ascii="Times New Roman" w:hAnsi="Times New Roman"/>
                <w:bCs/>
                <w:sz w:val="24"/>
              </w:rPr>
            </w:pPr>
            <w:r w:rsidRPr="00DA7625">
              <w:rPr>
                <w:rFonts w:ascii="Times New Roman" w:hAnsi="Times New Roman"/>
                <w:bCs/>
                <w:sz w:val="24"/>
              </w:rPr>
              <w:t>A CRR 385. cikkének alkalmazási körébe tartozó</w:t>
            </w:r>
            <w:r w:rsidRPr="00DA7625">
              <w:rPr>
                <w:rFonts w:ascii="Times New Roman" w:hAnsi="Times New Roman"/>
                <w:sz w:val="24"/>
              </w:rPr>
              <w:t xml:space="preserve"> összegek.</w:t>
            </w:r>
          </w:p>
        </w:tc>
      </w:tr>
    </w:tbl>
    <w:p w14:paraId="26E1C34E" w14:textId="77777777" w:rsidR="001B1411" w:rsidRPr="00DA7625" w:rsidRDefault="001B1411">
      <w:pPr>
        <w:rPr>
          <w:rStyle w:val="InstructionsTabelleText"/>
          <w:rFonts w:ascii="Times New Roman" w:hAnsi="Times New Roman"/>
          <w:sz w:val="24"/>
        </w:rPr>
      </w:pPr>
    </w:p>
    <w:p w14:paraId="3E0E4F0B" w14:textId="77777777" w:rsidR="001B1411" w:rsidRPr="00DA7625" w:rsidRDefault="00995A7F">
      <w:pPr>
        <w:pStyle w:val="Instructionsberschrift2"/>
        <w:numPr>
          <w:ilvl w:val="0"/>
          <w:numId w:val="0"/>
        </w:numPr>
        <w:ind w:left="357" w:hanging="357"/>
        <w:rPr>
          <w:rFonts w:ascii="Times New Roman" w:hAnsi="Times New Roman" w:cs="Times New Roman"/>
          <w:sz w:val="24"/>
        </w:rPr>
      </w:pPr>
      <w:bookmarkStart w:id="107" w:name="_Toc31018853"/>
      <w:r w:rsidRPr="00DA7625">
        <w:rPr>
          <w:rFonts w:ascii="Times New Roman" w:hAnsi="Times New Roman"/>
          <w:sz w:val="24"/>
          <w:u w:val="none"/>
        </w:rPr>
        <w:lastRenderedPageBreak/>
        <w:t>6.</w:t>
      </w:r>
      <w:r w:rsidRPr="00DA7625">
        <w:rPr>
          <w:rFonts w:ascii="Times New Roman" w:hAnsi="Times New Roman"/>
          <w:sz w:val="24"/>
          <w:u w:val="none"/>
        </w:rPr>
        <w:tab/>
      </w:r>
      <w:r w:rsidRPr="00DA7625">
        <w:rPr>
          <w:rFonts w:ascii="Times New Roman" w:hAnsi="Times New Roman"/>
          <w:sz w:val="24"/>
        </w:rPr>
        <w:t>Prudens értékelés (PruVal)</w:t>
      </w:r>
      <w:bookmarkEnd w:id="107"/>
    </w:p>
    <w:p w14:paraId="45FB2C51" w14:textId="77777777" w:rsidR="001B1411" w:rsidRPr="00DA7625" w:rsidRDefault="00995A7F">
      <w:pPr>
        <w:pStyle w:val="Instructionsberschrift2"/>
        <w:numPr>
          <w:ilvl w:val="0"/>
          <w:numId w:val="0"/>
        </w:numPr>
        <w:ind w:left="357" w:hanging="357"/>
        <w:rPr>
          <w:rFonts w:ascii="Times New Roman" w:hAnsi="Times New Roman" w:cs="Times New Roman"/>
          <w:sz w:val="24"/>
          <w:u w:val="none"/>
        </w:rPr>
      </w:pPr>
      <w:bookmarkStart w:id="108" w:name="_Toc31018854"/>
      <w:r w:rsidRPr="00DA7625">
        <w:rPr>
          <w:rFonts w:ascii="Times New Roman" w:hAnsi="Times New Roman"/>
          <w:sz w:val="24"/>
          <w:u w:val="none"/>
        </w:rPr>
        <w:t>6,1.</w:t>
      </w:r>
      <w:r w:rsidRPr="00DA7625">
        <w:rPr>
          <w:rFonts w:ascii="Times New Roman" w:hAnsi="Times New Roman"/>
          <w:sz w:val="24"/>
          <w:u w:val="none"/>
        </w:rPr>
        <w:tab/>
      </w:r>
      <w:r w:rsidRPr="00DA7625">
        <w:rPr>
          <w:rFonts w:ascii="Times New Roman" w:hAnsi="Times New Roman"/>
          <w:sz w:val="24"/>
        </w:rPr>
        <w:t>C 32.01 – Prudens értékelés: Valós értéken értékelt eszközök és kötelezettségek (PruVal 1)</w:t>
      </w:r>
      <w:bookmarkEnd w:id="108"/>
    </w:p>
    <w:p w14:paraId="4FDFF8AA" w14:textId="77777777" w:rsidR="001B1411" w:rsidRPr="00DA7625" w:rsidRDefault="00995A7F">
      <w:pPr>
        <w:pStyle w:val="Instructionsberschrift2"/>
        <w:numPr>
          <w:ilvl w:val="0"/>
          <w:numId w:val="0"/>
        </w:numPr>
        <w:ind w:left="357" w:hanging="357"/>
        <w:rPr>
          <w:rFonts w:ascii="Times New Roman" w:hAnsi="Times New Roman" w:cs="Times New Roman"/>
          <w:sz w:val="24"/>
          <w:u w:val="none"/>
        </w:rPr>
      </w:pPr>
      <w:bookmarkStart w:id="109" w:name="_Toc31018855"/>
      <w:r w:rsidRPr="00DA7625">
        <w:rPr>
          <w:rFonts w:ascii="Times New Roman" w:hAnsi="Times New Roman"/>
          <w:sz w:val="24"/>
          <w:u w:val="none"/>
        </w:rPr>
        <w:t>6.1.1.</w:t>
      </w:r>
      <w:r w:rsidRPr="00DA7625">
        <w:rPr>
          <w:rFonts w:ascii="Times New Roman" w:hAnsi="Times New Roman"/>
          <w:sz w:val="24"/>
          <w:u w:val="none"/>
        </w:rPr>
        <w:tab/>
      </w:r>
      <w:r w:rsidRPr="00DA7625">
        <w:rPr>
          <w:rFonts w:ascii="Times New Roman" w:hAnsi="Times New Roman"/>
          <w:sz w:val="24"/>
        </w:rPr>
        <w:t>Általános megjegyzések</w:t>
      </w:r>
      <w:bookmarkEnd w:id="109"/>
      <w:r w:rsidRPr="00DA7625">
        <w:rPr>
          <w:rFonts w:ascii="Times New Roman" w:hAnsi="Times New Roman"/>
          <w:sz w:val="24"/>
          <w:u w:val="none"/>
        </w:rPr>
        <w:t xml:space="preserve"> </w:t>
      </w:r>
    </w:p>
    <w:p w14:paraId="5E537868" w14:textId="2EA8F01A" w:rsidR="001B1411" w:rsidRPr="00DA7625" w:rsidRDefault="00995A7F">
      <w:pPr>
        <w:pStyle w:val="InstructionsText2"/>
        <w:numPr>
          <w:ilvl w:val="0"/>
          <w:numId w:val="0"/>
        </w:numPr>
        <w:ind w:left="993"/>
      </w:pPr>
      <w:r w:rsidRPr="00DA7625">
        <w:t>154a. Ezt a táblát minden intézménynek ki kell töltenie függetlenül attól, hogy a kiegészítő értékelési korrekciók (AVA) meghatározásához az egyszerűsített módszert alkalmazza-e. Ebben a táblában a valós értéken értékelt eszközök és kötelezettségek abszolút értékét kell feltüntetni annak meghatározásához, hogy teljesülnek-e az (EU) 2016/101 felhatalmazáson alapuló bizottsági rendelet</w:t>
      </w:r>
      <w:r w:rsidRPr="00DA7625">
        <w:rPr>
          <w:rStyle w:val="FootnoteReference"/>
          <w:rFonts w:ascii="Times New Roman" w:hAnsi="Times New Roman"/>
          <w:sz w:val="24"/>
          <w:szCs w:val="24"/>
          <w:vertAlign w:val="superscript"/>
        </w:rPr>
        <w:footnoteReference w:id="17"/>
      </w:r>
      <w:r w:rsidRPr="00DA7625">
        <w:t xml:space="preserve"> 4. cikkében meghatározott azon feltételek, amelyek alapján a kiegészítő értékelési korrekciók meghatározásához az egyszerűsített módszer alkalmazható.</w:t>
      </w:r>
    </w:p>
    <w:p w14:paraId="433F2824" w14:textId="6A97C5D9" w:rsidR="001B1411" w:rsidRPr="00DA7625" w:rsidRDefault="00B93FA1">
      <w:pPr>
        <w:pStyle w:val="InstructionsText2"/>
        <w:numPr>
          <w:ilvl w:val="0"/>
          <w:numId w:val="0"/>
        </w:numPr>
        <w:ind w:left="993"/>
      </w:pPr>
      <w:r w:rsidRPr="00DA7625">
        <w:t>154b. Az egyszerűsített módszert alkalmazó intézmények tekintetében ebben a táblában a CRR 34. és 105. cikke szerint a szavatolótőkéből levonandó kiegészítő értékelési korrekciók teljes összegét kell megadni, az (EU) 2016/101 felhatalmazáson alapuló rendelet 5. cikkében meghatározottak szerint, és az adatot a C 01.00 tábla 290. sorában fel kell tüntetni.</w:t>
      </w:r>
    </w:p>
    <w:p w14:paraId="68F3B84E" w14:textId="77777777" w:rsidR="001B1411" w:rsidRPr="00DA7625" w:rsidRDefault="00B93FA1">
      <w:pPr>
        <w:pStyle w:val="Instructionsberschrift2"/>
        <w:numPr>
          <w:ilvl w:val="0"/>
          <w:numId w:val="0"/>
        </w:numPr>
        <w:ind w:left="357" w:hanging="357"/>
        <w:rPr>
          <w:rFonts w:ascii="Times New Roman" w:hAnsi="Times New Roman" w:cs="Times New Roman"/>
          <w:sz w:val="24"/>
          <w:u w:val="none"/>
        </w:rPr>
      </w:pPr>
      <w:bookmarkStart w:id="110" w:name="_Toc31018856"/>
      <w:r w:rsidRPr="00DA7625">
        <w:rPr>
          <w:rFonts w:ascii="Times New Roman" w:hAnsi="Times New Roman"/>
          <w:sz w:val="24"/>
          <w:u w:val="none"/>
        </w:rPr>
        <w:t>6.1.2.</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110"/>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B1411" w:rsidRPr="00DA7625" w14:paraId="37C991B5" w14:textId="77777777" w:rsidTr="00672D2A">
        <w:tc>
          <w:tcPr>
            <w:tcW w:w="9291" w:type="dxa"/>
            <w:gridSpan w:val="2"/>
            <w:shd w:val="clear" w:color="auto" w:fill="CCCCCC"/>
          </w:tcPr>
          <w:p w14:paraId="68F27042" w14:textId="77777777" w:rsidR="001B1411" w:rsidRPr="00DA7625" w:rsidRDefault="00B93FA1">
            <w:pPr>
              <w:spacing w:beforeLines="60" w:before="144" w:afterLines="60" w:after="144"/>
              <w:rPr>
                <w:rFonts w:ascii="Times New Roman" w:hAnsi="Times New Roman"/>
                <w:b/>
                <w:sz w:val="24"/>
              </w:rPr>
            </w:pPr>
            <w:r w:rsidRPr="00DA7625">
              <w:rPr>
                <w:rFonts w:ascii="Times New Roman" w:hAnsi="Times New Roman"/>
                <w:b/>
                <w:sz w:val="24"/>
              </w:rPr>
              <w:t>Oszlop</w:t>
            </w:r>
          </w:p>
        </w:tc>
      </w:tr>
      <w:tr w:rsidR="001B1411" w:rsidRPr="00DA7625" w14:paraId="58890713" w14:textId="77777777" w:rsidTr="00672D2A">
        <w:tc>
          <w:tcPr>
            <w:tcW w:w="1101" w:type="dxa"/>
          </w:tcPr>
          <w:p w14:paraId="4AE79EA6" w14:textId="77777777"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0010</w:t>
            </w:r>
          </w:p>
        </w:tc>
        <w:tc>
          <w:tcPr>
            <w:tcW w:w="8190" w:type="dxa"/>
          </w:tcPr>
          <w:p w14:paraId="32BE349A" w14:textId="77777777" w:rsidR="001B1411" w:rsidRPr="00DA7625" w:rsidRDefault="00B93FA1">
            <w:pPr>
              <w:spacing w:beforeLines="60" w:before="144" w:afterLines="60" w:after="144"/>
              <w:rPr>
                <w:rFonts w:ascii="Times New Roman" w:hAnsi="Times New Roman"/>
                <w:b/>
                <w:caps/>
                <w:sz w:val="24"/>
                <w:u w:val="single"/>
              </w:rPr>
            </w:pPr>
            <w:r w:rsidRPr="00DA7625">
              <w:rPr>
                <w:rFonts w:ascii="Times New Roman" w:hAnsi="Times New Roman"/>
                <w:b/>
                <w:caps/>
                <w:sz w:val="24"/>
                <w:u w:val="single"/>
              </w:rPr>
              <w:t>VALÓS ÉRTÉKEN ÉRTÉKELT ESZKÖZÖK ÉS KÖTELEZETTSÉGEK</w:t>
            </w:r>
          </w:p>
          <w:p w14:paraId="45F4B9CF" w14:textId="4F812398"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A valós értéken értékelt eszközök és kötelezettségek abszolút értéke, ahogy az az intézmény alkalmazandó számviteli keret szerint elkészített pénzügyi kimutatásában szerepel, az (EU) 2016/101 felhatalmazáson alapuló rendelet 4. cikkének (1) bekezdésében említettek szerint, az (EU) 2016/101 felhatalmazáson alapuló rendelet 4. cikkének (2) bekezdése szerinti kizárások végrehajtása előtt.</w:t>
            </w:r>
          </w:p>
        </w:tc>
      </w:tr>
      <w:tr w:rsidR="001B1411" w:rsidRPr="00DA7625" w14:paraId="0ADC2607" w14:textId="77777777" w:rsidTr="00672D2A">
        <w:tc>
          <w:tcPr>
            <w:tcW w:w="1101" w:type="dxa"/>
          </w:tcPr>
          <w:p w14:paraId="1BE14BAE"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t>0020</w:t>
            </w:r>
          </w:p>
        </w:tc>
        <w:tc>
          <w:tcPr>
            <w:tcW w:w="8190" w:type="dxa"/>
          </w:tcPr>
          <w:p w14:paraId="2D211BA4" w14:textId="77777777" w:rsidR="001B1411" w:rsidRPr="00DA7625" w:rsidRDefault="00B93FA1">
            <w:pPr>
              <w:spacing w:beforeLines="60" w:before="144" w:afterLines="60" w:after="144"/>
              <w:rPr>
                <w:rFonts w:ascii="Times New Roman" w:hAnsi="Times New Roman"/>
                <w:b/>
                <w:caps/>
                <w:sz w:val="24"/>
                <w:u w:val="single"/>
              </w:rPr>
            </w:pPr>
            <w:r w:rsidRPr="00DA7625">
              <w:rPr>
                <w:rFonts w:ascii="Times New Roman" w:hAnsi="Times New Roman"/>
                <w:b/>
                <w:caps/>
                <w:sz w:val="24"/>
                <w:u w:val="single"/>
              </w:rPr>
              <w:t>EBBŐL: kereskedési könyv</w:t>
            </w:r>
          </w:p>
          <w:p w14:paraId="6A2E3CB7" w14:textId="77777777" w:rsidR="001B1411" w:rsidRPr="00DA7625" w:rsidRDefault="00B93FA1">
            <w:pPr>
              <w:spacing w:beforeLines="60" w:before="144" w:afterLines="60" w:after="144"/>
              <w:rPr>
                <w:rFonts w:ascii="Times New Roman" w:hAnsi="Times New Roman"/>
                <w:b/>
                <w:caps/>
                <w:sz w:val="24"/>
                <w:u w:val="single"/>
              </w:rPr>
            </w:pPr>
            <w:r w:rsidRPr="00DA7625">
              <w:rPr>
                <w:rFonts w:ascii="Times New Roman" w:hAnsi="Times New Roman"/>
                <w:sz w:val="24"/>
              </w:rPr>
              <w:t xml:space="preserve">A valós értéken értékelt eszközök és kötelezettségek 010. oszlopban feltüntetett abszolút értéke, a kereskedési könyvben lévő pozícióknak megfelelően. </w:t>
            </w:r>
          </w:p>
        </w:tc>
      </w:tr>
      <w:tr w:rsidR="001B1411" w:rsidRPr="00DA7625" w14:paraId="7BDB83B0" w14:textId="77777777" w:rsidTr="00672D2A">
        <w:tc>
          <w:tcPr>
            <w:tcW w:w="1101" w:type="dxa"/>
          </w:tcPr>
          <w:p w14:paraId="3AABA373" w14:textId="77777777"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0030–0070</w:t>
            </w:r>
          </w:p>
        </w:tc>
        <w:tc>
          <w:tcPr>
            <w:tcW w:w="8190" w:type="dxa"/>
          </w:tcPr>
          <w:p w14:paraId="65AA4280" w14:textId="77777777" w:rsidR="001B1411" w:rsidRPr="00DA7625" w:rsidRDefault="00B93FA1">
            <w:pPr>
              <w:spacing w:beforeLines="60" w:before="144" w:afterLines="60" w:after="144"/>
              <w:rPr>
                <w:rFonts w:ascii="Times New Roman" w:hAnsi="Times New Roman"/>
                <w:b/>
                <w:caps/>
                <w:sz w:val="24"/>
                <w:u w:val="single"/>
              </w:rPr>
            </w:pPr>
            <w:r w:rsidRPr="00DA7625">
              <w:rPr>
                <w:rFonts w:ascii="Times New Roman" w:hAnsi="Times New Roman"/>
                <w:b/>
                <w:caps/>
                <w:sz w:val="24"/>
                <w:u w:val="single"/>
              </w:rPr>
              <w:t>A CET1 TŐKÉRE GYAKOROLT RÉSZLEGES HATÁS MIATT KIZÁRT, VALÓS ÉRTÉKEN ÉRTÉKELT ESZKÖZÖK ÉS KÖTELEZETTSÉGEK</w:t>
            </w:r>
          </w:p>
          <w:p w14:paraId="4FC60C87" w14:textId="233C9FBF" w:rsidR="001B1411" w:rsidRPr="00DA7625" w:rsidRDefault="00B93FA1">
            <w:pPr>
              <w:spacing w:beforeLines="60" w:before="144" w:afterLines="60" w:after="144"/>
              <w:rPr>
                <w:rFonts w:ascii="Times New Roman" w:hAnsi="Times New Roman"/>
                <w:b/>
                <w:caps/>
                <w:sz w:val="24"/>
                <w:u w:val="single"/>
              </w:rPr>
            </w:pPr>
            <w:r w:rsidRPr="00DA7625">
              <w:rPr>
                <w:rFonts w:ascii="Times New Roman" w:hAnsi="Times New Roman"/>
                <w:sz w:val="24"/>
              </w:rPr>
              <w:t>Az (EU) 2016/101 felhatalmazáson alapuló rendelet 4. cikkének (2) bekezdése szerint kizárt valós értéken értékelt eszközök és kötelezettségek abszolút értéke.</w:t>
            </w:r>
          </w:p>
        </w:tc>
      </w:tr>
      <w:tr w:rsidR="001B1411" w:rsidRPr="00DA7625" w14:paraId="341FF8B7" w14:textId="77777777" w:rsidTr="00672D2A">
        <w:tc>
          <w:tcPr>
            <w:tcW w:w="1101" w:type="dxa"/>
          </w:tcPr>
          <w:p w14:paraId="2F57DF50" w14:textId="77777777"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0030</w:t>
            </w:r>
          </w:p>
        </w:tc>
        <w:tc>
          <w:tcPr>
            <w:tcW w:w="8190" w:type="dxa"/>
          </w:tcPr>
          <w:p w14:paraId="591EDAF3" w14:textId="77777777" w:rsidR="001B1411" w:rsidRPr="00DA7625" w:rsidRDefault="00B93FA1">
            <w:pPr>
              <w:spacing w:beforeLines="60" w:before="144" w:afterLines="60" w:after="144"/>
              <w:rPr>
                <w:rFonts w:ascii="Times New Roman" w:hAnsi="Times New Roman"/>
                <w:b/>
                <w:caps/>
                <w:sz w:val="24"/>
                <w:u w:val="single"/>
              </w:rPr>
            </w:pPr>
            <w:r w:rsidRPr="00DA7625">
              <w:rPr>
                <w:rFonts w:ascii="Times New Roman" w:hAnsi="Times New Roman"/>
                <w:b/>
                <w:caps/>
                <w:sz w:val="24"/>
                <w:u w:val="single"/>
              </w:rPr>
              <w:t>Pontosan megegyező</w:t>
            </w:r>
          </w:p>
          <w:p w14:paraId="0FC282C8" w14:textId="458A6908"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lastRenderedPageBreak/>
              <w:t>Az (EU) 2016/101 felhatalmazáson alapuló rendelet 4. cikkének (2) bekezdése szerint kizárt, pontosan megegyező, valós értéken értékelt kiegyenlítő eszközök és kötelezettségek.</w:t>
            </w:r>
          </w:p>
        </w:tc>
      </w:tr>
      <w:tr w:rsidR="001B1411" w:rsidRPr="00DA7625" w14:paraId="750781F7" w14:textId="77777777" w:rsidTr="00672D2A">
        <w:tc>
          <w:tcPr>
            <w:tcW w:w="1101" w:type="dxa"/>
          </w:tcPr>
          <w:p w14:paraId="499557F3"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lastRenderedPageBreak/>
              <w:t>0040</w:t>
            </w:r>
          </w:p>
        </w:tc>
        <w:tc>
          <w:tcPr>
            <w:tcW w:w="8190" w:type="dxa"/>
          </w:tcPr>
          <w:p w14:paraId="015BEC75" w14:textId="77777777" w:rsidR="001B1411" w:rsidRPr="00DA7625" w:rsidRDefault="00B93FA1">
            <w:pPr>
              <w:spacing w:beforeLines="60" w:before="144" w:afterLines="60" w:after="144"/>
              <w:rPr>
                <w:rFonts w:ascii="Times New Roman" w:hAnsi="Times New Roman"/>
                <w:b/>
                <w:caps/>
                <w:sz w:val="24"/>
                <w:u w:val="single"/>
              </w:rPr>
            </w:pPr>
            <w:r w:rsidRPr="00DA7625">
              <w:rPr>
                <w:rFonts w:ascii="Times New Roman" w:hAnsi="Times New Roman"/>
                <w:b/>
                <w:caps/>
                <w:sz w:val="24"/>
                <w:u w:val="single"/>
              </w:rPr>
              <w:t>Fedezeti elszámolások</w:t>
            </w:r>
          </w:p>
          <w:p w14:paraId="3E8AFC8D" w14:textId="72AFDD4B"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Az alkalmazandó számviteli keret szerint fedezeti elszámolás alá tartozó pozíciók esetében az (EU) 2016/101 felhatalmazáson alapuló rendelet 4. cikke (2) bekezdésének megfelelően a CET1 tőkét befolyásoló értékváltozás hatásának mértékéig kizárt, valós értéken értékelt eszközök és kötelezettségek abszolút értéke.</w:t>
            </w:r>
          </w:p>
        </w:tc>
      </w:tr>
      <w:tr w:rsidR="001B1411" w:rsidRPr="00DA7625" w14:paraId="40FA2695" w14:textId="77777777" w:rsidTr="00672D2A">
        <w:tc>
          <w:tcPr>
            <w:tcW w:w="1101" w:type="dxa"/>
          </w:tcPr>
          <w:p w14:paraId="3C11D6BE"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t>0050</w:t>
            </w:r>
          </w:p>
        </w:tc>
        <w:tc>
          <w:tcPr>
            <w:tcW w:w="8190" w:type="dxa"/>
          </w:tcPr>
          <w:p w14:paraId="1368142A" w14:textId="77777777" w:rsidR="001B1411" w:rsidRPr="00DA7625" w:rsidRDefault="00B93FA1">
            <w:pPr>
              <w:spacing w:beforeLines="60" w:before="144" w:afterLines="60" w:after="144"/>
              <w:rPr>
                <w:rFonts w:ascii="Times New Roman" w:hAnsi="Times New Roman"/>
                <w:b/>
                <w:caps/>
                <w:sz w:val="24"/>
              </w:rPr>
            </w:pPr>
            <w:r w:rsidRPr="00DA7625">
              <w:rPr>
                <w:rFonts w:ascii="Times New Roman" w:hAnsi="Times New Roman"/>
                <w:b/>
                <w:caps/>
                <w:sz w:val="24"/>
                <w:u w:val="single"/>
              </w:rPr>
              <w:t xml:space="preserve">PRUDENCIÁLIS szűrők </w:t>
            </w:r>
          </w:p>
          <w:p w14:paraId="1ADA3A45" w14:textId="3B2FDEDB"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Az (EU) 2016/101 felhatalmazáson alapuló rendelet 4. cikke (2) bekezdésének megfelelően a CRR 467. és 468. cikkében említett prudenciális szűrők átmeneti alkalmazása miatt kizárt, valós értéken értékelt eszközök és kötelezettségek abszolút értéke.</w:t>
            </w:r>
          </w:p>
        </w:tc>
      </w:tr>
      <w:tr w:rsidR="001B1411" w:rsidRPr="00DA7625" w14:paraId="48DF7B27" w14:textId="77777777" w:rsidTr="00672D2A">
        <w:tc>
          <w:tcPr>
            <w:tcW w:w="1101" w:type="dxa"/>
          </w:tcPr>
          <w:p w14:paraId="57A700D6"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t>0060</w:t>
            </w:r>
          </w:p>
        </w:tc>
        <w:tc>
          <w:tcPr>
            <w:tcW w:w="8190" w:type="dxa"/>
          </w:tcPr>
          <w:p w14:paraId="3CD8025C" w14:textId="77777777" w:rsidR="001B1411" w:rsidRPr="00DA7625" w:rsidRDefault="00B93FA1">
            <w:pPr>
              <w:spacing w:beforeLines="60" w:before="144" w:afterLines="60" w:after="144"/>
              <w:rPr>
                <w:rFonts w:ascii="Times New Roman" w:hAnsi="Times New Roman"/>
                <w:b/>
                <w:caps/>
                <w:sz w:val="24"/>
                <w:u w:val="single"/>
              </w:rPr>
            </w:pPr>
            <w:r w:rsidRPr="00DA7625">
              <w:rPr>
                <w:rFonts w:ascii="Times New Roman" w:hAnsi="Times New Roman"/>
                <w:b/>
                <w:caps/>
                <w:sz w:val="24"/>
                <w:u w:val="single"/>
              </w:rPr>
              <w:t>Egyéb</w:t>
            </w:r>
          </w:p>
          <w:p w14:paraId="45DF5D7C" w14:textId="68665FD8"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Az (EU) 2016/101 felhatalmazáson alapuló rendelet 4. cikke (2) bekezdésének megfelelően a számviteli értéküknek a CET1 tőkét csak részben befolyásoló kiigazítása miatt kizárt egyéb pozíciók.</w:t>
            </w:r>
          </w:p>
          <w:p w14:paraId="251244A0" w14:textId="37A24AA8"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Ezt a sort azokban a ritka esetekben kell csak kitölteni, amikor az (EU) 2016/101 felhatalmazáson alapuló rendelet 4. cikke (2) bekezdésének megfelelően kizárt elemek nem rendelhetők hozzá a tábla 0030., 0040. vagy 0050. oszlopához.</w:t>
            </w:r>
          </w:p>
        </w:tc>
      </w:tr>
      <w:tr w:rsidR="001B1411" w:rsidRPr="00DA7625" w14:paraId="4376D441" w14:textId="77777777" w:rsidTr="00672D2A">
        <w:tc>
          <w:tcPr>
            <w:tcW w:w="1101" w:type="dxa"/>
          </w:tcPr>
          <w:p w14:paraId="40845684"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t>0070</w:t>
            </w:r>
          </w:p>
        </w:tc>
        <w:tc>
          <w:tcPr>
            <w:tcW w:w="8190" w:type="dxa"/>
          </w:tcPr>
          <w:p w14:paraId="2FF7ED81" w14:textId="77777777" w:rsidR="001B1411" w:rsidRPr="00DA7625" w:rsidRDefault="00B93FA1">
            <w:pPr>
              <w:spacing w:beforeLines="60" w:before="144" w:afterLines="60" w:after="144"/>
              <w:rPr>
                <w:rFonts w:ascii="Times New Roman" w:hAnsi="Times New Roman"/>
                <w:sz w:val="24"/>
              </w:rPr>
            </w:pPr>
            <w:r w:rsidRPr="00DA7625">
              <w:rPr>
                <w:rFonts w:ascii="Times New Roman" w:hAnsi="Times New Roman"/>
                <w:b/>
                <w:caps/>
                <w:sz w:val="24"/>
                <w:u w:val="single"/>
              </w:rPr>
              <w:t>Az „Egyéb” tételre vonatkozó megjegyzések</w:t>
            </w:r>
            <w:r w:rsidRPr="00DA7625">
              <w:rPr>
                <w:rFonts w:ascii="Times New Roman" w:hAnsi="Times New Roman"/>
                <w:sz w:val="24"/>
              </w:rPr>
              <w:t xml:space="preserve"> </w:t>
            </w:r>
          </w:p>
          <w:p w14:paraId="555F48C0" w14:textId="77777777" w:rsidR="001B1411" w:rsidRPr="00DA7625" w:rsidRDefault="00C11B8D">
            <w:pPr>
              <w:spacing w:beforeLines="60" w:before="144" w:afterLines="60" w:after="144"/>
              <w:rPr>
                <w:rFonts w:ascii="Times New Roman" w:hAnsi="Times New Roman"/>
                <w:b/>
                <w:caps/>
                <w:sz w:val="24"/>
                <w:u w:val="single"/>
              </w:rPr>
            </w:pPr>
            <w:r w:rsidRPr="00DA7625">
              <w:rPr>
                <w:rFonts w:ascii="Times New Roman" w:hAnsi="Times New Roman"/>
                <w:sz w:val="24"/>
              </w:rPr>
              <w:t>Meg kell adni a 0060. oszlopban feltüntetett pozíciók kizárásának fő okait.</w:t>
            </w:r>
          </w:p>
        </w:tc>
      </w:tr>
      <w:tr w:rsidR="001B1411" w:rsidRPr="00DA7625" w14:paraId="45292F56" w14:textId="77777777" w:rsidTr="00672D2A">
        <w:tc>
          <w:tcPr>
            <w:tcW w:w="1101" w:type="dxa"/>
          </w:tcPr>
          <w:p w14:paraId="40B987AC"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t>0080</w:t>
            </w:r>
          </w:p>
        </w:tc>
        <w:tc>
          <w:tcPr>
            <w:tcW w:w="8190" w:type="dxa"/>
          </w:tcPr>
          <w:p w14:paraId="2896A4F5" w14:textId="6816EC9D" w:rsidR="001B1411" w:rsidRPr="00DA7625" w:rsidRDefault="00B93FA1">
            <w:pPr>
              <w:spacing w:beforeLines="60" w:before="144" w:afterLines="60" w:after="144"/>
              <w:rPr>
                <w:rFonts w:ascii="Times New Roman" w:hAnsi="Times New Roman"/>
                <w:b/>
                <w:caps/>
                <w:sz w:val="24"/>
                <w:u w:val="single"/>
              </w:rPr>
            </w:pPr>
            <w:r w:rsidRPr="00DA7625">
              <w:rPr>
                <w:rFonts w:ascii="Times New Roman" w:hAnsi="Times New Roman"/>
                <w:b/>
                <w:caps/>
                <w:sz w:val="24"/>
                <w:u w:val="single"/>
              </w:rPr>
              <w:t>A 4. CIKK (1) BEKEZDÉSE SZERINTI KÜSZÖBÉRTÉKBE BELETARTOZÓ VALÓS ÉRTÉKEN ÉRTÉKELT ESZKÖZÖK ÉS KÖTELEZETTSÉGEK</w:t>
            </w:r>
          </w:p>
          <w:p w14:paraId="36430BD1" w14:textId="11843636" w:rsidR="001B1411" w:rsidRPr="00DA7625" w:rsidRDefault="00B93FA1">
            <w:pPr>
              <w:spacing w:beforeLines="60" w:before="144" w:afterLines="60" w:after="144"/>
              <w:rPr>
                <w:rFonts w:ascii="Times New Roman" w:hAnsi="Times New Roman"/>
                <w:b/>
                <w:caps/>
                <w:sz w:val="24"/>
                <w:u w:val="single"/>
              </w:rPr>
            </w:pPr>
            <w:r w:rsidRPr="00DA7625">
              <w:rPr>
                <w:rFonts w:ascii="Times New Roman" w:hAnsi="Times New Roman"/>
                <w:sz w:val="24"/>
              </w:rPr>
              <w:t>Az (EU) 2016/101 felhatalmazáson alapuló rendelet 4. cikke (1) bekezdésének megfelelően a küszöbérték számításába ténylegesen bevont valós értéken értékelt eszközök és kötelezettségek abszolút értéke.</w:t>
            </w:r>
          </w:p>
        </w:tc>
      </w:tr>
      <w:tr w:rsidR="001B1411" w:rsidRPr="00DA7625" w14:paraId="55F86639" w14:textId="77777777" w:rsidTr="00672D2A">
        <w:tc>
          <w:tcPr>
            <w:tcW w:w="1101" w:type="dxa"/>
          </w:tcPr>
          <w:p w14:paraId="5809CAFC"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t>0090</w:t>
            </w:r>
          </w:p>
        </w:tc>
        <w:tc>
          <w:tcPr>
            <w:tcW w:w="8190" w:type="dxa"/>
          </w:tcPr>
          <w:p w14:paraId="0ABD1019" w14:textId="77777777" w:rsidR="001B1411" w:rsidRPr="00DA7625" w:rsidRDefault="00B93FA1">
            <w:pPr>
              <w:spacing w:beforeLines="60" w:before="144" w:afterLines="60" w:after="144"/>
              <w:rPr>
                <w:rFonts w:ascii="Times New Roman" w:hAnsi="Times New Roman"/>
                <w:b/>
                <w:caps/>
                <w:sz w:val="24"/>
                <w:u w:val="single"/>
              </w:rPr>
            </w:pPr>
            <w:r w:rsidRPr="00DA7625">
              <w:rPr>
                <w:rFonts w:ascii="Times New Roman" w:hAnsi="Times New Roman"/>
                <w:b/>
                <w:caps/>
                <w:sz w:val="24"/>
                <w:u w:val="single"/>
              </w:rPr>
              <w:t>EBBŐL: kereskedési könyv</w:t>
            </w:r>
          </w:p>
          <w:p w14:paraId="121F4DCD" w14:textId="77777777" w:rsidR="001B1411" w:rsidRPr="00DA7625" w:rsidRDefault="00B93FA1">
            <w:pPr>
              <w:spacing w:beforeLines="60" w:before="144" w:afterLines="60" w:after="144"/>
              <w:rPr>
                <w:rFonts w:ascii="Times New Roman" w:hAnsi="Times New Roman"/>
                <w:b/>
                <w:caps/>
                <w:sz w:val="24"/>
                <w:u w:val="single"/>
              </w:rPr>
            </w:pPr>
            <w:r w:rsidRPr="00DA7625">
              <w:rPr>
                <w:rFonts w:ascii="Times New Roman" w:hAnsi="Times New Roman"/>
                <w:sz w:val="24"/>
              </w:rPr>
              <w:t>A valós értéken értékelt eszközök és kötelezettségek 0080. oszlopban feltüntetett abszolút értéke, a kereskedési könyvben lévő pozícióknak megfelelően.</w:t>
            </w:r>
          </w:p>
        </w:tc>
      </w:tr>
    </w:tbl>
    <w:p w14:paraId="35766DC0" w14:textId="77777777" w:rsidR="001B1411" w:rsidRPr="00DA7625" w:rsidRDefault="001B1411">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B1411" w:rsidRPr="00DA7625" w14:paraId="633F5FCB" w14:textId="77777777" w:rsidTr="00672D2A">
        <w:tc>
          <w:tcPr>
            <w:tcW w:w="9291" w:type="dxa"/>
            <w:gridSpan w:val="2"/>
            <w:shd w:val="clear" w:color="auto" w:fill="CCCCCC"/>
          </w:tcPr>
          <w:p w14:paraId="1B5D3ED0" w14:textId="77777777" w:rsidR="001B1411" w:rsidRPr="00DA7625" w:rsidRDefault="00B93FA1">
            <w:pPr>
              <w:spacing w:beforeLines="60" w:before="144" w:afterLines="60" w:after="144"/>
              <w:rPr>
                <w:rFonts w:ascii="Times New Roman" w:hAnsi="Times New Roman"/>
                <w:b/>
                <w:sz w:val="24"/>
              </w:rPr>
            </w:pPr>
            <w:r w:rsidRPr="00DA7625">
              <w:rPr>
                <w:rFonts w:ascii="Times New Roman" w:hAnsi="Times New Roman"/>
                <w:b/>
                <w:sz w:val="24"/>
              </w:rPr>
              <w:t>Sor</w:t>
            </w:r>
          </w:p>
        </w:tc>
      </w:tr>
      <w:tr w:rsidR="001B1411" w:rsidRPr="00DA7625" w14:paraId="25BA169B" w14:textId="77777777" w:rsidTr="00672D2A">
        <w:tc>
          <w:tcPr>
            <w:tcW w:w="1101" w:type="dxa"/>
          </w:tcPr>
          <w:p w14:paraId="114ACB5C"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t>0010–0210</w:t>
            </w:r>
          </w:p>
        </w:tc>
        <w:tc>
          <w:tcPr>
            <w:tcW w:w="8190" w:type="dxa"/>
          </w:tcPr>
          <w:p w14:paraId="7D684F60" w14:textId="77777777"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 xml:space="preserve">E kategóriák definícióinak illeszkedniük kell az 1.1. és 1.2. FINREP tábla megfelelő sorainak definícióihoz. </w:t>
            </w:r>
          </w:p>
        </w:tc>
      </w:tr>
      <w:tr w:rsidR="001B1411" w:rsidRPr="00DA7625" w14:paraId="2DA6A4C2" w14:textId="77777777" w:rsidTr="00672D2A">
        <w:tc>
          <w:tcPr>
            <w:tcW w:w="1101" w:type="dxa"/>
          </w:tcPr>
          <w:p w14:paraId="6F01EE2E"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lastRenderedPageBreak/>
              <w:t>0010</w:t>
            </w:r>
          </w:p>
        </w:tc>
        <w:tc>
          <w:tcPr>
            <w:tcW w:w="8190" w:type="dxa"/>
          </w:tcPr>
          <w:p w14:paraId="381B4B8E" w14:textId="77777777"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b/>
                <w:sz w:val="24"/>
                <w:u w:val="single"/>
              </w:rPr>
              <w:t>1. VALÓS ÉRTÉKEN ÉRTÉKELT ESZKÖZÖK ÉS KÖTELEZETTSÉGEK ÖSSZESEN</w:t>
            </w:r>
          </w:p>
          <w:p w14:paraId="0A2E4F58" w14:textId="77777777"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sz w:val="24"/>
              </w:rPr>
              <w:t>A 20–210. sorban feltüntetett valós értéken értékelt eszközök és kötelezettségek teljes összege.</w:t>
            </w:r>
          </w:p>
        </w:tc>
      </w:tr>
      <w:tr w:rsidR="001B1411" w:rsidRPr="00DA7625" w14:paraId="7BB10580" w14:textId="77777777" w:rsidTr="00672D2A">
        <w:tc>
          <w:tcPr>
            <w:tcW w:w="1101" w:type="dxa"/>
          </w:tcPr>
          <w:p w14:paraId="6D0B6C62"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t>0020</w:t>
            </w:r>
          </w:p>
        </w:tc>
        <w:tc>
          <w:tcPr>
            <w:tcW w:w="8190" w:type="dxa"/>
          </w:tcPr>
          <w:p w14:paraId="6A49D77F" w14:textId="77777777"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b/>
                <w:sz w:val="24"/>
                <w:u w:val="single"/>
              </w:rPr>
              <w:t>1.1 VALÓS ÉRTÉKEN ÉRTÉKELT ESZKÖZÖK ÖSSZESEN</w:t>
            </w:r>
          </w:p>
          <w:p w14:paraId="2DDD128E" w14:textId="77777777"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 xml:space="preserve">A 0030–0140. sorban feltüntetett valós értéken értékelt eszközök teljes összege. </w:t>
            </w:r>
          </w:p>
          <w:p w14:paraId="151DAF40" w14:textId="2D2D7DBF"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A 0030–0130. sorok releváns mezőit az e végrehajtási rendelet III. és IV. mellékletének FINREP F 01.01. táblájával összhangban kell kitölteni, az intézmény alkalmazandó standardjai függvényében:</w:t>
            </w:r>
          </w:p>
          <w:p w14:paraId="2ED8DFAD" w14:textId="453DDEDB" w:rsidR="001B1411" w:rsidRPr="00DA7625" w:rsidRDefault="00B93FA1">
            <w:pPr>
              <w:pStyle w:val="ListParagraph"/>
              <w:numPr>
                <w:ilvl w:val="0"/>
                <w:numId w:val="30"/>
              </w:numPr>
              <w:spacing w:beforeLines="60" w:before="144" w:afterLines="60" w:after="144"/>
              <w:rPr>
                <w:rFonts w:ascii="Times New Roman" w:hAnsi="Times New Roman"/>
                <w:sz w:val="24"/>
              </w:rPr>
            </w:pPr>
            <w:r w:rsidRPr="00DA7625">
              <w:rPr>
                <w:rFonts w:ascii="Times New Roman" w:hAnsi="Times New Roman"/>
                <w:sz w:val="24"/>
              </w:rPr>
              <w:t>Az 1606/2002/EK európai parlamenti és tanácsi rendelet alkalmazásában az Unió által jóváhagyott IFRS („EU IFRS”)</w:t>
            </w:r>
            <w:r w:rsidRPr="00DA7625">
              <w:rPr>
                <w:rStyle w:val="FootnoteReference"/>
                <w:rFonts w:ascii="Times New Roman" w:hAnsi="Times New Roman"/>
                <w:sz w:val="24"/>
                <w:szCs w:val="24"/>
                <w:vertAlign w:val="superscript"/>
              </w:rPr>
              <w:footnoteReference w:id="18"/>
            </w:r>
            <w:r w:rsidRPr="00DA7625">
              <w:rPr>
                <w:rFonts w:ascii="Times New Roman" w:hAnsi="Times New Roman"/>
                <w:sz w:val="24"/>
              </w:rPr>
              <w:t>;</w:t>
            </w:r>
          </w:p>
          <w:p w14:paraId="5109B6E1" w14:textId="719B428F" w:rsidR="001B1411" w:rsidRPr="00DA7625" w:rsidRDefault="00B93FA1">
            <w:pPr>
              <w:pStyle w:val="ListParagraph"/>
              <w:numPr>
                <w:ilvl w:val="0"/>
                <w:numId w:val="30"/>
              </w:numPr>
              <w:spacing w:beforeLines="60" w:before="144" w:afterLines="60" w:after="144"/>
              <w:rPr>
                <w:rFonts w:ascii="Times New Roman" w:hAnsi="Times New Roman"/>
                <w:sz w:val="24"/>
              </w:rPr>
            </w:pPr>
            <w:r w:rsidRPr="00DA7625">
              <w:rPr>
                <w:rFonts w:ascii="Times New Roman" w:hAnsi="Times New Roman"/>
                <w:sz w:val="24"/>
              </w:rPr>
              <w:t>az EU IFRS standardokkal kompatibilis nemzeti számviteli standardok („IFRS-kompatibilis nemzeti GAAP”); vagy</w:t>
            </w:r>
          </w:p>
          <w:p w14:paraId="7CB9B711" w14:textId="6C556155" w:rsidR="001B1411" w:rsidRPr="00DA7625" w:rsidRDefault="00B93FA1">
            <w:pPr>
              <w:pStyle w:val="ListParagraph"/>
              <w:numPr>
                <w:ilvl w:val="0"/>
                <w:numId w:val="30"/>
              </w:numPr>
              <w:spacing w:beforeLines="60" w:before="144" w:afterLines="60" w:after="144"/>
              <w:rPr>
                <w:rFonts w:ascii="Times New Roman" w:hAnsi="Times New Roman"/>
                <w:sz w:val="24"/>
              </w:rPr>
            </w:pPr>
            <w:r w:rsidRPr="00DA7625">
              <w:rPr>
                <w:rFonts w:ascii="Times New Roman" w:hAnsi="Times New Roman"/>
                <w:sz w:val="24"/>
              </w:rPr>
              <w:t>a BAD irányelven alapuló nemzeti GAAP (FINREP „BAD alapján kidolgozott nemzeti GAAP”).</w:t>
            </w:r>
          </w:p>
        </w:tc>
      </w:tr>
      <w:tr w:rsidR="001B1411" w:rsidRPr="00DA7625" w14:paraId="052A7C17" w14:textId="77777777" w:rsidTr="00672D2A">
        <w:tc>
          <w:tcPr>
            <w:tcW w:w="1101" w:type="dxa"/>
          </w:tcPr>
          <w:p w14:paraId="512D094B"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t>0030</w:t>
            </w:r>
          </w:p>
        </w:tc>
        <w:tc>
          <w:tcPr>
            <w:tcW w:w="8190" w:type="dxa"/>
          </w:tcPr>
          <w:p w14:paraId="47CA5D95" w14:textId="77777777"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b/>
                <w:sz w:val="24"/>
                <w:u w:val="single"/>
              </w:rPr>
              <w:t>1.1.1 KERESKEDÉSI CÉLLAL TARTOTT PÉNZÜGYI ESZKÖZÖK</w:t>
            </w:r>
          </w:p>
          <w:p w14:paraId="39750714" w14:textId="77777777"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IFRS 9 A. függelék.</w:t>
            </w:r>
          </w:p>
          <w:p w14:paraId="599D5DF6" w14:textId="77777777"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Az ebben a sorban feltüntetett információ megfelel az e végrehajtási rendelet III. és IV. melléklete F 01.01. táblája 050. sorának.</w:t>
            </w:r>
          </w:p>
        </w:tc>
      </w:tr>
      <w:tr w:rsidR="001B1411" w:rsidRPr="00DA7625" w14:paraId="66E93237" w14:textId="77777777" w:rsidTr="00672D2A">
        <w:tc>
          <w:tcPr>
            <w:tcW w:w="1101" w:type="dxa"/>
          </w:tcPr>
          <w:p w14:paraId="49E72A0A"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t>0040</w:t>
            </w:r>
          </w:p>
        </w:tc>
        <w:tc>
          <w:tcPr>
            <w:tcW w:w="8190" w:type="dxa"/>
          </w:tcPr>
          <w:p w14:paraId="44449780" w14:textId="77777777"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b/>
                <w:sz w:val="24"/>
                <w:u w:val="single"/>
              </w:rPr>
              <w:t>1.1.2. KERESKEDÉSI CÉLÚ PÉNZÜGYI ESZKÖZÖK</w:t>
            </w:r>
          </w:p>
          <w:p w14:paraId="1674E97C" w14:textId="426FE2DA" w:rsidR="001B1411" w:rsidRPr="00DA7625" w:rsidRDefault="002F78EA">
            <w:pPr>
              <w:spacing w:beforeLines="60" w:before="144" w:afterLines="60" w:after="144"/>
              <w:rPr>
                <w:rFonts w:ascii="Times New Roman" w:hAnsi="Times New Roman"/>
                <w:sz w:val="24"/>
              </w:rPr>
            </w:pPr>
            <w:r w:rsidRPr="00DA7625">
              <w:rPr>
                <w:rFonts w:ascii="Times New Roman" w:hAnsi="Times New Roman"/>
                <w:sz w:val="24"/>
              </w:rPr>
              <w:t>A BAD 32. és 33. cikke; E</w:t>
            </w:r>
            <w:r w:rsidRPr="00DA7625">
              <w:rPr>
                <w:rFonts w:ascii="Times New Roman" w:hAnsi="Times New Roman"/>
                <w:bCs/>
                <w:sz w:val="24"/>
              </w:rPr>
              <w:t xml:space="preserve"> végrehajtási rendelet V. mellékletének 1.17. része</w:t>
            </w:r>
            <w:r w:rsidRPr="00DA7625">
              <w:rPr>
                <w:rFonts w:ascii="Times New Roman" w:hAnsi="Times New Roman"/>
                <w:sz w:val="24"/>
              </w:rPr>
              <w:t xml:space="preserve"> </w:t>
            </w:r>
          </w:p>
          <w:p w14:paraId="1E2E07AD" w14:textId="595E8CD3"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sz w:val="24"/>
              </w:rPr>
              <w:t>Az ebben a sorban feltüntetett információ megfelel az e végrehajtási rendelet III. és IV. melléklete F 01.01. táblája 091. sorának.</w:t>
            </w:r>
          </w:p>
        </w:tc>
      </w:tr>
      <w:tr w:rsidR="001B1411" w:rsidRPr="00DA7625" w14:paraId="6934103C" w14:textId="77777777" w:rsidTr="00672D2A">
        <w:tc>
          <w:tcPr>
            <w:tcW w:w="1101" w:type="dxa"/>
          </w:tcPr>
          <w:p w14:paraId="1B3854EE"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t>0050</w:t>
            </w:r>
          </w:p>
        </w:tc>
        <w:tc>
          <w:tcPr>
            <w:tcW w:w="8190" w:type="dxa"/>
          </w:tcPr>
          <w:p w14:paraId="5B1EE5FB" w14:textId="77777777"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b/>
                <w:sz w:val="24"/>
                <w:u w:val="single"/>
              </w:rPr>
              <w:t xml:space="preserve">1.1.3 KÖTELEZŐEN AZ EREDMÉNNYEL SZEMBEN VALÓS ÉRTÉKEN ÉRTÉKELT, NEM KERESKEDÉSI CÉLÚ PÉNZÜGYI ESZKÖZÖK </w:t>
            </w:r>
          </w:p>
          <w:p w14:paraId="4B69BEE0" w14:textId="77777777"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 xml:space="preserve">IFRS 7 8. bekezdésének a) ii. pontja; IFRS 9 4.1.4. bekezdése. </w:t>
            </w:r>
          </w:p>
          <w:p w14:paraId="32CC7869" w14:textId="1B4D6D5F"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sz w:val="24"/>
              </w:rPr>
              <w:t>Az ebben a sorban feltüntetett információ megfelel az e végrehajtási rendelet III. és IV. melléklete F 01.01. táblája 096. sorának.</w:t>
            </w:r>
          </w:p>
        </w:tc>
      </w:tr>
      <w:tr w:rsidR="001B1411" w:rsidRPr="00DA7625" w14:paraId="0B21D573" w14:textId="77777777" w:rsidTr="00672D2A">
        <w:tc>
          <w:tcPr>
            <w:tcW w:w="1101" w:type="dxa"/>
          </w:tcPr>
          <w:p w14:paraId="0D5FC191"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t>0060</w:t>
            </w:r>
          </w:p>
        </w:tc>
        <w:tc>
          <w:tcPr>
            <w:tcW w:w="8190" w:type="dxa"/>
          </w:tcPr>
          <w:p w14:paraId="2D917D24" w14:textId="77777777"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b/>
                <w:sz w:val="24"/>
                <w:u w:val="single"/>
              </w:rPr>
              <w:t>1.1.4 AZ EREDMÉNNYEL SZEMBEN VALÓS ÉRTÉKEN ÉRTÉKELTNEK MEGJELÖLT PÉNZÜGYI ESZKÖZÖK</w:t>
            </w:r>
          </w:p>
          <w:p w14:paraId="417AA106" w14:textId="1B845562"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IFRS 7 8. bekezdésének a) i. pontja; IFRS 9 4.1.5. bekezdése; az AD 8. cikke (1) bekezdésének a) pontja, valamint 8. cikkének (6) bekezdése</w:t>
            </w:r>
          </w:p>
          <w:p w14:paraId="18803FF2" w14:textId="3ECC4A12"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lastRenderedPageBreak/>
              <w:t>Az ebben a sorban feltüntetett információ megfelel az e végrehajtási rendelet III. és IV. melléklete F 01.01. táblája 100. sorának.</w:t>
            </w:r>
          </w:p>
        </w:tc>
      </w:tr>
      <w:tr w:rsidR="001B1411" w:rsidRPr="00DA7625" w14:paraId="31AF53C2" w14:textId="77777777" w:rsidTr="00672D2A">
        <w:tc>
          <w:tcPr>
            <w:tcW w:w="1101" w:type="dxa"/>
          </w:tcPr>
          <w:p w14:paraId="2C064889"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lastRenderedPageBreak/>
              <w:t>0070</w:t>
            </w:r>
          </w:p>
        </w:tc>
        <w:tc>
          <w:tcPr>
            <w:tcW w:w="8190" w:type="dxa"/>
          </w:tcPr>
          <w:p w14:paraId="08198C9C" w14:textId="77777777"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b/>
                <w:sz w:val="24"/>
                <w:u w:val="single"/>
              </w:rPr>
              <w:t>1.1.5</w:t>
            </w:r>
            <w:r w:rsidRPr="00DA7625">
              <w:rPr>
                <w:sz w:val="24"/>
              </w:rPr>
              <w:t xml:space="preserve"> </w:t>
            </w:r>
            <w:r w:rsidRPr="00DA7625">
              <w:rPr>
                <w:rFonts w:ascii="Times New Roman" w:hAnsi="Times New Roman"/>
                <w:b/>
                <w:sz w:val="24"/>
                <w:u w:val="single"/>
              </w:rPr>
              <w:t>AZ EGYÉB ÁTFOGÓ JÖVEDELEMMEL SZEMBEN VALÓS ÉRTÉKEN ÉRTÉKELT PÉNZÜGYI ESZKÖZÖK</w:t>
            </w:r>
          </w:p>
          <w:p w14:paraId="5733F22B" w14:textId="77777777"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IFRS 7 8. bekezdésének h) pontja; IFRS 9 4.1.2A. bekezdése.</w:t>
            </w:r>
          </w:p>
          <w:p w14:paraId="7EDE4FFB" w14:textId="77777777"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Az ebben a sorban feltüntetett információ megfelel az e végrehajtási rendelet III. és IV. melléklete F 01.01. táblája 141. sorának.</w:t>
            </w:r>
          </w:p>
        </w:tc>
      </w:tr>
      <w:tr w:rsidR="001B1411" w:rsidRPr="00DA7625" w14:paraId="1BF5D773" w14:textId="77777777" w:rsidTr="00672D2A">
        <w:tc>
          <w:tcPr>
            <w:tcW w:w="1101" w:type="dxa"/>
          </w:tcPr>
          <w:p w14:paraId="2E2D11D2"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t>0080</w:t>
            </w:r>
          </w:p>
        </w:tc>
        <w:tc>
          <w:tcPr>
            <w:tcW w:w="8190" w:type="dxa"/>
          </w:tcPr>
          <w:p w14:paraId="12115EB0" w14:textId="77777777"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b/>
                <w:sz w:val="24"/>
                <w:u w:val="single"/>
              </w:rPr>
              <w:t>1.1.6 EREDMÉNNYEL SZEMBEN VALÓS ÉRTÉKEN ÉRTÉKELT, NEM KERESKEDÉSI CÉLÚ, NEM SZÁRMAZTATOTT PÉNZÜGYI ESZKÖZÖK</w:t>
            </w:r>
          </w:p>
          <w:p w14:paraId="69F2A020" w14:textId="7C029408" w:rsidR="001B1411" w:rsidRPr="00DA7625" w:rsidRDefault="002F78EA">
            <w:pPr>
              <w:spacing w:beforeLines="60" w:before="144" w:afterLines="60" w:after="144"/>
              <w:rPr>
                <w:rFonts w:ascii="Times New Roman" w:hAnsi="Times New Roman"/>
                <w:b/>
                <w:sz w:val="24"/>
                <w:u w:val="single"/>
              </w:rPr>
            </w:pPr>
            <w:r w:rsidRPr="00DA7625">
              <w:rPr>
                <w:rFonts w:ascii="Times New Roman" w:hAnsi="Times New Roman"/>
                <w:sz w:val="24"/>
              </w:rPr>
              <w:t>A BAD 36. cikkének (2) bekezdése. Az ebben a sorban feltüntetett információ megfelel az e végrehajtási rendelet III. és IV. melléklete F 01.01. táblája 171. sorának.</w:t>
            </w:r>
          </w:p>
        </w:tc>
      </w:tr>
      <w:tr w:rsidR="001B1411" w:rsidRPr="00DA7625" w14:paraId="0AA7E1B9" w14:textId="77777777" w:rsidTr="00672D2A">
        <w:tc>
          <w:tcPr>
            <w:tcW w:w="1101" w:type="dxa"/>
          </w:tcPr>
          <w:p w14:paraId="415718DD"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t>0090</w:t>
            </w:r>
          </w:p>
        </w:tc>
        <w:tc>
          <w:tcPr>
            <w:tcW w:w="8190" w:type="dxa"/>
          </w:tcPr>
          <w:p w14:paraId="4561B811" w14:textId="77777777"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b/>
                <w:sz w:val="24"/>
                <w:u w:val="single"/>
              </w:rPr>
              <w:t>1.1.7 A SAJÁT TŐKÉVEL SZEMBEN VALÓS ÉRTÉKEN ÉRTÉKELT, NEM KERESKEDÉSI CÉLÚ, NEM SZÁRMAZTATOTT PÉNZÜGYI ESZKÖZÖK</w:t>
            </w:r>
          </w:p>
          <w:p w14:paraId="50DF3F96" w14:textId="3319C25E" w:rsidR="001B1411" w:rsidRPr="00DA7625" w:rsidRDefault="002F78EA">
            <w:pPr>
              <w:spacing w:beforeLines="60" w:before="144" w:afterLines="60" w:after="144"/>
              <w:rPr>
                <w:rFonts w:ascii="Times New Roman" w:hAnsi="Times New Roman"/>
                <w:sz w:val="24"/>
              </w:rPr>
            </w:pPr>
            <w:r w:rsidRPr="00DA7625">
              <w:rPr>
                <w:rFonts w:ascii="Times New Roman" w:hAnsi="Times New Roman"/>
                <w:sz w:val="24"/>
              </w:rPr>
              <w:t xml:space="preserve">Az AD 8. cikke (1) bekezdésének a) pontja és 8. cikkének (8) bekezdése </w:t>
            </w:r>
          </w:p>
          <w:p w14:paraId="1F974E69" w14:textId="7E4253CE"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sz w:val="24"/>
              </w:rPr>
              <w:t>Az ebben a sorban feltüntetett információ megfelel az e végrehajtási rendelet III. és IV. melléklete F 01.01. táblája 175. sorának.</w:t>
            </w:r>
          </w:p>
        </w:tc>
      </w:tr>
      <w:tr w:rsidR="001B1411" w:rsidRPr="00DA7625" w14:paraId="2EACAF1F" w14:textId="77777777" w:rsidTr="00672D2A">
        <w:tc>
          <w:tcPr>
            <w:tcW w:w="1101" w:type="dxa"/>
          </w:tcPr>
          <w:p w14:paraId="658B25EF"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t>0100</w:t>
            </w:r>
          </w:p>
        </w:tc>
        <w:tc>
          <w:tcPr>
            <w:tcW w:w="8190" w:type="dxa"/>
          </w:tcPr>
          <w:p w14:paraId="263B36B7" w14:textId="77777777"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b/>
                <w:sz w:val="24"/>
                <w:u w:val="single"/>
              </w:rPr>
              <w:t>1.1.8 EGYÉB NEM KERESKEDÉSI CÉLÚ, NEM SZÁRMAZTATOTT PÉNZÜGYI ESZKÖZÖK</w:t>
            </w:r>
          </w:p>
          <w:p w14:paraId="48AECBBE" w14:textId="602172F8" w:rsidR="001B1411" w:rsidRPr="00DA7625" w:rsidRDefault="002F78EA">
            <w:pPr>
              <w:spacing w:beforeLines="60" w:before="144" w:afterLines="60" w:after="144"/>
              <w:rPr>
                <w:rFonts w:ascii="Times New Roman" w:hAnsi="Times New Roman"/>
                <w:sz w:val="24"/>
              </w:rPr>
            </w:pPr>
            <w:r w:rsidRPr="00DA7625">
              <w:rPr>
                <w:rFonts w:ascii="Times New Roman" w:hAnsi="Times New Roman"/>
                <w:sz w:val="24"/>
              </w:rPr>
              <w:t xml:space="preserve">A BAD 37. cikke; Az AD 12. cikkének (7) bekezdése; </w:t>
            </w:r>
            <w:r w:rsidRPr="00DA7625">
              <w:rPr>
                <w:rFonts w:ascii="Times New Roman" w:hAnsi="Times New Roman"/>
                <w:bCs/>
                <w:sz w:val="24"/>
              </w:rPr>
              <w:t>E végrehajtási rendelet V. mellékletének 1.20. része</w:t>
            </w:r>
          </w:p>
          <w:p w14:paraId="74CB19E0" w14:textId="25F1B0B1"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sz w:val="24"/>
              </w:rPr>
              <w:t>Az ebben a sorban feltüntetett információ megfelel az e végrehajtási rendelet III. és IV. melléklete F 01.01. táblája 234. sorának.</w:t>
            </w:r>
          </w:p>
        </w:tc>
      </w:tr>
      <w:tr w:rsidR="001B1411" w:rsidRPr="00DA7625" w14:paraId="6E497EB9" w14:textId="77777777" w:rsidTr="00672D2A">
        <w:tc>
          <w:tcPr>
            <w:tcW w:w="1101" w:type="dxa"/>
          </w:tcPr>
          <w:p w14:paraId="31C6FEC5"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t>0110</w:t>
            </w:r>
          </w:p>
        </w:tc>
        <w:tc>
          <w:tcPr>
            <w:tcW w:w="8190" w:type="dxa"/>
          </w:tcPr>
          <w:p w14:paraId="3A28A27C" w14:textId="77777777"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b/>
                <w:sz w:val="24"/>
                <w:u w:val="single"/>
              </w:rPr>
              <w:t>1.1.9 SZÁRMAZTATOTT ÜGYLETEK – FEDEZETI ELSZÁMOLÁSOK</w:t>
            </w:r>
          </w:p>
          <w:p w14:paraId="43EE3D7F" w14:textId="381E6EF8"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 xml:space="preserve">IFRS 9 6.2.1. bekezdése; </w:t>
            </w:r>
            <w:r w:rsidRPr="00DA7625">
              <w:rPr>
                <w:rFonts w:ascii="Times New Roman" w:hAnsi="Times New Roman"/>
                <w:bCs/>
                <w:sz w:val="24"/>
              </w:rPr>
              <w:t>E végrehajtási rendelet V. mellékletének 1.22. része</w:t>
            </w:r>
            <w:r w:rsidRPr="00DA7625">
              <w:rPr>
                <w:rFonts w:ascii="Times New Roman" w:hAnsi="Times New Roman"/>
                <w:sz w:val="24"/>
              </w:rPr>
              <w:t>; az AD 8. cikke (1) bekezdésének a) pontja, valamint 8. cikkének (6) és (8) bekezdése; IAS 39 9. bekezdése</w:t>
            </w:r>
          </w:p>
          <w:p w14:paraId="25BA11CC" w14:textId="0293F8AA"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Az ebben a sorban feltüntetett információ megfelel az e végrehajtási rendelet III. és IV. melléklete F 01.01. táblája 240. sorának.</w:t>
            </w:r>
          </w:p>
        </w:tc>
      </w:tr>
      <w:tr w:rsidR="001B1411" w:rsidRPr="00DA7625" w14:paraId="302B88CB" w14:textId="77777777" w:rsidTr="00672D2A">
        <w:tc>
          <w:tcPr>
            <w:tcW w:w="1101" w:type="dxa"/>
          </w:tcPr>
          <w:p w14:paraId="148F6137" w14:textId="77777777" w:rsidR="001B1411" w:rsidRPr="00DA7625" w:rsidDel="006529A1" w:rsidRDefault="001924F4">
            <w:pPr>
              <w:spacing w:beforeLines="60" w:before="144" w:afterLines="60" w:after="144"/>
              <w:rPr>
                <w:rFonts w:ascii="Times New Roman" w:hAnsi="Times New Roman"/>
                <w:sz w:val="24"/>
              </w:rPr>
            </w:pPr>
            <w:r w:rsidRPr="00DA7625">
              <w:rPr>
                <w:rFonts w:ascii="Times New Roman" w:hAnsi="Times New Roman"/>
                <w:sz w:val="24"/>
              </w:rPr>
              <w:t>0120</w:t>
            </w:r>
          </w:p>
        </w:tc>
        <w:tc>
          <w:tcPr>
            <w:tcW w:w="8190" w:type="dxa"/>
          </w:tcPr>
          <w:p w14:paraId="5B9144EF" w14:textId="77777777"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b/>
                <w:sz w:val="24"/>
                <w:u w:val="single"/>
              </w:rPr>
              <w:t>1.1.10 KAMATLÁBKOCKÁZATRA VONATKOZÓ PORTFÓLIÓFEDEZETI ÜGYLET SORÁN FEDEZETT TÉTELEK VALÓS ÉRTÉKÉNEK VÁLTOZÁSA</w:t>
            </w:r>
          </w:p>
          <w:p w14:paraId="16ED7EF0" w14:textId="1C54C712"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sz w:val="24"/>
              </w:rPr>
              <w:t>IAS 39 89A. bekezdésének a) pontja; IFRS 9 6.5.8. bekezdése; Az AD 8. cikkének (5) és (6) bekezdése. Az ebben a sorban feltüntetett információ megfelel az e végrehajtási rendelet III. és IV. melléklete F 01.01. táblája 250. sorának.</w:t>
            </w:r>
          </w:p>
        </w:tc>
      </w:tr>
      <w:tr w:rsidR="001B1411" w:rsidRPr="00DA7625" w14:paraId="2A7C4243" w14:textId="77777777" w:rsidTr="00672D2A">
        <w:tc>
          <w:tcPr>
            <w:tcW w:w="1101" w:type="dxa"/>
          </w:tcPr>
          <w:p w14:paraId="112B91CA"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lastRenderedPageBreak/>
              <w:t>0130</w:t>
            </w:r>
          </w:p>
        </w:tc>
        <w:tc>
          <w:tcPr>
            <w:tcW w:w="8190" w:type="dxa"/>
          </w:tcPr>
          <w:p w14:paraId="4F84B525" w14:textId="77777777"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b/>
                <w:sz w:val="24"/>
                <w:u w:val="single"/>
              </w:rPr>
              <w:t>1.1.11 LEÁNYVÁLLALATOKBAN, KÖZÖS VÁLLALKOZÁSOKBAN ÉS TÁRSULT VÁLLALKOZÁSOKBAN LÉVŐ BEFEKTETÉSEK</w:t>
            </w:r>
          </w:p>
          <w:p w14:paraId="31262036" w14:textId="1B99D20D"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 xml:space="preserve">IAS 1 54. bekezdésének e) pontja; </w:t>
            </w:r>
            <w:r w:rsidRPr="00DA7625">
              <w:rPr>
                <w:rFonts w:ascii="Times New Roman" w:hAnsi="Times New Roman"/>
                <w:bCs/>
                <w:sz w:val="24"/>
              </w:rPr>
              <w:t>E végrehajtási rendelet V. mellékletének 1.21. és 2.4. része</w:t>
            </w:r>
            <w:r w:rsidRPr="00DA7625">
              <w:rPr>
                <w:rFonts w:ascii="Times New Roman" w:hAnsi="Times New Roman"/>
                <w:sz w:val="24"/>
              </w:rPr>
              <w:t>; a BAD 4. cikkének 7. és 8. pontja; az AD 2. cikkének (2) bekezdése</w:t>
            </w:r>
          </w:p>
          <w:p w14:paraId="1EAE944E" w14:textId="771C09BF"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sz w:val="24"/>
              </w:rPr>
              <w:t>Az ebben a sorban feltüntetett információ megfelel az e végrehajtási rendelet III. és IV. melléklete F 01.01. táblája 260. sorának.</w:t>
            </w:r>
          </w:p>
        </w:tc>
      </w:tr>
      <w:tr w:rsidR="001B1411" w:rsidRPr="00DA7625" w14:paraId="7078A652" w14:textId="77777777" w:rsidTr="00672D2A">
        <w:tc>
          <w:tcPr>
            <w:tcW w:w="1101" w:type="dxa"/>
          </w:tcPr>
          <w:p w14:paraId="7C06DA94"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t>0140</w:t>
            </w:r>
          </w:p>
        </w:tc>
        <w:tc>
          <w:tcPr>
            <w:tcW w:w="8190" w:type="dxa"/>
          </w:tcPr>
          <w:p w14:paraId="2DFC6298" w14:textId="77777777"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b/>
                <w:sz w:val="24"/>
                <w:u w:val="single"/>
              </w:rPr>
              <w:t>1.1.12 (–) VALÓS ÉRTÉKEN ÉRTÉKELT, KERESKEDÉSI CÉLÚ ESZKÖZÖKRE VONATKOZÓ HAIRCUTOK</w:t>
            </w:r>
          </w:p>
          <w:p w14:paraId="465F1A64" w14:textId="09AEDA1A" w:rsidR="001B1411" w:rsidRPr="00DA7625" w:rsidRDefault="002F78EA">
            <w:pPr>
              <w:spacing w:beforeLines="60" w:before="144" w:afterLines="60" w:after="144"/>
              <w:rPr>
                <w:rFonts w:ascii="Times New Roman" w:hAnsi="Times New Roman"/>
                <w:sz w:val="24"/>
              </w:rPr>
            </w:pPr>
            <w:r w:rsidRPr="00DA7625">
              <w:rPr>
                <w:rFonts w:ascii="Times New Roman" w:hAnsi="Times New Roman"/>
                <w:bCs/>
                <w:sz w:val="24"/>
              </w:rPr>
              <w:t>E végrehajtási rendelet V. mellékletének 1.29. része</w:t>
            </w:r>
          </w:p>
          <w:p w14:paraId="49843882" w14:textId="13F1D8B6"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sz w:val="24"/>
              </w:rPr>
              <w:t>Az ebben a sorban feltüntetett információ megfelel az e végrehajtási rendelet III. és IV. melléklete F 01.01. táblája 375. sorának.</w:t>
            </w:r>
          </w:p>
        </w:tc>
      </w:tr>
      <w:tr w:rsidR="001B1411" w:rsidRPr="00DA7625" w14:paraId="0F04ACD5" w14:textId="77777777" w:rsidTr="00672D2A">
        <w:tc>
          <w:tcPr>
            <w:tcW w:w="1101" w:type="dxa"/>
          </w:tcPr>
          <w:p w14:paraId="5F91827C"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t>0150</w:t>
            </w:r>
          </w:p>
        </w:tc>
        <w:tc>
          <w:tcPr>
            <w:tcW w:w="8190" w:type="dxa"/>
          </w:tcPr>
          <w:p w14:paraId="6C47C20F" w14:textId="77777777"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b/>
                <w:sz w:val="24"/>
                <w:u w:val="single"/>
              </w:rPr>
              <w:t xml:space="preserve">1.2 VALÓS ÉRTÉKEN ÉRTÉKELT KÖTELEZETTSÉGEK ÖSSZESEN  </w:t>
            </w:r>
          </w:p>
          <w:p w14:paraId="17ECB2B0" w14:textId="77777777"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A 0160–0210. sorban feltüntetett valós értéken értékelt kötelezettségek teljes összege.</w:t>
            </w:r>
          </w:p>
          <w:p w14:paraId="6E8FB984" w14:textId="4013799C"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 xml:space="preserve">A 0150–0190. sorok releváns mezőit az e végrehajtási rendelet III. és IV. mellékletének FINREP F 01.02. táblájával összhangban kell kitölteni, az intézmény alkalmazandó standardjai függvényében: </w:t>
            </w:r>
          </w:p>
          <w:p w14:paraId="1ACCE3E8" w14:textId="462D380D" w:rsidR="001B1411" w:rsidRPr="00DA7625" w:rsidRDefault="00B93FA1">
            <w:pPr>
              <w:pStyle w:val="ListParagraph"/>
              <w:numPr>
                <w:ilvl w:val="0"/>
                <w:numId w:val="30"/>
              </w:numPr>
              <w:spacing w:beforeLines="60" w:before="144" w:afterLines="60" w:after="144"/>
              <w:rPr>
                <w:rFonts w:ascii="Times New Roman" w:hAnsi="Times New Roman"/>
                <w:sz w:val="24"/>
              </w:rPr>
            </w:pPr>
            <w:r w:rsidRPr="00DA7625">
              <w:rPr>
                <w:rFonts w:ascii="Times New Roman" w:hAnsi="Times New Roman"/>
                <w:sz w:val="24"/>
              </w:rPr>
              <w:t>az 1606/2002/EK rendelet alkalmazásában az Unió által jóváhagyott IFRS („EU IFRS”)</w:t>
            </w:r>
          </w:p>
          <w:p w14:paraId="415004F0" w14:textId="77777777" w:rsidR="001B1411" w:rsidRPr="00DA7625" w:rsidRDefault="00B93FA1">
            <w:pPr>
              <w:pStyle w:val="ListParagraph"/>
              <w:numPr>
                <w:ilvl w:val="0"/>
                <w:numId w:val="30"/>
              </w:numPr>
              <w:spacing w:beforeLines="60" w:before="144" w:afterLines="60" w:after="144"/>
              <w:rPr>
                <w:rFonts w:ascii="Times New Roman" w:hAnsi="Times New Roman"/>
                <w:sz w:val="24"/>
              </w:rPr>
            </w:pPr>
            <w:r w:rsidRPr="00DA7625">
              <w:rPr>
                <w:rFonts w:ascii="Times New Roman" w:hAnsi="Times New Roman"/>
                <w:sz w:val="24"/>
              </w:rPr>
              <w:t xml:space="preserve">az EU IFRS standardokkal kompatibilis nemzeti számviteli standardok („IFRS-kompatibilis nemzeti GAAP”) </w:t>
            </w:r>
          </w:p>
          <w:p w14:paraId="35DA33DE" w14:textId="4FCC3785" w:rsidR="001B1411" w:rsidRPr="00DA7625" w:rsidRDefault="00B93FA1">
            <w:pPr>
              <w:pStyle w:val="ListParagraph"/>
              <w:numPr>
                <w:ilvl w:val="0"/>
                <w:numId w:val="30"/>
              </w:numPr>
              <w:spacing w:beforeLines="60" w:before="144" w:afterLines="60" w:after="144"/>
              <w:rPr>
                <w:rFonts w:ascii="Times New Roman" w:hAnsi="Times New Roman"/>
                <w:sz w:val="24"/>
              </w:rPr>
            </w:pPr>
            <w:r w:rsidRPr="00DA7625">
              <w:rPr>
                <w:rFonts w:ascii="Times New Roman" w:hAnsi="Times New Roman"/>
                <w:sz w:val="24"/>
              </w:rPr>
              <w:t>vagy a BAD irányelven alapuló nemzeti GAAP (FINREP „BAD alapján kidolgozott nemzeti GAAP”).</w:t>
            </w:r>
          </w:p>
        </w:tc>
      </w:tr>
      <w:tr w:rsidR="001B1411" w:rsidRPr="00DA7625" w14:paraId="1D4C9290" w14:textId="77777777" w:rsidTr="00672D2A">
        <w:tc>
          <w:tcPr>
            <w:tcW w:w="1101" w:type="dxa"/>
          </w:tcPr>
          <w:p w14:paraId="41673169"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t>0160</w:t>
            </w:r>
          </w:p>
        </w:tc>
        <w:tc>
          <w:tcPr>
            <w:tcW w:w="8190" w:type="dxa"/>
          </w:tcPr>
          <w:p w14:paraId="2EDF4E4E" w14:textId="77777777"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b/>
                <w:sz w:val="24"/>
                <w:u w:val="single"/>
              </w:rPr>
              <w:t>1.2.1 KERESKEDÉSI CÉLLAL TARTOTT PÉNZÜGYI ESZKÖZÖK</w:t>
            </w:r>
          </w:p>
          <w:p w14:paraId="47CBD2EA" w14:textId="77777777"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IFRS 7 8. bekezdésének e) ii. pontja; IFRS 9 BA.6 bekezdése.</w:t>
            </w:r>
          </w:p>
          <w:p w14:paraId="716726E8" w14:textId="687AB943"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Az ebben a sorban feltüntetett információ megfelel az e végrehajtási rendelet III. és IV. melléklete F 01.02. táblája 010. sorának.</w:t>
            </w:r>
          </w:p>
        </w:tc>
      </w:tr>
      <w:tr w:rsidR="001B1411" w:rsidRPr="00DA7625" w14:paraId="0D80E4B6" w14:textId="77777777" w:rsidTr="00672D2A">
        <w:tc>
          <w:tcPr>
            <w:tcW w:w="1101" w:type="dxa"/>
          </w:tcPr>
          <w:p w14:paraId="1D9F5098"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t>0170</w:t>
            </w:r>
          </w:p>
        </w:tc>
        <w:tc>
          <w:tcPr>
            <w:tcW w:w="8190" w:type="dxa"/>
          </w:tcPr>
          <w:p w14:paraId="03E38621" w14:textId="77777777"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b/>
                <w:sz w:val="24"/>
                <w:u w:val="single"/>
              </w:rPr>
              <w:t>1.2.2. KERESKEDÉSI CÉLÚ PÉNZÜGYI KÖTELEZETTSÉGEK</w:t>
            </w:r>
          </w:p>
          <w:p w14:paraId="4A9D4839" w14:textId="4FA8F09E" w:rsidR="001B1411" w:rsidRPr="00DA7625" w:rsidRDefault="002F78EA">
            <w:pPr>
              <w:spacing w:beforeLines="60" w:before="144" w:afterLines="60" w:after="144"/>
              <w:rPr>
                <w:rFonts w:ascii="Times New Roman" w:hAnsi="Times New Roman"/>
                <w:sz w:val="24"/>
              </w:rPr>
            </w:pPr>
            <w:r w:rsidRPr="00DA7625">
              <w:rPr>
                <w:rFonts w:ascii="Times New Roman" w:hAnsi="Times New Roman"/>
                <w:sz w:val="24"/>
              </w:rPr>
              <w:t>Az AD 8. cikke (1) bekezdésének a) pontja, valamint 8. cikkének (3) és (6) bekezdése</w:t>
            </w:r>
          </w:p>
          <w:p w14:paraId="0EE8A14E" w14:textId="1F23ADA6"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sz w:val="24"/>
              </w:rPr>
              <w:t>Az ebben a sorban feltüntetett információ megfelel az e végrehajtási rendelet III. és IV. melléklete F 01.02. táblája 061. sorának.</w:t>
            </w:r>
          </w:p>
        </w:tc>
      </w:tr>
      <w:tr w:rsidR="001B1411" w:rsidRPr="00DA7625" w14:paraId="54EA6CB4" w14:textId="77777777" w:rsidTr="00672D2A">
        <w:tc>
          <w:tcPr>
            <w:tcW w:w="1101" w:type="dxa"/>
          </w:tcPr>
          <w:p w14:paraId="24D2D683"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t>0180</w:t>
            </w:r>
          </w:p>
        </w:tc>
        <w:tc>
          <w:tcPr>
            <w:tcW w:w="8190" w:type="dxa"/>
          </w:tcPr>
          <w:p w14:paraId="477C2280" w14:textId="77777777"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b/>
                <w:sz w:val="24"/>
                <w:u w:val="single"/>
              </w:rPr>
              <w:t>1.2.3 AZ EREDMÉNNYEL SZEMBEN VALÓS ÉRTÉKEN ÉRTÉKELTNEK MEGJELÖLT PÉNZÜGYI KÖTELEZETTSÉGEK</w:t>
            </w:r>
          </w:p>
          <w:p w14:paraId="00446A36" w14:textId="58EAC344"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IFRS 7 8. bekezdésének e) i. pontja IFRS 9 4.2.2. bekezdése;</w:t>
            </w:r>
            <w:r w:rsidRPr="00DA7625">
              <w:rPr>
                <w:sz w:val="24"/>
              </w:rPr>
              <w:t xml:space="preserve"> </w:t>
            </w:r>
            <w:r w:rsidRPr="00DA7625">
              <w:rPr>
                <w:rFonts w:ascii="Times New Roman" w:hAnsi="Times New Roman"/>
                <w:sz w:val="24"/>
              </w:rPr>
              <w:t xml:space="preserve">Az AD 8. cikke (1) bekezdésének a) pontja, valamint 8. cikkének (6) bekezdése; IAS 39 9. bekezdése. </w:t>
            </w:r>
          </w:p>
          <w:p w14:paraId="5BAB47B2" w14:textId="7F82696E"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lastRenderedPageBreak/>
              <w:t>Az ebben a sorban feltüntetett információ megfelel az e végrehajtási rendelet III. és IV. melléklete F 01.02. táblája 070. sorának.</w:t>
            </w:r>
          </w:p>
        </w:tc>
      </w:tr>
      <w:tr w:rsidR="001B1411" w:rsidRPr="00DA7625" w14:paraId="56748B51" w14:textId="77777777" w:rsidTr="00672D2A">
        <w:tc>
          <w:tcPr>
            <w:tcW w:w="1101" w:type="dxa"/>
          </w:tcPr>
          <w:p w14:paraId="405912FA"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lastRenderedPageBreak/>
              <w:t>0190</w:t>
            </w:r>
          </w:p>
        </w:tc>
        <w:tc>
          <w:tcPr>
            <w:tcW w:w="8190" w:type="dxa"/>
          </w:tcPr>
          <w:p w14:paraId="3439D5A4" w14:textId="77777777"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b/>
                <w:sz w:val="24"/>
                <w:u w:val="single"/>
              </w:rPr>
              <w:t>1.2.4 SZÁRMAZTATOTT ÜGYLETEK – FEDEZETI ELSZÁMOLÁSOK</w:t>
            </w:r>
          </w:p>
          <w:p w14:paraId="29C5BFBC" w14:textId="4760869C"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 xml:space="preserve">IFRS 9 6.2.1. bekezdése; </w:t>
            </w:r>
            <w:r w:rsidRPr="00DA7625">
              <w:rPr>
                <w:rFonts w:ascii="Times New Roman" w:hAnsi="Times New Roman"/>
                <w:bCs/>
                <w:sz w:val="24"/>
              </w:rPr>
              <w:t>E végrehajtási rendelet V. mellékletének 1.26. része</w:t>
            </w:r>
            <w:r w:rsidRPr="00DA7625">
              <w:rPr>
                <w:rFonts w:ascii="Times New Roman" w:hAnsi="Times New Roman"/>
                <w:sz w:val="24"/>
              </w:rPr>
              <w:t>; az AD 8. cikke (1) bekezdésének a) pontja, 8. cikkének (6) bekezdése, valamint 8. cikke (8) bekezdésének a) pontja;</w:t>
            </w:r>
          </w:p>
          <w:p w14:paraId="225949E5" w14:textId="20C1EE13"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Az ebben a sorban feltüntetett információ megfelel az e végrehajtási rendelet III. és IV. melléklete F 01.02. táblája 150. sorának.</w:t>
            </w:r>
          </w:p>
        </w:tc>
      </w:tr>
      <w:tr w:rsidR="001B1411" w:rsidRPr="00DA7625" w14:paraId="325CBC42" w14:textId="77777777" w:rsidTr="00672D2A">
        <w:tc>
          <w:tcPr>
            <w:tcW w:w="1101" w:type="dxa"/>
          </w:tcPr>
          <w:p w14:paraId="501173F2"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t>0200</w:t>
            </w:r>
          </w:p>
        </w:tc>
        <w:tc>
          <w:tcPr>
            <w:tcW w:w="8190" w:type="dxa"/>
          </w:tcPr>
          <w:p w14:paraId="4899FCBB" w14:textId="77777777"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b/>
                <w:sz w:val="24"/>
                <w:u w:val="single"/>
              </w:rPr>
              <w:t>1.2.5 KAMATLÁBKOCKÁZATRA VONATKOZÓ PORTFÓLIÓFEDEZETI ÜGYLET SORÁN FEDEZETT TÉTELEK VALÓS ÉRTÉKÉNEK VÁLTOZÁSA</w:t>
            </w:r>
          </w:p>
          <w:p w14:paraId="56816866" w14:textId="7CF412BC" w:rsidR="001B1411" w:rsidRPr="00DA7625" w:rsidRDefault="00B93FA1">
            <w:pPr>
              <w:spacing w:beforeLines="60" w:before="144" w:afterLines="60" w:after="144"/>
              <w:rPr>
                <w:rFonts w:ascii="Times New Roman" w:hAnsi="Times New Roman"/>
                <w:sz w:val="24"/>
              </w:rPr>
            </w:pPr>
            <w:r w:rsidRPr="00DA7625">
              <w:rPr>
                <w:rFonts w:ascii="Times New Roman" w:hAnsi="Times New Roman"/>
                <w:sz w:val="24"/>
              </w:rPr>
              <w:t>IAS 39 89A. bekezdésének b) pontja, IFRS 9 6.5.8. bekezdése; Az AD 8. cikkének (5) és (6) bekezdése; E végrehajtási rendelet V. mellékletének 2.8. része</w:t>
            </w:r>
          </w:p>
          <w:p w14:paraId="3D8F026C" w14:textId="77777777"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sz w:val="24"/>
              </w:rPr>
              <w:t>Az ebben a sorban feltüntetett információ megfelel az e végrehajtási rendelet III. és IV. melléklete F 01.02. táblája 160. sorának.</w:t>
            </w:r>
          </w:p>
        </w:tc>
      </w:tr>
      <w:tr w:rsidR="001B1411" w:rsidRPr="00DA7625" w14:paraId="4A0EB91C" w14:textId="77777777" w:rsidTr="00672D2A">
        <w:tc>
          <w:tcPr>
            <w:tcW w:w="1101" w:type="dxa"/>
          </w:tcPr>
          <w:p w14:paraId="2AAEED58" w14:textId="77777777" w:rsidR="001B1411" w:rsidRPr="00DA7625" w:rsidRDefault="001924F4">
            <w:pPr>
              <w:spacing w:beforeLines="60" w:before="144" w:afterLines="60" w:after="144"/>
              <w:rPr>
                <w:rFonts w:ascii="Times New Roman" w:hAnsi="Times New Roman"/>
                <w:sz w:val="24"/>
              </w:rPr>
            </w:pPr>
            <w:r w:rsidRPr="00DA7625">
              <w:rPr>
                <w:rFonts w:ascii="Times New Roman" w:hAnsi="Times New Roman"/>
                <w:sz w:val="24"/>
              </w:rPr>
              <w:t>0210</w:t>
            </w:r>
          </w:p>
        </w:tc>
        <w:tc>
          <w:tcPr>
            <w:tcW w:w="8190" w:type="dxa"/>
          </w:tcPr>
          <w:p w14:paraId="13D419BF" w14:textId="77777777"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b/>
                <w:sz w:val="24"/>
                <w:u w:val="single"/>
              </w:rPr>
              <w:t>1.2.6 VALÓS ÉRTÉKEN ÉRTÉKELT, KERESKEDÉSI CÉLÚ KÖTELEZETTSÉGEKRE VONATKOZÓ HAIRCUTOK</w:t>
            </w:r>
          </w:p>
          <w:p w14:paraId="4AEC6085" w14:textId="3A7FBCCB" w:rsidR="001B1411" w:rsidRPr="00DA7625" w:rsidRDefault="002F78EA">
            <w:pPr>
              <w:spacing w:beforeLines="60" w:before="144" w:afterLines="60" w:after="144"/>
              <w:rPr>
                <w:rFonts w:ascii="Times New Roman" w:hAnsi="Times New Roman"/>
                <w:sz w:val="24"/>
              </w:rPr>
            </w:pPr>
            <w:r w:rsidRPr="00DA7625">
              <w:rPr>
                <w:rFonts w:ascii="Times New Roman" w:hAnsi="Times New Roman"/>
                <w:bCs/>
                <w:sz w:val="24"/>
              </w:rPr>
              <w:t>E végrehajtási rendelet V. mellékletének 1.29. része</w:t>
            </w:r>
          </w:p>
          <w:p w14:paraId="693FA7A1" w14:textId="77777777" w:rsidR="001B1411" w:rsidRPr="00DA7625" w:rsidRDefault="00B93FA1">
            <w:pPr>
              <w:spacing w:beforeLines="60" w:before="144" w:afterLines="60" w:after="144"/>
              <w:rPr>
                <w:rFonts w:ascii="Times New Roman" w:hAnsi="Times New Roman"/>
                <w:b/>
                <w:sz w:val="24"/>
                <w:u w:val="single"/>
              </w:rPr>
            </w:pPr>
            <w:r w:rsidRPr="00DA7625">
              <w:rPr>
                <w:rFonts w:ascii="Times New Roman" w:hAnsi="Times New Roman"/>
                <w:sz w:val="24"/>
              </w:rPr>
              <w:t>Az ebben a sorban feltüntetett információ megfelel az e végrehajtási rendelet III. és IV. melléklete F 01.02. táblája 295. sorának.</w:t>
            </w:r>
          </w:p>
        </w:tc>
      </w:tr>
    </w:tbl>
    <w:p w14:paraId="31E0370C" w14:textId="77777777" w:rsidR="001B1411" w:rsidRPr="00DA7625" w:rsidRDefault="001B1411">
      <w:pPr>
        <w:rPr>
          <w:rStyle w:val="InstructionsTabelleText"/>
          <w:rFonts w:ascii="Times New Roman" w:hAnsi="Times New Roman"/>
          <w:sz w:val="24"/>
        </w:rPr>
      </w:pPr>
    </w:p>
    <w:p w14:paraId="01AC92F7" w14:textId="77777777" w:rsidR="001B1411" w:rsidRPr="00DA7625" w:rsidRDefault="00B93FA1">
      <w:pPr>
        <w:pStyle w:val="Instructionsberschrift2"/>
        <w:numPr>
          <w:ilvl w:val="0"/>
          <w:numId w:val="0"/>
        </w:numPr>
        <w:ind w:left="357" w:hanging="357"/>
        <w:rPr>
          <w:rFonts w:ascii="Times New Roman" w:hAnsi="Times New Roman" w:cs="Times New Roman"/>
          <w:sz w:val="24"/>
          <w:u w:val="none"/>
        </w:rPr>
      </w:pPr>
      <w:bookmarkStart w:id="111" w:name="_Toc31018857"/>
      <w:r w:rsidRPr="00DA7625">
        <w:rPr>
          <w:rFonts w:ascii="Times New Roman" w:hAnsi="Times New Roman"/>
          <w:sz w:val="24"/>
          <w:u w:val="none"/>
        </w:rPr>
        <w:t>6.2.</w:t>
      </w:r>
      <w:r w:rsidRPr="00DA7625">
        <w:rPr>
          <w:rFonts w:ascii="Times New Roman" w:hAnsi="Times New Roman"/>
          <w:sz w:val="24"/>
          <w:u w:val="none"/>
        </w:rPr>
        <w:tab/>
      </w:r>
      <w:r w:rsidRPr="00DA7625">
        <w:rPr>
          <w:rFonts w:ascii="Times New Roman" w:hAnsi="Times New Roman"/>
          <w:sz w:val="24"/>
        </w:rPr>
        <w:t>C 32.02 – Prudens értékelés: Alapvető módszer (PruVal 2)</w:t>
      </w:r>
      <w:bookmarkEnd w:id="111"/>
    </w:p>
    <w:p w14:paraId="548ECBC5" w14:textId="77777777" w:rsidR="001B1411" w:rsidRPr="00DA7625" w:rsidRDefault="00B93FA1">
      <w:pPr>
        <w:pStyle w:val="Instructionsberschrift2"/>
        <w:numPr>
          <w:ilvl w:val="0"/>
          <w:numId w:val="0"/>
        </w:numPr>
        <w:ind w:left="357" w:hanging="357"/>
        <w:rPr>
          <w:rFonts w:ascii="Times New Roman" w:hAnsi="Times New Roman" w:cs="Times New Roman"/>
          <w:sz w:val="24"/>
          <w:u w:val="none"/>
        </w:rPr>
      </w:pPr>
      <w:bookmarkStart w:id="112" w:name="_Toc31018858"/>
      <w:r w:rsidRPr="00DA7625">
        <w:rPr>
          <w:rFonts w:ascii="Times New Roman" w:hAnsi="Times New Roman"/>
          <w:sz w:val="24"/>
          <w:u w:val="none"/>
        </w:rPr>
        <w:t>6.2.1.</w:t>
      </w:r>
      <w:r w:rsidRPr="00DA7625">
        <w:rPr>
          <w:rFonts w:ascii="Times New Roman" w:hAnsi="Times New Roman"/>
          <w:sz w:val="24"/>
          <w:u w:val="none"/>
        </w:rPr>
        <w:tab/>
      </w:r>
      <w:r w:rsidRPr="00DA7625">
        <w:rPr>
          <w:rFonts w:ascii="Times New Roman" w:hAnsi="Times New Roman"/>
          <w:sz w:val="24"/>
        </w:rPr>
        <w:t>Általános megjegyzések</w:t>
      </w:r>
      <w:bookmarkEnd w:id="112"/>
      <w:r w:rsidRPr="00DA7625">
        <w:rPr>
          <w:rFonts w:ascii="Times New Roman" w:hAnsi="Times New Roman"/>
          <w:sz w:val="24"/>
          <w:u w:val="none"/>
        </w:rPr>
        <w:t xml:space="preserve"> </w:t>
      </w:r>
    </w:p>
    <w:p w14:paraId="052C2DB2" w14:textId="77777777" w:rsidR="001B1411" w:rsidRPr="00DA7625" w:rsidRDefault="00B93FA1">
      <w:pPr>
        <w:pStyle w:val="InstructionsText2"/>
        <w:numPr>
          <w:ilvl w:val="0"/>
          <w:numId w:val="0"/>
        </w:numPr>
        <w:ind w:left="993"/>
      </w:pPr>
      <w:r w:rsidRPr="00DA7625">
        <w:t>154c. E tábla célja a CRR 34. és 105. cikke szerint a szavatolótőkéből levonandó kiegészítő értékelési korrekciók teljes összegének összetételére vonatkozó információt nyújtani, a kiegészítő értékelési korrekciók meghatározását indokolttá tevő pozíciók számviteli értékelésére vonatkozó releváns információk mellett.</w:t>
      </w:r>
    </w:p>
    <w:p w14:paraId="0AE1CA14" w14:textId="77777777" w:rsidR="001B1411" w:rsidRPr="00DA7625" w:rsidRDefault="00B93FA1">
      <w:pPr>
        <w:pStyle w:val="InstructionsText2"/>
        <w:numPr>
          <w:ilvl w:val="0"/>
          <w:numId w:val="0"/>
        </w:numPr>
        <w:ind w:left="993"/>
      </w:pPr>
      <w:r w:rsidRPr="00DA7625">
        <w:t xml:space="preserve">154d. Ezt a táblát minden olyan intézménynek ki kell töltenie, amely: </w:t>
      </w:r>
    </w:p>
    <w:p w14:paraId="13120E86" w14:textId="22CCB504" w:rsidR="001B1411" w:rsidRPr="00DA7625" w:rsidRDefault="00B93FA1">
      <w:pPr>
        <w:pStyle w:val="InstructionsText2"/>
        <w:numPr>
          <w:ilvl w:val="0"/>
          <w:numId w:val="0"/>
        </w:numPr>
        <w:ind w:left="993"/>
      </w:pPr>
      <w:r w:rsidRPr="00DA7625">
        <w:t>a) az alapvető módszert köteles használni az (EU) 2016/101 felhatalmazáson alapuló rendelet 4. cikkének (1) bekezdésében említett értékhatár akár egyedi, akár konszolidált alapon történő meghaladása miatt, az említett rendelet 4. cikkének (3) bekezdésében meghatározottak szerint, vagy</w:t>
      </w:r>
    </w:p>
    <w:p w14:paraId="36C3F96E" w14:textId="22492AA1" w:rsidR="001B1411" w:rsidRPr="00DA7625" w:rsidRDefault="00973707">
      <w:pPr>
        <w:pStyle w:val="InstructionsText2"/>
        <w:numPr>
          <w:ilvl w:val="0"/>
          <w:numId w:val="0"/>
        </w:numPr>
        <w:ind w:left="993"/>
      </w:pPr>
      <w:r w:rsidRPr="00DA7625">
        <w:t xml:space="preserve">b) annak ellenére, hogy nem haladja meg az értékhatárt, az alapvető módszer alkalmazása mellett döntött. </w:t>
      </w:r>
    </w:p>
    <w:p w14:paraId="1744C722" w14:textId="77FABB81" w:rsidR="001B1411" w:rsidRPr="00DA7625" w:rsidRDefault="00973707">
      <w:pPr>
        <w:pStyle w:val="InstructionsText2"/>
        <w:numPr>
          <w:ilvl w:val="0"/>
          <w:numId w:val="0"/>
        </w:numPr>
        <w:ind w:left="993"/>
      </w:pPr>
      <w:r w:rsidRPr="00DA7625">
        <w:t xml:space="preserve">154e. E tábla alkalmazásában a „felső bizonytalansági érték” a következő: Az (EU) 2016/101 felhatalmazáson alapuló rendelet 8. cikke (2) bekezdésének meghatározása alapján a kiegészítő értékelési korrekciók kiszámítása a valós érték és egy olyan </w:t>
      </w:r>
      <w:r w:rsidRPr="00DA7625">
        <w:lastRenderedPageBreak/>
        <w:t>90 %-os konfidenciaszinten meghatározott prudens érték különbözeteként történik, miszerint az intézmények a valószerű értékek névleges tartományán belül az adott ponton vagy annál jobban tudnak kilépni a kitettségből. A felső érték vagy „felső bizonytalansági érték” a valószerű értékek eloszlásában az ellentétes pont, amelynél az intézményeknek csak 10 %-os a konfidenciaszintjük azt illetően, hogy az adott ponton vagy annál jobban tudnak kilépni a pozícióból. A felső bizonytalansági érték kiszámításának és aggregálásának alapja ugyanaz, mint a kiegészítő értékelési korrekció teljes összegéé, de a kiegészítő értékelési korrekció teljes összegének meghatározásakor használt 90 %-ot fel kell váltani egy 10 %-os bizonyossági szinttel.</w:t>
      </w:r>
    </w:p>
    <w:p w14:paraId="4498127B" w14:textId="77777777" w:rsidR="001B1411" w:rsidRPr="00DA7625" w:rsidRDefault="00B93FA1">
      <w:pPr>
        <w:pStyle w:val="Instructionsberschrift2"/>
        <w:numPr>
          <w:ilvl w:val="0"/>
          <w:numId w:val="0"/>
        </w:numPr>
        <w:ind w:left="357" w:hanging="357"/>
        <w:rPr>
          <w:rFonts w:ascii="Times New Roman" w:hAnsi="Times New Roman" w:cs="Times New Roman"/>
          <w:sz w:val="24"/>
          <w:u w:val="none"/>
        </w:rPr>
      </w:pPr>
      <w:bookmarkStart w:id="113" w:name="_Toc31018859"/>
      <w:r w:rsidRPr="00DA7625">
        <w:rPr>
          <w:rFonts w:ascii="Times New Roman" w:hAnsi="Times New Roman"/>
          <w:sz w:val="24"/>
          <w:u w:val="none"/>
        </w:rPr>
        <w:t>6.2.2.</w:t>
      </w:r>
      <w:r w:rsidRPr="00DA7625">
        <w:rPr>
          <w:rFonts w:ascii="Times New Roman" w:hAnsi="Times New Roman"/>
          <w:sz w:val="24"/>
          <w:u w:val="none"/>
        </w:rPr>
        <w:tab/>
        <w:t>A tábla egyes részeire vonatkozó útmutató</w:t>
      </w:r>
      <w:bookmarkEnd w:id="11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B1411" w:rsidRPr="00DA7625" w14:paraId="2A50FFAC" w14:textId="77777777" w:rsidTr="00672D2A">
        <w:tc>
          <w:tcPr>
            <w:tcW w:w="9291" w:type="dxa"/>
            <w:gridSpan w:val="2"/>
            <w:shd w:val="clear" w:color="auto" w:fill="CCCCCC"/>
          </w:tcPr>
          <w:p w14:paraId="1909DC31" w14:textId="77777777" w:rsidR="001B1411" w:rsidRPr="00DA7625" w:rsidRDefault="00973707">
            <w:pPr>
              <w:spacing w:beforeLines="60" w:before="144" w:afterLines="60" w:after="144"/>
              <w:rPr>
                <w:rFonts w:ascii="Times New Roman" w:hAnsi="Times New Roman"/>
                <w:b/>
                <w:sz w:val="24"/>
              </w:rPr>
            </w:pPr>
            <w:r w:rsidRPr="00DA7625">
              <w:rPr>
                <w:rFonts w:ascii="Times New Roman" w:hAnsi="Times New Roman"/>
                <w:b/>
                <w:sz w:val="24"/>
              </w:rPr>
              <w:t>Oszlop</w:t>
            </w:r>
          </w:p>
        </w:tc>
      </w:tr>
      <w:tr w:rsidR="001B1411" w:rsidRPr="00DA7625" w14:paraId="51FA8283" w14:textId="77777777" w:rsidTr="00672D2A">
        <w:tc>
          <w:tcPr>
            <w:tcW w:w="1101" w:type="dxa"/>
          </w:tcPr>
          <w:p w14:paraId="006D21FC"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0010–0100</w:t>
            </w:r>
          </w:p>
        </w:tc>
        <w:tc>
          <w:tcPr>
            <w:tcW w:w="8190" w:type="dxa"/>
          </w:tcPr>
          <w:p w14:paraId="75BD725F"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KATEGÓRIASZINTŰ KIEGÉSZÍTŐ ÉRTÉKELÉSI KORREKCIÓ</w:t>
            </w:r>
          </w:p>
          <w:p w14:paraId="7FD99EB2" w14:textId="5BE23C60"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Az (EU) 2016/101 felhatalmazáson alapuló rendelet 9–11. cikkében, illetve 14–17. cikkében leírtak szerint kell kiszámítani a piaci ár bizonytalanságával, a pozíciózárási költségekkel, a modellkockázattal, a koncentrált pozíciókkal, a jövőbeli adminisztratív költségekkel, a lejárat előtti visszaváltással és a működési kockázattal kapcsolatos kategóriaszintű kiegészítő értékelési korrekciókat.</w:t>
            </w:r>
          </w:p>
          <w:p w14:paraId="5AAA0587" w14:textId="0A2611A4"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A piaci ár bizonytalansága, a pozíciózárási költségek és a modellkockázat kategóriák esetében, amelyekre az (EU) 2016/101 felhatalmazáson alapuló rendelet 9. cikkének (6) bekezdésében, 10. cikkének (7) bekezdésében illetve 11. cikkének (7) bekezdésében meghatározottak szerint diverzifikációs előny vonatkozik, a kategóriaszintű kiegészítő értékelési korrekciókat eltérő rendelkezés hiányában úgy kell feltüntetni, mint az egyedi kiegészítő értékelési korrekciók egyszerű összege a diverzifikációs előny előtt [mivel az (EU) 2016/101 felhatalmazáson alapuló rendelet mellékletében szereplő 1. módszer vagy a 2. módszer használatával számított diverzifikációs nyereséget a tábla 1.1.2., 1.1.2.1. és 1.1.2.2. tételében kell feltüntetni]. </w:t>
            </w:r>
          </w:p>
          <w:p w14:paraId="47A2F76A" w14:textId="6135001F"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A piaci ár bizonytalansága, a pozíciózárási költségek és a modellkockázat kategóriák esetében az (EU) 2016/101 felhatalmazáson alapuló rendelet 9. cikke (5) bekezdésének b) pontjában, 10. cikke (6) bekezdésének b) pontjában és 11. cikkének (4) bekezdésében említettek szerint a szakértői módszerrel kiszámított összegeket elkülönítve, a 0020., 0040. és 0060. oszlopban kell feltüntetni.</w:t>
            </w:r>
          </w:p>
        </w:tc>
      </w:tr>
      <w:tr w:rsidR="001B1411" w:rsidRPr="00DA7625" w14:paraId="0CE4BF76" w14:textId="77777777" w:rsidTr="00672D2A">
        <w:tc>
          <w:tcPr>
            <w:tcW w:w="1101" w:type="dxa"/>
          </w:tcPr>
          <w:p w14:paraId="126DAFBD"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0010</w:t>
            </w:r>
          </w:p>
        </w:tc>
        <w:tc>
          <w:tcPr>
            <w:tcW w:w="8190" w:type="dxa"/>
          </w:tcPr>
          <w:p w14:paraId="14FB9877"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PIACI ÁR BIZONYTALANSÁGA</w:t>
            </w:r>
          </w:p>
          <w:p w14:paraId="1314C68E" w14:textId="77777777"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A CRR 105. cikkének (10) bekezdése. </w:t>
            </w:r>
          </w:p>
          <w:p w14:paraId="1F11E757" w14:textId="7D18DD22" w:rsidR="001B1411" w:rsidRPr="00DA7625" w:rsidRDefault="00973707">
            <w:pPr>
              <w:spacing w:beforeLines="60" w:before="144" w:afterLines="60" w:after="144"/>
              <w:rPr>
                <w:rStyle w:val="InstructionsTabelleberschrift"/>
                <w:rFonts w:ascii="Times New Roman" w:hAnsi="Times New Roman"/>
                <w:sz w:val="24"/>
              </w:rPr>
            </w:pPr>
            <w:r w:rsidRPr="00DA7625">
              <w:rPr>
                <w:rFonts w:ascii="Times New Roman" w:hAnsi="Times New Roman"/>
                <w:sz w:val="24"/>
              </w:rPr>
              <w:t>Az (EU) 2016/101 felhatalmazáson alapuló rendelet 9. cikkének megfelelően számított, a piaci ár bizonytalanságához kapcsolódó kiegészítő értékelési korrekciók.</w:t>
            </w:r>
          </w:p>
        </w:tc>
      </w:tr>
      <w:tr w:rsidR="001B1411" w:rsidRPr="00DA7625" w14:paraId="3FC875F8" w14:textId="77777777" w:rsidTr="00672D2A">
        <w:tc>
          <w:tcPr>
            <w:tcW w:w="1101" w:type="dxa"/>
          </w:tcPr>
          <w:p w14:paraId="3E91D6F4"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0020</w:t>
            </w:r>
          </w:p>
        </w:tc>
        <w:tc>
          <w:tcPr>
            <w:tcW w:w="8190" w:type="dxa"/>
          </w:tcPr>
          <w:p w14:paraId="7BF0143F"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EBBŐL: A SZAKÉRTŐI MÓDSZERREL SZÁMÍTVA</w:t>
            </w:r>
          </w:p>
          <w:p w14:paraId="4445AB46" w14:textId="57092C75" w:rsidR="001B1411" w:rsidRPr="00DA7625" w:rsidRDefault="00973707">
            <w:pPr>
              <w:spacing w:beforeLines="60" w:before="144" w:afterLines="60" w:after="144"/>
              <w:rPr>
                <w:rStyle w:val="InstructionsTabelleberschrift"/>
                <w:rFonts w:ascii="Times New Roman" w:hAnsi="Times New Roman"/>
                <w:sz w:val="24"/>
              </w:rPr>
            </w:pPr>
            <w:r w:rsidRPr="00DA7625">
              <w:rPr>
                <w:rFonts w:ascii="Times New Roman" w:hAnsi="Times New Roman"/>
                <w:sz w:val="24"/>
              </w:rPr>
              <w:t>Az (EU) 2016/101 felhatalmazáson alapuló rendelet 9. cikke (5) bekezdése b) pontjának megfelelően számított, a piaci ár bizonytalanságához kapcsolódó kiegészítő értékelési korrekciók.</w:t>
            </w:r>
          </w:p>
        </w:tc>
      </w:tr>
      <w:tr w:rsidR="001B1411" w:rsidRPr="00DA7625" w14:paraId="67191341" w14:textId="77777777" w:rsidTr="00672D2A">
        <w:tc>
          <w:tcPr>
            <w:tcW w:w="1101" w:type="dxa"/>
          </w:tcPr>
          <w:p w14:paraId="08628742"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0030</w:t>
            </w:r>
          </w:p>
        </w:tc>
        <w:tc>
          <w:tcPr>
            <w:tcW w:w="8190" w:type="dxa"/>
          </w:tcPr>
          <w:p w14:paraId="46EBB27D"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POZÍCIÓZÁRÁSI KÖLTSÉGEK</w:t>
            </w:r>
          </w:p>
          <w:p w14:paraId="5B2B3223" w14:textId="77777777"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lastRenderedPageBreak/>
              <w:t xml:space="preserve">A CRR 105. cikkének (10) bekezdése. </w:t>
            </w:r>
          </w:p>
          <w:p w14:paraId="232F428E" w14:textId="2BFC8076" w:rsidR="001B1411" w:rsidRPr="00DA7625" w:rsidRDefault="00973707">
            <w:pPr>
              <w:spacing w:beforeLines="60" w:before="144" w:afterLines="60" w:after="144"/>
              <w:rPr>
                <w:rStyle w:val="InstructionsTabelleberschrift"/>
                <w:rFonts w:ascii="Times New Roman" w:hAnsi="Times New Roman"/>
                <w:sz w:val="24"/>
              </w:rPr>
            </w:pPr>
            <w:r w:rsidRPr="00DA7625">
              <w:rPr>
                <w:rFonts w:ascii="Times New Roman" w:hAnsi="Times New Roman"/>
                <w:sz w:val="24"/>
              </w:rPr>
              <w:t xml:space="preserve">Az (EU) 2016/101 felhatalmazáson alapuló rendelet 10. cikkének megfelelően számított, a pozíciózárási költségekhez kapcsolódó kiegészítő értékelési korrekciók. </w:t>
            </w:r>
          </w:p>
        </w:tc>
      </w:tr>
      <w:tr w:rsidR="001B1411" w:rsidRPr="00DA7625" w14:paraId="6F80DA8A" w14:textId="77777777" w:rsidTr="00672D2A">
        <w:tc>
          <w:tcPr>
            <w:tcW w:w="1101" w:type="dxa"/>
          </w:tcPr>
          <w:p w14:paraId="4804A45E"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lastRenderedPageBreak/>
              <w:t>0040</w:t>
            </w:r>
          </w:p>
        </w:tc>
        <w:tc>
          <w:tcPr>
            <w:tcW w:w="8190" w:type="dxa"/>
          </w:tcPr>
          <w:p w14:paraId="7522785F"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EBBŐL: A SZAKÉRTŐI MÓDSZERREL SZÁMÍTVA</w:t>
            </w:r>
          </w:p>
          <w:p w14:paraId="4670C6A1" w14:textId="429E883A" w:rsidR="001B1411" w:rsidRPr="00DA7625" w:rsidRDefault="00973707">
            <w:pPr>
              <w:spacing w:beforeLines="60" w:before="144" w:afterLines="60" w:after="144"/>
              <w:rPr>
                <w:rStyle w:val="InstructionsTabelleberschrift"/>
                <w:rFonts w:ascii="Times New Roman" w:hAnsi="Times New Roman"/>
                <w:sz w:val="24"/>
              </w:rPr>
            </w:pPr>
            <w:r w:rsidRPr="00DA7625">
              <w:rPr>
                <w:rFonts w:ascii="Times New Roman" w:hAnsi="Times New Roman"/>
                <w:sz w:val="24"/>
              </w:rPr>
              <w:t>Az (EU) 2016/101 felhatalmazáson alapuló rendelet 10. cikke (6) bekezdése b) pontjának megfelelően számított, a pozíciózárási költségekhez kapcsolódó kiegészítő értékelési korrekciók.</w:t>
            </w:r>
          </w:p>
        </w:tc>
      </w:tr>
      <w:tr w:rsidR="001B1411" w:rsidRPr="00DA7625" w14:paraId="7C814463" w14:textId="77777777" w:rsidTr="00672D2A">
        <w:tc>
          <w:tcPr>
            <w:tcW w:w="1101" w:type="dxa"/>
          </w:tcPr>
          <w:p w14:paraId="3D4CC7FC"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0050</w:t>
            </w:r>
          </w:p>
        </w:tc>
        <w:tc>
          <w:tcPr>
            <w:tcW w:w="8190" w:type="dxa"/>
          </w:tcPr>
          <w:p w14:paraId="45A0DF18"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MODELLKOCKÁZAT</w:t>
            </w:r>
          </w:p>
          <w:p w14:paraId="479B7FAC" w14:textId="77777777"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A CRR 105. cikkének (10) bekezdése</w:t>
            </w:r>
          </w:p>
          <w:p w14:paraId="337DCF2A" w14:textId="6EFE1BF5" w:rsidR="001B1411" w:rsidRPr="00DA7625" w:rsidRDefault="00973707">
            <w:pPr>
              <w:spacing w:beforeLines="60" w:before="144" w:afterLines="60" w:after="144"/>
              <w:rPr>
                <w:rStyle w:val="InstructionsTabelleberschrift"/>
                <w:rFonts w:ascii="Times New Roman" w:hAnsi="Times New Roman"/>
                <w:sz w:val="24"/>
              </w:rPr>
            </w:pPr>
            <w:r w:rsidRPr="00DA7625">
              <w:rPr>
                <w:rFonts w:ascii="Times New Roman" w:hAnsi="Times New Roman"/>
                <w:sz w:val="24"/>
              </w:rPr>
              <w:t xml:space="preserve">Az (EU) 2016/101 felhatalmazáson alapuló rendelet 11. cikkének megfelelően számított, a modellkockázathoz kapcsolódó kiegészítő értékelési korrekciók. </w:t>
            </w:r>
          </w:p>
        </w:tc>
      </w:tr>
      <w:tr w:rsidR="001B1411" w:rsidRPr="00DA7625" w14:paraId="570871F4" w14:textId="77777777" w:rsidTr="00672D2A">
        <w:tc>
          <w:tcPr>
            <w:tcW w:w="1101" w:type="dxa"/>
          </w:tcPr>
          <w:p w14:paraId="06298AC5"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0060</w:t>
            </w:r>
          </w:p>
        </w:tc>
        <w:tc>
          <w:tcPr>
            <w:tcW w:w="8190" w:type="dxa"/>
          </w:tcPr>
          <w:p w14:paraId="02BD6456"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EBBŐL: A SZAKÉRTŐI MÓDSZERREL SZÁMÍTVA</w:t>
            </w:r>
          </w:p>
          <w:p w14:paraId="36BEF6A2" w14:textId="3DA2E367" w:rsidR="001B1411" w:rsidRPr="00DA7625" w:rsidRDefault="00973707">
            <w:pPr>
              <w:spacing w:beforeLines="60" w:before="144" w:afterLines="60" w:after="144"/>
              <w:rPr>
                <w:rStyle w:val="InstructionsTabelleberschrift"/>
                <w:rFonts w:ascii="Times New Roman" w:hAnsi="Times New Roman"/>
                <w:sz w:val="24"/>
              </w:rPr>
            </w:pPr>
            <w:r w:rsidRPr="00DA7625">
              <w:rPr>
                <w:rFonts w:ascii="Times New Roman" w:hAnsi="Times New Roman"/>
                <w:sz w:val="24"/>
              </w:rPr>
              <w:t>Az (EU) 2016/101 felhatalmazáson alapuló rendelet 11. cikkének (4) bekezdése szerint számított, a modellkockázathoz kapcsolódó kiegészítő értékelési korrekciók.</w:t>
            </w:r>
          </w:p>
        </w:tc>
      </w:tr>
      <w:tr w:rsidR="001B1411" w:rsidRPr="00DA7625" w14:paraId="7617E6FC" w14:textId="77777777" w:rsidTr="00672D2A">
        <w:tc>
          <w:tcPr>
            <w:tcW w:w="1101" w:type="dxa"/>
          </w:tcPr>
          <w:p w14:paraId="7A088AF5"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0070</w:t>
            </w:r>
          </w:p>
        </w:tc>
        <w:tc>
          <w:tcPr>
            <w:tcW w:w="8190" w:type="dxa"/>
          </w:tcPr>
          <w:p w14:paraId="34C7D9BB"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KONCENTRÁLT POZÍCIÓK</w:t>
            </w:r>
          </w:p>
          <w:p w14:paraId="71F8B72B" w14:textId="77777777"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A CRR 105. cikkének (11) bekezdése</w:t>
            </w:r>
          </w:p>
          <w:p w14:paraId="6D97DD76" w14:textId="19231B7E" w:rsidR="001B1411" w:rsidRPr="00DA7625" w:rsidRDefault="00973707">
            <w:pPr>
              <w:spacing w:beforeLines="60" w:before="144" w:afterLines="60" w:after="144"/>
              <w:rPr>
                <w:rStyle w:val="InstructionsTabelleberschrift"/>
                <w:rFonts w:ascii="Times New Roman" w:hAnsi="Times New Roman"/>
                <w:sz w:val="24"/>
              </w:rPr>
            </w:pPr>
            <w:r w:rsidRPr="00DA7625">
              <w:rPr>
                <w:rFonts w:ascii="Times New Roman" w:hAnsi="Times New Roman"/>
                <w:sz w:val="24"/>
              </w:rPr>
              <w:t>Az (EU) 2016/101 felhatalmazáson alapuló rendelet 14. cikkének megfelelően számított, a koncentrált pozíciókhoz kapcsolódó kiegészítő értékelési korrekciók.</w:t>
            </w:r>
          </w:p>
        </w:tc>
      </w:tr>
      <w:tr w:rsidR="001B1411" w:rsidRPr="00DA7625" w14:paraId="08D52651" w14:textId="77777777" w:rsidTr="00672D2A">
        <w:tc>
          <w:tcPr>
            <w:tcW w:w="1101" w:type="dxa"/>
          </w:tcPr>
          <w:p w14:paraId="0E0539C7"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0080</w:t>
            </w:r>
          </w:p>
        </w:tc>
        <w:tc>
          <w:tcPr>
            <w:tcW w:w="8190" w:type="dxa"/>
          </w:tcPr>
          <w:p w14:paraId="79862DE1"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JÖVŐBELI ADMINISZTRATÍV KÖLTSÉGEK</w:t>
            </w:r>
          </w:p>
          <w:p w14:paraId="2B9AFF7C" w14:textId="77777777"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A CRR 105. cikkének (10) bekezdése</w:t>
            </w:r>
          </w:p>
          <w:p w14:paraId="7447FD81" w14:textId="5597B307" w:rsidR="001B1411" w:rsidRPr="00DA7625" w:rsidRDefault="00973707">
            <w:pPr>
              <w:spacing w:beforeLines="60" w:before="144" w:afterLines="60" w:after="144"/>
              <w:rPr>
                <w:rStyle w:val="InstructionsTabelleberschrift"/>
                <w:rFonts w:ascii="Times New Roman" w:hAnsi="Times New Roman"/>
                <w:sz w:val="24"/>
              </w:rPr>
            </w:pPr>
            <w:r w:rsidRPr="00DA7625">
              <w:rPr>
                <w:rFonts w:ascii="Times New Roman" w:hAnsi="Times New Roman"/>
                <w:sz w:val="24"/>
              </w:rPr>
              <w:t>Az (EU) 2016/101 felhatalmazáson alapuló rendelet 15. cikkének megfelelően számított, a jövőbeli adminisztratív költségekhez kapcsolódó kiegészítő értékelési korrekciók.</w:t>
            </w:r>
          </w:p>
        </w:tc>
      </w:tr>
      <w:tr w:rsidR="001B1411" w:rsidRPr="00DA7625" w14:paraId="68168FEB" w14:textId="77777777" w:rsidTr="00672D2A">
        <w:tc>
          <w:tcPr>
            <w:tcW w:w="1101" w:type="dxa"/>
          </w:tcPr>
          <w:p w14:paraId="742BACFE"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0090</w:t>
            </w:r>
          </w:p>
        </w:tc>
        <w:tc>
          <w:tcPr>
            <w:tcW w:w="8190" w:type="dxa"/>
          </w:tcPr>
          <w:p w14:paraId="4A98759F"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LEJÁRAT ELŐTTI VISSZAVÁLTÁS</w:t>
            </w:r>
          </w:p>
          <w:p w14:paraId="55E53D96" w14:textId="77777777"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A CRR 105. cikkének (10) bekezdése</w:t>
            </w:r>
          </w:p>
          <w:p w14:paraId="567881C0" w14:textId="302C5977" w:rsidR="001B1411" w:rsidRPr="00DA7625" w:rsidRDefault="00973707">
            <w:pPr>
              <w:spacing w:beforeLines="60" w:before="144" w:afterLines="60" w:after="144"/>
              <w:rPr>
                <w:rStyle w:val="InstructionsTabelleberschrift"/>
                <w:rFonts w:ascii="Times New Roman" w:hAnsi="Times New Roman"/>
                <w:sz w:val="24"/>
              </w:rPr>
            </w:pPr>
            <w:r w:rsidRPr="00DA7625">
              <w:rPr>
                <w:rFonts w:ascii="Times New Roman" w:hAnsi="Times New Roman"/>
                <w:sz w:val="24"/>
              </w:rPr>
              <w:t xml:space="preserve">Az (EU) 2016/101 felhatalmazáson alapuló rendelet 16. cikkének megfelelően számított, a lejárat előtti visszaváltáshoz kapcsolódó kiegészítő értékelési korrekciók. </w:t>
            </w:r>
          </w:p>
        </w:tc>
      </w:tr>
      <w:tr w:rsidR="001B1411" w:rsidRPr="00DA7625" w14:paraId="3A5D9EA9" w14:textId="77777777" w:rsidTr="00672D2A">
        <w:tc>
          <w:tcPr>
            <w:tcW w:w="1101" w:type="dxa"/>
          </w:tcPr>
          <w:p w14:paraId="449C1D29"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0100</w:t>
            </w:r>
          </w:p>
        </w:tc>
        <w:tc>
          <w:tcPr>
            <w:tcW w:w="8190" w:type="dxa"/>
          </w:tcPr>
          <w:p w14:paraId="34179239"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MŰKÖDÉSI KOCKÁZAT</w:t>
            </w:r>
          </w:p>
          <w:p w14:paraId="075176DE" w14:textId="77777777"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A CRR 105. cikkének (10) bekezdése</w:t>
            </w:r>
          </w:p>
          <w:p w14:paraId="5B49D42D" w14:textId="22EA5E5F" w:rsidR="001B1411" w:rsidRPr="00DA7625" w:rsidRDefault="00973707">
            <w:pPr>
              <w:spacing w:beforeLines="60" w:before="144" w:afterLines="60" w:after="144"/>
              <w:rPr>
                <w:rStyle w:val="InstructionsTabelleberschrift"/>
                <w:rFonts w:ascii="Times New Roman" w:hAnsi="Times New Roman"/>
                <w:sz w:val="24"/>
              </w:rPr>
            </w:pPr>
            <w:r w:rsidRPr="00DA7625">
              <w:rPr>
                <w:rFonts w:ascii="Times New Roman" w:hAnsi="Times New Roman"/>
                <w:sz w:val="24"/>
              </w:rPr>
              <w:t>Az (EU) 2016/101 felhatalmazáson alapuló rendelet 17. cikkének megfelelően számított, működési kockázathoz kapcsolódó kiegészítő értékelési korrekciók.</w:t>
            </w:r>
          </w:p>
        </w:tc>
      </w:tr>
      <w:tr w:rsidR="001B1411" w:rsidRPr="00DA7625" w14:paraId="7F226801" w14:textId="77777777" w:rsidTr="00672D2A">
        <w:tc>
          <w:tcPr>
            <w:tcW w:w="1101" w:type="dxa"/>
            <w:tcBorders>
              <w:bottom w:val="single" w:sz="4" w:space="0" w:color="auto"/>
            </w:tcBorders>
          </w:tcPr>
          <w:p w14:paraId="349C8AD8"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0110</w:t>
            </w:r>
          </w:p>
        </w:tc>
        <w:tc>
          <w:tcPr>
            <w:tcW w:w="8190" w:type="dxa"/>
            <w:tcBorders>
              <w:bottom w:val="single" w:sz="4" w:space="0" w:color="auto"/>
            </w:tcBorders>
          </w:tcPr>
          <w:p w14:paraId="748744F3"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 xml:space="preserve">KIEGÉSZÍTŐ ÉRTÉKELÉSI KORREKCIÓ ÖSSZESEN </w:t>
            </w:r>
          </w:p>
          <w:p w14:paraId="046D1F3C" w14:textId="14331803" w:rsidR="001B1411" w:rsidRPr="00DA7625" w:rsidRDefault="00973707">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lastRenderedPageBreak/>
              <w:t xml:space="preserve">0010. sor: a CRR 34. és 105. cikke szerint a szavatolótőkéből levonandó kiegészítő értékelési korrekciók teljes összege, amelyet megfelelően a C 01.00 tábla 290. sorában kell feltüntetni. A kiegészítő értékelési korrekciók teljes összege a 0030. és a 0180. sor összege. </w:t>
            </w:r>
          </w:p>
          <w:p w14:paraId="6953E523" w14:textId="77777777" w:rsidR="001B1411" w:rsidRPr="00DA7625" w:rsidRDefault="00973707">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 xml:space="preserve">0020. sor: A 0010. sorban feltüntetett kiegészítő értékelési korrekciók teljes összegének a kereskedési könyvi pozíciókból eredő része (abszolút érték). </w:t>
            </w:r>
          </w:p>
          <w:p w14:paraId="528A4D39" w14:textId="77777777" w:rsidR="001B1411" w:rsidRPr="00DA7625" w:rsidRDefault="00973707">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 xml:space="preserve">0030–0160. sor: A 0010., 0030., 0050. és a 0070–0100. sor összege. </w:t>
            </w:r>
          </w:p>
          <w:p w14:paraId="1EC177EC" w14:textId="77777777" w:rsidR="001B1411" w:rsidRPr="00DA7625" w:rsidRDefault="00973707">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 xml:space="preserve">0180–0210. sor: A tartalékmódszer (fall-back-approach) szerinti portfóliókból eredő kiegészítő értékelési korrekciók teljes összege. </w:t>
            </w:r>
          </w:p>
        </w:tc>
      </w:tr>
      <w:tr w:rsidR="001B1411" w:rsidRPr="00DA7625" w14:paraId="3247717E" w14:textId="77777777" w:rsidTr="00672D2A">
        <w:tc>
          <w:tcPr>
            <w:tcW w:w="1101" w:type="dxa"/>
            <w:tcBorders>
              <w:bottom w:val="single" w:sz="4" w:space="0" w:color="auto"/>
            </w:tcBorders>
          </w:tcPr>
          <w:p w14:paraId="65FCF54F"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lastRenderedPageBreak/>
              <w:t>0120</w:t>
            </w:r>
          </w:p>
        </w:tc>
        <w:tc>
          <w:tcPr>
            <w:tcW w:w="8190" w:type="dxa"/>
            <w:tcBorders>
              <w:bottom w:val="single" w:sz="4" w:space="0" w:color="auto"/>
            </w:tcBorders>
          </w:tcPr>
          <w:p w14:paraId="345BB6C9"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FELSŐ BIZONYTALANSÁGI ÉRTÉK</w:t>
            </w:r>
          </w:p>
          <w:p w14:paraId="3D8003C1" w14:textId="78EDC703" w:rsidR="001B1411" w:rsidRPr="00DA7625" w:rsidRDefault="00973707">
            <w:pPr>
              <w:spacing w:beforeLines="60" w:before="144" w:afterLines="60" w:after="144"/>
              <w:rPr>
                <w:rStyle w:val="InstructionsTabelleberschrift"/>
                <w:rFonts w:ascii="Times New Roman" w:hAnsi="Times New Roman"/>
                <w:b w:val="0"/>
                <w:sz w:val="24"/>
                <w:u w:val="none"/>
              </w:rPr>
            </w:pPr>
            <w:r w:rsidRPr="00DA7625">
              <w:rPr>
                <w:rFonts w:ascii="Times New Roman" w:hAnsi="Times New Roman"/>
                <w:sz w:val="24"/>
              </w:rPr>
              <w:t xml:space="preserve">Az (EU) 2016/101 felhatalmazáson alapuló rendelet </w:t>
            </w:r>
            <w:r w:rsidRPr="00DA7625">
              <w:rPr>
                <w:rStyle w:val="InstructionsTabelleberschrift"/>
                <w:rFonts w:ascii="Times New Roman" w:hAnsi="Times New Roman"/>
                <w:b w:val="0"/>
                <w:sz w:val="24"/>
                <w:u w:val="none"/>
              </w:rPr>
              <w:t>8. cikkének (2) bekezdése</w:t>
            </w:r>
            <w:r w:rsidRPr="00DA7625">
              <w:rPr>
                <w:rFonts w:ascii="Times New Roman" w:hAnsi="Times New Roman"/>
                <w:sz w:val="24"/>
              </w:rPr>
              <w:t>.</w:t>
            </w:r>
          </w:p>
          <w:p w14:paraId="731CC892" w14:textId="77777777"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A felső bizonytalansági érték kiszámításának és aggregálásának alapja ugyanaz, mint a kiegészítő értékelési korrekció 0110. oszlopban számított teljes összegéé, de a kiegészítő értékelési korrekció teljes összegének meghatározásakor használt 90 %-ot fel kell váltani egy 10 %-os bizonyossági szinttel.</w:t>
            </w:r>
          </w:p>
        </w:tc>
      </w:tr>
      <w:tr w:rsidR="001B1411" w:rsidRPr="00DA7625" w14:paraId="54920B4C" w14:textId="77777777" w:rsidTr="00672D2A">
        <w:tc>
          <w:tcPr>
            <w:tcW w:w="1101" w:type="dxa"/>
          </w:tcPr>
          <w:p w14:paraId="79D9AA57"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0130–0140</w:t>
            </w:r>
          </w:p>
        </w:tc>
        <w:tc>
          <w:tcPr>
            <w:tcW w:w="8190" w:type="dxa"/>
          </w:tcPr>
          <w:p w14:paraId="2E68B4F5"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VALÓS ÉRTÉKEN ÉRTÉKELT ESZKÖZÖK ÉS KÖTELEZETTSÉGEK</w:t>
            </w:r>
          </w:p>
          <w:p w14:paraId="01F2DD78" w14:textId="77777777"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A valós értéken értékelt eszközöknek és kötelezettségeknek a kiegészítő értékelési korrekciók 0010–0130. és 0180. sorban feltüntetett értékeinek megfelelő abszolút értéke. Néhány sor, különösen a 0090–0130. sor esetében előfordulhat, hogy ezeket az összegeket szakértői megítélés alapján közelíteni vagy allokálni kell. </w:t>
            </w:r>
          </w:p>
          <w:p w14:paraId="5D26FC7D" w14:textId="16ECBD36" w:rsidR="001B1411" w:rsidRPr="00DA7625" w:rsidRDefault="00973707">
            <w:pPr>
              <w:spacing w:beforeLines="60" w:before="144" w:afterLines="60" w:after="144"/>
              <w:jc w:val="left"/>
              <w:rPr>
                <w:rFonts w:ascii="Times New Roman" w:hAnsi="Times New Roman"/>
                <w:sz w:val="24"/>
              </w:rPr>
            </w:pPr>
            <w:r w:rsidRPr="00DA7625">
              <w:rPr>
                <w:rFonts w:ascii="Times New Roman" w:hAnsi="Times New Roman"/>
                <w:sz w:val="24"/>
              </w:rPr>
              <w:t xml:space="preserve">0010. sor: Az (EU) 2016/101 felhatalmazáson alapuló rendelet 4. cikkének (1) bekezdése szerinti küszöbérték-számításba bevont valós értéken értékelt eszközök és kötelezettségek teljes abszolút értéke. Ez magában foglalja azon valós értéken értékelt eszközök és kötelezettségek abszolút értékét, amelyek esetében az (EU) 2016/101 felhatalmazáson alapuló rendelet 9. cikkének (2) bekezdése, 10. cikkének (2) bekezdése vagy 10. cikkének (3) bekezdése szerint nulla értékkel értékeltek a kiegészítő értékelési korrekciók, amelyeket elkülönítve kell feltüntetni a 0070. és 0080. sorban. </w:t>
            </w:r>
          </w:p>
          <w:p w14:paraId="3BB13495" w14:textId="1323803C" w:rsidR="001B1411" w:rsidRPr="00DA7625" w:rsidRDefault="00973707">
            <w:pPr>
              <w:spacing w:beforeLines="60" w:before="144" w:afterLines="60" w:after="144"/>
              <w:jc w:val="left"/>
              <w:rPr>
                <w:rFonts w:ascii="Times New Roman" w:hAnsi="Times New Roman"/>
                <w:sz w:val="24"/>
              </w:rPr>
            </w:pPr>
            <w:r w:rsidRPr="00DA7625">
              <w:rPr>
                <w:rFonts w:ascii="Times New Roman" w:hAnsi="Times New Roman"/>
                <w:sz w:val="24"/>
              </w:rPr>
              <w:t xml:space="preserve">A 0010. sor a 0030. és a 0180. sor összege. </w:t>
            </w:r>
          </w:p>
          <w:p w14:paraId="183B1B90" w14:textId="77777777"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0020. sor: A 0010. sorban feltüntetett valós értéken értékelt eszközök és kötelezettségek teljes abszolút értékének a kereskedési könyvi pozíciókból eredő része (abszolút érték). </w:t>
            </w:r>
          </w:p>
          <w:p w14:paraId="2E9D1837" w14:textId="19C2134E"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0030. sor: Az (EU) 2016/101 felhatalmazáson alapuló rendelet 9–17. cikkében említett portfólióknak megfelelő, valós értéken értékelt eszközök és kötelezettségek abszolút értéke. Ez magában foglalja azon valós értéken értékelt eszközök és kötelezettségek abszolút értékét, amelyek esetében az (EU) 2016/101 felhatalmazáson alapuló rendelet 9. cikkének (2) bekezdése, 10. cikkének (2) bekezdése vagy 10. cikkének (3) bekezdése szerint nulla értékkel értékeltek a kiegészítő értékelési korrekciók, amelyeket elkülönítve kell feltüntetni a 0070. és 0080. sorban. A 0030. sor a 0090–0130. sor összege.</w:t>
            </w:r>
          </w:p>
          <w:p w14:paraId="5BB6B299" w14:textId="0DC5E6F6"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0050. sor: Nem realizált hitelkockázati felárral kapcsolatos kiegészítő értékelési korrekció számításába bevont, valós értéken értékelt eszközök és kötelezettségek </w:t>
            </w:r>
            <w:r w:rsidRPr="00DA7625">
              <w:rPr>
                <w:rFonts w:ascii="Times New Roman" w:hAnsi="Times New Roman"/>
                <w:sz w:val="24"/>
              </w:rPr>
              <w:lastRenderedPageBreak/>
              <w:t xml:space="preserve">abszolút értéke. Ennek a kiegészítő értékelési korrekciónak a kiszámítása céljából az (EU) 2016/101 felhatalmazáson alapuló rendelet 4. cikkének (2) bekezdése szerint az értékhatár-számításból kizárt, pontosan megegyező, valós értéken értékelt kiegyenlítő eszközök és kötelezettségek nem tekinthetők többé pontosan megegyezőnek, kiegyenlítőnek. </w:t>
            </w:r>
          </w:p>
          <w:p w14:paraId="0AEE6F67" w14:textId="4E56973F"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0060. sor: Befektetési és finanszírozási költségekkel kapcsolatos kiegészítő értékelési korrekció számításába bevont, valós értéken értékelt eszközök és kötelezettségek abszolút értéke. Ennek a kiegészítő értékelési korrekciónak a kiszámítása céljából az (EU) 2016/101 felhatalmazáson alapuló rendelet 4. cikkének (2) bekezdése szerint az értékhatár-számításból kizárt, pontosan megegyező, valós értéken értékelt kiegyenlítő eszközök és kötelezettségek nem tekinthetők többé pontosan megegyezőnek, kiegyenlítőnek. </w:t>
            </w:r>
          </w:p>
          <w:p w14:paraId="78347165" w14:textId="5DC3E1A2"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0070. sor: Az (EU) 2016/101 felhatalmazáson alapuló rendelet 9. cikkének (2) bekezdésében említett nulla kiegészítő értékelési korrekcióval rendelkezőnek értékelt értékelési kitettségnek megfelelő, valós értéken értékelt eszközök és kötelezettségek abszolút értéke. </w:t>
            </w:r>
          </w:p>
          <w:p w14:paraId="0EEF2BA0" w14:textId="2B2067D7"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0080. sor: Az (EU) 2016/101 felhatalmazáson alapuló rendelet 10. cikkének (2) és (3) bekezdésében említett nulla kiegészítő értékelési korrekcióval rendelkezőnek értékelt értékelési kitettségnek megfelelő, valós értéken értékelt eszközök és kötelezettségek abszolút értéke. </w:t>
            </w:r>
          </w:p>
          <w:p w14:paraId="08695D63" w14:textId="7EB5DF4B"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0090–0130. sor: Az alábbiakban meghatározottak szerint (lásd a kapcsolódó sorokhoz tartozó útmutatót) allokált valós értéken értékelt eszközök és kötelezettségek abszolút értéke a következő kockázati kategóriáknak megfelelően: kamatláb, devizaárfolyam, hitel, részvény, áru. Ez magában foglalja azon valós értéken értékelt eszközök és kötelezettségek abszolút értékét, amelyek esetében az (EU) 2016/101 felhatalmazáson alapuló rendelet 9. cikkének (2) bekezdése, 10. cikkének (2) bekezdése vagy 10. cikkének (3) bekezdése szerint nulla értékkel értékeltek a kiegészítő értékelési korrekciók, amelyeket elkülönítve kell feltüntetni a 0070. és 0080. sorban.</w:t>
            </w:r>
          </w:p>
          <w:p w14:paraId="4D3064A6" w14:textId="77777777"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0180. sor: A tartalékmódszer (fall-back approach) szerinti portfólióknak megfelelő valós értéken értékelt eszközök és kötelezettségek abszolút értéke. </w:t>
            </w:r>
          </w:p>
        </w:tc>
      </w:tr>
      <w:tr w:rsidR="001B1411" w:rsidRPr="00DA7625" w14:paraId="4282DCF6" w14:textId="77777777" w:rsidTr="00672D2A">
        <w:tc>
          <w:tcPr>
            <w:tcW w:w="1101" w:type="dxa"/>
          </w:tcPr>
          <w:p w14:paraId="01C83808"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lastRenderedPageBreak/>
              <w:t>0130</w:t>
            </w:r>
          </w:p>
        </w:tc>
        <w:tc>
          <w:tcPr>
            <w:tcW w:w="8190" w:type="dxa"/>
          </w:tcPr>
          <w:p w14:paraId="791A4114"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VALÓS ÉRTÉKEN ÉRTÉKELT ESZKÖZÖK</w:t>
            </w:r>
          </w:p>
          <w:p w14:paraId="7F3F829E" w14:textId="77777777" w:rsidR="001B1411" w:rsidRPr="00DA7625" w:rsidRDefault="00973707">
            <w:pPr>
              <w:spacing w:beforeLines="60" w:before="144" w:afterLines="60" w:after="144"/>
              <w:rPr>
                <w:rStyle w:val="InstructionsTabelleberschrift"/>
                <w:rFonts w:ascii="Times New Roman" w:hAnsi="Times New Roman"/>
                <w:sz w:val="24"/>
                <w:u w:val="none"/>
              </w:rPr>
            </w:pPr>
            <w:r w:rsidRPr="00DA7625">
              <w:rPr>
                <w:rStyle w:val="InstructionsTabelleberschrift"/>
                <w:rFonts w:ascii="Times New Roman" w:hAnsi="Times New Roman"/>
                <w:b w:val="0"/>
                <w:sz w:val="24"/>
                <w:u w:val="none"/>
              </w:rPr>
              <w:t>A 0130–0140. oszlopra vonatkozó fenti útmutatóban kifejtettek szerint a különböző soroknak megfelelő valós értéken értékelt eszközök</w:t>
            </w:r>
            <w:r w:rsidRPr="00DA7625">
              <w:rPr>
                <w:rFonts w:ascii="Times New Roman" w:hAnsi="Times New Roman"/>
                <w:sz w:val="24"/>
              </w:rPr>
              <w:t xml:space="preserve"> abszolút értéke.</w:t>
            </w:r>
          </w:p>
        </w:tc>
      </w:tr>
      <w:tr w:rsidR="001B1411" w:rsidRPr="00DA7625" w14:paraId="1EB7333B" w14:textId="77777777" w:rsidTr="00672D2A">
        <w:tc>
          <w:tcPr>
            <w:tcW w:w="1101" w:type="dxa"/>
          </w:tcPr>
          <w:p w14:paraId="3163A30F"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0140</w:t>
            </w:r>
          </w:p>
        </w:tc>
        <w:tc>
          <w:tcPr>
            <w:tcW w:w="8190" w:type="dxa"/>
          </w:tcPr>
          <w:p w14:paraId="56733A2F" w14:textId="77777777" w:rsidR="001B1411" w:rsidRPr="00DA7625" w:rsidRDefault="00973707">
            <w:pPr>
              <w:tabs>
                <w:tab w:val="center" w:pos="3894"/>
              </w:tabs>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VALÓS ÉRTÉKEN ÉRTÉKELT KÖTELEZETTSÉGEK</w:t>
            </w:r>
          </w:p>
          <w:p w14:paraId="1D8BFEB5"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b w:val="0"/>
                <w:sz w:val="24"/>
                <w:u w:val="none"/>
              </w:rPr>
              <w:t>A 0130–0140. oszlopra vonatkozó fenti útmutatóban kifejtettek szerint a különböző soroknak megfelelő valós értéken értékelt kötelezettségek</w:t>
            </w:r>
            <w:r w:rsidRPr="00DA7625">
              <w:rPr>
                <w:rFonts w:ascii="Times New Roman" w:hAnsi="Times New Roman"/>
                <w:sz w:val="24"/>
              </w:rPr>
              <w:t xml:space="preserve"> abszolút értéke.</w:t>
            </w:r>
          </w:p>
        </w:tc>
      </w:tr>
      <w:tr w:rsidR="001B1411" w:rsidRPr="00DA7625" w14:paraId="27DA91E9" w14:textId="77777777" w:rsidTr="00672D2A">
        <w:tc>
          <w:tcPr>
            <w:tcW w:w="1101" w:type="dxa"/>
          </w:tcPr>
          <w:p w14:paraId="7535313A"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0150</w:t>
            </w:r>
          </w:p>
        </w:tc>
        <w:tc>
          <w:tcPr>
            <w:tcW w:w="8190" w:type="dxa"/>
          </w:tcPr>
          <w:p w14:paraId="14AE7343"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QTD BEVÉTEL</w:t>
            </w:r>
          </w:p>
          <w:p w14:paraId="0388881E" w14:textId="77777777"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A 0130–0140. oszlopra vonatkozó fenti útmutatóban kifejtettek szerint a különböző soroknak megfelelő valós értéken értékelt eszközökhöz és kötelezettségekhez</w:t>
            </w:r>
            <w:r w:rsidRPr="00DA7625">
              <w:rPr>
                <w:rStyle w:val="InstructionsTabelleberschrift"/>
                <w:rFonts w:ascii="Times New Roman" w:hAnsi="Times New Roman"/>
                <w:b w:val="0"/>
                <w:sz w:val="24"/>
                <w:u w:val="none"/>
              </w:rPr>
              <w:t xml:space="preserve"> ren</w:t>
            </w:r>
            <w:r w:rsidRPr="00DA7625">
              <w:rPr>
                <w:rStyle w:val="InstructionsTabelleberschrift"/>
                <w:rFonts w:ascii="Times New Roman" w:hAnsi="Times New Roman"/>
                <w:b w:val="0"/>
                <w:sz w:val="24"/>
                <w:u w:val="none"/>
              </w:rPr>
              <w:lastRenderedPageBreak/>
              <w:t>delt, az utolsó adatszolgáltatási időpont óta keletkezett, aktuális negyedévi bevételek (QTD bevétel), adott esetben szakértői megítélés alapján allokálva vagy közelítve.</w:t>
            </w:r>
          </w:p>
        </w:tc>
      </w:tr>
      <w:tr w:rsidR="001B1411" w:rsidRPr="00DA7625" w14:paraId="0D514A2C" w14:textId="77777777" w:rsidTr="00672D2A">
        <w:tc>
          <w:tcPr>
            <w:tcW w:w="1101" w:type="dxa"/>
          </w:tcPr>
          <w:p w14:paraId="071C552A"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lastRenderedPageBreak/>
              <w:t>0160</w:t>
            </w:r>
          </w:p>
        </w:tc>
        <w:tc>
          <w:tcPr>
            <w:tcW w:w="8190" w:type="dxa"/>
          </w:tcPr>
          <w:p w14:paraId="64FBE49A"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IPV KÜLÖNBÖZET</w:t>
            </w:r>
          </w:p>
          <w:p w14:paraId="2E7DD890" w14:textId="7F745F55" w:rsidR="001B1411" w:rsidRPr="00DA7625" w:rsidRDefault="00973707">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 xml:space="preserve">A CRR 105. cikke (8) bekezdésének megfelelően végrehajtott független árfelülvizsgálat keretében az adatszolgáltatási időponthoz legközelebb eső hónap végén kiszámított ki nem igazított különbözetek („IPV különbözet”) összes pozíciójának és kockázati tényezőjének összege, a releváns pozícióra vagy kockázati tényezőre vonatkozóan elérhető legjobb független adatok figyelembevételével. </w:t>
            </w:r>
          </w:p>
          <w:p w14:paraId="2CE9E661" w14:textId="77777777" w:rsidR="001B1411" w:rsidRPr="00DA7625" w:rsidRDefault="00973707">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 xml:space="preserve">A ki nem igazított különbözetek a kereskedési rendszerek által generált értékelések és a havi IPV folyamat során értékelt értékelések közötti ki nem igazított különbözeteket jelentik. </w:t>
            </w:r>
          </w:p>
          <w:p w14:paraId="2437D774" w14:textId="77777777" w:rsidR="001B1411" w:rsidRPr="00DA7625" w:rsidRDefault="004D2753">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Nem vonhatók be az IPV különbözet számításába a releváns hónap végi dátumra vonatkozóan az intézmény könyveiben és nyilvántartásaiban szereplő kiigazított különbözetek.</w:t>
            </w:r>
          </w:p>
        </w:tc>
      </w:tr>
      <w:tr w:rsidR="001B1411" w:rsidRPr="00DA7625" w14:paraId="312B8986" w14:textId="77777777" w:rsidTr="00672D2A">
        <w:tc>
          <w:tcPr>
            <w:tcW w:w="1101" w:type="dxa"/>
          </w:tcPr>
          <w:p w14:paraId="029722F9"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0170–0250</w:t>
            </w:r>
          </w:p>
        </w:tc>
        <w:tc>
          <w:tcPr>
            <w:tcW w:w="8190" w:type="dxa"/>
          </w:tcPr>
          <w:p w14:paraId="7B256BA4"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VALÓSÉRTÉK-KORREKCIÓK</w:t>
            </w:r>
          </w:p>
          <w:p w14:paraId="659F73D4" w14:textId="61FF04F1" w:rsidR="001B1411" w:rsidRPr="00DA7625" w:rsidRDefault="00973707">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Az intézmény számviteli valós értékében potenciálisan alkalmazott, néha „tartalékok”-ként hivatkozott korrekciók, amelyekre a könyv szerinti értékek generálásához használt értékelési modellen kívül kerül sor (kivéve az első napi nyereség és veszteség elhalasztását), és amely korrekciókról megállapítható, hogy ugyanarra az értékelési bizonytalansági forrásra vonatkozik, mint a releváns kiegészítő értékelési korrekció. Tükrözhetik az értékelési technikán belül figyelembe nem vett, kockázati prémium vagy kilépési költség formájában lévő kockázati tényezőket, és megfelelnek a valós érték definíciójának. Mindazonáltal a piaci szereplőknek az árképzéskor figyelembe kell venniük ezeket a korrekciókat. (IFRS 13 9. bekezdése és IFRS 13 88. bekezdése)</w:t>
            </w:r>
          </w:p>
        </w:tc>
      </w:tr>
      <w:tr w:rsidR="001B1411" w:rsidRPr="00DA7625" w14:paraId="3EB0E701" w14:textId="77777777" w:rsidTr="00672D2A">
        <w:tc>
          <w:tcPr>
            <w:tcW w:w="1101" w:type="dxa"/>
          </w:tcPr>
          <w:p w14:paraId="6E4796AB"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0170</w:t>
            </w:r>
          </w:p>
        </w:tc>
        <w:tc>
          <w:tcPr>
            <w:tcW w:w="8190" w:type="dxa"/>
          </w:tcPr>
          <w:p w14:paraId="4B6C18C7" w14:textId="77777777" w:rsidR="001B1411" w:rsidRPr="00DA7625" w:rsidRDefault="00973707">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sz w:val="24"/>
              </w:rPr>
              <w:t>PIACI ÁR BIZONYTALANSÁGA</w:t>
            </w:r>
          </w:p>
          <w:p w14:paraId="0CFF7179" w14:textId="77777777" w:rsidR="001B1411" w:rsidRPr="00DA7625" w:rsidRDefault="00973707">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 xml:space="preserve">Az intézmény valós értékében abból a célból alkalmazott korrekció, hogy tükrözze egyenértékű eszközök, vagy – az értékelési modellhez való piaciparaméter-input tekintetében –az input kalibrálásához felhasznált eszközök megfigyelt ártartományának meglétéből eredő kockázati prémiumot, és amely korrekcióról így megállapítható, hogy ugyanarra az értékelési bizonytalansági forrásra vonatkozik, mint a piaci ár bizonytalanságával kapcsolatos kiegészítő értékelési korrekció. </w:t>
            </w:r>
          </w:p>
        </w:tc>
      </w:tr>
      <w:tr w:rsidR="001B1411" w:rsidRPr="00DA7625" w14:paraId="7B8B25D3" w14:textId="77777777" w:rsidTr="00672D2A">
        <w:tc>
          <w:tcPr>
            <w:tcW w:w="1101" w:type="dxa"/>
          </w:tcPr>
          <w:p w14:paraId="239AE61C"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0180</w:t>
            </w:r>
          </w:p>
        </w:tc>
        <w:tc>
          <w:tcPr>
            <w:tcW w:w="8190" w:type="dxa"/>
          </w:tcPr>
          <w:p w14:paraId="087A845C"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POZÍCIÓZÁRÁSI KÖLTSÉGEK</w:t>
            </w:r>
          </w:p>
          <w:p w14:paraId="5F347C23" w14:textId="0F6D7283" w:rsidR="001B1411" w:rsidRPr="00DA7625" w:rsidRDefault="00973707">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Az intézmény valós értékében azon tény figyelembevétele érdekében alkalmazott korrekció, hogy a pozíciószintű értékelések nem tükrözik a pozícióra vagy portfólióra vonatkozó kilépési árat, különösen, ha az ilyen értékeléseket piaci középárfolyamra kalibrálják, és amely korrekcióról így megállapítható, hogy ugyanarra az értékelési bizonytalansági forrásra vonatkozik,</w:t>
            </w:r>
            <w:r w:rsidRPr="00DA7625">
              <w:rPr>
                <w:rFonts w:ascii="Times New Roman" w:hAnsi="Times New Roman"/>
                <w:sz w:val="24"/>
              </w:rPr>
              <w:t xml:space="preserve"> mint a pozíciózárási költségekkel kapcsolatos kiegészítő értékelési korrekció</w:t>
            </w:r>
            <w:r w:rsidRPr="00DA7625">
              <w:rPr>
                <w:rStyle w:val="InstructionsTabelleberschrift"/>
                <w:rFonts w:ascii="Times New Roman" w:hAnsi="Times New Roman"/>
                <w:b w:val="0"/>
                <w:sz w:val="24"/>
                <w:u w:val="none"/>
              </w:rPr>
              <w:t>.</w:t>
            </w:r>
          </w:p>
        </w:tc>
      </w:tr>
      <w:tr w:rsidR="001B1411" w:rsidRPr="00DA7625" w14:paraId="0056FFF2" w14:textId="77777777" w:rsidTr="00672D2A">
        <w:tc>
          <w:tcPr>
            <w:tcW w:w="1101" w:type="dxa"/>
          </w:tcPr>
          <w:p w14:paraId="24370B10"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0190</w:t>
            </w:r>
          </w:p>
        </w:tc>
        <w:tc>
          <w:tcPr>
            <w:tcW w:w="8190" w:type="dxa"/>
          </w:tcPr>
          <w:p w14:paraId="6EB01E94"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MODELLKOCKÁZAT</w:t>
            </w:r>
          </w:p>
          <w:p w14:paraId="759215B0" w14:textId="3AC3FE01" w:rsidR="001B1411" w:rsidRPr="00DA7625" w:rsidRDefault="00973707">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lastRenderedPageBreak/>
              <w:t>Az intézmény valós értékében abból a célból alkalmazott korrekció, hogy tükrözzön olyan piaci vagy terméktényezőket, amelyeket a napi pozícióértékek és -kockázatok kiszámításához használt modell (értékelési modell) nem vesz figyelembe, vagy hogy megfelelő szintű óvatosságot tükrözzön, tekintettel különböző alternatív érvényes modellek és modellkalibrációk meglétéből eredő bizonytalanságra, és amely korrekcióról így megállapítható, hogy ugyanarra az értékelési bizonytalansági forrásra vonatkozik,</w:t>
            </w:r>
            <w:r w:rsidRPr="00DA7625">
              <w:rPr>
                <w:rFonts w:ascii="Times New Roman" w:hAnsi="Times New Roman"/>
                <w:sz w:val="24"/>
              </w:rPr>
              <w:t xml:space="preserve"> mint a modellkockázattal kapcsolatos kiegészítő értékelési korrekció</w:t>
            </w:r>
            <w:r w:rsidRPr="00DA7625">
              <w:rPr>
                <w:rStyle w:val="InstructionsTabelleberschrift"/>
                <w:rFonts w:ascii="Times New Roman" w:hAnsi="Times New Roman"/>
                <w:b w:val="0"/>
                <w:sz w:val="24"/>
                <w:u w:val="none"/>
              </w:rPr>
              <w:t>.</w:t>
            </w:r>
          </w:p>
        </w:tc>
      </w:tr>
      <w:tr w:rsidR="001B1411" w:rsidRPr="00DA7625" w14:paraId="1AB87AA2" w14:textId="77777777" w:rsidTr="00672D2A">
        <w:tc>
          <w:tcPr>
            <w:tcW w:w="1101" w:type="dxa"/>
          </w:tcPr>
          <w:p w14:paraId="24A595E5"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lastRenderedPageBreak/>
              <w:t>0200</w:t>
            </w:r>
          </w:p>
        </w:tc>
        <w:tc>
          <w:tcPr>
            <w:tcW w:w="8190" w:type="dxa"/>
          </w:tcPr>
          <w:p w14:paraId="7F7447C2"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KONCENTRÁLT POZÍCIÓK</w:t>
            </w:r>
          </w:p>
          <w:p w14:paraId="2AF1D656" w14:textId="3C6B13AF" w:rsidR="001B1411" w:rsidRPr="00DA7625" w:rsidRDefault="00973707">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Az intézmény valós értékében azon tény tükrözése céljából alkalmazott korrekció, hogy az intézménynél lévő aggregált pozíció nagyobb, mint a normál kereskedett volumen, vagy nagyobb azon pozícióméreteknél, amelyeken az értékelési modell által használt árak vagy inputok kalibrálásához használt megfigyelhető árjegyzések vagy ügyletek alapulnak, és amely korrekcióról így megállapítható, hogy ugyanarra az értékelési bizonytalansági forrásra vonatkozik,</w:t>
            </w:r>
            <w:r w:rsidRPr="00DA7625">
              <w:rPr>
                <w:rFonts w:ascii="Times New Roman" w:hAnsi="Times New Roman"/>
                <w:sz w:val="24"/>
              </w:rPr>
              <w:t xml:space="preserve"> mint a koncentrált pozíciókkal kapcsolatos kiegészítő értékelési korrekció</w:t>
            </w:r>
            <w:r w:rsidRPr="00DA7625">
              <w:rPr>
                <w:rStyle w:val="InstructionsTabelleberschrift"/>
                <w:rFonts w:ascii="Times New Roman" w:hAnsi="Times New Roman"/>
                <w:b w:val="0"/>
                <w:sz w:val="24"/>
                <w:u w:val="none"/>
              </w:rPr>
              <w:t xml:space="preserve">. </w:t>
            </w:r>
          </w:p>
        </w:tc>
      </w:tr>
      <w:tr w:rsidR="001B1411" w:rsidRPr="00DA7625" w14:paraId="67D131A0" w14:textId="77777777" w:rsidTr="00672D2A">
        <w:tc>
          <w:tcPr>
            <w:tcW w:w="1101" w:type="dxa"/>
          </w:tcPr>
          <w:p w14:paraId="32456714"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0210</w:t>
            </w:r>
          </w:p>
        </w:tc>
        <w:tc>
          <w:tcPr>
            <w:tcW w:w="8190" w:type="dxa"/>
          </w:tcPr>
          <w:p w14:paraId="2B903605"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NEM REALIZÁLT HITELKOCKÁZATI FELÁR</w:t>
            </w:r>
          </w:p>
          <w:p w14:paraId="567529CB"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b w:val="0"/>
                <w:sz w:val="24"/>
                <w:u w:val="none"/>
              </w:rPr>
              <w:t>Az intézmény valós értékében a származtatott pozíciók partner általi nemteljesítéséből fakadó várható veszteségek fedezése céljából alkalmazott korrekció (azaz teljes hitelértékelési korrekció (CVA) intézményi szinten).</w:t>
            </w:r>
          </w:p>
        </w:tc>
      </w:tr>
      <w:tr w:rsidR="001B1411" w:rsidRPr="00DA7625" w14:paraId="270981FF" w14:textId="77777777" w:rsidTr="00672D2A">
        <w:tc>
          <w:tcPr>
            <w:tcW w:w="1101" w:type="dxa"/>
          </w:tcPr>
          <w:p w14:paraId="5F69C201"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0220</w:t>
            </w:r>
          </w:p>
        </w:tc>
        <w:tc>
          <w:tcPr>
            <w:tcW w:w="8190" w:type="dxa"/>
          </w:tcPr>
          <w:p w14:paraId="77449C5E"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BEFEKTETÉSI ÉS FINANSZÍROZÁSI KÖLTSÉGEK</w:t>
            </w:r>
          </w:p>
          <w:p w14:paraId="1E2FB398" w14:textId="77777777" w:rsidR="001B1411" w:rsidRPr="00DA7625" w:rsidRDefault="00973707">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Az intézmény valós értékében a kompenzálás érdekében alkalmazott korrekció, amennyiben az értékelési modellek nem tükrözik teljes mértékben a finanszírozási költséget, amelyet a piaci szereplők egy pozíció vagy portfólió kilépési árában figyelembe vennének (azaz a finanszírozási értékelési korrekció intézményi szinten, ha az intézmény ilyen, vagy esetleg egyenértékű korrekciót számít).</w:t>
            </w:r>
          </w:p>
        </w:tc>
      </w:tr>
      <w:tr w:rsidR="001B1411" w:rsidRPr="00DA7625" w14:paraId="2C092C7F" w14:textId="77777777" w:rsidTr="00672D2A">
        <w:tc>
          <w:tcPr>
            <w:tcW w:w="1101" w:type="dxa"/>
          </w:tcPr>
          <w:p w14:paraId="32CCDAD2"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0230</w:t>
            </w:r>
          </w:p>
        </w:tc>
        <w:tc>
          <w:tcPr>
            <w:tcW w:w="8190" w:type="dxa"/>
          </w:tcPr>
          <w:p w14:paraId="77F37331"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JÖVŐBELI ADMINISZTRATÍV KÖLTSÉGEK</w:t>
            </w:r>
          </w:p>
          <w:p w14:paraId="519714E3" w14:textId="77777777" w:rsidR="001B1411" w:rsidRPr="00DA7625" w:rsidRDefault="00973707">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Az intézmény valós értékében azon adminisztratív költségek tükrözése céljából alkalmazott korrekció, amelyek a portfólió vagy pozíció kapcsán felmerülnek, de amelyeket nem vesz figyelembe az értékelési modell vagy a modell inputjainak kalibrálásához használt árak, és amely korrekcióról így megállapítható, hogy ugyanarra az értékelési bizonytalansági forrásra vonatkozik, mint a jövőbeli adminisztratív költségekkel kapcsolatos kiegészítő értékelési korrekció.</w:t>
            </w:r>
          </w:p>
        </w:tc>
      </w:tr>
      <w:tr w:rsidR="001B1411" w:rsidRPr="00DA7625" w14:paraId="06CBFC6F" w14:textId="77777777" w:rsidTr="00672D2A">
        <w:tc>
          <w:tcPr>
            <w:tcW w:w="1101" w:type="dxa"/>
          </w:tcPr>
          <w:p w14:paraId="76FCCA6B"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0240</w:t>
            </w:r>
          </w:p>
        </w:tc>
        <w:tc>
          <w:tcPr>
            <w:tcW w:w="8190" w:type="dxa"/>
          </w:tcPr>
          <w:p w14:paraId="5AEE533F"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LEJÁRAT ELŐTTI VISSZAVÁLTÁS</w:t>
            </w:r>
          </w:p>
          <w:p w14:paraId="03FC72C7" w14:textId="70B4F51B" w:rsidR="001B1411" w:rsidRPr="00DA7625" w:rsidRDefault="00973707">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Az intézmény valós értékében azon szerződéses vagy nem szerződéses lejárat előtti visszaváltásra vonatkozó várakozások tükrözése érdekben alkalmazott korrekció, amelyeket nem vesz figyelembe az értékelési modell, és amely korrekcióról így megállapítható, hogy ugyanarra az értékelési bizonytalansági forrásra vonatkozik, mint a lejárat előtti visszaváltással kapcsolatos kiegészítő értékelési korrekció.</w:t>
            </w:r>
          </w:p>
        </w:tc>
      </w:tr>
      <w:tr w:rsidR="001B1411" w:rsidRPr="00DA7625" w14:paraId="6D997EE3" w14:textId="77777777" w:rsidTr="00672D2A">
        <w:tc>
          <w:tcPr>
            <w:tcW w:w="1101" w:type="dxa"/>
          </w:tcPr>
          <w:p w14:paraId="5A9FF462"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0250</w:t>
            </w:r>
          </w:p>
        </w:tc>
        <w:tc>
          <w:tcPr>
            <w:tcW w:w="8190" w:type="dxa"/>
          </w:tcPr>
          <w:p w14:paraId="456F2712"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MŰKÖDÉSI KOCKÁZAT</w:t>
            </w:r>
          </w:p>
          <w:p w14:paraId="543AC4B7" w14:textId="58E80A40"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b w:val="0"/>
                <w:sz w:val="24"/>
                <w:u w:val="none"/>
              </w:rPr>
              <w:lastRenderedPageBreak/>
              <w:t>Az intézmény valós értékében azon kockázati prémium tükrözése érdekében alkalmazott korrekció, amelyet a piaci szereplők felszámítanának a portfólióban lévő szerződések fedezéséből, adminisztrációjából és elszámolásából eredő működési kockázatok kompenzációja céljából, és amely korrekcióról így megállapítható, hogy ugyanarra az értékelési bizonytalansági forrásra vonatkozik, mint a működési kockázattal kapcsolatos kiegészítő értékelési korrekció.</w:t>
            </w:r>
          </w:p>
        </w:tc>
      </w:tr>
      <w:tr w:rsidR="001B1411" w:rsidRPr="00DA7625" w14:paraId="00B1E50C" w14:textId="77777777" w:rsidTr="00672D2A">
        <w:tc>
          <w:tcPr>
            <w:tcW w:w="1101" w:type="dxa"/>
          </w:tcPr>
          <w:p w14:paraId="34A5C593"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lastRenderedPageBreak/>
              <w:t>0260</w:t>
            </w:r>
          </w:p>
        </w:tc>
        <w:tc>
          <w:tcPr>
            <w:tcW w:w="8190" w:type="dxa"/>
          </w:tcPr>
          <w:p w14:paraId="56995CA9"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1. NAPI EREDMÉNY</w:t>
            </w:r>
          </w:p>
          <w:p w14:paraId="5484AB71" w14:textId="77777777" w:rsidR="001B1411" w:rsidRPr="00DA7625" w:rsidRDefault="00973707">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Azon esetek tükrözése céljából alkalmazott korrekciók, amelyekben az értékelési modell plusz a pozícióra vagy portfólióra alkalmazandó összes többi releváns valósérték-korrekció nem vette figyelembe az első napi megjelenítéskor fizetett vagy kapott árat, azaz az első napi nyereségek és veszteségek elhalasztását (IFRS 9 B5.1.2A. bekezdés).</w:t>
            </w:r>
          </w:p>
        </w:tc>
      </w:tr>
      <w:tr w:rsidR="001B1411" w:rsidRPr="00DA7625" w14:paraId="1A373008" w14:textId="77777777" w:rsidTr="00672D2A">
        <w:tc>
          <w:tcPr>
            <w:tcW w:w="1101" w:type="dxa"/>
          </w:tcPr>
          <w:p w14:paraId="43ACAC6A"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0270</w:t>
            </w:r>
          </w:p>
        </w:tc>
        <w:tc>
          <w:tcPr>
            <w:tcW w:w="8190" w:type="dxa"/>
          </w:tcPr>
          <w:p w14:paraId="525F3B0B" w14:textId="77777777" w:rsidR="001B1411" w:rsidRPr="00DA7625" w:rsidRDefault="00973707">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MAGYARÁZAT</w:t>
            </w:r>
          </w:p>
          <w:p w14:paraId="2A6906D0" w14:textId="64451330" w:rsidR="001B1411" w:rsidRPr="00DA7625" w:rsidRDefault="00973707">
            <w:pPr>
              <w:spacing w:beforeLines="60" w:before="144" w:afterLines="60" w:after="144"/>
              <w:rPr>
                <w:rStyle w:val="InstructionsTabelleberschrift"/>
                <w:rFonts w:ascii="Times New Roman" w:hAnsi="Times New Roman"/>
                <w:b w:val="0"/>
                <w:sz w:val="24"/>
                <w:u w:val="none"/>
              </w:rPr>
            </w:pPr>
            <w:r w:rsidRPr="00DA7625">
              <w:rPr>
                <w:rFonts w:ascii="Times New Roman" w:hAnsi="Times New Roman"/>
                <w:sz w:val="24"/>
              </w:rPr>
              <w:t>Az (EU) 2016/101 felhatalmazáson alapuló rendelet 7. cikke (2) bekezdésének b) pontja szerint kezelt pozíciók leírása, és annak magyarázata, hogy miért nem volt lehetséges a rendelet 9–17. cikkének az alkalmazása.</w:t>
            </w:r>
          </w:p>
        </w:tc>
      </w:tr>
    </w:tbl>
    <w:p w14:paraId="523A6DE9" w14:textId="77777777" w:rsidR="001B1411" w:rsidRPr="00DA7625" w:rsidRDefault="001B1411">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
        <w:gridCol w:w="7971"/>
      </w:tblGrid>
      <w:tr w:rsidR="001B1411" w:rsidRPr="00DA7625" w14:paraId="16E49B7D" w14:textId="77777777" w:rsidTr="00672D2A">
        <w:tc>
          <w:tcPr>
            <w:tcW w:w="9288" w:type="dxa"/>
            <w:gridSpan w:val="2"/>
            <w:shd w:val="clear" w:color="auto" w:fill="CCCCCC"/>
          </w:tcPr>
          <w:p w14:paraId="269756AB" w14:textId="77777777" w:rsidR="001B1411" w:rsidRPr="00DA7625" w:rsidRDefault="00973707">
            <w:pPr>
              <w:spacing w:beforeLines="60" w:before="144" w:afterLines="60" w:after="144"/>
              <w:rPr>
                <w:rFonts w:ascii="Times New Roman" w:hAnsi="Times New Roman"/>
                <w:b/>
                <w:sz w:val="24"/>
              </w:rPr>
            </w:pPr>
            <w:r w:rsidRPr="00DA7625">
              <w:rPr>
                <w:rFonts w:ascii="Times New Roman" w:hAnsi="Times New Roman"/>
                <w:b/>
                <w:sz w:val="24"/>
              </w:rPr>
              <w:t>Sor</w:t>
            </w:r>
          </w:p>
        </w:tc>
      </w:tr>
      <w:tr w:rsidR="001B1411" w:rsidRPr="00DA7625" w14:paraId="0D9B9B4E" w14:textId="77777777" w:rsidTr="00672D2A">
        <w:tc>
          <w:tcPr>
            <w:tcW w:w="1101" w:type="dxa"/>
          </w:tcPr>
          <w:p w14:paraId="5B2DDB2E"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0010</w:t>
            </w:r>
          </w:p>
        </w:tc>
        <w:tc>
          <w:tcPr>
            <w:tcW w:w="8187" w:type="dxa"/>
          </w:tcPr>
          <w:p w14:paraId="093E6C93" w14:textId="77777777" w:rsidR="001B1411" w:rsidRPr="00DA7625" w:rsidRDefault="00973707">
            <w:pPr>
              <w:spacing w:beforeLines="60" w:before="144" w:afterLines="60" w:after="144"/>
              <w:rPr>
                <w:rFonts w:ascii="Times New Roman" w:hAnsi="Times New Roman"/>
                <w:b/>
                <w:sz w:val="24"/>
                <w:u w:val="single"/>
              </w:rPr>
            </w:pPr>
            <w:r w:rsidRPr="00DA7625">
              <w:rPr>
                <w:rFonts w:ascii="Times New Roman" w:hAnsi="Times New Roman"/>
                <w:b/>
                <w:sz w:val="24"/>
                <w:u w:val="single"/>
              </w:rPr>
              <w:t xml:space="preserve">1. ALAPVETŐ MÓDSZER ÖSSZESEN </w:t>
            </w:r>
          </w:p>
          <w:p w14:paraId="3AD7F65B" w14:textId="22E35E40"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Az (EU) 2016/101 felhatalmazáson alapuló rendelet 7. cikkének (2) bekezdése.</w:t>
            </w:r>
          </w:p>
          <w:p w14:paraId="0A12C852" w14:textId="1350E1D4"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A 0010–0110. oszlopban említett kiegészítő értékelési korrekciók minden egyes releváns kategóriájára vonatkozóan az (EU) 2016/101 felhatalmazáson alapuló rendelet 3. fejezetében meghatározott alapvető módszer szerint kiszámított kiegészítő értékelési korrekciók teljes összege az említett rendelet 4. cikkének (1) bekezdése szerinti értékhatár-számításba bevont valós értéken értékelt eszközökre és kötelezettségekre vonatkozóan. Ez magában foglalja az (EU) 2016/101 felhatalmazáson alapuló rendelet 9. cikkének (6) bekezdésével, 10. cikkének (7) bekezdésével és 11. cikkének (7) bekezdésével összhangban a 0140. sorban feltüntetett diverzifikációs nyereséget. </w:t>
            </w:r>
          </w:p>
        </w:tc>
      </w:tr>
      <w:tr w:rsidR="001B1411" w:rsidRPr="00DA7625" w14:paraId="3EE92267" w14:textId="77777777" w:rsidTr="00672D2A">
        <w:tc>
          <w:tcPr>
            <w:tcW w:w="1101" w:type="dxa"/>
          </w:tcPr>
          <w:p w14:paraId="25A1A494"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0020</w:t>
            </w:r>
          </w:p>
        </w:tc>
        <w:tc>
          <w:tcPr>
            <w:tcW w:w="8187" w:type="dxa"/>
          </w:tcPr>
          <w:p w14:paraId="45337FCE" w14:textId="77777777" w:rsidR="001B1411" w:rsidRPr="00DA7625" w:rsidRDefault="00973707">
            <w:pPr>
              <w:spacing w:beforeLines="60" w:before="144" w:afterLines="60" w:after="144"/>
              <w:rPr>
                <w:rFonts w:ascii="Times New Roman" w:hAnsi="Times New Roman"/>
                <w:b/>
                <w:sz w:val="24"/>
                <w:u w:val="single"/>
              </w:rPr>
            </w:pPr>
            <w:r w:rsidRPr="00DA7625">
              <w:rPr>
                <w:rFonts w:ascii="Times New Roman" w:hAnsi="Times New Roman"/>
                <w:b/>
                <w:sz w:val="24"/>
                <w:u w:val="single"/>
              </w:rPr>
              <w:t xml:space="preserve">EBBŐL: KERESKEDÉSI KÖNYV </w:t>
            </w:r>
          </w:p>
          <w:p w14:paraId="63BAEAF5" w14:textId="40AFA418"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Az (EU) 2016/101 felhatalmazáson alapuló rendelet 7. cikkének (2) bekezdése.</w:t>
            </w:r>
          </w:p>
          <w:p w14:paraId="14D4B324" w14:textId="77777777" w:rsidR="001B1411" w:rsidRPr="00DA7625" w:rsidRDefault="00973707">
            <w:pPr>
              <w:spacing w:beforeLines="60" w:before="144" w:afterLines="60" w:after="144"/>
              <w:rPr>
                <w:rFonts w:ascii="Times New Roman" w:hAnsi="Times New Roman"/>
                <w:b/>
                <w:sz w:val="24"/>
                <w:u w:val="single"/>
              </w:rPr>
            </w:pPr>
            <w:r w:rsidRPr="00DA7625">
              <w:rPr>
                <w:rFonts w:ascii="Times New Roman" w:hAnsi="Times New Roman"/>
                <w:sz w:val="24"/>
              </w:rPr>
              <w:t>A 0010–0110. oszlopban említett kiegészítő értékelési korrekciók minden egyes releváns kategóriájára vonatkozóan a 0010. sorban feltüntetett kiegészítő értékelési korrekciók teljes összegének a kereskedési könyvi pozíciókból eredő része (abszolút érték).</w:t>
            </w:r>
          </w:p>
        </w:tc>
      </w:tr>
      <w:tr w:rsidR="001B1411" w:rsidRPr="00DA7625" w14:paraId="796F890B" w14:textId="77777777" w:rsidTr="00672D2A">
        <w:tc>
          <w:tcPr>
            <w:tcW w:w="1101" w:type="dxa"/>
          </w:tcPr>
          <w:p w14:paraId="10D99759"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0030</w:t>
            </w:r>
          </w:p>
        </w:tc>
        <w:tc>
          <w:tcPr>
            <w:tcW w:w="8187" w:type="dxa"/>
          </w:tcPr>
          <w:p w14:paraId="068FE137" w14:textId="327693F6" w:rsidR="001B1411" w:rsidRPr="00DA7625" w:rsidRDefault="00973707">
            <w:pPr>
              <w:spacing w:beforeLines="60" w:before="144" w:afterLines="60" w:after="144"/>
              <w:rPr>
                <w:rFonts w:ascii="Times New Roman" w:hAnsi="Times New Roman"/>
                <w:b/>
                <w:sz w:val="24"/>
                <w:u w:val="single"/>
              </w:rPr>
            </w:pPr>
            <w:r w:rsidRPr="00DA7625">
              <w:rPr>
                <w:rFonts w:ascii="Times New Roman" w:hAnsi="Times New Roman"/>
                <w:b/>
                <w:sz w:val="24"/>
                <w:u w:val="single"/>
              </w:rPr>
              <w:t>1.1. AZ (EU) 2016/101 FELHATALMAZÁSON ALAPULÓ BIZOTTSÁGI RENDELET 9–17. CIKKE</w:t>
            </w:r>
            <w:r w:rsidRPr="00DA7625">
              <w:rPr>
                <w:sz w:val="24"/>
              </w:rPr>
              <w:t xml:space="preserve"> </w:t>
            </w:r>
            <w:r w:rsidRPr="00DA7625">
              <w:rPr>
                <w:rFonts w:ascii="Times New Roman" w:hAnsi="Times New Roman"/>
                <w:b/>
                <w:sz w:val="24"/>
                <w:u w:val="single"/>
              </w:rPr>
              <w:t xml:space="preserve">SZERINTI PORTFÓLIÓK – KATEGÓRIASZINTŰ ÖSSZESÍTÉS DIVERZIFIKÁCIÓ UTÁN </w:t>
            </w:r>
          </w:p>
          <w:p w14:paraId="58BFB114" w14:textId="0ABD3CFB" w:rsidR="001B1411" w:rsidRPr="00DA7625" w:rsidRDefault="002B004B">
            <w:pPr>
              <w:spacing w:beforeLines="60" w:before="144" w:afterLines="60" w:after="144"/>
              <w:rPr>
                <w:rFonts w:ascii="Times New Roman" w:hAnsi="Times New Roman"/>
                <w:sz w:val="24"/>
              </w:rPr>
            </w:pPr>
            <w:r w:rsidRPr="00DA7625">
              <w:rPr>
                <w:rFonts w:ascii="Times New Roman" w:hAnsi="Times New Roman"/>
                <w:sz w:val="24"/>
              </w:rPr>
              <w:lastRenderedPageBreak/>
              <w:t>Az (EU) 2016/101 felhatalmazáson alapuló rendelet 7. cikke (2) bekezdésének a) pontja</w:t>
            </w:r>
          </w:p>
          <w:p w14:paraId="4CF92BA6" w14:textId="225CC484"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A 0010–0110. oszlopban említett kiegészítő értékelési korrekciók minden egyes releváns kategóriájára vonatkozóan az (EU) 2016/101 felhatalmazáson alapuló rendelet 9–17. cikke szerint számított kiegészítő értékelési korrekciók teljes összege az említett rendelet 4. cikkének (1) bekezdése szerinti értékhatár-számításba bevont valós értéken értékelt eszközökre és kötelezettségekre vonatkozóan, kivéve az (EU) 2016/101 felhatalmazáson alapuló rendelet 7. cikke (2) bekezdésének b) pontjában leírt kezelés alá tartozó valós értéken értékelt eszközöket és kötelezettségeket. </w:t>
            </w:r>
          </w:p>
          <w:p w14:paraId="0E0C61EA" w14:textId="355BDB48"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Ez magában foglalja az (EU) 2016/101 felhatalmazáson alapuló rendelet 12. és 13. cikke szerint számított, a 0050. és 0060. sorban feltüntetett kiegészítő értékelési korrekciókat, amelyeket az említett rendelet 12. cikkének (2) bekezdésében és 13. cikkének (2) bekezdésében meghatározottak szerint tartalmaznak a piaci ár bizonytalanságával kapcsolatos, a pozíciózárási költségekkel kapcsolatos, és a modellkockázattal kapcsolatos kiegészítő értékelési korrekciók. </w:t>
            </w:r>
          </w:p>
          <w:p w14:paraId="0C1502FC" w14:textId="5231625C"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Ez magában foglalja az (EU) 2016/101 felhatalmazáson alapuló rendelet 9. cikkének (6) bekezdésével, 10. cikkének (7) bekezdésével és 11. cikkének (7) bekezdésével összhangban a 0140. sorban feltüntetett diverzifikációs nyereséget. </w:t>
            </w:r>
          </w:p>
          <w:p w14:paraId="1D204122" w14:textId="4B973C5D"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A 0030. sornak a 0040. és 0140. sor különbözetének kell lennie. </w:t>
            </w:r>
          </w:p>
        </w:tc>
      </w:tr>
      <w:tr w:rsidR="001B1411" w:rsidRPr="00DA7625" w14:paraId="4BD0BD11" w14:textId="77777777" w:rsidTr="00672D2A">
        <w:tc>
          <w:tcPr>
            <w:tcW w:w="1101" w:type="dxa"/>
          </w:tcPr>
          <w:p w14:paraId="46E96714"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lastRenderedPageBreak/>
              <w:t>0040–0130</w:t>
            </w:r>
          </w:p>
        </w:tc>
        <w:tc>
          <w:tcPr>
            <w:tcW w:w="8187" w:type="dxa"/>
          </w:tcPr>
          <w:p w14:paraId="03243C51" w14:textId="77777777" w:rsidR="001B1411" w:rsidRPr="00DA7625" w:rsidRDefault="00973707">
            <w:pPr>
              <w:spacing w:beforeLines="60" w:before="144" w:afterLines="60" w:after="144"/>
              <w:rPr>
                <w:rFonts w:ascii="Times New Roman" w:hAnsi="Times New Roman"/>
                <w:b/>
                <w:sz w:val="24"/>
                <w:u w:val="single"/>
              </w:rPr>
            </w:pPr>
            <w:r w:rsidRPr="00DA7625">
              <w:rPr>
                <w:rFonts w:ascii="Times New Roman" w:hAnsi="Times New Roman"/>
                <w:b/>
                <w:sz w:val="24"/>
                <w:u w:val="single"/>
              </w:rPr>
              <w:t>1.1.1 KATEGÓRIASZINTŰ ÖSSZESÍTÉS DIVERZIFIKÁCIÓ ELŐTT</w:t>
            </w:r>
          </w:p>
          <w:p w14:paraId="202A9EEF" w14:textId="623751E1"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A 0090–0130. sor esetében az intézményeknek az (EU) 2016/101 felhatalmazáson alapuló rendelet 4. cikkének (1) bekezdése szerinti értékhatár-számításba bevont (kereskedési könyvi és nem kereskedési könyvi) valós értéken értékelt eszközeiket és kötelezettségeiket a következő kockázati kategóriákhoz kell allokálniuk: kamatláb, devizaárfolyam, hitel, részvény, áru. </w:t>
            </w:r>
          </w:p>
          <w:p w14:paraId="1E1FF073" w14:textId="5403142D"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Az intézmények e célból belső kockázatkezelési struktúrájukra támaszkodnak, és a szakértői megítélés alapján kidolgozott hozzárendelést követve üzletágaikat vagy kereskedési egységeiket a legmegfelelőbb kockázati kategóriához rendelik. Az allokált üzletágaknak vagy kereskedési egységeknek megfelelő kiegészítő értékelési korrekciókat, valósérték-korrekciókat és egyéb előírt információkat ugyanazon releváns kockázati kategóriába kell allokálni, hogy a sorok szintjén minden egyes kockázati kategória esetében biztosított legyen mind a prudenciális célból, mind a számviteli célból végrehajtott korrekciók következetes áttekintése, valamint az érintett pozíciók nagyságának megjelölése (a valós értéken értékelt eszközök és kötelezettségek szempontjából). Amennyiben a kiegészítő értékelési korrekciókat vagy egyéb korrekciókat eltérő aggregálási szinte számítják, mindenekelőtt a vállalkozás szintjén, az intézményeknek ki kell dolgozniuk egy allokációs módszert a kiegészítő értékelési korrekcióknak a releváns pozícióhalmazokhoz való rendeléséhez. Az allokációs módszernek azt kell eredményeznie, hogy a 0040. sor a 0050–0130. sorok összege legyen a 0010–0100. oszlop esetében. </w:t>
            </w:r>
          </w:p>
          <w:p w14:paraId="4A582A0B" w14:textId="77777777"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Az alkalmazott módszertől függetlenül a feltüntetett információknak a lehető legnagyobb mértékben következetesnek kell lenniük a sorok szintjén, mivel a megadott információk ezen a szinten kerülnek összehasonlításra (kiegészítő értékelési </w:t>
            </w:r>
            <w:r w:rsidRPr="00DA7625">
              <w:rPr>
                <w:rFonts w:ascii="Times New Roman" w:hAnsi="Times New Roman"/>
                <w:sz w:val="24"/>
              </w:rPr>
              <w:lastRenderedPageBreak/>
              <w:t xml:space="preserve">korrekciók összegei, felső bizonytalansági érték, valósérték-összegek és potenciális valósérték-korrekciók). </w:t>
            </w:r>
          </w:p>
          <w:p w14:paraId="3351BFAA" w14:textId="6D995B8A"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A 0090–0130. sor szerinti bontás nem foglalja magában az (EU) 2016/101 felhatalmazáson alapuló rendelet 12. és 13. cikke alapján számított, a 0050. és 0060. sorban feltüntetett kiegészítő értékelési korrekciókat, amelyeket az említett rendelet 12. cikkének (2) bekezdésében és 13. cikkének (2) bekezdésében meghatározottak szerint tartalmaznak a piaci ár bizonytalanságával kapcsolatos, a pozíciózárási költségekkel kapcsolatos, és a modellkockázattal kapcsolatos kiegészítő értékelési korrekciók.</w:t>
            </w:r>
          </w:p>
          <w:p w14:paraId="6232A42A" w14:textId="2065D687"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A diverzifikációs nyereségek az (EU) 2016/101 felhatalmazáson alapuló rendelet 9. cikkének (6) bekezdésével, 10. cikkének (7) bekezdésével és 11. cikkének (7) bekezdésével összhangban a 0140. sorban vannak feltüntetve, ezért nem szerepelnek a 0040–0130. sorban. </w:t>
            </w:r>
          </w:p>
        </w:tc>
      </w:tr>
      <w:tr w:rsidR="001B1411" w:rsidRPr="00DA7625" w14:paraId="12ECE089" w14:textId="77777777" w:rsidTr="00672D2A">
        <w:tc>
          <w:tcPr>
            <w:tcW w:w="1101" w:type="dxa"/>
          </w:tcPr>
          <w:p w14:paraId="21F21EE7"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lastRenderedPageBreak/>
              <w:t>0050</w:t>
            </w:r>
          </w:p>
        </w:tc>
        <w:tc>
          <w:tcPr>
            <w:tcW w:w="8187" w:type="dxa"/>
            <w:shd w:val="clear" w:color="auto" w:fill="auto"/>
          </w:tcPr>
          <w:p w14:paraId="609842B5" w14:textId="77777777" w:rsidR="001B1411" w:rsidRPr="00DA7625" w:rsidRDefault="00973707">
            <w:pPr>
              <w:spacing w:beforeLines="60" w:before="144" w:afterLines="60" w:after="144"/>
              <w:rPr>
                <w:rFonts w:ascii="Times New Roman" w:hAnsi="Times New Roman"/>
                <w:b/>
                <w:sz w:val="24"/>
                <w:u w:val="single"/>
              </w:rPr>
            </w:pPr>
            <w:r w:rsidRPr="00DA7625">
              <w:rPr>
                <w:rFonts w:ascii="Times New Roman" w:hAnsi="Times New Roman"/>
                <w:b/>
                <w:sz w:val="24"/>
                <w:u w:val="single"/>
              </w:rPr>
              <w:t>EBBŐL: NEM REALIZÁLT HITELKOCKÁZATI FELÁR KIEGÉSZÍTŐ ÉRTÉKELÉSI KORREKCIÓJA</w:t>
            </w:r>
          </w:p>
          <w:p w14:paraId="4C43FBD6" w14:textId="42CE7CD6"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A CRR 105. cikkének (10) bekezdése, az (EU) 2016/101 felhatalmazáson alapuló rendelet 12. cikke.</w:t>
            </w:r>
          </w:p>
          <w:p w14:paraId="672111AA" w14:textId="733CE05A"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A nem realizált hitelkockázati felárra vonatkozóan kiszámított kiegészítő értékelési korrekció teljes összege, és az (EU) 2016/101 felhatalmazáson alapuló rendelet 12. cikk szerinti allokációja a piaci ár bizonytalanságával, a pozíciózárási költségekkel és a modellkockázattal kapcsolatos kiegészítő értékelési korrekciók között. </w:t>
            </w:r>
          </w:p>
          <w:p w14:paraId="7AAF8730" w14:textId="77777777"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0110. oszlop: A kiegészítő értékelési korrekciók teljes összege csak tájékoztatásul szerepel, mivel a piaci ár bizonytalanságával, a pozíciózárási költségekkel és a modellkockázattal kapcsolatos kiegészítő értékelési korrekciók közötti allokációjának eredményeképp – a diverzifikációs nyereségek figyelembevétele után – a vonatkozó kategóriaszintű kiegészítő értékelési korrekciók alá kerül. </w:t>
            </w:r>
          </w:p>
          <w:p w14:paraId="3AE233E0" w14:textId="007FAE76"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0130. és 0140. oszlop: Nem realizált hitelkockázati felárral kapcsolatos kiegészítő értékelési korrekciók számításába bevont, valós értéken értékelt eszközök és kötelezettségek abszolút értéke. Ennek a kiegészítő értékelési korrekciónak a kiszámítása céljából az (EU) 2016/101 felhatalmazáson alapuló rendelet 4. cikkének (2) bekezdése szerint az értékhatár-számításból kizárt pontosan megegyező, valós értéken értékelt kiegyenlítő eszközök és kötelezettségek nem tekinthetők többé pontosan megegyezőnek, kiegyenlítőnek.</w:t>
            </w:r>
          </w:p>
        </w:tc>
      </w:tr>
      <w:tr w:rsidR="001B1411" w:rsidRPr="00DA7625" w14:paraId="2C7204F5" w14:textId="77777777" w:rsidTr="00672D2A">
        <w:tc>
          <w:tcPr>
            <w:tcW w:w="1101" w:type="dxa"/>
          </w:tcPr>
          <w:p w14:paraId="246E982D"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0060</w:t>
            </w:r>
          </w:p>
        </w:tc>
        <w:tc>
          <w:tcPr>
            <w:tcW w:w="8187" w:type="dxa"/>
            <w:shd w:val="clear" w:color="auto" w:fill="auto"/>
          </w:tcPr>
          <w:p w14:paraId="41D0B6DC" w14:textId="77777777" w:rsidR="001B1411" w:rsidRPr="00DA7625" w:rsidRDefault="00973707">
            <w:pPr>
              <w:spacing w:beforeLines="60" w:before="144" w:afterLines="60" w:after="144"/>
              <w:rPr>
                <w:rFonts w:ascii="Times New Roman" w:hAnsi="Times New Roman"/>
                <w:b/>
                <w:sz w:val="24"/>
                <w:u w:val="single"/>
              </w:rPr>
            </w:pPr>
            <w:r w:rsidRPr="00DA7625">
              <w:rPr>
                <w:rFonts w:ascii="Times New Roman" w:hAnsi="Times New Roman"/>
                <w:b/>
                <w:sz w:val="24"/>
                <w:u w:val="single"/>
              </w:rPr>
              <w:t xml:space="preserve">EBBŐL: BEFEKTETÉSI ÉS FINANSZÍROZÁSI KÖLTSÉGEK KIEGÉSZÍTŐ ÉRTÉKELÉSI KORREKCIÓJA </w:t>
            </w:r>
          </w:p>
          <w:p w14:paraId="7F03FED1" w14:textId="29FB1ACF" w:rsidR="001B1411" w:rsidRPr="00DA7625" w:rsidRDefault="00973707">
            <w:pPr>
              <w:spacing w:beforeLines="60" w:before="144" w:afterLines="60" w:after="144"/>
              <w:rPr>
                <w:rFonts w:ascii="Times New Roman" w:hAnsi="Times New Roman"/>
                <w:caps/>
                <w:sz w:val="24"/>
                <w:u w:val="single"/>
              </w:rPr>
            </w:pPr>
            <w:r w:rsidRPr="00DA7625">
              <w:rPr>
                <w:rFonts w:ascii="Times New Roman" w:hAnsi="Times New Roman"/>
                <w:sz w:val="24"/>
              </w:rPr>
              <w:t>A CRR 105. cikkének (10) bekezdése, az (EU) 2016/101 felhatalmazáson alapuló rendelet 17. cikke.</w:t>
            </w:r>
          </w:p>
          <w:p w14:paraId="5753A384" w14:textId="471CA708"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A befektetési és finanszírozási költségekre vonatkozóan kiszámított kiegészítő értékelési korrekció teljes összege, és az (EU) 2016/101 felhatalmazáson alapuló rendelet 13. cikk szerinti allokációja a piaci ár bizonytalanságával, a pozíciózárási költségekkel és a modellkockázattal kapcsolatos kiegészítő értékelési korrekciók között. </w:t>
            </w:r>
          </w:p>
          <w:p w14:paraId="3EB4E814" w14:textId="77777777"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lastRenderedPageBreak/>
              <w:t xml:space="preserve">0110. oszlop: A kiegészítő értékelési korrekciók teljes összege csak tájékoztatásul szerepel, mivel a piaci ár bizonytalanságával, a pozíciózárási költségekkel és a modellkockázattal kapcsolatos kiegészítő értékelési korrekciók közötti allokációjának eredményeképp – a diverzifikációs nyereségek figyelembevétele után – a vonatkozó kategóriaszintű kiegészítő értékelési korrekciók alá kerül. </w:t>
            </w:r>
          </w:p>
          <w:p w14:paraId="3D381B09" w14:textId="7FA657FD"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0130. és 0140. oszlop: Befektetési és finanszírozási költségekkel kapcsolatos kiegészítő értékelési korrekció számításába bevont, valós értéken értékelt eszközök és kötelezettségek abszolút értéke. Ennek a kiegészítő értékelési korrekciónak a kiszámítása céljából az (EU) 2016/101 felhatalmazáson alapuló rendelet 4. cikkének (2) bekezdése szerint az értékhatár-számításból kizárt pontosan megegyező, valós értéken értékelt kiegyenlítő eszközök és kötelezettségek nem tekinthetők többé pontosan megegyezőnek, kiegyenlítőnek.</w:t>
            </w:r>
          </w:p>
        </w:tc>
      </w:tr>
      <w:tr w:rsidR="001B1411" w:rsidRPr="00DA7625" w14:paraId="35A14394" w14:textId="77777777" w:rsidTr="00672D2A">
        <w:tc>
          <w:tcPr>
            <w:tcW w:w="1101" w:type="dxa"/>
          </w:tcPr>
          <w:p w14:paraId="2D34F8EE"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lastRenderedPageBreak/>
              <w:t>0070</w:t>
            </w:r>
          </w:p>
        </w:tc>
        <w:tc>
          <w:tcPr>
            <w:tcW w:w="8187" w:type="dxa"/>
          </w:tcPr>
          <w:p w14:paraId="643E98B4" w14:textId="77777777" w:rsidR="001B1411" w:rsidRPr="00DA7625" w:rsidRDefault="00973707">
            <w:pPr>
              <w:spacing w:beforeLines="60" w:before="144" w:afterLines="60" w:after="144"/>
              <w:rPr>
                <w:rFonts w:ascii="Times New Roman" w:hAnsi="Times New Roman"/>
                <w:b/>
                <w:sz w:val="24"/>
                <w:u w:val="single"/>
              </w:rPr>
            </w:pPr>
            <w:r w:rsidRPr="00DA7625">
              <w:rPr>
                <w:rFonts w:ascii="Times New Roman" w:hAnsi="Times New Roman"/>
                <w:b/>
                <w:sz w:val="24"/>
                <w:u w:val="single"/>
              </w:rPr>
              <w:t xml:space="preserve">EBBŐL: </w:t>
            </w:r>
            <w:r w:rsidRPr="00DA7625">
              <w:rPr>
                <w:rFonts w:ascii="Times New Roman" w:hAnsi="Times New Roman"/>
                <w:b/>
                <w:caps/>
                <w:sz w:val="24"/>
              </w:rPr>
              <w:t>AZ (EU) 2016/101 felhatalmazáson alapuló rendelet</w:t>
            </w:r>
            <w:r w:rsidRPr="00DA7625">
              <w:rPr>
                <w:rFonts w:ascii="Times New Roman" w:hAnsi="Times New Roman"/>
                <w:b/>
                <w:sz w:val="24"/>
                <w:u w:val="single"/>
              </w:rPr>
              <w:t xml:space="preserve"> 9. CIKKÉNEK (2) BEKEZDÉSE SZERINT NULLA ÉRTÉKKEL ÉRTÉKELT KIEGÉSZÍTŐ ÉRTÉKELÉSI KORREKCIÓ</w:t>
            </w:r>
          </w:p>
          <w:p w14:paraId="50750DDA" w14:textId="60CF38F3"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Az (EU) 2016/101 felhatalmazáson alapuló rendelet 9. cikkének (2) bekezdése szerint nulla kiegészítő értékelési korrekcióval rendelkezőnek értékelt értékelési kitettségnek megfelelő, valós értéken értékelt eszközök és kötelezettségek abszolút értéke. </w:t>
            </w:r>
          </w:p>
        </w:tc>
      </w:tr>
      <w:tr w:rsidR="001B1411" w:rsidRPr="00DA7625" w14:paraId="510BD45A" w14:textId="77777777" w:rsidTr="00672D2A">
        <w:tc>
          <w:tcPr>
            <w:tcW w:w="1101" w:type="dxa"/>
          </w:tcPr>
          <w:p w14:paraId="06AA6760"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0080</w:t>
            </w:r>
          </w:p>
        </w:tc>
        <w:tc>
          <w:tcPr>
            <w:tcW w:w="8187" w:type="dxa"/>
          </w:tcPr>
          <w:p w14:paraId="524C82D9" w14:textId="12B2813B" w:rsidR="001B1411" w:rsidRPr="00DA7625" w:rsidRDefault="00973707">
            <w:pPr>
              <w:spacing w:beforeLines="60" w:before="144" w:afterLines="60" w:after="144"/>
              <w:rPr>
                <w:rFonts w:ascii="Times New Roman" w:hAnsi="Times New Roman"/>
                <w:b/>
                <w:sz w:val="24"/>
                <w:u w:val="single"/>
              </w:rPr>
            </w:pPr>
            <w:r w:rsidRPr="00DA7625">
              <w:rPr>
                <w:rFonts w:ascii="Times New Roman" w:hAnsi="Times New Roman"/>
                <w:b/>
                <w:sz w:val="24"/>
                <w:u w:val="single"/>
              </w:rPr>
              <w:t xml:space="preserve">EBBŐL: </w:t>
            </w:r>
            <w:r w:rsidRPr="00DA7625">
              <w:rPr>
                <w:rFonts w:ascii="Times New Roman" w:hAnsi="Times New Roman"/>
                <w:b/>
                <w:caps/>
                <w:sz w:val="24"/>
              </w:rPr>
              <w:t>AZ (EU) 2016/101 felhatalmazáson alapuló rendelet</w:t>
            </w:r>
            <w:r w:rsidRPr="00DA7625">
              <w:rPr>
                <w:rFonts w:ascii="Times New Roman" w:hAnsi="Times New Roman"/>
                <w:b/>
                <w:sz w:val="24"/>
                <w:u w:val="single"/>
              </w:rPr>
              <w:t>10. CIKKÉNEK (2) ÉS (3) BEKEZDÉSE SZERINT NULLA ÉRTÉKKEL ÉRTÉKELT KIEGÉSZÍTŐ ÉRTÉKELÉSI KORREKCIÓ</w:t>
            </w:r>
          </w:p>
          <w:p w14:paraId="5C44A8C7" w14:textId="770D8BE7"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Az (EU) 2016/101 felhatalmazáson alapuló rendelet 10. cikkének (2) bekezdése vagy 10. cikkének (3) bekezdése szerint nulla kiegészítő értékelési korrekcióval rendelkezőnek értékelt értékelési kitettségnek megfelelő, valós értéken értékelt eszközök és kötelezettségek abszolút értéke.</w:t>
            </w:r>
          </w:p>
        </w:tc>
      </w:tr>
      <w:tr w:rsidR="001B1411" w:rsidRPr="00DA7625" w14:paraId="2A570775" w14:textId="77777777" w:rsidTr="00672D2A">
        <w:tc>
          <w:tcPr>
            <w:tcW w:w="1101" w:type="dxa"/>
          </w:tcPr>
          <w:p w14:paraId="4DDE566A"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0090</w:t>
            </w:r>
          </w:p>
        </w:tc>
        <w:tc>
          <w:tcPr>
            <w:tcW w:w="8187" w:type="dxa"/>
          </w:tcPr>
          <w:p w14:paraId="65A5F28D" w14:textId="77777777" w:rsidR="001B1411" w:rsidRPr="00DA7625" w:rsidRDefault="00973707">
            <w:pPr>
              <w:spacing w:beforeLines="60" w:before="144" w:afterLines="60" w:after="144"/>
              <w:rPr>
                <w:rFonts w:ascii="Times New Roman" w:hAnsi="Times New Roman"/>
                <w:b/>
                <w:sz w:val="24"/>
                <w:u w:val="single"/>
              </w:rPr>
            </w:pPr>
            <w:r w:rsidRPr="00DA7625">
              <w:rPr>
                <w:rFonts w:ascii="Times New Roman" w:hAnsi="Times New Roman"/>
                <w:b/>
                <w:sz w:val="24"/>
                <w:u w:val="single"/>
              </w:rPr>
              <w:t>1.1.1.1 KAMATOK</w:t>
            </w:r>
          </w:p>
        </w:tc>
      </w:tr>
      <w:tr w:rsidR="001B1411" w:rsidRPr="00DA7625" w14:paraId="02D801FD" w14:textId="77777777" w:rsidTr="00672D2A">
        <w:tc>
          <w:tcPr>
            <w:tcW w:w="1101" w:type="dxa"/>
          </w:tcPr>
          <w:p w14:paraId="67C5CD1F"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0100</w:t>
            </w:r>
          </w:p>
        </w:tc>
        <w:tc>
          <w:tcPr>
            <w:tcW w:w="8187" w:type="dxa"/>
          </w:tcPr>
          <w:p w14:paraId="2A5B1241" w14:textId="77777777" w:rsidR="001B1411" w:rsidRPr="00DA7625" w:rsidRDefault="00AF3D7A">
            <w:pPr>
              <w:spacing w:beforeLines="60" w:before="144" w:afterLines="60" w:after="144"/>
              <w:rPr>
                <w:rFonts w:ascii="Times New Roman" w:hAnsi="Times New Roman"/>
                <w:b/>
                <w:sz w:val="24"/>
                <w:u w:val="single"/>
              </w:rPr>
            </w:pPr>
            <w:r w:rsidRPr="00DA7625">
              <w:rPr>
                <w:rFonts w:ascii="Times New Roman" w:hAnsi="Times New Roman"/>
                <w:b/>
                <w:sz w:val="24"/>
                <w:u w:val="single"/>
              </w:rPr>
              <w:t>1.1.1.2 DEVIZA</w:t>
            </w:r>
          </w:p>
        </w:tc>
      </w:tr>
      <w:tr w:rsidR="001B1411" w:rsidRPr="00DA7625" w14:paraId="57F104B5" w14:textId="77777777" w:rsidTr="00672D2A">
        <w:tc>
          <w:tcPr>
            <w:tcW w:w="1101" w:type="dxa"/>
          </w:tcPr>
          <w:p w14:paraId="33D0E721"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0110</w:t>
            </w:r>
          </w:p>
        </w:tc>
        <w:tc>
          <w:tcPr>
            <w:tcW w:w="8187" w:type="dxa"/>
          </w:tcPr>
          <w:p w14:paraId="703FBAE0" w14:textId="77777777" w:rsidR="001B1411" w:rsidRPr="00DA7625" w:rsidRDefault="00AF3D7A">
            <w:pPr>
              <w:spacing w:beforeLines="60" w:before="144" w:afterLines="60" w:after="144"/>
              <w:rPr>
                <w:rFonts w:ascii="Times New Roman" w:hAnsi="Times New Roman"/>
                <w:b/>
                <w:sz w:val="24"/>
                <w:u w:val="single"/>
              </w:rPr>
            </w:pPr>
            <w:r w:rsidRPr="00DA7625">
              <w:rPr>
                <w:rFonts w:ascii="Times New Roman" w:hAnsi="Times New Roman"/>
                <w:b/>
                <w:sz w:val="24"/>
                <w:u w:val="single"/>
              </w:rPr>
              <w:t>1.1.1.3. HITEL</w:t>
            </w:r>
          </w:p>
        </w:tc>
      </w:tr>
      <w:tr w:rsidR="001B1411" w:rsidRPr="00DA7625" w14:paraId="541FE3D7" w14:textId="77777777" w:rsidTr="00672D2A">
        <w:tc>
          <w:tcPr>
            <w:tcW w:w="1101" w:type="dxa"/>
          </w:tcPr>
          <w:p w14:paraId="544E6BCB"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0120</w:t>
            </w:r>
          </w:p>
        </w:tc>
        <w:tc>
          <w:tcPr>
            <w:tcW w:w="8187" w:type="dxa"/>
          </w:tcPr>
          <w:p w14:paraId="5F8A34FE" w14:textId="77777777" w:rsidR="001B1411" w:rsidRPr="00DA7625" w:rsidRDefault="00AF3D7A">
            <w:pPr>
              <w:spacing w:beforeLines="60" w:before="144" w:afterLines="60" w:after="144"/>
              <w:rPr>
                <w:rFonts w:ascii="Times New Roman" w:hAnsi="Times New Roman"/>
                <w:b/>
                <w:sz w:val="24"/>
                <w:u w:val="single"/>
              </w:rPr>
            </w:pPr>
            <w:r w:rsidRPr="00DA7625">
              <w:rPr>
                <w:rFonts w:ascii="Times New Roman" w:hAnsi="Times New Roman"/>
                <w:b/>
                <w:sz w:val="24"/>
                <w:u w:val="single"/>
              </w:rPr>
              <w:t>1.1.1.4 RÉSZVÉNYEK</w:t>
            </w:r>
          </w:p>
        </w:tc>
      </w:tr>
      <w:tr w:rsidR="001B1411" w:rsidRPr="00DA7625" w14:paraId="4E2CC4F8" w14:textId="77777777" w:rsidTr="00672D2A">
        <w:tc>
          <w:tcPr>
            <w:tcW w:w="1101" w:type="dxa"/>
          </w:tcPr>
          <w:p w14:paraId="66749AB3"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0130</w:t>
            </w:r>
          </w:p>
        </w:tc>
        <w:tc>
          <w:tcPr>
            <w:tcW w:w="8187" w:type="dxa"/>
          </w:tcPr>
          <w:p w14:paraId="225FBEF0" w14:textId="77777777" w:rsidR="001B1411" w:rsidRPr="00DA7625" w:rsidRDefault="00973707">
            <w:pPr>
              <w:spacing w:beforeLines="60" w:before="144" w:afterLines="60" w:after="144"/>
              <w:rPr>
                <w:rFonts w:ascii="Times New Roman" w:hAnsi="Times New Roman"/>
                <w:b/>
                <w:sz w:val="24"/>
                <w:u w:val="single"/>
              </w:rPr>
            </w:pPr>
            <w:r w:rsidRPr="00DA7625">
              <w:rPr>
                <w:rFonts w:ascii="Times New Roman" w:hAnsi="Times New Roman"/>
                <w:b/>
                <w:sz w:val="24"/>
                <w:u w:val="single"/>
              </w:rPr>
              <w:t>1.1.1.5 ÁRUK</w:t>
            </w:r>
          </w:p>
        </w:tc>
      </w:tr>
      <w:tr w:rsidR="001B1411" w:rsidRPr="00DA7625" w14:paraId="4C68EC7C" w14:textId="77777777" w:rsidTr="00672D2A">
        <w:tc>
          <w:tcPr>
            <w:tcW w:w="1101" w:type="dxa"/>
          </w:tcPr>
          <w:p w14:paraId="268D3862"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0140</w:t>
            </w:r>
          </w:p>
        </w:tc>
        <w:tc>
          <w:tcPr>
            <w:tcW w:w="8187" w:type="dxa"/>
          </w:tcPr>
          <w:p w14:paraId="12B8DCB9" w14:textId="77777777" w:rsidR="001B1411" w:rsidRPr="00DA7625" w:rsidRDefault="00973707">
            <w:pPr>
              <w:spacing w:beforeLines="60" w:before="144" w:afterLines="60" w:after="144"/>
              <w:rPr>
                <w:rFonts w:ascii="Times New Roman" w:hAnsi="Times New Roman"/>
                <w:b/>
                <w:caps/>
                <w:sz w:val="24"/>
                <w:u w:val="single"/>
              </w:rPr>
            </w:pPr>
            <w:r w:rsidRPr="00DA7625">
              <w:rPr>
                <w:rFonts w:ascii="Times New Roman" w:hAnsi="Times New Roman"/>
                <w:b/>
                <w:caps/>
                <w:sz w:val="24"/>
                <w:u w:val="single"/>
              </w:rPr>
              <w:t>1.1.2 (–) Diverzifikációs előnyök</w:t>
            </w:r>
          </w:p>
          <w:p w14:paraId="58F865DE" w14:textId="77777777"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A diverzifikációs nyereség teljes összege. A 0150. és 0160. sor összege.</w:t>
            </w:r>
          </w:p>
        </w:tc>
      </w:tr>
      <w:tr w:rsidR="001B1411" w:rsidRPr="00DA7625" w14:paraId="18A6928D" w14:textId="77777777" w:rsidTr="00672D2A">
        <w:tc>
          <w:tcPr>
            <w:tcW w:w="1101" w:type="dxa"/>
          </w:tcPr>
          <w:p w14:paraId="70452E08"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0150</w:t>
            </w:r>
          </w:p>
        </w:tc>
        <w:tc>
          <w:tcPr>
            <w:tcW w:w="8187" w:type="dxa"/>
          </w:tcPr>
          <w:p w14:paraId="2903D2B5" w14:textId="77777777" w:rsidR="001B1411" w:rsidRPr="00DA7625" w:rsidRDefault="00973707">
            <w:pPr>
              <w:spacing w:beforeLines="60" w:before="144" w:afterLines="60" w:after="144"/>
              <w:rPr>
                <w:rFonts w:ascii="Times New Roman" w:hAnsi="Times New Roman"/>
                <w:b/>
                <w:caps/>
                <w:sz w:val="24"/>
                <w:u w:val="single"/>
              </w:rPr>
            </w:pPr>
            <w:r w:rsidRPr="00DA7625">
              <w:rPr>
                <w:rFonts w:ascii="Times New Roman" w:hAnsi="Times New Roman"/>
                <w:b/>
                <w:caps/>
                <w:sz w:val="24"/>
                <w:u w:val="single"/>
              </w:rPr>
              <w:t>1.1.2.1 (-) Az 1. módszerrel számított diverzifikációs előny</w:t>
            </w:r>
          </w:p>
          <w:p w14:paraId="12B72F84" w14:textId="4963AC60"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Az (EU) 2016/101 felhatalmazáson alapuló rendelet 9. cikkének (6) bekezdésével, 10. cikkének (7) bekezdésével és 11. cikkének (6) bekezdésével összhangban </w:t>
            </w:r>
            <w:r w:rsidRPr="00DA7625">
              <w:rPr>
                <w:rFonts w:ascii="Times New Roman" w:hAnsi="Times New Roman"/>
                <w:sz w:val="24"/>
              </w:rPr>
              <w:lastRenderedPageBreak/>
              <w:t>a kiegészítő értékelési korrekciók 1. módszer szerint összesített kategóriái esetében az egyedi kiegészítő értékelési korrekciók összege és a teljes kategóriaszintű kiegészítő értékelési korrekció – az összesítés céljából végzett korrekciót követő – összege közötti különbség.</w:t>
            </w:r>
          </w:p>
        </w:tc>
      </w:tr>
      <w:tr w:rsidR="001B1411" w:rsidRPr="00DA7625" w14:paraId="04EB1DCD" w14:textId="77777777" w:rsidTr="00672D2A">
        <w:tc>
          <w:tcPr>
            <w:tcW w:w="1101" w:type="dxa"/>
          </w:tcPr>
          <w:p w14:paraId="4950FC85"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lastRenderedPageBreak/>
              <w:t>0160</w:t>
            </w:r>
          </w:p>
        </w:tc>
        <w:tc>
          <w:tcPr>
            <w:tcW w:w="8187" w:type="dxa"/>
          </w:tcPr>
          <w:p w14:paraId="42F4573A" w14:textId="77777777" w:rsidR="001B1411" w:rsidRPr="00DA7625" w:rsidRDefault="00973707">
            <w:pPr>
              <w:spacing w:beforeLines="60" w:before="144" w:afterLines="60" w:after="144"/>
              <w:rPr>
                <w:rFonts w:ascii="Times New Roman" w:hAnsi="Times New Roman"/>
                <w:b/>
                <w:caps/>
                <w:sz w:val="24"/>
                <w:u w:val="single"/>
              </w:rPr>
            </w:pPr>
            <w:r w:rsidRPr="00DA7625">
              <w:rPr>
                <w:rFonts w:ascii="Times New Roman" w:hAnsi="Times New Roman"/>
                <w:b/>
                <w:caps/>
                <w:sz w:val="24"/>
                <w:u w:val="single"/>
              </w:rPr>
              <w:t>1.1.2.2 (–) A 2. módszerrel számított diverzifikációs előny</w:t>
            </w:r>
          </w:p>
          <w:p w14:paraId="32C32EE7" w14:textId="10F4F7A9"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Az (EU) 2016/101 felhatalmazáson alapuló rendelet 9. cikkének (6) bekezdésével, 10. cikkének (7) bekezdésével és 11. cikkének (6) bekezdésével összhangban a kiegészítő értékelési korrekciók 2. módszer szerint összesített kategóriái esetében az egyedi kiegészítő értékelési korrekciók összege és a teljes kategóriaszintű kiegészítő értékelési korrekció – az összesítés céljából végzett korrekciót követő – összege közötti különbség.</w:t>
            </w:r>
          </w:p>
        </w:tc>
      </w:tr>
      <w:tr w:rsidR="001B1411" w:rsidRPr="00DA7625" w14:paraId="092A867D" w14:textId="77777777" w:rsidTr="00672D2A">
        <w:tc>
          <w:tcPr>
            <w:tcW w:w="1101" w:type="dxa"/>
          </w:tcPr>
          <w:p w14:paraId="4AE2F8B2"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0170</w:t>
            </w:r>
          </w:p>
        </w:tc>
        <w:tc>
          <w:tcPr>
            <w:tcW w:w="8187" w:type="dxa"/>
          </w:tcPr>
          <w:p w14:paraId="006B997D" w14:textId="77777777" w:rsidR="001B1411" w:rsidRPr="00DA7625" w:rsidRDefault="00973707">
            <w:pPr>
              <w:spacing w:beforeLines="60" w:before="144" w:afterLines="60" w:after="144"/>
              <w:rPr>
                <w:rFonts w:ascii="Times New Roman" w:hAnsi="Times New Roman"/>
                <w:b/>
                <w:caps/>
                <w:sz w:val="24"/>
                <w:u w:val="single"/>
              </w:rPr>
            </w:pPr>
            <w:r w:rsidRPr="00DA7625">
              <w:rPr>
                <w:rFonts w:ascii="Times New Roman" w:hAnsi="Times New Roman"/>
                <w:b/>
                <w:caps/>
                <w:sz w:val="24"/>
                <w:u w:val="single"/>
              </w:rPr>
              <w:t>1.1.2.2* Tájékoztató adat: Diverzifikáció előtti kiegészítő értékelési korrekciók, amelyek 90 %-ot meghaladó mértékben csökkennek a 2. módszer szerinti diverzifikációval</w:t>
            </w:r>
          </w:p>
          <w:p w14:paraId="3AEBF533" w14:textId="77777777"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A 2. módszer terminológiájában a FV – PV összege minden értékelési kitettség esetében, amelyeknél APVA &lt; 10 % (FV – PV).</w:t>
            </w:r>
          </w:p>
        </w:tc>
      </w:tr>
      <w:tr w:rsidR="001B1411" w:rsidRPr="00DA7625" w14:paraId="1E1D23C9" w14:textId="77777777" w:rsidTr="00672D2A">
        <w:tc>
          <w:tcPr>
            <w:tcW w:w="1101" w:type="dxa"/>
          </w:tcPr>
          <w:p w14:paraId="3F762A00"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0180</w:t>
            </w:r>
          </w:p>
        </w:tc>
        <w:tc>
          <w:tcPr>
            <w:tcW w:w="8187" w:type="dxa"/>
          </w:tcPr>
          <w:p w14:paraId="33360B81" w14:textId="77777777" w:rsidR="001B1411" w:rsidRPr="00DA7625" w:rsidRDefault="00973707">
            <w:pPr>
              <w:spacing w:beforeLines="60" w:before="144" w:afterLines="60" w:after="144"/>
              <w:rPr>
                <w:rFonts w:ascii="Times New Roman" w:hAnsi="Times New Roman"/>
                <w:b/>
                <w:caps/>
                <w:sz w:val="24"/>
                <w:u w:val="single"/>
              </w:rPr>
            </w:pPr>
            <w:r w:rsidRPr="00DA7625">
              <w:rPr>
                <w:rFonts w:ascii="Times New Roman" w:hAnsi="Times New Roman"/>
                <w:b/>
                <w:caps/>
                <w:sz w:val="24"/>
                <w:u w:val="single"/>
              </w:rPr>
              <w:t>1.2 A tartalékmódszer (fall-back approach) szerinti portfóliók</w:t>
            </w:r>
          </w:p>
          <w:p w14:paraId="3B6434F9" w14:textId="19E55E3B" w:rsidR="001B1411" w:rsidRPr="00DA7625" w:rsidRDefault="002F78EA">
            <w:pPr>
              <w:spacing w:beforeLines="60" w:before="144" w:afterLines="60" w:after="144"/>
              <w:rPr>
                <w:rFonts w:ascii="Times New Roman" w:hAnsi="Times New Roman"/>
                <w:sz w:val="24"/>
              </w:rPr>
            </w:pPr>
            <w:r w:rsidRPr="00DA7625">
              <w:rPr>
                <w:rFonts w:ascii="Times New Roman" w:hAnsi="Times New Roman"/>
                <w:sz w:val="24"/>
              </w:rPr>
              <w:t>Az (EU) 2016/101 felhatalmazáson alapuló rendelet 7. cikke (2) bekezdésének b) pontja</w:t>
            </w:r>
          </w:p>
          <w:p w14:paraId="0E50F785" w14:textId="32BAFA8B"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Az (EU) 2016/101 felhatalmazáson alapuló rendelet 7. cikke (2) bekezdésének b) pontja szerinti tartalékmódszer alá tartozó portfóliók esetében a teljes kiegészítő értékelési korrekciót a 0190., 0200. és a 0210. sor összegeként kell kiszámítani. </w:t>
            </w:r>
          </w:p>
          <w:p w14:paraId="53347298" w14:textId="6FCE279A" w:rsidR="001B1411" w:rsidRPr="00DA7625" w:rsidRDefault="00973707">
            <w:pPr>
              <w:spacing w:beforeLines="60" w:before="144" w:afterLines="60" w:after="144"/>
              <w:rPr>
                <w:rFonts w:ascii="Times New Roman" w:hAnsi="Times New Roman"/>
                <w:sz w:val="24"/>
              </w:rPr>
            </w:pPr>
            <w:r w:rsidRPr="00DA7625">
              <w:rPr>
                <w:rFonts w:ascii="Times New Roman" w:hAnsi="Times New Roman"/>
                <w:sz w:val="24"/>
              </w:rPr>
              <w:t xml:space="preserve">A vonatkozó mérleg- és egyéb háttérinformációkat a 0130–0260. oszlopban kell megadni. A pozíciók leírását és annak magyarázatát, hogy miért nem volt lehetséges az (EU) 2016/101 felhatalmazáson alapuló rendelet 9–17. cikkének alkalmazása, a 0270. oszlopban kell megadni. </w:t>
            </w:r>
          </w:p>
        </w:tc>
      </w:tr>
      <w:tr w:rsidR="001B1411" w:rsidRPr="00DA7625" w14:paraId="4232FEB6" w14:textId="77777777" w:rsidTr="00672D2A">
        <w:tc>
          <w:tcPr>
            <w:tcW w:w="1101" w:type="dxa"/>
          </w:tcPr>
          <w:p w14:paraId="5EF2A571"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0190</w:t>
            </w:r>
          </w:p>
        </w:tc>
        <w:tc>
          <w:tcPr>
            <w:tcW w:w="8187" w:type="dxa"/>
          </w:tcPr>
          <w:p w14:paraId="1DC1CE93" w14:textId="77777777" w:rsidR="001B1411" w:rsidRPr="00DA7625" w:rsidRDefault="00973707">
            <w:pPr>
              <w:spacing w:beforeLines="60" w:before="144" w:afterLines="60" w:after="144"/>
              <w:rPr>
                <w:rFonts w:ascii="Times New Roman" w:hAnsi="Times New Roman"/>
                <w:b/>
                <w:caps/>
                <w:sz w:val="24"/>
                <w:u w:val="single"/>
              </w:rPr>
            </w:pPr>
            <w:r w:rsidRPr="00DA7625">
              <w:rPr>
                <w:rFonts w:ascii="Times New Roman" w:hAnsi="Times New Roman"/>
                <w:b/>
                <w:caps/>
                <w:sz w:val="24"/>
                <w:u w:val="single"/>
              </w:rPr>
              <w:t>1.2.1 Tartalékmódszer (fall-back approach); a nem realizált nyereség 100 %-a</w:t>
            </w:r>
          </w:p>
          <w:p w14:paraId="2F1E8DCF" w14:textId="3696BE81" w:rsidR="001B1411" w:rsidRPr="00DA7625" w:rsidRDefault="002F78EA">
            <w:pPr>
              <w:spacing w:beforeLines="60" w:before="144" w:afterLines="60" w:after="144"/>
              <w:rPr>
                <w:rFonts w:ascii="Times New Roman" w:hAnsi="Times New Roman"/>
                <w:sz w:val="24"/>
              </w:rPr>
            </w:pPr>
            <w:r w:rsidRPr="00DA7625">
              <w:rPr>
                <w:rFonts w:ascii="Times New Roman" w:hAnsi="Times New Roman"/>
                <w:sz w:val="24"/>
              </w:rPr>
              <w:t>Az (EU) 2016/101 felhatalmazáson alapuló rendelet 7. cikke (2) bekezdése b) pontjának i. alpontja</w:t>
            </w:r>
          </w:p>
        </w:tc>
      </w:tr>
      <w:tr w:rsidR="001B1411" w:rsidRPr="00DA7625" w14:paraId="709A9A24" w14:textId="77777777" w:rsidTr="00672D2A">
        <w:tc>
          <w:tcPr>
            <w:tcW w:w="1101" w:type="dxa"/>
          </w:tcPr>
          <w:p w14:paraId="39627504"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0200</w:t>
            </w:r>
          </w:p>
        </w:tc>
        <w:tc>
          <w:tcPr>
            <w:tcW w:w="8187" w:type="dxa"/>
          </w:tcPr>
          <w:p w14:paraId="112FFFAF" w14:textId="77777777" w:rsidR="001B1411" w:rsidRPr="00DA7625" w:rsidRDefault="00973707">
            <w:pPr>
              <w:spacing w:beforeLines="60" w:before="144" w:afterLines="60" w:after="144"/>
              <w:rPr>
                <w:rFonts w:ascii="Times New Roman" w:hAnsi="Times New Roman"/>
                <w:b/>
                <w:caps/>
                <w:sz w:val="24"/>
                <w:u w:val="single"/>
              </w:rPr>
            </w:pPr>
            <w:r w:rsidRPr="00DA7625">
              <w:rPr>
                <w:rFonts w:ascii="Times New Roman" w:hAnsi="Times New Roman"/>
                <w:b/>
                <w:caps/>
                <w:sz w:val="24"/>
                <w:u w:val="single"/>
              </w:rPr>
              <w:t>1.2.2 Tartalékmódszer (fall-back approach); a névleges érték 10 %-a</w:t>
            </w:r>
          </w:p>
          <w:p w14:paraId="79709F42" w14:textId="09C53D0E" w:rsidR="001B1411" w:rsidRPr="00DA7625" w:rsidRDefault="002F78EA">
            <w:pPr>
              <w:spacing w:beforeLines="60" w:before="144" w:afterLines="60" w:after="144"/>
              <w:rPr>
                <w:rFonts w:ascii="Times New Roman" w:hAnsi="Times New Roman"/>
                <w:sz w:val="24"/>
              </w:rPr>
            </w:pPr>
            <w:r w:rsidRPr="00DA7625">
              <w:rPr>
                <w:rFonts w:ascii="Times New Roman" w:hAnsi="Times New Roman"/>
                <w:sz w:val="24"/>
              </w:rPr>
              <w:t>Az (EU) 2016/101 felhatalmazáson alapuló rendelet 7. cikke (2) bekezdése b) pontjának ii. alpontja</w:t>
            </w:r>
          </w:p>
        </w:tc>
      </w:tr>
      <w:tr w:rsidR="001B1411" w:rsidRPr="00DA7625" w14:paraId="04DD8504" w14:textId="77777777" w:rsidTr="00672D2A">
        <w:tc>
          <w:tcPr>
            <w:tcW w:w="1101" w:type="dxa"/>
          </w:tcPr>
          <w:p w14:paraId="761837F5" w14:textId="77777777" w:rsidR="001B1411" w:rsidRPr="00DA7625" w:rsidRDefault="009A7A38">
            <w:pPr>
              <w:spacing w:beforeLines="60" w:before="144" w:afterLines="60" w:after="144"/>
              <w:rPr>
                <w:rFonts w:ascii="Times New Roman" w:hAnsi="Times New Roman"/>
                <w:sz w:val="24"/>
              </w:rPr>
            </w:pPr>
            <w:r w:rsidRPr="00DA7625">
              <w:rPr>
                <w:rFonts w:ascii="Times New Roman" w:hAnsi="Times New Roman"/>
                <w:sz w:val="24"/>
              </w:rPr>
              <w:t>0210</w:t>
            </w:r>
          </w:p>
        </w:tc>
        <w:tc>
          <w:tcPr>
            <w:tcW w:w="8187" w:type="dxa"/>
          </w:tcPr>
          <w:p w14:paraId="1A27ACF7" w14:textId="77777777" w:rsidR="001B1411" w:rsidRPr="00DA7625" w:rsidRDefault="00973707">
            <w:pPr>
              <w:spacing w:beforeLines="60" w:before="144" w:afterLines="60" w:after="144"/>
              <w:rPr>
                <w:rFonts w:ascii="Times New Roman" w:hAnsi="Times New Roman"/>
                <w:b/>
                <w:caps/>
                <w:sz w:val="24"/>
                <w:u w:val="single"/>
              </w:rPr>
            </w:pPr>
            <w:r w:rsidRPr="00DA7625">
              <w:rPr>
                <w:rFonts w:ascii="Times New Roman" w:hAnsi="Times New Roman"/>
                <w:b/>
                <w:caps/>
                <w:sz w:val="24"/>
                <w:u w:val="single"/>
              </w:rPr>
              <w:t>1.2.3 Tartalékmódszer (fall-back approach); a kezdeti érték 25 %-a</w:t>
            </w:r>
          </w:p>
          <w:p w14:paraId="7F23360D" w14:textId="211E055A" w:rsidR="001B1411" w:rsidRPr="00DA7625" w:rsidRDefault="002F78EA">
            <w:pPr>
              <w:spacing w:beforeLines="60" w:before="144" w:afterLines="60" w:after="144"/>
              <w:rPr>
                <w:rFonts w:ascii="Times New Roman" w:hAnsi="Times New Roman"/>
                <w:sz w:val="24"/>
              </w:rPr>
            </w:pPr>
            <w:r w:rsidRPr="00DA7625">
              <w:rPr>
                <w:rFonts w:ascii="Times New Roman" w:hAnsi="Times New Roman"/>
                <w:sz w:val="24"/>
              </w:rPr>
              <w:lastRenderedPageBreak/>
              <w:t>Az (EU) 2016/101 felhatalmazáson alapuló rendelet 7. cikke (2) bekezdése b) pontjának iii. alpontja</w:t>
            </w:r>
          </w:p>
        </w:tc>
      </w:tr>
    </w:tbl>
    <w:p w14:paraId="41449A55" w14:textId="77777777" w:rsidR="001B1411" w:rsidRPr="00DA7625" w:rsidRDefault="001B1411">
      <w:pPr>
        <w:rPr>
          <w:rStyle w:val="InstructionsTabelleText"/>
          <w:rFonts w:ascii="Times New Roman" w:hAnsi="Times New Roman"/>
          <w:sz w:val="24"/>
        </w:rPr>
      </w:pPr>
    </w:p>
    <w:p w14:paraId="7FE18B56" w14:textId="07C8494F" w:rsidR="001B1411" w:rsidRPr="00DA7625" w:rsidRDefault="00CD30E6">
      <w:pPr>
        <w:pStyle w:val="Instructionsberschrift2"/>
        <w:numPr>
          <w:ilvl w:val="0"/>
          <w:numId w:val="0"/>
        </w:numPr>
        <w:ind w:left="357" w:hanging="357"/>
        <w:rPr>
          <w:rFonts w:ascii="Times New Roman" w:hAnsi="Times New Roman"/>
          <w:sz w:val="24"/>
          <w:u w:val="none"/>
        </w:rPr>
      </w:pPr>
      <w:bookmarkStart w:id="114" w:name="_Toc31018860"/>
      <w:r>
        <w:rPr>
          <w:rFonts w:ascii="Times New Roman" w:hAnsi="Times New Roman"/>
          <w:sz w:val="24"/>
          <w:u w:val="none"/>
        </w:rPr>
        <w:t>6.</w:t>
      </w:r>
      <w:r w:rsidR="00AF3D7A" w:rsidRPr="00DA7625">
        <w:rPr>
          <w:rFonts w:ascii="Times New Roman" w:hAnsi="Times New Roman"/>
          <w:sz w:val="24"/>
          <w:u w:val="none"/>
        </w:rPr>
        <w:t xml:space="preserve">3. </w:t>
      </w:r>
      <w:r w:rsidR="00AF3D7A" w:rsidRPr="00DA7625">
        <w:rPr>
          <w:rFonts w:ascii="Times New Roman" w:hAnsi="Times New Roman"/>
          <w:sz w:val="24"/>
        </w:rPr>
        <w:t>C 32.03 – Prudens értékelés: Modellkockázat kiegészítő értékelési korrekciója (PruVal 3)</w:t>
      </w:r>
      <w:bookmarkEnd w:id="114"/>
    </w:p>
    <w:p w14:paraId="0AAB67FE" w14:textId="77777777" w:rsidR="001B1411" w:rsidRPr="00DA7625" w:rsidRDefault="00B93FA1">
      <w:pPr>
        <w:pStyle w:val="Instructionsberschrift2"/>
        <w:numPr>
          <w:ilvl w:val="0"/>
          <w:numId w:val="0"/>
        </w:numPr>
        <w:ind w:left="357" w:hanging="357"/>
        <w:rPr>
          <w:rFonts w:ascii="Times New Roman" w:hAnsi="Times New Roman" w:cs="Times New Roman"/>
          <w:sz w:val="24"/>
          <w:u w:val="none"/>
        </w:rPr>
      </w:pPr>
      <w:bookmarkStart w:id="115" w:name="_Toc31018861"/>
      <w:r w:rsidRPr="00DA7625">
        <w:rPr>
          <w:rFonts w:ascii="Times New Roman" w:hAnsi="Times New Roman"/>
          <w:sz w:val="24"/>
          <w:u w:val="none"/>
        </w:rPr>
        <w:t>6.3.1.</w:t>
      </w:r>
      <w:r w:rsidRPr="00DA7625">
        <w:rPr>
          <w:rFonts w:ascii="Times New Roman" w:hAnsi="Times New Roman"/>
          <w:sz w:val="24"/>
          <w:u w:val="none"/>
        </w:rPr>
        <w:tab/>
      </w:r>
      <w:r w:rsidRPr="00DA7625">
        <w:rPr>
          <w:rFonts w:ascii="Times New Roman" w:hAnsi="Times New Roman"/>
          <w:sz w:val="24"/>
        </w:rPr>
        <w:t>Általános megjegyzések</w:t>
      </w:r>
      <w:bookmarkEnd w:id="115"/>
      <w:r w:rsidRPr="00DA7625">
        <w:rPr>
          <w:rFonts w:ascii="Times New Roman" w:hAnsi="Times New Roman"/>
          <w:sz w:val="24"/>
          <w:u w:val="none"/>
        </w:rPr>
        <w:t xml:space="preserve"> </w:t>
      </w:r>
    </w:p>
    <w:p w14:paraId="6CC13797" w14:textId="3ECFF58A" w:rsidR="001B1411" w:rsidRPr="00DA7625" w:rsidRDefault="00AF3D7A">
      <w:pPr>
        <w:pStyle w:val="InstructionsText2"/>
        <w:numPr>
          <w:ilvl w:val="0"/>
          <w:numId w:val="0"/>
        </w:numPr>
        <w:ind w:left="993"/>
      </w:pPr>
      <w:r w:rsidRPr="00DA7625">
        <w:t>154f. Ezt a táblát kizárólag olyan intézményeknek kell kitölteniük, amelyek saját szintjükön meghaladják az (EU) 2016/101 felhatalmazáson alapuló rendelet 4. cikkének (1) bekezdésében említett értékhatárt. A valamely, az értékhatárt konszolidált szinten meghaladó csoport részét képező intézményeknek csak akkor kell kitölteniük ezt a táblát, ha a saját szintjükön is meghaladják az értékhatárt.</w:t>
      </w:r>
    </w:p>
    <w:p w14:paraId="4B7E7E29" w14:textId="2FBEDE54" w:rsidR="001B1411" w:rsidRPr="00DA7625" w:rsidRDefault="00AF3D7A">
      <w:pPr>
        <w:pStyle w:val="InstructionsText2"/>
        <w:numPr>
          <w:ilvl w:val="0"/>
          <w:numId w:val="0"/>
        </w:numPr>
        <w:ind w:left="993"/>
      </w:pPr>
      <w:r w:rsidRPr="00DA7625">
        <w:t>154g. Ebben a táblában az (EU) 2016/101 felhatalmazáson alapuló rendelet 11. cikkével összhangban kiszámított teljes kategóriaszintű, modellkockázattal kapcsolatos kiegészítő értékelési korrekcióhoz hozzájáruló, a kiegészítő értékelési korrekció összegét tekintve első 20 egyedi, modellkockázattal kapcsolatos kiegészítő értékelési korrekció részleteit kell feltüntetni. Ez az információ megfelel a C 32.02. tábla 0050. oszlopában megadott információknak.</w:t>
      </w:r>
    </w:p>
    <w:p w14:paraId="4EBAD0B9" w14:textId="77777777" w:rsidR="001B1411" w:rsidRPr="00DA7625" w:rsidRDefault="00AF3D7A">
      <w:pPr>
        <w:pStyle w:val="InstructionsText2"/>
        <w:numPr>
          <w:ilvl w:val="0"/>
          <w:numId w:val="0"/>
        </w:numPr>
        <w:ind w:left="993"/>
      </w:pPr>
      <w:r w:rsidRPr="00DA7625">
        <w:t xml:space="preserve">154h. Az első 20 egyedi, modellkockázattal kapcsolatos kiegészítő értékelési korrekciót és a kapcsolódó termékinformációkat csökkenő sorrendben, a legnagyobb egyedi, modellkockázattal kapcsolatos kiegészítő értékelési korrekcióval kezdve kell feltüntetni. </w:t>
      </w:r>
    </w:p>
    <w:p w14:paraId="6FE61D46" w14:textId="65B3357F" w:rsidR="001B1411" w:rsidRPr="00DA7625" w:rsidRDefault="00AF3D7A">
      <w:pPr>
        <w:pStyle w:val="InstructionsText2"/>
        <w:numPr>
          <w:ilvl w:val="0"/>
          <w:numId w:val="0"/>
        </w:numPr>
        <w:ind w:left="993"/>
      </w:pPr>
      <w:r w:rsidRPr="00DA7625">
        <w:t xml:space="preserve">154i. Az ezen legnagyobb egyedi, modellkockázattal kapcsolatos kiegészítő értékelési korrekcióknak megfelelő termékeket az (EU) 2016/101 felhatalmazáson alapuló rendelet 19. cikke (3) bekezdésének a) pontjában előírt termékleltár használatával kell feltüntetni. </w:t>
      </w:r>
    </w:p>
    <w:p w14:paraId="69FDFEFD" w14:textId="77777777" w:rsidR="001B1411" w:rsidRPr="00DA7625" w:rsidRDefault="00113E45">
      <w:pPr>
        <w:pStyle w:val="InstructionsText2"/>
        <w:numPr>
          <w:ilvl w:val="0"/>
          <w:numId w:val="0"/>
        </w:numPr>
        <w:ind w:left="993"/>
      </w:pPr>
      <w:r w:rsidRPr="00DA7625">
        <w:t>154j. Amennyiben a termékek az értékelési modell és a modellkockázattal kapcsolatos kiegészítő értékelési korrekció tekintetében kellően homogének, össze kell vonni és egyetlen soron kell bemutatni őket, hogy az intézmény teljes kategóriaszintű, modellkockázattal kapcsolatos kiegészítő értékelési korrekciójára vonatkozóan maximalizálni lehessen e tábla lefedettségét.</w:t>
      </w:r>
    </w:p>
    <w:p w14:paraId="502C13CA" w14:textId="77777777" w:rsidR="001B1411" w:rsidRPr="00DA7625" w:rsidRDefault="00B93FA1">
      <w:pPr>
        <w:pStyle w:val="Instructionsberschrift2"/>
        <w:numPr>
          <w:ilvl w:val="0"/>
          <w:numId w:val="0"/>
        </w:numPr>
        <w:ind w:left="357" w:hanging="357"/>
        <w:rPr>
          <w:rFonts w:ascii="Times New Roman" w:hAnsi="Times New Roman" w:cs="Times New Roman"/>
          <w:sz w:val="24"/>
        </w:rPr>
      </w:pPr>
      <w:bookmarkStart w:id="116" w:name="_Toc31018862"/>
      <w:r w:rsidRPr="00DA7625">
        <w:rPr>
          <w:rFonts w:ascii="Times New Roman" w:hAnsi="Times New Roman"/>
          <w:sz w:val="24"/>
          <w:u w:val="none"/>
        </w:rPr>
        <w:t>6.3.2.</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11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B1411" w:rsidRPr="00DA7625" w14:paraId="0AB661FA" w14:textId="77777777" w:rsidTr="00672D2A">
        <w:tc>
          <w:tcPr>
            <w:tcW w:w="9322" w:type="dxa"/>
            <w:gridSpan w:val="2"/>
            <w:shd w:val="clear" w:color="auto" w:fill="CCCCCC"/>
          </w:tcPr>
          <w:p w14:paraId="46000B18" w14:textId="77777777" w:rsidR="001B1411" w:rsidRPr="00DA7625" w:rsidRDefault="00113E45">
            <w:pPr>
              <w:spacing w:beforeLines="60" w:before="144" w:afterLines="60" w:after="144"/>
              <w:rPr>
                <w:rFonts w:ascii="Times New Roman" w:hAnsi="Times New Roman"/>
                <w:b/>
                <w:sz w:val="24"/>
              </w:rPr>
            </w:pPr>
            <w:r w:rsidRPr="00DA7625">
              <w:rPr>
                <w:rFonts w:ascii="Times New Roman" w:hAnsi="Times New Roman"/>
                <w:b/>
                <w:sz w:val="24"/>
              </w:rPr>
              <w:t>Oszlop</w:t>
            </w:r>
          </w:p>
        </w:tc>
      </w:tr>
      <w:tr w:rsidR="001B1411" w:rsidRPr="00DA7625" w14:paraId="45A890B1" w14:textId="77777777" w:rsidTr="00672D2A">
        <w:tc>
          <w:tcPr>
            <w:tcW w:w="1101" w:type="dxa"/>
          </w:tcPr>
          <w:p w14:paraId="11D96786" w14:textId="77777777" w:rsidR="001B1411" w:rsidRPr="00DA7625" w:rsidRDefault="008136B4">
            <w:pPr>
              <w:spacing w:beforeLines="60" w:before="144" w:afterLines="60" w:after="144"/>
              <w:rPr>
                <w:rFonts w:ascii="Times New Roman" w:hAnsi="Times New Roman"/>
                <w:sz w:val="24"/>
              </w:rPr>
            </w:pPr>
            <w:r w:rsidRPr="00DA7625">
              <w:rPr>
                <w:rFonts w:ascii="Times New Roman" w:hAnsi="Times New Roman"/>
                <w:sz w:val="24"/>
              </w:rPr>
              <w:t>0005</w:t>
            </w:r>
          </w:p>
        </w:tc>
        <w:tc>
          <w:tcPr>
            <w:tcW w:w="8221" w:type="dxa"/>
          </w:tcPr>
          <w:p w14:paraId="5C653FE4" w14:textId="77777777" w:rsidR="001B1411" w:rsidRPr="00DA7625" w:rsidRDefault="00113E45">
            <w:pPr>
              <w:spacing w:beforeLines="60" w:before="144" w:afterLines="60" w:after="144"/>
              <w:rPr>
                <w:rFonts w:ascii="Times New Roman" w:hAnsi="Times New Roman"/>
                <w:b/>
                <w:sz w:val="24"/>
                <w:u w:val="single"/>
              </w:rPr>
            </w:pPr>
            <w:r w:rsidRPr="00DA7625">
              <w:rPr>
                <w:rFonts w:ascii="Times New Roman" w:hAnsi="Times New Roman"/>
                <w:b/>
                <w:sz w:val="24"/>
                <w:u w:val="single"/>
              </w:rPr>
              <w:t>BESOROLÁS</w:t>
            </w:r>
          </w:p>
          <w:p w14:paraId="33510138" w14:textId="2718236D" w:rsidR="001B1411" w:rsidRPr="00DA7625" w:rsidRDefault="00113E45">
            <w:pPr>
              <w:spacing w:beforeLines="60" w:before="144" w:afterLines="60" w:after="144"/>
              <w:rPr>
                <w:rFonts w:ascii="Times New Roman" w:hAnsi="Times New Roman"/>
                <w:b/>
                <w:sz w:val="24"/>
                <w:u w:val="single"/>
              </w:rPr>
            </w:pPr>
            <w:r w:rsidRPr="00DA7625">
              <w:rPr>
                <w:rFonts w:ascii="Times New Roman" w:hAnsi="Times New Roman"/>
                <w:sz w:val="24"/>
              </w:rPr>
              <w:t>A besorolás egy sorazonosító, amely a tábla minden sorát egyedileg azonosítja. Sorrendje: 1, 2, 3 stb., ahol az 1-et a legnagyobb egyedi modellkockázattal kapcsolatos kiegészítő értékelési korrekcióhoz kell rendelni, a 2-t a második legnagyobbhoz, és így tovább.</w:t>
            </w:r>
          </w:p>
        </w:tc>
      </w:tr>
      <w:tr w:rsidR="001B1411" w:rsidRPr="00DA7625" w14:paraId="1AD80148" w14:textId="77777777" w:rsidTr="00672D2A">
        <w:tc>
          <w:tcPr>
            <w:tcW w:w="1101" w:type="dxa"/>
          </w:tcPr>
          <w:p w14:paraId="6EC3BDD9" w14:textId="77777777" w:rsidR="001B1411" w:rsidRPr="00DA7625" w:rsidRDefault="008136B4">
            <w:pPr>
              <w:spacing w:beforeLines="60" w:before="144" w:afterLines="60" w:after="144"/>
              <w:rPr>
                <w:rFonts w:ascii="Times New Roman" w:hAnsi="Times New Roman"/>
                <w:sz w:val="24"/>
              </w:rPr>
            </w:pPr>
            <w:r w:rsidRPr="00DA7625">
              <w:rPr>
                <w:rFonts w:ascii="Times New Roman" w:hAnsi="Times New Roman"/>
                <w:sz w:val="24"/>
              </w:rPr>
              <w:t>0010</w:t>
            </w:r>
          </w:p>
        </w:tc>
        <w:tc>
          <w:tcPr>
            <w:tcW w:w="8221" w:type="dxa"/>
          </w:tcPr>
          <w:p w14:paraId="66572F15" w14:textId="77777777" w:rsidR="001B1411" w:rsidRPr="00DA7625" w:rsidRDefault="00113E45">
            <w:pPr>
              <w:spacing w:beforeLines="60" w:before="144" w:afterLines="60" w:after="144"/>
              <w:rPr>
                <w:rFonts w:ascii="Times New Roman" w:hAnsi="Times New Roman"/>
                <w:b/>
                <w:sz w:val="24"/>
                <w:u w:val="single"/>
              </w:rPr>
            </w:pPr>
            <w:r w:rsidRPr="00DA7625">
              <w:rPr>
                <w:rFonts w:ascii="Times New Roman" w:hAnsi="Times New Roman"/>
                <w:b/>
                <w:sz w:val="24"/>
                <w:u w:val="single"/>
              </w:rPr>
              <w:t>MODELL</w:t>
            </w:r>
          </w:p>
          <w:p w14:paraId="39B61F35" w14:textId="77777777" w:rsidR="001B1411" w:rsidRPr="00DA7625" w:rsidRDefault="00113E45">
            <w:pPr>
              <w:spacing w:beforeLines="60" w:before="144" w:afterLines="60" w:after="144"/>
              <w:rPr>
                <w:rFonts w:ascii="Times New Roman" w:hAnsi="Times New Roman"/>
                <w:b/>
                <w:sz w:val="24"/>
                <w:u w:val="single"/>
              </w:rPr>
            </w:pPr>
            <w:r w:rsidRPr="00DA7625">
              <w:rPr>
                <w:rFonts w:ascii="Times New Roman" w:hAnsi="Times New Roman"/>
                <w:sz w:val="24"/>
              </w:rPr>
              <w:lastRenderedPageBreak/>
              <w:t>A modell belső neve (alfanumerikus), amelyet az intézmény a modell azonosítására használ.</w:t>
            </w:r>
          </w:p>
        </w:tc>
      </w:tr>
      <w:tr w:rsidR="001B1411" w:rsidRPr="00DA7625" w14:paraId="61B4C079" w14:textId="77777777" w:rsidTr="00672D2A">
        <w:tc>
          <w:tcPr>
            <w:tcW w:w="1101" w:type="dxa"/>
          </w:tcPr>
          <w:p w14:paraId="6BB5F681" w14:textId="77777777" w:rsidR="001B1411" w:rsidRPr="00DA7625" w:rsidRDefault="008136B4">
            <w:pPr>
              <w:spacing w:beforeLines="60" w:before="144" w:afterLines="60" w:after="144"/>
              <w:rPr>
                <w:rFonts w:ascii="Times New Roman" w:hAnsi="Times New Roman"/>
                <w:sz w:val="24"/>
              </w:rPr>
            </w:pPr>
            <w:r w:rsidRPr="00DA7625">
              <w:rPr>
                <w:rFonts w:ascii="Times New Roman" w:hAnsi="Times New Roman"/>
                <w:sz w:val="24"/>
              </w:rPr>
              <w:lastRenderedPageBreak/>
              <w:t>0020</w:t>
            </w:r>
          </w:p>
        </w:tc>
        <w:tc>
          <w:tcPr>
            <w:tcW w:w="8221" w:type="dxa"/>
          </w:tcPr>
          <w:p w14:paraId="3EBE9A6A" w14:textId="77777777" w:rsidR="001B1411" w:rsidRPr="00DA7625" w:rsidRDefault="00113E45">
            <w:pPr>
              <w:spacing w:beforeLines="60" w:before="144" w:afterLines="60" w:after="144"/>
              <w:rPr>
                <w:rFonts w:ascii="Times New Roman" w:hAnsi="Times New Roman"/>
                <w:b/>
                <w:sz w:val="24"/>
                <w:u w:val="single"/>
              </w:rPr>
            </w:pPr>
            <w:r w:rsidRPr="00DA7625">
              <w:rPr>
                <w:rFonts w:ascii="Times New Roman" w:hAnsi="Times New Roman"/>
                <w:b/>
                <w:sz w:val="24"/>
                <w:u w:val="single"/>
              </w:rPr>
              <w:t>KOCKÁZATI KATEGÓRIA</w:t>
            </w:r>
          </w:p>
          <w:p w14:paraId="3136AF8C" w14:textId="77777777" w:rsidR="001B1411" w:rsidRPr="00DA7625" w:rsidRDefault="00113E45">
            <w:pPr>
              <w:spacing w:beforeLines="60" w:before="144" w:afterLines="60" w:after="144"/>
              <w:rPr>
                <w:rFonts w:ascii="Times New Roman" w:hAnsi="Times New Roman"/>
                <w:sz w:val="24"/>
              </w:rPr>
            </w:pPr>
            <w:r w:rsidRPr="00DA7625">
              <w:rPr>
                <w:rFonts w:ascii="Times New Roman" w:hAnsi="Times New Roman"/>
                <w:sz w:val="24"/>
              </w:rPr>
              <w:t>A modellkockázattal kapcsolatos értékelési korrekcióhoz vezető terméket vagy termékcsoportot leginkább jellemző kockázati kategória (kamat, devizaárfolyam, hitel, részvény, áru).</w:t>
            </w:r>
          </w:p>
          <w:p w14:paraId="19F95BF0" w14:textId="77777777" w:rsidR="001B1411" w:rsidRPr="00DA7625" w:rsidRDefault="00113E45">
            <w:pPr>
              <w:spacing w:beforeLines="60" w:before="144" w:afterLines="60" w:after="144"/>
              <w:rPr>
                <w:rFonts w:ascii="Times New Roman" w:hAnsi="Times New Roman"/>
                <w:sz w:val="24"/>
              </w:rPr>
            </w:pPr>
            <w:r w:rsidRPr="00DA7625">
              <w:rPr>
                <w:rFonts w:ascii="Times New Roman" w:hAnsi="Times New Roman"/>
                <w:sz w:val="24"/>
              </w:rPr>
              <w:t>Az intézményeknek a következő kódokat kell feltüntetniük:</w:t>
            </w:r>
          </w:p>
          <w:p w14:paraId="0E48C402" w14:textId="77777777" w:rsidR="001B1411" w:rsidRPr="00DA7625" w:rsidRDefault="00113E45">
            <w:pPr>
              <w:spacing w:beforeLines="60" w:before="144" w:afterLines="60" w:after="144"/>
              <w:rPr>
                <w:rFonts w:ascii="Times New Roman" w:hAnsi="Times New Roman"/>
                <w:sz w:val="24"/>
              </w:rPr>
            </w:pPr>
            <w:r w:rsidRPr="00DA7625">
              <w:rPr>
                <w:rFonts w:ascii="Times New Roman" w:hAnsi="Times New Roman"/>
                <w:sz w:val="24"/>
              </w:rPr>
              <w:t>IR – kamat</w:t>
            </w:r>
          </w:p>
          <w:p w14:paraId="18942E96" w14:textId="77777777" w:rsidR="001B1411" w:rsidRPr="00DA7625" w:rsidRDefault="00A74B40">
            <w:pPr>
              <w:spacing w:beforeLines="60" w:before="144" w:afterLines="60" w:after="144"/>
              <w:rPr>
                <w:rFonts w:ascii="Times New Roman" w:hAnsi="Times New Roman"/>
                <w:sz w:val="24"/>
              </w:rPr>
            </w:pPr>
            <w:r w:rsidRPr="00DA7625">
              <w:rPr>
                <w:rFonts w:ascii="Times New Roman" w:hAnsi="Times New Roman"/>
                <w:sz w:val="24"/>
              </w:rPr>
              <w:t>FX – devizaárfolyam</w:t>
            </w:r>
          </w:p>
          <w:p w14:paraId="07CBEA44" w14:textId="77777777" w:rsidR="001B1411" w:rsidRPr="00DA7625" w:rsidRDefault="00113E45">
            <w:pPr>
              <w:spacing w:beforeLines="60" w:before="144" w:afterLines="60" w:after="144"/>
              <w:rPr>
                <w:rFonts w:ascii="Times New Roman" w:hAnsi="Times New Roman"/>
                <w:sz w:val="24"/>
              </w:rPr>
            </w:pPr>
            <w:r w:rsidRPr="00DA7625">
              <w:rPr>
                <w:rFonts w:ascii="Times New Roman" w:hAnsi="Times New Roman"/>
                <w:sz w:val="24"/>
              </w:rPr>
              <w:t>CR – hitel</w:t>
            </w:r>
          </w:p>
          <w:p w14:paraId="34E6E7E7" w14:textId="77777777" w:rsidR="001B1411" w:rsidRPr="00DA7625" w:rsidRDefault="00113E45">
            <w:pPr>
              <w:spacing w:beforeLines="60" w:before="144" w:afterLines="60" w:after="144"/>
              <w:rPr>
                <w:rFonts w:ascii="Times New Roman" w:hAnsi="Times New Roman"/>
                <w:sz w:val="24"/>
              </w:rPr>
            </w:pPr>
            <w:r w:rsidRPr="00DA7625">
              <w:rPr>
                <w:rFonts w:ascii="Times New Roman" w:hAnsi="Times New Roman"/>
                <w:sz w:val="24"/>
              </w:rPr>
              <w:t>EQ – részvény</w:t>
            </w:r>
          </w:p>
          <w:p w14:paraId="195B6169" w14:textId="77777777" w:rsidR="001B1411" w:rsidRPr="00DA7625" w:rsidRDefault="00113E45">
            <w:pPr>
              <w:spacing w:beforeLines="60" w:before="144" w:afterLines="60" w:after="144"/>
              <w:rPr>
                <w:rFonts w:ascii="Times New Roman" w:hAnsi="Times New Roman"/>
                <w:sz w:val="24"/>
              </w:rPr>
            </w:pPr>
            <w:r w:rsidRPr="00DA7625">
              <w:rPr>
                <w:rFonts w:ascii="Times New Roman" w:hAnsi="Times New Roman"/>
                <w:sz w:val="24"/>
              </w:rPr>
              <w:t>CO – áru</w:t>
            </w:r>
          </w:p>
        </w:tc>
      </w:tr>
      <w:tr w:rsidR="001B1411" w:rsidRPr="00DA7625" w14:paraId="3E2DE61B" w14:textId="77777777" w:rsidTr="00672D2A">
        <w:tc>
          <w:tcPr>
            <w:tcW w:w="1101" w:type="dxa"/>
          </w:tcPr>
          <w:p w14:paraId="6E48DF29" w14:textId="77777777" w:rsidR="001B1411" w:rsidRPr="00DA7625" w:rsidRDefault="008136B4">
            <w:pPr>
              <w:spacing w:beforeLines="60" w:before="144" w:afterLines="60" w:after="144"/>
              <w:rPr>
                <w:rFonts w:ascii="Times New Roman" w:hAnsi="Times New Roman"/>
                <w:sz w:val="24"/>
              </w:rPr>
            </w:pPr>
            <w:r w:rsidRPr="00DA7625">
              <w:rPr>
                <w:rFonts w:ascii="Times New Roman" w:hAnsi="Times New Roman"/>
                <w:sz w:val="24"/>
              </w:rPr>
              <w:t>0030</w:t>
            </w:r>
          </w:p>
        </w:tc>
        <w:tc>
          <w:tcPr>
            <w:tcW w:w="8221" w:type="dxa"/>
          </w:tcPr>
          <w:p w14:paraId="7CA615BC" w14:textId="77777777" w:rsidR="001B1411" w:rsidRPr="00DA7625" w:rsidRDefault="00113E45">
            <w:pPr>
              <w:spacing w:beforeLines="60" w:before="144" w:afterLines="60" w:after="144"/>
              <w:rPr>
                <w:rFonts w:ascii="Times New Roman" w:hAnsi="Times New Roman"/>
                <w:b/>
                <w:sz w:val="24"/>
                <w:u w:val="single"/>
              </w:rPr>
            </w:pPr>
            <w:r w:rsidRPr="00DA7625">
              <w:rPr>
                <w:rFonts w:ascii="Times New Roman" w:hAnsi="Times New Roman"/>
                <w:b/>
                <w:sz w:val="24"/>
                <w:u w:val="single"/>
              </w:rPr>
              <w:t>TERMÉK</w:t>
            </w:r>
          </w:p>
          <w:p w14:paraId="0A9CD898" w14:textId="35207F04" w:rsidR="001B1411" w:rsidRPr="00DA7625" w:rsidRDefault="00113E45">
            <w:pPr>
              <w:spacing w:beforeLines="60" w:before="144" w:afterLines="60" w:after="144"/>
              <w:rPr>
                <w:rFonts w:ascii="Times New Roman" w:hAnsi="Times New Roman"/>
                <w:sz w:val="24"/>
              </w:rPr>
            </w:pPr>
            <w:r w:rsidRPr="00DA7625">
              <w:rPr>
                <w:rFonts w:ascii="Times New Roman" w:hAnsi="Times New Roman"/>
                <w:sz w:val="24"/>
              </w:rPr>
              <w:t>A modell használatával értékelt termék vagy termékcsoport belső neve (alfanumerikus), az (EU) 2016/101 felhatalmazáson alapuló rendelet 19. cikke (3) bekezdésének a) pontjában előírt termékleltárral összhangban.</w:t>
            </w:r>
          </w:p>
        </w:tc>
      </w:tr>
      <w:tr w:rsidR="001B1411" w:rsidRPr="00DA7625" w14:paraId="31840EB1" w14:textId="77777777" w:rsidTr="00672D2A">
        <w:tc>
          <w:tcPr>
            <w:tcW w:w="1101" w:type="dxa"/>
          </w:tcPr>
          <w:p w14:paraId="01E17E11" w14:textId="77777777" w:rsidR="001B1411" w:rsidRPr="00DA7625" w:rsidRDefault="008136B4">
            <w:pPr>
              <w:spacing w:beforeLines="60" w:before="144" w:afterLines="60" w:after="144"/>
              <w:rPr>
                <w:rFonts w:ascii="Times New Roman" w:hAnsi="Times New Roman"/>
                <w:sz w:val="24"/>
              </w:rPr>
            </w:pPr>
            <w:r w:rsidRPr="00DA7625">
              <w:rPr>
                <w:rFonts w:ascii="Times New Roman" w:hAnsi="Times New Roman"/>
                <w:sz w:val="24"/>
              </w:rPr>
              <w:t>0040</w:t>
            </w:r>
          </w:p>
        </w:tc>
        <w:tc>
          <w:tcPr>
            <w:tcW w:w="8221" w:type="dxa"/>
          </w:tcPr>
          <w:p w14:paraId="42AE0700" w14:textId="77777777" w:rsidR="001B1411" w:rsidRPr="00DA7625" w:rsidRDefault="00113E4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MEGFIGYELHETŐSÉG</w:t>
            </w:r>
          </w:p>
          <w:p w14:paraId="294F6704" w14:textId="77777777" w:rsidR="001B1411" w:rsidRPr="00DA7625" w:rsidRDefault="00113E45">
            <w:pPr>
              <w:pStyle w:val="CommentText"/>
              <w:rPr>
                <w:rFonts w:ascii="Times New Roman" w:hAnsi="Times New Roman"/>
                <w:sz w:val="24"/>
                <w:szCs w:val="24"/>
              </w:rPr>
            </w:pPr>
            <w:r w:rsidRPr="00DA7625">
              <w:rPr>
                <w:rFonts w:ascii="Times New Roman" w:hAnsi="Times New Roman"/>
                <w:sz w:val="24"/>
                <w:szCs w:val="24"/>
              </w:rPr>
              <w:t>A termékkel vagy termékcsoporttal kapcsolatos olyan ármegfigyelések száma az elmúlt tizenkét hónapban, amelyek teljesítik a következő kritériumok valamelyikét:</w:t>
            </w:r>
          </w:p>
          <w:p w14:paraId="662FD107" w14:textId="77777777" w:rsidR="001B1411" w:rsidRPr="00DA7625" w:rsidRDefault="00113E45">
            <w:pPr>
              <w:pStyle w:val="CommentText"/>
              <w:numPr>
                <w:ilvl w:val="0"/>
                <w:numId w:val="31"/>
              </w:numPr>
              <w:rPr>
                <w:rFonts w:ascii="Times New Roman" w:hAnsi="Times New Roman"/>
                <w:sz w:val="24"/>
                <w:szCs w:val="24"/>
              </w:rPr>
            </w:pPr>
            <w:r w:rsidRPr="00DA7625">
              <w:rPr>
                <w:rFonts w:ascii="Times New Roman" w:hAnsi="Times New Roman"/>
                <w:sz w:val="24"/>
                <w:szCs w:val="24"/>
              </w:rPr>
              <w:t>Az ármegfigyelés olyan ár, amelyen az intézmény ügyletet hajtott végre</w:t>
            </w:r>
          </w:p>
          <w:p w14:paraId="5372EBCF" w14:textId="77777777" w:rsidR="001B1411" w:rsidRPr="00DA7625" w:rsidRDefault="00113E45">
            <w:pPr>
              <w:pStyle w:val="CommentText"/>
              <w:numPr>
                <w:ilvl w:val="0"/>
                <w:numId w:val="31"/>
              </w:numPr>
              <w:rPr>
                <w:rFonts w:ascii="Times New Roman" w:hAnsi="Times New Roman"/>
                <w:sz w:val="24"/>
                <w:szCs w:val="24"/>
              </w:rPr>
            </w:pPr>
            <w:r w:rsidRPr="00DA7625">
              <w:rPr>
                <w:rFonts w:ascii="Times New Roman" w:hAnsi="Times New Roman"/>
                <w:sz w:val="24"/>
                <w:szCs w:val="24"/>
              </w:rPr>
              <w:t>Harmadik felek közötti tényleges ügylet ellenőrizhető ára</w:t>
            </w:r>
          </w:p>
          <w:p w14:paraId="7ACD3E1C" w14:textId="77777777" w:rsidR="001B1411" w:rsidRPr="00DA7625" w:rsidRDefault="00113E45">
            <w:pPr>
              <w:pStyle w:val="CommentText"/>
              <w:numPr>
                <w:ilvl w:val="0"/>
                <w:numId w:val="31"/>
              </w:numPr>
              <w:rPr>
                <w:rFonts w:ascii="Times New Roman" w:hAnsi="Times New Roman"/>
                <w:sz w:val="24"/>
                <w:szCs w:val="24"/>
              </w:rPr>
            </w:pPr>
            <w:r w:rsidRPr="00DA7625">
              <w:rPr>
                <w:rFonts w:ascii="Times New Roman" w:hAnsi="Times New Roman"/>
                <w:sz w:val="24"/>
                <w:szCs w:val="24"/>
              </w:rPr>
              <w:t>Az ár kötelező érvényű jegyzésből származik.</w:t>
            </w:r>
          </w:p>
          <w:p w14:paraId="2ED4B72D" w14:textId="77777777" w:rsidR="001B1411" w:rsidRPr="00DA7625" w:rsidRDefault="00113E45">
            <w:pPr>
              <w:pStyle w:val="CommentText"/>
              <w:rPr>
                <w:rStyle w:val="InstructionsTabelleberschrift"/>
                <w:rFonts w:ascii="Times New Roman" w:hAnsi="Times New Roman"/>
                <w:b w:val="0"/>
                <w:sz w:val="24"/>
                <w:szCs w:val="24"/>
                <w:u w:val="none"/>
              </w:rPr>
            </w:pPr>
            <w:r w:rsidRPr="00DA7625">
              <w:rPr>
                <w:rFonts w:ascii="Times New Roman" w:hAnsi="Times New Roman"/>
                <w:sz w:val="24"/>
                <w:szCs w:val="24"/>
              </w:rPr>
              <w:t>Az intézményeknek a következő értékek egyikét kell feltüntetniük: „nincs”, „1–6”, „6–24”, „24–100”, „100+”.</w:t>
            </w:r>
          </w:p>
        </w:tc>
      </w:tr>
      <w:tr w:rsidR="001B1411" w:rsidRPr="00DA7625" w14:paraId="75614A0E" w14:textId="77777777" w:rsidTr="00672D2A">
        <w:tc>
          <w:tcPr>
            <w:tcW w:w="1101" w:type="dxa"/>
          </w:tcPr>
          <w:p w14:paraId="323471DF" w14:textId="77777777" w:rsidR="001B1411" w:rsidRPr="00DA7625" w:rsidRDefault="008136B4">
            <w:pPr>
              <w:spacing w:beforeLines="60" w:before="144" w:afterLines="60" w:after="144"/>
              <w:rPr>
                <w:rFonts w:ascii="Times New Roman" w:hAnsi="Times New Roman"/>
                <w:sz w:val="24"/>
              </w:rPr>
            </w:pPr>
            <w:r w:rsidRPr="00DA7625">
              <w:rPr>
                <w:rFonts w:ascii="Times New Roman" w:hAnsi="Times New Roman"/>
                <w:sz w:val="24"/>
              </w:rPr>
              <w:t>0050</w:t>
            </w:r>
          </w:p>
        </w:tc>
        <w:tc>
          <w:tcPr>
            <w:tcW w:w="8221" w:type="dxa"/>
          </w:tcPr>
          <w:p w14:paraId="21013C20" w14:textId="77777777" w:rsidR="001B1411" w:rsidRPr="00DA7625" w:rsidRDefault="00113E4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MODELLKOCKÁZAT KIEGÉSZÍTŐ ÉRTÉKELÉSI KORREKCIÓJA</w:t>
            </w:r>
          </w:p>
          <w:p w14:paraId="476C4F5F" w14:textId="62D31670" w:rsidR="001B1411" w:rsidRPr="00DA7625" w:rsidRDefault="00113E45">
            <w:pPr>
              <w:spacing w:beforeLines="60" w:before="144" w:afterLines="60" w:after="144"/>
              <w:rPr>
                <w:rStyle w:val="InstructionsTabelleberschrift"/>
                <w:rFonts w:ascii="Times New Roman" w:hAnsi="Times New Roman"/>
                <w:b w:val="0"/>
                <w:sz w:val="24"/>
                <w:u w:val="none"/>
              </w:rPr>
            </w:pPr>
            <w:r w:rsidRPr="00DA7625">
              <w:rPr>
                <w:rFonts w:ascii="Times New Roman" w:hAnsi="Times New Roman"/>
                <w:sz w:val="24"/>
              </w:rPr>
              <w:t xml:space="preserve">Az (EU) 2016/101 felhatalmazáson alapuló rendelet </w:t>
            </w:r>
            <w:r w:rsidRPr="00DA7625">
              <w:rPr>
                <w:rStyle w:val="InstructionsTabelleberschrift"/>
                <w:rFonts w:ascii="Times New Roman" w:hAnsi="Times New Roman"/>
                <w:b w:val="0"/>
                <w:sz w:val="24"/>
                <w:u w:val="none"/>
              </w:rPr>
              <w:t>11. cikkének (1) bekezdése</w:t>
            </w:r>
            <w:r w:rsidRPr="00DA7625">
              <w:rPr>
                <w:rFonts w:ascii="Times New Roman" w:hAnsi="Times New Roman"/>
                <w:sz w:val="24"/>
              </w:rPr>
              <w:t>.</w:t>
            </w:r>
          </w:p>
          <w:p w14:paraId="212DCEBF" w14:textId="77777777" w:rsidR="001B1411" w:rsidRPr="00DA7625" w:rsidRDefault="00113E45">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Egyedi modellkockázattal kapcsolatos kiegészítő értékelési korrekció a diverzifikációs nyereség előtt, de adott esetben a portfóliónettósítás után.</w:t>
            </w:r>
          </w:p>
        </w:tc>
      </w:tr>
      <w:tr w:rsidR="001B1411" w:rsidRPr="00DA7625" w14:paraId="34D2B07B" w14:textId="77777777" w:rsidTr="00672D2A">
        <w:tc>
          <w:tcPr>
            <w:tcW w:w="1101" w:type="dxa"/>
          </w:tcPr>
          <w:p w14:paraId="3062DEAB" w14:textId="77777777" w:rsidR="001B1411" w:rsidRPr="00DA7625" w:rsidRDefault="008136B4">
            <w:pPr>
              <w:spacing w:beforeLines="60" w:before="144" w:afterLines="60" w:after="144"/>
              <w:rPr>
                <w:rFonts w:ascii="Times New Roman" w:hAnsi="Times New Roman"/>
                <w:sz w:val="24"/>
              </w:rPr>
            </w:pPr>
            <w:r w:rsidRPr="00DA7625">
              <w:rPr>
                <w:rFonts w:ascii="Times New Roman" w:hAnsi="Times New Roman"/>
                <w:sz w:val="24"/>
              </w:rPr>
              <w:t>0060</w:t>
            </w:r>
          </w:p>
        </w:tc>
        <w:tc>
          <w:tcPr>
            <w:tcW w:w="8221" w:type="dxa"/>
          </w:tcPr>
          <w:p w14:paraId="5C050908" w14:textId="77777777" w:rsidR="001B1411" w:rsidRPr="00DA7625" w:rsidRDefault="00113E4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EBBŐL: SZAKÉRTŐI MÓDSZER HASZNÁLATÁVAL</w:t>
            </w:r>
          </w:p>
          <w:p w14:paraId="4838599D" w14:textId="3167AE8D" w:rsidR="001B1411" w:rsidRPr="00DA7625" w:rsidRDefault="00113E45">
            <w:pPr>
              <w:spacing w:beforeLines="60" w:before="144" w:afterLines="60" w:after="144"/>
              <w:rPr>
                <w:rStyle w:val="InstructionsTabelleberschrift"/>
                <w:rFonts w:ascii="Times New Roman" w:hAnsi="Times New Roman"/>
                <w:sz w:val="24"/>
                <w:u w:val="none"/>
              </w:rPr>
            </w:pPr>
            <w:r w:rsidRPr="00DA7625">
              <w:rPr>
                <w:rFonts w:ascii="Times New Roman" w:hAnsi="Times New Roman"/>
                <w:sz w:val="24"/>
              </w:rPr>
              <w:t>Az (EU) 2016/101 felhatalmazáson alapuló rendelet 11. cikkének (4) bekezdésében említett szakértői módszer szerint kiszámított, a 0050. oszlopban szereplő összegek.</w:t>
            </w:r>
          </w:p>
        </w:tc>
      </w:tr>
      <w:tr w:rsidR="001B1411" w:rsidRPr="00DA7625" w14:paraId="564B5801" w14:textId="77777777" w:rsidTr="00672D2A">
        <w:tc>
          <w:tcPr>
            <w:tcW w:w="1101" w:type="dxa"/>
          </w:tcPr>
          <w:p w14:paraId="11C92D5D" w14:textId="77777777" w:rsidR="001B1411" w:rsidRPr="00DA7625" w:rsidRDefault="008136B4">
            <w:pPr>
              <w:spacing w:beforeLines="60" w:before="144" w:afterLines="60" w:after="144"/>
              <w:rPr>
                <w:rFonts w:ascii="Times New Roman" w:hAnsi="Times New Roman"/>
                <w:sz w:val="24"/>
              </w:rPr>
            </w:pPr>
            <w:r w:rsidRPr="00DA7625">
              <w:rPr>
                <w:rFonts w:ascii="Times New Roman" w:hAnsi="Times New Roman"/>
                <w:sz w:val="24"/>
              </w:rPr>
              <w:t>0070</w:t>
            </w:r>
          </w:p>
        </w:tc>
        <w:tc>
          <w:tcPr>
            <w:tcW w:w="8221" w:type="dxa"/>
          </w:tcPr>
          <w:p w14:paraId="6DDDF19E" w14:textId="77777777" w:rsidR="001B1411" w:rsidRPr="00DA7625" w:rsidRDefault="00113E4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EBBŐL: A 2. MÓDSZER HASZNÁLATÁVAL ÖSSZESÍTVE</w:t>
            </w:r>
          </w:p>
          <w:p w14:paraId="768B3A5F" w14:textId="568424C7" w:rsidR="001B1411" w:rsidRPr="00DA7625" w:rsidRDefault="00113E45">
            <w:pPr>
              <w:spacing w:beforeLines="60" w:before="144" w:afterLines="60" w:after="144"/>
              <w:rPr>
                <w:rStyle w:val="InstructionsTabelleberschrift"/>
                <w:rFonts w:ascii="Times New Roman" w:hAnsi="Times New Roman"/>
                <w:sz w:val="24"/>
              </w:rPr>
            </w:pPr>
            <w:r w:rsidRPr="00DA7625">
              <w:rPr>
                <w:rFonts w:ascii="Times New Roman" w:hAnsi="Times New Roman"/>
                <w:sz w:val="24"/>
              </w:rPr>
              <w:lastRenderedPageBreak/>
              <w:t xml:space="preserve">Az (EU) 2016/101 felhatalmazáson alapuló rendelet mellékletében található 2. módszer szerint összesített, a 0050. oszlopban szereplő összegek. Ezek az összegek a melléklet terminológiájában az FV – PV-nek felelnek meg. </w:t>
            </w:r>
          </w:p>
        </w:tc>
      </w:tr>
      <w:tr w:rsidR="001B1411" w:rsidRPr="00DA7625" w14:paraId="740FD50E" w14:textId="77777777" w:rsidTr="00672D2A">
        <w:tc>
          <w:tcPr>
            <w:tcW w:w="1101" w:type="dxa"/>
          </w:tcPr>
          <w:p w14:paraId="237C0431" w14:textId="77777777" w:rsidR="001B1411" w:rsidRPr="00DA7625" w:rsidRDefault="008136B4">
            <w:pPr>
              <w:spacing w:beforeLines="60" w:before="144" w:afterLines="60" w:after="144"/>
              <w:rPr>
                <w:rFonts w:ascii="Times New Roman" w:hAnsi="Times New Roman"/>
                <w:sz w:val="24"/>
              </w:rPr>
            </w:pPr>
            <w:r w:rsidRPr="00DA7625">
              <w:rPr>
                <w:rFonts w:ascii="Times New Roman" w:hAnsi="Times New Roman"/>
                <w:sz w:val="24"/>
              </w:rPr>
              <w:lastRenderedPageBreak/>
              <w:t>0080</w:t>
            </w:r>
          </w:p>
        </w:tc>
        <w:tc>
          <w:tcPr>
            <w:tcW w:w="8221" w:type="dxa"/>
          </w:tcPr>
          <w:p w14:paraId="67B99FDE" w14:textId="77777777" w:rsidR="001B1411" w:rsidRPr="00DA7625" w:rsidRDefault="00113E4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A 2. MÓDSZER SZERINT SZÁMÍTOTT ÖSSZESÍTETT KIEGÉSZÍTŐ ÉRTÉKELÉSI KORREKCIÓ</w:t>
            </w:r>
          </w:p>
          <w:p w14:paraId="57370035" w14:textId="4D671E63" w:rsidR="001B1411" w:rsidRPr="00DA7625" w:rsidRDefault="00113E45">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Az (EU) 2016/101 felhatalmazáson alapuló rendelet mellékletében található 2. módszer használatával összesített egyedi,</w:t>
            </w:r>
            <w:r w:rsidRPr="00DA7625">
              <w:rPr>
                <w:rFonts w:ascii="Times New Roman" w:hAnsi="Times New Roman"/>
                <w:sz w:val="24"/>
              </w:rPr>
              <w:t xml:space="preserve"> modellkockázattal kapcsolatos </w:t>
            </w:r>
            <w:r w:rsidRPr="00DA7625">
              <w:rPr>
                <w:rStyle w:val="InstructionsTabelleberschrift"/>
                <w:rFonts w:ascii="Times New Roman" w:hAnsi="Times New Roman"/>
                <w:b w:val="0"/>
                <w:sz w:val="24"/>
                <w:u w:val="none"/>
              </w:rPr>
              <w:t>kiegészítő értékelési korrekcióknak az említett rendelet 11. cikkének (7) bekezdése szerint számított</w:t>
            </w:r>
            <w:r w:rsidRPr="00DA7625">
              <w:rPr>
                <w:rFonts w:ascii="Times New Roman" w:hAnsi="Times New Roman"/>
                <w:sz w:val="24"/>
              </w:rPr>
              <w:t>, modellkockázattal kapcsolatos, teljes kategóriaszintű kiegészítő értékelési korrekcióhoz való hozzájárulása</w:t>
            </w:r>
            <w:r w:rsidRPr="00DA7625">
              <w:rPr>
                <w:rStyle w:val="InstructionsTabelleberschrift"/>
                <w:rFonts w:ascii="Times New Roman" w:hAnsi="Times New Roman"/>
                <w:b w:val="0"/>
                <w:sz w:val="24"/>
                <w:u w:val="none"/>
              </w:rPr>
              <w:t xml:space="preserve">. </w:t>
            </w:r>
            <w:r w:rsidRPr="00DA7625">
              <w:rPr>
                <w:rFonts w:ascii="Times New Roman" w:hAnsi="Times New Roman"/>
                <w:sz w:val="24"/>
              </w:rPr>
              <w:t>Ezek az összegek a melléklet terminológiájában az APVA-nak felelnek meg.</w:t>
            </w:r>
          </w:p>
        </w:tc>
      </w:tr>
      <w:tr w:rsidR="001B1411" w:rsidRPr="00DA7625" w14:paraId="4AC61342" w14:textId="77777777" w:rsidTr="00672D2A">
        <w:tc>
          <w:tcPr>
            <w:tcW w:w="1101" w:type="dxa"/>
          </w:tcPr>
          <w:p w14:paraId="1E6D7831" w14:textId="77777777" w:rsidR="001B1411" w:rsidRPr="00DA7625" w:rsidRDefault="008136B4">
            <w:pPr>
              <w:spacing w:beforeLines="60" w:before="144" w:afterLines="60" w:after="144"/>
              <w:rPr>
                <w:rFonts w:ascii="Times New Roman" w:hAnsi="Times New Roman"/>
                <w:sz w:val="24"/>
              </w:rPr>
            </w:pPr>
            <w:r w:rsidRPr="00DA7625">
              <w:rPr>
                <w:rFonts w:ascii="Times New Roman" w:hAnsi="Times New Roman"/>
                <w:sz w:val="24"/>
              </w:rPr>
              <w:t>0090–0100</w:t>
            </w:r>
          </w:p>
        </w:tc>
        <w:tc>
          <w:tcPr>
            <w:tcW w:w="8221" w:type="dxa"/>
          </w:tcPr>
          <w:p w14:paraId="68A8BE40" w14:textId="77777777" w:rsidR="001B1411" w:rsidRPr="00DA7625" w:rsidRDefault="00113E4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VALÓS ÉRTÉKEN ÉRTÉKELT ESZKÖZÖK ÉS KÖTELEZETTSÉGEK</w:t>
            </w:r>
          </w:p>
          <w:p w14:paraId="2C977DE9" w14:textId="77777777" w:rsidR="001B1411" w:rsidRPr="00DA7625" w:rsidRDefault="00113E45">
            <w:pPr>
              <w:spacing w:beforeLines="60" w:before="144" w:afterLines="60" w:after="144"/>
              <w:rPr>
                <w:rStyle w:val="InstructionsTabelleberschrift"/>
                <w:rFonts w:ascii="Times New Roman" w:hAnsi="Times New Roman"/>
                <w:sz w:val="24"/>
              </w:rPr>
            </w:pPr>
            <w:r w:rsidRPr="00DA7625">
              <w:rPr>
                <w:rFonts w:ascii="Times New Roman" w:hAnsi="Times New Roman"/>
                <w:sz w:val="24"/>
              </w:rPr>
              <w:t xml:space="preserve">A 0010. oszlopban feltüntetett modell használatával értékelt valós értéken értékelt eszközök és kötelezettségek abszolút értéke, ahogy az az alkalmazandó számviteli keret szerint elkészített pénzügyi kimutatásban szerepel. </w:t>
            </w:r>
          </w:p>
        </w:tc>
      </w:tr>
      <w:tr w:rsidR="001B1411" w:rsidRPr="00DA7625" w14:paraId="6605E1EE" w14:textId="77777777" w:rsidTr="00672D2A">
        <w:tc>
          <w:tcPr>
            <w:tcW w:w="1101" w:type="dxa"/>
          </w:tcPr>
          <w:p w14:paraId="2BDDACFC" w14:textId="77777777" w:rsidR="001B1411" w:rsidRPr="00DA7625" w:rsidRDefault="008136B4">
            <w:pPr>
              <w:spacing w:beforeLines="60" w:before="144" w:afterLines="60" w:after="144"/>
              <w:rPr>
                <w:rFonts w:ascii="Times New Roman" w:hAnsi="Times New Roman"/>
                <w:sz w:val="24"/>
              </w:rPr>
            </w:pPr>
            <w:r w:rsidRPr="00DA7625">
              <w:rPr>
                <w:rFonts w:ascii="Times New Roman" w:hAnsi="Times New Roman"/>
                <w:sz w:val="24"/>
              </w:rPr>
              <w:t>0090</w:t>
            </w:r>
          </w:p>
        </w:tc>
        <w:tc>
          <w:tcPr>
            <w:tcW w:w="8221" w:type="dxa"/>
          </w:tcPr>
          <w:p w14:paraId="72420980" w14:textId="77777777" w:rsidR="001B1411" w:rsidRPr="00DA7625" w:rsidRDefault="00113E4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VALÓS ÉRTÉKEN ÉRTÉKELT ESZKÖZÖK</w:t>
            </w:r>
          </w:p>
          <w:p w14:paraId="6A73580D" w14:textId="77777777" w:rsidR="001B1411" w:rsidRPr="00DA7625" w:rsidRDefault="00113E45">
            <w:pPr>
              <w:spacing w:beforeLines="60" w:before="144" w:afterLines="60" w:after="144"/>
              <w:rPr>
                <w:rStyle w:val="InstructionsTabelleberschrift"/>
                <w:rFonts w:ascii="Times New Roman" w:hAnsi="Times New Roman"/>
                <w:b w:val="0"/>
                <w:bCs w:val="0"/>
                <w:sz w:val="24"/>
                <w:u w:val="none"/>
              </w:rPr>
            </w:pPr>
            <w:r w:rsidRPr="00DA7625">
              <w:rPr>
                <w:rFonts w:ascii="Times New Roman" w:hAnsi="Times New Roman"/>
                <w:sz w:val="24"/>
              </w:rPr>
              <w:t>A 0010. oszlopban feltüntetett modell használatával értékelt, valós értéken értékelt eszközök abszolút értéke, ahogy az az alkalmazandó számviteli keret szerint elkészített pénzügyi kimutatásban szerepel</w:t>
            </w:r>
            <w:r w:rsidRPr="00DA7625">
              <w:rPr>
                <w:rStyle w:val="InstructionsTabelleberschrift"/>
                <w:rFonts w:ascii="Times New Roman" w:hAnsi="Times New Roman"/>
                <w:b w:val="0"/>
                <w:sz w:val="24"/>
                <w:u w:val="none"/>
              </w:rPr>
              <w:t>.</w:t>
            </w:r>
          </w:p>
        </w:tc>
      </w:tr>
      <w:tr w:rsidR="001B1411" w:rsidRPr="00DA7625" w14:paraId="3D6980E8" w14:textId="77777777" w:rsidTr="00672D2A">
        <w:tc>
          <w:tcPr>
            <w:tcW w:w="1101" w:type="dxa"/>
          </w:tcPr>
          <w:p w14:paraId="0AB9674B" w14:textId="77777777" w:rsidR="001B1411" w:rsidRPr="00DA7625" w:rsidRDefault="008136B4">
            <w:pPr>
              <w:spacing w:beforeLines="60" w:before="144" w:afterLines="60" w:after="144"/>
              <w:rPr>
                <w:rFonts w:ascii="Times New Roman" w:hAnsi="Times New Roman"/>
                <w:sz w:val="24"/>
              </w:rPr>
            </w:pPr>
            <w:r w:rsidRPr="00DA7625">
              <w:rPr>
                <w:rFonts w:ascii="Times New Roman" w:hAnsi="Times New Roman"/>
                <w:sz w:val="24"/>
              </w:rPr>
              <w:t>0100</w:t>
            </w:r>
          </w:p>
        </w:tc>
        <w:tc>
          <w:tcPr>
            <w:tcW w:w="8221" w:type="dxa"/>
          </w:tcPr>
          <w:p w14:paraId="05BC5715" w14:textId="77777777" w:rsidR="001B1411" w:rsidRPr="00DA7625" w:rsidRDefault="00113E4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VALÓS ÉRTÉKEN ÉRTÉKELT KÖTELEZETTSÉGEK</w:t>
            </w:r>
          </w:p>
          <w:p w14:paraId="256561E6" w14:textId="77777777" w:rsidR="001B1411" w:rsidRPr="00DA7625" w:rsidRDefault="00113E45">
            <w:pPr>
              <w:spacing w:beforeLines="60" w:before="144" w:afterLines="60" w:after="144"/>
              <w:rPr>
                <w:rStyle w:val="InstructionsTabelleberschrift"/>
                <w:rFonts w:ascii="Times New Roman" w:hAnsi="Times New Roman"/>
                <w:b w:val="0"/>
                <w:bCs w:val="0"/>
                <w:sz w:val="24"/>
                <w:u w:val="none"/>
              </w:rPr>
            </w:pPr>
            <w:r w:rsidRPr="00DA7625">
              <w:rPr>
                <w:rFonts w:ascii="Times New Roman" w:hAnsi="Times New Roman"/>
                <w:sz w:val="24"/>
              </w:rPr>
              <w:t xml:space="preserve">A 0010. oszlopban feltüntetett modell használatával értékelt, valós értéken értékelt kötelezettségek abszolút értéke, ahogy az az alkalmazandó számviteli keret szerint elkészített pénzügyi kimutatásban szerepel. </w:t>
            </w:r>
          </w:p>
        </w:tc>
      </w:tr>
      <w:tr w:rsidR="001B1411" w:rsidRPr="00DA7625" w14:paraId="0F047089" w14:textId="77777777" w:rsidTr="00672D2A">
        <w:tc>
          <w:tcPr>
            <w:tcW w:w="1101" w:type="dxa"/>
          </w:tcPr>
          <w:p w14:paraId="138321A5" w14:textId="77777777" w:rsidR="001B1411" w:rsidRPr="00DA7625" w:rsidRDefault="008136B4">
            <w:pPr>
              <w:spacing w:beforeLines="60" w:before="144" w:afterLines="60" w:after="144"/>
              <w:rPr>
                <w:rFonts w:ascii="Times New Roman" w:hAnsi="Times New Roman"/>
                <w:sz w:val="24"/>
              </w:rPr>
            </w:pPr>
            <w:r w:rsidRPr="00DA7625">
              <w:rPr>
                <w:rFonts w:ascii="Times New Roman" w:hAnsi="Times New Roman"/>
                <w:sz w:val="24"/>
              </w:rPr>
              <w:t>0110</w:t>
            </w:r>
          </w:p>
        </w:tc>
        <w:tc>
          <w:tcPr>
            <w:tcW w:w="8221" w:type="dxa"/>
          </w:tcPr>
          <w:p w14:paraId="28AE76DB" w14:textId="77777777" w:rsidR="001B1411" w:rsidRPr="00DA7625" w:rsidRDefault="00113E4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IPV KÜLÖNBÖZET (OUTPUT-TESZTELÉS)</w:t>
            </w:r>
          </w:p>
          <w:p w14:paraId="48128713" w14:textId="0805A9F7" w:rsidR="001B1411" w:rsidRPr="00DA7625" w:rsidRDefault="00113E45">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 xml:space="preserve">A CRR 105. cikke (8) bekezdésének megfelelően végrehajtott független árfelülvizsgálat keretében az adatszolgáltatási időponthoz legközelebb eső hónap végén kiszámított ki nem igazított különbözetek („IPV különbözet”) összege, a kapcsolódó termékre vagy termékcsoportra vonatkozóan elérhető legjobb független adatok figyelembevételével. </w:t>
            </w:r>
          </w:p>
          <w:p w14:paraId="09D4C3BD" w14:textId="77777777" w:rsidR="001B1411" w:rsidRPr="00DA7625" w:rsidRDefault="00113E45">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ki nem igazított különbözetek a kereskedési rendszerek által generált értékelések és a havi IPV folyamat során értékelt értékelések közötti ki nem igazított különbözeteket jelentik.</w:t>
            </w:r>
          </w:p>
          <w:p w14:paraId="4265E959" w14:textId="77777777" w:rsidR="001B1411" w:rsidRPr="00DA7625" w:rsidRDefault="004D2753">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Nem vonhatók be az IPV különbözet számításába a releváns hónap végi dátumra vonatkozóan az intézmény könyveiben és nyilvántartásaiban szereplő kiigazított különbözetek.</w:t>
            </w:r>
          </w:p>
          <w:p w14:paraId="5AB5E44E" w14:textId="77777777" w:rsidR="001B1411" w:rsidRPr="00DA7625" w:rsidRDefault="00113E45">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Csak azokat az eredményeket kell feltüntetni, amelyeket olyan eszközök árainak használatával kalibráltak, amelyeket ugyanazon termékhez rendelnének (output tesztelés). Nem szabad feltüntetni az olyan piaci adatok inputjából származó input tesztelési eredményeket, amelyeket különböző termékekből kalibrált szintek alapján tesztelnek.</w:t>
            </w:r>
          </w:p>
        </w:tc>
      </w:tr>
      <w:tr w:rsidR="001B1411" w:rsidRPr="00DA7625" w14:paraId="10D769D8" w14:textId="77777777" w:rsidTr="00672D2A">
        <w:tc>
          <w:tcPr>
            <w:tcW w:w="1101" w:type="dxa"/>
          </w:tcPr>
          <w:p w14:paraId="385DF656" w14:textId="77777777" w:rsidR="001B1411" w:rsidRPr="00DA7625" w:rsidRDefault="008136B4">
            <w:pPr>
              <w:spacing w:beforeLines="60" w:before="144" w:afterLines="60" w:after="144"/>
              <w:rPr>
                <w:rFonts w:ascii="Times New Roman" w:hAnsi="Times New Roman"/>
                <w:sz w:val="24"/>
              </w:rPr>
            </w:pPr>
            <w:r w:rsidRPr="00DA7625">
              <w:rPr>
                <w:rFonts w:ascii="Times New Roman" w:hAnsi="Times New Roman"/>
                <w:sz w:val="24"/>
              </w:rPr>
              <w:lastRenderedPageBreak/>
              <w:t>0120</w:t>
            </w:r>
          </w:p>
        </w:tc>
        <w:tc>
          <w:tcPr>
            <w:tcW w:w="8221" w:type="dxa"/>
          </w:tcPr>
          <w:p w14:paraId="07C00E6C" w14:textId="77777777" w:rsidR="001B1411" w:rsidRPr="00DA7625" w:rsidRDefault="00113E45">
            <w:pPr>
              <w:spacing w:beforeLines="60" w:before="144" w:afterLines="60" w:after="144"/>
              <w:jc w:val="left"/>
              <w:rPr>
                <w:rStyle w:val="InstructionsTabelleberschrift"/>
                <w:rFonts w:ascii="Times New Roman" w:hAnsi="Times New Roman"/>
                <w:sz w:val="24"/>
              </w:rPr>
            </w:pPr>
            <w:r w:rsidRPr="00DA7625">
              <w:rPr>
                <w:rStyle w:val="InstructionsTabelleberschrift"/>
                <w:rFonts w:ascii="Times New Roman" w:hAnsi="Times New Roman"/>
                <w:sz w:val="24"/>
              </w:rPr>
              <w:t>IPV FEDEZET (OUTPUT-TESZTELÉS)</w:t>
            </w:r>
          </w:p>
          <w:p w14:paraId="6DF5FC28" w14:textId="77777777" w:rsidR="001B1411" w:rsidRPr="00DA7625" w:rsidRDefault="00113E45">
            <w:pPr>
              <w:spacing w:beforeLines="60" w:before="144" w:afterLines="60" w:after="144"/>
              <w:jc w:val="left"/>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modellkockázattal kapcsolatos kiegészítő értékelési korrekcióval súlyozott, a modellhez rendelt pozíciók százalékos aránya, amelyet a 0110. oszlopban megadott IPV output tesztelési eredmények fedeznek.</w:t>
            </w:r>
          </w:p>
        </w:tc>
      </w:tr>
      <w:tr w:rsidR="001B1411" w:rsidRPr="00DA7625" w14:paraId="10CCE332" w14:textId="77777777" w:rsidTr="00672D2A">
        <w:tc>
          <w:tcPr>
            <w:tcW w:w="1101" w:type="dxa"/>
          </w:tcPr>
          <w:p w14:paraId="330438BE" w14:textId="77777777" w:rsidR="001B1411" w:rsidRPr="00DA7625" w:rsidRDefault="008136B4">
            <w:pPr>
              <w:spacing w:beforeLines="60" w:before="144" w:afterLines="60" w:after="144"/>
              <w:rPr>
                <w:rFonts w:ascii="Times New Roman" w:hAnsi="Times New Roman"/>
                <w:sz w:val="24"/>
              </w:rPr>
            </w:pPr>
            <w:r w:rsidRPr="00DA7625">
              <w:rPr>
                <w:rFonts w:ascii="Times New Roman" w:hAnsi="Times New Roman"/>
                <w:sz w:val="24"/>
              </w:rPr>
              <w:t>0130–0140</w:t>
            </w:r>
          </w:p>
        </w:tc>
        <w:tc>
          <w:tcPr>
            <w:tcW w:w="8221" w:type="dxa"/>
          </w:tcPr>
          <w:p w14:paraId="4401B07B" w14:textId="77777777" w:rsidR="001B1411" w:rsidRPr="00DA7625" w:rsidRDefault="00113E4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VALÓSÉRTÉK-KORREKCIÓK</w:t>
            </w:r>
          </w:p>
          <w:p w14:paraId="0FDC4843" w14:textId="5C560EB8" w:rsidR="001B1411" w:rsidRPr="00DA7625" w:rsidRDefault="00113E45">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C 32.02. tábla 0190. és 0240. oszlopában említett valósérték-korrekciók, amelyeket a 0010. oszlopban megadott</w:t>
            </w:r>
            <w:r w:rsidRPr="00DA7625">
              <w:rPr>
                <w:rFonts w:ascii="Times New Roman" w:hAnsi="Times New Roman"/>
                <w:sz w:val="24"/>
              </w:rPr>
              <w:t xml:space="preserve"> modellhez rendelt pozíciókra alkalmaznak</w:t>
            </w:r>
            <w:r w:rsidRPr="00DA7625">
              <w:rPr>
                <w:rStyle w:val="InstructionsTabelleberschrift"/>
                <w:rFonts w:ascii="Times New Roman" w:hAnsi="Times New Roman"/>
                <w:b w:val="0"/>
                <w:sz w:val="24"/>
                <w:u w:val="none"/>
              </w:rPr>
              <w:t>.</w:t>
            </w:r>
          </w:p>
        </w:tc>
      </w:tr>
      <w:tr w:rsidR="001B1411" w:rsidRPr="00DA7625" w14:paraId="1AB5936A" w14:textId="77777777" w:rsidTr="00672D2A">
        <w:tc>
          <w:tcPr>
            <w:tcW w:w="1101" w:type="dxa"/>
          </w:tcPr>
          <w:p w14:paraId="1F34B920" w14:textId="77777777" w:rsidR="001B1411" w:rsidRPr="00DA7625" w:rsidRDefault="008136B4">
            <w:pPr>
              <w:spacing w:beforeLines="60" w:before="144" w:afterLines="60" w:after="144"/>
              <w:rPr>
                <w:rFonts w:ascii="Times New Roman" w:hAnsi="Times New Roman"/>
                <w:sz w:val="24"/>
              </w:rPr>
            </w:pPr>
            <w:r w:rsidRPr="00DA7625">
              <w:rPr>
                <w:rFonts w:ascii="Times New Roman" w:hAnsi="Times New Roman"/>
                <w:sz w:val="24"/>
              </w:rPr>
              <w:t>0150</w:t>
            </w:r>
          </w:p>
        </w:tc>
        <w:tc>
          <w:tcPr>
            <w:tcW w:w="8221" w:type="dxa"/>
          </w:tcPr>
          <w:p w14:paraId="44AED0CC" w14:textId="77777777" w:rsidR="001B1411" w:rsidRPr="00DA7625" w:rsidRDefault="00113E4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1. NAPI EREDMÉNY</w:t>
            </w:r>
          </w:p>
          <w:p w14:paraId="018D0997" w14:textId="77777777" w:rsidR="001B1411" w:rsidRPr="00DA7625" w:rsidRDefault="00113E4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b w:val="0"/>
                <w:sz w:val="24"/>
                <w:u w:val="none"/>
              </w:rPr>
              <w:t>A C 32.02. tábla 0260. oszlopában meghatározott korrekciók, amelyeket a 0010. oszlopban megadott modellhez</w:t>
            </w:r>
            <w:r w:rsidRPr="00DA7625">
              <w:rPr>
                <w:rFonts w:ascii="Times New Roman" w:hAnsi="Times New Roman"/>
                <w:sz w:val="24"/>
              </w:rPr>
              <w:t xml:space="preserve"> rendelt pozíciókra alkalmaznak</w:t>
            </w:r>
            <w:r w:rsidRPr="00DA7625">
              <w:rPr>
                <w:rStyle w:val="InstructionsTabelleberschrift"/>
                <w:rFonts w:ascii="Times New Roman" w:hAnsi="Times New Roman"/>
                <w:b w:val="0"/>
                <w:sz w:val="24"/>
                <w:u w:val="none"/>
              </w:rPr>
              <w:t>.</w:t>
            </w:r>
          </w:p>
        </w:tc>
      </w:tr>
    </w:tbl>
    <w:p w14:paraId="42E50DC5" w14:textId="77777777" w:rsidR="001B1411" w:rsidRPr="00DA7625" w:rsidRDefault="001B1411">
      <w:pPr>
        <w:rPr>
          <w:rStyle w:val="InstructionsTabelleText"/>
          <w:rFonts w:ascii="Times New Roman" w:hAnsi="Times New Roman"/>
          <w:sz w:val="24"/>
        </w:rPr>
      </w:pPr>
    </w:p>
    <w:p w14:paraId="684E0FC0" w14:textId="77777777" w:rsidR="001B1411" w:rsidRPr="00DA7625" w:rsidRDefault="00113E45">
      <w:pPr>
        <w:pStyle w:val="Instructionsberschrift2"/>
        <w:numPr>
          <w:ilvl w:val="0"/>
          <w:numId w:val="0"/>
        </w:numPr>
        <w:ind w:left="357" w:hanging="357"/>
        <w:rPr>
          <w:rFonts w:ascii="Times New Roman" w:hAnsi="Times New Roman"/>
          <w:sz w:val="24"/>
          <w:u w:val="none"/>
        </w:rPr>
      </w:pPr>
      <w:bookmarkStart w:id="117" w:name="_Toc31018863"/>
      <w:r w:rsidRPr="00DA7625">
        <w:rPr>
          <w:rFonts w:ascii="Times New Roman" w:hAnsi="Times New Roman"/>
          <w:sz w:val="24"/>
          <w:u w:val="none"/>
        </w:rPr>
        <w:t xml:space="preserve">6.4 </w:t>
      </w:r>
      <w:r w:rsidRPr="00DA7625">
        <w:rPr>
          <w:rFonts w:ascii="Times New Roman" w:hAnsi="Times New Roman"/>
          <w:sz w:val="24"/>
        </w:rPr>
        <w:t>C 32.04 – Prudens értékelés: koncentrált pozíciók kiegészítő értékelési korrekciója (PruVal 4)</w:t>
      </w:r>
      <w:bookmarkEnd w:id="117"/>
    </w:p>
    <w:p w14:paraId="15BF1E5B" w14:textId="77777777" w:rsidR="001B1411" w:rsidRPr="00DA7625" w:rsidRDefault="00B93FA1">
      <w:pPr>
        <w:pStyle w:val="Instructionsberschrift2"/>
        <w:numPr>
          <w:ilvl w:val="0"/>
          <w:numId w:val="0"/>
        </w:numPr>
        <w:ind w:left="357" w:hanging="357"/>
        <w:rPr>
          <w:rFonts w:ascii="Times New Roman" w:hAnsi="Times New Roman" w:cs="Times New Roman"/>
          <w:sz w:val="24"/>
          <w:u w:val="none"/>
        </w:rPr>
      </w:pPr>
      <w:bookmarkStart w:id="118" w:name="_Toc31018864"/>
      <w:r w:rsidRPr="00DA7625">
        <w:rPr>
          <w:rFonts w:ascii="Times New Roman" w:hAnsi="Times New Roman"/>
          <w:sz w:val="24"/>
          <w:u w:val="none"/>
        </w:rPr>
        <w:t>6.4.1.</w:t>
      </w:r>
      <w:r w:rsidRPr="00DA7625">
        <w:rPr>
          <w:rFonts w:ascii="Times New Roman" w:hAnsi="Times New Roman"/>
          <w:sz w:val="24"/>
          <w:u w:val="none"/>
        </w:rPr>
        <w:tab/>
      </w:r>
      <w:r w:rsidRPr="00DA7625">
        <w:rPr>
          <w:rFonts w:ascii="Times New Roman" w:hAnsi="Times New Roman"/>
          <w:sz w:val="24"/>
        </w:rPr>
        <w:t>Általános megjegyzések</w:t>
      </w:r>
      <w:bookmarkEnd w:id="118"/>
      <w:r w:rsidRPr="00DA7625">
        <w:rPr>
          <w:rFonts w:ascii="Times New Roman" w:hAnsi="Times New Roman"/>
          <w:sz w:val="24"/>
          <w:u w:val="none"/>
        </w:rPr>
        <w:t xml:space="preserve"> </w:t>
      </w:r>
    </w:p>
    <w:p w14:paraId="5FFC4839" w14:textId="18061A7F" w:rsidR="001B1411" w:rsidRPr="00DA7625" w:rsidRDefault="00113E45">
      <w:pPr>
        <w:pStyle w:val="InstructionsText2"/>
        <w:numPr>
          <w:ilvl w:val="0"/>
          <w:numId w:val="0"/>
        </w:numPr>
        <w:ind w:left="993"/>
      </w:pPr>
      <w:r w:rsidRPr="00DA7625">
        <w:t>154k. Ezt a táblát kizárólag olyan intézményeknek kell kitölteniük, amelyek meghaladják az (EU) 2016/101 felhatalmazáson alapuló rendelet 4. cikkének (1) bekezdésében említett értékhatárt. A valamely, az értékhatárt konszolidált szinten meghaladó csoport részét képező intézményeknek csak akkor kell kitölteniük ezt a táblát, ha a saját szintjükön is meghaladják az értékhatárt.</w:t>
      </w:r>
    </w:p>
    <w:p w14:paraId="6C6B9144" w14:textId="5A1C6A2A" w:rsidR="001B1411" w:rsidRPr="00DA7625" w:rsidRDefault="00113E45">
      <w:pPr>
        <w:pStyle w:val="InstructionsText2"/>
        <w:numPr>
          <w:ilvl w:val="0"/>
          <w:numId w:val="0"/>
        </w:numPr>
        <w:ind w:left="993"/>
      </w:pPr>
      <w:r w:rsidRPr="00DA7625">
        <w:t xml:space="preserve">154l. Ebben a táblában az (EU) 2016/101 felhatalmazáson alapuló rendelet 14. cikkével összhangban kiszámított teljes kategóriaszintű, koncentrált pozíciókkal kapcsolatos kiegészítő értékelési korrekcióhoz hozzájáruló, a kiegészítő értékelési korrekció összegét tekintve első 20 egyedi, koncentrált pozíciókkal kapcsolatos kiegészítő értékelési korrekció részleteit kell feltüntetni. Ez az információ megfelel a C 32.02. tábla 0070. oszlopában megadott információknak. </w:t>
      </w:r>
    </w:p>
    <w:p w14:paraId="75B0C061" w14:textId="77777777" w:rsidR="001B1411" w:rsidRPr="00DA7625" w:rsidRDefault="00113E45">
      <w:pPr>
        <w:pStyle w:val="InstructionsText2"/>
        <w:numPr>
          <w:ilvl w:val="0"/>
          <w:numId w:val="0"/>
        </w:numPr>
        <w:ind w:left="993"/>
      </w:pPr>
      <w:r w:rsidRPr="00DA7625">
        <w:t>154m. Az első 20 egyedi, koncentrált pozíciókkal kapcsolatos kiegészítő értékelési korrekciót és a kapcsolódó termékinformációkat csökkenő sorrendben, a legnagyobb egyedi, koncentrált pozíciókkal kapcsolatos kiegészítő értékelési korrekcióval kezdve kell feltüntetni.</w:t>
      </w:r>
    </w:p>
    <w:p w14:paraId="18D151FC" w14:textId="33568C08" w:rsidR="001B1411" w:rsidRPr="00DA7625" w:rsidRDefault="00113E45">
      <w:pPr>
        <w:pStyle w:val="InstructionsText2"/>
        <w:numPr>
          <w:ilvl w:val="0"/>
          <w:numId w:val="0"/>
        </w:numPr>
        <w:ind w:left="993"/>
      </w:pPr>
      <w:r w:rsidRPr="00DA7625">
        <w:t>154n. Az ezen legnagyobb egyedi, koncentrált pozíciókkal kapcsolatos kiegészítő értékelési korrekcióknak megfelelő termékeket az (EU) 2016/101 felhatalmazáson alapuló rendelet 19. cikke (3) bekezdésének a) pontjában előírt termékleltár használatával kell feltüntetni.</w:t>
      </w:r>
    </w:p>
    <w:p w14:paraId="3142F70E" w14:textId="1A46D292" w:rsidR="001B1411" w:rsidRPr="00DA7625" w:rsidRDefault="00113E45">
      <w:pPr>
        <w:pStyle w:val="InstructionsText2"/>
        <w:numPr>
          <w:ilvl w:val="0"/>
          <w:numId w:val="0"/>
        </w:numPr>
        <w:ind w:left="993"/>
      </w:pPr>
      <w:r w:rsidRPr="00DA7625">
        <w:t>154o. A kiegészítő értékelési korrekciók kiszámítási módszere szempontjából homogén pozíciókat lehetőség szerint összesíteni kell, e tábla lefedettségének maximalizálása céljából.</w:t>
      </w:r>
    </w:p>
    <w:p w14:paraId="710CAB00" w14:textId="77777777" w:rsidR="001B1411" w:rsidRPr="00DA7625" w:rsidRDefault="00B93FA1">
      <w:pPr>
        <w:pStyle w:val="Instructionsberschrift2"/>
        <w:numPr>
          <w:ilvl w:val="0"/>
          <w:numId w:val="0"/>
        </w:numPr>
        <w:ind w:left="357" w:hanging="357"/>
        <w:rPr>
          <w:rFonts w:ascii="Times New Roman" w:hAnsi="Times New Roman" w:cs="Times New Roman"/>
          <w:sz w:val="24"/>
          <w:u w:val="none"/>
        </w:rPr>
      </w:pPr>
      <w:bookmarkStart w:id="119" w:name="_Toc31018865"/>
      <w:r w:rsidRPr="00DA7625">
        <w:rPr>
          <w:rFonts w:ascii="Times New Roman" w:hAnsi="Times New Roman"/>
          <w:sz w:val="24"/>
          <w:u w:val="none"/>
        </w:rPr>
        <w:lastRenderedPageBreak/>
        <w:t>6.4.2.</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B1411" w:rsidRPr="00DA7625" w14:paraId="0D49F34C" w14:textId="77777777" w:rsidTr="00672D2A">
        <w:tc>
          <w:tcPr>
            <w:tcW w:w="8856" w:type="dxa"/>
            <w:gridSpan w:val="2"/>
            <w:shd w:val="clear" w:color="auto" w:fill="CCCCCC"/>
          </w:tcPr>
          <w:p w14:paraId="0E0913D1" w14:textId="77777777" w:rsidR="001B1411" w:rsidRPr="00DA7625" w:rsidRDefault="00113E45">
            <w:pPr>
              <w:spacing w:beforeLines="60" w:before="144" w:afterLines="60" w:after="144"/>
              <w:rPr>
                <w:rFonts w:ascii="Times New Roman" w:hAnsi="Times New Roman"/>
                <w:b/>
                <w:sz w:val="24"/>
              </w:rPr>
            </w:pPr>
            <w:r w:rsidRPr="00DA7625">
              <w:rPr>
                <w:rFonts w:ascii="Times New Roman" w:hAnsi="Times New Roman"/>
                <w:b/>
                <w:sz w:val="24"/>
              </w:rPr>
              <w:t>Oszlop</w:t>
            </w:r>
          </w:p>
        </w:tc>
      </w:tr>
      <w:tr w:rsidR="001B1411" w:rsidRPr="00DA7625" w14:paraId="01F925BD" w14:textId="77777777" w:rsidTr="00672D2A">
        <w:tc>
          <w:tcPr>
            <w:tcW w:w="852" w:type="dxa"/>
          </w:tcPr>
          <w:p w14:paraId="69077131" w14:textId="77777777" w:rsidR="001B1411" w:rsidRPr="00DA7625" w:rsidRDefault="0022597E">
            <w:pPr>
              <w:spacing w:beforeLines="60" w:before="144" w:afterLines="60" w:after="144"/>
              <w:rPr>
                <w:rFonts w:ascii="Times New Roman" w:hAnsi="Times New Roman"/>
                <w:sz w:val="24"/>
              </w:rPr>
            </w:pPr>
            <w:r w:rsidRPr="00DA7625">
              <w:rPr>
                <w:rFonts w:ascii="Times New Roman" w:hAnsi="Times New Roman"/>
                <w:sz w:val="24"/>
              </w:rPr>
              <w:t>0005</w:t>
            </w:r>
          </w:p>
        </w:tc>
        <w:tc>
          <w:tcPr>
            <w:tcW w:w="8004" w:type="dxa"/>
          </w:tcPr>
          <w:p w14:paraId="5D8E42AF" w14:textId="77777777" w:rsidR="001B1411" w:rsidRPr="00DA7625" w:rsidRDefault="00113E45">
            <w:pPr>
              <w:spacing w:beforeLines="60" w:before="144" w:afterLines="60" w:after="144"/>
              <w:rPr>
                <w:rFonts w:ascii="Times New Roman" w:hAnsi="Times New Roman"/>
                <w:b/>
                <w:sz w:val="24"/>
                <w:u w:val="single"/>
              </w:rPr>
            </w:pPr>
            <w:r w:rsidRPr="00DA7625">
              <w:rPr>
                <w:rFonts w:ascii="Times New Roman" w:hAnsi="Times New Roman"/>
                <w:b/>
                <w:sz w:val="24"/>
                <w:u w:val="single"/>
              </w:rPr>
              <w:t>BESOROLÁS</w:t>
            </w:r>
          </w:p>
          <w:p w14:paraId="35A12444" w14:textId="2A08DF57" w:rsidR="001B1411" w:rsidRPr="00DA7625" w:rsidDel="003016B5" w:rsidRDefault="00113E45">
            <w:pPr>
              <w:spacing w:beforeLines="60" w:before="144" w:afterLines="60" w:after="144"/>
              <w:rPr>
                <w:rFonts w:ascii="Times New Roman" w:hAnsi="Times New Roman"/>
                <w:b/>
                <w:sz w:val="24"/>
                <w:u w:val="single"/>
              </w:rPr>
            </w:pPr>
            <w:r w:rsidRPr="00DA7625">
              <w:rPr>
                <w:rFonts w:ascii="Times New Roman" w:hAnsi="Times New Roman"/>
                <w:sz w:val="24"/>
              </w:rPr>
              <w:t>A besorolás egy sorazonosító, amely a tábla minden sorát egyedileg azonosítja. Sorrendje: 1, 2, 3 stb., ahol az 1-et a legnagyobb egyedi koncentrált pozíciókkal kapcsolatos kiegészítő értékelési korrekcióhoz kell rendelni, a 2-t a második legnagyobbhoz, és így tovább.</w:t>
            </w:r>
          </w:p>
        </w:tc>
      </w:tr>
      <w:tr w:rsidR="001B1411" w:rsidRPr="00DA7625" w14:paraId="6B3108A4" w14:textId="77777777" w:rsidTr="00672D2A">
        <w:tc>
          <w:tcPr>
            <w:tcW w:w="852" w:type="dxa"/>
          </w:tcPr>
          <w:p w14:paraId="4E297FC1" w14:textId="77777777" w:rsidR="001B1411" w:rsidRPr="00DA7625" w:rsidRDefault="0022597E">
            <w:pPr>
              <w:spacing w:beforeLines="60" w:before="144" w:afterLines="60" w:after="144"/>
              <w:rPr>
                <w:rFonts w:ascii="Times New Roman" w:hAnsi="Times New Roman"/>
                <w:sz w:val="24"/>
              </w:rPr>
            </w:pPr>
            <w:r w:rsidRPr="00DA7625">
              <w:rPr>
                <w:rFonts w:ascii="Times New Roman" w:hAnsi="Times New Roman"/>
                <w:sz w:val="24"/>
              </w:rPr>
              <w:t>0010</w:t>
            </w:r>
          </w:p>
        </w:tc>
        <w:tc>
          <w:tcPr>
            <w:tcW w:w="8004" w:type="dxa"/>
          </w:tcPr>
          <w:p w14:paraId="2916DC85" w14:textId="77777777" w:rsidR="001B1411" w:rsidRPr="00DA7625" w:rsidRDefault="00113E45">
            <w:pPr>
              <w:spacing w:beforeLines="60" w:before="144" w:afterLines="60" w:after="144"/>
              <w:rPr>
                <w:rFonts w:ascii="Times New Roman" w:hAnsi="Times New Roman"/>
                <w:b/>
                <w:sz w:val="24"/>
                <w:u w:val="single"/>
              </w:rPr>
            </w:pPr>
            <w:r w:rsidRPr="00DA7625">
              <w:rPr>
                <w:rFonts w:ascii="Times New Roman" w:hAnsi="Times New Roman"/>
                <w:b/>
                <w:sz w:val="24"/>
                <w:u w:val="single"/>
              </w:rPr>
              <w:t>KOCKÁZATI KATEGÓRIA</w:t>
            </w:r>
          </w:p>
          <w:p w14:paraId="6D1696C8" w14:textId="77777777" w:rsidR="001B1411" w:rsidRPr="00DA7625" w:rsidRDefault="00113E45">
            <w:pPr>
              <w:spacing w:beforeLines="60" w:before="144" w:afterLines="60" w:after="144"/>
              <w:rPr>
                <w:rFonts w:ascii="Times New Roman" w:hAnsi="Times New Roman"/>
                <w:sz w:val="24"/>
              </w:rPr>
            </w:pPr>
            <w:r w:rsidRPr="00DA7625">
              <w:rPr>
                <w:rFonts w:ascii="Times New Roman" w:hAnsi="Times New Roman"/>
                <w:sz w:val="24"/>
              </w:rPr>
              <w:t>A pozíciót leginkább jellemző kockázati kategória (kamat, devizaárfolyam, hitel, részvény, áru).</w:t>
            </w:r>
          </w:p>
          <w:p w14:paraId="16A366E7" w14:textId="77777777" w:rsidR="001B1411" w:rsidRPr="00DA7625" w:rsidRDefault="00113E45">
            <w:pPr>
              <w:spacing w:beforeLines="60" w:before="144" w:afterLines="60" w:after="144"/>
              <w:rPr>
                <w:rFonts w:ascii="Times New Roman" w:hAnsi="Times New Roman"/>
                <w:sz w:val="24"/>
              </w:rPr>
            </w:pPr>
            <w:r w:rsidRPr="00DA7625">
              <w:rPr>
                <w:rFonts w:ascii="Times New Roman" w:hAnsi="Times New Roman"/>
                <w:sz w:val="24"/>
              </w:rPr>
              <w:t>Az intézményeknek a következő kódokat kell feltüntetniük:</w:t>
            </w:r>
          </w:p>
          <w:p w14:paraId="15AF634B" w14:textId="77777777" w:rsidR="001B1411" w:rsidRPr="00DA7625" w:rsidRDefault="00113E45">
            <w:pPr>
              <w:spacing w:beforeLines="60" w:before="144" w:afterLines="60" w:after="144"/>
              <w:rPr>
                <w:rFonts w:ascii="Times New Roman" w:hAnsi="Times New Roman"/>
                <w:sz w:val="24"/>
              </w:rPr>
            </w:pPr>
            <w:r w:rsidRPr="00DA7625">
              <w:rPr>
                <w:rFonts w:ascii="Times New Roman" w:hAnsi="Times New Roman"/>
                <w:sz w:val="24"/>
              </w:rPr>
              <w:t>IR – kamat</w:t>
            </w:r>
          </w:p>
          <w:p w14:paraId="0480F0A4" w14:textId="77777777" w:rsidR="001B1411" w:rsidRPr="00DA7625" w:rsidRDefault="0022597E">
            <w:pPr>
              <w:spacing w:beforeLines="60" w:before="144" w:afterLines="60" w:after="144"/>
              <w:rPr>
                <w:rFonts w:ascii="Times New Roman" w:hAnsi="Times New Roman"/>
                <w:sz w:val="24"/>
              </w:rPr>
            </w:pPr>
            <w:r w:rsidRPr="00DA7625">
              <w:rPr>
                <w:rFonts w:ascii="Times New Roman" w:hAnsi="Times New Roman"/>
                <w:sz w:val="24"/>
              </w:rPr>
              <w:t>FX – devizaárfolyam</w:t>
            </w:r>
          </w:p>
          <w:p w14:paraId="619C867D" w14:textId="77777777" w:rsidR="001B1411" w:rsidRPr="00DA7625" w:rsidRDefault="00113E45">
            <w:pPr>
              <w:spacing w:beforeLines="60" w:before="144" w:afterLines="60" w:after="144"/>
              <w:rPr>
                <w:rFonts w:ascii="Times New Roman" w:hAnsi="Times New Roman"/>
                <w:sz w:val="24"/>
              </w:rPr>
            </w:pPr>
            <w:r w:rsidRPr="00DA7625">
              <w:rPr>
                <w:rFonts w:ascii="Times New Roman" w:hAnsi="Times New Roman"/>
                <w:sz w:val="24"/>
              </w:rPr>
              <w:t>CR – hitel</w:t>
            </w:r>
          </w:p>
          <w:p w14:paraId="4CE04B1E" w14:textId="77777777" w:rsidR="001B1411" w:rsidRPr="00DA7625" w:rsidRDefault="00113E45">
            <w:pPr>
              <w:spacing w:beforeLines="60" w:before="144" w:afterLines="60" w:after="144"/>
              <w:rPr>
                <w:rFonts w:ascii="Times New Roman" w:hAnsi="Times New Roman"/>
                <w:sz w:val="24"/>
              </w:rPr>
            </w:pPr>
            <w:r w:rsidRPr="00DA7625">
              <w:rPr>
                <w:rFonts w:ascii="Times New Roman" w:hAnsi="Times New Roman"/>
                <w:sz w:val="24"/>
              </w:rPr>
              <w:t>EQ – részvény</w:t>
            </w:r>
          </w:p>
          <w:p w14:paraId="53AE9257" w14:textId="77777777" w:rsidR="001B1411" w:rsidRPr="00DA7625" w:rsidRDefault="00113E45">
            <w:pPr>
              <w:spacing w:beforeLines="60" w:before="144" w:afterLines="60" w:after="144"/>
              <w:rPr>
                <w:rFonts w:ascii="Times New Roman" w:hAnsi="Times New Roman"/>
                <w:sz w:val="24"/>
              </w:rPr>
            </w:pPr>
            <w:r w:rsidRPr="00DA7625">
              <w:rPr>
                <w:rFonts w:ascii="Times New Roman" w:hAnsi="Times New Roman"/>
                <w:sz w:val="24"/>
              </w:rPr>
              <w:t>CO – áru</w:t>
            </w:r>
          </w:p>
        </w:tc>
      </w:tr>
      <w:tr w:rsidR="001B1411" w:rsidRPr="00DA7625" w14:paraId="3E66D39B" w14:textId="77777777" w:rsidTr="00672D2A">
        <w:tc>
          <w:tcPr>
            <w:tcW w:w="852" w:type="dxa"/>
          </w:tcPr>
          <w:p w14:paraId="53257124" w14:textId="77777777" w:rsidR="001B1411" w:rsidRPr="00DA7625" w:rsidRDefault="0022597E">
            <w:pPr>
              <w:spacing w:beforeLines="60" w:before="144" w:afterLines="60" w:after="144"/>
              <w:rPr>
                <w:rFonts w:ascii="Times New Roman" w:hAnsi="Times New Roman"/>
                <w:sz w:val="24"/>
              </w:rPr>
            </w:pPr>
            <w:r w:rsidRPr="00DA7625">
              <w:rPr>
                <w:rFonts w:ascii="Times New Roman" w:hAnsi="Times New Roman"/>
                <w:sz w:val="24"/>
              </w:rPr>
              <w:t>0020</w:t>
            </w:r>
          </w:p>
        </w:tc>
        <w:tc>
          <w:tcPr>
            <w:tcW w:w="8004" w:type="dxa"/>
          </w:tcPr>
          <w:p w14:paraId="5E724BC4" w14:textId="77777777" w:rsidR="001B1411" w:rsidRPr="00DA7625" w:rsidRDefault="00113E45">
            <w:pPr>
              <w:spacing w:beforeLines="60" w:before="144" w:afterLines="60" w:after="144"/>
              <w:rPr>
                <w:rFonts w:ascii="Times New Roman" w:hAnsi="Times New Roman"/>
                <w:b/>
                <w:sz w:val="24"/>
                <w:u w:val="single"/>
              </w:rPr>
            </w:pPr>
            <w:r w:rsidRPr="00DA7625">
              <w:rPr>
                <w:rFonts w:ascii="Times New Roman" w:hAnsi="Times New Roman"/>
                <w:b/>
                <w:sz w:val="24"/>
                <w:u w:val="single"/>
              </w:rPr>
              <w:t xml:space="preserve">TERMÉK </w:t>
            </w:r>
          </w:p>
          <w:p w14:paraId="61D1884D" w14:textId="3E825586" w:rsidR="001B1411" w:rsidRPr="00DA7625" w:rsidRDefault="00113E45">
            <w:pPr>
              <w:spacing w:beforeLines="60" w:before="144" w:afterLines="60" w:after="144"/>
              <w:rPr>
                <w:rFonts w:ascii="Times New Roman" w:hAnsi="Times New Roman"/>
                <w:sz w:val="24"/>
              </w:rPr>
            </w:pPr>
            <w:r w:rsidRPr="00DA7625">
              <w:rPr>
                <w:rFonts w:ascii="Times New Roman" w:hAnsi="Times New Roman"/>
                <w:sz w:val="24"/>
              </w:rPr>
              <w:t>A termék vagy termékcsoport belső neve, az (EU) 2016/101 felhatalmazáson alapuló rendelet 19. cikke (3) bekezdésének a) pontjában előírt termékleltárral összhangban.</w:t>
            </w:r>
          </w:p>
        </w:tc>
      </w:tr>
      <w:tr w:rsidR="001B1411" w:rsidRPr="00DA7625" w14:paraId="0198E1E4" w14:textId="77777777" w:rsidTr="00672D2A">
        <w:tc>
          <w:tcPr>
            <w:tcW w:w="852" w:type="dxa"/>
          </w:tcPr>
          <w:p w14:paraId="09D0AECA" w14:textId="77777777" w:rsidR="001B1411" w:rsidRPr="00DA7625" w:rsidRDefault="0022597E">
            <w:pPr>
              <w:spacing w:beforeLines="60" w:before="144" w:afterLines="60" w:after="144"/>
              <w:rPr>
                <w:rFonts w:ascii="Times New Roman" w:hAnsi="Times New Roman"/>
                <w:sz w:val="24"/>
              </w:rPr>
            </w:pPr>
            <w:r w:rsidRPr="00DA7625">
              <w:rPr>
                <w:rFonts w:ascii="Times New Roman" w:hAnsi="Times New Roman"/>
                <w:sz w:val="24"/>
              </w:rPr>
              <w:t>0030</w:t>
            </w:r>
          </w:p>
        </w:tc>
        <w:tc>
          <w:tcPr>
            <w:tcW w:w="8004" w:type="dxa"/>
          </w:tcPr>
          <w:p w14:paraId="25CE27D1" w14:textId="77777777" w:rsidR="001B1411" w:rsidRPr="00DA7625" w:rsidRDefault="00113E45">
            <w:pPr>
              <w:spacing w:beforeLines="60" w:before="144" w:afterLines="60" w:after="144"/>
              <w:rPr>
                <w:rFonts w:ascii="Times New Roman" w:hAnsi="Times New Roman"/>
                <w:b/>
                <w:sz w:val="24"/>
                <w:u w:val="single"/>
              </w:rPr>
            </w:pPr>
            <w:r w:rsidRPr="00DA7625">
              <w:rPr>
                <w:rFonts w:ascii="Times New Roman" w:hAnsi="Times New Roman"/>
                <w:b/>
                <w:sz w:val="24"/>
                <w:u w:val="single"/>
              </w:rPr>
              <w:t>MÖGÖTTES</w:t>
            </w:r>
          </w:p>
          <w:p w14:paraId="70DA4BBF" w14:textId="77777777" w:rsidR="001B1411" w:rsidRPr="00DA7625" w:rsidRDefault="00113E45">
            <w:pPr>
              <w:spacing w:beforeLines="60" w:before="144" w:afterLines="60" w:after="144"/>
              <w:rPr>
                <w:rFonts w:ascii="Times New Roman" w:hAnsi="Times New Roman"/>
                <w:sz w:val="24"/>
              </w:rPr>
            </w:pPr>
            <w:r w:rsidRPr="00DA7625">
              <w:rPr>
                <w:rFonts w:ascii="Times New Roman" w:hAnsi="Times New Roman"/>
                <w:sz w:val="24"/>
              </w:rPr>
              <w:t>A mögöttes eszköz vagy eszközök belső neve származtatott ügyletek esetében, vagy az instrumentumok neve nem származtatott ügyletek esetében.</w:t>
            </w:r>
          </w:p>
        </w:tc>
      </w:tr>
      <w:tr w:rsidR="001B1411" w:rsidRPr="00DA7625" w14:paraId="5EB9E9C6" w14:textId="77777777" w:rsidTr="00672D2A">
        <w:tc>
          <w:tcPr>
            <w:tcW w:w="852" w:type="dxa"/>
          </w:tcPr>
          <w:p w14:paraId="611E92E9" w14:textId="77777777" w:rsidR="001B1411" w:rsidRPr="00DA7625" w:rsidRDefault="0022597E">
            <w:pPr>
              <w:spacing w:beforeLines="60" w:before="144" w:afterLines="60" w:after="144"/>
              <w:rPr>
                <w:rFonts w:ascii="Times New Roman" w:hAnsi="Times New Roman"/>
                <w:sz w:val="24"/>
              </w:rPr>
            </w:pPr>
            <w:r w:rsidRPr="00DA7625">
              <w:rPr>
                <w:rFonts w:ascii="Times New Roman" w:hAnsi="Times New Roman"/>
                <w:sz w:val="24"/>
              </w:rPr>
              <w:t>0040</w:t>
            </w:r>
          </w:p>
        </w:tc>
        <w:tc>
          <w:tcPr>
            <w:tcW w:w="8004" w:type="dxa"/>
          </w:tcPr>
          <w:p w14:paraId="6CF6DF7E" w14:textId="77777777" w:rsidR="001B1411" w:rsidRPr="00DA7625" w:rsidRDefault="00113E45">
            <w:pPr>
              <w:spacing w:beforeLines="60" w:before="144" w:afterLines="60" w:after="144"/>
              <w:rPr>
                <w:rFonts w:ascii="Times New Roman" w:hAnsi="Times New Roman"/>
                <w:b/>
                <w:sz w:val="24"/>
                <w:u w:val="single"/>
              </w:rPr>
            </w:pPr>
            <w:r w:rsidRPr="00DA7625">
              <w:rPr>
                <w:rFonts w:ascii="Times New Roman" w:hAnsi="Times New Roman"/>
                <w:b/>
                <w:sz w:val="24"/>
                <w:u w:val="single"/>
              </w:rPr>
              <w:t>KONCENTRÁLT POZÍCIÓK MÉRETE</w:t>
            </w:r>
          </w:p>
          <w:p w14:paraId="55E8CAD3" w14:textId="59AF245B" w:rsidR="001B1411" w:rsidRPr="00DA7625" w:rsidRDefault="00113E45">
            <w:pPr>
              <w:spacing w:beforeLines="60" w:before="144" w:afterLines="60" w:after="144"/>
              <w:rPr>
                <w:rStyle w:val="InstructionsTabelleberschrift"/>
                <w:rFonts w:ascii="Times New Roman" w:hAnsi="Times New Roman"/>
                <w:sz w:val="24"/>
              </w:rPr>
            </w:pPr>
            <w:r w:rsidRPr="00DA7625">
              <w:rPr>
                <w:rFonts w:ascii="Times New Roman" w:hAnsi="Times New Roman"/>
                <w:sz w:val="24"/>
              </w:rPr>
              <w:t xml:space="preserve">Az (EU) 2016/101 felhatalmazáson alapuló rendelet 14. cikke (1) bekezdésének a) pontja szerint meghatározott egyedi koncentrált értékelési pozíció mérete, a 0050. oszlopban leírt egységben kifejezve. </w:t>
            </w:r>
          </w:p>
        </w:tc>
      </w:tr>
      <w:tr w:rsidR="001B1411" w:rsidRPr="00DA7625" w14:paraId="6D7EE985" w14:textId="77777777" w:rsidTr="00672D2A">
        <w:tc>
          <w:tcPr>
            <w:tcW w:w="852" w:type="dxa"/>
          </w:tcPr>
          <w:p w14:paraId="1D4A4B11" w14:textId="77777777" w:rsidR="001B1411" w:rsidRPr="00DA7625" w:rsidRDefault="0022597E">
            <w:pPr>
              <w:spacing w:beforeLines="60" w:before="144" w:afterLines="60" w:after="144"/>
              <w:rPr>
                <w:rFonts w:ascii="Times New Roman" w:hAnsi="Times New Roman"/>
                <w:sz w:val="24"/>
              </w:rPr>
            </w:pPr>
            <w:r w:rsidRPr="00DA7625">
              <w:rPr>
                <w:rFonts w:ascii="Times New Roman" w:hAnsi="Times New Roman"/>
                <w:sz w:val="24"/>
              </w:rPr>
              <w:t>0050</w:t>
            </w:r>
          </w:p>
        </w:tc>
        <w:tc>
          <w:tcPr>
            <w:tcW w:w="8004" w:type="dxa"/>
          </w:tcPr>
          <w:p w14:paraId="462E8180" w14:textId="77777777" w:rsidR="001B1411" w:rsidRPr="00DA7625" w:rsidRDefault="00113E45">
            <w:pPr>
              <w:spacing w:beforeLines="60" w:before="144" w:afterLines="60" w:after="144"/>
              <w:rPr>
                <w:rFonts w:ascii="Times New Roman" w:hAnsi="Times New Roman"/>
                <w:b/>
                <w:sz w:val="24"/>
                <w:u w:val="single"/>
              </w:rPr>
            </w:pPr>
            <w:r w:rsidRPr="00DA7625">
              <w:rPr>
                <w:rFonts w:ascii="Times New Roman" w:hAnsi="Times New Roman"/>
                <w:b/>
                <w:sz w:val="24"/>
                <w:u w:val="single"/>
              </w:rPr>
              <w:t>MÉRTÉKEGYSÉG</w:t>
            </w:r>
          </w:p>
          <w:p w14:paraId="012AD96E" w14:textId="77777777" w:rsidR="001B1411" w:rsidRPr="00DA7625" w:rsidRDefault="00113E45">
            <w:pPr>
              <w:spacing w:beforeLines="60" w:before="144" w:afterLines="60" w:after="144"/>
              <w:rPr>
                <w:rFonts w:ascii="Times New Roman" w:hAnsi="Times New Roman"/>
                <w:sz w:val="24"/>
              </w:rPr>
            </w:pPr>
            <w:r w:rsidRPr="00DA7625">
              <w:rPr>
                <w:rFonts w:ascii="Times New Roman" w:hAnsi="Times New Roman"/>
                <w:sz w:val="24"/>
              </w:rPr>
              <w:t xml:space="preserve">A 0040. oszlopban említett koncentrált pozícióméret kiszámítása céljából a koncentrált értékelési pozíció meghatározása részeként belsőleg használt mértékegység. </w:t>
            </w:r>
          </w:p>
          <w:p w14:paraId="63E400D7" w14:textId="77777777" w:rsidR="001B1411" w:rsidRPr="00DA7625" w:rsidRDefault="00113E45">
            <w:pPr>
              <w:spacing w:beforeLines="60" w:before="144" w:afterLines="60" w:after="144"/>
              <w:rPr>
                <w:rStyle w:val="InstructionsTabelleberschrift"/>
                <w:rFonts w:ascii="Times New Roman" w:hAnsi="Times New Roman"/>
                <w:b w:val="0"/>
                <w:bCs w:val="0"/>
                <w:sz w:val="24"/>
                <w:u w:val="none"/>
              </w:rPr>
            </w:pPr>
            <w:r w:rsidRPr="00DA7625">
              <w:rPr>
                <w:rStyle w:val="InstructionsTabelleberschrift"/>
                <w:rFonts w:ascii="Times New Roman" w:hAnsi="Times New Roman"/>
                <w:b w:val="0"/>
                <w:bCs w:val="0"/>
                <w:sz w:val="24"/>
                <w:u w:val="none"/>
              </w:rPr>
              <w:t>Kötvényekben vagy részvényekben lévő pozíciók esetében a belső</w:t>
            </w:r>
            <w:r w:rsidRPr="00DA7625">
              <w:rPr>
                <w:rFonts w:ascii="Times New Roman" w:hAnsi="Times New Roman"/>
                <w:sz w:val="24"/>
              </w:rPr>
              <w:t xml:space="preserve"> kockázatkezeléshez használt mértékegységet kell megadni, </w:t>
            </w:r>
            <w:r w:rsidRPr="00DA7625">
              <w:rPr>
                <w:rStyle w:val="InstructionsTabelleberschrift"/>
                <w:rFonts w:ascii="Times New Roman" w:hAnsi="Times New Roman"/>
                <w:b w:val="0"/>
                <w:bCs w:val="0"/>
                <w:sz w:val="24"/>
                <w:u w:val="none"/>
              </w:rPr>
              <w:t xml:space="preserve">például „kötvények száma”, részvények száma” vagy „piaci érték”. </w:t>
            </w:r>
          </w:p>
          <w:p w14:paraId="3D011492" w14:textId="77777777" w:rsidR="001B1411" w:rsidRPr="00DA7625" w:rsidRDefault="00113E45">
            <w:pPr>
              <w:spacing w:beforeLines="60" w:before="144" w:afterLines="60" w:after="144"/>
              <w:rPr>
                <w:rStyle w:val="InstructionsTabelleberschrift"/>
                <w:rFonts w:ascii="Times New Roman" w:hAnsi="Times New Roman"/>
                <w:b w:val="0"/>
                <w:bCs w:val="0"/>
                <w:sz w:val="24"/>
                <w:u w:val="none"/>
              </w:rPr>
            </w:pPr>
            <w:r w:rsidRPr="00DA7625">
              <w:rPr>
                <w:rFonts w:ascii="Times New Roman" w:hAnsi="Times New Roman"/>
                <w:sz w:val="24"/>
              </w:rPr>
              <w:lastRenderedPageBreak/>
              <w:t xml:space="preserve">Származtatott ügyletekben lévő pozíciók esetében a belső kockázatkezeléshez használt mértékegységet kell megadni, például „PV01; EUR/1 bázispontos párhuzamos hozamgörbe eltolódás”. </w:t>
            </w:r>
          </w:p>
        </w:tc>
      </w:tr>
      <w:tr w:rsidR="001B1411" w:rsidRPr="00DA7625" w14:paraId="0F65911F" w14:textId="77777777" w:rsidTr="00672D2A">
        <w:tc>
          <w:tcPr>
            <w:tcW w:w="852" w:type="dxa"/>
          </w:tcPr>
          <w:p w14:paraId="38D19445" w14:textId="77777777" w:rsidR="001B1411" w:rsidRPr="00DA7625" w:rsidRDefault="0022597E">
            <w:pPr>
              <w:spacing w:beforeLines="60" w:before="144" w:afterLines="60" w:after="144"/>
              <w:rPr>
                <w:rFonts w:ascii="Times New Roman" w:hAnsi="Times New Roman"/>
                <w:sz w:val="24"/>
              </w:rPr>
            </w:pPr>
            <w:r w:rsidRPr="00DA7625">
              <w:rPr>
                <w:rFonts w:ascii="Times New Roman" w:hAnsi="Times New Roman"/>
                <w:sz w:val="24"/>
              </w:rPr>
              <w:lastRenderedPageBreak/>
              <w:t>0060</w:t>
            </w:r>
          </w:p>
        </w:tc>
        <w:tc>
          <w:tcPr>
            <w:tcW w:w="8004" w:type="dxa"/>
          </w:tcPr>
          <w:p w14:paraId="5B31E5C5" w14:textId="77777777" w:rsidR="001B1411" w:rsidRPr="00DA7625" w:rsidRDefault="00113E4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PIACI ÉRTÉK</w:t>
            </w:r>
          </w:p>
          <w:p w14:paraId="24489414" w14:textId="77777777" w:rsidR="001B1411" w:rsidRPr="00DA7625" w:rsidRDefault="00113E45">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pozíció piaci értéke.</w:t>
            </w:r>
          </w:p>
        </w:tc>
      </w:tr>
      <w:tr w:rsidR="001B1411" w:rsidRPr="00DA7625" w14:paraId="28D8D3B4" w14:textId="77777777" w:rsidTr="00672D2A">
        <w:tc>
          <w:tcPr>
            <w:tcW w:w="852" w:type="dxa"/>
          </w:tcPr>
          <w:p w14:paraId="467CFB2C" w14:textId="77777777" w:rsidR="001B1411" w:rsidRPr="00DA7625" w:rsidRDefault="0022597E">
            <w:pPr>
              <w:spacing w:beforeLines="60" w:before="144" w:afterLines="60" w:after="144"/>
              <w:rPr>
                <w:rFonts w:ascii="Times New Roman" w:hAnsi="Times New Roman"/>
                <w:sz w:val="24"/>
              </w:rPr>
            </w:pPr>
            <w:r w:rsidRPr="00DA7625">
              <w:rPr>
                <w:rFonts w:ascii="Times New Roman" w:hAnsi="Times New Roman"/>
                <w:sz w:val="24"/>
              </w:rPr>
              <w:t>0070</w:t>
            </w:r>
          </w:p>
        </w:tc>
        <w:tc>
          <w:tcPr>
            <w:tcW w:w="8004" w:type="dxa"/>
          </w:tcPr>
          <w:p w14:paraId="43BCA791" w14:textId="77777777" w:rsidR="001B1411" w:rsidRPr="00DA7625" w:rsidRDefault="00113E4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PRUDENS KILÉPÉSI IDŐSZAK</w:t>
            </w:r>
          </w:p>
          <w:p w14:paraId="377544B0" w14:textId="56398078" w:rsidR="001B1411" w:rsidRPr="00DA7625" w:rsidRDefault="00113E45">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Az (EU) 2016/101 felhatalmazáson alapuló rendelet 14. cikke (1) bekezdésének b) pontja szerint</w:t>
            </w:r>
            <w:r w:rsidRPr="00DA7625">
              <w:rPr>
                <w:rFonts w:ascii="Times New Roman" w:hAnsi="Times New Roman"/>
                <w:sz w:val="24"/>
              </w:rPr>
              <w:t xml:space="preserve"> becsült napok számában megadott prudens kilépési időszak</w:t>
            </w:r>
            <w:r w:rsidRPr="00DA7625">
              <w:rPr>
                <w:rStyle w:val="InstructionsTabelleberschrift"/>
                <w:rFonts w:ascii="Times New Roman" w:hAnsi="Times New Roman"/>
                <w:b w:val="0"/>
                <w:sz w:val="24"/>
                <w:u w:val="none"/>
              </w:rPr>
              <w:t>.</w:t>
            </w:r>
          </w:p>
        </w:tc>
      </w:tr>
      <w:tr w:rsidR="001B1411" w:rsidRPr="00DA7625" w14:paraId="02D4BAC2" w14:textId="77777777" w:rsidTr="00672D2A">
        <w:tc>
          <w:tcPr>
            <w:tcW w:w="852" w:type="dxa"/>
          </w:tcPr>
          <w:p w14:paraId="213E69F9" w14:textId="77777777" w:rsidR="001B1411" w:rsidRPr="00DA7625" w:rsidRDefault="0022597E">
            <w:pPr>
              <w:spacing w:beforeLines="60" w:before="144" w:afterLines="60" w:after="144"/>
              <w:rPr>
                <w:rFonts w:ascii="Times New Roman" w:hAnsi="Times New Roman"/>
                <w:sz w:val="24"/>
              </w:rPr>
            </w:pPr>
            <w:r w:rsidRPr="00DA7625">
              <w:rPr>
                <w:rFonts w:ascii="Times New Roman" w:hAnsi="Times New Roman"/>
                <w:sz w:val="24"/>
              </w:rPr>
              <w:t>0080</w:t>
            </w:r>
          </w:p>
        </w:tc>
        <w:tc>
          <w:tcPr>
            <w:tcW w:w="8004" w:type="dxa"/>
          </w:tcPr>
          <w:p w14:paraId="7274372B" w14:textId="77777777" w:rsidR="001B1411" w:rsidRPr="00DA7625" w:rsidRDefault="00113E4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KONCENTRÁLT POZÍCIÓK KIEGÉSZÍTŐ ÉRTÉKELÉSI KORREKCIÓJA</w:t>
            </w:r>
          </w:p>
          <w:p w14:paraId="6F7551EC" w14:textId="2FA5E31E" w:rsidR="001B1411" w:rsidRPr="00DA7625" w:rsidRDefault="00113E45">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Az érintett egyedi koncentrált értékelési pozíciókra vonatkozóan az (EU) 2016/101 felhatalmazáson alapuló rendelet</w:t>
            </w:r>
            <w:r w:rsidRPr="00DA7625">
              <w:rPr>
                <w:rFonts w:ascii="Times New Roman" w:hAnsi="Times New Roman"/>
                <w:sz w:val="24"/>
              </w:rPr>
              <w:t xml:space="preserve"> 14. cikkének (1) bekezdésével összhangban kiszámított koncentrált pozíciókkal </w:t>
            </w:r>
            <w:r w:rsidRPr="00DA7625">
              <w:rPr>
                <w:rStyle w:val="InstructionsTabelleberschrift"/>
                <w:rFonts w:ascii="Times New Roman" w:hAnsi="Times New Roman"/>
                <w:b w:val="0"/>
                <w:sz w:val="24"/>
                <w:u w:val="none"/>
              </w:rPr>
              <w:t>kapcsolatos kiegészítő értékelési korrekció.</w:t>
            </w:r>
          </w:p>
        </w:tc>
      </w:tr>
      <w:tr w:rsidR="001B1411" w:rsidRPr="00DA7625" w14:paraId="4F4D7534" w14:textId="77777777" w:rsidTr="00672D2A">
        <w:tc>
          <w:tcPr>
            <w:tcW w:w="852" w:type="dxa"/>
          </w:tcPr>
          <w:p w14:paraId="360D46DF" w14:textId="77777777" w:rsidR="001B1411" w:rsidRPr="00DA7625" w:rsidRDefault="0022597E">
            <w:pPr>
              <w:spacing w:beforeLines="60" w:before="144" w:afterLines="60" w:after="144"/>
              <w:rPr>
                <w:rFonts w:ascii="Times New Roman" w:hAnsi="Times New Roman"/>
                <w:sz w:val="24"/>
              </w:rPr>
            </w:pPr>
            <w:r w:rsidRPr="00DA7625">
              <w:rPr>
                <w:rFonts w:ascii="Times New Roman" w:hAnsi="Times New Roman"/>
                <w:sz w:val="24"/>
              </w:rPr>
              <w:t>0090</w:t>
            </w:r>
          </w:p>
        </w:tc>
        <w:tc>
          <w:tcPr>
            <w:tcW w:w="8004" w:type="dxa"/>
          </w:tcPr>
          <w:p w14:paraId="36649ACD" w14:textId="77777777" w:rsidR="001B1411" w:rsidRPr="00DA7625" w:rsidRDefault="00113E4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KONCENTRÁLT POZÍCIÓK VALÓSÉRTÉK-KORREKCIÓJA</w:t>
            </w:r>
          </w:p>
          <w:p w14:paraId="4C938762" w14:textId="77777777" w:rsidR="001B1411" w:rsidRPr="00DA7625" w:rsidRDefault="00113E45">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Azon tény tükrözése céljából alkalmazott valósérték-korrekciók összege, hogy az intézménynél lévő aggregált pozíció nagyobb, mint a normál kereskedett volumen, vagy nagyobb a pozícióméreteknél, és amelyeken az értékelési modell által használt árak vagy inputok kalibrálásához alkalmazott árjegyzések vagy ügyletek alapulnak.</w:t>
            </w:r>
          </w:p>
          <w:p w14:paraId="52BD9D6E" w14:textId="77777777" w:rsidR="001B1411" w:rsidRPr="00DA7625" w:rsidRDefault="00955AA6">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feltüntetett összegnek meg kell egyeznie az érintett egyedi koncentrált értékelési pozícióra alkalmazott összeggel.</w:t>
            </w:r>
          </w:p>
        </w:tc>
      </w:tr>
      <w:tr w:rsidR="001B1411" w:rsidRPr="00DA7625" w14:paraId="252B0831" w14:textId="77777777" w:rsidTr="00672D2A">
        <w:tc>
          <w:tcPr>
            <w:tcW w:w="852" w:type="dxa"/>
          </w:tcPr>
          <w:p w14:paraId="69962979" w14:textId="77777777" w:rsidR="001B1411" w:rsidRPr="00DA7625" w:rsidRDefault="0022597E">
            <w:pPr>
              <w:spacing w:beforeLines="60" w:before="144" w:afterLines="60" w:after="144"/>
              <w:rPr>
                <w:rFonts w:ascii="Times New Roman" w:hAnsi="Times New Roman"/>
                <w:sz w:val="24"/>
              </w:rPr>
            </w:pPr>
            <w:r w:rsidRPr="00DA7625">
              <w:rPr>
                <w:rFonts w:ascii="Times New Roman" w:hAnsi="Times New Roman"/>
                <w:sz w:val="24"/>
              </w:rPr>
              <w:t>0100</w:t>
            </w:r>
          </w:p>
        </w:tc>
        <w:tc>
          <w:tcPr>
            <w:tcW w:w="8004" w:type="dxa"/>
          </w:tcPr>
          <w:p w14:paraId="40C20224" w14:textId="77777777" w:rsidR="001B1411" w:rsidRPr="00DA7625" w:rsidRDefault="00113E45">
            <w:pPr>
              <w:spacing w:beforeLines="60" w:before="144" w:afterLines="60" w:after="144"/>
              <w:rPr>
                <w:rStyle w:val="InstructionsTabelleberschrift"/>
                <w:rFonts w:ascii="Times New Roman" w:hAnsi="Times New Roman"/>
                <w:sz w:val="24"/>
              </w:rPr>
            </w:pPr>
            <w:r w:rsidRPr="00DA7625">
              <w:rPr>
                <w:rStyle w:val="InstructionsTabelleberschrift"/>
                <w:rFonts w:ascii="Times New Roman" w:hAnsi="Times New Roman"/>
                <w:sz w:val="24"/>
              </w:rPr>
              <w:t>IPV KÜLÖNBÖZET</w:t>
            </w:r>
          </w:p>
          <w:p w14:paraId="6DD8EA3B" w14:textId="0A06D3CA" w:rsidR="001B1411" w:rsidRPr="00DA7625" w:rsidRDefault="00113E45">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 xml:space="preserve">A CRR 105. cikke (8) bekezdésének megfelelően végrehajtott független árfelülvizsgálat keretében az adatszolgáltatási időponthoz legközelebb eső hónap végén kiszámított ki nem igazított különbözetek („IPV különbözet”) összege, az érintett egyedi koncentrált értékelési pozícióra vonatkozóan elérhető legjobb független adatok figyelembevételével. </w:t>
            </w:r>
          </w:p>
          <w:p w14:paraId="359EBA64" w14:textId="77777777" w:rsidR="001B1411" w:rsidRPr="00DA7625" w:rsidRDefault="00113E45">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A ki nem igazított különbözetek a kereskedési rendszerek által generált értékelések és a havi IPV folyamat során értékelt értékelések közötti ki nem igazított különbözeteket jelentik.</w:t>
            </w:r>
          </w:p>
          <w:p w14:paraId="256169F8" w14:textId="77777777" w:rsidR="001B1411" w:rsidRPr="00DA7625" w:rsidRDefault="00D2428D">
            <w:pPr>
              <w:spacing w:beforeLines="60" w:before="144" w:afterLines="60" w:after="144"/>
              <w:rPr>
                <w:rStyle w:val="InstructionsTabelleberschrift"/>
                <w:rFonts w:ascii="Times New Roman" w:hAnsi="Times New Roman"/>
                <w:b w:val="0"/>
                <w:sz w:val="24"/>
                <w:u w:val="none"/>
              </w:rPr>
            </w:pPr>
            <w:r w:rsidRPr="00DA7625">
              <w:rPr>
                <w:rStyle w:val="InstructionsTabelleberschrift"/>
                <w:rFonts w:ascii="Times New Roman" w:hAnsi="Times New Roman"/>
                <w:b w:val="0"/>
                <w:sz w:val="24"/>
                <w:u w:val="none"/>
              </w:rPr>
              <w:t>Nem vonhatók be az IPV különbözet számításába a releváns hónap végi dátumra vonatkozóan az intézmény könyveiben és nyilvántartásaiban szereplő kiigazított különbözetek.</w:t>
            </w:r>
          </w:p>
        </w:tc>
      </w:tr>
    </w:tbl>
    <w:p w14:paraId="7EE60302" w14:textId="77777777" w:rsidR="001B1411" w:rsidRPr="00DA7625" w:rsidRDefault="001B1411">
      <w:pPr>
        <w:rPr>
          <w:rStyle w:val="InstructionsTabelleText"/>
          <w:rFonts w:ascii="Times New Roman" w:hAnsi="Times New Roman"/>
          <w:sz w:val="24"/>
        </w:rPr>
      </w:pPr>
    </w:p>
    <w:p w14:paraId="590E614E" w14:textId="77777777" w:rsidR="001B1411" w:rsidRPr="00DA7625" w:rsidRDefault="00995A7F">
      <w:pPr>
        <w:pStyle w:val="Instructionsberschrift2"/>
        <w:numPr>
          <w:ilvl w:val="0"/>
          <w:numId w:val="0"/>
        </w:numPr>
        <w:ind w:left="357" w:hanging="357"/>
        <w:rPr>
          <w:rFonts w:ascii="Times New Roman" w:hAnsi="Times New Roman" w:cs="Times New Roman"/>
          <w:sz w:val="24"/>
        </w:rPr>
      </w:pPr>
      <w:bookmarkStart w:id="120" w:name="_Toc31018866"/>
      <w:r w:rsidRPr="00DA7625">
        <w:rPr>
          <w:rFonts w:ascii="Times New Roman" w:hAnsi="Times New Roman"/>
          <w:sz w:val="24"/>
          <w:u w:val="none"/>
        </w:rPr>
        <w:lastRenderedPageBreak/>
        <w:t>7.</w:t>
      </w:r>
      <w:r w:rsidRPr="00DA7625">
        <w:rPr>
          <w:rFonts w:ascii="Times New Roman" w:hAnsi="Times New Roman"/>
          <w:sz w:val="24"/>
          <w:u w:val="none"/>
        </w:rPr>
        <w:tab/>
      </w:r>
      <w:r w:rsidRPr="00DA7625">
        <w:rPr>
          <w:rFonts w:ascii="Times New Roman" w:hAnsi="Times New Roman"/>
          <w:sz w:val="24"/>
        </w:rPr>
        <w:t>C 33.00 – Államháztartásokkal szembeni kitettségek (GOV)</w:t>
      </w:r>
      <w:bookmarkEnd w:id="120"/>
    </w:p>
    <w:p w14:paraId="17B7D7A9" w14:textId="2214C1C6" w:rsidR="001B1411" w:rsidRPr="00DA7625" w:rsidRDefault="00CD30E6">
      <w:pPr>
        <w:pStyle w:val="Instructionsberschrift2"/>
        <w:numPr>
          <w:ilvl w:val="0"/>
          <w:numId w:val="0"/>
        </w:numPr>
        <w:ind w:left="357" w:hanging="357"/>
        <w:rPr>
          <w:rFonts w:ascii="Times New Roman" w:hAnsi="Times New Roman" w:cs="Times New Roman"/>
          <w:sz w:val="24"/>
        </w:rPr>
      </w:pPr>
      <w:bookmarkStart w:id="121" w:name="_Toc31018867"/>
      <w:r>
        <w:rPr>
          <w:rFonts w:ascii="Times New Roman" w:hAnsi="Times New Roman"/>
          <w:sz w:val="24"/>
          <w:u w:val="none"/>
        </w:rPr>
        <w:t>7.</w:t>
      </w:r>
      <w:r w:rsidR="00995A7F" w:rsidRPr="00DA7625">
        <w:rPr>
          <w:rFonts w:ascii="Times New Roman" w:hAnsi="Times New Roman"/>
          <w:sz w:val="24"/>
          <w:u w:val="none"/>
        </w:rPr>
        <w:t>1.</w:t>
      </w:r>
      <w:r w:rsidR="00995A7F" w:rsidRPr="00DA7625">
        <w:rPr>
          <w:rFonts w:ascii="Times New Roman" w:hAnsi="Times New Roman"/>
          <w:sz w:val="24"/>
          <w:u w:val="none"/>
        </w:rPr>
        <w:tab/>
      </w:r>
      <w:r w:rsidR="00995A7F" w:rsidRPr="00DA7625">
        <w:rPr>
          <w:rFonts w:ascii="Times New Roman" w:hAnsi="Times New Roman"/>
          <w:sz w:val="24"/>
        </w:rPr>
        <w:t>Általános megjegyzések</w:t>
      </w:r>
      <w:bookmarkEnd w:id="121"/>
      <w:r w:rsidR="00995A7F" w:rsidRPr="00DA7625">
        <w:rPr>
          <w:rFonts w:ascii="Times New Roman" w:hAnsi="Times New Roman"/>
          <w:sz w:val="24"/>
        </w:rPr>
        <w:t xml:space="preserve"> </w:t>
      </w:r>
    </w:p>
    <w:p w14:paraId="02D93E92" w14:textId="2E69875E" w:rsidR="001B1411" w:rsidRPr="00DA7625" w:rsidRDefault="00125707">
      <w:pPr>
        <w:pStyle w:val="InstructionsText2"/>
        <w:numPr>
          <w:ilvl w:val="0"/>
          <w:numId w:val="0"/>
        </w:numPr>
        <w:ind w:left="993"/>
      </w:pPr>
      <w:r w:rsidRPr="00DA7625">
        <w:t>155.</w:t>
      </w:r>
      <w:r w:rsidRPr="00DA7625">
        <w:tab/>
        <w:t xml:space="preserve"> A C 33.00 táblában az e végrehajtási rendelet V. mellékletének 42. b) pontjában említett „államháztartásokkal” szembeni kitettségeket kell jelenteni.</w:t>
      </w:r>
    </w:p>
    <w:p w14:paraId="63422826" w14:textId="217ADD3E" w:rsidR="001B1411" w:rsidRPr="00DA7625" w:rsidRDefault="00125707">
      <w:pPr>
        <w:pStyle w:val="InstructionsText2"/>
        <w:numPr>
          <w:ilvl w:val="0"/>
          <w:numId w:val="0"/>
        </w:numPr>
        <w:ind w:left="993"/>
      </w:pPr>
      <w:r w:rsidRPr="00DA7625">
        <w:t>156.</w:t>
      </w:r>
      <w:r w:rsidRPr="00DA7625">
        <w:tab/>
        <w:t xml:space="preserve"> Az államháztartásokkal szembeni kitettségek különböző kitettségi osztályokba tartoznak a CRR 112. cikkének és 147. cikkének megfelelően, a C 07.00, C 08.01 és a C 08.02 táblához tartozó kitöltési útmutatóban meghatározottak szerint. </w:t>
      </w:r>
    </w:p>
    <w:p w14:paraId="7C0B3416" w14:textId="3F691042" w:rsidR="001B1411" w:rsidRPr="00DA7625" w:rsidRDefault="00125707">
      <w:pPr>
        <w:pStyle w:val="InstructionsText2"/>
        <w:numPr>
          <w:ilvl w:val="0"/>
          <w:numId w:val="0"/>
        </w:numPr>
        <w:ind w:left="993"/>
      </w:pPr>
      <w:r w:rsidRPr="00DA7625">
        <w:t>157.</w:t>
      </w:r>
      <w:r w:rsidRPr="00DA7625">
        <w:tab/>
        <w:t xml:space="preserve"> A CRR szerinti tőkekövetelmények kiszámításához használt kitettségi osztályok „államháztartások” ügyfélszektorhoz való hozzárendelésekor az e végrehajtási rendelet V. mellékletének 3. részében található 2. táblázatot („Sztenderd módszer”) és a 3. táblázatot („Belső minősítésen alapuló módszer”) kell figyelembe venni. </w:t>
      </w:r>
    </w:p>
    <w:p w14:paraId="54DA319E" w14:textId="3CA19785" w:rsidR="001B1411" w:rsidRPr="00DA7625" w:rsidRDefault="00125707">
      <w:pPr>
        <w:pStyle w:val="InstructionsText2"/>
        <w:numPr>
          <w:ilvl w:val="0"/>
          <w:numId w:val="0"/>
        </w:numPr>
        <w:ind w:left="993"/>
      </w:pPr>
      <w:r w:rsidRPr="00DA7625">
        <w:t xml:space="preserve">158. Az adatokat a teljes aggregált kitettségre (azaz valamennyi olyan ország „összesen” adatára, ahol a banknak kormányzatokkal szembeni kitettsége van) és a partner székhelye szerint országonként kell jelenteni, a közvetlen hitelfelvevővel szembeni kitettségek alapján. </w:t>
      </w:r>
    </w:p>
    <w:p w14:paraId="51AE5D87" w14:textId="1E3E9BE4" w:rsidR="001B1411" w:rsidRPr="00DA7625" w:rsidRDefault="00125707">
      <w:pPr>
        <w:pStyle w:val="InstructionsText2"/>
        <w:numPr>
          <w:ilvl w:val="0"/>
          <w:numId w:val="0"/>
        </w:numPr>
        <w:ind w:left="993"/>
      </w:pPr>
      <w:r w:rsidRPr="00DA7625">
        <w:t>159.</w:t>
      </w:r>
      <w:r w:rsidRPr="00DA7625">
        <w:tab/>
        <w:t xml:space="preserve"> A kitettségek kitettségi osztályokba vagy joghatóságokba sorolása során nem kell figyelembe venni sem a hitelkockázat-mérséklési módszereket, sem különösen a helyettesítési hatásokat. Ugyanakkor az egyes kitettségi osztályokba és joghatóságokba sorolt kitettségértékek és kockázattal súlyozott kitettségértékek kiszámítása során figyelembe kell venni a hitelkockázat-mérséklési módszerek előfordulását és a helyettesítési hatásokat. </w:t>
      </w:r>
    </w:p>
    <w:p w14:paraId="2946E9CC" w14:textId="3B2AFF90" w:rsidR="001B1411" w:rsidRPr="00DA7625" w:rsidRDefault="00125707">
      <w:pPr>
        <w:pStyle w:val="InstructionsText2"/>
        <w:numPr>
          <w:ilvl w:val="0"/>
          <w:numId w:val="0"/>
        </w:numPr>
        <w:ind w:left="993"/>
      </w:pPr>
      <w:r w:rsidRPr="00DA7625">
        <w:t>160.</w:t>
      </w:r>
      <w:r w:rsidRPr="00DA7625">
        <w:tab/>
        <w:t xml:space="preserve"> Az államháztartásokkal szembeni kitettségekre vonatkozó információkat a közvetlen partner székhelye szerinti minden olyan joghatóság esetében, amely nem az adatszolgáltató intézmény belföldi joghatósága, csak az e végrehajtási rendelet 5. cikke b) pontjának 3. alpontjában meghatározott küszöbértékek meghaladása esetén kell jelenteni.</w:t>
      </w:r>
    </w:p>
    <w:p w14:paraId="20840436" w14:textId="77777777" w:rsidR="001B1411" w:rsidRPr="00DA7625" w:rsidRDefault="00995A7F">
      <w:pPr>
        <w:pStyle w:val="Instructionsberschrift2"/>
        <w:numPr>
          <w:ilvl w:val="0"/>
          <w:numId w:val="0"/>
        </w:numPr>
        <w:ind w:left="357" w:hanging="357"/>
        <w:rPr>
          <w:rFonts w:ascii="Times New Roman" w:hAnsi="Times New Roman" w:cs="Times New Roman"/>
          <w:sz w:val="24"/>
        </w:rPr>
      </w:pPr>
      <w:bookmarkStart w:id="122" w:name="_Toc31018868"/>
      <w:r w:rsidRPr="00DA7625">
        <w:rPr>
          <w:rFonts w:ascii="Times New Roman" w:hAnsi="Times New Roman"/>
          <w:sz w:val="24"/>
          <w:u w:val="none"/>
        </w:rPr>
        <w:t>7.2.</w:t>
      </w:r>
      <w:r w:rsidRPr="00DA7625">
        <w:rPr>
          <w:rFonts w:ascii="Times New Roman" w:hAnsi="Times New Roman"/>
          <w:sz w:val="24"/>
          <w:u w:val="none"/>
        </w:rPr>
        <w:tab/>
      </w:r>
      <w:r w:rsidRPr="00DA7625">
        <w:rPr>
          <w:rFonts w:ascii="Times New Roman" w:hAnsi="Times New Roman"/>
          <w:sz w:val="24"/>
        </w:rPr>
        <w:t>Az államháztartásokkal szembeni kitettségek tábla alkalmazási köre</w:t>
      </w:r>
      <w:bookmarkEnd w:id="122"/>
    </w:p>
    <w:p w14:paraId="03A261F0" w14:textId="77777777" w:rsidR="001B1411" w:rsidRPr="00DA7625" w:rsidRDefault="00125707">
      <w:pPr>
        <w:pStyle w:val="InstructionsText2"/>
        <w:numPr>
          <w:ilvl w:val="0"/>
          <w:numId w:val="0"/>
        </w:numPr>
        <w:ind w:left="993"/>
      </w:pPr>
      <w:r w:rsidRPr="00DA7625">
        <w:t>161.</w:t>
      </w:r>
      <w:r w:rsidRPr="00DA7625">
        <w:tab/>
        <w:t xml:space="preserve"> A GOV táblában egyaránt fel kell tüntetni a banki és a kereskedési könyvben szereplő, államháztartásokkal szembeni mérlegen belüli, mérlegen kívüli és származtatott közvetlen kitettségeket. Tájékoztató adatként jelenteni kell továbbá az államháztartásokkal szembeni kitettségekre eladott hitelderivatívák formáját öltő közvetett kitettségeket.</w:t>
      </w:r>
    </w:p>
    <w:p w14:paraId="0793F142" w14:textId="057267EA" w:rsidR="001B1411" w:rsidRPr="00DA7625" w:rsidRDefault="00125707">
      <w:pPr>
        <w:pStyle w:val="InstructionsText2"/>
        <w:numPr>
          <w:ilvl w:val="0"/>
          <w:numId w:val="0"/>
        </w:numPr>
        <w:ind w:left="993"/>
      </w:pPr>
      <w:r w:rsidRPr="00DA7625">
        <w:t>162.</w:t>
      </w:r>
      <w:r w:rsidRPr="00DA7625">
        <w:tab/>
        <w:t xml:space="preserve"> Valamely kitettség akkor tekintendő közvetlen kitettségnek, ha a közvetlen partner az „államháztartások” fogalommeghatározása alá tartozik, az e végrehajtási rendelet V. melléklete 42. bekezdésének b) pontjában említettek szerint. </w:t>
      </w:r>
    </w:p>
    <w:p w14:paraId="519B25E0" w14:textId="77777777" w:rsidR="001B1411" w:rsidRPr="00DA7625" w:rsidRDefault="00125707">
      <w:pPr>
        <w:pStyle w:val="InstructionsText2"/>
        <w:numPr>
          <w:ilvl w:val="0"/>
          <w:numId w:val="0"/>
        </w:numPr>
        <w:ind w:left="993"/>
      </w:pPr>
      <w:r w:rsidRPr="00DA7625">
        <w:t>163.</w:t>
      </w:r>
      <w:r w:rsidRPr="00DA7625">
        <w:tab/>
        <w:t xml:space="preserve"> A tábla két részre oszlik. Az első részben a kitettségeket kockázat, szabályozási módszerek és kitettségi osztály szerinti bontásban kell bemutatni; a második részben a kitettségeket hátralévő futamidő szerinti bontásban kell feltüntetni.</w:t>
      </w:r>
    </w:p>
    <w:p w14:paraId="4808E55B" w14:textId="36AB7DA3" w:rsidR="001B1411" w:rsidRPr="00DA7625" w:rsidRDefault="00995A7F">
      <w:pPr>
        <w:pStyle w:val="Instructionsberschrift2"/>
        <w:numPr>
          <w:ilvl w:val="0"/>
          <w:numId w:val="0"/>
        </w:numPr>
        <w:ind w:left="357" w:hanging="357"/>
        <w:rPr>
          <w:rFonts w:ascii="Times New Roman" w:hAnsi="Times New Roman" w:cs="Times New Roman"/>
          <w:sz w:val="24"/>
        </w:rPr>
      </w:pPr>
      <w:bookmarkStart w:id="123" w:name="_Toc31018869"/>
      <w:r w:rsidRPr="00DA7625">
        <w:rPr>
          <w:rFonts w:ascii="Times New Roman" w:hAnsi="Times New Roman"/>
          <w:sz w:val="24"/>
          <w:u w:val="none"/>
        </w:rPr>
        <w:lastRenderedPageBreak/>
        <w:t>7</w:t>
      </w:r>
      <w:r w:rsidR="00CD30E6">
        <w:rPr>
          <w:rFonts w:ascii="Times New Roman" w:hAnsi="Times New Roman"/>
          <w:sz w:val="24"/>
          <w:u w:val="none"/>
        </w:rPr>
        <w:t>.</w:t>
      </w:r>
      <w:r w:rsidRPr="00DA7625">
        <w:rPr>
          <w:rFonts w:ascii="Times New Roman" w:hAnsi="Times New Roman"/>
          <w:sz w:val="24"/>
          <w:u w:val="none"/>
        </w:rPr>
        <w:t>3.</w:t>
      </w:r>
      <w:r w:rsidRPr="00DA7625">
        <w:rPr>
          <w:rFonts w:ascii="Times New Roman" w:hAnsi="Times New Roman"/>
          <w:sz w:val="24"/>
          <w:u w:val="none"/>
        </w:rPr>
        <w:tab/>
      </w:r>
      <w:r w:rsidRPr="00DA7625">
        <w:rPr>
          <w:rFonts w:ascii="Times New Roman" w:hAnsi="Times New Roman"/>
          <w:sz w:val="24"/>
        </w:rPr>
        <w:t>A tábla egyes részeire vonatkozó útmutató</w:t>
      </w:r>
      <w:bookmarkEnd w:id="1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1B1411" w:rsidRPr="00DA7625" w14:paraId="7330DB9D" w14:textId="77777777" w:rsidTr="00672D2A">
        <w:tc>
          <w:tcPr>
            <w:tcW w:w="1188" w:type="dxa"/>
            <w:shd w:val="pct25" w:color="auto" w:fill="auto"/>
          </w:tcPr>
          <w:p w14:paraId="1853ABE1"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Oszlop</w:t>
            </w:r>
          </w:p>
          <w:p w14:paraId="5CF585B8" w14:textId="77777777" w:rsidR="001B1411" w:rsidRPr="00DA7625" w:rsidRDefault="001B1411">
            <w:pPr>
              <w:spacing w:before="0" w:after="0"/>
              <w:ind w:left="33"/>
              <w:rPr>
                <w:rFonts w:ascii="Times New Roman" w:hAnsi="Times New Roman"/>
                <w:bCs/>
                <w:sz w:val="24"/>
              </w:rPr>
            </w:pPr>
          </w:p>
        </w:tc>
        <w:tc>
          <w:tcPr>
            <w:tcW w:w="8640" w:type="dxa"/>
            <w:shd w:val="pct25" w:color="auto" w:fill="auto"/>
          </w:tcPr>
          <w:p w14:paraId="5217B969"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Útmutató</w:t>
            </w:r>
          </w:p>
        </w:tc>
      </w:tr>
      <w:tr w:rsidR="001B1411" w:rsidRPr="00DA7625" w14:paraId="2E979F8A" w14:textId="77777777" w:rsidTr="00672D2A">
        <w:tc>
          <w:tcPr>
            <w:tcW w:w="1188" w:type="dxa"/>
            <w:tcBorders>
              <w:bottom w:val="single" w:sz="4" w:space="0" w:color="auto"/>
            </w:tcBorders>
          </w:tcPr>
          <w:p w14:paraId="34661A82" w14:textId="77777777" w:rsidR="001B1411" w:rsidRPr="00DA7625" w:rsidRDefault="00FD54FC">
            <w:pPr>
              <w:spacing w:before="0" w:after="0"/>
              <w:ind w:left="33"/>
              <w:rPr>
                <w:rFonts w:ascii="Times New Roman" w:hAnsi="Times New Roman"/>
                <w:bCs/>
                <w:sz w:val="24"/>
                <w:highlight w:val="yellow"/>
              </w:rPr>
            </w:pPr>
            <w:r w:rsidRPr="00DA7625">
              <w:rPr>
                <w:rFonts w:ascii="Times New Roman" w:hAnsi="Times New Roman"/>
                <w:bCs/>
                <w:sz w:val="24"/>
              </w:rPr>
              <w:t>010–260</w:t>
            </w:r>
          </w:p>
        </w:tc>
        <w:tc>
          <w:tcPr>
            <w:tcW w:w="8640" w:type="dxa"/>
            <w:tcBorders>
              <w:bottom w:val="single" w:sz="4" w:space="0" w:color="auto"/>
            </w:tcBorders>
          </w:tcPr>
          <w:p w14:paraId="4C13CC76"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 xml:space="preserve">KÖZVETLEN KITETTSÉGEK </w:t>
            </w:r>
          </w:p>
        </w:tc>
      </w:tr>
      <w:tr w:rsidR="001B1411" w:rsidRPr="00DA7625" w14:paraId="116E3D26" w14:textId="77777777" w:rsidTr="00672D2A">
        <w:tc>
          <w:tcPr>
            <w:tcW w:w="1188" w:type="dxa"/>
          </w:tcPr>
          <w:p w14:paraId="09D02E5A" w14:textId="77777777" w:rsidR="001B1411" w:rsidRPr="00DA7625" w:rsidRDefault="00FD54FC">
            <w:pPr>
              <w:spacing w:before="0" w:after="0"/>
              <w:ind w:left="33"/>
              <w:rPr>
                <w:rFonts w:ascii="Times New Roman" w:hAnsi="Times New Roman"/>
                <w:bCs/>
                <w:sz w:val="24"/>
                <w:highlight w:val="yellow"/>
              </w:rPr>
            </w:pPr>
            <w:r w:rsidRPr="00DA7625">
              <w:rPr>
                <w:rFonts w:ascii="Times New Roman" w:hAnsi="Times New Roman"/>
                <w:bCs/>
                <w:sz w:val="24"/>
              </w:rPr>
              <w:t>010–140</w:t>
            </w:r>
          </w:p>
        </w:tc>
        <w:tc>
          <w:tcPr>
            <w:tcW w:w="8640" w:type="dxa"/>
          </w:tcPr>
          <w:p w14:paraId="128EF589"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MÉRLEGEN BELÜLI KITETTSÉGEK</w:t>
            </w:r>
          </w:p>
        </w:tc>
      </w:tr>
      <w:tr w:rsidR="001B1411" w:rsidRPr="00DA7625" w14:paraId="1E75959F" w14:textId="77777777" w:rsidTr="00672D2A">
        <w:tc>
          <w:tcPr>
            <w:tcW w:w="1188" w:type="dxa"/>
          </w:tcPr>
          <w:p w14:paraId="4D2C8D02"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010</w:t>
            </w:r>
          </w:p>
        </w:tc>
        <w:tc>
          <w:tcPr>
            <w:tcW w:w="8640" w:type="dxa"/>
          </w:tcPr>
          <w:p w14:paraId="412A5407"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 xml:space="preserve">Nem származtatott pénzügyi eszközök bruttó könyv szerinti értéke összesen </w:t>
            </w:r>
          </w:p>
          <w:p w14:paraId="0FE66344" w14:textId="77777777" w:rsidR="001B1411" w:rsidRPr="00DA7625" w:rsidRDefault="001B1411">
            <w:pPr>
              <w:spacing w:before="0" w:after="0"/>
              <w:ind w:left="33"/>
              <w:rPr>
                <w:rFonts w:ascii="Times New Roman" w:hAnsi="Times New Roman"/>
                <w:bCs/>
                <w:sz w:val="24"/>
              </w:rPr>
            </w:pPr>
          </w:p>
          <w:p w14:paraId="147AEF90" w14:textId="6B0231B3"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 xml:space="preserve">Az államháztartásokkal szembeni kitettségnek minősülő nem származtatott pénzügyi eszközök az e végrehajtási rendelet V. melléklete 1. részének 34. pontja szerint meghatározott bruttó könyv szerinti értékének aggregált értéke valamennyi IFRS szerinti és a BAD-on alapuló nemzeti GAAP szerinti, az e végrehajtási rendelet V. melléklete 1. részének </w:t>
            </w:r>
            <w:r w:rsidRPr="00DA7625">
              <w:rPr>
                <w:rFonts w:ascii="Times New Roman" w:hAnsi="Times New Roman"/>
                <w:bCs/>
                <w:sz w:val="24"/>
                <w:highlight w:val="yellow"/>
              </w:rPr>
              <w:t>15–22. pontjában</w:t>
            </w:r>
            <w:r w:rsidRPr="00DA7625">
              <w:rPr>
                <w:rFonts w:ascii="Times New Roman" w:hAnsi="Times New Roman"/>
                <w:bCs/>
                <w:sz w:val="24"/>
              </w:rPr>
              <w:t xml:space="preserve"> meghatározott, a 030–120-as oszlopban felsorolt számviteli portfólió esetében. </w:t>
            </w:r>
          </w:p>
          <w:p w14:paraId="4B452235" w14:textId="77777777" w:rsidR="001B1411" w:rsidRPr="00DA7625" w:rsidRDefault="001B1411">
            <w:pPr>
              <w:spacing w:before="0" w:after="0"/>
              <w:ind w:left="33"/>
              <w:rPr>
                <w:rFonts w:ascii="Times New Roman" w:hAnsi="Times New Roman"/>
                <w:bCs/>
                <w:sz w:val="24"/>
              </w:rPr>
            </w:pPr>
          </w:p>
          <w:p w14:paraId="363E1C41"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 prudens értékelési korrekciók nem csökkenthetik a valós értéken értékelt kereskedési és nem kereskedési célú kitettségek bruttó könyv szerinti értékét.</w:t>
            </w:r>
          </w:p>
          <w:p w14:paraId="07CEAAA8" w14:textId="77777777" w:rsidR="001B1411" w:rsidRPr="00DA7625" w:rsidRDefault="001B1411">
            <w:pPr>
              <w:spacing w:before="0" w:after="0"/>
              <w:rPr>
                <w:rFonts w:ascii="Times New Roman" w:hAnsi="Times New Roman"/>
                <w:bCs/>
                <w:sz w:val="24"/>
              </w:rPr>
            </w:pPr>
          </w:p>
        </w:tc>
      </w:tr>
      <w:tr w:rsidR="001B1411" w:rsidRPr="00DA7625" w14:paraId="18D48B1A" w14:textId="77777777" w:rsidTr="00672D2A">
        <w:tc>
          <w:tcPr>
            <w:tcW w:w="1188" w:type="dxa"/>
          </w:tcPr>
          <w:p w14:paraId="1FF9BD25"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020</w:t>
            </w:r>
          </w:p>
        </w:tc>
        <w:tc>
          <w:tcPr>
            <w:tcW w:w="8640" w:type="dxa"/>
          </w:tcPr>
          <w:p w14:paraId="4AD9F9C0"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Nem származtatott pénzügyi eszközök könyv szerinti értéke összesen (a rövid pozíciók levonásával)</w:t>
            </w:r>
          </w:p>
          <w:p w14:paraId="274F1544" w14:textId="77777777" w:rsidR="001B1411" w:rsidRPr="00DA7625" w:rsidRDefault="001B1411">
            <w:pPr>
              <w:spacing w:before="0" w:after="0"/>
              <w:ind w:left="33"/>
              <w:rPr>
                <w:rFonts w:ascii="Times New Roman" w:hAnsi="Times New Roman"/>
                <w:bCs/>
                <w:sz w:val="24"/>
              </w:rPr>
            </w:pPr>
          </w:p>
          <w:p w14:paraId="1FEF955E" w14:textId="6C78DFB0"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 xml:space="preserve">Az államháztartásokkal szembeni kitettségnek minősülő nem származtatott pénzügyi eszközök az e végrehajtási rendelet V. melléklete 1. részének 27. pontjában említett könyv szerinti értékének a rövid pozíciók nélküli aggregált értéke valamennyi IFRS szerinti és a BAD alapján kidolgozott nemzeti GAAP szerinti, az e végrehajtási rendelet V. melléklete 1. részének </w:t>
            </w:r>
            <w:r w:rsidRPr="00DA7625">
              <w:rPr>
                <w:rFonts w:ascii="Times New Roman" w:hAnsi="Times New Roman"/>
                <w:bCs/>
                <w:sz w:val="24"/>
                <w:highlight w:val="yellow"/>
              </w:rPr>
              <w:t>15–22. pontjában</w:t>
            </w:r>
            <w:r w:rsidRPr="00DA7625">
              <w:rPr>
                <w:rFonts w:ascii="Times New Roman" w:hAnsi="Times New Roman"/>
                <w:bCs/>
                <w:sz w:val="24"/>
              </w:rPr>
              <w:t xml:space="preserve"> meghatározott, a 030–120-as oszlopban felsorolt számviteli portfólió esetében.</w:t>
            </w:r>
          </w:p>
          <w:p w14:paraId="4541EB73" w14:textId="77777777" w:rsidR="001B1411" w:rsidRPr="00DA7625" w:rsidRDefault="001B1411">
            <w:pPr>
              <w:spacing w:before="0" w:after="0"/>
              <w:ind w:left="33"/>
              <w:rPr>
                <w:rFonts w:ascii="Times New Roman" w:hAnsi="Times New Roman"/>
                <w:bCs/>
                <w:sz w:val="24"/>
              </w:rPr>
            </w:pPr>
          </w:p>
          <w:p w14:paraId="0CF26C61" w14:textId="7859BDF8"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 xml:space="preserve">Amennyiben az intézmény ugyanazon hátralévő futamidőre és </w:t>
            </w:r>
            <w:r w:rsidRPr="00DA7625">
              <w:rPr>
                <w:rFonts w:ascii="Times New Roman" w:hAnsi="Times New Roman"/>
                <w:bCs/>
                <w:sz w:val="24"/>
                <w:highlight w:val="yellow"/>
              </w:rPr>
              <w:t>ugyanazon közvetlen partner vonatkozásában, ugyanazon pénznemben denominált</w:t>
            </w:r>
            <w:r w:rsidRPr="00DA7625">
              <w:rPr>
                <w:rFonts w:ascii="Times New Roman" w:hAnsi="Times New Roman"/>
                <w:bCs/>
                <w:sz w:val="24"/>
              </w:rPr>
              <w:t xml:space="preserve"> rövid pozícióval rendelkezik, a rövid pozíció könyv szerinti értékét és a közvetlen pozíció könyv szerinti értékét nettósítani kell. Amennyiben az így kapott érték negatív, a nettó értéket nullának kell tekinteni.</w:t>
            </w:r>
          </w:p>
          <w:p w14:paraId="4B34714C" w14:textId="77777777" w:rsidR="001B1411" w:rsidRPr="00DA7625" w:rsidRDefault="001B1411">
            <w:pPr>
              <w:spacing w:before="0" w:after="0"/>
              <w:ind w:left="33"/>
              <w:rPr>
                <w:rFonts w:ascii="Times New Roman" w:hAnsi="Times New Roman"/>
                <w:bCs/>
                <w:sz w:val="24"/>
              </w:rPr>
            </w:pPr>
          </w:p>
          <w:p w14:paraId="35EB42F5" w14:textId="2FF38349"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 030–120-as oszlopok összegének a 130-as oszlop értékével csökkentett értékét kell megadni.</w:t>
            </w:r>
            <w:r w:rsidRPr="00DA7625">
              <w:rPr>
                <w:sz w:val="24"/>
              </w:rPr>
              <w:t xml:space="preserve"> </w:t>
            </w:r>
            <w:r w:rsidRPr="00DA7625">
              <w:rPr>
                <w:rFonts w:ascii="Times New Roman" w:hAnsi="Times New Roman"/>
                <w:bCs/>
                <w:sz w:val="24"/>
              </w:rPr>
              <w:t>Amennyiben az így kapott érték negatív, nulla értéket kell jelenteni.</w:t>
            </w:r>
          </w:p>
          <w:p w14:paraId="1D747C62" w14:textId="77777777" w:rsidR="001B1411" w:rsidRPr="00DA7625" w:rsidDel="00FB1EBF" w:rsidRDefault="001B1411">
            <w:pPr>
              <w:spacing w:before="0" w:after="0"/>
              <w:ind w:left="33"/>
              <w:rPr>
                <w:rFonts w:ascii="Times New Roman" w:hAnsi="Times New Roman"/>
                <w:bCs/>
                <w:sz w:val="24"/>
              </w:rPr>
            </w:pPr>
          </w:p>
        </w:tc>
      </w:tr>
      <w:tr w:rsidR="001B1411" w:rsidRPr="00DA7625" w14:paraId="2886DAF8" w14:textId="77777777" w:rsidTr="00672D2A">
        <w:tc>
          <w:tcPr>
            <w:tcW w:w="1188" w:type="dxa"/>
          </w:tcPr>
          <w:p w14:paraId="2CE93392"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030–120</w:t>
            </w:r>
          </w:p>
        </w:tc>
        <w:tc>
          <w:tcPr>
            <w:tcW w:w="8640" w:type="dxa"/>
          </w:tcPr>
          <w:p w14:paraId="096C3AB0"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Nem származtatott pénzügyi eszközök számviteli portfóliók szerint</w:t>
            </w:r>
          </w:p>
          <w:p w14:paraId="181432D4" w14:textId="77777777" w:rsidR="001B1411" w:rsidRPr="00DA7625" w:rsidRDefault="001B1411">
            <w:pPr>
              <w:spacing w:before="0" w:after="0"/>
              <w:ind w:left="33"/>
              <w:rPr>
                <w:rFonts w:ascii="Times New Roman" w:hAnsi="Times New Roman"/>
                <w:bCs/>
                <w:sz w:val="24"/>
              </w:rPr>
            </w:pPr>
          </w:p>
          <w:p w14:paraId="59EEAE07" w14:textId="6AEDC106"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Az államháztartásokkal szembeni kitettségnek minősülő nem származtatott pénzügyi eszközök az e táblázat fenti sorában meghatározott könyv szerinti értékének aggregált értéke az alkalmazandó számviteli szabályozásnak megfelelő számviteli portfóliók szerint lebontva.</w:t>
            </w:r>
          </w:p>
          <w:p w14:paraId="34973988" w14:textId="77777777" w:rsidR="001B1411" w:rsidRPr="00DA7625" w:rsidDel="00FB1EBF" w:rsidRDefault="001B1411">
            <w:pPr>
              <w:spacing w:before="0" w:after="0"/>
              <w:ind w:left="33"/>
              <w:rPr>
                <w:rFonts w:ascii="Times New Roman" w:hAnsi="Times New Roman"/>
                <w:bCs/>
                <w:sz w:val="24"/>
              </w:rPr>
            </w:pPr>
          </w:p>
        </w:tc>
      </w:tr>
      <w:tr w:rsidR="001B1411" w:rsidRPr="00DA7625" w14:paraId="3DE98288" w14:textId="77777777" w:rsidTr="00672D2A">
        <w:tc>
          <w:tcPr>
            <w:tcW w:w="1188" w:type="dxa"/>
          </w:tcPr>
          <w:p w14:paraId="588B1749"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030</w:t>
            </w:r>
          </w:p>
        </w:tc>
        <w:tc>
          <w:tcPr>
            <w:tcW w:w="8640" w:type="dxa"/>
          </w:tcPr>
          <w:p w14:paraId="6B093863" w14:textId="77777777" w:rsidR="001B1411" w:rsidRPr="00DA7625" w:rsidRDefault="00FD54FC">
            <w:pPr>
              <w:spacing w:before="0" w:after="0"/>
              <w:ind w:left="33"/>
              <w:rPr>
                <w:rFonts w:ascii="Times New Roman" w:hAnsi="Times New Roman"/>
                <w:bCs/>
                <w:sz w:val="24"/>
              </w:rPr>
            </w:pPr>
            <w:r w:rsidRPr="00DA7625">
              <w:rPr>
                <w:rFonts w:ascii="Times New Roman" w:hAnsi="Times New Roman"/>
                <w:b/>
                <w:bCs/>
                <w:sz w:val="24"/>
                <w:u w:val="single"/>
              </w:rPr>
              <w:t>Kereskedési céllal tartott pénzügyi eszközök</w:t>
            </w:r>
          </w:p>
          <w:p w14:paraId="5BC52B3E" w14:textId="77777777" w:rsidR="001B1411" w:rsidRPr="00DA7625" w:rsidRDefault="001B1411">
            <w:pPr>
              <w:spacing w:before="0" w:after="0"/>
              <w:ind w:left="33"/>
              <w:rPr>
                <w:rFonts w:ascii="Times New Roman" w:hAnsi="Times New Roman"/>
                <w:bCs/>
                <w:sz w:val="24"/>
              </w:rPr>
            </w:pPr>
          </w:p>
          <w:p w14:paraId="3618DE56" w14:textId="77777777" w:rsidR="001B1411" w:rsidRPr="00DA7625" w:rsidRDefault="001C79CB">
            <w:pPr>
              <w:spacing w:before="0" w:after="0"/>
              <w:ind w:left="33"/>
              <w:rPr>
                <w:rFonts w:ascii="Times New Roman" w:hAnsi="Times New Roman"/>
                <w:bCs/>
                <w:sz w:val="24"/>
              </w:rPr>
            </w:pPr>
            <w:r w:rsidRPr="00DA7625">
              <w:rPr>
                <w:rFonts w:ascii="Times New Roman" w:hAnsi="Times New Roman"/>
                <w:bCs/>
                <w:sz w:val="24"/>
              </w:rPr>
              <w:t>IFRS 7 8. bekezdésének a) ii. pontja; IFRS 9 A. függelék</w:t>
            </w:r>
          </w:p>
          <w:p w14:paraId="731669E6" w14:textId="77777777" w:rsidR="001B1411" w:rsidRPr="00DA7625" w:rsidDel="00FB1EBF" w:rsidRDefault="001B1411">
            <w:pPr>
              <w:spacing w:before="0" w:after="0"/>
              <w:ind w:left="33"/>
              <w:rPr>
                <w:rFonts w:ascii="Times New Roman" w:hAnsi="Times New Roman"/>
                <w:bCs/>
                <w:sz w:val="24"/>
              </w:rPr>
            </w:pPr>
          </w:p>
        </w:tc>
      </w:tr>
      <w:tr w:rsidR="001B1411" w:rsidRPr="00DA7625" w14:paraId="2FF466CF" w14:textId="77777777" w:rsidTr="00672D2A">
        <w:tc>
          <w:tcPr>
            <w:tcW w:w="1188" w:type="dxa"/>
          </w:tcPr>
          <w:p w14:paraId="42417D7D"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040</w:t>
            </w:r>
          </w:p>
        </w:tc>
        <w:tc>
          <w:tcPr>
            <w:tcW w:w="8640" w:type="dxa"/>
          </w:tcPr>
          <w:p w14:paraId="6577F555"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Kereskedési célú pénzügyi eszközök</w:t>
            </w:r>
          </w:p>
          <w:p w14:paraId="460B9E50" w14:textId="77777777" w:rsidR="001B1411" w:rsidRPr="00DA7625" w:rsidRDefault="001B1411">
            <w:pPr>
              <w:spacing w:before="0" w:after="0"/>
              <w:ind w:left="33"/>
              <w:rPr>
                <w:rFonts w:ascii="Times New Roman" w:hAnsi="Times New Roman"/>
                <w:bCs/>
                <w:sz w:val="24"/>
              </w:rPr>
            </w:pPr>
          </w:p>
          <w:p w14:paraId="46C53423" w14:textId="2C095E93" w:rsidR="001B1411" w:rsidRPr="00DA7625" w:rsidRDefault="00245E37">
            <w:pPr>
              <w:spacing w:before="0" w:after="0"/>
              <w:ind w:left="33"/>
              <w:rPr>
                <w:rFonts w:ascii="Times New Roman" w:hAnsi="Times New Roman"/>
                <w:bCs/>
                <w:sz w:val="24"/>
              </w:rPr>
            </w:pPr>
            <w:r w:rsidRPr="00DA7625">
              <w:rPr>
                <w:rFonts w:ascii="Times New Roman" w:hAnsi="Times New Roman"/>
                <w:bCs/>
                <w:sz w:val="24"/>
              </w:rPr>
              <w:lastRenderedPageBreak/>
              <w:t>A BAD 32. és 33. cikke; E végrehajtási rendelet V. melléklete 1. részének 16. pontja; Az AD 8. cikke (1) bekezdésének a) pontja</w:t>
            </w:r>
          </w:p>
          <w:p w14:paraId="166DEAB9" w14:textId="77777777" w:rsidR="001B1411" w:rsidRPr="00DA7625" w:rsidRDefault="001B1411">
            <w:pPr>
              <w:spacing w:before="0" w:after="0"/>
              <w:ind w:left="33"/>
              <w:rPr>
                <w:rFonts w:ascii="Times New Roman" w:hAnsi="Times New Roman"/>
                <w:bCs/>
                <w:sz w:val="24"/>
              </w:rPr>
            </w:pPr>
          </w:p>
          <w:p w14:paraId="54203C63" w14:textId="7E7E0A89"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Csak az általánosan elfogadott nemzeti számviteli elvek (GAAP) hatálya alá tartozó intézmények által jelentendő.</w:t>
            </w:r>
          </w:p>
          <w:p w14:paraId="73B98A1D" w14:textId="77777777" w:rsidR="001B1411" w:rsidRPr="00DA7625" w:rsidDel="00FB1EBF" w:rsidRDefault="001B1411">
            <w:pPr>
              <w:spacing w:before="0" w:after="0"/>
              <w:ind w:left="33"/>
              <w:rPr>
                <w:rFonts w:ascii="Times New Roman" w:hAnsi="Times New Roman"/>
                <w:bCs/>
                <w:sz w:val="24"/>
              </w:rPr>
            </w:pPr>
          </w:p>
        </w:tc>
      </w:tr>
      <w:tr w:rsidR="001B1411" w:rsidRPr="00DA7625" w14:paraId="43742E86" w14:textId="77777777" w:rsidTr="00672D2A">
        <w:tc>
          <w:tcPr>
            <w:tcW w:w="1188" w:type="dxa"/>
          </w:tcPr>
          <w:p w14:paraId="4E18D8CF"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lastRenderedPageBreak/>
              <w:t>050</w:t>
            </w:r>
          </w:p>
        </w:tc>
        <w:tc>
          <w:tcPr>
            <w:tcW w:w="8640" w:type="dxa"/>
          </w:tcPr>
          <w:p w14:paraId="2A424D39"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Kötelezően az eredménnyel szemben valós értéken értékelt, nem kereskedési célú pénzügyi eszközök</w:t>
            </w:r>
          </w:p>
          <w:p w14:paraId="4C995D3F" w14:textId="77777777" w:rsidR="001B1411" w:rsidRPr="00DA7625" w:rsidRDefault="001B1411">
            <w:pPr>
              <w:spacing w:before="0" w:after="0"/>
              <w:ind w:left="33"/>
              <w:rPr>
                <w:rFonts w:ascii="Times New Roman" w:hAnsi="Times New Roman"/>
                <w:bCs/>
                <w:sz w:val="24"/>
              </w:rPr>
            </w:pPr>
          </w:p>
          <w:p w14:paraId="329B160D"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IFRS 7 8. bekezdésének a) ii. pontja; IFRS 9 4.1.4. bekezdése</w:t>
            </w:r>
          </w:p>
          <w:p w14:paraId="02A9B43D" w14:textId="77777777" w:rsidR="001B1411" w:rsidRPr="00DA7625" w:rsidRDefault="001B1411">
            <w:pPr>
              <w:spacing w:before="0" w:after="0"/>
              <w:ind w:left="33"/>
              <w:rPr>
                <w:rFonts w:ascii="Times New Roman" w:hAnsi="Times New Roman"/>
                <w:bCs/>
                <w:sz w:val="24"/>
              </w:rPr>
            </w:pPr>
          </w:p>
        </w:tc>
      </w:tr>
      <w:tr w:rsidR="001B1411" w:rsidRPr="00DA7625" w14:paraId="6203366A" w14:textId="77777777" w:rsidTr="00672D2A">
        <w:tc>
          <w:tcPr>
            <w:tcW w:w="1188" w:type="dxa"/>
          </w:tcPr>
          <w:p w14:paraId="5B29A485"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060</w:t>
            </w:r>
          </w:p>
        </w:tc>
        <w:tc>
          <w:tcPr>
            <w:tcW w:w="8640" w:type="dxa"/>
          </w:tcPr>
          <w:p w14:paraId="67996AFD"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Az eredménnyel szemben valós értéken értékeltnek megjelölt pénzügyi eszközök</w:t>
            </w:r>
          </w:p>
          <w:p w14:paraId="03AA629A" w14:textId="77777777" w:rsidR="001B1411" w:rsidRPr="00DA7625" w:rsidRDefault="001B1411">
            <w:pPr>
              <w:spacing w:before="0" w:after="0"/>
              <w:ind w:left="33"/>
              <w:rPr>
                <w:rFonts w:ascii="Times New Roman" w:hAnsi="Times New Roman"/>
                <w:bCs/>
                <w:sz w:val="24"/>
              </w:rPr>
            </w:pPr>
          </w:p>
          <w:p w14:paraId="3A9556A2" w14:textId="27AA51B2"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IFRS 7 8. bekezdésének a) i. pontja; IFRS 9 4.1.5. bekezdése és az AD 8. cikke (1) bekezdésének a) pontja, valamint 8. cikkének (6) bekezdése</w:t>
            </w:r>
          </w:p>
          <w:p w14:paraId="0E295088" w14:textId="77777777" w:rsidR="001B1411" w:rsidRPr="00DA7625" w:rsidRDefault="001B1411">
            <w:pPr>
              <w:spacing w:before="0" w:after="0"/>
              <w:ind w:left="33"/>
              <w:rPr>
                <w:rFonts w:ascii="Times New Roman" w:hAnsi="Times New Roman"/>
                <w:bCs/>
                <w:sz w:val="24"/>
              </w:rPr>
            </w:pPr>
          </w:p>
        </w:tc>
      </w:tr>
      <w:tr w:rsidR="001B1411" w:rsidRPr="00DA7625" w14:paraId="3FAC6E46" w14:textId="77777777" w:rsidTr="00672D2A">
        <w:tc>
          <w:tcPr>
            <w:tcW w:w="1188" w:type="dxa"/>
          </w:tcPr>
          <w:p w14:paraId="304B6583"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070</w:t>
            </w:r>
          </w:p>
        </w:tc>
        <w:tc>
          <w:tcPr>
            <w:tcW w:w="8640" w:type="dxa"/>
          </w:tcPr>
          <w:p w14:paraId="578226BC"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Eredménnyel szemben valós értéken értékelt, nem kereskedési célú, nem származtatott pénzügyi eszközök</w:t>
            </w:r>
          </w:p>
          <w:p w14:paraId="3714D376" w14:textId="77777777" w:rsidR="001B1411" w:rsidRPr="00DA7625" w:rsidRDefault="001B1411">
            <w:pPr>
              <w:spacing w:before="0" w:after="0"/>
              <w:ind w:left="33"/>
              <w:rPr>
                <w:rFonts w:ascii="Times New Roman" w:hAnsi="Times New Roman"/>
                <w:bCs/>
                <w:sz w:val="24"/>
              </w:rPr>
            </w:pPr>
          </w:p>
          <w:p w14:paraId="3501358D" w14:textId="54D3347B" w:rsidR="001B1411" w:rsidRPr="00DA7625" w:rsidRDefault="002F78EA">
            <w:pPr>
              <w:spacing w:before="0" w:after="0"/>
              <w:ind w:left="33"/>
              <w:rPr>
                <w:rFonts w:ascii="Times New Roman" w:hAnsi="Times New Roman"/>
                <w:bCs/>
                <w:sz w:val="24"/>
              </w:rPr>
            </w:pPr>
            <w:r w:rsidRPr="00DA7625">
              <w:rPr>
                <w:rFonts w:ascii="Times New Roman" w:hAnsi="Times New Roman"/>
                <w:bCs/>
                <w:sz w:val="24"/>
              </w:rPr>
              <w:t>A BAD 36. cikkének (2) bekezdése; az AD 8. cikke (1) bekezdésének a) pontja</w:t>
            </w:r>
          </w:p>
          <w:p w14:paraId="0A703A58" w14:textId="77777777" w:rsidR="001B1411" w:rsidRPr="00DA7625" w:rsidRDefault="001B1411">
            <w:pPr>
              <w:spacing w:before="0" w:after="0"/>
              <w:ind w:left="33"/>
              <w:rPr>
                <w:rFonts w:ascii="Times New Roman" w:hAnsi="Times New Roman"/>
                <w:bCs/>
                <w:sz w:val="24"/>
              </w:rPr>
            </w:pPr>
          </w:p>
          <w:p w14:paraId="1BE801F4" w14:textId="459133CA"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Csak az általánosan elfogadott nemzeti számviteli elvek (GAAP) hatálya alá tartozó intézmények által jelentendő.</w:t>
            </w:r>
          </w:p>
          <w:p w14:paraId="2E9FB340" w14:textId="77777777" w:rsidR="001B1411" w:rsidRPr="00DA7625" w:rsidRDefault="001B1411">
            <w:pPr>
              <w:spacing w:before="0" w:after="0"/>
              <w:ind w:left="33"/>
              <w:rPr>
                <w:rFonts w:ascii="Times New Roman" w:hAnsi="Times New Roman"/>
                <w:bCs/>
                <w:sz w:val="24"/>
              </w:rPr>
            </w:pPr>
          </w:p>
        </w:tc>
      </w:tr>
      <w:tr w:rsidR="001B1411" w:rsidRPr="00DA7625" w14:paraId="41921E42" w14:textId="77777777" w:rsidTr="00672D2A">
        <w:tc>
          <w:tcPr>
            <w:tcW w:w="1188" w:type="dxa"/>
          </w:tcPr>
          <w:p w14:paraId="550F4CF8"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080</w:t>
            </w:r>
          </w:p>
        </w:tc>
        <w:tc>
          <w:tcPr>
            <w:tcW w:w="8640" w:type="dxa"/>
          </w:tcPr>
          <w:p w14:paraId="4708A241"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Az egyéb átfogó jövedelemmel szemben valós értéken értékelt pénzügyi eszközök</w:t>
            </w:r>
          </w:p>
          <w:p w14:paraId="3145817D" w14:textId="77777777" w:rsidR="001B1411" w:rsidRPr="00DA7625" w:rsidRDefault="001B1411">
            <w:pPr>
              <w:spacing w:before="0" w:after="0"/>
              <w:ind w:left="33"/>
              <w:rPr>
                <w:rFonts w:ascii="Times New Roman" w:hAnsi="Times New Roman"/>
                <w:bCs/>
                <w:sz w:val="24"/>
              </w:rPr>
            </w:pPr>
          </w:p>
          <w:p w14:paraId="52856523"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IFRS 7 8. bekezdésének d) pontja; IFRS 9 4.1.2A. bekezdése</w:t>
            </w:r>
          </w:p>
          <w:p w14:paraId="6285C98D" w14:textId="77777777" w:rsidR="001B1411" w:rsidRPr="00DA7625" w:rsidRDefault="001B1411">
            <w:pPr>
              <w:spacing w:before="0" w:after="0"/>
              <w:ind w:left="33"/>
              <w:rPr>
                <w:rFonts w:ascii="Times New Roman" w:hAnsi="Times New Roman"/>
                <w:b/>
                <w:bCs/>
                <w:sz w:val="24"/>
              </w:rPr>
            </w:pPr>
          </w:p>
        </w:tc>
      </w:tr>
      <w:tr w:rsidR="001B1411" w:rsidRPr="00DA7625" w14:paraId="7224C013" w14:textId="77777777" w:rsidTr="00672D2A">
        <w:tc>
          <w:tcPr>
            <w:tcW w:w="1188" w:type="dxa"/>
          </w:tcPr>
          <w:p w14:paraId="1D9FA35E"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090</w:t>
            </w:r>
          </w:p>
        </w:tc>
        <w:tc>
          <w:tcPr>
            <w:tcW w:w="8640" w:type="dxa"/>
          </w:tcPr>
          <w:p w14:paraId="104B1B60"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A saját tőkével szemben valós értéken értékelt, nem kereskedési célú, nem származtatott pénzügyi eszközök</w:t>
            </w:r>
          </w:p>
          <w:p w14:paraId="2C65FDA1" w14:textId="77777777" w:rsidR="001B1411" w:rsidRPr="00DA7625" w:rsidRDefault="001B1411">
            <w:pPr>
              <w:spacing w:before="0" w:after="0"/>
              <w:ind w:left="33"/>
              <w:rPr>
                <w:rFonts w:ascii="Times New Roman" w:hAnsi="Times New Roman"/>
                <w:bCs/>
                <w:sz w:val="24"/>
              </w:rPr>
            </w:pPr>
          </w:p>
          <w:p w14:paraId="5FBFD577" w14:textId="7E40B0B7" w:rsidR="001B1411" w:rsidRPr="00DA7625" w:rsidRDefault="00B14253">
            <w:pPr>
              <w:spacing w:before="0" w:after="0"/>
              <w:ind w:left="33"/>
              <w:rPr>
                <w:rFonts w:ascii="Times New Roman" w:hAnsi="Times New Roman"/>
                <w:bCs/>
                <w:sz w:val="24"/>
              </w:rPr>
            </w:pPr>
            <w:r w:rsidRPr="00DA7625">
              <w:rPr>
                <w:rFonts w:ascii="Times New Roman" w:hAnsi="Times New Roman"/>
                <w:bCs/>
                <w:sz w:val="24"/>
              </w:rPr>
              <w:t>az AD 8. cikke (1) bekezdésének a) pontja, valamint 8. cikkének (8) bekezdése</w:t>
            </w:r>
          </w:p>
          <w:p w14:paraId="5D6D171C" w14:textId="77777777" w:rsidR="001B1411" w:rsidRPr="00DA7625" w:rsidRDefault="001B1411">
            <w:pPr>
              <w:spacing w:before="0" w:after="0"/>
              <w:ind w:left="33"/>
              <w:rPr>
                <w:rFonts w:ascii="Times New Roman" w:hAnsi="Times New Roman"/>
                <w:bCs/>
                <w:sz w:val="24"/>
              </w:rPr>
            </w:pPr>
          </w:p>
          <w:p w14:paraId="0A9C56BC" w14:textId="12C862AE"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Csak az általánosan elfogadott nemzeti számviteli elvek (GAAP) hatálya alá tartozó intézmények által jelentendő.</w:t>
            </w:r>
          </w:p>
          <w:p w14:paraId="2AB80F03" w14:textId="77777777" w:rsidR="001B1411" w:rsidRPr="00DA7625" w:rsidRDefault="001B1411">
            <w:pPr>
              <w:spacing w:before="0" w:after="0"/>
              <w:ind w:left="33"/>
              <w:rPr>
                <w:rFonts w:ascii="Times New Roman" w:hAnsi="Times New Roman"/>
                <w:bCs/>
                <w:sz w:val="24"/>
              </w:rPr>
            </w:pPr>
          </w:p>
        </w:tc>
      </w:tr>
      <w:tr w:rsidR="001B1411" w:rsidRPr="00DA7625" w14:paraId="022AA6CD" w14:textId="77777777" w:rsidTr="00672D2A">
        <w:tc>
          <w:tcPr>
            <w:tcW w:w="1188" w:type="dxa"/>
          </w:tcPr>
          <w:p w14:paraId="06E99EE1"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100</w:t>
            </w:r>
          </w:p>
        </w:tc>
        <w:tc>
          <w:tcPr>
            <w:tcW w:w="8640" w:type="dxa"/>
          </w:tcPr>
          <w:p w14:paraId="4B80C886"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Amortizált bekerülési értéken értékelt pénzügyi eszközök</w:t>
            </w:r>
          </w:p>
          <w:p w14:paraId="26998BA8" w14:textId="77777777" w:rsidR="001B1411" w:rsidRPr="00DA7625" w:rsidRDefault="001B1411">
            <w:pPr>
              <w:spacing w:before="0" w:after="0"/>
              <w:ind w:left="33"/>
              <w:rPr>
                <w:rFonts w:ascii="Times New Roman" w:hAnsi="Times New Roman"/>
                <w:bCs/>
                <w:sz w:val="24"/>
              </w:rPr>
            </w:pPr>
          </w:p>
          <w:p w14:paraId="6B8F70BD" w14:textId="797206E6" w:rsidR="001B1411" w:rsidRPr="00DA7625" w:rsidDel="00501397" w:rsidRDefault="00FD54FC">
            <w:pPr>
              <w:spacing w:before="0" w:after="0"/>
              <w:ind w:left="33"/>
              <w:rPr>
                <w:rFonts w:ascii="Times New Roman" w:hAnsi="Times New Roman"/>
                <w:b/>
                <w:bCs/>
                <w:sz w:val="24"/>
                <w:u w:val="single"/>
              </w:rPr>
            </w:pPr>
            <w:r w:rsidRPr="00DA7625">
              <w:rPr>
                <w:rFonts w:ascii="Times New Roman" w:hAnsi="Times New Roman"/>
                <w:bCs/>
                <w:sz w:val="24"/>
              </w:rPr>
              <w:t xml:space="preserve">IFRS 7 8. bekezdésének f) pontja; IFRS 9 4.1.2. bekezdése; E végrehajtási rendelet V. melléklete </w:t>
            </w:r>
            <w:r w:rsidRPr="00DA7625">
              <w:rPr>
                <w:rFonts w:ascii="Times New Roman" w:hAnsi="Times New Roman"/>
                <w:bCs/>
                <w:sz w:val="24"/>
                <w:highlight w:val="yellow"/>
              </w:rPr>
              <w:t>1. részének 15. pontja</w:t>
            </w:r>
          </w:p>
          <w:p w14:paraId="78E4F226" w14:textId="77777777" w:rsidR="001B1411" w:rsidRPr="00DA7625" w:rsidRDefault="001B1411">
            <w:pPr>
              <w:spacing w:before="0" w:after="0"/>
              <w:ind w:left="33"/>
              <w:rPr>
                <w:rFonts w:ascii="Times New Roman" w:hAnsi="Times New Roman"/>
                <w:bCs/>
                <w:sz w:val="24"/>
              </w:rPr>
            </w:pPr>
          </w:p>
        </w:tc>
      </w:tr>
      <w:tr w:rsidR="001B1411" w:rsidRPr="00DA7625" w14:paraId="159EABBC" w14:textId="77777777" w:rsidTr="00672D2A">
        <w:tc>
          <w:tcPr>
            <w:tcW w:w="1188" w:type="dxa"/>
          </w:tcPr>
          <w:p w14:paraId="394DB7DA"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110</w:t>
            </w:r>
          </w:p>
        </w:tc>
        <w:tc>
          <w:tcPr>
            <w:tcW w:w="8640" w:type="dxa"/>
          </w:tcPr>
          <w:p w14:paraId="7592F492"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Bekerülésiérték-módszerrel értékelt nem kereskedési célú, nem származtatott pénzügyi eszközök</w:t>
            </w:r>
          </w:p>
          <w:p w14:paraId="21BD75BC" w14:textId="77777777" w:rsidR="001B1411" w:rsidRPr="00DA7625" w:rsidRDefault="001B1411">
            <w:pPr>
              <w:spacing w:before="0" w:after="0"/>
              <w:ind w:left="33"/>
              <w:rPr>
                <w:rFonts w:ascii="Times New Roman" w:hAnsi="Times New Roman"/>
                <w:bCs/>
                <w:sz w:val="24"/>
              </w:rPr>
            </w:pPr>
          </w:p>
          <w:p w14:paraId="7C5A67F6" w14:textId="104E3DCF" w:rsidR="001B1411" w:rsidRPr="00DA7625" w:rsidRDefault="002F78EA">
            <w:pPr>
              <w:spacing w:before="0" w:after="0"/>
              <w:ind w:left="33"/>
              <w:rPr>
                <w:rFonts w:ascii="Times New Roman" w:hAnsi="Times New Roman"/>
                <w:bCs/>
                <w:sz w:val="24"/>
              </w:rPr>
            </w:pPr>
            <w:r w:rsidRPr="00DA7625">
              <w:rPr>
                <w:rFonts w:ascii="Times New Roman" w:hAnsi="Times New Roman"/>
                <w:bCs/>
                <w:sz w:val="24"/>
              </w:rPr>
              <w:t xml:space="preserve">A BAD 35. cikke; Az AD 6. cikke (1) bekezdésének i) pontja, valamint 8. cikkének (2) bekezdése; E végrehajtási rendelet V. melléklete </w:t>
            </w:r>
            <w:r w:rsidRPr="00DA7625">
              <w:rPr>
                <w:rFonts w:ascii="Times New Roman" w:hAnsi="Times New Roman"/>
                <w:bCs/>
                <w:sz w:val="24"/>
                <w:highlight w:val="yellow"/>
              </w:rPr>
              <w:t>1. részének 16. pontja</w:t>
            </w:r>
          </w:p>
          <w:p w14:paraId="33535130" w14:textId="77777777" w:rsidR="001B1411" w:rsidRPr="00DA7625" w:rsidRDefault="001B1411">
            <w:pPr>
              <w:spacing w:before="0" w:after="0"/>
              <w:ind w:left="33"/>
              <w:rPr>
                <w:rFonts w:ascii="Times New Roman" w:hAnsi="Times New Roman"/>
                <w:bCs/>
                <w:sz w:val="24"/>
              </w:rPr>
            </w:pPr>
          </w:p>
          <w:p w14:paraId="2761A2AD" w14:textId="24A5F47C"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Csak az általánosan elfogadott nemzeti számviteli elvek (GAAP) hatálya alá tartozó intézmények által jelentendő.</w:t>
            </w:r>
          </w:p>
          <w:p w14:paraId="67AA918D" w14:textId="77777777" w:rsidR="001B1411" w:rsidRPr="00DA7625" w:rsidRDefault="001B1411">
            <w:pPr>
              <w:spacing w:before="0" w:after="0"/>
              <w:ind w:left="33"/>
              <w:rPr>
                <w:rFonts w:ascii="Times New Roman" w:hAnsi="Times New Roman"/>
                <w:bCs/>
                <w:sz w:val="24"/>
              </w:rPr>
            </w:pPr>
          </w:p>
        </w:tc>
      </w:tr>
      <w:tr w:rsidR="001B1411" w:rsidRPr="00DA7625" w14:paraId="7B5CE477" w14:textId="77777777" w:rsidTr="00672D2A">
        <w:tc>
          <w:tcPr>
            <w:tcW w:w="1188" w:type="dxa"/>
          </w:tcPr>
          <w:p w14:paraId="032F1927"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lastRenderedPageBreak/>
              <w:t>120</w:t>
            </w:r>
          </w:p>
        </w:tc>
        <w:tc>
          <w:tcPr>
            <w:tcW w:w="8640" w:type="dxa"/>
          </w:tcPr>
          <w:p w14:paraId="40E49614"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Egyéb nem kereskedési célú, nem származtatott pénzügyi eszközök</w:t>
            </w:r>
          </w:p>
          <w:p w14:paraId="1C5E5DDA" w14:textId="77777777" w:rsidR="001B1411" w:rsidRPr="00DA7625" w:rsidRDefault="001B1411">
            <w:pPr>
              <w:spacing w:before="0" w:after="0"/>
              <w:ind w:left="33"/>
              <w:rPr>
                <w:rFonts w:ascii="Times New Roman" w:hAnsi="Times New Roman"/>
                <w:bCs/>
                <w:sz w:val="24"/>
              </w:rPr>
            </w:pPr>
          </w:p>
          <w:p w14:paraId="6B4343D7" w14:textId="68C56011" w:rsidR="001B1411" w:rsidRPr="00DA7625" w:rsidRDefault="002B004B">
            <w:pPr>
              <w:spacing w:before="0" w:after="0"/>
              <w:ind w:left="33"/>
              <w:rPr>
                <w:rFonts w:ascii="Times New Roman" w:hAnsi="Times New Roman"/>
                <w:bCs/>
                <w:sz w:val="24"/>
              </w:rPr>
            </w:pPr>
            <w:r w:rsidRPr="00DA7625">
              <w:rPr>
                <w:rFonts w:ascii="Times New Roman" w:hAnsi="Times New Roman"/>
                <w:bCs/>
                <w:sz w:val="24"/>
              </w:rPr>
              <w:t xml:space="preserve">A BAD 37. cikke; Az AD 12. cikkének (7) bekezdése; E végrehajtási rendelet V. melléklete </w:t>
            </w:r>
            <w:r w:rsidRPr="00DA7625">
              <w:rPr>
                <w:rFonts w:ascii="Times New Roman" w:hAnsi="Times New Roman"/>
                <w:bCs/>
                <w:sz w:val="24"/>
                <w:highlight w:val="yellow"/>
              </w:rPr>
              <w:t>1. részének 16. pontja</w:t>
            </w:r>
          </w:p>
          <w:p w14:paraId="0E8E9288" w14:textId="77777777" w:rsidR="001B1411" w:rsidRPr="00DA7625" w:rsidRDefault="001B1411">
            <w:pPr>
              <w:spacing w:before="0" w:after="0"/>
              <w:ind w:left="33"/>
              <w:rPr>
                <w:rFonts w:ascii="Times New Roman" w:hAnsi="Times New Roman"/>
                <w:bCs/>
                <w:sz w:val="24"/>
              </w:rPr>
            </w:pPr>
          </w:p>
          <w:p w14:paraId="005AEDF2" w14:textId="77035DFD"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Csak az általánosan elfogadott nemzeti számviteli elvek (GAAP) hatálya alá tartozó intézmények által jelentendő.</w:t>
            </w:r>
          </w:p>
          <w:p w14:paraId="3B670CA5" w14:textId="77777777" w:rsidR="001B1411" w:rsidRPr="00DA7625" w:rsidRDefault="001B1411">
            <w:pPr>
              <w:spacing w:before="0" w:after="0"/>
              <w:ind w:left="33"/>
              <w:rPr>
                <w:rFonts w:ascii="Times New Roman" w:hAnsi="Times New Roman"/>
                <w:bCs/>
                <w:sz w:val="24"/>
              </w:rPr>
            </w:pPr>
          </w:p>
        </w:tc>
      </w:tr>
      <w:tr w:rsidR="001B1411" w:rsidRPr="00DA7625" w14:paraId="1776AA02" w14:textId="77777777" w:rsidTr="00672D2A">
        <w:tc>
          <w:tcPr>
            <w:tcW w:w="1188" w:type="dxa"/>
          </w:tcPr>
          <w:p w14:paraId="35B59F3E"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130</w:t>
            </w:r>
          </w:p>
        </w:tc>
        <w:tc>
          <w:tcPr>
            <w:tcW w:w="8640" w:type="dxa"/>
          </w:tcPr>
          <w:p w14:paraId="13AAEAAA"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Rövid pozíciók</w:t>
            </w:r>
          </w:p>
          <w:p w14:paraId="1EF926C5" w14:textId="77777777" w:rsidR="001B1411" w:rsidRPr="00DA7625" w:rsidRDefault="001B1411">
            <w:pPr>
              <w:spacing w:before="0" w:after="0"/>
              <w:ind w:left="33"/>
              <w:rPr>
                <w:rFonts w:ascii="Times New Roman" w:hAnsi="Times New Roman"/>
                <w:bCs/>
                <w:sz w:val="24"/>
              </w:rPr>
            </w:pPr>
          </w:p>
          <w:p w14:paraId="57511115" w14:textId="3CA6BA4E"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Az IFRS 9 BA.7 bekezdése b) pontjában meghatározott azon rövid pozíciók könyv szerinti értéke, ahol a közvetlen partner államháztartás az e melléklet 155–160. pontjában meghatározottaknak megfelelően.</w:t>
            </w:r>
          </w:p>
          <w:p w14:paraId="5C093156" w14:textId="77777777" w:rsidR="001B1411" w:rsidRPr="00DA7625" w:rsidRDefault="001B1411">
            <w:pPr>
              <w:spacing w:before="0" w:after="0"/>
              <w:ind w:left="33"/>
              <w:rPr>
                <w:rFonts w:ascii="Times New Roman" w:hAnsi="Times New Roman"/>
                <w:bCs/>
                <w:sz w:val="24"/>
              </w:rPr>
            </w:pPr>
          </w:p>
          <w:p w14:paraId="67B6A0DB" w14:textId="0E5A965A"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Rövid pozíció akkor keletkezik, ha az intézmény fordított visszavásárlási hitelek keretében szerzett vagy értékpapírkölcsön-ügylet keretében kölcsönvett értékpapírokat ad el.</w:t>
            </w:r>
          </w:p>
          <w:p w14:paraId="6445F1FC" w14:textId="77777777" w:rsidR="001B1411" w:rsidRPr="00DA7625" w:rsidRDefault="001B1411">
            <w:pPr>
              <w:spacing w:before="0" w:after="0"/>
              <w:ind w:left="33"/>
              <w:rPr>
                <w:rFonts w:ascii="Times New Roman" w:hAnsi="Times New Roman"/>
                <w:bCs/>
                <w:sz w:val="24"/>
              </w:rPr>
            </w:pPr>
          </w:p>
          <w:p w14:paraId="6A61371F"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 könyv szerinti érték a rövid pozíció valós értéke.</w:t>
            </w:r>
          </w:p>
          <w:p w14:paraId="2E8C93A7" w14:textId="77777777" w:rsidR="001B1411" w:rsidRPr="00DA7625" w:rsidRDefault="001B1411">
            <w:pPr>
              <w:spacing w:before="0" w:after="0"/>
              <w:ind w:left="33"/>
              <w:rPr>
                <w:rFonts w:ascii="Times New Roman" w:hAnsi="Times New Roman"/>
                <w:bCs/>
                <w:sz w:val="24"/>
              </w:rPr>
            </w:pPr>
          </w:p>
          <w:p w14:paraId="62093D04" w14:textId="4A73E6EC"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 rövid pozíciókat a 170–230-as sorban felsorolt hátralévő futamidő szerinti, valamint közvetlen partner szerinti bontásban kell jelenteni. A rövid pozíciókkal a 030–120-as oszlopok kiszámításához nettósítani kell az azonos hátralévő futamidőre és közvetlen partnerrel fennálló pozíciókat.</w:t>
            </w:r>
          </w:p>
        </w:tc>
      </w:tr>
      <w:tr w:rsidR="001B1411" w:rsidRPr="00DA7625" w14:paraId="0744067D" w14:textId="77777777" w:rsidTr="00672D2A">
        <w:tc>
          <w:tcPr>
            <w:tcW w:w="1188" w:type="dxa"/>
          </w:tcPr>
          <w:p w14:paraId="3E64C340" w14:textId="77777777" w:rsidR="001B1411" w:rsidRPr="00DA7625" w:rsidDel="00E97A51" w:rsidRDefault="00FD54FC">
            <w:pPr>
              <w:spacing w:before="0" w:after="0"/>
              <w:ind w:left="33"/>
              <w:rPr>
                <w:rFonts w:ascii="Times New Roman" w:hAnsi="Times New Roman"/>
                <w:bCs/>
                <w:sz w:val="24"/>
              </w:rPr>
            </w:pPr>
            <w:r w:rsidRPr="00DA7625">
              <w:rPr>
                <w:rFonts w:ascii="Times New Roman" w:hAnsi="Times New Roman"/>
                <w:bCs/>
                <w:sz w:val="24"/>
              </w:rPr>
              <w:t>140</w:t>
            </w:r>
          </w:p>
        </w:tc>
        <w:tc>
          <w:tcPr>
            <w:tcW w:w="8640" w:type="dxa"/>
          </w:tcPr>
          <w:p w14:paraId="3AA354C1"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Ebből: kereskedési céllal tartott vagy kereskedési célú pénzügyi eszközként besorolt, fordított visszavásárlási hitelekből származó rövid pozíciók</w:t>
            </w:r>
          </w:p>
          <w:p w14:paraId="26F7362C" w14:textId="77777777" w:rsidR="001B1411" w:rsidRPr="00DA7625" w:rsidRDefault="001B1411">
            <w:pPr>
              <w:spacing w:before="0" w:after="0"/>
              <w:ind w:left="33"/>
              <w:rPr>
                <w:rFonts w:ascii="Times New Roman" w:hAnsi="Times New Roman"/>
                <w:bCs/>
                <w:sz w:val="24"/>
              </w:rPr>
            </w:pPr>
          </w:p>
          <w:p w14:paraId="74E60974" w14:textId="64E24DF0"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Az IFRS 9 BA.7 bekezdése b) pontjában meghatározott azon kereskedési céllal tartott vagy kereskedési célú pénzügyi eszközök számviteli portfóliójába (030-as és 040-es oszlop) besorolt rövid pozíciók könyv szerinti értéke, amelyek visszavásárlási hitelek keretében szerzett értékpapírok intézmény általi eladásával keletkeztek, ahol az említett értékpapírok esetében a közvetlen partner államháztartás.</w:t>
            </w:r>
          </w:p>
          <w:p w14:paraId="38058E51" w14:textId="77777777" w:rsidR="001B1411" w:rsidRPr="00DA7625" w:rsidRDefault="001B1411">
            <w:pPr>
              <w:spacing w:before="0" w:after="0"/>
              <w:ind w:left="33"/>
              <w:rPr>
                <w:rFonts w:ascii="Times New Roman" w:hAnsi="Times New Roman"/>
                <w:b/>
                <w:bCs/>
                <w:sz w:val="24"/>
                <w:u w:val="single"/>
              </w:rPr>
            </w:pPr>
          </w:p>
          <w:p w14:paraId="483197E9"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 xml:space="preserve">Az értékpapírkölcsön-ügylet keretében kölcsönvett értékpapírok eladásával keletkező rövid pozíciók nem szerepelhetnek ebben az oszlopban. </w:t>
            </w:r>
          </w:p>
          <w:p w14:paraId="319DA15C" w14:textId="77777777" w:rsidR="001B1411" w:rsidRPr="00DA7625" w:rsidDel="00E97A51" w:rsidRDefault="001B1411">
            <w:pPr>
              <w:spacing w:before="0" w:after="0"/>
              <w:ind w:left="33"/>
              <w:rPr>
                <w:rFonts w:ascii="Times New Roman" w:hAnsi="Times New Roman"/>
                <w:b/>
                <w:bCs/>
                <w:sz w:val="24"/>
                <w:u w:val="single"/>
              </w:rPr>
            </w:pPr>
          </w:p>
        </w:tc>
      </w:tr>
      <w:tr w:rsidR="001B1411" w:rsidRPr="00DA7625" w:rsidDel="004A25FD" w14:paraId="7E9D7807" w14:textId="77777777" w:rsidTr="00672D2A">
        <w:tc>
          <w:tcPr>
            <w:tcW w:w="1188" w:type="dxa"/>
          </w:tcPr>
          <w:p w14:paraId="57B9A880" w14:textId="77777777" w:rsidR="001B1411" w:rsidRPr="00DA7625" w:rsidDel="004A25FD" w:rsidRDefault="00FD54FC">
            <w:pPr>
              <w:spacing w:before="0" w:after="0"/>
              <w:ind w:left="33"/>
              <w:rPr>
                <w:rFonts w:ascii="Times New Roman" w:hAnsi="Times New Roman"/>
                <w:bCs/>
                <w:sz w:val="24"/>
              </w:rPr>
            </w:pPr>
            <w:r w:rsidRPr="00DA7625">
              <w:rPr>
                <w:rFonts w:ascii="Times New Roman" w:hAnsi="Times New Roman"/>
                <w:bCs/>
                <w:sz w:val="24"/>
              </w:rPr>
              <w:t>150</w:t>
            </w:r>
          </w:p>
        </w:tc>
        <w:tc>
          <w:tcPr>
            <w:tcW w:w="8640" w:type="dxa"/>
          </w:tcPr>
          <w:p w14:paraId="08820E18"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Halmozott értékvesztés</w:t>
            </w:r>
          </w:p>
          <w:p w14:paraId="00636F29" w14:textId="77777777" w:rsidR="001B1411" w:rsidRPr="00DA7625" w:rsidRDefault="001B1411">
            <w:pPr>
              <w:spacing w:before="0" w:after="0"/>
              <w:ind w:left="33"/>
              <w:rPr>
                <w:rFonts w:ascii="Times New Roman" w:hAnsi="Times New Roman"/>
                <w:b/>
                <w:bCs/>
                <w:sz w:val="24"/>
                <w:u w:val="single"/>
              </w:rPr>
            </w:pPr>
          </w:p>
          <w:p w14:paraId="01AC3377" w14:textId="315B593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 080–120-as oszlopban jelentett nem származtatott pénzügyi eszközökkel kapcsolatos összes halmozott értékvesztés (e végrehajtási rendelet V. melléklete 2. részének 70. és 71. pontja).</w:t>
            </w:r>
          </w:p>
          <w:p w14:paraId="463F1F38" w14:textId="77777777" w:rsidR="001B1411" w:rsidRPr="00DA7625" w:rsidDel="004A25FD" w:rsidRDefault="001B1411">
            <w:pPr>
              <w:spacing w:before="0" w:after="0"/>
              <w:ind w:left="33"/>
              <w:rPr>
                <w:rFonts w:ascii="Times New Roman" w:hAnsi="Times New Roman"/>
                <w:bCs/>
                <w:sz w:val="24"/>
              </w:rPr>
            </w:pPr>
          </w:p>
        </w:tc>
      </w:tr>
      <w:tr w:rsidR="001B1411" w:rsidRPr="00DA7625" w14:paraId="58743D2E" w14:textId="77777777" w:rsidTr="00672D2A">
        <w:tc>
          <w:tcPr>
            <w:tcW w:w="1188" w:type="dxa"/>
          </w:tcPr>
          <w:p w14:paraId="7A129681"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160</w:t>
            </w:r>
          </w:p>
        </w:tc>
        <w:tc>
          <w:tcPr>
            <w:tcW w:w="8640" w:type="dxa"/>
          </w:tcPr>
          <w:p w14:paraId="3624DDB5"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Halmozott értékvesztés – ebből: egyéb átfogó jövedelemmel szemben valós értéken értékelt pénzügyi eszközökből vagy saját tőkével szemben valós értéken értékelt, nem kereskedési célú, nem származtatott pénzügyi eszközökből</w:t>
            </w:r>
          </w:p>
          <w:p w14:paraId="3F5A328F" w14:textId="77777777" w:rsidR="001B1411" w:rsidRPr="00DA7625" w:rsidRDefault="001B1411">
            <w:pPr>
              <w:spacing w:before="0" w:after="0"/>
              <w:ind w:left="33"/>
              <w:rPr>
                <w:rFonts w:ascii="Times New Roman" w:hAnsi="Times New Roman"/>
                <w:b/>
                <w:bCs/>
                <w:sz w:val="24"/>
                <w:u w:val="single"/>
              </w:rPr>
            </w:pPr>
          </w:p>
          <w:p w14:paraId="02526E92"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 xml:space="preserve">A 080–090-es oszlopban jelentett nem származtatott pénzügyi eszközökkel kapcsolatos összes halmozott értékvesztés. </w:t>
            </w:r>
          </w:p>
          <w:p w14:paraId="2F68899E" w14:textId="77777777" w:rsidR="001B1411" w:rsidRPr="00DA7625" w:rsidRDefault="001B1411">
            <w:pPr>
              <w:spacing w:before="0" w:after="0"/>
              <w:ind w:left="33"/>
              <w:rPr>
                <w:rFonts w:ascii="Times New Roman" w:hAnsi="Times New Roman"/>
                <w:b/>
                <w:bCs/>
                <w:sz w:val="24"/>
                <w:u w:val="single"/>
              </w:rPr>
            </w:pPr>
          </w:p>
        </w:tc>
      </w:tr>
      <w:tr w:rsidR="001B1411" w:rsidRPr="00DA7625" w:rsidDel="004A25FD" w14:paraId="3774B7A3" w14:textId="77777777" w:rsidTr="00672D2A">
        <w:tc>
          <w:tcPr>
            <w:tcW w:w="1188" w:type="dxa"/>
          </w:tcPr>
          <w:p w14:paraId="7E5BE2D3" w14:textId="77777777" w:rsidR="001B1411" w:rsidRPr="00DA7625" w:rsidDel="004A25FD" w:rsidRDefault="00FD54FC">
            <w:pPr>
              <w:spacing w:before="0" w:after="0"/>
              <w:ind w:left="33"/>
              <w:rPr>
                <w:rFonts w:ascii="Times New Roman" w:hAnsi="Times New Roman"/>
                <w:bCs/>
                <w:sz w:val="24"/>
              </w:rPr>
            </w:pPr>
            <w:r w:rsidRPr="00DA7625">
              <w:rPr>
                <w:rFonts w:ascii="Times New Roman" w:hAnsi="Times New Roman"/>
                <w:bCs/>
                <w:sz w:val="24"/>
              </w:rPr>
              <w:t>170</w:t>
            </w:r>
          </w:p>
        </w:tc>
        <w:tc>
          <w:tcPr>
            <w:tcW w:w="8640" w:type="dxa"/>
          </w:tcPr>
          <w:p w14:paraId="2619C60B"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 xml:space="preserve">A hitelkockázat változásából származó negatív valósérték-változás halmozott összege </w:t>
            </w:r>
          </w:p>
          <w:p w14:paraId="45CF648B" w14:textId="77777777" w:rsidR="001B1411" w:rsidRPr="00DA7625" w:rsidRDefault="001B1411">
            <w:pPr>
              <w:spacing w:before="0" w:after="0"/>
              <w:ind w:left="33"/>
              <w:rPr>
                <w:rFonts w:ascii="Times New Roman" w:hAnsi="Times New Roman"/>
                <w:b/>
                <w:bCs/>
                <w:sz w:val="24"/>
                <w:u w:val="single"/>
              </w:rPr>
            </w:pPr>
          </w:p>
          <w:p w14:paraId="40510C73" w14:textId="38F0BB5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Az 050–090-es oszlopban jelentett pozíciókhoz kapcsolódó, hitelkockázat-változásból származó negatív valósérték-változás halmozott összege (e végrehajtási rendelet V. melléklete 2. részének 69. pontja).</w:t>
            </w:r>
          </w:p>
          <w:p w14:paraId="00577D76" w14:textId="77777777" w:rsidR="001B1411" w:rsidRPr="00DA7625" w:rsidDel="004A25FD" w:rsidRDefault="001B1411">
            <w:pPr>
              <w:spacing w:before="0" w:after="0"/>
              <w:ind w:left="33"/>
              <w:rPr>
                <w:rFonts w:ascii="Times New Roman" w:hAnsi="Times New Roman"/>
                <w:bCs/>
                <w:sz w:val="24"/>
              </w:rPr>
            </w:pPr>
          </w:p>
        </w:tc>
      </w:tr>
      <w:tr w:rsidR="001B1411" w:rsidRPr="00DA7625" w14:paraId="467A9911" w14:textId="77777777" w:rsidTr="00672D2A">
        <w:tc>
          <w:tcPr>
            <w:tcW w:w="1188" w:type="dxa"/>
          </w:tcPr>
          <w:p w14:paraId="13B5C2A8"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lastRenderedPageBreak/>
              <w:t>180</w:t>
            </w:r>
          </w:p>
        </w:tc>
        <w:tc>
          <w:tcPr>
            <w:tcW w:w="8640" w:type="dxa"/>
          </w:tcPr>
          <w:p w14:paraId="3EF9721C"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A hitelkockázat változásából származó negatív valósérték-változás halmozott összege – ebből: kötelezően az eredménnyel szemben valós értéken értékelt, nem kereskedési célú pénzügyi eszközökből, az eredménnyel szemben valós értéken értékeltnek megjelölt pénzügyi eszközökből vagy eredménnyel szemben valós értéken értékelt nem kereskedési célú pénzügyi eszközökből</w:t>
            </w:r>
          </w:p>
          <w:p w14:paraId="029B762A" w14:textId="77777777" w:rsidR="001B1411" w:rsidRPr="00DA7625" w:rsidRDefault="001B1411">
            <w:pPr>
              <w:spacing w:before="0" w:after="0"/>
              <w:ind w:left="33"/>
              <w:rPr>
                <w:rFonts w:ascii="Times New Roman" w:hAnsi="Times New Roman"/>
                <w:bCs/>
                <w:sz w:val="24"/>
              </w:rPr>
            </w:pPr>
          </w:p>
          <w:p w14:paraId="2110E281"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Az 050–070-es oszlopban jelentett pozíciókhoz kapcsolódó, hitelkockázat-változásból származó negatív valósérték-változás halmozott összege.</w:t>
            </w:r>
          </w:p>
          <w:p w14:paraId="1FCE4004" w14:textId="77777777" w:rsidR="001B1411" w:rsidRPr="00DA7625" w:rsidRDefault="00FD54FC">
            <w:pPr>
              <w:spacing w:before="0" w:after="0"/>
              <w:ind w:left="33"/>
              <w:rPr>
                <w:rFonts w:ascii="Times New Roman" w:hAnsi="Times New Roman"/>
                <w:bCs/>
                <w:sz w:val="24"/>
              </w:rPr>
            </w:pPr>
            <w:r w:rsidRPr="00DA7625">
              <w:rPr>
                <w:rFonts w:ascii="Times New Roman" w:hAnsi="Times New Roman"/>
                <w:b/>
                <w:bCs/>
                <w:sz w:val="24"/>
                <w:u w:val="single"/>
              </w:rPr>
              <w:t xml:space="preserve"> </w:t>
            </w:r>
          </w:p>
        </w:tc>
      </w:tr>
      <w:tr w:rsidR="001B1411" w:rsidRPr="00DA7625" w14:paraId="6313C482" w14:textId="77777777" w:rsidTr="00672D2A">
        <w:tc>
          <w:tcPr>
            <w:tcW w:w="1188" w:type="dxa"/>
          </w:tcPr>
          <w:p w14:paraId="684F032E"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190</w:t>
            </w:r>
          </w:p>
        </w:tc>
        <w:tc>
          <w:tcPr>
            <w:tcW w:w="8640" w:type="dxa"/>
          </w:tcPr>
          <w:p w14:paraId="3A39EC07"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A hitelkockázat változásából származó negatív valósérték-változás halmozott összege – ebből: egyéb átfogó jövedelemmel szemben valós értéken értékelt pénzügyi eszközökből vagy saját tőkével szemben valós értéken értékelt, nem kereskedési célú, nem származtatott pénzügyi eszközökből</w:t>
            </w:r>
          </w:p>
          <w:p w14:paraId="5B20AD18" w14:textId="77777777" w:rsidR="001B1411" w:rsidRPr="00DA7625" w:rsidRDefault="001B1411">
            <w:pPr>
              <w:spacing w:before="0" w:after="0"/>
              <w:ind w:left="33"/>
              <w:rPr>
                <w:rFonts w:ascii="Times New Roman" w:hAnsi="Times New Roman"/>
                <w:bCs/>
                <w:sz w:val="24"/>
              </w:rPr>
            </w:pPr>
          </w:p>
          <w:p w14:paraId="0F9D68C8"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 080–090-es oszlopban jelentett pozíciókhoz kapcsolódó, hitelkockázat-változásból származó negatív valósérték-változás halmozott összege.</w:t>
            </w:r>
          </w:p>
          <w:p w14:paraId="24C98C30" w14:textId="77777777" w:rsidR="001B1411" w:rsidRPr="00DA7625" w:rsidRDefault="001B1411">
            <w:pPr>
              <w:spacing w:before="0" w:after="0"/>
              <w:ind w:left="33"/>
              <w:rPr>
                <w:rFonts w:ascii="Times New Roman" w:hAnsi="Times New Roman"/>
                <w:bCs/>
                <w:sz w:val="24"/>
              </w:rPr>
            </w:pPr>
          </w:p>
        </w:tc>
      </w:tr>
      <w:tr w:rsidR="001B1411" w:rsidRPr="00DA7625" w14:paraId="61019DE2" w14:textId="77777777" w:rsidTr="00672D2A">
        <w:tc>
          <w:tcPr>
            <w:tcW w:w="1188" w:type="dxa"/>
          </w:tcPr>
          <w:p w14:paraId="08669C7A"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200–230</w:t>
            </w:r>
          </w:p>
        </w:tc>
        <w:tc>
          <w:tcPr>
            <w:tcW w:w="8640" w:type="dxa"/>
          </w:tcPr>
          <w:p w14:paraId="638DA15A"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SZÁRMAZTATOTT ÜGYLETEK</w:t>
            </w:r>
          </w:p>
          <w:p w14:paraId="4B73D9E7" w14:textId="77777777" w:rsidR="001B1411" w:rsidRPr="00DA7625" w:rsidRDefault="001B1411">
            <w:pPr>
              <w:spacing w:before="0" w:after="0"/>
              <w:ind w:left="33"/>
              <w:rPr>
                <w:rFonts w:ascii="Times New Roman" w:hAnsi="Times New Roman"/>
                <w:b/>
                <w:bCs/>
                <w:sz w:val="24"/>
                <w:u w:val="single"/>
              </w:rPr>
            </w:pPr>
          </w:p>
          <w:p w14:paraId="367B5573" w14:textId="064FBAC5"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 közvetlen származtatott pozíciókat a 200–230-as oszlopban kell jelenteni.</w:t>
            </w:r>
          </w:p>
          <w:p w14:paraId="3489F126" w14:textId="77777777" w:rsidR="001B1411" w:rsidRPr="00DA7625" w:rsidRDefault="001B1411">
            <w:pPr>
              <w:spacing w:before="0" w:after="0"/>
              <w:ind w:left="33"/>
              <w:rPr>
                <w:rFonts w:ascii="Times New Roman" w:hAnsi="Times New Roman"/>
                <w:b/>
                <w:bCs/>
                <w:sz w:val="24"/>
                <w:u w:val="single"/>
              </w:rPr>
            </w:pPr>
          </w:p>
          <w:p w14:paraId="2AF50683"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Azon származtatott ügyletekkel kapcsolatban, amelyekre partnerkockázati és piaci kockázati tőkekövetelmény egyaránt vonatkozik, lásd a sorokra vonatkozó útmutatót.</w:t>
            </w:r>
          </w:p>
          <w:p w14:paraId="1507A2EA" w14:textId="77777777" w:rsidR="001B1411" w:rsidRPr="00DA7625" w:rsidRDefault="001B1411">
            <w:pPr>
              <w:spacing w:before="0" w:after="0"/>
              <w:ind w:left="33"/>
              <w:rPr>
                <w:rFonts w:ascii="Times New Roman" w:hAnsi="Times New Roman"/>
                <w:b/>
                <w:bCs/>
                <w:sz w:val="24"/>
                <w:u w:val="single"/>
              </w:rPr>
            </w:pPr>
          </w:p>
        </w:tc>
      </w:tr>
      <w:tr w:rsidR="001B1411" w:rsidRPr="00DA7625" w14:paraId="0489B5D0" w14:textId="77777777" w:rsidTr="00672D2A">
        <w:tc>
          <w:tcPr>
            <w:tcW w:w="1188" w:type="dxa"/>
          </w:tcPr>
          <w:p w14:paraId="1612CDC2"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200–210</w:t>
            </w:r>
          </w:p>
        </w:tc>
        <w:tc>
          <w:tcPr>
            <w:tcW w:w="8640" w:type="dxa"/>
          </w:tcPr>
          <w:p w14:paraId="6A6C391B"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Származtatott ügyletek pozitív valós értékkel</w:t>
            </w:r>
          </w:p>
          <w:p w14:paraId="54D7B266" w14:textId="77777777" w:rsidR="001B1411" w:rsidRPr="00DA7625" w:rsidRDefault="001B1411">
            <w:pPr>
              <w:spacing w:before="0" w:after="0"/>
              <w:ind w:left="33"/>
              <w:rPr>
                <w:rFonts w:ascii="Times New Roman" w:hAnsi="Times New Roman"/>
                <w:bCs/>
                <w:sz w:val="24"/>
              </w:rPr>
            </w:pPr>
          </w:p>
          <w:p w14:paraId="71E3DAFA" w14:textId="3BBCD9F4"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 xml:space="preserve">Államháztartással mint partnerrel szembeni, az adatszolgáltatás időpontjában az intézmény számára pozitív valós értékkel rendelkező származtatott eszközök, függetlenül attól, hogy azokat minősített fedezeti kapcsolatban használják, vagy a kereskedési céllal tartott vagy kereskedési célú eszközök portfóliójába sorolják az IFRS, illetve a BAD alapján kidolgozott nemzeti GAAP szerint. </w:t>
            </w:r>
          </w:p>
          <w:p w14:paraId="4D54A68D" w14:textId="77777777" w:rsidR="001B1411" w:rsidRPr="00DA7625" w:rsidRDefault="001B1411">
            <w:pPr>
              <w:spacing w:before="0" w:after="0"/>
              <w:ind w:left="33"/>
              <w:rPr>
                <w:rFonts w:ascii="Times New Roman" w:hAnsi="Times New Roman"/>
                <w:bCs/>
                <w:sz w:val="24"/>
              </w:rPr>
            </w:pPr>
          </w:p>
          <w:p w14:paraId="43864145" w14:textId="1C006A69"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 gazdasági fedezeti ügyletekhez használt származtatott eszközöket akkor kell itt jelenteni, ha azokat a kereskedési célú vagy a kereskedési céllal tartott eszközök számviteli portfóliójába sorolták (az e végrehajtási rendelet V. melléklete 2. részének 120., 124., 125., valamint 137–140. pontja).</w:t>
            </w:r>
          </w:p>
          <w:p w14:paraId="1082C9F0" w14:textId="77777777" w:rsidR="001B1411" w:rsidRPr="00DA7625" w:rsidRDefault="001B1411">
            <w:pPr>
              <w:spacing w:before="0" w:after="0"/>
              <w:ind w:left="33"/>
              <w:rPr>
                <w:rFonts w:ascii="Times New Roman" w:hAnsi="Times New Roman"/>
                <w:b/>
                <w:bCs/>
                <w:sz w:val="24"/>
                <w:u w:val="single"/>
              </w:rPr>
            </w:pPr>
          </w:p>
        </w:tc>
      </w:tr>
      <w:tr w:rsidR="001B1411" w:rsidRPr="00DA7625" w14:paraId="6AB829A1" w14:textId="77777777" w:rsidTr="00672D2A">
        <w:tc>
          <w:tcPr>
            <w:tcW w:w="1188" w:type="dxa"/>
          </w:tcPr>
          <w:p w14:paraId="321093D3"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200</w:t>
            </w:r>
          </w:p>
        </w:tc>
        <w:tc>
          <w:tcPr>
            <w:tcW w:w="8640" w:type="dxa"/>
          </w:tcPr>
          <w:p w14:paraId="4103E663"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 xml:space="preserve">Származtatott ügyletek pozitív valós értékkel: Könyv szerinti érték </w:t>
            </w:r>
          </w:p>
          <w:p w14:paraId="4DAA2A8C" w14:textId="77777777" w:rsidR="001B1411" w:rsidRPr="00DA7625" w:rsidRDefault="001B1411">
            <w:pPr>
              <w:spacing w:before="0" w:after="0"/>
              <w:ind w:left="33"/>
              <w:rPr>
                <w:rFonts w:ascii="Times New Roman" w:hAnsi="Times New Roman"/>
                <w:bCs/>
                <w:sz w:val="24"/>
              </w:rPr>
            </w:pPr>
          </w:p>
          <w:p w14:paraId="142F1ABF"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 xml:space="preserve">A pénzügyi eszközként elszámolt származtatott ügyletek könyv szerinti értéke az adatszolgáltatási vonatkozási időpontban. </w:t>
            </w:r>
          </w:p>
          <w:p w14:paraId="6E21DBB7" w14:textId="77777777" w:rsidR="001B1411" w:rsidRPr="00DA7625" w:rsidRDefault="001B1411">
            <w:pPr>
              <w:spacing w:before="0" w:after="0"/>
              <w:ind w:left="33"/>
              <w:rPr>
                <w:rFonts w:ascii="Times New Roman" w:hAnsi="Times New Roman"/>
                <w:bCs/>
                <w:sz w:val="24"/>
              </w:rPr>
            </w:pPr>
          </w:p>
          <w:p w14:paraId="23F6DC84"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lastRenderedPageBreak/>
              <w:t xml:space="preserve">A BAD alapján kidolgozott nemzeti GAAP szerinti elszámolás esetén az ezekben az oszlopokban jelentendő származtatott ügyletek közé a bekerülési értéken vagy a bekerülési vagy piaci ár közül az alacsonyabb értéken értékelt, a kereskedési portfólióba tartozó vagy a fedezeti instrumentumként megjelölt származtatott eszközöket kell sorolni. </w:t>
            </w:r>
          </w:p>
          <w:p w14:paraId="5076701F" w14:textId="77777777" w:rsidR="001B1411" w:rsidRPr="00DA7625" w:rsidRDefault="001B1411">
            <w:pPr>
              <w:spacing w:before="0" w:after="0"/>
              <w:ind w:left="33"/>
              <w:rPr>
                <w:rFonts w:ascii="Times New Roman" w:hAnsi="Times New Roman"/>
                <w:b/>
                <w:bCs/>
                <w:sz w:val="24"/>
                <w:u w:val="single"/>
              </w:rPr>
            </w:pPr>
          </w:p>
        </w:tc>
      </w:tr>
      <w:tr w:rsidR="001B1411" w:rsidRPr="00DA7625" w14:paraId="55ABF682" w14:textId="77777777" w:rsidTr="00672D2A">
        <w:tc>
          <w:tcPr>
            <w:tcW w:w="1188" w:type="dxa"/>
          </w:tcPr>
          <w:p w14:paraId="3621F38F"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lastRenderedPageBreak/>
              <w:t>210</w:t>
            </w:r>
          </w:p>
        </w:tc>
        <w:tc>
          <w:tcPr>
            <w:tcW w:w="8640" w:type="dxa"/>
          </w:tcPr>
          <w:p w14:paraId="4F898845"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Származtatott ügyletek pozitív valós értékkel: Névleges összeg</w:t>
            </w:r>
          </w:p>
          <w:p w14:paraId="6A3D984E" w14:textId="77777777" w:rsidR="001B1411" w:rsidRPr="00DA7625" w:rsidRDefault="001B1411">
            <w:pPr>
              <w:spacing w:before="0" w:after="0"/>
              <w:ind w:left="33"/>
              <w:rPr>
                <w:rFonts w:ascii="Times New Roman" w:hAnsi="Times New Roman"/>
                <w:bCs/>
                <w:sz w:val="24"/>
              </w:rPr>
            </w:pPr>
          </w:p>
          <w:p w14:paraId="5808CEFD" w14:textId="5ED70A1F"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 xml:space="preserve">Az IFRS szerinti és a BAD alapján kidolgozott nemzeti GAAP szerinti elszámolás esetén a megkötött, de az adatszolgáltatási vonatkozási időpontban még nem elszámolt azon származtatott ügyletek e végrehajtási rendelet V. melléklete </w:t>
            </w:r>
            <w:r w:rsidRPr="00DA7625">
              <w:rPr>
                <w:rFonts w:ascii="Times New Roman" w:hAnsi="Times New Roman"/>
                <w:bCs/>
                <w:sz w:val="24"/>
                <w:highlight w:val="yellow"/>
              </w:rPr>
              <w:t>2. részének 133–135. pontja szerinti</w:t>
            </w:r>
            <w:r w:rsidRPr="00DA7625">
              <w:rPr>
                <w:rFonts w:ascii="Times New Roman" w:hAnsi="Times New Roman"/>
                <w:bCs/>
                <w:sz w:val="24"/>
              </w:rPr>
              <w:t xml:space="preserve"> névleges összege, amelyek esetében a partner az e melléklet 155–160. pontjában meghatározott államháztartás, amennyiben a származtatott ügylet valós értéke az adatszolgáltatási vonatkozási időpontban az intézmény számára pozitív.</w:t>
            </w:r>
          </w:p>
          <w:p w14:paraId="64F993E7" w14:textId="77777777" w:rsidR="001B1411" w:rsidRPr="00DA7625" w:rsidRDefault="001B1411">
            <w:pPr>
              <w:spacing w:before="0" w:after="0"/>
              <w:ind w:left="33"/>
              <w:rPr>
                <w:rFonts w:ascii="Times New Roman" w:hAnsi="Times New Roman"/>
                <w:b/>
                <w:bCs/>
                <w:sz w:val="24"/>
                <w:u w:val="single"/>
              </w:rPr>
            </w:pPr>
          </w:p>
        </w:tc>
      </w:tr>
      <w:tr w:rsidR="001B1411" w:rsidRPr="00DA7625" w14:paraId="6D901A57" w14:textId="77777777" w:rsidTr="00672D2A">
        <w:tc>
          <w:tcPr>
            <w:tcW w:w="1188" w:type="dxa"/>
          </w:tcPr>
          <w:p w14:paraId="411CC127"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220-230</w:t>
            </w:r>
          </w:p>
        </w:tc>
        <w:tc>
          <w:tcPr>
            <w:tcW w:w="8640" w:type="dxa"/>
          </w:tcPr>
          <w:p w14:paraId="072ACC8A"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Származtatott ügyletek negatív valós értékkel</w:t>
            </w:r>
          </w:p>
          <w:p w14:paraId="0FF575AB" w14:textId="77777777" w:rsidR="001B1411" w:rsidRPr="00DA7625" w:rsidDel="00501397" w:rsidRDefault="001B1411">
            <w:pPr>
              <w:spacing w:before="0" w:after="0"/>
              <w:ind w:left="33"/>
              <w:rPr>
                <w:rFonts w:ascii="Times New Roman" w:hAnsi="Times New Roman"/>
                <w:bCs/>
                <w:sz w:val="24"/>
              </w:rPr>
            </w:pPr>
          </w:p>
          <w:p w14:paraId="56AFE90D" w14:textId="7AAC3C5F"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 xml:space="preserve">Államháztartással mint partnerrel szembeni, az adatszolgáltatási vonatkozási időpontban az intézmény számára negatív valós értékkel rendelkező származtatott eszközök, függetlenül attól, hogy azokat minősített fedezeti kapcsolatban használják, vagy a kereskedési céllal tartott vagy kereskedési célú eszközök portfóliójába sorolják az IFRS szerint, illetve a BAD alapján kidolgozott nemzeti GAAP szerint. </w:t>
            </w:r>
          </w:p>
          <w:p w14:paraId="358C7FF3" w14:textId="77777777" w:rsidR="001B1411" w:rsidRPr="00DA7625" w:rsidRDefault="001B1411">
            <w:pPr>
              <w:spacing w:before="0" w:after="0"/>
              <w:ind w:left="33"/>
              <w:rPr>
                <w:rFonts w:ascii="Times New Roman" w:hAnsi="Times New Roman"/>
                <w:bCs/>
                <w:sz w:val="24"/>
              </w:rPr>
            </w:pPr>
          </w:p>
          <w:p w14:paraId="6A155A27" w14:textId="1283C4A6"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 gazdasági fedezeti ügyletekhez használt származtatott eszközöket akkor kell itt jelenteni, ha azokat a kereskedési célú vagy a kereskedési céllal tartott eszközök számviteli portfóliójába sorolták (az e végrehajtási rendelet V. melléklete 2. részének 120., 124., 125. és 137–140. pontja).</w:t>
            </w:r>
          </w:p>
          <w:p w14:paraId="503071F1" w14:textId="77777777" w:rsidR="001B1411" w:rsidRPr="00DA7625" w:rsidRDefault="001B1411">
            <w:pPr>
              <w:spacing w:before="0" w:after="0"/>
              <w:ind w:left="33"/>
              <w:rPr>
                <w:rFonts w:ascii="Times New Roman" w:hAnsi="Times New Roman"/>
                <w:b/>
                <w:bCs/>
                <w:sz w:val="24"/>
                <w:u w:val="single"/>
              </w:rPr>
            </w:pPr>
          </w:p>
        </w:tc>
      </w:tr>
      <w:tr w:rsidR="001B1411" w:rsidRPr="00DA7625" w14:paraId="597DAA3B" w14:textId="77777777" w:rsidTr="00672D2A">
        <w:tc>
          <w:tcPr>
            <w:tcW w:w="1188" w:type="dxa"/>
          </w:tcPr>
          <w:p w14:paraId="4C4F7C1B"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220</w:t>
            </w:r>
          </w:p>
        </w:tc>
        <w:tc>
          <w:tcPr>
            <w:tcW w:w="8640" w:type="dxa"/>
          </w:tcPr>
          <w:p w14:paraId="2059056E"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 xml:space="preserve">Származtatott ügyletek negatív valós értékkel: Könyv szerinti érték </w:t>
            </w:r>
          </w:p>
          <w:p w14:paraId="12321CD6" w14:textId="77777777" w:rsidR="001B1411" w:rsidRPr="00DA7625" w:rsidRDefault="001B1411">
            <w:pPr>
              <w:spacing w:before="0" w:after="0"/>
              <w:ind w:left="33"/>
              <w:rPr>
                <w:rFonts w:ascii="Times New Roman" w:hAnsi="Times New Roman"/>
                <w:bCs/>
                <w:sz w:val="24"/>
              </w:rPr>
            </w:pPr>
          </w:p>
          <w:p w14:paraId="27890959"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 xml:space="preserve">A pénzügyi kötelezettségként elszámolt származtatott ügyletek könyv szerinti értéke az adatszolgáltatási vonatkozási időpontban. </w:t>
            </w:r>
          </w:p>
          <w:p w14:paraId="4F38595F" w14:textId="77777777" w:rsidR="001B1411" w:rsidRPr="00DA7625" w:rsidRDefault="001B1411">
            <w:pPr>
              <w:spacing w:before="0" w:after="0"/>
              <w:ind w:left="33"/>
              <w:rPr>
                <w:rFonts w:ascii="Times New Roman" w:hAnsi="Times New Roman"/>
                <w:bCs/>
                <w:sz w:val="24"/>
              </w:rPr>
            </w:pPr>
          </w:p>
          <w:p w14:paraId="3FC97AA3"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 xml:space="preserve">A BAD alapján kidolgozott nemzeti GAAP szerinti elszámolás esetén az ezekben az oszlopokban jelentendő származtatott ügyletek közé a bekerülési értéken vagy a bekerülési vagy piaci ár közül az alacsonyabb értéken értékelt, a kereskedési portfólióba tartozó vagy a fedezeti instrumentumként megjelölt származtatott eszközöket kell sorolni. </w:t>
            </w:r>
          </w:p>
          <w:p w14:paraId="2F7292FC" w14:textId="77777777" w:rsidR="001B1411" w:rsidRPr="00DA7625" w:rsidRDefault="001B1411">
            <w:pPr>
              <w:spacing w:before="0" w:after="0"/>
              <w:ind w:left="33"/>
              <w:rPr>
                <w:rFonts w:ascii="Times New Roman" w:hAnsi="Times New Roman"/>
                <w:b/>
                <w:bCs/>
                <w:sz w:val="24"/>
                <w:u w:val="single"/>
              </w:rPr>
            </w:pPr>
          </w:p>
        </w:tc>
      </w:tr>
      <w:tr w:rsidR="001B1411" w:rsidRPr="00DA7625" w14:paraId="209C56C9" w14:textId="77777777" w:rsidTr="00672D2A">
        <w:tc>
          <w:tcPr>
            <w:tcW w:w="1188" w:type="dxa"/>
          </w:tcPr>
          <w:p w14:paraId="44F88DB9"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230</w:t>
            </w:r>
          </w:p>
        </w:tc>
        <w:tc>
          <w:tcPr>
            <w:tcW w:w="8640" w:type="dxa"/>
          </w:tcPr>
          <w:p w14:paraId="0E61C874" w14:textId="77777777" w:rsidR="001B1411" w:rsidRPr="00DA7625" w:rsidRDefault="00FD54FC">
            <w:pPr>
              <w:spacing w:before="0" w:after="0"/>
              <w:rPr>
                <w:rFonts w:ascii="Times New Roman" w:hAnsi="Times New Roman"/>
                <w:b/>
                <w:bCs/>
                <w:sz w:val="24"/>
                <w:u w:val="single"/>
              </w:rPr>
            </w:pPr>
            <w:r w:rsidRPr="00DA7625">
              <w:rPr>
                <w:rFonts w:ascii="Times New Roman" w:hAnsi="Times New Roman"/>
                <w:b/>
                <w:bCs/>
                <w:sz w:val="24"/>
                <w:u w:val="single"/>
              </w:rPr>
              <w:t>Származtatott ügyletek negatív valós értékkel: Névleges összeg</w:t>
            </w:r>
          </w:p>
          <w:p w14:paraId="5853C03D" w14:textId="77777777" w:rsidR="001B1411" w:rsidRPr="00DA7625" w:rsidRDefault="001B1411">
            <w:pPr>
              <w:spacing w:before="0" w:after="0"/>
              <w:ind w:left="33"/>
              <w:rPr>
                <w:rFonts w:ascii="Times New Roman" w:hAnsi="Times New Roman"/>
                <w:b/>
                <w:bCs/>
                <w:sz w:val="24"/>
                <w:u w:val="single"/>
              </w:rPr>
            </w:pPr>
          </w:p>
          <w:p w14:paraId="2002C38C" w14:textId="3213F6CC"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 xml:space="preserve">Az IFRS szerinti és a BAD alapján kidolgozott nemzeti GAAP szerinti elszámolás esetén a megkötött, de a vonatkozási időpontban még nem elszámolt azon származtatott ügyletek e végrehajtási rendelet </w:t>
            </w:r>
            <w:r w:rsidRPr="00DA7625">
              <w:rPr>
                <w:rFonts w:ascii="Times New Roman" w:hAnsi="Times New Roman"/>
                <w:bCs/>
                <w:sz w:val="24"/>
                <w:highlight w:val="yellow"/>
              </w:rPr>
              <w:t>V. melléklete 2. részének 133–135. pontja</w:t>
            </w:r>
            <w:r w:rsidRPr="00DA7625">
              <w:rPr>
                <w:rFonts w:ascii="Times New Roman" w:hAnsi="Times New Roman"/>
                <w:bCs/>
                <w:sz w:val="24"/>
              </w:rPr>
              <w:t xml:space="preserve"> szerinti névleges összege, amelyek esetében a partner az e melléklet 155–160. pontja szerinti államháztartás, amennyiben a származtatott ügylet valós értéke a vonatkozási időpontban z intézmény számára negatív.</w:t>
            </w:r>
          </w:p>
          <w:p w14:paraId="25148E1B" w14:textId="77777777" w:rsidR="001B1411" w:rsidRPr="00DA7625" w:rsidRDefault="001B1411">
            <w:pPr>
              <w:spacing w:before="0" w:after="0"/>
              <w:ind w:left="33"/>
              <w:rPr>
                <w:rFonts w:ascii="Times New Roman" w:hAnsi="Times New Roman"/>
                <w:b/>
                <w:bCs/>
                <w:sz w:val="24"/>
                <w:u w:val="single"/>
              </w:rPr>
            </w:pPr>
          </w:p>
        </w:tc>
      </w:tr>
      <w:tr w:rsidR="001B1411" w:rsidRPr="00DA7625" w14:paraId="14FD3216" w14:textId="77777777" w:rsidTr="00672D2A">
        <w:tc>
          <w:tcPr>
            <w:tcW w:w="1188" w:type="dxa"/>
          </w:tcPr>
          <w:p w14:paraId="28BA209B"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240–260</w:t>
            </w:r>
          </w:p>
        </w:tc>
        <w:tc>
          <w:tcPr>
            <w:tcW w:w="8640" w:type="dxa"/>
          </w:tcPr>
          <w:p w14:paraId="0781AE02"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MÉRLEGEN KÍVÜLI KITETTSÉGEK</w:t>
            </w:r>
          </w:p>
        </w:tc>
      </w:tr>
      <w:tr w:rsidR="001B1411" w:rsidRPr="00DA7625" w14:paraId="1D6AC624" w14:textId="77777777" w:rsidTr="00672D2A">
        <w:tc>
          <w:tcPr>
            <w:tcW w:w="1188" w:type="dxa"/>
          </w:tcPr>
          <w:p w14:paraId="507721AD"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240</w:t>
            </w:r>
          </w:p>
        </w:tc>
        <w:tc>
          <w:tcPr>
            <w:tcW w:w="8640" w:type="dxa"/>
          </w:tcPr>
          <w:p w14:paraId="0553BFB8"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Névleges összeg</w:t>
            </w:r>
          </w:p>
          <w:p w14:paraId="78EEAF76" w14:textId="77777777" w:rsidR="001B1411" w:rsidRPr="00DA7625" w:rsidRDefault="001B1411">
            <w:pPr>
              <w:spacing w:before="0" w:after="0"/>
              <w:ind w:left="33"/>
              <w:rPr>
                <w:rFonts w:ascii="Times New Roman" w:hAnsi="Times New Roman"/>
                <w:bCs/>
                <w:sz w:val="24"/>
              </w:rPr>
            </w:pPr>
          </w:p>
          <w:p w14:paraId="77CE35DA" w14:textId="3AFFA4E0"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lastRenderedPageBreak/>
              <w:t>Amennyiben a mérlegen kívüli tétel esetében a közvetlen partner az e melléklet 155–160. pontja szerinti államháztartás, az IFRS szerint és a BAD alapján kidolgozott nemzeti GAAP szerint nem származtatott ügyletnek minősülő elkötelezettségek és pénzügyi garanciák névleges összege (e végrehajtási rendelet V. melléklete 2. részének 102–119. pontja).</w:t>
            </w:r>
          </w:p>
          <w:p w14:paraId="3CF4F34B" w14:textId="77777777" w:rsidR="001B1411" w:rsidRPr="00DA7625" w:rsidRDefault="001B1411">
            <w:pPr>
              <w:spacing w:before="0" w:after="0"/>
              <w:ind w:left="33"/>
              <w:rPr>
                <w:rFonts w:ascii="Times New Roman" w:hAnsi="Times New Roman"/>
                <w:bCs/>
                <w:sz w:val="24"/>
              </w:rPr>
            </w:pPr>
          </w:p>
          <w:p w14:paraId="1C264AE8" w14:textId="1AE0F373" w:rsidR="001B1411" w:rsidRPr="00DA7625" w:rsidDel="00501397" w:rsidRDefault="00FD54FC">
            <w:pPr>
              <w:spacing w:before="0" w:after="0"/>
              <w:ind w:left="33"/>
              <w:rPr>
                <w:rFonts w:ascii="Times New Roman" w:hAnsi="Times New Roman"/>
                <w:b/>
                <w:bCs/>
                <w:sz w:val="24"/>
                <w:u w:val="single"/>
              </w:rPr>
            </w:pPr>
            <w:r w:rsidRPr="00DA7625">
              <w:rPr>
                <w:rFonts w:ascii="Times New Roman" w:hAnsi="Times New Roman"/>
                <w:bCs/>
                <w:sz w:val="24"/>
              </w:rPr>
              <w:t xml:space="preserve">E végrehajtási rendelet V. melléklete 2. részének 43–44. pontja értelmében az államháztartás közvetlen partner: a) adott pénzügyi garancia vonatkozásában akkor, ha a garantált hitelviszonyt megtestesítő instrumentum közvetlen partnere; és b) adott hitelnyújtási elkötelezettségek és az egyéb adott elkötelezettségek vonatkozásában akkor, ha az a fél, amelynek a hitelkockázatát az adatszolgáltató intézmény viseli. </w:t>
            </w:r>
          </w:p>
          <w:p w14:paraId="041464C7" w14:textId="77777777" w:rsidR="001B1411" w:rsidRPr="00DA7625" w:rsidRDefault="001B1411">
            <w:pPr>
              <w:spacing w:before="0" w:after="0"/>
              <w:ind w:left="33"/>
              <w:rPr>
                <w:rFonts w:ascii="Times New Roman" w:hAnsi="Times New Roman"/>
                <w:bCs/>
                <w:sz w:val="24"/>
              </w:rPr>
            </w:pPr>
          </w:p>
        </w:tc>
      </w:tr>
      <w:tr w:rsidR="001B1411" w:rsidRPr="00DA7625" w14:paraId="73EC8195" w14:textId="77777777" w:rsidTr="00672D2A">
        <w:tc>
          <w:tcPr>
            <w:tcW w:w="1188" w:type="dxa"/>
          </w:tcPr>
          <w:p w14:paraId="24400E20"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lastRenderedPageBreak/>
              <w:t>250</w:t>
            </w:r>
          </w:p>
        </w:tc>
        <w:tc>
          <w:tcPr>
            <w:tcW w:w="8640" w:type="dxa"/>
          </w:tcPr>
          <w:p w14:paraId="486A9A32"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Céltartalékok</w:t>
            </w:r>
          </w:p>
          <w:p w14:paraId="3CAA4F53" w14:textId="77777777" w:rsidR="001B1411" w:rsidRPr="00DA7625" w:rsidRDefault="001B1411">
            <w:pPr>
              <w:spacing w:before="0" w:after="0"/>
              <w:ind w:left="33"/>
              <w:rPr>
                <w:rFonts w:ascii="Times New Roman" w:hAnsi="Times New Roman"/>
                <w:bCs/>
                <w:sz w:val="24"/>
              </w:rPr>
            </w:pPr>
          </w:p>
          <w:p w14:paraId="6CB1F0DA" w14:textId="7F04FD89" w:rsidR="001B1411" w:rsidRPr="00DA7625" w:rsidRDefault="002F78EA">
            <w:pPr>
              <w:spacing w:before="0" w:after="0"/>
              <w:ind w:left="33"/>
              <w:rPr>
                <w:rFonts w:ascii="Times New Roman" w:hAnsi="Times New Roman"/>
                <w:bCs/>
                <w:sz w:val="24"/>
              </w:rPr>
            </w:pPr>
            <w:r w:rsidRPr="00DA7625">
              <w:rPr>
                <w:rFonts w:ascii="Times New Roman" w:hAnsi="Times New Roman"/>
                <w:bCs/>
                <w:sz w:val="24"/>
              </w:rPr>
              <w:t>A BAD 4. cikkének 6.c) pontja és a 4. cikk szerinti „Mérlegen kívüli tételek”, 27. cikkének (11) bekezdése, 28. cikkének (8) bekezdése és 33. cikke+/; IFRS 9 4.2.1. bekezdése c) ii. pontja, d) ii. pontja, 5.5.20. bekezdése; IAS 37, IFRS 4, e végrehajtási rendelet V. melléklete 2. részének 11. pontja.</w:t>
            </w:r>
          </w:p>
          <w:p w14:paraId="0171C2E6" w14:textId="77777777" w:rsidR="001B1411" w:rsidRPr="00DA7625" w:rsidRDefault="001B1411">
            <w:pPr>
              <w:spacing w:before="0" w:after="0"/>
              <w:ind w:left="33"/>
              <w:rPr>
                <w:rFonts w:ascii="Times New Roman" w:hAnsi="Times New Roman"/>
                <w:bCs/>
                <w:sz w:val="24"/>
              </w:rPr>
            </w:pPr>
          </w:p>
          <w:p w14:paraId="044EB405"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Az értékelés módjától függetlenül valamennyi mérlegen kívüli kitettségre képzett céltartalék, kivéve az IFRS 9 szerint az eredménnyel szemben valós értéken értékelt kitettségekre képzett céltartalékokat.</w:t>
            </w:r>
          </w:p>
          <w:p w14:paraId="5A5CDBB6" w14:textId="76D5366B" w:rsidR="001B1411" w:rsidRPr="00DA7625" w:rsidRDefault="001B1411">
            <w:pPr>
              <w:spacing w:before="0" w:after="0"/>
              <w:ind w:left="33"/>
              <w:rPr>
                <w:rFonts w:ascii="Times New Roman" w:hAnsi="Times New Roman"/>
                <w:bCs/>
                <w:sz w:val="24"/>
              </w:rPr>
            </w:pPr>
          </w:p>
          <w:p w14:paraId="3765CDC9" w14:textId="6C95A293"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Az IFRS szerinti elszámolás esetén az adott hitelnyújtási elkötelezettségekre elszámolt értékvesztést a 150-es oszlopban kell jelenteni, ha az intézmény nem képes külön azonosítani a hitelviszonyt megtestesítő instrumentum lehívott és le nem hívott összegéhez kapcsolódó várható hitelezési veszteséget. Amennyiben az adott pénzügyi eszközre vonatkozó várható együttes hitelezési veszteség meghaladja az eszköz hitelkomponensének bruttó könyv szerinti értékét, a várható hitelezési veszteség fennmaradó egyenlegét a 250-es oszlopban kell jelenteni céltartalékként.</w:t>
            </w:r>
          </w:p>
          <w:p w14:paraId="57946B7D" w14:textId="77777777" w:rsidR="001B1411" w:rsidRPr="00DA7625" w:rsidRDefault="001B1411">
            <w:pPr>
              <w:spacing w:before="0" w:after="0"/>
              <w:ind w:left="33"/>
              <w:rPr>
                <w:rFonts w:ascii="Times New Roman" w:hAnsi="Times New Roman"/>
                <w:bCs/>
                <w:sz w:val="24"/>
              </w:rPr>
            </w:pPr>
          </w:p>
        </w:tc>
      </w:tr>
      <w:tr w:rsidR="001B1411" w:rsidRPr="00DA7625" w14:paraId="160EDDDD" w14:textId="77777777" w:rsidTr="00672D2A">
        <w:tc>
          <w:tcPr>
            <w:tcW w:w="1188" w:type="dxa"/>
          </w:tcPr>
          <w:p w14:paraId="533435E7"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260</w:t>
            </w:r>
          </w:p>
        </w:tc>
        <w:tc>
          <w:tcPr>
            <w:tcW w:w="8640" w:type="dxa"/>
          </w:tcPr>
          <w:p w14:paraId="1504B3AA"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 xml:space="preserve">A hitelkockázat változásából származó negatív valósérték-változás halmozott összege </w:t>
            </w:r>
          </w:p>
          <w:p w14:paraId="706D44F1" w14:textId="77777777" w:rsidR="001B1411" w:rsidRPr="00DA7625" w:rsidRDefault="001B1411">
            <w:pPr>
              <w:spacing w:before="0" w:after="0"/>
              <w:ind w:left="33"/>
              <w:rPr>
                <w:rFonts w:ascii="Times New Roman" w:hAnsi="Times New Roman"/>
                <w:b/>
                <w:bCs/>
                <w:sz w:val="24"/>
                <w:u w:val="single"/>
              </w:rPr>
            </w:pPr>
          </w:p>
          <w:p w14:paraId="2AFAB6A1" w14:textId="20AFD492"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Az IFRS 9 szerint az eredménnyel szemben valós értéken értékelt mérlegen kívüli tételek esetében a hitelkockázat változásából származó negatív valósérték-változás halmozott összege (e végrehajtási rendelet V. melléklete 2. részének 110. pontja).</w:t>
            </w:r>
          </w:p>
          <w:p w14:paraId="6F3D19AC" w14:textId="77777777" w:rsidR="001B1411" w:rsidRPr="00DA7625" w:rsidRDefault="00730040">
            <w:pPr>
              <w:spacing w:before="0" w:after="0"/>
              <w:ind w:left="33"/>
              <w:rPr>
                <w:rFonts w:ascii="Times New Roman" w:hAnsi="Times New Roman"/>
                <w:b/>
                <w:bCs/>
                <w:sz w:val="24"/>
                <w:u w:val="single"/>
              </w:rPr>
            </w:pPr>
            <w:r w:rsidRPr="00DA7625">
              <w:rPr>
                <w:rFonts w:ascii="Times New Roman" w:hAnsi="Times New Roman"/>
                <w:bCs/>
                <w:sz w:val="24"/>
                <w:u w:val="single"/>
              </w:rPr>
              <w:t xml:space="preserve"> </w:t>
            </w:r>
          </w:p>
        </w:tc>
      </w:tr>
      <w:tr w:rsidR="001B1411" w:rsidRPr="00DA7625"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77777777" w:rsidR="001B1411" w:rsidRPr="00DA7625" w:rsidDel="008D1680" w:rsidRDefault="00FD54FC">
            <w:pPr>
              <w:spacing w:before="0" w:after="0"/>
              <w:ind w:left="33"/>
              <w:rPr>
                <w:rFonts w:ascii="Times New Roman" w:hAnsi="Times New Roman"/>
                <w:bCs/>
                <w:sz w:val="24"/>
              </w:rPr>
            </w:pPr>
            <w:r w:rsidRPr="00DA7625">
              <w:rPr>
                <w:rFonts w:ascii="Times New Roman" w:hAnsi="Times New Roman"/>
                <w:bCs/>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Tájékoztató adat: államháztartásokkal szembeni kitettségekre értékesített hitelderivatívák</w:t>
            </w:r>
          </w:p>
          <w:p w14:paraId="11CE1BEC" w14:textId="77777777" w:rsidR="001B1411" w:rsidRPr="00DA7625" w:rsidRDefault="001B1411">
            <w:pPr>
              <w:spacing w:before="0" w:after="0"/>
              <w:ind w:left="33"/>
              <w:rPr>
                <w:rFonts w:ascii="Times New Roman" w:hAnsi="Times New Roman"/>
                <w:b/>
                <w:bCs/>
                <w:sz w:val="24"/>
                <w:u w:val="single"/>
              </w:rPr>
            </w:pPr>
          </w:p>
          <w:p w14:paraId="2B11DF2A" w14:textId="147A9A2B"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 xml:space="preserve">Itt azokat a pénzügyi garanciák fogalmába </w:t>
            </w:r>
            <w:r w:rsidRPr="00DA7625">
              <w:rPr>
                <w:rFonts w:ascii="Times New Roman" w:hAnsi="Times New Roman"/>
                <w:bCs/>
                <w:sz w:val="24"/>
                <w:highlight w:val="yellow"/>
              </w:rPr>
              <w:t>(V. melléklet 2. részének 58. pontja)</w:t>
            </w:r>
            <w:r w:rsidRPr="00DA7625">
              <w:rPr>
                <w:rFonts w:ascii="Times New Roman" w:hAnsi="Times New Roman"/>
                <w:bCs/>
                <w:sz w:val="24"/>
              </w:rPr>
              <w:t xml:space="preserve"> nem sorolható hitelderivatívákat kell jelenteni, amelyeket az intézmény nem államháztartási partnerekkel kötött, és amelyek referenciakitettsége államháztartás.</w:t>
            </w:r>
          </w:p>
          <w:p w14:paraId="67AB0B19" w14:textId="77777777" w:rsidR="001B1411" w:rsidRPr="00DA7625" w:rsidRDefault="001B1411">
            <w:pPr>
              <w:spacing w:before="0" w:after="0"/>
              <w:ind w:left="33"/>
              <w:rPr>
                <w:rFonts w:ascii="Times New Roman" w:hAnsi="Times New Roman"/>
                <w:bCs/>
                <w:sz w:val="24"/>
              </w:rPr>
            </w:pPr>
          </w:p>
          <w:p w14:paraId="27D5AACE" w14:textId="3E790EC8"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Ezeket az oszlopokat nem kell jelenteni kockázat, szabályozási módszer és kitettségi osztály szerinti bontásban (020–160).</w:t>
            </w:r>
          </w:p>
          <w:p w14:paraId="4B0669D1" w14:textId="77777777" w:rsidR="001B1411" w:rsidRPr="00DA7625" w:rsidRDefault="001B1411">
            <w:pPr>
              <w:spacing w:before="0" w:after="0"/>
              <w:ind w:left="33"/>
              <w:rPr>
                <w:rFonts w:ascii="Times New Roman" w:hAnsi="Times New Roman"/>
                <w:bCs/>
                <w:sz w:val="24"/>
              </w:rPr>
            </w:pPr>
          </w:p>
          <w:p w14:paraId="50164D9E"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lastRenderedPageBreak/>
              <w:t xml:space="preserve">Az itt jelentett kitettségek nem vehetők figyelembe a kitettségérték és a kockázattal súlyozott kitettségérték (290-es és 300-as oszlop) kiszámításakor, melyek kizárólag a közvetlen kitettségeken alapulnak. </w:t>
            </w:r>
          </w:p>
          <w:p w14:paraId="02AC8650"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 xml:space="preserve"> </w:t>
            </w:r>
          </w:p>
        </w:tc>
      </w:tr>
      <w:tr w:rsidR="001B1411" w:rsidRPr="00DA7625"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77777777" w:rsidR="001B1411" w:rsidRPr="00DA7625" w:rsidDel="008D1680" w:rsidRDefault="00FD54FC">
            <w:pPr>
              <w:spacing w:before="0" w:after="0"/>
              <w:ind w:left="33"/>
              <w:rPr>
                <w:rFonts w:ascii="Times New Roman" w:hAnsi="Times New Roman"/>
                <w:bCs/>
                <w:sz w:val="24"/>
              </w:rPr>
            </w:pPr>
            <w:r w:rsidRPr="00DA7625">
              <w:rPr>
                <w:rFonts w:ascii="Times New Roman" w:hAnsi="Times New Roman"/>
                <w:bCs/>
                <w:sz w:val="24"/>
              </w:rPr>
              <w:lastRenderedPageBreak/>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Származtatott ügyletek pozitív valós értékkel – könyv szerinti érték</w:t>
            </w:r>
          </w:p>
          <w:p w14:paraId="313828AF" w14:textId="77777777" w:rsidR="001B1411" w:rsidRPr="00DA7625" w:rsidRDefault="001B1411">
            <w:pPr>
              <w:spacing w:before="0" w:after="0"/>
              <w:ind w:left="33"/>
              <w:rPr>
                <w:rFonts w:ascii="Times New Roman" w:hAnsi="Times New Roman"/>
                <w:b/>
                <w:bCs/>
                <w:sz w:val="24"/>
                <w:u w:val="single"/>
              </w:rPr>
            </w:pPr>
          </w:p>
          <w:p w14:paraId="527DA155"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Az államháztartásokkal szembeni kitettségekre értékesített, az adatszolgáltatási vonatkozási időpontban az intézmény számára pozitív valós értékkel rendelkező hitelderivatívák összesített könyv szerinti értéke prudens értékelési korrekciók nélkül.</w:t>
            </w:r>
          </w:p>
          <w:p w14:paraId="38A318F7" w14:textId="77777777" w:rsidR="001B1411" w:rsidRPr="00DA7625" w:rsidRDefault="001B1411">
            <w:pPr>
              <w:spacing w:before="0" w:after="0"/>
              <w:ind w:left="33"/>
              <w:rPr>
                <w:rFonts w:ascii="Times New Roman" w:hAnsi="Times New Roman"/>
                <w:bCs/>
                <w:sz w:val="24"/>
              </w:rPr>
            </w:pPr>
          </w:p>
          <w:p w14:paraId="64018276"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Az IFRS szerint elszámolt származtatott ügyletek esetében az ezen oszlopban jelentendő érték a pénzügyi eszközök közé sorolt derivatívák könyv szerinti értéke az adatszolgáltatás időpontjában.</w:t>
            </w:r>
          </w:p>
          <w:p w14:paraId="28F6D4B1" w14:textId="77777777" w:rsidR="001B1411" w:rsidRPr="00DA7625" w:rsidRDefault="001B1411">
            <w:pPr>
              <w:spacing w:before="0" w:after="0"/>
              <w:ind w:left="33"/>
              <w:rPr>
                <w:rFonts w:ascii="Times New Roman" w:hAnsi="Times New Roman"/>
                <w:bCs/>
                <w:sz w:val="24"/>
              </w:rPr>
            </w:pPr>
          </w:p>
          <w:p w14:paraId="204A4C64" w14:textId="4538DA1C"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 BAD alapján kidolgozott nemzeti GAAP szerint elszámolt származtatott ügyletek esetében az ezen oszlopban jelentendő érték a pozitív valós értékkel rendelkező derivatívák valós értéke az adatszolgáltatási vonatkozási időpontban, az elszámolás módjától függetlenül.</w:t>
            </w:r>
          </w:p>
          <w:p w14:paraId="5D6153BF" w14:textId="77777777" w:rsidR="001B1411" w:rsidRPr="00DA7625" w:rsidRDefault="001B1411">
            <w:pPr>
              <w:spacing w:before="0" w:after="0"/>
              <w:ind w:left="33"/>
              <w:rPr>
                <w:rFonts w:ascii="Times New Roman" w:hAnsi="Times New Roman"/>
                <w:b/>
                <w:bCs/>
                <w:sz w:val="24"/>
                <w:u w:val="single"/>
              </w:rPr>
            </w:pPr>
          </w:p>
        </w:tc>
      </w:tr>
      <w:tr w:rsidR="001B1411" w:rsidRPr="00DA7625"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7777777" w:rsidR="001B1411" w:rsidRPr="00DA7625" w:rsidDel="008D1680" w:rsidRDefault="00FD54FC">
            <w:pPr>
              <w:spacing w:before="0" w:after="0"/>
              <w:ind w:left="33"/>
              <w:rPr>
                <w:rFonts w:ascii="Times New Roman" w:hAnsi="Times New Roman"/>
                <w:bCs/>
                <w:sz w:val="24"/>
              </w:rPr>
            </w:pPr>
            <w:r w:rsidRPr="00DA7625">
              <w:rPr>
                <w:rFonts w:ascii="Times New Roman" w:hAnsi="Times New Roman"/>
                <w:bCs/>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Származtatott ügyletek negatív valós értékkel – könyv szerinti érték</w:t>
            </w:r>
          </w:p>
          <w:p w14:paraId="719F20DC" w14:textId="77777777" w:rsidR="001B1411" w:rsidRPr="00DA7625" w:rsidRDefault="001B1411">
            <w:pPr>
              <w:spacing w:before="0" w:after="0"/>
              <w:ind w:left="33"/>
              <w:rPr>
                <w:rFonts w:ascii="Times New Roman" w:hAnsi="Times New Roman"/>
                <w:b/>
                <w:bCs/>
                <w:sz w:val="24"/>
                <w:u w:val="single"/>
              </w:rPr>
            </w:pPr>
          </w:p>
          <w:p w14:paraId="00BC88B1"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Az államháztartásokkal szembeni kitettségekre értékesített, az adatszolgáltatási vonatkozási időpontban az intézmény számára negatív valós értékkel rendelkező hitelderivatívák összesített könyv szerinti értéke prudens értékelési korrekciók nélkül.</w:t>
            </w:r>
          </w:p>
          <w:p w14:paraId="5BD4B003" w14:textId="77777777" w:rsidR="001B1411" w:rsidRPr="00DA7625" w:rsidRDefault="001B1411">
            <w:pPr>
              <w:spacing w:before="0" w:after="0"/>
              <w:ind w:left="33"/>
              <w:rPr>
                <w:rFonts w:ascii="Times New Roman" w:hAnsi="Times New Roman"/>
                <w:bCs/>
                <w:sz w:val="24"/>
              </w:rPr>
            </w:pPr>
          </w:p>
          <w:p w14:paraId="09714866" w14:textId="31143AA4"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 xml:space="preserve">Az IFRS szerint elszámolt származtatott ügyletek esetében az ezen oszlopban jelentendő érték a pénzügyi kötelezettségek közé sorolt derivatívák könyv szerinti értéke az adatszolgáltatás időpontjában. </w:t>
            </w:r>
          </w:p>
          <w:p w14:paraId="59F31FCF" w14:textId="77777777" w:rsidR="001B1411" w:rsidRPr="00DA7625" w:rsidRDefault="001B1411">
            <w:pPr>
              <w:spacing w:before="0" w:after="0"/>
              <w:ind w:left="33"/>
              <w:rPr>
                <w:rFonts w:ascii="Times New Roman" w:hAnsi="Times New Roman"/>
                <w:bCs/>
                <w:sz w:val="24"/>
              </w:rPr>
            </w:pPr>
          </w:p>
          <w:p w14:paraId="5F182F39"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Cs/>
                <w:sz w:val="24"/>
              </w:rPr>
              <w:t>A BAD alapján kidolgozott nemzeti GAAP szerint elszámolt származtatott ügyletek esetében az ezen oszlopban jelentendő érték a negatív valós értékkel rendelkező derivatívák valós értéke az adatszolgáltatási vonatkozási időpontban, az elszámolás módjától függetlenül.</w:t>
            </w:r>
            <w:r w:rsidRPr="00DA7625">
              <w:rPr>
                <w:rFonts w:ascii="Times New Roman" w:hAnsi="Times New Roman"/>
                <w:b/>
                <w:bCs/>
                <w:sz w:val="24"/>
                <w:u w:val="single"/>
              </w:rPr>
              <w:t xml:space="preserve"> </w:t>
            </w:r>
          </w:p>
          <w:p w14:paraId="3DD8948B" w14:textId="77777777" w:rsidR="001B1411" w:rsidRPr="00DA7625" w:rsidRDefault="001B1411">
            <w:pPr>
              <w:spacing w:before="0" w:after="0"/>
              <w:ind w:left="33"/>
              <w:rPr>
                <w:rFonts w:ascii="Times New Roman" w:hAnsi="Times New Roman"/>
                <w:b/>
                <w:bCs/>
                <w:sz w:val="24"/>
                <w:u w:val="single"/>
              </w:rPr>
            </w:pPr>
          </w:p>
        </w:tc>
      </w:tr>
      <w:tr w:rsidR="001B1411" w:rsidRPr="00DA7625"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77777777" w:rsidR="001B1411" w:rsidRPr="00DA7625" w:rsidDel="008D1680" w:rsidRDefault="00FD54FC">
            <w:pPr>
              <w:spacing w:before="0" w:after="0"/>
              <w:ind w:left="33"/>
              <w:rPr>
                <w:rFonts w:ascii="Times New Roman" w:hAnsi="Times New Roman"/>
                <w:bCs/>
                <w:sz w:val="24"/>
              </w:rPr>
            </w:pPr>
            <w:r w:rsidRPr="00DA7625">
              <w:rPr>
                <w:rFonts w:ascii="Times New Roman" w:hAnsi="Times New Roman"/>
                <w:bCs/>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Kitettségérték</w:t>
            </w:r>
          </w:p>
          <w:p w14:paraId="12CCCFCD" w14:textId="77777777" w:rsidR="001B1411" w:rsidRPr="00DA7625" w:rsidRDefault="001B1411">
            <w:pPr>
              <w:spacing w:before="0" w:after="0"/>
              <w:ind w:left="33"/>
              <w:rPr>
                <w:rFonts w:ascii="Times New Roman" w:hAnsi="Times New Roman"/>
                <w:b/>
                <w:bCs/>
                <w:sz w:val="24"/>
                <w:u w:val="single"/>
              </w:rPr>
            </w:pPr>
          </w:p>
          <w:p w14:paraId="564C9668"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 hitelkockázati módszerek alapján értékelt kitettségek kitettségértéke.</w:t>
            </w:r>
          </w:p>
          <w:p w14:paraId="5332F0B1" w14:textId="77777777" w:rsidR="001B1411" w:rsidRPr="00DA7625" w:rsidRDefault="001B1411">
            <w:pPr>
              <w:spacing w:before="0" w:after="0"/>
              <w:ind w:left="33"/>
              <w:rPr>
                <w:rFonts w:ascii="Times New Roman" w:hAnsi="Times New Roman"/>
                <w:bCs/>
                <w:sz w:val="24"/>
              </w:rPr>
            </w:pPr>
          </w:p>
          <w:p w14:paraId="64489921" w14:textId="59B3CEFE"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 sztenderd módszer szerint értékelt kitettségek esetében: lásd a CRR 111. cikkét. A belső minősítésen alapuló módszer szerint értékelt kitettségek esetében: lásd a CRR 166. cikkét és 230. cikke (1) bekezdésének második mondatát.</w:t>
            </w:r>
          </w:p>
          <w:p w14:paraId="5027773B" w14:textId="77777777" w:rsidR="001B1411" w:rsidRPr="00DA7625" w:rsidRDefault="001B1411">
            <w:pPr>
              <w:spacing w:before="0" w:after="0"/>
              <w:ind w:left="33"/>
              <w:rPr>
                <w:rFonts w:ascii="Times New Roman" w:hAnsi="Times New Roman"/>
                <w:bCs/>
                <w:sz w:val="24"/>
              </w:rPr>
            </w:pPr>
          </w:p>
          <w:p w14:paraId="1515F006"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Azon származtatott ügyletekkel kapcsolatban, amelyekre partnerkockázati és piaci kockázati tőkekövetelmény egyaránt vonatkozik, lásd a sorokra vonatkozó útmutatót.</w:t>
            </w:r>
          </w:p>
          <w:p w14:paraId="05A5C4A4" w14:textId="77777777" w:rsidR="001B1411" w:rsidRPr="00DA7625" w:rsidRDefault="001B1411">
            <w:pPr>
              <w:spacing w:before="0" w:after="0"/>
              <w:ind w:left="33"/>
              <w:rPr>
                <w:rFonts w:ascii="Times New Roman" w:hAnsi="Times New Roman"/>
                <w:b/>
                <w:bCs/>
                <w:sz w:val="24"/>
                <w:u w:val="single"/>
              </w:rPr>
            </w:pPr>
          </w:p>
        </w:tc>
      </w:tr>
      <w:tr w:rsidR="001B1411" w:rsidRPr="00DA7625"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 xml:space="preserve">Kockázattal súlyozott kitettségérték </w:t>
            </w:r>
          </w:p>
          <w:p w14:paraId="7DB82B21" w14:textId="77777777" w:rsidR="001B1411" w:rsidRPr="00DA7625" w:rsidRDefault="001B1411">
            <w:pPr>
              <w:spacing w:before="0" w:after="0"/>
              <w:ind w:left="33"/>
              <w:rPr>
                <w:rFonts w:ascii="Times New Roman" w:hAnsi="Times New Roman"/>
                <w:b/>
                <w:bCs/>
                <w:sz w:val="24"/>
                <w:u w:val="single"/>
              </w:rPr>
            </w:pPr>
          </w:p>
          <w:p w14:paraId="1D5B82CF"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 xml:space="preserve">A hitelkockázati módszerek alapján értékelt kitettségek kockázattal súlyozott kitettségértéke. </w:t>
            </w:r>
          </w:p>
          <w:p w14:paraId="5AB5EF60" w14:textId="77777777" w:rsidR="001B1411" w:rsidRPr="00DA7625" w:rsidRDefault="001B1411">
            <w:pPr>
              <w:spacing w:before="0" w:after="0"/>
              <w:ind w:left="33"/>
              <w:rPr>
                <w:rFonts w:ascii="Times New Roman" w:hAnsi="Times New Roman"/>
                <w:bCs/>
                <w:sz w:val="24"/>
              </w:rPr>
            </w:pPr>
          </w:p>
          <w:p w14:paraId="10AD2E37" w14:textId="51454782"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lastRenderedPageBreak/>
              <w:t>A sztenderd módszer szerint értékelt kitettségek esetében: lásd a CRR 113. cikkének (1)–(5) bekezdését. A belső minősítésen alapuló módszer szerint értékelt kitettségek esetében: lásd a CRR 153. cikkének (1) és (3) bekezdését.</w:t>
            </w:r>
          </w:p>
          <w:p w14:paraId="5ED29C84" w14:textId="77777777" w:rsidR="001B1411" w:rsidRPr="00DA7625" w:rsidRDefault="001B1411">
            <w:pPr>
              <w:spacing w:before="0" w:after="0"/>
              <w:ind w:left="33"/>
              <w:rPr>
                <w:rFonts w:ascii="Times New Roman" w:hAnsi="Times New Roman"/>
                <w:bCs/>
                <w:sz w:val="24"/>
              </w:rPr>
            </w:pPr>
          </w:p>
          <w:p w14:paraId="50CB580E"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 CRR 271. cikkének hatálya alá tartozó azon közvetlen kitettségek adatszolgáltatásával kapcsolatban, amelyekre partnerkockázati és piaci kockázati szavatolótőke-követelmény egyaránt vonatkozik, lásd a sorokra vonatkozó útmutatót.</w:t>
            </w:r>
          </w:p>
          <w:p w14:paraId="23FE04B4" w14:textId="77777777" w:rsidR="001B1411" w:rsidRPr="00DA7625" w:rsidRDefault="001B1411">
            <w:pPr>
              <w:spacing w:before="0" w:after="0"/>
              <w:ind w:left="33"/>
              <w:rPr>
                <w:rFonts w:ascii="Times New Roman" w:hAnsi="Times New Roman"/>
                <w:b/>
                <w:bCs/>
                <w:sz w:val="24"/>
                <w:u w:val="single"/>
              </w:rPr>
            </w:pPr>
          </w:p>
        </w:tc>
      </w:tr>
    </w:tbl>
    <w:p w14:paraId="25144459" w14:textId="77777777" w:rsidR="001B1411" w:rsidRPr="00DA7625" w:rsidRDefault="001B1411">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1B1411" w:rsidRPr="00DA7625" w14:paraId="4B74663B" w14:textId="77777777" w:rsidTr="00672D2A">
        <w:tc>
          <w:tcPr>
            <w:tcW w:w="1188" w:type="dxa"/>
            <w:shd w:val="clear" w:color="auto" w:fill="CCCCCC"/>
          </w:tcPr>
          <w:p w14:paraId="158EBFFC"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Sor</w:t>
            </w:r>
          </w:p>
        </w:tc>
        <w:tc>
          <w:tcPr>
            <w:tcW w:w="8701" w:type="dxa"/>
            <w:shd w:val="clear" w:color="auto" w:fill="CCCCCC"/>
          </w:tcPr>
          <w:p w14:paraId="2067DC1F"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Útmutató</w:t>
            </w:r>
          </w:p>
        </w:tc>
      </w:tr>
      <w:tr w:rsidR="001B1411" w:rsidRPr="00DA7625" w14:paraId="6B2D45ED" w14:textId="77777777" w:rsidTr="00672D2A">
        <w:tc>
          <w:tcPr>
            <w:tcW w:w="9889" w:type="dxa"/>
            <w:gridSpan w:val="2"/>
          </w:tcPr>
          <w:p w14:paraId="4B82BE86"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KITETTSÉGEK SZABÁLYOZÁSI MÓDSZER SZERINTI BONTÁSA</w:t>
            </w:r>
          </w:p>
          <w:p w14:paraId="71D3F364" w14:textId="77777777" w:rsidR="001B1411" w:rsidRPr="00DA7625" w:rsidRDefault="001B1411">
            <w:pPr>
              <w:spacing w:before="0" w:after="0"/>
              <w:ind w:left="33"/>
              <w:rPr>
                <w:rFonts w:ascii="Times New Roman" w:hAnsi="Times New Roman"/>
                <w:bCs/>
                <w:sz w:val="24"/>
              </w:rPr>
            </w:pPr>
          </w:p>
        </w:tc>
      </w:tr>
      <w:tr w:rsidR="001B1411" w:rsidRPr="00DA7625" w14:paraId="11643FBF" w14:textId="77777777" w:rsidTr="00672D2A">
        <w:tc>
          <w:tcPr>
            <w:tcW w:w="1188" w:type="dxa"/>
            <w:shd w:val="clear" w:color="auto" w:fill="auto"/>
          </w:tcPr>
          <w:p w14:paraId="42E08604"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010</w:t>
            </w:r>
          </w:p>
        </w:tc>
        <w:tc>
          <w:tcPr>
            <w:tcW w:w="8701" w:type="dxa"/>
            <w:shd w:val="clear" w:color="auto" w:fill="auto"/>
          </w:tcPr>
          <w:p w14:paraId="3A82171A"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Teljes kitettség</w:t>
            </w:r>
          </w:p>
          <w:p w14:paraId="2BBD1D82" w14:textId="77777777" w:rsidR="001B1411" w:rsidRPr="00DA7625" w:rsidRDefault="001B1411">
            <w:pPr>
              <w:spacing w:before="0" w:after="0"/>
              <w:ind w:left="33"/>
              <w:rPr>
                <w:rFonts w:ascii="Times New Roman" w:hAnsi="Times New Roman"/>
                <w:b/>
                <w:bCs/>
                <w:sz w:val="24"/>
                <w:u w:val="single"/>
              </w:rPr>
            </w:pPr>
          </w:p>
          <w:p w14:paraId="1121CEA2" w14:textId="243EC614"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Az e melléklet 155–160. pontjában meghatározott államháztartásokkal szembeni összes kitettség.</w:t>
            </w:r>
          </w:p>
          <w:p w14:paraId="5900DE7D" w14:textId="77777777" w:rsidR="001B1411" w:rsidRPr="00DA7625" w:rsidRDefault="001B1411">
            <w:pPr>
              <w:spacing w:before="0" w:after="0"/>
              <w:ind w:left="33"/>
              <w:rPr>
                <w:rFonts w:ascii="Times New Roman" w:hAnsi="Times New Roman"/>
                <w:b/>
                <w:bCs/>
                <w:sz w:val="24"/>
                <w:u w:val="single"/>
              </w:rPr>
            </w:pPr>
          </w:p>
        </w:tc>
      </w:tr>
      <w:tr w:rsidR="001B1411" w:rsidRPr="00DA7625" w14:paraId="7F17E38A" w14:textId="77777777" w:rsidTr="00672D2A">
        <w:tc>
          <w:tcPr>
            <w:tcW w:w="1188" w:type="dxa"/>
          </w:tcPr>
          <w:p w14:paraId="4DEE5029"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020–155</w:t>
            </w:r>
          </w:p>
        </w:tc>
        <w:tc>
          <w:tcPr>
            <w:tcW w:w="8701" w:type="dxa"/>
          </w:tcPr>
          <w:p w14:paraId="4A862390" w14:textId="77777777" w:rsidR="001B1411" w:rsidRPr="00DA7625" w:rsidRDefault="00FD54FC">
            <w:pPr>
              <w:spacing w:before="0" w:after="0"/>
              <w:ind w:left="33"/>
              <w:rPr>
                <w:rFonts w:ascii="Times New Roman" w:hAnsi="Times New Roman"/>
                <w:bCs/>
                <w:sz w:val="24"/>
              </w:rPr>
            </w:pPr>
            <w:r w:rsidRPr="00DA7625">
              <w:rPr>
                <w:rFonts w:ascii="Times New Roman" w:hAnsi="Times New Roman"/>
                <w:b/>
                <w:bCs/>
                <w:sz w:val="24"/>
                <w:u w:val="single"/>
              </w:rPr>
              <w:t>Kitettségek a hitelkockázati módszerek alapján</w:t>
            </w:r>
          </w:p>
          <w:p w14:paraId="170F3005" w14:textId="77777777" w:rsidR="001B1411" w:rsidRPr="00DA7625" w:rsidRDefault="001B1411">
            <w:pPr>
              <w:spacing w:before="0" w:after="0"/>
              <w:ind w:left="33"/>
              <w:rPr>
                <w:rFonts w:ascii="Times New Roman" w:hAnsi="Times New Roman"/>
                <w:bCs/>
                <w:sz w:val="24"/>
              </w:rPr>
            </w:pPr>
          </w:p>
          <w:p w14:paraId="3CB1E817" w14:textId="50F62EB0"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Az államháztartásokkal szembeni</w:t>
            </w:r>
            <w:r w:rsidRPr="00DA7625">
              <w:rPr>
                <w:rFonts w:ascii="Times New Roman" w:hAnsi="Times New Roman"/>
                <w:sz w:val="24"/>
              </w:rPr>
              <w:t xml:space="preserve">, a CRR </w:t>
            </w:r>
            <w:r w:rsidRPr="00DA7625">
              <w:rPr>
                <w:rFonts w:ascii="Times New Roman" w:hAnsi="Times New Roman"/>
                <w:bCs/>
                <w:sz w:val="24"/>
              </w:rPr>
              <w:t xml:space="preserve">harmadik részének II. címe szerint kockázattal súlyozott összes kitettség. A hitelkockázati módszerek alapján értékelt kitettségek közé tartoznak a partnerkockázati tőkekövetelmények hatálya alá tartozó kereskedési könyvi és nem kereskedési könyvi kitettségek. </w:t>
            </w:r>
          </w:p>
          <w:p w14:paraId="10217DA5" w14:textId="77777777" w:rsidR="001B1411" w:rsidRPr="00DA7625" w:rsidRDefault="001B1411">
            <w:pPr>
              <w:spacing w:before="0" w:after="0"/>
              <w:ind w:left="33"/>
              <w:rPr>
                <w:rFonts w:ascii="Times New Roman" w:hAnsi="Times New Roman"/>
                <w:bCs/>
                <w:sz w:val="24"/>
              </w:rPr>
            </w:pPr>
          </w:p>
          <w:p w14:paraId="6FDDDAC3"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 CRR 271. cikkének hatálya alá tartozó azon közvetlen kitettségeket, amelyekre partnerkockázati és piaci kockázati szavatolótőke-követelmény egyaránt vonatkozik, a hitelkockázati sorokban (020–155) és a piaci kockázati sorban (160) egyaránt meg kell adni: a partnerkockázatból származó kitettségértéket a hitelkockázati sorokban, míg a piaci kockázatból származó kitettségértéket a piaci kockázati sorban kell jelenteni.</w:t>
            </w:r>
          </w:p>
          <w:p w14:paraId="2D1E510B" w14:textId="77777777" w:rsidR="001B1411" w:rsidRPr="00DA7625" w:rsidRDefault="001B1411">
            <w:pPr>
              <w:spacing w:before="0" w:after="0"/>
              <w:ind w:left="33"/>
              <w:rPr>
                <w:rFonts w:ascii="Times New Roman" w:hAnsi="Times New Roman"/>
                <w:bCs/>
                <w:sz w:val="24"/>
              </w:rPr>
            </w:pPr>
          </w:p>
        </w:tc>
      </w:tr>
      <w:tr w:rsidR="001B1411" w:rsidRPr="00DA7625" w14:paraId="07F9A4BC" w14:textId="77777777" w:rsidTr="00672D2A">
        <w:tc>
          <w:tcPr>
            <w:tcW w:w="1188" w:type="dxa"/>
          </w:tcPr>
          <w:p w14:paraId="52812F73"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030</w:t>
            </w:r>
          </w:p>
        </w:tc>
        <w:tc>
          <w:tcPr>
            <w:tcW w:w="8701" w:type="dxa"/>
          </w:tcPr>
          <w:p w14:paraId="4106349B"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Sztenderd módszer</w:t>
            </w:r>
          </w:p>
          <w:p w14:paraId="261CF261" w14:textId="77777777" w:rsidR="001B1411" w:rsidRPr="00DA7625" w:rsidRDefault="001B1411">
            <w:pPr>
              <w:spacing w:before="0" w:after="0"/>
              <w:ind w:left="33"/>
              <w:rPr>
                <w:rFonts w:ascii="Times New Roman" w:hAnsi="Times New Roman"/>
                <w:bCs/>
                <w:sz w:val="24"/>
              </w:rPr>
            </w:pPr>
          </w:p>
          <w:p w14:paraId="3F8B456F" w14:textId="0F69F553"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 CRR harmadik része II. címének 2. fejezete szerint kockázattal súlyozott államháztartási kitettségek, ideértve azokat a nem kereskedési könyvi kitettségeket is, amelyek említett fejezet szerinti kockázati súlyozása a partnerkockázattal is számol.</w:t>
            </w:r>
          </w:p>
          <w:p w14:paraId="5CF39721" w14:textId="77777777" w:rsidR="001B1411" w:rsidRPr="00DA7625" w:rsidRDefault="001B1411">
            <w:pPr>
              <w:spacing w:before="0" w:after="0"/>
              <w:ind w:left="33"/>
              <w:rPr>
                <w:rFonts w:ascii="Times New Roman" w:hAnsi="Times New Roman"/>
                <w:bCs/>
                <w:sz w:val="24"/>
              </w:rPr>
            </w:pPr>
          </w:p>
        </w:tc>
      </w:tr>
      <w:tr w:rsidR="001B1411" w:rsidRPr="00DA7625" w14:paraId="709F8E9F" w14:textId="77777777" w:rsidTr="00672D2A">
        <w:tc>
          <w:tcPr>
            <w:tcW w:w="1188" w:type="dxa"/>
          </w:tcPr>
          <w:p w14:paraId="0F316850"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040</w:t>
            </w:r>
          </w:p>
        </w:tc>
        <w:tc>
          <w:tcPr>
            <w:tcW w:w="8701" w:type="dxa"/>
          </w:tcPr>
          <w:p w14:paraId="757B7863"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Központi kormányzatok</w:t>
            </w:r>
          </w:p>
          <w:p w14:paraId="1CC65811" w14:textId="77777777" w:rsidR="001B1411" w:rsidRPr="00DA7625" w:rsidRDefault="001B1411">
            <w:pPr>
              <w:spacing w:before="0" w:after="0"/>
              <w:ind w:left="33"/>
              <w:rPr>
                <w:rFonts w:ascii="Times New Roman" w:hAnsi="Times New Roman"/>
                <w:bCs/>
                <w:sz w:val="24"/>
              </w:rPr>
            </w:pPr>
          </w:p>
          <w:p w14:paraId="002D3F73"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Az államháztartások központi kormányzati alrendszereivel szembeni kitettségek. Ezeket a kitettségeket a C 07.00 tábla útmutatójának értelmében a CRR 112. és 114. cikkének megfelelően a »központi kormányzatok és központi bankok« kitettségi osztályba kell sorolni. Nem alkalmazandók ugyanakkor azok az előírások, amelyek az államháztartási kitettségek más kitettségi osztályokban történő, helyettesítési hatásokkal járó hitelkockázat-mérséklési technikáknak a kitettségre való alkalmazása miatti átsorolására vonatkoznak.</w:t>
            </w:r>
          </w:p>
          <w:p w14:paraId="62E7C5E3" w14:textId="77777777" w:rsidR="001B1411" w:rsidRPr="00DA7625" w:rsidRDefault="001B1411">
            <w:pPr>
              <w:spacing w:before="0" w:after="0"/>
              <w:ind w:left="33"/>
              <w:rPr>
                <w:rFonts w:ascii="Times New Roman" w:hAnsi="Times New Roman"/>
                <w:bCs/>
                <w:sz w:val="24"/>
              </w:rPr>
            </w:pPr>
          </w:p>
        </w:tc>
      </w:tr>
      <w:tr w:rsidR="001B1411" w:rsidRPr="00DA7625" w14:paraId="75EE3576" w14:textId="77777777" w:rsidTr="00672D2A">
        <w:tc>
          <w:tcPr>
            <w:tcW w:w="1188" w:type="dxa"/>
          </w:tcPr>
          <w:p w14:paraId="342F6D56"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050</w:t>
            </w:r>
          </w:p>
        </w:tc>
        <w:tc>
          <w:tcPr>
            <w:tcW w:w="8701" w:type="dxa"/>
          </w:tcPr>
          <w:p w14:paraId="1A825496"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Regionális kormányzatok vagy helyi hatóságok</w:t>
            </w:r>
          </w:p>
          <w:p w14:paraId="14F3B7E4" w14:textId="77777777" w:rsidR="001B1411" w:rsidRPr="00DA7625" w:rsidRDefault="001B1411">
            <w:pPr>
              <w:spacing w:before="0" w:after="0"/>
              <w:ind w:left="33"/>
              <w:rPr>
                <w:rFonts w:ascii="Times New Roman" w:hAnsi="Times New Roman"/>
                <w:bCs/>
                <w:sz w:val="24"/>
              </w:rPr>
            </w:pPr>
          </w:p>
          <w:p w14:paraId="64E25E8C"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 xml:space="preserve">Az államháztartások regionális kormányzati vagy helyi hatósági alrendszereivel szembeni kitettségek. Ezeket a kitettségeket a C 07.00 tábla útmutatójának értelmében a CRR </w:t>
            </w:r>
            <w:r w:rsidRPr="00DA7625">
              <w:rPr>
                <w:rFonts w:ascii="Times New Roman" w:hAnsi="Times New Roman"/>
                <w:bCs/>
                <w:sz w:val="24"/>
              </w:rPr>
              <w:lastRenderedPageBreak/>
              <w:t>112. és 115. cikkének megfelelően a „regionális kormányzatok vagy helyi hatóságok” kitettségi osztályba kell sorolni. Nem alkalmazandók ugyanakkor azok az előírások, amelyek az államháztartási kitettségek más kitettségi osztályokban történő, helyettesítési hatásokkal járó hitelkockázat-mérséklési technikáknak a kitettségre való alkalmazása miatti átsorolására vonatkoznak.</w:t>
            </w:r>
          </w:p>
          <w:p w14:paraId="5B520DF4" w14:textId="77777777" w:rsidR="001B1411" w:rsidRPr="00DA7625" w:rsidRDefault="001B1411">
            <w:pPr>
              <w:spacing w:before="0" w:after="0"/>
              <w:ind w:left="33"/>
              <w:rPr>
                <w:rFonts w:ascii="Times New Roman" w:hAnsi="Times New Roman"/>
                <w:bCs/>
                <w:sz w:val="24"/>
              </w:rPr>
            </w:pPr>
          </w:p>
        </w:tc>
      </w:tr>
      <w:tr w:rsidR="001B1411" w:rsidRPr="00DA7625" w14:paraId="6D1216D8" w14:textId="77777777" w:rsidTr="00672D2A">
        <w:tc>
          <w:tcPr>
            <w:tcW w:w="1188" w:type="dxa"/>
          </w:tcPr>
          <w:p w14:paraId="4E85D851"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lastRenderedPageBreak/>
              <w:t>060</w:t>
            </w:r>
          </w:p>
        </w:tc>
        <w:tc>
          <w:tcPr>
            <w:tcW w:w="8701" w:type="dxa"/>
          </w:tcPr>
          <w:p w14:paraId="7FC87D5A"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Közszektorbeli intézmények</w:t>
            </w:r>
          </w:p>
          <w:p w14:paraId="497DF568" w14:textId="77777777" w:rsidR="001B1411" w:rsidRPr="00DA7625" w:rsidRDefault="001B1411">
            <w:pPr>
              <w:spacing w:before="0" w:after="0"/>
              <w:ind w:left="33"/>
              <w:rPr>
                <w:rFonts w:ascii="Times New Roman" w:hAnsi="Times New Roman"/>
                <w:bCs/>
                <w:sz w:val="24"/>
              </w:rPr>
            </w:pPr>
          </w:p>
          <w:p w14:paraId="003C7F9C"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Az államháztartások közszektorbeli intézményi alrendszerével szembeni kitettségek. Ezeket a kitettségeket a C 07.00 tábla útmutatójának értelmében a CRR 112. és 116. cikkének megfelelően a „közszektorbeli intézmények” kitettségi osztályba kell sorolni. Nem alkalmazandók ugyanakkor azok az előírások, amelyek az államháztartási kitettségek más kitettségi osztályokban történő, helyettesítési hatásokkal járó hitelkockázat-mérséklési technikáknak a kitettségre való alkalmazása miatti átsorolására vonatkoznak.</w:t>
            </w:r>
          </w:p>
          <w:p w14:paraId="2BF83B92" w14:textId="77777777" w:rsidR="001B1411" w:rsidRPr="00DA7625" w:rsidRDefault="001B1411">
            <w:pPr>
              <w:spacing w:before="0" w:after="0"/>
              <w:ind w:left="33"/>
              <w:rPr>
                <w:rFonts w:ascii="Times New Roman" w:hAnsi="Times New Roman"/>
                <w:bCs/>
                <w:sz w:val="24"/>
              </w:rPr>
            </w:pPr>
          </w:p>
        </w:tc>
      </w:tr>
      <w:tr w:rsidR="001B1411" w:rsidRPr="00DA7625" w14:paraId="50A07606" w14:textId="77777777" w:rsidTr="00672D2A">
        <w:tc>
          <w:tcPr>
            <w:tcW w:w="1188" w:type="dxa"/>
          </w:tcPr>
          <w:p w14:paraId="6A035DA5"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070</w:t>
            </w:r>
          </w:p>
        </w:tc>
        <w:tc>
          <w:tcPr>
            <w:tcW w:w="8701" w:type="dxa"/>
          </w:tcPr>
          <w:p w14:paraId="1E2C627A"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Nemzetközi szervezetek</w:t>
            </w:r>
          </w:p>
          <w:p w14:paraId="27CAAC80" w14:textId="77777777" w:rsidR="001B1411" w:rsidRPr="00DA7625" w:rsidRDefault="001B1411">
            <w:pPr>
              <w:spacing w:before="0" w:after="0"/>
              <w:ind w:left="33"/>
              <w:rPr>
                <w:rFonts w:ascii="Times New Roman" w:hAnsi="Times New Roman"/>
                <w:bCs/>
                <w:sz w:val="24"/>
              </w:rPr>
            </w:pPr>
          </w:p>
          <w:p w14:paraId="25487D99" w14:textId="77777777" w:rsidR="001B1411" w:rsidRPr="00DA7625" w:rsidRDefault="00530BA1">
            <w:pPr>
              <w:spacing w:before="0" w:after="0"/>
              <w:ind w:left="33"/>
              <w:rPr>
                <w:rFonts w:ascii="Times New Roman" w:hAnsi="Times New Roman"/>
                <w:bCs/>
                <w:sz w:val="24"/>
              </w:rPr>
            </w:pPr>
            <w:r w:rsidRPr="00DA7625">
              <w:rPr>
                <w:rFonts w:ascii="Times New Roman" w:hAnsi="Times New Roman"/>
                <w:bCs/>
                <w:sz w:val="24"/>
              </w:rPr>
              <w:t>Az államháztartásokhoz sorolt nemzetközi szervezetekkel szembeni kitettségek. Ezeket a kitettségeket a C 07.00 tábla útmutatójának értelmében a CRR 112. és 118. cikkének megfelelően a „nemzetközi szervezetek” kitettségi osztályokba kell sorolni. Nem alkalmazandók ugyanakkor azok az előírások, amelyek az államháztartási kitettségek más kitettségi osztályokban történő, helyettesítési hatásokkal járó hitelkockázat-mérséklési technikáknak a kitettségre való alkalmazása miatti átsorolására vonatkoznak.</w:t>
            </w:r>
          </w:p>
          <w:p w14:paraId="69071AEA" w14:textId="77777777" w:rsidR="001B1411" w:rsidRPr="00DA7625" w:rsidRDefault="001B1411">
            <w:pPr>
              <w:spacing w:before="0" w:after="0"/>
              <w:ind w:left="33"/>
              <w:rPr>
                <w:rFonts w:ascii="Times New Roman" w:hAnsi="Times New Roman"/>
                <w:b/>
                <w:bCs/>
                <w:sz w:val="24"/>
                <w:u w:val="single"/>
              </w:rPr>
            </w:pPr>
          </w:p>
        </w:tc>
      </w:tr>
      <w:tr w:rsidR="001B1411" w:rsidRPr="00DA7625" w14:paraId="0AE59D57" w14:textId="77777777" w:rsidTr="00672D2A">
        <w:tc>
          <w:tcPr>
            <w:tcW w:w="1188" w:type="dxa"/>
          </w:tcPr>
          <w:p w14:paraId="36DC970D" w14:textId="77777777" w:rsidR="001B1411" w:rsidRPr="00DA7625" w:rsidRDefault="00CE47AF">
            <w:pPr>
              <w:spacing w:before="0" w:after="0"/>
              <w:ind w:left="33"/>
              <w:rPr>
                <w:rFonts w:ascii="Times New Roman" w:hAnsi="Times New Roman"/>
                <w:bCs/>
                <w:sz w:val="24"/>
              </w:rPr>
            </w:pPr>
            <w:r w:rsidRPr="00DA7625">
              <w:rPr>
                <w:rFonts w:ascii="Times New Roman" w:hAnsi="Times New Roman"/>
                <w:bCs/>
                <w:sz w:val="24"/>
              </w:rPr>
              <w:t>075</w:t>
            </w:r>
          </w:p>
        </w:tc>
        <w:tc>
          <w:tcPr>
            <w:tcW w:w="8701" w:type="dxa"/>
          </w:tcPr>
          <w:p w14:paraId="479BA384" w14:textId="77777777" w:rsidR="001B1411" w:rsidRPr="00DA7625" w:rsidRDefault="00CE47AF">
            <w:pPr>
              <w:spacing w:before="0" w:after="0"/>
              <w:ind w:left="33"/>
              <w:rPr>
                <w:rFonts w:ascii="Times New Roman" w:hAnsi="Times New Roman"/>
                <w:b/>
                <w:bCs/>
                <w:sz w:val="24"/>
                <w:u w:val="single"/>
              </w:rPr>
            </w:pPr>
            <w:r w:rsidRPr="00DA7625">
              <w:rPr>
                <w:rFonts w:ascii="Times New Roman" w:hAnsi="Times New Roman"/>
                <w:b/>
                <w:bCs/>
                <w:sz w:val="24"/>
                <w:u w:val="single"/>
              </w:rPr>
              <w:t>Egyéb államháztartási kitettségek a sztenderd módszer szerint</w:t>
            </w:r>
          </w:p>
          <w:p w14:paraId="38DCD7F8" w14:textId="77777777" w:rsidR="001B1411" w:rsidRPr="00DA7625" w:rsidRDefault="001B1411">
            <w:pPr>
              <w:spacing w:before="0" w:after="0"/>
              <w:ind w:left="33"/>
              <w:rPr>
                <w:rFonts w:ascii="Times New Roman" w:hAnsi="Times New Roman"/>
                <w:bCs/>
                <w:sz w:val="24"/>
              </w:rPr>
            </w:pPr>
          </w:p>
          <w:p w14:paraId="0B5616D8" w14:textId="77777777" w:rsidR="001B1411" w:rsidRPr="00DA7625" w:rsidRDefault="00530BA1">
            <w:pPr>
              <w:spacing w:before="0" w:after="0"/>
              <w:ind w:left="33"/>
              <w:rPr>
                <w:rFonts w:ascii="Times New Roman" w:hAnsi="Times New Roman"/>
                <w:bCs/>
                <w:sz w:val="24"/>
              </w:rPr>
            </w:pPr>
            <w:r w:rsidRPr="00DA7625">
              <w:rPr>
                <w:rFonts w:ascii="Times New Roman" w:hAnsi="Times New Roman"/>
                <w:bCs/>
                <w:sz w:val="24"/>
              </w:rPr>
              <w:t>A fenti 040–070 sorban szereplőktől eltérő államháztartási kitettségek, amelyeket a CRR 112. cikkével összhangban a szavatolótőke-követelmény kiszámítása céljából az SA kitettségi osztályokba kell sorolni.</w:t>
            </w:r>
          </w:p>
          <w:p w14:paraId="00B71678" w14:textId="77777777" w:rsidR="001B1411" w:rsidRPr="00DA7625" w:rsidRDefault="001B1411">
            <w:pPr>
              <w:spacing w:before="0" w:after="0"/>
              <w:ind w:left="33"/>
              <w:rPr>
                <w:rFonts w:ascii="Times New Roman" w:hAnsi="Times New Roman"/>
                <w:b/>
                <w:bCs/>
                <w:sz w:val="24"/>
                <w:u w:val="single"/>
              </w:rPr>
            </w:pPr>
          </w:p>
        </w:tc>
      </w:tr>
      <w:tr w:rsidR="001B1411" w:rsidRPr="00DA7625" w14:paraId="54C846CD" w14:textId="77777777" w:rsidTr="00672D2A">
        <w:tc>
          <w:tcPr>
            <w:tcW w:w="1188" w:type="dxa"/>
          </w:tcPr>
          <w:p w14:paraId="25D1B85F"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080</w:t>
            </w:r>
          </w:p>
        </w:tc>
        <w:tc>
          <w:tcPr>
            <w:tcW w:w="8701" w:type="dxa"/>
          </w:tcPr>
          <w:p w14:paraId="799AE877"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IRB-módszer</w:t>
            </w:r>
          </w:p>
          <w:p w14:paraId="46D51E85" w14:textId="77777777" w:rsidR="001B1411" w:rsidRPr="00DA7625" w:rsidRDefault="001B1411">
            <w:pPr>
              <w:spacing w:before="0" w:after="0"/>
              <w:ind w:left="33"/>
              <w:rPr>
                <w:rFonts w:ascii="Times New Roman" w:hAnsi="Times New Roman"/>
                <w:bCs/>
                <w:sz w:val="24"/>
              </w:rPr>
            </w:pPr>
          </w:p>
          <w:p w14:paraId="7900AB28" w14:textId="6EF52D64"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 CRR harmadik része II. címének 3. fejezete szerint kockázattal súlyozott államháztartási kitettségek, ideértve azokat a nem kereskedési könyvi kitettségeket is, amelyek említett fejezet szerinti kockázati súlyozása a partnerkockázattal is számol.</w:t>
            </w:r>
          </w:p>
          <w:p w14:paraId="29B30B61" w14:textId="77777777" w:rsidR="001B1411" w:rsidRPr="00DA7625" w:rsidRDefault="001B1411">
            <w:pPr>
              <w:spacing w:before="0" w:after="0"/>
              <w:ind w:left="33"/>
              <w:rPr>
                <w:rFonts w:ascii="Times New Roman" w:hAnsi="Times New Roman"/>
                <w:bCs/>
                <w:sz w:val="24"/>
              </w:rPr>
            </w:pPr>
          </w:p>
        </w:tc>
      </w:tr>
      <w:tr w:rsidR="001B1411" w:rsidRPr="00DA7625" w14:paraId="25F7A3FA" w14:textId="77777777" w:rsidTr="00672D2A">
        <w:tc>
          <w:tcPr>
            <w:tcW w:w="1188" w:type="dxa"/>
          </w:tcPr>
          <w:p w14:paraId="22511A04"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090</w:t>
            </w:r>
          </w:p>
        </w:tc>
        <w:tc>
          <w:tcPr>
            <w:tcW w:w="8701" w:type="dxa"/>
          </w:tcPr>
          <w:p w14:paraId="1C5FC261"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Központi kormányzatok</w:t>
            </w:r>
          </w:p>
          <w:p w14:paraId="20B0BC30" w14:textId="77777777" w:rsidR="001B1411" w:rsidRPr="00DA7625" w:rsidRDefault="001B1411">
            <w:pPr>
              <w:spacing w:before="0" w:after="0"/>
              <w:ind w:left="33"/>
              <w:rPr>
                <w:rFonts w:ascii="Times New Roman" w:hAnsi="Times New Roman"/>
                <w:bCs/>
                <w:sz w:val="24"/>
              </w:rPr>
            </w:pPr>
          </w:p>
          <w:p w14:paraId="373032B6" w14:textId="4EDB570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Az államháztartások központi kormányzati alrendszereivel szembeni azon kitettségek, amelyeket a C 08.01 és C 08.02 tábla útmutatójának értelmében a CRR 147. cikke (3) bekezdése a) pontjának megfelelően a „központi kormányzatok és központi bankok” kitettségi osztályba kell sorolni. Nem alkalmazandók ugyanakkor azok az előírások, amelyek az államháztartási kitettségek más kitettségi osztályokban történő, helyettesítési hatásokkal járó hitelkockázat-mérséklési technikáknak a kitettségre való alkalmazása miatti átsorolására vonatkoznak.</w:t>
            </w:r>
          </w:p>
          <w:p w14:paraId="4F164F93" w14:textId="77777777" w:rsidR="001B1411" w:rsidRPr="00DA7625" w:rsidRDefault="001B1411">
            <w:pPr>
              <w:spacing w:before="0" w:after="0"/>
              <w:ind w:left="33"/>
              <w:rPr>
                <w:rFonts w:ascii="Times New Roman" w:hAnsi="Times New Roman"/>
                <w:bCs/>
                <w:sz w:val="24"/>
              </w:rPr>
            </w:pPr>
          </w:p>
        </w:tc>
      </w:tr>
      <w:tr w:rsidR="001B1411" w:rsidRPr="00DA7625" w14:paraId="6CAE82BC" w14:textId="77777777" w:rsidTr="00672D2A">
        <w:tc>
          <w:tcPr>
            <w:tcW w:w="1188" w:type="dxa"/>
          </w:tcPr>
          <w:p w14:paraId="285A850A"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100</w:t>
            </w:r>
          </w:p>
        </w:tc>
        <w:tc>
          <w:tcPr>
            <w:tcW w:w="8701" w:type="dxa"/>
          </w:tcPr>
          <w:p w14:paraId="33AE9498"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Regionális kormányzatok vagy helyi hatóságok [Központi kormányzatok és központi bankok]</w:t>
            </w:r>
          </w:p>
          <w:p w14:paraId="4B875B64" w14:textId="77777777" w:rsidR="001B1411" w:rsidRPr="00DA7625" w:rsidRDefault="001B1411">
            <w:pPr>
              <w:spacing w:before="0" w:after="0"/>
              <w:ind w:left="33"/>
              <w:rPr>
                <w:rFonts w:ascii="Times New Roman" w:hAnsi="Times New Roman"/>
                <w:bCs/>
                <w:sz w:val="24"/>
              </w:rPr>
            </w:pPr>
          </w:p>
          <w:p w14:paraId="22C9F2CE" w14:textId="4FA69191"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lastRenderedPageBreak/>
              <w:t>Az államháztartások regionális kormányzati vagy helyi hatósági alrendszereivel szembeni azon kitettségek, amelyeket a C 08.01 és C 08.02 tábla útmutatójának értelmében a CRR 147. cikke (3) bekezdése a) pontjának megfelelően a „központi kormányzatok és központi bankok” kitettségi osztályba kell sorolni. Nem alkalmazandók ugyanakkor azok az előírások, amelyek az államháztartási kitettségek más kitettségi osztályokban történő, helyettesítési hatásokkal járó hitelkockázat-mérséklési technikáknak a kitettségre való alkalmazása miatti átsorolására vonatkoznak.</w:t>
            </w:r>
          </w:p>
          <w:p w14:paraId="38749CC2" w14:textId="77777777" w:rsidR="001B1411" w:rsidRPr="00DA7625" w:rsidRDefault="001B1411">
            <w:pPr>
              <w:spacing w:before="0" w:after="0"/>
              <w:ind w:left="33"/>
              <w:rPr>
                <w:rFonts w:ascii="Times New Roman" w:hAnsi="Times New Roman"/>
                <w:bCs/>
                <w:sz w:val="24"/>
              </w:rPr>
            </w:pPr>
          </w:p>
        </w:tc>
      </w:tr>
      <w:tr w:rsidR="001B1411" w:rsidRPr="00DA7625" w14:paraId="6BF24A5A" w14:textId="77777777" w:rsidTr="00672D2A">
        <w:tc>
          <w:tcPr>
            <w:tcW w:w="1188" w:type="dxa"/>
          </w:tcPr>
          <w:p w14:paraId="7DDA5257"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lastRenderedPageBreak/>
              <w:t>110</w:t>
            </w:r>
          </w:p>
        </w:tc>
        <w:tc>
          <w:tcPr>
            <w:tcW w:w="8701" w:type="dxa"/>
          </w:tcPr>
          <w:p w14:paraId="3B95D11C"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Regionális kormányzatok vagy helyi hatóságok [Intézmények]</w:t>
            </w:r>
          </w:p>
          <w:p w14:paraId="7D840299" w14:textId="77777777" w:rsidR="001B1411" w:rsidRPr="00DA7625" w:rsidRDefault="001B1411">
            <w:pPr>
              <w:spacing w:before="0" w:after="0"/>
              <w:ind w:left="33"/>
              <w:rPr>
                <w:rFonts w:ascii="Times New Roman" w:hAnsi="Times New Roman"/>
                <w:bCs/>
                <w:sz w:val="24"/>
              </w:rPr>
            </w:pPr>
          </w:p>
          <w:p w14:paraId="4C64A935" w14:textId="442B425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Az államháztartások regionális kormányzati vagy helyi hatósági alrendszereivel szembeni azon kitettségek, amelyeket a C 08.01 és C 08.02 tábla útmutatójának értelmében a CRR 147. cikke (4) bekezdése a) pontjának megfelelően az „intézmények” kitettségi osztályba kell sorolni. Nem alkalmazandók ugyanakkor azok az előírások, amelyek az államháztartási kitettségek más kitettségi osztályokban történő, helyettesítési hatásokkal járó hitelkockázat-mérséklési technikáknak a kitettségre való alkalmazása miatti átsorolására vonatkoznak.</w:t>
            </w:r>
          </w:p>
          <w:p w14:paraId="4CBC3962" w14:textId="77777777" w:rsidR="001B1411" w:rsidRPr="00DA7625" w:rsidRDefault="001B1411">
            <w:pPr>
              <w:spacing w:before="0" w:after="0"/>
              <w:ind w:left="33"/>
              <w:rPr>
                <w:rFonts w:ascii="Times New Roman" w:hAnsi="Times New Roman"/>
                <w:bCs/>
                <w:sz w:val="24"/>
              </w:rPr>
            </w:pPr>
          </w:p>
        </w:tc>
      </w:tr>
      <w:tr w:rsidR="001B1411" w:rsidRPr="00DA7625" w14:paraId="7E703835" w14:textId="77777777" w:rsidTr="00672D2A">
        <w:tc>
          <w:tcPr>
            <w:tcW w:w="1188" w:type="dxa"/>
          </w:tcPr>
          <w:p w14:paraId="491B5229"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120</w:t>
            </w:r>
          </w:p>
        </w:tc>
        <w:tc>
          <w:tcPr>
            <w:tcW w:w="8701" w:type="dxa"/>
          </w:tcPr>
          <w:p w14:paraId="382BC54A"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Közszektorbeli intézmények [Központi kormányzatok és központi bankok]</w:t>
            </w:r>
          </w:p>
          <w:p w14:paraId="023C6BEC" w14:textId="77777777" w:rsidR="001B1411" w:rsidRPr="00DA7625" w:rsidRDefault="001B1411">
            <w:pPr>
              <w:spacing w:before="0" w:after="0"/>
              <w:ind w:left="33"/>
              <w:rPr>
                <w:rFonts w:ascii="Times New Roman" w:hAnsi="Times New Roman"/>
                <w:bCs/>
                <w:sz w:val="24"/>
              </w:rPr>
            </w:pPr>
          </w:p>
          <w:p w14:paraId="6304ED83" w14:textId="4A9CD534"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Az államháztartások a CRR 4. cikkének (8) bekezdése szerinti közszektorbeli intézmények alrendszerével szembeni azon kitettségek, amelyeket a C 08.01 és C 08.02 tábla útmutatójának értelmében a CRR 147. cikke (3) bekezdése a) pontjának megfelelően a „központi kormányzatok és központi bankok” kitettségi osztályba kell sorolni. Nem alkalmazandók ugyanakkor azok az előírások, amelyek az államháztartási kitettségek más kitettségi osztályokban történő, helyettesítési hatásokkal járó hitelkockázat-mérséklési technikáknak a kitettségre való alkalmazása miatti átsorolására vonatkoznak.</w:t>
            </w:r>
          </w:p>
          <w:p w14:paraId="4F189DF2" w14:textId="77777777" w:rsidR="001B1411" w:rsidRPr="00DA7625" w:rsidRDefault="001B1411">
            <w:pPr>
              <w:spacing w:before="0" w:after="0"/>
              <w:ind w:left="33"/>
              <w:rPr>
                <w:rFonts w:ascii="Times New Roman" w:hAnsi="Times New Roman"/>
                <w:bCs/>
                <w:sz w:val="24"/>
              </w:rPr>
            </w:pPr>
          </w:p>
        </w:tc>
      </w:tr>
      <w:tr w:rsidR="001B1411" w:rsidRPr="00DA7625" w14:paraId="7B99303B" w14:textId="77777777" w:rsidTr="00672D2A">
        <w:tc>
          <w:tcPr>
            <w:tcW w:w="1188" w:type="dxa"/>
          </w:tcPr>
          <w:p w14:paraId="32294DA7"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130</w:t>
            </w:r>
          </w:p>
        </w:tc>
        <w:tc>
          <w:tcPr>
            <w:tcW w:w="8701" w:type="dxa"/>
          </w:tcPr>
          <w:p w14:paraId="7594D801"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Közszektorbeli intézmények [Intézmények]</w:t>
            </w:r>
          </w:p>
          <w:p w14:paraId="6A2FA47C" w14:textId="77777777" w:rsidR="001B1411" w:rsidRPr="00DA7625" w:rsidRDefault="001B1411">
            <w:pPr>
              <w:spacing w:before="0" w:after="0"/>
              <w:ind w:left="33"/>
              <w:rPr>
                <w:rFonts w:ascii="Times New Roman" w:hAnsi="Times New Roman"/>
                <w:bCs/>
                <w:sz w:val="24"/>
              </w:rPr>
            </w:pPr>
          </w:p>
          <w:p w14:paraId="40C60848" w14:textId="7DABFE4F"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Az államháztartások a CRR 4. cikkének (8) bekezdése szerinti közszektorbeli intézmények alrendszerével szembeni azon kitettségek, amelyeket a C 08.01 és C 08.02 tábla útmutatójának értelmében a CRR 147. cikke (4) bekezdése b) pontjának megfelelően az „intézmények” kitettségi osztályba kell sorolni. Nem alkalmazandók ugyanakkor azok az előírások, amelyek az államháztartási kitettségek más kitettségi osztályokban történő, helyettesítési hatásokkal járó hitelkockázat-mérséklési technikáknak a kitettségre való alkalmazása miatti átsorolására vonatkoznak.</w:t>
            </w:r>
          </w:p>
          <w:p w14:paraId="083886D4" w14:textId="77777777" w:rsidR="001B1411" w:rsidRPr="00DA7625" w:rsidRDefault="001B1411">
            <w:pPr>
              <w:spacing w:before="0" w:after="0"/>
              <w:ind w:left="33"/>
              <w:rPr>
                <w:rFonts w:ascii="Times New Roman" w:hAnsi="Times New Roman"/>
                <w:bCs/>
                <w:sz w:val="24"/>
              </w:rPr>
            </w:pPr>
          </w:p>
        </w:tc>
      </w:tr>
      <w:tr w:rsidR="001B1411" w:rsidRPr="00DA7625" w14:paraId="150DBEA2" w14:textId="77777777" w:rsidTr="00672D2A">
        <w:tc>
          <w:tcPr>
            <w:tcW w:w="1188" w:type="dxa"/>
          </w:tcPr>
          <w:p w14:paraId="3EDC30A2" w14:textId="77777777" w:rsidR="001B1411" w:rsidRPr="00DA7625" w:rsidDel="00C211CB" w:rsidRDefault="00FD54FC">
            <w:pPr>
              <w:spacing w:before="0" w:after="0"/>
              <w:ind w:left="33"/>
              <w:rPr>
                <w:rFonts w:ascii="Times New Roman" w:hAnsi="Times New Roman"/>
                <w:bCs/>
                <w:sz w:val="24"/>
              </w:rPr>
            </w:pPr>
            <w:r w:rsidRPr="00DA7625">
              <w:rPr>
                <w:rFonts w:ascii="Times New Roman" w:hAnsi="Times New Roman"/>
                <w:bCs/>
                <w:sz w:val="24"/>
              </w:rPr>
              <w:t>140</w:t>
            </w:r>
          </w:p>
        </w:tc>
        <w:tc>
          <w:tcPr>
            <w:tcW w:w="8701" w:type="dxa"/>
          </w:tcPr>
          <w:p w14:paraId="20429198"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Nemzetközi szervezetek [Központi kormányzatok és központi bankok]</w:t>
            </w:r>
          </w:p>
          <w:p w14:paraId="34D8266C" w14:textId="77777777" w:rsidR="001B1411" w:rsidRPr="00DA7625" w:rsidRDefault="001B1411">
            <w:pPr>
              <w:spacing w:before="0" w:after="0"/>
              <w:ind w:left="33"/>
              <w:rPr>
                <w:rFonts w:ascii="Times New Roman" w:hAnsi="Times New Roman"/>
                <w:bCs/>
                <w:sz w:val="24"/>
              </w:rPr>
            </w:pPr>
          </w:p>
          <w:p w14:paraId="6346CB88" w14:textId="65A44C0C"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Az államháztartásokhoz sorolt nemzetközi szervezetekkel szembeni azon kitettségek, amelyeket a C 08.01 és C 08.02 tábla útmutatójának értelmében a CRR 147. cikke (3) bekezdése c) pontjának megfelelően a „központi kormányzatok és központi bankok” kitettségi osztályba kell sorolni. Nem alkalmazandók ugyanakkor azok az előírások, amelyek az államháztartási kitettségek más kitettségi osztályokban történő, helyettesítési hatásokkal járó hitelkockázat-mérséklési technikáknak a kitettségre való alkalmazása miatti átsorolására vonatkoznak.</w:t>
            </w:r>
          </w:p>
          <w:p w14:paraId="2DFB197E" w14:textId="77777777" w:rsidR="001B1411" w:rsidRPr="00DA7625" w:rsidRDefault="001B1411">
            <w:pPr>
              <w:spacing w:before="0" w:after="0"/>
              <w:ind w:left="33"/>
              <w:rPr>
                <w:rFonts w:ascii="Times New Roman" w:hAnsi="Times New Roman"/>
                <w:b/>
                <w:bCs/>
                <w:sz w:val="24"/>
                <w:u w:val="single"/>
              </w:rPr>
            </w:pPr>
          </w:p>
        </w:tc>
      </w:tr>
      <w:tr w:rsidR="001B1411" w:rsidRPr="00DA7625" w14:paraId="0DC8D283" w14:textId="77777777" w:rsidTr="00672D2A">
        <w:tc>
          <w:tcPr>
            <w:tcW w:w="1188" w:type="dxa"/>
          </w:tcPr>
          <w:p w14:paraId="4B5707BF" w14:textId="77777777" w:rsidR="001B1411" w:rsidRPr="00DA7625" w:rsidRDefault="00530BA1">
            <w:pPr>
              <w:spacing w:before="0" w:after="0"/>
              <w:ind w:left="33"/>
              <w:rPr>
                <w:rFonts w:ascii="Times New Roman" w:hAnsi="Times New Roman"/>
                <w:bCs/>
                <w:sz w:val="24"/>
              </w:rPr>
            </w:pPr>
            <w:r w:rsidRPr="00DA7625">
              <w:rPr>
                <w:rFonts w:ascii="Times New Roman" w:hAnsi="Times New Roman"/>
                <w:bCs/>
                <w:sz w:val="24"/>
              </w:rPr>
              <w:t>155</w:t>
            </w:r>
          </w:p>
        </w:tc>
        <w:tc>
          <w:tcPr>
            <w:tcW w:w="8701" w:type="dxa"/>
          </w:tcPr>
          <w:p w14:paraId="64D0FB62" w14:textId="6DAD0797" w:rsidR="001B1411" w:rsidRPr="00DA7625" w:rsidRDefault="00530BA1">
            <w:pPr>
              <w:spacing w:before="0" w:after="0"/>
              <w:ind w:left="33"/>
              <w:rPr>
                <w:rFonts w:ascii="Times New Roman" w:hAnsi="Times New Roman"/>
                <w:b/>
                <w:bCs/>
                <w:sz w:val="24"/>
                <w:u w:val="single"/>
              </w:rPr>
            </w:pPr>
            <w:r w:rsidRPr="00DA7625">
              <w:rPr>
                <w:rFonts w:ascii="Times New Roman" w:hAnsi="Times New Roman"/>
                <w:b/>
                <w:bCs/>
                <w:sz w:val="24"/>
                <w:u w:val="single"/>
              </w:rPr>
              <w:t>Egyéb államháztartási kitettségek az IRB módszer szerint</w:t>
            </w:r>
          </w:p>
          <w:p w14:paraId="4048C601" w14:textId="77777777" w:rsidR="001B1411" w:rsidRPr="00DA7625" w:rsidRDefault="001B1411">
            <w:pPr>
              <w:spacing w:before="0" w:after="0"/>
              <w:ind w:left="33"/>
              <w:rPr>
                <w:rFonts w:ascii="Times New Roman" w:hAnsi="Times New Roman"/>
                <w:bCs/>
                <w:sz w:val="24"/>
              </w:rPr>
            </w:pPr>
          </w:p>
          <w:p w14:paraId="42E0E151" w14:textId="77777777" w:rsidR="001B1411" w:rsidRPr="00DA7625" w:rsidRDefault="00530BA1">
            <w:pPr>
              <w:spacing w:before="0" w:after="0"/>
              <w:ind w:left="33"/>
              <w:rPr>
                <w:rFonts w:ascii="Times New Roman" w:hAnsi="Times New Roman"/>
                <w:bCs/>
                <w:sz w:val="24"/>
              </w:rPr>
            </w:pPr>
            <w:r w:rsidRPr="00DA7625">
              <w:rPr>
                <w:rFonts w:ascii="Times New Roman" w:hAnsi="Times New Roman"/>
                <w:bCs/>
                <w:sz w:val="24"/>
              </w:rPr>
              <w:lastRenderedPageBreak/>
              <w:t>A fenti 090–140 sorban szereplőktől eltérő államháztartási kitettségek, amelyeket a CRR 147. cikkével összhangban a szavatolótőke-követelmény kiszámítása céljából az IRB kitettségi osztályokba kell sorolni.</w:t>
            </w:r>
          </w:p>
          <w:p w14:paraId="4830A8CE" w14:textId="77777777" w:rsidR="001B1411" w:rsidRPr="00DA7625" w:rsidRDefault="001B1411">
            <w:pPr>
              <w:spacing w:before="0" w:after="0"/>
              <w:ind w:left="33"/>
              <w:rPr>
                <w:rFonts w:ascii="Times New Roman" w:hAnsi="Times New Roman"/>
                <w:b/>
                <w:bCs/>
                <w:sz w:val="24"/>
                <w:u w:val="single"/>
              </w:rPr>
            </w:pPr>
          </w:p>
        </w:tc>
      </w:tr>
      <w:tr w:rsidR="001B1411" w:rsidRPr="00DA7625" w14:paraId="4EA5DA4F" w14:textId="77777777" w:rsidTr="00672D2A">
        <w:tc>
          <w:tcPr>
            <w:tcW w:w="1188" w:type="dxa"/>
          </w:tcPr>
          <w:p w14:paraId="6C409FBD"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lastRenderedPageBreak/>
              <w:t>160</w:t>
            </w:r>
          </w:p>
        </w:tc>
        <w:tc>
          <w:tcPr>
            <w:tcW w:w="8701" w:type="dxa"/>
          </w:tcPr>
          <w:p w14:paraId="063CFFB0" w14:textId="77777777" w:rsidR="001B1411" w:rsidRPr="00DA7625" w:rsidRDefault="00FD54FC">
            <w:pPr>
              <w:spacing w:before="0" w:after="0"/>
              <w:ind w:left="33"/>
              <w:rPr>
                <w:rFonts w:ascii="Times New Roman" w:hAnsi="Times New Roman"/>
                <w:b/>
                <w:bCs/>
                <w:sz w:val="24"/>
                <w:u w:val="single"/>
              </w:rPr>
            </w:pPr>
            <w:r w:rsidRPr="00DA7625">
              <w:rPr>
                <w:rFonts w:ascii="Times New Roman" w:hAnsi="Times New Roman"/>
                <w:b/>
                <w:bCs/>
                <w:sz w:val="24"/>
                <w:u w:val="single"/>
              </w:rPr>
              <w:t>Kitettségek a piaci kockázati módszer alapján</w:t>
            </w:r>
          </w:p>
          <w:p w14:paraId="6D29B74F" w14:textId="77777777" w:rsidR="001B1411" w:rsidRPr="00DA7625" w:rsidRDefault="001B1411">
            <w:pPr>
              <w:spacing w:before="0" w:after="0"/>
              <w:ind w:left="33"/>
              <w:rPr>
                <w:rFonts w:ascii="Times New Roman" w:hAnsi="Times New Roman"/>
                <w:bCs/>
                <w:sz w:val="24"/>
              </w:rPr>
            </w:pPr>
          </w:p>
          <w:p w14:paraId="746A50A0" w14:textId="22090F96"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 piaci kockázati kitettségek olyan pozíciókra vonatkoznak, amelyek szavatolótőke-követelményét a CRR harmadik része IV. címének megfelelően számítják ki.</w:t>
            </w:r>
          </w:p>
          <w:p w14:paraId="2DA3FEF1" w14:textId="77777777" w:rsidR="001B1411" w:rsidRPr="00DA7625" w:rsidRDefault="001B1411">
            <w:pPr>
              <w:spacing w:before="0" w:after="0"/>
              <w:ind w:left="33"/>
              <w:rPr>
                <w:rFonts w:ascii="Times New Roman" w:hAnsi="Times New Roman"/>
                <w:bCs/>
                <w:sz w:val="24"/>
              </w:rPr>
            </w:pPr>
          </w:p>
          <w:p w14:paraId="07781DEC"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 CRR 271. cikkének hatálya alá tartozó azon közvetlen kitettségeket, amelyekre partnerkockázati és piaci kockázati szavatolótőke-követelmény egyaránt vonatkozik, a hitelkockázati sorokban (020–155) és a piaci kockázati sorban (160) egyaránt meg kell adni: a partnerkockázatból származó kitettségértéket a hitelkockázati sorokban, míg a piaci kockázatból származó kitettségértéket a piaci kockázati sorban kell jelenteni.</w:t>
            </w:r>
          </w:p>
          <w:p w14:paraId="2620AD52" w14:textId="77777777" w:rsidR="001B1411" w:rsidRPr="00DA7625" w:rsidRDefault="001B1411">
            <w:pPr>
              <w:spacing w:before="0" w:after="0"/>
              <w:ind w:left="33"/>
              <w:rPr>
                <w:rFonts w:ascii="Times New Roman" w:hAnsi="Times New Roman"/>
                <w:bCs/>
                <w:sz w:val="24"/>
              </w:rPr>
            </w:pPr>
          </w:p>
        </w:tc>
      </w:tr>
      <w:tr w:rsidR="001B1411" w:rsidRPr="00DA7625" w14:paraId="3DBB54E3" w14:textId="77777777" w:rsidTr="00672D2A">
        <w:tc>
          <w:tcPr>
            <w:tcW w:w="1188" w:type="dxa"/>
          </w:tcPr>
          <w:p w14:paraId="4BB4F964"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170–230</w:t>
            </w:r>
          </w:p>
        </w:tc>
        <w:tc>
          <w:tcPr>
            <w:tcW w:w="8701" w:type="dxa"/>
          </w:tcPr>
          <w:p w14:paraId="78D0525B" w14:textId="77777777" w:rsidR="001B1411" w:rsidRPr="00DA7625" w:rsidRDefault="00FD54FC">
            <w:pPr>
              <w:spacing w:before="0" w:after="0"/>
              <w:ind w:left="33"/>
              <w:rPr>
                <w:rFonts w:ascii="Times New Roman" w:hAnsi="Times New Roman"/>
                <w:b/>
                <w:bCs/>
                <w:sz w:val="24"/>
              </w:rPr>
            </w:pPr>
            <w:r w:rsidRPr="00DA7625">
              <w:rPr>
                <w:rFonts w:ascii="Times New Roman" w:hAnsi="Times New Roman"/>
                <w:b/>
                <w:bCs/>
                <w:sz w:val="24"/>
              </w:rPr>
              <w:t>KITETTSÉGEK HÁTRALÉVŐ FUTAMIDŐ SZERINTI BONTÁSA</w:t>
            </w:r>
          </w:p>
          <w:p w14:paraId="6AF475E0" w14:textId="77777777" w:rsidR="001B1411" w:rsidRPr="00DA7625" w:rsidRDefault="001B1411">
            <w:pPr>
              <w:spacing w:before="0" w:after="0"/>
              <w:ind w:left="33"/>
              <w:rPr>
                <w:rFonts w:ascii="Times New Roman" w:hAnsi="Times New Roman"/>
                <w:bCs/>
                <w:sz w:val="24"/>
              </w:rPr>
            </w:pPr>
          </w:p>
          <w:p w14:paraId="3F5B064A"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 hátralévő futamidő az összes pozíció esetében a szerződéses lejárati nap és az adatszolgáltatási vonatkozási időpont közötti napok száma.</w:t>
            </w:r>
          </w:p>
          <w:p w14:paraId="220D1EB9" w14:textId="77777777" w:rsidR="001B1411" w:rsidRPr="00DA7625" w:rsidRDefault="001B1411">
            <w:pPr>
              <w:spacing w:before="0" w:after="0"/>
              <w:ind w:left="33"/>
              <w:rPr>
                <w:rFonts w:ascii="Times New Roman" w:hAnsi="Times New Roman"/>
                <w:bCs/>
                <w:sz w:val="24"/>
              </w:rPr>
            </w:pPr>
          </w:p>
          <w:p w14:paraId="6C6070E0" w14:textId="77777777" w:rsidR="001B1411" w:rsidRPr="00DA7625" w:rsidRDefault="00FD54FC">
            <w:pPr>
              <w:spacing w:before="0" w:after="0"/>
              <w:ind w:left="33"/>
              <w:rPr>
                <w:rFonts w:ascii="Times New Roman" w:hAnsi="Times New Roman"/>
                <w:bCs/>
                <w:sz w:val="24"/>
              </w:rPr>
            </w:pPr>
            <w:r w:rsidRPr="00DA7625">
              <w:rPr>
                <w:rFonts w:ascii="Times New Roman" w:hAnsi="Times New Roman"/>
                <w:bCs/>
                <w:sz w:val="24"/>
              </w:rPr>
              <w:t>Az államháztartásokkal szembeni kitettségeket hátralévő futamidő szerinti bontásban a következő szegmensekbe kell sorolni:</w:t>
            </w:r>
          </w:p>
          <w:p w14:paraId="4AD74121" w14:textId="77777777" w:rsidR="001B1411" w:rsidRPr="00DA7625" w:rsidRDefault="001B1411">
            <w:pPr>
              <w:spacing w:before="0" w:after="0"/>
              <w:ind w:left="33"/>
              <w:rPr>
                <w:rFonts w:ascii="Times New Roman" w:hAnsi="Times New Roman"/>
                <w:bCs/>
                <w:sz w:val="24"/>
              </w:rPr>
            </w:pPr>
          </w:p>
          <w:p w14:paraId="3EEA5D4A" w14:textId="77777777" w:rsidR="001B1411" w:rsidRPr="00DA7625" w:rsidRDefault="00125707">
            <w:pPr>
              <w:spacing w:before="0" w:after="0"/>
              <w:ind w:left="808" w:hanging="360"/>
              <w:rPr>
                <w:rFonts w:ascii="Times New Roman" w:hAnsi="Times New Roman"/>
                <w:bCs/>
                <w:sz w:val="24"/>
              </w:rPr>
            </w:pPr>
            <w:r w:rsidRPr="00DA7625">
              <w:rPr>
                <w:rFonts w:ascii="Symbol" w:hAnsi="Symbol"/>
                <w:bCs/>
                <w:sz w:val="24"/>
              </w:rPr>
              <w:t></w:t>
            </w:r>
            <w:r w:rsidRPr="00DA7625">
              <w:rPr>
                <w:rFonts w:ascii="Symbol" w:hAnsi="Symbol"/>
                <w:bCs/>
                <w:sz w:val="24"/>
              </w:rPr>
              <w:tab/>
            </w:r>
            <w:r w:rsidRPr="00DA7625">
              <w:rPr>
                <w:rFonts w:ascii="Times New Roman" w:hAnsi="Times New Roman"/>
                <w:b/>
                <w:bCs/>
                <w:sz w:val="24"/>
              </w:rPr>
              <w:t>[0 – 3HÓNAP [</w:t>
            </w:r>
            <w:r w:rsidRPr="00DA7625">
              <w:rPr>
                <w:rFonts w:ascii="Times New Roman" w:hAnsi="Times New Roman"/>
                <w:bCs/>
                <w:sz w:val="24"/>
              </w:rPr>
              <w:t>: 90 napnál kevesebb</w:t>
            </w:r>
          </w:p>
          <w:p w14:paraId="4009B29B" w14:textId="77777777" w:rsidR="001B1411" w:rsidRPr="00DA7625" w:rsidRDefault="00125707">
            <w:pPr>
              <w:spacing w:before="0" w:after="0"/>
              <w:ind w:left="808" w:hanging="360"/>
              <w:rPr>
                <w:rFonts w:ascii="Times New Roman" w:hAnsi="Times New Roman"/>
                <w:bCs/>
                <w:sz w:val="24"/>
              </w:rPr>
            </w:pPr>
            <w:r w:rsidRPr="00DA7625">
              <w:rPr>
                <w:rFonts w:ascii="Symbol" w:hAnsi="Symbol"/>
                <w:bCs/>
                <w:sz w:val="24"/>
              </w:rPr>
              <w:t></w:t>
            </w:r>
            <w:r w:rsidRPr="00DA7625">
              <w:rPr>
                <w:rFonts w:ascii="Symbol" w:hAnsi="Symbol"/>
                <w:bCs/>
                <w:sz w:val="24"/>
              </w:rPr>
              <w:tab/>
            </w:r>
            <w:r w:rsidRPr="00DA7625">
              <w:rPr>
                <w:rFonts w:ascii="Times New Roman" w:hAnsi="Times New Roman"/>
                <w:b/>
                <w:bCs/>
                <w:sz w:val="24"/>
              </w:rPr>
              <w:t>[ 3 HÓNAP – 1 ÉV [</w:t>
            </w:r>
            <w:r w:rsidRPr="00DA7625">
              <w:rPr>
                <w:rFonts w:ascii="Times New Roman" w:hAnsi="Times New Roman"/>
                <w:bCs/>
                <w:sz w:val="24"/>
              </w:rPr>
              <w:t>: 90 nap vagy több, de 365 napnál kevesebb</w:t>
            </w:r>
          </w:p>
          <w:p w14:paraId="4F15AC2A" w14:textId="77777777" w:rsidR="001B1411" w:rsidRPr="00DA7625" w:rsidRDefault="00125707">
            <w:pPr>
              <w:spacing w:before="0" w:after="0"/>
              <w:ind w:left="808" w:hanging="360"/>
              <w:rPr>
                <w:rFonts w:ascii="Times New Roman" w:hAnsi="Times New Roman"/>
                <w:bCs/>
                <w:sz w:val="24"/>
              </w:rPr>
            </w:pPr>
            <w:r w:rsidRPr="00DA7625">
              <w:rPr>
                <w:rFonts w:ascii="Symbol" w:hAnsi="Symbol"/>
                <w:bCs/>
                <w:sz w:val="24"/>
              </w:rPr>
              <w:t></w:t>
            </w:r>
            <w:r w:rsidRPr="00DA7625">
              <w:rPr>
                <w:rFonts w:ascii="Symbol" w:hAnsi="Symbol"/>
                <w:bCs/>
                <w:sz w:val="24"/>
              </w:rPr>
              <w:tab/>
            </w:r>
            <w:r w:rsidRPr="00DA7625">
              <w:rPr>
                <w:rFonts w:ascii="Times New Roman" w:hAnsi="Times New Roman"/>
                <w:b/>
                <w:bCs/>
                <w:sz w:val="24"/>
              </w:rPr>
              <w:t>[ 1 ÉV – 2 ÉV [</w:t>
            </w:r>
            <w:r w:rsidRPr="00DA7625">
              <w:rPr>
                <w:rFonts w:ascii="Times New Roman" w:hAnsi="Times New Roman"/>
                <w:bCs/>
                <w:sz w:val="24"/>
              </w:rPr>
              <w:t>: 365 nap vagy több, de 730 napnál kevesebb</w:t>
            </w:r>
          </w:p>
          <w:p w14:paraId="0D7AA885" w14:textId="50A7BE57" w:rsidR="001B1411" w:rsidRPr="00DA7625" w:rsidRDefault="00125707">
            <w:pPr>
              <w:spacing w:before="0" w:after="0"/>
              <w:ind w:left="808" w:hanging="360"/>
              <w:rPr>
                <w:rFonts w:ascii="Times New Roman" w:hAnsi="Times New Roman"/>
                <w:bCs/>
                <w:sz w:val="24"/>
              </w:rPr>
            </w:pPr>
            <w:r w:rsidRPr="00DA7625">
              <w:rPr>
                <w:rFonts w:ascii="Symbol" w:hAnsi="Symbol"/>
                <w:bCs/>
                <w:sz w:val="24"/>
              </w:rPr>
              <w:t></w:t>
            </w:r>
            <w:r w:rsidRPr="00DA7625">
              <w:rPr>
                <w:rFonts w:ascii="Symbol" w:hAnsi="Symbol"/>
                <w:bCs/>
                <w:sz w:val="24"/>
              </w:rPr>
              <w:tab/>
            </w:r>
            <w:r w:rsidRPr="00DA7625">
              <w:rPr>
                <w:rFonts w:ascii="Times New Roman" w:hAnsi="Times New Roman"/>
                <w:b/>
                <w:bCs/>
                <w:sz w:val="24"/>
              </w:rPr>
              <w:t>[ 2 ÉV – 3 ÉV [</w:t>
            </w:r>
            <w:r w:rsidRPr="00DA7625">
              <w:rPr>
                <w:rFonts w:ascii="Times New Roman" w:hAnsi="Times New Roman"/>
                <w:bCs/>
                <w:sz w:val="24"/>
              </w:rPr>
              <w:t>: 730 nap vagy több, de 1 095 napnál kevesebb</w:t>
            </w:r>
          </w:p>
          <w:p w14:paraId="359FA0F4" w14:textId="38232CBC" w:rsidR="001B1411" w:rsidRPr="00DA7625" w:rsidRDefault="00125707">
            <w:pPr>
              <w:spacing w:before="0" w:after="0"/>
              <w:ind w:left="808" w:hanging="360"/>
              <w:rPr>
                <w:rFonts w:ascii="Times New Roman" w:hAnsi="Times New Roman"/>
                <w:bCs/>
                <w:sz w:val="24"/>
              </w:rPr>
            </w:pPr>
            <w:r w:rsidRPr="00DA7625">
              <w:rPr>
                <w:rFonts w:ascii="Symbol" w:hAnsi="Symbol"/>
                <w:bCs/>
                <w:sz w:val="24"/>
              </w:rPr>
              <w:t></w:t>
            </w:r>
            <w:r w:rsidRPr="00DA7625">
              <w:rPr>
                <w:rFonts w:ascii="Symbol" w:hAnsi="Symbol"/>
                <w:bCs/>
                <w:sz w:val="24"/>
              </w:rPr>
              <w:tab/>
            </w:r>
            <w:r w:rsidRPr="00DA7625">
              <w:rPr>
                <w:rFonts w:ascii="Times New Roman" w:hAnsi="Times New Roman"/>
                <w:b/>
                <w:bCs/>
                <w:sz w:val="24"/>
              </w:rPr>
              <w:t>[ 3 ÉV – 5 ÉV [</w:t>
            </w:r>
            <w:r w:rsidRPr="00DA7625">
              <w:rPr>
                <w:rFonts w:ascii="Times New Roman" w:hAnsi="Times New Roman"/>
                <w:bCs/>
                <w:sz w:val="24"/>
              </w:rPr>
              <w:t>: 1 095 nap vagy több, de 1 825 napnál kevesebb</w:t>
            </w:r>
          </w:p>
          <w:p w14:paraId="47EE71AE" w14:textId="6C3C49CF" w:rsidR="001B1411" w:rsidRPr="00DA7625" w:rsidRDefault="00125707">
            <w:pPr>
              <w:spacing w:before="0" w:after="0"/>
              <w:ind w:left="808" w:hanging="360"/>
              <w:rPr>
                <w:rFonts w:ascii="Times New Roman" w:hAnsi="Times New Roman"/>
                <w:bCs/>
                <w:sz w:val="24"/>
              </w:rPr>
            </w:pPr>
            <w:r w:rsidRPr="00DA7625">
              <w:rPr>
                <w:rFonts w:ascii="Symbol" w:hAnsi="Symbol"/>
                <w:bCs/>
                <w:sz w:val="24"/>
              </w:rPr>
              <w:t></w:t>
            </w:r>
            <w:r w:rsidRPr="00DA7625">
              <w:rPr>
                <w:rFonts w:ascii="Symbol" w:hAnsi="Symbol"/>
                <w:bCs/>
                <w:sz w:val="24"/>
              </w:rPr>
              <w:tab/>
            </w:r>
            <w:r w:rsidRPr="00DA7625">
              <w:rPr>
                <w:rFonts w:ascii="Times New Roman" w:hAnsi="Times New Roman"/>
                <w:b/>
                <w:bCs/>
                <w:sz w:val="24"/>
              </w:rPr>
              <w:t>[ 5 ÉV – 10 ÉV [</w:t>
            </w:r>
            <w:r w:rsidRPr="00DA7625">
              <w:rPr>
                <w:rFonts w:ascii="Times New Roman" w:hAnsi="Times New Roman"/>
                <w:bCs/>
                <w:sz w:val="24"/>
              </w:rPr>
              <w:t>: 1 825 nap vagy több, de 3 650 napnál kevesebb</w:t>
            </w:r>
          </w:p>
          <w:p w14:paraId="218BED2A" w14:textId="5FE88DEC" w:rsidR="001B1411" w:rsidRPr="00DA7625" w:rsidRDefault="00125707">
            <w:pPr>
              <w:spacing w:before="0" w:after="0"/>
              <w:ind w:left="808" w:hanging="360"/>
              <w:rPr>
                <w:rFonts w:ascii="Times New Roman" w:hAnsi="Times New Roman"/>
                <w:bCs/>
                <w:sz w:val="24"/>
              </w:rPr>
            </w:pPr>
            <w:r w:rsidRPr="00DA7625">
              <w:rPr>
                <w:rFonts w:ascii="Symbol" w:hAnsi="Symbol"/>
                <w:bCs/>
                <w:sz w:val="24"/>
              </w:rPr>
              <w:t></w:t>
            </w:r>
            <w:r w:rsidRPr="00DA7625">
              <w:rPr>
                <w:rFonts w:ascii="Symbol" w:hAnsi="Symbol"/>
                <w:bCs/>
                <w:sz w:val="24"/>
              </w:rPr>
              <w:tab/>
            </w:r>
            <w:r w:rsidRPr="00DA7625">
              <w:rPr>
                <w:rFonts w:ascii="Times New Roman" w:hAnsi="Times New Roman"/>
                <w:b/>
                <w:bCs/>
                <w:sz w:val="24"/>
              </w:rPr>
              <w:t>[10 ÉV – hosszabb</w:t>
            </w:r>
            <w:r w:rsidRPr="00DA7625">
              <w:rPr>
                <w:rFonts w:ascii="Times New Roman" w:hAnsi="Times New Roman"/>
                <w:bCs/>
                <w:sz w:val="24"/>
              </w:rPr>
              <w:t xml:space="preserve">: 3 650 nap vagy több. </w:t>
            </w:r>
          </w:p>
          <w:p w14:paraId="10162CA4" w14:textId="77777777" w:rsidR="001B1411" w:rsidRPr="00DA7625" w:rsidRDefault="001B1411">
            <w:pPr>
              <w:spacing w:before="0" w:after="0"/>
              <w:ind w:left="33"/>
              <w:rPr>
                <w:rFonts w:ascii="Times New Roman" w:hAnsi="Times New Roman"/>
                <w:bCs/>
                <w:sz w:val="24"/>
              </w:rPr>
            </w:pPr>
          </w:p>
        </w:tc>
      </w:tr>
    </w:tbl>
    <w:p w14:paraId="56B462FA" w14:textId="77777777" w:rsidR="001B1411" w:rsidRPr="00DA7625" w:rsidRDefault="001B1411">
      <w:pPr>
        <w:spacing w:after="0"/>
        <w:rPr>
          <w:rStyle w:val="InstructionsTabelleText"/>
          <w:rFonts w:ascii="Times New Roman" w:hAnsi="Times New Roman"/>
          <w:sz w:val="24"/>
        </w:rPr>
      </w:pPr>
    </w:p>
    <w:sectPr w:rsidR="001B1411" w:rsidRPr="00DA7625"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18EB9" w14:textId="77777777" w:rsidR="00A43F8B" w:rsidRDefault="00A43F8B">
      <w:pPr>
        <w:spacing w:before="0" w:after="0"/>
      </w:pPr>
      <w:r>
        <w:separator/>
      </w:r>
    </w:p>
  </w:endnote>
  <w:endnote w:type="continuationSeparator" w:id="0">
    <w:p w14:paraId="3C589599" w14:textId="77777777" w:rsidR="00A43F8B" w:rsidRDefault="00A43F8B">
      <w:pPr>
        <w:spacing w:before="0" w:after="0"/>
      </w:pPr>
      <w:r>
        <w:continuationSeparator/>
      </w:r>
    </w:p>
  </w:endnote>
  <w:endnote w:type="continuationNotice" w:id="1">
    <w:p w14:paraId="3928C96D" w14:textId="77777777" w:rsidR="00A43F8B" w:rsidRDefault="00A43F8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45464922" w:rsidR="00B024D7" w:rsidRPr="00ED1956" w:rsidRDefault="00B024D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470C90">
      <w:rPr>
        <w:rFonts w:ascii="Times New Roman" w:hAnsi="Times New Roman"/>
        <w:noProof/>
        <w:sz w:val="22"/>
        <w:szCs w:val="22"/>
      </w:rPr>
      <w:t>7</w:t>
    </w:r>
    <w:r w:rsidRPr="00ED1956">
      <w:rPr>
        <w:rFonts w:ascii="Times New Roman" w:hAnsi="Times New Roman"/>
        <w:sz w:val="22"/>
        <w:szCs w:val="22"/>
      </w:rPr>
      <w:fldChar w:fldCharType="end"/>
    </w:r>
  </w:p>
  <w:p w14:paraId="14BC9F62" w14:textId="77777777" w:rsidR="00B024D7" w:rsidRDefault="00B02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0655843C" w:rsidR="00B024D7" w:rsidRPr="00E85358" w:rsidRDefault="00B024D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470C90">
      <w:rPr>
        <w:noProof/>
        <w:sz w:val="22"/>
        <w:szCs w:val="22"/>
      </w:rPr>
      <w:t>1</w:t>
    </w:r>
    <w:r w:rsidRPr="00E85358">
      <w:rPr>
        <w:sz w:val="22"/>
        <w:szCs w:val="22"/>
      </w:rPr>
      <w:fldChar w:fldCharType="end"/>
    </w:r>
  </w:p>
  <w:p w14:paraId="4E07410F" w14:textId="77777777" w:rsidR="00B024D7" w:rsidRDefault="00B02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B024D7" w:rsidRDefault="00B024D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B024D7" w:rsidRDefault="00B024D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5F4880A0" w:rsidR="00B024D7" w:rsidRPr="00ED1956" w:rsidRDefault="00B024D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470C90">
      <w:rPr>
        <w:rFonts w:ascii="Times New Roman" w:hAnsi="Times New Roman"/>
        <w:noProof/>
        <w:sz w:val="20"/>
        <w:szCs w:val="20"/>
      </w:rPr>
      <w:t>21</w:t>
    </w:r>
    <w:r w:rsidRPr="00ED1956">
      <w:rPr>
        <w:rFonts w:ascii="Times New Roman" w:hAnsi="Times New Roman"/>
        <w:sz w:val="20"/>
        <w:szCs w:val="20"/>
      </w:rPr>
      <w:fldChar w:fldCharType="end"/>
    </w:r>
  </w:p>
  <w:p w14:paraId="4071C94B" w14:textId="77777777" w:rsidR="00B024D7" w:rsidRPr="00A772B4" w:rsidRDefault="00B024D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ED7901" w14:textId="77777777" w:rsidR="00A43F8B" w:rsidRDefault="00A43F8B">
      <w:pPr>
        <w:spacing w:before="0" w:after="0"/>
      </w:pPr>
      <w:r>
        <w:separator/>
      </w:r>
    </w:p>
  </w:footnote>
  <w:footnote w:type="continuationSeparator" w:id="0">
    <w:p w14:paraId="6BA4D17A" w14:textId="77777777" w:rsidR="00A43F8B" w:rsidRDefault="00A43F8B">
      <w:pPr>
        <w:spacing w:before="0" w:after="0"/>
      </w:pPr>
      <w:r>
        <w:continuationSeparator/>
      </w:r>
    </w:p>
  </w:footnote>
  <w:footnote w:type="continuationNotice" w:id="1">
    <w:p w14:paraId="3C4D8291" w14:textId="77777777" w:rsidR="00A43F8B" w:rsidRDefault="00A43F8B">
      <w:pPr>
        <w:spacing w:before="0" w:after="0"/>
      </w:pPr>
    </w:p>
  </w:footnote>
  <w:footnote w:id="2">
    <w:p w14:paraId="0A122620" w14:textId="77777777" w:rsidR="001B1411"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r>
      <w:r>
        <w:rPr>
          <w:rFonts w:ascii="Times New Roman" w:hAnsi="Times New Roman"/>
          <w:color w:val="444444"/>
          <w:sz w:val="20"/>
          <w:szCs w:val="20"/>
        </w:rPr>
        <w:t>Az Európai Parlament és a Tanács 575/2013/EU rendelete (2013. június 26.) a hitelintézetekre és befektetési vállalkozásokra vonatkozó prudenciális követelményekről és a 648/2012/EU rendelet módosításáról (</w:t>
      </w:r>
      <w:r>
        <w:rPr>
          <w:rFonts w:ascii="Times New Roman" w:hAnsi="Times New Roman"/>
          <w:iCs/>
          <w:color w:val="444444"/>
          <w:sz w:val="20"/>
          <w:szCs w:val="20"/>
        </w:rPr>
        <w:t>HL L 176., 2013.6.27., 1. o.).</w:t>
      </w:r>
    </w:p>
  </w:footnote>
  <w:footnote w:id="3">
    <w:p w14:paraId="754D5245" w14:textId="77777777" w:rsidR="001B1411"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r>
      <w:r>
        <w:rPr>
          <w:rFonts w:ascii="Times New Roman" w:hAnsi="Times New Roman"/>
          <w:color w:val="444444"/>
          <w:sz w:val="20"/>
          <w:szCs w:val="20"/>
        </w:rPr>
        <w:t>Az Európai Parlament és a Tanács 2013/36/EU irányelve (2013. június 26.) a hitelintézetek tevékenységéhez való hozzáférésről és a hitelintézetek és befektetési vállalkozások prudenciális felügyeletéről, a 2002/87/EK irányelv módosításáról, a 2006/48/EK és a 2006/49/EK irányelv hatályon kívül helyezéséről (HL L 176., 2013.6.27., 338. o.)</w:t>
      </w:r>
    </w:p>
  </w:footnote>
  <w:footnote w:id="4">
    <w:p w14:paraId="325A0732" w14:textId="5D1032DA" w:rsidR="001B1411"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sidR="00DA7625" w:rsidRPr="005B592F">
        <w:rPr>
          <w:sz w:val="20"/>
          <w:szCs w:val="20"/>
          <w:lang w:val="en-US"/>
        </w:rPr>
        <w:tab/>
      </w:r>
      <w:r>
        <w:rPr>
          <w:rStyle w:val="FootnoteReference"/>
          <w:rFonts w:ascii="Times New Roman" w:hAnsi="Times New Roman"/>
          <w:sz w:val="20"/>
          <w:szCs w:val="20"/>
        </w:rPr>
        <w:t>Az Európai Parlament és a Tanács 2013/34/EU irányelve 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(HL L 182., 2013.6.29., 19. o.)</w:t>
      </w:r>
      <w:r>
        <w:rPr>
          <w:rFonts w:ascii="Times New Roman" w:hAnsi="Times New Roman"/>
          <w:sz w:val="20"/>
          <w:szCs w:val="20"/>
        </w:rPr>
        <w:t>.</w:t>
      </w:r>
    </w:p>
  </w:footnote>
  <w:footnote w:id="5">
    <w:p w14:paraId="42D2D2D2" w14:textId="5E77972C" w:rsidR="001B1411"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sidR="00DA7625" w:rsidRPr="005B592F">
        <w:rPr>
          <w:sz w:val="20"/>
          <w:szCs w:val="20"/>
          <w:lang w:val="en-US"/>
        </w:rPr>
        <w:tab/>
      </w:r>
      <w:r>
        <w:rPr>
          <w:rStyle w:val="FootnoteReference"/>
          <w:rFonts w:ascii="Times New Roman" w:hAnsi="Times New Roman"/>
          <w:sz w:val="20"/>
          <w:szCs w:val="20"/>
        </w:rPr>
        <w:t>A Tanács 86/635/EGK irányelve (1986. december 8.) a bankok és más pénzügyi intézmények éves beszámolójáról és konszolidált éves beszámolójáról (HL L 372., 1986.12.31., 1. o.).</w:t>
      </w:r>
    </w:p>
  </w:footnote>
  <w:footnote w:id="6">
    <w:p w14:paraId="2CEE8AF9" w14:textId="3F66310B" w:rsidR="001B1411" w:rsidRDefault="00B024D7">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rsidR="00DA7625" w:rsidRPr="005B592F">
        <w:rPr>
          <w:sz w:val="20"/>
          <w:szCs w:val="20"/>
          <w:lang w:val="en-US"/>
        </w:rPr>
        <w:tab/>
      </w:r>
      <w:r>
        <w:rPr>
          <w:color w:val="444444"/>
          <w:sz w:val="20"/>
          <w:szCs w:val="20"/>
        </w:rPr>
        <w:t>A Bizottság 241/2014/EU felhatalmazáson alapuló rendelete (2014. január 7.) az 575/2013/EU európai parlamenti és tanácsi rendeletnek az intézményekre vonatkozó tőkekövetelményekre alkalmazandó szabályozástechnikai standardok tekintetében való kiegészítéséről (</w:t>
      </w:r>
      <w:r>
        <w:rPr>
          <w:iCs/>
          <w:color w:val="444444"/>
          <w:sz w:val="20"/>
          <w:szCs w:val="20"/>
        </w:rPr>
        <w:t>HL L 74., 2014.3.14., 8. o.)</w:t>
      </w:r>
      <w:r>
        <w:rPr>
          <w:rStyle w:val="Emphasis"/>
          <w:color w:val="444444"/>
          <w:sz w:val="20"/>
          <w:szCs w:val="20"/>
        </w:rPr>
        <w:t>.</w:t>
      </w:r>
    </w:p>
  </w:footnote>
  <w:footnote w:id="7">
    <w:p w14:paraId="4313C6D2" w14:textId="77777777" w:rsidR="001B1411" w:rsidRDefault="00B024D7">
      <w:pPr>
        <w:pStyle w:val="NormalWeb"/>
        <w:spacing w:before="0" w:beforeAutospacing="0" w:after="75" w:afterAutospacing="0"/>
        <w:ind w:left="567" w:hanging="567"/>
        <w:jc w:val="both"/>
        <w:rPr>
          <w:sz w:val="20"/>
          <w:szCs w:val="20"/>
        </w:rPr>
      </w:pPr>
      <w:r>
        <w:rPr>
          <w:rStyle w:val="FootnoteReference"/>
          <w:rFonts w:ascii="Times New Roman" w:hAnsi="Times New Roman"/>
          <w:sz w:val="20"/>
          <w:szCs w:val="20"/>
        </w:rPr>
        <w:footnoteRef/>
      </w:r>
      <w:r>
        <w:rPr>
          <w:sz w:val="20"/>
          <w:szCs w:val="20"/>
        </w:rPr>
        <w:tab/>
      </w:r>
      <w:r>
        <w:rPr>
          <w:color w:val="444444"/>
          <w:sz w:val="20"/>
          <w:szCs w:val="20"/>
        </w:rPr>
        <w:t>A Tanács 93/6/EGK irányelve (1993. március 15.) a befektetési vállalkozások és hitelintézetek tőkemegfeleléséről (</w:t>
      </w:r>
      <w:r>
        <w:rPr>
          <w:rStyle w:val="Emphasis"/>
          <w:i w:val="0"/>
          <w:color w:val="444444"/>
          <w:sz w:val="20"/>
          <w:szCs w:val="20"/>
        </w:rPr>
        <w:t>HL L 141., 1993.6.11., 1. o.).</w:t>
      </w:r>
    </w:p>
  </w:footnote>
  <w:footnote w:id="8">
    <w:p w14:paraId="68BF51CF" w14:textId="77777777" w:rsidR="001B1411" w:rsidRDefault="00B024D7">
      <w:pPr>
        <w:pStyle w:val="NormalWeb"/>
        <w:spacing w:before="0" w:beforeAutospacing="0" w:after="75" w:afterAutospacing="0"/>
        <w:ind w:left="567" w:hanging="567"/>
        <w:jc w:val="both"/>
        <w:rPr>
          <w:color w:val="444444"/>
          <w:sz w:val="20"/>
          <w:szCs w:val="20"/>
        </w:rPr>
      </w:pPr>
      <w:r>
        <w:rPr>
          <w:rStyle w:val="FootnoteReference"/>
          <w:rFonts w:ascii="Times New Roman" w:hAnsi="Times New Roman"/>
          <w:sz w:val="20"/>
          <w:szCs w:val="20"/>
        </w:rPr>
        <w:footnoteRef/>
      </w:r>
      <w:r>
        <w:rPr>
          <w:sz w:val="20"/>
          <w:szCs w:val="20"/>
        </w:rPr>
        <w:tab/>
      </w:r>
      <w:r>
        <w:rPr>
          <w:color w:val="444444"/>
          <w:sz w:val="20"/>
          <w:szCs w:val="20"/>
        </w:rPr>
        <w:t>Az Európai Parlament és a Tanács 2000/12/EK irányelve (2000. március 20.) a hitelintézetek tevékenységének megkezdéséről és folytatásáról (</w:t>
      </w:r>
      <w:r>
        <w:rPr>
          <w:rStyle w:val="Emphasis"/>
          <w:i w:val="0"/>
          <w:color w:val="444444"/>
          <w:sz w:val="20"/>
          <w:szCs w:val="20"/>
        </w:rPr>
        <w:t>HL L 126., 2000.5.26., 1. o.).</w:t>
      </w:r>
    </w:p>
    <w:p w14:paraId="0EB26524" w14:textId="77777777" w:rsidR="001B1411" w:rsidRDefault="001B1411">
      <w:pPr>
        <w:pStyle w:val="FootnoteText"/>
        <w:ind w:left="567" w:hanging="567"/>
        <w:rPr>
          <w:rFonts w:ascii="Times New Roman" w:hAnsi="Times New Roman"/>
          <w:sz w:val="20"/>
          <w:szCs w:val="20"/>
        </w:rPr>
      </w:pPr>
    </w:p>
  </w:footnote>
  <w:footnote w:id="9">
    <w:p w14:paraId="6CDEE1FA" w14:textId="77777777" w:rsidR="001B1411"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A Tanács 83/349/EGK hetedik irányelve (1983. június 13.) a Szerződés 54. cikke (3) bekezdésének g) pontja alapján az összevont (konszolidált) éves beszámolóról (</w:t>
      </w:r>
      <w:r>
        <w:rPr>
          <w:rFonts w:ascii="Times New Roman" w:hAnsi="Times New Roman"/>
          <w:iCs/>
          <w:color w:val="444444"/>
          <w:sz w:val="20"/>
          <w:szCs w:val="20"/>
        </w:rPr>
        <w:t>HL L 193., 1983.7.18., 1. o.).</w:t>
      </w:r>
    </w:p>
  </w:footnote>
  <w:footnote w:id="10">
    <w:p w14:paraId="3D903419" w14:textId="77777777" w:rsidR="001B1411"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Az Európai Parlament és a Tanács 2009/65/EK irányelve (2009. július 13.) az átruházható értékpapírokkal foglalkozó kollektív befektetési vállalkozásokra (ÁÉKBV) vonatkozó törvényi, rendeleti és közigazgatási rendelkezések összehangolásáról (</w:t>
      </w:r>
      <w:r>
        <w:rPr>
          <w:rFonts w:ascii="Times New Roman" w:hAnsi="Times New Roman"/>
          <w:iCs/>
          <w:color w:val="444444"/>
          <w:sz w:val="20"/>
          <w:szCs w:val="20"/>
        </w:rPr>
        <w:t>HL L 302., 2009.11.17., 32. o.).</w:t>
      </w:r>
    </w:p>
  </w:footnote>
  <w:footnote w:id="11">
    <w:p w14:paraId="602B7BB8" w14:textId="77777777" w:rsidR="001B1411"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szCs w:val="20"/>
        </w:rPr>
        <w:t>A Bizottság 1152/2014/EU felhatalmazáson alapuló rendelete (2014. június 4.) a 2013/36/EU európai parlamenti és tanácsi irányelvnek az intézményspecifikus anticiklikus tőkepufferráta kiszámítása céljából a lényeges hitelkockázati kitettségek földrajzi helyének azonosítására irányuló szabályozástechnikai standardok tekintetében történő kiegészítéséről (</w:t>
      </w:r>
      <w:r>
        <w:rPr>
          <w:rFonts w:ascii="Times New Roman" w:hAnsi="Times New Roman"/>
          <w:iCs/>
          <w:color w:val="444444"/>
          <w:sz w:val="20"/>
          <w:szCs w:val="20"/>
        </w:rPr>
        <w:t>HL L 309., 2014.10.30., 5. o.).</w:t>
      </w:r>
    </w:p>
  </w:footnote>
  <w:footnote w:id="12">
    <w:p w14:paraId="7F363D79" w14:textId="77777777" w:rsidR="001B1411" w:rsidRDefault="00B024D7">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Az Európai Parlament és a Tanács (EU) 2017/2402 rendelete (2017. december 12.) az értékpapírosítás általános keretrendszerének meghatározásáról, az egyszerű, átlátható és egységesített értékpapírosítás egyedi keretrendszerének létrehozásáról, valamint a 2009/65/EK, a 2009/138/EK és a 2011/61/EU irányelv és az 1060/2009/EK és a 648/2012/EU rendelet módosításáról (</w:t>
      </w:r>
      <w:r>
        <w:rPr>
          <w:rFonts w:ascii="Times New Roman" w:hAnsi="Times New Roman"/>
          <w:iCs/>
          <w:color w:val="444444"/>
          <w:sz w:val="20"/>
          <w:szCs w:val="20"/>
        </w:rPr>
        <w:t>HL L 347., 2017.12.28., 35. o.).</w:t>
      </w:r>
    </w:p>
  </w:footnote>
  <w:footnote w:id="13">
    <w:p w14:paraId="5EE13FEB" w14:textId="77777777" w:rsidR="001B1411" w:rsidRDefault="00B024D7">
      <w:pPr>
        <w:pStyle w:val="FootnoteText"/>
        <w:ind w:left="567" w:hanging="567"/>
        <w:rPr>
          <w:rFonts w:ascii="Times New Roman" w:hAnsi="Times New Roman"/>
          <w:sz w:val="20"/>
          <w:szCs w:val="20"/>
        </w:rPr>
      </w:pPr>
      <w:r>
        <w:rPr>
          <w:rStyle w:val="FootnoteReference"/>
          <w:rFonts w:ascii="Times New Roman" w:hAnsi="Times New Roman"/>
        </w:rPr>
        <w:footnoteRef/>
      </w:r>
      <w:r>
        <w:t xml:space="preserve"> </w:t>
      </w:r>
      <w:r>
        <w:tab/>
      </w:r>
      <w:r>
        <w:rPr>
          <w:rFonts w:ascii="Times New Roman" w:hAnsi="Times New Roman"/>
          <w:sz w:val="20"/>
          <w:szCs w:val="20"/>
        </w:rPr>
        <w:t>Az önálló intézmények nem tartoznak csoporthoz, és nem tartoznak konszolidációs körbe abban az országban, ahol szavatolótőke-követelmény hatálya alá esnek.</w:t>
      </w:r>
    </w:p>
  </w:footnote>
  <w:footnote w:id="14">
    <w:p w14:paraId="025E090B" w14:textId="77777777" w:rsidR="001B1411"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Az Európai Parlament és a Tanács 549/2013/EU rendelete (2013. május 21.) az Európai Unió-beli nemzeti és regionális számlák európai rendszeréről (HL L 174., 2013.6.26., 1. o.).</w:t>
      </w:r>
    </w:p>
  </w:footnote>
  <w:footnote w:id="15">
    <w:p w14:paraId="6C8DA956" w14:textId="77777777" w:rsidR="001B1411"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A Bizottság 525/2014/EU felhatalmazáson alapuló rendelete (2014. március 12.) az 575/2013/EU európai parlamenti és tanácsi rendeletnek a piac fogalmát meghatározó szabályozástechnikai standardok tekintetében való kiegészítéséről (</w:t>
      </w:r>
      <w:r>
        <w:rPr>
          <w:rFonts w:ascii="Times New Roman" w:hAnsi="Times New Roman"/>
          <w:iCs/>
          <w:color w:val="444444"/>
          <w:sz w:val="20"/>
          <w:szCs w:val="20"/>
        </w:rPr>
        <w:t>HL L 148., 2014.5.20., 15. o.)</w:t>
      </w:r>
      <w:r>
        <w:rPr>
          <w:rFonts w:ascii="Times New Roman" w:hAnsi="Times New Roman"/>
          <w:i/>
          <w:iCs/>
          <w:color w:val="444444"/>
          <w:sz w:val="20"/>
          <w:szCs w:val="20"/>
        </w:rPr>
        <w:t>.</w:t>
      </w:r>
    </w:p>
  </w:footnote>
  <w:footnote w:id="16">
    <w:p w14:paraId="11A626E2" w14:textId="77777777" w:rsidR="001B1411" w:rsidRDefault="00B024D7">
      <w:pPr>
        <w:pStyle w:val="FootnoteText"/>
      </w:pPr>
      <w:r>
        <w:rPr>
          <w:rStyle w:val="FootnoteReference"/>
        </w:rPr>
        <w:footnoteRef/>
      </w:r>
      <w:r>
        <w:t xml:space="preserve"> A Bizottság 945/2014/EU végrehajtási rendelete (2014. szeptember 4.) az 575/2013/EU európai parlamenti és tanácsi rendelet szerinti releváns, megfelelően diverzifikált indexek tekintetében végrehajtás-technikai standardok megállapításáról</w:t>
      </w:r>
    </w:p>
  </w:footnote>
  <w:footnote w:id="17">
    <w:p w14:paraId="4426C1A9" w14:textId="77777777" w:rsidR="001B1411"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A Bizottság (EU) 2016/101 felhatalmazáson alapuló rendelete (2015. október 26.) az 575/2013/EU európai parlamenti és tanácsi rendeletnek a prudens értékelésre alkalmazandó szabályozástechnikai standardok tekintetében a 105. cikk (14) bekezdése szerint történő kiegészítéséről (</w:t>
      </w:r>
      <w:r>
        <w:rPr>
          <w:rFonts w:ascii="Times New Roman" w:hAnsi="Times New Roman"/>
          <w:iCs/>
          <w:color w:val="444444"/>
          <w:sz w:val="20"/>
          <w:szCs w:val="20"/>
        </w:rPr>
        <w:t>HL L 21., 2016.1.28., 54. o.)</w:t>
      </w:r>
    </w:p>
  </w:footnote>
  <w:footnote w:id="18">
    <w:p w14:paraId="1DE0576C" w14:textId="77777777" w:rsidR="001B1411" w:rsidRDefault="00B024D7">
      <w:pPr>
        <w:pStyle w:val="NormalWeb"/>
        <w:spacing w:before="0" w:beforeAutospacing="0" w:after="75" w:afterAutospacing="0"/>
        <w:ind w:left="567" w:hanging="567"/>
        <w:rPr>
          <w:color w:val="444444"/>
          <w:sz w:val="20"/>
          <w:szCs w:val="20"/>
        </w:rPr>
      </w:pPr>
      <w:r>
        <w:rPr>
          <w:rStyle w:val="FootnoteReference"/>
          <w:rFonts w:ascii="Times New Roman" w:hAnsi="Times New Roman"/>
          <w:sz w:val="20"/>
          <w:szCs w:val="20"/>
        </w:rPr>
        <w:footnoteRef/>
      </w:r>
      <w:r>
        <w:rPr>
          <w:sz w:val="20"/>
          <w:szCs w:val="20"/>
        </w:rPr>
        <w:t xml:space="preserve"> </w:t>
      </w:r>
      <w:r>
        <w:rPr>
          <w:sz w:val="20"/>
          <w:szCs w:val="20"/>
        </w:rPr>
        <w:tab/>
      </w:r>
      <w:r>
        <w:rPr>
          <w:color w:val="444444"/>
          <w:sz w:val="20"/>
          <w:szCs w:val="20"/>
        </w:rPr>
        <w:t>Az Európai Parlament és a Tanács 1606/2002/EK rendelete (2002. július 19.) a nemzetközi számviteli standardok alkalmazásáról (</w:t>
      </w:r>
      <w:r>
        <w:rPr>
          <w:rStyle w:val="Emphasis"/>
          <w:i w:val="0"/>
          <w:color w:val="444444"/>
          <w:sz w:val="20"/>
          <w:szCs w:val="20"/>
        </w:rPr>
        <w:t>HL L 243., 2002.9.11., 1. o.).</w:t>
      </w:r>
    </w:p>
    <w:p w14:paraId="42869AB5" w14:textId="77777777" w:rsidR="001B1411" w:rsidRDefault="001B1411">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B024D7" w:rsidRDefault="00B024D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946D90"/>
    <w:multiLevelType w:val="hybridMultilevel"/>
    <w:tmpl w:val="61046E38"/>
    <w:lvl w:ilvl="0" w:tplc="C450D45C">
      <w:start w:val="32"/>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6"/>
  </w:num>
  <w:num w:numId="3">
    <w:abstractNumId w:val="35"/>
  </w:num>
  <w:num w:numId="4">
    <w:abstractNumId w:val="20"/>
  </w:num>
  <w:num w:numId="5">
    <w:abstractNumId w:val="31"/>
  </w:num>
  <w:num w:numId="6">
    <w:abstractNumId w:val="17"/>
  </w:num>
  <w:num w:numId="7">
    <w:abstractNumId w:val="34"/>
  </w:num>
  <w:num w:numId="8">
    <w:abstractNumId w:val="7"/>
  </w:num>
  <w:num w:numId="9">
    <w:abstractNumId w:val="29"/>
  </w:num>
  <w:num w:numId="10">
    <w:abstractNumId w:val="15"/>
  </w:num>
  <w:num w:numId="11">
    <w:abstractNumId w:val="22"/>
  </w:num>
  <w:num w:numId="12">
    <w:abstractNumId w:val="9"/>
  </w:num>
  <w:num w:numId="13">
    <w:abstractNumId w:val="30"/>
  </w:num>
  <w:num w:numId="14">
    <w:abstractNumId w:val="25"/>
  </w:num>
  <w:num w:numId="15">
    <w:abstractNumId w:val="12"/>
  </w:num>
  <w:num w:numId="16">
    <w:abstractNumId w:val="21"/>
  </w:num>
  <w:num w:numId="17">
    <w:abstractNumId w:val="11"/>
  </w:num>
  <w:num w:numId="18">
    <w:abstractNumId w:val="32"/>
  </w:num>
  <w:num w:numId="19">
    <w:abstractNumId w:val="1"/>
  </w:num>
  <w:num w:numId="20">
    <w:abstractNumId w:val="5"/>
  </w:num>
  <w:num w:numId="21">
    <w:abstractNumId w:val="13"/>
  </w:num>
  <w:num w:numId="22">
    <w:abstractNumId w:val="19"/>
  </w:num>
  <w:num w:numId="23">
    <w:abstractNumId w:val="24"/>
  </w:num>
  <w:num w:numId="24">
    <w:abstractNumId w:val="33"/>
  </w:num>
  <w:num w:numId="25">
    <w:abstractNumId w:val="6"/>
  </w:num>
  <w:num w:numId="26">
    <w:abstractNumId w:val="18"/>
  </w:num>
  <w:num w:numId="27">
    <w:abstractNumId w:val="23"/>
  </w:num>
  <w:num w:numId="28">
    <w:abstractNumId w:val="2"/>
  </w:num>
  <w:num w:numId="29">
    <w:abstractNumId w:val="3"/>
  </w:num>
  <w:num w:numId="30">
    <w:abstractNumId w:val="27"/>
  </w:num>
  <w:num w:numId="31">
    <w:abstractNumId w:val="36"/>
  </w:num>
  <w:num w:numId="32">
    <w:abstractNumId w:val="4"/>
  </w:num>
  <w:num w:numId="33">
    <w:abstractNumId w:val="14"/>
  </w:num>
  <w:num w:numId="34">
    <w:abstractNumId w:val="8"/>
  </w:num>
  <w:num w:numId="35">
    <w:abstractNumId w:val="16"/>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6395"/>
    <w:rsid w:val="001273B5"/>
    <w:rsid w:val="001279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411"/>
    <w:rsid w:val="001B1531"/>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3AB"/>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0C6"/>
    <w:rsid w:val="002301C6"/>
    <w:rsid w:val="002305D2"/>
    <w:rsid w:val="00232217"/>
    <w:rsid w:val="00232702"/>
    <w:rsid w:val="0023276A"/>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3C5E"/>
    <w:rsid w:val="00285E2F"/>
    <w:rsid w:val="0028628A"/>
    <w:rsid w:val="00290CAD"/>
    <w:rsid w:val="002917CA"/>
    <w:rsid w:val="002920FF"/>
    <w:rsid w:val="00292409"/>
    <w:rsid w:val="00292A20"/>
    <w:rsid w:val="0029520F"/>
    <w:rsid w:val="00295225"/>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1FEC"/>
    <w:rsid w:val="002C37D9"/>
    <w:rsid w:val="002C41F1"/>
    <w:rsid w:val="002C4D74"/>
    <w:rsid w:val="002C5671"/>
    <w:rsid w:val="002C6263"/>
    <w:rsid w:val="002C66A4"/>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AE9"/>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0C90"/>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3471"/>
    <w:rsid w:val="005E4BEC"/>
    <w:rsid w:val="005E5070"/>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509"/>
    <w:rsid w:val="0061482E"/>
    <w:rsid w:val="0061552A"/>
    <w:rsid w:val="00616264"/>
    <w:rsid w:val="00616690"/>
    <w:rsid w:val="00616E90"/>
    <w:rsid w:val="00620AB3"/>
    <w:rsid w:val="00622B37"/>
    <w:rsid w:val="00622DF8"/>
    <w:rsid w:val="00623BD2"/>
    <w:rsid w:val="00624624"/>
    <w:rsid w:val="0062558D"/>
    <w:rsid w:val="006259C7"/>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60B9"/>
    <w:rsid w:val="00666996"/>
    <w:rsid w:val="00672D2A"/>
    <w:rsid w:val="006746DB"/>
    <w:rsid w:val="006750B8"/>
    <w:rsid w:val="00676B42"/>
    <w:rsid w:val="00676B98"/>
    <w:rsid w:val="006771CE"/>
    <w:rsid w:val="006778A2"/>
    <w:rsid w:val="00677A91"/>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11BB"/>
    <w:rsid w:val="006C163A"/>
    <w:rsid w:val="006C1FB5"/>
    <w:rsid w:val="006C2F61"/>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503D4"/>
    <w:rsid w:val="0075112B"/>
    <w:rsid w:val="00752B94"/>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E13"/>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10D73"/>
    <w:rsid w:val="00810F87"/>
    <w:rsid w:val="0081176B"/>
    <w:rsid w:val="00812582"/>
    <w:rsid w:val="008125D7"/>
    <w:rsid w:val="008136B4"/>
    <w:rsid w:val="00816B32"/>
    <w:rsid w:val="00816F2D"/>
    <w:rsid w:val="00820E23"/>
    <w:rsid w:val="0082105B"/>
    <w:rsid w:val="008241B9"/>
    <w:rsid w:val="008248E0"/>
    <w:rsid w:val="00830F86"/>
    <w:rsid w:val="0083278B"/>
    <w:rsid w:val="0083285E"/>
    <w:rsid w:val="00833E7B"/>
    <w:rsid w:val="00833EC0"/>
    <w:rsid w:val="008343BD"/>
    <w:rsid w:val="0083444D"/>
    <w:rsid w:val="00836845"/>
    <w:rsid w:val="00841322"/>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2210"/>
    <w:rsid w:val="008D230A"/>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47A0"/>
    <w:rsid w:val="00924EEF"/>
    <w:rsid w:val="00924FE7"/>
    <w:rsid w:val="009270FE"/>
    <w:rsid w:val="00927A7A"/>
    <w:rsid w:val="00927A8B"/>
    <w:rsid w:val="00927F02"/>
    <w:rsid w:val="0093055F"/>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3F8B"/>
    <w:rsid w:val="00A50EB7"/>
    <w:rsid w:val="00A51AA9"/>
    <w:rsid w:val="00A5221E"/>
    <w:rsid w:val="00A53C11"/>
    <w:rsid w:val="00A56F0F"/>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379"/>
    <w:rsid w:val="00BD2FE7"/>
    <w:rsid w:val="00BD36DE"/>
    <w:rsid w:val="00BD4E13"/>
    <w:rsid w:val="00BD52C3"/>
    <w:rsid w:val="00BD5485"/>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0E6"/>
    <w:rsid w:val="00CD35F2"/>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47CD7"/>
    <w:rsid w:val="00D51A17"/>
    <w:rsid w:val="00D52387"/>
    <w:rsid w:val="00D5285D"/>
    <w:rsid w:val="00D52A03"/>
    <w:rsid w:val="00D52FC3"/>
    <w:rsid w:val="00D52FEA"/>
    <w:rsid w:val="00D533DD"/>
    <w:rsid w:val="00D5433B"/>
    <w:rsid w:val="00D54C42"/>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625"/>
    <w:rsid w:val="00DA77E1"/>
    <w:rsid w:val="00DA7F0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30EB"/>
    <w:rsid w:val="00DF65DF"/>
    <w:rsid w:val="00DF70AE"/>
    <w:rsid w:val="00DF7382"/>
    <w:rsid w:val="00E0175F"/>
    <w:rsid w:val="00E01F9D"/>
    <w:rsid w:val="00E026FB"/>
    <w:rsid w:val="00E02F76"/>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1F1"/>
    <w:rsid w:val="00E92C04"/>
    <w:rsid w:val="00E93AB5"/>
    <w:rsid w:val="00E96A85"/>
    <w:rsid w:val="00E9758A"/>
    <w:rsid w:val="00E979E9"/>
    <w:rsid w:val="00E97CD2"/>
    <w:rsid w:val="00EA050A"/>
    <w:rsid w:val="00EA0754"/>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F03E6"/>
    <w:rsid w:val="00EF0C0C"/>
    <w:rsid w:val="00EF0DA4"/>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830"/>
    <w:rsid w:val="00F67634"/>
    <w:rsid w:val="00F71DF2"/>
    <w:rsid w:val="00F75FD2"/>
    <w:rsid w:val="00F777C7"/>
    <w:rsid w:val="00F800B6"/>
    <w:rsid w:val="00F8071F"/>
    <w:rsid w:val="00F811C6"/>
    <w:rsid w:val="00F811F8"/>
    <w:rsid w:val="00F8411E"/>
    <w:rsid w:val="00F84B2D"/>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hu-HU"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hu-HU"/>
    </w:rPr>
  </w:style>
  <w:style w:type="character" w:customStyle="1" w:styleId="Heading2Char">
    <w:name w:val="Heading 2 Char"/>
    <w:link w:val="Heading2"/>
    <w:uiPriority w:val="99"/>
    <w:locked/>
    <w:rsid w:val="00EC5046"/>
    <w:rPr>
      <w:rFonts w:ascii="Verdana" w:hAnsi="Verdana" w:cs="Times New Roman"/>
      <w:b/>
      <w:sz w:val="24"/>
      <w:szCs w:val="24"/>
      <w:u w:val="single"/>
      <w:lang w:val="hu-HU"/>
    </w:rPr>
  </w:style>
  <w:style w:type="character" w:customStyle="1" w:styleId="Heading3Char">
    <w:name w:val="Heading 3 Char"/>
    <w:uiPriority w:val="99"/>
    <w:locked/>
    <w:rsid w:val="00884FEB"/>
    <w:rPr>
      <w:rFonts w:cs="Times New Roman"/>
      <w:sz w:val="24"/>
      <w:szCs w:val="24"/>
      <w:lang w:val="hu-HU"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hu-HU"/>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u-HU"/>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u-HU"/>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u-HU"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u-HU"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u-HU"/>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u-HU"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u-HU"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u-HU"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eiroc.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F85935-BFF6-4565-9773-818741E98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233</Pages>
  <Words>65383</Words>
  <Characters>451797</Characters>
  <Application>Microsoft Office Word</Application>
  <DocSecurity>0</DocSecurity>
  <Lines>10268</Lines>
  <Paragraphs>5944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511236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V NAGY Ildiko (DGT)</cp:lastModifiedBy>
  <cp:revision>4</cp:revision>
  <dcterms:created xsi:type="dcterms:W3CDTF">2020-01-27T10:44:00Z</dcterms:created>
  <dcterms:modified xsi:type="dcterms:W3CDTF">2020-01-27T10:59:00Z</dcterms:modified>
</cp:coreProperties>
</file>