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07713" w14:textId="11554DC5" w:rsidR="0024490E" w:rsidRPr="00B6790F" w:rsidRDefault="00471D11" w:rsidP="00E62772">
      <w:pPr>
        <w:pStyle w:val="Pagedecouverture"/>
      </w:pPr>
      <w:bookmarkStart w:id="0" w:name="_GoBack"/>
      <w:bookmarkEnd w:id="0"/>
      <w:r>
        <w:pict w14:anchorId="294092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4352BDC-FEC9-433E-B334-ED15C65FFBB3" style="width:450.75pt;height:395.25pt">
            <v:imagedata r:id="rId8" o:title=""/>
          </v:shape>
        </w:pict>
      </w:r>
    </w:p>
    <w:p w14:paraId="7EA50C89" w14:textId="77777777" w:rsidR="0024490E" w:rsidRPr="00B6790F" w:rsidRDefault="0024490E">
      <w:pPr>
        <w:sectPr w:rsidR="0024490E" w:rsidRPr="00B6790F" w:rsidSect="00E6277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1CDECEB2" w14:textId="0940B117" w:rsidR="0024490E" w:rsidRPr="00B6790F" w:rsidRDefault="00E62772" w:rsidP="00E62772">
      <w:pPr>
        <w:pStyle w:val="Typedudocument"/>
      </w:pPr>
      <w:r w:rsidRPr="00E62772">
        <w:lastRenderedPageBreak/>
        <w:t>REGOLAMENTO DI ESECUZIONE (UE) …/... DELLA COMMISSIONE</w:t>
      </w:r>
    </w:p>
    <w:p w14:paraId="2AAC3DEF" w14:textId="7A00A46F" w:rsidR="0024490E" w:rsidRPr="00B6790F" w:rsidRDefault="00E62772" w:rsidP="00E62772">
      <w:pPr>
        <w:pStyle w:val="Datedadoption"/>
        <w:rPr>
          <w:rStyle w:val="Marker2"/>
        </w:rPr>
      </w:pPr>
      <w:r w:rsidRPr="00E62772">
        <w:t xml:space="preserve">del </w:t>
      </w:r>
      <w:r w:rsidRPr="00E62772">
        <w:rPr>
          <w:rStyle w:val="Marker2"/>
        </w:rPr>
        <w:t>XXX</w:t>
      </w:r>
    </w:p>
    <w:p w14:paraId="2CD0C74D" w14:textId="5B5396B5" w:rsidR="0024490E" w:rsidRPr="00B6790F" w:rsidRDefault="00E62772" w:rsidP="00E62772">
      <w:pPr>
        <w:pStyle w:val="Titreobjet"/>
      </w:pPr>
      <w:r w:rsidRPr="00E62772">
        <w:t>che modifica il regolamento di esecuzione (UE) n. 680/2014 che stabilisce norme tecniche di attuazione per quanto riguarda le segnalazioni degli enti a fini di vigilanza conformemente al regolamento (UE) n. 575/2013 del Parlamento europeo e del Consiglio</w:t>
      </w:r>
    </w:p>
    <w:p w14:paraId="607AA7C4" w14:textId="23DF8CB2" w:rsidR="0024490E" w:rsidRPr="00B6790F" w:rsidRDefault="00E62772" w:rsidP="00E62772">
      <w:pPr>
        <w:pStyle w:val="IntrtEEE"/>
      </w:pPr>
      <w:r w:rsidRPr="00E62772">
        <w:t>(Testo rilevante ai fini del SEE)</w:t>
      </w:r>
    </w:p>
    <w:p w14:paraId="5C82FF64" w14:textId="77777777" w:rsidR="0024490E" w:rsidRPr="00B6790F" w:rsidRDefault="001B445C">
      <w:pPr>
        <w:pStyle w:val="Institutionquiagit"/>
      </w:pPr>
      <w:r w:rsidRPr="00B6790F">
        <w:t>LA COMMISSIONE EUROPEA,</w:t>
      </w:r>
    </w:p>
    <w:p w14:paraId="288C7C77" w14:textId="24FB038E" w:rsidR="0024490E" w:rsidRPr="00B6790F" w:rsidRDefault="001B445C">
      <w:r w:rsidRPr="00B6790F">
        <w:t>visto il trattato sul funzionamento dell</w:t>
      </w:r>
      <w:r w:rsidR="009D5262">
        <w:t>'</w:t>
      </w:r>
      <w:r w:rsidRPr="00B6790F">
        <w:t>Unione europea,</w:t>
      </w:r>
    </w:p>
    <w:p w14:paraId="308FB29B" w14:textId="19D037A9" w:rsidR="0024490E" w:rsidRPr="00B6790F" w:rsidRDefault="00753BED">
      <w:r>
        <w:t>visto il regolamento (UE) n. </w:t>
      </w:r>
      <w:r w:rsidR="001B445C" w:rsidRPr="00B6790F">
        <w:t xml:space="preserve">575/2013 del Parlamento </w:t>
      </w:r>
      <w:r>
        <w:t>europeo e del Consiglio, del 26 giugno </w:t>
      </w:r>
      <w:r w:rsidR="001B445C" w:rsidRPr="00B6790F">
        <w:t xml:space="preserve">2013, relativo ai requisiti prudenziali per gli enti creditizi e le imprese di investimento e che </w:t>
      </w:r>
      <w:r>
        <w:t>modifica il regolamento (UE) n. </w:t>
      </w:r>
      <w:r w:rsidR="001B445C" w:rsidRPr="00B6790F">
        <w:t>648/2012</w:t>
      </w:r>
      <w:r w:rsidR="001B445C" w:rsidRPr="00B6790F">
        <w:rPr>
          <w:rStyle w:val="FootnoteReference"/>
        </w:rPr>
        <w:footnoteReference w:id="1"/>
      </w:r>
      <w:r>
        <w:t>, in particolare l</w:t>
      </w:r>
      <w:r w:rsidR="009D5262">
        <w:t>'</w:t>
      </w:r>
      <w:r>
        <w:t>articolo 99, paragrafo </w:t>
      </w:r>
      <w:r w:rsidR="001B445C" w:rsidRPr="00B6790F">
        <w:t>5,</w:t>
      </w:r>
    </w:p>
    <w:p w14:paraId="13C3A1D4" w14:textId="77777777" w:rsidR="0024490E" w:rsidRPr="00B6790F" w:rsidRDefault="001B445C">
      <w:r w:rsidRPr="00B6790F">
        <w:t>considerando quanto segue:</w:t>
      </w:r>
    </w:p>
    <w:p w14:paraId="5323FA5C" w14:textId="41604AB5" w:rsidR="0024490E" w:rsidRPr="00B6790F" w:rsidRDefault="001B445C">
      <w:pPr>
        <w:pStyle w:val="Considrant"/>
        <w:numPr>
          <w:ilvl w:val="0"/>
          <w:numId w:val="10"/>
        </w:numPr>
      </w:pPr>
      <w:r w:rsidRPr="00B6790F">
        <w:t>Il re</w:t>
      </w:r>
      <w:r w:rsidR="00753BED">
        <w:t>golamento di esecuzione (UE) n. </w:t>
      </w:r>
      <w:r w:rsidRPr="00B6790F">
        <w:t>680/2014 della Commissione</w:t>
      </w:r>
      <w:r w:rsidRPr="00B6790F">
        <w:rPr>
          <w:rStyle w:val="FootnoteReference"/>
        </w:rPr>
        <w:footnoteReference w:id="2"/>
      </w:r>
      <w:r w:rsidRPr="00B6790F">
        <w:t xml:space="preserve"> stabilisce requisiti uniformi per gli enti in materia di segnalazioni a fini di vigilanza alle autorità co</w:t>
      </w:r>
      <w:r w:rsidR="00753BED">
        <w:t>mpetenti ai fini degli articoli 99 e 100, dell</w:t>
      </w:r>
      <w:r w:rsidR="009D5262">
        <w:t>'</w:t>
      </w:r>
      <w:r w:rsidR="00753BED">
        <w:t xml:space="preserve">articolo 101, paragrafo 4, </w:t>
      </w:r>
      <w:r w:rsidR="00753BED" w:rsidRPr="00753BED">
        <w:t>lettera</w:t>
      </w:r>
      <w:r w:rsidR="00753BED">
        <w:t> </w:t>
      </w:r>
      <w:r w:rsidRPr="00753BED">
        <w:t>a</w:t>
      </w:r>
      <w:r w:rsidR="00753BED">
        <w:t>), dell</w:t>
      </w:r>
      <w:r w:rsidR="009D5262">
        <w:t>'</w:t>
      </w:r>
      <w:r w:rsidR="00753BED">
        <w:t>articolo 394, paragrafo 1, e degli articoli </w:t>
      </w:r>
      <w:r w:rsidRPr="00B6790F">
        <w:t xml:space="preserve">415 e 430 del </w:t>
      </w:r>
      <w:r w:rsidR="00753BED">
        <w:t>regolamento (UE) n. </w:t>
      </w:r>
      <w:r w:rsidRPr="00B6790F">
        <w:t>575/2013.</w:t>
      </w:r>
    </w:p>
    <w:p w14:paraId="26488C0A" w14:textId="3506B39E" w:rsidR="0024490E" w:rsidRPr="00B6790F" w:rsidRDefault="00EA64E6">
      <w:pPr>
        <w:pStyle w:val="Considrant"/>
      </w:pPr>
      <w:r w:rsidRPr="00B6790F">
        <w:t>Il regolamento (UE) 2017/2402 del Parlamento europeo e del Consiglio</w:t>
      </w:r>
      <w:r w:rsidRPr="00B6790F">
        <w:rPr>
          <w:rStyle w:val="FootnoteReference"/>
        </w:rPr>
        <w:footnoteReference w:id="3"/>
      </w:r>
      <w:r w:rsidRPr="00B6790F">
        <w:t xml:space="preserve"> stabilisce una nuova disciplina riguardante la cartolarizzazione, che comprende un quadro specifico per cartolarizzazioni semplici, trasparenti e standardizzate (STS). Il predetto regolamento prevede un trattamento preferenziale per le cartolarizzazioni STS e alcune cartolarizzazioni sintetiche per le PMI e introduce un trattamento regolamentare più sensibile al rischio per le esposizioni verso le cartolarizzazioni. Il re</w:t>
      </w:r>
      <w:r w:rsidR="00753BED">
        <w:t>golamento di esecuzione (UE) n. </w:t>
      </w:r>
      <w:r w:rsidRPr="00B6790F">
        <w:t>680/2014 deve essere modificato per adattare a questo nuovo quadro il sistema di segnalazione delle posizioni verso la cartolarizzazione.</w:t>
      </w:r>
    </w:p>
    <w:p w14:paraId="483135B2" w14:textId="231DFB07" w:rsidR="0024490E" w:rsidRPr="00B6790F" w:rsidRDefault="00753BED">
      <w:pPr>
        <w:pStyle w:val="Considrant"/>
      </w:pPr>
      <w:r>
        <w:lastRenderedPageBreak/>
        <w:t>Il regolamento (CE) n. </w:t>
      </w:r>
      <w:r w:rsidR="00D913C8" w:rsidRPr="00B6790F">
        <w:t>1126/2008 della Commissione</w:t>
      </w:r>
      <w:r w:rsidR="00D913C8" w:rsidRPr="00B6790F">
        <w:rPr>
          <w:rStyle w:val="FootnoteReference"/>
        </w:rPr>
        <w:footnoteReference w:id="4"/>
      </w:r>
      <w:r w:rsidR="00D913C8" w:rsidRPr="00B6790F">
        <w:t xml:space="preserve"> è stato modificato dal regolamento (UE) 2017/1986 della Commissione</w:t>
      </w:r>
      <w:r w:rsidR="00D913C8" w:rsidRPr="00B6790F">
        <w:rPr>
          <w:rStyle w:val="FootnoteReference"/>
        </w:rPr>
        <w:footnoteReference w:id="5"/>
      </w:r>
      <w:r w:rsidR="00D913C8" w:rsidRPr="00B6790F">
        <w:t>, il quale ha recepito l</w:t>
      </w:r>
      <w:r w:rsidR="009D5262">
        <w:t>'</w:t>
      </w:r>
      <w:r w:rsidR="00D913C8" w:rsidRPr="00B6790F">
        <w:t xml:space="preserve">International Financial Reporting Standard (IFRS) 16 </w:t>
      </w:r>
      <w:r w:rsidR="00D913C8" w:rsidRPr="00B6790F">
        <w:rPr>
          <w:i/>
        </w:rPr>
        <w:t>Leasing</w:t>
      </w:r>
      <w:r w:rsidR="00D913C8" w:rsidRPr="00B6790F">
        <w:t>, pubblicato dall</w:t>
      </w:r>
      <w:r w:rsidR="009D5262">
        <w:t>'</w:t>
      </w:r>
      <w:r w:rsidR="00D913C8" w:rsidRPr="00B6790F">
        <w:t>International Accounti</w:t>
      </w:r>
      <w:r>
        <w:t>ng Standards Board (IASB) il 13 </w:t>
      </w:r>
      <w:r w:rsidR="00D913C8" w:rsidRPr="00B6790F">
        <w:t>gennaio 2016. Il regolamento di esecuzione (UE) n. 680/2014 deve essere modificato al fine di rispecchiare tali cambiamenti.</w:t>
      </w:r>
    </w:p>
    <w:p w14:paraId="22E5D43E" w14:textId="75BB4996" w:rsidR="0024490E" w:rsidRPr="00B6790F" w:rsidRDefault="00EE58F1">
      <w:pPr>
        <w:pStyle w:val="Considrant"/>
        <w:rPr>
          <w:color w:val="000000"/>
        </w:rPr>
      </w:pPr>
      <w:r w:rsidRPr="00B6790F">
        <w:t>È opportuno che le autorità competenti siano in grado di monitorare e valutare in modo efficace il profilo di rischio degli enti e di farsi un quadro dei rischi che ne derivano per il settore finanziario. Un elevato livello di esposizioni deteriorate influisce sul profilo di rischio, sulla redditività e sulla solvibilità degli enti, incidendo in ultima istanza sulla capacità di prestito all</w:t>
      </w:r>
      <w:r w:rsidR="009D5262">
        <w:t>'</w:t>
      </w:r>
      <w:r w:rsidRPr="00B6790F">
        <w:t>economia nel suo complesso. È pertanto opportuno rivedere gli obblighi di segnalazione per consentire alle autorità competenti di valutare e monitorare in maniera più efficace le esposizioni deteriorate, raccogliendo in maniera ricorrente informazioni più granulari su tali esposizioni, e per colmare le lacune individuate in materia di dati.</w:t>
      </w:r>
    </w:p>
    <w:p w14:paraId="660C1B8C" w14:textId="650CF8F2" w:rsidR="0024490E" w:rsidRPr="00B6790F" w:rsidRDefault="00F95996">
      <w:pPr>
        <w:pStyle w:val="Considrant"/>
        <w:rPr>
          <w:color w:val="000000"/>
        </w:rPr>
      </w:pPr>
      <w:r w:rsidRPr="00B6790F">
        <w:t>Inoltre, la struttura e l</w:t>
      </w:r>
      <w:r w:rsidR="009D5262">
        <w:t>'</w:t>
      </w:r>
      <w:r w:rsidRPr="00B6790F">
        <w:t>entità delle spese degli enti influenzano in modo significativo la redditività e la sostenibilità dei loro modelli di business. Per permettere alle autorità competenti di acquisire informazioni più approfondite su tali spese, è opportuno migliorare il quadro di riferimento per le segnalazioni.</w:t>
      </w:r>
    </w:p>
    <w:p w14:paraId="7989BF92" w14:textId="3CBAAF10" w:rsidR="0024490E" w:rsidRPr="00B6790F" w:rsidRDefault="00EA64E6">
      <w:pPr>
        <w:pStyle w:val="Considrant"/>
      </w:pPr>
      <w:r w:rsidRPr="00B6790F">
        <w:t xml:space="preserve">Il regolamento </w:t>
      </w:r>
      <w:r w:rsidRPr="00753BED">
        <w:t>delegato (UE) 2015/61 della Commissione</w:t>
      </w:r>
      <w:r w:rsidRPr="00753BED">
        <w:rPr>
          <w:rStyle w:val="FootnoteReference"/>
        </w:rPr>
        <w:footnoteReference w:id="6"/>
      </w:r>
      <w:r w:rsidRPr="00753BED">
        <w:t xml:space="preserve"> è stato modificato dal regolamento delegato (UE) 2018/1620 della Commissione</w:t>
      </w:r>
      <w:r w:rsidRPr="00753BED">
        <w:rPr>
          <w:rStyle w:val="FootnoteReference"/>
        </w:rPr>
        <w:footnoteReference w:id="7"/>
      </w:r>
      <w:r w:rsidRPr="00753BED">
        <w:t>, al fine di migliorare l</w:t>
      </w:r>
      <w:r w:rsidR="009D5262">
        <w:t>'</w:t>
      </w:r>
      <w:r w:rsidRPr="00753BED">
        <w:t>allineamento con le norme internazionali e facilitare una gestione più efficiente della liquidità da parte degli enti creditizi. Anche il re</w:t>
      </w:r>
      <w:r w:rsidR="00753BED" w:rsidRPr="00753BED">
        <w:t>golamento di esecuzione (UE) n. </w:t>
      </w:r>
      <w:r w:rsidRPr="00753BED">
        <w:t>680/2014 dovrebbe essere modificato per tenere conto di tali cambiamenti nel quadro di riferimento per la segnalazione dei requisiti in materia di copertura della liquidità per gli enti creditizi.</w:t>
      </w:r>
    </w:p>
    <w:p w14:paraId="34872B97" w14:textId="47D2AB31" w:rsidR="0024490E" w:rsidRPr="00B6790F" w:rsidRDefault="003F04FB">
      <w:pPr>
        <w:pStyle w:val="Considrant"/>
      </w:pPr>
      <w:r w:rsidRPr="00B6790F">
        <w:t>È inoltre opportuno rivedere i modelli e le istruzioni del re</w:t>
      </w:r>
      <w:r w:rsidR="00753BED">
        <w:t>golamento di esecuzione (UE) n. </w:t>
      </w:r>
      <w:r w:rsidRPr="00B6790F">
        <w:t>680/2014 per valutare nuovamente la convenienza e l</w:t>
      </w:r>
      <w:r w:rsidR="009D5262">
        <w:t>'</w:t>
      </w:r>
      <w:r w:rsidRPr="00B6790F">
        <w:t>adeguatezza delle voci per memoria incluse nei modelli e nelle istruzioni durante i primi anni di applicazione del regolamento, nonché per correggere i refusi, i riferimenti errati e le incongruenze di formattazione emersi nel corso della sua applicazione.</w:t>
      </w:r>
    </w:p>
    <w:p w14:paraId="40A01AE5" w14:textId="7106E528" w:rsidR="0024490E" w:rsidRPr="00B6790F" w:rsidRDefault="00B31B60">
      <w:pPr>
        <w:pStyle w:val="Considrant"/>
      </w:pPr>
      <w:r w:rsidRPr="00B6790F">
        <w:t xml:space="preserve">Affinché le autorità competenti possano esercitare efficacemente le loro funzioni di vigilanza, è opportuno che gli enti forniscano le loro informazioni utilizzando quanto </w:t>
      </w:r>
      <w:r w:rsidRPr="00B6790F">
        <w:lastRenderedPageBreak/>
        <w:t>prima i modelli modificati dal presente regolamento di esecuzione. Il nuovo quadro di riferimento dell</w:t>
      </w:r>
      <w:r w:rsidR="009D5262">
        <w:t>'</w:t>
      </w:r>
      <w:r w:rsidRPr="00B6790F">
        <w:t>Unione per la cartolarizzazione diven</w:t>
      </w:r>
      <w:r w:rsidR="00753BED">
        <w:t>ta pienamente applicabile il 1º </w:t>
      </w:r>
      <w:r w:rsidRPr="00B6790F">
        <w:t>gennaio 2020, dopo la scadenza delle disposizioni transitorie. Pertanto, gli obblighi di segnalazione riveduti riguardanti i fondi propri e i requisiti di fondi propri stabiliti dal presente regolamento di esecuzione dovrebber</w:t>
      </w:r>
      <w:r w:rsidR="00753BED">
        <w:t>o applicarsi a decorrere dal 30 marzo </w:t>
      </w:r>
      <w:r w:rsidRPr="00B6790F">
        <w:t>2020. Al fine di concedere agli enti e alle autorità competenti il tempo sufficiente per ottemperarvi, gli obblighi di segnalazione riveduti riguardanti le esposizioni deteriorate, le obbligazioni di debito soggette a misure di concessione, le spese operative e amministrative e le informazioni finanziarie di cui agli allegati da III a V del presente regolamento di esecuzione dovrebbero applicarsi</w:t>
      </w:r>
      <w:r w:rsidR="00753BED">
        <w:t xml:space="preserve"> a decorrere dal 1º </w:t>
      </w:r>
      <w:r w:rsidRPr="00B6790F">
        <w:t>giugno 2020. Infine, tenendo conto delle modifiche introdotte dal regolamento delegato (UE) 20</w:t>
      </w:r>
      <w:r w:rsidR="00753BED">
        <w:t>18/1620 che si applicano dal 30 </w:t>
      </w:r>
      <w:r w:rsidRPr="00B6790F">
        <w:t>aprile 2019, le disposizioni del presente regolamento di esecuzione concernenti le segnalazioni sulla liquidità dovrebber</w:t>
      </w:r>
      <w:r w:rsidR="00753BED">
        <w:t>o applicarsi a decorrere dal 1º </w:t>
      </w:r>
      <w:r w:rsidRPr="00B6790F">
        <w:t xml:space="preserve">aprile 2020. </w:t>
      </w:r>
    </w:p>
    <w:p w14:paraId="59349144" w14:textId="6EA945CE" w:rsidR="0024490E" w:rsidRPr="00B6790F" w:rsidRDefault="001B445C">
      <w:pPr>
        <w:pStyle w:val="Considrant"/>
        <w:rPr>
          <w:color w:val="000000"/>
        </w:rPr>
      </w:pPr>
      <w:r w:rsidRPr="00B6790F">
        <w:t>Il presente regolamento si basa sui progetti di norme tecniche di attuazione che l</w:t>
      </w:r>
      <w:r w:rsidR="009D5262">
        <w:t>'</w:t>
      </w:r>
      <w:r w:rsidRPr="00B6790F">
        <w:t>Autorità bancaria europea (ABE) ha presentato alla Commissione.</w:t>
      </w:r>
    </w:p>
    <w:p w14:paraId="50B5C1E2" w14:textId="6BE0DD0F" w:rsidR="0024490E" w:rsidRPr="00B6790F" w:rsidRDefault="001B445C">
      <w:pPr>
        <w:pStyle w:val="Considrant"/>
        <w:rPr>
          <w:color w:val="000000"/>
        </w:rPr>
      </w:pPr>
      <w:r w:rsidRPr="00B6790F">
        <w:t>L</w:t>
      </w:r>
      <w:r w:rsidR="009D5262">
        <w:t>'</w:t>
      </w:r>
      <w:r w:rsidRPr="00B6790F">
        <w:t>ABE ha effettuato consultazioni pubbliche aperte sui progetti di norme tecniche di attuazione su cui si basa il presente regolamento, ha analizzato i relativi costi e benefici potenziali e ha richiesto il parere del gruppo delle parti interessate nel settore bancario istit</w:t>
      </w:r>
      <w:r w:rsidR="00753BED">
        <w:t>uito conformemente all</w:t>
      </w:r>
      <w:r w:rsidR="009D5262">
        <w:t>'</w:t>
      </w:r>
      <w:r w:rsidR="00753BED">
        <w:t>articolo </w:t>
      </w:r>
      <w:r w:rsidRPr="00B6790F">
        <w:t>3</w:t>
      </w:r>
      <w:r w:rsidR="00753BED">
        <w:t>7 del regolamento (UE) n. </w:t>
      </w:r>
      <w:r w:rsidRPr="00B6790F">
        <w:t>1093/2010 del Parlamento europeo e del Consiglio</w:t>
      </w:r>
      <w:r w:rsidRPr="00B6790F">
        <w:rPr>
          <w:rStyle w:val="FootnoteReference"/>
        </w:rPr>
        <w:footnoteReference w:id="8"/>
      </w:r>
      <w:r w:rsidRPr="00B6790F">
        <w:t>. In conformità dell</w:t>
      </w:r>
      <w:r w:rsidR="009D5262">
        <w:t>'</w:t>
      </w:r>
      <w:r w:rsidRPr="00B6790F">
        <w:t>articolo 15, paragrafo 1, secondo comma, di tale regolamento, l</w:t>
      </w:r>
      <w:r w:rsidR="009D5262">
        <w:t>'</w:t>
      </w:r>
      <w:r w:rsidRPr="00B6790F">
        <w:t>ABE non ha condotto una consultazione pubblica aperta in merito alle parti dei predetti progetti di norme tecniche di attuazione che sono di natura redazionale o introducono soltanto un numero limitato di voci nel quadro di riferimento per le segnalazioni a fini di vigilanza, in quanto tale consultazione sarebbe stata sproporzionata in relazione alla portata e all</w:t>
      </w:r>
      <w:r w:rsidR="009D5262">
        <w:t>'</w:t>
      </w:r>
      <w:r w:rsidRPr="00B6790F">
        <w:t>impatto dei progetti di norme tecniche di attuazione di cui trattasi.</w:t>
      </w:r>
    </w:p>
    <w:p w14:paraId="67DBCF52" w14:textId="71EAD086" w:rsidR="0024490E" w:rsidRPr="00B6790F" w:rsidRDefault="001B445C">
      <w:pPr>
        <w:pStyle w:val="Considrant"/>
        <w:rPr>
          <w:color w:val="000000"/>
        </w:rPr>
      </w:pPr>
      <w:r w:rsidRPr="00B6790F">
        <w:t>Pertanto il re</w:t>
      </w:r>
      <w:r w:rsidR="00753BED">
        <w:t>golamento di esecuzione (UE) n. </w:t>
      </w:r>
      <w:r w:rsidRPr="00B6790F">
        <w:t>680/2014 dovrebbe essere modificato di conseguenza,</w:t>
      </w:r>
    </w:p>
    <w:p w14:paraId="76AD5CEB" w14:textId="77777777" w:rsidR="0024490E" w:rsidRPr="00B6790F" w:rsidRDefault="001B445C">
      <w:pPr>
        <w:pStyle w:val="Formuledadoption"/>
      </w:pPr>
      <w:r w:rsidRPr="00B6790F">
        <w:t>HA ADOTTATO IL PRESENTE REGOLAMENTO:</w:t>
      </w:r>
    </w:p>
    <w:p w14:paraId="73D2A54B" w14:textId="77777777" w:rsidR="0024490E" w:rsidRPr="00B6790F" w:rsidRDefault="001B445C">
      <w:pPr>
        <w:pStyle w:val="Titrearticle"/>
        <w:keepLines/>
        <w:rPr>
          <w:color w:val="000000"/>
          <w:szCs w:val="24"/>
        </w:rPr>
      </w:pPr>
      <w:r w:rsidRPr="00B6790F">
        <w:t>Articolo 1</w:t>
      </w:r>
    </w:p>
    <w:p w14:paraId="731C2D3F" w14:textId="5E675006" w:rsidR="0024490E" w:rsidRPr="00B6790F" w:rsidRDefault="001B445C">
      <w:pPr>
        <w:rPr>
          <w:szCs w:val="24"/>
        </w:rPr>
      </w:pPr>
      <w:r w:rsidRPr="00B6790F">
        <w:t>Il regolamento di esecuzi</w:t>
      </w:r>
      <w:r w:rsidR="00753BED">
        <w:t>one (UE) n. </w:t>
      </w:r>
      <w:r w:rsidRPr="00B6790F">
        <w:t>680/2014 è così modificato:</w:t>
      </w:r>
    </w:p>
    <w:p w14:paraId="1B00C599" w14:textId="484DF3A1" w:rsidR="0024490E" w:rsidRPr="00B6790F" w:rsidRDefault="00753BED">
      <w:pPr>
        <w:pStyle w:val="Point0number"/>
        <w:numPr>
          <w:ilvl w:val="0"/>
          <w:numId w:val="12"/>
        </w:numPr>
      </w:pPr>
      <w:r>
        <w:t>l</w:t>
      </w:r>
      <w:r w:rsidR="009D5262">
        <w:t>'</w:t>
      </w:r>
      <w:r>
        <w:t>articolo </w:t>
      </w:r>
      <w:r w:rsidR="00C63439" w:rsidRPr="00B6790F">
        <w:t>5 è così modificato:</w:t>
      </w:r>
    </w:p>
    <w:p w14:paraId="07A92DDE" w14:textId="67A656AC" w:rsidR="0024490E" w:rsidRPr="00B6790F" w:rsidRDefault="00753BED">
      <w:pPr>
        <w:pStyle w:val="Point1letter"/>
        <w:numPr>
          <w:ilvl w:val="3"/>
          <w:numId w:val="11"/>
        </w:numPr>
      </w:pPr>
      <w:r>
        <w:t>la lettera </w:t>
      </w:r>
      <w:r w:rsidR="00C63439" w:rsidRPr="00B6790F">
        <w:t>a) è così modificata:</w:t>
      </w:r>
    </w:p>
    <w:p w14:paraId="0051425E" w14:textId="5A88B551" w:rsidR="0024490E" w:rsidRPr="00B6790F" w:rsidRDefault="00753BED">
      <w:pPr>
        <w:pStyle w:val="Text2"/>
      </w:pPr>
      <w:r>
        <w:t>(i)</w:t>
      </w:r>
      <w:r>
        <w:tab/>
        <w:t>il punto </w:t>
      </w:r>
      <w:r w:rsidR="00294A2C" w:rsidRPr="00B6790F">
        <w:t>7 è soppresso;</w:t>
      </w:r>
    </w:p>
    <w:p w14:paraId="486BC3C6" w14:textId="4586C037" w:rsidR="0024490E" w:rsidRPr="00B6790F" w:rsidRDefault="00753BED">
      <w:pPr>
        <w:pStyle w:val="Text2"/>
      </w:pPr>
      <w:r>
        <w:t>(ii)</w:t>
      </w:r>
      <w:r>
        <w:tab/>
        <w:t>il punto </w:t>
      </w:r>
      <w:r w:rsidR="00294A2C" w:rsidRPr="00B6790F">
        <w:t>8 è sostituito dal seguente:</w:t>
      </w:r>
    </w:p>
    <w:p w14:paraId="6942628A" w14:textId="6C6D1F1B" w:rsidR="0024490E" w:rsidRPr="00B6790F" w:rsidRDefault="009D5262">
      <w:pPr>
        <w:pStyle w:val="Text1"/>
        <w:ind w:left="2268" w:right="568" w:hanging="567"/>
        <w:rPr>
          <w:szCs w:val="24"/>
        </w:rPr>
      </w:pPr>
      <w:r>
        <w:t>"</w:t>
      </w:r>
      <w:r w:rsidR="00294A2C" w:rsidRPr="00B6790F">
        <w:t>8)</w:t>
      </w:r>
      <w:r w:rsidR="00294A2C" w:rsidRPr="00B6790F">
        <w:tab/>
        <w:t xml:space="preserve">le informazioni relative alle esposizioni verso la cartolarizzazione specificate </w:t>
      </w:r>
      <w:r w:rsidR="00753BED">
        <w:t>nel modello 13.01 dell</w:t>
      </w:r>
      <w:r>
        <w:t>'</w:t>
      </w:r>
      <w:r w:rsidR="00753BED">
        <w:t>allegato </w:t>
      </w:r>
      <w:r w:rsidR="00294A2C" w:rsidRPr="00B6790F">
        <w:t>I, conformemente alle ist</w:t>
      </w:r>
      <w:r w:rsidR="00753BED">
        <w:t>ruzioni riportate nell</w:t>
      </w:r>
      <w:r>
        <w:t>'</w:t>
      </w:r>
      <w:r w:rsidR="00753BED">
        <w:t>allegato II, parte II, punto </w:t>
      </w:r>
      <w:r w:rsidR="00294A2C" w:rsidRPr="00B6790F">
        <w:t>3.7;</w:t>
      </w:r>
      <w:r>
        <w:t>"</w:t>
      </w:r>
    </w:p>
    <w:p w14:paraId="32CB27AB" w14:textId="667CF075" w:rsidR="0024490E" w:rsidRPr="00B6790F" w:rsidRDefault="00753BED">
      <w:pPr>
        <w:pStyle w:val="Point1letter"/>
      </w:pPr>
      <w:r>
        <w:t>alla lettera b), il punto </w:t>
      </w:r>
      <w:r w:rsidR="00D63710" w:rsidRPr="00B6790F">
        <w:t>1 è sostituito dal seguente:</w:t>
      </w:r>
    </w:p>
    <w:p w14:paraId="2C729D6F" w14:textId="4A0FDDD7" w:rsidR="0024490E" w:rsidRPr="00B6790F" w:rsidRDefault="009D5262">
      <w:pPr>
        <w:pStyle w:val="Text1"/>
        <w:ind w:left="1701" w:right="568" w:hanging="567"/>
        <w:rPr>
          <w:szCs w:val="24"/>
        </w:rPr>
      </w:pPr>
      <w:r>
        <w:t>"</w:t>
      </w:r>
      <w:r w:rsidR="00DC3927" w:rsidRPr="00B6790F">
        <w:t>1)</w:t>
      </w:r>
      <w:r w:rsidR="00DC3927" w:rsidRPr="00B6790F">
        <w:tab/>
        <w:t>le informazioni relative a tutte le esposizioni verso la cartolarizzazione specificate nei m</w:t>
      </w:r>
      <w:r w:rsidR="00753BED">
        <w:t>odelli 14 e 14.01 dell</w:t>
      </w:r>
      <w:r>
        <w:t>'</w:t>
      </w:r>
      <w:r w:rsidR="00753BED">
        <w:t>allegato </w:t>
      </w:r>
      <w:r w:rsidR="00DC3927" w:rsidRPr="00B6790F">
        <w:t>I, conformemente alle ist</w:t>
      </w:r>
      <w:r w:rsidR="00753BED">
        <w:t>ruzioni riportate nell</w:t>
      </w:r>
      <w:r>
        <w:t>'</w:t>
      </w:r>
      <w:r w:rsidR="00753BED">
        <w:t>allegato II, parte II, punto </w:t>
      </w:r>
      <w:r w:rsidR="00DC3927" w:rsidRPr="00B6790F">
        <w:t>3.9.</w:t>
      </w:r>
    </w:p>
    <w:p w14:paraId="36BD954D" w14:textId="6AEA6520" w:rsidR="0024490E" w:rsidRPr="00B6790F" w:rsidRDefault="002A096A">
      <w:pPr>
        <w:pStyle w:val="Text1"/>
        <w:ind w:left="1701" w:right="568"/>
        <w:rPr>
          <w:szCs w:val="24"/>
        </w:rPr>
      </w:pPr>
      <w:r w:rsidRPr="00B6790F">
        <w:t>Gli enti sono esentati dalla presentazione di tali dettagli sulle cartolarizzazioni qualora facciano parte di un gruppo nello stesso paese in cui sono soggetti ai requisiti di fondi propri;</w:t>
      </w:r>
      <w:r w:rsidR="009D5262">
        <w:t>"</w:t>
      </w:r>
    </w:p>
    <w:p w14:paraId="22157E12" w14:textId="722DC4DA" w:rsidR="0024490E" w:rsidRPr="00B6790F" w:rsidRDefault="00753BED">
      <w:r>
        <w:t>(2)</w:t>
      </w:r>
      <w:r>
        <w:tab/>
        <w:t>all</w:t>
      </w:r>
      <w:r w:rsidR="009D5262">
        <w:t>'</w:t>
      </w:r>
      <w:r>
        <w:t>articolo </w:t>
      </w:r>
      <w:r w:rsidR="00DC3927" w:rsidRPr="00B6790F">
        <w:t xml:space="preserve">9, il </w:t>
      </w:r>
      <w:r>
        <w:t>paragrafo </w:t>
      </w:r>
      <w:r w:rsidR="00DC3927" w:rsidRPr="00B6790F">
        <w:t>2 è così modificato:</w:t>
      </w:r>
    </w:p>
    <w:p w14:paraId="2D923CE0" w14:textId="0E7607D4" w:rsidR="0024490E" w:rsidRPr="00B6790F" w:rsidRDefault="00753BED">
      <w:pPr>
        <w:pStyle w:val="Text1"/>
      </w:pPr>
      <w:r>
        <w:t>(i)</w:t>
      </w:r>
      <w:r>
        <w:tab/>
        <w:t>la lettera </w:t>
      </w:r>
      <w:r w:rsidR="00C52F81" w:rsidRPr="00B6790F">
        <w:t>c) è sostituita dalla seguente:</w:t>
      </w:r>
    </w:p>
    <w:p w14:paraId="5E362A06" w14:textId="1372D66B" w:rsidR="0024490E" w:rsidRPr="00B6790F" w:rsidRDefault="009D5262">
      <w:pPr>
        <w:pStyle w:val="Text1"/>
        <w:ind w:left="1701" w:right="568" w:hanging="567"/>
        <w:rPr>
          <w:szCs w:val="24"/>
        </w:rPr>
      </w:pPr>
      <w:r>
        <w:t>"</w:t>
      </w:r>
      <w:r w:rsidR="00DC3927" w:rsidRPr="00B6790F">
        <w:t>c)</w:t>
      </w:r>
      <w:r w:rsidR="00DC3927" w:rsidRPr="00B6790F">
        <w:tab/>
        <w:t>le informa</w:t>
      </w:r>
      <w:r w:rsidR="00753BED">
        <w:t>zioni specificate nell</w:t>
      </w:r>
      <w:r>
        <w:t>'</w:t>
      </w:r>
      <w:r w:rsidR="00753BED">
        <w:t>allegato III, parte </w:t>
      </w:r>
      <w:r w:rsidR="00DC3927" w:rsidRPr="00B6790F">
        <w:t xml:space="preserve">4, ad eccezione di quelle </w:t>
      </w:r>
      <w:r w:rsidR="00753BED">
        <w:t>specificate nel modello </w:t>
      </w:r>
      <w:r w:rsidR="00DC3927" w:rsidRPr="00B6790F">
        <w:t>47, con frequenza annuale;</w:t>
      </w:r>
      <w:r>
        <w:t>"</w:t>
      </w:r>
    </w:p>
    <w:p w14:paraId="5EF72169" w14:textId="51151595" w:rsidR="0024490E" w:rsidRPr="00B6790F" w:rsidRDefault="00C52F81">
      <w:pPr>
        <w:pStyle w:val="Text1"/>
      </w:pPr>
      <w:r w:rsidRPr="00B6790F">
        <w:t>(ii)</w:t>
      </w:r>
      <w:r w:rsidRPr="00B6790F">
        <w:tab/>
        <w:t>so</w:t>
      </w:r>
      <w:r w:rsidR="00753BED">
        <w:t>no aggiunte le seguenti lettere </w:t>
      </w:r>
      <w:r w:rsidRPr="00B6790F">
        <w:t>h) e i):</w:t>
      </w:r>
    </w:p>
    <w:p w14:paraId="49C9B54D" w14:textId="7254FA93" w:rsidR="0024490E" w:rsidRPr="00B6790F" w:rsidRDefault="009D5262">
      <w:pPr>
        <w:pStyle w:val="Text1"/>
        <w:ind w:left="1701" w:right="568" w:hanging="567"/>
        <w:rPr>
          <w:szCs w:val="24"/>
        </w:rPr>
      </w:pPr>
      <w:r>
        <w:t>"</w:t>
      </w:r>
      <w:r w:rsidR="00C52F81" w:rsidRPr="00B6790F">
        <w:t>h)</w:t>
      </w:r>
      <w:r w:rsidR="00C52F81" w:rsidRPr="00B6790F">
        <w:tab/>
        <w:t>con frequenza trimestrale, le informaz</w:t>
      </w:r>
      <w:r w:rsidR="00753BED">
        <w:t>ioni specificate nei modelli da 23 a 26 nell</w:t>
      </w:r>
      <w:r>
        <w:t>'</w:t>
      </w:r>
      <w:r w:rsidR="00753BED">
        <w:t>allegato III, parte </w:t>
      </w:r>
      <w:r w:rsidR="00C52F81" w:rsidRPr="00B6790F">
        <w:t>2, se sono soddisfatte entrambe le condizioni seguenti:</w:t>
      </w:r>
    </w:p>
    <w:p w14:paraId="5A3D23FC" w14:textId="6CFF9EDB" w:rsidR="0024490E" w:rsidRPr="00B6790F" w:rsidRDefault="001B445C">
      <w:pPr>
        <w:pStyle w:val="Text2"/>
        <w:ind w:left="2268" w:right="568" w:hanging="567"/>
        <w:rPr>
          <w:szCs w:val="24"/>
        </w:rPr>
      </w:pPr>
      <w:r w:rsidRPr="00B6790F">
        <w:t>i)</w:t>
      </w:r>
      <w:r w:rsidRPr="00B6790F">
        <w:tab/>
        <w:t>l</w:t>
      </w:r>
      <w:r w:rsidR="009D5262">
        <w:t>'</w:t>
      </w:r>
      <w:r w:rsidRPr="00B6790F">
        <w:t>ente non è un ente piccolo e non c</w:t>
      </w:r>
      <w:r w:rsidR="00753BED">
        <w:t>omplesso ai sensi dell</w:t>
      </w:r>
      <w:r w:rsidR="009D5262">
        <w:t>'</w:t>
      </w:r>
      <w:r w:rsidR="00753BED">
        <w:t>articolo 4, paragrafo 1, punto 145, del regolamento (UE) n. </w:t>
      </w:r>
      <w:r w:rsidRPr="00B6790F">
        <w:t>575/2013;</w:t>
      </w:r>
    </w:p>
    <w:p w14:paraId="769A72A7" w14:textId="045B9952" w:rsidR="0024490E" w:rsidRPr="00B6790F" w:rsidRDefault="001B445C">
      <w:pPr>
        <w:pStyle w:val="Text2"/>
        <w:ind w:left="2268" w:right="568" w:hanging="567"/>
        <w:rPr>
          <w:szCs w:val="24"/>
        </w:rPr>
      </w:pPr>
      <w:r w:rsidRPr="00B6790F">
        <w:t>ii)</w:t>
      </w:r>
      <w:r w:rsidRPr="00B6790F">
        <w:tab/>
        <w:t>il rapporto tra il valore contabile lordo dei prestiti e delle anticipazioni deteriorati dell</w:t>
      </w:r>
      <w:r w:rsidR="009D5262">
        <w:t>'</w:t>
      </w:r>
      <w:r w:rsidRPr="00B6790F">
        <w:t xml:space="preserve">ente e il valore contabile lordo totale dei prestiti e delle anticipazioni che rientrano nella categoria delle esposizioni </w:t>
      </w:r>
      <w:r w:rsidR="00753BED">
        <w:t>deteriorate di cui all</w:t>
      </w:r>
      <w:r w:rsidR="009D5262">
        <w:t>'</w:t>
      </w:r>
      <w:r w:rsidR="00753BED">
        <w:t>allegato V, parte 2, sezione </w:t>
      </w:r>
      <w:r w:rsidRPr="00B6790F">
        <w:t>17, del presente regolamento è pari o superiore al 5 %. Ai fini del presente punto, il rapporto non comprende, sia nel numeratore che nel denominatore, i prestiti e le anticipazioni classificati come posseduti per la vendita, i saldi di cassa presso le banche centrali e gli altri depositi a vista.</w:t>
      </w:r>
    </w:p>
    <w:p w14:paraId="1E2D7764" w14:textId="5A76B970" w:rsidR="0024490E" w:rsidRPr="00B6790F" w:rsidRDefault="0084057B">
      <w:pPr>
        <w:pStyle w:val="Text2"/>
        <w:ind w:left="1678" w:right="568" w:firstLine="23"/>
        <w:rPr>
          <w:szCs w:val="24"/>
        </w:rPr>
      </w:pPr>
      <w:r w:rsidRPr="00B6790F">
        <w:t>Si applicano i criteri di inclusione e di esclusione di c</w:t>
      </w:r>
      <w:r w:rsidR="00753BED">
        <w:t>ui all</w:t>
      </w:r>
      <w:r w:rsidR="009D5262">
        <w:t>'</w:t>
      </w:r>
      <w:r w:rsidR="00753BED">
        <w:t>articolo </w:t>
      </w:r>
      <w:r w:rsidRPr="00B6790F">
        <w:t>4;</w:t>
      </w:r>
    </w:p>
    <w:p w14:paraId="514A0195" w14:textId="3088489D" w:rsidR="0024490E" w:rsidRPr="00B6790F" w:rsidRDefault="00D63710">
      <w:pPr>
        <w:pStyle w:val="Text1"/>
        <w:ind w:left="1701" w:right="568" w:hanging="567"/>
        <w:rPr>
          <w:szCs w:val="24"/>
        </w:rPr>
      </w:pPr>
      <w:r w:rsidRPr="00B6790F">
        <w:t>i)</w:t>
      </w:r>
      <w:r w:rsidRPr="00B6790F">
        <w:tab/>
        <w:t>con frequenza annuale, le informazioni specifica</w:t>
      </w:r>
      <w:r w:rsidR="00753BED">
        <w:t>te nel modello 47 dell</w:t>
      </w:r>
      <w:r w:rsidR="009D5262">
        <w:t>'</w:t>
      </w:r>
      <w:r w:rsidR="00753BED">
        <w:t>allegato III, parte </w:t>
      </w:r>
      <w:r w:rsidRPr="00B6790F">
        <w:t>4, se sono soddisfatte entrambe le</w:t>
      </w:r>
      <w:r w:rsidR="00753BED">
        <w:t xml:space="preserve"> condizioni di cui alla lettera h), punti </w:t>
      </w:r>
      <w:r w:rsidRPr="00B6790F">
        <w:t>i) e ii), del presente paragrafo. Si applicano i criteri di inclusione e di</w:t>
      </w:r>
      <w:r w:rsidR="00753BED">
        <w:t xml:space="preserve"> esclusione di cui all</w:t>
      </w:r>
      <w:r w:rsidR="009D5262">
        <w:t>'</w:t>
      </w:r>
      <w:r w:rsidR="00753BED">
        <w:t>articolo </w:t>
      </w:r>
      <w:r w:rsidRPr="00B6790F">
        <w:t>4.</w:t>
      </w:r>
      <w:r w:rsidR="009D5262">
        <w:t>"</w:t>
      </w:r>
      <w:r w:rsidRPr="00B6790F">
        <w:t>;</w:t>
      </w:r>
    </w:p>
    <w:p w14:paraId="1F2B8B32" w14:textId="69A8EFC0" w:rsidR="0024490E" w:rsidRPr="00B6790F" w:rsidRDefault="00753BED">
      <w:pPr>
        <w:pStyle w:val="Text1"/>
        <w:ind w:left="567" w:hanging="567"/>
        <w:rPr>
          <w:szCs w:val="24"/>
        </w:rPr>
      </w:pPr>
      <w:r>
        <w:t>(3)</w:t>
      </w:r>
      <w:r>
        <w:tab/>
        <w:t>all</w:t>
      </w:r>
      <w:r w:rsidR="009D5262">
        <w:t>'</w:t>
      </w:r>
      <w:r>
        <w:t>articolo 11, il paragrafo </w:t>
      </w:r>
      <w:r w:rsidR="00D63710" w:rsidRPr="00B6790F">
        <w:t>2 è così modificato:</w:t>
      </w:r>
    </w:p>
    <w:p w14:paraId="6487BD60" w14:textId="65BE3E46" w:rsidR="0024490E" w:rsidRPr="00B6790F" w:rsidRDefault="00753BED">
      <w:pPr>
        <w:pStyle w:val="Text1"/>
      </w:pPr>
      <w:r>
        <w:t>(i)</w:t>
      </w:r>
      <w:r>
        <w:tab/>
        <w:t>la lettera </w:t>
      </w:r>
      <w:r w:rsidR="00D63710" w:rsidRPr="00B6790F">
        <w:t>c) è sostituita dalla seguente:</w:t>
      </w:r>
    </w:p>
    <w:p w14:paraId="4678FF44" w14:textId="49EE17AA" w:rsidR="0024490E" w:rsidRPr="00B6790F" w:rsidRDefault="009D5262">
      <w:pPr>
        <w:pStyle w:val="Text1"/>
        <w:ind w:left="1701" w:right="568" w:hanging="567"/>
        <w:rPr>
          <w:szCs w:val="24"/>
        </w:rPr>
      </w:pPr>
      <w:r>
        <w:t>"</w:t>
      </w:r>
      <w:r w:rsidR="00D63710" w:rsidRPr="00B6790F">
        <w:t>c)</w:t>
      </w:r>
      <w:r w:rsidR="00D63710" w:rsidRPr="00B6790F">
        <w:tab/>
        <w:t>le informa</w:t>
      </w:r>
      <w:r w:rsidR="00753BED">
        <w:t>zioni specificate nell</w:t>
      </w:r>
      <w:r>
        <w:t>'</w:t>
      </w:r>
      <w:r w:rsidR="00753BED">
        <w:t>allegato IV, parte </w:t>
      </w:r>
      <w:r w:rsidR="00D63710" w:rsidRPr="00B6790F">
        <w:t>4, ad eccezione di</w:t>
      </w:r>
      <w:r w:rsidR="00753BED">
        <w:t xml:space="preserve"> quelle specificate nel modello </w:t>
      </w:r>
      <w:r w:rsidR="00D63710" w:rsidRPr="00B6790F">
        <w:t>47, con frequenza annuale;</w:t>
      </w:r>
      <w:r>
        <w:t>"</w:t>
      </w:r>
    </w:p>
    <w:p w14:paraId="2AE5A30E" w14:textId="60553195" w:rsidR="0024490E" w:rsidRPr="00B6790F" w:rsidRDefault="00D63710">
      <w:pPr>
        <w:pStyle w:val="Text1"/>
      </w:pPr>
      <w:r w:rsidRPr="00B6790F">
        <w:t>(ii)</w:t>
      </w:r>
      <w:r w:rsidRPr="00B6790F">
        <w:tab/>
        <w:t>so</w:t>
      </w:r>
      <w:r w:rsidR="00753BED">
        <w:t>no aggiunte le seguenti lettere </w:t>
      </w:r>
      <w:r w:rsidRPr="00B6790F">
        <w:t>h) e i):</w:t>
      </w:r>
    </w:p>
    <w:p w14:paraId="46AD1146" w14:textId="096826A6" w:rsidR="0024490E" w:rsidRPr="00B6790F" w:rsidRDefault="009D5262">
      <w:pPr>
        <w:pStyle w:val="Text1"/>
        <w:ind w:left="1701" w:hanging="567"/>
        <w:rPr>
          <w:szCs w:val="24"/>
        </w:rPr>
      </w:pPr>
      <w:r>
        <w:t>"</w:t>
      </w:r>
      <w:r w:rsidR="00D63710" w:rsidRPr="00B6790F">
        <w:t>h)</w:t>
      </w:r>
      <w:r w:rsidR="00D63710" w:rsidRPr="00B6790F">
        <w:tab/>
        <w:t>con frequenza trimestrale, le informazioni specificate nei m</w:t>
      </w:r>
      <w:r w:rsidR="00753BED">
        <w:t>odelli da 23 a 26 dell</w:t>
      </w:r>
      <w:r>
        <w:t>'</w:t>
      </w:r>
      <w:r w:rsidR="00753BED">
        <w:t>allegato IV, parte </w:t>
      </w:r>
      <w:r w:rsidR="00D63710" w:rsidRPr="00B6790F">
        <w:t>2, se sono soddisfatte le condizioni di cui all</w:t>
      </w:r>
      <w:r>
        <w:t>'</w:t>
      </w:r>
      <w:r w:rsidR="00D63710" w:rsidRPr="00B6790F">
        <w:t>articolo</w:t>
      </w:r>
      <w:r w:rsidR="00753BED">
        <w:t> 9, paragrafo </w:t>
      </w:r>
      <w:r w:rsidR="00D63710" w:rsidRPr="00B6790F">
        <w:t>2, lett</w:t>
      </w:r>
      <w:r w:rsidR="00753BED">
        <w:t>era h), punti </w:t>
      </w:r>
      <w:r w:rsidR="00D63710" w:rsidRPr="00B6790F">
        <w:t>i) e ii). Si applicano i criteri di inclusione e di</w:t>
      </w:r>
      <w:r w:rsidR="00753BED">
        <w:t xml:space="preserve"> esclusione di cui all</w:t>
      </w:r>
      <w:r>
        <w:t>'</w:t>
      </w:r>
      <w:r w:rsidR="00753BED">
        <w:t>articolo </w:t>
      </w:r>
      <w:r w:rsidR="00D63710" w:rsidRPr="00B6790F">
        <w:t>4;</w:t>
      </w:r>
    </w:p>
    <w:p w14:paraId="787C8551" w14:textId="2DDE572A" w:rsidR="0024490E" w:rsidRPr="00B6790F" w:rsidRDefault="001B445C">
      <w:pPr>
        <w:pStyle w:val="Text1"/>
        <w:ind w:left="1701" w:hanging="567"/>
        <w:rPr>
          <w:szCs w:val="24"/>
        </w:rPr>
      </w:pPr>
      <w:r w:rsidRPr="00B6790F">
        <w:t>i)</w:t>
      </w:r>
      <w:r w:rsidRPr="00B6790F">
        <w:tab/>
        <w:t>con frequenza annuale, le informazioni specifica</w:t>
      </w:r>
      <w:r w:rsidR="00753BED">
        <w:t>te nel modello 47 dell</w:t>
      </w:r>
      <w:r w:rsidR="009D5262">
        <w:t>'</w:t>
      </w:r>
      <w:r w:rsidR="00753BED">
        <w:t>allegato IV, parte </w:t>
      </w:r>
      <w:r w:rsidRPr="00B6790F">
        <w:t>4, se sono soddisfatte le</w:t>
      </w:r>
      <w:r w:rsidR="00753BED">
        <w:t xml:space="preserve"> condizioni di cui all</w:t>
      </w:r>
      <w:r w:rsidR="009D5262">
        <w:t>'</w:t>
      </w:r>
      <w:r w:rsidR="00753BED">
        <w:t>articolo </w:t>
      </w:r>
      <w:r w:rsidRPr="00B6790F">
        <w:t>9, par</w:t>
      </w:r>
      <w:r w:rsidR="00753BED">
        <w:t xml:space="preserve">agrafo 2, lettera h), </w:t>
      </w:r>
      <w:r w:rsidR="00753BED" w:rsidRPr="00753BED">
        <w:t>punti</w:t>
      </w:r>
      <w:r w:rsidR="00753BED">
        <w:t> </w:t>
      </w:r>
      <w:r w:rsidRPr="00753BED">
        <w:t>i</w:t>
      </w:r>
      <w:r w:rsidRPr="00B6790F">
        <w:t>) e ii). Si applicano i criteri di inclusione e di</w:t>
      </w:r>
      <w:r w:rsidR="00753BED">
        <w:t xml:space="preserve"> esclusione di cui all</w:t>
      </w:r>
      <w:r w:rsidR="009D5262">
        <w:t>'</w:t>
      </w:r>
      <w:r w:rsidR="00753BED">
        <w:t>articolo </w:t>
      </w:r>
      <w:r w:rsidRPr="00B6790F">
        <w:t>4.</w:t>
      </w:r>
      <w:r w:rsidR="009D5262">
        <w:t>"</w:t>
      </w:r>
      <w:r w:rsidRPr="00B6790F">
        <w:t>;</w:t>
      </w:r>
    </w:p>
    <w:p w14:paraId="5C135AED" w14:textId="5DD465D7" w:rsidR="0024490E" w:rsidRPr="00B6790F" w:rsidRDefault="00753BED">
      <w:r>
        <w:t>(4)</w:t>
      </w:r>
      <w:r>
        <w:tab/>
        <w:t>l</w:t>
      </w:r>
      <w:r w:rsidR="009D5262">
        <w:t>'</w:t>
      </w:r>
      <w:r>
        <w:t>allegato </w:t>
      </w:r>
      <w:r w:rsidR="00D63710" w:rsidRPr="00B6790F">
        <w:t>I del re</w:t>
      </w:r>
      <w:r>
        <w:t>golamento di esecuzione (UE) n. </w:t>
      </w:r>
      <w:r w:rsidR="00D63710" w:rsidRPr="00B6790F">
        <w:t>680/2014 è sostituito dal testo che figura nell</w:t>
      </w:r>
      <w:r w:rsidR="009D5262">
        <w:t>'</w:t>
      </w:r>
      <w:r w:rsidR="00D63710" w:rsidRPr="00B6790F">
        <w:t>alle</w:t>
      </w:r>
      <w:r>
        <w:t>gato </w:t>
      </w:r>
      <w:r w:rsidR="00D63710" w:rsidRPr="00B6790F">
        <w:t>I del presente regolamento;</w:t>
      </w:r>
    </w:p>
    <w:p w14:paraId="6D942284" w14:textId="1E44A5AF" w:rsidR="0024490E" w:rsidRPr="00B6790F" w:rsidRDefault="00753BED">
      <w:r>
        <w:t>(5)</w:t>
      </w:r>
      <w:r>
        <w:tab/>
        <w:t>l</w:t>
      </w:r>
      <w:r w:rsidR="009D5262">
        <w:t>'</w:t>
      </w:r>
      <w:r>
        <w:t>allegato </w:t>
      </w:r>
      <w:r w:rsidR="00D63710" w:rsidRPr="00B6790F">
        <w:t>II del re</w:t>
      </w:r>
      <w:r>
        <w:t>golamento di esecuzione (UE) n. </w:t>
      </w:r>
      <w:r w:rsidR="00D63710" w:rsidRPr="00B6790F">
        <w:t>680/2014 è sostituito dal</w:t>
      </w:r>
      <w:r>
        <w:t xml:space="preserve"> testo che figura nell</w:t>
      </w:r>
      <w:r w:rsidR="009D5262">
        <w:t>'</w:t>
      </w:r>
      <w:r>
        <w:t>allegato </w:t>
      </w:r>
      <w:r w:rsidR="00D63710" w:rsidRPr="00B6790F">
        <w:t xml:space="preserve">II del presente regolamento; </w:t>
      </w:r>
    </w:p>
    <w:p w14:paraId="66FD1BC9" w14:textId="32A65424" w:rsidR="0024490E" w:rsidRPr="00B6790F" w:rsidRDefault="00753BED">
      <w:r>
        <w:t>(6)</w:t>
      </w:r>
      <w:r>
        <w:tab/>
        <w:t>l</w:t>
      </w:r>
      <w:r w:rsidR="009D5262">
        <w:t>'</w:t>
      </w:r>
      <w:r>
        <w:t>allegato </w:t>
      </w:r>
      <w:r w:rsidR="00D63710" w:rsidRPr="00B6790F">
        <w:t>III del re</w:t>
      </w:r>
      <w:r>
        <w:t>golamento di esecuzione (UE) n. </w:t>
      </w:r>
      <w:r w:rsidR="00D63710" w:rsidRPr="00B6790F">
        <w:t>680/2014 è sostituito dal testo che figura nell</w:t>
      </w:r>
      <w:r w:rsidR="009D5262">
        <w:t>'</w:t>
      </w:r>
      <w:r w:rsidR="00D63710" w:rsidRPr="00B6790F">
        <w:t>allegato</w:t>
      </w:r>
      <w:r>
        <w:t> </w:t>
      </w:r>
      <w:r w:rsidR="00D63710" w:rsidRPr="00B6790F">
        <w:t xml:space="preserve">III del presente regolamento; </w:t>
      </w:r>
    </w:p>
    <w:p w14:paraId="171FD559" w14:textId="054DAE57" w:rsidR="0024490E" w:rsidRPr="00B6790F" w:rsidRDefault="00753BED">
      <w:r>
        <w:t>(7)</w:t>
      </w:r>
      <w:r>
        <w:tab/>
        <w:t>l</w:t>
      </w:r>
      <w:r w:rsidR="009D5262">
        <w:t>'</w:t>
      </w:r>
      <w:r>
        <w:t>allegato </w:t>
      </w:r>
      <w:r w:rsidR="00D63710" w:rsidRPr="00B6790F">
        <w:t>IV del re</w:t>
      </w:r>
      <w:r>
        <w:t>golamento di esecuzione (UE) n. </w:t>
      </w:r>
      <w:r w:rsidR="00D63710" w:rsidRPr="00B6790F">
        <w:t>680/2014 è sostituito dal</w:t>
      </w:r>
      <w:r>
        <w:t xml:space="preserve"> testo che figura nell</w:t>
      </w:r>
      <w:r w:rsidR="009D5262">
        <w:t>'</w:t>
      </w:r>
      <w:r>
        <w:t>allegato </w:t>
      </w:r>
      <w:r w:rsidR="00D63710" w:rsidRPr="00B6790F">
        <w:t xml:space="preserve">IV del presente regolamento; </w:t>
      </w:r>
    </w:p>
    <w:p w14:paraId="3B487D51" w14:textId="1FAADA26" w:rsidR="0024490E" w:rsidRPr="00B6790F" w:rsidRDefault="00753BED">
      <w:r>
        <w:t>(8)</w:t>
      </w:r>
      <w:r>
        <w:tab/>
        <w:t>l</w:t>
      </w:r>
      <w:r w:rsidR="009D5262">
        <w:t>'</w:t>
      </w:r>
      <w:r>
        <w:t>allegato </w:t>
      </w:r>
      <w:r w:rsidR="00D63710" w:rsidRPr="00B6790F">
        <w:t>V del re</w:t>
      </w:r>
      <w:r>
        <w:t>golamento di esecuzione (UE) n. </w:t>
      </w:r>
      <w:r w:rsidR="00D63710" w:rsidRPr="00B6790F">
        <w:t xml:space="preserve">680/2014 è sostituito dal </w:t>
      </w:r>
      <w:r>
        <w:t>testo che figura nell</w:t>
      </w:r>
      <w:r w:rsidR="009D5262">
        <w:t>'</w:t>
      </w:r>
      <w:r>
        <w:t>allegato </w:t>
      </w:r>
      <w:r w:rsidR="00D63710" w:rsidRPr="00B6790F">
        <w:t>V del presente regolamento;</w:t>
      </w:r>
    </w:p>
    <w:p w14:paraId="66FC58ED" w14:textId="64AE477D" w:rsidR="0024490E" w:rsidRPr="00B6790F" w:rsidRDefault="00753BED">
      <w:r>
        <w:t>(9)</w:t>
      </w:r>
      <w:r>
        <w:tab/>
        <w:t>l</w:t>
      </w:r>
      <w:r w:rsidR="009D5262">
        <w:t>'</w:t>
      </w:r>
      <w:r>
        <w:t>allegato </w:t>
      </w:r>
      <w:r w:rsidR="00D63710" w:rsidRPr="00B6790F">
        <w:t>XVIII del re</w:t>
      </w:r>
      <w:r>
        <w:t>golamento di esecuzione (UE) n. </w:t>
      </w:r>
      <w:r w:rsidR="00D63710" w:rsidRPr="00B6790F">
        <w:t>680/2014 è sostituito dal</w:t>
      </w:r>
      <w:r>
        <w:t xml:space="preserve"> testo che figura nell</w:t>
      </w:r>
      <w:r w:rsidR="009D5262">
        <w:t>'</w:t>
      </w:r>
      <w:r>
        <w:t>allegato </w:t>
      </w:r>
      <w:r w:rsidR="00D63710" w:rsidRPr="00B6790F">
        <w:t>VI del presente regolamento;</w:t>
      </w:r>
    </w:p>
    <w:p w14:paraId="79EC6764" w14:textId="77846F8A" w:rsidR="0024490E" w:rsidRPr="00B6790F" w:rsidRDefault="00753BED">
      <w:r>
        <w:t>(10)</w:t>
      </w:r>
      <w:r>
        <w:tab/>
        <w:t>l</w:t>
      </w:r>
      <w:r w:rsidR="009D5262">
        <w:t>'</w:t>
      </w:r>
      <w:r>
        <w:t>allegato </w:t>
      </w:r>
      <w:r w:rsidR="00D63710" w:rsidRPr="00B6790F">
        <w:t>XIX del regolamento di esecuzione (U</w:t>
      </w:r>
      <w:r>
        <w:t>E) n. </w:t>
      </w:r>
      <w:r w:rsidR="00D63710" w:rsidRPr="00B6790F">
        <w:t>680/2014 è sostituito dal</w:t>
      </w:r>
      <w:r>
        <w:t xml:space="preserve"> testo che figura nell</w:t>
      </w:r>
      <w:r w:rsidR="009D5262">
        <w:t>'</w:t>
      </w:r>
      <w:r>
        <w:t>allegato </w:t>
      </w:r>
      <w:r w:rsidR="00D63710" w:rsidRPr="00B6790F">
        <w:t xml:space="preserve">VII del presente regolamento; </w:t>
      </w:r>
    </w:p>
    <w:p w14:paraId="7D476BB9" w14:textId="7AAE1B52" w:rsidR="0024490E" w:rsidRPr="00B6790F" w:rsidRDefault="00753BED">
      <w:r>
        <w:t>(11)</w:t>
      </w:r>
      <w:r>
        <w:tab/>
        <w:t>l</w:t>
      </w:r>
      <w:r w:rsidR="009D5262">
        <w:t>'</w:t>
      </w:r>
      <w:r>
        <w:t>allegato </w:t>
      </w:r>
      <w:r w:rsidR="00D63710" w:rsidRPr="00B6790F">
        <w:t>XXIV del r</w:t>
      </w:r>
      <w:r>
        <w:t>egolamento di esecuzione (UE) n. </w:t>
      </w:r>
      <w:r w:rsidR="00D63710" w:rsidRPr="00B6790F">
        <w:t>680/2014 è sostituito dal</w:t>
      </w:r>
      <w:r>
        <w:t xml:space="preserve"> testo che figura nell</w:t>
      </w:r>
      <w:r w:rsidR="009D5262">
        <w:t>'</w:t>
      </w:r>
      <w:r>
        <w:t>allegato </w:t>
      </w:r>
      <w:r w:rsidR="00D63710" w:rsidRPr="00B6790F">
        <w:t>VIII del presente regolamento;</w:t>
      </w:r>
    </w:p>
    <w:p w14:paraId="37FC96E9" w14:textId="4027F9DB" w:rsidR="0024490E" w:rsidRPr="00B6790F" w:rsidRDefault="00D63710">
      <w:r w:rsidRPr="00B6790F">
        <w:t>(12)</w:t>
      </w:r>
      <w:r w:rsidRPr="00B6790F">
        <w:tab/>
        <w:t>l</w:t>
      </w:r>
      <w:r w:rsidR="009D5262">
        <w:t>'</w:t>
      </w:r>
      <w:r w:rsidRPr="00B6790F">
        <w:t>allegato</w:t>
      </w:r>
      <w:r w:rsidR="00753BED">
        <w:t> </w:t>
      </w:r>
      <w:r w:rsidRPr="00B6790F">
        <w:t>XXV del re</w:t>
      </w:r>
      <w:r w:rsidR="00753BED">
        <w:t>golamento di esecuzione (UE) n. </w:t>
      </w:r>
      <w:r w:rsidRPr="00B6790F">
        <w:t>680/2014 è sostituito dal</w:t>
      </w:r>
      <w:r w:rsidR="00753BED">
        <w:t xml:space="preserve"> testo che figura nell</w:t>
      </w:r>
      <w:r w:rsidR="009D5262">
        <w:t>'</w:t>
      </w:r>
      <w:r w:rsidR="00753BED">
        <w:t>allegato </w:t>
      </w:r>
      <w:r w:rsidRPr="00B6790F">
        <w:t>IX del presente regolamento.</w:t>
      </w:r>
    </w:p>
    <w:p w14:paraId="7036487A" w14:textId="77777777" w:rsidR="0024490E" w:rsidRPr="00B6790F" w:rsidRDefault="001B445C">
      <w:pPr>
        <w:pStyle w:val="Titrearticle"/>
        <w:keepLines/>
        <w:rPr>
          <w:color w:val="000000"/>
          <w:szCs w:val="24"/>
        </w:rPr>
      </w:pPr>
      <w:r w:rsidRPr="00B6790F">
        <w:t>Articolo 2</w:t>
      </w:r>
    </w:p>
    <w:p w14:paraId="6D87565F" w14:textId="687B3B2F" w:rsidR="0024490E" w:rsidRPr="00B6790F" w:rsidRDefault="001B445C">
      <w:pPr>
        <w:rPr>
          <w:color w:val="000000"/>
          <w:szCs w:val="24"/>
        </w:rPr>
      </w:pPr>
      <w:r w:rsidRPr="00B6790F">
        <w:t xml:space="preserve">Il presente regolamento entra in vigore il giorno successivo alla pubblicazione nella </w:t>
      </w:r>
      <w:r w:rsidRPr="00B6790F">
        <w:rPr>
          <w:i/>
        </w:rPr>
        <w:t>Gazzetta ufficiale dell</w:t>
      </w:r>
      <w:r w:rsidR="009D5262">
        <w:rPr>
          <w:i/>
        </w:rPr>
        <w:t>'</w:t>
      </w:r>
      <w:r w:rsidRPr="00B6790F">
        <w:rPr>
          <w:i/>
        </w:rPr>
        <w:t>Unione europea</w:t>
      </w:r>
      <w:r w:rsidRPr="00B6790F">
        <w:t>.</w:t>
      </w:r>
    </w:p>
    <w:p w14:paraId="7C0963A2" w14:textId="4170C413" w:rsidR="0024490E" w:rsidRPr="00B6790F" w:rsidRDefault="00753BED">
      <w:pPr>
        <w:rPr>
          <w:color w:val="000000"/>
          <w:szCs w:val="24"/>
        </w:rPr>
      </w:pPr>
      <w:r>
        <w:t>L</w:t>
      </w:r>
      <w:r w:rsidR="009D5262">
        <w:t>'</w:t>
      </w:r>
      <w:r>
        <w:t>articolo 1, punti </w:t>
      </w:r>
      <w:r w:rsidR="00FB65A6" w:rsidRPr="00B6790F">
        <w:t>(1), (4) e (5)</w:t>
      </w:r>
      <w:r>
        <w:t>, si applica a decorrere dal 30 marzo 2020. L</w:t>
      </w:r>
      <w:r w:rsidR="009D5262">
        <w:t>'</w:t>
      </w:r>
      <w:r>
        <w:t>articolo 1, punti da </w:t>
      </w:r>
      <w:r w:rsidR="00FB65A6" w:rsidRPr="00B6790F">
        <w:t>(9) a (12)</w:t>
      </w:r>
      <w:r>
        <w:t>, si applica a decorrere dal 1° aprile 2020. L</w:t>
      </w:r>
      <w:r w:rsidR="009D5262">
        <w:t>'</w:t>
      </w:r>
      <w:r>
        <w:t>articolo 1, punti </w:t>
      </w:r>
      <w:r w:rsidR="00FB65A6" w:rsidRPr="00B6790F">
        <w:t>(2), (3) e da (6) a (8)</w:t>
      </w:r>
      <w:r>
        <w:t>, si applica a decorrere dal 1° </w:t>
      </w:r>
      <w:r w:rsidR="00FB65A6" w:rsidRPr="00B6790F">
        <w:t>giugno 2020.</w:t>
      </w:r>
    </w:p>
    <w:p w14:paraId="0F403810" w14:textId="77777777" w:rsidR="0024490E" w:rsidRPr="00B6790F" w:rsidRDefault="001B445C">
      <w:pPr>
        <w:rPr>
          <w:color w:val="000000"/>
          <w:szCs w:val="24"/>
        </w:rPr>
      </w:pPr>
      <w:r w:rsidRPr="00B6790F">
        <w:t>Il presente regolamento è obbligatorio in tutti i suoi elementi e direttamente applicabile in ciascuno degli Stati membri.</w:t>
      </w:r>
    </w:p>
    <w:p w14:paraId="2DB37B2E" w14:textId="47E7988B" w:rsidR="0024490E" w:rsidRPr="00B6790F" w:rsidRDefault="00E62772" w:rsidP="00E62772">
      <w:pPr>
        <w:pStyle w:val="Fait"/>
      </w:pPr>
      <w:r w:rsidRPr="00E62772">
        <w:t>Fatto a Bruxelles, il</w:t>
      </w:r>
    </w:p>
    <w:p w14:paraId="5989647B" w14:textId="77777777" w:rsidR="0024490E" w:rsidRPr="00B6790F" w:rsidRDefault="001B445C">
      <w:pPr>
        <w:pStyle w:val="Institutionquisigne"/>
      </w:pPr>
      <w:r w:rsidRPr="00B6790F">
        <w:tab/>
        <w:t>Per la Commissione</w:t>
      </w:r>
    </w:p>
    <w:p w14:paraId="06E0BB8C" w14:textId="7F367528" w:rsidR="0024490E" w:rsidRPr="00B6790F" w:rsidRDefault="00B71BC4">
      <w:pPr>
        <w:pStyle w:val="Personnequisigne"/>
      </w:pPr>
      <w:r w:rsidRPr="00B6790F">
        <w:tab/>
        <w:t>La presidente</w:t>
      </w:r>
      <w:r w:rsidRPr="00B6790F">
        <w:br/>
      </w:r>
      <w:r w:rsidRPr="00B6790F">
        <w:tab/>
        <w:t>Ursula von der Leyen</w:t>
      </w:r>
    </w:p>
    <w:sectPr w:rsidR="0024490E" w:rsidRPr="00B6790F" w:rsidSect="00E62772">
      <w:footerReference w:type="default" r:id="rId15"/>
      <w:footerReference w:type="first" r:id="rId16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9A566" w14:textId="77777777" w:rsidR="0024490E" w:rsidRDefault="001D2590">
      <w:r>
        <w:separator/>
      </w:r>
    </w:p>
    <w:p w14:paraId="169B0B81" w14:textId="77777777" w:rsidR="0024490E" w:rsidRDefault="0024490E"/>
    <w:p w14:paraId="55151859" w14:textId="77777777" w:rsidR="0024490E" w:rsidRDefault="0024490E"/>
  </w:endnote>
  <w:endnote w:type="continuationSeparator" w:id="0">
    <w:p w14:paraId="1F1B705E" w14:textId="77777777" w:rsidR="0024490E" w:rsidRDefault="001D2590">
      <w:r>
        <w:continuationSeparator/>
      </w:r>
    </w:p>
    <w:p w14:paraId="7AB27653" w14:textId="77777777" w:rsidR="0024490E" w:rsidRDefault="0024490E"/>
    <w:p w14:paraId="2B72467D" w14:textId="77777777" w:rsidR="0024490E" w:rsidRDefault="002449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1F28E" w14:textId="77777777" w:rsidR="00E62772" w:rsidRPr="00E62772" w:rsidRDefault="00E62772" w:rsidP="00E627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93E12" w14:textId="3C7D2A8B" w:rsidR="00E62772" w:rsidRPr="00E62772" w:rsidRDefault="00E62772" w:rsidP="00E62772">
    <w:pPr>
      <w:pStyle w:val="Footer"/>
      <w:rPr>
        <w:rFonts w:ascii="Arial" w:hAnsi="Arial" w:cs="Arial"/>
        <w:b/>
        <w:sz w:val="48"/>
      </w:rPr>
    </w:pPr>
    <w:r w:rsidRPr="00E62772">
      <w:rPr>
        <w:rFonts w:ascii="Arial" w:hAnsi="Arial" w:cs="Arial"/>
        <w:b/>
        <w:sz w:val="48"/>
      </w:rPr>
      <w:t>IT</w:t>
    </w:r>
    <w:r w:rsidRPr="00E62772">
      <w:rPr>
        <w:rFonts w:ascii="Arial" w:hAnsi="Arial" w:cs="Arial"/>
        <w:b/>
        <w:sz w:val="48"/>
      </w:rPr>
      <w:tab/>
    </w:r>
    <w:r w:rsidRPr="00E62772">
      <w:rPr>
        <w:rFonts w:ascii="Arial" w:hAnsi="Arial" w:cs="Arial"/>
        <w:b/>
        <w:sz w:val="48"/>
      </w:rPr>
      <w:tab/>
    </w:r>
    <w:r w:rsidRPr="00E62772">
      <w:tab/>
    </w:r>
    <w:r w:rsidRPr="00E62772">
      <w:rPr>
        <w:rFonts w:ascii="Arial" w:hAnsi="Arial" w:cs="Arial"/>
        <w:b/>
        <w:sz w:val="48"/>
      </w:rPr>
      <w:t>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77E21" w14:textId="77777777" w:rsidR="00E62772" w:rsidRPr="00E62772" w:rsidRDefault="00E62772" w:rsidP="00E6277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9057D" w14:textId="1A116D95" w:rsidR="00E62772" w:rsidRPr="00E62772" w:rsidRDefault="00E62772" w:rsidP="00E62772">
    <w:pPr>
      <w:pStyle w:val="Footer"/>
      <w:rPr>
        <w:rFonts w:ascii="Arial" w:hAnsi="Arial" w:cs="Arial"/>
        <w:b/>
        <w:sz w:val="48"/>
      </w:rPr>
    </w:pPr>
    <w:r w:rsidRPr="00E62772">
      <w:rPr>
        <w:rFonts w:ascii="Arial" w:hAnsi="Arial" w:cs="Arial"/>
        <w:b/>
        <w:sz w:val="48"/>
      </w:rPr>
      <w:t>IT</w:t>
    </w:r>
    <w:r w:rsidRPr="00E62772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471D11">
      <w:rPr>
        <w:noProof/>
      </w:rPr>
      <w:t>2</w:t>
    </w:r>
    <w:r>
      <w:fldChar w:fldCharType="end"/>
    </w:r>
    <w:r>
      <w:tab/>
    </w:r>
    <w:r w:rsidRPr="00E62772">
      <w:tab/>
    </w:r>
    <w:r w:rsidRPr="00E62772">
      <w:rPr>
        <w:rFonts w:ascii="Arial" w:hAnsi="Arial" w:cs="Arial"/>
        <w:b/>
        <w:sz w:val="48"/>
      </w:rPr>
      <w:t>IT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A3C15" w14:textId="77777777" w:rsidR="00E62772" w:rsidRPr="00E62772" w:rsidRDefault="00E62772" w:rsidP="00E627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8417A" w14:textId="77777777" w:rsidR="0024490E" w:rsidRDefault="001D2590">
      <w:r>
        <w:separator/>
      </w:r>
    </w:p>
    <w:p w14:paraId="5DA4DBEE" w14:textId="77777777" w:rsidR="0024490E" w:rsidRDefault="0024490E"/>
    <w:p w14:paraId="189627FC" w14:textId="77777777" w:rsidR="0024490E" w:rsidRDefault="0024490E"/>
  </w:footnote>
  <w:footnote w:type="continuationSeparator" w:id="0">
    <w:p w14:paraId="3B46B728" w14:textId="77777777" w:rsidR="0024490E" w:rsidRDefault="001D2590">
      <w:r>
        <w:continuationSeparator/>
      </w:r>
    </w:p>
    <w:p w14:paraId="22ED3C12" w14:textId="77777777" w:rsidR="0024490E" w:rsidRDefault="0024490E"/>
    <w:p w14:paraId="02263D68" w14:textId="77777777" w:rsidR="0024490E" w:rsidRDefault="0024490E"/>
  </w:footnote>
  <w:footnote w:id="1">
    <w:p w14:paraId="3904D8AB" w14:textId="49FBC03D" w:rsidR="0024490E" w:rsidRDefault="00363BA4" w:rsidP="00753BED">
      <w:pPr>
        <w:pStyle w:val="FootnoteText"/>
        <w:ind w:left="0" w:firstLine="0"/>
      </w:pPr>
      <w:r>
        <w:rPr>
          <w:rStyle w:val="FootnoteReference"/>
        </w:rPr>
        <w:footnoteRef/>
      </w:r>
      <w:r w:rsidR="00753BED">
        <w:tab/>
        <w:t>GU L </w:t>
      </w:r>
      <w:r>
        <w:t>176 de</w:t>
      </w:r>
      <w:r w:rsidR="00753BED">
        <w:t>l 27.6.2013, pag. </w:t>
      </w:r>
      <w:r>
        <w:t>1.</w:t>
      </w:r>
    </w:p>
  </w:footnote>
  <w:footnote w:id="2">
    <w:p w14:paraId="52F74E0C" w14:textId="150BD4FC" w:rsidR="0024490E" w:rsidRPr="00753BED" w:rsidRDefault="00363BA4">
      <w:pPr>
        <w:pStyle w:val="FootnoteText"/>
      </w:pPr>
      <w:r>
        <w:rPr>
          <w:rStyle w:val="FootnoteReference"/>
        </w:rPr>
        <w:footnoteRef/>
      </w:r>
      <w:r>
        <w:tab/>
        <w:t>Re</w:t>
      </w:r>
      <w:r w:rsidR="00753BED">
        <w:t>golamento di esecuzione (UE) n. </w:t>
      </w:r>
      <w:r>
        <w:t xml:space="preserve">680/2014 della Commissione che stabilisce norme tecniche di </w:t>
      </w:r>
      <w:r w:rsidRPr="00753BED">
        <w:t>attuazione per quanto riguarda le segnalazioni degli enti a fini di vigilanza confo</w:t>
      </w:r>
      <w:r w:rsidR="00753BED" w:rsidRPr="00753BED">
        <w:t>rmemente al regolamento (UE) n. </w:t>
      </w:r>
      <w:r w:rsidRPr="00753BED">
        <w:t xml:space="preserve">575/2013 del Parlamento </w:t>
      </w:r>
      <w:r w:rsidR="00753BED" w:rsidRPr="00753BED">
        <w:t>europeo e del Consiglio (GU L 191 del 28.6.2014, pag. </w:t>
      </w:r>
      <w:r w:rsidRPr="00753BED">
        <w:t>1).</w:t>
      </w:r>
    </w:p>
  </w:footnote>
  <w:footnote w:id="3">
    <w:p w14:paraId="061DE31E" w14:textId="1CFC2308" w:rsidR="0024490E" w:rsidRDefault="00363BA4">
      <w:pPr>
        <w:pStyle w:val="FootnoteText"/>
      </w:pPr>
      <w:r w:rsidRPr="00753BED">
        <w:rPr>
          <w:rStyle w:val="FootnoteReference"/>
        </w:rPr>
        <w:footnoteRef/>
      </w:r>
      <w:r w:rsidRPr="00753BED">
        <w:tab/>
        <w:t>Regolamento (UE) 2017/2402 del Parlamento europeo e del Consiglio, del 12 dicembre 2017, che stabilisce un quadro generale per la cartolarizzazione, instaura un quadro specifico per cartolarizzazioni semplici, trasparenti e standardizzate e modifica le direttive 2009/65/CE, 2009/138/CE e 201</w:t>
      </w:r>
      <w:r w:rsidR="00753BED">
        <w:t>1/61/UE e i regolamenti (CE) n. 1060/2009 e (UE) n. </w:t>
      </w:r>
      <w:r w:rsidRPr="00753BED">
        <w:t>648/2012 (</w:t>
      </w:r>
      <w:r w:rsidRPr="00753BED">
        <w:rPr>
          <w:rStyle w:val="Emphasis"/>
          <w:i w:val="0"/>
        </w:rPr>
        <w:t>GU L 347 del 28.12.2017, pag. 35)</w:t>
      </w:r>
      <w:r w:rsidRPr="00753BED">
        <w:t>.</w:t>
      </w:r>
    </w:p>
  </w:footnote>
  <w:footnote w:id="4">
    <w:p w14:paraId="2FE98FB0" w14:textId="71DDAC5D" w:rsidR="0024490E" w:rsidRDefault="00363BA4">
      <w:pPr>
        <w:pStyle w:val="FootnoteText"/>
      </w:pPr>
      <w:r>
        <w:rPr>
          <w:rStyle w:val="FootnoteReference"/>
        </w:rPr>
        <w:footnoteRef/>
      </w:r>
      <w:r w:rsidR="00753BED">
        <w:tab/>
        <w:t>Regolamento (CE) n. </w:t>
      </w:r>
      <w:r>
        <w:t>1126/2008 della Commissione, del 3 novembre 2008, che adotta taluni principi contabili internazionali conformemente al regolamento (CE) n. 1606/2002 del Parlamento europeo e del Consiglio (GU L 320 del 29.11.2008, pag. 1).</w:t>
      </w:r>
    </w:p>
  </w:footnote>
  <w:footnote w:id="5">
    <w:p w14:paraId="7F61ACCF" w14:textId="7B79BE56" w:rsidR="0024490E" w:rsidRDefault="00D913C8">
      <w:pPr>
        <w:pStyle w:val="FootnoteText"/>
      </w:pPr>
      <w:r>
        <w:rPr>
          <w:rStyle w:val="FootnoteReference"/>
        </w:rPr>
        <w:footnoteRef/>
      </w:r>
      <w:r>
        <w:tab/>
        <w:t>Regolamento (UE) 2017</w:t>
      </w:r>
      <w:r w:rsidR="00753BED">
        <w:t>/1986 della Commissione, del 31 </w:t>
      </w:r>
      <w:r>
        <w:t xml:space="preserve">ottobre 2017, che </w:t>
      </w:r>
      <w:r w:rsidR="00753BED">
        <w:t>modifica il regolamento (CE) n. </w:t>
      </w:r>
      <w:r>
        <w:t>1126/2008 che adotta taluni principi contabili internazionali confo</w:t>
      </w:r>
      <w:r w:rsidR="00753BED">
        <w:t>rmemente al regolamento (CE) n. </w:t>
      </w:r>
      <w:r>
        <w:t>1606/2002 del Parlamento europeo e del Consiglio per quanto riguarda l</w:t>
      </w:r>
      <w:r w:rsidR="009D5262">
        <w:t>'</w:t>
      </w:r>
      <w:r>
        <w:t>International Financial Reporting Standard 16 (GU L 291 del 9.11.2017, pag. 1).</w:t>
      </w:r>
    </w:p>
  </w:footnote>
  <w:footnote w:id="6">
    <w:p w14:paraId="612F860C" w14:textId="02DC9894" w:rsidR="0024490E" w:rsidRDefault="00952426">
      <w:pPr>
        <w:pStyle w:val="FootnoteText"/>
      </w:pPr>
      <w:r>
        <w:rPr>
          <w:rStyle w:val="FootnoteReference"/>
        </w:rPr>
        <w:footnoteRef/>
      </w:r>
      <w:r>
        <w:tab/>
        <w:t>Regolamento delegato (UE) 20</w:t>
      </w:r>
      <w:r w:rsidR="00753BED">
        <w:t>15/61 della Commissione, del 10 </w:t>
      </w:r>
      <w:r>
        <w:t>ottobre 2014, che</w:t>
      </w:r>
      <w:r w:rsidR="00753BED">
        <w:t xml:space="preserve"> integra il regolamento (UE) n. </w:t>
      </w:r>
      <w:r>
        <w:t>575/2013 del Parlamento europeo e del Consiglio per quanto riguarda il requisito di copertura della liquidità per gli enti crediti</w:t>
      </w:r>
      <w:r w:rsidR="00753BED">
        <w:t>zi (GU L 11 del 17.1.2015, pag. </w:t>
      </w:r>
      <w:r>
        <w:t>1).</w:t>
      </w:r>
    </w:p>
  </w:footnote>
  <w:footnote w:id="7">
    <w:p w14:paraId="77365625" w14:textId="6461AC1F" w:rsidR="0024490E" w:rsidRDefault="00952426">
      <w:pPr>
        <w:pStyle w:val="FootnoteText"/>
      </w:pPr>
      <w:r>
        <w:rPr>
          <w:rStyle w:val="FootnoteReference"/>
        </w:rPr>
        <w:footnoteRef/>
      </w:r>
      <w:r>
        <w:tab/>
        <w:t>Regolamento delegato (UE) 2018</w:t>
      </w:r>
      <w:r w:rsidR="00753BED">
        <w:t>/1620 della Commissione, del 13 </w:t>
      </w:r>
      <w:r>
        <w:t>luglio 2018, che modifica il regolamento delegato (UE) 2015/61 della Commissione che</w:t>
      </w:r>
      <w:r w:rsidR="00753BED">
        <w:t xml:space="preserve"> integra il regolamento (UE) n. </w:t>
      </w:r>
      <w:r>
        <w:t>575/2013 del Parlamento europeo e del Consiglio per quanto riguarda il requisito di copertura della liquidità per gli enti creditizi</w:t>
      </w:r>
      <w:r w:rsidR="00753BED">
        <w:t xml:space="preserve"> (GU L 271 del 30.10.2018, pag. </w:t>
      </w:r>
      <w:r>
        <w:t>10)</w:t>
      </w:r>
      <w:r>
        <w:rPr>
          <w:i/>
          <w:iCs/>
        </w:rPr>
        <w:t>.</w:t>
      </w:r>
    </w:p>
  </w:footnote>
  <w:footnote w:id="8">
    <w:p w14:paraId="7A93B6D5" w14:textId="5D92B482" w:rsidR="0024490E" w:rsidRDefault="001B445C">
      <w:pPr>
        <w:pStyle w:val="FootnoteText"/>
      </w:pPr>
      <w:r>
        <w:rPr>
          <w:rStyle w:val="FootnoteReference"/>
        </w:rPr>
        <w:footnoteRef/>
      </w:r>
      <w:r w:rsidR="00753BED">
        <w:tab/>
        <w:t>Regolamento (UE) n. </w:t>
      </w:r>
      <w:r>
        <w:t xml:space="preserve">1093/2010 del Parlamento </w:t>
      </w:r>
      <w:r w:rsidR="00753BED">
        <w:t>europeo e del Consiglio, del 24 </w:t>
      </w:r>
      <w:r>
        <w:t>novembre 2010, che istituisce l</w:t>
      </w:r>
      <w:r w:rsidR="009D5262">
        <w:t>'</w:t>
      </w:r>
      <w:r>
        <w:t>Autorità europea di vigilanza (Autorità bancaria europea), modifica la decisione n. 716/2009/CE e abroga la decisione 2</w:t>
      </w:r>
      <w:r w:rsidR="00753BED">
        <w:t>009/78/CE della Commissione (GU L 331 del 15.12.2010, pag. </w:t>
      </w:r>
      <w:r>
        <w:t>12).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52642" w14:textId="77777777" w:rsidR="00E62772" w:rsidRPr="00E62772" w:rsidRDefault="00E62772" w:rsidP="00E627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F55EC" w14:textId="77777777" w:rsidR="00E62772" w:rsidRPr="00E62772" w:rsidRDefault="00E62772" w:rsidP="00E627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6F76C" w14:textId="77777777" w:rsidR="00E62772" w:rsidRPr="00E62772" w:rsidRDefault="00E62772" w:rsidP="00E627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4CB058C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F0EC3E1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47143E7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FE48CAD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767E1FC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F704052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FA427F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9D96031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5"/>
  </w:num>
  <w:num w:numId="10">
    <w:abstractNumId w:val="22"/>
    <w:lvlOverride w:ilvl="0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2"/>
  </w:num>
  <w:num w:numId="15">
    <w:abstractNumId w:val="21"/>
  </w:num>
  <w:num w:numId="16">
    <w:abstractNumId w:val="11"/>
  </w:num>
  <w:num w:numId="17">
    <w:abstractNumId w:val="13"/>
  </w:num>
  <w:num w:numId="18">
    <w:abstractNumId w:val="9"/>
  </w:num>
  <w:num w:numId="19">
    <w:abstractNumId w:val="20"/>
  </w:num>
  <w:num w:numId="20">
    <w:abstractNumId w:val="8"/>
  </w:num>
  <w:num w:numId="21">
    <w:abstractNumId w:val="14"/>
  </w:num>
  <w:num w:numId="22">
    <w:abstractNumId w:val="17"/>
  </w:num>
  <w:num w:numId="23">
    <w:abstractNumId w:val="18"/>
  </w:num>
  <w:num w:numId="24">
    <w:abstractNumId w:val="10"/>
  </w:num>
  <w:num w:numId="25">
    <w:abstractNumId w:val="16"/>
  </w:num>
  <w:num w:numId="26">
    <w:abstractNumId w:val="22"/>
  </w:num>
  <w:num w:numId="27">
    <w:abstractNumId w:val="19"/>
  </w:num>
  <w:num w:numId="28">
    <w:abstractNumId w:val="12"/>
  </w:num>
  <w:num w:numId="29">
    <w:abstractNumId w:val="21"/>
  </w:num>
  <w:num w:numId="30">
    <w:abstractNumId w:val="11"/>
  </w:num>
  <w:num w:numId="31">
    <w:abstractNumId w:val="13"/>
  </w:num>
  <w:num w:numId="32">
    <w:abstractNumId w:val="9"/>
  </w:num>
  <w:num w:numId="33">
    <w:abstractNumId w:val="20"/>
  </w:num>
  <w:num w:numId="34">
    <w:abstractNumId w:val="8"/>
  </w:num>
  <w:num w:numId="35">
    <w:abstractNumId w:val="14"/>
  </w:num>
  <w:num w:numId="36">
    <w:abstractNumId w:val="17"/>
  </w:num>
  <w:num w:numId="37">
    <w:abstractNumId w:val="18"/>
  </w:num>
  <w:num w:numId="38">
    <w:abstractNumId w:val="10"/>
  </w:num>
  <w:num w:numId="39">
    <w:abstractNumId w:val="16"/>
  </w:num>
  <w:num w:numId="40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nsidérant" w:val="Considérant__1"/>
    <w:docVar w:name="DQCDateTime" w:val="2020-01-22 13:27:51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14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E4352BDC-FEC9-433E-B334-ED15C65FFBB3"/>
    <w:docVar w:name="LW_COVERPAGE_TYPE" w:val="1"/>
    <w:docVar w:name="LW_CROSSREFERENCE" w:val="&lt;UNUSED&gt;"/>
    <w:docVar w:name="LW_DATE.ADOPT.CP" w:val="del XXX"/>
    <w:docVar w:name="LW_DATE.ADOPT.CP_DATEFORMAT" w:val="del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xelles, "/>
    <w:docVar w:name="LW_EMISSION_SUFFIX" w:val=" "/>
    <w:docVar w:name="LW_ID_DOCMODEL" w:val="a08"/>
    <w:docVar w:name="LW_ID_DOCSIGNATURE" w:val="SJ-004"/>
    <w:docVar w:name="LW_ID_DOCSTRUCTURE" w:val="COM/AA"/>
    <w:docVar w:name="LW_ID_DOCTYPE" w:val="SJ-004"/>
    <w:docVar w:name="LW_INTERETEEE.CP" w:val="(Testo rilevante ai fini del SEE)"/>
    <w:docVar w:name="LW_LANGUE" w:val="IT"/>
    <w:docVar w:name="LW_LANGUESFAISANTFOI.CP" w:val="&lt;UNUSED&gt;"/>
    <w:docVar w:name="LW_LEVEL_OF_SENSITIVITY" w:val="Standard treatment"/>
    <w:docVar w:name="LW_NOM.INST" w:val="COMMISSIONE EUROPE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9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OUS.TITRE.OBJ.CP" w:val="&lt;UNUSED&gt;"/>
    <w:docVar w:name="LW_SUPERTITRE" w:val="&lt;UNUSED&gt;"/>
    <w:docVar w:name="LW_TITRE.OBJ.CP" w:val="che modifica il regolamento di esecuzione (UE) n. 680/2014 che stabilisce norme tecniche di attuazione per quanto riguarda le segnalazioni degli enti a fini di vigilanza conformemente al regolamento (UE) n. 575/2013 del Parlamento europeo e del Consiglio"/>
    <w:docVar w:name="LW_TITRE.OBJ.CP_PREVIOUS" w:val="&lt;UNUSED&gt;"/>
    <w:docVar w:name="LW_TYPE.DOC.CP" w:val="REGOLAMENTO DI ESECUZIONE (UE) \u8230?/... DELLA COMMISSIONE"/>
  </w:docVars>
  <w:rsids>
    <w:rsidRoot w:val="001B445C"/>
    <w:rsid w:val="00033C74"/>
    <w:rsid w:val="00043094"/>
    <w:rsid w:val="0005623D"/>
    <w:rsid w:val="000669A6"/>
    <w:rsid w:val="00080669"/>
    <w:rsid w:val="000827FE"/>
    <w:rsid w:val="000A4D5B"/>
    <w:rsid w:val="000A5E1E"/>
    <w:rsid w:val="000B410C"/>
    <w:rsid w:val="000B73C7"/>
    <w:rsid w:val="000C750A"/>
    <w:rsid w:val="000D34D3"/>
    <w:rsid w:val="000E135F"/>
    <w:rsid w:val="001006DF"/>
    <w:rsid w:val="00100F75"/>
    <w:rsid w:val="00103E88"/>
    <w:rsid w:val="00121213"/>
    <w:rsid w:val="001440F6"/>
    <w:rsid w:val="00157C31"/>
    <w:rsid w:val="0016544F"/>
    <w:rsid w:val="00187535"/>
    <w:rsid w:val="00190013"/>
    <w:rsid w:val="00195CE1"/>
    <w:rsid w:val="001B41CA"/>
    <w:rsid w:val="001B42E7"/>
    <w:rsid w:val="001B445C"/>
    <w:rsid w:val="001C5A09"/>
    <w:rsid w:val="001D1851"/>
    <w:rsid w:val="001D1EAD"/>
    <w:rsid w:val="001D2590"/>
    <w:rsid w:val="00201646"/>
    <w:rsid w:val="00210995"/>
    <w:rsid w:val="00210D88"/>
    <w:rsid w:val="00214D98"/>
    <w:rsid w:val="00234A29"/>
    <w:rsid w:val="0024490E"/>
    <w:rsid w:val="002452B8"/>
    <w:rsid w:val="002470BB"/>
    <w:rsid w:val="00261239"/>
    <w:rsid w:val="002757D0"/>
    <w:rsid w:val="00294A2C"/>
    <w:rsid w:val="002A096A"/>
    <w:rsid w:val="002A3D06"/>
    <w:rsid w:val="002B7D73"/>
    <w:rsid w:val="002C0116"/>
    <w:rsid w:val="002D1D89"/>
    <w:rsid w:val="002E61FA"/>
    <w:rsid w:val="003228A8"/>
    <w:rsid w:val="00323D7B"/>
    <w:rsid w:val="00331D51"/>
    <w:rsid w:val="00346B8D"/>
    <w:rsid w:val="003516C5"/>
    <w:rsid w:val="00354C41"/>
    <w:rsid w:val="00363BA4"/>
    <w:rsid w:val="003A7F9A"/>
    <w:rsid w:val="003C12AA"/>
    <w:rsid w:val="003C3A5D"/>
    <w:rsid w:val="003E0C68"/>
    <w:rsid w:val="003E4578"/>
    <w:rsid w:val="003F04FB"/>
    <w:rsid w:val="003F5F3F"/>
    <w:rsid w:val="00400058"/>
    <w:rsid w:val="00422F73"/>
    <w:rsid w:val="0044493F"/>
    <w:rsid w:val="00452D9B"/>
    <w:rsid w:val="00453AF5"/>
    <w:rsid w:val="00460A10"/>
    <w:rsid w:val="004641C1"/>
    <w:rsid w:val="00471D11"/>
    <w:rsid w:val="0048748F"/>
    <w:rsid w:val="00492479"/>
    <w:rsid w:val="00493D25"/>
    <w:rsid w:val="0049676D"/>
    <w:rsid w:val="00497A2C"/>
    <w:rsid w:val="004A3CA0"/>
    <w:rsid w:val="004A3CB1"/>
    <w:rsid w:val="004C0193"/>
    <w:rsid w:val="004D5878"/>
    <w:rsid w:val="004E2457"/>
    <w:rsid w:val="004E4C15"/>
    <w:rsid w:val="004F23A9"/>
    <w:rsid w:val="00502C75"/>
    <w:rsid w:val="00506FC2"/>
    <w:rsid w:val="00537CE5"/>
    <w:rsid w:val="005469C5"/>
    <w:rsid w:val="00553296"/>
    <w:rsid w:val="0059701E"/>
    <w:rsid w:val="005A01CC"/>
    <w:rsid w:val="005A4EAC"/>
    <w:rsid w:val="005B3C3F"/>
    <w:rsid w:val="005C370C"/>
    <w:rsid w:val="005F7896"/>
    <w:rsid w:val="00647B5C"/>
    <w:rsid w:val="0066767D"/>
    <w:rsid w:val="00686B50"/>
    <w:rsid w:val="006967B3"/>
    <w:rsid w:val="006A1323"/>
    <w:rsid w:val="006A640B"/>
    <w:rsid w:val="006B4E20"/>
    <w:rsid w:val="006E63CD"/>
    <w:rsid w:val="006E678D"/>
    <w:rsid w:val="006F34B3"/>
    <w:rsid w:val="00704E75"/>
    <w:rsid w:val="007067B7"/>
    <w:rsid w:val="0071620D"/>
    <w:rsid w:val="007369E1"/>
    <w:rsid w:val="0075391A"/>
    <w:rsid w:val="00753980"/>
    <w:rsid w:val="00753BED"/>
    <w:rsid w:val="007545A4"/>
    <w:rsid w:val="0075661F"/>
    <w:rsid w:val="00770919"/>
    <w:rsid w:val="00775BB6"/>
    <w:rsid w:val="00776BBC"/>
    <w:rsid w:val="00785FB6"/>
    <w:rsid w:val="00790003"/>
    <w:rsid w:val="007B790A"/>
    <w:rsid w:val="007D61B3"/>
    <w:rsid w:val="007D7890"/>
    <w:rsid w:val="00814E96"/>
    <w:rsid w:val="0084057B"/>
    <w:rsid w:val="00844802"/>
    <w:rsid w:val="00854910"/>
    <w:rsid w:val="00855514"/>
    <w:rsid w:val="00867FE3"/>
    <w:rsid w:val="00897E21"/>
    <w:rsid w:val="008A0AA6"/>
    <w:rsid w:val="008A2478"/>
    <w:rsid w:val="008C22A3"/>
    <w:rsid w:val="008C48FA"/>
    <w:rsid w:val="008D09B7"/>
    <w:rsid w:val="008E268A"/>
    <w:rsid w:val="008E50CD"/>
    <w:rsid w:val="008F4EA5"/>
    <w:rsid w:val="00921359"/>
    <w:rsid w:val="0092431C"/>
    <w:rsid w:val="00940F1C"/>
    <w:rsid w:val="00945DFA"/>
    <w:rsid w:val="00946C0A"/>
    <w:rsid w:val="00952426"/>
    <w:rsid w:val="00955D63"/>
    <w:rsid w:val="009666AA"/>
    <w:rsid w:val="0097318A"/>
    <w:rsid w:val="00983B03"/>
    <w:rsid w:val="00986B22"/>
    <w:rsid w:val="0099441B"/>
    <w:rsid w:val="009A64F9"/>
    <w:rsid w:val="009C0180"/>
    <w:rsid w:val="009C090E"/>
    <w:rsid w:val="009D18AC"/>
    <w:rsid w:val="009D448E"/>
    <w:rsid w:val="009D5262"/>
    <w:rsid w:val="00A01488"/>
    <w:rsid w:val="00A24919"/>
    <w:rsid w:val="00A278FD"/>
    <w:rsid w:val="00A62DAE"/>
    <w:rsid w:val="00A66F54"/>
    <w:rsid w:val="00A826D6"/>
    <w:rsid w:val="00A8593B"/>
    <w:rsid w:val="00A92364"/>
    <w:rsid w:val="00A9740D"/>
    <w:rsid w:val="00A97566"/>
    <w:rsid w:val="00AA63F1"/>
    <w:rsid w:val="00AB21FF"/>
    <w:rsid w:val="00AB5724"/>
    <w:rsid w:val="00AE05F8"/>
    <w:rsid w:val="00AF3BF4"/>
    <w:rsid w:val="00B14FCE"/>
    <w:rsid w:val="00B15EFC"/>
    <w:rsid w:val="00B26FCE"/>
    <w:rsid w:val="00B31B60"/>
    <w:rsid w:val="00B33376"/>
    <w:rsid w:val="00B467F6"/>
    <w:rsid w:val="00B64C30"/>
    <w:rsid w:val="00B6790F"/>
    <w:rsid w:val="00B71BC4"/>
    <w:rsid w:val="00B738F6"/>
    <w:rsid w:val="00B971E9"/>
    <w:rsid w:val="00BB5DB5"/>
    <w:rsid w:val="00BC1800"/>
    <w:rsid w:val="00BC373E"/>
    <w:rsid w:val="00BC6787"/>
    <w:rsid w:val="00BD2641"/>
    <w:rsid w:val="00BF3434"/>
    <w:rsid w:val="00C00EC1"/>
    <w:rsid w:val="00C039DD"/>
    <w:rsid w:val="00C52F81"/>
    <w:rsid w:val="00C63439"/>
    <w:rsid w:val="00C6522F"/>
    <w:rsid w:val="00C71E1B"/>
    <w:rsid w:val="00C83DEA"/>
    <w:rsid w:val="00CB0AF7"/>
    <w:rsid w:val="00CB1A3C"/>
    <w:rsid w:val="00CC6F30"/>
    <w:rsid w:val="00CC7AB4"/>
    <w:rsid w:val="00CE7CAD"/>
    <w:rsid w:val="00D2769A"/>
    <w:rsid w:val="00D314A9"/>
    <w:rsid w:val="00D34C13"/>
    <w:rsid w:val="00D50BB7"/>
    <w:rsid w:val="00D55B25"/>
    <w:rsid w:val="00D63710"/>
    <w:rsid w:val="00D639C9"/>
    <w:rsid w:val="00D74E3F"/>
    <w:rsid w:val="00D845A9"/>
    <w:rsid w:val="00D913C8"/>
    <w:rsid w:val="00D95AB6"/>
    <w:rsid w:val="00D964B3"/>
    <w:rsid w:val="00DC033D"/>
    <w:rsid w:val="00DC3927"/>
    <w:rsid w:val="00DF4957"/>
    <w:rsid w:val="00E013AC"/>
    <w:rsid w:val="00E205D3"/>
    <w:rsid w:val="00E45AE0"/>
    <w:rsid w:val="00E52742"/>
    <w:rsid w:val="00E5700E"/>
    <w:rsid w:val="00E62772"/>
    <w:rsid w:val="00E75423"/>
    <w:rsid w:val="00E871DE"/>
    <w:rsid w:val="00E91FF6"/>
    <w:rsid w:val="00E959F9"/>
    <w:rsid w:val="00E96626"/>
    <w:rsid w:val="00EA64E6"/>
    <w:rsid w:val="00EE58F1"/>
    <w:rsid w:val="00EF0828"/>
    <w:rsid w:val="00F32FFE"/>
    <w:rsid w:val="00F45D68"/>
    <w:rsid w:val="00F62F54"/>
    <w:rsid w:val="00F65DE7"/>
    <w:rsid w:val="00F665F4"/>
    <w:rsid w:val="00F84FD0"/>
    <w:rsid w:val="00F95996"/>
    <w:rsid w:val="00FB65A6"/>
    <w:rsid w:val="00FC4C41"/>
    <w:rsid w:val="00FC61EB"/>
    <w:rsid w:val="00FE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oNotEmbedSmartTags/>
  <w:decimalSymbol w:val=","/>
  <w:listSeparator w:val=";"/>
  <w14:docId w14:val="72D15A25"/>
  <w15:docId w15:val="{26C75A3A-333D-4F45-9580-78994C66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it-IT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3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3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3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33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rsid w:val="004D5878"/>
    <w:rPr>
      <w:sz w:val="16"/>
    </w:rPr>
  </w:style>
  <w:style w:type="paragraph" w:styleId="CommentText">
    <w:name w:val="annotation text"/>
    <w:basedOn w:val="Normal"/>
    <w:rsid w:val="004D5878"/>
    <w:pPr>
      <w:spacing w:before="0" w:after="240"/>
      <w:jc w:val="left"/>
    </w:pPr>
    <w:rPr>
      <w:rFonts w:ascii="Arial" w:hAnsi="Arial"/>
      <w:sz w:val="20"/>
      <w:szCs w:val="20"/>
    </w:rPr>
  </w:style>
  <w:style w:type="paragraph" w:styleId="ListBullet">
    <w:name w:val="List Bullet"/>
    <w:basedOn w:val="Normal"/>
    <w:uiPriority w:val="99"/>
    <w:qFormat/>
    <w:rsid w:val="000D34D3"/>
    <w:pPr>
      <w:numPr>
        <w:numId w:val="1"/>
      </w:numPr>
    </w:pPr>
  </w:style>
  <w:style w:type="paragraph" w:styleId="ListBullet2">
    <w:name w:val="List Bullet 2"/>
    <w:basedOn w:val="Normal"/>
    <w:rsid w:val="000D34D3"/>
    <w:pPr>
      <w:numPr>
        <w:numId w:val="2"/>
      </w:numPr>
    </w:pPr>
  </w:style>
  <w:style w:type="paragraph" w:styleId="ListBullet3">
    <w:name w:val="List Bullet 3"/>
    <w:basedOn w:val="Normal"/>
    <w:rsid w:val="000D34D3"/>
    <w:pPr>
      <w:numPr>
        <w:numId w:val="3"/>
      </w:numPr>
    </w:pPr>
  </w:style>
  <w:style w:type="paragraph" w:styleId="ListBullet4">
    <w:name w:val="List Bullet 4"/>
    <w:basedOn w:val="Normal"/>
    <w:rsid w:val="000D34D3"/>
    <w:pPr>
      <w:numPr>
        <w:numId w:val="4"/>
      </w:numPr>
    </w:pPr>
  </w:style>
  <w:style w:type="paragraph" w:styleId="ListNumber3">
    <w:name w:val="List Number 3"/>
    <w:basedOn w:val="Normal"/>
    <w:rsid w:val="000D34D3"/>
    <w:pPr>
      <w:numPr>
        <w:numId w:val="5"/>
      </w:numPr>
    </w:pPr>
  </w:style>
  <w:style w:type="paragraph" w:styleId="CommentSubject">
    <w:name w:val="annotation subject"/>
    <w:basedOn w:val="CommentText"/>
    <w:next w:val="CommentText"/>
    <w:rsid w:val="004641C1"/>
    <w:pPr>
      <w:spacing w:before="120" w:after="120"/>
      <w:jc w:val="both"/>
    </w:pPr>
    <w:rPr>
      <w:rFonts w:ascii="Times New Roman" w:hAnsi="Times New Roman"/>
      <w:b/>
      <w:bCs/>
    </w:rPr>
  </w:style>
  <w:style w:type="paragraph" w:styleId="Caption">
    <w:name w:val="caption"/>
    <w:basedOn w:val="Normal"/>
    <w:next w:val="Normal"/>
    <w:qFormat/>
    <w:rsid w:val="006E63CD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semiHidden/>
    <w:rsid w:val="006E63CD"/>
  </w:style>
  <w:style w:type="paragraph" w:styleId="ListNumber">
    <w:name w:val="List Number"/>
    <w:basedOn w:val="Normal"/>
    <w:rsid w:val="006E63CD"/>
    <w:pPr>
      <w:numPr>
        <w:numId w:val="6"/>
      </w:numPr>
    </w:pPr>
  </w:style>
  <w:style w:type="paragraph" w:styleId="ListNumber2">
    <w:name w:val="List Number 2"/>
    <w:basedOn w:val="Normal"/>
    <w:rsid w:val="006E63CD"/>
    <w:pPr>
      <w:numPr>
        <w:numId w:val="7"/>
      </w:numPr>
    </w:pPr>
  </w:style>
  <w:style w:type="paragraph" w:styleId="ListNumber4">
    <w:name w:val="List Number 4"/>
    <w:basedOn w:val="Normal"/>
    <w:rsid w:val="006E63CD"/>
    <w:pPr>
      <w:numPr>
        <w:numId w:val="8"/>
      </w:numPr>
    </w:pPr>
  </w:style>
  <w:style w:type="character" w:styleId="Hyperlink">
    <w:name w:val="Hyperlink"/>
    <w:basedOn w:val="DefaultParagraphFont"/>
    <w:rsid w:val="006E63CD"/>
    <w:rPr>
      <w:color w:val="0000FF"/>
      <w:u w:val="single"/>
    </w:rPr>
  </w:style>
  <w:style w:type="paragraph" w:customStyle="1" w:styleId="numberedparagraph">
    <w:name w:val="numbered paragraph"/>
    <w:basedOn w:val="Normal"/>
    <w:qFormat/>
    <w:rsid w:val="001B445C"/>
    <w:pPr>
      <w:numPr>
        <w:numId w:val="9"/>
      </w:numPr>
      <w:spacing w:before="240" w:line="276" w:lineRule="auto"/>
    </w:pPr>
    <w:rPr>
      <w:rFonts w:asciiTheme="minorHAnsi" w:eastAsiaTheme="minorEastAsia" w:hAnsiTheme="minorHAnsi" w:cstheme="minorBidi"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6A640B"/>
    <w:pPr>
      <w:spacing w:before="0" w:after="0"/>
      <w:ind w:left="720"/>
      <w:jc w:val="left"/>
    </w:pPr>
    <w:rPr>
      <w:rFonts w:ascii="Calibri" w:eastAsia="Calibri" w:hAnsi="Calibri"/>
      <w:sz w:val="22"/>
    </w:rPr>
  </w:style>
  <w:style w:type="character" w:customStyle="1" w:styleId="ListParagraphChar">
    <w:name w:val="List Paragraph Char"/>
    <w:link w:val="ListParagraph"/>
    <w:uiPriority w:val="34"/>
    <w:locked/>
    <w:rsid w:val="006A640B"/>
    <w:rPr>
      <w:rFonts w:ascii="Calibri" w:eastAsia="Calibri" w:hAnsi="Calibri"/>
      <w:sz w:val="22"/>
      <w:szCs w:val="22"/>
      <w:lang w:eastAsia="en-US"/>
    </w:r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styleId="BalloonText">
    <w:name w:val="Balloon Text"/>
    <w:basedOn w:val="Normal"/>
    <w:link w:val="BalloonTextChar"/>
    <w:uiPriority w:val="99"/>
    <w:semiHidden/>
    <w:unhideWhenUsed/>
    <w:rsid w:val="003415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5BD"/>
    <w:rPr>
      <w:rFonts w:ascii="Tahoma" w:hAnsi="Tahoma" w:cs="Tahoma"/>
      <w:sz w:val="16"/>
      <w:szCs w:val="16"/>
      <w:lang w:val="it-IT"/>
    </w:rPr>
  </w:style>
  <w:style w:type="paragraph" w:styleId="NormalWeb">
    <w:name w:val="Normal (Web)"/>
    <w:basedOn w:val="Normal"/>
    <w:uiPriority w:val="99"/>
    <w:unhideWhenUsed/>
    <w:rsid w:val="006A132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6A1323"/>
    <w:rPr>
      <w:i/>
      <w:iCs/>
    </w:rPr>
  </w:style>
  <w:style w:type="paragraph" w:styleId="Revision">
    <w:name w:val="Revision"/>
    <w:hidden/>
    <w:uiPriority w:val="99"/>
    <w:semiHidden/>
    <w:rsid w:val="003F04F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B713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B71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9B713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9B71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B713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27"/>
      </w:numPr>
    </w:pPr>
  </w:style>
  <w:style w:type="paragraph" w:customStyle="1" w:styleId="Tiret1">
    <w:name w:val="Tiret 1"/>
    <w:basedOn w:val="Point1"/>
    <w:rsid w:val="009B7138"/>
    <w:pPr>
      <w:numPr>
        <w:numId w:val="28"/>
      </w:numPr>
    </w:pPr>
  </w:style>
  <w:style w:type="paragraph" w:customStyle="1" w:styleId="Tiret2">
    <w:name w:val="Tiret 2"/>
    <w:basedOn w:val="Point2"/>
    <w:rsid w:val="009B7138"/>
    <w:pPr>
      <w:numPr>
        <w:numId w:val="29"/>
      </w:numPr>
    </w:pPr>
  </w:style>
  <w:style w:type="paragraph" w:customStyle="1" w:styleId="Tiret3">
    <w:name w:val="Tiret 3"/>
    <w:basedOn w:val="Point3"/>
    <w:rsid w:val="009B7138"/>
    <w:pPr>
      <w:numPr>
        <w:numId w:val="30"/>
      </w:numPr>
    </w:pPr>
  </w:style>
  <w:style w:type="paragraph" w:customStyle="1" w:styleId="Tiret4">
    <w:name w:val="Tiret 4"/>
    <w:basedOn w:val="Point4"/>
    <w:rsid w:val="009B7138"/>
    <w:pPr>
      <w:numPr>
        <w:numId w:val="31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32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32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32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32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34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34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34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34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34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34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34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34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34"/>
      </w:numPr>
    </w:pPr>
  </w:style>
  <w:style w:type="paragraph" w:customStyle="1" w:styleId="Bullet0">
    <w:name w:val="Bullet 0"/>
    <w:basedOn w:val="Normal"/>
    <w:rsid w:val="009B7138"/>
    <w:pPr>
      <w:numPr>
        <w:numId w:val="35"/>
      </w:numPr>
    </w:pPr>
  </w:style>
  <w:style w:type="paragraph" w:customStyle="1" w:styleId="Bullet1">
    <w:name w:val="Bullet 1"/>
    <w:basedOn w:val="Normal"/>
    <w:rsid w:val="009B7138"/>
    <w:pPr>
      <w:numPr>
        <w:numId w:val="36"/>
      </w:numPr>
    </w:pPr>
  </w:style>
  <w:style w:type="paragraph" w:customStyle="1" w:styleId="Bullet2">
    <w:name w:val="Bullet 2"/>
    <w:basedOn w:val="Normal"/>
    <w:rsid w:val="009B7138"/>
    <w:pPr>
      <w:numPr>
        <w:numId w:val="37"/>
      </w:numPr>
    </w:pPr>
  </w:style>
  <w:style w:type="paragraph" w:customStyle="1" w:styleId="Bullet3">
    <w:name w:val="Bullet 3"/>
    <w:basedOn w:val="Normal"/>
    <w:rsid w:val="009B7138"/>
    <w:pPr>
      <w:numPr>
        <w:numId w:val="38"/>
      </w:numPr>
    </w:pPr>
  </w:style>
  <w:style w:type="paragraph" w:customStyle="1" w:styleId="Bullet4">
    <w:name w:val="Bullet 4"/>
    <w:basedOn w:val="Normal"/>
    <w:rsid w:val="009B7138"/>
    <w:pPr>
      <w:numPr>
        <w:numId w:val="39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40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8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AA601-9B74-4EC3-933F-24514E7A5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2</Pages>
  <Words>1763</Words>
  <Characters>10031</Characters>
  <Application>Microsoft Office Word</Application>
  <DocSecurity>0</DocSecurity>
  <Lines>176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EBA Staff</dc:creator>
  <cp:lastModifiedBy>MOROSI Micol (DGT)</cp:lastModifiedBy>
  <cp:revision>3</cp:revision>
  <cp:lastPrinted>2019-11-13T10:58:00Z</cp:lastPrinted>
  <dcterms:created xsi:type="dcterms:W3CDTF">2020-01-22T12:27:00Z</dcterms:created>
  <dcterms:modified xsi:type="dcterms:W3CDTF">2020-01-22T12:27:00Z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5.8.22.0</vt:lpwstr>
  </property>
  <property fmtid="{D5CDD505-2E9C-101B-9397-08002B2CF9AE}" pid="4" name="Created using">
    <vt:lpwstr>LW 5.8, Build 20110311</vt:lpwstr>
  </property>
  <property fmtid="{D5CDD505-2E9C-101B-9397-08002B2CF9AE}" pid="5" name="Last edited using">
    <vt:lpwstr>LW 7.0.1, Build 20190916</vt:lpwstr>
  </property>
  <property fmtid="{D5CDD505-2E9C-101B-9397-08002B2CF9AE}" pid="6" name="_NewReviewCycle">
    <vt:lpwstr/>
  </property>
  <property fmtid="{D5CDD505-2E9C-101B-9397-08002B2CF9AE}" pid="7" name="LWTemplateID">
    <vt:lpwstr>SJ-004</vt:lpwstr>
  </property>
  <property fmtid="{D5CDD505-2E9C-101B-9397-08002B2CF9AE}" pid="8" name="Level of sensitivity">
    <vt:lpwstr>Standard treatment</vt:lpwstr>
  </property>
  <property fmtid="{D5CDD505-2E9C-101B-9397-08002B2CF9AE}" pid="9" name="Part">
    <vt:lpwstr>1</vt:lpwstr>
  </property>
  <property fmtid="{D5CDD505-2E9C-101B-9397-08002B2CF9AE}" pid="10" name="Total parts">
    <vt:lpwstr>1</vt:lpwstr>
  </property>
  <property fmtid="{D5CDD505-2E9C-101B-9397-08002B2CF9AE}" pid="11" name="DQCStatus">
    <vt:lpwstr>Green (DQC version 03)</vt:lpwstr>
  </property>
</Properties>
</file>