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665988" w:rsidRDefault="001B7C2B">
      <w:pPr>
        <w:jc w:val="center"/>
        <w:rPr>
          <w:rFonts w:ascii="Times New Roman" w:hAnsi="Times New Roman"/>
          <w:b/>
          <w:sz w:val="24"/>
        </w:rPr>
      </w:pPr>
      <w:r>
        <w:rPr>
          <w:rFonts w:ascii="Times New Roman" w:hAnsi="Times New Roman"/>
          <w:b/>
        </w:rPr>
        <w:t>BG</w:t>
      </w:r>
      <w:r>
        <w:rPr>
          <w:rFonts w:ascii="Times New Roman" w:hAnsi="Times New Roman"/>
          <w:b/>
        </w:rPr>
        <w:br/>
        <w:t>ПРИЛОЖЕНИЕ VII</w:t>
      </w:r>
    </w:p>
    <w:p w14:paraId="72104D4D" w14:textId="77777777" w:rsidR="00665988" w:rsidRDefault="00665988">
      <w:pPr>
        <w:jc w:val="center"/>
        <w:rPr>
          <w:rFonts w:ascii="Times New Roman" w:hAnsi="Times New Roman"/>
          <w:b/>
          <w:sz w:val="24"/>
        </w:rPr>
      </w:pPr>
    </w:p>
    <w:p w14:paraId="01904AEC" w14:textId="353A69A5" w:rsidR="00665988" w:rsidRDefault="008E1DE8">
      <w:pPr>
        <w:jc w:val="center"/>
        <w:rPr>
          <w:b/>
          <w:szCs w:val="20"/>
          <w:u w:val="single"/>
        </w:rPr>
      </w:pPr>
      <w:r>
        <w:rPr>
          <w:b/>
          <w:szCs w:val="20"/>
          <w:u w:val="single"/>
        </w:rPr>
        <w:t>„ПРИЛОЖЕНИЕ XIX</w:t>
      </w:r>
    </w:p>
    <w:p w14:paraId="1796FE74" w14:textId="29CC78AB" w:rsidR="00665988" w:rsidRDefault="007F5684">
      <w:pPr>
        <w:jc w:val="center"/>
        <w:rPr>
          <w:b/>
          <w:szCs w:val="20"/>
        </w:rPr>
      </w:pPr>
      <w:r>
        <w:rPr>
          <w:b/>
          <w:szCs w:val="20"/>
        </w:rPr>
        <w:t>УКАЗАНИЯ ЗА ПОПЪЛВАНЕ НА ОБРАЗЕЦ „ДОПЪЛНИТЕЛНИ ИНСТРУМЕНТИ ЗА НАБЛЮДЕНИЕ“ ОТ ПРИЛОЖЕНИЕ XVIII</w:t>
      </w:r>
    </w:p>
    <w:p w14:paraId="16AC5CE5" w14:textId="77777777" w:rsidR="00665988"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Допълнителни инструменти за наблюдение</w:t>
      </w:r>
    </w:p>
    <w:p w14:paraId="6D74775F" w14:textId="243E01B4" w:rsidR="00665988"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Общи бележки </w:t>
      </w:r>
    </w:p>
    <w:p w14:paraId="28146638" w14:textId="3B48FC46" w:rsidR="00665988" w:rsidRDefault="004D4244">
      <w:pPr>
        <w:pStyle w:val="InstructionsText2"/>
        <w:numPr>
          <w:ilvl w:val="0"/>
          <w:numId w:val="4"/>
        </w:numPr>
        <w:rPr>
          <w:u w:val="none"/>
        </w:rPr>
      </w:pPr>
      <w:r>
        <w:rPr>
          <w:u w:val="none"/>
        </w:rPr>
        <w:t>С цел наблюдение на ликвидния риск на институцията, попадащ извън обхвата на докладите относно ликвидното покритие и стабилното финансиране, институциите попълват образеца в приложение XVIII съгласно указанията в настоящото приложение.</w:t>
      </w:r>
    </w:p>
    <w:p w14:paraId="39998106" w14:textId="1169C0B2" w:rsidR="00665988" w:rsidRDefault="00A344AA">
      <w:pPr>
        <w:pStyle w:val="InstructionsText2"/>
        <w:numPr>
          <w:ilvl w:val="0"/>
          <w:numId w:val="4"/>
        </w:numPr>
        <w:rPr>
          <w:u w:val="none"/>
        </w:rPr>
      </w:pPr>
      <w:r>
        <w:rPr>
          <w:u w:val="none"/>
        </w:rPr>
        <w:t>Общият размер на финансирането включва всички финансови пасиви, различни от деривати и къси позиции.</w:t>
      </w:r>
    </w:p>
    <w:p w14:paraId="50F797C6" w14:textId="3E2857CF" w:rsidR="00665988" w:rsidRDefault="00A344AA">
      <w:pPr>
        <w:pStyle w:val="InstructionsText2"/>
        <w:numPr>
          <w:ilvl w:val="0"/>
          <w:numId w:val="4"/>
        </w:numPr>
        <w:rPr>
          <w:u w:val="none"/>
        </w:rPr>
      </w:pPr>
      <w:r>
        <w:rPr>
          <w:u w:val="none"/>
        </w:rPr>
        <w:t xml:space="preserve">Счита се, че падежът на финансирането с отворен падеж, включително при безсрочни влогове, настъпва на следващия ден. </w:t>
      </w:r>
    </w:p>
    <w:p w14:paraId="4586638B" w14:textId="7526809A" w:rsidR="00665988" w:rsidRDefault="00A344AA">
      <w:pPr>
        <w:pStyle w:val="InstructionsText2"/>
        <w:numPr>
          <w:ilvl w:val="0"/>
          <w:numId w:val="4"/>
        </w:numPr>
        <w:rPr>
          <w:u w:val="none"/>
        </w:rPr>
      </w:pPr>
      <w:r>
        <w:rPr>
          <w:u w:val="none"/>
        </w:rPr>
        <w:t xml:space="preserve">Първоначалният срок до падежа представлява времето между датата на иницииране и датата на падеж на финансирането. Датата на падежа на финансирането се определя в съответствие с параграф 12 от приложение XXIII. Това означава, че при възможност за избор, какъвто е случаят по параграф 12 от приложение XXIII, първоначалният падеж на финансираната позиция може да бъде по-кратък от времето, което е изтекло от инициирането ѝ. </w:t>
      </w:r>
    </w:p>
    <w:p w14:paraId="4FA59274" w14:textId="20DE3BF0" w:rsidR="00665988" w:rsidRDefault="00A344AA">
      <w:pPr>
        <w:pStyle w:val="InstructionsText2"/>
        <w:numPr>
          <w:ilvl w:val="0"/>
          <w:numId w:val="4"/>
        </w:numPr>
        <w:rPr>
          <w:u w:val="none"/>
        </w:rPr>
      </w:pPr>
      <w:r>
        <w:rPr>
          <w:u w:val="none"/>
        </w:rPr>
        <w:t>Остатъчният срок до падежа представлява времето между края на периода на докладване и датата на падеж на финансирането. Датата на падежа на финансирането се определя в съответствие с параграф 12 от приложение XXIII.</w:t>
      </w:r>
    </w:p>
    <w:p w14:paraId="1DF04682" w14:textId="0F5CD7EB" w:rsidR="00665988" w:rsidRDefault="007462FE">
      <w:pPr>
        <w:pStyle w:val="InstructionsText2"/>
        <w:numPr>
          <w:ilvl w:val="0"/>
          <w:numId w:val="4"/>
        </w:numPr>
        <w:rPr>
          <w:u w:val="none"/>
        </w:rPr>
      </w:pPr>
      <w:r>
        <w:rPr>
          <w:u w:val="none"/>
        </w:rPr>
        <w:t>При изчисляването на средно претегления първоначален или остатъчен срок до падежа на влоговете с падеж на следващия ден се счита, че срокът им до падежа е един ден.</w:t>
      </w:r>
    </w:p>
    <w:p w14:paraId="25CD9EF4" w14:textId="173EC59C" w:rsidR="00665988" w:rsidRDefault="007462FE">
      <w:pPr>
        <w:pStyle w:val="InstructionsText2"/>
        <w:numPr>
          <w:ilvl w:val="0"/>
          <w:numId w:val="4"/>
        </w:numPr>
        <w:rPr>
          <w:u w:val="none"/>
        </w:rPr>
      </w:pPr>
      <w:r>
        <w:rPr>
          <w:u w:val="none"/>
        </w:rPr>
        <w:t>При изчисляването на първоначалния и остатъчния срок до падежа на финансирането, по което е предвидено предизвестие или клауза за обезсилване или предсрочно теглене в полза на контрагента на институцията, се приема, че предсрочното теглене ще настъпи на първата възможна дата.</w:t>
      </w:r>
    </w:p>
    <w:p w14:paraId="2B81E2EC" w14:textId="77D4003A" w:rsidR="00665988" w:rsidRDefault="00A344AA">
      <w:pPr>
        <w:pStyle w:val="InstructionsText2"/>
        <w:numPr>
          <w:ilvl w:val="0"/>
          <w:numId w:val="4"/>
        </w:numPr>
        <w:rPr>
          <w:u w:val="none"/>
        </w:rPr>
      </w:pPr>
      <w:r>
        <w:rPr>
          <w:u w:val="none"/>
        </w:rPr>
        <w:t>Приема се, че перпетюитетните пасиви, с изключение на тези с възможност за избор, както е посочено в параграф 12 от приложение XXIII, имат фиксиран първоначален и остатъчен срок до падежа от двадесет години.</w:t>
      </w:r>
    </w:p>
    <w:p w14:paraId="30EB5133" w14:textId="29C44017" w:rsidR="00665988" w:rsidRDefault="00A344AA">
      <w:pPr>
        <w:pStyle w:val="InstructionsText2"/>
        <w:numPr>
          <w:ilvl w:val="0"/>
          <w:numId w:val="4"/>
        </w:numPr>
        <w:rPr>
          <w:u w:val="none"/>
        </w:rPr>
      </w:pPr>
      <w:r>
        <w:rPr>
          <w:u w:val="none"/>
        </w:rPr>
        <w:t>За изчисляването на процентния праг в образци C 67.00 и C 68.00 по съществена валута институциите използват праг в размер на 1 % от общия размер на пасивите във всички валути.</w:t>
      </w:r>
    </w:p>
    <w:p w14:paraId="0E1E0ED8" w14:textId="77777777" w:rsidR="00665988"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Концентрация на финансирането по контрагенти (C 67.00)</w:t>
      </w:r>
    </w:p>
    <w:p w14:paraId="322C1A75" w14:textId="525ED095" w:rsidR="00665988" w:rsidRDefault="00490B62">
      <w:pPr>
        <w:pStyle w:val="InstructionsText2"/>
        <w:numPr>
          <w:ilvl w:val="0"/>
          <w:numId w:val="6"/>
        </w:numPr>
        <w:rPr>
          <w:u w:val="none"/>
        </w:rPr>
      </w:pPr>
      <w:r>
        <w:rPr>
          <w:u w:val="none"/>
        </w:rPr>
        <w:t>Институциите следват указанията от настоящия раздел във връзка със събирането на информация относно концентрацията на финансирането по контрагенти на докладващата институция в образец C 67.00.</w:t>
      </w:r>
    </w:p>
    <w:p w14:paraId="52091F90" w14:textId="3189388C" w:rsidR="00665988" w:rsidRDefault="00A344AA">
      <w:pPr>
        <w:pStyle w:val="InstructionsText2"/>
        <w:numPr>
          <w:ilvl w:val="0"/>
          <w:numId w:val="6"/>
        </w:numPr>
        <w:rPr>
          <w:u w:val="none"/>
        </w:rPr>
      </w:pPr>
      <w:r>
        <w:rPr>
          <w:u w:val="none"/>
        </w:rPr>
        <w:t xml:space="preserve">Институциите докладват десетте най-значими контрагенти или група от свързани клиенти — определени в член 4, параграф 1, точка 39 от Регламент (ЕС) № 575/2013, когато финансирането, получено от един контрагент или група от свързани клиенти, </w:t>
      </w:r>
      <w:r>
        <w:rPr>
          <w:u w:val="none"/>
        </w:rPr>
        <w:lastRenderedPageBreak/>
        <w:t>превишава праг от 1 % от общия размер на пасивите, докладвани в раздел 1, редове 020 — 110 от образеца. Контрагентът, докладван в позиция 1.01, представлява най-голямата сума на финансиране, получено от един контрагент или група от свързани клиенти, която превишава прага от 1 % към датата на докладване. Позиция 1.02 е втората по големина над прага от 1 %, а за останалите позиции е аналогично.</w:t>
      </w:r>
    </w:p>
    <w:p w14:paraId="430CAED4" w14:textId="505B6732" w:rsidR="00665988" w:rsidRDefault="00A344AA">
      <w:pPr>
        <w:pStyle w:val="InstructionsText2"/>
        <w:numPr>
          <w:ilvl w:val="0"/>
          <w:numId w:val="6"/>
        </w:numPr>
        <w:rPr>
          <w:u w:val="none"/>
        </w:rPr>
      </w:pPr>
      <w:r>
        <w:rPr>
          <w:u w:val="none"/>
        </w:rPr>
        <w:t xml:space="preserve">Информацията за контрагент, принадлежащ към няколко групи от свързани клиенти, се докладва само веднъж в групата с най-големия размер на финансирането. </w:t>
      </w:r>
    </w:p>
    <w:p w14:paraId="589BDAD9" w14:textId="67079620" w:rsidR="00665988" w:rsidRDefault="00A344AA">
      <w:pPr>
        <w:pStyle w:val="InstructionsText2"/>
        <w:numPr>
          <w:ilvl w:val="0"/>
          <w:numId w:val="6"/>
        </w:numPr>
        <w:rPr>
          <w:u w:val="none"/>
        </w:rPr>
      </w:pPr>
      <w:r>
        <w:rPr>
          <w:u w:val="none"/>
        </w:rPr>
        <w:t>Институциите докладват общия размер на останалата част от финансирането в раздел 2.</w:t>
      </w:r>
    </w:p>
    <w:p w14:paraId="6E279CE2" w14:textId="29172BB5" w:rsidR="00665988" w:rsidRDefault="00A344AA">
      <w:pPr>
        <w:pStyle w:val="InstructionsText2"/>
        <w:numPr>
          <w:ilvl w:val="0"/>
          <w:numId w:val="6"/>
        </w:numPr>
        <w:rPr>
          <w:u w:val="none"/>
        </w:rPr>
      </w:pPr>
      <w:r>
        <w:rPr>
          <w:u w:val="none"/>
        </w:rPr>
        <w:t>Общите суми по раздел 1 и раздел 2 са равни на общия размер на финансирането на институцията съгласно нейния счетоводен баланс, докладван в съответствие с рамката за финансова отчетност (FINREP).</w:t>
      </w:r>
    </w:p>
    <w:p w14:paraId="00BA7315" w14:textId="71355B4D" w:rsidR="00665988" w:rsidRDefault="00A344AA">
      <w:pPr>
        <w:pStyle w:val="InstructionsText2"/>
        <w:numPr>
          <w:ilvl w:val="0"/>
          <w:numId w:val="6"/>
        </w:numPr>
        <w:rPr>
          <w:u w:val="none"/>
        </w:rPr>
      </w:pPr>
      <w:r>
        <w:rPr>
          <w:u w:val="none"/>
        </w:rPr>
        <w:t>За всеки контрагент институциите докладват всички колони от 010 до 080.</w:t>
      </w:r>
    </w:p>
    <w:p w14:paraId="3425ECF0" w14:textId="65ED6564" w:rsidR="00665988" w:rsidRDefault="00A344AA">
      <w:pPr>
        <w:pStyle w:val="InstructionsText2"/>
        <w:numPr>
          <w:ilvl w:val="0"/>
          <w:numId w:val="6"/>
        </w:numPr>
        <w:rPr>
          <w:u w:val="none"/>
        </w:rPr>
      </w:pPr>
      <w:r>
        <w:rPr>
          <w:u w:val="none"/>
        </w:rPr>
        <w:t>Когато е получено финансиране в повече от един вид продукт, се докладва видът продукт, в който е получен най-голям дял от финансирането. Притежателят на ценните книжа може да бъде идентифициран на базата на полагане на максимални усилия. Когато разполага с информация за притежателя на ценните книжа (в ролята си на банка депозитар), институция взима предвид тази сума при докладването на концентрацията на контрагентите. Когато за притежателя на ценните книжа няма налична информация, съответната сума не е необходимо да се докладва.</w:t>
      </w:r>
    </w:p>
    <w:p w14:paraId="2DFF75CD" w14:textId="77777777" w:rsidR="00665988" w:rsidRDefault="00A344AA">
      <w:pPr>
        <w:pStyle w:val="InstructionsText2"/>
        <w:numPr>
          <w:ilvl w:val="0"/>
          <w:numId w:val="6"/>
        </w:numPr>
        <w:rPr>
          <w:u w:val="none"/>
        </w:rPr>
      </w:pPr>
      <w:r>
        <w:rPr>
          <w:u w:val="none"/>
        </w:rPr>
        <w:t>Указания относно конкретни колони:</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665988" w14:paraId="74B455E0" w14:textId="77777777" w:rsidTr="003F0706">
        <w:trPr>
          <w:trHeight w:val="548"/>
        </w:trPr>
        <w:tc>
          <w:tcPr>
            <w:tcW w:w="729" w:type="pct"/>
            <w:shd w:val="clear" w:color="auto" w:fill="D9D9D9"/>
            <w:noWrap/>
            <w:vAlign w:val="center"/>
          </w:tcPr>
          <w:p w14:paraId="3C56FF4E" w14:textId="77777777" w:rsidR="00665988" w:rsidRDefault="00A344AA">
            <w:pPr>
              <w:spacing w:before="0" w:after="0"/>
              <w:jc w:val="left"/>
              <w:rPr>
                <w:color w:val="000000"/>
              </w:rPr>
            </w:pPr>
            <w:r>
              <w:rPr>
                <w:rStyle w:val="InstructionsTabelleText"/>
                <w:rFonts w:ascii="Times New Roman" w:hAnsi="Times New Roman"/>
                <w:szCs w:val="20"/>
              </w:rPr>
              <w:t>Колона</w:t>
            </w:r>
          </w:p>
        </w:tc>
        <w:tc>
          <w:tcPr>
            <w:tcW w:w="4271" w:type="pct"/>
            <w:gridSpan w:val="2"/>
            <w:shd w:val="clear" w:color="auto" w:fill="D9D9D9"/>
            <w:vAlign w:val="center"/>
          </w:tcPr>
          <w:p w14:paraId="708D3843" w14:textId="77777777" w:rsidR="00665988" w:rsidRDefault="00A344AA">
            <w:pPr>
              <w:spacing w:before="0" w:after="0"/>
              <w:jc w:val="left"/>
            </w:pPr>
            <w:r>
              <w:rPr>
                <w:rStyle w:val="InstructionsTabelleText"/>
                <w:rFonts w:ascii="Times New Roman" w:hAnsi="Times New Roman"/>
                <w:szCs w:val="20"/>
              </w:rPr>
              <w:t>Препратки към правни норми и указания</w:t>
            </w:r>
          </w:p>
        </w:tc>
      </w:tr>
      <w:tr w:rsidR="00665988" w14:paraId="03B6122B" w14:textId="77777777" w:rsidTr="003F0706">
        <w:trPr>
          <w:trHeight w:val="765"/>
        </w:trPr>
        <w:tc>
          <w:tcPr>
            <w:tcW w:w="729" w:type="pct"/>
            <w:shd w:val="clear" w:color="auto" w:fill="auto"/>
            <w:noWrap/>
          </w:tcPr>
          <w:p w14:paraId="454F7606" w14:textId="77777777" w:rsidR="00665988"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665988" w:rsidRDefault="00A344AA">
            <w:pPr>
              <w:spacing w:before="0" w:after="0"/>
              <w:rPr>
                <w:rFonts w:ascii="Times New Roman" w:hAnsi="Times New Roman"/>
                <w:b/>
                <w:szCs w:val="20"/>
                <w:u w:val="single"/>
              </w:rPr>
            </w:pPr>
            <w:r>
              <w:rPr>
                <w:rFonts w:ascii="Times New Roman" w:hAnsi="Times New Roman"/>
                <w:b/>
                <w:szCs w:val="20"/>
                <w:u w:val="single"/>
              </w:rPr>
              <w:t>Име/фирма на контрагента</w:t>
            </w:r>
          </w:p>
          <w:p w14:paraId="19E2ADEC" w14:textId="77777777" w:rsidR="00665988" w:rsidRDefault="00665988">
            <w:pPr>
              <w:spacing w:before="0" w:after="0"/>
              <w:rPr>
                <w:rFonts w:ascii="Times New Roman" w:hAnsi="Times New Roman"/>
                <w:b/>
                <w:szCs w:val="20"/>
                <w:u w:val="single"/>
              </w:rPr>
            </w:pPr>
          </w:p>
          <w:p w14:paraId="2836EBB6" w14:textId="3EE49AEF" w:rsidR="00665988" w:rsidRDefault="00A344AA">
            <w:pPr>
              <w:spacing w:before="0" w:after="0"/>
              <w:rPr>
                <w:rFonts w:ascii="Times New Roman" w:hAnsi="Times New Roman"/>
                <w:szCs w:val="20"/>
              </w:rPr>
            </w:pPr>
            <w:r>
              <w:rPr>
                <w:rFonts w:ascii="Times New Roman" w:hAnsi="Times New Roman"/>
                <w:szCs w:val="20"/>
              </w:rPr>
              <w:t>Името/фирмата на всеки контрагент, от когото е получено финансиране, превишаващо 1 % от общия размер на пасивите, се вписва в колона 010 в низходящ ред, т.е. по реда на размера на полученото финансиране.</w:t>
            </w:r>
          </w:p>
          <w:p w14:paraId="5DFD68B3" w14:textId="77777777" w:rsidR="00665988" w:rsidRDefault="00665988">
            <w:pPr>
              <w:spacing w:before="0" w:after="0"/>
              <w:rPr>
                <w:rFonts w:ascii="Times New Roman" w:hAnsi="Times New Roman"/>
                <w:szCs w:val="20"/>
              </w:rPr>
            </w:pPr>
          </w:p>
          <w:p w14:paraId="5DA69516" w14:textId="05AEBC96" w:rsidR="00665988" w:rsidRDefault="00C663BC">
            <w:pPr>
              <w:spacing w:before="0" w:after="0"/>
              <w:rPr>
                <w:rFonts w:ascii="Times New Roman" w:hAnsi="Times New Roman"/>
                <w:szCs w:val="20"/>
              </w:rPr>
            </w:pPr>
            <w:r>
              <w:rPr>
                <w:rFonts w:ascii="Times New Roman" w:hAnsi="Times New Roman"/>
                <w:szCs w:val="20"/>
              </w:rPr>
              <w:t xml:space="preserve">Посочва се името/фирмата на контрагента — физическо лице или правен субект. Когато контрагентът е правен субект, се вписва пълното наименование на правния субект, от когото произхожда финансирането, включително видът на дружеството в съответствие с националното дружествено право. </w:t>
            </w:r>
          </w:p>
          <w:p w14:paraId="5AB242B5" w14:textId="77777777" w:rsidR="00665988" w:rsidRDefault="00665988">
            <w:pPr>
              <w:spacing w:before="0" w:after="0"/>
              <w:rPr>
                <w:rFonts w:ascii="Times New Roman" w:hAnsi="Times New Roman"/>
                <w:szCs w:val="20"/>
              </w:rPr>
            </w:pPr>
          </w:p>
        </w:tc>
      </w:tr>
      <w:tr w:rsidR="00665988" w14:paraId="383DA9E1" w14:textId="77777777" w:rsidTr="003F0706">
        <w:trPr>
          <w:trHeight w:val="765"/>
        </w:trPr>
        <w:tc>
          <w:tcPr>
            <w:tcW w:w="729" w:type="pct"/>
            <w:shd w:val="clear" w:color="auto" w:fill="auto"/>
            <w:noWrap/>
          </w:tcPr>
          <w:p w14:paraId="0369CC55" w14:textId="46C7C99A" w:rsidR="00665988"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665988"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Код</w:t>
            </w:r>
          </w:p>
          <w:p w14:paraId="484D7006" w14:textId="77777777" w:rsidR="00665988" w:rsidRDefault="00665988">
            <w:pPr>
              <w:pStyle w:val="InstructionsText"/>
              <w:rPr>
                <w:rStyle w:val="InstructionsTabelleberschrift"/>
                <w:rFonts w:ascii="Times New Roman" w:hAnsi="Times New Roman"/>
                <w:szCs w:val="20"/>
              </w:rPr>
            </w:pPr>
          </w:p>
          <w:p w14:paraId="384FB2AC" w14:textId="77777777" w:rsidR="00665988"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Този код представлява идентификатор на реда и трябва да е единствен за всеки ред от таблицата.</w:t>
            </w:r>
          </w:p>
          <w:p w14:paraId="0CD09054" w14:textId="77777777" w:rsidR="00665988" w:rsidRDefault="00665988">
            <w:pPr>
              <w:pStyle w:val="InstructionsText"/>
              <w:rPr>
                <w:b/>
                <w:szCs w:val="20"/>
              </w:rPr>
            </w:pPr>
          </w:p>
        </w:tc>
      </w:tr>
      <w:tr w:rsidR="00665988" w14:paraId="38D9E163" w14:textId="77777777" w:rsidTr="003F0706">
        <w:trPr>
          <w:trHeight w:val="765"/>
        </w:trPr>
        <w:tc>
          <w:tcPr>
            <w:tcW w:w="729" w:type="pct"/>
            <w:shd w:val="clear" w:color="auto" w:fill="auto"/>
            <w:noWrap/>
          </w:tcPr>
          <w:p w14:paraId="7AE3AB1F" w14:textId="77777777" w:rsidR="00665988"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665988"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Идентификационен код на правен субект (ИКПС)</w:t>
            </w:r>
          </w:p>
          <w:p w14:paraId="36F19060" w14:textId="77777777" w:rsidR="00665988" w:rsidRDefault="00665988">
            <w:pPr>
              <w:pStyle w:val="InstructionsText"/>
              <w:rPr>
                <w:rStyle w:val="InstructionsTabelleberschrift"/>
                <w:rFonts w:ascii="Times New Roman" w:hAnsi="Times New Roman"/>
                <w:szCs w:val="20"/>
              </w:rPr>
            </w:pPr>
          </w:p>
          <w:p w14:paraId="6C3C7436" w14:textId="77777777" w:rsidR="00665988"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Идентификационният код на правния субект на контрагента. </w:t>
            </w:r>
          </w:p>
          <w:p w14:paraId="68F04C82" w14:textId="77777777" w:rsidR="00665988" w:rsidRDefault="00CC3091">
            <w:pPr>
              <w:pStyle w:val="InstructionsText"/>
            </w:pPr>
            <w:r>
              <w:t>При идентифицирането на даден контрагент се използва неговият ИКПС, когато такъв съществува.</w:t>
            </w:r>
          </w:p>
          <w:p w14:paraId="66432471" w14:textId="501FA456" w:rsidR="00665988" w:rsidRDefault="00665988">
            <w:pPr>
              <w:pStyle w:val="InstructionsText"/>
            </w:pPr>
          </w:p>
        </w:tc>
      </w:tr>
      <w:tr w:rsidR="00665988" w14:paraId="51607CEC" w14:textId="77777777" w:rsidTr="003D0976">
        <w:trPr>
          <w:trHeight w:val="510"/>
        </w:trPr>
        <w:tc>
          <w:tcPr>
            <w:tcW w:w="729" w:type="pct"/>
            <w:tcBorders>
              <w:bottom w:val="single" w:sz="4" w:space="0" w:color="auto"/>
            </w:tcBorders>
            <w:shd w:val="clear" w:color="auto" w:fill="auto"/>
            <w:noWrap/>
          </w:tcPr>
          <w:p w14:paraId="19A860BE" w14:textId="77777777" w:rsidR="00665988"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665988" w:rsidRDefault="00A344AA">
            <w:pPr>
              <w:spacing w:before="0" w:after="0"/>
              <w:rPr>
                <w:rFonts w:ascii="Times New Roman" w:hAnsi="Times New Roman"/>
                <w:b/>
                <w:szCs w:val="20"/>
                <w:u w:val="single"/>
              </w:rPr>
            </w:pPr>
            <w:r>
              <w:rPr>
                <w:rFonts w:ascii="Times New Roman" w:hAnsi="Times New Roman"/>
                <w:b/>
                <w:szCs w:val="20"/>
                <w:u w:val="single"/>
              </w:rPr>
              <w:t>Сектор на контрагента</w:t>
            </w:r>
          </w:p>
          <w:p w14:paraId="2CCF7839" w14:textId="77777777" w:rsidR="00665988" w:rsidRDefault="00665988">
            <w:pPr>
              <w:spacing w:before="0" w:after="0"/>
              <w:rPr>
                <w:rFonts w:ascii="Times New Roman" w:hAnsi="Times New Roman"/>
                <w:b/>
                <w:szCs w:val="20"/>
                <w:u w:val="single"/>
              </w:rPr>
            </w:pPr>
          </w:p>
          <w:p w14:paraId="2E43DAFB" w14:textId="2C4B739F" w:rsidR="00665988"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Всеки контрагент се разпределя в отделен икономически сектор според класовете икономически сектори съгласно FINREP:</w:t>
            </w:r>
          </w:p>
          <w:p w14:paraId="7C349277" w14:textId="77777777" w:rsidR="00665988" w:rsidRDefault="00665988">
            <w:pPr>
              <w:pStyle w:val="InstructionsText"/>
              <w:rPr>
                <w:rStyle w:val="FormatvorlageInstructionsTabelleText"/>
                <w:rFonts w:ascii="Times New Roman" w:hAnsi="Times New Roman"/>
                <w:szCs w:val="20"/>
              </w:rPr>
            </w:pPr>
          </w:p>
          <w:p w14:paraId="07E3E3C8" w14:textId="068EC55B" w:rsidR="00665988"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централни банки; ii) сектори „Държавно управление“; iii) кредитни институции; iv) други финансови предприятия; v) нефинансови предприятия; vi) домакинства. </w:t>
            </w:r>
          </w:p>
          <w:p w14:paraId="4CA62F92" w14:textId="77777777" w:rsidR="00665988" w:rsidRDefault="00665988">
            <w:pPr>
              <w:pStyle w:val="InstructionsText"/>
              <w:rPr>
                <w:rStyle w:val="FormatvorlageInstructionsTabelleText"/>
                <w:rFonts w:ascii="Times New Roman" w:hAnsi="Times New Roman"/>
                <w:szCs w:val="20"/>
              </w:rPr>
            </w:pPr>
          </w:p>
          <w:p w14:paraId="1E7BCB8F" w14:textId="77777777" w:rsidR="00665988"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За групите от свързани клиенти не се посочва сектор.</w:t>
            </w:r>
          </w:p>
          <w:p w14:paraId="0E3CE66C" w14:textId="77777777" w:rsidR="00665988" w:rsidRDefault="00665988">
            <w:pPr>
              <w:pStyle w:val="InstructionsText2"/>
              <w:numPr>
                <w:ilvl w:val="0"/>
                <w:numId w:val="0"/>
              </w:numPr>
              <w:spacing w:after="0"/>
              <w:ind w:left="714"/>
            </w:pPr>
          </w:p>
        </w:tc>
      </w:tr>
      <w:tr w:rsidR="00665988" w14:paraId="159CB0CE" w14:textId="77777777" w:rsidTr="003D0976">
        <w:trPr>
          <w:trHeight w:val="510"/>
        </w:trPr>
        <w:tc>
          <w:tcPr>
            <w:tcW w:w="729" w:type="pct"/>
            <w:tcBorders>
              <w:bottom w:val="nil"/>
            </w:tcBorders>
            <w:shd w:val="clear" w:color="auto" w:fill="auto"/>
            <w:noWrap/>
          </w:tcPr>
          <w:p w14:paraId="7DA552B5" w14:textId="77777777" w:rsidR="00665988"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gridSpan w:val="2"/>
            <w:tcBorders>
              <w:bottom w:val="nil"/>
            </w:tcBorders>
            <w:shd w:val="clear" w:color="auto" w:fill="auto"/>
          </w:tcPr>
          <w:p w14:paraId="4A62D5F3" w14:textId="77777777" w:rsidR="00665988" w:rsidRDefault="00A344AA">
            <w:pPr>
              <w:spacing w:before="0" w:after="0"/>
              <w:rPr>
                <w:rFonts w:ascii="Times New Roman" w:hAnsi="Times New Roman"/>
                <w:b/>
                <w:szCs w:val="20"/>
                <w:u w:val="single"/>
              </w:rPr>
            </w:pPr>
            <w:r>
              <w:rPr>
                <w:rFonts w:ascii="Times New Roman" w:hAnsi="Times New Roman"/>
                <w:b/>
                <w:szCs w:val="20"/>
                <w:u w:val="single"/>
              </w:rPr>
              <w:t xml:space="preserve">Местопребиваване на контрагента </w:t>
            </w:r>
          </w:p>
          <w:p w14:paraId="4CB6B035" w14:textId="77777777" w:rsidR="00665988" w:rsidRDefault="00665988">
            <w:pPr>
              <w:pStyle w:val="InstructionsText"/>
              <w:rPr>
                <w:rStyle w:val="FormatvorlageInstructionsTabelleText"/>
                <w:rFonts w:ascii="Times New Roman" w:hAnsi="Times New Roman"/>
                <w:b/>
                <w:szCs w:val="20"/>
              </w:rPr>
            </w:pPr>
          </w:p>
          <w:p w14:paraId="1792AE6F" w14:textId="2E35E73C" w:rsidR="00665988"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Използва се двубуквеният код по стандарт ISO 3166-1 на държавата на учредяване на контрагента (включително псевдокодовете по ISO на международните организации</w:t>
            </w:r>
            <w:r>
              <w:t>, публикувани в най-актуалното издание на наръчника на Евростат относно платежния баланс)</w:t>
            </w:r>
            <w:r>
              <w:rPr>
                <w:rStyle w:val="FormatvorlageInstructionsTabelleText"/>
                <w:rFonts w:ascii="Times New Roman" w:hAnsi="Times New Roman"/>
                <w:szCs w:val="20"/>
              </w:rPr>
              <w:t xml:space="preserve">. </w:t>
            </w:r>
          </w:p>
          <w:p w14:paraId="713A8F3E" w14:textId="77777777" w:rsidR="00665988" w:rsidRDefault="00665988">
            <w:pPr>
              <w:pStyle w:val="InstructionsText"/>
              <w:rPr>
                <w:rStyle w:val="FormatvorlageInstructionsTabelleText"/>
                <w:rFonts w:ascii="Times New Roman" w:hAnsi="Times New Roman"/>
                <w:szCs w:val="20"/>
              </w:rPr>
            </w:pPr>
          </w:p>
          <w:p w14:paraId="6E964331" w14:textId="180A6696" w:rsidR="00665988" w:rsidRDefault="00A344AA">
            <w:pPr>
              <w:spacing w:before="0" w:after="0"/>
              <w:rPr>
                <w:rFonts w:ascii="Times New Roman" w:hAnsi="Times New Roman"/>
                <w:b/>
                <w:szCs w:val="20"/>
                <w:u w:val="single"/>
              </w:rPr>
            </w:pPr>
            <w:r>
              <w:rPr>
                <w:rStyle w:val="FormatvorlageInstructionsTabelleText"/>
                <w:rFonts w:ascii="Times New Roman" w:hAnsi="Times New Roman"/>
                <w:szCs w:val="20"/>
              </w:rPr>
              <w:t>За групи от свързани клиенти не се посочва държава.</w:t>
            </w:r>
          </w:p>
        </w:tc>
      </w:tr>
      <w:tr w:rsidR="0066598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665988" w:rsidRDefault="00665988">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665988" w:rsidRDefault="00665988">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665988" w:rsidRDefault="00665988">
            <w:pPr>
              <w:spacing w:before="0" w:after="0"/>
              <w:rPr>
                <w:rFonts w:ascii="Times New Roman" w:hAnsi="Times New Roman"/>
                <w:b/>
                <w:szCs w:val="20"/>
                <w:u w:val="single"/>
              </w:rPr>
            </w:pPr>
          </w:p>
        </w:tc>
      </w:tr>
      <w:tr w:rsidR="0066598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665988"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665988" w:rsidRDefault="00A344AA">
            <w:pPr>
              <w:spacing w:before="0" w:after="0"/>
              <w:rPr>
                <w:rFonts w:ascii="Times New Roman" w:hAnsi="Times New Roman"/>
                <w:b/>
                <w:szCs w:val="20"/>
                <w:u w:val="single"/>
              </w:rPr>
            </w:pPr>
            <w:r>
              <w:rPr>
                <w:rFonts w:ascii="Times New Roman" w:hAnsi="Times New Roman"/>
                <w:b/>
                <w:szCs w:val="20"/>
                <w:u w:val="single"/>
              </w:rPr>
              <w:t>Вид продукт</w:t>
            </w:r>
          </w:p>
          <w:p w14:paraId="27D8CDCC" w14:textId="77777777" w:rsidR="00665988" w:rsidRDefault="00665988">
            <w:pPr>
              <w:spacing w:before="0" w:after="0"/>
              <w:rPr>
                <w:rFonts w:ascii="Times New Roman" w:hAnsi="Times New Roman"/>
                <w:b/>
                <w:szCs w:val="20"/>
                <w:u w:val="single"/>
              </w:rPr>
            </w:pPr>
          </w:p>
          <w:p w14:paraId="435BE420" w14:textId="00C0FA31" w:rsidR="00665988" w:rsidRDefault="00A344AA">
            <w:pPr>
              <w:spacing w:before="0" w:after="0"/>
              <w:rPr>
                <w:rFonts w:ascii="Times New Roman" w:hAnsi="Times New Roman"/>
                <w:szCs w:val="20"/>
              </w:rPr>
            </w:pPr>
            <w:r>
              <w:rPr>
                <w:rFonts w:ascii="Times New Roman" w:hAnsi="Times New Roman"/>
                <w:szCs w:val="20"/>
              </w:rPr>
              <w:t>За контрагентите, посочени в колона 010, се определя видът продукт, съответстващ на емитирания продукт, в който е получено финансирането, а при смесени видове продукти — продуктът, в който е получен най-голям дял от финансирането, като се използват следните кодове в удебелен шрифт:</w:t>
            </w:r>
          </w:p>
          <w:p w14:paraId="374B715F" w14:textId="77777777" w:rsidR="00665988" w:rsidRDefault="00665988">
            <w:pPr>
              <w:spacing w:before="0" w:after="0"/>
              <w:ind w:left="108"/>
              <w:rPr>
                <w:rFonts w:ascii="Times New Roman" w:hAnsi="Times New Roman"/>
                <w:color w:val="000000"/>
                <w:szCs w:val="20"/>
              </w:rPr>
            </w:pPr>
          </w:p>
          <w:p w14:paraId="644929DE" w14:textId="77777777" w:rsidR="00665988" w:rsidRDefault="00A344AA">
            <w:pPr>
              <w:spacing w:before="0" w:after="0"/>
              <w:ind w:left="108"/>
              <w:rPr>
                <w:rFonts w:ascii="Times New Roman" w:hAnsi="Times New Roman"/>
                <w:color w:val="000000"/>
                <w:szCs w:val="20"/>
              </w:rPr>
            </w:pPr>
            <w:r>
              <w:rPr>
                <w:rFonts w:ascii="Times New Roman" w:hAnsi="Times New Roman"/>
                <w:b/>
                <w:bCs/>
                <w:szCs w:val="20"/>
              </w:rPr>
              <w:t>UWF</w:t>
            </w:r>
            <w:r>
              <w:rPr>
                <w:rFonts w:ascii="Times New Roman" w:hAnsi="Times New Roman"/>
                <w:szCs w:val="20"/>
              </w:rPr>
              <w:t xml:space="preserve"> (необезпечено финансиране на едро, получено от финансови клиенти, в т.ч. междубанкови парични средства)</w:t>
            </w:r>
          </w:p>
          <w:p w14:paraId="65D81A1D" w14:textId="77777777" w:rsidR="00665988" w:rsidRDefault="00665988">
            <w:pPr>
              <w:spacing w:before="0" w:after="0"/>
              <w:ind w:left="108"/>
              <w:rPr>
                <w:rFonts w:ascii="Times New Roman" w:hAnsi="Times New Roman"/>
                <w:color w:val="000000"/>
                <w:szCs w:val="20"/>
              </w:rPr>
            </w:pPr>
          </w:p>
          <w:p w14:paraId="2E6EBD07" w14:textId="77777777" w:rsidR="00665988" w:rsidRDefault="00A344AA">
            <w:pPr>
              <w:spacing w:before="0" w:after="0"/>
              <w:ind w:left="108"/>
              <w:rPr>
                <w:rFonts w:ascii="Times New Roman" w:hAnsi="Times New Roman"/>
                <w:color w:val="000000"/>
                <w:szCs w:val="20"/>
              </w:rPr>
            </w:pPr>
            <w:r>
              <w:rPr>
                <w:rFonts w:ascii="Times New Roman" w:hAnsi="Times New Roman"/>
                <w:b/>
                <w:bCs/>
                <w:szCs w:val="20"/>
              </w:rPr>
              <w:t>UWNF</w:t>
            </w:r>
            <w:r>
              <w:rPr>
                <w:rFonts w:ascii="Times New Roman" w:hAnsi="Times New Roman"/>
                <w:szCs w:val="20"/>
              </w:rPr>
              <w:t xml:space="preserve"> (необезпечено финансиране на едро, получено от нефинансови клиенти)</w:t>
            </w:r>
          </w:p>
          <w:p w14:paraId="69567DFF" w14:textId="77777777" w:rsidR="00665988" w:rsidRDefault="00665988">
            <w:pPr>
              <w:spacing w:before="0" w:after="0"/>
              <w:ind w:left="108"/>
              <w:rPr>
                <w:rFonts w:ascii="Times New Roman" w:hAnsi="Times New Roman"/>
                <w:color w:val="000000"/>
                <w:szCs w:val="20"/>
              </w:rPr>
            </w:pPr>
          </w:p>
          <w:p w14:paraId="362C9247" w14:textId="159651AB" w:rsidR="00665988" w:rsidRDefault="00792E65">
            <w:pPr>
              <w:spacing w:before="0" w:after="0"/>
              <w:ind w:left="108"/>
              <w:rPr>
                <w:rFonts w:ascii="Times New Roman" w:hAnsi="Times New Roman"/>
                <w:color w:val="000000"/>
                <w:szCs w:val="20"/>
              </w:rPr>
            </w:pPr>
            <w:r>
              <w:rPr>
                <w:rFonts w:ascii="Times New Roman" w:hAnsi="Times New Roman"/>
                <w:b/>
                <w:bCs/>
                <w:szCs w:val="20"/>
              </w:rPr>
              <w:t>SFT</w:t>
            </w:r>
            <w:r>
              <w:rPr>
                <w:rFonts w:ascii="Times New Roman" w:hAnsi="Times New Roman"/>
                <w:szCs w:val="20"/>
              </w:rPr>
              <w:t xml:space="preserve"> (финансиране, получено по репо споразумения, както са определени в член 4, параграф 1, точка 82 от Регламент (ЕС) № 575/2013)</w:t>
            </w:r>
          </w:p>
          <w:p w14:paraId="66F4842F" w14:textId="77777777" w:rsidR="00665988" w:rsidRDefault="00665988">
            <w:pPr>
              <w:spacing w:before="0" w:after="0"/>
              <w:ind w:left="108"/>
              <w:rPr>
                <w:rFonts w:ascii="Times New Roman" w:hAnsi="Times New Roman"/>
                <w:color w:val="000000"/>
                <w:szCs w:val="20"/>
              </w:rPr>
            </w:pPr>
          </w:p>
          <w:p w14:paraId="4D7FE979" w14:textId="00122A3D" w:rsidR="00665988" w:rsidRDefault="00A344AA">
            <w:pPr>
              <w:spacing w:before="0" w:after="0"/>
              <w:ind w:left="108"/>
              <w:rPr>
                <w:rFonts w:ascii="Times New Roman" w:hAnsi="Times New Roman"/>
                <w:color w:val="000000"/>
                <w:szCs w:val="20"/>
              </w:rPr>
            </w:pPr>
            <w:r>
              <w:rPr>
                <w:rFonts w:ascii="Times New Roman" w:hAnsi="Times New Roman"/>
                <w:b/>
                <w:bCs/>
                <w:szCs w:val="20"/>
              </w:rPr>
              <w:t>CB</w:t>
            </w:r>
            <w:r>
              <w:rPr>
                <w:rFonts w:ascii="Times New Roman" w:hAnsi="Times New Roman"/>
                <w:szCs w:val="20"/>
              </w:rPr>
              <w:t xml:space="preserve"> (финансиране, получено от емитиране на покрити облигации, както са определени в член 129, параграф 4 или 5 от Регламент (ЕС) № 575/2013 или в член 52, параграф 4 от Директива 2009/65/ЕО)</w:t>
            </w:r>
          </w:p>
          <w:p w14:paraId="3F2C9E19" w14:textId="77777777" w:rsidR="00665988" w:rsidRDefault="00665988">
            <w:pPr>
              <w:spacing w:before="0" w:after="0"/>
              <w:ind w:left="108"/>
              <w:rPr>
                <w:rFonts w:ascii="Times New Roman" w:hAnsi="Times New Roman"/>
                <w:color w:val="000000"/>
                <w:szCs w:val="20"/>
              </w:rPr>
            </w:pPr>
          </w:p>
          <w:p w14:paraId="2DBA0870" w14:textId="77777777" w:rsidR="00665988" w:rsidRDefault="00A344AA">
            <w:pPr>
              <w:spacing w:before="0" w:after="0"/>
              <w:ind w:left="108"/>
              <w:rPr>
                <w:rFonts w:ascii="Times New Roman" w:hAnsi="Times New Roman"/>
                <w:color w:val="000000"/>
                <w:szCs w:val="20"/>
              </w:rPr>
            </w:pPr>
            <w:r>
              <w:rPr>
                <w:rFonts w:ascii="Times New Roman" w:hAnsi="Times New Roman"/>
                <w:b/>
                <w:bCs/>
                <w:szCs w:val="20"/>
              </w:rPr>
              <w:t>ABS</w:t>
            </w:r>
            <w:r>
              <w:rPr>
                <w:rFonts w:ascii="Times New Roman" w:hAnsi="Times New Roman"/>
                <w:szCs w:val="20"/>
              </w:rPr>
              <w:t xml:space="preserve"> (финансиране, получено от емитиране на ценни книжа, обезпечени с активи, в т.ч. търговски книжа, обезпечени с активи)</w:t>
            </w:r>
          </w:p>
          <w:p w14:paraId="54E284FB" w14:textId="77777777" w:rsidR="00665988" w:rsidRDefault="00665988">
            <w:pPr>
              <w:spacing w:before="0" w:after="0"/>
              <w:ind w:left="108"/>
              <w:rPr>
                <w:rFonts w:ascii="Times New Roman" w:hAnsi="Times New Roman"/>
                <w:color w:val="000000"/>
                <w:szCs w:val="20"/>
              </w:rPr>
            </w:pPr>
          </w:p>
          <w:p w14:paraId="1114784A" w14:textId="77777777" w:rsidR="00665988" w:rsidRDefault="00A344AA">
            <w:pPr>
              <w:spacing w:before="0" w:after="0"/>
              <w:ind w:left="108"/>
              <w:rPr>
                <w:rFonts w:ascii="Times New Roman" w:hAnsi="Times New Roman"/>
                <w:color w:val="000000"/>
                <w:szCs w:val="20"/>
              </w:rPr>
            </w:pPr>
            <w:r>
              <w:rPr>
                <w:rFonts w:ascii="Times New Roman" w:hAnsi="Times New Roman"/>
                <w:b/>
                <w:bCs/>
                <w:szCs w:val="20"/>
              </w:rPr>
              <w:t>IGCP</w:t>
            </w:r>
            <w:r>
              <w:rPr>
                <w:rFonts w:ascii="Times New Roman" w:hAnsi="Times New Roman"/>
                <w:szCs w:val="20"/>
              </w:rPr>
              <w:t xml:space="preserve"> (финансиране, получено от контрагенти в рамките на групата)</w:t>
            </w:r>
          </w:p>
          <w:p w14:paraId="59575FF6" w14:textId="77777777" w:rsidR="00665988" w:rsidRDefault="00665988">
            <w:pPr>
              <w:spacing w:before="0" w:after="0"/>
              <w:ind w:left="108"/>
              <w:rPr>
                <w:rFonts w:ascii="Times New Roman" w:hAnsi="Times New Roman"/>
                <w:color w:val="000000"/>
                <w:szCs w:val="20"/>
              </w:rPr>
            </w:pPr>
          </w:p>
          <w:p w14:paraId="0809393C" w14:textId="77777777" w:rsidR="00665988" w:rsidRDefault="00A344AA">
            <w:pPr>
              <w:spacing w:before="0" w:after="0"/>
              <w:ind w:left="108"/>
              <w:rPr>
                <w:rFonts w:ascii="Times New Roman" w:hAnsi="Times New Roman"/>
                <w:color w:val="000000"/>
                <w:szCs w:val="20"/>
              </w:rPr>
            </w:pPr>
            <w:r>
              <w:rPr>
                <w:rFonts w:ascii="Times New Roman" w:hAnsi="Times New Roman"/>
                <w:b/>
                <w:bCs/>
                <w:szCs w:val="20"/>
              </w:rPr>
              <w:t>OSWF</w:t>
            </w:r>
            <w:r>
              <w:rPr>
                <w:rFonts w:ascii="Times New Roman" w:hAnsi="Times New Roman"/>
                <w:szCs w:val="20"/>
              </w:rPr>
              <w:t xml:space="preserve"> (друго обезпечено финансиране на едро)</w:t>
            </w:r>
          </w:p>
          <w:p w14:paraId="64E5769B" w14:textId="77777777" w:rsidR="00665988" w:rsidRDefault="00665988">
            <w:pPr>
              <w:spacing w:before="0" w:after="0"/>
              <w:ind w:left="108"/>
              <w:rPr>
                <w:rFonts w:ascii="Times New Roman" w:hAnsi="Times New Roman"/>
                <w:color w:val="000000"/>
                <w:szCs w:val="20"/>
              </w:rPr>
            </w:pPr>
          </w:p>
          <w:p w14:paraId="520400E8" w14:textId="77777777" w:rsidR="00665988" w:rsidRDefault="00A344AA">
            <w:pPr>
              <w:spacing w:before="0" w:after="0"/>
              <w:ind w:left="108"/>
              <w:rPr>
                <w:rFonts w:ascii="Times New Roman" w:hAnsi="Times New Roman"/>
                <w:color w:val="000000"/>
                <w:szCs w:val="20"/>
              </w:rPr>
            </w:pPr>
            <w:r>
              <w:rPr>
                <w:rFonts w:ascii="Times New Roman" w:hAnsi="Times New Roman"/>
                <w:b/>
                <w:bCs/>
                <w:szCs w:val="20"/>
              </w:rPr>
              <w:t>OFP</w:t>
            </w:r>
            <w:r>
              <w:rPr>
                <w:rFonts w:ascii="Times New Roman" w:hAnsi="Times New Roman"/>
                <w:szCs w:val="20"/>
              </w:rPr>
              <w:t xml:space="preserve"> (други продукти за финансиране, например финансиране на дребно)</w:t>
            </w:r>
          </w:p>
          <w:p w14:paraId="7EA3B3FF" w14:textId="77777777" w:rsidR="00665988" w:rsidRDefault="00665988">
            <w:pPr>
              <w:spacing w:before="0" w:after="0"/>
              <w:rPr>
                <w:rFonts w:ascii="Times New Roman" w:hAnsi="Times New Roman"/>
                <w:b/>
                <w:szCs w:val="20"/>
                <w:u w:val="single"/>
              </w:rPr>
            </w:pPr>
          </w:p>
        </w:tc>
      </w:tr>
      <w:tr w:rsidR="00665988" w14:paraId="5F88F47E" w14:textId="77777777" w:rsidTr="003D0976">
        <w:trPr>
          <w:trHeight w:val="510"/>
        </w:trPr>
        <w:tc>
          <w:tcPr>
            <w:tcW w:w="729" w:type="pct"/>
            <w:shd w:val="clear" w:color="auto" w:fill="auto"/>
            <w:noWrap/>
          </w:tcPr>
          <w:p w14:paraId="6C7A5E49" w14:textId="77777777" w:rsidR="00665988"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665988" w:rsidRDefault="00A344AA">
            <w:pPr>
              <w:spacing w:before="0" w:after="0"/>
              <w:rPr>
                <w:rFonts w:ascii="Times New Roman" w:hAnsi="Times New Roman"/>
                <w:b/>
                <w:szCs w:val="20"/>
                <w:u w:val="single"/>
              </w:rPr>
            </w:pPr>
            <w:r>
              <w:rPr>
                <w:rFonts w:ascii="Times New Roman" w:hAnsi="Times New Roman"/>
                <w:b/>
                <w:szCs w:val="20"/>
                <w:u w:val="single"/>
              </w:rPr>
              <w:t>Получена сума</w:t>
            </w:r>
          </w:p>
          <w:p w14:paraId="235C86C1" w14:textId="77777777" w:rsidR="00665988" w:rsidRDefault="00665988">
            <w:pPr>
              <w:spacing w:before="0" w:after="0"/>
              <w:rPr>
                <w:rFonts w:ascii="Times New Roman" w:hAnsi="Times New Roman"/>
                <w:b/>
                <w:szCs w:val="20"/>
                <w:u w:val="single"/>
              </w:rPr>
            </w:pPr>
          </w:p>
          <w:p w14:paraId="2FAA6C63" w14:textId="53EB1C12" w:rsidR="00665988" w:rsidRDefault="00A344AA">
            <w:pPr>
              <w:spacing w:before="0" w:after="0"/>
              <w:rPr>
                <w:rFonts w:ascii="Times New Roman" w:hAnsi="Times New Roman"/>
                <w:szCs w:val="20"/>
              </w:rPr>
            </w:pPr>
            <w:r>
              <w:rPr>
                <w:rFonts w:ascii="Times New Roman" w:hAnsi="Times New Roman"/>
                <w:szCs w:val="20"/>
              </w:rPr>
              <w:t xml:space="preserve">Общият размер на финансирането, получено от посочените в колона 010 контрагенти, се докладва в колона 060, където институциите докладват балансовите стойности. </w:t>
            </w:r>
          </w:p>
          <w:p w14:paraId="380CD660" w14:textId="77777777" w:rsidR="00665988" w:rsidRDefault="00665988">
            <w:pPr>
              <w:spacing w:before="0" w:after="0"/>
              <w:rPr>
                <w:rFonts w:ascii="Times New Roman" w:hAnsi="Times New Roman"/>
                <w:b/>
                <w:szCs w:val="20"/>
                <w:u w:val="single"/>
              </w:rPr>
            </w:pPr>
          </w:p>
        </w:tc>
      </w:tr>
      <w:tr w:rsidR="00665988" w14:paraId="12BAF631" w14:textId="77777777" w:rsidTr="005B086D">
        <w:trPr>
          <w:trHeight w:val="2537"/>
        </w:trPr>
        <w:tc>
          <w:tcPr>
            <w:tcW w:w="729" w:type="pct"/>
            <w:shd w:val="clear" w:color="auto" w:fill="auto"/>
            <w:noWrap/>
          </w:tcPr>
          <w:p w14:paraId="24187AE3" w14:textId="77777777" w:rsidR="00665988"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665988" w:rsidRDefault="00A344AA">
            <w:pPr>
              <w:spacing w:before="0" w:after="0"/>
              <w:rPr>
                <w:rFonts w:ascii="Times New Roman" w:hAnsi="Times New Roman"/>
                <w:b/>
                <w:szCs w:val="20"/>
                <w:u w:val="single"/>
              </w:rPr>
            </w:pPr>
            <w:r>
              <w:rPr>
                <w:rFonts w:ascii="Times New Roman" w:hAnsi="Times New Roman"/>
                <w:b/>
                <w:szCs w:val="20"/>
                <w:u w:val="single"/>
              </w:rPr>
              <w:t>Среднопретеглен първоначален срок до падежа</w:t>
            </w:r>
          </w:p>
          <w:p w14:paraId="5ED01858" w14:textId="77777777" w:rsidR="00665988" w:rsidRDefault="00665988">
            <w:pPr>
              <w:spacing w:before="0" w:after="0"/>
              <w:rPr>
                <w:rFonts w:ascii="Times New Roman" w:hAnsi="Times New Roman"/>
                <w:b/>
                <w:szCs w:val="20"/>
                <w:u w:val="single"/>
              </w:rPr>
            </w:pPr>
          </w:p>
          <w:p w14:paraId="7042CB79" w14:textId="1AE683FA" w:rsidR="00665988" w:rsidRDefault="00A344AA">
            <w:pPr>
              <w:spacing w:before="0" w:after="0"/>
              <w:rPr>
                <w:rFonts w:ascii="Times New Roman" w:hAnsi="Times New Roman"/>
                <w:szCs w:val="20"/>
              </w:rPr>
            </w:pPr>
            <w:r>
              <w:rPr>
                <w:rFonts w:ascii="Times New Roman" w:hAnsi="Times New Roman"/>
                <w:szCs w:val="20"/>
              </w:rPr>
              <w:t>За размера на докладваното в колона 060 финансиране, получено от посочения в колона 010 контрагент, в колона 070 се вписва среднопретегленият първоначален срок до падежа (в дни) на това финансиране.</w:t>
            </w:r>
          </w:p>
          <w:p w14:paraId="4D84C330" w14:textId="77777777" w:rsidR="00665988" w:rsidRDefault="00665988">
            <w:pPr>
              <w:spacing w:before="0" w:after="0"/>
              <w:rPr>
                <w:rFonts w:ascii="Times New Roman" w:hAnsi="Times New Roman"/>
                <w:szCs w:val="20"/>
              </w:rPr>
            </w:pPr>
          </w:p>
          <w:p w14:paraId="33D52360" w14:textId="2813CB18" w:rsidR="00665988" w:rsidRDefault="008563C0">
            <w:pPr>
              <w:spacing w:before="0" w:after="0"/>
              <w:rPr>
                <w:rFonts w:ascii="Times New Roman" w:hAnsi="Times New Roman"/>
                <w:szCs w:val="20"/>
              </w:rPr>
            </w:pPr>
            <w:r>
              <w:rPr>
                <w:rFonts w:ascii="Times New Roman" w:hAnsi="Times New Roman"/>
                <w:szCs w:val="20"/>
              </w:rPr>
              <w:t>Среднопретегленият първоначален срок до падежа се изчислява като средната стойност за първоначалния срок до падежа (в дни) на финансирането, получено от този контрагент. Средната стойност се претегля на базата на размера на различните суми на полученото финансиране спрямо общия размер на финансирането, получено от този контрагент.</w:t>
            </w:r>
          </w:p>
        </w:tc>
      </w:tr>
      <w:tr w:rsidR="00665988" w14:paraId="3227884A" w14:textId="77777777" w:rsidTr="005B086D">
        <w:trPr>
          <w:trHeight w:val="460"/>
        </w:trPr>
        <w:tc>
          <w:tcPr>
            <w:tcW w:w="729" w:type="pct"/>
            <w:tcBorders>
              <w:bottom w:val="single" w:sz="4" w:space="0" w:color="auto"/>
            </w:tcBorders>
            <w:shd w:val="clear" w:color="auto" w:fill="auto"/>
            <w:noWrap/>
          </w:tcPr>
          <w:p w14:paraId="298360E3" w14:textId="77777777" w:rsidR="00665988"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665988" w:rsidRDefault="00A344AA">
            <w:pPr>
              <w:spacing w:before="0" w:after="0"/>
              <w:rPr>
                <w:rFonts w:ascii="Times New Roman" w:hAnsi="Times New Roman"/>
                <w:b/>
                <w:szCs w:val="20"/>
                <w:u w:val="single"/>
              </w:rPr>
            </w:pPr>
            <w:r>
              <w:rPr>
                <w:rFonts w:ascii="Times New Roman" w:hAnsi="Times New Roman"/>
                <w:b/>
                <w:szCs w:val="20"/>
                <w:u w:val="single"/>
              </w:rPr>
              <w:t>Среднопретеглен остатъчен срок до падежа</w:t>
            </w:r>
          </w:p>
          <w:p w14:paraId="22E64CDE" w14:textId="77777777" w:rsidR="00665988" w:rsidRDefault="00665988">
            <w:pPr>
              <w:spacing w:before="0" w:after="0"/>
              <w:rPr>
                <w:rFonts w:ascii="Times New Roman" w:hAnsi="Times New Roman"/>
                <w:b/>
                <w:szCs w:val="20"/>
                <w:u w:val="single"/>
              </w:rPr>
            </w:pPr>
          </w:p>
          <w:p w14:paraId="781FAB46" w14:textId="75715CD7" w:rsidR="00665988" w:rsidRDefault="00A344AA">
            <w:pPr>
              <w:spacing w:before="0" w:after="0"/>
              <w:rPr>
                <w:rFonts w:ascii="Times New Roman" w:hAnsi="Times New Roman"/>
                <w:szCs w:val="20"/>
              </w:rPr>
            </w:pPr>
            <w:r>
              <w:rPr>
                <w:rFonts w:ascii="Times New Roman" w:hAnsi="Times New Roman"/>
                <w:szCs w:val="20"/>
              </w:rPr>
              <w:t xml:space="preserve">За размера на докладваното в колона 060 финансиране, получено от посочения в </w:t>
            </w:r>
            <w:r>
              <w:rPr>
                <w:rFonts w:ascii="Times New Roman" w:hAnsi="Times New Roman"/>
                <w:szCs w:val="20"/>
              </w:rPr>
              <w:lastRenderedPageBreak/>
              <w:t>колона 010 контрагент, в колона 080 се вписва среднопретегленият остатъчен срок до падежа (в дни) на това финансиране.</w:t>
            </w:r>
          </w:p>
          <w:p w14:paraId="71FA9955" w14:textId="77777777" w:rsidR="00665988" w:rsidRDefault="00665988">
            <w:pPr>
              <w:spacing w:before="0" w:after="0"/>
              <w:rPr>
                <w:rFonts w:ascii="Times New Roman" w:hAnsi="Times New Roman"/>
                <w:szCs w:val="20"/>
              </w:rPr>
            </w:pPr>
          </w:p>
          <w:p w14:paraId="4CB0B549" w14:textId="150F8974" w:rsidR="00665988" w:rsidRDefault="009C059B">
            <w:pPr>
              <w:spacing w:before="0" w:after="0"/>
              <w:rPr>
                <w:rFonts w:ascii="Times New Roman" w:hAnsi="Times New Roman"/>
                <w:b/>
                <w:szCs w:val="20"/>
                <w:u w:val="single"/>
              </w:rPr>
            </w:pPr>
            <w:r>
              <w:rPr>
                <w:rFonts w:ascii="Times New Roman" w:hAnsi="Times New Roman"/>
                <w:szCs w:val="20"/>
              </w:rPr>
              <w:t>Среднопретегленият остатъчен срок до падежа се изчислява като средната стойност за остатъчния срок до падежа (в оставащи дни) на финансирането, получено от този контрагент. Средната стойност се претегля на базата на размера на различните суми на полученото финансиране спрямо общия размер на финансирането, получено от този контрагент.</w:t>
            </w:r>
          </w:p>
        </w:tc>
      </w:tr>
    </w:tbl>
    <w:p w14:paraId="0520EE98" w14:textId="77777777" w:rsidR="00665988"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Концентрация на финансирането по видове продукти (C 68.00)</w:t>
      </w:r>
    </w:p>
    <w:p w14:paraId="5B6DFC15" w14:textId="095CCDBC" w:rsidR="00665988" w:rsidRDefault="00A344AA">
      <w:pPr>
        <w:pStyle w:val="InstructionsText2"/>
        <w:numPr>
          <w:ilvl w:val="0"/>
          <w:numId w:val="13"/>
        </w:numPr>
        <w:rPr>
          <w:u w:val="none"/>
        </w:rPr>
      </w:pPr>
      <w:r>
        <w:rPr>
          <w:u w:val="none"/>
        </w:rPr>
        <w:t>Този образец е предназначен за събиране на информация за концентрацията на финансирането по видове продукти на докладващата институция, разпределена по следните видове финансиране съгласно посочените по-долу указания за редовете: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66598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665988"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Ред</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665988"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Препратки към правни норми и указания</w:t>
            </w:r>
          </w:p>
        </w:tc>
      </w:tr>
      <w:tr w:rsidR="0066598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665988"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665988"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Финансиране на дребно</w:t>
            </w:r>
          </w:p>
          <w:p w14:paraId="7762E5FB" w14:textId="77777777" w:rsidR="00665988" w:rsidRDefault="00665988">
            <w:pPr>
              <w:spacing w:before="0" w:after="0"/>
              <w:rPr>
                <w:rFonts w:ascii="Times New Roman" w:hAnsi="Times New Roman"/>
                <w:b/>
                <w:szCs w:val="20"/>
                <w:u w:val="single"/>
              </w:rPr>
            </w:pPr>
          </w:p>
          <w:p w14:paraId="281DC3E6" w14:textId="047B4283" w:rsidR="00665988" w:rsidRDefault="00E87A50">
            <w:pPr>
              <w:spacing w:before="0" w:after="0"/>
              <w:rPr>
                <w:szCs w:val="20"/>
              </w:rPr>
            </w:pPr>
            <w:r>
              <w:rPr>
                <w:rFonts w:ascii="Times New Roman" w:hAnsi="Times New Roman"/>
                <w:szCs w:val="20"/>
              </w:rPr>
              <w:t>Влогове на дребно по смисъла на член 3, параграф 8 от Делегиран регламент (ЕС) 2015/61.</w:t>
            </w:r>
          </w:p>
          <w:p w14:paraId="18F10FD2" w14:textId="77777777" w:rsidR="00665988" w:rsidRDefault="00665988">
            <w:pPr>
              <w:spacing w:before="0" w:after="0"/>
              <w:rPr>
                <w:rFonts w:ascii="Times New Roman" w:hAnsi="Times New Roman"/>
                <w:b/>
                <w:szCs w:val="20"/>
                <w:u w:val="single"/>
              </w:rPr>
            </w:pPr>
          </w:p>
        </w:tc>
      </w:tr>
      <w:tr w:rsidR="00665988"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665988"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665988"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в т.ч. безсрочни влогове;</w:t>
            </w:r>
          </w:p>
          <w:p w14:paraId="3D85DAFF" w14:textId="77777777" w:rsidR="00665988" w:rsidRDefault="00665988">
            <w:pPr>
              <w:spacing w:before="0" w:after="0"/>
              <w:rPr>
                <w:rFonts w:ascii="Times New Roman" w:hAnsi="Times New Roman"/>
                <w:b/>
                <w:szCs w:val="20"/>
                <w:u w:val="single"/>
              </w:rPr>
            </w:pPr>
          </w:p>
          <w:p w14:paraId="6F473929" w14:textId="0E2878E2" w:rsidR="00665988" w:rsidRDefault="003439C5">
            <w:pPr>
              <w:spacing w:before="0" w:after="0"/>
              <w:rPr>
                <w:rFonts w:ascii="Times New Roman" w:hAnsi="Times New Roman"/>
                <w:b/>
                <w:szCs w:val="20"/>
                <w:u w:val="single"/>
              </w:rPr>
            </w:pPr>
            <w:r>
              <w:rPr>
                <w:rFonts w:ascii="Times New Roman" w:hAnsi="Times New Roman"/>
                <w:szCs w:val="20"/>
              </w:rPr>
              <w:t>Тази част от финансирането на дребно по ред 010, която представлява безсрочни влогове.</w:t>
            </w:r>
          </w:p>
        </w:tc>
      </w:tr>
      <w:tr w:rsidR="0066598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665988"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665988"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в т.ч. срочни влогове без възможност за теглене в рамките на следващите 30 дни;</w:t>
            </w:r>
          </w:p>
          <w:p w14:paraId="664C04FE" w14:textId="77777777" w:rsidR="00665988" w:rsidRDefault="00665988">
            <w:pPr>
              <w:spacing w:before="0" w:after="0"/>
              <w:rPr>
                <w:rFonts w:ascii="Times New Roman" w:hAnsi="Times New Roman"/>
                <w:b/>
                <w:szCs w:val="20"/>
                <w:u w:val="single"/>
              </w:rPr>
            </w:pPr>
          </w:p>
          <w:p w14:paraId="3F7154EA" w14:textId="6CD4F7E9" w:rsidR="00665988" w:rsidRDefault="003439C5">
            <w:pPr>
              <w:spacing w:before="0" w:after="0"/>
              <w:rPr>
                <w:rFonts w:ascii="Times New Roman" w:hAnsi="Times New Roman"/>
                <w:b/>
                <w:szCs w:val="20"/>
                <w:u w:val="single"/>
              </w:rPr>
            </w:pPr>
            <w:r>
              <w:rPr>
                <w:rFonts w:ascii="Times New Roman" w:hAnsi="Times New Roman"/>
                <w:szCs w:val="20"/>
              </w:rPr>
              <w:t>Тази част от финансирането на дребно по ред 010, която представлява срочни влогове без възможност за теглене в рамките на следващите 30 дни.</w:t>
            </w:r>
          </w:p>
        </w:tc>
      </w:tr>
      <w:tr w:rsidR="00665988" w14:paraId="69E1811C" w14:textId="77777777" w:rsidTr="00D75947">
        <w:trPr>
          <w:trHeight w:val="1020"/>
        </w:trPr>
        <w:tc>
          <w:tcPr>
            <w:tcW w:w="729" w:type="pct"/>
            <w:shd w:val="clear" w:color="auto" w:fill="auto"/>
            <w:noWrap/>
          </w:tcPr>
          <w:p w14:paraId="3DFA3BE5" w14:textId="7508042F" w:rsidR="00665988"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665988"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в т.ч. срочни влогове с възможност за теглене в рамките на следващите 30 дни;</w:t>
            </w:r>
          </w:p>
          <w:p w14:paraId="16BCACF7" w14:textId="77777777" w:rsidR="00665988" w:rsidRDefault="00665988">
            <w:pPr>
              <w:spacing w:before="0" w:after="0"/>
              <w:rPr>
                <w:rFonts w:ascii="Times New Roman" w:hAnsi="Times New Roman"/>
                <w:b/>
                <w:szCs w:val="20"/>
                <w:u w:val="single"/>
              </w:rPr>
            </w:pPr>
          </w:p>
          <w:p w14:paraId="291A1D44" w14:textId="0FAEC826" w:rsidR="00665988" w:rsidRDefault="00F40FD4">
            <w:pPr>
              <w:spacing w:before="0" w:after="0"/>
              <w:rPr>
                <w:rFonts w:ascii="Times New Roman" w:hAnsi="Times New Roman"/>
                <w:szCs w:val="20"/>
              </w:rPr>
            </w:pPr>
            <w:r>
              <w:rPr>
                <w:rFonts w:ascii="Times New Roman" w:hAnsi="Times New Roman"/>
                <w:szCs w:val="20"/>
              </w:rPr>
              <w:t>Тази част от финансирането на дребно по ред 010, която представлява срочни влогове с възможност за теглене в рамките на следващите 30 дни.</w:t>
            </w:r>
          </w:p>
        </w:tc>
      </w:tr>
      <w:tr w:rsidR="00665988" w14:paraId="10740494" w14:textId="77777777" w:rsidTr="00D75947">
        <w:trPr>
          <w:trHeight w:val="1020"/>
        </w:trPr>
        <w:tc>
          <w:tcPr>
            <w:tcW w:w="729" w:type="pct"/>
            <w:shd w:val="clear" w:color="auto" w:fill="auto"/>
            <w:noWrap/>
          </w:tcPr>
          <w:p w14:paraId="0B22ECFC" w14:textId="3166A4D3" w:rsidR="00665988"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665988"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в т.ч. спестовни сметки, притежаващи някоя от следните характеристики;</w:t>
            </w:r>
          </w:p>
          <w:p w14:paraId="1715A370" w14:textId="77777777" w:rsidR="00665988" w:rsidRDefault="00665988">
            <w:pPr>
              <w:spacing w:before="0" w:after="0"/>
              <w:rPr>
                <w:rFonts w:ascii="Times New Roman" w:hAnsi="Times New Roman"/>
                <w:b/>
                <w:szCs w:val="20"/>
                <w:u w:val="single"/>
              </w:rPr>
            </w:pPr>
          </w:p>
          <w:p w14:paraId="1F5A77EE" w14:textId="77777777" w:rsidR="00665988" w:rsidRDefault="00F40FD4">
            <w:pPr>
              <w:spacing w:before="0" w:after="0"/>
              <w:rPr>
                <w:rFonts w:ascii="Times New Roman" w:hAnsi="Times New Roman"/>
                <w:szCs w:val="20"/>
              </w:rPr>
            </w:pPr>
            <w:r>
              <w:rPr>
                <w:rFonts w:ascii="Times New Roman" w:hAnsi="Times New Roman"/>
                <w:szCs w:val="20"/>
              </w:rPr>
              <w:t>Тази част от финансирането на дребно по ред 010, която представлява спестовни сметки, притежаващи някоя от следните характеристики:</w:t>
            </w:r>
          </w:p>
          <w:p w14:paraId="7001BAD2" w14:textId="2A97E8F3" w:rsidR="00665988" w:rsidRDefault="00F40FD4">
            <w:pPr>
              <w:spacing w:before="0" w:after="0"/>
              <w:rPr>
                <w:rFonts w:ascii="Times New Roman" w:hAnsi="Times New Roman"/>
                <w:szCs w:val="20"/>
              </w:rPr>
            </w:pPr>
            <w:r>
              <w:rPr>
                <w:rFonts w:ascii="Times New Roman" w:hAnsi="Times New Roman"/>
                <w:szCs w:val="20"/>
              </w:rPr>
              <w:t>– със срок за предизвестие за теглене, по-дълъг от 30 дни;</w:t>
            </w:r>
          </w:p>
          <w:p w14:paraId="471376E8" w14:textId="6B5CE87D" w:rsidR="00665988" w:rsidRDefault="00F40FD4">
            <w:pPr>
              <w:spacing w:before="0" w:after="0"/>
              <w:rPr>
                <w:rFonts w:ascii="Times New Roman" w:hAnsi="Times New Roman"/>
                <w:szCs w:val="20"/>
              </w:rPr>
            </w:pPr>
            <w:r>
              <w:rPr>
                <w:rFonts w:ascii="Times New Roman" w:hAnsi="Times New Roman"/>
                <w:szCs w:val="20"/>
              </w:rPr>
              <w:t xml:space="preserve">– без срок за предизвестие за теглене, по-дълъг от 30 дни. </w:t>
            </w:r>
          </w:p>
          <w:p w14:paraId="73B00647" w14:textId="77777777" w:rsidR="00665988" w:rsidRDefault="00665988">
            <w:pPr>
              <w:spacing w:before="0" w:after="0"/>
              <w:rPr>
                <w:rFonts w:ascii="Times New Roman" w:hAnsi="Times New Roman"/>
                <w:szCs w:val="20"/>
              </w:rPr>
            </w:pPr>
          </w:p>
          <w:p w14:paraId="393C0E32" w14:textId="77777777" w:rsidR="00665988" w:rsidRDefault="00B96DDB">
            <w:pPr>
              <w:spacing w:before="0" w:after="0"/>
              <w:rPr>
                <w:szCs w:val="20"/>
              </w:rPr>
            </w:pPr>
            <w:r>
              <w:rPr>
                <w:rFonts w:ascii="Times New Roman" w:hAnsi="Times New Roman"/>
                <w:szCs w:val="20"/>
              </w:rPr>
              <w:t>Този ред не се докладва.</w:t>
            </w:r>
          </w:p>
          <w:p w14:paraId="0D6901BA" w14:textId="77777777" w:rsidR="00665988" w:rsidRDefault="00665988">
            <w:pPr>
              <w:spacing w:before="0" w:after="0"/>
              <w:rPr>
                <w:rFonts w:ascii="Times New Roman" w:hAnsi="Times New Roman"/>
                <w:b/>
                <w:szCs w:val="20"/>
                <w:u w:val="single"/>
              </w:rPr>
            </w:pPr>
          </w:p>
        </w:tc>
      </w:tr>
      <w:tr w:rsidR="00665988" w14:paraId="36C0FB22" w14:textId="77777777" w:rsidTr="00D75947">
        <w:trPr>
          <w:trHeight w:val="1020"/>
        </w:trPr>
        <w:tc>
          <w:tcPr>
            <w:tcW w:w="729" w:type="pct"/>
            <w:shd w:val="clear" w:color="auto" w:fill="auto"/>
            <w:noWrap/>
          </w:tcPr>
          <w:p w14:paraId="167C152B" w14:textId="7FCDBA6F" w:rsidR="00665988"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665988"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със срок за предизвестие за теглене, по-дълъг от 30 дни;</w:t>
            </w:r>
          </w:p>
          <w:p w14:paraId="2CB5668A" w14:textId="3F98EEB2" w:rsidR="00665988" w:rsidRDefault="00F40FD4">
            <w:pPr>
              <w:spacing w:before="0" w:after="0"/>
              <w:rPr>
                <w:rFonts w:ascii="Times New Roman" w:hAnsi="Times New Roman"/>
                <w:szCs w:val="20"/>
              </w:rPr>
            </w:pPr>
            <w:r>
              <w:rPr>
                <w:rFonts w:ascii="Times New Roman" w:hAnsi="Times New Roman"/>
                <w:szCs w:val="20"/>
              </w:rPr>
              <w:t>Тази част от финансирането на дребно по ред 010, която представлява спестовни сметки</w:t>
            </w:r>
            <w:r w:rsidR="00EB2651" w:rsidRPr="00EB2651">
              <w:rPr>
                <w:rFonts w:ascii="Times New Roman" w:hAnsi="Times New Roman"/>
                <w:szCs w:val="20"/>
              </w:rPr>
              <w:t xml:space="preserve"> </w:t>
            </w:r>
            <w:r w:rsidR="00EB2651">
              <w:rPr>
                <w:rFonts w:ascii="Times New Roman" w:hAnsi="Times New Roman"/>
                <w:szCs w:val="20"/>
              </w:rPr>
              <w:t>със</w:t>
            </w:r>
            <w:r>
              <w:rPr>
                <w:rFonts w:ascii="Times New Roman" w:hAnsi="Times New Roman"/>
                <w:szCs w:val="20"/>
              </w:rPr>
              <w:t xml:space="preserve"> срок за предизвестие за теглене</w:t>
            </w:r>
            <w:r w:rsidR="00EB2651">
              <w:rPr>
                <w:rFonts w:ascii="Times New Roman" w:hAnsi="Times New Roman"/>
                <w:szCs w:val="20"/>
              </w:rPr>
              <w:t>,</w:t>
            </w:r>
            <w:r>
              <w:rPr>
                <w:rFonts w:ascii="Times New Roman" w:hAnsi="Times New Roman"/>
                <w:szCs w:val="20"/>
              </w:rPr>
              <w:t xml:space="preserve"> по-дълъг от 30 дни.</w:t>
            </w:r>
          </w:p>
          <w:p w14:paraId="3144C832" w14:textId="3416971B" w:rsidR="00665988" w:rsidRDefault="00665988">
            <w:pPr>
              <w:spacing w:before="0" w:after="0"/>
              <w:rPr>
                <w:rFonts w:ascii="Times New Roman" w:hAnsi="Times New Roman"/>
                <w:b/>
                <w:szCs w:val="20"/>
                <w:u w:val="single"/>
              </w:rPr>
            </w:pPr>
          </w:p>
        </w:tc>
      </w:tr>
      <w:tr w:rsidR="00665988" w14:paraId="29C0B503" w14:textId="77777777" w:rsidTr="00D75947">
        <w:trPr>
          <w:trHeight w:val="1020"/>
        </w:trPr>
        <w:tc>
          <w:tcPr>
            <w:tcW w:w="729" w:type="pct"/>
            <w:shd w:val="clear" w:color="auto" w:fill="auto"/>
            <w:noWrap/>
          </w:tcPr>
          <w:p w14:paraId="6665A670" w14:textId="5C7948D3" w:rsidR="00665988"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665988"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без срок за предизвестие за теглене, по-дълъг от 30 дни;</w:t>
            </w:r>
          </w:p>
          <w:p w14:paraId="435A673F" w14:textId="77777777" w:rsidR="00665988" w:rsidRDefault="00665988">
            <w:pPr>
              <w:spacing w:before="0" w:after="0"/>
              <w:rPr>
                <w:rFonts w:ascii="Times New Roman" w:hAnsi="Times New Roman"/>
                <w:b/>
                <w:szCs w:val="20"/>
                <w:u w:val="single"/>
              </w:rPr>
            </w:pPr>
          </w:p>
          <w:p w14:paraId="1B1078F3" w14:textId="218E6A80" w:rsidR="00665988" w:rsidRDefault="00F40FD4">
            <w:pPr>
              <w:spacing w:before="0" w:after="0"/>
              <w:rPr>
                <w:rFonts w:ascii="Times New Roman" w:hAnsi="Times New Roman"/>
                <w:szCs w:val="20"/>
              </w:rPr>
            </w:pPr>
            <w:r>
              <w:rPr>
                <w:rFonts w:ascii="Times New Roman" w:hAnsi="Times New Roman"/>
                <w:szCs w:val="20"/>
              </w:rPr>
              <w:t>Тази част от финансирането на дребно по ред 010, която представлява спестовни сметки без срок за предизвестие за теглене, по-дълъг от 30 дни.</w:t>
            </w:r>
          </w:p>
          <w:p w14:paraId="64AF0787" w14:textId="77777777" w:rsidR="00665988" w:rsidRDefault="00665988">
            <w:pPr>
              <w:spacing w:before="0" w:after="0"/>
              <w:rPr>
                <w:rFonts w:ascii="Times New Roman" w:hAnsi="Times New Roman"/>
                <w:b/>
                <w:szCs w:val="20"/>
                <w:u w:val="single"/>
              </w:rPr>
            </w:pPr>
          </w:p>
        </w:tc>
      </w:tr>
      <w:tr w:rsidR="00665988" w14:paraId="3EAE3ABC" w14:textId="77777777" w:rsidTr="00D75947">
        <w:trPr>
          <w:trHeight w:val="1020"/>
        </w:trPr>
        <w:tc>
          <w:tcPr>
            <w:tcW w:w="729" w:type="pct"/>
            <w:shd w:val="clear" w:color="auto" w:fill="auto"/>
            <w:noWrap/>
          </w:tcPr>
          <w:p w14:paraId="45013687" w14:textId="7E7DAB46" w:rsidR="00665988"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665988"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Финансирането на едро се приема, че включва следните елементи:</w:t>
            </w:r>
          </w:p>
          <w:p w14:paraId="44C69ED7" w14:textId="77777777" w:rsidR="00665988" w:rsidRDefault="00665988">
            <w:pPr>
              <w:spacing w:before="0" w:after="0"/>
              <w:rPr>
                <w:rFonts w:ascii="Times New Roman" w:hAnsi="Times New Roman"/>
                <w:b/>
                <w:szCs w:val="20"/>
                <w:u w:val="single"/>
              </w:rPr>
            </w:pPr>
          </w:p>
          <w:p w14:paraId="2A1113B0" w14:textId="2BCCD9C5" w:rsidR="00665988" w:rsidRDefault="006624FA">
            <w:pPr>
              <w:spacing w:before="0" w:after="0"/>
              <w:rPr>
                <w:rFonts w:ascii="Times New Roman" w:hAnsi="Times New Roman"/>
                <w:szCs w:val="20"/>
              </w:rPr>
            </w:pPr>
            <w:r>
              <w:rPr>
                <w:rFonts w:ascii="Times New Roman" w:hAnsi="Times New Roman"/>
                <w:szCs w:val="20"/>
              </w:rPr>
              <w:t xml:space="preserve">Всички контрагенти, различни от тези по влоговете на дребно съгласно определението по член 3, параграф 8 от Делегиран регламент (ЕС) 2015/61.  </w:t>
            </w:r>
          </w:p>
          <w:p w14:paraId="70E19694" w14:textId="77777777" w:rsidR="00665988" w:rsidRDefault="00665988">
            <w:pPr>
              <w:spacing w:before="0" w:after="0"/>
              <w:rPr>
                <w:rFonts w:ascii="Times New Roman" w:hAnsi="Times New Roman"/>
                <w:szCs w:val="20"/>
              </w:rPr>
            </w:pPr>
          </w:p>
          <w:p w14:paraId="195A99EA" w14:textId="4C20BC3D" w:rsidR="00665988" w:rsidRDefault="00D75947">
            <w:pPr>
              <w:spacing w:before="0" w:after="0"/>
              <w:rPr>
                <w:szCs w:val="20"/>
              </w:rPr>
            </w:pPr>
            <w:r>
              <w:rPr>
                <w:rFonts w:ascii="Times New Roman" w:hAnsi="Times New Roman"/>
                <w:szCs w:val="20"/>
              </w:rPr>
              <w:lastRenderedPageBreak/>
              <w:t>Този ред не се докладва.</w:t>
            </w:r>
          </w:p>
          <w:p w14:paraId="5A95C4DD" w14:textId="50C842AE" w:rsidR="00665988" w:rsidRDefault="00665988">
            <w:pPr>
              <w:spacing w:before="0" w:after="0"/>
              <w:rPr>
                <w:rFonts w:ascii="Times New Roman" w:hAnsi="Times New Roman"/>
                <w:b/>
                <w:szCs w:val="20"/>
                <w:u w:val="single"/>
              </w:rPr>
            </w:pPr>
          </w:p>
        </w:tc>
      </w:tr>
      <w:tr w:rsidR="00665988" w14:paraId="0F613C49" w14:textId="77777777" w:rsidTr="00D75947">
        <w:trPr>
          <w:trHeight w:val="1020"/>
        </w:trPr>
        <w:tc>
          <w:tcPr>
            <w:tcW w:w="729" w:type="pct"/>
            <w:shd w:val="clear" w:color="auto" w:fill="auto"/>
            <w:noWrap/>
          </w:tcPr>
          <w:p w14:paraId="4517EFDE" w14:textId="7DD7A036" w:rsidR="00665988" w:rsidRDefault="00DD136C">
            <w:pPr>
              <w:spacing w:before="0" w:after="0"/>
              <w:jc w:val="left"/>
              <w:rPr>
                <w:rFonts w:ascii="Times New Roman" w:hAnsi="Times New Roman"/>
                <w:color w:val="000000"/>
                <w:szCs w:val="20"/>
              </w:rPr>
            </w:pPr>
            <w:r>
              <w:rPr>
                <w:rFonts w:ascii="Times New Roman" w:hAnsi="Times New Roman"/>
                <w:szCs w:val="20"/>
              </w:rPr>
              <w:lastRenderedPageBreak/>
              <w:t>110</w:t>
            </w:r>
          </w:p>
        </w:tc>
        <w:tc>
          <w:tcPr>
            <w:tcW w:w="4271" w:type="pct"/>
            <w:shd w:val="clear" w:color="auto" w:fill="auto"/>
          </w:tcPr>
          <w:p w14:paraId="123E76B1" w14:textId="0074CE4E" w:rsidR="00665988"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необезпечено финансиране на едро;</w:t>
            </w:r>
          </w:p>
          <w:p w14:paraId="08EF0039" w14:textId="77777777" w:rsidR="00665988" w:rsidRDefault="00665988">
            <w:pPr>
              <w:spacing w:before="0" w:after="0"/>
              <w:rPr>
                <w:rFonts w:ascii="Times New Roman" w:hAnsi="Times New Roman"/>
                <w:b/>
                <w:szCs w:val="20"/>
                <w:u w:val="single"/>
              </w:rPr>
            </w:pPr>
          </w:p>
          <w:p w14:paraId="765487C0" w14:textId="44FBCA3A" w:rsidR="00665988" w:rsidRDefault="00AD3ACF">
            <w:pPr>
              <w:spacing w:before="0" w:after="0"/>
              <w:rPr>
                <w:szCs w:val="20"/>
              </w:rPr>
            </w:pPr>
            <w:r>
              <w:rPr>
                <w:rFonts w:ascii="Times New Roman" w:hAnsi="Times New Roman"/>
                <w:szCs w:val="20"/>
              </w:rPr>
              <w:t>Всички контрагенти, различни от тези по влоговете на дребно съгласно определението по член 3, параграф 8 от Делегиран регламент (ЕС) 2015/61, когато финансирането е необезпечено.</w:t>
            </w:r>
          </w:p>
          <w:p w14:paraId="4259F037" w14:textId="77777777" w:rsidR="00665988" w:rsidRDefault="00665988">
            <w:pPr>
              <w:spacing w:before="0" w:after="0"/>
              <w:rPr>
                <w:rFonts w:ascii="Times New Roman" w:hAnsi="Times New Roman"/>
                <w:b/>
                <w:szCs w:val="20"/>
                <w:u w:val="single"/>
              </w:rPr>
            </w:pPr>
          </w:p>
        </w:tc>
      </w:tr>
      <w:tr w:rsidR="00665988" w14:paraId="53E051F8" w14:textId="77777777" w:rsidTr="00D75947">
        <w:trPr>
          <w:trHeight w:val="1020"/>
        </w:trPr>
        <w:tc>
          <w:tcPr>
            <w:tcW w:w="729" w:type="pct"/>
            <w:shd w:val="clear" w:color="auto" w:fill="auto"/>
            <w:noWrap/>
          </w:tcPr>
          <w:p w14:paraId="6B94D89A" w14:textId="75267786" w:rsidR="00665988" w:rsidRDefault="00DD136C">
            <w:pPr>
              <w:spacing w:before="0" w:after="0"/>
              <w:jc w:val="left"/>
              <w:rPr>
                <w:rFonts w:ascii="Times New Roman" w:hAnsi="Times New Roman"/>
                <w:color w:val="000000"/>
                <w:szCs w:val="20"/>
              </w:rPr>
            </w:pPr>
            <w:r>
              <w:rPr>
                <w:rFonts w:ascii="Times New Roman" w:hAnsi="Times New Roman"/>
                <w:szCs w:val="20"/>
              </w:rPr>
              <w:t>120</w:t>
            </w:r>
          </w:p>
        </w:tc>
        <w:tc>
          <w:tcPr>
            <w:tcW w:w="4271" w:type="pct"/>
            <w:shd w:val="clear" w:color="auto" w:fill="auto"/>
          </w:tcPr>
          <w:p w14:paraId="6C6FDC97" w14:textId="596DF847" w:rsidR="00665988"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в т.ч. заеми и влогове от финансови клиенти;</w:t>
            </w:r>
          </w:p>
          <w:p w14:paraId="3BB695C9" w14:textId="77777777" w:rsidR="00665988" w:rsidRDefault="00665988">
            <w:pPr>
              <w:spacing w:before="0" w:after="0"/>
              <w:rPr>
                <w:rFonts w:ascii="Times New Roman" w:hAnsi="Times New Roman"/>
                <w:b/>
                <w:szCs w:val="20"/>
                <w:u w:val="single"/>
              </w:rPr>
            </w:pPr>
          </w:p>
          <w:p w14:paraId="0788F5FB" w14:textId="3CF5EEE5" w:rsidR="00665988" w:rsidRDefault="00AD3ACF">
            <w:pPr>
              <w:spacing w:before="0" w:after="0"/>
              <w:rPr>
                <w:rFonts w:ascii="Times New Roman" w:hAnsi="Times New Roman"/>
                <w:szCs w:val="20"/>
              </w:rPr>
            </w:pPr>
            <w:r>
              <w:rPr>
                <w:rFonts w:ascii="Times New Roman" w:hAnsi="Times New Roman"/>
                <w:szCs w:val="20"/>
              </w:rPr>
              <w:t>Тази част от финансирането по ред 110, която се състои от заеми и влогове от финансови клиенти.</w:t>
            </w:r>
          </w:p>
          <w:p w14:paraId="1EBF28E1" w14:textId="77777777" w:rsidR="00665988" w:rsidRDefault="00665988">
            <w:pPr>
              <w:spacing w:before="0" w:after="0"/>
              <w:rPr>
                <w:rFonts w:ascii="Times New Roman" w:hAnsi="Times New Roman"/>
                <w:szCs w:val="20"/>
              </w:rPr>
            </w:pPr>
          </w:p>
          <w:p w14:paraId="268FF204" w14:textId="60AA5C50" w:rsidR="00665988" w:rsidRDefault="00D75947">
            <w:pPr>
              <w:spacing w:before="0" w:after="0"/>
              <w:rPr>
                <w:rFonts w:ascii="Times New Roman" w:hAnsi="Times New Roman"/>
                <w:szCs w:val="20"/>
              </w:rPr>
            </w:pPr>
            <w:r>
              <w:rPr>
                <w:rFonts w:ascii="Times New Roman" w:hAnsi="Times New Roman"/>
                <w:szCs w:val="20"/>
              </w:rPr>
              <w:t xml:space="preserve">Финансирането от централни банки не се включва в този ред. </w:t>
            </w:r>
          </w:p>
          <w:p w14:paraId="4846816F" w14:textId="4CB99B55" w:rsidR="00665988" w:rsidRDefault="00665988">
            <w:pPr>
              <w:spacing w:before="0" w:after="0"/>
              <w:rPr>
                <w:rFonts w:ascii="Times New Roman" w:hAnsi="Times New Roman"/>
                <w:b/>
                <w:szCs w:val="20"/>
                <w:u w:val="single"/>
              </w:rPr>
            </w:pPr>
          </w:p>
        </w:tc>
      </w:tr>
      <w:tr w:rsidR="00665988" w14:paraId="63BC41F1" w14:textId="77777777" w:rsidTr="00D75947">
        <w:trPr>
          <w:trHeight w:val="1020"/>
        </w:trPr>
        <w:tc>
          <w:tcPr>
            <w:tcW w:w="729" w:type="pct"/>
            <w:shd w:val="clear" w:color="auto" w:fill="auto"/>
            <w:noWrap/>
          </w:tcPr>
          <w:p w14:paraId="7837B5F4" w14:textId="08872ADF" w:rsidR="00665988"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665988"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в т.ч. заеми и влогове от нефинансови клиенти;</w:t>
            </w:r>
          </w:p>
          <w:p w14:paraId="02E65316" w14:textId="77777777" w:rsidR="00665988" w:rsidRDefault="00665988">
            <w:pPr>
              <w:spacing w:before="0" w:after="0"/>
              <w:rPr>
                <w:rFonts w:ascii="Times New Roman" w:hAnsi="Times New Roman"/>
                <w:b/>
                <w:szCs w:val="20"/>
                <w:u w:val="single"/>
              </w:rPr>
            </w:pPr>
          </w:p>
          <w:p w14:paraId="6E637B97" w14:textId="1F384B1E" w:rsidR="00665988" w:rsidRDefault="00AD3ACF">
            <w:pPr>
              <w:spacing w:before="0" w:after="0"/>
              <w:rPr>
                <w:rFonts w:ascii="Times New Roman" w:hAnsi="Times New Roman"/>
                <w:szCs w:val="20"/>
              </w:rPr>
            </w:pPr>
            <w:r>
              <w:rPr>
                <w:rFonts w:ascii="Times New Roman" w:hAnsi="Times New Roman"/>
                <w:szCs w:val="20"/>
              </w:rPr>
              <w:t>Тази част от финансирането по ред 110, която се състои от заеми и влогове от нефинансови клиенти.</w:t>
            </w:r>
          </w:p>
          <w:p w14:paraId="4A6E9ABD" w14:textId="77777777" w:rsidR="00665988" w:rsidRDefault="00665988">
            <w:pPr>
              <w:spacing w:before="0" w:after="0"/>
              <w:rPr>
                <w:rFonts w:ascii="Times New Roman" w:hAnsi="Times New Roman"/>
                <w:szCs w:val="20"/>
              </w:rPr>
            </w:pPr>
          </w:p>
          <w:p w14:paraId="1033118A" w14:textId="655EE402" w:rsidR="00665988" w:rsidRDefault="00D75947">
            <w:pPr>
              <w:spacing w:before="0" w:after="0"/>
              <w:rPr>
                <w:rFonts w:ascii="Times New Roman" w:hAnsi="Times New Roman"/>
                <w:szCs w:val="20"/>
              </w:rPr>
            </w:pPr>
            <w:r>
              <w:rPr>
                <w:rFonts w:ascii="Times New Roman" w:hAnsi="Times New Roman"/>
                <w:szCs w:val="20"/>
              </w:rPr>
              <w:t>Финансирането от централни банки не се включва в този ред.</w:t>
            </w:r>
          </w:p>
          <w:p w14:paraId="0C4C3C91" w14:textId="4533C6EE" w:rsidR="00665988" w:rsidRDefault="00665988">
            <w:pPr>
              <w:spacing w:before="0" w:after="0"/>
              <w:rPr>
                <w:rFonts w:ascii="Times New Roman" w:hAnsi="Times New Roman"/>
                <w:b/>
                <w:szCs w:val="20"/>
                <w:u w:val="single"/>
              </w:rPr>
            </w:pPr>
          </w:p>
        </w:tc>
      </w:tr>
      <w:tr w:rsidR="00665988" w14:paraId="445F9D74" w14:textId="77777777" w:rsidTr="00D75947">
        <w:trPr>
          <w:trHeight w:val="1020"/>
        </w:trPr>
        <w:tc>
          <w:tcPr>
            <w:tcW w:w="729" w:type="pct"/>
            <w:shd w:val="clear" w:color="auto" w:fill="auto"/>
            <w:noWrap/>
          </w:tcPr>
          <w:p w14:paraId="6F6E6B72" w14:textId="51559B88" w:rsidR="00665988"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665988"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в т.ч. заеми и влогове от субекти в рамките на групата;</w:t>
            </w:r>
          </w:p>
          <w:p w14:paraId="19D87853" w14:textId="77777777" w:rsidR="00665988" w:rsidRDefault="00665988">
            <w:pPr>
              <w:spacing w:before="0" w:after="0"/>
              <w:rPr>
                <w:rFonts w:ascii="Times New Roman" w:hAnsi="Times New Roman"/>
                <w:szCs w:val="20"/>
              </w:rPr>
            </w:pPr>
          </w:p>
          <w:p w14:paraId="1FDA6EC6" w14:textId="6EA4ADBF" w:rsidR="00665988" w:rsidRDefault="00AD3ACF">
            <w:pPr>
              <w:spacing w:before="0" w:after="0"/>
              <w:rPr>
                <w:rFonts w:ascii="Times New Roman" w:hAnsi="Times New Roman"/>
                <w:szCs w:val="20"/>
              </w:rPr>
            </w:pPr>
            <w:r>
              <w:rPr>
                <w:rFonts w:ascii="Times New Roman" w:hAnsi="Times New Roman"/>
                <w:szCs w:val="20"/>
              </w:rPr>
              <w:t>Тази част от финансирането по ред 110, която се състои от заеми и влогове от субекти в рамките на групата.</w:t>
            </w:r>
          </w:p>
          <w:p w14:paraId="2FC0AC9F" w14:textId="77777777" w:rsidR="00665988" w:rsidRDefault="00665988">
            <w:pPr>
              <w:spacing w:before="0" w:after="0"/>
              <w:rPr>
                <w:rFonts w:ascii="Times New Roman" w:hAnsi="Times New Roman"/>
                <w:szCs w:val="20"/>
              </w:rPr>
            </w:pPr>
          </w:p>
          <w:p w14:paraId="7A1CF7E9" w14:textId="13D494D6" w:rsidR="00665988" w:rsidRDefault="00274EE9">
            <w:pPr>
              <w:spacing w:before="0" w:after="0"/>
              <w:rPr>
                <w:rFonts w:ascii="Times New Roman" w:hAnsi="Times New Roman"/>
                <w:b/>
                <w:szCs w:val="20"/>
                <w:u w:val="single"/>
              </w:rPr>
            </w:pPr>
            <w:r>
              <w:rPr>
                <w:rFonts w:ascii="Times New Roman" w:hAnsi="Times New Roman"/>
                <w:szCs w:val="20"/>
              </w:rPr>
              <w:t>Финансирането на едро от субекти в рамките на групата се докладва само на индивидуална или подконсолидирана основа.</w:t>
            </w:r>
          </w:p>
        </w:tc>
      </w:tr>
      <w:tr w:rsidR="00665988" w14:paraId="658E2622" w14:textId="77777777" w:rsidTr="00D75947">
        <w:trPr>
          <w:trHeight w:val="1020"/>
        </w:trPr>
        <w:tc>
          <w:tcPr>
            <w:tcW w:w="729" w:type="pct"/>
            <w:shd w:val="clear" w:color="auto" w:fill="auto"/>
            <w:noWrap/>
          </w:tcPr>
          <w:p w14:paraId="1089A569" w14:textId="39FA57DE" w:rsidR="00665988"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665988"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обезпечено финансиране на едро; </w:t>
            </w:r>
          </w:p>
          <w:p w14:paraId="4AE66107" w14:textId="77777777" w:rsidR="00665988" w:rsidRDefault="00665988">
            <w:pPr>
              <w:spacing w:before="0" w:after="0"/>
              <w:rPr>
                <w:rFonts w:ascii="Times New Roman" w:hAnsi="Times New Roman"/>
                <w:szCs w:val="20"/>
              </w:rPr>
            </w:pPr>
          </w:p>
          <w:p w14:paraId="235C9947" w14:textId="133A7734" w:rsidR="00665988" w:rsidRDefault="00274EE9">
            <w:pPr>
              <w:spacing w:before="0" w:after="0"/>
              <w:rPr>
                <w:szCs w:val="20"/>
              </w:rPr>
            </w:pPr>
            <w:r>
              <w:rPr>
                <w:rFonts w:ascii="Times New Roman" w:hAnsi="Times New Roman"/>
                <w:szCs w:val="20"/>
              </w:rPr>
              <w:t>Всички контрагенти, различни от тези по влоговете на дребно съгласно определението по член 3, параграф 8 от Делегиран регламент (ЕС) 2015/61, когато финансирането е обезпечено.</w:t>
            </w:r>
          </w:p>
          <w:p w14:paraId="0B9B72C2" w14:textId="273E7D60" w:rsidR="00665988" w:rsidRDefault="00665988">
            <w:pPr>
              <w:spacing w:before="0" w:after="0"/>
              <w:rPr>
                <w:rFonts w:ascii="Times New Roman" w:hAnsi="Times New Roman"/>
                <w:b/>
                <w:szCs w:val="20"/>
                <w:u w:val="single"/>
              </w:rPr>
            </w:pPr>
          </w:p>
        </w:tc>
      </w:tr>
      <w:tr w:rsidR="00665988" w14:paraId="2EB68234" w14:textId="77777777" w:rsidTr="00D75947">
        <w:trPr>
          <w:trHeight w:val="1020"/>
        </w:trPr>
        <w:tc>
          <w:tcPr>
            <w:tcW w:w="729" w:type="pct"/>
            <w:shd w:val="clear" w:color="auto" w:fill="auto"/>
            <w:noWrap/>
          </w:tcPr>
          <w:p w14:paraId="62D3C328" w14:textId="1D97D2A1" w:rsidR="00665988"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665988"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в т.ч. сделки за финансиране с ценни книжа;</w:t>
            </w:r>
          </w:p>
          <w:p w14:paraId="07691F9D" w14:textId="77777777" w:rsidR="00665988" w:rsidRDefault="00665988">
            <w:pPr>
              <w:spacing w:before="0" w:after="0"/>
              <w:rPr>
                <w:rFonts w:ascii="Times New Roman" w:hAnsi="Times New Roman"/>
                <w:szCs w:val="20"/>
              </w:rPr>
            </w:pPr>
          </w:p>
          <w:p w14:paraId="56E76DB8" w14:textId="0CB7D3CF" w:rsidR="00665988" w:rsidRDefault="00274EE9">
            <w:pPr>
              <w:spacing w:before="0" w:after="0"/>
              <w:rPr>
                <w:szCs w:val="20"/>
              </w:rPr>
            </w:pPr>
            <w:r>
              <w:rPr>
                <w:rFonts w:ascii="Times New Roman" w:hAnsi="Times New Roman"/>
                <w:szCs w:val="20"/>
              </w:rPr>
              <w:t>Тази част от финансирането по ред 150, която е получена по репо споразумения, както са определени в член 4, параграф 1, точка 82 от Регламент (ЕС) № 575/2013.</w:t>
            </w:r>
          </w:p>
          <w:p w14:paraId="70F2D3DC" w14:textId="6524FC14" w:rsidR="00665988" w:rsidRDefault="00665988">
            <w:pPr>
              <w:spacing w:before="0" w:after="0"/>
              <w:rPr>
                <w:rFonts w:ascii="Times New Roman" w:hAnsi="Times New Roman"/>
                <w:b/>
                <w:szCs w:val="20"/>
                <w:u w:val="single"/>
              </w:rPr>
            </w:pPr>
          </w:p>
        </w:tc>
      </w:tr>
      <w:tr w:rsidR="00665988" w14:paraId="1B268195" w14:textId="77777777" w:rsidTr="00D75947">
        <w:trPr>
          <w:trHeight w:val="1020"/>
        </w:trPr>
        <w:tc>
          <w:tcPr>
            <w:tcW w:w="729" w:type="pct"/>
            <w:shd w:val="clear" w:color="auto" w:fill="auto"/>
            <w:noWrap/>
          </w:tcPr>
          <w:p w14:paraId="636EECA5" w14:textId="495BD9D1" w:rsidR="00665988"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665988"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в т.ч. емитиране на покрити облигации;</w:t>
            </w:r>
          </w:p>
          <w:p w14:paraId="00F0B9AC" w14:textId="77777777" w:rsidR="00665988" w:rsidRDefault="00665988">
            <w:pPr>
              <w:spacing w:before="0" w:after="0"/>
              <w:rPr>
                <w:rFonts w:ascii="Times New Roman" w:hAnsi="Times New Roman"/>
                <w:b/>
                <w:szCs w:val="20"/>
                <w:u w:val="single"/>
              </w:rPr>
            </w:pPr>
          </w:p>
          <w:p w14:paraId="31797266" w14:textId="518D9EF6" w:rsidR="00665988" w:rsidRDefault="00274EE9">
            <w:pPr>
              <w:spacing w:before="0" w:after="0"/>
              <w:rPr>
                <w:rFonts w:ascii="Times New Roman" w:hAnsi="Times New Roman"/>
                <w:b/>
                <w:szCs w:val="20"/>
                <w:u w:val="single"/>
              </w:rPr>
            </w:pPr>
            <w:r>
              <w:rPr>
                <w:rFonts w:ascii="Times New Roman" w:hAnsi="Times New Roman"/>
                <w:szCs w:val="20"/>
              </w:rPr>
              <w:t>Тази част от финансирането по ред 150, която е получена от емитиране на покрити облигации, както са определени в член 129, параграф 4 или 5 от Регламент (ЕС) № 575/2013 или в член 52, параграф 4 от Директива 2009/65/ЕО.</w:t>
            </w:r>
          </w:p>
        </w:tc>
      </w:tr>
      <w:tr w:rsidR="00665988" w14:paraId="03D91A24" w14:textId="77777777" w:rsidTr="00D75947">
        <w:trPr>
          <w:trHeight w:val="1020"/>
        </w:trPr>
        <w:tc>
          <w:tcPr>
            <w:tcW w:w="729" w:type="pct"/>
            <w:shd w:val="clear" w:color="auto" w:fill="auto"/>
            <w:noWrap/>
          </w:tcPr>
          <w:p w14:paraId="66BC9574" w14:textId="666BAE99" w:rsidR="00665988"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665988"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в т.ч. емитиране на ценни книжа, обезпечени с активи;</w:t>
            </w:r>
          </w:p>
          <w:p w14:paraId="38626DC8" w14:textId="77777777" w:rsidR="00665988" w:rsidRDefault="00665988">
            <w:pPr>
              <w:spacing w:before="0" w:after="0"/>
              <w:rPr>
                <w:rFonts w:ascii="Times New Roman" w:hAnsi="Times New Roman"/>
                <w:b/>
                <w:szCs w:val="20"/>
                <w:u w:val="single"/>
              </w:rPr>
            </w:pPr>
          </w:p>
          <w:p w14:paraId="6BBE6FEF" w14:textId="6925438E" w:rsidR="00665988" w:rsidRDefault="00274EE9">
            <w:pPr>
              <w:spacing w:before="0" w:after="0"/>
              <w:rPr>
                <w:rFonts w:ascii="Times New Roman" w:hAnsi="Times New Roman"/>
                <w:b/>
                <w:szCs w:val="20"/>
                <w:u w:val="single"/>
              </w:rPr>
            </w:pPr>
            <w:r>
              <w:rPr>
                <w:rFonts w:ascii="Times New Roman" w:hAnsi="Times New Roman"/>
                <w:szCs w:val="20"/>
              </w:rPr>
              <w:t>Тази част от финансирането по ред 150, която е получена от емитирането на ценни книжа, обезпечени с активи, в т.ч. търговски книжа, обезпечени с активи.</w:t>
            </w:r>
          </w:p>
        </w:tc>
      </w:tr>
      <w:tr w:rsidR="00665988" w14:paraId="597FCB34" w14:textId="77777777" w:rsidTr="00D75947">
        <w:trPr>
          <w:trHeight w:val="1020"/>
        </w:trPr>
        <w:tc>
          <w:tcPr>
            <w:tcW w:w="729" w:type="pct"/>
            <w:shd w:val="clear" w:color="auto" w:fill="auto"/>
            <w:noWrap/>
          </w:tcPr>
          <w:p w14:paraId="4E4276DD" w14:textId="58CFA0DA" w:rsidR="00665988"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665988"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в т.ч. заеми и влогове от субекти в рамките на групата;</w:t>
            </w:r>
          </w:p>
          <w:p w14:paraId="39B4FABF" w14:textId="77777777" w:rsidR="00665988" w:rsidRDefault="00665988">
            <w:pPr>
              <w:spacing w:before="0" w:after="0"/>
              <w:rPr>
                <w:rFonts w:ascii="Times New Roman" w:hAnsi="Times New Roman"/>
                <w:b/>
                <w:szCs w:val="20"/>
                <w:u w:val="single"/>
              </w:rPr>
            </w:pPr>
          </w:p>
          <w:p w14:paraId="10DC82D6" w14:textId="4C84568F" w:rsidR="00665988" w:rsidRDefault="00274EE9">
            <w:pPr>
              <w:spacing w:before="0" w:after="0"/>
              <w:rPr>
                <w:rFonts w:ascii="Times New Roman" w:hAnsi="Times New Roman"/>
                <w:szCs w:val="20"/>
              </w:rPr>
            </w:pPr>
            <w:r>
              <w:rPr>
                <w:rFonts w:ascii="Times New Roman" w:hAnsi="Times New Roman"/>
                <w:szCs w:val="20"/>
              </w:rPr>
              <w:t>Тази част от финансирането по ред 150, която е получена от субекти в рамките на групата.</w:t>
            </w:r>
          </w:p>
          <w:p w14:paraId="7693FB65" w14:textId="77777777" w:rsidR="00665988" w:rsidRDefault="00665988">
            <w:pPr>
              <w:spacing w:before="0" w:after="0"/>
              <w:rPr>
                <w:rFonts w:ascii="Times New Roman" w:hAnsi="Times New Roman"/>
                <w:szCs w:val="20"/>
              </w:rPr>
            </w:pPr>
          </w:p>
          <w:p w14:paraId="2A9F2247" w14:textId="77777777" w:rsidR="00665988" w:rsidRDefault="00274EE9">
            <w:pPr>
              <w:spacing w:before="0" w:after="0"/>
              <w:rPr>
                <w:rFonts w:ascii="Times New Roman" w:hAnsi="Times New Roman"/>
                <w:szCs w:val="20"/>
              </w:rPr>
            </w:pPr>
            <w:r>
              <w:rPr>
                <w:rFonts w:ascii="Times New Roman" w:hAnsi="Times New Roman"/>
                <w:szCs w:val="20"/>
              </w:rPr>
              <w:t>Финансирането на едро от субекти в рамките на групата се докладва само на индивидуална или подконсолидирана основа.</w:t>
            </w:r>
          </w:p>
          <w:p w14:paraId="66D6CCE8" w14:textId="326011FF" w:rsidR="00665988" w:rsidRDefault="00665988">
            <w:pPr>
              <w:spacing w:before="0" w:after="0"/>
              <w:rPr>
                <w:rFonts w:ascii="Times New Roman" w:hAnsi="Times New Roman"/>
                <w:b/>
                <w:szCs w:val="20"/>
                <w:u w:val="single"/>
              </w:rPr>
            </w:pPr>
          </w:p>
        </w:tc>
      </w:tr>
    </w:tbl>
    <w:p w14:paraId="7D6D2F2B" w14:textId="77777777" w:rsidR="00665988" w:rsidRDefault="00665988">
      <w:pPr>
        <w:pStyle w:val="InstructionsText2"/>
        <w:numPr>
          <w:ilvl w:val="0"/>
          <w:numId w:val="0"/>
        </w:numPr>
        <w:ind w:left="714"/>
      </w:pPr>
    </w:p>
    <w:p w14:paraId="6D82C3A1" w14:textId="0ED78878" w:rsidR="00665988" w:rsidRDefault="00A344AA">
      <w:pPr>
        <w:pStyle w:val="InstructionsText2"/>
        <w:numPr>
          <w:ilvl w:val="0"/>
          <w:numId w:val="13"/>
        </w:numPr>
        <w:rPr>
          <w:u w:val="none"/>
        </w:rPr>
      </w:pPr>
      <w:r>
        <w:rPr>
          <w:u w:val="none"/>
        </w:rPr>
        <w:t xml:space="preserve">За попълването на този образец институциите докладват общия размер на финансирането, получено по всеки вид продукт, което превишава прага от 1 % от общия размер на пасивите. </w:t>
      </w:r>
    </w:p>
    <w:p w14:paraId="4C97EC73" w14:textId="5A096FC4" w:rsidR="00665988" w:rsidRDefault="00A344AA">
      <w:pPr>
        <w:pStyle w:val="InstructionsText2"/>
        <w:numPr>
          <w:ilvl w:val="0"/>
          <w:numId w:val="13"/>
        </w:numPr>
        <w:rPr>
          <w:u w:val="none"/>
        </w:rPr>
      </w:pPr>
      <w:r>
        <w:rPr>
          <w:u w:val="none"/>
        </w:rPr>
        <w:t>За всеки вид продукт институциите докладват всички колони от 010 до 050.</w:t>
      </w:r>
    </w:p>
    <w:p w14:paraId="2BCBF128" w14:textId="4AA518CD" w:rsidR="00665988" w:rsidRDefault="00A344AA">
      <w:pPr>
        <w:pStyle w:val="InstructionsText2"/>
        <w:numPr>
          <w:ilvl w:val="0"/>
          <w:numId w:val="13"/>
        </w:numPr>
        <w:rPr>
          <w:u w:val="none"/>
        </w:rPr>
      </w:pPr>
      <w:r>
        <w:rPr>
          <w:u w:val="none"/>
        </w:rPr>
        <w:t>За да се определят видовете продукти, от които е получено финансиране, се използва прагът от 1 % от общия размер на пасивите в съответствие със следното:</w:t>
      </w:r>
    </w:p>
    <w:p w14:paraId="3AF457D4" w14:textId="41D0DF36" w:rsidR="00665988" w:rsidRDefault="00EF0ADB">
      <w:pPr>
        <w:pStyle w:val="InstructionsText2"/>
        <w:numPr>
          <w:ilvl w:val="0"/>
          <w:numId w:val="0"/>
        </w:numPr>
        <w:ind w:left="1134" w:hanging="420"/>
        <w:rPr>
          <w:u w:val="none"/>
        </w:rPr>
      </w:pPr>
      <w:r>
        <w:rPr>
          <w:u w:val="none"/>
        </w:rPr>
        <w:t>а)</w:t>
      </w:r>
      <w:r>
        <w:rPr>
          <w:u w:val="none"/>
        </w:rPr>
        <w:tab/>
        <w:t xml:space="preserve">прагът от 1 % от общия размер на пасивите се прилага за видовете продукти, посочени в следните редове: 1.1. „Безсрочни влогове“; 1.2. „Срочни влогове без възможност за теглене в рамките на следващите 30 дни“; 1.3. „Срочни влогове с възможност за теглене в рамките на следващите 30 дни“; 1.4. „Спестовни сметки“; 2.1. „Необезпечено финансиране на едро“; 2.2. „Обезпечено финансиране на едро“; </w:t>
      </w:r>
    </w:p>
    <w:p w14:paraId="7CD07C23" w14:textId="050FF403" w:rsidR="00665988" w:rsidRDefault="00EF0ADB">
      <w:pPr>
        <w:pStyle w:val="InstructionsText2"/>
        <w:numPr>
          <w:ilvl w:val="0"/>
          <w:numId w:val="0"/>
        </w:numPr>
        <w:ind w:left="1134" w:hanging="420"/>
        <w:rPr>
          <w:u w:val="none"/>
        </w:rPr>
      </w:pPr>
      <w:r>
        <w:rPr>
          <w:u w:val="none"/>
        </w:rPr>
        <w:t>б)</w:t>
      </w:r>
      <w:r>
        <w:rPr>
          <w:u w:val="none"/>
        </w:rPr>
        <w:tab/>
        <w:t>по отношение на изчисляването на прага от 1 % от общия размер на пасивите за ред 1.4 „Спестовни сметки“, прагът се прилага спрямо сбора на 1.4.1 и 1.4.2;</w:t>
      </w:r>
    </w:p>
    <w:p w14:paraId="636F886A" w14:textId="5010BEF3" w:rsidR="00665988" w:rsidRDefault="00AE0498">
      <w:pPr>
        <w:pStyle w:val="InstructionsText2"/>
        <w:numPr>
          <w:ilvl w:val="0"/>
          <w:numId w:val="0"/>
        </w:numPr>
        <w:ind w:left="1134" w:hanging="420"/>
        <w:rPr>
          <w:u w:val="none"/>
        </w:rPr>
      </w:pPr>
      <w:r>
        <w:rPr>
          <w:u w:val="none"/>
        </w:rPr>
        <w:t>в)</w:t>
      </w:r>
      <w:r>
        <w:rPr>
          <w:u w:val="none"/>
        </w:rPr>
        <w:tab/>
        <w:t>за редове 1. „Финансиране на дребно“ и 2. „Финансиране на едро“, прагът от 1 % от общия размер на пасивите се прилага единствено на съвкупно равнище.</w:t>
      </w:r>
    </w:p>
    <w:p w14:paraId="2935E76B" w14:textId="2D7A6265" w:rsidR="00665988" w:rsidRDefault="00792E65">
      <w:pPr>
        <w:pStyle w:val="InstructionsText2"/>
        <w:numPr>
          <w:ilvl w:val="0"/>
          <w:numId w:val="13"/>
        </w:numPr>
        <w:rPr>
          <w:u w:val="none"/>
        </w:rPr>
      </w:pPr>
      <w:r>
        <w:rPr>
          <w:u w:val="none"/>
        </w:rPr>
        <w:t xml:space="preserve">Стойностите, докладвани в редове 1. „Финансиране на дребно“, 2.1 „Необезпечено финансиране на едро“, 2.2 „Обезпечено финансиране на едро“, може да включват по-широки типове продукти от базисните позиции, докладвани „в т.ч.“  </w:t>
      </w:r>
    </w:p>
    <w:p w14:paraId="2FED639D" w14:textId="77777777" w:rsidR="00665988" w:rsidRDefault="00A344AA">
      <w:pPr>
        <w:pStyle w:val="InstructionsText2"/>
        <w:numPr>
          <w:ilvl w:val="0"/>
          <w:numId w:val="13"/>
        </w:numPr>
        <w:rPr>
          <w:u w:val="none"/>
        </w:rPr>
      </w:pPr>
      <w:r>
        <w:rPr>
          <w:u w:val="none"/>
        </w:rPr>
        <w:t>Указания относно конкретни колони: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66598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665988"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Колона</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665988"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Препратки към правни норми и указания</w:t>
            </w:r>
          </w:p>
        </w:tc>
      </w:tr>
      <w:tr w:rsidR="0066598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665988"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665988" w:rsidRDefault="00A344AA">
            <w:pPr>
              <w:spacing w:before="0" w:after="0"/>
              <w:rPr>
                <w:rFonts w:ascii="Times New Roman" w:hAnsi="Times New Roman"/>
                <w:b/>
                <w:szCs w:val="20"/>
                <w:u w:val="single"/>
              </w:rPr>
            </w:pPr>
            <w:r>
              <w:rPr>
                <w:rFonts w:ascii="Times New Roman" w:hAnsi="Times New Roman"/>
                <w:b/>
                <w:szCs w:val="20"/>
                <w:u w:val="single"/>
              </w:rPr>
              <w:t>Получена балансова сума</w:t>
            </w:r>
          </w:p>
          <w:p w14:paraId="08CE1037" w14:textId="77777777" w:rsidR="00665988" w:rsidRDefault="00665988">
            <w:pPr>
              <w:spacing w:before="0" w:after="0"/>
              <w:rPr>
                <w:rFonts w:ascii="Times New Roman" w:hAnsi="Times New Roman"/>
                <w:b/>
                <w:szCs w:val="20"/>
                <w:u w:val="single"/>
              </w:rPr>
            </w:pPr>
          </w:p>
          <w:p w14:paraId="3436EC68" w14:textId="77777777" w:rsidR="00665988" w:rsidRDefault="00A344AA">
            <w:pPr>
              <w:spacing w:before="0" w:after="0"/>
              <w:rPr>
                <w:szCs w:val="20"/>
              </w:rPr>
            </w:pPr>
            <w:r>
              <w:rPr>
                <w:rFonts w:ascii="Times New Roman" w:hAnsi="Times New Roman"/>
                <w:szCs w:val="20"/>
              </w:rPr>
              <w:t xml:space="preserve">Балансовата стойност на финансирането, получено по всяка от категориите продукти, изброени в колона „Име на продукта“, се докладва в колона 010 от образеца. </w:t>
            </w:r>
            <w:r>
              <w:t xml:space="preserve"> </w:t>
            </w:r>
          </w:p>
          <w:p w14:paraId="6450D0D1" w14:textId="583458BA" w:rsidR="00665988" w:rsidRDefault="00665988">
            <w:pPr>
              <w:spacing w:before="0" w:after="0"/>
              <w:rPr>
                <w:rFonts w:ascii="Times New Roman" w:hAnsi="Times New Roman"/>
                <w:b/>
                <w:szCs w:val="20"/>
                <w:u w:val="single"/>
              </w:rPr>
            </w:pPr>
          </w:p>
        </w:tc>
      </w:tr>
      <w:tr w:rsidR="0066598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665988"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665988" w:rsidRDefault="00A344AA">
            <w:pPr>
              <w:spacing w:before="0" w:after="0"/>
              <w:rPr>
                <w:rFonts w:ascii="Times New Roman" w:hAnsi="Times New Roman"/>
                <w:b/>
                <w:szCs w:val="20"/>
                <w:u w:val="single"/>
              </w:rPr>
            </w:pPr>
            <w:r>
              <w:rPr>
                <w:rFonts w:ascii="Times New Roman" w:hAnsi="Times New Roman"/>
                <w:b/>
                <w:szCs w:val="20"/>
                <w:u w:val="single"/>
              </w:rPr>
              <w:t>Сума,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3404C8DD" w14:textId="77777777" w:rsidR="00665988" w:rsidRDefault="00665988">
            <w:pPr>
              <w:spacing w:before="0" w:after="0"/>
              <w:rPr>
                <w:rFonts w:ascii="Times New Roman" w:hAnsi="Times New Roman"/>
                <w:b/>
                <w:szCs w:val="20"/>
                <w:u w:val="single"/>
              </w:rPr>
            </w:pPr>
          </w:p>
          <w:p w14:paraId="369A8E24" w14:textId="6EC79FE1" w:rsidR="00665988" w:rsidRDefault="00A344AA">
            <w:pPr>
              <w:spacing w:before="0" w:after="0"/>
              <w:rPr>
                <w:rFonts w:ascii="Times New Roman" w:hAnsi="Times New Roman"/>
                <w:szCs w:val="20"/>
              </w:rPr>
            </w:pPr>
            <w:r>
              <w:rPr>
                <w:rFonts w:ascii="Times New Roman" w:hAnsi="Times New Roman"/>
                <w:szCs w:val="20"/>
              </w:rPr>
              <w:t xml:space="preserve">Тази част от общия размер на докладваното в колона 010 финансиране, получено по всяка от категориите продукти, изброени в колона „Име на продукта“, чиято сума е обхваната от схема за гарантиране на депозитите съгласно Директива 2014/49/ЕС или еквивалентна схема за гарантиране на депозитите в трета държава. </w:t>
            </w:r>
          </w:p>
          <w:p w14:paraId="624BDC55" w14:textId="77777777" w:rsidR="00665988" w:rsidRDefault="00665988">
            <w:pPr>
              <w:spacing w:before="0" w:after="0"/>
              <w:rPr>
                <w:rFonts w:ascii="Times New Roman" w:hAnsi="Times New Roman"/>
                <w:szCs w:val="20"/>
              </w:rPr>
            </w:pPr>
          </w:p>
          <w:p w14:paraId="1350A03E" w14:textId="309AA59A" w:rsidR="00665988" w:rsidRDefault="00A344AA">
            <w:pPr>
              <w:spacing w:before="0" w:after="0"/>
              <w:rPr>
                <w:rFonts w:ascii="Times New Roman" w:hAnsi="Times New Roman"/>
                <w:szCs w:val="20"/>
              </w:rPr>
            </w:pPr>
            <w:r>
              <w:rPr>
                <w:rFonts w:ascii="Times New Roman" w:hAnsi="Times New Roman"/>
                <w:szCs w:val="20"/>
              </w:rPr>
              <w:t>Забележка: сумите, докладвани в колони 020 и 030 за всяка една от категориите продукти, изброени в колона „Име на продукта“, са равни на общата получена сума, докладвана в колона 010.</w:t>
            </w:r>
          </w:p>
          <w:p w14:paraId="17202B90" w14:textId="77777777" w:rsidR="00665988" w:rsidRDefault="00665988">
            <w:pPr>
              <w:spacing w:before="0" w:after="0"/>
              <w:rPr>
                <w:rFonts w:ascii="Times New Roman" w:hAnsi="Times New Roman"/>
                <w:b/>
                <w:szCs w:val="20"/>
                <w:u w:val="single"/>
              </w:rPr>
            </w:pPr>
          </w:p>
        </w:tc>
      </w:tr>
      <w:tr w:rsidR="0066598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665988"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665988" w:rsidRDefault="00A344AA">
            <w:pPr>
              <w:spacing w:before="0" w:after="0"/>
              <w:rPr>
                <w:rFonts w:ascii="Times New Roman" w:hAnsi="Times New Roman"/>
                <w:b/>
                <w:szCs w:val="20"/>
                <w:u w:val="single"/>
              </w:rPr>
            </w:pPr>
            <w:r>
              <w:rPr>
                <w:rFonts w:ascii="Times New Roman" w:hAnsi="Times New Roman"/>
                <w:b/>
                <w:szCs w:val="20"/>
                <w:u w:val="single"/>
              </w:rPr>
              <w:t>Сума, която не е обхваната от схема за гарантиране на депозитите съгласно Директива 2014/49/ЕС или еквивалентна схема за гарантиране на депозитите в трета държава</w:t>
            </w:r>
          </w:p>
          <w:p w14:paraId="5D57127C" w14:textId="77777777" w:rsidR="00665988" w:rsidRDefault="00665988">
            <w:pPr>
              <w:spacing w:before="0" w:after="0"/>
              <w:rPr>
                <w:rFonts w:ascii="Times New Roman" w:hAnsi="Times New Roman"/>
                <w:b/>
                <w:szCs w:val="20"/>
                <w:u w:val="single"/>
              </w:rPr>
            </w:pPr>
          </w:p>
          <w:p w14:paraId="706D0911" w14:textId="28D8B72B" w:rsidR="00665988" w:rsidRDefault="00A344AA">
            <w:pPr>
              <w:spacing w:before="0" w:after="0"/>
              <w:rPr>
                <w:rFonts w:ascii="Times New Roman" w:hAnsi="Times New Roman"/>
                <w:szCs w:val="20"/>
              </w:rPr>
            </w:pPr>
            <w:r>
              <w:rPr>
                <w:rFonts w:ascii="Times New Roman" w:hAnsi="Times New Roman"/>
                <w:szCs w:val="20"/>
              </w:rPr>
              <w:t xml:space="preserve">Тази част от общия размер на докладваното в колона 010 финансиране, получено по всяка от категориите продукти, изброени в колона „Име на продукта“, чиято сума </w:t>
            </w:r>
            <w:r>
              <w:rPr>
                <w:rFonts w:ascii="Times New Roman" w:hAnsi="Times New Roman"/>
                <w:szCs w:val="20"/>
                <w:u w:val="single"/>
              </w:rPr>
              <w:t>не</w:t>
            </w:r>
            <w:r>
              <w:rPr>
                <w:rFonts w:ascii="Times New Roman" w:hAnsi="Times New Roman"/>
                <w:szCs w:val="20"/>
              </w:rPr>
              <w:t xml:space="preserve"> е обхваната от схема за гарантиране на депозитите съгласно Директива 2014/49/ЕС или еквивалентна схема за гарантиране на депозитите в трета държава. </w:t>
            </w:r>
          </w:p>
          <w:p w14:paraId="2201D234" w14:textId="77777777" w:rsidR="00665988" w:rsidRDefault="00665988">
            <w:pPr>
              <w:spacing w:before="0" w:after="0"/>
              <w:rPr>
                <w:rFonts w:ascii="Times New Roman" w:hAnsi="Times New Roman"/>
                <w:szCs w:val="20"/>
              </w:rPr>
            </w:pPr>
          </w:p>
          <w:p w14:paraId="3AE9E67D" w14:textId="3B789BDE" w:rsidR="00665988" w:rsidRDefault="00A344AA">
            <w:pPr>
              <w:spacing w:before="0" w:after="0"/>
              <w:rPr>
                <w:rFonts w:ascii="Times New Roman" w:hAnsi="Times New Roman"/>
                <w:szCs w:val="20"/>
              </w:rPr>
            </w:pPr>
            <w:r>
              <w:rPr>
                <w:rFonts w:ascii="Times New Roman" w:hAnsi="Times New Roman"/>
                <w:szCs w:val="20"/>
              </w:rPr>
              <w:t>Забележка: сумите, докладвани в колони 020 и 030 за всяка една от категориите продукти, изброени в колона „Име на продукта“, са равни на общата получена сума, докладвана в колона 010.</w:t>
            </w:r>
          </w:p>
          <w:p w14:paraId="3A3C1BD5" w14:textId="77777777" w:rsidR="00665988" w:rsidRDefault="00665988">
            <w:pPr>
              <w:spacing w:before="0" w:after="0"/>
              <w:rPr>
                <w:rFonts w:ascii="Times New Roman" w:hAnsi="Times New Roman"/>
                <w:b/>
                <w:szCs w:val="20"/>
                <w:u w:val="single"/>
              </w:rPr>
            </w:pPr>
          </w:p>
        </w:tc>
      </w:tr>
      <w:tr w:rsidR="00665988" w14:paraId="451E213E" w14:textId="77777777" w:rsidTr="005B086D">
        <w:trPr>
          <w:trHeight w:val="459"/>
        </w:trPr>
        <w:tc>
          <w:tcPr>
            <w:tcW w:w="729" w:type="pct"/>
            <w:shd w:val="clear" w:color="auto" w:fill="auto"/>
            <w:noWrap/>
          </w:tcPr>
          <w:p w14:paraId="5C9786F2" w14:textId="77777777" w:rsidR="00665988" w:rsidRDefault="00A344AA">
            <w:pPr>
              <w:spacing w:before="0" w:after="0"/>
              <w:jc w:val="left"/>
              <w:rPr>
                <w:rFonts w:ascii="Times New Roman" w:hAnsi="Times New Roman"/>
                <w:color w:val="000000"/>
                <w:szCs w:val="20"/>
              </w:rPr>
            </w:pPr>
            <w:r>
              <w:rPr>
                <w:rFonts w:ascii="Times New Roman" w:hAnsi="Times New Roman"/>
                <w:szCs w:val="20"/>
              </w:rPr>
              <w:lastRenderedPageBreak/>
              <w:t>040</w:t>
            </w:r>
          </w:p>
        </w:tc>
        <w:tc>
          <w:tcPr>
            <w:tcW w:w="4271" w:type="pct"/>
            <w:shd w:val="clear" w:color="auto" w:fill="auto"/>
          </w:tcPr>
          <w:p w14:paraId="3C20E7C7" w14:textId="1D00688B" w:rsidR="00665988" w:rsidRDefault="00A344AA">
            <w:pPr>
              <w:spacing w:before="0" w:after="0"/>
              <w:rPr>
                <w:rFonts w:ascii="Times New Roman" w:hAnsi="Times New Roman"/>
                <w:b/>
                <w:szCs w:val="20"/>
                <w:u w:val="single"/>
              </w:rPr>
            </w:pPr>
            <w:r>
              <w:rPr>
                <w:rFonts w:ascii="Times New Roman" w:hAnsi="Times New Roman"/>
                <w:b/>
                <w:szCs w:val="20"/>
                <w:u w:val="single"/>
              </w:rPr>
              <w:t>Среднопретеглен първоначален срок до падежа</w:t>
            </w:r>
          </w:p>
          <w:p w14:paraId="55688C6B" w14:textId="77777777" w:rsidR="00665988" w:rsidRDefault="00665988">
            <w:pPr>
              <w:spacing w:before="0" w:after="0"/>
              <w:rPr>
                <w:rFonts w:ascii="Times New Roman" w:hAnsi="Times New Roman"/>
                <w:b/>
                <w:szCs w:val="20"/>
                <w:u w:val="single"/>
              </w:rPr>
            </w:pPr>
          </w:p>
          <w:p w14:paraId="26DFB785" w14:textId="7D1359A8" w:rsidR="00665988" w:rsidRDefault="00A344AA">
            <w:pPr>
              <w:spacing w:before="0" w:after="0"/>
              <w:rPr>
                <w:rFonts w:ascii="Times New Roman" w:hAnsi="Times New Roman"/>
                <w:szCs w:val="20"/>
              </w:rPr>
            </w:pPr>
            <w:r>
              <w:rPr>
                <w:rFonts w:ascii="Times New Roman" w:hAnsi="Times New Roman"/>
                <w:szCs w:val="20"/>
              </w:rPr>
              <w:t>За размера на докладваното в колона 010 финансиране, получено по категориите продукти, изброени в колона „Име на продукта“, в колона 040 се вписва среднопретегленият първоначален срок до падежа (в дни) на това финансиране.</w:t>
            </w:r>
          </w:p>
          <w:p w14:paraId="6F902A34" w14:textId="77777777" w:rsidR="00665988" w:rsidRDefault="00665988">
            <w:pPr>
              <w:spacing w:before="0" w:after="0"/>
              <w:rPr>
                <w:rFonts w:ascii="Times New Roman" w:hAnsi="Times New Roman"/>
                <w:szCs w:val="20"/>
              </w:rPr>
            </w:pPr>
          </w:p>
          <w:p w14:paraId="4993C5F5" w14:textId="1018E08A" w:rsidR="00665988" w:rsidRDefault="00B06740">
            <w:pPr>
              <w:spacing w:before="0" w:after="0"/>
              <w:rPr>
                <w:rFonts w:ascii="Times New Roman" w:hAnsi="Times New Roman"/>
                <w:szCs w:val="20"/>
              </w:rPr>
            </w:pPr>
            <w:r>
              <w:rPr>
                <w:rFonts w:ascii="Times New Roman" w:hAnsi="Times New Roman"/>
                <w:szCs w:val="20"/>
              </w:rPr>
              <w:t>Среднопретегленият първоначален срок до падежа се изчислява като средната стойност за първоначалния срок до падежа (в дни) на финансирането, получено по този вид продукт. Средната стойност се претегля на базата на размера на различните суми на полученото финансиране спрямо общия размер на финансирането, получено от всички емисии на този вид продукт.</w:t>
            </w:r>
          </w:p>
        </w:tc>
      </w:tr>
      <w:tr w:rsidR="00665988" w14:paraId="42EE78BF" w14:textId="77777777" w:rsidTr="00ED2EE2">
        <w:trPr>
          <w:trHeight w:val="1020"/>
        </w:trPr>
        <w:tc>
          <w:tcPr>
            <w:tcW w:w="729" w:type="pct"/>
            <w:shd w:val="clear" w:color="auto" w:fill="auto"/>
            <w:noWrap/>
          </w:tcPr>
          <w:p w14:paraId="2FEE2E2D" w14:textId="77777777" w:rsidR="00665988"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shd w:val="clear" w:color="auto" w:fill="auto"/>
          </w:tcPr>
          <w:p w14:paraId="5F6E4857" w14:textId="77777777" w:rsidR="00665988" w:rsidRDefault="00A344AA">
            <w:pPr>
              <w:spacing w:before="0" w:after="0"/>
              <w:rPr>
                <w:rFonts w:ascii="Times New Roman" w:hAnsi="Times New Roman"/>
                <w:b/>
                <w:szCs w:val="20"/>
                <w:u w:val="single"/>
              </w:rPr>
            </w:pPr>
            <w:r>
              <w:rPr>
                <w:rFonts w:ascii="Times New Roman" w:hAnsi="Times New Roman"/>
                <w:b/>
                <w:szCs w:val="20"/>
                <w:u w:val="single"/>
              </w:rPr>
              <w:t>Среднопретеглен остатъчен срок до падежа</w:t>
            </w:r>
          </w:p>
          <w:p w14:paraId="24DA2333" w14:textId="77777777" w:rsidR="00665988" w:rsidRDefault="00665988">
            <w:pPr>
              <w:spacing w:before="0" w:after="0"/>
              <w:rPr>
                <w:rFonts w:ascii="Times New Roman" w:hAnsi="Times New Roman"/>
                <w:b/>
                <w:szCs w:val="20"/>
                <w:u w:val="single"/>
              </w:rPr>
            </w:pPr>
          </w:p>
          <w:p w14:paraId="5F851D17" w14:textId="70719BB2" w:rsidR="00665988" w:rsidRDefault="00A344AA">
            <w:pPr>
              <w:spacing w:before="0" w:after="0"/>
              <w:rPr>
                <w:rFonts w:ascii="Times New Roman" w:hAnsi="Times New Roman"/>
                <w:szCs w:val="20"/>
              </w:rPr>
            </w:pPr>
            <w:r>
              <w:rPr>
                <w:rFonts w:ascii="Times New Roman" w:hAnsi="Times New Roman"/>
                <w:szCs w:val="20"/>
              </w:rPr>
              <w:t>За размера на докладваното в колона 010 финансиране, получено в рамките на категориите продукти, изброени в колона „Име на продукта“, в колона 050 се вписва среднопретегленият остатъчен срок до падежа (в дни) на това финансиране.</w:t>
            </w:r>
          </w:p>
          <w:p w14:paraId="10B9D2BA" w14:textId="77777777" w:rsidR="00665988" w:rsidRDefault="00665988">
            <w:pPr>
              <w:spacing w:before="0" w:after="0"/>
              <w:rPr>
                <w:rFonts w:ascii="Times New Roman" w:hAnsi="Times New Roman"/>
                <w:szCs w:val="20"/>
              </w:rPr>
            </w:pPr>
          </w:p>
          <w:p w14:paraId="7D5D34BD" w14:textId="7C13E3AC" w:rsidR="00665988" w:rsidRDefault="00B06740">
            <w:pPr>
              <w:spacing w:before="0" w:after="0"/>
              <w:rPr>
                <w:rFonts w:ascii="Times New Roman" w:hAnsi="Times New Roman"/>
                <w:szCs w:val="20"/>
              </w:rPr>
            </w:pPr>
            <w:r>
              <w:rPr>
                <w:rFonts w:ascii="Times New Roman" w:hAnsi="Times New Roman"/>
                <w:szCs w:val="20"/>
              </w:rPr>
              <w:t>Среднопретегленият остатъчен срок до падежа се изчислява като средната стойност за остатъчния срок до падежа (в дни) на финансирането, получено по този вид продукт. Средната стойност се претегля на базата на размера на различните суми на полученото финансиране спрямо общия размер на финансирането, получено от всички емисии на този вид продукт.</w:t>
            </w:r>
          </w:p>
          <w:p w14:paraId="7FC1A546" w14:textId="77777777" w:rsidR="00665988" w:rsidRDefault="00665988">
            <w:pPr>
              <w:spacing w:before="0" w:after="0"/>
              <w:rPr>
                <w:rFonts w:ascii="Times New Roman" w:hAnsi="Times New Roman"/>
                <w:b/>
                <w:szCs w:val="20"/>
                <w:u w:val="single"/>
              </w:rPr>
            </w:pPr>
          </w:p>
        </w:tc>
      </w:tr>
    </w:tbl>
    <w:p w14:paraId="46B6DB4F" w14:textId="77777777" w:rsidR="00665988" w:rsidRDefault="00665988"/>
    <w:p w14:paraId="079161C6" w14:textId="77777777" w:rsidR="00665988"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Цени за различни срокове на финансиране (C 69.00)</w:t>
      </w:r>
    </w:p>
    <w:p w14:paraId="691ACAEA" w14:textId="381B9664" w:rsidR="00665988" w:rsidRDefault="00DD76F0">
      <w:pPr>
        <w:pStyle w:val="InstructionsText2"/>
        <w:numPr>
          <w:ilvl w:val="0"/>
          <w:numId w:val="7"/>
        </w:numPr>
        <w:rPr>
          <w:u w:val="none"/>
        </w:rPr>
      </w:pPr>
      <w:r>
        <w:rPr>
          <w:u w:val="none"/>
        </w:rPr>
        <w:t>В образец C 69.00 институциите предоставят информация за обема на операциите и платените от тях цени за финансирането, получено през периода на докладване и налично към края на този период, според следните първоначални срокове до падежа:</w:t>
      </w:r>
    </w:p>
    <w:p w14:paraId="43E76F50" w14:textId="57D72AF1" w:rsidR="00665988" w:rsidRDefault="00C13077">
      <w:pPr>
        <w:pStyle w:val="InstructionsText2"/>
        <w:numPr>
          <w:ilvl w:val="1"/>
          <w:numId w:val="13"/>
        </w:numPr>
        <w:ind w:left="993" w:hanging="284"/>
        <w:rPr>
          <w:u w:val="none"/>
        </w:rPr>
      </w:pPr>
      <w:r>
        <w:rPr>
          <w:u w:val="none"/>
        </w:rPr>
        <w:tab/>
        <w:t>овърнайт — в колони 010 и 020;</w:t>
      </w:r>
    </w:p>
    <w:p w14:paraId="20A63704" w14:textId="5F2A3152" w:rsidR="00665988" w:rsidRDefault="00325582">
      <w:pPr>
        <w:pStyle w:val="InstructionsText2"/>
        <w:numPr>
          <w:ilvl w:val="0"/>
          <w:numId w:val="0"/>
        </w:numPr>
        <w:ind w:left="714"/>
        <w:rPr>
          <w:u w:val="none"/>
        </w:rPr>
      </w:pPr>
      <w:r>
        <w:rPr>
          <w:u w:val="none"/>
        </w:rPr>
        <w:t>б)</w:t>
      </w:r>
      <w:r>
        <w:rPr>
          <w:u w:val="none"/>
        </w:rPr>
        <w:tab/>
        <w:t>по-голям от овърнайт и по-малък или равен на 1 седмица — в колони 030 и 040;</w:t>
      </w:r>
    </w:p>
    <w:p w14:paraId="23995DF6" w14:textId="6B8F5FD2" w:rsidR="00665988" w:rsidRDefault="00325582">
      <w:pPr>
        <w:pStyle w:val="InstructionsText2"/>
        <w:numPr>
          <w:ilvl w:val="0"/>
          <w:numId w:val="0"/>
        </w:numPr>
        <w:ind w:left="714"/>
        <w:rPr>
          <w:u w:val="none"/>
        </w:rPr>
      </w:pPr>
      <w:r>
        <w:rPr>
          <w:u w:val="none"/>
        </w:rPr>
        <w:t>в)</w:t>
      </w:r>
      <w:r>
        <w:rPr>
          <w:u w:val="none"/>
        </w:rPr>
        <w:tab/>
        <w:t>по-голям от 1 седмица и по-малък или равен на 1 месец — в колони 050 и 060;</w:t>
      </w:r>
    </w:p>
    <w:p w14:paraId="4DB6611C" w14:textId="4078B1C8" w:rsidR="00665988" w:rsidRDefault="00325582">
      <w:pPr>
        <w:pStyle w:val="InstructionsText2"/>
        <w:numPr>
          <w:ilvl w:val="0"/>
          <w:numId w:val="0"/>
        </w:numPr>
        <w:ind w:left="714"/>
        <w:rPr>
          <w:u w:val="none"/>
        </w:rPr>
      </w:pPr>
      <w:r>
        <w:rPr>
          <w:u w:val="none"/>
        </w:rPr>
        <w:t>г)</w:t>
      </w:r>
      <w:r>
        <w:rPr>
          <w:u w:val="none"/>
        </w:rPr>
        <w:tab/>
        <w:t>по-голям от 1 месец и по-малък или равен на 3 месеца — в колони 070 и 080;</w:t>
      </w:r>
    </w:p>
    <w:p w14:paraId="68B85898" w14:textId="1C69E6E6" w:rsidR="00665988" w:rsidRDefault="00325582">
      <w:pPr>
        <w:pStyle w:val="InstructionsText2"/>
        <w:numPr>
          <w:ilvl w:val="0"/>
          <w:numId w:val="0"/>
        </w:numPr>
        <w:ind w:left="714"/>
        <w:rPr>
          <w:u w:val="none"/>
        </w:rPr>
      </w:pPr>
      <w:r>
        <w:rPr>
          <w:u w:val="none"/>
        </w:rPr>
        <w:t>д)</w:t>
      </w:r>
      <w:r>
        <w:rPr>
          <w:u w:val="none"/>
        </w:rPr>
        <w:tab/>
        <w:t>по-голям от 3 месеца и по-малък или равен на 6 месеца — в колони 090 и 100;</w:t>
      </w:r>
    </w:p>
    <w:p w14:paraId="032BAEDE" w14:textId="15A2A145" w:rsidR="00665988" w:rsidRDefault="00325582">
      <w:pPr>
        <w:pStyle w:val="InstructionsText2"/>
        <w:numPr>
          <w:ilvl w:val="0"/>
          <w:numId w:val="0"/>
        </w:numPr>
        <w:ind w:left="714"/>
        <w:rPr>
          <w:u w:val="none"/>
        </w:rPr>
      </w:pPr>
      <w:r>
        <w:rPr>
          <w:u w:val="none"/>
        </w:rPr>
        <w:t>е)</w:t>
      </w:r>
      <w:r>
        <w:rPr>
          <w:u w:val="none"/>
        </w:rPr>
        <w:tab/>
        <w:t>по-голям от 6 месеца и по-малък или равен на 1 година — в колони 110 и 120;</w:t>
      </w:r>
    </w:p>
    <w:p w14:paraId="3DE0207D" w14:textId="0958FEE1" w:rsidR="00665988" w:rsidRDefault="00325582">
      <w:pPr>
        <w:pStyle w:val="InstructionsText2"/>
        <w:numPr>
          <w:ilvl w:val="0"/>
          <w:numId w:val="0"/>
        </w:numPr>
        <w:ind w:left="714"/>
        <w:rPr>
          <w:u w:val="none"/>
        </w:rPr>
      </w:pPr>
      <w:r>
        <w:rPr>
          <w:u w:val="none"/>
        </w:rPr>
        <w:t>ж)</w:t>
      </w:r>
      <w:r>
        <w:rPr>
          <w:u w:val="none"/>
        </w:rPr>
        <w:tab/>
        <w:t>по-голям от 1 година и по-малък или равен на 2 години — в колони 130 и 140;</w:t>
      </w:r>
    </w:p>
    <w:p w14:paraId="5A4B2AD6" w14:textId="6D6143D2" w:rsidR="00665988" w:rsidRDefault="00325582">
      <w:pPr>
        <w:pStyle w:val="InstructionsText2"/>
        <w:numPr>
          <w:ilvl w:val="0"/>
          <w:numId w:val="0"/>
        </w:numPr>
        <w:ind w:left="714"/>
        <w:rPr>
          <w:u w:val="none"/>
        </w:rPr>
      </w:pPr>
      <w:r>
        <w:rPr>
          <w:u w:val="none"/>
        </w:rPr>
        <w:t>з)</w:t>
      </w:r>
      <w:r>
        <w:rPr>
          <w:u w:val="none"/>
        </w:rPr>
        <w:tab/>
        <w:t>по-голям от 2 година и по-малък или равен на 5 години — в колони 150 и 160;</w:t>
      </w:r>
    </w:p>
    <w:p w14:paraId="10B732E8" w14:textId="3D42D0AE" w:rsidR="00665988" w:rsidRDefault="00325582">
      <w:pPr>
        <w:pStyle w:val="InstructionsText2"/>
        <w:numPr>
          <w:ilvl w:val="0"/>
          <w:numId w:val="0"/>
        </w:numPr>
        <w:ind w:left="714"/>
        <w:rPr>
          <w:u w:val="none"/>
        </w:rPr>
      </w:pPr>
      <w:r>
        <w:rPr>
          <w:u w:val="none"/>
        </w:rPr>
        <w:t>и)</w:t>
      </w:r>
      <w:r>
        <w:rPr>
          <w:u w:val="none"/>
        </w:rPr>
        <w:tab/>
        <w:t>по-голям от 5 година и по-малък или равен на 10 години — в колони 170 и 180.</w:t>
      </w:r>
    </w:p>
    <w:p w14:paraId="5F28959E" w14:textId="15654C74" w:rsidR="00665988" w:rsidRDefault="0019013A">
      <w:pPr>
        <w:pStyle w:val="InstructionsText2"/>
        <w:numPr>
          <w:ilvl w:val="0"/>
          <w:numId w:val="20"/>
        </w:numPr>
        <w:rPr>
          <w:u w:val="none"/>
        </w:rPr>
      </w:pPr>
      <w:r>
        <w:rPr>
          <w:u w:val="none"/>
        </w:rPr>
        <w:t>За определянето на срока до падежа на полученото финансиране институциите не вземат предвид периода между датата на сделката и датата на сетълмента, например тримесечен пасив със сетълмент след две седмици се докладва с тримесечен срок до падежа (колони 070 и 080).</w:t>
      </w:r>
    </w:p>
    <w:p w14:paraId="3300B61A" w14:textId="77777777" w:rsidR="00665988" w:rsidRDefault="002C154A">
      <w:pPr>
        <w:pStyle w:val="InstructionsText2"/>
        <w:numPr>
          <w:ilvl w:val="0"/>
          <w:numId w:val="20"/>
        </w:numPr>
        <w:rPr>
          <w:u w:val="none"/>
        </w:rPr>
      </w:pPr>
      <w:r>
        <w:rPr>
          <w:u w:val="none"/>
        </w:rPr>
        <w:lastRenderedPageBreak/>
        <w:t>Спредът, докладван в лявата колона на всеки времеви интервал, е един от следните:</w:t>
      </w:r>
    </w:p>
    <w:p w14:paraId="3D56C5E8" w14:textId="5BBC2BEA" w:rsidR="00665988" w:rsidRDefault="0050708F">
      <w:pPr>
        <w:pStyle w:val="InstructionsText2"/>
        <w:numPr>
          <w:ilvl w:val="1"/>
          <w:numId w:val="20"/>
        </w:numPr>
        <w:ind w:left="993" w:hanging="284"/>
        <w:rPr>
          <w:u w:val="none"/>
        </w:rPr>
      </w:pPr>
      <w:r>
        <w:rPr>
          <w:u w:val="none"/>
        </w:rPr>
        <w:t xml:space="preserve">спредът, дължим от институцията за пасиви със срок, по-малък или равен на една година, в случай на замяна с референтния овърнайт индекс за съответната валута не по-късно от края на работното време в деня на сделката; </w:t>
      </w:r>
    </w:p>
    <w:p w14:paraId="44F3338B" w14:textId="4D0D0648" w:rsidR="00665988" w:rsidRDefault="0050708F">
      <w:pPr>
        <w:pStyle w:val="InstructionsText2"/>
        <w:numPr>
          <w:ilvl w:val="1"/>
          <w:numId w:val="20"/>
        </w:numPr>
        <w:ind w:left="993" w:hanging="284"/>
        <w:rPr>
          <w:u w:val="none"/>
        </w:rPr>
      </w:pPr>
      <w:r>
        <w:rPr>
          <w:u w:val="none"/>
        </w:rPr>
        <w:t>спредът, дължим от дружеството при емитирането на пасиви с първоначален срок до падежа, надхвърлящ една година, в случай на замяна с референтния овърнайт индекс за съответната валута, който е тримесечният EURIBOR за еврото или LIBOR за британската лира и щатския долар, не по-късно от края на работното време в деня на сделката.</w:t>
      </w:r>
    </w:p>
    <w:p w14:paraId="0C9A9801" w14:textId="3ADD5BDC" w:rsidR="00665988" w:rsidRDefault="006661EC">
      <w:pPr>
        <w:pStyle w:val="InstructionsText2"/>
        <w:numPr>
          <w:ilvl w:val="0"/>
          <w:numId w:val="0"/>
        </w:numPr>
        <w:ind w:left="993"/>
        <w:rPr>
          <w:u w:val="none"/>
        </w:rPr>
      </w:pPr>
      <w:r>
        <w:rPr>
          <w:u w:val="none"/>
        </w:rPr>
        <w:t>Единствено за целите на изчисляването на спреда по точки а) и б) по-горе, въз основа на натрупания опит институцията може да определи първоначалния срок до падежа, като според случая взима или не взима предвид възможността за избор.</w:t>
      </w:r>
    </w:p>
    <w:p w14:paraId="5EBCC42F" w14:textId="0D3FAA90" w:rsidR="00665988" w:rsidRDefault="0019013A">
      <w:pPr>
        <w:pStyle w:val="InstructionsText2"/>
        <w:numPr>
          <w:ilvl w:val="0"/>
          <w:numId w:val="20"/>
        </w:numPr>
        <w:rPr>
          <w:u w:val="none"/>
        </w:rPr>
      </w:pPr>
      <w:r>
        <w:rPr>
          <w:u w:val="none"/>
        </w:rPr>
        <w:t xml:space="preserve">Спредовете се докладват в базисни пунктове с отрицателен знак, в случай че новото финансиране е по-евтино отколкото при съответния референтен процент. Те се изчисляват въз основа на среднопретеглените стойности. </w:t>
      </w:r>
    </w:p>
    <w:p w14:paraId="0ABF1B64" w14:textId="5E7F2177" w:rsidR="00665988" w:rsidRDefault="0050708F">
      <w:pPr>
        <w:pStyle w:val="InstructionsText2"/>
        <w:numPr>
          <w:ilvl w:val="0"/>
          <w:numId w:val="20"/>
        </w:numPr>
        <w:rPr>
          <w:u w:val="none"/>
        </w:rPr>
      </w:pPr>
      <w:r>
        <w:rPr>
          <w:u w:val="none"/>
        </w:rPr>
        <w:t>За определянето на средния дължим спред по няколко емисии/влогове/заеми институциите изчисляват общите разходи във валутата на емитиране, като не вземат под внимание валутните суапове, но включват всички подлежащи на плащане или получаване премии, отстъпки и такси, като за основа използват срока на всеки теоретичен или фактически лихвен суап, който съответства на срока на пасива. Спредът представлява процента по пасива минус процента по суапа.</w:t>
      </w:r>
    </w:p>
    <w:p w14:paraId="608A7669" w14:textId="7761DC23" w:rsidR="00665988" w:rsidRDefault="0019013A">
      <w:pPr>
        <w:pStyle w:val="InstructionsText2"/>
        <w:numPr>
          <w:ilvl w:val="0"/>
          <w:numId w:val="20"/>
        </w:numPr>
        <w:rPr>
          <w:u w:val="none"/>
        </w:rPr>
      </w:pPr>
      <w:r>
        <w:rPr>
          <w:u w:val="none"/>
        </w:rPr>
        <w:t xml:space="preserve">Размерът на полученото финансиране в рамките на категориите, изброени в колона „Позиция“, се докладва в колона „Обем“ на съответния времеви интервал. </w:t>
      </w:r>
    </w:p>
    <w:p w14:paraId="3AED84FE" w14:textId="77073291" w:rsidR="00665988" w:rsidRDefault="004B3AC2">
      <w:pPr>
        <w:pStyle w:val="InstructionsText2"/>
        <w:numPr>
          <w:ilvl w:val="0"/>
          <w:numId w:val="20"/>
        </w:numPr>
        <w:rPr>
          <w:u w:val="none"/>
        </w:rPr>
      </w:pPr>
      <w:r>
        <w:rPr>
          <w:u w:val="none"/>
        </w:rPr>
        <w:t>В колона „Обем“ институциите посочват сумите, представляващи балансовата стойност на полученото ново финансиране, в съответния времеви интервал според първоначалния срок до падежа.</w:t>
      </w:r>
    </w:p>
    <w:p w14:paraId="4513DEDD" w14:textId="4B15A911" w:rsidR="00665988" w:rsidRDefault="00144FB8">
      <w:pPr>
        <w:pStyle w:val="InstructionsText2"/>
        <w:numPr>
          <w:ilvl w:val="0"/>
          <w:numId w:val="20"/>
        </w:numPr>
        <w:rPr>
          <w:u w:val="none"/>
        </w:rPr>
      </w:pPr>
      <w:r>
        <w:rPr>
          <w:u w:val="none"/>
        </w:rPr>
        <w:t xml:space="preserve">За задбалансовите ангажименти, както за всички други позиции, институциите докладват единствено съответните стойности, отразени в счетоводния баланс. Задбалансовите ангажименти, предоставени на институцията, се докладват в C69.00 единствено след усвояване. При усвояване обемът и спредът, които следва да се докладват, са усвоената сума и съответният спред към края на периода на докладване. Когато усвояването не може да бъде подновено по преценка на институцията, се докладва фактическият му срок до падежа. Когато институцията вече е усвоила част от този механизъм към края на предходния период на докладване и впоследствие увеличава използването на механизма се докладва само допълнително усвоената сума. </w:t>
      </w:r>
    </w:p>
    <w:p w14:paraId="26598EEA" w14:textId="3647C6E6" w:rsidR="00665988" w:rsidRDefault="00473407">
      <w:pPr>
        <w:pStyle w:val="InstructionsText2"/>
        <w:numPr>
          <w:ilvl w:val="0"/>
          <w:numId w:val="20"/>
        </w:numPr>
        <w:rPr>
          <w:u w:val="none"/>
        </w:rPr>
      </w:pPr>
      <w:r>
        <w:rPr>
          <w:u w:val="none"/>
        </w:rPr>
        <w:t>Депозитите от клиенти на дребно обхващат депозитите по смисъла на член 3, параграф 8 от Делегиран регламент (ЕС) 2015/61.</w:t>
      </w:r>
    </w:p>
    <w:p w14:paraId="54CC7D8D" w14:textId="5C6E191B" w:rsidR="00665988" w:rsidRDefault="00287BD7">
      <w:pPr>
        <w:pStyle w:val="InstructionsText2"/>
        <w:numPr>
          <w:ilvl w:val="0"/>
          <w:numId w:val="20"/>
        </w:numPr>
        <w:rPr>
          <w:u w:val="none"/>
        </w:rPr>
      </w:pPr>
      <w:r>
        <w:rPr>
          <w:u w:val="none"/>
        </w:rPr>
        <w:t>За подновеното през периода на докладване финансиране, което все още не е погасено в края на този период, се докладва средната стойност на спредовете, приложими към този момент (т.е. края на периода на докладване). За целите на образец C69.00 се считат, че финансирането, което е било подновено и все още съществува към края на периода на докладване, представлява ново финансиране.</w:t>
      </w:r>
    </w:p>
    <w:p w14:paraId="43F95C32" w14:textId="05666D10" w:rsidR="00665988" w:rsidRDefault="00CD20D9">
      <w:pPr>
        <w:pStyle w:val="InstructionsText2"/>
        <w:numPr>
          <w:ilvl w:val="0"/>
          <w:numId w:val="20"/>
        </w:numPr>
        <w:rPr>
          <w:u w:val="none"/>
        </w:rPr>
      </w:pPr>
      <w:r>
        <w:rPr>
          <w:u w:val="none"/>
        </w:rPr>
        <w:t xml:space="preserve">Чрез дерогация от посоченото в останалата част на раздел 1.4 обемът и спредът на безсрочните влогове се докладват само когато вложителят е нямал безсрочен влог в предходния периода на докладване или когато сумата на влога се е увеличила в сравнение с предходната референтна дата, в който случай увеличението следва да се третира като ново финансиране. Докладва се спредът към края на периода. </w:t>
      </w:r>
    </w:p>
    <w:p w14:paraId="10927EEB" w14:textId="776A1E6F" w:rsidR="00665988" w:rsidRDefault="00270986">
      <w:pPr>
        <w:pStyle w:val="InstructionsText2"/>
        <w:numPr>
          <w:ilvl w:val="0"/>
          <w:numId w:val="20"/>
        </w:numPr>
        <w:rPr>
          <w:u w:val="none"/>
        </w:rPr>
      </w:pPr>
      <w:r>
        <w:rPr>
          <w:u w:val="none"/>
        </w:rPr>
        <w:t>Ако няма информация, която да се докладва, полетата за спредовете се оставят празни.</w:t>
      </w:r>
    </w:p>
    <w:p w14:paraId="5F1BCA9F" w14:textId="77777777" w:rsidR="00665988" w:rsidRDefault="002C154A">
      <w:pPr>
        <w:pStyle w:val="InstructionsText2"/>
        <w:numPr>
          <w:ilvl w:val="0"/>
          <w:numId w:val="20"/>
        </w:numPr>
        <w:rPr>
          <w:u w:val="none"/>
        </w:rPr>
      </w:pPr>
      <w:r>
        <w:rPr>
          <w:u w:val="none"/>
        </w:rPr>
        <w:lastRenderedPageBreak/>
        <w:t>Указания относно отделните редове: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665988" w14:paraId="3147FD97" w14:textId="77777777" w:rsidTr="00ED41A4">
        <w:trPr>
          <w:trHeight w:val="567"/>
        </w:trPr>
        <w:tc>
          <w:tcPr>
            <w:tcW w:w="817" w:type="dxa"/>
            <w:shd w:val="clear" w:color="auto" w:fill="E0E0E0"/>
            <w:noWrap/>
            <w:vAlign w:val="center"/>
          </w:tcPr>
          <w:p w14:paraId="48391A04" w14:textId="77777777" w:rsidR="00665988" w:rsidRDefault="002C154A">
            <w:pPr>
              <w:spacing w:before="0" w:after="0"/>
              <w:jc w:val="left"/>
              <w:rPr>
                <w:rFonts w:ascii="Times New Roman" w:hAnsi="Times New Roman"/>
                <w:szCs w:val="20"/>
              </w:rPr>
            </w:pPr>
            <w:r>
              <w:rPr>
                <w:rStyle w:val="InstructionsTabelleText"/>
                <w:rFonts w:ascii="Times New Roman" w:hAnsi="Times New Roman"/>
                <w:szCs w:val="20"/>
              </w:rPr>
              <w:t>Ред</w:t>
            </w:r>
          </w:p>
        </w:tc>
        <w:tc>
          <w:tcPr>
            <w:tcW w:w="7705" w:type="dxa"/>
            <w:shd w:val="clear" w:color="auto" w:fill="E0E0E0"/>
            <w:noWrap/>
            <w:vAlign w:val="center"/>
          </w:tcPr>
          <w:p w14:paraId="51A7E6A4" w14:textId="77777777" w:rsidR="00665988" w:rsidRDefault="002C154A">
            <w:pPr>
              <w:spacing w:before="0" w:after="0"/>
              <w:jc w:val="left"/>
              <w:rPr>
                <w:rFonts w:ascii="Times New Roman" w:hAnsi="Times New Roman"/>
                <w:szCs w:val="20"/>
              </w:rPr>
            </w:pPr>
            <w:r>
              <w:rPr>
                <w:rStyle w:val="InstructionsTabelleText"/>
                <w:rFonts w:ascii="Times New Roman" w:hAnsi="Times New Roman"/>
                <w:szCs w:val="20"/>
              </w:rPr>
              <w:t>Препратки към правни норми и указания</w:t>
            </w:r>
          </w:p>
        </w:tc>
      </w:tr>
      <w:tr w:rsidR="00665988" w14:paraId="5B055368" w14:textId="77777777" w:rsidTr="00ED41A4">
        <w:trPr>
          <w:trHeight w:val="255"/>
        </w:trPr>
        <w:tc>
          <w:tcPr>
            <w:tcW w:w="817" w:type="dxa"/>
            <w:shd w:val="clear" w:color="auto" w:fill="auto"/>
            <w:noWrap/>
          </w:tcPr>
          <w:p w14:paraId="31D865CB" w14:textId="77777777" w:rsidR="00665988"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665988" w:rsidRDefault="002C154A">
            <w:pPr>
              <w:rPr>
                <w:rFonts w:ascii="Times New Roman" w:hAnsi="Times New Roman"/>
                <w:b/>
                <w:szCs w:val="20"/>
                <w:u w:val="single"/>
              </w:rPr>
            </w:pPr>
            <w:r>
              <w:rPr>
                <w:rFonts w:ascii="Times New Roman" w:hAnsi="Times New Roman"/>
                <w:b/>
                <w:szCs w:val="20"/>
                <w:u w:val="single"/>
              </w:rPr>
              <w:t>1 Общ размер на финансирането</w:t>
            </w:r>
          </w:p>
          <w:p w14:paraId="25D6D292" w14:textId="5B9BFF82" w:rsidR="00665988" w:rsidRDefault="00E42487">
            <w:pPr>
              <w:rPr>
                <w:rFonts w:ascii="Times New Roman" w:hAnsi="Times New Roman"/>
                <w:szCs w:val="20"/>
              </w:rPr>
            </w:pPr>
            <w:r>
              <w:rPr>
                <w:rFonts w:ascii="Times New Roman" w:hAnsi="Times New Roman"/>
                <w:szCs w:val="20"/>
              </w:rPr>
              <w:t>Общият обем и среднопретегленият спред на цялото финансиране се изчисляват за всеки от посочените по-долу срокове:</w:t>
            </w:r>
          </w:p>
          <w:p w14:paraId="3D5903C1" w14:textId="2E3AE74B" w:rsidR="00665988" w:rsidRDefault="00CD20D9">
            <w:pPr>
              <w:pStyle w:val="InstructionsText2"/>
              <w:numPr>
                <w:ilvl w:val="1"/>
                <w:numId w:val="12"/>
              </w:numPr>
            </w:pPr>
            <w:r>
              <w:t>овърнайт (колони 010 и 020);</w:t>
            </w:r>
          </w:p>
          <w:p w14:paraId="1AF1DF5A" w14:textId="5A7F3FB2" w:rsidR="00665988" w:rsidRDefault="00CD20D9">
            <w:pPr>
              <w:pStyle w:val="InstructionsText2"/>
              <w:numPr>
                <w:ilvl w:val="1"/>
                <w:numId w:val="12"/>
              </w:numPr>
            </w:pPr>
            <w:r>
              <w:t>по-голям от овърнайт и п</w:t>
            </w:r>
            <w:r w:rsidR="002446E5">
              <w:t>о-малък или равен на 1 седмица</w:t>
            </w:r>
            <w:r w:rsidR="002446E5" w:rsidRPr="002446E5">
              <w:t xml:space="preserve"> — в </w:t>
            </w:r>
            <w:r w:rsidR="002446E5">
              <w:t>колони 030 и 040</w:t>
            </w:r>
            <w:r>
              <w:t>;</w:t>
            </w:r>
          </w:p>
          <w:p w14:paraId="4C124A2C" w14:textId="4367A273" w:rsidR="00665988" w:rsidRDefault="00CD20D9">
            <w:pPr>
              <w:pStyle w:val="InstructionsText2"/>
              <w:numPr>
                <w:ilvl w:val="1"/>
                <w:numId w:val="12"/>
              </w:numPr>
            </w:pPr>
            <w:r>
              <w:t xml:space="preserve">по-голям от 1 седмица и по-малък или </w:t>
            </w:r>
            <w:r w:rsidR="002446E5">
              <w:t>равен на 1 месец</w:t>
            </w:r>
            <w:r w:rsidR="002446E5" w:rsidRPr="002446E5">
              <w:t xml:space="preserve"> — в </w:t>
            </w:r>
            <w:r w:rsidR="002446E5">
              <w:t>колони 050 и 060</w:t>
            </w:r>
            <w:r>
              <w:t>;</w:t>
            </w:r>
          </w:p>
          <w:p w14:paraId="74B468F3" w14:textId="53F8A09A" w:rsidR="00665988" w:rsidRDefault="00CD20D9">
            <w:pPr>
              <w:pStyle w:val="InstructionsText2"/>
              <w:numPr>
                <w:ilvl w:val="1"/>
                <w:numId w:val="12"/>
              </w:numPr>
            </w:pPr>
            <w:r>
              <w:t xml:space="preserve">по-голям от 1 месец и </w:t>
            </w:r>
            <w:r w:rsidR="002446E5">
              <w:t>по-малък или равен на 3 месеца</w:t>
            </w:r>
            <w:r w:rsidR="002446E5" w:rsidRPr="002446E5">
              <w:t xml:space="preserve"> — в </w:t>
            </w:r>
            <w:r w:rsidR="002446E5">
              <w:t>колони 070 и 080</w:t>
            </w:r>
            <w:r>
              <w:t>;</w:t>
            </w:r>
          </w:p>
          <w:p w14:paraId="482B32DB" w14:textId="20ED2707" w:rsidR="00665988" w:rsidRDefault="00CD20D9">
            <w:pPr>
              <w:pStyle w:val="InstructionsText2"/>
              <w:numPr>
                <w:ilvl w:val="1"/>
                <w:numId w:val="12"/>
              </w:numPr>
            </w:pPr>
            <w:r>
              <w:t xml:space="preserve">по-голям от 3 месеца и </w:t>
            </w:r>
            <w:r w:rsidR="002446E5">
              <w:t>по-малък или равен на 6 месеца</w:t>
            </w:r>
            <w:r w:rsidR="002446E5" w:rsidRPr="002446E5">
              <w:t xml:space="preserve"> — в </w:t>
            </w:r>
            <w:r w:rsidR="002446E5">
              <w:t>колони 090 и 100</w:t>
            </w:r>
            <w:r>
              <w:t>;</w:t>
            </w:r>
          </w:p>
          <w:p w14:paraId="3C4AC9B6" w14:textId="768BFF34" w:rsidR="00665988" w:rsidRDefault="00CD20D9">
            <w:pPr>
              <w:pStyle w:val="InstructionsText2"/>
              <w:numPr>
                <w:ilvl w:val="1"/>
                <w:numId w:val="12"/>
              </w:numPr>
            </w:pPr>
            <w:r>
              <w:t xml:space="preserve">по-голям от 6 месеца и </w:t>
            </w:r>
            <w:r w:rsidR="002446E5">
              <w:t>по-малък или равен на 1 година</w:t>
            </w:r>
            <w:r w:rsidR="002446E5" w:rsidRPr="002446E5">
              <w:t xml:space="preserve"> — в </w:t>
            </w:r>
            <w:r w:rsidR="002446E5">
              <w:t>колони 110 и 120</w:t>
            </w:r>
            <w:r>
              <w:t>;</w:t>
            </w:r>
          </w:p>
          <w:p w14:paraId="1C290FE7" w14:textId="0945061E" w:rsidR="00665988" w:rsidRDefault="00CD20D9">
            <w:pPr>
              <w:pStyle w:val="InstructionsText2"/>
              <w:numPr>
                <w:ilvl w:val="1"/>
                <w:numId w:val="12"/>
              </w:numPr>
            </w:pPr>
            <w:r>
              <w:t>по-голям от 1 година и по-малък или равен на 2 години</w:t>
            </w:r>
            <w:r w:rsidR="002446E5" w:rsidRPr="002446E5">
              <w:t xml:space="preserve"> — в </w:t>
            </w:r>
            <w:r w:rsidR="002446E5">
              <w:t>колони 130 и 140</w:t>
            </w:r>
            <w:r>
              <w:t>;</w:t>
            </w:r>
          </w:p>
          <w:p w14:paraId="6E53E104" w14:textId="25DDB017" w:rsidR="00665988" w:rsidRDefault="00CD20D9">
            <w:pPr>
              <w:pStyle w:val="InstructionsText2"/>
              <w:numPr>
                <w:ilvl w:val="1"/>
                <w:numId w:val="12"/>
              </w:numPr>
            </w:pPr>
            <w:r>
              <w:t>по-голям от 2 година и по-малък или раве</w:t>
            </w:r>
            <w:r w:rsidR="002446E5">
              <w:t xml:space="preserve">н на 5 </w:t>
            </w:r>
            <w:r w:rsidR="002446E5" w:rsidRPr="002446E5">
              <w:t xml:space="preserve">години — в </w:t>
            </w:r>
            <w:r w:rsidR="002446E5">
              <w:t>колони 150 и 160</w:t>
            </w:r>
            <w:r>
              <w:t>;</w:t>
            </w:r>
          </w:p>
          <w:p w14:paraId="22EC36F6" w14:textId="43215616" w:rsidR="00665988" w:rsidRDefault="00CD20D9">
            <w:pPr>
              <w:pStyle w:val="InstructionsText2"/>
              <w:numPr>
                <w:ilvl w:val="1"/>
                <w:numId w:val="12"/>
              </w:numPr>
            </w:pPr>
            <w:r>
              <w:t>по-голям от 5 година и по-малък или равен</w:t>
            </w:r>
            <w:r w:rsidR="002446E5">
              <w:t xml:space="preserve"> на 10 години</w:t>
            </w:r>
            <w:r w:rsidR="002446E5" w:rsidRPr="002446E5">
              <w:t xml:space="preserve"> — в </w:t>
            </w:r>
            <w:r w:rsidR="002446E5">
              <w:t>колони 170 и 180</w:t>
            </w:r>
            <w:r>
              <w:t>.</w:t>
            </w:r>
          </w:p>
        </w:tc>
      </w:tr>
      <w:tr w:rsidR="00665988" w14:paraId="2F05E0FC" w14:textId="77777777" w:rsidTr="00ED41A4">
        <w:trPr>
          <w:trHeight w:val="255"/>
        </w:trPr>
        <w:tc>
          <w:tcPr>
            <w:tcW w:w="817" w:type="dxa"/>
            <w:shd w:val="clear" w:color="auto" w:fill="auto"/>
            <w:noWrap/>
          </w:tcPr>
          <w:p w14:paraId="765DA707" w14:textId="77777777" w:rsidR="00665988" w:rsidRDefault="00AF1439">
            <w:pPr>
              <w:spacing w:before="0" w:after="0"/>
              <w:jc w:val="left"/>
              <w:rPr>
                <w:rFonts w:ascii="Times New Roman" w:hAnsi="Times New Roman"/>
                <w:szCs w:val="20"/>
              </w:rPr>
            </w:pPr>
            <w:r>
              <w:rPr>
                <w:rFonts w:ascii="Times New Roman" w:hAnsi="Times New Roman"/>
                <w:szCs w:val="20"/>
              </w:rPr>
              <w:t>020</w:t>
            </w:r>
          </w:p>
        </w:tc>
        <w:tc>
          <w:tcPr>
            <w:tcW w:w="7705" w:type="dxa"/>
            <w:shd w:val="clear" w:color="auto" w:fill="auto"/>
            <w:noWrap/>
          </w:tcPr>
          <w:p w14:paraId="01DDA71E" w14:textId="5264247F" w:rsidR="00665988" w:rsidRDefault="002C154A">
            <w:pPr>
              <w:rPr>
                <w:rFonts w:ascii="Times New Roman" w:hAnsi="Times New Roman"/>
                <w:b/>
                <w:szCs w:val="20"/>
                <w:u w:val="single"/>
              </w:rPr>
            </w:pPr>
            <w:r>
              <w:rPr>
                <w:rFonts w:ascii="Times New Roman" w:hAnsi="Times New Roman"/>
                <w:b/>
                <w:szCs w:val="20"/>
                <w:u w:val="single"/>
              </w:rPr>
              <w:t>1.1 в т.ч.: Финансиране на дребно</w:t>
            </w:r>
          </w:p>
          <w:p w14:paraId="2F60C8D8" w14:textId="2FA8A3BB" w:rsidR="00665988" w:rsidRDefault="00CE333E">
            <w:pPr>
              <w:rPr>
                <w:rFonts w:ascii="Times New Roman" w:hAnsi="Times New Roman"/>
                <w:szCs w:val="20"/>
              </w:rPr>
            </w:pPr>
            <w:r>
              <w:rPr>
                <w:rFonts w:ascii="Times New Roman" w:hAnsi="Times New Roman"/>
                <w:szCs w:val="20"/>
              </w:rPr>
              <w:t>От общия размер на финансирането, докладвано по позиция 1, се посочват общият обем и среднопретегленият спред на полученото финансиране на дребно.</w:t>
            </w:r>
          </w:p>
        </w:tc>
      </w:tr>
      <w:tr w:rsidR="00665988" w14:paraId="2AEBF8C4" w14:textId="77777777" w:rsidTr="00ED41A4">
        <w:trPr>
          <w:trHeight w:val="255"/>
        </w:trPr>
        <w:tc>
          <w:tcPr>
            <w:tcW w:w="817" w:type="dxa"/>
            <w:shd w:val="clear" w:color="auto" w:fill="auto"/>
            <w:noWrap/>
          </w:tcPr>
          <w:p w14:paraId="0F94FE37" w14:textId="77777777" w:rsidR="00665988"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665988" w:rsidRDefault="00AF1439">
            <w:pPr>
              <w:rPr>
                <w:rFonts w:ascii="Times New Roman" w:hAnsi="Times New Roman"/>
                <w:b/>
                <w:szCs w:val="20"/>
                <w:u w:val="single"/>
              </w:rPr>
            </w:pPr>
            <w:r>
              <w:rPr>
                <w:rFonts w:ascii="Times New Roman" w:hAnsi="Times New Roman"/>
                <w:b/>
                <w:szCs w:val="20"/>
                <w:u w:val="single"/>
              </w:rPr>
              <w:t>1.2 в т.ч.: Необезпечено финансиране на едро</w:t>
            </w:r>
          </w:p>
          <w:p w14:paraId="49C52367" w14:textId="79C0122B" w:rsidR="00665988" w:rsidRDefault="00AF1439">
            <w:pPr>
              <w:rPr>
                <w:rFonts w:ascii="Times New Roman" w:hAnsi="Times New Roman"/>
                <w:szCs w:val="20"/>
              </w:rPr>
            </w:pPr>
            <w:r>
              <w:rPr>
                <w:rFonts w:ascii="Times New Roman" w:hAnsi="Times New Roman"/>
                <w:szCs w:val="20"/>
              </w:rPr>
              <w:t>От общия размер на финансирането, докладвано по позиция 1, се посочват общият обем и среднопретегленият спред на полученото финансиране на дребно.</w:t>
            </w:r>
          </w:p>
        </w:tc>
      </w:tr>
      <w:tr w:rsidR="00665988" w14:paraId="6186F1AE" w14:textId="77777777" w:rsidTr="00ED41A4">
        <w:trPr>
          <w:trHeight w:val="255"/>
        </w:trPr>
        <w:tc>
          <w:tcPr>
            <w:tcW w:w="817" w:type="dxa"/>
            <w:shd w:val="clear" w:color="auto" w:fill="auto"/>
            <w:noWrap/>
          </w:tcPr>
          <w:p w14:paraId="39B34295" w14:textId="77777777" w:rsidR="00665988"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665988" w:rsidRDefault="00DD5897">
            <w:pPr>
              <w:rPr>
                <w:rFonts w:ascii="Times New Roman" w:hAnsi="Times New Roman"/>
                <w:b/>
                <w:szCs w:val="20"/>
                <w:u w:val="single"/>
              </w:rPr>
            </w:pPr>
            <w:r>
              <w:rPr>
                <w:rFonts w:ascii="Times New Roman" w:hAnsi="Times New Roman"/>
                <w:b/>
                <w:szCs w:val="20"/>
                <w:u w:val="single"/>
              </w:rPr>
              <w:t>1.3 в т.ч.: Обезпечено финансиране</w:t>
            </w:r>
          </w:p>
          <w:p w14:paraId="1193789E" w14:textId="77777777" w:rsidR="00665988" w:rsidRDefault="00CE333E">
            <w:pPr>
              <w:rPr>
                <w:rFonts w:ascii="Times New Roman" w:hAnsi="Times New Roman"/>
                <w:b/>
                <w:szCs w:val="20"/>
                <w:u w:val="single"/>
              </w:rPr>
            </w:pPr>
            <w:r>
              <w:rPr>
                <w:rFonts w:ascii="Times New Roman" w:hAnsi="Times New Roman"/>
                <w:szCs w:val="20"/>
              </w:rPr>
              <w:t>От общия размер на финансирането, докладвано по позиция 1, се посочват общият обем и среднопретегленият спред на полученото обезпечено финансиране.</w:t>
            </w:r>
          </w:p>
        </w:tc>
      </w:tr>
      <w:tr w:rsidR="00665988" w14:paraId="1D56DA27" w14:textId="77777777" w:rsidTr="00ED41A4">
        <w:trPr>
          <w:trHeight w:val="255"/>
        </w:trPr>
        <w:tc>
          <w:tcPr>
            <w:tcW w:w="817" w:type="dxa"/>
            <w:shd w:val="clear" w:color="auto" w:fill="auto"/>
            <w:noWrap/>
          </w:tcPr>
          <w:p w14:paraId="10F28777" w14:textId="77777777" w:rsidR="00665988"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665988" w:rsidRDefault="002C154A">
            <w:pPr>
              <w:rPr>
                <w:rFonts w:ascii="Times New Roman" w:hAnsi="Times New Roman"/>
                <w:b/>
                <w:szCs w:val="20"/>
                <w:u w:val="single"/>
              </w:rPr>
            </w:pPr>
            <w:r>
              <w:rPr>
                <w:rFonts w:ascii="Times New Roman" w:hAnsi="Times New Roman"/>
                <w:b/>
                <w:szCs w:val="20"/>
                <w:u w:val="single"/>
              </w:rPr>
              <w:t>1.4 в т.ч.: първостепенни необезпечени ценни книжа</w:t>
            </w:r>
          </w:p>
          <w:p w14:paraId="14410483" w14:textId="77777777" w:rsidR="00665988" w:rsidRDefault="00CE333E">
            <w:pPr>
              <w:rPr>
                <w:rFonts w:ascii="Times New Roman" w:hAnsi="Times New Roman"/>
                <w:b/>
                <w:szCs w:val="20"/>
                <w:u w:val="single"/>
              </w:rPr>
            </w:pPr>
            <w:r>
              <w:rPr>
                <w:rFonts w:ascii="Times New Roman" w:hAnsi="Times New Roman"/>
                <w:szCs w:val="20"/>
              </w:rPr>
              <w:t>От общия размер на финансирането, докладвано по позиция 1, се посочват общият обем и среднопретегленият спред на получените първостепенни необезпечени ценни книжа.</w:t>
            </w:r>
          </w:p>
        </w:tc>
      </w:tr>
      <w:tr w:rsidR="00665988" w14:paraId="28F41CB6" w14:textId="77777777" w:rsidTr="00ED41A4">
        <w:trPr>
          <w:trHeight w:val="255"/>
        </w:trPr>
        <w:tc>
          <w:tcPr>
            <w:tcW w:w="817" w:type="dxa"/>
            <w:shd w:val="clear" w:color="auto" w:fill="auto"/>
            <w:noWrap/>
          </w:tcPr>
          <w:p w14:paraId="27FBC55D" w14:textId="77777777" w:rsidR="00665988"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665988" w:rsidRDefault="002C154A">
            <w:pPr>
              <w:rPr>
                <w:rFonts w:ascii="Times New Roman" w:hAnsi="Times New Roman"/>
                <w:b/>
                <w:szCs w:val="20"/>
                <w:u w:val="single"/>
              </w:rPr>
            </w:pPr>
            <w:r>
              <w:rPr>
                <w:rFonts w:ascii="Times New Roman" w:hAnsi="Times New Roman"/>
                <w:b/>
                <w:szCs w:val="20"/>
                <w:u w:val="single"/>
              </w:rPr>
              <w:t>1.5 в т.ч.: покрити облигации</w:t>
            </w:r>
          </w:p>
          <w:p w14:paraId="2AEEDF2A" w14:textId="77777777" w:rsidR="00665988" w:rsidRDefault="00CE333E">
            <w:pPr>
              <w:rPr>
                <w:rFonts w:ascii="Times New Roman" w:hAnsi="Times New Roman"/>
                <w:b/>
                <w:szCs w:val="20"/>
                <w:u w:val="single"/>
              </w:rPr>
            </w:pPr>
            <w:r>
              <w:rPr>
                <w:rFonts w:ascii="Times New Roman" w:hAnsi="Times New Roman"/>
                <w:szCs w:val="20"/>
              </w:rPr>
              <w:t>От общия размер на финансирането, докладвано по позиция 1, се посочват общият обем и среднопретегленият спред на всички емитирани обезпечени облигации, които обременяват с тежести собствените активи на институцията.</w:t>
            </w:r>
          </w:p>
        </w:tc>
      </w:tr>
      <w:tr w:rsidR="00665988" w14:paraId="7E2EC114" w14:textId="77777777" w:rsidTr="00ED41A4">
        <w:trPr>
          <w:trHeight w:val="255"/>
        </w:trPr>
        <w:tc>
          <w:tcPr>
            <w:tcW w:w="817" w:type="dxa"/>
            <w:shd w:val="clear" w:color="auto" w:fill="auto"/>
            <w:noWrap/>
          </w:tcPr>
          <w:p w14:paraId="37FE37EA" w14:textId="77777777" w:rsidR="00665988"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665988" w:rsidRDefault="002C154A">
            <w:pPr>
              <w:rPr>
                <w:rFonts w:ascii="Times New Roman" w:hAnsi="Times New Roman"/>
                <w:b/>
                <w:szCs w:val="20"/>
                <w:u w:val="single"/>
              </w:rPr>
            </w:pPr>
            <w:r>
              <w:rPr>
                <w:rFonts w:ascii="Times New Roman" w:hAnsi="Times New Roman"/>
                <w:b/>
                <w:szCs w:val="20"/>
                <w:u w:val="single"/>
              </w:rPr>
              <w:t>1.6 в т.ч.: ценни книжа, обезпечени с активи, вкл. търговски книжа, обезпечени с активи</w:t>
            </w:r>
          </w:p>
          <w:p w14:paraId="44C96B86" w14:textId="77777777" w:rsidR="00665988" w:rsidRDefault="00CE333E">
            <w:pPr>
              <w:rPr>
                <w:rFonts w:ascii="Times New Roman" w:hAnsi="Times New Roman"/>
                <w:b/>
                <w:szCs w:val="20"/>
                <w:u w:val="single"/>
              </w:rPr>
            </w:pPr>
            <w:r>
              <w:rPr>
                <w:rFonts w:ascii="Times New Roman" w:hAnsi="Times New Roman"/>
                <w:szCs w:val="20"/>
              </w:rPr>
              <w:t xml:space="preserve">От общия размер на финансирането, докладвано по позиция 1, се посочват общият обем и среднопретегленият спред на емитираните ценни книжа, обезпечени с активи, </w:t>
            </w:r>
            <w:r>
              <w:rPr>
                <w:rFonts w:ascii="Times New Roman" w:hAnsi="Times New Roman"/>
                <w:szCs w:val="20"/>
              </w:rPr>
              <w:lastRenderedPageBreak/>
              <w:t>включително търговски книжа, обезпечени с активи.</w:t>
            </w:r>
          </w:p>
        </w:tc>
      </w:tr>
    </w:tbl>
    <w:p w14:paraId="5029EEE5" w14:textId="77777777" w:rsidR="00665988" w:rsidRDefault="00665988">
      <w:pPr>
        <w:pStyle w:val="InstructionsText"/>
        <w:rPr>
          <w:rStyle w:val="InstructionsTabelleText"/>
          <w:rFonts w:ascii="Times New Roman" w:hAnsi="Times New Roman"/>
          <w:u w:val="none"/>
        </w:rPr>
      </w:pPr>
    </w:p>
    <w:p w14:paraId="63E17173" w14:textId="77777777" w:rsidR="00665988"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Подновяване на финансирането (C 70.00)</w:t>
      </w:r>
    </w:p>
    <w:p w14:paraId="5ACA258A" w14:textId="276B9622" w:rsidR="00665988" w:rsidRDefault="00DD5897">
      <w:pPr>
        <w:pStyle w:val="InstructionsText2"/>
        <w:numPr>
          <w:ilvl w:val="0"/>
          <w:numId w:val="8"/>
        </w:numPr>
        <w:rPr>
          <w:u w:val="none"/>
        </w:rPr>
      </w:pPr>
      <w:r>
        <w:rPr>
          <w:u w:val="none"/>
        </w:rPr>
        <w:t>Този образец е предназначен за събиране на информация относно обема на средствата с настъпващ падеж и полученото ново финансиране, т.е. „подновяването на финансирането“, ежеднев</w:t>
      </w:r>
      <w:bookmarkStart w:id="0" w:name="_GoBack"/>
      <w:bookmarkEnd w:id="0"/>
      <w:r>
        <w:rPr>
          <w:u w:val="none"/>
        </w:rPr>
        <w:t>но в рамките на месеца, предхождащ датата на докладване.</w:t>
      </w:r>
    </w:p>
    <w:p w14:paraId="180EF408" w14:textId="5A266611" w:rsidR="00665988" w:rsidRDefault="00DB3C37">
      <w:pPr>
        <w:pStyle w:val="InstructionsText2"/>
        <w:numPr>
          <w:ilvl w:val="0"/>
          <w:numId w:val="8"/>
        </w:numPr>
        <w:rPr>
          <w:u w:val="none"/>
        </w:rPr>
      </w:pPr>
      <w:r>
        <w:rPr>
          <w:u w:val="none"/>
        </w:rPr>
        <w:t>Финансирането с настъпващ падеж се докладва, в календарни дни, от институциите в следните времеви интервали според първоначалния срок до падежа:</w:t>
      </w:r>
    </w:p>
    <w:p w14:paraId="10B482AB" w14:textId="03BD4C87" w:rsidR="00665988" w:rsidRDefault="007E79B2">
      <w:pPr>
        <w:pStyle w:val="InstructionsText2"/>
        <w:numPr>
          <w:ilvl w:val="1"/>
          <w:numId w:val="5"/>
        </w:numPr>
        <w:ind w:left="1276" w:hanging="283"/>
        <w:rPr>
          <w:u w:val="none"/>
        </w:rPr>
      </w:pPr>
      <w:r>
        <w:rPr>
          <w:u w:val="none"/>
        </w:rPr>
        <w:t>овърнайт — в колони 010—040</w:t>
      </w:r>
      <w:r w:rsidR="00237D15">
        <w:rPr>
          <w:u w:val="none"/>
        </w:rPr>
        <w:t>;</w:t>
      </w:r>
    </w:p>
    <w:p w14:paraId="78059097" w14:textId="20E1DE40" w:rsidR="00665988" w:rsidRDefault="007E79B2">
      <w:pPr>
        <w:pStyle w:val="InstructionsText2"/>
        <w:numPr>
          <w:ilvl w:val="1"/>
          <w:numId w:val="5"/>
        </w:numPr>
        <w:ind w:left="1276" w:hanging="283"/>
        <w:rPr>
          <w:u w:val="none"/>
        </w:rPr>
      </w:pPr>
      <w:r>
        <w:rPr>
          <w:u w:val="none"/>
        </w:rPr>
        <w:t>между 1 и 7 дни — в колони 050—080</w:t>
      </w:r>
      <w:r w:rsidR="00237D15">
        <w:rPr>
          <w:u w:val="none"/>
        </w:rPr>
        <w:t>;</w:t>
      </w:r>
    </w:p>
    <w:p w14:paraId="0888F316" w14:textId="2933395F" w:rsidR="00665988" w:rsidRDefault="007E79B2">
      <w:pPr>
        <w:pStyle w:val="InstructionsText2"/>
        <w:numPr>
          <w:ilvl w:val="1"/>
          <w:numId w:val="5"/>
        </w:numPr>
        <w:ind w:left="1276" w:hanging="283"/>
        <w:rPr>
          <w:u w:val="none"/>
        </w:rPr>
      </w:pPr>
      <w:r>
        <w:rPr>
          <w:u w:val="none"/>
        </w:rPr>
        <w:t>между 7 и 14 дни — в колони 090—</w:t>
      </w:r>
      <w:r w:rsidR="00515F26">
        <w:rPr>
          <w:u w:val="none"/>
        </w:rPr>
        <w:t>120</w:t>
      </w:r>
      <w:r w:rsidR="00237D15">
        <w:rPr>
          <w:u w:val="none"/>
        </w:rPr>
        <w:t>;</w:t>
      </w:r>
    </w:p>
    <w:p w14:paraId="08E23AA2" w14:textId="6C762FF9" w:rsidR="00665988" w:rsidRDefault="00237D15">
      <w:pPr>
        <w:pStyle w:val="InstructionsText2"/>
        <w:numPr>
          <w:ilvl w:val="1"/>
          <w:numId w:val="5"/>
        </w:numPr>
        <w:ind w:left="1276" w:hanging="283"/>
        <w:rPr>
          <w:u w:val="none"/>
        </w:rPr>
      </w:pPr>
      <w:r>
        <w:rPr>
          <w:u w:val="none"/>
        </w:rPr>
        <w:t>меж</w:t>
      </w:r>
      <w:r w:rsidR="007E79B2">
        <w:rPr>
          <w:u w:val="none"/>
        </w:rPr>
        <w:t>ду 14 дни и 1 месец — в колони 130—160</w:t>
      </w:r>
      <w:r>
        <w:rPr>
          <w:u w:val="none"/>
        </w:rPr>
        <w:t>;</w:t>
      </w:r>
    </w:p>
    <w:p w14:paraId="69F00FB2" w14:textId="4ABFBF11" w:rsidR="00665988" w:rsidRDefault="00237D15">
      <w:pPr>
        <w:pStyle w:val="InstructionsText2"/>
        <w:numPr>
          <w:ilvl w:val="1"/>
          <w:numId w:val="5"/>
        </w:numPr>
        <w:ind w:left="1276" w:hanging="283"/>
        <w:rPr>
          <w:u w:val="none"/>
        </w:rPr>
      </w:pPr>
      <w:r>
        <w:rPr>
          <w:u w:val="none"/>
        </w:rPr>
        <w:t>м</w:t>
      </w:r>
      <w:r w:rsidR="007E79B2">
        <w:rPr>
          <w:u w:val="none"/>
        </w:rPr>
        <w:t>ежду 1 и 3 месеца — в колони 170—200</w:t>
      </w:r>
      <w:r>
        <w:rPr>
          <w:u w:val="none"/>
        </w:rPr>
        <w:t>;</w:t>
      </w:r>
    </w:p>
    <w:p w14:paraId="39971E5E" w14:textId="47B77AF9" w:rsidR="00665988" w:rsidRDefault="007E79B2">
      <w:pPr>
        <w:pStyle w:val="InstructionsText2"/>
        <w:numPr>
          <w:ilvl w:val="1"/>
          <w:numId w:val="5"/>
        </w:numPr>
        <w:ind w:left="1276" w:hanging="283"/>
        <w:rPr>
          <w:u w:val="none"/>
        </w:rPr>
      </w:pPr>
      <w:r>
        <w:rPr>
          <w:u w:val="none"/>
        </w:rPr>
        <w:t xml:space="preserve">между 3 и 6 месеца — в </w:t>
      </w:r>
      <w:r w:rsidR="00237D15">
        <w:rPr>
          <w:u w:val="none"/>
        </w:rPr>
        <w:t>колони 210</w:t>
      </w:r>
      <w:r>
        <w:rPr>
          <w:u w:val="none"/>
        </w:rPr>
        <w:t>—240</w:t>
      </w:r>
      <w:r w:rsidR="00237D15">
        <w:rPr>
          <w:u w:val="none"/>
        </w:rPr>
        <w:t>;</w:t>
      </w:r>
    </w:p>
    <w:p w14:paraId="7574DBE7" w14:textId="0B8C02A5" w:rsidR="00665988" w:rsidRDefault="00144FB8">
      <w:pPr>
        <w:pStyle w:val="InstructionsText2"/>
        <w:numPr>
          <w:ilvl w:val="1"/>
          <w:numId w:val="5"/>
        </w:numPr>
        <w:ind w:left="1276" w:hanging="283"/>
        <w:rPr>
          <w:u w:val="none"/>
        </w:rPr>
      </w:pPr>
      <w:r>
        <w:rPr>
          <w:u w:val="none"/>
        </w:rPr>
        <w:t>п</w:t>
      </w:r>
      <w:r w:rsidR="007E79B2">
        <w:rPr>
          <w:u w:val="none"/>
        </w:rPr>
        <w:t>овече от 6 месеца — в колони 250—280</w:t>
      </w:r>
      <w:r>
        <w:rPr>
          <w:u w:val="none"/>
        </w:rPr>
        <w:t>.</w:t>
      </w:r>
    </w:p>
    <w:p w14:paraId="1F25325E" w14:textId="0E268387" w:rsidR="00665988" w:rsidRDefault="00DB3C37">
      <w:pPr>
        <w:pStyle w:val="InstructionsText2"/>
        <w:numPr>
          <w:ilvl w:val="0"/>
          <w:numId w:val="8"/>
        </w:numPr>
        <w:rPr>
          <w:u w:val="none"/>
        </w:rPr>
      </w:pPr>
      <w:r>
        <w:rPr>
          <w:u w:val="none"/>
        </w:rPr>
        <w:t>За всеки времеви интервал, описан в параграф 2 по-горе, сумата с настъпващ падеж се докладва в лявата колона, подновеното финансиране — в колона „Подновяване“, получените нови средства — в колона „Ново финансиране“, а нетната разлика между, от една страна, новите средства плюс подновеното финансиране минус средствата с настъпващ падеж, от друга — в дясната колона.</w:t>
      </w:r>
      <w:r>
        <w:rPr>
          <w:rFonts w:ascii="Verdana" w:hAnsi="Verdana"/>
          <w:u w:val="none"/>
        </w:rPr>
        <w:t xml:space="preserve"> </w:t>
      </w:r>
    </w:p>
    <w:p w14:paraId="710A06F4" w14:textId="219179A7" w:rsidR="00665988" w:rsidRDefault="00DB3C37">
      <w:pPr>
        <w:pStyle w:val="InstructionsText2"/>
        <w:numPr>
          <w:ilvl w:val="0"/>
          <w:numId w:val="8"/>
        </w:numPr>
        <w:rPr>
          <w:u w:val="none"/>
        </w:rPr>
      </w:pPr>
      <w:r>
        <w:rPr>
          <w:u w:val="none"/>
        </w:rPr>
        <w:t>Общият размер на нетните парични потоци се докладва в колона 290 и е равен на сбора от всички колони, в които е докладвана нетна разлика, с номера 040, 080, 120, 160, 200, 240 и 280.</w:t>
      </w:r>
    </w:p>
    <w:p w14:paraId="28B9B16F" w14:textId="51F3D036" w:rsidR="00665988" w:rsidRDefault="00DB3C37">
      <w:pPr>
        <w:pStyle w:val="InstructionsText2"/>
        <w:numPr>
          <w:ilvl w:val="0"/>
          <w:numId w:val="8"/>
        </w:numPr>
        <w:rPr>
          <w:u w:val="none"/>
        </w:rPr>
      </w:pPr>
      <w:r>
        <w:rPr>
          <w:u w:val="none"/>
        </w:rPr>
        <w:t>Средният срок на финансирането, в дни, за средства с настъпващ падеж се докладва в колона 300.</w:t>
      </w:r>
    </w:p>
    <w:p w14:paraId="76D8AD49" w14:textId="16CEB38F" w:rsidR="00665988" w:rsidRDefault="003E371A">
      <w:pPr>
        <w:pStyle w:val="InstructionsText2"/>
        <w:numPr>
          <w:ilvl w:val="0"/>
          <w:numId w:val="8"/>
        </w:numPr>
        <w:rPr>
          <w:u w:val="none"/>
        </w:rPr>
      </w:pPr>
      <w:r>
        <w:rPr>
          <w:u w:val="none"/>
        </w:rPr>
        <w:t>Средният срок на финансирането, в дни, за подновено финансиране се докладва в колона 310.</w:t>
      </w:r>
    </w:p>
    <w:p w14:paraId="717CD209" w14:textId="16BDF091" w:rsidR="00665988" w:rsidRDefault="00DB3C37">
      <w:pPr>
        <w:pStyle w:val="InstructionsText2"/>
        <w:numPr>
          <w:ilvl w:val="0"/>
          <w:numId w:val="8"/>
        </w:numPr>
        <w:rPr>
          <w:u w:val="none"/>
        </w:rPr>
      </w:pPr>
      <w:r>
        <w:rPr>
          <w:u w:val="none"/>
        </w:rPr>
        <w:t xml:space="preserve"> Средният срок на финансирането, в дни, за нови срочни средства се докладва в колона 320.</w:t>
      </w:r>
    </w:p>
    <w:p w14:paraId="5C92A186" w14:textId="6F4BC0FE" w:rsidR="00665988" w:rsidRDefault="00A7751A">
      <w:pPr>
        <w:pStyle w:val="InstructionsText2"/>
        <w:numPr>
          <w:ilvl w:val="0"/>
          <w:numId w:val="8"/>
        </w:numPr>
        <w:rPr>
          <w:u w:val="none"/>
        </w:rPr>
      </w:pPr>
      <w:r>
        <w:rPr>
          <w:u w:val="none"/>
        </w:rPr>
        <w:t>Сумата в колона „Настъпващ падеж“ включва всички пасиви, които договорно е можело да бъдат изтеглени от доставчика на финансирането или са били дължими към съответния ден през периода на докладване. Докладва се винаги с положителен знак.</w:t>
      </w:r>
    </w:p>
    <w:p w14:paraId="004B6E12" w14:textId="0B826D76" w:rsidR="00665988" w:rsidRDefault="00A7751A">
      <w:pPr>
        <w:pStyle w:val="InstructionsText2"/>
        <w:numPr>
          <w:ilvl w:val="0"/>
          <w:numId w:val="8"/>
        </w:numPr>
        <w:rPr>
          <w:u w:val="none"/>
        </w:rPr>
      </w:pPr>
      <w:r>
        <w:rPr>
          <w:u w:val="none"/>
        </w:rPr>
        <w:t>Сумата в колона „Подновяване“ включва сумата с настъпващ падеж съгласно определението в параграфи 2 и 3, която остава в институцията към съответния ден през периода на докладване. Ако срокът до падежа на финансиране се е променил поради подновяване, сумата в колона „Подновяване“ се докладва в съответния времеви интервал според новия срок до падежа.</w:t>
      </w:r>
    </w:p>
    <w:p w14:paraId="68CA5A97" w14:textId="694BA31F" w:rsidR="00665988" w:rsidRDefault="00A7751A">
      <w:pPr>
        <w:pStyle w:val="InstructionsText2"/>
        <w:numPr>
          <w:ilvl w:val="0"/>
          <w:numId w:val="8"/>
        </w:numPr>
        <w:rPr>
          <w:u w:val="none"/>
        </w:rPr>
      </w:pPr>
      <w:r>
        <w:rPr>
          <w:u w:val="none"/>
        </w:rPr>
        <w:t>Сумата в колона „Ново финансиране“ включва фактическите входящи потоци на финансиране към съответния ден през периода на докладване. Докладва се винаги с положителен знак.</w:t>
      </w:r>
    </w:p>
    <w:p w14:paraId="36023996" w14:textId="52F7601E" w:rsidR="00665988" w:rsidRDefault="00A7751A">
      <w:pPr>
        <w:pStyle w:val="InstructionsText2"/>
        <w:numPr>
          <w:ilvl w:val="0"/>
          <w:numId w:val="8"/>
        </w:numPr>
        <w:rPr>
          <w:u w:val="none"/>
        </w:rPr>
      </w:pPr>
      <w:r>
        <w:rPr>
          <w:u w:val="none"/>
        </w:rPr>
        <w:lastRenderedPageBreak/>
        <w:t xml:space="preserve">Чрез сумата в колона „Нетна разлика“ се представя промяната на финансирането в рамките на съответния падежен интервал към съответния ден през периода ма докладване. Изчислява се като към новите средства се добави подновеното финансиране минус средствата с настъпващ падеж.  </w:t>
      </w:r>
    </w:p>
    <w:p w14:paraId="0E67F27B" w14:textId="64F4C758" w:rsidR="00665988" w:rsidRDefault="00ED41A4">
      <w:pPr>
        <w:pStyle w:val="InstructionsText2"/>
        <w:numPr>
          <w:ilvl w:val="0"/>
          <w:numId w:val="8"/>
        </w:numPr>
        <w:rPr>
          <w:u w:val="none"/>
        </w:rPr>
      </w:pPr>
      <w:r>
        <w:rPr>
          <w:u w:val="none"/>
        </w:rPr>
        <w:t>Указания относно конкретни колони: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665988" w14:paraId="24A3446B" w14:textId="77777777" w:rsidTr="005F4FE0">
        <w:trPr>
          <w:trHeight w:val="548"/>
        </w:trPr>
        <w:tc>
          <w:tcPr>
            <w:tcW w:w="729" w:type="pct"/>
            <w:shd w:val="clear" w:color="auto" w:fill="D9D9D9"/>
            <w:noWrap/>
            <w:vAlign w:val="center"/>
          </w:tcPr>
          <w:p w14:paraId="44CE1AFF" w14:textId="77777777" w:rsidR="00665988"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Колона</w:t>
            </w:r>
          </w:p>
        </w:tc>
        <w:tc>
          <w:tcPr>
            <w:tcW w:w="4271" w:type="pct"/>
            <w:shd w:val="clear" w:color="auto" w:fill="D9D9D9"/>
            <w:vAlign w:val="center"/>
          </w:tcPr>
          <w:p w14:paraId="31EE78F6" w14:textId="77777777" w:rsidR="00665988" w:rsidRDefault="00ED41A4">
            <w:pPr>
              <w:spacing w:before="0" w:after="0"/>
              <w:jc w:val="left"/>
              <w:rPr>
                <w:rFonts w:ascii="Times New Roman" w:hAnsi="Times New Roman"/>
                <w:szCs w:val="20"/>
              </w:rPr>
            </w:pPr>
            <w:r>
              <w:rPr>
                <w:rStyle w:val="InstructionsTabelleText"/>
                <w:rFonts w:ascii="Times New Roman" w:hAnsi="Times New Roman"/>
                <w:szCs w:val="20"/>
              </w:rPr>
              <w:t>Препратки към правни норми и указания</w:t>
            </w:r>
          </w:p>
        </w:tc>
      </w:tr>
      <w:tr w:rsidR="00665988" w14:paraId="1F75C2D4" w14:textId="77777777" w:rsidTr="00ED41A4">
        <w:trPr>
          <w:trHeight w:val="765"/>
        </w:trPr>
        <w:tc>
          <w:tcPr>
            <w:tcW w:w="729" w:type="pct"/>
            <w:shd w:val="clear" w:color="auto" w:fill="auto"/>
            <w:noWrap/>
          </w:tcPr>
          <w:p w14:paraId="2684888D" w14:textId="78AB7EA4" w:rsidR="00665988" w:rsidRDefault="00515F26">
            <w:pPr>
              <w:spacing w:before="0" w:after="0"/>
              <w:jc w:val="left"/>
              <w:rPr>
                <w:rFonts w:ascii="Times New Roman" w:hAnsi="Times New Roman"/>
                <w:color w:val="000000"/>
                <w:szCs w:val="20"/>
              </w:rPr>
            </w:pPr>
            <w:r>
              <w:rPr>
                <w:rFonts w:ascii="Times New Roman" w:hAnsi="Times New Roman"/>
                <w:szCs w:val="20"/>
              </w:rPr>
              <w:t>010—</w:t>
            </w:r>
            <w:r w:rsidR="00BD24C1">
              <w:rPr>
                <w:rFonts w:ascii="Times New Roman" w:hAnsi="Times New Roman"/>
                <w:szCs w:val="20"/>
              </w:rPr>
              <w:t>040</w:t>
            </w:r>
          </w:p>
        </w:tc>
        <w:tc>
          <w:tcPr>
            <w:tcW w:w="4271" w:type="pct"/>
            <w:shd w:val="clear" w:color="auto" w:fill="auto"/>
          </w:tcPr>
          <w:p w14:paraId="45774E3B" w14:textId="77777777" w:rsidR="00665988" w:rsidRDefault="00BD24C1">
            <w:pPr>
              <w:rPr>
                <w:rFonts w:ascii="Times New Roman" w:hAnsi="Times New Roman"/>
                <w:b/>
                <w:szCs w:val="20"/>
                <w:u w:val="single"/>
              </w:rPr>
            </w:pPr>
            <w:r>
              <w:rPr>
                <w:rFonts w:ascii="Times New Roman" w:hAnsi="Times New Roman"/>
                <w:b/>
                <w:szCs w:val="20"/>
                <w:u w:val="single"/>
              </w:rPr>
              <w:t>Овърнайт</w:t>
            </w:r>
          </w:p>
          <w:p w14:paraId="0D011271" w14:textId="3E284E08" w:rsidR="00665988" w:rsidRDefault="00ED41A4">
            <w:pPr>
              <w:rPr>
                <w:rFonts w:ascii="Times New Roman" w:hAnsi="Times New Roman"/>
                <w:szCs w:val="20"/>
              </w:rPr>
            </w:pPr>
            <w:r>
              <w:rPr>
                <w:rFonts w:ascii="Times New Roman" w:hAnsi="Times New Roman"/>
                <w:szCs w:val="20"/>
              </w:rPr>
              <w:t>Общият размер на финансирането, чийто падеж настъпва на съответния ден през периода на докладване, с първоначален срок до падежа — овърнайт, се докладва в колона 010 под идентификационни номера 1.1—1.31. За месеци с по-малко от 31 дни, както и за уикенди, редовете, които не са от значение, се оставят празни.</w:t>
            </w:r>
          </w:p>
          <w:p w14:paraId="7D2D26D4" w14:textId="2B464E25" w:rsidR="00665988" w:rsidRDefault="003E371A">
            <w:pPr>
              <w:rPr>
                <w:rFonts w:ascii="Times New Roman" w:hAnsi="Times New Roman"/>
                <w:szCs w:val="20"/>
              </w:rPr>
            </w:pPr>
            <w:r>
              <w:rPr>
                <w:rFonts w:ascii="Times New Roman" w:hAnsi="Times New Roman"/>
                <w:szCs w:val="20"/>
              </w:rPr>
              <w:t>Общият размер на финансирането, подновено на съответния ден през периода на докладване, с първоначален срок до падежа — овърнайт, се докладва в колона 020 под идентификационни номера 1.1—1.31.</w:t>
            </w:r>
          </w:p>
          <w:p w14:paraId="4837928B" w14:textId="43309A16" w:rsidR="00665988" w:rsidRDefault="00ED41A4">
            <w:pPr>
              <w:rPr>
                <w:rFonts w:ascii="Times New Roman" w:hAnsi="Times New Roman"/>
                <w:szCs w:val="20"/>
              </w:rPr>
            </w:pPr>
            <w:r>
              <w:rPr>
                <w:rFonts w:ascii="Times New Roman" w:hAnsi="Times New Roman"/>
                <w:szCs w:val="20"/>
              </w:rPr>
              <w:t>Общият размер на новото финансиране, получено на съответния ден през периода на докладване, с първоначален срок до падежа — овърнайт, се докладва в колона 030 под идентификационни номера 1.1—1.31.</w:t>
            </w:r>
          </w:p>
          <w:p w14:paraId="16FDBE2F" w14:textId="3BEB2550" w:rsidR="00665988" w:rsidRDefault="00ED41A4">
            <w:pPr>
              <w:rPr>
                <w:rFonts w:ascii="Times New Roman" w:hAnsi="Times New Roman"/>
                <w:szCs w:val="20"/>
              </w:rPr>
            </w:pPr>
            <w:r>
              <w:rPr>
                <w:rFonts w:ascii="Times New Roman" w:hAnsi="Times New Roman"/>
                <w:szCs w:val="20"/>
              </w:rPr>
              <w:t>Нетната разлика между, от една страна, ежедневното финансиране с настъпващ падеж и, от друга, подновеното плюс полученото ново ежедневно финансиране се докладва в колона 040 под идентификационни номера 1.1—1.31.</w:t>
            </w:r>
          </w:p>
        </w:tc>
      </w:tr>
      <w:tr w:rsidR="00665988" w14:paraId="66A496F1" w14:textId="77777777" w:rsidTr="00ED41A4">
        <w:trPr>
          <w:trHeight w:val="765"/>
        </w:trPr>
        <w:tc>
          <w:tcPr>
            <w:tcW w:w="729" w:type="pct"/>
            <w:shd w:val="clear" w:color="auto" w:fill="auto"/>
            <w:noWrap/>
          </w:tcPr>
          <w:p w14:paraId="03C009DF" w14:textId="731E74DB" w:rsidR="00665988" w:rsidRDefault="00515F26">
            <w:pPr>
              <w:spacing w:before="0" w:after="0"/>
              <w:jc w:val="left"/>
              <w:rPr>
                <w:rFonts w:ascii="Times New Roman" w:hAnsi="Times New Roman"/>
                <w:color w:val="000000"/>
                <w:szCs w:val="20"/>
              </w:rPr>
            </w:pPr>
            <w:r>
              <w:rPr>
                <w:rFonts w:ascii="Times New Roman" w:hAnsi="Times New Roman"/>
                <w:szCs w:val="20"/>
              </w:rPr>
              <w:t>050—</w:t>
            </w:r>
            <w:r w:rsidR="00BD24C1">
              <w:rPr>
                <w:rFonts w:ascii="Times New Roman" w:hAnsi="Times New Roman"/>
                <w:szCs w:val="20"/>
              </w:rPr>
              <w:t>080</w:t>
            </w:r>
          </w:p>
        </w:tc>
        <w:tc>
          <w:tcPr>
            <w:tcW w:w="4271" w:type="pct"/>
            <w:shd w:val="clear" w:color="auto" w:fill="auto"/>
          </w:tcPr>
          <w:p w14:paraId="79477518" w14:textId="77777777" w:rsidR="00665988" w:rsidRDefault="00ED41A4">
            <w:pPr>
              <w:rPr>
                <w:rFonts w:ascii="Times New Roman" w:hAnsi="Times New Roman"/>
                <w:b/>
                <w:szCs w:val="20"/>
                <w:u w:val="single"/>
              </w:rPr>
            </w:pPr>
            <w:r>
              <w:rPr>
                <w:rFonts w:ascii="Times New Roman" w:hAnsi="Times New Roman"/>
                <w:b/>
                <w:szCs w:val="20"/>
                <w:u w:val="single"/>
              </w:rPr>
              <w:t>&gt; 1 ден ≤ 7 дни</w:t>
            </w:r>
          </w:p>
          <w:p w14:paraId="456405B1" w14:textId="23DE58B7" w:rsidR="00665988" w:rsidRDefault="00ED41A4">
            <w:pPr>
              <w:rPr>
                <w:rFonts w:ascii="Times New Roman" w:hAnsi="Times New Roman"/>
                <w:szCs w:val="20"/>
              </w:rPr>
            </w:pPr>
            <w:r>
              <w:rPr>
                <w:rFonts w:ascii="Times New Roman" w:hAnsi="Times New Roman"/>
                <w:szCs w:val="20"/>
              </w:rPr>
              <w:t>Общият размер на финансирането, чийто падеж настъпва на съответния ден през периода на докладване, с първоначален срок до падежа — между един ден и една седмица, се докладва в колона 050 под идентификационни номера 1.1—1.31. За месеци с по-малко от 31 дни, както и за уикенди, редовете, които не са от значение, се оставят празни.</w:t>
            </w:r>
          </w:p>
          <w:p w14:paraId="293B2767" w14:textId="3A94241F" w:rsidR="00665988" w:rsidRDefault="003E371A">
            <w:pPr>
              <w:rPr>
                <w:rFonts w:ascii="Times New Roman" w:hAnsi="Times New Roman"/>
                <w:szCs w:val="20"/>
              </w:rPr>
            </w:pPr>
            <w:r>
              <w:rPr>
                <w:rFonts w:ascii="Times New Roman" w:hAnsi="Times New Roman"/>
                <w:szCs w:val="20"/>
              </w:rPr>
              <w:t>Общият размер на финансирането, подновено на съответния ден през периода на докладване, с първоначален срок до падежа — между един ден и една седмица, се докладва в колона 060 под идентификационни номера 1.1—1.31.</w:t>
            </w:r>
          </w:p>
          <w:p w14:paraId="5D635490" w14:textId="3FBA5A2E" w:rsidR="00665988" w:rsidRDefault="00ED41A4">
            <w:pPr>
              <w:rPr>
                <w:rFonts w:ascii="Times New Roman" w:hAnsi="Times New Roman"/>
                <w:szCs w:val="20"/>
              </w:rPr>
            </w:pPr>
            <w:r>
              <w:rPr>
                <w:rFonts w:ascii="Times New Roman" w:hAnsi="Times New Roman"/>
                <w:szCs w:val="20"/>
              </w:rPr>
              <w:t>Общият размер на новото финансиране, получено на съответния ден през периода на докладване, с първоначален срок до падежа — между един ден и една седмица, се докладва в колона 70 под идентификационни номера 1.1—1.31.</w:t>
            </w:r>
          </w:p>
          <w:p w14:paraId="46AFF05A" w14:textId="769E0BE0" w:rsidR="00665988" w:rsidRDefault="00ED41A4">
            <w:pPr>
              <w:rPr>
                <w:rFonts w:ascii="Times New Roman" w:hAnsi="Times New Roman"/>
                <w:b/>
                <w:szCs w:val="20"/>
                <w:u w:val="single"/>
              </w:rPr>
            </w:pPr>
            <w:r>
              <w:rPr>
                <w:rFonts w:ascii="Times New Roman" w:hAnsi="Times New Roman"/>
                <w:szCs w:val="20"/>
              </w:rPr>
              <w:t>Нетната разлика между, от една страна, финансирането с настъпващ падеж и, от друга, подновеното плюс полученото ново финансиране се докладва в колона 080 под идентификационни номера 1.1—1.31.</w:t>
            </w:r>
          </w:p>
        </w:tc>
      </w:tr>
      <w:tr w:rsidR="00665988" w14:paraId="7A4EE419" w14:textId="77777777" w:rsidTr="00ED41A4">
        <w:trPr>
          <w:trHeight w:val="765"/>
        </w:trPr>
        <w:tc>
          <w:tcPr>
            <w:tcW w:w="729" w:type="pct"/>
            <w:shd w:val="clear" w:color="auto" w:fill="auto"/>
            <w:noWrap/>
          </w:tcPr>
          <w:p w14:paraId="533F8B1E" w14:textId="2A6101CB" w:rsidR="00665988" w:rsidRDefault="00515F26">
            <w:pPr>
              <w:spacing w:before="0" w:after="0"/>
              <w:jc w:val="left"/>
              <w:rPr>
                <w:rFonts w:ascii="Times New Roman" w:hAnsi="Times New Roman"/>
                <w:color w:val="000000"/>
                <w:szCs w:val="20"/>
              </w:rPr>
            </w:pPr>
            <w:r>
              <w:rPr>
                <w:rFonts w:ascii="Times New Roman" w:hAnsi="Times New Roman"/>
                <w:szCs w:val="20"/>
              </w:rPr>
              <w:t>090—</w:t>
            </w:r>
            <w:r w:rsidR="00BD24C1">
              <w:rPr>
                <w:rFonts w:ascii="Times New Roman" w:hAnsi="Times New Roman"/>
                <w:szCs w:val="20"/>
              </w:rPr>
              <w:t>120</w:t>
            </w:r>
          </w:p>
        </w:tc>
        <w:tc>
          <w:tcPr>
            <w:tcW w:w="4271" w:type="pct"/>
            <w:shd w:val="clear" w:color="auto" w:fill="auto"/>
          </w:tcPr>
          <w:p w14:paraId="47C8E97F" w14:textId="77777777" w:rsidR="00665988" w:rsidRDefault="00ED41A4">
            <w:pPr>
              <w:rPr>
                <w:rFonts w:ascii="Times New Roman" w:hAnsi="Times New Roman"/>
                <w:b/>
                <w:szCs w:val="20"/>
                <w:u w:val="single"/>
              </w:rPr>
            </w:pPr>
            <w:r>
              <w:rPr>
                <w:rFonts w:ascii="Times New Roman" w:hAnsi="Times New Roman"/>
                <w:b/>
                <w:szCs w:val="20"/>
                <w:u w:val="single"/>
              </w:rPr>
              <w:t>&gt; 7 дни ≤ 14 дни</w:t>
            </w:r>
          </w:p>
          <w:p w14:paraId="01B280B0" w14:textId="290C8E5F" w:rsidR="00665988" w:rsidRDefault="007C6B89">
            <w:pPr>
              <w:rPr>
                <w:rFonts w:ascii="Times New Roman" w:hAnsi="Times New Roman"/>
                <w:szCs w:val="20"/>
              </w:rPr>
            </w:pPr>
            <w:r>
              <w:rPr>
                <w:rFonts w:ascii="Times New Roman" w:hAnsi="Times New Roman"/>
                <w:szCs w:val="20"/>
              </w:rPr>
              <w:t>Общият размер на финансирането, чийто падеж настъпва на съответния ден през периода на докладване, с първоначален срок до падежа — между една седмица и две седмици, се докладва в колона 090 под идентификационни номера 1.1—1.31. За месеци с по-малко от 31 дни, както и за уикенди, редовете, които не са от значение, се оставят празни.</w:t>
            </w:r>
          </w:p>
          <w:p w14:paraId="37FF815B" w14:textId="6B227C03" w:rsidR="00665988" w:rsidRDefault="003E371A">
            <w:pPr>
              <w:rPr>
                <w:rFonts w:ascii="Times New Roman" w:hAnsi="Times New Roman"/>
                <w:szCs w:val="20"/>
              </w:rPr>
            </w:pPr>
            <w:r>
              <w:rPr>
                <w:rFonts w:ascii="Times New Roman" w:hAnsi="Times New Roman"/>
                <w:szCs w:val="20"/>
              </w:rPr>
              <w:t>Общият размер на финансирането, подновено на съответния ден през периода на докладване, с първоначален срок до падежа — между една седмица и две седмици, се докладва в колона 100 под идентификационни номера 1.1—1.31.</w:t>
            </w:r>
          </w:p>
          <w:p w14:paraId="60125A59" w14:textId="24FC6F1C" w:rsidR="00665988" w:rsidRDefault="007C6B89">
            <w:pPr>
              <w:rPr>
                <w:rFonts w:ascii="Times New Roman" w:hAnsi="Times New Roman"/>
                <w:szCs w:val="20"/>
              </w:rPr>
            </w:pPr>
            <w:r>
              <w:rPr>
                <w:rFonts w:ascii="Times New Roman" w:hAnsi="Times New Roman"/>
                <w:szCs w:val="20"/>
              </w:rPr>
              <w:t>Общият размер на новото финансиране, получено на съответния ден през периода на докладване, с първоначален срок до падежа — между една седмица и две седмици, се докладва в колона 110 под идентификационни номера 1.1—1.31.</w:t>
            </w:r>
          </w:p>
          <w:p w14:paraId="3B20F474" w14:textId="44677A0A" w:rsidR="00665988" w:rsidRDefault="007C6B89">
            <w:pPr>
              <w:rPr>
                <w:rFonts w:ascii="Times New Roman" w:hAnsi="Times New Roman"/>
                <w:b/>
                <w:szCs w:val="20"/>
                <w:u w:val="single"/>
              </w:rPr>
            </w:pPr>
            <w:r>
              <w:rPr>
                <w:rFonts w:ascii="Times New Roman" w:hAnsi="Times New Roman"/>
                <w:szCs w:val="20"/>
              </w:rPr>
              <w:t xml:space="preserve">Нетната разлика между, от една страна, финансирането с настъпващ падеж и, от </w:t>
            </w:r>
            <w:r>
              <w:rPr>
                <w:rFonts w:ascii="Times New Roman" w:hAnsi="Times New Roman"/>
                <w:szCs w:val="20"/>
              </w:rPr>
              <w:lastRenderedPageBreak/>
              <w:t>друга, подновеното плюс полученото ново финансиране се докладва в колона 120 под идентификационни номера 1.1—1.31.</w:t>
            </w:r>
          </w:p>
        </w:tc>
      </w:tr>
      <w:tr w:rsidR="00665988" w14:paraId="4111D590" w14:textId="77777777" w:rsidTr="00ED41A4">
        <w:trPr>
          <w:trHeight w:val="765"/>
        </w:trPr>
        <w:tc>
          <w:tcPr>
            <w:tcW w:w="729" w:type="pct"/>
            <w:shd w:val="clear" w:color="auto" w:fill="auto"/>
            <w:noWrap/>
          </w:tcPr>
          <w:p w14:paraId="3F918ABE" w14:textId="7FF8BA1B" w:rsidR="00665988" w:rsidRDefault="00515F26">
            <w:pPr>
              <w:spacing w:before="0" w:after="0"/>
              <w:jc w:val="left"/>
              <w:rPr>
                <w:rFonts w:ascii="Times New Roman" w:hAnsi="Times New Roman"/>
                <w:color w:val="000000"/>
                <w:szCs w:val="20"/>
              </w:rPr>
            </w:pPr>
            <w:r>
              <w:rPr>
                <w:rFonts w:ascii="Times New Roman" w:hAnsi="Times New Roman"/>
                <w:szCs w:val="20"/>
              </w:rPr>
              <w:lastRenderedPageBreak/>
              <w:t>130—</w:t>
            </w:r>
            <w:r w:rsidR="00BD24C1">
              <w:rPr>
                <w:rFonts w:ascii="Times New Roman" w:hAnsi="Times New Roman"/>
                <w:szCs w:val="20"/>
              </w:rPr>
              <w:t>160</w:t>
            </w:r>
          </w:p>
        </w:tc>
        <w:tc>
          <w:tcPr>
            <w:tcW w:w="4271" w:type="pct"/>
            <w:shd w:val="clear" w:color="auto" w:fill="auto"/>
          </w:tcPr>
          <w:p w14:paraId="4D847802" w14:textId="77777777" w:rsidR="00665988" w:rsidRDefault="00ED41A4">
            <w:pPr>
              <w:rPr>
                <w:rFonts w:ascii="Times New Roman" w:hAnsi="Times New Roman"/>
                <w:b/>
                <w:szCs w:val="20"/>
                <w:u w:val="single"/>
              </w:rPr>
            </w:pPr>
            <w:r>
              <w:rPr>
                <w:rFonts w:ascii="Times New Roman" w:hAnsi="Times New Roman"/>
                <w:b/>
                <w:szCs w:val="20"/>
                <w:u w:val="single"/>
              </w:rPr>
              <w:t>&gt; 14 дни ≤ 1 месец</w:t>
            </w:r>
          </w:p>
          <w:p w14:paraId="6DFCCE86" w14:textId="56D7C337" w:rsidR="00665988" w:rsidRDefault="007C6B89">
            <w:pPr>
              <w:rPr>
                <w:rFonts w:ascii="Times New Roman" w:hAnsi="Times New Roman"/>
                <w:szCs w:val="20"/>
              </w:rPr>
            </w:pPr>
            <w:r>
              <w:rPr>
                <w:rFonts w:ascii="Times New Roman" w:hAnsi="Times New Roman"/>
                <w:szCs w:val="20"/>
              </w:rPr>
              <w:t>Общият размер на финансирането, чийто падеж настъпва на съответния ден през периода на докладване, с първоначален срок до падежа — между две седмици и един месец, се докладва в колона 130 под идентификационни номера 1.1—1.31. За месеци с по-малко от 31 дни, както и за уикенди, редовете, които не са от значение, се оставят празни.</w:t>
            </w:r>
          </w:p>
          <w:p w14:paraId="168BD6CE" w14:textId="033F4DEE" w:rsidR="00665988" w:rsidRDefault="003E371A">
            <w:pPr>
              <w:rPr>
                <w:rFonts w:ascii="Times New Roman" w:hAnsi="Times New Roman"/>
                <w:szCs w:val="20"/>
              </w:rPr>
            </w:pPr>
            <w:r>
              <w:rPr>
                <w:rFonts w:ascii="Times New Roman" w:hAnsi="Times New Roman"/>
                <w:szCs w:val="20"/>
              </w:rPr>
              <w:t>Общият размер на финансирането, подновено на съответния ден през периода на докладване, с първоначален срок до падежа — между две седмици и един месец, се докладва в колона 140 под идентификационни номера 1.1—1.31.</w:t>
            </w:r>
          </w:p>
          <w:p w14:paraId="0DBC5483" w14:textId="2E9D6540" w:rsidR="00665988" w:rsidRDefault="007C6B89">
            <w:pPr>
              <w:rPr>
                <w:rFonts w:ascii="Times New Roman" w:hAnsi="Times New Roman"/>
                <w:szCs w:val="20"/>
              </w:rPr>
            </w:pPr>
            <w:r>
              <w:rPr>
                <w:rFonts w:ascii="Times New Roman" w:hAnsi="Times New Roman"/>
                <w:szCs w:val="20"/>
              </w:rPr>
              <w:t>Общият размер на новото финансиране, получено на съответния ден през периода на докладване, с първоначален срок до падежа — между две седмици и един месец, се докладва в колона 150 под идентификационни номера 1.1—1.31.</w:t>
            </w:r>
          </w:p>
          <w:p w14:paraId="0D02D77F" w14:textId="63063429" w:rsidR="00665988" w:rsidRDefault="007C6B89">
            <w:pPr>
              <w:rPr>
                <w:rFonts w:ascii="Times New Roman" w:hAnsi="Times New Roman"/>
                <w:b/>
                <w:szCs w:val="20"/>
                <w:u w:val="single"/>
              </w:rPr>
            </w:pPr>
            <w:r>
              <w:rPr>
                <w:rFonts w:ascii="Times New Roman" w:hAnsi="Times New Roman"/>
                <w:szCs w:val="20"/>
              </w:rPr>
              <w:t>Нетната разлика между, от една страна, финансирането с настъпващ падеж и, от друга, подновеното плюс полученото ново финансиране се докладва в колона 160 под идентификационни номера 1.1—1.31.</w:t>
            </w:r>
          </w:p>
        </w:tc>
      </w:tr>
      <w:tr w:rsidR="00665988" w14:paraId="0A45C671" w14:textId="77777777" w:rsidTr="00ED41A4">
        <w:trPr>
          <w:trHeight w:val="765"/>
        </w:trPr>
        <w:tc>
          <w:tcPr>
            <w:tcW w:w="729" w:type="pct"/>
            <w:shd w:val="clear" w:color="auto" w:fill="auto"/>
            <w:noWrap/>
          </w:tcPr>
          <w:p w14:paraId="643AD884" w14:textId="361BA8D9" w:rsidR="00665988" w:rsidRDefault="00515F26">
            <w:pPr>
              <w:spacing w:before="0" w:after="0"/>
              <w:jc w:val="left"/>
              <w:rPr>
                <w:rFonts w:ascii="Times New Roman" w:hAnsi="Times New Roman"/>
                <w:color w:val="000000"/>
                <w:szCs w:val="20"/>
              </w:rPr>
            </w:pPr>
            <w:r>
              <w:rPr>
                <w:rFonts w:ascii="Times New Roman" w:hAnsi="Times New Roman"/>
                <w:szCs w:val="20"/>
              </w:rPr>
              <w:t>170—</w:t>
            </w:r>
            <w:r w:rsidR="00BD24C1">
              <w:rPr>
                <w:rFonts w:ascii="Times New Roman" w:hAnsi="Times New Roman"/>
                <w:szCs w:val="20"/>
              </w:rPr>
              <w:t>200</w:t>
            </w:r>
          </w:p>
        </w:tc>
        <w:tc>
          <w:tcPr>
            <w:tcW w:w="4271" w:type="pct"/>
            <w:shd w:val="clear" w:color="auto" w:fill="auto"/>
          </w:tcPr>
          <w:p w14:paraId="40912CAD" w14:textId="77777777" w:rsidR="00665988" w:rsidRDefault="00ED41A4">
            <w:pPr>
              <w:rPr>
                <w:rFonts w:ascii="Times New Roman" w:hAnsi="Times New Roman"/>
                <w:b/>
                <w:szCs w:val="20"/>
                <w:u w:val="single"/>
              </w:rPr>
            </w:pPr>
            <w:r>
              <w:rPr>
                <w:rFonts w:ascii="Times New Roman" w:hAnsi="Times New Roman"/>
                <w:b/>
                <w:szCs w:val="20"/>
                <w:u w:val="single"/>
              </w:rPr>
              <w:t>&gt; 1 месец ≤ 3 месеца</w:t>
            </w:r>
          </w:p>
          <w:p w14:paraId="1C6BB1D5" w14:textId="18A59A44" w:rsidR="00665988" w:rsidRDefault="007C6B89">
            <w:pPr>
              <w:rPr>
                <w:rFonts w:ascii="Times New Roman" w:hAnsi="Times New Roman"/>
                <w:szCs w:val="20"/>
              </w:rPr>
            </w:pPr>
            <w:r>
              <w:rPr>
                <w:rFonts w:ascii="Times New Roman" w:hAnsi="Times New Roman"/>
                <w:szCs w:val="20"/>
              </w:rPr>
              <w:t>Общият размер на финансирането, чийто падеж настъпва на съответния ден през периода на докладване, с първоначален срок до падежа — между един месец и три месеца, се докладва в колона 170 под идентификационни номера 1.1—1.31. За месеци с по-малко от 31 дни, както и за уикенди, редовете, които не са от значение, се оставят празни.</w:t>
            </w:r>
          </w:p>
          <w:p w14:paraId="6A91E8B5" w14:textId="67420E29" w:rsidR="00665988" w:rsidRDefault="003E371A">
            <w:pPr>
              <w:rPr>
                <w:rFonts w:ascii="Times New Roman" w:hAnsi="Times New Roman"/>
                <w:szCs w:val="20"/>
              </w:rPr>
            </w:pPr>
            <w:r>
              <w:rPr>
                <w:rFonts w:ascii="Times New Roman" w:hAnsi="Times New Roman"/>
                <w:szCs w:val="20"/>
              </w:rPr>
              <w:t>Общият размер на финансирането, подновено на съответния ден през периода на докладване, с първоначален срок до падежа — между един месец и три месеца, се докладва в колона 180 под идентификационни номера 1.1—1.31.</w:t>
            </w:r>
          </w:p>
          <w:p w14:paraId="7A9947A9" w14:textId="6C26176E" w:rsidR="00665988" w:rsidRDefault="007C6B89">
            <w:pPr>
              <w:rPr>
                <w:rFonts w:ascii="Times New Roman" w:hAnsi="Times New Roman"/>
                <w:szCs w:val="20"/>
              </w:rPr>
            </w:pPr>
            <w:r>
              <w:rPr>
                <w:rFonts w:ascii="Times New Roman" w:hAnsi="Times New Roman"/>
                <w:szCs w:val="20"/>
              </w:rPr>
              <w:t>Общият размер на новото финансиране, получено на съответния ден през периода на докладване, с първоначален срок до падежа — между един месец и три месеца, се докладва в колона 190 под идентификационни номера 1.1—1.31.</w:t>
            </w:r>
          </w:p>
          <w:p w14:paraId="655F0B6A" w14:textId="2352C866" w:rsidR="00665988" w:rsidRDefault="007C6B89">
            <w:pPr>
              <w:rPr>
                <w:rFonts w:ascii="Times New Roman" w:hAnsi="Times New Roman"/>
                <w:b/>
                <w:szCs w:val="20"/>
                <w:u w:val="single"/>
              </w:rPr>
            </w:pPr>
            <w:r>
              <w:rPr>
                <w:rFonts w:ascii="Times New Roman" w:hAnsi="Times New Roman"/>
                <w:szCs w:val="20"/>
              </w:rPr>
              <w:t>Нетната разлика между, от една страна, финансирането с настъпващ падеж и, от друга, подновеното плюс полученото ново финансиране се докладва в колона 200 под идентификационни номера 1.1—1.31.</w:t>
            </w:r>
          </w:p>
        </w:tc>
      </w:tr>
      <w:tr w:rsidR="00665988" w14:paraId="0C7B73A0" w14:textId="77777777" w:rsidTr="00ED41A4">
        <w:trPr>
          <w:trHeight w:val="765"/>
        </w:trPr>
        <w:tc>
          <w:tcPr>
            <w:tcW w:w="729" w:type="pct"/>
            <w:shd w:val="clear" w:color="auto" w:fill="auto"/>
            <w:noWrap/>
          </w:tcPr>
          <w:p w14:paraId="31DA83DD" w14:textId="5BA81AE7" w:rsidR="00665988" w:rsidRDefault="00515F26">
            <w:pPr>
              <w:spacing w:before="0" w:after="0"/>
              <w:jc w:val="left"/>
              <w:rPr>
                <w:rFonts w:ascii="Times New Roman" w:hAnsi="Times New Roman"/>
                <w:color w:val="000000"/>
                <w:szCs w:val="20"/>
              </w:rPr>
            </w:pPr>
            <w:r>
              <w:rPr>
                <w:rFonts w:ascii="Times New Roman" w:hAnsi="Times New Roman"/>
                <w:szCs w:val="20"/>
              </w:rPr>
              <w:t>210—</w:t>
            </w:r>
            <w:r w:rsidR="00BD24C1">
              <w:rPr>
                <w:rFonts w:ascii="Times New Roman" w:hAnsi="Times New Roman"/>
                <w:szCs w:val="20"/>
              </w:rPr>
              <w:t>240</w:t>
            </w:r>
          </w:p>
        </w:tc>
        <w:tc>
          <w:tcPr>
            <w:tcW w:w="4271" w:type="pct"/>
            <w:shd w:val="clear" w:color="auto" w:fill="auto"/>
          </w:tcPr>
          <w:p w14:paraId="27019293" w14:textId="77777777" w:rsidR="00665988" w:rsidRDefault="005A40BE">
            <w:pPr>
              <w:rPr>
                <w:rFonts w:ascii="Times New Roman" w:hAnsi="Times New Roman"/>
                <w:b/>
                <w:szCs w:val="20"/>
                <w:u w:val="single"/>
              </w:rPr>
            </w:pPr>
            <w:r>
              <w:rPr>
                <w:rFonts w:ascii="Times New Roman" w:hAnsi="Times New Roman"/>
                <w:b/>
                <w:szCs w:val="20"/>
                <w:u w:val="single"/>
              </w:rPr>
              <w:t>&gt; 3 месеца ≤ 6 месеца</w:t>
            </w:r>
          </w:p>
          <w:p w14:paraId="0260CA5A" w14:textId="10CDCA93" w:rsidR="00665988" w:rsidRDefault="005A40BE">
            <w:pPr>
              <w:rPr>
                <w:rFonts w:ascii="Times New Roman" w:hAnsi="Times New Roman"/>
                <w:szCs w:val="20"/>
              </w:rPr>
            </w:pPr>
            <w:r>
              <w:rPr>
                <w:rFonts w:ascii="Times New Roman" w:hAnsi="Times New Roman"/>
                <w:szCs w:val="20"/>
              </w:rPr>
              <w:t>Общият размер на финансирането, чийто падеж настъпва на съответния ден през периода на докладване, с първоначален срок до падежа — между три месеца и шест месеца, се докладва в колона 210 под идентификационни номера 1.1—1.31. За месеци с по-малко от 31 дни, както и за уикенди, редовете, които не са от значение, се оставят празни.</w:t>
            </w:r>
          </w:p>
          <w:p w14:paraId="563F93F8" w14:textId="56788554" w:rsidR="00665988" w:rsidRDefault="003E371A">
            <w:pPr>
              <w:rPr>
                <w:rFonts w:ascii="Times New Roman" w:hAnsi="Times New Roman"/>
                <w:szCs w:val="20"/>
              </w:rPr>
            </w:pPr>
            <w:r>
              <w:rPr>
                <w:rFonts w:ascii="Times New Roman" w:hAnsi="Times New Roman"/>
                <w:szCs w:val="20"/>
              </w:rPr>
              <w:t>Общият размер на финансирането, подновено на съответния ден през периода на докладване, с първоначален срок до падежа — между три месеца и шест месеца, се докладва в колона 220 под идентификационни номера 1.1—1.31.</w:t>
            </w:r>
          </w:p>
          <w:p w14:paraId="601C708E" w14:textId="41E12978" w:rsidR="00665988" w:rsidRDefault="005A40BE">
            <w:pPr>
              <w:rPr>
                <w:rFonts w:ascii="Times New Roman" w:hAnsi="Times New Roman"/>
                <w:szCs w:val="20"/>
              </w:rPr>
            </w:pPr>
            <w:r>
              <w:rPr>
                <w:rFonts w:ascii="Times New Roman" w:hAnsi="Times New Roman"/>
                <w:szCs w:val="20"/>
              </w:rPr>
              <w:t>Общият размер на новото финансиране, получено на съответния ден през периода на докладване, с първоначален срок до падежа — между три месеца и шест месеца, се докладва в колона 230 под идентификационни номера 1.1—1.31.</w:t>
            </w:r>
          </w:p>
          <w:p w14:paraId="3E16D1CD" w14:textId="796F4B6D" w:rsidR="00665988" w:rsidRDefault="005A40BE">
            <w:pPr>
              <w:rPr>
                <w:rFonts w:ascii="Times New Roman" w:hAnsi="Times New Roman"/>
                <w:b/>
                <w:szCs w:val="20"/>
                <w:u w:val="single"/>
              </w:rPr>
            </w:pPr>
            <w:r>
              <w:rPr>
                <w:rFonts w:ascii="Times New Roman" w:hAnsi="Times New Roman"/>
                <w:szCs w:val="20"/>
              </w:rPr>
              <w:t>Нетната разлика между, от една страна, финансирането с настъпващ падеж и, от друга, подновеното плюс полученото ново финансиране се докладва в колона 240 под идентификационни номера 1.1—1.31.</w:t>
            </w:r>
          </w:p>
        </w:tc>
      </w:tr>
      <w:tr w:rsidR="00665988" w14:paraId="3D6EC655" w14:textId="77777777" w:rsidTr="00ED41A4">
        <w:trPr>
          <w:trHeight w:val="765"/>
        </w:trPr>
        <w:tc>
          <w:tcPr>
            <w:tcW w:w="729" w:type="pct"/>
            <w:shd w:val="clear" w:color="auto" w:fill="auto"/>
            <w:noWrap/>
          </w:tcPr>
          <w:p w14:paraId="770F85E8" w14:textId="3C493EC5" w:rsidR="00665988" w:rsidRDefault="00515F26">
            <w:pPr>
              <w:spacing w:before="0" w:after="0"/>
              <w:jc w:val="left"/>
              <w:rPr>
                <w:rFonts w:ascii="Times New Roman" w:hAnsi="Times New Roman"/>
                <w:color w:val="000000"/>
                <w:szCs w:val="20"/>
              </w:rPr>
            </w:pPr>
            <w:r>
              <w:rPr>
                <w:rFonts w:ascii="Times New Roman" w:hAnsi="Times New Roman"/>
                <w:szCs w:val="20"/>
              </w:rPr>
              <w:lastRenderedPageBreak/>
              <w:t>250—</w:t>
            </w:r>
            <w:r w:rsidR="00BD24C1">
              <w:rPr>
                <w:rFonts w:ascii="Times New Roman" w:hAnsi="Times New Roman"/>
                <w:szCs w:val="20"/>
              </w:rPr>
              <w:t>280</w:t>
            </w:r>
          </w:p>
        </w:tc>
        <w:tc>
          <w:tcPr>
            <w:tcW w:w="4271" w:type="pct"/>
            <w:shd w:val="clear" w:color="auto" w:fill="auto"/>
          </w:tcPr>
          <w:p w14:paraId="29910BBF" w14:textId="77777777" w:rsidR="00665988" w:rsidRDefault="005A40BE">
            <w:pPr>
              <w:rPr>
                <w:rFonts w:ascii="Times New Roman" w:hAnsi="Times New Roman"/>
                <w:b/>
                <w:szCs w:val="20"/>
                <w:u w:val="single"/>
              </w:rPr>
            </w:pPr>
            <w:r>
              <w:rPr>
                <w:rFonts w:ascii="Times New Roman" w:hAnsi="Times New Roman"/>
                <w:b/>
                <w:szCs w:val="20"/>
                <w:u w:val="single"/>
              </w:rPr>
              <w:t>&gt; 6 месеца</w:t>
            </w:r>
          </w:p>
          <w:p w14:paraId="3C7C589B" w14:textId="6F0EC1DA" w:rsidR="00665988" w:rsidRDefault="007C6B89">
            <w:pPr>
              <w:rPr>
                <w:rFonts w:ascii="Times New Roman" w:hAnsi="Times New Roman"/>
                <w:szCs w:val="20"/>
              </w:rPr>
            </w:pPr>
            <w:r>
              <w:rPr>
                <w:rFonts w:ascii="Times New Roman" w:hAnsi="Times New Roman"/>
                <w:szCs w:val="20"/>
              </w:rPr>
              <w:t>Общият размер на финансирането, чийто падеж настъпва на съответния ден през периода на докладване, с първоначален срок до падежа — над шест месеца, се докладва в колона 250 под идентификационни номера 1.1—1.31. За месеци с по-малко от 31 дни, както и за уикенди, редовете, които не са от значение, се оставят празни.</w:t>
            </w:r>
          </w:p>
          <w:p w14:paraId="09601152" w14:textId="7600B6AF" w:rsidR="00665988" w:rsidRDefault="003E371A">
            <w:pPr>
              <w:rPr>
                <w:rFonts w:ascii="Times New Roman" w:hAnsi="Times New Roman"/>
                <w:szCs w:val="20"/>
              </w:rPr>
            </w:pPr>
            <w:r>
              <w:rPr>
                <w:rFonts w:ascii="Times New Roman" w:hAnsi="Times New Roman"/>
                <w:szCs w:val="20"/>
              </w:rPr>
              <w:t>Общият размер на финансирането, подновено на съответния ден през периода на докладване, с първоначален срок до падежа — над шест месеца, се докладва в колона 260 под идентификационни номера 1.1—1.31.</w:t>
            </w:r>
          </w:p>
          <w:p w14:paraId="4585368E" w14:textId="146D4C77" w:rsidR="00665988" w:rsidRDefault="007C6B89">
            <w:pPr>
              <w:rPr>
                <w:rFonts w:ascii="Times New Roman" w:hAnsi="Times New Roman"/>
                <w:szCs w:val="20"/>
              </w:rPr>
            </w:pPr>
            <w:r>
              <w:rPr>
                <w:rFonts w:ascii="Times New Roman" w:hAnsi="Times New Roman"/>
                <w:szCs w:val="20"/>
              </w:rPr>
              <w:t>Общият размер на новото финансиране, получено на съответния ден през периода на докладване, с първоначален срок до падежа — над шест месеца, се докладва в колона 270 под идентификационни номера 1.1—1.31.</w:t>
            </w:r>
          </w:p>
          <w:p w14:paraId="228AAF2B" w14:textId="53878AEC" w:rsidR="00665988" w:rsidRDefault="007C6B89">
            <w:pPr>
              <w:rPr>
                <w:rFonts w:ascii="Times New Roman" w:hAnsi="Times New Roman"/>
                <w:b/>
                <w:szCs w:val="20"/>
                <w:u w:val="single"/>
              </w:rPr>
            </w:pPr>
            <w:r>
              <w:rPr>
                <w:rFonts w:ascii="Times New Roman" w:hAnsi="Times New Roman"/>
                <w:szCs w:val="20"/>
              </w:rPr>
              <w:t>Нетната разлика между, от една страна, финансирането с настъпващ падеж и, от друга, подновеното плюс полученото ново финансиране се докладва в колона 280 под идентификационни номера 1.1—1.31.</w:t>
            </w:r>
          </w:p>
        </w:tc>
      </w:tr>
      <w:tr w:rsidR="00665988" w14:paraId="26CA8238" w14:textId="77777777" w:rsidTr="00ED41A4">
        <w:trPr>
          <w:trHeight w:val="765"/>
        </w:trPr>
        <w:tc>
          <w:tcPr>
            <w:tcW w:w="729" w:type="pct"/>
            <w:shd w:val="clear" w:color="auto" w:fill="auto"/>
            <w:noWrap/>
          </w:tcPr>
          <w:p w14:paraId="5DBB902E" w14:textId="77777777" w:rsidR="00665988" w:rsidRDefault="00BD24C1">
            <w:pPr>
              <w:spacing w:before="0" w:after="0"/>
              <w:jc w:val="left"/>
              <w:rPr>
                <w:rFonts w:ascii="Times New Roman" w:hAnsi="Times New Roman"/>
                <w:color w:val="000000"/>
                <w:szCs w:val="20"/>
              </w:rPr>
            </w:pPr>
            <w:r>
              <w:rPr>
                <w:rFonts w:ascii="Times New Roman" w:hAnsi="Times New Roman"/>
                <w:szCs w:val="20"/>
              </w:rPr>
              <w:t>290</w:t>
            </w:r>
          </w:p>
        </w:tc>
        <w:tc>
          <w:tcPr>
            <w:tcW w:w="4271" w:type="pct"/>
            <w:shd w:val="clear" w:color="auto" w:fill="auto"/>
          </w:tcPr>
          <w:p w14:paraId="7F9724BA" w14:textId="77777777" w:rsidR="00665988" w:rsidRDefault="00ED41A4">
            <w:pPr>
              <w:rPr>
                <w:rFonts w:ascii="Times New Roman" w:hAnsi="Times New Roman"/>
                <w:b/>
                <w:szCs w:val="20"/>
                <w:u w:val="single"/>
              </w:rPr>
            </w:pPr>
            <w:r>
              <w:rPr>
                <w:rFonts w:ascii="Times New Roman" w:hAnsi="Times New Roman"/>
                <w:b/>
                <w:szCs w:val="20"/>
                <w:u w:val="single"/>
              </w:rPr>
              <w:t>Общо нетни парични потоци</w:t>
            </w:r>
          </w:p>
          <w:p w14:paraId="6468E29D" w14:textId="2FE5E4DD" w:rsidR="00665988" w:rsidRDefault="007C6B89">
            <w:pPr>
              <w:rPr>
                <w:rFonts w:ascii="Times New Roman" w:hAnsi="Times New Roman"/>
                <w:b/>
                <w:szCs w:val="20"/>
                <w:u w:val="single"/>
              </w:rPr>
            </w:pPr>
            <w:r>
              <w:rPr>
                <w:rFonts w:ascii="Times New Roman" w:hAnsi="Times New Roman"/>
                <w:szCs w:val="20"/>
              </w:rPr>
              <w:t>Общият размер на нетните парични потоци се докладва в колона 290 и е равен на сбора от всички колони, в които е посочена нетна разлика, с номера 040, 080, 120, 160, 200, 240, 280.</w:t>
            </w:r>
          </w:p>
        </w:tc>
      </w:tr>
      <w:tr w:rsidR="00665988" w14:paraId="18A531BD" w14:textId="77777777" w:rsidTr="00ED41A4">
        <w:trPr>
          <w:trHeight w:val="765"/>
        </w:trPr>
        <w:tc>
          <w:tcPr>
            <w:tcW w:w="729" w:type="pct"/>
            <w:shd w:val="clear" w:color="auto" w:fill="auto"/>
            <w:noWrap/>
          </w:tcPr>
          <w:p w14:paraId="41F26860" w14:textId="6315AADA" w:rsidR="00665988" w:rsidRDefault="00515F26">
            <w:pPr>
              <w:spacing w:before="0" w:after="0"/>
              <w:jc w:val="left"/>
              <w:rPr>
                <w:rFonts w:ascii="Times New Roman" w:hAnsi="Times New Roman"/>
                <w:color w:val="000000"/>
                <w:szCs w:val="20"/>
              </w:rPr>
            </w:pPr>
            <w:r>
              <w:rPr>
                <w:rFonts w:ascii="Times New Roman" w:hAnsi="Times New Roman"/>
                <w:szCs w:val="20"/>
              </w:rPr>
              <w:t>300—</w:t>
            </w:r>
            <w:r w:rsidR="00BD24C1">
              <w:rPr>
                <w:rFonts w:ascii="Times New Roman" w:hAnsi="Times New Roman"/>
                <w:szCs w:val="20"/>
              </w:rPr>
              <w:t>320</w:t>
            </w:r>
          </w:p>
        </w:tc>
        <w:tc>
          <w:tcPr>
            <w:tcW w:w="4271" w:type="pct"/>
            <w:shd w:val="clear" w:color="auto" w:fill="auto"/>
          </w:tcPr>
          <w:p w14:paraId="0B9AF00A" w14:textId="77777777" w:rsidR="00665988" w:rsidRDefault="00ED41A4">
            <w:pPr>
              <w:rPr>
                <w:rFonts w:ascii="Times New Roman" w:hAnsi="Times New Roman"/>
                <w:b/>
                <w:szCs w:val="20"/>
                <w:u w:val="single"/>
              </w:rPr>
            </w:pPr>
            <w:r>
              <w:rPr>
                <w:rFonts w:ascii="Times New Roman" w:hAnsi="Times New Roman"/>
                <w:b/>
                <w:szCs w:val="20"/>
                <w:u w:val="single"/>
              </w:rPr>
              <w:t>Среден срок (в дни)</w:t>
            </w:r>
          </w:p>
          <w:p w14:paraId="51F755D8" w14:textId="4DE32C79" w:rsidR="00665988" w:rsidRDefault="007C6B89">
            <w:pPr>
              <w:rPr>
                <w:rFonts w:ascii="Times New Roman" w:hAnsi="Times New Roman"/>
                <w:b/>
                <w:szCs w:val="20"/>
                <w:u w:val="single"/>
              </w:rPr>
            </w:pPr>
            <w:r>
              <w:rPr>
                <w:rFonts w:ascii="Times New Roman" w:hAnsi="Times New Roman"/>
                <w:szCs w:val="20"/>
              </w:rPr>
              <w:t>Среднопретегленият срок, в дни, на всички средства с настъпващ падеж се докладва в колона 300. Среднопретегленият срок, в дни, на подновеното финансиране се докладва в колона 310, а среднопретегленият срок, в дни, на новото финансиране се докладва в колона 320.</w:t>
            </w:r>
          </w:p>
        </w:tc>
      </w:tr>
    </w:tbl>
    <w:p w14:paraId="1471D337" w14:textId="02B89222" w:rsidR="00665988" w:rsidRDefault="008E1DE8">
      <w:pPr>
        <w:pStyle w:val="InstructionsText2"/>
        <w:numPr>
          <w:ilvl w:val="0"/>
          <w:numId w:val="0"/>
        </w:numPr>
        <w:ind w:left="720"/>
        <w:rPr>
          <w:u w:val="none"/>
        </w:rPr>
      </w:pPr>
      <w:r>
        <w:rPr>
          <w:u w:val="none"/>
        </w:rPr>
        <w:t>“</w:t>
      </w:r>
    </w:p>
    <w:sectPr w:rsidR="00665988"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665988" w:rsidRDefault="00167536">
      <w:r>
        <w:separator/>
      </w:r>
    </w:p>
  </w:endnote>
  <w:endnote w:type="continuationSeparator" w:id="0">
    <w:p w14:paraId="7485B22D" w14:textId="77777777" w:rsidR="00665988" w:rsidRDefault="00167536">
      <w:r>
        <w:continuationSeparator/>
      </w:r>
    </w:p>
  </w:endnote>
  <w:endnote w:type="continuationNotice" w:id="1">
    <w:p w14:paraId="351FC6CF" w14:textId="77777777" w:rsidR="00665988" w:rsidRDefault="0066598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D1833A2" w:rsidR="003E009D" w:rsidRDefault="003E009D">
        <w:pPr>
          <w:pStyle w:val="Footer"/>
          <w:jc w:val="center"/>
        </w:pPr>
        <w:r>
          <w:fldChar w:fldCharType="begin"/>
        </w:r>
        <w:r>
          <w:instrText xml:space="preserve"> PAGE   \* MERGEFORMAT </w:instrText>
        </w:r>
        <w:r>
          <w:fldChar w:fldCharType="separate"/>
        </w:r>
        <w:r w:rsidR="004A204B">
          <w:rPr>
            <w:noProof/>
          </w:rPr>
          <w:t>13</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1E0B3C84" w:rsidR="00EA0D1D" w:rsidRDefault="00EA0D1D">
        <w:pPr>
          <w:pStyle w:val="Footer"/>
          <w:jc w:val="center"/>
        </w:pPr>
        <w:r>
          <w:fldChar w:fldCharType="begin"/>
        </w:r>
        <w:r>
          <w:instrText xml:space="preserve"> PAGE   \* MERGEFORMAT </w:instrText>
        </w:r>
        <w:r>
          <w:fldChar w:fldCharType="separate"/>
        </w:r>
        <w:r w:rsidR="004A204B">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665988" w:rsidRDefault="00167536">
      <w:r>
        <w:separator/>
      </w:r>
    </w:p>
  </w:footnote>
  <w:footnote w:type="continuationSeparator" w:id="0">
    <w:p w14:paraId="19B8F927" w14:textId="77777777" w:rsidR="00665988" w:rsidRDefault="00167536">
      <w:r>
        <w:continuationSeparator/>
      </w:r>
    </w:p>
  </w:footnote>
  <w:footnote w:type="continuationNotice" w:id="1">
    <w:p w14:paraId="3A75644C" w14:textId="77777777" w:rsidR="00665988" w:rsidRDefault="00665988">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BD48F640"/>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159ED130"/>
    <w:lvl w:ilvl="0">
      <w:start w:val="2"/>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57E2D93C"/>
    <w:lvl w:ilvl="0">
      <w:start w:val="1"/>
      <w:numFmt w:val="decimal"/>
      <w:lvlText w:val="%1."/>
      <w:lvlJc w:val="left"/>
      <w:pPr>
        <w:ind w:left="714" w:hanging="357"/>
      </w:pPr>
      <w:rPr>
        <w:rFonts w:hint="default"/>
      </w:rPr>
    </w:lvl>
    <w:lvl w:ilvl="1">
      <w:start w:val="1"/>
      <mc:AlternateContent>
        <mc:Choice Requires="w14">
          <w:numFmt w:val="custom" w:format="а, й, к, ..."/>
        </mc:Choice>
        <mc:Fallback>
          <w:numFmt w:val="decimal"/>
        </mc:Fallback>
      </mc:AlternateContent>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46E5"/>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204B"/>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5F26"/>
    <w:rsid w:val="00516E8A"/>
    <w:rsid w:val="00516EE0"/>
    <w:rsid w:val="0052095B"/>
    <w:rsid w:val="0052128F"/>
    <w:rsid w:val="005222CE"/>
    <w:rsid w:val="005237F1"/>
    <w:rsid w:val="00525965"/>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988"/>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E79B2"/>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651"/>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3D7F646A"/>
  <w15:docId w15:val="{8CE32D30-6083-4635-9569-382D826E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bg-BG"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bg-BG"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bg-B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bg-BG" w:eastAsia="en-US" w:bidi="ar-SA"/>
    </w:rPr>
  </w:style>
  <w:style w:type="character" w:customStyle="1" w:styleId="FunoteChar">
    <w:name w:val="Fußnote Char"/>
    <w:aliases w:val=" Char Char Char"/>
    <w:semiHidden/>
    <w:rsid w:val="009D253B"/>
    <w:rPr>
      <w:rFonts w:ascii="Arial" w:hAnsi="Arial"/>
      <w:sz w:val="18"/>
      <w:lang w:val="bg-BG"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bg-BG"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bg-BG"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bg-BG"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bg-BG"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bg-BG" w:eastAsia="de-AT"/>
    </w:rPr>
  </w:style>
  <w:style w:type="character" w:customStyle="1" w:styleId="BalloonTextChar">
    <w:name w:val="Balloon Text Char"/>
    <w:link w:val="BalloonText"/>
    <w:semiHidden/>
    <w:rsid w:val="00167536"/>
    <w:rPr>
      <w:rFonts w:ascii="Tahoma" w:hAnsi="Tahoma" w:cs="Tahoma"/>
      <w:sz w:val="16"/>
      <w:szCs w:val="16"/>
      <w:lang w:val="bg-BG" w:eastAsia="en-US"/>
    </w:rPr>
  </w:style>
  <w:style w:type="character" w:customStyle="1" w:styleId="PlainTextChar">
    <w:name w:val="Plain Text Char"/>
    <w:link w:val="PlainText"/>
    <w:semiHidden/>
    <w:rsid w:val="00167536"/>
    <w:rPr>
      <w:rFonts w:ascii="Consolas" w:hAnsi="Consolas"/>
      <w:sz w:val="21"/>
      <w:szCs w:val="21"/>
      <w:lang w:val="bg-BG"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bg-BG" w:eastAsia="en-US"/>
    </w:rPr>
  </w:style>
  <w:style w:type="character" w:customStyle="1" w:styleId="FooterCoverPageChar">
    <w:name w:val="Footer Cover Page Char"/>
    <w:link w:val="FooterCoverPage"/>
    <w:rsid w:val="00167536"/>
    <w:rPr>
      <w:color w:val="4F81BD"/>
      <w:sz w:val="24"/>
      <w:szCs w:val="24"/>
      <w:lang w:val="bg-BG"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bg-BG"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25E514-54C2-4F89-9EEE-CD1426247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5610</Words>
  <Characters>27773</Characters>
  <Application>Microsoft Office Word</Application>
  <DocSecurity>0</DocSecurity>
  <Lines>645</Lines>
  <Paragraphs>358</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33025</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BAKOS Tamas (DGT)</cp:lastModifiedBy>
  <cp:revision>9</cp:revision>
  <cp:lastPrinted>2014-06-12T08:34:00Z</cp:lastPrinted>
  <dcterms:created xsi:type="dcterms:W3CDTF">2019-11-19T09:19:00Z</dcterms:created>
  <dcterms:modified xsi:type="dcterms:W3CDTF">2020-01-22T14:41:00Z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