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08408" w14:textId="57EA2FFD" w:rsidR="00874315" w:rsidRPr="00184084" w:rsidRDefault="001B7C2B">
      <w:pPr>
        <w:jc w:val="center"/>
        <w:rPr>
          <w:rFonts w:ascii="Times New Roman" w:hAnsi="Times New Roman"/>
          <w:b/>
          <w:sz w:val="24"/>
        </w:rPr>
      </w:pPr>
      <w:r w:rsidRPr="00184084">
        <w:rPr>
          <w:rFonts w:ascii="Times New Roman" w:hAnsi="Times New Roman"/>
          <w:b/>
          <w:sz w:val="24"/>
        </w:rPr>
        <w:t>SK</w:t>
      </w:r>
      <w:r w:rsidRPr="00184084">
        <w:rPr>
          <w:rFonts w:ascii="Times New Roman" w:hAnsi="Times New Roman"/>
          <w:b/>
          <w:sz w:val="24"/>
        </w:rPr>
        <w:br/>
        <w:t>PRÍLOHA VII</w:t>
      </w:r>
    </w:p>
    <w:p w14:paraId="72104D4D" w14:textId="77777777" w:rsidR="00874315" w:rsidRPr="00184084" w:rsidRDefault="00874315">
      <w:pPr>
        <w:jc w:val="center"/>
        <w:rPr>
          <w:rFonts w:ascii="Times New Roman" w:hAnsi="Times New Roman"/>
          <w:b/>
          <w:sz w:val="24"/>
        </w:rPr>
      </w:pPr>
    </w:p>
    <w:p w14:paraId="01904AEC" w14:textId="353A69A5" w:rsidR="00874315" w:rsidRPr="00184084" w:rsidRDefault="008E1DE8">
      <w:pPr>
        <w:jc w:val="center"/>
        <w:rPr>
          <w:b/>
          <w:szCs w:val="20"/>
          <w:u w:val="single"/>
        </w:rPr>
      </w:pPr>
      <w:r w:rsidRPr="00184084">
        <w:rPr>
          <w:b/>
          <w:szCs w:val="20"/>
          <w:u w:val="single"/>
        </w:rPr>
        <w:t>„PRÍLOHA XIX</w:t>
      </w:r>
    </w:p>
    <w:p w14:paraId="1796FE74" w14:textId="52C46284" w:rsidR="00874315" w:rsidRPr="00184084" w:rsidRDefault="007F5684">
      <w:pPr>
        <w:jc w:val="center"/>
        <w:rPr>
          <w:b/>
          <w:szCs w:val="20"/>
        </w:rPr>
      </w:pPr>
      <w:r w:rsidRPr="00184084">
        <w:rPr>
          <w:b/>
          <w:szCs w:val="20"/>
        </w:rPr>
        <w:t>POKYNY NA VYPLNENIE VZORU PRE DODATOČNÉ MONITOROVACIE NÁSTROJE UVEDENÉHO</w:t>
      </w:r>
      <w:r w:rsidR="00184084">
        <w:rPr>
          <w:b/>
          <w:szCs w:val="20"/>
        </w:rPr>
        <w:t xml:space="preserve"> V </w:t>
      </w:r>
      <w:r w:rsidRPr="00184084">
        <w:rPr>
          <w:b/>
          <w:szCs w:val="20"/>
        </w:rPr>
        <w:t>PRÍLOHE XVIII</w:t>
      </w:r>
    </w:p>
    <w:p w14:paraId="16AC5CE5" w14:textId="428670B6" w:rsidR="00874315" w:rsidRPr="00184084" w:rsidRDefault="00181260">
      <w:pPr>
        <w:pStyle w:val="Instructionsberschrift2"/>
        <w:numPr>
          <w:ilvl w:val="0"/>
          <w:numId w:val="2"/>
        </w:numPr>
        <w:rPr>
          <w:rFonts w:ascii="Times New Roman" w:hAnsi="Times New Roman" w:cs="Times New Roman"/>
          <w:szCs w:val="20"/>
        </w:rPr>
      </w:pPr>
      <w:r w:rsidRPr="00184084">
        <w:rPr>
          <w:rFonts w:ascii="Times New Roman" w:hAnsi="Times New Roman"/>
          <w:szCs w:val="20"/>
        </w:rPr>
        <w:t>Dodatočné monitorovacie nástroje</w:t>
      </w:r>
      <w:bookmarkStart w:id="0" w:name="_GoBack"/>
      <w:bookmarkEnd w:id="0"/>
    </w:p>
    <w:p w14:paraId="346735AE" w14:textId="77777777" w:rsidR="00184084" w:rsidRDefault="00D02FE4">
      <w:pPr>
        <w:pStyle w:val="Instructionsberschrift2"/>
        <w:numPr>
          <w:ilvl w:val="1"/>
          <w:numId w:val="2"/>
        </w:numPr>
        <w:rPr>
          <w:rFonts w:ascii="Times New Roman" w:hAnsi="Times New Roman"/>
          <w:szCs w:val="20"/>
        </w:rPr>
      </w:pPr>
      <w:r w:rsidRPr="00184084">
        <w:rPr>
          <w:rFonts w:ascii="Times New Roman" w:hAnsi="Times New Roman"/>
          <w:szCs w:val="20"/>
        </w:rPr>
        <w:t>Všeobecné poznámky</w:t>
      </w:r>
    </w:p>
    <w:p w14:paraId="28146638" w14:textId="75861882" w:rsidR="00874315" w:rsidRPr="00184084" w:rsidRDefault="004D4244">
      <w:pPr>
        <w:pStyle w:val="InstructionsText2"/>
        <w:numPr>
          <w:ilvl w:val="0"/>
          <w:numId w:val="4"/>
        </w:numPr>
        <w:rPr>
          <w:u w:val="none"/>
        </w:rPr>
      </w:pPr>
      <w:r w:rsidRPr="00184084">
        <w:rPr>
          <w:u w:val="none"/>
        </w:rPr>
        <w:t>S cieľom monitorovať riziko likvidity inštitúcie, ktoré nepatrí do rozsahu výkazov týkajúcich sa krytia likvidity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stabilného financovania, vyplnia inštitúcie vzor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prílohe XVIII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súlade</w:t>
      </w:r>
      <w:r w:rsidR="00184084">
        <w:rPr>
          <w:u w:val="none"/>
        </w:rPr>
        <w:t xml:space="preserve"> s </w:t>
      </w:r>
      <w:r w:rsidRPr="00184084">
        <w:rPr>
          <w:u w:val="none"/>
        </w:rPr>
        <w:t>pokynmi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tejto prílohe.</w:t>
      </w:r>
    </w:p>
    <w:p w14:paraId="39998106" w14:textId="51464A4B" w:rsidR="00874315" w:rsidRPr="00184084" w:rsidRDefault="00A344AA">
      <w:pPr>
        <w:pStyle w:val="InstructionsText2"/>
        <w:numPr>
          <w:ilvl w:val="0"/>
          <w:numId w:val="4"/>
        </w:numPr>
        <w:rPr>
          <w:u w:val="none"/>
        </w:rPr>
      </w:pPr>
      <w:r w:rsidRPr="00184084">
        <w:rPr>
          <w:u w:val="none"/>
        </w:rPr>
        <w:t>Celkové financovanie zahŕňa všetky finančné záväzky okrem derivátov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krátkych pozícií.</w:t>
      </w:r>
    </w:p>
    <w:p w14:paraId="22512F5B" w14:textId="6A9DED3B" w:rsidR="00184084" w:rsidRDefault="00A344AA">
      <w:pPr>
        <w:pStyle w:val="InstructionsText2"/>
        <w:numPr>
          <w:ilvl w:val="0"/>
          <w:numId w:val="4"/>
        </w:numPr>
        <w:rPr>
          <w:u w:val="none"/>
        </w:rPr>
      </w:pPr>
      <w:r w:rsidRPr="00184084">
        <w:rPr>
          <w:u w:val="none"/>
        </w:rPr>
        <w:t>Financovanie</w:t>
      </w:r>
      <w:r w:rsidR="00184084">
        <w:rPr>
          <w:u w:val="none"/>
        </w:rPr>
        <w:t xml:space="preserve"> s </w:t>
      </w:r>
      <w:r w:rsidRPr="00184084">
        <w:rPr>
          <w:u w:val="none"/>
        </w:rPr>
        <w:t>otvorenou splatnosťou vrátane netermínovaných vkladov sa považuje za splatné do jedného dňa</w:t>
      </w:r>
      <w:r w:rsidR="00184084">
        <w:rPr>
          <w:u w:val="none"/>
        </w:rPr>
        <w:t>.</w:t>
      </w:r>
    </w:p>
    <w:p w14:paraId="4F437A4D" w14:textId="714EAFB0" w:rsidR="00184084" w:rsidRDefault="00A344AA">
      <w:pPr>
        <w:pStyle w:val="InstructionsText2"/>
        <w:numPr>
          <w:ilvl w:val="0"/>
          <w:numId w:val="4"/>
        </w:numPr>
        <w:rPr>
          <w:u w:val="none"/>
        </w:rPr>
      </w:pPr>
      <w:r w:rsidRPr="00184084">
        <w:rPr>
          <w:u w:val="none"/>
        </w:rPr>
        <w:t>Pôvodná splatnosť predstavuje čas medzi dátumom vzniku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dátumom splatnosti financovania. Dátum splatnosti financovania sa určuje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súlade</w:t>
      </w:r>
      <w:r w:rsidR="00184084">
        <w:rPr>
          <w:u w:val="none"/>
        </w:rPr>
        <w:t xml:space="preserve"> s </w:t>
      </w:r>
      <w:r w:rsidRPr="00184084">
        <w:rPr>
          <w:u w:val="none"/>
        </w:rPr>
        <w:t>odsekom 12 prílohy XXIII. To znamená, že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prípade možnosti voľby, ako je to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prípade odseku 12 prílohy XXIII, môže byť pôvodná splatnosť položky financovania kratšia ako čas, ktorý uplynul od jej vzniku</w:t>
      </w:r>
      <w:r w:rsidR="00184084">
        <w:rPr>
          <w:u w:val="none"/>
        </w:rPr>
        <w:t>.</w:t>
      </w:r>
    </w:p>
    <w:p w14:paraId="4FA59274" w14:textId="6CD47DB1" w:rsidR="00874315" w:rsidRPr="00184084" w:rsidRDefault="00A344AA">
      <w:pPr>
        <w:pStyle w:val="InstructionsText2"/>
        <w:numPr>
          <w:ilvl w:val="0"/>
          <w:numId w:val="4"/>
        </w:numPr>
        <w:rPr>
          <w:u w:val="none"/>
        </w:rPr>
      </w:pPr>
      <w:r w:rsidRPr="00184084">
        <w:rPr>
          <w:u w:val="none"/>
        </w:rPr>
        <w:t>Zostatková splatnosť predstavuje čas medzi koncom obdobia vykazovania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dátumom splatnosti financovania. Dátum splatnosti financovania sa určuje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súlade</w:t>
      </w:r>
      <w:r w:rsidR="00184084">
        <w:rPr>
          <w:u w:val="none"/>
        </w:rPr>
        <w:t xml:space="preserve"> s </w:t>
      </w:r>
      <w:r w:rsidRPr="00184084">
        <w:rPr>
          <w:u w:val="none"/>
        </w:rPr>
        <w:t>odsekom 12 prílohy XXIII.</w:t>
      </w:r>
    </w:p>
    <w:p w14:paraId="1DF04682" w14:textId="3FEE96CC" w:rsidR="00874315" w:rsidRPr="00184084" w:rsidRDefault="007462FE">
      <w:pPr>
        <w:pStyle w:val="InstructionsText2"/>
        <w:numPr>
          <w:ilvl w:val="0"/>
          <w:numId w:val="4"/>
        </w:numPr>
        <w:rPr>
          <w:u w:val="none"/>
        </w:rPr>
      </w:pPr>
      <w:r w:rsidRPr="00184084">
        <w:rPr>
          <w:u w:val="none"/>
        </w:rPr>
        <w:t>Na účely výpočtu pôvodnej alebo zostatkovej váženej priemernej splatnosti sa vklady</w:t>
      </w:r>
      <w:r w:rsidR="00184084">
        <w:rPr>
          <w:u w:val="none"/>
        </w:rPr>
        <w:t xml:space="preserve"> s </w:t>
      </w:r>
      <w:r w:rsidRPr="00184084">
        <w:rPr>
          <w:u w:val="none"/>
        </w:rPr>
        <w:t>jednodňovou splatnosťou považujú za také, ktoré sú splatné do jedného dňa.</w:t>
      </w:r>
    </w:p>
    <w:p w14:paraId="25CD9EF4" w14:textId="69C1992A" w:rsidR="00874315" w:rsidRPr="00184084" w:rsidRDefault="007462FE">
      <w:pPr>
        <w:pStyle w:val="InstructionsText2"/>
        <w:numPr>
          <w:ilvl w:val="0"/>
          <w:numId w:val="4"/>
        </w:numPr>
        <w:rPr>
          <w:u w:val="none"/>
        </w:rPr>
      </w:pPr>
      <w:r w:rsidRPr="00184084">
        <w:rPr>
          <w:u w:val="none"/>
        </w:rPr>
        <w:t>Na účely výpočtu pôvodnej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zostatkovej splatnosti,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prípade ktorej existuje financovanie</w:t>
      </w:r>
      <w:r w:rsidR="00184084">
        <w:rPr>
          <w:u w:val="none"/>
        </w:rPr>
        <w:t xml:space="preserve"> s </w:t>
      </w:r>
      <w:r w:rsidRPr="00184084">
        <w:rPr>
          <w:u w:val="none"/>
        </w:rPr>
        <w:t>výpovednou lehotou alebo doložkou</w:t>
      </w:r>
      <w:r w:rsidR="00184084">
        <w:rPr>
          <w:u w:val="none"/>
        </w:rPr>
        <w:t xml:space="preserve"> o </w:t>
      </w:r>
      <w:r w:rsidRPr="00184084">
        <w:rPr>
          <w:u w:val="none"/>
        </w:rPr>
        <w:t>zrušení alebo predčasnom výbere pre protistranu inštitúcie, sa do úvahy berie výber</w:t>
      </w:r>
      <w:r w:rsidR="00184084">
        <w:rPr>
          <w:u w:val="none"/>
        </w:rPr>
        <w:t xml:space="preserve"> k </w:t>
      </w:r>
      <w:r w:rsidRPr="00184084">
        <w:rPr>
          <w:u w:val="none"/>
        </w:rPr>
        <w:t>prvému možnému dátumu.</w:t>
      </w:r>
    </w:p>
    <w:p w14:paraId="2B81E2EC" w14:textId="68A9A988" w:rsidR="00874315" w:rsidRPr="00184084" w:rsidRDefault="00A344AA">
      <w:pPr>
        <w:pStyle w:val="InstructionsText2"/>
        <w:numPr>
          <w:ilvl w:val="0"/>
          <w:numId w:val="4"/>
        </w:numPr>
        <w:rPr>
          <w:u w:val="none"/>
        </w:rPr>
      </w:pPr>
      <w:r w:rsidRPr="00184084">
        <w:rPr>
          <w:u w:val="none"/>
        </w:rPr>
        <w:t>V prípade trvalých záväzkov, okrem tých, na ktoré sa vzťahuje možnosť voľby, ako sa uvádza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odseku 12 prílohy XXIII, sa do úvahy berie pevná dvadsaťročná pôvodná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zostatková splatnosť.</w:t>
      </w:r>
    </w:p>
    <w:p w14:paraId="30EB5133" w14:textId="590CDE22" w:rsidR="00874315" w:rsidRPr="00184084" w:rsidRDefault="00A344AA">
      <w:pPr>
        <w:pStyle w:val="InstructionsText2"/>
        <w:numPr>
          <w:ilvl w:val="0"/>
          <w:numId w:val="4"/>
        </w:numPr>
        <w:rPr>
          <w:u w:val="none"/>
        </w:rPr>
      </w:pPr>
      <w:r w:rsidRPr="00184084">
        <w:rPr>
          <w:u w:val="none"/>
        </w:rPr>
        <w:t>Na účely výpočtu percentuálnej prahovej hodnoty uvedenej vo vzoroch C 67.00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C 68.00 podľa významnej meny používajú inštitúcie prahovú hodnotu 1</w:t>
      </w:r>
      <w:r w:rsidR="00184084">
        <w:rPr>
          <w:u w:val="none"/>
        </w:rPr>
        <w:t> %</w:t>
      </w:r>
      <w:r w:rsidRPr="00184084">
        <w:rPr>
          <w:u w:val="none"/>
        </w:rPr>
        <w:t xml:space="preserve"> celkových záväzkov vo všetkých menách.</w:t>
      </w:r>
    </w:p>
    <w:p w14:paraId="0E1E0ED8" w14:textId="77777777" w:rsidR="00874315" w:rsidRPr="00184084" w:rsidRDefault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184084">
        <w:rPr>
          <w:rFonts w:ascii="Times New Roman" w:hAnsi="Times New Roman"/>
          <w:szCs w:val="20"/>
        </w:rPr>
        <w:t>Koncentrácia financovania podľa protistrany (C 67.00)</w:t>
      </w:r>
    </w:p>
    <w:p w14:paraId="322C1A75" w14:textId="0EFA7182" w:rsidR="00874315" w:rsidRPr="00184084" w:rsidRDefault="00490B62">
      <w:pPr>
        <w:pStyle w:val="InstructionsText2"/>
        <w:numPr>
          <w:ilvl w:val="0"/>
          <w:numId w:val="6"/>
        </w:numPr>
        <w:rPr>
          <w:u w:val="none"/>
        </w:rPr>
      </w:pPr>
      <w:r w:rsidRPr="00184084">
        <w:rPr>
          <w:u w:val="none"/>
        </w:rPr>
        <w:t>S cieľom zhromaždiť informácie</w:t>
      </w:r>
      <w:r w:rsidR="00184084">
        <w:rPr>
          <w:u w:val="none"/>
        </w:rPr>
        <w:t xml:space="preserve"> o </w:t>
      </w:r>
      <w:r w:rsidRPr="00184084">
        <w:rPr>
          <w:u w:val="none"/>
        </w:rPr>
        <w:t>koncentrácii financovania vykazujúcich inštitúcií podľa protistrany vo vzore C 67.00 uplatňujú inštitúcie pokyny uvedené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tomto oddiele.</w:t>
      </w:r>
    </w:p>
    <w:p w14:paraId="52091F90" w14:textId="1CB72A3C" w:rsidR="00874315" w:rsidRPr="00184084" w:rsidRDefault="00A344AA">
      <w:pPr>
        <w:pStyle w:val="InstructionsText2"/>
        <w:numPr>
          <w:ilvl w:val="0"/>
          <w:numId w:val="6"/>
        </w:numPr>
        <w:rPr>
          <w:u w:val="none"/>
        </w:rPr>
      </w:pPr>
      <w:r w:rsidRPr="00184084">
        <w:rPr>
          <w:u w:val="none"/>
        </w:rPr>
        <w:t>Inštitúcie vykazujú desať najväčších protistrán alebo skupinu prepojených klientov vymedzenú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 xml:space="preserve">článku 4 ods. 1 bode 39 nariadenia (EÚ) </w:t>
      </w:r>
      <w:r w:rsidR="00184084">
        <w:rPr>
          <w:u w:val="none"/>
        </w:rPr>
        <w:t>č. </w:t>
      </w:r>
      <w:r w:rsidRPr="00184084">
        <w:rPr>
          <w:u w:val="none"/>
        </w:rPr>
        <w:t>575/2013, keď financovanie získané od každej protistrany alebo skupiny prepojených klientov presahuje prahovú hodnotu 1</w:t>
      </w:r>
      <w:r w:rsidR="00184084">
        <w:rPr>
          <w:u w:val="none"/>
        </w:rPr>
        <w:t> %</w:t>
      </w:r>
      <w:r w:rsidRPr="00184084">
        <w:rPr>
          <w:u w:val="none"/>
        </w:rPr>
        <w:t xml:space="preserve"> celkových záväzkov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riadkoch 020 až 110 oddielu 1 vzoru. Protistrana vykázaná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položke 1.01 predstavuje najväčší objem financovania prijatého od jednej protistrany alebo skupiny prepojených klientov, ktorý</w:t>
      </w:r>
      <w:r w:rsidR="00184084">
        <w:rPr>
          <w:u w:val="none"/>
        </w:rPr>
        <w:t xml:space="preserve"> k </w:t>
      </w:r>
      <w:r w:rsidRPr="00184084">
        <w:rPr>
          <w:u w:val="none"/>
        </w:rPr>
        <w:t>dátumu vykazovania presahuje prahovú hodnotu 1</w:t>
      </w:r>
      <w:r w:rsidR="00184084">
        <w:rPr>
          <w:u w:val="none"/>
        </w:rPr>
        <w:t> %</w:t>
      </w:r>
      <w:r w:rsidRPr="00184084">
        <w:rPr>
          <w:u w:val="none"/>
        </w:rPr>
        <w:t>. Položka 1.02 predstavuje druhý najväčší objem financovania nad prahovou hodnotou 1</w:t>
      </w:r>
      <w:r w:rsidR="00184084">
        <w:rPr>
          <w:u w:val="none"/>
        </w:rPr>
        <w:t> % a </w:t>
      </w:r>
      <w:r w:rsidRPr="00184084">
        <w:rPr>
          <w:u w:val="none"/>
        </w:rPr>
        <w:t>podobne je to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prípade ostatných položiek.</w:t>
      </w:r>
    </w:p>
    <w:p w14:paraId="27F159C4" w14:textId="1ECBB43F" w:rsidR="00184084" w:rsidRDefault="00A344AA">
      <w:pPr>
        <w:pStyle w:val="InstructionsText2"/>
        <w:numPr>
          <w:ilvl w:val="0"/>
          <w:numId w:val="6"/>
        </w:numPr>
        <w:rPr>
          <w:u w:val="none"/>
        </w:rPr>
      </w:pPr>
      <w:r w:rsidRPr="00184084">
        <w:rPr>
          <w:u w:val="none"/>
        </w:rPr>
        <w:lastRenderedPageBreak/>
        <w:t>Ak patrí protistrana do viacerých skupín prepojených klientov, vykazuje sa iba raz,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to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skupine</w:t>
      </w:r>
      <w:r w:rsidR="00184084">
        <w:rPr>
          <w:u w:val="none"/>
        </w:rPr>
        <w:t xml:space="preserve"> s </w:t>
      </w:r>
      <w:r w:rsidRPr="00184084">
        <w:rPr>
          <w:u w:val="none"/>
        </w:rPr>
        <w:t>najväčším objemom financovania</w:t>
      </w:r>
      <w:r w:rsidR="00184084">
        <w:rPr>
          <w:u w:val="none"/>
        </w:rPr>
        <w:t>.</w:t>
      </w:r>
    </w:p>
    <w:p w14:paraId="589BDAD9" w14:textId="7347C793" w:rsidR="00874315" w:rsidRPr="00184084" w:rsidRDefault="00A344AA">
      <w:pPr>
        <w:pStyle w:val="InstructionsText2"/>
        <w:numPr>
          <w:ilvl w:val="0"/>
          <w:numId w:val="6"/>
        </w:numPr>
        <w:rPr>
          <w:u w:val="none"/>
        </w:rPr>
      </w:pPr>
      <w:r w:rsidRPr="00184084">
        <w:rPr>
          <w:u w:val="none"/>
        </w:rPr>
        <w:t>Inštitúcie vykazujú celkový objem všetkého ostatného zostávajúceho financovania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oddiele 2.</w:t>
      </w:r>
    </w:p>
    <w:p w14:paraId="6E279CE2" w14:textId="1AA27A54" w:rsidR="00874315" w:rsidRPr="00184084" w:rsidRDefault="00A344AA">
      <w:pPr>
        <w:pStyle w:val="InstructionsText2"/>
        <w:numPr>
          <w:ilvl w:val="0"/>
          <w:numId w:val="6"/>
        </w:numPr>
        <w:rPr>
          <w:u w:val="none"/>
        </w:rPr>
      </w:pPr>
      <w:r w:rsidRPr="00184084">
        <w:rPr>
          <w:u w:val="none"/>
        </w:rPr>
        <w:t>Súčet oddielu 1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oddielu 2 sa musí rovnať celkovému financovaniu inštitúcie podľa jej súvahy predloženej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rámci finančného výkazníctva (FINREP).</w:t>
      </w:r>
    </w:p>
    <w:p w14:paraId="00BA7315" w14:textId="71355B4D" w:rsidR="00874315" w:rsidRPr="00184084" w:rsidRDefault="00A344AA">
      <w:pPr>
        <w:pStyle w:val="InstructionsText2"/>
        <w:numPr>
          <w:ilvl w:val="0"/>
          <w:numId w:val="6"/>
        </w:numPr>
        <w:rPr>
          <w:u w:val="none"/>
        </w:rPr>
      </w:pPr>
      <w:r w:rsidRPr="00184084">
        <w:rPr>
          <w:u w:val="none"/>
        </w:rPr>
        <w:t>Pri každej protistrane vykazujú inštitúcie všetky stĺpce od 010 po 080.</w:t>
      </w:r>
    </w:p>
    <w:p w14:paraId="3425ECF0" w14:textId="63DC5704" w:rsidR="00874315" w:rsidRPr="00184084" w:rsidRDefault="00A344AA">
      <w:pPr>
        <w:pStyle w:val="InstructionsText2"/>
        <w:numPr>
          <w:ilvl w:val="0"/>
          <w:numId w:val="6"/>
        </w:numPr>
        <w:rPr>
          <w:u w:val="none"/>
        </w:rPr>
      </w:pPr>
      <w:r w:rsidRPr="00184084">
        <w:rPr>
          <w:u w:val="none"/>
        </w:rPr>
        <w:t>Ak sa financovanie získalo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rámci viac než jedného typu produktu, typ produktu, ktorý sa vykáže, je produkt,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rámci ktorého sa získal najväčší podiel financovania. Identifikácia podkladového držiteľa cenných papierov sa môže vykonať podľa zásady najväčšieho úsilia. Ak má inštitúcia</w:t>
      </w:r>
      <w:r w:rsidR="00184084">
        <w:rPr>
          <w:u w:val="none"/>
        </w:rPr>
        <w:t xml:space="preserve"> k </w:t>
      </w:r>
      <w:r w:rsidRPr="00184084">
        <w:rPr>
          <w:u w:val="none"/>
        </w:rPr>
        <w:t>dispozícii informácie týkajúce sa držiteľa cenných papierov na základe svojej úlohy správcovskej banky, zohľadní príslušný objem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rámci vykazovania koncentrácie protistrán. Ak nie sú</w:t>
      </w:r>
      <w:r w:rsidR="00184084">
        <w:rPr>
          <w:u w:val="none"/>
        </w:rPr>
        <w:t xml:space="preserve"> k </w:t>
      </w:r>
      <w:r w:rsidRPr="00184084">
        <w:rPr>
          <w:u w:val="none"/>
        </w:rPr>
        <w:t>dispozícii žiadne informácie</w:t>
      </w:r>
      <w:r w:rsidR="00184084">
        <w:rPr>
          <w:u w:val="none"/>
        </w:rPr>
        <w:t xml:space="preserve"> o </w:t>
      </w:r>
      <w:r w:rsidRPr="00184084">
        <w:rPr>
          <w:u w:val="none"/>
        </w:rPr>
        <w:t>držiteľovi cenných papierov, príslušný objem sa nemusí vykazovať.</w:t>
      </w:r>
    </w:p>
    <w:p w14:paraId="2DFF75CD" w14:textId="77777777" w:rsidR="00874315" w:rsidRPr="00184084" w:rsidRDefault="00A344AA">
      <w:pPr>
        <w:pStyle w:val="InstructionsText2"/>
        <w:numPr>
          <w:ilvl w:val="0"/>
          <w:numId w:val="6"/>
        </w:numPr>
        <w:rPr>
          <w:u w:val="none"/>
        </w:rPr>
      </w:pPr>
      <w:r w:rsidRPr="00184084">
        <w:rPr>
          <w:u w:val="none"/>
        </w:rPr>
        <w:t>Pokyny týkajúce sa jednotlivých stĺpcov: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641"/>
        <w:gridCol w:w="3639"/>
      </w:tblGrid>
      <w:tr w:rsidR="00874315" w:rsidRPr="00184084" w14:paraId="74B455E0" w14:textId="77777777" w:rsidTr="003F0706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3C56FF4E" w14:textId="77777777" w:rsidR="00874315" w:rsidRPr="00184084" w:rsidRDefault="00A344AA">
            <w:pPr>
              <w:spacing w:before="0" w:after="0"/>
              <w:jc w:val="left"/>
              <w:rPr>
                <w:color w:val="000000"/>
              </w:rPr>
            </w:pPr>
            <w:r w:rsidRPr="00184084">
              <w:rPr>
                <w:rStyle w:val="InstructionsTabelleText"/>
                <w:rFonts w:ascii="Times New Roman" w:hAnsi="Times New Roman"/>
                <w:szCs w:val="20"/>
              </w:rPr>
              <w:t>Stĺpec</w:t>
            </w:r>
          </w:p>
        </w:tc>
        <w:tc>
          <w:tcPr>
            <w:tcW w:w="4271" w:type="pct"/>
            <w:gridSpan w:val="2"/>
            <w:shd w:val="clear" w:color="auto" w:fill="D9D9D9"/>
            <w:vAlign w:val="center"/>
          </w:tcPr>
          <w:p w14:paraId="708D3843" w14:textId="1A463525" w:rsidR="00874315" w:rsidRPr="00184084" w:rsidRDefault="00A344AA">
            <w:pPr>
              <w:spacing w:before="0" w:after="0"/>
              <w:jc w:val="left"/>
            </w:pPr>
            <w:r w:rsidRPr="00184084">
              <w:rPr>
                <w:rStyle w:val="InstructionsTabelleText"/>
                <w:rFonts w:ascii="Times New Roman" w:hAnsi="Times New Roman"/>
                <w:szCs w:val="20"/>
              </w:rPr>
              <w:t>Odkazy na právne predpisy</w:t>
            </w:r>
            <w:r w:rsidR="00184084">
              <w:rPr>
                <w:rStyle w:val="InstructionsTabelleText"/>
                <w:rFonts w:ascii="Times New Roman" w:hAnsi="Times New Roman"/>
                <w:szCs w:val="20"/>
              </w:rPr>
              <w:t xml:space="preserve"> a </w:t>
            </w:r>
            <w:r w:rsidRPr="00184084">
              <w:rPr>
                <w:rStyle w:val="InstructionsTabelleText"/>
                <w:rFonts w:ascii="Times New Roman" w:hAnsi="Times New Roman"/>
                <w:szCs w:val="20"/>
              </w:rPr>
              <w:t>pokyny</w:t>
            </w:r>
          </w:p>
        </w:tc>
      </w:tr>
      <w:tr w:rsidR="00874315" w:rsidRPr="00184084" w14:paraId="03B6122B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54F7606" w14:textId="77777777" w:rsidR="00874315" w:rsidRPr="001840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010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146FA391" w14:textId="77777777" w:rsidR="00874315" w:rsidRPr="00184084" w:rsidRDefault="00A344AA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Názov protistrany</w:t>
            </w:r>
          </w:p>
          <w:p w14:paraId="19E2ADEC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2836EBB6" w14:textId="20B3A590" w:rsidR="00874315" w:rsidRPr="00184084" w:rsidRDefault="00A344AA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Názov každej protistrany, od ktorej získané financovanie presahuje 1</w:t>
            </w:r>
            <w:r w:rsidR="00184084">
              <w:rPr>
                <w:rFonts w:ascii="Times New Roman" w:hAnsi="Times New Roman"/>
                <w:szCs w:val="20"/>
              </w:rPr>
              <w:t> %</w:t>
            </w:r>
            <w:r w:rsidRPr="00184084">
              <w:rPr>
                <w:rFonts w:ascii="Times New Roman" w:hAnsi="Times New Roman"/>
                <w:szCs w:val="20"/>
              </w:rPr>
              <w:t xml:space="preserve"> celkových záväzkov, sa uvádza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010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zostupnom poradí, t. j.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poradí podľa veľkosti získaného financovania.</w:t>
            </w:r>
          </w:p>
          <w:p w14:paraId="5DFD68B3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2E4EA1D8" w14:textId="62D2FF4C" w:rsidR="00184084" w:rsidRDefault="00C663BC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Vykazuje sa názov protistrany bez ohľadu na to, či ide</w:t>
            </w:r>
            <w:r w:rsidR="00184084">
              <w:rPr>
                <w:rFonts w:ascii="Times New Roman" w:hAnsi="Times New Roman"/>
                <w:szCs w:val="20"/>
              </w:rPr>
              <w:t xml:space="preserve"> o </w:t>
            </w:r>
            <w:r w:rsidRPr="00184084">
              <w:rPr>
                <w:rFonts w:ascii="Times New Roman" w:hAnsi="Times New Roman"/>
                <w:szCs w:val="20"/>
              </w:rPr>
              <w:t>právny subjekt alebo fyzickú osobu.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prípade, keď je protistrana právnym subjektom, ako názov protistrany sa uvádza úplný názov právneho subjektu, od ktorého financovanie pochádza, vrátane všetkých označení druhov spoločnosti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súlade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vnútroštátnym právom obchodných spoločností</w:t>
            </w:r>
            <w:r w:rsidR="00184084">
              <w:rPr>
                <w:rFonts w:ascii="Times New Roman" w:hAnsi="Times New Roman"/>
                <w:szCs w:val="20"/>
              </w:rPr>
              <w:t>.</w:t>
            </w:r>
          </w:p>
          <w:p w14:paraId="5AB242B5" w14:textId="710D825A" w:rsidR="00874315" w:rsidRPr="00184084" w:rsidRDefault="00874315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</w:tc>
      </w:tr>
      <w:tr w:rsidR="00874315" w:rsidRPr="00184084" w14:paraId="383DA9E1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369CC55" w14:textId="46C7C99A" w:rsidR="00874315" w:rsidRPr="00184084" w:rsidRDefault="00CC309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015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12EA79C0" w14:textId="1CB26A4E" w:rsidR="00874315" w:rsidRPr="00184084" w:rsidRDefault="00CC3091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  <w:r w:rsidRPr="00184084">
              <w:rPr>
                <w:rStyle w:val="InstructionsTabelleberschrift"/>
                <w:rFonts w:ascii="Times New Roman" w:hAnsi="Times New Roman"/>
                <w:szCs w:val="20"/>
              </w:rPr>
              <w:t>Kód</w:t>
            </w:r>
          </w:p>
          <w:p w14:paraId="484D7006" w14:textId="77777777" w:rsidR="00874315" w:rsidRPr="00184084" w:rsidRDefault="00874315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14:paraId="384FB2AC" w14:textId="26A71328" w:rsidR="00874315" w:rsidRPr="00184084" w:rsidRDefault="00CC3091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184084">
              <w:rPr>
                <w:rStyle w:val="FormatvorlageInstructionsTabelleText"/>
                <w:rFonts w:ascii="Times New Roman" w:hAnsi="Times New Roman"/>
                <w:szCs w:val="20"/>
              </w:rPr>
              <w:t>Tento kód je identifikátorom riadku</w:t>
            </w:r>
            <w:r w:rsidR="00184084">
              <w:rPr>
                <w:rStyle w:val="FormatvorlageInstructionsTabelleText"/>
                <w:rFonts w:ascii="Times New Roman" w:hAnsi="Times New Roman"/>
                <w:szCs w:val="20"/>
              </w:rPr>
              <w:t xml:space="preserve"> a </w:t>
            </w:r>
            <w:r w:rsidRPr="00184084">
              <w:rPr>
                <w:rStyle w:val="FormatvorlageInstructionsTabelleText"/>
                <w:rFonts w:ascii="Times New Roman" w:hAnsi="Times New Roman"/>
                <w:szCs w:val="20"/>
              </w:rPr>
              <w:t>musí byť jednoznačný pre každý riadok tabuľky.</w:t>
            </w:r>
          </w:p>
          <w:p w14:paraId="0CD09054" w14:textId="77777777" w:rsidR="00874315" w:rsidRPr="00184084" w:rsidRDefault="00874315">
            <w:pPr>
              <w:pStyle w:val="InstructionsText"/>
              <w:rPr>
                <w:b/>
                <w:szCs w:val="20"/>
              </w:rPr>
            </w:pPr>
          </w:p>
        </w:tc>
      </w:tr>
      <w:tr w:rsidR="00874315" w:rsidRPr="00184084" w14:paraId="38D9E163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7AE3AB1F" w14:textId="77777777" w:rsidR="00874315" w:rsidRPr="001840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020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0B28CA9D" w14:textId="77777777" w:rsidR="00874315" w:rsidRPr="00184084" w:rsidRDefault="00A344AA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  <w:r w:rsidRPr="00184084">
              <w:rPr>
                <w:rStyle w:val="InstructionsTabelleberschrift"/>
                <w:rFonts w:ascii="Times New Roman" w:hAnsi="Times New Roman"/>
                <w:szCs w:val="20"/>
              </w:rPr>
              <w:t>Kód LEI</w:t>
            </w:r>
          </w:p>
          <w:p w14:paraId="36F19060" w14:textId="77777777" w:rsidR="00874315" w:rsidRPr="00184084" w:rsidRDefault="00874315">
            <w:pPr>
              <w:pStyle w:val="InstructionsText"/>
              <w:rPr>
                <w:rStyle w:val="InstructionsTabelleberschrift"/>
                <w:rFonts w:ascii="Times New Roman" w:hAnsi="Times New Roman"/>
                <w:szCs w:val="20"/>
              </w:rPr>
            </w:pPr>
          </w:p>
          <w:p w14:paraId="36FF79ED" w14:textId="77777777" w:rsidR="00184084" w:rsidRDefault="00A344AA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184084">
              <w:rPr>
                <w:rStyle w:val="FormatvorlageInstructionsTabelleText"/>
                <w:rFonts w:ascii="Times New Roman" w:hAnsi="Times New Roman"/>
                <w:szCs w:val="20"/>
              </w:rPr>
              <w:t>Identifikátor právneho subjektu protistrany</w:t>
            </w:r>
            <w:r w:rsidR="00184084">
              <w:rPr>
                <w:rStyle w:val="FormatvorlageInstructionsTabelleText"/>
                <w:rFonts w:ascii="Times New Roman" w:hAnsi="Times New Roman"/>
                <w:szCs w:val="20"/>
              </w:rPr>
              <w:t>.</w:t>
            </w:r>
          </w:p>
          <w:p w14:paraId="68F04C82" w14:textId="19A3ABB8" w:rsidR="00874315" w:rsidRPr="00184084" w:rsidRDefault="00CC3091">
            <w:pPr>
              <w:pStyle w:val="InstructionsText"/>
            </w:pPr>
            <w:r w:rsidRPr="00184084">
              <w:t>Keď pre danú protistranu existuje identifikátor právneho subjektu (kód LEI), musí sa na identifikáciu tejto protistrany použiť.</w:t>
            </w:r>
          </w:p>
          <w:p w14:paraId="66432471" w14:textId="501FA456" w:rsidR="00874315" w:rsidRPr="00184084" w:rsidRDefault="00874315">
            <w:pPr>
              <w:pStyle w:val="InstructionsText"/>
            </w:pPr>
          </w:p>
        </w:tc>
      </w:tr>
      <w:tr w:rsidR="00874315" w:rsidRPr="00184084" w14:paraId="51607CEC" w14:textId="77777777" w:rsidTr="003D0976">
        <w:trPr>
          <w:trHeight w:val="51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19A860BE" w14:textId="77777777" w:rsidR="00874315" w:rsidRPr="001840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030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942154" w14:textId="77777777" w:rsidR="00874315" w:rsidRPr="00184084" w:rsidRDefault="00A344AA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Sektor protistrany</w:t>
            </w:r>
          </w:p>
          <w:p w14:paraId="2CCF7839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2E43DAFB" w14:textId="2C4B739F" w:rsidR="00874315" w:rsidRPr="00184084" w:rsidRDefault="00A344AA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184084">
              <w:rPr>
                <w:rStyle w:val="FormatvorlageInstructionsTabelleText"/>
                <w:rFonts w:ascii="Times New Roman" w:hAnsi="Times New Roman"/>
                <w:szCs w:val="20"/>
              </w:rPr>
              <w:t>Každej protistrane je pridelený jeden sektor na základe tried hospodárskych sektorov podľa FINREP:</w:t>
            </w:r>
          </w:p>
          <w:p w14:paraId="7C349277" w14:textId="77777777" w:rsidR="00874315" w:rsidRPr="00184084" w:rsidRDefault="00874315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39FA6431" w14:textId="77777777" w:rsidR="00184084" w:rsidRDefault="00A344AA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184084">
              <w:rPr>
                <w:rStyle w:val="FormatvorlageInstructionsTabelleText"/>
                <w:rFonts w:ascii="Times New Roman" w:hAnsi="Times New Roman"/>
                <w:szCs w:val="20"/>
              </w:rPr>
              <w:t>i) centrálne banky; ii) orgány verejnej správy; iii) úverové inštitúcie; iv) ostatné finančné korporácie; v) nefinančné korporácie; vi) domácnosti</w:t>
            </w:r>
            <w:r w:rsidR="00184084">
              <w:rPr>
                <w:rStyle w:val="FormatvorlageInstructionsTabelleText"/>
                <w:rFonts w:ascii="Times New Roman" w:hAnsi="Times New Roman"/>
                <w:szCs w:val="20"/>
              </w:rPr>
              <w:t>.</w:t>
            </w:r>
          </w:p>
          <w:p w14:paraId="4CA62F92" w14:textId="01F548E7" w:rsidR="00874315" w:rsidRPr="00184084" w:rsidRDefault="00874315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1E7BCB8F" w14:textId="77777777" w:rsidR="00874315" w:rsidRPr="00184084" w:rsidRDefault="00A344AA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184084">
              <w:rPr>
                <w:rStyle w:val="FormatvorlageInstructionsTabelleText"/>
                <w:rFonts w:ascii="Times New Roman" w:hAnsi="Times New Roman"/>
                <w:szCs w:val="20"/>
              </w:rPr>
              <w:t>V prípade skupín prepojených klientov sa sektor nevykazuje.</w:t>
            </w:r>
          </w:p>
          <w:p w14:paraId="0E3CE66C" w14:textId="77777777" w:rsidR="00874315" w:rsidRPr="00184084" w:rsidRDefault="00874315">
            <w:pPr>
              <w:pStyle w:val="InstructionsText2"/>
              <w:numPr>
                <w:ilvl w:val="0"/>
                <w:numId w:val="0"/>
              </w:numPr>
              <w:spacing w:after="0"/>
              <w:ind w:left="714"/>
            </w:pPr>
          </w:p>
        </w:tc>
      </w:tr>
      <w:tr w:rsidR="00874315" w:rsidRPr="00184084" w14:paraId="159CB0CE" w14:textId="77777777" w:rsidTr="003D0976">
        <w:trPr>
          <w:trHeight w:val="510"/>
        </w:trPr>
        <w:tc>
          <w:tcPr>
            <w:tcW w:w="729" w:type="pct"/>
            <w:tcBorders>
              <w:bottom w:val="nil"/>
            </w:tcBorders>
            <w:shd w:val="clear" w:color="auto" w:fill="auto"/>
            <w:noWrap/>
          </w:tcPr>
          <w:p w14:paraId="7DA552B5" w14:textId="77777777" w:rsidR="00874315" w:rsidRPr="001840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040</w:t>
            </w:r>
          </w:p>
        </w:tc>
        <w:tc>
          <w:tcPr>
            <w:tcW w:w="4271" w:type="pct"/>
            <w:gridSpan w:val="2"/>
            <w:tcBorders>
              <w:bottom w:val="nil"/>
            </w:tcBorders>
            <w:shd w:val="clear" w:color="auto" w:fill="auto"/>
          </w:tcPr>
          <w:p w14:paraId="1D296CD6" w14:textId="77777777" w:rsidR="00184084" w:rsidRDefault="00A344AA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Sídlo protistrany</w:t>
            </w:r>
          </w:p>
          <w:p w14:paraId="4CB6B035" w14:textId="768310D3" w:rsidR="00874315" w:rsidRPr="00184084" w:rsidRDefault="00874315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szCs w:val="20"/>
              </w:rPr>
            </w:pPr>
          </w:p>
          <w:p w14:paraId="6AA1761E" w14:textId="2AB0F4C4" w:rsidR="00184084" w:rsidRDefault="00A344AA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  <w:r w:rsidRPr="00184084">
              <w:rPr>
                <w:rStyle w:val="FormatvorlageInstructionsTabelleText"/>
                <w:rFonts w:ascii="Times New Roman" w:hAnsi="Times New Roman"/>
                <w:szCs w:val="20"/>
              </w:rPr>
              <w:t>Použije sa kód ISO 3166-1-alfa-2 krajiny založenia protistrany vrátane pseudokódov ISO pre medzinárodné organizácie</w:t>
            </w:r>
            <w:r w:rsidRPr="00184084">
              <w:t xml:space="preserve"> dostupných</w:t>
            </w:r>
            <w:r w:rsidR="00184084">
              <w:t xml:space="preserve"> v </w:t>
            </w:r>
            <w:r w:rsidRPr="00184084">
              <w:t xml:space="preserve">najnovšom vydaní „Príručky </w:t>
            </w:r>
            <w:r w:rsidRPr="00184084">
              <w:lastRenderedPageBreak/>
              <w:t>platobnej bilancie“ Eurostatu</w:t>
            </w:r>
            <w:r w:rsidR="00184084">
              <w:rPr>
                <w:rStyle w:val="FormatvorlageInstructionsTabelleText"/>
                <w:rFonts w:ascii="Times New Roman" w:hAnsi="Times New Roman"/>
                <w:szCs w:val="20"/>
              </w:rPr>
              <w:t>.</w:t>
            </w:r>
          </w:p>
          <w:p w14:paraId="713A8F3E" w14:textId="55E26DF7" w:rsidR="00874315" w:rsidRPr="00184084" w:rsidRDefault="00874315">
            <w:pPr>
              <w:pStyle w:val="InstructionsText"/>
              <w:rPr>
                <w:rStyle w:val="FormatvorlageInstructionsTabelleText"/>
                <w:rFonts w:ascii="Times New Roman" w:hAnsi="Times New Roman"/>
                <w:szCs w:val="20"/>
              </w:rPr>
            </w:pPr>
          </w:p>
          <w:p w14:paraId="6E964331" w14:textId="180A6696" w:rsidR="00874315" w:rsidRPr="00184084" w:rsidRDefault="00A344AA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Style w:val="FormatvorlageInstructionsTabelleText"/>
                <w:rFonts w:ascii="Times New Roman" w:hAnsi="Times New Roman"/>
                <w:szCs w:val="20"/>
              </w:rPr>
              <w:t>V prípade skupín prepojených klientov sa krajina nevykazuje.</w:t>
            </w:r>
          </w:p>
        </w:tc>
      </w:tr>
      <w:tr w:rsidR="00874315" w:rsidRPr="00184084" w14:paraId="6AA91692" w14:textId="77777777" w:rsidTr="005B086D">
        <w:trPr>
          <w:trHeight w:val="242"/>
        </w:trPr>
        <w:tc>
          <w:tcPr>
            <w:tcW w:w="72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7378802" w14:textId="77777777" w:rsidR="00874315" w:rsidRPr="00184084" w:rsidRDefault="0087431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</w:p>
        </w:tc>
        <w:tc>
          <w:tcPr>
            <w:tcW w:w="2136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8697EE7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  <w:tc>
          <w:tcPr>
            <w:tcW w:w="2135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2365D61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874315" w:rsidRPr="00184084" w14:paraId="693D372B" w14:textId="77777777" w:rsidTr="003D0976">
        <w:trPr>
          <w:trHeight w:val="765"/>
        </w:trPr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3D3D20D" w14:textId="77777777" w:rsidR="00874315" w:rsidRPr="001840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050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2E35F5" w14:textId="77777777" w:rsidR="00874315" w:rsidRPr="00184084" w:rsidRDefault="00A344AA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Typ produktu</w:t>
            </w:r>
          </w:p>
          <w:p w14:paraId="27D8CDCC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435BE420" w14:textId="60D116AC" w:rsidR="00874315" w:rsidRPr="00184084" w:rsidRDefault="00A344AA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Protistranám vykázaným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010 sa prideľuje typ produktu zodpovedajúci emitovanému produktu,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rámci ktorého sa prijalo financovanie alebo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prípade kombinácie typov produktov produkt,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rámci ktorého sa prijal najväčší podiel financovania, použitím týchto kódov označených tučným písmom:</w:t>
            </w:r>
          </w:p>
          <w:p w14:paraId="374B715F" w14:textId="77777777" w:rsidR="00874315" w:rsidRPr="00184084" w:rsidRDefault="00874315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</w:p>
          <w:p w14:paraId="644929DE" w14:textId="77777777" w:rsidR="00874315" w:rsidRPr="00184084" w:rsidRDefault="00A344AA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b/>
                <w:szCs w:val="20"/>
              </w:rPr>
              <w:t>UWF</w:t>
            </w:r>
            <w:r w:rsidRPr="00184084">
              <w:rPr>
                <w:rFonts w:ascii="Times New Roman" w:hAnsi="Times New Roman"/>
                <w:szCs w:val="20"/>
              </w:rPr>
              <w:t xml:space="preserve"> (nezabezpečené veľkoobchodné financovanie získané od finančných klientov vrátane medzibankových peňažných prostriedkov)</w:t>
            </w:r>
          </w:p>
          <w:p w14:paraId="65D81A1D" w14:textId="77777777" w:rsidR="00874315" w:rsidRPr="00184084" w:rsidRDefault="00874315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</w:p>
          <w:p w14:paraId="2E6EBD07" w14:textId="77777777" w:rsidR="00874315" w:rsidRPr="00184084" w:rsidRDefault="00A344AA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b/>
                <w:szCs w:val="20"/>
              </w:rPr>
              <w:t>UWNF</w:t>
            </w:r>
            <w:r w:rsidRPr="00184084">
              <w:rPr>
                <w:rFonts w:ascii="Times New Roman" w:hAnsi="Times New Roman"/>
                <w:szCs w:val="20"/>
              </w:rPr>
              <w:t xml:space="preserve"> (nezabezpečené veľkoobchodné financovanie získané od nefinančných klientov)</w:t>
            </w:r>
          </w:p>
          <w:p w14:paraId="69567DFF" w14:textId="77777777" w:rsidR="00874315" w:rsidRPr="00184084" w:rsidRDefault="00874315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</w:p>
          <w:p w14:paraId="362C9247" w14:textId="4652B321" w:rsidR="00874315" w:rsidRPr="00184084" w:rsidRDefault="00792E65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b/>
                <w:szCs w:val="20"/>
              </w:rPr>
              <w:t>SFT</w:t>
            </w:r>
            <w:r w:rsidRPr="00184084">
              <w:rPr>
                <w:rFonts w:ascii="Times New Roman" w:hAnsi="Times New Roman"/>
                <w:szCs w:val="20"/>
              </w:rPr>
              <w:t xml:space="preserve"> [financovanie získané na základe zmlúv</w:t>
            </w:r>
            <w:r w:rsidR="00184084">
              <w:rPr>
                <w:rFonts w:ascii="Times New Roman" w:hAnsi="Times New Roman"/>
                <w:szCs w:val="20"/>
              </w:rPr>
              <w:t xml:space="preserve"> o </w:t>
            </w:r>
            <w:r w:rsidRPr="00184084">
              <w:rPr>
                <w:rFonts w:ascii="Times New Roman" w:hAnsi="Times New Roman"/>
                <w:szCs w:val="20"/>
              </w:rPr>
              <w:t>repo transakciách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zmysle vymedzenia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 xml:space="preserve">článku 4 ods. 1 bode 82 nariadenia (EÚ) </w:t>
            </w:r>
            <w:r w:rsidR="00184084">
              <w:rPr>
                <w:rFonts w:ascii="Times New Roman" w:hAnsi="Times New Roman"/>
                <w:szCs w:val="20"/>
              </w:rPr>
              <w:t>č. </w:t>
            </w:r>
            <w:r w:rsidRPr="00184084">
              <w:rPr>
                <w:rFonts w:ascii="Times New Roman" w:hAnsi="Times New Roman"/>
                <w:szCs w:val="20"/>
              </w:rPr>
              <w:t>575/2013]</w:t>
            </w:r>
          </w:p>
          <w:p w14:paraId="66F4842F" w14:textId="77777777" w:rsidR="00874315" w:rsidRPr="00184084" w:rsidRDefault="00874315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</w:p>
          <w:p w14:paraId="4D7FE979" w14:textId="6414E0A1" w:rsidR="00874315" w:rsidRPr="00184084" w:rsidRDefault="00A344AA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b/>
                <w:szCs w:val="20"/>
              </w:rPr>
              <w:t>CB</w:t>
            </w:r>
            <w:r w:rsidRPr="00184084">
              <w:rPr>
                <w:rFonts w:ascii="Times New Roman" w:hAnsi="Times New Roman"/>
                <w:szCs w:val="20"/>
              </w:rPr>
              <w:t xml:space="preserve"> [financovanie získané</w:t>
            </w:r>
            <w:r w:rsidR="00184084">
              <w:rPr>
                <w:rFonts w:ascii="Times New Roman" w:hAnsi="Times New Roman"/>
                <w:szCs w:val="20"/>
              </w:rPr>
              <w:t xml:space="preserve"> z </w:t>
            </w:r>
            <w:r w:rsidRPr="00184084">
              <w:rPr>
                <w:rFonts w:ascii="Times New Roman" w:hAnsi="Times New Roman"/>
                <w:szCs w:val="20"/>
              </w:rPr>
              <w:t>emisie krytých dlhopisov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zmysle vymedzenia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 xml:space="preserve">článku 129 ods. 4 alebo 5 nariadenia (EÚ) </w:t>
            </w:r>
            <w:r w:rsidR="00184084">
              <w:rPr>
                <w:rFonts w:ascii="Times New Roman" w:hAnsi="Times New Roman"/>
                <w:szCs w:val="20"/>
              </w:rPr>
              <w:t>č. </w:t>
            </w:r>
            <w:r w:rsidRPr="00184084">
              <w:rPr>
                <w:rFonts w:ascii="Times New Roman" w:hAnsi="Times New Roman"/>
                <w:szCs w:val="20"/>
              </w:rPr>
              <w:t>575/2013 alebo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článku 52 ods. 4 smernice 2009/65/ES]</w:t>
            </w:r>
          </w:p>
          <w:p w14:paraId="3F2C9E19" w14:textId="77777777" w:rsidR="00874315" w:rsidRPr="00184084" w:rsidRDefault="00874315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</w:p>
          <w:p w14:paraId="2DBA0870" w14:textId="2F7A202A" w:rsidR="00874315" w:rsidRPr="00184084" w:rsidRDefault="00A344AA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b/>
                <w:szCs w:val="20"/>
              </w:rPr>
              <w:t xml:space="preserve">ABS </w:t>
            </w:r>
            <w:r w:rsidRPr="00184084">
              <w:rPr>
                <w:rFonts w:ascii="Times New Roman" w:hAnsi="Times New Roman"/>
                <w:szCs w:val="20"/>
              </w:rPr>
              <w:t>(financovanie získané</w:t>
            </w:r>
            <w:r w:rsidR="00184084">
              <w:rPr>
                <w:rFonts w:ascii="Times New Roman" w:hAnsi="Times New Roman"/>
                <w:szCs w:val="20"/>
              </w:rPr>
              <w:t xml:space="preserve"> z </w:t>
            </w:r>
            <w:r w:rsidRPr="00184084">
              <w:rPr>
                <w:rFonts w:ascii="Times New Roman" w:hAnsi="Times New Roman"/>
                <w:szCs w:val="20"/>
              </w:rPr>
              <w:t>emisie cenných papierov zabezpečených aktívami vrátane aktívami zabezpečených krátkodobých obchodovateľných cenných papierov)</w:t>
            </w:r>
          </w:p>
          <w:p w14:paraId="54E284FB" w14:textId="77777777" w:rsidR="00874315" w:rsidRPr="00184084" w:rsidRDefault="00874315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</w:p>
          <w:p w14:paraId="1114784A" w14:textId="7401C408" w:rsidR="00874315" w:rsidRPr="00184084" w:rsidRDefault="00A344AA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b/>
                <w:szCs w:val="20"/>
              </w:rPr>
              <w:t>IGCP</w:t>
            </w:r>
            <w:r w:rsidRPr="00184084">
              <w:rPr>
                <w:rFonts w:ascii="Times New Roman" w:hAnsi="Times New Roman"/>
                <w:szCs w:val="20"/>
              </w:rPr>
              <w:t xml:space="preserve"> (financovanie získané od protistrán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rámci skupiny)</w:t>
            </w:r>
          </w:p>
          <w:p w14:paraId="59575FF6" w14:textId="77777777" w:rsidR="00874315" w:rsidRPr="00184084" w:rsidRDefault="00874315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</w:p>
          <w:p w14:paraId="0809393C" w14:textId="77777777" w:rsidR="00874315" w:rsidRPr="00184084" w:rsidRDefault="00A344AA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b/>
                <w:szCs w:val="20"/>
              </w:rPr>
              <w:t>OSWF</w:t>
            </w:r>
            <w:r w:rsidRPr="00184084">
              <w:rPr>
                <w:rFonts w:ascii="Times New Roman" w:hAnsi="Times New Roman"/>
                <w:szCs w:val="20"/>
              </w:rPr>
              <w:t xml:space="preserve"> (iné zabezpečené veľkoobchodné financovanie)</w:t>
            </w:r>
          </w:p>
          <w:p w14:paraId="64E5769B" w14:textId="77777777" w:rsidR="00874315" w:rsidRPr="00184084" w:rsidRDefault="00874315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</w:p>
          <w:p w14:paraId="520400E8" w14:textId="77777777" w:rsidR="00874315" w:rsidRPr="00184084" w:rsidRDefault="00A344AA">
            <w:pPr>
              <w:spacing w:before="0" w:after="0"/>
              <w:ind w:left="108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b/>
                <w:szCs w:val="20"/>
              </w:rPr>
              <w:t>OFP</w:t>
            </w:r>
            <w:r w:rsidRPr="00184084">
              <w:rPr>
                <w:rFonts w:ascii="Times New Roman" w:hAnsi="Times New Roman"/>
                <w:szCs w:val="20"/>
              </w:rPr>
              <w:t xml:space="preserve"> (iné finančné produkty, napr. retailové financovanie)</w:t>
            </w:r>
          </w:p>
          <w:p w14:paraId="7EA3B3FF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874315" w:rsidRPr="00184084" w14:paraId="5F88F47E" w14:textId="77777777" w:rsidTr="003D0976">
        <w:trPr>
          <w:trHeight w:val="510"/>
        </w:trPr>
        <w:tc>
          <w:tcPr>
            <w:tcW w:w="729" w:type="pct"/>
            <w:shd w:val="clear" w:color="auto" w:fill="auto"/>
            <w:noWrap/>
          </w:tcPr>
          <w:p w14:paraId="6C7A5E49" w14:textId="77777777" w:rsidR="00874315" w:rsidRPr="001840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060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80056A" w14:textId="77777777" w:rsidR="00874315" w:rsidRPr="00184084" w:rsidRDefault="00A344AA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Prijatá suma</w:t>
            </w:r>
          </w:p>
          <w:p w14:paraId="235C86C1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7E6BF429" w14:textId="09AB5CD9" w:rsidR="00184084" w:rsidRDefault="00A344AA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Celková výška financovania prijatá od protistrán vykázaných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010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 060. Inštitúcie tu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tejto súvislosti vykážu účtovné hodnoty</w:t>
            </w:r>
            <w:r w:rsidR="00184084">
              <w:rPr>
                <w:rFonts w:ascii="Times New Roman" w:hAnsi="Times New Roman"/>
                <w:szCs w:val="20"/>
              </w:rPr>
              <w:t>.</w:t>
            </w:r>
          </w:p>
          <w:p w14:paraId="380CD660" w14:textId="4F3D517C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874315" w:rsidRPr="00184084" w14:paraId="12BAF631" w14:textId="77777777" w:rsidTr="005B086D">
        <w:trPr>
          <w:trHeight w:val="2537"/>
        </w:trPr>
        <w:tc>
          <w:tcPr>
            <w:tcW w:w="729" w:type="pct"/>
            <w:shd w:val="clear" w:color="auto" w:fill="auto"/>
            <w:noWrap/>
          </w:tcPr>
          <w:p w14:paraId="24187AE3" w14:textId="77777777" w:rsidR="00874315" w:rsidRPr="001840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070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5A2F2CA2" w14:textId="7DA0BFAE" w:rsidR="00874315" w:rsidRPr="00184084" w:rsidRDefault="00A344AA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Vážená priemerná pôvodná splatnosť</w:t>
            </w:r>
          </w:p>
          <w:p w14:paraId="5ED01858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7042CB79" w14:textId="48A8F745" w:rsidR="00874315" w:rsidRPr="00184084" w:rsidRDefault="00A344AA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Pre objem financovania, ktorý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060, prijatého od protistrany vykázanej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010, sa vážená priemerná pôvodná splatnosť (v dňoch) pre uvedené financovanie uvádza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070.</w:t>
            </w:r>
          </w:p>
          <w:p w14:paraId="4D84C330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33D52360" w14:textId="1BA0180A" w:rsidR="00874315" w:rsidRPr="00184084" w:rsidRDefault="008563C0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Vážená priemerná pôvodná splatnosť sa vypočíta ako priemerná pôvodná splatnosť (v dňoch) financovania prijatého od uvedenej protistrany. Priemer je vážený podľa veľkosti,</w:t>
            </w:r>
            <w:r w:rsidR="00184084">
              <w:rPr>
                <w:rFonts w:ascii="Times New Roman" w:hAnsi="Times New Roman"/>
                <w:szCs w:val="20"/>
              </w:rPr>
              <w:t xml:space="preserve"> a </w:t>
            </w:r>
            <w:r w:rsidRPr="00184084">
              <w:rPr>
                <w:rFonts w:ascii="Times New Roman" w:hAnsi="Times New Roman"/>
                <w:szCs w:val="20"/>
              </w:rPr>
              <w:t>to na základe veľkosti rôznych prijatých objemov financovania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pomere</w:t>
            </w:r>
            <w:r w:rsidR="00184084">
              <w:rPr>
                <w:rFonts w:ascii="Times New Roman" w:hAnsi="Times New Roman"/>
                <w:szCs w:val="20"/>
              </w:rPr>
              <w:t xml:space="preserve"> k </w:t>
            </w:r>
            <w:r w:rsidRPr="00184084">
              <w:rPr>
                <w:rFonts w:ascii="Times New Roman" w:hAnsi="Times New Roman"/>
                <w:szCs w:val="20"/>
              </w:rPr>
              <w:t>celkovému financovaniu prijatému od uvedenej protistrany.</w:t>
            </w:r>
          </w:p>
        </w:tc>
      </w:tr>
      <w:tr w:rsidR="00874315" w:rsidRPr="00184084" w14:paraId="3227884A" w14:textId="77777777" w:rsidTr="005B086D">
        <w:trPr>
          <w:trHeight w:val="46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298360E3" w14:textId="77777777" w:rsidR="00874315" w:rsidRPr="001840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080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28A8F3" w14:textId="77777777" w:rsidR="00874315" w:rsidRPr="00184084" w:rsidRDefault="00A344AA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Vážená priemerná zostatková splatnosť</w:t>
            </w:r>
          </w:p>
          <w:p w14:paraId="22E64CDE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781FAB46" w14:textId="6D0C633A" w:rsidR="00874315" w:rsidRPr="00184084" w:rsidRDefault="00A344AA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Pre objem financovania, ktorý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060, prijatého od protistrany vykázanej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010, sa vážená priemerná zostatková splatnosť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dňoch pre uvedené financovanie uvádza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080.</w:t>
            </w:r>
          </w:p>
          <w:p w14:paraId="71FA9955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4CB0B549" w14:textId="59247594" w:rsidR="00874315" w:rsidRPr="00184084" w:rsidRDefault="009C059B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szCs w:val="20"/>
              </w:rPr>
              <w:t>Vážená priemerná zostatková splatnosť sa vypočíta ako priemerná splatnosť (v zostávajúcich dňoch) financovania prijatého od uvedenej protistrany. Priemer je vážený podľa veľkosti,</w:t>
            </w:r>
            <w:r w:rsidR="00184084">
              <w:rPr>
                <w:rFonts w:ascii="Times New Roman" w:hAnsi="Times New Roman"/>
                <w:szCs w:val="20"/>
              </w:rPr>
              <w:t xml:space="preserve"> a </w:t>
            </w:r>
            <w:r w:rsidRPr="00184084">
              <w:rPr>
                <w:rFonts w:ascii="Times New Roman" w:hAnsi="Times New Roman"/>
                <w:szCs w:val="20"/>
              </w:rPr>
              <w:t>to na základe veľkosti rôznych prijatých objemov financovania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pomere</w:t>
            </w:r>
            <w:r w:rsidR="00184084">
              <w:rPr>
                <w:rFonts w:ascii="Times New Roman" w:hAnsi="Times New Roman"/>
                <w:szCs w:val="20"/>
              </w:rPr>
              <w:t xml:space="preserve"> k </w:t>
            </w:r>
            <w:r w:rsidRPr="00184084">
              <w:rPr>
                <w:rFonts w:ascii="Times New Roman" w:hAnsi="Times New Roman"/>
                <w:szCs w:val="20"/>
              </w:rPr>
              <w:t>celkovému financovaniu prijatému od uvedenej protistrany.</w:t>
            </w:r>
          </w:p>
        </w:tc>
      </w:tr>
    </w:tbl>
    <w:p w14:paraId="0520EE98" w14:textId="77777777" w:rsidR="00874315" w:rsidRPr="00184084" w:rsidRDefault="00A344AA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184084">
        <w:rPr>
          <w:rFonts w:ascii="Times New Roman" w:hAnsi="Times New Roman"/>
          <w:szCs w:val="20"/>
        </w:rPr>
        <w:lastRenderedPageBreak/>
        <w:t>Koncentrácia financovania podľa typu produktu (C 68.00)</w:t>
      </w:r>
    </w:p>
    <w:p w14:paraId="5B6DFC15" w14:textId="4FFD2BCC" w:rsidR="00874315" w:rsidRPr="00184084" w:rsidRDefault="00A344AA">
      <w:pPr>
        <w:pStyle w:val="InstructionsText2"/>
        <w:numPr>
          <w:ilvl w:val="0"/>
          <w:numId w:val="13"/>
        </w:numPr>
        <w:rPr>
          <w:u w:val="none"/>
        </w:rPr>
      </w:pPr>
      <w:r w:rsidRPr="00184084">
        <w:rPr>
          <w:u w:val="none"/>
        </w:rPr>
        <w:t>Účelom tohto vzoru je zhromaždiť informácie</w:t>
      </w:r>
      <w:r w:rsidR="00184084">
        <w:rPr>
          <w:u w:val="none"/>
        </w:rPr>
        <w:t xml:space="preserve"> o </w:t>
      </w:r>
      <w:r w:rsidRPr="00184084">
        <w:rPr>
          <w:u w:val="none"/>
        </w:rPr>
        <w:t>koncentrácii financovania vykazujúcich inštitúcií podľa typu produktu, rozčleneného do typov financovania, ako sú uvedené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nasledujúcich pokynoch týkajúcich sa riadkov: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279"/>
      </w:tblGrid>
      <w:tr w:rsidR="00874315" w:rsidRPr="00184084" w14:paraId="4806820B" w14:textId="77777777" w:rsidTr="00D75947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60B78C9D" w14:textId="2D8C2365" w:rsidR="00874315" w:rsidRPr="00184084" w:rsidRDefault="003439C5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184084">
              <w:rPr>
                <w:rStyle w:val="InstructionsTabelleText"/>
                <w:rFonts w:ascii="Times New Roman" w:hAnsi="Times New Roman"/>
                <w:szCs w:val="20"/>
              </w:rPr>
              <w:t>Riadok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C9A56F2" w14:textId="5F275A1D" w:rsidR="00874315" w:rsidRPr="00184084" w:rsidRDefault="003439C5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184084">
              <w:rPr>
                <w:rStyle w:val="InstructionsTabelleText"/>
                <w:rFonts w:ascii="Times New Roman" w:hAnsi="Times New Roman"/>
                <w:szCs w:val="20"/>
              </w:rPr>
              <w:t>Odkazy na právne predpisy</w:t>
            </w:r>
            <w:r w:rsidR="00184084">
              <w:rPr>
                <w:rStyle w:val="InstructionsTabelleText"/>
                <w:rFonts w:ascii="Times New Roman" w:hAnsi="Times New Roman"/>
                <w:szCs w:val="20"/>
              </w:rPr>
              <w:t xml:space="preserve"> a </w:t>
            </w:r>
            <w:r w:rsidRPr="00184084">
              <w:rPr>
                <w:rStyle w:val="InstructionsTabelleText"/>
                <w:rFonts w:ascii="Times New Roman" w:hAnsi="Times New Roman"/>
                <w:szCs w:val="20"/>
              </w:rPr>
              <w:t>pokyny</w:t>
            </w:r>
          </w:p>
        </w:tc>
      </w:tr>
      <w:tr w:rsidR="00874315" w:rsidRPr="00184084" w14:paraId="72F8A6C8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7AAB3" w14:textId="77777777" w:rsidR="00874315" w:rsidRPr="00184084" w:rsidRDefault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C7289" w14:textId="3BF13311" w:rsidR="00874315" w:rsidRPr="00184084" w:rsidRDefault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1.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ab/>
              <w:t>Retailové financovanie</w:t>
            </w:r>
          </w:p>
          <w:p w14:paraId="7762E5FB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281DC3E6" w14:textId="38EE6BF9" w:rsidR="00874315" w:rsidRPr="00184084" w:rsidRDefault="00E87A50">
            <w:pPr>
              <w:spacing w:before="0" w:after="0"/>
              <w:rPr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Retailové vklady, ako sú vymedzené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článku 3 ods. 8 delegovaného nariadenia 2015/61.</w:t>
            </w:r>
          </w:p>
          <w:p w14:paraId="18F10FD2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874315" w:rsidRPr="00184084" w14:paraId="1A68CA37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32909" w14:textId="77777777" w:rsidR="00874315" w:rsidRPr="00184084" w:rsidRDefault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36458" w14:textId="74C17FCD" w:rsidR="00874315" w:rsidRPr="00184084" w:rsidRDefault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1.1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ab/>
              <w:t>z čoho netermínované vklady;</w:t>
            </w:r>
          </w:p>
          <w:p w14:paraId="3D85DAFF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6F473929" w14:textId="232EE01E" w:rsidR="00874315" w:rsidRPr="00184084" w:rsidRDefault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szCs w:val="20"/>
              </w:rPr>
              <w:t>Netermínované vklady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rámci retailového financovania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riadku 010.</w:t>
            </w:r>
          </w:p>
        </w:tc>
      </w:tr>
      <w:tr w:rsidR="00874315" w:rsidRPr="00184084" w14:paraId="79D365ED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25E3F" w14:textId="732B510C" w:rsidR="00874315" w:rsidRPr="00184084" w:rsidRDefault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031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FFD85" w14:textId="2A296146" w:rsidR="00874315" w:rsidRPr="00184084" w:rsidRDefault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1.2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ab/>
              <w:t>z čoho termínované vklady bez možnosti výberu počas nasledujúcich 30 dní;</w:t>
            </w:r>
          </w:p>
          <w:p w14:paraId="664C04FE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3F7154EA" w14:textId="1B5CAA27" w:rsidR="00874315" w:rsidRPr="00184084" w:rsidRDefault="003439C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szCs w:val="20"/>
              </w:rPr>
              <w:t>Tie vklady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rámci retailového financovania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riadku 010, ktoré sa považujú za terminované vklady bez možnosti výberu počas nasledujúcich 30 dní.</w:t>
            </w:r>
          </w:p>
        </w:tc>
      </w:tr>
      <w:tr w:rsidR="00874315" w:rsidRPr="00184084" w14:paraId="69E1811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3DFA3BE5" w14:textId="7508042F" w:rsidR="00874315" w:rsidRPr="00184084" w:rsidRDefault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041</w:t>
            </w:r>
          </w:p>
        </w:tc>
        <w:tc>
          <w:tcPr>
            <w:tcW w:w="4271" w:type="pct"/>
            <w:shd w:val="clear" w:color="auto" w:fill="auto"/>
          </w:tcPr>
          <w:p w14:paraId="155ED8D2" w14:textId="50B88844" w:rsidR="00874315" w:rsidRPr="00184084" w:rsidRDefault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1.3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ab/>
              <w:t>z čoho termínované vklady</w:t>
            </w:r>
            <w:r w:rsidR="00184084">
              <w:rPr>
                <w:rFonts w:ascii="Times New Roman" w:hAnsi="Times New Roman"/>
                <w:b/>
                <w:szCs w:val="20"/>
                <w:u w:val="single"/>
              </w:rPr>
              <w:t xml:space="preserve"> s 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možnosťou výberu počas nasledujúcich 30 dní;</w:t>
            </w:r>
          </w:p>
          <w:p w14:paraId="16BCACF7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291A1D44" w14:textId="21D85122" w:rsidR="00874315" w:rsidRPr="00184084" w:rsidRDefault="00F40FD4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Tie vklady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rámci retailového financovania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riadku 010, ktoré sa považujú za terminované vklady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možnosťou výberu počas nasledujúcich 30 dní.</w:t>
            </w:r>
          </w:p>
        </w:tc>
      </w:tr>
      <w:tr w:rsidR="00874315" w:rsidRPr="00184084" w14:paraId="1074049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0B22ECFC" w14:textId="3166A4D3" w:rsidR="00874315" w:rsidRPr="00184084" w:rsidRDefault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070</w:t>
            </w:r>
          </w:p>
        </w:tc>
        <w:tc>
          <w:tcPr>
            <w:tcW w:w="4271" w:type="pct"/>
            <w:shd w:val="clear" w:color="auto" w:fill="auto"/>
          </w:tcPr>
          <w:p w14:paraId="7A9B7AD4" w14:textId="19707CF9" w:rsidR="00874315" w:rsidRPr="00184084" w:rsidRDefault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1.4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ab/>
              <w:t>z čoho sporiace účty</w:t>
            </w:r>
            <w:r w:rsidR="00184084">
              <w:rPr>
                <w:rFonts w:ascii="Times New Roman" w:hAnsi="Times New Roman"/>
                <w:b/>
                <w:szCs w:val="20"/>
                <w:u w:val="single"/>
              </w:rPr>
              <w:t xml:space="preserve"> s 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jednou</w:t>
            </w:r>
            <w:r w:rsidR="00184084">
              <w:rPr>
                <w:rFonts w:ascii="Times New Roman" w:hAnsi="Times New Roman"/>
                <w:b/>
                <w:szCs w:val="20"/>
                <w:u w:val="single"/>
              </w:rPr>
              <w:t xml:space="preserve"> z 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týchto vlastností:</w:t>
            </w:r>
          </w:p>
          <w:p w14:paraId="1715A370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1F5A77EE" w14:textId="71C21475" w:rsidR="00874315" w:rsidRPr="00184084" w:rsidRDefault="00F40FD4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Tie vklady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rámci retailového financovania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riadku 010, ktoré sa považujú za sporiace účty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jednou</w:t>
            </w:r>
            <w:r w:rsidR="00184084">
              <w:rPr>
                <w:rFonts w:ascii="Times New Roman" w:hAnsi="Times New Roman"/>
                <w:szCs w:val="20"/>
              </w:rPr>
              <w:t xml:space="preserve"> z </w:t>
            </w:r>
            <w:r w:rsidRPr="00184084">
              <w:rPr>
                <w:rFonts w:ascii="Times New Roman" w:hAnsi="Times New Roman"/>
                <w:szCs w:val="20"/>
              </w:rPr>
              <w:t>týchto vlastností:</w:t>
            </w:r>
          </w:p>
          <w:p w14:paraId="7001BAD2" w14:textId="49D17359" w:rsidR="00874315" w:rsidRPr="00184084" w:rsidRDefault="00F40FD4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–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výpovednou lehotou na výber dlhšou ako 30 dní,</w:t>
            </w:r>
          </w:p>
          <w:p w14:paraId="4855CDD4" w14:textId="77777777" w:rsidR="00184084" w:rsidRDefault="00F40FD4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– bez výpovednej lehoty na výber, ktorá je dlhšia ako 30 dní</w:t>
            </w:r>
            <w:r w:rsidR="00184084">
              <w:rPr>
                <w:rFonts w:ascii="Times New Roman" w:hAnsi="Times New Roman"/>
                <w:szCs w:val="20"/>
              </w:rPr>
              <w:t>.</w:t>
            </w:r>
          </w:p>
          <w:p w14:paraId="73B00647" w14:textId="0E82BB3D" w:rsidR="00874315" w:rsidRPr="00184084" w:rsidRDefault="00874315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393C0E32" w14:textId="77777777" w:rsidR="00874315" w:rsidRPr="00184084" w:rsidRDefault="00B96DDB">
            <w:pPr>
              <w:spacing w:before="0" w:after="0"/>
              <w:rPr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Tento riadok sa nevykazuje.</w:t>
            </w:r>
          </w:p>
          <w:p w14:paraId="0D6901BA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874315" w:rsidRPr="00184084" w14:paraId="36C0FB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67C152B" w14:textId="7FCDBA6F" w:rsidR="00874315" w:rsidRPr="00184084" w:rsidRDefault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080</w:t>
            </w:r>
          </w:p>
        </w:tc>
        <w:tc>
          <w:tcPr>
            <w:tcW w:w="4271" w:type="pct"/>
            <w:shd w:val="clear" w:color="auto" w:fill="auto"/>
          </w:tcPr>
          <w:p w14:paraId="208924A1" w14:textId="4E469B33" w:rsidR="00874315" w:rsidRPr="00184084" w:rsidRDefault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 xml:space="preserve">1.4.1 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ab/>
              <w:t>s výpovednou lehotou na výber dlhšou ako 30 dní;</w:t>
            </w:r>
          </w:p>
          <w:p w14:paraId="2CB5668A" w14:textId="3D538603" w:rsidR="00874315" w:rsidRPr="00184084" w:rsidRDefault="00F40FD4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Tie vklady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rámci retailového financovania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riadku 010, ktoré sa považujú za sporiace účty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výpovednou lehotou na výber dlhšou ako 30 dní.</w:t>
            </w:r>
          </w:p>
          <w:p w14:paraId="3144C832" w14:textId="3416971B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874315" w:rsidRPr="00184084" w14:paraId="29C0B503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65A670" w14:textId="5C7948D3" w:rsidR="00874315" w:rsidRPr="00184084" w:rsidRDefault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090</w:t>
            </w:r>
          </w:p>
        </w:tc>
        <w:tc>
          <w:tcPr>
            <w:tcW w:w="4271" w:type="pct"/>
            <w:shd w:val="clear" w:color="auto" w:fill="auto"/>
          </w:tcPr>
          <w:p w14:paraId="41FDDED5" w14:textId="0D19B3DF" w:rsidR="00874315" w:rsidRPr="00184084" w:rsidRDefault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 xml:space="preserve">1.4.2 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ab/>
              <w:t>bez výpovednej lehoty na výber, ktorá je dlhšia ako 30 dní</w:t>
            </w:r>
          </w:p>
          <w:p w14:paraId="435A673F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1B1078F3" w14:textId="1665887B" w:rsidR="00874315" w:rsidRPr="00184084" w:rsidRDefault="00F40FD4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Tie vklady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rámci retailového financovania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riadku 010, ktoré sa považujú za sporiace účty bez výpovednej lehoty na výber dlhšej ako 30 dní.</w:t>
            </w:r>
          </w:p>
          <w:p w14:paraId="64AF0787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874315" w:rsidRPr="00184084" w14:paraId="3EAE3AB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013687" w14:textId="7E7DAB46" w:rsidR="00874315" w:rsidRPr="00184084" w:rsidRDefault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100</w:t>
            </w:r>
          </w:p>
        </w:tc>
        <w:tc>
          <w:tcPr>
            <w:tcW w:w="4271" w:type="pct"/>
            <w:shd w:val="clear" w:color="auto" w:fill="auto"/>
          </w:tcPr>
          <w:p w14:paraId="2DB2F0A4" w14:textId="1F33BA69" w:rsidR="00874315" w:rsidRPr="00184084" w:rsidRDefault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2.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ab/>
              <w:t>Za veľkoobchodné financovanie sa považuje také financovanie, ktoré pozostáva</w:t>
            </w:r>
            <w:r w:rsidR="00184084">
              <w:rPr>
                <w:rFonts w:ascii="Times New Roman" w:hAnsi="Times New Roman"/>
                <w:b/>
                <w:szCs w:val="20"/>
                <w:u w:val="single"/>
              </w:rPr>
              <w:t xml:space="preserve"> z 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ktorejkoľvek</w:t>
            </w:r>
            <w:r w:rsidR="00184084">
              <w:rPr>
                <w:rFonts w:ascii="Times New Roman" w:hAnsi="Times New Roman"/>
                <w:b/>
                <w:szCs w:val="20"/>
                <w:u w:val="single"/>
              </w:rPr>
              <w:t xml:space="preserve"> z 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týchto možností:</w:t>
            </w:r>
          </w:p>
          <w:p w14:paraId="44C69ED7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2A1113B0" w14:textId="1AAD349E" w:rsidR="00874315" w:rsidRPr="00184084" w:rsidRDefault="006624FA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Všetky protistrany okrem tých retailových vkladov, ktoré sú vymedzené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článku 3 ods. 8 delegovaného nariadenia 2015/61.</w:t>
            </w:r>
          </w:p>
          <w:p w14:paraId="70E19694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195A99EA" w14:textId="4C20BC3D" w:rsidR="00874315" w:rsidRPr="00184084" w:rsidRDefault="00D75947">
            <w:pPr>
              <w:spacing w:before="0" w:after="0"/>
              <w:rPr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Tento riadok sa nevykazuje.</w:t>
            </w:r>
          </w:p>
          <w:p w14:paraId="5A95C4DD" w14:textId="50C842AE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874315" w:rsidRPr="00184084" w14:paraId="0F613C49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17EFDE" w14:textId="7DD7A036" w:rsidR="00874315" w:rsidRPr="00184084" w:rsidRDefault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110</w:t>
            </w:r>
          </w:p>
        </w:tc>
        <w:tc>
          <w:tcPr>
            <w:tcW w:w="4271" w:type="pct"/>
            <w:shd w:val="clear" w:color="auto" w:fill="auto"/>
          </w:tcPr>
          <w:p w14:paraId="123E76B1" w14:textId="0074CE4E" w:rsidR="00874315" w:rsidRPr="00184084" w:rsidRDefault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2.1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ab/>
              <w:t>nezabezpečené veľkoobchodné financovanie;</w:t>
            </w:r>
          </w:p>
          <w:p w14:paraId="08EF0039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765487C0" w14:textId="7BBF0EC4" w:rsidR="00874315" w:rsidRPr="00184084" w:rsidRDefault="00AD3ACF">
            <w:pPr>
              <w:spacing w:before="0" w:after="0"/>
              <w:rPr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Všetky protistrany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nezabezpečeným financovaním okrem tých retailových vkladov, ktoré sú vymedzené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článku 3 ods. 8 delegovaného nariadenia 2015/61.</w:t>
            </w:r>
          </w:p>
          <w:p w14:paraId="4259F037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874315" w:rsidRPr="00184084" w14:paraId="53E051F8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B94D89A" w14:textId="75267786" w:rsidR="00874315" w:rsidRPr="00184084" w:rsidRDefault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lastRenderedPageBreak/>
              <w:t>120</w:t>
            </w:r>
          </w:p>
        </w:tc>
        <w:tc>
          <w:tcPr>
            <w:tcW w:w="4271" w:type="pct"/>
            <w:shd w:val="clear" w:color="auto" w:fill="auto"/>
          </w:tcPr>
          <w:p w14:paraId="6C6FDC97" w14:textId="6A03A72E" w:rsidR="00874315" w:rsidRPr="00184084" w:rsidRDefault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2.1.1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ab/>
              <w:t>z čoho úvery</w:t>
            </w:r>
            <w:r w:rsidR="00184084">
              <w:rPr>
                <w:rFonts w:ascii="Times New Roman" w:hAnsi="Times New Roman"/>
                <w:b/>
                <w:szCs w:val="20"/>
                <w:u w:val="single"/>
              </w:rPr>
              <w:t xml:space="preserve"> a 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vklady od finančných klientov;</w:t>
            </w:r>
          </w:p>
          <w:p w14:paraId="3BB695C9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0788F5FB" w14:textId="693D85C9" w:rsidR="00874315" w:rsidRPr="00184084" w:rsidRDefault="00AD3ACF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To financovanie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riadku 110, ktoré pozostáva</w:t>
            </w:r>
            <w:r w:rsidR="00184084">
              <w:rPr>
                <w:rFonts w:ascii="Times New Roman" w:hAnsi="Times New Roman"/>
                <w:szCs w:val="20"/>
              </w:rPr>
              <w:t xml:space="preserve"> z </w:t>
            </w:r>
            <w:r w:rsidRPr="00184084">
              <w:rPr>
                <w:rFonts w:ascii="Times New Roman" w:hAnsi="Times New Roman"/>
                <w:szCs w:val="20"/>
              </w:rPr>
              <w:t>úverov</w:t>
            </w:r>
            <w:r w:rsidR="00184084">
              <w:rPr>
                <w:rFonts w:ascii="Times New Roman" w:hAnsi="Times New Roman"/>
                <w:szCs w:val="20"/>
              </w:rPr>
              <w:t xml:space="preserve"> a </w:t>
            </w:r>
            <w:r w:rsidRPr="00184084">
              <w:rPr>
                <w:rFonts w:ascii="Times New Roman" w:hAnsi="Times New Roman"/>
                <w:szCs w:val="20"/>
              </w:rPr>
              <w:t>vkladov od finančných klientov.</w:t>
            </w:r>
          </w:p>
          <w:p w14:paraId="1EBF28E1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31D88F5C" w14:textId="22BDA137" w:rsidR="00184084" w:rsidRDefault="00D75947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Financovanie</w:t>
            </w:r>
            <w:r w:rsidR="00184084">
              <w:rPr>
                <w:rFonts w:ascii="Times New Roman" w:hAnsi="Times New Roman"/>
                <w:szCs w:val="20"/>
              </w:rPr>
              <w:t xml:space="preserve"> z </w:t>
            </w:r>
            <w:r w:rsidRPr="00184084">
              <w:rPr>
                <w:rFonts w:ascii="Times New Roman" w:hAnsi="Times New Roman"/>
                <w:szCs w:val="20"/>
              </w:rPr>
              <w:t>centrálnych bánk je</w:t>
            </w:r>
            <w:r w:rsidR="00184084">
              <w:rPr>
                <w:rFonts w:ascii="Times New Roman" w:hAnsi="Times New Roman"/>
                <w:szCs w:val="20"/>
              </w:rPr>
              <w:t xml:space="preserve"> z </w:t>
            </w:r>
            <w:r w:rsidRPr="00184084">
              <w:rPr>
                <w:rFonts w:ascii="Times New Roman" w:hAnsi="Times New Roman"/>
                <w:szCs w:val="20"/>
              </w:rPr>
              <w:t>tohto riadku vylúčené</w:t>
            </w:r>
            <w:r w:rsidR="00184084">
              <w:rPr>
                <w:rFonts w:ascii="Times New Roman" w:hAnsi="Times New Roman"/>
                <w:szCs w:val="20"/>
              </w:rPr>
              <w:t>.</w:t>
            </w:r>
          </w:p>
          <w:p w14:paraId="4846816F" w14:textId="1EC62079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874315" w:rsidRPr="00184084" w14:paraId="63BC41F1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7837B5F4" w14:textId="08872ADF" w:rsidR="00874315" w:rsidRPr="00184084" w:rsidRDefault="003439C5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130</w:t>
            </w:r>
          </w:p>
        </w:tc>
        <w:tc>
          <w:tcPr>
            <w:tcW w:w="4271" w:type="pct"/>
            <w:shd w:val="clear" w:color="auto" w:fill="auto"/>
          </w:tcPr>
          <w:p w14:paraId="06A755FB" w14:textId="278D4FBE" w:rsidR="00874315" w:rsidRPr="00184084" w:rsidRDefault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2.1.2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ab/>
              <w:t>z čoho úvery</w:t>
            </w:r>
            <w:r w:rsidR="00184084">
              <w:rPr>
                <w:rFonts w:ascii="Times New Roman" w:hAnsi="Times New Roman"/>
                <w:b/>
                <w:szCs w:val="20"/>
                <w:u w:val="single"/>
              </w:rPr>
              <w:t xml:space="preserve"> a 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vklady od nefinančných klientov;</w:t>
            </w:r>
          </w:p>
          <w:p w14:paraId="02E65316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6E637B97" w14:textId="6C60CF70" w:rsidR="00874315" w:rsidRPr="00184084" w:rsidRDefault="00AD3ACF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To financovanie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riadku 110, ktoré pozostáva</w:t>
            </w:r>
            <w:r w:rsidR="00184084">
              <w:rPr>
                <w:rFonts w:ascii="Times New Roman" w:hAnsi="Times New Roman"/>
                <w:szCs w:val="20"/>
              </w:rPr>
              <w:t xml:space="preserve"> z </w:t>
            </w:r>
            <w:r w:rsidRPr="00184084">
              <w:rPr>
                <w:rFonts w:ascii="Times New Roman" w:hAnsi="Times New Roman"/>
                <w:szCs w:val="20"/>
              </w:rPr>
              <w:t>úverov</w:t>
            </w:r>
            <w:r w:rsidR="00184084">
              <w:rPr>
                <w:rFonts w:ascii="Times New Roman" w:hAnsi="Times New Roman"/>
                <w:szCs w:val="20"/>
              </w:rPr>
              <w:t xml:space="preserve"> a </w:t>
            </w:r>
            <w:r w:rsidRPr="00184084">
              <w:rPr>
                <w:rFonts w:ascii="Times New Roman" w:hAnsi="Times New Roman"/>
                <w:szCs w:val="20"/>
              </w:rPr>
              <w:t>vkladov od nefinančných klientov.</w:t>
            </w:r>
          </w:p>
          <w:p w14:paraId="4A6E9ABD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1033118A" w14:textId="71678455" w:rsidR="00874315" w:rsidRPr="00184084" w:rsidRDefault="00D75947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Financovanie</w:t>
            </w:r>
            <w:r w:rsidR="00184084">
              <w:rPr>
                <w:rFonts w:ascii="Times New Roman" w:hAnsi="Times New Roman"/>
                <w:szCs w:val="20"/>
              </w:rPr>
              <w:t xml:space="preserve"> z </w:t>
            </w:r>
            <w:r w:rsidRPr="00184084">
              <w:rPr>
                <w:rFonts w:ascii="Times New Roman" w:hAnsi="Times New Roman"/>
                <w:szCs w:val="20"/>
              </w:rPr>
              <w:t>centrálnych bánk je</w:t>
            </w:r>
            <w:r w:rsidR="00184084">
              <w:rPr>
                <w:rFonts w:ascii="Times New Roman" w:hAnsi="Times New Roman"/>
                <w:szCs w:val="20"/>
              </w:rPr>
              <w:t xml:space="preserve"> z </w:t>
            </w:r>
            <w:r w:rsidRPr="00184084">
              <w:rPr>
                <w:rFonts w:ascii="Times New Roman" w:hAnsi="Times New Roman"/>
                <w:szCs w:val="20"/>
              </w:rPr>
              <w:t>tohto riadku vylúčené.</w:t>
            </w:r>
          </w:p>
          <w:p w14:paraId="0C4C3C91" w14:textId="4533C6EE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874315" w:rsidRPr="00184084" w14:paraId="445F9D7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F6E6B72" w14:textId="51559B88" w:rsidR="00874315" w:rsidRPr="00184084" w:rsidRDefault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140</w:t>
            </w:r>
          </w:p>
        </w:tc>
        <w:tc>
          <w:tcPr>
            <w:tcW w:w="4271" w:type="pct"/>
            <w:shd w:val="clear" w:color="auto" w:fill="auto"/>
          </w:tcPr>
          <w:p w14:paraId="08468F41" w14:textId="62A8AA05" w:rsidR="00874315" w:rsidRPr="00184084" w:rsidRDefault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2.1.3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ab/>
              <w:t>z čoho úvery</w:t>
            </w:r>
            <w:r w:rsidR="00184084">
              <w:rPr>
                <w:rFonts w:ascii="Times New Roman" w:hAnsi="Times New Roman"/>
                <w:b/>
                <w:szCs w:val="20"/>
                <w:u w:val="single"/>
              </w:rPr>
              <w:t xml:space="preserve"> a 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vklady od subjektov</w:t>
            </w:r>
            <w:r w:rsidR="00184084">
              <w:rPr>
                <w:rFonts w:ascii="Times New Roman" w:hAnsi="Times New Roman"/>
                <w:b/>
                <w:szCs w:val="20"/>
                <w:u w:val="single"/>
              </w:rPr>
              <w:t xml:space="preserve"> v 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rámci skupiny;</w:t>
            </w:r>
          </w:p>
          <w:p w14:paraId="19D87853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1FDA6EC6" w14:textId="4ACC7360" w:rsidR="00874315" w:rsidRPr="00184084" w:rsidRDefault="00AD3ACF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To financovanie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riadku 110, ktoré pozostáva</w:t>
            </w:r>
            <w:r w:rsidR="00184084">
              <w:rPr>
                <w:rFonts w:ascii="Times New Roman" w:hAnsi="Times New Roman"/>
                <w:szCs w:val="20"/>
              </w:rPr>
              <w:t xml:space="preserve"> z </w:t>
            </w:r>
            <w:r w:rsidRPr="00184084">
              <w:rPr>
                <w:rFonts w:ascii="Times New Roman" w:hAnsi="Times New Roman"/>
                <w:szCs w:val="20"/>
              </w:rPr>
              <w:t>úverov</w:t>
            </w:r>
            <w:r w:rsidR="00184084">
              <w:rPr>
                <w:rFonts w:ascii="Times New Roman" w:hAnsi="Times New Roman"/>
                <w:szCs w:val="20"/>
              </w:rPr>
              <w:t xml:space="preserve"> a </w:t>
            </w:r>
            <w:r w:rsidRPr="00184084">
              <w:rPr>
                <w:rFonts w:ascii="Times New Roman" w:hAnsi="Times New Roman"/>
                <w:szCs w:val="20"/>
              </w:rPr>
              <w:t>vkladov od subjektov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rámci skupiny.</w:t>
            </w:r>
          </w:p>
          <w:p w14:paraId="2FC0AC9F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7A1CF7E9" w14:textId="535A1666" w:rsidR="00874315" w:rsidRPr="00184084" w:rsidRDefault="00274EE9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szCs w:val="20"/>
              </w:rPr>
              <w:t>Veľkoobchodné financovanie od subjektov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rámci skupiny sa vykazuje iba na samostatnom alebo subkonsolidovanom základe.</w:t>
            </w:r>
          </w:p>
        </w:tc>
      </w:tr>
      <w:tr w:rsidR="00874315" w:rsidRPr="00184084" w14:paraId="658E26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089A569" w14:textId="39FA57DE" w:rsidR="00874315" w:rsidRPr="00184084" w:rsidRDefault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150</w:t>
            </w:r>
          </w:p>
        </w:tc>
        <w:tc>
          <w:tcPr>
            <w:tcW w:w="4271" w:type="pct"/>
            <w:shd w:val="clear" w:color="auto" w:fill="auto"/>
          </w:tcPr>
          <w:p w14:paraId="247CCF62" w14:textId="77777777" w:rsidR="00184084" w:rsidRDefault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2.2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ab/>
              <w:t>zabezpečené veľkoobchodné financovanie</w:t>
            </w:r>
            <w:r w:rsidR="00184084">
              <w:rPr>
                <w:rFonts w:ascii="Times New Roman" w:hAnsi="Times New Roman"/>
                <w:b/>
                <w:szCs w:val="20"/>
                <w:u w:val="single"/>
              </w:rPr>
              <w:t>;</w:t>
            </w:r>
          </w:p>
          <w:p w14:paraId="4AE66107" w14:textId="5A3B0006" w:rsidR="00874315" w:rsidRPr="00184084" w:rsidRDefault="00874315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235C9947" w14:textId="7F9AC0CA" w:rsidR="00874315" w:rsidRPr="00184084" w:rsidRDefault="00274EE9">
            <w:pPr>
              <w:spacing w:before="0" w:after="0"/>
              <w:rPr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Všetky protistrany so zabezpečeným financovaním okrem tých retailových vkladov, ktoré sú vymedzené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článku 3 ods. 8 delegovaného nariadenia 2015/61.</w:t>
            </w:r>
          </w:p>
          <w:p w14:paraId="0B9B72C2" w14:textId="273E7D60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874315" w:rsidRPr="00184084" w14:paraId="2EB682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2D3C328" w14:textId="1D97D2A1" w:rsidR="00874315" w:rsidRPr="00184084" w:rsidRDefault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160</w:t>
            </w:r>
          </w:p>
        </w:tc>
        <w:tc>
          <w:tcPr>
            <w:tcW w:w="4271" w:type="pct"/>
            <w:shd w:val="clear" w:color="auto" w:fill="auto"/>
          </w:tcPr>
          <w:p w14:paraId="26450696" w14:textId="61B5533B" w:rsidR="00874315" w:rsidRPr="00184084" w:rsidRDefault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2.2.1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ab/>
              <w:t>z čoho transakcie financovania prostredníctvom cenných papierov;</w:t>
            </w:r>
          </w:p>
          <w:p w14:paraId="07691F9D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56E76DB8" w14:textId="156A7788" w:rsidR="00874315" w:rsidRPr="00184084" w:rsidRDefault="00274EE9">
            <w:pPr>
              <w:spacing w:before="0" w:after="0"/>
              <w:rPr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To financovanie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riadku 150, ktoré je financovaním získaným na základe zmlúv</w:t>
            </w:r>
            <w:r w:rsidR="00184084">
              <w:rPr>
                <w:rFonts w:ascii="Times New Roman" w:hAnsi="Times New Roman"/>
                <w:szCs w:val="20"/>
              </w:rPr>
              <w:t xml:space="preserve"> o </w:t>
            </w:r>
            <w:r w:rsidRPr="00184084">
              <w:rPr>
                <w:rFonts w:ascii="Times New Roman" w:hAnsi="Times New Roman"/>
                <w:szCs w:val="20"/>
              </w:rPr>
              <w:t>repo transakciách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zmysle vymedzenia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 xml:space="preserve">článku 4 ods. 1 bode 82 nariadenia (EÚ) </w:t>
            </w:r>
            <w:r w:rsidR="00184084">
              <w:rPr>
                <w:rFonts w:ascii="Times New Roman" w:hAnsi="Times New Roman"/>
                <w:szCs w:val="20"/>
              </w:rPr>
              <w:t>č. </w:t>
            </w:r>
            <w:r w:rsidRPr="00184084">
              <w:rPr>
                <w:rFonts w:ascii="Times New Roman" w:hAnsi="Times New Roman"/>
                <w:szCs w:val="20"/>
              </w:rPr>
              <w:t>575/2013.</w:t>
            </w:r>
          </w:p>
          <w:p w14:paraId="70F2D3DC" w14:textId="6524FC14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874315" w:rsidRPr="00184084" w14:paraId="1B268195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36EECA5" w14:textId="495BD9D1" w:rsidR="00874315" w:rsidRPr="00184084" w:rsidRDefault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170</w:t>
            </w:r>
          </w:p>
        </w:tc>
        <w:tc>
          <w:tcPr>
            <w:tcW w:w="4271" w:type="pct"/>
            <w:shd w:val="clear" w:color="auto" w:fill="auto"/>
          </w:tcPr>
          <w:p w14:paraId="3FE9A1CB" w14:textId="355DF6A4" w:rsidR="00874315" w:rsidRPr="00184084" w:rsidRDefault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2.2.2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ab/>
              <w:t>z čoho emisie krytých dlhopisov;</w:t>
            </w:r>
          </w:p>
          <w:p w14:paraId="00F0B9AC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31797266" w14:textId="13C29596" w:rsidR="00874315" w:rsidRPr="00184084" w:rsidRDefault="00274EE9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szCs w:val="20"/>
              </w:rPr>
              <w:t>To financovanie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riadku 150, ktoré je financovaním získaným</w:t>
            </w:r>
            <w:r w:rsidR="00184084">
              <w:rPr>
                <w:rFonts w:ascii="Times New Roman" w:hAnsi="Times New Roman"/>
                <w:szCs w:val="20"/>
              </w:rPr>
              <w:t xml:space="preserve"> z </w:t>
            </w:r>
            <w:r w:rsidRPr="00184084">
              <w:rPr>
                <w:rFonts w:ascii="Times New Roman" w:hAnsi="Times New Roman"/>
                <w:szCs w:val="20"/>
              </w:rPr>
              <w:t>emisie krytých dlhopisov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zmysle vymedzenia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 xml:space="preserve">článku 129 ods. 4 alebo 5 nariadenia (EÚ) </w:t>
            </w:r>
            <w:r w:rsidR="00184084">
              <w:rPr>
                <w:rFonts w:ascii="Times New Roman" w:hAnsi="Times New Roman"/>
                <w:szCs w:val="20"/>
              </w:rPr>
              <w:t>č. </w:t>
            </w:r>
            <w:r w:rsidRPr="00184084">
              <w:rPr>
                <w:rFonts w:ascii="Times New Roman" w:hAnsi="Times New Roman"/>
                <w:szCs w:val="20"/>
              </w:rPr>
              <w:t>575/2013 alebo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článku 52 ods. 4 smernice 2009/65/ES.</w:t>
            </w:r>
          </w:p>
        </w:tc>
      </w:tr>
      <w:tr w:rsidR="00874315" w:rsidRPr="00184084" w14:paraId="03D91A2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BC9574" w14:textId="666BAE99" w:rsidR="00874315" w:rsidRPr="00184084" w:rsidRDefault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180</w:t>
            </w:r>
          </w:p>
        </w:tc>
        <w:tc>
          <w:tcPr>
            <w:tcW w:w="4271" w:type="pct"/>
            <w:shd w:val="clear" w:color="auto" w:fill="auto"/>
          </w:tcPr>
          <w:p w14:paraId="6F3DFEBC" w14:textId="161D0230" w:rsidR="00874315" w:rsidRPr="00184084" w:rsidRDefault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2.2.3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ab/>
              <w:t>z čoho emisie cenných papierov zabezpečených aktívami;</w:t>
            </w:r>
          </w:p>
          <w:p w14:paraId="38626DC8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6BBE6FEF" w14:textId="32401DE4" w:rsidR="00874315" w:rsidRPr="00184084" w:rsidRDefault="00274EE9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szCs w:val="20"/>
              </w:rPr>
              <w:t>To financovanie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riadku 150, ktoré je financovaním získaným</w:t>
            </w:r>
            <w:r w:rsidR="00184084">
              <w:rPr>
                <w:rFonts w:ascii="Times New Roman" w:hAnsi="Times New Roman"/>
                <w:szCs w:val="20"/>
              </w:rPr>
              <w:t xml:space="preserve"> z </w:t>
            </w:r>
            <w:r w:rsidRPr="00184084">
              <w:rPr>
                <w:rFonts w:ascii="Times New Roman" w:hAnsi="Times New Roman"/>
                <w:szCs w:val="20"/>
              </w:rPr>
              <w:t>emisie cenných papierov zabezpečených aktívami vrátane aktívami zabezpečených krátkodobých obchodovateľných cenných papierov.</w:t>
            </w:r>
          </w:p>
        </w:tc>
      </w:tr>
      <w:tr w:rsidR="00874315" w:rsidRPr="00184084" w14:paraId="597FCB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E4276DD" w14:textId="58CFA0DA" w:rsidR="00874315" w:rsidRPr="00184084" w:rsidRDefault="00DD136C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190</w:t>
            </w:r>
          </w:p>
        </w:tc>
        <w:tc>
          <w:tcPr>
            <w:tcW w:w="4271" w:type="pct"/>
            <w:shd w:val="clear" w:color="auto" w:fill="auto"/>
          </w:tcPr>
          <w:p w14:paraId="4610D9F3" w14:textId="7A817132" w:rsidR="00874315" w:rsidRPr="00184084" w:rsidRDefault="00F40FD4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2.2.4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ab/>
              <w:t>z čoho úvery</w:t>
            </w:r>
            <w:r w:rsidR="00184084">
              <w:rPr>
                <w:rFonts w:ascii="Times New Roman" w:hAnsi="Times New Roman"/>
                <w:b/>
                <w:szCs w:val="20"/>
                <w:u w:val="single"/>
              </w:rPr>
              <w:t xml:space="preserve"> a 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vklady od subjektov</w:t>
            </w:r>
            <w:r w:rsidR="00184084">
              <w:rPr>
                <w:rFonts w:ascii="Times New Roman" w:hAnsi="Times New Roman"/>
                <w:b/>
                <w:szCs w:val="20"/>
                <w:u w:val="single"/>
              </w:rPr>
              <w:t xml:space="preserve"> v 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rámci skupiny.</w:t>
            </w:r>
          </w:p>
          <w:p w14:paraId="39B4FABF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10DC82D6" w14:textId="5EF78D2D" w:rsidR="00874315" w:rsidRPr="00184084" w:rsidRDefault="00274EE9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To financovanie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riadku 150, ktoré je financovaním získaným od subjektov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rámci skupiny.</w:t>
            </w:r>
          </w:p>
          <w:p w14:paraId="7693FB65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2A9F2247" w14:textId="653536B0" w:rsidR="00874315" w:rsidRPr="00184084" w:rsidRDefault="00274EE9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Veľkoobchodné financovanie od subjektov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rámci skupiny sa vykazuje iba na samostatnom alebo subkonsolidovanom základe.</w:t>
            </w:r>
          </w:p>
          <w:p w14:paraId="66D6CCE8" w14:textId="326011FF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</w:tbl>
    <w:p w14:paraId="7D6D2F2B" w14:textId="77777777" w:rsidR="00874315" w:rsidRPr="00184084" w:rsidRDefault="00874315">
      <w:pPr>
        <w:pStyle w:val="InstructionsText2"/>
        <w:numPr>
          <w:ilvl w:val="0"/>
          <w:numId w:val="0"/>
        </w:numPr>
        <w:ind w:left="714"/>
      </w:pPr>
    </w:p>
    <w:p w14:paraId="1B77D233" w14:textId="795948C5" w:rsidR="00184084" w:rsidRDefault="00A344AA">
      <w:pPr>
        <w:pStyle w:val="InstructionsText2"/>
        <w:numPr>
          <w:ilvl w:val="0"/>
          <w:numId w:val="13"/>
        </w:numPr>
        <w:rPr>
          <w:u w:val="none"/>
        </w:rPr>
      </w:pPr>
      <w:r w:rsidRPr="00184084">
        <w:rPr>
          <w:u w:val="none"/>
        </w:rPr>
        <w:t>Na účely vyplnenia tohto vzoru inštitúcie vykazujú celkovú sumu financovania prijatého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rámci každého typu produktov, ktorý presahuje prahovú hodnotu 1</w:t>
      </w:r>
      <w:r w:rsidR="00184084">
        <w:rPr>
          <w:u w:val="none"/>
        </w:rPr>
        <w:t> %</w:t>
      </w:r>
      <w:r w:rsidRPr="00184084">
        <w:rPr>
          <w:u w:val="none"/>
        </w:rPr>
        <w:t xml:space="preserve"> celkových záväzkov</w:t>
      </w:r>
      <w:r w:rsidR="00184084">
        <w:rPr>
          <w:u w:val="none"/>
        </w:rPr>
        <w:t>.</w:t>
      </w:r>
    </w:p>
    <w:p w14:paraId="4C97EC73" w14:textId="5C00883F" w:rsidR="00874315" w:rsidRPr="00184084" w:rsidRDefault="00A344AA">
      <w:pPr>
        <w:pStyle w:val="InstructionsText2"/>
        <w:numPr>
          <w:ilvl w:val="0"/>
          <w:numId w:val="13"/>
        </w:numPr>
        <w:rPr>
          <w:u w:val="none"/>
        </w:rPr>
      </w:pPr>
      <w:r w:rsidRPr="00184084">
        <w:rPr>
          <w:u w:val="none"/>
        </w:rPr>
        <w:t>Pri každom type produktu vykážu inštitúcie všetky stĺpce od 010 po 050.</w:t>
      </w:r>
    </w:p>
    <w:p w14:paraId="2BCBF128" w14:textId="33B5E3A4" w:rsidR="00874315" w:rsidRPr="00184084" w:rsidRDefault="00A344AA">
      <w:pPr>
        <w:pStyle w:val="InstructionsText2"/>
        <w:numPr>
          <w:ilvl w:val="0"/>
          <w:numId w:val="13"/>
        </w:numPr>
        <w:rPr>
          <w:u w:val="none"/>
        </w:rPr>
      </w:pPr>
      <w:r w:rsidRPr="00184084">
        <w:rPr>
          <w:u w:val="none"/>
        </w:rPr>
        <w:t>Prahová hodnota 1</w:t>
      </w:r>
      <w:r w:rsidR="00184084">
        <w:rPr>
          <w:u w:val="none"/>
        </w:rPr>
        <w:t> %</w:t>
      </w:r>
      <w:r w:rsidRPr="00184084">
        <w:rPr>
          <w:u w:val="none"/>
        </w:rPr>
        <w:t xml:space="preserve"> celkových záväzkov sa použije na určenie tých typov produktov, ktorých financovanie je získané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súlade</w:t>
      </w:r>
      <w:r w:rsidR="00184084">
        <w:rPr>
          <w:u w:val="none"/>
        </w:rPr>
        <w:t xml:space="preserve"> s </w:t>
      </w:r>
      <w:r w:rsidRPr="00184084">
        <w:rPr>
          <w:u w:val="none"/>
        </w:rPr>
        <w:t>týmito podmienkami:</w:t>
      </w:r>
    </w:p>
    <w:p w14:paraId="40A8CD63" w14:textId="433E8615" w:rsidR="00184084" w:rsidRDefault="00EF0ADB">
      <w:pPr>
        <w:pStyle w:val="InstructionsText2"/>
        <w:numPr>
          <w:ilvl w:val="0"/>
          <w:numId w:val="0"/>
        </w:numPr>
        <w:ind w:left="1134" w:hanging="420"/>
        <w:rPr>
          <w:u w:val="none"/>
        </w:rPr>
      </w:pPr>
      <w:r w:rsidRPr="00184084">
        <w:rPr>
          <w:u w:val="none"/>
        </w:rPr>
        <w:lastRenderedPageBreak/>
        <w:t>a)</w:t>
      </w:r>
      <w:r w:rsidRPr="00184084">
        <w:rPr>
          <w:u w:val="none"/>
        </w:rPr>
        <w:tab/>
        <w:t>prahová hodnota 1</w:t>
      </w:r>
      <w:r w:rsidR="00184084">
        <w:rPr>
          <w:u w:val="none"/>
        </w:rPr>
        <w:t> %</w:t>
      </w:r>
      <w:r w:rsidRPr="00184084">
        <w:rPr>
          <w:u w:val="none"/>
        </w:rPr>
        <w:t xml:space="preserve"> celkových záväzkov sa uplatňuje pri typoch produktov uvedených vo všetkých týchto riadkoch: 1.1 „netermínované vklady“, 1.2 „termínované vklady bez možnosti výberu počas nasledujúcich 30 dní“, 1.3 „termínované vklady</w:t>
      </w:r>
      <w:r w:rsidR="00184084">
        <w:rPr>
          <w:u w:val="none"/>
        </w:rPr>
        <w:t xml:space="preserve"> s </w:t>
      </w:r>
      <w:r w:rsidRPr="00184084">
        <w:rPr>
          <w:u w:val="none"/>
        </w:rPr>
        <w:t>možnosťou výberu počas nasledujúcich 30 dní“, 1.4 „sporiace účty“, 2.1 „nezabezpečené veľkoobchodné financovanie“, 2.2 „zabezpečené veľkoobchodné financovanie“</w:t>
      </w:r>
      <w:r w:rsidR="00184084">
        <w:rPr>
          <w:u w:val="none"/>
        </w:rPr>
        <w:t>;</w:t>
      </w:r>
    </w:p>
    <w:p w14:paraId="7CD07C23" w14:textId="3C2744C9" w:rsidR="00874315" w:rsidRPr="00184084" w:rsidRDefault="00EF0ADB">
      <w:pPr>
        <w:pStyle w:val="InstructionsText2"/>
        <w:numPr>
          <w:ilvl w:val="0"/>
          <w:numId w:val="0"/>
        </w:numPr>
        <w:ind w:left="1134" w:hanging="420"/>
        <w:rPr>
          <w:u w:val="none"/>
        </w:rPr>
      </w:pPr>
      <w:r w:rsidRPr="00184084">
        <w:rPr>
          <w:u w:val="none"/>
        </w:rPr>
        <w:t>b)</w:t>
      </w:r>
      <w:r w:rsidRPr="00184084">
        <w:rPr>
          <w:u w:val="none"/>
        </w:rPr>
        <w:tab/>
        <w:t>pokiaľ ide</w:t>
      </w:r>
      <w:r w:rsidR="00184084">
        <w:rPr>
          <w:u w:val="none"/>
        </w:rPr>
        <w:t xml:space="preserve"> o </w:t>
      </w:r>
      <w:r w:rsidRPr="00184084">
        <w:rPr>
          <w:u w:val="none"/>
        </w:rPr>
        <w:t>výpočet prahovej hodnoty 1</w:t>
      </w:r>
      <w:r w:rsidR="00184084">
        <w:rPr>
          <w:u w:val="none"/>
        </w:rPr>
        <w:t> %</w:t>
      </w:r>
      <w:r w:rsidRPr="00184084">
        <w:rPr>
          <w:u w:val="none"/>
        </w:rPr>
        <w:t xml:space="preserve"> celkových záväzkov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prípade riadku 1.4 „sporiace účty“, prahová hodnota sa uplatňuje na súčet položiek 1.4.1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1.4.2;</w:t>
      </w:r>
    </w:p>
    <w:p w14:paraId="636F886A" w14:textId="50966F17" w:rsidR="00874315" w:rsidRPr="00184084" w:rsidRDefault="00AE0498">
      <w:pPr>
        <w:pStyle w:val="InstructionsText2"/>
        <w:numPr>
          <w:ilvl w:val="0"/>
          <w:numId w:val="0"/>
        </w:numPr>
        <w:ind w:left="1134" w:hanging="420"/>
        <w:rPr>
          <w:u w:val="none"/>
        </w:rPr>
      </w:pPr>
      <w:r w:rsidRPr="00184084">
        <w:rPr>
          <w:u w:val="none"/>
        </w:rPr>
        <w:t>c)</w:t>
      </w:r>
      <w:r w:rsidRPr="00184084">
        <w:rPr>
          <w:u w:val="none"/>
        </w:rPr>
        <w:tab/>
        <w:t>v prípade riadkov 1. „Retailové financovanie“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2. „Veľkoobchodné financovanie“ sa prahová hodnota 1</w:t>
      </w:r>
      <w:r w:rsidR="00184084">
        <w:rPr>
          <w:u w:val="none"/>
        </w:rPr>
        <w:t> %</w:t>
      </w:r>
      <w:r w:rsidRPr="00184084">
        <w:rPr>
          <w:u w:val="none"/>
        </w:rPr>
        <w:t xml:space="preserve"> celkových záväzkov uplatňuje iba na súhrnnej úrovni.</w:t>
      </w:r>
    </w:p>
    <w:p w14:paraId="2935E76B" w14:textId="723FA827" w:rsidR="00874315" w:rsidRPr="00184084" w:rsidRDefault="00792E65">
      <w:pPr>
        <w:pStyle w:val="InstructionsText2"/>
        <w:numPr>
          <w:ilvl w:val="0"/>
          <w:numId w:val="13"/>
        </w:numPr>
        <w:rPr>
          <w:u w:val="none"/>
        </w:rPr>
      </w:pPr>
      <w:r w:rsidRPr="00184084">
        <w:rPr>
          <w:u w:val="none"/>
        </w:rPr>
        <w:t>Údaje vykázané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riadku 1. „Retailové financovanie“, 2.1 „nezabezpečené veľkoobchodné financovanie“, 2.2 „zabezpečené veľkoobchodné financovanie“ môžu zahŕňať širšie typy produktov ako tie uvedené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podradených položkách „z čoho“.</w:t>
      </w:r>
    </w:p>
    <w:p w14:paraId="2FED639D" w14:textId="77777777" w:rsidR="00874315" w:rsidRPr="00184084" w:rsidRDefault="00A344AA">
      <w:pPr>
        <w:pStyle w:val="InstructionsText2"/>
        <w:numPr>
          <w:ilvl w:val="0"/>
          <w:numId w:val="13"/>
        </w:numPr>
        <w:rPr>
          <w:u w:val="none"/>
        </w:rPr>
      </w:pPr>
      <w:r w:rsidRPr="00184084">
        <w:rPr>
          <w:u w:val="none"/>
        </w:rPr>
        <w:t>Pokyny týkajúce sa jednotlivých stĺpcov: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279"/>
      </w:tblGrid>
      <w:tr w:rsidR="00874315" w:rsidRPr="00184084" w14:paraId="735A9F04" w14:textId="77777777" w:rsidTr="00775F73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41134272" w14:textId="77777777" w:rsidR="00874315" w:rsidRPr="00184084" w:rsidRDefault="00A344AA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184084">
              <w:rPr>
                <w:rStyle w:val="InstructionsTabelleText"/>
                <w:rFonts w:ascii="Times New Roman" w:hAnsi="Times New Roman"/>
                <w:szCs w:val="20"/>
              </w:rPr>
              <w:t>Stĺpec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AE8E309" w14:textId="35AB9469" w:rsidR="00874315" w:rsidRPr="00184084" w:rsidRDefault="00A344AA">
            <w:pPr>
              <w:spacing w:before="0" w:after="0"/>
              <w:jc w:val="left"/>
              <w:rPr>
                <w:rStyle w:val="InstructionsTabelleText"/>
                <w:rFonts w:ascii="Times New Roman" w:hAnsi="Times New Roman"/>
                <w:szCs w:val="20"/>
              </w:rPr>
            </w:pPr>
            <w:r w:rsidRPr="00184084">
              <w:rPr>
                <w:rStyle w:val="InstructionsTabelleText"/>
                <w:rFonts w:ascii="Times New Roman" w:hAnsi="Times New Roman"/>
                <w:szCs w:val="20"/>
              </w:rPr>
              <w:t>Odkazy na právne predpisy</w:t>
            </w:r>
            <w:r w:rsidR="00184084">
              <w:rPr>
                <w:rStyle w:val="InstructionsTabelleText"/>
                <w:rFonts w:ascii="Times New Roman" w:hAnsi="Times New Roman"/>
                <w:szCs w:val="20"/>
              </w:rPr>
              <w:t xml:space="preserve"> a </w:t>
            </w:r>
            <w:r w:rsidRPr="00184084">
              <w:rPr>
                <w:rStyle w:val="InstructionsTabelleText"/>
                <w:rFonts w:ascii="Times New Roman" w:hAnsi="Times New Roman"/>
                <w:szCs w:val="20"/>
              </w:rPr>
              <w:t>pokyny</w:t>
            </w:r>
          </w:p>
        </w:tc>
      </w:tr>
      <w:tr w:rsidR="00874315" w:rsidRPr="00184084" w14:paraId="0B67BCAB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358FB" w14:textId="77777777" w:rsidR="00874315" w:rsidRPr="001840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9910B" w14:textId="05DD65EB" w:rsidR="00874315" w:rsidRPr="00184084" w:rsidRDefault="00A344AA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Prijatá účtovná hodnota</w:t>
            </w:r>
          </w:p>
          <w:p w14:paraId="08CE1037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3436EC68" w14:textId="33AEEB8D" w:rsidR="00874315" w:rsidRPr="00184084" w:rsidRDefault="00A344AA">
            <w:pPr>
              <w:spacing w:before="0" w:after="0"/>
              <w:rPr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Účtovná hodnota financovania prijatá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rámci jednotlivých kategórií produktov uvedených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„Názov produktu“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010 vzoru.</w:t>
            </w:r>
          </w:p>
          <w:p w14:paraId="6450D0D1" w14:textId="583458BA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874315" w:rsidRPr="00184084" w14:paraId="48340044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D9E53" w14:textId="77777777" w:rsidR="00874315" w:rsidRPr="001840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FA473" w14:textId="0D459796" w:rsidR="00874315" w:rsidRPr="00184084" w:rsidRDefault="00A344AA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Suma, ktorá je krytá systémom ochrany vkladov podľa smernice 2014/49/EÚ alebo rovnocenným systémom ochrany vkladov</w:t>
            </w:r>
            <w:r w:rsidR="00184084">
              <w:rPr>
                <w:rFonts w:ascii="Times New Roman" w:hAnsi="Times New Roman"/>
                <w:b/>
                <w:szCs w:val="20"/>
                <w:u w:val="single"/>
              </w:rPr>
              <w:t xml:space="preserve"> v 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tretej krajine</w:t>
            </w:r>
          </w:p>
          <w:p w14:paraId="3404C8DD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2C0EECFE" w14:textId="609FC20B" w:rsidR="00184084" w:rsidRDefault="00A344AA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Z celkového objemu financovania prijatého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rámci jednotlivých kategórií produktov uvedených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„Názov produktu“ vykázaného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010 je to suma, ktorá je krytá systémom ochrany vkladov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súlade so smernicou 2014/49/EÚ alebo rovnocenným systémom ochrany vkladov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tretej krajine</w:t>
            </w:r>
            <w:r w:rsidR="00184084">
              <w:rPr>
                <w:rFonts w:ascii="Times New Roman" w:hAnsi="Times New Roman"/>
                <w:szCs w:val="20"/>
              </w:rPr>
              <w:t>.</w:t>
            </w:r>
          </w:p>
          <w:p w14:paraId="624BDC55" w14:textId="5EC7A4EC" w:rsidR="00874315" w:rsidRPr="00184084" w:rsidRDefault="00874315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1350A03E" w14:textId="6D5D9959" w:rsidR="00874315" w:rsidRPr="00184084" w:rsidRDefault="00A344AA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Poznámka: Sumy vykázané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020</w:t>
            </w:r>
            <w:r w:rsidR="00184084">
              <w:rPr>
                <w:rFonts w:ascii="Times New Roman" w:hAnsi="Times New Roman"/>
                <w:szCs w:val="20"/>
              </w:rPr>
              <w:t xml:space="preserve"> a </w:t>
            </w:r>
            <w:r w:rsidRPr="00184084">
              <w:rPr>
                <w:rFonts w:ascii="Times New Roman" w:hAnsi="Times New Roman"/>
                <w:szCs w:val="20"/>
              </w:rPr>
              <w:t>stĺpci 030 pre jednotlivé kategórie produktov uvedených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„Názov produktu“ sa musia rovnať celkovej prijatej sume vykázanej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010.</w:t>
            </w:r>
          </w:p>
          <w:p w14:paraId="17202B90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874315" w:rsidRPr="00184084" w14:paraId="2F048CBA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AF916" w14:textId="77777777" w:rsidR="00874315" w:rsidRPr="001840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030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864C" w14:textId="578B8117" w:rsidR="00874315" w:rsidRPr="00184084" w:rsidRDefault="00A344AA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Suma, ktorá nie je krytá systémom ochrany vkladov podľa smernice 2014/49/EÚ ani rovnocenným systémom ochrany vkladov</w:t>
            </w:r>
            <w:r w:rsidR="00184084">
              <w:rPr>
                <w:rFonts w:ascii="Times New Roman" w:hAnsi="Times New Roman"/>
                <w:b/>
                <w:szCs w:val="20"/>
                <w:u w:val="single"/>
              </w:rPr>
              <w:t xml:space="preserve"> v 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tretej krajine</w:t>
            </w:r>
          </w:p>
          <w:p w14:paraId="5D57127C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3A176587" w14:textId="2E50B8FB" w:rsidR="00184084" w:rsidRDefault="00A344AA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Z celkového objemu financovania prijatého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rámci jednotlivých kategórií produktov uvedených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„Názov produktu“ vykázaného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 xml:space="preserve">stĺpci 010 je to suma, ktorá </w:t>
            </w:r>
            <w:r w:rsidRPr="00184084">
              <w:rPr>
                <w:rFonts w:ascii="Times New Roman" w:hAnsi="Times New Roman"/>
                <w:szCs w:val="20"/>
                <w:u w:val="single"/>
              </w:rPr>
              <w:t>nie je</w:t>
            </w:r>
            <w:r w:rsidRPr="00184084">
              <w:rPr>
                <w:rFonts w:ascii="Times New Roman" w:hAnsi="Times New Roman"/>
                <w:szCs w:val="20"/>
              </w:rPr>
              <w:t xml:space="preserve"> krytá systémom ochrany vkladov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súlade so smernicou 2014/49/EÚ ani rovnocenným systémom ochrany vkladov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tretej krajine</w:t>
            </w:r>
            <w:r w:rsidR="00184084">
              <w:rPr>
                <w:rFonts w:ascii="Times New Roman" w:hAnsi="Times New Roman"/>
                <w:szCs w:val="20"/>
              </w:rPr>
              <w:t>.</w:t>
            </w:r>
          </w:p>
          <w:p w14:paraId="2201D234" w14:textId="53A69E65" w:rsidR="00874315" w:rsidRPr="00184084" w:rsidRDefault="00874315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3AE9E67D" w14:textId="795C35CC" w:rsidR="00874315" w:rsidRPr="00184084" w:rsidRDefault="00A344AA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Poznámka: Sumy vykázané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020</w:t>
            </w:r>
            <w:r w:rsidR="00184084">
              <w:rPr>
                <w:rFonts w:ascii="Times New Roman" w:hAnsi="Times New Roman"/>
                <w:szCs w:val="20"/>
              </w:rPr>
              <w:t xml:space="preserve"> a </w:t>
            </w:r>
            <w:r w:rsidRPr="00184084">
              <w:rPr>
                <w:rFonts w:ascii="Times New Roman" w:hAnsi="Times New Roman"/>
                <w:szCs w:val="20"/>
              </w:rPr>
              <w:t>stĺpci 030 pre jednotlivé kategórie produktov uvedených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„Názov produktu“ sa musia rovnať celkovej prijatej sume vykázanej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010.</w:t>
            </w:r>
          </w:p>
          <w:p w14:paraId="3A3C1BD5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  <w:tr w:rsidR="00874315" w:rsidRPr="00184084" w14:paraId="451E213E" w14:textId="77777777" w:rsidTr="005B086D">
        <w:trPr>
          <w:trHeight w:val="459"/>
        </w:trPr>
        <w:tc>
          <w:tcPr>
            <w:tcW w:w="729" w:type="pct"/>
            <w:shd w:val="clear" w:color="auto" w:fill="auto"/>
            <w:noWrap/>
          </w:tcPr>
          <w:p w14:paraId="5C9786F2" w14:textId="77777777" w:rsidR="00874315" w:rsidRPr="001840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040</w:t>
            </w:r>
          </w:p>
        </w:tc>
        <w:tc>
          <w:tcPr>
            <w:tcW w:w="4271" w:type="pct"/>
            <w:shd w:val="clear" w:color="auto" w:fill="auto"/>
          </w:tcPr>
          <w:p w14:paraId="3C20E7C7" w14:textId="1D00688B" w:rsidR="00874315" w:rsidRPr="00184084" w:rsidRDefault="00A344AA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Vážená priemerná pôvodná splatnosť</w:t>
            </w:r>
          </w:p>
          <w:p w14:paraId="55688C6B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26DFB785" w14:textId="600BE7E4" w:rsidR="00874315" w:rsidRPr="00184084" w:rsidRDefault="00A344AA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Pre objem financovania, ktorý bol vykázaný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010</w:t>
            </w:r>
            <w:r w:rsidR="00184084">
              <w:rPr>
                <w:rFonts w:ascii="Times New Roman" w:hAnsi="Times New Roman"/>
                <w:szCs w:val="20"/>
              </w:rPr>
              <w:t xml:space="preserve"> z </w:t>
            </w:r>
            <w:r w:rsidRPr="00184084">
              <w:rPr>
                <w:rFonts w:ascii="Times New Roman" w:hAnsi="Times New Roman"/>
                <w:szCs w:val="20"/>
              </w:rPr>
              <w:t>jednotlivých kategórií produktov uvedených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„Názov produktu“, sa vážená priemerná pôvodná splatnosť (v dňoch) pre uvedené financovanie uvádza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040.</w:t>
            </w:r>
          </w:p>
          <w:p w14:paraId="6F902A34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4993C5F5" w14:textId="5584BF66" w:rsidR="00874315" w:rsidRPr="00184084" w:rsidRDefault="00B06740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Vážená priemerná pôvodná splatnosť sa vypočíta ako priemerná pôvodná splatnosť (v dňoch) financovania prijatého pre uvedený typ produktu. Priemer je vážený podľa veľkosti,</w:t>
            </w:r>
            <w:r w:rsidR="00184084">
              <w:rPr>
                <w:rFonts w:ascii="Times New Roman" w:hAnsi="Times New Roman"/>
                <w:szCs w:val="20"/>
              </w:rPr>
              <w:t xml:space="preserve"> a </w:t>
            </w:r>
            <w:r w:rsidRPr="00184084">
              <w:rPr>
                <w:rFonts w:ascii="Times New Roman" w:hAnsi="Times New Roman"/>
                <w:szCs w:val="20"/>
              </w:rPr>
              <w:t>to na základe veľkosti rôznych prijatých objemov financovania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pomere</w:t>
            </w:r>
            <w:r w:rsidR="00184084">
              <w:rPr>
                <w:rFonts w:ascii="Times New Roman" w:hAnsi="Times New Roman"/>
                <w:szCs w:val="20"/>
              </w:rPr>
              <w:t xml:space="preserve"> k </w:t>
            </w:r>
            <w:r w:rsidRPr="00184084">
              <w:rPr>
                <w:rFonts w:ascii="Times New Roman" w:hAnsi="Times New Roman"/>
                <w:szCs w:val="20"/>
              </w:rPr>
              <w:t>celkovému financovaniu prijatému zo všetkých emisií uvedeného typu produktu.</w:t>
            </w:r>
          </w:p>
        </w:tc>
      </w:tr>
      <w:tr w:rsidR="00874315" w:rsidRPr="00184084" w14:paraId="42EE78BF" w14:textId="77777777" w:rsidTr="00ED2EE2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2FEE2E2D" w14:textId="77777777" w:rsidR="00874315" w:rsidRPr="00184084" w:rsidRDefault="00A344AA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lastRenderedPageBreak/>
              <w:t>050</w:t>
            </w:r>
          </w:p>
        </w:tc>
        <w:tc>
          <w:tcPr>
            <w:tcW w:w="4271" w:type="pct"/>
            <w:shd w:val="clear" w:color="auto" w:fill="auto"/>
          </w:tcPr>
          <w:p w14:paraId="5F6E4857" w14:textId="77777777" w:rsidR="00874315" w:rsidRPr="00184084" w:rsidRDefault="00A344AA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Vážená priemerná zostatková splatnosť</w:t>
            </w:r>
          </w:p>
          <w:p w14:paraId="24DA2333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  <w:p w14:paraId="5F851D17" w14:textId="029F1A52" w:rsidR="00874315" w:rsidRPr="00184084" w:rsidRDefault="00A344AA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Pre objem financovania, ktorý bol vykázaný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010</w:t>
            </w:r>
            <w:r w:rsidR="00184084">
              <w:rPr>
                <w:rFonts w:ascii="Times New Roman" w:hAnsi="Times New Roman"/>
                <w:szCs w:val="20"/>
              </w:rPr>
              <w:t xml:space="preserve"> z </w:t>
            </w:r>
            <w:r w:rsidRPr="00184084">
              <w:rPr>
                <w:rFonts w:ascii="Times New Roman" w:hAnsi="Times New Roman"/>
                <w:szCs w:val="20"/>
              </w:rPr>
              <w:t>jednotlivých kategórií produktov uvedených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„Názov produktu“, sa vážená priemerná zostatková splatnosť (v dňoch) pre uvedené financovanie uvádza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050.</w:t>
            </w:r>
          </w:p>
          <w:p w14:paraId="10B9D2BA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szCs w:val="20"/>
              </w:rPr>
            </w:pPr>
          </w:p>
          <w:p w14:paraId="7D5D34BD" w14:textId="47BC1EDB" w:rsidR="00874315" w:rsidRPr="00184084" w:rsidRDefault="00B06740">
            <w:pPr>
              <w:spacing w:before="0" w:after="0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Vážená priemerná zostatková splatnosť sa vypočíta ako priemerná zostatková splatnosť (v dňoch) financovania prijatého pre uvedený typ produktu. Priemer je vážený podľa veľkosti,</w:t>
            </w:r>
            <w:r w:rsidR="00184084">
              <w:rPr>
                <w:rFonts w:ascii="Times New Roman" w:hAnsi="Times New Roman"/>
                <w:szCs w:val="20"/>
              </w:rPr>
              <w:t xml:space="preserve"> a </w:t>
            </w:r>
            <w:r w:rsidRPr="00184084">
              <w:rPr>
                <w:rFonts w:ascii="Times New Roman" w:hAnsi="Times New Roman"/>
                <w:szCs w:val="20"/>
              </w:rPr>
              <w:t>to na základe veľkosti rôznych prijatých objemov financovania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pomere</w:t>
            </w:r>
            <w:r w:rsidR="00184084">
              <w:rPr>
                <w:rFonts w:ascii="Times New Roman" w:hAnsi="Times New Roman"/>
                <w:szCs w:val="20"/>
              </w:rPr>
              <w:t xml:space="preserve"> k </w:t>
            </w:r>
            <w:r w:rsidRPr="00184084">
              <w:rPr>
                <w:rFonts w:ascii="Times New Roman" w:hAnsi="Times New Roman"/>
                <w:szCs w:val="20"/>
              </w:rPr>
              <w:t>celkovému financovaniu prijatému zo všetkých emisií uvedeného typu produktu.</w:t>
            </w:r>
          </w:p>
          <w:p w14:paraId="7FC1A546" w14:textId="77777777" w:rsidR="00874315" w:rsidRPr="00184084" w:rsidRDefault="00874315">
            <w:pPr>
              <w:spacing w:before="0" w:after="0"/>
              <w:rPr>
                <w:rFonts w:ascii="Times New Roman" w:hAnsi="Times New Roman"/>
                <w:b/>
                <w:szCs w:val="20"/>
                <w:u w:val="single"/>
              </w:rPr>
            </w:pPr>
          </w:p>
        </w:tc>
      </w:tr>
    </w:tbl>
    <w:p w14:paraId="46B6DB4F" w14:textId="77777777" w:rsidR="00874315" w:rsidRPr="00184084" w:rsidRDefault="00874315"/>
    <w:p w14:paraId="079161C6" w14:textId="77777777" w:rsidR="00874315" w:rsidRPr="00184084" w:rsidRDefault="00181260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184084">
        <w:rPr>
          <w:rFonts w:ascii="Times New Roman" w:hAnsi="Times New Roman"/>
          <w:szCs w:val="20"/>
        </w:rPr>
        <w:t>Ceny za rôzne doby trvania financovania (C 69.00)</w:t>
      </w:r>
    </w:p>
    <w:p w14:paraId="691ACAEA" w14:textId="62E0DEF6" w:rsidR="00874315" w:rsidRPr="00184084" w:rsidRDefault="00DD76F0">
      <w:pPr>
        <w:pStyle w:val="InstructionsText2"/>
        <w:numPr>
          <w:ilvl w:val="0"/>
          <w:numId w:val="7"/>
        </w:numPr>
        <w:rPr>
          <w:u w:val="none"/>
        </w:rPr>
      </w:pPr>
      <w:r w:rsidRPr="00184084">
        <w:rPr>
          <w:u w:val="none"/>
        </w:rPr>
        <w:t>Inštitúcie vykazujú vo vzore C 69.00 informácie</w:t>
      </w:r>
      <w:r w:rsidR="00184084">
        <w:rPr>
          <w:u w:val="none"/>
        </w:rPr>
        <w:t xml:space="preserve"> o </w:t>
      </w:r>
      <w:r w:rsidRPr="00184084">
        <w:rPr>
          <w:u w:val="none"/>
        </w:rPr>
        <w:t>objeme transakcií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cenách, ktoré inštitúcie zaplatili za financovanie získané počas obdobia vykazovania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ktoré sú stále prítomné na konci obdobia vykazovania,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súlade</w:t>
      </w:r>
      <w:r w:rsidR="00184084">
        <w:rPr>
          <w:u w:val="none"/>
        </w:rPr>
        <w:t xml:space="preserve"> s </w:t>
      </w:r>
      <w:r w:rsidRPr="00184084">
        <w:rPr>
          <w:u w:val="none"/>
        </w:rPr>
        <w:t>týmito pôvodnými splatnosťami:</w:t>
      </w:r>
    </w:p>
    <w:p w14:paraId="43E76F50" w14:textId="6A10E87F" w:rsidR="00874315" w:rsidRPr="00184084" w:rsidRDefault="00184084" w:rsidP="00184084">
      <w:pPr>
        <w:pStyle w:val="InstructionsText2"/>
        <w:numPr>
          <w:ilvl w:val="0"/>
          <w:numId w:val="0"/>
        </w:numPr>
        <w:ind w:left="714"/>
        <w:rPr>
          <w:u w:val="none"/>
        </w:rPr>
      </w:pPr>
      <w:r>
        <w:rPr>
          <w:u w:val="none"/>
        </w:rPr>
        <w:t>a)</w:t>
      </w:r>
      <w:r>
        <w:rPr>
          <w:u w:val="none"/>
        </w:rPr>
        <w:tab/>
      </w:r>
      <w:r w:rsidR="00C13077" w:rsidRPr="00184084">
        <w:rPr>
          <w:u w:val="none"/>
        </w:rPr>
        <w:t>jednodňová</w:t>
      </w:r>
      <w:r>
        <w:rPr>
          <w:u w:val="none"/>
        </w:rPr>
        <w:t xml:space="preserve"> v </w:t>
      </w:r>
      <w:r w:rsidR="00C13077" w:rsidRPr="00184084">
        <w:rPr>
          <w:u w:val="none"/>
        </w:rPr>
        <w:t>stĺpcoch 010</w:t>
      </w:r>
      <w:r>
        <w:rPr>
          <w:u w:val="none"/>
        </w:rPr>
        <w:t xml:space="preserve"> a </w:t>
      </w:r>
      <w:r w:rsidR="00C13077" w:rsidRPr="00184084">
        <w:rPr>
          <w:u w:val="none"/>
        </w:rPr>
        <w:t>020;</w:t>
      </w:r>
    </w:p>
    <w:p w14:paraId="20A63704" w14:textId="09139C7C" w:rsidR="00874315" w:rsidRPr="00184084" w:rsidRDefault="00325582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184084">
        <w:rPr>
          <w:u w:val="none"/>
        </w:rPr>
        <w:t>b)</w:t>
      </w:r>
      <w:r w:rsidRPr="00184084">
        <w:rPr>
          <w:u w:val="none"/>
        </w:rPr>
        <w:tab/>
        <w:t>dlhšia ako jednodňová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1-týždňová alebo kratšia (stĺpce 030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040);</w:t>
      </w:r>
    </w:p>
    <w:p w14:paraId="23995DF6" w14:textId="40C0E3A3" w:rsidR="00874315" w:rsidRPr="00184084" w:rsidRDefault="00325582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184084">
        <w:rPr>
          <w:u w:val="none"/>
        </w:rPr>
        <w:t>c)</w:t>
      </w:r>
      <w:r w:rsidRPr="00184084">
        <w:rPr>
          <w:u w:val="none"/>
        </w:rPr>
        <w:tab/>
        <w:t>dlhšia ako 1 týždeň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1-mesačná alebo kratšia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stĺpcoch 050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060;</w:t>
      </w:r>
    </w:p>
    <w:p w14:paraId="4DB6611C" w14:textId="7E4550DB" w:rsidR="00874315" w:rsidRPr="00184084" w:rsidRDefault="00325582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184084">
        <w:rPr>
          <w:u w:val="none"/>
        </w:rPr>
        <w:t>d)</w:t>
      </w:r>
      <w:r w:rsidRPr="00184084">
        <w:rPr>
          <w:u w:val="none"/>
        </w:rPr>
        <w:tab/>
        <w:t>dlhšia ako 1 mesiac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3-mesačná alebo kratšia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stĺpcoch 070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080;</w:t>
      </w:r>
    </w:p>
    <w:p w14:paraId="68B85898" w14:textId="230189B9" w:rsidR="00874315" w:rsidRPr="00184084" w:rsidRDefault="00325582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184084">
        <w:rPr>
          <w:u w:val="none"/>
        </w:rPr>
        <w:t>e)</w:t>
      </w:r>
      <w:r w:rsidRPr="00184084">
        <w:rPr>
          <w:u w:val="none"/>
        </w:rPr>
        <w:tab/>
        <w:t>dlhšia ako 3 mesiace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6-mesačná alebo kratšia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stĺpcoch 090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100;</w:t>
      </w:r>
    </w:p>
    <w:p w14:paraId="032BAEDE" w14:textId="480F1F19" w:rsidR="00874315" w:rsidRPr="00184084" w:rsidRDefault="00325582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184084">
        <w:rPr>
          <w:u w:val="none"/>
        </w:rPr>
        <w:t>f)</w:t>
      </w:r>
      <w:r w:rsidRPr="00184084">
        <w:rPr>
          <w:u w:val="none"/>
        </w:rPr>
        <w:tab/>
        <w:t>dlhšia ako 6 mesiacov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1-ročná alebo kratšia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stĺpcoch 110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120;</w:t>
      </w:r>
    </w:p>
    <w:p w14:paraId="3DE0207D" w14:textId="16721D76" w:rsidR="00874315" w:rsidRPr="00184084" w:rsidRDefault="00325582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184084">
        <w:rPr>
          <w:u w:val="none"/>
        </w:rPr>
        <w:t>g)</w:t>
      </w:r>
      <w:r w:rsidRPr="00184084">
        <w:rPr>
          <w:u w:val="none"/>
        </w:rPr>
        <w:tab/>
        <w:t>dlhšia ako 1 rok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2-ročná alebo kratšia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stĺpcoch 130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140;</w:t>
      </w:r>
    </w:p>
    <w:p w14:paraId="5A4B2AD6" w14:textId="116142AF" w:rsidR="00874315" w:rsidRPr="00184084" w:rsidRDefault="00325582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184084">
        <w:rPr>
          <w:u w:val="none"/>
        </w:rPr>
        <w:t>h)</w:t>
      </w:r>
      <w:r w:rsidRPr="00184084">
        <w:rPr>
          <w:u w:val="none"/>
        </w:rPr>
        <w:tab/>
        <w:t>dlhšia ako 2 roky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5-ročná alebo kratšia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stĺpcoch 150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160;</w:t>
      </w:r>
    </w:p>
    <w:p w14:paraId="10B732E8" w14:textId="7064F7E7" w:rsidR="00874315" w:rsidRPr="00184084" w:rsidRDefault="00325582">
      <w:pPr>
        <w:pStyle w:val="InstructionsText2"/>
        <w:numPr>
          <w:ilvl w:val="0"/>
          <w:numId w:val="0"/>
        </w:numPr>
        <w:ind w:left="714"/>
        <w:rPr>
          <w:u w:val="none"/>
        </w:rPr>
      </w:pPr>
      <w:r w:rsidRPr="00184084">
        <w:rPr>
          <w:u w:val="none"/>
        </w:rPr>
        <w:t>i)</w:t>
      </w:r>
      <w:r w:rsidRPr="00184084">
        <w:rPr>
          <w:u w:val="none"/>
        </w:rPr>
        <w:tab/>
        <w:t>dlhšia ako 5 rokov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10-ročná alebo kratšia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stĺpcoch 170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180;</w:t>
      </w:r>
    </w:p>
    <w:p w14:paraId="5F28959E" w14:textId="5F33D8E7" w:rsidR="00874315" w:rsidRPr="00184084" w:rsidRDefault="0019013A">
      <w:pPr>
        <w:pStyle w:val="InstructionsText2"/>
        <w:numPr>
          <w:ilvl w:val="0"/>
          <w:numId w:val="20"/>
        </w:numPr>
        <w:rPr>
          <w:u w:val="none"/>
        </w:rPr>
      </w:pPr>
      <w:r w:rsidRPr="00184084">
        <w:rPr>
          <w:u w:val="none"/>
        </w:rPr>
        <w:t>Na účely stanovenia splatnosti získaného financovania inštitúcie neberú do úvahy obdobie medzi dňom uzavretia obchodu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dňom vyrovnania, napr. trojmesačný záväzok</w:t>
      </w:r>
      <w:r w:rsidR="00184084">
        <w:rPr>
          <w:u w:val="none"/>
        </w:rPr>
        <w:t xml:space="preserve"> s </w:t>
      </w:r>
      <w:r w:rsidRPr="00184084">
        <w:rPr>
          <w:u w:val="none"/>
        </w:rPr>
        <w:t>vyrovnaním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dvojtýždňovej lehote sa vykazuje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splatnosti 3 mesiace (stĺpce 070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080).</w:t>
      </w:r>
    </w:p>
    <w:p w14:paraId="3300B61A" w14:textId="157CE25F" w:rsidR="00874315" w:rsidRPr="00184084" w:rsidRDefault="002C154A">
      <w:pPr>
        <w:pStyle w:val="InstructionsText2"/>
        <w:numPr>
          <w:ilvl w:val="0"/>
          <w:numId w:val="20"/>
        </w:numPr>
        <w:rPr>
          <w:u w:val="none"/>
        </w:rPr>
      </w:pPr>
      <w:r w:rsidRPr="00184084">
        <w:rPr>
          <w:u w:val="none"/>
        </w:rPr>
        <w:t>Pri každej časovej skupine sa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ľavom stĺpci vykazuje jedno</w:t>
      </w:r>
      <w:r w:rsidR="00184084">
        <w:rPr>
          <w:u w:val="none"/>
        </w:rPr>
        <w:t xml:space="preserve"> z </w:t>
      </w:r>
      <w:r w:rsidRPr="00184084">
        <w:rPr>
          <w:u w:val="none"/>
        </w:rPr>
        <w:t>týchto rozpätí:</w:t>
      </w:r>
    </w:p>
    <w:p w14:paraId="655B8C6C" w14:textId="34FF79FF" w:rsidR="00184084" w:rsidRDefault="0050708F">
      <w:pPr>
        <w:pStyle w:val="InstructionsText2"/>
        <w:numPr>
          <w:ilvl w:val="1"/>
          <w:numId w:val="20"/>
        </w:numPr>
        <w:ind w:left="993" w:hanging="284"/>
        <w:rPr>
          <w:u w:val="none"/>
        </w:rPr>
      </w:pPr>
      <w:r w:rsidRPr="00184084">
        <w:rPr>
          <w:u w:val="none"/>
        </w:rPr>
        <w:t>rozpätie, ktoré by mala zaplatiť inštitúcia za záväzky so splatnosťou rovnajúcou sa jednému roku alebo kratšou, ak by boli predmetom výmeny (swapu) za jednodňový referenčný index príslušnej meny,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to najneskôr ku koncu obchodného dňa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deň transakcie</w:t>
      </w:r>
      <w:r w:rsidR="00184084">
        <w:rPr>
          <w:u w:val="none"/>
        </w:rPr>
        <w:t>;</w:t>
      </w:r>
    </w:p>
    <w:p w14:paraId="44F3338B" w14:textId="76E2A3A9" w:rsidR="00874315" w:rsidRPr="00184084" w:rsidRDefault="0050708F">
      <w:pPr>
        <w:pStyle w:val="InstructionsText2"/>
        <w:numPr>
          <w:ilvl w:val="1"/>
          <w:numId w:val="20"/>
        </w:numPr>
        <w:ind w:left="993" w:hanging="284"/>
        <w:rPr>
          <w:u w:val="none"/>
        </w:rPr>
      </w:pPr>
      <w:r w:rsidRPr="00184084">
        <w:rPr>
          <w:u w:val="none"/>
        </w:rPr>
        <w:t>rozpätie, ktoré by mala zaplatiť spoločnosť pri emisii záväzkov</w:t>
      </w:r>
      <w:r w:rsidR="00184084">
        <w:rPr>
          <w:u w:val="none"/>
        </w:rPr>
        <w:t xml:space="preserve"> s </w:t>
      </w:r>
      <w:r w:rsidRPr="00184084">
        <w:rPr>
          <w:u w:val="none"/>
        </w:rPr>
        <w:t>pôvodnou splatnosťou dlhšou ako jeden rok, ak by boli predmetom výmeny (swapu) za príslušný referenčný index príslušnej meny, ktorý predstavuje trojmesačnú sadzbu EURIBOR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prípade EUR alebo LIBOR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prípade GBP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USD,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to najneskôr ku koncu obchodného dňa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deň transakcie.</w:t>
      </w:r>
    </w:p>
    <w:p w14:paraId="0C9A9801" w14:textId="0E5DD4E0" w:rsidR="00874315" w:rsidRPr="00184084" w:rsidRDefault="006661EC">
      <w:pPr>
        <w:pStyle w:val="InstructionsText2"/>
        <w:numPr>
          <w:ilvl w:val="0"/>
          <w:numId w:val="0"/>
        </w:numPr>
        <w:ind w:left="993"/>
        <w:rPr>
          <w:u w:val="none"/>
        </w:rPr>
      </w:pPr>
      <w:r w:rsidRPr="00184084">
        <w:rPr>
          <w:u w:val="none"/>
        </w:rPr>
        <w:t>V prípade potreby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na základe historickej skúsenosti inštitúcia pri stanovení pôvodnej splatnosti môže, ale nemusí zohľadniť možnosť voľby,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to výhradne na účely vypočítania rozpätia uvedeného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bodoch a)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b).</w:t>
      </w:r>
    </w:p>
    <w:p w14:paraId="1C67DD49" w14:textId="7CD22DBA" w:rsidR="00184084" w:rsidRDefault="0019013A">
      <w:pPr>
        <w:pStyle w:val="InstructionsText2"/>
        <w:numPr>
          <w:ilvl w:val="0"/>
          <w:numId w:val="20"/>
        </w:numPr>
        <w:rPr>
          <w:u w:val="none"/>
        </w:rPr>
      </w:pPr>
      <w:r w:rsidRPr="00184084">
        <w:rPr>
          <w:u w:val="none"/>
        </w:rPr>
        <w:lastRenderedPageBreak/>
        <w:t>Rozpätia sa vykazujú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bázických bodoch so záporným znamienkom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prípade, že nové financovanie je lacnejšie ako pri uplatnení príslušnej referenčnej sadzby. Vypočítajú sa na základe váženého priemeru</w:t>
      </w:r>
      <w:r w:rsidR="00184084">
        <w:rPr>
          <w:u w:val="none"/>
        </w:rPr>
        <w:t>.</w:t>
      </w:r>
    </w:p>
    <w:p w14:paraId="0ABF1B64" w14:textId="725B3715" w:rsidR="00874315" w:rsidRPr="00184084" w:rsidRDefault="0050708F">
      <w:pPr>
        <w:pStyle w:val="InstructionsText2"/>
        <w:numPr>
          <w:ilvl w:val="0"/>
          <w:numId w:val="20"/>
        </w:numPr>
        <w:rPr>
          <w:u w:val="none"/>
        </w:rPr>
      </w:pPr>
      <w:r w:rsidRPr="00184084">
        <w:rPr>
          <w:u w:val="none"/>
        </w:rPr>
        <w:t>Na účely výpočtu priemerného rozpätia splatného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prípade viacnásobných emisií/vkladov/úverov vypočítajú inštitúcie celkové náklady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mene emisie bez zohľadnenia akéhokoľvek FX swapu, ale zahrnú všetky prémie alebo diskonty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poplatky, ktoré majú zaplatiť alebo prijať, pričom sa ako základ berie splatnosť akéhokoľvek teoretického alebo skutočného úrokového swapu zodpovedajúca splatnosti záväzku. Rozpätie je rozdielom sadzby pri záväzku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sadzby swapu.</w:t>
      </w:r>
    </w:p>
    <w:p w14:paraId="54321E7D" w14:textId="017268B2" w:rsidR="00184084" w:rsidRDefault="0019013A">
      <w:pPr>
        <w:pStyle w:val="InstructionsText2"/>
        <w:numPr>
          <w:ilvl w:val="0"/>
          <w:numId w:val="20"/>
        </w:numPr>
        <w:rPr>
          <w:u w:val="none"/>
        </w:rPr>
      </w:pPr>
      <w:r w:rsidRPr="00184084">
        <w:rPr>
          <w:u w:val="none"/>
        </w:rPr>
        <w:t>Suma financovania získaná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rámci kategórií financovania uvedených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stĺpci „Položka“ sa vykazuje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stĺpci „objem“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príslušnej časovej skupine</w:t>
      </w:r>
      <w:r w:rsidR="00184084">
        <w:rPr>
          <w:u w:val="none"/>
        </w:rPr>
        <w:t>.</w:t>
      </w:r>
    </w:p>
    <w:p w14:paraId="3AED84FE" w14:textId="033E731E" w:rsidR="00874315" w:rsidRPr="00184084" w:rsidRDefault="004B3AC2">
      <w:pPr>
        <w:pStyle w:val="InstructionsText2"/>
        <w:numPr>
          <w:ilvl w:val="0"/>
          <w:numId w:val="20"/>
        </w:numPr>
        <w:rPr>
          <w:u w:val="none"/>
        </w:rPr>
      </w:pPr>
      <w:r w:rsidRPr="00184084">
        <w:rPr>
          <w:u w:val="none"/>
        </w:rPr>
        <w:t>V stĺpci „objem“ poskytujú inštitúcie sumy predstavujúce účtovnú hodnotu nového financovania získaného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príslušnej časovej skupine na základe pôvodnej splatnosti.</w:t>
      </w:r>
    </w:p>
    <w:p w14:paraId="24102DB5" w14:textId="7D072FB3" w:rsidR="00184084" w:rsidRDefault="00144FB8">
      <w:pPr>
        <w:pStyle w:val="InstructionsText2"/>
        <w:numPr>
          <w:ilvl w:val="0"/>
          <w:numId w:val="20"/>
        </w:numPr>
        <w:rPr>
          <w:u w:val="none"/>
        </w:rPr>
      </w:pPr>
      <w:r w:rsidRPr="00184084">
        <w:rPr>
          <w:u w:val="none"/>
        </w:rPr>
        <w:t>Tak ako pri ostatných položkách, aj pri podsúvahových záväzkoch vykazujú inštitúcie súvisiace sumy zohľadnené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súvahe. Podsúvahový záväzok poskytnutý inštitúcii sa vykáže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C 69.00 až po čerpaní.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prípade čerpania sa vykáže objem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rozpätie vo výške čerpaného objemu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uplatniteľného rozpätia na konci obdobia vykazovania. Ak čerpanie nemôže byť obnovené podľa uváženia inštitúcie, vykáže sa skutočná splatnosť čerpania. Ak inštitúcia už čerpala</w:t>
      </w:r>
      <w:r w:rsidR="00184084">
        <w:rPr>
          <w:u w:val="none"/>
        </w:rPr>
        <w:t xml:space="preserve"> z </w:t>
      </w:r>
      <w:r w:rsidRPr="00184084">
        <w:rPr>
          <w:u w:val="none"/>
        </w:rPr>
        <w:t>facility na konci predchádzajúceho obdobia vykazovania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ak inštitúcia následne zvýši využitie facility, vykáže sa iba dodatočný čerpaný objem</w:t>
      </w:r>
      <w:r w:rsidR="00184084">
        <w:rPr>
          <w:u w:val="none"/>
        </w:rPr>
        <w:t>.</w:t>
      </w:r>
    </w:p>
    <w:p w14:paraId="26598EEA" w14:textId="45A04032" w:rsidR="00874315" w:rsidRPr="00184084" w:rsidRDefault="00473407">
      <w:pPr>
        <w:pStyle w:val="InstructionsText2"/>
        <w:numPr>
          <w:ilvl w:val="0"/>
          <w:numId w:val="20"/>
        </w:numPr>
        <w:rPr>
          <w:u w:val="none"/>
        </w:rPr>
      </w:pPr>
      <w:r w:rsidRPr="00184084">
        <w:rPr>
          <w:u w:val="none"/>
        </w:rPr>
        <w:t>Vklady, ktoré vkladajú retailoví klienti, pozostávajú</w:t>
      </w:r>
      <w:r w:rsidR="00184084">
        <w:rPr>
          <w:u w:val="none"/>
        </w:rPr>
        <w:t xml:space="preserve"> z </w:t>
      </w:r>
      <w:r w:rsidRPr="00184084">
        <w:rPr>
          <w:u w:val="none"/>
        </w:rPr>
        <w:t>vkladov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zmysle vymedzenia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článku 3 ods. 8 delegovaného nariadenia 2015/61.</w:t>
      </w:r>
    </w:p>
    <w:p w14:paraId="54CC7D8D" w14:textId="6B7E13DF" w:rsidR="00874315" w:rsidRPr="00184084" w:rsidRDefault="00287BD7">
      <w:pPr>
        <w:pStyle w:val="InstructionsText2"/>
        <w:numPr>
          <w:ilvl w:val="0"/>
          <w:numId w:val="20"/>
        </w:numPr>
        <w:rPr>
          <w:u w:val="none"/>
        </w:rPr>
      </w:pPr>
      <w:r w:rsidRPr="00184084">
        <w:rPr>
          <w:u w:val="none"/>
        </w:rPr>
        <w:t>V prípade financovania obnoveného počas obdobia vykazovania, ktoré je na konci obdobia vykazovania stále nesplatené, sa vykazuje priemerné rozpätie uplatniteľné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tom čase (t. j. na konci obdobia vykazovania). Na účely vzoru C 69.00 predstavuje financovanie, ktoré bolo obnovené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je stále prítomné na konci obdobia vykazovania, nové financovanie.</w:t>
      </w:r>
    </w:p>
    <w:p w14:paraId="39AE63DF" w14:textId="01D5A7FA" w:rsidR="00184084" w:rsidRDefault="00CD20D9">
      <w:pPr>
        <w:pStyle w:val="InstructionsText2"/>
        <w:numPr>
          <w:ilvl w:val="0"/>
          <w:numId w:val="20"/>
        </w:numPr>
        <w:rPr>
          <w:u w:val="none"/>
        </w:rPr>
      </w:pPr>
      <w:r w:rsidRPr="00184084">
        <w:rPr>
          <w:u w:val="none"/>
        </w:rPr>
        <w:t>Odchylne od zvyšku oddielu 1.4 sa objem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rozpätie netermínovaných vkladov vykáže, iba ak vkladateľ nemal netermínovaný vklad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predchádzajúcom období vykazovania alebo ak došlo</w:t>
      </w:r>
      <w:r w:rsidR="00184084">
        <w:rPr>
          <w:u w:val="none"/>
        </w:rPr>
        <w:t xml:space="preserve"> k </w:t>
      </w:r>
      <w:r w:rsidRPr="00184084">
        <w:rPr>
          <w:u w:val="none"/>
        </w:rPr>
        <w:t>nárastu výšky vkladu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porovnaní</w:t>
      </w:r>
      <w:r w:rsidR="00184084">
        <w:rPr>
          <w:u w:val="none"/>
        </w:rPr>
        <w:t xml:space="preserve"> s </w:t>
      </w:r>
      <w:r w:rsidRPr="00184084">
        <w:rPr>
          <w:u w:val="none"/>
        </w:rPr>
        <w:t>predchádzajúcim referenčným dátumom.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takomto prípade sa prírastok považuje za nové financovanie. Pri rozpätí ide</w:t>
      </w:r>
      <w:r w:rsidR="00184084">
        <w:rPr>
          <w:u w:val="none"/>
        </w:rPr>
        <w:t xml:space="preserve"> o </w:t>
      </w:r>
      <w:r w:rsidRPr="00184084">
        <w:rPr>
          <w:u w:val="none"/>
        </w:rPr>
        <w:t>rozpätie na konci obdobia</w:t>
      </w:r>
      <w:r w:rsidR="00184084">
        <w:rPr>
          <w:u w:val="none"/>
        </w:rPr>
        <w:t>.</w:t>
      </w:r>
    </w:p>
    <w:p w14:paraId="10927EEB" w14:textId="1BB63F7D" w:rsidR="00874315" w:rsidRPr="00184084" w:rsidRDefault="00270986">
      <w:pPr>
        <w:pStyle w:val="InstructionsText2"/>
        <w:numPr>
          <w:ilvl w:val="0"/>
          <w:numId w:val="20"/>
        </w:numPr>
        <w:rPr>
          <w:u w:val="none"/>
        </w:rPr>
      </w:pPr>
      <w:r w:rsidRPr="00184084">
        <w:rPr>
          <w:u w:val="none"/>
        </w:rPr>
        <w:t>Ak tu netreba nič vykazovať, polia týkajúce sa rozpätia sa ponechajú prázdne.</w:t>
      </w:r>
    </w:p>
    <w:p w14:paraId="5F1BCA9F" w14:textId="77777777" w:rsidR="00874315" w:rsidRPr="00184084" w:rsidRDefault="002C154A">
      <w:pPr>
        <w:pStyle w:val="InstructionsText2"/>
        <w:numPr>
          <w:ilvl w:val="0"/>
          <w:numId w:val="20"/>
        </w:numPr>
        <w:rPr>
          <w:u w:val="none"/>
        </w:rPr>
      </w:pPr>
      <w:r w:rsidRPr="00184084">
        <w:rPr>
          <w:u w:val="none"/>
        </w:rPr>
        <w:t>Pokyny týkajúce sa jednotlivých riadkov: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705"/>
      </w:tblGrid>
      <w:tr w:rsidR="00874315" w:rsidRPr="00184084" w14:paraId="3147FD97" w14:textId="77777777" w:rsidTr="00ED41A4">
        <w:trPr>
          <w:trHeight w:val="567"/>
        </w:trPr>
        <w:tc>
          <w:tcPr>
            <w:tcW w:w="817" w:type="dxa"/>
            <w:shd w:val="clear" w:color="auto" w:fill="E0E0E0"/>
            <w:noWrap/>
            <w:vAlign w:val="center"/>
          </w:tcPr>
          <w:p w14:paraId="48391A04" w14:textId="77777777" w:rsidR="00874315" w:rsidRPr="00184084" w:rsidRDefault="002C154A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184084">
              <w:rPr>
                <w:rStyle w:val="InstructionsTabelleText"/>
                <w:rFonts w:ascii="Times New Roman" w:hAnsi="Times New Roman"/>
                <w:szCs w:val="20"/>
              </w:rPr>
              <w:t>Riadok</w:t>
            </w:r>
          </w:p>
        </w:tc>
        <w:tc>
          <w:tcPr>
            <w:tcW w:w="7705" w:type="dxa"/>
            <w:shd w:val="clear" w:color="auto" w:fill="E0E0E0"/>
            <w:noWrap/>
            <w:vAlign w:val="center"/>
          </w:tcPr>
          <w:p w14:paraId="51A7E6A4" w14:textId="32E0CA12" w:rsidR="00874315" w:rsidRPr="00184084" w:rsidRDefault="002C154A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184084">
              <w:rPr>
                <w:rStyle w:val="InstructionsTabelleText"/>
                <w:rFonts w:ascii="Times New Roman" w:hAnsi="Times New Roman"/>
                <w:szCs w:val="20"/>
              </w:rPr>
              <w:t>Odkazy na právne predpisy</w:t>
            </w:r>
            <w:r w:rsidR="00184084">
              <w:rPr>
                <w:rStyle w:val="InstructionsTabelleText"/>
                <w:rFonts w:ascii="Times New Roman" w:hAnsi="Times New Roman"/>
                <w:szCs w:val="20"/>
              </w:rPr>
              <w:t xml:space="preserve"> a </w:t>
            </w:r>
            <w:r w:rsidRPr="00184084">
              <w:rPr>
                <w:rStyle w:val="InstructionsTabelleText"/>
                <w:rFonts w:ascii="Times New Roman" w:hAnsi="Times New Roman"/>
                <w:szCs w:val="20"/>
              </w:rPr>
              <w:t>pokyny</w:t>
            </w:r>
          </w:p>
        </w:tc>
      </w:tr>
      <w:tr w:rsidR="00874315" w:rsidRPr="00184084" w14:paraId="5B055368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1D865CB" w14:textId="77777777" w:rsidR="00874315" w:rsidRPr="00184084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010</w:t>
            </w:r>
          </w:p>
        </w:tc>
        <w:tc>
          <w:tcPr>
            <w:tcW w:w="7705" w:type="dxa"/>
            <w:shd w:val="clear" w:color="auto" w:fill="auto"/>
            <w:noWrap/>
          </w:tcPr>
          <w:p w14:paraId="55C5F1B7" w14:textId="77777777" w:rsidR="00874315" w:rsidRPr="00184084" w:rsidRDefault="002C154A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1. Celkové financovanie</w:t>
            </w:r>
          </w:p>
          <w:p w14:paraId="25D6D292" w14:textId="5C4C4F5B" w:rsidR="00874315" w:rsidRPr="00184084" w:rsidRDefault="00E42487">
            <w:pPr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Celkový objem</w:t>
            </w:r>
            <w:r w:rsidR="00184084">
              <w:rPr>
                <w:rFonts w:ascii="Times New Roman" w:hAnsi="Times New Roman"/>
                <w:szCs w:val="20"/>
              </w:rPr>
              <w:t xml:space="preserve"> a </w:t>
            </w:r>
            <w:r w:rsidRPr="00184084">
              <w:rPr>
                <w:rFonts w:ascii="Times New Roman" w:hAnsi="Times New Roman"/>
                <w:szCs w:val="20"/>
              </w:rPr>
              <w:t>vážené priemerné rozpätie celého financovania sa získa pre všetky nasledujúce doby trvania takto:</w:t>
            </w:r>
          </w:p>
          <w:p w14:paraId="3D5903C1" w14:textId="257E2DAC" w:rsidR="00874315" w:rsidRPr="00184084" w:rsidRDefault="00CD20D9">
            <w:pPr>
              <w:pStyle w:val="InstructionsText2"/>
              <w:numPr>
                <w:ilvl w:val="1"/>
                <w:numId w:val="12"/>
              </w:numPr>
            </w:pPr>
            <w:r w:rsidRPr="00184084">
              <w:t>jednodňová</w:t>
            </w:r>
            <w:r w:rsidR="00184084">
              <w:t xml:space="preserve"> v </w:t>
            </w:r>
            <w:r w:rsidRPr="00184084">
              <w:t>stĺpcoch 010</w:t>
            </w:r>
            <w:r w:rsidR="00184084">
              <w:t xml:space="preserve"> a </w:t>
            </w:r>
            <w:r w:rsidRPr="00184084">
              <w:t>020;</w:t>
            </w:r>
          </w:p>
          <w:p w14:paraId="1AF1DF5A" w14:textId="17FEAB67" w:rsidR="00874315" w:rsidRPr="00184084" w:rsidRDefault="00CD20D9">
            <w:pPr>
              <w:pStyle w:val="InstructionsText2"/>
              <w:numPr>
                <w:ilvl w:val="1"/>
                <w:numId w:val="12"/>
              </w:numPr>
            </w:pPr>
            <w:r w:rsidRPr="00184084">
              <w:t>dlhšia ako jednodňová</w:t>
            </w:r>
            <w:r w:rsidR="00184084">
              <w:t xml:space="preserve"> a </w:t>
            </w:r>
            <w:r w:rsidRPr="00184084">
              <w:t>1-týždňová alebo kratšia</w:t>
            </w:r>
            <w:r w:rsidR="00184084">
              <w:t xml:space="preserve"> v </w:t>
            </w:r>
            <w:r w:rsidRPr="00184084">
              <w:t>stĺpcoch 030</w:t>
            </w:r>
            <w:r w:rsidR="00184084">
              <w:t xml:space="preserve"> a </w:t>
            </w:r>
            <w:r w:rsidRPr="00184084">
              <w:t>040;</w:t>
            </w:r>
          </w:p>
          <w:p w14:paraId="4C124A2C" w14:textId="2AE4B2CA" w:rsidR="00874315" w:rsidRPr="00184084" w:rsidRDefault="00CD20D9">
            <w:pPr>
              <w:pStyle w:val="InstructionsText2"/>
              <w:numPr>
                <w:ilvl w:val="1"/>
                <w:numId w:val="12"/>
              </w:numPr>
            </w:pPr>
            <w:r w:rsidRPr="00184084">
              <w:t>dlhšia ako 1 týždeň</w:t>
            </w:r>
            <w:r w:rsidR="00184084">
              <w:t xml:space="preserve"> a </w:t>
            </w:r>
            <w:r w:rsidRPr="00184084">
              <w:t>1-mesačná alebo kratšia</w:t>
            </w:r>
            <w:r w:rsidR="00184084">
              <w:t xml:space="preserve"> v </w:t>
            </w:r>
            <w:r w:rsidRPr="00184084">
              <w:t>stĺpcoch 050</w:t>
            </w:r>
            <w:r w:rsidR="00184084">
              <w:t xml:space="preserve"> a </w:t>
            </w:r>
            <w:r w:rsidRPr="00184084">
              <w:t>060;</w:t>
            </w:r>
          </w:p>
          <w:p w14:paraId="74B468F3" w14:textId="5558E3E3" w:rsidR="00874315" w:rsidRPr="00184084" w:rsidRDefault="00CD20D9">
            <w:pPr>
              <w:pStyle w:val="InstructionsText2"/>
              <w:numPr>
                <w:ilvl w:val="1"/>
                <w:numId w:val="12"/>
              </w:numPr>
            </w:pPr>
            <w:r w:rsidRPr="00184084">
              <w:t>dlhšia ako 1 mesiac</w:t>
            </w:r>
            <w:r w:rsidR="00184084">
              <w:t xml:space="preserve"> a </w:t>
            </w:r>
            <w:r w:rsidRPr="00184084">
              <w:t>3-mesačná alebo kratšia</w:t>
            </w:r>
            <w:r w:rsidR="00184084">
              <w:t xml:space="preserve"> v </w:t>
            </w:r>
            <w:r w:rsidRPr="00184084">
              <w:t>stĺpcoch 070</w:t>
            </w:r>
            <w:r w:rsidR="00184084">
              <w:t xml:space="preserve"> a </w:t>
            </w:r>
            <w:r w:rsidRPr="00184084">
              <w:t>080;</w:t>
            </w:r>
          </w:p>
          <w:p w14:paraId="482B32DB" w14:textId="2EC99D89" w:rsidR="00874315" w:rsidRPr="00184084" w:rsidRDefault="00CD20D9">
            <w:pPr>
              <w:pStyle w:val="InstructionsText2"/>
              <w:numPr>
                <w:ilvl w:val="1"/>
                <w:numId w:val="12"/>
              </w:numPr>
            </w:pPr>
            <w:r w:rsidRPr="00184084">
              <w:lastRenderedPageBreak/>
              <w:t>dlhšia ako 3 mesiace</w:t>
            </w:r>
            <w:r w:rsidR="00184084">
              <w:t xml:space="preserve"> a </w:t>
            </w:r>
            <w:r w:rsidRPr="00184084">
              <w:t>6-mesačná alebo kratšia</w:t>
            </w:r>
            <w:r w:rsidR="00184084">
              <w:t xml:space="preserve"> v </w:t>
            </w:r>
            <w:r w:rsidRPr="00184084">
              <w:t>stĺpcoch 090</w:t>
            </w:r>
            <w:r w:rsidR="00184084">
              <w:t xml:space="preserve"> a </w:t>
            </w:r>
            <w:r w:rsidRPr="00184084">
              <w:t>100;</w:t>
            </w:r>
          </w:p>
          <w:p w14:paraId="3C4AC9B6" w14:textId="339F7176" w:rsidR="00874315" w:rsidRPr="00184084" w:rsidRDefault="00CD20D9">
            <w:pPr>
              <w:pStyle w:val="InstructionsText2"/>
              <w:numPr>
                <w:ilvl w:val="1"/>
                <w:numId w:val="12"/>
              </w:numPr>
            </w:pPr>
            <w:r w:rsidRPr="00184084">
              <w:t>dlhšia ako 6 mesiacov</w:t>
            </w:r>
            <w:r w:rsidR="00184084">
              <w:t xml:space="preserve"> a </w:t>
            </w:r>
            <w:r w:rsidRPr="00184084">
              <w:t>1-ročná alebo kratšia</w:t>
            </w:r>
            <w:r w:rsidR="00184084">
              <w:t xml:space="preserve"> v </w:t>
            </w:r>
            <w:r w:rsidRPr="00184084">
              <w:t>stĺpcoch 110</w:t>
            </w:r>
            <w:r w:rsidR="00184084">
              <w:t xml:space="preserve"> a </w:t>
            </w:r>
            <w:r w:rsidRPr="00184084">
              <w:t>120;</w:t>
            </w:r>
          </w:p>
          <w:p w14:paraId="1C290FE7" w14:textId="754EC3E4" w:rsidR="00874315" w:rsidRPr="00184084" w:rsidRDefault="00CD20D9">
            <w:pPr>
              <w:pStyle w:val="InstructionsText2"/>
              <w:numPr>
                <w:ilvl w:val="1"/>
                <w:numId w:val="12"/>
              </w:numPr>
            </w:pPr>
            <w:r w:rsidRPr="00184084">
              <w:t>dlhšia ako 1 rok</w:t>
            </w:r>
            <w:r w:rsidR="00184084">
              <w:t xml:space="preserve"> a </w:t>
            </w:r>
            <w:r w:rsidRPr="00184084">
              <w:t>2-ročná alebo kratšia</w:t>
            </w:r>
            <w:r w:rsidR="00184084">
              <w:t xml:space="preserve"> v </w:t>
            </w:r>
            <w:r w:rsidRPr="00184084">
              <w:t>stĺpcoch 130</w:t>
            </w:r>
            <w:r w:rsidR="00184084">
              <w:t xml:space="preserve"> a </w:t>
            </w:r>
            <w:r w:rsidRPr="00184084">
              <w:t>140;</w:t>
            </w:r>
          </w:p>
          <w:p w14:paraId="6E53E104" w14:textId="4DFFBF0F" w:rsidR="00874315" w:rsidRPr="00184084" w:rsidRDefault="00CD20D9">
            <w:pPr>
              <w:pStyle w:val="InstructionsText2"/>
              <w:numPr>
                <w:ilvl w:val="1"/>
                <w:numId w:val="12"/>
              </w:numPr>
            </w:pPr>
            <w:r w:rsidRPr="00184084">
              <w:t>dlhšia ako 2 roky</w:t>
            </w:r>
            <w:r w:rsidR="00184084">
              <w:t xml:space="preserve"> a </w:t>
            </w:r>
            <w:r w:rsidRPr="00184084">
              <w:t>5-ročná alebo kratšia</w:t>
            </w:r>
            <w:r w:rsidR="00184084">
              <w:t xml:space="preserve"> v </w:t>
            </w:r>
            <w:r w:rsidRPr="00184084">
              <w:t>stĺpcoch 150</w:t>
            </w:r>
            <w:r w:rsidR="00184084">
              <w:t xml:space="preserve"> a </w:t>
            </w:r>
            <w:r w:rsidRPr="00184084">
              <w:t>160;</w:t>
            </w:r>
          </w:p>
          <w:p w14:paraId="22EC36F6" w14:textId="38E2E660" w:rsidR="00874315" w:rsidRPr="00184084" w:rsidRDefault="00CD20D9">
            <w:pPr>
              <w:pStyle w:val="InstructionsText2"/>
              <w:numPr>
                <w:ilvl w:val="1"/>
                <w:numId w:val="12"/>
              </w:numPr>
            </w:pPr>
            <w:r w:rsidRPr="00184084">
              <w:t>dlhšia ako 5 rokov</w:t>
            </w:r>
            <w:r w:rsidR="00184084">
              <w:t xml:space="preserve"> a </w:t>
            </w:r>
            <w:r w:rsidRPr="00184084">
              <w:t>10-ročná alebo kratšia</w:t>
            </w:r>
            <w:r w:rsidR="00184084">
              <w:t xml:space="preserve"> v </w:t>
            </w:r>
            <w:r w:rsidRPr="00184084">
              <w:t>stĺpcoch 170</w:t>
            </w:r>
            <w:r w:rsidR="00184084">
              <w:t xml:space="preserve"> a </w:t>
            </w:r>
            <w:r w:rsidRPr="00184084">
              <w:t>180;</w:t>
            </w:r>
          </w:p>
        </w:tc>
      </w:tr>
      <w:tr w:rsidR="00874315" w:rsidRPr="00184084" w14:paraId="2F05E0FC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765DA707" w14:textId="77777777" w:rsidR="00874315" w:rsidRPr="00184084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lastRenderedPageBreak/>
              <w:t>020</w:t>
            </w:r>
          </w:p>
        </w:tc>
        <w:tc>
          <w:tcPr>
            <w:tcW w:w="7705" w:type="dxa"/>
            <w:shd w:val="clear" w:color="auto" w:fill="auto"/>
            <w:noWrap/>
          </w:tcPr>
          <w:p w14:paraId="01DDA71E" w14:textId="3065321B" w:rsidR="00874315" w:rsidRPr="00184084" w:rsidRDefault="002C154A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1.1</w:t>
            </w:r>
            <w:r w:rsidR="00184084">
              <w:rPr>
                <w:rFonts w:ascii="Times New Roman" w:hAnsi="Times New Roman"/>
                <w:b/>
                <w:szCs w:val="20"/>
                <w:u w:val="single"/>
              </w:rPr>
              <w:t xml:space="preserve"> z 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čoho: Retailové financovanie</w:t>
            </w:r>
          </w:p>
          <w:p w14:paraId="2F60C8D8" w14:textId="430FAC83" w:rsidR="00874315" w:rsidRPr="00184084" w:rsidRDefault="00CE333E">
            <w:pPr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Celkový objem</w:t>
            </w:r>
            <w:r w:rsidR="00184084">
              <w:rPr>
                <w:rFonts w:ascii="Times New Roman" w:hAnsi="Times New Roman"/>
                <w:szCs w:val="20"/>
              </w:rPr>
              <w:t xml:space="preserve"> a </w:t>
            </w:r>
            <w:r w:rsidRPr="00184084">
              <w:rPr>
                <w:rFonts w:ascii="Times New Roman" w:hAnsi="Times New Roman"/>
                <w:szCs w:val="20"/>
              </w:rPr>
              <w:t>vážené priemerné rozpätie získaného retailového financovania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rámci celkového financovania vykázaného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položke 1.</w:t>
            </w:r>
          </w:p>
        </w:tc>
      </w:tr>
      <w:tr w:rsidR="00874315" w:rsidRPr="00184084" w14:paraId="2AEBF8C4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0F94FE37" w14:textId="77777777" w:rsidR="00874315" w:rsidRPr="00184084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030</w:t>
            </w:r>
          </w:p>
        </w:tc>
        <w:tc>
          <w:tcPr>
            <w:tcW w:w="7705" w:type="dxa"/>
            <w:shd w:val="clear" w:color="auto" w:fill="auto"/>
            <w:noWrap/>
          </w:tcPr>
          <w:p w14:paraId="61E92F36" w14:textId="73F5F85F" w:rsidR="00874315" w:rsidRPr="00184084" w:rsidRDefault="00AF143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1.2</w:t>
            </w:r>
            <w:r w:rsidR="00184084">
              <w:rPr>
                <w:rFonts w:ascii="Times New Roman" w:hAnsi="Times New Roman"/>
                <w:b/>
                <w:szCs w:val="20"/>
                <w:u w:val="single"/>
              </w:rPr>
              <w:t xml:space="preserve"> z 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čoho: Nezabezpečené veľkoobchodné financovanie</w:t>
            </w:r>
          </w:p>
          <w:p w14:paraId="49C52367" w14:textId="5484937F" w:rsidR="00874315" w:rsidRPr="00184084" w:rsidRDefault="00AF1439">
            <w:pPr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Celkový objem</w:t>
            </w:r>
            <w:r w:rsidR="00184084">
              <w:rPr>
                <w:rFonts w:ascii="Times New Roman" w:hAnsi="Times New Roman"/>
                <w:szCs w:val="20"/>
              </w:rPr>
              <w:t xml:space="preserve"> a </w:t>
            </w:r>
            <w:r w:rsidRPr="00184084">
              <w:rPr>
                <w:rFonts w:ascii="Times New Roman" w:hAnsi="Times New Roman"/>
                <w:szCs w:val="20"/>
              </w:rPr>
              <w:t>vážené priemerné rozpätie získaného nezabezpečeného veľkoobchodného financovania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rámci celkového financovania vykázaného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položke 1.</w:t>
            </w:r>
          </w:p>
        </w:tc>
      </w:tr>
      <w:tr w:rsidR="00874315" w:rsidRPr="00184084" w14:paraId="6186F1AE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9B34295" w14:textId="77777777" w:rsidR="00874315" w:rsidRPr="00184084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040</w:t>
            </w:r>
          </w:p>
        </w:tc>
        <w:tc>
          <w:tcPr>
            <w:tcW w:w="7705" w:type="dxa"/>
            <w:shd w:val="clear" w:color="auto" w:fill="auto"/>
            <w:noWrap/>
          </w:tcPr>
          <w:p w14:paraId="2D0E1DA1" w14:textId="2BC23B81" w:rsidR="00874315" w:rsidRPr="00184084" w:rsidRDefault="00DD5897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1.3</w:t>
            </w:r>
            <w:r w:rsidR="00184084">
              <w:rPr>
                <w:rFonts w:ascii="Times New Roman" w:hAnsi="Times New Roman"/>
                <w:b/>
                <w:szCs w:val="20"/>
                <w:u w:val="single"/>
              </w:rPr>
              <w:t xml:space="preserve"> z 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čoho: Zabezpečené financovanie</w:t>
            </w:r>
          </w:p>
          <w:p w14:paraId="1193789E" w14:textId="1ADCAFB8" w:rsidR="00874315" w:rsidRPr="00184084" w:rsidRDefault="00CE333E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szCs w:val="20"/>
              </w:rPr>
              <w:t>Celkový objem</w:t>
            </w:r>
            <w:r w:rsidR="00184084">
              <w:rPr>
                <w:rFonts w:ascii="Times New Roman" w:hAnsi="Times New Roman"/>
                <w:szCs w:val="20"/>
              </w:rPr>
              <w:t xml:space="preserve"> a </w:t>
            </w:r>
            <w:r w:rsidRPr="00184084">
              <w:rPr>
                <w:rFonts w:ascii="Times New Roman" w:hAnsi="Times New Roman"/>
                <w:szCs w:val="20"/>
              </w:rPr>
              <w:t>vážené priemerné rozpätie získaného zabezpečeného financovania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rámci celkového financovania vykázaného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položke 1.</w:t>
            </w:r>
          </w:p>
        </w:tc>
      </w:tr>
      <w:tr w:rsidR="00874315" w:rsidRPr="00184084" w14:paraId="1D56DA27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10F28777" w14:textId="77777777" w:rsidR="00874315" w:rsidRPr="00184084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050</w:t>
            </w:r>
          </w:p>
        </w:tc>
        <w:tc>
          <w:tcPr>
            <w:tcW w:w="7705" w:type="dxa"/>
            <w:shd w:val="clear" w:color="auto" w:fill="auto"/>
            <w:noWrap/>
          </w:tcPr>
          <w:p w14:paraId="43439F3F" w14:textId="00578F9D" w:rsidR="00874315" w:rsidRPr="00184084" w:rsidRDefault="002C154A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1.4</w:t>
            </w:r>
            <w:r w:rsidR="00184084">
              <w:rPr>
                <w:rFonts w:ascii="Times New Roman" w:hAnsi="Times New Roman"/>
                <w:b/>
                <w:szCs w:val="20"/>
                <w:u w:val="single"/>
              </w:rPr>
              <w:t xml:space="preserve"> z 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čoho: Nadriadené nezabezpečené cenné papiere</w:t>
            </w:r>
          </w:p>
          <w:p w14:paraId="14410483" w14:textId="0A90D9B4" w:rsidR="00874315" w:rsidRPr="00184084" w:rsidRDefault="00CE333E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szCs w:val="20"/>
              </w:rPr>
              <w:t>Celkový objem</w:t>
            </w:r>
            <w:r w:rsidR="00184084">
              <w:rPr>
                <w:rFonts w:ascii="Times New Roman" w:hAnsi="Times New Roman"/>
                <w:szCs w:val="20"/>
              </w:rPr>
              <w:t xml:space="preserve"> a </w:t>
            </w:r>
            <w:r w:rsidRPr="00184084">
              <w:rPr>
                <w:rFonts w:ascii="Times New Roman" w:hAnsi="Times New Roman"/>
                <w:szCs w:val="20"/>
              </w:rPr>
              <w:t>vážené priemerné rozpätie získaných nadriadených nezabezpečených cenných papierov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rámci celkového financovania vykázaného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položke 1.</w:t>
            </w:r>
          </w:p>
        </w:tc>
      </w:tr>
      <w:tr w:rsidR="00874315" w:rsidRPr="00184084" w14:paraId="28F41CB6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27FBC55D" w14:textId="77777777" w:rsidR="00874315" w:rsidRPr="00184084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060</w:t>
            </w:r>
          </w:p>
        </w:tc>
        <w:tc>
          <w:tcPr>
            <w:tcW w:w="7705" w:type="dxa"/>
            <w:shd w:val="clear" w:color="auto" w:fill="auto"/>
            <w:noWrap/>
          </w:tcPr>
          <w:p w14:paraId="00CF474C" w14:textId="717734ED" w:rsidR="00874315" w:rsidRPr="00184084" w:rsidRDefault="002C154A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1.5</w:t>
            </w:r>
            <w:r w:rsidR="00184084">
              <w:rPr>
                <w:rFonts w:ascii="Times New Roman" w:hAnsi="Times New Roman"/>
                <w:b/>
                <w:szCs w:val="20"/>
                <w:u w:val="single"/>
              </w:rPr>
              <w:t xml:space="preserve"> z 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čoho: Kryté dlhopisy</w:t>
            </w:r>
          </w:p>
          <w:p w14:paraId="2AEEDF2A" w14:textId="7F87ADE3" w:rsidR="00874315" w:rsidRPr="00184084" w:rsidRDefault="00CE333E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szCs w:val="20"/>
              </w:rPr>
              <w:t>Celkový objem</w:t>
            </w:r>
            <w:r w:rsidR="00184084">
              <w:rPr>
                <w:rFonts w:ascii="Times New Roman" w:hAnsi="Times New Roman"/>
                <w:szCs w:val="20"/>
              </w:rPr>
              <w:t xml:space="preserve"> a </w:t>
            </w:r>
            <w:r w:rsidRPr="00184084">
              <w:rPr>
                <w:rFonts w:ascii="Times New Roman" w:hAnsi="Times New Roman"/>
                <w:szCs w:val="20"/>
              </w:rPr>
              <w:t>vážené priemerné rozpätie celkovej emisie krytých dlhopisov zaťažujúcich vlastné aktíva inštitúcie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rámci celkového financovania vykázaného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položke 1.</w:t>
            </w:r>
          </w:p>
        </w:tc>
      </w:tr>
      <w:tr w:rsidR="00874315" w:rsidRPr="00184084" w14:paraId="7E2EC114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7FE37EA" w14:textId="77777777" w:rsidR="00874315" w:rsidRPr="00184084" w:rsidRDefault="00AF1439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070</w:t>
            </w:r>
          </w:p>
        </w:tc>
        <w:tc>
          <w:tcPr>
            <w:tcW w:w="7705" w:type="dxa"/>
            <w:shd w:val="clear" w:color="auto" w:fill="auto"/>
            <w:noWrap/>
          </w:tcPr>
          <w:p w14:paraId="2EB3DA46" w14:textId="10C560E5" w:rsidR="00874315" w:rsidRPr="00184084" w:rsidRDefault="002C154A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1.6</w:t>
            </w:r>
            <w:r w:rsidR="00184084">
              <w:rPr>
                <w:rFonts w:ascii="Times New Roman" w:hAnsi="Times New Roman"/>
                <w:b/>
                <w:szCs w:val="20"/>
                <w:u w:val="single"/>
              </w:rPr>
              <w:t xml:space="preserve"> z </w:t>
            </w: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čoho: Cenné papiere zabezpečené aktívami vrátane ABCP</w:t>
            </w:r>
          </w:p>
          <w:p w14:paraId="44C96B86" w14:textId="52105D87" w:rsidR="00874315" w:rsidRPr="00184084" w:rsidRDefault="00CE333E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szCs w:val="20"/>
              </w:rPr>
              <w:t>Celkový objem</w:t>
            </w:r>
            <w:r w:rsidR="00184084">
              <w:rPr>
                <w:rFonts w:ascii="Times New Roman" w:hAnsi="Times New Roman"/>
                <w:szCs w:val="20"/>
              </w:rPr>
              <w:t xml:space="preserve"> a </w:t>
            </w:r>
            <w:r w:rsidRPr="00184084">
              <w:rPr>
                <w:rFonts w:ascii="Times New Roman" w:hAnsi="Times New Roman"/>
                <w:szCs w:val="20"/>
              </w:rPr>
              <w:t>vážené priemerné rozpätie emitovaných cenných papierov zabezpečených aktívami vrátane aktívami zabezpečených krátkodobých obchodovateľných cenných papierov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rámci celkového financovania vykázaného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položke 1.</w:t>
            </w:r>
          </w:p>
        </w:tc>
      </w:tr>
    </w:tbl>
    <w:p w14:paraId="5029EEE5" w14:textId="77777777" w:rsidR="00874315" w:rsidRPr="00184084" w:rsidRDefault="00874315">
      <w:pPr>
        <w:pStyle w:val="InstructionsText"/>
        <w:rPr>
          <w:rStyle w:val="InstructionsTabelleText"/>
          <w:rFonts w:ascii="Times New Roman" w:hAnsi="Times New Roman"/>
          <w:u w:val="none"/>
        </w:rPr>
      </w:pPr>
    </w:p>
    <w:p w14:paraId="63E17173" w14:textId="77777777" w:rsidR="00874315" w:rsidRPr="00184084" w:rsidRDefault="006000DF">
      <w:pPr>
        <w:pStyle w:val="Instructionsberschrift2"/>
        <w:numPr>
          <w:ilvl w:val="1"/>
          <w:numId w:val="2"/>
        </w:numPr>
        <w:spacing w:before="0"/>
        <w:rPr>
          <w:rFonts w:ascii="Times New Roman" w:hAnsi="Times New Roman" w:cs="Times New Roman"/>
          <w:szCs w:val="20"/>
        </w:rPr>
      </w:pPr>
      <w:r w:rsidRPr="00184084">
        <w:rPr>
          <w:rFonts w:ascii="Times New Roman" w:hAnsi="Times New Roman"/>
          <w:szCs w:val="20"/>
        </w:rPr>
        <w:t>Obnovenie financovania (C 70.00)</w:t>
      </w:r>
    </w:p>
    <w:p w14:paraId="5ACA258A" w14:textId="45709B7D" w:rsidR="00874315" w:rsidRPr="00184084" w:rsidRDefault="00DD5897">
      <w:pPr>
        <w:pStyle w:val="InstructionsText2"/>
        <w:numPr>
          <w:ilvl w:val="0"/>
          <w:numId w:val="8"/>
        </w:numPr>
        <w:rPr>
          <w:u w:val="none"/>
        </w:rPr>
      </w:pPr>
      <w:r w:rsidRPr="00184084">
        <w:rPr>
          <w:u w:val="none"/>
        </w:rPr>
        <w:t>Účelom tohto vzoru je zhromaždiť informácie</w:t>
      </w:r>
      <w:r w:rsidR="00184084">
        <w:rPr>
          <w:u w:val="none"/>
        </w:rPr>
        <w:t xml:space="preserve"> o </w:t>
      </w:r>
      <w:r w:rsidRPr="00184084">
        <w:rPr>
          <w:u w:val="none"/>
        </w:rPr>
        <w:t>objeme splatných prostriedkov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získaného nového financovania, t. j.</w:t>
      </w:r>
      <w:r w:rsidR="00184084">
        <w:rPr>
          <w:u w:val="none"/>
        </w:rPr>
        <w:t xml:space="preserve"> o </w:t>
      </w:r>
      <w:r w:rsidRPr="00184084">
        <w:rPr>
          <w:u w:val="none"/>
        </w:rPr>
        <w:t>„obnovení financovania“ na dennom základe počas mesiaca predchádzajúceho dátumu vykazovania.</w:t>
      </w:r>
    </w:p>
    <w:p w14:paraId="180EF408" w14:textId="62E96776" w:rsidR="00874315" w:rsidRPr="00184084" w:rsidRDefault="00DB3C37">
      <w:pPr>
        <w:pStyle w:val="InstructionsText2"/>
        <w:numPr>
          <w:ilvl w:val="0"/>
          <w:numId w:val="8"/>
        </w:numPr>
        <w:rPr>
          <w:u w:val="none"/>
        </w:rPr>
      </w:pPr>
      <w:r w:rsidRPr="00184084">
        <w:rPr>
          <w:u w:val="none"/>
        </w:rPr>
        <w:t>Inštitúcie vykážu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kalendárnych dňoch financovanie splatné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súlade</w:t>
      </w:r>
      <w:r w:rsidR="00184084">
        <w:rPr>
          <w:u w:val="none"/>
        </w:rPr>
        <w:t xml:space="preserve"> s </w:t>
      </w:r>
      <w:r w:rsidRPr="00184084">
        <w:rPr>
          <w:u w:val="none"/>
        </w:rPr>
        <w:t>nasledujúcimi časovými skupinami podľa pôvodnej splatnosti:</w:t>
      </w:r>
    </w:p>
    <w:p w14:paraId="10B482AB" w14:textId="535CDA2A" w:rsidR="00874315" w:rsidRPr="00184084" w:rsidRDefault="00237D15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184084">
        <w:rPr>
          <w:u w:val="none"/>
        </w:rPr>
        <w:t>jednodňová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stĺpcoch 010 až 040;</w:t>
      </w:r>
    </w:p>
    <w:p w14:paraId="78059097" w14:textId="6E81B595" w:rsidR="00874315" w:rsidRPr="00184084" w:rsidRDefault="00237D15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184084">
        <w:rPr>
          <w:u w:val="none"/>
        </w:rPr>
        <w:t>v rozmedzí od 1 dňa do 7 dní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stĺpcoch 050 až 080;</w:t>
      </w:r>
    </w:p>
    <w:p w14:paraId="0888F316" w14:textId="41FFA7C1" w:rsidR="00874315" w:rsidRPr="00184084" w:rsidRDefault="00237D15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184084">
        <w:rPr>
          <w:u w:val="none"/>
        </w:rPr>
        <w:t>v rozmedzí od 7 dní do 14 dní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stĺpcoch 090 až 120;</w:t>
      </w:r>
    </w:p>
    <w:p w14:paraId="08E23AA2" w14:textId="546D8B9D" w:rsidR="00874315" w:rsidRPr="00184084" w:rsidRDefault="00237D15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184084">
        <w:rPr>
          <w:u w:val="none"/>
        </w:rPr>
        <w:t>v rozmedzí od 14 dní do 1 mesiaca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stĺpcoch 130 až 160;</w:t>
      </w:r>
    </w:p>
    <w:p w14:paraId="69F00FB2" w14:textId="3DD8D3F1" w:rsidR="00874315" w:rsidRPr="00184084" w:rsidRDefault="00237D15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184084">
        <w:rPr>
          <w:u w:val="none"/>
        </w:rPr>
        <w:t>v rozmedzí od 1 mesiaca do 3 mesiacov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stĺpcoch 170 až 200;</w:t>
      </w:r>
    </w:p>
    <w:p w14:paraId="39971E5E" w14:textId="5049775D" w:rsidR="00874315" w:rsidRPr="00184084" w:rsidRDefault="00237D15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184084">
        <w:rPr>
          <w:u w:val="none"/>
        </w:rPr>
        <w:t>v rozmedzí od 3 mesiacov do 6 mesiacov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stĺpcoch 210 až 240;</w:t>
      </w:r>
    </w:p>
    <w:p w14:paraId="7574DBE7" w14:textId="7BFD4E47" w:rsidR="00874315" w:rsidRPr="00184084" w:rsidRDefault="00144FB8">
      <w:pPr>
        <w:pStyle w:val="InstructionsText2"/>
        <w:numPr>
          <w:ilvl w:val="1"/>
          <w:numId w:val="5"/>
        </w:numPr>
        <w:ind w:left="1276" w:hanging="283"/>
        <w:rPr>
          <w:u w:val="none"/>
        </w:rPr>
      </w:pPr>
      <w:r w:rsidRPr="00184084">
        <w:rPr>
          <w:u w:val="none"/>
        </w:rPr>
        <w:lastRenderedPageBreak/>
        <w:t>dlhšia ako 6 mesiacov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stĺpcoch 250 až 280.</w:t>
      </w:r>
    </w:p>
    <w:p w14:paraId="3B87B4DD" w14:textId="09B3DA59" w:rsidR="00184084" w:rsidRDefault="00DB3C37">
      <w:pPr>
        <w:pStyle w:val="InstructionsText2"/>
        <w:numPr>
          <w:ilvl w:val="0"/>
          <w:numId w:val="8"/>
        </w:numPr>
        <w:rPr>
          <w:u w:val="none"/>
        </w:rPr>
      </w:pPr>
      <w:r w:rsidRPr="00184084">
        <w:rPr>
          <w:u w:val="none"/>
        </w:rPr>
        <w:t>Pri každej časovej skupine uvedenej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odseku 2 sa splatná suma vykazuje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ľavom stĺpci, obnovené prostriedky sa vykazujú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stĺpci „Obnovené“, nové získané prostriedky sa vykazujú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stĺpci „Nové prostriedky“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čistý rozdiel medzi novými prostriedkami na jednej strane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obnovenými prostriedkami okrem splatných prostriedkov na druhej strane sa vykazuje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pravom stĺpci</w:t>
      </w:r>
      <w:r w:rsidR="00184084">
        <w:rPr>
          <w:u w:val="none"/>
        </w:rPr>
        <w:t>.</w:t>
      </w:r>
    </w:p>
    <w:p w14:paraId="710A06F4" w14:textId="7B6514FB" w:rsidR="00874315" w:rsidRPr="00184084" w:rsidRDefault="00DB3C37">
      <w:pPr>
        <w:pStyle w:val="InstructionsText2"/>
        <w:numPr>
          <w:ilvl w:val="0"/>
          <w:numId w:val="8"/>
        </w:numPr>
        <w:rPr>
          <w:u w:val="none"/>
        </w:rPr>
      </w:pPr>
      <w:r w:rsidRPr="00184084">
        <w:rPr>
          <w:u w:val="none"/>
        </w:rPr>
        <w:t>Celkové čisté peňažné toky sa vykazujú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stĺpci 290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rovnajú sa súčtu všetkých stĺpcov „Čisté“</w:t>
      </w:r>
      <w:r w:rsidR="00184084">
        <w:rPr>
          <w:u w:val="none"/>
        </w:rPr>
        <w:t xml:space="preserve"> s </w:t>
      </w:r>
      <w:r w:rsidRPr="00184084">
        <w:rPr>
          <w:u w:val="none"/>
        </w:rPr>
        <w:t>číslami 040, 080, 120, 160, 200, 240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280.</w:t>
      </w:r>
    </w:p>
    <w:p w14:paraId="28B9B16F" w14:textId="24CB67DD" w:rsidR="00874315" w:rsidRPr="00184084" w:rsidRDefault="00DB3C37">
      <w:pPr>
        <w:pStyle w:val="InstructionsText2"/>
        <w:numPr>
          <w:ilvl w:val="0"/>
          <w:numId w:val="8"/>
        </w:numPr>
        <w:rPr>
          <w:u w:val="none"/>
        </w:rPr>
      </w:pPr>
      <w:r w:rsidRPr="00184084">
        <w:rPr>
          <w:u w:val="none"/>
        </w:rPr>
        <w:t>Priemerná doba financovania (v dňoch) pre splatné termínované prostriedky sa vykazuje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stĺpci 300.</w:t>
      </w:r>
    </w:p>
    <w:p w14:paraId="76D8AD49" w14:textId="3287D480" w:rsidR="00874315" w:rsidRPr="00184084" w:rsidRDefault="003E371A">
      <w:pPr>
        <w:pStyle w:val="InstructionsText2"/>
        <w:numPr>
          <w:ilvl w:val="0"/>
          <w:numId w:val="8"/>
        </w:numPr>
        <w:rPr>
          <w:u w:val="none"/>
        </w:rPr>
      </w:pPr>
      <w:r w:rsidRPr="00184084">
        <w:rPr>
          <w:u w:val="none"/>
        </w:rPr>
        <w:t>Priemerná doba financovania (v dňoch) obnovených prostriedkov sa vykazuje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stĺpci 310.</w:t>
      </w:r>
    </w:p>
    <w:p w14:paraId="717CD209" w14:textId="65276D09" w:rsidR="00874315" w:rsidRPr="00184084" w:rsidRDefault="00DB3C37">
      <w:pPr>
        <w:pStyle w:val="InstructionsText2"/>
        <w:numPr>
          <w:ilvl w:val="0"/>
          <w:numId w:val="8"/>
        </w:numPr>
        <w:rPr>
          <w:u w:val="none"/>
        </w:rPr>
      </w:pPr>
      <w:r w:rsidRPr="00184084">
        <w:rPr>
          <w:u w:val="none"/>
        </w:rPr>
        <w:t>Priemerná doba financovania (v dňoch) pre nové termínované prostriedky sa vykazuje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stĺpci 320.</w:t>
      </w:r>
    </w:p>
    <w:p w14:paraId="5C92A186" w14:textId="01F825EE" w:rsidR="00874315" w:rsidRPr="00184084" w:rsidRDefault="00A7751A">
      <w:pPr>
        <w:pStyle w:val="InstructionsText2"/>
        <w:numPr>
          <w:ilvl w:val="0"/>
          <w:numId w:val="8"/>
        </w:numPr>
        <w:rPr>
          <w:u w:val="none"/>
        </w:rPr>
      </w:pPr>
      <w:r w:rsidRPr="00184084">
        <w:rPr>
          <w:u w:val="none"/>
        </w:rPr>
        <w:t>Suma „Splatné“ pozostáva zo všetkých záväzkov so zmluvnou možnosťou výberu financovania poskytovateľom alebo splatných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príslušný deň obdobia vykazovania. Vždy sa vykazuje</w:t>
      </w:r>
      <w:r w:rsidR="00184084">
        <w:rPr>
          <w:u w:val="none"/>
        </w:rPr>
        <w:t xml:space="preserve"> s </w:t>
      </w:r>
      <w:r w:rsidRPr="00184084">
        <w:rPr>
          <w:u w:val="none"/>
        </w:rPr>
        <w:t>kladným znamienkom.</w:t>
      </w:r>
    </w:p>
    <w:p w14:paraId="004B6E12" w14:textId="6E1B62A4" w:rsidR="00874315" w:rsidRPr="00184084" w:rsidRDefault="00A7751A">
      <w:pPr>
        <w:pStyle w:val="InstructionsText2"/>
        <w:numPr>
          <w:ilvl w:val="0"/>
          <w:numId w:val="8"/>
        </w:numPr>
        <w:rPr>
          <w:u w:val="none"/>
        </w:rPr>
      </w:pPr>
      <w:r w:rsidRPr="00184084">
        <w:rPr>
          <w:u w:val="none"/>
        </w:rPr>
        <w:t>Suma „Obnovené“ pozostáva zo splatnej sumy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zmysle vymedzenia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odsekoch 2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3, ktorá zostane inštitúcii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príslušný deň obdobia vykazovania. Vždy sa vykazuje</w:t>
      </w:r>
      <w:r w:rsidR="00184084">
        <w:rPr>
          <w:u w:val="none"/>
        </w:rPr>
        <w:t xml:space="preserve"> s </w:t>
      </w:r>
      <w:r w:rsidRPr="00184084">
        <w:rPr>
          <w:u w:val="none"/>
        </w:rPr>
        <w:t>kladným znamienkom. Ak sa splatnosť financovania zmenila</w:t>
      </w:r>
      <w:r w:rsidR="00184084">
        <w:rPr>
          <w:u w:val="none"/>
        </w:rPr>
        <w:t xml:space="preserve"> z </w:t>
      </w:r>
      <w:r w:rsidRPr="00184084">
        <w:rPr>
          <w:u w:val="none"/>
        </w:rPr>
        <w:t>dôvodu obnovenia, suma „Obnovené“ sa vykáže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časovej skupine podľa novej splatnosti.</w:t>
      </w:r>
    </w:p>
    <w:p w14:paraId="68CA5A97" w14:textId="4367DD96" w:rsidR="00874315" w:rsidRPr="00184084" w:rsidRDefault="00A7751A">
      <w:pPr>
        <w:pStyle w:val="InstructionsText2"/>
        <w:numPr>
          <w:ilvl w:val="0"/>
          <w:numId w:val="8"/>
        </w:numPr>
        <w:rPr>
          <w:u w:val="none"/>
        </w:rPr>
      </w:pPr>
      <w:r w:rsidRPr="00184084">
        <w:rPr>
          <w:u w:val="none"/>
        </w:rPr>
        <w:t>Suma „Nové prostriedky“ pozostáva zo skutočných kladných tokov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príslušný deň obdobia vykazovania. Vždy sa vykazuje</w:t>
      </w:r>
      <w:r w:rsidR="00184084">
        <w:rPr>
          <w:u w:val="none"/>
        </w:rPr>
        <w:t xml:space="preserve"> s </w:t>
      </w:r>
      <w:r w:rsidRPr="00184084">
        <w:rPr>
          <w:u w:val="none"/>
        </w:rPr>
        <w:t>kladným znamienkom.</w:t>
      </w:r>
    </w:p>
    <w:p w14:paraId="36023996" w14:textId="12B0E0BB" w:rsidR="00874315" w:rsidRPr="00184084" w:rsidRDefault="00A7751A">
      <w:pPr>
        <w:pStyle w:val="InstructionsText2"/>
        <w:numPr>
          <w:ilvl w:val="0"/>
          <w:numId w:val="8"/>
        </w:numPr>
        <w:rPr>
          <w:u w:val="none"/>
        </w:rPr>
      </w:pPr>
      <w:r w:rsidRPr="00184084">
        <w:rPr>
          <w:u w:val="none"/>
        </w:rPr>
        <w:t>Za sumu „Čisté“ sa považuje zmena financovania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rámci určitého časového pásma pôvodnej splatnosti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príslušný deň obdobia vykazovania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vypočíta sa pripočítaním nových prostriedkov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obnovených prostriedkov</w:t>
      </w:r>
      <w:r w:rsidR="00184084">
        <w:rPr>
          <w:u w:val="none"/>
        </w:rPr>
        <w:t xml:space="preserve"> v </w:t>
      </w:r>
      <w:r w:rsidRPr="00184084">
        <w:rPr>
          <w:u w:val="none"/>
        </w:rPr>
        <w:t>stĺpci „Čisté“</w:t>
      </w:r>
      <w:r w:rsidR="00184084">
        <w:rPr>
          <w:u w:val="none"/>
        </w:rPr>
        <w:t xml:space="preserve"> a </w:t>
      </w:r>
      <w:r w:rsidRPr="00184084">
        <w:rPr>
          <w:u w:val="none"/>
        </w:rPr>
        <w:t>odpočítaním splatných prostriedkov.</w:t>
      </w:r>
    </w:p>
    <w:p w14:paraId="0E67F27B" w14:textId="64F4C758" w:rsidR="00874315" w:rsidRPr="00184084" w:rsidRDefault="00ED41A4">
      <w:pPr>
        <w:pStyle w:val="InstructionsText2"/>
        <w:numPr>
          <w:ilvl w:val="0"/>
          <w:numId w:val="8"/>
        </w:numPr>
        <w:rPr>
          <w:u w:val="none"/>
        </w:rPr>
      </w:pPr>
      <w:r w:rsidRPr="00184084">
        <w:rPr>
          <w:u w:val="none"/>
        </w:rPr>
        <w:t>Pokyny týkajúce sa jednotlivých stĺpcov: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3"/>
        <w:gridCol w:w="7279"/>
      </w:tblGrid>
      <w:tr w:rsidR="00874315" w:rsidRPr="00184084" w14:paraId="24A3446B" w14:textId="77777777" w:rsidTr="005F4FE0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44CE1AFF" w14:textId="77777777" w:rsidR="00874315" w:rsidRPr="00184084" w:rsidRDefault="00ED41A4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Style w:val="InstructionsTabelleText"/>
                <w:rFonts w:ascii="Times New Roman" w:hAnsi="Times New Roman"/>
                <w:szCs w:val="20"/>
              </w:rPr>
              <w:t>Stĺpec</w:t>
            </w:r>
          </w:p>
        </w:tc>
        <w:tc>
          <w:tcPr>
            <w:tcW w:w="4271" w:type="pct"/>
            <w:shd w:val="clear" w:color="auto" w:fill="D9D9D9"/>
            <w:vAlign w:val="center"/>
          </w:tcPr>
          <w:p w14:paraId="31EE78F6" w14:textId="667B245E" w:rsidR="00874315" w:rsidRPr="00184084" w:rsidRDefault="00ED41A4">
            <w:pPr>
              <w:spacing w:before="0" w:after="0"/>
              <w:jc w:val="left"/>
              <w:rPr>
                <w:rFonts w:ascii="Times New Roman" w:hAnsi="Times New Roman"/>
                <w:szCs w:val="20"/>
              </w:rPr>
            </w:pPr>
            <w:r w:rsidRPr="00184084">
              <w:rPr>
                <w:rStyle w:val="InstructionsTabelleText"/>
                <w:rFonts w:ascii="Times New Roman" w:hAnsi="Times New Roman"/>
                <w:szCs w:val="20"/>
              </w:rPr>
              <w:t>Odkazy na právne predpisy</w:t>
            </w:r>
            <w:r w:rsidR="00184084">
              <w:rPr>
                <w:rStyle w:val="InstructionsTabelleText"/>
                <w:rFonts w:ascii="Times New Roman" w:hAnsi="Times New Roman"/>
                <w:szCs w:val="20"/>
              </w:rPr>
              <w:t xml:space="preserve"> a </w:t>
            </w:r>
            <w:r w:rsidRPr="00184084">
              <w:rPr>
                <w:rStyle w:val="InstructionsTabelleText"/>
                <w:rFonts w:ascii="Times New Roman" w:hAnsi="Times New Roman"/>
                <w:szCs w:val="20"/>
              </w:rPr>
              <w:t>pokyny</w:t>
            </w:r>
          </w:p>
        </w:tc>
      </w:tr>
      <w:tr w:rsidR="00874315" w:rsidRPr="00184084" w14:paraId="1F75C2D4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2684888D" w14:textId="77777777" w:rsidR="00874315" w:rsidRPr="00184084" w:rsidRDefault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010 až 040</w:t>
            </w:r>
          </w:p>
        </w:tc>
        <w:tc>
          <w:tcPr>
            <w:tcW w:w="4271" w:type="pct"/>
            <w:shd w:val="clear" w:color="auto" w:fill="auto"/>
          </w:tcPr>
          <w:p w14:paraId="45774E3B" w14:textId="77777777" w:rsidR="00874315" w:rsidRPr="00184084" w:rsidRDefault="00BD24C1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Jednodňová splatnosť</w:t>
            </w:r>
          </w:p>
          <w:p w14:paraId="0D011271" w14:textId="114C1B4A" w:rsidR="00874315" w:rsidRPr="00184084" w:rsidRDefault="00ED41A4">
            <w:pPr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Celkový objem financovania splatného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príslušný deň obdobia vykazovania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jednodňovou pôvodnou splatnosťou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010 riadkovej položky 1.1 – 1.31.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prípade mesiacov, ktoré majú menej ako 31 dní, ako aj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prípade víkendov zostanú irelevantné riadky prázdne.</w:t>
            </w:r>
          </w:p>
          <w:p w14:paraId="7D2D26D4" w14:textId="30DA53DC" w:rsidR="00874315" w:rsidRPr="00184084" w:rsidRDefault="003E371A">
            <w:pPr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Celkový objem financovania obnoveného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príslušný deň obdobia vykazovania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jednodňovou pôvodnou splatnosťou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020 riadkovej položky 1.1 – 1.31.</w:t>
            </w:r>
          </w:p>
          <w:p w14:paraId="4837928B" w14:textId="496DC7AF" w:rsidR="00874315" w:rsidRPr="00184084" w:rsidRDefault="00ED41A4">
            <w:pPr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Celkový objem nového financovania získaného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príslušný deň obdobia vykazovania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jednodňovou pôvodnou splatnosťou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030 riadkovej položky 1.1 – 1.31.</w:t>
            </w:r>
          </w:p>
          <w:p w14:paraId="16FDBE2F" w14:textId="31510038" w:rsidR="00874315" w:rsidRPr="00184084" w:rsidRDefault="00ED41A4">
            <w:pPr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Čistý rozdiel medzi financovaním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dennou splatnosťou na jednej strane</w:t>
            </w:r>
            <w:r w:rsidR="00184084">
              <w:rPr>
                <w:rFonts w:ascii="Times New Roman" w:hAnsi="Times New Roman"/>
                <w:szCs w:val="20"/>
              </w:rPr>
              <w:t xml:space="preserve"> a </w:t>
            </w:r>
            <w:r w:rsidRPr="00184084">
              <w:rPr>
                <w:rFonts w:ascii="Times New Roman" w:hAnsi="Times New Roman"/>
                <w:szCs w:val="20"/>
              </w:rPr>
              <w:t>obnoveným financovaním spolu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novým získaným denným financovaním na druhej strane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040 riadkovej položky 1.1 – 1.31.</w:t>
            </w:r>
          </w:p>
        </w:tc>
      </w:tr>
      <w:tr w:rsidR="00874315" w:rsidRPr="00184084" w14:paraId="66A496F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3C009DF" w14:textId="77777777" w:rsidR="00874315" w:rsidRPr="00184084" w:rsidRDefault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lastRenderedPageBreak/>
              <w:t>050 až 080</w:t>
            </w:r>
          </w:p>
        </w:tc>
        <w:tc>
          <w:tcPr>
            <w:tcW w:w="4271" w:type="pct"/>
            <w:shd w:val="clear" w:color="auto" w:fill="auto"/>
          </w:tcPr>
          <w:p w14:paraId="79477518" w14:textId="77777777" w:rsidR="00874315" w:rsidRPr="00184084" w:rsidRDefault="00ED41A4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&gt; 1 deň ≤ 7 dní</w:t>
            </w:r>
          </w:p>
          <w:p w14:paraId="456405B1" w14:textId="644E7163" w:rsidR="00874315" w:rsidRPr="00184084" w:rsidRDefault="00ED41A4">
            <w:pPr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Celkový objem financovania splatného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príslušný deň obdobia vykazovania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pôvodnou splatnosťou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rozmedzí od jedného dňa do jedného týždňa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050 riadkovej položky 1.1 – 1.31.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prípade mesiacov, ktoré majú menej ako 31 dní, ako aj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prípade víkendov zostanú irelevantné riadky prázdne.</w:t>
            </w:r>
          </w:p>
          <w:p w14:paraId="293B2767" w14:textId="08619AA2" w:rsidR="00874315" w:rsidRPr="00184084" w:rsidRDefault="003E371A">
            <w:pPr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Celkový objem financovania obnoveného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príslušný deň obdobia vykazovania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pôvodnou splatnosťou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rozmedzí od jedného dňa do jedného týždňa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060 riadkovej položky 1.1 – 1.31.</w:t>
            </w:r>
          </w:p>
          <w:p w14:paraId="5D635490" w14:textId="7E2B5A5D" w:rsidR="00874315" w:rsidRPr="00184084" w:rsidRDefault="00ED41A4">
            <w:pPr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Celkový objem nového financovania získaného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príslušný deň obdobia vykazovania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pôvodnou splatnosťou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rozmedzí od jedného dňa do jedného týždňa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070 riadkovej položky 1.1 – 1.31.</w:t>
            </w:r>
          </w:p>
          <w:p w14:paraId="46AFF05A" w14:textId="1D117456" w:rsidR="00874315" w:rsidRPr="00184084" w:rsidRDefault="00ED41A4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szCs w:val="20"/>
              </w:rPr>
              <w:t>Čistý rozdiel medzi splatným financovaním na jednej strane</w:t>
            </w:r>
            <w:r w:rsidR="00184084">
              <w:rPr>
                <w:rFonts w:ascii="Times New Roman" w:hAnsi="Times New Roman"/>
                <w:szCs w:val="20"/>
              </w:rPr>
              <w:t xml:space="preserve"> a </w:t>
            </w:r>
            <w:r w:rsidRPr="00184084">
              <w:rPr>
                <w:rFonts w:ascii="Times New Roman" w:hAnsi="Times New Roman"/>
                <w:szCs w:val="20"/>
              </w:rPr>
              <w:t>obnoveným financovaním spolu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novým získaným financovaním na druhej strane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080 riadkovej položky 1.1 – 1.31.</w:t>
            </w:r>
          </w:p>
        </w:tc>
      </w:tr>
      <w:tr w:rsidR="00874315" w:rsidRPr="00184084" w14:paraId="7A4EE419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33F8B1E" w14:textId="77777777" w:rsidR="00874315" w:rsidRPr="00184084" w:rsidRDefault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090 až 120</w:t>
            </w:r>
          </w:p>
        </w:tc>
        <w:tc>
          <w:tcPr>
            <w:tcW w:w="4271" w:type="pct"/>
            <w:shd w:val="clear" w:color="auto" w:fill="auto"/>
          </w:tcPr>
          <w:p w14:paraId="47C8E97F" w14:textId="77777777" w:rsidR="00874315" w:rsidRPr="00184084" w:rsidRDefault="00ED41A4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&gt; 7 dní ≤ 14 dní</w:t>
            </w:r>
          </w:p>
          <w:p w14:paraId="01B280B0" w14:textId="0A93F85F" w:rsidR="00874315" w:rsidRPr="00184084" w:rsidRDefault="007C6B89">
            <w:pPr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Celkový objem financovania splatného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príslušný deň obdobia vykazovania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pôvodnou splatnosťou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rozmedzí od jedného týždňa do dvoch týždňov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090 riadkovej položky 1.1 – 1.31.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prípade mesiacov, ktoré majú menej ako 31 dní, ako aj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prípade víkendov zostanú irelevantné riadky prázdne.</w:t>
            </w:r>
          </w:p>
          <w:p w14:paraId="37FF815B" w14:textId="72EE0EEF" w:rsidR="00874315" w:rsidRPr="00184084" w:rsidRDefault="003E371A">
            <w:pPr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Celkový objem financovania obnoveného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príslušný deň obdobia vykazovania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pôvodnou splatnosťou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rozmedzí od jedného týždňa do dvoch týždňov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100 riadkovej položky 1.1 – 1.31.</w:t>
            </w:r>
          </w:p>
          <w:p w14:paraId="60125A59" w14:textId="797798A8" w:rsidR="00874315" w:rsidRPr="00184084" w:rsidRDefault="007C6B89">
            <w:pPr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Celkový objem nového financovania získaného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príslušný deň obdobia vykazovania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pôvodnou splatnosťou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rozmedzí od jedného týždňa do dvoch týždňov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110 riadkovej položky 1.1 – 1.31.</w:t>
            </w:r>
          </w:p>
          <w:p w14:paraId="3B20F474" w14:textId="047F8EF2" w:rsidR="00874315" w:rsidRPr="00184084" w:rsidRDefault="007C6B8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szCs w:val="20"/>
              </w:rPr>
              <w:t>Čistý rozdiel medzi splatným financovaním na jednej strane</w:t>
            </w:r>
            <w:r w:rsidR="00184084">
              <w:rPr>
                <w:rFonts w:ascii="Times New Roman" w:hAnsi="Times New Roman"/>
                <w:szCs w:val="20"/>
              </w:rPr>
              <w:t xml:space="preserve"> a </w:t>
            </w:r>
            <w:r w:rsidRPr="00184084">
              <w:rPr>
                <w:rFonts w:ascii="Times New Roman" w:hAnsi="Times New Roman"/>
                <w:szCs w:val="20"/>
              </w:rPr>
              <w:t>obnoveným financovaním spolu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novým získaným financovaním na druhej strane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120 riadkovej položky 1.1 – 1.31.</w:t>
            </w:r>
          </w:p>
        </w:tc>
      </w:tr>
      <w:tr w:rsidR="00874315" w:rsidRPr="00184084" w14:paraId="4111D59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F918ABE" w14:textId="77777777" w:rsidR="00874315" w:rsidRPr="00184084" w:rsidRDefault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130 až 160</w:t>
            </w:r>
          </w:p>
        </w:tc>
        <w:tc>
          <w:tcPr>
            <w:tcW w:w="4271" w:type="pct"/>
            <w:shd w:val="clear" w:color="auto" w:fill="auto"/>
          </w:tcPr>
          <w:p w14:paraId="4D847802" w14:textId="77777777" w:rsidR="00874315" w:rsidRPr="00184084" w:rsidRDefault="00ED41A4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&gt; 14 dní ≤ 1 mesiac</w:t>
            </w:r>
          </w:p>
          <w:p w14:paraId="6DFCCE86" w14:textId="0AE5E21E" w:rsidR="00874315" w:rsidRPr="00184084" w:rsidRDefault="007C6B89">
            <w:pPr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Celkový objem financovania splatného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príslušný deň obdobia vykazovania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pôvodnou splatnosťou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rozmedzí od dvoch týždňov do jedného mesiaca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130 riadkovej položky 1.1 – 1.31.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prípade mesiacov, ktoré majú menej ako 31 dní, ako aj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prípade víkendov zostanú irelevantné riadky prázdne.</w:t>
            </w:r>
          </w:p>
          <w:p w14:paraId="168BD6CE" w14:textId="2B8120D6" w:rsidR="00874315" w:rsidRPr="00184084" w:rsidRDefault="003E371A">
            <w:pPr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Celkový objem financovania obnoveného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príslušný deň obdobia vykazovania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pôvodnou splatnosťou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rozmedzí od dvoch týždňov do jedného mesiaca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140 riadkovej položky 1.1 – 1.31.</w:t>
            </w:r>
          </w:p>
          <w:p w14:paraId="0DBC5483" w14:textId="22AF069F" w:rsidR="00874315" w:rsidRPr="00184084" w:rsidRDefault="007C6B89">
            <w:pPr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Celkový objem nového financovania získaného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príslušný deň obdobia vykazovania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pôvodnou splatnosťou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rozmedzí od dvoch týždňov do jedného mesiaca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150 riadkovej položky 1.1 – 1.31.</w:t>
            </w:r>
          </w:p>
          <w:p w14:paraId="0D02D77F" w14:textId="67387F3D" w:rsidR="00874315" w:rsidRPr="00184084" w:rsidRDefault="007C6B8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szCs w:val="20"/>
              </w:rPr>
              <w:t>Čistý rozdiel medzi splatným financovaním na jednej strane</w:t>
            </w:r>
            <w:r w:rsidR="00184084">
              <w:rPr>
                <w:rFonts w:ascii="Times New Roman" w:hAnsi="Times New Roman"/>
                <w:szCs w:val="20"/>
              </w:rPr>
              <w:t xml:space="preserve"> a </w:t>
            </w:r>
            <w:r w:rsidRPr="00184084">
              <w:rPr>
                <w:rFonts w:ascii="Times New Roman" w:hAnsi="Times New Roman"/>
                <w:szCs w:val="20"/>
              </w:rPr>
              <w:t>obnoveným financovaním spolu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novým získaným financovaním na druhej strane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160 riadkovej položky 1.1 – 1.31.</w:t>
            </w:r>
          </w:p>
        </w:tc>
      </w:tr>
      <w:tr w:rsidR="00874315" w:rsidRPr="00184084" w14:paraId="0A45C671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643AD884" w14:textId="77777777" w:rsidR="00874315" w:rsidRPr="00184084" w:rsidRDefault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170 až 200</w:t>
            </w:r>
          </w:p>
        </w:tc>
        <w:tc>
          <w:tcPr>
            <w:tcW w:w="4271" w:type="pct"/>
            <w:shd w:val="clear" w:color="auto" w:fill="auto"/>
          </w:tcPr>
          <w:p w14:paraId="40912CAD" w14:textId="77777777" w:rsidR="00874315" w:rsidRPr="00184084" w:rsidRDefault="00ED41A4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&gt; 1 mesiac ≤ 3 mesiace</w:t>
            </w:r>
          </w:p>
          <w:p w14:paraId="1C6BB1D5" w14:textId="605E64B8" w:rsidR="00874315" w:rsidRPr="00184084" w:rsidRDefault="007C6B89">
            <w:pPr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Celkový objem financovania splatného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príslušný deň obdobia vykazovania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pôvodnou splatnosťou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rozmedzí od jedného mesiaca do troch mesiacov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170 riadkovej položky 1.1 – 1.31.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prípade mesiacov, ktoré majú menej ako 31 dní, ako aj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prípade víkendov zostanú irelevantné riadky prázdne.</w:t>
            </w:r>
          </w:p>
          <w:p w14:paraId="6A91E8B5" w14:textId="62C12EBD" w:rsidR="00874315" w:rsidRPr="00184084" w:rsidRDefault="003E371A">
            <w:pPr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Celkový objem financovania obnoveného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príslušný deň obdobia vykazovania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pôvodnou splatnosťou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rozmedzí od jedného mesiaca do troch mesiacov sa vykazuje</w:t>
            </w:r>
            <w:r w:rsidR="00184084">
              <w:rPr>
                <w:rFonts w:ascii="Times New Roman" w:hAnsi="Times New Roman"/>
                <w:szCs w:val="20"/>
              </w:rPr>
              <w:t xml:space="preserve"> </w:t>
            </w:r>
            <w:r w:rsidR="00184084">
              <w:rPr>
                <w:rFonts w:ascii="Times New Roman" w:hAnsi="Times New Roman"/>
                <w:szCs w:val="20"/>
              </w:rPr>
              <w:lastRenderedPageBreak/>
              <w:t>v </w:t>
            </w:r>
            <w:r w:rsidRPr="00184084">
              <w:rPr>
                <w:rFonts w:ascii="Times New Roman" w:hAnsi="Times New Roman"/>
                <w:szCs w:val="20"/>
              </w:rPr>
              <w:t>stĺpci 180 riadkovej položky 1.1 – 1.31.</w:t>
            </w:r>
          </w:p>
          <w:p w14:paraId="7A9947A9" w14:textId="55C7ED53" w:rsidR="00874315" w:rsidRPr="00184084" w:rsidRDefault="007C6B89">
            <w:pPr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Celkový objem nového financovania získaného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príslušný deň obdobia vykazovania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pôvodnou splatnosťou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rozmedzí od jedného mesiaca do troch mesiacov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190 riadkovej položky 1.1 – 1.31.</w:t>
            </w:r>
          </w:p>
          <w:p w14:paraId="655F0B6A" w14:textId="3AFBEAB8" w:rsidR="00874315" w:rsidRPr="00184084" w:rsidRDefault="007C6B8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szCs w:val="20"/>
              </w:rPr>
              <w:t>Čistý rozdiel medzi splatným financovaním na jednej strane</w:t>
            </w:r>
            <w:r w:rsidR="00184084">
              <w:rPr>
                <w:rFonts w:ascii="Times New Roman" w:hAnsi="Times New Roman"/>
                <w:szCs w:val="20"/>
              </w:rPr>
              <w:t xml:space="preserve"> a </w:t>
            </w:r>
            <w:r w:rsidRPr="00184084">
              <w:rPr>
                <w:rFonts w:ascii="Times New Roman" w:hAnsi="Times New Roman"/>
                <w:szCs w:val="20"/>
              </w:rPr>
              <w:t>obnoveným financovaním spolu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novým získaným financovaním na druhej strane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200 riadkovej položky 1.1 – 1.31.</w:t>
            </w:r>
          </w:p>
        </w:tc>
      </w:tr>
      <w:tr w:rsidR="00874315" w:rsidRPr="00184084" w14:paraId="0C7B73A0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1DA83DD" w14:textId="77777777" w:rsidR="00874315" w:rsidRPr="00184084" w:rsidRDefault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lastRenderedPageBreak/>
              <w:t>210 až 240</w:t>
            </w:r>
          </w:p>
        </w:tc>
        <w:tc>
          <w:tcPr>
            <w:tcW w:w="4271" w:type="pct"/>
            <w:shd w:val="clear" w:color="auto" w:fill="auto"/>
          </w:tcPr>
          <w:p w14:paraId="27019293" w14:textId="77777777" w:rsidR="00874315" w:rsidRPr="00184084" w:rsidRDefault="005A40BE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&gt; 3 mesiace ≤ 6 mesiacov</w:t>
            </w:r>
          </w:p>
          <w:p w14:paraId="0260CA5A" w14:textId="7318D9D7" w:rsidR="00874315" w:rsidRPr="00184084" w:rsidRDefault="005A40BE">
            <w:pPr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Celkový objem financovania splatného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príslušný deň obdobia vykazovania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pôvodnou splatnosťou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rozmedzí od troch mesiacov do šiestich mesiacov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210 riadkovej položky 1.1 – 1.31.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prípade mesiacov, ktoré majú menej ako 31 dní, ako aj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prípade víkendov zostanú irelevantné riadky prázdne.</w:t>
            </w:r>
          </w:p>
          <w:p w14:paraId="563F93F8" w14:textId="053DD17C" w:rsidR="00874315" w:rsidRPr="00184084" w:rsidRDefault="003E371A">
            <w:pPr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Celkový objem financovania obnoveného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príslušný deň obdobia vykazovania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pôvodnou splatnosťou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rozmedzí od troch mesiacov do šiestich mesiacov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220 riadkovej položky 1.1 – 1.31.</w:t>
            </w:r>
          </w:p>
          <w:p w14:paraId="601C708E" w14:textId="5DA06AA4" w:rsidR="00874315" w:rsidRPr="00184084" w:rsidRDefault="005A40BE">
            <w:pPr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Celkový objem nového financovania získaného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príslušný deň obdobia vykazovania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pôvodnou splatnosťou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rozmedzí od troch mesiacov do šiestich mesiacov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230 riadkovej položky 1.1 – 1.31.</w:t>
            </w:r>
          </w:p>
          <w:p w14:paraId="3E16D1CD" w14:textId="5B22F8F8" w:rsidR="00874315" w:rsidRPr="00184084" w:rsidRDefault="005A40BE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szCs w:val="20"/>
              </w:rPr>
              <w:t>Čistý rozdiel medzi splatným financovaním na jednej strane</w:t>
            </w:r>
            <w:r w:rsidR="00184084">
              <w:rPr>
                <w:rFonts w:ascii="Times New Roman" w:hAnsi="Times New Roman"/>
                <w:szCs w:val="20"/>
              </w:rPr>
              <w:t xml:space="preserve"> a </w:t>
            </w:r>
            <w:r w:rsidRPr="00184084">
              <w:rPr>
                <w:rFonts w:ascii="Times New Roman" w:hAnsi="Times New Roman"/>
                <w:szCs w:val="20"/>
              </w:rPr>
              <w:t>obnoveným financovaním spolu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novým získaným financovaním na druhej strane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240 riadkovej položky 1.1 – 1.31.</w:t>
            </w:r>
          </w:p>
        </w:tc>
      </w:tr>
      <w:tr w:rsidR="00874315" w:rsidRPr="00184084" w14:paraId="3D6EC655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770F85E8" w14:textId="77777777" w:rsidR="00874315" w:rsidRPr="00184084" w:rsidRDefault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250 až 280</w:t>
            </w:r>
          </w:p>
        </w:tc>
        <w:tc>
          <w:tcPr>
            <w:tcW w:w="4271" w:type="pct"/>
            <w:shd w:val="clear" w:color="auto" w:fill="auto"/>
          </w:tcPr>
          <w:p w14:paraId="29910BBF" w14:textId="77777777" w:rsidR="00874315" w:rsidRPr="00184084" w:rsidRDefault="005A40BE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&gt; 6 mesiacov</w:t>
            </w:r>
          </w:p>
          <w:p w14:paraId="3C7C589B" w14:textId="4E48648D" w:rsidR="00874315" w:rsidRPr="00184084" w:rsidRDefault="007C6B89">
            <w:pPr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Celkový objem financovania splatného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príslušný deň obdobia vykazovania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pôvodnou splatnosťou dlhšou ako šesť mesiacov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250 riadkovej položky 1.1 – 1.31.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prípade mesiacov, ktoré majú menej ako 31 dní, ako aj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prípade víkendov zostanú irelevantné riadky prázdne.</w:t>
            </w:r>
          </w:p>
          <w:p w14:paraId="09601152" w14:textId="7423B8AB" w:rsidR="00874315" w:rsidRPr="00184084" w:rsidRDefault="003E371A">
            <w:pPr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Celkový objem financovania obnoveného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príslušný deň obdobia vykazovania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pôvodnou splatnosťou dlhšou ako šesť mesiacov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260 riadkovej položky 1.1 – 1.31.</w:t>
            </w:r>
          </w:p>
          <w:p w14:paraId="4585368E" w14:textId="7BDF2B63" w:rsidR="00874315" w:rsidRPr="00184084" w:rsidRDefault="007C6B89">
            <w:pPr>
              <w:rPr>
                <w:rFonts w:ascii="Times New Roman" w:hAnsi="Times New Roman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Celkový objem nového financovania získaného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príslušný deň obdobia vykazovania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pôvodnou splatnosťou dlhšou ako šesť mesiacov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270 riadkovej položky 1.1 – 1.31.</w:t>
            </w:r>
          </w:p>
          <w:p w14:paraId="228AAF2B" w14:textId="5106E9BC" w:rsidR="00874315" w:rsidRPr="00184084" w:rsidRDefault="007C6B8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szCs w:val="20"/>
              </w:rPr>
              <w:t>Čistý rozdiel medzi splatným financovaním na jednej strane</w:t>
            </w:r>
            <w:r w:rsidR="00184084">
              <w:rPr>
                <w:rFonts w:ascii="Times New Roman" w:hAnsi="Times New Roman"/>
                <w:szCs w:val="20"/>
              </w:rPr>
              <w:t xml:space="preserve"> a </w:t>
            </w:r>
            <w:r w:rsidRPr="00184084">
              <w:rPr>
                <w:rFonts w:ascii="Times New Roman" w:hAnsi="Times New Roman"/>
                <w:szCs w:val="20"/>
              </w:rPr>
              <w:t>obnoveným financovaním spolu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novým získaným financovaním na druhej strane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280 riadkovej položky 1.1 – 1.31.</w:t>
            </w:r>
          </w:p>
        </w:tc>
      </w:tr>
      <w:tr w:rsidR="00874315" w:rsidRPr="00184084" w14:paraId="26CA8238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DBB902E" w14:textId="77777777" w:rsidR="00874315" w:rsidRPr="00184084" w:rsidRDefault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290</w:t>
            </w:r>
          </w:p>
        </w:tc>
        <w:tc>
          <w:tcPr>
            <w:tcW w:w="4271" w:type="pct"/>
            <w:shd w:val="clear" w:color="auto" w:fill="auto"/>
          </w:tcPr>
          <w:p w14:paraId="7F9724BA" w14:textId="77777777" w:rsidR="00874315" w:rsidRPr="00184084" w:rsidRDefault="00ED41A4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Celkové čisté peňažné toky</w:t>
            </w:r>
          </w:p>
          <w:p w14:paraId="6468E29D" w14:textId="226E4B70" w:rsidR="00874315" w:rsidRPr="00184084" w:rsidRDefault="007C6B8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szCs w:val="20"/>
              </w:rPr>
              <w:t>Celkové čisté peňažné toky rovnajúce sa súčtu všetkých stĺpcov „Čisté“</w:t>
            </w:r>
            <w:r w:rsidR="00184084">
              <w:rPr>
                <w:rFonts w:ascii="Times New Roman" w:hAnsi="Times New Roman"/>
                <w:szCs w:val="20"/>
              </w:rPr>
              <w:t xml:space="preserve"> s </w:t>
            </w:r>
            <w:r w:rsidRPr="00184084">
              <w:rPr>
                <w:rFonts w:ascii="Times New Roman" w:hAnsi="Times New Roman"/>
                <w:szCs w:val="20"/>
              </w:rPr>
              <w:t>číslami 040, 080, 120, 160, 200, 240</w:t>
            </w:r>
            <w:r w:rsidR="00184084">
              <w:rPr>
                <w:rFonts w:ascii="Times New Roman" w:hAnsi="Times New Roman"/>
                <w:szCs w:val="20"/>
              </w:rPr>
              <w:t xml:space="preserve"> a </w:t>
            </w:r>
            <w:r w:rsidRPr="00184084">
              <w:rPr>
                <w:rFonts w:ascii="Times New Roman" w:hAnsi="Times New Roman"/>
                <w:szCs w:val="20"/>
              </w:rPr>
              <w:t>280 sa vykazujú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290.</w:t>
            </w:r>
          </w:p>
        </w:tc>
      </w:tr>
      <w:tr w:rsidR="00874315" w:rsidRPr="00184084" w14:paraId="18A531BD" w14:textId="77777777" w:rsidTr="00ED41A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1F26860" w14:textId="401B327E" w:rsidR="00874315" w:rsidRPr="00184084" w:rsidRDefault="00BD24C1">
            <w:pPr>
              <w:spacing w:before="0" w:after="0"/>
              <w:jc w:val="left"/>
              <w:rPr>
                <w:rFonts w:ascii="Times New Roman" w:hAnsi="Times New Roman"/>
                <w:color w:val="000000"/>
                <w:szCs w:val="20"/>
              </w:rPr>
            </w:pPr>
            <w:r w:rsidRPr="00184084">
              <w:rPr>
                <w:rFonts w:ascii="Times New Roman" w:hAnsi="Times New Roman"/>
                <w:szCs w:val="20"/>
              </w:rPr>
              <w:t>300 až 320</w:t>
            </w:r>
          </w:p>
        </w:tc>
        <w:tc>
          <w:tcPr>
            <w:tcW w:w="4271" w:type="pct"/>
            <w:shd w:val="clear" w:color="auto" w:fill="auto"/>
          </w:tcPr>
          <w:p w14:paraId="0B9AF00A" w14:textId="77777777" w:rsidR="00874315" w:rsidRPr="00184084" w:rsidRDefault="00ED41A4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b/>
                <w:szCs w:val="20"/>
                <w:u w:val="single"/>
              </w:rPr>
              <w:t>Priemerná doba (v dňoch)</w:t>
            </w:r>
          </w:p>
          <w:p w14:paraId="51F755D8" w14:textId="00356BF0" w:rsidR="00874315" w:rsidRPr="00184084" w:rsidRDefault="007C6B89">
            <w:pPr>
              <w:rPr>
                <w:rFonts w:ascii="Times New Roman" w:hAnsi="Times New Roman"/>
                <w:b/>
                <w:szCs w:val="20"/>
                <w:u w:val="single"/>
              </w:rPr>
            </w:pPr>
            <w:r w:rsidRPr="00184084">
              <w:rPr>
                <w:rFonts w:ascii="Times New Roman" w:hAnsi="Times New Roman"/>
                <w:szCs w:val="20"/>
              </w:rPr>
              <w:t>Vážená priemerná doba (v dňoch) všetkých splatných prostriedkov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300. Vážená priemerná doba (v dňoch) všetkých obnovených prostriedkov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310, vážená priemerná doba (v dňoch) všetkých nových prostriedkov sa vykazuje</w:t>
            </w:r>
            <w:r w:rsidR="00184084">
              <w:rPr>
                <w:rFonts w:ascii="Times New Roman" w:hAnsi="Times New Roman"/>
                <w:szCs w:val="20"/>
              </w:rPr>
              <w:t xml:space="preserve"> v </w:t>
            </w:r>
            <w:r w:rsidRPr="00184084">
              <w:rPr>
                <w:rFonts w:ascii="Times New Roman" w:hAnsi="Times New Roman"/>
                <w:szCs w:val="20"/>
              </w:rPr>
              <w:t>stĺpci 320.</w:t>
            </w:r>
          </w:p>
        </w:tc>
      </w:tr>
    </w:tbl>
    <w:p w14:paraId="1471D337" w14:textId="02B89222" w:rsidR="00874315" w:rsidRPr="00184084" w:rsidRDefault="008E1DE8">
      <w:pPr>
        <w:pStyle w:val="InstructionsText2"/>
        <w:numPr>
          <w:ilvl w:val="0"/>
          <w:numId w:val="0"/>
        </w:numPr>
        <w:ind w:left="720"/>
        <w:rPr>
          <w:u w:val="none"/>
        </w:rPr>
      </w:pPr>
      <w:r w:rsidRPr="00184084">
        <w:rPr>
          <w:u w:val="none"/>
        </w:rPr>
        <w:t>“</w:t>
      </w:r>
    </w:p>
    <w:sectPr w:rsidR="00874315" w:rsidRPr="00184084" w:rsidSect="00EA0D1D">
      <w:footerReference w:type="default" r:id="rId8"/>
      <w:footerReference w:type="first" r:id="rId9"/>
      <w:pgSz w:w="11906" w:h="16838"/>
      <w:pgMar w:top="1440" w:right="1800" w:bottom="1440" w:left="1800" w:header="1304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35845F" w14:textId="77777777" w:rsidR="00874315" w:rsidRDefault="00167536">
      <w:r>
        <w:separator/>
      </w:r>
    </w:p>
  </w:endnote>
  <w:endnote w:type="continuationSeparator" w:id="0">
    <w:p w14:paraId="7485B22D" w14:textId="77777777" w:rsidR="00874315" w:rsidRDefault="00167536">
      <w:r>
        <w:continuationSeparator/>
      </w:r>
    </w:p>
  </w:endnote>
  <w:endnote w:type="continuationNotice" w:id="1">
    <w:p w14:paraId="351FC6CF" w14:textId="77777777" w:rsidR="00874315" w:rsidRDefault="0087431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76245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1434C3" w14:textId="2DB47321" w:rsidR="003E009D" w:rsidRDefault="003E00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4084">
          <w:rPr>
            <w:noProof/>
          </w:rPr>
          <w:t>2</w:t>
        </w:r>
        <w:r>
          <w:fldChar w:fldCharType="end"/>
        </w:r>
      </w:p>
    </w:sdtContent>
  </w:sdt>
  <w:p w14:paraId="4D75317D" w14:textId="77777777" w:rsidR="003E009D" w:rsidRDefault="003E00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974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AAC0BA" w14:textId="7C23BACF" w:rsidR="00EA0D1D" w:rsidRDefault="00EA0D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4084">
          <w:rPr>
            <w:noProof/>
          </w:rPr>
          <w:t>1</w:t>
        </w:r>
        <w:r>
          <w:fldChar w:fldCharType="end"/>
        </w:r>
      </w:p>
    </w:sdtContent>
  </w:sdt>
  <w:p w14:paraId="40D79854" w14:textId="77777777" w:rsidR="00F04F6C" w:rsidRDefault="00F04F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63CF24" w14:textId="77777777" w:rsidR="00874315" w:rsidRDefault="00167536">
      <w:r>
        <w:separator/>
      </w:r>
    </w:p>
  </w:footnote>
  <w:footnote w:type="continuationSeparator" w:id="0">
    <w:p w14:paraId="19B8F927" w14:textId="77777777" w:rsidR="00874315" w:rsidRDefault="00167536">
      <w:r>
        <w:continuationSeparator/>
      </w:r>
    </w:p>
  </w:footnote>
  <w:footnote w:type="continuationNotice" w:id="1">
    <w:p w14:paraId="3A75644C" w14:textId="77777777" w:rsidR="00874315" w:rsidRDefault="00874315">
      <w:pPr>
        <w:spacing w:before="0"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5A041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2E82F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C885B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84EA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B8C2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C4DE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0480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96C5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30B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1AE66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3208F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1" w15:restartNumberingAfterBreak="0">
    <w:nsid w:val="043D5720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2" w15:restartNumberingAfterBreak="0">
    <w:nsid w:val="058D2501"/>
    <w:multiLevelType w:val="multilevel"/>
    <w:tmpl w:val="ABB242F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3" w15:restartNumberingAfterBreak="0">
    <w:nsid w:val="0BE619A9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4" w15:restartNumberingAfterBreak="0">
    <w:nsid w:val="11A94165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5" w15:restartNumberingAfterBreak="0">
    <w:nsid w:val="179E3A92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6" w15:restartNumberingAfterBreak="0">
    <w:nsid w:val="1B084130"/>
    <w:multiLevelType w:val="multilevel"/>
    <w:tmpl w:val="6B088E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1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18" w15:restartNumberingAfterBreak="0">
    <w:nsid w:val="23674DE4"/>
    <w:multiLevelType w:val="multilevel"/>
    <w:tmpl w:val="6C0687CA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9" w15:restartNumberingAfterBreak="0">
    <w:nsid w:val="24A74FA7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0" w15:restartNumberingAfterBreak="0">
    <w:nsid w:val="26387793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1" w15:restartNumberingAfterBreak="0">
    <w:nsid w:val="2C29681E"/>
    <w:multiLevelType w:val="multilevel"/>
    <w:tmpl w:val="1C52F91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2" w15:restartNumberingAfterBreak="0">
    <w:nsid w:val="2F3E25B0"/>
    <w:multiLevelType w:val="hybridMultilevel"/>
    <w:tmpl w:val="13BC82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3057CB8"/>
    <w:multiLevelType w:val="hybridMultilevel"/>
    <w:tmpl w:val="1BD64C78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DABE385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58287F7C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B81F9C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5" w15:restartNumberingAfterBreak="0">
    <w:nsid w:val="45452DE3"/>
    <w:multiLevelType w:val="multilevel"/>
    <w:tmpl w:val="6D2CB84C"/>
    <w:lvl w:ilvl="0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6" w15:restartNumberingAfterBreak="0">
    <w:nsid w:val="4EE02518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7" w15:restartNumberingAfterBreak="0">
    <w:nsid w:val="528A4FD9"/>
    <w:multiLevelType w:val="multilevel"/>
    <w:tmpl w:val="CF661F5E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8" w15:restartNumberingAfterBreak="0">
    <w:nsid w:val="55AB371B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9" w15:restartNumberingAfterBreak="0">
    <w:nsid w:val="62D85371"/>
    <w:multiLevelType w:val="hybridMultilevel"/>
    <w:tmpl w:val="B0E0EE44"/>
    <w:lvl w:ilvl="0" w:tplc="CD3AC596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794" w:hanging="360"/>
      </w:pPr>
    </w:lvl>
    <w:lvl w:ilvl="2" w:tplc="0809001B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0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17771"/>
    <w:multiLevelType w:val="multilevel"/>
    <w:tmpl w:val="07C8C878"/>
    <w:lvl w:ilvl="0">
      <w:start w:val="2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3" w15:restartNumberingAfterBreak="0">
    <w:nsid w:val="67E51AD2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4" w15:restartNumberingAfterBreak="0">
    <w:nsid w:val="68E61726"/>
    <w:multiLevelType w:val="multilevel"/>
    <w:tmpl w:val="5D4CC18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(%3)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35" w15:restartNumberingAfterBreak="0">
    <w:nsid w:val="69C97FF4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6" w15:restartNumberingAfterBreak="0">
    <w:nsid w:val="73CB7C62"/>
    <w:multiLevelType w:val="multilevel"/>
    <w:tmpl w:val="1C28AC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7" w15:restartNumberingAfterBreak="0">
    <w:nsid w:val="76DC309E"/>
    <w:multiLevelType w:val="multilevel"/>
    <w:tmpl w:val="3DE838E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8" w15:restartNumberingAfterBreak="0">
    <w:nsid w:val="7970223E"/>
    <w:multiLevelType w:val="multilevel"/>
    <w:tmpl w:val="A98265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9" w15:restartNumberingAfterBreak="0">
    <w:nsid w:val="7F8E441D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num w:numId="1">
    <w:abstractNumId w:val="31"/>
  </w:num>
  <w:num w:numId="2">
    <w:abstractNumId w:val="30"/>
  </w:num>
  <w:num w:numId="3">
    <w:abstractNumId w:val="23"/>
  </w:num>
  <w:num w:numId="4">
    <w:abstractNumId w:val="39"/>
  </w:num>
  <w:num w:numId="5">
    <w:abstractNumId w:val="37"/>
  </w:num>
  <w:num w:numId="6">
    <w:abstractNumId w:val="26"/>
  </w:num>
  <w:num w:numId="7">
    <w:abstractNumId w:val="13"/>
  </w:num>
  <w:num w:numId="8">
    <w:abstractNumId w:val="24"/>
  </w:num>
  <w:num w:numId="9">
    <w:abstractNumId w:val="20"/>
  </w:num>
  <w:num w:numId="10">
    <w:abstractNumId w:val="35"/>
  </w:num>
  <w:num w:numId="11">
    <w:abstractNumId w:val="27"/>
  </w:num>
  <w:num w:numId="12">
    <w:abstractNumId w:val="18"/>
  </w:num>
  <w:num w:numId="13">
    <w:abstractNumId w:val="21"/>
  </w:num>
  <w:num w:numId="14">
    <w:abstractNumId w:val="34"/>
  </w:num>
  <w:num w:numId="15">
    <w:abstractNumId w:val="12"/>
  </w:num>
  <w:num w:numId="16">
    <w:abstractNumId w:val="17"/>
  </w:num>
  <w:num w:numId="17">
    <w:abstractNumId w:val="29"/>
  </w:num>
  <w:num w:numId="18">
    <w:abstractNumId w:val="36"/>
  </w:num>
  <w:num w:numId="19">
    <w:abstractNumId w:val="38"/>
  </w:num>
  <w:num w:numId="20">
    <w:abstractNumId w:val="32"/>
  </w:num>
  <w:num w:numId="21">
    <w:abstractNumId w:val="33"/>
  </w:num>
  <w:num w:numId="22">
    <w:abstractNumId w:val="14"/>
  </w:num>
  <w:num w:numId="23">
    <w:abstractNumId w:val="22"/>
  </w:num>
  <w:num w:numId="24">
    <w:abstractNumId w:val="25"/>
  </w:num>
  <w:num w:numId="25">
    <w:abstractNumId w:val="23"/>
  </w:num>
  <w:num w:numId="26">
    <w:abstractNumId w:val="23"/>
  </w:num>
  <w:num w:numId="27">
    <w:abstractNumId w:val="23"/>
  </w:num>
  <w:num w:numId="28">
    <w:abstractNumId w:val="19"/>
  </w:num>
  <w:num w:numId="29">
    <w:abstractNumId w:val="28"/>
  </w:num>
  <w:num w:numId="30">
    <w:abstractNumId w:val="23"/>
  </w:num>
  <w:num w:numId="31">
    <w:abstractNumId w:val="11"/>
  </w:num>
  <w:num w:numId="32">
    <w:abstractNumId w:val="10"/>
  </w:num>
  <w:num w:numId="33">
    <w:abstractNumId w:val="16"/>
  </w:num>
  <w:num w:numId="34">
    <w:abstractNumId w:val="15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8"/>
  </w:num>
  <w:num w:numId="42">
    <w:abstractNumId w:val="3"/>
  </w:num>
  <w:num w:numId="43">
    <w:abstractNumId w:val="2"/>
  </w:num>
  <w:num w:numId="44">
    <w:abstractNumId w:val="1"/>
  </w:num>
  <w:num w:numId="45">
    <w:abstractNumId w:val="0"/>
  </w:num>
  <w:num w:numId="46">
    <w:abstractNumId w:val="23"/>
  </w:num>
  <w:num w:numId="47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8F90A0E3"/>
  </w:docVars>
  <w:rsids>
    <w:rsidRoot w:val="00D02FE4"/>
    <w:rsid w:val="00003323"/>
    <w:rsid w:val="00007D41"/>
    <w:rsid w:val="000109BC"/>
    <w:rsid w:val="0001172F"/>
    <w:rsid w:val="00016B30"/>
    <w:rsid w:val="00017710"/>
    <w:rsid w:val="000257D9"/>
    <w:rsid w:val="000275A3"/>
    <w:rsid w:val="00027E58"/>
    <w:rsid w:val="00032055"/>
    <w:rsid w:val="00032AC7"/>
    <w:rsid w:val="0003410D"/>
    <w:rsid w:val="000343B1"/>
    <w:rsid w:val="00036812"/>
    <w:rsid w:val="0004271F"/>
    <w:rsid w:val="00042E1E"/>
    <w:rsid w:val="000473FA"/>
    <w:rsid w:val="00047A6F"/>
    <w:rsid w:val="000502BD"/>
    <w:rsid w:val="0005060D"/>
    <w:rsid w:val="0005230B"/>
    <w:rsid w:val="00055633"/>
    <w:rsid w:val="00055E1B"/>
    <w:rsid w:val="00060360"/>
    <w:rsid w:val="00060467"/>
    <w:rsid w:val="00061951"/>
    <w:rsid w:val="000643F7"/>
    <w:rsid w:val="000761EA"/>
    <w:rsid w:val="00084050"/>
    <w:rsid w:val="0008780B"/>
    <w:rsid w:val="00093DE8"/>
    <w:rsid w:val="00094436"/>
    <w:rsid w:val="00095FE4"/>
    <w:rsid w:val="000A22EF"/>
    <w:rsid w:val="000A4E1D"/>
    <w:rsid w:val="000A676C"/>
    <w:rsid w:val="000A76B5"/>
    <w:rsid w:val="000B288B"/>
    <w:rsid w:val="000B2BA0"/>
    <w:rsid w:val="000B2DF2"/>
    <w:rsid w:val="000B45B9"/>
    <w:rsid w:val="000B5A28"/>
    <w:rsid w:val="000B7D7C"/>
    <w:rsid w:val="000B7DC9"/>
    <w:rsid w:val="000C3837"/>
    <w:rsid w:val="000C45A2"/>
    <w:rsid w:val="000D04E1"/>
    <w:rsid w:val="000D18F9"/>
    <w:rsid w:val="000D413D"/>
    <w:rsid w:val="000E01EA"/>
    <w:rsid w:val="000E16DD"/>
    <w:rsid w:val="000E2CA5"/>
    <w:rsid w:val="000E43D6"/>
    <w:rsid w:val="000E5F08"/>
    <w:rsid w:val="000F0DF9"/>
    <w:rsid w:val="000F32F6"/>
    <w:rsid w:val="00100F57"/>
    <w:rsid w:val="00104F31"/>
    <w:rsid w:val="0011112D"/>
    <w:rsid w:val="001113B1"/>
    <w:rsid w:val="001126F1"/>
    <w:rsid w:val="001128AA"/>
    <w:rsid w:val="00112DBB"/>
    <w:rsid w:val="00121D11"/>
    <w:rsid w:val="00124814"/>
    <w:rsid w:val="0012571F"/>
    <w:rsid w:val="00126802"/>
    <w:rsid w:val="0013252E"/>
    <w:rsid w:val="0013515D"/>
    <w:rsid w:val="00143B75"/>
    <w:rsid w:val="00144FB8"/>
    <w:rsid w:val="001456E6"/>
    <w:rsid w:val="00147C46"/>
    <w:rsid w:val="001507A4"/>
    <w:rsid w:val="0015358C"/>
    <w:rsid w:val="00155567"/>
    <w:rsid w:val="0016014D"/>
    <w:rsid w:val="00162424"/>
    <w:rsid w:val="00167536"/>
    <w:rsid w:val="0017142A"/>
    <w:rsid w:val="00172727"/>
    <w:rsid w:val="001741B0"/>
    <w:rsid w:val="00174208"/>
    <w:rsid w:val="00174660"/>
    <w:rsid w:val="001754E1"/>
    <w:rsid w:val="00181260"/>
    <w:rsid w:val="00181A4F"/>
    <w:rsid w:val="00184084"/>
    <w:rsid w:val="001861B7"/>
    <w:rsid w:val="0019013A"/>
    <w:rsid w:val="001922E6"/>
    <w:rsid w:val="00193B6D"/>
    <w:rsid w:val="001A331C"/>
    <w:rsid w:val="001B36EE"/>
    <w:rsid w:val="001B5CC0"/>
    <w:rsid w:val="001B6D1B"/>
    <w:rsid w:val="001B7C2B"/>
    <w:rsid w:val="001C1BA1"/>
    <w:rsid w:val="001C4004"/>
    <w:rsid w:val="001D08C2"/>
    <w:rsid w:val="001D2E2C"/>
    <w:rsid w:val="001D37A9"/>
    <w:rsid w:val="001E385E"/>
    <w:rsid w:val="001F2B49"/>
    <w:rsid w:val="001F5BAD"/>
    <w:rsid w:val="001F6807"/>
    <w:rsid w:val="001F6D35"/>
    <w:rsid w:val="001F787F"/>
    <w:rsid w:val="00203985"/>
    <w:rsid w:val="00206923"/>
    <w:rsid w:val="002113FD"/>
    <w:rsid w:val="00211C11"/>
    <w:rsid w:val="002126FB"/>
    <w:rsid w:val="00217076"/>
    <w:rsid w:val="002237BD"/>
    <w:rsid w:val="00223C2C"/>
    <w:rsid w:val="00223CEB"/>
    <w:rsid w:val="00224CAE"/>
    <w:rsid w:val="0023001A"/>
    <w:rsid w:val="002352E7"/>
    <w:rsid w:val="00235A84"/>
    <w:rsid w:val="00237D15"/>
    <w:rsid w:val="002403E3"/>
    <w:rsid w:val="00242FE4"/>
    <w:rsid w:val="00245F6F"/>
    <w:rsid w:val="00253D66"/>
    <w:rsid w:val="0026098F"/>
    <w:rsid w:val="00262B14"/>
    <w:rsid w:val="0026454F"/>
    <w:rsid w:val="00270986"/>
    <w:rsid w:val="00271F35"/>
    <w:rsid w:val="00274077"/>
    <w:rsid w:val="00274EE9"/>
    <w:rsid w:val="00275B8D"/>
    <w:rsid w:val="0027642B"/>
    <w:rsid w:val="0027646A"/>
    <w:rsid w:val="002812E3"/>
    <w:rsid w:val="00287BD7"/>
    <w:rsid w:val="0029485D"/>
    <w:rsid w:val="00294CE9"/>
    <w:rsid w:val="00296254"/>
    <w:rsid w:val="002A1620"/>
    <w:rsid w:val="002A24DB"/>
    <w:rsid w:val="002A575B"/>
    <w:rsid w:val="002A71AB"/>
    <w:rsid w:val="002A7582"/>
    <w:rsid w:val="002B09BC"/>
    <w:rsid w:val="002B49E8"/>
    <w:rsid w:val="002B660B"/>
    <w:rsid w:val="002C0AF3"/>
    <w:rsid w:val="002C0F1A"/>
    <w:rsid w:val="002C154A"/>
    <w:rsid w:val="002C34E6"/>
    <w:rsid w:val="002C5557"/>
    <w:rsid w:val="002D6BD8"/>
    <w:rsid w:val="002E06C8"/>
    <w:rsid w:val="002E0FBD"/>
    <w:rsid w:val="002E2F93"/>
    <w:rsid w:val="002F687B"/>
    <w:rsid w:val="00301708"/>
    <w:rsid w:val="00304092"/>
    <w:rsid w:val="003040AA"/>
    <w:rsid w:val="00313B00"/>
    <w:rsid w:val="00314E4D"/>
    <w:rsid w:val="00315C5E"/>
    <w:rsid w:val="00317DC4"/>
    <w:rsid w:val="00324A53"/>
    <w:rsid w:val="00325582"/>
    <w:rsid w:val="00327A13"/>
    <w:rsid w:val="00331993"/>
    <w:rsid w:val="0033279C"/>
    <w:rsid w:val="003354A5"/>
    <w:rsid w:val="00340393"/>
    <w:rsid w:val="003412B3"/>
    <w:rsid w:val="00341376"/>
    <w:rsid w:val="003439C5"/>
    <w:rsid w:val="00350137"/>
    <w:rsid w:val="0035239A"/>
    <w:rsid w:val="00366EC4"/>
    <w:rsid w:val="003719B4"/>
    <w:rsid w:val="00380C76"/>
    <w:rsid w:val="00381264"/>
    <w:rsid w:val="00385DC8"/>
    <w:rsid w:val="0038768C"/>
    <w:rsid w:val="00392C32"/>
    <w:rsid w:val="00397ABE"/>
    <w:rsid w:val="003A05A8"/>
    <w:rsid w:val="003A0D73"/>
    <w:rsid w:val="003A1E85"/>
    <w:rsid w:val="003A2647"/>
    <w:rsid w:val="003A3AA0"/>
    <w:rsid w:val="003A4AA3"/>
    <w:rsid w:val="003A7E7D"/>
    <w:rsid w:val="003B4362"/>
    <w:rsid w:val="003B54AC"/>
    <w:rsid w:val="003B5902"/>
    <w:rsid w:val="003B5E4E"/>
    <w:rsid w:val="003B5F96"/>
    <w:rsid w:val="003B7F4E"/>
    <w:rsid w:val="003C1F55"/>
    <w:rsid w:val="003C64F7"/>
    <w:rsid w:val="003C6A18"/>
    <w:rsid w:val="003D0976"/>
    <w:rsid w:val="003D2C8A"/>
    <w:rsid w:val="003D2F58"/>
    <w:rsid w:val="003D41F7"/>
    <w:rsid w:val="003D627C"/>
    <w:rsid w:val="003D6D3D"/>
    <w:rsid w:val="003E009D"/>
    <w:rsid w:val="003E371A"/>
    <w:rsid w:val="003E50B7"/>
    <w:rsid w:val="003F0706"/>
    <w:rsid w:val="003F09BA"/>
    <w:rsid w:val="003F1434"/>
    <w:rsid w:val="003F37A5"/>
    <w:rsid w:val="003F5D4F"/>
    <w:rsid w:val="00402D60"/>
    <w:rsid w:val="004072AF"/>
    <w:rsid w:val="004127AC"/>
    <w:rsid w:val="00416255"/>
    <w:rsid w:val="004173CF"/>
    <w:rsid w:val="00422131"/>
    <w:rsid w:val="00425AFD"/>
    <w:rsid w:val="0043033C"/>
    <w:rsid w:val="00432D9F"/>
    <w:rsid w:val="004359C5"/>
    <w:rsid w:val="00436A29"/>
    <w:rsid w:val="004379DA"/>
    <w:rsid w:val="00440C0A"/>
    <w:rsid w:val="00441A60"/>
    <w:rsid w:val="00445D5F"/>
    <w:rsid w:val="00455BBB"/>
    <w:rsid w:val="00455CE5"/>
    <w:rsid w:val="0046083F"/>
    <w:rsid w:val="004624E7"/>
    <w:rsid w:val="00462B4D"/>
    <w:rsid w:val="0046736B"/>
    <w:rsid w:val="00470033"/>
    <w:rsid w:val="00472557"/>
    <w:rsid w:val="00473407"/>
    <w:rsid w:val="004748D6"/>
    <w:rsid w:val="00476314"/>
    <w:rsid w:val="00476C32"/>
    <w:rsid w:val="00477625"/>
    <w:rsid w:val="00481BB2"/>
    <w:rsid w:val="00486752"/>
    <w:rsid w:val="00487DD3"/>
    <w:rsid w:val="00490B62"/>
    <w:rsid w:val="00493BAC"/>
    <w:rsid w:val="00495614"/>
    <w:rsid w:val="00497AF4"/>
    <w:rsid w:val="004A3BCA"/>
    <w:rsid w:val="004A584F"/>
    <w:rsid w:val="004A5A92"/>
    <w:rsid w:val="004A6491"/>
    <w:rsid w:val="004B0B5A"/>
    <w:rsid w:val="004B0C66"/>
    <w:rsid w:val="004B11F8"/>
    <w:rsid w:val="004B1998"/>
    <w:rsid w:val="004B3AC2"/>
    <w:rsid w:val="004B4083"/>
    <w:rsid w:val="004B5FB9"/>
    <w:rsid w:val="004B7BE6"/>
    <w:rsid w:val="004C07D7"/>
    <w:rsid w:val="004C2178"/>
    <w:rsid w:val="004C3B19"/>
    <w:rsid w:val="004C3E5C"/>
    <w:rsid w:val="004C6B4F"/>
    <w:rsid w:val="004C7F74"/>
    <w:rsid w:val="004D0CA9"/>
    <w:rsid w:val="004D4244"/>
    <w:rsid w:val="004D51D0"/>
    <w:rsid w:val="004E185F"/>
    <w:rsid w:val="004E23F1"/>
    <w:rsid w:val="004E36B0"/>
    <w:rsid w:val="004E79EF"/>
    <w:rsid w:val="004F085D"/>
    <w:rsid w:val="004F50F4"/>
    <w:rsid w:val="004F6C3F"/>
    <w:rsid w:val="00500809"/>
    <w:rsid w:val="0050144D"/>
    <w:rsid w:val="00502876"/>
    <w:rsid w:val="005048E9"/>
    <w:rsid w:val="0050708F"/>
    <w:rsid w:val="00510426"/>
    <w:rsid w:val="00510487"/>
    <w:rsid w:val="00516E8A"/>
    <w:rsid w:val="00516EE0"/>
    <w:rsid w:val="0052095B"/>
    <w:rsid w:val="0052128F"/>
    <w:rsid w:val="005222CE"/>
    <w:rsid w:val="005237F1"/>
    <w:rsid w:val="005277AA"/>
    <w:rsid w:val="00530802"/>
    <w:rsid w:val="00534094"/>
    <w:rsid w:val="00540C96"/>
    <w:rsid w:val="00544A62"/>
    <w:rsid w:val="005537CE"/>
    <w:rsid w:val="00556DCD"/>
    <w:rsid w:val="00557135"/>
    <w:rsid w:val="00561DD9"/>
    <w:rsid w:val="00564FAC"/>
    <w:rsid w:val="00565D1E"/>
    <w:rsid w:val="00566674"/>
    <w:rsid w:val="00571F2D"/>
    <w:rsid w:val="00574D81"/>
    <w:rsid w:val="0057741E"/>
    <w:rsid w:val="005815BE"/>
    <w:rsid w:val="005816E8"/>
    <w:rsid w:val="00584AF0"/>
    <w:rsid w:val="00584FCE"/>
    <w:rsid w:val="005870D3"/>
    <w:rsid w:val="005873D9"/>
    <w:rsid w:val="005923E9"/>
    <w:rsid w:val="005A40BE"/>
    <w:rsid w:val="005B086D"/>
    <w:rsid w:val="005B0C3C"/>
    <w:rsid w:val="005B3F16"/>
    <w:rsid w:val="005B47BD"/>
    <w:rsid w:val="005B58D2"/>
    <w:rsid w:val="005B6F53"/>
    <w:rsid w:val="005C0634"/>
    <w:rsid w:val="005C26CD"/>
    <w:rsid w:val="005D249C"/>
    <w:rsid w:val="005D5337"/>
    <w:rsid w:val="005D5C0B"/>
    <w:rsid w:val="005E07FE"/>
    <w:rsid w:val="005E3727"/>
    <w:rsid w:val="005E6140"/>
    <w:rsid w:val="005E6B42"/>
    <w:rsid w:val="005E7F28"/>
    <w:rsid w:val="005F3E51"/>
    <w:rsid w:val="005F4FE0"/>
    <w:rsid w:val="006000DF"/>
    <w:rsid w:val="00600B36"/>
    <w:rsid w:val="006044FF"/>
    <w:rsid w:val="00606AA5"/>
    <w:rsid w:val="00607141"/>
    <w:rsid w:val="00610C25"/>
    <w:rsid w:val="0061365F"/>
    <w:rsid w:val="00613F86"/>
    <w:rsid w:val="00613FC0"/>
    <w:rsid w:val="00615E05"/>
    <w:rsid w:val="00616BFA"/>
    <w:rsid w:val="00616D31"/>
    <w:rsid w:val="0062073A"/>
    <w:rsid w:val="006242C9"/>
    <w:rsid w:val="006339CC"/>
    <w:rsid w:val="00635DC7"/>
    <w:rsid w:val="00636713"/>
    <w:rsid w:val="00640F5C"/>
    <w:rsid w:val="0064308D"/>
    <w:rsid w:val="006508B3"/>
    <w:rsid w:val="00652D30"/>
    <w:rsid w:val="00657CA9"/>
    <w:rsid w:val="006624FA"/>
    <w:rsid w:val="00665B17"/>
    <w:rsid w:val="006661EC"/>
    <w:rsid w:val="00667FEE"/>
    <w:rsid w:val="0067111B"/>
    <w:rsid w:val="006761DC"/>
    <w:rsid w:val="00680C97"/>
    <w:rsid w:val="00681960"/>
    <w:rsid w:val="00684947"/>
    <w:rsid w:val="00684EB5"/>
    <w:rsid w:val="00685C79"/>
    <w:rsid w:val="00687C6A"/>
    <w:rsid w:val="006935AA"/>
    <w:rsid w:val="006942B2"/>
    <w:rsid w:val="00696661"/>
    <w:rsid w:val="006A0084"/>
    <w:rsid w:val="006A5806"/>
    <w:rsid w:val="006A7234"/>
    <w:rsid w:val="006B3AAE"/>
    <w:rsid w:val="006C1A6F"/>
    <w:rsid w:val="006C4D88"/>
    <w:rsid w:val="006C6F24"/>
    <w:rsid w:val="006D1965"/>
    <w:rsid w:val="006D7758"/>
    <w:rsid w:val="006D7E61"/>
    <w:rsid w:val="006E1314"/>
    <w:rsid w:val="006E4C0A"/>
    <w:rsid w:val="006E50C4"/>
    <w:rsid w:val="006E6767"/>
    <w:rsid w:val="006F59C7"/>
    <w:rsid w:val="006F5ADF"/>
    <w:rsid w:val="006F651B"/>
    <w:rsid w:val="007031DF"/>
    <w:rsid w:val="00705BE3"/>
    <w:rsid w:val="007074DB"/>
    <w:rsid w:val="007103AD"/>
    <w:rsid w:val="00711871"/>
    <w:rsid w:val="00712B67"/>
    <w:rsid w:val="00714B02"/>
    <w:rsid w:val="007201EC"/>
    <w:rsid w:val="00723CCD"/>
    <w:rsid w:val="00727410"/>
    <w:rsid w:val="007352EA"/>
    <w:rsid w:val="007359FE"/>
    <w:rsid w:val="00735EFC"/>
    <w:rsid w:val="00737FA8"/>
    <w:rsid w:val="007462FE"/>
    <w:rsid w:val="0075288E"/>
    <w:rsid w:val="0075488E"/>
    <w:rsid w:val="00754ADB"/>
    <w:rsid w:val="007566B5"/>
    <w:rsid w:val="00756AD5"/>
    <w:rsid w:val="00763448"/>
    <w:rsid w:val="007672C3"/>
    <w:rsid w:val="0077329F"/>
    <w:rsid w:val="00775422"/>
    <w:rsid w:val="00775828"/>
    <w:rsid w:val="00775F73"/>
    <w:rsid w:val="007764E5"/>
    <w:rsid w:val="007778A0"/>
    <w:rsid w:val="0077793E"/>
    <w:rsid w:val="00780636"/>
    <w:rsid w:val="007809C6"/>
    <w:rsid w:val="007823C2"/>
    <w:rsid w:val="00783120"/>
    <w:rsid w:val="00783AE6"/>
    <w:rsid w:val="00784AE2"/>
    <w:rsid w:val="00784C4E"/>
    <w:rsid w:val="00786634"/>
    <w:rsid w:val="00792387"/>
    <w:rsid w:val="00792E65"/>
    <w:rsid w:val="00795808"/>
    <w:rsid w:val="00795B89"/>
    <w:rsid w:val="007A3F5F"/>
    <w:rsid w:val="007A5E1D"/>
    <w:rsid w:val="007A6BC6"/>
    <w:rsid w:val="007B18A5"/>
    <w:rsid w:val="007B1E78"/>
    <w:rsid w:val="007B5DF6"/>
    <w:rsid w:val="007B6E8C"/>
    <w:rsid w:val="007C1380"/>
    <w:rsid w:val="007C2CF7"/>
    <w:rsid w:val="007C6B89"/>
    <w:rsid w:val="007D3E81"/>
    <w:rsid w:val="007D7732"/>
    <w:rsid w:val="007E0FDF"/>
    <w:rsid w:val="007E1D00"/>
    <w:rsid w:val="007E35CC"/>
    <w:rsid w:val="007E4564"/>
    <w:rsid w:val="007E45CF"/>
    <w:rsid w:val="007E60E5"/>
    <w:rsid w:val="007F1A5A"/>
    <w:rsid w:val="007F2A5B"/>
    <w:rsid w:val="007F5684"/>
    <w:rsid w:val="0080226A"/>
    <w:rsid w:val="0081105A"/>
    <w:rsid w:val="00811DBC"/>
    <w:rsid w:val="00811F18"/>
    <w:rsid w:val="00822C02"/>
    <w:rsid w:val="00822CBC"/>
    <w:rsid w:val="0082643B"/>
    <w:rsid w:val="00830614"/>
    <w:rsid w:val="00830C80"/>
    <w:rsid w:val="0083376D"/>
    <w:rsid w:val="00834FEF"/>
    <w:rsid w:val="0084065D"/>
    <w:rsid w:val="008450BB"/>
    <w:rsid w:val="00845767"/>
    <w:rsid w:val="00847047"/>
    <w:rsid w:val="00847872"/>
    <w:rsid w:val="008509FB"/>
    <w:rsid w:val="00850B28"/>
    <w:rsid w:val="00853590"/>
    <w:rsid w:val="0085361D"/>
    <w:rsid w:val="008563C0"/>
    <w:rsid w:val="00856DF7"/>
    <w:rsid w:val="008572F0"/>
    <w:rsid w:val="00860F92"/>
    <w:rsid w:val="00861C38"/>
    <w:rsid w:val="00861F0B"/>
    <w:rsid w:val="00874315"/>
    <w:rsid w:val="00874AD1"/>
    <w:rsid w:val="0087541C"/>
    <w:rsid w:val="008805C2"/>
    <w:rsid w:val="00882C3B"/>
    <w:rsid w:val="008866F8"/>
    <w:rsid w:val="00895D8D"/>
    <w:rsid w:val="008A2179"/>
    <w:rsid w:val="008A3AEA"/>
    <w:rsid w:val="008A5A8E"/>
    <w:rsid w:val="008A6BEE"/>
    <w:rsid w:val="008A6DB0"/>
    <w:rsid w:val="008A7BBD"/>
    <w:rsid w:val="008B0FFF"/>
    <w:rsid w:val="008B5E16"/>
    <w:rsid w:val="008B6F84"/>
    <w:rsid w:val="008C0684"/>
    <w:rsid w:val="008C2A4F"/>
    <w:rsid w:val="008C5FE9"/>
    <w:rsid w:val="008C6044"/>
    <w:rsid w:val="008C6E36"/>
    <w:rsid w:val="008C7508"/>
    <w:rsid w:val="008D06D7"/>
    <w:rsid w:val="008E1558"/>
    <w:rsid w:val="008E1DE8"/>
    <w:rsid w:val="008E246F"/>
    <w:rsid w:val="008E6F7E"/>
    <w:rsid w:val="008F1100"/>
    <w:rsid w:val="008F713F"/>
    <w:rsid w:val="008F741B"/>
    <w:rsid w:val="009032C6"/>
    <w:rsid w:val="009033C4"/>
    <w:rsid w:val="00903920"/>
    <w:rsid w:val="00905BEA"/>
    <w:rsid w:val="00915FB9"/>
    <w:rsid w:val="00917EBF"/>
    <w:rsid w:val="00924773"/>
    <w:rsid w:val="00927DCB"/>
    <w:rsid w:val="0093588E"/>
    <w:rsid w:val="009406E9"/>
    <w:rsid w:val="00941293"/>
    <w:rsid w:val="00942656"/>
    <w:rsid w:val="009439F8"/>
    <w:rsid w:val="0094416B"/>
    <w:rsid w:val="0095349A"/>
    <w:rsid w:val="00953ED6"/>
    <w:rsid w:val="00967FEB"/>
    <w:rsid w:val="009716FC"/>
    <w:rsid w:val="00973AB9"/>
    <w:rsid w:val="00984332"/>
    <w:rsid w:val="00984E98"/>
    <w:rsid w:val="009858E2"/>
    <w:rsid w:val="00993639"/>
    <w:rsid w:val="00993FD7"/>
    <w:rsid w:val="00996171"/>
    <w:rsid w:val="00997FF8"/>
    <w:rsid w:val="009A007E"/>
    <w:rsid w:val="009A1AF1"/>
    <w:rsid w:val="009A1C01"/>
    <w:rsid w:val="009A329A"/>
    <w:rsid w:val="009A3C44"/>
    <w:rsid w:val="009A6003"/>
    <w:rsid w:val="009A7D3C"/>
    <w:rsid w:val="009B3023"/>
    <w:rsid w:val="009B6ECF"/>
    <w:rsid w:val="009C0493"/>
    <w:rsid w:val="009C059B"/>
    <w:rsid w:val="009C1A02"/>
    <w:rsid w:val="009C7466"/>
    <w:rsid w:val="009D10DD"/>
    <w:rsid w:val="009D253B"/>
    <w:rsid w:val="009D3AC9"/>
    <w:rsid w:val="009D4C95"/>
    <w:rsid w:val="009E271C"/>
    <w:rsid w:val="009E3431"/>
    <w:rsid w:val="009E68DD"/>
    <w:rsid w:val="009E6B2D"/>
    <w:rsid w:val="009F10A9"/>
    <w:rsid w:val="00A007A8"/>
    <w:rsid w:val="00A03A3D"/>
    <w:rsid w:val="00A047C0"/>
    <w:rsid w:val="00A05C63"/>
    <w:rsid w:val="00A101DF"/>
    <w:rsid w:val="00A11BBD"/>
    <w:rsid w:val="00A12862"/>
    <w:rsid w:val="00A16318"/>
    <w:rsid w:val="00A170B7"/>
    <w:rsid w:val="00A17921"/>
    <w:rsid w:val="00A20F92"/>
    <w:rsid w:val="00A211F3"/>
    <w:rsid w:val="00A344AA"/>
    <w:rsid w:val="00A34A28"/>
    <w:rsid w:val="00A366AF"/>
    <w:rsid w:val="00A37110"/>
    <w:rsid w:val="00A4093C"/>
    <w:rsid w:val="00A41693"/>
    <w:rsid w:val="00A422D1"/>
    <w:rsid w:val="00A439AE"/>
    <w:rsid w:val="00A45DCF"/>
    <w:rsid w:val="00A4773A"/>
    <w:rsid w:val="00A50B28"/>
    <w:rsid w:val="00A51CE6"/>
    <w:rsid w:val="00A52505"/>
    <w:rsid w:val="00A56552"/>
    <w:rsid w:val="00A6082D"/>
    <w:rsid w:val="00A70F42"/>
    <w:rsid w:val="00A73C82"/>
    <w:rsid w:val="00A7682F"/>
    <w:rsid w:val="00A7751A"/>
    <w:rsid w:val="00A84FD7"/>
    <w:rsid w:val="00A85919"/>
    <w:rsid w:val="00A86077"/>
    <w:rsid w:val="00A862BD"/>
    <w:rsid w:val="00A86C96"/>
    <w:rsid w:val="00A92645"/>
    <w:rsid w:val="00A93596"/>
    <w:rsid w:val="00A94567"/>
    <w:rsid w:val="00A97E02"/>
    <w:rsid w:val="00AA444D"/>
    <w:rsid w:val="00AB115A"/>
    <w:rsid w:val="00AB3F48"/>
    <w:rsid w:val="00AB511C"/>
    <w:rsid w:val="00AB5368"/>
    <w:rsid w:val="00AB571E"/>
    <w:rsid w:val="00AB5B18"/>
    <w:rsid w:val="00AC0317"/>
    <w:rsid w:val="00AC22EE"/>
    <w:rsid w:val="00AC39DB"/>
    <w:rsid w:val="00AC3BFE"/>
    <w:rsid w:val="00AC4973"/>
    <w:rsid w:val="00AC59C8"/>
    <w:rsid w:val="00AD2381"/>
    <w:rsid w:val="00AD3ACF"/>
    <w:rsid w:val="00AE0498"/>
    <w:rsid w:val="00AE1776"/>
    <w:rsid w:val="00AE4DC6"/>
    <w:rsid w:val="00AE57CE"/>
    <w:rsid w:val="00AE7A7C"/>
    <w:rsid w:val="00AF1439"/>
    <w:rsid w:val="00AF270F"/>
    <w:rsid w:val="00B004BB"/>
    <w:rsid w:val="00B00D6E"/>
    <w:rsid w:val="00B01BCD"/>
    <w:rsid w:val="00B0397B"/>
    <w:rsid w:val="00B05DAC"/>
    <w:rsid w:val="00B06740"/>
    <w:rsid w:val="00B115F0"/>
    <w:rsid w:val="00B15576"/>
    <w:rsid w:val="00B25A1B"/>
    <w:rsid w:val="00B25A8F"/>
    <w:rsid w:val="00B261DB"/>
    <w:rsid w:val="00B36E31"/>
    <w:rsid w:val="00B37656"/>
    <w:rsid w:val="00B4190D"/>
    <w:rsid w:val="00B42977"/>
    <w:rsid w:val="00B44BEB"/>
    <w:rsid w:val="00B46A1C"/>
    <w:rsid w:val="00B47B29"/>
    <w:rsid w:val="00B5260F"/>
    <w:rsid w:val="00B53634"/>
    <w:rsid w:val="00B53EFA"/>
    <w:rsid w:val="00B61B93"/>
    <w:rsid w:val="00B664FB"/>
    <w:rsid w:val="00B7256A"/>
    <w:rsid w:val="00B75B03"/>
    <w:rsid w:val="00B77BC1"/>
    <w:rsid w:val="00B80BC8"/>
    <w:rsid w:val="00B83A09"/>
    <w:rsid w:val="00B83BF9"/>
    <w:rsid w:val="00B8464D"/>
    <w:rsid w:val="00B86EF3"/>
    <w:rsid w:val="00B8775C"/>
    <w:rsid w:val="00B90134"/>
    <w:rsid w:val="00B96CA8"/>
    <w:rsid w:val="00B96DDB"/>
    <w:rsid w:val="00BA7966"/>
    <w:rsid w:val="00BB076A"/>
    <w:rsid w:val="00BB3757"/>
    <w:rsid w:val="00BB59F4"/>
    <w:rsid w:val="00BC7B32"/>
    <w:rsid w:val="00BD24C1"/>
    <w:rsid w:val="00BD5CAC"/>
    <w:rsid w:val="00BF17A2"/>
    <w:rsid w:val="00BF1FBB"/>
    <w:rsid w:val="00BF2952"/>
    <w:rsid w:val="00BF3AAF"/>
    <w:rsid w:val="00BF7037"/>
    <w:rsid w:val="00C0050B"/>
    <w:rsid w:val="00C079B7"/>
    <w:rsid w:val="00C116F4"/>
    <w:rsid w:val="00C13077"/>
    <w:rsid w:val="00C14248"/>
    <w:rsid w:val="00C20ADC"/>
    <w:rsid w:val="00C21AFF"/>
    <w:rsid w:val="00C30367"/>
    <w:rsid w:val="00C31512"/>
    <w:rsid w:val="00C32630"/>
    <w:rsid w:val="00C334A1"/>
    <w:rsid w:val="00C40DC8"/>
    <w:rsid w:val="00C41BF6"/>
    <w:rsid w:val="00C439B6"/>
    <w:rsid w:val="00C43AE5"/>
    <w:rsid w:val="00C4472D"/>
    <w:rsid w:val="00C549F7"/>
    <w:rsid w:val="00C56B32"/>
    <w:rsid w:val="00C633BF"/>
    <w:rsid w:val="00C649CE"/>
    <w:rsid w:val="00C64C94"/>
    <w:rsid w:val="00C65E28"/>
    <w:rsid w:val="00C663BC"/>
    <w:rsid w:val="00C667B4"/>
    <w:rsid w:val="00C70407"/>
    <w:rsid w:val="00C70A5E"/>
    <w:rsid w:val="00C7615B"/>
    <w:rsid w:val="00C81E99"/>
    <w:rsid w:val="00C84012"/>
    <w:rsid w:val="00C854E6"/>
    <w:rsid w:val="00C85FA6"/>
    <w:rsid w:val="00C93CDB"/>
    <w:rsid w:val="00CA22C7"/>
    <w:rsid w:val="00CA44A9"/>
    <w:rsid w:val="00CB458B"/>
    <w:rsid w:val="00CB4B2D"/>
    <w:rsid w:val="00CC075F"/>
    <w:rsid w:val="00CC3091"/>
    <w:rsid w:val="00CC4622"/>
    <w:rsid w:val="00CC5F0C"/>
    <w:rsid w:val="00CC72E1"/>
    <w:rsid w:val="00CD0CF5"/>
    <w:rsid w:val="00CD20D9"/>
    <w:rsid w:val="00CD37EB"/>
    <w:rsid w:val="00CD413A"/>
    <w:rsid w:val="00CD5D3A"/>
    <w:rsid w:val="00CD7B74"/>
    <w:rsid w:val="00CE0E41"/>
    <w:rsid w:val="00CE333E"/>
    <w:rsid w:val="00CE34DF"/>
    <w:rsid w:val="00CE3BDB"/>
    <w:rsid w:val="00CE420B"/>
    <w:rsid w:val="00CE49E3"/>
    <w:rsid w:val="00CF0055"/>
    <w:rsid w:val="00CF04F0"/>
    <w:rsid w:val="00CF3ECE"/>
    <w:rsid w:val="00CF4286"/>
    <w:rsid w:val="00CF44ED"/>
    <w:rsid w:val="00D01436"/>
    <w:rsid w:val="00D018AE"/>
    <w:rsid w:val="00D02D53"/>
    <w:rsid w:val="00D02FE4"/>
    <w:rsid w:val="00D07684"/>
    <w:rsid w:val="00D079A1"/>
    <w:rsid w:val="00D1173F"/>
    <w:rsid w:val="00D12E38"/>
    <w:rsid w:val="00D15A94"/>
    <w:rsid w:val="00D248F3"/>
    <w:rsid w:val="00D30BA0"/>
    <w:rsid w:val="00D30E7B"/>
    <w:rsid w:val="00D34AC4"/>
    <w:rsid w:val="00D37B67"/>
    <w:rsid w:val="00D41A18"/>
    <w:rsid w:val="00D465FB"/>
    <w:rsid w:val="00D468AB"/>
    <w:rsid w:val="00D479FD"/>
    <w:rsid w:val="00D60611"/>
    <w:rsid w:val="00D60F58"/>
    <w:rsid w:val="00D71AC6"/>
    <w:rsid w:val="00D7280B"/>
    <w:rsid w:val="00D75947"/>
    <w:rsid w:val="00D77F26"/>
    <w:rsid w:val="00DA1AB6"/>
    <w:rsid w:val="00DA2E00"/>
    <w:rsid w:val="00DA44F7"/>
    <w:rsid w:val="00DA7531"/>
    <w:rsid w:val="00DA76E3"/>
    <w:rsid w:val="00DB0D87"/>
    <w:rsid w:val="00DB37D2"/>
    <w:rsid w:val="00DB3C37"/>
    <w:rsid w:val="00DC0505"/>
    <w:rsid w:val="00DC14B6"/>
    <w:rsid w:val="00DC4E51"/>
    <w:rsid w:val="00DC68D4"/>
    <w:rsid w:val="00DC7D6C"/>
    <w:rsid w:val="00DD0ADF"/>
    <w:rsid w:val="00DD136C"/>
    <w:rsid w:val="00DD1BB6"/>
    <w:rsid w:val="00DD34EA"/>
    <w:rsid w:val="00DD5897"/>
    <w:rsid w:val="00DD76F0"/>
    <w:rsid w:val="00DD7A78"/>
    <w:rsid w:val="00DE09C3"/>
    <w:rsid w:val="00DE0BC0"/>
    <w:rsid w:val="00DE1247"/>
    <w:rsid w:val="00DE2988"/>
    <w:rsid w:val="00DE7034"/>
    <w:rsid w:val="00DF1814"/>
    <w:rsid w:val="00DF4384"/>
    <w:rsid w:val="00DF637D"/>
    <w:rsid w:val="00E0539D"/>
    <w:rsid w:val="00E067B1"/>
    <w:rsid w:val="00E06CC2"/>
    <w:rsid w:val="00E122AF"/>
    <w:rsid w:val="00E13119"/>
    <w:rsid w:val="00E147D3"/>
    <w:rsid w:val="00E14DE5"/>
    <w:rsid w:val="00E179DF"/>
    <w:rsid w:val="00E17B5E"/>
    <w:rsid w:val="00E20AF6"/>
    <w:rsid w:val="00E23238"/>
    <w:rsid w:val="00E251C6"/>
    <w:rsid w:val="00E263EA"/>
    <w:rsid w:val="00E332B3"/>
    <w:rsid w:val="00E40009"/>
    <w:rsid w:val="00E42487"/>
    <w:rsid w:val="00E438CE"/>
    <w:rsid w:val="00E45292"/>
    <w:rsid w:val="00E47DCC"/>
    <w:rsid w:val="00E5380D"/>
    <w:rsid w:val="00E542C4"/>
    <w:rsid w:val="00E600BD"/>
    <w:rsid w:val="00E60FCF"/>
    <w:rsid w:val="00E61B2A"/>
    <w:rsid w:val="00E7382F"/>
    <w:rsid w:val="00E82B0B"/>
    <w:rsid w:val="00E83154"/>
    <w:rsid w:val="00E851E7"/>
    <w:rsid w:val="00E872E3"/>
    <w:rsid w:val="00E87A50"/>
    <w:rsid w:val="00E930DD"/>
    <w:rsid w:val="00E95ABE"/>
    <w:rsid w:val="00EA0D1D"/>
    <w:rsid w:val="00EA16D9"/>
    <w:rsid w:val="00EA295B"/>
    <w:rsid w:val="00EB2AD3"/>
    <w:rsid w:val="00EB6257"/>
    <w:rsid w:val="00EB74E5"/>
    <w:rsid w:val="00EC7812"/>
    <w:rsid w:val="00ED04E4"/>
    <w:rsid w:val="00ED28A5"/>
    <w:rsid w:val="00ED2EE2"/>
    <w:rsid w:val="00ED3FFF"/>
    <w:rsid w:val="00ED41A4"/>
    <w:rsid w:val="00ED6567"/>
    <w:rsid w:val="00EE1E64"/>
    <w:rsid w:val="00EF01F9"/>
    <w:rsid w:val="00EF0ADB"/>
    <w:rsid w:val="00EF3B32"/>
    <w:rsid w:val="00EF5386"/>
    <w:rsid w:val="00EF78E3"/>
    <w:rsid w:val="00F006B1"/>
    <w:rsid w:val="00F04F6C"/>
    <w:rsid w:val="00F1425C"/>
    <w:rsid w:val="00F16DD6"/>
    <w:rsid w:val="00F23C23"/>
    <w:rsid w:val="00F24D3D"/>
    <w:rsid w:val="00F26C5B"/>
    <w:rsid w:val="00F30436"/>
    <w:rsid w:val="00F341DC"/>
    <w:rsid w:val="00F35864"/>
    <w:rsid w:val="00F37CCE"/>
    <w:rsid w:val="00F40DDD"/>
    <w:rsid w:val="00F40FD4"/>
    <w:rsid w:val="00F4679A"/>
    <w:rsid w:val="00F60EBD"/>
    <w:rsid w:val="00F63871"/>
    <w:rsid w:val="00F641F7"/>
    <w:rsid w:val="00F66827"/>
    <w:rsid w:val="00F723C5"/>
    <w:rsid w:val="00F726D6"/>
    <w:rsid w:val="00F73C93"/>
    <w:rsid w:val="00F8179F"/>
    <w:rsid w:val="00F82329"/>
    <w:rsid w:val="00F90BC3"/>
    <w:rsid w:val="00F930B6"/>
    <w:rsid w:val="00F9633E"/>
    <w:rsid w:val="00F976A1"/>
    <w:rsid w:val="00FA3DF6"/>
    <w:rsid w:val="00FA4B50"/>
    <w:rsid w:val="00FA63BD"/>
    <w:rsid w:val="00FB19FD"/>
    <w:rsid w:val="00FB23B6"/>
    <w:rsid w:val="00FB62A2"/>
    <w:rsid w:val="00FB6A85"/>
    <w:rsid w:val="00FB793B"/>
    <w:rsid w:val="00FB7D8F"/>
    <w:rsid w:val="00FB7E07"/>
    <w:rsid w:val="00FC0D7C"/>
    <w:rsid w:val="00FC506E"/>
    <w:rsid w:val="00FD1CD2"/>
    <w:rsid w:val="00FD37BD"/>
    <w:rsid w:val="00FD4FDD"/>
    <w:rsid w:val="00FE09A8"/>
    <w:rsid w:val="00FE0A24"/>
    <w:rsid w:val="00FE1C81"/>
    <w:rsid w:val="00FE3C4C"/>
    <w:rsid w:val="00FE6E65"/>
    <w:rsid w:val="00FF20D9"/>
    <w:rsid w:val="00FF25FE"/>
    <w:rsid w:val="00FF4C8C"/>
    <w:rsid w:val="00FF6A83"/>
    <w:rsid w:val="00FF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3D7F646A"/>
  <w15:docId w15:val="{C5906868-04D6-4563-9F19-D963CD3AA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556DCD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color w:val="3E2E98"/>
      <w:kern w:val="36"/>
      <w:sz w:val="30"/>
      <w:szCs w:val="30"/>
      <w:lang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02FE4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link w:val="Heading3Char"/>
    <w:uiPriority w:val="9"/>
    <w:qFormat/>
    <w:rsid w:val="00556DCD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color w:val="777777"/>
      <w:sz w:val="26"/>
      <w:szCs w:val="26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556DCD"/>
    <w:pPr>
      <w:spacing w:before="100" w:beforeAutospacing="1" w:after="100" w:afterAutospacing="1"/>
      <w:jc w:val="left"/>
      <w:outlineLvl w:val="3"/>
    </w:pPr>
    <w:rPr>
      <w:rFonts w:ascii="Times New Roman" w:hAnsi="Times New Roman"/>
      <w:b/>
      <w:bCs/>
      <w:color w:val="444444"/>
      <w:sz w:val="24"/>
      <w:lang w:eastAsia="en-GB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C309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D02FE4"/>
    <w:rPr>
      <w:rFonts w:ascii="Verdana" w:hAnsi="Verdana"/>
      <w:b/>
      <w:sz w:val="24"/>
      <w:szCs w:val="24"/>
      <w:lang w:val="sk-SK" w:eastAsia="en-US" w:bidi="ar-SA"/>
    </w:rPr>
  </w:style>
  <w:style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"/>
    <w:link w:val="FootnoteText"/>
    <w:rsid w:val="00D02FE4"/>
    <w:rPr>
      <w:rFonts w:ascii="Verdana" w:hAnsi="Verdana"/>
      <w:sz w:val="16"/>
      <w:szCs w:val="16"/>
      <w:lang w:val="sk-SK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CC3091"/>
    <w:pPr>
      <w:spacing w:before="0" w:after="0"/>
      <w:ind w:left="33"/>
    </w:pPr>
    <w:rPr>
      <w:rFonts w:ascii="Times New Roman" w:hAnsi="Times New Roman"/>
      <w:szCs w:val="17"/>
      <w:u w:val="single"/>
      <w:lang w:eastAsia="de-DE"/>
    </w:rPr>
  </w:style>
  <w:style w:type="character" w:customStyle="1" w:styleId="InstructionsTextChar">
    <w:name w:val="Instructions Text Char"/>
    <w:link w:val="InstructionsText"/>
    <w:locked/>
    <w:rsid w:val="00CC3091"/>
    <w:rPr>
      <w:szCs w:val="17"/>
      <w:u w:val="single"/>
      <w:lang w:val="sk-SK"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paragraph" w:customStyle="1" w:styleId="InstructionsText2">
    <w:name w:val="Instructions Text 2"/>
    <w:basedOn w:val="InstructionsText"/>
    <w:qFormat/>
    <w:rsid w:val="00D02FE4"/>
    <w:pPr>
      <w:numPr>
        <w:numId w:val="3"/>
      </w:numPr>
      <w:spacing w:after="24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sk-SK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sk-SK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sk-SK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link w:val="BalloonTextChar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sk-SK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sk-SK" w:eastAsia="en-US"/>
    </w:rPr>
  </w:style>
  <w:style w:type="paragraph" w:styleId="PlainText">
    <w:name w:val="Plain Text"/>
    <w:basedOn w:val="Normal"/>
    <w:link w:val="PlainTextChar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eastAsia="de-AT"/>
    </w:rPr>
  </w:style>
  <w:style w:type="character" w:styleId="Hyperlink">
    <w:name w:val="Hyperlink"/>
    <w:basedOn w:val="DefaultParagraphFont"/>
    <w:uiPriority w:val="99"/>
    <w:unhideWhenUsed/>
    <w:rsid w:val="0035239A"/>
    <w:rPr>
      <w:color w:val="0000FF"/>
      <w:u w:val="single"/>
    </w:rPr>
  </w:style>
  <w:style w:type="table" w:styleId="TableGrid">
    <w:name w:val="Table Grid"/>
    <w:basedOn w:val="TableNormal"/>
    <w:rsid w:val="000C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6DCD"/>
    <w:rPr>
      <w:b/>
      <w:bCs/>
      <w:color w:val="3E2E98"/>
      <w:kern w:val="36"/>
      <w:sz w:val="30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556DCD"/>
    <w:rPr>
      <w:b/>
      <w:bCs/>
      <w:color w:val="777777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56DCD"/>
    <w:rPr>
      <w:b/>
      <w:bCs/>
      <w:color w:val="444444"/>
      <w:sz w:val="24"/>
      <w:szCs w:val="24"/>
    </w:rPr>
  </w:style>
  <w:style w:type="paragraph" w:customStyle="1" w:styleId="Numberedheadinglevel1">
    <w:name w:val="Numbered heading level 1"/>
    <w:basedOn w:val="Normal"/>
    <w:next w:val="Normal"/>
    <w:qFormat/>
    <w:rsid w:val="004E36B0"/>
    <w:pPr>
      <w:numPr>
        <w:numId w:val="16"/>
      </w:numPr>
      <w:tabs>
        <w:tab w:val="left" w:pos="0"/>
      </w:tabs>
      <w:spacing w:before="360" w:after="360"/>
      <w:ind w:left="714" w:hanging="357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link w:val="Numberedheadinglevel2Char"/>
    <w:qFormat/>
    <w:rsid w:val="00A56552"/>
    <w:pPr>
      <w:numPr>
        <w:ilvl w:val="1"/>
        <w:numId w:val="16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A56552"/>
    <w:pPr>
      <w:numPr>
        <w:ilvl w:val="2"/>
        <w:numId w:val="16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styleId="FollowedHyperlink">
    <w:name w:val="FollowedHyperlink"/>
    <w:basedOn w:val="DefaultParagraphFont"/>
    <w:uiPriority w:val="99"/>
    <w:rsid w:val="00FB7E0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4416B"/>
    <w:pPr>
      <w:ind w:left="720"/>
      <w:contextualSpacing/>
    </w:pPr>
  </w:style>
  <w:style w:type="paragraph" w:customStyle="1" w:styleId="DocTitle">
    <w:name w:val="Doc Title"/>
    <w:basedOn w:val="Normal"/>
    <w:qFormat/>
    <w:rsid w:val="00DC14B6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DC14B6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styleId="Header">
    <w:name w:val="header"/>
    <w:basedOn w:val="Normal"/>
    <w:link w:val="HeaderChar"/>
    <w:uiPriority w:val="99"/>
    <w:rsid w:val="00DC14B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C14B6"/>
    <w:rPr>
      <w:rFonts w:ascii="Verdana" w:hAnsi="Verdana"/>
      <w:szCs w:val="24"/>
      <w:lang w:val="sk-SK" w:eastAsia="en-US"/>
    </w:rPr>
  </w:style>
  <w:style w:type="paragraph" w:styleId="Revision">
    <w:name w:val="Revision"/>
    <w:hidden/>
    <w:uiPriority w:val="99"/>
    <w:semiHidden/>
    <w:rsid w:val="007462FE"/>
    <w:rPr>
      <w:rFonts w:ascii="Verdana" w:hAnsi="Verdana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F6C"/>
    <w:rPr>
      <w:sz w:val="24"/>
      <w:szCs w:val="24"/>
      <w:lang w:val="sk-SK" w:eastAsia="de-AT"/>
    </w:rPr>
  </w:style>
  <w:style w:type="character" w:customStyle="1" w:styleId="BalloonTextChar">
    <w:name w:val="Balloon Text Char"/>
    <w:link w:val="BalloonText"/>
    <w:semiHidden/>
    <w:rsid w:val="00167536"/>
    <w:rPr>
      <w:rFonts w:ascii="Tahoma" w:hAnsi="Tahoma" w:cs="Tahoma"/>
      <w:sz w:val="16"/>
      <w:szCs w:val="16"/>
      <w:lang w:val="sk-SK" w:eastAsia="en-US"/>
    </w:rPr>
  </w:style>
  <w:style w:type="character" w:customStyle="1" w:styleId="PlainTextChar">
    <w:name w:val="Plain Text Char"/>
    <w:link w:val="PlainText"/>
    <w:semiHidden/>
    <w:rsid w:val="00167536"/>
    <w:rPr>
      <w:rFonts w:ascii="Consolas" w:hAnsi="Consolas"/>
      <w:sz w:val="21"/>
      <w:szCs w:val="21"/>
      <w:lang w:val="sk-SK" w:eastAsia="en-US"/>
    </w:rPr>
  </w:style>
  <w:style w:type="character" w:customStyle="1" w:styleId="Marker">
    <w:name w:val="Marker"/>
    <w:rsid w:val="00167536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167536"/>
    <w:pPr>
      <w:spacing w:before="0" w:after="0"/>
    </w:pPr>
    <w:rPr>
      <w:rFonts w:ascii="Times New Roman" w:eastAsia="Calibri" w:hAnsi="Times New Roman"/>
      <w:sz w:val="24"/>
      <w:szCs w:val="22"/>
    </w:rPr>
  </w:style>
  <w:style w:type="paragraph" w:customStyle="1" w:styleId="FooterCoverPage">
    <w:name w:val="Footer Cover Page"/>
    <w:basedOn w:val="Normal"/>
    <w:link w:val="FooterCoverPageChar"/>
    <w:rsid w:val="00167536"/>
    <w:pPr>
      <w:tabs>
        <w:tab w:val="center" w:pos="4535"/>
        <w:tab w:val="right" w:pos="9071"/>
        <w:tab w:val="right" w:pos="9921"/>
      </w:tabs>
      <w:spacing w:before="360" w:after="0"/>
      <w:ind w:left="-850" w:right="-850" w:hanging="567"/>
      <w:jc w:val="left"/>
    </w:pPr>
    <w:rPr>
      <w:rFonts w:ascii="Times New Roman" w:hAnsi="Times New Roman"/>
      <w:color w:val="4F81BD"/>
      <w:sz w:val="24"/>
    </w:rPr>
  </w:style>
  <w:style w:type="character" w:customStyle="1" w:styleId="Numberedheadinglevel2Char">
    <w:name w:val="Numbered heading level 2 Char"/>
    <w:link w:val="Numberedheadinglevel2"/>
    <w:rsid w:val="00167536"/>
    <w:rPr>
      <w:rFonts w:ascii="Arial" w:hAnsi="Arial"/>
      <w:color w:val="4F81BD" w:themeColor="accent1"/>
      <w:sz w:val="24"/>
      <w:szCs w:val="24"/>
      <w:lang w:val="sk-SK" w:eastAsia="en-US"/>
    </w:rPr>
  </w:style>
  <w:style w:type="character" w:customStyle="1" w:styleId="FooterCoverPageChar">
    <w:name w:val="Footer Cover Page Char"/>
    <w:link w:val="FooterCoverPage"/>
    <w:rsid w:val="00167536"/>
    <w:rPr>
      <w:color w:val="4F81BD"/>
      <w:sz w:val="24"/>
      <w:szCs w:val="24"/>
      <w:lang w:val="sk-SK" w:eastAsia="en-US"/>
    </w:rPr>
  </w:style>
  <w:style w:type="paragraph" w:customStyle="1" w:styleId="HeaderCoverPage">
    <w:name w:val="Header Cover Page"/>
    <w:basedOn w:val="Normal"/>
    <w:link w:val="HeaderCoverPageChar"/>
    <w:rsid w:val="00167536"/>
    <w:pPr>
      <w:tabs>
        <w:tab w:val="center" w:pos="4535"/>
        <w:tab w:val="right" w:pos="9071"/>
      </w:tabs>
      <w:spacing w:before="0"/>
      <w:ind w:hanging="567"/>
    </w:pPr>
    <w:rPr>
      <w:rFonts w:ascii="Times New Roman" w:hAnsi="Times New Roman"/>
      <w:color w:val="4F81BD"/>
      <w:sz w:val="24"/>
    </w:rPr>
  </w:style>
  <w:style w:type="character" w:customStyle="1" w:styleId="HeaderCoverPageChar">
    <w:name w:val="Header Cover Page Char"/>
    <w:link w:val="HeaderCoverPage"/>
    <w:rsid w:val="00167536"/>
    <w:rPr>
      <w:color w:val="4F81BD"/>
      <w:sz w:val="24"/>
      <w:szCs w:val="24"/>
      <w:lang w:val="sk-SK" w:eastAsia="en-US"/>
    </w:rPr>
  </w:style>
  <w:style w:type="character" w:customStyle="1" w:styleId="Heading6Char">
    <w:name w:val="Heading 6 Char"/>
    <w:basedOn w:val="DefaultParagraphFont"/>
    <w:link w:val="Heading6"/>
    <w:semiHidden/>
    <w:rsid w:val="00CC3091"/>
    <w:rPr>
      <w:rFonts w:asciiTheme="majorHAnsi" w:eastAsiaTheme="majorEastAsia" w:hAnsiTheme="majorHAnsi" w:cstheme="majorBidi"/>
      <w:color w:val="243F60" w:themeColor="accent1" w:themeShade="7F"/>
      <w:szCs w:val="24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6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944066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45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498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37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0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599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565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71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935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6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479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0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A521A6-790C-4186-A33C-AA6D323AF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12</Pages>
  <Words>4764</Words>
  <Characters>27160</Characters>
  <Application>Microsoft Office Word</Application>
  <DocSecurity>0</DocSecurity>
  <Lines>226</Lines>
  <Paragraphs>63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PART II: TEMPLATE RELATED INSTRUCTIONS</vt:lpstr>
      <vt:lpstr>PART II: TEMPLATE RELATED INSTRUCTIONS</vt:lpstr>
      <vt:lpstr>PART II: TEMPLATE RELATED INSTRUCTIONS</vt:lpstr>
    </vt:vector>
  </TitlesOfParts>
  <Company>Financial Services Authority</Company>
  <LinksUpToDate>false</LinksUpToDate>
  <CharactersWithSpaces>31861</CharactersWithSpaces>
  <SharedDoc>false</SharedDoc>
  <HLinks>
    <vt:vector size="6" baseType="variant">
      <vt:variant>
        <vt:i4>6422655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http://eur-lex.europa.eu/LexUriServ/LexUriServ.do?uri=COM:2011:0656:FIN:EN:PDF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II: TEMPLATE RELATED INSTRUCTIONS</dc:title>
  <dc:creator>gvanderkamp</dc:creator>
  <cp:lastModifiedBy>FILIAC Tomas (DGT)</cp:lastModifiedBy>
  <cp:revision>4</cp:revision>
  <cp:lastPrinted>2014-06-12T08:34:00Z</cp:lastPrinted>
  <dcterms:created xsi:type="dcterms:W3CDTF">2019-11-19T09:19:00Z</dcterms:created>
  <dcterms:modified xsi:type="dcterms:W3CDTF">2020-01-22T09:37:00Z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