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057" w:rsidRDefault="00A834F1">
      <w:pPr>
        <w:jc w:val="center"/>
        <w:rPr>
          <w:rFonts w:ascii="Times New Roman" w:hAnsi="Times New Roman"/>
          <w:b/>
          <w:sz w:val="24"/>
        </w:rPr>
      </w:pPr>
      <w:r>
        <w:rPr>
          <w:rFonts w:ascii="Times New Roman" w:hAnsi="Times New Roman"/>
          <w:b/>
        </w:rPr>
        <w:t>HR</w:t>
      </w:r>
      <w:r>
        <w:rPr>
          <w:rFonts w:ascii="Times New Roman" w:hAnsi="Times New Roman"/>
          <w:b/>
        </w:rPr>
        <w:br/>
        <w:t>PRILOG V.</w:t>
      </w:r>
    </w:p>
    <w:p w:rsidR="009E6057" w:rsidRDefault="009E6057">
      <w:pPr>
        <w:jc w:val="center"/>
        <w:rPr>
          <w:rFonts w:ascii="Times New Roman" w:hAnsi="Times New Roman"/>
          <w:b/>
          <w:sz w:val="24"/>
        </w:rPr>
      </w:pPr>
    </w:p>
    <w:p w:rsidR="009E6057" w:rsidRDefault="00973325">
      <w:pPr>
        <w:jc w:val="center"/>
        <w:rPr>
          <w:rFonts w:ascii="Times New Roman" w:hAnsi="Times New Roman"/>
          <w:b/>
          <w:sz w:val="24"/>
          <w:u w:val="single"/>
        </w:rPr>
      </w:pPr>
      <w:r>
        <w:rPr>
          <w:rFonts w:ascii="Times New Roman" w:hAnsi="Times New Roman"/>
          <w:b/>
          <w:u w:val="single"/>
        </w:rPr>
        <w:t>„PRILOG V.</w:t>
      </w:r>
    </w:p>
    <w:p w:rsidR="009E6057" w:rsidRDefault="00A834F1">
      <w:pPr>
        <w:jc w:val="center"/>
        <w:rPr>
          <w:rFonts w:ascii="Times New Roman" w:hAnsi="Times New Roman"/>
          <w:b/>
          <w:sz w:val="24"/>
        </w:rPr>
      </w:pPr>
      <w:r>
        <w:rPr>
          <w:rFonts w:ascii="Times New Roman" w:hAnsi="Times New Roman"/>
          <w:b/>
        </w:rPr>
        <w:t>IZVJEŠĆIVANJE O FINANCIJSKIM INFORMACIJAMA</w:t>
      </w:r>
    </w:p>
    <w:p w:rsidR="00B62C7B" w:rsidRDefault="00A834F1" w:rsidP="00B87DF3">
      <w:pPr>
        <w:spacing w:after="0"/>
        <w:rPr>
          <w:noProof/>
        </w:rPr>
      </w:pPr>
      <w:r>
        <w:rPr>
          <w:rFonts w:ascii="Times New Roman" w:hAnsi="Times New Roman"/>
        </w:rPr>
        <w:t>Sadržaj</w:t>
      </w:r>
      <w:r>
        <w:rPr>
          <w:rFonts w:ascii="Cambria" w:hAnsi="Cambria"/>
          <w:b/>
          <w:sz w:val="24"/>
          <w:szCs w:val="24"/>
        </w:rPr>
        <w:fldChar w:fldCharType="begin"/>
      </w:r>
      <w:r w:rsidR="007C242D">
        <w:instrText xml:space="preserve"> TOC \o "1-3" \u </w:instrText>
      </w:r>
      <w:r>
        <w:rPr>
          <w:rFonts w:ascii="Cambria" w:hAnsi="Cambria"/>
          <w:b/>
          <w:sz w:val="24"/>
          <w:szCs w:val="24"/>
        </w:rPr>
        <w:fldChar w:fldCharType="separate"/>
      </w:r>
    </w:p>
    <w:p w:rsidR="00B62C7B" w:rsidRPr="00B87DF3" w:rsidRDefault="00B87DF3">
      <w:pPr>
        <w:pStyle w:val="TOC1"/>
        <w:tabs>
          <w:tab w:val="right" w:leader="dot" w:pos="8296"/>
        </w:tabs>
        <w:rPr>
          <w:rFonts w:asciiTheme="minorHAnsi" w:eastAsiaTheme="minorEastAsia" w:hAnsiTheme="minorHAnsi" w:cstheme="minorBidi"/>
          <w:b w:val="0"/>
          <w:noProof/>
          <w:sz w:val="22"/>
          <w:szCs w:val="22"/>
          <w:lang w:val="en-US" w:eastAsia="en-US"/>
        </w:rPr>
      </w:pPr>
      <w:r>
        <w:rPr>
          <w:noProof/>
        </w:rPr>
        <w:t xml:space="preserve">Dio 1.: </w:t>
      </w:r>
      <w:r w:rsidR="00B62C7B">
        <w:rPr>
          <w:noProof/>
        </w:rPr>
        <w:t>Opće upute</w:t>
      </w:r>
      <w:r w:rsidR="00B62C7B">
        <w:rPr>
          <w:noProof/>
        </w:rPr>
        <w:tab/>
      </w:r>
      <w:r w:rsidR="00B62C7B">
        <w:rPr>
          <w:noProof/>
        </w:rPr>
        <w:fldChar w:fldCharType="begin"/>
      </w:r>
      <w:r w:rsidR="00B62C7B">
        <w:rPr>
          <w:noProof/>
        </w:rPr>
        <w:instrText xml:space="preserve"> PAGEREF _Toc30667455 \h </w:instrText>
      </w:r>
      <w:r w:rsidR="00B62C7B">
        <w:rPr>
          <w:noProof/>
        </w:rPr>
      </w:r>
      <w:r w:rsidR="00B62C7B">
        <w:rPr>
          <w:noProof/>
        </w:rPr>
        <w:fldChar w:fldCharType="separate"/>
      </w:r>
      <w:r w:rsidR="00B62C7B">
        <w:rPr>
          <w:noProof/>
        </w:rPr>
        <w:t>4</w:t>
      </w:r>
      <w:r w:rsidR="00B62C7B">
        <w:rPr>
          <w:noProof/>
        </w:rPr>
        <w:fldChar w:fldCharType="end"/>
      </w:r>
    </w:p>
    <w:p w:rsidR="00B62C7B" w:rsidRPr="00B87DF3" w:rsidRDefault="00B62C7B">
      <w:pPr>
        <w:pStyle w:val="TOC2"/>
        <w:rPr>
          <w:rFonts w:asciiTheme="minorHAnsi" w:eastAsiaTheme="minorEastAsia" w:hAnsiTheme="minorHAnsi" w:cstheme="minorBidi"/>
          <w:sz w:val="22"/>
          <w:szCs w:val="22"/>
          <w:lang w:val="en-US" w:eastAsia="en-US"/>
        </w:rPr>
      </w:pPr>
      <w:r>
        <w:t>1.</w:t>
      </w:r>
      <w:r w:rsidRPr="00B87DF3">
        <w:rPr>
          <w:rFonts w:asciiTheme="minorHAnsi" w:eastAsiaTheme="minorEastAsia" w:hAnsiTheme="minorHAnsi" w:cstheme="minorBidi"/>
          <w:sz w:val="22"/>
          <w:szCs w:val="22"/>
          <w:lang w:val="en-US" w:eastAsia="en-US"/>
        </w:rPr>
        <w:tab/>
      </w:r>
      <w:r>
        <w:t>Upućivanja</w:t>
      </w:r>
      <w:r>
        <w:tab/>
      </w:r>
      <w:r>
        <w:fldChar w:fldCharType="begin"/>
      </w:r>
      <w:r>
        <w:instrText xml:space="preserve"> PAGEREF _Toc30667456 \h </w:instrText>
      </w:r>
      <w:r>
        <w:fldChar w:fldCharType="separate"/>
      </w:r>
      <w:r>
        <w:t>4</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w:t>
      </w:r>
      <w:r w:rsidRPr="00B87DF3">
        <w:rPr>
          <w:rFonts w:asciiTheme="minorHAnsi" w:eastAsiaTheme="minorEastAsia" w:hAnsiTheme="minorHAnsi" w:cstheme="minorBidi"/>
          <w:sz w:val="22"/>
          <w:szCs w:val="22"/>
          <w:lang w:val="en-US" w:eastAsia="en-US"/>
        </w:rPr>
        <w:tab/>
      </w:r>
      <w:r>
        <w:t>Pravila</w:t>
      </w:r>
      <w:r>
        <w:tab/>
      </w:r>
      <w:r>
        <w:fldChar w:fldCharType="begin"/>
      </w:r>
      <w:r>
        <w:instrText xml:space="preserve"> PAGEREF _Toc30667457 \h </w:instrText>
      </w:r>
      <w:r>
        <w:fldChar w:fldCharType="separate"/>
      </w:r>
      <w:r>
        <w:t>6</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3.</w:t>
      </w:r>
      <w:r w:rsidRPr="00B62C7B">
        <w:rPr>
          <w:rFonts w:asciiTheme="minorHAnsi" w:eastAsiaTheme="minorEastAsia" w:hAnsiTheme="minorHAnsi" w:cstheme="minorBidi"/>
          <w:sz w:val="22"/>
          <w:szCs w:val="22"/>
          <w:lang w:val="fr-BE" w:eastAsia="en-US"/>
        </w:rPr>
        <w:tab/>
      </w:r>
      <w:r>
        <w:t>Konsolidacija</w:t>
      </w:r>
      <w:r>
        <w:tab/>
      </w:r>
      <w:r>
        <w:fldChar w:fldCharType="begin"/>
      </w:r>
      <w:r>
        <w:instrText xml:space="preserve"> PAGEREF _Toc30667458 \h </w:instrText>
      </w:r>
      <w:r>
        <w:fldChar w:fldCharType="separate"/>
      </w:r>
      <w:r>
        <w:t>7</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4.</w:t>
      </w:r>
      <w:r w:rsidRPr="00B62C7B">
        <w:rPr>
          <w:rFonts w:asciiTheme="minorHAnsi" w:eastAsiaTheme="minorEastAsia" w:hAnsiTheme="minorHAnsi" w:cstheme="minorBidi"/>
          <w:sz w:val="22"/>
          <w:szCs w:val="22"/>
          <w:lang w:val="fr-BE" w:eastAsia="en-US"/>
        </w:rPr>
        <w:tab/>
      </w:r>
      <w:r>
        <w:t>Računovodstveni portfelji financijskih instrumenata</w:t>
      </w:r>
      <w:r>
        <w:tab/>
      </w:r>
      <w:r>
        <w:fldChar w:fldCharType="begin"/>
      </w:r>
      <w:r>
        <w:instrText xml:space="preserve"> PAGEREF _Toc30667459 \h </w:instrText>
      </w:r>
      <w:r>
        <w:fldChar w:fldCharType="separate"/>
      </w:r>
      <w:r>
        <w:t>8</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4.1.</w:t>
      </w:r>
      <w:r w:rsidRPr="00B62C7B">
        <w:rPr>
          <w:rFonts w:asciiTheme="minorHAnsi" w:eastAsiaTheme="minorEastAsia" w:hAnsiTheme="minorHAnsi" w:cstheme="minorBidi"/>
          <w:sz w:val="22"/>
          <w:szCs w:val="22"/>
          <w:lang w:val="fr-BE" w:eastAsia="en-US"/>
        </w:rPr>
        <w:tab/>
      </w:r>
      <w:r>
        <w:t>Financijska imovina</w:t>
      </w:r>
      <w:r>
        <w:tab/>
      </w:r>
      <w:r>
        <w:fldChar w:fldCharType="begin"/>
      </w:r>
      <w:r>
        <w:instrText xml:space="preserve"> PAGEREF _Toc30667460 \h </w:instrText>
      </w:r>
      <w:r>
        <w:fldChar w:fldCharType="separate"/>
      </w:r>
      <w:r>
        <w:t>8</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4.2.</w:t>
      </w:r>
      <w:r w:rsidRPr="00B62C7B">
        <w:rPr>
          <w:rFonts w:asciiTheme="minorHAnsi" w:eastAsiaTheme="minorEastAsia" w:hAnsiTheme="minorHAnsi" w:cstheme="minorBidi"/>
          <w:sz w:val="22"/>
          <w:szCs w:val="22"/>
          <w:lang w:val="fr-BE" w:eastAsia="en-US"/>
        </w:rPr>
        <w:tab/>
      </w:r>
      <w:r>
        <w:t>Financijske obveze</w:t>
      </w:r>
      <w:r>
        <w:tab/>
      </w:r>
      <w:r>
        <w:fldChar w:fldCharType="begin"/>
      </w:r>
      <w:r>
        <w:instrText xml:space="preserve"> PAGEREF _Toc30667461 \h </w:instrText>
      </w:r>
      <w:r>
        <w:fldChar w:fldCharType="separate"/>
      </w:r>
      <w:r>
        <w:t>10</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5.</w:t>
      </w:r>
      <w:r w:rsidRPr="00B62C7B">
        <w:rPr>
          <w:rFonts w:asciiTheme="minorHAnsi" w:eastAsiaTheme="minorEastAsia" w:hAnsiTheme="minorHAnsi" w:cstheme="minorBidi"/>
          <w:sz w:val="22"/>
          <w:szCs w:val="22"/>
          <w:lang w:val="fr-BE" w:eastAsia="en-US"/>
        </w:rPr>
        <w:tab/>
      </w:r>
      <w:r>
        <w:t>Financijski instrumenti</w:t>
      </w:r>
      <w:r>
        <w:tab/>
      </w:r>
      <w:r>
        <w:fldChar w:fldCharType="begin"/>
      </w:r>
      <w:r>
        <w:instrText xml:space="preserve"> PAGEREF _Toc30667462 \h </w:instrText>
      </w:r>
      <w:r>
        <w:fldChar w:fldCharType="separate"/>
      </w:r>
      <w:r>
        <w:t>11</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5.1.</w:t>
      </w:r>
      <w:r w:rsidRPr="00B62C7B">
        <w:rPr>
          <w:rFonts w:asciiTheme="minorHAnsi" w:eastAsiaTheme="minorEastAsia" w:hAnsiTheme="minorHAnsi" w:cstheme="minorBidi"/>
          <w:sz w:val="22"/>
          <w:szCs w:val="22"/>
          <w:lang w:val="fr-BE" w:eastAsia="en-US"/>
        </w:rPr>
        <w:tab/>
      </w:r>
      <w:r>
        <w:t>Financijska imovina</w:t>
      </w:r>
      <w:r>
        <w:tab/>
      </w:r>
      <w:r>
        <w:fldChar w:fldCharType="begin"/>
      </w:r>
      <w:r>
        <w:instrText xml:space="preserve"> PAGEREF _Toc30667463 \h </w:instrText>
      </w:r>
      <w:r>
        <w:fldChar w:fldCharType="separate"/>
      </w:r>
      <w:r>
        <w:t>11</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5.2.</w:t>
      </w:r>
      <w:r w:rsidRPr="00B62C7B">
        <w:rPr>
          <w:rFonts w:asciiTheme="minorHAnsi" w:eastAsiaTheme="minorEastAsia" w:hAnsiTheme="minorHAnsi" w:cstheme="minorBidi"/>
          <w:sz w:val="22"/>
          <w:szCs w:val="22"/>
          <w:lang w:val="fr-BE" w:eastAsia="en-US"/>
        </w:rPr>
        <w:tab/>
      </w:r>
      <w:r>
        <w:t>Bruto knjigovodstvena vrijednost</w:t>
      </w:r>
      <w:r>
        <w:tab/>
      </w:r>
      <w:r>
        <w:fldChar w:fldCharType="begin"/>
      </w:r>
      <w:r>
        <w:instrText xml:space="preserve"> PAGEREF _Toc30667464 \h </w:instrText>
      </w:r>
      <w:r>
        <w:fldChar w:fldCharType="separate"/>
      </w:r>
      <w:r>
        <w:t>12</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5.3.</w:t>
      </w:r>
      <w:r w:rsidRPr="00B62C7B">
        <w:rPr>
          <w:rFonts w:asciiTheme="minorHAnsi" w:eastAsiaTheme="minorEastAsia" w:hAnsiTheme="minorHAnsi" w:cstheme="minorBidi"/>
          <w:sz w:val="22"/>
          <w:szCs w:val="22"/>
          <w:lang w:val="fr-BE" w:eastAsia="en-US"/>
        </w:rPr>
        <w:tab/>
      </w:r>
      <w:r>
        <w:t>Financijske obveze</w:t>
      </w:r>
      <w:r>
        <w:tab/>
      </w:r>
      <w:r>
        <w:fldChar w:fldCharType="begin"/>
      </w:r>
      <w:r>
        <w:instrText xml:space="preserve"> PAGEREF _Toc30667465 \h </w:instrText>
      </w:r>
      <w:r>
        <w:fldChar w:fldCharType="separate"/>
      </w:r>
      <w:r>
        <w:t>13</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6.</w:t>
      </w:r>
      <w:r w:rsidRPr="00B62C7B">
        <w:rPr>
          <w:rFonts w:asciiTheme="minorHAnsi" w:eastAsiaTheme="minorEastAsia" w:hAnsiTheme="minorHAnsi" w:cstheme="minorBidi"/>
          <w:sz w:val="22"/>
          <w:szCs w:val="22"/>
          <w:lang w:val="fr-BE" w:eastAsia="en-US"/>
        </w:rPr>
        <w:tab/>
      </w:r>
      <w:r>
        <w:t>Raščlamba prema drugoj ugovornoj strani</w:t>
      </w:r>
      <w:r>
        <w:tab/>
      </w:r>
      <w:r>
        <w:fldChar w:fldCharType="begin"/>
      </w:r>
      <w:r>
        <w:instrText xml:space="preserve"> PAGEREF _Toc30667466 \h </w:instrText>
      </w:r>
      <w:r>
        <w:fldChar w:fldCharType="separate"/>
      </w:r>
      <w:r>
        <w:t>14</w:t>
      </w:r>
      <w:r>
        <w:fldChar w:fldCharType="end"/>
      </w:r>
    </w:p>
    <w:p w:rsidR="00B62C7B" w:rsidRPr="00B62C7B" w:rsidRDefault="00B62C7B">
      <w:pPr>
        <w:pStyle w:val="TOC1"/>
        <w:tabs>
          <w:tab w:val="right" w:leader="dot" w:pos="8296"/>
        </w:tabs>
        <w:rPr>
          <w:rFonts w:asciiTheme="minorHAnsi" w:eastAsiaTheme="minorEastAsia" w:hAnsiTheme="minorHAnsi" w:cstheme="minorBidi"/>
          <w:b w:val="0"/>
          <w:noProof/>
          <w:sz w:val="22"/>
          <w:szCs w:val="22"/>
          <w:lang w:val="fr-BE" w:eastAsia="en-US"/>
        </w:rPr>
      </w:pPr>
      <w:r w:rsidRPr="00ED3D47">
        <w:rPr>
          <w:noProof/>
        </w:rPr>
        <w:t>D</w:t>
      </w:r>
      <w:r w:rsidR="00E40CCC">
        <w:rPr>
          <w:noProof/>
        </w:rPr>
        <w:t>io</w:t>
      </w:r>
      <w:r w:rsidRPr="00ED3D47">
        <w:rPr>
          <w:noProof/>
        </w:rPr>
        <w:t xml:space="preserve"> 2.</w:t>
      </w:r>
      <w:r>
        <w:rPr>
          <w:noProof/>
        </w:rPr>
        <w:t>: Upute za obrasce</w:t>
      </w:r>
      <w:r>
        <w:rPr>
          <w:noProof/>
        </w:rPr>
        <w:tab/>
      </w:r>
      <w:r>
        <w:rPr>
          <w:noProof/>
        </w:rPr>
        <w:fldChar w:fldCharType="begin"/>
      </w:r>
      <w:r>
        <w:rPr>
          <w:noProof/>
        </w:rPr>
        <w:instrText xml:space="preserve"> PAGEREF _Toc30667468 \h </w:instrText>
      </w:r>
      <w:r>
        <w:rPr>
          <w:noProof/>
        </w:rPr>
      </w:r>
      <w:r>
        <w:rPr>
          <w:noProof/>
        </w:rPr>
        <w:fldChar w:fldCharType="separate"/>
      </w:r>
      <w:r>
        <w:rPr>
          <w:noProof/>
        </w:rPr>
        <w:t>16</w:t>
      </w:r>
      <w:r>
        <w:rPr>
          <w:noProof/>
        </w:rP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w:t>
      </w:r>
      <w:r w:rsidRPr="00B62C7B">
        <w:rPr>
          <w:rFonts w:asciiTheme="minorHAnsi" w:eastAsiaTheme="minorEastAsia" w:hAnsiTheme="minorHAnsi" w:cstheme="minorBidi"/>
          <w:sz w:val="22"/>
          <w:szCs w:val="22"/>
          <w:lang w:val="fr-BE" w:eastAsia="en-US"/>
        </w:rPr>
        <w:tab/>
      </w:r>
      <w:r>
        <w:t>Bilanca</w:t>
      </w:r>
      <w:r>
        <w:tab/>
      </w:r>
      <w:r>
        <w:fldChar w:fldCharType="begin"/>
      </w:r>
      <w:r>
        <w:instrText xml:space="preserve"> PAGEREF _Toc30667469 \h </w:instrText>
      </w:r>
      <w:r>
        <w:fldChar w:fldCharType="separate"/>
      </w:r>
      <w:r>
        <w:t>16</w:t>
      </w:r>
      <w:r>
        <w:fldChar w:fldCharType="end"/>
      </w:r>
    </w:p>
    <w:p w:rsidR="00B62C7B" w:rsidRDefault="00B62C7B">
      <w:pPr>
        <w:pStyle w:val="TOC2"/>
        <w:rPr>
          <w:rFonts w:asciiTheme="minorHAnsi" w:eastAsiaTheme="minorEastAsia" w:hAnsiTheme="minorHAnsi" w:cstheme="minorBidi"/>
          <w:sz w:val="22"/>
          <w:szCs w:val="22"/>
          <w:lang w:val="en-US" w:eastAsia="en-US"/>
        </w:rPr>
      </w:pPr>
      <w:r>
        <w:t>1.1.</w:t>
      </w:r>
      <w:r>
        <w:rPr>
          <w:rFonts w:asciiTheme="minorHAnsi" w:eastAsiaTheme="minorEastAsia" w:hAnsiTheme="minorHAnsi" w:cstheme="minorBidi"/>
          <w:sz w:val="22"/>
          <w:szCs w:val="22"/>
          <w:lang w:val="en-US" w:eastAsia="en-US"/>
        </w:rPr>
        <w:tab/>
      </w:r>
      <w:r>
        <w:t>Imovina (1.1.)</w:t>
      </w:r>
      <w:r>
        <w:tab/>
      </w:r>
      <w:r>
        <w:fldChar w:fldCharType="begin"/>
      </w:r>
      <w:r>
        <w:instrText xml:space="preserve"> PAGEREF _Toc30667470 \h </w:instrText>
      </w:r>
      <w:r>
        <w:fldChar w:fldCharType="separate"/>
      </w:r>
      <w:r>
        <w:t>16</w:t>
      </w:r>
      <w:r>
        <w:fldChar w:fldCharType="end"/>
      </w:r>
    </w:p>
    <w:p w:rsidR="00B62C7B" w:rsidRDefault="00B62C7B">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Obveze (1.2.)</w:t>
      </w:r>
      <w:r>
        <w:tab/>
      </w:r>
      <w:r>
        <w:fldChar w:fldCharType="begin"/>
      </w:r>
      <w:r>
        <w:instrText xml:space="preserve"> PAGEREF _Toc30667471 \h </w:instrText>
      </w:r>
      <w:r>
        <w:fldChar w:fldCharType="separate"/>
      </w:r>
      <w:r>
        <w:t>16</w:t>
      </w:r>
      <w:r>
        <w:fldChar w:fldCharType="end"/>
      </w:r>
    </w:p>
    <w:p w:rsidR="00B62C7B" w:rsidRDefault="00B62C7B">
      <w:pPr>
        <w:pStyle w:val="TOC2"/>
        <w:rPr>
          <w:rFonts w:asciiTheme="minorHAnsi" w:eastAsiaTheme="minorEastAsia" w:hAnsiTheme="minorHAnsi" w:cstheme="minorBidi"/>
          <w:sz w:val="22"/>
          <w:szCs w:val="22"/>
          <w:lang w:val="en-US" w:eastAsia="en-US"/>
        </w:rPr>
      </w:pPr>
      <w:r>
        <w:t>1.3.</w:t>
      </w:r>
      <w:r>
        <w:rPr>
          <w:rFonts w:asciiTheme="minorHAnsi" w:eastAsiaTheme="minorEastAsia" w:hAnsiTheme="minorHAnsi" w:cstheme="minorBidi"/>
          <w:sz w:val="22"/>
          <w:szCs w:val="22"/>
          <w:lang w:val="en-US" w:eastAsia="en-US"/>
        </w:rPr>
        <w:tab/>
      </w:r>
      <w:r>
        <w:t>Kapital (1.3.)</w:t>
      </w:r>
      <w:r>
        <w:tab/>
      </w:r>
      <w:r>
        <w:fldChar w:fldCharType="begin"/>
      </w:r>
      <w:r>
        <w:instrText xml:space="preserve"> PAGEREF _Toc30667472 \h </w:instrText>
      </w:r>
      <w:r>
        <w:fldChar w:fldCharType="separate"/>
      </w:r>
      <w:r>
        <w:t>17</w:t>
      </w:r>
      <w:r>
        <w:fldChar w:fldCharType="end"/>
      </w:r>
    </w:p>
    <w:p w:rsidR="00B62C7B" w:rsidRDefault="00B62C7B">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Račun dobiti i gubitka (2.)</w:t>
      </w:r>
      <w:r>
        <w:tab/>
      </w:r>
      <w:r>
        <w:fldChar w:fldCharType="begin"/>
      </w:r>
      <w:r>
        <w:instrText xml:space="preserve"> PAGEREF _Toc30667473 \h </w:instrText>
      </w:r>
      <w:r>
        <w:fldChar w:fldCharType="separate"/>
      </w:r>
      <w:r>
        <w:t>19</w:t>
      </w:r>
      <w:r>
        <w:fldChar w:fldCharType="end"/>
      </w:r>
    </w:p>
    <w:p w:rsidR="00B62C7B" w:rsidRDefault="00B62C7B">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Izvještaj o sveobuhvatnoj dobiti (3.)</w:t>
      </w:r>
      <w:r>
        <w:tab/>
      </w:r>
      <w:r>
        <w:fldChar w:fldCharType="begin"/>
      </w:r>
      <w:r>
        <w:instrText xml:space="preserve"> PAGEREF _Toc30667474 \h </w:instrText>
      </w:r>
      <w:r>
        <w:fldChar w:fldCharType="separate"/>
      </w:r>
      <w:r>
        <w:t>24</w:t>
      </w:r>
      <w:r>
        <w:fldChar w:fldCharType="end"/>
      </w:r>
    </w:p>
    <w:p w:rsidR="00B62C7B" w:rsidRDefault="00B62C7B">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Raščlamba financijske imovine prema instrumentu i prema sektoru druge ugovorne strane (4.)</w:t>
      </w:r>
      <w:r>
        <w:tab/>
      </w:r>
      <w:r>
        <w:fldChar w:fldCharType="begin"/>
      </w:r>
      <w:r>
        <w:instrText xml:space="preserve"> PAGEREF _Toc30667475 \h </w:instrText>
      </w:r>
      <w:r>
        <w:fldChar w:fldCharType="separate"/>
      </w:r>
      <w:r>
        <w:t>26</w:t>
      </w:r>
      <w:r>
        <w:fldChar w:fldCharType="end"/>
      </w:r>
    </w:p>
    <w:p w:rsidR="00B62C7B" w:rsidRDefault="00B62C7B">
      <w:pPr>
        <w:pStyle w:val="TOC2"/>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Raščlamba kredita i predujmova kojima se ne trguje prema proizvodu (5.)</w:t>
      </w:r>
      <w:r>
        <w:tab/>
      </w:r>
      <w:r>
        <w:fldChar w:fldCharType="begin"/>
      </w:r>
      <w:r>
        <w:instrText xml:space="preserve"> PAGEREF _Toc30667476 \h </w:instrText>
      </w:r>
      <w:r>
        <w:fldChar w:fldCharType="separate"/>
      </w:r>
      <w:r>
        <w:t>29</w:t>
      </w:r>
      <w:r>
        <w:fldChar w:fldCharType="end"/>
      </w:r>
    </w:p>
    <w:p w:rsidR="00B62C7B" w:rsidRDefault="00B62C7B">
      <w:pPr>
        <w:pStyle w:val="TOC2"/>
        <w:rPr>
          <w:rFonts w:asciiTheme="minorHAnsi" w:eastAsiaTheme="minorEastAsia" w:hAnsiTheme="minorHAnsi" w:cstheme="minorBidi"/>
          <w:sz w:val="22"/>
          <w:szCs w:val="22"/>
          <w:lang w:val="en-US" w:eastAsia="en-US"/>
        </w:rPr>
      </w:pPr>
      <w:r w:rsidRPr="00ED3D47">
        <w:rPr>
          <w:kern w:val="32"/>
        </w:rPr>
        <w:t>6.</w:t>
      </w:r>
      <w:r>
        <w:rPr>
          <w:rFonts w:asciiTheme="minorHAnsi" w:eastAsiaTheme="minorEastAsia" w:hAnsiTheme="minorHAnsi" w:cstheme="minorBidi"/>
          <w:sz w:val="22"/>
          <w:szCs w:val="22"/>
          <w:lang w:val="en-US" w:eastAsia="en-US"/>
        </w:rPr>
        <w:tab/>
      </w:r>
      <w:r>
        <w:t>Raščlamba kredita i predujmova kojima se ne trguje nefinancijskim društvima prema šiframa djelatnosti (6)</w:t>
      </w:r>
      <w:r>
        <w:tab/>
      </w:r>
      <w:r>
        <w:fldChar w:fldCharType="begin"/>
      </w:r>
      <w:r>
        <w:instrText xml:space="preserve"> PAGEREF _Toc30667477 \h </w:instrText>
      </w:r>
      <w:r>
        <w:fldChar w:fldCharType="separate"/>
      </w:r>
      <w:r>
        <w:t>31</w:t>
      </w:r>
      <w:r>
        <w:fldChar w:fldCharType="end"/>
      </w:r>
    </w:p>
    <w:p w:rsidR="00B62C7B" w:rsidRDefault="00B62C7B">
      <w:pPr>
        <w:pStyle w:val="TOC2"/>
        <w:rPr>
          <w:rFonts w:asciiTheme="minorHAnsi" w:eastAsiaTheme="minorEastAsia" w:hAnsiTheme="minorHAnsi" w:cstheme="minorBidi"/>
          <w:sz w:val="22"/>
          <w:szCs w:val="22"/>
          <w:lang w:val="en-US" w:eastAsia="en-US"/>
        </w:rPr>
      </w:pPr>
      <w:r w:rsidRPr="00ED3D47">
        <w:rPr>
          <w:kern w:val="32"/>
        </w:rPr>
        <w:t>7.</w:t>
      </w:r>
      <w:r>
        <w:rPr>
          <w:rFonts w:asciiTheme="minorHAnsi" w:eastAsiaTheme="minorEastAsia" w:hAnsiTheme="minorHAnsi" w:cstheme="minorBidi"/>
          <w:sz w:val="22"/>
          <w:szCs w:val="22"/>
          <w:lang w:val="en-US" w:eastAsia="en-US"/>
        </w:rPr>
        <w:tab/>
      </w:r>
      <w:r>
        <w:t>Financijska imovina koja podliježe umanjenju vrijednosti koja je dospjela (7.)</w:t>
      </w:r>
      <w:r>
        <w:tab/>
      </w:r>
      <w:r>
        <w:fldChar w:fldCharType="begin"/>
      </w:r>
      <w:r>
        <w:instrText xml:space="preserve"> PAGEREF _Toc30667478 \h </w:instrText>
      </w:r>
      <w:r>
        <w:fldChar w:fldCharType="separate"/>
      </w:r>
      <w:r>
        <w:t>31</w:t>
      </w:r>
      <w:r>
        <w:fldChar w:fldCharType="end"/>
      </w:r>
    </w:p>
    <w:p w:rsidR="00B62C7B" w:rsidRDefault="00B62C7B">
      <w:pPr>
        <w:pStyle w:val="TOC2"/>
        <w:rPr>
          <w:rFonts w:asciiTheme="minorHAnsi" w:eastAsiaTheme="minorEastAsia" w:hAnsiTheme="minorHAnsi" w:cstheme="minorBidi"/>
          <w:sz w:val="22"/>
          <w:szCs w:val="22"/>
          <w:lang w:val="en-US" w:eastAsia="en-US"/>
        </w:rPr>
      </w:pPr>
      <w:r>
        <w:t>8.</w:t>
      </w:r>
      <w:r>
        <w:rPr>
          <w:rFonts w:asciiTheme="minorHAnsi" w:eastAsiaTheme="minorEastAsia" w:hAnsiTheme="minorHAnsi" w:cstheme="minorBidi"/>
          <w:sz w:val="22"/>
          <w:szCs w:val="22"/>
          <w:lang w:val="en-US" w:eastAsia="en-US"/>
        </w:rPr>
        <w:tab/>
      </w:r>
      <w:r>
        <w:t>Raščlamba financijskih obveza (8.)</w:t>
      </w:r>
      <w:r>
        <w:tab/>
      </w:r>
      <w:r>
        <w:fldChar w:fldCharType="begin"/>
      </w:r>
      <w:r>
        <w:instrText xml:space="preserve"> PAGEREF _Toc30667479 \h </w:instrText>
      </w:r>
      <w:r>
        <w:fldChar w:fldCharType="separate"/>
      </w:r>
      <w:r>
        <w:t>32</w:t>
      </w:r>
      <w:r>
        <w:fldChar w:fldCharType="end"/>
      </w:r>
    </w:p>
    <w:p w:rsidR="00B62C7B" w:rsidRDefault="00B62C7B">
      <w:pPr>
        <w:pStyle w:val="TOC2"/>
        <w:rPr>
          <w:rFonts w:asciiTheme="minorHAnsi" w:eastAsiaTheme="minorEastAsia" w:hAnsiTheme="minorHAnsi" w:cstheme="minorBidi"/>
          <w:sz w:val="22"/>
          <w:szCs w:val="22"/>
          <w:lang w:val="en-US" w:eastAsia="en-US"/>
        </w:rPr>
      </w:pPr>
      <w:r>
        <w:t>9.</w:t>
      </w:r>
      <w:r>
        <w:rPr>
          <w:rFonts w:asciiTheme="minorHAnsi" w:eastAsiaTheme="minorEastAsia" w:hAnsiTheme="minorHAnsi" w:cstheme="minorBidi"/>
          <w:sz w:val="22"/>
          <w:szCs w:val="22"/>
          <w:lang w:val="en-US" w:eastAsia="en-US"/>
        </w:rPr>
        <w:tab/>
      </w:r>
      <w:r>
        <w:t>Obveze po kreditima, financijska jamstva i ostale preuzete obveze (9.)</w:t>
      </w:r>
      <w:r>
        <w:tab/>
      </w:r>
      <w:r>
        <w:fldChar w:fldCharType="begin"/>
      </w:r>
      <w:r>
        <w:instrText xml:space="preserve"> PAGEREF _Toc30667480 \h </w:instrText>
      </w:r>
      <w:r>
        <w:fldChar w:fldCharType="separate"/>
      </w:r>
      <w:r>
        <w:t>33</w:t>
      </w:r>
      <w:r>
        <w:fldChar w:fldCharType="end"/>
      </w:r>
    </w:p>
    <w:p w:rsidR="00B62C7B" w:rsidRDefault="00B62C7B">
      <w:pPr>
        <w:pStyle w:val="TOC2"/>
        <w:rPr>
          <w:rFonts w:asciiTheme="minorHAnsi" w:eastAsiaTheme="minorEastAsia" w:hAnsiTheme="minorHAnsi" w:cstheme="minorBidi"/>
          <w:sz w:val="22"/>
          <w:szCs w:val="22"/>
          <w:lang w:val="en-US" w:eastAsia="en-US"/>
        </w:rPr>
      </w:pPr>
      <w:r>
        <w:t>10.</w:t>
      </w:r>
      <w:r>
        <w:rPr>
          <w:rFonts w:asciiTheme="minorHAnsi" w:eastAsiaTheme="minorEastAsia" w:hAnsiTheme="minorHAnsi" w:cstheme="minorBidi"/>
          <w:sz w:val="22"/>
          <w:szCs w:val="22"/>
          <w:lang w:val="en-US" w:eastAsia="en-US"/>
        </w:rPr>
        <w:tab/>
      </w:r>
      <w:r>
        <w:t>Izvedenice i računovodstvo zaštite (10 i 11)</w:t>
      </w:r>
      <w:r>
        <w:tab/>
      </w:r>
      <w:r>
        <w:fldChar w:fldCharType="begin"/>
      </w:r>
      <w:r>
        <w:instrText xml:space="preserve"> PAGEREF _Toc30667481 \h </w:instrText>
      </w:r>
      <w:r>
        <w:fldChar w:fldCharType="separate"/>
      </w:r>
      <w:r>
        <w:t>36</w:t>
      </w:r>
      <w:r>
        <w:fldChar w:fldCharType="end"/>
      </w:r>
    </w:p>
    <w:p w:rsidR="00B62C7B" w:rsidRDefault="00B62C7B">
      <w:pPr>
        <w:pStyle w:val="TOC2"/>
        <w:rPr>
          <w:rFonts w:asciiTheme="minorHAnsi" w:eastAsiaTheme="minorEastAsia" w:hAnsiTheme="minorHAnsi" w:cstheme="minorBidi"/>
          <w:sz w:val="22"/>
          <w:szCs w:val="22"/>
          <w:lang w:val="en-US" w:eastAsia="en-US"/>
        </w:rPr>
      </w:pPr>
      <w:r>
        <w:t>10.1.</w:t>
      </w:r>
      <w:r>
        <w:rPr>
          <w:rFonts w:asciiTheme="minorHAnsi" w:eastAsiaTheme="minorEastAsia" w:hAnsiTheme="minorHAnsi" w:cstheme="minorBidi"/>
          <w:sz w:val="22"/>
          <w:szCs w:val="22"/>
          <w:lang w:val="en-US" w:eastAsia="en-US"/>
        </w:rPr>
        <w:tab/>
      </w:r>
      <w:r>
        <w:t>Klasifikacija izvedenica prema vrsti rizika</w:t>
      </w:r>
      <w:r>
        <w:tab/>
      </w:r>
      <w:r>
        <w:fldChar w:fldCharType="begin"/>
      </w:r>
      <w:r>
        <w:instrText xml:space="preserve"> PAGEREF _Toc30667482 \h </w:instrText>
      </w:r>
      <w:r>
        <w:fldChar w:fldCharType="separate"/>
      </w:r>
      <w:r>
        <w:t>37</w:t>
      </w:r>
      <w:r>
        <w:fldChar w:fldCharType="end"/>
      </w:r>
    </w:p>
    <w:p w:rsidR="00B62C7B" w:rsidRDefault="00B62C7B">
      <w:pPr>
        <w:pStyle w:val="TOC2"/>
        <w:rPr>
          <w:rFonts w:asciiTheme="minorHAnsi" w:eastAsiaTheme="minorEastAsia" w:hAnsiTheme="minorHAnsi" w:cstheme="minorBidi"/>
          <w:sz w:val="22"/>
          <w:szCs w:val="22"/>
          <w:lang w:val="en-US" w:eastAsia="en-US"/>
        </w:rPr>
      </w:pPr>
      <w:r>
        <w:t>10.2.</w:t>
      </w:r>
      <w:r>
        <w:rPr>
          <w:rFonts w:asciiTheme="minorHAnsi" w:eastAsiaTheme="minorEastAsia" w:hAnsiTheme="minorHAnsi" w:cstheme="minorBidi"/>
          <w:sz w:val="22"/>
          <w:szCs w:val="22"/>
          <w:lang w:val="en-US" w:eastAsia="en-US"/>
        </w:rPr>
        <w:tab/>
      </w:r>
      <w:r>
        <w:t>Iznosi koje treba iskazati za izvedenice</w:t>
      </w:r>
      <w:r>
        <w:tab/>
      </w:r>
      <w:r>
        <w:fldChar w:fldCharType="begin"/>
      </w:r>
      <w:r>
        <w:instrText xml:space="preserve"> PAGEREF _Toc30667483 \h </w:instrText>
      </w:r>
      <w:r>
        <w:fldChar w:fldCharType="separate"/>
      </w:r>
      <w:r>
        <w:t>38</w:t>
      </w:r>
      <w:r>
        <w:fldChar w:fldCharType="end"/>
      </w:r>
    </w:p>
    <w:p w:rsidR="00B62C7B" w:rsidRDefault="00B62C7B">
      <w:pPr>
        <w:pStyle w:val="TOC2"/>
        <w:rPr>
          <w:rFonts w:asciiTheme="minorHAnsi" w:eastAsiaTheme="minorEastAsia" w:hAnsiTheme="minorHAnsi" w:cstheme="minorBidi"/>
          <w:sz w:val="22"/>
          <w:szCs w:val="22"/>
          <w:lang w:val="en-US" w:eastAsia="en-US"/>
        </w:rPr>
      </w:pPr>
      <w:r>
        <w:t>10.3.</w:t>
      </w:r>
      <w:r>
        <w:rPr>
          <w:rFonts w:asciiTheme="minorHAnsi" w:eastAsiaTheme="minorEastAsia" w:hAnsiTheme="minorHAnsi" w:cstheme="minorBidi"/>
          <w:sz w:val="22"/>
          <w:szCs w:val="22"/>
          <w:lang w:val="en-US" w:eastAsia="en-US"/>
        </w:rPr>
        <w:tab/>
      </w:r>
      <w:r>
        <w:t>Izvedenice klasificirane kao „ekonomske zaštite”</w:t>
      </w:r>
      <w:r>
        <w:tab/>
      </w:r>
      <w:r>
        <w:fldChar w:fldCharType="begin"/>
      </w:r>
      <w:r>
        <w:instrText xml:space="preserve"> PAGEREF _Toc30667484 \h </w:instrText>
      </w:r>
      <w:r>
        <w:fldChar w:fldCharType="separate"/>
      </w:r>
      <w:r>
        <w:t>40</w:t>
      </w:r>
      <w:r>
        <w:fldChar w:fldCharType="end"/>
      </w:r>
    </w:p>
    <w:p w:rsidR="00B62C7B" w:rsidRDefault="00B62C7B">
      <w:pPr>
        <w:pStyle w:val="TOC2"/>
        <w:rPr>
          <w:rFonts w:asciiTheme="minorHAnsi" w:eastAsiaTheme="minorEastAsia" w:hAnsiTheme="minorHAnsi" w:cstheme="minorBidi"/>
          <w:sz w:val="22"/>
          <w:szCs w:val="22"/>
          <w:lang w:val="en-US" w:eastAsia="en-US"/>
        </w:rPr>
      </w:pPr>
      <w:r>
        <w:t>10.4.</w:t>
      </w:r>
      <w:r>
        <w:rPr>
          <w:rFonts w:asciiTheme="minorHAnsi" w:eastAsiaTheme="minorEastAsia" w:hAnsiTheme="minorHAnsi" w:cstheme="minorBidi"/>
          <w:sz w:val="22"/>
          <w:szCs w:val="22"/>
          <w:lang w:val="en-US" w:eastAsia="en-US"/>
        </w:rPr>
        <w:tab/>
      </w:r>
      <w:r>
        <w:t>Raščlamba izvedenica prema sektoru druge ugovorne strane</w:t>
      </w:r>
      <w:r>
        <w:tab/>
      </w:r>
      <w:r>
        <w:fldChar w:fldCharType="begin"/>
      </w:r>
      <w:r>
        <w:instrText xml:space="preserve"> PAGEREF _Toc30667485 \h </w:instrText>
      </w:r>
      <w:r>
        <w:fldChar w:fldCharType="separate"/>
      </w:r>
      <w:r>
        <w:t>41</w:t>
      </w:r>
      <w:r>
        <w:fldChar w:fldCharType="end"/>
      </w:r>
    </w:p>
    <w:p w:rsidR="00B62C7B" w:rsidRDefault="00B62C7B">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Računovodstvo zaštite u skladu s nacionalnim općeprihvaćenim računovodstvenim načelima (11.2)</w:t>
      </w:r>
      <w:r>
        <w:tab/>
      </w:r>
      <w:r>
        <w:fldChar w:fldCharType="begin"/>
      </w:r>
      <w:r>
        <w:instrText xml:space="preserve"> PAGEREF _Toc30667486 \h </w:instrText>
      </w:r>
      <w:r>
        <w:fldChar w:fldCharType="separate"/>
      </w:r>
      <w:r>
        <w:t>41</w:t>
      </w:r>
      <w:r>
        <w:fldChar w:fldCharType="end"/>
      </w:r>
    </w:p>
    <w:p w:rsidR="00B62C7B" w:rsidRDefault="00B62C7B">
      <w:pPr>
        <w:pStyle w:val="TOC2"/>
        <w:rPr>
          <w:rFonts w:asciiTheme="minorHAnsi" w:eastAsiaTheme="minorEastAsia" w:hAnsiTheme="minorHAnsi" w:cstheme="minorBidi"/>
          <w:sz w:val="22"/>
          <w:szCs w:val="22"/>
          <w:lang w:val="en-US" w:eastAsia="en-US"/>
        </w:rPr>
      </w:pPr>
      <w:r>
        <w:lastRenderedPageBreak/>
        <w:t>10.6.</w:t>
      </w:r>
      <w:r>
        <w:rPr>
          <w:rFonts w:asciiTheme="minorHAnsi" w:eastAsiaTheme="minorEastAsia" w:hAnsiTheme="minorHAnsi" w:cstheme="minorBidi"/>
          <w:sz w:val="22"/>
          <w:szCs w:val="22"/>
          <w:lang w:val="en-US" w:eastAsia="en-US"/>
        </w:rPr>
        <w:tab/>
      </w:r>
      <w:r>
        <w:t>Iznos koji treba iskazati za neizvedene instrumente zaštite od rizika (11.3 i 11.3.1)</w:t>
      </w:r>
      <w:r>
        <w:tab/>
      </w:r>
      <w:r>
        <w:fldChar w:fldCharType="begin"/>
      </w:r>
      <w:r>
        <w:instrText xml:space="preserve"> PAGEREF _Toc30667487 \h </w:instrText>
      </w:r>
      <w:r>
        <w:fldChar w:fldCharType="separate"/>
      </w:r>
      <w:r>
        <w:t>41</w:t>
      </w:r>
      <w:r>
        <w:fldChar w:fldCharType="end"/>
      </w:r>
    </w:p>
    <w:p w:rsidR="00B62C7B" w:rsidRDefault="00B62C7B">
      <w:pPr>
        <w:pStyle w:val="TOC2"/>
        <w:rPr>
          <w:rFonts w:asciiTheme="minorHAnsi" w:eastAsiaTheme="minorEastAsia" w:hAnsiTheme="minorHAnsi" w:cstheme="minorBidi"/>
          <w:sz w:val="22"/>
          <w:szCs w:val="22"/>
          <w:lang w:val="en-US" w:eastAsia="en-US"/>
        </w:rPr>
      </w:pPr>
      <w:r>
        <w:t>10.7.</w:t>
      </w:r>
      <w:r>
        <w:rPr>
          <w:rFonts w:asciiTheme="minorHAnsi" w:eastAsiaTheme="minorEastAsia" w:hAnsiTheme="minorHAnsi" w:cstheme="minorBidi"/>
          <w:sz w:val="22"/>
          <w:szCs w:val="22"/>
          <w:lang w:val="en-US" w:eastAsia="en-US"/>
        </w:rPr>
        <w:tab/>
      </w:r>
      <w:r>
        <w:t>Zaštićene stavke u okviru zaštite fer vrijednosti (11.4)</w:t>
      </w:r>
      <w:r>
        <w:tab/>
      </w:r>
      <w:r>
        <w:fldChar w:fldCharType="begin"/>
      </w:r>
      <w:r>
        <w:instrText xml:space="preserve"> PAGEREF _Toc30667488 \h </w:instrText>
      </w:r>
      <w:r>
        <w:fldChar w:fldCharType="separate"/>
      </w:r>
      <w:r>
        <w:t>41</w:t>
      </w:r>
      <w:r>
        <w:fldChar w:fldCharType="end"/>
      </w:r>
    </w:p>
    <w:p w:rsidR="00B62C7B" w:rsidRDefault="00B62C7B">
      <w:pPr>
        <w:pStyle w:val="TOC2"/>
        <w:rPr>
          <w:rFonts w:asciiTheme="minorHAnsi" w:eastAsiaTheme="minorEastAsia" w:hAnsiTheme="minorHAnsi" w:cstheme="minorBidi"/>
          <w:sz w:val="22"/>
          <w:szCs w:val="22"/>
          <w:lang w:val="en-US" w:eastAsia="en-US"/>
        </w:rPr>
      </w:pPr>
      <w:r w:rsidRPr="00ED3D47">
        <w:rPr>
          <w:kern w:val="32"/>
        </w:rPr>
        <w:t>11.</w:t>
      </w:r>
      <w:r>
        <w:rPr>
          <w:rFonts w:asciiTheme="minorHAnsi" w:eastAsiaTheme="minorEastAsia" w:hAnsiTheme="minorHAnsi" w:cstheme="minorBidi"/>
          <w:sz w:val="22"/>
          <w:szCs w:val="22"/>
          <w:lang w:val="en-US" w:eastAsia="en-US"/>
        </w:rPr>
        <w:tab/>
      </w:r>
      <w:r>
        <w:t>Kretanje ispravaka vrijednosti i rezervacije za kreditne gubitke (12)</w:t>
      </w:r>
      <w:r>
        <w:tab/>
      </w:r>
      <w:r>
        <w:fldChar w:fldCharType="begin"/>
      </w:r>
      <w:r>
        <w:instrText xml:space="preserve"> PAGEREF _Toc30667489 \h </w:instrText>
      </w:r>
      <w:r>
        <w:fldChar w:fldCharType="separate"/>
      </w:r>
      <w:r>
        <w:t>42</w:t>
      </w:r>
      <w:r>
        <w:fldChar w:fldCharType="end"/>
      </w:r>
    </w:p>
    <w:p w:rsidR="00B62C7B" w:rsidRDefault="00B62C7B">
      <w:pPr>
        <w:pStyle w:val="TOC2"/>
        <w:rPr>
          <w:rFonts w:asciiTheme="minorHAnsi" w:eastAsiaTheme="minorEastAsia" w:hAnsiTheme="minorHAnsi" w:cstheme="minorBidi"/>
          <w:sz w:val="22"/>
          <w:szCs w:val="22"/>
          <w:lang w:val="en-US" w:eastAsia="en-US"/>
        </w:rPr>
      </w:pPr>
      <w:r>
        <w:t>11.1.</w:t>
      </w:r>
      <w:r>
        <w:rPr>
          <w:rFonts w:asciiTheme="minorHAnsi" w:eastAsiaTheme="minorEastAsia" w:hAnsiTheme="minorHAnsi" w:cstheme="minorBidi"/>
          <w:sz w:val="22"/>
          <w:szCs w:val="22"/>
          <w:lang w:val="en-US" w:eastAsia="en-US"/>
        </w:rPr>
        <w:tab/>
      </w:r>
      <w:r>
        <w:t>Kretanje ispravaka vrijednosti za kreditne gubitke i umanjenje vrijednosti vlasničkih instrumenata u skladu s nacionalnim općeprihvaćenim računovodstvenim načelima na temelju BAD-a (12.0)</w:t>
      </w:r>
      <w:r>
        <w:tab/>
      </w:r>
      <w:r>
        <w:fldChar w:fldCharType="begin"/>
      </w:r>
      <w:r>
        <w:instrText xml:space="preserve"> PAGEREF _Toc30667490 \h </w:instrText>
      </w:r>
      <w:r>
        <w:fldChar w:fldCharType="separate"/>
      </w:r>
      <w:r>
        <w:t>42</w:t>
      </w:r>
      <w:r>
        <w:fldChar w:fldCharType="end"/>
      </w:r>
    </w:p>
    <w:p w:rsidR="00B62C7B" w:rsidRDefault="00B62C7B">
      <w:pPr>
        <w:pStyle w:val="TOC2"/>
        <w:rPr>
          <w:rFonts w:asciiTheme="minorHAnsi" w:eastAsiaTheme="minorEastAsia" w:hAnsiTheme="minorHAnsi" w:cstheme="minorBidi"/>
          <w:sz w:val="22"/>
          <w:szCs w:val="22"/>
          <w:lang w:val="en-US" w:eastAsia="en-US"/>
        </w:rPr>
      </w:pPr>
      <w:r>
        <w:t>11.2.</w:t>
      </w:r>
      <w:r>
        <w:rPr>
          <w:rFonts w:asciiTheme="minorHAnsi" w:eastAsiaTheme="minorEastAsia" w:hAnsiTheme="minorHAnsi" w:cstheme="minorBidi"/>
          <w:sz w:val="22"/>
          <w:szCs w:val="22"/>
          <w:lang w:val="en-US" w:eastAsia="en-US"/>
        </w:rPr>
        <w:tab/>
      </w:r>
      <w:r>
        <w:t>Kretanje ispravaka vrijednosti i rezervacije za kreditne gubitke na temelju MSFI-ja (12.1)</w:t>
      </w:r>
      <w:r>
        <w:tab/>
      </w:r>
      <w:r>
        <w:fldChar w:fldCharType="begin"/>
      </w:r>
      <w:r>
        <w:instrText xml:space="preserve"> PAGEREF _Toc30667491 \h </w:instrText>
      </w:r>
      <w:r>
        <w:fldChar w:fldCharType="separate"/>
      </w:r>
      <w:r>
        <w:t>43</w:t>
      </w:r>
      <w:r>
        <w:fldChar w:fldCharType="end"/>
      </w:r>
    </w:p>
    <w:p w:rsidR="00B62C7B" w:rsidRDefault="00B62C7B">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Prijenosi između faza umanjenja vrijednosti (prikaz na bruto osnovi) (12.2.)</w:t>
      </w:r>
      <w:r>
        <w:tab/>
      </w:r>
      <w:r>
        <w:fldChar w:fldCharType="begin"/>
      </w:r>
      <w:r>
        <w:instrText xml:space="preserve"> PAGEREF _Toc30667492 \h </w:instrText>
      </w:r>
      <w:r>
        <w:fldChar w:fldCharType="separate"/>
      </w:r>
      <w:r>
        <w:t>45</w:t>
      </w:r>
      <w:r>
        <w:fldChar w:fldCharType="end"/>
      </w:r>
    </w:p>
    <w:p w:rsidR="00B62C7B" w:rsidRDefault="00B62C7B">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Primljeni kolateral i jamstva (13.)</w:t>
      </w:r>
      <w:r>
        <w:tab/>
      </w:r>
      <w:r>
        <w:fldChar w:fldCharType="begin"/>
      </w:r>
      <w:r>
        <w:instrText xml:space="preserve"> PAGEREF _Toc30667493 \h </w:instrText>
      </w:r>
      <w:r>
        <w:fldChar w:fldCharType="separate"/>
      </w:r>
      <w:r>
        <w:t>46</w:t>
      </w:r>
      <w:r>
        <w:fldChar w:fldCharType="end"/>
      </w:r>
    </w:p>
    <w:p w:rsidR="00B62C7B" w:rsidRDefault="00B62C7B">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Raščlamba kolaterala i jamstava prema kreditima i predujmovima osim onih koji se drže radi trgovanja (13.1.)</w:t>
      </w:r>
      <w:r>
        <w:tab/>
      </w:r>
      <w:r>
        <w:fldChar w:fldCharType="begin"/>
      </w:r>
      <w:r>
        <w:instrText xml:space="preserve"> PAGEREF _Toc30667494 \h </w:instrText>
      </w:r>
      <w:r>
        <w:fldChar w:fldCharType="separate"/>
      </w:r>
      <w:r>
        <w:t>46</w:t>
      </w:r>
      <w:r>
        <w:fldChar w:fldCharType="end"/>
      </w:r>
    </w:p>
    <w:p w:rsidR="00B62C7B" w:rsidRDefault="00B62C7B">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Kolateral dobiven u posjed tijekom razdoblja (u posjedu na referentni datum) (13.2.1.)</w:t>
      </w:r>
      <w:r>
        <w:tab/>
      </w:r>
      <w:r>
        <w:fldChar w:fldCharType="begin"/>
      </w:r>
      <w:r>
        <w:instrText xml:space="preserve"> PAGEREF _Toc30667495 \h </w:instrText>
      </w:r>
      <w:r>
        <w:fldChar w:fldCharType="separate"/>
      </w:r>
      <w:r>
        <w:t>47</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12.3.</w:t>
      </w:r>
      <w:r w:rsidRPr="00B62C7B">
        <w:rPr>
          <w:rFonts w:asciiTheme="minorHAnsi" w:eastAsiaTheme="minorEastAsia" w:hAnsiTheme="minorHAnsi" w:cstheme="minorBidi"/>
          <w:sz w:val="22"/>
          <w:szCs w:val="22"/>
          <w:lang w:val="fr-BE" w:eastAsia="en-US"/>
        </w:rPr>
        <w:tab/>
      </w:r>
      <w:r>
        <w:t>Kolaterali dobiveni u posjed kumulativno (13.3.1.)</w:t>
      </w:r>
      <w:r>
        <w:tab/>
      </w:r>
      <w:r>
        <w:fldChar w:fldCharType="begin"/>
      </w:r>
      <w:r>
        <w:instrText xml:space="preserve"> PAGEREF _Toc30667496 \h </w:instrText>
      </w:r>
      <w:r>
        <w:fldChar w:fldCharType="separate"/>
      </w:r>
      <w:r>
        <w:t>47</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rsidRPr="00ED3D47">
        <w:rPr>
          <w:kern w:val="32"/>
        </w:rPr>
        <w:t>13.</w:t>
      </w:r>
      <w:r w:rsidRPr="00B62C7B">
        <w:rPr>
          <w:rFonts w:asciiTheme="minorHAnsi" w:eastAsiaTheme="minorEastAsia" w:hAnsiTheme="minorHAnsi" w:cstheme="minorBidi"/>
          <w:sz w:val="22"/>
          <w:szCs w:val="22"/>
          <w:lang w:val="fr-BE" w:eastAsia="en-US"/>
        </w:rPr>
        <w:tab/>
      </w:r>
      <w:r>
        <w:t>Hijerarhija fer vrijednosti: Financijski instrumenti po fer vrijednosti (14.)</w:t>
      </w:r>
      <w:r>
        <w:tab/>
      </w:r>
      <w:r>
        <w:fldChar w:fldCharType="begin"/>
      </w:r>
      <w:r>
        <w:instrText xml:space="preserve"> PAGEREF _Toc30667497 \h </w:instrText>
      </w:r>
      <w:r>
        <w:fldChar w:fldCharType="separate"/>
      </w:r>
      <w:r>
        <w:t>48</w:t>
      </w:r>
      <w:r>
        <w:fldChar w:fldCharType="end"/>
      </w:r>
    </w:p>
    <w:p w:rsidR="00B62C7B" w:rsidRDefault="00B62C7B">
      <w:pPr>
        <w:pStyle w:val="TOC2"/>
        <w:rPr>
          <w:rFonts w:asciiTheme="minorHAnsi" w:eastAsiaTheme="minorEastAsia" w:hAnsiTheme="minorHAnsi" w:cstheme="minorBidi"/>
          <w:sz w:val="22"/>
          <w:szCs w:val="22"/>
          <w:lang w:val="en-US" w:eastAsia="en-US"/>
        </w:rPr>
      </w:pPr>
      <w:r w:rsidRPr="00ED3D47">
        <w:rPr>
          <w:kern w:val="32"/>
        </w:rPr>
        <w:t>14.</w:t>
      </w:r>
      <w:r>
        <w:rPr>
          <w:rFonts w:asciiTheme="minorHAnsi" w:eastAsiaTheme="minorEastAsia" w:hAnsiTheme="minorHAnsi" w:cstheme="minorBidi"/>
          <w:sz w:val="22"/>
          <w:szCs w:val="22"/>
          <w:lang w:val="en-US" w:eastAsia="en-US"/>
        </w:rPr>
        <w:tab/>
      </w:r>
      <w:r>
        <w:t>Prestanak priznavanja i financijske obveze povezane s prenesenom financijskom imovinom (15.)</w:t>
      </w:r>
      <w:r>
        <w:tab/>
      </w:r>
      <w:r>
        <w:fldChar w:fldCharType="begin"/>
      </w:r>
      <w:r>
        <w:instrText xml:space="preserve"> PAGEREF _Toc30667498 \h </w:instrText>
      </w:r>
      <w:r>
        <w:fldChar w:fldCharType="separate"/>
      </w:r>
      <w:r>
        <w:t>48</w:t>
      </w:r>
      <w:r>
        <w:fldChar w:fldCharType="end"/>
      </w:r>
    </w:p>
    <w:p w:rsidR="00B62C7B" w:rsidRDefault="00B62C7B">
      <w:pPr>
        <w:pStyle w:val="TOC2"/>
        <w:rPr>
          <w:rFonts w:asciiTheme="minorHAnsi" w:eastAsiaTheme="minorEastAsia" w:hAnsiTheme="minorHAnsi" w:cstheme="minorBidi"/>
          <w:sz w:val="22"/>
          <w:szCs w:val="22"/>
          <w:lang w:val="en-US" w:eastAsia="en-US"/>
        </w:rPr>
      </w:pPr>
      <w:r>
        <w:t>15.</w:t>
      </w:r>
      <w:r>
        <w:rPr>
          <w:rFonts w:asciiTheme="minorHAnsi" w:eastAsiaTheme="minorEastAsia" w:hAnsiTheme="minorHAnsi" w:cstheme="minorBidi"/>
          <w:sz w:val="22"/>
          <w:szCs w:val="22"/>
          <w:lang w:val="en-US" w:eastAsia="en-US"/>
        </w:rPr>
        <w:tab/>
      </w:r>
      <w:r>
        <w:t>Raščlamba odabranih stavki računa dobiti i gubitka (16.)</w:t>
      </w:r>
      <w:r>
        <w:tab/>
      </w:r>
      <w:r>
        <w:fldChar w:fldCharType="begin"/>
      </w:r>
      <w:r>
        <w:instrText xml:space="preserve"> PAGEREF _Toc30667499 \h </w:instrText>
      </w:r>
      <w:r>
        <w:fldChar w:fldCharType="separate"/>
      </w:r>
      <w:r>
        <w:t>49</w:t>
      </w:r>
      <w:r>
        <w:fldChar w:fldCharType="end"/>
      </w:r>
    </w:p>
    <w:p w:rsidR="00B62C7B" w:rsidRDefault="00B62C7B">
      <w:pPr>
        <w:pStyle w:val="TOC2"/>
        <w:rPr>
          <w:rFonts w:asciiTheme="minorHAnsi" w:eastAsiaTheme="minorEastAsia" w:hAnsiTheme="minorHAnsi" w:cstheme="minorBidi"/>
          <w:sz w:val="22"/>
          <w:szCs w:val="22"/>
          <w:lang w:val="en-US" w:eastAsia="en-US"/>
        </w:rPr>
      </w:pPr>
      <w:r>
        <w:t>15.1.</w:t>
      </w:r>
      <w:r>
        <w:rPr>
          <w:rFonts w:asciiTheme="minorHAnsi" w:eastAsiaTheme="minorEastAsia" w:hAnsiTheme="minorHAnsi" w:cstheme="minorBidi"/>
          <w:sz w:val="22"/>
          <w:szCs w:val="22"/>
          <w:lang w:val="en-US" w:eastAsia="en-US"/>
        </w:rPr>
        <w:tab/>
      </w:r>
      <w:r>
        <w:t>Kamatni prihodi i rashodi prema instrumentu i sektoru druge ugovorne strane (16.1.)</w:t>
      </w:r>
      <w:r>
        <w:tab/>
      </w:r>
      <w:r>
        <w:fldChar w:fldCharType="begin"/>
      </w:r>
      <w:r>
        <w:instrText xml:space="preserve"> PAGEREF _Toc30667500 \h </w:instrText>
      </w:r>
      <w:r>
        <w:fldChar w:fldCharType="separate"/>
      </w:r>
      <w:r>
        <w:t>49</w:t>
      </w:r>
      <w:r>
        <w:fldChar w:fldCharType="end"/>
      </w:r>
    </w:p>
    <w:p w:rsidR="00B62C7B" w:rsidRDefault="00B62C7B">
      <w:pPr>
        <w:pStyle w:val="TOC2"/>
        <w:rPr>
          <w:rFonts w:asciiTheme="minorHAnsi" w:eastAsiaTheme="minorEastAsia" w:hAnsiTheme="minorHAnsi" w:cstheme="minorBidi"/>
          <w:sz w:val="22"/>
          <w:szCs w:val="22"/>
          <w:lang w:val="en-US" w:eastAsia="en-US"/>
        </w:rPr>
      </w:pPr>
      <w:r>
        <w:t>15.2.</w:t>
      </w:r>
      <w:r>
        <w:rPr>
          <w:rFonts w:asciiTheme="minorHAnsi" w:eastAsiaTheme="minorEastAsia" w:hAnsiTheme="minorHAnsi" w:cstheme="minorBidi"/>
          <w:sz w:val="22"/>
          <w:szCs w:val="22"/>
          <w:lang w:val="en-US" w:eastAsia="en-US"/>
        </w:rPr>
        <w:tab/>
      </w:r>
      <w:r>
        <w:t>Dobici ili gubici po prestanku priznavanja financijske imovine i financijskih obveza koji nisu mjereni po fer vrijednosti kroz dobit ili gubitak prema instrumentu (16.2.)</w:t>
      </w:r>
      <w:r>
        <w:tab/>
      </w:r>
      <w:r>
        <w:fldChar w:fldCharType="begin"/>
      </w:r>
      <w:r>
        <w:instrText xml:space="preserve"> PAGEREF _Toc30667501 \h </w:instrText>
      </w:r>
      <w:r>
        <w:fldChar w:fldCharType="separate"/>
      </w:r>
      <w:r>
        <w:t>50</w:t>
      </w:r>
      <w:r>
        <w:fldChar w:fldCharType="end"/>
      </w:r>
    </w:p>
    <w:p w:rsidR="00B62C7B" w:rsidRDefault="00B62C7B">
      <w:pPr>
        <w:pStyle w:val="TOC2"/>
        <w:rPr>
          <w:rFonts w:asciiTheme="minorHAnsi" w:eastAsiaTheme="minorEastAsia" w:hAnsiTheme="minorHAnsi" w:cstheme="minorBidi"/>
          <w:sz w:val="22"/>
          <w:szCs w:val="22"/>
          <w:lang w:val="en-US" w:eastAsia="en-US"/>
        </w:rPr>
      </w:pPr>
      <w:r>
        <w:t>15.3.</w:t>
      </w:r>
      <w:r>
        <w:rPr>
          <w:rFonts w:asciiTheme="minorHAnsi" w:eastAsiaTheme="minorEastAsia" w:hAnsiTheme="minorHAnsi" w:cstheme="minorBidi"/>
          <w:sz w:val="22"/>
          <w:szCs w:val="22"/>
          <w:lang w:val="en-US" w:eastAsia="en-US"/>
        </w:rPr>
        <w:tab/>
      </w:r>
      <w:r>
        <w:t>Dobici i gubici po financijskoj imovini i financijskim obvezama koje se drže radi trgovanja, financijskoj imovini kojom se trguje i financijskim obvezama kojima se trguje prema instrumentu (16.3.)</w:t>
      </w:r>
      <w:r>
        <w:tab/>
      </w:r>
      <w:r>
        <w:fldChar w:fldCharType="begin"/>
      </w:r>
      <w:r>
        <w:instrText xml:space="preserve"> PAGEREF _Toc30667502 \h </w:instrText>
      </w:r>
      <w:r>
        <w:fldChar w:fldCharType="separate"/>
      </w:r>
      <w:r>
        <w:t>51</w:t>
      </w:r>
      <w:r>
        <w:fldChar w:fldCharType="end"/>
      </w:r>
    </w:p>
    <w:p w:rsidR="00B62C7B" w:rsidRDefault="00B62C7B">
      <w:pPr>
        <w:pStyle w:val="TOC2"/>
        <w:rPr>
          <w:rFonts w:asciiTheme="minorHAnsi" w:eastAsiaTheme="minorEastAsia" w:hAnsiTheme="minorHAnsi" w:cstheme="minorBidi"/>
          <w:sz w:val="22"/>
          <w:szCs w:val="22"/>
          <w:lang w:val="en-US" w:eastAsia="en-US"/>
        </w:rPr>
      </w:pPr>
      <w:r>
        <w:t>15.4.</w:t>
      </w:r>
      <w:r>
        <w:rPr>
          <w:rFonts w:asciiTheme="minorHAnsi" w:eastAsiaTheme="minorEastAsia" w:hAnsiTheme="minorHAnsi" w:cstheme="minorBidi"/>
          <w:sz w:val="22"/>
          <w:szCs w:val="22"/>
          <w:lang w:val="en-US" w:eastAsia="en-US"/>
        </w:rPr>
        <w:tab/>
      </w:r>
      <w:r>
        <w:t>Dobici i gubici po financijskoj imovini i financijskim obvezama koje se drže radi trgovanja, financijskoj imovini kojom se trguje i financijskim obvezama kojima se trguje prema riziku (16.4.)</w:t>
      </w:r>
      <w:r>
        <w:tab/>
      </w:r>
      <w:r>
        <w:fldChar w:fldCharType="begin"/>
      </w:r>
      <w:r>
        <w:instrText xml:space="preserve"> PAGEREF _Toc30667503 \h </w:instrText>
      </w:r>
      <w:r>
        <w:fldChar w:fldCharType="separate"/>
      </w:r>
      <w:r>
        <w:t>51</w:t>
      </w:r>
      <w:r>
        <w:fldChar w:fldCharType="end"/>
      </w:r>
    </w:p>
    <w:p w:rsidR="00B62C7B" w:rsidRDefault="00B62C7B">
      <w:pPr>
        <w:pStyle w:val="TOC2"/>
        <w:rPr>
          <w:rFonts w:asciiTheme="minorHAnsi" w:eastAsiaTheme="minorEastAsia" w:hAnsiTheme="minorHAnsi" w:cstheme="minorBidi"/>
          <w:sz w:val="22"/>
          <w:szCs w:val="22"/>
          <w:lang w:val="en-US" w:eastAsia="en-US"/>
        </w:rPr>
      </w:pPr>
      <w:r>
        <w:t>15.5.</w:t>
      </w:r>
      <w:r>
        <w:rPr>
          <w:rFonts w:asciiTheme="minorHAnsi" w:eastAsiaTheme="minorEastAsia" w:hAnsiTheme="minorHAnsi" w:cstheme="minorBidi"/>
          <w:sz w:val="22"/>
          <w:szCs w:val="22"/>
          <w:lang w:val="en-US" w:eastAsia="en-US"/>
        </w:rPr>
        <w:tab/>
      </w:r>
      <w:r>
        <w:t>Dobici ili gubici po financijskoj imovini kojom se ne trguje koja se obvezno mjeri po fer vrijednosti kroz dobit ili gubitak prema instrumentu (16.4.1.)</w:t>
      </w:r>
      <w:r>
        <w:tab/>
      </w:r>
      <w:r>
        <w:fldChar w:fldCharType="begin"/>
      </w:r>
      <w:r>
        <w:instrText xml:space="preserve"> PAGEREF _Toc30667504 \h </w:instrText>
      </w:r>
      <w:r>
        <w:fldChar w:fldCharType="separate"/>
      </w:r>
      <w:r>
        <w:t>52</w:t>
      </w:r>
      <w:r>
        <w:fldChar w:fldCharType="end"/>
      </w:r>
    </w:p>
    <w:p w:rsidR="00B62C7B" w:rsidRDefault="00B62C7B">
      <w:pPr>
        <w:pStyle w:val="TOC2"/>
        <w:rPr>
          <w:rFonts w:asciiTheme="minorHAnsi" w:eastAsiaTheme="minorEastAsia" w:hAnsiTheme="minorHAnsi" w:cstheme="minorBidi"/>
          <w:sz w:val="22"/>
          <w:szCs w:val="22"/>
          <w:lang w:val="en-US" w:eastAsia="en-US"/>
        </w:rPr>
      </w:pPr>
      <w:r>
        <w:t>15.6.</w:t>
      </w:r>
      <w:r>
        <w:rPr>
          <w:rFonts w:asciiTheme="minorHAnsi" w:eastAsiaTheme="minorEastAsia" w:hAnsiTheme="minorHAnsi" w:cstheme="minorBidi"/>
          <w:sz w:val="22"/>
          <w:szCs w:val="22"/>
          <w:lang w:val="en-US" w:eastAsia="en-US"/>
        </w:rPr>
        <w:tab/>
      </w:r>
      <w:r>
        <w:t>Dobici ili gubici po financijskoj imovini i financijskim obvezama po fer vrijednosti u dobiti ili gubitku prema instrumentu (16.5.)</w:t>
      </w:r>
      <w:r>
        <w:tab/>
      </w:r>
      <w:r>
        <w:fldChar w:fldCharType="begin"/>
      </w:r>
      <w:r>
        <w:instrText xml:space="preserve"> PAGEREF _Toc30667505 \h </w:instrText>
      </w:r>
      <w:r>
        <w:fldChar w:fldCharType="separate"/>
      </w:r>
      <w:r>
        <w:t>52</w:t>
      </w:r>
      <w:r>
        <w:fldChar w:fldCharType="end"/>
      </w:r>
    </w:p>
    <w:p w:rsidR="00B62C7B" w:rsidRDefault="00B62C7B">
      <w:pPr>
        <w:pStyle w:val="TOC2"/>
        <w:rPr>
          <w:rFonts w:asciiTheme="minorHAnsi" w:eastAsiaTheme="minorEastAsia" w:hAnsiTheme="minorHAnsi" w:cstheme="minorBidi"/>
          <w:sz w:val="22"/>
          <w:szCs w:val="22"/>
          <w:lang w:val="en-US" w:eastAsia="en-US"/>
        </w:rPr>
      </w:pPr>
      <w:r>
        <w:t>15.7.</w:t>
      </w:r>
      <w:r>
        <w:rPr>
          <w:rFonts w:asciiTheme="minorHAnsi" w:eastAsiaTheme="minorEastAsia" w:hAnsiTheme="minorHAnsi" w:cstheme="minorBidi"/>
          <w:sz w:val="22"/>
          <w:szCs w:val="22"/>
          <w:lang w:val="en-US" w:eastAsia="en-US"/>
        </w:rPr>
        <w:tab/>
      </w:r>
      <w:r>
        <w:t>Dobici ili gubici od računovodstva zaštite (16.6.)</w:t>
      </w:r>
      <w:r>
        <w:tab/>
      </w:r>
      <w:r>
        <w:fldChar w:fldCharType="begin"/>
      </w:r>
      <w:r>
        <w:instrText xml:space="preserve"> PAGEREF _Toc30667506 \h </w:instrText>
      </w:r>
      <w:r>
        <w:fldChar w:fldCharType="separate"/>
      </w:r>
      <w:r>
        <w:t>52</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15.8.</w:t>
      </w:r>
      <w:r w:rsidRPr="00B62C7B">
        <w:rPr>
          <w:rFonts w:asciiTheme="minorHAnsi" w:eastAsiaTheme="minorEastAsia" w:hAnsiTheme="minorHAnsi" w:cstheme="minorBidi"/>
          <w:sz w:val="22"/>
          <w:szCs w:val="22"/>
          <w:lang w:val="fr-BE" w:eastAsia="en-US"/>
        </w:rPr>
        <w:tab/>
      </w:r>
      <w:r>
        <w:t>Umanjenje vrijednosti nefinancijske imovine (16.7.)</w:t>
      </w:r>
      <w:r>
        <w:tab/>
      </w:r>
      <w:r>
        <w:fldChar w:fldCharType="begin"/>
      </w:r>
      <w:r>
        <w:instrText xml:space="preserve"> PAGEREF _Toc30667507 \h </w:instrText>
      </w:r>
      <w:r>
        <w:fldChar w:fldCharType="separate"/>
      </w:r>
      <w:r>
        <w:t>53</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15.9.</w:t>
      </w:r>
      <w:r w:rsidRPr="00B62C7B">
        <w:rPr>
          <w:rFonts w:asciiTheme="minorHAnsi" w:eastAsiaTheme="minorEastAsia" w:hAnsiTheme="minorHAnsi" w:cstheme="minorBidi"/>
          <w:sz w:val="22"/>
          <w:szCs w:val="22"/>
          <w:lang w:val="fr-BE" w:eastAsia="en-US"/>
        </w:rPr>
        <w:tab/>
      </w:r>
      <w:r>
        <w:t>Drugi administrativni rashodi (16.8.)</w:t>
      </w:r>
      <w:r>
        <w:tab/>
      </w:r>
      <w:r>
        <w:fldChar w:fldCharType="begin"/>
      </w:r>
      <w:r>
        <w:instrText xml:space="preserve"> PAGEREF _Toc30667508 \h </w:instrText>
      </w:r>
      <w:r>
        <w:fldChar w:fldCharType="separate"/>
      </w:r>
      <w:r>
        <w:t>53</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16.</w:t>
      </w:r>
      <w:r w:rsidRPr="00B62C7B">
        <w:rPr>
          <w:rFonts w:asciiTheme="minorHAnsi" w:eastAsiaTheme="minorEastAsia" w:hAnsiTheme="minorHAnsi" w:cstheme="minorBidi"/>
          <w:sz w:val="22"/>
          <w:szCs w:val="22"/>
          <w:lang w:val="fr-BE" w:eastAsia="en-US"/>
        </w:rPr>
        <w:tab/>
      </w:r>
      <w:r>
        <w:t>Usklađivanje između opsega računovodstvene konsolidacije i bonitetne (CRR) konsolidacije (17.)</w:t>
      </w:r>
      <w:r>
        <w:tab/>
      </w:r>
      <w:r>
        <w:fldChar w:fldCharType="begin"/>
      </w:r>
      <w:r>
        <w:instrText xml:space="preserve"> PAGEREF _Toc30667509 \h </w:instrText>
      </w:r>
      <w:r>
        <w:fldChar w:fldCharType="separate"/>
      </w:r>
      <w:r>
        <w:t>54</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17.</w:t>
      </w:r>
      <w:r w:rsidRPr="00B62C7B">
        <w:rPr>
          <w:rFonts w:asciiTheme="minorHAnsi" w:eastAsiaTheme="minorEastAsia" w:hAnsiTheme="minorHAnsi" w:cstheme="minorBidi"/>
          <w:sz w:val="22"/>
          <w:szCs w:val="22"/>
          <w:lang w:val="fr-BE" w:eastAsia="en-US"/>
        </w:rPr>
        <w:tab/>
      </w:r>
      <w:r>
        <w:t>Neprihodujuće izloženosti (18.)</w:t>
      </w:r>
      <w:r>
        <w:tab/>
      </w:r>
      <w:r>
        <w:fldChar w:fldCharType="begin"/>
      </w:r>
      <w:r>
        <w:instrText xml:space="preserve"> PAGEREF _Toc30667510 \h </w:instrText>
      </w:r>
      <w:r>
        <w:fldChar w:fldCharType="separate"/>
      </w:r>
      <w:r>
        <w:t>55</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17.1.</w:t>
      </w:r>
      <w:r w:rsidRPr="00B62C7B">
        <w:rPr>
          <w:rFonts w:asciiTheme="minorHAnsi" w:eastAsiaTheme="minorEastAsia" w:hAnsiTheme="minorHAnsi" w:cstheme="minorBidi"/>
          <w:sz w:val="22"/>
          <w:szCs w:val="22"/>
          <w:lang w:val="fr-BE" w:eastAsia="en-US"/>
        </w:rPr>
        <w:tab/>
      </w:r>
      <w:r>
        <w:t>Informacije o prihodujućim i neprihodujućim izloženostima (18.0.)</w:t>
      </w:r>
      <w:r>
        <w:tab/>
      </w:r>
      <w:r>
        <w:fldChar w:fldCharType="begin"/>
      </w:r>
      <w:r>
        <w:instrText xml:space="preserve"> PAGEREF _Toc30667511 \h </w:instrText>
      </w:r>
      <w:r>
        <w:fldChar w:fldCharType="separate"/>
      </w:r>
      <w:r>
        <w:t>55</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17.2.</w:t>
      </w:r>
      <w:r w:rsidRPr="00B62C7B">
        <w:rPr>
          <w:rFonts w:asciiTheme="minorHAnsi" w:eastAsiaTheme="minorEastAsia" w:hAnsiTheme="minorHAnsi" w:cstheme="minorBidi"/>
          <w:sz w:val="22"/>
          <w:szCs w:val="22"/>
          <w:lang w:val="fr-BE" w:eastAsia="en-US"/>
        </w:rPr>
        <w:tab/>
      </w:r>
      <w:r>
        <w:t>Priljevi i odljevi od neprihodujućih izloženosti – krediti i predujmovi prema sektoru druge ugovorne strane (18.1.)</w:t>
      </w:r>
      <w:r>
        <w:tab/>
      </w:r>
      <w:r>
        <w:fldChar w:fldCharType="begin"/>
      </w:r>
      <w:r>
        <w:instrText xml:space="preserve"> PAGEREF _Toc30667512 \h </w:instrText>
      </w:r>
      <w:r>
        <w:fldChar w:fldCharType="separate"/>
      </w:r>
      <w:r>
        <w:t>60</w:t>
      </w:r>
      <w:r>
        <w:fldChar w:fldCharType="end"/>
      </w:r>
    </w:p>
    <w:p w:rsidR="00B62C7B" w:rsidRDefault="00B62C7B">
      <w:pPr>
        <w:pStyle w:val="TOC2"/>
        <w:rPr>
          <w:rFonts w:asciiTheme="minorHAnsi" w:eastAsiaTheme="minorEastAsia" w:hAnsiTheme="minorHAnsi" w:cstheme="minorBidi"/>
          <w:sz w:val="22"/>
          <w:szCs w:val="22"/>
          <w:lang w:val="en-US" w:eastAsia="en-US"/>
        </w:rPr>
      </w:pPr>
      <w:r>
        <w:t>17.3.</w:t>
      </w:r>
      <w:r>
        <w:rPr>
          <w:rFonts w:asciiTheme="minorHAnsi" w:eastAsiaTheme="minorEastAsia" w:hAnsiTheme="minorHAnsi" w:cstheme="minorBidi"/>
          <w:sz w:val="22"/>
          <w:szCs w:val="22"/>
          <w:lang w:val="en-US" w:eastAsia="en-US"/>
        </w:rPr>
        <w:tab/>
      </w:r>
      <w:r>
        <w:t>Krediti za poslovne nekretnine i dodatne informacije o kreditima osiguranim nekretninama (18.2.)</w:t>
      </w:r>
      <w:r>
        <w:tab/>
      </w:r>
      <w:r>
        <w:fldChar w:fldCharType="begin"/>
      </w:r>
      <w:r>
        <w:instrText xml:space="preserve"> PAGEREF _Toc30667513 \h </w:instrText>
      </w:r>
      <w:r>
        <w:fldChar w:fldCharType="separate"/>
      </w:r>
      <w:r>
        <w:t>62</w:t>
      </w:r>
      <w:r>
        <w:fldChar w:fldCharType="end"/>
      </w:r>
    </w:p>
    <w:p w:rsidR="00B62C7B" w:rsidRDefault="00B62C7B">
      <w:pPr>
        <w:pStyle w:val="TOC2"/>
        <w:rPr>
          <w:rFonts w:asciiTheme="minorHAnsi" w:eastAsiaTheme="minorEastAsia" w:hAnsiTheme="minorHAnsi" w:cstheme="minorBidi"/>
          <w:sz w:val="22"/>
          <w:szCs w:val="22"/>
          <w:lang w:val="en-US" w:eastAsia="en-US"/>
        </w:rPr>
      </w:pPr>
      <w:r>
        <w:t>18.</w:t>
      </w:r>
      <w:r>
        <w:rPr>
          <w:rFonts w:asciiTheme="minorHAnsi" w:eastAsiaTheme="minorEastAsia" w:hAnsiTheme="minorHAnsi" w:cstheme="minorBidi"/>
          <w:sz w:val="22"/>
          <w:szCs w:val="22"/>
          <w:lang w:val="en-US" w:eastAsia="en-US"/>
        </w:rPr>
        <w:tab/>
      </w:r>
      <w:r>
        <w:t>Restrukturirane izloženosti (19.)</w:t>
      </w:r>
      <w:r>
        <w:tab/>
      </w:r>
      <w:r>
        <w:fldChar w:fldCharType="begin"/>
      </w:r>
      <w:r>
        <w:instrText xml:space="preserve"> PAGEREF _Toc30667514 \h </w:instrText>
      </w:r>
      <w:r>
        <w:fldChar w:fldCharType="separate"/>
      </w:r>
      <w:r>
        <w:t>62</w:t>
      </w:r>
      <w:r>
        <w:fldChar w:fldCharType="end"/>
      </w:r>
    </w:p>
    <w:p w:rsidR="00B62C7B" w:rsidRDefault="00B62C7B">
      <w:pPr>
        <w:pStyle w:val="TOC2"/>
        <w:rPr>
          <w:rFonts w:asciiTheme="minorHAnsi" w:eastAsiaTheme="minorEastAsia" w:hAnsiTheme="minorHAnsi" w:cstheme="minorBidi"/>
          <w:sz w:val="22"/>
          <w:szCs w:val="22"/>
          <w:lang w:val="en-US" w:eastAsia="en-US"/>
        </w:rPr>
      </w:pPr>
      <w:r>
        <w:t>19.</w:t>
      </w:r>
      <w:r>
        <w:rPr>
          <w:rFonts w:asciiTheme="minorHAnsi" w:eastAsiaTheme="minorEastAsia" w:hAnsiTheme="minorHAnsi" w:cstheme="minorBidi"/>
          <w:sz w:val="22"/>
          <w:szCs w:val="22"/>
          <w:lang w:val="en-US" w:eastAsia="en-US"/>
        </w:rPr>
        <w:tab/>
      </w:r>
      <w:r>
        <w:t>Geografska raščlamba (20.)</w:t>
      </w:r>
      <w:r>
        <w:tab/>
      </w:r>
      <w:r>
        <w:fldChar w:fldCharType="begin"/>
      </w:r>
      <w:r>
        <w:instrText xml:space="preserve"> PAGEREF _Toc30667515 \h </w:instrText>
      </w:r>
      <w:r>
        <w:fldChar w:fldCharType="separate"/>
      </w:r>
      <w:r>
        <w:t>67</w:t>
      </w:r>
      <w:r>
        <w:fldChar w:fldCharType="end"/>
      </w:r>
    </w:p>
    <w:p w:rsidR="00B62C7B" w:rsidRDefault="00B62C7B">
      <w:pPr>
        <w:pStyle w:val="TOC2"/>
        <w:rPr>
          <w:rFonts w:asciiTheme="minorHAnsi" w:eastAsiaTheme="minorEastAsia" w:hAnsiTheme="minorHAnsi" w:cstheme="minorBidi"/>
          <w:sz w:val="22"/>
          <w:szCs w:val="22"/>
          <w:lang w:val="en-US" w:eastAsia="en-US"/>
        </w:rPr>
      </w:pPr>
      <w:r>
        <w:t>19.1.</w:t>
      </w:r>
      <w:r>
        <w:rPr>
          <w:rFonts w:asciiTheme="minorHAnsi" w:eastAsiaTheme="minorEastAsia" w:hAnsiTheme="minorHAnsi" w:cstheme="minorBidi"/>
          <w:sz w:val="22"/>
          <w:szCs w:val="22"/>
          <w:lang w:val="en-US" w:eastAsia="en-US"/>
        </w:rPr>
        <w:tab/>
      </w:r>
      <w:r>
        <w:t>Geografska raščlamba prema mjestu poslovanja (20.1. – 20.3.)</w:t>
      </w:r>
      <w:r>
        <w:tab/>
      </w:r>
      <w:r>
        <w:fldChar w:fldCharType="begin"/>
      </w:r>
      <w:r>
        <w:instrText xml:space="preserve"> PAGEREF _Toc30667516 \h </w:instrText>
      </w:r>
      <w:r>
        <w:fldChar w:fldCharType="separate"/>
      </w:r>
      <w:r>
        <w:t>67</w:t>
      </w:r>
      <w:r>
        <w:fldChar w:fldCharType="end"/>
      </w:r>
    </w:p>
    <w:p w:rsidR="00B62C7B" w:rsidRDefault="00B62C7B">
      <w:pPr>
        <w:pStyle w:val="TOC2"/>
        <w:rPr>
          <w:rFonts w:asciiTheme="minorHAnsi" w:eastAsiaTheme="minorEastAsia" w:hAnsiTheme="minorHAnsi" w:cstheme="minorBidi"/>
          <w:sz w:val="22"/>
          <w:szCs w:val="22"/>
          <w:lang w:val="en-US" w:eastAsia="en-US"/>
        </w:rPr>
      </w:pPr>
      <w:r>
        <w:lastRenderedPageBreak/>
        <w:t>19.2.</w:t>
      </w:r>
      <w:r>
        <w:rPr>
          <w:rFonts w:asciiTheme="minorHAnsi" w:eastAsiaTheme="minorEastAsia" w:hAnsiTheme="minorHAnsi" w:cstheme="minorBidi"/>
          <w:sz w:val="22"/>
          <w:szCs w:val="22"/>
          <w:lang w:val="en-US" w:eastAsia="en-US"/>
        </w:rPr>
        <w:tab/>
      </w:r>
      <w:r>
        <w:t>Geografska raščlamba prema rezidentnosti druge ugovorne strane (20.4. – 20.7.)</w:t>
      </w:r>
      <w:r>
        <w:tab/>
      </w:r>
      <w:r>
        <w:fldChar w:fldCharType="begin"/>
      </w:r>
      <w:r>
        <w:instrText xml:space="preserve"> PAGEREF _Toc30667517 \h </w:instrText>
      </w:r>
      <w:r>
        <w:fldChar w:fldCharType="separate"/>
      </w:r>
      <w:r>
        <w:t>67</w:t>
      </w:r>
      <w:r>
        <w:fldChar w:fldCharType="end"/>
      </w:r>
    </w:p>
    <w:p w:rsidR="00B62C7B" w:rsidRDefault="00B62C7B">
      <w:pPr>
        <w:pStyle w:val="TOC2"/>
        <w:rPr>
          <w:rFonts w:asciiTheme="minorHAnsi" w:eastAsiaTheme="minorEastAsia" w:hAnsiTheme="minorHAnsi" w:cstheme="minorBidi"/>
          <w:sz w:val="22"/>
          <w:szCs w:val="22"/>
          <w:lang w:val="en-US" w:eastAsia="en-US"/>
        </w:rPr>
      </w:pPr>
      <w:r>
        <w:t>20.</w:t>
      </w:r>
      <w:r>
        <w:rPr>
          <w:rFonts w:asciiTheme="minorHAnsi" w:eastAsiaTheme="minorEastAsia" w:hAnsiTheme="minorHAnsi" w:cstheme="minorBidi"/>
          <w:sz w:val="22"/>
          <w:szCs w:val="22"/>
          <w:lang w:val="en-US" w:eastAsia="en-US"/>
        </w:rPr>
        <w:tab/>
      </w:r>
      <w:r>
        <w:t>Materijalna i nematerijalna imovina: imovina u operativnom najmu (21.)</w:t>
      </w:r>
      <w:r>
        <w:tab/>
      </w:r>
      <w:r>
        <w:fldChar w:fldCharType="begin"/>
      </w:r>
      <w:r>
        <w:instrText xml:space="preserve"> PAGEREF _Toc30667518 \h </w:instrText>
      </w:r>
      <w:r>
        <w:fldChar w:fldCharType="separate"/>
      </w:r>
      <w:r>
        <w:t>68</w:t>
      </w:r>
      <w:r>
        <w:fldChar w:fldCharType="end"/>
      </w:r>
    </w:p>
    <w:p w:rsidR="00B62C7B" w:rsidRDefault="00B62C7B">
      <w:pPr>
        <w:pStyle w:val="TOC2"/>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Upravljanje imovinom, skrbništvo i ostale servisne funkcije (22.)</w:t>
      </w:r>
      <w:r>
        <w:tab/>
      </w:r>
      <w:r>
        <w:fldChar w:fldCharType="begin"/>
      </w:r>
      <w:r>
        <w:instrText xml:space="preserve"> PAGEREF _Toc30667519 \h </w:instrText>
      </w:r>
      <w:r>
        <w:fldChar w:fldCharType="separate"/>
      </w:r>
      <w:r>
        <w:t>68</w:t>
      </w:r>
      <w:r>
        <w:fldChar w:fldCharType="end"/>
      </w:r>
    </w:p>
    <w:p w:rsidR="00B62C7B" w:rsidRDefault="00B62C7B">
      <w:pPr>
        <w:pStyle w:val="TOC2"/>
        <w:rPr>
          <w:rFonts w:asciiTheme="minorHAnsi" w:eastAsiaTheme="minorEastAsia" w:hAnsiTheme="minorHAnsi" w:cstheme="minorBidi"/>
          <w:sz w:val="22"/>
          <w:szCs w:val="22"/>
          <w:lang w:val="en-US" w:eastAsia="en-US"/>
        </w:rPr>
      </w:pPr>
      <w:r>
        <w:t>21.1.</w:t>
      </w:r>
      <w:r>
        <w:rPr>
          <w:rFonts w:asciiTheme="minorHAnsi" w:eastAsiaTheme="minorEastAsia" w:hAnsiTheme="minorHAnsi" w:cstheme="minorBidi"/>
          <w:sz w:val="22"/>
          <w:szCs w:val="22"/>
          <w:lang w:val="en-US" w:eastAsia="en-US"/>
        </w:rPr>
        <w:tab/>
      </w:r>
      <w:r>
        <w:t>Prihodi i rashodi od naknada i provizija prema djelatnosti (22.1.)</w:t>
      </w:r>
      <w:r>
        <w:tab/>
      </w:r>
      <w:r>
        <w:fldChar w:fldCharType="begin"/>
      </w:r>
      <w:r>
        <w:instrText xml:space="preserve"> PAGEREF _Toc30667520 \h </w:instrText>
      </w:r>
      <w:r>
        <w:fldChar w:fldCharType="separate"/>
      </w:r>
      <w:r>
        <w:t>68</w:t>
      </w:r>
      <w:r>
        <w:fldChar w:fldCharType="end"/>
      </w:r>
    </w:p>
    <w:p w:rsidR="00B62C7B" w:rsidRDefault="00B62C7B">
      <w:pPr>
        <w:pStyle w:val="TOC2"/>
        <w:rPr>
          <w:rFonts w:asciiTheme="minorHAnsi" w:eastAsiaTheme="minorEastAsia" w:hAnsiTheme="minorHAnsi" w:cstheme="minorBidi"/>
          <w:sz w:val="22"/>
          <w:szCs w:val="22"/>
          <w:lang w:val="en-US" w:eastAsia="en-US"/>
        </w:rPr>
      </w:pPr>
      <w:r>
        <w:t>21.2.</w:t>
      </w:r>
      <w:r>
        <w:rPr>
          <w:rFonts w:asciiTheme="minorHAnsi" w:eastAsiaTheme="minorEastAsia" w:hAnsiTheme="minorHAnsi" w:cstheme="minorBidi"/>
          <w:sz w:val="22"/>
          <w:szCs w:val="22"/>
          <w:lang w:val="en-US" w:eastAsia="en-US"/>
        </w:rPr>
        <w:tab/>
      </w:r>
      <w:r>
        <w:t>Imovina uključena u pružanje usluga (22.2.)</w:t>
      </w:r>
      <w:r>
        <w:tab/>
      </w:r>
      <w:r>
        <w:fldChar w:fldCharType="begin"/>
      </w:r>
      <w:r>
        <w:instrText xml:space="preserve"> PAGEREF _Toc30667521 \h </w:instrText>
      </w:r>
      <w:r>
        <w:fldChar w:fldCharType="separate"/>
      </w:r>
      <w:r>
        <w:t>71</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22.</w:t>
      </w:r>
      <w:r w:rsidRPr="00B62C7B">
        <w:rPr>
          <w:rFonts w:asciiTheme="minorHAnsi" w:eastAsiaTheme="minorEastAsia" w:hAnsiTheme="minorHAnsi" w:cstheme="minorBidi"/>
          <w:sz w:val="22"/>
          <w:szCs w:val="22"/>
          <w:lang w:val="fr-BE" w:eastAsia="en-US"/>
        </w:rPr>
        <w:tab/>
      </w:r>
      <w:r>
        <w:t>Udjeli u nekonsolidiranim strukturiranim subjektima (30.)</w:t>
      </w:r>
      <w:r>
        <w:tab/>
      </w:r>
      <w:r>
        <w:fldChar w:fldCharType="begin"/>
      </w:r>
      <w:r>
        <w:instrText xml:space="preserve"> PAGEREF _Toc30667522 \h </w:instrText>
      </w:r>
      <w:r>
        <w:fldChar w:fldCharType="separate"/>
      </w:r>
      <w:r>
        <w:t>72</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23.</w:t>
      </w:r>
      <w:r w:rsidRPr="00B62C7B">
        <w:rPr>
          <w:rFonts w:asciiTheme="minorHAnsi" w:eastAsiaTheme="minorEastAsia" w:hAnsiTheme="minorHAnsi" w:cstheme="minorBidi"/>
          <w:sz w:val="22"/>
          <w:szCs w:val="22"/>
          <w:lang w:val="fr-BE" w:eastAsia="en-US"/>
        </w:rPr>
        <w:tab/>
      </w:r>
      <w:r>
        <w:t>Povezane strane (31.)</w:t>
      </w:r>
      <w:r>
        <w:tab/>
      </w:r>
      <w:r>
        <w:fldChar w:fldCharType="begin"/>
      </w:r>
      <w:r>
        <w:instrText xml:space="preserve"> PAGEREF _Toc30667523 \h </w:instrText>
      </w:r>
      <w:r>
        <w:fldChar w:fldCharType="separate"/>
      </w:r>
      <w:r>
        <w:t>72</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23.1.</w:t>
      </w:r>
      <w:r w:rsidRPr="00B62C7B">
        <w:rPr>
          <w:rFonts w:asciiTheme="minorHAnsi" w:eastAsiaTheme="minorEastAsia" w:hAnsiTheme="minorHAnsi" w:cstheme="minorBidi"/>
          <w:sz w:val="22"/>
          <w:szCs w:val="22"/>
          <w:lang w:val="fr-BE" w:eastAsia="en-US"/>
        </w:rPr>
        <w:tab/>
      </w:r>
      <w:r>
        <w:t>Povezane strane: dugovanja i potraživanja (31.1.)</w:t>
      </w:r>
      <w:r>
        <w:tab/>
      </w:r>
      <w:r>
        <w:fldChar w:fldCharType="begin"/>
      </w:r>
      <w:r>
        <w:instrText xml:space="preserve"> PAGEREF _Toc30667524 \h </w:instrText>
      </w:r>
      <w:r>
        <w:fldChar w:fldCharType="separate"/>
      </w:r>
      <w:r>
        <w:t>72</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23.2.</w:t>
      </w:r>
      <w:r w:rsidRPr="00B62C7B">
        <w:rPr>
          <w:rFonts w:asciiTheme="minorHAnsi" w:eastAsiaTheme="minorEastAsia" w:hAnsiTheme="minorHAnsi" w:cstheme="minorBidi"/>
          <w:sz w:val="22"/>
          <w:szCs w:val="22"/>
          <w:lang w:val="fr-BE" w:eastAsia="en-US"/>
        </w:rPr>
        <w:tab/>
      </w:r>
      <w:r>
        <w:t>Povezane strane: rashodi i prihodi od transakcija s tim stranama (31.2.)</w:t>
      </w:r>
      <w:r>
        <w:tab/>
      </w:r>
      <w:r>
        <w:fldChar w:fldCharType="begin"/>
      </w:r>
      <w:r>
        <w:instrText xml:space="preserve"> PAGEREF _Toc30667525 \h </w:instrText>
      </w:r>
      <w:r>
        <w:fldChar w:fldCharType="separate"/>
      </w:r>
      <w:r>
        <w:t>73</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24.</w:t>
      </w:r>
      <w:r w:rsidRPr="00B62C7B">
        <w:rPr>
          <w:rFonts w:asciiTheme="minorHAnsi" w:eastAsiaTheme="minorEastAsia" w:hAnsiTheme="minorHAnsi" w:cstheme="minorBidi"/>
          <w:sz w:val="22"/>
          <w:szCs w:val="22"/>
          <w:lang w:val="fr-BE" w:eastAsia="en-US"/>
        </w:rPr>
        <w:tab/>
      </w:r>
      <w:r>
        <w:t>Struktura grupe (40.)</w:t>
      </w:r>
      <w:r>
        <w:tab/>
      </w:r>
      <w:r>
        <w:fldChar w:fldCharType="begin"/>
      </w:r>
      <w:r>
        <w:instrText xml:space="preserve"> PAGEREF _Toc30667526 \h </w:instrText>
      </w:r>
      <w:r>
        <w:fldChar w:fldCharType="separate"/>
      </w:r>
      <w:r>
        <w:t>73</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24.1.</w:t>
      </w:r>
      <w:r w:rsidRPr="00B62C7B">
        <w:rPr>
          <w:rFonts w:asciiTheme="minorHAnsi" w:eastAsiaTheme="minorEastAsia" w:hAnsiTheme="minorHAnsi" w:cstheme="minorBidi"/>
          <w:sz w:val="22"/>
          <w:szCs w:val="22"/>
          <w:lang w:val="fr-BE" w:eastAsia="en-US"/>
        </w:rPr>
        <w:tab/>
      </w:r>
      <w:r>
        <w:t>Struktura grupe: „subjekt po subjekt” (40.1.)</w:t>
      </w:r>
      <w:r>
        <w:tab/>
      </w:r>
      <w:r>
        <w:fldChar w:fldCharType="begin"/>
      </w:r>
      <w:r>
        <w:instrText xml:space="preserve"> PAGEREF _Toc30667527 \h </w:instrText>
      </w:r>
      <w:r>
        <w:fldChar w:fldCharType="separate"/>
      </w:r>
      <w:r>
        <w:t>74</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24.2.</w:t>
      </w:r>
      <w:r w:rsidRPr="00B62C7B">
        <w:rPr>
          <w:rFonts w:asciiTheme="minorHAnsi" w:eastAsiaTheme="minorEastAsia" w:hAnsiTheme="minorHAnsi" w:cstheme="minorBidi"/>
          <w:sz w:val="22"/>
          <w:szCs w:val="22"/>
          <w:lang w:val="fr-BE" w:eastAsia="en-US"/>
        </w:rPr>
        <w:tab/>
      </w:r>
      <w:r>
        <w:t>Struktura grupe: „instrument po instrument” (40.2.)</w:t>
      </w:r>
      <w:r>
        <w:tab/>
      </w:r>
      <w:r>
        <w:fldChar w:fldCharType="begin"/>
      </w:r>
      <w:r>
        <w:instrText xml:space="preserve"> PAGEREF _Toc30667528 \h </w:instrText>
      </w:r>
      <w:r>
        <w:fldChar w:fldCharType="separate"/>
      </w:r>
      <w:r>
        <w:t>75</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25.</w:t>
      </w:r>
      <w:r w:rsidRPr="00B62C7B">
        <w:rPr>
          <w:rFonts w:asciiTheme="minorHAnsi" w:eastAsiaTheme="minorEastAsia" w:hAnsiTheme="minorHAnsi" w:cstheme="minorBidi"/>
          <w:sz w:val="22"/>
          <w:szCs w:val="22"/>
          <w:lang w:val="fr-BE" w:eastAsia="en-US"/>
        </w:rPr>
        <w:tab/>
      </w:r>
      <w:r>
        <w:t>Fer vrijednost (41.)</w:t>
      </w:r>
      <w:r>
        <w:tab/>
      </w:r>
      <w:r>
        <w:fldChar w:fldCharType="begin"/>
      </w:r>
      <w:r>
        <w:instrText xml:space="preserve"> PAGEREF _Toc30667529 \h </w:instrText>
      </w:r>
      <w:r>
        <w:fldChar w:fldCharType="separate"/>
      </w:r>
      <w:r>
        <w:t>75</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25.1.</w:t>
      </w:r>
      <w:r w:rsidRPr="00B62C7B">
        <w:rPr>
          <w:rFonts w:asciiTheme="minorHAnsi" w:eastAsiaTheme="minorEastAsia" w:hAnsiTheme="minorHAnsi" w:cstheme="minorBidi"/>
          <w:sz w:val="22"/>
          <w:szCs w:val="22"/>
          <w:lang w:val="fr-BE" w:eastAsia="en-US"/>
        </w:rPr>
        <w:tab/>
      </w:r>
      <w:r>
        <w:t>Hijerarhija fer vrijednosti: financijski instrumenti po amortiziranom trošku (41.1.)</w:t>
      </w:r>
      <w:r>
        <w:tab/>
      </w:r>
      <w:r>
        <w:fldChar w:fldCharType="begin"/>
      </w:r>
      <w:r>
        <w:instrText xml:space="preserve"> PAGEREF _Toc30667530 \h </w:instrText>
      </w:r>
      <w:r>
        <w:fldChar w:fldCharType="separate"/>
      </w:r>
      <w:r>
        <w:t>75</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25.2.</w:t>
      </w:r>
      <w:r w:rsidRPr="00B62C7B">
        <w:rPr>
          <w:rFonts w:asciiTheme="minorHAnsi" w:eastAsiaTheme="minorEastAsia" w:hAnsiTheme="minorHAnsi" w:cstheme="minorBidi"/>
          <w:sz w:val="22"/>
          <w:szCs w:val="22"/>
          <w:lang w:val="fr-BE" w:eastAsia="en-US"/>
        </w:rPr>
        <w:tab/>
      </w:r>
      <w:r>
        <w:t>Primjena opcije fer vrijednosti (41.2.)</w:t>
      </w:r>
      <w:r>
        <w:tab/>
      </w:r>
      <w:r>
        <w:fldChar w:fldCharType="begin"/>
      </w:r>
      <w:r>
        <w:instrText xml:space="preserve"> PAGEREF _Toc30667531 \h </w:instrText>
      </w:r>
      <w:r>
        <w:fldChar w:fldCharType="separate"/>
      </w:r>
      <w:r>
        <w:t>75</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26.</w:t>
      </w:r>
      <w:r w:rsidRPr="00B62C7B">
        <w:rPr>
          <w:rFonts w:asciiTheme="minorHAnsi" w:eastAsiaTheme="minorEastAsia" w:hAnsiTheme="minorHAnsi" w:cstheme="minorBidi"/>
          <w:sz w:val="22"/>
          <w:szCs w:val="22"/>
          <w:lang w:val="fr-BE" w:eastAsia="en-US"/>
        </w:rPr>
        <w:tab/>
      </w:r>
      <w:r>
        <w:t>Materijalna i nematerijalna imovina: knjigovodstvena vrijednost prema metodi mjerenja (42.)</w:t>
      </w:r>
      <w:r>
        <w:tab/>
      </w:r>
      <w:r>
        <w:fldChar w:fldCharType="begin"/>
      </w:r>
      <w:r>
        <w:instrText xml:space="preserve"> PAGEREF _Toc30667532 \h </w:instrText>
      </w:r>
      <w:r>
        <w:fldChar w:fldCharType="separate"/>
      </w:r>
      <w:r>
        <w:t>76</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27.</w:t>
      </w:r>
      <w:r w:rsidRPr="00B62C7B">
        <w:rPr>
          <w:rFonts w:asciiTheme="minorHAnsi" w:eastAsiaTheme="minorEastAsia" w:hAnsiTheme="minorHAnsi" w:cstheme="minorBidi"/>
          <w:sz w:val="22"/>
          <w:szCs w:val="22"/>
          <w:lang w:val="fr-BE" w:eastAsia="en-US"/>
        </w:rPr>
        <w:tab/>
      </w:r>
      <w:r>
        <w:t>Rezervacije (43.)</w:t>
      </w:r>
      <w:r>
        <w:tab/>
      </w:r>
      <w:r>
        <w:fldChar w:fldCharType="begin"/>
      </w:r>
      <w:r>
        <w:instrText xml:space="preserve"> PAGEREF _Toc30667533 \h </w:instrText>
      </w:r>
      <w:r>
        <w:fldChar w:fldCharType="separate"/>
      </w:r>
      <w:r>
        <w:t>76</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28.</w:t>
      </w:r>
      <w:r w:rsidRPr="00B62C7B">
        <w:rPr>
          <w:rFonts w:asciiTheme="minorHAnsi" w:eastAsiaTheme="minorEastAsia" w:hAnsiTheme="minorHAnsi" w:cstheme="minorBidi"/>
          <w:sz w:val="22"/>
          <w:szCs w:val="22"/>
          <w:lang w:val="fr-BE" w:eastAsia="en-US"/>
        </w:rPr>
        <w:tab/>
      </w:r>
      <w:r>
        <w:t>Planovi definiranih primanja i primanja zaposlenih (44.)</w:t>
      </w:r>
      <w:r>
        <w:tab/>
      </w:r>
      <w:r>
        <w:fldChar w:fldCharType="begin"/>
      </w:r>
      <w:r>
        <w:instrText xml:space="preserve"> PAGEREF _Toc30667534 \h </w:instrText>
      </w:r>
      <w:r>
        <w:fldChar w:fldCharType="separate"/>
      </w:r>
      <w:r>
        <w:t>76</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28.1.</w:t>
      </w:r>
      <w:r w:rsidRPr="00B62C7B">
        <w:rPr>
          <w:rFonts w:asciiTheme="minorHAnsi" w:eastAsiaTheme="minorEastAsia" w:hAnsiTheme="minorHAnsi" w:cstheme="minorBidi"/>
          <w:sz w:val="22"/>
          <w:szCs w:val="22"/>
          <w:lang w:val="fr-BE" w:eastAsia="en-US"/>
        </w:rPr>
        <w:tab/>
      </w:r>
      <w:r>
        <w:t>Komponente neto imovine i obveza na temelju plana definiranih primanja (44.1.)</w:t>
      </w:r>
      <w:r>
        <w:tab/>
      </w:r>
      <w:r>
        <w:fldChar w:fldCharType="begin"/>
      </w:r>
      <w:r>
        <w:instrText xml:space="preserve"> PAGEREF _Toc30667535 \h </w:instrText>
      </w:r>
      <w:r>
        <w:fldChar w:fldCharType="separate"/>
      </w:r>
      <w:r>
        <w:t>76</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28.2.</w:t>
      </w:r>
      <w:r w:rsidRPr="00B62C7B">
        <w:rPr>
          <w:rFonts w:asciiTheme="minorHAnsi" w:eastAsiaTheme="minorEastAsia" w:hAnsiTheme="minorHAnsi" w:cstheme="minorBidi"/>
          <w:sz w:val="22"/>
          <w:szCs w:val="22"/>
          <w:lang w:val="fr-BE" w:eastAsia="en-US"/>
        </w:rPr>
        <w:tab/>
      </w:r>
      <w:r>
        <w:t>Kretanja obveza na temelju definiranih primanja (44.2.)</w:t>
      </w:r>
      <w:r>
        <w:tab/>
      </w:r>
      <w:r>
        <w:fldChar w:fldCharType="begin"/>
      </w:r>
      <w:r>
        <w:instrText xml:space="preserve"> PAGEREF _Toc30667536 \h </w:instrText>
      </w:r>
      <w:r>
        <w:fldChar w:fldCharType="separate"/>
      </w:r>
      <w:r>
        <w:t>76</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28.3.</w:t>
      </w:r>
      <w:r w:rsidRPr="00B62C7B">
        <w:rPr>
          <w:rFonts w:asciiTheme="minorHAnsi" w:eastAsiaTheme="minorEastAsia" w:hAnsiTheme="minorHAnsi" w:cstheme="minorBidi"/>
          <w:sz w:val="22"/>
          <w:szCs w:val="22"/>
          <w:lang w:val="fr-BE" w:eastAsia="en-US"/>
        </w:rPr>
        <w:tab/>
      </w:r>
      <w:r>
        <w:t>Troškovi zaposlenika po vrsti primanja (44.3.)</w:t>
      </w:r>
      <w:r>
        <w:tab/>
      </w:r>
      <w:r>
        <w:fldChar w:fldCharType="begin"/>
      </w:r>
      <w:r>
        <w:instrText xml:space="preserve"> PAGEREF _Toc30667537 \h </w:instrText>
      </w:r>
      <w:r>
        <w:fldChar w:fldCharType="separate"/>
      </w:r>
      <w:r>
        <w:t>77</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28.4.</w:t>
      </w:r>
      <w:r w:rsidRPr="00B62C7B">
        <w:rPr>
          <w:rFonts w:asciiTheme="minorHAnsi" w:eastAsiaTheme="minorEastAsia" w:hAnsiTheme="minorHAnsi" w:cstheme="minorBidi"/>
          <w:sz w:val="22"/>
          <w:szCs w:val="22"/>
          <w:lang w:val="fr-BE" w:eastAsia="en-US"/>
        </w:rPr>
        <w:tab/>
      </w:r>
      <w:r>
        <w:t>Troškovi zaposlenika po kategoriji primitka i kategoriji zaposlenika (44.4.)</w:t>
      </w:r>
      <w:r>
        <w:tab/>
      </w:r>
      <w:r>
        <w:fldChar w:fldCharType="begin"/>
      </w:r>
      <w:r>
        <w:instrText xml:space="preserve"> PAGEREF _Toc30667538 \h </w:instrText>
      </w:r>
      <w:r>
        <w:fldChar w:fldCharType="separate"/>
      </w:r>
      <w:r>
        <w:t>77</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29.</w:t>
      </w:r>
      <w:r w:rsidRPr="00B62C7B">
        <w:rPr>
          <w:rFonts w:asciiTheme="minorHAnsi" w:eastAsiaTheme="minorEastAsia" w:hAnsiTheme="minorHAnsi" w:cstheme="minorBidi"/>
          <w:sz w:val="22"/>
          <w:szCs w:val="22"/>
          <w:lang w:val="fr-BE" w:eastAsia="en-US"/>
        </w:rPr>
        <w:tab/>
      </w:r>
      <w:r>
        <w:t>Raščlamba odabranih stavki računa dobiti i gubitka (45.)</w:t>
      </w:r>
      <w:r>
        <w:tab/>
      </w:r>
      <w:r>
        <w:fldChar w:fldCharType="begin"/>
      </w:r>
      <w:r>
        <w:instrText xml:space="preserve"> PAGEREF _Toc30667539 \h </w:instrText>
      </w:r>
      <w:r>
        <w:fldChar w:fldCharType="separate"/>
      </w:r>
      <w:r>
        <w:t>78</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29.1.</w:t>
      </w:r>
      <w:r w:rsidRPr="00B62C7B">
        <w:rPr>
          <w:rFonts w:asciiTheme="minorHAnsi" w:eastAsiaTheme="minorEastAsia" w:hAnsiTheme="minorHAnsi" w:cstheme="minorBidi"/>
          <w:sz w:val="22"/>
          <w:szCs w:val="22"/>
          <w:lang w:val="fr-BE" w:eastAsia="en-US"/>
        </w:rPr>
        <w:tab/>
      </w:r>
      <w:r>
        <w:t>Dobici ili gubici po financijskoj imovini i financijskim obvezama po fer vrijednosti kroz dobit ili gubitak prema računovodstvenom portfelju (45.1)</w:t>
      </w:r>
      <w:r>
        <w:tab/>
      </w:r>
      <w:r>
        <w:fldChar w:fldCharType="begin"/>
      </w:r>
      <w:r>
        <w:instrText xml:space="preserve"> PAGEREF _Toc30667540 \h </w:instrText>
      </w:r>
      <w:r>
        <w:fldChar w:fldCharType="separate"/>
      </w:r>
      <w:r>
        <w:t>78</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29.2.</w:t>
      </w:r>
      <w:r w:rsidRPr="00B62C7B">
        <w:rPr>
          <w:rFonts w:asciiTheme="minorHAnsi" w:eastAsiaTheme="minorEastAsia" w:hAnsiTheme="minorHAnsi" w:cstheme="minorBidi"/>
          <w:sz w:val="22"/>
          <w:szCs w:val="22"/>
          <w:lang w:val="fr-BE" w:eastAsia="en-US"/>
        </w:rPr>
        <w:tab/>
      </w:r>
      <w:r>
        <w:t>Dobici ili gubici po prestanku priznavanja nefinancijske imovine (45.2.)</w:t>
      </w:r>
      <w:r>
        <w:tab/>
      </w:r>
      <w:r>
        <w:fldChar w:fldCharType="begin"/>
      </w:r>
      <w:r>
        <w:instrText xml:space="preserve"> PAGEREF _Toc30667541 \h </w:instrText>
      </w:r>
      <w:r>
        <w:fldChar w:fldCharType="separate"/>
      </w:r>
      <w:r>
        <w:t>78</w:t>
      </w:r>
      <w:r>
        <w:fldChar w:fldCharType="end"/>
      </w:r>
    </w:p>
    <w:p w:rsidR="00B62C7B" w:rsidRPr="00B62C7B" w:rsidRDefault="00B62C7B">
      <w:pPr>
        <w:pStyle w:val="TOC2"/>
        <w:rPr>
          <w:rFonts w:asciiTheme="minorHAnsi" w:eastAsiaTheme="minorEastAsia" w:hAnsiTheme="minorHAnsi" w:cstheme="minorBidi"/>
          <w:sz w:val="22"/>
          <w:szCs w:val="22"/>
          <w:lang w:val="fr-BE" w:eastAsia="en-US"/>
        </w:rPr>
      </w:pPr>
      <w:r>
        <w:t>29.3.</w:t>
      </w:r>
      <w:r w:rsidRPr="00B62C7B">
        <w:rPr>
          <w:rFonts w:asciiTheme="minorHAnsi" w:eastAsiaTheme="minorEastAsia" w:hAnsiTheme="minorHAnsi" w:cstheme="minorBidi"/>
          <w:sz w:val="22"/>
          <w:szCs w:val="22"/>
          <w:lang w:val="fr-BE" w:eastAsia="en-US"/>
        </w:rPr>
        <w:tab/>
      </w:r>
      <w:r>
        <w:t>Ostali prihodi i rashodi iz poslovanja (45.3.)</w:t>
      </w:r>
      <w:r>
        <w:tab/>
      </w:r>
      <w:r>
        <w:fldChar w:fldCharType="begin"/>
      </w:r>
      <w:r>
        <w:instrText xml:space="preserve"> PAGEREF _Toc30667542 \h </w:instrText>
      </w:r>
      <w:r>
        <w:fldChar w:fldCharType="separate"/>
      </w:r>
      <w:r>
        <w:t>78</w:t>
      </w:r>
      <w:r>
        <w:fldChar w:fldCharType="end"/>
      </w:r>
    </w:p>
    <w:p w:rsidR="00B62C7B" w:rsidRDefault="00B62C7B">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Izvještaj o promjenama kapitala (46.)</w:t>
      </w:r>
      <w:r>
        <w:tab/>
      </w:r>
      <w:r>
        <w:fldChar w:fldCharType="begin"/>
      </w:r>
      <w:r>
        <w:instrText xml:space="preserve"> PAGEREF _Toc30667543 \h </w:instrText>
      </w:r>
      <w:r>
        <w:fldChar w:fldCharType="separate"/>
      </w:r>
      <w:r>
        <w:t>78</w:t>
      </w:r>
      <w:r>
        <w:fldChar w:fldCharType="end"/>
      </w:r>
    </w:p>
    <w:p w:rsidR="00B62C7B" w:rsidRDefault="00B62C7B">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KREDITI I PREDUJMOVI: DODATNE INFORMACIJE (23.)</w:t>
      </w:r>
      <w:r>
        <w:tab/>
      </w:r>
      <w:r>
        <w:fldChar w:fldCharType="begin"/>
      </w:r>
      <w:r>
        <w:instrText xml:space="preserve"> PAGEREF _Toc30667544 \h </w:instrText>
      </w:r>
      <w:r>
        <w:fldChar w:fldCharType="separate"/>
      </w:r>
      <w:r>
        <w:t>79</w:t>
      </w:r>
      <w:r>
        <w:fldChar w:fldCharType="end"/>
      </w:r>
    </w:p>
    <w:p w:rsidR="00B62C7B" w:rsidRDefault="00B62C7B">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KREDITI I PREDUJMOVI: TOKOVI NEPRIHODUJUĆIH IZLOŽENOSTI, UMANJENJA VRIJEDNOSTI I OTPISI OD ZAVRŠETKA ZADNJE FINANCIJSKE GODINE (24.)</w:t>
      </w:r>
      <w:r>
        <w:tab/>
      </w:r>
      <w:r>
        <w:fldChar w:fldCharType="begin"/>
      </w:r>
      <w:r>
        <w:instrText xml:space="preserve"> PAGEREF _Toc30667545 \h </w:instrText>
      </w:r>
      <w:r>
        <w:fldChar w:fldCharType="separate"/>
      </w:r>
      <w:r>
        <w:t>80</w:t>
      </w:r>
      <w:r>
        <w:fldChar w:fldCharType="end"/>
      </w:r>
    </w:p>
    <w:p w:rsidR="00B62C7B" w:rsidRDefault="00B62C7B">
      <w:pPr>
        <w:pStyle w:val="TOC2"/>
        <w:rPr>
          <w:rFonts w:asciiTheme="minorHAnsi" w:eastAsiaTheme="minorEastAsia" w:hAnsiTheme="minorHAnsi" w:cstheme="minorBidi"/>
          <w:sz w:val="22"/>
          <w:szCs w:val="22"/>
          <w:lang w:val="en-US" w:eastAsia="en-US"/>
        </w:rPr>
      </w:pPr>
      <w:r>
        <w:t>32.1.</w:t>
      </w:r>
      <w:r>
        <w:rPr>
          <w:rFonts w:asciiTheme="minorHAnsi" w:eastAsiaTheme="minorEastAsia" w:hAnsiTheme="minorHAnsi" w:cstheme="minorBidi"/>
          <w:sz w:val="22"/>
          <w:szCs w:val="22"/>
          <w:lang w:val="en-US" w:eastAsia="en-US"/>
        </w:rPr>
        <w:tab/>
      </w:r>
      <w:r>
        <w:t>Krediti i predujmovi: priljevi i odljevi od neprihodujućih izloženosti (24.1.)</w:t>
      </w:r>
      <w:r>
        <w:tab/>
      </w:r>
      <w:r>
        <w:fldChar w:fldCharType="begin"/>
      </w:r>
      <w:r>
        <w:instrText xml:space="preserve"> PAGEREF _Toc30667546 \h </w:instrText>
      </w:r>
      <w:r>
        <w:fldChar w:fldCharType="separate"/>
      </w:r>
      <w:r>
        <w:t>80</w:t>
      </w:r>
      <w:r>
        <w:fldChar w:fldCharType="end"/>
      </w:r>
    </w:p>
    <w:p w:rsidR="00B62C7B" w:rsidRDefault="00B62C7B">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Krediti i predujmovi: tok umanjenja vrijednosti i akumuliranih negativnih promjena fer vrijednosti zbog kreditnog rizika neprihodujućih izloženosti (24.2.)</w:t>
      </w:r>
      <w:r>
        <w:tab/>
      </w:r>
      <w:r>
        <w:fldChar w:fldCharType="begin"/>
      </w:r>
      <w:r>
        <w:instrText xml:space="preserve"> PAGEREF _Toc30667547 \h </w:instrText>
      </w:r>
      <w:r>
        <w:fldChar w:fldCharType="separate"/>
      </w:r>
      <w:r>
        <w:t>81</w:t>
      </w:r>
      <w:r>
        <w:fldChar w:fldCharType="end"/>
      </w:r>
    </w:p>
    <w:p w:rsidR="00B62C7B" w:rsidRDefault="00B62C7B">
      <w:pPr>
        <w:pStyle w:val="TOC2"/>
        <w:rPr>
          <w:rFonts w:asciiTheme="minorHAnsi" w:eastAsiaTheme="minorEastAsia" w:hAnsiTheme="minorHAnsi" w:cstheme="minorBidi"/>
          <w:sz w:val="22"/>
          <w:szCs w:val="22"/>
          <w:lang w:val="en-US" w:eastAsia="en-US"/>
        </w:rPr>
      </w:pPr>
      <w:r>
        <w:t>32.3.</w:t>
      </w:r>
      <w:r>
        <w:rPr>
          <w:rFonts w:asciiTheme="minorHAnsi" w:eastAsiaTheme="minorEastAsia" w:hAnsiTheme="minorHAnsi" w:cstheme="minorBidi"/>
          <w:sz w:val="22"/>
          <w:szCs w:val="22"/>
          <w:lang w:val="en-US" w:eastAsia="en-US"/>
        </w:rPr>
        <w:tab/>
      </w:r>
      <w:r>
        <w:t>Krediti i predujmovi: otpisi neprihodujućih izloženosti tijekom razdoblja (24.3.)</w:t>
      </w:r>
      <w:r>
        <w:tab/>
      </w:r>
      <w:r>
        <w:fldChar w:fldCharType="begin"/>
      </w:r>
      <w:r>
        <w:instrText xml:space="preserve"> PAGEREF _Toc30667548 \h </w:instrText>
      </w:r>
      <w:r>
        <w:fldChar w:fldCharType="separate"/>
      </w:r>
      <w:r>
        <w:t>82</w:t>
      </w:r>
      <w:r>
        <w:fldChar w:fldCharType="end"/>
      </w:r>
    </w:p>
    <w:p w:rsidR="00B62C7B" w:rsidRDefault="00B62C7B">
      <w:pPr>
        <w:pStyle w:val="TOC2"/>
        <w:rPr>
          <w:rFonts w:asciiTheme="minorHAnsi" w:eastAsiaTheme="minorEastAsia" w:hAnsiTheme="minorHAnsi" w:cstheme="minorBidi"/>
          <w:sz w:val="22"/>
          <w:szCs w:val="22"/>
          <w:lang w:val="en-US" w:eastAsia="en-US"/>
        </w:rPr>
      </w:pPr>
      <w:r>
        <w:t>33.</w:t>
      </w:r>
      <w:r>
        <w:rPr>
          <w:rFonts w:asciiTheme="minorHAnsi" w:eastAsiaTheme="minorEastAsia" w:hAnsiTheme="minorHAnsi" w:cstheme="minorBidi"/>
          <w:sz w:val="22"/>
          <w:szCs w:val="22"/>
          <w:lang w:val="en-US" w:eastAsia="en-US"/>
        </w:rPr>
        <w:tab/>
      </w:r>
      <w:r>
        <w:t>KOLATERALI DOBIVENI U POSJED I POSTUPCI IZVRŠENJA (25.)</w:t>
      </w:r>
      <w:r>
        <w:tab/>
      </w:r>
      <w:r>
        <w:fldChar w:fldCharType="begin"/>
      </w:r>
      <w:r>
        <w:instrText xml:space="preserve"> PAGEREF _Toc30667549 \h </w:instrText>
      </w:r>
      <w:r>
        <w:fldChar w:fldCharType="separate"/>
      </w:r>
      <w:r>
        <w:t>83</w:t>
      </w:r>
      <w:r>
        <w:fldChar w:fldCharType="end"/>
      </w:r>
    </w:p>
    <w:p w:rsidR="00B62C7B" w:rsidRDefault="00B62C7B">
      <w:pPr>
        <w:pStyle w:val="TOC2"/>
        <w:rPr>
          <w:rFonts w:asciiTheme="minorHAnsi" w:eastAsiaTheme="minorEastAsia" w:hAnsiTheme="minorHAnsi" w:cstheme="minorBidi"/>
          <w:sz w:val="22"/>
          <w:szCs w:val="22"/>
          <w:lang w:val="en-US" w:eastAsia="en-US"/>
        </w:rPr>
      </w:pPr>
      <w:r>
        <w:t>33.1.</w:t>
      </w:r>
      <w:r>
        <w:rPr>
          <w:rFonts w:asciiTheme="minorHAnsi" w:eastAsiaTheme="minorEastAsia" w:hAnsiTheme="minorHAnsi" w:cstheme="minorBidi"/>
          <w:sz w:val="22"/>
          <w:szCs w:val="22"/>
          <w:lang w:val="en-US" w:eastAsia="en-US"/>
        </w:rPr>
        <w:tab/>
      </w:r>
      <w:r>
        <w:t>Kolaterali dobiveni u posjed osim kolaterala klasificiranih kao nekretnine, postrojenja i oprema: priljevi i odljevi (25.1.)</w:t>
      </w:r>
      <w:r>
        <w:tab/>
      </w:r>
      <w:r>
        <w:fldChar w:fldCharType="begin"/>
      </w:r>
      <w:r>
        <w:instrText xml:space="preserve"> PAGEREF _Toc30667550 \h </w:instrText>
      </w:r>
      <w:r>
        <w:fldChar w:fldCharType="separate"/>
      </w:r>
      <w:r>
        <w:t>83</w:t>
      </w:r>
      <w:r>
        <w:fldChar w:fldCharType="end"/>
      </w:r>
    </w:p>
    <w:p w:rsidR="00B62C7B" w:rsidRDefault="00B62C7B">
      <w:pPr>
        <w:pStyle w:val="TOC2"/>
        <w:rPr>
          <w:rFonts w:asciiTheme="minorHAnsi" w:eastAsiaTheme="minorEastAsia" w:hAnsiTheme="minorHAnsi" w:cstheme="minorBidi"/>
          <w:sz w:val="22"/>
          <w:szCs w:val="22"/>
          <w:lang w:val="en-US" w:eastAsia="en-US"/>
        </w:rPr>
      </w:pPr>
      <w:r>
        <w:t>33.2.</w:t>
      </w:r>
      <w:r>
        <w:rPr>
          <w:rFonts w:asciiTheme="minorHAnsi" w:eastAsiaTheme="minorEastAsia" w:hAnsiTheme="minorHAnsi" w:cstheme="minorBidi"/>
          <w:sz w:val="22"/>
          <w:szCs w:val="22"/>
          <w:lang w:val="en-US" w:eastAsia="en-US"/>
        </w:rPr>
        <w:tab/>
      </w:r>
      <w:r>
        <w:t>Kolaterali dobiveni u posjed osim kolaterala klasificiranih kao nekretnine, postrojenja i oprema – vrsta dobivenog kolaterala (25.2.)</w:t>
      </w:r>
      <w:r>
        <w:tab/>
      </w:r>
      <w:r>
        <w:fldChar w:fldCharType="begin"/>
      </w:r>
      <w:r>
        <w:instrText xml:space="preserve"> PAGEREF _Toc30667551 \h </w:instrText>
      </w:r>
      <w:r>
        <w:fldChar w:fldCharType="separate"/>
      </w:r>
      <w:r>
        <w:t>84</w:t>
      </w:r>
      <w:r>
        <w:fldChar w:fldCharType="end"/>
      </w:r>
    </w:p>
    <w:p w:rsidR="00B62C7B" w:rsidRDefault="00B62C7B">
      <w:pPr>
        <w:pStyle w:val="TOC2"/>
        <w:rPr>
          <w:rFonts w:asciiTheme="minorHAnsi" w:eastAsiaTheme="minorEastAsia" w:hAnsiTheme="minorHAnsi" w:cstheme="minorBidi"/>
          <w:sz w:val="22"/>
          <w:szCs w:val="22"/>
          <w:lang w:val="en-US" w:eastAsia="en-US"/>
        </w:rPr>
      </w:pPr>
      <w:r>
        <w:lastRenderedPageBreak/>
        <w:t>33.3.</w:t>
      </w:r>
      <w:r>
        <w:rPr>
          <w:rFonts w:asciiTheme="minorHAnsi" w:eastAsiaTheme="minorEastAsia" w:hAnsiTheme="minorHAnsi" w:cstheme="minorBidi"/>
          <w:sz w:val="22"/>
          <w:szCs w:val="22"/>
          <w:lang w:val="en-US" w:eastAsia="en-US"/>
        </w:rPr>
        <w:tab/>
      </w:r>
      <w:r>
        <w:t>Kolaterali dobiveni u posjed klasificirani kao nekretnine, postrojenja i oprema (25.3.)</w:t>
      </w:r>
      <w:r>
        <w:tab/>
      </w:r>
      <w:r>
        <w:fldChar w:fldCharType="begin"/>
      </w:r>
      <w:r>
        <w:instrText xml:space="preserve"> PAGEREF _Toc30667552 \h </w:instrText>
      </w:r>
      <w:r>
        <w:fldChar w:fldCharType="separate"/>
      </w:r>
      <w:r>
        <w:t>85</w:t>
      </w:r>
      <w:r>
        <w:fldChar w:fldCharType="end"/>
      </w:r>
    </w:p>
    <w:p w:rsidR="00B62C7B" w:rsidRDefault="00B62C7B">
      <w:pPr>
        <w:pStyle w:val="TOC2"/>
        <w:rPr>
          <w:rFonts w:asciiTheme="minorHAnsi" w:eastAsiaTheme="minorEastAsia" w:hAnsiTheme="minorHAnsi" w:cstheme="minorBidi"/>
          <w:sz w:val="22"/>
          <w:szCs w:val="22"/>
          <w:lang w:val="en-US" w:eastAsia="en-US"/>
        </w:rPr>
      </w:pPr>
      <w:r>
        <w:t>34.</w:t>
      </w:r>
      <w:r>
        <w:rPr>
          <w:rFonts w:asciiTheme="minorHAnsi" w:eastAsiaTheme="minorEastAsia" w:hAnsiTheme="minorHAnsi" w:cstheme="minorBidi"/>
          <w:sz w:val="22"/>
          <w:szCs w:val="22"/>
          <w:lang w:val="en-US" w:eastAsia="en-US"/>
        </w:rPr>
        <w:tab/>
      </w:r>
      <w:r>
        <w:t>UPRAVLJANJE RESTRUKTURIRANJEM I KVALITETA RESTRUKTURIRANJA (26.)</w:t>
      </w:r>
      <w:r>
        <w:tab/>
      </w:r>
      <w:r>
        <w:fldChar w:fldCharType="begin"/>
      </w:r>
      <w:r>
        <w:instrText xml:space="preserve"> PAGEREF _Toc30667553 \h </w:instrText>
      </w:r>
      <w:r>
        <w:fldChar w:fldCharType="separate"/>
      </w:r>
      <w:r>
        <w:t>85</w:t>
      </w:r>
      <w:r>
        <w:fldChar w:fldCharType="end"/>
      </w:r>
    </w:p>
    <w:p w:rsidR="00B62C7B" w:rsidRDefault="00B62C7B">
      <w:pPr>
        <w:pStyle w:val="TOC2"/>
        <w:rPr>
          <w:rFonts w:asciiTheme="minorHAnsi" w:eastAsiaTheme="minorEastAsia" w:hAnsiTheme="minorHAnsi" w:cstheme="minorBidi"/>
          <w:sz w:val="22"/>
          <w:szCs w:val="22"/>
          <w:lang w:val="en-US" w:eastAsia="en-US"/>
        </w:rPr>
      </w:pPr>
      <w:r>
        <w:t>35.</w:t>
      </w:r>
      <w:r>
        <w:rPr>
          <w:rFonts w:asciiTheme="minorHAnsi" w:eastAsiaTheme="minorEastAsia" w:hAnsiTheme="minorHAnsi" w:cstheme="minorBidi"/>
          <w:sz w:val="22"/>
          <w:szCs w:val="22"/>
          <w:lang w:val="en-US" w:eastAsia="en-US"/>
        </w:rPr>
        <w:tab/>
      </w:r>
      <w:r>
        <w:t>KREDITI I PREDUJMOVI: PROSJEČNO TRAJANJE I RAZDOBLJA NAPLATE (47.)</w:t>
      </w:r>
      <w:r>
        <w:tab/>
      </w:r>
      <w:r>
        <w:fldChar w:fldCharType="begin"/>
      </w:r>
      <w:r>
        <w:instrText xml:space="preserve"> PAGEREF _Toc30667554 \h </w:instrText>
      </w:r>
      <w:r>
        <w:fldChar w:fldCharType="separate"/>
      </w:r>
      <w:r>
        <w:t>86</w:t>
      </w:r>
      <w:r>
        <w:fldChar w:fldCharType="end"/>
      </w:r>
    </w:p>
    <w:p w:rsidR="00B62C7B" w:rsidRDefault="00E40CCC">
      <w:pPr>
        <w:pStyle w:val="TOC1"/>
        <w:tabs>
          <w:tab w:val="right" w:leader="dot" w:pos="8296"/>
        </w:tabs>
        <w:rPr>
          <w:rFonts w:asciiTheme="minorHAnsi" w:eastAsiaTheme="minorEastAsia" w:hAnsiTheme="minorHAnsi" w:cstheme="minorBidi"/>
          <w:b w:val="0"/>
          <w:noProof/>
          <w:sz w:val="22"/>
          <w:szCs w:val="22"/>
          <w:lang w:val="en-US" w:eastAsia="en-US"/>
        </w:rPr>
      </w:pPr>
      <w:r>
        <w:rPr>
          <w:noProof/>
        </w:rPr>
        <w:t>Dio</w:t>
      </w:r>
      <w:r w:rsidR="00B62C7B" w:rsidRPr="00ED3D47">
        <w:rPr>
          <w:noProof/>
        </w:rPr>
        <w:t xml:space="preserve"> 3.</w:t>
      </w:r>
      <w:r w:rsidR="00B62C7B">
        <w:rPr>
          <w:noProof/>
        </w:rPr>
        <w:t>: Raspoređivanje kategorija izloženosti i sektora druge ugovorne strane</w:t>
      </w:r>
      <w:r w:rsidR="00B62C7B">
        <w:rPr>
          <w:noProof/>
        </w:rPr>
        <w:tab/>
      </w:r>
      <w:r w:rsidR="00B62C7B">
        <w:rPr>
          <w:noProof/>
        </w:rPr>
        <w:fldChar w:fldCharType="begin"/>
      </w:r>
      <w:r w:rsidR="00B62C7B">
        <w:rPr>
          <w:noProof/>
        </w:rPr>
        <w:instrText xml:space="preserve"> PAGEREF _Toc30667556 \h </w:instrText>
      </w:r>
      <w:r w:rsidR="00B62C7B">
        <w:rPr>
          <w:noProof/>
        </w:rPr>
      </w:r>
      <w:r w:rsidR="00B62C7B">
        <w:rPr>
          <w:noProof/>
        </w:rPr>
        <w:fldChar w:fldCharType="separate"/>
      </w:r>
      <w:r w:rsidR="00B62C7B">
        <w:rPr>
          <w:noProof/>
        </w:rPr>
        <w:t>87</w:t>
      </w:r>
      <w:r w:rsidR="00B62C7B">
        <w:rPr>
          <w:noProof/>
        </w:rPr>
        <w:fldChar w:fldCharType="end"/>
      </w:r>
    </w:p>
    <w:p w:rsidR="009E6057" w:rsidRDefault="00A834F1">
      <w:pPr>
        <w:sectPr w:rsidR="009E6057" w:rsidSect="009569C7">
          <w:footerReference w:type="default" r:id="rId8"/>
          <w:pgSz w:w="11906" w:h="16838"/>
          <w:pgMar w:top="1440" w:right="1800" w:bottom="1440" w:left="1800" w:header="708" w:footer="708" w:gutter="0"/>
          <w:cols w:space="708"/>
          <w:titlePg/>
          <w:docGrid w:linePitch="360"/>
        </w:sectPr>
      </w:pPr>
      <w:r>
        <w:fldChar w:fldCharType="end"/>
      </w:r>
    </w:p>
    <w:p w:rsidR="009E6057" w:rsidRDefault="009E6057">
      <w:pPr>
        <w:spacing w:after="0"/>
      </w:pPr>
    </w:p>
    <w:p w:rsidR="009E6057" w:rsidRDefault="009E6057">
      <w:pPr>
        <w:spacing w:after="0"/>
      </w:pPr>
    </w:p>
    <w:p w:rsidR="009E6057" w:rsidRDefault="00A834F1">
      <w:pPr>
        <w:jc w:val="center"/>
        <w:rPr>
          <w:rFonts w:ascii="Times New Roman" w:hAnsi="Times New Roman"/>
          <w:b/>
          <w:sz w:val="24"/>
          <w:szCs w:val="24"/>
        </w:rPr>
      </w:pPr>
      <w:r>
        <w:rPr>
          <w:rFonts w:ascii="Times New Roman" w:hAnsi="Times New Roman"/>
          <w:b/>
        </w:rPr>
        <w:t>DIO 1.</w:t>
      </w:r>
    </w:p>
    <w:p w:rsidR="009E6057" w:rsidRDefault="00A834F1">
      <w:pPr>
        <w:pStyle w:val="Heading1"/>
      </w:pPr>
      <w:bookmarkStart w:id="0" w:name="_Toc30667455"/>
      <w:r>
        <w:t>Opće upute</w:t>
      </w:r>
      <w:bookmarkEnd w:id="0"/>
    </w:p>
    <w:p w:rsidR="009E6057" w:rsidRDefault="00A834F1">
      <w:pPr>
        <w:pStyle w:val="subtitlenumbered"/>
        <w:numPr>
          <w:ilvl w:val="0"/>
          <w:numId w:val="17"/>
        </w:numPr>
        <w:jc w:val="both"/>
      </w:pPr>
      <w:bookmarkStart w:id="1" w:name="_Toc30667456"/>
      <w:r>
        <w:t>Upućivanja</w:t>
      </w:r>
      <w:bookmarkEnd w:id="1"/>
    </w:p>
    <w:p w:rsidR="009E6057" w:rsidRDefault="00A834F1">
      <w:pPr>
        <w:pStyle w:val="Baseparagraphnumbered"/>
      </w:pPr>
      <w:r>
        <w:t>U ovom se Prilogu navode dodatne upute za obrasce financijskog izvješćivanja iz priloga III. i IV. ovoj Uredbi. Ovim se Prilogom dopunjuju upute sadržane u obliku upućivanja u obrascima u prilozima III. i IV.</w:t>
      </w:r>
    </w:p>
    <w:p w:rsidR="009E6057" w:rsidRDefault="00A834F1">
      <w:pPr>
        <w:pStyle w:val="Baseparagraphnumbered"/>
      </w:pPr>
      <w:r>
        <w:t>Institucije koje primjenjuju nacionalne računovodstvene standarde koji su usklađeni s MSFI-jem („odgovarajuća nacionalna općeprihvaćena računovodstvena načela”) primjenjuju zajedničke upute i upute koje se odnose na MSFI navedene u ovom Prilogu, osim ako je predviđeno drukčije. Time se ne dovodi u pitanje usklađenost zahtjeva iz odgovarajućih nacionalnih općeprihvaćenih računovodstvenih načela sa zahtjevima iz BAD-a. Institucije koje primjenjuju zahtjeve iz nacionalnih računovodstvenih standarda koji nisu usklađeni s MSFI-jem ili koji još nisu usklađeni sa zahtjevima iz MSFI-ja 9 primjenjuju zajedničke upute i upute koje se odnose na BAD navedene u ovom Prilogu, osim ako je predviđeno drukčije.</w:t>
      </w:r>
    </w:p>
    <w:p w:rsidR="009E6057" w:rsidRDefault="00A834F1">
      <w:pPr>
        <w:pStyle w:val="Baseparagraphnumbered"/>
      </w:pPr>
      <w:r>
        <w:t>Točke podataka utvrđene u obrascima sastavljaju se u skladu s pravilima o priznavanju, prijeboju i vrednovanju mjerodavnog računovodstvenog okvira kako je definirano u članku 4. stavku 1. točki 77. Uredbe (EU) br. 575/2013.</w:t>
      </w:r>
    </w:p>
    <w:p w:rsidR="009E6057" w:rsidRDefault="00DE2FAA">
      <w:pPr>
        <w:pStyle w:val="Baseparagraphnumbered"/>
      </w:pPr>
      <w:r>
        <w:t>Institucije podnose samo one dijelove obrazaca koji se odnose na:</w:t>
      </w:r>
    </w:p>
    <w:p w:rsidR="009E6057" w:rsidRDefault="00A834F1">
      <w:pPr>
        <w:pStyle w:val="Baseparagraphnumbered"/>
        <w:numPr>
          <w:ilvl w:val="0"/>
          <w:numId w:val="28"/>
        </w:numPr>
        <w:ind w:left="1134" w:hanging="426"/>
      </w:pPr>
      <w:r>
        <w:t>imovinu, obveze, kapital, prihode i rashode koje institucija priznaje;</w:t>
      </w:r>
    </w:p>
    <w:p w:rsidR="009E6057" w:rsidRDefault="00A834F1">
      <w:pPr>
        <w:pStyle w:val="Baseparagraphnumbered"/>
        <w:numPr>
          <w:ilvl w:val="0"/>
          <w:numId w:val="28"/>
        </w:numPr>
        <w:ind w:left="1134" w:hanging="426"/>
      </w:pPr>
      <w:r>
        <w:t>izvanbilančne izloženosti i djelatnosti u koje je institucija uključena;</w:t>
      </w:r>
    </w:p>
    <w:p w:rsidR="009E6057" w:rsidRDefault="00A834F1">
      <w:pPr>
        <w:pStyle w:val="Baseparagraphnumbered"/>
        <w:numPr>
          <w:ilvl w:val="0"/>
          <w:numId w:val="28"/>
        </w:numPr>
        <w:ind w:left="1134" w:hanging="426"/>
      </w:pPr>
      <w:r>
        <w:t>transakcije koje institucija obavlja;</w:t>
      </w:r>
    </w:p>
    <w:p w:rsidR="009E6057" w:rsidRDefault="00A834F1">
      <w:pPr>
        <w:pStyle w:val="Baseparagraphnumbered"/>
        <w:numPr>
          <w:ilvl w:val="0"/>
          <w:numId w:val="28"/>
        </w:numPr>
        <w:ind w:left="1134" w:hanging="425"/>
      </w:pPr>
      <w:r>
        <w:t>pravila o vrednovanju, uključujući metode za procjenu ispravaka vrijednosti za kreditni rizik, koja institucija primjenjuje.</w:t>
      </w:r>
    </w:p>
    <w:p w:rsidR="009E6057" w:rsidRDefault="00A834F1">
      <w:pPr>
        <w:pStyle w:val="Baseparagraphnumbered"/>
        <w:ind w:left="851" w:hanging="284"/>
      </w:pPr>
      <w:r>
        <w:t>Za potrebe priloga III. i IV. te ovog Priloga primjenjuju se sljedeće definicije:</w:t>
      </w:r>
    </w:p>
    <w:p w:rsidR="009E6057" w:rsidRDefault="00A834F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rPr>
        <w:t>„CRR”: Uredba (EU) br. 575/2013;</w:t>
      </w:r>
    </w:p>
    <w:p w:rsidR="009E6057" w:rsidRDefault="009E6057">
      <w:pPr>
        <w:jc w:val="both"/>
        <w:rPr>
          <w:rFonts w:ascii="Times New Roman" w:hAnsi="Times New Roman"/>
          <w:sz w:val="24"/>
          <w:szCs w:val="24"/>
        </w:rPr>
      </w:pPr>
    </w:p>
    <w:p w:rsidR="009E6057" w:rsidRDefault="009E6057">
      <w:pPr>
        <w:jc w:val="both"/>
        <w:rPr>
          <w:rFonts w:ascii="Times New Roman" w:hAnsi="Times New Roman"/>
          <w:sz w:val="24"/>
          <w:szCs w:val="24"/>
        </w:rPr>
      </w:pPr>
    </w:p>
    <w:p w:rsidR="009E6057" w:rsidRDefault="009E6057">
      <w:pPr>
        <w:jc w:val="both"/>
        <w:rPr>
          <w:rFonts w:ascii="Times New Roman" w:hAnsi="Times New Roman"/>
          <w:sz w:val="24"/>
          <w:szCs w:val="24"/>
        </w:rPr>
      </w:pPr>
    </w:p>
    <w:p w:rsidR="009E6057" w:rsidRDefault="009E6057">
      <w:pPr>
        <w:jc w:val="both"/>
        <w:rPr>
          <w:rFonts w:ascii="Times New Roman" w:hAnsi="Times New Roman"/>
          <w:sz w:val="24"/>
          <w:szCs w:val="24"/>
        </w:rPr>
      </w:pPr>
    </w:p>
    <w:p w:rsidR="009E6057"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rPr>
        <w:lastRenderedPageBreak/>
        <w:t>„MRS” ili „MSFI”: „međunarodni računovodstveni standardi” kako su definirani u članku 2. Uredbe br. 1606/2002 Europskog parlamenta i Vijeća</w:t>
      </w:r>
      <w:r>
        <w:rPr>
          <w:rStyle w:val="FootnoteReference"/>
          <w:rFonts w:ascii="Times New Roman" w:hAnsi="Times New Roman"/>
        </w:rPr>
        <w:footnoteReference w:id="2"/>
      </w:r>
      <w:r>
        <w:rPr>
          <w:rFonts w:ascii="Times New Roman" w:hAnsi="Times New Roman"/>
        </w:rPr>
        <w:t>, koje je donijela Komisija;</w:t>
      </w:r>
    </w:p>
    <w:p w:rsidR="009E6057"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„Uredba ESB-a o BSI-ju” ili „ESB/2013/33”: Uredba (EU) br. 1071/2013 Europske središnje banke</w:t>
      </w:r>
      <w:r>
        <w:rPr>
          <w:rStyle w:val="FootnoteReference"/>
          <w:rFonts w:ascii="Times New Roman" w:hAnsi="Times New Roman"/>
        </w:rPr>
        <w:footnoteReference w:id="3"/>
      </w:r>
      <w:r>
        <w:rPr>
          <w:rFonts w:ascii="Times New Roman" w:hAnsi="Times New Roman"/>
        </w:rPr>
        <w:t>;</w:t>
      </w:r>
    </w:p>
    <w:p w:rsidR="009E6057"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„Uredba o NACE-u”: Uredba (EZ) br. 1893/2006 Europskog parlamenta i Vijeća</w:t>
      </w:r>
      <w:r>
        <w:rPr>
          <w:rStyle w:val="FootnoteReference"/>
          <w:rFonts w:ascii="Times New Roman" w:hAnsi="Times New Roman"/>
        </w:rPr>
        <w:footnoteReference w:id="4"/>
      </w:r>
      <w:r>
        <w:rPr>
          <w:rFonts w:ascii="Times New Roman" w:hAnsi="Times New Roman"/>
        </w:rPr>
        <w:t>;</w:t>
      </w:r>
    </w:p>
    <w:p w:rsidR="009E6057"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„Šifra djelatnosti NACE”: šifre iz Uredbe o NACE-u;</w:t>
      </w:r>
    </w:p>
    <w:p w:rsidR="009E6057"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„BAD”: Direktiva Vijeća 86/635/EEZ</w:t>
      </w:r>
      <w:r>
        <w:rPr>
          <w:rFonts w:ascii="Times New Roman" w:hAnsi="Times New Roman"/>
          <w:vertAlign w:val="superscript"/>
        </w:rPr>
        <w:footnoteReference w:id="5"/>
      </w:r>
      <w:r>
        <w:rPr>
          <w:rFonts w:ascii="Times New Roman" w:hAnsi="Times New Roman"/>
        </w:rPr>
        <w:t>;</w:t>
      </w:r>
    </w:p>
    <w:p w:rsidR="009E6057"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„Računovodstvena direktiva”: Direktiva 2013/34/EU Europskog parlamenta i Vijeća</w:t>
      </w:r>
      <w:r>
        <w:rPr>
          <w:rFonts w:ascii="Times New Roman" w:hAnsi="Times New Roman"/>
          <w:vertAlign w:val="superscript"/>
        </w:rPr>
        <w:footnoteReference w:id="6"/>
      </w:r>
      <w:r>
        <w:rPr>
          <w:rFonts w:ascii="Times New Roman" w:hAnsi="Times New Roman"/>
        </w:rPr>
        <w:t>;</w:t>
      </w:r>
    </w:p>
    <w:p w:rsidR="009E6057"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„Nacionalna općeprihvaćena računovodstvena načela”: nacionalna općeprihvaćena računovodstvena načela izrađena na temelju BAD-a;</w:t>
      </w:r>
    </w:p>
    <w:p w:rsidR="009E6057"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rPr>
        <w:t>„MSP”: mikropoduzeća, mala i srednja poduzeća definirana u Preporuci Komisije C(2003)1422</w:t>
      </w:r>
      <w:r>
        <w:rPr>
          <w:rFonts w:ascii="Times New Roman" w:hAnsi="Times New Roman"/>
          <w:vertAlign w:val="superscript"/>
        </w:rPr>
        <w:footnoteReference w:id="7"/>
      </w:r>
      <w:r>
        <w:rPr>
          <w:rFonts w:ascii="Times New Roman" w:hAnsi="Times New Roman"/>
        </w:rPr>
        <w:t>;</w:t>
      </w:r>
    </w:p>
    <w:p w:rsidR="009E6057"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„oznaka ISIN”: međunarodni jedinstveni identifikacijski broj koji se dodjeljuje vrijednosnim papirima, sastavljen od 12 alfanumeričkih znakova kojima se izdanje vrijednosnih papira jedinstveno identificira;</w:t>
      </w:r>
    </w:p>
    <w:p w:rsidR="009E6057"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„oznaka LEI”: globalni identifikator pravnih osoba koji se dodjeljuje subjektima, kojim se strana u financijskoj transakciji jedinstveno identificira;</w:t>
      </w:r>
    </w:p>
    <w:p w:rsidR="009E6057"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„faze umanjenja vrijednosti”: kategorije umanjenja vrijednosti kako je definirano u MSFI-ju 9.5.5. „Faza 1” odnosi se na umanjenje vrijednosti koje se mjeri u skladu s MSFI-jem 9.5.5.5. „Faza 2” odnosi se na umanjenje vrijednosti koje se mjeri u skladu s MSFI-jem 9.5.5.3. „Faza 3” odnosi se na umanjenje vrijednosti za imovinu kojoj je umanjena vrijednost za kreditne gubitke kako je definirano u Dodatku A MSFI-ja 9.</w:t>
      </w:r>
    </w:p>
    <w:p w:rsidR="009E6057" w:rsidRDefault="00301A78">
      <w:pPr>
        <w:pStyle w:val="ListParagraph"/>
        <w:numPr>
          <w:ilvl w:val="0"/>
          <w:numId w:val="27"/>
        </w:numPr>
        <w:rPr>
          <w:rFonts w:ascii="Times New Roman" w:hAnsi="Times New Roman"/>
          <w:sz w:val="24"/>
          <w:szCs w:val="24"/>
        </w:rPr>
      </w:pPr>
      <w:r>
        <w:rPr>
          <w:rFonts w:ascii="Times New Roman" w:hAnsi="Times New Roman"/>
        </w:rPr>
        <w:lastRenderedPageBreak/>
        <w:t>„Preporuka ESRB-a o zatvaranju praznina u podacima o nekretninama” odnosi se na Preporuku Europskog odbora za sistemske rizike od 31. listopada 2016. o zatvaranju praznina u podacima o nekretninama (ESRB/2016/14)</w:t>
      </w:r>
      <w:r>
        <w:rPr>
          <w:rStyle w:val="FootnoteReference"/>
          <w:rFonts w:ascii="Times New Roman" w:hAnsi="Times New Roman"/>
        </w:rPr>
        <w:footnoteReference w:id="8"/>
      </w:r>
      <w:r>
        <w:rPr>
          <w:rFonts w:ascii="Times New Roman" w:hAnsi="Times New Roman"/>
        </w:rPr>
        <w:t xml:space="preserve">. </w:t>
      </w:r>
    </w:p>
    <w:p w:rsidR="009E6057" w:rsidRDefault="00A834F1">
      <w:pPr>
        <w:pStyle w:val="subtitlenumbered"/>
        <w:numPr>
          <w:ilvl w:val="0"/>
          <w:numId w:val="17"/>
        </w:numPr>
        <w:jc w:val="both"/>
      </w:pPr>
      <w:bookmarkStart w:id="2" w:name="_Toc30667457"/>
      <w:r>
        <w:t>Pravila</w:t>
      </w:r>
      <w:bookmarkEnd w:id="2"/>
    </w:p>
    <w:p w:rsidR="009E6057" w:rsidRDefault="00A834F1">
      <w:pPr>
        <w:pStyle w:val="Baseparagraphnumbered"/>
      </w:pPr>
      <w:r>
        <w:t>Za potrebe priloga III. i IV. sivo osjenčana točka podataka znači da ona nije zatražena ili da izvješćivanje o njoj nije moguće. U Prilogu IV. redak ili stupac s crno osjenčanim upućivanjima znači da odgovarajuće točke podataka ne podnose one institucije koje primjenjuju pravnu osnovu iz tog retka ili stupca.</w:t>
      </w:r>
    </w:p>
    <w:p w:rsidR="009E6057" w:rsidRDefault="00A834F1">
      <w:pPr>
        <w:pStyle w:val="Baseparagraphnumbered"/>
      </w:pPr>
      <w:r>
        <w:t>Obrascima iz priloga III. i IV. obuhvaćena su implicitna pravila validacije koja su u samim obrascima definirana na temelju konvencija.</w:t>
      </w:r>
    </w:p>
    <w:p w:rsidR="009E6057" w:rsidRDefault="00A834F1">
      <w:pPr>
        <w:pStyle w:val="Baseparagraphnumbered"/>
      </w:pPr>
      <w:r>
        <w:t>Upotreba zagrada u oznaci stavke u obrascu znači da tu stavku treba oduzeti kako bi se dobio ukupni iznos, ali to ne znači da se ta stavka iskazuje kao negativna vrijednost.</w:t>
      </w:r>
    </w:p>
    <w:p w:rsidR="009E6057" w:rsidRDefault="00A834F1">
      <w:pPr>
        <w:pStyle w:val="Baseparagraphnumbered"/>
      </w:pPr>
      <w:r>
        <w:t>Stavke koje se iskazuju kao negativna vrijednost navode se pri ispunjavanju obrazaca tako da se ispred njihove oznake navede „(–)”, poput stavke „(–) Trezorske dionice”.</w:t>
      </w:r>
    </w:p>
    <w:p w:rsidR="009E6057" w:rsidRDefault="00A834F1">
      <w:pPr>
        <w:pStyle w:val="Baseparagraphnumbered"/>
      </w:pPr>
      <w:r>
        <w:t xml:space="preserve">U ‚obrascu s točkama podataka’ (‚DPM’) za obrasce izvješćivanja o financijskim informacijama iz priloga III. i IV. svaka točka podataka (ćelija) ima „osnovnu stavku” kojoj se pripisuje „potraživanje/dugovanje”. Na taj se način osigurava da svi subjekti koji izvješćuju o točkama podataka primjenjuju „znakovno pravilo” te omogućava poznavanje atributa „potraživanje/dugovanje” koji se odnosi na svaku točku podataka. </w:t>
      </w:r>
    </w:p>
    <w:p w:rsidR="009E6057" w:rsidRDefault="00A834F1">
      <w:pPr>
        <w:pStyle w:val="Baseparagraphnumbered"/>
      </w:pPr>
      <w:r>
        <w:t>U shematskom pogledu to pravilo funkcionira kao u tablici 1.</w:t>
      </w:r>
    </w:p>
    <w:p w:rsidR="009E6057" w:rsidRDefault="00A834F1">
      <w:pPr>
        <w:keepNext/>
        <w:jc w:val="center"/>
        <w:rPr>
          <w:rFonts w:ascii="Times New Roman" w:hAnsi="Times New Roman"/>
          <w:bCs/>
          <w:i/>
          <w:sz w:val="24"/>
          <w:szCs w:val="24"/>
        </w:rPr>
      </w:pPr>
      <w:r>
        <w:rPr>
          <w:rFonts w:ascii="Times New Roman" w:hAnsi="Times New Roman"/>
          <w:bCs/>
          <w:i/>
        </w:rPr>
        <w:t>Tablica 1. Pravilo o potraživanju/dugovanju, pozitivne i negativne oznake</w:t>
      </w:r>
    </w:p>
    <w:tbl>
      <w:tblPr>
        <w:tblW w:w="8875" w:type="dxa"/>
        <w:tblInd w:w="-15" w:type="dxa"/>
        <w:tblLayout w:type="fixed"/>
        <w:tblCellMar>
          <w:left w:w="70" w:type="dxa"/>
          <w:right w:w="70" w:type="dxa"/>
        </w:tblCellMar>
        <w:tblLook w:val="0000" w:firstRow="0" w:lastRow="0" w:firstColumn="0" w:lastColumn="0" w:noHBand="0" w:noVBand="0"/>
      </w:tblPr>
      <w:tblGrid>
        <w:gridCol w:w="1276"/>
        <w:gridCol w:w="1361"/>
        <w:gridCol w:w="2977"/>
        <w:gridCol w:w="3261"/>
      </w:tblGrid>
      <w:tr w:rsidR="009E6057" w:rsidTr="00E40CCC">
        <w:trPr>
          <w:cantSplit/>
          <w:trHeight w:val="290"/>
          <w:tblHeader/>
        </w:trPr>
        <w:tc>
          <w:tcPr>
            <w:tcW w:w="1276" w:type="dxa"/>
            <w:tcBorders>
              <w:top w:val="single" w:sz="12" w:space="0" w:color="auto"/>
              <w:left w:val="single" w:sz="12" w:space="0" w:color="auto"/>
              <w:bottom w:val="single" w:sz="12" w:space="0" w:color="auto"/>
              <w:right w:val="single" w:sz="6" w:space="0" w:color="auto"/>
            </w:tcBorders>
            <w:shd w:val="clear" w:color="969696" w:fill="auto"/>
            <w:vAlign w:val="center"/>
          </w:tcPr>
          <w:p w:rsidR="009E6057"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1361" w:type="dxa"/>
            <w:tcBorders>
              <w:top w:val="single" w:sz="12" w:space="0" w:color="auto"/>
              <w:left w:val="single" w:sz="6" w:space="0" w:color="auto"/>
              <w:bottom w:val="single" w:sz="12" w:space="0" w:color="auto"/>
              <w:right w:val="single" w:sz="6" w:space="0" w:color="auto"/>
            </w:tcBorders>
            <w:shd w:val="clear" w:color="969696" w:fill="auto"/>
            <w:vAlign w:val="center"/>
          </w:tcPr>
          <w:p w:rsidR="009E6057"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Potraživanje</w:t>
            </w:r>
          </w:p>
          <w:p w:rsidR="009E6057"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Dugovanje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E6057" w:rsidRDefault="00A834F1" w:rsidP="00E40CCC">
            <w:pPr>
              <w:autoSpaceDE w:val="0"/>
              <w:autoSpaceDN w:val="0"/>
              <w:adjustRightInd w:val="0"/>
              <w:spacing w:after="0"/>
              <w:jc w:val="both"/>
              <w:rPr>
                <w:rFonts w:ascii="Times New Roman" w:hAnsi="Times New Roman"/>
                <w:b/>
                <w:bCs/>
                <w:szCs w:val="22"/>
              </w:rPr>
            </w:pPr>
            <w:r>
              <w:rPr>
                <w:rFonts w:ascii="Times New Roman" w:hAnsi="Times New Roman"/>
                <w:b/>
                <w:bCs/>
                <w:szCs w:val="22"/>
              </w:rPr>
              <w:t>Saldo/kretanje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E6057"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Iskazani iznos</w:t>
            </w:r>
          </w:p>
        </w:tc>
      </w:tr>
      <w:tr w:rsidR="009E6057" w:rsidTr="00E40CCC">
        <w:trPr>
          <w:trHeight w:val="557"/>
        </w:trPr>
        <w:tc>
          <w:tcPr>
            <w:tcW w:w="1276" w:type="dxa"/>
            <w:vMerge w:val="restart"/>
            <w:tcBorders>
              <w:top w:val="single" w:sz="12" w:space="0" w:color="auto"/>
              <w:left w:val="single" w:sz="1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Imovina</w:t>
            </w:r>
          </w:p>
        </w:tc>
        <w:tc>
          <w:tcPr>
            <w:tcW w:w="1361" w:type="dxa"/>
            <w:vMerge w:val="restart"/>
            <w:tcBorders>
              <w:top w:val="single" w:sz="12" w:space="0" w:color="auto"/>
              <w:left w:val="single" w:sz="6"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Dugovanje</w:t>
            </w:r>
          </w:p>
        </w:tc>
        <w:tc>
          <w:tcPr>
            <w:tcW w:w="2977" w:type="dxa"/>
            <w:tcBorders>
              <w:top w:val="single" w:sz="1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imovine</w:t>
            </w:r>
          </w:p>
        </w:tc>
        <w:tc>
          <w:tcPr>
            <w:tcW w:w="3261" w:type="dxa"/>
            <w:tcBorders>
              <w:top w:val="single" w:sz="1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Povećanje imovine</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Negativni saldo imovine</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57"/>
        </w:trPr>
        <w:tc>
          <w:tcPr>
            <w:tcW w:w="1276" w:type="dxa"/>
            <w:vMerge/>
            <w:tcBorders>
              <w:left w:val="single" w:sz="12" w:space="0" w:color="auto"/>
              <w:bottom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Smanjenje imovine</w:t>
            </w:r>
          </w:p>
        </w:tc>
        <w:tc>
          <w:tcPr>
            <w:tcW w:w="3261" w:type="dxa"/>
            <w:tcBorders>
              <w:top w:val="single" w:sz="2" w:space="0" w:color="auto"/>
              <w:left w:val="single" w:sz="6" w:space="0" w:color="auto"/>
              <w:bottom w:val="single" w:sz="6"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57"/>
        </w:trPr>
        <w:tc>
          <w:tcPr>
            <w:tcW w:w="1276" w:type="dxa"/>
            <w:vMerge w:val="restart"/>
            <w:tcBorders>
              <w:top w:val="single" w:sz="6" w:space="0" w:color="auto"/>
              <w:left w:val="single" w:sz="1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Rashodi</w:t>
            </w: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rashoda</w:t>
            </w:r>
          </w:p>
        </w:tc>
        <w:tc>
          <w:tcPr>
            <w:tcW w:w="3261" w:type="dxa"/>
            <w:tcBorders>
              <w:top w:val="single" w:sz="6"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Povećanje rashoda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Negativni saldo (uključujući ukidanja) rashoda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69"/>
        </w:trPr>
        <w:tc>
          <w:tcPr>
            <w:tcW w:w="1276" w:type="dxa"/>
            <w:vMerge/>
            <w:tcBorders>
              <w:left w:val="single" w:sz="12" w:space="0" w:color="auto"/>
              <w:bottom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bottom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Smanjenje rashoda</w:t>
            </w:r>
          </w:p>
        </w:tc>
        <w:tc>
          <w:tcPr>
            <w:tcW w:w="3261" w:type="dxa"/>
            <w:tcBorders>
              <w:top w:val="single" w:sz="2" w:space="0" w:color="auto"/>
              <w:left w:val="single" w:sz="6" w:space="0" w:color="auto"/>
              <w:bottom w:val="single" w:sz="1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57"/>
        </w:trPr>
        <w:tc>
          <w:tcPr>
            <w:tcW w:w="1276" w:type="dxa"/>
            <w:vMerge w:val="restart"/>
            <w:tcBorders>
              <w:top w:val="single" w:sz="12" w:space="0" w:color="auto"/>
              <w:left w:val="single" w:sz="1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Obveze</w:t>
            </w:r>
          </w:p>
        </w:tc>
        <w:tc>
          <w:tcPr>
            <w:tcW w:w="1361" w:type="dxa"/>
            <w:vMerge w:val="restart"/>
            <w:tcBorders>
              <w:top w:val="single" w:sz="12" w:space="0" w:color="auto"/>
              <w:left w:val="single" w:sz="6"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Potraživanje</w:t>
            </w:r>
          </w:p>
        </w:tc>
        <w:tc>
          <w:tcPr>
            <w:tcW w:w="2977" w:type="dxa"/>
            <w:tcBorders>
              <w:top w:val="single" w:sz="1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obveza</w:t>
            </w:r>
          </w:p>
        </w:tc>
        <w:tc>
          <w:tcPr>
            <w:tcW w:w="3261" w:type="dxa"/>
            <w:tcBorders>
              <w:top w:val="single" w:sz="1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Povećanje obveza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jc w:val="both"/>
              <w:rPr>
                <w:rFonts w:ascii="Times New Roman" w:hAnsi="Times New Roman"/>
                <w:szCs w:val="22"/>
              </w:rPr>
            </w:pPr>
            <w:r>
              <w:rPr>
                <w:rFonts w:ascii="Times New Roman" w:hAnsi="Times New Roman"/>
                <w:szCs w:val="22"/>
              </w:rPr>
              <w:t>Negativni saldo obveza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57"/>
        </w:trPr>
        <w:tc>
          <w:tcPr>
            <w:tcW w:w="1276" w:type="dxa"/>
            <w:vMerge/>
            <w:tcBorders>
              <w:left w:val="single" w:sz="12" w:space="0" w:color="auto"/>
              <w:bottom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Smanjenje obveza</w:t>
            </w:r>
          </w:p>
        </w:tc>
        <w:tc>
          <w:tcPr>
            <w:tcW w:w="3261" w:type="dxa"/>
            <w:tcBorders>
              <w:top w:val="single" w:sz="2" w:space="0" w:color="auto"/>
              <w:left w:val="single" w:sz="6" w:space="0" w:color="auto"/>
              <w:bottom w:val="single" w:sz="6"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57"/>
        </w:trPr>
        <w:tc>
          <w:tcPr>
            <w:tcW w:w="1276" w:type="dxa"/>
            <w:vMerge w:val="restart"/>
            <w:tcBorders>
              <w:top w:val="single" w:sz="6" w:space="0" w:color="auto"/>
              <w:left w:val="single" w:sz="1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Kapital</w:t>
            </w: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kapitala</w:t>
            </w:r>
          </w:p>
        </w:tc>
        <w:tc>
          <w:tcPr>
            <w:tcW w:w="3261" w:type="dxa"/>
            <w:tcBorders>
              <w:top w:val="single" w:sz="6"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Povećanje kapitala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jc w:val="both"/>
              <w:rPr>
                <w:rFonts w:ascii="Times New Roman" w:hAnsi="Times New Roman"/>
                <w:szCs w:val="22"/>
              </w:rPr>
            </w:pPr>
            <w:r>
              <w:rPr>
                <w:rFonts w:ascii="Times New Roman" w:hAnsi="Times New Roman"/>
                <w:szCs w:val="22"/>
              </w:rPr>
              <w:t>Negativan saldo kapitala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57"/>
        </w:trPr>
        <w:tc>
          <w:tcPr>
            <w:tcW w:w="1276" w:type="dxa"/>
            <w:vMerge/>
            <w:tcBorders>
              <w:left w:val="single" w:sz="12" w:space="0" w:color="auto"/>
              <w:bottom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Smanjenje kapitala</w:t>
            </w:r>
          </w:p>
        </w:tc>
        <w:tc>
          <w:tcPr>
            <w:tcW w:w="3261" w:type="dxa"/>
            <w:tcBorders>
              <w:top w:val="single" w:sz="2" w:space="0" w:color="auto"/>
              <w:left w:val="single" w:sz="6" w:space="0" w:color="auto"/>
              <w:bottom w:val="single" w:sz="6"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57"/>
        </w:trPr>
        <w:tc>
          <w:tcPr>
            <w:tcW w:w="1276" w:type="dxa"/>
            <w:vMerge w:val="restart"/>
            <w:tcBorders>
              <w:top w:val="single" w:sz="6" w:space="0" w:color="auto"/>
              <w:left w:val="single" w:sz="1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Prihodi</w:t>
            </w: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prihoda</w:t>
            </w:r>
          </w:p>
        </w:tc>
        <w:tc>
          <w:tcPr>
            <w:tcW w:w="3261" w:type="dxa"/>
            <w:tcBorders>
              <w:top w:val="single" w:sz="6"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Povećanje prihoda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Pozitivan („Uobičajen”, nije potrebna oznaka)</w:t>
            </w:r>
          </w:p>
        </w:tc>
      </w:tr>
      <w:tr w:rsidR="009E6057" w:rsidTr="00E40CCC">
        <w:trPr>
          <w:trHeight w:val="557"/>
        </w:trPr>
        <w:tc>
          <w:tcPr>
            <w:tcW w:w="1276" w:type="dxa"/>
            <w:vMerge/>
            <w:tcBorders>
              <w:left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Negativni saldo (uključujući ukidanja) prihoda</w:t>
            </w:r>
          </w:p>
        </w:tc>
        <w:tc>
          <w:tcPr>
            <w:tcW w:w="3261" w:type="dxa"/>
            <w:tcBorders>
              <w:top w:val="single" w:sz="2" w:space="0" w:color="auto"/>
              <w:left w:val="single" w:sz="6" w:space="0" w:color="auto"/>
              <w:bottom w:val="single" w:sz="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r w:rsidR="009E6057" w:rsidTr="00E40CCC">
        <w:trPr>
          <w:trHeight w:val="569"/>
        </w:trPr>
        <w:tc>
          <w:tcPr>
            <w:tcW w:w="1276" w:type="dxa"/>
            <w:vMerge/>
            <w:tcBorders>
              <w:left w:val="single" w:sz="12" w:space="0" w:color="auto"/>
              <w:bottom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1361" w:type="dxa"/>
            <w:vMerge/>
            <w:tcBorders>
              <w:left w:val="single" w:sz="6" w:space="0" w:color="auto"/>
              <w:bottom w:val="single" w:sz="12" w:space="0" w:color="auto"/>
              <w:right w:val="single" w:sz="6" w:space="0" w:color="auto"/>
            </w:tcBorders>
            <w:vAlign w:val="center"/>
          </w:tcPr>
          <w:p w:rsidR="009E6057" w:rsidRDefault="009E605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Smanjenje prihoda</w:t>
            </w:r>
          </w:p>
        </w:tc>
        <w:tc>
          <w:tcPr>
            <w:tcW w:w="3261" w:type="dxa"/>
            <w:tcBorders>
              <w:top w:val="single" w:sz="2" w:space="0" w:color="auto"/>
              <w:left w:val="single" w:sz="6" w:space="0" w:color="auto"/>
              <w:bottom w:val="single" w:sz="12" w:space="0" w:color="auto"/>
              <w:right w:val="single" w:sz="12" w:space="0" w:color="auto"/>
            </w:tcBorders>
            <w:vAlign w:val="center"/>
          </w:tcPr>
          <w:p w:rsidR="009E6057"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Negativan (Potrebna oznaka minus „–”)</w:t>
            </w:r>
          </w:p>
        </w:tc>
      </w:tr>
    </w:tbl>
    <w:p w:rsidR="009E6057" w:rsidRDefault="009E6057">
      <w:pPr>
        <w:pStyle w:val="Baseparagraphnumbered"/>
        <w:numPr>
          <w:ilvl w:val="0"/>
          <w:numId w:val="0"/>
        </w:numPr>
        <w:ind w:left="633"/>
      </w:pPr>
    </w:p>
    <w:p w:rsidR="009E6057" w:rsidRDefault="00A834F1">
      <w:pPr>
        <w:pStyle w:val="subtitlenumbered"/>
        <w:numPr>
          <w:ilvl w:val="0"/>
          <w:numId w:val="17"/>
        </w:numPr>
        <w:jc w:val="both"/>
      </w:pPr>
      <w:bookmarkStart w:id="3" w:name="_Toc30667458"/>
      <w:r>
        <w:t>Konsolidacija</w:t>
      </w:r>
      <w:bookmarkEnd w:id="3"/>
    </w:p>
    <w:p w:rsidR="009E6057" w:rsidRDefault="00A834F1">
      <w:pPr>
        <w:pStyle w:val="Baseparagraphnumbered"/>
      </w:pPr>
      <w:r>
        <w:t xml:space="preserve">Osim ako je ovim Prilogom drukčije utvrđeno, obrasci financijskog izvješćivanja sastavljaju se u okviru bonitetne konsolidacije u skladu s dijelom 1. glavom II. poglavljem 2. odjeljkom 2. CRR-a. Institucije izvješćuju o svojim društvima kćerima, zajedničkim pothvatima i pridruženim društvima s pomoću jednakih metoda kao i kod bonitetne konsolidacije: </w:t>
      </w:r>
    </w:p>
    <w:p w:rsidR="009E6057" w:rsidRDefault="00A834F1">
      <w:pPr>
        <w:pStyle w:val="Baseparagraphnumbered"/>
        <w:numPr>
          <w:ilvl w:val="1"/>
          <w:numId w:val="26"/>
        </w:numPr>
        <w:ind w:left="993"/>
      </w:pPr>
      <w:r>
        <w:t>institucijama se može dopustiti ili se od njih može zatražiti primjena metode udjela na ulaganja u osiguravateljna i nefinancijska društva kćeri u skladu s člankom 18. stavkom 5. CRR-a;</w:t>
      </w:r>
    </w:p>
    <w:p w:rsidR="009E6057" w:rsidRDefault="00A834F1">
      <w:pPr>
        <w:pStyle w:val="Baseparagraphnumbered"/>
        <w:numPr>
          <w:ilvl w:val="1"/>
          <w:numId w:val="26"/>
        </w:numPr>
        <w:ind w:left="993"/>
      </w:pPr>
      <w:r>
        <w:t>institucijama se može dopustiti primjena metode proporcionalne konsolidacije za financijska društva kćeri u skladu s člankom 18. stavkom 2. CRR-a;</w:t>
      </w:r>
    </w:p>
    <w:p w:rsidR="009E6057" w:rsidRDefault="00A834F1">
      <w:pPr>
        <w:pStyle w:val="Baseparagraphnumbered"/>
        <w:numPr>
          <w:ilvl w:val="1"/>
          <w:numId w:val="26"/>
        </w:numPr>
        <w:ind w:left="993"/>
      </w:pPr>
      <w:r>
        <w:lastRenderedPageBreak/>
        <w:t>od institucija se može zatražiti primjena metode proporcionalne konsolidacije za ulaganja u zajedničke pothvate u skladu s člankom 18. stavkom 4. CRR-a.</w:t>
      </w:r>
    </w:p>
    <w:p w:rsidR="009E6057" w:rsidRDefault="00A834F1">
      <w:pPr>
        <w:pStyle w:val="subtitlenumbered"/>
        <w:numPr>
          <w:ilvl w:val="0"/>
          <w:numId w:val="17"/>
        </w:numPr>
        <w:jc w:val="both"/>
      </w:pPr>
      <w:bookmarkStart w:id="4" w:name="_Toc30667459"/>
      <w:r>
        <w:t>Računovodstveni portfelji financijskih instrumenata</w:t>
      </w:r>
      <w:bookmarkEnd w:id="4"/>
      <w:r>
        <w:t xml:space="preserve"> </w:t>
      </w:r>
    </w:p>
    <w:p w:rsidR="009E6057" w:rsidRDefault="00A834F1">
      <w:pPr>
        <w:pStyle w:val="Baseparagraphnumbered"/>
      </w:pPr>
      <w:r>
        <w:t>Za potrebe priloga III. i IV. te ovog Priloga „računovodstveni portfelji” znači financijski instrumenti agregirani prema pravilima o vrednovanju. U te agregirane vrijednosti nisu uključena ulaganja u društva kćeri, zajedničke pothvate i pridružena društva, salda potraživanja po viđenju klasificiranih kao „Gotovina, sredstva u središnjim bankama i ostali depoziti po viđenju”, kao ni oni financijski instrumenti klasificirani kao „Namijenjeni za prodaju” navedeni u stavkama „Dugotrajna imovina i grupe za otuđenje klasificirane kao namijenjene za prodaju” i „Obveze uključene u grupe za otuđenje klasificirane kao namijenjene za prodaju”.</w:t>
      </w:r>
    </w:p>
    <w:p w:rsidR="009E6057" w:rsidRDefault="00A834F1">
      <w:pPr>
        <w:pStyle w:val="Baseparagraphnumbered"/>
      </w:pPr>
      <w:r>
        <w:t>Institucije kojima je u skladu s nacionalnim općeprihvaćenim računovodstvenim načelima dopuštena ili propisana primjena određenih pravila o vrednovanju za financijske instrumente u skladu s MSFI-jem izvješćuju o mjerodavnim računovodstvenim portfeljima u skladu s MSFI-jem u mjeri u kojoj se oni primjenjuju. Ako pravila o vrednovanju za financijske instrumente čija je primjena institucijama dopuštena ili propisana u skladu s nacionalnim općeprihvaćenim računovodstvenim načelima na temelju BAD-a upućuju na pravila o vrednovanju iz MRS-a 39, institucije izvješćuju o računovodstvenim portfeljima na temelju BAD-a za sve svoje financijske instrumente sve dok se pravila o vrednovanju koja primjenjuju ne počnu upućivati na pravila o vrednovanju iz MSFI-ja 9.</w:t>
      </w:r>
    </w:p>
    <w:p w:rsidR="009E6057" w:rsidRDefault="00A834F1">
      <w:pPr>
        <w:pStyle w:val="sub-subtitlenumbered"/>
      </w:pPr>
      <w:bookmarkStart w:id="5" w:name="_Toc30667460"/>
      <w:r>
        <w:t>Financijska imovina</w:t>
      </w:r>
      <w:bookmarkEnd w:id="5"/>
    </w:p>
    <w:p w:rsidR="009E6057" w:rsidRDefault="00A834F1">
      <w:pPr>
        <w:pStyle w:val="Baseparagraphnumbered"/>
      </w:pPr>
      <w:r>
        <w:t>Za financijsku imovinu primjenjuju se sljedeći računovodstveni portfelji na temelju MSFI-ja:</w:t>
      </w:r>
    </w:p>
    <w:p w:rsidR="009E6057"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„financijska imovina koja se drži radi trgovanja”;</w:t>
      </w:r>
    </w:p>
    <w:p w:rsidR="009E6057"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„financijska imovina kojom se ne trguje koja se obvezno mjeri po fer vrijednosti kroz dobit ili gubitak”;</w:t>
      </w:r>
    </w:p>
    <w:p w:rsidR="009E6057"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„financijska imovina po fer vrijednosti kroz dobit ili gubitak”;</w:t>
      </w:r>
    </w:p>
    <w:p w:rsidR="009E6057"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„financijska imovina po fer vrijednosti kroz ostalu sveobuhvatnu dobit”;</w:t>
      </w:r>
    </w:p>
    <w:p w:rsidR="009E6057"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„financijska imovina po amortiziranom trošku”.</w:t>
      </w:r>
    </w:p>
    <w:p w:rsidR="009E6057" w:rsidRDefault="00A834F1">
      <w:pPr>
        <w:pStyle w:val="Baseparagraphnumbered"/>
      </w:pPr>
      <w:r>
        <w:t>Za financijsku imovinu primjenjuju se sljedeći računovodstveni portfelji na temelju nacionalnih općeprihvaćenih računovodstvenih načela:</w:t>
      </w:r>
    </w:p>
    <w:p w:rsidR="009E6057" w:rsidRDefault="00A834F1">
      <w:pPr>
        <w:pStyle w:val="Baseparagraphnumbered"/>
        <w:numPr>
          <w:ilvl w:val="0"/>
          <w:numId w:val="33"/>
        </w:numPr>
        <w:ind w:left="1134"/>
      </w:pPr>
      <w:r>
        <w:t xml:space="preserve">„financijska imovina kojom se trguje”; </w:t>
      </w:r>
    </w:p>
    <w:p w:rsidR="009E6057" w:rsidRDefault="00A834F1">
      <w:pPr>
        <w:pStyle w:val="Baseparagraphnumbered"/>
        <w:numPr>
          <w:ilvl w:val="0"/>
          <w:numId w:val="33"/>
        </w:numPr>
        <w:ind w:left="1134"/>
      </w:pPr>
      <w:r>
        <w:t xml:space="preserve">„neizvedena financijska imovina kojom se ne trguje koja se mjeri po fer vrijednosti kroz dobit ili gubitak”; </w:t>
      </w:r>
    </w:p>
    <w:p w:rsidR="009E6057" w:rsidRDefault="00A834F1">
      <w:pPr>
        <w:pStyle w:val="Baseparagraphnumbered"/>
        <w:numPr>
          <w:ilvl w:val="0"/>
          <w:numId w:val="0"/>
        </w:numPr>
        <w:ind w:left="1134" w:hanging="360"/>
      </w:pPr>
      <w:r>
        <w:lastRenderedPageBreak/>
        <w:t>(c) „neizvedena financijska imovina kojom se ne trguje koja se mjeri po fer vrijednosti kroz kapital”;</w:t>
      </w:r>
    </w:p>
    <w:p w:rsidR="009E6057" w:rsidRDefault="00A834F1">
      <w:pPr>
        <w:pStyle w:val="Baseparagraphnumbered"/>
        <w:numPr>
          <w:ilvl w:val="0"/>
          <w:numId w:val="0"/>
        </w:numPr>
        <w:ind w:left="1134" w:hanging="360"/>
      </w:pPr>
      <w:r>
        <w:t>(d) „neizvedena financijska imovina kojom se ne trguje koja se mjeri metodom troška”;</w:t>
      </w:r>
    </w:p>
    <w:p w:rsidR="009E6057" w:rsidRDefault="00A834F1">
      <w:pPr>
        <w:pStyle w:val="Baseparagraphnumbered"/>
        <w:numPr>
          <w:ilvl w:val="0"/>
          <w:numId w:val="0"/>
        </w:numPr>
        <w:ind w:left="1134" w:hanging="360"/>
      </w:pPr>
      <w:r>
        <w:t>(e) „ostala neizvedena financijska imovina kojom se ne trguje”.</w:t>
      </w:r>
    </w:p>
    <w:p w:rsidR="009E6057" w:rsidRDefault="00A834F1">
      <w:pPr>
        <w:pStyle w:val="Baseparagraphnumbered"/>
      </w:pPr>
      <w:r>
        <w:t>„Financijska imovina kojom se trguje” uključuje svu financijsku imovinu klasificiranu kao imovinu kojom se trguje na temelju mjerodavnih nacionalnih općeprihvaćenih računovodstvenih načela na temelju BAD-a. Neovisno o metodologiji mjerenja koja se primjenjuje na temelju mjerodavnih nacionalnih općeprihvaćenih računovodstvenih načela na temelju BAD-a, sve izvedenice koje predstavljaju pozitivni saldo za instituciju koja izvješćuje koje nisu klasificirane u kategoriju računovodstvo zaštite u skladu s točkom 22. ovog dijela iskazuju se u kategoriji financijska imovina kojom se trguje. Ta se klasifikacija primjenjuje i na izvedenice koje se, u skladu s mjerodavnim nacionalnim općeprihvaćenim računovodstvenim načelima na temelju BAD-a, ne priznaju u bilanci ili za koje se samo promjene njihove fer vrijednosti priznaju u bilanci ili koje su klasificirane kao ekonomske zaštite kako je definirano u dijelu 2. točki 137. ovog Priloga.</w:t>
      </w:r>
    </w:p>
    <w:p w:rsidR="009E6057" w:rsidRDefault="00A834F1">
      <w:pPr>
        <w:pStyle w:val="Baseparagraphnumbered"/>
      </w:pPr>
      <w:r>
        <w:t xml:space="preserve">U skladu s nacionalnim općeprihvaćenim računovodstvenim načelima na temelju BAD-a koja vrijede za financijsku imovinu, „metode troška” obuhvaćaju pravila o vrednovanju prema kojima se dužnički instrument mjeri po trošku uz uvećanje za obračunate kamate i umanjenje za gubitke zbog umanjenja vrijednosti. </w:t>
      </w:r>
    </w:p>
    <w:p w:rsidR="009E6057" w:rsidRDefault="00A834F1">
      <w:pPr>
        <w:pStyle w:val="Baseparagraphnumbered"/>
      </w:pPr>
      <w:r>
        <w:t xml:space="preserve">U skladu s nacionalnim općeprihvaćenim računovodstvenim načelima na temelju BAD-a, „neizvedena financijska imovina kojom se ne trguje i koja se mjeri metodom troška” uključuje financijske instrumente koji se mjere metodom troška i instrumente koji se mjere po trošku ili tržišnoj vrijednosti (LOCOM), ovisno o tome koji je iznos niži, na povremenoj osnovi (umjereni LOCOM) neovisno o njihovu stvarnom mjerenju od referentnog izvještajnog datuma. Imovina koja se mjeri po umjerenom LOCOM-u imovina je na koju se LOCOM primjenjuje samo u posebnim okolnostima. U primjenjivom računovodstvenom okviru predviđaju se te okolnosti, primjerice umanjenje vrijednosti, dugotrajniji pad fer vrijednosti u usporedbi s troškom ili promjena rukovodstvenih ciljeva. </w:t>
      </w:r>
    </w:p>
    <w:p w:rsidR="009E6057" w:rsidRDefault="00A834F1">
      <w:pPr>
        <w:pStyle w:val="Baseparagraphnumbered"/>
      </w:pPr>
      <w:r>
        <w:t>U skladu s nacionalnim općeprihvaćenim računovodstvenim načelima na temelju BAD-a, stavka „Ostala neizvedena financijska imovina kojom se ne trguje” obuhvaća financijsku imovinu koja nije kvalificirana za uključivanje u ostale računovodstvene portfelje. Tim računovodstvenim portfeljem, među ostalim, obuhvaćena je financijska imovina koja se trajno mjeri po LOCOM-u („strogi LOCOM”). Imovina koja se mjeri po strogom LOCOM-u imovina je za koju primjenjivi računovodstveni okvir predviđa početno ili naknadno mjerenje po LOCOM-u ili početno mjerenje po trošku i naknadno mjerenje po LOCOM-u.</w:t>
      </w:r>
    </w:p>
    <w:p w:rsidR="009E6057" w:rsidRDefault="00A834F1">
      <w:pPr>
        <w:pStyle w:val="Baseparagraphnumbered"/>
      </w:pPr>
      <w:r>
        <w:lastRenderedPageBreak/>
        <w:t>Neovisno o metodi njihova mjerenja, ulaganja u društva kćeri, zajedničke pothvate i pridružena društva koji nisu u potpunosti ili proporcionalno konsolidirani u okviru opsega regulatorne konsolidacije iskazuju se pod stavkom „Ulaganja u društva kćeri, zajedničke pothvate i pridružena društva”, osim ako se klasificiraju kao ulaganja namijenjena za prodaju u skladu s MSFI-jem 5.</w:t>
      </w:r>
    </w:p>
    <w:p w:rsidR="009E6057" w:rsidRDefault="00A834F1">
      <w:pPr>
        <w:pStyle w:val="Baseparagraphnumbered"/>
      </w:pPr>
      <w:r>
        <w:t xml:space="preserve"> Stavkom „Izvedenice - računovodstvo zaštite” obuhvaćene su izvedenice koje predstavljaju pozitivni saldo za instituciju koja izvješćuje koje se drže radi računovodstva zaštite na temelju MSFI-ja. U skladu s nacionalnim općeprihvaćenim računovodstvenim načelima na temelju BAD-a, izvedenice iz knjige pozicija kojima se ne trguje klasificiraju se kao izvedenice koje se drže radi računovodstva zaštite samo ako se na izvedenice iz knjige pozicija kojima se ne trguje primjenjuju posebna računovodstvena pravila u skladu s mjerodavnim nacionalnim općeprihvaćenim računovodstvenim načelima na temelju BAD-a i ako se izvedenicama smanjuje rizike neke druge pozicije u knjizi pozicija kojima se ne trguje. </w:t>
      </w:r>
    </w:p>
    <w:p w:rsidR="009E6057" w:rsidRDefault="00A834F1">
      <w:pPr>
        <w:pStyle w:val="sub-subtitlenumbered"/>
        <w:keepNext/>
        <w:ind w:left="788" w:hanging="431"/>
        <w:jc w:val="both"/>
      </w:pPr>
      <w:r>
        <w:t xml:space="preserve"> </w:t>
      </w:r>
      <w:bookmarkStart w:id="6" w:name="_Toc30667461"/>
      <w:r>
        <w:t>Financijske obveze</w:t>
      </w:r>
      <w:bookmarkEnd w:id="6"/>
    </w:p>
    <w:p w:rsidR="009E6057" w:rsidRDefault="00A834F1">
      <w:pPr>
        <w:pStyle w:val="Baseparagraphnumbered"/>
      </w:pPr>
      <w:r>
        <w:t xml:space="preserve">Za financijske obveze primjenjuju se sljedeći računovodstveni portfelji na temelju MSFI-ja: </w:t>
      </w:r>
    </w:p>
    <w:p w:rsidR="009E6057"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„financijske obveze koje se drže radi trgovanja”; </w:t>
      </w:r>
    </w:p>
    <w:p w:rsidR="009E6057"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„financijske obveze po fer vrijednosti kroz dobit ili gubitak”;  </w:t>
      </w:r>
    </w:p>
    <w:p w:rsidR="009E6057"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„financijske obveze koje se mjere po amortiziranom trošku”.</w:t>
      </w:r>
    </w:p>
    <w:p w:rsidR="009E6057" w:rsidRDefault="00A834F1">
      <w:pPr>
        <w:pStyle w:val="Baseparagraphnumbered"/>
      </w:pPr>
      <w:r>
        <w:t xml:space="preserve">Za financijske obveze primjenjuju se sljedeći računovodstveni portfelji na temelju nacionalnih općeprihvaćenih računovodstvenih načela: </w:t>
      </w:r>
    </w:p>
    <w:p w:rsidR="009E6057" w:rsidRDefault="00A834F1">
      <w:pPr>
        <w:pStyle w:val="Baseparagraphnumbered"/>
        <w:numPr>
          <w:ilvl w:val="0"/>
          <w:numId w:val="0"/>
        </w:numPr>
        <w:ind w:left="1134" w:hanging="283"/>
      </w:pPr>
      <w:r>
        <w:t xml:space="preserve">(a) „financijske obveze kojima se trguje”; </w:t>
      </w:r>
    </w:p>
    <w:p w:rsidR="009E6057" w:rsidRDefault="00A834F1">
      <w:pPr>
        <w:pStyle w:val="Baseparagraphnumbered"/>
        <w:numPr>
          <w:ilvl w:val="0"/>
          <w:numId w:val="0"/>
        </w:numPr>
        <w:ind w:left="1134" w:hanging="283"/>
      </w:pPr>
      <w:r>
        <w:t>(b) „neizvedene financijske obveze kojima se ne trguje koje se mjere metodom troška”.</w:t>
      </w:r>
    </w:p>
    <w:p w:rsidR="009E6057" w:rsidRDefault="00A834F1">
      <w:pPr>
        <w:pStyle w:val="Baseparagraphnumbered"/>
      </w:pPr>
      <w:r>
        <w:t>„Financijske obveze kojima se trguje” uključuju sve financijske obveze klasificirane kao obveze kojima se trguje na temelju mjerodavnih nacionalnih općeprihvaćenih računovodstvenih načela na temelju BAD-a. Neovisno o metodologiji mjerenja koja se primjenjuje na temelju mjerodavnih nacionalnih općeprihvaćenih računovodstvenih načela na temelju BAD-a, sve izvedenice koje predstavljaju negativni saldo za instituciju koja izvješćuje koje nisu klasificirane u kategoriju računovodstvo zaštite u skladu s točkom 26. ovog dijela iskazuju se u kategoriji financijske obveze kojima se trguje. Ta se klasifikacija primjenjuje i na izvedenice koje se, u skladu s mjerodavnim nacionalnim općeprihvaćenim računovodstvenim načelima na temelju BAD-a, ne priznaju u bilanci ili za koje se samo promjene njihove fer vrijednosti priznaju u bilanci ili koje su klasificirane kao ekonomske zaštite kako je definirano u dijelu 2. točki 137. ovog Priloga.</w:t>
      </w:r>
    </w:p>
    <w:p w:rsidR="009E6057" w:rsidRDefault="00A834F1">
      <w:pPr>
        <w:pStyle w:val="Baseparagraphnumbered"/>
      </w:pPr>
      <w:r>
        <w:lastRenderedPageBreak/>
        <w:t xml:space="preserve">Stavkom „Izvedenice – računovodstvo zaštite” obuhvaćene su izvedenice koje predstavljaju negativni saldo za instituciju koja izvješćuje koje se drže radi računovodstva zaštite na temelju MSFI-ja. U skladu s nacionalnim općeprihvaćenim računovodstvenim načelima na temelju BAD-a, izvedenice iz knjige pozicija kojima se ne trguje klasificiraju se kao računovodstvo zaštite samo ako se na izvedenice iz knjiga pozicija kojima se ne trguje primjenjuju posebna računovodstvena pravila u skladu s nacionalnim općeprihvaćenim računovodstvenim načelima na temelju BAD-a i ako se izvedenicama smanjuje rizik neke druge pozicije u knjizi pozicija kojima se ne trguje. </w:t>
      </w:r>
    </w:p>
    <w:p w:rsidR="009E6057" w:rsidRDefault="00A834F1">
      <w:pPr>
        <w:pStyle w:val="subtitlenumbered"/>
        <w:numPr>
          <w:ilvl w:val="0"/>
          <w:numId w:val="17"/>
        </w:numPr>
        <w:jc w:val="both"/>
      </w:pPr>
      <w:bookmarkStart w:id="7" w:name="_Toc30667462"/>
      <w:r>
        <w:t>Financijski instrumenti</w:t>
      </w:r>
      <w:bookmarkEnd w:id="7"/>
    </w:p>
    <w:p w:rsidR="009E6057" w:rsidRDefault="00A834F1">
      <w:pPr>
        <w:pStyle w:val="Baseparagraphnumbered"/>
      </w:pPr>
      <w:r>
        <w:t>Za potrebe priloga III. i IV. te ovog Priloga ‚knjigovodstvena vrijednost’ znači iznos koji treba iskazati u bilanci. Knjigovodstvena vrijednost financijskih instrumenata uključuje obračunate kamate. U skladu s nacionalnim općeprihvaćenim računovodstvenim načelima na temelju BAD-a knjigovodstvena vrijednost izvedenica jednaka je knjigovodstvenoj vrijednosti na temelju nacionalnih općeprihvaćenih računovodstvenih načela uključujući vremenska razgraničenja, premije i rezervacije ako je primjenjivo, ili iznosi nula ako izvedenice nisu priznate u bilanci.</w:t>
      </w:r>
    </w:p>
    <w:p w:rsidR="009E6057" w:rsidRDefault="00A834F1">
      <w:pPr>
        <w:pStyle w:val="Baseparagraphnumbered"/>
      </w:pPr>
      <w:r>
        <w:t xml:space="preserve">Ako su priznati na temelju mjerodavnih nacionalnih općeprihvaćenih računovodstvenih načela na temelju BAD-a, aktivna i pasivna vremenska razgraničenja financijskih instrumenata, uključujući obračunate kamate, premije i diskonte ili troškove transakcije, iskazuju se zajedno s instrumentom, a ne pod ostalom imovinom ili ostalim obvezama. </w:t>
      </w:r>
    </w:p>
    <w:p w:rsidR="009E6057" w:rsidRDefault="00A834F1">
      <w:pPr>
        <w:pStyle w:val="Baseparagraphnumbered"/>
      </w:pPr>
      <w:r>
        <w:t>Ako je primjenjivo u skladu s nacionalnim općeprihvaćenim računovodstvenim načelima na temelju BAD-a, iskazuju se „Korektivni faktori za pozicije trgovanja vrednovane po fer vrijednosti”. Korektivni faktori smanjuju vrijednost imovine kojom se trguje i povećavaju vrijednost obveza kojima se trguje.</w:t>
      </w:r>
    </w:p>
    <w:p w:rsidR="009E6057" w:rsidRDefault="00A834F1">
      <w:pPr>
        <w:pStyle w:val="sub-subtitlenumbered"/>
        <w:jc w:val="both"/>
      </w:pPr>
      <w:bookmarkStart w:id="8" w:name="_Toc30667463"/>
      <w:r>
        <w:t>Financijska imovina</w:t>
      </w:r>
      <w:bookmarkEnd w:id="8"/>
      <w:r>
        <w:t xml:space="preserve"> </w:t>
      </w:r>
    </w:p>
    <w:p w:rsidR="009E6057" w:rsidRDefault="00A834F1">
      <w:pPr>
        <w:pStyle w:val="Baseparagraphnumbered"/>
      </w:pPr>
      <w:r>
        <w:t>Financijska imovina raspodjeljuje se prema sljedećim kategorijama instrumenata: „novac u blagajni”, „izvedenice”, „vlasnički instrumenti”, „dužnički vrijednosni papiri” i „krediti i predujmovi”.</w:t>
      </w:r>
    </w:p>
    <w:p w:rsidR="009E6057" w:rsidRDefault="00A834F1">
      <w:pPr>
        <w:pStyle w:val="Baseparagraphnumbered"/>
      </w:pPr>
      <w:r>
        <w:t>„Dužnički vrijednosni papiri” jesu dužnički instrumenti koje drži institucija izdani kao vrijednosni papiri koji nisu krediti, kako je definirano u tablici u dijelu 2. Priloga II. Uredbi ESB-a o BSI-ju.</w:t>
      </w:r>
    </w:p>
    <w:p w:rsidR="009E6057" w:rsidRDefault="00A834F1">
      <w:pPr>
        <w:pStyle w:val="Baseparagraphnumbered"/>
      </w:pPr>
      <w:r>
        <w:t xml:space="preserve">„Krediti i predujmovi” jesu dužnički instrumenti koje drži institucija i koji nisu vrijednosni papiri. Ta stavka uključuje kredite kako su definirani u tablici u dijelu 2. Priloga II. Uredbi ESB-a o BSI-ju te predujmove koji se ne mogu klasificirati kao krediti kako su definirani u tablici u dijelu 2. Priloga II. Uredbi ESB-a o BSI-ju. „Predujmovi koji nisu krediti” dodatno se opisuju u točki 85. podtočki (g) dijela 2. ovog Priloga. </w:t>
      </w:r>
    </w:p>
    <w:p w:rsidR="009E6057" w:rsidRDefault="00A834F1">
      <w:pPr>
        <w:pStyle w:val="Baseparagraphnumbered"/>
      </w:pPr>
      <w:r>
        <w:lastRenderedPageBreak/>
        <w:t>Kod financijskog izvješćivanja stavkom „dužnički instrumenti” obuhvaćeni su „krediti i predujmovi” i „dužnički vrijednosni papiri”.</w:t>
      </w:r>
    </w:p>
    <w:p w:rsidR="009E6057" w:rsidRDefault="00A834F1">
      <w:pPr>
        <w:pStyle w:val="sub-subtitlenumbered"/>
        <w:jc w:val="both"/>
      </w:pPr>
      <w:bookmarkStart w:id="9" w:name="_Toc30667464"/>
      <w:r>
        <w:t>Bruto knjigovodstvena vrijednost</w:t>
      </w:r>
      <w:bookmarkEnd w:id="9"/>
    </w:p>
    <w:p w:rsidR="009E6057" w:rsidRDefault="00A834F1">
      <w:pPr>
        <w:pStyle w:val="Baseparagraphnumbered"/>
      </w:pPr>
      <w:r>
        <w:t>Bruto knjigovodstvena vrijednost dužničkih instrumenata znači sljedeće:</w:t>
      </w:r>
    </w:p>
    <w:p w:rsidR="009E6057" w:rsidRDefault="00A834F1">
      <w:pPr>
        <w:pStyle w:val="Baseparagraphnumbered"/>
        <w:numPr>
          <w:ilvl w:val="1"/>
          <w:numId w:val="26"/>
        </w:numPr>
        <w:ind w:left="1170"/>
      </w:pPr>
      <w:r>
        <w:t xml:space="preserve"> na temelju MSFI-ja i nacionalnih općeprihvaćenih računovodstvenih načela na temelju BAD-a, bruto knjigovodstvena vrijednost dužničkih instrumenata koji se mjere po fer vrijednosti kroz dobit ili gubitak koji nisu uključeni u portfelj koji se drži radi trgovanja ili portfelj kojim se trguje ovisi o tome jesu li ti dužnički instrumenti klasificirani kao prihodujući ili neprihodujući. Bruto knjigovodstvena vrijednost prihodujućih dužničkih instrumenata jest fer vrijednost. Bruto knjigovodstvena vrijednost neprihodujućih dužničkih instrumenata jest fer vrijednost nakon što se dodaju sve eventualne akumulirane negativne promjene fer vrijednosti zbog kreditnog rizika, kako je definirano u točki 69. dijela 2. ovog Priloga. Za potrebe mjerenja bruto knjigovodstvene vrijednosti dužnički instrumenti vrednuju se na razini pojedinačnih financijskih instrumenata;</w:t>
      </w:r>
    </w:p>
    <w:p w:rsidR="009E6057" w:rsidRDefault="00A834F1">
      <w:pPr>
        <w:pStyle w:val="Baseparagraphnumbered"/>
        <w:numPr>
          <w:ilvl w:val="1"/>
          <w:numId w:val="26"/>
        </w:numPr>
        <w:ind w:left="1170"/>
      </w:pPr>
      <w:r>
        <w:t>na temelju MSFI-ja kod dužničkih instrumenata po amortiziranom trošku ili po fer vrijednosti kroz ostalu sveobuhvatnu dobit bruto knjigovodstvena vrijednost znači knjigovodstvena vrijednost prije usklađivanja za rezervacije za smanjenje vrijednosti;</w:t>
      </w:r>
    </w:p>
    <w:p w:rsidR="009E6057" w:rsidRDefault="00A834F1">
      <w:pPr>
        <w:pStyle w:val="Baseparagraphnumbered"/>
        <w:numPr>
          <w:ilvl w:val="1"/>
          <w:numId w:val="26"/>
        </w:numPr>
        <w:ind w:left="1170"/>
      </w:pPr>
      <w:r>
        <w:t xml:space="preserve">u skladu s nacionalnim općeprihvaćenim računovodstvenim načelima na temelju BAD-a, za dužničke instrumente klasificirane kao „neizvedena financijska imovina kojom se ne trguje i koja se mjeri metodom troška” bruto knjigovodstvena vrijednost imovine kojoj je umanjena vrijednost jednaka je knjigovodstvenoj vrijednosti prije usklađenja za specifične ispravke vrijednosti zbog kreditnih rizika. Bruto knjigovodstvena vrijednost imovine kojoj nije umanjena vrijednost znači knjigovodstvena vrijednost prije usklađivanja za opće ispravke vrijednosti zbog kreditnog rizika i opće ispravke vrijednosti zbog bankovnog rizika, ako oni utječu na knjigovodstvenu vrijednost; </w:t>
      </w:r>
    </w:p>
    <w:p w:rsidR="009E6057" w:rsidRDefault="00A834F1">
      <w:pPr>
        <w:pStyle w:val="Baseparagraphnumbered"/>
        <w:numPr>
          <w:ilvl w:val="1"/>
          <w:numId w:val="26"/>
        </w:numPr>
        <w:ind w:left="1170"/>
      </w:pPr>
      <w:r>
        <w:t xml:space="preserve">u skladu s nacionalnim općeprihvaćenim računovodstvenim načelima na temelju BAD-a, bruto knjigovodstvena vrijednost dužničkih instrumenata klasificiranih kao „neizvedena financijska imovina kojom se ne trguje i koja se mjeri po fer vrijednosti kroz kapital” ovisi o tome podliježe li ta financijska imovina zahtjevima o umanjenju vrijednosti. Ako podliježe zahtjevima o umanjenju vrijednosti, bruto knjigovodstvena vrijednost znači knjigovodstvena vrijednost prije usklađivanja za akumulirano umanjenje vrijednosti, na temelju zahtjeva iz prethodno navedene točke (c) za imovinu kojoj je umanjena vrijednost i imovinu kojoj nije umanjena vrijednost, ili svaki akumulirani iznos vrijednosnog usklađivanja fer vrijednosti koji se smatra gubitkom zbog umanjenja vrijednosti. Ako ta financijska imovina ne podliježe zahtjevima o umanjenju vrijednosti, bruto knjigovodstvena vrijednost te financijske imovine znači fer vrijednost za prihodujuće izloženosti, a za neprihodujuće izloženosti znači fer vrijednost </w:t>
      </w:r>
      <w:r>
        <w:lastRenderedPageBreak/>
        <w:t>nakon što se doda svako akumulirano negativno vrijednosno usklađivanje fer vrijednosti zbog kreditnog rizika;</w:t>
      </w:r>
    </w:p>
    <w:p w:rsidR="009E6057" w:rsidRDefault="00A834F1">
      <w:pPr>
        <w:pStyle w:val="Baseparagraphnumbered"/>
        <w:numPr>
          <w:ilvl w:val="1"/>
          <w:numId w:val="26"/>
        </w:numPr>
        <w:ind w:left="1170"/>
      </w:pPr>
      <w:r>
        <w:t xml:space="preserve">u skladu s nacionalnim općeprihvaćenim računovodstvenim načelima na temelju BAD-a, bruto knjigovodstvena vrijednost dužničkih instrumenata koji se mjere po strogom ili umjerenom LOCOM-u jednaka je trošku ako se mjere po trošku tijekom referentnog izvještajnog razdoblja. Ako se ti dužnički instrumenti mjere po tržišnoj vrijednosti, bruto knjigovodstvena vrijednost jednaka je tržišnoj vrijednosti prije usklađivanja za vrijednosna usklađenja potaknuta kreditnim rizikom; </w:t>
      </w:r>
    </w:p>
    <w:p w:rsidR="009E6057" w:rsidRDefault="00A834F1">
      <w:pPr>
        <w:pStyle w:val="Baseparagraphnumbered"/>
        <w:numPr>
          <w:ilvl w:val="1"/>
          <w:numId w:val="26"/>
        </w:numPr>
        <w:ind w:left="1170"/>
      </w:pPr>
      <w:r>
        <w:t>u skladu s nacionalnim općeprihvaćenim računovodstvenim načelima na temelju BAD-a, bruto knjigovodstvena vrijednost dužničkih instrumenata iskazanih pod stavkom „Ostala neizvedena financijska imovina kojom se ne trguje”, u slučaju primjene metoda mjerenja koje ne uključuju LOCOM, znači knjigovodstvena vrijednost prije nego što se u obzir uzme vrijednosno usklađenje koje se smatra umanjenjem vrijednosti;</w:t>
      </w:r>
    </w:p>
    <w:p w:rsidR="009E6057" w:rsidRDefault="00A834F1">
      <w:pPr>
        <w:pStyle w:val="Baseparagraphnumbered"/>
        <w:numPr>
          <w:ilvl w:val="1"/>
          <w:numId w:val="26"/>
        </w:numPr>
        <w:ind w:left="1170"/>
      </w:pPr>
      <w:r>
        <w:t>za financijsku imovinu kojom se trguje na temelju općeprihvaćenih računovodstvenih načela na temelju BAD-a ili financijsku imovinu koja se drži radi trgovanja na temelju MSFI-ja knjigovodstvena vrijednost znači fer vrijednost. Ako se na temelju općeprihvaćenih računovodstvenih načela na temelju BAD-a propisuju korektivni faktori za instrumente kojima se trguje i koji se mjere po fer vrijednosti, knjigovodstvena vrijednost financijskih instrumenata znači fer vrijednost prije primjene tih korektivnih faktora.</w:t>
      </w:r>
    </w:p>
    <w:p w:rsidR="009E6057" w:rsidRDefault="00A834F1">
      <w:pPr>
        <w:pStyle w:val="sub-subtitlenumbered"/>
        <w:jc w:val="both"/>
      </w:pPr>
      <w:bookmarkStart w:id="10" w:name="_Toc30667465"/>
      <w:r>
        <w:t>Financijske obveze</w:t>
      </w:r>
      <w:bookmarkEnd w:id="10"/>
    </w:p>
    <w:p w:rsidR="009E6057" w:rsidRDefault="00A834F1">
      <w:pPr>
        <w:pStyle w:val="Baseparagraphnumbered"/>
      </w:pPr>
      <w:r>
        <w:t>Financijske obveze raspodjeljuju se prema sljedećim kategorijama instrumenata: „izvedenice”, „kratke pozicije”, „depoziti”, „izdani dužnički vrijednosni papiri” i „ostale financijske obveze”.</w:t>
      </w:r>
    </w:p>
    <w:p w:rsidR="009E6057" w:rsidRDefault="00A834F1">
      <w:pPr>
        <w:pStyle w:val="Baseparagraphnumbered"/>
      </w:pPr>
      <w:r>
        <w:t xml:space="preserve">Za potrebe priloga III. i IV. te ovog Priloga primjenjuje se definicija „depozita” iz tablice u dijelu 2. Priloga II. Uredbi ESB-a o BSI-ju. </w:t>
      </w:r>
    </w:p>
    <w:p w:rsidR="009E6057" w:rsidRDefault="00A834F1">
      <w:pPr>
        <w:pStyle w:val="Baseparagraphnumbered"/>
      </w:pPr>
      <w:r>
        <w:t xml:space="preserve"> „Izdani dužnički vrijednosni papiri” jesu dužnički instrumenti koje institucija izdaje kao vrijednosne papire koji nisu depoziti, kako je definirano u tablici u dijelu 2. Priloga II. Uredbi ESB-a o BSI-ju.</w:t>
      </w:r>
    </w:p>
    <w:p w:rsidR="009E6057" w:rsidRDefault="00A834F1">
      <w:pPr>
        <w:pStyle w:val="Baseparagraphnumbered"/>
      </w:pPr>
      <w:r>
        <w:t xml:space="preserve">„Ostale financijske obveze” uključuju sve financijske obveze osim izvedenica, kratkih pozicija, depozita i izdanih dužničkih vrijednosnih papira. </w:t>
      </w:r>
    </w:p>
    <w:p w:rsidR="009E6057" w:rsidRDefault="00A834F1">
      <w:pPr>
        <w:pStyle w:val="Baseparagraphnumbered"/>
      </w:pPr>
      <w:r>
        <w:t xml:space="preserve">Na temelju MSFI-ja „ostale financijske obveze” uključuju preuzeta financijska jamstva ako se mjere po fer vrijednosti kroz dobit ili gubitak (MSFI 9.4.2.1.(a)) ili po početno priznatom iznosu umanjenom za kumulativnu amortizaciju (MSFI 9.4.2.1(c)(ii)). Preuzete obveze po kreditima iskazuju se kao „ostale financijske obveze” ako su iskazane kao financijske obveze po fer vrijednosti kroz dobit ili gubitak (MSFI 9.4.2.1.(a)) ili kad je riječ o obvezama za davanje kredita po kamatnoj stopi ispod tržišne (MSFI 9.2.3.(c), MSFI 9.4.2.1.(d)). </w:t>
      </w:r>
    </w:p>
    <w:p w:rsidR="009E6057" w:rsidRDefault="00A834F1">
      <w:pPr>
        <w:pStyle w:val="Baseparagraphnumbered"/>
      </w:pPr>
      <w:r>
        <w:lastRenderedPageBreak/>
        <w:t xml:space="preserve">Ako se preuzete obveze po kreditima, financijska jamstva i ostale preuzete obveze mjere po fer vrijednosti kroz dobit ili gubitak, sve promjene fer vrijednosti, uključujući promjene zbog kreditnog rizika, iskazuju se kao „ostale financijske obveze”, a ne kao rezervacije za stavku „Preuzete obveze i jamstva”. </w:t>
      </w:r>
    </w:p>
    <w:p w:rsidR="009E6057" w:rsidRDefault="00A834F1">
      <w:pPr>
        <w:pStyle w:val="Baseparagraphnumbered"/>
      </w:pPr>
      <w:r>
        <w:t>„Ostale financijske obveze” uključuju i dividende koje treba isplatiti, dugovanja za privremene i prijelazne stavke te dugovanja za buduće namire transakcija vrijednosnim papirima ili stranim valutama ako su dugovanja za transakcije priznata prije datuma plaćanja.</w:t>
      </w:r>
    </w:p>
    <w:p w:rsidR="009E6057" w:rsidRDefault="00A834F1">
      <w:pPr>
        <w:pStyle w:val="subtitlenumbered"/>
        <w:numPr>
          <w:ilvl w:val="0"/>
          <w:numId w:val="17"/>
        </w:numPr>
        <w:jc w:val="both"/>
      </w:pPr>
      <w:bookmarkStart w:id="11" w:name="_Toc30667466"/>
      <w:r>
        <w:t>Raščlamba prema drugoj ugovornoj strani</w:t>
      </w:r>
      <w:bookmarkEnd w:id="11"/>
    </w:p>
    <w:p w:rsidR="009E6057" w:rsidRDefault="00A834F1">
      <w:pPr>
        <w:pStyle w:val="Baseparagraphnumbered"/>
      </w:pPr>
      <w:r>
        <w:t>Ako je potrebna raščlamba prema drugoj ugovornoj strani, raščlanjuje se prema sljedećim sektorima druge ugovorne strane:</w:t>
      </w:r>
    </w:p>
    <w:p w:rsidR="009E6057"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središnje banke;</w:t>
      </w:r>
    </w:p>
    <w:p w:rsidR="009E6057"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opće države: središnje države, područne ili regionalne samouprave i lokalne samouprave, uključujući administrativna tijela i neprofitna društva, ali ne uključujući javna trgovačka društva i privatna trgovačka društva u vlasništvu navedenih tijela koja se bave komercijalnom djelatnošću (koja se, ovisno o njihovoj djelatnosti, iskazuju pod stavkom „Kreditne institucije”, „Ostala financijska društva” ili „Nefinancijska društva”); fondove socijalne sigurnosti; te međunarodne organizacije, npr. institucije Europske unije, Međunarodni monetarni fond i Banka za međunarodne namire;</w:t>
      </w:r>
    </w:p>
    <w:p w:rsidR="009E6057"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kreditne institucije: institucije obuhvaćene definicijom u članku 4. stavku 1. točki 1. CRR-a (‚društvo čija je djelatnost primanje depozita ili ostalih povratnih sredstava od javnosti te odobravanje kredita za vlastiti račun’) i multilateralne razvojne banke;</w:t>
      </w:r>
      <w:r>
        <w:rPr>
          <w:rFonts w:ascii="Times New Roman" w:hAnsi="Times New Roman"/>
          <w:color w:val="444444"/>
        </w:rPr>
        <w:t xml:space="preserve"> </w:t>
      </w:r>
    </w:p>
    <w:p w:rsidR="009E6057"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ostala financijska društva: sva financijska društva i kvazi-društva osim kreditnih institucija, npr. investicijska društva, investicijski fondovi, osiguravateljna društva, mirovinski fondovi, subjekti za zajednička ulaganja i klirinške kuće, kao i preostali financijski posrednici, pomoćne financijske institucije i vlastite financijske institucije i zajmodavci;</w:t>
      </w:r>
    </w:p>
    <w:p w:rsidR="009E6057"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nefinancijska društva: društva i kvazi-društva koja se ne bave financijskim posredovanjem, nego u pravilu proizvodnjom tržišne robe i pružanjem nefinancijskih usluga, kako je definirano u tablici u dijelu 3. Priloga II. Uredbi ESB-a o BSI-ju; </w:t>
      </w:r>
    </w:p>
    <w:p w:rsidR="009E6057"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kućanstva: 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kvazi-društava. Obuhvaćene su neprofitne institucije koje pružaju usluge kućanstvima i koje se u pravilu bave proizvodnjom netržišne robe i pružanjem usluga namijenjenih posebnim skupinama kućanstava. </w:t>
      </w:r>
    </w:p>
    <w:p w:rsidR="009E6057" w:rsidRDefault="00A834F1">
      <w:pPr>
        <w:pStyle w:val="Baseparagraphnumbered"/>
      </w:pPr>
      <w:r>
        <w:t xml:space="preserve">Raščlamba ugovornih strana po sektoru temelji se isključivo na naravi neposredne druge ugovorne strane. Klasifikacija zajedničkih izloženosti više dužnika obavlja se na temelju obilježja dužnika koji je bio relevantniji ili </w:t>
      </w:r>
      <w:r>
        <w:lastRenderedPageBreak/>
        <w:t>odlučniji pri odobravanju izloženosti institucije. Među ostalim klasifikacijama, distribucija zajedničkih izloženosti prema sektoru druge ugovorne strane, zemlji rezidentnosti i šiframa NACE temelji se na obilježjima relevantnijeg i odlučnijeg dužnika.</w:t>
      </w:r>
    </w:p>
    <w:p w:rsidR="009E6057" w:rsidRDefault="00A834F1">
      <w:pPr>
        <w:pStyle w:val="Baseparagraphnumbered"/>
      </w:pPr>
      <w:r>
        <w:t>Neposredna druga ugovorna strana u sljedećim transakcijama jest:</w:t>
      </w:r>
    </w:p>
    <w:p w:rsidR="009E6057" w:rsidRDefault="00A834F1">
      <w:pPr>
        <w:numPr>
          <w:ilvl w:val="0"/>
          <w:numId w:val="51"/>
        </w:numPr>
        <w:jc w:val="both"/>
        <w:rPr>
          <w:rFonts w:ascii="Times New Roman" w:hAnsi="Times New Roman"/>
          <w:sz w:val="24"/>
          <w:szCs w:val="24"/>
        </w:rPr>
      </w:pPr>
      <w:r>
        <w:rPr>
          <w:rFonts w:ascii="Times New Roman" w:hAnsi="Times New Roman"/>
        </w:rPr>
        <w:t>za kredite i predujmove neposredni dužnik.</w:t>
      </w:r>
      <w:r>
        <w:t xml:space="preserve"> </w:t>
      </w:r>
      <w:r>
        <w:rPr>
          <w:rFonts w:ascii="Times New Roman" w:hAnsi="Times New Roman"/>
        </w:rPr>
        <w:t>Za potraživanja je neposredni dužnik druga ugovorna strana koja je obvezna platiti potraživanja, osim u transakcijama koje daju pravo na regres, u kojima je neposredni dužnik prenositelj potraživanja, a institucija koja izvješćuje ne preuzima u bitnoj mjeri sve rizike i koristi od vlasništva nad prenesenim potraživanjima;</w:t>
      </w:r>
    </w:p>
    <w:p w:rsidR="009E6057" w:rsidRDefault="00A834F1">
      <w:pPr>
        <w:numPr>
          <w:ilvl w:val="0"/>
          <w:numId w:val="51"/>
        </w:numPr>
        <w:jc w:val="both"/>
        <w:rPr>
          <w:rFonts w:ascii="Times New Roman" w:hAnsi="Times New Roman"/>
          <w:sz w:val="24"/>
          <w:szCs w:val="24"/>
        </w:rPr>
      </w:pPr>
      <w:r>
        <w:rPr>
          <w:rFonts w:ascii="Times New Roman" w:hAnsi="Times New Roman"/>
        </w:rPr>
        <w:t xml:space="preserve">za dužničke vrijednosne papire i vlasničke instrumente izdavatelj vrijednosnih papira; </w:t>
      </w:r>
    </w:p>
    <w:p w:rsidR="009E6057" w:rsidRDefault="00A834F1">
      <w:pPr>
        <w:numPr>
          <w:ilvl w:val="0"/>
          <w:numId w:val="51"/>
        </w:numPr>
        <w:jc w:val="both"/>
        <w:rPr>
          <w:rFonts w:ascii="Times New Roman" w:hAnsi="Times New Roman"/>
          <w:sz w:val="24"/>
          <w:szCs w:val="24"/>
        </w:rPr>
      </w:pPr>
      <w:r>
        <w:rPr>
          <w:rFonts w:ascii="Times New Roman" w:hAnsi="Times New Roman"/>
        </w:rPr>
        <w:t xml:space="preserve">za depozite deponent;   </w:t>
      </w:r>
    </w:p>
    <w:p w:rsidR="009E6057" w:rsidRDefault="00A834F1">
      <w:pPr>
        <w:numPr>
          <w:ilvl w:val="0"/>
          <w:numId w:val="51"/>
        </w:numPr>
        <w:jc w:val="both"/>
        <w:rPr>
          <w:rFonts w:ascii="Times New Roman" w:hAnsi="Times New Roman"/>
          <w:sz w:val="24"/>
          <w:szCs w:val="24"/>
        </w:rPr>
      </w:pPr>
      <w:r>
        <w:rPr>
          <w:rFonts w:ascii="Times New Roman" w:hAnsi="Times New Roman"/>
        </w:rPr>
        <w:t>za kratke pozicije druga ugovorna strana u transakciji pozajmljivanja vrijednosnih papira ili obratnom repo ugovoru;</w:t>
      </w:r>
    </w:p>
    <w:p w:rsidR="009E6057" w:rsidRDefault="00A834F1">
      <w:pPr>
        <w:numPr>
          <w:ilvl w:val="0"/>
          <w:numId w:val="51"/>
        </w:numPr>
        <w:jc w:val="both"/>
        <w:rPr>
          <w:rFonts w:ascii="Times New Roman" w:hAnsi="Times New Roman"/>
          <w:sz w:val="24"/>
          <w:szCs w:val="24"/>
        </w:rPr>
      </w:pPr>
      <w:r>
        <w:rPr>
          <w:rFonts w:ascii="Times New Roman" w:hAnsi="Times New Roman"/>
        </w:rPr>
        <w:t>za izvedenice izravna druga ugovorna strana ugovora o izvedenicama. Za središnje poravnane OTC izvedenice izravna druga ugovorna strana jest klirinška kuća koja djeluje kao središnja druga ugovorna strana. Raščlamba izvedenica kreditnog rizika prema drugoj ugovornoj strani odnosi se na sektor kojemu pripada druga ugovorna strana ugovora (kupac ili prodavatelj zaštite);</w:t>
      </w:r>
    </w:p>
    <w:p w:rsidR="009E6057" w:rsidRDefault="00A834F1">
      <w:pPr>
        <w:numPr>
          <w:ilvl w:val="0"/>
          <w:numId w:val="51"/>
        </w:numPr>
        <w:jc w:val="both"/>
        <w:rPr>
          <w:rFonts w:ascii="Times New Roman" w:hAnsi="Times New Roman"/>
          <w:sz w:val="24"/>
          <w:szCs w:val="24"/>
        </w:rPr>
      </w:pPr>
      <w:r>
        <w:rPr>
          <w:rFonts w:ascii="Times New Roman" w:hAnsi="Times New Roman"/>
        </w:rPr>
        <w:t>za preuzeta financijska jamstva druga ugovorna strana je izravna druga ugovorna strana osiguranog dužničkog instrumenta;</w:t>
      </w:r>
    </w:p>
    <w:p w:rsidR="009E6057" w:rsidRDefault="00A834F1">
      <w:pPr>
        <w:numPr>
          <w:ilvl w:val="0"/>
          <w:numId w:val="51"/>
        </w:numPr>
        <w:jc w:val="both"/>
        <w:rPr>
          <w:rFonts w:ascii="Times New Roman" w:hAnsi="Times New Roman"/>
          <w:sz w:val="24"/>
          <w:szCs w:val="24"/>
        </w:rPr>
      </w:pPr>
      <w:r>
        <w:rPr>
          <w:rFonts w:ascii="Times New Roman" w:hAnsi="Times New Roman"/>
        </w:rPr>
        <w:t xml:space="preserve">za preuzete obveze po kreditima i ostale preuzete obveze druga ugovorna strana čiji kreditni rizik preuzima institucija koja izvješćuje; </w:t>
      </w:r>
    </w:p>
    <w:p w:rsidR="009E6057" w:rsidRDefault="00A834F1">
      <w:pPr>
        <w:numPr>
          <w:ilvl w:val="0"/>
          <w:numId w:val="51"/>
        </w:numPr>
        <w:spacing w:after="0"/>
        <w:jc w:val="both"/>
      </w:pPr>
      <w:r>
        <w:rPr>
          <w:rFonts w:ascii="Times New Roman" w:hAnsi="Times New Roman"/>
        </w:rPr>
        <w:t>za primljene obveze po kreditima, financijska jamstva i ostale primljene obveze davatelj jamstva ili druga ugovorna strana koja je preuzela obvezu u odnosu na instituciju koja izvješćuje.</w:t>
      </w:r>
      <w:r>
        <w:br w:type="page"/>
      </w:r>
    </w:p>
    <w:p w:rsidR="009E6057" w:rsidRDefault="00A834F1" w:rsidP="00C54C72">
      <w:pPr>
        <w:pStyle w:val="Heading1"/>
        <w:spacing w:before="0" w:after="240" w:line="240" w:lineRule="auto"/>
        <w:rPr>
          <w:b/>
        </w:rPr>
      </w:pPr>
      <w:bookmarkStart w:id="12" w:name="_Toc30667467"/>
      <w:r>
        <w:rPr>
          <w:b/>
        </w:rPr>
        <w:lastRenderedPageBreak/>
        <w:t>DIO 2.</w:t>
      </w:r>
      <w:bookmarkEnd w:id="12"/>
    </w:p>
    <w:p w:rsidR="009E6057" w:rsidRDefault="00A834F1">
      <w:pPr>
        <w:pStyle w:val="Heading1"/>
        <w:jc w:val="both"/>
      </w:pPr>
      <w:bookmarkStart w:id="13" w:name="_Toc30667468"/>
      <w:r>
        <w:t>Upute za obrasce</w:t>
      </w:r>
      <w:bookmarkEnd w:id="13"/>
    </w:p>
    <w:p w:rsidR="009E6057" w:rsidRDefault="00A834F1">
      <w:pPr>
        <w:pStyle w:val="subtitlenumbered"/>
        <w:keepNext/>
        <w:numPr>
          <w:ilvl w:val="0"/>
          <w:numId w:val="35"/>
        </w:numPr>
        <w:jc w:val="both"/>
      </w:pPr>
      <w:bookmarkStart w:id="14" w:name="_Toc30667469"/>
      <w:r>
        <w:t>Bilanca</w:t>
      </w:r>
      <w:bookmarkEnd w:id="14"/>
    </w:p>
    <w:p w:rsidR="009E6057" w:rsidRDefault="00A834F1">
      <w:pPr>
        <w:pStyle w:val="sub-subtitlenumbered"/>
        <w:jc w:val="both"/>
      </w:pPr>
      <w:bookmarkStart w:id="15" w:name="_Toc30667470"/>
      <w:r>
        <w:t>Imovina (1.1.)</w:t>
      </w:r>
      <w:bookmarkEnd w:id="15"/>
    </w:p>
    <w:p w:rsidR="009E6057" w:rsidRDefault="00A834F1">
      <w:pPr>
        <w:pStyle w:val="Baseparagraphnumbered"/>
        <w:numPr>
          <w:ilvl w:val="0"/>
          <w:numId w:val="34"/>
        </w:numPr>
      </w:pPr>
      <w:r>
        <w:t>„Novac u blagajni” uključuje nacionalne i strane novčanice i kovanice u optjecaju koje se uobičajeno koriste za plaćanja.</w:t>
      </w:r>
    </w:p>
    <w:p w:rsidR="009E6057" w:rsidRDefault="00A834F1">
      <w:pPr>
        <w:pStyle w:val="Baseparagraphnumbered"/>
      </w:pPr>
      <w:r>
        <w:t>„Sredstva u središnjim bankama” uključuju salda potraživanja po viđenju u središnjima bankama.</w:t>
      </w:r>
    </w:p>
    <w:p w:rsidR="009E6057" w:rsidRDefault="00A834F1">
      <w:pPr>
        <w:pStyle w:val="Baseparagraphnumbered"/>
      </w:pPr>
      <w:r>
        <w:t xml:space="preserve">„Ostali depoziti po viđenju” uključuju salda potraživanja po viđenju u kreditnim institucijama. </w:t>
      </w:r>
    </w:p>
    <w:p w:rsidR="009E6057" w:rsidRDefault="00A834F1">
      <w:pPr>
        <w:pStyle w:val="Baseparagraphnumbered"/>
      </w:pPr>
      <w:r>
        <w:t xml:space="preserve">„Ulaganja u društva kćeri, zajedničke pothvate i pridružena društva” uključuju ulaganja u pridružena društva, zajedničke pothvate i društva kćeri koji nisu u potpunosti ili proporcionalno konsolidirani u okviru regulatorne konsolidacije, osim ako se klasificiraju kao ulaganja namijenjena za prodaju u skladu s MSFI-jem 5, neovisno o načinu mjerenja, među ostalim i ako se na temelju računovodstvenih standarda mogu uključiti u različite računovodstvene portfelje namijenjene financijskim instrumentima. Knjigovodstvena vrijednost ulaganja obračunata metodom udjela uključuje povezani goodwill. </w:t>
      </w:r>
    </w:p>
    <w:p w:rsidR="009E6057" w:rsidRDefault="00A834F1">
      <w:pPr>
        <w:pStyle w:val="Baseparagraphnumbered"/>
      </w:pPr>
      <w:r>
        <w:t xml:space="preserve">Imovina koja nije financijska imovina i koja se zbog svoje prirode ne može klasificirati u posebne stavke u bilanci iskazuje se kao „ostala imovina”. Ostala imovina uključuje, među ostalim, zlato, srebro i ostalu robu, čak i ako se drži s namjerom trgovanja. </w:t>
      </w:r>
    </w:p>
    <w:p w:rsidR="009E6057" w:rsidRDefault="00A834F1">
      <w:pPr>
        <w:pStyle w:val="Baseparagraphnumbered"/>
      </w:pPr>
      <w:r>
        <w:t xml:space="preserve">U skladu s mjerodavnim nacionalnim općeprihvaćenim računovodstvenim načelima na temelju BAD-a knjigovodstvena vrijednost ponovno kupljenih vlastitih dionica iskazuje se kao „ostala imovina” ako je iskazivanje u kategoriji imovine dopušteno u skladu s mjerodavnim nacionalnim općeprihvaćenim računovodstvenim načelima. </w:t>
      </w:r>
    </w:p>
    <w:p w:rsidR="009E6057" w:rsidRDefault="00A834F1">
      <w:pPr>
        <w:pStyle w:val="Baseparagraphnumbered"/>
      </w:pPr>
      <w:r>
        <w:t xml:space="preserve">„Dugotrajna imovina i grupe za otuđenje klasificirane kao namijenjene za prodaju” ima jednako značenje kao i u MSFI-ju 5. </w:t>
      </w:r>
    </w:p>
    <w:p w:rsidR="009E6057" w:rsidRDefault="00A834F1">
      <w:pPr>
        <w:pStyle w:val="sub-subtitlenumbered"/>
        <w:jc w:val="both"/>
      </w:pPr>
      <w:bookmarkStart w:id="16" w:name="_Toc30667471"/>
      <w:r>
        <w:t>Obveze (1.2.)</w:t>
      </w:r>
      <w:bookmarkEnd w:id="16"/>
    </w:p>
    <w:p w:rsidR="009E6057" w:rsidRDefault="00A834F1">
      <w:pPr>
        <w:pStyle w:val="Baseparagraphnumbered"/>
      </w:pPr>
      <w:r>
        <w:t xml:space="preserve"> U skladu s nacionalnim općeprihvaćenim računovodstvenim načelima na temelju BAD-a, rezervacije za nepredviđene gubitke koji proizlaze iz neefektivnog dijela zaštite portfelja iskazuju se u retku „Izvedenice – računovodstvo zaštite” ako gubitak proizlazi iz vrednovanja izvedenice namijenjene zaštiti od rizika ili u retku „Promjene fer vrijednosti zaštićenih stavki u zaštiti portfelja od kamatnog rizika” ako gubitak proizlazi iz vrednovanja zaštićene pozicije. Ako nije moguće razlikovati gubitak koji proizlazi iz vrednovanja izvedenice namijenjene zaštiti od rizika od gubitka koji proizlazi iz vrednovanja zaštićene pozicije, sve rezervacije za </w:t>
      </w:r>
      <w:r>
        <w:lastRenderedPageBreak/>
        <w:t>nepredviđene gubitke koji proizlaze iz neefektivnog dijela zaštite portfelja iskazuju se u retku „Izvedenice – računovodstvo zaštite”.</w:t>
      </w:r>
    </w:p>
    <w:p w:rsidR="009E6057" w:rsidRDefault="00A834F1">
      <w:pPr>
        <w:pStyle w:val="Baseparagraphnumbered"/>
      </w:pPr>
      <w:r>
        <w:t xml:space="preserve">Rezervacije za stavku „Mirovine i ostale obveze za definirana primanja nakon prestanka radnog odnosa” uključuju iznos neto obveza za definirana primanja. </w:t>
      </w:r>
    </w:p>
    <w:p w:rsidR="009E6057" w:rsidRDefault="00A834F1">
      <w:pPr>
        <w:pStyle w:val="Baseparagraphnumbered"/>
      </w:pPr>
      <w:r>
        <w:t>Na temelju MSFI-ja rezervacije za stavku „Ostala dugoročna primanja zaposlenih” uključuju iznos manjkova u dugoročnim planovima primanja zaposlenih navedenim u MRS-u 19.153. Obračunati rashodi za kratkoročna primanja zaposlenih (MRS 19.11.(a)), planove definiranih doprinosa (MRS 19.51.(a)) i primanja po prestanku radnog odnosa (MRS 19.169.(a)) uključeni su u stavku „Ostale obveze”.</w:t>
      </w:r>
    </w:p>
    <w:p w:rsidR="009E6057" w:rsidRDefault="00A834F1">
      <w:pPr>
        <w:pStyle w:val="Baseparagraphnumbered"/>
      </w:pPr>
      <w:r>
        <w:t>Na temelju MSFI-ja rezervacije za stavku „Preuzete obveze i jamstva” uključuju rezervacije koje se odnose na sve obveze i jamstva neovisno o tome utvrđuje li se njihovo umanjenje vrijednosti u skladu s MSFI-jem 9 ili se njihova rezerviranja temelje na MRS-u 37 ili se tretiraju kao ugovori o osiguranju na temelju MSFI-ja 4. Obveze koje proizlaze iz obveza i financijskih jamstava koji se mjere po fer vrijednosti kroz dobit ili gubitak ne iskazuju se kao rezervacije iako su uzrokovane kreditnim rizikom, već kao „ostale financijske obveze” u skladu s točkom 10. dijela 1. ovog Priloga. U skladu s nacionalnim općeprihvaćenim računovodstvenim načelima na temelju BAD-a, rezervacije za stavku „Preuzete obveze i jamstva” uključuju rezervacije koje se odnose na sve obveze i jamstva.</w:t>
      </w:r>
    </w:p>
    <w:p w:rsidR="009E6057" w:rsidRDefault="00A834F1">
      <w:pPr>
        <w:pStyle w:val="Baseparagraphnumbered"/>
      </w:pPr>
      <w:r>
        <w:t>„Temeljni kapital koji se vraća na zahtjev” uključuje instrumente kapitala koje izdaje institucija koji ne ispunjavaju kriterije za klasifikaciju u vlasničke instrumente. U ovu stavku institucije uključuju udjele u zadrugama koji ne ispunjavaju kriterije za klasifikaciju u kapital.</w:t>
      </w:r>
    </w:p>
    <w:p w:rsidR="009E6057" w:rsidRDefault="00A834F1">
      <w:pPr>
        <w:pStyle w:val="Baseparagraphnumbered"/>
      </w:pPr>
      <w:r>
        <w:t xml:space="preserve">Obveze koje nisu financijske obveze i koje se zbog svoje prirode ne mogu klasificirati u posebne stavke u bilanci iskazuju se kao „ostale obveze”. </w:t>
      </w:r>
    </w:p>
    <w:p w:rsidR="009E6057" w:rsidRDefault="00A834F1">
      <w:pPr>
        <w:pStyle w:val="Baseparagraphnumbered"/>
      </w:pPr>
      <w:r>
        <w:t xml:space="preserve">„Obveze uključene u grupe za otuđenje klasificirane kao namijenjene za prodaju” imaju jednako značenje kao i u MSFI-ju 5. </w:t>
      </w:r>
    </w:p>
    <w:p w:rsidR="009E6057" w:rsidRDefault="00A834F1">
      <w:pPr>
        <w:pStyle w:val="Baseparagraphnumbered"/>
      </w:pPr>
      <w:r>
        <w:t>U skladu s nacionalnim općeprihvaćenim računovodstvenim načelima na temelju BAD-a, „rezerve za opće bankovne rizike” jesu iznosi koji su dodijeljeni u skladu s člankom 38. BAD-a. Ako su priznate, rezerve se pojavljuju odvojeno kao obveze pod stavkom „Rezervacije” ili u kapitalu pod stavkom „Ostale rezerve” u skladu s mjerodavnim nacionalnim općeprihvaćenim računovodstvenim načelima.</w:t>
      </w:r>
    </w:p>
    <w:p w:rsidR="009E6057" w:rsidRDefault="00A834F1">
      <w:pPr>
        <w:pStyle w:val="sub-subtitlenumbered"/>
        <w:jc w:val="both"/>
      </w:pPr>
      <w:bookmarkStart w:id="17" w:name="_Toc30667472"/>
      <w:r>
        <w:t>Kapital (1.3.)</w:t>
      </w:r>
      <w:bookmarkEnd w:id="17"/>
    </w:p>
    <w:p w:rsidR="009E6057" w:rsidRDefault="00A834F1">
      <w:pPr>
        <w:pStyle w:val="Baseparagraphnumbered"/>
      </w:pPr>
      <w:r>
        <w:t xml:space="preserve">Na temelju MSFI-ja vlasnički instrumenti jesu financijski instrumenti kojima su obuhvaćeni ugovori iz područja primjene MRS-a 32. </w:t>
      </w:r>
    </w:p>
    <w:p w:rsidR="009E6057" w:rsidRDefault="00A834F1">
      <w:pPr>
        <w:pStyle w:val="Baseparagraphnumbered"/>
      </w:pPr>
      <w:r>
        <w:t xml:space="preserve">Na temelju mjerodavnih nacionalnih općeprihvaćenih računovodstvenih načela na temelju BAD-a, „neuplaćeni kapital koji je pozvan na plaćanje” uključuje knjigovodstvenu vrijednost kapitala koji izdaje institucija za koji ulagači nisu </w:t>
      </w:r>
      <w:r>
        <w:lastRenderedPageBreak/>
        <w:t>izvršili plaćanje na referentni datum. Ako se povećanje kapitala koje još nije uplaćeno iskazuje kao povećanje temeljnog kapitala, neuplaćeni kapital koji je pozvan na plaćanje iskazuje se u kategoriji „Neuplaćeni kapital koji je pozvan na plaćanje” u obrascu 1.3. te u kategoriji „Ostala imovina” u obrascu 1.1. Ako se na temelju mjerodavnih nacionalnih općeprihvaćenih računovodstvenih načela na temelju BAD-a povećanje kapitala može iskazati samo nakon primitka uplate dioničara, neuplaćeni kapital ne iskazuje se u obrascu 1.3.</w:t>
      </w:r>
    </w:p>
    <w:p w:rsidR="009E6057" w:rsidRDefault="00A834F1">
      <w:pPr>
        <w:pStyle w:val="Baseparagraphnumbered"/>
      </w:pPr>
      <w:r>
        <w:t>„Komponenta kapitala u složenim financijskim instrumentima” uključuje komponentu kapitala u složenim financijskim instrumentima (odnosno financijskim instrumentima koji sadržavaju i komponentu obveza i komponentu kapitala) koje institucija izdaje ako su odvojeni u skladu s mjerodavnim računovodstvenim okvirom (uključujući složene financijske instrumente s višestruko ugrađenim izvedenicama čije su vrijednosti međuovisne).</w:t>
      </w:r>
    </w:p>
    <w:p w:rsidR="009E6057" w:rsidRDefault="00A834F1">
      <w:pPr>
        <w:pStyle w:val="Baseparagraphnumbered"/>
      </w:pPr>
      <w:r>
        <w:t xml:space="preserve">„Ostali izdani vlasnički instrumenti” uključuju vlasničke instrumente koji su financijski instrumenti osim „Kapitala” i „Komponente kapitala u složenim financijskim instrumentima”. </w:t>
      </w:r>
    </w:p>
    <w:p w:rsidR="009E6057" w:rsidRDefault="00A834F1">
      <w:pPr>
        <w:pStyle w:val="Baseparagraphnumbered"/>
      </w:pPr>
      <w:r>
        <w:t xml:space="preserve">„Ostale stavke kapitala” uključuju sve vlasničke instrumente koji nisu financijski instrumenti uključujući, među ostalim, plaćanja na temelju dionica namirom u vlasničkim instrumentima (MSFI 2.10.). </w:t>
      </w:r>
    </w:p>
    <w:p w:rsidR="009E6057" w:rsidRDefault="00A834F1">
      <w:pPr>
        <w:pStyle w:val="Baseparagraphnumbered"/>
      </w:pPr>
      <w:r>
        <w:t xml:space="preserve">„Promjene fer vrijednosti vlasničkih instrumenata koji se mjere po fer vrijednosti kroz ostalu sveobuhvatnu dobit” uključuju akumulirane dobitke i gubitke zbog promjena fer vrijednosti ulaganja u vlasničke instrumente za koje je subjekt koji izvješćuje neopozivo odlučio iskazivati promjene fer vrijednosti kroz ostalu sveobuhvatnu dobit. </w:t>
      </w:r>
    </w:p>
    <w:p w:rsidR="009E6057" w:rsidRDefault="00A834F1">
      <w:pPr>
        <w:pStyle w:val="Baseparagraphnumbered"/>
      </w:pPr>
      <w:r>
        <w:t xml:space="preserve">„Neučinkovitost zaštite fer vrijednosti od rizika za vlasničke instrumente koji se mjere po fer vrijednosti kroz ostalu sveobuhvatnu dobit” uključuje akumuliranu neefektivnost zaštite od rizika koja proizlazi iz zaštita fer vrijednosti od rizika u kojima je zaštićena stavka vlasnički instrument mjeren po fer vrijednosti kroz ostalu sveobuhvatnu dobit. Neučinkovitost zaštite od rizika iskazana u ovom retku jednaka je razlici akumulirane promjene fer vrijednosti vlasničkog instrumenta iskazane pod stavkom „Promjene fer vrijednosti vlasničkih instrumenata koji se mjere po fer vrijednosti kroz ostalu sveobuhvatnu dobit (zaštićena stavka)” i akumuliranih promjena fer vrijednosti izvedenice namijenjene zaštiti od rizika iskazanih pod stavkom „Promjene fer vrijednosti vlasničkih instrumenata koji se mjere po fer vrijednosti kroz ostalu sveobuhvatnu dobit (instrument zaštite)” (MSFI 9.6.5.3. i MSFI 9.6.5.8.). </w:t>
      </w:r>
    </w:p>
    <w:p w:rsidR="009E6057" w:rsidRDefault="00A834F1">
      <w:pPr>
        <w:pStyle w:val="Baseparagraphnumbered"/>
      </w:pPr>
      <w:r>
        <w:t xml:space="preserve">„Promjene fer vrijednosti financijskih obveza koje se mjere po fer vrijednosti kroz dobit ili gubitak koje se mogu pripisati promjenama u kreditnom riziku” uključuju akumulirane dobitke i gubitke priznate kroz ostalu sveobuhvatnu dobit i koji se odnose na vlastiti kreditni rizik za obveze određene po fer vrijednosti kroz dobit ili gubitak, neovisno o tome provodi li se to određivanje pri početnom priznavanju ili naknadnom priznavanju. </w:t>
      </w:r>
    </w:p>
    <w:p w:rsidR="009E6057" w:rsidRDefault="00A834F1">
      <w:pPr>
        <w:pStyle w:val="Baseparagraphnumbered"/>
      </w:pPr>
      <w:r>
        <w:lastRenderedPageBreak/>
        <w:t xml:space="preserve">„Zaštita neto ulaganja u inozemno poslovanje (učinkoviti dio)” uključuje rezervu za zamjenu strane valute za učinkoviti dio tekućih zaštita neto ulaganja u inozemno poslovanje i zaštita neto ulaganja u inozemno poslovanje koje se više ne primjenjuju iako se inozemno poslovanje i dalje priznaje u bilanci. </w:t>
      </w:r>
    </w:p>
    <w:p w:rsidR="009E6057" w:rsidRDefault="00A834F1">
      <w:pPr>
        <w:pStyle w:val="Baseparagraphnumbered"/>
      </w:pPr>
      <w:r>
        <w:t>„Izvedenice namijenjene zaštiti od rizika. Rezerva na osnovi zaštite novčanih tokova (učinkoviti dio)” uključuje rezervu na osnovi zaštite novčanih tokova za učinkoviti dio u promjeni fer vrijednosti izvedenica namijenjenih zaštiti od rizika u zaštiti novčanog toka za tekuće zaštite novčanih tokova i zaštite novčanih tokova koje se više ne primjenjuju.</w:t>
      </w:r>
    </w:p>
    <w:p w:rsidR="009E6057" w:rsidRDefault="00A834F1">
      <w:pPr>
        <w:pStyle w:val="Baseparagraphnumbered"/>
      </w:pPr>
      <w:r>
        <w:t>„Promjene fer vrijednosti dužničkih instrumenata koji se mjere po fer vrijednosti kroz ostalu sveobuhvatnu dobit” uključuju akumulirane dobitke ili gubitke po dužničkim instrumentima koji se mjere po fer vrijednosti kroz ostalu sveobuhvatnu dobit, ne uključujući rezervacije za umanjenje vrijednosti koje se mjere na izvještajni datum u skladu s MSFI-jem 9.5.5.</w:t>
      </w:r>
    </w:p>
    <w:p w:rsidR="009E6057" w:rsidRDefault="00A834F1">
      <w:pPr>
        <w:pStyle w:val="Baseparagraphnumbered"/>
      </w:pPr>
      <w:r>
        <w:t>„Instrumenti zaštite od rizika (elementi koji nisu određeni)” uključuju akumulirane promjene fer vrijednosti sljedećih elemenata:</w:t>
      </w:r>
    </w:p>
    <w:p w:rsidR="009E6057"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vremenska vrijednost opcije ako se odvajaju promjene vremenske vrijednosti i unutarnje vrijednosti te opcije te se samo promjena unutarnje vrijednosti određuje kao instrument zaštite od rizika (MSFI 9.6.5.15.); </w:t>
      </w:r>
    </w:p>
    <w:p w:rsidR="009E6057"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terminski element terminskog ugovora ako se odvajaju terminski element i promptni element tog terminskog ugovora te se samo promjena promptnog elementa terminskog ugovora određuje kao instrument zaštite od rizika; </w:t>
      </w:r>
    </w:p>
    <w:p w:rsidR="009E6057"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raspon valutne osnovice financijskog instrumenta ako je taj raspon isključen iz određivanja tog financijskog instrumenta kao instrumenta zaštite od rizika (MSFI 9.6.5.15., MSFI 9.6.5.16.).</w:t>
      </w:r>
    </w:p>
    <w:p w:rsidR="009E6057" w:rsidRDefault="00A834F1">
      <w:pPr>
        <w:pStyle w:val="Baseparagraphnumbered"/>
      </w:pPr>
      <w:r>
        <w:t xml:space="preserve">Na temelju MSFI-ja stavka „Revalorizacijske rezerve” uključuje iznos rezervi zbog prve primjene MRS-a koje nisu oslobođene za druge vrste rezervi. </w:t>
      </w:r>
    </w:p>
    <w:p w:rsidR="009E6057" w:rsidRDefault="00A834F1">
      <w:pPr>
        <w:pStyle w:val="Baseparagraphnumbered"/>
      </w:pPr>
      <w:r>
        <w:t>„Ostale rezerve” dijele se na „Rezerve ili akumulirani gubici od ulaganja u društva kćeri, zajedničke pothvate i pridružena društva obračunatih metodom udjela” i „Ostalo”. „Rezerve ili akumulirani gubici od ulaganja u društva kćeri, zajedničke pothvate i pridružena društva obračunatih metodom udjela” uključuju akumulirani iznos prihoda i rashoda od navedenih ulaganja kroz dobit ili gubitak ranijih godina ako su obračunata metodom udjela. „Ostalo” uključuje rezerve koje nisu posebno iskazane u ostalim stavkama te mogu uključivati zakonske rezerve i obvezne rezerve.</w:t>
      </w:r>
    </w:p>
    <w:p w:rsidR="009E6057" w:rsidRDefault="00A834F1">
      <w:pPr>
        <w:pStyle w:val="Baseparagraphnumbered"/>
      </w:pPr>
      <w:r>
        <w:t xml:space="preserve">„Trezorske dionice” uključuju sve financijske instrumente koji imaju obilježja vlastitih vlasničkih instrumenata koje je institucija ponovno stekla iako nisu prodani ili amortizirani, osim ako se na temelju nacionalnih općeprihvaćenih računovodstvenih načela na temelju BAD-a iskazuju kao „ostala imovina”. </w:t>
      </w:r>
    </w:p>
    <w:p w:rsidR="009E6057" w:rsidRDefault="00A834F1">
      <w:pPr>
        <w:pStyle w:val="subtitlenumbered"/>
        <w:jc w:val="both"/>
      </w:pPr>
      <w:bookmarkStart w:id="18" w:name="_Toc30667473"/>
      <w:r>
        <w:t>Račun dobiti i gubitka (2.)</w:t>
      </w:r>
      <w:bookmarkEnd w:id="18"/>
    </w:p>
    <w:p w:rsidR="009E6057" w:rsidRDefault="00A834F1">
      <w:pPr>
        <w:pStyle w:val="Baseparagraphnumbered"/>
      </w:pPr>
      <w:r>
        <w:lastRenderedPageBreak/>
        <w:t>Kamatni prihodi i kamatni rashodi od financijskih instrumenata koji se mjere po fer vrijednosti kroz dobit ili gubitak i od izvedenica namijenjenih zaštiti od rizika klasificiranih u kategoriju „Računovodstvo zaštite” iskazuju se odvojeno od ostalih dobitaka i gubitaka pod stavkama „Kamatni prihodi” i „Kamatni rashodi” („čista cijena”) ili kao dio gubitaka ili dobitaka od tih kategorija instrumenata („prljava cijena”). Pristup temeljen na čistoj ili prljavoj cijeni dosljedno se primjenjuje na sve financijske instrumente mjerene po fer vrijednosti kroz dobit ili gubitak i izvedenice namijenjene zaštiti od rizika klasificirane u kategoriju „Računovodstvo zaštite”.</w:t>
      </w:r>
    </w:p>
    <w:p w:rsidR="009E6057" w:rsidRDefault="00A834F1">
      <w:pPr>
        <w:pStyle w:val="Baseparagraphnumbered"/>
      </w:pPr>
      <w:r>
        <w:t>Institucije iskazuju sljedeće stavke, koje uključuju prihode i rashode u odnosu na povezane strane koje nisu u potpunosti ili proporcionalno konsolidirane u okviru regulatorne konsolidacije, raščlanjene prema računovodstvenim portfeljima:</w:t>
      </w:r>
    </w:p>
    <w:p w:rsidR="009E6057" w:rsidRDefault="00A834F1">
      <w:pPr>
        <w:pStyle w:val="Baseparagraphnumbered"/>
        <w:numPr>
          <w:ilvl w:val="0"/>
          <w:numId w:val="29"/>
        </w:numPr>
        <w:ind w:left="1134" w:hanging="425"/>
      </w:pPr>
      <w:r>
        <w:t>„Kamatni prihodi”;</w:t>
      </w:r>
    </w:p>
    <w:p w:rsidR="009E6057" w:rsidRDefault="00A834F1">
      <w:pPr>
        <w:pStyle w:val="Baseparagraphnumbered"/>
        <w:numPr>
          <w:ilvl w:val="0"/>
          <w:numId w:val="29"/>
        </w:numPr>
        <w:ind w:left="1134" w:hanging="425"/>
      </w:pPr>
      <w:r>
        <w:t>„Kamatni rashodi”;</w:t>
      </w:r>
    </w:p>
    <w:p w:rsidR="009E6057" w:rsidRDefault="00A834F1">
      <w:pPr>
        <w:pStyle w:val="Baseparagraphnumbered"/>
        <w:numPr>
          <w:ilvl w:val="0"/>
          <w:numId w:val="29"/>
        </w:numPr>
        <w:ind w:left="1134" w:hanging="425"/>
      </w:pPr>
      <w:r>
        <w:t>„Prihodi od dividende”;</w:t>
      </w:r>
    </w:p>
    <w:p w:rsidR="009E6057" w:rsidRDefault="00A834F1">
      <w:pPr>
        <w:pStyle w:val="Baseparagraphnumbered"/>
        <w:numPr>
          <w:ilvl w:val="0"/>
          <w:numId w:val="29"/>
        </w:numPr>
        <w:ind w:left="1134" w:hanging="425"/>
      </w:pPr>
      <w:r>
        <w:t>„Dobici ili gubici po prestanku priznavanja financijske imovine i financijskih obveza koje nisu mjerene po fer vrijednosti kroz dobit ili gubitak, neto”;</w:t>
      </w:r>
    </w:p>
    <w:p w:rsidR="009E6057" w:rsidRDefault="00A834F1">
      <w:pPr>
        <w:pStyle w:val="Baseparagraphnumbered"/>
        <w:numPr>
          <w:ilvl w:val="0"/>
          <w:numId w:val="29"/>
        </w:numPr>
        <w:ind w:left="1134" w:hanging="425"/>
      </w:pPr>
      <w:r>
        <w:t>„Dobici ili gubici zbog promjena, neto”;</w:t>
      </w:r>
    </w:p>
    <w:p w:rsidR="009E6057" w:rsidRDefault="00A834F1">
      <w:pPr>
        <w:pStyle w:val="Baseparagraphnumbered"/>
        <w:numPr>
          <w:ilvl w:val="0"/>
          <w:numId w:val="29"/>
        </w:numPr>
        <w:ind w:left="1134" w:hanging="425"/>
      </w:pPr>
      <w:r>
        <w:t>„Umanjenje vrijednosti ili (–) ukidanje umanjenja vrijednosti financijske imovine koja se ne mjeri po fer vrijednosti kroz dobit ili gubitak”.</w:t>
      </w:r>
    </w:p>
    <w:p w:rsidR="009E6057" w:rsidRDefault="00A834F1">
      <w:pPr>
        <w:pStyle w:val="Baseparagraphnumbered"/>
      </w:pPr>
      <w:r>
        <w:t xml:space="preserve">„Kamatni prihodi. Financijska imovina koja se drži radi trgovanja” i „Kamatni rashodi. Financijske obveze koje se drže radi trgovanja” uključuju, ako se primjenjuje čista cijena, iznose povezane s izvedenicama klasificiranima u kategoriji „držanje radi trgovanja’ koji su instrumenti zaštite od rizika s ekonomskog, ali ne i računovodstvenog stajališta kako bi se predočili točni kamatni prihodi i rashodi od zaštićenih financijskih instrumenata. </w:t>
      </w:r>
    </w:p>
    <w:p w:rsidR="009E6057" w:rsidRDefault="00A834F1">
      <w:pPr>
        <w:pStyle w:val="Baseparagraphnumbered"/>
      </w:pPr>
      <w:r>
        <w:t xml:space="preserve">Ako se primjenjuje čista cijena, „Kamatni prihodi. Financijska imovina koja se drži radi trgovanja” i „Kamatni rashodi. Financijske obveze koje se drže radi trgovanja” uključuju i vremenski kategorizirane naknade i preostala plaćanja povezane s kreditnim izvedenicama koje se mjere po fer vrijednosti i koriste za upravljanje kreditnim rizikom cijelog ili dijela financijskog instrumenta određenog po fer vrijednosti u tom trenutku (MSFI 9.6.7.). </w:t>
      </w:r>
    </w:p>
    <w:p w:rsidR="009E6057" w:rsidRDefault="00A834F1">
      <w:pPr>
        <w:pStyle w:val="Baseparagraphnumbered"/>
      </w:pPr>
      <w:r>
        <w:t xml:space="preserve">„Kamatni prihodi. Izvedenice – računovodstvo zaštite, kamatni rizik” i „Kamatni rashodi. Izvedenice – računovodstvo zaštite, kamatni rizik” uključuju, ako se primjenjuje čista cijena, iznose koji se odnose na izvedenice klasificirane u kategoriju „Računovodstvo zaštite”, što obuhvaća kamatni rizik, među ostalim i zaštite skupine stavki s rizičnim pozicijama koje se prebijaju (zaštite neto pozicije) čiji zaštićeni rizik utječe na različite stavke računa dobiti i gubitka. Ako se primjenjuje čista cijena, ti iznosi iskazuju se kao kamatni </w:t>
      </w:r>
      <w:r>
        <w:lastRenderedPageBreak/>
        <w:t>prihodi i rashodi na bruto osnovi kako bi se predočili točni kamatni prihodi i rashodi od zaštićenih stavki s kojima su povezani. Uz primjenu čiste cijene, ako zaštićena stavka generira kamatne prihode (rashode), ti se iznosi iskazuju kao kamatni prihodi (rashodi) čak i kad je iznos negativan (pozitivan).</w:t>
      </w:r>
    </w:p>
    <w:p w:rsidR="009E6057" w:rsidRDefault="00A834F1">
      <w:pPr>
        <w:pStyle w:val="Baseparagraphnumbered"/>
      </w:pPr>
      <w:r>
        <w:t>„Kamatni prihodi – ostala imovina” uključuju iznose kamatnih prihoda koji nisu navedeni u ostalim stavkama, primjerice kamatne prihode povezane sa sredstvima u središnjim bankama i drugim depozitima po viđenju te s dugotrajnom imovinom i grupama za otuđenje klasificiranima kao namijenjenima za prodaju te neto kamatne prihode od neto imovine na temelju definiranih primanja.</w:t>
      </w:r>
    </w:p>
    <w:p w:rsidR="009E6057" w:rsidRDefault="00A834F1">
      <w:pPr>
        <w:pStyle w:val="Baseparagraphnumbered"/>
      </w:pPr>
      <w:r>
        <w:t xml:space="preserve">Na temelju MSFI-ja i ako se mjerodavnim nacionalnim općeprihvaćenim računovodstvenim načelima ne predviđa drugačije, kamate u odnosu na financijske obveze s negativnom efektivnom kamatnom stopom iskazuju se kao „kamatni prihodi po obvezama”. Na temelju tih obveza i s njima povezanih kamata institucija ostvaruje pozitivan prinos.  </w:t>
      </w:r>
    </w:p>
    <w:p w:rsidR="009E6057" w:rsidRDefault="00A834F1">
      <w:pPr>
        <w:pStyle w:val="Baseparagraphnumbered"/>
      </w:pPr>
      <w:r>
        <w:t xml:space="preserve"> „Kamatni prihodi – ostale obveze” uključuju iznose kamatnih rashoda koji nisu navedeni u ostalim stavkama, primjerice kamatne rashode povezane s obvezama uključenima u grupe za otuđenje klasificirane kao namijenjene za prodaju, rashode nastale zbog povećanja knjigovodstvene vrijednosti rezervacije zbog proteka vremena ili neto kamatne rashode na temelju neto obveza za definirana primanja. </w:t>
      </w:r>
    </w:p>
    <w:p w:rsidR="009E6057" w:rsidRDefault="00A834F1">
      <w:pPr>
        <w:pStyle w:val="Baseparagraphnumbered"/>
      </w:pPr>
      <w:r>
        <w:t xml:space="preserve">Na temelju MSFI-ja i ako se mjerodavnim nacionalnim općeprihvaćenim računovodstvenim načelima ne predviđa drugačije, kamate u odnosu na financijsku imovinu s negativnom efektivnom kamatnom stopom iskazuju se kao „kamatni rashodi po imovini”. Na temelju te imovine i s njome povezanim kamatama institucija ostvaruje negativan prinos. </w:t>
      </w:r>
    </w:p>
    <w:p w:rsidR="009E6057" w:rsidRDefault="00A834F1">
      <w:pPr>
        <w:pStyle w:val="Baseparagraphnumbered"/>
      </w:pPr>
      <w:r>
        <w:t xml:space="preserve">Prihodi od dividende od vlasničkih instrumenata koji se mjere po fer vrijednosti kroz dobit ili gubitak iskazuju se kao „prihodi od dividende” odvojeno od ostalih gubitaka i dobitaka iz tih kategorija instrumenata ako se primjenjuje čista cijena ili kao dio dobitaka ili gubitaka iz tih kategorija instrumenata ako se primjenjuje prljava cijena. </w:t>
      </w:r>
    </w:p>
    <w:p w:rsidR="009E6057" w:rsidRDefault="00A834F1">
      <w:pPr>
        <w:pStyle w:val="Baseparagraphnumbered"/>
      </w:pPr>
      <w:r>
        <w:t>Prihodi od dividende od vlasničkih instrumenata određenih po fer vrijednosti kroz ostalu sveobuhvatnu dobit uključuju dividende koje se odnose na instrumente koji se tijekom referentnog izvještajnog razdoblja prestaju priznavati i dividende koje se odnose na instrumente koji se drže na kraju referentnog izvještajnog razdoblja.</w:t>
      </w:r>
    </w:p>
    <w:p w:rsidR="009E6057" w:rsidRDefault="00A834F1">
      <w:pPr>
        <w:pStyle w:val="Baseparagraphnumbered"/>
      </w:pPr>
      <w:r>
        <w:t>Prihodi od dividende od ulaganja u društva kćeri, zajedničke pothvate i pridružena društva uključuju dividende od tih ulaganja ako se ona obračunavaju metodom koja nije metoda udjela.</w:t>
      </w:r>
    </w:p>
    <w:p w:rsidR="009E6057" w:rsidRDefault="00A834F1">
      <w:pPr>
        <w:pStyle w:val="Baseparagraphnumbered"/>
      </w:pPr>
      <w:r>
        <w:t xml:space="preserve">„Dobici ili (–) gubici po financijskoj imovini i financijskim obvezama koje se drži radi trgovanja, neto” uključuju dobitke i gubitke od ponovnog mjerenja i prestanka priznavanja financijskih instrumenata klasificiranih pod držanje radi </w:t>
      </w:r>
      <w:r>
        <w:lastRenderedPageBreak/>
        <w:t xml:space="preserve">trgovanja. Ova stavka uključuje i dobitke i gubitke po kreditnim izvedenicama koje se mjere po fer vrijednosti kroz dobit ili gubitak i koriste za upravljanje kreditnim rizikom cijelog ili dijela financijskog instrumenta koji se mjeri po fer vrijednosti kroz dobit ili gubitak, kao i dividende i kamatne prihode i rashode po financijskoj imovini i obvezama koji se drže radi trgovanja ako se primjenjuje prljava cijena. </w:t>
      </w:r>
    </w:p>
    <w:p w:rsidR="009E6057" w:rsidRDefault="00A834F1">
      <w:pPr>
        <w:pStyle w:val="Baseparagraphnumbered"/>
      </w:pPr>
      <w:r>
        <w:t>„Dobici ili gubici po financijskoj imovini i financijskim obvezama po fer vrijednosti kroz dobit ili gubitak” uključuju i iznos priznat u računu dobiti i gubitka za vlastiti kreditni rizik obveza koje se mjere po fer vrijednosti ako priznavanje promjena vlastitog kreditnog rizika u ostaloj sveobuhvatnoj dobiti stvara ili proširuje računovodstvenu neusklađenost (MSFI 9.5.7.8.). Ova stavka uključuje i dobitke i gubitke po zaštićenim instrumentima za koje je određeno da se mjere po fer vrijednosti kroz dobit ili gubitak ako se određivanje primjenjuje za upravljanje kreditnim rizikom, kao i kamatne prihode i rashode po financijskoj imovini i obvezama mjerenima po fer vrijednosti kroz dobit ili gubitak ako se primjenjuje prljava cijena.</w:t>
      </w:r>
    </w:p>
    <w:p w:rsidR="009E6057" w:rsidRDefault="00A834F1">
      <w:pPr>
        <w:pStyle w:val="Baseparagraphnumbered"/>
      </w:pPr>
      <w:r>
        <w:t>„Dobici ili gubici po prestanku priznavanja financijske imovine i financijskih obveza koji nisu mjereni po fer vrijednosti kroz dobit ili gubitak” ne uključuju dobitke po vlasničkim instrumentima koje je subjekt koji izvješćuje odlučio mjeriti po fer vrijednosti kroz ostalu sveobuhvatnu dobit (MSFI 9.5.7.1.(b)).</w:t>
      </w:r>
    </w:p>
    <w:p w:rsidR="009E6057" w:rsidRDefault="00A834F1">
      <w:pPr>
        <w:pStyle w:val="Baseparagraphnumbered"/>
      </w:pPr>
      <w:r>
        <w:t xml:space="preserve">Ako zbog promjene poslovnog modela dolazi do reklasifikacije financijske imovine u neki drugi računovodstveni portfelj, dobici i gubici od reklasifikacije iskazuju se u relevantnim redcima računovodstvenog portfelja u koji je financijska imovina reklasificirana u skladu sa sljedećim: </w:t>
      </w:r>
    </w:p>
    <w:p w:rsidR="009E6057" w:rsidRDefault="00A834F1">
      <w:pPr>
        <w:numPr>
          <w:ilvl w:val="0"/>
          <w:numId w:val="62"/>
        </w:numPr>
        <w:ind w:hanging="437"/>
        <w:jc w:val="both"/>
        <w:rPr>
          <w:rFonts w:ascii="Times New Roman" w:hAnsi="Times New Roman"/>
          <w:sz w:val="24"/>
          <w:szCs w:val="24"/>
        </w:rPr>
      </w:pPr>
      <w:r>
        <w:rPr>
          <w:rFonts w:ascii="Times New Roman" w:hAnsi="Times New Roman"/>
        </w:rPr>
        <w:t>ako se financijska imovina reklasificira iz kategorije mjerenja po amortiziranom trošku u računovodstveni portfelj po fer vrijednosti kroz dobit ili gubitak (MSFI 9.5.6.2.), dobici ili gubici zbog reklasifikacije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rsidR="009E6057" w:rsidRDefault="00A834F1">
      <w:pPr>
        <w:numPr>
          <w:ilvl w:val="0"/>
          <w:numId w:val="62"/>
        </w:numPr>
        <w:ind w:hanging="437"/>
        <w:jc w:val="both"/>
        <w:rPr>
          <w:rFonts w:ascii="Times New Roman" w:hAnsi="Times New Roman"/>
          <w:sz w:val="24"/>
          <w:szCs w:val="24"/>
        </w:rPr>
      </w:pPr>
      <w:r>
        <w:rPr>
          <w:rFonts w:ascii="Times New Roman" w:hAnsi="Times New Roman"/>
        </w:rPr>
        <w:t>ako se financijska imovina reklasificira iz kategorije mjerenja po fer vrijednosti kroz ostalu sveobuhvatnu dobit u kategoriju mjerenja po fer vrijednosti kroz dobit ili gubitak (MSFI 9.5.6.7.), kumulativni dobici ili gubici prethodno priznati kroz ostalu sveobuhvatnu dobit i reklasificirani u dobit ili gubitak iskazuju se u stavci „Dobici ili (–) gubici po financijskoj imovini i financijskim obvezama koje se drže radi trgovanja, neto” ili „Dobici ili gubici po financijskoj imovini kojom se ne trguje koja se obvezno mjeri po fer vrijednosti kroz dobit ili gubitak, neto”, ako je primjenjivo.</w:t>
      </w:r>
    </w:p>
    <w:p w:rsidR="009E6057" w:rsidRDefault="00A834F1">
      <w:pPr>
        <w:pStyle w:val="Baseparagraphnumbered"/>
      </w:pPr>
      <w:r>
        <w:t xml:space="preserve">U okviru zaštite fer vrijednosti u skladu s MSFI-jem 9.6.5.8. „Dobici ili (–) gubici od računovodstva zaštite, neto” uključuju dobitke i gubitke po instrumentima zaštite od rizika i zaštićenim stavkama, uključujući one po zaštićenim stavkama mjerenima po fer vrijednosti kroz ostalu sveobuhvatnu dobit osim vlasničkih instrumenata. Uključuju i neefektivni dio promjene fer vrijednosti instrumenata zaštite od rizika u zaštiti novčanog toka. </w:t>
      </w:r>
      <w:r>
        <w:lastRenderedPageBreak/>
        <w:t>Reklasifikacije rezerve na osnovi zaštite novčanog toka ili rezerve za zaštitu neto ulaganja u inozemno poslovanje priznaju se u istim redcima „Računa dobiti i gubitka” kao i one na koje utječu novčani tokovi od zaštićenih stavki. „Dobici ili (–) gubici od računovodstva zaštite, neto” uključuju i dobitke i gubitke od zaštite neto ulaganja u inozemno poslovanje. Ova stavka uključuje i dobitke po zaštitama neto pozicija.</w:t>
      </w:r>
    </w:p>
    <w:p w:rsidR="009E6057" w:rsidRDefault="00A834F1">
      <w:pPr>
        <w:pStyle w:val="Baseparagraphnumbered"/>
      </w:pPr>
      <w:r>
        <w:t xml:space="preserve"> „Dobici ili gubici po prestanku priznavanja nefinancijske imovine” uključuju dobitke i gubitke po prestanku priznavanja nefinancijske imovine, osim ako se klasificira kao nefinancijska imovina namijenjena za prodaju ili kao ulaganja u društva kćeri, zajedničke pothvate i pridružena društva.</w:t>
      </w:r>
    </w:p>
    <w:p w:rsidR="009E6057" w:rsidRDefault="00301A78">
      <w:pPr>
        <w:pStyle w:val="Baseparagraphnumbered"/>
        <w:numPr>
          <w:ilvl w:val="0"/>
          <w:numId w:val="0"/>
        </w:numPr>
        <w:ind w:left="786" w:hanging="360"/>
      </w:pPr>
      <w:r>
        <w:t>48.i. „Doprinosi u novcu sanacijskim odborima i sustavima osiguranja depozita” uključuju iznose doprinosa sanacijskim odborima i sustavima osiguranja depozita uplaćenim u gotovu novcu. Ako je doprinos u obliku obveze plaćanja, ta obveza plaćanja uključuje se u „rezervacije ili (–) ukidanje rezervacija” ako u skladu s primjenjivim računovodstvenim standardom zbog te obveze plaćanja nastaje obveza.</w:t>
      </w:r>
    </w:p>
    <w:p w:rsidR="009E6057" w:rsidRDefault="00A834F1">
      <w:pPr>
        <w:pStyle w:val="Baseparagraphnumbered"/>
      </w:pPr>
      <w:r>
        <w:t>„Dobici ili (–) gubici zbog promjena, neto” uključuju iznose koji proizlaze iz usklađivanja bruto knjigovodstvenih vrijednosti financijske imovine kako bi se u obzir uzeli ponovno dogovoreni ili promijenjeni ugovorni novčani tokovi (MSFI 9.5.4.3. i Dodatak A). Dobici ili gubici zbog promjena ne uključuju učinak promjena na iznos očekivanih kreditnih gubitaka koji se iskazuju u stavci „Umanjenje vrijednosti ili (–) ukidanje umanjenja vrijednosti financijske imovine koja se ne mjeri po fer vrijednosti kroz dobit ili gubitak”.</w:t>
      </w:r>
    </w:p>
    <w:p w:rsidR="009E6057" w:rsidRDefault="00A834F1">
      <w:pPr>
        <w:pStyle w:val="Baseparagraphnumbered"/>
      </w:pPr>
      <w:r>
        <w:t>„Rezervacije ili (–) ukidanje rezervacija. Preuzete obveze i jamstva” uključuju neto naknade u „Računu dobiti i gubitka” za rezervacije za sve obveze i jamstva na koje se primjenjuje MSFI 9, MRS 37 ili MSFI 4 u skladu s točkom 11. ovog dijela ili u skladu s nacionalnim općeprihvaćenim računovodstvenim načelima na temelju BAD-a. Na temelju MSFI-ja svaka promjena fer vrijednosti obveza i financijskih jamstava koji se mjere po fer vrijednosti iskazuje se u stavci „Dobici ili (–) gubici po financijskoj imovini i financijskim obvezama po fer vrijednosti kroz dobit ili gubitak, neto”. Rezervacije stoga uključuju iznos umanjenja za obveze i jamstva za koje se umanjenje vrijednosti utvrđuje u skladu s MSFI-jem 9 ili se njihova rezerviranja temelje na MRS-u 37 ili se tretiraju kao ugovori o osiguranju na temelju MSFI-ja 4.</w:t>
      </w:r>
    </w:p>
    <w:p w:rsidR="009E6057" w:rsidRDefault="00A834F1">
      <w:pPr>
        <w:pStyle w:val="Baseparagraphnumbered"/>
      </w:pPr>
      <w:r>
        <w:t xml:space="preserve">Na temelju MSFI-ja „Umanjenje vrijednosti ili (–) ukidanje umanjenja vrijednosti financijske imovine koja se ne mjeri po fer vrijednosti kroz dobit ili gubitak” uključuje sve dobitke ili gubitke zbog umanjenja vrijednosti dužničkih instrumenata koje proizlazi iz primjene odredbi o umanjenju vrijednosti iz MSFI-ja 9.5.5., neovisno o tome je li se u skladu s MSFI-jem 9.5.5 očekivani kreditni gubici procjenjuju u dvanaestomjesečnom razdoblju ili tijekom vijeka trajanja, i uključujući dobitke ili gubitke zbog umanjenja vrijednosti potraživanja, ugovorne imovine i potraživanja na temelju najma (MSFI 9.5.5.15.). </w:t>
      </w:r>
    </w:p>
    <w:p w:rsidR="009E6057" w:rsidRDefault="00A834F1">
      <w:pPr>
        <w:pStyle w:val="Baseparagraphnumbered"/>
      </w:pPr>
      <w:r>
        <w:lastRenderedPageBreak/>
        <w:t xml:space="preserve">U skladu s nacionalnim općeprihvaćenim računovodstvenim načelima na temelju BAD-a, u kategoriju „umanjenje vrijednosti ili (–) ukidanje umanjenja vrijednosti financijske imovine koja se ne mjeri po fer vrijednosti kroz dobit ili gubitak” uključuju se svi ispravci vrijednosti i ukidanja ispravaka vrijednosti financijskih instrumenata koji se mjere metodama troška zbog promjene kreditne sposobnosti dužnika ili izdavatelja, kao i, ovisno o specifikacijama nacionalnih općeprihvaćenih računovodstvenih načela, ispravci vrijednosti zbog umanjenja vrijednosti financijskih instrumenata koji se mjere po fer vrijednosti kroz kapital i na temelju drugih metoda mjerenja, uključujući LOCOM. </w:t>
      </w:r>
    </w:p>
    <w:p w:rsidR="009E6057" w:rsidRDefault="00A834F1">
      <w:pPr>
        <w:pStyle w:val="Baseparagraphnumbered"/>
      </w:pPr>
      <w:r>
        <w:t xml:space="preserve"> „Umanjenje vrijednosti ili (–) ukidanje umanjenja vrijednosti financijske imovine koja se ne mjeri po fer vrijednosti kroz dobit ili gubitak” uključuje i otpisane iznose, kako je definirano u točkama 72. i 74. i točki 165. podtočki (b) ovog dijela ovog Priloga, koji premašuju iznos rezervacije za umanjenje vrijednosti na datum otpisa i stoga se u računu dobiti i gubitka izravno priznaje kao gubitak, kao i povrat prethodno otpisanih iznosa iskazanih izravno u računu dobiti i gubitka. </w:t>
      </w:r>
    </w:p>
    <w:p w:rsidR="009E6057" w:rsidRDefault="00A834F1">
      <w:pPr>
        <w:pStyle w:val="Baseparagraphnumbered"/>
      </w:pPr>
      <w:r>
        <w:t xml:space="preserve">Udio dobiti ili gubitka od društava kćeri, pridruženih društava i zajedničkih pothvata koji se obračunavaju primjenom metode udjela u okviru regulatorne konsolidacije iskazuje se pod stavkom „Udjel dobiti ili (–) gubitka od ulaganja u društva kćeri, zajedničke pothvate i pridružena društva koji se obračunavaju primjenom metode udjela”. U skladu s MRS-om 28.10., knjigovodstvena vrijednost ulaganja umanjuje se za iznos dividendi koji plaćaju ti subjekti. Umanjenje vrijednosti tih ulaganja iskazuje se kao „(Umanjenje vrijednosti ili (–) ukidanje umanjenja vrijednosti ulaganja u društva kćeri, zajedničke pothvate i pridružena društva)”. Dobici ili gubici po prestanku priznavanja tih ulaganja iskazuju se u skladu s točkama 55. i 56. ovog dijela. </w:t>
      </w:r>
    </w:p>
    <w:p w:rsidR="009E6057" w:rsidRDefault="00A834F1">
      <w:pPr>
        <w:pStyle w:val="Baseparagraphnumbered"/>
      </w:pPr>
      <w:r>
        <w:t>„Dobit ili gubitak od dugotrajne imovine i grupe za otuđenje klasificirane kao namijenjene za prodaju koje nisu kvalificirane kao poslovanje koje se neće nastaviti” uključuje dobit ili gubitak od dugotrajne imovine i grupa za otuđenje klasificiranih kao namijenjene za prodaju koje nisu kvalificirane kao poslovanje koje se neće nastaviti.</w:t>
      </w:r>
    </w:p>
    <w:p w:rsidR="009E6057" w:rsidRDefault="00A834F1">
      <w:pPr>
        <w:pStyle w:val="Baseparagraphnumbered"/>
      </w:pPr>
      <w:r>
        <w:t>Na temelju MSFI-ja, dobici ili gubici po prestanku priznavanja ulaganja u društva kćeri, zajedničke pothvate i pridružena društva iskazuju se pod stavkom „Dobit ili (–) gubitak prije oporezivanja iz poslovanja koje se neće nastaviti” ako se na temelju MSFI-ja 5 smatraju poslovanjem koje se neće nastaviti. U skladu s nacionalnim općeprihvaćenim računovodstvenim načelima na temelju BAD-a, ti dobici i gubici iskazuju se pod stavkom „Dobici ili (–) gubici po prestanku priznavanja ulaganja u društva kćeri, zajedničke pothvate i pridružena društva, neto”.</w:t>
      </w:r>
    </w:p>
    <w:p w:rsidR="009E6057" w:rsidRDefault="00A834F1">
      <w:pPr>
        <w:pStyle w:val="subtitlenumbered"/>
        <w:jc w:val="both"/>
      </w:pPr>
      <w:bookmarkStart w:id="19" w:name="_Toc30667474"/>
      <w:r>
        <w:t>Izvještaj o sveobuhvatnoj dobiti (3.)</w:t>
      </w:r>
      <w:bookmarkEnd w:id="19"/>
    </w:p>
    <w:p w:rsidR="009E6057" w:rsidRDefault="00A834F1">
      <w:pPr>
        <w:pStyle w:val="Baseparagraphnumbered"/>
      </w:pPr>
      <w:r>
        <w:t xml:space="preserve">„Dobici ili (–) gubici od računovodstva zaštite vlasničkih instrumenata koji se mjere po fer vrijednosti kroz ostalu sveobuhvatnu dobit” uključuju promjenu akumulirane neučinkovitosti zaštite fer vrijednosti od rizika u kojoj je zaštićena stavka vlasnički instrument koji se mjeri po fer vrijednosti kroz ostalu </w:t>
      </w:r>
      <w:r>
        <w:lastRenderedPageBreak/>
        <w:t>sveobuhvatnu dobit. Promjena akumulirane neučinkovitosti zaštite od rizika iskazane u ovom retku jednaka je razlici promjena fer vrijednosti vlasničkog instrumenta iskazane pod stavkom „Promjene fer vrijednosti vlasničkih instrumenata koji se mjere po fer vrijednosti kroz ostalu sveobuhvatnu dobit (zaštićena stavka)” i promjena fer vrijednosti izvedenice namijenjene zaštiti od rizika iskazanih pod stavkom „Promjene fer vrijednosti vlasničkih instrumenata koji se mjere po fer vrijednosti kroz ostalu sveobuhvatnu dobit (instrument zaštite)”.</w:t>
      </w:r>
    </w:p>
    <w:p w:rsidR="009E6057" w:rsidRDefault="00A834F1">
      <w:pPr>
        <w:pStyle w:val="Baseparagraphnumbered"/>
      </w:pPr>
      <w:r>
        <w:t xml:space="preserve"> „Zaštita neto ulaganja u inozemno poslovanje (učinkoviti dio)” uključuje promjenu akumulirane rezerve za zamjenu strane valute za učinkoviti dio tekućih zaštita neto ulaganja u inozemno poslovanje i zaštita neto ulaganja u inozemno poslovanje koje se više ne primjenjuju. </w:t>
      </w:r>
    </w:p>
    <w:p w:rsidR="009E6057" w:rsidRDefault="00A834F1">
      <w:pPr>
        <w:pStyle w:val="Baseparagraphnumbered"/>
      </w:pPr>
      <w:r>
        <w:t xml:space="preserve">Iznosi zaštita neto ulaganja u inozemno poslovanje i zaštita novčanih tokova iskazani u stavci „Preneseno u dobit ili gubitak” uključuju prenesene iznose jer su zaštićeni tokovi realizirani i više se ne očekuju. </w:t>
      </w:r>
    </w:p>
    <w:p w:rsidR="009E6057" w:rsidRDefault="00A834F1">
      <w:pPr>
        <w:pStyle w:val="Baseparagraphnumbered"/>
      </w:pPr>
      <w:r>
        <w:t xml:space="preserve">„Instrumenti zaštite (elementi koji nisu određeni)’ uključuju promjene akumuliranih promjena fer vrijednosti svih sljedećih elemenata ako nisu određeni kao komponenta zaštite od rizika: </w:t>
      </w:r>
    </w:p>
    <w:p w:rsidR="009E6057" w:rsidRDefault="00A834F1">
      <w:pPr>
        <w:pStyle w:val="Baseparagraphnumbered"/>
        <w:numPr>
          <w:ilvl w:val="0"/>
          <w:numId w:val="55"/>
        </w:numPr>
        <w:ind w:left="1134" w:hanging="425"/>
      </w:pPr>
      <w:r>
        <w:t xml:space="preserve">vremenska vrijednost opcije; </w:t>
      </w:r>
    </w:p>
    <w:p w:rsidR="009E6057" w:rsidRDefault="00A834F1">
      <w:pPr>
        <w:pStyle w:val="Baseparagraphnumbered"/>
        <w:numPr>
          <w:ilvl w:val="0"/>
          <w:numId w:val="55"/>
        </w:numPr>
        <w:ind w:left="1134" w:hanging="425"/>
      </w:pPr>
      <w:r>
        <w:t xml:space="preserve">terminski element terminskog ugovora; </w:t>
      </w:r>
    </w:p>
    <w:p w:rsidR="009E6057" w:rsidRDefault="00A834F1">
      <w:pPr>
        <w:pStyle w:val="Baseparagraphnumbered"/>
        <w:numPr>
          <w:ilvl w:val="0"/>
          <w:numId w:val="55"/>
        </w:numPr>
        <w:ind w:left="1134" w:hanging="425"/>
      </w:pPr>
      <w:r>
        <w:t xml:space="preserve">raspon valutne osnovice financijskih instrumenata. </w:t>
      </w:r>
    </w:p>
    <w:p w:rsidR="009E6057" w:rsidRDefault="00A834F1">
      <w:pPr>
        <w:pStyle w:val="Baseparagraphnumbered"/>
      </w:pPr>
      <w:r>
        <w:t>Kod opcija iznosi reklasificirani u dobit ili gubitak i iskazani u stavci „Preneseno u dobit ili gubitak” uključuju reklasifikacije zbog opcija kojima se štiti stavka zaštićena od rizika povezana s transakcijom i opcija kojima se štiti stavka zaštićena od rizika povezana s razdobljem.</w:t>
      </w:r>
    </w:p>
    <w:p w:rsidR="009E6057" w:rsidRDefault="00A834F1">
      <w:pPr>
        <w:pStyle w:val="Baseparagraphnumbered"/>
      </w:pPr>
      <w:r>
        <w:t>„Dužnički instrumenti po fer vrijednosti kroz ostalu sveobuhvatnu dobit” uključuju dobitke ili gubitke po dužničkim instrumentima koji se mjere po fer vrijednosti kroz ostalu sveobuhvatnu dobit, osim dobitke ili gubitke zbog umanjenja vrijednosti i dobitke i gubitke zbog razmjena valuta, koji se iskazuju u stavci „(Umanjenje vrijednosti ili (–) ukidanje umanjenja vrijednosti financijske imovine koja se ne mjeri po fer vrijednosti kroz dobit ili gubitak)” odnosno u stavci „Tečajne razlike [dobit ili (–) gubitak], neto” u obrascu 2. „Preneseno u dobit ili gubitak” uključuje prijenos u dobit ili gubitak zbog prestanka priznavanja ili reklasifikacije u kategoriju mjerenja po fer vrijednosti kroz dobit ili gubitak.</w:t>
      </w:r>
    </w:p>
    <w:p w:rsidR="009E6057" w:rsidRDefault="00A834F1">
      <w:pPr>
        <w:pStyle w:val="Baseparagraphnumbered"/>
      </w:pPr>
      <w:r>
        <w:t>Ako se financijska imovina reklasificira iz kategorije mjerenja po amortiziranom trošku u kategoriju mjerenja po fer vrijednosti kroz ostalu sveobuhvatnu dobit (MSFI 9.5.6.4.), dobici ili gubici koji proizlaze iz reklasifikacije iskazuju se u stavci „Dužnički instrumenti po fer vrijednosti kroz ostalu sveobuhvatnu dobit”.</w:t>
      </w:r>
    </w:p>
    <w:p w:rsidR="009E6057" w:rsidRDefault="00A834F1">
      <w:pPr>
        <w:pStyle w:val="Baseparagraphnumbered"/>
      </w:pPr>
      <w:r>
        <w:lastRenderedPageBreak/>
        <w:t>Ako se financijska imovina reklasificira iz kategorije mjerenja po fer vrijednosti kroz ostalu sveobuhvatnu dobit u kategoriju mjerenja po fer vrijednosti kroz dobit ili gubitak (MSFI 9.5.6.7.) ili u kategoriju mjerenja po amortiziranom trošku (MSFI 9.5.6.5.), reklasificirani kumulativni dobici ili gubici prethodno priznati kroz ostalu sveobuhvatnu dobit iskazuju se u stavci „Preneseno u dobit ili gubitak” odnosno u stavci „Ostale reklasifikacije”, pri čemu se u potonjem slučaju usklađuje knjigovodstvena vrijednost financijske imovine.</w:t>
      </w:r>
    </w:p>
    <w:p w:rsidR="009E6057" w:rsidRDefault="00A834F1">
      <w:pPr>
        <w:pStyle w:val="Baseparagraphnumbered"/>
      </w:pPr>
      <w:r>
        <w:t xml:space="preserve">Za sve komponente ostale sveobuhvatne dobiti „ostale reklasifikacije” uključuju prijenose osim reklasifikacija iz ostale sveobuhvatne dobiti u dobit ili gubitak ili u početnu knjigovodstvenu vrijednost zaštićenih stavki u slučaju zaštita novčanih tokova. </w:t>
      </w:r>
    </w:p>
    <w:p w:rsidR="009E6057" w:rsidRDefault="00A834F1">
      <w:pPr>
        <w:pStyle w:val="Baseparagraphnumbered"/>
      </w:pPr>
      <w:r>
        <w:t>Na temelju MSFI-ja stavke „Porez na dobit koji se odnosi na stavke koje neće biti reklasificirane” i „Porez na dobit koji se odnosi na stavke koje je moguće reklasificirati u dobit ili (–) gubitak” (MRS 1.91. (b), UP6) iskazuju se kao odvojene stavke.</w:t>
      </w:r>
    </w:p>
    <w:p w:rsidR="009E6057" w:rsidRDefault="00A834F1">
      <w:pPr>
        <w:pStyle w:val="subtitlenumbered"/>
        <w:jc w:val="both"/>
      </w:pPr>
      <w:bookmarkStart w:id="20" w:name="_Toc30667475"/>
      <w:r>
        <w:t>Raščlamba financijske imovine prema instrumentu i prema sektoru druge ugovorne strane (4.)</w:t>
      </w:r>
      <w:bookmarkEnd w:id="20"/>
    </w:p>
    <w:p w:rsidR="009E6057" w:rsidRDefault="00A834F1">
      <w:pPr>
        <w:pStyle w:val="Baseparagraphnumbered"/>
      </w:pPr>
      <w:r>
        <w:t>Financijska imovina raščlanjuje se prema računovodstvenom portfelju i instrumentu i – prema potrebi – prema drugoj ugovornoj strani. Kod dužničkih instrumenata koji se mjere po fer vrijednosti kroz ostalu sveobuhvatnu dobit i po amortiziranom trošku, bruto knjigovodstvene vrijednosti imovine i akumulirana umanjenja vrijednosti raščlanjuju se prema fazama umanjenja vrijednosti.</w:t>
      </w:r>
    </w:p>
    <w:p w:rsidR="009E6057" w:rsidRDefault="00A834F1">
      <w:pPr>
        <w:pStyle w:val="Baseparagraphnumbered"/>
      </w:pPr>
      <w:r>
        <w:t>Izvedenice koje se na temelju nacionalnih općeprihvaćenih računovodstvenih načela na temelju BAD-a iskazuju kao financijska imovina kojom se trguje uključuju instrumente koji se mjere po fer vrijednosti i instrumente koji se mjere metodom troška ili po LOCOM-u.</w:t>
      </w:r>
    </w:p>
    <w:p w:rsidR="009E6057" w:rsidRDefault="00A834F1">
      <w:pPr>
        <w:pStyle w:val="Baseparagraphnumbered"/>
      </w:pPr>
      <w:r>
        <w:t>Za potrebe priloga III. i IV. te ovog Priloga, „akumulirane negativne promjene fer vrijednosti zbog kreditnog rizika” znači, u slučaju neprihodujućih izloženosti, akumulirane promjene fer vrijednosti zbog kreditnog rizika ako je akumulirana neto promjena negativna. Akumulirana neto promjena fer vrijednosti zbog kreditnog rizika izračunava se dodavanjem svih negativnih i pozitivnih promjena fer vrijednosti zbog kreditnog rizika koje su nastale nakon priznavanja dužničkog instrumenta. Taj se iznos iskazuje samo ako se dodavanjem pozitivnih i negativnih promjena fer vrijednosti zbog kreditnog rizika dobiva negativan iznos. Dužnički instrumenti vrednuju se na razini pojedinačnih financijskih instrumenata. Za svaki dužnički instrument „Akumulirane negativne promjene fer vrijednosti zbog kreditnog rizika” iskazuju se sve do prestanka priznavanja instrumenta.</w:t>
      </w:r>
    </w:p>
    <w:p w:rsidR="009E6057" w:rsidRDefault="00A834F1">
      <w:pPr>
        <w:pStyle w:val="Baseparagraphnumbered"/>
      </w:pPr>
      <w:r>
        <w:t>Za potrebe priloga III. i IV. te ovog Priloga, „akumulirano umanjenje vrijednosti” znači sljedeće:</w:t>
      </w:r>
    </w:p>
    <w:p w:rsidR="009E6057"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lastRenderedPageBreak/>
        <w:t xml:space="preserve">za dužničke instrumente koji se mjere po amortiziranom trošku ili metodom troška, akumulirano umanjenje vrijednosti jest kumulativni iznos gubitaka zbog umanjenja vrijednosti, ne uključujući primjenu i ukidanja koji su, kada je to prikladno, priznati za svaku fazu umanjenja vrijednosti. Akumuliranim umanjenjem vrijednosti smanjuje se knjigovodstvena vrijednost dužničkog instrumenta s pomoću konta ispravka vrijednosti u skladu s MSFI-jem i nacionalnim općeprihvaćenim računovodstvenim načelima na temelju BAD-a ili izravnim smanjenjima koja u skladu s nacionalnim općeprihvaćenim računovodstvenim načelima na temelju BAD-a ne čine događaj koji dovodi do prestanka priznavanja; </w:t>
      </w:r>
    </w:p>
    <w:p w:rsidR="009E6057"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kod dužničkih instrumenata koji se mjere po fer vrijednosti kroz ostalu sveobuhvatnu dobit na temelju MSFI-ja, akumulirano umanjenje vrijednosti zbroj je očekivanih kreditnih gubitaka i njihovih promjena priznatih kao smanjenje fer vrijednosti po određenom instrumentu nakon početnog priznavanja; </w:t>
      </w:r>
    </w:p>
    <w:p w:rsidR="009E6057"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kod dužničkih instrumenata koji se mjere po fer vrijednosti kroz kapital u skladu s nacionalnim općeprihvaćenim računovodstvenim načelima na temelju BAD-a na koje se primjenjuje umanjenje vrijednosti, akumulirano umanjenje vrijednosti jest kumulativni iznos gubitaka zbog umanjenja vrijednosti, ne uključujući primjenu i ukidanja koji su priznati. Smanjenje knjigovodstvene vrijednosti provodi se s pomoću konta ispravka vrijednosti ili izravno smanjenjima koja ne čine događaj koji dovodi do prestanka priznavanja.</w:t>
      </w:r>
    </w:p>
    <w:p w:rsidR="009E6057" w:rsidRDefault="00A834F1">
      <w:pPr>
        <w:pStyle w:val="Baseparagraphnumbered"/>
      </w:pPr>
      <w:r>
        <w:t>Na temelju MSFI-ja akumulirano umanjenje vrijednosti uključuje ispravak vrijednosti financijske imovine za kreditne gubitke u okviru svake faze umanjenja vrijednosti određene MSFI-jem 9. U skladu s nacionalnim općeprihvaćenim računovodstvenim načelima na temelju BAD-a, ono uključuje specifičan ili opći ispravak vrijednosti za kreditni rizik i opći ispravak vrijednosti za bankovni rizik ako se njime smanjuje knjigovodstvena vrijednost dužničkih instrumenata. Akumulirano umanjenje vrijednosti uključuje i vrijednosna usklađenja potaknuta kreditnim rizikom po financijskoj imovini na temelju LOCOM-a.</w:t>
      </w:r>
    </w:p>
    <w:p w:rsidR="009E6057" w:rsidRDefault="00A834F1">
      <w:pPr>
        <w:pStyle w:val="Baseparagraphnumbered"/>
      </w:pPr>
      <w:r>
        <w:t>„Akumulirani djelomični otpisi” i „Akumulirani potpuni otpisi” uključuju akumulirani djelomični odnosno ukupni iznos glavnice na izvještajni datum i obračunatih dospjelih kamata i naknada svakog dužničkog instrumenta koji se do tog trenutka prestao priznavati primjenom jedne od metoda opisanih u točki 74. jer institucija nema razumnih očekivanja u pogledu povrata ugovorenih novčanih tokova. Ti se iznosi iskazuju do potpunog prestanka svih prava institucije koja izvješćuje zbog isteka roka zastare, otpusta ili drugih uzroka ili do povrata. Stoga, ako se otpisani iznosi ne naplate, oni se iskazuju dok su predmet prisilne naplate.</w:t>
      </w:r>
    </w:p>
    <w:p w:rsidR="009E6057" w:rsidRDefault="00A834F1">
      <w:pPr>
        <w:pStyle w:val="Baseparagraphnumbered"/>
      </w:pPr>
      <w:r>
        <w:t xml:space="preserve">Ako se s vremenom dužnički instrument u cijelosti otpiše zbog uzastopnih djelomičnih otpisa, kumulativni iznos otpisa reklasificira se iz stupca „Akumulirani djelomični otpisi” u stupac „Akumulirani potpuni otpisi”. </w:t>
      </w:r>
    </w:p>
    <w:p w:rsidR="009E6057" w:rsidRDefault="00A834F1">
      <w:pPr>
        <w:pStyle w:val="Baseparagraphnumbered"/>
      </w:pPr>
      <w:r>
        <w:t xml:space="preserve">Otpis je događaj koji dovodi do prestanka priznavanja i odnosi se na financijsku imovinu u cijelosti ili na njezin dio, među ostalim ako promjena imovine dovodi do toga da se institucija odriče svojeg prava da prikuplja novčane tokove od dijela ili cijele imovine kako je dodatno objašnjeno u točki 72. Otpisi uključuju iznose koji su posljedica smanjenja knjigovodstvene vrijednosti </w:t>
      </w:r>
      <w:r>
        <w:lastRenderedPageBreak/>
        <w:t xml:space="preserve">financijske imovine izravno priznate u dobiti ili gubitku, kao i smanjenja iznosa na kontima ispravaka vrijednosti zbog kreditnih gubitaka povezanih s knjigovodstvenom vrijednošću financijske imovine. </w:t>
      </w:r>
    </w:p>
    <w:p w:rsidR="009E6057" w:rsidRDefault="00A834F1">
      <w:pPr>
        <w:pStyle w:val="Baseparagraphnumbered"/>
      </w:pPr>
      <w:r>
        <w:t>Stupac „od čega: Instrumenti s niskim kreditnim rizikom’ uključuje instrumente za koje je na izvještajni datum određen nizak kreditni rizik i za koje institucija pretpostavlja da nije došlo do znatnog povećanja kreditnog rizika nakon početnog priznavanja u skladu s MSFI-jem 9.5.5.10.</w:t>
      </w:r>
    </w:p>
    <w:p w:rsidR="009E6057" w:rsidRDefault="00A834F1">
      <w:pPr>
        <w:pStyle w:val="Baseparagraphnumbered"/>
      </w:pPr>
      <w:r>
        <w:t>Potraživanja u smislu MRS-a 1.54.(h), ugovorna imovina i potraživanja na temelju najma za koje se pojednostavnjeni pristup iz MSFI-ja 9.5.5.15. primijenio za procjenu rezervacija za umanjenje vrijednosti iskazuju se kao krediti i predujmovi u obrascu 4.4.1. Odgovarajuće rezervacije za umanjenje vrijednosti za tu imovinu iskazuju se u stavci „Akumulirano umanjenje vrijednosti za imovinu sa značajnim povećanjem kreditnog rizika nakon početnog priznavanja, ali kojoj nije umanjena vrijednost za kreditne gubitke (faza 2)” ili u stavci „Akumulirano umanjenje vrijednosti za imovinu kojoj je umanjena vrijednost za kreditne gubitke (faza 3)”, ovisno o tome smatraju li se na temelju pojednostavnjenog pristupa potraživanja, ugovorna imovina ili potraživanja na temelju najma imovinom kojoj u je umanjena vrijednost za kreditne gubitke.</w:t>
      </w:r>
    </w:p>
    <w:p w:rsidR="009E6057" w:rsidRDefault="00A834F1">
      <w:pPr>
        <w:pStyle w:val="Baseparagraphnumbered"/>
      </w:pPr>
      <w:r>
        <w:t>Kupljena ili inicirana financijska imovina kojoj je pri početnom priznavanju vrijednost umanjena za kreditne gubitke, kako je definirano u Dodatku A MSFI-ju 9, zasebno se iskazuje u obrascima 4.3.1 i 4.4.1. Kad je riječ o toj imovini, akumulirano umanjenje vrijednosti uključuje samo kumulativne promjene očekivanih kreditnih gubitaka tijekom vijeka trajanja do kojih dođe nakon početnog priznavanja (MSFI 9.5.5.13.). Odgovarajuća bruto knjigovodstvena vrijednost i akumulirano umanjenje vrijednosti za tu imovinu iskazuju se u stavci „Imovina kojoj je umanjena vrijednost za kreditne gubitke (faza 3)” pri početnom priznavanju i sve dok se smatra imovinom kojoj je umanjena vrijednost za kreditne gubitke u skladu s definicijom „imovine kojoj je umanjena vrijednost za kreditne gubitke” iz Dodatka A MSFI-ju 9. Ako se prestane smatrati imovinom kojoj je umanjena vrijednost za kreditne gubitke, ta se imovina iskazuje u stavci „Imovina sa značajnim povećanjem kreditnog rizika nakon početnog priznavanja, ali kojoj nije umanjena vrijednost za kreditne gubitke (faza 2)”.</w:t>
      </w:r>
    </w:p>
    <w:p w:rsidR="009E6057" w:rsidRDefault="00A834F1">
      <w:pPr>
        <w:pStyle w:val="Baseparagraphnumbered"/>
        <w:ind w:left="785"/>
      </w:pPr>
      <w:r>
        <w:t>U obrascu 4.5. institucije iskazuju knjigovodstvenu vrijednost stavki ”Krediti i predujmovi” i „Dužnički vrijednosni papiri” koje su obuhvaćene definicijom „podređenog duga” iz točke 100. ovog dijela.</w:t>
      </w:r>
    </w:p>
    <w:p w:rsidR="009E6057" w:rsidRDefault="00A834F1">
      <w:pPr>
        <w:pStyle w:val="Baseparagraphnumbered"/>
      </w:pPr>
      <w:r>
        <w:t xml:space="preserve">U obrascu 4.8 informacije koje se iskazuju ovise o tome podliježe li neizvedena financijska imovina kojom se ne trguje koja se mjeri po fer vrijednosti kroz kapital zahtjevima o umanjenju vrijednosti na temelju nacionalnih općeprihvaćenih računovodstvenih načela na temelju BAD-a. Ako ta financijska imovina podliježe zahtjevima o umanjenju vrijednosti, institucije u ovom obrascu iskazuju informacije koje se odnose na knjigovodstvenu vrijednost, bruto knjigovodstvenu vrijednost imovine kojoj nije umanjena vrijednost i imovine kojoj je umanjena vrijednost i akumulirane otpise. Ako ta </w:t>
      </w:r>
      <w:r>
        <w:lastRenderedPageBreak/>
        <w:t>financijska imovina ne podliježe zahtjevima o umanjenju vrijednosti, institucije iskazuju akumulirane negativne promjene fer vrijednosti zbog kreditnog rizika za neprihodujuće izloženosti.</w:t>
      </w:r>
    </w:p>
    <w:p w:rsidR="009E6057" w:rsidRDefault="00A834F1">
      <w:pPr>
        <w:pStyle w:val="Baseparagraphnumbered"/>
      </w:pPr>
      <w:r>
        <w:t xml:space="preserve">U obrascu 4.9 financijska imovina koja se mjeri po umjerenom LOCOM-u i s njome povezana vrijednosna usklađenja utvrđuju se odvojeno od ostale financijske imovine koja se mjeri metodom troška i s njome povezanog umanjenja vrijednosti. Financijska imovina koja se mjeri metodom troška, uključujući financijsku imovinu koja se mjeri po umjerenom LOCOM-u, iskazuje se kao imovina kojoj nije umanjena vrijednost ako nema vrijednosnih usklađenja ili umanjenja vrijednosti povezanog s njome, te kao imovina kojoj je umanjena vrijednost ako postoje vrijednosna usklađenja koja se smatraju umanjenjem vrijednosti ili umanjenjem vrijednosti koje je povezano s njome. Vrijednosna usklađenja koja se smatraju umanjenjem vrijednosti jesu vrijednosna usklađenja potaknuta kreditnim rizikom koja odražavaju pogoršanje kreditne sposobnosti druge ugovorne strane. Financijska imovina koja se mjeri po umjerenom LOCOM-u s vrijednosnim usklađenjima potaknutima tržišnim rizikom koja odražavaju učinak promjena tržišnih uvjeta na vrijednost imovine ne smatra se imovinom kojoj je umanjena vrijednost. Akumulirana vrijednosna usklađenja potaknuta kreditnim rizikom i potaknuta tržišnim rizikom iskazuju se odvojeno. </w:t>
      </w:r>
    </w:p>
    <w:p w:rsidR="009E6057" w:rsidRDefault="00A834F1">
      <w:pPr>
        <w:pStyle w:val="Baseparagraphnumbered"/>
      </w:pPr>
      <w:r>
        <w:t>U obrascu 4.10 imovina koja se mjeri po strogom LOCOM-u kao i s njome povezana vrijednosna usklađenja iskazuju se odvojeno od imovine koja se mjeri drugim metodama mjerenja. Financijska imovina koja se mjeri po strogom LOCOM-u i financijska imovina koja se mjeri drugim metodama mjerenja iskazuje se kao imovina kojoj nije umanjena vrijednost ako nema vrijednosnih usklađenja potaknutih kreditnim rizikom kako je definirano u točki 80. ili umanjenja vrijednosti povezanog s njome. Financijska imovina koja se mjeri po strogom LOCOM-u s vrijednosnim usklađenjima potaknutima tržišnim rizikom kako je definirano u točki 80. ne smatra se imovinom kojoj je umanjena vrijednost. Akumulirana vrijednosna usklađenja potaknuta kreditnim rizikom i potaknuta tržišnim rizikom iskazuju se odvojeno.</w:t>
      </w:r>
    </w:p>
    <w:p w:rsidR="009E6057" w:rsidRDefault="00A834F1">
      <w:pPr>
        <w:pStyle w:val="Baseparagraphnumbered"/>
      </w:pPr>
      <w:r>
        <w:t>U skladu s nacionalnim općeprihvaćenim računovodstvenim načelima na temelju BAD-a, iznos općih ispravaka vrijednosti za bankovni rizik koji treba iskazati u odgovarajućem obrascu jednak je samo dijelu koji utječe na knjigovodstvenu vrijednost dužničkih instrumenata (članak 37. stavak 2. BAD-a).</w:t>
      </w:r>
    </w:p>
    <w:p w:rsidR="009E6057" w:rsidRDefault="00A834F1">
      <w:pPr>
        <w:pStyle w:val="subtitlenumbered"/>
        <w:jc w:val="both"/>
      </w:pPr>
      <w:bookmarkStart w:id="21" w:name="_Toc30667476"/>
      <w:r>
        <w:t>Raščlamba kredita i predujmova kojima se ne trguje prema proizvodu (5.)</w:t>
      </w:r>
      <w:bookmarkEnd w:id="21"/>
    </w:p>
    <w:p w:rsidR="009E6057" w:rsidRDefault="00A834F1">
      <w:pPr>
        <w:pStyle w:val="Baseparagraphnumbered"/>
      </w:pPr>
      <w:r>
        <w:t>Krediti i predujmovi osim onih koji se drže radi trgovanja ili imovine kojom se trguje raščlanjuju se prema vrsti proizvoda i prema sektoru druge ugovorne strane za knjigovodstvenu vrijednost te prema vrsti proizvoda samo za bruto knjigovodstvenu vrijednost.</w:t>
      </w:r>
    </w:p>
    <w:p w:rsidR="009E6057" w:rsidRDefault="00A834F1">
      <w:pPr>
        <w:pStyle w:val="Baseparagraphnumbered"/>
      </w:pPr>
      <w:r>
        <w:t xml:space="preserve">Salda potraživanja po viđenju klasificirana kao „Gotovina, sredstva u središnjim bankama i ostali depoziti po viđenju” isto se tako iskazuju u tom obrascu neovisno o tome na koji se način mjere. </w:t>
      </w:r>
    </w:p>
    <w:p w:rsidR="009E6057" w:rsidRDefault="00A834F1">
      <w:pPr>
        <w:pStyle w:val="Baseparagraphnumbered"/>
      </w:pPr>
      <w:r>
        <w:lastRenderedPageBreak/>
        <w:t xml:space="preserve">Krediti i predujmovi pridružuju se sljedećim proizvodima: </w:t>
      </w:r>
    </w:p>
    <w:p w:rsidR="009E6057"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„po viđenju (na zahtjev) i s kratkim otkaznim rokom (tekući račun)” uključuju salda potraživanja po viđenju (na zahtjev), okvirne kredite (do završetka poslovanja na dan koji slijedi neposredno nakon dana kad je zahtjev podnesen), tekuće račune i slična salda koja mogu uključivati kredite koji su za dužnika prekonoćni depoziti (krediti koji se moraju otplatiti do završetka poslovanja na dan koji slijedi neposredno nakon dana kad je odobren), neovisno o njihovu pravnom obliku. Ta stavka isto tako uključuje „prekoračenja” koja su salda na teret tekućeg računa i obvezne rezerve koje se drže u središnjoj banci;</w:t>
      </w:r>
    </w:p>
    <w:p w:rsidR="009E6057"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„dugovanje po kreditnoj kartici” uključuje kredit odobren po debitnim karticama s odgodom plaćanja ili po kreditnim karticama, kako je definirano u tablici u dijelu 2. Priloga II. Uredbi ESB-a o BSI-ju; </w:t>
      </w:r>
    </w:p>
    <w:p w:rsidR="009E6057"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„potraživanja” uključuju kredite drugim dužnicima na temelju faktura ili drugih dokumenata na temelju kojih je moguće ostvariti prihod od transakcija prodaje robe ili pružanja usluga. Ta stavka uključuje sve transakcije faktoringa i slične transakcije, primjerice akcepte, izravnu kupnju potraživanja, forfetiranje, diskontiranje faktura, mjenice, komercijalne zapise i druga potraživanja, u kojima institucija koja izvješćuje kupuje potraživanja od kupaca (s regresom i bez njega); </w:t>
      </w:r>
    </w:p>
    <w:p w:rsidR="009E6057"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„financijski najmovi” uključuju knjigovodstvenu vrijednost potraživanja po financijskom najmu. Na temelju MSFI-ja „potraživanja po financijskom najmu” utvrđena su u MRS-u 17;</w:t>
      </w:r>
    </w:p>
    <w:p w:rsidR="009E6057"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„obratni repo krediti” uključuju sredstva odobrena u zamjenu za vrijednosne papire ili zlato kupljene na temelju repo ugovora ili pozajmljena na temelju ugovora o pozajmljivanju vrijednosnih papira, kako je definirano u točkama 183. i 184. ovog dijela;</w:t>
      </w:r>
    </w:p>
    <w:p w:rsidR="009E6057"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 xml:space="preserve"> „ostali dugoročni krediti” uključuju salda dugovanja s ugovorno fiksnim dospijećima ili uvjetima koji nisu uključeni u ostale stavke; </w:t>
      </w:r>
    </w:p>
    <w:p w:rsidR="009E6057"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„predujmovi koji nisu krediti” uključuju predujmove koji se u skladu s tablicom u dijelu 2. Priloga II. Uredbi ESB-a o BSI-ju ne mogu klasificirati kao krediti. Ta stavka uključuje, među ostalim, bruto iznose potraživanja privremenih stavki (kao što su sredstva za koja se očekuje ulaganje, prijenos ili namira) i prijelaznih stavki (kao što su čekovi i drugi oblici plaćanja koji su poslani na naplatu).</w:t>
      </w:r>
    </w:p>
    <w:p w:rsidR="009E6057" w:rsidRDefault="00A834F1">
      <w:pPr>
        <w:pStyle w:val="Baseparagraphnumbered"/>
      </w:pPr>
      <w:r>
        <w:t>Krediti i predujmovi klasificiraju se na temelju primljenog kolaterala kako slijedi:</w:t>
      </w:r>
    </w:p>
    <w:p w:rsidR="009E6057"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„krediti s nekretninom kao kolateralom” uključuju kredite i predujmove koji su formalno osigurani stambenim ili poslovnim nekretninama kao kolateralom bez obzira na njihov omjer kredita i kolaterala (koji se često naziva „tržišna vrijednost kolaterala”) i pravni oblik kolaterala.</w:t>
      </w:r>
    </w:p>
    <w:p w:rsidR="009E6057"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„ostali krediti s kolateralom” uključuju kredite i predujmove koji su formalno osigurani kolateralom, bez obzira na njihov omjer kredita i kolaterala (koji se često naziva „tržišna vrijednost kolaterala”) i pravni oblik kolaterala, osim „kredita s nekretninom kao kolateralom”. Taj kolateral uključuje zaloge na vrijednosnim papirima, novac i druge kolaterale, bez obzira na pravni oblik kolaterala.</w:t>
      </w:r>
    </w:p>
    <w:p w:rsidR="009E6057" w:rsidRDefault="00A834F1">
      <w:pPr>
        <w:pStyle w:val="Baseparagraphnumbered"/>
      </w:pPr>
      <w:r>
        <w:t xml:space="preserve">Krediti i predujmovi klasificiraju se na temelju kolaterala i neovisno o namjeni kredita. Knjigovodstvena vrijednost kredita i predujmova koji su osigurani s više vrsta kolaterala klasificira se i iskazuje kao vrijednost kolateralizirana </w:t>
      </w:r>
      <w:r>
        <w:lastRenderedPageBreak/>
        <w:t xml:space="preserve">nekretninom ako su ti krediti i predujmovi osigurani nekretninom kao kolateralom, bez obzira na druge vrste kolaterala kojima su osigurani. </w:t>
      </w:r>
    </w:p>
    <w:p w:rsidR="009E6057" w:rsidRDefault="00A834F1">
      <w:pPr>
        <w:pStyle w:val="Baseparagraphnumbered"/>
      </w:pPr>
      <w:r>
        <w:t xml:space="preserve"> Krediti i predujmovi klasificiraju se na temelju svoje namjene kako slijedi:</w:t>
      </w:r>
    </w:p>
    <w:p w:rsidR="009E6057"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„potrošački krediti” uključuju kredite odobrene uglavnom za osobnu potrošnju robe i usluga, kako je definirano u tablici u dijelu 2. Priloga II. Uredbi ESB-a o BSI-ju;</w:t>
      </w:r>
    </w:p>
    <w:p w:rsidR="009E6057"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„stambeni krediti” uključuju kredite odobrene kućanstvima za potrebe ulaganja u stambene nekretnine za stanovanje ili iznajmljivanje, uključujući gradnju i preuređenje kako je definirano u tablici u dijelu 2. Priloga II. Uredbi ESB-a o BSI-ju.</w:t>
      </w:r>
    </w:p>
    <w:p w:rsidR="009E6057" w:rsidRDefault="00A834F1">
      <w:pPr>
        <w:pStyle w:val="Baseparagraphnumbered"/>
      </w:pPr>
      <w:r>
        <w:t>Krediti se klasificiraju na temelju načina njihove otplate. „Krediti za financiranje projekata” uključuju kredite koji imaju karakteristike izloženosti u obliku specijaliziranog financiranja iz članka 147. stavka 8. CRR-a.</w:t>
      </w:r>
    </w:p>
    <w:p w:rsidR="009E6057" w:rsidRDefault="00A834F1">
      <w:pPr>
        <w:pStyle w:val="subtitlenumbered"/>
        <w:keepNext/>
        <w:numPr>
          <w:ilvl w:val="0"/>
          <w:numId w:val="17"/>
        </w:numPr>
        <w:ind w:left="357" w:hanging="357"/>
        <w:jc w:val="both"/>
        <w:rPr>
          <w:kern w:val="32"/>
        </w:rPr>
      </w:pPr>
      <w:bookmarkStart w:id="22" w:name="_Toc30667477"/>
      <w:r>
        <w:t>Raščlamba kredita i predujmova kojima se ne trguje nefinancijskim društvima prema šiframa djelatnosti (6)</w:t>
      </w:r>
      <w:bookmarkEnd w:id="22"/>
    </w:p>
    <w:p w:rsidR="009E6057" w:rsidRDefault="00A834F1">
      <w:pPr>
        <w:pStyle w:val="Baseparagraphnumbered"/>
      </w:pPr>
      <w:r>
        <w:t xml:space="preserve">Bruto knjigovodstvena vrijednost kredita i predujmova nefinancijskim društvima osim onih uključenih u portfelj imovine koja se drži radi trgovanja ili portfelj imovine kojom se trguje klasificira se prema sektoru gospodarskih djelatnosti s pomoću šifri djelatnosti NACE na temelju osnovne djelatnosti druge ugovorne strane. </w:t>
      </w:r>
    </w:p>
    <w:p w:rsidR="009E6057" w:rsidRDefault="00A834F1">
      <w:pPr>
        <w:pStyle w:val="Baseparagraphnumbered"/>
      </w:pPr>
      <w:r>
        <w:t xml:space="preserve">Klasifikacija zajedničkih izloženosti više dužnika obavlja se u skladu s točkom 43. dijela 1. ovog Priloga. </w:t>
      </w:r>
    </w:p>
    <w:p w:rsidR="009E6057" w:rsidRDefault="00A834F1">
      <w:pPr>
        <w:pStyle w:val="Baseparagraphnumbered"/>
      </w:pPr>
      <w:r>
        <w:t>Izvješćivanje o šiframa djelatnosti NACE obavlja se uz prvu razinu disgregacije (prema „odjeljku”). Institucije iskazuju kredite i predujmove nefinancijskim društvima koja se bave financijskim ili osiguravateljnim djelatnostima u „K – Financijske djelatnosti i djelatnosti osiguranja”.</w:t>
      </w:r>
    </w:p>
    <w:p w:rsidR="009E6057" w:rsidRDefault="00A834F1">
      <w:pPr>
        <w:pStyle w:val="Baseparagraphnumbered"/>
      </w:pPr>
      <w:r>
        <w:t>Na temelju MSFI-ja financijska imovina koja podliježe umanjenju vrijednosti uključuje i. financijsku imovinu po amortiziranom trošku i ii. financijsku imovinu po fer vrijednosti kroz ostalu sveobuhvatnu dobit. U skladu s nacionalnim općeprihvaćenim računovodstvenim načelima na temelju BAD-a, financijska imovina koja podliježe umanjenju vrijednosti uključuje financijsku imovinu koja se mjeri metodom troška, uključujući na temelju LOCOM-a. Ovisno o specifikacijama pojedinih mjerodavnih nacionalnih općeprihvaćenih računovodstvenih načela, ona može uključivati i. financijsku imovinu koja se mjeri po fer vrijednosti kroz kapital i ii. financijsku imovinu koja se mjeri drugim metodama mjerenja.</w:t>
      </w:r>
    </w:p>
    <w:p w:rsidR="009E6057" w:rsidRDefault="00A834F1">
      <w:pPr>
        <w:pStyle w:val="subtitlenumbered"/>
        <w:keepNext/>
        <w:numPr>
          <w:ilvl w:val="0"/>
          <w:numId w:val="17"/>
        </w:numPr>
        <w:ind w:left="357" w:hanging="357"/>
        <w:jc w:val="both"/>
        <w:rPr>
          <w:kern w:val="32"/>
        </w:rPr>
      </w:pPr>
      <w:bookmarkStart w:id="23" w:name="_Toc30667478"/>
      <w:r>
        <w:t>Financijska imovina koja podliježe umanjenju vrijednosti koja je dospjela (7.)</w:t>
      </w:r>
      <w:bookmarkEnd w:id="23"/>
    </w:p>
    <w:p w:rsidR="009E6057" w:rsidRDefault="00A834F1">
      <w:pPr>
        <w:pStyle w:val="Baseparagraphnumbered"/>
      </w:pPr>
      <w:r>
        <w:t>Knjigovodstvena vrijednost dužničkih instrumenata koji su uključeni u računovodstvene portfelje koji podliježu umanjenju vrijednosti iskazuje se u obrascu 7.1. samo ako su dospjeli. Dospjeli instrumenti raspoređuju se u odgovarajuća razdoblja dospijeća na temelju njihove pojedinačne situacije.</w:t>
      </w:r>
    </w:p>
    <w:p w:rsidR="009E6057" w:rsidRDefault="00A834F1">
      <w:pPr>
        <w:pStyle w:val="Baseparagraphnumbered"/>
      </w:pPr>
      <w:r>
        <w:lastRenderedPageBreak/>
        <w:t xml:space="preserve"> Računovodstveni portfelji koji podliježu umanjenju vrijednosti jesu financijska imovina koja podliježe umanjenju vrijednosti, kako je definirano u točki 93. ovog dijela.</w:t>
      </w:r>
    </w:p>
    <w:p w:rsidR="009E6057" w:rsidRDefault="00A834F1">
      <w:pPr>
        <w:pStyle w:val="Baseparagraphnumbered"/>
      </w:pPr>
      <w:r>
        <w:t xml:space="preserve">Financijska imovina smatra se dospjelom ako bilo koji iznos glavnice, kamata ili naknade nije plaćen na dan dospijeća. Dospjele izloženosti iskazuju se u njihovoj cjelokupnoj knjigovodstvenoj vrijednosti. Knjigovodstvene vrijednosti takve imovine iskazuju se prema fazama umanjenja vrijednosti ili statusu umanjenja vrijednosti u skladu s primjenjivim računovodstvenim standardima i raščlanjuju se u skladu s brojem dana od najstarijeg dospjelog iznosa neplaćenog na referentni datum. </w:t>
      </w:r>
    </w:p>
    <w:p w:rsidR="009E6057" w:rsidRDefault="00A834F1">
      <w:pPr>
        <w:pStyle w:val="subtitlenumbered"/>
        <w:numPr>
          <w:ilvl w:val="0"/>
          <w:numId w:val="17"/>
        </w:numPr>
        <w:jc w:val="both"/>
      </w:pPr>
      <w:bookmarkStart w:id="24" w:name="_Toc30667479"/>
      <w:r>
        <w:t>Raščlamba financijskih obveza (8.)</w:t>
      </w:r>
      <w:bookmarkEnd w:id="24"/>
    </w:p>
    <w:p w:rsidR="009E6057" w:rsidRDefault="00A834F1">
      <w:pPr>
        <w:pStyle w:val="Baseparagraphnumbered"/>
      </w:pPr>
      <w:r>
        <w:t>„Depoziti” i raščlamba proizvoda definiraju se u skladu s tablicom u dijelu 2. Priloga II. Uredbi ESB-a o BSI-ju. Regulirani štedni depoziti klasificiraju se u skladu s Uredbom ESB-a o BSI-ju i raspoređuju prema drugoj ugovornoj strani. Konkretno, neprenosivi štedni depoziti po viđenju, koji, iako zakonski otkupivi na zahtjev, podliježu znatnim penalima i ograničenjima i vrlo su slični prekonoćnim depozitima, klasificiraju se kao depoziti otkupivi uz najavu.</w:t>
      </w:r>
    </w:p>
    <w:p w:rsidR="009E6057" w:rsidRDefault="00A834F1">
      <w:pPr>
        <w:pStyle w:val="Baseparagraphnumbered"/>
      </w:pPr>
      <w:r>
        <w:t xml:space="preserve">„Izdani dužnički vrijednosni papiri” disgregiraju se u sljedeće vrste proizvoda: </w:t>
      </w:r>
    </w:p>
    <w:p w:rsidR="009E6057"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„certifikati o depozitima” jesu vrijednosni papiri na temelju kojih imatelji mogu povlačiti sredstva s računa;</w:t>
      </w:r>
    </w:p>
    <w:p w:rsidR="009E6057"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„vrijednosni papiri osigurani imovinom” jesu vrijednosni papiri izvedeni iz transakcija sekuritizacije, kako je definirano u članku 4. stavku 1. točki 61. CRR-a;</w:t>
      </w:r>
    </w:p>
    <w:p w:rsidR="009E6057"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„pokrivene obveznice” iz članka 129. stavka 1. CRR-a;</w:t>
      </w:r>
    </w:p>
    <w:p w:rsidR="009E6057"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„hibridni ugovori” uključuju ugovore s ugrađenim izvedenicama;</w:t>
      </w:r>
    </w:p>
    <w:p w:rsidR="009E6057"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„ostali izdani dužnički vrijednosni papiri” jesu dužnički vrijednosni papiri koji nisu uključeni u proizvode iz točaka od (a) do (d) i razlikuju se od konvertibilnih složenih financijskih instrumenata i nekonvertibilnih instrumenata.</w:t>
      </w:r>
    </w:p>
    <w:p w:rsidR="009E6057" w:rsidRDefault="00A834F1">
      <w:pPr>
        <w:pStyle w:val="Baseparagraphnumbered"/>
      </w:pPr>
      <w:r>
        <w:t>Izdane „podređene financijske obveze” tretiraju se jednako kao i ostale nastale financijske obveze. Podređene obveze izdane u obliku vrijednosnih papira klasificiraju se kao „Izdani dužnički vrijednosni papiri”, dok se podređene obveze u obliku depozita klasificiraju kao „Depoziti”.</w:t>
      </w:r>
    </w:p>
    <w:p w:rsidR="009E6057" w:rsidRDefault="00A834F1">
      <w:pPr>
        <w:pStyle w:val="Baseparagraphnumbered"/>
      </w:pPr>
      <w:r>
        <w:t>Obrazac 8.2. uključuje knjigovodstvenu vrijednost stavki „Depoziti” i „Izdani dužnički vrijednosni papiri” koji su podređeni dug, kako je utvrđeno u tablici u dijelu 2. Priloga II. Uredbi ECB-a o BSI-ju, klasificirane prema računovodstvenim portfeljima. Instrumenti „podređenog duga” za instituciju koja ih izdaje čine sporedna potraživanja koja se mogu izvršiti tek nakon što se podmire sva potraživanja višeg statusa.</w:t>
      </w:r>
    </w:p>
    <w:p w:rsidR="009E6057" w:rsidRDefault="00A834F1">
      <w:pPr>
        <w:pStyle w:val="Baseparagraphnumbered"/>
      </w:pPr>
      <w:r>
        <w:t xml:space="preserve">„Akumulirane promjene fer vrijednosti zbog promjena vlastitog kreditnog rizika” uključuju sve navedene akumulirane promjene fer vrijednosti neovisno o tome priznaju li se kroz dobit ili gubitak ili kroz ostalu sveobuhvatnu dobit. </w:t>
      </w:r>
    </w:p>
    <w:p w:rsidR="009E6057" w:rsidRDefault="00A834F1">
      <w:pPr>
        <w:pStyle w:val="subtitlenumbered"/>
        <w:numPr>
          <w:ilvl w:val="0"/>
          <w:numId w:val="17"/>
        </w:numPr>
        <w:jc w:val="both"/>
      </w:pPr>
      <w:bookmarkStart w:id="25" w:name="_Toc30667480"/>
      <w:r>
        <w:lastRenderedPageBreak/>
        <w:t>Obveze po kreditima, financijska jamstva i ostale preuzete obveze (9.)</w:t>
      </w:r>
      <w:bookmarkEnd w:id="25"/>
    </w:p>
    <w:p w:rsidR="009E6057" w:rsidRDefault="00A834F1">
      <w:pPr>
        <w:pStyle w:val="Baseparagraphnumbered"/>
      </w:pPr>
      <w:r>
        <w:t>Izvanbilančne izloženosti uključuju izvanbilančne stavke navedene u Prilogu I. CRR-u. U obrascima 9.1., 9.1.1. i 9.2. sve izvanbilančne izloženosti navedene u Prilogu I. CRR-u raščlanjuju se na preuzete obveze po kreditima, financijska jamstva i ostale preuzete obveze.</w:t>
      </w:r>
    </w:p>
    <w:p w:rsidR="009E6057" w:rsidRDefault="00A834F1">
      <w:pPr>
        <w:pStyle w:val="Baseparagraphnumbered"/>
      </w:pPr>
      <w:r>
        <w:t xml:space="preserve">Informacije o preuzetim obvezama po kreditima, financijskim jamstvima i ostalim preuzetim i primljenim obvezama uključuju opozive i neopozive preuzete obveze. </w:t>
      </w:r>
    </w:p>
    <w:p w:rsidR="009E6057" w:rsidRDefault="00A834F1">
      <w:pPr>
        <w:pStyle w:val="Baseparagraphnumbered"/>
      </w:pPr>
      <w:r>
        <w:t xml:space="preserve">Preuzete obveze po kreditima, financijska jamstva i ostale preuzete obveze navedene u Prilogu I. CRR-u mogu biti instrumenti na koje se primjenjuje MSFI 9 ako se mjere po fer vrijednosti kroz dobit ili gubitak ili ako podliježu zahtjevima o umanjenju vrijednosti iz MSFI-ja 9, kao i instrumenti na koje se primjenjuje MRS 37 ili MSFI 4. </w:t>
      </w:r>
    </w:p>
    <w:p w:rsidR="009E6057" w:rsidRDefault="00A834F1">
      <w:pPr>
        <w:pStyle w:val="Baseparagraphnumbered"/>
      </w:pPr>
      <w:r>
        <w:t>Na temelju MSFI-ja preuzete obveze po kreditima, financijska jamstva i ostale preuzete obveze iskazuju se u obrascu 9.1.1. ako je ispunjen bilo koji od sljedećih uvjeta:</w:t>
      </w:r>
    </w:p>
    <w:p w:rsidR="009E6057" w:rsidRDefault="00A834F1">
      <w:pPr>
        <w:pStyle w:val="Baseparagraphnumbered"/>
        <w:numPr>
          <w:ilvl w:val="0"/>
          <w:numId w:val="54"/>
        </w:numPr>
        <w:ind w:left="1134" w:hanging="425"/>
      </w:pPr>
      <w:r>
        <w:t>podliježu zahtjevima o umanjenju vrijednosti iz MSFI-ja 9;</w:t>
      </w:r>
    </w:p>
    <w:p w:rsidR="009E6057" w:rsidRDefault="00A834F1">
      <w:pPr>
        <w:pStyle w:val="Baseparagraphnumbered"/>
        <w:numPr>
          <w:ilvl w:val="0"/>
          <w:numId w:val="54"/>
        </w:numPr>
        <w:ind w:left="1134" w:hanging="425"/>
      </w:pPr>
      <w:r>
        <w:t>određuju se po fer vrijednosti kroz dobit ili gubitak na temelju MSFI-ja 9;</w:t>
      </w:r>
    </w:p>
    <w:p w:rsidR="009E6057" w:rsidRDefault="00A834F1">
      <w:pPr>
        <w:pStyle w:val="Baseparagraphnumbered"/>
        <w:numPr>
          <w:ilvl w:val="0"/>
          <w:numId w:val="54"/>
        </w:numPr>
        <w:ind w:left="1134" w:hanging="425"/>
      </w:pPr>
      <w:r>
        <w:t xml:space="preserve">podliježu primjeni MRS-a 37 ili MSFI-ja 4. </w:t>
      </w:r>
    </w:p>
    <w:p w:rsidR="009E6057" w:rsidRDefault="00A834F1">
      <w:pPr>
        <w:pStyle w:val="Baseparagraphnumbered"/>
      </w:pPr>
      <w:r>
        <w:t>Obveze koje se priznaju kao kreditni gubici po financijskim jamstvima i preuzetim obvezama iz podtočaka (a) i (c) točke 105. ovog dijela iskazuju se kao rezervacije neovisno o primijenjenim kriterijima mjerenja.</w:t>
      </w:r>
    </w:p>
    <w:p w:rsidR="009E6057" w:rsidRDefault="00A834F1">
      <w:pPr>
        <w:pStyle w:val="Baseparagraphnumbered"/>
      </w:pPr>
      <w:r>
        <w:t xml:space="preserve">Na temelju MSFI-ja institucije iskazuju nominalni iznos i rezervacije instrumenata koji podliježu zahtjevima o umanjenju vrijednosti iz MSFI-ja 9, uključujući one mjerene prema početnom trošku, umanjeno za priznatu kumulativnu dobit i raščlanjeno prema fazama umanjenja vrijednosti. </w:t>
      </w:r>
    </w:p>
    <w:p w:rsidR="009E6057" w:rsidRDefault="00A834F1">
      <w:pPr>
        <w:pStyle w:val="Baseparagraphnumbered"/>
      </w:pPr>
      <w:r>
        <w:t>U obrascu 9.1.1. iskazuju se samo nominalni iznos ako dužnički instrument uključuje bilančni instrument i izvanbilančnu komponentu. Ako subjekt koji izvješćuje ne može zasebno utvrditi očekivane kreditne gubitke po bilančnim i izvanbilančnim komponentama, očekivani kreditni gubici po obvezama iskazuju se zajedno s akumuliranim umanjenjem vrijednosti po bilančnoj komponenti. Ako kombinirani očekivani kreditni gubici premašuju bruto knjigovodstvenu vrijednost dužničkog instrumenta, preostali saldo očekivanih kreditnih gubitaka iskazuje se kao rezervacija u odgovarajućoj fazi umanjenja vrijednosti u obrascu 9.1.1. (MSFI 9.5.5.20 i MSFI 7.B8E).</w:t>
      </w:r>
    </w:p>
    <w:p w:rsidR="009E6057" w:rsidRDefault="005D7A1A">
      <w:pPr>
        <w:pStyle w:val="Baseparagraphnumbered"/>
      </w:pPr>
      <w:r>
        <w:t>Financijsko jamstvo ili obveza davanja kredita po kamatnoj stopi ispod tržišne koje se mjeri u skladu s MSFI-jem 9.4.2.1 (d) i za koje se rezervacija za umanjenje vrijednosti utvrđuje u skladu s MSFI-jem 9.5.5 iskazuju se u odgovarajućoj fazi umanjenja vrijednosti.</w:t>
      </w:r>
    </w:p>
    <w:p w:rsidR="009E6057" w:rsidRDefault="00A834F1">
      <w:pPr>
        <w:pStyle w:val="Baseparagraphnumbered"/>
      </w:pPr>
      <w:r>
        <w:lastRenderedPageBreak/>
        <w:t>Ako se preuzete obveze po kreditima, financijska jamstva i ostale preuzete obveze mjere po fer vrijednosti u skladu s MSFI-jem 9, institucije iskazuju nominalni iznos i akumulirane negativne promjene fer vrijednosti zbog kreditnog rizika tih financijskih jamstava i obveza u obrascu 9.1.1. u posebnim stupcima. „Akumulirane negativne promjene fer vrijednosti zbog kreditnog rizika” iskazuju se primjenom kriterija iz točke 69. ovog dijela.</w:t>
      </w:r>
    </w:p>
    <w:p w:rsidR="009E6057" w:rsidRDefault="00A834F1">
      <w:pPr>
        <w:pStyle w:val="Baseparagraphnumbered"/>
      </w:pPr>
      <w:r>
        <w:t>Nominalni iznos i rezervacije ostalih obveza ili jamstava na koje se primjenjuje MRS 37 ili MSFI 4 iskazuju se u posebnim stupcima.</w:t>
      </w:r>
    </w:p>
    <w:p w:rsidR="009E6057" w:rsidRDefault="00A834F1">
      <w:pPr>
        <w:pStyle w:val="Baseparagraphnumbered"/>
      </w:pPr>
      <w:r>
        <w:t>Institucije u skladu s nacionalnim općeprihvaćenim računovodstvenim načelima na temelju BAD-a u obrascu 9.1. iskazuju nominalni iznos obveza i financijskih jamstava iz točaka 102. i 103. te iznos rezervacija potrebnih za te izvabilančne izloženosti.</w:t>
      </w:r>
    </w:p>
    <w:p w:rsidR="009E6057" w:rsidRDefault="00A834F1">
      <w:pPr>
        <w:pStyle w:val="Baseparagraphnumbered"/>
      </w:pPr>
      <w:r>
        <w:t xml:space="preserve">„Preuzete obveze po kreditima” jesu čvrste obveze davanja kredita pod ranije utvrđenim uvjetima, osim izvedenica jer se one mogu namiriti neto u novcu ili isporukom ili izdavanjem drugog financijskog instrumenta. Sljedeće stavke iz Priloga I. CRR-u klasificirane su kao „Preuzete obveze po kreditima”: </w:t>
      </w:r>
    </w:p>
    <w:p w:rsidR="009E6057" w:rsidRDefault="00A834F1">
      <w:pPr>
        <w:pStyle w:val="Baseparagraphnumbered"/>
        <w:numPr>
          <w:ilvl w:val="0"/>
          <w:numId w:val="30"/>
        </w:numPr>
        <w:ind w:left="1134" w:hanging="425"/>
      </w:pPr>
      <w:r>
        <w:t>„ugovori o terminskom depozitu”;</w:t>
      </w:r>
    </w:p>
    <w:p w:rsidR="009E6057" w:rsidRDefault="00A834F1">
      <w:pPr>
        <w:pStyle w:val="Baseparagraphnumbered"/>
        <w:numPr>
          <w:ilvl w:val="0"/>
          <w:numId w:val="30"/>
        </w:numPr>
        <w:ind w:left="1134" w:hanging="425"/>
      </w:pPr>
      <w:r>
        <w:t>„neiskorištene kreditne linije” koje se sastoje od sporazuma o „kreditiranju” ili o izdavanju „akcepata” pod ranije utvrđenim uvjetima.</w:t>
      </w:r>
    </w:p>
    <w:p w:rsidR="009E6057" w:rsidRDefault="00A834F1">
      <w:pPr>
        <w:pStyle w:val="Baseparagraphnumbered"/>
      </w:pPr>
      <w:r>
        <w:t xml:space="preserve">„Financijska jamstva” jesu ugovori kojima se od izdavatelja zahtijeva izvršavanje određenih plaćanja kao naknade imatelju za nastali gubitak jer određeni dužnik nije u roku izvršio plaćanje u skladu s izvornim ili promijenjenim uvjetima dužničkog instrumenta, uključujući jamstva osigurana za druga financijska jamstva. Na temelju MSFI-ja ti su ugovori u skladu s definicijom ugovora o financijskom jamstvu iz MSFI-ja 9.2.1(e) i MSFI-ja 4.A. Sljedeće stavke iz Priloga I. CRR-u klasificirane su kao „financijska jamstva”: </w:t>
      </w:r>
    </w:p>
    <w:p w:rsidR="009E6057" w:rsidRDefault="00A834F1">
      <w:pPr>
        <w:pStyle w:val="Baseparagraphnumbered"/>
        <w:numPr>
          <w:ilvl w:val="0"/>
          <w:numId w:val="66"/>
        </w:numPr>
      </w:pPr>
      <w:r>
        <w:t xml:space="preserve">„jamstva koja imaju svojstvo kreditnih supstituta”; </w:t>
      </w:r>
    </w:p>
    <w:p w:rsidR="009E6057" w:rsidRDefault="00A834F1">
      <w:pPr>
        <w:pStyle w:val="Baseparagraphnumbered"/>
        <w:numPr>
          <w:ilvl w:val="0"/>
          <w:numId w:val="66"/>
        </w:numPr>
        <w:ind w:left="1134" w:hanging="425"/>
      </w:pPr>
      <w:r>
        <w:t>„kreditne izvedenice” koje su u skladu s definicijom financijskog jamstva;</w:t>
      </w:r>
    </w:p>
    <w:p w:rsidR="009E6057" w:rsidRDefault="00A834F1">
      <w:pPr>
        <w:pStyle w:val="Baseparagraphnumbered"/>
        <w:numPr>
          <w:ilvl w:val="0"/>
          <w:numId w:val="66"/>
        </w:numPr>
        <w:ind w:left="1134" w:hanging="425"/>
      </w:pPr>
      <w:r>
        <w:t xml:space="preserve">„neopozivi </w:t>
      </w:r>
      <w:r w:rsidRPr="00EF0355">
        <w:rPr>
          <w:i/>
        </w:rPr>
        <w:t>standby</w:t>
      </w:r>
      <w:r>
        <w:t xml:space="preserve"> akreditivi koji imaju svojstvo kreditnih supstituta”.</w:t>
      </w:r>
    </w:p>
    <w:p w:rsidR="009E6057" w:rsidRDefault="00A834F1">
      <w:pPr>
        <w:pStyle w:val="Baseparagraphnumbered"/>
      </w:pPr>
      <w:r>
        <w:t xml:space="preserve">„Ostale preuzete obveze” uključuju sljedeće stavke iz Priloga I. CRR-u:  </w:t>
      </w:r>
    </w:p>
    <w:p w:rsidR="009E6057" w:rsidRDefault="00A834F1">
      <w:pPr>
        <w:pStyle w:val="Baseparagraphnumbered"/>
        <w:numPr>
          <w:ilvl w:val="0"/>
          <w:numId w:val="31"/>
        </w:numPr>
        <w:ind w:left="1134" w:hanging="425"/>
      </w:pPr>
      <w:r>
        <w:t xml:space="preserve">„neuplaćeni dio djelomično uplaćenih dionica i ostalih vrijednosnih papira”; </w:t>
      </w:r>
    </w:p>
    <w:p w:rsidR="009E6057" w:rsidRDefault="00A834F1">
      <w:pPr>
        <w:pStyle w:val="Baseparagraphnumbered"/>
        <w:numPr>
          <w:ilvl w:val="0"/>
          <w:numId w:val="31"/>
        </w:numPr>
        <w:ind w:left="1134" w:hanging="425"/>
      </w:pPr>
      <w:r>
        <w:t xml:space="preserve">„izdani ili potvrđeni dokumentarni akreditivi”; </w:t>
      </w:r>
    </w:p>
    <w:p w:rsidR="009E6057" w:rsidRDefault="00A834F1">
      <w:pPr>
        <w:pStyle w:val="Baseparagraphnumbered"/>
        <w:numPr>
          <w:ilvl w:val="0"/>
          <w:numId w:val="31"/>
        </w:numPr>
        <w:ind w:left="1134" w:hanging="425"/>
      </w:pPr>
      <w:r>
        <w:t>„izvanbilančne stavke financiranja trgovine”;</w:t>
      </w:r>
    </w:p>
    <w:p w:rsidR="009E6057" w:rsidRDefault="00A834F1">
      <w:pPr>
        <w:pStyle w:val="Baseparagraphnumbered"/>
        <w:numPr>
          <w:ilvl w:val="0"/>
          <w:numId w:val="31"/>
        </w:numPr>
        <w:ind w:left="1134" w:hanging="425"/>
      </w:pPr>
      <w:r>
        <w:t xml:space="preserve">„dokumentarni akreditivi u kojima odnosna pošiljka služi kao kolateral i ostale transakcije koje se automatski likvidiraju”; </w:t>
      </w:r>
    </w:p>
    <w:p w:rsidR="009E6057" w:rsidRDefault="00A834F1">
      <w:pPr>
        <w:pStyle w:val="Baseparagraphnumbered"/>
        <w:numPr>
          <w:ilvl w:val="0"/>
          <w:numId w:val="31"/>
        </w:numPr>
        <w:ind w:left="1134" w:hanging="425"/>
      </w:pPr>
      <w:r>
        <w:lastRenderedPageBreak/>
        <w:t>„jamstva i osiguranja” (uključujući jamstva za sudjelovanje u javnom nadmetanju i dobro izvršenje) i „jamstva koja nemaju svojstvo kreditnih supstituta”;</w:t>
      </w:r>
    </w:p>
    <w:p w:rsidR="009E6057" w:rsidRDefault="00A834F1">
      <w:pPr>
        <w:pStyle w:val="Baseparagraphnumbered"/>
        <w:numPr>
          <w:ilvl w:val="0"/>
          <w:numId w:val="31"/>
        </w:numPr>
        <w:ind w:left="1134" w:hanging="425"/>
      </w:pPr>
      <w:r>
        <w:t>„jamstva za plaćanje isporučene robe, jamstva za plaćanje carinskog i poreznog duga”;</w:t>
      </w:r>
    </w:p>
    <w:p w:rsidR="009E6057" w:rsidRDefault="00A834F1">
      <w:pPr>
        <w:pStyle w:val="Baseparagraphnumbered"/>
        <w:numPr>
          <w:ilvl w:val="0"/>
          <w:numId w:val="31"/>
        </w:numPr>
        <w:ind w:left="1134" w:hanging="425"/>
      </w:pPr>
      <w:r>
        <w:t>„izdanja kratkoročnih obveznica¨ i „obnovljive obveze s osnove pružanja usluge provedbe ponude, odnosno prodaje financijskih instrumenata uz obvezu otkupa”;</w:t>
      </w:r>
    </w:p>
    <w:p w:rsidR="009E6057" w:rsidRDefault="00A834F1">
      <w:pPr>
        <w:pStyle w:val="Baseparagraphnumbered"/>
        <w:numPr>
          <w:ilvl w:val="0"/>
          <w:numId w:val="31"/>
        </w:numPr>
        <w:ind w:left="1134" w:hanging="425"/>
      </w:pPr>
      <w:r>
        <w:t xml:space="preserve">„neiskorištene kreditne linije” koje se sastoje od sporazuma o „kreditiranju” ili o izdavanju „akcepata” bez ranije utvrđenih uvjeta; </w:t>
      </w:r>
    </w:p>
    <w:p w:rsidR="009E6057" w:rsidRDefault="00A834F1">
      <w:pPr>
        <w:pStyle w:val="Baseparagraphnumbered"/>
        <w:numPr>
          <w:ilvl w:val="0"/>
          <w:numId w:val="31"/>
        </w:numPr>
        <w:ind w:left="1134" w:hanging="425"/>
      </w:pPr>
      <w:r>
        <w:t>„neiskorištene kreditne linije” koje se sastoje od sporazuma o „otkupu vrijednosnih papira” ili o „izdavanju jamstava”;</w:t>
      </w:r>
    </w:p>
    <w:p w:rsidR="009E6057" w:rsidRDefault="00A834F1">
      <w:pPr>
        <w:pStyle w:val="Baseparagraphnumbered"/>
        <w:numPr>
          <w:ilvl w:val="0"/>
          <w:numId w:val="31"/>
        </w:numPr>
        <w:ind w:left="1134" w:hanging="425"/>
      </w:pPr>
      <w:r>
        <w:t>„neiskorištene kreditne linije za jamstva za sudjelovanje u javnom nadmetanju i za dobro izvršenje”;</w:t>
      </w:r>
    </w:p>
    <w:p w:rsidR="009E6057" w:rsidRDefault="00A834F1">
      <w:pPr>
        <w:pStyle w:val="Baseparagraphnumbered"/>
        <w:numPr>
          <w:ilvl w:val="0"/>
          <w:numId w:val="31"/>
        </w:numPr>
        <w:ind w:left="1134" w:hanging="425"/>
      </w:pPr>
      <w:r>
        <w:t>„ostale izvanbilančne stavke” iz Priloga I. CRR-u.</w:t>
      </w:r>
    </w:p>
    <w:p w:rsidR="009E6057" w:rsidRDefault="00A834F1">
      <w:pPr>
        <w:pStyle w:val="Baseparagraphnumbered"/>
      </w:pPr>
      <w:r>
        <w:t>Na temelju MSFI-ja sljedeće se stavke priznaju u bilanci i zato ih ne treba iskazati kao izvanbilančne izloženosti:</w:t>
      </w:r>
    </w:p>
    <w:p w:rsidR="009E6057" w:rsidRDefault="00A834F1">
      <w:pPr>
        <w:pStyle w:val="Baseparagraphnumbered"/>
        <w:numPr>
          <w:ilvl w:val="0"/>
          <w:numId w:val="32"/>
        </w:numPr>
        <w:ind w:left="1134" w:hanging="425"/>
      </w:pPr>
      <w:r>
        <w:t>„kreditne izvedenice” koje nisu u skladu s definicijom financijskih jamstava kao „izvedenica” na temelju MSFI-ja 9;</w:t>
      </w:r>
    </w:p>
    <w:p w:rsidR="009E6057" w:rsidRDefault="00A834F1">
      <w:pPr>
        <w:pStyle w:val="Baseparagraphnumbered"/>
        <w:numPr>
          <w:ilvl w:val="0"/>
          <w:numId w:val="32"/>
        </w:numPr>
        <w:ind w:left="1134" w:hanging="425"/>
      </w:pPr>
      <w:r>
        <w:t xml:space="preserve"> „akcepti” su obveze institucije da po dospijeću plati nominalni iznos mjenice i u pravilu se odnose na prodaju robe. Zato su oni u bilanci klasificirani kao „potraživanja”;</w:t>
      </w:r>
    </w:p>
    <w:p w:rsidR="009E6057" w:rsidRDefault="00A834F1">
      <w:pPr>
        <w:pStyle w:val="Baseparagraphnumbered"/>
        <w:numPr>
          <w:ilvl w:val="0"/>
          <w:numId w:val="32"/>
        </w:numPr>
        <w:ind w:left="1134" w:hanging="425"/>
      </w:pPr>
      <w:r>
        <w:t>„indosamenti mjenica” koji ne ispunjavaju kriterije za prestanak priznavanja na temelju MSFI-ja 9;</w:t>
      </w:r>
    </w:p>
    <w:p w:rsidR="009E6057" w:rsidRDefault="00A834F1">
      <w:pPr>
        <w:pStyle w:val="Baseparagraphnumbered"/>
        <w:numPr>
          <w:ilvl w:val="0"/>
          <w:numId w:val="32"/>
        </w:numPr>
        <w:ind w:left="1134" w:hanging="425"/>
      </w:pPr>
      <w:r>
        <w:t>„transakcije koje daju pravo na regres” koje ne ispunjavaju kriterije za prestanak priznavanja na temelju MSFI-ja 9;</w:t>
      </w:r>
    </w:p>
    <w:p w:rsidR="009E6057" w:rsidRDefault="00A834F1">
      <w:pPr>
        <w:pStyle w:val="Baseparagraphnumbered"/>
        <w:numPr>
          <w:ilvl w:val="0"/>
          <w:numId w:val="32"/>
        </w:numPr>
        <w:ind w:left="1134" w:hanging="425"/>
      </w:pPr>
      <w:r>
        <w:t>„imovina kupljena na temelju ugovora o izravnoj terminskoj kupnji” na temelju MSFI-ja 9 smatra se „derivatima”;</w:t>
      </w:r>
    </w:p>
    <w:p w:rsidR="009E6057" w:rsidRDefault="00A834F1">
      <w:pPr>
        <w:pStyle w:val="Baseparagraphnumbered"/>
        <w:numPr>
          <w:ilvl w:val="0"/>
          <w:numId w:val="32"/>
        </w:numPr>
        <w:ind w:left="1134" w:hanging="425"/>
      </w:pPr>
      <w:r>
        <w:t>„ugovori o prodaji i ponovnoj kupnji imovine prema definiciji iz članka 12. stavaka 3. i 5. Direktive 86/635/EEZ”. Prema tim ugovorima primatelj prijenosa ima mogućnost, ali ne i obvezu, vratiti imovinu po unaprijed dogovorenoj cijeni na utvrđeni datum ili datum koji treba utvrditi. Stoga su ti ugovori u skladu s definicijom izvedenica iz Dodatka A MSFI-ju 9.</w:t>
      </w:r>
    </w:p>
    <w:p w:rsidR="009E6057" w:rsidRDefault="00A834F1">
      <w:pPr>
        <w:pStyle w:val="Baseparagraphnumbered"/>
      </w:pPr>
      <w:r>
        <w:t>Stavka „od čega: neprihodujuće” uključuje nominalni iznos tih preuzetih obveza po kreditima, financijskih jamstava i ostalih preuzetih obveza koji se smatraju neprihodujućima u skladu s točkama od 213. do 239. ovog dijela.</w:t>
      </w:r>
    </w:p>
    <w:p w:rsidR="009E6057" w:rsidRDefault="00A834F1">
      <w:pPr>
        <w:pStyle w:val="Baseparagraphnumbered"/>
      </w:pPr>
      <w:r>
        <w:lastRenderedPageBreak/>
        <w:t>Kod financijskih jamstava, preuzetih obveza po kreditima i ostalih preuzetih obveza, „Nominalni iznos” jest iznos koji najbolje predstavlja najvišu izloženost institucije kreditnom riziku bez uzimanja u obzir primljenih kolaterala ili ostalih kreditnih poboljšanja. Konkretno, nominalni iznos preuzetih financijskih jamstava jest najviši iznos koji bi subjekt platio u slučaju aktiviranja jamstva. Nominalni iznos preuzetih obveza po kreditima jest neiskorišteni iznos koji se institucija obvezala pozajmiti. Nominalni iznosi jesu vrijednosti izloženosti prije primjene konverzijskih faktora i tehnika smanjenja kreditnog rizika.</w:t>
      </w:r>
    </w:p>
    <w:p w:rsidR="009E6057" w:rsidRDefault="00A834F1">
      <w:pPr>
        <w:pStyle w:val="Baseparagraphnumbered"/>
      </w:pPr>
      <w:r>
        <w:t>U obrascu 9.2. nominalni iznos primljenih obveza po kreditima jest ukupni neiskorišteni iznos koji se druga ugovorna strana obvezala pozajmiti instituciji. Nominalni iznos ostalih primljenih obveza jest ukupni iznos na koji se obvezala druga strana u transakciji. Kod primljenih financijskih jamstava „najviši iznos jamstva koji se može razmatrati” jest najviši iznos koji bi druga ugovorna strana platila u slučaju aktiviranja jamstva. Ako je primljeno financijsko jamstvo izdalo više davatelja jamstva, iznos jamstva iskazuje se samo jedanput u ovom obrascu; iznos jamstva raspodjeljuje se davatelju jamstva koji je relevantniji za smanjenje kreditnog rizika.</w:t>
      </w:r>
    </w:p>
    <w:p w:rsidR="009E6057" w:rsidRDefault="00A834F1">
      <w:pPr>
        <w:pStyle w:val="subtitlenumbered"/>
        <w:numPr>
          <w:ilvl w:val="0"/>
          <w:numId w:val="17"/>
        </w:numPr>
        <w:jc w:val="both"/>
      </w:pPr>
      <w:bookmarkStart w:id="26" w:name="_Toc30667481"/>
      <w:r>
        <w:t>Izvedenice i računovodstvo zaštite (10 i 11)</w:t>
      </w:r>
      <w:bookmarkEnd w:id="26"/>
    </w:p>
    <w:p w:rsidR="009E6057" w:rsidRDefault="00A834F1">
      <w:pPr>
        <w:pStyle w:val="Baseparagraphnumbered"/>
      </w:pPr>
      <w:r>
        <w:t xml:space="preserve">Za potrebe obrazaca 10. i 11. izvedenice se smatraju izvedenicama za zaštitu od rizika ako se koriste u kvalificiranom odnosu zaštite od rizika u skladu s MSFI-jem ili mjerodavnim nacionalnim općeprihvaćenim računovodstvenim načelima na temelju BAD-a, ili izvedenicama koje se drže radi trgovanja u drugim slučajevima. </w:t>
      </w:r>
    </w:p>
    <w:p w:rsidR="009E6057" w:rsidRDefault="00A834F1">
      <w:pPr>
        <w:pStyle w:val="Baseparagraphnumbered"/>
      </w:pPr>
      <w:r>
        <w:t>Knjigovodstvena vrijednost i zamišljeni iznos izvedenica koje se drže radi trgovanja, uključujući ekonomske zaštite, i izvedenica koje se drže radi računovodstva zaštite iskazuju se u obrascima 10. i 11. raščlanjeni prema vrsti odnosnog rizika, vrsti tržišta i prema vrsti proizvoda. Institucije iskazuju izvedenice koje se drže radi računovodstva zaštite raščlanjene i prema vrsti zaštite. Informacije o neizvedenim instrumentima zaštite od rizika iskazuju se zasebno i raščlanjeno prema vrsti zaštite.</w:t>
      </w:r>
    </w:p>
    <w:p w:rsidR="009E6057" w:rsidRDefault="00A834F1">
      <w:pPr>
        <w:pStyle w:val="Baseparagraphnumbered"/>
      </w:pPr>
      <w:r>
        <w:t>U skladu s mjerodavnim nacionalnim općeprihvaćenim računovodstvenim načelima na temelju BAD-a, sve izvedenice iskazuju se u ovim obrascima neovisno o tome priznaju li se u bilanci u skladu s mjerodavnim nacionalnim općeprihvaćenim računovodstvenim načelima.</w:t>
      </w:r>
    </w:p>
    <w:p w:rsidR="009E6057" w:rsidRDefault="00A834F1">
      <w:pPr>
        <w:pStyle w:val="Baseparagraphnumbered"/>
      </w:pPr>
      <w:r>
        <w:t xml:space="preserve">Raščlamba knjigovodstvene vrijednosti, fer vrijednosti i zamišljenog iznosa izvedenica namijenjenih trgovanju i zaštiti od rizika prema računovodstvenim portfeljima i vrsti zaštite provodi se uzimajući u obzir računovodstvene portfelje i vrste zaštita koje se primjenjuju u MSFI-ju ili nacionalnim općeprihvaćenim računovodstvenim načelima na temelju BAD-a, neovisno o tome koji se okvir primjenjuje na subjekt koji izvješćuje. </w:t>
      </w:r>
    </w:p>
    <w:p w:rsidR="009E6057" w:rsidRDefault="00A834F1">
      <w:pPr>
        <w:pStyle w:val="Baseparagraphnumbered"/>
      </w:pPr>
      <w:r>
        <w:t>Izvedenice namijenjene trgovanju i zaštiti od rizika koje se, na temelju nacionalnih općeprihvaćenih računovodstvenih načela na temelju BAD-a, mjere po trošku ili LOCOM-u zasebno se utvrđuju.</w:t>
      </w:r>
    </w:p>
    <w:p w:rsidR="009E6057" w:rsidRDefault="00A834F1">
      <w:pPr>
        <w:pStyle w:val="Baseparagraphnumbered"/>
      </w:pPr>
      <w:r>
        <w:lastRenderedPageBreak/>
        <w:t>Obrazac 11. sadržava instrumente zaštite od rizika i zaštićene stavke neovisno o tome koji se računovodstveni standard primjenjuje za priznavanje kvalificiranog odnosa zaštite od rizika, među ostalim i ako se taj kvalificirani odnos zaštite od rizika odnosi na neto poziciju. Ako je institucija za računovodstvo zaštite odlučila nastaviti primjenjivati MRS 39 (MSFI 9.7.2.21.), upućivanja i nazivi za vrste zaštite i računovodstvene portfelje tumače se kao relevantna upućivanja i nazivi iz MRS-a 39.9: „Financijska imovina koja se mjeri po fer vrijednosti kroz ostalu sveobuhvatnu dobit” odnosi se na „Imovinu raspoloživu za prodaju”, a „Imovina po amortiziranom trošku” obuhvaća stavke „Držanje do dospijeća” i „Krediti i potraživanja”.</w:t>
      </w:r>
    </w:p>
    <w:p w:rsidR="009E6057" w:rsidRDefault="00A834F1">
      <w:pPr>
        <w:pStyle w:val="Baseparagraphnumbered"/>
      </w:pPr>
      <w:r>
        <w:t>Izvedenice uključene u hibridne instrumente koje su odvojene od osnovnog ugovora iskazuju se u obrascima 10. i 11. u skladu s vrstom izvedenice. U tim se obrascima ne navodi iznos osnovnog ugovora. Međutim, ako se hibridni instrument mjeri po fer vrijednosti kroz dobit ili gubitak, ugovor se iskazuje u cijelosti i ugrađene izvedenice ne iskazuju se u obrascima 10. i 11.</w:t>
      </w:r>
    </w:p>
    <w:p w:rsidR="009E6057" w:rsidRDefault="00A834F1">
      <w:pPr>
        <w:pStyle w:val="Baseparagraphnumbered"/>
      </w:pPr>
      <w:r>
        <w:t xml:space="preserve">Obveze koje se smatraju izvedenicama (MSFI 9.2.3(b)) i kreditne izvedenice koje nisu u skladu s definicijom financijskog jamstva iz točke 114. ovog dijela ovog Priloga iskazuju se u obrascu 10. i obrascu 11. na temelju iste raščlambe kao i ostali izvedeni instrumenti, ali ne iskazuju se u obrascu 9. </w:t>
      </w:r>
    </w:p>
    <w:p w:rsidR="009E6057" w:rsidRDefault="00A834F1">
      <w:pPr>
        <w:pStyle w:val="Baseparagraphnumbered"/>
      </w:pPr>
      <w:r>
        <w:t xml:space="preserve">Knjigovodstvena vrijednost neizvedene financijske imovine ili neizvedenih financijskih obveza koje se priznaju kao instrumenti zaštite na temelju primjene MSFI-ja ili mjerodavnih nacionalnih općeprihvaćenih računovodstvenih načela na temelju BAD-a iskazuje se zasebno u obrascu 11.3. </w:t>
      </w:r>
    </w:p>
    <w:p w:rsidR="009E6057" w:rsidRDefault="00A834F1">
      <w:pPr>
        <w:pStyle w:val="sub-subtitlenumbered"/>
        <w:keepNext/>
        <w:ind w:left="788" w:hanging="431"/>
        <w:jc w:val="both"/>
      </w:pPr>
      <w:bookmarkStart w:id="27" w:name="_Toc30667482"/>
      <w:r>
        <w:t>Klasifikacija izvedenica prema vrsti rizika</w:t>
      </w:r>
      <w:bookmarkEnd w:id="27"/>
    </w:p>
    <w:p w:rsidR="009E6057" w:rsidRDefault="00A834F1">
      <w:pPr>
        <w:pStyle w:val="Baseparagraphnumbered"/>
      </w:pPr>
      <w:r>
        <w:t>Sve su izvedenice klasificirane u jednu od sljedećih kategorije rizika:</w:t>
      </w:r>
    </w:p>
    <w:p w:rsidR="009E6057"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kamatna stopa: kamatne izvedenice jesu ugovori povezani s kamatonosnim financijskim instrumentom čiji su novčani tokovi određeni vezanjem uz kamatne stope ili druge kamatne ugovore, poput opcija po budućnosnicama za otkup trezorskih zapisa. Ova je kategorija ograničena na one transakcije kod kojih su sve strane izložene kamatnoj stopi samo jedne valute. Zato nisu uključeni ugovori o razmjeni jedne ili više stranih valuta, kao što su međuvalutne razmjene i valutne opcije te drugi ugovori čija je prevladavajuća rizična karakteristika valutni rizik, koje treba iskazati kao valutne ugovore. Jedina su iznimka slučajevi kad se međuvalutne razmjene koriste kao dio zaštite portfelja od kamatnog rizika, koji se iskazuju u posebnim redcima za te vrste zaštite od rizika. Kamatni ugovori uključuju terminske ugovore o stopama, jednovalutne kamatne ugovore o razmjeni, kamatne budućnosnice, kamatne opcije (uključujući najviše i najniže vrijednosti, ograničavajuće vrijednosti i prolazne vrijednosti), kamatne ugovore o razmjeni i kamatne varante;</w:t>
      </w:r>
    </w:p>
    <w:p w:rsidR="009E6057"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kapital: vlasničke izvedenice jesu ugovori s povratom ili dijelom povrata povezani s cijenom određenih vlasničkih instrumenata ili s indeksom cijena vlasničkih instrumenata;</w:t>
      </w:r>
    </w:p>
    <w:p w:rsidR="009E6057"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 xml:space="preserve">strane valute i zlato: te izvedenice uključuju ugovore o razmjeni valuta na terminskom tržištu i izloženost prema zlatu. Njima su zato obuhvaćeni ugovori o </w:t>
      </w:r>
      <w:r>
        <w:rPr>
          <w:rFonts w:ascii="Times New Roman" w:hAnsi="Times New Roman"/>
        </w:rPr>
        <w:lastRenderedPageBreak/>
        <w:t>izravnoj terminskoj kupnji, ugovori o razmjeni stranih valuta, razmjene valuta (uključujući međuvalutne kamatne ugovore o razmjeni), valutne budućnosnice, valutni ugovori o razmjeni i valutni varanti. Valutne izvedenice uključuju sve transakcije koje uključuju izloženost prema više valuta, bilo da je riječ o valutnim tečajevima ili kamatnim stopama, osim kad se međuvalutne razmjene koriste kao dio zaštite portfelja od kamatnog rizika. Ugovori o zlatu uključuju sve transakcije koje uključuju izloženost toj robi;</w:t>
      </w:r>
    </w:p>
    <w:p w:rsidR="009E6057"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 xml:space="preserve">kredit: kreditne izvedenice jesu ugovori kod kojih je isplata prvenstveno povezana s nekom vrstom mjerenja kreditne sposobnosti određenog referentnog kredita i koji nisu u skladu s definicijom financijskih jamstava (MSFI 9.4.2.1. (c)). Ugovorima se uređuje razmjena plaćanja kod koje je najmanje jedna od dvije strane određena prinosom referentnog kredita. Isplate se mogu aktivirati zbog brojnih događaja, uključujući neispunjavanje obveza, smanjenje rejtinga ili određenu promjenu kreditnog raspona referentne imovine. Kreditne izvedenice koje su u skladu s definicijom financijskog jamstva iz točke 114. ovog dijela ovog Priloga iskazuju se samo u obrascu 9.; </w:t>
      </w:r>
    </w:p>
    <w:p w:rsidR="009E6057"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roba: te su izvedenice ugovori s povratom ili dijelom njihova povrata povezani s cijenom ili indeksom cijena robe, poput plemenitih metala (osim zlata), nafte, drva ili poljoprivrednih proizvoda;</w:t>
      </w:r>
    </w:p>
    <w:p w:rsidR="009E6057"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ostalo: te su izvedenice svi ostali ugovori o izvedenicama koji ne uključuju izloženost valutnom i kamatnom riziku, riziku vlasničkih instrumenata, robnom ili kreditnom riziku, poput klimatskih izvedenica ili osiguravateljnih izvedenica.</w:t>
      </w:r>
    </w:p>
    <w:p w:rsidR="009E6057" w:rsidRDefault="00A834F1">
      <w:pPr>
        <w:pStyle w:val="Baseparagraphnumbered"/>
      </w:pPr>
      <w:r>
        <w:t>Ako je izvedenica pod utjecajem više vrsta odnosnog rizika, instrument se raspoređuje u najosjetljiviju vrstu rizika. Kod izvedenica s višestrukom izloženošću u slučaju dvojbe transakcije se raspoređuju u skladu sa sljedećim redoslijedom po važnosti:</w:t>
      </w:r>
    </w:p>
    <w:p w:rsidR="009E6057"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roba: u ovoj se kategoriji iskazuju sve transakcije izvedenicama koje uključuju robu ili indeks izloženosti robe, bez obzira na to uključuju li ili ne uključuju zajedničku izloženost u robi i bilo koju drugu kategoriju rizika koja može uključivati razmjenu valuta, kamate ili vlasnički kapital;</w:t>
      </w:r>
    </w:p>
    <w:p w:rsidR="009E6057"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 xml:space="preserve">vlasnički instrumenti: uz iznimku ugovora sa zajedničkom izloženošću robi i vlasničkim instrumentima, koji se iskazuju kao roba, u kategoriji vlasničkih instrumenata iskazuju se sve transakcije izvedenicama uz poveznicu s prinosom vlasničkih instrumenata ili indeksa vlasničkih instrumenata. U ovu kategoriju uključuju se transakcije vlasničkim instrumentima s izloženošću tečajnim ili kamatnim stopama; </w:t>
      </w:r>
    </w:p>
    <w:p w:rsidR="009E6057"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strane valute i zlato: ovom su kategorijom obuhvaćene sve transakcije izvedenicama (osim transakcija koje su već iskazane u kategorijama robe ili vlasničkih instrumenata) s izloženošću prema više valuta, bez obzira na to pripadaju li kamatonosnim financijskim instrumentima ili valutnim tečajevima, osim kad se međuvalutne razmjene koriste kao dio zaštite portfelja od kamatnog rizika.</w:t>
      </w:r>
    </w:p>
    <w:p w:rsidR="009E6057" w:rsidRDefault="00A834F1">
      <w:pPr>
        <w:pStyle w:val="sub-subtitlenumbered"/>
        <w:jc w:val="both"/>
      </w:pPr>
      <w:bookmarkStart w:id="28" w:name="_Toc30667483"/>
      <w:r>
        <w:t>Iznosi koje treba iskazati za izvedenice</w:t>
      </w:r>
      <w:bookmarkEnd w:id="28"/>
    </w:p>
    <w:p w:rsidR="009E6057" w:rsidRDefault="00A834F1">
      <w:pPr>
        <w:pStyle w:val="Baseparagraphnumbered"/>
      </w:pPr>
      <w:r>
        <w:t xml:space="preserve">Na temelju MSFI-ja „knjigovodstvena vrijednost” za sve izvedenice (za zaštitu ili trgovanje) jest fer vrijednost. Izvedenice s pozitivnom fer vrijednošću (većom od nule) jesu „financijska imovina”, dok su izvedenice s negativnom fer vrijednošću (manjom od nule) „financijske obveze”. „Knjigovodstvena vrijednost” iskazuje se odvojeno za izvedenice s pozitivnom fer vrijednošću </w:t>
      </w:r>
      <w:r>
        <w:lastRenderedPageBreak/>
        <w:t>(„financijska imovina”) i za izvedenice s negativnom fer vrijednošću („financijske obveze”). Na datum početnog priznavanja izvedenica je klasificirana kao „financijska imovina” ili „financijske obveze” u skladu sa svojom početnom fer vrijednošću. Nakon početnog priznavanja, ovisno o povećanjima ili smanjenjima fer vrijednosti izvedenice, uvjeti razmjene mogu za instituciju postati povoljni (i izvedenica je klasificirana kao „financijska imovina”) ili nepovoljni (izvedenica je klasificirana kao „financijska obveza”). Knjigovodstvena vrijednost izvedenica namijenjenih zaštiti od rizika jest njihova cjelokupna fer vrijednost, uključujući prema potrebi komponente te fer vrijednosti koje nisu određene kao instrumenti zaštite od rizika.</w:t>
      </w:r>
    </w:p>
    <w:p w:rsidR="009E6057" w:rsidRDefault="00A834F1">
      <w:pPr>
        <w:pStyle w:val="Baseparagraphnumbered"/>
      </w:pPr>
      <w:r>
        <w:t>Osim knjigovodstvenih vrijednosti kako je definirano u točki 27. dijela 1. ovog Priloga, institucije koje izvješćuju iskazuju fer vrijednosti za sve izvedene instrumente u skladu s nacionalnim općeprihvaćenim računovodstvenim načelima na temelju BAD-a, neovisno o tome je li u skladu s nacionalnim općeprihvaćenim računovodstvenim načelima na temelju BAD-a propisano da ih se knjiži bilančno ili izvanbilančno.</w:t>
      </w:r>
    </w:p>
    <w:p w:rsidR="009E6057" w:rsidRDefault="00A834F1">
      <w:pPr>
        <w:pStyle w:val="Baseparagraphnumbered"/>
        <w:ind w:left="851"/>
      </w:pPr>
      <w:r>
        <w:t>„Zamišljeni iznos” jest bruto nominalni iznos svih zaključenih i još nepodmirenih transakcija na referentni datum, neovisno o tome jesu li zbog tih transakcija izloženosti izvedenica knjižene bilančno. Točnije, kod utvrđivanja zamišljenog iznosa uzima se u obzir sljedeće:</w:t>
      </w:r>
    </w:p>
    <w:p w:rsidR="009E6057"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kod ugovora s varijabilnim nominalnim ili zamišljenim iznosima glavnice, osnova za izvješćivanje jesu nominalni ili zamišljeni iznosi glavnice na referentni datum;</w:t>
      </w:r>
    </w:p>
    <w:p w:rsidR="009E6057"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zamišljeni iznos koji treba iskazati za ugovor o izvedenicama s komponentom multiplikatora jest ugovorni efektivni zamišljeni iznos ili nominalna vrijednost;</w:t>
      </w:r>
    </w:p>
    <w:p w:rsidR="009E6057"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razmjene: zamišljeni iznos razmjene jest odnosni iznos glavnice na kojem se temelji razmjena kamata, valuta ili drugih prihoda ili rashoda;</w:t>
      </w:r>
    </w:p>
    <w:p w:rsidR="009E6057"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ugovori o vlasničkim instrumentima i robi: zamišljeni iznos koji treba iskazati za ugovore o vlasničkim instrumentima ili robi jest količina robe ili proizvoda vlasničkih instrumenata za koju su sklopljeni ugovori o prodaji ili kupnji pomnožena s ugovornom jediničnom cijenom. Zamišljeni iznos koji treba iskazati za ugovore o robi s višestrukim razmjenama glavnice jest ugovorni iznos pomnožen s brojem preostalih razmjena glavnice prema ugovoru;</w:t>
      </w:r>
    </w:p>
    <w:p w:rsidR="009E6057"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 xml:space="preserve">kreditne izvedenice: ugovorni iznos koji treba iskazati za kreditne izvedenice jest nominalna vrijednost odgovarajućeg referentnog kredita; </w:t>
      </w:r>
    </w:p>
    <w:p w:rsidR="009E6057"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digitalne opcije imaju unaprijed određenu isplatu koja može biti novčani iznos ili broj ugovora odnosnog instrumenta. Zamišljeni iznos digitalnih opcija unaprijed je određeni novčani iznos ili fer vrijednost odnosnog instrumenta na referentni datum.</w:t>
      </w:r>
    </w:p>
    <w:p w:rsidR="009E6057" w:rsidRDefault="00A834F1">
      <w:pPr>
        <w:pStyle w:val="Baseparagraphnumbered"/>
      </w:pPr>
      <w:r>
        <w:t>Stupac „Zamišljeni iznos” izvedenica uključuje za svaku stavku zbroj zamišljenih iznosa svih ugovora u kojima je institucija druga ugovorna strana, neovisno o tome smatraju li se izvedenice imovinom ili obvezama na prednjoj strani bilance ili se ne knjiže bilančno. Svi zamišljeni iznosi iskazuju se neovisno o tome je li fer vrijednost izvedenica pozitivna, negativna ili jednaka nuli. Netiranje zamišljenih iznosa nije dopušteno.</w:t>
      </w:r>
    </w:p>
    <w:p w:rsidR="009E6057" w:rsidRDefault="00A834F1">
      <w:pPr>
        <w:pStyle w:val="Baseparagraphnumbered"/>
      </w:pPr>
      <w:r>
        <w:lastRenderedPageBreak/>
        <w:t>„Zamišljeni iznos” iskazuje se pod stavkama „ukupno” i „od čega: prodano” za stavke: „OTC opcije”, „Opcije organiziranog tržišta”, „Kredit”, „Roba” i „Ostalo”. Stavka „od čega: prodano” uključuje zamišljene iznose (fiksna cijena) ugovora prema kojima druge ugovorne strane (imatelji opcija) institucije (prodavatelj opcije) imaju pravo realizirati opciju, a za stavke povezane s izvedenicama kreditnog rizika zamišljene iznose ugovora prema kojima je institucija (prodavatelj zaštite) prodala (pruža) zaštitu svojim drugim ugovornim stranama (kupci zaštite).</w:t>
      </w:r>
    </w:p>
    <w:p w:rsidR="009E6057" w:rsidRDefault="00A834F1">
      <w:pPr>
        <w:pStyle w:val="Baseparagraphnumbered"/>
      </w:pPr>
      <w:r>
        <w:t>Razvrstavanje transakcije pod „OTC” ili „Organizirano tržište” temelji se na vrsti tržišta na kojemu se transakcija provodi, a ne na tome podliježe li ta transakcija obveznoj namiri. „Organizirano tržište” je uređeno tržište u smislu članka 4. stavka 1. točke 92. CRR-a. Stoga, ako subjekt koji izvješćuje sklopi ugovor o izvedenicama na OTC tržištu na kojem je obvezno središnje poravnanje, ono tu izvedenicu klasificira kao „OTC”, a ne kao „Organizirano tržište”.</w:t>
      </w:r>
    </w:p>
    <w:p w:rsidR="009E6057" w:rsidRDefault="00A834F1">
      <w:pPr>
        <w:pStyle w:val="sub-subtitlenumbered"/>
        <w:jc w:val="both"/>
      </w:pPr>
      <w:bookmarkStart w:id="29" w:name="_Toc30667484"/>
      <w:r>
        <w:t>Izvedenice klasificirane kao „ekonomske zaštite”</w:t>
      </w:r>
      <w:bookmarkEnd w:id="29"/>
    </w:p>
    <w:p w:rsidR="009E6057" w:rsidRDefault="00A834F1">
      <w:pPr>
        <w:pStyle w:val="Baseparagraphnumbered"/>
      </w:pPr>
      <w:r>
        <w:t>Izvedenice koje se drže radi zaštite, a koje ne ispunjavaju kriterije za učinkovite instrumente zaštite od rizika u skladu s MSFI-jem 9, MRS-om 39 ako se MRS 39 primjenjuje za potrebe računovodstva zaštite ili računovodstvenim okvirom u skladu s nacionalnim općeprihvaćenim računovodstvenim načelima na temelju BAD-a, iskazuju se u obrascu 10. kao „ekonomske zaštite”. To se primjenjuje i na sve sljedeće slučajeve:</w:t>
      </w:r>
    </w:p>
    <w:p w:rsidR="009E6057"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izvedenice kojima se štite od rizika nekotirani vlasnički instrumenti čiji trošak može odgovarati procjeni fer vrijednosti;</w:t>
      </w:r>
    </w:p>
    <w:p w:rsidR="009E6057"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kreditne izvedenice mjerene po fer vrijednosti kroz dobit ili gubitak koje se koriste za upravljanje kreditnim rizikom cijelog ili dijela financijskog instrumenta određenog po fer vrijednosti kroz dobit ili gubitak pri početnom priznavanju, nakon početnog priznavanja ili dok je nepriznat u skladu s MSFI-jem 9.6.7.;</w:t>
      </w:r>
    </w:p>
    <w:p w:rsidR="009E6057"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 xml:space="preserve"> izvedenice klasificirane za držanje „radi trgovanja” u skladu s Dodatkom A MSFI-ju 9 ili klasificirane kao imovina kojom se trguje u skladu s nacionalnim općeprihvaćenim računovodstvenim načelima na temelju BAD-a, ali koje nisu dio knjige trgovanja kako je definirana u članku 4. stavku 1. točki 86. CRR-a. </w:t>
      </w:r>
    </w:p>
    <w:p w:rsidR="009E6057" w:rsidRDefault="00A834F1">
      <w:pPr>
        <w:pStyle w:val="Baseparagraphnumbered"/>
      </w:pPr>
      <w:r>
        <w:t>„Ekonomske zaštite” ne uključuje izvedenice za trgovanje za vlastiti račun.</w:t>
      </w:r>
    </w:p>
    <w:p w:rsidR="009E6057" w:rsidRDefault="00A834F1">
      <w:pPr>
        <w:pStyle w:val="Baseparagraphnumbered"/>
      </w:pPr>
      <w:r>
        <w:t>Izvedenice koje su u skladu s definicijom „ekonomskih zaštita” iskazuju se odvojeno u obrascu 10. za svaku vrstu rizika.</w:t>
      </w:r>
    </w:p>
    <w:p w:rsidR="009E6057" w:rsidRDefault="00A834F1">
      <w:pPr>
        <w:pStyle w:val="Baseparagraphnumbered"/>
      </w:pPr>
      <w:r>
        <w:t>Kreditne izvedenice koje se koriste za upravljanje kreditnim rizikom cijelog ili dijela financijskog instrumenta određenog po fer vrijednosti kroz dobit ili gubitak pri početnom priznavanju ili naknadnom priznavanju ili dok je nepriznat u skladu s MSFI-jem 9.6.7. iskazuju se u posebnom stupcu u obrascu 10. pod stavkom ‚kreditni rizik’. Ostale ekonomske zaštite kreditnog rizika na koje subjekt koji izvješćuje ne primjenjuje MSFI 9.6.7. iskazuju se zasebno.</w:t>
      </w:r>
    </w:p>
    <w:p w:rsidR="009E6057" w:rsidRDefault="00A834F1">
      <w:pPr>
        <w:pStyle w:val="sub-subtitlenumbered"/>
        <w:jc w:val="both"/>
      </w:pPr>
      <w:bookmarkStart w:id="30" w:name="_Toc30667485"/>
      <w:r>
        <w:lastRenderedPageBreak/>
        <w:t>Raščlamba izvedenica prema sektoru druge ugovorne strane</w:t>
      </w:r>
      <w:bookmarkEnd w:id="30"/>
    </w:p>
    <w:p w:rsidR="009E6057" w:rsidRDefault="00A834F1">
      <w:pPr>
        <w:pStyle w:val="Baseparagraphnumbered"/>
        <w:tabs>
          <w:tab w:val="left" w:pos="851"/>
        </w:tabs>
        <w:ind w:left="709"/>
      </w:pPr>
      <w:r>
        <w:t xml:space="preserve">Knjigovodstvena vrijednost i ukupni zamišljeni iznos izvedenica koje se drže radi trgovanja i izvedenica koje se drže radi računovodstva zaštite kojima se trguje na OTC tržištu iskazuju se prema drugim ugovornim stranama s pomoću sljedećih kategorija: </w:t>
      </w:r>
    </w:p>
    <w:p w:rsidR="009E6057"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„kreditne institucije”; </w:t>
      </w:r>
    </w:p>
    <w:p w:rsidR="009E6057"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„ostala financijska društva”; </w:t>
      </w:r>
    </w:p>
    <w:p w:rsidR="009E6057"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„ostatak” koji uključuje sve ostale druge ugovorne strane. </w:t>
      </w:r>
    </w:p>
    <w:p w:rsidR="009E6057" w:rsidRDefault="00A834F1">
      <w:pPr>
        <w:pStyle w:val="Baseparagraphnumbered"/>
        <w:tabs>
          <w:tab w:val="left" w:pos="851"/>
        </w:tabs>
        <w:ind w:left="709"/>
      </w:pPr>
      <w:r>
        <w:t xml:space="preserve">Sve OTC izvedenice, bez obzira na vrstu rizika s kojom su povezane, raščlanjuju se prema tim drugim ugovornim stranama. </w:t>
      </w:r>
    </w:p>
    <w:p w:rsidR="009E6057" w:rsidRDefault="00A834F1">
      <w:pPr>
        <w:pStyle w:val="sub-subtitlenumbered"/>
        <w:jc w:val="both"/>
      </w:pPr>
      <w:bookmarkStart w:id="31" w:name="_Toc30667486"/>
      <w:r>
        <w:t>Računovodstvo zaštite u skladu s nacionalnim općeprihvaćenim računovodstvenim načelima (11.2)</w:t>
      </w:r>
      <w:bookmarkEnd w:id="31"/>
    </w:p>
    <w:p w:rsidR="009E6057" w:rsidRDefault="00A834F1">
      <w:pPr>
        <w:pStyle w:val="Baseparagraphnumbered"/>
      </w:pPr>
      <w:r>
        <w:t>Ako je u skladu s nacionalnim općeprihvaćenim računovodstvenim načelima na temelju BAD-a propisana raščlamba izvedenica namijenjenih zaštiti od rizika prema kategorijama zaštite, te se izvedenice iskazuju zasebno za svaku primjenjivu kategoriju: „zaštite fer vrijednosti”, „zaštite novčanog toka”, „zaštite na temelju troška”, „zaštite neto ulaganja u inozemno poslovanje”, „zaštite fer vrijednosti portfelja od kamatnog rizika” i „zaštite novčanog toka portfelja od kamatnog rizika”.</w:t>
      </w:r>
    </w:p>
    <w:p w:rsidR="009E6057" w:rsidRDefault="00A834F1">
      <w:pPr>
        <w:pStyle w:val="Baseparagraphnumbered"/>
      </w:pPr>
      <w:r>
        <w:t>Ako je primjenjivo u skladu s nacionalnim općeprihvaćenim računovodstvenim načelima na temelju BAD-a, „zaštite na temelju troška” odnose se na kategoriju zaštite od rizika u kojoj se izvedenica namijenjena zaštiti od rizika općenito vrednuje prema trošku pribavljanja.</w:t>
      </w:r>
    </w:p>
    <w:p w:rsidR="009E6057" w:rsidRDefault="00A834F1">
      <w:pPr>
        <w:pStyle w:val="sub-subtitlenumbered"/>
        <w:jc w:val="both"/>
      </w:pPr>
      <w:bookmarkStart w:id="32" w:name="_Toc30667487"/>
      <w:r>
        <w:t>Iznos koji treba iskazati za neizvedene instrumente zaštite od rizika (11.3 i 11.3.1)</w:t>
      </w:r>
      <w:bookmarkEnd w:id="32"/>
    </w:p>
    <w:p w:rsidR="009E6057" w:rsidRDefault="00A834F1">
      <w:pPr>
        <w:pStyle w:val="Baseparagraphnumbered"/>
      </w:pPr>
      <w:r>
        <w:t>Iznos koji za neizvedene instrumente zaštite od rizika treba iskazati jednak je njihovoj knjigovodstvenoj vrijednosti u skladu s primjenjivim odredbama o mjerenju za računovodstvene portfelje kojima pripadaju u skladu s MSFI-jima ili nacionalnim općeprihvaćenim računovodstvenim načelima na temelju BAD-a. Za neizvedene instrumente zaštite od rizika ne iskazuje se „zamišljeni iznos”.</w:t>
      </w:r>
    </w:p>
    <w:p w:rsidR="009E6057" w:rsidRDefault="00A834F1">
      <w:pPr>
        <w:pStyle w:val="sub-subtitlenumbered"/>
        <w:jc w:val="both"/>
      </w:pPr>
      <w:bookmarkStart w:id="33" w:name="_Toc30667488"/>
      <w:r>
        <w:t>Zaštićene stavke u okviru zaštite fer vrijednosti (11.4)</w:t>
      </w:r>
      <w:bookmarkEnd w:id="33"/>
    </w:p>
    <w:p w:rsidR="009E6057" w:rsidRDefault="00A834F1">
      <w:pPr>
        <w:pStyle w:val="Baseparagraphnumbered"/>
        <w:tabs>
          <w:tab w:val="left" w:pos="851"/>
        </w:tabs>
        <w:ind w:left="709"/>
      </w:pPr>
      <w:r>
        <w:t>Knjigovodstvena vrijednost zaštićenih stavki u okviru zaštite fer vrijednosti priznatih u izvještaju o financijskom položaju raščlanjuje se prema računovodstvenom portfelju i prema vrsti zaštićenog rizika za zaštićenu financijsku imovinu i zaštićene financijske obveze. Ako se financijski instrument štiti od najmanje dva rizika, iskazuje se pod vrstom rizika pod kojom se instrument zaštite iskazuje u skladu s točkom 129.</w:t>
      </w:r>
    </w:p>
    <w:p w:rsidR="009E6057" w:rsidRDefault="00A834F1">
      <w:pPr>
        <w:pStyle w:val="Baseparagraphnumbered"/>
      </w:pPr>
      <w:r>
        <w:t>„Mikrozaštite od rizika” su zaštite od rizika koje nisu zaštite portfelja od kamatnog rizika u skladu s MRS-om 39.89A. Mikrozaštite od rizika uključuje zaštite neto pozicija u skladu s MSFI-jem 9.6.6.6.</w:t>
      </w:r>
    </w:p>
    <w:p w:rsidR="009E6057" w:rsidRDefault="00A834F1">
      <w:pPr>
        <w:pStyle w:val="Baseparagraphnumbered"/>
      </w:pPr>
      <w:r>
        <w:lastRenderedPageBreak/>
        <w:t xml:space="preserve">„Usklađivanje zaštite po mikrozaštitama od rizika” uključuje sva usklađenja zaštite za sve mikrozaštite od rizika kako su definirane u točki 147. </w:t>
      </w:r>
    </w:p>
    <w:p w:rsidR="009E6057" w:rsidRDefault="00A834F1">
      <w:pPr>
        <w:pStyle w:val="Baseparagraphnumbered"/>
      </w:pPr>
      <w:r>
        <w:t xml:space="preserve"> „Usklađivanja zaštite uključena u knjigovodstvenu vrijednost imovine/obveza” jednaka su akumuliranom iznosu dobitaka i gubitaka po zaštićenim stavkama na temelju kojih se uskladila knjigovodstvena vrijednost tih stavki te su priznata u dobiti ili gubitku. Usklađivanja zaštite za zaštićene stavke koje su vlasnički instrumenti mjereni po fer vrijednosti kroz ostalu sveobuhvatnu dobit iskazuju se u obrascu 1.3. Ne iskazuju se usklađenja zaštite za nepriznate čvrste obveze ili njihove komponente.</w:t>
      </w:r>
    </w:p>
    <w:p w:rsidR="009E6057" w:rsidRDefault="00A834F1">
      <w:pPr>
        <w:pStyle w:val="Baseparagraphnumbered"/>
      </w:pPr>
      <w:r>
        <w:t>„Preostala usklađenja za mikrozaštite od rizika koje su se prestale primjenjivati uključujući zaštite neto pozicija” uključuju ona usklađenja zaštite koja se, nakon prestanka primjene odnosa zaštite od rizika i nakon što se zaštićena stavka prestane usklađivati za dobitke ili gubitke od zaštite od rizika, i dalje amortiziraju u dobit ili gubitak na temelju ponovno izračunane efektivne kamatne stope za zaštićene stavke mjerene po amortiziranom trošku ili u iznosu koji predstavlja kumulativne dobitke ili gubitke od zaštite od rizika koji su prethodno priznati za zaštićenu imovinu mjerenu po fer vrijednosti kroz ostalu sveobuhvatnu dobit.</w:t>
      </w:r>
    </w:p>
    <w:p w:rsidR="009E6057" w:rsidRDefault="00A834F1">
      <w:pPr>
        <w:pStyle w:val="Baseparagraphnumbered"/>
      </w:pPr>
      <w:r>
        <w:t>Ako je skupina financijske imovine ili financijskih obveza, uključujući skupinu financijske imovine ili financijskih obveza koje predstavljaju neto poziciju, prihvatljiva kao zaštićena stavka, financijska imovina i financijske obveze koje čine tu grupu iskazuju se po knjigovodstvenoj vrijednosti na bruto osnovi, prije netiranja instrumenata unutar grupe, u stavci „Imovina ili obveze uključene u zaštitu neto pozicije (prije netiranja)”.</w:t>
      </w:r>
    </w:p>
    <w:p w:rsidR="009E6057" w:rsidRDefault="00A834F1">
      <w:pPr>
        <w:pStyle w:val="Baseparagraphnumbered"/>
      </w:pPr>
      <w:r>
        <w:t>„Zaštićene stavke u zaštiti portfelja od kamatnog rizika” uključuju financijsku imovinu i financijske obveze uključene u zaštitu fer vrijednosti izloženosti kamatnom riziku portfelja financijske imovine ili financijskih obveza. Ti se financijski instrumenti iskazuju po njihovoj knjigovodstvenoj vrijednosti na bruto osnovi, prije netiranja instrumenata unutar portfelja.</w:t>
      </w:r>
    </w:p>
    <w:p w:rsidR="009E6057" w:rsidRDefault="00A834F1">
      <w:pPr>
        <w:pStyle w:val="subtitlenumbered"/>
        <w:numPr>
          <w:ilvl w:val="0"/>
          <w:numId w:val="17"/>
        </w:numPr>
        <w:jc w:val="both"/>
        <w:rPr>
          <w:kern w:val="32"/>
        </w:rPr>
      </w:pPr>
      <w:bookmarkStart w:id="34" w:name="_Toc30667489"/>
      <w:r>
        <w:t>Kretanje ispravaka vrijednosti i rezervacije za kreditne gubitke (12)</w:t>
      </w:r>
      <w:bookmarkEnd w:id="34"/>
    </w:p>
    <w:p w:rsidR="009E6057" w:rsidRDefault="00A834F1">
      <w:pPr>
        <w:pStyle w:val="sub-subtitlenumbered"/>
      </w:pPr>
      <w:bookmarkStart w:id="35" w:name="_Toc30667490"/>
      <w:r>
        <w:t>Kretanje ispravaka vrijednosti za kreditne gubitke i umanjenje vrijednosti vlasničkih instrumenata u skladu s nacionalnim općeprihvaćenim računovodstvenim načelima na temelju BAD-a (12.0)</w:t>
      </w:r>
      <w:bookmarkEnd w:id="35"/>
    </w:p>
    <w:p w:rsidR="009E6057" w:rsidRDefault="00A834F1">
      <w:pPr>
        <w:pStyle w:val="Baseparagraphnumbered"/>
      </w:pPr>
      <w:r>
        <w:t xml:space="preserve">Obrazac 12.0 sadržava usklađenje početnih i završnih stanja konta ispravka vrijednosti za financijsku imovinu koja se mjeri metodama troška i financijsku imovinu koja se mjeri drugim metodama ili po fer vrijednosti kroz kapital ako je nacionalnim općeprihvaćenim računovodstvenim načelima na temelju BAD-a propisano da ta imovina podliježe umanjenju vrijednosti. Vrijednosna usklađenja imovine mjerene po trošku ili tržišnoj vrijednosti, ovisno o tome koji je iznos niži, ne iskazuju se u obrascu 12.0. </w:t>
      </w:r>
    </w:p>
    <w:p w:rsidR="009E6057" w:rsidRDefault="00A834F1">
      <w:pPr>
        <w:pStyle w:val="Baseparagraphnumbered"/>
      </w:pPr>
      <w:r>
        <w:t xml:space="preserve">„Povećanja zbog iznosa rezerviranih za procijenjene kreditne gubitke tijekom razdoblja” iskazuju se ako je, za glavnu kategoriju imovine ili za drugu </w:t>
      </w:r>
      <w:r>
        <w:lastRenderedPageBreak/>
        <w:t>ugovornu stranu, priznavanje neto rashoda posljedica procjene umanjenja vrijednosti za razdoblje; odnosno ako za predmetnu kategoriju ili drugu ugovornu stranu povećanja umanjenja vrijednosti za razdoblje premaše smanjenja. „Smanjenja zbog iznosa ukinutih rezervacija za procijenjene kreditne gubitke tijekom razdoblja” iskazuju se ako je, za glavnu kategoriju imovine ili za drugu ugovornu stranu, priznavanje neto prihoda posljedica procjene umanjenja vrijednosti za razdoblje; odnosno ako za predmetnu kategoriju ili drugu ugovornu stranu smanjenja umanjenja vrijednosti za razdoblje premaše povećanja.</w:t>
      </w:r>
    </w:p>
    <w:p w:rsidR="009E6057" w:rsidRDefault="00A834F1">
      <w:pPr>
        <w:pStyle w:val="Baseparagraphnumbered"/>
      </w:pPr>
      <w:r>
        <w:t>Promjene iznosa ispravka vrijednosti zbog otplate ili otuđenja financijske imovine iskazuju se u stavci „Ostala usklađenja”. Otpisi se iskazuju u skladu s točkama od 72. do 74.</w:t>
      </w:r>
    </w:p>
    <w:p w:rsidR="009E6057" w:rsidRDefault="00A834F1">
      <w:pPr>
        <w:pStyle w:val="sub-subtitlenumbered"/>
        <w:jc w:val="both"/>
      </w:pPr>
      <w:bookmarkStart w:id="36" w:name="_Toc30667491"/>
      <w:r>
        <w:t>Kretanje ispravaka vrijednosti i rezervacije za kreditne gubitke na temelju MSFI-ja (12.1)</w:t>
      </w:r>
      <w:bookmarkEnd w:id="36"/>
    </w:p>
    <w:p w:rsidR="009E6057" w:rsidRDefault="00A834F1">
      <w:pPr>
        <w:pStyle w:val="Baseparagraphnumbered"/>
        <w:rPr>
          <w:kern w:val="32"/>
        </w:rPr>
      </w:pPr>
      <w:r>
        <w:t xml:space="preserve"> Obrazac 12.1 sadržava usklađenje početnog i završnog stanja konta ispravka vrijednosti za financijsku imovinu mjerenu po amortiziranom trošku i po fer vrijednosti kroz ostalu sveobuhvatnu dobit raščlanjenu prema fazama umanjenja vrijednosti, prema instrumentu i prema drugoj ugovornoj strani.  </w:t>
      </w:r>
    </w:p>
    <w:p w:rsidR="009E6057" w:rsidRDefault="00A834F1">
      <w:pPr>
        <w:pStyle w:val="Baseparagraphnumbered"/>
        <w:rPr>
          <w:kern w:val="32"/>
        </w:rPr>
      </w:pPr>
      <w:r>
        <w:t>Rezervacije za izvanbilančne izloženosti koje podliježu zahtjevima o umanjenju vrijednosti iz MSFI-ja 9 iskazuju se prema fazama umanjenja vrijednosti. Umanjenje vrijednosti obveza po kreditima iskazuje se kao rezervacije samo ako se ne tretiraju zajedno s umanjenjem vrijednosti izvanbilančne imovine u skladu s MSFI-jem 9.7.B8E i točkom 108. ovog dijela. Kretanje rezervacija za obveze i financijska jamstva koji se mjere u skladu s MRS-om 37 i financijska jamstva koja se tretiraju kao ugovori o osiguranju u skladu s MSFI-jem 4 ne iskazuju se u ovom obrascu, već u obrascu 43. Promjene fer vrijednosti zbog kreditnog rizika obveza i financijskih jamstava koji se mjere po fer vrijednosti kroz dobit ili gubitak u skladu s MSFI-jem 9 ne iskazuju se u ovom obrascu, već u stavci ‚Dobici ili (–) gubici po financijskoj imovini i financijskim obvezama po fer vrijednosti kroz dobit ili gubitak, neto’ u skladu s točkom 50. ovog dijela.</w:t>
      </w:r>
    </w:p>
    <w:p w:rsidR="009E6057" w:rsidRDefault="00A834F1">
      <w:pPr>
        <w:pStyle w:val="Baseparagraphnumbered"/>
        <w:rPr>
          <w:kern w:val="32"/>
        </w:rPr>
      </w:pPr>
      <w:r>
        <w:t xml:space="preserve">Stavke „od čega: skupno mjereni ispravci vrijednosti” i „od čega: pojedinačno mjereni ispravci vrijednosti” uključuju kretanja kumulativnog iznosa umanjenja vrijednosti koje se odnose na financijsku imovinu koja je mjerena na skupnoj ili pojedinačnoj osnovi. </w:t>
      </w:r>
    </w:p>
    <w:p w:rsidR="009E6057" w:rsidRDefault="00A834F1">
      <w:pPr>
        <w:pStyle w:val="Baseparagraphnumbered"/>
      </w:pPr>
      <w:r>
        <w:t>„Povećanja zbog iniciranja i stjecanja” uključuju iznos povećanja očekivanih gubitaka obračunanih pri početnom priznavanju inicirane ili stečene financijske imovine. To povećanje ispravka vrijednosti iskazuje se na prvi referentni izvještajni datum nakon izdavanja ili stjecanja te financijske imovine. Povećanja ili smanjenja očekivanih gubitaka po toj financijskoj imovini nakon njezina početnog priznavanja iskazuju se u drugim stupcima. Inicirana ili stečena imovina uključuje imovinu koja proizlazi iz povlačenja izvanbilančnih preuzetih obveza.</w:t>
      </w:r>
    </w:p>
    <w:p w:rsidR="009E6057" w:rsidRDefault="00A834F1">
      <w:pPr>
        <w:pStyle w:val="Baseparagraphnumbered"/>
      </w:pPr>
      <w:r>
        <w:lastRenderedPageBreak/>
        <w:t>„Smanjenja zbog prestanka priznavanja” uključuju iznos promjena ispravaka vrijednosti zbog financijske imovine koja se u referentnom izvještajnom razdoblju u cijelosti prestaje priznavati zbog razloga koji ne uključuju otpise, što uključuje prijenose trećim stranama ili istek ugovornih prava zbog cijele otplate, otuđenje te financijske imovine ili njezin prijenos u drugi računovodstveni portfelj. Promjena ispravka vrijednosti priznaje se u ovom stupcu na prvi referentni izvještajni datum nakon otplate, otuđenja ili prijenosa. Za izvanbilančne izloženosti ova stavka uključuje i smanjenja umanjenja vrijednosti do kojeg dolazi kad izvanbilančna stavka postane bilančna stavka.</w:t>
      </w:r>
    </w:p>
    <w:p w:rsidR="009E6057" w:rsidRDefault="00A834F1">
      <w:pPr>
        <w:pStyle w:val="Baseparagraphnumbered"/>
      </w:pPr>
      <w:r>
        <w:t>„Promjene zbog promjene kreditnog rizika (neto)” uključuju neto iznos promjena očekivanih gubitaka na kraju referentnog izvještajnog razdoblja zbog povećanja ili smanjenja kreditnog rizika nakon početnog priznavanja neovisno o tome je li zbog tih promjena došlo do prijenosa financijske imovine u drugu fazu. Učinak na ispravak vrijednosti zbog povećanja ili smanjenja iznosa financijske imovine zbog obračunatih i uplaćenih kamatnih prihoda iskazuje se u ovom obrascu. Ta stavka uključuje i učinak proteka vremena na očekivane gubitke izračunane u skladu s MSFI-jem 9.5.4.1. (a) i (b). Promjene procjena zbog ažuriranja ili revizije parametara rizika i promjene budućih ekonomskih podataka iskazuju se u ovom stupcu. Promjene očekivanih gubitaka zbog djelomične otplate izloženosti u obrocima iskazuju se u ovom stupcu uz iznimku zadnjeg obroka, koji se iskazuje u stupcu „Smanjenja zbog prestanka priznavanja”.</w:t>
      </w:r>
    </w:p>
    <w:p w:rsidR="009E6057" w:rsidRDefault="00A834F1">
      <w:pPr>
        <w:pStyle w:val="Baseparagraphnumbered"/>
      </w:pPr>
      <w:r>
        <w:t>Sve promjene očekivanih kreditnih gubitaka koji se odnose na obnovljive izloženosti iskazuju se u stavci „Promjene zbog promjene kreditnog rizika (neto)”, osim onih promjena koje se odnose na otpise i ažuriranja metodologije institucije za procjenu kreditnih gubitaka. Obnovljive izloženosti su one za koje je dopuštena fluktuacija iskorištenih iznosa klijenata na temelju njihovih odluka da se zaduže i vrate dug u iznosu koji je utvrdila institucija.</w:t>
      </w:r>
    </w:p>
    <w:p w:rsidR="009E6057" w:rsidRDefault="00A834F1">
      <w:pPr>
        <w:pStyle w:val="Baseparagraphnumbered"/>
      </w:pPr>
      <w:r>
        <w:t>„Promjene zbog ažuriranja metodologije institucije za procjenu (neto)” uključuju promjene zbog ažuriranja metodologije institucije za procjenu očekivanih gubitaka zbog promjena postojećih modela ili uspostave novih modela koji se primjenjuju za procjenu umanjenja vrijednosti. Metodološka ažuriranja uključuju i učinak donošenja novih standarda. Promjene metodologije zbog kojih dolazi do toga da imovina mijenja fazu umanjenja vrijednosti smatraju se promjenom modela u cijelosti. Promjene procjena zbog ažuriranja ili revizije parametara rizika i promjene budućih ekonomskih podataka ne iskazuju se u ovom stupcu.</w:t>
      </w:r>
    </w:p>
    <w:p w:rsidR="009E6057" w:rsidRDefault="00A834F1">
      <w:pPr>
        <w:pStyle w:val="Baseparagraphnumbered"/>
      </w:pPr>
      <w:r>
        <w:t xml:space="preserve">Izvješćivanje o promjenama očekivanih gubitaka koje se odnose na promijenjenu imovinu (MSFI 9.5.4.3. i Dodatak A) ovisi o obilježju promjene u skladu sa sljedećim: </w:t>
      </w:r>
    </w:p>
    <w:p w:rsidR="009E6057"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ako zbog promjene dolazi do djelomičnog ili potpunog prestanka priznavanja imovine zbog otpisa kako je definirano u točki 74., učinak na očekivane gubitke zbog ovog prestanka priznavanja iskazuje se u stavci „Smanjenja na kontu </w:t>
      </w:r>
      <w:r>
        <w:rPr>
          <w:rFonts w:ascii="Times New Roman" w:hAnsi="Times New Roman"/>
        </w:rPr>
        <w:lastRenderedPageBreak/>
        <w:t xml:space="preserve">ispravka vrijednosti zbog otpisa”, a svi drugi učinci promjena na očekivane kreditne gubitke iskazuju se u drugim odgovarajućim stupcima; </w:t>
      </w:r>
    </w:p>
    <w:p w:rsidR="009E6057"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ako zbog promjene dolazi do potpunog prestanka priznavanja imovine zbog razloga koji ne uključuje otpise kako je definirano u točki 74. i njezine zamjene novom imovinom, učinak promjene na očekivane kreditne gubitke iskazuje se u stavci „Promjene zbog prestanka priznavanja” za promjene uzrokovane prestankom priznavanja imovine i u stavci „Povećanja zbog iniciranja i stjecanja” za promjene zbog novo priznate promijenjene imovine. Prestanak priznavanja zbog razloga koji ne uključuju otpise uključuje prestanak priznavanja u kojemu su uvjeti promijenjene imovine bitno promijenili; </w:t>
      </w:r>
    </w:p>
    <w:p w:rsidR="009E6057"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ako zbog promjene ne dolazi do prestanka priznavanja cijelog ili djelomičnog dijela promijenjene imovine, njezin učinak na očekivane gubitke iskazuje se u stavci „Promjene zbog promjena bez prestanka priznavanja”.</w:t>
      </w:r>
    </w:p>
    <w:p w:rsidR="009E6057" w:rsidRDefault="00A834F1">
      <w:pPr>
        <w:pStyle w:val="Baseparagraphnumbered"/>
      </w:pPr>
      <w:r>
        <w:t xml:space="preserve">Otpisi se iskazuju u skladu sa točkama od 72. do 74. ovog dijela ovog Priloga u skladu sa sljedećim: </w:t>
      </w:r>
    </w:p>
    <w:p w:rsidR="009E6057"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ako se dužnički instrument djelomično ili u cijelosti prestaje priznavati jer nema razumnih očekivanja u pogledu povrata, smanjenje iskazane rezervacije za umanjenje vrijednosti zbog otpisanih iznosa iskazuje se u stavci: „Smanjenja na kontu ispravka vrijednosti zbog otpisa”;</w:t>
      </w:r>
    </w:p>
    <w:p w:rsidR="009E6057"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 xml:space="preserve">„Iznosi izravno otpisani u računu dobiti i gubitka” jesu iznosi financijske imovine koja je otpisana tijekom referentnog izvještajnog razdoblja koji premašuju svaki konto ispravka vrijednosti te financijske imovine na datum prestanka priznavanja. Oni uključuju sve iznose otpisane tijekom referentnog izvještajnog razdoblja, a ne samo one koji su predmet prisilne naplate. </w:t>
      </w:r>
    </w:p>
    <w:p w:rsidR="009E6057" w:rsidRDefault="00A834F1">
      <w:pPr>
        <w:pStyle w:val="Baseparagraphnumbered"/>
      </w:pPr>
      <w:r>
        <w:t>„Ostala usklađenja” uključuju sve iznose koji nisu iskazani u prethodnim stupcima, uključujući usklađenja očekivanih gubitaka zbog tečajnih razlika ako je to u skladu s izvješćivanjem o učinku tečaja u obrascu 2.</w:t>
      </w:r>
    </w:p>
    <w:p w:rsidR="009E6057" w:rsidRDefault="00E7314A">
      <w:pPr>
        <w:pStyle w:val="Baseparagraphnumbered"/>
        <w:numPr>
          <w:ilvl w:val="0"/>
          <w:numId w:val="0"/>
        </w:numPr>
        <w:ind w:left="426"/>
      </w:pPr>
      <w:r>
        <w:t xml:space="preserve">166.i. </w:t>
      </w:r>
      <w:r>
        <w:tab/>
        <w:t xml:space="preserve">„Dobici ili gubici po prestanku priznavanja dužničkih instrumenata” uključuju razliku između knjigovodstvene vrijednosti financijske imovine mjerene na datum prestanka priznavanja i primljene naknade. </w:t>
      </w:r>
    </w:p>
    <w:p w:rsidR="009E6057" w:rsidRDefault="00A834F1">
      <w:pPr>
        <w:pStyle w:val="sub-subtitlenumbered"/>
        <w:jc w:val="both"/>
      </w:pPr>
      <w:bookmarkStart w:id="37" w:name="_Toc30667492"/>
      <w:r>
        <w:t>Prijenosi između faza umanjenja vrijednosti (prikaz na bruto osnovi) (12.2.)</w:t>
      </w:r>
      <w:bookmarkEnd w:id="37"/>
    </w:p>
    <w:p w:rsidR="009E6057" w:rsidRDefault="00A834F1">
      <w:pPr>
        <w:pStyle w:val="Baseparagraphnumbered"/>
      </w:pPr>
      <w:r>
        <w:t xml:space="preserve">Bruto knjigovodstvena vrijednost financijske imovine i nominalni iznos izvanbilančnih izloženosti koje podliježu zahtjevima o umanjenju vrijednosti iz MSFI-ja 9 koji je prenesen između faza umanjenja vrijednosti tijekom referentnog izvještajnog razdoblja iskazuju se u obrascu 12.2. </w:t>
      </w:r>
    </w:p>
    <w:p w:rsidR="009E6057" w:rsidRDefault="00A834F1">
      <w:pPr>
        <w:pStyle w:val="Baseparagraphnumbered"/>
      </w:pPr>
      <w:r>
        <w:t>Iskazuju se samo bruto knjigovodstvena vrijednost ili nominalni iznos te financijske imovine ili izvanbilančnih izloženosti koje su na referentni izvještajni datum u fazama umanjenja vrijednosti koje se razlikuju od onih u kojima su bile na početku financijske godine ili njihova početnog priznavanja. Za izvanbilančne izloženosti za koje umanjenje vrijednosti iskazano u obrascu 12.1 uključuje izvanbilančnu komponentu (MSFI 9.5.5.20 i MSFI 7.B8E), uzima se u obzir promjena faze bilančne i izvanbilančne komponente.</w:t>
      </w:r>
    </w:p>
    <w:p w:rsidR="009E6057" w:rsidRDefault="00A834F1">
      <w:pPr>
        <w:pStyle w:val="Baseparagraphnumbered"/>
      </w:pPr>
      <w:r>
        <w:lastRenderedPageBreak/>
        <w:t>Kod izvješćivanja o prijenosima koji su se odvijali tijekom financijske godine, financijska imovina ili izvanbilančne izloženosti koje su višestruko promijenile fazu umanjenja vrijednosti od početka financijske godine ili njihova početnog priznavanja iskazuju se kao da su bile prenesene iz njihove faze umanjenja vrijednosti na početku financijske godine ili početnog priznavanja u fazu umanjenja vrijednosti u koju su uključene na referentni izvještajni datum.</w:t>
      </w:r>
    </w:p>
    <w:p w:rsidR="009E6057" w:rsidRDefault="00A834F1">
      <w:pPr>
        <w:pStyle w:val="Baseparagraphnumbered"/>
      </w:pPr>
      <w:r>
        <w:t>Bruto knjigovodstvena vrijednost ili nominalni iznos koji treba iskazati u obrascu 12.2 znači bruto knjigovodstvena vrijednost ili nominalni iznos na izvještajni datum, neovisno o tome je li taj iznos veći ili manji na datum prijenosa.</w:t>
      </w:r>
    </w:p>
    <w:p w:rsidR="009E6057" w:rsidRDefault="00A834F1">
      <w:pPr>
        <w:pStyle w:val="subtitlenumbered"/>
        <w:keepNext/>
        <w:ind w:left="357" w:hanging="357"/>
        <w:jc w:val="both"/>
      </w:pPr>
      <w:bookmarkStart w:id="38" w:name="_Toc30667493"/>
      <w:r>
        <w:t>Primljeni kolateral i jamstva (13.)</w:t>
      </w:r>
      <w:bookmarkEnd w:id="38"/>
    </w:p>
    <w:p w:rsidR="009E6057" w:rsidRDefault="00A834F1">
      <w:pPr>
        <w:pStyle w:val="sub-subtitlenumbered"/>
        <w:jc w:val="both"/>
      </w:pPr>
      <w:bookmarkStart w:id="39" w:name="_Toc30667494"/>
      <w:r>
        <w:t>Raščlamba kolaterala i jamstava prema kreditima i predujmovima osim onih koji se drže radi trgovanja (13.1.)</w:t>
      </w:r>
      <w:bookmarkEnd w:id="39"/>
    </w:p>
    <w:p w:rsidR="009E6057" w:rsidRDefault="00A834F1">
      <w:pPr>
        <w:pStyle w:val="Baseparagraphnumbered"/>
        <w:tabs>
          <w:tab w:val="left" w:pos="851"/>
        </w:tabs>
        <w:ind w:left="709"/>
      </w:pPr>
      <w:r>
        <w:t xml:space="preserve">Kolateral i jamstva kojima su osigurani krediti i predujmovi, neovisno o njihovu pravnom obliku, iskazuju se prema vrsti zaloga: krediti s nekretninom kao kolateralom i ostali krediti s kolateralom i prema primljenim financijskim jamstvima. Krediti i predujmovi raščlanjuju se prema drugim ugovornim stranama i namjeni. </w:t>
      </w:r>
    </w:p>
    <w:p w:rsidR="009E6057" w:rsidRDefault="00A834F1">
      <w:pPr>
        <w:pStyle w:val="Baseparagraphnumbered"/>
        <w:tabs>
          <w:tab w:val="left" w:pos="851"/>
        </w:tabs>
        <w:ind w:left="709"/>
      </w:pPr>
      <w:r>
        <w:t xml:space="preserve">U obrascu 13.1. iskazuje se „najviši iznos kolaterala ili jamstva koji se može razmatrati”. Zbroj iznosa financijskog jamstva i/ili kolaterala naveden u povezanim stupcima obrasca 13.1. ne premašuje knjigovodstvenu vrijednost povezanog kredita. </w:t>
      </w:r>
    </w:p>
    <w:p w:rsidR="009E6057" w:rsidRDefault="00A834F1">
      <w:pPr>
        <w:pStyle w:val="Baseparagraphnumbered"/>
        <w:tabs>
          <w:tab w:val="left" w:pos="851"/>
        </w:tabs>
        <w:ind w:left="709"/>
      </w:pPr>
      <w:r>
        <w:t>Za iskazivanje kredita i predujmova prema vrsti zaloga vrijede sljedeće definicije:</w:t>
      </w:r>
    </w:p>
    <w:p w:rsidR="009E6057" w:rsidRDefault="00A834F1">
      <w:pPr>
        <w:pStyle w:val="Text1"/>
        <w:numPr>
          <w:ilvl w:val="0"/>
          <w:numId w:val="45"/>
        </w:numPr>
        <w:ind w:left="1134" w:hanging="425"/>
      </w:pPr>
      <w:r>
        <w:t>pod stavkom „Krediti s nekretninom kao kolateralom” stavka „Osigurano stambenim nekretninama” uključuje kredite osigurane stambenim nekretninama, a stavka „Osigurano poslovnim nekretninama” kredite osigurane nekretninama koje nisu stambene nekretnine, uključujući urede i poslovne prostore i ostale vrste poslovnih nekretnina. Utvrđivanje toga je li kolateral u obliku nekretnine osiguran stambenim ili poslovnim nekretninama provodi se u skladu s člankom 4. stavkom 1. točkom 75. CRR-a;</w:t>
      </w:r>
    </w:p>
    <w:p w:rsidR="009E6057" w:rsidRDefault="00A834F1">
      <w:pPr>
        <w:pStyle w:val="Text1"/>
        <w:numPr>
          <w:ilvl w:val="0"/>
          <w:numId w:val="45"/>
        </w:numPr>
        <w:ind w:left="1134" w:hanging="425"/>
      </w:pPr>
      <w:r>
        <w:t>pod stavkom „Ostali krediti s kolateralom”:</w:t>
      </w:r>
    </w:p>
    <w:p w:rsidR="009E6057"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stavka „Gotovina, depoziti, (izdani dužnički vrijednosni papiri)” uključuje (a) depozite u instituciji koja izvješćuje, a koji su založeni kao kolateral za kredit i (b) dužničke vrijednosne papire koje je izdala institucija koja izvješćuje, a koji su založeni kao kolateral za kredit;</w:t>
      </w:r>
    </w:p>
    <w:p w:rsidR="009E6057"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stavka „Pokretnina imovina” uključuje založ</w:t>
      </w:r>
      <w:bookmarkStart w:id="40" w:name="_GoBack"/>
      <w:bookmarkEnd w:id="40"/>
      <w:r>
        <w:rPr>
          <w:rFonts w:ascii="Times New Roman" w:hAnsi="Times New Roman"/>
        </w:rPr>
        <w:t>ene fizičke kolaterale, osim nekretnina, kao što su automobili, zrakoplovi, plovila, industrijska i mehanička oprema (strojevi, mehanička i tehnička oprema), zalihe i robu (trgovačku robu, gotove proizvode i poluproizvode, sirovine) i druge vrste pokretne imovine;</w:t>
      </w:r>
    </w:p>
    <w:p w:rsidR="009E6057"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lastRenderedPageBreak/>
        <w:t>stavka „Vlasnički instrumenti i dužnički vrijednosni papiri” uključuje kolaterale u obliku vlasničkih instrumenata, uključujući ulaganja u društva kćeri, zajedničke pothvate i pridružena društva, kao i u obliku dužničkih vrijednosnih papira u izdanju trećih strana;</w:t>
      </w:r>
    </w:p>
    <w:p w:rsidR="009E6057"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stavka „Ostalo” uključuje založenu imovinu;</w:t>
      </w:r>
    </w:p>
    <w:p w:rsidR="009E6057" w:rsidRDefault="00A834F1">
      <w:pPr>
        <w:pStyle w:val="Text1"/>
        <w:numPr>
          <w:ilvl w:val="0"/>
          <w:numId w:val="45"/>
        </w:numPr>
        <w:ind w:left="1134" w:hanging="425"/>
      </w:pPr>
      <w:r>
        <w:t>stavka „Primljena financijska jamstva” uključuje ugovore kojima se u skladu s točkom 114. ovog dijela ovog Priloga od izdavatelja zahtijeva izvršavanje određenih plaćanja kao naknade instituciji za nastali gubitak jer određeni dužnik nije u roku izvršio plaćanje u skladu s izvornim ili promijenjenim uvjetima dužničkog instrumenta.</w:t>
      </w:r>
    </w:p>
    <w:p w:rsidR="009E6057" w:rsidRDefault="00A834F1">
      <w:pPr>
        <w:pStyle w:val="Baseparagraphnumbered"/>
      </w:pPr>
      <w:r>
        <w:t xml:space="preserve">Kod kredita i predujmova koji su istovremeno osigurani s nekoliko vrsta kolaterala ili jamstava „najviši iznos kolaterala/jamstva koji se može razmatrati” raspoređuje se prema svojoj kvaliteti, počevši od najkvalitetnijeg. Kod kredita s nekretninom kao kolateralom kolateral u obliku nekretnine uvijek se iskazuje prvi, neovisno o njegovog kvaliteti u usporedbi s ostalim kolateralom. Ako „najviši iznos kolaterala/jamstva koji se može razmatrati” premašuje vrijednost kolaterala u obliku nekretnine, njegova preostala vrijednost raspoređuje se ostalim vrstama kolaterala i jamstvima prema njegovoj kvaliteti, počevši od najkvalitetnijeg. </w:t>
      </w:r>
    </w:p>
    <w:p w:rsidR="009E6057" w:rsidRDefault="00A834F1">
      <w:pPr>
        <w:pStyle w:val="sub-subtitlenumbered"/>
        <w:jc w:val="both"/>
      </w:pPr>
      <w:bookmarkStart w:id="41" w:name="_Toc30667495"/>
      <w:r>
        <w:t>Kolateral dobiven u posjed tijekom razdoblja (u posjedu na referentni datum) (13.2.1.)</w:t>
      </w:r>
      <w:bookmarkEnd w:id="41"/>
    </w:p>
    <w:p w:rsidR="009E6057" w:rsidRDefault="00A834F1">
      <w:pPr>
        <w:pStyle w:val="Baseparagraphnumbered"/>
        <w:tabs>
          <w:tab w:val="left" w:pos="851"/>
        </w:tabs>
        <w:ind w:left="709"/>
      </w:pPr>
      <w:r>
        <w:t>Ovaj se obrazac koristi za iskazivanje informacija o kolateralu koji je stečen od početka do kraja referentnog razdoblja i koji se i dalje priznaje u bilanci na referentni datum. Kolateral dobiven u posjed uključuje imovinu koju dužnik nije založio kao kolateral, nego je dobivena u zamjenu za poništenje duga, na dobrovoljnoj osnovi ili u sudskom postupku. Vrste kolaterala navedene su u točki 173., osim onih iz podtočke (b) podpodtočke i. te točke.</w:t>
      </w:r>
    </w:p>
    <w:p w:rsidR="009E6057" w:rsidRDefault="00A54B83">
      <w:pPr>
        <w:pStyle w:val="Baseparagraphnumbered"/>
        <w:numPr>
          <w:ilvl w:val="0"/>
          <w:numId w:val="0"/>
        </w:numPr>
        <w:tabs>
          <w:tab w:val="left" w:pos="851"/>
        </w:tabs>
        <w:ind w:left="786" w:hanging="360"/>
      </w:pPr>
      <w:r>
        <w:t>175.i.</w:t>
      </w:r>
      <w:r>
        <w:tab/>
        <w:t>„Vrijednost pri početnom priznavanju” znači bruto knjigovodstvena vrijednost kolaterala dobivenog u posjed u trenutku početnog priznavanja u bilanci institucije koja izvješćuje.</w:t>
      </w:r>
    </w:p>
    <w:p w:rsidR="009E6057" w:rsidRDefault="00A54B83">
      <w:pPr>
        <w:pStyle w:val="Baseparagraphnumbered"/>
        <w:numPr>
          <w:ilvl w:val="0"/>
          <w:numId w:val="0"/>
        </w:numPr>
        <w:tabs>
          <w:tab w:val="left" w:pos="851"/>
        </w:tabs>
        <w:ind w:left="786" w:hanging="360"/>
      </w:pPr>
      <w:r>
        <w:t>175.ii.</w:t>
      </w:r>
      <w:r>
        <w:tab/>
        <w:t>„Akumulirane negativne promjene” jesu razlika, na razini pojedinačne stavke kolaterala, između vrijednosti pri početnom priznavanju kolaterala i knjigovodstvene vrijednosti na referentni izvještajni datum , kada je ta razlika negativna.</w:t>
      </w:r>
    </w:p>
    <w:p w:rsidR="009E6057" w:rsidRDefault="00A834F1">
      <w:pPr>
        <w:pStyle w:val="sub-subtitlenumbered"/>
        <w:jc w:val="both"/>
      </w:pPr>
      <w:bookmarkStart w:id="42" w:name="_Toc30667496"/>
      <w:r>
        <w:t>Kolaterali dobiveni u posjed kumulativno (13.3.1.)</w:t>
      </w:r>
      <w:bookmarkEnd w:id="42"/>
    </w:p>
    <w:p w:rsidR="009E6057" w:rsidRDefault="00A54B83">
      <w:pPr>
        <w:pStyle w:val="Baseparagraphnumbered"/>
        <w:tabs>
          <w:tab w:val="left" w:pos="851"/>
        </w:tabs>
        <w:ind w:left="709"/>
      </w:pPr>
      <w:r>
        <w:t>Kolateral dobiven u posjed koji se na referentni datum i dalje priznaje u bilanci, bez obzira na trenutak njegova dobivanja, iskazuje se u obrascu 13.3.1. Uključeni su i kolaterali dobiveni u posjed klasificirani kao „Nekretnine, postrojenja i oprema” i drugi kolaterali dobiveni u posjed. Kolateral dobiven u posjed uključuje imovinu koju dužnik nije založio kao kolateral, nego je dobivena u zamjenu za poništenje duga, na dobrovoljnoj osnovi ili u sudskom postupku.</w:t>
      </w:r>
    </w:p>
    <w:p w:rsidR="009E6057" w:rsidRDefault="00A834F1">
      <w:pPr>
        <w:pStyle w:val="subtitlenumbered"/>
        <w:keepNext/>
        <w:numPr>
          <w:ilvl w:val="0"/>
          <w:numId w:val="17"/>
        </w:numPr>
        <w:ind w:left="357" w:hanging="357"/>
        <w:jc w:val="both"/>
        <w:rPr>
          <w:kern w:val="32"/>
        </w:rPr>
      </w:pPr>
      <w:bookmarkStart w:id="43" w:name="_Toc30667497"/>
      <w:r>
        <w:lastRenderedPageBreak/>
        <w:t>Hijerarhija fer vrijednosti: Financijski instrumenti po fer vrijednosti (14.)</w:t>
      </w:r>
      <w:bookmarkEnd w:id="43"/>
    </w:p>
    <w:p w:rsidR="009E6057" w:rsidRDefault="00A834F1">
      <w:pPr>
        <w:pStyle w:val="Baseparagraphnumbered"/>
        <w:tabs>
          <w:tab w:val="left" w:pos="851"/>
        </w:tabs>
        <w:ind w:left="709"/>
      </w:pPr>
      <w:r>
        <w:t>Institucije iskazuju vrijednost financijskih instrumenata koji se mjere po fer vrijednosti u skladu s hijerarhijom navedenom u MSFI-ju 13.72. Ako je i nacionalnim općeprihvaćenim računovodstvenim načelima na temelju BAD-a propisano raspoređivanje imovine mjerene po fer vrijednosti po različitim razinama fer vrijednosti, institucije u skladu s nacionalnim općeprihvaćenim računovodstvenim načelima izvješćuju i u ovom obrascu.</w:t>
      </w:r>
    </w:p>
    <w:p w:rsidR="009E6057" w:rsidRDefault="00A834F1">
      <w:pPr>
        <w:pStyle w:val="Baseparagraphnumbered"/>
        <w:ind w:left="709" w:hanging="283"/>
      </w:pPr>
      <w:r>
        <w:t>Stavka „Promjena fer vrijednosti za razdoblje” uključuje dobitke ili gubitke od mjerenja, u skladu s MSFI-jem 9. MSFI-jem 13 ili nacionalnim općeprihvaćenim računovodstvenim načelima, ako je primjenjivo, tijekom razdoblja instrumenata koji još uvijek postoje na izvještajni datum. Ti dobici i gubici iskazuju se kao za uključivanje u račun dobiti i gubitka ili, ako je primjenjivo, u izvještaj o sveobuhvatnoj dobiti; zato se iskazuju iznosi prije oporezivanja.</w:t>
      </w:r>
    </w:p>
    <w:p w:rsidR="009E6057" w:rsidRDefault="00A834F1">
      <w:pPr>
        <w:pStyle w:val="Baseparagraphnumbered"/>
        <w:tabs>
          <w:tab w:val="left" w:pos="851"/>
        </w:tabs>
        <w:ind w:left="709"/>
      </w:pPr>
      <w:r>
        <w:t>„Akumulirana promjena fer vrijednosti prije oporezivanja” uključuje iznos gubitaka ili dobitaka od mjerenja instrumenata akumuliran od početnog priznavanja do referentnog datuma.</w:t>
      </w:r>
    </w:p>
    <w:p w:rsidR="009E6057" w:rsidRDefault="00A834F1">
      <w:pPr>
        <w:pStyle w:val="subtitlenumbered"/>
        <w:numPr>
          <w:ilvl w:val="0"/>
          <w:numId w:val="17"/>
        </w:numPr>
        <w:jc w:val="both"/>
        <w:rPr>
          <w:kern w:val="32"/>
        </w:rPr>
      </w:pPr>
      <w:bookmarkStart w:id="44" w:name="_Toc30667498"/>
      <w:r>
        <w:t>Prestanak priznavanja i financijske obveze povezane s prenesenom financijskom imovinom (15.)</w:t>
      </w:r>
      <w:bookmarkEnd w:id="44"/>
    </w:p>
    <w:p w:rsidR="009E6057" w:rsidRDefault="00A834F1">
      <w:pPr>
        <w:pStyle w:val="Baseparagraphnumbered"/>
        <w:tabs>
          <w:tab w:val="left" w:pos="851"/>
        </w:tabs>
        <w:ind w:left="709"/>
      </w:pPr>
      <w:r>
        <w:t xml:space="preserve">Obrazac 15. sadržava informacije o prenesenoj financijskoj imovini koja djelomično ili u cijelosti ne ispunjava kriterije za prestanak priznavanja i financijsku imovinu koja se u potpunosti prestala priznavati za koju institucija zadržava prava servisiranja. </w:t>
      </w:r>
    </w:p>
    <w:p w:rsidR="009E6057" w:rsidRDefault="00A834F1">
      <w:pPr>
        <w:pStyle w:val="Baseparagraphnumbered"/>
        <w:tabs>
          <w:tab w:val="left" w:pos="851"/>
        </w:tabs>
        <w:ind w:left="709"/>
      </w:pPr>
      <w:r>
        <w:t xml:space="preserve">Povezane obveze iskazuju se prema portfelju u kojem je povezana prenesena financijska imovina navedena na strani imovine, a ne prema portfelju u kojem je ona navedena na strani obveza. </w:t>
      </w:r>
    </w:p>
    <w:p w:rsidR="009E6057" w:rsidRDefault="00A834F1">
      <w:pPr>
        <w:pStyle w:val="Baseparagraphnumbered"/>
      </w:pPr>
      <w:r>
        <w:t xml:space="preserve">Stupac „Iznosi koje se prestalo priznavati zbog kapitalnih zahtjeva” uključuje knjigovodstvenu vrijednost financijske imovine priznate u računovodstvene svrhe, ali koja se prestala priznavati u bonitetne svrhe jer je institucija tretira kao sekuritizacijske pozicije zbog kapitalnih zahtjeva u skladu s člancima 109., 243. i 244. CRR-a. </w:t>
      </w:r>
    </w:p>
    <w:p w:rsidR="009E6057" w:rsidRDefault="00A834F1">
      <w:pPr>
        <w:pStyle w:val="Baseparagraphnumbered"/>
      </w:pPr>
      <w:r>
        <w:t>„Repo ugovori” jesu transakcije u kojima institucija prima novac u zamjenu za financijsku imovinu koja se prodaje po određenoj cijeni na temelju preuzete obveze da ponovno kupi istu (ili identičnu) imovinu po fiksnoj cijeni na određeni budući datum. Transakcije koje uključuju privremeni prijenos zlata na temelju gotovinskog kolaterala također se smatraju „repo ugovorima”. Iznosi koje institucija primi u zamjenu za financijsku imovinu prenesenu trećoj strani („privremeni stjecatelj”) klasificiraju se pod stavku „repo ugovori” ako postoji obveza izvršenja obratne operacije, a ne samo opcija za nju. Repo ugovori uključuju i operacije vrste repo koje mogu uključivati:</w:t>
      </w:r>
    </w:p>
    <w:p w:rsidR="009E6057" w:rsidRDefault="00C03A57">
      <w:pPr>
        <w:numPr>
          <w:ilvl w:val="0"/>
          <w:numId w:val="10"/>
        </w:numPr>
        <w:ind w:left="1134" w:hanging="425"/>
        <w:jc w:val="both"/>
        <w:rPr>
          <w:rFonts w:ascii="Times New Roman" w:hAnsi="Times New Roman"/>
          <w:sz w:val="24"/>
          <w:szCs w:val="24"/>
        </w:rPr>
      </w:pPr>
      <w:r>
        <w:rPr>
          <w:rFonts w:ascii="Times New Roman" w:hAnsi="Times New Roman"/>
        </w:rPr>
        <w:lastRenderedPageBreak/>
        <w:t>iznose primljene u zamjenu za vrijednosne papire koji su privremeno preneseni trećoj strani u obliku pozajmljivanja vrijednosnih papira na temelju gotovinskog kolaterala;</w:t>
      </w:r>
    </w:p>
    <w:p w:rsidR="009E6057" w:rsidRDefault="00C03A57">
      <w:pPr>
        <w:numPr>
          <w:ilvl w:val="0"/>
          <w:numId w:val="10"/>
        </w:numPr>
        <w:ind w:left="1134" w:hanging="425"/>
        <w:jc w:val="both"/>
        <w:rPr>
          <w:rFonts w:ascii="Times New Roman" w:hAnsi="Times New Roman"/>
          <w:sz w:val="24"/>
          <w:szCs w:val="24"/>
        </w:rPr>
      </w:pPr>
      <w:r>
        <w:rPr>
          <w:rFonts w:ascii="Times New Roman" w:hAnsi="Times New Roman"/>
        </w:rPr>
        <w:t>iznose primljene u zamjenu za vrijednosne papire koji su privremeno preneseni trećoj strani u obliku ugovora o prodaji i ponovnom otkupu.</w:t>
      </w:r>
    </w:p>
    <w:p w:rsidR="009E6057" w:rsidRDefault="00A834F1">
      <w:pPr>
        <w:pStyle w:val="Baseparagraphnumbered"/>
        <w:tabs>
          <w:tab w:val="left" w:pos="851"/>
        </w:tabs>
        <w:ind w:left="709"/>
      </w:pPr>
      <w:r>
        <w:t xml:space="preserve">„Repo ugovori” i „obratni repo ugovori” uključuju novac koji institucija primi ili pozajmi. </w:t>
      </w:r>
    </w:p>
    <w:p w:rsidR="009E6057" w:rsidRDefault="00A834F1">
      <w:pPr>
        <w:pStyle w:val="Baseparagraphnumbered"/>
        <w:tabs>
          <w:tab w:val="left" w:pos="851"/>
        </w:tabs>
        <w:ind w:left="709"/>
      </w:pPr>
      <w:r>
        <w:t>Kod sekuritizacijske transakcije, ako se prenesena financijska imovina prestaje priznavati, institucije iskazuju nastale dobitke (gubitke) prema stavci u računu dobiti i gubitka koja odgovara „računovodstvenim portfeljima” u kojima je financijska imovina bila navedena prije prestanka priznavanja.</w:t>
      </w:r>
    </w:p>
    <w:p w:rsidR="009E6057" w:rsidRDefault="00A834F1">
      <w:pPr>
        <w:pStyle w:val="subtitlenumbered"/>
        <w:keepNext/>
        <w:numPr>
          <w:ilvl w:val="0"/>
          <w:numId w:val="17"/>
        </w:numPr>
        <w:ind w:left="357" w:hanging="357"/>
        <w:jc w:val="both"/>
      </w:pPr>
      <w:bookmarkStart w:id="45" w:name="_Toc30667499"/>
      <w:r>
        <w:t>Raščlamba odabranih stavki računa dobiti i gubitka (16.)</w:t>
      </w:r>
      <w:bookmarkEnd w:id="45"/>
    </w:p>
    <w:p w:rsidR="009E6057" w:rsidRDefault="00A834F1">
      <w:pPr>
        <w:pStyle w:val="Baseparagraphnumbered"/>
        <w:tabs>
          <w:tab w:val="left" w:pos="851"/>
        </w:tabs>
        <w:ind w:left="709"/>
      </w:pPr>
      <w:r>
        <w:t xml:space="preserve">Za odabrane stavke računa dobiti i gubitka iskazuju se dodatne raščlambe dobitaka (ili prihoda) i gubitaka (ili rashoda). </w:t>
      </w:r>
    </w:p>
    <w:p w:rsidR="009E6057" w:rsidRDefault="00A834F1">
      <w:pPr>
        <w:pStyle w:val="sub-subtitlenumbered"/>
        <w:jc w:val="both"/>
      </w:pPr>
      <w:bookmarkStart w:id="46" w:name="_Toc30667500"/>
      <w:r>
        <w:t>Kamatni prihodi i rashodi prema instrumentu i sektoru druge ugovorne strane (16.1.)</w:t>
      </w:r>
      <w:bookmarkEnd w:id="46"/>
    </w:p>
    <w:p w:rsidR="009E6057" w:rsidRDefault="00A834F1">
      <w:pPr>
        <w:pStyle w:val="Baseparagraphnumbered"/>
        <w:tabs>
          <w:tab w:val="left" w:pos="851"/>
        </w:tabs>
        <w:ind w:left="709" w:hanging="283"/>
      </w:pPr>
      <w:r>
        <w:t>Kamatni prihodi raščlanjuju se u skladu sa sljedećim:</w:t>
      </w:r>
    </w:p>
    <w:p w:rsidR="009E6057" w:rsidRDefault="00A834F1">
      <w:pPr>
        <w:numPr>
          <w:ilvl w:val="0"/>
          <w:numId w:val="12"/>
        </w:numPr>
        <w:ind w:left="1134" w:hanging="425"/>
        <w:jc w:val="both"/>
        <w:rPr>
          <w:rFonts w:ascii="Times New Roman" w:hAnsi="Times New Roman"/>
          <w:sz w:val="24"/>
          <w:szCs w:val="24"/>
        </w:rPr>
      </w:pPr>
      <w:r>
        <w:rPr>
          <w:rFonts w:ascii="Times New Roman" w:hAnsi="Times New Roman"/>
        </w:rPr>
        <w:t>kamatni prihodi po financijskoj i ostaloj imovini;</w:t>
      </w:r>
    </w:p>
    <w:p w:rsidR="009E6057" w:rsidRDefault="00A834F1">
      <w:pPr>
        <w:numPr>
          <w:ilvl w:val="0"/>
          <w:numId w:val="12"/>
        </w:numPr>
        <w:ind w:left="1134" w:hanging="425"/>
        <w:jc w:val="both"/>
        <w:rPr>
          <w:rFonts w:ascii="Times New Roman" w:hAnsi="Times New Roman"/>
          <w:sz w:val="24"/>
          <w:szCs w:val="24"/>
        </w:rPr>
      </w:pPr>
      <w:r>
        <w:rPr>
          <w:rFonts w:ascii="Times New Roman" w:hAnsi="Times New Roman"/>
        </w:rPr>
        <w:t>kamatni prihodi po financijskim obvezama s negativnom efektivnom kamatnom stopom.</w:t>
      </w:r>
    </w:p>
    <w:p w:rsidR="009E6057" w:rsidRDefault="00A834F1">
      <w:pPr>
        <w:pStyle w:val="Baseparagraphnumbered"/>
        <w:tabs>
          <w:tab w:val="left" w:pos="851"/>
        </w:tabs>
        <w:ind w:left="709"/>
      </w:pPr>
      <w:r>
        <w:t>Kamatni rashodi raščlanjuju se u skladu sa sljedećim:</w:t>
      </w:r>
    </w:p>
    <w:p w:rsidR="009E6057" w:rsidRDefault="00A834F1">
      <w:pPr>
        <w:numPr>
          <w:ilvl w:val="0"/>
          <w:numId w:val="68"/>
        </w:numPr>
        <w:ind w:left="1134" w:hanging="425"/>
        <w:jc w:val="both"/>
        <w:rPr>
          <w:rFonts w:ascii="Times New Roman" w:hAnsi="Times New Roman"/>
          <w:sz w:val="24"/>
          <w:szCs w:val="24"/>
        </w:rPr>
      </w:pPr>
      <w:r>
        <w:rPr>
          <w:rFonts w:ascii="Times New Roman" w:hAnsi="Times New Roman"/>
        </w:rPr>
        <w:t>kamatni rashodi po financijskim i ostalim obvezama;</w:t>
      </w:r>
    </w:p>
    <w:p w:rsidR="009E6057" w:rsidRDefault="00A834F1">
      <w:pPr>
        <w:numPr>
          <w:ilvl w:val="0"/>
          <w:numId w:val="68"/>
        </w:numPr>
        <w:ind w:left="1134" w:hanging="425"/>
        <w:jc w:val="both"/>
        <w:rPr>
          <w:rFonts w:ascii="Times New Roman" w:hAnsi="Times New Roman"/>
          <w:sz w:val="24"/>
          <w:szCs w:val="24"/>
        </w:rPr>
      </w:pPr>
      <w:r>
        <w:rPr>
          <w:rFonts w:ascii="Times New Roman" w:hAnsi="Times New Roman"/>
        </w:rPr>
        <w:t>kamatni rashodi po financijskoj imovini s negativnom efektivnom kamatnom stopom.</w:t>
      </w:r>
    </w:p>
    <w:p w:rsidR="009E6057" w:rsidRDefault="00A834F1">
      <w:pPr>
        <w:pStyle w:val="Baseparagraphnumbered"/>
        <w:tabs>
          <w:tab w:val="left" w:pos="851"/>
        </w:tabs>
        <w:ind w:left="709" w:hanging="283"/>
      </w:pPr>
      <w:r>
        <w:t xml:space="preserve">Kamatni prihodi po financijskoj imovini i financijskim obvezama s negativnom efektivnom kamatnom stopom uključuju kamatne prihode po izvedenicama koje se drže radi trgovanja, dužničkim vrijednosnim papirima, kreditima i predujmovima te depozitima, izdanim dužničkim vrijednosnim papirima i ostalim financijskim obvezama s negativnom efektivnom kamatnom stopom. </w:t>
      </w:r>
    </w:p>
    <w:p w:rsidR="009E6057" w:rsidRDefault="00A834F1">
      <w:pPr>
        <w:pStyle w:val="Baseparagraphnumbered"/>
        <w:tabs>
          <w:tab w:val="left" w:pos="851"/>
        </w:tabs>
        <w:ind w:left="709"/>
      </w:pPr>
      <w:r>
        <w:t xml:space="preserve">Kamatni rashodi po financijskim obvezama i financijskoj imovini s negativnom efektivnom kamatnom stopom uključuju kamatne rashode po izvedenicama koje se drže radi trgovanja, depozitima, izdanim dužničkim vrijednosnim papirima i ostalim financijskim obvezama te dužničkim vrijednosnim papirima, kreditima i predujmovima s negativnom efektivnom kamatnom stopom. </w:t>
      </w:r>
    </w:p>
    <w:p w:rsidR="009E6057" w:rsidRDefault="00A834F1">
      <w:pPr>
        <w:pStyle w:val="Baseparagraphnumbered"/>
        <w:tabs>
          <w:tab w:val="left" w:pos="851"/>
        </w:tabs>
        <w:ind w:left="709"/>
      </w:pPr>
      <w:r>
        <w:t xml:space="preserve">Za potrebe obrasca 16.1. kratke pozicije razmatraju se u okviru ostalih financijskih obveza. U obzir se uzimaju svi instrumenti u raznim portfeljima, </w:t>
      </w:r>
      <w:r>
        <w:lastRenderedPageBreak/>
        <w:t xml:space="preserve">osim instrumenata navedenih pod stavkama „Izvedenice – računovodstvo zaštite” koji se ne upotrebljavaju za zaštitu od kamatnog rizika. </w:t>
      </w:r>
    </w:p>
    <w:p w:rsidR="009E6057" w:rsidRDefault="00A834F1">
      <w:pPr>
        <w:pStyle w:val="Baseparagraphnumbered"/>
        <w:tabs>
          <w:tab w:val="left" w:pos="851"/>
        </w:tabs>
        <w:ind w:left="709"/>
      </w:pPr>
      <w:r>
        <w:t xml:space="preserve">Stavka „Izvedenice – računovodstvo zaštite” uključuje kamatne prihode i rashode po instrumentima zaštite ako se u zaštićenim stavkama generira kamata.  </w:t>
      </w:r>
    </w:p>
    <w:p w:rsidR="009E6057" w:rsidRDefault="00A834F1">
      <w:pPr>
        <w:pStyle w:val="Baseparagraphnumbered"/>
        <w:tabs>
          <w:tab w:val="left" w:pos="851"/>
        </w:tabs>
        <w:ind w:left="709"/>
      </w:pPr>
      <w:r>
        <w:t>Ako se primjenjuje čista cijena, kamate na izvedenice koje se drže radi trgovanja uključuju iznose povezane s izvedenicama koje se drže radi trgovanja koje su kvalificirane kao „ekonomske zaštite” uključene kao kamatni prihodi ili rashodi radi korekcije prihoda i rashoda zaštićenih financijskih instrumenata s ekonomskog, ali ne i računovodstvenog stajališta. U tom slučaju kamatni prihodi po izvedenicama klasificiranima kao ekonomske zaštite iskazuju se zasebno pod stavkom kamatni prihodi od izvedenica kojima se trguje. Vremenski kategorizirane naknade i preostala plaćanja povezana s kreditnim izvedenicama koje se mjere po fer vrijednosti i koriste za upravljanje kreditnim rizikom cijelog ili dijela financijskog instrumenta određenog po fer vrijednosti u tom se trenutku iskazuju i pod stavkom kamate na izvedenice kojima se trguje.</w:t>
      </w:r>
    </w:p>
    <w:p w:rsidR="009E6057" w:rsidRDefault="00A834F1">
      <w:pPr>
        <w:pStyle w:val="Baseparagraphnumbered"/>
        <w:tabs>
          <w:tab w:val="left" w:pos="851"/>
        </w:tabs>
        <w:ind w:left="709"/>
      </w:pPr>
      <w:r>
        <w:t>Na temelju MSFI-ja „od čega: kamatni prihodi po financijskoj imovini kojoj je umanjena vrijednost” znači kamatni prihodi po financijskoj imovini kojoj je umanjena vrijednost za kreditne gubitke, uključujući kupljenu ili iniciranu financijsku imovinu kojoj je umanjena vrijednost za kreditne gubitke. U skladu s nacionalnim općeprihvaćenim računovodstvenim načelima na temelju BAD-a, to uključuje kamatne prihode po imovini kojoj je umanjena vrijednost na temelju specifičnog ispravka vrijednosti za kreditni rizik.</w:t>
      </w:r>
    </w:p>
    <w:p w:rsidR="009E6057" w:rsidRDefault="00A54B83">
      <w:pPr>
        <w:pStyle w:val="Baseparagraphnumbered"/>
        <w:numPr>
          <w:ilvl w:val="0"/>
          <w:numId w:val="0"/>
        </w:numPr>
        <w:ind w:left="782" w:hanging="357"/>
      </w:pPr>
      <w:r>
        <w:t>194.i.</w:t>
      </w:r>
      <w:r>
        <w:tab/>
        <w:t>„Od čega: potrošački krediti” i „od čega: stambeni krediti” odražava prihode i rashode za kredite i predujmove kako su opisani u točki 88. ovog dijela.</w:t>
      </w:r>
    </w:p>
    <w:p w:rsidR="009E6057" w:rsidRDefault="00A54B83">
      <w:pPr>
        <w:pStyle w:val="Baseparagraphnumbered"/>
        <w:numPr>
          <w:ilvl w:val="0"/>
          <w:numId w:val="0"/>
        </w:numPr>
        <w:ind w:left="782" w:hanging="357"/>
      </w:pPr>
      <w:r>
        <w:t>194.ii.</w:t>
      </w:r>
      <w:r>
        <w:tab/>
        <w:t>„Od čega: kamatni prihodi od najmova” znači kamatni prihodi najmodavca od potraživanja po najmu (financijski najmovi) i kamatni rashodi najmoprimca za obveze po istom najmu.</w:t>
      </w:r>
    </w:p>
    <w:p w:rsidR="009E6057" w:rsidRDefault="00A834F1">
      <w:pPr>
        <w:pStyle w:val="sub-subtitlenumbered"/>
        <w:jc w:val="both"/>
      </w:pPr>
      <w:bookmarkStart w:id="47" w:name="_Toc30667501"/>
      <w:r>
        <w:t>Dobici ili gubici po prestanku priznavanja financijske imovine i financijskih obveza koji nisu mjereni po fer vrijednosti kroz dobit ili gubitak prema instrumentu (16.2.)</w:t>
      </w:r>
      <w:bookmarkEnd w:id="47"/>
    </w:p>
    <w:p w:rsidR="009E6057" w:rsidRDefault="00A834F1">
      <w:pPr>
        <w:pStyle w:val="Baseparagraphnumbered"/>
        <w:tabs>
          <w:tab w:val="left" w:pos="851"/>
        </w:tabs>
        <w:ind w:left="709"/>
      </w:pPr>
      <w:r>
        <w:t>Dobici i gubici po prestanku priznavanja financijske imovine i financijskih obveza koji nisu mjereni po fer vrijednosti kroz dobit ili gubitak raščlanjuju se prema vrsti financijskog instrumenta i prema računovodstvenom portfelju. Za svaku se stavku iskazuje neto realizirani dobitak ili gubitak od transakcije koja se prestala priznavati. Neto iznos predstavlja razliku između realiziranih dobitaka i realiziranih gubitaka.</w:t>
      </w:r>
    </w:p>
    <w:p w:rsidR="009E6057" w:rsidRDefault="00A834F1">
      <w:pPr>
        <w:pStyle w:val="Baseparagraphnumbered"/>
        <w:tabs>
          <w:tab w:val="left" w:pos="851"/>
        </w:tabs>
        <w:ind w:left="709"/>
      </w:pPr>
      <w:r>
        <w:t xml:space="preserve">Na temelju MSFI-ja obrazac 16.2 primjenjuje se na financijsku imovinu i obveze po amortiziranom trošku i dužničke instrumente mjerene po fer vrijednosti kroz ostalu sveobuhvatnu dobit. U skladu s nacionalnim općeprihvaćenim računovodstvenim načelima na temelju BAD-a, obrazac 16.2 primjenjuje se na financijsku imovinu koja se mjeri metodom troška, po fer vrijednosti kroz kapital, i u skladu s drugim metodama mjerenja, primjerice po </w:t>
      </w:r>
      <w:r>
        <w:lastRenderedPageBreak/>
        <w:t>trošku ili tržišnoj vrijednosti, ovisno o tome koji je iznos niži. Dobitci i gubitci po financijskim instrumentima koji su, na temelju mjerodavnih nacionalnih općeprihvaćenih računovodstvenih načela na temelju BAD-a, klasificirani kao instrumenti za trgovanje ne iskazuju se u ovom obrascu neovisno o pravilima o vrednovanju koja se primjenjuju na te instrumente.</w:t>
      </w:r>
    </w:p>
    <w:p w:rsidR="009E6057" w:rsidRDefault="00A834F1">
      <w:pPr>
        <w:pStyle w:val="sub-subtitlenumbered"/>
      </w:pPr>
      <w:bookmarkStart w:id="48" w:name="_Toc30667502"/>
      <w:r>
        <w:t>Dobici i gubici po financijskoj imovini i financijskim obvezama koje se drže radi trgovanja, financijskoj imovini kojom se trguje i financijskim obvezama kojima se trguje prema instrumentu (16.3.)</w:t>
      </w:r>
      <w:bookmarkEnd w:id="48"/>
    </w:p>
    <w:p w:rsidR="009E6057" w:rsidRDefault="00A834F1">
      <w:pPr>
        <w:pStyle w:val="Baseparagraphnumbered"/>
        <w:tabs>
          <w:tab w:val="left" w:pos="851"/>
        </w:tabs>
        <w:ind w:left="709"/>
      </w:pPr>
      <w:r>
        <w:t>Dobici i gubici po financijskoj imovini i financijskim obvezama koji se drže radi trgovanja raščlanjuju se prema vrsti instrumenta; svaka stavka raščlambe jest neto realizirani i nerealizirani iznos (dobici umanjeni za gubitke) financijskog instrumenta.</w:t>
      </w:r>
    </w:p>
    <w:p w:rsidR="009E6057" w:rsidRDefault="00A834F1">
      <w:pPr>
        <w:pStyle w:val="Baseparagraphnumbered"/>
      </w:pPr>
      <w:r>
        <w:t>Dobici i gubici od trgovanja valutama na promptnom tržištu, isključujući razmjene novčanica ili kovanica u stranoj valuti, uključuju se kao dobici i gubici od trgovanja. Dobici i gubici od trgovanja plemenitim metalima ili od prestanka priznavanja ili ponovnog mjerenja ulaganja u plemenite metale ne uključuju se u dobitke i gubitke od trgovanja, već u stavku „Ostali prihodi iz poslovanja” ili „Ostali rashodi iz poslovanja” u skladu s točkom 316. ovog dijela.</w:t>
      </w:r>
    </w:p>
    <w:p w:rsidR="009E6057" w:rsidRDefault="00A834F1">
      <w:pPr>
        <w:pStyle w:val="Baseparagraphnumbered"/>
      </w:pPr>
      <w:r>
        <w:t>Stavka „od čega: ekonomske zaštite s primjenom opcije fer vrijednosti” uključuje samo dobitke i gubitke po kreditnim izvedenicama mjerenima po fer vrijednosti kroz dobit ili gubitak koje se koriste za upravljanje kreditnim rizikom cijelog ili dijela financijskog instrumenta određenog po fer vrijednosti kroz dobit ili gubitak u tom trenutku u skladu s MSFI-jem 9.6.7. Dobici ili gubici koji nastaju zbog reklasifikacije financijske imovine iz računovodstvenog portfelja koji se vrednuje po amortiziranom trošku u računovodstveni portfelj koji se vrednuje po fer vrijednosti kroz dobit ili gubitak ili u računovodstveni portfelj koji se drži radi trgovanja [IFRS 9.5.6.2] iskazuju se u stavci „od čega: dobici ili gubici koji nastaju zbog reklasifikacije imovine po amortiziranom trošku”.</w:t>
      </w:r>
    </w:p>
    <w:p w:rsidR="009E6057" w:rsidRDefault="00A834F1">
      <w:pPr>
        <w:pStyle w:val="sub-subtitlenumbered"/>
      </w:pPr>
      <w:bookmarkStart w:id="49" w:name="_Toc30667503"/>
      <w:r>
        <w:t>Dobici i gubici po financijskoj imovini i financijskim obvezama koje se drže radi trgovanja, financijskoj imovini kojom se trguje i financijskim obvezama kojima se trguje prema riziku (16.4.)</w:t>
      </w:r>
      <w:bookmarkEnd w:id="49"/>
    </w:p>
    <w:p w:rsidR="009E6057" w:rsidRDefault="00A834F1">
      <w:pPr>
        <w:pStyle w:val="Baseparagraphnumbered"/>
        <w:tabs>
          <w:tab w:val="left" w:pos="851"/>
        </w:tabs>
        <w:ind w:left="709"/>
      </w:pPr>
      <w:r>
        <w:t>Dobici i gubici po financijskoj imovini i financijskim obvezama koje se drže radi trgovanja raščlanjuju se i prema vrsti rizika. Svaka stavka raščlambe jest neto realizirani i nerealizirani iznos (dobici umanjeni za gubitke) odnosnog rizika (kamate, vlasnički instrumenti, razmjena valuta, kredit, roba i ostalo) povezanog s izloženošću, uključujući povezane izvedenice. Dobici i gubici po tečajnim razlikama navedeni su pod stavkom pod kojom je naveden ostatak dobitaka i gubitaka po konvertiranom instrumentu. Dobici i gubici po financijskoj imovini i financijskim obvezama koje nisu izvedenice navode se u kategorijama rizika kako slijedi:</w:t>
      </w:r>
    </w:p>
    <w:p w:rsidR="009E6057" w:rsidRDefault="00A834F1">
      <w:pPr>
        <w:numPr>
          <w:ilvl w:val="0"/>
          <w:numId w:val="67"/>
        </w:numPr>
        <w:ind w:left="1134" w:hanging="425"/>
        <w:jc w:val="both"/>
        <w:rPr>
          <w:rFonts w:ascii="Times New Roman" w:hAnsi="Times New Roman"/>
          <w:sz w:val="24"/>
          <w:szCs w:val="24"/>
        </w:rPr>
      </w:pPr>
      <w:r>
        <w:rPr>
          <w:rFonts w:ascii="Times New Roman" w:hAnsi="Times New Roman"/>
        </w:rPr>
        <w:t>kamatna stopa: uključujući trgovanje kreditima i predujmovima, depozitima i dužničkim vrijednosnim papirima (koji se drže ili izdaju);</w:t>
      </w:r>
    </w:p>
    <w:p w:rsidR="009E6057" w:rsidRDefault="00A834F1">
      <w:pPr>
        <w:numPr>
          <w:ilvl w:val="0"/>
          <w:numId w:val="67"/>
        </w:numPr>
        <w:ind w:left="1134" w:hanging="425"/>
        <w:jc w:val="both"/>
        <w:rPr>
          <w:rFonts w:ascii="Times New Roman" w:hAnsi="Times New Roman"/>
          <w:sz w:val="24"/>
          <w:szCs w:val="24"/>
        </w:rPr>
      </w:pPr>
      <w:r>
        <w:rPr>
          <w:rFonts w:ascii="Times New Roman" w:hAnsi="Times New Roman"/>
        </w:rPr>
        <w:lastRenderedPageBreak/>
        <w:t>kapital: uključujući trgovanje dionicama, kvotama UCITS-a i ostalim vlasničkim instrumentima;</w:t>
      </w:r>
    </w:p>
    <w:p w:rsidR="009E6057" w:rsidRDefault="00A834F1">
      <w:pPr>
        <w:numPr>
          <w:ilvl w:val="0"/>
          <w:numId w:val="67"/>
        </w:numPr>
        <w:ind w:left="1134" w:hanging="425"/>
        <w:jc w:val="both"/>
        <w:rPr>
          <w:rFonts w:ascii="Times New Roman" w:hAnsi="Times New Roman"/>
          <w:sz w:val="24"/>
          <w:szCs w:val="24"/>
        </w:rPr>
      </w:pPr>
      <w:r>
        <w:rPr>
          <w:rFonts w:ascii="Times New Roman" w:hAnsi="Times New Roman"/>
        </w:rPr>
        <w:t>trgovanje stranim valutama: uključujući ekskluzivno trgovanje na stranim burzama;</w:t>
      </w:r>
    </w:p>
    <w:p w:rsidR="009E6057" w:rsidRDefault="00A834F1">
      <w:pPr>
        <w:numPr>
          <w:ilvl w:val="0"/>
          <w:numId w:val="67"/>
        </w:numPr>
        <w:ind w:left="1134" w:hanging="425"/>
        <w:jc w:val="both"/>
        <w:rPr>
          <w:rFonts w:ascii="Times New Roman" w:hAnsi="Times New Roman"/>
          <w:sz w:val="24"/>
          <w:szCs w:val="24"/>
        </w:rPr>
      </w:pPr>
      <w:r>
        <w:rPr>
          <w:rFonts w:ascii="Times New Roman" w:hAnsi="Times New Roman"/>
        </w:rPr>
        <w:t>instrumenti kreditnog rizika: uključujući trgovanje kreditnim zapisima;</w:t>
      </w:r>
    </w:p>
    <w:p w:rsidR="009E6057" w:rsidRDefault="00A834F1">
      <w:pPr>
        <w:numPr>
          <w:ilvl w:val="0"/>
          <w:numId w:val="67"/>
        </w:numPr>
        <w:ind w:left="1134" w:hanging="425"/>
        <w:jc w:val="both"/>
        <w:rPr>
          <w:rFonts w:ascii="Times New Roman" w:hAnsi="Times New Roman"/>
          <w:sz w:val="24"/>
          <w:szCs w:val="24"/>
        </w:rPr>
      </w:pPr>
      <w:r>
        <w:rPr>
          <w:rFonts w:ascii="Times New Roman" w:hAnsi="Times New Roman"/>
        </w:rPr>
        <w:t>roba: ovom su stavkom obuhvaćene samo izvedenice zato što se dobici i gubici od robe kojom se namjerava trgovati iskazuje pod stavkom „Ostali prihodi iz poslovanja” ili „Ostali rashodi iz poslovanja” u skladu s točkom 316. ovog dijela;</w:t>
      </w:r>
    </w:p>
    <w:p w:rsidR="009E6057" w:rsidRDefault="00A834F1">
      <w:pPr>
        <w:numPr>
          <w:ilvl w:val="0"/>
          <w:numId w:val="67"/>
        </w:numPr>
        <w:ind w:left="1134" w:hanging="425"/>
        <w:jc w:val="both"/>
        <w:rPr>
          <w:rFonts w:ascii="Times New Roman" w:hAnsi="Times New Roman"/>
          <w:sz w:val="24"/>
          <w:szCs w:val="24"/>
        </w:rPr>
      </w:pPr>
      <w:r>
        <w:rPr>
          <w:rFonts w:ascii="Times New Roman" w:hAnsi="Times New Roman"/>
        </w:rPr>
        <w:t>ostalo: uključujući trgovanje financijskim instrumentima koji se ne mogu klasificirati u druge kategorije.</w:t>
      </w:r>
    </w:p>
    <w:p w:rsidR="009E6057" w:rsidRDefault="00A834F1">
      <w:pPr>
        <w:pStyle w:val="sub-subtitlenumbered"/>
        <w:jc w:val="both"/>
      </w:pPr>
      <w:bookmarkStart w:id="50" w:name="_Toc30667504"/>
      <w:r>
        <w:t>Dobici ili gubici po financijskoj imovini kojom se ne trguje koja se obvezno mjeri po fer vrijednosti kroz dobit ili gubitak prema instrumentu (16.4.1.)</w:t>
      </w:r>
      <w:bookmarkEnd w:id="50"/>
    </w:p>
    <w:p w:rsidR="009E6057" w:rsidRDefault="00A834F1">
      <w:pPr>
        <w:pStyle w:val="Baseparagraphnumbered"/>
        <w:tabs>
          <w:tab w:val="left" w:pos="851"/>
        </w:tabs>
        <w:ind w:left="709"/>
      </w:pPr>
      <w:r>
        <w:t>Dobici ili gubici po financijskoj imovini kojom se ne trguje koja se obvezno mjeri po fer vrijednosti kroz dobit ili gubitak raščlanjuju se prema vrsti instrumenta. Svaka stavka raščlambe jest neto realizirani i nerealizirani iznos (dobici umanjeni za gubitke) financijskog instrumenta.</w:t>
      </w:r>
    </w:p>
    <w:p w:rsidR="009E6057" w:rsidRDefault="00A834F1">
      <w:pPr>
        <w:pStyle w:val="Baseparagraphnumbered"/>
        <w:tabs>
          <w:tab w:val="left" w:pos="567"/>
        </w:tabs>
      </w:pPr>
      <w:r>
        <w:t>Dobici ili gubici koji nastaju zbog reklasifikacije financijske imovine iz računovodstvenog portfelja po amortiziranom trošku u računovodstveni portfelj financijske imovine kojom se ne trguje koja se obvezno mjeri po fer vrijednosti kroz dobit ili gubitak (IFRS 9.5.6.2) iskazuju se u stavci „Od čega: dobici ili gubici koji nastaju zbog reklasifikacije imovine po amortiziranom trošku”.</w:t>
      </w:r>
    </w:p>
    <w:p w:rsidR="009E6057" w:rsidRDefault="00A834F1">
      <w:pPr>
        <w:pStyle w:val="sub-subtitlenumbered"/>
        <w:jc w:val="both"/>
      </w:pPr>
      <w:bookmarkStart w:id="51" w:name="_Toc30667505"/>
      <w:r>
        <w:t>Dobici ili gubici po financijskoj imovini i financijskim obvezama po fer vrijednosti u dobiti ili gubitku prema instrumentu (16.5.)</w:t>
      </w:r>
      <w:bookmarkEnd w:id="51"/>
    </w:p>
    <w:p w:rsidR="009E6057" w:rsidRDefault="00A834F1">
      <w:pPr>
        <w:pStyle w:val="Baseparagraphnumbered"/>
        <w:tabs>
          <w:tab w:val="left" w:pos="851"/>
        </w:tabs>
        <w:ind w:left="709"/>
      </w:pPr>
      <w:r>
        <w:t>Dobici ili gubici po financijskoj imovini i financijskim obvezama po fer vrijednosti kroz dobit ili gubitak raščlanjuju se prema vrsti instrumenta. Institucije iskazuju neto realizirane i nerealizirane dobitke ili gubitke i iznos promjene fer vrijednosti financijskih obveza tijekom razdoblja zbog promjena kreditnog rizika (vlastiti kreditni rizik dužnika ili izdavatelja) ako vlastiti kreditni rizik nije iskazan kroz ostalu sveobuhvatnu dobit.</w:t>
      </w:r>
    </w:p>
    <w:p w:rsidR="009E6057" w:rsidRDefault="00A834F1">
      <w:pPr>
        <w:pStyle w:val="Baseparagraphnumbered"/>
      </w:pPr>
      <w:r>
        <w:t>Ako se kreditna izvedenica koja se mjeri po fer vrijednosti koristi za upravljanje kreditnim rizikom cijelog ili dijela financijskog instrumenta određenog po fer vrijednosti kroz dobit ili gubitak u tom trenutku, dobici ili gubici po financijskom instrumentu pri tom određivanju iskazuju se u stavci „Od čega: dobici ili (–) gubici pri određivanju financijske imovine i obveza po fer vrijednosti kroz dobit ili gubitak za potrebe zaštite, neto”. Naknadni dobici ili gubici u fer vrijednosti po tim financijskim instrumentima iskazuju se u stavci „Od čega: dobici ili (–) gubici nakon određivanja financijske imovine i obveza po fer vrijednosti kroz dobit ili gubitak za potrebe zaštite, neto”.</w:t>
      </w:r>
    </w:p>
    <w:p w:rsidR="009E6057" w:rsidRDefault="00A834F1">
      <w:pPr>
        <w:pStyle w:val="sub-subtitlenumbered"/>
        <w:jc w:val="both"/>
      </w:pPr>
      <w:bookmarkStart w:id="52" w:name="_Toc30667506"/>
      <w:r>
        <w:t>Dobici ili gubici od računovodstva zaštite (16.6.)</w:t>
      </w:r>
      <w:bookmarkEnd w:id="52"/>
    </w:p>
    <w:p w:rsidR="009E6057" w:rsidRDefault="00A834F1">
      <w:pPr>
        <w:pStyle w:val="Baseparagraphnumbered"/>
      </w:pPr>
      <w:r>
        <w:lastRenderedPageBreak/>
        <w:t xml:space="preserve">Svi dobici i gubici od računovodstva zaštite, osim kamatnih prihoda ili rashoda ako se primjenjuje čista cijena, raščlanjuju se prema vrsti računovodstva zaštite: zaštita fer vrijednosti, zaštita novčanog toka i zaštita neto ulaganja u inozemno poslovanje. Dobici i gubici povezani sa zaštitom fer vrijednosti raščlanjuju se prema instrumentu zaštite i zaštićenoj stavci. Dobici i gubici po instrumentima zaštite ne uključuju dobitke i gubitke koji se odnose na elemente instrumenata zaštite koji nisu određeni kao instrumenti zaštite u skladu s MSFI-jem 9.6.2.4. Ti instrumenti zaštite koji nisu određeni iskazuju se u skladu s točkom 60. ovog dijela. Dobici i gubici od računovodstva zaštite uključuju i dobitke i gubitke po zaštitama skupine stavki s rizičnim pozicijama koje se prebijaju (zaštite neto pozicije). </w:t>
      </w:r>
    </w:p>
    <w:p w:rsidR="009E6057" w:rsidRDefault="00A834F1">
      <w:pPr>
        <w:pStyle w:val="Baseparagraphnumbered"/>
      </w:pPr>
      <w:r>
        <w:t>„Promjene fer vrijednosti zaštićenih stavki koje se mogu pripisati zaštićenom riziku” uključuju dobitke i gubitke po zaštićenim stavkama ako su stavke dužnički instrumenti koji se mjere po fer vrijednosti kroz ostalu sveobuhvatnu dobit u skladu s MSFI-jem 9.4.1.2A (MSFI 9.6.5.8).</w:t>
      </w:r>
    </w:p>
    <w:p w:rsidR="009E6057" w:rsidRDefault="00A834F1">
      <w:pPr>
        <w:pStyle w:val="Baseparagraphnumbered"/>
      </w:pPr>
      <w:r>
        <w:t>U skladu s nacionalnim općeprihvaćenim računovodstvenim načelima na temelju BAD-a, raščlamba prema vrsti zaštite kako je predviđeno ovim obrascem iskazuje se u mjeri u kojoj je usklađena s primjenjivim računovodstvenim zahtjevima.</w:t>
      </w:r>
    </w:p>
    <w:p w:rsidR="009E6057" w:rsidRDefault="00A834F1">
      <w:pPr>
        <w:pStyle w:val="sub-subtitlenumbered"/>
        <w:jc w:val="both"/>
      </w:pPr>
      <w:bookmarkStart w:id="53" w:name="_Toc30667507"/>
      <w:r>
        <w:t>Umanjenje vrijednosti nefinancijske imovine (16.7.)</w:t>
      </w:r>
      <w:bookmarkEnd w:id="53"/>
    </w:p>
    <w:p w:rsidR="009E6057" w:rsidRDefault="00A834F1">
      <w:pPr>
        <w:pStyle w:val="Baseparagraphnumbered"/>
        <w:tabs>
          <w:tab w:val="left" w:pos="851"/>
        </w:tabs>
        <w:ind w:left="709"/>
      </w:pPr>
      <w:r>
        <w:t>„Dodavanja” se iskazuju ako je za računovodstveni portfelj ili glavnu kategoriju imovine priznavanje neto rashoda posljedica procjene umanjenja vrijednosti tijekom razdoblja. „Ukidanja” se iskazuju ako je za računovodstveni portfelj ili glavnu kategoriju imovine priznavanje neto prihoda posljedica procjene umanjenja vrijednosti tijekom razdoblja.</w:t>
      </w:r>
    </w:p>
    <w:p w:rsidR="009E6057" w:rsidRDefault="0062156F">
      <w:pPr>
        <w:pStyle w:val="sub-subtitlenumbered"/>
        <w:jc w:val="both"/>
      </w:pPr>
      <w:bookmarkStart w:id="54" w:name="_Toc30667508"/>
      <w:r>
        <w:t>Drugi administrativni rashodi (16.8.)</w:t>
      </w:r>
      <w:bookmarkEnd w:id="54"/>
    </w:p>
    <w:p w:rsidR="009E6057" w:rsidRDefault="0062156F">
      <w:pPr>
        <w:pStyle w:val="Baseparagraphnumbered"/>
        <w:numPr>
          <w:ilvl w:val="0"/>
          <w:numId w:val="0"/>
        </w:numPr>
        <w:ind w:left="782" w:hanging="357"/>
      </w:pPr>
      <w:r>
        <w:t>208.i.</w:t>
      </w:r>
      <w:r>
        <w:tab/>
        <w:t>„Troškovi informacijske tehnologije” jesu rashodi za poslovne procese potpomognute informacijskim tehnologijama, aplikacijske usluge i infrastrukturna rješenja za poslovne rezultate, uključujući troškove izrade i održavanja IT sustava, ali isključujući naknade IT stručnjacima zaposlenim u instituciji koje se iskazuju pod stavkom troškovi zaposlenika.</w:t>
      </w:r>
    </w:p>
    <w:p w:rsidR="009E6057" w:rsidRDefault="0062156F">
      <w:pPr>
        <w:pStyle w:val="Baseparagraphnumbered"/>
        <w:numPr>
          <w:ilvl w:val="0"/>
          <w:numId w:val="0"/>
        </w:numPr>
        <w:ind w:left="782" w:hanging="357"/>
      </w:pPr>
      <w:r>
        <w:t>208.ii.</w:t>
      </w:r>
      <w:r>
        <w:tab/>
        <w:t>Pod troškovima informacijske tehnologije „Eksternalizacija IT-a” znači rashode za vanjske pružatelje usluga. Ta stavka ne uključuje troškove koji se odnose isključivo na i. usluge zaposlenih (osoblja institucije) za koje institucija samo privremeno angažira osoblje i zadržava punu kontrolu nad isporučenim uslugama ni isključivo na ii. standardizirane operativne ugovore o održavanju hardvera/softvera samo na kupljenoj imovini.</w:t>
      </w:r>
    </w:p>
    <w:p w:rsidR="009E6057" w:rsidRDefault="0062156F">
      <w:pPr>
        <w:pStyle w:val="Baseparagraphnumbered"/>
        <w:numPr>
          <w:ilvl w:val="0"/>
          <w:numId w:val="0"/>
        </w:numPr>
        <w:ind w:left="782" w:hanging="357"/>
      </w:pPr>
      <w:r>
        <w:t>208.iii.</w:t>
      </w:r>
      <w:r>
        <w:tab/>
        <w:t>Stavka „Porezi i davanja (ostalo)” uključuje poreze i davanja koji nisu i. porezi koji se odnose na dobit ili gubitak i ii. porezi i davanja u vezi s poslovanjem koje se neće nastaviti. Ta stavka uključuje poreze i davanja kao što su porezi na robu i usluge te carine koje plaća institucija.</w:t>
      </w:r>
    </w:p>
    <w:p w:rsidR="009E6057" w:rsidRDefault="0062156F">
      <w:pPr>
        <w:pStyle w:val="Baseparagraphnumbered"/>
        <w:numPr>
          <w:ilvl w:val="0"/>
          <w:numId w:val="0"/>
        </w:numPr>
        <w:ind w:left="782" w:hanging="357"/>
      </w:pPr>
      <w:r>
        <w:lastRenderedPageBreak/>
        <w:t>208.iv.</w:t>
      </w:r>
      <w:r>
        <w:tab/>
        <w:t>Stavka „Savjetovanje i profesionalne usluge” znači rashodi za stručno ili strateško savjetovanje.</w:t>
      </w:r>
    </w:p>
    <w:p w:rsidR="009E6057" w:rsidRDefault="0062156F">
      <w:pPr>
        <w:pStyle w:val="Baseparagraphnumbered"/>
        <w:numPr>
          <w:ilvl w:val="0"/>
          <w:numId w:val="0"/>
        </w:numPr>
        <w:ind w:left="782" w:hanging="357"/>
      </w:pPr>
      <w:r>
        <w:t>208.v.</w:t>
      </w:r>
      <w:r>
        <w:tab/>
        <w:t>Stavka „Oglašavanje, marketing i komunikacije” uključuje rashode za aktivnosti marketinških komunikacija, kao što su oglašavanje, izravni ili internetski marketing, te događaje.</w:t>
      </w:r>
    </w:p>
    <w:p w:rsidR="009E6057" w:rsidRDefault="0062156F">
      <w:pPr>
        <w:pStyle w:val="Baseparagraphnumbered"/>
        <w:numPr>
          <w:ilvl w:val="0"/>
          <w:numId w:val="0"/>
        </w:numPr>
        <w:ind w:left="782" w:hanging="357"/>
      </w:pPr>
      <w:r>
        <w:t>208.vi.</w:t>
      </w:r>
      <w:r>
        <w:tab/>
        <w:t>„Troškovi kreditnog rizika” znači administrativni rashodi u kontekstu kreditnih događaja, kao što su rashodi nastali u vezi s dobivanjem kolaterala u posjed ili sa sudskim postupcima.</w:t>
      </w:r>
    </w:p>
    <w:p w:rsidR="009E6057" w:rsidRDefault="0062156F">
      <w:pPr>
        <w:pStyle w:val="Baseparagraphnumbered"/>
        <w:numPr>
          <w:ilvl w:val="0"/>
          <w:numId w:val="0"/>
        </w:numPr>
        <w:ind w:left="782" w:hanging="357"/>
      </w:pPr>
      <w:r>
        <w:t>208.vii.</w:t>
      </w:r>
      <w:r>
        <w:tab/>
        <w:t>„Troškovi sporova koji se ne pokrivaju iz rezervacija” znači rashodi koji se ne odnose na kreditni rizik i nisu pokriveni iz odgovarajuće rezervacije.</w:t>
      </w:r>
    </w:p>
    <w:p w:rsidR="009E6057" w:rsidRDefault="0062156F">
      <w:pPr>
        <w:pStyle w:val="Baseparagraphnumbered"/>
        <w:numPr>
          <w:ilvl w:val="0"/>
          <w:numId w:val="0"/>
        </w:numPr>
        <w:ind w:left="782" w:hanging="357"/>
      </w:pPr>
      <w:r>
        <w:t>208.viii.</w:t>
      </w:r>
      <w:r>
        <w:tab/>
        <w:t xml:space="preserve">„Troškovi nekretnina” znači troškovi popravka i održavanja kojima se ne poboljšava stanje ili produžava korisni vijek upotrebe nekretnine, kao i komunalni troškovi (voda, električna energija i grijanje). </w:t>
      </w:r>
    </w:p>
    <w:p w:rsidR="009E6057" w:rsidRDefault="0062156F">
      <w:pPr>
        <w:pStyle w:val="Baseparagraphnumbered"/>
        <w:numPr>
          <w:ilvl w:val="0"/>
          <w:numId w:val="0"/>
        </w:numPr>
        <w:ind w:left="782" w:hanging="357"/>
      </w:pPr>
      <w:r>
        <w:t>208.ix.</w:t>
      </w:r>
      <w:r>
        <w:tab/>
        <w:t>Na temelju MSFI-ja, „troškovi najma” obuhvaćaju troškove najmodavca nastale u vezi s kratkoročnim najmovima i najmovima imovine niske vrijednosti iz MSFI-ja 16.5. i 16.6. U skladu s nacionalnim općeprihvaćenim računovodstvenim načelima, troškovi najma obuhvaćaju troškove najmoprimca ako računovodstveni standard propisuje da se plaćanja najma tretiraju kao troškovi.</w:t>
      </w:r>
    </w:p>
    <w:p w:rsidR="009E6057" w:rsidRDefault="0062156F">
      <w:pPr>
        <w:pStyle w:val="Baseparagraphnumbered"/>
        <w:numPr>
          <w:ilvl w:val="0"/>
          <w:numId w:val="0"/>
        </w:numPr>
        <w:ind w:left="782" w:hanging="357"/>
      </w:pPr>
      <w:r>
        <w:t>208.x.</w:t>
      </w:r>
      <w:r>
        <w:tab/>
        <w:t>„Drugi administrativni rashodi – ostalo” uključuje sve preostale komponente „drugih administrativnih rashoda”, kao što su administrativne i logističke usluge, poštarina i prijevoz dokumentacije, zaštitarske usluge, usluge brojanja i prijevoza novca. U ovoj se kategoriji ne izvješćuje o doprinosima u novcu sanacijskim odborima i sustavima osiguranja depozita jer se o njima izvješćuje u zasebnom retku obrasca 2.</w:t>
      </w:r>
    </w:p>
    <w:p w:rsidR="009E6057" w:rsidRDefault="00A834F1">
      <w:pPr>
        <w:pStyle w:val="subtitlenumbered"/>
        <w:numPr>
          <w:ilvl w:val="0"/>
          <w:numId w:val="17"/>
        </w:numPr>
        <w:jc w:val="both"/>
      </w:pPr>
      <w:bookmarkStart w:id="55" w:name="_Toc30667509"/>
      <w:r>
        <w:t>Usklađivanje između opsega računovodstvene konsolidacije i bonitetne (CRR) konsolidacije (17.)</w:t>
      </w:r>
      <w:bookmarkEnd w:id="55"/>
    </w:p>
    <w:p w:rsidR="009E6057" w:rsidRDefault="00A834F1">
      <w:pPr>
        <w:pStyle w:val="Baseparagraphnumbered"/>
        <w:tabs>
          <w:tab w:val="left" w:pos="851"/>
        </w:tabs>
        <w:ind w:left="709"/>
      </w:pPr>
      <w:r>
        <w:t>„Računovodstveni opseg konsolidacije” uključuje knjigovodstvenu vrijednost imovine, obveza i kapitala, kao i nominalne iznose izvanbilančnih izloženosti sastavljenih u okviru računovodstvenog opsega konsolidacije tj. uključujući konsolidaciju društava kćeri koja su društva za osiguranje i nefinancijska društva. Institucije izvješćuju o društvima kćerima, zajedničkim pothvatima i pridruženim društvima primjenom iste metode kao i u svojim financijskim izvještajima.</w:t>
      </w:r>
    </w:p>
    <w:p w:rsidR="009E6057" w:rsidRDefault="00A834F1">
      <w:pPr>
        <w:pStyle w:val="Baseparagraphnumbered"/>
        <w:tabs>
          <w:tab w:val="left" w:pos="851"/>
        </w:tabs>
        <w:ind w:left="709"/>
      </w:pPr>
      <w:r>
        <w:t xml:space="preserve">Stavka „Ulaganja u društva kćeri, zajedničke pothvate i pridružena društva” u ovom obrascu ne uključuje društva kćeri s obzirom na to da su u računovodstvenom opsegu konsolidacije sva društva kćeri u potpunosti konsolidirana. </w:t>
      </w:r>
    </w:p>
    <w:p w:rsidR="009E6057" w:rsidRDefault="00A834F1">
      <w:pPr>
        <w:pStyle w:val="Baseparagraphnumbered"/>
        <w:tabs>
          <w:tab w:val="left" w:pos="851"/>
        </w:tabs>
        <w:ind w:left="709"/>
      </w:pPr>
      <w:r>
        <w:t>„Imovina koja je predmet ugovora o reosiguranju i osiguranju” uključuje imovinu koja je predmet ustupljenog reosiguranja, kao i imovinu povezanu s izdanim ugovorima o osiguranju i reosiguranju, ako takva postoji.</w:t>
      </w:r>
    </w:p>
    <w:p w:rsidR="009E6057" w:rsidRDefault="00A834F1">
      <w:pPr>
        <w:pStyle w:val="Baseparagraphnumbered"/>
        <w:tabs>
          <w:tab w:val="left" w:pos="851"/>
        </w:tabs>
        <w:ind w:left="709"/>
      </w:pPr>
      <w:r>
        <w:lastRenderedPageBreak/>
        <w:t>„Obveze koje su predmet ugovora o osiguranju i reosiguranju” uključuju obveze na temelju izdanih ugovora o osiguranju i reosiguranju.</w:t>
      </w:r>
    </w:p>
    <w:p w:rsidR="009E6057" w:rsidRDefault="00A834F1">
      <w:pPr>
        <w:pStyle w:val="subtitlenumbered"/>
        <w:jc w:val="both"/>
      </w:pPr>
      <w:bookmarkStart w:id="56" w:name="_Toc30667510"/>
      <w:r>
        <w:t>Neprihodujuće izloženosti (18.)</w:t>
      </w:r>
      <w:bookmarkEnd w:id="56"/>
    </w:p>
    <w:p w:rsidR="009E6057" w:rsidRDefault="0062156F">
      <w:pPr>
        <w:pStyle w:val="sub-subtitlenumbered"/>
        <w:jc w:val="both"/>
      </w:pPr>
      <w:bookmarkStart w:id="57" w:name="_Toc30667511"/>
      <w:r>
        <w:t>Informacije o prihodujućim i neprihodujućim izloženostima (18.0.)</w:t>
      </w:r>
      <w:bookmarkEnd w:id="57"/>
    </w:p>
    <w:p w:rsidR="009E6057" w:rsidRDefault="00A834F1">
      <w:pPr>
        <w:pStyle w:val="Baseparagraphnumbered"/>
        <w:tabs>
          <w:tab w:val="left" w:pos="851"/>
        </w:tabs>
        <w:ind w:left="709"/>
      </w:pPr>
      <w:r>
        <w:t>Za potrebe obrasca 18. neprihodujuće izloženosti su izloženosti koje ispunjavaju bilo koji od sljedećih kriterija:</w:t>
      </w:r>
    </w:p>
    <w:p w:rsidR="009E6057"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značajne izloženosti koje su dospjele više od 90 dana; </w:t>
      </w:r>
    </w:p>
    <w:p w:rsidR="009E6057"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ocjenjuje se da nije vjerojatno da će dužnik u cijelosti otplatiti svoje kreditne obveze bez realizacije naplate iz kolaterala, neovisno o postojanju dospjelih iznosa ili broju dana od dospijeća. </w:t>
      </w:r>
    </w:p>
    <w:p w:rsidR="009E6057" w:rsidRDefault="00A834F1">
      <w:pPr>
        <w:pStyle w:val="Baseparagraphnumbered"/>
        <w:tabs>
          <w:tab w:val="left" w:pos="851"/>
        </w:tabs>
        <w:ind w:left="709"/>
      </w:pPr>
      <w:r>
        <w:t xml:space="preserve">Raspoređivanje u kategoriju neprihodujućih izloženosti primjenjuje se neovisno o klasifikaciji izloženosti kao izloženosti u statusu neispunjavanja obveza za regulatorne potrebe u skladu s člankom 178. CRR-a ili kao izloženosti s umanjenom vrijednošću za računovodstvene potrebe u skladu s primjenjivim računovodstvenim okvirom. </w:t>
      </w:r>
    </w:p>
    <w:p w:rsidR="009E6057" w:rsidRDefault="00A834F1">
      <w:pPr>
        <w:pStyle w:val="Baseparagraphnumbered"/>
        <w:tabs>
          <w:tab w:val="left" w:pos="851"/>
        </w:tabs>
        <w:ind w:left="709"/>
      </w:pPr>
      <w:r>
        <w:t xml:space="preserve">Izloženosti za koje se smatra da je nastupio status neispunjavanja obveza u skladu s člankom 178. CRR-a i izloženosti za koje je utvrđeno da im je vrijednost umanjena u skladu s primjenjivim računovodstvenim okvirom uvijek se smatraju neprihodujućim izloženostima. Na temelju MSFI-ja, za potrebe obrasca 18, izloženosti kojima je vrijednost umanjena jesu izloženosti za koje je utvrđeno da im je vrijednost umanjena za kreditne gubitke (faza 3), uključujući kupljenu ili iniciranu imovinu kojoj je vrijednost umanjena za kreditne gubitke iskazanu u ovoj fazi u skladu s točkom 77. ovog dijela. Izloženosti koje su uključene u faze umanjenja vrijednosti osim faze 3 smatraju se neprihodujućima ako ispunjavaju kriterije za to da bi se smatrale neprihodujućima. </w:t>
      </w:r>
    </w:p>
    <w:p w:rsidR="009E6057" w:rsidRDefault="00A834F1">
      <w:pPr>
        <w:pStyle w:val="Baseparagraphnumbered"/>
        <w:tabs>
          <w:tab w:val="left" w:pos="851"/>
        </w:tabs>
        <w:ind w:left="709"/>
      </w:pPr>
      <w:r>
        <w:t xml:space="preserve">Izloženosti se raspoređuju u kategorije u punom iznosu, ne uzimajući u obzir postojanje kolaterala. Značajnost se ocjenjuje u skladu s člankom 178. CRR-a. </w:t>
      </w:r>
    </w:p>
    <w:p w:rsidR="009E6057" w:rsidRDefault="00A834F1">
      <w:pPr>
        <w:pStyle w:val="Baseparagraphnumbered"/>
        <w:tabs>
          <w:tab w:val="left" w:pos="851"/>
        </w:tabs>
        <w:ind w:left="709"/>
      </w:pPr>
      <w:r>
        <w:t xml:space="preserve">Za potrebe obrasca 18. „izloženosti” uključuju sve dužničke instrumente (dužnički vrijednosni papiri te krediti i predujmovi, uključujući sredstva u središnjim bankama i ostale depozite po viđenju) i izvanbilančne izloženosti, osim onih koje se drže radi trgovanja. </w:t>
      </w:r>
    </w:p>
    <w:p w:rsidR="009E6057" w:rsidRDefault="00A834F1">
      <w:pPr>
        <w:pStyle w:val="Baseparagraphnumbered"/>
        <w:tabs>
          <w:tab w:val="left" w:pos="851"/>
        </w:tabs>
        <w:ind w:left="709"/>
      </w:pPr>
      <w:r>
        <w:t xml:space="preserve">Dužnički instrumenti uključuju se u sljedeće računovodstvene portfelje: (a) dužnički instrumenti po trošku ili amortiziranom trošku; (b) dužnički instrumenti po fer vrijednosti kroz ostalu sveobuhvatnu dobit ili kroz kapital koji podliježu umanjenju vrijednosti i (c) dužnički instrumenti po strogom LOCOM-u ili po fer vrijednosti kroz dobit ili gubitak ili kroz kapital koji ne podliježu umanjenju vrijednosti u skladu s kriterijima iz točke 233. ovog dijela. Svaka kategorija raščlanjuje se prema instrumentu i prema drugoj ugovornoj strani. </w:t>
      </w:r>
    </w:p>
    <w:p w:rsidR="009E6057" w:rsidRDefault="00A834F1">
      <w:pPr>
        <w:pStyle w:val="Baseparagraphnumbered"/>
        <w:tabs>
          <w:tab w:val="left" w:pos="851"/>
        </w:tabs>
        <w:ind w:left="709"/>
      </w:pPr>
      <w:r>
        <w:lastRenderedPageBreak/>
        <w:t xml:space="preserve">Na temelju MSFI-ja i na temelju mjerodavnih nacionalnih općeprihvaćenih računovodstvenih načela na temelju BAD-a, izvanbilančne izloženosti sastoje se od sljedećih opozivih i neopozivih stavki: </w:t>
      </w:r>
    </w:p>
    <w:p w:rsidR="009E6057" w:rsidRDefault="00A834F1">
      <w:pPr>
        <w:pStyle w:val="Text1"/>
        <w:numPr>
          <w:ilvl w:val="1"/>
          <w:numId w:val="39"/>
        </w:numPr>
        <w:ind w:left="1134" w:hanging="425"/>
      </w:pPr>
      <w:r>
        <w:t>preuzete obveze po kreditima;</w:t>
      </w:r>
    </w:p>
    <w:p w:rsidR="009E6057" w:rsidRDefault="00A834F1">
      <w:pPr>
        <w:pStyle w:val="Text1"/>
        <w:numPr>
          <w:ilvl w:val="1"/>
          <w:numId w:val="39"/>
        </w:numPr>
        <w:ind w:left="1134" w:hanging="425"/>
      </w:pPr>
      <w:r>
        <w:t>preuzeta financijska jamstva;</w:t>
      </w:r>
    </w:p>
    <w:p w:rsidR="009E6057" w:rsidRDefault="00A834F1">
      <w:pPr>
        <w:pStyle w:val="Text1"/>
        <w:numPr>
          <w:ilvl w:val="1"/>
          <w:numId w:val="39"/>
        </w:numPr>
        <w:ind w:left="1134" w:hanging="425"/>
      </w:pPr>
      <w:r>
        <w:t>ostale preuzete obveze.</w:t>
      </w:r>
    </w:p>
    <w:p w:rsidR="009E6057" w:rsidRDefault="00A834F1">
      <w:pPr>
        <w:pStyle w:val="Baseparagraphnumbered"/>
      </w:pPr>
      <w:r>
        <w:t xml:space="preserve">Dužnički instrumenti klasificirani kao namijenjeni za prodaju u skladu s MSFI-jem 5 iskazuju se zasebno. </w:t>
      </w:r>
    </w:p>
    <w:p w:rsidR="009E6057" w:rsidRDefault="00A834F1">
      <w:pPr>
        <w:pStyle w:val="Baseparagraphnumbered"/>
      </w:pPr>
      <w:r>
        <w:t>U obrascu 18. „bruto knjigovodstvena vrijednost” dužničkih instrumenata iskazuje se kako je definirano u točki 34. dijela 1. ovog Priloga. Iskazuje se nominalni iznos izvanbilančnih izloženosti kako je definirano u točki 118. ovog Priloga.</w:t>
      </w:r>
    </w:p>
    <w:p w:rsidR="009E6057" w:rsidRDefault="00A834F1">
      <w:pPr>
        <w:pStyle w:val="Baseparagraphnumbered"/>
        <w:ind w:hanging="426"/>
      </w:pPr>
      <w:r>
        <w:t xml:space="preserve">Za potrebe obrasca 18. izloženost je „dospjela” ako ispunjava kriterije iz točke 96. ovog dijela. </w:t>
      </w:r>
    </w:p>
    <w:p w:rsidR="009E6057" w:rsidRDefault="00A834F1">
      <w:pPr>
        <w:pStyle w:val="Baseparagraphnumbered"/>
        <w:tabs>
          <w:tab w:val="left" w:pos="851"/>
        </w:tabs>
        <w:ind w:left="709"/>
      </w:pPr>
      <w:r>
        <w:t xml:space="preserve"> Za potrebe obrasca 18. „dužnik” znači dužnik u smislu članka 178. CRR-a.</w:t>
      </w:r>
    </w:p>
    <w:p w:rsidR="009E6057" w:rsidRDefault="00A834F1">
      <w:pPr>
        <w:pStyle w:val="Baseparagraphnumbered"/>
        <w:tabs>
          <w:tab w:val="left" w:pos="851"/>
        </w:tabs>
        <w:ind w:left="709"/>
      </w:pPr>
      <w:r>
        <w:t xml:space="preserve"> Obveza se smatra neprihodujućom izloženošću u nominalnom iznosu ako bi u slučaju povlačenja ili drugog korištenja dovela do izloženosti kod kojih bi postojao rizik da ne budu u cijelosti otplaćene bez realizacije naplate iz kolaterala. </w:t>
      </w:r>
    </w:p>
    <w:p w:rsidR="009E6057" w:rsidRDefault="00A834F1">
      <w:pPr>
        <w:pStyle w:val="Baseparagraphnumbered"/>
        <w:tabs>
          <w:tab w:val="left" w:pos="851"/>
        </w:tabs>
        <w:ind w:left="709"/>
      </w:pPr>
      <w:r>
        <w:t xml:space="preserve"> Preuzeta financijska jamstva smatraju se neprihodujućim izloženostima u nominalnom iznosu ako postoji opasnost da bi primatelj jamstva mogao aktivirati financijsko jamstvo, osobito u slučaju kada odnosna izloženost koja je obuhvaćena jamstvom ispunjava kriterije za neprihodujuće izloženosti iz točke 213. Ako je primatelj jamstva u zakašnjenju u odnosu na iznos iz ugovora o financijskom jamstvu, institucija koja izvješćuje ocjenjuje ispunjava li potraživanje koje iz toga proizlazi kriterije za neprihodujuće izloženosti.</w:t>
      </w:r>
    </w:p>
    <w:p w:rsidR="009E6057" w:rsidRDefault="00A834F1">
      <w:pPr>
        <w:pStyle w:val="Baseparagraphnumbered"/>
        <w:tabs>
          <w:tab w:val="left" w:pos="851"/>
        </w:tabs>
        <w:ind w:left="709"/>
      </w:pPr>
      <w:r>
        <w:t xml:space="preserve"> Izloženosti koje se klasificiraju kao neprihodujuće u skladu s točkom 213. raspoređuju se u kategoriju neprihodujućih izloženosti na pojedinačnoj osnovi („na osnovi transakcije”) ili u kategoriju neprihodujućih izloženosti u odnosu na ukupnu izloženost prema danom dužniku („na osnovi dužnika”). Pri raspoređivanju neprihodujućih izloženosti u kategorije na pojedinačnoj osnovi ili prema danom dužniku primjenjuju se sljedeći pristupi za raspoređivanje u kategorije prema vrsti neprihodujuće izloženosti: </w:t>
      </w:r>
    </w:p>
    <w:p w:rsidR="009E6057" w:rsidRDefault="00A834F1">
      <w:pPr>
        <w:pStyle w:val="Text1"/>
        <w:numPr>
          <w:ilvl w:val="2"/>
          <w:numId w:val="39"/>
        </w:numPr>
        <w:ind w:left="1134" w:hanging="425"/>
      </w:pPr>
      <w:r>
        <w:t xml:space="preserve">za neprihodujuće izloženosti koje su klasificirane kao izloženosti u statusu neispunjavanja obveza u skladu s člankom 178. CRR-a primjenjuje se pristup za raspoređivanje u kategorije iz tog članka; </w:t>
      </w:r>
    </w:p>
    <w:p w:rsidR="009E6057" w:rsidRDefault="00A834F1">
      <w:pPr>
        <w:pStyle w:val="Text1"/>
        <w:numPr>
          <w:ilvl w:val="2"/>
          <w:numId w:val="39"/>
        </w:numPr>
        <w:ind w:left="1134" w:hanging="425"/>
      </w:pPr>
      <w:r>
        <w:t>za izloženosti koje su klasificirane kao neprihodujuće zbog umanjenja vrijednosti u skladu s primjenjivim računovodstvenim okvirom primjenjuju se kriteriji priznavanja za umanjenje vrijednosti u skladu s primjenjivim računovodstvenim okvirom;</w:t>
      </w:r>
    </w:p>
    <w:p w:rsidR="009E6057" w:rsidRDefault="00A834F1">
      <w:pPr>
        <w:pStyle w:val="Text1"/>
        <w:numPr>
          <w:ilvl w:val="2"/>
          <w:numId w:val="39"/>
        </w:numPr>
        <w:ind w:left="1134" w:hanging="425"/>
      </w:pPr>
      <w:r>
        <w:lastRenderedPageBreak/>
        <w:t xml:space="preserve">za ostale neprihodujuće izloženosti koje nisu klasificirane kao izloženosti u statusu neispunjavanja obveza ni kao izloženosti s umanjenom vrijednošću primjenjuju se odredbe članka 178. CRR-a za izloženosti u statusu neispunjavanja obveza. </w:t>
      </w:r>
    </w:p>
    <w:p w:rsidR="009E6057" w:rsidRDefault="00A834F1">
      <w:pPr>
        <w:pStyle w:val="Baseparagraphnumbered"/>
        <w:tabs>
          <w:tab w:val="left" w:pos="851"/>
        </w:tabs>
        <w:ind w:left="709"/>
      </w:pPr>
      <w:r>
        <w:t xml:space="preserve"> Ako institucija ima bilančne izloženosti prema dužniku koje su dospjele više od 90 dana i bruto knjigovodstvena vrijednost dospjelih izloženosti čini više od 20 % bruto knjigovodstvene vrijednosti svih bilančnih izloženosti prema tom dužniku, sve bilančne i izvanbilančne izloženosti prema tom dužniku smatraju se neprihodujućima. Ako dužnik pripada grupi, razmatra se je li potrebno i izloženosti prema ostalim subjektima iz te grupe tretirati kao neprihodujuće, ako se već ne tretiraju kao izloženosti s umanjenom vrijednošću ili u statusu neispunjavanja obveza u skladu s člankom 178. CRR-a, osim izloženosti na koje utječu zasebni sporovi koji nisu povezani sa solventnošću druge ugovorne strane. </w:t>
      </w:r>
    </w:p>
    <w:p w:rsidR="009E6057" w:rsidRDefault="00A834F1">
      <w:pPr>
        <w:pStyle w:val="Baseparagraphnumbered"/>
      </w:pPr>
      <w:r>
        <w:t>Smatra se da su izloženosti prestale biti neprihodujuće ako se ispune svi sljedeći uvjeti:</w:t>
      </w:r>
    </w:p>
    <w:p w:rsidR="009E6057" w:rsidRDefault="00A834F1">
      <w:pPr>
        <w:pStyle w:val="Text1"/>
        <w:numPr>
          <w:ilvl w:val="1"/>
          <w:numId w:val="40"/>
        </w:numPr>
        <w:tabs>
          <w:tab w:val="left" w:pos="1276"/>
        </w:tabs>
        <w:ind w:left="1134" w:hanging="426"/>
      </w:pPr>
      <w:r>
        <w:t>izloženost ispunjava izlazne kriterije koje institucija koja izvješćuje primjenjuje za prestanak klasifikacije u kategoriju izloženosti s umanjenom vrijednošću i u statusu neispunjavanja obveza u skladu s primjenjivim računovodstvenim okvirom i člankom 178. CRR-a;</w:t>
      </w:r>
    </w:p>
    <w:p w:rsidR="009E6057" w:rsidRDefault="00A834F1">
      <w:pPr>
        <w:pStyle w:val="Text1"/>
        <w:numPr>
          <w:ilvl w:val="1"/>
          <w:numId w:val="40"/>
        </w:numPr>
        <w:tabs>
          <w:tab w:val="left" w:pos="1276"/>
        </w:tabs>
        <w:ind w:left="1134" w:hanging="426"/>
      </w:pPr>
      <w:r>
        <w:t>položaj dužnika poboljšao se u tolikoj mjeri da je vjerojatna potpuna otplata u skladu s izvornim ili promijenjenim uvjetima;</w:t>
      </w:r>
    </w:p>
    <w:p w:rsidR="009E6057" w:rsidRDefault="00A834F1">
      <w:pPr>
        <w:pStyle w:val="Text1"/>
        <w:numPr>
          <w:ilvl w:val="1"/>
          <w:numId w:val="40"/>
        </w:numPr>
        <w:tabs>
          <w:tab w:val="left" w:pos="1276"/>
        </w:tabs>
        <w:ind w:left="1134" w:hanging="426"/>
      </w:pPr>
      <w:r>
        <w:t xml:space="preserve">dužnik nema iznosa dospjelih više od 90 dana. </w:t>
      </w:r>
    </w:p>
    <w:p w:rsidR="009E6057" w:rsidRDefault="00A834F1">
      <w:pPr>
        <w:pStyle w:val="Baseparagraphnumbered"/>
      </w:pPr>
      <w:r>
        <w:t xml:space="preserve">Izloženost ostaje klasificirana kao neprihodujuća dok god se ne ispune uvjeti iz točke 228. podtočaka (a), (b) i (c), čak i ako je izloženost već ispunila kriterije koje institucija koja izvješćuje primjenjuje za prestanak klasifikacije u kategoriju izloženosti s umanjenom vrijednošću i u statusu neispunjavanja obveza u skladu s primjenjivim računovodstvenim okvirom odnosno člankom 178. CRR-a. </w:t>
      </w:r>
    </w:p>
    <w:p w:rsidR="009E6057" w:rsidRDefault="00A834F1">
      <w:pPr>
        <w:pStyle w:val="Baseparagraphnumbered"/>
      </w:pPr>
      <w:r>
        <w:t>Klasifikacijom neprihodujuće izloženosti kao dugotrajne imovine namijenjene za prodaju u skladu s MSFI-jem 5 ne prekida se njezina klasifikacija kao neprihodujuće izloženosti.</w:t>
      </w:r>
    </w:p>
    <w:p w:rsidR="009E6057" w:rsidRDefault="00A834F1">
      <w:pPr>
        <w:pStyle w:val="Baseparagraphnumbered"/>
        <w:tabs>
          <w:tab w:val="left" w:pos="851"/>
        </w:tabs>
        <w:ind w:left="709"/>
      </w:pPr>
      <w:r>
        <w:t xml:space="preserve"> Ako se na neprihodujuću izloženost primijene mjere restrukturiranja, time ne prestaje neprihodujući status te izloženosti. U slučaju neprihodujućih izloženosti s mjerama restrukturiranja, kako se navodi u točki 262., smatra se da su te izloženosti prestale biti neprihodujuće ako su ispunjeni svi sljedeći uvjeti:</w:t>
      </w:r>
    </w:p>
    <w:p w:rsidR="009E6057" w:rsidRDefault="00A834F1">
      <w:pPr>
        <w:pStyle w:val="Text1"/>
        <w:numPr>
          <w:ilvl w:val="0"/>
          <w:numId w:val="49"/>
        </w:numPr>
        <w:ind w:left="1134"/>
      </w:pPr>
      <w:r>
        <w:t xml:space="preserve">institucija koja izvješćuje ne smatra da su izloženosti s umanjenom vrijednošću ili u statusu neispunjavanja obveza u skladu s primjenjivim računovodstvenim okvirom odnosno člankom 178. CRR-a; </w:t>
      </w:r>
    </w:p>
    <w:p w:rsidR="009E6057" w:rsidRDefault="0094598C">
      <w:pPr>
        <w:pStyle w:val="Text1"/>
        <w:numPr>
          <w:ilvl w:val="0"/>
          <w:numId w:val="49"/>
        </w:numPr>
        <w:ind w:left="1134"/>
      </w:pPr>
      <w:r>
        <w:t>proteklo je najmanje godinu dana od datuma odobrenja mjera restrukturiranja i datuma klasifikacije izloženosti kao neprihodujućih, ovisno o tome koji je datum kasniji;</w:t>
      </w:r>
    </w:p>
    <w:p w:rsidR="009E6057" w:rsidRDefault="00A834F1">
      <w:pPr>
        <w:pStyle w:val="Text1"/>
        <w:numPr>
          <w:ilvl w:val="0"/>
          <w:numId w:val="49"/>
        </w:numPr>
        <w:ind w:left="1134"/>
      </w:pPr>
      <w:r>
        <w:lastRenderedPageBreak/>
        <w:t xml:space="preserve">nakon primjene mjera restrukturiranja nema zakašnjenja po dospjelim iznosima niti dvojbi u pogledu pune otplate izloženosti u skladu s uvjetima nakon restrukturiranja. Nepostojanje dvojbi utvrđuje se nakon analize financijskog položaja dužnika koju provodi institucija. Može se smatrati da dvojbe više ne postoje ako je dužnik redovitim uplatama u skladu s uvjetima nakon restrukturiranja platio ukupni iznos koji odgovora prethodno dospjelom iznosu (ako je bilo dospjelih iznosa) ili otpisanom iznosu (ako nije bilo dospjelih iznosa) u okviru mjera restrukturiranja ili ako je dužnik na drugi način dokazao svoju sposobnost ispunjavanja uvjeta nakon restrukturiranja. </w:t>
      </w:r>
    </w:p>
    <w:p w:rsidR="009E6057" w:rsidRDefault="00A834F1">
      <w:pPr>
        <w:pStyle w:val="Text1"/>
        <w:ind w:left="709" w:firstLine="1"/>
      </w:pPr>
      <w:r>
        <w:t>Posebni izlazni uvjeti iz točaka (a), (b) i (c) primjenjuju se dodatno uz kriterije koje institucije koje izvješćuju primjenjuje na izloženosti s umanjenom vrijednošću i u statusu neispunjavanja obveza u skladu s računovodstvenim okvirom odnosno člankom 178. CRR-a.</w:t>
      </w:r>
    </w:p>
    <w:p w:rsidR="009E6057" w:rsidRDefault="00A834F1">
      <w:pPr>
        <w:pStyle w:val="Baseparagraphnumbered"/>
        <w:tabs>
          <w:tab w:val="left" w:pos="851"/>
        </w:tabs>
        <w:ind w:left="709"/>
      </w:pPr>
      <w:r>
        <w:t>Ako uvjeti iz točke 231. ovog dijela ovog Priloga nisu ispunjeni na kraju jednogodišnjeg razdoblja navedenog u podtočki (b) te točke, izloženost se nastavlja utvrđivati kao neprihodujuća restrukturirana izloženost dok se ne ispune svi uvjeti. Uvjeti se ocjenjuju barem tromjesečno.</w:t>
      </w:r>
    </w:p>
    <w:p w:rsidR="009E6057" w:rsidRDefault="00A834F1">
      <w:pPr>
        <w:pStyle w:val="Baseparagraphnumbered"/>
      </w:pPr>
      <w:r>
        <w:t xml:space="preserve">Računovodstveni portfelji na temelju MSFI-ja navedeni u točki 15. dijelu 1. ovog Priloga i na temelju mjerodavnih nacionalnih općeprihvaćenih računovodstvenih načela na temelju BAD-a navedeni u točki 16. dijelu 1. ovog Priloga iskazuju se kako slijedi u obrascu 18.: </w:t>
      </w:r>
    </w:p>
    <w:p w:rsidR="009E6057" w:rsidRDefault="00A834F1">
      <w:pPr>
        <w:pStyle w:val="Baseparagraphnumbered"/>
        <w:numPr>
          <w:ilvl w:val="0"/>
          <w:numId w:val="0"/>
        </w:numPr>
        <w:ind w:left="1134" w:hanging="425"/>
      </w:pPr>
      <w:r>
        <w:t>(a)</w:t>
      </w:r>
      <w:r>
        <w:tab/>
        <w:t>„Dužnički instrumenti po trošku ili amortiziranom trošku” uključuju dužničke instrumente uključene u bilo koju sljedeću stavku:</w:t>
      </w:r>
    </w:p>
    <w:p w:rsidR="009E6057" w:rsidRDefault="00A834F1">
      <w:pPr>
        <w:pStyle w:val="Baseparagraphnumbered"/>
        <w:numPr>
          <w:ilvl w:val="0"/>
          <w:numId w:val="0"/>
        </w:numPr>
        <w:ind w:left="1440"/>
      </w:pPr>
      <w:r>
        <w:t>i. „Financijska imovina po amortiziranom trošku” (MSFI);</w:t>
      </w:r>
    </w:p>
    <w:p w:rsidR="009E6057" w:rsidRDefault="00A834F1">
      <w:pPr>
        <w:pStyle w:val="Baseparagraphnumbered"/>
        <w:numPr>
          <w:ilvl w:val="0"/>
          <w:numId w:val="0"/>
        </w:numPr>
        <w:ind w:left="1440"/>
      </w:pPr>
      <w:r>
        <w:t>ii. „Neizvedena financijska imovina kojom se ne trguje po metodi troška” uključujući dužničke instrumente po umjerenom LOCOM-u (nacionalna općeprihvaćena računovodstvena načela na temelju BAD-a);</w:t>
      </w:r>
    </w:p>
    <w:p w:rsidR="009E6057" w:rsidRDefault="00A834F1">
      <w:pPr>
        <w:pStyle w:val="Baseparagraphnumbered"/>
        <w:numPr>
          <w:ilvl w:val="0"/>
          <w:numId w:val="0"/>
        </w:numPr>
        <w:ind w:left="1440"/>
      </w:pPr>
      <w:r>
        <w:t xml:space="preserve">iii. „Ostala neizvedena financijska imovina kojom se ne trguje”, osim dužničkih instrumenata mjerenima po strogom LOCOM-u (nacionalna općeprihvaćena računovodstvena načela na temelju BAD-a); </w:t>
      </w:r>
    </w:p>
    <w:p w:rsidR="009E6057" w:rsidRDefault="00A834F1">
      <w:pPr>
        <w:pStyle w:val="Baseparagraphnumbered"/>
        <w:numPr>
          <w:ilvl w:val="0"/>
          <w:numId w:val="0"/>
        </w:numPr>
        <w:ind w:left="1134" w:hanging="425"/>
      </w:pPr>
      <w:r>
        <w:t>(b) „Dužnički instrumenti po fer vrijednosti kroz ostalu sveobuhvatnu dobit ili kroz kapital koji podliježu umanjenju vrijednosti” uključuju dužničke instrumente uključene u bilo koju sljedeću stavku:</w:t>
      </w:r>
    </w:p>
    <w:p w:rsidR="009E6057" w:rsidRDefault="00A834F1">
      <w:pPr>
        <w:pStyle w:val="Baseparagraphnumbered"/>
        <w:numPr>
          <w:ilvl w:val="0"/>
          <w:numId w:val="0"/>
        </w:numPr>
        <w:ind w:left="1440"/>
      </w:pPr>
      <w:r>
        <w:t>i. „Financijska imovina po fer vrijednosti kroz ostalu sveobuhvatnu dobit” (MSFI);</w:t>
      </w:r>
    </w:p>
    <w:p w:rsidR="009E6057" w:rsidRDefault="00A834F1">
      <w:pPr>
        <w:pStyle w:val="Baseparagraphnumbered"/>
        <w:numPr>
          <w:ilvl w:val="0"/>
          <w:numId w:val="0"/>
        </w:numPr>
        <w:ind w:left="1440"/>
      </w:pPr>
      <w:r>
        <w:t xml:space="preserve">ii. „Neizvedena financijska imovina kojom se ne trguje koja se mjeri po fer vrijednosti kroz kapital” ako instrumenti u toj kategoriji mjerenja mogu podlijegati umanjenju vrijednosti u skladu s primjenjivim </w:t>
      </w:r>
      <w:r>
        <w:lastRenderedPageBreak/>
        <w:t>računovodstvenim okvirom u skladu s nacionalnim općeprihvaćenim računovodstvenim načelima na temelju BAD-a;</w:t>
      </w:r>
    </w:p>
    <w:p w:rsidR="009E6057" w:rsidRDefault="00A834F1">
      <w:pPr>
        <w:pStyle w:val="Baseparagraphnumbered"/>
        <w:numPr>
          <w:ilvl w:val="0"/>
          <w:numId w:val="0"/>
        </w:numPr>
        <w:ind w:left="1134" w:hanging="425"/>
      </w:pPr>
      <w:r>
        <w:t>(c) „Dužnički instrumenti po strogom LOCOM-u ili po fer vrijednosti kroz dobit ili gubitak ili kroz kapital koji ne podliježu umanjenju vrijednosti” uključuju dužničke instrumente uključene u bilo koju sljedeću stavku:</w:t>
      </w:r>
    </w:p>
    <w:p w:rsidR="009E6057" w:rsidRDefault="00A834F1">
      <w:pPr>
        <w:pStyle w:val="Baseparagraphnumbered"/>
        <w:numPr>
          <w:ilvl w:val="0"/>
          <w:numId w:val="0"/>
        </w:numPr>
        <w:ind w:left="1418"/>
      </w:pPr>
      <w:r>
        <w:t>i. „Financijska imovina kojom se ne trguje koja se obvezno mjeri po fer vrijednosti kroz dobit ili gubitak” (MSFI);</w:t>
      </w:r>
    </w:p>
    <w:p w:rsidR="009E6057" w:rsidRDefault="00A834F1">
      <w:pPr>
        <w:pStyle w:val="Baseparagraphnumbered"/>
        <w:numPr>
          <w:ilvl w:val="0"/>
          <w:numId w:val="0"/>
        </w:numPr>
        <w:ind w:left="1418"/>
      </w:pPr>
      <w:r>
        <w:t>ii. „Financijska imovina po fer vrijednosti kroz dobit ili gubitak” (MSFI);</w:t>
      </w:r>
    </w:p>
    <w:p w:rsidR="009E6057" w:rsidRDefault="00A834F1">
      <w:pPr>
        <w:pStyle w:val="Baseparagraphnumbered"/>
        <w:numPr>
          <w:ilvl w:val="0"/>
          <w:numId w:val="0"/>
        </w:numPr>
        <w:ind w:left="1418"/>
      </w:pPr>
      <w:r>
        <w:t>iii. „Neizvedena financijska imovina kojom se ne trguje koja se mjeri po fer vrijednosti kroz dobit ili gubitak (nacionalna općeprihvaćena računovodstvena načela na temelju BAD-a);</w:t>
      </w:r>
    </w:p>
    <w:p w:rsidR="009E6057" w:rsidRDefault="00A834F1">
      <w:pPr>
        <w:pStyle w:val="Baseparagraphnumbered"/>
        <w:numPr>
          <w:ilvl w:val="0"/>
          <w:numId w:val="0"/>
        </w:numPr>
        <w:ind w:left="1418"/>
      </w:pPr>
      <w:r>
        <w:t>iv. „Ostala neizvedena financijska imovina kojom se ne trguje” ako su dužnički instrumenti mjereni po strogom LOCOM-u (nacionalna općeprihvaćena računovodstvena načela na temelju BAD-a);</w:t>
      </w:r>
    </w:p>
    <w:p w:rsidR="009E6057" w:rsidRDefault="00A834F1">
      <w:pPr>
        <w:pStyle w:val="Baseparagraphnumbered"/>
        <w:numPr>
          <w:ilvl w:val="0"/>
          <w:numId w:val="0"/>
        </w:numPr>
        <w:ind w:left="1418"/>
      </w:pPr>
      <w:r>
        <w:t>v. „Neizvedena financijska imovina kojom se ne trguje koja se mjeri po fer vrijednosti kroz kapital” ako dužnički instrumenti u toj kategoriji mjerenja ne podliježu umanjenju vrijednosti u skladu s primjenjivim računovodstvenim okvirom na temelju nacionalnih općeprihvaćenih računovodstvenih načela na temelju BAD-a;</w:t>
      </w:r>
    </w:p>
    <w:p w:rsidR="009E6057" w:rsidRDefault="00A834F1">
      <w:pPr>
        <w:pStyle w:val="Baseparagraphnumbered"/>
        <w:tabs>
          <w:tab w:val="left" w:pos="851"/>
        </w:tabs>
        <w:ind w:left="709"/>
      </w:pPr>
      <w:r>
        <w:t>Ako se u skladu s MSFI-jem ili mjerodavnim nacionalnim općeprihvaćenim računovodstvenim načelima na temelju BAD-a predviđa određivanje obveza po fer vrijednosti kroz dobit ili gubitak, knjigovodstvena vrijednost imovine koja proizlazi iz tog određivanja i mjerenja po fer vrijednosti iskazuje se u stavci „Financijska imovina po fer vrijednosti kroz dobit ili gubitak” (MSFI) ili „Neizvedena financijska imovina kojom se ne trguje mjerena po fer vrijednosti kroz dobit ili gubitak” (nacionalna općeprihvaćena računovodstvena načela na temelju BAD-a); Knjigovodstvena vrijednost bilo koje obveze koja proizlazi iz tog određivanja ne iskazuje se u obrascu 18. Zamišljeni iznos svih obveza određenih po fer vrijednosti kroz dobit ili gubitak iskazuje se u obrascu 9.</w:t>
      </w:r>
    </w:p>
    <w:p w:rsidR="009E6057" w:rsidRDefault="0062156F">
      <w:pPr>
        <w:pStyle w:val="Baseparagraphnumbered"/>
        <w:numPr>
          <w:ilvl w:val="0"/>
          <w:numId w:val="0"/>
        </w:numPr>
        <w:tabs>
          <w:tab w:val="left" w:pos="851"/>
        </w:tabs>
        <w:ind w:left="709" w:hanging="357"/>
      </w:pPr>
      <w:r>
        <w:t>234.i. Sljedeće se izloženosti navode u zasebnim redcima:</w:t>
      </w:r>
    </w:p>
    <w:p w:rsidR="009E6057" w:rsidRDefault="0062156F">
      <w:pPr>
        <w:pStyle w:val="Text1"/>
        <w:numPr>
          <w:ilvl w:val="0"/>
          <w:numId w:val="70"/>
        </w:numPr>
        <w:ind w:left="1134" w:hanging="425"/>
      </w:pPr>
      <w:r>
        <w:t xml:space="preserve">krediti s nekretninom kao kolateralom kako su definirani u točkama 86. (a) i 87. ovog dijela; </w:t>
      </w:r>
    </w:p>
    <w:p w:rsidR="009E6057" w:rsidRDefault="0062156F">
      <w:pPr>
        <w:pStyle w:val="Text1"/>
        <w:numPr>
          <w:ilvl w:val="0"/>
          <w:numId w:val="70"/>
        </w:numPr>
        <w:ind w:left="1134" w:hanging="425"/>
      </w:pPr>
      <w:r>
        <w:t>potrošački krediti kako su definirani u točki 88. (a) ovog dijela.</w:t>
      </w:r>
    </w:p>
    <w:p w:rsidR="009E6057" w:rsidRDefault="00A834F1">
      <w:pPr>
        <w:pStyle w:val="Baseparagraphnumbered"/>
        <w:tabs>
          <w:tab w:val="left" w:pos="851"/>
        </w:tabs>
        <w:ind w:left="709"/>
      </w:pPr>
      <w:r>
        <w:t>Dospjele izloženosti iskazuju se zasebno u punom iznosu u okviru kategorija „prihodujuće” i „neprihodujuće” kako je definirano u točki 96. ovog dijela. Izloženosti koje su dospjele više od 90 dana, ali nisu značajne u skladu s člankom 178. CRR-a iskazuju se pod prihodujućim izloženostima u stavci „Dospjele &gt; 30 dana &lt;= 90 dana”.</w:t>
      </w:r>
    </w:p>
    <w:p w:rsidR="009E6057" w:rsidRDefault="00A834F1">
      <w:pPr>
        <w:pStyle w:val="Baseparagraphnumbered"/>
        <w:tabs>
          <w:tab w:val="left" w:pos="851"/>
        </w:tabs>
        <w:ind w:left="709"/>
      </w:pPr>
      <w:r>
        <w:lastRenderedPageBreak/>
        <w:t xml:space="preserve">Neprihodujuće izloženosti raščlanjuju se po vremenskim rasponima dospijeća. Izloženosti koje nisu dospjele ili su dospjele 90 dana ili manje, ali su ipak utvrđene kao neprihodujuće zbog vjerojatnosti nepotpune otplate iskazuju se u posebnom stupcu. Izloženosti koje sadržavaju i dospjele iznose i vjerojatnost nepotpune otplate raspoređuju se po vremenskim rasponima dospijeća u skladu s brojem dana od dospijeća. </w:t>
      </w:r>
    </w:p>
    <w:p w:rsidR="009E6057" w:rsidRDefault="00A834F1">
      <w:pPr>
        <w:pStyle w:val="Baseparagraphnumbered"/>
        <w:tabs>
          <w:tab w:val="left" w:pos="851"/>
        </w:tabs>
        <w:ind w:left="709"/>
      </w:pPr>
      <w:r>
        <w:t>Sljedeće se izloženosti navode u zasebnim stupcima:</w:t>
      </w:r>
    </w:p>
    <w:p w:rsidR="009E6057" w:rsidRDefault="00A834F1">
      <w:pPr>
        <w:pStyle w:val="Text1"/>
        <w:numPr>
          <w:ilvl w:val="0"/>
          <w:numId w:val="71"/>
        </w:numPr>
        <w:ind w:left="1134" w:hanging="425"/>
      </w:pPr>
      <w:r>
        <w:t>izloženosti koje se smatraju izloženostima kojima je vrijednost umanjena u skladu s primjenjivim računovodstvenim okvirom; na temelju MSFI-ja, iskazuje se iznos imovine kojoj je vrijednost umanjena za kreditne gubitke (faza 3), uključujući kupljenu ili iniciranu imovinu kojoj je vrijednost umanjena za kreditne gubitke; u skladu s nacionalnim općeprihvaćenim računovodstvenim načelima, iskazuje se iznos imovine kojoj je vrijednost umanjena;</w:t>
      </w:r>
    </w:p>
    <w:p w:rsidR="009E6057" w:rsidRDefault="00A834F1">
      <w:pPr>
        <w:pStyle w:val="Text1"/>
        <w:numPr>
          <w:ilvl w:val="0"/>
          <w:numId w:val="71"/>
        </w:numPr>
        <w:ind w:left="1134" w:hanging="425"/>
      </w:pPr>
      <w:r>
        <w:t xml:space="preserve">izloženosti za koje se smatra da je nastupio status neispunjavanja obveza u skladu s člankom 178. CRR-a; </w:t>
      </w:r>
    </w:p>
    <w:p w:rsidR="009E6057" w:rsidRDefault="0062156F">
      <w:pPr>
        <w:pStyle w:val="Text1"/>
        <w:numPr>
          <w:ilvl w:val="0"/>
          <w:numId w:val="71"/>
        </w:numPr>
        <w:ind w:left="1134" w:hanging="425"/>
      </w:pPr>
      <w:r>
        <w:t>na temelju MSFI-ja, imovina sa značajnim povećanjem kreditnog rizika nakon početnog priznavanja, ali kojoj vrijednost nije umanjena za kreditne gubitke (faza 2), uključujući kupljenu ili iniciranu imovinu kojoj je vrijednost umanjena za kreditne gubitke koja nakon početnog priznavanja više nije u skladu s definicijom imovine kojoj je „vrijednost umanjena za kreditne gubitke”;</w:t>
      </w:r>
    </w:p>
    <w:p w:rsidR="009E6057" w:rsidRDefault="0062156F">
      <w:pPr>
        <w:pStyle w:val="Text1"/>
        <w:numPr>
          <w:ilvl w:val="0"/>
          <w:numId w:val="71"/>
        </w:numPr>
        <w:ind w:left="1134" w:hanging="425"/>
      </w:pPr>
      <w:r>
        <w:t>na temelju MSFI-ja, za prihodujuće izloženosti, imovina bez značajnog povećanja kreditnog rizika nakon početnog priznavanja (faza 1).</w:t>
      </w:r>
    </w:p>
    <w:p w:rsidR="009E6057" w:rsidRDefault="00A834F1">
      <w:pPr>
        <w:pStyle w:val="Baseparagraphnumbered"/>
        <w:tabs>
          <w:tab w:val="left" w:pos="851"/>
        </w:tabs>
        <w:ind w:left="709"/>
      </w:pPr>
      <w:r>
        <w:t xml:space="preserve">Akumulirano umanjenje vrijednosti, akumulirane negativne promjene fer vrijednosti zbog kreditnog rizika i rezervacija iskazuju se u skladu s točkama 11., od 69. do 71., 106. i 110. ovog dijela. </w:t>
      </w:r>
    </w:p>
    <w:p w:rsidR="009E6057" w:rsidRDefault="00A834F1">
      <w:pPr>
        <w:pStyle w:val="Baseparagraphnumbered"/>
        <w:tabs>
          <w:tab w:val="left" w:pos="851"/>
        </w:tabs>
        <w:ind w:left="709"/>
      </w:pPr>
      <w:r>
        <w:t>Informacije o primljenom kolateralu i primljenim jamstvima za prihodujuće i neprihodujuće izloženosti iskazuju se zasebno. Iznosi koji se iskazuju za primljeni kolateral i primljena jamstva izračunavaju se u skladu s točkama 172. i 174. ovog dijela. Zbroj iznosa iskazanih za kolaterale i jamstva ograničava se na knjigovodstvenu vrijednost ili nominalni iznos nakon odbitka rezervacija za povezanu izloženost.</w:t>
      </w:r>
    </w:p>
    <w:p w:rsidR="009E6057" w:rsidRDefault="0062156F">
      <w:pPr>
        <w:pStyle w:val="sub-subtitlenumbered"/>
        <w:jc w:val="both"/>
      </w:pPr>
      <w:bookmarkStart w:id="58" w:name="_Toc30667512"/>
      <w:r>
        <w:t>Priljevi i odljevi od neprihodujućih izloženosti – krediti i predujmovi prema sektoru druge ugovorne strane (18.1.)</w:t>
      </w:r>
      <w:bookmarkEnd w:id="58"/>
    </w:p>
    <w:p w:rsidR="009E6057" w:rsidRDefault="0062156F">
      <w:pPr>
        <w:pStyle w:val="Baseparagraphnumbered"/>
        <w:numPr>
          <w:ilvl w:val="0"/>
          <w:numId w:val="0"/>
        </w:numPr>
        <w:tabs>
          <w:tab w:val="left" w:pos="851"/>
        </w:tabs>
        <w:ind w:left="709" w:hanging="357"/>
      </w:pPr>
      <w:r>
        <w:t>239.i. U obrascu 18.1. navode se priljevi i odljevi kredita i predujmova, isključujući kredite i predujmove klasificirane kao financijska imovina kojom se trguje ili koja se drži radi trgovanja, koji su bili klasificirani u kategoriju ili izvan kategorije neprihodujućih izloženosti kako je definirano u točkama od 213. do 239. ili točki 260. ovog dijela. Priljevi i odljevi od neprihodujućih kredita i predujmova raščlanjuju se prema sektoru druge ugovorne strane.</w:t>
      </w:r>
    </w:p>
    <w:p w:rsidR="009E6057" w:rsidRDefault="0062156F">
      <w:pPr>
        <w:pStyle w:val="Baseparagraphnumbered"/>
        <w:numPr>
          <w:ilvl w:val="0"/>
          <w:numId w:val="0"/>
        </w:numPr>
        <w:tabs>
          <w:tab w:val="left" w:pos="851"/>
        </w:tabs>
        <w:ind w:left="709" w:hanging="357"/>
      </w:pPr>
      <w:r>
        <w:t xml:space="preserve">239.ii. Priljevi u kategoriji neprihodujućih izloženosti iskazuju se kumulativno od početka financijske godine. Priljevi su u skladu s bruto knjigovodstvenom </w:t>
      </w:r>
      <w:r>
        <w:lastRenderedPageBreak/>
        <w:t>vrijednosti izloženosti koje su u tom razdoblju postale neprihodujuće kako je definirano u točkama od 213. do 239. ili točki 260. ovog dijela, uključujući kupljene neprihodujuće izloženosti. Kao priljev se iskazuje i povećanje bruto knjigovodstvene vrijednosti neprihodujućih izloženosti nastalo zbog obračunatih kamata ili povećanja akumuliranih negativnih promjena fer vrijednosti zbog kreditnog rizika.</w:t>
      </w:r>
    </w:p>
    <w:p w:rsidR="009E6057" w:rsidRDefault="0062156F">
      <w:pPr>
        <w:pStyle w:val="Baseparagraphnumbered"/>
        <w:numPr>
          <w:ilvl w:val="0"/>
          <w:numId w:val="0"/>
        </w:numPr>
        <w:tabs>
          <w:tab w:val="left" w:pos="851"/>
        </w:tabs>
        <w:ind w:left="709" w:hanging="357"/>
      </w:pPr>
      <w:r>
        <w:t>239.iii.</w:t>
      </w:r>
      <w:r>
        <w:tab/>
        <w:t>Za izloženost koja je u tom razdoblju više puta reklasificirana iz neprihodujuće u prihodujuću i obratno, iznos priljeva i odljeva utvrđuje se usporedbom statusa izloženosti (prihodujuća ili neprihodujuća) na početku financijske godine ili pri početnom priznavanju i njezina statusa na referentni izvještajni datum.</w:t>
      </w:r>
    </w:p>
    <w:p w:rsidR="009E6057" w:rsidRDefault="0062156F">
      <w:pPr>
        <w:pStyle w:val="Baseparagraphnumbered"/>
        <w:numPr>
          <w:ilvl w:val="0"/>
          <w:numId w:val="0"/>
        </w:numPr>
        <w:tabs>
          <w:tab w:val="left" w:pos="851"/>
        </w:tabs>
        <w:ind w:left="709" w:hanging="357"/>
      </w:pPr>
      <w:r>
        <w:t>239.iv.</w:t>
      </w:r>
      <w:r>
        <w:tab/>
        <w:t>Odljevi u kategoriji neprihodujućih izloženosti iskazuju se kumulativno od početka financijske godine. Odljevi su u skladu sa zbrojem bruto knjigovodstvenih vrijednosti izloženosti koje su u tom razdoblju prestale biti neprihodujuće i, ako je primjenjivo, uključuju iznos otpisa izvršenih u kontekstu djelomičnog ili potpunog prestanka priznavanja izloženosti. Kao odljev se iskazuje i smanjenje bruto knjigovodstvene vrijednosti neprihodujućih izloženosti nastalo zbog plaćenih kamata ili smanjenja akumuliranih negativnih promjena fer vrijednosti zbog kreditnog rizika.</w:t>
      </w:r>
    </w:p>
    <w:p w:rsidR="009E6057" w:rsidRDefault="0062156F">
      <w:pPr>
        <w:pStyle w:val="Baseparagraphnumbered"/>
        <w:numPr>
          <w:ilvl w:val="0"/>
          <w:numId w:val="0"/>
        </w:numPr>
        <w:tabs>
          <w:tab w:val="left" w:pos="851"/>
        </w:tabs>
        <w:ind w:left="709" w:hanging="357"/>
      </w:pPr>
      <w:r>
        <w:t>239.v. Odljev se iskazuje u sljedećim slučajevima:</w:t>
      </w:r>
    </w:p>
    <w:p w:rsidR="009E6057" w:rsidRDefault="00E64E18">
      <w:pPr>
        <w:pStyle w:val="Text1"/>
        <w:numPr>
          <w:ilvl w:val="0"/>
          <w:numId w:val="72"/>
        </w:numPr>
        <w:ind w:left="1134" w:hanging="425"/>
      </w:pPr>
      <w:r>
        <w:t>neprihodujuća izloženost ispunjava kriterije za prestanak klasifikacije kao neprihodujuće kako je utvrđeno u točkama od 228. do 232. ovog dijela i reklasificirana je kao prihodujuća nerestrukturirana ili prihodujuća restrukturirana;</w:t>
      </w:r>
    </w:p>
    <w:p w:rsidR="009E6057" w:rsidRDefault="00E64E18">
      <w:pPr>
        <w:pStyle w:val="Text1"/>
        <w:numPr>
          <w:ilvl w:val="0"/>
          <w:numId w:val="72"/>
        </w:numPr>
        <w:ind w:left="1134" w:hanging="425"/>
      </w:pPr>
      <w:r>
        <w:t>neprihodujuća izloženost otplaćena je djelomično ili u cijelosti; u slučaju djelomične otplate, samo se otplaćeni iznos klasificira kao odljev;</w:t>
      </w:r>
    </w:p>
    <w:p w:rsidR="009E6057" w:rsidRDefault="00E64E18">
      <w:pPr>
        <w:pStyle w:val="Text1"/>
        <w:numPr>
          <w:ilvl w:val="0"/>
          <w:numId w:val="72"/>
        </w:numPr>
        <w:ind w:left="1134" w:hanging="425"/>
      </w:pPr>
      <w:r>
        <w:t>kolateral je unovčen, uključujući odljeve nastale zbog drugog unovčenja ili sudskih postupaka, kao što je unovčenje imovine koja nije kolateral stečene u sudskom postupku, i dobrovoljnu prodaju kolaterala;</w:t>
      </w:r>
    </w:p>
    <w:p w:rsidR="009E6057" w:rsidRDefault="00E64E18">
      <w:pPr>
        <w:pStyle w:val="Text1"/>
        <w:numPr>
          <w:ilvl w:val="0"/>
          <w:numId w:val="72"/>
        </w:numPr>
        <w:ind w:left="1134" w:hanging="425"/>
      </w:pPr>
      <w:r>
        <w:t>institucija je došla u posjed kolaterala iz točke 175. ovog dijela, uključujući slučajeve pretvaranja potraživanja u imovinu, dobrovoljne predaje imovine i zamjene duga za dionički udio;</w:t>
      </w:r>
    </w:p>
    <w:p w:rsidR="009E6057" w:rsidRDefault="00E64E18">
      <w:pPr>
        <w:pStyle w:val="Text1"/>
        <w:numPr>
          <w:ilvl w:val="0"/>
          <w:numId w:val="72"/>
        </w:numPr>
        <w:ind w:left="1134" w:hanging="425"/>
      </w:pPr>
      <w:r>
        <w:t>neprihodujuća izloženost je prodana;</w:t>
      </w:r>
    </w:p>
    <w:p w:rsidR="009E6057" w:rsidRDefault="00E64E18">
      <w:pPr>
        <w:pStyle w:val="Text1"/>
        <w:numPr>
          <w:ilvl w:val="0"/>
          <w:numId w:val="72"/>
        </w:numPr>
        <w:ind w:left="1134" w:hanging="425"/>
      </w:pPr>
      <w:r>
        <w:t xml:space="preserve">rizik neprihodujuće izloženosti prenesen je i izloženost ispunjavaju kriterije za prestanak priznavanja; </w:t>
      </w:r>
    </w:p>
    <w:p w:rsidR="009E6057" w:rsidRDefault="00E64E18">
      <w:pPr>
        <w:pStyle w:val="Text1"/>
        <w:numPr>
          <w:ilvl w:val="0"/>
          <w:numId w:val="72"/>
        </w:numPr>
        <w:ind w:left="1134" w:hanging="425"/>
      </w:pPr>
      <w:r>
        <w:t>neprihodujuća izloženost je djelomično ili u cijelosti otpisana; u slučaju djelomičnog otpisa, samo se otpisani iznos klasificira kao odljev;</w:t>
      </w:r>
    </w:p>
    <w:p w:rsidR="009E6057" w:rsidRDefault="00E64E18">
      <w:pPr>
        <w:pStyle w:val="Text1"/>
        <w:numPr>
          <w:ilvl w:val="0"/>
          <w:numId w:val="72"/>
        </w:numPr>
        <w:ind w:left="1134" w:hanging="425"/>
      </w:pPr>
      <w:r>
        <w:t>neprihodujuća izloženost ili dijelovi neprihodujuće izloženosti koji su iz drugih razloga prestali biti neprihodujući.</w:t>
      </w:r>
    </w:p>
    <w:p w:rsidR="009E6057" w:rsidRDefault="0062156F">
      <w:pPr>
        <w:pStyle w:val="Baseparagraphnumbered"/>
        <w:numPr>
          <w:ilvl w:val="0"/>
          <w:numId w:val="0"/>
        </w:numPr>
        <w:tabs>
          <w:tab w:val="left" w:pos="851"/>
        </w:tabs>
        <w:ind w:left="709" w:hanging="357"/>
      </w:pPr>
      <w:r>
        <w:t>239.vi.</w:t>
      </w:r>
      <w:r>
        <w:tab/>
        <w:t xml:space="preserve">Reklasifikacija neprihodujuće izloženosti iz jednog računovodstvenog portfelja u drugi ne iskazuje se ni kao priljev, ni kao odljev. Iznimno, reklasifikacija neprihodujuće izloženosti iz bilo kojeg računovodstvenog </w:t>
      </w:r>
      <w:r>
        <w:lastRenderedPageBreak/>
        <w:t>portfelja u stavku „namijenjeno za prodaju” iskazuje se kao odljev iz izvornog računovodstvenog portfelja i kao priljev u stavku „namijenjeno za prodaju”.</w:t>
      </w:r>
    </w:p>
    <w:p w:rsidR="009E6057" w:rsidRDefault="0062156F">
      <w:pPr>
        <w:pStyle w:val="Baseparagraphnumbered"/>
        <w:numPr>
          <w:ilvl w:val="0"/>
          <w:numId w:val="0"/>
        </w:numPr>
        <w:tabs>
          <w:tab w:val="left" w:pos="851"/>
        </w:tabs>
        <w:ind w:left="709" w:hanging="357"/>
      </w:pPr>
      <w:r>
        <w:t>239.vii.</w:t>
      </w:r>
      <w:r>
        <w:tab/>
        <w:t>Sljedeće se izloženosti navode u zasebnim redcima:</w:t>
      </w:r>
    </w:p>
    <w:p w:rsidR="009E6057" w:rsidRDefault="00E64E18">
      <w:pPr>
        <w:pStyle w:val="Baseparagraphnumbered"/>
        <w:numPr>
          <w:ilvl w:val="0"/>
          <w:numId w:val="69"/>
        </w:numPr>
        <w:tabs>
          <w:tab w:val="left" w:pos="851"/>
        </w:tabs>
        <w:ind w:left="1066" w:hanging="357"/>
      </w:pPr>
      <w:r>
        <w:t>krediti za poslovne nekretnine definirani u točki 239.ix., raščlanjeni na kredite za poslovne nekretnine malim i srednjim poduzećima i kredite za poslovne nekretnine nefinancijskim društvima osim malih i srednjih poduzeća;</w:t>
      </w:r>
    </w:p>
    <w:p w:rsidR="009E6057" w:rsidRDefault="00E64E18">
      <w:pPr>
        <w:pStyle w:val="Baseparagraphnumbered"/>
        <w:numPr>
          <w:ilvl w:val="0"/>
          <w:numId w:val="69"/>
        </w:numPr>
        <w:tabs>
          <w:tab w:val="left" w:pos="851"/>
        </w:tabs>
        <w:ind w:left="1066" w:hanging="357"/>
      </w:pPr>
      <w:r>
        <w:t xml:space="preserve">krediti s nekretninom kao kolateralom kako su definirani u točkama 86. (a) i 87. ovog dijela; </w:t>
      </w:r>
    </w:p>
    <w:p w:rsidR="009E6057" w:rsidRDefault="00E64E18">
      <w:pPr>
        <w:pStyle w:val="Baseparagraphnumbered"/>
        <w:numPr>
          <w:ilvl w:val="0"/>
          <w:numId w:val="69"/>
        </w:numPr>
        <w:tabs>
          <w:tab w:val="left" w:pos="851"/>
        </w:tabs>
        <w:ind w:left="1066" w:hanging="357"/>
      </w:pPr>
      <w:r>
        <w:t>potrošački krediti kako su definirani u točki 88. (a) ovog dijela.</w:t>
      </w:r>
    </w:p>
    <w:p w:rsidR="009E6057" w:rsidRDefault="0062156F">
      <w:pPr>
        <w:pStyle w:val="sub-subtitlenumbered"/>
        <w:jc w:val="both"/>
      </w:pPr>
      <w:bookmarkStart w:id="59" w:name="_Toc30667513"/>
      <w:r>
        <w:t>Krediti za poslovne nekretnine i dodatne informacije o kreditima osiguranim nekretninama (18.2.)</w:t>
      </w:r>
      <w:bookmarkEnd w:id="59"/>
    </w:p>
    <w:p w:rsidR="009E6057" w:rsidRDefault="0062156F">
      <w:pPr>
        <w:pStyle w:val="Baseparagraphnumbered"/>
        <w:numPr>
          <w:ilvl w:val="0"/>
          <w:numId w:val="0"/>
        </w:numPr>
        <w:tabs>
          <w:tab w:val="left" w:pos="851"/>
        </w:tabs>
        <w:ind w:left="709" w:hanging="357"/>
      </w:pPr>
      <w:r>
        <w:t>239.viii.</w:t>
      </w:r>
      <w:r>
        <w:tab/>
        <w:t>U obrascu 18.2. navode se informacije o kreditima za poslovne nekretnine nefinancijskim društvima i kreditima s poslovnom nekretninom kao kolateralom nefinancijskim društvima ili stambenom nekretninom kao kolateralom kućanstvima, raščlanjene prema omjeru kredita i vrijednosti nekretnine (LTV omjer). Isključeni su krediti i predujmovi klasificirani kao krediti i predujmovi koji se drže radi trgovanja, financijska imovina kojom se trguje i dužnički instrumenti namijenjeni za prodaju.</w:t>
      </w:r>
    </w:p>
    <w:p w:rsidR="009E6057" w:rsidRDefault="0062156F">
      <w:pPr>
        <w:pStyle w:val="Baseparagraphnumbered"/>
        <w:numPr>
          <w:ilvl w:val="0"/>
          <w:numId w:val="0"/>
        </w:numPr>
        <w:tabs>
          <w:tab w:val="left" w:pos="851"/>
        </w:tabs>
        <w:ind w:left="709" w:hanging="357"/>
      </w:pPr>
      <w:r>
        <w:t>239.ix.</w:t>
      </w:r>
      <w:r>
        <w:tab/>
        <w:t>Stavka „Krediti za poslovne nekretnine” obuhvaća izloženosti kako su definirane u odjeljku 2. poglavlju 2. točki 1. Preporuke ESRB-a o zatvaranju praznina u podacima o nekretninama</w:t>
      </w:r>
      <w:r>
        <w:rPr>
          <w:rStyle w:val="FootnoteReference"/>
        </w:rPr>
        <w:footnoteReference w:id="9"/>
      </w:r>
      <w:r>
        <w:t>.</w:t>
      </w:r>
    </w:p>
    <w:p w:rsidR="009E6057" w:rsidRDefault="0062156F">
      <w:pPr>
        <w:pStyle w:val="Baseparagraphnumbered"/>
        <w:numPr>
          <w:ilvl w:val="0"/>
          <w:numId w:val="0"/>
        </w:numPr>
        <w:tabs>
          <w:tab w:val="left" w:pos="851"/>
        </w:tabs>
        <w:ind w:left="709" w:hanging="357"/>
      </w:pPr>
      <w:r>
        <w:t>239.x.</w:t>
      </w:r>
      <w:r>
        <w:tab/>
        <w:t>Omjer vrijednosti kredita i založene nekretnine izračunava se metodom „trenutnog omjera kredita i vrijednosti nekretnine” (LTV-C) utvrđene u odjeljku 2. poglavlju 1. točki 1. Preporuke ESRB-a o zatvaranju praznina u podacima o nekretninama.</w:t>
      </w:r>
    </w:p>
    <w:p w:rsidR="009E6057" w:rsidRDefault="002B13B4">
      <w:pPr>
        <w:pStyle w:val="Baseparagraphnumbered"/>
        <w:numPr>
          <w:ilvl w:val="0"/>
          <w:numId w:val="0"/>
        </w:numPr>
        <w:tabs>
          <w:tab w:val="left" w:pos="851"/>
        </w:tabs>
        <w:ind w:left="709" w:hanging="357"/>
      </w:pPr>
      <w:r>
        <w:t>239.xi.</w:t>
      </w:r>
      <w:r>
        <w:tab/>
        <w:t>Informacije o primljenim kolateralima i primljenim financijskim jamstvima iskazuju se u skladu s točkom 239. ovog dijela. Stoga se zbroj iznosa iskazanih za kolaterale i jamstva ograničava na knjigovodstvenu vrijednost povezane izloženosti.</w:t>
      </w:r>
    </w:p>
    <w:p w:rsidR="009E6057" w:rsidRDefault="00A834F1">
      <w:pPr>
        <w:pStyle w:val="subtitlenumbered"/>
        <w:jc w:val="both"/>
      </w:pPr>
      <w:bookmarkStart w:id="60" w:name="_Toc30667514"/>
      <w:r>
        <w:t>Restrukturirane izloženosti (19.)</w:t>
      </w:r>
      <w:bookmarkEnd w:id="60"/>
    </w:p>
    <w:p w:rsidR="009E6057" w:rsidRDefault="00A834F1">
      <w:pPr>
        <w:pStyle w:val="Baseparagraphnumbered"/>
        <w:tabs>
          <w:tab w:val="left" w:pos="851"/>
        </w:tabs>
        <w:ind w:left="709"/>
      </w:pPr>
      <w:r>
        <w:t xml:space="preserve"> Za potrebe obrasca 19. restrukturirane izloženosti su ugovori o dugu po kojima su primijenjene mjere restrukturiranja. Mjere restrukturiranja sastoje se od ustupaka prema dužniku koji ima ili će imati poteškoće pri ispunjavanju svojih obveza plaćanja („financijske poteškoće”).</w:t>
      </w:r>
    </w:p>
    <w:p w:rsidR="009E6057" w:rsidRDefault="00A834F1">
      <w:pPr>
        <w:pStyle w:val="Baseparagraphnumbered"/>
        <w:tabs>
          <w:tab w:val="left" w:pos="851"/>
        </w:tabs>
        <w:ind w:left="709"/>
      </w:pPr>
      <w:r>
        <w:lastRenderedPageBreak/>
        <w:t xml:space="preserve"> Za potrebe obrasca 19. ustupak može značiti gubitak za zajmodavca i odnosi se na bilo koju od sljedećih mjera:</w:t>
      </w:r>
    </w:p>
    <w:p w:rsidR="009E6057" w:rsidRDefault="00A834F1">
      <w:pPr>
        <w:pStyle w:val="Text1"/>
        <w:numPr>
          <w:ilvl w:val="1"/>
          <w:numId w:val="41"/>
        </w:numPr>
        <w:ind w:left="1134"/>
      </w:pPr>
      <w:r>
        <w:t>izmjena uvjeta ugovora koje dužnik ne može ispuniti zbog svojih financijskih poteškoća („problematičan dug”) zbog kojih nije u stanju u dovoljnoj mjeri servisirati dug, a koja ne bi bila odobrena da dužnik nije u financijskim poteškoćama;</w:t>
      </w:r>
    </w:p>
    <w:p w:rsidR="009E6057" w:rsidRDefault="00A834F1">
      <w:pPr>
        <w:pStyle w:val="Text1"/>
        <w:numPr>
          <w:ilvl w:val="1"/>
          <w:numId w:val="41"/>
        </w:numPr>
        <w:ind w:left="1134"/>
      </w:pPr>
      <w:r>
        <w:t>potpuno ili djelomično refinanciranje ugovora o problematičnom dugu koje ne bi bilo odobreno da dužnik nije u financijskim poteškoćama.</w:t>
      </w:r>
    </w:p>
    <w:p w:rsidR="009E6057" w:rsidRDefault="00A834F1">
      <w:pPr>
        <w:pStyle w:val="Baseparagraphnumbered"/>
        <w:tabs>
          <w:tab w:val="left" w:pos="851"/>
        </w:tabs>
        <w:ind w:left="709"/>
      </w:pPr>
      <w:r>
        <w:t xml:space="preserve"> Dokaz o ustupku uključuje barem jedno od sljedećeg:</w:t>
      </w:r>
    </w:p>
    <w:p w:rsidR="009E6057" w:rsidRDefault="00A834F1">
      <w:pPr>
        <w:pStyle w:val="Text1"/>
        <w:numPr>
          <w:ilvl w:val="0"/>
          <w:numId w:val="42"/>
        </w:numPr>
        <w:ind w:left="1134"/>
      </w:pPr>
      <w:r>
        <w:t>između izmijenjenih uvjeta ugovora i uvjeta ugovora prije izmjene postoji razlika u korist dužnika;</w:t>
      </w:r>
    </w:p>
    <w:p w:rsidR="009E6057" w:rsidRDefault="00A834F1">
      <w:pPr>
        <w:pStyle w:val="Text1"/>
        <w:numPr>
          <w:ilvl w:val="0"/>
          <w:numId w:val="42"/>
        </w:numPr>
        <w:ind w:left="1134"/>
      </w:pPr>
      <w:r>
        <w:t xml:space="preserve">u izmijenjeni su ugovor uvršteni povoljniji uvjeti u odnosu na uvjete koje bi ista institucija u trenutku ugovaranja povoljnijih uvjeta odobrila drugim dužnicima sličnog profila rizičnosti. </w:t>
      </w:r>
    </w:p>
    <w:p w:rsidR="009E6057" w:rsidRDefault="00A834F1">
      <w:pPr>
        <w:pStyle w:val="Baseparagraphnumbered"/>
        <w:tabs>
          <w:tab w:val="left" w:pos="851"/>
        </w:tabs>
        <w:ind w:left="709"/>
      </w:pPr>
      <w:r>
        <w:t xml:space="preserve"> Izvršenje ugovornih odredaba, uz pristanak dužnika, koje dužniku omogućuju promjenu uvjeta ugovora („ugrađene ugovorne odredbe o restrukturiranju”) tretira se kao ustupak kada institucija odobri izvršenje tih odredaba i zaključi da je dužnik u financijskim poteškoćama. </w:t>
      </w:r>
    </w:p>
    <w:p w:rsidR="009E6057" w:rsidRDefault="00A834F1">
      <w:pPr>
        <w:pStyle w:val="Baseparagraphnumbered"/>
        <w:tabs>
          <w:tab w:val="left" w:pos="851"/>
        </w:tabs>
        <w:ind w:left="709"/>
      </w:pPr>
      <w:r>
        <w:t xml:space="preserve">Za potrebe priloga III. i IV. te ovog Priloga, „refinanciranje” znači korištenje ugovora o dugu za potpunu ili djelomičnu otplatu drugih ugovora o dugu čije uvjete dužnik nije u mogućnosti ispuniti. </w:t>
      </w:r>
    </w:p>
    <w:p w:rsidR="009E6057" w:rsidRDefault="00A834F1">
      <w:pPr>
        <w:pStyle w:val="Baseparagraphnumbered"/>
        <w:tabs>
          <w:tab w:val="left" w:pos="851"/>
        </w:tabs>
        <w:ind w:left="709"/>
      </w:pPr>
      <w:r>
        <w:t xml:space="preserve">Za potrebe obrasca 19. izraz „dužnik” uključuje sve pravne osobe u dužnikovoj grupi obuhvaćene računovodstvenim opsegom konsolidacije i fizičke osobe koje kontroliraju tu grupu. </w:t>
      </w:r>
    </w:p>
    <w:p w:rsidR="009E6057" w:rsidRDefault="00A834F1">
      <w:pPr>
        <w:pStyle w:val="Baseparagraphnumbered"/>
        <w:tabs>
          <w:tab w:val="left" w:pos="851"/>
        </w:tabs>
        <w:ind w:left="709"/>
      </w:pPr>
      <w:r>
        <w:t xml:space="preserve">Za potrebe obrasca 19. izraz „dug” uključuje kredite i predujmove (koji uključuju sredstva u središnjim bankama i ostale depozite po viđenju), dužničke vrijednosne papire te opozive i neopozive preuzete obveze po kreditima, uključujući one preuzete obveze po kreditima mjerene po fer vrijednosti kroz dobit ili gubitak koje su imovina na izvještajni datum. „Dug” ne uključuje izloženosti koje se drže radi trgovanja. </w:t>
      </w:r>
    </w:p>
    <w:p w:rsidR="009E6057" w:rsidRDefault="00A834F1">
      <w:pPr>
        <w:pStyle w:val="Baseparagraphnumbered"/>
        <w:tabs>
          <w:tab w:val="left" w:pos="851"/>
        </w:tabs>
        <w:ind w:left="709"/>
      </w:pPr>
      <w:r>
        <w:t>„Dug” uključuje i kredite i predujmove i dužničke vrijednosne papire klasificirane kao dugotrajna imovina i grupe za otuđenje klasificirane kao namijenjene za prodaju u skladu s MSFI-jem 5.</w:t>
      </w:r>
    </w:p>
    <w:p w:rsidR="009E6057" w:rsidRDefault="00A834F1">
      <w:pPr>
        <w:pStyle w:val="Baseparagraphnumbered"/>
        <w:tabs>
          <w:tab w:val="left" w:pos="851"/>
        </w:tabs>
        <w:ind w:left="709"/>
      </w:pPr>
      <w:r>
        <w:t xml:space="preserve"> Za potrebe obrasca 19. izraz „izloženost” ima isto značenje kao izraz „dug” iz točaka 246. i 247. ovog dijela. </w:t>
      </w:r>
    </w:p>
    <w:p w:rsidR="009E6057" w:rsidRDefault="00A834F1">
      <w:pPr>
        <w:pStyle w:val="Baseparagraphnumbered"/>
        <w:tabs>
          <w:tab w:val="left" w:pos="851"/>
        </w:tabs>
        <w:ind w:left="709"/>
      </w:pPr>
      <w:r>
        <w:t xml:space="preserve">Računovodstveni portfelji na temelju MSFI-ja navedeni u točki 15. dijela 1. ovog Priloga i u skladu s mjerodavnim nacionalnim općeprihvaćenim računovodstvenim načelima na temelju BAD-a navedeni u točki 16. dijelu 1. ovog Priloga iskazuju se u obrascu 19. u skladu s točkom 233. ovog dijela. </w:t>
      </w:r>
    </w:p>
    <w:p w:rsidR="009E6057" w:rsidRDefault="00A834F1">
      <w:pPr>
        <w:pStyle w:val="Baseparagraphnumbered"/>
        <w:tabs>
          <w:tab w:val="left" w:pos="851"/>
        </w:tabs>
        <w:ind w:left="709"/>
      </w:pPr>
      <w:r>
        <w:lastRenderedPageBreak/>
        <w:t>Za potrebe obrasca 19. „institucija” znači institucija koja je primijenila mjere restrukturiranja.</w:t>
      </w:r>
    </w:p>
    <w:p w:rsidR="009E6057" w:rsidRDefault="00A834F1">
      <w:pPr>
        <w:pStyle w:val="Baseparagraphnumbered"/>
        <w:tabs>
          <w:tab w:val="left" w:pos="851"/>
        </w:tabs>
        <w:ind w:left="709"/>
      </w:pPr>
      <w:r>
        <w:t>U obrascu 19. „bruto knjigovodstvena vrijednost” duga iskazuje se u skladu s točkom 34. dijela 1. ovog Priloga. Iskazuje se nominalni iznos preuzetih obveza po kreditima koje su izvanbilančne izloženosti kako je definirano u točki 118. ovog dijela ovog Priloga.</w:t>
      </w:r>
    </w:p>
    <w:p w:rsidR="009E6057" w:rsidRDefault="00A834F1">
      <w:pPr>
        <w:pStyle w:val="Baseparagraphnumbered"/>
        <w:tabs>
          <w:tab w:val="left" w:pos="851"/>
        </w:tabs>
        <w:ind w:left="709"/>
      </w:pPr>
      <w:r>
        <w:t>Smatra se da su izloženosti restrukturirane ako je učinjen ustupak, neovisno o tome ima li dospjelih iznosa i neovisno o klasifikaciji izloženosti kao izloženosti s umanjenom vrijednošću u skladu s primjenjivim računovodstvenim okvirom ili kao izloženosti u statusu neispunjavanja obveza u skladu s člankom 178. CRR-a. Izloženosti se ne tretiraju kao restrukturirane ako dužnik nije u financijskim poteškoćama. Na temelju MSFI-ja promijenjena financijska imovina (MSFI 9.5.4.3 i Dodatak A) smatra se restrukturiranom ako je napravljen ustupak kako je definirano u točkama 240. i 241. ovog dijela ovog Priloga, neovisno o tome kako ta promjena utječe na promjenu kreditnog rizika financijske imovine nakon početnog priznavanja. Bilo koja sljedeća mjera tretira se kao mjera restrukturiranja:</w:t>
      </w:r>
    </w:p>
    <w:p w:rsidR="009E6057" w:rsidRDefault="00A834F1">
      <w:pPr>
        <w:pStyle w:val="Text1"/>
        <w:numPr>
          <w:ilvl w:val="1"/>
          <w:numId w:val="43"/>
        </w:numPr>
        <w:ind w:left="1134" w:hanging="425"/>
      </w:pPr>
      <w:r>
        <w:t>izmijenjeni ugovor koji je prije izmjene klasificiran kao neprihodujući ili bi bio klasificiran kao neprihodujući da nije bilo izmjene;</w:t>
      </w:r>
    </w:p>
    <w:p w:rsidR="009E6057" w:rsidRDefault="00A834F1">
      <w:pPr>
        <w:pStyle w:val="Text1"/>
        <w:numPr>
          <w:ilvl w:val="1"/>
          <w:numId w:val="43"/>
        </w:numPr>
        <w:ind w:left="1134" w:hanging="425"/>
      </w:pPr>
      <w:r>
        <w:t>izmjena ugovora uključuje potpuno ili djelomično poništenje duga otpisom;</w:t>
      </w:r>
    </w:p>
    <w:p w:rsidR="009E6057" w:rsidRDefault="00A834F1">
      <w:pPr>
        <w:pStyle w:val="Text1"/>
        <w:numPr>
          <w:ilvl w:val="1"/>
          <w:numId w:val="43"/>
        </w:numPr>
        <w:ind w:left="1134" w:hanging="425"/>
      </w:pPr>
      <w:r>
        <w:t>institucija odobrava primjenu ugrađenih ugovornih odredaba o restrukturiranju za dužnika koji je neprihodujući ili bi se smatrao neprihodujućim bez primjene tih ugovornih odredaba;</w:t>
      </w:r>
    </w:p>
    <w:p w:rsidR="009E6057" w:rsidRDefault="00A834F1">
      <w:pPr>
        <w:pStyle w:val="Text1"/>
        <w:numPr>
          <w:ilvl w:val="1"/>
          <w:numId w:val="43"/>
        </w:numPr>
        <w:ind w:left="1134" w:hanging="425"/>
      </w:pPr>
      <w:r>
        <w:t>istodobno kada mu je institucija odobrila dodatni dug, ili neposredno prije ili nakon toga, dužnik je izvršio plaćanja glavnice ili kamata po drugom ugovoru s institucijom koji je bio neprihodujući ili bi bio klasificiran kao neprihodujući da nije izvršeno refinanciranje.</w:t>
      </w:r>
    </w:p>
    <w:p w:rsidR="009E6057" w:rsidRDefault="00A834F1">
      <w:pPr>
        <w:pStyle w:val="Baseparagraphnumbered"/>
        <w:tabs>
          <w:tab w:val="left" w:pos="851"/>
        </w:tabs>
        <w:ind w:left="709"/>
      </w:pPr>
      <w:r>
        <w:t>Promjena koja uključuje otplate dobivanjem kolaterala u posjed tretira se kao mjera restrukturiranja ako ta izmjena predstavlja ustupak.</w:t>
      </w:r>
    </w:p>
    <w:p w:rsidR="009E6057" w:rsidRDefault="00A834F1">
      <w:pPr>
        <w:pStyle w:val="Baseparagraphnumbered"/>
        <w:tabs>
          <w:tab w:val="left" w:pos="851"/>
        </w:tabs>
        <w:ind w:left="709"/>
      </w:pPr>
      <w:r>
        <w:t>Smatra se da postoji oboriva pretpostavka da je došlo do restrukturiranja u sljedećim slučajevima:</w:t>
      </w:r>
    </w:p>
    <w:p w:rsidR="009E6057" w:rsidRDefault="00A834F1">
      <w:pPr>
        <w:pStyle w:val="Text1"/>
        <w:numPr>
          <w:ilvl w:val="0"/>
          <w:numId w:val="83"/>
        </w:numPr>
        <w:ind w:left="1134" w:hanging="425"/>
      </w:pPr>
      <w:r>
        <w:t xml:space="preserve">izmijenjeni je ugovor bio u cijelosti ili djelomično dospio više do 30 dana (a da nije bio neprihodujući) najmanje jedanput tijekom tri mjeseca prije izmjene ili bi bio dospio više od 30 dana, djelomično ili u cijelosti, da nije bilo izmjene; </w:t>
      </w:r>
    </w:p>
    <w:p w:rsidR="009E6057" w:rsidRDefault="00A834F1">
      <w:pPr>
        <w:pStyle w:val="Text1"/>
        <w:numPr>
          <w:ilvl w:val="0"/>
          <w:numId w:val="83"/>
        </w:numPr>
        <w:ind w:left="1134" w:hanging="425"/>
      </w:pPr>
      <w:r>
        <w:t>istodobno kada mu je institucija odobrila dodatni dug, ili neposredno prije ili nakon toga, dužnik je izvršio plaćanja glavnice ili kamata po drugom ugovoru s institucijom koji je najmanje jedanput tijekom tri mjeseca prije refinanciranja bio više od 30 dana dospio, djelomično ili u cijelosti;</w:t>
      </w:r>
    </w:p>
    <w:p w:rsidR="009E6057" w:rsidRDefault="00A834F1">
      <w:pPr>
        <w:pStyle w:val="Text1"/>
        <w:numPr>
          <w:ilvl w:val="0"/>
          <w:numId w:val="83"/>
        </w:numPr>
        <w:ind w:left="1134" w:hanging="425"/>
      </w:pPr>
      <w:r>
        <w:t>institucija odobrava primjenu ugrađenih ugovornih odredaba o restrukturiranju dužnicima čija su plaćanja dospjela 30 dana ili bi bila dospjela 30 dana bez primjene tih ugovornih odredaba.</w:t>
      </w:r>
    </w:p>
    <w:p w:rsidR="009E6057" w:rsidRDefault="004F1742">
      <w:pPr>
        <w:pStyle w:val="Baseparagraphnumbered"/>
        <w:tabs>
          <w:tab w:val="left" w:pos="851"/>
        </w:tabs>
        <w:ind w:left="709"/>
      </w:pPr>
      <w:r>
        <w:lastRenderedPageBreak/>
        <w:t>Financijske poteškoće ocjenjuju se na razini dužnika kako je navedeno u točki 245. Samo izloženosti na koje su primijenjene mjere restrukturiranja utvrđuju se kao restrukturirane izloženosti.</w:t>
      </w:r>
    </w:p>
    <w:p w:rsidR="009E6057" w:rsidRDefault="00A834F1">
      <w:pPr>
        <w:pStyle w:val="Baseparagraphnumbered"/>
        <w:tabs>
          <w:tab w:val="left" w:pos="851"/>
        </w:tabs>
        <w:ind w:left="709"/>
      </w:pPr>
      <w:r>
        <w:t>Restrukturirane izloženosti navode se kao dio kategorije neprihodujućih izloženosti ili kategorije prihodujućih izloženosti u skladu s točkama od 213. do 239. i 260. ovog dijela. Klasifikacija u kategoriju restrukturiranih izloženosti prestaje ako se ispune svi sljedeći uvjeti:</w:t>
      </w:r>
    </w:p>
    <w:p w:rsidR="009E6057" w:rsidRDefault="00A834F1">
      <w:pPr>
        <w:pStyle w:val="Text1"/>
        <w:numPr>
          <w:ilvl w:val="0"/>
          <w:numId w:val="44"/>
        </w:numPr>
        <w:ind w:left="1134" w:hanging="425"/>
      </w:pPr>
      <w:r>
        <w:t>restrukturirana izloženost smatra se prihodujućom, također i u slučaju ako je izloženost reklasificirana iz kategorije neprihodujućih izloženosti nakon što je analiza financijskog položaja dužnika pokazala da više ne ispunjava uvjete da se tretira kao neprihodujuća;</w:t>
      </w:r>
    </w:p>
    <w:p w:rsidR="009E6057" w:rsidRDefault="00A834F1">
      <w:pPr>
        <w:pStyle w:val="Text1"/>
        <w:numPr>
          <w:ilvl w:val="0"/>
          <w:numId w:val="44"/>
        </w:numPr>
        <w:ind w:left="1134" w:hanging="425"/>
      </w:pPr>
      <w:r>
        <w:t>isteklo je razdoblje od najmanje dvije godine od dana kada se restrukturirana izloženost počela smatrati prihodujućom („probno razdoblje”);</w:t>
      </w:r>
    </w:p>
    <w:p w:rsidR="009E6057" w:rsidRDefault="00A834F1">
      <w:pPr>
        <w:pStyle w:val="Text1"/>
        <w:numPr>
          <w:ilvl w:val="0"/>
          <w:numId w:val="44"/>
        </w:numPr>
        <w:ind w:left="1134" w:hanging="425"/>
      </w:pPr>
      <w:r>
        <w:t xml:space="preserve">barem u jednoj polovici probnog razdoblja izvršena su redovita plaćanja koja ukupno čine više od beznačajnog iznosa glavnice ili kamata; </w:t>
      </w:r>
    </w:p>
    <w:p w:rsidR="009E6057" w:rsidRDefault="00A834F1">
      <w:pPr>
        <w:pStyle w:val="Text1"/>
        <w:numPr>
          <w:ilvl w:val="0"/>
          <w:numId w:val="44"/>
        </w:numPr>
        <w:ind w:left="1134" w:hanging="425"/>
      </w:pPr>
      <w:r>
        <w:t xml:space="preserve">na kraju probnog razdoblja ni jedna izloženost prema dužniku nije dospjela više od 30 dana. </w:t>
      </w:r>
    </w:p>
    <w:p w:rsidR="009E6057" w:rsidRDefault="00A834F1">
      <w:pPr>
        <w:pStyle w:val="Baseparagraphnumbered"/>
        <w:tabs>
          <w:tab w:val="left" w:pos="851"/>
        </w:tabs>
        <w:ind w:left="709"/>
      </w:pPr>
      <w:r>
        <w:t xml:space="preserve">Ako uvjeti iz točke 256. nisu ispunjeni na kraju probnog razdoblja, izloženost se nastavlja utvrđivati kao prihodujuća restrukturirana izloženost u probnom razdoblju dok se ne ispune svi uvjeti. Uvjeti se ocjenjuju barem tromjesečno. </w:t>
      </w:r>
    </w:p>
    <w:p w:rsidR="009E6057" w:rsidRDefault="00A834F1">
      <w:pPr>
        <w:pStyle w:val="Baseparagraphnumbered"/>
        <w:tabs>
          <w:tab w:val="left" w:pos="851"/>
        </w:tabs>
        <w:ind w:left="709"/>
      </w:pPr>
      <w:r>
        <w:t>Restrukturirane izloženosti klasificirane kao dugotrajna imovina namijenjena za prodaju u skladu s MSFI-jem 5 nastavljaju se klasificirati kao restrukturirane izloženosti.</w:t>
      </w:r>
    </w:p>
    <w:p w:rsidR="009E6057" w:rsidRDefault="00A834F1">
      <w:pPr>
        <w:pStyle w:val="Baseparagraphnumbered"/>
        <w:tabs>
          <w:tab w:val="left" w:pos="851"/>
        </w:tabs>
        <w:ind w:left="709"/>
      </w:pPr>
      <w:r>
        <w:t>Restrukturirana izloženost može se smatrati prihodujućom od datuma početka primjene mjera restrukturiranja ako su ispunjena oba sljedeća uvjeta:</w:t>
      </w:r>
    </w:p>
    <w:p w:rsidR="009E6057" w:rsidRDefault="00A834F1">
      <w:pPr>
        <w:pStyle w:val="Text1"/>
        <w:numPr>
          <w:ilvl w:val="0"/>
          <w:numId w:val="46"/>
        </w:numPr>
        <w:ind w:left="1134" w:hanging="425"/>
      </w:pPr>
      <w:r>
        <w:t>restrukturiranje nije dovelo do klasifikacije izloženosti kao neprihodujuće;</w:t>
      </w:r>
    </w:p>
    <w:p w:rsidR="009E6057" w:rsidRDefault="00A834F1">
      <w:pPr>
        <w:pStyle w:val="Text1"/>
        <w:numPr>
          <w:ilvl w:val="0"/>
          <w:numId w:val="46"/>
        </w:numPr>
        <w:ind w:left="1134" w:hanging="425"/>
      </w:pPr>
      <w:r>
        <w:t xml:space="preserve">izloženost se nije smatrala neprihodujućom izloženošću na dan kada su odobrene mjere restrukturiranja. </w:t>
      </w:r>
    </w:p>
    <w:p w:rsidR="009E6057" w:rsidRDefault="00A834F1">
      <w:pPr>
        <w:pStyle w:val="Baseparagraphnumbered"/>
        <w:tabs>
          <w:tab w:val="left" w:pos="851"/>
        </w:tabs>
        <w:ind w:left="709"/>
      </w:pPr>
      <w:r>
        <w:t xml:space="preserve">Ako se na prihodujuću restrukturiranu izloženost u probnom razdoblju reklasificiranu iz kategorije neprihodujućih izloženosti primjenjuju dodatne mjere restrukturiranja ili ako restrukturirana izloženost u probnom razdoblju reklasificirana iz kategorije neprihodujućih izloženosti bude dospjela više od 30 dana, izloženost se klasificira kao neprihodujuća. </w:t>
      </w:r>
    </w:p>
    <w:p w:rsidR="009E6057" w:rsidRDefault="00A834F1">
      <w:pPr>
        <w:pStyle w:val="Baseparagraphnumbered"/>
        <w:tabs>
          <w:tab w:val="left" w:pos="851"/>
        </w:tabs>
        <w:ind w:left="709"/>
      </w:pPr>
      <w:r>
        <w:t xml:space="preserve">„Prihodujuće izloženosti s mjerama restrukturiranja” (prihodujuće restrukturirane izloženosti) sastoje se od restrukturiranih izloženosti koje ne ispunjavaju kriterije za neprihodujuće izloženosti i navode se u kategoriji prihodujućih izloženosti. Prihodujuće restrukturirane izloženosti u probnom su razdoblju dok se ne ispune uvjeti iz točaka 256. i 259. ovog dijela. Prihodujuće restrukturirane izloženosti u probnom razdoblju koje su reklasificirane iz kategorije neprihodujućih izloženosti iskazuju se zasebno u okviru prihodujućih </w:t>
      </w:r>
      <w:r>
        <w:lastRenderedPageBreak/>
        <w:t xml:space="preserve">izloženosti s mjerama restrukturiranja u stupcu „od čega: prihodujuće restrukturirane izloženosti u probnom razdoblju koje su reklasificirane iz kategorije neprihodujućih izloženosti”. </w:t>
      </w:r>
    </w:p>
    <w:p w:rsidR="009E6057" w:rsidRDefault="00A834F1">
      <w:pPr>
        <w:pStyle w:val="Baseparagraphnumbered"/>
        <w:tabs>
          <w:tab w:val="left" w:pos="851"/>
        </w:tabs>
        <w:ind w:left="709"/>
      </w:pPr>
      <w:r>
        <w:t xml:space="preserve">„Neprihodujuće izloženosti s mjerama restrukturiranja” (neprihodujuće restrukturirane izloženosti) sastoje se od restrukturiranih izloženosti koje ispunjavaju kriterije za neprihodujuće izloženosti i navode se u kategoriji neprihodujućih izloženosti. Te neprihodujuće restrukturirane izloženosti uključuju sljedeće: </w:t>
      </w:r>
    </w:p>
    <w:p w:rsidR="009E6057" w:rsidRDefault="00A834F1">
      <w:pPr>
        <w:pStyle w:val="Text1"/>
        <w:numPr>
          <w:ilvl w:val="0"/>
          <w:numId w:val="47"/>
        </w:numPr>
        <w:ind w:left="1134" w:hanging="425"/>
      </w:pPr>
      <w:r>
        <w:t xml:space="preserve">izloženosti koje su postale neprihodujuće zbog primjene mjera restrukturiranja; </w:t>
      </w:r>
    </w:p>
    <w:p w:rsidR="009E6057" w:rsidRDefault="00A834F1">
      <w:pPr>
        <w:pStyle w:val="Text1"/>
        <w:numPr>
          <w:ilvl w:val="0"/>
          <w:numId w:val="47"/>
        </w:numPr>
        <w:ind w:left="1134" w:hanging="425"/>
      </w:pPr>
      <w:r>
        <w:t xml:space="preserve">izloženosti koje su bile neprihodujuće prije odobrenja mjera restrukturiranja;  </w:t>
      </w:r>
    </w:p>
    <w:p w:rsidR="009E6057" w:rsidRDefault="00A834F1">
      <w:pPr>
        <w:pStyle w:val="Text1"/>
        <w:numPr>
          <w:ilvl w:val="0"/>
          <w:numId w:val="47"/>
        </w:numPr>
        <w:ind w:left="1134" w:hanging="425"/>
      </w:pPr>
      <w:r>
        <w:t xml:space="preserve">restrukturirane izloženosti koje su reklasificirane iz kategorije prihodujućih izloženosti, uključujući izloženosti reklasificirane primjenom točke 260. </w:t>
      </w:r>
    </w:p>
    <w:p w:rsidR="009E6057" w:rsidRDefault="00A834F1">
      <w:pPr>
        <w:pStyle w:val="Baseparagraphnumbered"/>
        <w:tabs>
          <w:tab w:val="left" w:pos="851"/>
        </w:tabs>
        <w:ind w:left="709"/>
      </w:pPr>
      <w:r>
        <w:t>Ako se mjere restrukturiranja proširuju na izloženosti koje su bile neprihodujuće prije odobrenja mjera restrukturiranja, iznos tih restrukturiranih izloženosti zasebno se utvrđuje u stupcu „od čega: restrukturiranje izloženosti koje su bile neprihodujuće prije odobrenja mjera restrukturiranja”.</w:t>
      </w:r>
    </w:p>
    <w:p w:rsidR="009E6057" w:rsidRDefault="00A834F1">
      <w:pPr>
        <w:pStyle w:val="Baseparagraphnumbered"/>
        <w:tabs>
          <w:tab w:val="left" w:pos="851"/>
        </w:tabs>
        <w:ind w:left="709"/>
      </w:pPr>
      <w:r>
        <w:t>Sljedeće se neprihodujuće izloženosti s mjerama restrukturiranja utvrđuju u zasebnim stupcima:</w:t>
      </w:r>
    </w:p>
    <w:p w:rsidR="009E6057" w:rsidRDefault="00A834F1">
      <w:pPr>
        <w:pStyle w:val="Text1"/>
        <w:numPr>
          <w:ilvl w:val="0"/>
          <w:numId w:val="48"/>
        </w:numPr>
        <w:ind w:left="1134" w:hanging="425"/>
      </w:pPr>
      <w:r>
        <w:t>izloženosti koje se u skladu s primjenjivim računovodstvenim okvirom smatraju izloženostima kojima je vrijednost umanjena. Na temelju MSFI-ja, iznos imovine kojoj je umanjena vrijednost za kreditne gubitke (faza 3), uključujući kupljenu ili iniciranu imovinu kojoj je vrijednost umanjena za kreditne gubitke u skladu s točkom 77. ovog dijela iskazuje se u ovom stupcu.</w:t>
      </w:r>
    </w:p>
    <w:p w:rsidR="009E6057" w:rsidRDefault="00A834F1">
      <w:pPr>
        <w:pStyle w:val="Text1"/>
        <w:numPr>
          <w:ilvl w:val="0"/>
          <w:numId w:val="48"/>
        </w:numPr>
        <w:ind w:left="1134" w:hanging="425"/>
      </w:pPr>
      <w:r>
        <w:t>izloženosti za koje se smatra da je nastupio status neispunjavanja obveza u skladu s člankom 178. CRR-a.</w:t>
      </w:r>
    </w:p>
    <w:p w:rsidR="009E6057" w:rsidRDefault="00A834F1">
      <w:pPr>
        <w:pStyle w:val="Baseparagraphnumbered"/>
        <w:tabs>
          <w:tab w:val="left" w:pos="851"/>
        </w:tabs>
        <w:ind w:left="709"/>
      </w:pPr>
      <w:r>
        <w:t xml:space="preserve">Stupac „Refinanciranje” sadržava bruto knjigovodstvenu vrijednost novog ugovora („refinanciranje duga”) odobrenog u okviru transakcije refinanciranja koji ispunjava uvjete za mjeru restrukturiranja i bruto knjigovodstvenu vrijednost starog otplaćenog ugovora koja još nije podmirena. </w:t>
      </w:r>
    </w:p>
    <w:p w:rsidR="009E6057" w:rsidRDefault="00A834F1">
      <w:pPr>
        <w:pStyle w:val="Baseparagraphnumbered"/>
        <w:tabs>
          <w:tab w:val="left" w:pos="851"/>
        </w:tabs>
        <w:ind w:left="709"/>
      </w:pPr>
      <w:r>
        <w:t>Restrukturirane izloženosti koje sadržavaju i izmjene i refinanciranje raspoređuju se u stupac „Instrumenti s izmjenama uvjeta” ili stupac „Refinanciranje”, ovisno o tome koja mjera ima najviše utjecaja na novčane tokove. Refinanciranje od strane skupa banaka iskazuje se u stupcu „Refinanciranje” u ukupnom iznosu refinanciranja duga koji je odobrila institucija koja izvješćuje ili u preostalom iznosu refinanciranog duga prema instituciji koja izvješćuje. Preoblikovanje više dugova u jedan novi dug iskazuje se kao promjena, osim ako transakcija refinanciranja ima veći utjecaj na novčane tokove. Ako u slučaju restrukturiranja izmjenom uvjeta problematične izloženosti dođe do prestanka priznavanja te izloženosti i priznavanja nove izloženosti, ta nova izloženost tretira se kao restrukturirani dug.</w:t>
      </w:r>
    </w:p>
    <w:p w:rsidR="009E6057" w:rsidRDefault="004F1742">
      <w:pPr>
        <w:pStyle w:val="Baseparagraphnumbered"/>
        <w:tabs>
          <w:tab w:val="left" w:pos="851"/>
        </w:tabs>
        <w:ind w:left="709"/>
      </w:pPr>
      <w:r>
        <w:lastRenderedPageBreak/>
        <w:t xml:space="preserve">Akumulirano umanjenje vrijednosti, akumulirane negativne promjene fer vrijednosti zbog kreditnog rizika i rezervacija iskazuju se u skladu s točkama 11., od 69. do 71., 106. i 110. ovog dijela.  </w:t>
      </w:r>
    </w:p>
    <w:p w:rsidR="009E6057" w:rsidRDefault="00A834F1">
      <w:pPr>
        <w:pStyle w:val="Baseparagraphnumbered"/>
        <w:tabs>
          <w:tab w:val="left" w:pos="851"/>
        </w:tabs>
        <w:ind w:left="709"/>
      </w:pPr>
      <w:r>
        <w:t>Primljeni kolateral i primljena jamstva po izloženostima s mjerama restrukturiranja iskazuju se za sve izloženosti s mjerama restrukturiranja, neovisno o tome jesu li prihodujuće ili neprihodujuće. Osim toga, primljeni kolateral i primljena jamstva po neprihodujućim izloženostima s mjerama restrukturiranja iskazuju se zasebno. Iznosi koji se iskazuju za primljeni kolateral i primljena jamstva izračunavaju se u skladu s točkama 172. i 174. ovog dijela. Zbroj iznosa iskazanih za kolaterale i jamstva ograničava se na knjigovodstvenu vrijednost povezane izvanbilančne izloženosti ili nominalni iznos nakon odbitka rezervacija za povezanu izvanbilančnu izloženost.</w:t>
      </w:r>
    </w:p>
    <w:p w:rsidR="009E6057" w:rsidRDefault="00A834F1">
      <w:pPr>
        <w:pStyle w:val="subtitlenumbered"/>
        <w:jc w:val="both"/>
      </w:pPr>
      <w:bookmarkStart w:id="61" w:name="_Toc30667515"/>
      <w:r>
        <w:t>Geografska raščlamba (20.)</w:t>
      </w:r>
      <w:bookmarkEnd w:id="61"/>
    </w:p>
    <w:p w:rsidR="009E6057" w:rsidRDefault="00A834F1">
      <w:pPr>
        <w:pStyle w:val="Baseparagraphnumbered"/>
      </w:pPr>
      <w:r>
        <w:t xml:space="preserve">Obrazac 20. podnosi se ako institucija premaši prag opisan u članku 5. stavku (a) točki 4. ove Uredbe. </w:t>
      </w:r>
    </w:p>
    <w:p w:rsidR="009E6057" w:rsidRDefault="00A834F1">
      <w:pPr>
        <w:pStyle w:val="sub-subtitlenumbered"/>
        <w:jc w:val="both"/>
      </w:pPr>
      <w:bookmarkStart w:id="62" w:name="_Toc30667516"/>
      <w:r>
        <w:t>Geografska raščlamba prema mjestu poslovanja (20.1. – 20.3.)</w:t>
      </w:r>
      <w:bookmarkEnd w:id="62"/>
    </w:p>
    <w:p w:rsidR="009E6057" w:rsidRDefault="00A834F1">
      <w:pPr>
        <w:pStyle w:val="Baseparagraphnumbered"/>
      </w:pPr>
      <w:r>
        <w:t>U geografskoj raščlambi prema mjestu poslovanja u obrascima od 20.1. do 20.3. razlikuju se „domaće poslovanje” i „strano poslovanje”. Za potrebe ovog dijela „mjesto poslovanja” znači jurisdikcija osnivanja pravnog subjekta koji je priznao odgovarajuću imovinu ili odgovarajuće obveze. U slučaju podružnica riječ je o jurisdikciji njezine rezidentnosti. U tu svrhu „domaće” uključuje poslovanje priznato u državi članici u kojoj se institucija koja izvješćuje nalazi.</w:t>
      </w:r>
    </w:p>
    <w:p w:rsidR="009E6057" w:rsidRDefault="00A834F1">
      <w:pPr>
        <w:pStyle w:val="sub-subtitlenumbered"/>
        <w:jc w:val="both"/>
      </w:pPr>
      <w:bookmarkStart w:id="63" w:name="_Toc30667517"/>
      <w:r>
        <w:t>Geografska raščlamba prema rezidentnosti druge ugovorne strane (20.4. – 20.7.)</w:t>
      </w:r>
      <w:bookmarkEnd w:id="63"/>
    </w:p>
    <w:p w:rsidR="009E6057" w:rsidRDefault="00A834F1">
      <w:pPr>
        <w:pStyle w:val="Baseparagraphnumbered"/>
      </w:pPr>
      <w:r>
        <w:t>U obrascima 20.4. do 20.7. nalaze se informacije „prema zemlji“ rezidentnosti neposredne druge ugovorne strane kako je definirano u točki 43. dijela 1. ovog Priloga. Navedena raščlamba uključuje izloženosti ili obveze s rezidentima u svakoj stranoj zemlji u kojoj institucija ima izloženosti. Izloženosti ili obveze prema međunarodnim organizacijama i multilateralnim razvojnim bankama ne raspoređuju se na zemlju rezidentnosti institucije, već na geografsko područje „Ostale zemlje”.</w:t>
      </w:r>
    </w:p>
    <w:p w:rsidR="009E6057" w:rsidRDefault="00A834F1">
      <w:pPr>
        <w:pStyle w:val="Baseparagraphnumbered"/>
      </w:pPr>
      <w:r>
        <w:t xml:space="preserve">„Izvedenice” uključuju izvedenice kojima se trguje, uključujući ekonomske zaštite, i izvedenice za zaštitu od rizika u skladu s MSFI-jima i nacionalnim općeprihvaćenim računovodstvenim načelima, iskazane u obrascima 10. i 11. </w:t>
      </w:r>
    </w:p>
    <w:p w:rsidR="009E6057" w:rsidRDefault="00A834F1">
      <w:pPr>
        <w:pStyle w:val="Baseparagraphnumbered"/>
      </w:pPr>
      <w:r>
        <w:t>Imovina koja se drži radi trgovanja u skladu s MSFI-jima i imovina kojom se trguje u skladu s nacionalnim općeprihvaćenim računovodstvenim načelima iskazuju se odvojeno. Financijska imovina koja podliježe umanjenju vrijednosti ima isto značenje kao u točki 93. ovog dijela. Za imovinu mjerenu po LOCOM-u koja ima vrijednosna usklađenja potaknuta kreditnim rizikom smatra se da joj je vrijednost umanjena.</w:t>
      </w:r>
    </w:p>
    <w:p w:rsidR="009E6057" w:rsidRDefault="00A834F1">
      <w:pPr>
        <w:pStyle w:val="Baseparagraphnumbered"/>
      </w:pPr>
      <w:r>
        <w:lastRenderedPageBreak/>
        <w:t>U obrascima 20.4 i 20.7 „Akumulirano umanjenje vrijednosti” i „Akumulirane negativne promjene fer vrijednosti zbog kreditnog rizika po neprihodujućim izloženostima” iskazuju se kako je definirano u točkama od 69. do 71. ovog dijela.</w:t>
      </w:r>
    </w:p>
    <w:p w:rsidR="009E6057" w:rsidRDefault="00A834F1">
      <w:pPr>
        <w:pStyle w:val="Baseparagraphnumbered"/>
      </w:pPr>
      <w:r>
        <w:t xml:space="preserve">U obrascu 20.4 „bruto knjigovodstvena vrijednost” dužničkih instrumenata iskazuje se kako je utvrđeno u skladu s točkom 34. dijela 1. ovog Priloga. Kod izvedenica i vlasničkih instrumenata iskazuje se knjigovodstvena vrijednost. U stupcu „od čega: neprihodujući” iskazuju se dužnički instrumenti utvrđeni u skladu s točkama od 213 do 239. ili točkom 260. ovog dijela. Restrukturiranje duga uključuje sve ugovore o „dugu” za potrebe obrasca 19. na koje se primjenjuju mjere restrukturiranja definirane u točkama od 240. do 268. ovog dijela. </w:t>
      </w:r>
    </w:p>
    <w:p w:rsidR="009E6057" w:rsidRDefault="00A834F1">
      <w:pPr>
        <w:pStyle w:val="Baseparagraphnumbered"/>
      </w:pPr>
      <w:r>
        <w:t>U obrascu 20.5. „Rezervacije za preuzete obveze i jamstva” uključuju rezervacije koje se mjere u skladu s MRS-om 37, kreditne gubitke po financijskim jamstvima koja se tretiraju kao ugovori o osiguranju u skladu s MSFI-jem 4 i rezervacije za obveze po kreditima i financijska jamstva na temelju zahtjeva o umanjenju vrijednosti iz MSFI-ja 9 te rezervacije za obveze i jamstva u skladu s nacionalnim općeprihvaćenim računovodstvenim načelima na temelju BAD-a u skladu s točkom 11. ovog dijela.</w:t>
      </w:r>
    </w:p>
    <w:p w:rsidR="009E6057" w:rsidRDefault="00A834F1">
      <w:pPr>
        <w:pStyle w:val="Baseparagraphnumbered"/>
      </w:pPr>
      <w:r>
        <w:t>U obrascu 20.7. krediti i predujmovi koji se ne drže radi trgovanja iskazuju se uz klasifikaciju prema šiframa djelatnosti NACE „prema zemlji”. Šifre djelatnosti NACE iskazuju se uz prvu razinu disgregacije (prema „odjeljku”). Krediti i predujmovi koji podliježu umanjenju vrijednosti odnose se na iste portfelje kako se navodi u točki 93. ovog dijela.</w:t>
      </w:r>
    </w:p>
    <w:p w:rsidR="009E6057" w:rsidRDefault="00A834F1">
      <w:pPr>
        <w:pStyle w:val="subtitlenumbered"/>
        <w:jc w:val="both"/>
      </w:pPr>
      <w:bookmarkStart w:id="64" w:name="_Toc30667518"/>
      <w:r>
        <w:t>Materijalna i nematerijalna imovina: imovina u operativnom najmu (21.)</w:t>
      </w:r>
      <w:bookmarkEnd w:id="64"/>
    </w:p>
    <w:p w:rsidR="009E6057" w:rsidRDefault="00A834F1">
      <w:pPr>
        <w:pStyle w:val="Baseparagraphnumbered"/>
      </w:pPr>
      <w:r>
        <w:t>U svrhu izračuna praga iz članka 9. stavka (e) ove Uredbe, materijalna imovina koju je institucija dala u najam (najmodavac) trećim stranama prema sporazumima koji su kvalificirani kao operativni najmovi u skladu s mjerodavnim računovodstvenim okvirom, dijeli se s ukupnom materijalnom imovinom.</w:t>
      </w:r>
    </w:p>
    <w:p w:rsidR="009E6057" w:rsidRDefault="00A834F1">
      <w:pPr>
        <w:pStyle w:val="Baseparagraphnumbered"/>
      </w:pPr>
      <w:r>
        <w:t>Na temelju MSFI-ja imovina koju je institucija dala u operativni najam (kao najmodavac) trećim stranama iskazuje se raščlanjena prema metodi mjerenja.</w:t>
      </w:r>
    </w:p>
    <w:p w:rsidR="009E6057" w:rsidRDefault="00A834F1">
      <w:pPr>
        <w:pStyle w:val="subtitlenumbered"/>
        <w:jc w:val="both"/>
      </w:pPr>
      <w:bookmarkStart w:id="65" w:name="_Toc30667519"/>
      <w:r>
        <w:t>Upravljanje imovinom, skrbništvo i ostale servisne funkcije (22.)</w:t>
      </w:r>
      <w:bookmarkEnd w:id="65"/>
    </w:p>
    <w:p w:rsidR="009E6057" w:rsidRDefault="00A834F1">
      <w:pPr>
        <w:pStyle w:val="Baseparagraphnumbered"/>
      </w:pPr>
      <w:r>
        <w:t>U svrhu izračuna praga iz članka 9. stavka (f) ove Uredbe iznos „neto prihoda od naknada i provizija” apsolutna je vrijednost razlike između „prihoda od naknada i provizija” i „rashoda od naknada i provizija”. U istu je svrhu iznos „neto kamata” apsolutna vrijednost razlike između „kamatnih prihoda” i „kamatnih rashoda”.</w:t>
      </w:r>
    </w:p>
    <w:p w:rsidR="009E6057" w:rsidRDefault="00A834F1">
      <w:pPr>
        <w:pStyle w:val="sub-subtitlenumbered"/>
        <w:jc w:val="both"/>
      </w:pPr>
      <w:bookmarkStart w:id="66" w:name="_Toc30667520"/>
      <w:r>
        <w:t>Prihodi i rashodi od naknada i provizija prema djelatnosti (22.1.)</w:t>
      </w:r>
      <w:bookmarkEnd w:id="66"/>
    </w:p>
    <w:p w:rsidR="009E6057" w:rsidRDefault="00A834F1">
      <w:pPr>
        <w:pStyle w:val="Baseparagraphnumbered"/>
      </w:pPr>
      <w:r>
        <w:lastRenderedPageBreak/>
        <w:t xml:space="preserve">Prihodi i rashodi od naknada i provizija iskazuju se prema vrsti djelatnosti. Na temelju MSFI-ja u ovom se obrascu navode prihodi i rashodi od naknada i provizija, osim sljedeće dvije kategorije: </w:t>
      </w:r>
    </w:p>
    <w:p w:rsidR="009E6057"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iznosa uzetih u obzir kod izračuna efektivnih kamata financijskih instrumenata (MSFI 7.20.(c)); </w:t>
      </w:r>
    </w:p>
    <w:p w:rsidR="009E6057"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iznosa proizašlih iz financijskih instrumenata koji su mjereni po fer vrijednosti kroz dobit ili gubitak (MSFI 7.20.(c).(i)). </w:t>
      </w:r>
    </w:p>
    <w:p w:rsidR="009E6057" w:rsidRDefault="00A834F1">
      <w:pPr>
        <w:pStyle w:val="Baseparagraphnumbered"/>
      </w:pPr>
      <w:r>
        <w:t>Ne iskazuju se troškovi transakcije koji se mogu izravno pripisati stjecanju ili izdavanju financijskih instrumenata koji se ne mjere po fer vrijednosti kroz dobit ili gubitak. Ti troškovi transakcije dio su početne vrijednosti stjecanja/izdavanja tih instrumenata te se amortiziraju u dobit ili gubitak tijekom svojeg preostalog trajanja primjenom efektivne kamatne stope (MSFI 9.5.1.1.).</w:t>
      </w:r>
    </w:p>
    <w:p w:rsidR="009E6057" w:rsidRDefault="00A834F1">
      <w:pPr>
        <w:pStyle w:val="Baseparagraphnumbered"/>
      </w:pPr>
      <w:r>
        <w:t>Na temelju MSFI-ja troškovi transakcije koji se mogu izravno pripisati stjecanju ili izdavanju financijskih instrumenata koji se ne mjere po fer vrijednosti kroz dobit ili gubitak navode se kao dio stavki „Dobici ili gubici po financijskoj imovini i financijskim obvezama koje se drže radi trgovanja, neto”, „Dobici ili gubici po financijskoj imovini kojom se ne trguje koja se obvezno mjeri po fer vrijednosti kroz dobit ili gubitak, neto” ili „Dobici ili gubici po financijskoj imovini i financijskim obvezama po fer vrijednosti kroz dobit ili gubitak, neto”, ovisno o tome u koji su računovodstveni portfelj ti troškovi transakcije klasificirani. Ti troškovi transakcije nisu dio početne vrijednosti stjecanja ili izdavanja tih instrumenata te se odmah priznaju u dobit ili gubitak.</w:t>
      </w:r>
    </w:p>
    <w:p w:rsidR="009E6057" w:rsidRDefault="00A834F1">
      <w:pPr>
        <w:pStyle w:val="Baseparagraphnumbered"/>
      </w:pPr>
      <w:r>
        <w:t xml:space="preserve">Institucije iskazuju prihode i rashode od naknada i provizija u skladu sa sljedećim kriterijima: </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„Vrijednosni papiri. Izdanja” uključuje naknade i provizije od sudjelovanja u odobravanju ili izdavanju vrijednosnih papira koje institucija nije odobrila niti izdala;</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„Vrijednosni papiri. Nalozi za prijenos” uključuje naknade i provizije od primanja, prijenosa i izvršavanja naloga za prodaju ili kupnju vrijednosnih papira u ime klijenata;</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„Vrijednosni papiri. Ostali prihodi od naknada i provizija u vezi s vrijednosnim papirima” uključuje naknade i provizije od ostalih usluga koje pruža institucija povezanih s vrijednosnim papirima koje ona nije odobrila niti izdala;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u rashodima od naknada i provizija, „vrijednosni papiri” uključuju naknade i provizije obračunate instituciji za usluge u vezi s vrijednosnim papirima neovisno je li ih institucija odobrila ili izdala;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„Korporativno financiranje. Savjetodavne usluge o spajanju i preuzimanju” uključuje naknade i provizije za savjetovanje o aktivnostima korporativnih klijenata u vezi sa spajanjima i preuzimanjima;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„Korporativno financiranje. Usluge riznice” uključuje naknade i provizije za usluge korporativnog financiranja koje se odnose na savjetovanje korporativnih klijenata o tržištu kapitala;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stavka „Korporativno financiranje. Ostali prihodi od naknada i provizija u vezi s aktivnostima korporativnog financiranja” uključuje sve ostale naknade i provizije od korporativnog financiranja;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„Savjetovanje uz naknadu” uključuje naknade i provizije obračunate klijentima za usluge savjetovanja koje se izravno ne odnose na upravljanje imovinom, kao što su naknade za osobno bankarstvo. Naknade za savjetodavne usluge o spajanju i preuzimanju nisu uključene u tu stavku, nego u stavku „Korporativno financiranje. Savjetodavne usluge o spajanju i preuzimanju”;</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„Kliring i namira” uključuje prihode (rashode) od naknada i provizija koje institucija ostvari (koje su joj obračunate) kod sudjelovanja u instrumentima druge ugovorne strane, kliringa i namire;</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stavke „Upravljanje imovinom”, „Skrbništvo”, „Centralne administrativne usluge za subjekte za zajednička ulaganja” i „Fiducijarne transakcije” uključuju prihode (rashode) od naknada i provizija koje institucija ostvari (koje su joj obračunate) kod pružanja tih usluga;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„Platne usluge” uključuje prihode (rashode) od naknada i provizija koje institucija ostvari (koje su joj obračunate) kod pružanja platnih usluga iz Priloga I. Direktivi (EU) 2015/2366 Europskog parlamenta i Vijeća</w:t>
      </w:r>
      <w:r>
        <w:rPr>
          <w:rStyle w:val="FootnoteReference"/>
          <w:rFonts w:ascii="Times New Roman" w:hAnsi="Times New Roman"/>
        </w:rPr>
        <w:footnoteReference w:id="10"/>
      </w:r>
      <w:r>
        <w:rPr>
          <w:rFonts w:ascii="Times New Roman" w:hAnsi="Times New Roman"/>
        </w:rPr>
        <w:t>. Informacije o prihodima od naknada i provizija iskazuju se zasebno za tekuće račune, kreditne kartice, debitne kartice i druga kartična plaćanja, prijenose i druge platne naloge te druge prihode od naknada i provizija za platne usluge. Stavka „Ostali prihodi od naknada i provizija za platne usluge” uključuje naknade za korištenje kartica koje institucija nije izdala na bankomatima institucije. Informacije o rashodima za naknade i provizije po kreditnim, debitnim i drugim karticama iskazuju se zasebno;</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„Distribuirani resursi klijenata kojima se ne upravlja (prema vrsti proizvoda)” uključuje prihode od naknada i provizija za distribuciju proizvoda koje subjekti izvan grupe u bonitetne svrhe izdaju svojim postojećim klijentima. Te se informacije iskazuju prema vrsti proizvoda;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u rashodima za naknade i provizije, stavka „Vanjska distribucija proizvoda” uključuje rashode za distribuciju proizvoda i usluga institucije posredovanjem mreže vanjskih zastupnika ili aranžmanima za distribuciju s vanjskim suradnicima, kao što su hipotekarni posrednici, platforme za internetsko kreditiranje ili pristupna sučelja financijsko-tehnoloških poduzeća;</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„Strukturirana financiranja” uključuju naknade i provizije od sudjelovanja u odobravanju ili izdavanju financijskih instrumenata osim vrijednosnih papira koje institucija odobrava ili izdaje; </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naknade od „aktivnosti servisiranja kredita” uključuju na prihodnoj strani prihode od naknada i provizija koje institucija ostvari od usluga servisiranja kredita, a na rashodnoj strani rashode od naknada i provizija koje instituciji fakturiraju pružatelji kreditnih usluga;</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stavke „Preuzete obveze po kreditima” i „Preuzeta financijska jamstva” uključuju iznos, priznat kao prihodi tijekom razdoblja, amortizacije naknada i provizija za te djelatnosti, koji je prvotno bio priznat kao „ostale obveze”;</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stavke „Primljene obveze po kreditima” i „Primljena financijska jamstva” uključuju naknade i provizije koje institucija priznaje kao rashode tijekom razdoblja na temelju naknade koje je naplatila drugoj ugovornoj strani za njezine preuzete obveze po kreditima ili financijsko jamstvo koji su početno priznati kao „ostala imovina”; </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u stavci „odobreni krediti” iskazuju se naknade i provizije obračunate u postupku odobravanja kredita koje nisu uvrštene u izračun efektivne kamatne stope;</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„Devizno poslovanje” uključuje prihode (rashode) od naknada i provizija za usluge deviznog poslovanja (uključujući zamjenu novčanica i kovanica u stranoj valuti, naknade za međunarodne čekove koji glase na stranu valutu, razliku između kupovne i prodajne cijene) te prihode (rashode) od međunarodnih transakcija. Ako se prihodi (rashodi) koji se mogu pripisati deviznim transakcijama mogu razdvojiti od drugih prihoda od naknada za kreditne i debitne kartice, ta stavka uključuje i naknade i provizije za devizno poslovanje ostvarene po kreditnim i debitnim karticama;</w:t>
      </w:r>
    </w:p>
    <w:p w:rsidR="009E6057"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„Roba” uključuje prihode od naknada i provizija koji se odnose na robno poslovanje, osim prihoda od trgovanja robom koji se iskazuju kao ostali prihodi iz poslovanja;</w:t>
      </w:r>
    </w:p>
    <w:p w:rsidR="009E6057"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stavka „Ostali prihodi (rashodi) od naknada i provizija” uključuje prihode (rashode) od naknada i provizija koje institucija ostvari (koje su joj fakturirane) koje se ne mogu svrstati u druge navedene stavke.</w:t>
      </w:r>
    </w:p>
    <w:p w:rsidR="009E6057" w:rsidRDefault="00A834F1">
      <w:pPr>
        <w:pStyle w:val="sub-subtitlenumbered"/>
        <w:jc w:val="both"/>
      </w:pPr>
      <w:bookmarkStart w:id="67" w:name="_Toc30667521"/>
      <w:r>
        <w:t>Imovina uključena u pružanje usluga (22.2.)</w:t>
      </w:r>
      <w:bookmarkEnd w:id="67"/>
    </w:p>
    <w:p w:rsidR="009E6057" w:rsidRDefault="00A834F1">
      <w:pPr>
        <w:pStyle w:val="Baseparagraphnumbered"/>
      </w:pPr>
      <w:r>
        <w:t>Poslovanje povezano s upravljanjem imovinom, skrbničkim funkcijama i ostalim uslugama koje pruža institucija iskazuje se s pomoću sljedećih definicija:</w:t>
      </w:r>
    </w:p>
    <w:p w:rsidR="009E6057"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„Upravljanje imovinom” odnosi se na imovinu koja pripada izravno klijentima i kojom upravlja institucija. „Upravljanje imovinom” iskazuje se prema vrsti klijenta: subjekti za zajednička ulaganja, mirovinski fondovi, portfelji klijenata kojima se upravlja na diskrecijskoj osnovi i ostali instrumenti ulaganja; </w:t>
      </w:r>
    </w:p>
    <w:p w:rsidR="009E6057"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„Skrbnička imovina” odnosi se na usluge pohrane i administriranja financijskih instrumenata za račun klijenata koje pruža institucija i usluge povezane sa skrbništvom poput upravljanja novčanim sredstvima i kolateralom. „Skrbnička imovina” iskazuje se prema vrsti klijenata za koje institucija drži imovinu kojom se pravi razlika između subjekata za zajednička ulaganja i ostalih. Stavka „od čega: povjerena ostalim subjektima” odnosi se na iznos imovine uključene u skrbničku imovinu za koju je institucija prepustila efektivno skrbništvo drugim subjektima;</w:t>
      </w:r>
    </w:p>
    <w:p w:rsidR="009E6057"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Stavka „Centralne administrativne usluge za zajednička ulaganja” odnosi se na administrativne usluge koje institucija pruža subjektima za zajednička ulaganja. Ona, među ostalim, uključuje usluge agenta za prijenos, sastavljanja računovodstvene dokumentacije, pripreme prospekta, izrade financijskih izvještaja i sve druge dokumentacije namijenjene ulagateljima, vođenja korespondencije dostavljanjem financijskih izvještaja i druge dokumentacije namijenjene ulagateljima, vođenja izdanja i otkupa te registra ulagača, kao i izračuna neto vrijednosti imovine.</w:t>
      </w:r>
      <w:r>
        <w:t xml:space="preserve"> </w:t>
      </w:r>
    </w:p>
    <w:p w:rsidR="009E6057"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lastRenderedPageBreak/>
        <w:t xml:space="preserve"> „Fiducijarne transakcije” odnose se na aktivnosti u kojima institucija djeluje u vlastito ime, ali za račun i po riziku svojih klijenata. Institucija često kod fiducijarnih transakcija pruža usluge kao što je usluga upravljanja skrbničkom imovinom strukturiranom subjektu ili upravljanja portfeljima na diskrecijskoj osnovi. Sve fiducijarne transakcije iskazuju se isključivo pod ovom stavkom bez obzira na to pruža li institucija dodatno ostale usluge;</w:t>
      </w:r>
    </w:p>
    <w:p w:rsidR="009E6057"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„Platne usluge” znači platne usluge navedene u Prilogu I. Direktivi (EU) 2015/2366;</w:t>
      </w:r>
    </w:p>
    <w:p w:rsidR="009E6057"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„Distribuirani resursi klijenata kojima se ne upravlja” odnose se na proizvode koje izdaju subjekti izvan grupe u bonitetne svrhe koje je institucija distribuirala svojim trenutačnim klijentima. Ova se stavka iskazuje prema vrsti proizvoda;</w:t>
      </w:r>
    </w:p>
    <w:p w:rsidR="009E6057"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„Iznos imovine uključene u pružanje usluga” uključuje iznos imovine, izražen u fer vrijednosti, u odnosu na koju institucija djeluje. Mogu se koristiti druge osnove mjerenja, uključujući nominalnu vrijednost, ako fer vrijednost nije dostupna. Ako institucija pruža usluge subjektima kao što su subjekti za zajednička ulaganja ili mirovinski fondovi, predmetnu imovinu moguće je iskazati po vrijednosti po kojoj je ti subjekti iskazuju u vlastitim bilancama. Iskazani iznosi, ako je primjenjivo, uključuju obračunate kamate.</w:t>
      </w:r>
    </w:p>
    <w:p w:rsidR="009E6057" w:rsidRDefault="00A834F1">
      <w:pPr>
        <w:pStyle w:val="subtitlenumbered"/>
        <w:jc w:val="both"/>
      </w:pPr>
      <w:bookmarkStart w:id="68" w:name="_Toc30667522"/>
      <w:r>
        <w:t>Udjeli u nekonsolidiranim strukturiranim subjektima (30.)</w:t>
      </w:r>
      <w:bookmarkEnd w:id="68"/>
    </w:p>
    <w:p w:rsidR="009E6057" w:rsidRDefault="00A834F1">
      <w:pPr>
        <w:pStyle w:val="Baseparagraphnumbered"/>
      </w:pPr>
      <w:r>
        <w:t>Za potrebe priloga III. i IV. te ovog Priloga, „Povučena likvidnosna potpora” znači zbroj knjigovodstvene vrijednosti kredita i predujmova odobrenih nekonsolidiranim strukturiranim subjektima i knjigovodstvene vrijednosti dužničkih vrijednosnih papira koje su izdali nekonsolidirani strukturirani subjekti.</w:t>
      </w:r>
    </w:p>
    <w:p w:rsidR="009E6057" w:rsidRDefault="00A834F1">
      <w:pPr>
        <w:pStyle w:val="Baseparagraphnumbered"/>
      </w:pPr>
      <w:r>
        <w:t>„Gubici institucije koja izvješćuje u tekućem razdoblju” uključuju gubitke zbog umanjenja vrijednosti i sve ostale gubitke institucije koja izvješćuje tijekom referentnog izvještajnog razdoblja koji su povezani s njezinim udjelima u nekonsolidiranim strukturiranim subjektima.</w:t>
      </w:r>
    </w:p>
    <w:p w:rsidR="009E6057" w:rsidRDefault="00A834F1">
      <w:pPr>
        <w:pStyle w:val="subtitlenumbered"/>
        <w:numPr>
          <w:ilvl w:val="0"/>
          <w:numId w:val="17"/>
        </w:numPr>
        <w:jc w:val="both"/>
      </w:pPr>
      <w:bookmarkStart w:id="69" w:name="_Toc30667523"/>
      <w:r>
        <w:t>Povezane strane (31.)</w:t>
      </w:r>
      <w:bookmarkEnd w:id="69"/>
    </w:p>
    <w:p w:rsidR="009E6057" w:rsidRDefault="00A834F1">
      <w:pPr>
        <w:pStyle w:val="Baseparagraphnumbered"/>
      </w:pPr>
      <w:r>
        <w:t xml:space="preserve">Institucije iskazuju iznose ili transakcije povezane s bilancom i izvanbilančnim izloženostima ako je povezana strana druga ugovorna strana u skladu s MRS-om 24. </w:t>
      </w:r>
    </w:p>
    <w:p w:rsidR="009E6057" w:rsidRDefault="00A834F1">
      <w:pPr>
        <w:pStyle w:val="Baseparagraphnumbered"/>
      </w:pPr>
      <w:r>
        <w:t>Uklanjaju se transakcije i stanje iskorištenih iznosa grupe u bonitetne svrhe. Pod stavkom „Društva kćeri i ostali subjekti iste grupe” institucije navode stanja i transakcije s društvima kćerima koji nisu uklonjeni zato što društva kćeri nisu u potpunosti konsolidirana u okviru bonitetne konsolidacije ili zato što su isključena iz opsega bonitetne konsolidacije u skladu s člankom 19. CRR-a jer nisu značajna ili zato što su, kad je riječ o institucijama koje su dio veće grupe, društva kćeri krajnjeg matičnog društva, a ne institucije. Pod stavkom „Pridružena društva i zajednički pothvati” institucije iskazuju dijelove stanja i transakcija sa zajedničkim pothvatima i pridruženim društvima grupe kojoj subjekt pripada koji nisu uklonjeni ako se primjenjuje proporcionalna konsolidacija.</w:t>
      </w:r>
    </w:p>
    <w:p w:rsidR="009E6057" w:rsidRDefault="00A834F1">
      <w:pPr>
        <w:pStyle w:val="sub-subtitlenumbered"/>
        <w:jc w:val="both"/>
      </w:pPr>
      <w:bookmarkStart w:id="70" w:name="_Toc30667524"/>
      <w:r>
        <w:t>Povezane strane: dugovanja i potraživanja (31.1.)</w:t>
      </w:r>
      <w:bookmarkEnd w:id="70"/>
    </w:p>
    <w:p w:rsidR="009E6057" w:rsidRDefault="00A834F1">
      <w:pPr>
        <w:pStyle w:val="Baseparagraphnumbered"/>
      </w:pPr>
      <w:r>
        <w:lastRenderedPageBreak/>
        <w:t>Pod stavkom „Obveze po kreditima, financijska jamstva i ostale primljene obveze” iznos koji se iskazuje zbroj je „nominalnog iznosa” obveza po kreditima i ostalih primljenih obveza i „najvišeg iznosa jamstva koji se može razmatrati” primljenih financijskih jamstava kako je definirano u točki 119.</w:t>
      </w:r>
    </w:p>
    <w:p w:rsidR="009E6057" w:rsidRDefault="00A834F1">
      <w:pPr>
        <w:pStyle w:val="Baseparagraphnumbered"/>
      </w:pPr>
      <w:r>
        <w:t>Stavke „Akumulirano umanjenje vrijednosti” i „Akumulirane negativne promjene fer vrijednosti zbog kreditnog rizika po neprihodujućim izloženostima” kako su definirane u točkama od 69. do 71. ovog dijela iskazuju se samo za neprihodujuće izloženosti. „Rezervacije za neprihodujuće izvanbilančne izloženosti” uključuju rezervacije u skladu s točkama 11., 106. i 111. ovog dijela za izloženosti koje su neprihodujuće, kako je utvrđeno u točkama od 213. do 239. ovog dijela.</w:t>
      </w:r>
    </w:p>
    <w:p w:rsidR="009E6057" w:rsidRDefault="00A834F1">
      <w:pPr>
        <w:pStyle w:val="sub-subtitlenumbered"/>
        <w:jc w:val="both"/>
      </w:pPr>
      <w:bookmarkStart w:id="71" w:name="_Toc30667525"/>
      <w:r>
        <w:t>Povezane strane: rashodi i prihodi od transakcija s tim stranama (31.2.)</w:t>
      </w:r>
      <w:bookmarkEnd w:id="71"/>
    </w:p>
    <w:p w:rsidR="009E6057" w:rsidRDefault="00A834F1">
      <w:pPr>
        <w:pStyle w:val="Baseparagraphnumbered"/>
      </w:pPr>
      <w:r>
        <w:t xml:space="preserve">„Dobici ili gubici po prestanku priznavanja nefinancijske imovine” uključuju sve dobitke i gubitke po prestanku priznavanja nefinancijske imovine od transakcija s povezanim stranama. Ova stavka obuhvaća dobitke i gubitke po prestanku priznavanja nefinancijske imovine od transakcija s povezanim stranama koji su dio sljedećih stavki „Računa dobiti i gubitka”: </w:t>
      </w:r>
    </w:p>
    <w:p w:rsidR="009E6057"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„Dobici ili gubici po prestanku priznavanja ulaganja u društva kćeri, zajedničke pothvate i pridružena društva”, ako se izvješćuje u skladu s nacionalnim općeprihvaćenim računovodstvenim načelima na temelju BAD-a;</w:t>
      </w:r>
    </w:p>
    <w:p w:rsidR="009E6057"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„Dobici ili gubici po prestanku priznavanja nefinancijske imovine”; </w:t>
      </w:r>
    </w:p>
    <w:p w:rsidR="009E6057"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„Dobit ili gubitak od dugotrajne imovine i grupe za otuđenje klasificirane kao namijenjene za prodaju koje nisu kvalificirane kao poslovanje koje se neće nastaviti”; </w:t>
      </w:r>
    </w:p>
    <w:p w:rsidR="009E6057"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„Dobit ili gubitak nakon oporezivanja iz poslovanja koje se neće nastaviti”.</w:t>
      </w:r>
    </w:p>
    <w:p w:rsidR="009E6057" w:rsidRDefault="00A834F1">
      <w:pPr>
        <w:pStyle w:val="Baseparagraphnumbered"/>
      </w:pPr>
      <w:r>
        <w:t xml:space="preserve">„Umanjenje vrijednosti ili (–) ukidanje umanjenja vrijednosti neprihodujućih izloženosti” uključuju gubitke zbog umanjenja vrijednosti kako je definirano u točkama od 51. do 53. ovog dijela za izloženosti koje su neprihodujuće u skladu s točkama od 213. do 239. ovog dijela. „Rezervacije ili (–) ukidanje rezervacija po neprihodujućim izloženostima” uključuju rezervacije kako je definirano u točki 50. ovog dijela za izvabilančne izloženosti koje su neprihodujuće u skladu s točkama od 213. do 239. ovog dijela. </w:t>
      </w:r>
    </w:p>
    <w:p w:rsidR="009E6057" w:rsidRDefault="00A834F1">
      <w:pPr>
        <w:pStyle w:val="subtitlenumbered"/>
        <w:keepNext/>
        <w:ind w:left="357" w:hanging="357"/>
        <w:jc w:val="both"/>
      </w:pPr>
      <w:bookmarkStart w:id="72" w:name="_Toc30667526"/>
      <w:r>
        <w:t>Struktura grupe (40.)</w:t>
      </w:r>
      <w:bookmarkEnd w:id="72"/>
    </w:p>
    <w:p w:rsidR="009E6057" w:rsidRDefault="00A834F1">
      <w:pPr>
        <w:pStyle w:val="Baseparagraphnumbered"/>
      </w:pPr>
      <w:r>
        <w:t xml:space="preserve">Institucije na izvještajni datum dostavljaju detaljne informacije o društvima kćerima, zajedničkim pothvatima i pridruženim društvima koja su u potpunosti ili proporcionalno konsolidirana u okviru računovodstvene konsolidacije i subjektima iskazanima kao „Ulaganja u društva kćeri, zajedničke pothvate i pridružena društva” u skladu s točkom 4. ovog dijela, uključujući one subjekte u kojima su ulaganja namijenjena za prodaju na temelju MSFI-ja 5. Dostavljaju se informacije o svim subjektima, neovisno o tome koju djelatnost obavljaju. </w:t>
      </w:r>
    </w:p>
    <w:p w:rsidR="009E6057" w:rsidRDefault="00A834F1">
      <w:pPr>
        <w:pStyle w:val="Baseparagraphnumbered"/>
      </w:pPr>
      <w:r>
        <w:lastRenderedPageBreak/>
        <w:t>Vlasnički instrumenti koji ne ispunjavaju kriterije da ih se klasificira kao ulaganja u društva kćeri, zajedničke pothvate i pridružena društva i vlastite dionice u vlasništvu institucije koja izvješćuje („trezorske dionice”), isključeni su ovog obrasca.</w:t>
      </w:r>
    </w:p>
    <w:p w:rsidR="009E6057" w:rsidRDefault="00A834F1">
      <w:pPr>
        <w:pStyle w:val="sub-subtitlenumbered"/>
        <w:jc w:val="both"/>
      </w:pPr>
      <w:bookmarkStart w:id="73" w:name="_Toc30667527"/>
      <w:r>
        <w:t>Struktura grupe: „subjekt po subjekt” (40.1.)</w:t>
      </w:r>
      <w:bookmarkEnd w:id="73"/>
    </w:p>
    <w:p w:rsidR="009E6057" w:rsidRDefault="00A834F1">
      <w:pPr>
        <w:pStyle w:val="Baseparagraphnumbered"/>
      </w:pPr>
      <w:r>
        <w:t>Sljedeće informacije iskazuju se na osnovi „subjekt po subjekt” i sljedeći se zahtjevi primjenjuju za potrebe priloga III. i IV. te ovog Priloga:</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„Oznaka LEI” uključuje oznaku LEI subjekta u koji se ulaže. Ako postoji, iskazuje se oznaka LEI subjekta u koji se ulaže;</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„Oznaka subjekta” uključuje identifikacijsku oznaku subjekta u koji se ulaže. Oznaka subjekta je identifikator retka koji je jedinstven za svaki redak u obrascu 40.1.;</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„Naziv subjekta” uključuje naziv subjekta u koji se ulaže;</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„Datum unosa” znači datum kad je subjekt u koji se ulaže uvršten u „opseg grupe”;</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„Temeljni kapital subjekta u koji se ulaže” znači ukupni iznos kapitala koji je izdao subjekt u koji se ulaže na referentni datum;</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 „Kapital subjekta u koji se ulaže”, „Ukupna imovina subjekta u koji se ulaže” i „Dobit ili (gubitak) subjekta u koji se ulaže” uključuju iznose tih stavki u zadnjem financijskom izvještaju subjekta u koji se ulaže;</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„Rezidentnost subjekta u koji se ulaže” znači zemlja rezidentnosti subjekta u koji se ulaže; </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„Sektor subjekta u koji se ulaže” znači sektor druge ugovorne strane iz točke 42. dijela 1. ovog Priloga;</w:t>
      </w:r>
    </w:p>
    <w:p w:rsidR="009E6057" w:rsidRDefault="00C57C7C">
      <w:pPr>
        <w:numPr>
          <w:ilvl w:val="0"/>
          <w:numId w:val="19"/>
        </w:numPr>
        <w:spacing w:before="120" w:after="120"/>
        <w:ind w:left="1134" w:hanging="426"/>
        <w:jc w:val="both"/>
        <w:rPr>
          <w:rFonts w:ascii="Times New Roman" w:hAnsi="Times New Roman"/>
          <w:sz w:val="24"/>
          <w:szCs w:val="24"/>
        </w:rPr>
      </w:pPr>
      <w:r>
        <w:rPr>
          <w:rFonts w:ascii="Times New Roman" w:hAnsi="Times New Roman"/>
        </w:rPr>
        <w:t>„Šifra djelatnosti NACE” navodi se na temelju osnovne djelatnosti subjekta u koji se ulaže. Za nefinancijska društva šifre djelatnosti NACE iskazuju se uz prvu razinu disgregacije (prema „odjeljku”). za financijska društva šifre djelatnosti NACE iskazuju se na dvije razine (prema „skupini”);</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„Akumulirani vlasnički udjel (%)” jest postotak vlasničkih instrumenata koje institucija drži od referentnog datuma;</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„Glasačka prava (%)” znači postotak glasačkih prava povezanih s vlasničkim instrumentima koje institucija drži od referentnog datuma;</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„Struktura grupe (odnos)” znači odnos između krajnjeg matičnog društva i subjekta u koji se ulaže (matično društvo ili subjekt sa zajedničkom kontrolom nad institucijom koja izvješćuje, društvo kći, zajednički pothvat ili pridruženo društvo).</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„Računovodstveni tretman (računovodstvena grupa)” znači odnos između računovodstvenog tretmana i računovodstvenog opsega konsolidacije (puna konsolidacija, proporcionalna konsolidacija, metoda udjela ili drugo);</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„Računovodstveni tretman (grupa CRR)” označuje odnos između računovodstvenog tretmana i opsega bonitetne konsolidacije (CRR) (puna konsolidacija, proporcionalna konsolidacija, metoda udjela ili drugo);</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„Knjigovodstvena vrijednost” znači iznosi iskazani u bilanci institucije za subjekte u koje se ulaže koji nisu u potpunosti niti proporcionalno konsolidirani;</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lastRenderedPageBreak/>
        <w:t>„Trošak akvizicije” znači iznos koji su platili ulagači;</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„Veza goodwilla sa subjektom u koji se ulaže” znači iznos goodwilla iskazan u konsolidiranoj bilanci institucije koja izvješćuje za subjekt u koji se ulaže pod stavkama „Goodwill” ili „Ulaganja u društva kćeri, zajedničke pothvate i povezana društva”;</w:t>
      </w:r>
    </w:p>
    <w:p w:rsidR="009E6057"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„Fer vrijednost ulaganja za koja su objavljene ponude cijena” znači cijena na referentni datum; navodi se samo ako su instrumenti uvršteni.</w:t>
      </w:r>
    </w:p>
    <w:p w:rsidR="009E6057" w:rsidRDefault="00A834F1">
      <w:pPr>
        <w:pStyle w:val="sub-subtitlenumbered"/>
        <w:keepNext/>
        <w:ind w:left="788" w:hanging="431"/>
        <w:jc w:val="both"/>
      </w:pPr>
      <w:bookmarkStart w:id="74" w:name="_Toc30667528"/>
      <w:r>
        <w:t>Struktura grupe: „instrument po instrument” (40.2.)</w:t>
      </w:r>
      <w:bookmarkEnd w:id="74"/>
    </w:p>
    <w:p w:rsidR="009E6057" w:rsidRDefault="00A834F1">
      <w:pPr>
        <w:pStyle w:val="Baseparagraphnumbered"/>
      </w:pPr>
      <w:r>
        <w:t>Sljedeće informacije iskazuju se na osnovi „instrument po instrument”:</w:t>
      </w:r>
    </w:p>
    <w:p w:rsidR="009E6057"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„Oznaka vrijednosnog papira” uključuje oznaku ISIN vrijednosnog papira. Kod vrijednosnih papira bez dodijeljene oznake ISIN ona uključuje drugu oznaku koja se smatra jedinstvenom identifikacijom vrijednosnog papira. „Oznaka vrijednosnog papira” i „Oznaka holdinga” čine složeni identifikator retka koji je jedinstven za svaki redak u obrascu 40.2.</w:t>
      </w:r>
    </w:p>
    <w:p w:rsidR="009E6057"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„Oznaka holdinga” jest identifikacijska oznaka subjekta unutar grupe koji drži ulaganje. „Oznaka LEI holdinga” uključuje oznaku LEI društva koje drži vrijednosni papir. Ako postoji, iskazuje se oznaka LEI za holding;</w:t>
      </w:r>
    </w:p>
    <w:p w:rsidR="009E6057"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 xml:space="preserve"> „Oznaka subjekta”, „Akumulirani vlasnički udjel (%)”, „Knjigovodstvena vrijednost” i „Trošak akvizicije” definirani su u točki 296. ovog dijela. Iznosi odgovaraju vrijednosnom papiru koji drži povezano holding društvo.</w:t>
      </w:r>
    </w:p>
    <w:p w:rsidR="009E6057" w:rsidRDefault="00A834F1">
      <w:pPr>
        <w:pStyle w:val="subtitlenumbered"/>
        <w:numPr>
          <w:ilvl w:val="0"/>
          <w:numId w:val="17"/>
        </w:numPr>
        <w:jc w:val="both"/>
      </w:pPr>
      <w:bookmarkStart w:id="75" w:name="_Toc30667529"/>
      <w:r>
        <w:t>Fer vrijednost (41.)</w:t>
      </w:r>
      <w:bookmarkEnd w:id="75"/>
    </w:p>
    <w:p w:rsidR="009E6057" w:rsidRDefault="00A834F1">
      <w:pPr>
        <w:pStyle w:val="sub-subtitlenumbered"/>
        <w:jc w:val="both"/>
      </w:pPr>
      <w:bookmarkStart w:id="76" w:name="_Toc30667530"/>
      <w:r>
        <w:t>Hijerarhija fer vrijednosti: financijski instrumenti po amortiziranom trošku (41.1.)</w:t>
      </w:r>
      <w:bookmarkEnd w:id="76"/>
      <w:r>
        <w:t xml:space="preserve"> </w:t>
      </w:r>
    </w:p>
    <w:p w:rsidR="009E6057" w:rsidRDefault="00A834F1">
      <w:pPr>
        <w:pStyle w:val="Baseparagraphnumbered"/>
      </w:pPr>
      <w:r>
        <w:t>U ovom se obrascu iskazuju informacije o fer vrijednosti financijskih instrumenata koji se mjere po amortiziranom trošku na temelju hijerarhije iz MSFI-ja 13.72, 76, 81 i 86. Ako je i nacionalnim općeprihvaćenim računovodstvenim načelima na temelju BAD-a propisano raspoređivanje imovine mjerene po fer vrijednosti po različitim razinama fer vrijednosti, institucije u skladu s nacionalnim općeprihvaćenim računovodstvenim načelima na temelju BAD-a izvješćuju i u ovom obrascu.</w:t>
      </w:r>
    </w:p>
    <w:p w:rsidR="009E6057" w:rsidRDefault="00A834F1">
      <w:pPr>
        <w:pStyle w:val="sub-subtitlenumbered"/>
        <w:jc w:val="both"/>
      </w:pPr>
      <w:bookmarkStart w:id="77" w:name="_Toc30667531"/>
      <w:r>
        <w:t>Primjena opcije fer vrijednosti (41.2.)</w:t>
      </w:r>
      <w:bookmarkEnd w:id="77"/>
    </w:p>
    <w:p w:rsidR="009E6057" w:rsidRDefault="00A834F1">
      <w:pPr>
        <w:pStyle w:val="Baseparagraphnumbered"/>
      </w:pPr>
      <w:r>
        <w:t xml:space="preserve">U ovom se obrascu iskazuje primjena opcije fer vrijednosti za financijsku imovinu i financijske obveze koje se mjere po fer vrijednosti kroz dobit ili gubitak. </w:t>
      </w:r>
    </w:p>
    <w:p w:rsidR="009E6057" w:rsidRDefault="00A834F1">
      <w:pPr>
        <w:pStyle w:val="Baseparagraphnumbered"/>
      </w:pPr>
      <w:r>
        <w:t>„Hibridni ugovori” u slučaju obveza uključuju knjigovodstvenu vrijednost hibridnih financijskih instrumenata koji su u cijelosti klasificirani u računovodstveni portfelj financijskih obveza određenih po fer vrijednosti kroz dobit ili gubitak te stoga u cijelosti uključuju hibridne instrumente koji se ne razdvajaju od glavnog ugovora.</w:t>
      </w:r>
    </w:p>
    <w:p w:rsidR="009E6057" w:rsidRDefault="00A834F1">
      <w:pPr>
        <w:pStyle w:val="Baseparagraphnumbered"/>
      </w:pPr>
      <w:r>
        <w:t xml:space="preserve">„Kojima se upravlja na temelju kreditnog rizika” uključuje knjigovodstvenu vrijednost instrumenata koji su određeni po fer vrijednosti kroz dobit ili gubitak u trenutku kada se oni štite od rizika kreditnim </w:t>
      </w:r>
      <w:r>
        <w:lastRenderedPageBreak/>
        <w:t xml:space="preserve">izvedenicama koje se mjere po fer vrijednosti kroz dobit ili gubitak u skladu s MSFI-jem 9.6.7. </w:t>
      </w:r>
    </w:p>
    <w:p w:rsidR="009E6057" w:rsidRDefault="00A834F1">
      <w:pPr>
        <w:pStyle w:val="subtitlenumbered"/>
        <w:jc w:val="both"/>
      </w:pPr>
      <w:bookmarkStart w:id="78" w:name="_Toc30667532"/>
      <w:r>
        <w:t>Materijalna i nematerijalna imovina: knjigovodstvena vrijednost prema metodi mjerenja (42.)</w:t>
      </w:r>
      <w:bookmarkEnd w:id="78"/>
    </w:p>
    <w:p w:rsidR="009E6057" w:rsidRDefault="00A834F1">
      <w:pPr>
        <w:pStyle w:val="Baseparagraphnumbered"/>
      </w:pPr>
      <w:r>
        <w:t xml:space="preserve"> Stavke „Nekretnine, postrojenja i oprema”, „Ulaganja u nekretnine” i „Ostala materijalna imovina” iskazuju se prema kriterijima za njihovo mjerenje.</w:t>
      </w:r>
    </w:p>
    <w:p w:rsidR="009E6057" w:rsidRDefault="00A834F1">
      <w:pPr>
        <w:pStyle w:val="Baseparagraphnumbered"/>
      </w:pPr>
      <w:r>
        <w:t>„Ostala nematerijalna imovina” uključuje svu ostalu nematerijalnu imovinu osim goodwilla.</w:t>
      </w:r>
    </w:p>
    <w:p w:rsidR="009E6057" w:rsidRDefault="00AA61E7">
      <w:pPr>
        <w:pStyle w:val="Baseparagraphnumbered"/>
        <w:numPr>
          <w:ilvl w:val="0"/>
          <w:numId w:val="0"/>
        </w:numPr>
        <w:ind w:left="786" w:hanging="360"/>
      </w:pPr>
      <w:r>
        <w:t>303.i.</w:t>
      </w:r>
      <w:r>
        <w:tab/>
        <w:t>Institucija koja je i najmoprimac zasebno dostavlja informacije o imovini u najmu (imovina s pravom korištenja).</w:t>
      </w:r>
    </w:p>
    <w:p w:rsidR="009E6057" w:rsidRDefault="00A834F1">
      <w:pPr>
        <w:pStyle w:val="subtitlenumbered"/>
        <w:numPr>
          <w:ilvl w:val="0"/>
          <w:numId w:val="17"/>
        </w:numPr>
        <w:jc w:val="both"/>
      </w:pPr>
      <w:bookmarkStart w:id="79" w:name="_Toc30667533"/>
      <w:r>
        <w:t>Rezervacije (43.)</w:t>
      </w:r>
      <w:bookmarkEnd w:id="79"/>
    </w:p>
    <w:p w:rsidR="009E6057" w:rsidRDefault="00A834F1">
      <w:pPr>
        <w:pStyle w:val="Baseparagraphnumbered"/>
      </w:pPr>
      <w:r>
        <w:t>U ovom se obrascu navodi usklađenje knjigovodstvene vrijednosti stavke „Rezervacije” na početku i na kraju razdoblja prema vrsti kretanja, osim rezervacija koje se mjere u skladu s MSFI-jem 9 i koje se iskazuju u obrascu 12.</w:t>
      </w:r>
    </w:p>
    <w:p w:rsidR="009E6057" w:rsidRDefault="00A834F1">
      <w:pPr>
        <w:pStyle w:val="Baseparagraphnumbered"/>
      </w:pPr>
      <w:r>
        <w:t xml:space="preserve">„Ostale preuzete obveze i jamstva koji se mjere u skladu s MRS-om 37 i preuzeta jamstva koja se mjere u skladu s MSFI-jem 4” uključuju rezervacije mjerene na temelju MRS-a 37 i kreditne gubitke po financijskim jamstvima koji se tretiraju kao ugovori o osiguranju u skladu s MSFI-jem 4. </w:t>
      </w:r>
    </w:p>
    <w:p w:rsidR="009E6057" w:rsidRDefault="00A834F1">
      <w:pPr>
        <w:pStyle w:val="subtitlenumbered"/>
        <w:numPr>
          <w:ilvl w:val="0"/>
          <w:numId w:val="17"/>
        </w:numPr>
        <w:jc w:val="both"/>
      </w:pPr>
      <w:bookmarkStart w:id="80" w:name="_Toc30667534"/>
      <w:r>
        <w:t>Planovi definiranih primanja i primanja zaposlenih (44.)</w:t>
      </w:r>
      <w:bookmarkEnd w:id="80"/>
    </w:p>
    <w:p w:rsidR="009E6057" w:rsidRDefault="00A834F1">
      <w:pPr>
        <w:pStyle w:val="Baseparagraphnumbered"/>
      </w:pPr>
      <w:r>
        <w:t>Ovim su obrascima obuhvaćeni akumulirani podaci o svim planovima definiranih primanja koje institucija ima. Ako postoji više planova definiranih primanja, iskazuje se agregirani iznos svih planova.</w:t>
      </w:r>
    </w:p>
    <w:p w:rsidR="009E6057" w:rsidRDefault="00A834F1">
      <w:pPr>
        <w:pStyle w:val="sub-subtitlenumbered"/>
        <w:keepNext/>
        <w:ind w:left="788" w:hanging="431"/>
        <w:jc w:val="both"/>
      </w:pPr>
      <w:bookmarkStart w:id="81" w:name="_Toc30667535"/>
      <w:r>
        <w:t>Komponente neto imovine i obveza na temelju plana definiranih primanja (44.1.)</w:t>
      </w:r>
      <w:bookmarkEnd w:id="81"/>
    </w:p>
    <w:p w:rsidR="009E6057" w:rsidRDefault="001A1272">
      <w:pPr>
        <w:pStyle w:val="Baseparagraphnumbered"/>
      </w:pPr>
      <w:r>
        <w:t>U obrascu o komponentama neto imovine i obveza na temelju plana definiranih primanja iskazuje se usklađenje akumulirane sadašnje vrijednosti svih neto obveza (imovine) na temelju plana definiranih primanja, kao i prava na povrat sredstava (MRS 19.140 (a), (b)).</w:t>
      </w:r>
    </w:p>
    <w:p w:rsidR="009E6057" w:rsidRDefault="00A834F1">
      <w:pPr>
        <w:pStyle w:val="Baseparagraphnumbered"/>
      </w:pPr>
      <w:r>
        <w:t xml:space="preserve">„Neto imovina na temelju definiranih primanja ” uključuje, u slučaju viška, iznose viška koji se priznaju u bilanci s obzirom na to da na njih ne utječu ograničenja utvrđena u MRS-u 19.63. Iznos ove stavke i iznos priznat u bilješci „Fer vrijednost prava na povrat sredstava priznatih kao imovina” uključeni su u stavku bilance „Ostala imovina”. </w:t>
      </w:r>
    </w:p>
    <w:p w:rsidR="009E6057" w:rsidRDefault="00A834F1">
      <w:pPr>
        <w:pStyle w:val="sub-subtitlenumbered"/>
        <w:jc w:val="both"/>
      </w:pPr>
      <w:r>
        <w:t xml:space="preserve"> </w:t>
      </w:r>
      <w:bookmarkStart w:id="82" w:name="_Toc30667536"/>
      <w:r>
        <w:t>Kretanja obveza na temelju definiranih primanja (44.2.)</w:t>
      </w:r>
      <w:bookmarkEnd w:id="82"/>
    </w:p>
    <w:p w:rsidR="009E6057" w:rsidRDefault="001A1272">
      <w:pPr>
        <w:pStyle w:val="Baseparagraphnumbered"/>
      </w:pPr>
      <w:r>
        <w:t xml:space="preserve">U obrascu o kretanjima obveza na temelju definiranih primanja iskazuje se usklađenje početnih i završnih stanja akumulirane sadašnje vrijednosti svih </w:t>
      </w:r>
      <w:r>
        <w:lastRenderedPageBreak/>
        <w:t>obveza institucije na temelju definiranih primanja. Učinci različitih elemenata navedenih u MRS-u 19.141 tijekom razdoblja navode se zasebno.</w:t>
      </w:r>
    </w:p>
    <w:p w:rsidR="009E6057" w:rsidRDefault="00A834F1">
      <w:pPr>
        <w:pStyle w:val="Baseparagraphnumbered"/>
      </w:pPr>
      <w:r>
        <w:t>Iznos stavke „Završno stanje (sadašnja vrijednost)” u obrascu za kretanja obveza na temelju definiranih primanja jednak je iznosu u stavci „Sadašnja vrijednost obveza na temelju definiranih primanja”.</w:t>
      </w:r>
    </w:p>
    <w:p w:rsidR="009E6057" w:rsidRDefault="00A0154C">
      <w:pPr>
        <w:pStyle w:val="sub-subtitlenumbered"/>
        <w:jc w:val="both"/>
      </w:pPr>
      <w:bookmarkStart w:id="83" w:name="_Toc30667537"/>
      <w:r>
        <w:t>Troškovi zaposlenika po vrsti primanja (44.3.)</w:t>
      </w:r>
      <w:bookmarkEnd w:id="83"/>
    </w:p>
    <w:p w:rsidR="009E6057" w:rsidRDefault="00A834F1">
      <w:pPr>
        <w:pStyle w:val="Baseparagraphnumbered"/>
      </w:pPr>
      <w:r>
        <w:t xml:space="preserve">Za iskazivanje troškova zaposlenika po vrsti primanja vrijede sljedeće definicije: </w:t>
      </w:r>
    </w:p>
    <w:p w:rsidR="009E6057"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 xml:space="preserve">stavka „Mirovina i slični troškovi” uključuje iznos priznat u razdoblju kao troškovi zaposlenika za sve obveze za primanja nakon prestanka radnog odnosa (planovi definiranih doprinosa i planovi definiranih primanja), uključujući doprinose nakon prestanka radnog odnosa za javne fondove socijalne sigurnosti (mirovinski fondovi) ili subjekte za socijalno osiguranje; </w:t>
      </w:r>
    </w:p>
    <w:p w:rsidR="009E6057"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stavka „Plaćanja temeljena na dionicama” uključuju iznos priznat u referentnom razdoblju kao troškovi zaposlenika za plaćanja temeljena na dionicama;</w:t>
      </w:r>
    </w:p>
    <w:p w:rsidR="009E6057"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stavka „Nadnice i plaće” uključuje naknadu zaposlenicima institucije za rad ili usluge, ali ne uključuje otpremnine i naknadu u obliku stavki naknada na temelju dionica koje se iskazuju u zasebnim stavkama;</w:t>
      </w:r>
    </w:p>
    <w:p w:rsidR="009E6057"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stavka „Doprinosi za socijalno osiguranje” uključuje doprinose fondovima socijalnog osiguranja, iznose uplaćene državi ili subjektima za socijalno osiguranje na ime budućih naknada iz socijalnog osiguranja, ali ne uključuje doprinose nakon prestanka radnog odnosa za fondove socijalnog osiguranja u smislu mirovina (doprinosi mirovinskim fondovima);</w:t>
      </w:r>
    </w:p>
    <w:p w:rsidR="009E6057"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stavka „Isplate otpremnina” odnosi se na isplate za prijevremeni raskid ugovora i uključuje primanja poslije prestanka radnog odnosa definirana u MRS-u 19.8.;</w:t>
      </w:r>
    </w:p>
    <w:p w:rsidR="009E6057"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stavka „Druge vrste troškova zaposlenika” uključuje troškove zaposlenika koji se ne mogu svrstati ni u jednu od gore navedenih kategorija.</w:t>
      </w:r>
    </w:p>
    <w:p w:rsidR="009E6057" w:rsidRDefault="00A0154C">
      <w:pPr>
        <w:pStyle w:val="sub-subtitlenumbered"/>
        <w:jc w:val="both"/>
      </w:pPr>
      <w:bookmarkStart w:id="84" w:name="_Toc30667538"/>
      <w:r>
        <w:t>Troškovi zaposlenika po kategoriji primitka i kategoriji zaposlenika (44.4.)</w:t>
      </w:r>
      <w:bookmarkEnd w:id="84"/>
    </w:p>
    <w:p w:rsidR="009E6057" w:rsidRDefault="000413CD">
      <w:pPr>
        <w:pStyle w:val="Baseparagraphnumbered"/>
        <w:numPr>
          <w:ilvl w:val="0"/>
          <w:numId w:val="0"/>
        </w:numPr>
        <w:ind w:left="786" w:hanging="360"/>
      </w:pPr>
      <w:r>
        <w:t>311.i.</w:t>
      </w:r>
      <w:r>
        <w:tab/>
        <w:t xml:space="preserve">Pri iskazivanju troškova zaposlenika po kategoriji primitka i kategoriji zaposlenika vrijede sljedeće definicije: </w:t>
      </w:r>
    </w:p>
    <w:p w:rsidR="009E6057"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izrazi „fiksni primitak”, „promjenjivi primitak”, „identificirano osoblje” i „upravljačko tijelo u svojoj upravljačkoj funkciji” imaju isto značenje kao u EBA-inim Smjernicama „o dobrim politikama primitaka na temelju članka 74. stavka 3. i članka 75. stavka 2. Direktive 2013/36/EU i objavama na temelju članka 450. Uredbe (EU) br. 575/2013” (EBA/GL/2015/22);</w:t>
      </w:r>
    </w:p>
    <w:p w:rsidR="009E6057"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„upravljačko tijelo”, „upravljačko tijelo u svojoj nadzornoj funkciji” i „više rukovodstvo” obuhvaćaju zaposlenike u skladu s definicijama iz članka 3. stavka 1. točaka (7), (8) i (9) CRD-a.</w:t>
      </w:r>
    </w:p>
    <w:p w:rsidR="009E6057" w:rsidRDefault="00A0154C">
      <w:pPr>
        <w:pStyle w:val="Baseparagraphnumbered"/>
        <w:numPr>
          <w:ilvl w:val="0"/>
          <w:numId w:val="0"/>
        </w:numPr>
        <w:ind w:left="786" w:hanging="360"/>
      </w:pPr>
      <w:r>
        <w:t xml:space="preserve">311.ii. </w:t>
      </w:r>
      <w:r>
        <w:tab/>
        <w:t xml:space="preserve">„Broj zaposlenika” uključuje, na referentni izvještajni datum, broj zaposlenika iskazan u ekvivalentima punog radnog vremena uvećan za broj članova upravljačkog tijela iskazan brojem zaposlenika za potrebe opsega bonitetne konsolidacije (CRR). Od toga se zasebno iskazuje broj </w:t>
      </w:r>
      <w:r>
        <w:lastRenderedPageBreak/>
        <w:t>identificiranog osoblja i broj predstavnika u upravljačkom tijelu u njegovoj upravljačkoj funkciji i u višem rukovodstvu te broj predstavnika u upravljačkom tijelu u njegovoj nadzornoj funkciji.</w:t>
      </w:r>
    </w:p>
    <w:p w:rsidR="009E6057" w:rsidRDefault="00A834F1">
      <w:pPr>
        <w:pStyle w:val="subtitlenumbered"/>
        <w:numPr>
          <w:ilvl w:val="0"/>
          <w:numId w:val="17"/>
        </w:numPr>
        <w:jc w:val="both"/>
      </w:pPr>
      <w:bookmarkStart w:id="85" w:name="_Toc30667539"/>
      <w:r>
        <w:t>Raščlamba odabranih stavki računa dobiti i gubitka (45.)</w:t>
      </w:r>
      <w:bookmarkEnd w:id="85"/>
    </w:p>
    <w:p w:rsidR="009E6057" w:rsidRDefault="00A834F1">
      <w:pPr>
        <w:pStyle w:val="sub-subtitlenumbered"/>
        <w:jc w:val="both"/>
      </w:pPr>
      <w:bookmarkStart w:id="86" w:name="_Toc30667540"/>
      <w:r>
        <w:t>Dobici ili gubici po financijskoj imovini i financijskim obvezama po fer vrijednosti kroz dobit ili gubitak prema računovodstvenom portfelju (45.1)</w:t>
      </w:r>
      <w:bookmarkEnd w:id="86"/>
    </w:p>
    <w:p w:rsidR="009E6057" w:rsidRDefault="00A834F1">
      <w:pPr>
        <w:pStyle w:val="Baseparagraphnumbered"/>
      </w:pPr>
      <w:r>
        <w:t>„Financijske obveze po fer vrijednosti kroz dobit ili gubitak” uključuju samo dobitke ili gubitke zbog promjene vlastitog kreditnog rizika izdavatelja obveza određenih po fer vrijednosti kroz dobit ili gubitak ako ih je institucija koja izvješćuje odlučila priznati kroz dobit ili gubitak jer bi se priznavanjem kroz ostalu sveobuhvatnu dobit stvorila ili proširila računovodstvena neusklađenost.</w:t>
      </w:r>
    </w:p>
    <w:p w:rsidR="009E6057" w:rsidRDefault="00A834F1">
      <w:pPr>
        <w:pStyle w:val="sub-subtitlenumbered"/>
        <w:jc w:val="both"/>
      </w:pPr>
      <w:bookmarkStart w:id="87" w:name="_Toc30667541"/>
      <w:r>
        <w:t>Dobici ili gubici po prestanku priznavanja nefinancijske imovine (45.2.)</w:t>
      </w:r>
      <w:bookmarkEnd w:id="87"/>
    </w:p>
    <w:p w:rsidR="009E6057" w:rsidRDefault="00A834F1">
      <w:pPr>
        <w:pStyle w:val="Baseparagraphnumbered"/>
      </w:pPr>
      <w:r>
        <w:t>„Dobici i gubici po prestanku priznavanja nefinancijske imovine“” raščlanjuju se prema vrsti imovine. Svaka stavka uključuje dobitak ili gubitak po imovini koja se prestala priznavati. „Ostala imovina” uključuje ostalu materijalnu imovinu, nematerijalnu imovinu i ulaganja koja nisu drugdje iskazana.</w:t>
      </w:r>
    </w:p>
    <w:p w:rsidR="009E6057" w:rsidRDefault="00A834F1">
      <w:pPr>
        <w:pStyle w:val="sub-subtitlenumbered"/>
        <w:jc w:val="both"/>
      </w:pPr>
      <w:bookmarkStart w:id="88" w:name="_Toc30667542"/>
      <w:r>
        <w:t>Ostali prihodi i rashodi iz poslovanja (45.3.)</w:t>
      </w:r>
      <w:bookmarkEnd w:id="88"/>
    </w:p>
    <w:p w:rsidR="009E6057" w:rsidRDefault="00A834F1">
      <w:pPr>
        <w:pStyle w:val="Baseparagraphnumbered"/>
      </w:pPr>
      <w:r>
        <w:t xml:space="preserve">Ostali prihodi i rashodi iz poslovanja raščlanjuju se prema sljedećim stavkama: usklađenja fer vrijednosti materijalne imovine koja se mjeri primjenom modela fer vrijednosti; prihodi od najma i izravni rashodi iz poslovanja od ulaganja u nekretnine; prihodi i rashodi iz operativnih najmova osim ulaganja u nekretnine te ostali prihodi i rashodi iz poslovanja </w:t>
      </w:r>
    </w:p>
    <w:p w:rsidR="009E6057" w:rsidRDefault="00A834F1">
      <w:pPr>
        <w:pStyle w:val="Baseparagraphnumbered"/>
      </w:pPr>
      <w:r>
        <w:t>„Operativni najmovi osim ulaganja u nekretnine” uključuju u stupcu „prihodi” ostvarene povrate, a u stupcu „rashodi” troškove koje je institucija imala kao najmodavac u aktivnostima operativnog najma osim aktivnosti s imovinom klasificiranom kao ulaganje u nekretnine. Troškovi koje institucija ima kao najmoprimac iskazuju se pod stavkom „Drugi administrativni rashodi”.</w:t>
      </w:r>
    </w:p>
    <w:p w:rsidR="009E6057" w:rsidRDefault="00A834F1">
      <w:pPr>
        <w:pStyle w:val="Baseparagraphnumbered"/>
      </w:pPr>
      <w:r>
        <w:t>Dobici ili gubici od prestanka priznavanja i ponovnog mjerenja ulaganja u zlato, ostale plemenite metale i ostalu robu koja se mjeri po fer vrijednosti, umanjeni za trošak prodaje, iskazuju se pod stavkama uključenima u stavku „Ostali prihodi iz poslovanja. Ostalo” ili „Ostali rashodi iz poslovanja. Ostalo”</w:t>
      </w:r>
    </w:p>
    <w:p w:rsidR="009E6057" w:rsidRDefault="00A834F1">
      <w:pPr>
        <w:pStyle w:val="subtitlenumbered"/>
        <w:jc w:val="both"/>
      </w:pPr>
      <w:bookmarkStart w:id="89" w:name="_Toc30667543"/>
      <w:r>
        <w:t>Izvještaj o promjenama kapitala (46.)</w:t>
      </w:r>
      <w:bookmarkEnd w:id="89"/>
    </w:p>
    <w:p w:rsidR="009E6057" w:rsidRDefault="00A834F1">
      <w:pPr>
        <w:pStyle w:val="Baseparagraphnumbered"/>
      </w:pPr>
      <w:r>
        <w:t>U izvještaju o promjenama kapitala navodi se usklađenje knjigovodstvene vrijednosti na početku (početno stanje) i na kraju razdoblja (završno stanje) za svaku komponentu kapitala.</w:t>
      </w:r>
    </w:p>
    <w:p w:rsidR="009E6057" w:rsidRDefault="00A834F1">
      <w:pPr>
        <w:pStyle w:val="Baseparagraphnumbered"/>
        <w:rPr>
          <w:caps/>
        </w:rPr>
      </w:pPr>
      <w:r>
        <w:t xml:space="preserve">„Prijenosi između komponenata kapitala” uključuju sve iznose prenesene unutar kapitala, uključujući dobitke i gubitke zbog vlastitog </w:t>
      </w:r>
      <w:r>
        <w:lastRenderedPageBreak/>
        <w:t xml:space="preserve">kreditnog rizika obveza određenih po fer vrijednosti kroz dobit ili gubitak i akumulirane promjene fer vrijednosti vlasničkih instrumenata koji se mjere po fer vrijednosti kroz ostalu sveobuhvatnu dobit, prenesene u ostale komponente kapitala pri prestanku priznavanja. </w:t>
      </w:r>
    </w:p>
    <w:p w:rsidR="009E6057" w:rsidRDefault="004C5086">
      <w:pPr>
        <w:pStyle w:val="subtitlenumbered"/>
        <w:jc w:val="both"/>
      </w:pPr>
      <w:bookmarkStart w:id="90" w:name="_Toc30667544"/>
      <w:r>
        <w:t>KREDITI I PREDUJMOVI: DODATNE INFORMACIJE (23.)</w:t>
      </w:r>
      <w:bookmarkEnd w:id="90"/>
    </w:p>
    <w:p w:rsidR="009E6057" w:rsidRDefault="004C5086">
      <w:pPr>
        <w:pStyle w:val="Baseparagraphnumbered"/>
      </w:pPr>
      <w:r>
        <w:t xml:space="preserve">U obrascu 23. navode se dodatne informacije o kreditima i predujmovima, isključujući kredite i predujmove klasificirane kao krediti i predujmovi koji se drže radi trgovanja, financijsku imovinu kojom se trguje i dužničke instrumente namijenjene za prodaju. </w:t>
      </w:r>
    </w:p>
    <w:p w:rsidR="009E6057" w:rsidRDefault="004C5086">
      <w:pPr>
        <w:pStyle w:val="Baseparagraphnumbered"/>
      </w:pPr>
      <w:r>
        <w:t>U svrhu utvrđivanja „broja instrumenata”, instrument znači bankarski proizvod čiji se iskorišteni iznos i, ovisno o slučaju, kreditni limit, obično povezuju s računom. Izloženost prema određenoj drugoj ugovornoj strani može se sastojati od nekoliko instrumenata, čiji se broj određuje na osnovi načina na koji institucija upravlja izloženošću. Broj instrumenata navodi se zasebno za stanje izloženosti u statusu prije spora i stanje izloženosti u statusu u sporu, kako je definirano u točkama 321. i 322. ovog dijela.</w:t>
      </w:r>
    </w:p>
    <w:p w:rsidR="009E6057" w:rsidRDefault="004C5086">
      <w:pPr>
        <w:pStyle w:val="Baseparagraphnumbered"/>
      </w:pPr>
      <w:r>
        <w:t>Izloženost je „u statusu prije spora” ako je dužnik službeno obaviješten da će institucija protiv njega u utvrđenom roku pokrenuti postupak ako ne ispuni određene ugovorne ili druge obveze plaćanja. To se odnosi i na slučajeve raskida ugovora od strane izvještajne institucije kada dužnik i formalno krši uvjete ugovora i o tome je obaviješten, ali institucija još nije službeno pokrenula postupak protiv dužnika. Izloženosti klasificirane kao „u statusu prije spora” mogu se reklasificirati ako su iskorišteni uznosi podmireni ili ako uđu u status u sporu, kako je definirano u sljedećoj točki.</w:t>
      </w:r>
    </w:p>
    <w:p w:rsidR="009E6057" w:rsidRDefault="004C5086">
      <w:pPr>
        <w:pStyle w:val="Baseparagraphnumbered"/>
      </w:pPr>
      <w:r>
        <w:t xml:space="preserve">Izloženost je „u statusu u sporu” ako je postupak protiv dužnika službeno pokrenut. To se odnosi i na slučajeve u kojima je sud potvrdio pokretanje službenog sudskog postupka ili je pravosuđe obaviješteno o namjeri pokretanja sudskog postupka. </w:t>
      </w:r>
    </w:p>
    <w:p w:rsidR="009E6057" w:rsidRDefault="004C5086">
      <w:pPr>
        <w:pStyle w:val="Baseparagraphnumbered"/>
      </w:pPr>
      <w:r>
        <w:t>Stavka „Neosigurani krediti i predujmovi bez jamstava” odnosi se na izloženosti koje nisu pokrivene kolateralom ni financijskim jamstvom; neosigurani dio djelomično osigurane ili djelomično jamstvom pokrivene izloženosti ne iskazuje se.</w:t>
      </w:r>
    </w:p>
    <w:p w:rsidR="009E6057" w:rsidRDefault="004C5086">
      <w:pPr>
        <w:pStyle w:val="Baseparagraphnumbered"/>
      </w:pPr>
      <w:r>
        <w:t>Krediti i predujmovi s koeficijentom akumulirane pokrivenosti većim od 90 % iskazuju se zasebno. U tu svrhu „koeficijent akumulirane pokrivenosti” znači omjer akumuliranih umanjenja vrijednosti odnosno akumuliranih negativnih promjena fer vrijednosti zbog kreditnog rizika koji se odnosi na kredit ili predujam, kao brojnika, i bruto knjigovodstvene vrijednosti tog kredita ili predujma, kao nazivnika.</w:t>
      </w:r>
    </w:p>
    <w:p w:rsidR="009E6057" w:rsidRDefault="004C5086">
      <w:pPr>
        <w:pStyle w:val="Baseparagraphnumbered"/>
      </w:pPr>
      <w:r>
        <w:t>Krediti s nekretninom kao kolateralom kako su definirani u točkama 86. (a) i 87. ovog dijela te krediti s poslovnom nekretninom kao kolateralom kako su definirani u točki 239.ix. ovog dijela iskazuju se raščlanjeni prema omjeru kredita i vrijednosti nekretnine („omjer kredita i vrijednosti nekretnine”) kako je definirano u točki 239.x. ovog dijela.</w:t>
      </w:r>
    </w:p>
    <w:p w:rsidR="009E6057" w:rsidRDefault="004C5086">
      <w:pPr>
        <w:pStyle w:val="Baseparagraphnumbered"/>
      </w:pPr>
      <w:r>
        <w:lastRenderedPageBreak/>
        <w:t>Informacije o primljenim kolateralima i primljenim jamstvima za kredite i predujmove iskazuju se u skladu s točkom 239. ovog dijela. Stoga se zbroj iznosa iskazanih za kolaterale i jamstva ograničava na knjigovodstvenu vrijednost povezane izloženosti. Dodatno se nekretnina založena kao kolateral iskazuje zasebno.</w:t>
      </w:r>
    </w:p>
    <w:p w:rsidR="009E6057" w:rsidRDefault="004C5086">
      <w:pPr>
        <w:pStyle w:val="Baseparagraphnumbered"/>
      </w:pPr>
      <w:r>
        <w:t>Odstupajući od prethodne točke, stavka „primljeni kolaterali za kredite i predujmove – neograničeni iznosi” odgovara ukupnoj vrijednosti kolaterala primljenog bez ograničenja na knjigovodstvenu vrijednost povezane izloženosti.</w:t>
      </w:r>
    </w:p>
    <w:p w:rsidR="009E6057" w:rsidRDefault="004C5086">
      <w:pPr>
        <w:pStyle w:val="subtitlenumbered"/>
        <w:jc w:val="both"/>
      </w:pPr>
      <w:bookmarkStart w:id="91" w:name="_Toc30667545"/>
      <w:r>
        <w:t>KREDITI I PREDUJMOVI: TOKOVI NEPRIHODUJUĆIH IZLOŽENOSTI, UMANJENJA VRIJEDNOSTI I OTPISI OD ZAVRŠETKA ZADNJE FINANCIJSKE GODINE (24.)</w:t>
      </w:r>
      <w:bookmarkEnd w:id="91"/>
    </w:p>
    <w:p w:rsidR="009E6057" w:rsidRDefault="004C5086">
      <w:pPr>
        <w:pStyle w:val="sub-subtitlenumbered"/>
        <w:jc w:val="both"/>
      </w:pPr>
      <w:bookmarkStart w:id="92" w:name="_Toc30667546"/>
      <w:r>
        <w:t>Krediti i predujmovi: priljevi i odljevi od neprihodujućih izloženosti (24.1.)</w:t>
      </w:r>
      <w:bookmarkEnd w:id="92"/>
    </w:p>
    <w:p w:rsidR="009E6057" w:rsidRDefault="004C5086">
      <w:pPr>
        <w:pStyle w:val="Baseparagraphnumbered"/>
      </w:pPr>
      <w:r>
        <w:t>U obrascu 24.1. navodi se usklađenje početnih i završnih stanja svih kredita i predujmova, isključujući kredite i predujmove klasificirane kao financijska imovina kojom se trguje, koja se drži radi trgovanja ili kao namijenjena za prodaju, koji su klasificirani kao neprihodujući u skladu s točkama od 213. do 239. ili točkom 260. ovog dijela i iskazuju se u obrascu 18. Priljevi i odljevi od neprihodujućih kredita i predujmova raščlanjuju se prema vrsti priljeva i odljeva.</w:t>
      </w:r>
    </w:p>
    <w:p w:rsidR="009E6057" w:rsidRDefault="004C5086">
      <w:pPr>
        <w:pStyle w:val="Baseparagraphnumbered"/>
      </w:pPr>
      <w:r>
        <w:t>Priljevi u kategoriji neprihodujućih izloženosti iskazuju se u skladu s točkama od 239.ii. do 239.iii. i točkom 239.vi. ovog dijela, s iznimkom priljeva u kategoriji „namijenjeno za prodaju”, koji nisu obuhvaćeni ovim obrascem. Priljevi se raščlanjuju po vrsti (izvoru) priljeva. U tom kontekstu:</w:t>
      </w:r>
    </w:p>
    <w:p w:rsidR="009E6057"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 xml:space="preserve">„priljev s osnove obračunatih kamata” odnosi se na obračunate kamate na neprihodujuće kredite i predujmove koji nisu uvršteni u druge kategorije raščlambe po vrsti (izvoru); u tom smislu, taj priljev obuhvaća obračunate kamate na neprihodujuće kredite i predujmove koji su bili klasificirani kao neprihodujući na kraju prethodne financijske godine i otad se kontinuirano tako klasificiraju; kamate obračunate na izloženosti koje su klasificirane kao neprihodujuće u skladu s točkama od 213. do 239. ili točkom 260. ovog dijela samo tijekom razdoblja iskazuju se zajedno s priljevom u odgovarajućoj kategoriji vrste (izvora); </w:t>
      </w:r>
    </w:p>
    <w:p w:rsidR="009E6057"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„od čega: reklasificirane iz prihodujućih restrukturiranih izloženosti u probnom razdoblju koje su prethodno reklasificirane iz kategorije neprihodujućih” uključuje „prihodujuće restrukturirane izloženosti u probnom razdoblju reklasificirane iz kategorije neprihodujućih”, kako je definirano u točki 261. ovog dijela, koje su u tom razdoblju ponovno reklasificirane kao neprihodujuće u skladu s točkama od 213. do 239. ili točkom 260. ovog dijela;</w:t>
      </w:r>
    </w:p>
    <w:p w:rsidR="009E6057"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„priljev s druge osnove” obuhvaća priljev koji se ne može povezati s nekim drugim određenim izvorima priljeva i uključuje, među ostalim, povećanja bruto knjigovodstvene vrijednosti neprihodujućih izloženosti zbog dodatnih isplaćenih iznosa tijekom razdoblja, kapitalizaciju dospjelih iznosa uključujući kapitalizirane naknade i troškove i promjene deviznih tečajeva koji se odnose na neprihodujuće kredite i predujmove koji su bili klasificirani kao neprihodujući na kraju prethodne financijske godine i otad se kontinuirano tako klasificiraju.</w:t>
      </w:r>
    </w:p>
    <w:p w:rsidR="009E6057" w:rsidRDefault="004C5086">
      <w:pPr>
        <w:pStyle w:val="Baseparagraphnumbered"/>
      </w:pPr>
      <w:r>
        <w:lastRenderedPageBreak/>
        <w:t>Sljedeće se izloženosti iskazuju u zasebnim redcima:</w:t>
      </w:r>
    </w:p>
    <w:p w:rsidR="009E6057"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„višekratni priljev” obuhvaća kredite i predujmove koji su tijekom razdoblja nekoliko puta reklasificirani iz neprihodujućih u prihodujuće i obratno;</w:t>
      </w:r>
    </w:p>
    <w:p w:rsidR="009E6057"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„priljev od izloženosti odobrenih u protekla 24 mjeseca” odnosi se na kredite i predujmove odobrene 24 mjeseca prije referentnog datuma i koji su tijekom razdoblja bili klasificirani kao neprihodujući u skladu s točkama od 213. do 239. ili točkom 260. ovog dijela. Od tih izloženosti, te odobrene tijekom razdoblja dodatno se zasebno iskazuju.</w:t>
      </w:r>
    </w:p>
    <w:p w:rsidR="009E6057" w:rsidRDefault="004C5086">
      <w:pPr>
        <w:pStyle w:val="Baseparagraphnumbered"/>
      </w:pPr>
      <w:r>
        <w:t>Odljevi iz kategorije neprihodujućih izloženosti iskazuju se u skladu s točkama od 239.iii. do 239.vi. ovog dijela i raščlanjuju se po vrsti (razlogu) odljeva. U tom kontekstu, „odljev s osnove otpisa” odgovara iznosu otpisa izvršenih tijekom razdoblja koji se ne mogu povezati s drugim određenim vrstama odljeva te uključuje i otpise koji se odnose na potpuni prestanak svih prava institucije koja izvješćuje zbog isteka roka zastare, otpusta ili drugih uzroka nastalih u razdoblju.</w:t>
      </w:r>
    </w:p>
    <w:p w:rsidR="009E6057" w:rsidRDefault="004C5086">
      <w:pPr>
        <w:pStyle w:val="Baseparagraphnumbered"/>
      </w:pPr>
      <w:r>
        <w:t>U tim slučajevima djelomičnog prestanka priznavanja izloženosti kada je preostali dio reklasificiran kao prihodujući, odljev s osnove reklasifikacije i odljev s osnove prestanka priznavanja iskazuju se kao zasebni odljevi. U slučaju odljeva s osnove unovčenja kolaterala, prodaje izloženosti, prijenosa rizika i dobivanja kolaterala u posjed, iskazuje se ostvareni neto kumulativni povrat. Ako je otpis izvršen u trenutku unovčenja kolaterala, prodaje izloženosti, prijenosa rizika i dobivanja kolaterala u posjed, taj se iznos iskazuje kao dio s time povezane vrste odljeva.</w:t>
      </w:r>
    </w:p>
    <w:p w:rsidR="009E6057" w:rsidRDefault="004C5086">
      <w:pPr>
        <w:pStyle w:val="Baseparagraphnumbered"/>
      </w:pPr>
      <w:r>
        <w:t>„Neto kumulirani povrati” znači i. iznos novca ili novčanih ekvivalenata, bez povezanih troškova, naplaćen u kontekstu unovčenja kolaterala, prodaje izloženosti i prijenosa rizika i ii. vrijednost pri početnom priznavanju kako je definirano u točki 175.i. ovog dijela kolaterala dobivenog u kontekstu odljeva s osnove dobivanja kolaterala u posjed.</w:t>
      </w:r>
    </w:p>
    <w:p w:rsidR="009E6057" w:rsidRDefault="004C5086">
      <w:pPr>
        <w:pStyle w:val="Baseparagraphnumbered"/>
      </w:pPr>
      <w:r>
        <w:t>Odljev s osnove kredita i predujmova koji su postali neprihodujući tijekom razdoblja, a zatim su prestali ispunjavati kriterije za klasifikaciju kao neprihodujućih iskazuje se zasebno.</w:t>
      </w:r>
    </w:p>
    <w:p w:rsidR="009E6057" w:rsidRDefault="004C5086">
      <w:pPr>
        <w:pStyle w:val="sub-subtitlenumbered"/>
        <w:jc w:val="both"/>
      </w:pPr>
      <w:bookmarkStart w:id="93" w:name="_Toc30667547"/>
      <w:r>
        <w:t>Krediti i predujmovi: tok umanjenja vrijednosti i akumuliranih negativnih promjena fer vrijednosti zbog kreditnog rizika neprihodujućih izloženosti (24.2.)</w:t>
      </w:r>
      <w:bookmarkEnd w:id="93"/>
    </w:p>
    <w:p w:rsidR="009E6057" w:rsidRDefault="004C5086">
      <w:pPr>
        <w:pStyle w:val="Baseparagraphnumbered"/>
        <w:numPr>
          <w:ilvl w:val="0"/>
          <w:numId w:val="86"/>
        </w:numPr>
      </w:pPr>
      <w:r>
        <w:t>U obrascu 24.2. navodi se usklađenje početnih i završnih stanja na kontima ispravaka vrijednosti i svih akumuliranih negativnih promjena fer vrijednosti zbog kreditnog rizika koji se odnosi na kredite i predujmove koji jesu ili su bili klasificirani kao neprihodujući u skladu s točkama od 213. do 239. ili točkom 260. ovog dijela.</w:t>
      </w:r>
    </w:p>
    <w:p w:rsidR="009E6057" w:rsidRDefault="004C5086">
      <w:pPr>
        <w:pStyle w:val="Baseparagraphnumbered"/>
      </w:pPr>
      <w:r>
        <w:t>„Povećanja tijekom razdoblja” obuhvaćaju:</w:t>
      </w:r>
    </w:p>
    <w:p w:rsidR="009E6057"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 xml:space="preserve">stanje na referentni datum svih akumuliranih umanjenja vrijednosti i akumuliranih negativnih promjena fer vrijednosti zbog kreditnog rizika koji se odnosi na kredite </w:t>
      </w:r>
      <w:r>
        <w:rPr>
          <w:rFonts w:ascii="Times New Roman" w:hAnsi="Times New Roman"/>
        </w:rPr>
        <w:lastRenderedPageBreak/>
        <w:t>i predujmove koji su tijekom razdoblja postali neprihodujući i koji se na referentni izvještajni datum još uvijek klasificiraju kao neprihodujući;</w:t>
      </w:r>
    </w:p>
    <w:p w:rsidR="009E6057"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stanje na datum prestanka priznavanja svih akumuliranih umanjenja vrijednosti i akumuliranih negativnih promjena fer vrijednosti s osnove kreditnog rizika koji se odnosi na kredite i predujmove koji su tijekom razdoblja postali neprihodujući i koji su se tijekom razdoblja prestali priznavati; i</w:t>
      </w:r>
    </w:p>
    <w:p w:rsidR="009E6057"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povećanje akumuliranih umanjenja vrijednosti i akumuliranih negativnih promjena fer vrijednosti s osnove kreditnog rizika koji se odnosi na kredite i predujmove koji su krajem prethodne financijske godine bili klasificirani kao neprihodujući i koji su na referentni izvještajni datum još uvijek klasificirani kao takvi ili su se tijekom razdoblja prestali priznavati.</w:t>
      </w:r>
    </w:p>
    <w:p w:rsidR="009E6057" w:rsidRDefault="004C5086">
      <w:pPr>
        <w:pStyle w:val="Baseparagraphnumbered"/>
      </w:pPr>
      <w:r>
        <w:t>Dio povećanja koji se može pripisati umanjenju vrijednosti i akumuliranim negativnim promjenama fer vrijednosti iskazanim u obračunatim kamatama dodatno se zasebno iskazuje.</w:t>
      </w:r>
    </w:p>
    <w:p w:rsidR="009E6057" w:rsidRDefault="004C5086">
      <w:pPr>
        <w:pStyle w:val="Baseparagraphnumbered"/>
      </w:pPr>
      <w:r>
        <w:t>„Smanjenja tijekom razdoblja” obuhvaćaju:</w:t>
      </w:r>
    </w:p>
    <w:p w:rsidR="009E6057"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stanje na kraju datuma prestanka priznavanja svih akumuliranih umanjenja vrijednosti i akumuliranih negativnih promjena fer vrijednosti s osnove kreditnog rizika koji se odnosi na kredite i predujmove koji su tijekom razdoblja prestali biti neprihodujući i koji su tijekom razdoblja prestali biti dijelom portfelja institucije;</w:t>
      </w:r>
    </w:p>
    <w:p w:rsidR="009E6057"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stanje na referentni datum svih akumuliranih umanjenja vrijednosti i akumuliranih negativnih promjena fer vrijednosti s osnove kreditnog rizika koji se odnosi na kredite i predujmove koji su tijekom razdoblja prestali biti neprihodujući i koji se na referentni datum još ne klasificiraju kao neprihodujući;</w:t>
      </w:r>
    </w:p>
    <w:p w:rsidR="009E6057"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 xml:space="preserve">stanje na referentni datum svih akumuliranih umanjenja vrijednosti i akumuliranih negativnih promjena fer vrijednosti s osnove kreditnog rizika koji se odnosi na kredite i predujmove koji su tijekom razdoblja reklasificirani kao „namijenjeni za prodaju”; i </w:t>
      </w:r>
    </w:p>
    <w:p w:rsidR="009E6057"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smanjenje akumuliranih umanjenja vrijednosti i akumuliranih negativnih promjena fer vrijednosti s osnove kreditnog rizika koji se odnosi na kredite i predujmove koji su krajem prethodne financijske godine bili klasificirani kao neprihodujući i koji su na referentni izvještajni datum još uvijek klasificirani kao takvi.</w:t>
      </w:r>
    </w:p>
    <w:p w:rsidR="009E6057" w:rsidRDefault="004C5086">
      <w:pPr>
        <w:pStyle w:val="Baseparagraphnumbered"/>
      </w:pPr>
      <w:r>
        <w:t>Sljedeće se stavke iskazuju zasebno:</w:t>
      </w:r>
    </w:p>
    <w:p w:rsidR="009E6057"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smanjenje koje se može pripisati ukidanju ispravaka vrijednosti i ukidanju negativnih promjena fer vrijednosti s osnove kreditnog rizika;</w:t>
      </w:r>
    </w:p>
    <w:p w:rsidR="009E6057"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smanjenje koje se može pripisati „izravnanju diskonta” u kontekstu primjene računovodstvene metode efektivne kamatne stope.</w:t>
      </w:r>
    </w:p>
    <w:p w:rsidR="009E6057" w:rsidRDefault="004C5086">
      <w:pPr>
        <w:pStyle w:val="sub-subtitlenumbered"/>
        <w:jc w:val="both"/>
      </w:pPr>
      <w:bookmarkStart w:id="94" w:name="_Toc30667548"/>
      <w:r>
        <w:t>Krediti i predujmovi: otpisi neprihodujućih izloženosti tijekom razdoblja (24.3.)</w:t>
      </w:r>
      <w:bookmarkEnd w:id="94"/>
    </w:p>
    <w:p w:rsidR="009E6057" w:rsidRDefault="004C5086">
      <w:pPr>
        <w:pStyle w:val="Baseparagraphnumbered"/>
      </w:pPr>
      <w:r>
        <w:t xml:space="preserve">U obrascu 24.3. iskazuju se otpisi kako su definirani u točki 74. ovog dijela u mjeri u kojoj i. su izvršeni tijekom razdoblja (priljevi) i ii. se odnose na kredite i predujmove koji su tijekom razdoblja klasificirani kao neprihodujući u skladu s točkama od 213. do 239. ili točkom 260. ovog dijela, isključujući kredite i predujmove klasificirane kao namijenjene za prodaju, kao financijska </w:t>
      </w:r>
      <w:r>
        <w:lastRenderedPageBreak/>
        <w:t>imovina kojom se trguje ili namijenjena za prodaju. Iskazuju se i djelomični i ukupni otpisi. Od tih otpisa, oni koji se mogu pripisati odricanju prava na zakonsku naplatu izloženosti ili njezina dijela, iskazuju se zasebno.</w:t>
      </w:r>
    </w:p>
    <w:p w:rsidR="009E6057" w:rsidRDefault="004C5086">
      <w:pPr>
        <w:pStyle w:val="subtitlenumbered"/>
        <w:jc w:val="both"/>
      </w:pPr>
      <w:bookmarkStart w:id="95" w:name="_Toc30667549"/>
      <w:r>
        <w:t>KOLATERALI DOBIVENI U POSJED I POSTUPCI IZVRŠENJA (25.)</w:t>
      </w:r>
      <w:bookmarkEnd w:id="95"/>
    </w:p>
    <w:p w:rsidR="009E6057" w:rsidRDefault="004C5086">
      <w:pPr>
        <w:pStyle w:val="Baseparagraphnumbered"/>
      </w:pPr>
      <w:r>
        <w:t>„Kolateral dobiven u posjed” uključuje i imovinu koju je dužnik založio kao kolateral i imovinu koju dužnik nije založio kao kolateral, nego je dobivena u zamjenu za poništenje duga, na dobrovoljnoj osnovi ili u sudskom postupku.</w:t>
      </w:r>
    </w:p>
    <w:p w:rsidR="009E6057" w:rsidRDefault="004C5086">
      <w:pPr>
        <w:pStyle w:val="sub-subtitlenumbered"/>
        <w:jc w:val="both"/>
      </w:pPr>
      <w:bookmarkStart w:id="96" w:name="_Toc30667550"/>
      <w:r>
        <w:t>Kolaterali dobiveni u posjed osim kolaterala klasificiranih kao nekretnine, postrojenja i oprema: priljevi i odljevi (25.1.)</w:t>
      </w:r>
      <w:bookmarkEnd w:id="96"/>
    </w:p>
    <w:p w:rsidR="009E6057" w:rsidRDefault="004C5086">
      <w:pPr>
        <w:pStyle w:val="Baseparagraphnumbered"/>
      </w:pPr>
      <w:r>
        <w:t>U obrascu 25.1. iskazuje se usklađenje početnog stanja na početku financijske godine i završnog stanja svih kolaterala dobivenih u posjed, osim kolaterala klasificiranih kao nekretnine, postrojenja i oprema. Osim toga, u obrascu se navode informacije o povezanom „smanjenju stanja duga” i vrijednosti pri početnom priznavanju kolaterala dobivenog u posjed.</w:t>
      </w:r>
    </w:p>
    <w:p w:rsidR="009E6057" w:rsidRDefault="004C5086">
      <w:pPr>
        <w:pStyle w:val="Baseparagraphnumbered"/>
      </w:pPr>
      <w:r>
        <w:t>„Smanjenje stanja duga” znači bruto knjigovodstvena vrijednost izloženosti koja se prestala priznavati u bilanci u zamjenu za kolateral dobiven u posjed, u trenutku zamjene, i s time povezanih umanjenja vrijednosti i negativnih promjena fer vrijednosti s osnove kreditnog rizika akumuliranog u tom trenutku. Ako je u trenutku zamjene izvršen otpis, i taj se iznos smatra dijelom smanjenja stanja duga. Ne iskazuje se prestanak priznavanja u bilanci zbog drugih razloga, kao što je naplata novčanih sredstava.</w:t>
      </w:r>
    </w:p>
    <w:p w:rsidR="009E6057" w:rsidRDefault="004C5086">
      <w:pPr>
        <w:pStyle w:val="Baseparagraphnumbered"/>
      </w:pPr>
      <w:r>
        <w:t>„Vrijednost pri početnom priznavanju” ima isto značenje kao u točki 175.i. ovog dijela.</w:t>
      </w:r>
    </w:p>
    <w:p w:rsidR="009E6057" w:rsidRDefault="004C5086">
      <w:pPr>
        <w:pStyle w:val="Baseparagraphnumbered"/>
      </w:pPr>
      <w:r>
        <w:t>Kad je riječ o „priljevima u razdoblju”:</w:t>
      </w:r>
    </w:p>
    <w:p w:rsidR="009E6057" w:rsidRDefault="00BD4FCE">
      <w:pPr>
        <w:pStyle w:val="Baseparagraphnumbered"/>
        <w:numPr>
          <w:ilvl w:val="0"/>
          <w:numId w:val="0"/>
        </w:numPr>
        <w:ind w:left="1418" w:hanging="632"/>
      </w:pPr>
      <w:r>
        <w:t>(a)</w:t>
      </w:r>
      <w:r>
        <w:tab/>
        <w:t>kolateral dobiven u posjed uključuje: i. novi kolateral dobiven u posjed tijekom razdoblja (od početka financijske godine), neovisno o tome je li kolateral još priznat u bilanci institucije na referentni datum te ii. pozitivne promjene vrednovanja kolaterala tijekom razdoblja zbog drugih razloga (kao što su pozitivne promjene fer vrijednosti, amortizacija, ukidanje umanjenja vrijednosti, promjene računovodstvenih politika). Te vrste priljeva dodatno se zasebno iskazuju.</w:t>
      </w:r>
    </w:p>
    <w:p w:rsidR="009E6057" w:rsidRDefault="00CC4CFA">
      <w:pPr>
        <w:pStyle w:val="Baseparagraphnumbered"/>
        <w:numPr>
          <w:ilvl w:val="0"/>
          <w:numId w:val="0"/>
        </w:numPr>
        <w:ind w:left="1418" w:hanging="632"/>
      </w:pPr>
      <w:r>
        <w:t>(b)</w:t>
      </w:r>
      <w:r>
        <w:tab/>
        <w:t xml:space="preserve">„smanjenje stanja duga” odgovara smanjenju stanja duga izloženosti koja se prestala priznavati koja se odnosi na kolateral dobiven u posjed tijekom razdoblja. </w:t>
      </w:r>
    </w:p>
    <w:p w:rsidR="009E6057" w:rsidRDefault="00CC4CFA">
      <w:pPr>
        <w:pStyle w:val="Baseparagraphnumbered"/>
      </w:pPr>
      <w:r>
        <w:t>Kad je riječ o „odljevima u razdoblju”:</w:t>
      </w:r>
    </w:p>
    <w:p w:rsidR="009E6057" w:rsidRDefault="00E71640">
      <w:pPr>
        <w:pStyle w:val="Baseparagraphnumbered"/>
        <w:numPr>
          <w:ilvl w:val="0"/>
          <w:numId w:val="0"/>
        </w:numPr>
        <w:ind w:left="1418" w:hanging="632"/>
      </w:pPr>
      <w:r>
        <w:t>(a)</w:t>
      </w:r>
      <w:r>
        <w:tab/>
        <w:t xml:space="preserve">kolateral dobiven u posjed uključuje: i. kolateral prodan za novac tijekom razdoblja; ii. kolateral prodan tijekom razdoblja u zamjenu za financijske instrumente i iii. negativne promjene vrednovanja kolaterala tijekom razdoblja zbog raznih razloga (kao što su negativne promjene fer vrijednosti, amortizacija, umanjenje vrijednosti, otpis, promjene </w:t>
      </w:r>
      <w:r>
        <w:lastRenderedPageBreak/>
        <w:t xml:space="preserve">računovodstvenih politika). Te vrste odljeva zasebno se iskazuju. Ako se kolateral prestao priznavati u zamjenu i za novac i za financijske instrumente, relevantni iznosi se razdvajaju i svrstavaju u dvije vrste odljeva. U stavci „Kolateral prodan u zamjenu za financijske instrumente” opisuju se slučajevi prodaje kolaterala drugoj ugovornoj strani kada stjecanje kod te druge ugovorne strane financira institucija koja izvješćuje. </w:t>
      </w:r>
    </w:p>
    <w:p w:rsidR="009E6057" w:rsidRDefault="00E71640">
      <w:pPr>
        <w:pStyle w:val="Baseparagraphnumbered"/>
        <w:numPr>
          <w:ilvl w:val="0"/>
          <w:numId w:val="0"/>
        </w:numPr>
        <w:ind w:left="1418" w:hanging="632"/>
      </w:pPr>
      <w:r>
        <w:t>(b)</w:t>
      </w:r>
      <w:r>
        <w:tab/>
        <w:t xml:space="preserve">„smanjenje stanja duga” odgovara smanjenju stanja duga izloženosti koja se odnosi na slučajeve prodaje kolaterala za novac ili zamjene za financijske instrumente tijekom razdoblja. </w:t>
      </w:r>
    </w:p>
    <w:p w:rsidR="009E6057" w:rsidRDefault="004C5086">
      <w:pPr>
        <w:pStyle w:val="Baseparagraphnumbered"/>
      </w:pPr>
      <w:r>
        <w:t>U slučaju prodaje kolaterala za novac, stavka „Odljev za koji je novac naplaćen” jednaka je zbroju stavki „Naplaćeni novac bez troškova” i „Dobici/(–) gubici od prodaje kolaterala dobivenog u posjed”. „Naplaćeni novac bez troškova” znači iznos primljenog novca bez troškova transakcije, kao što su naknade i provizije plaćene agentima, porezi i davanja na prijenos. „Dobici/(–) gubici od prodaje kolaterala dobivenog u posjed” znači razlika između knjigovodstvene vrijednosti kolaterala izmjerene na datum prestanka priznavanja i iznosa primljenog novca bez troškova transakcije. U slučaju zamjene kolaterala financijskim instrumentima kako je opisano u točki 346. ovog dijela, iskazuje se knjigovodstvena vrijednost odobrenog financiranja.</w:t>
      </w:r>
    </w:p>
    <w:p w:rsidR="009E6057" w:rsidRDefault="004C5086">
      <w:pPr>
        <w:pStyle w:val="Baseparagraphnumbered"/>
      </w:pPr>
      <w:r>
        <w:t>Kolateral dobiven u posjed iskazuje se raščlanjen po „starosti” kolaterala, tj. na temelju razdoblja od kojega je kolateral bio priznat u bilanci institucije.</w:t>
      </w:r>
    </w:p>
    <w:p w:rsidR="009E6057" w:rsidRDefault="004C5086">
      <w:pPr>
        <w:pStyle w:val="Baseparagraphnumbered"/>
      </w:pPr>
      <w:r>
        <w:t xml:space="preserve">U kontekstu iskazivanja dobivenog kolaterala po datumu izdavanja, „starenje” kolaterala u bilanci, tj. kretanje između unaprijed definiranih razreda datuma izdavanja ne iskazuje se ni kao priljev ni kao odljev. </w:t>
      </w:r>
    </w:p>
    <w:p w:rsidR="009E6057" w:rsidRDefault="004C5086">
      <w:pPr>
        <w:pStyle w:val="sub-subtitlenumbered"/>
        <w:jc w:val="both"/>
      </w:pPr>
      <w:bookmarkStart w:id="97" w:name="_Toc30667551"/>
      <w:r>
        <w:t>Kolaterali dobiveni u posjed osim kolaterala klasificiranih kao nekretnine, postrojenja i oprema – vrsta dobivenog kolaterala (25.2.)</w:t>
      </w:r>
      <w:bookmarkEnd w:id="97"/>
    </w:p>
    <w:p w:rsidR="009E6057" w:rsidRDefault="004C5086">
      <w:pPr>
        <w:pStyle w:val="Baseparagraphnumbered"/>
      </w:pPr>
      <w:r>
        <w:t>U obrascu 25.2. navodi se raščlamba kolaterala dobivenih u posjed kako je definirano u točki 341. ovog dijela, prema vrsti dobivenih kolaterala. U obrascu se iskazuje kolateral koji se na referentni datum priznaje u bilanci, bez obzira na trenutak njegova dobivanja. Osim toga, u obrascu se navode informacije o povezanom „smanjenju stanja duga” i „vrijednosti pri početnom priznavanju” kako je definirano u točkama 343. i 344. ovog dijela te o broju kolaterala dobivenih u posjed i priznatih u bilanci na referentni datum.</w:t>
      </w:r>
    </w:p>
    <w:p w:rsidR="009E6057" w:rsidRDefault="004C5086">
      <w:pPr>
        <w:pStyle w:val="Baseparagraphnumbered"/>
      </w:pPr>
      <w:r>
        <w:t>Vrste kolaterala navedene su u točki 173. ovog dijela, osim onih iz podtočke (b) podpodtočke i. te točke.</w:t>
      </w:r>
    </w:p>
    <w:p w:rsidR="009E6057" w:rsidRDefault="004C5086">
      <w:pPr>
        <w:pStyle w:val="Baseparagraphnumbered"/>
      </w:pPr>
      <w:r>
        <w:t>U zasebnim redcima iskazuju se sljedeće informacije o kolateralima u obliku nekretnina:</w:t>
      </w:r>
    </w:p>
    <w:p w:rsidR="009E6057"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nekretnine u izgradnji ili razvoju;</w:t>
      </w:r>
    </w:p>
    <w:p w:rsidR="009E6057"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 xml:space="preserve">kad je riječ o poslovnim nekretninama, kolateral u obliku zemljišta povezanog s društvima za poslovne nekretnine, pri čemu je poljoprivredno zemljište isključeno. </w:t>
      </w:r>
      <w:r>
        <w:rPr>
          <w:rFonts w:ascii="Times New Roman" w:hAnsi="Times New Roman"/>
        </w:rPr>
        <w:lastRenderedPageBreak/>
        <w:t>Dodatno se iskazuju informacije o zemljištu za koje je građevinska dozvola izdana ili nije izdana.</w:t>
      </w:r>
    </w:p>
    <w:p w:rsidR="009E6057" w:rsidRDefault="004C5086">
      <w:pPr>
        <w:pStyle w:val="sub-subtitlenumbered"/>
        <w:jc w:val="both"/>
      </w:pPr>
      <w:bookmarkStart w:id="98" w:name="_Toc30667552"/>
      <w:r>
        <w:t>Kolaterali dobiveni u posjed klasificirani kao nekretnine, postrojenja i oprema (25.3.)</w:t>
      </w:r>
      <w:bookmarkEnd w:id="98"/>
    </w:p>
    <w:p w:rsidR="009E6057" w:rsidRDefault="004C5086">
      <w:pPr>
        <w:pStyle w:val="Baseparagraphnumbered"/>
      </w:pPr>
      <w:r>
        <w:t xml:space="preserve">U obrascu 25.3. iskazuju se informacije o kolateralima dobivenim u posjed koji su klasificirani kao nekretnine, postrojenja i oprema. Osim toga, u obrascu se navode informacije o povezanom „smanjenju stanja duga” i „vrijednosti pri početnom priznavanju” kako je definirano u točkama 343. i 344. ovog dijela. </w:t>
      </w:r>
    </w:p>
    <w:p w:rsidR="009E6057" w:rsidRDefault="004C5086">
      <w:pPr>
        <w:pStyle w:val="Baseparagraphnumbered"/>
      </w:pPr>
      <w:r>
        <w:t>Iskazuju se informacije o svim kolateralima na referentni datum, neovisno o datumu stjecanja, te priljevi s osnove novih kolaterala dobivenih u posjed od početka do kraja referentnog razdoblja i koji se na referentni datum nastavljaju priznavati u bilanci. Kad je riječ o „smanjenju stanja duga”, pod „ukupno” navodi se smanjenje stanja duga povezano s kolateralom na referentni datum, dok se pod „priljevi s osnove novih kolaterala dobivenih u posjed” navodi smanjenje stanja duga s osnove kolaterala dobivenih tijekom razdoblja.</w:t>
      </w:r>
    </w:p>
    <w:p w:rsidR="009E6057" w:rsidRDefault="004C5086">
      <w:pPr>
        <w:pStyle w:val="subtitlenumbered"/>
        <w:jc w:val="both"/>
      </w:pPr>
      <w:bookmarkStart w:id="99" w:name="_Toc30667553"/>
      <w:r>
        <w:t>UPRAVLJANJE RESTRUKTURIRANJEM I KVALITETA RESTRUKTURIRANJA (26.)</w:t>
      </w:r>
      <w:bookmarkEnd w:id="99"/>
    </w:p>
    <w:p w:rsidR="009E6057" w:rsidRDefault="004C5086">
      <w:pPr>
        <w:pStyle w:val="Baseparagraphnumbered"/>
      </w:pPr>
      <w:r>
        <w:t>U obrascu 26. iskazuju se detaljne informacije o kreditima i predujmovima koji su klasificirani kao restrukturirani u skladu s točkama od 240. do 268. ovog dijela, pri čemu su isključeni instrumenti klasificirani kao namijenjeni za prodaju. Mjere restrukturiranja koje se odnose na izmjenu prvotnih uvjeta ili potpuno ili djelomično refinanciranje ugovora o problematičnom dugu kako je definirano u točki 241. ovog dijela raščlanjuju se na specifičnije vrste mjera restrukturiranja.</w:t>
      </w:r>
    </w:p>
    <w:p w:rsidR="009E6057" w:rsidRDefault="004C5086">
      <w:pPr>
        <w:pStyle w:val="Baseparagraphnumbered"/>
      </w:pPr>
      <w:r>
        <w:t>„Broj instrumenata” utvrđuje se kako je definirano u točki 320. ovog dijela.</w:t>
      </w:r>
    </w:p>
    <w:p w:rsidR="009E6057" w:rsidRDefault="004C5086">
      <w:pPr>
        <w:pStyle w:val="Baseparagraphnumbered"/>
      </w:pPr>
      <w:r>
        <w:t>Bruto knjigovodstvena vrijednost izloženosti s mjerama restrukturiranja svrstava se u kategoriju vrste mjere restrukturiranja. Ako je na izloženost primijenjeno nekoliko mjera restrukturiranja, bruto knjigovodstvena vrijednost izloženosti s mjerama restrukturiranja svrstava se u najrelevantniju vrstu mjere restrukturiranja. Potonje se utvrđuje na temelju vrste mjere restrukturiranja koja najviše utječe na neto sadašnju vrijednost restrukturirane izloženosti ili primjenom drugih metoda koje se smatraju primjerenima.</w:t>
      </w:r>
    </w:p>
    <w:p w:rsidR="009E6057" w:rsidRDefault="00E506E6">
      <w:pPr>
        <w:pStyle w:val="Baseparagraphnumbered"/>
      </w:pPr>
      <w:r>
        <w:t>Vrste mjera restrukturiranja su kako slijedi:</w:t>
      </w:r>
    </w:p>
    <w:p w:rsidR="009E6057"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razdoblje počeka / obustava plaćanja: privremena suspenzija obveza otplate glavnice i kamata, pri čemu se otplata nastavlja u budućnosti;</w:t>
      </w:r>
    </w:p>
    <w:p w:rsidR="009E6057"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smanjenje kamatne stope: trajno ili privremeno smanjenje kamatne stope (fiksne ili promjenjive) na poštenu ili održivu razinu;</w:t>
      </w:r>
    </w:p>
    <w:p w:rsidR="009E6057"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produljenje rokova dospijeća: produljenje dospijeća izloženosti, što podrazumijeva smanjenje iznosa anuiteta produljenjem razdoblja otplate;</w:t>
      </w:r>
    </w:p>
    <w:p w:rsidR="009E6057"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lastRenderedPageBreak/>
        <w:t>promjena plana otplate: prilagodba ugovorenog plana otplate uz ili bez promjena iznosa anuiteta, na drugi način osim uvođenjem razdoblja počeka ili obustavom plaćanja, produljenjem rokova dospijeća i oprostom duga. Ova kategorija uključuje, među ostalim, kapitalizaciju dospjelih nepodmirenih obveza i/ili obračunatih dospjelih nepodmirenih obveza za kamate na nepodmireni iznos glavnice za otplatu u okviru održivog, izmijenjenog plana otplate; smanjenje iznosa anuiteta za otplatu glavnice tijekom definiranog razdoblja, neovisno o tome hoće li kamate biti plaćene u cijelosti, jesu li kapitalizirane ili restrukturirane;</w:t>
      </w:r>
    </w:p>
    <w:p w:rsidR="009E6057"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oprost duga: djelomično poništenje izloženosti koje institucija koja izvješćuje provodi njegovim restrukturiranjem ili zakonskom naplatom;</w:t>
      </w:r>
    </w:p>
    <w:p w:rsidR="009E6057"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pretvaranje potraživanja u imovinu: djelomična zamjena izloženosti u obliku dužničkih instrumenata za imovinu ili kapital;</w:t>
      </w:r>
    </w:p>
    <w:p w:rsidR="009E6057"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druge mjere restrukturiranja, uključujući među ostalim, potpuno ili djelomično refinanciranje ugovora o problematičnom dugu.</w:t>
      </w:r>
    </w:p>
    <w:p w:rsidR="009E6057" w:rsidRDefault="004C5086">
      <w:pPr>
        <w:pStyle w:val="Baseparagraphnumbered"/>
      </w:pPr>
      <w:r>
        <w:t xml:space="preserve">Ako mjera restrukturiranja utječe na bruto knjigovodstvenu vrijednost izloženosti, iskazuje se bruto knjigovodstvena vrijednost na referentni datum, </w:t>
      </w:r>
      <w:r w:rsidR="00EF0355">
        <w:t>tj.</w:t>
      </w:r>
      <w:r>
        <w:t xml:space="preserve"> nakon primjene mjere restrukturiranja. U slučaju refinanciranja, iskazuju se bruto knjigovodstvena vrijednost odobrenog novog ugovora („refinanciranje duga”) koji ispunjava uvjete za mjeru restrukturiranja i bruto knjigovodstvena vrijednost starog otplaćenog ugovora koja još nije podmirena. </w:t>
      </w:r>
    </w:p>
    <w:p w:rsidR="009E6057" w:rsidRDefault="004C5086">
      <w:pPr>
        <w:pStyle w:val="Baseparagraphnumbered"/>
      </w:pPr>
      <w:r>
        <w:t>Sljedeće stavke iskazuju se u zasebnim redcima:</w:t>
      </w:r>
    </w:p>
    <w:p w:rsidR="009E6057"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instrumenti na koje su u više navrata primijenjene mjere restrukturiranja, pri čemu:</w:t>
      </w:r>
    </w:p>
    <w:p w:rsidR="009E6057" w:rsidRDefault="004C5086">
      <w:pPr>
        <w:spacing w:before="120" w:after="120"/>
        <w:ind w:left="1491" w:hanging="357"/>
        <w:jc w:val="both"/>
        <w:rPr>
          <w:rFonts w:ascii="Times New Roman" w:hAnsi="Times New Roman"/>
          <w:sz w:val="24"/>
          <w:szCs w:val="24"/>
        </w:rPr>
      </w:pPr>
      <w:r>
        <w:t>i.</w:t>
      </w:r>
      <w:r>
        <w:tab/>
      </w:r>
      <w:r>
        <w:rPr>
          <w:rFonts w:ascii="Times New Roman" w:hAnsi="Times New Roman"/>
        </w:rPr>
        <w:t>„krediti i predujmovi restrukturirani dvaput i više od dva puta” znači izloženosti klasificirane na referentni izvještajni datum kao restrukturirane u skladu s točkama od 240. do 268. ovog dijela, na koje su mjere restrukturiranja primijenjene u dva ili više navrata. To, među ostalim, uključuje izvorno restrukturirane izloženosti koje više nemaju status restrukturiranih (oporavljene restrukturirane izloženosti), ali su za njih nakon toga odobrene nove mjere restrukturiranja;</w:t>
      </w:r>
    </w:p>
    <w:p w:rsidR="009E6057" w:rsidRDefault="004C5086">
      <w:pPr>
        <w:spacing w:before="120" w:after="120"/>
        <w:ind w:left="1491" w:hanging="357"/>
        <w:jc w:val="both"/>
        <w:rPr>
          <w:rFonts w:ascii="Times New Roman" w:hAnsi="Times New Roman"/>
          <w:sz w:val="24"/>
          <w:szCs w:val="24"/>
        </w:rPr>
      </w:pPr>
      <w:r>
        <w:rPr>
          <w:rFonts w:ascii="Times New Roman" w:hAnsi="Times New Roman"/>
        </w:rPr>
        <w:t>ii.</w:t>
      </w:r>
      <w:r>
        <w:rPr>
          <w:rFonts w:ascii="Times New Roman" w:hAnsi="Times New Roman"/>
        </w:rPr>
        <w:tab/>
        <w:t>„krediti i predujmovi za koje su uz postojeće mjere restrukturiranja dodatno odobrene mjere restrukturiranja” znači restrukturirane izloženosti u probnom razdoblju na koje su uz ranije odobrene mjere restrukturiranja primijenjene mjere restrukturiranja, pri čemu izloženost u međuvremenu nije oporavljena.</w:t>
      </w:r>
    </w:p>
    <w:p w:rsidR="009E6057"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Neprihodujuće restrukturirane izloženosti koje ne ispunjavaju uvjete za izlazak iz statusa neprihodujućih. To obuhvaća neprihodujuće restrukturirane izloženosti koje nisu ispunile uvjete da prestanu biti neprihodujuće, kako je opisano u točki 232. ovog dijela, na kraju probnog razdoblja od godinu dana utvrđenog u točki 231. podtočki (b) ovog dijela.</w:t>
      </w:r>
    </w:p>
    <w:p w:rsidR="009E6057" w:rsidRDefault="004C5086">
      <w:pPr>
        <w:pStyle w:val="Baseparagraphnumbered"/>
      </w:pPr>
      <w:r>
        <w:t>Izloženosti za koje su nakon završetka zadnje financijske godine odobrene mjere restrukturiranja iskazuju se u zasebnim stupcima.</w:t>
      </w:r>
    </w:p>
    <w:p w:rsidR="009E6057" w:rsidRDefault="004C5086">
      <w:pPr>
        <w:pStyle w:val="subtitlenumbered"/>
        <w:jc w:val="both"/>
      </w:pPr>
      <w:bookmarkStart w:id="100" w:name="_Toc30667554"/>
      <w:r>
        <w:t>KREDITI I PREDUJMOVI: PROSJEČNO TRAJANJE I RAZDOBLJA NAPLATE (47.)</w:t>
      </w:r>
      <w:bookmarkEnd w:id="100"/>
    </w:p>
    <w:p w:rsidR="009E6057" w:rsidRDefault="004C5086">
      <w:pPr>
        <w:pStyle w:val="Baseparagraphnumbered"/>
      </w:pPr>
      <w:r>
        <w:t xml:space="preserve">Informacije iskazane u obrascu 47. odnose se na kredite i predujmove, ali isključeni su krediti i predujmovi klasificirani kao krediti i predujmovi koji </w:t>
      </w:r>
      <w:r>
        <w:lastRenderedPageBreak/>
        <w:t>se drže radi trgovanja, kao financijska imovina kojom se trguje ili namijenjena za prodaju.</w:t>
      </w:r>
    </w:p>
    <w:p w:rsidR="009E6057" w:rsidRDefault="004C5086">
      <w:pPr>
        <w:pStyle w:val="Baseparagraphnumbered"/>
      </w:pPr>
      <w:r>
        <w:t>„Ponderirano prosječno vrijeme od datuma dospijeća (u godinama)” izračunava se kao ponderirani prosječni broj dana od dospijeća izloženosti klasificirane na referentni datum kao neprihodujuće u skladu s točkama od 213. do 239. ili točkom 260. ovog dijela. Pri tom se izračunu za neprihodujuće izloženosti koje nisu dospjele smatra da su dospjele nula dana. Izloženosti se ponderiraju bruto knjigovodstvenom vrijednosti izmjerenom na referentni datum. Ponderirano prosječno vrijeme od datuma dospijeća iskazuje se u godinama (s decimalama).</w:t>
      </w:r>
    </w:p>
    <w:p w:rsidR="009E6057" w:rsidRDefault="004C5086">
      <w:pPr>
        <w:pStyle w:val="Baseparagraphnumbered"/>
      </w:pPr>
      <w:r>
        <w:t>Iskazuju se sljedeće informacije o rezultatima sporova po neprihodujućim kreditima i predujmovima zaključenima tijekom razdoblja:</w:t>
      </w:r>
    </w:p>
    <w:p w:rsidR="009E6057"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neto kumulirani povrati: ova stavka uključuje povrate na temelju sudskih postupaka. Ne uključuje povrate na temelju dobrovoljnih sporazuma;</w:t>
      </w:r>
    </w:p>
    <w:p w:rsidR="009E6057"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smanjenje bruto knjigovodstvene vrijednosti: ova stavka uključuje bruto knjigovodstvenu vrijednost neprihodujućih kredita i predujmova koji su se nakon okončanja spora prestali priznavati. To uključuje povezane otpise.</w:t>
      </w:r>
    </w:p>
    <w:p w:rsidR="009E6057"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prosječno trajanje sporova okončanih u razdoblju: izračunava se kao prosječno vrijeme proteklo od datuma klasifikacije instrumenta kao „u statusu spora” u skladu s točkom 322. ovog dijela do datuma okončanja sudskog postupka; iskazuje se u godinama (s decimalama).</w:t>
      </w:r>
    </w:p>
    <w:p w:rsidR="009E6057" w:rsidRDefault="009E6057">
      <w:pPr>
        <w:jc w:val="center"/>
        <w:rPr>
          <w:rFonts w:ascii="Times New Roman" w:hAnsi="Times New Roman"/>
          <w:b/>
          <w:sz w:val="24"/>
          <w:szCs w:val="24"/>
        </w:rPr>
      </w:pPr>
    </w:p>
    <w:p w:rsidR="009E6057" w:rsidRPr="00C54C72" w:rsidRDefault="00A834F1" w:rsidP="00C54C72">
      <w:pPr>
        <w:jc w:val="center"/>
        <w:rPr>
          <w:rFonts w:ascii="Times New Roman" w:hAnsi="Times New Roman"/>
          <w:b/>
          <w:sz w:val="24"/>
          <w:szCs w:val="24"/>
        </w:rPr>
      </w:pPr>
      <w:bookmarkStart w:id="101" w:name="_Toc30667453"/>
      <w:bookmarkStart w:id="102" w:name="_Toc30667555"/>
      <w:r w:rsidRPr="00C54C72">
        <w:rPr>
          <w:rFonts w:ascii="Times New Roman" w:hAnsi="Times New Roman"/>
          <w:b/>
          <w:sz w:val="24"/>
          <w:szCs w:val="24"/>
        </w:rPr>
        <w:t>DIO 3.</w:t>
      </w:r>
      <w:bookmarkEnd w:id="101"/>
      <w:bookmarkEnd w:id="102"/>
    </w:p>
    <w:p w:rsidR="009E6057" w:rsidRDefault="00A834F1">
      <w:pPr>
        <w:pStyle w:val="Heading1"/>
      </w:pPr>
      <w:bookmarkStart w:id="103" w:name="_Toc30667556"/>
      <w:r>
        <w:t>Raspoređivanje kategorija izloženosti i sektora druge ugovorne strane</w:t>
      </w:r>
      <w:bookmarkEnd w:id="103"/>
    </w:p>
    <w:p w:rsidR="009E6057" w:rsidRDefault="009E6057"/>
    <w:p w:rsidR="009E6057" w:rsidRDefault="00A834F1">
      <w:pPr>
        <w:pStyle w:val="Baseparagraphnumbered"/>
        <w:numPr>
          <w:ilvl w:val="0"/>
          <w:numId w:val="36"/>
        </w:numPr>
      </w:pPr>
      <w:r>
        <w:t>U tablicama 2. i 3. kategorije izloženosti za izračun kapitalnih zahtjeva u skladu s CRR-om raspoređuju se u sektore druge ugovorne strane iz tablica za financijsko izvješćivanje.</w:t>
      </w:r>
    </w:p>
    <w:p w:rsidR="009E6057" w:rsidRDefault="00A834F1">
      <w:pPr>
        <w:jc w:val="center"/>
        <w:rPr>
          <w:rFonts w:ascii="Times New Roman" w:hAnsi="Times New Roman"/>
          <w:bCs/>
          <w:i/>
          <w:sz w:val="24"/>
          <w:szCs w:val="24"/>
        </w:rPr>
      </w:pPr>
      <w:r>
        <w:rPr>
          <w:rFonts w:ascii="Times New Roman" w:hAnsi="Times New Roman"/>
          <w:bCs/>
          <w:i/>
        </w:rPr>
        <w:t>Tablica 2. Standardizirani pristup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9E6057" w:rsidTr="009569C7">
        <w:trPr>
          <w:tblHeader/>
        </w:trPr>
        <w:tc>
          <w:tcPr>
            <w:tcW w:w="3168" w:type="dxa"/>
            <w:vAlign w:val="center"/>
          </w:tcPr>
          <w:p w:rsidR="009E6057" w:rsidRDefault="00A834F1">
            <w:pPr>
              <w:spacing w:before="60" w:after="60"/>
              <w:jc w:val="center"/>
              <w:rPr>
                <w:rFonts w:ascii="Times New Roman" w:hAnsi="Times New Roman"/>
                <w:b/>
                <w:bCs/>
                <w:i/>
                <w:iCs/>
                <w:sz w:val="20"/>
              </w:rPr>
            </w:pPr>
            <w:r>
              <w:rPr>
                <w:rFonts w:ascii="Times New Roman" w:hAnsi="Times New Roman"/>
                <w:b/>
                <w:bCs/>
                <w:i/>
                <w:iCs/>
                <w:sz w:val="20"/>
              </w:rPr>
              <w:t>Kategorije izloženosti u skladu sa standardiziranim pristupom (članak 112. CRR-a)</w:t>
            </w:r>
          </w:p>
        </w:tc>
        <w:tc>
          <w:tcPr>
            <w:tcW w:w="3060" w:type="dxa"/>
            <w:vAlign w:val="center"/>
          </w:tcPr>
          <w:p w:rsidR="009E6057" w:rsidRDefault="00A834F1">
            <w:pPr>
              <w:spacing w:before="60" w:after="60"/>
              <w:jc w:val="center"/>
              <w:rPr>
                <w:rFonts w:ascii="Times New Roman" w:hAnsi="Times New Roman"/>
                <w:b/>
                <w:bCs/>
                <w:i/>
                <w:iCs/>
                <w:sz w:val="20"/>
              </w:rPr>
            </w:pPr>
            <w:r>
              <w:rPr>
                <w:rFonts w:ascii="Times New Roman" w:hAnsi="Times New Roman"/>
                <w:b/>
                <w:bCs/>
                <w:i/>
                <w:iCs/>
                <w:sz w:val="20"/>
              </w:rPr>
              <w:t>Sektori druge ugovorne strane financijskog izvješćivanja</w:t>
            </w:r>
          </w:p>
        </w:tc>
        <w:tc>
          <w:tcPr>
            <w:tcW w:w="3240" w:type="dxa"/>
            <w:vAlign w:val="center"/>
          </w:tcPr>
          <w:p w:rsidR="009E6057" w:rsidRDefault="00A834F1">
            <w:pPr>
              <w:spacing w:before="60" w:after="60"/>
              <w:jc w:val="center"/>
              <w:rPr>
                <w:rFonts w:ascii="Times New Roman" w:hAnsi="Times New Roman"/>
                <w:b/>
                <w:bCs/>
                <w:i/>
                <w:iCs/>
                <w:sz w:val="20"/>
              </w:rPr>
            </w:pPr>
            <w:r>
              <w:rPr>
                <w:rFonts w:ascii="Times New Roman" w:hAnsi="Times New Roman"/>
                <w:b/>
                <w:bCs/>
                <w:i/>
                <w:iCs/>
                <w:sz w:val="20"/>
              </w:rPr>
              <w:t>Napomene</w:t>
            </w:r>
          </w:p>
        </w:tc>
      </w:tr>
      <w:tr w:rsidR="009E6057" w:rsidTr="009569C7">
        <w:trPr>
          <w:cantSplit/>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(a) Središnje države ili središnje banke</w:t>
            </w:r>
          </w:p>
        </w:tc>
        <w:tc>
          <w:tcPr>
            <w:tcW w:w="3060" w:type="dxa"/>
            <w:tcBorders>
              <w:bottom w:val="nil"/>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(1) Središnje banke</w:t>
            </w:r>
          </w:p>
          <w:p w:rsidR="009E6057" w:rsidRDefault="00A834F1">
            <w:pPr>
              <w:spacing w:before="60" w:after="60"/>
              <w:rPr>
                <w:rFonts w:ascii="Times New Roman" w:hAnsi="Times New Roman"/>
                <w:sz w:val="18"/>
                <w:szCs w:val="18"/>
              </w:rPr>
            </w:pPr>
            <w:r>
              <w:rPr>
                <w:rFonts w:ascii="Times New Roman" w:hAnsi="Times New Roman"/>
                <w:sz w:val="18"/>
                <w:szCs w:val="18"/>
              </w:rPr>
              <w:t>(2) Opće države</w:t>
            </w:r>
          </w:p>
        </w:tc>
        <w:tc>
          <w:tcPr>
            <w:tcW w:w="3240" w:type="dxa"/>
            <w:tcBorders>
              <w:bottom w:val="nil"/>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(b) Jedinice područne (regionalne) ili lokalne samouprave</w:t>
            </w:r>
          </w:p>
        </w:tc>
        <w:tc>
          <w:tcPr>
            <w:tcW w:w="3060" w:type="dxa"/>
            <w:tcBorders>
              <w:bottom w:val="nil"/>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(2) Opće države</w:t>
            </w:r>
          </w:p>
        </w:tc>
        <w:tc>
          <w:tcPr>
            <w:tcW w:w="3240" w:type="dxa"/>
            <w:tcBorders>
              <w:bottom w:val="nil"/>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lastRenderedPageBreak/>
              <w:t>(c) Subjekti javnog sektora</w:t>
            </w:r>
          </w:p>
        </w:tc>
        <w:tc>
          <w:tcPr>
            <w:tcW w:w="3060" w:type="dxa"/>
            <w:tcBorders>
              <w:bottom w:val="nil"/>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 xml:space="preserve">(2) Opće države </w:t>
            </w:r>
          </w:p>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p w:rsidR="009E6057" w:rsidRDefault="009E6057">
            <w:pPr>
              <w:spacing w:before="60" w:after="60"/>
              <w:rPr>
                <w:rFonts w:ascii="Times New Roman" w:hAnsi="Times New Roman"/>
                <w:sz w:val="18"/>
                <w:szCs w:val="18"/>
              </w:rPr>
            </w:pPr>
          </w:p>
        </w:tc>
        <w:tc>
          <w:tcPr>
            <w:tcW w:w="3240" w:type="dxa"/>
            <w:tcBorders>
              <w:bottom w:val="nil"/>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Height w:val="147"/>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(d) Multilateralne razvojne banke</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Height w:val="70"/>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(e) Međunarodne organizacije</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(2) Opće države</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(f) Institucije</w:t>
            </w:r>
          </w:p>
          <w:p w:rsidR="009E6057" w:rsidRDefault="00A834F1">
            <w:pPr>
              <w:spacing w:before="60" w:after="60"/>
              <w:rPr>
                <w:rFonts w:ascii="Times New Roman" w:hAnsi="Times New Roman"/>
                <w:sz w:val="18"/>
                <w:szCs w:val="18"/>
              </w:rPr>
            </w:pPr>
            <w:r>
              <w:rPr>
                <w:rFonts w:ascii="Times New Roman" w:hAnsi="Times New Roman"/>
                <w:sz w:val="18"/>
                <w:szCs w:val="18"/>
              </w:rPr>
              <w:t>(odnosno kreditne institucije i investicijska društva)</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(g) Trgovačka društva</w:t>
            </w:r>
          </w:p>
        </w:tc>
        <w:tc>
          <w:tcPr>
            <w:tcW w:w="3060" w:type="dxa"/>
            <w:vAlign w:val="center"/>
          </w:tcPr>
          <w:p w:rsidR="009E6057" w:rsidRDefault="00C93712">
            <w:pPr>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 xml:space="preserve">(5) Nefinancijska društva </w:t>
            </w:r>
          </w:p>
          <w:p w:rsidR="009E6057" w:rsidRDefault="00A834F1">
            <w:pPr>
              <w:spacing w:before="60" w:after="60"/>
              <w:rPr>
                <w:rFonts w:ascii="Times New Roman" w:hAnsi="Times New Roman"/>
                <w:sz w:val="18"/>
                <w:szCs w:val="18"/>
              </w:rPr>
            </w:pPr>
            <w:r>
              <w:rPr>
                <w:rFonts w:ascii="Times New Roman" w:hAnsi="Times New Roman"/>
                <w:sz w:val="18"/>
                <w:szCs w:val="18"/>
              </w:rPr>
              <w:t>(6) Kućanstva</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(h) Stanovništvo</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(6) Kućanstva</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Height w:val="134"/>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(i) Osigurane nekretninama</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 xml:space="preserve"> (6) Kućanstva</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Height w:val="69"/>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(j) izloženosti sa statusom neispunjavanja obveza</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(1) Središnje banke</w:t>
            </w:r>
          </w:p>
          <w:p w:rsidR="009E6057" w:rsidRDefault="00A834F1">
            <w:pPr>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 xml:space="preserve">(6) Kućanstva  </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Height w:val="89"/>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(ja) Visokorizične stavke</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(1) Središnje banke</w:t>
            </w:r>
          </w:p>
          <w:p w:rsidR="009E6057" w:rsidRDefault="00A834F1">
            <w:pPr>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 xml:space="preserve">(6) Kućanstva  </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Height w:val="89"/>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(k) Pokrivene obveznice</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lastRenderedPageBreak/>
              <w:t>(l) Sekuritizacijske pozicije</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keepNext/>
              <w:spacing w:before="60" w:after="60"/>
              <w:rPr>
                <w:rFonts w:ascii="Times New Roman" w:hAnsi="Times New Roman"/>
                <w:sz w:val="18"/>
                <w:szCs w:val="18"/>
              </w:rPr>
            </w:pPr>
            <w:r>
              <w:rPr>
                <w:rFonts w:ascii="Times New Roman" w:hAnsi="Times New Roman"/>
                <w:sz w:val="18"/>
                <w:szCs w:val="18"/>
              </w:rPr>
              <w:t xml:space="preserve">(6) Kućanstva </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odnosnim rizikom sekuritizacije. Kod financijskog izvješćivanja, ako se sekuritizirane pozicije i dalje priznaju u bilanci, sektori druge ugovorne strane jesu sektori neposrednih drugih ugovornih strana tih pozicija</w:t>
            </w:r>
          </w:p>
        </w:tc>
      </w:tr>
      <w:tr w:rsidR="009E6057" w:rsidTr="009569C7">
        <w:trPr>
          <w:cantSplit/>
          <w:trHeight w:val="267"/>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(m) Institucije i trgovačka društva s kratkoročnom kreditnom procjenom</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spacing w:before="60" w:after="60"/>
              <w:rPr>
                <w:rFonts w:ascii="Times New Roman" w:hAnsi="Times New Roman"/>
                <w:sz w:val="18"/>
                <w:szCs w:val="18"/>
              </w:rPr>
            </w:pPr>
            <w:r>
              <w:rPr>
                <w:rFonts w:ascii="Times New Roman" w:hAnsi="Times New Roman"/>
                <w:sz w:val="18"/>
                <w:szCs w:val="18"/>
              </w:rPr>
              <w:t>(5) Nefinancijska društva</w:t>
            </w: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rPr>
          <w:cantSplit/>
          <w:trHeight w:val="263"/>
        </w:trPr>
        <w:tc>
          <w:tcPr>
            <w:tcW w:w="3168"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(n) Subjekti za zajednička ulaganja</w:t>
            </w:r>
          </w:p>
        </w:tc>
        <w:tc>
          <w:tcPr>
            <w:tcW w:w="306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Vlasnički instrumenti</w:t>
            </w:r>
          </w:p>
          <w:p w:rsidR="009E6057" w:rsidRDefault="009E6057">
            <w:pPr>
              <w:spacing w:before="60" w:after="60"/>
              <w:rPr>
                <w:rFonts w:ascii="Times New Roman" w:hAnsi="Times New Roman"/>
                <w:sz w:val="18"/>
                <w:szCs w:val="18"/>
              </w:rPr>
            </w:pPr>
          </w:p>
        </w:tc>
        <w:tc>
          <w:tcPr>
            <w:tcW w:w="3240"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Ulaganja u investicijski fond kod financijskog izvješćivanja klasificirana su kao vlasnički instrumenti bez obzira na to je li pregled dopušten CRR-om.</w:t>
            </w:r>
          </w:p>
        </w:tc>
      </w:tr>
      <w:tr w:rsidR="009E605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br w:type="page"/>
              <w:t xml:space="preserve"> (o) Kapital</w:t>
            </w:r>
          </w:p>
        </w:tc>
        <w:tc>
          <w:tcPr>
            <w:tcW w:w="3060" w:type="dxa"/>
            <w:tcBorders>
              <w:top w:val="single" w:sz="4" w:space="0" w:color="auto"/>
              <w:left w:val="single" w:sz="4" w:space="0" w:color="auto"/>
              <w:bottom w:val="single" w:sz="4" w:space="0" w:color="auto"/>
              <w:right w:val="single" w:sz="4" w:space="0" w:color="auto"/>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Vlasnički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Kod financijskog izvješćivanja vlasnički instrumenti odvojeni su kao instrumenti u različitim kategorijama financijske imovine</w:t>
            </w:r>
          </w:p>
        </w:tc>
      </w:tr>
      <w:tr w:rsidR="009E605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(p) Ostale stavke</w:t>
            </w:r>
          </w:p>
        </w:tc>
        <w:tc>
          <w:tcPr>
            <w:tcW w:w="3060" w:type="dxa"/>
            <w:tcBorders>
              <w:top w:val="single" w:sz="4" w:space="0" w:color="auto"/>
              <w:left w:val="single" w:sz="4" w:space="0" w:color="auto"/>
              <w:bottom w:val="single" w:sz="4" w:space="0" w:color="auto"/>
              <w:right w:val="single" w:sz="4" w:space="0" w:color="auto"/>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Razne stavke u bilanci</w:t>
            </w:r>
          </w:p>
        </w:tc>
        <w:tc>
          <w:tcPr>
            <w:tcW w:w="3240" w:type="dxa"/>
            <w:tcBorders>
              <w:top w:val="single" w:sz="4" w:space="0" w:color="auto"/>
              <w:left w:val="single" w:sz="4" w:space="0" w:color="auto"/>
              <w:bottom w:val="single" w:sz="4" w:space="0" w:color="auto"/>
              <w:right w:val="single" w:sz="4" w:space="0" w:color="auto"/>
            </w:tcBorders>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Kod financijskog izvješćivanja ostale stavke moguće je navesti u različitim kategorijama imovine.</w:t>
            </w:r>
          </w:p>
        </w:tc>
      </w:tr>
    </w:tbl>
    <w:p w:rsidR="009E6057" w:rsidRDefault="009E6057">
      <w:pPr>
        <w:pStyle w:val="Baseparagraphnumbered"/>
        <w:numPr>
          <w:ilvl w:val="0"/>
          <w:numId w:val="0"/>
        </w:numPr>
        <w:spacing w:after="0"/>
        <w:ind w:left="782"/>
      </w:pPr>
    </w:p>
    <w:p w:rsidR="009E6057" w:rsidRDefault="00A834F1">
      <w:pPr>
        <w:keepNext/>
        <w:jc w:val="center"/>
        <w:rPr>
          <w:rFonts w:ascii="Times New Roman" w:hAnsi="Times New Roman"/>
          <w:bCs/>
          <w:i/>
          <w:sz w:val="24"/>
          <w:szCs w:val="24"/>
        </w:rPr>
      </w:pPr>
      <w:r>
        <w:rPr>
          <w:rFonts w:ascii="Times New Roman" w:hAnsi="Times New Roman"/>
          <w:bCs/>
          <w:i/>
        </w:rPr>
        <w:lastRenderedPageBreak/>
        <w:t>Tablica 3. Pristup zasnovan na internim rejting-sustavima (IRB pristup)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9E6057" w:rsidTr="009569C7">
        <w:trPr>
          <w:tblHeader/>
        </w:trPr>
        <w:tc>
          <w:tcPr>
            <w:tcW w:w="3055" w:type="dxa"/>
            <w:vAlign w:val="center"/>
          </w:tcPr>
          <w:p w:rsidR="009E6057" w:rsidRDefault="00A834F1">
            <w:pPr>
              <w:keepNext/>
              <w:spacing w:before="60" w:after="60"/>
              <w:jc w:val="center"/>
              <w:rPr>
                <w:rFonts w:ascii="Times New Roman" w:hAnsi="Times New Roman"/>
                <w:b/>
                <w:bCs/>
                <w:i/>
                <w:iCs/>
                <w:sz w:val="20"/>
              </w:rPr>
            </w:pPr>
            <w:r>
              <w:rPr>
                <w:rFonts w:ascii="Times New Roman" w:hAnsi="Times New Roman"/>
                <w:b/>
                <w:bCs/>
                <w:i/>
                <w:iCs/>
                <w:sz w:val="20"/>
              </w:rPr>
              <w:t>Kategorije izloženosti u skladu s IRB pristupom</w:t>
            </w:r>
          </w:p>
          <w:p w:rsidR="009E6057" w:rsidRDefault="00A834F1">
            <w:pPr>
              <w:keepNext/>
              <w:spacing w:before="60" w:after="60"/>
              <w:jc w:val="center"/>
              <w:rPr>
                <w:rFonts w:ascii="Times New Roman" w:hAnsi="Times New Roman"/>
                <w:b/>
                <w:bCs/>
                <w:i/>
                <w:iCs/>
                <w:sz w:val="20"/>
              </w:rPr>
            </w:pPr>
            <w:r>
              <w:rPr>
                <w:rFonts w:ascii="Times New Roman" w:hAnsi="Times New Roman"/>
                <w:b/>
                <w:bCs/>
                <w:i/>
                <w:iCs/>
                <w:sz w:val="20"/>
              </w:rPr>
              <w:t>(članak 147. CRR-a)</w:t>
            </w:r>
          </w:p>
        </w:tc>
        <w:tc>
          <w:tcPr>
            <w:tcW w:w="3055" w:type="dxa"/>
            <w:vAlign w:val="center"/>
          </w:tcPr>
          <w:p w:rsidR="009E6057" w:rsidRDefault="00A834F1">
            <w:pPr>
              <w:keepNext/>
              <w:spacing w:before="60" w:after="60"/>
              <w:jc w:val="center"/>
              <w:rPr>
                <w:rFonts w:ascii="Times New Roman" w:hAnsi="Times New Roman"/>
                <w:b/>
                <w:bCs/>
                <w:i/>
                <w:iCs/>
                <w:sz w:val="20"/>
              </w:rPr>
            </w:pPr>
            <w:r>
              <w:rPr>
                <w:rFonts w:ascii="Times New Roman" w:hAnsi="Times New Roman"/>
                <w:b/>
                <w:bCs/>
                <w:i/>
                <w:iCs/>
                <w:sz w:val="20"/>
              </w:rPr>
              <w:t>Sektori druge ugovorne strane financijskog izvješćivanja</w:t>
            </w:r>
          </w:p>
        </w:tc>
        <w:tc>
          <w:tcPr>
            <w:tcW w:w="3212" w:type="dxa"/>
            <w:vAlign w:val="center"/>
          </w:tcPr>
          <w:p w:rsidR="009E6057" w:rsidRDefault="00A834F1">
            <w:pPr>
              <w:keepNext/>
              <w:spacing w:before="60" w:after="60"/>
              <w:jc w:val="center"/>
              <w:rPr>
                <w:rFonts w:ascii="Times New Roman" w:hAnsi="Times New Roman"/>
                <w:b/>
                <w:bCs/>
                <w:i/>
                <w:iCs/>
                <w:sz w:val="20"/>
              </w:rPr>
            </w:pPr>
            <w:r>
              <w:rPr>
                <w:rFonts w:ascii="Times New Roman" w:hAnsi="Times New Roman"/>
                <w:b/>
                <w:bCs/>
                <w:i/>
                <w:iCs/>
                <w:sz w:val="20"/>
              </w:rPr>
              <w:t>Napomene</w:t>
            </w:r>
          </w:p>
        </w:tc>
      </w:tr>
      <w:tr w:rsidR="009E6057" w:rsidTr="009569C7">
        <w:trPr>
          <w:cantSplit/>
          <w:trHeight w:val="438"/>
        </w:trPr>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(a) Središnje države i središnje banke</w:t>
            </w:r>
          </w:p>
        </w:tc>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(1) Središnje banke</w:t>
            </w:r>
          </w:p>
          <w:p w:rsidR="009E6057" w:rsidRDefault="00A834F1">
            <w:pPr>
              <w:keepNext/>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keepNext/>
              <w:spacing w:before="60" w:after="60"/>
              <w:rPr>
                <w:rFonts w:ascii="Times New Roman" w:hAnsi="Times New Roman"/>
                <w:sz w:val="18"/>
                <w:szCs w:val="18"/>
              </w:rPr>
            </w:pPr>
            <w:r>
              <w:rPr>
                <w:rFonts w:ascii="Times New Roman" w:hAnsi="Times New Roman"/>
                <w:sz w:val="18"/>
                <w:szCs w:val="18"/>
              </w:rPr>
              <w:t>(3) Kreditne institucije</w:t>
            </w:r>
          </w:p>
        </w:tc>
        <w:tc>
          <w:tcPr>
            <w:tcW w:w="3212"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 xml:space="preserve">Te izloženosti dodjeljuju se sektorima druge ugovorne strane financijskog izvješćivanja u skladu s vrstom neposredne druge ugovorne strane </w:t>
            </w:r>
          </w:p>
        </w:tc>
      </w:tr>
      <w:tr w:rsidR="009E6057" w:rsidTr="009569C7">
        <w:trPr>
          <w:cantSplit/>
        </w:trPr>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(b) Institucije</w:t>
            </w:r>
          </w:p>
          <w:p w:rsidR="009E6057" w:rsidRDefault="00A834F1">
            <w:pPr>
              <w:keepNext/>
              <w:spacing w:before="60" w:after="60"/>
              <w:rPr>
                <w:rFonts w:ascii="Times New Roman" w:hAnsi="Times New Roman"/>
                <w:sz w:val="18"/>
                <w:szCs w:val="18"/>
              </w:rPr>
            </w:pPr>
            <w:r>
              <w:rPr>
                <w:rFonts w:ascii="Times New Roman" w:hAnsi="Times New Roman"/>
                <w:sz w:val="18"/>
                <w:szCs w:val="18"/>
              </w:rPr>
              <w:t>(odnosno kreditne institucije i investicijska društva, kao i neke opće države i multilateralne banke)</w:t>
            </w:r>
            <w:r>
              <w:rPr>
                <w:rFonts w:ascii="Times New Roman" w:hAnsi="Times New Roman"/>
                <w:i/>
                <w:iCs/>
                <w:sz w:val="20"/>
              </w:rPr>
              <w:t xml:space="preserve"> </w:t>
            </w:r>
          </w:p>
        </w:tc>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 xml:space="preserve">(2) Opće države </w:t>
            </w:r>
          </w:p>
          <w:p w:rsidR="009E6057" w:rsidRDefault="00A834F1">
            <w:pPr>
              <w:keepNext/>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keepNext/>
              <w:spacing w:before="60" w:after="60"/>
              <w:rPr>
                <w:rFonts w:ascii="Times New Roman" w:hAnsi="Times New Roman"/>
                <w:sz w:val="18"/>
                <w:szCs w:val="18"/>
              </w:rPr>
            </w:pPr>
            <w:r>
              <w:rPr>
                <w:rFonts w:ascii="Times New Roman" w:hAnsi="Times New Roman"/>
                <w:sz w:val="18"/>
                <w:szCs w:val="18"/>
              </w:rPr>
              <w:t>(4) Ostala financijska društva</w:t>
            </w:r>
          </w:p>
        </w:tc>
        <w:tc>
          <w:tcPr>
            <w:tcW w:w="3212"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(c) Trgovačka društva</w:t>
            </w:r>
          </w:p>
        </w:tc>
        <w:tc>
          <w:tcPr>
            <w:tcW w:w="3055" w:type="dxa"/>
            <w:vAlign w:val="center"/>
          </w:tcPr>
          <w:p w:rsidR="009E6057" w:rsidRDefault="00C93712">
            <w:pPr>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keepNext/>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keepNext/>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keepNext/>
              <w:spacing w:before="60" w:after="60"/>
              <w:rPr>
                <w:rFonts w:ascii="Times New Roman" w:hAnsi="Times New Roman"/>
                <w:sz w:val="18"/>
                <w:szCs w:val="18"/>
              </w:rPr>
            </w:pPr>
            <w:r>
              <w:rPr>
                <w:rFonts w:ascii="Times New Roman" w:hAnsi="Times New Roman"/>
                <w:sz w:val="18"/>
                <w:szCs w:val="18"/>
              </w:rPr>
              <w:t>(6) Kućanstva</w:t>
            </w:r>
          </w:p>
        </w:tc>
        <w:tc>
          <w:tcPr>
            <w:tcW w:w="3212"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(d) Stanovništvo</w:t>
            </w:r>
          </w:p>
        </w:tc>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keepNext/>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keepNext/>
              <w:spacing w:before="60" w:after="60"/>
              <w:rPr>
                <w:rFonts w:ascii="Times New Roman" w:hAnsi="Times New Roman"/>
                <w:sz w:val="18"/>
                <w:szCs w:val="18"/>
              </w:rPr>
            </w:pPr>
            <w:r>
              <w:rPr>
                <w:rFonts w:ascii="Times New Roman" w:hAnsi="Times New Roman"/>
                <w:sz w:val="18"/>
                <w:szCs w:val="18"/>
              </w:rPr>
              <w:t>(6) Kućanstva</w:t>
            </w:r>
          </w:p>
        </w:tc>
        <w:tc>
          <w:tcPr>
            <w:tcW w:w="3212"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vrstom neposredne druge ugovorne strane</w:t>
            </w:r>
          </w:p>
        </w:tc>
      </w:tr>
      <w:tr w:rsidR="009E6057" w:rsidTr="009569C7">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(e) Kapital</w:t>
            </w:r>
          </w:p>
        </w:tc>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Vlasnički instrumenti</w:t>
            </w:r>
          </w:p>
        </w:tc>
        <w:tc>
          <w:tcPr>
            <w:tcW w:w="3212"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 xml:space="preserve">Kod financijskog izvješćivanja vlasnički instrumenti odvojeni su kao instrumenti u različitim kategorijama financijske imovine </w:t>
            </w:r>
          </w:p>
        </w:tc>
      </w:tr>
      <w:tr w:rsidR="009E6057" w:rsidTr="009569C7">
        <w:trPr>
          <w:cantSplit/>
        </w:trPr>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(f) Sekuritizacijske pozicije</w:t>
            </w:r>
          </w:p>
        </w:tc>
        <w:tc>
          <w:tcPr>
            <w:tcW w:w="3055"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(2) Opće države</w:t>
            </w:r>
          </w:p>
          <w:p w:rsidR="009E6057" w:rsidRDefault="00A834F1">
            <w:pPr>
              <w:keepNext/>
              <w:spacing w:before="60" w:after="60"/>
              <w:rPr>
                <w:rFonts w:ascii="Times New Roman" w:hAnsi="Times New Roman"/>
                <w:sz w:val="18"/>
                <w:szCs w:val="18"/>
              </w:rPr>
            </w:pPr>
            <w:r>
              <w:rPr>
                <w:rFonts w:ascii="Times New Roman" w:hAnsi="Times New Roman"/>
                <w:sz w:val="18"/>
                <w:szCs w:val="18"/>
              </w:rPr>
              <w:t>(3) Kreditne institucije</w:t>
            </w:r>
          </w:p>
          <w:p w:rsidR="009E6057" w:rsidRDefault="00A834F1">
            <w:pPr>
              <w:keepNext/>
              <w:spacing w:before="60" w:after="60"/>
              <w:rPr>
                <w:rFonts w:ascii="Times New Roman" w:hAnsi="Times New Roman"/>
                <w:sz w:val="18"/>
                <w:szCs w:val="18"/>
              </w:rPr>
            </w:pPr>
            <w:r>
              <w:rPr>
                <w:rFonts w:ascii="Times New Roman" w:hAnsi="Times New Roman"/>
                <w:sz w:val="18"/>
                <w:szCs w:val="18"/>
              </w:rPr>
              <w:t>(4) Ostala financijska društva</w:t>
            </w:r>
          </w:p>
          <w:p w:rsidR="009E6057" w:rsidRDefault="00A834F1">
            <w:pPr>
              <w:keepNext/>
              <w:spacing w:before="60" w:after="60"/>
              <w:rPr>
                <w:rFonts w:ascii="Times New Roman" w:hAnsi="Times New Roman"/>
                <w:sz w:val="18"/>
                <w:szCs w:val="18"/>
              </w:rPr>
            </w:pPr>
            <w:r>
              <w:rPr>
                <w:rFonts w:ascii="Times New Roman" w:hAnsi="Times New Roman"/>
                <w:sz w:val="18"/>
                <w:szCs w:val="18"/>
              </w:rPr>
              <w:t>(5) Nefinancijska društva</w:t>
            </w:r>
          </w:p>
          <w:p w:rsidR="009E6057" w:rsidRDefault="00A834F1">
            <w:pPr>
              <w:keepNext/>
              <w:spacing w:before="60" w:after="60"/>
              <w:rPr>
                <w:rFonts w:ascii="Times New Roman" w:hAnsi="Times New Roman"/>
                <w:sz w:val="18"/>
                <w:szCs w:val="18"/>
              </w:rPr>
            </w:pPr>
            <w:r>
              <w:rPr>
                <w:rFonts w:ascii="Times New Roman" w:hAnsi="Times New Roman"/>
                <w:sz w:val="18"/>
                <w:szCs w:val="18"/>
              </w:rPr>
              <w:t xml:space="preserve">(6) Kućanstva </w:t>
            </w:r>
          </w:p>
          <w:p w:rsidR="009E6057" w:rsidRDefault="009E6057">
            <w:pPr>
              <w:keepNext/>
              <w:spacing w:before="60" w:after="60"/>
              <w:rPr>
                <w:rFonts w:ascii="Times New Roman" w:hAnsi="Times New Roman"/>
                <w:sz w:val="18"/>
                <w:szCs w:val="18"/>
              </w:rPr>
            </w:pPr>
          </w:p>
        </w:tc>
        <w:tc>
          <w:tcPr>
            <w:tcW w:w="3212" w:type="dxa"/>
            <w:vAlign w:val="center"/>
          </w:tcPr>
          <w:p w:rsidR="009E6057" w:rsidRDefault="00A834F1">
            <w:pPr>
              <w:keepNext/>
              <w:spacing w:before="60" w:after="60"/>
              <w:rPr>
                <w:rFonts w:ascii="Times New Roman" w:hAnsi="Times New Roman"/>
                <w:sz w:val="18"/>
                <w:szCs w:val="18"/>
              </w:rPr>
            </w:pPr>
            <w:r>
              <w:rPr>
                <w:rFonts w:ascii="Times New Roman" w:hAnsi="Times New Roman"/>
                <w:sz w:val="18"/>
                <w:szCs w:val="18"/>
              </w:rPr>
              <w:t>Te izloženosti dodjeljuju se sektorima druge ugovorne strane financijskog izvješćivanja u skladu s odnosnim rizikom sekuritizacijskih pozicija. Kod financijskog izvješćivanja, ako se sekuritizirane pozicije i dalje priznaju u bilanci, sektori druge ugovorne strane jesu sektori neposrednih drugih ugovornih strana tih pozicija</w:t>
            </w:r>
          </w:p>
        </w:tc>
      </w:tr>
      <w:tr w:rsidR="009E6057" w:rsidTr="009569C7">
        <w:trPr>
          <w:trHeight w:val="299"/>
        </w:trPr>
        <w:tc>
          <w:tcPr>
            <w:tcW w:w="3055"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(g) Ostale nekreditne obveze</w:t>
            </w:r>
          </w:p>
        </w:tc>
        <w:tc>
          <w:tcPr>
            <w:tcW w:w="3055"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Razne stavke u bilanci</w:t>
            </w:r>
          </w:p>
        </w:tc>
        <w:tc>
          <w:tcPr>
            <w:tcW w:w="3212" w:type="dxa"/>
            <w:vAlign w:val="center"/>
          </w:tcPr>
          <w:p w:rsidR="009E6057" w:rsidRDefault="00A834F1">
            <w:pPr>
              <w:spacing w:before="60" w:after="60"/>
              <w:rPr>
                <w:rFonts w:ascii="Times New Roman" w:hAnsi="Times New Roman"/>
                <w:sz w:val="18"/>
                <w:szCs w:val="18"/>
              </w:rPr>
            </w:pPr>
            <w:r>
              <w:rPr>
                <w:rFonts w:ascii="Times New Roman" w:hAnsi="Times New Roman"/>
                <w:sz w:val="18"/>
                <w:szCs w:val="18"/>
              </w:rPr>
              <w:t>Kod financijskog izvješćivanja ostale stavke moguće je navesti u različitim kategorijama imovine.</w:t>
            </w:r>
          </w:p>
        </w:tc>
      </w:tr>
    </w:tbl>
    <w:p w:rsidR="009E6057" w:rsidRDefault="00973325">
      <w:pPr>
        <w:spacing w:after="0"/>
        <w:rPr>
          <w:rFonts w:ascii="Times New Roman" w:hAnsi="Times New Roman"/>
          <w:sz w:val="24"/>
          <w:szCs w:val="24"/>
        </w:rPr>
      </w:pPr>
      <w:r>
        <w:rPr>
          <w:rFonts w:ascii="Times New Roman" w:hAnsi="Times New Roman"/>
        </w:rPr>
        <w:t>”</w:t>
      </w:r>
    </w:p>
    <w:p w:rsidR="009E6057" w:rsidRDefault="009E6057">
      <w:pPr>
        <w:pStyle w:val="Baseparagraphnumbered"/>
        <w:numPr>
          <w:ilvl w:val="0"/>
          <w:numId w:val="0"/>
        </w:numPr>
        <w:ind w:left="782"/>
      </w:pPr>
    </w:p>
    <w:sectPr w:rsidR="009E6057"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057" w:rsidRDefault="000660CD">
      <w:pPr>
        <w:spacing w:after="0"/>
      </w:pPr>
      <w:r>
        <w:separator/>
      </w:r>
    </w:p>
  </w:endnote>
  <w:endnote w:type="continuationSeparator" w:id="0">
    <w:p w:rsidR="009E6057" w:rsidRDefault="000660CD">
      <w:pPr>
        <w:spacing w:after="0"/>
      </w:pPr>
      <w:r>
        <w:continuationSeparator/>
      </w:r>
    </w:p>
  </w:endnote>
  <w:endnote w:type="continuationNotice" w:id="1">
    <w:p w:rsidR="009E6057" w:rsidRDefault="009E60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1C6D12">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1C6D12">
      <w:rPr>
        <w:noProof/>
      </w:rPr>
      <w:t>47</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057" w:rsidRDefault="000660CD">
      <w:pPr>
        <w:spacing w:after="0"/>
      </w:pPr>
      <w:r>
        <w:separator/>
      </w:r>
    </w:p>
  </w:footnote>
  <w:footnote w:type="continuationSeparator" w:id="0">
    <w:p w:rsidR="009E6057" w:rsidRDefault="000660CD">
      <w:pPr>
        <w:spacing w:after="0"/>
      </w:pPr>
      <w:r>
        <w:continuationSeparator/>
      </w:r>
    </w:p>
  </w:footnote>
  <w:footnote w:type="continuationNotice" w:id="1">
    <w:p w:rsidR="009E6057" w:rsidRDefault="009E6057">
      <w:pPr>
        <w:spacing w:after="0"/>
      </w:pPr>
    </w:p>
  </w:footnote>
  <w:footnote w:id="2">
    <w:p w:rsidR="009E6057" w:rsidRDefault="00211E77">
      <w:pPr>
        <w:pStyle w:val="FootnoteText"/>
        <w:spacing w:after="0"/>
        <w:ind w:left="567" w:hanging="567"/>
      </w:pPr>
      <w:r>
        <w:rPr>
          <w:rStyle w:val="FootnoteReference"/>
        </w:rPr>
        <w:footnoteRef/>
      </w:r>
      <w:r>
        <w:t xml:space="preserve"> </w:t>
      </w:r>
      <w:r>
        <w:tab/>
        <w:t>Uredba (EZ) br. 1606/2002 Europskog parlamenta i Vijeća od 19. srpnja 2002. o primjeni međunarodnih računovodstvenih standarda (SL L 243, 11.9.2002., str. 1.).</w:t>
      </w:r>
    </w:p>
  </w:footnote>
  <w:footnote w:id="3">
    <w:p w:rsidR="009E6057" w:rsidRDefault="00211E77">
      <w:pPr>
        <w:pStyle w:val="FootnoteText"/>
        <w:spacing w:after="0"/>
        <w:ind w:left="567" w:hanging="567"/>
      </w:pPr>
      <w:r>
        <w:rPr>
          <w:rStyle w:val="FootnoteReference"/>
        </w:rPr>
        <w:footnoteRef/>
      </w:r>
      <w:r>
        <w:t xml:space="preserve"> </w:t>
      </w:r>
      <w:r>
        <w:tab/>
        <w:t>Uredba (EU) br. 1071/2013 Europske središnje banke od 24. rujna 2013. o bilanci sektora monetarnih financijskih institucija (ESB/2013/33) (SL L 297, 7.11.2013., str. 1.).</w:t>
      </w:r>
    </w:p>
  </w:footnote>
  <w:footnote w:id="4">
    <w:p w:rsidR="009E6057" w:rsidRDefault="00211E77">
      <w:pPr>
        <w:pStyle w:val="FootnoteText"/>
        <w:spacing w:after="0"/>
        <w:ind w:left="567" w:hanging="567"/>
      </w:pPr>
      <w:r>
        <w:rPr>
          <w:rStyle w:val="FootnoteReference"/>
        </w:rPr>
        <w:footnoteRef/>
      </w:r>
      <w:r>
        <w:t xml:space="preserve"> </w:t>
      </w:r>
      <w:r>
        <w:tab/>
        <w:t>Uredba (EZ) br. 1893/2006 Europskog parlamenta i Vijeća od 20. prosinca 2006. o utvrđivanju statističke klasifikacije ekonomskih djelatnosti NACE Revision 2 te izmjeni Uredbe Vijeća (EEZ) br. 3037/90 kao i određenih uredbi EZ-a o posebnim statističkim područjima (SL L 393, 30.12.2006., str. 1.).</w:t>
      </w:r>
    </w:p>
  </w:footnote>
  <w:footnote w:id="5">
    <w:p w:rsidR="009E6057" w:rsidRDefault="00211E77">
      <w:pPr>
        <w:pStyle w:val="FootnoteText"/>
        <w:spacing w:after="0"/>
        <w:ind w:left="567" w:hanging="567"/>
      </w:pPr>
      <w:r>
        <w:rPr>
          <w:rStyle w:val="FootnoteReference"/>
        </w:rPr>
        <w:footnoteRef/>
      </w:r>
      <w:r>
        <w:t xml:space="preserve"> </w:t>
      </w:r>
      <w:r>
        <w:tab/>
        <w:t>Direktiva Vijeća 86/635/EEZ od 8. prosinca 1986. o godišnjim financijskim izvještajima i konsolidiranim financijskim izvještajima banaka i drugih financijskih institucija (SL L 372, 31.12.1986., str. 1.).</w:t>
      </w:r>
    </w:p>
  </w:footnote>
  <w:footnote w:id="6">
    <w:p w:rsidR="009E6057" w:rsidRDefault="00211E77">
      <w:pPr>
        <w:pStyle w:val="FootnoteText"/>
        <w:spacing w:after="0"/>
        <w:ind w:left="567" w:hanging="567"/>
      </w:pPr>
      <w:r>
        <w:rPr>
          <w:rStyle w:val="FootnoteReference"/>
        </w:rPr>
        <w:footnoteRef/>
      </w:r>
      <w:r>
        <w:t xml:space="preserve"> </w:t>
      </w:r>
      <w:r>
        <w:tab/>
        <w:t>Direktiva 2013/34/EU Europskog parlamenta i Vijeća od 26. lipnja 2013. o godišnjim financijskim izvještajima, konsolidiranim financijskim izvještajima i povezanim izvješćima za određene vrste poduzeća, o izmjeni Direktive 2006/43/EZ Europskog parlamenta i Vijeća i o stavljanju izvan snage direktiva Vijeća 78/660/EEZ i 83/349/EEZ (SL L 182, 29.6.2013., str. 19.).</w:t>
      </w:r>
    </w:p>
  </w:footnote>
  <w:footnote w:id="7">
    <w:p w:rsidR="009E6057" w:rsidRDefault="00211E77">
      <w:pPr>
        <w:pStyle w:val="FootnoteText"/>
        <w:spacing w:after="0"/>
        <w:ind w:left="567" w:hanging="567"/>
      </w:pPr>
      <w:r>
        <w:rPr>
          <w:rStyle w:val="FootnoteReference"/>
        </w:rPr>
        <w:footnoteRef/>
      </w:r>
      <w:r>
        <w:tab/>
        <w:t xml:space="preserve">Preporuka Komisije od 6. svibnja 2003. o definiciji mikropoduzeća, malih i srednjih poduzeća (C(2003)1422) (SL L 124, 20.5.2003., str. 36.). </w:t>
      </w:r>
    </w:p>
  </w:footnote>
  <w:footnote w:id="8">
    <w:p w:rsidR="009E6057" w:rsidRDefault="00211E77">
      <w:pPr>
        <w:pStyle w:val="FootnoteText"/>
        <w:spacing w:after="0"/>
        <w:ind w:left="567" w:hanging="567"/>
      </w:pPr>
      <w:r>
        <w:rPr>
          <w:rStyle w:val="FootnoteReference"/>
        </w:rPr>
        <w:footnoteRef/>
      </w:r>
      <w:r>
        <w:tab/>
        <w:t>Preporuka Europskog odbora za sistemske rizike od 31. listopada 2016. o zatvaranju praznina u podacima o nekretninama (ESRB/2016/14) (SL C 31, 31.1.2017., str. 1.).</w:t>
      </w:r>
    </w:p>
  </w:footnote>
  <w:footnote w:id="9">
    <w:p w:rsidR="009E6057"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szCs w:val="21"/>
        </w:rPr>
        <w:t xml:space="preserve">Preporuka Europskog odbora za sistemske rizike od 31. listopada 2016. o zatvaranju praznina u podacima o nekretninama (ESRB/2016/14) </w:t>
      </w:r>
      <w:r>
        <w:rPr>
          <w:rStyle w:val="Emphasis"/>
          <w:rFonts w:ascii="Segoe UI" w:hAnsi="Segoe UI"/>
          <w:i w:val="0"/>
          <w:color w:val="444444"/>
          <w:sz w:val="21"/>
          <w:szCs w:val="21"/>
        </w:rPr>
        <w:t>SL C 31, 31.1.2017., str. 1.</w:t>
      </w:r>
    </w:p>
    <w:p w:rsidR="009E6057" w:rsidRDefault="009E6057">
      <w:pPr>
        <w:pStyle w:val="FootnoteText"/>
      </w:pPr>
    </w:p>
  </w:footnote>
  <w:footnote w:id="10">
    <w:p w:rsidR="009E6057" w:rsidRDefault="00211E77">
      <w:pPr>
        <w:pStyle w:val="FootnoteText"/>
        <w:ind w:left="709" w:hanging="709"/>
      </w:pPr>
      <w:r>
        <w:rPr>
          <w:rStyle w:val="FootnoteReference"/>
        </w:rPr>
        <w:footnoteRef/>
      </w:r>
      <w:r>
        <w:tab/>
        <w:t xml:space="preserve">Direktiva (EU) 2015/2366 Europskog parlamenta i Vijeća od 25. studenoga 2015. o platnim uslugama na unutarnjem tržištu, o izmjeni direktiva 2002/65/EZ, 2009/110/EZ i 2013/36/EU te Uredbe (EU) br. 1093/2010 i o stavljanju izvan snage Direktive 2007/64/EZ (SL L 337, </w:t>
      </w:r>
      <w:r>
        <w:rPr>
          <w:iCs/>
        </w:rPr>
        <w:t>23.12.2015., str.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37123D30"/>
    <w:lvl w:ilvl="0" w:tplc="A852D724">
      <w:start w:val="1"/>
      <w:numFmt w:val="lowerLetter"/>
      <w:lvlText w:val="(%1)"/>
      <w:lvlJc w:val="left"/>
      <w:pPr>
        <w:ind w:left="1637" w:hanging="360"/>
      </w:pPr>
      <w:rPr>
        <w:rFonts w:cs="Times New Roman" w:hint="default"/>
      </w:rPr>
    </w:lvl>
    <w:lvl w:ilvl="1" w:tplc="5BE4D2A0">
      <w:start w:val="1"/>
      <w:numFmt w:val="lowerRoman"/>
      <w:lvlText w:val="%2."/>
      <w:lvlJc w:val="righ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198A"/>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6D12"/>
    <w:rsid w:val="001C7821"/>
    <w:rsid w:val="001C7E98"/>
    <w:rsid w:val="001E796D"/>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057"/>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3344D"/>
    <w:rsid w:val="00B420BD"/>
    <w:rsid w:val="00B46E48"/>
    <w:rsid w:val="00B515FB"/>
    <w:rsid w:val="00B57F65"/>
    <w:rsid w:val="00B62C7B"/>
    <w:rsid w:val="00B8178E"/>
    <w:rsid w:val="00B87DF3"/>
    <w:rsid w:val="00BA0DE3"/>
    <w:rsid w:val="00BA4E5D"/>
    <w:rsid w:val="00BC2EAD"/>
    <w:rsid w:val="00BD3B90"/>
    <w:rsid w:val="00BD4FCE"/>
    <w:rsid w:val="00C02494"/>
    <w:rsid w:val="00C03A57"/>
    <w:rsid w:val="00C35843"/>
    <w:rsid w:val="00C40701"/>
    <w:rsid w:val="00C54C72"/>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0CCC"/>
    <w:rsid w:val="00E42393"/>
    <w:rsid w:val="00E44136"/>
    <w:rsid w:val="00E506E6"/>
    <w:rsid w:val="00E6458F"/>
    <w:rsid w:val="00E64E18"/>
    <w:rsid w:val="00E71640"/>
    <w:rsid w:val="00E7314A"/>
    <w:rsid w:val="00E87D3C"/>
    <w:rsid w:val="00E935E2"/>
    <w:rsid w:val="00EC42E5"/>
    <w:rsid w:val="00ED3544"/>
    <w:rsid w:val="00ED3B87"/>
    <w:rsid w:val="00ED4FD3"/>
    <w:rsid w:val="00ED71F4"/>
    <w:rsid w:val="00EE70B1"/>
    <w:rsid w:val="00EF0355"/>
    <w:rsid w:val="00EF6045"/>
    <w:rsid w:val="00F15D5E"/>
    <w:rsid w:val="00F2511F"/>
    <w:rsid w:val="00F37B59"/>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8027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r-HR"/>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r-HR"/>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r-HR"/>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r-H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hr-HR"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r-HR" w:eastAsia="en-US"/>
    </w:rPr>
  </w:style>
  <w:style w:type="character" w:customStyle="1" w:styleId="Heading2Char">
    <w:name w:val="Heading 2 Char"/>
    <w:link w:val="Heading2"/>
    <w:rsid w:val="005100D0"/>
    <w:rPr>
      <w:rFonts w:ascii="Cambria" w:hAnsi="Cambria"/>
      <w:b/>
      <w:bCs/>
      <w:color w:val="4F81BD"/>
      <w:sz w:val="26"/>
      <w:szCs w:val="26"/>
      <w:lang w:val="hr-HR" w:eastAsia="en-US"/>
    </w:rPr>
  </w:style>
  <w:style w:type="character" w:customStyle="1" w:styleId="Heading3Char">
    <w:name w:val="Heading 3 Char"/>
    <w:link w:val="Heading3"/>
    <w:rsid w:val="005100D0"/>
    <w:rPr>
      <w:rFonts w:ascii="Cambria" w:hAnsi="Cambria"/>
      <w:b/>
      <w:bCs/>
      <w:color w:val="4F81BD"/>
      <w:sz w:val="22"/>
      <w:szCs w:val="22"/>
      <w:lang w:val="hr-HR" w:eastAsia="en-US"/>
    </w:rPr>
  </w:style>
  <w:style w:type="character" w:customStyle="1" w:styleId="Heading4Char">
    <w:name w:val="Heading 4 Char"/>
    <w:link w:val="Heading4"/>
    <w:rsid w:val="005100D0"/>
    <w:rPr>
      <w:rFonts w:ascii="Cambria" w:hAnsi="Cambria"/>
      <w:b/>
      <w:bCs/>
      <w:i/>
      <w:iCs/>
      <w:color w:val="4F81BD"/>
      <w:sz w:val="22"/>
      <w:szCs w:val="22"/>
      <w:lang w:val="hr-HR" w:eastAsia="en-US"/>
    </w:rPr>
  </w:style>
  <w:style w:type="character" w:customStyle="1" w:styleId="Heading5Char">
    <w:name w:val="Heading 5 Char"/>
    <w:link w:val="Heading5"/>
    <w:rsid w:val="005100D0"/>
    <w:rPr>
      <w:rFonts w:ascii="Cambria" w:hAnsi="Cambria"/>
      <w:color w:val="243F60"/>
      <w:sz w:val="22"/>
      <w:szCs w:val="22"/>
      <w:lang w:val="hr-HR" w:eastAsia="en-US"/>
    </w:rPr>
  </w:style>
  <w:style w:type="character" w:customStyle="1" w:styleId="Heading6Char">
    <w:name w:val="Heading 6 Char"/>
    <w:link w:val="Heading6"/>
    <w:rsid w:val="005100D0"/>
    <w:rPr>
      <w:rFonts w:ascii="Cambria" w:hAnsi="Cambria"/>
      <w:i/>
      <w:iCs/>
      <w:color w:val="243F60"/>
      <w:sz w:val="22"/>
      <w:szCs w:val="22"/>
      <w:lang w:val="hr-HR" w:eastAsia="en-US"/>
    </w:rPr>
  </w:style>
  <w:style w:type="character" w:customStyle="1" w:styleId="Heading7Char">
    <w:name w:val="Heading 7 Char"/>
    <w:link w:val="Heading7"/>
    <w:rsid w:val="005100D0"/>
    <w:rPr>
      <w:rFonts w:ascii="Cambria" w:hAnsi="Cambria"/>
      <w:i/>
      <w:iCs/>
      <w:color w:val="404040"/>
      <w:sz w:val="22"/>
      <w:szCs w:val="22"/>
      <w:lang w:val="hr-HR"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r-HR"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r-HR"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r-HR"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hr-HR"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r-HR"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r-HR"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EF7211-DF96-44D2-A353-815B1A0F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34009</Words>
  <Characters>212144</Characters>
  <Application>Microsoft Office Word</Application>
  <DocSecurity>0</DocSecurity>
  <Lines>8485</Lines>
  <Paragraphs>4733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2020-01-23T11:53:00Z</dcterms:modified>
</cp:coreProperties>
</file>