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D4419" w:rsidRPr="00A30C4C"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HR</w:t>
      </w:r>
    </w:p>
    <w:p w14:paraId="09258196" w14:textId="77777777" w:rsidR="00453999" w:rsidRPr="00A30C4C" w:rsidRDefault="00453999" w:rsidP="00A33695">
      <w:pPr>
        <w:jc w:val="center"/>
        <w:rPr>
          <w:rFonts w:ascii="Times New Roman" w:hAnsi="Times New Roman"/>
          <w:b/>
          <w:sz w:val="24"/>
        </w:rPr>
      </w:pPr>
      <w:r>
        <w:rPr>
          <w:rFonts w:ascii="Times New Roman" w:hAnsi="Times New Roman"/>
          <w:b/>
          <w:sz w:val="24"/>
        </w:rPr>
        <w:t>PRILOG II.</w:t>
      </w:r>
    </w:p>
    <w:p w14:paraId="7EE8FB87" w14:textId="77777777" w:rsidR="007676ED" w:rsidRPr="00A30C4C" w:rsidRDefault="007676ED" w:rsidP="00A33695">
      <w:pPr>
        <w:jc w:val="center"/>
        <w:rPr>
          <w:rFonts w:ascii="Times New Roman" w:hAnsi="Times New Roman"/>
          <w:b/>
          <w:sz w:val="24"/>
        </w:rPr>
      </w:pPr>
    </w:p>
    <w:p w14:paraId="4B067868" w14:textId="77777777" w:rsidR="007676ED" w:rsidRPr="00A30C4C" w:rsidRDefault="007676ED" w:rsidP="00A33695">
      <w:pPr>
        <w:jc w:val="center"/>
        <w:rPr>
          <w:rFonts w:ascii="Times New Roman" w:hAnsi="Times New Roman"/>
          <w:b/>
          <w:sz w:val="24"/>
        </w:rPr>
      </w:pPr>
    </w:p>
    <w:p w14:paraId="52460C1D" w14:textId="77777777" w:rsidR="002648B0" w:rsidRPr="00A30C4C" w:rsidRDefault="00C7103D" w:rsidP="00A33695">
      <w:pPr>
        <w:jc w:val="center"/>
        <w:rPr>
          <w:rFonts w:ascii="Times New Roman" w:hAnsi="Times New Roman"/>
          <w:b/>
          <w:sz w:val="24"/>
          <w:u w:val="single"/>
        </w:rPr>
      </w:pPr>
      <w:r>
        <w:rPr>
          <w:rFonts w:ascii="Times New Roman" w:hAnsi="Times New Roman"/>
          <w:b/>
          <w:sz w:val="24"/>
          <w:u w:val="single"/>
        </w:rPr>
        <w:t>„PRILOG II.</w:t>
      </w:r>
    </w:p>
    <w:p w14:paraId="644BA8AC" w14:textId="77777777" w:rsidR="002648B0" w:rsidRPr="00A30C4C" w:rsidRDefault="002648B0" w:rsidP="00C87CEE">
      <w:pPr>
        <w:jc w:val="center"/>
        <w:rPr>
          <w:rFonts w:ascii="Times New Roman" w:hAnsi="Times New Roman"/>
          <w:b/>
          <w:sz w:val="24"/>
        </w:rPr>
      </w:pPr>
      <w:r>
        <w:rPr>
          <w:rFonts w:ascii="Times New Roman" w:hAnsi="Times New Roman"/>
          <w:b/>
          <w:sz w:val="24"/>
        </w:rPr>
        <w:t>IZVJEŠĆIVANJE O REGULATORNOM KAPITALU I KAPITALNIM ZAHTJEVIMA</w:t>
      </w:r>
    </w:p>
    <w:p w14:paraId="4592BD27" w14:textId="77777777" w:rsidR="00436204" w:rsidRPr="00A30C4C" w:rsidRDefault="00436204" w:rsidP="00C87CEE">
      <w:pPr>
        <w:jc w:val="center"/>
        <w:rPr>
          <w:rFonts w:ascii="Times New Roman" w:hAnsi="Times New Roman"/>
          <w:b/>
          <w:sz w:val="24"/>
          <w:lang w:eastAsia="de-DE"/>
        </w:rPr>
      </w:pPr>
    </w:p>
    <w:p w14:paraId="296F65E0" w14:textId="77777777" w:rsidR="00783881" w:rsidRPr="00A30C4C" w:rsidRDefault="002648B0" w:rsidP="00FD239F">
      <w:pPr>
        <w:pStyle w:val="InstructionsText"/>
      </w:pPr>
      <w:r>
        <w:t>Sadržaj</w:t>
      </w:r>
    </w:p>
    <w:p w14:paraId="66553028" w14:textId="7D70956F" w:rsidR="0039290F" w:rsidRDefault="00745369">
      <w:pPr>
        <w:pStyle w:val="TOC2"/>
        <w:rPr>
          <w:rFonts w:asciiTheme="minorHAnsi" w:eastAsiaTheme="minorEastAsia" w:hAnsiTheme="minorHAnsi" w:cstheme="minorBidi"/>
          <w:b w:val="0"/>
          <w:smallCaps w:val="0"/>
          <w:sz w:val="22"/>
          <w:lang w:eastAsia="hr-HR"/>
        </w:rPr>
      </w:pPr>
      <w:r w:rsidRPr="00A30C4C">
        <w:rPr>
          <w:rFonts w:ascii="Times New Roman" w:hAnsi="Times New Roman"/>
          <w:sz w:val="24"/>
          <w:szCs w:val="24"/>
        </w:rPr>
        <w:fldChar w:fldCharType="begin"/>
      </w:r>
      <w:r w:rsidR="002648B0" w:rsidRPr="00A30C4C">
        <w:rPr>
          <w:rFonts w:ascii="Times New Roman" w:hAnsi="Times New Roman"/>
          <w:sz w:val="24"/>
          <w:szCs w:val="24"/>
        </w:rPr>
        <w:instrText xml:space="preserve"> TOC \o "1-3" \h \z \u </w:instrText>
      </w:r>
      <w:r w:rsidRPr="00A30C4C">
        <w:rPr>
          <w:rFonts w:ascii="Times New Roman" w:hAnsi="Times New Roman"/>
          <w:sz w:val="24"/>
          <w:szCs w:val="24"/>
        </w:rPr>
        <w:fldChar w:fldCharType="separate"/>
      </w:r>
      <w:hyperlink w:anchor="_Toc30677620" w:history="1">
        <w:r w:rsidR="0039290F" w:rsidRPr="00042033">
          <w:rPr>
            <w:rStyle w:val="Hyperlink"/>
            <w:rFonts w:ascii="Times New Roman" w:hAnsi="Times New Roman"/>
          </w:rPr>
          <w:t>DIO I.: OPĆE UPUTE</w:t>
        </w:r>
        <w:r w:rsidR="0039290F">
          <w:rPr>
            <w:webHidden/>
          </w:rPr>
          <w:tab/>
        </w:r>
        <w:r w:rsidR="0039290F">
          <w:rPr>
            <w:webHidden/>
          </w:rPr>
          <w:fldChar w:fldCharType="begin"/>
        </w:r>
        <w:r w:rsidR="0039290F">
          <w:rPr>
            <w:webHidden/>
          </w:rPr>
          <w:instrText xml:space="preserve"> PAGEREF _Toc30677620 \h </w:instrText>
        </w:r>
        <w:r w:rsidR="0039290F">
          <w:rPr>
            <w:webHidden/>
          </w:rPr>
        </w:r>
        <w:r w:rsidR="0039290F">
          <w:rPr>
            <w:webHidden/>
          </w:rPr>
          <w:fldChar w:fldCharType="separate"/>
        </w:r>
        <w:r w:rsidR="0039290F">
          <w:rPr>
            <w:webHidden/>
          </w:rPr>
          <w:t>5</w:t>
        </w:r>
        <w:r w:rsidR="0039290F">
          <w:rPr>
            <w:webHidden/>
          </w:rPr>
          <w:fldChar w:fldCharType="end"/>
        </w:r>
      </w:hyperlink>
    </w:p>
    <w:p w14:paraId="6D255029" w14:textId="6866D182" w:rsidR="0039290F" w:rsidRDefault="0039290F">
      <w:pPr>
        <w:pStyle w:val="TOC2"/>
        <w:rPr>
          <w:rFonts w:asciiTheme="minorHAnsi" w:eastAsiaTheme="minorEastAsia" w:hAnsiTheme="minorHAnsi" w:cstheme="minorBidi"/>
          <w:b w:val="0"/>
          <w:smallCaps w:val="0"/>
          <w:sz w:val="22"/>
          <w:lang w:eastAsia="hr-HR"/>
        </w:rPr>
      </w:pPr>
      <w:hyperlink w:anchor="_Toc30677621" w:history="1">
        <w:r w:rsidRPr="00042033">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STRUKTURA I PRAVILA</w:t>
        </w:r>
        <w:r>
          <w:rPr>
            <w:webHidden/>
          </w:rPr>
          <w:tab/>
        </w:r>
        <w:r>
          <w:rPr>
            <w:webHidden/>
          </w:rPr>
          <w:fldChar w:fldCharType="begin"/>
        </w:r>
        <w:r>
          <w:rPr>
            <w:webHidden/>
          </w:rPr>
          <w:instrText xml:space="preserve"> PAGEREF _Toc30677621 \h </w:instrText>
        </w:r>
        <w:r>
          <w:rPr>
            <w:webHidden/>
          </w:rPr>
        </w:r>
        <w:r>
          <w:rPr>
            <w:webHidden/>
          </w:rPr>
          <w:fldChar w:fldCharType="separate"/>
        </w:r>
        <w:r>
          <w:rPr>
            <w:webHidden/>
          </w:rPr>
          <w:t>5</w:t>
        </w:r>
        <w:r>
          <w:rPr>
            <w:webHidden/>
          </w:rPr>
          <w:fldChar w:fldCharType="end"/>
        </w:r>
      </w:hyperlink>
    </w:p>
    <w:p w14:paraId="4B8128BC" w14:textId="2EAEF1AD" w:rsidR="0039290F" w:rsidRDefault="0039290F">
      <w:pPr>
        <w:pStyle w:val="TOC2"/>
        <w:rPr>
          <w:rFonts w:asciiTheme="minorHAnsi" w:eastAsiaTheme="minorEastAsia" w:hAnsiTheme="minorHAnsi" w:cstheme="minorBidi"/>
          <w:b w:val="0"/>
          <w:smallCaps w:val="0"/>
          <w:sz w:val="22"/>
          <w:lang w:eastAsia="hr-HR"/>
        </w:rPr>
      </w:pPr>
      <w:hyperlink w:anchor="_Toc30677622" w:history="1">
        <w:r w:rsidRPr="00042033">
          <w:rPr>
            <w:rStyle w:val="Hyperlink"/>
            <w:rFonts w:ascii="Times New Roman" w:hAnsi="Times New Roman"/>
          </w:rPr>
          <w:t>1.1.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Struktura</w:t>
        </w:r>
        <w:r>
          <w:rPr>
            <w:webHidden/>
          </w:rPr>
          <w:tab/>
        </w:r>
        <w:r>
          <w:rPr>
            <w:webHidden/>
          </w:rPr>
          <w:fldChar w:fldCharType="begin"/>
        </w:r>
        <w:r>
          <w:rPr>
            <w:webHidden/>
          </w:rPr>
          <w:instrText xml:space="preserve"> PAGEREF _Toc30677622 \h </w:instrText>
        </w:r>
        <w:r>
          <w:rPr>
            <w:webHidden/>
          </w:rPr>
        </w:r>
        <w:r>
          <w:rPr>
            <w:webHidden/>
          </w:rPr>
          <w:fldChar w:fldCharType="separate"/>
        </w:r>
        <w:r>
          <w:rPr>
            <w:webHidden/>
          </w:rPr>
          <w:t>5</w:t>
        </w:r>
        <w:r>
          <w:rPr>
            <w:webHidden/>
          </w:rPr>
          <w:fldChar w:fldCharType="end"/>
        </w:r>
      </w:hyperlink>
    </w:p>
    <w:p w14:paraId="3504873E" w14:textId="6086F302" w:rsidR="0039290F" w:rsidRDefault="0039290F">
      <w:pPr>
        <w:pStyle w:val="TOC2"/>
        <w:rPr>
          <w:rFonts w:asciiTheme="minorHAnsi" w:eastAsiaTheme="minorEastAsia" w:hAnsiTheme="minorHAnsi" w:cstheme="minorBidi"/>
          <w:b w:val="0"/>
          <w:smallCaps w:val="0"/>
          <w:sz w:val="22"/>
          <w:lang w:eastAsia="hr-HR"/>
        </w:rPr>
      </w:pPr>
      <w:hyperlink w:anchor="_Toc30677623" w:history="1">
        <w:r w:rsidRPr="00042033">
          <w:rPr>
            <w:rStyle w:val="Hyperlink"/>
            <w:rFonts w:ascii="Times New Roman" w:hAnsi="Times New Roman"/>
          </w:rPr>
          <w:t>1.2.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Pravila označivanja brojevima</w:t>
        </w:r>
        <w:r>
          <w:rPr>
            <w:webHidden/>
          </w:rPr>
          <w:tab/>
        </w:r>
        <w:r>
          <w:rPr>
            <w:webHidden/>
          </w:rPr>
          <w:fldChar w:fldCharType="begin"/>
        </w:r>
        <w:r>
          <w:rPr>
            <w:webHidden/>
          </w:rPr>
          <w:instrText xml:space="preserve"> PAGEREF _Toc30677623 \h </w:instrText>
        </w:r>
        <w:r>
          <w:rPr>
            <w:webHidden/>
          </w:rPr>
        </w:r>
        <w:r>
          <w:rPr>
            <w:webHidden/>
          </w:rPr>
          <w:fldChar w:fldCharType="separate"/>
        </w:r>
        <w:r>
          <w:rPr>
            <w:webHidden/>
          </w:rPr>
          <w:t>5</w:t>
        </w:r>
        <w:r>
          <w:rPr>
            <w:webHidden/>
          </w:rPr>
          <w:fldChar w:fldCharType="end"/>
        </w:r>
      </w:hyperlink>
    </w:p>
    <w:p w14:paraId="09C5324A" w14:textId="756F7789" w:rsidR="0039290F" w:rsidRDefault="0039290F">
      <w:pPr>
        <w:pStyle w:val="TOC2"/>
        <w:rPr>
          <w:rFonts w:asciiTheme="minorHAnsi" w:eastAsiaTheme="minorEastAsia" w:hAnsiTheme="minorHAnsi" w:cstheme="minorBidi"/>
          <w:b w:val="0"/>
          <w:smallCaps w:val="0"/>
          <w:sz w:val="22"/>
          <w:lang w:eastAsia="hr-HR"/>
        </w:rPr>
      </w:pPr>
      <w:hyperlink w:anchor="_Toc30677624" w:history="1">
        <w:r w:rsidRPr="00042033">
          <w:rPr>
            <w:rStyle w:val="Hyperlink"/>
            <w:rFonts w:ascii="Times New Roman" w:hAnsi="Times New Roman"/>
          </w:rPr>
          <w:t>1.3.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Pravilo o predznaku</w:t>
        </w:r>
        <w:r>
          <w:rPr>
            <w:webHidden/>
          </w:rPr>
          <w:tab/>
        </w:r>
        <w:r>
          <w:rPr>
            <w:webHidden/>
          </w:rPr>
          <w:fldChar w:fldCharType="begin"/>
        </w:r>
        <w:r>
          <w:rPr>
            <w:webHidden/>
          </w:rPr>
          <w:instrText xml:space="preserve"> PAGEREF _Toc30677624 \h </w:instrText>
        </w:r>
        <w:r>
          <w:rPr>
            <w:webHidden/>
          </w:rPr>
        </w:r>
        <w:r>
          <w:rPr>
            <w:webHidden/>
          </w:rPr>
          <w:fldChar w:fldCharType="separate"/>
        </w:r>
        <w:r>
          <w:rPr>
            <w:webHidden/>
          </w:rPr>
          <w:t>6</w:t>
        </w:r>
        <w:r>
          <w:rPr>
            <w:webHidden/>
          </w:rPr>
          <w:fldChar w:fldCharType="end"/>
        </w:r>
      </w:hyperlink>
    </w:p>
    <w:p w14:paraId="6D26EF69" w14:textId="6E278DC0" w:rsidR="0039290F" w:rsidRDefault="0039290F">
      <w:pPr>
        <w:pStyle w:val="TOC2"/>
        <w:rPr>
          <w:rFonts w:asciiTheme="minorHAnsi" w:eastAsiaTheme="minorEastAsia" w:hAnsiTheme="minorHAnsi" w:cstheme="minorBidi"/>
          <w:b w:val="0"/>
          <w:smallCaps w:val="0"/>
          <w:sz w:val="22"/>
          <w:lang w:eastAsia="hr-HR"/>
        </w:rPr>
      </w:pPr>
      <w:hyperlink w:anchor="_Toc30677625" w:history="1">
        <w:r w:rsidRPr="00042033">
          <w:rPr>
            <w:rStyle w:val="Hyperlink"/>
            <w:rFonts w:ascii="Times New Roman" w:hAnsi="Times New Roman"/>
          </w:rPr>
          <w:t>1.4.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Pokrate</w:t>
        </w:r>
        <w:r>
          <w:rPr>
            <w:webHidden/>
          </w:rPr>
          <w:tab/>
        </w:r>
        <w:r>
          <w:rPr>
            <w:webHidden/>
          </w:rPr>
          <w:fldChar w:fldCharType="begin"/>
        </w:r>
        <w:r>
          <w:rPr>
            <w:webHidden/>
          </w:rPr>
          <w:instrText xml:space="preserve"> PAGEREF _Toc30677625 \h </w:instrText>
        </w:r>
        <w:r>
          <w:rPr>
            <w:webHidden/>
          </w:rPr>
        </w:r>
        <w:r>
          <w:rPr>
            <w:webHidden/>
          </w:rPr>
          <w:fldChar w:fldCharType="separate"/>
        </w:r>
        <w:r>
          <w:rPr>
            <w:webHidden/>
          </w:rPr>
          <w:t>6</w:t>
        </w:r>
        <w:r>
          <w:rPr>
            <w:webHidden/>
          </w:rPr>
          <w:fldChar w:fldCharType="end"/>
        </w:r>
      </w:hyperlink>
    </w:p>
    <w:p w14:paraId="09BB87A2" w14:textId="5A1A8261" w:rsidR="0039290F" w:rsidRDefault="0039290F">
      <w:pPr>
        <w:pStyle w:val="TOC2"/>
        <w:rPr>
          <w:rFonts w:asciiTheme="minorHAnsi" w:eastAsiaTheme="minorEastAsia" w:hAnsiTheme="minorHAnsi" w:cstheme="minorBidi"/>
          <w:b w:val="0"/>
          <w:smallCaps w:val="0"/>
          <w:sz w:val="22"/>
          <w:lang w:eastAsia="hr-HR"/>
        </w:rPr>
      </w:pPr>
      <w:hyperlink w:anchor="_Toc30677626" w:history="1">
        <w:r w:rsidRPr="00042033">
          <w:rPr>
            <w:rStyle w:val="Hyperlink"/>
            <w:rFonts w:ascii="Times New Roman" w:hAnsi="Times New Roman"/>
          </w:rPr>
          <w:t>DIO II.: UPUTE POVEZANE S POJEDINIM OBRASCEM</w:t>
        </w:r>
        <w:r>
          <w:rPr>
            <w:webHidden/>
          </w:rPr>
          <w:tab/>
        </w:r>
        <w:r>
          <w:rPr>
            <w:webHidden/>
          </w:rPr>
          <w:fldChar w:fldCharType="begin"/>
        </w:r>
        <w:r>
          <w:rPr>
            <w:webHidden/>
          </w:rPr>
          <w:instrText xml:space="preserve"> PAGEREF _Toc30677626 \h </w:instrText>
        </w:r>
        <w:r>
          <w:rPr>
            <w:webHidden/>
          </w:rPr>
        </w:r>
        <w:r>
          <w:rPr>
            <w:webHidden/>
          </w:rPr>
          <w:fldChar w:fldCharType="separate"/>
        </w:r>
        <w:r>
          <w:rPr>
            <w:webHidden/>
          </w:rPr>
          <w:t>7</w:t>
        </w:r>
        <w:r>
          <w:rPr>
            <w:webHidden/>
          </w:rPr>
          <w:fldChar w:fldCharType="end"/>
        </w:r>
      </w:hyperlink>
    </w:p>
    <w:p w14:paraId="7A4F0852" w14:textId="6912261C" w:rsidR="0039290F" w:rsidRDefault="0039290F">
      <w:pPr>
        <w:pStyle w:val="TOC2"/>
        <w:rPr>
          <w:rFonts w:asciiTheme="minorHAnsi" w:eastAsiaTheme="minorEastAsia" w:hAnsiTheme="minorHAnsi" w:cstheme="minorBidi"/>
          <w:b w:val="0"/>
          <w:smallCaps w:val="0"/>
          <w:sz w:val="22"/>
          <w:lang w:eastAsia="hr-HR"/>
        </w:rPr>
      </w:pPr>
      <w:hyperlink w:anchor="_Toc30677627" w:history="1">
        <w:r w:rsidRPr="00042033">
          <w:rPr>
            <w:rStyle w:val="Hyperlink"/>
            <w:rFonts w:ascii="Times New Roman" w:hAnsi="Times New Roman"/>
          </w:rPr>
          <w:t>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Pregled adekvatnosti kapitala („CA”)</w:t>
        </w:r>
        <w:r>
          <w:rPr>
            <w:webHidden/>
          </w:rPr>
          <w:tab/>
        </w:r>
        <w:r>
          <w:rPr>
            <w:webHidden/>
          </w:rPr>
          <w:fldChar w:fldCharType="begin"/>
        </w:r>
        <w:r>
          <w:rPr>
            <w:webHidden/>
          </w:rPr>
          <w:instrText xml:space="preserve"> PAGEREF _Toc30677627 \h </w:instrText>
        </w:r>
        <w:r>
          <w:rPr>
            <w:webHidden/>
          </w:rPr>
        </w:r>
        <w:r>
          <w:rPr>
            <w:webHidden/>
          </w:rPr>
          <w:fldChar w:fldCharType="separate"/>
        </w:r>
        <w:r>
          <w:rPr>
            <w:webHidden/>
          </w:rPr>
          <w:t>7</w:t>
        </w:r>
        <w:r>
          <w:rPr>
            <w:webHidden/>
          </w:rPr>
          <w:fldChar w:fldCharType="end"/>
        </w:r>
      </w:hyperlink>
    </w:p>
    <w:p w14:paraId="44FF3404" w14:textId="75F2C695" w:rsidR="0039290F" w:rsidRDefault="0039290F">
      <w:pPr>
        <w:pStyle w:val="TOC2"/>
        <w:rPr>
          <w:rFonts w:asciiTheme="minorHAnsi" w:eastAsiaTheme="minorEastAsia" w:hAnsiTheme="minorHAnsi" w:cstheme="minorBidi"/>
          <w:b w:val="0"/>
          <w:smallCaps w:val="0"/>
          <w:sz w:val="22"/>
          <w:lang w:eastAsia="hr-HR"/>
        </w:rPr>
      </w:pPr>
      <w:hyperlink w:anchor="_Toc30677628" w:history="1">
        <w:r w:rsidRPr="00042033">
          <w:rPr>
            <w:rStyle w:val="Hyperlink"/>
            <w:rFonts w:ascii="Times New Roman" w:hAnsi="Times New Roman"/>
          </w:rPr>
          <w:t>1.1.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_Toc30677628 \h </w:instrText>
        </w:r>
        <w:r>
          <w:rPr>
            <w:webHidden/>
          </w:rPr>
        </w:r>
        <w:r>
          <w:rPr>
            <w:webHidden/>
          </w:rPr>
          <w:fldChar w:fldCharType="separate"/>
        </w:r>
        <w:r>
          <w:rPr>
            <w:webHidden/>
          </w:rPr>
          <w:t>7</w:t>
        </w:r>
        <w:r>
          <w:rPr>
            <w:webHidden/>
          </w:rPr>
          <w:fldChar w:fldCharType="end"/>
        </w:r>
      </w:hyperlink>
    </w:p>
    <w:p w14:paraId="0D7B4B9B" w14:textId="071D65F2" w:rsidR="0039290F" w:rsidRDefault="0039290F">
      <w:pPr>
        <w:pStyle w:val="TOC2"/>
        <w:rPr>
          <w:rFonts w:asciiTheme="minorHAnsi" w:eastAsiaTheme="minorEastAsia" w:hAnsiTheme="minorHAnsi" w:cstheme="minorBidi"/>
          <w:b w:val="0"/>
          <w:smallCaps w:val="0"/>
          <w:sz w:val="22"/>
          <w:lang w:eastAsia="hr-HR"/>
        </w:rPr>
      </w:pPr>
      <w:hyperlink w:anchor="_Toc30677629" w:history="1">
        <w:r w:rsidRPr="00042033">
          <w:rPr>
            <w:rStyle w:val="Hyperlink"/>
            <w:rFonts w:ascii="Times New Roman" w:hAnsi="Times New Roman"/>
          </w:rPr>
          <w:t>1.2.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01.00 – REGULATORNI KAPITAL (CA1)</w:t>
        </w:r>
        <w:r>
          <w:rPr>
            <w:webHidden/>
          </w:rPr>
          <w:tab/>
        </w:r>
        <w:r>
          <w:rPr>
            <w:webHidden/>
          </w:rPr>
          <w:fldChar w:fldCharType="begin"/>
        </w:r>
        <w:r>
          <w:rPr>
            <w:webHidden/>
          </w:rPr>
          <w:instrText xml:space="preserve"> PAGEREF _Toc30677629 \h </w:instrText>
        </w:r>
        <w:r>
          <w:rPr>
            <w:webHidden/>
          </w:rPr>
        </w:r>
        <w:r>
          <w:rPr>
            <w:webHidden/>
          </w:rPr>
          <w:fldChar w:fldCharType="separate"/>
        </w:r>
        <w:r>
          <w:rPr>
            <w:webHidden/>
          </w:rPr>
          <w:t>8</w:t>
        </w:r>
        <w:r>
          <w:rPr>
            <w:webHidden/>
          </w:rPr>
          <w:fldChar w:fldCharType="end"/>
        </w:r>
      </w:hyperlink>
    </w:p>
    <w:p w14:paraId="4E103E18" w14:textId="3204FC31" w:rsidR="0039290F" w:rsidRDefault="0039290F">
      <w:pPr>
        <w:pStyle w:val="TOC2"/>
        <w:rPr>
          <w:rFonts w:asciiTheme="minorHAnsi" w:eastAsiaTheme="minorEastAsia" w:hAnsiTheme="minorHAnsi" w:cstheme="minorBidi"/>
          <w:b w:val="0"/>
          <w:smallCaps w:val="0"/>
          <w:sz w:val="22"/>
          <w:lang w:eastAsia="hr-HR"/>
        </w:rPr>
      </w:pPr>
      <w:hyperlink w:anchor="_Toc30677630" w:history="1">
        <w:r w:rsidRPr="00042033">
          <w:rPr>
            <w:rStyle w:val="Hyperlink"/>
            <w:rFonts w:ascii="Times New Roman" w:hAnsi="Times New Roman"/>
          </w:rPr>
          <w:t>1.2.1.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_Toc30677630 \h </w:instrText>
        </w:r>
        <w:r>
          <w:rPr>
            <w:webHidden/>
          </w:rPr>
        </w:r>
        <w:r>
          <w:rPr>
            <w:webHidden/>
          </w:rPr>
          <w:fldChar w:fldCharType="separate"/>
        </w:r>
        <w:r>
          <w:rPr>
            <w:webHidden/>
          </w:rPr>
          <w:t>8</w:t>
        </w:r>
        <w:r>
          <w:rPr>
            <w:webHidden/>
          </w:rPr>
          <w:fldChar w:fldCharType="end"/>
        </w:r>
      </w:hyperlink>
    </w:p>
    <w:p w14:paraId="602AEED1" w14:textId="0A13389B" w:rsidR="0039290F" w:rsidRDefault="0039290F">
      <w:pPr>
        <w:pStyle w:val="TOC2"/>
        <w:rPr>
          <w:rFonts w:asciiTheme="minorHAnsi" w:eastAsiaTheme="minorEastAsia" w:hAnsiTheme="minorHAnsi" w:cstheme="minorBidi"/>
          <w:b w:val="0"/>
          <w:smallCaps w:val="0"/>
          <w:sz w:val="22"/>
          <w:lang w:eastAsia="hr-HR"/>
        </w:rPr>
      </w:pPr>
      <w:hyperlink w:anchor="_Toc30677631" w:history="1">
        <w:r w:rsidRPr="00042033">
          <w:rPr>
            <w:rStyle w:val="Hyperlink"/>
            <w:rFonts w:ascii="Times New Roman" w:hAnsi="Times New Roman"/>
          </w:rPr>
          <w:t>1.3.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02.00 – KAPITALNI ZAHTJEVI (CA2)</w:t>
        </w:r>
        <w:r>
          <w:rPr>
            <w:webHidden/>
          </w:rPr>
          <w:tab/>
        </w:r>
        <w:r>
          <w:rPr>
            <w:webHidden/>
          </w:rPr>
          <w:fldChar w:fldCharType="begin"/>
        </w:r>
        <w:r>
          <w:rPr>
            <w:webHidden/>
          </w:rPr>
          <w:instrText xml:space="preserve"> PAGEREF _Toc30677631 \h </w:instrText>
        </w:r>
        <w:r>
          <w:rPr>
            <w:webHidden/>
          </w:rPr>
        </w:r>
        <w:r>
          <w:rPr>
            <w:webHidden/>
          </w:rPr>
          <w:fldChar w:fldCharType="separate"/>
        </w:r>
        <w:r>
          <w:rPr>
            <w:webHidden/>
          </w:rPr>
          <w:t>24</w:t>
        </w:r>
        <w:r>
          <w:rPr>
            <w:webHidden/>
          </w:rPr>
          <w:fldChar w:fldCharType="end"/>
        </w:r>
      </w:hyperlink>
    </w:p>
    <w:p w14:paraId="6A18A86E" w14:textId="7F970DA0" w:rsidR="0039290F" w:rsidRDefault="0039290F">
      <w:pPr>
        <w:pStyle w:val="TOC2"/>
        <w:rPr>
          <w:rFonts w:asciiTheme="minorHAnsi" w:eastAsiaTheme="minorEastAsia" w:hAnsiTheme="minorHAnsi" w:cstheme="minorBidi"/>
          <w:b w:val="0"/>
          <w:smallCaps w:val="0"/>
          <w:sz w:val="22"/>
          <w:lang w:eastAsia="hr-HR"/>
        </w:rPr>
      </w:pPr>
      <w:hyperlink w:anchor="_Toc30677632" w:history="1">
        <w:r w:rsidRPr="00042033">
          <w:rPr>
            <w:rStyle w:val="Hyperlink"/>
            <w:rFonts w:ascii="Times New Roman" w:hAnsi="Times New Roman"/>
          </w:rPr>
          <w:t>1.3.1.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_Toc30677632 \h </w:instrText>
        </w:r>
        <w:r>
          <w:rPr>
            <w:webHidden/>
          </w:rPr>
        </w:r>
        <w:r>
          <w:rPr>
            <w:webHidden/>
          </w:rPr>
          <w:fldChar w:fldCharType="separate"/>
        </w:r>
        <w:r>
          <w:rPr>
            <w:webHidden/>
          </w:rPr>
          <w:t>24</w:t>
        </w:r>
        <w:r>
          <w:rPr>
            <w:webHidden/>
          </w:rPr>
          <w:fldChar w:fldCharType="end"/>
        </w:r>
      </w:hyperlink>
    </w:p>
    <w:p w14:paraId="4F02825D" w14:textId="0EFE8478" w:rsidR="0039290F" w:rsidRDefault="0039290F">
      <w:pPr>
        <w:pStyle w:val="TOC2"/>
        <w:rPr>
          <w:rFonts w:asciiTheme="minorHAnsi" w:eastAsiaTheme="minorEastAsia" w:hAnsiTheme="minorHAnsi" w:cstheme="minorBidi"/>
          <w:b w:val="0"/>
          <w:smallCaps w:val="0"/>
          <w:sz w:val="22"/>
          <w:lang w:eastAsia="hr-HR"/>
        </w:rPr>
      </w:pPr>
      <w:hyperlink w:anchor="_Toc30677633" w:history="1">
        <w:r w:rsidRPr="00042033">
          <w:rPr>
            <w:rStyle w:val="Hyperlink"/>
            <w:rFonts w:ascii="Times New Roman" w:hAnsi="Times New Roman"/>
          </w:rPr>
          <w:t>1.4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03.00 – STOPE KAPITALA I RAZINE KAPITALA (CA3)</w:t>
        </w:r>
        <w:r>
          <w:rPr>
            <w:webHidden/>
          </w:rPr>
          <w:tab/>
        </w:r>
        <w:r>
          <w:rPr>
            <w:webHidden/>
          </w:rPr>
          <w:fldChar w:fldCharType="begin"/>
        </w:r>
        <w:r>
          <w:rPr>
            <w:webHidden/>
          </w:rPr>
          <w:instrText xml:space="preserve"> PAGEREF _Toc30677633 \h </w:instrText>
        </w:r>
        <w:r>
          <w:rPr>
            <w:webHidden/>
          </w:rPr>
        </w:r>
        <w:r>
          <w:rPr>
            <w:webHidden/>
          </w:rPr>
          <w:fldChar w:fldCharType="separate"/>
        </w:r>
        <w:r>
          <w:rPr>
            <w:webHidden/>
          </w:rPr>
          <w:t>31</w:t>
        </w:r>
        <w:r>
          <w:rPr>
            <w:webHidden/>
          </w:rPr>
          <w:fldChar w:fldCharType="end"/>
        </w:r>
      </w:hyperlink>
    </w:p>
    <w:p w14:paraId="2E501409" w14:textId="4434208E" w:rsidR="0039290F" w:rsidRDefault="0039290F">
      <w:pPr>
        <w:pStyle w:val="TOC2"/>
        <w:rPr>
          <w:rFonts w:asciiTheme="minorHAnsi" w:eastAsiaTheme="minorEastAsia" w:hAnsiTheme="minorHAnsi" w:cstheme="minorBidi"/>
          <w:b w:val="0"/>
          <w:smallCaps w:val="0"/>
          <w:sz w:val="22"/>
          <w:lang w:eastAsia="hr-HR"/>
        </w:rPr>
      </w:pPr>
      <w:hyperlink w:anchor="_Toc30677634" w:history="1">
        <w:r w:rsidRPr="00042033">
          <w:rPr>
            <w:rStyle w:val="Hyperlink"/>
            <w:rFonts w:ascii="Times New Roman" w:hAnsi="Times New Roman"/>
          </w:rPr>
          <w:t>1.4.1.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_Toc30677634 \h </w:instrText>
        </w:r>
        <w:r>
          <w:rPr>
            <w:webHidden/>
          </w:rPr>
        </w:r>
        <w:r>
          <w:rPr>
            <w:webHidden/>
          </w:rPr>
          <w:fldChar w:fldCharType="separate"/>
        </w:r>
        <w:r>
          <w:rPr>
            <w:webHidden/>
          </w:rPr>
          <w:t>31</w:t>
        </w:r>
        <w:r>
          <w:rPr>
            <w:webHidden/>
          </w:rPr>
          <w:fldChar w:fldCharType="end"/>
        </w:r>
      </w:hyperlink>
    </w:p>
    <w:p w14:paraId="511D6679" w14:textId="512CAACC" w:rsidR="0039290F" w:rsidRDefault="0039290F">
      <w:pPr>
        <w:pStyle w:val="TOC2"/>
        <w:rPr>
          <w:rFonts w:asciiTheme="minorHAnsi" w:eastAsiaTheme="minorEastAsia" w:hAnsiTheme="minorHAnsi" w:cstheme="minorBidi"/>
          <w:b w:val="0"/>
          <w:smallCaps w:val="0"/>
          <w:sz w:val="22"/>
          <w:lang w:eastAsia="hr-HR"/>
        </w:rPr>
      </w:pPr>
      <w:hyperlink w:anchor="_Toc30677635" w:history="1">
        <w:r w:rsidRPr="00042033">
          <w:rPr>
            <w:rStyle w:val="Hyperlink"/>
            <w:rFonts w:ascii="Times New Roman" w:hAnsi="Times New Roman"/>
          </w:rPr>
          <w:t>1.5.</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04.00 – BILJEŠKE (CA4)</w:t>
        </w:r>
        <w:r>
          <w:rPr>
            <w:webHidden/>
          </w:rPr>
          <w:tab/>
        </w:r>
        <w:r>
          <w:rPr>
            <w:webHidden/>
          </w:rPr>
          <w:fldChar w:fldCharType="begin"/>
        </w:r>
        <w:r>
          <w:rPr>
            <w:webHidden/>
          </w:rPr>
          <w:instrText xml:space="preserve"> PAGEREF _Toc30677635 \h </w:instrText>
        </w:r>
        <w:r>
          <w:rPr>
            <w:webHidden/>
          </w:rPr>
        </w:r>
        <w:r>
          <w:rPr>
            <w:webHidden/>
          </w:rPr>
          <w:fldChar w:fldCharType="separate"/>
        </w:r>
        <w:r>
          <w:rPr>
            <w:webHidden/>
          </w:rPr>
          <w:t>34</w:t>
        </w:r>
        <w:r>
          <w:rPr>
            <w:webHidden/>
          </w:rPr>
          <w:fldChar w:fldCharType="end"/>
        </w:r>
      </w:hyperlink>
    </w:p>
    <w:p w14:paraId="6FF11B8D" w14:textId="05D9AB8F" w:rsidR="0039290F" w:rsidRDefault="0039290F">
      <w:pPr>
        <w:pStyle w:val="TOC2"/>
        <w:rPr>
          <w:rFonts w:asciiTheme="minorHAnsi" w:eastAsiaTheme="minorEastAsia" w:hAnsiTheme="minorHAnsi" w:cstheme="minorBidi"/>
          <w:b w:val="0"/>
          <w:smallCaps w:val="0"/>
          <w:sz w:val="22"/>
          <w:lang w:eastAsia="hr-HR"/>
        </w:rPr>
      </w:pPr>
      <w:hyperlink w:anchor="_Toc30677636" w:history="1">
        <w:r w:rsidRPr="00042033">
          <w:rPr>
            <w:rStyle w:val="Hyperlink"/>
            <w:rFonts w:ascii="Times New Roman" w:hAnsi="Times New Roman"/>
          </w:rPr>
          <w:t>1.5.1.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_Toc30677636 \h </w:instrText>
        </w:r>
        <w:r>
          <w:rPr>
            <w:webHidden/>
          </w:rPr>
        </w:r>
        <w:r>
          <w:rPr>
            <w:webHidden/>
          </w:rPr>
          <w:fldChar w:fldCharType="separate"/>
        </w:r>
        <w:r>
          <w:rPr>
            <w:webHidden/>
          </w:rPr>
          <w:t>34</w:t>
        </w:r>
        <w:r>
          <w:rPr>
            <w:webHidden/>
          </w:rPr>
          <w:fldChar w:fldCharType="end"/>
        </w:r>
      </w:hyperlink>
    </w:p>
    <w:p w14:paraId="0FBAEA22" w14:textId="61519C9E" w:rsidR="0039290F" w:rsidRDefault="0039290F">
      <w:pPr>
        <w:pStyle w:val="TOC2"/>
        <w:rPr>
          <w:rFonts w:asciiTheme="minorHAnsi" w:eastAsiaTheme="minorEastAsia" w:hAnsiTheme="minorHAnsi" w:cstheme="minorBidi"/>
          <w:b w:val="0"/>
          <w:smallCaps w:val="0"/>
          <w:sz w:val="22"/>
          <w:lang w:eastAsia="hr-HR"/>
        </w:rPr>
      </w:pPr>
      <w:hyperlink w:anchor="_Toc30677637" w:history="1">
        <w:r w:rsidRPr="00042033">
          <w:rPr>
            <w:rStyle w:val="Hyperlink"/>
            <w:rFonts w:ascii="Times New Roman" w:hAnsi="Times New Roman"/>
          </w:rPr>
          <w:t>1.6</w:t>
        </w:r>
        <w:r>
          <w:rPr>
            <w:rStyle w:val="Hyperlink"/>
            <w:rFonts w:ascii="Times New Roman" w:hAnsi="Times New Roman"/>
          </w:rPr>
          <w:t>.</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PRIJELAZNE ODREDBE i INSTRUMENTI KOJI SE NASTAVLJAJU PRIZNAVATI: INSTRUMENTI KOJI NISU INSTRUMENTI DRŽAVNE POTPORE (CA5)</w:t>
        </w:r>
        <w:r>
          <w:rPr>
            <w:webHidden/>
          </w:rPr>
          <w:tab/>
        </w:r>
        <w:r>
          <w:rPr>
            <w:webHidden/>
          </w:rPr>
          <w:fldChar w:fldCharType="begin"/>
        </w:r>
        <w:r>
          <w:rPr>
            <w:webHidden/>
          </w:rPr>
          <w:instrText xml:space="preserve"> PAGEREF _Toc30677637 \h </w:instrText>
        </w:r>
        <w:r>
          <w:rPr>
            <w:webHidden/>
          </w:rPr>
        </w:r>
        <w:r>
          <w:rPr>
            <w:webHidden/>
          </w:rPr>
          <w:fldChar w:fldCharType="separate"/>
        </w:r>
        <w:r>
          <w:rPr>
            <w:webHidden/>
          </w:rPr>
          <w:t>51</w:t>
        </w:r>
        <w:r>
          <w:rPr>
            <w:webHidden/>
          </w:rPr>
          <w:fldChar w:fldCharType="end"/>
        </w:r>
      </w:hyperlink>
    </w:p>
    <w:p w14:paraId="10B4E236" w14:textId="17D013A0" w:rsidR="0039290F" w:rsidRDefault="0039290F">
      <w:pPr>
        <w:pStyle w:val="TOC2"/>
        <w:rPr>
          <w:rFonts w:asciiTheme="minorHAnsi" w:eastAsiaTheme="minorEastAsia" w:hAnsiTheme="minorHAnsi" w:cstheme="minorBidi"/>
          <w:b w:val="0"/>
          <w:smallCaps w:val="0"/>
          <w:sz w:val="22"/>
          <w:lang w:eastAsia="hr-HR"/>
        </w:rPr>
      </w:pPr>
      <w:hyperlink w:anchor="_Toc30677638" w:history="1">
        <w:r w:rsidRPr="00042033">
          <w:rPr>
            <w:rStyle w:val="Hyperlink"/>
            <w:rFonts w:ascii="Times New Roman" w:hAnsi="Times New Roman"/>
          </w:rPr>
          <w:t>1.6.1</w:t>
        </w:r>
        <w:r>
          <w:rPr>
            <w:rStyle w:val="Hyperlink"/>
            <w:rFonts w:ascii="Times New Roman" w:hAnsi="Times New Roman"/>
          </w:rPr>
          <w:t>.</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_Toc30677638 \h </w:instrText>
        </w:r>
        <w:r>
          <w:rPr>
            <w:webHidden/>
          </w:rPr>
        </w:r>
        <w:r>
          <w:rPr>
            <w:webHidden/>
          </w:rPr>
          <w:fldChar w:fldCharType="separate"/>
        </w:r>
        <w:r>
          <w:rPr>
            <w:webHidden/>
          </w:rPr>
          <w:t>51</w:t>
        </w:r>
        <w:r>
          <w:rPr>
            <w:webHidden/>
          </w:rPr>
          <w:fldChar w:fldCharType="end"/>
        </w:r>
      </w:hyperlink>
    </w:p>
    <w:p w14:paraId="0656EC84" w14:textId="4EA32420" w:rsidR="0039290F" w:rsidRDefault="0039290F">
      <w:pPr>
        <w:pStyle w:val="TOC2"/>
        <w:rPr>
          <w:rFonts w:asciiTheme="minorHAnsi" w:eastAsiaTheme="minorEastAsia" w:hAnsiTheme="minorHAnsi" w:cstheme="minorBidi"/>
          <w:b w:val="0"/>
          <w:smallCaps w:val="0"/>
          <w:sz w:val="22"/>
          <w:lang w:eastAsia="hr-HR"/>
        </w:rPr>
      </w:pPr>
      <w:hyperlink w:anchor="_Toc30677639" w:history="1">
        <w:r w:rsidRPr="00042033">
          <w:rPr>
            <w:rStyle w:val="Hyperlink"/>
            <w:rFonts w:ascii="Times New Roman" w:hAnsi="Times New Roman"/>
          </w:rPr>
          <w:t>1.6.2.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05.01 – PRIJELAZNE ODREDBE (CA5.1)</w:t>
        </w:r>
        <w:r>
          <w:rPr>
            <w:webHidden/>
          </w:rPr>
          <w:tab/>
        </w:r>
        <w:r>
          <w:rPr>
            <w:webHidden/>
          </w:rPr>
          <w:fldChar w:fldCharType="begin"/>
        </w:r>
        <w:r>
          <w:rPr>
            <w:webHidden/>
          </w:rPr>
          <w:instrText xml:space="preserve"> PAGEREF _Toc30677639 \h </w:instrText>
        </w:r>
        <w:r>
          <w:rPr>
            <w:webHidden/>
          </w:rPr>
        </w:r>
        <w:r>
          <w:rPr>
            <w:webHidden/>
          </w:rPr>
          <w:fldChar w:fldCharType="separate"/>
        </w:r>
        <w:r>
          <w:rPr>
            <w:webHidden/>
          </w:rPr>
          <w:t>52</w:t>
        </w:r>
        <w:r>
          <w:rPr>
            <w:webHidden/>
          </w:rPr>
          <w:fldChar w:fldCharType="end"/>
        </w:r>
      </w:hyperlink>
    </w:p>
    <w:p w14:paraId="4FBC2E96" w14:textId="412F441B" w:rsidR="0039290F" w:rsidRDefault="0039290F">
      <w:pPr>
        <w:pStyle w:val="TOC2"/>
        <w:rPr>
          <w:rFonts w:asciiTheme="minorHAnsi" w:eastAsiaTheme="minorEastAsia" w:hAnsiTheme="minorHAnsi" w:cstheme="minorBidi"/>
          <w:b w:val="0"/>
          <w:smallCaps w:val="0"/>
          <w:sz w:val="22"/>
          <w:lang w:eastAsia="hr-HR"/>
        </w:rPr>
      </w:pPr>
      <w:hyperlink w:anchor="_Toc30677640" w:history="1">
        <w:r w:rsidRPr="00042033">
          <w:rPr>
            <w:rStyle w:val="Hyperlink"/>
            <w:rFonts w:ascii="Times New Roman" w:hAnsi="Times New Roman"/>
          </w:rPr>
          <w:t>1.6.2.1.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_Toc30677640 \h </w:instrText>
        </w:r>
        <w:r>
          <w:rPr>
            <w:webHidden/>
          </w:rPr>
        </w:r>
        <w:r>
          <w:rPr>
            <w:webHidden/>
          </w:rPr>
          <w:fldChar w:fldCharType="separate"/>
        </w:r>
        <w:r>
          <w:rPr>
            <w:webHidden/>
          </w:rPr>
          <w:t>52</w:t>
        </w:r>
        <w:r>
          <w:rPr>
            <w:webHidden/>
          </w:rPr>
          <w:fldChar w:fldCharType="end"/>
        </w:r>
      </w:hyperlink>
    </w:p>
    <w:p w14:paraId="015417E6" w14:textId="5B46ADDD" w:rsidR="0039290F" w:rsidRDefault="0039290F">
      <w:pPr>
        <w:pStyle w:val="TOC2"/>
        <w:rPr>
          <w:rFonts w:asciiTheme="minorHAnsi" w:eastAsiaTheme="minorEastAsia" w:hAnsiTheme="minorHAnsi" w:cstheme="minorBidi"/>
          <w:b w:val="0"/>
          <w:smallCaps w:val="0"/>
          <w:sz w:val="22"/>
          <w:lang w:eastAsia="hr-HR"/>
        </w:rPr>
      </w:pPr>
      <w:hyperlink w:anchor="_Toc30677641" w:history="1">
        <w:r w:rsidRPr="00042033">
          <w:rPr>
            <w:rStyle w:val="Hyperlink"/>
            <w:rFonts w:ascii="Times New Roman" w:hAnsi="Times New Roman"/>
          </w:rPr>
          <w:t>1.6.3.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05.02 – INSTRUMENTI KOJI SE NASTAVLJAJU PRIZNAVATI: INSTRUMENTI KOJI NISU INSTRUMENTI DRŽAVNE POTPORE (CA5.2)</w:t>
        </w:r>
        <w:r>
          <w:rPr>
            <w:webHidden/>
          </w:rPr>
          <w:tab/>
        </w:r>
        <w:r>
          <w:rPr>
            <w:webHidden/>
          </w:rPr>
          <w:fldChar w:fldCharType="begin"/>
        </w:r>
        <w:r>
          <w:rPr>
            <w:webHidden/>
          </w:rPr>
          <w:instrText xml:space="preserve"> PAGEREF _Toc30677641 \h </w:instrText>
        </w:r>
        <w:r>
          <w:rPr>
            <w:webHidden/>
          </w:rPr>
        </w:r>
        <w:r>
          <w:rPr>
            <w:webHidden/>
          </w:rPr>
          <w:fldChar w:fldCharType="separate"/>
        </w:r>
        <w:r>
          <w:rPr>
            <w:webHidden/>
          </w:rPr>
          <w:t>61</w:t>
        </w:r>
        <w:r>
          <w:rPr>
            <w:webHidden/>
          </w:rPr>
          <w:fldChar w:fldCharType="end"/>
        </w:r>
      </w:hyperlink>
    </w:p>
    <w:p w14:paraId="12257925" w14:textId="7DBE4B5C" w:rsidR="0039290F" w:rsidRDefault="0039290F">
      <w:pPr>
        <w:pStyle w:val="TOC2"/>
        <w:rPr>
          <w:rFonts w:asciiTheme="minorHAnsi" w:eastAsiaTheme="minorEastAsia" w:hAnsiTheme="minorHAnsi" w:cstheme="minorBidi"/>
          <w:b w:val="0"/>
          <w:smallCaps w:val="0"/>
          <w:sz w:val="22"/>
          <w:lang w:eastAsia="hr-HR"/>
        </w:rPr>
      </w:pPr>
      <w:hyperlink w:anchor="_Toc30677642" w:history="1">
        <w:r w:rsidRPr="00042033">
          <w:rPr>
            <w:rStyle w:val="Hyperlink"/>
            <w:rFonts w:ascii="Times New Roman" w:hAnsi="Times New Roman"/>
          </w:rPr>
          <w:t>1.6.3.1.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_Toc30677642 \h </w:instrText>
        </w:r>
        <w:r>
          <w:rPr>
            <w:webHidden/>
          </w:rPr>
        </w:r>
        <w:r>
          <w:rPr>
            <w:webHidden/>
          </w:rPr>
          <w:fldChar w:fldCharType="separate"/>
        </w:r>
        <w:r>
          <w:rPr>
            <w:webHidden/>
          </w:rPr>
          <w:t>61</w:t>
        </w:r>
        <w:r>
          <w:rPr>
            <w:webHidden/>
          </w:rPr>
          <w:fldChar w:fldCharType="end"/>
        </w:r>
      </w:hyperlink>
    </w:p>
    <w:p w14:paraId="42A548D3" w14:textId="0CFCB914" w:rsidR="0039290F" w:rsidRDefault="0039290F">
      <w:pPr>
        <w:pStyle w:val="TOC2"/>
        <w:rPr>
          <w:rFonts w:asciiTheme="minorHAnsi" w:eastAsiaTheme="minorEastAsia" w:hAnsiTheme="minorHAnsi" w:cstheme="minorBidi"/>
          <w:b w:val="0"/>
          <w:smallCaps w:val="0"/>
          <w:sz w:val="22"/>
          <w:lang w:eastAsia="hr-HR"/>
        </w:rPr>
      </w:pPr>
      <w:hyperlink w:anchor="_Toc30677643" w:history="1">
        <w:r w:rsidRPr="00042033">
          <w:rPr>
            <w:rStyle w:val="Hyperlink"/>
            <w:rFonts w:ascii="Times New Roman" w:hAnsi="Times New Roman"/>
          </w:rPr>
          <w:t>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SOLVENTNOST GRUPE: INFORMACIJE O POVEZANIM DRUŠTVIMA (GS)</w:t>
        </w:r>
        <w:r>
          <w:rPr>
            <w:webHidden/>
          </w:rPr>
          <w:tab/>
        </w:r>
        <w:r>
          <w:rPr>
            <w:webHidden/>
          </w:rPr>
          <w:fldChar w:fldCharType="begin"/>
        </w:r>
        <w:r>
          <w:rPr>
            <w:webHidden/>
          </w:rPr>
          <w:instrText xml:space="preserve"> PAGEREF _Toc30677643 \h </w:instrText>
        </w:r>
        <w:r>
          <w:rPr>
            <w:webHidden/>
          </w:rPr>
        </w:r>
        <w:r>
          <w:rPr>
            <w:webHidden/>
          </w:rPr>
          <w:fldChar w:fldCharType="separate"/>
        </w:r>
        <w:r>
          <w:rPr>
            <w:webHidden/>
          </w:rPr>
          <w:t>63</w:t>
        </w:r>
        <w:r>
          <w:rPr>
            <w:webHidden/>
          </w:rPr>
          <w:fldChar w:fldCharType="end"/>
        </w:r>
      </w:hyperlink>
    </w:p>
    <w:p w14:paraId="59E79776" w14:textId="3CF038DA" w:rsidR="0039290F" w:rsidRDefault="0039290F">
      <w:pPr>
        <w:pStyle w:val="TOC2"/>
        <w:rPr>
          <w:rFonts w:asciiTheme="minorHAnsi" w:eastAsiaTheme="minorEastAsia" w:hAnsiTheme="minorHAnsi" w:cstheme="minorBidi"/>
          <w:b w:val="0"/>
          <w:smallCaps w:val="0"/>
          <w:sz w:val="22"/>
          <w:lang w:eastAsia="hr-HR"/>
        </w:rPr>
      </w:pPr>
      <w:hyperlink w:anchor="_Toc30677644" w:history="1">
        <w:r w:rsidRPr="00042033">
          <w:rPr>
            <w:rStyle w:val="Hyperlink"/>
            <w:rFonts w:ascii="Times New Roman" w:hAnsi="Times New Roman"/>
          </w:rPr>
          <w:t>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_Toc30677644 \h </w:instrText>
        </w:r>
        <w:r>
          <w:rPr>
            <w:webHidden/>
          </w:rPr>
        </w:r>
        <w:r>
          <w:rPr>
            <w:webHidden/>
          </w:rPr>
          <w:fldChar w:fldCharType="separate"/>
        </w:r>
        <w:r>
          <w:rPr>
            <w:webHidden/>
          </w:rPr>
          <w:t>63</w:t>
        </w:r>
        <w:r>
          <w:rPr>
            <w:webHidden/>
          </w:rPr>
          <w:fldChar w:fldCharType="end"/>
        </w:r>
      </w:hyperlink>
    </w:p>
    <w:p w14:paraId="24AA7312" w14:textId="7E553085" w:rsidR="0039290F" w:rsidRDefault="0039290F">
      <w:pPr>
        <w:pStyle w:val="TOC2"/>
        <w:rPr>
          <w:rFonts w:asciiTheme="minorHAnsi" w:eastAsiaTheme="minorEastAsia" w:hAnsiTheme="minorHAnsi" w:cstheme="minorBidi"/>
          <w:b w:val="0"/>
          <w:smallCaps w:val="0"/>
          <w:sz w:val="22"/>
          <w:lang w:eastAsia="hr-HR"/>
        </w:rPr>
      </w:pPr>
      <w:hyperlink w:anchor="_Toc30677645" w:history="1">
        <w:r w:rsidRPr="00042033">
          <w:rPr>
            <w:rStyle w:val="Hyperlink"/>
            <w:rFonts w:ascii="Times New Roman" w:hAnsi="Times New Roman"/>
          </w:rPr>
          <w:t>2.2.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Detaljne informacije o solventnosti grupe</w:t>
        </w:r>
        <w:r>
          <w:rPr>
            <w:webHidden/>
          </w:rPr>
          <w:tab/>
        </w:r>
        <w:r>
          <w:rPr>
            <w:webHidden/>
          </w:rPr>
          <w:fldChar w:fldCharType="begin"/>
        </w:r>
        <w:r>
          <w:rPr>
            <w:webHidden/>
          </w:rPr>
          <w:instrText xml:space="preserve"> PAGEREF _Toc30677645 \h </w:instrText>
        </w:r>
        <w:r>
          <w:rPr>
            <w:webHidden/>
          </w:rPr>
        </w:r>
        <w:r>
          <w:rPr>
            <w:webHidden/>
          </w:rPr>
          <w:fldChar w:fldCharType="separate"/>
        </w:r>
        <w:r>
          <w:rPr>
            <w:webHidden/>
          </w:rPr>
          <w:t>64</w:t>
        </w:r>
        <w:r>
          <w:rPr>
            <w:webHidden/>
          </w:rPr>
          <w:fldChar w:fldCharType="end"/>
        </w:r>
      </w:hyperlink>
    </w:p>
    <w:p w14:paraId="3A0D2DEA" w14:textId="36455C1F" w:rsidR="0039290F" w:rsidRDefault="0039290F">
      <w:pPr>
        <w:pStyle w:val="TOC2"/>
        <w:rPr>
          <w:rFonts w:asciiTheme="minorHAnsi" w:eastAsiaTheme="minorEastAsia" w:hAnsiTheme="minorHAnsi" w:cstheme="minorBidi"/>
          <w:b w:val="0"/>
          <w:smallCaps w:val="0"/>
          <w:sz w:val="22"/>
          <w:lang w:eastAsia="hr-HR"/>
        </w:rPr>
      </w:pPr>
      <w:hyperlink w:anchor="_Toc30677646" w:history="1">
        <w:r w:rsidRPr="00042033">
          <w:rPr>
            <w:rStyle w:val="Hyperlink"/>
            <w:rFonts w:ascii="Times New Roman" w:hAnsi="Times New Roman"/>
          </w:rPr>
          <w:t>2.3.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Informacije o doprinosima pojedinačnih subjekata solventnosti grupe</w:t>
        </w:r>
        <w:r>
          <w:rPr>
            <w:webHidden/>
          </w:rPr>
          <w:tab/>
        </w:r>
        <w:r>
          <w:rPr>
            <w:webHidden/>
          </w:rPr>
          <w:fldChar w:fldCharType="begin"/>
        </w:r>
        <w:r>
          <w:rPr>
            <w:webHidden/>
          </w:rPr>
          <w:instrText xml:space="preserve"> PAGEREF _Toc30677646 \h </w:instrText>
        </w:r>
        <w:r>
          <w:rPr>
            <w:webHidden/>
          </w:rPr>
        </w:r>
        <w:r>
          <w:rPr>
            <w:webHidden/>
          </w:rPr>
          <w:fldChar w:fldCharType="separate"/>
        </w:r>
        <w:r>
          <w:rPr>
            <w:webHidden/>
          </w:rPr>
          <w:t>64</w:t>
        </w:r>
        <w:r>
          <w:rPr>
            <w:webHidden/>
          </w:rPr>
          <w:fldChar w:fldCharType="end"/>
        </w:r>
      </w:hyperlink>
    </w:p>
    <w:p w14:paraId="26A74293" w14:textId="3542F9D5" w:rsidR="0039290F" w:rsidRDefault="0039290F">
      <w:pPr>
        <w:pStyle w:val="TOC2"/>
        <w:rPr>
          <w:rFonts w:asciiTheme="minorHAnsi" w:eastAsiaTheme="minorEastAsia" w:hAnsiTheme="minorHAnsi" w:cstheme="minorBidi"/>
          <w:b w:val="0"/>
          <w:smallCaps w:val="0"/>
          <w:sz w:val="22"/>
          <w:lang w:eastAsia="hr-HR"/>
        </w:rPr>
      </w:pPr>
      <w:hyperlink w:anchor="_Toc30677647" w:history="1">
        <w:r w:rsidRPr="00042033">
          <w:rPr>
            <w:rStyle w:val="Hyperlink"/>
            <w:rFonts w:ascii="Times New Roman" w:hAnsi="Times New Roman"/>
          </w:rPr>
          <w:t>2.4.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06.01 – SOLVENTNOST GRUPE: INFORMACIJE O POVEZANIM DRUŠTVIMA - Ukupno (GS Ukupno)</w:t>
        </w:r>
        <w:r>
          <w:rPr>
            <w:webHidden/>
          </w:rPr>
          <w:tab/>
        </w:r>
        <w:r>
          <w:rPr>
            <w:webHidden/>
          </w:rPr>
          <w:fldChar w:fldCharType="begin"/>
        </w:r>
        <w:r>
          <w:rPr>
            <w:webHidden/>
          </w:rPr>
          <w:instrText xml:space="preserve"> PAGEREF _Toc30677647 \h </w:instrText>
        </w:r>
        <w:r>
          <w:rPr>
            <w:webHidden/>
          </w:rPr>
        </w:r>
        <w:r>
          <w:rPr>
            <w:webHidden/>
          </w:rPr>
          <w:fldChar w:fldCharType="separate"/>
        </w:r>
        <w:r>
          <w:rPr>
            <w:webHidden/>
          </w:rPr>
          <w:t>65</w:t>
        </w:r>
        <w:r>
          <w:rPr>
            <w:webHidden/>
          </w:rPr>
          <w:fldChar w:fldCharType="end"/>
        </w:r>
      </w:hyperlink>
    </w:p>
    <w:p w14:paraId="79B1CFB3" w14:textId="6FA0C770" w:rsidR="0039290F" w:rsidRDefault="0039290F">
      <w:pPr>
        <w:pStyle w:val="TOC2"/>
        <w:rPr>
          <w:rFonts w:asciiTheme="minorHAnsi" w:eastAsiaTheme="minorEastAsia" w:hAnsiTheme="minorHAnsi" w:cstheme="minorBidi"/>
          <w:b w:val="0"/>
          <w:smallCaps w:val="0"/>
          <w:sz w:val="22"/>
          <w:lang w:eastAsia="hr-HR"/>
        </w:rPr>
      </w:pPr>
      <w:hyperlink w:anchor="_Toc30677648" w:history="1">
        <w:r w:rsidRPr="00042033">
          <w:rPr>
            <w:rStyle w:val="Hyperlink"/>
            <w:rFonts w:ascii="Times New Roman" w:hAnsi="Times New Roman"/>
          </w:rPr>
          <w:t>2.5.</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06.02 – SOLVENTNOST GRUPE: INFORMACIJE O POVEZANIM DRUŠTVIMA (GS)</w:t>
        </w:r>
        <w:r>
          <w:rPr>
            <w:webHidden/>
          </w:rPr>
          <w:tab/>
        </w:r>
        <w:r>
          <w:rPr>
            <w:webHidden/>
          </w:rPr>
          <w:fldChar w:fldCharType="begin"/>
        </w:r>
        <w:r>
          <w:rPr>
            <w:webHidden/>
          </w:rPr>
          <w:instrText xml:space="preserve"> PAGEREF _Toc30677648 \h </w:instrText>
        </w:r>
        <w:r>
          <w:rPr>
            <w:webHidden/>
          </w:rPr>
        </w:r>
        <w:r>
          <w:rPr>
            <w:webHidden/>
          </w:rPr>
          <w:fldChar w:fldCharType="separate"/>
        </w:r>
        <w:r>
          <w:rPr>
            <w:webHidden/>
          </w:rPr>
          <w:t>65</w:t>
        </w:r>
        <w:r>
          <w:rPr>
            <w:webHidden/>
          </w:rPr>
          <w:fldChar w:fldCharType="end"/>
        </w:r>
      </w:hyperlink>
    </w:p>
    <w:p w14:paraId="3579FF1D" w14:textId="5C054BD3" w:rsidR="0039290F" w:rsidRDefault="0039290F">
      <w:pPr>
        <w:pStyle w:val="TOC2"/>
        <w:rPr>
          <w:rFonts w:asciiTheme="minorHAnsi" w:eastAsiaTheme="minorEastAsia" w:hAnsiTheme="minorHAnsi" w:cstheme="minorBidi"/>
          <w:b w:val="0"/>
          <w:smallCaps w:val="0"/>
          <w:sz w:val="22"/>
          <w:lang w:eastAsia="hr-HR"/>
        </w:rPr>
      </w:pPr>
      <w:hyperlink w:anchor="_Toc30677649" w:history="1">
        <w:r w:rsidRPr="00042033">
          <w:rPr>
            <w:rStyle w:val="Hyperlink"/>
            <w:rFonts w:ascii="Times New Roman" w:hAnsi="Times New Roman"/>
          </w:rPr>
          <w:t>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Obrasci za kreditni rizik</w:t>
        </w:r>
        <w:r>
          <w:rPr>
            <w:webHidden/>
          </w:rPr>
          <w:tab/>
        </w:r>
        <w:r>
          <w:rPr>
            <w:webHidden/>
          </w:rPr>
          <w:fldChar w:fldCharType="begin"/>
        </w:r>
        <w:r>
          <w:rPr>
            <w:webHidden/>
          </w:rPr>
          <w:instrText xml:space="preserve"> PAGEREF _Toc30677649 \h </w:instrText>
        </w:r>
        <w:r>
          <w:rPr>
            <w:webHidden/>
          </w:rPr>
        </w:r>
        <w:r>
          <w:rPr>
            <w:webHidden/>
          </w:rPr>
          <w:fldChar w:fldCharType="separate"/>
        </w:r>
        <w:r>
          <w:rPr>
            <w:webHidden/>
          </w:rPr>
          <w:t>74</w:t>
        </w:r>
        <w:r>
          <w:rPr>
            <w:webHidden/>
          </w:rPr>
          <w:fldChar w:fldCharType="end"/>
        </w:r>
      </w:hyperlink>
    </w:p>
    <w:p w14:paraId="243CC365" w14:textId="10433DF9" w:rsidR="0039290F" w:rsidRDefault="0039290F">
      <w:pPr>
        <w:pStyle w:val="TOC2"/>
        <w:rPr>
          <w:rFonts w:asciiTheme="minorHAnsi" w:eastAsiaTheme="minorEastAsia" w:hAnsiTheme="minorHAnsi" w:cstheme="minorBidi"/>
          <w:b w:val="0"/>
          <w:smallCaps w:val="0"/>
          <w:sz w:val="22"/>
          <w:lang w:eastAsia="hr-HR"/>
        </w:rPr>
      </w:pPr>
      <w:hyperlink w:anchor="_Toc30677650" w:history="1">
        <w:r w:rsidRPr="00042033">
          <w:rPr>
            <w:rStyle w:val="Hyperlink"/>
            <w:rFonts w:ascii="Times New Roman" w:hAnsi="Times New Roman"/>
          </w:rPr>
          <w:t>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_Toc30677650 \h </w:instrText>
        </w:r>
        <w:r>
          <w:rPr>
            <w:webHidden/>
          </w:rPr>
        </w:r>
        <w:r>
          <w:rPr>
            <w:webHidden/>
          </w:rPr>
          <w:fldChar w:fldCharType="separate"/>
        </w:r>
        <w:r>
          <w:rPr>
            <w:webHidden/>
          </w:rPr>
          <w:t>74</w:t>
        </w:r>
        <w:r>
          <w:rPr>
            <w:webHidden/>
          </w:rPr>
          <w:fldChar w:fldCharType="end"/>
        </w:r>
      </w:hyperlink>
    </w:p>
    <w:p w14:paraId="4A20B496" w14:textId="31D63478" w:rsidR="0039290F" w:rsidRDefault="0039290F">
      <w:pPr>
        <w:pStyle w:val="TOC2"/>
        <w:rPr>
          <w:rFonts w:asciiTheme="minorHAnsi" w:eastAsiaTheme="minorEastAsia" w:hAnsiTheme="minorHAnsi" w:cstheme="minorBidi"/>
          <w:b w:val="0"/>
          <w:smallCaps w:val="0"/>
          <w:sz w:val="22"/>
          <w:lang w:eastAsia="hr-HR"/>
        </w:rPr>
      </w:pPr>
      <w:hyperlink w:anchor="_Toc30677651" w:history="1">
        <w:r w:rsidRPr="00042033">
          <w:rPr>
            <w:rStyle w:val="Hyperlink"/>
            <w:rFonts w:ascii="Times New Roman" w:hAnsi="Times New Roman"/>
          </w:rPr>
          <w:t>3.1.1.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Izvješćivanje o tehnikama smanjenja kreditnog rizika s učinkom zamjene</w:t>
        </w:r>
        <w:r>
          <w:rPr>
            <w:webHidden/>
          </w:rPr>
          <w:tab/>
        </w:r>
        <w:r>
          <w:rPr>
            <w:webHidden/>
          </w:rPr>
          <w:fldChar w:fldCharType="begin"/>
        </w:r>
        <w:r>
          <w:rPr>
            <w:webHidden/>
          </w:rPr>
          <w:instrText xml:space="preserve"> PAGEREF _Toc30677651 \h </w:instrText>
        </w:r>
        <w:r>
          <w:rPr>
            <w:webHidden/>
          </w:rPr>
        </w:r>
        <w:r>
          <w:rPr>
            <w:webHidden/>
          </w:rPr>
          <w:fldChar w:fldCharType="separate"/>
        </w:r>
        <w:r>
          <w:rPr>
            <w:webHidden/>
          </w:rPr>
          <w:t>74</w:t>
        </w:r>
        <w:r>
          <w:rPr>
            <w:webHidden/>
          </w:rPr>
          <w:fldChar w:fldCharType="end"/>
        </w:r>
      </w:hyperlink>
    </w:p>
    <w:p w14:paraId="63BCAF7D" w14:textId="10AE7E57" w:rsidR="0039290F" w:rsidRDefault="0039290F">
      <w:pPr>
        <w:pStyle w:val="TOC2"/>
        <w:rPr>
          <w:rFonts w:asciiTheme="minorHAnsi" w:eastAsiaTheme="minorEastAsia" w:hAnsiTheme="minorHAnsi" w:cstheme="minorBidi"/>
          <w:b w:val="0"/>
          <w:smallCaps w:val="0"/>
          <w:sz w:val="22"/>
          <w:lang w:eastAsia="hr-HR"/>
        </w:rPr>
      </w:pPr>
      <w:hyperlink w:anchor="_Toc30677652" w:history="1">
        <w:r w:rsidRPr="00042033">
          <w:rPr>
            <w:rStyle w:val="Hyperlink"/>
            <w:rFonts w:ascii="Times New Roman" w:hAnsi="Times New Roman"/>
          </w:rPr>
          <w:t>3.1.2.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Izvješćivanje o kreditnom riziku druge ugovorne strane</w:t>
        </w:r>
        <w:r>
          <w:rPr>
            <w:webHidden/>
          </w:rPr>
          <w:tab/>
        </w:r>
        <w:r>
          <w:rPr>
            <w:webHidden/>
          </w:rPr>
          <w:fldChar w:fldCharType="begin"/>
        </w:r>
        <w:r>
          <w:rPr>
            <w:webHidden/>
          </w:rPr>
          <w:instrText xml:space="preserve"> PAGEREF _Toc30677652 \h </w:instrText>
        </w:r>
        <w:r>
          <w:rPr>
            <w:webHidden/>
          </w:rPr>
        </w:r>
        <w:r>
          <w:rPr>
            <w:webHidden/>
          </w:rPr>
          <w:fldChar w:fldCharType="separate"/>
        </w:r>
        <w:r>
          <w:rPr>
            <w:webHidden/>
          </w:rPr>
          <w:t>74</w:t>
        </w:r>
        <w:r>
          <w:rPr>
            <w:webHidden/>
          </w:rPr>
          <w:fldChar w:fldCharType="end"/>
        </w:r>
      </w:hyperlink>
    </w:p>
    <w:p w14:paraId="58A535CF" w14:textId="1EB3957B" w:rsidR="0039290F" w:rsidRDefault="0039290F">
      <w:pPr>
        <w:pStyle w:val="TOC2"/>
        <w:rPr>
          <w:rFonts w:asciiTheme="minorHAnsi" w:eastAsiaTheme="minorEastAsia" w:hAnsiTheme="minorHAnsi" w:cstheme="minorBidi"/>
          <w:b w:val="0"/>
          <w:smallCaps w:val="0"/>
          <w:sz w:val="22"/>
          <w:lang w:eastAsia="hr-HR"/>
        </w:rPr>
      </w:pPr>
      <w:hyperlink w:anchor="_Toc30677653" w:history="1">
        <w:r w:rsidRPr="00042033">
          <w:rPr>
            <w:rStyle w:val="Hyperlink"/>
            <w:rFonts w:ascii="Times New Roman" w:hAnsi="Times New Roman"/>
          </w:rPr>
          <w:t>3.2.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07.00 – Kreditni rizik, kreditni rizik druge ugovorne strane i slobodne isporuke: Standardizirani pristup kapitalnim zahtjevima (CR SA)</w:t>
        </w:r>
        <w:r>
          <w:rPr>
            <w:webHidden/>
          </w:rPr>
          <w:tab/>
        </w:r>
        <w:r>
          <w:rPr>
            <w:webHidden/>
          </w:rPr>
          <w:fldChar w:fldCharType="begin"/>
        </w:r>
        <w:r>
          <w:rPr>
            <w:webHidden/>
          </w:rPr>
          <w:instrText xml:space="preserve"> PAGEREF _Toc30677653 \h </w:instrText>
        </w:r>
        <w:r>
          <w:rPr>
            <w:webHidden/>
          </w:rPr>
        </w:r>
        <w:r>
          <w:rPr>
            <w:webHidden/>
          </w:rPr>
          <w:fldChar w:fldCharType="separate"/>
        </w:r>
        <w:r>
          <w:rPr>
            <w:webHidden/>
          </w:rPr>
          <w:t>75</w:t>
        </w:r>
        <w:r>
          <w:rPr>
            <w:webHidden/>
          </w:rPr>
          <w:fldChar w:fldCharType="end"/>
        </w:r>
      </w:hyperlink>
    </w:p>
    <w:p w14:paraId="550E3983" w14:textId="61600629" w:rsidR="0039290F" w:rsidRDefault="0039290F">
      <w:pPr>
        <w:pStyle w:val="TOC2"/>
        <w:rPr>
          <w:rFonts w:asciiTheme="minorHAnsi" w:eastAsiaTheme="minorEastAsia" w:hAnsiTheme="minorHAnsi" w:cstheme="minorBidi"/>
          <w:b w:val="0"/>
          <w:smallCaps w:val="0"/>
          <w:sz w:val="22"/>
          <w:lang w:eastAsia="hr-HR"/>
        </w:rPr>
      </w:pPr>
      <w:hyperlink w:anchor="_Toc30677654" w:history="1">
        <w:r w:rsidRPr="00042033">
          <w:rPr>
            <w:rStyle w:val="Hyperlink"/>
            <w:rFonts w:ascii="Times New Roman" w:hAnsi="Times New Roman"/>
          </w:rPr>
          <w:t>3.2.1.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_Toc30677654 \h </w:instrText>
        </w:r>
        <w:r>
          <w:rPr>
            <w:webHidden/>
          </w:rPr>
        </w:r>
        <w:r>
          <w:rPr>
            <w:webHidden/>
          </w:rPr>
          <w:fldChar w:fldCharType="separate"/>
        </w:r>
        <w:r>
          <w:rPr>
            <w:webHidden/>
          </w:rPr>
          <w:t>75</w:t>
        </w:r>
        <w:r>
          <w:rPr>
            <w:webHidden/>
          </w:rPr>
          <w:fldChar w:fldCharType="end"/>
        </w:r>
      </w:hyperlink>
    </w:p>
    <w:p w14:paraId="1DC14556" w14:textId="529203C2" w:rsidR="0039290F" w:rsidRDefault="0039290F">
      <w:pPr>
        <w:pStyle w:val="TOC2"/>
        <w:rPr>
          <w:rFonts w:asciiTheme="minorHAnsi" w:eastAsiaTheme="minorEastAsia" w:hAnsiTheme="minorHAnsi" w:cstheme="minorBidi"/>
          <w:b w:val="0"/>
          <w:smallCaps w:val="0"/>
          <w:sz w:val="22"/>
          <w:lang w:eastAsia="hr-HR"/>
        </w:rPr>
      </w:pPr>
      <w:hyperlink w:anchor="_Toc30677655" w:history="1">
        <w:r w:rsidRPr="00042033">
          <w:rPr>
            <w:rStyle w:val="Hyperlink"/>
            <w:rFonts w:ascii="Times New Roman" w:hAnsi="Times New Roman"/>
          </w:rPr>
          <w:t>3.2.2.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Opseg obrasca CR SA</w:t>
        </w:r>
        <w:r>
          <w:rPr>
            <w:webHidden/>
          </w:rPr>
          <w:tab/>
        </w:r>
        <w:r>
          <w:rPr>
            <w:webHidden/>
          </w:rPr>
          <w:fldChar w:fldCharType="begin"/>
        </w:r>
        <w:r>
          <w:rPr>
            <w:webHidden/>
          </w:rPr>
          <w:instrText xml:space="preserve"> PAGEREF _Toc30677655 \h </w:instrText>
        </w:r>
        <w:r>
          <w:rPr>
            <w:webHidden/>
          </w:rPr>
        </w:r>
        <w:r>
          <w:rPr>
            <w:webHidden/>
          </w:rPr>
          <w:fldChar w:fldCharType="separate"/>
        </w:r>
        <w:r>
          <w:rPr>
            <w:webHidden/>
          </w:rPr>
          <w:t>75</w:t>
        </w:r>
        <w:r>
          <w:rPr>
            <w:webHidden/>
          </w:rPr>
          <w:fldChar w:fldCharType="end"/>
        </w:r>
      </w:hyperlink>
    </w:p>
    <w:p w14:paraId="1A8DB98E" w14:textId="639BF092" w:rsidR="0039290F" w:rsidRDefault="0039290F">
      <w:pPr>
        <w:pStyle w:val="TOC2"/>
        <w:rPr>
          <w:rFonts w:asciiTheme="minorHAnsi" w:eastAsiaTheme="minorEastAsia" w:hAnsiTheme="minorHAnsi" w:cstheme="minorBidi"/>
          <w:b w:val="0"/>
          <w:smallCaps w:val="0"/>
          <w:sz w:val="22"/>
          <w:lang w:eastAsia="hr-HR"/>
        </w:rPr>
      </w:pPr>
      <w:hyperlink w:anchor="_Toc30677656" w:history="1">
        <w:r w:rsidRPr="00042033">
          <w:rPr>
            <w:rStyle w:val="Hyperlink"/>
            <w:rFonts w:ascii="Times New Roman" w:hAnsi="Times New Roman"/>
          </w:rPr>
          <w:t>3.2.3.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 xml:space="preserve"> Raspoređivanje izloženosti u kategorije izloženosti u skladu sa standardiziranim pristupom</w:t>
        </w:r>
        <w:r>
          <w:rPr>
            <w:webHidden/>
          </w:rPr>
          <w:tab/>
        </w:r>
        <w:r>
          <w:rPr>
            <w:webHidden/>
          </w:rPr>
          <w:fldChar w:fldCharType="begin"/>
        </w:r>
        <w:r>
          <w:rPr>
            <w:webHidden/>
          </w:rPr>
          <w:instrText xml:space="preserve"> PAGEREF _Toc30677656 \h </w:instrText>
        </w:r>
        <w:r>
          <w:rPr>
            <w:webHidden/>
          </w:rPr>
        </w:r>
        <w:r>
          <w:rPr>
            <w:webHidden/>
          </w:rPr>
          <w:fldChar w:fldCharType="separate"/>
        </w:r>
        <w:r>
          <w:rPr>
            <w:webHidden/>
          </w:rPr>
          <w:t>77</w:t>
        </w:r>
        <w:r>
          <w:rPr>
            <w:webHidden/>
          </w:rPr>
          <w:fldChar w:fldCharType="end"/>
        </w:r>
      </w:hyperlink>
    </w:p>
    <w:p w14:paraId="4A1430BC" w14:textId="1391BCEE" w:rsidR="0039290F" w:rsidRDefault="0039290F">
      <w:pPr>
        <w:pStyle w:val="TOC2"/>
        <w:rPr>
          <w:rFonts w:asciiTheme="minorHAnsi" w:eastAsiaTheme="minorEastAsia" w:hAnsiTheme="minorHAnsi" w:cstheme="minorBidi"/>
          <w:b w:val="0"/>
          <w:smallCaps w:val="0"/>
          <w:sz w:val="22"/>
          <w:lang w:eastAsia="hr-HR"/>
        </w:rPr>
      </w:pPr>
      <w:hyperlink w:anchor="_Toc30677657" w:history="1">
        <w:r w:rsidRPr="00042033">
          <w:rPr>
            <w:rStyle w:val="Hyperlink"/>
            <w:rFonts w:ascii="Times New Roman" w:hAnsi="Times New Roman"/>
          </w:rPr>
          <w:t>3.2.4.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Pojašnjenja opsega nekih posebnih kategorija izloženosti iz članka 112. CRR-a</w:t>
        </w:r>
        <w:r>
          <w:rPr>
            <w:webHidden/>
          </w:rPr>
          <w:tab/>
        </w:r>
        <w:r>
          <w:rPr>
            <w:webHidden/>
          </w:rPr>
          <w:fldChar w:fldCharType="begin"/>
        </w:r>
        <w:r>
          <w:rPr>
            <w:webHidden/>
          </w:rPr>
          <w:instrText xml:space="preserve"> PAGEREF _Toc30677657 \h </w:instrText>
        </w:r>
        <w:r>
          <w:rPr>
            <w:webHidden/>
          </w:rPr>
        </w:r>
        <w:r>
          <w:rPr>
            <w:webHidden/>
          </w:rPr>
          <w:fldChar w:fldCharType="separate"/>
        </w:r>
        <w:r>
          <w:rPr>
            <w:webHidden/>
          </w:rPr>
          <w:t>82</w:t>
        </w:r>
        <w:r>
          <w:rPr>
            <w:webHidden/>
          </w:rPr>
          <w:fldChar w:fldCharType="end"/>
        </w:r>
      </w:hyperlink>
    </w:p>
    <w:p w14:paraId="039E8653" w14:textId="2AD00156" w:rsidR="0039290F" w:rsidRDefault="0039290F">
      <w:pPr>
        <w:pStyle w:val="TOC2"/>
        <w:rPr>
          <w:rFonts w:asciiTheme="minorHAnsi" w:eastAsiaTheme="minorEastAsia" w:hAnsiTheme="minorHAnsi" w:cstheme="minorBidi"/>
          <w:b w:val="0"/>
          <w:smallCaps w:val="0"/>
          <w:sz w:val="22"/>
          <w:lang w:eastAsia="hr-HR"/>
        </w:rPr>
      </w:pPr>
      <w:hyperlink w:anchor="_Toc30677658" w:history="1">
        <w:r w:rsidRPr="00042033">
          <w:rPr>
            <w:rStyle w:val="Hyperlink"/>
            <w:rFonts w:ascii="Times New Roman" w:hAnsi="Times New Roman"/>
          </w:rPr>
          <w:t>3.2.4.1.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Kategorija izloženosti „institucije”</w:t>
        </w:r>
        <w:r>
          <w:rPr>
            <w:webHidden/>
          </w:rPr>
          <w:tab/>
        </w:r>
        <w:r>
          <w:rPr>
            <w:webHidden/>
          </w:rPr>
          <w:fldChar w:fldCharType="begin"/>
        </w:r>
        <w:r>
          <w:rPr>
            <w:webHidden/>
          </w:rPr>
          <w:instrText xml:space="preserve"> PAGEREF _Toc30677658 \h </w:instrText>
        </w:r>
        <w:r>
          <w:rPr>
            <w:webHidden/>
          </w:rPr>
        </w:r>
        <w:r>
          <w:rPr>
            <w:webHidden/>
          </w:rPr>
          <w:fldChar w:fldCharType="separate"/>
        </w:r>
        <w:r>
          <w:rPr>
            <w:webHidden/>
          </w:rPr>
          <w:t>82</w:t>
        </w:r>
        <w:r>
          <w:rPr>
            <w:webHidden/>
          </w:rPr>
          <w:fldChar w:fldCharType="end"/>
        </w:r>
      </w:hyperlink>
    </w:p>
    <w:p w14:paraId="7393D273" w14:textId="25F2F8A7" w:rsidR="0039290F" w:rsidRDefault="0039290F">
      <w:pPr>
        <w:pStyle w:val="TOC2"/>
        <w:rPr>
          <w:rFonts w:asciiTheme="minorHAnsi" w:eastAsiaTheme="minorEastAsia" w:hAnsiTheme="minorHAnsi" w:cstheme="minorBidi"/>
          <w:b w:val="0"/>
          <w:smallCaps w:val="0"/>
          <w:sz w:val="22"/>
          <w:lang w:eastAsia="hr-HR"/>
        </w:rPr>
      </w:pPr>
      <w:hyperlink w:anchor="_Toc30677659" w:history="1">
        <w:r w:rsidRPr="00042033">
          <w:rPr>
            <w:rStyle w:val="Hyperlink"/>
            <w:rFonts w:ascii="Times New Roman" w:hAnsi="Times New Roman"/>
          </w:rPr>
          <w:t>3.2.4.2.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Kategorija izloženosti „pokrivene obveznice”</w:t>
        </w:r>
        <w:r>
          <w:rPr>
            <w:webHidden/>
          </w:rPr>
          <w:tab/>
        </w:r>
        <w:r>
          <w:rPr>
            <w:webHidden/>
          </w:rPr>
          <w:fldChar w:fldCharType="begin"/>
        </w:r>
        <w:r>
          <w:rPr>
            <w:webHidden/>
          </w:rPr>
          <w:instrText xml:space="preserve"> PAGEREF _Toc30677659 \h </w:instrText>
        </w:r>
        <w:r>
          <w:rPr>
            <w:webHidden/>
          </w:rPr>
        </w:r>
        <w:r>
          <w:rPr>
            <w:webHidden/>
          </w:rPr>
          <w:fldChar w:fldCharType="separate"/>
        </w:r>
        <w:r>
          <w:rPr>
            <w:webHidden/>
          </w:rPr>
          <w:t>82</w:t>
        </w:r>
        <w:r>
          <w:rPr>
            <w:webHidden/>
          </w:rPr>
          <w:fldChar w:fldCharType="end"/>
        </w:r>
      </w:hyperlink>
    </w:p>
    <w:p w14:paraId="08FD7DBE" w14:textId="4585C34C" w:rsidR="0039290F" w:rsidRDefault="0039290F">
      <w:pPr>
        <w:pStyle w:val="TOC2"/>
        <w:rPr>
          <w:rFonts w:asciiTheme="minorHAnsi" w:eastAsiaTheme="minorEastAsia" w:hAnsiTheme="minorHAnsi" w:cstheme="minorBidi"/>
          <w:b w:val="0"/>
          <w:smallCaps w:val="0"/>
          <w:sz w:val="22"/>
          <w:lang w:eastAsia="hr-HR"/>
        </w:rPr>
      </w:pPr>
      <w:hyperlink w:anchor="_Toc30677660" w:history="1">
        <w:r w:rsidRPr="00042033">
          <w:rPr>
            <w:rStyle w:val="Hyperlink"/>
            <w:rFonts w:ascii="Times New Roman" w:hAnsi="Times New Roman"/>
          </w:rPr>
          <w:t>3.2.4.3.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Kategorija izloženosti „subjekti za zajednička ulaganja”</w:t>
        </w:r>
        <w:r>
          <w:rPr>
            <w:webHidden/>
          </w:rPr>
          <w:tab/>
        </w:r>
        <w:r>
          <w:rPr>
            <w:webHidden/>
          </w:rPr>
          <w:fldChar w:fldCharType="begin"/>
        </w:r>
        <w:r>
          <w:rPr>
            <w:webHidden/>
          </w:rPr>
          <w:instrText xml:space="preserve"> PAGEREF _Toc30677660 \h </w:instrText>
        </w:r>
        <w:r>
          <w:rPr>
            <w:webHidden/>
          </w:rPr>
        </w:r>
        <w:r>
          <w:rPr>
            <w:webHidden/>
          </w:rPr>
          <w:fldChar w:fldCharType="separate"/>
        </w:r>
        <w:r>
          <w:rPr>
            <w:webHidden/>
          </w:rPr>
          <w:t>82</w:t>
        </w:r>
        <w:r>
          <w:rPr>
            <w:webHidden/>
          </w:rPr>
          <w:fldChar w:fldCharType="end"/>
        </w:r>
      </w:hyperlink>
    </w:p>
    <w:p w14:paraId="7FCD8E27" w14:textId="28A9D72B" w:rsidR="0039290F" w:rsidRDefault="0039290F">
      <w:pPr>
        <w:pStyle w:val="TOC2"/>
        <w:rPr>
          <w:rFonts w:asciiTheme="minorHAnsi" w:eastAsiaTheme="minorEastAsia" w:hAnsiTheme="minorHAnsi" w:cstheme="minorBidi"/>
          <w:b w:val="0"/>
          <w:smallCaps w:val="0"/>
          <w:sz w:val="22"/>
          <w:lang w:eastAsia="hr-HR"/>
        </w:rPr>
      </w:pPr>
      <w:hyperlink w:anchor="_Toc30677661" w:history="1">
        <w:r w:rsidRPr="00042033">
          <w:rPr>
            <w:rStyle w:val="Hyperlink"/>
            <w:rFonts w:ascii="Times New Roman" w:hAnsi="Times New Roman"/>
          </w:rPr>
          <w:t>3.2.5.</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_Toc30677661 \h </w:instrText>
        </w:r>
        <w:r>
          <w:rPr>
            <w:webHidden/>
          </w:rPr>
        </w:r>
        <w:r>
          <w:rPr>
            <w:webHidden/>
          </w:rPr>
          <w:fldChar w:fldCharType="separate"/>
        </w:r>
        <w:r>
          <w:rPr>
            <w:webHidden/>
          </w:rPr>
          <w:t>82</w:t>
        </w:r>
        <w:r>
          <w:rPr>
            <w:webHidden/>
          </w:rPr>
          <w:fldChar w:fldCharType="end"/>
        </w:r>
      </w:hyperlink>
    </w:p>
    <w:p w14:paraId="0BD36DD9" w14:textId="36ACAAA0" w:rsidR="0039290F" w:rsidRDefault="0039290F">
      <w:pPr>
        <w:pStyle w:val="TOC2"/>
        <w:rPr>
          <w:rFonts w:asciiTheme="minorHAnsi" w:eastAsiaTheme="minorEastAsia" w:hAnsiTheme="minorHAnsi" w:cstheme="minorBidi"/>
          <w:b w:val="0"/>
          <w:smallCaps w:val="0"/>
          <w:sz w:val="22"/>
          <w:lang w:eastAsia="hr-HR"/>
        </w:rPr>
      </w:pPr>
      <w:hyperlink w:anchor="_Toc30677662" w:history="1">
        <w:r w:rsidRPr="00042033">
          <w:rPr>
            <w:rStyle w:val="Hyperlink"/>
            <w:rFonts w:ascii="Times New Roman" w:hAnsi="Times New Roman"/>
          </w:rPr>
          <w:t>3.3.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Kreditni rizik, kreditni rizik druge ugovorne strane i slobodne isporuke: IRB pristup kapitalnim zahtjevima (CR IRB)</w:t>
        </w:r>
        <w:r>
          <w:rPr>
            <w:webHidden/>
          </w:rPr>
          <w:tab/>
        </w:r>
        <w:r>
          <w:rPr>
            <w:webHidden/>
          </w:rPr>
          <w:fldChar w:fldCharType="begin"/>
        </w:r>
        <w:r>
          <w:rPr>
            <w:webHidden/>
          </w:rPr>
          <w:instrText xml:space="preserve"> PAGEREF _Toc30677662 \h </w:instrText>
        </w:r>
        <w:r>
          <w:rPr>
            <w:webHidden/>
          </w:rPr>
        </w:r>
        <w:r>
          <w:rPr>
            <w:webHidden/>
          </w:rPr>
          <w:fldChar w:fldCharType="separate"/>
        </w:r>
        <w:r>
          <w:rPr>
            <w:webHidden/>
          </w:rPr>
          <w:t>90</w:t>
        </w:r>
        <w:r>
          <w:rPr>
            <w:webHidden/>
          </w:rPr>
          <w:fldChar w:fldCharType="end"/>
        </w:r>
      </w:hyperlink>
    </w:p>
    <w:p w14:paraId="4929E517" w14:textId="45DE76DA" w:rsidR="0039290F" w:rsidRDefault="0039290F">
      <w:pPr>
        <w:pStyle w:val="TOC2"/>
        <w:rPr>
          <w:rFonts w:asciiTheme="minorHAnsi" w:eastAsiaTheme="minorEastAsia" w:hAnsiTheme="minorHAnsi" w:cstheme="minorBidi"/>
          <w:b w:val="0"/>
          <w:smallCaps w:val="0"/>
          <w:sz w:val="22"/>
          <w:lang w:eastAsia="hr-HR"/>
        </w:rPr>
      </w:pPr>
      <w:hyperlink w:anchor="_Toc30677663" w:history="1">
        <w:r w:rsidRPr="00042033">
          <w:rPr>
            <w:rStyle w:val="Hyperlink"/>
            <w:rFonts w:ascii="Times New Roman" w:hAnsi="Times New Roman"/>
          </w:rPr>
          <w:t>3.3.1.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Opseg obrasca CR IRB</w:t>
        </w:r>
        <w:r>
          <w:rPr>
            <w:webHidden/>
          </w:rPr>
          <w:tab/>
        </w:r>
        <w:r>
          <w:rPr>
            <w:webHidden/>
          </w:rPr>
          <w:fldChar w:fldCharType="begin"/>
        </w:r>
        <w:r>
          <w:rPr>
            <w:webHidden/>
          </w:rPr>
          <w:instrText xml:space="preserve"> PAGEREF _Toc30677663 \h </w:instrText>
        </w:r>
        <w:r>
          <w:rPr>
            <w:webHidden/>
          </w:rPr>
        </w:r>
        <w:r>
          <w:rPr>
            <w:webHidden/>
          </w:rPr>
          <w:fldChar w:fldCharType="separate"/>
        </w:r>
        <w:r>
          <w:rPr>
            <w:webHidden/>
          </w:rPr>
          <w:t>90</w:t>
        </w:r>
        <w:r>
          <w:rPr>
            <w:webHidden/>
          </w:rPr>
          <w:fldChar w:fldCharType="end"/>
        </w:r>
      </w:hyperlink>
    </w:p>
    <w:p w14:paraId="6746733A" w14:textId="12D5C5B7" w:rsidR="0039290F" w:rsidRDefault="0039290F">
      <w:pPr>
        <w:pStyle w:val="TOC2"/>
        <w:rPr>
          <w:rFonts w:asciiTheme="minorHAnsi" w:eastAsiaTheme="minorEastAsia" w:hAnsiTheme="minorHAnsi" w:cstheme="minorBidi"/>
          <w:b w:val="0"/>
          <w:smallCaps w:val="0"/>
          <w:sz w:val="22"/>
          <w:lang w:eastAsia="hr-HR"/>
        </w:rPr>
      </w:pPr>
      <w:hyperlink w:anchor="_Toc30677664" w:history="1">
        <w:r w:rsidRPr="00042033">
          <w:rPr>
            <w:rStyle w:val="Hyperlink"/>
            <w:rFonts w:ascii="Times New Roman" w:hAnsi="Times New Roman"/>
          </w:rPr>
          <w:t>3.3.2.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Raščlamba obrasca CR IRB</w:t>
        </w:r>
        <w:r>
          <w:rPr>
            <w:webHidden/>
          </w:rPr>
          <w:tab/>
        </w:r>
        <w:r>
          <w:rPr>
            <w:webHidden/>
          </w:rPr>
          <w:fldChar w:fldCharType="begin"/>
        </w:r>
        <w:r>
          <w:rPr>
            <w:webHidden/>
          </w:rPr>
          <w:instrText xml:space="preserve"> PAGEREF _Toc30677664 \h </w:instrText>
        </w:r>
        <w:r>
          <w:rPr>
            <w:webHidden/>
          </w:rPr>
        </w:r>
        <w:r>
          <w:rPr>
            <w:webHidden/>
          </w:rPr>
          <w:fldChar w:fldCharType="separate"/>
        </w:r>
        <w:r>
          <w:rPr>
            <w:webHidden/>
          </w:rPr>
          <w:t>91</w:t>
        </w:r>
        <w:r>
          <w:rPr>
            <w:webHidden/>
          </w:rPr>
          <w:fldChar w:fldCharType="end"/>
        </w:r>
      </w:hyperlink>
    </w:p>
    <w:p w14:paraId="14BF6A0A" w14:textId="5ACB2D58" w:rsidR="0039290F" w:rsidRDefault="0039290F">
      <w:pPr>
        <w:pStyle w:val="TOC2"/>
        <w:rPr>
          <w:rFonts w:asciiTheme="minorHAnsi" w:eastAsiaTheme="minorEastAsia" w:hAnsiTheme="minorHAnsi" w:cstheme="minorBidi"/>
          <w:b w:val="0"/>
          <w:smallCaps w:val="0"/>
          <w:sz w:val="22"/>
          <w:lang w:eastAsia="hr-HR"/>
        </w:rPr>
      </w:pPr>
      <w:hyperlink w:anchor="_Toc30677665" w:history="1">
        <w:r w:rsidRPr="00042033">
          <w:rPr>
            <w:rStyle w:val="Hyperlink"/>
            <w:rFonts w:ascii="Times New Roman" w:hAnsi="Times New Roman"/>
          </w:rPr>
          <w:t>3.3.3.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08.01 – Kreditni rizik, kreditni rizik druge ugovorne strane i slobodne isporuke: IRB pristup kapitalnim zahtjevima (CR IRB 1)</w:t>
        </w:r>
        <w:r>
          <w:rPr>
            <w:webHidden/>
          </w:rPr>
          <w:tab/>
        </w:r>
        <w:r>
          <w:rPr>
            <w:webHidden/>
          </w:rPr>
          <w:fldChar w:fldCharType="begin"/>
        </w:r>
        <w:r>
          <w:rPr>
            <w:webHidden/>
          </w:rPr>
          <w:instrText xml:space="preserve"> PAGEREF _Toc30677665 \h </w:instrText>
        </w:r>
        <w:r>
          <w:rPr>
            <w:webHidden/>
          </w:rPr>
        </w:r>
        <w:r>
          <w:rPr>
            <w:webHidden/>
          </w:rPr>
          <w:fldChar w:fldCharType="separate"/>
        </w:r>
        <w:r>
          <w:rPr>
            <w:webHidden/>
          </w:rPr>
          <w:t>92</w:t>
        </w:r>
        <w:r>
          <w:rPr>
            <w:webHidden/>
          </w:rPr>
          <w:fldChar w:fldCharType="end"/>
        </w:r>
      </w:hyperlink>
    </w:p>
    <w:p w14:paraId="0E53BFAD" w14:textId="6BD05996" w:rsidR="0039290F" w:rsidRDefault="0039290F">
      <w:pPr>
        <w:pStyle w:val="TOC2"/>
        <w:rPr>
          <w:rFonts w:asciiTheme="minorHAnsi" w:eastAsiaTheme="minorEastAsia" w:hAnsiTheme="minorHAnsi" w:cstheme="minorBidi"/>
          <w:b w:val="0"/>
          <w:smallCaps w:val="0"/>
          <w:sz w:val="22"/>
          <w:lang w:eastAsia="hr-HR"/>
        </w:rPr>
      </w:pPr>
      <w:hyperlink w:anchor="_Toc30677666" w:history="1">
        <w:r w:rsidRPr="00042033">
          <w:rPr>
            <w:rStyle w:val="Hyperlink"/>
            <w:rFonts w:ascii="Times New Roman" w:hAnsi="Times New Roman"/>
          </w:rPr>
          <w:t>3.3.3.1</w:t>
        </w:r>
        <w:r>
          <w:rPr>
            <w:rStyle w:val="Hyperlink"/>
            <w:rFonts w:ascii="Times New Roman" w:hAnsi="Times New Roman"/>
          </w:rPr>
          <w:t>.</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_Toc30677666 \h </w:instrText>
        </w:r>
        <w:r>
          <w:rPr>
            <w:webHidden/>
          </w:rPr>
        </w:r>
        <w:r>
          <w:rPr>
            <w:webHidden/>
          </w:rPr>
          <w:fldChar w:fldCharType="separate"/>
        </w:r>
        <w:r>
          <w:rPr>
            <w:webHidden/>
          </w:rPr>
          <w:t>92</w:t>
        </w:r>
        <w:r>
          <w:rPr>
            <w:webHidden/>
          </w:rPr>
          <w:fldChar w:fldCharType="end"/>
        </w:r>
      </w:hyperlink>
    </w:p>
    <w:p w14:paraId="3DED129C" w14:textId="429B7203" w:rsidR="0039290F" w:rsidRDefault="0039290F">
      <w:pPr>
        <w:pStyle w:val="TOC2"/>
        <w:rPr>
          <w:rFonts w:asciiTheme="minorHAnsi" w:eastAsiaTheme="minorEastAsia" w:hAnsiTheme="minorHAnsi" w:cstheme="minorBidi"/>
          <w:b w:val="0"/>
          <w:smallCaps w:val="0"/>
          <w:sz w:val="22"/>
          <w:lang w:eastAsia="hr-HR"/>
        </w:rPr>
      </w:pPr>
      <w:hyperlink w:anchor="_Toc30677667" w:history="1">
        <w:r w:rsidRPr="00042033">
          <w:rPr>
            <w:rStyle w:val="Hyperlink"/>
            <w:rFonts w:ascii="Times New Roman" w:hAnsi="Times New Roman"/>
          </w:rPr>
          <w:t>3.3.4.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08.02 – Kreditni rizik, kreditni rizik druge ugovorne strane i slobodne isporuke: IRB pristup kapitalnim zahtjevima: raščlamba prema rejting-kategorijama dužnika ili skupovima izloženosti (obrazac CR IRB 2)</w:t>
        </w:r>
        <w:r>
          <w:rPr>
            <w:webHidden/>
          </w:rPr>
          <w:tab/>
        </w:r>
        <w:r>
          <w:rPr>
            <w:webHidden/>
          </w:rPr>
          <w:fldChar w:fldCharType="begin"/>
        </w:r>
        <w:r>
          <w:rPr>
            <w:webHidden/>
          </w:rPr>
          <w:instrText xml:space="preserve"> PAGEREF _Toc30677667 \h </w:instrText>
        </w:r>
        <w:r>
          <w:rPr>
            <w:webHidden/>
          </w:rPr>
        </w:r>
        <w:r>
          <w:rPr>
            <w:webHidden/>
          </w:rPr>
          <w:fldChar w:fldCharType="separate"/>
        </w:r>
        <w:r>
          <w:rPr>
            <w:webHidden/>
          </w:rPr>
          <w:t>101</w:t>
        </w:r>
        <w:r>
          <w:rPr>
            <w:webHidden/>
          </w:rPr>
          <w:fldChar w:fldCharType="end"/>
        </w:r>
      </w:hyperlink>
    </w:p>
    <w:p w14:paraId="4AEFBE71" w14:textId="54C7B685" w:rsidR="0039290F" w:rsidRDefault="0039290F">
      <w:pPr>
        <w:pStyle w:val="TOC2"/>
        <w:rPr>
          <w:rFonts w:asciiTheme="minorHAnsi" w:eastAsiaTheme="minorEastAsia" w:hAnsiTheme="minorHAnsi" w:cstheme="minorBidi"/>
          <w:b w:val="0"/>
          <w:smallCaps w:val="0"/>
          <w:sz w:val="22"/>
          <w:lang w:eastAsia="hr-HR"/>
        </w:rPr>
      </w:pPr>
      <w:hyperlink w:anchor="_Toc30677668" w:history="1">
        <w:r w:rsidRPr="00042033">
          <w:rPr>
            <w:rStyle w:val="Hyperlink"/>
            <w:rFonts w:ascii="Times New Roman" w:hAnsi="Times New Roman"/>
          </w:rPr>
          <w:t>3.4.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Kreditni rizik, kreditni rizik druge ugovorne strane i slobodne isporuke: Informacije s geografskom raščlambom</w:t>
        </w:r>
        <w:r>
          <w:rPr>
            <w:webHidden/>
          </w:rPr>
          <w:tab/>
        </w:r>
        <w:r>
          <w:rPr>
            <w:webHidden/>
          </w:rPr>
          <w:fldChar w:fldCharType="begin"/>
        </w:r>
        <w:r>
          <w:rPr>
            <w:webHidden/>
          </w:rPr>
          <w:instrText xml:space="preserve"> PAGEREF _Toc30677668 \h </w:instrText>
        </w:r>
        <w:r>
          <w:rPr>
            <w:webHidden/>
          </w:rPr>
        </w:r>
        <w:r>
          <w:rPr>
            <w:webHidden/>
          </w:rPr>
          <w:fldChar w:fldCharType="separate"/>
        </w:r>
        <w:r>
          <w:rPr>
            <w:webHidden/>
          </w:rPr>
          <w:t>102</w:t>
        </w:r>
        <w:r>
          <w:rPr>
            <w:webHidden/>
          </w:rPr>
          <w:fldChar w:fldCharType="end"/>
        </w:r>
      </w:hyperlink>
    </w:p>
    <w:p w14:paraId="6A69D1BC" w14:textId="0BABDCEC" w:rsidR="0039290F" w:rsidRDefault="0039290F">
      <w:pPr>
        <w:pStyle w:val="TOC2"/>
        <w:rPr>
          <w:rFonts w:asciiTheme="minorHAnsi" w:eastAsiaTheme="minorEastAsia" w:hAnsiTheme="minorHAnsi" w:cstheme="minorBidi"/>
          <w:b w:val="0"/>
          <w:smallCaps w:val="0"/>
          <w:sz w:val="22"/>
          <w:lang w:eastAsia="hr-HR"/>
        </w:rPr>
      </w:pPr>
      <w:hyperlink w:anchor="_Toc30677669" w:history="1">
        <w:r w:rsidRPr="00042033">
          <w:rPr>
            <w:rStyle w:val="Hyperlink"/>
            <w:rFonts w:ascii="Times New Roman" w:hAnsi="Times New Roman"/>
          </w:rPr>
          <w:t>3.4.1.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09.01 – Geografska raščlamba izloženosti prema boravištu dužnika: izloženosti u skladu sa standardiziranim pristupom (CR GB 1)</w:t>
        </w:r>
        <w:r>
          <w:rPr>
            <w:webHidden/>
          </w:rPr>
          <w:tab/>
        </w:r>
        <w:r>
          <w:rPr>
            <w:webHidden/>
          </w:rPr>
          <w:fldChar w:fldCharType="begin"/>
        </w:r>
        <w:r>
          <w:rPr>
            <w:webHidden/>
          </w:rPr>
          <w:instrText xml:space="preserve"> PAGEREF _Toc30677669 \h </w:instrText>
        </w:r>
        <w:r>
          <w:rPr>
            <w:webHidden/>
          </w:rPr>
        </w:r>
        <w:r>
          <w:rPr>
            <w:webHidden/>
          </w:rPr>
          <w:fldChar w:fldCharType="separate"/>
        </w:r>
        <w:r>
          <w:rPr>
            <w:webHidden/>
          </w:rPr>
          <w:t>102</w:t>
        </w:r>
        <w:r>
          <w:rPr>
            <w:webHidden/>
          </w:rPr>
          <w:fldChar w:fldCharType="end"/>
        </w:r>
      </w:hyperlink>
    </w:p>
    <w:p w14:paraId="78A00D95" w14:textId="76DA6D45" w:rsidR="0039290F" w:rsidRDefault="0039290F">
      <w:pPr>
        <w:pStyle w:val="TOC2"/>
        <w:rPr>
          <w:rFonts w:asciiTheme="minorHAnsi" w:eastAsiaTheme="minorEastAsia" w:hAnsiTheme="minorHAnsi" w:cstheme="minorBidi"/>
          <w:b w:val="0"/>
          <w:smallCaps w:val="0"/>
          <w:sz w:val="22"/>
          <w:lang w:eastAsia="hr-HR"/>
        </w:rPr>
      </w:pPr>
      <w:hyperlink w:anchor="_Toc30677670" w:history="1">
        <w:r w:rsidRPr="00042033">
          <w:rPr>
            <w:rStyle w:val="Hyperlink"/>
            <w:rFonts w:ascii="Times New Roman" w:hAnsi="Times New Roman"/>
          </w:rPr>
          <w:t>3.4.1.1.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_Toc30677670 \h </w:instrText>
        </w:r>
        <w:r>
          <w:rPr>
            <w:webHidden/>
          </w:rPr>
        </w:r>
        <w:r>
          <w:rPr>
            <w:webHidden/>
          </w:rPr>
          <w:fldChar w:fldCharType="separate"/>
        </w:r>
        <w:r>
          <w:rPr>
            <w:webHidden/>
          </w:rPr>
          <w:t>102</w:t>
        </w:r>
        <w:r>
          <w:rPr>
            <w:webHidden/>
          </w:rPr>
          <w:fldChar w:fldCharType="end"/>
        </w:r>
      </w:hyperlink>
    </w:p>
    <w:p w14:paraId="2F3609BC" w14:textId="203FC3E2" w:rsidR="0039290F" w:rsidRDefault="0039290F">
      <w:pPr>
        <w:pStyle w:val="TOC2"/>
        <w:rPr>
          <w:rFonts w:asciiTheme="minorHAnsi" w:eastAsiaTheme="minorEastAsia" w:hAnsiTheme="minorHAnsi" w:cstheme="minorBidi"/>
          <w:b w:val="0"/>
          <w:smallCaps w:val="0"/>
          <w:sz w:val="22"/>
          <w:lang w:eastAsia="hr-HR"/>
        </w:rPr>
      </w:pPr>
      <w:hyperlink w:anchor="_Toc30677671" w:history="1">
        <w:r w:rsidRPr="00042033">
          <w:rPr>
            <w:rStyle w:val="Hyperlink"/>
            <w:rFonts w:ascii="Times New Roman" w:hAnsi="Times New Roman"/>
          </w:rPr>
          <w:t>3.4.2.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09.02 – Geografska raščlamba izloženosti prema boravištu dužnika: Izloženosti u skladu s IRB pristupom (CR GB 2)</w:t>
        </w:r>
        <w:r>
          <w:rPr>
            <w:webHidden/>
          </w:rPr>
          <w:tab/>
        </w:r>
        <w:r>
          <w:rPr>
            <w:webHidden/>
          </w:rPr>
          <w:fldChar w:fldCharType="begin"/>
        </w:r>
        <w:r>
          <w:rPr>
            <w:webHidden/>
          </w:rPr>
          <w:instrText xml:space="preserve"> PAGEREF _Toc30677671 \h </w:instrText>
        </w:r>
        <w:r>
          <w:rPr>
            <w:webHidden/>
          </w:rPr>
        </w:r>
        <w:r>
          <w:rPr>
            <w:webHidden/>
          </w:rPr>
          <w:fldChar w:fldCharType="separate"/>
        </w:r>
        <w:r>
          <w:rPr>
            <w:webHidden/>
          </w:rPr>
          <w:t>105</w:t>
        </w:r>
        <w:r>
          <w:rPr>
            <w:webHidden/>
          </w:rPr>
          <w:fldChar w:fldCharType="end"/>
        </w:r>
      </w:hyperlink>
    </w:p>
    <w:p w14:paraId="47204DD5" w14:textId="114584D0" w:rsidR="0039290F" w:rsidRDefault="0039290F">
      <w:pPr>
        <w:pStyle w:val="TOC2"/>
        <w:rPr>
          <w:rFonts w:asciiTheme="minorHAnsi" w:eastAsiaTheme="minorEastAsia" w:hAnsiTheme="minorHAnsi" w:cstheme="minorBidi"/>
          <w:b w:val="0"/>
          <w:smallCaps w:val="0"/>
          <w:sz w:val="22"/>
          <w:lang w:eastAsia="hr-HR"/>
        </w:rPr>
      </w:pPr>
      <w:hyperlink w:anchor="_Toc30677672" w:history="1">
        <w:r w:rsidRPr="00042033">
          <w:rPr>
            <w:rStyle w:val="Hyperlink"/>
            <w:rFonts w:ascii="Times New Roman" w:hAnsi="Times New Roman"/>
          </w:rPr>
          <w:t>3.4.2.1.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_Toc30677672 \h </w:instrText>
        </w:r>
        <w:r>
          <w:rPr>
            <w:webHidden/>
          </w:rPr>
        </w:r>
        <w:r>
          <w:rPr>
            <w:webHidden/>
          </w:rPr>
          <w:fldChar w:fldCharType="separate"/>
        </w:r>
        <w:r>
          <w:rPr>
            <w:webHidden/>
          </w:rPr>
          <w:t>105</w:t>
        </w:r>
        <w:r>
          <w:rPr>
            <w:webHidden/>
          </w:rPr>
          <w:fldChar w:fldCharType="end"/>
        </w:r>
      </w:hyperlink>
    </w:p>
    <w:p w14:paraId="3D56CABB" w14:textId="1870DD6E" w:rsidR="0039290F" w:rsidRDefault="0039290F">
      <w:pPr>
        <w:pStyle w:val="TOC2"/>
        <w:rPr>
          <w:rFonts w:asciiTheme="minorHAnsi" w:eastAsiaTheme="minorEastAsia" w:hAnsiTheme="minorHAnsi" w:cstheme="minorBidi"/>
          <w:b w:val="0"/>
          <w:smallCaps w:val="0"/>
          <w:sz w:val="22"/>
          <w:lang w:eastAsia="hr-HR"/>
        </w:rPr>
      </w:pPr>
      <w:hyperlink w:anchor="_Toc30677673" w:history="1">
        <w:r w:rsidRPr="00042033">
          <w:rPr>
            <w:rStyle w:val="Hyperlink"/>
            <w:rFonts w:ascii="Times New Roman" w:hAnsi="Times New Roman"/>
          </w:rPr>
          <w:t>3.4.3.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09.04 – Raščlamba relevantnih kreditnih izloženosti za potrebe izračuna protucikličkog zaštitnog sloja prema zemlji i stope protucikličkog zaštitnog sloja specifičnog za instituciju (CCB)</w:t>
        </w:r>
        <w:r>
          <w:rPr>
            <w:webHidden/>
          </w:rPr>
          <w:tab/>
        </w:r>
        <w:r>
          <w:rPr>
            <w:webHidden/>
          </w:rPr>
          <w:fldChar w:fldCharType="begin"/>
        </w:r>
        <w:r>
          <w:rPr>
            <w:webHidden/>
          </w:rPr>
          <w:instrText xml:space="preserve"> PAGEREF _Toc30677673 \h </w:instrText>
        </w:r>
        <w:r>
          <w:rPr>
            <w:webHidden/>
          </w:rPr>
        </w:r>
        <w:r>
          <w:rPr>
            <w:webHidden/>
          </w:rPr>
          <w:fldChar w:fldCharType="separate"/>
        </w:r>
        <w:r>
          <w:rPr>
            <w:webHidden/>
          </w:rPr>
          <w:t>108</w:t>
        </w:r>
        <w:r>
          <w:rPr>
            <w:webHidden/>
          </w:rPr>
          <w:fldChar w:fldCharType="end"/>
        </w:r>
      </w:hyperlink>
    </w:p>
    <w:p w14:paraId="45AC466B" w14:textId="61A5EAB9" w:rsidR="0039290F" w:rsidRDefault="0039290F">
      <w:pPr>
        <w:pStyle w:val="TOC2"/>
        <w:rPr>
          <w:rFonts w:asciiTheme="minorHAnsi" w:eastAsiaTheme="minorEastAsia" w:hAnsiTheme="minorHAnsi" w:cstheme="minorBidi"/>
          <w:b w:val="0"/>
          <w:smallCaps w:val="0"/>
          <w:sz w:val="22"/>
          <w:lang w:eastAsia="hr-HR"/>
        </w:rPr>
      </w:pPr>
      <w:hyperlink w:anchor="_Toc30677674" w:history="1">
        <w:r w:rsidRPr="00042033">
          <w:rPr>
            <w:rStyle w:val="Hyperlink"/>
            <w:rFonts w:ascii="Times New Roman" w:hAnsi="Times New Roman"/>
          </w:rPr>
          <w:t>3.4.3.1.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_Toc30677674 \h </w:instrText>
        </w:r>
        <w:r>
          <w:rPr>
            <w:webHidden/>
          </w:rPr>
        </w:r>
        <w:r>
          <w:rPr>
            <w:webHidden/>
          </w:rPr>
          <w:fldChar w:fldCharType="separate"/>
        </w:r>
        <w:r>
          <w:rPr>
            <w:webHidden/>
          </w:rPr>
          <w:t>108</w:t>
        </w:r>
        <w:r>
          <w:rPr>
            <w:webHidden/>
          </w:rPr>
          <w:fldChar w:fldCharType="end"/>
        </w:r>
      </w:hyperlink>
    </w:p>
    <w:p w14:paraId="7D165294" w14:textId="58D25101" w:rsidR="0039290F" w:rsidRDefault="0039290F">
      <w:pPr>
        <w:pStyle w:val="TOC2"/>
        <w:rPr>
          <w:rFonts w:asciiTheme="minorHAnsi" w:eastAsiaTheme="minorEastAsia" w:hAnsiTheme="minorHAnsi" w:cstheme="minorBidi"/>
          <w:b w:val="0"/>
          <w:smallCaps w:val="0"/>
          <w:sz w:val="22"/>
          <w:lang w:eastAsia="hr-HR"/>
        </w:rPr>
      </w:pPr>
      <w:hyperlink w:anchor="_Toc30677675" w:history="1">
        <w:r w:rsidRPr="00042033">
          <w:rPr>
            <w:rStyle w:val="Hyperlink"/>
            <w:rFonts w:ascii="Times New Roman" w:hAnsi="Times New Roman"/>
          </w:rPr>
          <w:t>3.4.3.2.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_Toc30677675 \h </w:instrText>
        </w:r>
        <w:r>
          <w:rPr>
            <w:webHidden/>
          </w:rPr>
        </w:r>
        <w:r>
          <w:rPr>
            <w:webHidden/>
          </w:rPr>
          <w:fldChar w:fldCharType="separate"/>
        </w:r>
        <w:r>
          <w:rPr>
            <w:webHidden/>
          </w:rPr>
          <w:t>108</w:t>
        </w:r>
        <w:r>
          <w:rPr>
            <w:webHidden/>
          </w:rPr>
          <w:fldChar w:fldCharType="end"/>
        </w:r>
      </w:hyperlink>
    </w:p>
    <w:p w14:paraId="5C6B048E" w14:textId="389C3685" w:rsidR="0039290F" w:rsidRDefault="0039290F">
      <w:pPr>
        <w:pStyle w:val="TOC2"/>
        <w:rPr>
          <w:rFonts w:asciiTheme="minorHAnsi" w:eastAsiaTheme="minorEastAsia" w:hAnsiTheme="minorHAnsi" w:cstheme="minorBidi"/>
          <w:b w:val="0"/>
          <w:smallCaps w:val="0"/>
          <w:sz w:val="22"/>
          <w:lang w:eastAsia="hr-HR"/>
        </w:rPr>
      </w:pPr>
      <w:hyperlink w:anchor="_Toc30677676" w:history="1">
        <w:r w:rsidRPr="00042033">
          <w:rPr>
            <w:rStyle w:val="Hyperlink"/>
            <w:rFonts w:ascii="Times New Roman" w:hAnsi="Times New Roman"/>
          </w:rPr>
          <w:t>3.5.</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10.01 i C 10.02 – Izloženosti na osnovi vlasničkih ulaganja u skladu s pristupom zasnovanim na internim rejting-sustavima (CR EQU IRB 1 i CR EQU IRB 2)</w:t>
        </w:r>
        <w:r>
          <w:rPr>
            <w:webHidden/>
          </w:rPr>
          <w:tab/>
        </w:r>
        <w:r>
          <w:rPr>
            <w:webHidden/>
          </w:rPr>
          <w:fldChar w:fldCharType="begin"/>
        </w:r>
        <w:r>
          <w:rPr>
            <w:webHidden/>
          </w:rPr>
          <w:instrText xml:space="preserve"> PAGEREF _Toc30677676 \h </w:instrText>
        </w:r>
        <w:r>
          <w:rPr>
            <w:webHidden/>
          </w:rPr>
        </w:r>
        <w:r>
          <w:rPr>
            <w:webHidden/>
          </w:rPr>
          <w:fldChar w:fldCharType="separate"/>
        </w:r>
        <w:r>
          <w:rPr>
            <w:webHidden/>
          </w:rPr>
          <w:t>112</w:t>
        </w:r>
        <w:r>
          <w:rPr>
            <w:webHidden/>
          </w:rPr>
          <w:fldChar w:fldCharType="end"/>
        </w:r>
      </w:hyperlink>
    </w:p>
    <w:p w14:paraId="109AA11E" w14:textId="1B81C861" w:rsidR="0039290F" w:rsidRDefault="0039290F">
      <w:pPr>
        <w:pStyle w:val="TOC2"/>
        <w:rPr>
          <w:rFonts w:asciiTheme="minorHAnsi" w:eastAsiaTheme="minorEastAsia" w:hAnsiTheme="minorHAnsi" w:cstheme="minorBidi"/>
          <w:b w:val="0"/>
          <w:smallCaps w:val="0"/>
          <w:sz w:val="22"/>
          <w:lang w:eastAsia="hr-HR"/>
        </w:rPr>
      </w:pPr>
      <w:hyperlink w:anchor="_Toc30677677" w:history="1">
        <w:r w:rsidRPr="00042033">
          <w:rPr>
            <w:rStyle w:val="Hyperlink"/>
            <w:rFonts w:ascii="Times New Roman" w:hAnsi="Times New Roman"/>
          </w:rPr>
          <w:t>3.5.1.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_Toc30677677 \h </w:instrText>
        </w:r>
        <w:r>
          <w:rPr>
            <w:webHidden/>
          </w:rPr>
        </w:r>
        <w:r>
          <w:rPr>
            <w:webHidden/>
          </w:rPr>
          <w:fldChar w:fldCharType="separate"/>
        </w:r>
        <w:r>
          <w:rPr>
            <w:webHidden/>
          </w:rPr>
          <w:t>112</w:t>
        </w:r>
        <w:r>
          <w:rPr>
            <w:webHidden/>
          </w:rPr>
          <w:fldChar w:fldCharType="end"/>
        </w:r>
      </w:hyperlink>
    </w:p>
    <w:p w14:paraId="1723B419" w14:textId="6FF6DB6F" w:rsidR="0039290F" w:rsidRDefault="0039290F">
      <w:pPr>
        <w:pStyle w:val="TOC2"/>
        <w:rPr>
          <w:rFonts w:asciiTheme="minorHAnsi" w:eastAsiaTheme="minorEastAsia" w:hAnsiTheme="minorHAnsi" w:cstheme="minorBidi"/>
          <w:b w:val="0"/>
          <w:smallCaps w:val="0"/>
          <w:sz w:val="22"/>
          <w:lang w:eastAsia="hr-HR"/>
        </w:rPr>
      </w:pPr>
      <w:hyperlink w:anchor="_Toc30677678" w:history="1">
        <w:r w:rsidRPr="00042033">
          <w:rPr>
            <w:rStyle w:val="Hyperlink"/>
            <w:rFonts w:ascii="Times New Roman" w:hAnsi="Times New Roman"/>
          </w:rPr>
          <w:t>3.5.2.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 (mogu se primijeniti na obrasce CR EQU IRB 1 i CR EQU IRB 2)</w:t>
        </w:r>
        <w:r>
          <w:rPr>
            <w:webHidden/>
          </w:rPr>
          <w:tab/>
        </w:r>
        <w:r>
          <w:rPr>
            <w:webHidden/>
          </w:rPr>
          <w:fldChar w:fldCharType="begin"/>
        </w:r>
        <w:r>
          <w:rPr>
            <w:webHidden/>
          </w:rPr>
          <w:instrText xml:space="preserve"> PAGEREF _Toc30677678 \h </w:instrText>
        </w:r>
        <w:r>
          <w:rPr>
            <w:webHidden/>
          </w:rPr>
        </w:r>
        <w:r>
          <w:rPr>
            <w:webHidden/>
          </w:rPr>
          <w:fldChar w:fldCharType="separate"/>
        </w:r>
        <w:r>
          <w:rPr>
            <w:webHidden/>
          </w:rPr>
          <w:t>114</w:t>
        </w:r>
        <w:r>
          <w:rPr>
            <w:webHidden/>
          </w:rPr>
          <w:fldChar w:fldCharType="end"/>
        </w:r>
      </w:hyperlink>
    </w:p>
    <w:p w14:paraId="4FC0DF66" w14:textId="71152B09" w:rsidR="0039290F" w:rsidRDefault="0039290F">
      <w:pPr>
        <w:pStyle w:val="TOC2"/>
        <w:rPr>
          <w:rFonts w:asciiTheme="minorHAnsi" w:eastAsiaTheme="minorEastAsia" w:hAnsiTheme="minorHAnsi" w:cstheme="minorBidi"/>
          <w:b w:val="0"/>
          <w:smallCaps w:val="0"/>
          <w:sz w:val="22"/>
          <w:lang w:eastAsia="hr-HR"/>
        </w:rPr>
      </w:pPr>
      <w:hyperlink w:anchor="_Toc30677679" w:history="1">
        <w:r w:rsidRPr="00042033">
          <w:rPr>
            <w:rStyle w:val="Hyperlink"/>
            <w:rFonts w:ascii="Times New Roman" w:hAnsi="Times New Roman"/>
          </w:rPr>
          <w:t>3.6.</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11.00 – Rizik namire/isporuke  (CR SETT)</w:t>
        </w:r>
        <w:r>
          <w:rPr>
            <w:webHidden/>
          </w:rPr>
          <w:tab/>
        </w:r>
        <w:r>
          <w:rPr>
            <w:webHidden/>
          </w:rPr>
          <w:fldChar w:fldCharType="begin"/>
        </w:r>
        <w:r>
          <w:rPr>
            <w:webHidden/>
          </w:rPr>
          <w:instrText xml:space="preserve"> PAGEREF _Toc30677679 \h </w:instrText>
        </w:r>
        <w:r>
          <w:rPr>
            <w:webHidden/>
          </w:rPr>
        </w:r>
        <w:r>
          <w:rPr>
            <w:webHidden/>
          </w:rPr>
          <w:fldChar w:fldCharType="separate"/>
        </w:r>
        <w:r>
          <w:rPr>
            <w:webHidden/>
          </w:rPr>
          <w:t>117</w:t>
        </w:r>
        <w:r>
          <w:rPr>
            <w:webHidden/>
          </w:rPr>
          <w:fldChar w:fldCharType="end"/>
        </w:r>
      </w:hyperlink>
    </w:p>
    <w:p w14:paraId="35472E5D" w14:textId="7D8D2088" w:rsidR="0039290F" w:rsidRDefault="0039290F">
      <w:pPr>
        <w:pStyle w:val="TOC2"/>
        <w:rPr>
          <w:rFonts w:asciiTheme="minorHAnsi" w:eastAsiaTheme="minorEastAsia" w:hAnsiTheme="minorHAnsi" w:cstheme="minorBidi"/>
          <w:b w:val="0"/>
          <w:smallCaps w:val="0"/>
          <w:sz w:val="22"/>
          <w:lang w:eastAsia="hr-HR"/>
        </w:rPr>
      </w:pPr>
      <w:hyperlink w:anchor="_Toc30677680" w:history="1">
        <w:r w:rsidRPr="00042033">
          <w:rPr>
            <w:rStyle w:val="Hyperlink"/>
            <w:rFonts w:ascii="Times New Roman" w:hAnsi="Times New Roman"/>
          </w:rPr>
          <w:t>3.6.1.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_Toc30677680 \h </w:instrText>
        </w:r>
        <w:r>
          <w:rPr>
            <w:webHidden/>
          </w:rPr>
        </w:r>
        <w:r>
          <w:rPr>
            <w:webHidden/>
          </w:rPr>
          <w:fldChar w:fldCharType="separate"/>
        </w:r>
        <w:r>
          <w:rPr>
            <w:webHidden/>
          </w:rPr>
          <w:t>117</w:t>
        </w:r>
        <w:r>
          <w:rPr>
            <w:webHidden/>
          </w:rPr>
          <w:fldChar w:fldCharType="end"/>
        </w:r>
      </w:hyperlink>
    </w:p>
    <w:p w14:paraId="06CA6541" w14:textId="3D72F752" w:rsidR="0039290F" w:rsidRDefault="0039290F">
      <w:pPr>
        <w:pStyle w:val="TOC2"/>
        <w:rPr>
          <w:rFonts w:asciiTheme="minorHAnsi" w:eastAsiaTheme="minorEastAsia" w:hAnsiTheme="minorHAnsi" w:cstheme="minorBidi"/>
          <w:b w:val="0"/>
          <w:smallCaps w:val="0"/>
          <w:sz w:val="22"/>
          <w:lang w:eastAsia="hr-HR"/>
        </w:rPr>
      </w:pPr>
      <w:hyperlink w:anchor="_Toc30677681" w:history="1">
        <w:r w:rsidRPr="00042033">
          <w:rPr>
            <w:rStyle w:val="Hyperlink"/>
            <w:rFonts w:ascii="Times New Roman" w:hAnsi="Times New Roman"/>
          </w:rPr>
          <w:t>3.6.2.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_Toc30677681 \h </w:instrText>
        </w:r>
        <w:r>
          <w:rPr>
            <w:webHidden/>
          </w:rPr>
        </w:r>
        <w:r>
          <w:rPr>
            <w:webHidden/>
          </w:rPr>
          <w:fldChar w:fldCharType="separate"/>
        </w:r>
        <w:r>
          <w:rPr>
            <w:webHidden/>
          </w:rPr>
          <w:t>118</w:t>
        </w:r>
        <w:r>
          <w:rPr>
            <w:webHidden/>
          </w:rPr>
          <w:fldChar w:fldCharType="end"/>
        </w:r>
      </w:hyperlink>
    </w:p>
    <w:p w14:paraId="1D9B1C52" w14:textId="6003CBD2" w:rsidR="0039290F" w:rsidRDefault="0039290F">
      <w:pPr>
        <w:pStyle w:val="TOC2"/>
        <w:rPr>
          <w:rFonts w:asciiTheme="minorHAnsi" w:eastAsiaTheme="minorEastAsia" w:hAnsiTheme="minorHAnsi" w:cstheme="minorBidi"/>
          <w:b w:val="0"/>
          <w:smallCaps w:val="0"/>
          <w:sz w:val="22"/>
          <w:lang w:eastAsia="hr-HR"/>
        </w:rPr>
      </w:pPr>
      <w:hyperlink w:anchor="_Toc30677682" w:history="1">
        <w:r w:rsidRPr="00042033">
          <w:rPr>
            <w:rStyle w:val="Hyperlink"/>
            <w:rFonts w:ascii="Times New Roman" w:hAnsi="Times New Roman"/>
          </w:rPr>
          <w:t>3.7.</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13.01 – Kreditni rizik – sekuritizacije (CR SEC)</w:t>
        </w:r>
        <w:r>
          <w:rPr>
            <w:webHidden/>
          </w:rPr>
          <w:tab/>
        </w:r>
        <w:r>
          <w:rPr>
            <w:webHidden/>
          </w:rPr>
          <w:fldChar w:fldCharType="begin"/>
        </w:r>
        <w:r>
          <w:rPr>
            <w:webHidden/>
          </w:rPr>
          <w:instrText xml:space="preserve"> PAGEREF _Toc30677682 \h </w:instrText>
        </w:r>
        <w:r>
          <w:rPr>
            <w:webHidden/>
          </w:rPr>
        </w:r>
        <w:r>
          <w:rPr>
            <w:webHidden/>
          </w:rPr>
          <w:fldChar w:fldCharType="separate"/>
        </w:r>
        <w:r>
          <w:rPr>
            <w:webHidden/>
          </w:rPr>
          <w:t>121</w:t>
        </w:r>
        <w:r>
          <w:rPr>
            <w:webHidden/>
          </w:rPr>
          <w:fldChar w:fldCharType="end"/>
        </w:r>
      </w:hyperlink>
    </w:p>
    <w:p w14:paraId="629A47FC" w14:textId="7D6AC9B2" w:rsidR="0039290F" w:rsidRDefault="0039290F">
      <w:pPr>
        <w:pStyle w:val="TOC2"/>
        <w:rPr>
          <w:rFonts w:asciiTheme="minorHAnsi" w:eastAsiaTheme="minorEastAsia" w:hAnsiTheme="minorHAnsi" w:cstheme="minorBidi"/>
          <w:b w:val="0"/>
          <w:smallCaps w:val="0"/>
          <w:sz w:val="22"/>
          <w:lang w:eastAsia="hr-HR"/>
        </w:rPr>
      </w:pPr>
      <w:hyperlink w:anchor="_Toc30677683" w:history="1">
        <w:r w:rsidRPr="00042033">
          <w:rPr>
            <w:rStyle w:val="Hyperlink"/>
            <w:rFonts w:ascii="Times New Roman" w:hAnsi="Times New Roman"/>
          </w:rPr>
          <w:t>3.7.1.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_Toc30677683 \h </w:instrText>
        </w:r>
        <w:r>
          <w:rPr>
            <w:webHidden/>
          </w:rPr>
        </w:r>
        <w:r>
          <w:rPr>
            <w:webHidden/>
          </w:rPr>
          <w:fldChar w:fldCharType="separate"/>
        </w:r>
        <w:r>
          <w:rPr>
            <w:webHidden/>
          </w:rPr>
          <w:t>121</w:t>
        </w:r>
        <w:r>
          <w:rPr>
            <w:webHidden/>
          </w:rPr>
          <w:fldChar w:fldCharType="end"/>
        </w:r>
      </w:hyperlink>
    </w:p>
    <w:p w14:paraId="53C8725A" w14:textId="07471006" w:rsidR="0039290F" w:rsidRDefault="0039290F">
      <w:pPr>
        <w:pStyle w:val="TOC2"/>
        <w:rPr>
          <w:rFonts w:asciiTheme="minorHAnsi" w:eastAsiaTheme="minorEastAsia" w:hAnsiTheme="minorHAnsi" w:cstheme="minorBidi"/>
          <w:b w:val="0"/>
          <w:smallCaps w:val="0"/>
          <w:sz w:val="22"/>
          <w:lang w:eastAsia="hr-HR"/>
        </w:rPr>
      </w:pPr>
      <w:hyperlink w:anchor="_Toc30677684" w:history="1">
        <w:r w:rsidRPr="00042033">
          <w:rPr>
            <w:rStyle w:val="Hyperlink"/>
            <w:rFonts w:ascii="Times New Roman" w:hAnsi="Times New Roman"/>
          </w:rPr>
          <w:t>3.7.2.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_Toc30677684 \h </w:instrText>
        </w:r>
        <w:r>
          <w:rPr>
            <w:webHidden/>
          </w:rPr>
        </w:r>
        <w:r>
          <w:rPr>
            <w:webHidden/>
          </w:rPr>
          <w:fldChar w:fldCharType="separate"/>
        </w:r>
        <w:r>
          <w:rPr>
            <w:webHidden/>
          </w:rPr>
          <w:t>121</w:t>
        </w:r>
        <w:r>
          <w:rPr>
            <w:webHidden/>
          </w:rPr>
          <w:fldChar w:fldCharType="end"/>
        </w:r>
      </w:hyperlink>
    </w:p>
    <w:p w14:paraId="4BD7BE70" w14:textId="03D52160" w:rsidR="0039290F" w:rsidRDefault="0039290F">
      <w:pPr>
        <w:pStyle w:val="TOC2"/>
        <w:rPr>
          <w:rFonts w:asciiTheme="minorHAnsi" w:eastAsiaTheme="minorEastAsia" w:hAnsiTheme="minorHAnsi" w:cstheme="minorBidi"/>
          <w:b w:val="0"/>
          <w:smallCaps w:val="0"/>
          <w:sz w:val="22"/>
          <w:lang w:eastAsia="hr-HR"/>
        </w:rPr>
      </w:pPr>
      <w:hyperlink w:anchor="_Toc30677685" w:history="1">
        <w:r w:rsidRPr="00042033">
          <w:rPr>
            <w:rStyle w:val="Hyperlink"/>
            <w:rFonts w:ascii="Times New Roman" w:hAnsi="Times New Roman"/>
          </w:rPr>
          <w:t>3.9.</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Detaljne informacije o sekuritizacijama (SEC DETALJNIJI PODACI)</w:t>
        </w:r>
        <w:r>
          <w:rPr>
            <w:webHidden/>
          </w:rPr>
          <w:tab/>
        </w:r>
        <w:r>
          <w:rPr>
            <w:webHidden/>
          </w:rPr>
          <w:fldChar w:fldCharType="begin"/>
        </w:r>
        <w:r>
          <w:rPr>
            <w:webHidden/>
          </w:rPr>
          <w:instrText xml:space="preserve"> PAGEREF _Toc30677685 \h </w:instrText>
        </w:r>
        <w:r>
          <w:rPr>
            <w:webHidden/>
          </w:rPr>
        </w:r>
        <w:r>
          <w:rPr>
            <w:webHidden/>
          </w:rPr>
          <w:fldChar w:fldCharType="separate"/>
        </w:r>
        <w:r>
          <w:rPr>
            <w:webHidden/>
          </w:rPr>
          <w:t>132</w:t>
        </w:r>
        <w:r>
          <w:rPr>
            <w:webHidden/>
          </w:rPr>
          <w:fldChar w:fldCharType="end"/>
        </w:r>
      </w:hyperlink>
    </w:p>
    <w:p w14:paraId="2EB19D10" w14:textId="205AA9AD" w:rsidR="0039290F" w:rsidRDefault="0039290F">
      <w:pPr>
        <w:pStyle w:val="TOC2"/>
        <w:rPr>
          <w:rFonts w:asciiTheme="minorHAnsi" w:eastAsiaTheme="minorEastAsia" w:hAnsiTheme="minorHAnsi" w:cstheme="minorBidi"/>
          <w:b w:val="0"/>
          <w:smallCaps w:val="0"/>
          <w:sz w:val="22"/>
          <w:lang w:eastAsia="hr-HR"/>
        </w:rPr>
      </w:pPr>
      <w:hyperlink w:anchor="_Toc30677686" w:history="1">
        <w:r w:rsidRPr="00042033">
          <w:rPr>
            <w:rStyle w:val="Hyperlink"/>
            <w:rFonts w:ascii="Times New Roman" w:hAnsi="Times New Roman"/>
          </w:rPr>
          <w:t>3.9.1.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Opseg obrasca SEC DETAILS</w:t>
        </w:r>
        <w:r>
          <w:rPr>
            <w:webHidden/>
          </w:rPr>
          <w:tab/>
        </w:r>
        <w:r>
          <w:rPr>
            <w:webHidden/>
          </w:rPr>
          <w:fldChar w:fldCharType="begin"/>
        </w:r>
        <w:r>
          <w:rPr>
            <w:webHidden/>
          </w:rPr>
          <w:instrText xml:space="preserve"> PAGEREF _Toc30677686 \h </w:instrText>
        </w:r>
        <w:r>
          <w:rPr>
            <w:webHidden/>
          </w:rPr>
        </w:r>
        <w:r>
          <w:rPr>
            <w:webHidden/>
          </w:rPr>
          <w:fldChar w:fldCharType="separate"/>
        </w:r>
        <w:r>
          <w:rPr>
            <w:webHidden/>
          </w:rPr>
          <w:t>132</w:t>
        </w:r>
        <w:r>
          <w:rPr>
            <w:webHidden/>
          </w:rPr>
          <w:fldChar w:fldCharType="end"/>
        </w:r>
      </w:hyperlink>
    </w:p>
    <w:p w14:paraId="6EE34880" w14:textId="30C45304" w:rsidR="0039290F" w:rsidRDefault="0039290F">
      <w:pPr>
        <w:pStyle w:val="TOC2"/>
        <w:rPr>
          <w:rFonts w:asciiTheme="minorHAnsi" w:eastAsiaTheme="minorEastAsia" w:hAnsiTheme="minorHAnsi" w:cstheme="minorBidi"/>
          <w:b w:val="0"/>
          <w:smallCaps w:val="0"/>
          <w:sz w:val="22"/>
          <w:lang w:eastAsia="hr-HR"/>
        </w:rPr>
      </w:pPr>
      <w:hyperlink w:anchor="_Toc30677687" w:history="1">
        <w:r w:rsidRPr="00042033">
          <w:rPr>
            <w:rStyle w:val="Hyperlink"/>
            <w:rFonts w:ascii="Times New Roman" w:hAnsi="Times New Roman"/>
          </w:rPr>
          <w:t>3.9.2</w:t>
        </w:r>
        <w:r>
          <w:rPr>
            <w:rStyle w:val="Hyperlink"/>
            <w:rFonts w:ascii="Times New Roman" w:hAnsi="Times New Roman"/>
          </w:rPr>
          <w:t>.</w:t>
        </w:r>
        <w:r w:rsidRPr="00042033">
          <w:rPr>
            <w:rStyle w:val="Hyperlink"/>
            <w:rFonts w:ascii="Times New Roman" w:hAnsi="Times New Roman"/>
          </w:rPr>
          <w:t xml:space="preserve"> Raščlamba obrasca SEC DETALJNIJI PODACI</w:t>
        </w:r>
        <w:r>
          <w:rPr>
            <w:webHidden/>
          </w:rPr>
          <w:tab/>
        </w:r>
        <w:r>
          <w:rPr>
            <w:webHidden/>
          </w:rPr>
          <w:fldChar w:fldCharType="begin"/>
        </w:r>
        <w:r>
          <w:rPr>
            <w:webHidden/>
          </w:rPr>
          <w:instrText xml:space="preserve"> PAGEREF _Toc30677687 \h </w:instrText>
        </w:r>
        <w:r>
          <w:rPr>
            <w:webHidden/>
          </w:rPr>
        </w:r>
        <w:r>
          <w:rPr>
            <w:webHidden/>
          </w:rPr>
          <w:fldChar w:fldCharType="separate"/>
        </w:r>
        <w:r>
          <w:rPr>
            <w:webHidden/>
          </w:rPr>
          <w:t>133</w:t>
        </w:r>
        <w:r>
          <w:rPr>
            <w:webHidden/>
          </w:rPr>
          <w:fldChar w:fldCharType="end"/>
        </w:r>
      </w:hyperlink>
    </w:p>
    <w:p w14:paraId="2061409A" w14:textId="76F140D9" w:rsidR="0039290F" w:rsidRDefault="0039290F">
      <w:pPr>
        <w:pStyle w:val="TOC2"/>
        <w:rPr>
          <w:rFonts w:asciiTheme="minorHAnsi" w:eastAsiaTheme="minorEastAsia" w:hAnsiTheme="minorHAnsi" w:cstheme="minorBidi"/>
          <w:b w:val="0"/>
          <w:smallCaps w:val="0"/>
          <w:sz w:val="22"/>
          <w:lang w:eastAsia="hr-HR"/>
        </w:rPr>
      </w:pPr>
      <w:hyperlink w:anchor="_Toc30677688" w:history="1">
        <w:r w:rsidRPr="00042033">
          <w:rPr>
            <w:rStyle w:val="Hyperlink"/>
            <w:rFonts w:ascii="Times New Roman" w:hAnsi="Times New Roman"/>
          </w:rPr>
          <w:t>3.9.3</w:t>
        </w:r>
        <w:r>
          <w:rPr>
            <w:rStyle w:val="Hyperlink"/>
            <w:rFonts w:ascii="Times New Roman" w:hAnsi="Times New Roman"/>
          </w:rPr>
          <w:t>.</w:t>
        </w:r>
        <w:r w:rsidRPr="00042033">
          <w:rPr>
            <w:rStyle w:val="Hyperlink"/>
            <w:rFonts w:ascii="Times New Roman" w:hAnsi="Times New Roman"/>
          </w:rPr>
          <w:t xml:space="preserve"> C 14.00 – Detaljne informacije o sekuritizacijama (SEC DETALJNIJI PODACI)</w:t>
        </w:r>
        <w:r>
          <w:rPr>
            <w:webHidden/>
          </w:rPr>
          <w:tab/>
        </w:r>
        <w:r>
          <w:rPr>
            <w:webHidden/>
          </w:rPr>
          <w:fldChar w:fldCharType="begin"/>
        </w:r>
        <w:r>
          <w:rPr>
            <w:webHidden/>
          </w:rPr>
          <w:instrText xml:space="preserve"> PAGEREF _Toc30677688 \h </w:instrText>
        </w:r>
        <w:r>
          <w:rPr>
            <w:webHidden/>
          </w:rPr>
        </w:r>
        <w:r>
          <w:rPr>
            <w:webHidden/>
          </w:rPr>
          <w:fldChar w:fldCharType="separate"/>
        </w:r>
        <w:r>
          <w:rPr>
            <w:webHidden/>
          </w:rPr>
          <w:t>134</w:t>
        </w:r>
        <w:r>
          <w:rPr>
            <w:webHidden/>
          </w:rPr>
          <w:fldChar w:fldCharType="end"/>
        </w:r>
      </w:hyperlink>
    </w:p>
    <w:p w14:paraId="4DF80F37" w14:textId="21A36373" w:rsidR="0039290F" w:rsidRDefault="0039290F">
      <w:pPr>
        <w:pStyle w:val="TOC2"/>
        <w:rPr>
          <w:rFonts w:asciiTheme="minorHAnsi" w:eastAsiaTheme="minorEastAsia" w:hAnsiTheme="minorHAnsi" w:cstheme="minorBidi"/>
          <w:b w:val="0"/>
          <w:smallCaps w:val="0"/>
          <w:sz w:val="22"/>
          <w:lang w:eastAsia="hr-HR"/>
        </w:rPr>
      </w:pPr>
      <w:hyperlink w:anchor="_Toc30677689" w:history="1">
        <w:r w:rsidRPr="00042033">
          <w:rPr>
            <w:rStyle w:val="Hyperlink"/>
            <w:rFonts w:ascii="Times New Roman" w:hAnsi="Times New Roman"/>
          </w:rPr>
          <w:t>3.9.4.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14.01 – Detaljne informacije o sekuritizacijama (SEC DETALJNIJI PODACI 2)</w:t>
        </w:r>
        <w:r>
          <w:rPr>
            <w:webHidden/>
          </w:rPr>
          <w:tab/>
        </w:r>
        <w:r>
          <w:rPr>
            <w:webHidden/>
          </w:rPr>
          <w:fldChar w:fldCharType="begin"/>
        </w:r>
        <w:r>
          <w:rPr>
            <w:webHidden/>
          </w:rPr>
          <w:instrText xml:space="preserve"> PAGEREF _Toc30677689 \h </w:instrText>
        </w:r>
        <w:r>
          <w:rPr>
            <w:webHidden/>
          </w:rPr>
        </w:r>
        <w:r>
          <w:rPr>
            <w:webHidden/>
          </w:rPr>
          <w:fldChar w:fldCharType="separate"/>
        </w:r>
        <w:r>
          <w:rPr>
            <w:webHidden/>
          </w:rPr>
          <w:t>146</w:t>
        </w:r>
        <w:r>
          <w:rPr>
            <w:webHidden/>
          </w:rPr>
          <w:fldChar w:fldCharType="end"/>
        </w:r>
      </w:hyperlink>
    </w:p>
    <w:p w14:paraId="406C7E75" w14:textId="465EA283" w:rsidR="0039290F" w:rsidRDefault="0039290F">
      <w:pPr>
        <w:pStyle w:val="TOC2"/>
        <w:rPr>
          <w:rFonts w:asciiTheme="minorHAnsi" w:eastAsiaTheme="minorEastAsia" w:hAnsiTheme="minorHAnsi" w:cstheme="minorBidi"/>
          <w:b w:val="0"/>
          <w:smallCaps w:val="0"/>
          <w:sz w:val="22"/>
          <w:lang w:eastAsia="hr-HR"/>
        </w:rPr>
      </w:pPr>
      <w:hyperlink w:anchor="_Toc30677690" w:history="1">
        <w:r w:rsidRPr="00042033">
          <w:rPr>
            <w:rStyle w:val="Hyperlink"/>
            <w:rFonts w:ascii="Times New Roman" w:hAnsi="Times New Roman"/>
          </w:rPr>
          <w:t>4</w:t>
        </w:r>
        <w:r>
          <w:rPr>
            <w:rStyle w:val="Hyperlink"/>
            <w:rFonts w:ascii="Times New Roman" w:hAnsi="Times New Roman"/>
          </w:rPr>
          <w:t>.</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Obrasci za operativni rizik</w:t>
        </w:r>
        <w:r>
          <w:rPr>
            <w:webHidden/>
          </w:rPr>
          <w:tab/>
        </w:r>
        <w:r>
          <w:rPr>
            <w:webHidden/>
          </w:rPr>
          <w:fldChar w:fldCharType="begin"/>
        </w:r>
        <w:r>
          <w:rPr>
            <w:webHidden/>
          </w:rPr>
          <w:instrText xml:space="preserve"> PAGEREF _Toc30677690 \h </w:instrText>
        </w:r>
        <w:r>
          <w:rPr>
            <w:webHidden/>
          </w:rPr>
        </w:r>
        <w:r>
          <w:rPr>
            <w:webHidden/>
          </w:rPr>
          <w:fldChar w:fldCharType="separate"/>
        </w:r>
        <w:r>
          <w:rPr>
            <w:webHidden/>
          </w:rPr>
          <w:t>150</w:t>
        </w:r>
        <w:r>
          <w:rPr>
            <w:webHidden/>
          </w:rPr>
          <w:fldChar w:fldCharType="end"/>
        </w:r>
      </w:hyperlink>
    </w:p>
    <w:p w14:paraId="1D3C214D" w14:textId="26DE7321" w:rsidR="0039290F" w:rsidRDefault="0039290F">
      <w:pPr>
        <w:pStyle w:val="TOC2"/>
        <w:rPr>
          <w:rFonts w:asciiTheme="minorHAnsi" w:eastAsiaTheme="minorEastAsia" w:hAnsiTheme="minorHAnsi" w:cstheme="minorBidi"/>
          <w:b w:val="0"/>
          <w:smallCaps w:val="0"/>
          <w:sz w:val="22"/>
          <w:lang w:eastAsia="hr-HR"/>
        </w:rPr>
      </w:pPr>
      <w:hyperlink w:anchor="_Toc30677691" w:history="1">
        <w:r w:rsidRPr="00042033">
          <w:rPr>
            <w:rStyle w:val="Hyperlink"/>
            <w:rFonts w:ascii="Times New Roman" w:hAnsi="Times New Roman"/>
          </w:rPr>
          <w:t>4.1</w:t>
        </w:r>
        <w:r>
          <w:rPr>
            <w:rStyle w:val="Hyperlink"/>
            <w:rFonts w:ascii="Times New Roman" w:hAnsi="Times New Roman"/>
          </w:rPr>
          <w:t>.</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 xml:space="preserve"> C 16.00 – Operativni rizik (OPR)</w:t>
        </w:r>
        <w:r>
          <w:rPr>
            <w:webHidden/>
          </w:rPr>
          <w:tab/>
        </w:r>
        <w:r>
          <w:rPr>
            <w:webHidden/>
          </w:rPr>
          <w:fldChar w:fldCharType="begin"/>
        </w:r>
        <w:r>
          <w:rPr>
            <w:webHidden/>
          </w:rPr>
          <w:instrText xml:space="preserve"> PAGEREF _Toc30677691 \h </w:instrText>
        </w:r>
        <w:r>
          <w:rPr>
            <w:webHidden/>
          </w:rPr>
        </w:r>
        <w:r>
          <w:rPr>
            <w:webHidden/>
          </w:rPr>
          <w:fldChar w:fldCharType="separate"/>
        </w:r>
        <w:r>
          <w:rPr>
            <w:webHidden/>
          </w:rPr>
          <w:t>150</w:t>
        </w:r>
        <w:r>
          <w:rPr>
            <w:webHidden/>
          </w:rPr>
          <w:fldChar w:fldCharType="end"/>
        </w:r>
      </w:hyperlink>
    </w:p>
    <w:p w14:paraId="26D655CD" w14:textId="1E8C9772" w:rsidR="0039290F" w:rsidRDefault="0039290F">
      <w:pPr>
        <w:pStyle w:val="TOC2"/>
        <w:rPr>
          <w:rFonts w:asciiTheme="minorHAnsi" w:eastAsiaTheme="minorEastAsia" w:hAnsiTheme="minorHAnsi" w:cstheme="minorBidi"/>
          <w:b w:val="0"/>
          <w:smallCaps w:val="0"/>
          <w:sz w:val="22"/>
          <w:lang w:eastAsia="hr-HR"/>
        </w:rPr>
      </w:pPr>
      <w:hyperlink w:anchor="_Toc30677692" w:history="1">
        <w:r w:rsidRPr="00042033">
          <w:rPr>
            <w:rStyle w:val="Hyperlink"/>
            <w:rFonts w:ascii="Times New Roman" w:hAnsi="Times New Roman"/>
          </w:rPr>
          <w:t>4.1.1</w:t>
        </w:r>
        <w:r>
          <w:rPr>
            <w:rStyle w:val="Hyperlink"/>
            <w:rFonts w:ascii="Times New Roman" w:hAnsi="Times New Roman"/>
          </w:rPr>
          <w:t>.</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_Toc30677692 \h </w:instrText>
        </w:r>
        <w:r>
          <w:rPr>
            <w:webHidden/>
          </w:rPr>
        </w:r>
        <w:r>
          <w:rPr>
            <w:webHidden/>
          </w:rPr>
          <w:fldChar w:fldCharType="separate"/>
        </w:r>
        <w:r>
          <w:rPr>
            <w:webHidden/>
          </w:rPr>
          <w:t>150</w:t>
        </w:r>
        <w:r>
          <w:rPr>
            <w:webHidden/>
          </w:rPr>
          <w:fldChar w:fldCharType="end"/>
        </w:r>
      </w:hyperlink>
    </w:p>
    <w:p w14:paraId="07A65040" w14:textId="7EC62920" w:rsidR="0039290F" w:rsidRDefault="0039290F">
      <w:pPr>
        <w:pStyle w:val="TOC2"/>
        <w:rPr>
          <w:rFonts w:asciiTheme="minorHAnsi" w:eastAsiaTheme="minorEastAsia" w:hAnsiTheme="minorHAnsi" w:cstheme="minorBidi"/>
          <w:b w:val="0"/>
          <w:smallCaps w:val="0"/>
          <w:sz w:val="22"/>
          <w:lang w:eastAsia="hr-HR"/>
        </w:rPr>
      </w:pPr>
      <w:hyperlink w:anchor="_Toc30677693" w:history="1">
        <w:r w:rsidRPr="00042033">
          <w:rPr>
            <w:rStyle w:val="Hyperlink"/>
            <w:rFonts w:ascii="Times New Roman" w:hAnsi="Times New Roman"/>
          </w:rPr>
          <w:t>4.1.2.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_Toc30677693 \h </w:instrText>
        </w:r>
        <w:r>
          <w:rPr>
            <w:webHidden/>
          </w:rPr>
        </w:r>
        <w:r>
          <w:rPr>
            <w:webHidden/>
          </w:rPr>
          <w:fldChar w:fldCharType="separate"/>
        </w:r>
        <w:r>
          <w:rPr>
            <w:webHidden/>
          </w:rPr>
          <w:t>151</w:t>
        </w:r>
        <w:r>
          <w:rPr>
            <w:webHidden/>
          </w:rPr>
          <w:fldChar w:fldCharType="end"/>
        </w:r>
      </w:hyperlink>
    </w:p>
    <w:p w14:paraId="12615243" w14:textId="32481B3E" w:rsidR="0039290F" w:rsidRDefault="0039290F">
      <w:pPr>
        <w:pStyle w:val="TOC2"/>
        <w:rPr>
          <w:rFonts w:asciiTheme="minorHAnsi" w:eastAsiaTheme="minorEastAsia" w:hAnsiTheme="minorHAnsi" w:cstheme="minorBidi"/>
          <w:b w:val="0"/>
          <w:smallCaps w:val="0"/>
          <w:sz w:val="22"/>
          <w:lang w:eastAsia="hr-HR"/>
        </w:rPr>
      </w:pPr>
      <w:hyperlink w:anchor="_Toc30677694" w:history="1">
        <w:r w:rsidRPr="00042033">
          <w:rPr>
            <w:rStyle w:val="Hyperlink"/>
            <w:rFonts w:ascii="Times New Roman" w:hAnsi="Times New Roman"/>
          </w:rPr>
          <w:t>4.2.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Operativni rizik: Detaljne informacije o gubicima iz prethodne godine (OPR DETALJNIJI PODACI)</w:t>
        </w:r>
        <w:r>
          <w:rPr>
            <w:webHidden/>
          </w:rPr>
          <w:tab/>
        </w:r>
        <w:r>
          <w:rPr>
            <w:webHidden/>
          </w:rPr>
          <w:fldChar w:fldCharType="begin"/>
        </w:r>
        <w:r>
          <w:rPr>
            <w:webHidden/>
          </w:rPr>
          <w:instrText xml:space="preserve"> PAGEREF _Toc30677694 \h </w:instrText>
        </w:r>
        <w:r>
          <w:rPr>
            <w:webHidden/>
          </w:rPr>
        </w:r>
        <w:r>
          <w:rPr>
            <w:webHidden/>
          </w:rPr>
          <w:fldChar w:fldCharType="separate"/>
        </w:r>
        <w:r>
          <w:rPr>
            <w:webHidden/>
          </w:rPr>
          <w:t>154</w:t>
        </w:r>
        <w:r>
          <w:rPr>
            <w:webHidden/>
          </w:rPr>
          <w:fldChar w:fldCharType="end"/>
        </w:r>
      </w:hyperlink>
    </w:p>
    <w:p w14:paraId="3A9D91DB" w14:textId="3FA3BCA4" w:rsidR="0039290F" w:rsidRDefault="0039290F">
      <w:pPr>
        <w:pStyle w:val="TOC2"/>
        <w:rPr>
          <w:rFonts w:asciiTheme="minorHAnsi" w:eastAsiaTheme="minorEastAsia" w:hAnsiTheme="minorHAnsi" w:cstheme="minorBidi"/>
          <w:b w:val="0"/>
          <w:smallCaps w:val="0"/>
          <w:sz w:val="22"/>
          <w:lang w:eastAsia="hr-HR"/>
        </w:rPr>
      </w:pPr>
      <w:hyperlink w:anchor="_Toc30677695" w:history="1">
        <w:r w:rsidRPr="00042033">
          <w:rPr>
            <w:rStyle w:val="Hyperlink"/>
            <w:rFonts w:ascii="Times New Roman" w:hAnsi="Times New Roman"/>
          </w:rPr>
          <w:t>4.2.1.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_Toc30677695 \h </w:instrText>
        </w:r>
        <w:r>
          <w:rPr>
            <w:webHidden/>
          </w:rPr>
        </w:r>
        <w:r>
          <w:rPr>
            <w:webHidden/>
          </w:rPr>
          <w:fldChar w:fldCharType="separate"/>
        </w:r>
        <w:r>
          <w:rPr>
            <w:webHidden/>
          </w:rPr>
          <w:t>154</w:t>
        </w:r>
        <w:r>
          <w:rPr>
            <w:webHidden/>
          </w:rPr>
          <w:fldChar w:fldCharType="end"/>
        </w:r>
      </w:hyperlink>
    </w:p>
    <w:p w14:paraId="49F15D45" w14:textId="20FC015A" w:rsidR="0039290F" w:rsidRDefault="0039290F">
      <w:pPr>
        <w:pStyle w:val="TOC2"/>
        <w:rPr>
          <w:rFonts w:asciiTheme="minorHAnsi" w:eastAsiaTheme="minorEastAsia" w:hAnsiTheme="minorHAnsi" w:cstheme="minorBidi"/>
          <w:b w:val="0"/>
          <w:smallCaps w:val="0"/>
          <w:sz w:val="22"/>
          <w:lang w:eastAsia="hr-HR"/>
        </w:rPr>
      </w:pPr>
      <w:hyperlink w:anchor="_Toc30677696" w:history="1">
        <w:r w:rsidRPr="00042033">
          <w:rPr>
            <w:rStyle w:val="Hyperlink"/>
            <w:rFonts w:ascii="Times New Roman" w:hAnsi="Times New Roman"/>
          </w:rPr>
          <w:t>4.2.2.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17.01: Operativni rizik: gubici i povrati prema poslovnim linijama i vrstama štetnog događaja u prethodnoj godini (OPR DETALJNIJI PODACI 1)</w:t>
        </w:r>
        <w:r>
          <w:rPr>
            <w:webHidden/>
          </w:rPr>
          <w:tab/>
        </w:r>
        <w:r>
          <w:rPr>
            <w:webHidden/>
          </w:rPr>
          <w:fldChar w:fldCharType="begin"/>
        </w:r>
        <w:r>
          <w:rPr>
            <w:webHidden/>
          </w:rPr>
          <w:instrText xml:space="preserve"> PAGEREF _Toc30677696 \h </w:instrText>
        </w:r>
        <w:r>
          <w:rPr>
            <w:webHidden/>
          </w:rPr>
        </w:r>
        <w:r>
          <w:rPr>
            <w:webHidden/>
          </w:rPr>
          <w:fldChar w:fldCharType="separate"/>
        </w:r>
        <w:r>
          <w:rPr>
            <w:webHidden/>
          </w:rPr>
          <w:t>155</w:t>
        </w:r>
        <w:r>
          <w:rPr>
            <w:webHidden/>
          </w:rPr>
          <w:fldChar w:fldCharType="end"/>
        </w:r>
      </w:hyperlink>
    </w:p>
    <w:p w14:paraId="4B93EA52" w14:textId="190A5412" w:rsidR="0039290F" w:rsidRDefault="0039290F">
      <w:pPr>
        <w:pStyle w:val="TOC2"/>
        <w:rPr>
          <w:rFonts w:asciiTheme="minorHAnsi" w:eastAsiaTheme="minorEastAsia" w:hAnsiTheme="minorHAnsi" w:cstheme="minorBidi"/>
          <w:b w:val="0"/>
          <w:smallCaps w:val="0"/>
          <w:sz w:val="22"/>
          <w:lang w:eastAsia="hr-HR"/>
        </w:rPr>
      </w:pPr>
      <w:hyperlink w:anchor="_Toc30677697" w:history="1">
        <w:r w:rsidRPr="00042033">
          <w:rPr>
            <w:rStyle w:val="Hyperlink"/>
            <w:rFonts w:ascii="Times New Roman" w:hAnsi="Times New Roman"/>
          </w:rPr>
          <w:t>4.2.2.1.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_Toc30677697 \h </w:instrText>
        </w:r>
        <w:r>
          <w:rPr>
            <w:webHidden/>
          </w:rPr>
        </w:r>
        <w:r>
          <w:rPr>
            <w:webHidden/>
          </w:rPr>
          <w:fldChar w:fldCharType="separate"/>
        </w:r>
        <w:r>
          <w:rPr>
            <w:webHidden/>
          </w:rPr>
          <w:t>155</w:t>
        </w:r>
        <w:r>
          <w:rPr>
            <w:webHidden/>
          </w:rPr>
          <w:fldChar w:fldCharType="end"/>
        </w:r>
      </w:hyperlink>
    </w:p>
    <w:p w14:paraId="049125DB" w14:textId="4AA352EE" w:rsidR="0039290F" w:rsidRDefault="0039290F">
      <w:pPr>
        <w:pStyle w:val="TOC2"/>
        <w:rPr>
          <w:rFonts w:asciiTheme="minorHAnsi" w:eastAsiaTheme="minorEastAsia" w:hAnsiTheme="minorHAnsi" w:cstheme="minorBidi"/>
          <w:b w:val="0"/>
          <w:smallCaps w:val="0"/>
          <w:sz w:val="22"/>
          <w:lang w:eastAsia="hr-HR"/>
        </w:rPr>
      </w:pPr>
      <w:hyperlink w:anchor="_Toc30677698" w:history="1">
        <w:r w:rsidRPr="00042033">
          <w:rPr>
            <w:rStyle w:val="Hyperlink"/>
            <w:rFonts w:ascii="Times New Roman" w:hAnsi="Times New Roman"/>
          </w:rPr>
          <w:t>4.2.2.2.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_Toc30677698 \h </w:instrText>
        </w:r>
        <w:r>
          <w:rPr>
            <w:webHidden/>
          </w:rPr>
        </w:r>
        <w:r>
          <w:rPr>
            <w:webHidden/>
          </w:rPr>
          <w:fldChar w:fldCharType="separate"/>
        </w:r>
        <w:r>
          <w:rPr>
            <w:webHidden/>
          </w:rPr>
          <w:t>156</w:t>
        </w:r>
        <w:r>
          <w:rPr>
            <w:webHidden/>
          </w:rPr>
          <w:fldChar w:fldCharType="end"/>
        </w:r>
      </w:hyperlink>
    </w:p>
    <w:p w14:paraId="4F6602C6" w14:textId="4D32170D" w:rsidR="0039290F" w:rsidRDefault="0039290F">
      <w:pPr>
        <w:pStyle w:val="TOC2"/>
        <w:rPr>
          <w:rFonts w:asciiTheme="minorHAnsi" w:eastAsiaTheme="minorEastAsia" w:hAnsiTheme="minorHAnsi" w:cstheme="minorBidi"/>
          <w:b w:val="0"/>
          <w:smallCaps w:val="0"/>
          <w:sz w:val="22"/>
          <w:lang w:eastAsia="hr-HR"/>
        </w:rPr>
      </w:pPr>
      <w:hyperlink w:anchor="_Toc30677699" w:history="1">
        <w:r w:rsidRPr="00042033">
          <w:rPr>
            <w:rStyle w:val="Hyperlink"/>
            <w:rFonts w:ascii="Times New Roman" w:hAnsi="Times New Roman"/>
          </w:rPr>
          <w:t>4.2.3.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17.02: Operativni rizik: Detaljne informacije o najvećim štetnim događajima iz prethodne godine (OPR DETALJNIJI PODACI 2)</w:t>
        </w:r>
        <w:r>
          <w:rPr>
            <w:webHidden/>
          </w:rPr>
          <w:tab/>
        </w:r>
        <w:r>
          <w:rPr>
            <w:webHidden/>
          </w:rPr>
          <w:fldChar w:fldCharType="begin"/>
        </w:r>
        <w:r>
          <w:rPr>
            <w:webHidden/>
          </w:rPr>
          <w:instrText xml:space="preserve"> PAGEREF _Toc30677699 \h </w:instrText>
        </w:r>
        <w:r>
          <w:rPr>
            <w:webHidden/>
          </w:rPr>
        </w:r>
        <w:r>
          <w:rPr>
            <w:webHidden/>
          </w:rPr>
          <w:fldChar w:fldCharType="separate"/>
        </w:r>
        <w:r>
          <w:rPr>
            <w:webHidden/>
          </w:rPr>
          <w:t>162</w:t>
        </w:r>
        <w:r>
          <w:rPr>
            <w:webHidden/>
          </w:rPr>
          <w:fldChar w:fldCharType="end"/>
        </w:r>
      </w:hyperlink>
    </w:p>
    <w:p w14:paraId="178532F5" w14:textId="38B310E0" w:rsidR="0039290F" w:rsidRDefault="0039290F">
      <w:pPr>
        <w:pStyle w:val="TOC2"/>
        <w:rPr>
          <w:rFonts w:asciiTheme="minorHAnsi" w:eastAsiaTheme="minorEastAsia" w:hAnsiTheme="minorHAnsi" w:cstheme="minorBidi"/>
          <w:b w:val="0"/>
          <w:smallCaps w:val="0"/>
          <w:sz w:val="22"/>
          <w:lang w:eastAsia="hr-HR"/>
        </w:rPr>
      </w:pPr>
      <w:hyperlink w:anchor="_Toc30677700" w:history="1">
        <w:r w:rsidRPr="00042033">
          <w:rPr>
            <w:rStyle w:val="Hyperlink"/>
            <w:rFonts w:ascii="Times New Roman" w:hAnsi="Times New Roman"/>
          </w:rPr>
          <w:t>4.2.3.1.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_Toc30677700 \h </w:instrText>
        </w:r>
        <w:r>
          <w:rPr>
            <w:webHidden/>
          </w:rPr>
        </w:r>
        <w:r>
          <w:rPr>
            <w:webHidden/>
          </w:rPr>
          <w:fldChar w:fldCharType="separate"/>
        </w:r>
        <w:r>
          <w:rPr>
            <w:webHidden/>
          </w:rPr>
          <w:t>162</w:t>
        </w:r>
        <w:r>
          <w:rPr>
            <w:webHidden/>
          </w:rPr>
          <w:fldChar w:fldCharType="end"/>
        </w:r>
      </w:hyperlink>
    </w:p>
    <w:p w14:paraId="6C00B05A" w14:textId="16C2E784" w:rsidR="0039290F" w:rsidRDefault="0039290F">
      <w:pPr>
        <w:pStyle w:val="TOC2"/>
        <w:rPr>
          <w:rFonts w:asciiTheme="minorHAnsi" w:eastAsiaTheme="minorEastAsia" w:hAnsiTheme="minorHAnsi" w:cstheme="minorBidi"/>
          <w:b w:val="0"/>
          <w:smallCaps w:val="0"/>
          <w:sz w:val="22"/>
          <w:lang w:eastAsia="hr-HR"/>
        </w:rPr>
      </w:pPr>
      <w:hyperlink w:anchor="_Toc30677701" w:history="1">
        <w:r w:rsidRPr="00042033">
          <w:rPr>
            <w:rStyle w:val="Hyperlink"/>
            <w:rFonts w:ascii="Times New Roman" w:hAnsi="Times New Roman"/>
          </w:rPr>
          <w:t>4.2.3.2.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_Toc30677701 \h </w:instrText>
        </w:r>
        <w:r>
          <w:rPr>
            <w:webHidden/>
          </w:rPr>
        </w:r>
        <w:r>
          <w:rPr>
            <w:webHidden/>
          </w:rPr>
          <w:fldChar w:fldCharType="separate"/>
        </w:r>
        <w:r>
          <w:rPr>
            <w:webHidden/>
          </w:rPr>
          <w:t>163</w:t>
        </w:r>
        <w:r>
          <w:rPr>
            <w:webHidden/>
          </w:rPr>
          <w:fldChar w:fldCharType="end"/>
        </w:r>
      </w:hyperlink>
    </w:p>
    <w:p w14:paraId="717A543E" w14:textId="3CCF55A3" w:rsidR="0039290F" w:rsidRDefault="0039290F">
      <w:pPr>
        <w:pStyle w:val="TOC2"/>
        <w:rPr>
          <w:rFonts w:asciiTheme="minorHAnsi" w:eastAsiaTheme="minorEastAsia" w:hAnsiTheme="minorHAnsi" w:cstheme="minorBidi"/>
          <w:b w:val="0"/>
          <w:smallCaps w:val="0"/>
          <w:sz w:val="22"/>
          <w:lang w:eastAsia="hr-HR"/>
        </w:rPr>
      </w:pPr>
      <w:hyperlink w:anchor="_Toc30677702" w:history="1">
        <w:r w:rsidRPr="00042033">
          <w:rPr>
            <w:rStyle w:val="Hyperlink"/>
            <w:rFonts w:ascii="Times New Roman" w:hAnsi="Times New Roman"/>
          </w:rPr>
          <w:t>5.</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Obrasci za tržišni rizik</w:t>
        </w:r>
        <w:r>
          <w:rPr>
            <w:webHidden/>
          </w:rPr>
          <w:tab/>
        </w:r>
        <w:r>
          <w:rPr>
            <w:webHidden/>
          </w:rPr>
          <w:fldChar w:fldCharType="begin"/>
        </w:r>
        <w:r>
          <w:rPr>
            <w:webHidden/>
          </w:rPr>
          <w:instrText xml:space="preserve"> PAGEREF _Toc30677702 \h </w:instrText>
        </w:r>
        <w:r>
          <w:rPr>
            <w:webHidden/>
          </w:rPr>
        </w:r>
        <w:r>
          <w:rPr>
            <w:webHidden/>
          </w:rPr>
          <w:fldChar w:fldCharType="separate"/>
        </w:r>
        <w:r>
          <w:rPr>
            <w:webHidden/>
          </w:rPr>
          <w:t>165</w:t>
        </w:r>
        <w:r>
          <w:rPr>
            <w:webHidden/>
          </w:rPr>
          <w:fldChar w:fldCharType="end"/>
        </w:r>
      </w:hyperlink>
    </w:p>
    <w:p w14:paraId="7CFECFEC" w14:textId="2D9D16BD" w:rsidR="0039290F" w:rsidRDefault="0039290F">
      <w:pPr>
        <w:pStyle w:val="TOC2"/>
        <w:rPr>
          <w:rFonts w:asciiTheme="minorHAnsi" w:eastAsiaTheme="minorEastAsia" w:hAnsiTheme="minorHAnsi" w:cstheme="minorBidi"/>
          <w:b w:val="0"/>
          <w:smallCaps w:val="0"/>
          <w:sz w:val="22"/>
          <w:lang w:eastAsia="hr-HR"/>
        </w:rPr>
      </w:pPr>
      <w:hyperlink w:anchor="_Toc30677703" w:history="1">
        <w:r w:rsidRPr="00042033">
          <w:rPr>
            <w:rStyle w:val="Hyperlink"/>
            <w:rFonts w:ascii="Times New Roman" w:hAnsi="Times New Roman"/>
          </w:rPr>
          <w:t>5.1.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18.00 – Tržišni rizik: standardizirani pristup pozicijskim rizicima dužničkih instrumenata kojima se trguje (MKR SA TDI)</w:t>
        </w:r>
        <w:r>
          <w:rPr>
            <w:webHidden/>
          </w:rPr>
          <w:tab/>
        </w:r>
        <w:r>
          <w:rPr>
            <w:webHidden/>
          </w:rPr>
          <w:fldChar w:fldCharType="begin"/>
        </w:r>
        <w:r>
          <w:rPr>
            <w:webHidden/>
          </w:rPr>
          <w:instrText xml:space="preserve"> PAGEREF _Toc30677703 \h </w:instrText>
        </w:r>
        <w:r>
          <w:rPr>
            <w:webHidden/>
          </w:rPr>
        </w:r>
        <w:r>
          <w:rPr>
            <w:webHidden/>
          </w:rPr>
          <w:fldChar w:fldCharType="separate"/>
        </w:r>
        <w:r>
          <w:rPr>
            <w:webHidden/>
          </w:rPr>
          <w:t>165</w:t>
        </w:r>
        <w:r>
          <w:rPr>
            <w:webHidden/>
          </w:rPr>
          <w:fldChar w:fldCharType="end"/>
        </w:r>
      </w:hyperlink>
    </w:p>
    <w:p w14:paraId="567B853F" w14:textId="1E50E61D" w:rsidR="0039290F" w:rsidRDefault="0039290F">
      <w:pPr>
        <w:pStyle w:val="TOC2"/>
        <w:rPr>
          <w:rFonts w:asciiTheme="minorHAnsi" w:eastAsiaTheme="minorEastAsia" w:hAnsiTheme="minorHAnsi" w:cstheme="minorBidi"/>
          <w:b w:val="0"/>
          <w:smallCaps w:val="0"/>
          <w:sz w:val="22"/>
          <w:lang w:eastAsia="hr-HR"/>
        </w:rPr>
      </w:pPr>
      <w:hyperlink w:anchor="_Toc30677704" w:history="1">
        <w:r w:rsidRPr="00042033">
          <w:rPr>
            <w:rStyle w:val="Hyperlink"/>
            <w:rFonts w:ascii="Times New Roman" w:hAnsi="Times New Roman"/>
          </w:rPr>
          <w:t>5.1.1.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_Toc30677704 \h </w:instrText>
        </w:r>
        <w:r>
          <w:rPr>
            <w:webHidden/>
          </w:rPr>
        </w:r>
        <w:r>
          <w:rPr>
            <w:webHidden/>
          </w:rPr>
          <w:fldChar w:fldCharType="separate"/>
        </w:r>
        <w:r>
          <w:rPr>
            <w:webHidden/>
          </w:rPr>
          <w:t>165</w:t>
        </w:r>
        <w:r>
          <w:rPr>
            <w:webHidden/>
          </w:rPr>
          <w:fldChar w:fldCharType="end"/>
        </w:r>
      </w:hyperlink>
    </w:p>
    <w:p w14:paraId="5BB3AD1C" w14:textId="3677A754" w:rsidR="0039290F" w:rsidRDefault="0039290F">
      <w:pPr>
        <w:pStyle w:val="TOC2"/>
        <w:rPr>
          <w:rFonts w:asciiTheme="minorHAnsi" w:eastAsiaTheme="minorEastAsia" w:hAnsiTheme="minorHAnsi" w:cstheme="minorBidi"/>
          <w:b w:val="0"/>
          <w:smallCaps w:val="0"/>
          <w:sz w:val="22"/>
          <w:lang w:eastAsia="hr-HR"/>
        </w:rPr>
      </w:pPr>
      <w:hyperlink w:anchor="_Toc30677705" w:history="1">
        <w:r w:rsidRPr="00042033">
          <w:rPr>
            <w:rStyle w:val="Hyperlink"/>
            <w:rFonts w:ascii="Times New Roman" w:hAnsi="Times New Roman"/>
          </w:rPr>
          <w:t>5.1.2.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_Toc30677705 \h </w:instrText>
        </w:r>
        <w:r>
          <w:rPr>
            <w:webHidden/>
          </w:rPr>
        </w:r>
        <w:r>
          <w:rPr>
            <w:webHidden/>
          </w:rPr>
          <w:fldChar w:fldCharType="separate"/>
        </w:r>
        <w:r>
          <w:rPr>
            <w:webHidden/>
          </w:rPr>
          <w:t>165</w:t>
        </w:r>
        <w:r>
          <w:rPr>
            <w:webHidden/>
          </w:rPr>
          <w:fldChar w:fldCharType="end"/>
        </w:r>
      </w:hyperlink>
    </w:p>
    <w:p w14:paraId="1704E23E" w14:textId="01E94595" w:rsidR="0039290F" w:rsidRDefault="0039290F">
      <w:pPr>
        <w:pStyle w:val="TOC2"/>
        <w:rPr>
          <w:rFonts w:asciiTheme="minorHAnsi" w:eastAsiaTheme="minorEastAsia" w:hAnsiTheme="minorHAnsi" w:cstheme="minorBidi"/>
          <w:b w:val="0"/>
          <w:smallCaps w:val="0"/>
          <w:sz w:val="22"/>
          <w:lang w:eastAsia="hr-HR"/>
        </w:rPr>
      </w:pPr>
      <w:hyperlink w:anchor="_Toc30677706" w:history="1">
        <w:r w:rsidRPr="00042033">
          <w:rPr>
            <w:rStyle w:val="Hyperlink"/>
            <w:rFonts w:ascii="Times New Roman" w:hAnsi="Times New Roman"/>
          </w:rPr>
          <w:t>5.2.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19.00 – TRŽIŠNI RIZIK: STANDARDIZIRANI PRISTUP SPECIFIČNOM RIZIKU U SEKURITIZACIJAMA (MKR SA SEC)</w:t>
        </w:r>
        <w:r>
          <w:rPr>
            <w:webHidden/>
          </w:rPr>
          <w:tab/>
        </w:r>
        <w:r>
          <w:rPr>
            <w:webHidden/>
          </w:rPr>
          <w:fldChar w:fldCharType="begin"/>
        </w:r>
        <w:r>
          <w:rPr>
            <w:webHidden/>
          </w:rPr>
          <w:instrText xml:space="preserve"> PAGEREF _Toc30677706 \h </w:instrText>
        </w:r>
        <w:r>
          <w:rPr>
            <w:webHidden/>
          </w:rPr>
        </w:r>
        <w:r>
          <w:rPr>
            <w:webHidden/>
          </w:rPr>
          <w:fldChar w:fldCharType="separate"/>
        </w:r>
        <w:r>
          <w:rPr>
            <w:webHidden/>
          </w:rPr>
          <w:t>168</w:t>
        </w:r>
        <w:r>
          <w:rPr>
            <w:webHidden/>
          </w:rPr>
          <w:fldChar w:fldCharType="end"/>
        </w:r>
      </w:hyperlink>
    </w:p>
    <w:p w14:paraId="31681A8C" w14:textId="79621828" w:rsidR="0039290F" w:rsidRDefault="0039290F">
      <w:pPr>
        <w:pStyle w:val="TOC2"/>
        <w:rPr>
          <w:rFonts w:asciiTheme="minorHAnsi" w:eastAsiaTheme="minorEastAsia" w:hAnsiTheme="minorHAnsi" w:cstheme="minorBidi"/>
          <w:b w:val="0"/>
          <w:smallCaps w:val="0"/>
          <w:sz w:val="22"/>
          <w:lang w:eastAsia="hr-HR"/>
        </w:rPr>
      </w:pPr>
      <w:hyperlink w:anchor="_Toc30677707" w:history="1">
        <w:r w:rsidRPr="00042033">
          <w:rPr>
            <w:rStyle w:val="Hyperlink"/>
            <w:rFonts w:ascii="Times New Roman" w:hAnsi="Times New Roman"/>
          </w:rPr>
          <w:t>5.2.1.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_Toc30677707 \h </w:instrText>
        </w:r>
        <w:r>
          <w:rPr>
            <w:webHidden/>
          </w:rPr>
        </w:r>
        <w:r>
          <w:rPr>
            <w:webHidden/>
          </w:rPr>
          <w:fldChar w:fldCharType="separate"/>
        </w:r>
        <w:r>
          <w:rPr>
            <w:webHidden/>
          </w:rPr>
          <w:t>168</w:t>
        </w:r>
        <w:r>
          <w:rPr>
            <w:webHidden/>
          </w:rPr>
          <w:fldChar w:fldCharType="end"/>
        </w:r>
      </w:hyperlink>
    </w:p>
    <w:p w14:paraId="01CF4547" w14:textId="2F5E1EB0" w:rsidR="0039290F" w:rsidRDefault="0039290F">
      <w:pPr>
        <w:pStyle w:val="TOC2"/>
        <w:rPr>
          <w:rFonts w:asciiTheme="minorHAnsi" w:eastAsiaTheme="minorEastAsia" w:hAnsiTheme="minorHAnsi" w:cstheme="minorBidi"/>
          <w:b w:val="0"/>
          <w:smallCaps w:val="0"/>
          <w:sz w:val="22"/>
          <w:lang w:eastAsia="hr-HR"/>
        </w:rPr>
      </w:pPr>
      <w:hyperlink w:anchor="_Toc30677708" w:history="1">
        <w:r w:rsidRPr="00042033">
          <w:rPr>
            <w:rStyle w:val="Hyperlink"/>
            <w:rFonts w:ascii="Times New Roman" w:hAnsi="Times New Roman"/>
          </w:rPr>
          <w:t>5.2.2.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_Toc30677708 \h </w:instrText>
        </w:r>
        <w:r>
          <w:rPr>
            <w:webHidden/>
          </w:rPr>
        </w:r>
        <w:r>
          <w:rPr>
            <w:webHidden/>
          </w:rPr>
          <w:fldChar w:fldCharType="separate"/>
        </w:r>
        <w:r>
          <w:rPr>
            <w:webHidden/>
          </w:rPr>
          <w:t>168</w:t>
        </w:r>
        <w:r>
          <w:rPr>
            <w:webHidden/>
          </w:rPr>
          <w:fldChar w:fldCharType="end"/>
        </w:r>
      </w:hyperlink>
    </w:p>
    <w:p w14:paraId="07A17529" w14:textId="7E3AFF67" w:rsidR="0039290F" w:rsidRDefault="0039290F">
      <w:pPr>
        <w:pStyle w:val="TOC2"/>
        <w:rPr>
          <w:rFonts w:asciiTheme="minorHAnsi" w:eastAsiaTheme="minorEastAsia" w:hAnsiTheme="minorHAnsi" w:cstheme="minorBidi"/>
          <w:b w:val="0"/>
          <w:smallCaps w:val="0"/>
          <w:sz w:val="22"/>
          <w:lang w:eastAsia="hr-HR"/>
        </w:rPr>
      </w:pPr>
      <w:hyperlink w:anchor="_Toc30677709" w:history="1">
        <w:r w:rsidRPr="00042033">
          <w:rPr>
            <w:rStyle w:val="Hyperlink"/>
            <w:rFonts w:ascii="Times New Roman" w:hAnsi="Times New Roman"/>
          </w:rPr>
          <w:t>5.3.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20.00 – TRŽIŠNI RIZIK: STANDARDIZIRANI PRISTUP SPECIFIČNOM RIZIKU ZA POZICIJE RASPOREĐENE U KORELACIJSKI PORTFELJ NAMIJENJEN TRGOVANJU (MKR SA CTP)</w:t>
        </w:r>
        <w:r>
          <w:rPr>
            <w:webHidden/>
          </w:rPr>
          <w:tab/>
        </w:r>
        <w:r>
          <w:rPr>
            <w:webHidden/>
          </w:rPr>
          <w:fldChar w:fldCharType="begin"/>
        </w:r>
        <w:r>
          <w:rPr>
            <w:webHidden/>
          </w:rPr>
          <w:instrText xml:space="preserve"> PAGEREF _Toc30677709 \h </w:instrText>
        </w:r>
        <w:r>
          <w:rPr>
            <w:webHidden/>
          </w:rPr>
        </w:r>
        <w:r>
          <w:rPr>
            <w:webHidden/>
          </w:rPr>
          <w:fldChar w:fldCharType="separate"/>
        </w:r>
        <w:r>
          <w:rPr>
            <w:webHidden/>
          </w:rPr>
          <w:t>170</w:t>
        </w:r>
        <w:r>
          <w:rPr>
            <w:webHidden/>
          </w:rPr>
          <w:fldChar w:fldCharType="end"/>
        </w:r>
      </w:hyperlink>
    </w:p>
    <w:p w14:paraId="58185A7F" w14:textId="1696964D" w:rsidR="0039290F" w:rsidRDefault="0039290F">
      <w:pPr>
        <w:pStyle w:val="TOC2"/>
        <w:rPr>
          <w:rFonts w:asciiTheme="minorHAnsi" w:eastAsiaTheme="minorEastAsia" w:hAnsiTheme="minorHAnsi" w:cstheme="minorBidi"/>
          <w:b w:val="0"/>
          <w:smallCaps w:val="0"/>
          <w:sz w:val="22"/>
          <w:lang w:eastAsia="hr-HR"/>
        </w:rPr>
      </w:pPr>
      <w:hyperlink w:anchor="_Toc30677710" w:history="1">
        <w:r w:rsidRPr="00042033">
          <w:rPr>
            <w:rStyle w:val="Hyperlink"/>
            <w:rFonts w:ascii="Times New Roman" w:hAnsi="Times New Roman"/>
          </w:rPr>
          <w:t>5.3.1.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_Toc30677710 \h </w:instrText>
        </w:r>
        <w:r>
          <w:rPr>
            <w:webHidden/>
          </w:rPr>
        </w:r>
        <w:r>
          <w:rPr>
            <w:webHidden/>
          </w:rPr>
          <w:fldChar w:fldCharType="separate"/>
        </w:r>
        <w:r>
          <w:rPr>
            <w:webHidden/>
          </w:rPr>
          <w:t>170</w:t>
        </w:r>
        <w:r>
          <w:rPr>
            <w:webHidden/>
          </w:rPr>
          <w:fldChar w:fldCharType="end"/>
        </w:r>
      </w:hyperlink>
    </w:p>
    <w:p w14:paraId="3954983D" w14:textId="50F0DE62" w:rsidR="0039290F" w:rsidRDefault="0039290F">
      <w:pPr>
        <w:pStyle w:val="TOC2"/>
        <w:rPr>
          <w:rFonts w:asciiTheme="minorHAnsi" w:eastAsiaTheme="minorEastAsia" w:hAnsiTheme="minorHAnsi" w:cstheme="minorBidi"/>
          <w:b w:val="0"/>
          <w:smallCaps w:val="0"/>
          <w:sz w:val="22"/>
          <w:lang w:eastAsia="hr-HR"/>
        </w:rPr>
      </w:pPr>
      <w:hyperlink w:anchor="_Toc30677711" w:history="1">
        <w:r w:rsidRPr="00042033">
          <w:rPr>
            <w:rStyle w:val="Hyperlink"/>
            <w:rFonts w:ascii="Times New Roman" w:hAnsi="Times New Roman"/>
          </w:rPr>
          <w:t>5.3.2.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_Toc30677711 \h </w:instrText>
        </w:r>
        <w:r>
          <w:rPr>
            <w:webHidden/>
          </w:rPr>
        </w:r>
        <w:r>
          <w:rPr>
            <w:webHidden/>
          </w:rPr>
          <w:fldChar w:fldCharType="separate"/>
        </w:r>
        <w:r>
          <w:rPr>
            <w:webHidden/>
          </w:rPr>
          <w:t>171</w:t>
        </w:r>
        <w:r>
          <w:rPr>
            <w:webHidden/>
          </w:rPr>
          <w:fldChar w:fldCharType="end"/>
        </w:r>
      </w:hyperlink>
    </w:p>
    <w:p w14:paraId="7D612C1B" w14:textId="6A7EE2E8" w:rsidR="0039290F" w:rsidRDefault="0039290F">
      <w:pPr>
        <w:pStyle w:val="TOC2"/>
        <w:rPr>
          <w:rFonts w:asciiTheme="minorHAnsi" w:eastAsiaTheme="minorEastAsia" w:hAnsiTheme="minorHAnsi" w:cstheme="minorBidi"/>
          <w:b w:val="0"/>
          <w:smallCaps w:val="0"/>
          <w:sz w:val="22"/>
          <w:lang w:eastAsia="hr-HR"/>
        </w:rPr>
      </w:pPr>
      <w:hyperlink w:anchor="_Toc30677712" w:history="1">
        <w:r w:rsidRPr="00042033">
          <w:rPr>
            <w:rStyle w:val="Hyperlink"/>
            <w:rFonts w:ascii="Times New Roman" w:hAnsi="Times New Roman"/>
          </w:rPr>
          <w:t>5.4.</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21.00 – Tržišni rizik: standardizirani pristup pozicijskom riziku u vlasničkim instrumentima</w:t>
        </w:r>
        <w:r w:rsidRPr="00042033">
          <w:rPr>
            <w:rStyle w:val="Hyperlink"/>
          </w:rPr>
          <w:t xml:space="preserve"> </w:t>
        </w:r>
        <w:r w:rsidRPr="00042033">
          <w:rPr>
            <w:rStyle w:val="Hyperlink"/>
            <w:rFonts w:ascii="Times New Roman" w:hAnsi="Times New Roman"/>
          </w:rPr>
          <w:t xml:space="preserve"> (MKR SA EQU)</w:t>
        </w:r>
        <w:r>
          <w:rPr>
            <w:webHidden/>
          </w:rPr>
          <w:tab/>
        </w:r>
        <w:r>
          <w:rPr>
            <w:webHidden/>
          </w:rPr>
          <w:fldChar w:fldCharType="begin"/>
        </w:r>
        <w:r>
          <w:rPr>
            <w:webHidden/>
          </w:rPr>
          <w:instrText xml:space="preserve"> PAGEREF _Toc30677712 \h </w:instrText>
        </w:r>
        <w:r>
          <w:rPr>
            <w:webHidden/>
          </w:rPr>
        </w:r>
        <w:r>
          <w:rPr>
            <w:webHidden/>
          </w:rPr>
          <w:fldChar w:fldCharType="separate"/>
        </w:r>
        <w:r>
          <w:rPr>
            <w:webHidden/>
          </w:rPr>
          <w:t>173</w:t>
        </w:r>
        <w:r>
          <w:rPr>
            <w:webHidden/>
          </w:rPr>
          <w:fldChar w:fldCharType="end"/>
        </w:r>
      </w:hyperlink>
    </w:p>
    <w:p w14:paraId="13E600BF" w14:textId="1B9C1F7F" w:rsidR="0039290F" w:rsidRDefault="0039290F">
      <w:pPr>
        <w:pStyle w:val="TOC2"/>
        <w:rPr>
          <w:rFonts w:asciiTheme="minorHAnsi" w:eastAsiaTheme="minorEastAsia" w:hAnsiTheme="minorHAnsi" w:cstheme="minorBidi"/>
          <w:b w:val="0"/>
          <w:smallCaps w:val="0"/>
          <w:sz w:val="22"/>
          <w:lang w:eastAsia="hr-HR"/>
        </w:rPr>
      </w:pPr>
      <w:hyperlink w:anchor="_Toc30677713" w:history="1">
        <w:r w:rsidRPr="00042033">
          <w:rPr>
            <w:rStyle w:val="Hyperlink"/>
            <w:rFonts w:ascii="Times New Roman" w:hAnsi="Times New Roman"/>
          </w:rPr>
          <w:t>5.4.1.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_Toc30677713 \h </w:instrText>
        </w:r>
        <w:r>
          <w:rPr>
            <w:webHidden/>
          </w:rPr>
        </w:r>
        <w:r>
          <w:rPr>
            <w:webHidden/>
          </w:rPr>
          <w:fldChar w:fldCharType="separate"/>
        </w:r>
        <w:r>
          <w:rPr>
            <w:webHidden/>
          </w:rPr>
          <w:t>173</w:t>
        </w:r>
        <w:r>
          <w:rPr>
            <w:webHidden/>
          </w:rPr>
          <w:fldChar w:fldCharType="end"/>
        </w:r>
      </w:hyperlink>
    </w:p>
    <w:p w14:paraId="79B75974" w14:textId="6BAA5447" w:rsidR="0039290F" w:rsidRDefault="0039290F">
      <w:pPr>
        <w:pStyle w:val="TOC2"/>
        <w:rPr>
          <w:rFonts w:asciiTheme="minorHAnsi" w:eastAsiaTheme="minorEastAsia" w:hAnsiTheme="minorHAnsi" w:cstheme="minorBidi"/>
          <w:b w:val="0"/>
          <w:smallCaps w:val="0"/>
          <w:sz w:val="22"/>
          <w:lang w:eastAsia="hr-HR"/>
        </w:rPr>
      </w:pPr>
      <w:hyperlink w:anchor="_Toc30677714" w:history="1">
        <w:r w:rsidRPr="00042033">
          <w:rPr>
            <w:rStyle w:val="Hyperlink"/>
            <w:rFonts w:ascii="Times New Roman" w:hAnsi="Times New Roman"/>
          </w:rPr>
          <w:t>5.4.2.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_Toc30677714 \h </w:instrText>
        </w:r>
        <w:r>
          <w:rPr>
            <w:webHidden/>
          </w:rPr>
        </w:r>
        <w:r>
          <w:rPr>
            <w:webHidden/>
          </w:rPr>
          <w:fldChar w:fldCharType="separate"/>
        </w:r>
        <w:r>
          <w:rPr>
            <w:webHidden/>
          </w:rPr>
          <w:t>173</w:t>
        </w:r>
        <w:r>
          <w:rPr>
            <w:webHidden/>
          </w:rPr>
          <w:fldChar w:fldCharType="end"/>
        </w:r>
      </w:hyperlink>
    </w:p>
    <w:p w14:paraId="09EFAE94" w14:textId="03CFD7EC" w:rsidR="0039290F" w:rsidRDefault="0039290F">
      <w:pPr>
        <w:pStyle w:val="TOC2"/>
        <w:rPr>
          <w:rFonts w:asciiTheme="minorHAnsi" w:eastAsiaTheme="minorEastAsia" w:hAnsiTheme="minorHAnsi" w:cstheme="minorBidi"/>
          <w:b w:val="0"/>
          <w:smallCaps w:val="0"/>
          <w:sz w:val="22"/>
          <w:lang w:eastAsia="hr-HR"/>
        </w:rPr>
      </w:pPr>
      <w:hyperlink w:anchor="_Toc30677715" w:history="1">
        <w:r w:rsidRPr="00042033">
          <w:rPr>
            <w:rStyle w:val="Hyperlink"/>
            <w:rFonts w:ascii="Times New Roman" w:hAnsi="Times New Roman"/>
          </w:rPr>
          <w:t>5.5.</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22.00 – Tržišni rizik: standardizirani pristup valutnom riziku  (MKR SA FX)</w:t>
        </w:r>
        <w:r>
          <w:rPr>
            <w:webHidden/>
          </w:rPr>
          <w:tab/>
        </w:r>
        <w:r>
          <w:rPr>
            <w:webHidden/>
          </w:rPr>
          <w:fldChar w:fldCharType="begin"/>
        </w:r>
        <w:r>
          <w:rPr>
            <w:webHidden/>
          </w:rPr>
          <w:instrText xml:space="preserve"> PAGEREF _Toc30677715 \h </w:instrText>
        </w:r>
        <w:r>
          <w:rPr>
            <w:webHidden/>
          </w:rPr>
        </w:r>
        <w:r>
          <w:rPr>
            <w:webHidden/>
          </w:rPr>
          <w:fldChar w:fldCharType="separate"/>
        </w:r>
        <w:r>
          <w:rPr>
            <w:webHidden/>
          </w:rPr>
          <w:t>175</w:t>
        </w:r>
        <w:r>
          <w:rPr>
            <w:webHidden/>
          </w:rPr>
          <w:fldChar w:fldCharType="end"/>
        </w:r>
      </w:hyperlink>
    </w:p>
    <w:p w14:paraId="4B092BEC" w14:textId="5573C7D9" w:rsidR="0039290F" w:rsidRDefault="0039290F">
      <w:pPr>
        <w:pStyle w:val="TOC2"/>
        <w:rPr>
          <w:rFonts w:asciiTheme="minorHAnsi" w:eastAsiaTheme="minorEastAsia" w:hAnsiTheme="minorHAnsi" w:cstheme="minorBidi"/>
          <w:b w:val="0"/>
          <w:smallCaps w:val="0"/>
          <w:sz w:val="22"/>
          <w:lang w:eastAsia="hr-HR"/>
        </w:rPr>
      </w:pPr>
      <w:hyperlink w:anchor="_Toc30677716" w:history="1">
        <w:r w:rsidRPr="00042033">
          <w:rPr>
            <w:rStyle w:val="Hyperlink"/>
            <w:rFonts w:ascii="Times New Roman" w:hAnsi="Times New Roman"/>
          </w:rPr>
          <w:t>5.5.1.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_Toc30677716 \h </w:instrText>
        </w:r>
        <w:r>
          <w:rPr>
            <w:webHidden/>
          </w:rPr>
        </w:r>
        <w:r>
          <w:rPr>
            <w:webHidden/>
          </w:rPr>
          <w:fldChar w:fldCharType="separate"/>
        </w:r>
        <w:r>
          <w:rPr>
            <w:webHidden/>
          </w:rPr>
          <w:t>175</w:t>
        </w:r>
        <w:r>
          <w:rPr>
            <w:webHidden/>
          </w:rPr>
          <w:fldChar w:fldCharType="end"/>
        </w:r>
      </w:hyperlink>
    </w:p>
    <w:p w14:paraId="39E6D381" w14:textId="20B993B3" w:rsidR="0039290F" w:rsidRDefault="0039290F">
      <w:pPr>
        <w:pStyle w:val="TOC2"/>
        <w:rPr>
          <w:rFonts w:asciiTheme="minorHAnsi" w:eastAsiaTheme="minorEastAsia" w:hAnsiTheme="minorHAnsi" w:cstheme="minorBidi"/>
          <w:b w:val="0"/>
          <w:smallCaps w:val="0"/>
          <w:sz w:val="22"/>
          <w:lang w:eastAsia="hr-HR"/>
        </w:rPr>
      </w:pPr>
      <w:hyperlink w:anchor="_Toc30677717" w:history="1">
        <w:r w:rsidRPr="00042033">
          <w:rPr>
            <w:rStyle w:val="Hyperlink"/>
            <w:rFonts w:ascii="Times New Roman" w:hAnsi="Times New Roman"/>
          </w:rPr>
          <w:t>5.5.2.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_Toc30677717 \h </w:instrText>
        </w:r>
        <w:r>
          <w:rPr>
            <w:webHidden/>
          </w:rPr>
        </w:r>
        <w:r>
          <w:rPr>
            <w:webHidden/>
          </w:rPr>
          <w:fldChar w:fldCharType="separate"/>
        </w:r>
        <w:r>
          <w:rPr>
            <w:webHidden/>
          </w:rPr>
          <w:t>176</w:t>
        </w:r>
        <w:r>
          <w:rPr>
            <w:webHidden/>
          </w:rPr>
          <w:fldChar w:fldCharType="end"/>
        </w:r>
      </w:hyperlink>
    </w:p>
    <w:p w14:paraId="674CBC60" w14:textId="111071C3" w:rsidR="0039290F" w:rsidRDefault="0039290F">
      <w:pPr>
        <w:pStyle w:val="TOC2"/>
        <w:rPr>
          <w:rFonts w:asciiTheme="minorHAnsi" w:eastAsiaTheme="minorEastAsia" w:hAnsiTheme="minorHAnsi" w:cstheme="minorBidi"/>
          <w:b w:val="0"/>
          <w:smallCaps w:val="0"/>
          <w:sz w:val="22"/>
          <w:lang w:eastAsia="hr-HR"/>
        </w:rPr>
      </w:pPr>
      <w:hyperlink w:anchor="_Toc30677718" w:history="1">
        <w:r w:rsidRPr="00042033">
          <w:rPr>
            <w:rStyle w:val="Hyperlink"/>
            <w:rFonts w:ascii="Times New Roman" w:hAnsi="Times New Roman"/>
          </w:rPr>
          <w:t>5.6.</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23.00 – Tržišni rizik: standardizirani pristupi robi</w:t>
        </w:r>
        <w:r w:rsidRPr="00042033">
          <w:rPr>
            <w:rStyle w:val="Hyperlink"/>
          </w:rPr>
          <w:t xml:space="preserve"> </w:t>
        </w:r>
        <w:r w:rsidRPr="00042033">
          <w:rPr>
            <w:rStyle w:val="Hyperlink"/>
            <w:rFonts w:ascii="Times New Roman" w:hAnsi="Times New Roman"/>
          </w:rPr>
          <w:t xml:space="preserve"> (MKR SA COM)</w:t>
        </w:r>
        <w:r>
          <w:rPr>
            <w:webHidden/>
          </w:rPr>
          <w:tab/>
        </w:r>
        <w:r>
          <w:rPr>
            <w:webHidden/>
          </w:rPr>
          <w:fldChar w:fldCharType="begin"/>
        </w:r>
        <w:r>
          <w:rPr>
            <w:webHidden/>
          </w:rPr>
          <w:instrText xml:space="preserve"> PAGEREF _Toc30677718 \h </w:instrText>
        </w:r>
        <w:r>
          <w:rPr>
            <w:webHidden/>
          </w:rPr>
        </w:r>
        <w:r>
          <w:rPr>
            <w:webHidden/>
          </w:rPr>
          <w:fldChar w:fldCharType="separate"/>
        </w:r>
        <w:r>
          <w:rPr>
            <w:webHidden/>
          </w:rPr>
          <w:t>178</w:t>
        </w:r>
        <w:r>
          <w:rPr>
            <w:webHidden/>
          </w:rPr>
          <w:fldChar w:fldCharType="end"/>
        </w:r>
      </w:hyperlink>
    </w:p>
    <w:p w14:paraId="05E397C7" w14:textId="595FC295" w:rsidR="0039290F" w:rsidRDefault="0039290F">
      <w:pPr>
        <w:pStyle w:val="TOC2"/>
        <w:rPr>
          <w:rFonts w:asciiTheme="minorHAnsi" w:eastAsiaTheme="minorEastAsia" w:hAnsiTheme="minorHAnsi" w:cstheme="minorBidi"/>
          <w:b w:val="0"/>
          <w:smallCaps w:val="0"/>
          <w:sz w:val="22"/>
          <w:lang w:eastAsia="hr-HR"/>
        </w:rPr>
      </w:pPr>
      <w:hyperlink w:anchor="_Toc30677719" w:history="1">
        <w:r w:rsidRPr="00042033">
          <w:rPr>
            <w:rStyle w:val="Hyperlink"/>
            <w:rFonts w:ascii="Times New Roman" w:hAnsi="Times New Roman"/>
          </w:rPr>
          <w:t>5.6.1.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_Toc30677719 \h </w:instrText>
        </w:r>
        <w:r>
          <w:rPr>
            <w:webHidden/>
          </w:rPr>
        </w:r>
        <w:r>
          <w:rPr>
            <w:webHidden/>
          </w:rPr>
          <w:fldChar w:fldCharType="separate"/>
        </w:r>
        <w:r>
          <w:rPr>
            <w:webHidden/>
          </w:rPr>
          <w:t>178</w:t>
        </w:r>
        <w:r>
          <w:rPr>
            <w:webHidden/>
          </w:rPr>
          <w:fldChar w:fldCharType="end"/>
        </w:r>
      </w:hyperlink>
    </w:p>
    <w:p w14:paraId="07426C29" w14:textId="5B3B0B8C" w:rsidR="0039290F" w:rsidRDefault="0039290F">
      <w:pPr>
        <w:pStyle w:val="TOC2"/>
        <w:rPr>
          <w:rFonts w:asciiTheme="minorHAnsi" w:eastAsiaTheme="minorEastAsia" w:hAnsiTheme="minorHAnsi" w:cstheme="minorBidi"/>
          <w:b w:val="0"/>
          <w:smallCaps w:val="0"/>
          <w:sz w:val="22"/>
          <w:lang w:eastAsia="hr-HR"/>
        </w:rPr>
      </w:pPr>
      <w:hyperlink w:anchor="_Toc30677720" w:history="1">
        <w:r w:rsidRPr="00042033">
          <w:rPr>
            <w:rStyle w:val="Hyperlink"/>
            <w:rFonts w:ascii="Times New Roman" w:hAnsi="Times New Roman"/>
          </w:rPr>
          <w:t>5.6.2.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_Toc30677720 \h </w:instrText>
        </w:r>
        <w:r>
          <w:rPr>
            <w:webHidden/>
          </w:rPr>
        </w:r>
        <w:r>
          <w:rPr>
            <w:webHidden/>
          </w:rPr>
          <w:fldChar w:fldCharType="separate"/>
        </w:r>
        <w:r>
          <w:rPr>
            <w:webHidden/>
          </w:rPr>
          <w:t>178</w:t>
        </w:r>
        <w:r>
          <w:rPr>
            <w:webHidden/>
          </w:rPr>
          <w:fldChar w:fldCharType="end"/>
        </w:r>
      </w:hyperlink>
    </w:p>
    <w:p w14:paraId="1A3C2395" w14:textId="0B4A0ABA" w:rsidR="0039290F" w:rsidRDefault="0039290F">
      <w:pPr>
        <w:pStyle w:val="TOC2"/>
        <w:rPr>
          <w:rFonts w:asciiTheme="minorHAnsi" w:eastAsiaTheme="minorEastAsia" w:hAnsiTheme="minorHAnsi" w:cstheme="minorBidi"/>
          <w:b w:val="0"/>
          <w:smallCaps w:val="0"/>
          <w:sz w:val="22"/>
          <w:lang w:eastAsia="hr-HR"/>
        </w:rPr>
      </w:pPr>
      <w:hyperlink w:anchor="_Toc30677721" w:history="1">
        <w:r w:rsidRPr="00042033">
          <w:rPr>
            <w:rStyle w:val="Hyperlink"/>
            <w:rFonts w:ascii="Times New Roman" w:hAnsi="Times New Roman"/>
          </w:rPr>
          <w:t>5.7.</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24.00 – Interni model za tržišni rizik</w:t>
        </w:r>
        <w:r w:rsidRPr="00042033">
          <w:rPr>
            <w:rStyle w:val="Hyperlink"/>
          </w:rPr>
          <w:t xml:space="preserve"> </w:t>
        </w:r>
        <w:r w:rsidRPr="00042033">
          <w:rPr>
            <w:rStyle w:val="Hyperlink"/>
            <w:rFonts w:ascii="Times New Roman" w:hAnsi="Times New Roman"/>
          </w:rPr>
          <w:t xml:space="preserve"> (MKR IM)</w:t>
        </w:r>
        <w:r>
          <w:rPr>
            <w:webHidden/>
          </w:rPr>
          <w:tab/>
        </w:r>
        <w:r>
          <w:rPr>
            <w:webHidden/>
          </w:rPr>
          <w:fldChar w:fldCharType="begin"/>
        </w:r>
        <w:r>
          <w:rPr>
            <w:webHidden/>
          </w:rPr>
          <w:instrText xml:space="preserve"> PAGEREF _Toc30677721 \h </w:instrText>
        </w:r>
        <w:r>
          <w:rPr>
            <w:webHidden/>
          </w:rPr>
        </w:r>
        <w:r>
          <w:rPr>
            <w:webHidden/>
          </w:rPr>
          <w:fldChar w:fldCharType="separate"/>
        </w:r>
        <w:r>
          <w:rPr>
            <w:webHidden/>
          </w:rPr>
          <w:t>180</w:t>
        </w:r>
        <w:r>
          <w:rPr>
            <w:webHidden/>
          </w:rPr>
          <w:fldChar w:fldCharType="end"/>
        </w:r>
      </w:hyperlink>
    </w:p>
    <w:p w14:paraId="102DD7EF" w14:textId="4C58526D" w:rsidR="0039290F" w:rsidRDefault="0039290F">
      <w:pPr>
        <w:pStyle w:val="TOC2"/>
        <w:rPr>
          <w:rFonts w:asciiTheme="minorHAnsi" w:eastAsiaTheme="minorEastAsia" w:hAnsiTheme="minorHAnsi" w:cstheme="minorBidi"/>
          <w:b w:val="0"/>
          <w:smallCaps w:val="0"/>
          <w:sz w:val="22"/>
          <w:lang w:eastAsia="hr-HR"/>
        </w:rPr>
      </w:pPr>
      <w:hyperlink w:anchor="_Toc30677722" w:history="1">
        <w:r w:rsidRPr="00042033">
          <w:rPr>
            <w:rStyle w:val="Hyperlink"/>
            <w:rFonts w:ascii="Times New Roman" w:hAnsi="Times New Roman"/>
          </w:rPr>
          <w:t>5.7.1.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_Toc30677722 \h </w:instrText>
        </w:r>
        <w:r>
          <w:rPr>
            <w:webHidden/>
          </w:rPr>
        </w:r>
        <w:r>
          <w:rPr>
            <w:webHidden/>
          </w:rPr>
          <w:fldChar w:fldCharType="separate"/>
        </w:r>
        <w:r>
          <w:rPr>
            <w:webHidden/>
          </w:rPr>
          <w:t>180</w:t>
        </w:r>
        <w:r>
          <w:rPr>
            <w:webHidden/>
          </w:rPr>
          <w:fldChar w:fldCharType="end"/>
        </w:r>
      </w:hyperlink>
    </w:p>
    <w:p w14:paraId="49C1A645" w14:textId="25BC104B" w:rsidR="0039290F" w:rsidRDefault="0039290F">
      <w:pPr>
        <w:pStyle w:val="TOC2"/>
        <w:rPr>
          <w:rFonts w:asciiTheme="minorHAnsi" w:eastAsiaTheme="minorEastAsia" w:hAnsiTheme="minorHAnsi" w:cstheme="minorBidi"/>
          <w:b w:val="0"/>
          <w:smallCaps w:val="0"/>
          <w:sz w:val="22"/>
          <w:lang w:eastAsia="hr-HR"/>
        </w:rPr>
      </w:pPr>
      <w:hyperlink w:anchor="_Toc30677723" w:history="1">
        <w:r w:rsidRPr="00042033">
          <w:rPr>
            <w:rStyle w:val="Hyperlink"/>
            <w:rFonts w:ascii="Times New Roman" w:hAnsi="Times New Roman"/>
          </w:rPr>
          <w:t>5.7.2.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_Toc30677723 \h </w:instrText>
        </w:r>
        <w:r>
          <w:rPr>
            <w:webHidden/>
          </w:rPr>
        </w:r>
        <w:r>
          <w:rPr>
            <w:webHidden/>
          </w:rPr>
          <w:fldChar w:fldCharType="separate"/>
        </w:r>
        <w:r>
          <w:rPr>
            <w:webHidden/>
          </w:rPr>
          <w:t>180</w:t>
        </w:r>
        <w:r>
          <w:rPr>
            <w:webHidden/>
          </w:rPr>
          <w:fldChar w:fldCharType="end"/>
        </w:r>
      </w:hyperlink>
    </w:p>
    <w:p w14:paraId="2514729F" w14:textId="584F113C" w:rsidR="0039290F" w:rsidRDefault="0039290F">
      <w:pPr>
        <w:pStyle w:val="TOC2"/>
        <w:rPr>
          <w:rFonts w:asciiTheme="minorHAnsi" w:eastAsiaTheme="minorEastAsia" w:hAnsiTheme="minorHAnsi" w:cstheme="minorBidi"/>
          <w:b w:val="0"/>
          <w:smallCaps w:val="0"/>
          <w:sz w:val="22"/>
          <w:lang w:eastAsia="hr-HR"/>
        </w:rPr>
      </w:pPr>
      <w:hyperlink w:anchor="_Toc30677724" w:history="1">
        <w:r w:rsidRPr="00042033">
          <w:rPr>
            <w:rStyle w:val="Hyperlink"/>
            <w:rFonts w:ascii="Times New Roman" w:hAnsi="Times New Roman"/>
          </w:rPr>
          <w:t>5.8.</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25.00 – RIZIK PRILAGODBE KREDITNOM VREDNOVANJU (CVA)</w:t>
        </w:r>
        <w:r>
          <w:rPr>
            <w:webHidden/>
          </w:rPr>
          <w:tab/>
        </w:r>
        <w:r>
          <w:rPr>
            <w:webHidden/>
          </w:rPr>
          <w:fldChar w:fldCharType="begin"/>
        </w:r>
        <w:r>
          <w:rPr>
            <w:webHidden/>
          </w:rPr>
          <w:instrText xml:space="preserve"> PAGEREF _Toc30677724 \h </w:instrText>
        </w:r>
        <w:r>
          <w:rPr>
            <w:webHidden/>
          </w:rPr>
        </w:r>
        <w:r>
          <w:rPr>
            <w:webHidden/>
          </w:rPr>
          <w:fldChar w:fldCharType="separate"/>
        </w:r>
        <w:r>
          <w:rPr>
            <w:webHidden/>
          </w:rPr>
          <w:t>183</w:t>
        </w:r>
        <w:r>
          <w:rPr>
            <w:webHidden/>
          </w:rPr>
          <w:fldChar w:fldCharType="end"/>
        </w:r>
      </w:hyperlink>
    </w:p>
    <w:p w14:paraId="1C7DF12A" w14:textId="5CCDEBDF" w:rsidR="0039290F" w:rsidRDefault="0039290F">
      <w:pPr>
        <w:pStyle w:val="TOC2"/>
        <w:rPr>
          <w:rFonts w:asciiTheme="minorHAnsi" w:eastAsiaTheme="minorEastAsia" w:hAnsiTheme="minorHAnsi" w:cstheme="minorBidi"/>
          <w:b w:val="0"/>
          <w:smallCaps w:val="0"/>
          <w:sz w:val="22"/>
          <w:lang w:eastAsia="hr-HR"/>
        </w:rPr>
      </w:pPr>
      <w:hyperlink w:anchor="_Toc30677725" w:history="1">
        <w:r w:rsidRPr="00042033">
          <w:rPr>
            <w:rStyle w:val="Hyperlink"/>
            <w:rFonts w:ascii="Times New Roman" w:hAnsi="Times New Roman"/>
          </w:rPr>
          <w:t>5.8.1.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_Toc30677725 \h </w:instrText>
        </w:r>
        <w:r>
          <w:rPr>
            <w:webHidden/>
          </w:rPr>
        </w:r>
        <w:r>
          <w:rPr>
            <w:webHidden/>
          </w:rPr>
          <w:fldChar w:fldCharType="separate"/>
        </w:r>
        <w:r>
          <w:rPr>
            <w:webHidden/>
          </w:rPr>
          <w:t>183</w:t>
        </w:r>
        <w:r>
          <w:rPr>
            <w:webHidden/>
          </w:rPr>
          <w:fldChar w:fldCharType="end"/>
        </w:r>
      </w:hyperlink>
    </w:p>
    <w:p w14:paraId="2699A2F7" w14:textId="06B12863" w:rsidR="0039290F" w:rsidRDefault="0039290F">
      <w:pPr>
        <w:pStyle w:val="TOC2"/>
        <w:rPr>
          <w:rFonts w:asciiTheme="minorHAnsi" w:eastAsiaTheme="minorEastAsia" w:hAnsiTheme="minorHAnsi" w:cstheme="minorBidi"/>
          <w:b w:val="0"/>
          <w:smallCaps w:val="0"/>
          <w:sz w:val="22"/>
          <w:lang w:eastAsia="hr-HR"/>
        </w:rPr>
      </w:pPr>
      <w:hyperlink w:anchor="_Toc30677726" w:history="1">
        <w:r w:rsidRPr="00042033">
          <w:rPr>
            <w:rStyle w:val="Hyperlink"/>
            <w:rFonts w:ascii="Times New Roman" w:hAnsi="Times New Roman"/>
          </w:rPr>
          <w:t>6.</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Bonitetno vrednovanje (PruVal)</w:t>
        </w:r>
        <w:r>
          <w:rPr>
            <w:webHidden/>
          </w:rPr>
          <w:tab/>
        </w:r>
        <w:r>
          <w:rPr>
            <w:webHidden/>
          </w:rPr>
          <w:fldChar w:fldCharType="begin"/>
        </w:r>
        <w:r>
          <w:rPr>
            <w:webHidden/>
          </w:rPr>
          <w:instrText xml:space="preserve"> PAGEREF _Toc30677726 \h </w:instrText>
        </w:r>
        <w:r>
          <w:rPr>
            <w:webHidden/>
          </w:rPr>
        </w:r>
        <w:r>
          <w:rPr>
            <w:webHidden/>
          </w:rPr>
          <w:fldChar w:fldCharType="separate"/>
        </w:r>
        <w:r>
          <w:rPr>
            <w:webHidden/>
          </w:rPr>
          <w:t>185</w:t>
        </w:r>
        <w:r>
          <w:rPr>
            <w:webHidden/>
          </w:rPr>
          <w:fldChar w:fldCharType="end"/>
        </w:r>
      </w:hyperlink>
    </w:p>
    <w:p w14:paraId="6F0D94E0" w14:textId="4CE271A6" w:rsidR="0039290F" w:rsidRDefault="0039290F">
      <w:pPr>
        <w:pStyle w:val="TOC2"/>
        <w:rPr>
          <w:rFonts w:asciiTheme="minorHAnsi" w:eastAsiaTheme="minorEastAsia" w:hAnsiTheme="minorHAnsi" w:cstheme="minorBidi"/>
          <w:b w:val="0"/>
          <w:smallCaps w:val="0"/>
          <w:sz w:val="22"/>
          <w:lang w:eastAsia="hr-HR"/>
        </w:rPr>
      </w:pPr>
      <w:hyperlink w:anchor="_Toc30677727" w:history="1">
        <w:r w:rsidRPr="00042033">
          <w:rPr>
            <w:rStyle w:val="Hyperlink"/>
            <w:rFonts w:ascii="Times New Roman" w:hAnsi="Times New Roman"/>
          </w:rPr>
          <w:t>6.1.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32.01 – Bonitetno vrednovanje: imovina i obveze po fer vrijednosti (PruVal 1)</w:t>
        </w:r>
        <w:r>
          <w:rPr>
            <w:webHidden/>
          </w:rPr>
          <w:tab/>
        </w:r>
        <w:r>
          <w:rPr>
            <w:webHidden/>
          </w:rPr>
          <w:fldChar w:fldCharType="begin"/>
        </w:r>
        <w:r>
          <w:rPr>
            <w:webHidden/>
          </w:rPr>
          <w:instrText xml:space="preserve"> PAGEREF _Toc30677727 \h </w:instrText>
        </w:r>
        <w:r>
          <w:rPr>
            <w:webHidden/>
          </w:rPr>
        </w:r>
        <w:r>
          <w:rPr>
            <w:webHidden/>
          </w:rPr>
          <w:fldChar w:fldCharType="separate"/>
        </w:r>
        <w:r>
          <w:rPr>
            <w:webHidden/>
          </w:rPr>
          <w:t>185</w:t>
        </w:r>
        <w:r>
          <w:rPr>
            <w:webHidden/>
          </w:rPr>
          <w:fldChar w:fldCharType="end"/>
        </w:r>
      </w:hyperlink>
    </w:p>
    <w:p w14:paraId="77154996" w14:textId="1EB5B239" w:rsidR="0039290F" w:rsidRDefault="0039290F">
      <w:pPr>
        <w:pStyle w:val="TOC2"/>
        <w:rPr>
          <w:rFonts w:asciiTheme="minorHAnsi" w:eastAsiaTheme="minorEastAsia" w:hAnsiTheme="minorHAnsi" w:cstheme="minorBidi"/>
          <w:b w:val="0"/>
          <w:smallCaps w:val="0"/>
          <w:sz w:val="22"/>
          <w:lang w:eastAsia="hr-HR"/>
        </w:rPr>
      </w:pPr>
      <w:hyperlink w:anchor="_Toc30677728" w:history="1">
        <w:r w:rsidRPr="00042033">
          <w:rPr>
            <w:rStyle w:val="Hyperlink"/>
            <w:rFonts w:ascii="Times New Roman" w:hAnsi="Times New Roman"/>
          </w:rPr>
          <w:t>6.1.1.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_Toc30677728 \h </w:instrText>
        </w:r>
        <w:r>
          <w:rPr>
            <w:webHidden/>
          </w:rPr>
        </w:r>
        <w:r>
          <w:rPr>
            <w:webHidden/>
          </w:rPr>
          <w:fldChar w:fldCharType="separate"/>
        </w:r>
        <w:r>
          <w:rPr>
            <w:webHidden/>
          </w:rPr>
          <w:t>185</w:t>
        </w:r>
        <w:r>
          <w:rPr>
            <w:webHidden/>
          </w:rPr>
          <w:fldChar w:fldCharType="end"/>
        </w:r>
      </w:hyperlink>
    </w:p>
    <w:p w14:paraId="06B4F535" w14:textId="15D5750E" w:rsidR="0039290F" w:rsidRDefault="0039290F">
      <w:pPr>
        <w:pStyle w:val="TOC2"/>
        <w:rPr>
          <w:rFonts w:asciiTheme="minorHAnsi" w:eastAsiaTheme="minorEastAsia" w:hAnsiTheme="minorHAnsi" w:cstheme="minorBidi"/>
          <w:b w:val="0"/>
          <w:smallCaps w:val="0"/>
          <w:sz w:val="22"/>
          <w:lang w:eastAsia="hr-HR"/>
        </w:rPr>
      </w:pPr>
      <w:hyperlink w:anchor="_Toc30677729" w:history="1">
        <w:r w:rsidRPr="00042033">
          <w:rPr>
            <w:rStyle w:val="Hyperlink"/>
            <w:rFonts w:ascii="Times New Roman" w:hAnsi="Times New Roman"/>
          </w:rPr>
          <w:t>6.1.2.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_Toc30677729 \h </w:instrText>
        </w:r>
        <w:r>
          <w:rPr>
            <w:webHidden/>
          </w:rPr>
        </w:r>
        <w:r>
          <w:rPr>
            <w:webHidden/>
          </w:rPr>
          <w:fldChar w:fldCharType="separate"/>
        </w:r>
        <w:r>
          <w:rPr>
            <w:webHidden/>
          </w:rPr>
          <w:t>186</w:t>
        </w:r>
        <w:r>
          <w:rPr>
            <w:webHidden/>
          </w:rPr>
          <w:fldChar w:fldCharType="end"/>
        </w:r>
      </w:hyperlink>
    </w:p>
    <w:p w14:paraId="672FB384" w14:textId="25F98687" w:rsidR="0039290F" w:rsidRDefault="0039290F">
      <w:pPr>
        <w:pStyle w:val="TOC2"/>
        <w:rPr>
          <w:rFonts w:asciiTheme="minorHAnsi" w:eastAsiaTheme="minorEastAsia" w:hAnsiTheme="minorHAnsi" w:cstheme="minorBidi"/>
          <w:b w:val="0"/>
          <w:smallCaps w:val="0"/>
          <w:sz w:val="22"/>
          <w:lang w:eastAsia="hr-HR"/>
        </w:rPr>
      </w:pPr>
      <w:hyperlink w:anchor="_Toc30677730" w:history="1">
        <w:r w:rsidRPr="00042033">
          <w:rPr>
            <w:rStyle w:val="Hyperlink"/>
            <w:rFonts w:ascii="Times New Roman" w:hAnsi="Times New Roman"/>
          </w:rPr>
          <w:t>6.2.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32.02 – Bonitetno vrednovanje: osnovni pristup (PruVal 2)</w:t>
        </w:r>
        <w:r>
          <w:rPr>
            <w:webHidden/>
          </w:rPr>
          <w:tab/>
        </w:r>
        <w:r>
          <w:rPr>
            <w:webHidden/>
          </w:rPr>
          <w:fldChar w:fldCharType="begin"/>
        </w:r>
        <w:r>
          <w:rPr>
            <w:webHidden/>
          </w:rPr>
          <w:instrText xml:space="preserve"> PAGEREF _Toc30677730 \h </w:instrText>
        </w:r>
        <w:r>
          <w:rPr>
            <w:webHidden/>
          </w:rPr>
        </w:r>
        <w:r>
          <w:rPr>
            <w:webHidden/>
          </w:rPr>
          <w:fldChar w:fldCharType="separate"/>
        </w:r>
        <w:r>
          <w:rPr>
            <w:webHidden/>
          </w:rPr>
          <w:t>191</w:t>
        </w:r>
        <w:r>
          <w:rPr>
            <w:webHidden/>
          </w:rPr>
          <w:fldChar w:fldCharType="end"/>
        </w:r>
      </w:hyperlink>
    </w:p>
    <w:p w14:paraId="2C06B0D0" w14:textId="08453EBC" w:rsidR="0039290F" w:rsidRDefault="0039290F">
      <w:pPr>
        <w:pStyle w:val="TOC2"/>
        <w:rPr>
          <w:rFonts w:asciiTheme="minorHAnsi" w:eastAsiaTheme="minorEastAsia" w:hAnsiTheme="minorHAnsi" w:cstheme="minorBidi"/>
          <w:b w:val="0"/>
          <w:smallCaps w:val="0"/>
          <w:sz w:val="22"/>
          <w:lang w:eastAsia="hr-HR"/>
        </w:rPr>
      </w:pPr>
      <w:hyperlink w:anchor="_Toc30677731" w:history="1">
        <w:r w:rsidRPr="00042033">
          <w:rPr>
            <w:rStyle w:val="Hyperlink"/>
            <w:rFonts w:ascii="Times New Roman" w:hAnsi="Times New Roman"/>
          </w:rPr>
          <w:t>6.2.1.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_Toc30677731 \h </w:instrText>
        </w:r>
        <w:r>
          <w:rPr>
            <w:webHidden/>
          </w:rPr>
        </w:r>
        <w:r>
          <w:rPr>
            <w:webHidden/>
          </w:rPr>
          <w:fldChar w:fldCharType="separate"/>
        </w:r>
        <w:r>
          <w:rPr>
            <w:webHidden/>
          </w:rPr>
          <w:t>191</w:t>
        </w:r>
        <w:r>
          <w:rPr>
            <w:webHidden/>
          </w:rPr>
          <w:fldChar w:fldCharType="end"/>
        </w:r>
      </w:hyperlink>
    </w:p>
    <w:p w14:paraId="17B9D795" w14:textId="5380758A" w:rsidR="0039290F" w:rsidRDefault="0039290F">
      <w:pPr>
        <w:pStyle w:val="TOC2"/>
        <w:rPr>
          <w:rFonts w:asciiTheme="minorHAnsi" w:eastAsiaTheme="minorEastAsia" w:hAnsiTheme="minorHAnsi" w:cstheme="minorBidi"/>
          <w:b w:val="0"/>
          <w:smallCaps w:val="0"/>
          <w:sz w:val="22"/>
          <w:lang w:eastAsia="hr-HR"/>
        </w:rPr>
      </w:pPr>
      <w:hyperlink w:anchor="_Toc30677732" w:history="1">
        <w:r w:rsidRPr="00042033">
          <w:rPr>
            <w:rStyle w:val="Hyperlink"/>
            <w:rFonts w:ascii="Times New Roman" w:hAnsi="Times New Roman"/>
          </w:rPr>
          <w:t>6.2.2.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_Toc30677732 \h </w:instrText>
        </w:r>
        <w:r>
          <w:rPr>
            <w:webHidden/>
          </w:rPr>
        </w:r>
        <w:r>
          <w:rPr>
            <w:webHidden/>
          </w:rPr>
          <w:fldChar w:fldCharType="separate"/>
        </w:r>
        <w:r>
          <w:rPr>
            <w:webHidden/>
          </w:rPr>
          <w:t>191</w:t>
        </w:r>
        <w:r>
          <w:rPr>
            <w:webHidden/>
          </w:rPr>
          <w:fldChar w:fldCharType="end"/>
        </w:r>
      </w:hyperlink>
    </w:p>
    <w:p w14:paraId="4F903590" w14:textId="65BADC57" w:rsidR="0039290F" w:rsidRDefault="0039290F">
      <w:pPr>
        <w:pStyle w:val="TOC2"/>
        <w:rPr>
          <w:rFonts w:asciiTheme="minorHAnsi" w:eastAsiaTheme="minorEastAsia" w:hAnsiTheme="minorHAnsi" w:cstheme="minorBidi"/>
          <w:b w:val="0"/>
          <w:smallCaps w:val="0"/>
          <w:sz w:val="22"/>
          <w:lang w:eastAsia="hr-HR"/>
        </w:rPr>
      </w:pPr>
      <w:hyperlink w:anchor="_Toc30677733" w:history="1">
        <w:r w:rsidRPr="00042033">
          <w:rPr>
            <w:rStyle w:val="Hyperlink"/>
            <w:rFonts w:ascii="Times New Roman" w:hAnsi="Times New Roman"/>
          </w:rPr>
          <w:t>6.3. C 32.03 – Bonitetno vrednovanje Dodatna prilagodba vrednovanja za rizik modela (PruVal 3)</w:t>
        </w:r>
        <w:r>
          <w:rPr>
            <w:webHidden/>
          </w:rPr>
          <w:tab/>
        </w:r>
        <w:r>
          <w:rPr>
            <w:webHidden/>
          </w:rPr>
          <w:fldChar w:fldCharType="begin"/>
        </w:r>
        <w:r>
          <w:rPr>
            <w:webHidden/>
          </w:rPr>
          <w:instrText xml:space="preserve"> PAGEREF _Toc30677733 \h </w:instrText>
        </w:r>
        <w:r>
          <w:rPr>
            <w:webHidden/>
          </w:rPr>
        </w:r>
        <w:r>
          <w:rPr>
            <w:webHidden/>
          </w:rPr>
          <w:fldChar w:fldCharType="separate"/>
        </w:r>
        <w:r>
          <w:rPr>
            <w:webHidden/>
          </w:rPr>
          <w:t>202</w:t>
        </w:r>
        <w:r>
          <w:rPr>
            <w:webHidden/>
          </w:rPr>
          <w:fldChar w:fldCharType="end"/>
        </w:r>
      </w:hyperlink>
    </w:p>
    <w:p w14:paraId="6A63A542" w14:textId="164E23CF" w:rsidR="0039290F" w:rsidRDefault="0039290F">
      <w:pPr>
        <w:pStyle w:val="TOC2"/>
        <w:rPr>
          <w:rFonts w:asciiTheme="minorHAnsi" w:eastAsiaTheme="minorEastAsia" w:hAnsiTheme="minorHAnsi" w:cstheme="minorBidi"/>
          <w:b w:val="0"/>
          <w:smallCaps w:val="0"/>
          <w:sz w:val="22"/>
          <w:lang w:eastAsia="hr-HR"/>
        </w:rPr>
      </w:pPr>
      <w:hyperlink w:anchor="_Toc30677734" w:history="1">
        <w:r w:rsidRPr="00042033">
          <w:rPr>
            <w:rStyle w:val="Hyperlink"/>
            <w:rFonts w:ascii="Times New Roman" w:hAnsi="Times New Roman"/>
          </w:rPr>
          <w:t>6.3.1.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_Toc30677734 \h </w:instrText>
        </w:r>
        <w:r>
          <w:rPr>
            <w:webHidden/>
          </w:rPr>
        </w:r>
        <w:r>
          <w:rPr>
            <w:webHidden/>
          </w:rPr>
          <w:fldChar w:fldCharType="separate"/>
        </w:r>
        <w:r>
          <w:rPr>
            <w:webHidden/>
          </w:rPr>
          <w:t>202</w:t>
        </w:r>
        <w:r>
          <w:rPr>
            <w:webHidden/>
          </w:rPr>
          <w:fldChar w:fldCharType="end"/>
        </w:r>
      </w:hyperlink>
    </w:p>
    <w:p w14:paraId="0BC7CDEA" w14:textId="280C1B68" w:rsidR="0039290F" w:rsidRDefault="0039290F">
      <w:pPr>
        <w:pStyle w:val="TOC2"/>
        <w:rPr>
          <w:rFonts w:asciiTheme="minorHAnsi" w:eastAsiaTheme="minorEastAsia" w:hAnsiTheme="minorHAnsi" w:cstheme="minorBidi"/>
          <w:b w:val="0"/>
          <w:smallCaps w:val="0"/>
          <w:sz w:val="22"/>
          <w:lang w:eastAsia="hr-HR"/>
        </w:rPr>
      </w:pPr>
      <w:hyperlink w:anchor="_Toc30677735" w:history="1">
        <w:r w:rsidRPr="00042033">
          <w:rPr>
            <w:rStyle w:val="Hyperlink"/>
            <w:rFonts w:ascii="Times New Roman" w:hAnsi="Times New Roman"/>
          </w:rPr>
          <w:t>6.3.2.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_Toc30677735 \h </w:instrText>
        </w:r>
        <w:r>
          <w:rPr>
            <w:webHidden/>
          </w:rPr>
        </w:r>
        <w:r>
          <w:rPr>
            <w:webHidden/>
          </w:rPr>
          <w:fldChar w:fldCharType="separate"/>
        </w:r>
        <w:r>
          <w:rPr>
            <w:webHidden/>
          </w:rPr>
          <w:t>202</w:t>
        </w:r>
        <w:r>
          <w:rPr>
            <w:webHidden/>
          </w:rPr>
          <w:fldChar w:fldCharType="end"/>
        </w:r>
      </w:hyperlink>
    </w:p>
    <w:p w14:paraId="0B3343EE" w14:textId="0F3A7443" w:rsidR="0039290F" w:rsidRDefault="0039290F">
      <w:pPr>
        <w:pStyle w:val="TOC2"/>
        <w:rPr>
          <w:rFonts w:asciiTheme="minorHAnsi" w:eastAsiaTheme="minorEastAsia" w:hAnsiTheme="minorHAnsi" w:cstheme="minorBidi"/>
          <w:b w:val="0"/>
          <w:smallCaps w:val="0"/>
          <w:sz w:val="22"/>
          <w:lang w:eastAsia="hr-HR"/>
        </w:rPr>
      </w:pPr>
      <w:hyperlink w:anchor="_Toc30677736" w:history="1">
        <w:r w:rsidRPr="00042033">
          <w:rPr>
            <w:rStyle w:val="Hyperlink"/>
            <w:rFonts w:ascii="Times New Roman" w:hAnsi="Times New Roman"/>
          </w:rPr>
          <w:t>6.4</w:t>
        </w:r>
        <w:r>
          <w:rPr>
            <w:rStyle w:val="Hyperlink"/>
            <w:rFonts w:ascii="Times New Roman" w:hAnsi="Times New Roman"/>
          </w:rPr>
          <w:t>.</w:t>
        </w:r>
        <w:r w:rsidRPr="00042033">
          <w:rPr>
            <w:rStyle w:val="Hyperlink"/>
            <w:rFonts w:ascii="Times New Roman" w:hAnsi="Times New Roman"/>
          </w:rPr>
          <w:t xml:space="preserve"> C 32.04 - Bonitetno vrednovanje: Dodatna prilagodba vrednovanja za koncentrirane pozicije (PruVal 4)</w:t>
        </w:r>
        <w:r>
          <w:rPr>
            <w:webHidden/>
          </w:rPr>
          <w:tab/>
        </w:r>
        <w:r>
          <w:rPr>
            <w:webHidden/>
          </w:rPr>
          <w:fldChar w:fldCharType="begin"/>
        </w:r>
        <w:r>
          <w:rPr>
            <w:webHidden/>
          </w:rPr>
          <w:instrText xml:space="preserve"> PAGEREF _Toc30677736 \h </w:instrText>
        </w:r>
        <w:r>
          <w:rPr>
            <w:webHidden/>
          </w:rPr>
        </w:r>
        <w:r>
          <w:rPr>
            <w:webHidden/>
          </w:rPr>
          <w:fldChar w:fldCharType="separate"/>
        </w:r>
        <w:r>
          <w:rPr>
            <w:webHidden/>
          </w:rPr>
          <w:t>205</w:t>
        </w:r>
        <w:r>
          <w:rPr>
            <w:webHidden/>
          </w:rPr>
          <w:fldChar w:fldCharType="end"/>
        </w:r>
      </w:hyperlink>
    </w:p>
    <w:p w14:paraId="48C1C499" w14:textId="5D1BEE29" w:rsidR="0039290F" w:rsidRDefault="0039290F">
      <w:pPr>
        <w:pStyle w:val="TOC2"/>
        <w:rPr>
          <w:rFonts w:asciiTheme="minorHAnsi" w:eastAsiaTheme="minorEastAsia" w:hAnsiTheme="minorHAnsi" w:cstheme="minorBidi"/>
          <w:b w:val="0"/>
          <w:smallCaps w:val="0"/>
          <w:sz w:val="22"/>
          <w:lang w:eastAsia="hr-HR"/>
        </w:rPr>
      </w:pPr>
      <w:hyperlink w:anchor="_Toc30677737" w:history="1">
        <w:r w:rsidRPr="00042033">
          <w:rPr>
            <w:rStyle w:val="Hyperlink"/>
            <w:rFonts w:ascii="Times New Roman" w:hAnsi="Times New Roman"/>
          </w:rPr>
          <w:t>6.4.1.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_Toc30677737 \h </w:instrText>
        </w:r>
        <w:r>
          <w:rPr>
            <w:webHidden/>
          </w:rPr>
        </w:r>
        <w:r>
          <w:rPr>
            <w:webHidden/>
          </w:rPr>
          <w:fldChar w:fldCharType="separate"/>
        </w:r>
        <w:r>
          <w:rPr>
            <w:webHidden/>
          </w:rPr>
          <w:t>205</w:t>
        </w:r>
        <w:r>
          <w:rPr>
            <w:webHidden/>
          </w:rPr>
          <w:fldChar w:fldCharType="end"/>
        </w:r>
      </w:hyperlink>
    </w:p>
    <w:p w14:paraId="4C9FF1D4" w14:textId="71C535B1" w:rsidR="0039290F" w:rsidRDefault="0039290F">
      <w:pPr>
        <w:pStyle w:val="TOC2"/>
        <w:rPr>
          <w:rFonts w:asciiTheme="minorHAnsi" w:eastAsiaTheme="minorEastAsia" w:hAnsiTheme="minorHAnsi" w:cstheme="minorBidi"/>
          <w:b w:val="0"/>
          <w:smallCaps w:val="0"/>
          <w:sz w:val="22"/>
          <w:lang w:eastAsia="hr-HR"/>
        </w:rPr>
      </w:pPr>
      <w:hyperlink w:anchor="_Toc30677738" w:history="1">
        <w:r w:rsidRPr="00042033">
          <w:rPr>
            <w:rStyle w:val="Hyperlink"/>
            <w:rFonts w:ascii="Times New Roman" w:hAnsi="Times New Roman"/>
          </w:rPr>
          <w:t>6.4.2.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_Toc30677738 \h </w:instrText>
        </w:r>
        <w:r>
          <w:rPr>
            <w:webHidden/>
          </w:rPr>
        </w:r>
        <w:r>
          <w:rPr>
            <w:webHidden/>
          </w:rPr>
          <w:fldChar w:fldCharType="separate"/>
        </w:r>
        <w:r>
          <w:rPr>
            <w:webHidden/>
          </w:rPr>
          <w:t>206</w:t>
        </w:r>
        <w:r>
          <w:rPr>
            <w:webHidden/>
          </w:rPr>
          <w:fldChar w:fldCharType="end"/>
        </w:r>
      </w:hyperlink>
    </w:p>
    <w:p w14:paraId="2F0D4076" w14:textId="7DDFB77A" w:rsidR="0039290F" w:rsidRDefault="0039290F">
      <w:pPr>
        <w:pStyle w:val="TOC2"/>
        <w:rPr>
          <w:rFonts w:asciiTheme="minorHAnsi" w:eastAsiaTheme="minorEastAsia" w:hAnsiTheme="minorHAnsi" w:cstheme="minorBidi"/>
          <w:b w:val="0"/>
          <w:smallCaps w:val="0"/>
          <w:sz w:val="22"/>
          <w:lang w:eastAsia="hr-HR"/>
        </w:rPr>
      </w:pPr>
      <w:hyperlink w:anchor="_Toc30677739" w:history="1">
        <w:r w:rsidRPr="00042033">
          <w:rPr>
            <w:rStyle w:val="Hyperlink"/>
            <w:rFonts w:ascii="Times New Roman" w:hAnsi="Times New Roman"/>
          </w:rPr>
          <w:t>7.</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C 33.00 – IZLOŽENOSTI PREMA OPĆIM DRŽAVAMA (GOV)</w:t>
        </w:r>
        <w:r>
          <w:rPr>
            <w:webHidden/>
          </w:rPr>
          <w:tab/>
        </w:r>
        <w:r>
          <w:rPr>
            <w:webHidden/>
          </w:rPr>
          <w:fldChar w:fldCharType="begin"/>
        </w:r>
        <w:r>
          <w:rPr>
            <w:webHidden/>
          </w:rPr>
          <w:instrText xml:space="preserve"> PAGEREF _Toc30677739 \h </w:instrText>
        </w:r>
        <w:r>
          <w:rPr>
            <w:webHidden/>
          </w:rPr>
        </w:r>
        <w:r>
          <w:rPr>
            <w:webHidden/>
          </w:rPr>
          <w:fldChar w:fldCharType="separate"/>
        </w:r>
        <w:r>
          <w:rPr>
            <w:webHidden/>
          </w:rPr>
          <w:t>208</w:t>
        </w:r>
        <w:r>
          <w:rPr>
            <w:webHidden/>
          </w:rPr>
          <w:fldChar w:fldCharType="end"/>
        </w:r>
      </w:hyperlink>
    </w:p>
    <w:p w14:paraId="2A6EBEAB" w14:textId="70B5F3C9" w:rsidR="0039290F" w:rsidRDefault="0039290F">
      <w:pPr>
        <w:pStyle w:val="TOC2"/>
        <w:rPr>
          <w:rFonts w:asciiTheme="minorHAnsi" w:eastAsiaTheme="minorEastAsia" w:hAnsiTheme="minorHAnsi" w:cstheme="minorBidi"/>
          <w:b w:val="0"/>
          <w:smallCaps w:val="0"/>
          <w:sz w:val="22"/>
          <w:lang w:eastAsia="hr-HR"/>
        </w:rPr>
      </w:pPr>
      <w:hyperlink w:anchor="_Toc30677740" w:history="1">
        <w:r w:rsidRPr="00042033">
          <w:rPr>
            <w:rStyle w:val="Hyperlink"/>
            <w:rFonts w:ascii="Times New Roman" w:hAnsi="Times New Roman"/>
          </w:rPr>
          <w:t>7.1.</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Opće napomene</w:t>
        </w:r>
        <w:r>
          <w:rPr>
            <w:webHidden/>
          </w:rPr>
          <w:tab/>
        </w:r>
        <w:r>
          <w:rPr>
            <w:webHidden/>
          </w:rPr>
          <w:fldChar w:fldCharType="begin"/>
        </w:r>
        <w:r>
          <w:rPr>
            <w:webHidden/>
          </w:rPr>
          <w:instrText xml:space="preserve"> PAGEREF _Toc30677740 \h </w:instrText>
        </w:r>
        <w:r>
          <w:rPr>
            <w:webHidden/>
          </w:rPr>
        </w:r>
        <w:r>
          <w:rPr>
            <w:webHidden/>
          </w:rPr>
          <w:fldChar w:fldCharType="separate"/>
        </w:r>
        <w:r>
          <w:rPr>
            <w:webHidden/>
          </w:rPr>
          <w:t>208</w:t>
        </w:r>
        <w:r>
          <w:rPr>
            <w:webHidden/>
          </w:rPr>
          <w:fldChar w:fldCharType="end"/>
        </w:r>
      </w:hyperlink>
    </w:p>
    <w:p w14:paraId="75956AC1" w14:textId="394CC788" w:rsidR="0039290F" w:rsidRDefault="0039290F">
      <w:pPr>
        <w:pStyle w:val="TOC2"/>
        <w:rPr>
          <w:rFonts w:asciiTheme="minorHAnsi" w:eastAsiaTheme="minorEastAsia" w:hAnsiTheme="minorHAnsi" w:cstheme="minorBidi"/>
          <w:b w:val="0"/>
          <w:smallCaps w:val="0"/>
          <w:sz w:val="22"/>
          <w:lang w:eastAsia="hr-HR"/>
        </w:rPr>
      </w:pPr>
      <w:hyperlink w:anchor="_Toc30677741" w:history="1">
        <w:r w:rsidRPr="00042033">
          <w:rPr>
            <w:rStyle w:val="Hyperlink"/>
            <w:rFonts w:ascii="Times New Roman" w:hAnsi="Times New Roman"/>
          </w:rPr>
          <w:t>7.2.</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Opseg izvješćivanja u obrascu o izloženostima prema „općim državama”</w:t>
        </w:r>
        <w:r>
          <w:rPr>
            <w:webHidden/>
          </w:rPr>
          <w:tab/>
        </w:r>
        <w:r>
          <w:rPr>
            <w:webHidden/>
          </w:rPr>
          <w:fldChar w:fldCharType="begin"/>
        </w:r>
        <w:r>
          <w:rPr>
            <w:webHidden/>
          </w:rPr>
          <w:instrText xml:space="preserve"> PAGEREF _Toc30677741 \h </w:instrText>
        </w:r>
        <w:r>
          <w:rPr>
            <w:webHidden/>
          </w:rPr>
        </w:r>
        <w:r>
          <w:rPr>
            <w:webHidden/>
          </w:rPr>
          <w:fldChar w:fldCharType="separate"/>
        </w:r>
        <w:r>
          <w:rPr>
            <w:webHidden/>
          </w:rPr>
          <w:t>208</w:t>
        </w:r>
        <w:r>
          <w:rPr>
            <w:webHidden/>
          </w:rPr>
          <w:fldChar w:fldCharType="end"/>
        </w:r>
      </w:hyperlink>
    </w:p>
    <w:p w14:paraId="002D56A4" w14:textId="39B62AE4" w:rsidR="0039290F" w:rsidRDefault="0039290F">
      <w:pPr>
        <w:pStyle w:val="TOC2"/>
        <w:rPr>
          <w:rFonts w:asciiTheme="minorHAnsi" w:eastAsiaTheme="minorEastAsia" w:hAnsiTheme="minorHAnsi" w:cstheme="minorBidi"/>
          <w:b w:val="0"/>
          <w:smallCaps w:val="0"/>
          <w:sz w:val="22"/>
          <w:lang w:eastAsia="hr-HR"/>
        </w:rPr>
      </w:pPr>
      <w:hyperlink w:anchor="_Toc30677742" w:history="1">
        <w:r w:rsidRPr="00042033">
          <w:rPr>
            <w:rStyle w:val="Hyperlink"/>
            <w:rFonts w:ascii="Times New Roman" w:hAnsi="Times New Roman"/>
          </w:rPr>
          <w:t>7.3.</w:t>
        </w:r>
        <w:r>
          <w:rPr>
            <w:rFonts w:asciiTheme="minorHAnsi" w:eastAsiaTheme="minorEastAsia" w:hAnsiTheme="minorHAnsi" w:cstheme="minorBidi"/>
            <w:b w:val="0"/>
            <w:smallCaps w:val="0"/>
            <w:sz w:val="22"/>
            <w:lang w:eastAsia="hr-HR"/>
          </w:rPr>
          <w:tab/>
        </w:r>
        <w:r w:rsidRPr="00042033">
          <w:rPr>
            <w:rStyle w:val="Hyperlink"/>
            <w:rFonts w:ascii="Times New Roman" w:hAnsi="Times New Roman"/>
          </w:rPr>
          <w:t>Upute za specifične pozicije</w:t>
        </w:r>
        <w:r>
          <w:rPr>
            <w:webHidden/>
          </w:rPr>
          <w:tab/>
        </w:r>
        <w:r>
          <w:rPr>
            <w:webHidden/>
          </w:rPr>
          <w:fldChar w:fldCharType="begin"/>
        </w:r>
        <w:r>
          <w:rPr>
            <w:webHidden/>
          </w:rPr>
          <w:instrText xml:space="preserve"> PAGEREF _Toc30677742 \h </w:instrText>
        </w:r>
        <w:r>
          <w:rPr>
            <w:webHidden/>
          </w:rPr>
        </w:r>
        <w:r>
          <w:rPr>
            <w:webHidden/>
          </w:rPr>
          <w:fldChar w:fldCharType="separate"/>
        </w:r>
        <w:r>
          <w:rPr>
            <w:webHidden/>
          </w:rPr>
          <w:t>208</w:t>
        </w:r>
        <w:r>
          <w:rPr>
            <w:webHidden/>
          </w:rPr>
          <w:fldChar w:fldCharType="end"/>
        </w:r>
      </w:hyperlink>
    </w:p>
    <w:p w14:paraId="7AC7042C" w14:textId="60D4FF5B" w:rsidR="002648B0" w:rsidRPr="00A30C4C" w:rsidRDefault="00745369" w:rsidP="00005FFC">
      <w:pPr>
        <w:rPr>
          <w:rFonts w:ascii="Times New Roman" w:hAnsi="Times New Roman"/>
          <w:sz w:val="24"/>
        </w:rPr>
        <w:sectPr w:rsidR="002648B0" w:rsidRPr="00A30C4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A30C4C">
        <w:rPr>
          <w:rFonts w:ascii="Times New Roman" w:hAnsi="Times New Roman"/>
          <w:sz w:val="24"/>
        </w:rPr>
        <w:fldChar w:fldCharType="end"/>
      </w:r>
    </w:p>
    <w:p w14:paraId="3FF7FFE6" w14:textId="77777777" w:rsidR="007B4FD3" w:rsidRPr="00A30C4C" w:rsidRDefault="007B4FD3" w:rsidP="00EC5046">
      <w:pPr>
        <w:rPr>
          <w:rFonts w:ascii="Times New Roman" w:hAnsi="Times New Roman"/>
          <w:sz w:val="24"/>
        </w:rPr>
      </w:pPr>
    </w:p>
    <w:p w14:paraId="2820F465" w14:textId="77777777" w:rsidR="002648B0" w:rsidRPr="00A30C4C" w:rsidRDefault="002648B0" w:rsidP="00D64B66">
      <w:pPr>
        <w:pStyle w:val="Heading2"/>
        <w:rPr>
          <w:rFonts w:ascii="Times New Roman" w:hAnsi="Times New Roman"/>
        </w:rPr>
      </w:pPr>
      <w:bookmarkStart w:id="2" w:name="_Toc264038394"/>
      <w:bookmarkStart w:id="3" w:name="_Toc360188317"/>
      <w:bookmarkStart w:id="4" w:name="_Toc473560865"/>
      <w:bookmarkStart w:id="5" w:name="_Toc30677620"/>
      <w:r>
        <w:rPr>
          <w:rFonts w:ascii="Times New Roman" w:hAnsi="Times New Roman"/>
        </w:rPr>
        <w:t>DIO I.:</w:t>
      </w:r>
      <w:bookmarkEnd w:id="2"/>
      <w:r>
        <w:rPr>
          <w:rFonts w:ascii="Times New Roman" w:hAnsi="Times New Roman"/>
        </w:rPr>
        <w:t xml:space="preserve"> OPĆE UPUTE</w:t>
      </w:r>
      <w:bookmarkEnd w:id="3"/>
      <w:bookmarkEnd w:id="4"/>
      <w:bookmarkEnd w:id="5"/>
    </w:p>
    <w:p w14:paraId="134C985E"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30677621"/>
      <w:r>
        <w:rPr>
          <w:rFonts w:ascii="Times New Roman" w:hAnsi="Times New Roman"/>
          <w:sz w:val="24"/>
          <w:u w:val="none"/>
        </w:rPr>
        <w:t>1.</w:t>
      </w:r>
      <w:r>
        <w:rPr>
          <w:rFonts w:ascii="Times New Roman" w:hAnsi="Times New Roman"/>
          <w:sz w:val="24"/>
          <w:u w:val="none"/>
        </w:rPr>
        <w:tab/>
        <w:t>STRUKTURA I PRAVILA</w:t>
      </w:r>
      <w:bookmarkEnd w:id="6"/>
      <w:bookmarkEnd w:id="7"/>
      <w:bookmarkEnd w:id="8"/>
    </w:p>
    <w:p w14:paraId="7C7E012C" w14:textId="77777777" w:rsidR="002648B0" w:rsidRPr="00A30C4C"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30677622"/>
      <w:r>
        <w:rPr>
          <w:rFonts w:ascii="Times New Roman" w:hAnsi="Times New Roman"/>
          <w:sz w:val="24"/>
          <w:u w:val="none"/>
        </w:rPr>
        <w:t>1.1.</w:t>
      </w:r>
      <w:r>
        <w:rPr>
          <w:rFonts w:ascii="Times New Roman" w:hAnsi="Times New Roman"/>
          <w:sz w:val="24"/>
          <w:u w:val="none"/>
        </w:rPr>
        <w:tab/>
        <w:t>Struktura</w:t>
      </w:r>
      <w:bookmarkEnd w:id="9"/>
      <w:bookmarkEnd w:id="10"/>
      <w:bookmarkEnd w:id="13"/>
    </w:p>
    <w:p w14:paraId="08FFE994" w14:textId="77777777" w:rsidR="002648B0" w:rsidRPr="00A30C4C" w:rsidRDefault="00125707" w:rsidP="00C37B29">
      <w:pPr>
        <w:pStyle w:val="InstructionsText2"/>
        <w:numPr>
          <w:ilvl w:val="0"/>
          <w:numId w:val="0"/>
        </w:numPr>
        <w:ind w:left="993"/>
      </w:pPr>
      <w:r>
        <w:t>1.</w:t>
      </w:r>
      <w:r>
        <w:tab/>
        <w:t>Općenito okvir čini pet skupina obrazaca:</w:t>
      </w:r>
    </w:p>
    <w:p w14:paraId="5CB07827" w14:textId="3B1D7259" w:rsidR="002648B0" w:rsidRPr="00A30C4C" w:rsidRDefault="00125707" w:rsidP="00C37B29">
      <w:pPr>
        <w:pStyle w:val="InstructionsText2"/>
        <w:numPr>
          <w:ilvl w:val="0"/>
          <w:numId w:val="0"/>
        </w:numPr>
        <w:ind w:left="993"/>
      </w:pPr>
      <w:r>
        <w:t>(a)</w:t>
      </w:r>
      <w:r>
        <w:tab/>
        <w:t xml:space="preserve">adekvatnost kapitala, pregled regulatornog kapitala, </w:t>
      </w:r>
      <w:r w:rsidR="00BA250A">
        <w:t>ukupni iznos izloženosti riziku</w:t>
      </w:r>
    </w:p>
    <w:p w14:paraId="78FE6281" w14:textId="2C39E21A" w:rsidR="00436204" w:rsidRPr="00A30C4C" w:rsidRDefault="00125707" w:rsidP="00C37B29">
      <w:pPr>
        <w:pStyle w:val="InstructionsText2"/>
        <w:numPr>
          <w:ilvl w:val="0"/>
          <w:numId w:val="0"/>
        </w:numPr>
        <w:ind w:left="993"/>
      </w:pPr>
      <w:r>
        <w:t>(b)</w:t>
      </w:r>
      <w:r>
        <w:tab/>
        <w:t>solventnost grupe, pregled načina na koji svi pojedinačni subjekti uključeni u opseg konsolidacije subjekta koji izvješćuje ispunjavaju zahtjeve koji se odnose n</w:t>
      </w:r>
      <w:r w:rsidR="00BA250A">
        <w:t>a solventnost</w:t>
      </w:r>
    </w:p>
    <w:p w14:paraId="5215F61C" w14:textId="107F6850" w:rsidR="002648B0" w:rsidRPr="00A30C4C" w:rsidRDefault="00125707" w:rsidP="00C37B29">
      <w:pPr>
        <w:pStyle w:val="InstructionsText2"/>
        <w:numPr>
          <w:ilvl w:val="0"/>
          <w:numId w:val="0"/>
        </w:numPr>
        <w:ind w:left="993"/>
      </w:pPr>
      <w:r>
        <w:t>(c)</w:t>
      </w:r>
      <w:r>
        <w:tab/>
        <w:t xml:space="preserve">kreditni rizik (uključujući rizik druge ugovorne strane, </w:t>
      </w:r>
      <w:proofErr w:type="spellStart"/>
      <w:r>
        <w:t>razr</w:t>
      </w:r>
      <w:r w:rsidR="00BA250A">
        <w:t>jeđivački</w:t>
      </w:r>
      <w:proofErr w:type="spellEnd"/>
      <w:r w:rsidR="00BA250A">
        <w:t xml:space="preserve"> rizik i rizik namire)</w:t>
      </w:r>
    </w:p>
    <w:p w14:paraId="2F8F64C4" w14:textId="260D3A29" w:rsidR="002648B0" w:rsidRPr="00A30C4C" w:rsidRDefault="00125707" w:rsidP="00C37B29">
      <w:pPr>
        <w:pStyle w:val="InstructionsText2"/>
        <w:numPr>
          <w:ilvl w:val="0"/>
          <w:numId w:val="0"/>
        </w:numPr>
        <w:ind w:left="993"/>
      </w:pPr>
      <w:r>
        <w:t>(d)</w:t>
      </w:r>
      <w:r>
        <w:tab/>
        <w:t xml:space="preserve">tržišni rizik (uključujući pozicijski rizik u knjizi trgovanja, valutni </w:t>
      </w:r>
      <w:r w:rsidR="00BA250A">
        <w:t>rizik, robni rizik i CVA rizik)</w:t>
      </w:r>
    </w:p>
    <w:p w14:paraId="2B198FD1" w14:textId="77777777" w:rsidR="002648B0" w:rsidRPr="00A30C4C" w:rsidRDefault="00125707" w:rsidP="00C37B29">
      <w:pPr>
        <w:pStyle w:val="InstructionsText2"/>
        <w:numPr>
          <w:ilvl w:val="0"/>
          <w:numId w:val="0"/>
        </w:numPr>
        <w:ind w:left="993"/>
      </w:pPr>
      <w:r>
        <w:t>(e)</w:t>
      </w:r>
      <w:r>
        <w:tab/>
        <w:t>operativni rizik.</w:t>
      </w:r>
    </w:p>
    <w:p w14:paraId="0EAF0BE3" w14:textId="553B310C" w:rsidR="002648B0" w:rsidRPr="00A30C4C" w:rsidRDefault="00125707" w:rsidP="00C37B29">
      <w:pPr>
        <w:pStyle w:val="InstructionsText2"/>
        <w:numPr>
          <w:ilvl w:val="0"/>
          <w:numId w:val="0"/>
        </w:numPr>
        <w:ind w:left="993"/>
      </w:pPr>
      <w:r>
        <w:t>2.</w:t>
      </w:r>
      <w:r>
        <w:tab/>
        <w:t>Za svaki obrazac navodi se pravna osnova. Ovaj dio Provedbene uredbe sadržava dodatne detaljne informacije o općenitijim aspektima izvješćivanja u svakoj skupini obrazaca, upute za specifične pozicije te pravila validacije.</w:t>
      </w:r>
    </w:p>
    <w:p w14:paraId="6C67B776" w14:textId="77777777" w:rsidR="005643EA" w:rsidRPr="00A30C4C" w:rsidRDefault="00125707" w:rsidP="00C37B29">
      <w:pPr>
        <w:pStyle w:val="InstructionsText2"/>
        <w:numPr>
          <w:ilvl w:val="0"/>
          <w:numId w:val="0"/>
        </w:numPr>
        <w:ind w:left="993"/>
      </w:pPr>
      <w:r>
        <w:t>3.</w:t>
      </w:r>
      <w:r>
        <w:tab/>
        <w:t>Institucije izvješćuju samo o obrascima koji su relevantni s obzirom na pristup korišten za određivanje kapitalnih zahtjeva.</w:t>
      </w:r>
    </w:p>
    <w:p w14:paraId="61F62C51"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30677623"/>
      <w:r>
        <w:rPr>
          <w:rFonts w:ascii="Times New Roman" w:hAnsi="Times New Roman"/>
          <w:sz w:val="24"/>
          <w:u w:val="none"/>
        </w:rPr>
        <w:t>1.2.</w:t>
      </w:r>
      <w:r>
        <w:rPr>
          <w:rFonts w:ascii="Times New Roman" w:hAnsi="Times New Roman"/>
          <w:sz w:val="24"/>
          <w:u w:val="none"/>
        </w:rPr>
        <w:tab/>
        <w:t>Pravila označivanja brojevima</w:t>
      </w:r>
      <w:bookmarkEnd w:id="14"/>
      <w:bookmarkEnd w:id="15"/>
      <w:bookmarkEnd w:id="16"/>
    </w:p>
    <w:p w14:paraId="3C0F0268" w14:textId="4AF04ED8" w:rsidR="002648B0" w:rsidRPr="00A30C4C" w:rsidRDefault="00125707" w:rsidP="00C37B29">
      <w:pPr>
        <w:pStyle w:val="InstructionsText2"/>
        <w:numPr>
          <w:ilvl w:val="0"/>
          <w:numId w:val="0"/>
        </w:numPr>
        <w:ind w:left="993"/>
      </w:pPr>
      <w:r>
        <w:t>4.</w:t>
      </w:r>
      <w:r>
        <w:tab/>
        <w:t>Pri upućivanju na stupce, retke i rubrike obrazaca u dokumentu se poštuju pravila označivanja iz točaka od 5. do 8. Te se brojčane oznake u velikoj mjeri koriste u pravilima validacije.</w:t>
      </w:r>
    </w:p>
    <w:p w14:paraId="26DC2799" w14:textId="77777777" w:rsidR="005643EA" w:rsidRPr="00A30C4C" w:rsidRDefault="00125707" w:rsidP="00C37B29">
      <w:pPr>
        <w:pStyle w:val="InstructionsText2"/>
        <w:numPr>
          <w:ilvl w:val="0"/>
          <w:numId w:val="0"/>
        </w:numPr>
        <w:ind w:left="993"/>
      </w:pPr>
      <w:r>
        <w:t>5.</w:t>
      </w:r>
      <w:r>
        <w:tab/>
        <w:t>U uputama se primjenjuje sljedeća opća bilješka:  {obrazac; redak; stupac}.</w:t>
      </w:r>
    </w:p>
    <w:p w14:paraId="66E7EDEC" w14:textId="000D90C9" w:rsidR="002648B0" w:rsidRPr="00A30C4C" w:rsidRDefault="00125707" w:rsidP="00C37B29">
      <w:pPr>
        <w:pStyle w:val="InstructionsText2"/>
        <w:numPr>
          <w:ilvl w:val="0"/>
          <w:numId w:val="0"/>
        </w:numPr>
        <w:ind w:left="993"/>
      </w:pPr>
      <w:r>
        <w:t>6.</w:t>
      </w:r>
      <w:r>
        <w:tab/>
        <w:t>U slučaju validacija u okviru obrasca, u kojem se koriste samo podatkovne točke tog obrasca, bilješkama se ne upućuje na obrazac: {redak; stupac}.</w:t>
      </w:r>
    </w:p>
    <w:p w14:paraId="6A9F72AA" w14:textId="77777777" w:rsidR="005643EA" w:rsidRPr="00A30C4C" w:rsidRDefault="00125707" w:rsidP="00C37B29">
      <w:pPr>
        <w:pStyle w:val="InstructionsText2"/>
        <w:numPr>
          <w:ilvl w:val="0"/>
          <w:numId w:val="0"/>
        </w:numPr>
        <w:ind w:left="993"/>
      </w:pPr>
      <w:r>
        <w:t>7.</w:t>
      </w:r>
      <w:r>
        <w:tab/>
        <w:t>U slučaju obrazaca samo s jednim stupcem upućuje se samo na retke. {obrazac; redak}</w:t>
      </w:r>
    </w:p>
    <w:p w14:paraId="01FECE3C" w14:textId="77777777" w:rsidR="002648B0" w:rsidRPr="00A30C4C" w:rsidRDefault="00125707" w:rsidP="00C37B29">
      <w:pPr>
        <w:pStyle w:val="InstructionsText2"/>
        <w:numPr>
          <w:ilvl w:val="0"/>
          <w:numId w:val="0"/>
        </w:numPr>
        <w:ind w:left="993"/>
      </w:pPr>
      <w:r>
        <w:t>8.</w:t>
      </w:r>
      <w:r>
        <w:tab/>
        <w:t>Znak zvjezdice koristi se kako bi se izrazilo da je validacija provedena za prethodno navedene retke ili stupce.</w:t>
      </w:r>
    </w:p>
    <w:p w14:paraId="273A8B8C"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30677624"/>
      <w:r>
        <w:rPr>
          <w:rFonts w:ascii="Times New Roman" w:hAnsi="Times New Roman"/>
          <w:sz w:val="24"/>
          <w:u w:val="none"/>
        </w:rPr>
        <w:lastRenderedPageBreak/>
        <w:t>1.3.</w:t>
      </w:r>
      <w:r>
        <w:rPr>
          <w:rFonts w:ascii="Times New Roman" w:hAnsi="Times New Roman"/>
          <w:sz w:val="24"/>
          <w:u w:val="none"/>
        </w:rPr>
        <w:tab/>
        <w:t>Pravilo o predznaku</w:t>
      </w:r>
      <w:bookmarkEnd w:id="11"/>
      <w:bookmarkEnd w:id="12"/>
      <w:bookmarkEnd w:id="17"/>
      <w:bookmarkEnd w:id="18"/>
      <w:bookmarkEnd w:id="19"/>
    </w:p>
    <w:p w14:paraId="0C0832BC" w14:textId="4DDA2FB6" w:rsidR="002648B0" w:rsidRPr="00A30C4C" w:rsidRDefault="00125707" w:rsidP="00C37B29">
      <w:pPr>
        <w:pStyle w:val="InstructionsText2"/>
        <w:numPr>
          <w:ilvl w:val="0"/>
          <w:numId w:val="0"/>
        </w:numPr>
        <w:ind w:left="993"/>
      </w:pPr>
      <w:r>
        <w:t>9.</w:t>
      </w:r>
      <w:r>
        <w:tab/>
        <w:t>Svaki iznos kojim se povećava regulatorni kapital ili kapitalni zahtjevi iskazuje se u pozitivnim vrijednostima. Nasuprot tome, svaki iznos kojim se smanjuje ukupni regulatorni kapital ili kapitalni zahtjevi iskazuje se u negativnim vrijednostima. Ako negativni predznak (–) prethodi oznaci stavke, očekuje se da se za tu stavku neće iskazivati pozitivne vrijednosti.</w:t>
      </w:r>
    </w:p>
    <w:p w14:paraId="318F1B9B" w14:textId="77777777" w:rsidR="00304CA5" w:rsidRPr="00A30C4C"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30677625"/>
      <w:r>
        <w:rPr>
          <w:rFonts w:ascii="Times New Roman" w:hAnsi="Times New Roman"/>
          <w:sz w:val="24"/>
          <w:u w:val="none"/>
        </w:rPr>
        <w:t>1.4.</w:t>
      </w:r>
      <w:r>
        <w:rPr>
          <w:rFonts w:ascii="Times New Roman" w:hAnsi="Times New Roman"/>
          <w:sz w:val="24"/>
          <w:u w:val="none"/>
        </w:rPr>
        <w:tab/>
        <w:t>Pokrate</w:t>
      </w:r>
      <w:bookmarkEnd w:id="20"/>
    </w:p>
    <w:p w14:paraId="5A22E3D2" w14:textId="3D50BD04" w:rsidR="00304CA5" w:rsidRPr="00A30C4C" w:rsidRDefault="00304CA5" w:rsidP="00C37B29">
      <w:pPr>
        <w:pStyle w:val="InstructionsText2"/>
        <w:numPr>
          <w:ilvl w:val="0"/>
          <w:numId w:val="0"/>
        </w:numPr>
        <w:ind w:left="993"/>
      </w:pPr>
      <w:r>
        <w:t>9a. Za potrebe ovog Priloga Uredba (EU) br. 575/2013 Europskog parlamenta i Vijeća</w:t>
      </w:r>
      <w:r w:rsidR="00C7103D" w:rsidRPr="00A30C4C">
        <w:rPr>
          <w:rStyle w:val="FootnoteReference"/>
          <w:rFonts w:ascii="Times New Roman" w:hAnsi="Times New Roman"/>
          <w:sz w:val="24"/>
          <w:szCs w:val="24"/>
          <w:vertAlign w:val="superscript"/>
        </w:rPr>
        <w:footnoteReference w:id="2"/>
      </w:r>
      <w:r>
        <w:t xml:space="preserve"> naziva se „CRR”, Direktiva 2013/36/EU Europskog parlamenta i Vijeća</w:t>
      </w:r>
      <w:r w:rsidR="00C7103D" w:rsidRPr="00A30C4C">
        <w:rPr>
          <w:rStyle w:val="FootnoteReference"/>
          <w:rFonts w:ascii="Times New Roman" w:hAnsi="Times New Roman"/>
          <w:sz w:val="24"/>
          <w:szCs w:val="24"/>
          <w:vertAlign w:val="superscript"/>
        </w:rPr>
        <w:footnoteReference w:id="3"/>
      </w:r>
      <w:r>
        <w:t xml:space="preserve"> naziva se „CRD”, Direktiva 2013/34/EU Europskog parlamenta i Vijeća</w:t>
      </w:r>
      <w:r w:rsidR="002F78EA" w:rsidRPr="00A30C4C">
        <w:rPr>
          <w:rStyle w:val="FootnoteReference"/>
          <w:rFonts w:ascii="Times New Roman" w:hAnsi="Times New Roman"/>
          <w:sz w:val="24"/>
          <w:szCs w:val="24"/>
          <w:vertAlign w:val="superscript"/>
        </w:rPr>
        <w:footnoteReference w:id="4"/>
      </w:r>
      <w:r>
        <w:t xml:space="preserve"> naziva se „AD”, a Direktiva Vijeća 86/635/EEZ</w:t>
      </w:r>
      <w:r w:rsidR="002F78EA" w:rsidRPr="00A30C4C">
        <w:rPr>
          <w:rStyle w:val="FootnoteReference"/>
          <w:rFonts w:ascii="Times New Roman" w:hAnsi="Times New Roman"/>
          <w:sz w:val="24"/>
          <w:szCs w:val="24"/>
          <w:vertAlign w:val="superscript"/>
        </w:rPr>
        <w:footnoteReference w:id="5"/>
      </w:r>
      <w:r>
        <w:t xml:space="preserve"> naziva se „BAD”.</w:t>
      </w:r>
    </w:p>
    <w:p w14:paraId="078AD951" w14:textId="77777777" w:rsidR="00304CA5" w:rsidRPr="00A30C4C" w:rsidRDefault="00304CA5" w:rsidP="00C37B29">
      <w:pPr>
        <w:pStyle w:val="InstructionsText2"/>
        <w:numPr>
          <w:ilvl w:val="0"/>
          <w:numId w:val="0"/>
        </w:numPr>
        <w:ind w:left="993"/>
      </w:pPr>
    </w:p>
    <w:p w14:paraId="74BFACB9" w14:textId="77777777" w:rsidR="002648B0" w:rsidRPr="00A30C4C" w:rsidRDefault="002648B0" w:rsidP="00FD239F">
      <w:pPr>
        <w:pStyle w:val="InstructionsText2"/>
        <w:sectPr w:rsidR="002648B0" w:rsidRPr="00A30C4C"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8522D2A" w14:textId="77777777" w:rsidR="002648B0" w:rsidRPr="00A30C4C" w:rsidRDefault="002648B0" w:rsidP="00005FFC">
      <w:pPr>
        <w:rPr>
          <w:rFonts w:ascii="Times New Roman" w:hAnsi="Times New Roman"/>
          <w:sz w:val="24"/>
        </w:rPr>
      </w:pPr>
    </w:p>
    <w:p w14:paraId="039B9D1F" w14:textId="77777777" w:rsidR="002648B0" w:rsidRPr="00A30C4C" w:rsidRDefault="002648B0" w:rsidP="00D64B66">
      <w:pPr>
        <w:pStyle w:val="Heading2"/>
        <w:rPr>
          <w:rFonts w:ascii="Times New Roman" w:hAnsi="Times New Roman"/>
        </w:rPr>
      </w:pPr>
      <w:bookmarkStart w:id="22" w:name="_Toc360188322"/>
      <w:bookmarkStart w:id="23" w:name="_Toc473560870"/>
      <w:bookmarkStart w:id="24" w:name="_Toc30677626"/>
      <w:r>
        <w:rPr>
          <w:rFonts w:ascii="Times New Roman" w:hAnsi="Times New Roman"/>
        </w:rPr>
        <w:t>DIO II.: UPUTE POVEZANE S POJEDINIM OBRASCEM</w:t>
      </w:r>
      <w:bookmarkEnd w:id="22"/>
      <w:bookmarkEnd w:id="23"/>
      <w:bookmarkEnd w:id="24"/>
    </w:p>
    <w:p w14:paraId="03E7614B"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30677627"/>
      <w:r>
        <w:rPr>
          <w:rFonts w:ascii="Times New Roman" w:hAnsi="Times New Roman"/>
          <w:sz w:val="24"/>
          <w:u w:val="none"/>
        </w:rPr>
        <w:t>1.</w:t>
      </w:r>
      <w:r>
        <w:rPr>
          <w:rFonts w:ascii="Times New Roman" w:hAnsi="Times New Roman"/>
          <w:sz w:val="24"/>
          <w:u w:val="none"/>
        </w:rPr>
        <w:tab/>
      </w:r>
      <w:bookmarkStart w:id="27" w:name="_Toc360188323"/>
      <w:r>
        <w:rPr>
          <w:rFonts w:ascii="Times New Roman" w:hAnsi="Times New Roman"/>
          <w:sz w:val="24"/>
          <w:u w:val="none"/>
        </w:rPr>
        <w:t>Pregled adekvatnosti kapitala</w:t>
      </w:r>
      <w:bookmarkEnd w:id="27"/>
      <w:r>
        <w:rPr>
          <w:rFonts w:ascii="Times New Roman" w:hAnsi="Times New Roman"/>
          <w:sz w:val="24"/>
          <w:u w:val="none"/>
        </w:rPr>
        <w:t xml:space="preserve"> („CA”)</w:t>
      </w:r>
      <w:bookmarkEnd w:id="25"/>
      <w:bookmarkEnd w:id="26"/>
    </w:p>
    <w:p w14:paraId="5E8C221B"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30677628"/>
      <w:r>
        <w:rPr>
          <w:rFonts w:ascii="Times New Roman" w:hAnsi="Times New Roman"/>
          <w:sz w:val="24"/>
          <w:u w:val="none"/>
        </w:rPr>
        <w:t>1.1.</w:t>
      </w:r>
      <w:r>
        <w:rPr>
          <w:rFonts w:ascii="Times New Roman" w:hAnsi="Times New Roman"/>
          <w:sz w:val="24"/>
          <w:u w:val="none"/>
        </w:rPr>
        <w:tab/>
        <w:t>Opće napomene</w:t>
      </w:r>
      <w:bookmarkEnd w:id="28"/>
      <w:bookmarkEnd w:id="29"/>
      <w:bookmarkEnd w:id="30"/>
      <w:bookmarkEnd w:id="31"/>
    </w:p>
    <w:p w14:paraId="410557ED" w14:textId="0DF4FF23" w:rsidR="002648B0" w:rsidRPr="00A30C4C" w:rsidRDefault="00125707" w:rsidP="00C37B29">
      <w:pPr>
        <w:pStyle w:val="InstructionsText2"/>
        <w:numPr>
          <w:ilvl w:val="0"/>
          <w:numId w:val="0"/>
        </w:numPr>
        <w:ind w:left="993"/>
      </w:pPr>
      <w:r>
        <w:t>10.</w:t>
      </w:r>
      <w:r>
        <w:tab/>
        <w:t xml:space="preserve">Obrasci CA sadržavaju informacije o brojnicima prvog stupa (regulatornom kapitalu, osnovnom kapitalu, redovnom osnovnom kapitalu), nazivniku (kapitalnim zahtjevima) i primjeni prijelaznih odredbi CRR-a i CRD-a te su strukturirani u pet obrazaca: </w:t>
      </w:r>
    </w:p>
    <w:p w14:paraId="050AEB14" w14:textId="77777777" w:rsidR="005643EA" w:rsidRPr="00A30C4C" w:rsidRDefault="00125707" w:rsidP="00C37B29">
      <w:pPr>
        <w:pStyle w:val="InstructionsText2"/>
        <w:numPr>
          <w:ilvl w:val="0"/>
          <w:numId w:val="0"/>
        </w:numPr>
        <w:ind w:left="993"/>
      </w:pPr>
      <w:r>
        <w:t>(a)</w:t>
      </w:r>
      <w:r>
        <w:tab/>
        <w:t>Obrazac CA1 sadržava iznos regulatornog kapitala institucija, raščlanjenog na stavke potrebne da bi se došlo do tog iznosa. Dobiveni iznos regulatornog kapitala uključuje zbirni učinak primjene prijelaznih odredbi CRR-a i CRD-a prema vrsti kapitala</w:t>
      </w:r>
    </w:p>
    <w:p w14:paraId="0EE918CA" w14:textId="4F679D9C" w:rsidR="005643EA" w:rsidRPr="00A30C4C" w:rsidRDefault="00125707" w:rsidP="00C37B29">
      <w:pPr>
        <w:pStyle w:val="InstructionsText2"/>
        <w:numPr>
          <w:ilvl w:val="0"/>
          <w:numId w:val="0"/>
        </w:numPr>
        <w:ind w:left="993"/>
      </w:pPr>
      <w:r>
        <w:t>(b)</w:t>
      </w:r>
      <w:r>
        <w:tab/>
        <w:t>Obrazac CA2 sadržava sažetak ukupnih iznosa izloženosti riziku kako je definirano u članku 92. stavku 3. CRR-a</w:t>
      </w:r>
    </w:p>
    <w:p w14:paraId="1F68AB8A" w14:textId="77777777" w:rsidR="005643EA" w:rsidRPr="00A30C4C" w:rsidRDefault="00125707" w:rsidP="00C37B29">
      <w:pPr>
        <w:pStyle w:val="InstructionsText2"/>
        <w:numPr>
          <w:ilvl w:val="0"/>
          <w:numId w:val="0"/>
        </w:numPr>
        <w:ind w:left="993"/>
      </w:pPr>
      <w:r>
        <w:t>(c)</w:t>
      </w:r>
      <w:r>
        <w:tab/>
        <w:t>Obrazac CA3 sadržava stope za koje je CRR-om određena najniža razina i druge povezane podatke</w:t>
      </w:r>
    </w:p>
    <w:p w14:paraId="0D89A2C7" w14:textId="53175F87" w:rsidR="005643EA" w:rsidRPr="00A30C4C" w:rsidRDefault="00125707" w:rsidP="00C37B29">
      <w:pPr>
        <w:pStyle w:val="InstructionsText2"/>
        <w:numPr>
          <w:ilvl w:val="0"/>
          <w:numId w:val="0"/>
        </w:numPr>
        <w:ind w:left="993"/>
      </w:pPr>
      <w:r>
        <w:t>(d)</w:t>
      </w:r>
      <w:r>
        <w:tab/>
        <w:t xml:space="preserve">Obrazac CA4 sadržava bilješke potrebne, među ostalim, za izračun stavki iz obrasca CA1 te informacije o zaštitnim slojevima kapitala u skladu s CRD-om. </w:t>
      </w:r>
    </w:p>
    <w:p w14:paraId="7436775E" w14:textId="1BBE5A85" w:rsidR="005643EA" w:rsidRPr="00A30C4C" w:rsidRDefault="00125707" w:rsidP="00C37B29">
      <w:pPr>
        <w:pStyle w:val="InstructionsText2"/>
        <w:numPr>
          <w:ilvl w:val="0"/>
          <w:numId w:val="0"/>
        </w:numPr>
        <w:ind w:left="993"/>
      </w:pPr>
      <w:r>
        <w:t>(e)</w:t>
      </w:r>
      <w:r>
        <w:tab/>
        <w:t>Obrazac CA5 sadržava podatke potrebne za izračun učinka prijelaznih odredbi CRR-a na regulatorni kapital. Obrazac CA5 prestat će postojati nakon isteka tih prijelaznih odredbi.</w:t>
      </w:r>
    </w:p>
    <w:p w14:paraId="688E5180" w14:textId="462E34C5" w:rsidR="00783881" w:rsidRPr="00A30C4C" w:rsidRDefault="00125707" w:rsidP="00C37B29">
      <w:pPr>
        <w:pStyle w:val="InstructionsText2"/>
        <w:numPr>
          <w:ilvl w:val="0"/>
          <w:numId w:val="0"/>
        </w:numPr>
        <w:ind w:left="993"/>
      </w:pPr>
      <w:r>
        <w:t>11.</w:t>
      </w:r>
      <w:r>
        <w:tab/>
        <w:t>Obrasce koriste svi subjekti koji izvješćuju, bez obzira na računovodstvene standarde koje primjenjuju, iako su neke stavke u brojniku specifične za subjekte koji primjenjuju pravila vrednovanja prema MRS-ovima/MSFI-</w:t>
      </w:r>
      <w:proofErr w:type="spellStart"/>
      <w:r>
        <w:t>jima</w:t>
      </w:r>
      <w:proofErr w:type="spellEnd"/>
      <w:r>
        <w:t>. Općenito su informacije u nazivniku povezane s konačnim rezultatima koji se iskazuju u odgovarajućim obrascima za izračun ukupnog iznosa izloženosti riziku.</w:t>
      </w:r>
    </w:p>
    <w:p w14:paraId="36D97B2F" w14:textId="75AB431A" w:rsidR="005643EA" w:rsidRPr="00A30C4C" w:rsidRDefault="00125707" w:rsidP="00C37B29">
      <w:pPr>
        <w:pStyle w:val="InstructionsText2"/>
        <w:numPr>
          <w:ilvl w:val="0"/>
          <w:numId w:val="0"/>
        </w:numPr>
        <w:ind w:left="993"/>
      </w:pPr>
      <w:r>
        <w:t>12.</w:t>
      </w:r>
      <w:r>
        <w:tab/>
        <w:t xml:space="preserve">Ukupni regulatorni kapital čine različite vrste kapitala:  osnovni kapital (T1), koji je zbroj redovnog osnovnog kapitala (CET1) i dodatnog osnovnog kapitala (AT1) te dopunskog kapitala (T2). </w:t>
      </w:r>
    </w:p>
    <w:p w14:paraId="50579230" w14:textId="438E9A1E" w:rsidR="00783881" w:rsidRPr="00A30C4C" w:rsidRDefault="00125707" w:rsidP="00C37B29">
      <w:pPr>
        <w:pStyle w:val="InstructionsText2"/>
        <w:numPr>
          <w:ilvl w:val="0"/>
          <w:numId w:val="0"/>
        </w:numPr>
        <w:ind w:left="993"/>
      </w:pPr>
      <w:r>
        <w:t>13.</w:t>
      </w:r>
      <w:r>
        <w:tab/>
        <w:t>Prijelazne odredbe CRR-a i CRD-a u obrascima CA tretiraju se kako slijedi:</w:t>
      </w:r>
    </w:p>
    <w:p w14:paraId="4A902CA7" w14:textId="30195111" w:rsidR="00783881" w:rsidRPr="00A30C4C" w:rsidRDefault="00125707" w:rsidP="00C37B29">
      <w:pPr>
        <w:pStyle w:val="InstructionsText2"/>
        <w:numPr>
          <w:ilvl w:val="0"/>
          <w:numId w:val="0"/>
        </w:numPr>
        <w:ind w:left="993"/>
      </w:pPr>
      <w:r>
        <w:t>(a)</w:t>
      </w:r>
      <w:r>
        <w:tab/>
        <w:t>Za stavke u obrascu CA1 općenito nisu u obzir uzeta prijelazna usklađenja. To znači da se vrijednosti stavki iz obrasca CA1 izračunavaju u skladu sa završnim odredbama (tj. kao da nema prijelaznih odredbi), izuzev stavki u kojima je sažeto prikazan učinak tih prijelaznih odredbi. Za svaku vrstu kapitala (tj. redovni osnovni kapital,  dodatni osnovni kapital i dopunski kapital) postoje tri različite stavke u koje su uključena sva usklađenja nastala zbog tih prijelaznih odredbi.</w:t>
      </w:r>
    </w:p>
    <w:p w14:paraId="180DEE1E" w14:textId="74EC2666" w:rsidR="00113EA5" w:rsidRPr="00A30C4C" w:rsidRDefault="00125707" w:rsidP="00C37B29">
      <w:pPr>
        <w:pStyle w:val="InstructionsText2"/>
        <w:numPr>
          <w:ilvl w:val="0"/>
          <w:numId w:val="0"/>
        </w:numPr>
        <w:ind w:left="993"/>
      </w:pPr>
      <w:r>
        <w:lastRenderedPageBreak/>
        <w:t>(b)</w:t>
      </w:r>
      <w:r>
        <w:tab/>
        <w:t>Prijelazne odredbe mogu utjecati i na manjak dodatnog osnovnog i dopunskog kapitala (tj. odbitak koji premašuje dodatni osnovni ili dopunski kapital, uređen člankom 36. stavkom 1. točkom (j) odnosno člankom 56. točkom (e) CRR-a) te stoga stavke koje sadržavaju te manjkove mogu neizravno odražavati učinak tih prijelaznih odredbi.</w:t>
      </w:r>
    </w:p>
    <w:p w14:paraId="6974BA81" w14:textId="25971D24" w:rsidR="005643EA" w:rsidRPr="00A30C4C" w:rsidRDefault="00125707" w:rsidP="00C37B29">
      <w:pPr>
        <w:pStyle w:val="InstructionsText2"/>
        <w:numPr>
          <w:ilvl w:val="0"/>
          <w:numId w:val="0"/>
        </w:numPr>
        <w:ind w:left="993"/>
      </w:pPr>
      <w:r>
        <w:t>(c)</w:t>
      </w:r>
      <w:r>
        <w:tab/>
        <w:t xml:space="preserve">Obrazac CA5 isključivo se koristi za izvješćivanje o učinku zbog primjene prijelaznih odredbi CRR-a. </w:t>
      </w:r>
    </w:p>
    <w:p w14:paraId="3E23DD40" w14:textId="66AE9543" w:rsidR="00783881" w:rsidRPr="00A30C4C" w:rsidRDefault="00125707" w:rsidP="00C37B29">
      <w:pPr>
        <w:pStyle w:val="InstructionsText2"/>
        <w:numPr>
          <w:ilvl w:val="0"/>
          <w:numId w:val="0"/>
        </w:numPr>
        <w:ind w:left="993"/>
      </w:pPr>
      <w:r>
        <w:t>14.</w:t>
      </w:r>
      <w:r>
        <w:tab/>
        <w:t>Tretman zahtjeva iz stupa II. može se razlikovati u Uniji (članak 104. stavak 2. CRD-a potrebno je prenijeti u nacionalno zakonodavstvo). Samo se učinak zahtjeva iz stupa II. na stopu solventnosti ili ciljnu stopu uključuje u izvješćivanje o solventnosti propisano u skladu s CRR-om. Detaljno izvješćivanje o zahtjevima iz stupa II. ne spada u obveze iz članka 99. CRR-a.</w:t>
      </w:r>
    </w:p>
    <w:p w14:paraId="00EBB9CB" w14:textId="77777777" w:rsidR="005643EA" w:rsidRPr="00A30C4C" w:rsidRDefault="00125707" w:rsidP="00C37B29">
      <w:pPr>
        <w:pStyle w:val="InstructionsText2"/>
        <w:numPr>
          <w:ilvl w:val="0"/>
          <w:numId w:val="0"/>
        </w:numPr>
        <w:ind w:left="993"/>
      </w:pPr>
      <w:r>
        <w:t>a)</w:t>
      </w:r>
      <w:r>
        <w:tab/>
        <w:t>Obrasci CA1, CA2 ili CA5 sadržavaju samo podatke o pitanjima iz stupa II.</w:t>
      </w:r>
    </w:p>
    <w:p w14:paraId="6E43568B" w14:textId="52A1180F" w:rsidR="005643EA" w:rsidRPr="00A30C4C" w:rsidRDefault="00125707" w:rsidP="00C37B29">
      <w:pPr>
        <w:pStyle w:val="InstructionsText2"/>
        <w:numPr>
          <w:ilvl w:val="0"/>
          <w:numId w:val="0"/>
        </w:numPr>
        <w:ind w:left="993"/>
      </w:pPr>
      <w:r>
        <w:t>b)</w:t>
      </w:r>
      <w:r>
        <w:tab/>
        <w:t>Obrazac CA3 sadržava utjecaj dodatnih zahtjeva iz stupa II. na stopu solventnosti na agregiranoj osnovi. Jedna je skupina usmjerena na utjecaj iznosa na stope, dok je druga usmjerena na samu stopu. Te dvije skupine stopa nisu na drugi način povezane s obrascima CA1, CA2 ili CA5.</w:t>
      </w:r>
    </w:p>
    <w:p w14:paraId="285BFC5F" w14:textId="67B6D070" w:rsidR="005643EA" w:rsidRPr="00A30C4C" w:rsidRDefault="00125707" w:rsidP="00C37B29">
      <w:pPr>
        <w:pStyle w:val="InstructionsText2"/>
        <w:numPr>
          <w:ilvl w:val="0"/>
          <w:numId w:val="0"/>
        </w:numPr>
        <w:ind w:left="993"/>
      </w:pPr>
      <w:r>
        <w:t>c)</w:t>
      </w:r>
      <w:r>
        <w:tab/>
        <w:t>Obrazac CA4 sadržava jednu rubriku o dodatnim kapitalnim zahtjevima koji se odnose na stup II. Ta rubrika nije povezana pravilima validacije sa stopama kapitala iz obrasca CA3 i uzima u obzir članak 104. stavak 2. CRD-a u kojem se izričito navode dodatni kapitalni zahtjevi kao jedna mogućnost za odluke u okviru stupa II.</w:t>
      </w:r>
    </w:p>
    <w:p w14:paraId="6BEDA0D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30677629"/>
      <w:r>
        <w:rPr>
          <w:rFonts w:ascii="Times New Roman" w:hAnsi="Times New Roman"/>
          <w:sz w:val="24"/>
          <w:u w:val="none"/>
        </w:rPr>
        <w:t>1.2.</w:t>
      </w:r>
      <w:r>
        <w:rPr>
          <w:rFonts w:ascii="Times New Roman" w:hAnsi="Times New Roman"/>
          <w:sz w:val="24"/>
          <w:u w:val="none"/>
        </w:rPr>
        <w:tab/>
      </w:r>
      <w:r>
        <w:rPr>
          <w:rFonts w:ascii="Times New Roman" w:hAnsi="Times New Roman"/>
          <w:sz w:val="24"/>
        </w:rPr>
        <w:t>C 01.00 – REGULATORNI KAPITAL (CA1)</w:t>
      </w:r>
      <w:bookmarkEnd w:id="32"/>
      <w:bookmarkEnd w:id="35"/>
      <w:r>
        <w:rPr>
          <w:rFonts w:ascii="Times New Roman" w:hAnsi="Times New Roman"/>
          <w:sz w:val="24"/>
        </w:rPr>
        <w:t xml:space="preserve"> </w:t>
      </w:r>
      <w:bookmarkEnd w:id="33"/>
      <w:bookmarkEnd w:id="34"/>
    </w:p>
    <w:p w14:paraId="1640AAF5"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30677630"/>
      <w:r>
        <w:rPr>
          <w:rFonts w:ascii="Times New Roman" w:hAnsi="Times New Roman"/>
          <w:sz w:val="24"/>
          <w:u w:val="none"/>
        </w:rPr>
        <w:t>1.2.1.</w:t>
      </w:r>
      <w:r>
        <w:rPr>
          <w:rFonts w:ascii="Times New Roman" w:hAnsi="Times New Roman"/>
          <w:sz w:val="24"/>
          <w:u w:val="none"/>
        </w:rPr>
        <w:tab/>
      </w:r>
      <w:bookmarkStart w:id="40" w:name="_Toc308175821"/>
      <w:r>
        <w:rPr>
          <w:rFonts w:ascii="Times New Roman" w:hAnsi="Times New Roman"/>
          <w:sz w:val="24"/>
        </w:rPr>
        <w:t xml:space="preserve">Upute za specifične </w:t>
      </w:r>
      <w:bookmarkEnd w:id="40"/>
      <w:bookmarkEnd w:id="36"/>
      <w:r>
        <w:rPr>
          <w:rFonts w:ascii="Times New Roman" w:hAnsi="Times New Roman"/>
          <w:sz w:val="24"/>
        </w:rPr>
        <w:t>pozicije</w:t>
      </w:r>
      <w:bookmarkEnd w:id="37"/>
      <w:bookmarkEnd w:id="38"/>
      <w:bookmarkEnd w:id="39"/>
    </w:p>
    <w:p w14:paraId="49EB31E0"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A30C4C" w14:paraId="5D5CC09A" w14:textId="77777777" w:rsidTr="00672D2A">
        <w:tc>
          <w:tcPr>
            <w:tcW w:w="1129" w:type="dxa"/>
            <w:shd w:val="clear" w:color="auto" w:fill="D9D9D9"/>
          </w:tcPr>
          <w:p w14:paraId="5EE5330B"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Redak</w:t>
            </w:r>
          </w:p>
        </w:tc>
        <w:tc>
          <w:tcPr>
            <w:tcW w:w="7620" w:type="dxa"/>
            <w:shd w:val="clear" w:color="auto" w:fill="D9D9D9"/>
          </w:tcPr>
          <w:p w14:paraId="19E41094"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Pravna osnova i upute</w:t>
            </w:r>
          </w:p>
        </w:tc>
      </w:tr>
      <w:tr w:rsidR="002648B0" w:rsidRPr="00A30C4C" w14:paraId="0E5D273A" w14:textId="77777777" w:rsidTr="00672D2A">
        <w:tc>
          <w:tcPr>
            <w:tcW w:w="1129" w:type="dxa"/>
          </w:tcPr>
          <w:p w14:paraId="4A55AEAF"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14:paraId="541B4823" w14:textId="77777777" w:rsidR="00D7242F" w:rsidRPr="00A30C4C"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Regulatorni kapital</w:t>
            </w:r>
          </w:p>
          <w:p w14:paraId="35AB5B61" w14:textId="18764E91"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118. i članak 72. CRR-a</w:t>
            </w:r>
          </w:p>
          <w:p w14:paraId="09DD6AF6" w14:textId="77777777" w:rsidR="005643EA" w:rsidRPr="00A30C4C"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Regulatorni kapital institucije sastoji se od zbroja osnovnog kapitala i dopunskog kapitala.</w:t>
            </w:r>
          </w:p>
        </w:tc>
      </w:tr>
      <w:tr w:rsidR="00666996" w:rsidRPr="00A30C4C" w14:paraId="16D41D9A" w14:textId="77777777" w:rsidTr="00672D2A">
        <w:tc>
          <w:tcPr>
            <w:tcW w:w="1129" w:type="dxa"/>
          </w:tcPr>
          <w:p w14:paraId="26B696F7"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14:paraId="45CA52BA" w14:textId="73243AA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002B242C">
              <w:rPr>
                <w:rStyle w:val="InstructionsTabelleberschrift"/>
                <w:rFonts w:ascii="Times New Roman" w:hAnsi="Times New Roman"/>
                <w:sz w:val="24"/>
              </w:rPr>
              <w:t>.</w:t>
            </w:r>
            <w:r>
              <w:rPr>
                <w:rStyle w:val="InstructionsTabelleberschrift"/>
                <w:rFonts w:ascii="Times New Roman" w:hAnsi="Times New Roman"/>
                <w:sz w:val="24"/>
              </w:rPr>
              <w:tab/>
              <w:t>Osnovni kapital</w:t>
            </w:r>
          </w:p>
          <w:p w14:paraId="7DD490F8" w14:textId="0DB0C581"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25. CRR-a</w:t>
            </w:r>
          </w:p>
          <w:p w14:paraId="5ECA6D68" w14:textId="77777777" w:rsidR="005643EA" w:rsidRPr="00A30C4C"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Osnovni kapital zbroj je redovnog osnovnog kapitala i dodatnog osnovnog kapitala. </w:t>
            </w:r>
          </w:p>
        </w:tc>
      </w:tr>
      <w:tr w:rsidR="002648B0" w:rsidRPr="00A30C4C" w14:paraId="1E32E0D4" w14:textId="77777777" w:rsidTr="00672D2A">
        <w:tc>
          <w:tcPr>
            <w:tcW w:w="1129" w:type="dxa"/>
          </w:tcPr>
          <w:p w14:paraId="62806938"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14:paraId="73518619"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Redovni osnovni kapital</w:t>
            </w:r>
          </w:p>
          <w:p w14:paraId="1992577C" w14:textId="51959B83"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50. CRR-a</w:t>
            </w:r>
          </w:p>
        </w:tc>
      </w:tr>
      <w:tr w:rsidR="002648B0" w:rsidRPr="00A30C4C" w14:paraId="168CAFD1" w14:textId="77777777" w:rsidTr="00672D2A">
        <w:tc>
          <w:tcPr>
            <w:tcW w:w="1129" w:type="dxa"/>
          </w:tcPr>
          <w:p w14:paraId="20E7E202"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14:paraId="7AD63B05" w14:textId="77777777" w:rsidR="005643EA" w:rsidRPr="0002267E"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Pr>
                <w:rStyle w:val="InstructionsTabelleberschrift"/>
                <w:rFonts w:ascii="Times New Roman" w:hAnsi="Times New Roman"/>
                <w:sz w:val="24"/>
              </w:rPr>
              <w:tab/>
              <w:t>Instrumenti kapitala koji se priznaju kao redovni osnovni kapital</w:t>
            </w:r>
          </w:p>
          <w:p w14:paraId="07A315EC" w14:textId="243F4855" w:rsidR="005643EA" w:rsidRPr="00A30C4C" w:rsidRDefault="00C7103D"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26. stavak 1. točke (a) i (b), članci od 27. do 30., članak 36. stavak 1. točka (f) i članak 42. CRR-a</w:t>
            </w:r>
          </w:p>
        </w:tc>
      </w:tr>
      <w:tr w:rsidR="002648B0" w:rsidRPr="00A30C4C" w14:paraId="7D83D84B" w14:textId="77777777" w:rsidTr="00672D2A">
        <w:tc>
          <w:tcPr>
            <w:tcW w:w="1129" w:type="dxa"/>
          </w:tcPr>
          <w:p w14:paraId="2E41976E"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620" w:type="dxa"/>
          </w:tcPr>
          <w:p w14:paraId="255B1AC6"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Plaćeni instrumenti kapitala</w:t>
            </w:r>
          </w:p>
          <w:p w14:paraId="331EE02B" w14:textId="14718085"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1. točka (a) i članci od 27. do 31. CRR-a</w:t>
            </w:r>
          </w:p>
          <w:p w14:paraId="428A9AFA" w14:textId="615C3040" w:rsidR="00FE3BD8" w:rsidRPr="00A30C4C"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Uključuju se instrumenti kapitala uzajamnih institucija, zadruga ili sličnih institucija (članci 27. i 29. CRR-a).</w:t>
            </w:r>
          </w:p>
          <w:p w14:paraId="5A683BFD" w14:textId="77777777" w:rsidR="00FE3BD8"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 uključuje se premija na dionice povezana s instrumentima.</w:t>
            </w:r>
          </w:p>
          <w:p w14:paraId="6BD24A93" w14:textId="77777777" w:rsidR="005643EA" w:rsidRPr="00A30C4C"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Instrumenti kapitala koje upisuju tijela javne vlasti u izvanrednim situacijama uključuju se ako su ispunjeni svi uvjeti iz članka 31. CRR-a.</w:t>
            </w:r>
          </w:p>
        </w:tc>
      </w:tr>
      <w:tr w:rsidR="00216D67" w:rsidRPr="00A30C4C" w14:paraId="4168FE51" w14:textId="77777777" w:rsidTr="00672D2A">
        <w:tc>
          <w:tcPr>
            <w:tcW w:w="1129" w:type="dxa"/>
          </w:tcPr>
          <w:p w14:paraId="460DAEDB" w14:textId="77777777" w:rsidR="00216D67" w:rsidRPr="00A30C4C"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14:paraId="15F9D9E8" w14:textId="77777777" w:rsidR="00216D67" w:rsidRPr="00A30C4C"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Pr>
                <w:rStyle w:val="InstructionsTabelleberschrift"/>
                <w:rFonts w:ascii="Times New Roman" w:hAnsi="Times New Roman"/>
                <w:sz w:val="24"/>
              </w:rPr>
              <w:tab/>
              <w:t>Od čega: Instrumenti kapitala koje upisuju tijela javne vlasti u izvanrednim situacijama</w:t>
            </w:r>
          </w:p>
          <w:p w14:paraId="2D2964A9" w14:textId="28B40176" w:rsidR="00216D67" w:rsidRPr="00A30C4C"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31. CRR-a</w:t>
            </w:r>
          </w:p>
          <w:p w14:paraId="280776E5" w14:textId="77777777" w:rsidR="00216D67" w:rsidRPr="00A30C4C"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Instrumenti kapitala koje upisuju tijela javne vlasti u izvanrednim situacijama uključuju se u redovni osnovni kapital ako su ispunjeni svi uvjeti iz članka 31. CRR-a.</w:t>
            </w:r>
          </w:p>
        </w:tc>
      </w:tr>
      <w:tr w:rsidR="002648B0" w:rsidRPr="00A30C4C" w14:paraId="3D94B46C" w14:textId="77777777" w:rsidTr="00672D2A">
        <w:tc>
          <w:tcPr>
            <w:tcW w:w="1129" w:type="dxa"/>
          </w:tcPr>
          <w:p w14:paraId="73F13C12"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14:paraId="089A65CB"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Bilješka: Instrumenti kapitala koji se ne priznaju</w:t>
            </w:r>
          </w:p>
          <w:p w14:paraId="263FDBEA" w14:textId="1239F3B4"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28. stavak 1. točke (b), (l) i (m) CRR-a</w:t>
            </w:r>
          </w:p>
          <w:p w14:paraId="7AE45833"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Uvjeti u tim točkama odražavaju različite pozicije kapitala koje su reverzibilne i stoga se iznos koji se ovdje iskazuje može priznati u naknadnim razdobljima.</w:t>
            </w:r>
          </w:p>
          <w:p w14:paraId="2518A593"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2648B0" w:rsidRPr="00A30C4C" w14:paraId="622132D3" w14:textId="77777777" w:rsidTr="00672D2A">
        <w:tc>
          <w:tcPr>
            <w:tcW w:w="1129" w:type="dxa"/>
          </w:tcPr>
          <w:p w14:paraId="0CDA59AC"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14:paraId="2FAEC512"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Premija na dionice</w:t>
            </w:r>
          </w:p>
          <w:p w14:paraId="5ECB161C" w14:textId="181B8C13"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124. i članak 26. stavak 1. točka (b) CRR-a</w:t>
            </w:r>
          </w:p>
          <w:p w14:paraId="301C1075"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Premija na dionice ima isto značenje kao i u primjenjivom računovodstvenom standardu. </w:t>
            </w:r>
          </w:p>
          <w:p w14:paraId="3FB01BA4"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u ovoj stavci dio je koji se odnosi na „plaćene instrumente kapitala”. </w:t>
            </w:r>
          </w:p>
        </w:tc>
      </w:tr>
      <w:tr w:rsidR="002648B0" w:rsidRPr="00A30C4C" w14:paraId="77AC2598" w14:textId="77777777" w:rsidTr="00672D2A">
        <w:tc>
          <w:tcPr>
            <w:tcW w:w="1129" w:type="dxa"/>
          </w:tcPr>
          <w:p w14:paraId="2EA7B719"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14:paraId="732809E1"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Vlastiti instrumenti redovnog osnovnog kapitala</w:t>
            </w:r>
          </w:p>
          <w:p w14:paraId="620FE7BC" w14:textId="0A61A514"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 CRR-a</w:t>
            </w:r>
          </w:p>
          <w:p w14:paraId="1739FFD3" w14:textId="5F06998D"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Vlastiti instrumenti redovnog osnovnog kapitala koje drži institucija ili grupa koja izvješćuje na izvještajni datum. Podložno iznimkama iz članka 42. CRR-a.</w:t>
            </w:r>
          </w:p>
          <w:p w14:paraId="2718040A"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14:paraId="5F5FCAEC"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premiju na dionice povezanu s vlastitim dionicama.</w:t>
            </w:r>
          </w:p>
          <w:p w14:paraId="78F8B106"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Stavke od 1.1.1.1.4 do 1.1.1.1.4.3 ne uključuju stvarne ili potencijalne obveze kupnje vlastitih instrumenata redovnog osnovnog kapitala. Stvarne ili potencijalne obveze kupnje vlastitih instrumenata redovnog osnovnog kapitala iskazuju se zasebno u stavci 1.1.1.1.5.</w:t>
            </w:r>
          </w:p>
        </w:tc>
      </w:tr>
      <w:tr w:rsidR="002648B0" w:rsidRPr="00A30C4C" w14:paraId="43F77E74" w14:textId="77777777" w:rsidTr="00672D2A">
        <w:tc>
          <w:tcPr>
            <w:tcW w:w="1129" w:type="dxa"/>
          </w:tcPr>
          <w:p w14:paraId="222B2025"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14:paraId="6B7D02E1"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Izravna ulaganja u instrumente redovnog osnovnog kapitala</w:t>
            </w:r>
          </w:p>
          <w:p w14:paraId="35E470F8" w14:textId="01EF04A3"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 CRR-a</w:t>
            </w:r>
          </w:p>
          <w:p w14:paraId="17CE9E0E"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redovnog osnovnog kapitala koji su uključeni u stavku 1.1.1.1. i koje drže institucije konsolidirane grupe. </w:t>
            </w:r>
          </w:p>
          <w:p w14:paraId="6C924F42" w14:textId="499188B4"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ulaganja u knjizi trgovanja izračunana na temelju neto duge pozicije, kako je navedeno u članku 42. točki (a) CRR-a.</w:t>
            </w:r>
          </w:p>
        </w:tc>
      </w:tr>
      <w:tr w:rsidR="002648B0" w:rsidRPr="00A30C4C" w14:paraId="0000EDB1" w14:textId="77777777" w:rsidTr="00672D2A">
        <w:tc>
          <w:tcPr>
            <w:tcW w:w="1129" w:type="dxa"/>
          </w:tcPr>
          <w:p w14:paraId="08BAFC24"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14:paraId="086795F2"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 Neizravna ulaganja u instrumente redovnog osnovnog kapitala</w:t>
            </w:r>
          </w:p>
          <w:p w14:paraId="08F0267B" w14:textId="6A1A2781"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114., članak 36. stavak 1. točka (f) i članak 42. CRR-a</w:t>
            </w:r>
          </w:p>
        </w:tc>
      </w:tr>
      <w:tr w:rsidR="002648B0" w:rsidRPr="00A30C4C" w14:paraId="20E3E2F0" w14:textId="77777777" w:rsidTr="00672D2A">
        <w:tc>
          <w:tcPr>
            <w:tcW w:w="1129" w:type="dxa"/>
          </w:tcPr>
          <w:p w14:paraId="3EAB4AD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14:paraId="4C62BBAD"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02C6AB80"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 Sintetska ulaganja u instrumente redovnog osnovnog kapitala</w:t>
            </w:r>
          </w:p>
          <w:p w14:paraId="1AAE0433" w14:textId="58938820" w:rsidR="005643EA" w:rsidRPr="00A30C4C" w:rsidRDefault="00FF2818" w:rsidP="00FF281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Članak 4. stavak 1. točka 126., članak 36. stavak 1. točka (f) i članak 42. CRR-a</w:t>
            </w:r>
          </w:p>
        </w:tc>
      </w:tr>
      <w:tr w:rsidR="002648B0" w:rsidRPr="00A30C4C" w14:paraId="00DCCD96" w14:textId="77777777" w:rsidTr="00672D2A">
        <w:tc>
          <w:tcPr>
            <w:tcW w:w="1129" w:type="dxa"/>
          </w:tcPr>
          <w:p w14:paraId="6185C37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14:paraId="63A8817F"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Pr>
                <w:rStyle w:val="InstructionsTabelleberschrift"/>
                <w:rFonts w:ascii="Times New Roman" w:hAnsi="Times New Roman"/>
                <w:sz w:val="24"/>
              </w:rPr>
              <w:tab/>
              <w:t>(–) Stvarne ili potencijalne obveze kupnje vlastitih instrumenata redovnog osnovnog kapitala</w:t>
            </w:r>
          </w:p>
          <w:p w14:paraId="527CDA19" w14:textId="3A81C4CA"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(f) i članak 42. CRR-a</w:t>
            </w:r>
          </w:p>
          <w:p w14:paraId="1AC7DFAE" w14:textId="1F67528D" w:rsidR="005643EA" w:rsidRPr="00A30C4C" w:rsidRDefault="002648B0" w:rsidP="00C7103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U skladu s člankom 36. stavkom 1. </w:t>
            </w:r>
            <w:r>
              <w:rPr>
                <w:rStyle w:val="FormatvorlageInstructionsTabelleText"/>
                <w:rFonts w:ascii="Times New Roman" w:hAnsi="Times New Roman"/>
                <w:sz w:val="24"/>
              </w:rPr>
              <w:t>točkom (f)</w:t>
            </w:r>
            <w:r>
              <w:rPr>
                <w:rStyle w:val="InstructionsTabelleberschrift"/>
                <w:rFonts w:ascii="Times New Roman" w:hAnsi="Times New Roman"/>
                <w:b w:val="0"/>
                <w:sz w:val="24"/>
                <w:u w:val="none"/>
              </w:rPr>
              <w:t xml:space="preserve"> CRR-a</w:t>
            </w:r>
            <w:r>
              <w:t xml:space="preserve"> odbijaju se „vlastiti instrumenti redovnog osnovnog kapitala za koje institucija ima stvarnu ili potencijalnu obvezu kupnje na temelju postojeće ugovorne obveze”.</w:t>
            </w:r>
          </w:p>
        </w:tc>
      </w:tr>
      <w:tr w:rsidR="002648B0" w:rsidRPr="00A30C4C" w14:paraId="677C9282" w14:textId="77777777" w:rsidTr="00672D2A">
        <w:tc>
          <w:tcPr>
            <w:tcW w:w="1129" w:type="dxa"/>
          </w:tcPr>
          <w:p w14:paraId="31C7AFE3"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14:paraId="54B35A60"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Zadržana dobit</w:t>
            </w:r>
          </w:p>
          <w:p w14:paraId="7F9F0214" w14:textId="76239CE9"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1. točka (c) i članak 26. stavak 2. CRR-a</w:t>
            </w:r>
          </w:p>
          <w:p w14:paraId="121FC2B0"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Zadržana dobit uključuje zadržanu dobit prethodne godine uvećanu za priznatu dobit tekuće godine ostvarenu tijekom poslovne godine ili dobit tekuće godine ostvarenu na kraju poslovne godine.</w:t>
            </w:r>
          </w:p>
        </w:tc>
      </w:tr>
      <w:tr w:rsidR="002648B0" w:rsidRPr="00A30C4C" w14:paraId="66BA7DC6" w14:textId="77777777" w:rsidTr="00672D2A">
        <w:tc>
          <w:tcPr>
            <w:tcW w:w="1129" w:type="dxa"/>
          </w:tcPr>
          <w:p w14:paraId="310D6463"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14:paraId="69D0F7AA"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Pr>
                <w:rStyle w:val="InstructionsTabelleberschrift"/>
                <w:rFonts w:ascii="Times New Roman" w:hAnsi="Times New Roman"/>
                <w:sz w:val="24"/>
              </w:rPr>
              <w:tab/>
              <w:t>Zadržana dobit iz proteklih godina</w:t>
            </w:r>
          </w:p>
          <w:p w14:paraId="10BA1C76" w14:textId="20AE3E88"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123. i članak 26. stavak 1. točka (c) CRR-a</w:t>
            </w:r>
          </w:p>
          <w:p w14:paraId="4EE29D54" w14:textId="50C1D167"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Člankom 4. stavkom 1. točkom 123. CRR-a zadržana dobit definirana je kao „prenesena dobit i gubitak koji proizlaze iz dobiti ili gubitka iz proteklih godina, u skladu s primjenjivim računovodstvenim okvirom”.</w:t>
            </w:r>
          </w:p>
        </w:tc>
      </w:tr>
      <w:tr w:rsidR="002648B0" w:rsidRPr="00A30C4C" w14:paraId="24B21B52" w14:textId="77777777" w:rsidTr="00672D2A">
        <w:tc>
          <w:tcPr>
            <w:tcW w:w="1129" w:type="dxa"/>
          </w:tcPr>
          <w:p w14:paraId="1B78021A"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14:paraId="65F56BDF"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Priznata dobit ili gubitak</w:t>
            </w:r>
          </w:p>
          <w:p w14:paraId="13382E58" w14:textId="2ABB384B"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121., članak 26. stavak 2. i članak 36. stavak 1. točka (a) CRR-a</w:t>
            </w:r>
          </w:p>
          <w:p w14:paraId="6D56A1C2" w14:textId="6B6B541C"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Člankom 26. stavkom 2. CRR-a dopušteno je uključiti dobit tekuće godine ostvarenu tijekom poslovne godine ili dobit tekuće godine ostvarenu na kraju </w:t>
            </w:r>
            <w:r>
              <w:rPr>
                <w:rStyle w:val="FormatvorlageInstructionsTabelleText"/>
                <w:rFonts w:ascii="Times New Roman" w:hAnsi="Times New Roman"/>
                <w:sz w:val="24"/>
              </w:rPr>
              <w:lastRenderedPageBreak/>
              <w:t xml:space="preserve">poslovne godine kao zadržanu dobit, uz prethodno odobrenje nadležnih tijela, ako su ispunjeni neki uvjeti. </w:t>
            </w:r>
          </w:p>
          <w:p w14:paraId="2F888DBB" w14:textId="51E68DC6"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 druge strane, gubici se odbijaju od redovnog osnovnog kapitala, kako je navedeno u članku 36. stavku 1. točki (a) CRR-a.</w:t>
            </w:r>
          </w:p>
        </w:tc>
      </w:tr>
      <w:tr w:rsidR="002648B0" w:rsidRPr="00A30C4C" w14:paraId="5A972F21" w14:textId="77777777" w:rsidTr="00672D2A">
        <w:tc>
          <w:tcPr>
            <w:tcW w:w="1129" w:type="dxa"/>
          </w:tcPr>
          <w:p w14:paraId="5FCEF134"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160</w:t>
            </w:r>
          </w:p>
        </w:tc>
        <w:tc>
          <w:tcPr>
            <w:tcW w:w="7620" w:type="dxa"/>
          </w:tcPr>
          <w:p w14:paraId="21083E9F"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Pr>
                <w:rStyle w:val="InstructionsTabelleberschrift"/>
                <w:rFonts w:ascii="Times New Roman" w:hAnsi="Times New Roman"/>
                <w:sz w:val="24"/>
              </w:rPr>
              <w:tab/>
              <w:t>Dobit ili gubitak koji pripadaju vlasnicima matičnog društva</w:t>
            </w:r>
          </w:p>
          <w:p w14:paraId="54570E5C" w14:textId="03247E76"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2. i članak 36. stavak 1. točka (a) CRR-a</w:t>
            </w:r>
          </w:p>
          <w:p w14:paraId="2ACECCE5"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dobit je ili gubitak iskazan u računovodstvenom računu dobiti i gubitka.</w:t>
            </w:r>
          </w:p>
        </w:tc>
      </w:tr>
      <w:tr w:rsidR="002648B0" w:rsidRPr="00A30C4C" w14:paraId="47FDAD54" w14:textId="77777777" w:rsidTr="00672D2A">
        <w:tc>
          <w:tcPr>
            <w:tcW w:w="1129" w:type="dxa"/>
          </w:tcPr>
          <w:p w14:paraId="74F7D8D5"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620" w:type="dxa"/>
          </w:tcPr>
          <w:p w14:paraId="63464708"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Pr>
                <w:rStyle w:val="InstructionsTabelleberschrift"/>
                <w:rFonts w:ascii="Times New Roman" w:hAnsi="Times New Roman"/>
                <w:sz w:val="24"/>
              </w:rPr>
              <w:tab/>
              <w:t>(–) Dio dobiti tekuće godine ostvarene tijekom poslovne godine ili dobiti tekuće godine ostvarene na kraju poslovne godine koji nije priznat</w:t>
            </w:r>
          </w:p>
          <w:p w14:paraId="1A1FEE3A" w14:textId="2A14388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26. stavak 2. CRR-a</w:t>
            </w:r>
          </w:p>
          <w:p w14:paraId="5602E543" w14:textId="64C96DB5"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iskazuje nikakva vrijednost ako je u referentnom razdoblju institucija zabilježila gubitke jer se gubici u potpunosti odbijaju od redovnog osnovnog kapitala.</w:t>
            </w:r>
          </w:p>
          <w:p w14:paraId="48220C0A" w14:textId="6EA03A71"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Ako institucija bilježi dobit, iskazuje se dio koji nije priznat u skladu s člankom 26. stavkom 2. CRR-a (tj. nerevidirana dobit i predvidivi troškovi ili dividende).</w:t>
            </w:r>
          </w:p>
          <w:p w14:paraId="5D34A729"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Potrebno je napomenuti da su u slučaju dobiti iznos koji je potrebno odbiti barem dividende tijekom poslovne godine.</w:t>
            </w:r>
          </w:p>
        </w:tc>
      </w:tr>
      <w:tr w:rsidR="002648B0" w:rsidRPr="00A30C4C" w14:paraId="78CCB38F" w14:textId="77777777" w:rsidTr="00672D2A">
        <w:tc>
          <w:tcPr>
            <w:tcW w:w="1129" w:type="dxa"/>
          </w:tcPr>
          <w:p w14:paraId="69EF5CC2"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14:paraId="1EC6783D"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Pr>
                <w:rStyle w:val="InstructionsTabelleberschrift"/>
                <w:rFonts w:ascii="Times New Roman" w:hAnsi="Times New Roman"/>
                <w:sz w:val="24"/>
              </w:rPr>
              <w:tab/>
              <w:t>Akumulirana ostala sveobuhvatna dobit</w:t>
            </w:r>
          </w:p>
          <w:p w14:paraId="3EFF7601" w14:textId="09590A5E"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100. i članak 26. stavak 1. točka (d) CRR-a</w:t>
            </w:r>
          </w:p>
          <w:p w14:paraId="695EE6E4" w14:textId="77777777"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ne uključuje porezne troškove predvidive u trenutku izračuna i prije primjene bonitetnih filtara. Iznos koji se iskazuje </w:t>
            </w:r>
            <w:r>
              <w:rPr>
                <w:rStyle w:val="FormatvorlageInstructionsTabelleText"/>
                <w:rFonts w:ascii="Times New Roman" w:hAnsi="Times New Roman"/>
                <w:iCs/>
                <w:sz w:val="24"/>
              </w:rPr>
              <w:t xml:space="preserve">utvrđuje se u skladu s </w:t>
            </w:r>
            <w:r>
              <w:rPr>
                <w:rStyle w:val="FormatvorlageInstructionsTabelleText"/>
                <w:rFonts w:ascii="Times New Roman" w:hAnsi="Times New Roman"/>
                <w:sz w:val="24"/>
              </w:rPr>
              <w:t>člankom 13. stavkom 4. Delegirane uredbe Komisije (EU) br. 241/2014</w:t>
            </w:r>
            <w:r w:rsidR="00C7103D" w:rsidRPr="00A30C4C">
              <w:rPr>
                <w:rStyle w:val="FootnoteReference"/>
                <w:rFonts w:ascii="Times New Roman" w:hAnsi="Times New Roman"/>
                <w:bCs/>
                <w:sz w:val="24"/>
                <w:szCs w:val="24"/>
                <w:vertAlign w:val="superscript"/>
              </w:rPr>
              <w:footnoteReference w:id="6"/>
            </w:r>
            <w:r>
              <w:rPr>
                <w:rStyle w:val="FormatvorlageInstructionsTabelleText"/>
                <w:rFonts w:ascii="Times New Roman" w:hAnsi="Times New Roman"/>
                <w:sz w:val="24"/>
              </w:rPr>
              <w:t xml:space="preserve">. </w:t>
            </w:r>
          </w:p>
        </w:tc>
      </w:tr>
      <w:tr w:rsidR="002648B0" w:rsidRPr="00A30C4C" w14:paraId="3D05A61F" w14:textId="77777777" w:rsidTr="00672D2A">
        <w:tc>
          <w:tcPr>
            <w:tcW w:w="1129" w:type="dxa"/>
          </w:tcPr>
          <w:p w14:paraId="60116304"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14:paraId="16108A37"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Pr>
                <w:rStyle w:val="InstructionsTabelleberschrift"/>
                <w:rFonts w:ascii="Times New Roman" w:hAnsi="Times New Roman"/>
                <w:sz w:val="24"/>
              </w:rPr>
              <w:tab/>
              <w:t>Ostale rezerve</w:t>
            </w:r>
          </w:p>
          <w:p w14:paraId="139319D4" w14:textId="4EE7EB6F"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117. i članak 26. stavak 1. točka (e) CRR-a</w:t>
            </w:r>
          </w:p>
          <w:p w14:paraId="0D529630"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Ostale rezerve definirane su u CRR-u kao „rezerve u smislu primjenjivog računovodstvenog okvira koje se moraju objaviti u skladu s primjenjivim računovodstvenim standardom, isključujući iznose koji su već uključeni u akumuliranu ostalu sveobuhvatnu dobit ili zadržanu dobit”.</w:t>
            </w:r>
          </w:p>
          <w:p w14:paraId="34585D72" w14:textId="77777777"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porezne troškove predvidive u trenutku izračuna.</w:t>
            </w:r>
          </w:p>
        </w:tc>
      </w:tr>
      <w:tr w:rsidR="002648B0" w:rsidRPr="00A30C4C" w14:paraId="4FCB04FF" w14:textId="77777777" w:rsidTr="00672D2A">
        <w:tc>
          <w:tcPr>
            <w:tcW w:w="1129" w:type="dxa"/>
          </w:tcPr>
          <w:p w14:paraId="1CC2C69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14:paraId="77491B5E"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Pr>
                <w:rStyle w:val="InstructionsTabelleberschrift"/>
                <w:rFonts w:ascii="Times New Roman" w:hAnsi="Times New Roman"/>
                <w:sz w:val="24"/>
              </w:rPr>
              <w:tab/>
              <w:t>Rezerve za opće bankovne rizike</w:t>
            </w:r>
          </w:p>
          <w:p w14:paraId="4AABCBCD" w14:textId="6BDD2735"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112. i članak 26. stavak 1. točka (f) CRR-a</w:t>
            </w:r>
          </w:p>
          <w:p w14:paraId="3BB64B9E" w14:textId="42785550"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Rezerve za opće bankovne rizike definirane su u članku 38. BAD-a kao „iznosi koje kreditna institucija odluči odvojiti za pokrivanje rizika, tamo gdje to nalažu određeni rizici vezani uz bankarstvo”.</w:t>
            </w:r>
          </w:p>
          <w:p w14:paraId="5B7FC590"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porezne troškove predvidive u trenutku izračuna.</w:t>
            </w:r>
          </w:p>
        </w:tc>
      </w:tr>
      <w:tr w:rsidR="002648B0" w:rsidRPr="00A30C4C" w14:paraId="325532D0" w14:textId="77777777" w:rsidTr="00672D2A">
        <w:tc>
          <w:tcPr>
            <w:tcW w:w="1129" w:type="dxa"/>
          </w:tcPr>
          <w:p w14:paraId="3A8B82C1"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220</w:t>
            </w:r>
          </w:p>
        </w:tc>
        <w:tc>
          <w:tcPr>
            <w:tcW w:w="7620" w:type="dxa"/>
          </w:tcPr>
          <w:p w14:paraId="1523F0F8"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Pr>
                <w:rStyle w:val="InstructionsTabelleberschrift"/>
                <w:rFonts w:ascii="Times New Roman" w:hAnsi="Times New Roman"/>
                <w:sz w:val="24"/>
              </w:rPr>
              <w:tab/>
              <w:t>Prijelazna usklađenja na temelju instrumenata redovnog osnovnog kapitala koji se nastavljaju priznavati</w:t>
            </w:r>
          </w:p>
          <w:p w14:paraId="1EE01F2E" w14:textId="12F81D41"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1., 2. i 3. i članci od 484. do 487. CRR-a</w:t>
            </w:r>
          </w:p>
          <w:p w14:paraId="1718ED52"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redovni osnovni kapital. Iznos koji se iskazuje dobiva se izravno iz CA5.</w:t>
            </w:r>
          </w:p>
        </w:tc>
      </w:tr>
      <w:tr w:rsidR="002648B0" w:rsidRPr="00A30C4C" w14:paraId="18E51550" w14:textId="77777777" w:rsidTr="00672D2A">
        <w:tc>
          <w:tcPr>
            <w:tcW w:w="1129" w:type="dxa"/>
          </w:tcPr>
          <w:p w14:paraId="098B2F1B"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230</w:t>
            </w:r>
          </w:p>
        </w:tc>
        <w:tc>
          <w:tcPr>
            <w:tcW w:w="7620" w:type="dxa"/>
          </w:tcPr>
          <w:p w14:paraId="3B9AD49C"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Pr>
                <w:rStyle w:val="InstructionsTabelleberschrift"/>
                <w:rFonts w:ascii="Times New Roman" w:hAnsi="Times New Roman"/>
                <w:sz w:val="24"/>
              </w:rPr>
              <w:tab/>
              <w:t>Manjinski udjel priznat u redovnom osnovnom kapitalu</w:t>
            </w:r>
          </w:p>
          <w:p w14:paraId="3DDB282F" w14:textId="073FBB1F"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120. i članak 84. CRR-a</w:t>
            </w:r>
          </w:p>
          <w:p w14:paraId="1BA15FCE"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manjinskih udjela društava kćeri koji je uključen u konsolidirani redovni osnovni kapital.</w:t>
            </w:r>
          </w:p>
        </w:tc>
      </w:tr>
      <w:tr w:rsidR="002648B0" w:rsidRPr="00A30C4C" w14:paraId="71777011" w14:textId="77777777" w:rsidTr="00672D2A">
        <w:tc>
          <w:tcPr>
            <w:tcW w:w="1129" w:type="dxa"/>
          </w:tcPr>
          <w:p w14:paraId="276F6FBC"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14:paraId="791E58AF"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Pr>
                <w:rStyle w:val="InstructionsTabelleberschrift"/>
                <w:rFonts w:ascii="Times New Roman" w:hAnsi="Times New Roman"/>
                <w:sz w:val="24"/>
              </w:rPr>
              <w:tab/>
              <w:t>Prijelazna usklađenja na temelju dodatnih manjinskih udjela</w:t>
            </w:r>
          </w:p>
          <w:p w14:paraId="1C3D262A" w14:textId="32FA4E09"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479. i 480. CRR-a</w:t>
            </w:r>
          </w:p>
          <w:p w14:paraId="70EDE502"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manjinskih udjela zbog prijelaznih odredbi. Ova se stavka dobiva izravno iz CA5.</w:t>
            </w:r>
          </w:p>
        </w:tc>
      </w:tr>
      <w:tr w:rsidR="002648B0" w:rsidRPr="00A30C4C" w14:paraId="05F0470A" w14:textId="77777777" w:rsidTr="00672D2A">
        <w:tc>
          <w:tcPr>
            <w:tcW w:w="1129" w:type="dxa"/>
          </w:tcPr>
          <w:p w14:paraId="0E131D3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14:paraId="0E545CCA"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Pr>
                <w:rStyle w:val="InstructionsTabelleberschrift"/>
                <w:rFonts w:ascii="Times New Roman" w:hAnsi="Times New Roman"/>
                <w:sz w:val="24"/>
              </w:rPr>
              <w:tab/>
              <w:t>Usklađenja redovnog osnovnog kapitala zbog bonitetnih filtara</w:t>
            </w:r>
          </w:p>
          <w:p w14:paraId="55785F63" w14:textId="479072D8"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Članci od 32. do 35. CRR-a </w:t>
            </w:r>
          </w:p>
        </w:tc>
      </w:tr>
      <w:tr w:rsidR="002648B0" w:rsidRPr="00A30C4C" w14:paraId="49C45845" w14:textId="77777777" w:rsidTr="00672D2A">
        <w:tc>
          <w:tcPr>
            <w:tcW w:w="1129" w:type="dxa"/>
          </w:tcPr>
          <w:p w14:paraId="6DE1F79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14:paraId="10E43519"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Pr>
                <w:rStyle w:val="InstructionsTabelleberschrift"/>
                <w:rFonts w:ascii="Times New Roman" w:hAnsi="Times New Roman"/>
                <w:sz w:val="24"/>
              </w:rPr>
              <w:tab/>
              <w:t xml:space="preserve">(–) Povećanja vlasničkog kapitala koja proizlaze iz </w:t>
            </w:r>
            <w:proofErr w:type="spellStart"/>
            <w:r>
              <w:rPr>
                <w:rStyle w:val="InstructionsTabelleberschrift"/>
                <w:rFonts w:ascii="Times New Roman" w:hAnsi="Times New Roman"/>
                <w:sz w:val="24"/>
              </w:rPr>
              <w:t>sekuritizirane</w:t>
            </w:r>
            <w:proofErr w:type="spellEnd"/>
            <w:r>
              <w:rPr>
                <w:rStyle w:val="InstructionsTabelleberschrift"/>
                <w:rFonts w:ascii="Times New Roman" w:hAnsi="Times New Roman"/>
                <w:sz w:val="24"/>
              </w:rPr>
              <w:t xml:space="preserve"> imovine</w:t>
            </w:r>
          </w:p>
          <w:p w14:paraId="1DD5C073" w14:textId="0B92B348"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32. stavak 1. CRR-a</w:t>
            </w:r>
          </w:p>
          <w:p w14:paraId="2C44B061" w14:textId="63069033"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povećanje je kapitala institucije koje proizlazi iz </w:t>
            </w:r>
            <w:proofErr w:type="spellStart"/>
            <w:r>
              <w:rPr>
                <w:rStyle w:val="FormatvorlageInstructionsTabelleText"/>
                <w:rFonts w:ascii="Times New Roman" w:hAnsi="Times New Roman"/>
                <w:sz w:val="24"/>
              </w:rPr>
              <w:t>sekuritizirane</w:t>
            </w:r>
            <w:proofErr w:type="spellEnd"/>
            <w:r>
              <w:rPr>
                <w:rStyle w:val="FormatvorlageInstructionsTabelleText"/>
                <w:rFonts w:ascii="Times New Roman" w:hAnsi="Times New Roman"/>
                <w:sz w:val="24"/>
              </w:rPr>
              <w:t xml:space="preserve"> imovine u skladu s primjenjivim računovodstvenim standardom.</w:t>
            </w:r>
          </w:p>
          <w:p w14:paraId="622F4058"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primjer, ova stavka uključuje budući </w:t>
            </w:r>
            <w:proofErr w:type="spellStart"/>
            <w:r>
              <w:rPr>
                <w:rStyle w:val="FormatvorlageInstructionsTabelleText"/>
                <w:rFonts w:ascii="Times New Roman" w:hAnsi="Times New Roman"/>
                <w:sz w:val="24"/>
              </w:rPr>
              <w:t>maržni</w:t>
            </w:r>
            <w:proofErr w:type="spellEnd"/>
            <w:r>
              <w:rPr>
                <w:rStyle w:val="FormatvorlageInstructionsTabelleText"/>
                <w:rFonts w:ascii="Times New Roman" w:hAnsi="Times New Roman"/>
                <w:sz w:val="24"/>
              </w:rPr>
              <w:t xml:space="preserve"> prihod na temelju kojeg institucija ostvaruje dobitak od prodaje ili, za inicijatore, neto dobitke od kapitaliziranog budućeg prihoda od </w:t>
            </w:r>
            <w:proofErr w:type="spellStart"/>
            <w:r>
              <w:rPr>
                <w:rStyle w:val="FormatvorlageInstructionsTabelleText"/>
                <w:rFonts w:ascii="Times New Roman" w:hAnsi="Times New Roman"/>
                <w:sz w:val="24"/>
              </w:rPr>
              <w:t>sekuritizirane</w:t>
            </w:r>
            <w:proofErr w:type="spellEnd"/>
            <w:r>
              <w:rPr>
                <w:rStyle w:val="FormatvorlageInstructionsTabelleText"/>
                <w:rFonts w:ascii="Times New Roman" w:hAnsi="Times New Roman"/>
                <w:sz w:val="24"/>
              </w:rPr>
              <w:t xml:space="preserve"> imovine koji pružaju kreditno poboljšanje </w:t>
            </w:r>
            <w:proofErr w:type="spellStart"/>
            <w:r>
              <w:rPr>
                <w:rStyle w:val="FormatvorlageInstructionsTabelleText"/>
                <w:rFonts w:ascii="Times New Roman" w:hAnsi="Times New Roman"/>
                <w:sz w:val="24"/>
              </w:rPr>
              <w:t>sekuritizacijskim</w:t>
            </w:r>
            <w:proofErr w:type="spellEnd"/>
            <w:r>
              <w:rPr>
                <w:rStyle w:val="FormatvorlageInstructionsTabelleText"/>
                <w:rFonts w:ascii="Times New Roman" w:hAnsi="Times New Roman"/>
                <w:sz w:val="24"/>
              </w:rPr>
              <w:t xml:space="preserve"> pozicijama.</w:t>
            </w:r>
          </w:p>
        </w:tc>
      </w:tr>
      <w:tr w:rsidR="002648B0" w:rsidRPr="00A30C4C" w14:paraId="616CB529" w14:textId="77777777" w:rsidTr="00672D2A">
        <w:tc>
          <w:tcPr>
            <w:tcW w:w="1129" w:type="dxa"/>
          </w:tcPr>
          <w:p w14:paraId="0C7B22EA"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14:paraId="6AF7284C"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Pr>
                <w:rStyle w:val="InstructionsTabelleberschrift"/>
                <w:rFonts w:ascii="Times New Roman" w:hAnsi="Times New Roman"/>
                <w:sz w:val="24"/>
              </w:rPr>
              <w:tab/>
              <w:t>Rezerva na osnovi zaštite novčanog toka</w:t>
            </w:r>
          </w:p>
          <w:p w14:paraId="26D1DBC7" w14:textId="0760FF2C"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(a) CRR-a</w:t>
            </w:r>
          </w:p>
          <w:p w14:paraId="5BE937FC" w14:textId="2F2A02C4"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se zaštita novčanih tokova temelji na gubitku (tj. ako se njome smanjuje računovodstveni kapital) i obrnuto. Stoga je predznak suprotan predznaku koji se koristi u računovodstvenim izvještajima.</w:t>
            </w:r>
          </w:p>
          <w:p w14:paraId="1D159E75" w14:textId="79B8F37D"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ne uključuje porezne troškove očekivane u trenutku izračuna.</w:t>
            </w:r>
          </w:p>
        </w:tc>
      </w:tr>
      <w:tr w:rsidR="002648B0" w:rsidRPr="00A30C4C" w14:paraId="3331F14D" w14:textId="77777777" w:rsidTr="00672D2A">
        <w:tc>
          <w:tcPr>
            <w:tcW w:w="1129" w:type="dxa"/>
          </w:tcPr>
          <w:p w14:paraId="226ECAC0"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280</w:t>
            </w:r>
          </w:p>
        </w:tc>
        <w:tc>
          <w:tcPr>
            <w:tcW w:w="7620" w:type="dxa"/>
          </w:tcPr>
          <w:p w14:paraId="0F64EDF6"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Pr>
                <w:rStyle w:val="InstructionsTabelleberschrift"/>
                <w:rFonts w:ascii="Times New Roman" w:hAnsi="Times New Roman"/>
                <w:sz w:val="24"/>
              </w:rPr>
              <w:tab/>
              <w:t>Kumulativni dobici i gubici po obvezama vrednovanima po fer vrijednosti zbog promjena vlastitog kreditnog rizika</w:t>
            </w:r>
          </w:p>
          <w:p w14:paraId="2E09B169" w14:textId="4761FDE4"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(b) CRR-a</w:t>
            </w:r>
          </w:p>
          <w:p w14:paraId="44E7E814" w14:textId="1555FADC"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postoji gubitak nastao zbog promjena vlastitog kreditnog rizika (tj. ako se njime smanjuje računovodstveni kapital) i obrnuto. Stoga je predznak suprotan predznaku koji se koristi u računovodstvenim izvještajima.</w:t>
            </w:r>
          </w:p>
          <w:p w14:paraId="0FBF266E"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Nerevidirana dobit ne uključuje se u ovu stavku.</w:t>
            </w:r>
          </w:p>
        </w:tc>
      </w:tr>
      <w:tr w:rsidR="00666996" w:rsidRPr="00A30C4C" w14:paraId="2E3DE2D0" w14:textId="77777777" w:rsidTr="00672D2A">
        <w:tc>
          <w:tcPr>
            <w:tcW w:w="1129" w:type="dxa"/>
          </w:tcPr>
          <w:p w14:paraId="1E02D85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285</w:t>
            </w:r>
          </w:p>
        </w:tc>
        <w:tc>
          <w:tcPr>
            <w:tcW w:w="7620" w:type="dxa"/>
          </w:tcPr>
          <w:p w14:paraId="6E313785"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Pr>
                <w:rStyle w:val="InstructionsTabelleberschrift"/>
                <w:rFonts w:ascii="Times New Roman" w:hAnsi="Times New Roman"/>
                <w:sz w:val="24"/>
              </w:rPr>
              <w:tab/>
              <w:t>Dobici ili gubici nastali vrednovanjem po fer vrijednosti, koji proizlaze iz kreditnog rizika same institucije povezanog s obvezama po izvedenicama</w:t>
            </w:r>
          </w:p>
          <w:p w14:paraId="712BEDF0" w14:textId="3F8F3540"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33. stavak 1. točka (c) i članak 33. stavak 2. CRR-a</w:t>
            </w:r>
          </w:p>
          <w:p w14:paraId="3D53FD82" w14:textId="73FA9B58"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može biti pozitivan ili negativan. Pozitivan je ako postoji gubitak nastao zbog promjena vlastitog kreditnog rizika i obrnuto. Stoga je predznak suprotan predznaku koji se koristi u računovodstvenim izvještajima.</w:t>
            </w:r>
          </w:p>
          <w:p w14:paraId="5A313EAA" w14:textId="77777777" w:rsidR="005643EA" w:rsidRPr="00A30C4C"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Nerevidirana dobit ne uključuje se u ovu stavku.</w:t>
            </w:r>
          </w:p>
        </w:tc>
      </w:tr>
      <w:tr w:rsidR="00666996" w:rsidRPr="00A30C4C" w14:paraId="208AE925" w14:textId="77777777" w:rsidTr="00672D2A">
        <w:tc>
          <w:tcPr>
            <w:tcW w:w="1129" w:type="dxa"/>
          </w:tcPr>
          <w:p w14:paraId="1733245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14:paraId="20063B8E"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Pr>
                <w:rStyle w:val="InstructionsTabelleberschrift"/>
                <w:rFonts w:ascii="Times New Roman" w:hAnsi="Times New Roman"/>
                <w:sz w:val="24"/>
              </w:rPr>
              <w:tab/>
              <w:t>(–) Vrijednosna usklađenja zbog zahtjeva za bonitetno vrednovanje</w:t>
            </w:r>
          </w:p>
          <w:p w14:paraId="2A278C88" w14:textId="7026853D"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34. i 105. CRR-a</w:t>
            </w:r>
          </w:p>
          <w:p w14:paraId="4A46FDFE" w14:textId="720D63A3"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po fer vrijednosti izloženosti uključena u knjigu trgovanja ili knjigu pozicija kojima se ne trguje zbog strožih standarda za bonitetno vrednovanje određenih u članku 105. CRR-a.</w:t>
            </w:r>
          </w:p>
        </w:tc>
      </w:tr>
      <w:tr w:rsidR="00666996" w:rsidRPr="00A30C4C" w14:paraId="5372AADC" w14:textId="77777777" w:rsidTr="00672D2A">
        <w:tc>
          <w:tcPr>
            <w:tcW w:w="1129" w:type="dxa"/>
          </w:tcPr>
          <w:p w14:paraId="0C1EEB3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14:paraId="19315380"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Goodwill</w:t>
            </w:r>
            <w:proofErr w:type="spellEnd"/>
          </w:p>
          <w:p w14:paraId="145D1EC8" w14:textId="3997E37C"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113., članak 36. stavak 1. točka (b) i članak 37. CRR-a</w:t>
            </w:r>
          </w:p>
        </w:tc>
      </w:tr>
      <w:tr w:rsidR="00666996" w:rsidRPr="00A30C4C" w14:paraId="1874F0BE" w14:textId="77777777" w:rsidTr="00672D2A">
        <w:tc>
          <w:tcPr>
            <w:tcW w:w="1129" w:type="dxa"/>
          </w:tcPr>
          <w:p w14:paraId="71118958"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14:paraId="48CEE37D"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Goodwill</w:t>
            </w:r>
            <w:proofErr w:type="spellEnd"/>
            <w:r>
              <w:rPr>
                <w:rStyle w:val="InstructionsTabelleberschrift"/>
                <w:rFonts w:ascii="Times New Roman" w:hAnsi="Times New Roman"/>
                <w:sz w:val="24"/>
              </w:rPr>
              <w:t xml:space="preserve"> koji se iskazuje kao nematerijalna imovina</w:t>
            </w:r>
          </w:p>
          <w:p w14:paraId="43FA0941" w14:textId="54520822"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113. i članak 36. stavak 1. točka (b) CRR-a</w:t>
            </w:r>
          </w:p>
          <w:p w14:paraId="6A41CA18" w14:textId="77777777" w:rsidR="005643EA" w:rsidRPr="00A30C4C" w:rsidRDefault="00666996" w:rsidP="00FD239F">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xml:space="preserve"> ima isto značenje kao i u primjenjivom računovodstvenom standardu.</w:t>
            </w:r>
          </w:p>
          <w:p w14:paraId="78F2DF7F"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ovdje iskazuje jednak je iznosu iskazanom u bilanci.</w:t>
            </w:r>
          </w:p>
        </w:tc>
      </w:tr>
      <w:tr w:rsidR="00666996" w:rsidRPr="00A30C4C" w14:paraId="3CC7E9BB" w14:textId="77777777" w:rsidTr="00672D2A">
        <w:tc>
          <w:tcPr>
            <w:tcW w:w="1129" w:type="dxa"/>
          </w:tcPr>
          <w:p w14:paraId="5944683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14:paraId="305DD800" w14:textId="77777777" w:rsidR="005643EA" w:rsidRPr="00A30C4C"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Goodwill</w:t>
            </w:r>
            <w:proofErr w:type="spellEnd"/>
            <w:r>
              <w:rPr>
                <w:rStyle w:val="InstructionsTabelleberschrift"/>
                <w:rFonts w:ascii="Times New Roman" w:hAnsi="Times New Roman"/>
                <w:sz w:val="24"/>
              </w:rPr>
              <w:t xml:space="preserve"> uključen u vrednovanje značajnih ulaganja</w:t>
            </w:r>
          </w:p>
          <w:p w14:paraId="1B343452" w14:textId="56739FDE" w:rsidR="005643EA" w:rsidRPr="00A30C4C" w:rsidRDefault="00C7103D"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(b) i članak 43. CRR-a</w:t>
            </w:r>
          </w:p>
        </w:tc>
      </w:tr>
      <w:tr w:rsidR="00666996" w:rsidRPr="00A30C4C" w14:paraId="4130F963" w14:textId="77777777" w:rsidTr="00672D2A">
        <w:tc>
          <w:tcPr>
            <w:tcW w:w="1129" w:type="dxa"/>
          </w:tcPr>
          <w:p w14:paraId="5C5E90C2"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14:paraId="32E45CE9" w14:textId="77777777" w:rsidR="005643EA" w:rsidRPr="00A30C4C"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 xml:space="preserve">Odgođene porezne obveze povezane s </w:t>
            </w:r>
            <w:proofErr w:type="spellStart"/>
            <w:r>
              <w:rPr>
                <w:rStyle w:val="InstructionsTabelleberschrift"/>
                <w:rFonts w:ascii="Times New Roman" w:hAnsi="Times New Roman"/>
                <w:sz w:val="24"/>
              </w:rPr>
              <w:t>goodwillom</w:t>
            </w:r>
            <w:proofErr w:type="spellEnd"/>
          </w:p>
          <w:p w14:paraId="7DCD28D6" w14:textId="2CC8FA11"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(a) CRR-a</w:t>
            </w:r>
          </w:p>
          <w:p w14:paraId="42A4A3E9"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odgođenih poreznih obveza koji bi mogao prestati postojati kad bi se </w:t>
            </w: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xml:space="preserve"> umanjio ili prestao priznavati u skladu s primjenjivim računovodstvenim standardom.</w:t>
            </w:r>
          </w:p>
        </w:tc>
      </w:tr>
      <w:tr w:rsidR="00666996" w:rsidRPr="00A30C4C" w14:paraId="2F7C856C" w14:textId="77777777" w:rsidTr="00672D2A">
        <w:tc>
          <w:tcPr>
            <w:tcW w:w="1129" w:type="dxa"/>
          </w:tcPr>
          <w:p w14:paraId="0EDC1958"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14:paraId="2CC4F84C" w14:textId="77777777" w:rsidR="005643EA" w:rsidRPr="00A30C4C"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Pr>
                <w:rStyle w:val="InstructionsTabelleberschrift"/>
                <w:rFonts w:ascii="Times New Roman" w:hAnsi="Times New Roman"/>
                <w:sz w:val="24"/>
              </w:rPr>
              <w:tab/>
              <w:t>(–) Ostala nematerijalna imovina</w:t>
            </w:r>
          </w:p>
          <w:p w14:paraId="1B763F59" w14:textId="601657FD" w:rsidR="009339C1"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Članak 4. stavak 1. točka 115., članak 36. stavak 1. točka (b) i članak 37. točka (a) CRR-a</w:t>
            </w:r>
          </w:p>
          <w:p w14:paraId="2268F49A" w14:textId="77777777" w:rsidR="005643EA" w:rsidRPr="00A30C4C"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Ostala nematerijalna imovina nematerijalna je imovina u skladu s primjenjivim računovodstvenim standardom, umanjena za </w:t>
            </w: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također u skladu s primjenjivim računovodstvenim standardom.</w:t>
            </w:r>
          </w:p>
        </w:tc>
      </w:tr>
      <w:tr w:rsidR="00666996" w:rsidRPr="00A30C4C" w14:paraId="1A7DBB64" w14:textId="77777777" w:rsidTr="00672D2A">
        <w:tc>
          <w:tcPr>
            <w:tcW w:w="1129" w:type="dxa"/>
          </w:tcPr>
          <w:p w14:paraId="57175307"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350</w:t>
            </w:r>
          </w:p>
        </w:tc>
        <w:tc>
          <w:tcPr>
            <w:tcW w:w="7620" w:type="dxa"/>
          </w:tcPr>
          <w:p w14:paraId="34D928BB" w14:textId="77777777" w:rsidR="005643EA" w:rsidRPr="00A30C4C"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Pr>
                <w:rStyle w:val="InstructionsTabelleberschrift"/>
                <w:rFonts w:ascii="Times New Roman" w:hAnsi="Times New Roman"/>
                <w:sz w:val="24"/>
              </w:rPr>
              <w:tab/>
              <w:t>(–) Ostala nematerijalna imovina prije odbitka odgođenih poreznih obveza</w:t>
            </w:r>
          </w:p>
          <w:p w14:paraId="09FC6B13" w14:textId="675B3BC7"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115. i članak 36. stavak 1. točka (b) CRR-a</w:t>
            </w:r>
          </w:p>
          <w:p w14:paraId="33A462EA"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Ostala nematerijalna imovina nematerijalna je imovina u skladu s primjenjivim računovodstvenim standardom, umanjena za </w:t>
            </w:r>
            <w:proofErr w:type="spellStart"/>
            <w:r>
              <w:rPr>
                <w:rStyle w:val="FormatvorlageInstructionsTabelleText"/>
                <w:rFonts w:ascii="Times New Roman" w:hAnsi="Times New Roman"/>
                <w:sz w:val="24"/>
              </w:rPr>
              <w:t>goodwill</w:t>
            </w:r>
            <w:proofErr w:type="spellEnd"/>
            <w:r>
              <w:rPr>
                <w:rStyle w:val="FormatvorlageInstructionsTabelleText"/>
                <w:rFonts w:ascii="Times New Roman" w:hAnsi="Times New Roman"/>
                <w:sz w:val="24"/>
              </w:rPr>
              <w:t>, također u skladu s primjenjivim računovodstvenim standardom.</w:t>
            </w:r>
          </w:p>
          <w:p w14:paraId="44736886" w14:textId="321141F2"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odgovara iznosu iskazanom u bilanci nematerijalne imovine osim </w:t>
            </w:r>
            <w:proofErr w:type="spellStart"/>
            <w:r>
              <w:rPr>
                <w:rStyle w:val="FormatvorlageInstructionsTabelleText"/>
                <w:rFonts w:ascii="Times New Roman" w:hAnsi="Times New Roman"/>
                <w:sz w:val="24"/>
              </w:rPr>
              <w:t>goodwilla</w:t>
            </w:r>
            <w:proofErr w:type="spellEnd"/>
            <w:r>
              <w:rPr>
                <w:rStyle w:val="FormatvorlageInstructionsTabelleText"/>
                <w:rFonts w:ascii="Times New Roman" w:hAnsi="Times New Roman"/>
                <w:sz w:val="24"/>
              </w:rPr>
              <w:t>.</w:t>
            </w:r>
          </w:p>
        </w:tc>
      </w:tr>
      <w:tr w:rsidR="00666996" w:rsidRPr="00A30C4C" w14:paraId="6B24970D" w14:textId="77777777" w:rsidTr="00672D2A">
        <w:tc>
          <w:tcPr>
            <w:tcW w:w="1129" w:type="dxa"/>
          </w:tcPr>
          <w:p w14:paraId="648AB59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620" w:type="dxa"/>
          </w:tcPr>
          <w:p w14:paraId="3864EF32" w14:textId="77777777" w:rsidR="005643EA" w:rsidRPr="00A30C4C"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Pr>
                <w:rStyle w:val="InstructionsTabelleberschrift"/>
                <w:rFonts w:ascii="Times New Roman" w:hAnsi="Times New Roman"/>
                <w:sz w:val="24"/>
              </w:rPr>
              <w:tab/>
              <w:t>Odgođene porezne obveze povezane s ostalom nematerijalnom imovinom</w:t>
            </w:r>
          </w:p>
          <w:p w14:paraId="13391161" w14:textId="5B1BB608"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37. točka (a) CRR-a</w:t>
            </w:r>
          </w:p>
          <w:p w14:paraId="0F5C8345"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odgođenih poreznih obveza koji bi mogao prestati postojati kad bi se nematerijalna imovina osim </w:t>
            </w:r>
            <w:proofErr w:type="spellStart"/>
            <w:r>
              <w:rPr>
                <w:rStyle w:val="FormatvorlageInstructionsTabelleText"/>
                <w:rFonts w:ascii="Times New Roman" w:hAnsi="Times New Roman"/>
                <w:sz w:val="24"/>
              </w:rPr>
              <w:t>goodwilla</w:t>
            </w:r>
            <w:proofErr w:type="spellEnd"/>
            <w:r>
              <w:rPr>
                <w:rStyle w:val="FormatvorlageInstructionsTabelleText"/>
                <w:rFonts w:ascii="Times New Roman" w:hAnsi="Times New Roman"/>
                <w:sz w:val="24"/>
              </w:rPr>
              <w:t xml:space="preserve"> umanjila ili prestala priznavati u skladu s primjenjivim računovodstvenim standardom.</w:t>
            </w:r>
          </w:p>
        </w:tc>
      </w:tr>
      <w:tr w:rsidR="00666996" w:rsidRPr="00A30C4C" w14:paraId="11B50A40" w14:textId="77777777" w:rsidTr="00672D2A">
        <w:tc>
          <w:tcPr>
            <w:tcW w:w="1129" w:type="dxa"/>
          </w:tcPr>
          <w:p w14:paraId="75C3B54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14:paraId="700E1977"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Pr>
                <w:rStyle w:val="InstructionsTabelleberschrift"/>
                <w:rFonts w:ascii="Times New Roman" w:hAnsi="Times New Roman"/>
                <w:sz w:val="24"/>
              </w:rPr>
              <w:tab/>
              <w:t>(–) Odgođena porezna imovina koja ovisi o budućoj profitabilnosti i ne proizlazi iz privremenih razlika i ne uključuje povezane porezne obveze</w:t>
            </w:r>
          </w:p>
          <w:p w14:paraId="67F3DEBE" w14:textId="70E9EC98" w:rsidR="005643EA" w:rsidRPr="00A30C4C" w:rsidRDefault="00C7103D"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(c) i članak 38. CRR-a</w:t>
            </w:r>
          </w:p>
        </w:tc>
      </w:tr>
      <w:tr w:rsidR="00666996" w:rsidRPr="00A30C4C" w14:paraId="088B47E6" w14:textId="77777777" w:rsidTr="00672D2A">
        <w:tc>
          <w:tcPr>
            <w:tcW w:w="1129" w:type="dxa"/>
          </w:tcPr>
          <w:p w14:paraId="6956E9F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14:paraId="465A1207"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Pr>
                <w:rStyle w:val="InstructionsTabelleberschrift"/>
                <w:rFonts w:ascii="Times New Roman" w:hAnsi="Times New Roman"/>
                <w:sz w:val="24"/>
              </w:rPr>
              <w:tab/>
              <w:t>(-) Manjak ispravaka vrijednosti za kreditni rizik u odnosu na očekivane gubitke primjenom IRB pristupa</w:t>
            </w:r>
          </w:p>
          <w:p w14:paraId="08726EF6" w14:textId="216ECB5D"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(d), članci 40., 158. i 159. CRR-a</w:t>
            </w:r>
          </w:p>
          <w:p w14:paraId="291793BB" w14:textId="327C8015"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umanjuje se za iznos povećanja odgođene porezne imovine koja ovisi o budućoj profitabilnosti ili za druge dodatne porezne učinke do kojih bi moglo doći ako bi se rezervacije podigle na razinu očekivanih gubitaka (članak 40. CRR-a).</w:t>
            </w:r>
          </w:p>
        </w:tc>
      </w:tr>
      <w:tr w:rsidR="00666996" w:rsidRPr="00A30C4C" w14:paraId="52AF5EE2" w14:textId="77777777" w:rsidTr="00672D2A">
        <w:tc>
          <w:tcPr>
            <w:tcW w:w="1129" w:type="dxa"/>
          </w:tcPr>
          <w:p w14:paraId="625209A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14:paraId="004980B3"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Pr>
                <w:rStyle w:val="InstructionsTabelleberschrift"/>
                <w:rFonts w:ascii="Times New Roman" w:hAnsi="Times New Roman"/>
                <w:sz w:val="24"/>
              </w:rPr>
              <w:tab/>
              <w:t>(–) Imovina mirovinskog fonda pod pokroviteljstvom poslodavca</w:t>
            </w:r>
          </w:p>
          <w:p w14:paraId="1EDB0083" w14:textId="75F698AA" w:rsidR="005643EA" w:rsidRPr="00A30C4C" w:rsidRDefault="00214FDA" w:rsidP="00214FD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109., članak 36. stavak 1. točka (e) i članak 41. CRR-a</w:t>
            </w:r>
          </w:p>
        </w:tc>
      </w:tr>
      <w:tr w:rsidR="00666996" w:rsidRPr="00A30C4C" w14:paraId="287C1312" w14:textId="77777777" w:rsidTr="00672D2A">
        <w:tc>
          <w:tcPr>
            <w:tcW w:w="1129" w:type="dxa"/>
          </w:tcPr>
          <w:p w14:paraId="2CD7DC4B"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14:paraId="702AFB11"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Pr>
                <w:rStyle w:val="InstructionsTabelleberschrift"/>
                <w:rFonts w:ascii="Times New Roman" w:hAnsi="Times New Roman"/>
                <w:sz w:val="24"/>
              </w:rPr>
              <w:tab/>
              <w:t xml:space="preserve">(–) Imovina mirovinskog fonda pod pokroviteljstvom poslodavca </w:t>
            </w:r>
          </w:p>
          <w:p w14:paraId="3BEEA281" w14:textId="60966540"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109. i članak 36. stavak 1. točka (e) CRR-a</w:t>
            </w:r>
          </w:p>
          <w:p w14:paraId="4CDCF4EC"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Imovina mirovinskog fonda pod pokroviteljstvom poslodavca definirana je kao „imovina mirovinskog fonda ili plana, prema potrebi, koja je izračunana nakon što je od nje oduzet iznos obveza u okviru istog fonda ili plana”.</w:t>
            </w:r>
          </w:p>
          <w:p w14:paraId="53ACD534"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Iznos koji se iskazuje odgovara iznosu iskazanom u bilanci (ako je iskazan zasebno).</w:t>
            </w:r>
          </w:p>
        </w:tc>
      </w:tr>
      <w:tr w:rsidR="00666996" w:rsidRPr="00A30C4C" w14:paraId="23971C79" w14:textId="77777777" w:rsidTr="00672D2A">
        <w:tc>
          <w:tcPr>
            <w:tcW w:w="1129" w:type="dxa"/>
          </w:tcPr>
          <w:p w14:paraId="3AF45196"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410</w:t>
            </w:r>
          </w:p>
        </w:tc>
        <w:tc>
          <w:tcPr>
            <w:tcW w:w="7620" w:type="dxa"/>
          </w:tcPr>
          <w:p w14:paraId="49EABC3C"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Pr>
                <w:rStyle w:val="InstructionsTabelleberschrift"/>
                <w:rFonts w:ascii="Times New Roman" w:hAnsi="Times New Roman"/>
                <w:sz w:val="24"/>
              </w:rPr>
              <w:tab/>
              <w:t>Odgođene porezne obveze povezane s imovinom mirovinskog fonda pod pokroviteljstvom poslodavca</w:t>
            </w:r>
          </w:p>
          <w:p w14:paraId="4D443458" w14:textId="1D421394"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točke 108. i 109. i članak 41. stavak 1. točka (a) CRR-a</w:t>
            </w:r>
          </w:p>
          <w:p w14:paraId="4C98F90C"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odgođenih poreznih obveza koji bi mogao prestati postojati kad bi se imovina mirovinskog fonda pod pokroviteljstvom poslodavca umanjila ili prestala priznavati u skladu s primjenjivim računovodstvenim standardom.</w:t>
            </w:r>
          </w:p>
        </w:tc>
      </w:tr>
      <w:tr w:rsidR="00666996" w:rsidRPr="00A30C4C" w14:paraId="526CED26" w14:textId="77777777" w:rsidTr="00672D2A">
        <w:tc>
          <w:tcPr>
            <w:tcW w:w="1129" w:type="dxa"/>
          </w:tcPr>
          <w:p w14:paraId="772C22FF"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14:paraId="7347970E"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Pr>
                <w:rStyle w:val="InstructionsTabelleberschrift"/>
                <w:rFonts w:ascii="Times New Roman" w:hAnsi="Times New Roman"/>
                <w:sz w:val="24"/>
              </w:rPr>
              <w:tab/>
              <w:t>Imovina mirovinskog fonda pod pokroviteljstvom poslodavca koju institucija ima neograničenu mogućnost koristiti</w:t>
            </w:r>
          </w:p>
          <w:p w14:paraId="1C7AEF32" w14:textId="7998A6A7"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109. i članak 41. stavak 1. točka (b) CRR-a</w:t>
            </w:r>
          </w:p>
          <w:p w14:paraId="3337156D"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Ovom se stavkom iskazuje iznos samo ako postoji prethodno odobrenje nadležnog tijela za umanjenje iznosa imovine mirovinskog fonda pod pokroviteljstvom poslodavca koji se odbija.</w:t>
            </w:r>
          </w:p>
          <w:p w14:paraId="633DBC47"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Imovini uključenoj u ovaj redak dodjeljuje se ponder rizika za zahtjeve za kreditni rizik.</w:t>
            </w:r>
          </w:p>
        </w:tc>
      </w:tr>
      <w:tr w:rsidR="00666996" w:rsidRPr="00A30C4C" w14:paraId="59DC2247" w14:textId="77777777" w:rsidTr="00672D2A">
        <w:tc>
          <w:tcPr>
            <w:tcW w:w="1129" w:type="dxa"/>
          </w:tcPr>
          <w:p w14:paraId="37D2A03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430</w:t>
            </w:r>
          </w:p>
        </w:tc>
        <w:tc>
          <w:tcPr>
            <w:tcW w:w="7620" w:type="dxa"/>
          </w:tcPr>
          <w:p w14:paraId="2659873F"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Pr>
                <w:rStyle w:val="InstructionsTabelleberschrift"/>
                <w:rFonts w:ascii="Times New Roman" w:hAnsi="Times New Roman"/>
                <w:sz w:val="24"/>
              </w:rPr>
              <w:tab/>
              <w:t>(–) Recipročna međusobna ulaganja u redovni osnovni kapital</w:t>
            </w:r>
          </w:p>
          <w:p w14:paraId="53A63BE0" w14:textId="57AE6A4E"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36. stavak 1. točka (g) i članak 44. CRR-a</w:t>
            </w:r>
          </w:p>
          <w:p w14:paraId="2B53DEDC" w14:textId="4AC0DF9B" w:rsidR="007E39E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redovnog osnovnog kapitala koje izdaju subjekti financijskog sektora (kako su definirani u članku 4. stavku 1. točki 27. CRR-a) ako postoji recipročno međusobno ulaganje za koje nadležno tijelo smatra da mu je cilj umjetno povećanje regulatornog kapitala institucije.</w:t>
            </w:r>
          </w:p>
          <w:p w14:paraId="4B9979A2"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izračunava se na osnovi bruto dugih pozicija i uključuje stavke </w:t>
            </w:r>
            <w:proofErr w:type="spellStart"/>
            <w:r>
              <w:rPr>
                <w:rStyle w:val="FormatvorlageInstructionsTabelleText"/>
                <w:rFonts w:ascii="Times New Roman" w:hAnsi="Times New Roman"/>
                <w:sz w:val="24"/>
              </w:rPr>
              <w:t>osigurateljnog</w:t>
            </w:r>
            <w:proofErr w:type="spellEnd"/>
            <w:r>
              <w:rPr>
                <w:rStyle w:val="FormatvorlageInstructionsTabelleText"/>
                <w:rFonts w:ascii="Times New Roman" w:hAnsi="Times New Roman"/>
                <w:sz w:val="24"/>
              </w:rPr>
              <w:t xml:space="preserve"> osnovnog kapitala.</w:t>
            </w:r>
          </w:p>
        </w:tc>
      </w:tr>
      <w:tr w:rsidR="00666996" w:rsidRPr="00A30C4C" w14:paraId="4EBA580A" w14:textId="77777777" w:rsidTr="00672D2A">
        <w:tc>
          <w:tcPr>
            <w:tcW w:w="1129" w:type="dxa"/>
          </w:tcPr>
          <w:p w14:paraId="6D1BE33E"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14:paraId="61E9BF7A"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Pr>
                <w:rStyle w:val="InstructionsTabelleberschrift"/>
                <w:rFonts w:ascii="Times New Roman" w:hAnsi="Times New Roman"/>
                <w:sz w:val="24"/>
              </w:rPr>
              <w:tab/>
              <w:t xml:space="preserve">(–) Odbitak od stavki dodatnog osnovnog kapitala koji premašuje dodatni osnovni kapital </w:t>
            </w:r>
          </w:p>
          <w:p w14:paraId="5F639232" w14:textId="644F0AB5"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(j) CRR-a</w:t>
            </w:r>
          </w:p>
          <w:p w14:paraId="09EC7111" w14:textId="475AB3F2"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izravno se uzima iz obrasca CA1 stavke „Odbitak od stavki dodatnog osnovnog kapitala koji premašuje dodatni osnovni kapital”. Iznos je potrebno odbiti od redovnog osnovnog kapitala.</w:t>
            </w:r>
          </w:p>
        </w:tc>
      </w:tr>
      <w:tr w:rsidR="00666996" w:rsidRPr="00A30C4C" w14:paraId="35614C08" w14:textId="77777777" w:rsidTr="00672D2A">
        <w:tc>
          <w:tcPr>
            <w:tcW w:w="1129" w:type="dxa"/>
          </w:tcPr>
          <w:p w14:paraId="5DD060AE" w14:textId="77777777" w:rsidR="00666996" w:rsidRPr="00A30C4C"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14:paraId="1E19E661" w14:textId="7DB61DDB"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Pr>
                <w:rStyle w:val="InstructionsTabelleberschrift"/>
                <w:rFonts w:ascii="Times New Roman" w:hAnsi="Times New Roman"/>
                <w:sz w:val="24"/>
              </w:rPr>
              <w:tab/>
              <w:t>(–) Kvalificirani udjeli izvan financijskog sektora na koje se kao alternativa može primjenjivati ponder rizika od 1 250 %</w:t>
            </w:r>
          </w:p>
          <w:p w14:paraId="62A7D1AE" w14:textId="077AB281"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4. stavak 1. točka 36., 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 i članci od 89. do 91. CRR-a</w:t>
            </w:r>
          </w:p>
          <w:p w14:paraId="5B23F420"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Kvalificirani udjeli definirani su kao „izravno ili neizravno ulaganje u društvo koje predstavlja 10 % ili više kapitala ili glasačkih prava ili koje omogućava ostvarivanje značajnog utjecaja na upravljanje tim društvom”.</w:t>
            </w:r>
          </w:p>
          <w:p w14:paraId="0D594964" w14:textId="77B57BE8"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 skladu s člankom 36. stavkom 1. točkom (k) </w:t>
            </w:r>
            <w:proofErr w:type="spellStart"/>
            <w:r>
              <w:rPr>
                <w:rStyle w:val="FormatvorlageInstructionsTabelleText"/>
                <w:rFonts w:ascii="Times New Roman" w:hAnsi="Times New Roman"/>
                <w:sz w:val="24"/>
              </w:rPr>
              <w:t>podtočkom</w:t>
            </w:r>
            <w:proofErr w:type="spellEnd"/>
            <w:r>
              <w:rPr>
                <w:rStyle w:val="FormatvorlageInstructionsTabelleText"/>
                <w:rFonts w:ascii="Times New Roman" w:hAnsi="Times New Roman"/>
                <w:sz w:val="24"/>
              </w:rPr>
              <w:t xml:space="preserve"> i. CRR-a kvalificirani udjeli mogu se, kao alternativa, odbijati od redovnog osnovnog kapitala </w:t>
            </w:r>
            <w:r>
              <w:rPr>
                <w:rStyle w:val="FormatvorlageInstructionsTabelleText"/>
                <w:rFonts w:ascii="Times New Roman" w:hAnsi="Times New Roman"/>
                <w:sz w:val="24"/>
              </w:rPr>
              <w:lastRenderedPageBreak/>
              <w:t>(korištenjem ove stavke) ili se na njih može primjenjivati ponder rizika od 1 250 %.</w:t>
            </w:r>
          </w:p>
        </w:tc>
      </w:tr>
      <w:tr w:rsidR="00666996" w:rsidRPr="00A30C4C" w14:paraId="77436E8C" w14:textId="77777777" w:rsidTr="00672D2A">
        <w:tc>
          <w:tcPr>
            <w:tcW w:w="1129" w:type="dxa"/>
          </w:tcPr>
          <w:p w14:paraId="70AEAC6A" w14:textId="77777777" w:rsidR="00666996" w:rsidRPr="00A30C4C"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620" w:type="dxa"/>
          </w:tcPr>
          <w:p w14:paraId="781952B8"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Pr>
                <w:rStyle w:val="InstructionsTabelleberschrift"/>
                <w:rFonts w:ascii="Times New Roman" w:hAnsi="Times New Roman"/>
                <w:sz w:val="24"/>
              </w:rPr>
              <w:tab/>
              <w:t xml:space="preserve">(–) </w:t>
            </w:r>
            <w:proofErr w:type="spellStart"/>
            <w:r>
              <w:rPr>
                <w:rStyle w:val="InstructionsTabelleberschrift"/>
                <w:rFonts w:ascii="Times New Roman" w:hAnsi="Times New Roman"/>
                <w:sz w:val="24"/>
              </w:rPr>
              <w:t>Sekuritizacijske</w:t>
            </w:r>
            <w:proofErr w:type="spellEnd"/>
            <w:r>
              <w:rPr>
                <w:rStyle w:val="InstructionsTabelleberschrift"/>
                <w:rFonts w:ascii="Times New Roman" w:hAnsi="Times New Roman"/>
                <w:sz w:val="24"/>
              </w:rPr>
              <w:t xml:space="preserve"> pozicije na koje se kao alternativa može primjenjivati ponder rizika od 1 250 %</w:t>
            </w:r>
          </w:p>
          <w:p w14:paraId="7E87528D" w14:textId="06860AB5" w:rsidR="006C2F61" w:rsidRPr="00A30C4C" w:rsidRDefault="00C7103D" w:rsidP="006C2F6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244. stavak 1. točka (b), članak 245. stavak 1. točka (b) i članak 253. stavak 1. CRR-a </w:t>
            </w:r>
          </w:p>
          <w:p w14:paraId="2876F937" w14:textId="5F55681E" w:rsidR="005643EA" w:rsidRPr="00A30C4C" w:rsidRDefault="00666996" w:rsidP="00C7103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Sekuritizacijske</w:t>
            </w:r>
            <w:proofErr w:type="spellEnd"/>
            <w:r>
              <w:rPr>
                <w:rStyle w:val="FormatvorlageInstructionsTabelleText"/>
                <w:rFonts w:ascii="Times New Roman" w:hAnsi="Times New Roman"/>
                <w:sz w:val="24"/>
              </w:rPr>
              <w:t xml:space="preserve"> pozicije na koje se primjenjuje ponder rizika od 1 250 %, ali koje se, kao alternativa, mogu odbijati od redovnog osnovnog kapitala (članak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CRR-a) iskazuju se u ovoj stavci.</w:t>
            </w:r>
          </w:p>
        </w:tc>
      </w:tr>
      <w:tr w:rsidR="00666996" w:rsidRPr="00A30C4C" w14:paraId="1E8BDF63" w14:textId="77777777" w:rsidTr="00672D2A">
        <w:tc>
          <w:tcPr>
            <w:tcW w:w="1129" w:type="dxa"/>
          </w:tcPr>
          <w:p w14:paraId="70F4DA3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14:paraId="7C640C13"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Pr>
                <w:rStyle w:val="InstructionsTabelleberschrift"/>
                <w:rFonts w:ascii="Times New Roman" w:hAnsi="Times New Roman"/>
                <w:sz w:val="24"/>
              </w:rPr>
              <w:tab/>
              <w:t>(–) Slobodne isporuke na koje se kao alternativa može primjenjivati ponder rizika od 1 250 %</w:t>
            </w:r>
          </w:p>
          <w:p w14:paraId="2530399A" w14:textId="2D94A149"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iii. i članak 379. stavak 3. CRR-a</w:t>
            </w:r>
          </w:p>
          <w:p w14:paraId="461E96CC" w14:textId="39FC3321" w:rsidR="005643EA" w:rsidRPr="00A30C4C" w:rsidRDefault="00666996"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slobodne isporuke primjenjuje se ponder rizika od 1 250 % 5 dana nakon drugog ugovorenog plaćanja ili isporuke do zaključenja transakcije, u skladu s kapitalnim zahtjevima za rizik namire. Alternativno, mogu se odbijati od redovnog osnovnog kapitala (članak 36. stavak 1. točka (k)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iii. CRR-a). U potonjem se slučaju iskazuju u ovoj stavci.</w:t>
            </w:r>
          </w:p>
        </w:tc>
      </w:tr>
      <w:tr w:rsidR="00666996" w:rsidRPr="00A30C4C" w14:paraId="3A892529" w14:textId="77777777" w:rsidTr="00672D2A">
        <w:tc>
          <w:tcPr>
            <w:tcW w:w="1129" w:type="dxa"/>
          </w:tcPr>
          <w:p w14:paraId="7705932E"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471</w:t>
            </w:r>
          </w:p>
        </w:tc>
        <w:tc>
          <w:tcPr>
            <w:tcW w:w="7620" w:type="dxa"/>
          </w:tcPr>
          <w:p w14:paraId="2BEC5116" w14:textId="58F7D1A1"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Pr>
                <w:rStyle w:val="InstructionsTabelleberschrift"/>
                <w:rFonts w:ascii="Times New Roman" w:hAnsi="Times New Roman"/>
                <w:sz w:val="24"/>
              </w:rPr>
              <w:tab/>
              <w:t>(–) Pozicije u košarici za koje institucija ne može utvrditi ponder rizika prema IRB pristupu i na koje se kao alternativa može primjenjivati ponder rizika od 1 250 %</w:t>
            </w:r>
          </w:p>
          <w:p w14:paraId="23EF78C2" w14:textId="50FF0470" w:rsidR="005643EA" w:rsidRPr="00A30C4C" w:rsidRDefault="00C7103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36. stavak 1. točka (k)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iv. i članak 153. stavak 8. CRR-a</w:t>
            </w:r>
          </w:p>
          <w:p w14:paraId="34F8740F" w14:textId="351F0AB7" w:rsidR="005643EA" w:rsidRPr="00A30C4C" w:rsidRDefault="00666996" w:rsidP="00C710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 skladu s člankom 36. stavkom 1. točkom (k) </w:t>
            </w:r>
            <w:proofErr w:type="spellStart"/>
            <w:r>
              <w:rPr>
                <w:rStyle w:val="FormatvorlageInstructionsTabelleText"/>
                <w:rFonts w:ascii="Times New Roman" w:hAnsi="Times New Roman"/>
                <w:sz w:val="24"/>
              </w:rPr>
              <w:t>podtočkom</w:t>
            </w:r>
            <w:proofErr w:type="spellEnd"/>
            <w:r>
              <w:rPr>
                <w:rStyle w:val="FormatvorlageInstructionsTabelleText"/>
                <w:rFonts w:ascii="Times New Roman" w:hAnsi="Times New Roman"/>
                <w:sz w:val="24"/>
              </w:rPr>
              <w:t xml:space="preserve"> iv. CRR-a </w:t>
            </w:r>
            <w:r>
              <w:rPr>
                <w:rStyle w:val="InstructionsTabelleberschrift"/>
                <w:rFonts w:ascii="Times New Roman" w:hAnsi="Times New Roman"/>
                <w:b w:val="0"/>
                <w:sz w:val="24"/>
                <w:u w:val="none"/>
              </w:rPr>
              <w:t>pozicije u košarici za koje institucija ne može utvrditi ponder rizika prema IRB pristupu</w:t>
            </w:r>
            <w:r>
              <w:rPr>
                <w:rStyle w:val="FormatvorlageInstructionsTabelleText"/>
                <w:rFonts w:ascii="Times New Roman" w:hAnsi="Times New Roman"/>
                <w:sz w:val="24"/>
              </w:rPr>
              <w:t xml:space="preserve"> mogu se, kao alternativa, odbijati od redovnog osnovnog kapitala (korištenjem ove stavke) ili se na njih može primjenjivati ponder rizika od 1 250 %.</w:t>
            </w:r>
          </w:p>
        </w:tc>
      </w:tr>
      <w:tr w:rsidR="00666996" w:rsidRPr="00A30C4C" w14:paraId="3917E2A4" w14:textId="77777777" w:rsidTr="00672D2A">
        <w:tc>
          <w:tcPr>
            <w:tcW w:w="1129" w:type="dxa"/>
          </w:tcPr>
          <w:p w14:paraId="3A637B33"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14:paraId="157A1D2F" w14:textId="02EAE7E0"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Pr>
                <w:rStyle w:val="InstructionsTabelleberschrift"/>
                <w:rFonts w:ascii="Times New Roman" w:hAnsi="Times New Roman"/>
                <w:sz w:val="24"/>
              </w:rPr>
              <w:tab/>
              <w:t>(–) Izloženosti na osnovi vlasničkih ulaganja u skladu s pristupom internih modela na koje se kao alternativa može primjenjivati ponder rizika od 1 250 %</w:t>
            </w:r>
          </w:p>
          <w:p w14:paraId="08BE5CC2" w14:textId="448207B7" w:rsidR="005643EA" w:rsidRPr="00A30C4C" w:rsidRDefault="00C7103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36. stavak 1. točka (k)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v. i članak 155. stavak 4. CRR-a</w:t>
            </w:r>
          </w:p>
          <w:p w14:paraId="09F9394D" w14:textId="746413D7" w:rsidR="005643EA" w:rsidRPr="00A30C4C" w:rsidRDefault="00666996" w:rsidP="00C710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U skladu s člankom 36. stavkom 1. točkom (k) </w:t>
            </w:r>
            <w:proofErr w:type="spellStart"/>
            <w:r>
              <w:rPr>
                <w:rStyle w:val="FormatvorlageInstructionsTabelleText"/>
                <w:rFonts w:ascii="Times New Roman" w:hAnsi="Times New Roman"/>
                <w:sz w:val="24"/>
              </w:rPr>
              <w:t>podtočkom</w:t>
            </w:r>
            <w:proofErr w:type="spellEnd"/>
            <w:r>
              <w:rPr>
                <w:rStyle w:val="FormatvorlageInstructionsTabelleText"/>
                <w:rFonts w:ascii="Times New Roman" w:hAnsi="Times New Roman"/>
                <w:sz w:val="24"/>
              </w:rPr>
              <w:t xml:space="preserve"> v. CRR-a</w:t>
            </w:r>
            <w:r>
              <w:t xml:space="preserve"> </w:t>
            </w:r>
            <w:r>
              <w:rPr>
                <w:rStyle w:val="InstructionsTabelleberschrift"/>
                <w:rFonts w:ascii="Times New Roman" w:hAnsi="Times New Roman"/>
                <w:b w:val="0"/>
                <w:sz w:val="24"/>
                <w:u w:val="none"/>
              </w:rPr>
              <w:t>izloženosti na osnovi vlasničkih ulaganja u skladu s pristupom internih modela</w:t>
            </w:r>
            <w:r>
              <w:rPr>
                <w:rStyle w:val="FormatvorlageInstructionsTabelleText"/>
                <w:rFonts w:ascii="Times New Roman" w:hAnsi="Times New Roman"/>
                <w:sz w:val="24"/>
              </w:rPr>
              <w:t xml:space="preserve"> mogu se, kao alternativa, odbijati od redovnog osnovnog kapitala (korištenjem ove stavke) ili se na njih može primjenjivati ponder rizika od 1 250 %.</w:t>
            </w:r>
          </w:p>
        </w:tc>
      </w:tr>
      <w:tr w:rsidR="00666996" w:rsidRPr="00A30C4C" w14:paraId="5BCBC4E2" w14:textId="77777777" w:rsidTr="00672D2A">
        <w:tc>
          <w:tcPr>
            <w:tcW w:w="1129" w:type="dxa"/>
          </w:tcPr>
          <w:p w14:paraId="645E72BC"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14:paraId="1664893D"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Pr>
                <w:rStyle w:val="InstructionsTabelleberschrift"/>
                <w:rFonts w:ascii="Times New Roman" w:hAnsi="Times New Roman"/>
                <w:sz w:val="24"/>
              </w:rPr>
              <w:tab/>
              <w:t>(–) Instrumenti redovnog osnovnog kapitala subjekata financijskog sektora ako institucija nema značajno ulaganje</w:t>
            </w:r>
          </w:p>
          <w:p w14:paraId="29F1B510" w14:textId="7B52DDB0"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36. stavak 1. točka (h), članci od 43. do 46., članak 49. stavci 2. i 3. i članak 79. CRR-a</w:t>
            </w:r>
          </w:p>
          <w:p w14:paraId="38BC00BA" w14:textId="35E10FEE"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redovnog osnovnog kapitala.</w:t>
            </w:r>
          </w:p>
          <w:p w14:paraId="1F74B836" w14:textId="3AC4973D" w:rsidR="005643EA" w:rsidRPr="00A30C4C" w:rsidRDefault="00666996"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alternative odbitku kad se primjenjuje konsolidacija (članak 49. stavci 2. i 3.).</w:t>
            </w:r>
          </w:p>
        </w:tc>
      </w:tr>
      <w:tr w:rsidR="00666996" w:rsidRPr="00A30C4C" w14:paraId="631F7107" w14:textId="77777777" w:rsidTr="00672D2A">
        <w:tc>
          <w:tcPr>
            <w:tcW w:w="1129" w:type="dxa"/>
          </w:tcPr>
          <w:p w14:paraId="334D0711"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490</w:t>
            </w:r>
          </w:p>
        </w:tc>
        <w:tc>
          <w:tcPr>
            <w:tcW w:w="7620" w:type="dxa"/>
          </w:tcPr>
          <w:p w14:paraId="2D14DF68"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Pr>
                <w:rStyle w:val="InstructionsTabelleberschrift"/>
                <w:rFonts w:ascii="Times New Roman" w:hAnsi="Times New Roman"/>
                <w:sz w:val="24"/>
              </w:rPr>
              <w:tab/>
              <w:t>(–) Odgođena porezna imovina koja se može odbiti i koja ovisi o budućoj profitabilnosti i proizlazi iz privremenih razlika</w:t>
            </w:r>
          </w:p>
          <w:p w14:paraId="14CB7685" w14:textId="54220E70"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(c); članak 38. i članak 48. stavak 1. točka (a) CRR-a</w:t>
            </w:r>
          </w:p>
          <w:p w14:paraId="5C8E88B5" w14:textId="41F84E52"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odgođene porezne imovine koja ovisi o budućoj profitabilnosti i proizlazi iz privremenih razlika (ne uključujući dio povezanih odgođenih poreznih obveza raspoređenih na odgođenu poreznu imovinu koja proizlazi iz privremenih razlika) koji je u skladu s člankom 38. stavkom 5. točkom (b) CRR-a potrebno odbiti uz primjenu praga od 10 % iz članka 48. stavka 1. točke (a) CRR-a.</w:t>
            </w:r>
          </w:p>
        </w:tc>
      </w:tr>
      <w:tr w:rsidR="00666996" w:rsidRPr="00A30C4C" w14:paraId="37D9C6E9" w14:textId="77777777" w:rsidTr="00672D2A">
        <w:tc>
          <w:tcPr>
            <w:tcW w:w="1129" w:type="dxa"/>
          </w:tcPr>
          <w:p w14:paraId="483FFB4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14:paraId="59969AB1"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Pr>
                <w:rStyle w:val="InstructionsTabelleberschrift"/>
                <w:rFonts w:ascii="Times New Roman" w:hAnsi="Times New Roman"/>
                <w:sz w:val="24"/>
              </w:rPr>
              <w:tab/>
              <w:t>(–) Instrumenti redovnog osnovnog kapitala subjekata financijskog sektora ako institucija ima značajno ulaganje</w:t>
            </w:r>
          </w:p>
          <w:p w14:paraId="01B96D58" w14:textId="55F6CCF3"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i članak 36. stavak 1. točka (i); članci 43., 45. i 47., članak 48. stavak 2. točka (b), članak 49. stavci 1., 2. i 3. i članak 79. CRR-a</w:t>
            </w:r>
          </w:p>
          <w:p w14:paraId="41A471CE" w14:textId="132D55BD"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redovnog osnovnog kapitala subjekata financijskog sektora (kako su definirani u članku 4. stavku 1. točki 27. CRR-a) ako institucija ima značajno ulaganje koje je potrebno odbiti, uz primjenu praga od 10 % iz članka 48. stavka 1. točke (b) CRR-a.</w:t>
            </w:r>
          </w:p>
          <w:p w14:paraId="5CAEC573" w14:textId="013BBB22" w:rsidR="005643EA" w:rsidRPr="00A30C4C" w:rsidRDefault="00666996"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alternative odbitku kad se primjenjuje konsolidacija (članak 49. stavci 1., 2. i 3. CRR-a).</w:t>
            </w:r>
          </w:p>
        </w:tc>
      </w:tr>
      <w:tr w:rsidR="00666996" w:rsidRPr="00A30C4C" w14:paraId="29C8C1D4" w14:textId="77777777" w:rsidTr="00672D2A">
        <w:tc>
          <w:tcPr>
            <w:tcW w:w="1129" w:type="dxa"/>
          </w:tcPr>
          <w:p w14:paraId="38B0B55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620" w:type="dxa"/>
          </w:tcPr>
          <w:p w14:paraId="6E294BCD"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Pr>
                <w:rStyle w:val="InstructionsTabelleberschrift"/>
                <w:rFonts w:ascii="Times New Roman" w:hAnsi="Times New Roman"/>
                <w:sz w:val="24"/>
              </w:rPr>
              <w:tab/>
              <w:t>(–) Iznos koji premašuje prag od 17,65 %</w:t>
            </w:r>
          </w:p>
          <w:p w14:paraId="414DF414" w14:textId="296CB7B1"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 stavak 2. CRR-a</w:t>
            </w:r>
          </w:p>
          <w:p w14:paraId="66997FCD" w14:textId="5B4603DB" w:rsidR="005643EA" w:rsidRPr="00A30C4C" w:rsidRDefault="00666996"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odgođene porezne imovine koja ovisi o budućoj profitabilnosti i proizlazi iz privremenih razlika te izravna, neizravna i sintetička ulaganja institucije u instrumente redovnog osnovnog kapitala subjekata financijskog sektora (kako su definirani u članku 4. stavku 1. točki 27. CRR-a) ako institucija ima značajno ulaganje koje je potrebno odbiti, uz primjenu praga od 17,65 % iz članka 48. stavka 2. CRR-a.</w:t>
            </w:r>
          </w:p>
        </w:tc>
      </w:tr>
      <w:tr w:rsidR="00666996" w:rsidRPr="00A30C4C" w14:paraId="38683572" w14:textId="77777777" w:rsidTr="00672D2A">
        <w:tc>
          <w:tcPr>
            <w:tcW w:w="1129" w:type="dxa"/>
          </w:tcPr>
          <w:p w14:paraId="15C09A2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14:paraId="18E60C6E"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Pr>
                <w:rStyle w:val="InstructionsTabelleberschrift"/>
                <w:rFonts w:ascii="Times New Roman" w:hAnsi="Times New Roman"/>
                <w:sz w:val="24"/>
              </w:rPr>
              <w:tab/>
              <w:t>Ostala prijelazna usklađenja redovnog osnovnog kapitala</w:t>
            </w:r>
          </w:p>
          <w:p w14:paraId="4C779806" w14:textId="280ED14F"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od 469. do 472., članci 478. i 481. CRR-a</w:t>
            </w:r>
          </w:p>
          <w:p w14:paraId="231003A2"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odbitaka zbog prijelaznih odredbi. Iznos koji se iskazuje dobiva se izravno iz CA5.</w:t>
            </w:r>
          </w:p>
        </w:tc>
      </w:tr>
      <w:tr w:rsidR="00A232F8" w:rsidRPr="00A30C4C" w14:paraId="3B98C022" w14:textId="77777777" w:rsidTr="00672D2A">
        <w:tc>
          <w:tcPr>
            <w:tcW w:w="1129" w:type="dxa"/>
          </w:tcPr>
          <w:p w14:paraId="10D716DB" w14:textId="77777777" w:rsidR="005643EA" w:rsidRPr="00A30C4C"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26948B21" w14:textId="77777777"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Pr>
                <w:rStyle w:val="InstructionsTabelleberschrift"/>
                <w:rFonts w:ascii="Times New Roman" w:hAnsi="Times New Roman"/>
                <w:sz w:val="24"/>
              </w:rPr>
              <w:tab/>
              <w:t>(–) Dodatni odbici od redovnog osnovnog kapitala u skladu s člankom 3. CRR-a</w:t>
            </w:r>
          </w:p>
          <w:p w14:paraId="2BAA33FA" w14:textId="77777777" w:rsidR="005643EA" w:rsidRPr="00A30C4C"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 CRR-a</w:t>
            </w:r>
          </w:p>
        </w:tc>
      </w:tr>
      <w:tr w:rsidR="00666996" w:rsidRPr="00A30C4C" w14:paraId="66F211BA" w14:textId="77777777" w:rsidTr="00672D2A">
        <w:tc>
          <w:tcPr>
            <w:tcW w:w="1129" w:type="dxa"/>
          </w:tcPr>
          <w:p w14:paraId="6E0FA8AC" w14:textId="77777777" w:rsidR="005643EA" w:rsidRPr="00A30C4C"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14:paraId="69C6C3E5" w14:textId="77777777"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Pr>
                <w:rStyle w:val="InstructionsTabelleberschrift"/>
                <w:rFonts w:ascii="Times New Roman" w:hAnsi="Times New Roman"/>
                <w:sz w:val="24"/>
              </w:rPr>
              <w:tab/>
              <w:t>Elementi ili odbici od redovnog osnovnog kapitala – ostalo</w:t>
            </w:r>
          </w:p>
          <w:p w14:paraId="09561A50" w14:textId="7B5F7879" w:rsidR="005643EA" w:rsidRPr="00A30C4C"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Svrha ovog retka je fleksibilnost isključivo za potrebe izvješćivanja. Popunjava se samo u rijetkim slučajevima kada ne postoji konačna odluka o iskazivanju specifičnih stavki/odbitaka kapitala u postojećom obrascu CA1. Stoga se ovaj redak popunjava samo ako se element redovnog osnovnog kapitala ili </w:t>
            </w:r>
            <w:r>
              <w:rPr>
                <w:rStyle w:val="InstructionsTabelleberschrift"/>
                <w:rFonts w:ascii="Times New Roman" w:hAnsi="Times New Roman"/>
                <w:b w:val="0"/>
                <w:sz w:val="24"/>
                <w:u w:val="none"/>
              </w:rPr>
              <w:lastRenderedPageBreak/>
              <w:t xml:space="preserve">odbitak od elementa redovnog osnovnog kapitala ne može rasporediti u jedan od redaka od 020 do 524. </w:t>
            </w:r>
          </w:p>
          <w:p w14:paraId="473C14AD" w14:textId="759CACFB" w:rsidR="005643EA" w:rsidRPr="00A30C4C" w:rsidRDefault="00666996" w:rsidP="00852CA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Ovaj se redak ne koristi za raspoređivanje stavki/odbitaka kapitala koji nisu obuhvaćeni CRR-om u izračun stopa solventnosti (npr. raspoređivanje nacionalnih stavki/odbitaka kapitala izvan područja primjene CRR-a).</w:t>
            </w:r>
          </w:p>
        </w:tc>
      </w:tr>
      <w:tr w:rsidR="00666996" w:rsidRPr="00A30C4C" w14:paraId="2B4DCCF1" w14:textId="77777777" w:rsidTr="00672D2A">
        <w:tc>
          <w:tcPr>
            <w:tcW w:w="1129" w:type="dxa"/>
          </w:tcPr>
          <w:p w14:paraId="6F9F0773"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530</w:t>
            </w:r>
          </w:p>
        </w:tc>
        <w:tc>
          <w:tcPr>
            <w:tcW w:w="7620" w:type="dxa"/>
          </w:tcPr>
          <w:p w14:paraId="42EDC2C9"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DODATNI OSNOVNI KAPITAL</w:t>
            </w:r>
          </w:p>
          <w:p w14:paraId="3656642C" w14:textId="16A5156B"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61. CRR-a</w:t>
            </w:r>
          </w:p>
        </w:tc>
      </w:tr>
      <w:tr w:rsidR="00666996" w:rsidRPr="00A30C4C" w14:paraId="26FAA104" w14:textId="77777777" w:rsidTr="00672D2A">
        <w:tc>
          <w:tcPr>
            <w:tcW w:w="1129" w:type="dxa"/>
          </w:tcPr>
          <w:p w14:paraId="62BC150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14:paraId="647FF227"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Pr>
                <w:rStyle w:val="InstructionsTabelleberschrift"/>
                <w:rFonts w:ascii="Times New Roman" w:hAnsi="Times New Roman"/>
                <w:sz w:val="24"/>
              </w:rPr>
              <w:tab/>
              <w:t>Instrumenti kapitala koji se priznaju kao dodatni osnovni kapital</w:t>
            </w:r>
          </w:p>
          <w:p w14:paraId="1B79B3FD" w14:textId="3CAF5385" w:rsidR="005643EA" w:rsidRPr="00A30C4C" w:rsidRDefault="00852CAD"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(a), članci 52., 53. i 54., članak 56. točka (a) i članak 57. CRR-a</w:t>
            </w:r>
          </w:p>
        </w:tc>
      </w:tr>
      <w:tr w:rsidR="00666996" w:rsidRPr="00A30C4C" w14:paraId="286F1605" w14:textId="77777777" w:rsidTr="00672D2A">
        <w:tc>
          <w:tcPr>
            <w:tcW w:w="1129" w:type="dxa"/>
          </w:tcPr>
          <w:p w14:paraId="77FFE17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14:paraId="2E791887"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Pr>
                <w:rStyle w:val="InstructionsTabelleberschrift"/>
                <w:rFonts w:ascii="Times New Roman" w:hAnsi="Times New Roman"/>
                <w:sz w:val="24"/>
              </w:rPr>
              <w:tab/>
              <w:t>Plaćeni instrumenti kapitala</w:t>
            </w:r>
          </w:p>
          <w:p w14:paraId="76AEB068" w14:textId="7E2CFF58" w:rsidR="005643EA" w:rsidRPr="00A30C4C" w:rsidRDefault="0070502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(a) i članci 52., 53. i 54. CRR-a</w:t>
            </w:r>
          </w:p>
          <w:p w14:paraId="26B27CEB"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666996" w:rsidRPr="00A30C4C" w14:paraId="73AEB3B0" w14:textId="77777777" w:rsidTr="00672D2A">
        <w:tc>
          <w:tcPr>
            <w:tcW w:w="1129" w:type="dxa"/>
          </w:tcPr>
          <w:p w14:paraId="48AC7EB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14:paraId="1C85A4C5"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w:t>
            </w:r>
            <w:r>
              <w:rPr>
                <w:rStyle w:val="InstructionsTabelleberschrift"/>
                <w:rFonts w:ascii="Times New Roman" w:hAnsi="Times New Roman"/>
                <w:sz w:val="24"/>
              </w:rPr>
              <w:tab/>
              <w:t>Bilješka: Instrumenti kapitala koji se ne priznaju</w:t>
            </w:r>
          </w:p>
          <w:p w14:paraId="4E0EEA30" w14:textId="61149351"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52. stavak 1. točke (c), (e) i (f) CRR-a</w:t>
            </w:r>
          </w:p>
          <w:p w14:paraId="2D3B1E5D"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Uvjeti u tim točkama odražavaju različite pozicije kapitala koje su reverzibilne i stoga se iznos koji se ovdje iskazuje može priznati u naknadnim razdobljima.</w:t>
            </w:r>
          </w:p>
          <w:p w14:paraId="500890FA"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666996" w:rsidRPr="00A30C4C" w14:paraId="1CCDAFFC" w14:textId="77777777" w:rsidTr="00672D2A">
        <w:tc>
          <w:tcPr>
            <w:tcW w:w="1129" w:type="dxa"/>
          </w:tcPr>
          <w:p w14:paraId="1030643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620" w:type="dxa"/>
          </w:tcPr>
          <w:p w14:paraId="2B8186CC"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Pr>
                <w:rStyle w:val="InstructionsTabelleberschrift"/>
                <w:rFonts w:ascii="Times New Roman" w:hAnsi="Times New Roman"/>
                <w:sz w:val="24"/>
              </w:rPr>
              <w:tab/>
              <w:t>Premija na dionice</w:t>
            </w:r>
          </w:p>
          <w:p w14:paraId="231CFA68" w14:textId="413BE14C" w:rsidR="005643EA" w:rsidRPr="00A30C4C" w:rsidRDefault="0070502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51. točka (b) CRR-a</w:t>
            </w:r>
          </w:p>
          <w:p w14:paraId="29BF2766" w14:textId="313EE685"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Premija na dionice ima isto značenje kao i u primjenjivom računovodstvenom standardu.</w:t>
            </w:r>
          </w:p>
          <w:p w14:paraId="25572FB3"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 ovoj stavci dio je koji se odnosi na „plaćene instrumente kapitala”.</w:t>
            </w:r>
          </w:p>
        </w:tc>
      </w:tr>
      <w:tr w:rsidR="00666996" w:rsidRPr="00A30C4C" w14:paraId="11E581D9" w14:textId="77777777" w:rsidTr="00672D2A">
        <w:tc>
          <w:tcPr>
            <w:tcW w:w="1129" w:type="dxa"/>
          </w:tcPr>
          <w:p w14:paraId="19E514BD"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14:paraId="0459675D"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Pr>
                <w:rStyle w:val="InstructionsTabelleberschrift"/>
                <w:rFonts w:ascii="Times New Roman" w:hAnsi="Times New Roman"/>
                <w:sz w:val="24"/>
              </w:rPr>
              <w:tab/>
              <w:t>(–) Vlastiti instrumenti dodatnog osnovnog kapitala</w:t>
            </w:r>
          </w:p>
          <w:p w14:paraId="74DEFFF2" w14:textId="1843436F"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52. stavak 1. točka (b), članak 56. točka (a) i članak 57. CRR-a</w:t>
            </w:r>
          </w:p>
          <w:p w14:paraId="2A0DEAB7" w14:textId="04A64465"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Vlastiti instrumenti dodatnog osnovnog kapitala koje drži institucija ili grupa koja izvješćuje na izvještajni datum. Podložno iznimkama iz članka 57. CRR-a.</w:t>
            </w:r>
          </w:p>
          <w:p w14:paraId="72F2356F"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14:paraId="50F8E40D"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premiju na dionice povezanu s vlastitim dionicama.</w:t>
            </w:r>
          </w:p>
          <w:p w14:paraId="7751A2F5"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Stavke od 1.1.2.1.4. do 1.1.2.1.4.3. ne uključuju stvarne ili potencijalne obveze kupnje vlastitih instrumenata redovnog osnovnog kapitala. Stvarne ili </w:t>
            </w:r>
            <w:r>
              <w:rPr>
                <w:rStyle w:val="FormatvorlageInstructionsTabelleText"/>
                <w:rFonts w:ascii="Times New Roman" w:hAnsi="Times New Roman"/>
                <w:sz w:val="24"/>
              </w:rPr>
              <w:lastRenderedPageBreak/>
              <w:t>potencijalne obveze kupnje vlastitih instrumenata dodatnog osnovnog kapitala iskazuju se zasebno u stavci 1.1.2.1.5.</w:t>
            </w:r>
          </w:p>
        </w:tc>
      </w:tr>
      <w:tr w:rsidR="00666996" w:rsidRPr="00A30C4C" w14:paraId="3FED49EF" w14:textId="77777777" w:rsidTr="00672D2A">
        <w:tc>
          <w:tcPr>
            <w:tcW w:w="1129" w:type="dxa"/>
          </w:tcPr>
          <w:p w14:paraId="2CB32A97"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590</w:t>
            </w:r>
          </w:p>
        </w:tc>
        <w:tc>
          <w:tcPr>
            <w:tcW w:w="7620" w:type="dxa"/>
          </w:tcPr>
          <w:p w14:paraId="7075A4A4"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Pr>
                <w:rStyle w:val="InstructionsTabelleberschrift"/>
                <w:rFonts w:ascii="Times New Roman" w:hAnsi="Times New Roman"/>
                <w:sz w:val="24"/>
              </w:rPr>
              <w:tab/>
              <w:t>(–) Izravna ulaganja u instrumente dodatnog osnovnog kapitala</w:t>
            </w:r>
          </w:p>
          <w:p w14:paraId="6C3A13D9" w14:textId="346F3A5B"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144., članak 52. stavak 1. točka (b), članak 56. točka (a) i članak 57. CRR-a</w:t>
            </w:r>
          </w:p>
          <w:p w14:paraId="0B1857CF"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dodatnog osnovnog kapitala koji su uključeni u stavku 1.1.2.1.1. i koje drže institucije konsolidirane grupe. </w:t>
            </w:r>
          </w:p>
        </w:tc>
      </w:tr>
      <w:tr w:rsidR="00666996" w:rsidRPr="00A30C4C" w14:paraId="7432DBF7" w14:textId="77777777" w:rsidTr="00672D2A">
        <w:tc>
          <w:tcPr>
            <w:tcW w:w="1129" w:type="dxa"/>
          </w:tcPr>
          <w:p w14:paraId="0D3A3656"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14:paraId="0D4332EC"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Pr>
                <w:rStyle w:val="InstructionsTabelleberschrift"/>
                <w:rFonts w:ascii="Times New Roman" w:hAnsi="Times New Roman"/>
                <w:sz w:val="24"/>
              </w:rPr>
              <w:tab/>
              <w:t>(–) Neizravna ulaganja u instrumente dodatnog osnovnog kapitala</w:t>
            </w:r>
          </w:p>
          <w:p w14:paraId="66054B9E" w14:textId="7910DBFC" w:rsidR="005643EA" w:rsidRPr="00A30C4C" w:rsidRDefault="00852CAD" w:rsidP="001E0C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52. stavak 1.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članak 56. točka (a) i članak 57. CRR-a</w:t>
            </w:r>
          </w:p>
        </w:tc>
      </w:tr>
      <w:tr w:rsidR="00666996" w:rsidRPr="00A30C4C" w14:paraId="0BDEAA83" w14:textId="77777777" w:rsidTr="00672D2A">
        <w:tc>
          <w:tcPr>
            <w:tcW w:w="1129" w:type="dxa"/>
          </w:tcPr>
          <w:p w14:paraId="5E2D7E53"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14:paraId="12543010" w14:textId="77777777" w:rsidR="005643EA" w:rsidRPr="00A30C4C" w:rsidRDefault="006455B0" w:rsidP="00FD239F">
            <w:pPr>
              <w:pStyle w:val="InstructionsText"/>
            </w:pPr>
            <w:r>
              <w:rPr>
                <w:rStyle w:val="InstructionsTabelleberschrift"/>
                <w:rFonts w:ascii="Times New Roman" w:hAnsi="Times New Roman"/>
                <w:sz w:val="24"/>
              </w:rPr>
              <w:t>1.1.2.1.4.3.</w:t>
            </w:r>
            <w:r>
              <w:rPr>
                <w:rStyle w:val="InstructionsTabelleberschrift"/>
                <w:rFonts w:ascii="Times New Roman" w:hAnsi="Times New Roman"/>
                <w:sz w:val="24"/>
              </w:rPr>
              <w:tab/>
              <w:t>(–) Sintetska ulaganja u instrumente dodatnog osnovnog kapitala</w:t>
            </w:r>
          </w:p>
          <w:p w14:paraId="42C49D98" w14:textId="1DD3CB10" w:rsidR="005643EA" w:rsidRPr="00A30C4C" w:rsidRDefault="00110F40" w:rsidP="00110F40">
            <w:pPr>
              <w:pStyle w:val="InstructionsText"/>
              <w:rPr>
                <w:rStyle w:val="InstructionsTabelleberschrift"/>
                <w:rFonts w:ascii="Times New Roman" w:hAnsi="Times New Roman"/>
                <w:b w:val="0"/>
                <w:bCs w:val="0"/>
                <w:sz w:val="24"/>
                <w:u w:val="none"/>
              </w:rPr>
            </w:pPr>
            <w:r>
              <w:t>Članak 4. stavak 1. točka 126., članak 52. stavak 1. točka (b), članak 56. točka (a) i članak 57. CRR-a</w:t>
            </w:r>
          </w:p>
        </w:tc>
      </w:tr>
      <w:tr w:rsidR="00666996" w:rsidRPr="00A30C4C" w14:paraId="6540645E" w14:textId="77777777" w:rsidTr="00672D2A">
        <w:tc>
          <w:tcPr>
            <w:tcW w:w="1129" w:type="dxa"/>
          </w:tcPr>
          <w:p w14:paraId="78401258" w14:textId="77777777" w:rsidR="005643EA" w:rsidRPr="00A30C4C"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14:paraId="4D0CA0FF"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Pr>
                <w:rStyle w:val="InstructionsTabelleberschrift"/>
                <w:rFonts w:ascii="Times New Roman" w:hAnsi="Times New Roman"/>
                <w:sz w:val="24"/>
              </w:rPr>
              <w:tab/>
              <w:t>(–) Stvarne ili potencijalne obveze kupnje vlastitih instrumenata dodatnog osnovnog kapitala</w:t>
            </w:r>
          </w:p>
          <w:p w14:paraId="7889272E" w14:textId="74F3A59E"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56. točka (a) i članak 57. CRR-a</w:t>
            </w:r>
          </w:p>
          <w:p w14:paraId="40B11A07" w14:textId="35BB88DE" w:rsidR="005643EA" w:rsidRPr="00A30C4C" w:rsidRDefault="00666996" w:rsidP="00852CA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 skladu s člankom 56. točkom (a) CRR-a</w:t>
            </w:r>
            <w:r>
              <w:t xml:space="preserve"> odbijaju se „vlastiti instrumenti dodatnog osnovnog kapitala za koje bi institucija mogla imati obvezu kupnje na temelju postojećih ugovornih obveza”.</w:t>
            </w:r>
          </w:p>
        </w:tc>
      </w:tr>
      <w:tr w:rsidR="00666996" w:rsidRPr="00A30C4C" w14:paraId="7DA1FAA6" w14:textId="77777777" w:rsidTr="00672D2A">
        <w:tc>
          <w:tcPr>
            <w:tcW w:w="1129" w:type="dxa"/>
          </w:tcPr>
          <w:p w14:paraId="7257649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620" w:type="dxa"/>
          </w:tcPr>
          <w:p w14:paraId="1DBA7A54"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Pr>
                <w:rStyle w:val="InstructionsTabelleberschrift"/>
                <w:rFonts w:ascii="Times New Roman" w:hAnsi="Times New Roman"/>
                <w:sz w:val="24"/>
              </w:rPr>
              <w:tab/>
              <w:t>Prijelazna usklađenja na temelju instrumenata dodatnog osnovnog kapitala koji se nastavljaju priznavati</w:t>
            </w:r>
          </w:p>
          <w:p w14:paraId="15F3A609" w14:textId="4575FC2F"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4. i 5., članci od 484. do 487., članci 489. i 491. CRR-a</w:t>
            </w:r>
          </w:p>
          <w:p w14:paraId="3F355F9E"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dodatni osnovni kapital. Iznos koji se iskazuje dobiva se izravno iz CA5.</w:t>
            </w:r>
          </w:p>
        </w:tc>
      </w:tr>
      <w:tr w:rsidR="00666996" w:rsidRPr="00A30C4C" w14:paraId="130E325B" w14:textId="77777777" w:rsidTr="00672D2A">
        <w:tc>
          <w:tcPr>
            <w:tcW w:w="1129" w:type="dxa"/>
          </w:tcPr>
          <w:p w14:paraId="4A19B2BB"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14:paraId="56EA96A9"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Pr>
                <w:rStyle w:val="InstructionsTabelleberschrift"/>
                <w:rFonts w:ascii="Times New Roman" w:hAnsi="Times New Roman"/>
                <w:sz w:val="24"/>
              </w:rPr>
              <w:tab/>
              <w:t>Instrumenti društava kćeri koji su priznati u dodatnom osnovnom kapitalu</w:t>
            </w:r>
          </w:p>
          <w:p w14:paraId="00A2AC5D" w14:textId="5A5864C6"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83., 85. i 86. CRR-a</w:t>
            </w:r>
          </w:p>
          <w:p w14:paraId="7BBB0C87" w14:textId="77777777" w:rsidR="00477CB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kvalificiranog osnovnog kapitala društava kćeri koji je uključen u konsolidirani dodatni osnovni kapital.</w:t>
            </w:r>
          </w:p>
          <w:p w14:paraId="51DC7F58" w14:textId="18A8F451" w:rsidR="00106FC5" w:rsidRPr="00A30C4C"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Uključuje se kvalificirani dodatni osnovni kapital koji izdaje subjekt posebne namjene (članak 83. CRR-a).</w:t>
            </w:r>
          </w:p>
        </w:tc>
      </w:tr>
      <w:tr w:rsidR="00666996" w:rsidRPr="00A30C4C" w14:paraId="5BA4CBB7" w14:textId="77777777" w:rsidTr="00672D2A">
        <w:tc>
          <w:tcPr>
            <w:tcW w:w="1129" w:type="dxa"/>
          </w:tcPr>
          <w:p w14:paraId="22AE894E"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14:paraId="1CD62A50"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Pr>
                <w:rStyle w:val="InstructionsTabelleberschrift"/>
                <w:rFonts w:ascii="Times New Roman" w:hAnsi="Times New Roman"/>
                <w:sz w:val="24"/>
              </w:rPr>
              <w:tab/>
              <w:t>Prijelazna usklađenja na temelju dodatnog priznavanja instrumenata društava kćeri u dodatnom osnovnom kapitalu</w:t>
            </w:r>
          </w:p>
          <w:p w14:paraId="5F2202A5" w14:textId="24B17F53"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480. CRR-a</w:t>
            </w:r>
          </w:p>
          <w:p w14:paraId="36CC6E00"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kvalificiranog osnovnog kapitala uključenog u konsolidirani dodatni osnovni kapital zbog prijelaznih odredbi. Ova se stavka dobiva izravno iz CA5.</w:t>
            </w:r>
          </w:p>
        </w:tc>
      </w:tr>
      <w:tr w:rsidR="00666996" w:rsidRPr="00A30C4C" w14:paraId="6507BBBF" w14:textId="77777777" w:rsidTr="00672D2A">
        <w:tc>
          <w:tcPr>
            <w:tcW w:w="1129" w:type="dxa"/>
          </w:tcPr>
          <w:p w14:paraId="5C2823E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690</w:t>
            </w:r>
          </w:p>
        </w:tc>
        <w:tc>
          <w:tcPr>
            <w:tcW w:w="7620" w:type="dxa"/>
          </w:tcPr>
          <w:p w14:paraId="0AF5B7B3"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Pr>
                <w:rStyle w:val="InstructionsTabelleberschrift"/>
                <w:rFonts w:ascii="Times New Roman" w:hAnsi="Times New Roman"/>
                <w:sz w:val="24"/>
              </w:rPr>
              <w:tab/>
              <w:t>(–) Recipročna međusobna ulaganja u dodatni osnovni kapital</w:t>
            </w:r>
          </w:p>
          <w:p w14:paraId="0F9507A7" w14:textId="40CF01FE"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56. točka (b) i članak 58. CRR-a</w:t>
            </w:r>
          </w:p>
          <w:p w14:paraId="635338EE" w14:textId="0FA71AC1"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redovnog osnovnog kapitala koje izdaju subjekti financijskog sektora (kako su definirani u članku 4. stavku 1. točki 27. CRR-a) ako postoji recipročno međusobno ulaganje za koje nadležno tijelo smatra da mu je cilj umjetno povećati regulatorni kapital institucije.</w:t>
            </w:r>
          </w:p>
          <w:p w14:paraId="0ABBE332"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izračunava se na osnovi bruto dugih pozicija i uključuje stavke </w:t>
            </w:r>
            <w:proofErr w:type="spellStart"/>
            <w:r>
              <w:rPr>
                <w:rStyle w:val="FormatvorlageInstructionsTabelleText"/>
                <w:rFonts w:ascii="Times New Roman" w:hAnsi="Times New Roman"/>
                <w:sz w:val="24"/>
              </w:rPr>
              <w:t>osigurateljnog</w:t>
            </w:r>
            <w:proofErr w:type="spellEnd"/>
            <w:r>
              <w:rPr>
                <w:rStyle w:val="FormatvorlageInstructionsTabelleText"/>
                <w:rFonts w:ascii="Times New Roman" w:hAnsi="Times New Roman"/>
                <w:sz w:val="24"/>
              </w:rPr>
              <w:t xml:space="preserve"> dodatnog osnovnog kapitala.</w:t>
            </w:r>
          </w:p>
        </w:tc>
      </w:tr>
      <w:tr w:rsidR="00666996" w:rsidRPr="00A30C4C" w14:paraId="66A029F9" w14:textId="77777777" w:rsidTr="00672D2A">
        <w:tc>
          <w:tcPr>
            <w:tcW w:w="1129" w:type="dxa"/>
          </w:tcPr>
          <w:p w14:paraId="74BA6C4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14:paraId="2ED883C3"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Pr>
                <w:rStyle w:val="InstructionsTabelleberschrift"/>
                <w:rFonts w:ascii="Times New Roman" w:hAnsi="Times New Roman"/>
                <w:sz w:val="24"/>
              </w:rPr>
              <w:tab/>
              <w:t>(–) Instrumenti dodatnog osnovnog kapitala subjekata financijskog sektora ako institucija nema značajno ulaganje</w:t>
            </w:r>
          </w:p>
          <w:p w14:paraId="43438A82" w14:textId="68156E59"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i članak 56. točka (c); članci 59., 60. i 79. CRR-a</w:t>
            </w:r>
          </w:p>
          <w:p w14:paraId="11257FAF" w14:textId="78A57F44"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dodatnog osnovnog kapitala.</w:t>
            </w:r>
          </w:p>
        </w:tc>
      </w:tr>
      <w:tr w:rsidR="00666996" w:rsidRPr="00A30C4C" w14:paraId="7B60CAAA" w14:textId="77777777" w:rsidTr="00672D2A">
        <w:tc>
          <w:tcPr>
            <w:tcW w:w="1129" w:type="dxa"/>
          </w:tcPr>
          <w:p w14:paraId="297727A6"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14:paraId="5B38DE40"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Pr>
                <w:rStyle w:val="InstructionsTabelleberschrift"/>
                <w:rFonts w:ascii="Times New Roman" w:hAnsi="Times New Roman"/>
                <w:sz w:val="24"/>
              </w:rPr>
              <w:tab/>
              <w:t>(–) Instrumenti dodatnog osnovnog kapitala subjekata financijskog sektora ako institucija ima značajno ulaganje</w:t>
            </w:r>
          </w:p>
          <w:p w14:paraId="2FB31A03" w14:textId="0FCB067F"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56. točka (d), članci 59. i 79. CRR-a</w:t>
            </w:r>
          </w:p>
          <w:p w14:paraId="04F9B9FD" w14:textId="71316776" w:rsidR="005643EA" w:rsidRPr="00A30C4C" w:rsidRDefault="009B511B"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institucije u instrumente dodatnog osnovnog kapitala subjekata financijskog sektora (kako su definirani u članku 4. stavku 1. točki 27. CRR-a) ako institucija ima značajno ulaganje koje je potrebno u potpunosti odbiti.</w:t>
            </w:r>
          </w:p>
        </w:tc>
      </w:tr>
      <w:tr w:rsidR="00666996" w:rsidRPr="00A30C4C" w14:paraId="34F0D37F" w14:textId="77777777" w:rsidTr="00672D2A">
        <w:tc>
          <w:tcPr>
            <w:tcW w:w="1129" w:type="dxa"/>
          </w:tcPr>
          <w:p w14:paraId="4B4BDEF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620" w:type="dxa"/>
          </w:tcPr>
          <w:p w14:paraId="38B538F1"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Pr>
                <w:rStyle w:val="InstructionsTabelleberschrift"/>
                <w:rFonts w:ascii="Times New Roman" w:hAnsi="Times New Roman"/>
                <w:sz w:val="24"/>
              </w:rPr>
              <w:tab/>
              <w:t xml:space="preserve">(–) Odbitak od stavki dopunskog kapitala koji premašuje dopunski kapital </w:t>
            </w:r>
          </w:p>
          <w:p w14:paraId="1B564A86" w14:textId="323B165C"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56. točka (e) CRR-a</w:t>
            </w:r>
          </w:p>
          <w:p w14:paraId="5875A968" w14:textId="1FD599FF"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izravno se uzima iz obrasca CA1 stavke „Odbitak od stavki dopunskog kapitala koji premašuje dopunski kapital” (odbijen od dodatnog osnovnog kapitala).</w:t>
            </w:r>
          </w:p>
        </w:tc>
      </w:tr>
      <w:tr w:rsidR="00666996" w:rsidRPr="00A30C4C" w14:paraId="618C847A" w14:textId="77777777" w:rsidTr="00672D2A">
        <w:tc>
          <w:tcPr>
            <w:tcW w:w="1129" w:type="dxa"/>
          </w:tcPr>
          <w:p w14:paraId="15EE8B6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14:paraId="7B65AC5A" w14:textId="77777777" w:rsidR="005643EA" w:rsidRPr="00A30C4C"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Pr>
                <w:rStyle w:val="InstructionsTabelleberschrift"/>
                <w:rFonts w:ascii="Times New Roman" w:hAnsi="Times New Roman"/>
                <w:sz w:val="24"/>
              </w:rPr>
              <w:tab/>
              <w:t>Ostala prijelazna usklađenja dodatnog osnovnog kapitala</w:t>
            </w:r>
          </w:p>
          <w:p w14:paraId="0691E7AB" w14:textId="6081858E"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474., 475., 478. i 481. CRR-a</w:t>
            </w:r>
          </w:p>
          <w:p w14:paraId="26713F0C"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zbog prijelaznih odredbi. Iznos koji se iskazuje dobiva se izravno iz CA5.</w:t>
            </w:r>
          </w:p>
        </w:tc>
      </w:tr>
      <w:tr w:rsidR="00666996" w:rsidRPr="00A30C4C" w14:paraId="03699480" w14:textId="77777777" w:rsidTr="00672D2A">
        <w:tc>
          <w:tcPr>
            <w:tcW w:w="1129" w:type="dxa"/>
          </w:tcPr>
          <w:p w14:paraId="66C32358"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14:paraId="672FDDCE"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Pr>
                <w:rStyle w:val="InstructionsTabelleberschrift"/>
                <w:rFonts w:ascii="Times New Roman" w:hAnsi="Times New Roman"/>
                <w:sz w:val="24"/>
              </w:rPr>
              <w:tab/>
              <w:t>Odbitak od stavki dodatnog osnovnog kapitala koji premašuje dodatni osnovni kapital (odbijen u redovnom osnovnom kapitalu)</w:t>
            </w:r>
          </w:p>
          <w:p w14:paraId="325D04D3" w14:textId="29A4563E"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36. stavak 1. točka (j) CRR-a</w:t>
            </w:r>
          </w:p>
          <w:p w14:paraId="358ED617"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Dodatni osnovni kapital ne može biti negativan, ali odbici dodatnog osnovnog kapitala mogu biti veći od dodatnog osnovnog kapitala uvećanog za povezanu premiju na dionice. Ako se to dogodi, dodatni osnovni kapital mora biti jednak nuli, a višak odbitaka od dodatnog osnovnog kapitala mora se odbiti od redovnog osnovnog kapitala.</w:t>
            </w:r>
          </w:p>
          <w:p w14:paraId="43B7F61D" w14:textId="208D509B"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Ovom se stavkom postiže da zbroj stavki od 1.1.2.1. do 1.1.2.12. nikad nije manji od nule. Ako ova stavka pokazuje pozitivnu vrijednost, stavka 1.1.1.16. ima vrijednost suprotnog predznaka.</w:t>
            </w:r>
          </w:p>
        </w:tc>
      </w:tr>
      <w:tr w:rsidR="00A86EB4" w:rsidRPr="00A30C4C" w14:paraId="1B557DBD" w14:textId="77777777" w:rsidTr="00672D2A">
        <w:tc>
          <w:tcPr>
            <w:tcW w:w="1129" w:type="dxa"/>
          </w:tcPr>
          <w:p w14:paraId="04729D70"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744</w:t>
            </w:r>
          </w:p>
          <w:p w14:paraId="3C0E883C"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148D48A1" w14:textId="77777777" w:rsidR="005643EA" w:rsidRPr="00A30C4C"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Pr>
                <w:rStyle w:val="InstructionsTabelleberschrift"/>
                <w:rFonts w:ascii="Times New Roman" w:hAnsi="Times New Roman"/>
                <w:sz w:val="24"/>
              </w:rPr>
              <w:tab/>
              <w:t>(–) Dodatni odbici od dodatnog osnovnog kapitala u skladu s člankom 3. CRR-a</w:t>
            </w:r>
          </w:p>
          <w:p w14:paraId="0B28125F" w14:textId="77777777" w:rsidR="005643EA" w:rsidRPr="00A30C4C"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 CRR-a</w:t>
            </w:r>
          </w:p>
        </w:tc>
      </w:tr>
      <w:tr w:rsidR="00A86EB4" w:rsidRPr="00A30C4C" w14:paraId="3C02C18D" w14:textId="77777777" w:rsidTr="00672D2A">
        <w:tc>
          <w:tcPr>
            <w:tcW w:w="1129" w:type="dxa"/>
          </w:tcPr>
          <w:p w14:paraId="39C56A1E" w14:textId="77777777" w:rsidR="00A86EB4" w:rsidRPr="00A30C4C"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14:paraId="6584CC0D" w14:textId="77777777" w:rsidR="005643EA" w:rsidRPr="00A30C4C"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Pr>
                <w:rStyle w:val="InstructionsTabelleberschrift"/>
                <w:rFonts w:ascii="Times New Roman" w:hAnsi="Times New Roman"/>
                <w:sz w:val="24"/>
              </w:rPr>
              <w:tab/>
              <w:t>Elementi ili odbici od dodatnog osnovnog kapitala – ostalo</w:t>
            </w:r>
          </w:p>
          <w:p w14:paraId="3294EFAE" w14:textId="258DA52C" w:rsidR="005643EA" w:rsidRPr="00A30C4C"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Svrha ovog retka je fleksibilnost isključivo za potrebe izvješćivanja. Popunjava se samo u rijetkim slučajevima kada ne postoji konačna odluka o iskazivanju specifičnih stavki/odbitaka kapitala u postojećom obrascu CA1. Stoga se ovaj redak popunjava samo ako se element dodatnog osnovnog kapitala ili odbitak elementa dodatnog osnovnog kapitala ne može rasporediti u jedan od redaka od 530 do 744. </w:t>
            </w:r>
          </w:p>
          <w:p w14:paraId="16BBC1B4" w14:textId="7DA84EB8" w:rsidR="005643EA" w:rsidRPr="00A30C4C" w:rsidRDefault="00A86EB4" w:rsidP="00852CA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Ovaj se redak ne koristi za raspoređivanje stavki/odbitaka kapitala koji nisu obuhvaćeni CRR-om u izračun stopa solventnosti (npr. raspoređivanje nacionalnih stavki/odbitaka kapitala izvan područja primjene CRR-a).</w:t>
            </w:r>
          </w:p>
        </w:tc>
      </w:tr>
      <w:tr w:rsidR="00A86EB4" w:rsidRPr="00A30C4C" w14:paraId="58D60CFB" w14:textId="77777777" w:rsidTr="00672D2A">
        <w:tc>
          <w:tcPr>
            <w:tcW w:w="1129" w:type="dxa"/>
          </w:tcPr>
          <w:p w14:paraId="50C809AD"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14:paraId="25280851" w14:textId="545C7BF4"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002B242C">
              <w:rPr>
                <w:rStyle w:val="InstructionsTabelleberschrift"/>
                <w:rFonts w:ascii="Times New Roman" w:hAnsi="Times New Roman"/>
                <w:sz w:val="24"/>
              </w:rPr>
              <w:t>.</w:t>
            </w:r>
            <w:r>
              <w:rPr>
                <w:rStyle w:val="InstructionsTabelleberschrift"/>
                <w:rFonts w:ascii="Times New Roman" w:hAnsi="Times New Roman"/>
                <w:sz w:val="24"/>
              </w:rPr>
              <w:tab/>
              <w:t>DOPUNSKI KAPITAL</w:t>
            </w:r>
          </w:p>
          <w:p w14:paraId="0BD3D66F" w14:textId="3CE0DB43"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71. CRR-a</w:t>
            </w:r>
          </w:p>
        </w:tc>
      </w:tr>
      <w:tr w:rsidR="00A86EB4" w:rsidRPr="00A30C4C" w14:paraId="0605657D" w14:textId="77777777" w:rsidTr="00672D2A">
        <w:tc>
          <w:tcPr>
            <w:tcW w:w="1129" w:type="dxa"/>
          </w:tcPr>
          <w:p w14:paraId="26BCDCEA"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14:paraId="3673CDC8"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Pr>
                <w:rStyle w:val="InstructionsTabelleberschrift"/>
                <w:rFonts w:ascii="Times New Roman" w:hAnsi="Times New Roman"/>
                <w:sz w:val="24"/>
              </w:rPr>
              <w:tab/>
              <w:t>Instrumenti kapitala i podređeni krediti koji se priznaju kao dopunski kapital</w:t>
            </w:r>
          </w:p>
          <w:p w14:paraId="13AA4428" w14:textId="4FDBB0E7" w:rsidR="005643EA" w:rsidRPr="00A30C4C" w:rsidRDefault="00852CAD"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(a), članci od 63. do 65., članak 66. točka (a) i članak 67. CRR-a</w:t>
            </w:r>
          </w:p>
        </w:tc>
      </w:tr>
      <w:tr w:rsidR="00A86EB4" w:rsidRPr="00A30C4C" w14:paraId="43D50883" w14:textId="77777777" w:rsidTr="00672D2A">
        <w:tc>
          <w:tcPr>
            <w:tcW w:w="1129" w:type="dxa"/>
          </w:tcPr>
          <w:p w14:paraId="18130D4E"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770</w:t>
            </w:r>
          </w:p>
        </w:tc>
        <w:tc>
          <w:tcPr>
            <w:tcW w:w="7620" w:type="dxa"/>
          </w:tcPr>
          <w:p w14:paraId="2DF23936"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 xml:space="preserve">Plaćeni instrumenti kapitala </w:t>
            </w:r>
            <w:r>
              <w:t xml:space="preserve"> </w:t>
            </w:r>
            <w:r>
              <w:rPr>
                <w:rStyle w:val="InstructionsTabelleberschrift"/>
                <w:rFonts w:ascii="Times New Roman" w:hAnsi="Times New Roman"/>
                <w:sz w:val="24"/>
              </w:rPr>
              <w:t>i podređeni krediti</w:t>
            </w:r>
          </w:p>
          <w:p w14:paraId="40899838" w14:textId="29028CB7"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(a), članci 63. i 65. CRR-a</w:t>
            </w:r>
          </w:p>
          <w:p w14:paraId="79A180BF"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A86EB4" w:rsidRPr="00A30C4C" w14:paraId="662FE153" w14:textId="77777777" w:rsidTr="00672D2A">
        <w:tc>
          <w:tcPr>
            <w:tcW w:w="1129" w:type="dxa"/>
          </w:tcPr>
          <w:p w14:paraId="5EB45D6F"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14:paraId="48714EFB"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Pr>
                <w:rStyle w:val="InstructionsTabelleberschrift"/>
                <w:rFonts w:ascii="Times New Roman" w:hAnsi="Times New Roman"/>
                <w:sz w:val="24"/>
              </w:rPr>
              <w:tab/>
              <w:t xml:space="preserve">Bilješka: Instrumenti kapitala </w:t>
            </w:r>
            <w:r>
              <w:t xml:space="preserve"> </w:t>
            </w:r>
            <w:r>
              <w:rPr>
                <w:rStyle w:val="InstructionsTabelleberschrift"/>
                <w:rFonts w:ascii="Times New Roman" w:hAnsi="Times New Roman"/>
                <w:sz w:val="24"/>
              </w:rPr>
              <w:t>i podređeni krediti koji nisu priznati</w:t>
            </w:r>
          </w:p>
          <w:p w14:paraId="3DEFBCFD" w14:textId="30A75E34"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63. točke (c), (e) i (f) i članak 64. CRR-a</w:t>
            </w:r>
          </w:p>
          <w:p w14:paraId="31320C87"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Uvjeti u tim točkama odražavaju različite pozicije kapitala koje su reverzibilne i stoga se iznos koji se ovdje iskazuje može priznati u naknadnim razdobljima.</w:t>
            </w:r>
          </w:p>
          <w:p w14:paraId="68176FFB"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ne uključuje premiju na dionice povezanu s instrumentima.</w:t>
            </w:r>
          </w:p>
        </w:tc>
      </w:tr>
      <w:tr w:rsidR="00A86EB4" w:rsidRPr="00A30C4C" w14:paraId="3DFBD29C" w14:textId="77777777" w:rsidTr="00672D2A">
        <w:tc>
          <w:tcPr>
            <w:tcW w:w="1129" w:type="dxa"/>
          </w:tcPr>
          <w:p w14:paraId="55E411A1"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14:paraId="29853D95"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Pr>
                <w:rStyle w:val="InstructionsTabelleberschrift"/>
                <w:rFonts w:ascii="Times New Roman" w:hAnsi="Times New Roman"/>
                <w:sz w:val="24"/>
              </w:rPr>
              <w:tab/>
              <w:t>Premija na dionice</w:t>
            </w:r>
          </w:p>
          <w:p w14:paraId="77984CC6" w14:textId="2A04B879"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(b) i članak 65. CRR-a</w:t>
            </w:r>
          </w:p>
          <w:p w14:paraId="28C64B5B"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Premija na dionice ima isto značenje kao i u primjenjivom računovodstvenom standardu. </w:t>
            </w:r>
          </w:p>
          <w:p w14:paraId="5A45AC9C"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 ovoj stavci dio je koji se odnosi na „plaćene instrumente kapitala”.</w:t>
            </w:r>
          </w:p>
        </w:tc>
      </w:tr>
      <w:tr w:rsidR="00A86EB4" w:rsidRPr="00A30C4C" w14:paraId="45694613" w14:textId="77777777" w:rsidTr="00672D2A">
        <w:tc>
          <w:tcPr>
            <w:tcW w:w="1129" w:type="dxa"/>
          </w:tcPr>
          <w:p w14:paraId="00CB80C5"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800</w:t>
            </w:r>
          </w:p>
        </w:tc>
        <w:tc>
          <w:tcPr>
            <w:tcW w:w="7620" w:type="dxa"/>
          </w:tcPr>
          <w:p w14:paraId="1A17ADBB"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Pr>
                <w:rStyle w:val="InstructionsTabelleberschrift"/>
                <w:rFonts w:ascii="Times New Roman" w:hAnsi="Times New Roman"/>
                <w:sz w:val="24"/>
              </w:rPr>
              <w:tab/>
              <w:t>(–) Vlastiti instrumenti dopunskog kapitala</w:t>
            </w:r>
          </w:p>
          <w:p w14:paraId="1970A033" w14:textId="47CD95E4"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63.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 članak 66. točka (a) i članak 67. CRR-a</w:t>
            </w:r>
          </w:p>
          <w:p w14:paraId="10BE8B86" w14:textId="46FBF14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Vlastiti instrumenti dopunskog kapitala koje drži institucija ili grupa koja izvješćuje na izvještajni datum. Podložno iznimkama iz članka 67. CRR-a.</w:t>
            </w:r>
          </w:p>
          <w:p w14:paraId="78FB5E58"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ovom se retku ne iskazuju ulaganja u dionice uključena kao „instrumenti kapitala koji se ne priznaju”.</w:t>
            </w:r>
          </w:p>
          <w:p w14:paraId="5E5F432D"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koji se iskazuje uključuje premiju na dionice povezanu s vlastitim dionicama.</w:t>
            </w:r>
          </w:p>
          <w:p w14:paraId="07A0F87B" w14:textId="77777777" w:rsidR="005643EA" w:rsidRPr="00A30C4C" w:rsidRDefault="00A86EB4"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Stavke od 1.2.1.4. do 1.2.1.4.3. ne uključuju stvarne ili potencijalne obveze kupnje vlastitih instrumenata dopunskog kapitala. Stvarne ili potencijalne obveze kupnje vlastitih instrumenata dopunskog kapitala iskazuju se zasebno u stavci 1.2.1.5.</w:t>
            </w:r>
          </w:p>
        </w:tc>
      </w:tr>
      <w:tr w:rsidR="00A86EB4" w:rsidRPr="00A30C4C" w14:paraId="4EDE7716" w14:textId="77777777" w:rsidTr="00672D2A">
        <w:tc>
          <w:tcPr>
            <w:tcW w:w="1129" w:type="dxa"/>
          </w:tcPr>
          <w:p w14:paraId="72B21400"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14:paraId="34B640AF" w14:textId="5D13E43B"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002B242C">
              <w:rPr>
                <w:rStyle w:val="InstructionsTabelleberschrift"/>
                <w:rFonts w:ascii="Times New Roman" w:hAnsi="Times New Roman"/>
                <w:sz w:val="24"/>
              </w:rPr>
              <w:t>.</w:t>
            </w:r>
            <w:r>
              <w:rPr>
                <w:rStyle w:val="InstructionsTabelleberschrift"/>
                <w:rFonts w:ascii="Times New Roman" w:hAnsi="Times New Roman"/>
                <w:sz w:val="24"/>
              </w:rPr>
              <w:tab/>
              <w:t>(–) Izravna ulaganja u instrumente dopunskog kapitala</w:t>
            </w:r>
          </w:p>
          <w:p w14:paraId="4EDC36A4" w14:textId="6EF122DD"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63. točka (b), članak 66. točka (a) i članak 67. CRR-a</w:t>
            </w:r>
          </w:p>
          <w:p w14:paraId="71290CD7"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Instrumenti dopunskog kapitala koji su uključeni u stavku 1.2.1.1. i koje drže institucije konsolidirane grupe. </w:t>
            </w:r>
          </w:p>
        </w:tc>
      </w:tr>
      <w:tr w:rsidR="00A86EB4" w:rsidRPr="00A30C4C" w14:paraId="155B627E" w14:textId="77777777" w:rsidTr="00672D2A">
        <w:tc>
          <w:tcPr>
            <w:tcW w:w="1129" w:type="dxa"/>
          </w:tcPr>
          <w:p w14:paraId="478B5EE2"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14:paraId="48C3E06A"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Pr>
                <w:rStyle w:val="InstructionsTabelleberschrift"/>
                <w:rFonts w:ascii="Times New Roman" w:hAnsi="Times New Roman"/>
                <w:sz w:val="24"/>
              </w:rPr>
              <w:tab/>
              <w:t>(–) Neizravna ulaganja u instrumente dopunskog kapitala</w:t>
            </w:r>
          </w:p>
          <w:p w14:paraId="1D8513F5" w14:textId="2417DFA5"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114., članak 63. točka (b), članak 66. točka (a) i članak 67. CRR-a</w:t>
            </w:r>
          </w:p>
        </w:tc>
      </w:tr>
      <w:tr w:rsidR="00A86EB4" w:rsidRPr="00A30C4C" w14:paraId="232949F4" w14:textId="77777777" w:rsidTr="00672D2A">
        <w:tc>
          <w:tcPr>
            <w:tcW w:w="1129" w:type="dxa"/>
          </w:tcPr>
          <w:p w14:paraId="6DDE2FFF"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841</w:t>
            </w:r>
          </w:p>
        </w:tc>
        <w:tc>
          <w:tcPr>
            <w:tcW w:w="7620" w:type="dxa"/>
          </w:tcPr>
          <w:p w14:paraId="7FE43AA0"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Pr>
                <w:rStyle w:val="InstructionsTabelleberschrift"/>
                <w:rFonts w:ascii="Times New Roman" w:hAnsi="Times New Roman"/>
                <w:sz w:val="24"/>
              </w:rPr>
              <w:tab/>
              <w:t>(–) Sintetska ulaganja u instrumente dopunskog kapitala</w:t>
            </w:r>
          </w:p>
          <w:p w14:paraId="71AA0907" w14:textId="45C6F235" w:rsidR="005643EA" w:rsidRPr="00A30C4C" w:rsidRDefault="00FF2818" w:rsidP="00FF281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Članak 4. stavak 1. točka 126., članak 63. točka (b), članak 66. točka (a) i članak 67. CRR-a</w:t>
            </w:r>
          </w:p>
        </w:tc>
      </w:tr>
      <w:tr w:rsidR="00A86EB4" w:rsidRPr="00A30C4C" w14:paraId="5FEB632C" w14:textId="77777777" w:rsidTr="00672D2A">
        <w:tc>
          <w:tcPr>
            <w:tcW w:w="1129" w:type="dxa"/>
          </w:tcPr>
          <w:p w14:paraId="0206EB96"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14:paraId="5E889A14"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398BE123" w14:textId="77777777" w:rsidR="005643EA" w:rsidRPr="00A30C4C"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Pr>
                <w:rStyle w:val="InstructionsTabelleberschrift"/>
                <w:rFonts w:ascii="Times New Roman" w:hAnsi="Times New Roman"/>
                <w:sz w:val="24"/>
              </w:rPr>
              <w:tab/>
              <w:t>(–) Stvarne ili potencijalne obveze kupnje vlastitih instrumenata dopunskog kapitala</w:t>
            </w:r>
          </w:p>
          <w:p w14:paraId="4648CD76" w14:textId="4985C561"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66. točka (a) i članak 67. CRR-a</w:t>
            </w:r>
          </w:p>
          <w:p w14:paraId="71FF0839" w14:textId="79EE8ECD" w:rsidR="005643EA" w:rsidRPr="00A30C4C" w:rsidRDefault="00A86EB4" w:rsidP="00852CA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 skladu s člankom 66. točkom (a) CRR-a</w:t>
            </w:r>
            <w:r>
              <w:t xml:space="preserve"> odbijaju se „vlastiti instrumenti dopunskog kapitala za koje bi institucija mogla imati obvezu kupnje na temelju postojećih ugovornih obveza”.</w:t>
            </w:r>
          </w:p>
        </w:tc>
      </w:tr>
      <w:tr w:rsidR="00A86EB4" w:rsidRPr="00A30C4C" w14:paraId="78D467BA" w14:textId="77777777" w:rsidTr="00672D2A">
        <w:tc>
          <w:tcPr>
            <w:tcW w:w="1129" w:type="dxa"/>
          </w:tcPr>
          <w:p w14:paraId="6448818C"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14:paraId="4C9ECDA5"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Prijelazna usklađenja na temelju instrumenata dopunskog kapitala koji se nastavljaju priznavati i podređenih kredita</w:t>
            </w:r>
          </w:p>
          <w:p w14:paraId="03442177" w14:textId="3DECE058"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483. stavci 6. i 7., članci 484., 486., 488., 490. i 491. CRR-a</w:t>
            </w:r>
          </w:p>
          <w:p w14:paraId="67C482A2"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Iznos instrumenata kapitala koji se nastavljaju priznavati u prijelaznom razdoblju kao dopunski kapital. Iznos koji se iskazuje dobiva se izravno iz CA5.</w:t>
            </w:r>
          </w:p>
        </w:tc>
      </w:tr>
      <w:tr w:rsidR="00A86EB4" w:rsidRPr="00A30C4C" w14:paraId="2D92620E" w14:textId="77777777" w:rsidTr="00672D2A">
        <w:tc>
          <w:tcPr>
            <w:tcW w:w="1129" w:type="dxa"/>
          </w:tcPr>
          <w:p w14:paraId="079C4A7A"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14:paraId="11E1E032"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Pr>
                <w:rStyle w:val="InstructionsTabelleberschrift"/>
                <w:rFonts w:ascii="Times New Roman" w:hAnsi="Times New Roman"/>
                <w:sz w:val="24"/>
              </w:rPr>
              <w:tab/>
              <w:t>Instrumenti društava kćeri koji su priznati u dopunskom kapitalu</w:t>
            </w:r>
          </w:p>
          <w:p w14:paraId="2162A8A5" w14:textId="43676384"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83., 87. i 88. CRR-a</w:t>
            </w:r>
          </w:p>
          <w:p w14:paraId="60EC8A8C" w14:textId="77777777" w:rsidR="00477CB6"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Zbroj svih iznosa kvalificiranog regulatornog kapitala društava kćeri koji je uključen u konsolidirani dopunski kapital</w:t>
            </w:r>
          </w:p>
          <w:p w14:paraId="6D8BF712" w14:textId="687AB495" w:rsidR="00543DBD" w:rsidRPr="00A30C4C"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Uključuje se kvalificirani dopunski kapital koji izdaje subjekt posebne namjene (članak 83. CRR-a).</w:t>
            </w:r>
          </w:p>
        </w:tc>
      </w:tr>
      <w:tr w:rsidR="00A86EB4" w:rsidRPr="00A30C4C" w14:paraId="53F727DE" w14:textId="77777777" w:rsidTr="00672D2A">
        <w:tc>
          <w:tcPr>
            <w:tcW w:w="1129" w:type="dxa"/>
          </w:tcPr>
          <w:p w14:paraId="63C877F1"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900</w:t>
            </w:r>
          </w:p>
        </w:tc>
        <w:tc>
          <w:tcPr>
            <w:tcW w:w="7620" w:type="dxa"/>
          </w:tcPr>
          <w:p w14:paraId="1CAE55FC"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Pr>
                <w:rStyle w:val="InstructionsTabelleberschrift"/>
                <w:rFonts w:ascii="Times New Roman" w:hAnsi="Times New Roman"/>
                <w:sz w:val="24"/>
              </w:rPr>
              <w:tab/>
              <w:t>Prijelazna usklađenja na temelju dodatnog priznavanja instrumenata društava kćeri u dopunskom kapitalu</w:t>
            </w:r>
          </w:p>
          <w:p w14:paraId="67255A91" w14:textId="466EB3B0"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480. CRR-a</w:t>
            </w:r>
          </w:p>
          <w:p w14:paraId="1F106B75"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kvalificiranog regulatornog kapitala uključenog u konsolidirani dopunski kapital zbog prijelaznih odredbi. Ova se stavka dobiva izravno iz CA5.</w:t>
            </w:r>
          </w:p>
        </w:tc>
      </w:tr>
      <w:tr w:rsidR="00A86EB4" w:rsidRPr="00A30C4C" w14:paraId="473F3749" w14:textId="77777777" w:rsidTr="00672D2A">
        <w:tc>
          <w:tcPr>
            <w:tcW w:w="1129" w:type="dxa"/>
          </w:tcPr>
          <w:p w14:paraId="4BC14A9C"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14:paraId="51583024"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Pr>
                <w:rStyle w:val="InstructionsTabelleberschrift"/>
                <w:rFonts w:ascii="Times New Roman" w:hAnsi="Times New Roman"/>
                <w:sz w:val="24"/>
              </w:rPr>
              <w:tab/>
              <w:t>Priznati iznos viška rezervacija iznad očekivanih gubitaka primjenom IRB pristupa</w:t>
            </w:r>
          </w:p>
          <w:p w14:paraId="3F3BBD61" w14:textId="5C376364"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(d) CRR-a</w:t>
            </w:r>
          </w:p>
          <w:p w14:paraId="71DD0615" w14:textId="3F0ED63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koje izračunavaju iznose izloženosti ponderirane rizikom u skladu s IRB pristupom ova stavka sadržava pozitivne iznose koji proizlaze iz usporedbe rezervacija i očekivanih gubitaka koji se priznaju kao dopunski kapital.</w:t>
            </w:r>
          </w:p>
        </w:tc>
      </w:tr>
      <w:tr w:rsidR="00A86EB4" w:rsidRPr="00A30C4C" w14:paraId="31631895" w14:textId="77777777" w:rsidTr="00672D2A">
        <w:tc>
          <w:tcPr>
            <w:tcW w:w="1129" w:type="dxa"/>
          </w:tcPr>
          <w:p w14:paraId="5F38B579"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14:paraId="1D96C783"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Pr>
                <w:rStyle w:val="InstructionsTabelleberschrift"/>
                <w:rFonts w:ascii="Times New Roman" w:hAnsi="Times New Roman"/>
                <w:sz w:val="24"/>
              </w:rPr>
              <w:tab/>
              <w:t>Opći ispravci vrijednosti za kreditni rizik u skladu sa standardiziranim pristupom</w:t>
            </w:r>
          </w:p>
          <w:p w14:paraId="3C70BD4A" w14:textId="338A8EF9"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62. točka (c) CRR-a</w:t>
            </w:r>
          </w:p>
          <w:p w14:paraId="4C1A8B69" w14:textId="659BA625"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institucije koje izračunavaju iznose izloženosti ponderirane rizikom u skladu sa standardiziranim pristupom, ova stavka sadržava opće ispravke vrijednosti za kreditni rizik koji se priznaju kao dopunski kapital.</w:t>
            </w:r>
          </w:p>
        </w:tc>
      </w:tr>
      <w:tr w:rsidR="00A86EB4" w:rsidRPr="00A30C4C" w14:paraId="4A5FBC24" w14:textId="77777777" w:rsidTr="00672D2A">
        <w:tc>
          <w:tcPr>
            <w:tcW w:w="1129" w:type="dxa"/>
          </w:tcPr>
          <w:p w14:paraId="41B2D303"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930</w:t>
            </w:r>
          </w:p>
        </w:tc>
        <w:tc>
          <w:tcPr>
            <w:tcW w:w="7620" w:type="dxa"/>
          </w:tcPr>
          <w:p w14:paraId="0455ED7D"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Pr>
                <w:rStyle w:val="InstructionsTabelleberschrift"/>
                <w:rFonts w:ascii="Times New Roman" w:hAnsi="Times New Roman"/>
                <w:sz w:val="24"/>
              </w:rPr>
              <w:tab/>
              <w:t>(–) Recipročna međusobna ulaganja u dopunski kapital</w:t>
            </w:r>
          </w:p>
          <w:p w14:paraId="6F848E41" w14:textId="507899C3"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122., članak 66. točka (b) i članak 68. CRR-a</w:t>
            </w:r>
          </w:p>
          <w:p w14:paraId="4B523625" w14:textId="4AF697DE"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u instrumente dopunskog kapitala subjekata financijskog sektora (kako su definirani u članku 4. stavku 1. točki 27. CRR-a) ako postoji recipročno međusobno ulaganje za koje nadležno tijelo smatra da mu je cilj umjetno povećati regulatorni kapital institucije.</w:t>
            </w:r>
          </w:p>
          <w:p w14:paraId="2BF3FDE3"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izračunava se na osnovi bruto dugih pozicija i uključuje stavke </w:t>
            </w:r>
            <w:proofErr w:type="spellStart"/>
            <w:r>
              <w:rPr>
                <w:rStyle w:val="FormatvorlageInstructionsTabelleText"/>
                <w:rFonts w:ascii="Times New Roman" w:hAnsi="Times New Roman"/>
                <w:sz w:val="24"/>
              </w:rPr>
              <w:t>osigurateljnog</w:t>
            </w:r>
            <w:proofErr w:type="spellEnd"/>
            <w:r>
              <w:rPr>
                <w:rStyle w:val="FormatvorlageInstructionsTabelleText"/>
                <w:rFonts w:ascii="Times New Roman" w:hAnsi="Times New Roman"/>
                <w:sz w:val="24"/>
              </w:rPr>
              <w:t xml:space="preserve"> dopunskog kapitala i dopunskog kapitala II.</w:t>
            </w:r>
          </w:p>
        </w:tc>
      </w:tr>
      <w:tr w:rsidR="00A86EB4" w:rsidRPr="00A30C4C" w14:paraId="2FE6AF07" w14:textId="77777777" w:rsidTr="00672D2A">
        <w:tc>
          <w:tcPr>
            <w:tcW w:w="1129" w:type="dxa"/>
          </w:tcPr>
          <w:p w14:paraId="55C18047"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14:paraId="7B62FD67"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rPr>
                <w:rStyle w:val="InstructionsTabelleberschrift"/>
                <w:rFonts w:ascii="Times New Roman" w:hAnsi="Times New Roman"/>
                <w:sz w:val="24"/>
              </w:rPr>
              <w:tab/>
              <w:t>(–) Instrumenti dopunskog kapitala subjekata financijskog sektora ako institucija nema značajno ulaganje</w:t>
            </w:r>
          </w:p>
          <w:p w14:paraId="1FA061EA" w14:textId="4AD640B9"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66. točka (c), članci od 68. do 70. i članak 79. CRR-a</w:t>
            </w:r>
          </w:p>
          <w:p w14:paraId="66D90D78" w14:textId="30A8876B" w:rsidR="005643EA" w:rsidRPr="00A30C4C" w:rsidRDefault="00A86EB4"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Dio ulaganja institucije u instrumente subjekata financijskog sektora (kako su definirani u članku 4. stavku 1. točki 27. CRR-a) ako institucija nema značajno ulaganje koje je potrebno odbiti od dopunskog kapitala.</w:t>
            </w:r>
          </w:p>
        </w:tc>
      </w:tr>
      <w:tr w:rsidR="00A86EB4" w:rsidRPr="00A30C4C" w14:paraId="0A9FE5F1" w14:textId="77777777" w:rsidTr="00672D2A">
        <w:tc>
          <w:tcPr>
            <w:tcW w:w="1129" w:type="dxa"/>
          </w:tcPr>
          <w:p w14:paraId="3FD571BD"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14:paraId="7A794376"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Pr>
                <w:rStyle w:val="InstructionsTabelleberschrift"/>
                <w:rFonts w:ascii="Times New Roman" w:hAnsi="Times New Roman"/>
                <w:sz w:val="24"/>
              </w:rPr>
              <w:tab/>
              <w:t>(–) Instrumenti dopunskog kapitala subjekata financijskog sektora ako institucija ima značajno ulaganje</w:t>
            </w:r>
          </w:p>
          <w:p w14:paraId="191E03F9" w14:textId="1A6247CA"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4. stavak 1. točka 27., članak 66. točka (d), članci 68., 69. i 79. CRR-a</w:t>
            </w:r>
          </w:p>
          <w:p w14:paraId="2F8B35E9" w14:textId="1D842EAD" w:rsidR="005643EA" w:rsidRPr="00A30C4C" w:rsidRDefault="009B511B" w:rsidP="00110F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Ulaganja institucije u instrumente dopunskog kapitala subjekata financijskog sektora (kako su definirani u članku 4. stavku 1. točki 27. CRR-a) ako institucija ima značajno ulaganje u potpunosti se odbijaju.</w:t>
            </w:r>
          </w:p>
        </w:tc>
      </w:tr>
      <w:tr w:rsidR="00A86EB4" w:rsidRPr="00A30C4C" w14:paraId="5DA6F122" w14:textId="77777777" w:rsidTr="00672D2A">
        <w:tc>
          <w:tcPr>
            <w:tcW w:w="1129" w:type="dxa"/>
          </w:tcPr>
          <w:p w14:paraId="33450E2A"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960</w:t>
            </w:r>
          </w:p>
        </w:tc>
        <w:tc>
          <w:tcPr>
            <w:tcW w:w="7620" w:type="dxa"/>
          </w:tcPr>
          <w:p w14:paraId="7B3D4343"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Pr>
                <w:rStyle w:val="InstructionsTabelleberschrift"/>
                <w:rFonts w:ascii="Times New Roman" w:hAnsi="Times New Roman"/>
                <w:sz w:val="24"/>
              </w:rPr>
              <w:tab/>
              <w:t>Ostala prijelazna usklađenja dopunskog kapitala</w:t>
            </w:r>
          </w:p>
          <w:p w14:paraId="784A51A7" w14:textId="4BA1DD2A"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Članci 476., 477., 478. i 481. CRR-a</w:t>
            </w:r>
          </w:p>
          <w:p w14:paraId="562B7EA9"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Usklađenja zbog prijelaznih odredbi. Iznos koji se iskazuje dobiva se izravno iz CA5.</w:t>
            </w:r>
          </w:p>
        </w:tc>
      </w:tr>
      <w:tr w:rsidR="00A86EB4" w:rsidRPr="00A30C4C" w14:paraId="2EA884C8" w14:textId="77777777" w:rsidTr="00672D2A">
        <w:tc>
          <w:tcPr>
            <w:tcW w:w="1129" w:type="dxa"/>
          </w:tcPr>
          <w:p w14:paraId="687D9A16"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14:paraId="358D3E0C"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Pr>
                <w:rStyle w:val="InstructionsTabelleberschrift"/>
                <w:rFonts w:ascii="Times New Roman" w:hAnsi="Times New Roman"/>
                <w:sz w:val="24"/>
              </w:rPr>
              <w:tab/>
              <w:t>Odbitak od stavki dopunskog kapitala koji premašuje dopunski kapital (odbijen u dodatnom osnovnom kapitalu)</w:t>
            </w:r>
          </w:p>
          <w:p w14:paraId="06921619" w14:textId="0EED794F"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56. točka (e) CRR-a</w:t>
            </w:r>
          </w:p>
          <w:p w14:paraId="2D66785A"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Dopunski kapital ne može biti negativan, ali odbici dopunskog kapitala mogu biti veći od dopunskog kapitala uvećanog za povezanu premiju na dionice. Ako se to dogodi, dopunski kapital jednak je nuli, a višak odbitaka od dopunskog kapitala odbija se od dodatnog osnovnog kapitala.</w:t>
            </w:r>
          </w:p>
          <w:p w14:paraId="4F23E22C" w14:textId="68347F2D"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Ovom se stavkom postiže da zbroj stavki od 1.2.1. do 1.2.13. nikad nije manji od nule. Ako ova stavka pokazuje pozitivnu vrijednost, stavka 1.1.2.8. ima vrijednost suprotnog predznaka.</w:t>
            </w:r>
          </w:p>
        </w:tc>
      </w:tr>
      <w:tr w:rsidR="00BD687C" w:rsidRPr="00A30C4C" w14:paraId="45014646" w14:textId="77777777" w:rsidTr="00672D2A">
        <w:tc>
          <w:tcPr>
            <w:tcW w:w="1129" w:type="dxa"/>
          </w:tcPr>
          <w:p w14:paraId="11FABB7C" w14:textId="77777777" w:rsidR="00BD687C" w:rsidRPr="00A30C4C"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14:paraId="5AF73AD1" w14:textId="77777777" w:rsidR="005643EA" w:rsidRPr="00A30C4C"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Pr>
                <w:rStyle w:val="InstructionsTabelleberschrift"/>
                <w:rFonts w:ascii="Times New Roman" w:hAnsi="Times New Roman"/>
                <w:sz w:val="24"/>
              </w:rPr>
              <w:tab/>
              <w:t>(–) Dodatni odbici od dopunskog kapitala u skladu s člankom 3. CRR-a</w:t>
            </w:r>
          </w:p>
          <w:p w14:paraId="59985BA9" w14:textId="77777777" w:rsidR="005643EA" w:rsidRPr="00A30C4C"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3. CRR-a</w:t>
            </w:r>
          </w:p>
        </w:tc>
      </w:tr>
      <w:tr w:rsidR="00A86EB4" w:rsidRPr="00A30C4C" w14:paraId="3A0BCE04" w14:textId="77777777" w:rsidTr="00672D2A">
        <w:tc>
          <w:tcPr>
            <w:tcW w:w="1129" w:type="dxa"/>
          </w:tcPr>
          <w:p w14:paraId="5CF1CA23" w14:textId="77777777" w:rsidR="00A86EB4" w:rsidRPr="00A30C4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14:paraId="42E49155" w14:textId="77777777" w:rsidR="005643EA" w:rsidRPr="00A30C4C"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Pr>
                <w:rStyle w:val="InstructionsTabelleberschrift"/>
                <w:rFonts w:ascii="Times New Roman" w:hAnsi="Times New Roman"/>
                <w:sz w:val="24"/>
              </w:rPr>
              <w:tab/>
              <w:t xml:space="preserve">Elementi ili odbici od dopunskog kapitala – ostalo </w:t>
            </w:r>
          </w:p>
          <w:p w14:paraId="55A843F1" w14:textId="7F172C75" w:rsidR="005643EA" w:rsidRPr="00A30C4C"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Ovaj redak osigurava fleksibilnost isključivo za potrebe izvješćivanja. Popunjava se samo u rijetkim slučajevima kada ne postoji konačna odluka o iskazivanju specifičnih stavki/odbitaka kapitala u postojećom obrascu CA1. Stoga se ovaj redak popunjava samo ako se element dopunskog kapitala ili odbitak od elementa dopunskog kapitala ne može rasporediti u jedan od redaka od 750 do 974. </w:t>
            </w:r>
          </w:p>
          <w:p w14:paraId="33435B21" w14:textId="74673699" w:rsidR="005643EA" w:rsidRPr="00A30C4C" w:rsidRDefault="00A86EB4" w:rsidP="00852CA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Ovaj se redak ne koristi za raspoređivanje stavki/odbitaka kapitala koji nisu obuhvaćeni CRR-om u izračun stopa solventnosti (npr. raspoređivanje nacionalnih stavki/odbitaka kapitala izvan područja primjene CRR-a).</w:t>
            </w:r>
          </w:p>
        </w:tc>
      </w:tr>
    </w:tbl>
    <w:p w14:paraId="71EB3ECD" w14:textId="77777777" w:rsidR="005643EA" w:rsidRPr="00A30C4C" w:rsidRDefault="005643EA" w:rsidP="00FD239F">
      <w:pPr>
        <w:pStyle w:val="InstructionsText"/>
      </w:pPr>
    </w:p>
    <w:p w14:paraId="68D52605"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30677631"/>
      <w:r>
        <w:rPr>
          <w:rFonts w:ascii="Times New Roman" w:hAnsi="Times New Roman"/>
          <w:sz w:val="24"/>
          <w:u w:val="none"/>
        </w:rPr>
        <w:t>1.3.</w:t>
      </w:r>
      <w:r>
        <w:rPr>
          <w:rFonts w:ascii="Times New Roman" w:hAnsi="Times New Roman"/>
          <w:sz w:val="24"/>
          <w:u w:val="none"/>
        </w:rPr>
        <w:tab/>
      </w:r>
      <w:r>
        <w:rPr>
          <w:rFonts w:ascii="Times New Roman" w:hAnsi="Times New Roman"/>
          <w:sz w:val="24"/>
        </w:rPr>
        <w:t>C 02.00 – KAPITALNI ZAHTJEVI (CA2)</w:t>
      </w:r>
      <w:bookmarkEnd w:id="41"/>
      <w:bookmarkEnd w:id="44"/>
      <w:r>
        <w:rPr>
          <w:rFonts w:ascii="Times New Roman" w:hAnsi="Times New Roman"/>
          <w:sz w:val="24"/>
        </w:rPr>
        <w:t xml:space="preserve"> </w:t>
      </w:r>
      <w:bookmarkEnd w:id="42"/>
      <w:bookmarkEnd w:id="43"/>
    </w:p>
    <w:p w14:paraId="54208F37"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30677632"/>
      <w:r>
        <w:rPr>
          <w:rFonts w:ascii="Times New Roman" w:hAnsi="Times New Roman"/>
          <w:sz w:val="24"/>
          <w:u w:val="none"/>
        </w:rPr>
        <w:t>1.3.1.</w:t>
      </w:r>
      <w:r>
        <w:rPr>
          <w:rFonts w:ascii="Times New Roman" w:hAnsi="Times New Roman"/>
          <w:sz w:val="24"/>
          <w:u w:val="none"/>
        </w:rPr>
        <w:tab/>
      </w:r>
      <w:bookmarkStart w:id="49" w:name="_Toc308175824"/>
      <w:r>
        <w:rPr>
          <w:rFonts w:ascii="Times New Roman" w:hAnsi="Times New Roman"/>
          <w:sz w:val="24"/>
        </w:rPr>
        <w:t xml:space="preserve">Upute za specifične </w:t>
      </w:r>
      <w:bookmarkEnd w:id="49"/>
      <w:bookmarkEnd w:id="45"/>
      <w:r>
        <w:rPr>
          <w:rFonts w:ascii="Times New Roman" w:hAnsi="Times New Roman"/>
          <w:sz w:val="24"/>
        </w:rPr>
        <w:t>pozicije</w:t>
      </w:r>
      <w:bookmarkEnd w:id="46"/>
      <w:bookmarkEnd w:id="47"/>
      <w:bookmarkEnd w:id="48"/>
    </w:p>
    <w:p w14:paraId="0023256C" w14:textId="77777777" w:rsidR="002648B0" w:rsidRPr="00A30C4C"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A30C4C" w14:paraId="0D39C813" w14:textId="77777777" w:rsidTr="00672D2A">
        <w:tc>
          <w:tcPr>
            <w:tcW w:w="1591" w:type="dxa"/>
            <w:shd w:val="clear" w:color="auto" w:fill="D9D9D9"/>
          </w:tcPr>
          <w:p w14:paraId="5F5F5E0C" w14:textId="77777777" w:rsidR="002648B0" w:rsidRPr="00A30C4C" w:rsidRDefault="002648B0" w:rsidP="00FD239F">
            <w:pPr>
              <w:pStyle w:val="InstructionsText"/>
            </w:pPr>
            <w:r>
              <w:t>Redak</w:t>
            </w:r>
          </w:p>
        </w:tc>
        <w:tc>
          <w:tcPr>
            <w:tcW w:w="7274" w:type="dxa"/>
            <w:shd w:val="clear" w:color="auto" w:fill="D9D9D9"/>
          </w:tcPr>
          <w:p w14:paraId="68A7ECF1" w14:textId="77777777" w:rsidR="005643EA" w:rsidRPr="00A30C4C" w:rsidRDefault="002648B0" w:rsidP="00FD239F">
            <w:pPr>
              <w:pStyle w:val="InstructionsText"/>
            </w:pPr>
            <w:r>
              <w:t>Pravna osnova i upute</w:t>
            </w:r>
          </w:p>
        </w:tc>
      </w:tr>
      <w:tr w:rsidR="002648B0" w:rsidRPr="00A30C4C" w14:paraId="4788110E" w14:textId="77777777" w:rsidTr="00672D2A">
        <w:tc>
          <w:tcPr>
            <w:tcW w:w="1591" w:type="dxa"/>
          </w:tcPr>
          <w:p w14:paraId="7CBD314D" w14:textId="77777777" w:rsidR="002648B0" w:rsidRPr="00A30C4C" w:rsidRDefault="002648B0" w:rsidP="00FD239F">
            <w:pPr>
              <w:pStyle w:val="InstructionsText"/>
            </w:pPr>
            <w:r>
              <w:t>010</w:t>
            </w:r>
          </w:p>
        </w:tc>
        <w:tc>
          <w:tcPr>
            <w:tcW w:w="7274" w:type="dxa"/>
          </w:tcPr>
          <w:p w14:paraId="01196437" w14:textId="77777777" w:rsidR="005643EA" w:rsidRPr="00A30C4C" w:rsidRDefault="00C66473" w:rsidP="00FD239F">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UKUPNI IZNOS IZLOŽENOSTI RIZIKU</w:t>
            </w:r>
          </w:p>
          <w:p w14:paraId="46265497" w14:textId="119C1746" w:rsidR="002648B0" w:rsidRPr="00A30C4C" w:rsidRDefault="002648B0" w:rsidP="002C66A4">
            <w:pPr>
              <w:pStyle w:val="InstructionsText"/>
            </w:pPr>
            <w:r>
              <w:t>Članak 92. stavak 3. i članci 95., 96. i 98. CRR-a</w:t>
            </w:r>
          </w:p>
        </w:tc>
      </w:tr>
      <w:tr w:rsidR="002648B0" w:rsidRPr="00A30C4C" w14:paraId="6D9EE898" w14:textId="77777777" w:rsidTr="00672D2A">
        <w:tc>
          <w:tcPr>
            <w:tcW w:w="1591" w:type="dxa"/>
          </w:tcPr>
          <w:p w14:paraId="4A03101D" w14:textId="77777777" w:rsidR="002648B0" w:rsidRPr="00A30C4C" w:rsidRDefault="002648B0" w:rsidP="00FD239F">
            <w:pPr>
              <w:pStyle w:val="InstructionsText"/>
            </w:pPr>
            <w:r>
              <w:t>020</w:t>
            </w:r>
          </w:p>
        </w:tc>
        <w:tc>
          <w:tcPr>
            <w:tcW w:w="7274" w:type="dxa"/>
          </w:tcPr>
          <w:p w14:paraId="728E140E" w14:textId="0DFC91BF" w:rsidR="005643EA" w:rsidRPr="00A30C4C" w:rsidRDefault="002648B0" w:rsidP="00FD239F">
            <w:pPr>
              <w:pStyle w:val="InstructionsText"/>
            </w:pPr>
            <w:r>
              <w:rPr>
                <w:rStyle w:val="InstructionsTabelleberschrift"/>
                <w:rFonts w:ascii="Times New Roman" w:hAnsi="Times New Roman"/>
                <w:sz w:val="24"/>
              </w:rPr>
              <w:t>1</w:t>
            </w:r>
            <w:r w:rsidR="002B242C">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investicijska društva u skladu s člankom 95. stavkom 2. i člankom 98. CRR-a</w:t>
            </w:r>
          </w:p>
          <w:p w14:paraId="4FA45006" w14:textId="6C2AC099" w:rsidR="005643EA" w:rsidRPr="00A30C4C" w:rsidRDefault="002648B0" w:rsidP="00852CAD">
            <w:pPr>
              <w:pStyle w:val="InstructionsText"/>
            </w:pPr>
            <w:r>
              <w:t>Za investicijska društva iz članka 95.</w:t>
            </w:r>
            <w:r>
              <w:rPr>
                <w:rStyle w:val="FormatvorlageInstructionsTabelleText"/>
                <w:rFonts w:ascii="Times New Roman" w:hAnsi="Times New Roman"/>
                <w:sz w:val="24"/>
              </w:rPr>
              <w:t xml:space="preserve"> stavka 2.</w:t>
            </w:r>
            <w:r>
              <w:t xml:space="preserve"> i članka 98. CRR-a</w:t>
            </w:r>
          </w:p>
        </w:tc>
      </w:tr>
      <w:tr w:rsidR="002648B0" w:rsidRPr="00A30C4C" w14:paraId="5A6EEA97" w14:textId="77777777" w:rsidTr="00672D2A">
        <w:tc>
          <w:tcPr>
            <w:tcW w:w="1591" w:type="dxa"/>
          </w:tcPr>
          <w:p w14:paraId="044DF713" w14:textId="77777777" w:rsidR="002648B0" w:rsidRPr="00A30C4C" w:rsidRDefault="002648B0" w:rsidP="00FD239F">
            <w:pPr>
              <w:pStyle w:val="InstructionsText"/>
            </w:pPr>
            <w:r>
              <w:t>030</w:t>
            </w:r>
          </w:p>
        </w:tc>
        <w:tc>
          <w:tcPr>
            <w:tcW w:w="7274" w:type="dxa"/>
          </w:tcPr>
          <w:p w14:paraId="3E0C3E16" w14:textId="36C6E986" w:rsidR="005643EA" w:rsidRPr="00A30C4C" w:rsidRDefault="002648B0" w:rsidP="00FD239F">
            <w:pPr>
              <w:pStyle w:val="InstructionsText"/>
            </w:pPr>
            <w:r>
              <w:rPr>
                <w:rStyle w:val="InstructionsTabelleberschrift"/>
                <w:rFonts w:ascii="Times New Roman" w:hAnsi="Times New Roman"/>
                <w:sz w:val="24"/>
              </w:rPr>
              <w:t>1</w:t>
            </w:r>
            <w:r w:rsidR="002B242C">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investicijska društva u skladu s člankom 96. stavkom 2. i člankom 97. CRR-a</w:t>
            </w:r>
          </w:p>
          <w:p w14:paraId="76B6B5F2" w14:textId="0BA81474" w:rsidR="005643EA" w:rsidRPr="00A30C4C" w:rsidRDefault="002648B0" w:rsidP="00852CAD">
            <w:pPr>
              <w:pStyle w:val="InstructionsText"/>
            </w:pPr>
            <w:r>
              <w:lastRenderedPageBreak/>
              <w:t xml:space="preserve">Za investicijska društva iz članka 96. </w:t>
            </w:r>
            <w:r>
              <w:rPr>
                <w:rStyle w:val="FormatvorlageInstructionsTabelleText"/>
                <w:rFonts w:ascii="Times New Roman" w:hAnsi="Times New Roman"/>
                <w:sz w:val="24"/>
              </w:rPr>
              <w:t>stavka 2.</w:t>
            </w:r>
            <w:r>
              <w:t xml:space="preserve"> i članka 97. CRR-a</w:t>
            </w:r>
          </w:p>
        </w:tc>
      </w:tr>
      <w:tr w:rsidR="002648B0" w:rsidRPr="00A30C4C" w14:paraId="7BA90DC4" w14:textId="77777777" w:rsidTr="00672D2A">
        <w:tc>
          <w:tcPr>
            <w:tcW w:w="1591" w:type="dxa"/>
          </w:tcPr>
          <w:p w14:paraId="6C2A8F6D"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274" w:type="dxa"/>
          </w:tcPr>
          <w:p w14:paraId="37CD2A01" w14:textId="1710ABB0"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002B242C">
              <w:rPr>
                <w:rStyle w:val="InstructionsTabelleberschrift"/>
                <w:rFonts w:ascii="Times New Roman" w:hAnsi="Times New Roman"/>
                <w:sz w:val="24"/>
              </w:rPr>
              <w:t>.</w:t>
            </w:r>
            <w:r>
              <w:rPr>
                <w:rStyle w:val="InstructionsTabelleberschrift"/>
                <w:rFonts w:ascii="Times New Roman" w:hAnsi="Times New Roman"/>
                <w:sz w:val="24"/>
              </w:rPr>
              <w:tab/>
              <w:t>IZNOSI IZLOŽENOSTI PONDERIRANI RIZIKOM ZA KREDITNI RIZIK, KREDITNI RIZIK DRUGE UGOVORNE STRANE I RAZRJEĐIVAČKI RIZIK TE SLOBODNE ISPORUKE</w:t>
            </w:r>
          </w:p>
          <w:p w14:paraId="54D1474C" w14:textId="1481A45E" w:rsidR="005643EA" w:rsidRPr="00A30C4C" w:rsidRDefault="002C66A4"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92. stavak 3. točke (a) i (f) CRR-a</w:t>
            </w:r>
          </w:p>
        </w:tc>
      </w:tr>
      <w:tr w:rsidR="002648B0" w:rsidRPr="00A30C4C" w14:paraId="6C7C9EAC" w14:textId="77777777" w:rsidTr="00672D2A">
        <w:tc>
          <w:tcPr>
            <w:tcW w:w="1591" w:type="dxa"/>
          </w:tcPr>
          <w:p w14:paraId="1F820C45"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14:paraId="5B1D747A" w14:textId="4C8B71B4"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Standardizirani pristup</w:t>
            </w:r>
          </w:p>
          <w:p w14:paraId="140A5C1E" w14:textId="77777777" w:rsidR="002648B0" w:rsidRPr="00A30C4C"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Obrasci CR SA i SEC SA na razini ukupnih izloženosti</w:t>
            </w:r>
          </w:p>
        </w:tc>
      </w:tr>
      <w:tr w:rsidR="00802958" w:rsidRPr="00A30C4C" w14:paraId="48DA6C54" w14:textId="77777777" w:rsidTr="00672D2A">
        <w:tc>
          <w:tcPr>
            <w:tcW w:w="1591" w:type="dxa"/>
          </w:tcPr>
          <w:p w14:paraId="03E01A09" w14:textId="77777777" w:rsidR="00802958" w:rsidRPr="00A30C4C" w:rsidRDefault="0080295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w:t>
            </w:r>
          </w:p>
        </w:tc>
        <w:tc>
          <w:tcPr>
            <w:tcW w:w="7274" w:type="dxa"/>
          </w:tcPr>
          <w:p w14:paraId="47536DF6" w14:textId="1C95F224"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Pr>
                <w:rStyle w:val="InstructionsTabelleberschrift"/>
                <w:rFonts w:ascii="Times New Roman" w:hAnsi="Times New Roman"/>
                <w:sz w:val="24"/>
              </w:rPr>
              <w:tab/>
              <w:t>Od čega: dodatni stroži bonitetni zahtjevi na temelju članka 124. CRR-a</w:t>
            </w:r>
          </w:p>
          <w:p w14:paraId="66AE5407" w14:textId="25289537" w:rsidR="00802958" w:rsidRPr="00A30C4C" w:rsidRDefault="004852B9" w:rsidP="002C66A4">
            <w:pPr>
              <w:pStyle w:val="InstructionsText"/>
              <w:rPr>
                <w:rStyle w:val="InstructionsTabelleberschrift"/>
                <w:rFonts w:ascii="Times New Roman" w:hAnsi="Times New Roman"/>
                <w:sz w:val="24"/>
              </w:rPr>
            </w:pPr>
            <w:r>
              <w:t>Institucije iskazuju dodatne iznose izloženosti riziku koji su potrebni za ispunjavanje strožih bonitetnih zahtjeva kako su priopćeni institucijama nakon savjetovanja s EBA-om, u skladu s člankom 124. stavcima 2. i 5. CRR-a.</w:t>
            </w:r>
          </w:p>
        </w:tc>
      </w:tr>
      <w:tr w:rsidR="002648B0" w:rsidRPr="00A30C4C" w14:paraId="550B562B" w14:textId="77777777" w:rsidTr="00672D2A">
        <w:tc>
          <w:tcPr>
            <w:tcW w:w="1591" w:type="dxa"/>
          </w:tcPr>
          <w:p w14:paraId="7E7ABFE8"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14:paraId="46212EFA" w14:textId="77777777" w:rsidR="00C44421" w:rsidRPr="00A30C4C" w:rsidRDefault="00C44421" w:rsidP="00C44421">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 xml:space="preserve">Kategorije izloženosti u skladu sa standardiziranim pristupom isključujući </w:t>
            </w:r>
            <w:proofErr w:type="spellStart"/>
            <w:r>
              <w:rPr>
                <w:rStyle w:val="InstructionsTabelleberschrift"/>
                <w:rFonts w:ascii="Times New Roman" w:hAnsi="Times New Roman"/>
                <w:sz w:val="24"/>
              </w:rPr>
              <w:t>sekuritizacijske</w:t>
            </w:r>
            <w:proofErr w:type="spellEnd"/>
            <w:r>
              <w:rPr>
                <w:rStyle w:val="InstructionsTabelleberschrift"/>
                <w:rFonts w:ascii="Times New Roman" w:hAnsi="Times New Roman"/>
                <w:sz w:val="24"/>
              </w:rPr>
              <w:t xml:space="preserve"> pozicije</w:t>
            </w:r>
          </w:p>
          <w:p w14:paraId="021404DD" w14:textId="20F12D0F"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Obrazac CR SA na razini ukupnih izloženosti. Kategorije izloženosti u skladu sa standardiziranim pristupom</w:t>
            </w:r>
            <w:r>
              <w:rPr>
                <w:rStyle w:val="InstructionsTabelleberschrift"/>
                <w:rFonts w:ascii="Times New Roman" w:hAnsi="Times New Roman"/>
                <w:b w:val="0"/>
                <w:sz w:val="24"/>
                <w:u w:val="none"/>
              </w:rPr>
              <w:t xml:space="preserve"> kategorije su navedene</w:t>
            </w:r>
            <w:r>
              <w:rPr>
                <w:rStyle w:val="FormatvorlageInstructionsTabelleText"/>
                <w:rFonts w:ascii="Times New Roman" w:hAnsi="Times New Roman"/>
                <w:sz w:val="24"/>
              </w:rPr>
              <w:t xml:space="preserve"> u članku 112. CRR-a, isključujući </w:t>
            </w:r>
            <w:proofErr w:type="spellStart"/>
            <w:r>
              <w:rPr>
                <w:rStyle w:val="FormatvorlageInstructionsTabelleText"/>
                <w:rFonts w:ascii="Times New Roman" w:hAnsi="Times New Roman"/>
                <w:sz w:val="24"/>
              </w:rPr>
              <w:t>sekuritizacijske</w:t>
            </w:r>
            <w:proofErr w:type="spellEnd"/>
            <w:r>
              <w:rPr>
                <w:rStyle w:val="FormatvorlageInstructionsTabelleText"/>
                <w:rFonts w:ascii="Times New Roman" w:hAnsi="Times New Roman"/>
                <w:sz w:val="24"/>
              </w:rPr>
              <w:t xml:space="preserve"> pozicije.</w:t>
            </w:r>
          </w:p>
        </w:tc>
      </w:tr>
      <w:tr w:rsidR="002648B0" w:rsidRPr="00A30C4C" w14:paraId="6382F224" w14:textId="77777777" w:rsidTr="00672D2A">
        <w:tc>
          <w:tcPr>
            <w:tcW w:w="1591" w:type="dxa"/>
          </w:tcPr>
          <w:p w14:paraId="2EF59F31"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14:paraId="1FE8F70A"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Pr>
                <w:rStyle w:val="InstructionsTabelleberschrift"/>
                <w:rFonts w:ascii="Times New Roman" w:hAnsi="Times New Roman"/>
                <w:sz w:val="24"/>
              </w:rPr>
              <w:tab/>
              <w:t>Središnje države ili središnje banke</w:t>
            </w:r>
          </w:p>
          <w:p w14:paraId="475A051D" w14:textId="77777777" w:rsidR="00496C53" w:rsidRPr="00A30C4C"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Vidjeti obrazac CR SA</w:t>
            </w:r>
          </w:p>
        </w:tc>
      </w:tr>
      <w:tr w:rsidR="002648B0" w:rsidRPr="00A30C4C" w14:paraId="3C243135" w14:textId="77777777" w:rsidTr="00672D2A">
        <w:tc>
          <w:tcPr>
            <w:tcW w:w="1591" w:type="dxa"/>
          </w:tcPr>
          <w:p w14:paraId="3190294B"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w:t>
            </w:r>
          </w:p>
        </w:tc>
        <w:tc>
          <w:tcPr>
            <w:tcW w:w="7274" w:type="dxa"/>
          </w:tcPr>
          <w:p w14:paraId="028CF066" w14:textId="77777777" w:rsidR="00783881"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Pr>
                <w:rStyle w:val="InstructionsTabelleberschrift"/>
                <w:rFonts w:ascii="Times New Roman" w:hAnsi="Times New Roman"/>
                <w:sz w:val="24"/>
              </w:rPr>
              <w:tab/>
              <w:t>Jedinice područne (regionalne) ili lokalne samouprave</w:t>
            </w:r>
          </w:p>
          <w:p w14:paraId="73EF3DD6"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6BB69C8C" w14:textId="77777777" w:rsidTr="00672D2A">
        <w:tc>
          <w:tcPr>
            <w:tcW w:w="1591" w:type="dxa"/>
          </w:tcPr>
          <w:p w14:paraId="53808F66"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14:paraId="060A3165" w14:textId="77777777" w:rsidR="005643EA" w:rsidRPr="00A30C4C"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Pr>
                <w:rStyle w:val="InstructionsTabelleberschrift"/>
                <w:rFonts w:ascii="Times New Roman" w:hAnsi="Times New Roman"/>
                <w:sz w:val="24"/>
              </w:rPr>
              <w:tab/>
              <w:t>Subjekti javnog sektora</w:t>
            </w:r>
          </w:p>
          <w:p w14:paraId="5015B466"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31981E30" w14:textId="77777777" w:rsidTr="00672D2A">
        <w:tc>
          <w:tcPr>
            <w:tcW w:w="1591" w:type="dxa"/>
          </w:tcPr>
          <w:p w14:paraId="57A08B7D"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14:paraId="45141227" w14:textId="77777777" w:rsidR="002648B0"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Pr>
                <w:rStyle w:val="InstructionsTabelleberschrift"/>
                <w:rFonts w:ascii="Times New Roman" w:hAnsi="Times New Roman"/>
                <w:sz w:val="24"/>
              </w:rPr>
              <w:tab/>
              <w:t>Multilateralne razvojne banke</w:t>
            </w:r>
          </w:p>
          <w:p w14:paraId="2E09308B"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SA </w:t>
            </w:r>
          </w:p>
        </w:tc>
      </w:tr>
      <w:tr w:rsidR="002648B0" w:rsidRPr="002F0FB3" w14:paraId="4A37FE2C" w14:textId="77777777" w:rsidTr="00672D2A">
        <w:tc>
          <w:tcPr>
            <w:tcW w:w="1591" w:type="dxa"/>
          </w:tcPr>
          <w:p w14:paraId="33CADB2C"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14:paraId="0847089F" w14:textId="77777777" w:rsidR="005643EA" w:rsidRPr="0002267E"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Pr>
                <w:rStyle w:val="InstructionsTabelleberschrift"/>
                <w:rFonts w:ascii="Times New Roman" w:hAnsi="Times New Roman"/>
                <w:sz w:val="24"/>
              </w:rPr>
              <w:tab/>
              <w:t>Međunarodne organizacije</w:t>
            </w:r>
          </w:p>
          <w:p w14:paraId="282262E0" w14:textId="77777777" w:rsidR="002648B0" w:rsidRPr="0002267E"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2F0FB3" w14:paraId="3D7A9D11" w14:textId="77777777" w:rsidTr="00672D2A">
        <w:tc>
          <w:tcPr>
            <w:tcW w:w="1591" w:type="dxa"/>
          </w:tcPr>
          <w:p w14:paraId="611EACCF"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14:paraId="70D85E55" w14:textId="77777777" w:rsidR="005643EA" w:rsidRPr="0002267E"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Pr>
                <w:rStyle w:val="InstructionsTabelleberschrift"/>
                <w:rFonts w:ascii="Times New Roman" w:hAnsi="Times New Roman"/>
                <w:sz w:val="24"/>
              </w:rPr>
              <w:tab/>
              <w:t>Institucije</w:t>
            </w:r>
          </w:p>
          <w:p w14:paraId="37A7DA9D" w14:textId="77777777" w:rsidR="002648B0" w:rsidRPr="0002267E"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73F0C1C1" w14:textId="77777777" w:rsidTr="00672D2A">
        <w:tc>
          <w:tcPr>
            <w:tcW w:w="1591" w:type="dxa"/>
          </w:tcPr>
          <w:p w14:paraId="23E85B76"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14:paraId="24097FE2" w14:textId="77777777" w:rsidR="00783881"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Pr>
                <w:rStyle w:val="InstructionsTabelleberschrift"/>
                <w:rFonts w:ascii="Times New Roman" w:hAnsi="Times New Roman"/>
                <w:sz w:val="24"/>
              </w:rPr>
              <w:tab/>
              <w:t>Trgovačka društva</w:t>
            </w:r>
          </w:p>
          <w:p w14:paraId="1B7BB58E"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01D7EB89" w14:textId="77777777" w:rsidTr="00672D2A">
        <w:tc>
          <w:tcPr>
            <w:tcW w:w="1591" w:type="dxa"/>
          </w:tcPr>
          <w:p w14:paraId="7645F9A7"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14:paraId="75877546" w14:textId="77777777" w:rsidR="005643EA" w:rsidRPr="00A30C4C"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Pr>
                <w:rStyle w:val="InstructionsTabelleberschrift"/>
                <w:rFonts w:ascii="Times New Roman" w:hAnsi="Times New Roman"/>
                <w:sz w:val="24"/>
              </w:rPr>
              <w:tab/>
              <w:t>Stanovništvo</w:t>
            </w:r>
          </w:p>
          <w:p w14:paraId="68AAF723"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4CE5D601" w14:textId="77777777" w:rsidTr="00672D2A">
        <w:tc>
          <w:tcPr>
            <w:tcW w:w="1591" w:type="dxa"/>
          </w:tcPr>
          <w:p w14:paraId="537396DF"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14:paraId="146FDA62"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Pr>
                <w:rStyle w:val="InstructionsTabelleberschrift"/>
                <w:rFonts w:ascii="Times New Roman" w:hAnsi="Times New Roman"/>
                <w:sz w:val="24"/>
              </w:rPr>
              <w:tab/>
              <w:t>Osigurane nekretninama</w:t>
            </w:r>
          </w:p>
          <w:p w14:paraId="2219A544"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36661C50" w14:textId="77777777" w:rsidTr="00672D2A">
        <w:tc>
          <w:tcPr>
            <w:tcW w:w="1591" w:type="dxa"/>
          </w:tcPr>
          <w:p w14:paraId="284FB5F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14:paraId="150470CB"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Pr>
                <w:rStyle w:val="InstructionsTabelleberschrift"/>
                <w:rFonts w:ascii="Times New Roman" w:hAnsi="Times New Roman"/>
                <w:sz w:val="24"/>
              </w:rPr>
              <w:tab/>
              <w:t>Izloženosti sa statusom neispunjavanja obveza</w:t>
            </w:r>
          </w:p>
          <w:p w14:paraId="6667C7BA"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Vidjeti obrazac CR SA</w:t>
            </w:r>
          </w:p>
        </w:tc>
      </w:tr>
      <w:tr w:rsidR="002648B0" w:rsidRPr="00A30C4C" w14:paraId="71708621" w14:textId="77777777" w:rsidTr="00672D2A">
        <w:tc>
          <w:tcPr>
            <w:tcW w:w="1591" w:type="dxa"/>
          </w:tcPr>
          <w:p w14:paraId="0658F891"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170</w:t>
            </w:r>
          </w:p>
        </w:tc>
        <w:tc>
          <w:tcPr>
            <w:tcW w:w="7274" w:type="dxa"/>
          </w:tcPr>
          <w:p w14:paraId="1E447B70" w14:textId="77777777" w:rsidR="00783881"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Pr>
                <w:rStyle w:val="InstructionsTabelleberschrift"/>
                <w:rFonts w:ascii="Times New Roman" w:hAnsi="Times New Roman"/>
                <w:sz w:val="24"/>
              </w:rPr>
              <w:tab/>
              <w:t>Visokorizične stavke</w:t>
            </w:r>
          </w:p>
          <w:p w14:paraId="44404A55"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4175E5DC" w14:textId="77777777" w:rsidTr="00672D2A">
        <w:tc>
          <w:tcPr>
            <w:tcW w:w="1591" w:type="dxa"/>
          </w:tcPr>
          <w:p w14:paraId="04D6855F"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14:paraId="34C737D9"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Pr>
                <w:rStyle w:val="InstructionsTabelleberschrift"/>
                <w:rFonts w:ascii="Times New Roman" w:hAnsi="Times New Roman"/>
                <w:sz w:val="24"/>
              </w:rPr>
              <w:tab/>
              <w:t>Pokrivene obveznice</w:t>
            </w:r>
          </w:p>
          <w:p w14:paraId="59B64B5C"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6FA35E1B" w14:textId="77777777" w:rsidTr="00672D2A">
        <w:tc>
          <w:tcPr>
            <w:tcW w:w="1591" w:type="dxa"/>
          </w:tcPr>
          <w:p w14:paraId="62FFEFCD"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14:paraId="0F9F853C"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Pr>
                <w:rStyle w:val="InstructionsTabelleberschrift"/>
                <w:rFonts w:ascii="Times New Roman" w:hAnsi="Times New Roman"/>
                <w:sz w:val="24"/>
              </w:rPr>
              <w:tab/>
              <w:t>Potraživanja prema institucijama i trgovačkim društvima s kratkoročnom kreditnom procjenom</w:t>
            </w:r>
          </w:p>
          <w:p w14:paraId="75C708A3"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3C4A15DC" w14:textId="77777777" w:rsidTr="00672D2A">
        <w:tc>
          <w:tcPr>
            <w:tcW w:w="1591" w:type="dxa"/>
          </w:tcPr>
          <w:p w14:paraId="695E2C9D"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14:paraId="5CE27826" w14:textId="77777777" w:rsidR="005643EA" w:rsidRPr="00A30C4C"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77281FF8" w14:textId="77777777" w:rsidR="005643EA" w:rsidRPr="00A30C4C"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Pr>
                <w:rStyle w:val="InstructionsTabelleberschrift"/>
                <w:rFonts w:ascii="Times New Roman" w:hAnsi="Times New Roman"/>
                <w:sz w:val="24"/>
              </w:rPr>
              <w:tab/>
              <w:t>Subjekti za zajednička ulaganja (CIU)</w:t>
            </w:r>
          </w:p>
          <w:p w14:paraId="595F68F3"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6415AEB2" w14:textId="77777777" w:rsidTr="00672D2A">
        <w:tc>
          <w:tcPr>
            <w:tcW w:w="1591" w:type="dxa"/>
          </w:tcPr>
          <w:p w14:paraId="01355BC3"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14:paraId="770DFC36"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Pr>
                <w:rStyle w:val="InstructionsTabelleberschrift"/>
                <w:rFonts w:ascii="Times New Roman" w:hAnsi="Times New Roman"/>
                <w:sz w:val="24"/>
              </w:rPr>
              <w:tab/>
              <w:t>Vlasnička ulaganja</w:t>
            </w:r>
          </w:p>
          <w:p w14:paraId="6E91A28B" w14:textId="77777777" w:rsidR="002648B0" w:rsidRPr="00A30C4C"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SA</w:t>
            </w:r>
          </w:p>
        </w:tc>
      </w:tr>
      <w:tr w:rsidR="002648B0" w:rsidRPr="00A30C4C" w14:paraId="0A7E440A" w14:textId="77777777" w:rsidTr="00672D2A">
        <w:tc>
          <w:tcPr>
            <w:tcW w:w="1591" w:type="dxa"/>
          </w:tcPr>
          <w:p w14:paraId="2EDBDAC7"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14:paraId="4364BE4A"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Pr>
                <w:rStyle w:val="InstructionsTabelleberschrift"/>
                <w:rFonts w:ascii="Times New Roman" w:hAnsi="Times New Roman"/>
                <w:sz w:val="24"/>
              </w:rPr>
              <w:tab/>
              <w:t>Ostale stavke</w:t>
            </w:r>
          </w:p>
          <w:p w14:paraId="0AE4E6FE" w14:textId="77777777" w:rsidR="005643EA" w:rsidRPr="00A30C4C"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Vidjeti obrazac CR SA</w:t>
            </w:r>
          </w:p>
        </w:tc>
      </w:tr>
      <w:tr w:rsidR="002648B0" w:rsidRPr="00A30C4C" w14:paraId="40357F3F" w14:textId="77777777" w:rsidTr="00672D2A">
        <w:tc>
          <w:tcPr>
            <w:tcW w:w="1591" w:type="dxa"/>
          </w:tcPr>
          <w:p w14:paraId="2904FC17"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14:paraId="3F47CAA2" w14:textId="77777777" w:rsidR="005643EA" w:rsidRPr="00A30C4C"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 xml:space="preserve">Pristup zasnovan na internim rejting-sustavima (IRB) </w:t>
            </w:r>
          </w:p>
        </w:tc>
      </w:tr>
      <w:tr w:rsidR="00802958" w:rsidRPr="00A30C4C" w14:paraId="2952853B" w14:textId="77777777" w:rsidTr="00672D2A">
        <w:tc>
          <w:tcPr>
            <w:tcW w:w="1591" w:type="dxa"/>
          </w:tcPr>
          <w:p w14:paraId="5F5F57EC"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241</w:t>
            </w:r>
          </w:p>
        </w:tc>
        <w:tc>
          <w:tcPr>
            <w:tcW w:w="7274" w:type="dxa"/>
          </w:tcPr>
          <w:p w14:paraId="67BCCFE0" w14:textId="5F5A5643"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Od čega: dodatni stroži bonitetni zahtjevi na temelju članka 164. CRR-a</w:t>
            </w:r>
          </w:p>
          <w:p w14:paraId="517FA7BB" w14:textId="0C6CBF1C" w:rsidR="00802958" w:rsidRPr="00A30C4C" w:rsidRDefault="004852B9" w:rsidP="00167619">
            <w:pPr>
              <w:pStyle w:val="InstructionsText"/>
              <w:rPr>
                <w:rStyle w:val="InstructionsTabelleberschrift"/>
                <w:rFonts w:ascii="Times New Roman" w:hAnsi="Times New Roman"/>
                <w:sz w:val="24"/>
              </w:rPr>
            </w:pPr>
            <w:r>
              <w:t>Institucije iskazuju dodatne iznose izloženosti riziku koji su potrebni za ispunjavanje strožih bonitetnih zahtjeva kako su priopćeni institucijama nakon što je o njima obaviještena EBA, u skladu s člankom 164. stavcima 5. i 7. CRR-a.</w:t>
            </w:r>
          </w:p>
        </w:tc>
      </w:tr>
      <w:tr w:rsidR="00802958" w:rsidRPr="00A30C4C" w14:paraId="73CF030A" w14:textId="77777777" w:rsidTr="00672D2A">
        <w:tc>
          <w:tcPr>
            <w:tcW w:w="1591" w:type="dxa"/>
          </w:tcPr>
          <w:p w14:paraId="5DCDE92C"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242</w:t>
            </w:r>
          </w:p>
        </w:tc>
        <w:tc>
          <w:tcPr>
            <w:tcW w:w="7274" w:type="dxa"/>
          </w:tcPr>
          <w:p w14:paraId="3F77146D" w14:textId="42EC5C81"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Pr>
                <w:rStyle w:val="InstructionsTabelleberschrift"/>
                <w:rFonts w:ascii="Times New Roman" w:hAnsi="Times New Roman"/>
                <w:sz w:val="24"/>
              </w:rPr>
              <w:tab/>
              <w:t>Od čega: dodatni stroži bonitetni zahtjevi na temelju članka 124. CRR-a</w:t>
            </w:r>
          </w:p>
          <w:p w14:paraId="56577276" w14:textId="7ECA23A3" w:rsidR="00802958" w:rsidRPr="00A30C4C" w:rsidRDefault="004852B9" w:rsidP="002B004B">
            <w:pPr>
              <w:pStyle w:val="InstructionsText"/>
              <w:rPr>
                <w:rStyle w:val="InstructionsTabelleberschrift"/>
                <w:rFonts w:ascii="Times New Roman" w:hAnsi="Times New Roman"/>
                <w:sz w:val="24"/>
              </w:rPr>
            </w:pPr>
            <w:r>
              <w:t>Institucije iskazuju dodatne iznose izloženosti riziku koji su potrebni za ispunjavanje strožih bonitetnih zahtjeva koje su nakon savjetovanja s EBA-om odredila nadležna tijela, kako je propisano u članku 124. stavcima 2. i 5. CRR-a i koji su povezani s ograničenjima prihvatljive tržišne vrijednosti kolaterala kako je propisano u članku 125. stavku 2. točki (d) i članku 126. stavku 2. točki (d) CRR-a.</w:t>
            </w:r>
          </w:p>
        </w:tc>
      </w:tr>
      <w:tr w:rsidR="00802958" w:rsidRPr="00A30C4C" w14:paraId="3E06ADE9" w14:textId="77777777" w:rsidTr="00672D2A">
        <w:tc>
          <w:tcPr>
            <w:tcW w:w="1591" w:type="dxa"/>
          </w:tcPr>
          <w:p w14:paraId="67B47F3B"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14:paraId="1281EA28" w14:textId="2BC6253E"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rPr>
                <w:rStyle w:val="InstructionsTabelleberschrift"/>
                <w:rFonts w:ascii="Times New Roman" w:hAnsi="Times New Roman"/>
                <w:sz w:val="24"/>
              </w:rPr>
              <w:tab/>
              <w:t>IRB pristupi kada se ne primjenjuju ni vlastite procjene LGD-a ni konverzijski faktori</w:t>
            </w:r>
          </w:p>
          <w:p w14:paraId="1D00AD57" w14:textId="6B8F8D45" w:rsidR="00802958" w:rsidRPr="00A30C4C"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Obrazac CR IRB na razini ukupnih izloženosti (kada se ne primjenjuju vlastite procjene LGD-a ili kreditni konverzijski faktori)</w:t>
            </w:r>
          </w:p>
        </w:tc>
      </w:tr>
      <w:tr w:rsidR="00802958" w:rsidRPr="00A30C4C" w14:paraId="6B02D02E" w14:textId="77777777" w:rsidTr="00672D2A">
        <w:tc>
          <w:tcPr>
            <w:tcW w:w="1591" w:type="dxa"/>
          </w:tcPr>
          <w:p w14:paraId="214A8C2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14:paraId="43F06D98"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Pr>
                <w:rStyle w:val="InstructionsTabelleberschrift"/>
                <w:rFonts w:ascii="Times New Roman" w:hAnsi="Times New Roman"/>
                <w:sz w:val="24"/>
              </w:rPr>
              <w:tab/>
              <w:t>Središnje države i središnje banke</w:t>
            </w:r>
          </w:p>
          <w:p w14:paraId="79A9327D"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6C160D6F" w14:textId="77777777" w:rsidTr="00672D2A">
        <w:tc>
          <w:tcPr>
            <w:tcW w:w="1591" w:type="dxa"/>
          </w:tcPr>
          <w:p w14:paraId="65F96EC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14:paraId="2D1B515C"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Pr>
                <w:rStyle w:val="InstructionsTabelleberschrift"/>
                <w:rFonts w:ascii="Times New Roman" w:hAnsi="Times New Roman"/>
                <w:sz w:val="24"/>
              </w:rPr>
              <w:tab/>
              <w:t>Institucije</w:t>
            </w:r>
          </w:p>
          <w:p w14:paraId="0C0D0F71"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6E172AD7" w14:textId="77777777" w:rsidTr="00672D2A">
        <w:tc>
          <w:tcPr>
            <w:tcW w:w="1591" w:type="dxa"/>
          </w:tcPr>
          <w:p w14:paraId="250E3BAF"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14:paraId="2E1472D4"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Pr>
                <w:rStyle w:val="InstructionsTabelleberschrift"/>
                <w:rFonts w:ascii="Times New Roman" w:hAnsi="Times New Roman"/>
                <w:sz w:val="24"/>
              </w:rPr>
              <w:tab/>
              <w:t>Trgovačka društva – MSP</w:t>
            </w:r>
          </w:p>
          <w:p w14:paraId="61860914"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Vidjeti obrazac CR IRB</w:t>
            </w:r>
          </w:p>
        </w:tc>
      </w:tr>
      <w:tr w:rsidR="00802958" w:rsidRPr="00A30C4C" w14:paraId="0DFFC479" w14:textId="77777777" w:rsidTr="00672D2A">
        <w:tc>
          <w:tcPr>
            <w:tcW w:w="1591" w:type="dxa"/>
          </w:tcPr>
          <w:p w14:paraId="09D36D8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290</w:t>
            </w:r>
          </w:p>
        </w:tc>
        <w:tc>
          <w:tcPr>
            <w:tcW w:w="7274" w:type="dxa"/>
          </w:tcPr>
          <w:p w14:paraId="0F1C707D"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Pr>
                <w:rStyle w:val="InstructionsTabelleberschrift"/>
                <w:rFonts w:ascii="Times New Roman" w:hAnsi="Times New Roman"/>
                <w:sz w:val="24"/>
              </w:rPr>
              <w:tab/>
              <w:t>Trgovačka društva – specijalizirano financiranje</w:t>
            </w:r>
          </w:p>
          <w:p w14:paraId="51142C99"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IRB </w:t>
            </w:r>
          </w:p>
        </w:tc>
      </w:tr>
      <w:tr w:rsidR="00802958" w:rsidRPr="00A30C4C" w14:paraId="160F150A" w14:textId="77777777" w:rsidTr="00672D2A">
        <w:tc>
          <w:tcPr>
            <w:tcW w:w="1591" w:type="dxa"/>
          </w:tcPr>
          <w:p w14:paraId="28211619"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14:paraId="18598325"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Pr>
                <w:rStyle w:val="InstructionsTabelleberschrift"/>
                <w:rFonts w:ascii="Times New Roman" w:hAnsi="Times New Roman"/>
                <w:sz w:val="24"/>
              </w:rPr>
              <w:tab/>
              <w:t>Trgovačka društva – ostalo</w:t>
            </w:r>
          </w:p>
          <w:p w14:paraId="3D08CF8C"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62685C84" w14:textId="77777777" w:rsidTr="00672D2A">
        <w:tc>
          <w:tcPr>
            <w:tcW w:w="1591" w:type="dxa"/>
          </w:tcPr>
          <w:p w14:paraId="5BA6D8A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14:paraId="2AD35FF5" w14:textId="7D2B706C"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Pr>
                <w:rStyle w:val="InstructionsTabelleberschrift"/>
                <w:rFonts w:ascii="Times New Roman" w:hAnsi="Times New Roman"/>
                <w:sz w:val="24"/>
              </w:rPr>
              <w:tab/>
              <w:t>IRB pristupi kada se primjenjuju vlastite procjene LGD-a i/ili konverzijski faktor</w:t>
            </w:r>
          </w:p>
          <w:p w14:paraId="0A14FE31"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Obrazac CR IRB na razini ukupnih izloženosti (kada se primjenjuju vlastite procjene LGD-a i/ili kreditni konverzijski faktor)</w:t>
            </w:r>
          </w:p>
        </w:tc>
      </w:tr>
      <w:tr w:rsidR="00802958" w:rsidRPr="00A30C4C" w14:paraId="46D06C03" w14:textId="77777777" w:rsidTr="00672D2A">
        <w:tc>
          <w:tcPr>
            <w:tcW w:w="1591" w:type="dxa"/>
          </w:tcPr>
          <w:p w14:paraId="58B20F11"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14:paraId="41F8D438"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Pr>
                <w:rStyle w:val="InstructionsTabelleberschrift"/>
                <w:rFonts w:ascii="Times New Roman" w:hAnsi="Times New Roman"/>
                <w:sz w:val="24"/>
              </w:rPr>
              <w:tab/>
              <w:t>Središnje države i središnje banke</w:t>
            </w:r>
          </w:p>
          <w:p w14:paraId="01F24868"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35C86C43" w14:textId="77777777" w:rsidTr="00672D2A">
        <w:tc>
          <w:tcPr>
            <w:tcW w:w="1591" w:type="dxa"/>
          </w:tcPr>
          <w:p w14:paraId="44CC8BB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14:paraId="76185659"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Pr>
                <w:rStyle w:val="InstructionsTabelleberschrift"/>
                <w:rFonts w:ascii="Times New Roman" w:hAnsi="Times New Roman"/>
                <w:sz w:val="24"/>
              </w:rPr>
              <w:tab/>
              <w:t>Institucije</w:t>
            </w:r>
          </w:p>
          <w:p w14:paraId="1EB58BFF"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Vidjeti obrazac CR IRB </w:t>
            </w:r>
          </w:p>
        </w:tc>
      </w:tr>
      <w:tr w:rsidR="00802958" w:rsidRPr="00A30C4C" w14:paraId="2BC01FDF" w14:textId="77777777" w:rsidTr="00672D2A">
        <w:tc>
          <w:tcPr>
            <w:tcW w:w="1591" w:type="dxa"/>
          </w:tcPr>
          <w:p w14:paraId="64EE09C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14:paraId="1AF9DD0E"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Pr>
                <w:rStyle w:val="InstructionsTabelleberschrift"/>
                <w:rFonts w:ascii="Times New Roman" w:hAnsi="Times New Roman"/>
                <w:sz w:val="24"/>
              </w:rPr>
              <w:tab/>
              <w:t>Trgovačka društva – MSP</w:t>
            </w:r>
          </w:p>
          <w:p w14:paraId="7EA219AE"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6A645B5F" w14:textId="77777777" w:rsidTr="00672D2A">
        <w:tc>
          <w:tcPr>
            <w:tcW w:w="1591" w:type="dxa"/>
          </w:tcPr>
          <w:p w14:paraId="04938B0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14:paraId="2B484270"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rPr>
                <w:rStyle w:val="InstructionsTabelleberschrift"/>
                <w:rFonts w:ascii="Times New Roman" w:hAnsi="Times New Roman"/>
                <w:sz w:val="24"/>
              </w:rPr>
              <w:tab/>
              <w:t>Trgovačka društva – specijalizirano financiranje</w:t>
            </w:r>
          </w:p>
          <w:p w14:paraId="0E298873"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6888F70F" w14:textId="77777777" w:rsidTr="00672D2A">
        <w:tc>
          <w:tcPr>
            <w:tcW w:w="1591" w:type="dxa"/>
          </w:tcPr>
          <w:p w14:paraId="2712432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14:paraId="02A7CBE6"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Pr>
                <w:rStyle w:val="InstructionsTabelleberschrift"/>
                <w:rFonts w:ascii="Times New Roman" w:hAnsi="Times New Roman"/>
                <w:sz w:val="24"/>
              </w:rPr>
              <w:tab/>
              <w:t>Trgovačka društva – ostalo</w:t>
            </w:r>
          </w:p>
          <w:p w14:paraId="7A45F30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692359A2" w14:textId="77777777" w:rsidTr="00672D2A">
        <w:tc>
          <w:tcPr>
            <w:tcW w:w="1591" w:type="dxa"/>
          </w:tcPr>
          <w:p w14:paraId="697AEF1C"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274" w:type="dxa"/>
          </w:tcPr>
          <w:p w14:paraId="2C33FE42"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Pr>
                <w:rStyle w:val="InstructionsTabelleberschrift"/>
                <w:rFonts w:ascii="Times New Roman" w:hAnsi="Times New Roman"/>
                <w:sz w:val="24"/>
              </w:rPr>
              <w:tab/>
              <w:t>Stanovništvo – osigurane nekretninom MSP-ova</w:t>
            </w:r>
          </w:p>
          <w:p w14:paraId="61ADF1D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5F723FF2" w14:textId="77777777" w:rsidTr="00672D2A">
        <w:tc>
          <w:tcPr>
            <w:tcW w:w="1591" w:type="dxa"/>
          </w:tcPr>
          <w:p w14:paraId="0C329337"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14:paraId="0B466606"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Pr>
                <w:rStyle w:val="InstructionsTabelleberschrift"/>
                <w:rFonts w:ascii="Times New Roman" w:hAnsi="Times New Roman"/>
                <w:sz w:val="24"/>
              </w:rPr>
              <w:tab/>
              <w:t>Stanovništvo – osigurane nekretninom, nije izloženost prema MSP-u</w:t>
            </w:r>
          </w:p>
          <w:p w14:paraId="26C49AC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240597A1" w14:textId="77777777" w:rsidTr="00672D2A">
        <w:tc>
          <w:tcPr>
            <w:tcW w:w="1591" w:type="dxa"/>
          </w:tcPr>
          <w:p w14:paraId="3D0C129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14:paraId="1331DF02"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Pr>
                <w:rStyle w:val="InstructionsTabelleberschrift"/>
                <w:rFonts w:ascii="Times New Roman" w:hAnsi="Times New Roman"/>
                <w:sz w:val="24"/>
              </w:rPr>
              <w:tab/>
              <w:t>Stanovništvo – kvalificirane obnovljive izloženosti</w:t>
            </w:r>
          </w:p>
          <w:p w14:paraId="7B451362"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28D33058" w14:textId="77777777" w:rsidTr="00672D2A">
        <w:tc>
          <w:tcPr>
            <w:tcW w:w="1591" w:type="dxa"/>
          </w:tcPr>
          <w:p w14:paraId="0596CD3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14:paraId="054C5729"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Pr>
                <w:rStyle w:val="InstructionsTabelleberschrift"/>
                <w:rFonts w:ascii="Times New Roman" w:hAnsi="Times New Roman"/>
                <w:sz w:val="24"/>
              </w:rPr>
              <w:tab/>
              <w:t>Stanovništvo – ostalo, MSP-ovi</w:t>
            </w:r>
          </w:p>
          <w:p w14:paraId="5CB863A2"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4E87A59A" w14:textId="77777777" w:rsidTr="00672D2A">
        <w:tc>
          <w:tcPr>
            <w:tcW w:w="1591" w:type="dxa"/>
          </w:tcPr>
          <w:p w14:paraId="48F2686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14:paraId="169CE9E1"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Pr>
                <w:rStyle w:val="InstructionsTabelleberschrift"/>
                <w:rFonts w:ascii="Times New Roman" w:hAnsi="Times New Roman"/>
                <w:sz w:val="24"/>
              </w:rPr>
              <w:tab/>
              <w:t>Stanovništvo – ostalo, osobe koje nisu MSP-ovi</w:t>
            </w:r>
          </w:p>
          <w:p w14:paraId="1CC50CC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IRB</w:t>
            </w:r>
          </w:p>
        </w:tc>
      </w:tr>
      <w:tr w:rsidR="00802958" w:rsidRPr="00A30C4C" w14:paraId="31B6563A" w14:textId="77777777" w:rsidTr="00672D2A">
        <w:tc>
          <w:tcPr>
            <w:tcW w:w="1591" w:type="dxa"/>
          </w:tcPr>
          <w:p w14:paraId="44E8DC1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14:paraId="34501B59"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Pr>
                <w:rStyle w:val="InstructionsTabelleberschrift"/>
                <w:rFonts w:ascii="Times New Roman" w:hAnsi="Times New Roman"/>
                <w:sz w:val="24"/>
              </w:rPr>
              <w:tab/>
              <w:t>Vlasnička ulaganja u skladu s IRB pristupom</w:t>
            </w:r>
          </w:p>
          <w:p w14:paraId="0035F9A1"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EQU IRB</w:t>
            </w:r>
          </w:p>
        </w:tc>
      </w:tr>
      <w:tr w:rsidR="00802958" w:rsidRPr="00A30C4C" w14:paraId="19E594BF" w14:textId="77777777" w:rsidTr="00672D2A">
        <w:tc>
          <w:tcPr>
            <w:tcW w:w="1591" w:type="dxa"/>
          </w:tcPr>
          <w:p w14:paraId="3B16C68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14:paraId="73CA76D7"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Pr>
                <w:rStyle w:val="InstructionsTabelleberschrift"/>
                <w:rFonts w:ascii="Times New Roman" w:hAnsi="Times New Roman"/>
                <w:sz w:val="24"/>
              </w:rPr>
              <w:tab/>
              <w:t>Ostala imovina bez kreditnih obveza</w:t>
            </w:r>
          </w:p>
          <w:p w14:paraId="393DFB7C" w14:textId="3026B856" w:rsidR="00802958" w:rsidRPr="00A30C4C"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Iznos koji se iskazuje iznos je izloženosti ponderiran rizikom kako je izračunan u skladu s člankom 156. CRR-a. </w:t>
            </w:r>
          </w:p>
        </w:tc>
      </w:tr>
      <w:tr w:rsidR="00802958" w:rsidRPr="00A30C4C" w14:paraId="7489E700" w14:textId="77777777" w:rsidTr="00672D2A">
        <w:tc>
          <w:tcPr>
            <w:tcW w:w="1591" w:type="dxa"/>
          </w:tcPr>
          <w:p w14:paraId="17882EEB"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460</w:t>
            </w:r>
          </w:p>
        </w:tc>
        <w:tc>
          <w:tcPr>
            <w:tcW w:w="7274" w:type="dxa"/>
          </w:tcPr>
          <w:p w14:paraId="5E7CA471"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Pr>
                <w:rStyle w:val="InstructionsTabelleberschrift"/>
                <w:rFonts w:ascii="Times New Roman" w:hAnsi="Times New Roman"/>
                <w:sz w:val="24"/>
              </w:rPr>
              <w:tab/>
              <w:t>Iznos izloženosti riziku za uplate u fond za neispunjene obveze središnje druge ugovorne strane</w:t>
            </w:r>
          </w:p>
          <w:p w14:paraId="6EBD704B" w14:textId="6EEA5880" w:rsidR="00802958" w:rsidRPr="00A30C4C"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Članci 307., 308. i 309. CRR-a</w:t>
            </w:r>
          </w:p>
        </w:tc>
      </w:tr>
      <w:tr w:rsidR="00802958" w:rsidRPr="00A30C4C" w14:paraId="2AE2CEF2" w14:textId="77777777" w:rsidTr="00672D2A">
        <w:tc>
          <w:tcPr>
            <w:tcW w:w="1591" w:type="dxa"/>
          </w:tcPr>
          <w:p w14:paraId="696FF1A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274" w:type="dxa"/>
          </w:tcPr>
          <w:p w14:paraId="06963085"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proofErr w:type="spellStart"/>
            <w:r>
              <w:rPr>
                <w:rStyle w:val="InstructionsTabelleberschrift"/>
                <w:rFonts w:ascii="Times New Roman" w:hAnsi="Times New Roman"/>
                <w:sz w:val="24"/>
              </w:rPr>
              <w:t>Sekuritizacijske</w:t>
            </w:r>
            <w:proofErr w:type="spellEnd"/>
            <w:r>
              <w:rPr>
                <w:rStyle w:val="InstructionsTabelleberschrift"/>
                <w:rFonts w:ascii="Times New Roman" w:hAnsi="Times New Roman"/>
                <w:sz w:val="24"/>
              </w:rPr>
              <w:t xml:space="preserve"> pozicije</w:t>
            </w:r>
          </w:p>
          <w:p w14:paraId="4AD00F2B" w14:textId="77777777" w:rsidR="00802958" w:rsidRPr="00A30C4C" w:rsidRDefault="00802958" w:rsidP="0080295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Vidjeti obrazac CR SEC</w:t>
            </w:r>
          </w:p>
        </w:tc>
      </w:tr>
      <w:tr w:rsidR="00802958" w:rsidRPr="00A30C4C" w14:paraId="2A0C5C37" w14:textId="77777777" w:rsidTr="00672D2A">
        <w:tc>
          <w:tcPr>
            <w:tcW w:w="1591" w:type="dxa"/>
          </w:tcPr>
          <w:p w14:paraId="5A29EA1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14:paraId="15063579" w14:textId="0196AF0C" w:rsidR="00802958" w:rsidRPr="00A30C4C" w:rsidRDefault="00802958" w:rsidP="00802958">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002B242C">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ZA NAMIRU/ISPORUKU</w:t>
            </w:r>
          </w:p>
          <w:p w14:paraId="2A3E1084" w14:textId="61AC8093" w:rsidR="00802958" w:rsidRPr="00A30C4C"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Članak 92. stavak 3. točka (c)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i članak 92. stavak 4, točka (b) CRR-a</w:t>
            </w:r>
          </w:p>
        </w:tc>
      </w:tr>
      <w:tr w:rsidR="00802958" w:rsidRPr="00A30C4C" w14:paraId="28339829" w14:textId="77777777" w:rsidTr="00672D2A">
        <w:tc>
          <w:tcPr>
            <w:tcW w:w="1591" w:type="dxa"/>
          </w:tcPr>
          <w:p w14:paraId="373A6FAA"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14:paraId="57DAA3C0"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Rizik namire/isporuke u knjizi pozicija kojima se ne trguje</w:t>
            </w:r>
          </w:p>
          <w:p w14:paraId="79C8D22A"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SETT</w:t>
            </w:r>
          </w:p>
        </w:tc>
      </w:tr>
      <w:tr w:rsidR="00802958" w:rsidRPr="00A30C4C" w14:paraId="1F3E6786" w14:textId="77777777" w:rsidTr="00672D2A">
        <w:tc>
          <w:tcPr>
            <w:tcW w:w="1591" w:type="dxa"/>
          </w:tcPr>
          <w:p w14:paraId="5E611CF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14:paraId="4EA0C875"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Pr>
                <w:rStyle w:val="InstructionsTabelleberschrift"/>
                <w:rFonts w:ascii="Times New Roman" w:hAnsi="Times New Roman"/>
                <w:sz w:val="24"/>
              </w:rPr>
              <w:tab/>
              <w:t>Rizik namire/isporuke u knjizi trgovanja</w:t>
            </w:r>
          </w:p>
          <w:p w14:paraId="09370819"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CR SETT</w:t>
            </w:r>
          </w:p>
        </w:tc>
      </w:tr>
      <w:tr w:rsidR="00802958" w:rsidRPr="00A30C4C" w14:paraId="34BD5148" w14:textId="77777777" w:rsidTr="00672D2A">
        <w:tc>
          <w:tcPr>
            <w:tcW w:w="1591" w:type="dxa"/>
          </w:tcPr>
          <w:p w14:paraId="38163B4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14:paraId="47EBC93C" w14:textId="30392356"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2B242C">
              <w:rPr>
                <w:rStyle w:val="InstructionsTabelleberschrift"/>
                <w:rFonts w:ascii="Times New Roman" w:hAnsi="Times New Roman"/>
                <w:sz w:val="24"/>
              </w:rPr>
              <w:t>.</w:t>
            </w:r>
            <w:r>
              <w:rPr>
                <w:rStyle w:val="InstructionsTabelleberschrift"/>
                <w:rFonts w:ascii="Times New Roman" w:hAnsi="Times New Roman"/>
                <w:sz w:val="24"/>
              </w:rPr>
              <w:tab/>
              <w:t xml:space="preserve">UKUPNI IZNOS IZLOŽENOSTI RIZIKU ZA POZICIJSKI, VALUTNI I ROBNI RIZIK </w:t>
            </w:r>
          </w:p>
          <w:p w14:paraId="3B93EB79" w14:textId="6232C6B1" w:rsidR="00802958" w:rsidRPr="00A30C4C" w:rsidRDefault="006A6822" w:rsidP="006A682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Članak 92. stavak 3.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 točka (c) </w:t>
            </w:r>
            <w:proofErr w:type="spellStart"/>
            <w:r>
              <w:rPr>
                <w:rStyle w:val="FormatvorlageInstructionsTabelleText"/>
                <w:rFonts w:ascii="Times New Roman" w:hAnsi="Times New Roman"/>
                <w:sz w:val="24"/>
              </w:rPr>
              <w:t>podtočke</w:t>
            </w:r>
            <w:proofErr w:type="spellEnd"/>
            <w:r>
              <w:rPr>
                <w:rStyle w:val="FormatvorlageInstructionsTabelleText"/>
                <w:rFonts w:ascii="Times New Roman" w:hAnsi="Times New Roman"/>
                <w:sz w:val="24"/>
              </w:rPr>
              <w:t xml:space="preserve"> i. i iii. i članak 92. stavak 4. točka (b) CRR-a</w:t>
            </w:r>
          </w:p>
        </w:tc>
      </w:tr>
      <w:tr w:rsidR="00802958" w:rsidRPr="00A30C4C" w14:paraId="101797D6" w14:textId="77777777" w:rsidTr="00672D2A">
        <w:tc>
          <w:tcPr>
            <w:tcW w:w="1591" w:type="dxa"/>
          </w:tcPr>
          <w:p w14:paraId="5DE4063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14:paraId="0FCEEAEF" w14:textId="5DBBB96F" w:rsidR="00802958" w:rsidRPr="00A30C4C" w:rsidRDefault="00802958" w:rsidP="006A682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002B242C">
              <w:rPr>
                <w:rStyle w:val="InstructionsTabelleberschrift"/>
                <w:rFonts w:ascii="Times New Roman" w:hAnsi="Times New Roman"/>
                <w:sz w:val="24"/>
              </w:rPr>
              <w:t>.</w:t>
            </w:r>
            <w:r>
              <w:rPr>
                <w:rStyle w:val="InstructionsTabelleberschrift"/>
                <w:rFonts w:ascii="Times New Roman" w:hAnsi="Times New Roman"/>
                <w:sz w:val="24"/>
              </w:rPr>
              <w:tab/>
              <w:t>Iznos izloženosti riziku za pozicijski, valutni i robni rizik u skladu sa standardiziranim pristupima</w:t>
            </w:r>
          </w:p>
        </w:tc>
      </w:tr>
      <w:tr w:rsidR="00802958" w:rsidRPr="00A30C4C" w14:paraId="71B9AAC6" w14:textId="77777777" w:rsidTr="00672D2A">
        <w:tc>
          <w:tcPr>
            <w:tcW w:w="1591" w:type="dxa"/>
          </w:tcPr>
          <w:p w14:paraId="7428AB61"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14:paraId="5743A2BF" w14:textId="3AFD1990"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002B242C">
              <w:rPr>
                <w:rStyle w:val="InstructionsTabelleberschrift"/>
                <w:rFonts w:ascii="Times New Roman" w:hAnsi="Times New Roman"/>
                <w:sz w:val="24"/>
              </w:rPr>
              <w:t>.</w:t>
            </w:r>
            <w:r>
              <w:rPr>
                <w:rStyle w:val="InstructionsTabelleberschrift"/>
                <w:rFonts w:ascii="Times New Roman" w:hAnsi="Times New Roman"/>
                <w:sz w:val="24"/>
              </w:rPr>
              <w:tab/>
              <w:t>Dužnički instrumenti kojima se trguje</w:t>
            </w:r>
          </w:p>
          <w:p w14:paraId="58C752A0"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Obrazac MKR SA TDI na razini ukupnih valuta.</w:t>
            </w:r>
          </w:p>
        </w:tc>
      </w:tr>
      <w:tr w:rsidR="00802958" w:rsidRPr="00A30C4C" w14:paraId="6585CC35" w14:textId="77777777" w:rsidTr="00672D2A">
        <w:tc>
          <w:tcPr>
            <w:tcW w:w="1591" w:type="dxa"/>
          </w:tcPr>
          <w:p w14:paraId="7AD96849"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14:paraId="0182AA31" w14:textId="70FBA359"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002B242C">
              <w:rPr>
                <w:rStyle w:val="InstructionsTabelleberschrift"/>
                <w:rFonts w:ascii="Times New Roman" w:hAnsi="Times New Roman"/>
                <w:sz w:val="24"/>
              </w:rPr>
              <w:t>.</w:t>
            </w:r>
            <w:r>
              <w:rPr>
                <w:rStyle w:val="InstructionsTabelleberschrift"/>
                <w:rFonts w:ascii="Times New Roman" w:hAnsi="Times New Roman"/>
                <w:sz w:val="24"/>
              </w:rPr>
              <w:tab/>
              <w:t>Vlasnička ulaganja</w:t>
            </w:r>
          </w:p>
          <w:p w14:paraId="0CC7BC0C"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Obrazac MKR SA EQU na razini ukupnih nacionalnih tržišta. </w:t>
            </w:r>
          </w:p>
        </w:tc>
      </w:tr>
      <w:tr w:rsidR="00802958" w:rsidRPr="00A30C4C" w14:paraId="1143A9BE" w14:textId="77777777" w:rsidTr="00672D2A">
        <w:tc>
          <w:tcPr>
            <w:tcW w:w="1591" w:type="dxa"/>
          </w:tcPr>
          <w:p w14:paraId="58F80D4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555</w:t>
            </w:r>
          </w:p>
        </w:tc>
        <w:tc>
          <w:tcPr>
            <w:tcW w:w="7274" w:type="dxa"/>
          </w:tcPr>
          <w:p w14:paraId="3F21E389" w14:textId="08CEE8FA"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2B242C">
              <w:rPr>
                <w:rStyle w:val="InstructionsTabelleberschrift"/>
                <w:rFonts w:ascii="Times New Roman" w:hAnsi="Times New Roman"/>
                <w:sz w:val="24"/>
              </w:rPr>
              <w:t>.</w:t>
            </w:r>
            <w:r>
              <w:rPr>
                <w:rStyle w:val="InstructionsTabelleberschrift"/>
                <w:rFonts w:ascii="Times New Roman" w:hAnsi="Times New Roman"/>
                <w:sz w:val="24"/>
              </w:rPr>
              <w:tab/>
              <w:t>Poseban pristup pozicijskom riziku za CIU</w:t>
            </w:r>
          </w:p>
          <w:p w14:paraId="1222E5F3" w14:textId="7CB7653C"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Članak 348. stavak 1., članak 350. stavak 3. točka (c) i članak 364. stavak 2. točka (a) CRR-a</w:t>
            </w:r>
          </w:p>
          <w:p w14:paraId="5FDC5352" w14:textId="6EB4C2F2"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Ukupni iznos izloženosti riziku za pozicije u CIU-u ako se kapitalni zahtjevi izračunavaju u skladu s člankom 348. stavkom 1. CRR-a odmah ili kao posljedica gornje granice iz članka 350. stavka 3. točke (c) CRR-a. U CRR-u te pozicije nisu izričito raspoređene u kamatni rizik ili rizik vlasničkih instrumenata.</w:t>
            </w:r>
          </w:p>
          <w:p w14:paraId="22756BE6" w14:textId="0054EDA3" w:rsidR="00802958" w:rsidRPr="00A30C4C"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Ako se primjenjuje poseban pristup propisan u članku 348. stavku 1. prvoj rečenici CRR-a, iskazuje se 32 % neto pozicije relevantne izloženosti CIU-a, pomnoženo s 12,5. </w:t>
            </w:r>
          </w:p>
          <w:p w14:paraId="0DB91ABE" w14:textId="7201BE64" w:rsidR="00802958" w:rsidRPr="00A30C4C"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Ako se primjenjuje poseban pristup propisan u članku 348. stavku 1. drugoj rečenici CRR-a, iskazuje se manje od 32 % neto pozicije relevantne izloženosti CIU-a ili razlika između 40 % navedene neto pozicije i kapitalnih zahtjeva koji proizlaze iz valutnog rizika povezanog s navedenom izloženosti CIU-a, ovisno o tome što je niže, pomnoženo s 12,5.</w:t>
            </w:r>
          </w:p>
        </w:tc>
      </w:tr>
      <w:tr w:rsidR="00802958" w:rsidRPr="00A30C4C" w14:paraId="5F8F466B" w14:textId="77777777" w:rsidTr="00672D2A">
        <w:tc>
          <w:tcPr>
            <w:tcW w:w="1591" w:type="dxa"/>
          </w:tcPr>
          <w:p w14:paraId="6BD392C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556</w:t>
            </w:r>
          </w:p>
        </w:tc>
        <w:tc>
          <w:tcPr>
            <w:tcW w:w="7274" w:type="dxa"/>
          </w:tcPr>
          <w:p w14:paraId="2EB28AFA"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Bilješka: CIU-ovi isključivo uloženi u dužničke instrumente kojima se trguje</w:t>
            </w:r>
          </w:p>
          <w:p w14:paraId="128A5298" w14:textId="77777777" w:rsidR="00802958" w:rsidRPr="00A30C4C"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Ukupni iznos izloženosti riziku za pozicije u CIU-u ako je CIU isključivo uložen u instrumente koji podliježu kamatnom riziku.</w:t>
            </w:r>
          </w:p>
        </w:tc>
      </w:tr>
      <w:tr w:rsidR="00802958" w:rsidRPr="00A30C4C" w14:paraId="00A25B82" w14:textId="77777777" w:rsidTr="00672D2A">
        <w:tc>
          <w:tcPr>
            <w:tcW w:w="1591" w:type="dxa"/>
          </w:tcPr>
          <w:p w14:paraId="168D4F5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14:paraId="462A6A1E"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Pr>
                <w:rStyle w:val="InstructionsTabelleberschrift"/>
                <w:rFonts w:ascii="Times New Roman" w:hAnsi="Times New Roman"/>
                <w:sz w:val="24"/>
              </w:rPr>
              <w:tab/>
              <w:t>CIU-ovi isključivo uloženi u vlasničke instrumente ili mješovite instrumente</w:t>
            </w:r>
          </w:p>
          <w:p w14:paraId="6435D7BD" w14:textId="77777777" w:rsidR="00802958" w:rsidRPr="00A30C4C"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Ukupni iznos izloženosti riziku za pozicije u CIU-u ako je CIU isključivo uložen u instrumente koji podliježu riziku vlasničkih instrumenata ili u mješovite instrumente ili ako nisu poznati sastavni dijelovi CIU-a.</w:t>
            </w:r>
          </w:p>
        </w:tc>
      </w:tr>
      <w:tr w:rsidR="00802958" w:rsidRPr="00A30C4C" w14:paraId="0B1079E2" w14:textId="77777777" w:rsidTr="00672D2A">
        <w:tc>
          <w:tcPr>
            <w:tcW w:w="1591" w:type="dxa"/>
          </w:tcPr>
          <w:p w14:paraId="6F9D48A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14:paraId="7FF8A12E" w14:textId="23F5D5B3"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002B242C">
              <w:rPr>
                <w:rStyle w:val="InstructionsTabelleberschrift"/>
                <w:rFonts w:ascii="Times New Roman" w:hAnsi="Times New Roman"/>
                <w:sz w:val="24"/>
              </w:rPr>
              <w:t>.</w:t>
            </w:r>
            <w:r>
              <w:rPr>
                <w:rStyle w:val="InstructionsTabelleberschrift"/>
                <w:rFonts w:ascii="Times New Roman" w:hAnsi="Times New Roman"/>
                <w:sz w:val="24"/>
              </w:rPr>
              <w:tab/>
              <w:t>Strane valute</w:t>
            </w:r>
          </w:p>
          <w:p w14:paraId="004C52C8"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SA FX</w:t>
            </w:r>
          </w:p>
        </w:tc>
      </w:tr>
      <w:tr w:rsidR="00802958" w:rsidRPr="00A30C4C" w14:paraId="3FFD78A9" w14:textId="77777777" w:rsidTr="00672D2A">
        <w:tc>
          <w:tcPr>
            <w:tcW w:w="1591" w:type="dxa"/>
          </w:tcPr>
          <w:p w14:paraId="1220819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14:paraId="0417247C" w14:textId="3788B003"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002B242C">
              <w:rPr>
                <w:rStyle w:val="InstructionsTabelleberschrift"/>
                <w:rFonts w:ascii="Times New Roman" w:hAnsi="Times New Roman"/>
                <w:sz w:val="24"/>
              </w:rPr>
              <w:t>.</w:t>
            </w:r>
            <w:r>
              <w:rPr>
                <w:rStyle w:val="InstructionsTabelleberschrift"/>
                <w:rFonts w:ascii="Times New Roman" w:hAnsi="Times New Roman"/>
                <w:sz w:val="24"/>
              </w:rPr>
              <w:tab/>
              <w:t>Roba</w:t>
            </w:r>
          </w:p>
          <w:p w14:paraId="06DF4F9A"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SA COM</w:t>
            </w:r>
          </w:p>
        </w:tc>
      </w:tr>
      <w:tr w:rsidR="00802958" w:rsidRPr="00A30C4C" w14:paraId="196BE463" w14:textId="77777777" w:rsidTr="00672D2A">
        <w:tc>
          <w:tcPr>
            <w:tcW w:w="1591" w:type="dxa"/>
          </w:tcPr>
          <w:p w14:paraId="7A0AC5F1"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14:paraId="0A58AF48" w14:textId="1133A136"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002B242C">
              <w:rPr>
                <w:rStyle w:val="InstructionsTabelleberschrift"/>
                <w:rFonts w:ascii="Times New Roman" w:hAnsi="Times New Roman"/>
                <w:sz w:val="24"/>
              </w:rPr>
              <w:t>.</w:t>
            </w:r>
            <w:r>
              <w:rPr>
                <w:rStyle w:val="InstructionsTabelleberschrift"/>
                <w:rFonts w:ascii="Times New Roman" w:hAnsi="Times New Roman"/>
                <w:sz w:val="24"/>
              </w:rPr>
              <w:tab/>
              <w:t>Iznos izloženosti riziku za pozicijski, valutni i robni rizik u skladu s internim modelima</w:t>
            </w:r>
          </w:p>
          <w:p w14:paraId="07491309"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MKR IM.</w:t>
            </w:r>
          </w:p>
        </w:tc>
      </w:tr>
      <w:tr w:rsidR="00802958" w:rsidRPr="00A30C4C" w14:paraId="5E3B4D02" w14:textId="77777777" w:rsidTr="00672D2A">
        <w:tc>
          <w:tcPr>
            <w:tcW w:w="1591" w:type="dxa"/>
          </w:tcPr>
          <w:p w14:paraId="5B257292"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14:paraId="46A92541" w14:textId="3290F1BD"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002B242C">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ZA OPERATIVNI RIZIK</w:t>
            </w:r>
          </w:p>
          <w:p w14:paraId="6206FCC3" w14:textId="539D7F6E" w:rsidR="00802958" w:rsidRPr="00A30C4C" w:rsidRDefault="006A6822"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Članak 92. stavak 3. točka (e) i članak 92. stavak 4. točka (b) CRR-a</w:t>
            </w:r>
          </w:p>
          <w:p w14:paraId="411BAFFD" w14:textId="08CAFBE8" w:rsidR="00802958" w:rsidRPr="00A30C4C"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Za investicijska društva u skladu s člankom 95. stavkom 2., člankom 96. stavkom 2. i člankom 98. CRR-a ovaj element jednak je nuli.</w:t>
            </w:r>
          </w:p>
        </w:tc>
      </w:tr>
      <w:tr w:rsidR="00802958" w:rsidRPr="00A30C4C" w14:paraId="4900037A" w14:textId="77777777" w:rsidTr="00672D2A">
        <w:tc>
          <w:tcPr>
            <w:tcW w:w="1591" w:type="dxa"/>
          </w:tcPr>
          <w:p w14:paraId="2406263C"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14:paraId="1AF5A3D7" w14:textId="2623E146" w:rsidR="00802958" w:rsidRPr="00A30C4C" w:rsidRDefault="00802958" w:rsidP="0080295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002B242C">
              <w:rPr>
                <w:rStyle w:val="InstructionsTabelleberschrift"/>
                <w:rFonts w:ascii="Times New Roman" w:hAnsi="Times New Roman"/>
                <w:sz w:val="24"/>
              </w:rPr>
              <w:t>.</w:t>
            </w:r>
            <w:r>
              <w:rPr>
                <w:rStyle w:val="InstructionsTabelleberschrift"/>
                <w:rFonts w:ascii="Times New Roman" w:hAnsi="Times New Roman"/>
                <w:sz w:val="24"/>
              </w:rPr>
              <w:tab/>
              <w:t>Jednostavni pristup operativnom riziku</w:t>
            </w:r>
          </w:p>
          <w:p w14:paraId="5C9B32FD"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A30C4C" w14:paraId="4C21A175" w14:textId="77777777" w:rsidTr="00672D2A">
        <w:tc>
          <w:tcPr>
            <w:tcW w:w="1591" w:type="dxa"/>
          </w:tcPr>
          <w:p w14:paraId="20924AEB"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610</w:t>
            </w:r>
          </w:p>
        </w:tc>
        <w:tc>
          <w:tcPr>
            <w:tcW w:w="7274" w:type="dxa"/>
          </w:tcPr>
          <w:p w14:paraId="2750ECEB" w14:textId="05FCB84D"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002B242C">
              <w:rPr>
                <w:rStyle w:val="InstructionsTabelleberschrift"/>
                <w:rFonts w:ascii="Times New Roman" w:hAnsi="Times New Roman"/>
                <w:sz w:val="24"/>
              </w:rPr>
              <w:t>.</w:t>
            </w:r>
            <w:r>
              <w:rPr>
                <w:rStyle w:val="InstructionsTabelleberschrift"/>
                <w:rFonts w:ascii="Times New Roman" w:hAnsi="Times New Roman"/>
                <w:sz w:val="24"/>
              </w:rPr>
              <w:tab/>
              <w:t>Standardizirani/Alternativni standardizirani pristup operativnom riziku</w:t>
            </w:r>
          </w:p>
          <w:p w14:paraId="669DBB26"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A30C4C" w14:paraId="48959B8B" w14:textId="77777777" w:rsidTr="00672D2A">
        <w:tc>
          <w:tcPr>
            <w:tcW w:w="1591" w:type="dxa"/>
          </w:tcPr>
          <w:p w14:paraId="413BDA9F"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14:paraId="303EECCA" w14:textId="61D54F98"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002B242C">
              <w:rPr>
                <w:rStyle w:val="InstructionsTabelleberschrift"/>
                <w:rFonts w:ascii="Times New Roman" w:hAnsi="Times New Roman"/>
                <w:sz w:val="24"/>
              </w:rPr>
              <w:t>.</w:t>
            </w:r>
            <w:r>
              <w:rPr>
                <w:rStyle w:val="InstructionsTabelleberschrift"/>
                <w:rFonts w:ascii="Times New Roman" w:hAnsi="Times New Roman"/>
                <w:sz w:val="24"/>
              </w:rPr>
              <w:tab/>
              <w:t>Napredni pristupi operativnom riziku</w:t>
            </w:r>
          </w:p>
          <w:p w14:paraId="790ED1DA"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OPR</w:t>
            </w:r>
          </w:p>
        </w:tc>
      </w:tr>
      <w:tr w:rsidR="00802958" w:rsidRPr="00A30C4C" w14:paraId="0B82BF31" w14:textId="77777777" w:rsidTr="00672D2A">
        <w:tc>
          <w:tcPr>
            <w:tcW w:w="1591" w:type="dxa"/>
          </w:tcPr>
          <w:p w14:paraId="2E7D0D5F"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14:paraId="0E76C23E" w14:textId="57064246"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002B242C">
              <w:rPr>
                <w:rStyle w:val="InstructionsTabelleberschrift"/>
                <w:rFonts w:ascii="Times New Roman" w:hAnsi="Times New Roman"/>
                <w:sz w:val="24"/>
              </w:rPr>
              <w:t>.</w:t>
            </w:r>
            <w:r>
              <w:rPr>
                <w:rStyle w:val="InstructionsTabelleberschrift"/>
                <w:rFonts w:ascii="Times New Roman" w:hAnsi="Times New Roman"/>
                <w:sz w:val="24"/>
              </w:rPr>
              <w:tab/>
              <w:t>DODATNI IZNOS IZLOŽENOSTI RIZIKU ZBOG FIKSNIH OPĆIH TROŠKOVA</w:t>
            </w:r>
          </w:p>
          <w:p w14:paraId="7D0677FF" w14:textId="2B6572EA"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Članak 95. stavak 2. i članak 96. stavak 2., članak 97. i članak 98. stavak 1. točka (a) CRR-a</w:t>
            </w:r>
          </w:p>
          <w:p w14:paraId="7C3669AB" w14:textId="6B7579E2"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Samo za investicijska društva u skladu s člankom 95. stavkom 2., člankom 96. stavkom 2. i člankom 98. CRR-a. Vidjeti i članak 97. CRR-a </w:t>
            </w:r>
          </w:p>
          <w:p w14:paraId="4E80C506" w14:textId="14D1BA6E"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Investicijska društva u skladu s člankom 96. CRR-a iskazuju iznos iz članka 97. pomnožen s 12,5.</w:t>
            </w:r>
          </w:p>
          <w:p w14:paraId="3D13536B" w14:textId="4CE9D405"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Investicijska društva u skladu s člankom 95. CRR-a iskazuju:</w:t>
            </w:r>
          </w:p>
          <w:p w14:paraId="2973FA5A" w14:textId="1BC320A5"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Arial" w:hAnsi="Arial"/>
                <w:sz w:val="24"/>
              </w:rPr>
              <w:t>-</w:t>
            </w:r>
            <w:r>
              <w:rPr>
                <w:rStyle w:val="FormatvorlageInstructionsTabelleText"/>
                <w:rFonts w:ascii="Arial" w:hAnsi="Arial"/>
                <w:sz w:val="24"/>
              </w:rPr>
              <w:tab/>
            </w:r>
            <w:r w:rsidR="002B242C">
              <w:rPr>
                <w:rStyle w:val="FormatvorlageInstructionsTabelleText"/>
                <w:rFonts w:ascii="Times New Roman" w:hAnsi="Times New Roman"/>
                <w:sz w:val="24"/>
              </w:rPr>
              <w:t>a</w:t>
            </w:r>
            <w:r>
              <w:rPr>
                <w:rStyle w:val="FormatvorlageInstructionsTabelleText"/>
                <w:rFonts w:ascii="Times New Roman" w:hAnsi="Times New Roman"/>
                <w:sz w:val="24"/>
              </w:rPr>
              <w:t>ko je</w:t>
            </w:r>
            <w:r>
              <w:t xml:space="preserve"> iznos</w:t>
            </w:r>
            <w:r>
              <w:rPr>
                <w:rStyle w:val="FormatvorlageInstructionsTabelleText"/>
                <w:rFonts w:ascii="Times New Roman" w:hAnsi="Times New Roman"/>
                <w:sz w:val="24"/>
              </w:rPr>
              <w:t xml:space="preserve"> iz članka 95. stavka 2. točke (a) CRR-a viši od iznosa iz članka 95. stavka 2. točke (b) CRR-a, iskazuje se nula.</w:t>
            </w:r>
          </w:p>
          <w:p w14:paraId="6158174D" w14:textId="6644AA25" w:rsidR="00802958" w:rsidRPr="00A30C4C" w:rsidRDefault="00802958" w:rsidP="006A6822">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rPr>
                <w:rStyle w:val="FormatvorlageInstructionsTabelleText"/>
                <w:rFonts w:ascii="Arial" w:hAnsi="Arial"/>
                <w:sz w:val="24"/>
              </w:rPr>
              <w:tab/>
            </w:r>
            <w:r w:rsidR="002B242C">
              <w:rPr>
                <w:rStyle w:val="FormatvorlageInstructionsTabelleText"/>
                <w:rFonts w:ascii="Times New Roman" w:hAnsi="Times New Roman"/>
                <w:sz w:val="24"/>
              </w:rPr>
              <w:t>a</w:t>
            </w:r>
            <w:r>
              <w:rPr>
                <w:rStyle w:val="FormatvorlageInstructionsTabelleText"/>
                <w:rFonts w:ascii="Times New Roman" w:hAnsi="Times New Roman"/>
                <w:sz w:val="24"/>
              </w:rPr>
              <w:t>ko je</w:t>
            </w:r>
            <w:r>
              <w:t xml:space="preserve"> iznos</w:t>
            </w:r>
            <w:r>
              <w:rPr>
                <w:rStyle w:val="FormatvorlageInstructionsTabelleText"/>
                <w:rFonts w:ascii="Times New Roman" w:hAnsi="Times New Roman"/>
                <w:sz w:val="24"/>
              </w:rPr>
              <w:t xml:space="preserve"> iz članka 95. stavka 2. točke (b) CRR-a viši od iznosa iz članka 95. stavka 2. točke (a) CRR-a, iznos koji se iskazuje rezultat je oduzimanja potonjeg iznosa od prethodnog. </w:t>
            </w:r>
          </w:p>
        </w:tc>
      </w:tr>
      <w:tr w:rsidR="00802958" w:rsidRPr="00A30C4C" w14:paraId="74E989F8" w14:textId="77777777" w:rsidTr="00672D2A">
        <w:tc>
          <w:tcPr>
            <w:tcW w:w="1591" w:type="dxa"/>
          </w:tcPr>
          <w:p w14:paraId="31ED6297"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640</w:t>
            </w:r>
          </w:p>
        </w:tc>
        <w:tc>
          <w:tcPr>
            <w:tcW w:w="7274" w:type="dxa"/>
          </w:tcPr>
          <w:p w14:paraId="7AEBFFA3" w14:textId="03E1043D"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rsidR="006013D5">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ZA PRILAGODBU KREDITNOM VREDNOVANJU</w:t>
            </w:r>
          </w:p>
          <w:p w14:paraId="4ABB06AD" w14:textId="3EFD469C" w:rsidR="00E3279F" w:rsidRDefault="006A6822" w:rsidP="006A682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92. stavak 3. točka (d) CRR-a</w:t>
            </w:r>
          </w:p>
          <w:p w14:paraId="03FBFB6F" w14:textId="02BD4349" w:rsidR="00802958" w:rsidRPr="00A30C4C" w:rsidRDefault="00802958" w:rsidP="00E327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Vidjeti obrazac CVA.</w:t>
            </w:r>
            <w:r>
              <w:rPr>
                <w:rStyle w:val="FormatvorlageInstructionsTabelleText"/>
                <w:rFonts w:ascii="Times New Roman" w:hAnsi="Times New Roman"/>
                <w:sz w:val="24"/>
              </w:rPr>
              <w:t xml:space="preserve"> </w:t>
            </w:r>
          </w:p>
        </w:tc>
      </w:tr>
      <w:tr w:rsidR="00802958" w:rsidRPr="00A30C4C" w14:paraId="6E44CB89" w14:textId="77777777" w:rsidTr="00672D2A">
        <w:tc>
          <w:tcPr>
            <w:tcW w:w="1591" w:type="dxa"/>
          </w:tcPr>
          <w:p w14:paraId="3E5ED539"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14:paraId="5726B55C" w14:textId="50711FCD" w:rsidR="00802958" w:rsidRPr="00A30C4C" w:rsidRDefault="00802958" w:rsidP="0080295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006013D5">
              <w:rPr>
                <w:rStyle w:val="InstructionsTabelleberschrift"/>
                <w:rFonts w:ascii="Times New Roman" w:hAnsi="Times New Roman"/>
                <w:sz w:val="24"/>
              </w:rPr>
              <w:t>.</w:t>
            </w:r>
            <w:r>
              <w:rPr>
                <w:rStyle w:val="InstructionsTabelleberschrift"/>
                <w:rFonts w:ascii="Times New Roman" w:hAnsi="Times New Roman"/>
                <w:sz w:val="24"/>
              </w:rPr>
              <w:tab/>
              <w:t>Napredna metoda</w:t>
            </w:r>
          </w:p>
          <w:p w14:paraId="03087978" w14:textId="51067197" w:rsidR="001E3EF1"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Kapitalni zahtjevi za rizik prilagodbe kreditnom vrednovanju u skladu s člankom 383. CRR-a.</w:t>
            </w:r>
          </w:p>
          <w:p w14:paraId="7728AB69" w14:textId="7F4084C5"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CVA.</w:t>
            </w:r>
          </w:p>
        </w:tc>
      </w:tr>
      <w:tr w:rsidR="00802958" w:rsidRPr="00A30C4C" w14:paraId="0434AAFF" w14:textId="77777777" w:rsidTr="00672D2A">
        <w:tc>
          <w:tcPr>
            <w:tcW w:w="1591" w:type="dxa"/>
          </w:tcPr>
          <w:p w14:paraId="6041495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14:paraId="43A88C11" w14:textId="16775F5E" w:rsidR="00802958" w:rsidRPr="00A30C4C" w:rsidRDefault="00802958" w:rsidP="0080295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006013D5">
              <w:rPr>
                <w:rStyle w:val="InstructionsTabelleberschrift"/>
                <w:rFonts w:ascii="Times New Roman" w:hAnsi="Times New Roman"/>
                <w:sz w:val="24"/>
              </w:rPr>
              <w:t>.</w:t>
            </w:r>
            <w:r>
              <w:rPr>
                <w:rStyle w:val="InstructionsTabelleberschrift"/>
                <w:rFonts w:ascii="Times New Roman" w:hAnsi="Times New Roman"/>
                <w:sz w:val="24"/>
              </w:rPr>
              <w:tab/>
              <w:t>Standardizirana metoda</w:t>
            </w:r>
          </w:p>
          <w:p w14:paraId="341237C0" w14:textId="4EC15FF8" w:rsidR="001E3EF1"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Kapitalni zahtjevi za rizik prilagodbe kreditnom vrednovanju u skladu s člankom 384. CRR-a. </w:t>
            </w:r>
          </w:p>
          <w:p w14:paraId="39F196D8"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Vidjeti obrazac CVA.</w:t>
            </w:r>
          </w:p>
        </w:tc>
      </w:tr>
      <w:tr w:rsidR="00802958" w:rsidRPr="00A30C4C" w14:paraId="18F81D0E" w14:textId="77777777" w:rsidTr="00672D2A">
        <w:tc>
          <w:tcPr>
            <w:tcW w:w="1591" w:type="dxa"/>
          </w:tcPr>
          <w:p w14:paraId="7390B9E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14:paraId="12388E6A"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Pr>
                <w:rStyle w:val="InstructionsTabelleberschrift"/>
                <w:rFonts w:ascii="Times New Roman" w:hAnsi="Times New Roman"/>
                <w:sz w:val="24"/>
              </w:rPr>
              <w:tab/>
              <w:t>Na temelju metode originalne izloženosti</w:t>
            </w:r>
          </w:p>
          <w:p w14:paraId="1EBC34AD" w14:textId="65A14F84" w:rsidR="001E3EF1"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Kapitalni zahtjevi za rizik prilagodbe kreditnom vrednovanju u skladu s člankom 385. CRR-a. </w:t>
            </w:r>
          </w:p>
          <w:p w14:paraId="353DA538" w14:textId="77777777" w:rsidR="00802958" w:rsidRPr="00A30C4C" w:rsidRDefault="00802958" w:rsidP="00802958">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Vidjeti obrazac CVA.</w:t>
            </w:r>
          </w:p>
        </w:tc>
      </w:tr>
      <w:tr w:rsidR="00802958" w:rsidRPr="00A30C4C" w14:paraId="7F433145" w14:textId="77777777" w:rsidTr="00672D2A">
        <w:tc>
          <w:tcPr>
            <w:tcW w:w="1591" w:type="dxa"/>
          </w:tcPr>
          <w:p w14:paraId="017F4F0C"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680</w:t>
            </w:r>
          </w:p>
        </w:tc>
        <w:tc>
          <w:tcPr>
            <w:tcW w:w="7274" w:type="dxa"/>
          </w:tcPr>
          <w:p w14:paraId="0C08323D" w14:textId="5EB9DB58" w:rsidR="00802958" w:rsidRPr="00A30C4C" w:rsidRDefault="00802958" w:rsidP="00802958">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006013D5">
              <w:rPr>
                <w:rStyle w:val="InstructionsTabelleberschrift"/>
                <w:rFonts w:ascii="Times New Roman" w:hAnsi="Times New Roman"/>
                <w:sz w:val="24"/>
              </w:rPr>
              <w:t>.</w:t>
            </w:r>
            <w:r>
              <w:rPr>
                <w:rStyle w:val="InstructionsTabelleberschrift"/>
                <w:rFonts w:ascii="Times New Roman" w:hAnsi="Times New Roman"/>
                <w:sz w:val="24"/>
              </w:rPr>
              <w:tab/>
              <w:t>UKUPNI IZNOS IZLOŽENOSTI RIZIKU POVEZAN S VELIKIM IZLOŽENOSTIMA KOJE PROIZLAZE IZ STAVKI U KNJIZI TRGOVANJA</w:t>
            </w:r>
          </w:p>
          <w:p w14:paraId="317C0E73" w14:textId="566491CD" w:rsidR="00802958" w:rsidRPr="00A30C4C" w:rsidRDefault="006A6822" w:rsidP="006A682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Članak 92. stavak 3. točka (b) </w:t>
            </w:r>
            <w:proofErr w:type="spellStart"/>
            <w:r>
              <w:rPr>
                <w:rStyle w:val="FormatvorlageInstructionsTabelleText"/>
                <w:rFonts w:ascii="Times New Roman" w:hAnsi="Times New Roman"/>
                <w:sz w:val="24"/>
              </w:rPr>
              <w:t>podtočka</w:t>
            </w:r>
            <w:proofErr w:type="spellEnd"/>
            <w:r>
              <w:rPr>
                <w:rStyle w:val="FormatvorlageInstructionsTabelleText"/>
                <w:rFonts w:ascii="Times New Roman" w:hAnsi="Times New Roman"/>
                <w:sz w:val="24"/>
              </w:rPr>
              <w:t xml:space="preserve"> ii. i članci od 395. do 401. CRR-a</w:t>
            </w:r>
          </w:p>
        </w:tc>
      </w:tr>
      <w:tr w:rsidR="00802958" w:rsidRPr="00A30C4C" w14:paraId="5CF4A89A" w14:textId="77777777" w:rsidTr="00672D2A">
        <w:tc>
          <w:tcPr>
            <w:tcW w:w="1591" w:type="dxa"/>
          </w:tcPr>
          <w:p w14:paraId="4FC6244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14:paraId="7F6BACB5" w14:textId="4049CB59"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006013D5">
              <w:rPr>
                <w:rStyle w:val="InstructionsTabelleberschrift"/>
                <w:rFonts w:ascii="Times New Roman" w:hAnsi="Times New Roman"/>
                <w:sz w:val="24"/>
              </w:rPr>
              <w:t>.</w:t>
            </w:r>
            <w:r>
              <w:rPr>
                <w:rStyle w:val="InstructionsTabelleberschrift"/>
                <w:rFonts w:ascii="Times New Roman" w:hAnsi="Times New Roman"/>
                <w:sz w:val="24"/>
              </w:rPr>
              <w:tab/>
              <w:t>OSTALI IZNOSI IZLOŽENOSTI RIZIKU</w:t>
            </w:r>
          </w:p>
          <w:p w14:paraId="60CD9CEE" w14:textId="6B3A599C"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Članci 3., 458. i 459. CRR-a i iznosi izloženosti riziku koji se ne mogu rasporediti u jednu od stavki od 1.1. do 1.7. </w:t>
            </w:r>
          </w:p>
          <w:p w14:paraId="4B0A35FF" w14:textId="77777777"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Institucije iskazuju iznose koji trebaju ispunjavati sljedeće:</w:t>
            </w:r>
          </w:p>
          <w:p w14:paraId="61C641D0" w14:textId="388CA457"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strože bonitetne zahtjeve koje je odredila Komisija, u skladu s člancima 458. i 459. CRR-a </w:t>
            </w:r>
          </w:p>
          <w:p w14:paraId="0DD7C206" w14:textId="77777777"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dodatni iznos izloženosti riziku u skladu s člankom 3. CRR-a</w:t>
            </w:r>
          </w:p>
          <w:p w14:paraId="293B2484" w14:textId="77777777" w:rsidR="00802958" w:rsidRPr="00A30C4C" w:rsidRDefault="00802958" w:rsidP="00802958">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Ova stavka nema poveznicu na obrazac s detaljnim podacima. </w:t>
            </w:r>
          </w:p>
        </w:tc>
      </w:tr>
      <w:tr w:rsidR="00802958" w:rsidRPr="00A30C4C" w14:paraId="118D557D" w14:textId="77777777" w:rsidTr="00672D2A">
        <w:tc>
          <w:tcPr>
            <w:tcW w:w="1591" w:type="dxa"/>
          </w:tcPr>
          <w:p w14:paraId="30F5152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14:paraId="453A5B81" w14:textId="5E83B02E"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006013D5">
              <w:rPr>
                <w:rStyle w:val="InstructionsTabelleberschrift"/>
                <w:rFonts w:ascii="Times New Roman" w:hAnsi="Times New Roman"/>
                <w:sz w:val="24"/>
              </w:rPr>
              <w:t>.</w:t>
            </w:r>
            <w:r>
              <w:rPr>
                <w:rStyle w:val="InstructionsTabelleberschrift"/>
                <w:rFonts w:ascii="Times New Roman" w:hAnsi="Times New Roman"/>
                <w:sz w:val="24"/>
              </w:rPr>
              <w:tab/>
              <w:t>Od čega: dodatni stroži bonitetni zahtjevi na temelju članka 458. CRR-a</w:t>
            </w:r>
          </w:p>
          <w:p w14:paraId="6AD53CE0" w14:textId="06898263" w:rsidR="00802958" w:rsidRPr="00A30C4C" w:rsidRDefault="00802958" w:rsidP="0080295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Članak 458. CRR-a</w:t>
            </w:r>
          </w:p>
        </w:tc>
      </w:tr>
      <w:tr w:rsidR="00802958" w:rsidRPr="00A30C4C" w14:paraId="695B749E" w14:textId="77777777" w:rsidTr="00672D2A">
        <w:tc>
          <w:tcPr>
            <w:tcW w:w="1591" w:type="dxa"/>
          </w:tcPr>
          <w:p w14:paraId="7615567A"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14:paraId="2BA37DC2" w14:textId="09CE167A" w:rsidR="00802958" w:rsidRPr="00A30C4C" w:rsidRDefault="00802958" w:rsidP="00802958">
            <w:pPr>
              <w:pStyle w:val="InstructionsText"/>
            </w:pPr>
            <w:r>
              <w:rPr>
                <w:rStyle w:val="InstructionsTabelleberschrift"/>
                <w:rFonts w:ascii="Times New Roman" w:hAnsi="Times New Roman"/>
                <w:sz w:val="24"/>
              </w:rPr>
              <w:t>1.8.2</w:t>
            </w:r>
            <w:r w:rsidR="006013D5">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zahtjevi za velike izloženosti</w:t>
            </w:r>
          </w:p>
          <w:p w14:paraId="3A1C43A2" w14:textId="645BCF34" w:rsidR="00802958" w:rsidRPr="00A30C4C" w:rsidRDefault="00802958" w:rsidP="00802958">
            <w:pPr>
              <w:pStyle w:val="InstructionsText"/>
              <w:rPr>
                <w:rStyle w:val="InstructionsTabelleberschrift"/>
                <w:rFonts w:ascii="Times New Roman" w:hAnsi="Times New Roman"/>
                <w:sz w:val="24"/>
              </w:rPr>
            </w:pPr>
            <w:r>
              <w:t>Članak 458. CRR-a</w:t>
            </w:r>
          </w:p>
        </w:tc>
      </w:tr>
      <w:tr w:rsidR="00802958" w:rsidRPr="00A30C4C" w14:paraId="4806BF13" w14:textId="77777777" w:rsidTr="00672D2A">
        <w:tc>
          <w:tcPr>
            <w:tcW w:w="1591" w:type="dxa"/>
          </w:tcPr>
          <w:p w14:paraId="7495B84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730</w:t>
            </w:r>
          </w:p>
        </w:tc>
        <w:tc>
          <w:tcPr>
            <w:tcW w:w="7274" w:type="dxa"/>
          </w:tcPr>
          <w:p w14:paraId="2ECB3E55" w14:textId="4F1FC8E4" w:rsidR="00802958" w:rsidRPr="00A30C4C" w:rsidRDefault="00802958" w:rsidP="00802958">
            <w:pPr>
              <w:pStyle w:val="InstructionsText"/>
            </w:pPr>
            <w:r>
              <w:rPr>
                <w:rStyle w:val="InstructionsTabelleberschrift"/>
                <w:rFonts w:ascii="Times New Roman" w:hAnsi="Times New Roman"/>
                <w:sz w:val="24"/>
              </w:rPr>
              <w:t>1.8.2</w:t>
            </w:r>
            <w:r w:rsidR="006013D5">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Od čega: na temelju modificiranih pondera rizika za </w:t>
            </w:r>
            <w:proofErr w:type="spellStart"/>
            <w:r>
              <w:rPr>
                <w:rStyle w:val="InstructionsTabelleberschrift"/>
                <w:rFonts w:ascii="Times New Roman" w:hAnsi="Times New Roman"/>
                <w:sz w:val="24"/>
              </w:rPr>
              <w:t>nekretninske</w:t>
            </w:r>
            <w:proofErr w:type="spellEnd"/>
            <w:r>
              <w:rPr>
                <w:rStyle w:val="InstructionsTabelleberschrift"/>
                <w:rFonts w:ascii="Times New Roman" w:hAnsi="Times New Roman"/>
                <w:sz w:val="24"/>
              </w:rPr>
              <w:t xml:space="preserve"> balone u sektoru stambenih i poslovnih nekretnina</w:t>
            </w:r>
          </w:p>
          <w:p w14:paraId="462301BE" w14:textId="3128E36B" w:rsidR="00802958" w:rsidRPr="00A30C4C" w:rsidRDefault="00802958" w:rsidP="00802958">
            <w:pPr>
              <w:pStyle w:val="InstructionsText"/>
              <w:rPr>
                <w:rStyle w:val="InstructionsTabelleberschrift"/>
                <w:rFonts w:ascii="Times New Roman" w:hAnsi="Times New Roman"/>
                <w:sz w:val="24"/>
              </w:rPr>
            </w:pPr>
            <w:r>
              <w:t>Članak 458. CRR-a</w:t>
            </w:r>
          </w:p>
        </w:tc>
      </w:tr>
      <w:tr w:rsidR="00802958" w:rsidRPr="00A30C4C" w14:paraId="02369509" w14:textId="77777777" w:rsidTr="00672D2A">
        <w:tc>
          <w:tcPr>
            <w:tcW w:w="1591" w:type="dxa"/>
          </w:tcPr>
          <w:p w14:paraId="45DD08B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14:paraId="4BA3C233" w14:textId="107B7294" w:rsidR="00802958" w:rsidRPr="00A30C4C" w:rsidRDefault="00802958" w:rsidP="00802958">
            <w:pPr>
              <w:pStyle w:val="InstructionsText"/>
            </w:pPr>
            <w:r>
              <w:rPr>
                <w:rStyle w:val="InstructionsTabelleberschrift"/>
                <w:rFonts w:ascii="Times New Roman" w:hAnsi="Times New Roman"/>
                <w:sz w:val="24"/>
              </w:rPr>
              <w:t>1.8.2</w:t>
            </w:r>
            <w:r w:rsidR="006013D5">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zbog izloženosti unutar financijskog sektora</w:t>
            </w:r>
          </w:p>
          <w:p w14:paraId="645DEC14" w14:textId="08A95E6F" w:rsidR="00802958" w:rsidRPr="00A30C4C" w:rsidRDefault="00802958" w:rsidP="00802958">
            <w:pPr>
              <w:pStyle w:val="InstructionsText"/>
              <w:rPr>
                <w:rStyle w:val="InstructionsTabelleberschrift"/>
                <w:rFonts w:ascii="Times New Roman" w:hAnsi="Times New Roman"/>
                <w:sz w:val="24"/>
              </w:rPr>
            </w:pPr>
            <w:r>
              <w:t>Članak 458. CRR-a</w:t>
            </w:r>
          </w:p>
        </w:tc>
      </w:tr>
      <w:tr w:rsidR="00802958" w:rsidRPr="00A30C4C" w14:paraId="1A9359AA" w14:textId="77777777" w:rsidTr="00672D2A">
        <w:tc>
          <w:tcPr>
            <w:tcW w:w="1591" w:type="dxa"/>
          </w:tcPr>
          <w:p w14:paraId="03001E9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14:paraId="36A32430" w14:textId="203E5975"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006013D5">
              <w:rPr>
                <w:rStyle w:val="InstructionsTabelleberschrift"/>
                <w:rFonts w:ascii="Times New Roman" w:hAnsi="Times New Roman"/>
                <w:sz w:val="24"/>
              </w:rPr>
              <w:t>.</w:t>
            </w:r>
            <w:r>
              <w:rPr>
                <w:rStyle w:val="InstructionsTabelleberschrift"/>
                <w:rFonts w:ascii="Times New Roman" w:hAnsi="Times New Roman"/>
                <w:sz w:val="24"/>
              </w:rPr>
              <w:tab/>
              <w:t>Od čega: dodatni stroži bonitetni zahtjevi na temelju članka 459. CRR-a</w:t>
            </w:r>
          </w:p>
          <w:p w14:paraId="2BB003ED" w14:textId="649884A4" w:rsidR="00802958" w:rsidRPr="00A30C4C" w:rsidRDefault="00802958" w:rsidP="0080295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Članak 459. CRR-a</w:t>
            </w:r>
          </w:p>
        </w:tc>
      </w:tr>
      <w:tr w:rsidR="00802958" w:rsidRPr="00A30C4C" w14:paraId="3B785553" w14:textId="77777777" w:rsidTr="00672D2A">
        <w:tc>
          <w:tcPr>
            <w:tcW w:w="1591" w:type="dxa"/>
            <w:shd w:val="clear" w:color="auto" w:fill="auto"/>
          </w:tcPr>
          <w:p w14:paraId="21E39BF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14:paraId="33E1FD1C" w14:textId="413DBCF2"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006013D5">
              <w:rPr>
                <w:rStyle w:val="InstructionsTabelleberschrift"/>
                <w:rFonts w:ascii="Times New Roman" w:hAnsi="Times New Roman"/>
                <w:sz w:val="24"/>
              </w:rPr>
              <w:t>.</w:t>
            </w:r>
            <w:r>
              <w:rPr>
                <w:rStyle w:val="InstructionsTabelleberschrift"/>
                <w:rFonts w:ascii="Times New Roman" w:hAnsi="Times New Roman"/>
                <w:sz w:val="24"/>
              </w:rPr>
              <w:tab/>
              <w:t>Od čega: dodatni iznos izloženosti riziku u skladu s člankom 3. CRR-a</w:t>
            </w:r>
          </w:p>
          <w:p w14:paraId="7FB7FA7A"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Članak 3. CRR-a</w:t>
            </w:r>
          </w:p>
          <w:p w14:paraId="50111C52" w14:textId="4A2569E2" w:rsidR="00802958" w:rsidRPr="00A30C4C" w:rsidRDefault="00802958" w:rsidP="0080295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Mora se iskazati dodatni iznos izloženosti riziku. On uključuje samo dodatne iznose (npr. ako izloženost od 100 ima ponder rizika 20 % i institucija primjenjuje ponder rizika 50 % na temelju članka 3. CRR-a, iskazuje se 30). </w:t>
            </w:r>
          </w:p>
        </w:tc>
      </w:tr>
    </w:tbl>
    <w:p w14:paraId="126E1B56" w14:textId="77777777" w:rsidR="002648B0" w:rsidRPr="00A30C4C"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30677633"/>
      <w:r>
        <w:rPr>
          <w:rFonts w:ascii="Times New Roman" w:hAnsi="Times New Roman"/>
          <w:sz w:val="24"/>
          <w:u w:val="none"/>
        </w:rPr>
        <w:t>1.4</w:t>
      </w:r>
      <w:r>
        <w:rPr>
          <w:rFonts w:ascii="Times New Roman" w:hAnsi="Times New Roman"/>
          <w:sz w:val="24"/>
          <w:u w:val="none"/>
        </w:rPr>
        <w:tab/>
        <w:t>C 03.00 – STOPE KAPITALA I RAZINE KAPITALA (CA3)</w:t>
      </w:r>
      <w:bookmarkEnd w:id="50"/>
      <w:bookmarkEnd w:id="53"/>
      <w:r>
        <w:rPr>
          <w:rFonts w:ascii="Times New Roman" w:hAnsi="Times New Roman"/>
          <w:sz w:val="24"/>
          <w:u w:val="none"/>
        </w:rPr>
        <w:t xml:space="preserve"> </w:t>
      </w:r>
      <w:bookmarkEnd w:id="51"/>
      <w:bookmarkEnd w:id="52"/>
    </w:p>
    <w:p w14:paraId="251B5EF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30677634"/>
      <w:r>
        <w:rPr>
          <w:rFonts w:ascii="Times New Roman" w:hAnsi="Times New Roman"/>
          <w:sz w:val="24"/>
          <w:u w:val="none"/>
        </w:rPr>
        <w:t>1.4.1.</w:t>
      </w:r>
      <w:r>
        <w:rPr>
          <w:rFonts w:ascii="Times New Roman" w:hAnsi="Times New Roman"/>
          <w:sz w:val="24"/>
          <w:u w:val="none"/>
        </w:rPr>
        <w:tab/>
      </w:r>
      <w:bookmarkStart w:id="58" w:name="_Toc308175827"/>
      <w:r>
        <w:rPr>
          <w:rFonts w:ascii="Times New Roman" w:hAnsi="Times New Roman"/>
          <w:sz w:val="24"/>
        </w:rPr>
        <w:t xml:space="preserve">Upute za specifične </w:t>
      </w:r>
      <w:bookmarkEnd w:id="58"/>
      <w:bookmarkEnd w:id="54"/>
      <w:r>
        <w:rPr>
          <w:rFonts w:ascii="Times New Roman" w:hAnsi="Times New Roman"/>
          <w:sz w:val="24"/>
        </w:rPr>
        <w:t>pozicije</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A30C4C" w14:paraId="69F7082E" w14:textId="77777777" w:rsidTr="00672D2A">
        <w:tc>
          <w:tcPr>
            <w:tcW w:w="8783" w:type="dxa"/>
            <w:gridSpan w:val="2"/>
            <w:shd w:val="clear" w:color="auto" w:fill="D9D9D9"/>
          </w:tcPr>
          <w:p w14:paraId="26176128" w14:textId="77777777" w:rsidR="005643EA" w:rsidRPr="00A30C4C" w:rsidRDefault="002648B0" w:rsidP="00FD239F">
            <w:pPr>
              <w:pStyle w:val="InstructionsText"/>
            </w:pPr>
            <w:r>
              <w:t>Redci</w:t>
            </w:r>
          </w:p>
        </w:tc>
      </w:tr>
      <w:tr w:rsidR="002648B0" w:rsidRPr="00A30C4C" w14:paraId="4A10826C" w14:textId="77777777" w:rsidTr="00672D2A">
        <w:tc>
          <w:tcPr>
            <w:tcW w:w="703" w:type="dxa"/>
          </w:tcPr>
          <w:p w14:paraId="4501C5F2" w14:textId="77777777" w:rsidR="002648B0" w:rsidRPr="00A30C4C" w:rsidRDefault="002648B0" w:rsidP="00FD239F">
            <w:pPr>
              <w:pStyle w:val="InstructionsText"/>
            </w:pPr>
            <w:r>
              <w:t>010</w:t>
            </w:r>
          </w:p>
        </w:tc>
        <w:tc>
          <w:tcPr>
            <w:tcW w:w="8080" w:type="dxa"/>
          </w:tcPr>
          <w:p w14:paraId="7013AAB4" w14:textId="3B43F97B" w:rsidR="005643EA" w:rsidRPr="00A30C4C" w:rsidRDefault="002648B0" w:rsidP="00FD239F">
            <w:pPr>
              <w:pStyle w:val="InstructionsText"/>
            </w:pPr>
            <w:r>
              <w:rPr>
                <w:rStyle w:val="InstructionsTabelleberschrift"/>
                <w:rFonts w:ascii="Times New Roman" w:hAnsi="Times New Roman"/>
                <w:sz w:val="24"/>
              </w:rPr>
              <w:t>1</w:t>
            </w:r>
            <w:r w:rsidR="006013D5">
              <w:rPr>
                <w:rStyle w:val="InstructionsTabelleberschrift"/>
                <w:rFonts w:ascii="Times New Roman" w:hAnsi="Times New Roman"/>
                <w:sz w:val="24"/>
              </w:rPr>
              <w:t>.</w:t>
            </w:r>
            <w:r>
              <w:rPr>
                <w:rStyle w:val="InstructionsTabelleberschrift"/>
                <w:rFonts w:ascii="Times New Roman" w:hAnsi="Times New Roman"/>
                <w:sz w:val="24"/>
              </w:rPr>
              <w:tab/>
              <w:t>Stopa redovnog osnovnog kapitala</w:t>
            </w:r>
          </w:p>
          <w:p w14:paraId="3D88BAC5" w14:textId="1903C688" w:rsidR="005643EA" w:rsidRPr="00A30C4C" w:rsidRDefault="00705025" w:rsidP="00FD239F">
            <w:pPr>
              <w:pStyle w:val="InstructionsText"/>
            </w:pPr>
            <w:r>
              <w:t>Članak 92. stavak 2. točka (a) CRR-a</w:t>
            </w:r>
          </w:p>
          <w:p w14:paraId="4171E950" w14:textId="77777777" w:rsidR="005643EA" w:rsidRPr="00A30C4C" w:rsidRDefault="002648B0" w:rsidP="00FD239F">
            <w:pPr>
              <w:pStyle w:val="InstructionsText"/>
            </w:pPr>
            <w:r>
              <w:t>Stopa redovnog osnovnog kapitala je redovni osnovni kapital institucije izražen kao postotak ukupnog iznosa izloženosti riziku.</w:t>
            </w:r>
          </w:p>
        </w:tc>
      </w:tr>
      <w:tr w:rsidR="002648B0" w:rsidRPr="00A30C4C" w14:paraId="12AC9865" w14:textId="77777777" w:rsidTr="00672D2A">
        <w:tc>
          <w:tcPr>
            <w:tcW w:w="703" w:type="dxa"/>
          </w:tcPr>
          <w:p w14:paraId="76683356" w14:textId="77777777" w:rsidR="002648B0" w:rsidRPr="00A30C4C" w:rsidRDefault="002648B0" w:rsidP="00FD239F">
            <w:pPr>
              <w:pStyle w:val="InstructionsText"/>
            </w:pPr>
            <w:r>
              <w:t>020</w:t>
            </w:r>
          </w:p>
        </w:tc>
        <w:tc>
          <w:tcPr>
            <w:tcW w:w="8080" w:type="dxa"/>
          </w:tcPr>
          <w:p w14:paraId="16865CBC" w14:textId="20D52654"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006013D5">
              <w:rPr>
                <w:rStyle w:val="InstructionsTabelleberschrift"/>
                <w:rFonts w:ascii="Times New Roman" w:hAnsi="Times New Roman"/>
                <w:sz w:val="24"/>
              </w:rPr>
              <w:t>.</w:t>
            </w:r>
            <w:r>
              <w:rPr>
                <w:rStyle w:val="InstructionsTabelleberschrift"/>
                <w:rFonts w:ascii="Times New Roman" w:hAnsi="Times New Roman"/>
                <w:sz w:val="24"/>
              </w:rPr>
              <w:tab/>
              <w:t>Višak (+)/manjak (–) redovnog osnovnog kapitala</w:t>
            </w:r>
          </w:p>
          <w:p w14:paraId="3BA060C1" w14:textId="0AE9F4C1" w:rsidR="005643EA" w:rsidRPr="00A30C4C" w:rsidRDefault="002648B0" w:rsidP="00705025">
            <w:pPr>
              <w:pStyle w:val="InstructionsText"/>
            </w:pPr>
            <w:r>
              <w:t>Ova stavka pokazuje, u apsolutnim vrijednostima, iznos viška ili manjka redovnog osnovnog kapitala koji se odnosi na zahtjev propisan u članku 92. stavku 1. točki (a) CRR-a (4,5 %), tj. ne uzimajući u obzir zaštitne slojeve kapitala i prijelazne odredbe o stopi.</w:t>
            </w:r>
          </w:p>
        </w:tc>
      </w:tr>
      <w:tr w:rsidR="002648B0" w:rsidRPr="00A30C4C" w14:paraId="040DF235" w14:textId="77777777" w:rsidTr="00672D2A">
        <w:tc>
          <w:tcPr>
            <w:tcW w:w="703" w:type="dxa"/>
          </w:tcPr>
          <w:p w14:paraId="025F0AB9" w14:textId="77777777" w:rsidR="002648B0" w:rsidRPr="00A30C4C" w:rsidRDefault="002648B0" w:rsidP="00FD239F">
            <w:pPr>
              <w:pStyle w:val="InstructionsText"/>
            </w:pPr>
            <w:r>
              <w:t>030</w:t>
            </w:r>
          </w:p>
        </w:tc>
        <w:tc>
          <w:tcPr>
            <w:tcW w:w="8080" w:type="dxa"/>
          </w:tcPr>
          <w:p w14:paraId="132B1F3F" w14:textId="6E19C13A" w:rsidR="005643EA" w:rsidRPr="00A30C4C" w:rsidRDefault="002648B0" w:rsidP="00FD239F">
            <w:pPr>
              <w:pStyle w:val="InstructionsText"/>
            </w:pPr>
            <w:r>
              <w:rPr>
                <w:rStyle w:val="InstructionsTabelleberschrift"/>
                <w:rFonts w:ascii="Times New Roman" w:hAnsi="Times New Roman"/>
                <w:sz w:val="24"/>
              </w:rPr>
              <w:t>3</w:t>
            </w:r>
            <w:r w:rsidR="006013D5">
              <w:rPr>
                <w:rStyle w:val="InstructionsTabelleberschrift"/>
                <w:rFonts w:ascii="Times New Roman" w:hAnsi="Times New Roman"/>
                <w:sz w:val="24"/>
              </w:rPr>
              <w:t>.</w:t>
            </w:r>
            <w:r>
              <w:rPr>
                <w:rStyle w:val="InstructionsTabelleberschrift"/>
                <w:rFonts w:ascii="Times New Roman" w:hAnsi="Times New Roman"/>
                <w:sz w:val="24"/>
              </w:rPr>
              <w:tab/>
              <w:t>Stopa osnovnog kapitala</w:t>
            </w:r>
          </w:p>
          <w:p w14:paraId="785A64AA" w14:textId="7D604D25" w:rsidR="005643EA" w:rsidRPr="00A30C4C" w:rsidRDefault="00705025" w:rsidP="00FD239F">
            <w:pPr>
              <w:pStyle w:val="InstructionsText"/>
            </w:pPr>
            <w:r>
              <w:t>Članak 92. stavak 2. točka (b) CRR-a</w:t>
            </w:r>
          </w:p>
          <w:p w14:paraId="3ED4C81E" w14:textId="77777777" w:rsidR="005643EA" w:rsidRPr="00A30C4C" w:rsidRDefault="002648B0" w:rsidP="00FD239F">
            <w:pPr>
              <w:pStyle w:val="InstructionsText"/>
            </w:pPr>
            <w:r>
              <w:t>Stopa osnovnog kapitala je osnovni kapital institucije izražen kao postotak ukupnog iznosa izloženosti riziku.</w:t>
            </w:r>
          </w:p>
        </w:tc>
      </w:tr>
      <w:tr w:rsidR="002648B0" w:rsidRPr="00A30C4C" w14:paraId="3A4BBE6A" w14:textId="77777777" w:rsidTr="00672D2A">
        <w:tc>
          <w:tcPr>
            <w:tcW w:w="703" w:type="dxa"/>
          </w:tcPr>
          <w:p w14:paraId="26117D6C" w14:textId="77777777" w:rsidR="002648B0" w:rsidRPr="00A30C4C" w:rsidRDefault="002648B0" w:rsidP="00FD239F">
            <w:pPr>
              <w:pStyle w:val="InstructionsText"/>
            </w:pPr>
            <w:r>
              <w:t>040</w:t>
            </w:r>
          </w:p>
        </w:tc>
        <w:tc>
          <w:tcPr>
            <w:tcW w:w="8080" w:type="dxa"/>
          </w:tcPr>
          <w:p w14:paraId="08056B7C" w14:textId="42C8FAEA" w:rsidR="005643EA" w:rsidRPr="00A30C4C" w:rsidRDefault="002648B0" w:rsidP="00FD239F">
            <w:pPr>
              <w:pStyle w:val="InstructionsText"/>
            </w:pPr>
            <w:r>
              <w:rPr>
                <w:rStyle w:val="InstructionsTabelleberschrift"/>
                <w:rFonts w:ascii="Times New Roman" w:hAnsi="Times New Roman"/>
                <w:sz w:val="24"/>
              </w:rPr>
              <w:t>4</w:t>
            </w:r>
            <w:r w:rsidR="006013D5">
              <w:rPr>
                <w:rStyle w:val="InstructionsTabelleberschrift"/>
                <w:rFonts w:ascii="Times New Roman" w:hAnsi="Times New Roman"/>
                <w:sz w:val="24"/>
              </w:rPr>
              <w:t>.</w:t>
            </w:r>
            <w:r>
              <w:rPr>
                <w:rStyle w:val="InstructionsTabelleberschrift"/>
                <w:rFonts w:ascii="Times New Roman" w:hAnsi="Times New Roman"/>
                <w:sz w:val="24"/>
              </w:rPr>
              <w:tab/>
              <w:t>Višak (+)/manjak (–) osnovnog kapitala</w:t>
            </w:r>
          </w:p>
          <w:p w14:paraId="52F91FF4" w14:textId="2DF3BFF3" w:rsidR="005643EA" w:rsidRPr="00A30C4C" w:rsidRDefault="002648B0" w:rsidP="00705025">
            <w:pPr>
              <w:pStyle w:val="InstructionsText"/>
            </w:pPr>
            <w:r>
              <w:t>Ova stavka pokazuje, u apsolutnim vrijednostima, iznos viška ili manjka osnovnog kapitala koji se odnosi na zahtjev propisan u članku 92. stavku 1. točki (b) CRR-a (6 %), tj. ne uzimajući u obzir zaštitne slojeve kapitala i prijelazne odredbe o stopi.</w:t>
            </w:r>
          </w:p>
        </w:tc>
      </w:tr>
      <w:tr w:rsidR="002648B0" w:rsidRPr="00A30C4C" w14:paraId="77B2F4BA" w14:textId="77777777" w:rsidTr="00672D2A">
        <w:tc>
          <w:tcPr>
            <w:tcW w:w="703" w:type="dxa"/>
          </w:tcPr>
          <w:p w14:paraId="06D4BC22" w14:textId="77777777" w:rsidR="002648B0" w:rsidRPr="00A30C4C" w:rsidRDefault="002648B0" w:rsidP="00FD239F">
            <w:pPr>
              <w:pStyle w:val="InstructionsText"/>
            </w:pPr>
            <w:r>
              <w:t>050</w:t>
            </w:r>
          </w:p>
        </w:tc>
        <w:tc>
          <w:tcPr>
            <w:tcW w:w="8080" w:type="dxa"/>
          </w:tcPr>
          <w:p w14:paraId="2A420CBD" w14:textId="60AB2243" w:rsidR="005643EA" w:rsidRPr="00A30C4C" w:rsidRDefault="002648B0" w:rsidP="00FD239F">
            <w:pPr>
              <w:pStyle w:val="InstructionsText"/>
            </w:pPr>
            <w:r>
              <w:rPr>
                <w:rStyle w:val="InstructionsTabelleberschrift"/>
                <w:rFonts w:ascii="Times New Roman" w:hAnsi="Times New Roman"/>
                <w:sz w:val="24"/>
              </w:rPr>
              <w:t>5</w:t>
            </w:r>
            <w:r w:rsidR="006013D5">
              <w:rPr>
                <w:rStyle w:val="InstructionsTabelleberschrift"/>
                <w:rFonts w:ascii="Times New Roman" w:hAnsi="Times New Roman"/>
                <w:sz w:val="24"/>
              </w:rPr>
              <w:t>.</w:t>
            </w:r>
            <w:r>
              <w:rPr>
                <w:rStyle w:val="InstructionsTabelleberschrift"/>
                <w:rFonts w:ascii="Times New Roman" w:hAnsi="Times New Roman"/>
                <w:sz w:val="24"/>
              </w:rPr>
              <w:tab/>
              <w:t>Stopa ukupnog kapitala</w:t>
            </w:r>
          </w:p>
          <w:p w14:paraId="42EF84D4" w14:textId="51EC642E" w:rsidR="005643EA" w:rsidRPr="00A30C4C" w:rsidRDefault="00705025" w:rsidP="00FD239F">
            <w:pPr>
              <w:pStyle w:val="InstructionsText"/>
            </w:pPr>
            <w:r>
              <w:t>Članak 92. stavak 2. točka (c) CRR-a</w:t>
            </w:r>
          </w:p>
          <w:p w14:paraId="79C78E81" w14:textId="77777777" w:rsidR="005643EA" w:rsidRPr="00A30C4C" w:rsidRDefault="002648B0" w:rsidP="00FD239F">
            <w:pPr>
              <w:pStyle w:val="InstructionsText"/>
            </w:pPr>
            <w:r>
              <w:lastRenderedPageBreak/>
              <w:t>Stopa ukupnog kapitala je regulatorni kapital institucije izražen kao postotak ukupnog iznosa izloženosti riziku.</w:t>
            </w:r>
          </w:p>
        </w:tc>
      </w:tr>
      <w:tr w:rsidR="002648B0" w:rsidRPr="00A30C4C" w14:paraId="1DECFF12" w14:textId="77777777" w:rsidTr="00672D2A">
        <w:tc>
          <w:tcPr>
            <w:tcW w:w="703" w:type="dxa"/>
          </w:tcPr>
          <w:p w14:paraId="27638C2B" w14:textId="77777777" w:rsidR="002648B0" w:rsidRPr="00A30C4C" w:rsidRDefault="002648B0" w:rsidP="00FD239F">
            <w:pPr>
              <w:pStyle w:val="InstructionsText"/>
            </w:pPr>
            <w:r>
              <w:lastRenderedPageBreak/>
              <w:t>060</w:t>
            </w:r>
          </w:p>
        </w:tc>
        <w:tc>
          <w:tcPr>
            <w:tcW w:w="8080" w:type="dxa"/>
          </w:tcPr>
          <w:p w14:paraId="31050631" w14:textId="549EA68C" w:rsidR="005643EA" w:rsidRPr="00A30C4C" w:rsidRDefault="002648B0" w:rsidP="00FD239F">
            <w:pPr>
              <w:pStyle w:val="InstructionsText"/>
            </w:pPr>
            <w:r>
              <w:rPr>
                <w:rStyle w:val="InstructionsTabelleberschrift"/>
                <w:rFonts w:ascii="Times New Roman" w:hAnsi="Times New Roman"/>
                <w:sz w:val="24"/>
              </w:rPr>
              <w:t>6</w:t>
            </w:r>
            <w:r w:rsidR="006013D5">
              <w:rPr>
                <w:rStyle w:val="InstructionsTabelleberschrift"/>
                <w:rFonts w:ascii="Times New Roman" w:hAnsi="Times New Roman"/>
                <w:sz w:val="24"/>
              </w:rPr>
              <w:t>.</w:t>
            </w:r>
            <w:r>
              <w:rPr>
                <w:rStyle w:val="InstructionsTabelleberschrift"/>
                <w:rFonts w:ascii="Times New Roman" w:hAnsi="Times New Roman"/>
                <w:sz w:val="24"/>
              </w:rPr>
              <w:tab/>
              <w:t>Višak (+)/manjak (–) ukupnog kapitala</w:t>
            </w:r>
          </w:p>
          <w:p w14:paraId="28CB64F6" w14:textId="52528F84" w:rsidR="005643EA" w:rsidRPr="00A30C4C" w:rsidRDefault="002648B0" w:rsidP="00705025">
            <w:pPr>
              <w:pStyle w:val="InstructionsText"/>
            </w:pPr>
            <w:r>
              <w:t>Ova stavka pokazuje, u apsolutnim vrijednostima, iznos viška ili manjka regulatornog kapitala koji se odnosi na zahtjev određen u članku 92. stavku 1. točki (c) CRR-a (8 %), tj. ne uzimajući u obzir zaštitne slojeve kapitala i prijelazne odredbe o stopi.</w:t>
            </w:r>
          </w:p>
        </w:tc>
      </w:tr>
      <w:tr w:rsidR="009C083D" w:rsidRPr="00A30C4C" w14:paraId="1940665B" w14:textId="77777777" w:rsidTr="00672D2A">
        <w:tc>
          <w:tcPr>
            <w:tcW w:w="703" w:type="dxa"/>
          </w:tcPr>
          <w:p w14:paraId="73347832" w14:textId="4458A67A" w:rsidR="009C083D" w:rsidRPr="00A30C4C" w:rsidRDefault="009C083D" w:rsidP="001E3EF1">
            <w:pPr>
              <w:pStyle w:val="InstructionsText"/>
            </w:pPr>
            <w:r>
              <w:t>130</w:t>
            </w:r>
          </w:p>
        </w:tc>
        <w:tc>
          <w:tcPr>
            <w:tcW w:w="8080" w:type="dxa"/>
          </w:tcPr>
          <w:p w14:paraId="3EF41ACA" w14:textId="29D79414" w:rsidR="009C083D" w:rsidRPr="00A30C4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006013D5">
              <w:rPr>
                <w:rStyle w:val="InstructionsTabelleberschrift"/>
                <w:rFonts w:ascii="Times New Roman" w:hAnsi="Times New Roman"/>
                <w:sz w:val="24"/>
              </w:rPr>
              <w:t>.</w:t>
            </w:r>
            <w:r>
              <w:rPr>
                <w:rStyle w:val="InstructionsTabelleberschrift"/>
                <w:rFonts w:ascii="Times New Roman" w:hAnsi="Times New Roman"/>
                <w:sz w:val="24"/>
              </w:rPr>
              <w:tab/>
              <w:t xml:space="preserve">Stopa ukupnog kapitalnog zahtjeva u okviru postupka nadzorne provjere i ocjene (SREP) </w:t>
            </w:r>
          </w:p>
          <w:p w14:paraId="35B47E57" w14:textId="17500ED8" w:rsidR="009C083D" w:rsidRPr="00A30C4C" w:rsidRDefault="007239EF" w:rsidP="00FD239F">
            <w:pPr>
              <w:pStyle w:val="InstructionsText"/>
            </w:pPr>
            <w:r>
              <w:t>Zbroj (i)</w:t>
            </w:r>
            <w:r w:rsidR="009C083D">
              <w:t xml:space="preserve"> i </w:t>
            </w:r>
            <w:r>
              <w:t>(ii)</w:t>
            </w:r>
            <w:r w:rsidR="009C083D">
              <w:t xml:space="preserve"> određuje se kako slijedi:</w:t>
            </w:r>
          </w:p>
          <w:p w14:paraId="685FA9F8" w14:textId="0899DD76" w:rsidR="009C083D" w:rsidRPr="00A30C4C" w:rsidRDefault="009C083D" w:rsidP="00FD239F">
            <w:pPr>
              <w:pStyle w:val="InstructionsText"/>
              <w:numPr>
                <w:ilvl w:val="0"/>
                <w:numId w:val="20"/>
              </w:numPr>
            </w:pPr>
            <w:r>
              <w:t xml:space="preserve">stopa ukupnog kapitala (8 %) kako je određena u članku 92. stavku 1. točki (c) CRR-a; </w:t>
            </w:r>
          </w:p>
          <w:p w14:paraId="39086B2E" w14:textId="77777777" w:rsidR="009C083D" w:rsidRPr="00A30C4C" w:rsidRDefault="009C083D" w:rsidP="00FD239F">
            <w:pPr>
              <w:pStyle w:val="InstructionsText"/>
              <w:numPr>
                <w:ilvl w:val="0"/>
                <w:numId w:val="20"/>
              </w:numPr>
            </w:pPr>
            <w:r>
              <w:t xml:space="preserve">stopa dodatnih kapitalnih zahtjeva (zahtjevi iz stupa 2.) određena u skladu s kriterijima iz </w:t>
            </w:r>
            <w:r>
              <w:rPr>
                <w:i/>
              </w:rPr>
              <w:t>Smjernice EBA-e o zajedničkim postupcima i metodologijama za postupak nadzorne provjere i ocjene i nadzorno testiranje otpornosti na stres</w:t>
            </w:r>
            <w:r>
              <w:t>(EBA SREP GL).</w:t>
            </w:r>
          </w:p>
          <w:p w14:paraId="1304A69F" w14:textId="77777777" w:rsidR="009C083D" w:rsidRPr="00A30C4C" w:rsidRDefault="009C083D" w:rsidP="00FD239F">
            <w:pPr>
              <w:pStyle w:val="InstructionsText"/>
            </w:pPr>
            <w:r>
              <w:t>U ovoj se stavci navodi stopa ukupnog kapitalnog zahtjeva u okviru SREP-a o kojoj je nadležno tijelo izvijestilo instituciju. Ukupni kapitalni zahtjev u okviru SREP-a definiran je u odjeljku 1.2. EBA-inih smjernica EBA SREP GL.</w:t>
            </w:r>
          </w:p>
          <w:p w14:paraId="3478CC3F" w14:textId="42614158" w:rsidR="00C9673B" w:rsidRPr="00A30C4C" w:rsidRDefault="00FF2818" w:rsidP="00FD239F">
            <w:pPr>
              <w:pStyle w:val="InstructionsText"/>
              <w:rPr>
                <w:rStyle w:val="InstructionsTabelleberschrift"/>
                <w:rFonts w:ascii="Times New Roman" w:hAnsi="Times New Roman"/>
                <w:b w:val="0"/>
                <w:bCs w:val="0"/>
                <w:sz w:val="24"/>
                <w:u w:val="none"/>
              </w:rPr>
            </w:pPr>
            <w:r>
              <w:t xml:space="preserve">Ako nadležno tijelo nije izvijestilo instituciju o dodatnim kapitalnim zahtjevima, iskazuje se samo točka </w:t>
            </w:r>
            <w:r w:rsidR="006013D5">
              <w:t>(</w:t>
            </w:r>
            <w:r>
              <w:t>i</w:t>
            </w:r>
            <w:r w:rsidR="006013D5">
              <w:t>)</w:t>
            </w:r>
            <w:r>
              <w:t xml:space="preserve">. </w:t>
            </w:r>
          </w:p>
        </w:tc>
      </w:tr>
      <w:tr w:rsidR="009C083D" w:rsidRPr="00A30C4C" w14:paraId="6FAA72D1" w14:textId="77777777" w:rsidTr="00672D2A">
        <w:tc>
          <w:tcPr>
            <w:tcW w:w="703" w:type="dxa"/>
          </w:tcPr>
          <w:p w14:paraId="54A27575" w14:textId="59F6A485" w:rsidR="009C083D" w:rsidRPr="00A30C4C" w:rsidRDefault="009C083D" w:rsidP="001E3EF1">
            <w:pPr>
              <w:pStyle w:val="InstructionsText"/>
            </w:pPr>
            <w:r>
              <w:t>140</w:t>
            </w:r>
          </w:p>
        </w:tc>
        <w:tc>
          <w:tcPr>
            <w:tcW w:w="8080" w:type="dxa"/>
          </w:tcPr>
          <w:p w14:paraId="7780FC37" w14:textId="5077454D"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7239EF">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Ukupni kapitalni zahtjev u okviru SREP-a: koji se sastoji od redovnog osnovnog kapitala </w:t>
            </w:r>
          </w:p>
          <w:p w14:paraId="2A58CDB5" w14:textId="2DB1182C" w:rsidR="009C083D" w:rsidRPr="00A30C4C" w:rsidRDefault="007239EF" w:rsidP="00FD239F">
            <w:pPr>
              <w:pStyle w:val="InstructionsText"/>
            </w:pPr>
            <w:r>
              <w:t xml:space="preserve">Zbroj </w:t>
            </w:r>
            <w:r>
              <w:t>(i) i (ii)</w:t>
            </w:r>
            <w:r w:rsidR="009C083D">
              <w:t xml:space="preserve"> određuje se kako slijedi:</w:t>
            </w:r>
          </w:p>
          <w:p w14:paraId="2BD858D2" w14:textId="6C827861" w:rsidR="009C083D" w:rsidRPr="00A30C4C" w:rsidRDefault="009C083D" w:rsidP="00FD239F">
            <w:pPr>
              <w:pStyle w:val="InstructionsText"/>
              <w:numPr>
                <w:ilvl w:val="0"/>
                <w:numId w:val="21"/>
              </w:numPr>
            </w:pPr>
            <w:r>
              <w:t>stopa redovnog osnovnog kapitala (4,5 %) kako je određena u članku 92. stavku 1. točki (a) CRR-a</w:t>
            </w:r>
          </w:p>
          <w:p w14:paraId="25D42F61" w14:textId="77777777" w:rsidR="0002157C" w:rsidRPr="00A30C4C" w:rsidRDefault="009C083D" w:rsidP="00FD239F">
            <w:pPr>
              <w:pStyle w:val="InstructionsText"/>
              <w:numPr>
                <w:ilvl w:val="0"/>
                <w:numId w:val="21"/>
              </w:numPr>
              <w:rPr>
                <w:b/>
                <w:bCs/>
                <w:u w:val="single"/>
              </w:rPr>
            </w:pPr>
            <w:r>
              <w:t>dio stope zahtjeva iz stupa 2., navedene u točki ii. u retku 130, za koji nadležno tijelo zahtijeva da se drži u obliku redovnog osnovnog kapitala.</w:t>
            </w:r>
          </w:p>
          <w:p w14:paraId="582A73D4" w14:textId="2B790631" w:rsidR="009C083D" w:rsidRPr="00A30C4C" w:rsidRDefault="00FF2818" w:rsidP="009068C9">
            <w:pPr>
              <w:pStyle w:val="InstructionsText"/>
              <w:rPr>
                <w:rStyle w:val="InstructionsTabelleberschrift"/>
                <w:rFonts w:ascii="Times New Roman" w:hAnsi="Times New Roman"/>
                <w:sz w:val="24"/>
              </w:rPr>
            </w:pPr>
            <w:r>
              <w:t xml:space="preserve">Ako nadležno tijelo nije izvijestilo instituciju o dodatnim kapitalnim zahtjevima, koji se trebaju držati u obliku redovnog osnovnog kapitala, iskazuje se samo točka </w:t>
            </w:r>
            <w:r w:rsidR="00982F94">
              <w:t>(</w:t>
            </w:r>
            <w:r>
              <w:t>i</w:t>
            </w:r>
            <w:r w:rsidR="00982F94">
              <w:t>)</w:t>
            </w:r>
            <w:r>
              <w:t>.</w:t>
            </w:r>
            <w:r>
              <w:rPr>
                <w:rStyle w:val="InstructionsTabelleberschrift"/>
                <w:rFonts w:ascii="Times New Roman" w:hAnsi="Times New Roman"/>
                <w:b w:val="0"/>
                <w:sz w:val="24"/>
              </w:rPr>
              <w:t xml:space="preserve"> </w:t>
            </w:r>
          </w:p>
        </w:tc>
      </w:tr>
      <w:tr w:rsidR="009C083D" w:rsidRPr="00A30C4C" w14:paraId="04D15322" w14:textId="77777777" w:rsidTr="00672D2A">
        <w:tc>
          <w:tcPr>
            <w:tcW w:w="703" w:type="dxa"/>
          </w:tcPr>
          <w:p w14:paraId="1ACBC3FC" w14:textId="566BDEE6" w:rsidR="009C083D" w:rsidRPr="00A30C4C" w:rsidRDefault="009C083D" w:rsidP="001E3EF1">
            <w:pPr>
              <w:pStyle w:val="InstructionsText"/>
            </w:pPr>
            <w:r>
              <w:t>150</w:t>
            </w:r>
          </w:p>
        </w:tc>
        <w:tc>
          <w:tcPr>
            <w:tcW w:w="8080" w:type="dxa"/>
          </w:tcPr>
          <w:p w14:paraId="162A63E8" w14:textId="7A1F9802"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7239EF">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Ukupni kapitalni zahtjev u okviru SREP-a: koji se sastoji od osnovnog kapitala</w:t>
            </w:r>
          </w:p>
          <w:p w14:paraId="73476816" w14:textId="2CFD7C5C" w:rsidR="009C083D" w:rsidRPr="00A30C4C" w:rsidRDefault="007239EF" w:rsidP="00FD239F">
            <w:pPr>
              <w:pStyle w:val="InstructionsText"/>
            </w:pPr>
            <w:r>
              <w:t xml:space="preserve">Zbroj </w:t>
            </w:r>
            <w:r>
              <w:t>(i) i (ii)</w:t>
            </w:r>
            <w:r w:rsidR="009C083D">
              <w:t xml:space="preserve"> određuje se kako slijedi:</w:t>
            </w:r>
          </w:p>
          <w:p w14:paraId="157105A9" w14:textId="2519DF20" w:rsidR="009C083D" w:rsidRPr="00A30C4C" w:rsidRDefault="009C083D" w:rsidP="00FD239F">
            <w:pPr>
              <w:pStyle w:val="InstructionsText"/>
              <w:numPr>
                <w:ilvl w:val="0"/>
                <w:numId w:val="22"/>
              </w:numPr>
            </w:pPr>
            <w:r>
              <w:t>stopa osnovnog kapitala (6 %) kako je određena u članku 92. stavku 1. točki (b) CRR-a</w:t>
            </w:r>
          </w:p>
          <w:p w14:paraId="2BF2ED00" w14:textId="77777777" w:rsidR="009C083D" w:rsidRPr="00A30C4C" w:rsidRDefault="009C083D" w:rsidP="00FD239F">
            <w:pPr>
              <w:pStyle w:val="InstructionsText"/>
              <w:numPr>
                <w:ilvl w:val="0"/>
                <w:numId w:val="22"/>
              </w:numPr>
              <w:rPr>
                <w:bCs/>
                <w:u w:val="single"/>
              </w:rPr>
            </w:pPr>
            <w:r>
              <w:t>dio stope zahtjeva iz stupa 2., navedene u točki ii. u retku 130, za koji nadležno tijelo zahtijeva da se drži u obliku osnovnog kapitala.</w:t>
            </w:r>
          </w:p>
          <w:p w14:paraId="217AF337" w14:textId="0B51D018" w:rsidR="00DA6CB8" w:rsidRPr="00A30C4C" w:rsidRDefault="00FF2818" w:rsidP="009068C9">
            <w:pPr>
              <w:pStyle w:val="InstructionsText"/>
              <w:rPr>
                <w:rStyle w:val="InstructionsTabelleberschrift"/>
                <w:rFonts w:ascii="Times New Roman" w:hAnsi="Times New Roman"/>
                <w:b w:val="0"/>
                <w:sz w:val="24"/>
              </w:rPr>
            </w:pPr>
            <w:r>
              <w:t xml:space="preserve">Ako nadležno tijelo nije izvijestilo instituciju o dodatnim kapitalnim zahtjevima, koji se trebaju držati u obliku osnovnog kapitala, iskazuje se samo točka </w:t>
            </w:r>
            <w:r w:rsidR="00982F94">
              <w:t>(</w:t>
            </w:r>
            <w:r>
              <w:t>i</w:t>
            </w:r>
            <w:r w:rsidR="00982F94">
              <w:t>)</w:t>
            </w:r>
            <w:r>
              <w:t>.</w:t>
            </w:r>
          </w:p>
        </w:tc>
      </w:tr>
      <w:tr w:rsidR="009C083D" w:rsidRPr="00A30C4C" w14:paraId="7284D0F0" w14:textId="77777777" w:rsidTr="00672D2A">
        <w:tc>
          <w:tcPr>
            <w:tcW w:w="703" w:type="dxa"/>
          </w:tcPr>
          <w:p w14:paraId="6D6F0422" w14:textId="77777777" w:rsidR="009C083D" w:rsidRPr="00A30C4C" w:rsidRDefault="009C083D" w:rsidP="00FD239F">
            <w:pPr>
              <w:pStyle w:val="InstructionsText"/>
            </w:pPr>
            <w:r>
              <w:t>160</w:t>
            </w:r>
          </w:p>
        </w:tc>
        <w:tc>
          <w:tcPr>
            <w:tcW w:w="8080" w:type="dxa"/>
          </w:tcPr>
          <w:p w14:paraId="56FE82D0" w14:textId="45F93DD0"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7239EF">
              <w:rPr>
                <w:rStyle w:val="InstructionsTabelleberschrift"/>
                <w:rFonts w:ascii="Times New Roman" w:hAnsi="Times New Roman"/>
                <w:sz w:val="24"/>
              </w:rPr>
              <w:t>.</w:t>
            </w:r>
            <w:r>
              <w:rPr>
                <w:rStyle w:val="InstructionsTabelleberschrift"/>
                <w:rFonts w:ascii="Times New Roman" w:hAnsi="Times New Roman"/>
                <w:sz w:val="24"/>
              </w:rPr>
              <w:tab/>
              <w:t xml:space="preserve">Stopa sveukupnog kapitalnog zahtjeva </w:t>
            </w:r>
          </w:p>
          <w:p w14:paraId="7CED4624" w14:textId="22420BB2" w:rsidR="009C083D" w:rsidRPr="00A30C4C" w:rsidRDefault="007239EF" w:rsidP="00FD239F">
            <w:pPr>
              <w:pStyle w:val="InstructionsText"/>
            </w:pPr>
            <w:r>
              <w:lastRenderedPageBreak/>
              <w:t xml:space="preserve">Zbroj </w:t>
            </w:r>
            <w:r>
              <w:t>(i) i (ii)</w:t>
            </w:r>
            <w:r w:rsidR="009C083D">
              <w:t xml:space="preserve"> određuje se kako slijedi:</w:t>
            </w:r>
          </w:p>
          <w:p w14:paraId="35A8D874" w14:textId="77777777" w:rsidR="009C083D" w:rsidRPr="00A30C4C" w:rsidRDefault="009C083D" w:rsidP="00FD239F">
            <w:pPr>
              <w:pStyle w:val="InstructionsText"/>
              <w:numPr>
                <w:ilvl w:val="0"/>
                <w:numId w:val="23"/>
              </w:numPr>
            </w:pPr>
            <w:r>
              <w:t>stopa ukupnog kapitalnog zahtjeva u okviru SREP-a iz retka 130</w:t>
            </w:r>
          </w:p>
          <w:p w14:paraId="298499E8" w14:textId="7B863015" w:rsidR="009C083D" w:rsidRPr="00A30C4C" w:rsidRDefault="009C083D" w:rsidP="00FD239F">
            <w:pPr>
              <w:pStyle w:val="InstructionsText"/>
              <w:numPr>
                <w:ilvl w:val="0"/>
                <w:numId w:val="23"/>
              </w:numPr>
            </w:pPr>
            <w:r>
              <w:t>u mjeri u kojoj je to pravno primjenjivo, stopa zahtjeva za kombinirani zaštitni sloj iz članka 128. točke 6. CRD-a.</w:t>
            </w:r>
          </w:p>
          <w:p w14:paraId="5F1122DC" w14:textId="77777777" w:rsidR="005B54BB" w:rsidRPr="00A30C4C" w:rsidRDefault="009C083D" w:rsidP="00FD239F">
            <w:pPr>
              <w:pStyle w:val="InstructionsText"/>
            </w:pPr>
            <w:r>
              <w:t xml:space="preserve">U ovoj se stavci navodi stopa sveukupnog kapitalnog zahtjeva kako je definirana u odjeljku 1.2. EBA-inih smjernica SREP GL. </w:t>
            </w:r>
          </w:p>
          <w:p w14:paraId="2F733A00" w14:textId="2AB4B572" w:rsidR="00645573" w:rsidRPr="00A30C4C" w:rsidRDefault="00FF2818" w:rsidP="00FD239F">
            <w:pPr>
              <w:pStyle w:val="InstructionsText"/>
              <w:rPr>
                <w:rStyle w:val="InstructionsTabelleberschrift"/>
                <w:rFonts w:ascii="Times New Roman" w:hAnsi="Times New Roman"/>
                <w:sz w:val="24"/>
              </w:rPr>
            </w:pPr>
            <w:r>
              <w:t>Ako se ne primjenjuje zahtjev za zaštitni</w:t>
            </w:r>
            <w:r w:rsidR="007239EF">
              <w:t xml:space="preserve"> sloj, iskazuje se samo točka </w:t>
            </w:r>
            <w:r w:rsidR="007239EF">
              <w:t>(i).</w:t>
            </w:r>
          </w:p>
        </w:tc>
      </w:tr>
      <w:tr w:rsidR="009C083D" w:rsidRPr="00A30C4C" w14:paraId="2A2A79ED" w14:textId="77777777" w:rsidTr="00672D2A">
        <w:tc>
          <w:tcPr>
            <w:tcW w:w="703" w:type="dxa"/>
          </w:tcPr>
          <w:p w14:paraId="6C507734" w14:textId="77777777" w:rsidR="009C083D" w:rsidRPr="00A30C4C" w:rsidRDefault="009C083D" w:rsidP="00FD239F">
            <w:pPr>
              <w:pStyle w:val="InstructionsText"/>
            </w:pPr>
            <w:r>
              <w:lastRenderedPageBreak/>
              <w:t>170</w:t>
            </w:r>
          </w:p>
        </w:tc>
        <w:tc>
          <w:tcPr>
            <w:tcW w:w="8080" w:type="dxa"/>
          </w:tcPr>
          <w:p w14:paraId="65F9F502" w14:textId="517E39FB"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7239EF">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Sveukupni kapitalni zahtjev: koji se sastoji od redovnog osnovnog kapitala </w:t>
            </w:r>
          </w:p>
          <w:p w14:paraId="413935F4" w14:textId="1E673287" w:rsidR="009C083D" w:rsidRPr="00A30C4C" w:rsidRDefault="007239EF" w:rsidP="00FD239F">
            <w:pPr>
              <w:pStyle w:val="InstructionsText"/>
            </w:pPr>
            <w:r>
              <w:t xml:space="preserve">Zbroj </w:t>
            </w:r>
            <w:r>
              <w:t>(i) i (ii)</w:t>
            </w:r>
            <w:r w:rsidR="009C083D">
              <w:t xml:space="preserve"> određuje se kako slijedi:</w:t>
            </w:r>
          </w:p>
          <w:p w14:paraId="4AD79E84" w14:textId="77777777" w:rsidR="009C083D" w:rsidRPr="00A30C4C" w:rsidRDefault="009C083D" w:rsidP="00FD239F">
            <w:pPr>
              <w:pStyle w:val="InstructionsText"/>
              <w:numPr>
                <w:ilvl w:val="0"/>
                <w:numId w:val="24"/>
              </w:numPr>
            </w:pPr>
            <w:r>
              <w:t>stopa ukupnog kapitalnog zahtjeva u okviru SREP-a koji se sastoji od redovnog osnovnog kapitala iz retka 140;</w:t>
            </w:r>
          </w:p>
          <w:p w14:paraId="4CE915BA" w14:textId="3528691F" w:rsidR="009C083D" w:rsidRPr="00A30C4C" w:rsidRDefault="009C083D" w:rsidP="00FD239F">
            <w:pPr>
              <w:pStyle w:val="InstructionsText"/>
              <w:numPr>
                <w:ilvl w:val="0"/>
                <w:numId w:val="24"/>
              </w:numPr>
              <w:rPr>
                <w:bCs/>
                <w:u w:val="single"/>
              </w:rPr>
            </w:pPr>
            <w:r>
              <w:t>u mjeri u kojoj je to pravno primjenjivo, stopa zahtjeva za kombinirani zaštitni sloj iz članka 128. točke 6. CRD-a.</w:t>
            </w:r>
          </w:p>
          <w:p w14:paraId="24F3705E" w14:textId="786BDC3C" w:rsidR="00BA325A" w:rsidRPr="00A30C4C" w:rsidRDefault="00FF2818" w:rsidP="009068C9">
            <w:pPr>
              <w:pStyle w:val="InstructionsText"/>
              <w:rPr>
                <w:rStyle w:val="InstructionsTabelleberschrift"/>
                <w:rFonts w:ascii="Times New Roman" w:hAnsi="Times New Roman"/>
                <w:b w:val="0"/>
                <w:sz w:val="24"/>
              </w:rPr>
            </w:pPr>
            <w:r>
              <w:t>Ako se ne primjenjuje zahtjev za zaštitni</w:t>
            </w:r>
            <w:r w:rsidR="007239EF">
              <w:t xml:space="preserve"> sloj, iskazuje se samo točka </w:t>
            </w:r>
            <w:r w:rsidR="007239EF">
              <w:t>(i).</w:t>
            </w:r>
          </w:p>
        </w:tc>
      </w:tr>
      <w:tr w:rsidR="009C083D" w:rsidRPr="00A30C4C" w14:paraId="07333B3A" w14:textId="77777777" w:rsidTr="00672D2A">
        <w:tc>
          <w:tcPr>
            <w:tcW w:w="703" w:type="dxa"/>
          </w:tcPr>
          <w:p w14:paraId="3A944048" w14:textId="77777777" w:rsidR="009C083D" w:rsidRPr="00A30C4C" w:rsidRDefault="009C083D" w:rsidP="00FD239F">
            <w:pPr>
              <w:pStyle w:val="InstructionsText"/>
            </w:pPr>
            <w:r>
              <w:t>180</w:t>
            </w:r>
          </w:p>
        </w:tc>
        <w:tc>
          <w:tcPr>
            <w:tcW w:w="8080" w:type="dxa"/>
          </w:tcPr>
          <w:p w14:paraId="6472D30F" w14:textId="4C7F92A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007239EF">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Sveukupni kapitalni zahtjev: koji se sastoji od osnovnog kapitala</w:t>
            </w:r>
          </w:p>
          <w:p w14:paraId="2417DC8A" w14:textId="2EF6CAA8" w:rsidR="009C083D" w:rsidRPr="00A30C4C" w:rsidRDefault="007239EF" w:rsidP="00FD239F">
            <w:pPr>
              <w:pStyle w:val="InstructionsText"/>
            </w:pPr>
            <w:r>
              <w:t xml:space="preserve">Zbroj </w:t>
            </w:r>
            <w:r>
              <w:t>(i) i (ii)</w:t>
            </w:r>
            <w:r w:rsidR="009C083D">
              <w:t xml:space="preserve"> određuje se kako slijedi:</w:t>
            </w:r>
          </w:p>
          <w:p w14:paraId="427457CD" w14:textId="77777777" w:rsidR="009C083D" w:rsidRPr="00A30C4C" w:rsidRDefault="009C083D" w:rsidP="00FD239F">
            <w:pPr>
              <w:pStyle w:val="InstructionsText"/>
              <w:numPr>
                <w:ilvl w:val="0"/>
                <w:numId w:val="25"/>
              </w:numPr>
            </w:pPr>
            <w:r>
              <w:t>stopa ukupnog kapitalnog zahtjeva u okviru SREP-a koji se sastoji od osnovnog kapitala iz retka 150;</w:t>
            </w:r>
          </w:p>
          <w:p w14:paraId="045919C2" w14:textId="719C7597" w:rsidR="009C083D" w:rsidRPr="00A30C4C" w:rsidRDefault="009C083D" w:rsidP="00FD239F">
            <w:pPr>
              <w:pStyle w:val="InstructionsText"/>
              <w:numPr>
                <w:ilvl w:val="0"/>
                <w:numId w:val="25"/>
              </w:numPr>
              <w:rPr>
                <w:bCs/>
                <w:u w:val="single"/>
              </w:rPr>
            </w:pPr>
            <w:r>
              <w:t>u mjeri u kojoj je to pravno primjenjivo, stopa zahtjeva za kombinirani zaštitni sloj iz članka 128. točke 6. CRD-a.</w:t>
            </w:r>
          </w:p>
          <w:p w14:paraId="693DE97C" w14:textId="11BAB7AC" w:rsidR="00BA325A" w:rsidRPr="00A30C4C" w:rsidRDefault="00FF2818" w:rsidP="009068C9">
            <w:pPr>
              <w:pStyle w:val="InstructionsText"/>
              <w:rPr>
                <w:rStyle w:val="InstructionsTabelleberschrift"/>
                <w:rFonts w:ascii="Times New Roman" w:hAnsi="Times New Roman"/>
                <w:b w:val="0"/>
                <w:sz w:val="24"/>
              </w:rPr>
            </w:pPr>
            <w:r>
              <w:t>Ako se ne primjenjuje zahtjev za zaštitni</w:t>
            </w:r>
            <w:r w:rsidR="007239EF">
              <w:t xml:space="preserve"> sloj, iskazuje se samo točka </w:t>
            </w:r>
            <w:r w:rsidR="007239EF">
              <w:t>(i).</w:t>
            </w:r>
          </w:p>
        </w:tc>
      </w:tr>
      <w:tr w:rsidR="009C083D" w:rsidRPr="00A30C4C" w14:paraId="6FE97CA7" w14:textId="77777777" w:rsidTr="00672D2A">
        <w:tc>
          <w:tcPr>
            <w:tcW w:w="703" w:type="dxa"/>
          </w:tcPr>
          <w:p w14:paraId="5373D93D" w14:textId="77777777" w:rsidR="009C083D" w:rsidRPr="00A30C4C" w:rsidRDefault="009C083D" w:rsidP="00FD239F">
            <w:pPr>
              <w:pStyle w:val="InstructionsText"/>
            </w:pPr>
            <w:r>
              <w:t>190</w:t>
            </w:r>
          </w:p>
        </w:tc>
        <w:tc>
          <w:tcPr>
            <w:tcW w:w="8080" w:type="dxa"/>
          </w:tcPr>
          <w:p w14:paraId="1E61E9B4" w14:textId="4E6ADA32"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7239EF">
              <w:rPr>
                <w:rStyle w:val="InstructionsTabelleberschrift"/>
                <w:rFonts w:ascii="Times New Roman" w:hAnsi="Times New Roman"/>
                <w:sz w:val="24"/>
              </w:rPr>
              <w:t>.</w:t>
            </w:r>
            <w:r>
              <w:rPr>
                <w:rStyle w:val="InstructionsTabelleberschrift"/>
                <w:rFonts w:ascii="Times New Roman" w:hAnsi="Times New Roman"/>
                <w:sz w:val="24"/>
              </w:rPr>
              <w:tab/>
              <w:t xml:space="preserve">Stopa sveukupnog kapitalnog zahtjeva i zahtjeva iz stupa 2. na temelju smjernica </w:t>
            </w:r>
          </w:p>
          <w:p w14:paraId="2D4F717D" w14:textId="0926D209" w:rsidR="009C083D" w:rsidRPr="00A30C4C" w:rsidRDefault="007239EF" w:rsidP="00FD239F">
            <w:pPr>
              <w:pStyle w:val="InstructionsText"/>
            </w:pPr>
            <w:r>
              <w:t xml:space="preserve">Zbroj </w:t>
            </w:r>
            <w:r>
              <w:t>(i) i (ii)</w:t>
            </w:r>
            <w:r w:rsidR="009C083D">
              <w:t xml:space="preserve"> određuje se kako slijedi:</w:t>
            </w:r>
          </w:p>
          <w:p w14:paraId="5BC18CBE" w14:textId="77777777" w:rsidR="009C083D" w:rsidRPr="00A30C4C" w:rsidRDefault="009C083D" w:rsidP="00FD239F">
            <w:pPr>
              <w:pStyle w:val="InstructionsText"/>
              <w:numPr>
                <w:ilvl w:val="0"/>
                <w:numId w:val="26"/>
              </w:numPr>
            </w:pPr>
            <w:r>
              <w:t>stopa sveukupnog kapitalnog zahtjeva iz retka 160;</w:t>
            </w:r>
          </w:p>
          <w:p w14:paraId="2B41480A" w14:textId="77777777" w:rsidR="009C083D" w:rsidRPr="00A30C4C" w:rsidRDefault="009C083D" w:rsidP="00FD239F">
            <w:pPr>
              <w:pStyle w:val="InstructionsText"/>
              <w:numPr>
                <w:ilvl w:val="0"/>
                <w:numId w:val="26"/>
              </w:numPr>
              <w:rPr>
                <w:bCs/>
                <w:u w:val="single"/>
              </w:rPr>
            </w:pPr>
            <w:r>
              <w:t xml:space="preserve">ako je primjenjivo, zahtjev iz stupa 2. na temelju smjernica kako je definiran u EBA-inim smjernicama SREP GL. Zahtjev iz stupa 2. na temelju smjernica navodi se samo ako je nadležno tijelo o tome izvijestilo instituciju. </w:t>
            </w:r>
          </w:p>
          <w:p w14:paraId="02757A82" w14:textId="3511E8B4" w:rsidR="0047693D" w:rsidRPr="00A30C4C" w:rsidRDefault="00FF2818" w:rsidP="0014657C">
            <w:pPr>
              <w:pStyle w:val="InstructionsText"/>
              <w:rPr>
                <w:rStyle w:val="InstructionsTabelleberschrift"/>
                <w:rFonts w:ascii="Times New Roman" w:hAnsi="Times New Roman"/>
                <w:b w:val="0"/>
                <w:sz w:val="24"/>
              </w:rPr>
            </w:pPr>
            <w:r>
              <w:t>Ako nadležno tijelo nije izvijestilo instituciju o zahtjevu iz stupa 2. na temelju smje</w:t>
            </w:r>
            <w:r w:rsidR="007239EF">
              <w:t xml:space="preserve">rnica, iskazuje se samo točka </w:t>
            </w:r>
            <w:r w:rsidR="007239EF">
              <w:t>(i).</w:t>
            </w:r>
            <w:r>
              <w:t xml:space="preserve"> </w:t>
            </w:r>
            <w:r>
              <w:rPr>
                <w:rStyle w:val="InstructionsTabelleberschrift"/>
                <w:rFonts w:ascii="Times New Roman" w:hAnsi="Times New Roman"/>
                <w:b w:val="0"/>
                <w:sz w:val="24"/>
              </w:rPr>
              <w:t xml:space="preserve"> </w:t>
            </w:r>
          </w:p>
        </w:tc>
      </w:tr>
      <w:tr w:rsidR="009C083D" w:rsidRPr="00A30C4C" w14:paraId="112A24E1" w14:textId="77777777" w:rsidTr="00672D2A">
        <w:tc>
          <w:tcPr>
            <w:tcW w:w="703" w:type="dxa"/>
          </w:tcPr>
          <w:p w14:paraId="6B60120C" w14:textId="77777777" w:rsidR="009C083D" w:rsidRPr="00A30C4C" w:rsidRDefault="009C083D" w:rsidP="00FD239F">
            <w:pPr>
              <w:pStyle w:val="InstructionsText"/>
            </w:pPr>
            <w:r>
              <w:t>200</w:t>
            </w:r>
          </w:p>
        </w:tc>
        <w:tc>
          <w:tcPr>
            <w:tcW w:w="8080" w:type="dxa"/>
          </w:tcPr>
          <w:p w14:paraId="5FA13F2F" w14:textId="638B1B40"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7239EF">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Sveukupni kapitalni zahtjev i zahtjev iz stupa 2. na temelju smjernica: koji se sastoje od redovnog osnovnog kapitala </w:t>
            </w:r>
          </w:p>
          <w:p w14:paraId="4801CC69" w14:textId="142F524E" w:rsidR="009C083D" w:rsidRPr="00A30C4C" w:rsidRDefault="007239EF" w:rsidP="00FD239F">
            <w:pPr>
              <w:pStyle w:val="InstructionsText"/>
            </w:pPr>
            <w:r>
              <w:t xml:space="preserve">Zbroj </w:t>
            </w:r>
            <w:r>
              <w:t>(i) i (ii)</w:t>
            </w:r>
            <w:r w:rsidR="009C083D">
              <w:t xml:space="preserve"> određuje se kako slijedi:</w:t>
            </w:r>
          </w:p>
          <w:p w14:paraId="080BA5ED" w14:textId="77777777" w:rsidR="009C083D" w:rsidRPr="00A30C4C" w:rsidRDefault="009C083D" w:rsidP="00FD239F">
            <w:pPr>
              <w:pStyle w:val="InstructionsText"/>
              <w:numPr>
                <w:ilvl w:val="0"/>
                <w:numId w:val="27"/>
              </w:numPr>
            </w:pPr>
            <w:r>
              <w:t>stopa sveukupnog kapitalnog zahtjeva koji se sastoji od redovnog osnovnog kapitala iz retka 170;</w:t>
            </w:r>
          </w:p>
          <w:p w14:paraId="41E9170A" w14:textId="77777777" w:rsidR="009C083D" w:rsidRPr="00A30C4C" w:rsidRDefault="009C083D" w:rsidP="00FD239F">
            <w:pPr>
              <w:pStyle w:val="InstructionsText"/>
              <w:numPr>
                <w:ilvl w:val="0"/>
                <w:numId w:val="27"/>
              </w:numPr>
              <w:rPr>
                <w:bCs/>
                <w:u w:val="single"/>
              </w:rPr>
            </w:pPr>
            <w:r>
              <w:t xml:space="preserve">ako je primjenjivo, dio zahtjeva iz stupa 2. na temelju smjernica, naveden u točki ii. u retku 190, za koji nadležno tijelo zahtijeva da se drži u obliku </w:t>
            </w:r>
            <w:r>
              <w:lastRenderedPageBreak/>
              <w:t>redovnog osnovnog kapitala. Zahtjev iz stupa 2. na temelju smjernica navodi se samo ako je nadležno tijelo o tome izvijestilo instituciju.</w:t>
            </w:r>
          </w:p>
          <w:p w14:paraId="2625BF57" w14:textId="34249ADE" w:rsidR="0047693D" w:rsidRPr="00A30C4C" w:rsidRDefault="00FF2818" w:rsidP="0014657C">
            <w:pPr>
              <w:pStyle w:val="InstructionsText"/>
              <w:rPr>
                <w:rStyle w:val="InstructionsTabelleberschrift"/>
                <w:rFonts w:ascii="Times New Roman" w:hAnsi="Times New Roman"/>
                <w:b w:val="0"/>
                <w:sz w:val="24"/>
              </w:rPr>
            </w:pPr>
            <w:r>
              <w:t>Ako nadležno tijelo nije izvijestilo instituciju o zahtjevu iz stupa 2. na temelju smje</w:t>
            </w:r>
            <w:r w:rsidR="007239EF">
              <w:t xml:space="preserve">rnica, iskazuje se samo točka </w:t>
            </w:r>
            <w:r w:rsidR="007239EF">
              <w:t>(i).</w:t>
            </w:r>
          </w:p>
        </w:tc>
      </w:tr>
      <w:tr w:rsidR="009C083D" w:rsidRPr="00A30C4C" w14:paraId="6DB68548" w14:textId="77777777" w:rsidTr="00672D2A">
        <w:tc>
          <w:tcPr>
            <w:tcW w:w="703" w:type="dxa"/>
          </w:tcPr>
          <w:p w14:paraId="18D58F07" w14:textId="77777777" w:rsidR="009C083D" w:rsidRPr="00A30C4C" w:rsidRDefault="009C083D" w:rsidP="00FD239F">
            <w:pPr>
              <w:pStyle w:val="InstructionsText"/>
            </w:pPr>
            <w:r>
              <w:lastRenderedPageBreak/>
              <w:t>210</w:t>
            </w:r>
          </w:p>
        </w:tc>
        <w:tc>
          <w:tcPr>
            <w:tcW w:w="8080" w:type="dxa"/>
          </w:tcPr>
          <w:p w14:paraId="53DCB75D" w14:textId="7B658ECB"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007239EF">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 xml:space="preserve">Sveukupni kapitalni zahtjev i zahtjev iz stupa 2. na temelju smjernica: koji se sastoje od osnovnog kapitala </w:t>
            </w:r>
          </w:p>
          <w:p w14:paraId="557350FD" w14:textId="48474BFA" w:rsidR="009C083D" w:rsidRPr="00A30C4C" w:rsidRDefault="007239EF" w:rsidP="00FD239F">
            <w:pPr>
              <w:pStyle w:val="InstructionsText"/>
            </w:pPr>
            <w:r>
              <w:t xml:space="preserve">Zbroj </w:t>
            </w:r>
            <w:r>
              <w:t xml:space="preserve">(i) i (ii) </w:t>
            </w:r>
            <w:r w:rsidR="009C083D">
              <w:t xml:space="preserve"> određuje se kako slijedi:</w:t>
            </w:r>
          </w:p>
          <w:p w14:paraId="43F6CA75" w14:textId="77777777" w:rsidR="009C083D" w:rsidRPr="00A30C4C" w:rsidRDefault="009C083D" w:rsidP="00FD239F">
            <w:pPr>
              <w:pStyle w:val="InstructionsText"/>
              <w:numPr>
                <w:ilvl w:val="0"/>
                <w:numId w:val="28"/>
              </w:numPr>
            </w:pPr>
            <w:r>
              <w:t>stopa sveukupnog kapitalnog zahtjeva koji se sastoji od osnovnog kapitala iz retka 180;</w:t>
            </w:r>
          </w:p>
          <w:p w14:paraId="6DC1CE75" w14:textId="77777777" w:rsidR="009C083D" w:rsidRPr="00A30C4C" w:rsidRDefault="009C083D" w:rsidP="00FD239F">
            <w:pPr>
              <w:pStyle w:val="InstructionsText"/>
              <w:numPr>
                <w:ilvl w:val="0"/>
                <w:numId w:val="28"/>
              </w:numPr>
            </w:pPr>
            <w:r>
              <w:t>ako je primjenjivo, dio zahtjeva iz stupa 2. na temelju smjernica, naveden u točki ii. u retku 190, za koji nadležno tijelo zahtijeva da se drži u obliku osnovnog kapitala. Zahtjev iz stupa 2. na temelju smjernica navodi se samo ako je nadležno tijelo o tome izvijestilo instituciju.</w:t>
            </w:r>
          </w:p>
          <w:p w14:paraId="3F1A442F" w14:textId="5BA22FD2" w:rsidR="0047693D" w:rsidRPr="00A30C4C" w:rsidRDefault="00FF2818" w:rsidP="0014657C">
            <w:pPr>
              <w:pStyle w:val="InstructionsText"/>
              <w:rPr>
                <w:rStyle w:val="InstructionsTabelleberschrift"/>
                <w:rFonts w:ascii="Times New Roman" w:hAnsi="Times New Roman"/>
                <w:b w:val="0"/>
                <w:bCs w:val="0"/>
                <w:sz w:val="24"/>
                <w:u w:val="none"/>
              </w:rPr>
            </w:pPr>
            <w:r>
              <w:t>Ako nadležno tijelo nije izvijestilo instituciju o zahtjevu iz stupa 2. na temelju smj</w:t>
            </w:r>
            <w:r w:rsidR="007239EF">
              <w:t xml:space="preserve">ernica, iskazuje se samo točka </w:t>
            </w:r>
            <w:r w:rsidR="007239EF">
              <w:t>(i)</w:t>
            </w:r>
            <w:r>
              <w:t>.</w:t>
            </w:r>
            <w:r>
              <w:rPr>
                <w:rStyle w:val="InstructionsTabelleberschrift"/>
                <w:rFonts w:ascii="Times New Roman" w:hAnsi="Times New Roman"/>
                <w:b w:val="0"/>
                <w:sz w:val="24"/>
              </w:rPr>
              <w:t xml:space="preserve"> </w:t>
            </w:r>
          </w:p>
        </w:tc>
      </w:tr>
    </w:tbl>
    <w:p w14:paraId="0E23FC91" w14:textId="77777777" w:rsidR="005643EA" w:rsidRPr="00A30C4C" w:rsidRDefault="005643EA" w:rsidP="00FD239F">
      <w:pPr>
        <w:pStyle w:val="InstructionsText"/>
      </w:pPr>
    </w:p>
    <w:p w14:paraId="159CFF40"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30677635"/>
      <w:r>
        <w:rPr>
          <w:rFonts w:ascii="Times New Roman" w:hAnsi="Times New Roman"/>
          <w:sz w:val="24"/>
          <w:u w:val="none"/>
        </w:rPr>
        <w:t>1.5.</w:t>
      </w:r>
      <w:r>
        <w:rPr>
          <w:rFonts w:ascii="Times New Roman" w:hAnsi="Times New Roman"/>
          <w:sz w:val="24"/>
          <w:u w:val="none"/>
        </w:rPr>
        <w:tab/>
      </w:r>
      <w:r>
        <w:rPr>
          <w:rFonts w:ascii="Times New Roman" w:hAnsi="Times New Roman"/>
          <w:sz w:val="24"/>
        </w:rPr>
        <w:t>C 04.00 – BILJEŠKE (CA4)</w:t>
      </w:r>
      <w:bookmarkEnd w:id="59"/>
      <w:bookmarkEnd w:id="62"/>
      <w:r>
        <w:rPr>
          <w:rFonts w:ascii="Times New Roman" w:hAnsi="Times New Roman"/>
          <w:sz w:val="24"/>
        </w:rPr>
        <w:t xml:space="preserve"> </w:t>
      </w:r>
      <w:bookmarkEnd w:id="60"/>
      <w:bookmarkEnd w:id="61"/>
    </w:p>
    <w:p w14:paraId="42F8F30C"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30677636"/>
      <w:r>
        <w:rPr>
          <w:rFonts w:ascii="Times New Roman" w:hAnsi="Times New Roman"/>
          <w:sz w:val="24"/>
          <w:u w:val="none"/>
        </w:rPr>
        <w:t>1.5.1.</w:t>
      </w:r>
      <w:r>
        <w:rPr>
          <w:rFonts w:ascii="Times New Roman" w:hAnsi="Times New Roman"/>
          <w:sz w:val="24"/>
          <w:u w:val="none"/>
        </w:rPr>
        <w:tab/>
      </w:r>
      <w:bookmarkStart w:id="67" w:name="_Toc308175831"/>
      <w:r>
        <w:rPr>
          <w:rFonts w:ascii="Times New Roman" w:hAnsi="Times New Roman"/>
          <w:sz w:val="24"/>
        </w:rPr>
        <w:t xml:space="preserve">Upute za specifične </w:t>
      </w:r>
      <w:bookmarkEnd w:id="67"/>
      <w:bookmarkEnd w:id="63"/>
      <w:r>
        <w:rPr>
          <w:rFonts w:ascii="Times New Roman" w:hAnsi="Times New Roman"/>
          <w:sz w:val="24"/>
        </w:rPr>
        <w:t>pozicije</w:t>
      </w:r>
      <w:bookmarkEnd w:id="64"/>
      <w:bookmarkEnd w:id="65"/>
      <w:bookmarkEnd w:id="66"/>
    </w:p>
    <w:p w14:paraId="6390E10F"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A30C4C" w14:paraId="313B6EA1" w14:textId="77777777" w:rsidTr="00672D2A">
        <w:tc>
          <w:tcPr>
            <w:tcW w:w="8749" w:type="dxa"/>
            <w:gridSpan w:val="2"/>
            <w:shd w:val="clear" w:color="auto" w:fill="D9D9D9"/>
          </w:tcPr>
          <w:p w14:paraId="4816E426" w14:textId="77777777" w:rsidR="005643EA" w:rsidRPr="00A30C4C" w:rsidRDefault="002648B0" w:rsidP="00FD239F">
            <w:pPr>
              <w:pStyle w:val="InstructionsText"/>
            </w:pPr>
            <w:r>
              <w:t>Redci</w:t>
            </w:r>
          </w:p>
        </w:tc>
      </w:tr>
      <w:tr w:rsidR="002648B0" w:rsidRPr="00A30C4C" w14:paraId="22110935" w14:textId="77777777" w:rsidTr="00672D2A">
        <w:tc>
          <w:tcPr>
            <w:tcW w:w="1506" w:type="dxa"/>
          </w:tcPr>
          <w:p w14:paraId="500FF4BF" w14:textId="77777777" w:rsidR="002648B0" w:rsidRPr="00A30C4C" w:rsidRDefault="002648B0" w:rsidP="00FD239F">
            <w:pPr>
              <w:pStyle w:val="InstructionsText"/>
            </w:pPr>
            <w:r>
              <w:t>010</w:t>
            </w:r>
          </w:p>
        </w:tc>
        <w:tc>
          <w:tcPr>
            <w:tcW w:w="7243" w:type="dxa"/>
          </w:tcPr>
          <w:p w14:paraId="0F2D308F" w14:textId="77777777" w:rsidR="005643EA" w:rsidRPr="00A30C4C" w:rsidRDefault="00C66473" w:rsidP="00FD239F">
            <w:pPr>
              <w:pStyle w:val="InstructionsText"/>
            </w:pPr>
            <w:r>
              <w:rPr>
                <w:rStyle w:val="InstructionsTabelleberschrift"/>
                <w:rFonts w:ascii="Times New Roman" w:hAnsi="Times New Roman"/>
                <w:sz w:val="24"/>
              </w:rPr>
              <w:t>1.</w:t>
            </w:r>
            <w:r>
              <w:rPr>
                <w:rStyle w:val="InstructionsTabelleberschrift"/>
                <w:rFonts w:ascii="Times New Roman" w:hAnsi="Times New Roman"/>
                <w:sz w:val="24"/>
              </w:rPr>
              <w:tab/>
              <w:t>Ukupna odgođena porezna imovina</w:t>
            </w:r>
          </w:p>
          <w:p w14:paraId="53ACAA60" w14:textId="72B9D86A" w:rsidR="005643EA" w:rsidRPr="00A30C4C" w:rsidRDefault="002648B0" w:rsidP="0014657C">
            <w:pPr>
              <w:pStyle w:val="InstructionsText"/>
            </w:pPr>
            <w:r>
              <w:t>Iznos iskazan u ovoj stavci jednak je iznosu iskazanom u najnovijoj provjerenoj/revidiranoj računovodstvenoj bilanci.</w:t>
            </w:r>
          </w:p>
        </w:tc>
      </w:tr>
      <w:tr w:rsidR="002648B0" w:rsidRPr="00A30C4C" w14:paraId="14E6DBA6" w14:textId="77777777" w:rsidTr="00672D2A">
        <w:tc>
          <w:tcPr>
            <w:tcW w:w="1506" w:type="dxa"/>
          </w:tcPr>
          <w:p w14:paraId="029AF20D" w14:textId="77777777" w:rsidR="002648B0" w:rsidRPr="00A30C4C" w:rsidRDefault="002648B0" w:rsidP="00FD239F">
            <w:pPr>
              <w:pStyle w:val="InstructionsText"/>
            </w:pPr>
            <w:r>
              <w:t>020</w:t>
            </w:r>
          </w:p>
        </w:tc>
        <w:tc>
          <w:tcPr>
            <w:tcW w:w="7243" w:type="dxa"/>
          </w:tcPr>
          <w:p w14:paraId="0D448E41" w14:textId="79D018B5" w:rsidR="005643EA" w:rsidRPr="00A30C4C" w:rsidRDefault="002648B0" w:rsidP="00FD239F">
            <w:pPr>
              <w:pStyle w:val="InstructionsText"/>
            </w:pPr>
            <w:r>
              <w:rPr>
                <w:rStyle w:val="InstructionsTabelleberschrift"/>
                <w:rFonts w:ascii="Times New Roman" w:hAnsi="Times New Roman"/>
                <w:sz w:val="24"/>
              </w:rPr>
              <w:t>1.1</w:t>
            </w:r>
            <w:r w:rsidR="009751F5">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ne ovisi o budućoj profitabilnosti</w:t>
            </w:r>
          </w:p>
          <w:p w14:paraId="1A120991" w14:textId="2E724B6B" w:rsidR="005643EA" w:rsidRPr="00A30C4C" w:rsidRDefault="002648B0" w:rsidP="00FD239F">
            <w:pPr>
              <w:pStyle w:val="InstructionsText"/>
            </w:pPr>
            <w:r>
              <w:t>Članak 39. stavak 2. CRR-a</w:t>
            </w:r>
          </w:p>
          <w:p w14:paraId="4105C1C1" w14:textId="77777777" w:rsidR="005643EA" w:rsidRPr="00A30C4C" w:rsidRDefault="002648B0" w:rsidP="00FD239F">
            <w:pPr>
              <w:pStyle w:val="InstructionsText"/>
            </w:pPr>
            <w:r>
              <w:t>Odgođena porezna imovina koja ne ovisi o budućoj profitabilnosti i stoga se na nju primjenjuje ponder rizika.</w:t>
            </w:r>
          </w:p>
        </w:tc>
      </w:tr>
      <w:tr w:rsidR="002648B0" w:rsidRPr="00A30C4C" w14:paraId="53A2C3B9" w14:textId="77777777" w:rsidTr="00672D2A">
        <w:tc>
          <w:tcPr>
            <w:tcW w:w="1506" w:type="dxa"/>
          </w:tcPr>
          <w:p w14:paraId="778538E2" w14:textId="77777777" w:rsidR="002648B0" w:rsidRPr="00A30C4C" w:rsidRDefault="002648B0" w:rsidP="00FD239F">
            <w:pPr>
              <w:pStyle w:val="InstructionsText"/>
            </w:pPr>
            <w:r>
              <w:t>030</w:t>
            </w:r>
          </w:p>
        </w:tc>
        <w:tc>
          <w:tcPr>
            <w:tcW w:w="7243" w:type="dxa"/>
          </w:tcPr>
          <w:p w14:paraId="4CE41E2D" w14:textId="64D91D7F" w:rsidR="005643EA" w:rsidRPr="00A30C4C" w:rsidRDefault="002648B0" w:rsidP="00FD239F">
            <w:pPr>
              <w:pStyle w:val="InstructionsText"/>
            </w:pPr>
            <w:r>
              <w:rPr>
                <w:rStyle w:val="InstructionsTabelleberschrift"/>
                <w:rFonts w:ascii="Times New Roman" w:hAnsi="Times New Roman"/>
                <w:sz w:val="24"/>
              </w:rPr>
              <w:t>1.2</w:t>
            </w:r>
            <w:r w:rsidR="009751F5">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ovisi o budućoj profitabilnosti i ne proizlazi iz privremenih razlika</w:t>
            </w:r>
          </w:p>
          <w:p w14:paraId="666689B9" w14:textId="584FCF22" w:rsidR="005643EA" w:rsidRPr="00A30C4C" w:rsidRDefault="0014657C" w:rsidP="00FD239F">
            <w:pPr>
              <w:pStyle w:val="InstructionsText"/>
            </w:pPr>
            <w:r>
              <w:t>Članak 36. stavak 1. točka (c) i članak 38. CRR-a</w:t>
            </w:r>
          </w:p>
          <w:p w14:paraId="06BE7532" w14:textId="77777777" w:rsidR="005643EA" w:rsidRPr="00A30C4C" w:rsidRDefault="002648B0" w:rsidP="00FD239F">
            <w:pPr>
              <w:pStyle w:val="InstructionsText"/>
            </w:pPr>
            <w:r>
              <w:t>Odgođena porezna imovina koja ovisi o budućoj profitabilnosti, ali ne proizlazi iz privremenih razlika i stoga se na nju ne primjenjuje nikakav prag (tj. u potpunosti je odbijena od redovnog osnovnog kapitala).</w:t>
            </w:r>
          </w:p>
        </w:tc>
      </w:tr>
      <w:tr w:rsidR="002648B0" w:rsidRPr="00A30C4C" w14:paraId="50B75D93" w14:textId="77777777" w:rsidTr="00672D2A">
        <w:tc>
          <w:tcPr>
            <w:tcW w:w="1506" w:type="dxa"/>
          </w:tcPr>
          <w:p w14:paraId="263B71C4" w14:textId="77777777" w:rsidR="002648B0" w:rsidRPr="00A30C4C" w:rsidRDefault="002648B0" w:rsidP="00FD239F">
            <w:pPr>
              <w:pStyle w:val="InstructionsText"/>
            </w:pPr>
            <w:r>
              <w:t>040</w:t>
            </w:r>
          </w:p>
        </w:tc>
        <w:tc>
          <w:tcPr>
            <w:tcW w:w="7243" w:type="dxa"/>
          </w:tcPr>
          <w:p w14:paraId="518832B6" w14:textId="736FACD0" w:rsidR="005643EA" w:rsidRPr="00A30C4C" w:rsidRDefault="002648B0" w:rsidP="00FD239F">
            <w:pPr>
              <w:pStyle w:val="InstructionsText"/>
            </w:pPr>
            <w:r>
              <w:rPr>
                <w:rStyle w:val="InstructionsTabelleberschrift"/>
                <w:rFonts w:ascii="Times New Roman" w:hAnsi="Times New Roman"/>
                <w:sz w:val="24"/>
              </w:rPr>
              <w:t>1.3</w:t>
            </w:r>
            <w:r w:rsidR="009751F5">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ovisi o budućoj profitabilnosti i proizlazi iz privremenih razlika</w:t>
            </w:r>
          </w:p>
          <w:p w14:paraId="710E4708" w14:textId="08191F9B" w:rsidR="005643EA" w:rsidRPr="00A30C4C" w:rsidRDefault="0014657C" w:rsidP="00FD239F">
            <w:pPr>
              <w:pStyle w:val="InstructionsText"/>
            </w:pPr>
            <w:r>
              <w:t>Članak 36. stavak 1. točka (c) CRR-a Članak 38. i članak 48. stavak 1. točka (a) CRR-a</w:t>
            </w:r>
          </w:p>
          <w:p w14:paraId="4BC7F2B8" w14:textId="46DE428B" w:rsidR="005643EA" w:rsidRPr="00A30C4C" w:rsidRDefault="002648B0" w:rsidP="00FD239F">
            <w:pPr>
              <w:pStyle w:val="InstructionsText"/>
            </w:pPr>
            <w:r>
              <w:lastRenderedPageBreak/>
              <w:t>Odgođena porezna imovina koja ovisi o budućoj profitabilnosti i proizlazi iz privremenih razlika te se stoga na njezin odbitak od redovnog osnovnog kapitala primjenjuju pragovi od 10 % i 17,65 % iz članka 48. CRR-a.</w:t>
            </w:r>
          </w:p>
        </w:tc>
      </w:tr>
      <w:tr w:rsidR="002648B0" w:rsidRPr="00A30C4C" w14:paraId="410FE284" w14:textId="77777777" w:rsidTr="00672D2A">
        <w:tc>
          <w:tcPr>
            <w:tcW w:w="1506" w:type="dxa"/>
          </w:tcPr>
          <w:p w14:paraId="258DBD5A" w14:textId="77777777" w:rsidR="002648B0" w:rsidRPr="00A30C4C" w:rsidRDefault="002648B0" w:rsidP="00FD239F">
            <w:pPr>
              <w:pStyle w:val="InstructionsText"/>
            </w:pPr>
            <w:r>
              <w:lastRenderedPageBreak/>
              <w:t>050</w:t>
            </w:r>
          </w:p>
        </w:tc>
        <w:tc>
          <w:tcPr>
            <w:tcW w:w="7243" w:type="dxa"/>
          </w:tcPr>
          <w:p w14:paraId="49A5DD38" w14:textId="787FB0D7" w:rsidR="005643EA" w:rsidRPr="00A30C4C" w:rsidRDefault="002648B0" w:rsidP="00FD239F">
            <w:pPr>
              <w:pStyle w:val="InstructionsText"/>
            </w:pPr>
            <w:r>
              <w:rPr>
                <w:rStyle w:val="InstructionsTabelleberschrift"/>
                <w:rFonts w:ascii="Times New Roman" w:hAnsi="Times New Roman"/>
                <w:sz w:val="24"/>
              </w:rPr>
              <w:t>2</w:t>
            </w:r>
            <w:r w:rsidR="009751F5">
              <w:rPr>
                <w:rStyle w:val="InstructionsTabelleberschrift"/>
                <w:rFonts w:ascii="Times New Roman" w:hAnsi="Times New Roman"/>
                <w:sz w:val="24"/>
              </w:rPr>
              <w:t>.</w:t>
            </w:r>
            <w:r>
              <w:rPr>
                <w:rStyle w:val="InstructionsTabelleberschrift"/>
                <w:rFonts w:ascii="Times New Roman" w:hAnsi="Times New Roman"/>
                <w:sz w:val="24"/>
              </w:rPr>
              <w:t xml:space="preserve"> Ukupne odgođene porezne obveze</w:t>
            </w:r>
          </w:p>
          <w:p w14:paraId="7B2477AB" w14:textId="77777777" w:rsidR="005643EA" w:rsidRPr="00A30C4C" w:rsidRDefault="002648B0" w:rsidP="00FD239F">
            <w:pPr>
              <w:pStyle w:val="InstructionsText"/>
            </w:pPr>
            <w:r>
              <w:t>Iznos iskazan u ovoj stavci jednak je iznosu iskazanom u zadnjoj provjerenoj/revidiranoj računovodstvenoj bilanci.</w:t>
            </w:r>
          </w:p>
        </w:tc>
      </w:tr>
      <w:tr w:rsidR="002648B0" w:rsidRPr="00A30C4C" w14:paraId="107EE33C" w14:textId="77777777" w:rsidTr="00672D2A">
        <w:tc>
          <w:tcPr>
            <w:tcW w:w="1506" w:type="dxa"/>
          </w:tcPr>
          <w:p w14:paraId="1971C47D" w14:textId="77777777" w:rsidR="002648B0" w:rsidRPr="00A30C4C" w:rsidRDefault="002648B0" w:rsidP="00FD239F">
            <w:pPr>
              <w:pStyle w:val="InstructionsText"/>
            </w:pPr>
            <w:r>
              <w:t>060</w:t>
            </w:r>
          </w:p>
        </w:tc>
        <w:tc>
          <w:tcPr>
            <w:tcW w:w="7243" w:type="dxa"/>
          </w:tcPr>
          <w:p w14:paraId="3C8B9D6B" w14:textId="7FF1A554" w:rsidR="005643EA" w:rsidRPr="00A30C4C" w:rsidRDefault="002648B0" w:rsidP="00FD239F">
            <w:pPr>
              <w:pStyle w:val="InstructionsText"/>
            </w:pPr>
            <w:r>
              <w:rPr>
                <w:rStyle w:val="InstructionsTabelleberschrift"/>
                <w:rFonts w:ascii="Times New Roman" w:hAnsi="Times New Roman"/>
                <w:sz w:val="24"/>
              </w:rPr>
              <w:t>2.1</w:t>
            </w:r>
            <w:r w:rsidR="009751F5">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ne mogu odbiti od odgođene porezne imovine koja ovisi o budućoj profitabilnosti</w:t>
            </w:r>
          </w:p>
          <w:p w14:paraId="5322D994" w14:textId="7DF27794" w:rsidR="005643EA" w:rsidRPr="00A30C4C" w:rsidRDefault="00167619" w:rsidP="00FD239F">
            <w:pPr>
              <w:pStyle w:val="InstructionsText"/>
            </w:pPr>
            <w:r>
              <w:t>Članak 38. stavci 3. i 4. CRR-a</w:t>
            </w:r>
          </w:p>
          <w:p w14:paraId="7B01D615" w14:textId="5D2F8BDB" w:rsidR="005643EA" w:rsidRPr="00A30C4C" w:rsidRDefault="002648B0" w:rsidP="00167619">
            <w:pPr>
              <w:pStyle w:val="InstructionsText"/>
            </w:pPr>
            <w:r>
              <w:t xml:space="preserve">Odgođene porezne obveze za koje nisu ispunjeni uvjeti iz članka 38. stavaka 3. i 4. CRR-a. Stoga ova stavka uključuje odgođene porezne obveze kojima se umanjuje iznos </w:t>
            </w:r>
            <w:proofErr w:type="spellStart"/>
            <w:r>
              <w:t>goodwilla</w:t>
            </w:r>
            <w:proofErr w:type="spellEnd"/>
            <w:r>
              <w:t>, osim nematerijalne imovine ili imovine mirovinskog fonda pod pokroviteljstvom poslodavca koju je potrebno odbiti, koje se iskazuju u stavci CA1 1.1.1.10.3., 1.1.1.11.2. odnosno 1.1.1.14.2.</w:t>
            </w:r>
          </w:p>
        </w:tc>
      </w:tr>
      <w:tr w:rsidR="002648B0" w:rsidRPr="00A30C4C" w14:paraId="51025795" w14:textId="77777777" w:rsidTr="00672D2A">
        <w:tc>
          <w:tcPr>
            <w:tcW w:w="1506" w:type="dxa"/>
          </w:tcPr>
          <w:p w14:paraId="6EE03528" w14:textId="77777777" w:rsidR="002648B0" w:rsidRPr="00A30C4C" w:rsidRDefault="002648B0" w:rsidP="00FD239F">
            <w:pPr>
              <w:pStyle w:val="InstructionsText"/>
            </w:pPr>
            <w:r>
              <w:t>070</w:t>
            </w:r>
          </w:p>
        </w:tc>
        <w:tc>
          <w:tcPr>
            <w:tcW w:w="7243" w:type="dxa"/>
          </w:tcPr>
          <w:p w14:paraId="2A6440DC" w14:textId="56FAADC0" w:rsidR="005643EA" w:rsidRPr="00A30C4C" w:rsidRDefault="002648B0" w:rsidP="00FD239F">
            <w:pPr>
              <w:pStyle w:val="InstructionsText"/>
            </w:pPr>
            <w:r>
              <w:rPr>
                <w:rStyle w:val="InstructionsTabelleberschrift"/>
                <w:rFonts w:ascii="Times New Roman" w:hAnsi="Times New Roman"/>
                <w:sz w:val="24"/>
              </w:rPr>
              <w:t>2.2</w:t>
            </w:r>
            <w:r w:rsidR="009751F5">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mogu odbiti od odgođene porezne imovine koja ovisi o budućoj profitabilnosti</w:t>
            </w:r>
          </w:p>
          <w:p w14:paraId="6318FF2D" w14:textId="3FCE05C3" w:rsidR="005643EA" w:rsidRPr="00A30C4C" w:rsidRDefault="002648B0" w:rsidP="00FD239F">
            <w:pPr>
              <w:pStyle w:val="InstructionsText"/>
            </w:pPr>
            <w:r>
              <w:t>Članak 38. CRR-a</w:t>
            </w:r>
          </w:p>
        </w:tc>
      </w:tr>
      <w:tr w:rsidR="002648B0" w:rsidRPr="00A30C4C" w14:paraId="19EBEDDB" w14:textId="77777777" w:rsidTr="00672D2A">
        <w:tc>
          <w:tcPr>
            <w:tcW w:w="1506" w:type="dxa"/>
          </w:tcPr>
          <w:p w14:paraId="61E6E118" w14:textId="77777777" w:rsidR="002648B0" w:rsidRPr="00A30C4C" w:rsidRDefault="002648B0" w:rsidP="00FD239F">
            <w:pPr>
              <w:pStyle w:val="InstructionsText"/>
            </w:pPr>
            <w:r>
              <w:t>080</w:t>
            </w:r>
          </w:p>
        </w:tc>
        <w:tc>
          <w:tcPr>
            <w:tcW w:w="7243" w:type="dxa"/>
          </w:tcPr>
          <w:p w14:paraId="71563A1F" w14:textId="2FCFEDF1" w:rsidR="005643EA" w:rsidRPr="00A30C4C" w:rsidRDefault="002648B0" w:rsidP="00FD239F">
            <w:pPr>
              <w:pStyle w:val="InstructionsText"/>
            </w:pPr>
            <w:r>
              <w:rPr>
                <w:rStyle w:val="InstructionsTabelleberschrift"/>
                <w:rFonts w:ascii="Times New Roman" w:hAnsi="Times New Roman"/>
                <w:sz w:val="24"/>
              </w:rPr>
              <w:t>2.2.1</w:t>
            </w:r>
            <w:r w:rsidR="009751F5">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mogu odbiti i koje su povezane s odgođenom poreznom imovinom koja ovisi o budućoj profitabilnosti i ne proizlazi iz privremenih razlika</w:t>
            </w:r>
          </w:p>
          <w:p w14:paraId="1400A064" w14:textId="0A7081CC" w:rsidR="005643EA" w:rsidRPr="00A30C4C" w:rsidRDefault="00167619" w:rsidP="00FD239F">
            <w:pPr>
              <w:pStyle w:val="InstructionsText"/>
            </w:pPr>
            <w:r>
              <w:t>Članak 38. stavci 3., 4. i 5. CRR-a</w:t>
            </w:r>
          </w:p>
          <w:p w14:paraId="7715C9CE" w14:textId="1A690E88" w:rsidR="005643EA" w:rsidRPr="00A30C4C" w:rsidRDefault="002648B0" w:rsidP="00167619">
            <w:pPr>
              <w:pStyle w:val="InstructionsText"/>
            </w:pPr>
            <w:r>
              <w:t xml:space="preserve">Odgođene porezne obveze kojima se može umanjiti iznos odgođene porezne imovine koja ovisi o budućoj profitabilnosti, </w:t>
            </w:r>
            <w:r>
              <w:rPr>
                <w:rStyle w:val="FormatvorlageInstructionsTabelleText"/>
                <w:rFonts w:ascii="Times New Roman" w:hAnsi="Times New Roman"/>
                <w:sz w:val="24"/>
              </w:rPr>
              <w:t xml:space="preserve">u skladu s </w:t>
            </w:r>
            <w:r>
              <w:t>člankom 38. stavcima 3. i 4. CRR-a, i koje nisu raspoređene odgođenoj poreznoj imovini koja ovisi o budućoj profitabilnosti i proizlazi iz privremenih razlika, kako je utvrđeno u članku 38. stavku 5. CRR-a</w:t>
            </w:r>
          </w:p>
        </w:tc>
      </w:tr>
      <w:tr w:rsidR="002648B0" w:rsidRPr="00A30C4C" w14:paraId="3A9755BF" w14:textId="77777777" w:rsidTr="00672D2A">
        <w:tc>
          <w:tcPr>
            <w:tcW w:w="1506" w:type="dxa"/>
          </w:tcPr>
          <w:p w14:paraId="0B10B484" w14:textId="77777777" w:rsidR="002648B0" w:rsidRPr="00A30C4C" w:rsidRDefault="002648B0" w:rsidP="00FD239F">
            <w:pPr>
              <w:pStyle w:val="InstructionsText"/>
            </w:pPr>
            <w:r>
              <w:t>090</w:t>
            </w:r>
          </w:p>
        </w:tc>
        <w:tc>
          <w:tcPr>
            <w:tcW w:w="7243" w:type="dxa"/>
          </w:tcPr>
          <w:p w14:paraId="1AE9EA25" w14:textId="6969FAAE" w:rsidR="005643EA" w:rsidRPr="00A30C4C" w:rsidRDefault="002648B0" w:rsidP="00FD239F">
            <w:pPr>
              <w:pStyle w:val="InstructionsText"/>
            </w:pPr>
            <w:r>
              <w:rPr>
                <w:rStyle w:val="InstructionsTabelleberschrift"/>
                <w:rFonts w:ascii="Times New Roman" w:hAnsi="Times New Roman"/>
                <w:sz w:val="24"/>
              </w:rPr>
              <w:t>2.2.2</w:t>
            </w:r>
            <w:r w:rsidR="009751F5">
              <w:rPr>
                <w:rStyle w:val="InstructionsTabelleberschrift"/>
                <w:rFonts w:ascii="Times New Roman" w:hAnsi="Times New Roman"/>
                <w:sz w:val="24"/>
              </w:rPr>
              <w:t>.</w:t>
            </w:r>
            <w:r>
              <w:rPr>
                <w:rStyle w:val="InstructionsTabelleberschrift"/>
                <w:rFonts w:ascii="Times New Roman" w:hAnsi="Times New Roman"/>
                <w:sz w:val="24"/>
              </w:rPr>
              <w:tab/>
              <w:t>Odgođene porezne obveze koje se mogu odbiti i koje su povezane s odgođenom poreznom imovinom koja ovisi o budućoj profitabilnosti i proizlazi iz privremenih razlika</w:t>
            </w:r>
          </w:p>
          <w:p w14:paraId="1AC85E24" w14:textId="36124B41" w:rsidR="005643EA" w:rsidRPr="00A30C4C" w:rsidRDefault="00167619" w:rsidP="00FD239F">
            <w:pPr>
              <w:pStyle w:val="InstructionsText"/>
            </w:pPr>
            <w:r>
              <w:t>Članak 38. stavci 3., 4. i 5. CRR-a</w:t>
            </w:r>
          </w:p>
          <w:p w14:paraId="13D0569C" w14:textId="4C4940CF" w:rsidR="005643EA" w:rsidRPr="00A30C4C" w:rsidRDefault="002648B0" w:rsidP="00167619">
            <w:pPr>
              <w:pStyle w:val="InstructionsText"/>
            </w:pPr>
            <w:r>
              <w:t xml:space="preserve">Odgođene porezne obveze kojima se može umanjiti iznos odgođene porezne imovine koja ovisi o budućoj profitabilnosti, </w:t>
            </w:r>
            <w:r>
              <w:rPr>
                <w:rStyle w:val="FormatvorlageInstructionsTabelleText"/>
                <w:rFonts w:ascii="Times New Roman" w:hAnsi="Times New Roman"/>
                <w:sz w:val="24"/>
              </w:rPr>
              <w:t xml:space="preserve">u skladu s </w:t>
            </w:r>
            <w:r>
              <w:t>člankom 38. stavcima 3. i 4. CRR-a, i koje su raspoređene odgođenoj poreznoj imovini koja ovisi o budućoj profitabilnosti i proizlazi iz privremenih razlika, kako je utvrđeno u članku 38. stavku 5. CRR-a</w:t>
            </w:r>
          </w:p>
        </w:tc>
      </w:tr>
      <w:tr w:rsidR="00550113" w:rsidRPr="00A30C4C" w14:paraId="4AC775B1" w14:textId="77777777" w:rsidTr="00672D2A">
        <w:tc>
          <w:tcPr>
            <w:tcW w:w="1506" w:type="dxa"/>
          </w:tcPr>
          <w:p w14:paraId="5AC14744" w14:textId="77777777" w:rsidR="00550113" w:rsidRPr="00A30C4C" w:rsidRDefault="00550113" w:rsidP="00FD239F">
            <w:pPr>
              <w:pStyle w:val="InstructionsText"/>
            </w:pPr>
            <w:r>
              <w:t>093</w:t>
            </w:r>
          </w:p>
        </w:tc>
        <w:tc>
          <w:tcPr>
            <w:tcW w:w="7243" w:type="dxa"/>
          </w:tcPr>
          <w:p w14:paraId="43D7F576" w14:textId="77777777" w:rsidR="00550113" w:rsidRPr="00A30C4C" w:rsidRDefault="00550113" w:rsidP="00FD239F">
            <w:pPr>
              <w:pStyle w:val="InstructionsText"/>
            </w:pPr>
            <w:r>
              <w:rPr>
                <w:rStyle w:val="InstructionsTabelleberschrift"/>
                <w:rFonts w:ascii="Times New Roman" w:hAnsi="Times New Roman"/>
                <w:sz w:val="24"/>
              </w:rPr>
              <w:t>2A</w:t>
            </w:r>
            <w:r>
              <w:rPr>
                <w:rStyle w:val="InstructionsTabelleberschrift"/>
                <w:rFonts w:ascii="Times New Roman" w:hAnsi="Times New Roman"/>
                <w:sz w:val="24"/>
              </w:rPr>
              <w:tab/>
              <w:t>Preplata poreza i prijenos poreznoga gubitka</w:t>
            </w:r>
          </w:p>
          <w:p w14:paraId="4EF09013" w14:textId="31481A2B" w:rsidR="00550113" w:rsidRPr="00A30C4C" w:rsidRDefault="00201704" w:rsidP="00FD239F">
            <w:pPr>
              <w:pStyle w:val="InstructionsText"/>
            </w:pPr>
            <w:r>
              <w:t>Članak 39. stavak 1. CRR-a</w:t>
            </w:r>
          </w:p>
          <w:p w14:paraId="7DD40B6E" w14:textId="3620BCB6" w:rsidR="00550113" w:rsidRPr="00A30C4C" w:rsidRDefault="00550113" w:rsidP="0014657C">
            <w:pPr>
              <w:pStyle w:val="InstructionsText"/>
              <w:rPr>
                <w:rStyle w:val="InstructionsTabelleberschrift"/>
                <w:rFonts w:ascii="Times New Roman" w:hAnsi="Times New Roman"/>
                <w:b w:val="0"/>
                <w:bCs w:val="0"/>
                <w:sz w:val="24"/>
                <w:u w:val="none"/>
              </w:rPr>
            </w:pPr>
            <w:r>
              <w:t>Iznos preplate poreza i prijenosa poreznoga gubitka koji se ne odbija od regulatornog kapitala u skladu s člankom 39. stavkom 1. CRR-a; iskazani iznos jednak je iznosu prije primjene pondera rizika.</w:t>
            </w:r>
          </w:p>
        </w:tc>
      </w:tr>
      <w:tr w:rsidR="00DF65DF" w:rsidRPr="00A30C4C" w14:paraId="5F206D74" w14:textId="77777777" w:rsidTr="00672D2A">
        <w:tc>
          <w:tcPr>
            <w:tcW w:w="1506" w:type="dxa"/>
          </w:tcPr>
          <w:p w14:paraId="60FAF585" w14:textId="77777777" w:rsidR="00DF65DF" w:rsidRPr="00A30C4C" w:rsidRDefault="00DF65DF" w:rsidP="00FD239F">
            <w:pPr>
              <w:pStyle w:val="InstructionsText"/>
            </w:pPr>
            <w:r>
              <w:lastRenderedPageBreak/>
              <w:t>096</w:t>
            </w:r>
          </w:p>
        </w:tc>
        <w:tc>
          <w:tcPr>
            <w:tcW w:w="7243" w:type="dxa"/>
          </w:tcPr>
          <w:p w14:paraId="16A9D094" w14:textId="77777777" w:rsidR="00DF65DF" w:rsidRPr="00A30C4C" w:rsidRDefault="00550113" w:rsidP="00FD239F">
            <w:pPr>
              <w:pStyle w:val="InstructionsText"/>
            </w:pPr>
            <w:r>
              <w:rPr>
                <w:rStyle w:val="InstructionsTabelleberschrift"/>
                <w:rFonts w:ascii="Times New Roman" w:hAnsi="Times New Roman"/>
                <w:sz w:val="24"/>
              </w:rPr>
              <w:t>2B</w:t>
            </w:r>
            <w:r>
              <w:rPr>
                <w:rStyle w:val="InstructionsTabelleberschrift"/>
                <w:rFonts w:ascii="Times New Roman" w:hAnsi="Times New Roman"/>
                <w:sz w:val="24"/>
              </w:rPr>
              <w:tab/>
              <w:t>Odgođena porezna imovina na koju se primjenjuje ponder rizika od 250 %</w:t>
            </w:r>
          </w:p>
          <w:p w14:paraId="0BB36867" w14:textId="20F46AD6" w:rsidR="00DF65DF" w:rsidRPr="00A30C4C" w:rsidRDefault="00201704" w:rsidP="00FD239F">
            <w:pPr>
              <w:pStyle w:val="InstructionsText"/>
            </w:pPr>
            <w:r>
              <w:t>Članak 48. stavak 4. CRR-a</w:t>
            </w:r>
          </w:p>
          <w:p w14:paraId="7CB8F874" w14:textId="77777777" w:rsidR="00DF65DF" w:rsidRPr="00A30C4C" w:rsidRDefault="00DF65DF" w:rsidP="00FD239F">
            <w:pPr>
              <w:pStyle w:val="InstructionsText"/>
              <w:rPr>
                <w:rStyle w:val="InstructionsTabelleberschrift"/>
                <w:rFonts w:ascii="Times New Roman" w:hAnsi="Times New Roman"/>
                <w:b w:val="0"/>
                <w:bCs w:val="0"/>
                <w:sz w:val="24"/>
                <w:u w:val="none"/>
              </w:rPr>
            </w:pPr>
            <w:r>
              <w:t>Iznos odgođene porezne imovine koja ovisi o budućoj profitabilnosti i proizlazi iz privremenih razlika koja se ne odbija u skladu s člankom 48. stavkom 1. CRR-a, ali na koju se primjenjuje ponder rizika od 250 % u skladu s člankom 48. stavkom 4. CRR-a uzimajući u obzir učinak iz članka 470. CRR-a Iskazani iznos jednak je iznosu odgođene porezne imovine prije primjene pondera rizika.</w:t>
            </w:r>
          </w:p>
        </w:tc>
      </w:tr>
      <w:tr w:rsidR="00DF65DF" w:rsidRPr="00A30C4C" w14:paraId="068E8FB8" w14:textId="77777777" w:rsidTr="00672D2A">
        <w:tc>
          <w:tcPr>
            <w:tcW w:w="1506" w:type="dxa"/>
          </w:tcPr>
          <w:p w14:paraId="7A13E9F5" w14:textId="77777777" w:rsidR="00DF65DF" w:rsidRPr="00A30C4C" w:rsidRDefault="00DF65DF" w:rsidP="00FD239F">
            <w:pPr>
              <w:pStyle w:val="InstructionsText"/>
            </w:pPr>
            <w:r>
              <w:t>097</w:t>
            </w:r>
          </w:p>
        </w:tc>
        <w:tc>
          <w:tcPr>
            <w:tcW w:w="7243" w:type="dxa"/>
          </w:tcPr>
          <w:p w14:paraId="69034EA4" w14:textId="77777777" w:rsidR="00DF65DF" w:rsidRPr="00A30C4C" w:rsidRDefault="00550113" w:rsidP="00FD239F">
            <w:pPr>
              <w:pStyle w:val="InstructionsText"/>
            </w:pPr>
            <w:r>
              <w:rPr>
                <w:rStyle w:val="InstructionsTabelleberschrift"/>
                <w:rFonts w:ascii="Times New Roman" w:hAnsi="Times New Roman"/>
                <w:sz w:val="24"/>
              </w:rPr>
              <w:t>2C</w:t>
            </w:r>
            <w:r>
              <w:rPr>
                <w:rStyle w:val="InstructionsTabelleberschrift"/>
                <w:rFonts w:ascii="Times New Roman" w:hAnsi="Times New Roman"/>
                <w:sz w:val="24"/>
              </w:rPr>
              <w:tab/>
              <w:t>Odgođena porezna imovina na koju se primjenjuje ponder rizika od 0 %</w:t>
            </w:r>
          </w:p>
          <w:p w14:paraId="3EECE67C" w14:textId="6D03662E" w:rsidR="00DF65DF" w:rsidRPr="00A30C4C" w:rsidRDefault="0014657C" w:rsidP="00FD239F">
            <w:pPr>
              <w:pStyle w:val="InstructionsText"/>
            </w:pPr>
            <w:r>
              <w:t>Članak 469. stavak 1. točka (d), članak 470., članak 472. stavak 5. i članak 478. CRR-a</w:t>
            </w:r>
          </w:p>
          <w:p w14:paraId="2152F505" w14:textId="16DB546F" w:rsidR="00DF65DF" w:rsidRPr="00A30C4C" w:rsidRDefault="00DF65DF" w:rsidP="0014657C">
            <w:pPr>
              <w:pStyle w:val="InstructionsText"/>
              <w:rPr>
                <w:rStyle w:val="InstructionsTabelleberschrift"/>
                <w:rFonts w:ascii="Times New Roman" w:hAnsi="Times New Roman"/>
                <w:b w:val="0"/>
                <w:bCs w:val="0"/>
                <w:sz w:val="24"/>
                <w:u w:val="none"/>
              </w:rPr>
            </w:pPr>
            <w:r>
              <w:t>Iznos odgođene porezne imovine koja ovisi o budućoj profitabilnosti i proizlazi iz privremenih razlika koja se ne odbija u skladu s člankom 469. stavkom 1. točkom (d) i člankom 470. CRR-a, ali na koju se primjenjuje ponder rizika od 0 % u skladu s člankom 472. stavkom 5. CRR-a. Iskazani iznos jednak je iznosu odgođene porezne imovine prije primjene pondera rizika.</w:t>
            </w:r>
          </w:p>
        </w:tc>
      </w:tr>
      <w:tr w:rsidR="002648B0" w:rsidRPr="00A30C4C" w14:paraId="24D25A33" w14:textId="77777777" w:rsidTr="00672D2A">
        <w:tc>
          <w:tcPr>
            <w:tcW w:w="1506" w:type="dxa"/>
          </w:tcPr>
          <w:p w14:paraId="262C4396" w14:textId="77777777" w:rsidR="002648B0" w:rsidRPr="00A30C4C" w:rsidRDefault="002648B0" w:rsidP="00FD239F">
            <w:pPr>
              <w:pStyle w:val="InstructionsText"/>
            </w:pPr>
            <w:r>
              <w:t>100</w:t>
            </w:r>
          </w:p>
        </w:tc>
        <w:tc>
          <w:tcPr>
            <w:tcW w:w="7243" w:type="dxa"/>
          </w:tcPr>
          <w:p w14:paraId="0B299EBF" w14:textId="77777777" w:rsidR="005643EA" w:rsidRPr="00A30C4C"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rPr>
                <w:rStyle w:val="InstructionsTabelleberschrift"/>
                <w:rFonts w:ascii="Times New Roman" w:hAnsi="Times New Roman"/>
                <w:sz w:val="24"/>
              </w:rPr>
              <w:tab/>
              <w:t>Višak (+) ili manjak (–) ispravaka vrijednosti za kreditni rizik, dodatnih vrijednosnih usklađenja i ostalih smanjenja regulatornog kapitala na osnovi očekivanih gubitaka za izloženosti koje nisu u statusu neispunjavanja obveza u skladu s IRB pristupom</w:t>
            </w:r>
          </w:p>
          <w:p w14:paraId="56BBC347" w14:textId="2C0007F1" w:rsidR="005643EA" w:rsidRPr="00A30C4C" w:rsidRDefault="0014657C" w:rsidP="00FD239F">
            <w:pPr>
              <w:pStyle w:val="InstructionsText"/>
            </w:pPr>
            <w:r>
              <w:t>Članak 36. stavak 1. točka (d), članak 62. točka (d), članci 158. i 159. CRR-a</w:t>
            </w:r>
          </w:p>
          <w:p w14:paraId="7C3F55FA" w14:textId="77777777" w:rsidR="005643EA" w:rsidRPr="00A30C4C" w:rsidRDefault="002648B0" w:rsidP="00FD239F">
            <w:pPr>
              <w:pStyle w:val="InstructionsText"/>
            </w:pPr>
            <w:r>
              <w:t>Ovu stavku iskazuju samo IRB institucije.</w:t>
            </w:r>
          </w:p>
        </w:tc>
      </w:tr>
      <w:tr w:rsidR="002648B0" w:rsidRPr="00A30C4C" w14:paraId="7A656ED8" w14:textId="77777777" w:rsidTr="00672D2A">
        <w:tc>
          <w:tcPr>
            <w:tcW w:w="1506" w:type="dxa"/>
          </w:tcPr>
          <w:p w14:paraId="34DB0C1A" w14:textId="77777777" w:rsidR="002648B0" w:rsidRPr="00A30C4C" w:rsidRDefault="002648B0" w:rsidP="00FD239F">
            <w:pPr>
              <w:pStyle w:val="InstructionsText"/>
            </w:pPr>
            <w:r>
              <w:t>110</w:t>
            </w:r>
          </w:p>
        </w:tc>
        <w:tc>
          <w:tcPr>
            <w:tcW w:w="7243" w:type="dxa"/>
          </w:tcPr>
          <w:p w14:paraId="526C166A" w14:textId="71649502" w:rsidR="005643EA" w:rsidRPr="00A30C4C" w:rsidRDefault="002648B0" w:rsidP="00FD239F">
            <w:pPr>
              <w:pStyle w:val="InstructionsText"/>
            </w:pPr>
            <w:r>
              <w:rPr>
                <w:rStyle w:val="InstructionsTabelleberschrift"/>
                <w:rFonts w:ascii="Times New Roman" w:hAnsi="Times New Roman"/>
                <w:sz w:val="24"/>
              </w:rPr>
              <w:t>3.1</w:t>
            </w:r>
            <w:r w:rsidR="009751F5">
              <w:rPr>
                <w:rStyle w:val="InstructionsTabelleberschrift"/>
                <w:rFonts w:ascii="Times New Roman" w:hAnsi="Times New Roman"/>
                <w:sz w:val="24"/>
              </w:rPr>
              <w:t>.</w:t>
            </w:r>
            <w:r>
              <w:rPr>
                <w:rStyle w:val="InstructionsTabelleberschrift"/>
                <w:rFonts w:ascii="Times New Roman" w:hAnsi="Times New Roman"/>
                <w:sz w:val="24"/>
              </w:rPr>
              <w:tab/>
              <w:t>Ukupni ispravci vrijednosti za kreditni rizik, dodatna vrijednosna usklađenja i ostala smanjena regulatornog kapitala koja ispunjavaju uvjete za uključivanje u izračun iznosa očekivanoga gubitka</w:t>
            </w:r>
          </w:p>
          <w:p w14:paraId="17A4B99A" w14:textId="183D7CC6" w:rsidR="005643EA" w:rsidRPr="00A30C4C" w:rsidRDefault="002648B0" w:rsidP="00FD239F">
            <w:pPr>
              <w:pStyle w:val="InstructionsText"/>
            </w:pPr>
            <w:r>
              <w:t>Članak 159. CRR-a</w:t>
            </w:r>
          </w:p>
          <w:p w14:paraId="2570FB4D" w14:textId="77777777" w:rsidR="005643EA" w:rsidRPr="00A30C4C" w:rsidRDefault="002648B0" w:rsidP="00FD239F">
            <w:pPr>
              <w:pStyle w:val="InstructionsText"/>
            </w:pPr>
            <w:r>
              <w:t>Ovu stavku iskazuju samo IRB institucije.</w:t>
            </w:r>
          </w:p>
        </w:tc>
      </w:tr>
      <w:tr w:rsidR="002648B0" w:rsidRPr="00A30C4C" w14:paraId="2570CCE2" w14:textId="77777777" w:rsidTr="00672D2A">
        <w:tc>
          <w:tcPr>
            <w:tcW w:w="1506" w:type="dxa"/>
          </w:tcPr>
          <w:p w14:paraId="205A4550" w14:textId="77777777" w:rsidR="002648B0" w:rsidRPr="00A30C4C" w:rsidRDefault="002648B0" w:rsidP="00FD239F">
            <w:pPr>
              <w:pStyle w:val="InstructionsText"/>
            </w:pPr>
            <w:r>
              <w:t>120</w:t>
            </w:r>
          </w:p>
        </w:tc>
        <w:tc>
          <w:tcPr>
            <w:tcW w:w="7243" w:type="dxa"/>
          </w:tcPr>
          <w:p w14:paraId="4221D6D1" w14:textId="6510C4C1" w:rsidR="005643EA" w:rsidRPr="00A30C4C" w:rsidRDefault="002648B0" w:rsidP="00FD239F">
            <w:pPr>
              <w:pStyle w:val="InstructionsText"/>
            </w:pPr>
            <w:r>
              <w:rPr>
                <w:rStyle w:val="InstructionsTabelleberschrift"/>
                <w:rFonts w:ascii="Times New Roman" w:hAnsi="Times New Roman"/>
                <w:sz w:val="24"/>
              </w:rPr>
              <w:t>3.1.1</w:t>
            </w:r>
            <w:r w:rsidR="009751F5">
              <w:rPr>
                <w:rStyle w:val="InstructionsTabelleberschrift"/>
                <w:rFonts w:ascii="Times New Roman" w:hAnsi="Times New Roman"/>
                <w:sz w:val="24"/>
              </w:rPr>
              <w:t>.</w:t>
            </w:r>
            <w:r>
              <w:rPr>
                <w:rStyle w:val="InstructionsTabelleberschrift"/>
                <w:rFonts w:ascii="Times New Roman" w:hAnsi="Times New Roman"/>
                <w:sz w:val="24"/>
              </w:rPr>
              <w:tab/>
              <w:t>Opći ispravci vrijednosti za kreditni rizik</w:t>
            </w:r>
          </w:p>
          <w:p w14:paraId="273AF814" w14:textId="09E871B4" w:rsidR="005643EA" w:rsidRPr="00A30C4C" w:rsidRDefault="002648B0" w:rsidP="00FD239F">
            <w:pPr>
              <w:pStyle w:val="InstructionsText"/>
            </w:pPr>
            <w:r>
              <w:t>Članak 159. CRR-a</w:t>
            </w:r>
          </w:p>
          <w:p w14:paraId="1C4BDD2D" w14:textId="77777777" w:rsidR="005643EA" w:rsidRPr="00A30C4C" w:rsidRDefault="002648B0" w:rsidP="00FD239F">
            <w:pPr>
              <w:pStyle w:val="InstructionsText"/>
            </w:pPr>
            <w:r>
              <w:t>Ovu stavku iskazuju samo IRB institucije.</w:t>
            </w:r>
          </w:p>
        </w:tc>
      </w:tr>
      <w:tr w:rsidR="002648B0" w:rsidRPr="00A30C4C" w14:paraId="6327AE94" w14:textId="77777777" w:rsidTr="00672D2A">
        <w:tc>
          <w:tcPr>
            <w:tcW w:w="1506" w:type="dxa"/>
          </w:tcPr>
          <w:p w14:paraId="7370C327" w14:textId="77777777" w:rsidR="002648B0" w:rsidRPr="00A30C4C" w:rsidRDefault="002648B0" w:rsidP="00FD239F">
            <w:pPr>
              <w:pStyle w:val="InstructionsText"/>
            </w:pPr>
            <w:r>
              <w:t>130</w:t>
            </w:r>
          </w:p>
        </w:tc>
        <w:tc>
          <w:tcPr>
            <w:tcW w:w="7243" w:type="dxa"/>
          </w:tcPr>
          <w:p w14:paraId="47FBB331" w14:textId="0EC7FD1B" w:rsidR="005643EA" w:rsidRPr="00A30C4C" w:rsidRDefault="002648B0" w:rsidP="00FD239F">
            <w:pPr>
              <w:pStyle w:val="InstructionsText"/>
            </w:pPr>
            <w:r>
              <w:rPr>
                <w:rStyle w:val="InstructionsTabelleberschrift"/>
                <w:rFonts w:ascii="Times New Roman" w:hAnsi="Times New Roman"/>
                <w:sz w:val="24"/>
              </w:rPr>
              <w:t>3.1.2</w:t>
            </w:r>
            <w:r w:rsidR="009751F5">
              <w:rPr>
                <w:rStyle w:val="InstructionsTabelleberschrift"/>
                <w:rFonts w:ascii="Times New Roman" w:hAnsi="Times New Roman"/>
                <w:sz w:val="24"/>
              </w:rPr>
              <w:t>.</w:t>
            </w:r>
            <w:r>
              <w:rPr>
                <w:rStyle w:val="InstructionsTabelleberschrift"/>
                <w:rFonts w:ascii="Times New Roman" w:hAnsi="Times New Roman"/>
                <w:sz w:val="24"/>
              </w:rPr>
              <w:tab/>
              <w:t>Specifični ispravci vrijednosti za kreditni rizik</w:t>
            </w:r>
          </w:p>
          <w:p w14:paraId="1E163ABD" w14:textId="355EBB97" w:rsidR="005643EA" w:rsidRPr="00A30C4C" w:rsidRDefault="002648B0" w:rsidP="00FD239F">
            <w:pPr>
              <w:pStyle w:val="InstructionsText"/>
            </w:pPr>
            <w:r>
              <w:t>Članak 159. CRR-a</w:t>
            </w:r>
          </w:p>
          <w:p w14:paraId="55D839A1" w14:textId="77777777" w:rsidR="005643EA" w:rsidRPr="00A30C4C" w:rsidRDefault="002648B0" w:rsidP="00FD239F">
            <w:pPr>
              <w:pStyle w:val="InstructionsText"/>
            </w:pPr>
            <w:r>
              <w:t>Ovu stavku iskazuju samo IRB institucije.</w:t>
            </w:r>
          </w:p>
        </w:tc>
      </w:tr>
      <w:tr w:rsidR="002648B0" w:rsidRPr="00A30C4C" w14:paraId="50FBE5E7" w14:textId="77777777" w:rsidTr="00672D2A">
        <w:tc>
          <w:tcPr>
            <w:tcW w:w="1506" w:type="dxa"/>
          </w:tcPr>
          <w:p w14:paraId="215A16EC" w14:textId="0E4F6859" w:rsidR="005643EA" w:rsidRPr="00A30C4C" w:rsidRDefault="002648B0" w:rsidP="001E3EF1">
            <w:pPr>
              <w:pStyle w:val="InstructionsText"/>
            </w:pPr>
            <w:r>
              <w:t>131</w:t>
            </w:r>
          </w:p>
        </w:tc>
        <w:tc>
          <w:tcPr>
            <w:tcW w:w="7243" w:type="dxa"/>
          </w:tcPr>
          <w:p w14:paraId="182E2637" w14:textId="65C61496"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009751F5">
              <w:rPr>
                <w:rStyle w:val="InstructionsTabelleberschrift"/>
                <w:rFonts w:ascii="Times New Roman" w:hAnsi="Times New Roman"/>
                <w:sz w:val="24"/>
              </w:rPr>
              <w:t>.</w:t>
            </w:r>
            <w:r>
              <w:rPr>
                <w:rStyle w:val="InstructionsTabelleberschrift"/>
                <w:rFonts w:ascii="Times New Roman" w:hAnsi="Times New Roman"/>
                <w:sz w:val="24"/>
              </w:rPr>
              <w:tab/>
              <w:t>Dodatna vrijednosna usklađenja i ostala smanjenja regulatornog kapitala</w:t>
            </w:r>
          </w:p>
          <w:p w14:paraId="3D7CD496" w14:textId="1762E5AB" w:rsidR="005643EA" w:rsidRPr="00A30C4C"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Članci 34., 110. i 159. CRR-a</w:t>
            </w:r>
          </w:p>
          <w:p w14:paraId="78F458B4" w14:textId="77777777" w:rsidR="005643EA" w:rsidRPr="00A30C4C" w:rsidRDefault="002648B0" w:rsidP="00FD239F">
            <w:pPr>
              <w:pStyle w:val="InstructionsText"/>
              <w:rPr>
                <w:rStyle w:val="InstructionsTabelleberschrift"/>
                <w:rFonts w:ascii="Times New Roman" w:hAnsi="Times New Roman"/>
                <w:b w:val="0"/>
                <w:bCs w:val="0"/>
                <w:sz w:val="24"/>
                <w:u w:val="none"/>
              </w:rPr>
            </w:pPr>
            <w:r>
              <w:lastRenderedPageBreak/>
              <w:t>Ovu stavku iskazuju samo IRB institucije.</w:t>
            </w:r>
          </w:p>
        </w:tc>
      </w:tr>
      <w:tr w:rsidR="002648B0" w:rsidRPr="00A30C4C" w14:paraId="11A930A3" w14:textId="77777777" w:rsidTr="00672D2A">
        <w:tc>
          <w:tcPr>
            <w:tcW w:w="1506" w:type="dxa"/>
          </w:tcPr>
          <w:p w14:paraId="6AAFBA23" w14:textId="77777777" w:rsidR="002648B0" w:rsidRPr="00A30C4C" w:rsidRDefault="002648B0" w:rsidP="00FD239F">
            <w:pPr>
              <w:pStyle w:val="InstructionsText"/>
            </w:pPr>
            <w:r>
              <w:lastRenderedPageBreak/>
              <w:t>140</w:t>
            </w:r>
          </w:p>
        </w:tc>
        <w:tc>
          <w:tcPr>
            <w:tcW w:w="7243" w:type="dxa"/>
          </w:tcPr>
          <w:p w14:paraId="7284CE24" w14:textId="34C0829C" w:rsidR="005643EA" w:rsidRPr="00A30C4C" w:rsidRDefault="002648B0" w:rsidP="00FD239F">
            <w:pPr>
              <w:pStyle w:val="InstructionsText"/>
            </w:pPr>
            <w:r>
              <w:rPr>
                <w:rStyle w:val="InstructionsTabelleberschrift"/>
                <w:rFonts w:ascii="Times New Roman" w:hAnsi="Times New Roman"/>
                <w:sz w:val="24"/>
              </w:rPr>
              <w:t>3.2</w:t>
            </w:r>
            <w:r w:rsidR="009751F5">
              <w:rPr>
                <w:rStyle w:val="InstructionsTabelleberschrift"/>
                <w:rFonts w:ascii="Times New Roman" w:hAnsi="Times New Roman"/>
                <w:sz w:val="24"/>
              </w:rPr>
              <w:t>.</w:t>
            </w:r>
            <w:r>
              <w:rPr>
                <w:rStyle w:val="InstructionsTabelleberschrift"/>
                <w:rFonts w:ascii="Times New Roman" w:hAnsi="Times New Roman"/>
                <w:sz w:val="24"/>
              </w:rPr>
              <w:tab/>
              <w:t xml:space="preserve">Ukupni priznati očekivani gubici </w:t>
            </w:r>
          </w:p>
          <w:p w14:paraId="6BE53DD3" w14:textId="0AA11261" w:rsidR="005643EA" w:rsidRPr="00A30C4C" w:rsidRDefault="00167619" w:rsidP="00FD239F">
            <w:pPr>
              <w:pStyle w:val="InstructionsText"/>
            </w:pPr>
            <w:r>
              <w:t>Članak 158. stavci 5., 6. i 10. i članak 159. CRR-a</w:t>
            </w:r>
          </w:p>
          <w:p w14:paraId="5481C681" w14:textId="77777777" w:rsidR="005643EA" w:rsidRPr="00A30C4C" w:rsidRDefault="00F11185" w:rsidP="00FD239F">
            <w:pPr>
              <w:pStyle w:val="InstructionsText"/>
            </w:pPr>
            <w:r>
              <w:t>Ovu stavku iskazuju samo IRB institucije. Iskazuje se samo očekivani gubitak povezan s izloženostima koje nisu u statusu neispunjavanja obveza.</w:t>
            </w:r>
          </w:p>
        </w:tc>
      </w:tr>
      <w:tr w:rsidR="00F11185" w:rsidRPr="00A30C4C" w14:paraId="09BCBEEA" w14:textId="77777777" w:rsidTr="00672D2A">
        <w:tc>
          <w:tcPr>
            <w:tcW w:w="1506" w:type="dxa"/>
          </w:tcPr>
          <w:p w14:paraId="22BB94AA" w14:textId="77777777" w:rsidR="00F11185" w:rsidRPr="00A30C4C" w:rsidRDefault="00F11185" w:rsidP="00FD239F">
            <w:pPr>
              <w:pStyle w:val="InstructionsText"/>
            </w:pPr>
            <w:r>
              <w:t>145</w:t>
            </w:r>
          </w:p>
          <w:p w14:paraId="1143011F" w14:textId="77777777" w:rsidR="005643EA" w:rsidRPr="00A30C4C" w:rsidRDefault="005643EA" w:rsidP="00FD239F">
            <w:pPr>
              <w:pStyle w:val="InstructionsText"/>
            </w:pPr>
          </w:p>
        </w:tc>
        <w:tc>
          <w:tcPr>
            <w:tcW w:w="7243" w:type="dxa"/>
          </w:tcPr>
          <w:p w14:paraId="528EC10D" w14:textId="5B6395CA" w:rsidR="005643EA" w:rsidRPr="00A30C4C"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w:t>
            </w:r>
            <w:r w:rsidR="009751F5">
              <w:rPr>
                <w:rStyle w:val="InstructionsTabelleberschrift"/>
                <w:rFonts w:ascii="Times New Roman" w:hAnsi="Times New Roman"/>
                <w:sz w:val="24"/>
              </w:rPr>
              <w:t>.</w:t>
            </w:r>
            <w:r>
              <w:rPr>
                <w:rStyle w:val="InstructionsTabelleberschrift"/>
                <w:rFonts w:ascii="Times New Roman" w:hAnsi="Times New Roman"/>
                <w:sz w:val="24"/>
              </w:rPr>
              <w:t xml:space="preserve"> Višak (+) ili manjak (–) specifičnih ispravaka vrijednosti za kreditni rizik na osnovi očekivanih gubitaka za izloženosti u statusu neispunjavanja obveza u skladu s IRB pristupom</w:t>
            </w:r>
          </w:p>
          <w:p w14:paraId="4990F1CE" w14:textId="05844503" w:rsidR="005643EA" w:rsidRPr="00A30C4C" w:rsidRDefault="0014657C" w:rsidP="00FD239F">
            <w:pPr>
              <w:pStyle w:val="InstructionsText"/>
            </w:pPr>
            <w:r>
              <w:t>Članak 36. stavak 1. točka (d), članak 62. točka (d), članci 158. i 159. CRR-a</w:t>
            </w:r>
          </w:p>
          <w:p w14:paraId="58993CC2" w14:textId="77777777" w:rsidR="005643EA" w:rsidRPr="00A30C4C" w:rsidRDefault="00630711" w:rsidP="00FD239F">
            <w:pPr>
              <w:pStyle w:val="InstructionsText"/>
              <w:rPr>
                <w:rStyle w:val="InstructionsTabelleberschrift"/>
                <w:rFonts w:ascii="Times New Roman" w:hAnsi="Times New Roman"/>
                <w:b w:val="0"/>
                <w:bCs w:val="0"/>
                <w:sz w:val="24"/>
                <w:u w:val="none"/>
              </w:rPr>
            </w:pPr>
            <w:r>
              <w:t>Ovu stavku iskazuju samo IRB institucije.</w:t>
            </w:r>
          </w:p>
        </w:tc>
      </w:tr>
      <w:tr w:rsidR="00F11185" w:rsidRPr="00A30C4C" w14:paraId="1239E5C0" w14:textId="77777777" w:rsidTr="00672D2A">
        <w:tc>
          <w:tcPr>
            <w:tcW w:w="1506" w:type="dxa"/>
          </w:tcPr>
          <w:p w14:paraId="28F4C1B8" w14:textId="77777777" w:rsidR="00F11185" w:rsidRPr="00A30C4C" w:rsidRDefault="00F11185" w:rsidP="00FD239F">
            <w:pPr>
              <w:pStyle w:val="InstructionsText"/>
            </w:pPr>
            <w:r>
              <w:t>150</w:t>
            </w:r>
          </w:p>
          <w:p w14:paraId="50B877D9" w14:textId="77777777" w:rsidR="005643EA" w:rsidRPr="00A30C4C" w:rsidRDefault="005643EA" w:rsidP="00FD239F">
            <w:pPr>
              <w:pStyle w:val="InstructionsText"/>
            </w:pPr>
          </w:p>
        </w:tc>
        <w:tc>
          <w:tcPr>
            <w:tcW w:w="7243" w:type="dxa"/>
          </w:tcPr>
          <w:p w14:paraId="4FDAAF06" w14:textId="522F2BE2" w:rsidR="005643EA" w:rsidRPr="00A30C4C"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009751F5">
              <w:rPr>
                <w:rStyle w:val="InstructionsTabelleberschrift"/>
                <w:rFonts w:ascii="Times New Roman" w:hAnsi="Times New Roman"/>
                <w:sz w:val="24"/>
              </w:rPr>
              <w:t>.</w:t>
            </w:r>
            <w:r>
              <w:rPr>
                <w:rStyle w:val="InstructionsTabelleberschrift"/>
                <w:rFonts w:ascii="Times New Roman" w:hAnsi="Times New Roman"/>
                <w:sz w:val="24"/>
              </w:rPr>
              <w:tab/>
              <w:t>Specifični ispravci vrijednosti za kreditni rizik i pozicije koje se tretira na sličan način</w:t>
            </w:r>
          </w:p>
          <w:p w14:paraId="1379684D" w14:textId="3E584008" w:rsidR="005643EA" w:rsidRPr="00A30C4C" w:rsidRDefault="00630711" w:rsidP="00FD239F">
            <w:pPr>
              <w:pStyle w:val="InstructionsText"/>
            </w:pPr>
            <w:r>
              <w:t>Članak 159. CRR-a</w:t>
            </w:r>
          </w:p>
          <w:p w14:paraId="33A313C3" w14:textId="77777777" w:rsidR="005643EA" w:rsidRPr="00A30C4C" w:rsidRDefault="00630711" w:rsidP="00FD239F">
            <w:pPr>
              <w:pStyle w:val="InstructionsText"/>
              <w:rPr>
                <w:rStyle w:val="InstructionsTabelleberschrift"/>
                <w:rFonts w:ascii="Times New Roman" w:hAnsi="Times New Roman"/>
                <w:b w:val="0"/>
                <w:bCs w:val="0"/>
                <w:sz w:val="24"/>
                <w:u w:val="none"/>
              </w:rPr>
            </w:pPr>
            <w:r>
              <w:t>Ovu stavku iskazuju samo IRB institucije.</w:t>
            </w:r>
          </w:p>
        </w:tc>
      </w:tr>
      <w:tr w:rsidR="00F11185" w:rsidRPr="00A30C4C" w14:paraId="0A302C9F" w14:textId="77777777" w:rsidTr="00672D2A">
        <w:tc>
          <w:tcPr>
            <w:tcW w:w="1506" w:type="dxa"/>
          </w:tcPr>
          <w:p w14:paraId="522FBC48" w14:textId="77777777" w:rsidR="00F11185" w:rsidRPr="00A30C4C" w:rsidRDefault="00F11185" w:rsidP="00FD239F">
            <w:pPr>
              <w:pStyle w:val="InstructionsText"/>
            </w:pPr>
            <w:r>
              <w:t>155</w:t>
            </w:r>
          </w:p>
          <w:p w14:paraId="0C570594" w14:textId="77777777" w:rsidR="005643EA" w:rsidRPr="00A30C4C" w:rsidRDefault="005643EA" w:rsidP="00FD239F">
            <w:pPr>
              <w:pStyle w:val="InstructionsText"/>
            </w:pPr>
          </w:p>
        </w:tc>
        <w:tc>
          <w:tcPr>
            <w:tcW w:w="7243" w:type="dxa"/>
          </w:tcPr>
          <w:p w14:paraId="017DB611" w14:textId="34046460" w:rsidR="005643EA" w:rsidRPr="00A30C4C"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rsidR="009751F5">
              <w:rPr>
                <w:rStyle w:val="InstructionsTabelleberschrift"/>
                <w:rFonts w:ascii="Times New Roman" w:hAnsi="Times New Roman"/>
                <w:sz w:val="24"/>
              </w:rPr>
              <w:t>.</w:t>
            </w:r>
            <w:r>
              <w:rPr>
                <w:rStyle w:val="InstructionsTabelleberschrift"/>
                <w:rFonts w:ascii="Times New Roman" w:hAnsi="Times New Roman"/>
                <w:sz w:val="24"/>
              </w:rPr>
              <w:tab/>
              <w:t>Ukupni priznati očekivani gubici</w:t>
            </w:r>
          </w:p>
          <w:p w14:paraId="4EBE5F99" w14:textId="06820059" w:rsidR="005643EA" w:rsidRPr="00A30C4C" w:rsidRDefault="00167619" w:rsidP="00FD239F">
            <w:pPr>
              <w:pStyle w:val="InstructionsText"/>
              <w:rPr>
                <w:rStyle w:val="InstructionsTabelleberschrift"/>
                <w:rFonts w:ascii="Times New Roman" w:hAnsi="Times New Roman"/>
                <w:sz w:val="24"/>
              </w:rPr>
            </w:pPr>
            <w:r>
              <w:t>Članak 158. stavci 5., 6. i 10. i članak 159. CRR-a</w:t>
            </w:r>
          </w:p>
          <w:p w14:paraId="78665DFA" w14:textId="77777777" w:rsidR="005643EA" w:rsidRPr="00A30C4C" w:rsidRDefault="00F11185" w:rsidP="00FD239F">
            <w:pPr>
              <w:pStyle w:val="InstructionsText"/>
              <w:rPr>
                <w:rStyle w:val="InstructionsTabelleberschrift"/>
                <w:rFonts w:ascii="Times New Roman" w:hAnsi="Times New Roman"/>
                <w:b w:val="0"/>
                <w:bCs w:val="0"/>
                <w:sz w:val="24"/>
                <w:u w:val="none"/>
              </w:rPr>
            </w:pPr>
            <w:r>
              <w:t>Ovu stavku iskazuju samo IRB institucije. Iskazuje se samo očekivani gubitak povezan s izloženostima koje su u statusu neispunjavanja obveza.</w:t>
            </w:r>
          </w:p>
        </w:tc>
      </w:tr>
      <w:tr w:rsidR="002648B0" w:rsidRPr="00A30C4C" w14:paraId="6A4C20F9" w14:textId="77777777" w:rsidTr="00672D2A">
        <w:tc>
          <w:tcPr>
            <w:tcW w:w="1506" w:type="dxa"/>
          </w:tcPr>
          <w:p w14:paraId="752C7958" w14:textId="77777777" w:rsidR="002648B0" w:rsidRPr="00A30C4C" w:rsidRDefault="002648B0" w:rsidP="00FD239F">
            <w:pPr>
              <w:pStyle w:val="InstructionsText"/>
            </w:pPr>
            <w:r>
              <w:t>160</w:t>
            </w:r>
          </w:p>
        </w:tc>
        <w:tc>
          <w:tcPr>
            <w:tcW w:w="7243" w:type="dxa"/>
          </w:tcPr>
          <w:p w14:paraId="46381DE7" w14:textId="7F7A09AC" w:rsidR="005643EA" w:rsidRPr="00A30C4C" w:rsidRDefault="002648B0" w:rsidP="00FD239F">
            <w:pPr>
              <w:pStyle w:val="InstructionsText"/>
            </w:pPr>
            <w:r>
              <w:rPr>
                <w:rStyle w:val="InstructionsTabelleberschrift"/>
                <w:rFonts w:ascii="Times New Roman" w:hAnsi="Times New Roman"/>
                <w:sz w:val="24"/>
              </w:rPr>
              <w:t>5</w:t>
            </w:r>
            <w:r w:rsidR="009751F5">
              <w:rPr>
                <w:rStyle w:val="InstructionsTabelleberschrift"/>
                <w:rFonts w:ascii="Times New Roman" w:hAnsi="Times New Roman"/>
                <w:sz w:val="24"/>
              </w:rPr>
              <w:t>.</w:t>
            </w:r>
            <w:r>
              <w:rPr>
                <w:rStyle w:val="InstructionsTabelleberschrift"/>
                <w:rFonts w:ascii="Times New Roman" w:hAnsi="Times New Roman"/>
                <w:sz w:val="24"/>
              </w:rPr>
              <w:tab/>
              <w:t>Iznosi izloženosti ponderirani rizikom za izračun gornje granice viška rezervacije koje se priznaju kao dopunski kapital</w:t>
            </w:r>
          </w:p>
          <w:p w14:paraId="71E00759" w14:textId="68876AAB" w:rsidR="005643EA" w:rsidRPr="00A30C4C" w:rsidRDefault="0014657C" w:rsidP="00FD239F">
            <w:pPr>
              <w:pStyle w:val="InstructionsText"/>
            </w:pPr>
            <w:r>
              <w:t>Članak 62. točka (d) CRR-a</w:t>
            </w:r>
          </w:p>
          <w:p w14:paraId="3A86D8C5" w14:textId="7180B328" w:rsidR="005643EA" w:rsidRPr="00A30C4C" w:rsidRDefault="002648B0" w:rsidP="00FD239F">
            <w:pPr>
              <w:pStyle w:val="InstructionsText"/>
            </w:pPr>
            <w:r>
              <w:t xml:space="preserve">Za IRB institucije, višak iznosa rezervacija (za očekivane gubitke) koje ispunjavaju uvjete za uključivanje u dopunski kapital ograničen na 0,6 % iznosa izloženosti ponderiranih rizikom izračunanih u skladu s IRB pristupom, </w:t>
            </w:r>
            <w:r>
              <w:rPr>
                <w:rStyle w:val="FormatvorlageInstructionsTabelleText"/>
                <w:rFonts w:ascii="Times New Roman" w:hAnsi="Times New Roman"/>
                <w:sz w:val="24"/>
              </w:rPr>
              <w:t xml:space="preserve">u skladu s </w:t>
            </w:r>
            <w:r>
              <w:t>člankom 62. točkom (d) CRR-a.</w:t>
            </w:r>
          </w:p>
          <w:p w14:paraId="6236C5B8" w14:textId="77777777" w:rsidR="005643EA" w:rsidRPr="00A30C4C" w:rsidRDefault="002648B0" w:rsidP="00FD239F">
            <w:pPr>
              <w:pStyle w:val="InstructionsText"/>
            </w:pPr>
            <w:r>
              <w:t>Iznos koji se iskazuje u ovoj stavci iznosi su izloženosti ponderirani rizikom (tj. nisu pomnoženi s 0,6 %), što je osnova za izračun gornje granice.</w:t>
            </w:r>
          </w:p>
        </w:tc>
      </w:tr>
      <w:tr w:rsidR="002648B0" w:rsidRPr="00A30C4C" w14:paraId="6CBBF0F9" w14:textId="77777777" w:rsidTr="00672D2A">
        <w:tc>
          <w:tcPr>
            <w:tcW w:w="1506" w:type="dxa"/>
          </w:tcPr>
          <w:p w14:paraId="0599D756" w14:textId="77777777" w:rsidR="002648B0" w:rsidRPr="00A30C4C" w:rsidRDefault="002648B0" w:rsidP="00FD239F">
            <w:pPr>
              <w:pStyle w:val="InstructionsText"/>
            </w:pPr>
            <w:r>
              <w:t>170</w:t>
            </w:r>
          </w:p>
        </w:tc>
        <w:tc>
          <w:tcPr>
            <w:tcW w:w="7243" w:type="dxa"/>
          </w:tcPr>
          <w:p w14:paraId="79E6C0C6" w14:textId="62DFE435" w:rsidR="005643EA" w:rsidRPr="00A30C4C" w:rsidRDefault="002648B0" w:rsidP="00FD239F">
            <w:pPr>
              <w:pStyle w:val="InstructionsText"/>
            </w:pPr>
            <w:r>
              <w:rPr>
                <w:rStyle w:val="InstructionsTabelleberschrift"/>
                <w:rFonts w:ascii="Times New Roman" w:hAnsi="Times New Roman"/>
                <w:sz w:val="24"/>
              </w:rPr>
              <w:t>6</w:t>
            </w:r>
            <w:r w:rsidR="009751F5">
              <w:rPr>
                <w:rStyle w:val="InstructionsTabelleberschrift"/>
                <w:rFonts w:ascii="Times New Roman" w:hAnsi="Times New Roman"/>
                <w:sz w:val="24"/>
              </w:rPr>
              <w:t>.</w:t>
            </w:r>
            <w:r>
              <w:rPr>
                <w:rStyle w:val="InstructionsTabelleberschrift"/>
                <w:rFonts w:ascii="Times New Roman" w:hAnsi="Times New Roman"/>
                <w:sz w:val="24"/>
              </w:rPr>
              <w:tab/>
              <w:t>Ukupne bruto rezervacije koje ispunjavaju uvjete za uključivanje u dopunski kapital</w:t>
            </w:r>
          </w:p>
          <w:p w14:paraId="247E7786" w14:textId="705041FA" w:rsidR="005643EA" w:rsidRPr="00A30C4C" w:rsidRDefault="0014657C" w:rsidP="00FD239F">
            <w:pPr>
              <w:pStyle w:val="InstructionsText"/>
            </w:pPr>
            <w:r>
              <w:t>Članak 62. točka (c) CRR-a</w:t>
            </w:r>
          </w:p>
          <w:p w14:paraId="22BC1271" w14:textId="77777777" w:rsidR="005643EA" w:rsidRPr="00A30C4C" w:rsidRDefault="002648B0" w:rsidP="00FD239F">
            <w:pPr>
              <w:pStyle w:val="InstructionsText"/>
            </w:pPr>
            <w:r>
              <w:t>Ova stavka uključuje opće ispravke vrijednosti za kreditni rizik koji ispunjavaju uvjete za uključivanje u dopunski kapital, prije primjene gornje granice.</w:t>
            </w:r>
          </w:p>
          <w:p w14:paraId="241C4CD3" w14:textId="77777777" w:rsidR="005643EA" w:rsidRPr="00A30C4C" w:rsidRDefault="002648B0" w:rsidP="00FD239F">
            <w:pPr>
              <w:pStyle w:val="InstructionsText"/>
            </w:pPr>
            <w:r>
              <w:t>Iznos koji se iskazuje nije umanjen za porezne učinke.</w:t>
            </w:r>
          </w:p>
        </w:tc>
      </w:tr>
      <w:tr w:rsidR="002648B0" w:rsidRPr="00A30C4C" w14:paraId="631A1D97" w14:textId="77777777" w:rsidTr="00672D2A">
        <w:tc>
          <w:tcPr>
            <w:tcW w:w="1506" w:type="dxa"/>
          </w:tcPr>
          <w:p w14:paraId="011874C0" w14:textId="77777777" w:rsidR="002648B0" w:rsidRPr="00A30C4C" w:rsidRDefault="002648B0" w:rsidP="00FD239F">
            <w:pPr>
              <w:pStyle w:val="InstructionsText"/>
            </w:pPr>
            <w:r>
              <w:t>180</w:t>
            </w:r>
          </w:p>
        </w:tc>
        <w:tc>
          <w:tcPr>
            <w:tcW w:w="7243" w:type="dxa"/>
          </w:tcPr>
          <w:p w14:paraId="224399A2" w14:textId="5B20E2A3" w:rsidR="005643EA" w:rsidRPr="00A30C4C" w:rsidRDefault="002648B0" w:rsidP="00FD239F">
            <w:pPr>
              <w:pStyle w:val="InstructionsText"/>
            </w:pPr>
            <w:r>
              <w:rPr>
                <w:rStyle w:val="InstructionsTabelleberschrift"/>
                <w:rFonts w:ascii="Times New Roman" w:hAnsi="Times New Roman"/>
                <w:sz w:val="24"/>
              </w:rPr>
              <w:t>7</w:t>
            </w:r>
            <w:r w:rsidR="009751F5">
              <w:rPr>
                <w:rStyle w:val="InstructionsTabelleberschrift"/>
                <w:rFonts w:ascii="Times New Roman" w:hAnsi="Times New Roman"/>
                <w:sz w:val="24"/>
              </w:rPr>
              <w:t>.</w:t>
            </w:r>
            <w:r>
              <w:rPr>
                <w:rStyle w:val="InstructionsTabelleberschrift"/>
                <w:rFonts w:ascii="Times New Roman" w:hAnsi="Times New Roman"/>
                <w:sz w:val="24"/>
              </w:rPr>
              <w:tab/>
              <w:t>Iznosi izloženosti ponderirani rizikom za izračun gornje granice rezervacije koja se priznaje kao dopunski kapital</w:t>
            </w:r>
          </w:p>
          <w:p w14:paraId="166991F4" w14:textId="66CB0A69" w:rsidR="005643EA" w:rsidRPr="00A30C4C" w:rsidRDefault="0014657C" w:rsidP="00FD239F">
            <w:pPr>
              <w:pStyle w:val="InstructionsText"/>
            </w:pPr>
            <w:r>
              <w:lastRenderedPageBreak/>
              <w:t>Članak 62. točka (c) CRR-a</w:t>
            </w:r>
          </w:p>
          <w:p w14:paraId="6B110229" w14:textId="45A7A2E6" w:rsidR="005643EA" w:rsidRPr="00A30C4C" w:rsidRDefault="002648B0" w:rsidP="00FD239F">
            <w:pPr>
              <w:pStyle w:val="InstructionsText"/>
            </w:pPr>
            <w:r>
              <w:t>U skladu s člankom 62. točkom (c) CRR-a, ispravci vrijednosti za kreditni rizik koji ispunjavaju uvjete za uključivanje u dopunski kapital ograničeni su na 1,25 % iznosa izloženosti ponderiranih rizikom.</w:t>
            </w:r>
          </w:p>
          <w:p w14:paraId="068CD027" w14:textId="77777777" w:rsidR="005643EA" w:rsidRPr="00A30C4C" w:rsidRDefault="002648B0" w:rsidP="00FD239F">
            <w:pPr>
              <w:pStyle w:val="InstructionsText"/>
            </w:pPr>
            <w:r>
              <w:t>Iznos koji se iskazuje u ovoj stavci iznosi su izloženosti ponderirani rizikom (tj. nisu pomnoženi s 1,25 %), što je osnova za izračun gornje granice.</w:t>
            </w:r>
          </w:p>
        </w:tc>
      </w:tr>
      <w:tr w:rsidR="002648B0" w:rsidRPr="00A30C4C" w14:paraId="40A6CE16" w14:textId="77777777" w:rsidTr="00672D2A">
        <w:tc>
          <w:tcPr>
            <w:tcW w:w="1506" w:type="dxa"/>
          </w:tcPr>
          <w:p w14:paraId="7BEE173F" w14:textId="77777777" w:rsidR="002648B0" w:rsidRPr="00A30C4C" w:rsidRDefault="002648B0" w:rsidP="00FD239F">
            <w:pPr>
              <w:pStyle w:val="InstructionsText"/>
            </w:pPr>
            <w:r>
              <w:lastRenderedPageBreak/>
              <w:t>190</w:t>
            </w:r>
          </w:p>
        </w:tc>
        <w:tc>
          <w:tcPr>
            <w:tcW w:w="7243" w:type="dxa"/>
          </w:tcPr>
          <w:p w14:paraId="77FED394" w14:textId="6A9CD93C" w:rsidR="005643EA" w:rsidRPr="00A30C4C" w:rsidRDefault="002648B0" w:rsidP="00FD239F">
            <w:pPr>
              <w:pStyle w:val="InstructionsText"/>
            </w:pPr>
            <w:r>
              <w:rPr>
                <w:rStyle w:val="InstructionsTabelleberschrift"/>
                <w:rFonts w:ascii="Times New Roman" w:hAnsi="Times New Roman"/>
                <w:sz w:val="24"/>
              </w:rPr>
              <w:t>8</w:t>
            </w:r>
            <w:r w:rsidR="009751F5">
              <w:rPr>
                <w:rStyle w:val="InstructionsTabelleberschrift"/>
                <w:rFonts w:ascii="Times New Roman" w:hAnsi="Times New Roman"/>
                <w:sz w:val="24"/>
              </w:rPr>
              <w:t>.</w:t>
            </w:r>
            <w:r>
              <w:rPr>
                <w:rStyle w:val="InstructionsTabelleberschrift"/>
                <w:rFonts w:ascii="Times New Roman" w:hAnsi="Times New Roman"/>
                <w:sz w:val="24"/>
              </w:rPr>
              <w:tab/>
              <w:t>Prag koji se ne može odbiti od ulaganja u subjekte financijskog sektora ako institucija nema značajno ulaganje</w:t>
            </w:r>
          </w:p>
          <w:p w14:paraId="0607D32C" w14:textId="521A7868" w:rsidR="005643EA" w:rsidRPr="00A30C4C" w:rsidRDefault="0014657C" w:rsidP="00FD239F">
            <w:pPr>
              <w:pStyle w:val="InstructionsText"/>
            </w:pPr>
            <w:r>
              <w:t>Članak 46. stavak 1. točka (a) CRR-a</w:t>
            </w:r>
          </w:p>
          <w:p w14:paraId="753D02F1" w14:textId="5C8A0E70" w:rsidR="005643EA" w:rsidRPr="00A30C4C" w:rsidRDefault="002648B0" w:rsidP="0014657C">
            <w:pPr>
              <w:pStyle w:val="InstructionsText"/>
            </w:pPr>
            <w:r>
              <w:t>Ova stavka sadržava prag do kojeg se ulaganja u subjekt financijskog sektora ne odbijaju ako institucija nema značajno ulaganje. Iznos proizlazi iz dodavanja svih stavki koje su osnova za prag i množenjem tako dobivenog zbroja s 10 %.</w:t>
            </w:r>
          </w:p>
        </w:tc>
      </w:tr>
      <w:tr w:rsidR="002648B0" w:rsidRPr="00A30C4C" w14:paraId="684E05DF" w14:textId="77777777" w:rsidTr="00672D2A">
        <w:tc>
          <w:tcPr>
            <w:tcW w:w="1506" w:type="dxa"/>
          </w:tcPr>
          <w:p w14:paraId="5A3D099E" w14:textId="77777777" w:rsidR="002648B0" w:rsidRPr="00A30C4C" w:rsidRDefault="002648B0" w:rsidP="00FD239F">
            <w:pPr>
              <w:pStyle w:val="InstructionsText"/>
            </w:pPr>
            <w:r>
              <w:t>200</w:t>
            </w:r>
          </w:p>
        </w:tc>
        <w:tc>
          <w:tcPr>
            <w:tcW w:w="7243" w:type="dxa"/>
          </w:tcPr>
          <w:p w14:paraId="72A6D441" w14:textId="4A5E2ED8" w:rsidR="005643EA" w:rsidRPr="00A30C4C" w:rsidRDefault="002648B0" w:rsidP="00FD239F">
            <w:pPr>
              <w:pStyle w:val="InstructionsText"/>
            </w:pPr>
            <w:r>
              <w:rPr>
                <w:rStyle w:val="InstructionsTabelleberschrift"/>
                <w:rFonts w:ascii="Times New Roman" w:hAnsi="Times New Roman"/>
                <w:sz w:val="24"/>
              </w:rPr>
              <w:t>9</w:t>
            </w:r>
            <w:r w:rsidR="009751F5">
              <w:rPr>
                <w:rStyle w:val="InstructionsTabelleberschrift"/>
                <w:rFonts w:ascii="Times New Roman" w:hAnsi="Times New Roman"/>
                <w:sz w:val="24"/>
              </w:rPr>
              <w:t>.</w:t>
            </w:r>
            <w:r>
              <w:rPr>
                <w:rStyle w:val="InstructionsTabelleberschrift"/>
                <w:rFonts w:ascii="Times New Roman" w:hAnsi="Times New Roman"/>
                <w:sz w:val="24"/>
              </w:rPr>
              <w:tab/>
              <w:t xml:space="preserve">Prag za redovni osnovni kapital od 10 % </w:t>
            </w:r>
          </w:p>
          <w:p w14:paraId="0529A400" w14:textId="637D8FC3" w:rsidR="005643EA" w:rsidRPr="00A30C4C" w:rsidRDefault="0014657C" w:rsidP="00FD239F">
            <w:pPr>
              <w:pStyle w:val="InstructionsText"/>
            </w:pPr>
            <w:r>
              <w:t>Članak 48. stavak 1. točke (a) i (b) CRR-a</w:t>
            </w:r>
          </w:p>
          <w:p w14:paraId="29853425" w14:textId="77777777" w:rsidR="005643EA" w:rsidRPr="00A30C4C" w:rsidRDefault="002648B0" w:rsidP="00FD239F">
            <w:pPr>
              <w:pStyle w:val="InstructionsText"/>
            </w:pPr>
            <w:r>
              <w:t>Ova stavka sadržava prag od 10 % za ulaganja u subjekte financijskog sektora ako institucija ima značajno ulaganje i za odgođenu poreznu imovinu koja ovisi o budućoj profitabilnosti i proizlazi iz privremenih razlika.</w:t>
            </w:r>
          </w:p>
          <w:p w14:paraId="762E465B" w14:textId="77777777" w:rsidR="005643EA" w:rsidRPr="00A30C4C" w:rsidRDefault="003C7853" w:rsidP="00FD239F">
            <w:pPr>
              <w:pStyle w:val="InstructionsText"/>
            </w:pPr>
            <w:r>
              <w:t>Iznos proizlazi iz dodavanja svih stavki koje su osnova za prag i množenjem tako dobivenog zbroja sa 10 %.</w:t>
            </w:r>
          </w:p>
        </w:tc>
      </w:tr>
      <w:tr w:rsidR="002648B0" w:rsidRPr="00A30C4C" w14:paraId="595C5337" w14:textId="77777777" w:rsidTr="00672D2A">
        <w:tc>
          <w:tcPr>
            <w:tcW w:w="1506" w:type="dxa"/>
          </w:tcPr>
          <w:p w14:paraId="14441CBF" w14:textId="77777777" w:rsidR="002648B0" w:rsidRPr="00A30C4C" w:rsidRDefault="002648B0" w:rsidP="00FD239F">
            <w:pPr>
              <w:pStyle w:val="InstructionsText"/>
            </w:pPr>
            <w:r>
              <w:t>210</w:t>
            </w:r>
          </w:p>
        </w:tc>
        <w:tc>
          <w:tcPr>
            <w:tcW w:w="7243" w:type="dxa"/>
          </w:tcPr>
          <w:p w14:paraId="140F91F9" w14:textId="56334DAD" w:rsidR="005643EA" w:rsidRPr="00A30C4C" w:rsidRDefault="002648B0" w:rsidP="00FD239F">
            <w:pPr>
              <w:pStyle w:val="InstructionsText"/>
            </w:pPr>
            <w:r>
              <w:rPr>
                <w:rStyle w:val="InstructionsTabelleberschrift"/>
                <w:rFonts w:ascii="Times New Roman" w:hAnsi="Times New Roman"/>
                <w:sz w:val="24"/>
              </w:rPr>
              <w:t>10</w:t>
            </w:r>
            <w:r w:rsidR="009751F5">
              <w:rPr>
                <w:rStyle w:val="InstructionsTabelleberschrift"/>
                <w:rFonts w:ascii="Times New Roman" w:hAnsi="Times New Roman"/>
                <w:sz w:val="24"/>
              </w:rPr>
              <w:t>.</w:t>
            </w:r>
            <w:r>
              <w:rPr>
                <w:rStyle w:val="InstructionsTabelleberschrift"/>
                <w:rFonts w:ascii="Times New Roman" w:hAnsi="Times New Roman"/>
                <w:sz w:val="24"/>
              </w:rPr>
              <w:tab/>
              <w:t xml:space="preserve">Prag za redovni osnovni kapital od 17,65 % </w:t>
            </w:r>
          </w:p>
          <w:p w14:paraId="345FB4FB" w14:textId="63011C28" w:rsidR="005643EA" w:rsidRPr="00A30C4C" w:rsidRDefault="002648B0" w:rsidP="00FD239F">
            <w:pPr>
              <w:pStyle w:val="InstructionsText"/>
            </w:pPr>
            <w:r>
              <w:t>Članak 48. stavak 1. CRR-a</w:t>
            </w:r>
          </w:p>
          <w:p w14:paraId="56AECB83" w14:textId="77777777" w:rsidR="005643EA" w:rsidRPr="00A30C4C" w:rsidRDefault="002648B0" w:rsidP="00FD239F">
            <w:pPr>
              <w:pStyle w:val="InstructionsText"/>
            </w:pPr>
            <w:r>
              <w:t>Ova stavka sadržava prag od 17,65 % za ulaganja u subjekte financijskog sektora ako institucija ima značajno ulaganje i za odgođenu poreznu imovinu koja ovisi o budućoj profitabilnosti i proizlazi iz privremenih razlika, koji je potrebno primijeniti nakon praga od 10 %.</w:t>
            </w:r>
          </w:p>
          <w:p w14:paraId="0AC241A0" w14:textId="30298FB1" w:rsidR="005643EA" w:rsidRPr="00A30C4C" w:rsidRDefault="002648B0" w:rsidP="0014657C">
            <w:pPr>
              <w:pStyle w:val="InstructionsText"/>
            </w:pPr>
            <w:r>
              <w:t>Prag se izračunava tako da priznati iznos dviju stavki ne premašuje 15 % konačnog redovnog osnovnog kapitala, odnosno redovnog osnovnog kapitala izračunanog nakon svih odbitaka, ne uključujući sva usklađenja zbog prijelaznih odredbi.</w:t>
            </w:r>
          </w:p>
        </w:tc>
      </w:tr>
      <w:tr w:rsidR="00216D67" w:rsidRPr="00A30C4C" w14:paraId="4131EBDC" w14:textId="77777777" w:rsidTr="00672D2A">
        <w:tc>
          <w:tcPr>
            <w:tcW w:w="1506" w:type="dxa"/>
          </w:tcPr>
          <w:p w14:paraId="45F158BF" w14:textId="77777777" w:rsidR="00216D67" w:rsidRPr="00A30C4C" w:rsidRDefault="00216D67" w:rsidP="00FD239F">
            <w:pPr>
              <w:pStyle w:val="InstructionsText"/>
            </w:pPr>
            <w:r>
              <w:t>225</w:t>
            </w:r>
          </w:p>
        </w:tc>
        <w:tc>
          <w:tcPr>
            <w:tcW w:w="7243" w:type="dxa"/>
          </w:tcPr>
          <w:p w14:paraId="56E66337" w14:textId="75F716EF" w:rsidR="00216D67" w:rsidRPr="00A30C4C"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009751F5">
              <w:rPr>
                <w:rStyle w:val="InstructionsTabelleberschrift"/>
                <w:rFonts w:ascii="Times New Roman" w:hAnsi="Times New Roman"/>
                <w:sz w:val="24"/>
              </w:rPr>
              <w:t>.</w:t>
            </w:r>
            <w:r>
              <w:rPr>
                <w:rStyle w:val="InstructionsTabelleberschrift"/>
                <w:rFonts w:ascii="Times New Roman" w:hAnsi="Times New Roman"/>
                <w:sz w:val="24"/>
              </w:rPr>
              <w:tab/>
              <w:t>Priznati kapital za potrebe kvalificiranih udjela izvan financijskog sektora</w:t>
            </w:r>
          </w:p>
          <w:p w14:paraId="5F7907ED" w14:textId="37EF609C" w:rsidR="00216D67" w:rsidRPr="00A30C4C" w:rsidRDefault="0014657C" w:rsidP="00BD4E1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Članak 4. stavak 1. točka 71.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(a) CRR-a</w:t>
            </w:r>
          </w:p>
        </w:tc>
      </w:tr>
      <w:tr w:rsidR="00216D67" w:rsidRPr="00A30C4C" w14:paraId="074CDA08" w14:textId="77777777" w:rsidTr="00672D2A">
        <w:tc>
          <w:tcPr>
            <w:tcW w:w="1506" w:type="dxa"/>
          </w:tcPr>
          <w:p w14:paraId="33322BD1" w14:textId="77777777" w:rsidR="00216D67" w:rsidRPr="00A30C4C" w:rsidRDefault="00216D67" w:rsidP="00FD239F">
            <w:pPr>
              <w:pStyle w:val="InstructionsText"/>
            </w:pPr>
            <w:r>
              <w:t>226</w:t>
            </w:r>
          </w:p>
        </w:tc>
        <w:tc>
          <w:tcPr>
            <w:tcW w:w="7243" w:type="dxa"/>
          </w:tcPr>
          <w:p w14:paraId="26C7C30D" w14:textId="65AC7735" w:rsidR="00216D67" w:rsidRPr="00A30C4C"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009751F5">
              <w:rPr>
                <w:rStyle w:val="InstructionsTabelleberschrift"/>
                <w:rFonts w:ascii="Times New Roman" w:hAnsi="Times New Roman"/>
                <w:sz w:val="24"/>
              </w:rPr>
              <w:t>.</w:t>
            </w:r>
            <w:r>
              <w:rPr>
                <w:rStyle w:val="InstructionsTabelleberschrift"/>
                <w:rFonts w:ascii="Times New Roman" w:hAnsi="Times New Roman"/>
                <w:sz w:val="24"/>
              </w:rPr>
              <w:tab/>
              <w:t>Priznati kapital za potrebe velikih izloženosti</w:t>
            </w:r>
          </w:p>
          <w:p w14:paraId="58928032" w14:textId="755A1DCE" w:rsidR="00216D67" w:rsidRPr="00A30C4C" w:rsidRDefault="0014657C" w:rsidP="00BD4E13">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Članak 4. stavak 1. točka 71. </w:t>
            </w:r>
            <w:proofErr w:type="spellStart"/>
            <w:r>
              <w:t>podtočka</w:t>
            </w:r>
            <w:proofErr w:type="spellEnd"/>
            <w:r>
              <w:t xml:space="preserve"> (b) CRR-a</w:t>
            </w:r>
          </w:p>
        </w:tc>
      </w:tr>
      <w:tr w:rsidR="002648B0" w:rsidRPr="00A30C4C" w14:paraId="4C8FC57A" w14:textId="77777777" w:rsidTr="00672D2A">
        <w:tc>
          <w:tcPr>
            <w:tcW w:w="1506" w:type="dxa"/>
          </w:tcPr>
          <w:p w14:paraId="2A550C8C" w14:textId="77777777" w:rsidR="002648B0" w:rsidRPr="00A30C4C" w:rsidRDefault="002648B0" w:rsidP="00FD239F">
            <w:pPr>
              <w:pStyle w:val="InstructionsText"/>
            </w:pPr>
            <w:r>
              <w:t>230</w:t>
            </w:r>
          </w:p>
        </w:tc>
        <w:tc>
          <w:tcPr>
            <w:tcW w:w="7243" w:type="dxa"/>
          </w:tcPr>
          <w:p w14:paraId="1BCF0DB6" w14:textId="61D957CE" w:rsidR="005643EA" w:rsidRPr="00A30C4C" w:rsidRDefault="002648B0" w:rsidP="00FD239F">
            <w:pPr>
              <w:pStyle w:val="InstructionsText"/>
            </w:pPr>
            <w:r>
              <w:rPr>
                <w:rStyle w:val="InstructionsTabelleberschrift"/>
                <w:rFonts w:ascii="Times New Roman" w:hAnsi="Times New Roman"/>
                <w:sz w:val="24"/>
              </w:rPr>
              <w:t>12</w:t>
            </w:r>
            <w:r w:rsidR="009751F5">
              <w:rPr>
                <w:rStyle w:val="InstructionsTabelleberschrift"/>
                <w:rFonts w:ascii="Times New Roman" w:hAnsi="Times New Roman"/>
                <w:sz w:val="24"/>
              </w:rPr>
              <w:t>.</w:t>
            </w:r>
            <w:r>
              <w:rPr>
                <w:rStyle w:val="InstructionsTabelleberschrift"/>
                <w:rFonts w:ascii="Times New Roman" w:hAnsi="Times New Roman"/>
                <w:sz w:val="24"/>
              </w:rPr>
              <w:tab/>
              <w:t>Ulaganja u redovni osnovni kapital subjekata financijskog sektora ako institucija nema značajno ulaganje, ne uključujući kratke pozicije</w:t>
            </w:r>
          </w:p>
          <w:p w14:paraId="714DB117" w14:textId="752ABB59" w:rsidR="005643EA" w:rsidRPr="00A30C4C" w:rsidRDefault="002648B0" w:rsidP="00167619">
            <w:pPr>
              <w:pStyle w:val="InstructionsText"/>
            </w:pPr>
            <w:r>
              <w:t>Članci 44., 45., 46. i 49. CRR-a</w:t>
            </w:r>
          </w:p>
        </w:tc>
      </w:tr>
      <w:tr w:rsidR="002648B0" w:rsidRPr="00A30C4C" w14:paraId="2B5D5200" w14:textId="77777777" w:rsidTr="00672D2A">
        <w:tc>
          <w:tcPr>
            <w:tcW w:w="1506" w:type="dxa"/>
          </w:tcPr>
          <w:p w14:paraId="4297B88E" w14:textId="77777777" w:rsidR="002648B0" w:rsidRPr="00A30C4C" w:rsidRDefault="002648B0" w:rsidP="00FD239F">
            <w:pPr>
              <w:pStyle w:val="InstructionsText"/>
            </w:pPr>
            <w:r>
              <w:lastRenderedPageBreak/>
              <w:t>240</w:t>
            </w:r>
          </w:p>
        </w:tc>
        <w:tc>
          <w:tcPr>
            <w:tcW w:w="7243" w:type="dxa"/>
          </w:tcPr>
          <w:p w14:paraId="518FF441" w14:textId="5AA40AB1" w:rsidR="005643EA" w:rsidRPr="00A30C4C" w:rsidRDefault="002648B0" w:rsidP="00FD239F">
            <w:pPr>
              <w:pStyle w:val="InstructionsText"/>
            </w:pPr>
            <w:r>
              <w:rPr>
                <w:rStyle w:val="InstructionsTabelleberschrift"/>
                <w:rFonts w:ascii="Times New Roman" w:hAnsi="Times New Roman"/>
                <w:sz w:val="24"/>
              </w:rPr>
              <w:t>12.1</w:t>
            </w:r>
            <w:r w:rsidR="009751F5">
              <w:rPr>
                <w:rStyle w:val="InstructionsTabelleberschrift"/>
                <w:rFonts w:ascii="Times New Roman" w:hAnsi="Times New Roman"/>
                <w:sz w:val="24"/>
              </w:rPr>
              <w:t>.</w:t>
            </w:r>
            <w:r>
              <w:rPr>
                <w:rStyle w:val="InstructionsTabelleberschrift"/>
                <w:rFonts w:ascii="Times New Roman" w:hAnsi="Times New Roman"/>
                <w:sz w:val="24"/>
              </w:rPr>
              <w:tab/>
              <w:t>Izravna ulaganja u redovni osnovni kapital subjekata financijskog sektora ako institucija nema značajno ulaganje</w:t>
            </w:r>
          </w:p>
          <w:p w14:paraId="1A9A4532" w14:textId="036245FE" w:rsidR="005643EA" w:rsidRPr="00A30C4C" w:rsidRDefault="002648B0" w:rsidP="00FD239F">
            <w:pPr>
              <w:pStyle w:val="InstructionsText"/>
            </w:pPr>
            <w:r>
              <w:t>Članci 44., 45., 46. i 49. CRR-a</w:t>
            </w:r>
          </w:p>
        </w:tc>
      </w:tr>
      <w:tr w:rsidR="002648B0" w:rsidRPr="00A30C4C" w14:paraId="73F4E9A3" w14:textId="77777777" w:rsidTr="00672D2A">
        <w:tc>
          <w:tcPr>
            <w:tcW w:w="1506" w:type="dxa"/>
          </w:tcPr>
          <w:p w14:paraId="361FA4BD" w14:textId="77777777" w:rsidR="002648B0" w:rsidRPr="00A30C4C" w:rsidRDefault="002648B0" w:rsidP="00FD239F">
            <w:pPr>
              <w:pStyle w:val="InstructionsText"/>
            </w:pPr>
            <w:r>
              <w:t>250</w:t>
            </w:r>
          </w:p>
        </w:tc>
        <w:tc>
          <w:tcPr>
            <w:tcW w:w="7243" w:type="dxa"/>
          </w:tcPr>
          <w:p w14:paraId="76FFBF39" w14:textId="4000A15D" w:rsidR="005643EA" w:rsidRPr="00A30C4C" w:rsidRDefault="002648B0" w:rsidP="00FD239F">
            <w:pPr>
              <w:pStyle w:val="InstructionsText"/>
            </w:pPr>
            <w:r>
              <w:rPr>
                <w:rStyle w:val="InstructionsTabelleberschrift"/>
                <w:rFonts w:ascii="Times New Roman" w:hAnsi="Times New Roman"/>
                <w:sz w:val="24"/>
              </w:rPr>
              <w:t>12.1.1</w:t>
            </w:r>
            <w:r w:rsidR="009751F5">
              <w:rPr>
                <w:rStyle w:val="InstructionsTabelleberschrift"/>
                <w:rFonts w:ascii="Times New Roman" w:hAnsi="Times New Roman"/>
                <w:sz w:val="24"/>
              </w:rPr>
              <w:t>.</w:t>
            </w:r>
            <w:r>
              <w:rPr>
                <w:rStyle w:val="InstructionsTabelleberschrift"/>
                <w:rFonts w:ascii="Times New Roman" w:hAnsi="Times New Roman"/>
                <w:sz w:val="24"/>
              </w:rPr>
              <w:tab/>
              <w:t>Bruto izravna ulaganja u redovni osnovni kapital subjekata financijskog sektora ako institucija nema značajno ulaganje</w:t>
            </w:r>
          </w:p>
          <w:p w14:paraId="4C57E25F" w14:textId="6C23C0AB" w:rsidR="005643EA" w:rsidRPr="00A30C4C" w:rsidRDefault="002648B0" w:rsidP="00FD239F">
            <w:pPr>
              <w:pStyle w:val="InstructionsText"/>
            </w:pPr>
            <w:r>
              <w:t>Članci 44., 46. i 49. CRR-a.</w:t>
            </w:r>
          </w:p>
          <w:p w14:paraId="6294294E" w14:textId="77777777" w:rsidR="005643EA" w:rsidRPr="00A30C4C" w:rsidRDefault="002648B0" w:rsidP="00FD239F">
            <w:pPr>
              <w:pStyle w:val="InstructionsText"/>
            </w:pPr>
            <w:r>
              <w:t>Izravna ulaganja u redovni osnovni kapital subjekata financijskog sektora ako institucija nema značajno ulaganje, isključujući:</w:t>
            </w:r>
          </w:p>
          <w:p w14:paraId="69018A86" w14:textId="77777777" w:rsidR="005643EA" w:rsidRPr="00A30C4C" w:rsidRDefault="002648B0" w:rsidP="00FD239F">
            <w:pPr>
              <w:pStyle w:val="InstructionsText"/>
            </w:pPr>
            <w:r>
              <w:t>a)</w:t>
            </w:r>
            <w:r>
              <w:tab/>
              <w:t xml:space="preserve">pozicije proizišle iz usluge provedbe ponude odnosno prodaje financijskih instrumenata uz obvezu otkupa koje se drže najviše 5 radnih dana; </w:t>
            </w:r>
          </w:p>
          <w:p w14:paraId="7B2C13D0" w14:textId="32A33E15" w:rsidR="005643EA" w:rsidRPr="00A30C4C" w:rsidRDefault="002648B0" w:rsidP="00FD239F">
            <w:pPr>
              <w:pStyle w:val="InstructionsText"/>
            </w:pPr>
            <w:r>
              <w:t>b)</w:t>
            </w:r>
            <w:r>
              <w:tab/>
              <w:t xml:space="preserve">iznose koji se odnose na ulaganja za koja se primjenjuje bilo koja mogućnost iz članka 49. i </w:t>
            </w:r>
          </w:p>
          <w:p w14:paraId="65010A4C" w14:textId="60CF803B" w:rsidR="005643EA" w:rsidRPr="00A30C4C" w:rsidRDefault="002648B0" w:rsidP="0014657C">
            <w:pPr>
              <w:pStyle w:val="InstructionsText"/>
            </w:pPr>
            <w:r>
              <w:t>c)</w:t>
            </w:r>
            <w:r>
              <w:tab/>
              <w:t>ulaganja koja se tretiraju kao recipročna međusobna ulaganja u skladu s člankom 36. stavkom 1. točkom (g) CRR-a.</w:t>
            </w:r>
          </w:p>
        </w:tc>
      </w:tr>
      <w:tr w:rsidR="002648B0" w:rsidRPr="00A30C4C" w14:paraId="1B3D7227" w14:textId="77777777" w:rsidTr="00672D2A">
        <w:tc>
          <w:tcPr>
            <w:tcW w:w="1506" w:type="dxa"/>
          </w:tcPr>
          <w:p w14:paraId="15B3FEDD" w14:textId="77777777" w:rsidR="002648B0" w:rsidRPr="00A30C4C" w:rsidRDefault="002648B0" w:rsidP="00FD239F">
            <w:pPr>
              <w:pStyle w:val="InstructionsText"/>
            </w:pPr>
            <w:r>
              <w:t>260</w:t>
            </w:r>
          </w:p>
        </w:tc>
        <w:tc>
          <w:tcPr>
            <w:tcW w:w="7243" w:type="dxa"/>
          </w:tcPr>
          <w:p w14:paraId="35452673" w14:textId="0EDE4470" w:rsidR="005643EA" w:rsidRPr="00A30C4C" w:rsidRDefault="002648B0" w:rsidP="00FD239F">
            <w:pPr>
              <w:pStyle w:val="InstructionsText"/>
            </w:pPr>
            <w:r>
              <w:rPr>
                <w:rStyle w:val="InstructionsTabelleberschrift"/>
                <w:rFonts w:ascii="Times New Roman" w:hAnsi="Times New Roman"/>
                <w:sz w:val="24"/>
              </w:rPr>
              <w:t>12.1.2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14:paraId="38E0CC2A" w14:textId="13775458" w:rsidR="005643EA" w:rsidRPr="00A30C4C" w:rsidRDefault="002648B0" w:rsidP="00FD239F">
            <w:pPr>
              <w:pStyle w:val="InstructionsText"/>
            </w:pPr>
            <w:r>
              <w:t>Članak 45. CRR-a</w:t>
            </w:r>
          </w:p>
          <w:p w14:paraId="23053E8D" w14:textId="63EB5F93" w:rsidR="005643EA" w:rsidRPr="00A30C4C" w:rsidRDefault="002648B0" w:rsidP="00FD239F">
            <w:pPr>
              <w:pStyle w:val="InstructionsText"/>
            </w:pPr>
            <w:r>
              <w:t>Člankom 45. CRR-a omogućuje se prijeboj kratkih pozicija u istoj odnosnoj izloženosti ako je dospijeće kratke pozicije usklađeno s dospijećem duge pozicije ili ima preostali rok dospijeća najmanje godinu dana.</w:t>
            </w:r>
          </w:p>
        </w:tc>
      </w:tr>
      <w:tr w:rsidR="002648B0" w:rsidRPr="00A30C4C" w14:paraId="1F70B255" w14:textId="77777777" w:rsidTr="00672D2A">
        <w:tc>
          <w:tcPr>
            <w:tcW w:w="1506" w:type="dxa"/>
          </w:tcPr>
          <w:p w14:paraId="1F510E39" w14:textId="77777777" w:rsidR="002648B0" w:rsidRPr="00A30C4C" w:rsidRDefault="002648B0" w:rsidP="00FD239F">
            <w:pPr>
              <w:pStyle w:val="InstructionsText"/>
            </w:pPr>
            <w:r>
              <w:t>270</w:t>
            </w:r>
          </w:p>
        </w:tc>
        <w:tc>
          <w:tcPr>
            <w:tcW w:w="7243" w:type="dxa"/>
          </w:tcPr>
          <w:p w14:paraId="039B6233" w14:textId="4038B171" w:rsidR="005643EA" w:rsidRPr="00A30C4C" w:rsidRDefault="002648B0" w:rsidP="00FD239F">
            <w:pPr>
              <w:pStyle w:val="InstructionsText"/>
            </w:pPr>
            <w:r>
              <w:rPr>
                <w:rStyle w:val="InstructionsTabelleberschrift"/>
                <w:rFonts w:ascii="Times New Roman" w:hAnsi="Times New Roman"/>
                <w:sz w:val="24"/>
              </w:rPr>
              <w:t>12.2</w:t>
            </w:r>
            <w:r w:rsidR="009751F5">
              <w:rPr>
                <w:rStyle w:val="InstructionsTabelleberschrift"/>
                <w:rFonts w:ascii="Times New Roman" w:hAnsi="Times New Roman"/>
                <w:sz w:val="24"/>
              </w:rPr>
              <w:t>.</w:t>
            </w:r>
            <w:r>
              <w:rPr>
                <w:rStyle w:val="InstructionsTabelleberschrift"/>
                <w:rFonts w:ascii="Times New Roman" w:hAnsi="Times New Roman"/>
                <w:sz w:val="24"/>
              </w:rPr>
              <w:tab/>
              <w:t>Neizravna ulaganja u redovni osnovni kapital subjekata financijskog sektora ako institucija nema značajno ulaganje</w:t>
            </w:r>
          </w:p>
          <w:p w14:paraId="7B12E88F" w14:textId="096A4B07" w:rsidR="005643EA" w:rsidRPr="00A30C4C" w:rsidRDefault="00214FDA" w:rsidP="00214FDA">
            <w:pPr>
              <w:pStyle w:val="InstructionsText"/>
            </w:pPr>
            <w:r>
              <w:t>Članak 4. stavak 1. točka 114. i članci 44. i 45. CRR-a</w:t>
            </w:r>
          </w:p>
        </w:tc>
      </w:tr>
      <w:tr w:rsidR="002648B0" w:rsidRPr="00A30C4C" w14:paraId="713BA411" w14:textId="77777777" w:rsidTr="00672D2A">
        <w:tc>
          <w:tcPr>
            <w:tcW w:w="1506" w:type="dxa"/>
          </w:tcPr>
          <w:p w14:paraId="41762E70" w14:textId="77777777" w:rsidR="002648B0" w:rsidRPr="00A30C4C" w:rsidRDefault="002648B0" w:rsidP="00FD239F">
            <w:pPr>
              <w:pStyle w:val="InstructionsText"/>
            </w:pPr>
            <w:r>
              <w:t>280</w:t>
            </w:r>
          </w:p>
        </w:tc>
        <w:tc>
          <w:tcPr>
            <w:tcW w:w="7243" w:type="dxa"/>
          </w:tcPr>
          <w:p w14:paraId="6DE04412" w14:textId="4CD8BD79" w:rsidR="005643EA" w:rsidRPr="00A30C4C" w:rsidRDefault="002648B0" w:rsidP="00FD239F">
            <w:pPr>
              <w:pStyle w:val="InstructionsText"/>
            </w:pPr>
            <w:r>
              <w:rPr>
                <w:rStyle w:val="InstructionsTabelleberschrift"/>
                <w:rFonts w:ascii="Times New Roman" w:hAnsi="Times New Roman"/>
                <w:sz w:val="24"/>
              </w:rPr>
              <w:t>12.2.1</w:t>
            </w:r>
            <w:r w:rsidR="009751F5">
              <w:rPr>
                <w:rStyle w:val="InstructionsTabelleberschrift"/>
                <w:rFonts w:ascii="Times New Roman" w:hAnsi="Times New Roman"/>
                <w:sz w:val="24"/>
              </w:rPr>
              <w:t>.</w:t>
            </w:r>
            <w:r>
              <w:rPr>
                <w:rStyle w:val="InstructionsTabelleberschrift"/>
                <w:rFonts w:ascii="Times New Roman" w:hAnsi="Times New Roman"/>
                <w:sz w:val="24"/>
              </w:rPr>
              <w:tab/>
              <w:t>Bruto neizravna ulaganja u redovni osnovni kapital subjekata financijskog sektora ako institucija nema značajno ulaganje</w:t>
            </w:r>
          </w:p>
          <w:p w14:paraId="4FA04805" w14:textId="7EFC5828" w:rsidR="005643EA" w:rsidRPr="00A30C4C" w:rsidRDefault="00214FDA" w:rsidP="00FD239F">
            <w:pPr>
              <w:pStyle w:val="InstructionsText"/>
            </w:pPr>
            <w:r>
              <w:t>Članak 4. stavak 1. točka 114. i članci 44. i 45. CRR-a</w:t>
            </w:r>
          </w:p>
          <w:p w14:paraId="52F7CDCB" w14:textId="77777777" w:rsidR="005643EA" w:rsidRPr="00A30C4C" w:rsidRDefault="002648B0" w:rsidP="00FD239F">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14:paraId="079EC6C2" w14:textId="5AAF2675" w:rsidR="005643EA" w:rsidRPr="00A30C4C" w:rsidRDefault="002648B0" w:rsidP="0014657C">
            <w:pPr>
              <w:pStyle w:val="InstructionsText"/>
            </w:pPr>
            <w:r>
              <w:t>Ne uključuju se ulaganja koja se tretiraju kao recipročna međusobna ulaganja u skladu s člankom 36. stavkom 1. točkom (g) CRR-a.</w:t>
            </w:r>
          </w:p>
        </w:tc>
      </w:tr>
      <w:tr w:rsidR="002648B0" w:rsidRPr="00A30C4C" w14:paraId="5F89F622" w14:textId="77777777" w:rsidTr="00672D2A">
        <w:trPr>
          <w:trHeight w:val="850"/>
        </w:trPr>
        <w:tc>
          <w:tcPr>
            <w:tcW w:w="1506" w:type="dxa"/>
          </w:tcPr>
          <w:p w14:paraId="181204BB" w14:textId="77777777" w:rsidR="002648B0" w:rsidRPr="00A30C4C" w:rsidRDefault="002648B0" w:rsidP="00FD239F">
            <w:pPr>
              <w:pStyle w:val="InstructionsText"/>
            </w:pPr>
            <w:r>
              <w:t>290</w:t>
            </w:r>
          </w:p>
        </w:tc>
        <w:tc>
          <w:tcPr>
            <w:tcW w:w="7243" w:type="dxa"/>
          </w:tcPr>
          <w:p w14:paraId="064C4AC9" w14:textId="391B68F3" w:rsidR="005643EA" w:rsidRPr="00A30C4C" w:rsidRDefault="002648B0" w:rsidP="00FD239F">
            <w:pPr>
              <w:pStyle w:val="InstructionsText"/>
            </w:pPr>
            <w:r>
              <w:rPr>
                <w:rStyle w:val="InstructionsTabelleberschrift"/>
                <w:rFonts w:ascii="Times New Roman" w:hAnsi="Times New Roman"/>
                <w:sz w:val="24"/>
              </w:rPr>
              <w:t>12.2.2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14:paraId="37DDB41F" w14:textId="4D473EA3" w:rsidR="005643EA" w:rsidRPr="00A30C4C" w:rsidRDefault="00214FDA" w:rsidP="00FD239F">
            <w:pPr>
              <w:pStyle w:val="InstructionsText"/>
            </w:pPr>
            <w:r>
              <w:t>Članak 4. stavak 1. točka 114. i članak 45. CRR-a</w:t>
            </w:r>
          </w:p>
          <w:p w14:paraId="4F53DE74" w14:textId="086EDD09" w:rsidR="005643EA" w:rsidRPr="00A30C4C" w:rsidRDefault="0014657C" w:rsidP="0014657C">
            <w:pPr>
              <w:pStyle w:val="InstructionsText"/>
            </w:pPr>
            <w:r>
              <w:t>Člankom 45. točkom (a) CRR-a omogućuje se prijeboj kratkih pozicija u istoj odnosnoj izloženosti ako je dospijeće kratke pozicije usklađeno s dospijećem duge pozicije ili ima preostali rok dospijeća najmanje godinu dana.</w:t>
            </w:r>
          </w:p>
        </w:tc>
      </w:tr>
      <w:tr w:rsidR="002648B0" w:rsidRPr="00A30C4C" w14:paraId="55B417E0" w14:textId="77777777" w:rsidTr="00672D2A">
        <w:tc>
          <w:tcPr>
            <w:tcW w:w="1506" w:type="dxa"/>
          </w:tcPr>
          <w:p w14:paraId="4AB46911" w14:textId="77777777" w:rsidR="002648B0" w:rsidRPr="00A30C4C" w:rsidRDefault="002648B0" w:rsidP="00FD239F">
            <w:pPr>
              <w:pStyle w:val="InstructionsText"/>
            </w:pPr>
            <w:r>
              <w:lastRenderedPageBreak/>
              <w:t>291</w:t>
            </w:r>
          </w:p>
        </w:tc>
        <w:tc>
          <w:tcPr>
            <w:tcW w:w="7243" w:type="dxa"/>
            <w:vAlign w:val="center"/>
          </w:tcPr>
          <w:p w14:paraId="062F8E8A" w14:textId="66021D69" w:rsidR="005643EA" w:rsidRPr="00A30C4C"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009751F5">
              <w:rPr>
                <w:rStyle w:val="InstructionsTabelleberschrift"/>
                <w:rFonts w:ascii="Times New Roman" w:hAnsi="Times New Roman"/>
                <w:sz w:val="24"/>
              </w:rPr>
              <w:t>.</w:t>
            </w:r>
            <w:r>
              <w:rPr>
                <w:rStyle w:val="InstructionsTabelleberschrift"/>
                <w:rFonts w:ascii="Times New Roman" w:hAnsi="Times New Roman"/>
                <w:sz w:val="24"/>
              </w:rPr>
              <w:tab/>
              <w:t>Sintetska ulaganja u redovni osnovni kapital subjekata financijskog sektora ako institucija nema značajno ulaganje</w:t>
            </w:r>
          </w:p>
          <w:p w14:paraId="697C040B" w14:textId="11ABAA1B" w:rsidR="005643EA" w:rsidRPr="00A30C4C" w:rsidRDefault="00214FDA" w:rsidP="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 stavak 1. točka 126. i članci 44. i 45. CRR-a</w:t>
            </w:r>
          </w:p>
        </w:tc>
      </w:tr>
      <w:tr w:rsidR="002648B0" w:rsidRPr="00A30C4C" w14:paraId="6953E2A3" w14:textId="77777777" w:rsidTr="00672D2A">
        <w:tc>
          <w:tcPr>
            <w:tcW w:w="1506" w:type="dxa"/>
          </w:tcPr>
          <w:p w14:paraId="7904CC35" w14:textId="77777777" w:rsidR="005643EA" w:rsidRPr="00A30C4C" w:rsidRDefault="002648B0" w:rsidP="00FD239F">
            <w:pPr>
              <w:pStyle w:val="InstructionsText"/>
            </w:pPr>
            <w:r>
              <w:t>292</w:t>
            </w:r>
          </w:p>
        </w:tc>
        <w:tc>
          <w:tcPr>
            <w:tcW w:w="7243" w:type="dxa"/>
            <w:vAlign w:val="center"/>
          </w:tcPr>
          <w:p w14:paraId="481AF34E" w14:textId="70745DD6" w:rsidR="005643EA" w:rsidRPr="00A30C4C"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009751F5">
              <w:rPr>
                <w:rStyle w:val="InstructionsTabelleberschrift"/>
                <w:rFonts w:ascii="Times New Roman" w:hAnsi="Times New Roman"/>
                <w:sz w:val="24"/>
              </w:rPr>
              <w:t>.</w:t>
            </w:r>
            <w:r>
              <w:rPr>
                <w:rStyle w:val="InstructionsTabelleberschrift"/>
                <w:rFonts w:ascii="Times New Roman" w:hAnsi="Times New Roman"/>
                <w:sz w:val="24"/>
              </w:rPr>
              <w:tab/>
              <w:t>Bruto sintetska ulaganja u redovni osnovni kapital subjekata financijskog sektora ako institucija nema značajno ulaganje</w:t>
            </w:r>
          </w:p>
          <w:p w14:paraId="4CF4E076" w14:textId="28DB9030" w:rsidR="005643EA" w:rsidRPr="00A30C4C" w:rsidRDefault="00214FDA" w:rsidP="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 stavak 1. točka 126. i članci 44. i 45. CRR-a</w:t>
            </w:r>
          </w:p>
        </w:tc>
      </w:tr>
      <w:tr w:rsidR="002648B0" w:rsidRPr="00A30C4C" w14:paraId="30B1F894" w14:textId="77777777" w:rsidTr="00672D2A">
        <w:tc>
          <w:tcPr>
            <w:tcW w:w="1506" w:type="dxa"/>
          </w:tcPr>
          <w:p w14:paraId="522A63E6" w14:textId="77777777" w:rsidR="005643EA" w:rsidRPr="00A30C4C" w:rsidRDefault="002648B0" w:rsidP="00FD239F">
            <w:pPr>
              <w:pStyle w:val="InstructionsText"/>
            </w:pPr>
            <w:r>
              <w:t>293</w:t>
            </w:r>
          </w:p>
        </w:tc>
        <w:tc>
          <w:tcPr>
            <w:tcW w:w="7243" w:type="dxa"/>
            <w:vAlign w:val="center"/>
          </w:tcPr>
          <w:p w14:paraId="3F4762D8" w14:textId="6DD27814"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14:paraId="30A7CEB6" w14:textId="139F584E" w:rsidR="005643EA" w:rsidRPr="00A30C4C" w:rsidRDefault="00214FDA" w:rsidP="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 stavak 1. točka 126. i članak 45. CRR-a</w:t>
            </w:r>
          </w:p>
        </w:tc>
      </w:tr>
      <w:tr w:rsidR="002648B0" w:rsidRPr="00A30C4C" w14:paraId="14B120A3" w14:textId="77777777" w:rsidTr="00672D2A">
        <w:tc>
          <w:tcPr>
            <w:tcW w:w="1506" w:type="dxa"/>
          </w:tcPr>
          <w:p w14:paraId="369A2526" w14:textId="77777777" w:rsidR="002648B0" w:rsidRPr="00A30C4C" w:rsidRDefault="002648B0" w:rsidP="00FD239F">
            <w:pPr>
              <w:pStyle w:val="InstructionsText"/>
            </w:pPr>
            <w:r>
              <w:t>300</w:t>
            </w:r>
          </w:p>
        </w:tc>
        <w:tc>
          <w:tcPr>
            <w:tcW w:w="7243" w:type="dxa"/>
          </w:tcPr>
          <w:p w14:paraId="52900569" w14:textId="4EB3AB3D"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009751F5">
              <w:rPr>
                <w:rStyle w:val="InstructionsTabelleberschrift"/>
                <w:rFonts w:ascii="Times New Roman" w:hAnsi="Times New Roman"/>
                <w:sz w:val="24"/>
              </w:rPr>
              <w:t>.</w:t>
            </w:r>
            <w:r>
              <w:rPr>
                <w:rStyle w:val="InstructionsTabelleberschrift"/>
                <w:rFonts w:ascii="Times New Roman" w:hAnsi="Times New Roman"/>
                <w:sz w:val="24"/>
              </w:rPr>
              <w:tab/>
              <w:t>Ulaganja u dodatni osnovni kapital subjekata financijskog sektora ako institucija nema značajno ulaganje, ne uključujući kratke pozicije</w:t>
            </w:r>
          </w:p>
          <w:p w14:paraId="7A2C687B" w14:textId="44979A34" w:rsidR="005643EA" w:rsidRPr="00A30C4C" w:rsidRDefault="002648B0" w:rsidP="00FD239F">
            <w:pPr>
              <w:pStyle w:val="InstructionsText"/>
            </w:pPr>
            <w:r>
              <w:t>Članci 58., 59. i 60. CRR-a</w:t>
            </w:r>
          </w:p>
        </w:tc>
      </w:tr>
      <w:tr w:rsidR="002648B0" w:rsidRPr="00A30C4C" w14:paraId="3DF636D6" w14:textId="77777777" w:rsidTr="00672D2A">
        <w:tc>
          <w:tcPr>
            <w:tcW w:w="1506" w:type="dxa"/>
          </w:tcPr>
          <w:p w14:paraId="6A3DBAB2" w14:textId="77777777" w:rsidR="002648B0" w:rsidRPr="00A30C4C" w:rsidRDefault="002648B0" w:rsidP="00FD239F">
            <w:pPr>
              <w:pStyle w:val="InstructionsText"/>
            </w:pPr>
            <w:r>
              <w:t>310</w:t>
            </w:r>
          </w:p>
        </w:tc>
        <w:tc>
          <w:tcPr>
            <w:tcW w:w="7243" w:type="dxa"/>
          </w:tcPr>
          <w:p w14:paraId="5D302251" w14:textId="4C073E7C" w:rsidR="005643EA" w:rsidRPr="00A30C4C" w:rsidRDefault="002648B0" w:rsidP="00FD239F">
            <w:pPr>
              <w:pStyle w:val="InstructionsText"/>
            </w:pPr>
            <w:r>
              <w:rPr>
                <w:rStyle w:val="InstructionsTabelleberschrift"/>
                <w:rFonts w:ascii="Times New Roman" w:hAnsi="Times New Roman"/>
                <w:sz w:val="24"/>
              </w:rPr>
              <w:t>13.1</w:t>
            </w:r>
            <w:r w:rsidR="009751F5">
              <w:rPr>
                <w:rStyle w:val="InstructionsTabelleberschrift"/>
                <w:rFonts w:ascii="Times New Roman" w:hAnsi="Times New Roman"/>
                <w:sz w:val="24"/>
              </w:rPr>
              <w:t>.</w:t>
            </w:r>
            <w:r>
              <w:rPr>
                <w:rStyle w:val="InstructionsTabelleberschrift"/>
                <w:rFonts w:ascii="Times New Roman" w:hAnsi="Times New Roman"/>
                <w:sz w:val="24"/>
              </w:rPr>
              <w:tab/>
              <w:t>Izravna ulaganja u dodatni osnovni kapital subjekata financijskog sektora ako institucija nema značajno ulaganje</w:t>
            </w:r>
          </w:p>
          <w:p w14:paraId="1AA16D99" w14:textId="07038700" w:rsidR="005643EA" w:rsidRPr="00A30C4C" w:rsidRDefault="002648B0" w:rsidP="00FD239F">
            <w:pPr>
              <w:pStyle w:val="InstructionsText"/>
            </w:pPr>
            <w:r>
              <w:t>Članci 58. i 59. i članak 60. stavak 2. CRR-a</w:t>
            </w:r>
          </w:p>
        </w:tc>
      </w:tr>
      <w:tr w:rsidR="002648B0" w:rsidRPr="00A30C4C" w14:paraId="3DEB85F1" w14:textId="77777777" w:rsidTr="00672D2A">
        <w:tc>
          <w:tcPr>
            <w:tcW w:w="1506" w:type="dxa"/>
          </w:tcPr>
          <w:p w14:paraId="29A288AF" w14:textId="77777777" w:rsidR="002648B0" w:rsidRPr="00A30C4C" w:rsidRDefault="002648B0" w:rsidP="00FD239F">
            <w:pPr>
              <w:pStyle w:val="InstructionsText"/>
            </w:pPr>
            <w:r>
              <w:t>320</w:t>
            </w:r>
          </w:p>
        </w:tc>
        <w:tc>
          <w:tcPr>
            <w:tcW w:w="7243" w:type="dxa"/>
          </w:tcPr>
          <w:p w14:paraId="5B626C5A" w14:textId="749AAA44" w:rsidR="005643EA" w:rsidRPr="00A30C4C" w:rsidRDefault="002648B0" w:rsidP="00FD239F">
            <w:pPr>
              <w:pStyle w:val="InstructionsText"/>
            </w:pPr>
            <w:r>
              <w:rPr>
                <w:rStyle w:val="InstructionsTabelleberschrift"/>
                <w:rFonts w:ascii="Times New Roman" w:hAnsi="Times New Roman"/>
                <w:sz w:val="24"/>
              </w:rPr>
              <w:t>13.1.1</w:t>
            </w:r>
            <w:r w:rsidR="009751F5">
              <w:rPr>
                <w:rStyle w:val="InstructionsTabelleberschrift"/>
                <w:rFonts w:ascii="Times New Roman" w:hAnsi="Times New Roman"/>
                <w:sz w:val="24"/>
              </w:rPr>
              <w:t>.</w:t>
            </w:r>
            <w:r>
              <w:rPr>
                <w:rStyle w:val="InstructionsTabelleberschrift"/>
                <w:rFonts w:ascii="Times New Roman" w:hAnsi="Times New Roman"/>
                <w:sz w:val="24"/>
              </w:rPr>
              <w:tab/>
              <w:t>Bruto izravna ulaganja u dodatni osnovni kapital subjekata financijskog sektora ako institucija nema značajno ulaganje</w:t>
            </w:r>
          </w:p>
          <w:p w14:paraId="69E39D2C" w14:textId="24B017A9" w:rsidR="005643EA" w:rsidRPr="00A30C4C" w:rsidRDefault="002648B0" w:rsidP="00FD239F">
            <w:pPr>
              <w:pStyle w:val="InstructionsText"/>
            </w:pPr>
            <w:r>
              <w:t>Članak 58. i članak 60. stavak 2. CRR-a</w:t>
            </w:r>
          </w:p>
          <w:p w14:paraId="5C119113" w14:textId="77777777" w:rsidR="005643EA" w:rsidRPr="00A30C4C" w:rsidRDefault="002648B0" w:rsidP="00FD239F">
            <w:pPr>
              <w:pStyle w:val="InstructionsText"/>
            </w:pPr>
            <w:r>
              <w:t>Izravna ulaganja u dodatni osnovni kapital subjekata financijskog sektora ako institucija nema značajno ulaganje, isključujući:</w:t>
            </w:r>
          </w:p>
          <w:p w14:paraId="28F77BEB" w14:textId="77777777" w:rsidR="005643EA" w:rsidRPr="00A30C4C" w:rsidRDefault="002648B0" w:rsidP="00FD239F">
            <w:pPr>
              <w:pStyle w:val="InstructionsText"/>
            </w:pPr>
            <w:r>
              <w:t>a)</w:t>
            </w:r>
            <w:r>
              <w:tab/>
              <w:t xml:space="preserve">pozicije proizišle iz usluge provedbe ponude odnosno prodaje financijskih instrumenata uz obvezu otkupa koje se drže najviše 5 radnih dana; i </w:t>
            </w:r>
          </w:p>
          <w:p w14:paraId="39599D12" w14:textId="21C61013" w:rsidR="005643EA" w:rsidRPr="00A30C4C" w:rsidRDefault="002648B0" w:rsidP="0014657C">
            <w:pPr>
              <w:pStyle w:val="InstructionsText"/>
            </w:pPr>
            <w:r>
              <w:t>b)</w:t>
            </w:r>
            <w:r>
              <w:tab/>
              <w:t>ulaganja koja se tretiraju kao recipročna međusobna ulaganja u skladu s člankom 56. točkom (b) CRR-a.</w:t>
            </w:r>
          </w:p>
        </w:tc>
      </w:tr>
      <w:tr w:rsidR="002648B0" w:rsidRPr="00A30C4C" w14:paraId="18D264D3" w14:textId="77777777" w:rsidTr="00672D2A">
        <w:tc>
          <w:tcPr>
            <w:tcW w:w="1506" w:type="dxa"/>
          </w:tcPr>
          <w:p w14:paraId="0F7E568E" w14:textId="77777777" w:rsidR="002648B0" w:rsidRPr="00A30C4C" w:rsidRDefault="002648B0" w:rsidP="00FD239F">
            <w:pPr>
              <w:pStyle w:val="InstructionsText"/>
            </w:pPr>
            <w:r>
              <w:t>330</w:t>
            </w:r>
          </w:p>
        </w:tc>
        <w:tc>
          <w:tcPr>
            <w:tcW w:w="7243" w:type="dxa"/>
          </w:tcPr>
          <w:p w14:paraId="7CCB3D8E" w14:textId="558423AC" w:rsidR="005643EA" w:rsidRPr="00A30C4C" w:rsidRDefault="002648B0" w:rsidP="00FD239F">
            <w:pPr>
              <w:pStyle w:val="InstructionsText"/>
            </w:pPr>
            <w:r>
              <w:rPr>
                <w:rStyle w:val="InstructionsTabelleberschrift"/>
                <w:rFonts w:ascii="Times New Roman" w:hAnsi="Times New Roman"/>
                <w:sz w:val="24"/>
              </w:rPr>
              <w:t>13.1.2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14:paraId="1C0564BA" w14:textId="466365E5" w:rsidR="005643EA" w:rsidRPr="00A30C4C" w:rsidRDefault="002648B0" w:rsidP="00FD239F">
            <w:pPr>
              <w:pStyle w:val="InstructionsText"/>
            </w:pPr>
            <w:r>
              <w:t>Članak 59. CRR-a</w:t>
            </w:r>
          </w:p>
          <w:p w14:paraId="15F5FC07" w14:textId="7B593A25" w:rsidR="005643EA" w:rsidRPr="00A30C4C" w:rsidRDefault="0014657C" w:rsidP="0014657C">
            <w:pPr>
              <w:pStyle w:val="InstructionsText"/>
            </w:pPr>
            <w:r>
              <w:t>Člankom 59. točkom (a) CRR-a omogućuje se prijeboj kratkih pozicija u istoj odnosnoj izloženosti ako je dospijeće kratke pozicije usklađeno s dospijećem duge pozicije ili ima preostali rok dospijeća najmanje godinu dana.</w:t>
            </w:r>
          </w:p>
        </w:tc>
      </w:tr>
      <w:tr w:rsidR="002648B0" w:rsidRPr="00A30C4C" w14:paraId="0DB0D8FF" w14:textId="77777777" w:rsidTr="00672D2A">
        <w:tc>
          <w:tcPr>
            <w:tcW w:w="1506" w:type="dxa"/>
          </w:tcPr>
          <w:p w14:paraId="5A72A2AE" w14:textId="77777777" w:rsidR="002648B0" w:rsidRPr="00A30C4C" w:rsidRDefault="002648B0" w:rsidP="00FD239F">
            <w:pPr>
              <w:pStyle w:val="InstructionsText"/>
            </w:pPr>
            <w:r>
              <w:t>340</w:t>
            </w:r>
          </w:p>
        </w:tc>
        <w:tc>
          <w:tcPr>
            <w:tcW w:w="7243" w:type="dxa"/>
          </w:tcPr>
          <w:p w14:paraId="7AD7D79B" w14:textId="6705C57F" w:rsidR="005643EA" w:rsidRPr="00A30C4C" w:rsidRDefault="002648B0" w:rsidP="00FD239F">
            <w:pPr>
              <w:pStyle w:val="InstructionsText"/>
            </w:pPr>
            <w:r>
              <w:rPr>
                <w:rStyle w:val="InstructionsTabelleberschrift"/>
                <w:rFonts w:ascii="Times New Roman" w:hAnsi="Times New Roman"/>
                <w:sz w:val="24"/>
              </w:rPr>
              <w:t>13.2</w:t>
            </w:r>
            <w:r w:rsidR="009751F5">
              <w:rPr>
                <w:rStyle w:val="InstructionsTabelleberschrift"/>
                <w:rFonts w:ascii="Times New Roman" w:hAnsi="Times New Roman"/>
                <w:sz w:val="24"/>
              </w:rPr>
              <w:t>.</w:t>
            </w:r>
            <w:r>
              <w:rPr>
                <w:rStyle w:val="InstructionsTabelleberschrift"/>
                <w:rFonts w:ascii="Times New Roman" w:hAnsi="Times New Roman"/>
                <w:sz w:val="24"/>
              </w:rPr>
              <w:tab/>
              <w:t>Neizravna ulaganja u dodatni osnovni kapital subjekata financijskog sektora ako institucija nema značajno ulaganje</w:t>
            </w:r>
          </w:p>
          <w:p w14:paraId="457752D0" w14:textId="432BC9CD" w:rsidR="005643EA" w:rsidRPr="00A30C4C" w:rsidRDefault="00214FDA" w:rsidP="00214FDA">
            <w:pPr>
              <w:pStyle w:val="InstructionsText"/>
            </w:pPr>
            <w:r>
              <w:t>Članak 4. stavak 1. točka 114. i članci 58. i 59. CRR-a</w:t>
            </w:r>
          </w:p>
        </w:tc>
      </w:tr>
      <w:tr w:rsidR="002648B0" w:rsidRPr="00A30C4C" w14:paraId="0CF08560" w14:textId="77777777" w:rsidTr="00672D2A">
        <w:tc>
          <w:tcPr>
            <w:tcW w:w="1506" w:type="dxa"/>
          </w:tcPr>
          <w:p w14:paraId="54816389" w14:textId="77777777" w:rsidR="002648B0" w:rsidRPr="00A30C4C" w:rsidRDefault="002648B0" w:rsidP="00FD239F">
            <w:pPr>
              <w:pStyle w:val="InstructionsText"/>
            </w:pPr>
            <w:r>
              <w:t>350</w:t>
            </w:r>
          </w:p>
        </w:tc>
        <w:tc>
          <w:tcPr>
            <w:tcW w:w="7243" w:type="dxa"/>
          </w:tcPr>
          <w:p w14:paraId="02D461C1" w14:textId="4DDA0A0D" w:rsidR="005643EA" w:rsidRPr="00A30C4C" w:rsidRDefault="002648B0" w:rsidP="00FD239F">
            <w:pPr>
              <w:pStyle w:val="InstructionsText"/>
            </w:pPr>
            <w:r>
              <w:rPr>
                <w:rStyle w:val="InstructionsTabelleberschrift"/>
                <w:rFonts w:ascii="Times New Roman" w:hAnsi="Times New Roman"/>
                <w:sz w:val="24"/>
              </w:rPr>
              <w:t>13.2.1</w:t>
            </w:r>
            <w:r w:rsidR="009751F5">
              <w:rPr>
                <w:rStyle w:val="InstructionsTabelleberschrift"/>
                <w:rFonts w:ascii="Times New Roman" w:hAnsi="Times New Roman"/>
                <w:sz w:val="24"/>
              </w:rPr>
              <w:t>.</w:t>
            </w:r>
            <w:r>
              <w:rPr>
                <w:rStyle w:val="InstructionsTabelleberschrift"/>
                <w:rFonts w:ascii="Times New Roman" w:hAnsi="Times New Roman"/>
                <w:sz w:val="24"/>
              </w:rPr>
              <w:tab/>
              <w:t>Bruto neizravna ulaganja u dodatni osnovni kapital subjekata financijskog sektora ako institucija nema značajno ulaganje</w:t>
            </w:r>
          </w:p>
          <w:p w14:paraId="28B6DA91" w14:textId="14592B98" w:rsidR="005643EA" w:rsidRPr="00A30C4C" w:rsidRDefault="00214FDA" w:rsidP="00FD239F">
            <w:pPr>
              <w:pStyle w:val="InstructionsText"/>
            </w:pPr>
            <w:r>
              <w:t>Članak 4. stavak 1. točka 114. i članci 58. i 59. CRR-a</w:t>
            </w:r>
          </w:p>
          <w:p w14:paraId="09EBC206" w14:textId="77777777" w:rsidR="005643EA" w:rsidRPr="00A30C4C" w:rsidRDefault="002648B0" w:rsidP="00FD239F">
            <w:pPr>
              <w:pStyle w:val="InstructionsText"/>
            </w:pPr>
            <w:r>
              <w:lastRenderedPageBreak/>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14:paraId="347F2663" w14:textId="14A1E84E" w:rsidR="005643EA" w:rsidRPr="00A30C4C" w:rsidRDefault="002648B0" w:rsidP="0014657C">
            <w:pPr>
              <w:pStyle w:val="InstructionsText"/>
            </w:pPr>
            <w:r>
              <w:t>Ne uključuju se ulaganja koja se tretiraju kao recipročna međusobna ulaganja u skladu s člankom 56. točkom (b) CRR-a.</w:t>
            </w:r>
          </w:p>
        </w:tc>
      </w:tr>
      <w:tr w:rsidR="002648B0" w:rsidRPr="00A30C4C" w14:paraId="58329290" w14:textId="77777777" w:rsidTr="00672D2A">
        <w:tc>
          <w:tcPr>
            <w:tcW w:w="1506" w:type="dxa"/>
          </w:tcPr>
          <w:p w14:paraId="02396C73" w14:textId="77777777" w:rsidR="002648B0" w:rsidRPr="00A30C4C" w:rsidRDefault="002648B0" w:rsidP="00FD239F">
            <w:pPr>
              <w:pStyle w:val="InstructionsText"/>
            </w:pPr>
            <w:r>
              <w:lastRenderedPageBreak/>
              <w:t>360</w:t>
            </w:r>
          </w:p>
        </w:tc>
        <w:tc>
          <w:tcPr>
            <w:tcW w:w="7243" w:type="dxa"/>
          </w:tcPr>
          <w:p w14:paraId="70023092" w14:textId="3D8FB921" w:rsidR="005643EA" w:rsidRPr="00A30C4C" w:rsidRDefault="002648B0" w:rsidP="00FD239F">
            <w:pPr>
              <w:pStyle w:val="InstructionsText"/>
            </w:pPr>
            <w:r>
              <w:rPr>
                <w:rStyle w:val="InstructionsTabelleberschrift"/>
                <w:rFonts w:ascii="Times New Roman" w:hAnsi="Times New Roman"/>
                <w:sz w:val="24"/>
              </w:rPr>
              <w:t>13.2.2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14:paraId="1F0E451C" w14:textId="28928581" w:rsidR="005643EA" w:rsidRPr="00A30C4C" w:rsidRDefault="00214FDA" w:rsidP="00FD239F">
            <w:pPr>
              <w:pStyle w:val="InstructionsText"/>
            </w:pPr>
            <w:r>
              <w:t>Članak 4. stavak 1. točka 114. i članak 59. CRR-a</w:t>
            </w:r>
          </w:p>
          <w:p w14:paraId="017DF527" w14:textId="7A5602B2" w:rsidR="005643EA" w:rsidRPr="00A30C4C" w:rsidRDefault="0014657C" w:rsidP="0014657C">
            <w:pPr>
              <w:pStyle w:val="InstructionsText"/>
            </w:pPr>
            <w:r>
              <w:t>Člankom 59. točkom (a) CRR-a omogućuje se prijeboj kratkih pozicija u istoj odnosnoj izloženosti ako je dospijeće kratke pozicije usklađeno s dospijećem duge pozicije ili ima preostali rok dospijeća najmanje godinu dana.</w:t>
            </w:r>
          </w:p>
        </w:tc>
      </w:tr>
      <w:tr w:rsidR="002648B0" w:rsidRPr="00A30C4C" w14:paraId="4B0743D4" w14:textId="77777777" w:rsidTr="00672D2A">
        <w:tc>
          <w:tcPr>
            <w:tcW w:w="1506" w:type="dxa"/>
          </w:tcPr>
          <w:p w14:paraId="272D7D66" w14:textId="77777777" w:rsidR="002648B0" w:rsidRPr="00A30C4C" w:rsidRDefault="002648B0" w:rsidP="00FD239F">
            <w:pPr>
              <w:pStyle w:val="InstructionsText"/>
            </w:pPr>
            <w:r>
              <w:t>361</w:t>
            </w:r>
          </w:p>
        </w:tc>
        <w:tc>
          <w:tcPr>
            <w:tcW w:w="7243" w:type="dxa"/>
            <w:vAlign w:val="center"/>
          </w:tcPr>
          <w:p w14:paraId="17308441" w14:textId="7262721D" w:rsidR="005643EA" w:rsidRPr="00A30C4C" w:rsidRDefault="002648B0" w:rsidP="00FD239F">
            <w:pPr>
              <w:pStyle w:val="InstructionsText"/>
            </w:pPr>
            <w:r>
              <w:rPr>
                <w:rStyle w:val="InstructionsTabelleberschrift"/>
                <w:rFonts w:ascii="Times New Roman" w:hAnsi="Times New Roman"/>
                <w:sz w:val="24"/>
              </w:rPr>
              <w:t>13.3</w:t>
            </w:r>
            <w:r w:rsidR="009751F5">
              <w:rPr>
                <w:rStyle w:val="InstructionsTabelleberschrift"/>
                <w:rFonts w:ascii="Times New Roman" w:hAnsi="Times New Roman"/>
                <w:sz w:val="24"/>
              </w:rPr>
              <w:t>.</w:t>
            </w:r>
            <w:r>
              <w:rPr>
                <w:rStyle w:val="InstructionsTabelleberschrift"/>
                <w:rFonts w:ascii="Times New Roman" w:hAnsi="Times New Roman"/>
                <w:sz w:val="24"/>
              </w:rPr>
              <w:tab/>
              <w:t>Sintetska ulaganja u dodatni osnovni kapital subjekata financijskog sektora ako institucija nema značajno ulaganje</w:t>
            </w:r>
          </w:p>
          <w:p w14:paraId="3B4E6F0E" w14:textId="0F18E25E" w:rsidR="005643EA" w:rsidRPr="00A30C4C" w:rsidRDefault="00214FDA" w:rsidP="00214FDA">
            <w:pPr>
              <w:pStyle w:val="InstructionsText"/>
              <w:rPr>
                <w:rStyle w:val="InstructionsTabelleberschrift"/>
                <w:rFonts w:ascii="Times New Roman" w:hAnsi="Times New Roman"/>
                <w:b w:val="0"/>
                <w:bCs w:val="0"/>
                <w:sz w:val="24"/>
                <w:u w:val="none"/>
              </w:rPr>
            </w:pPr>
            <w:r>
              <w:t>Članak 4. stavak 1. točka 126. i članci 58. i 59. CRR-a</w:t>
            </w:r>
          </w:p>
        </w:tc>
      </w:tr>
      <w:tr w:rsidR="002648B0" w:rsidRPr="00A30C4C" w14:paraId="00F211BB" w14:textId="77777777" w:rsidTr="00672D2A">
        <w:tc>
          <w:tcPr>
            <w:tcW w:w="1506" w:type="dxa"/>
          </w:tcPr>
          <w:p w14:paraId="70C1EA63" w14:textId="77777777" w:rsidR="002648B0" w:rsidRPr="00A30C4C" w:rsidRDefault="002648B0" w:rsidP="00FD239F">
            <w:pPr>
              <w:pStyle w:val="InstructionsText"/>
            </w:pPr>
            <w:r>
              <w:t>362</w:t>
            </w:r>
          </w:p>
        </w:tc>
        <w:tc>
          <w:tcPr>
            <w:tcW w:w="7243" w:type="dxa"/>
            <w:vAlign w:val="center"/>
          </w:tcPr>
          <w:p w14:paraId="5A49D804" w14:textId="0974520D" w:rsidR="005643EA" w:rsidRPr="00A30C4C" w:rsidRDefault="002648B0" w:rsidP="00FD239F">
            <w:pPr>
              <w:pStyle w:val="InstructionsText"/>
            </w:pPr>
            <w:r>
              <w:rPr>
                <w:rStyle w:val="InstructionsTabelleberschrift"/>
                <w:rFonts w:ascii="Times New Roman" w:hAnsi="Times New Roman"/>
                <w:sz w:val="24"/>
              </w:rPr>
              <w:t>13.3.1</w:t>
            </w:r>
            <w:r w:rsidR="009751F5">
              <w:rPr>
                <w:rStyle w:val="InstructionsTabelleberschrift"/>
                <w:rFonts w:ascii="Times New Roman" w:hAnsi="Times New Roman"/>
                <w:sz w:val="24"/>
              </w:rPr>
              <w:t>.</w:t>
            </w:r>
            <w:r>
              <w:rPr>
                <w:rStyle w:val="InstructionsTabelleberschrift"/>
                <w:rFonts w:ascii="Times New Roman" w:hAnsi="Times New Roman"/>
                <w:sz w:val="24"/>
              </w:rPr>
              <w:tab/>
              <w:t>Bruto sintetska ulaganja u dodatni osnovni kapital subjekata financijskog sektora ako institucija nema značajno ulaganje</w:t>
            </w:r>
          </w:p>
          <w:p w14:paraId="5DF0FBA0" w14:textId="42446003" w:rsidR="005643EA" w:rsidRPr="00A30C4C" w:rsidRDefault="00214FDA" w:rsidP="00214FDA">
            <w:pPr>
              <w:pStyle w:val="InstructionsText"/>
              <w:rPr>
                <w:rStyle w:val="InstructionsTabelleberschrift"/>
                <w:rFonts w:ascii="Times New Roman" w:hAnsi="Times New Roman"/>
                <w:b w:val="0"/>
                <w:bCs w:val="0"/>
                <w:sz w:val="24"/>
                <w:u w:val="none"/>
              </w:rPr>
            </w:pPr>
            <w:r>
              <w:t>Članak 4. stavak 1. točka 126. i članci 58. i 59. CRR-a</w:t>
            </w:r>
          </w:p>
        </w:tc>
      </w:tr>
      <w:tr w:rsidR="002648B0" w:rsidRPr="00A30C4C" w14:paraId="62F7A341" w14:textId="77777777" w:rsidTr="00672D2A">
        <w:tc>
          <w:tcPr>
            <w:tcW w:w="1506" w:type="dxa"/>
          </w:tcPr>
          <w:p w14:paraId="619ED5EC" w14:textId="77777777" w:rsidR="002648B0" w:rsidRPr="00A30C4C" w:rsidRDefault="002648B0" w:rsidP="00FD239F">
            <w:pPr>
              <w:pStyle w:val="InstructionsText"/>
            </w:pPr>
            <w:r>
              <w:t>363</w:t>
            </w:r>
          </w:p>
        </w:tc>
        <w:tc>
          <w:tcPr>
            <w:tcW w:w="7243" w:type="dxa"/>
            <w:vAlign w:val="center"/>
          </w:tcPr>
          <w:p w14:paraId="2581B845" w14:textId="749605AF" w:rsidR="005643EA" w:rsidRPr="00A30C4C" w:rsidRDefault="002648B0" w:rsidP="00FD239F">
            <w:pPr>
              <w:pStyle w:val="InstructionsText"/>
            </w:pPr>
            <w:r>
              <w:rPr>
                <w:rStyle w:val="InstructionsTabelleberschrift"/>
                <w:rFonts w:ascii="Times New Roman" w:hAnsi="Times New Roman"/>
                <w:sz w:val="24"/>
              </w:rPr>
              <w:t>13.3.2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14:paraId="7C8705D4" w14:textId="7C45692C" w:rsidR="005643EA" w:rsidRPr="00A30C4C" w:rsidRDefault="00214FDA" w:rsidP="00214FDA">
            <w:pPr>
              <w:pStyle w:val="InstructionsText"/>
              <w:rPr>
                <w:rStyle w:val="InstructionsTabelleberschrift"/>
                <w:rFonts w:ascii="Times New Roman" w:hAnsi="Times New Roman"/>
                <w:b w:val="0"/>
                <w:bCs w:val="0"/>
                <w:sz w:val="24"/>
                <w:u w:val="none"/>
              </w:rPr>
            </w:pPr>
            <w:r>
              <w:t>Članak 4. stavak 1. točka 126. i članak 59. CRR-a</w:t>
            </w:r>
          </w:p>
        </w:tc>
      </w:tr>
      <w:tr w:rsidR="002648B0" w:rsidRPr="00A30C4C" w14:paraId="31852CE7" w14:textId="77777777" w:rsidTr="00672D2A">
        <w:tc>
          <w:tcPr>
            <w:tcW w:w="1506" w:type="dxa"/>
          </w:tcPr>
          <w:p w14:paraId="513EDD96" w14:textId="77777777" w:rsidR="002648B0" w:rsidRPr="00A30C4C" w:rsidRDefault="002648B0" w:rsidP="00FD239F">
            <w:pPr>
              <w:pStyle w:val="InstructionsText"/>
            </w:pPr>
            <w:r>
              <w:t>370</w:t>
            </w:r>
          </w:p>
        </w:tc>
        <w:tc>
          <w:tcPr>
            <w:tcW w:w="7243" w:type="dxa"/>
          </w:tcPr>
          <w:p w14:paraId="73C7AFB0" w14:textId="77777777" w:rsidR="005643EA" w:rsidRPr="00A30C4C" w:rsidRDefault="00C66473" w:rsidP="00FD239F">
            <w:pPr>
              <w:pStyle w:val="InstructionsText"/>
            </w:pPr>
            <w:r>
              <w:rPr>
                <w:rStyle w:val="InstructionsTabelleberschrift"/>
                <w:rFonts w:ascii="Times New Roman" w:hAnsi="Times New Roman"/>
                <w:sz w:val="24"/>
              </w:rPr>
              <w:t>14.</w:t>
            </w:r>
            <w:r>
              <w:rPr>
                <w:rStyle w:val="InstructionsTabelleberschrift"/>
                <w:rFonts w:ascii="Times New Roman" w:hAnsi="Times New Roman"/>
                <w:sz w:val="24"/>
              </w:rPr>
              <w:tab/>
              <w:t>Ulaganja u dopunski kapital subjekata financijskog sektora ako institucija nema značajno ulaganje, ne uključujući kratke pozicije</w:t>
            </w:r>
          </w:p>
          <w:p w14:paraId="4EABD7DE" w14:textId="10728FB5" w:rsidR="005643EA" w:rsidRPr="00A30C4C" w:rsidRDefault="002648B0" w:rsidP="00167619">
            <w:pPr>
              <w:pStyle w:val="InstructionsText"/>
            </w:pPr>
            <w:r>
              <w:t>Članci 68., 69. i 70. CRR-a</w:t>
            </w:r>
          </w:p>
        </w:tc>
      </w:tr>
      <w:tr w:rsidR="002648B0" w:rsidRPr="00A30C4C" w14:paraId="74CC32C1" w14:textId="77777777" w:rsidTr="00672D2A">
        <w:tc>
          <w:tcPr>
            <w:tcW w:w="1506" w:type="dxa"/>
          </w:tcPr>
          <w:p w14:paraId="5D1857CF" w14:textId="77777777" w:rsidR="002648B0" w:rsidRPr="00A30C4C" w:rsidRDefault="002648B0" w:rsidP="00FD239F">
            <w:pPr>
              <w:pStyle w:val="InstructionsText"/>
            </w:pPr>
            <w:r>
              <w:t>380</w:t>
            </w:r>
          </w:p>
        </w:tc>
        <w:tc>
          <w:tcPr>
            <w:tcW w:w="7243" w:type="dxa"/>
          </w:tcPr>
          <w:p w14:paraId="09ED7B64" w14:textId="5B7DCEFA" w:rsidR="005643EA" w:rsidRPr="00A30C4C" w:rsidRDefault="002648B0" w:rsidP="00FD239F">
            <w:pPr>
              <w:pStyle w:val="InstructionsText"/>
            </w:pPr>
            <w:r>
              <w:rPr>
                <w:rStyle w:val="InstructionsTabelleberschrift"/>
                <w:rFonts w:ascii="Times New Roman" w:hAnsi="Times New Roman"/>
                <w:sz w:val="24"/>
              </w:rPr>
              <w:t>14.1</w:t>
            </w:r>
            <w:r w:rsidR="009751F5">
              <w:rPr>
                <w:rStyle w:val="InstructionsTabelleberschrift"/>
                <w:rFonts w:ascii="Times New Roman" w:hAnsi="Times New Roman"/>
                <w:sz w:val="24"/>
              </w:rPr>
              <w:t>.</w:t>
            </w:r>
            <w:r>
              <w:rPr>
                <w:rStyle w:val="InstructionsTabelleberschrift"/>
                <w:rFonts w:ascii="Times New Roman" w:hAnsi="Times New Roman"/>
                <w:sz w:val="24"/>
              </w:rPr>
              <w:tab/>
              <w:t>Izravna ulaganja u dopunski kapital subjekata financijskog sektora ako institucija nema značajno ulaganje</w:t>
            </w:r>
          </w:p>
          <w:p w14:paraId="76A360F9" w14:textId="0F9B772A" w:rsidR="005643EA" w:rsidRPr="00A30C4C" w:rsidRDefault="002648B0" w:rsidP="00FD239F">
            <w:pPr>
              <w:pStyle w:val="InstructionsText"/>
            </w:pPr>
            <w:r>
              <w:t>Članci 68. i 69. i članak 70. stavak 2. CRR-a</w:t>
            </w:r>
          </w:p>
        </w:tc>
      </w:tr>
      <w:tr w:rsidR="002648B0" w:rsidRPr="00A30C4C" w14:paraId="45454979" w14:textId="77777777" w:rsidTr="00672D2A">
        <w:tc>
          <w:tcPr>
            <w:tcW w:w="1506" w:type="dxa"/>
          </w:tcPr>
          <w:p w14:paraId="58C41185" w14:textId="77777777" w:rsidR="002648B0" w:rsidRPr="00A30C4C" w:rsidRDefault="002648B0" w:rsidP="00FD239F">
            <w:pPr>
              <w:pStyle w:val="InstructionsText"/>
            </w:pPr>
            <w:r>
              <w:t>390</w:t>
            </w:r>
          </w:p>
        </w:tc>
        <w:tc>
          <w:tcPr>
            <w:tcW w:w="7243" w:type="dxa"/>
          </w:tcPr>
          <w:p w14:paraId="74E0FB72" w14:textId="122237A1" w:rsidR="005643EA" w:rsidRPr="00A30C4C" w:rsidRDefault="002648B0" w:rsidP="00FD239F">
            <w:pPr>
              <w:pStyle w:val="InstructionsText"/>
            </w:pPr>
            <w:r>
              <w:rPr>
                <w:rStyle w:val="InstructionsTabelleberschrift"/>
                <w:rFonts w:ascii="Times New Roman" w:hAnsi="Times New Roman"/>
                <w:sz w:val="24"/>
              </w:rPr>
              <w:t>14.1.1</w:t>
            </w:r>
            <w:r w:rsidR="009751F5">
              <w:rPr>
                <w:rStyle w:val="InstructionsTabelleberschrift"/>
                <w:rFonts w:ascii="Times New Roman" w:hAnsi="Times New Roman"/>
                <w:sz w:val="24"/>
              </w:rPr>
              <w:t>.</w:t>
            </w:r>
            <w:r>
              <w:rPr>
                <w:rStyle w:val="InstructionsTabelleberschrift"/>
                <w:rFonts w:ascii="Times New Roman" w:hAnsi="Times New Roman"/>
                <w:sz w:val="24"/>
              </w:rPr>
              <w:tab/>
              <w:t>Bruto izravna ulaganja u dopunski kapital subjekata financijskog sektora ako institucija nema značajno ulaganje</w:t>
            </w:r>
          </w:p>
          <w:p w14:paraId="761B4656" w14:textId="153E40FF" w:rsidR="005643EA" w:rsidRPr="00A30C4C" w:rsidRDefault="002648B0" w:rsidP="00FD239F">
            <w:pPr>
              <w:pStyle w:val="InstructionsText"/>
            </w:pPr>
            <w:r>
              <w:t>Članak 68. i članak 70. stavak 2. CRR-a</w:t>
            </w:r>
          </w:p>
          <w:p w14:paraId="0F665040" w14:textId="77777777" w:rsidR="005643EA" w:rsidRPr="00A30C4C" w:rsidRDefault="002648B0" w:rsidP="00FD239F">
            <w:pPr>
              <w:pStyle w:val="InstructionsText"/>
            </w:pPr>
            <w:r>
              <w:t>Izravna ulaganja u dopunski kapital subjekata financijskog sektora ako institucija nema značajno ulaganje, isključujući:</w:t>
            </w:r>
          </w:p>
          <w:p w14:paraId="6321563A" w14:textId="2FA30628" w:rsidR="005643EA" w:rsidRPr="00A30C4C" w:rsidRDefault="002648B0" w:rsidP="00FD239F">
            <w:pPr>
              <w:pStyle w:val="InstructionsText"/>
            </w:pPr>
            <w:r>
              <w:t>a)</w:t>
            </w:r>
            <w:r>
              <w:tab/>
              <w:t>pozicije proizišle iz usluge provedbe ponude odnosno prodaje financijskih instrumenata uz obvezu otkupa koj</w:t>
            </w:r>
            <w:r w:rsidR="009751F5">
              <w:t>e se drže najviše 5 radnih dana</w:t>
            </w:r>
            <w:r>
              <w:t xml:space="preserve"> i </w:t>
            </w:r>
          </w:p>
          <w:p w14:paraId="10F5EB01" w14:textId="3A30CC33" w:rsidR="005643EA" w:rsidRPr="00A30C4C" w:rsidRDefault="002648B0" w:rsidP="0014657C">
            <w:pPr>
              <w:pStyle w:val="InstructionsText"/>
            </w:pPr>
            <w:r>
              <w:t>b)</w:t>
            </w:r>
            <w:r>
              <w:tab/>
              <w:t>ulaganja koja se tretiraju kao recipročna međusobna ulaganja u skladu s člankom 66. točkom (b) CRR-a.</w:t>
            </w:r>
          </w:p>
        </w:tc>
      </w:tr>
      <w:tr w:rsidR="002648B0" w:rsidRPr="00A30C4C" w14:paraId="55FF7D47" w14:textId="77777777" w:rsidTr="00672D2A">
        <w:tc>
          <w:tcPr>
            <w:tcW w:w="1506" w:type="dxa"/>
          </w:tcPr>
          <w:p w14:paraId="0E208512" w14:textId="77777777" w:rsidR="002648B0" w:rsidRPr="00A30C4C" w:rsidRDefault="002648B0" w:rsidP="00FD239F">
            <w:pPr>
              <w:pStyle w:val="InstructionsText"/>
            </w:pPr>
            <w:r>
              <w:t>400</w:t>
            </w:r>
          </w:p>
        </w:tc>
        <w:tc>
          <w:tcPr>
            <w:tcW w:w="7243" w:type="dxa"/>
          </w:tcPr>
          <w:p w14:paraId="109DBC6A" w14:textId="722A8003" w:rsidR="005643EA" w:rsidRPr="00A30C4C" w:rsidRDefault="002648B0" w:rsidP="00FD239F">
            <w:pPr>
              <w:pStyle w:val="InstructionsText"/>
            </w:pPr>
            <w:r>
              <w:rPr>
                <w:rStyle w:val="InstructionsTabelleberschrift"/>
                <w:rFonts w:ascii="Times New Roman" w:hAnsi="Times New Roman"/>
                <w:sz w:val="24"/>
              </w:rPr>
              <w:t>14.1.2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14:paraId="0E51DCD1" w14:textId="7D1680D0" w:rsidR="005643EA" w:rsidRPr="00A30C4C" w:rsidRDefault="002648B0" w:rsidP="00FD239F">
            <w:pPr>
              <w:pStyle w:val="InstructionsText"/>
            </w:pPr>
            <w:r>
              <w:lastRenderedPageBreak/>
              <w:t>Članak 69. CRR-a</w:t>
            </w:r>
          </w:p>
          <w:p w14:paraId="7590FB24" w14:textId="5AE21A09" w:rsidR="005643EA" w:rsidRPr="00A30C4C" w:rsidRDefault="0014657C" w:rsidP="0014657C">
            <w:pPr>
              <w:pStyle w:val="InstructionsText"/>
            </w:pPr>
            <w:r>
              <w:t>Člankom 69. točkom (a) CRR-a omogućuje se prijeboj kratkih pozicija u istoj odnosnoj izloženosti ako je dospijeće kratke pozicije usklađeno s dospijećem duge pozicije ili ima preostali rok dospijeća najmanje godinu dana.</w:t>
            </w:r>
          </w:p>
        </w:tc>
      </w:tr>
      <w:tr w:rsidR="002648B0" w:rsidRPr="00A30C4C" w14:paraId="24C30F33" w14:textId="77777777" w:rsidTr="00672D2A">
        <w:tc>
          <w:tcPr>
            <w:tcW w:w="1506" w:type="dxa"/>
          </w:tcPr>
          <w:p w14:paraId="4575E788" w14:textId="77777777" w:rsidR="002648B0" w:rsidRPr="00A30C4C" w:rsidRDefault="002648B0" w:rsidP="00FD239F">
            <w:pPr>
              <w:pStyle w:val="InstructionsText"/>
            </w:pPr>
            <w:r>
              <w:lastRenderedPageBreak/>
              <w:t>410</w:t>
            </w:r>
          </w:p>
        </w:tc>
        <w:tc>
          <w:tcPr>
            <w:tcW w:w="7243" w:type="dxa"/>
          </w:tcPr>
          <w:p w14:paraId="574024F8" w14:textId="4ED63644" w:rsidR="005643EA" w:rsidRPr="00A30C4C" w:rsidRDefault="002648B0" w:rsidP="00FD239F">
            <w:pPr>
              <w:pStyle w:val="InstructionsText"/>
            </w:pPr>
            <w:r>
              <w:rPr>
                <w:rStyle w:val="InstructionsTabelleberschrift"/>
                <w:rFonts w:ascii="Times New Roman" w:hAnsi="Times New Roman"/>
                <w:sz w:val="24"/>
              </w:rPr>
              <w:t>14.2</w:t>
            </w:r>
            <w:r w:rsidR="009751F5">
              <w:rPr>
                <w:rStyle w:val="InstructionsTabelleberschrift"/>
                <w:rFonts w:ascii="Times New Roman" w:hAnsi="Times New Roman"/>
                <w:sz w:val="24"/>
              </w:rPr>
              <w:t>.</w:t>
            </w:r>
            <w:r>
              <w:rPr>
                <w:rStyle w:val="InstructionsTabelleberschrift"/>
                <w:rFonts w:ascii="Times New Roman" w:hAnsi="Times New Roman"/>
                <w:sz w:val="24"/>
              </w:rPr>
              <w:tab/>
              <w:t>Neizravna ulaganja u dopunski kapital subjekata financijskog sektora ako institucija nema značajno ulaganje</w:t>
            </w:r>
          </w:p>
          <w:p w14:paraId="52D732C2" w14:textId="219F1723" w:rsidR="005643EA" w:rsidRPr="00A30C4C" w:rsidRDefault="00214FDA" w:rsidP="00214FDA">
            <w:pPr>
              <w:pStyle w:val="InstructionsText"/>
            </w:pPr>
            <w:r>
              <w:t>Članak 4. stavak 1. točka 114. i članci 68. i 69. CRR-a</w:t>
            </w:r>
          </w:p>
        </w:tc>
      </w:tr>
      <w:tr w:rsidR="002648B0" w:rsidRPr="00A30C4C" w14:paraId="3C63B77C" w14:textId="77777777" w:rsidTr="00672D2A">
        <w:tc>
          <w:tcPr>
            <w:tcW w:w="1506" w:type="dxa"/>
          </w:tcPr>
          <w:p w14:paraId="6A2ADF62" w14:textId="77777777" w:rsidR="002648B0" w:rsidRPr="00A30C4C" w:rsidRDefault="002648B0" w:rsidP="00FD239F">
            <w:pPr>
              <w:pStyle w:val="InstructionsText"/>
            </w:pPr>
            <w:r>
              <w:t>420</w:t>
            </w:r>
          </w:p>
        </w:tc>
        <w:tc>
          <w:tcPr>
            <w:tcW w:w="7243" w:type="dxa"/>
          </w:tcPr>
          <w:p w14:paraId="09C893DD" w14:textId="0DEE6B6B" w:rsidR="005643EA" w:rsidRPr="00A30C4C" w:rsidRDefault="002648B0" w:rsidP="00FD239F">
            <w:pPr>
              <w:pStyle w:val="InstructionsText"/>
            </w:pPr>
            <w:r>
              <w:rPr>
                <w:rStyle w:val="InstructionsTabelleberschrift"/>
                <w:rFonts w:ascii="Times New Roman" w:hAnsi="Times New Roman"/>
                <w:sz w:val="24"/>
              </w:rPr>
              <w:t>14.2.1</w:t>
            </w:r>
            <w:r w:rsidR="009751F5">
              <w:rPr>
                <w:rStyle w:val="InstructionsTabelleberschrift"/>
                <w:rFonts w:ascii="Times New Roman" w:hAnsi="Times New Roman"/>
                <w:sz w:val="24"/>
              </w:rPr>
              <w:t>.</w:t>
            </w:r>
            <w:r>
              <w:rPr>
                <w:rStyle w:val="InstructionsTabelleberschrift"/>
                <w:rFonts w:ascii="Times New Roman" w:hAnsi="Times New Roman"/>
                <w:sz w:val="24"/>
              </w:rPr>
              <w:tab/>
              <w:t>Bruto neizravna ulaganja u dopunski kapital subjekata financijskog sektora ako institucija nema značajno ulaganje</w:t>
            </w:r>
          </w:p>
          <w:p w14:paraId="6EDD2FEB" w14:textId="0BA1D363" w:rsidR="005643EA" w:rsidRPr="00A30C4C" w:rsidRDefault="00214FDA" w:rsidP="00FD239F">
            <w:pPr>
              <w:pStyle w:val="InstructionsText"/>
            </w:pPr>
            <w:r>
              <w:t>Članak 4. stavak 1. točka 114. i članci 68. i 69. CRR-a</w:t>
            </w:r>
          </w:p>
          <w:p w14:paraId="368431C6" w14:textId="77777777" w:rsidR="005643EA" w:rsidRPr="00A30C4C" w:rsidRDefault="002648B0" w:rsidP="00FD239F">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14:paraId="087645E2" w14:textId="474804F0" w:rsidR="005643EA" w:rsidRPr="00A30C4C" w:rsidRDefault="002648B0" w:rsidP="0014657C">
            <w:pPr>
              <w:pStyle w:val="InstructionsText"/>
            </w:pPr>
            <w:r>
              <w:t>Ne uključuju se ulaganja koja se tretiraju kao recipročna međusobna ulaganja u skladu s člankom 66. točkom (b) CRR-a.</w:t>
            </w:r>
          </w:p>
        </w:tc>
      </w:tr>
      <w:tr w:rsidR="002648B0" w:rsidRPr="00A30C4C" w14:paraId="6D0912EA" w14:textId="77777777" w:rsidTr="00672D2A">
        <w:tc>
          <w:tcPr>
            <w:tcW w:w="1506" w:type="dxa"/>
          </w:tcPr>
          <w:p w14:paraId="5882D55B" w14:textId="77777777" w:rsidR="002648B0" w:rsidRPr="00A30C4C" w:rsidRDefault="002648B0" w:rsidP="00FD239F">
            <w:pPr>
              <w:pStyle w:val="InstructionsText"/>
            </w:pPr>
            <w:r>
              <w:t>430</w:t>
            </w:r>
          </w:p>
        </w:tc>
        <w:tc>
          <w:tcPr>
            <w:tcW w:w="7243" w:type="dxa"/>
          </w:tcPr>
          <w:p w14:paraId="2E3FDE93" w14:textId="3089DAD6" w:rsidR="005643EA" w:rsidRPr="00A30C4C" w:rsidRDefault="002648B0" w:rsidP="00FD239F">
            <w:pPr>
              <w:pStyle w:val="InstructionsText"/>
            </w:pPr>
            <w:r>
              <w:rPr>
                <w:rStyle w:val="InstructionsTabelleberschrift"/>
                <w:rFonts w:ascii="Times New Roman" w:hAnsi="Times New Roman"/>
                <w:sz w:val="24"/>
              </w:rPr>
              <w:t>14.2.2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14:paraId="634A7110" w14:textId="20A9A10C" w:rsidR="005643EA" w:rsidRPr="00A30C4C" w:rsidRDefault="00214FDA" w:rsidP="00FD239F">
            <w:pPr>
              <w:pStyle w:val="InstructionsText"/>
            </w:pPr>
            <w:r>
              <w:t>Članak 4. stavak 1. točka 114. i članak 69. CRR-a</w:t>
            </w:r>
          </w:p>
          <w:p w14:paraId="39E04D7A" w14:textId="185CD823" w:rsidR="005643EA" w:rsidRPr="00A30C4C" w:rsidRDefault="0014657C" w:rsidP="0014657C">
            <w:pPr>
              <w:pStyle w:val="InstructionsText"/>
            </w:pPr>
            <w:r>
              <w:t>Člankom 69. točkom (a) CRR-a omogućuje se prijeboj kratkih pozicija u istoj odnosnoj izloženosti ako je dospijeće kratke pozicije usklađeno s dospijećem duge pozicije ili ima preostali rok dospijeća najmanje godinu dana.</w:t>
            </w:r>
          </w:p>
        </w:tc>
      </w:tr>
      <w:tr w:rsidR="00DE5A31" w:rsidRPr="00A30C4C" w14:paraId="47346F95" w14:textId="77777777" w:rsidTr="00672D2A">
        <w:tc>
          <w:tcPr>
            <w:tcW w:w="1506" w:type="dxa"/>
          </w:tcPr>
          <w:p w14:paraId="102793CC" w14:textId="77777777" w:rsidR="00DE5A31" w:rsidRPr="00A30C4C" w:rsidRDefault="00DE5A31" w:rsidP="00FD239F">
            <w:pPr>
              <w:pStyle w:val="InstructionsText"/>
            </w:pPr>
            <w:r>
              <w:t>431</w:t>
            </w:r>
          </w:p>
        </w:tc>
        <w:tc>
          <w:tcPr>
            <w:tcW w:w="7243" w:type="dxa"/>
          </w:tcPr>
          <w:p w14:paraId="595DA517" w14:textId="6A014563" w:rsidR="005643EA" w:rsidRPr="00A30C4C" w:rsidRDefault="00DE5A31" w:rsidP="00FD239F">
            <w:pPr>
              <w:pStyle w:val="InstructionsText"/>
            </w:pPr>
            <w:r>
              <w:rPr>
                <w:rStyle w:val="InstructionsTabelleberschrift"/>
                <w:rFonts w:ascii="Times New Roman" w:hAnsi="Times New Roman"/>
                <w:sz w:val="24"/>
              </w:rPr>
              <w:t>14.3</w:t>
            </w:r>
            <w:r w:rsidR="009751F5">
              <w:rPr>
                <w:rStyle w:val="InstructionsTabelleberschrift"/>
                <w:rFonts w:ascii="Times New Roman" w:hAnsi="Times New Roman"/>
                <w:sz w:val="24"/>
              </w:rPr>
              <w:t>.</w:t>
            </w:r>
            <w:r>
              <w:rPr>
                <w:rStyle w:val="InstructionsTabelleberschrift"/>
                <w:rFonts w:ascii="Times New Roman" w:hAnsi="Times New Roman"/>
                <w:sz w:val="24"/>
              </w:rPr>
              <w:tab/>
              <w:t>Sintetska ulaganja u dopunski kapital subjekata financijskog sektora ako institucija nema značajno ulaganje</w:t>
            </w:r>
          </w:p>
          <w:p w14:paraId="78935518" w14:textId="1B7C94D2" w:rsidR="005643EA" w:rsidRPr="00A30C4C" w:rsidRDefault="00214FDA" w:rsidP="00214FDA">
            <w:pPr>
              <w:pStyle w:val="InstructionsText"/>
              <w:rPr>
                <w:rStyle w:val="InstructionsTabelleberschrift"/>
                <w:rFonts w:ascii="Times New Roman" w:hAnsi="Times New Roman"/>
                <w:sz w:val="24"/>
              </w:rPr>
            </w:pPr>
            <w:r>
              <w:t>Članak 4. stavak 1. točka 126. i članci 68. i 69. CRR-a</w:t>
            </w:r>
          </w:p>
        </w:tc>
      </w:tr>
      <w:tr w:rsidR="00DE5A31" w:rsidRPr="00A30C4C" w14:paraId="235203A7" w14:textId="77777777" w:rsidTr="00672D2A">
        <w:tc>
          <w:tcPr>
            <w:tcW w:w="1506" w:type="dxa"/>
          </w:tcPr>
          <w:p w14:paraId="41A97654" w14:textId="77777777" w:rsidR="00DE5A31" w:rsidRPr="00A30C4C" w:rsidRDefault="00DE5A31" w:rsidP="00FD239F">
            <w:pPr>
              <w:pStyle w:val="InstructionsText"/>
            </w:pPr>
            <w:r>
              <w:t>432</w:t>
            </w:r>
          </w:p>
        </w:tc>
        <w:tc>
          <w:tcPr>
            <w:tcW w:w="7243" w:type="dxa"/>
          </w:tcPr>
          <w:p w14:paraId="1D2D4E22" w14:textId="7B8B8A53" w:rsidR="005643EA" w:rsidRPr="00A30C4C" w:rsidRDefault="00DE5A31" w:rsidP="00FD239F">
            <w:pPr>
              <w:pStyle w:val="InstructionsText"/>
            </w:pPr>
            <w:r>
              <w:rPr>
                <w:rStyle w:val="InstructionsTabelleberschrift"/>
                <w:rFonts w:ascii="Times New Roman" w:hAnsi="Times New Roman"/>
                <w:sz w:val="24"/>
              </w:rPr>
              <w:t>14.3.1</w:t>
            </w:r>
            <w:r w:rsidR="009751F5">
              <w:rPr>
                <w:rStyle w:val="InstructionsTabelleberschrift"/>
                <w:rFonts w:ascii="Times New Roman" w:hAnsi="Times New Roman"/>
                <w:sz w:val="24"/>
              </w:rPr>
              <w:t>.</w:t>
            </w:r>
            <w:r>
              <w:rPr>
                <w:rStyle w:val="InstructionsTabelleberschrift"/>
                <w:rFonts w:ascii="Times New Roman" w:hAnsi="Times New Roman"/>
                <w:sz w:val="24"/>
              </w:rPr>
              <w:tab/>
              <w:t>Bruto sintetska ulaganja u dopunski kapital subjekata financijskog sektora ako institucija nema značajno ulaganje</w:t>
            </w:r>
          </w:p>
          <w:p w14:paraId="6E1B2B1E" w14:textId="267FCD8C" w:rsidR="005643EA" w:rsidRPr="00A30C4C" w:rsidRDefault="00214FDA" w:rsidP="00214FDA">
            <w:pPr>
              <w:pStyle w:val="InstructionsText"/>
              <w:rPr>
                <w:rStyle w:val="InstructionsTabelleberschrift"/>
                <w:rFonts w:ascii="Times New Roman" w:hAnsi="Times New Roman"/>
                <w:b w:val="0"/>
                <w:bCs w:val="0"/>
                <w:sz w:val="24"/>
                <w:u w:val="none"/>
              </w:rPr>
            </w:pPr>
            <w:r>
              <w:t>Članak 4. stavak 1. točka 126. i članci 68. i 69. CRR-a</w:t>
            </w:r>
          </w:p>
        </w:tc>
      </w:tr>
      <w:tr w:rsidR="00DE5A31" w:rsidRPr="00A30C4C" w14:paraId="238AFF14" w14:textId="77777777" w:rsidTr="00672D2A">
        <w:tc>
          <w:tcPr>
            <w:tcW w:w="1506" w:type="dxa"/>
          </w:tcPr>
          <w:p w14:paraId="1C62EAEC" w14:textId="77777777" w:rsidR="00DE5A31" w:rsidRPr="00A30C4C" w:rsidRDefault="00DE5A31" w:rsidP="00FD239F">
            <w:pPr>
              <w:pStyle w:val="InstructionsText"/>
            </w:pPr>
            <w:r>
              <w:t>433</w:t>
            </w:r>
          </w:p>
        </w:tc>
        <w:tc>
          <w:tcPr>
            <w:tcW w:w="7243" w:type="dxa"/>
          </w:tcPr>
          <w:p w14:paraId="19DB1DA1" w14:textId="5B9FEB8A" w:rsidR="005643EA" w:rsidRPr="00A30C4C" w:rsidRDefault="00DE5A31" w:rsidP="00FD239F">
            <w:pPr>
              <w:pStyle w:val="InstructionsText"/>
            </w:pPr>
            <w:r>
              <w:rPr>
                <w:rStyle w:val="InstructionsTabelleberschrift"/>
                <w:rFonts w:ascii="Times New Roman" w:hAnsi="Times New Roman"/>
                <w:sz w:val="24"/>
              </w:rPr>
              <w:t>14.3.2</w:t>
            </w:r>
            <w:r w:rsidR="009751F5">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14:paraId="060C5E51" w14:textId="25FEC4B1" w:rsidR="005643EA" w:rsidRPr="00A30C4C" w:rsidRDefault="00214FDA" w:rsidP="00214FDA">
            <w:pPr>
              <w:pStyle w:val="InstructionsText"/>
              <w:rPr>
                <w:rStyle w:val="InstructionsTabelleberschrift"/>
                <w:rFonts w:ascii="Times New Roman" w:hAnsi="Times New Roman"/>
                <w:b w:val="0"/>
                <w:bCs w:val="0"/>
                <w:sz w:val="24"/>
                <w:u w:val="none"/>
              </w:rPr>
            </w:pPr>
            <w:r>
              <w:t>Članak 4. stavak 1. točka 126. i članak 69. CRR-a</w:t>
            </w:r>
          </w:p>
        </w:tc>
      </w:tr>
      <w:tr w:rsidR="002648B0" w:rsidRPr="00A30C4C" w14:paraId="09261DFE" w14:textId="77777777" w:rsidTr="00672D2A">
        <w:tc>
          <w:tcPr>
            <w:tcW w:w="1506" w:type="dxa"/>
          </w:tcPr>
          <w:p w14:paraId="266857D7" w14:textId="77777777" w:rsidR="002648B0" w:rsidRPr="00A30C4C" w:rsidRDefault="002648B0" w:rsidP="00FD239F">
            <w:pPr>
              <w:pStyle w:val="InstructionsText"/>
            </w:pPr>
            <w:r>
              <w:t>440</w:t>
            </w:r>
          </w:p>
        </w:tc>
        <w:tc>
          <w:tcPr>
            <w:tcW w:w="7243" w:type="dxa"/>
          </w:tcPr>
          <w:p w14:paraId="0BFEA814" w14:textId="206A8FC3" w:rsidR="005643EA" w:rsidRPr="00A30C4C" w:rsidRDefault="002648B0" w:rsidP="00FD239F">
            <w:pPr>
              <w:pStyle w:val="InstructionsText"/>
            </w:pPr>
            <w:r>
              <w:rPr>
                <w:rStyle w:val="InstructionsTabelleberschrift"/>
                <w:rFonts w:ascii="Times New Roman" w:hAnsi="Times New Roman"/>
                <w:sz w:val="24"/>
              </w:rPr>
              <w:t>15</w:t>
            </w:r>
            <w:r w:rsidR="009751F5">
              <w:rPr>
                <w:rStyle w:val="InstructionsTabelleberschrift"/>
                <w:rFonts w:ascii="Times New Roman" w:hAnsi="Times New Roman"/>
                <w:sz w:val="24"/>
              </w:rPr>
              <w:t>.</w:t>
            </w:r>
            <w:r>
              <w:rPr>
                <w:rStyle w:val="InstructionsTabelleberschrift"/>
                <w:rFonts w:ascii="Times New Roman" w:hAnsi="Times New Roman"/>
                <w:sz w:val="24"/>
              </w:rPr>
              <w:tab/>
              <w:t>Ulaganja u redovni osnovni kapital subjekata financijskog sektora ako institucija ima značajno ulaganje, ne uključujući kratke pozicije</w:t>
            </w:r>
          </w:p>
          <w:p w14:paraId="4382B9FE" w14:textId="39CC7066" w:rsidR="005643EA" w:rsidRPr="00A30C4C" w:rsidRDefault="002648B0" w:rsidP="00FD239F">
            <w:pPr>
              <w:pStyle w:val="InstructionsText"/>
            </w:pPr>
            <w:r>
              <w:t>Članci 44., 45., 47. i 49. CRR-a</w:t>
            </w:r>
          </w:p>
        </w:tc>
      </w:tr>
      <w:tr w:rsidR="002648B0" w:rsidRPr="00A30C4C" w14:paraId="35ABC1EA" w14:textId="77777777" w:rsidTr="00672D2A">
        <w:tc>
          <w:tcPr>
            <w:tcW w:w="1506" w:type="dxa"/>
          </w:tcPr>
          <w:p w14:paraId="16594F26" w14:textId="77777777" w:rsidR="002648B0" w:rsidRPr="00A30C4C" w:rsidRDefault="008F54B0" w:rsidP="00FD239F">
            <w:pPr>
              <w:pStyle w:val="InstructionsText"/>
            </w:pPr>
            <w:r>
              <w:t>450</w:t>
            </w:r>
          </w:p>
        </w:tc>
        <w:tc>
          <w:tcPr>
            <w:tcW w:w="7243" w:type="dxa"/>
          </w:tcPr>
          <w:p w14:paraId="7B3E2F48" w14:textId="31A46F10" w:rsidR="005643EA" w:rsidRPr="00A30C4C" w:rsidRDefault="002648B0" w:rsidP="00FD239F">
            <w:pPr>
              <w:pStyle w:val="InstructionsText"/>
            </w:pPr>
            <w:r>
              <w:rPr>
                <w:rStyle w:val="InstructionsTabelleberschrift"/>
                <w:rFonts w:ascii="Times New Roman" w:hAnsi="Times New Roman"/>
                <w:sz w:val="24"/>
              </w:rPr>
              <w:t>15.1</w:t>
            </w:r>
            <w:r w:rsidR="009751F5">
              <w:rPr>
                <w:rStyle w:val="InstructionsTabelleberschrift"/>
                <w:rFonts w:ascii="Times New Roman" w:hAnsi="Times New Roman"/>
                <w:sz w:val="24"/>
              </w:rPr>
              <w:t>.</w:t>
            </w:r>
            <w:r>
              <w:rPr>
                <w:rStyle w:val="InstructionsTabelleberschrift"/>
                <w:rFonts w:ascii="Times New Roman" w:hAnsi="Times New Roman"/>
                <w:sz w:val="24"/>
              </w:rPr>
              <w:tab/>
              <w:t>Izravna ulaganja u redovni osnovni kapital subjekata financijskog sektora ako institucija ima značajno ulaganje</w:t>
            </w:r>
          </w:p>
          <w:p w14:paraId="1BA8CC21" w14:textId="7300D870" w:rsidR="005643EA" w:rsidRPr="00A30C4C" w:rsidRDefault="002648B0" w:rsidP="00FD239F">
            <w:pPr>
              <w:pStyle w:val="InstructionsText"/>
            </w:pPr>
            <w:r>
              <w:t>Članci 44., 45., 47. i 49. CRR-a</w:t>
            </w:r>
          </w:p>
        </w:tc>
      </w:tr>
      <w:tr w:rsidR="002648B0" w:rsidRPr="00A30C4C" w14:paraId="57D83B0D" w14:textId="77777777" w:rsidTr="00672D2A">
        <w:tc>
          <w:tcPr>
            <w:tcW w:w="1506" w:type="dxa"/>
          </w:tcPr>
          <w:p w14:paraId="193B0321" w14:textId="77777777" w:rsidR="002648B0" w:rsidRPr="00A30C4C" w:rsidRDefault="008F54B0" w:rsidP="00FD239F">
            <w:pPr>
              <w:pStyle w:val="InstructionsText"/>
            </w:pPr>
            <w:r>
              <w:lastRenderedPageBreak/>
              <w:t>460</w:t>
            </w:r>
          </w:p>
        </w:tc>
        <w:tc>
          <w:tcPr>
            <w:tcW w:w="7243" w:type="dxa"/>
          </w:tcPr>
          <w:p w14:paraId="07F3C9A8" w14:textId="2095CC41" w:rsidR="005643EA" w:rsidRPr="00A30C4C" w:rsidRDefault="002648B0" w:rsidP="00FD239F">
            <w:pPr>
              <w:pStyle w:val="InstructionsText"/>
            </w:pPr>
            <w:r>
              <w:rPr>
                <w:rStyle w:val="InstructionsTabelleberschrift"/>
                <w:rFonts w:ascii="Times New Roman" w:hAnsi="Times New Roman"/>
                <w:sz w:val="24"/>
              </w:rPr>
              <w:t>15.1.1</w:t>
            </w:r>
            <w:r w:rsidR="009751F5">
              <w:rPr>
                <w:rStyle w:val="InstructionsTabelleberschrift"/>
                <w:rFonts w:ascii="Times New Roman" w:hAnsi="Times New Roman"/>
                <w:sz w:val="24"/>
              </w:rPr>
              <w:t>.</w:t>
            </w:r>
            <w:r>
              <w:rPr>
                <w:rStyle w:val="InstructionsTabelleberschrift"/>
                <w:rFonts w:ascii="Times New Roman" w:hAnsi="Times New Roman"/>
                <w:sz w:val="24"/>
              </w:rPr>
              <w:tab/>
              <w:t>Bruto izravna ulaganja u redovni osnovni kapital subjekata financijskog sektora ako institucija ima značajno ulaganje</w:t>
            </w:r>
          </w:p>
          <w:p w14:paraId="2E8BDC24" w14:textId="027C234C" w:rsidR="005643EA" w:rsidRPr="00A30C4C" w:rsidRDefault="002648B0" w:rsidP="00FD239F">
            <w:pPr>
              <w:pStyle w:val="InstructionsText"/>
            </w:pPr>
            <w:r>
              <w:t>Članci 44., 45., 47. i 49. CRR-a</w:t>
            </w:r>
          </w:p>
          <w:p w14:paraId="46892E10" w14:textId="77777777" w:rsidR="005643EA" w:rsidRPr="00A30C4C" w:rsidRDefault="002648B0" w:rsidP="00FD239F">
            <w:pPr>
              <w:pStyle w:val="InstructionsText"/>
            </w:pPr>
            <w:r>
              <w:t>Izravna ulaganja u redovni osnovni kapital subjekata financijskog sektora ako institucija ima značajno ulaganje, isključujući:</w:t>
            </w:r>
          </w:p>
          <w:p w14:paraId="17B9059D" w14:textId="4992ABC7" w:rsidR="005643EA" w:rsidRPr="00A30C4C" w:rsidRDefault="002648B0" w:rsidP="00FD239F">
            <w:pPr>
              <w:pStyle w:val="InstructionsText"/>
            </w:pPr>
            <w:r>
              <w:t>a)</w:t>
            </w:r>
            <w:r>
              <w:tab/>
              <w:t>pozicije proizišle iz usluge provedbe ponude odnosno prodaje financijskih instrumenata uz obvezu otkupa koje se drže najviše 5</w:t>
            </w:r>
            <w:r w:rsidR="009751F5">
              <w:t xml:space="preserve"> radnih dana</w:t>
            </w:r>
            <w:r>
              <w:t xml:space="preserve"> </w:t>
            </w:r>
          </w:p>
          <w:p w14:paraId="30191DCB" w14:textId="6F62CF95" w:rsidR="005643EA" w:rsidRPr="00A30C4C" w:rsidRDefault="002648B0" w:rsidP="00FD239F">
            <w:pPr>
              <w:pStyle w:val="InstructionsText"/>
            </w:pPr>
            <w:r>
              <w:t>b)</w:t>
            </w:r>
            <w:r>
              <w:tab/>
              <w:t xml:space="preserve">iznose koji se odnose na ulaganja za koja se primjenjuje bilo koja mogućnost iz članka 49. i </w:t>
            </w:r>
          </w:p>
          <w:p w14:paraId="4E98D2B5" w14:textId="5FF1A25C" w:rsidR="005643EA" w:rsidRPr="00A30C4C" w:rsidRDefault="002648B0" w:rsidP="0014657C">
            <w:pPr>
              <w:pStyle w:val="InstructionsText"/>
            </w:pPr>
            <w:r>
              <w:t>c)</w:t>
            </w:r>
            <w:r>
              <w:tab/>
              <w:t>ulaganja koja se tretiraju kao recipročna međusobna ulaganja u skladu s člankom 36. stavkom 1. točkom (g) CRR-a.</w:t>
            </w:r>
          </w:p>
        </w:tc>
      </w:tr>
      <w:tr w:rsidR="002648B0" w:rsidRPr="00A30C4C" w14:paraId="4DFC5D63" w14:textId="77777777" w:rsidTr="00672D2A">
        <w:tc>
          <w:tcPr>
            <w:tcW w:w="1506" w:type="dxa"/>
          </w:tcPr>
          <w:p w14:paraId="1D5E3EA3" w14:textId="77777777" w:rsidR="002648B0" w:rsidRPr="00A30C4C" w:rsidRDefault="002648B0" w:rsidP="00FD239F">
            <w:pPr>
              <w:pStyle w:val="InstructionsText"/>
            </w:pPr>
            <w:r>
              <w:t>470</w:t>
            </w:r>
          </w:p>
        </w:tc>
        <w:tc>
          <w:tcPr>
            <w:tcW w:w="7243" w:type="dxa"/>
          </w:tcPr>
          <w:p w14:paraId="4395AFAF" w14:textId="1F5A0CB9" w:rsidR="005643EA" w:rsidRPr="00A30C4C" w:rsidRDefault="002648B0" w:rsidP="00FD239F">
            <w:pPr>
              <w:pStyle w:val="InstructionsText"/>
            </w:pPr>
            <w:r>
              <w:rPr>
                <w:rStyle w:val="InstructionsTabelleberschrift"/>
                <w:rFonts w:ascii="Times New Roman" w:hAnsi="Times New Roman"/>
                <w:sz w:val="24"/>
              </w:rPr>
              <w:t>15.1.2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14:paraId="60819674" w14:textId="53EE9FF4" w:rsidR="005643EA" w:rsidRPr="00A30C4C" w:rsidRDefault="002648B0" w:rsidP="00FD239F">
            <w:pPr>
              <w:pStyle w:val="InstructionsText"/>
            </w:pPr>
            <w:r>
              <w:t>Članak 45. CRR-a</w:t>
            </w:r>
          </w:p>
          <w:p w14:paraId="6675BDB9" w14:textId="03E5E0DC" w:rsidR="005643EA" w:rsidRPr="00A30C4C" w:rsidRDefault="0014657C" w:rsidP="0014657C">
            <w:pPr>
              <w:pStyle w:val="InstructionsText"/>
            </w:pPr>
            <w:r>
              <w:t>Člankom 45. točkom (a) CRR-a omogućuje se prijeboj kratkih pozicija u istoj odnosnoj izloženosti ako je dospijeće kratke pozicije usklađeno s dospijećem duge pozicije ili ima preostali rok dospijeća najmanje godinu dana.</w:t>
            </w:r>
          </w:p>
        </w:tc>
      </w:tr>
      <w:tr w:rsidR="002648B0" w:rsidRPr="00A30C4C" w14:paraId="748087B2" w14:textId="77777777" w:rsidTr="00672D2A">
        <w:tc>
          <w:tcPr>
            <w:tcW w:w="1506" w:type="dxa"/>
          </w:tcPr>
          <w:p w14:paraId="6597907B" w14:textId="77777777" w:rsidR="002648B0" w:rsidRPr="00A30C4C" w:rsidRDefault="002648B0" w:rsidP="00FD239F">
            <w:pPr>
              <w:pStyle w:val="InstructionsText"/>
            </w:pPr>
            <w:r>
              <w:t>480</w:t>
            </w:r>
          </w:p>
        </w:tc>
        <w:tc>
          <w:tcPr>
            <w:tcW w:w="7243" w:type="dxa"/>
          </w:tcPr>
          <w:p w14:paraId="028E9FA5" w14:textId="4D83BC4E" w:rsidR="005643EA" w:rsidRPr="00A30C4C" w:rsidRDefault="002648B0" w:rsidP="00FD239F">
            <w:pPr>
              <w:pStyle w:val="InstructionsText"/>
            </w:pPr>
            <w:r>
              <w:rPr>
                <w:rStyle w:val="InstructionsTabelleberschrift"/>
                <w:rFonts w:ascii="Times New Roman" w:hAnsi="Times New Roman"/>
                <w:sz w:val="24"/>
              </w:rPr>
              <w:t>15.2</w:t>
            </w:r>
            <w:r w:rsidR="00792467">
              <w:rPr>
                <w:rStyle w:val="InstructionsTabelleberschrift"/>
                <w:rFonts w:ascii="Times New Roman" w:hAnsi="Times New Roman"/>
                <w:sz w:val="24"/>
              </w:rPr>
              <w:t>.</w:t>
            </w:r>
            <w:r>
              <w:rPr>
                <w:rStyle w:val="InstructionsTabelleberschrift"/>
                <w:rFonts w:ascii="Times New Roman" w:hAnsi="Times New Roman"/>
                <w:sz w:val="24"/>
              </w:rPr>
              <w:tab/>
              <w:t>Neizravna ulaganja u redovni osnovni kapital subjekata financijskog sektora ako institucija ima značajno ulaganje</w:t>
            </w:r>
          </w:p>
          <w:p w14:paraId="348F3211" w14:textId="363A3B4E" w:rsidR="005643EA" w:rsidRPr="00A30C4C" w:rsidRDefault="00214FDA" w:rsidP="00214FDA">
            <w:pPr>
              <w:pStyle w:val="InstructionsText"/>
            </w:pPr>
            <w:r>
              <w:t>Članak 4. stavak 1. točka 114. i članci 44. i 45. CRR-a</w:t>
            </w:r>
          </w:p>
        </w:tc>
      </w:tr>
      <w:tr w:rsidR="002648B0" w:rsidRPr="00A30C4C" w14:paraId="321458D5" w14:textId="77777777" w:rsidTr="00672D2A">
        <w:tc>
          <w:tcPr>
            <w:tcW w:w="1506" w:type="dxa"/>
          </w:tcPr>
          <w:p w14:paraId="01E2C07D" w14:textId="77777777" w:rsidR="002648B0" w:rsidRPr="00A30C4C" w:rsidRDefault="002648B0" w:rsidP="00FD239F">
            <w:pPr>
              <w:pStyle w:val="InstructionsText"/>
            </w:pPr>
            <w:r>
              <w:t>490</w:t>
            </w:r>
          </w:p>
        </w:tc>
        <w:tc>
          <w:tcPr>
            <w:tcW w:w="7243" w:type="dxa"/>
          </w:tcPr>
          <w:p w14:paraId="72FF2298" w14:textId="40C7816B" w:rsidR="005643EA" w:rsidRPr="00A30C4C" w:rsidRDefault="002648B0" w:rsidP="00FD239F">
            <w:pPr>
              <w:pStyle w:val="InstructionsText"/>
            </w:pPr>
            <w:r>
              <w:rPr>
                <w:rStyle w:val="InstructionsTabelleberschrift"/>
                <w:rFonts w:ascii="Times New Roman" w:hAnsi="Times New Roman"/>
                <w:sz w:val="24"/>
              </w:rPr>
              <w:t>15.2.1</w:t>
            </w:r>
            <w:r w:rsidR="00792467">
              <w:rPr>
                <w:rStyle w:val="InstructionsTabelleberschrift"/>
                <w:rFonts w:ascii="Times New Roman" w:hAnsi="Times New Roman"/>
                <w:sz w:val="24"/>
              </w:rPr>
              <w:t>.</w:t>
            </w:r>
            <w:r>
              <w:rPr>
                <w:rStyle w:val="InstructionsTabelleberschrift"/>
                <w:rFonts w:ascii="Times New Roman" w:hAnsi="Times New Roman"/>
                <w:sz w:val="24"/>
              </w:rPr>
              <w:tab/>
              <w:t>Bruto neizravna ulaganja u redovni osnovni kapital subjekata financijskog sektora ako institucija ima značajno ulaganje</w:t>
            </w:r>
          </w:p>
          <w:p w14:paraId="40DF2159" w14:textId="5506FDE7" w:rsidR="005643EA" w:rsidRPr="00A30C4C" w:rsidRDefault="00214FDA" w:rsidP="00FD239F">
            <w:pPr>
              <w:pStyle w:val="InstructionsText"/>
            </w:pPr>
            <w:r>
              <w:t>Članak 4. stavak 1. točka 114. i članci 44. i 45. CRR-a</w:t>
            </w:r>
          </w:p>
          <w:p w14:paraId="4B0F351D" w14:textId="77777777" w:rsidR="005643EA" w:rsidRPr="00A30C4C" w:rsidRDefault="002648B0" w:rsidP="00FD239F">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14:paraId="217574F3" w14:textId="68F6C470" w:rsidR="005643EA" w:rsidRPr="00A30C4C" w:rsidRDefault="002648B0" w:rsidP="0014657C">
            <w:pPr>
              <w:pStyle w:val="InstructionsText"/>
            </w:pPr>
            <w:r>
              <w:t>Ne uključuju se ulaganja koja se tretiraju kao recipročna međusobna ulaganja u skladu s člankom 36. stavkom 1. točkom (g) CRR-a.</w:t>
            </w:r>
          </w:p>
        </w:tc>
      </w:tr>
      <w:tr w:rsidR="002648B0" w:rsidRPr="00A30C4C" w14:paraId="679D0FDD" w14:textId="77777777" w:rsidTr="00672D2A">
        <w:tc>
          <w:tcPr>
            <w:tcW w:w="1506" w:type="dxa"/>
          </w:tcPr>
          <w:p w14:paraId="51A0B2F4" w14:textId="77777777" w:rsidR="002648B0" w:rsidRPr="00A30C4C" w:rsidRDefault="002648B0" w:rsidP="00FD239F">
            <w:pPr>
              <w:pStyle w:val="InstructionsText"/>
            </w:pPr>
            <w:r>
              <w:t>500</w:t>
            </w:r>
          </w:p>
        </w:tc>
        <w:tc>
          <w:tcPr>
            <w:tcW w:w="7243" w:type="dxa"/>
          </w:tcPr>
          <w:p w14:paraId="1CFE10BC" w14:textId="0CF3C603" w:rsidR="005643EA" w:rsidRPr="00A30C4C" w:rsidRDefault="002648B0" w:rsidP="00FD239F">
            <w:pPr>
              <w:pStyle w:val="InstructionsText"/>
            </w:pPr>
            <w:r>
              <w:rPr>
                <w:rStyle w:val="InstructionsTabelleberschrift"/>
                <w:rFonts w:ascii="Times New Roman" w:hAnsi="Times New Roman"/>
                <w:sz w:val="24"/>
              </w:rPr>
              <w:t>15.2.2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14:paraId="59D4CAD2" w14:textId="5FD292D9" w:rsidR="005643EA" w:rsidRPr="00A30C4C" w:rsidRDefault="00214FDA" w:rsidP="00FD239F">
            <w:pPr>
              <w:pStyle w:val="InstructionsText"/>
            </w:pPr>
            <w:r>
              <w:t>Članak 4. stavak 1. točka 114. i članak 45. CRR-a</w:t>
            </w:r>
          </w:p>
          <w:p w14:paraId="5375C1EA" w14:textId="5A6BD559" w:rsidR="005643EA" w:rsidRPr="00A30C4C" w:rsidRDefault="0014657C" w:rsidP="0014657C">
            <w:pPr>
              <w:pStyle w:val="InstructionsText"/>
            </w:pPr>
            <w:r>
              <w:t>Člankom 45. točkom (a) CRR-a omogućuje se prijeboj kratkih pozicija u istoj odnosnoj izloženosti ako je dospijeće kratke pozicije usklađeno s dospijećem duge pozicije ili ima preostali rok dospijeća najmanje godinu dana.</w:t>
            </w:r>
          </w:p>
        </w:tc>
      </w:tr>
      <w:tr w:rsidR="00DE5A31" w:rsidRPr="00A30C4C" w14:paraId="6A8A0A57" w14:textId="77777777" w:rsidTr="00672D2A">
        <w:tc>
          <w:tcPr>
            <w:tcW w:w="1506" w:type="dxa"/>
          </w:tcPr>
          <w:p w14:paraId="0F7673AB" w14:textId="77777777" w:rsidR="00DE5A31" w:rsidRPr="00A30C4C" w:rsidRDefault="00DE5A31" w:rsidP="00FD239F">
            <w:pPr>
              <w:pStyle w:val="InstructionsText"/>
            </w:pPr>
            <w:r>
              <w:t>501</w:t>
            </w:r>
          </w:p>
        </w:tc>
        <w:tc>
          <w:tcPr>
            <w:tcW w:w="7243" w:type="dxa"/>
          </w:tcPr>
          <w:p w14:paraId="4E402D8E" w14:textId="5C4CCB8C" w:rsidR="005643EA" w:rsidRPr="00A30C4C" w:rsidRDefault="00DE5A31" w:rsidP="00FD239F">
            <w:pPr>
              <w:pStyle w:val="InstructionsText"/>
            </w:pPr>
            <w:r>
              <w:rPr>
                <w:rStyle w:val="InstructionsTabelleberschrift"/>
                <w:rFonts w:ascii="Times New Roman" w:hAnsi="Times New Roman"/>
                <w:sz w:val="24"/>
              </w:rPr>
              <w:t>15.3</w:t>
            </w:r>
            <w:r w:rsidR="00792467">
              <w:rPr>
                <w:rStyle w:val="InstructionsTabelleberschrift"/>
                <w:rFonts w:ascii="Times New Roman" w:hAnsi="Times New Roman"/>
                <w:sz w:val="24"/>
              </w:rPr>
              <w:t>.</w:t>
            </w:r>
            <w:r>
              <w:rPr>
                <w:rStyle w:val="InstructionsTabelleberschrift"/>
                <w:rFonts w:ascii="Times New Roman" w:hAnsi="Times New Roman"/>
                <w:sz w:val="24"/>
              </w:rPr>
              <w:tab/>
              <w:t>Sintetska ulaganja u redovni osnovni kapital subjekata financijskog sektora ako institucija ima značajno ulaganje</w:t>
            </w:r>
          </w:p>
          <w:p w14:paraId="0F20708A" w14:textId="58F7DE0F" w:rsidR="005643EA" w:rsidRPr="00A30C4C" w:rsidRDefault="00214FDA" w:rsidP="00214FDA">
            <w:pPr>
              <w:pStyle w:val="InstructionsText"/>
            </w:pPr>
            <w:r>
              <w:t>Članak 4. stavak 1. točka 126. i članci 44. i 45. CRR-a</w:t>
            </w:r>
          </w:p>
        </w:tc>
      </w:tr>
      <w:tr w:rsidR="00DE5A31" w:rsidRPr="00A30C4C" w14:paraId="46B0D844" w14:textId="77777777" w:rsidTr="00672D2A">
        <w:tc>
          <w:tcPr>
            <w:tcW w:w="1506" w:type="dxa"/>
          </w:tcPr>
          <w:p w14:paraId="4CBB8BE3" w14:textId="77777777" w:rsidR="00DE5A31" w:rsidRPr="00A30C4C" w:rsidRDefault="00DE5A31" w:rsidP="00FD239F">
            <w:pPr>
              <w:pStyle w:val="InstructionsText"/>
            </w:pPr>
            <w:r>
              <w:lastRenderedPageBreak/>
              <w:t>502</w:t>
            </w:r>
          </w:p>
        </w:tc>
        <w:tc>
          <w:tcPr>
            <w:tcW w:w="7243" w:type="dxa"/>
          </w:tcPr>
          <w:p w14:paraId="51F26CF7" w14:textId="6B413F6F" w:rsidR="005643EA" w:rsidRPr="00A30C4C" w:rsidRDefault="00DE5A31" w:rsidP="00FD239F">
            <w:pPr>
              <w:pStyle w:val="InstructionsText"/>
            </w:pPr>
            <w:r>
              <w:rPr>
                <w:rStyle w:val="InstructionsTabelleberschrift"/>
                <w:rFonts w:ascii="Times New Roman" w:hAnsi="Times New Roman"/>
                <w:sz w:val="24"/>
              </w:rPr>
              <w:t>15.3.1</w:t>
            </w:r>
            <w:r w:rsidR="00792467">
              <w:rPr>
                <w:rStyle w:val="InstructionsTabelleberschrift"/>
                <w:rFonts w:ascii="Times New Roman" w:hAnsi="Times New Roman"/>
                <w:sz w:val="24"/>
              </w:rPr>
              <w:t>.</w:t>
            </w:r>
            <w:r>
              <w:rPr>
                <w:rStyle w:val="InstructionsTabelleberschrift"/>
                <w:rFonts w:ascii="Times New Roman" w:hAnsi="Times New Roman"/>
                <w:sz w:val="24"/>
              </w:rPr>
              <w:tab/>
              <w:t>Bruto sintetska ulaganja u redovni osnovni kapital subjekata financijskog sektora ako institucija ima značajno ulaganje</w:t>
            </w:r>
          </w:p>
          <w:p w14:paraId="5C4B0FFA" w14:textId="1E9E8927" w:rsidR="005643EA" w:rsidRPr="00A30C4C" w:rsidRDefault="00214FDA" w:rsidP="00214FDA">
            <w:pPr>
              <w:pStyle w:val="InstructionsText"/>
            </w:pPr>
            <w:r>
              <w:t>Članak 4. stavak 1. točka 126. i članci 44. i 45. CRR-a</w:t>
            </w:r>
          </w:p>
        </w:tc>
      </w:tr>
      <w:tr w:rsidR="00DE5A31" w:rsidRPr="00A30C4C" w14:paraId="35C46525" w14:textId="77777777" w:rsidTr="00672D2A">
        <w:tc>
          <w:tcPr>
            <w:tcW w:w="1506" w:type="dxa"/>
          </w:tcPr>
          <w:p w14:paraId="09657881" w14:textId="77777777" w:rsidR="00DE5A31" w:rsidRPr="00A30C4C" w:rsidRDefault="00E81DB9" w:rsidP="00FD239F">
            <w:pPr>
              <w:pStyle w:val="InstructionsText"/>
            </w:pPr>
            <w:r>
              <w:t>503</w:t>
            </w:r>
          </w:p>
        </w:tc>
        <w:tc>
          <w:tcPr>
            <w:tcW w:w="7243" w:type="dxa"/>
          </w:tcPr>
          <w:p w14:paraId="14CCB180" w14:textId="11C04E1E" w:rsidR="005643EA" w:rsidRPr="00A30C4C" w:rsidRDefault="00E81DB9" w:rsidP="00FD239F">
            <w:pPr>
              <w:pStyle w:val="InstructionsText"/>
            </w:pPr>
            <w:r>
              <w:rPr>
                <w:rStyle w:val="InstructionsTabelleberschrift"/>
                <w:rFonts w:ascii="Times New Roman" w:hAnsi="Times New Roman"/>
                <w:sz w:val="24"/>
              </w:rPr>
              <w:t>15.3.2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14:paraId="0BC23DAA" w14:textId="05A54580" w:rsidR="005643EA" w:rsidRPr="00A30C4C" w:rsidRDefault="00214FDA" w:rsidP="00214FDA">
            <w:pPr>
              <w:pStyle w:val="InstructionsText"/>
            </w:pPr>
            <w:r>
              <w:t>Članak 4. stavak 1. točka 126. i članak 45. CRR-a</w:t>
            </w:r>
          </w:p>
        </w:tc>
      </w:tr>
      <w:tr w:rsidR="002648B0" w:rsidRPr="00A30C4C" w14:paraId="30D8441D" w14:textId="77777777" w:rsidTr="00672D2A">
        <w:tc>
          <w:tcPr>
            <w:tcW w:w="1506" w:type="dxa"/>
          </w:tcPr>
          <w:p w14:paraId="4A6913BC" w14:textId="77777777" w:rsidR="002648B0" w:rsidRPr="00A30C4C" w:rsidRDefault="002648B0" w:rsidP="00FD239F">
            <w:pPr>
              <w:pStyle w:val="InstructionsText"/>
            </w:pPr>
            <w:r>
              <w:t>510</w:t>
            </w:r>
          </w:p>
        </w:tc>
        <w:tc>
          <w:tcPr>
            <w:tcW w:w="7243" w:type="dxa"/>
          </w:tcPr>
          <w:p w14:paraId="3C26DE3A" w14:textId="1226A4BC" w:rsidR="005643EA" w:rsidRPr="00A30C4C" w:rsidRDefault="002648B0" w:rsidP="00FD239F">
            <w:pPr>
              <w:pStyle w:val="InstructionsText"/>
            </w:pPr>
            <w:r>
              <w:rPr>
                <w:rStyle w:val="InstructionsTabelleberschrift"/>
                <w:rFonts w:ascii="Times New Roman" w:hAnsi="Times New Roman"/>
                <w:sz w:val="24"/>
              </w:rPr>
              <w:t>16</w:t>
            </w:r>
            <w:r w:rsidR="00792467">
              <w:rPr>
                <w:rStyle w:val="InstructionsTabelleberschrift"/>
                <w:rFonts w:ascii="Times New Roman" w:hAnsi="Times New Roman"/>
                <w:sz w:val="24"/>
              </w:rPr>
              <w:t>.</w:t>
            </w:r>
            <w:r>
              <w:rPr>
                <w:rStyle w:val="InstructionsTabelleberschrift"/>
                <w:rFonts w:ascii="Times New Roman" w:hAnsi="Times New Roman"/>
                <w:sz w:val="24"/>
              </w:rPr>
              <w:t xml:space="preserve"> Ulaganja u dodatni osnovni kapital subjekata financijskog sektora ako institucija ima značajno ulaganje, ne uključujući kratke pozicije</w:t>
            </w:r>
          </w:p>
          <w:p w14:paraId="3A282320" w14:textId="3067FAD8" w:rsidR="005643EA" w:rsidRPr="00A30C4C" w:rsidRDefault="002648B0" w:rsidP="00FD239F">
            <w:pPr>
              <w:pStyle w:val="InstructionsText"/>
            </w:pPr>
            <w:r>
              <w:t>Članci 58. i 59. CRR-a</w:t>
            </w:r>
          </w:p>
        </w:tc>
      </w:tr>
      <w:tr w:rsidR="002648B0" w:rsidRPr="00A30C4C" w14:paraId="165A41EE" w14:textId="77777777" w:rsidTr="00672D2A">
        <w:tc>
          <w:tcPr>
            <w:tcW w:w="1506" w:type="dxa"/>
          </w:tcPr>
          <w:p w14:paraId="73B9DCEE" w14:textId="77777777" w:rsidR="002648B0" w:rsidRPr="00A30C4C" w:rsidRDefault="002648B0" w:rsidP="00FD239F">
            <w:pPr>
              <w:pStyle w:val="InstructionsText"/>
            </w:pPr>
            <w:r>
              <w:t>520</w:t>
            </w:r>
          </w:p>
        </w:tc>
        <w:tc>
          <w:tcPr>
            <w:tcW w:w="7243" w:type="dxa"/>
          </w:tcPr>
          <w:p w14:paraId="3C5D92D8" w14:textId="59C89780" w:rsidR="005643EA" w:rsidRPr="00A30C4C" w:rsidRDefault="002648B0" w:rsidP="00FD239F">
            <w:pPr>
              <w:pStyle w:val="InstructionsText"/>
            </w:pPr>
            <w:r>
              <w:rPr>
                <w:rStyle w:val="InstructionsTabelleberschrift"/>
                <w:rFonts w:ascii="Times New Roman" w:hAnsi="Times New Roman"/>
                <w:sz w:val="24"/>
              </w:rPr>
              <w:t>16.1</w:t>
            </w:r>
            <w:r w:rsidR="00792467">
              <w:rPr>
                <w:rStyle w:val="InstructionsTabelleberschrift"/>
                <w:rFonts w:ascii="Times New Roman" w:hAnsi="Times New Roman"/>
                <w:sz w:val="24"/>
              </w:rPr>
              <w:t>.</w:t>
            </w:r>
            <w:r>
              <w:rPr>
                <w:rStyle w:val="InstructionsTabelleberschrift"/>
                <w:rFonts w:ascii="Times New Roman" w:hAnsi="Times New Roman"/>
                <w:sz w:val="24"/>
              </w:rPr>
              <w:tab/>
              <w:t>Izravna ulaganja u dodatni osnovni kapital subjekata financijskog sektora ako institucija ima značajno ulaganje</w:t>
            </w:r>
          </w:p>
          <w:p w14:paraId="6CD73006" w14:textId="200F04EA" w:rsidR="005643EA" w:rsidRPr="00A30C4C" w:rsidRDefault="002648B0" w:rsidP="00FD239F">
            <w:pPr>
              <w:pStyle w:val="InstructionsText"/>
            </w:pPr>
            <w:r>
              <w:t>Članci 58. i 59. CRR-a</w:t>
            </w:r>
          </w:p>
        </w:tc>
      </w:tr>
      <w:tr w:rsidR="002648B0" w:rsidRPr="00A30C4C" w14:paraId="5D7399BF" w14:textId="77777777" w:rsidTr="00672D2A">
        <w:tc>
          <w:tcPr>
            <w:tcW w:w="1506" w:type="dxa"/>
          </w:tcPr>
          <w:p w14:paraId="1FA002BB" w14:textId="77777777" w:rsidR="002648B0" w:rsidRPr="00A30C4C" w:rsidRDefault="002648B0" w:rsidP="00FD239F">
            <w:pPr>
              <w:pStyle w:val="InstructionsText"/>
            </w:pPr>
            <w:r>
              <w:t>530</w:t>
            </w:r>
          </w:p>
        </w:tc>
        <w:tc>
          <w:tcPr>
            <w:tcW w:w="7243" w:type="dxa"/>
          </w:tcPr>
          <w:p w14:paraId="58958D69" w14:textId="12AEA3E1" w:rsidR="005643EA" w:rsidRPr="00A30C4C" w:rsidRDefault="002648B0" w:rsidP="00FD239F">
            <w:pPr>
              <w:pStyle w:val="InstructionsText"/>
            </w:pPr>
            <w:r>
              <w:rPr>
                <w:rStyle w:val="InstructionsTabelleberschrift"/>
                <w:rFonts w:ascii="Times New Roman" w:hAnsi="Times New Roman"/>
                <w:sz w:val="24"/>
              </w:rPr>
              <w:t>16.1.1</w:t>
            </w:r>
            <w:r w:rsidR="00792467">
              <w:rPr>
                <w:rStyle w:val="InstructionsTabelleberschrift"/>
                <w:rFonts w:ascii="Times New Roman" w:hAnsi="Times New Roman"/>
                <w:sz w:val="24"/>
              </w:rPr>
              <w:t>.</w:t>
            </w:r>
            <w:r>
              <w:rPr>
                <w:rStyle w:val="InstructionsTabelleberschrift"/>
                <w:rFonts w:ascii="Times New Roman" w:hAnsi="Times New Roman"/>
                <w:sz w:val="24"/>
              </w:rPr>
              <w:tab/>
              <w:t>Bruto izravna ulaganja u dodatni osnovni kapital subjekata financijskog sektora ako institucija ima značajno ulaganje</w:t>
            </w:r>
          </w:p>
          <w:p w14:paraId="7C5EC7F0" w14:textId="7B3C53AE" w:rsidR="005643EA" w:rsidRPr="00A30C4C" w:rsidRDefault="002648B0" w:rsidP="00FD239F">
            <w:pPr>
              <w:pStyle w:val="InstructionsText"/>
            </w:pPr>
            <w:r>
              <w:t>Članak 58. CRR-a</w:t>
            </w:r>
          </w:p>
          <w:p w14:paraId="5B293760" w14:textId="77777777" w:rsidR="005643EA" w:rsidRPr="00A30C4C" w:rsidRDefault="002648B0" w:rsidP="00FD239F">
            <w:pPr>
              <w:pStyle w:val="InstructionsText"/>
            </w:pPr>
            <w:r>
              <w:t>Izravna ulaganja u dodatni osnovni kapital subjekata financijskog sektora ako institucija ima značajno ulaganje, isključujući:</w:t>
            </w:r>
          </w:p>
          <w:p w14:paraId="573E3B03" w14:textId="27CD8BED" w:rsidR="005643EA" w:rsidRPr="00A30C4C" w:rsidRDefault="002648B0" w:rsidP="00FD239F">
            <w:pPr>
              <w:pStyle w:val="InstructionsText"/>
            </w:pPr>
            <w:r>
              <w:t>a)</w:t>
            </w:r>
            <w:r>
              <w:tab/>
              <w:t>pozicije proizišle iz usluge provedbe ponude odnosno prodaje financijskih instrumenata uz obvezu otkupa koje se drže najviše 5 radnih da</w:t>
            </w:r>
            <w:r w:rsidR="00792467">
              <w:t>na (članak 56. točka (d) CRR-a)</w:t>
            </w:r>
            <w:r>
              <w:t xml:space="preserve"> i</w:t>
            </w:r>
          </w:p>
          <w:p w14:paraId="096AB377" w14:textId="5CEF8992" w:rsidR="005643EA" w:rsidRPr="00A30C4C" w:rsidRDefault="002648B0" w:rsidP="0014657C">
            <w:pPr>
              <w:pStyle w:val="InstructionsText"/>
            </w:pPr>
            <w:r>
              <w:t>b)</w:t>
            </w:r>
            <w:r>
              <w:tab/>
              <w:t>ulaganja koja se tretiraju kao recipročna međusobna ulaganja u skladu s člankom 56. točkom (b) CRR-a.</w:t>
            </w:r>
          </w:p>
        </w:tc>
      </w:tr>
      <w:tr w:rsidR="002648B0" w:rsidRPr="00A30C4C" w14:paraId="466DFC89" w14:textId="77777777" w:rsidTr="00672D2A">
        <w:tc>
          <w:tcPr>
            <w:tcW w:w="1506" w:type="dxa"/>
          </w:tcPr>
          <w:p w14:paraId="36DE1319" w14:textId="77777777" w:rsidR="002648B0" w:rsidRPr="00A30C4C" w:rsidRDefault="002648B0" w:rsidP="00FD239F">
            <w:pPr>
              <w:pStyle w:val="InstructionsText"/>
            </w:pPr>
            <w:r>
              <w:t>540</w:t>
            </w:r>
          </w:p>
        </w:tc>
        <w:tc>
          <w:tcPr>
            <w:tcW w:w="7243" w:type="dxa"/>
          </w:tcPr>
          <w:p w14:paraId="008F7057" w14:textId="37F625C1" w:rsidR="005643EA" w:rsidRPr="00A30C4C" w:rsidRDefault="002648B0" w:rsidP="00FD239F">
            <w:pPr>
              <w:pStyle w:val="InstructionsText"/>
            </w:pPr>
            <w:r>
              <w:rPr>
                <w:rStyle w:val="InstructionsTabelleberschrift"/>
                <w:rFonts w:ascii="Times New Roman" w:hAnsi="Times New Roman"/>
                <w:sz w:val="24"/>
              </w:rPr>
              <w:t>16.1.2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14:paraId="19D56D4F" w14:textId="6C7D832C" w:rsidR="005643EA" w:rsidRPr="00A30C4C" w:rsidRDefault="002648B0" w:rsidP="00FD239F">
            <w:pPr>
              <w:pStyle w:val="InstructionsText"/>
            </w:pPr>
            <w:r>
              <w:t>Članak 59. CRR-a</w:t>
            </w:r>
          </w:p>
          <w:p w14:paraId="2BCF2FEA" w14:textId="6DC044DF" w:rsidR="005643EA" w:rsidRPr="00A30C4C" w:rsidRDefault="0014657C" w:rsidP="0014657C">
            <w:pPr>
              <w:pStyle w:val="InstructionsText"/>
            </w:pPr>
            <w:r>
              <w:t>Člankom 59. točkom (a) CRR-a omogućuje se prijeboj kratkih pozicija u istoj odnosnoj izloženosti ako je dospijeće kratke pozicije usklađeno s dospijećem duge pozicije ili ima preostali rok dospijeća najmanje godinu dana.</w:t>
            </w:r>
          </w:p>
        </w:tc>
      </w:tr>
      <w:tr w:rsidR="002648B0" w:rsidRPr="00A30C4C" w14:paraId="240757EC" w14:textId="77777777" w:rsidTr="00672D2A">
        <w:tc>
          <w:tcPr>
            <w:tcW w:w="1506" w:type="dxa"/>
          </w:tcPr>
          <w:p w14:paraId="047DF1C5" w14:textId="77777777" w:rsidR="002648B0" w:rsidRPr="00A30C4C" w:rsidRDefault="002648B0" w:rsidP="00FD239F">
            <w:pPr>
              <w:pStyle w:val="InstructionsText"/>
            </w:pPr>
            <w:r>
              <w:t>550</w:t>
            </w:r>
          </w:p>
        </w:tc>
        <w:tc>
          <w:tcPr>
            <w:tcW w:w="7243" w:type="dxa"/>
          </w:tcPr>
          <w:p w14:paraId="6EB0D433" w14:textId="4BDEE949" w:rsidR="005643EA" w:rsidRPr="00A30C4C" w:rsidRDefault="002648B0" w:rsidP="00FD239F">
            <w:pPr>
              <w:pStyle w:val="InstructionsText"/>
            </w:pPr>
            <w:r>
              <w:rPr>
                <w:rStyle w:val="InstructionsTabelleberschrift"/>
                <w:rFonts w:ascii="Times New Roman" w:hAnsi="Times New Roman"/>
                <w:sz w:val="24"/>
              </w:rPr>
              <w:t>16.2</w:t>
            </w:r>
            <w:r w:rsidR="00792467">
              <w:rPr>
                <w:rStyle w:val="InstructionsTabelleberschrift"/>
                <w:rFonts w:ascii="Times New Roman" w:hAnsi="Times New Roman"/>
                <w:sz w:val="24"/>
              </w:rPr>
              <w:t>.</w:t>
            </w:r>
            <w:r>
              <w:rPr>
                <w:rStyle w:val="InstructionsTabelleberschrift"/>
                <w:rFonts w:ascii="Times New Roman" w:hAnsi="Times New Roman"/>
                <w:sz w:val="24"/>
              </w:rPr>
              <w:tab/>
              <w:t>Neizravna ulaganja u dodatni osnovni kapital subjekata financijskog sektora ako institucija ima značajno ulaganje</w:t>
            </w:r>
          </w:p>
          <w:p w14:paraId="10C9AD3B" w14:textId="093FDE8A" w:rsidR="005643EA" w:rsidRPr="00A30C4C" w:rsidRDefault="00214FDA" w:rsidP="00214FDA">
            <w:pPr>
              <w:pStyle w:val="InstructionsText"/>
            </w:pPr>
            <w:r>
              <w:t>Članak 4. stavak 1. točka 114. i članci 58. i 59. CRR-a</w:t>
            </w:r>
          </w:p>
        </w:tc>
      </w:tr>
      <w:tr w:rsidR="002648B0" w:rsidRPr="00A30C4C" w14:paraId="58CE0149" w14:textId="77777777" w:rsidTr="00672D2A">
        <w:tc>
          <w:tcPr>
            <w:tcW w:w="1506" w:type="dxa"/>
          </w:tcPr>
          <w:p w14:paraId="48C4C802" w14:textId="77777777" w:rsidR="002648B0" w:rsidRPr="00A30C4C" w:rsidRDefault="002648B0" w:rsidP="00FD239F">
            <w:pPr>
              <w:pStyle w:val="InstructionsText"/>
            </w:pPr>
            <w:r>
              <w:t>560</w:t>
            </w:r>
          </w:p>
        </w:tc>
        <w:tc>
          <w:tcPr>
            <w:tcW w:w="7243" w:type="dxa"/>
          </w:tcPr>
          <w:p w14:paraId="4039D54F" w14:textId="4BB309E6" w:rsidR="005643EA" w:rsidRPr="00A30C4C" w:rsidRDefault="002648B0" w:rsidP="00FD239F">
            <w:pPr>
              <w:pStyle w:val="InstructionsText"/>
            </w:pPr>
            <w:r>
              <w:rPr>
                <w:rStyle w:val="InstructionsTabelleberschrift"/>
                <w:rFonts w:ascii="Times New Roman" w:hAnsi="Times New Roman"/>
                <w:sz w:val="24"/>
              </w:rPr>
              <w:t>16.2.1</w:t>
            </w:r>
            <w:r w:rsidR="00792467">
              <w:rPr>
                <w:rStyle w:val="InstructionsTabelleberschrift"/>
                <w:rFonts w:ascii="Times New Roman" w:hAnsi="Times New Roman"/>
                <w:sz w:val="24"/>
              </w:rPr>
              <w:t>.</w:t>
            </w:r>
            <w:r>
              <w:rPr>
                <w:rStyle w:val="InstructionsTabelleberschrift"/>
                <w:rFonts w:ascii="Times New Roman" w:hAnsi="Times New Roman"/>
                <w:sz w:val="24"/>
              </w:rPr>
              <w:tab/>
              <w:t>Bruto neizravna ulaganja u dodatni osnovni kapital subjekata financijskog sektora ako institucija ima značajno ulaganje</w:t>
            </w:r>
          </w:p>
          <w:p w14:paraId="05B916B6" w14:textId="281A3993" w:rsidR="005643EA" w:rsidRPr="00A30C4C" w:rsidRDefault="00214FDA" w:rsidP="00FD239F">
            <w:pPr>
              <w:pStyle w:val="InstructionsText"/>
            </w:pPr>
            <w:r>
              <w:t>Članak 4. stavak 1. točka 114. i članci 58. i 59. CRR-a</w:t>
            </w:r>
          </w:p>
          <w:p w14:paraId="28A903E2" w14:textId="77777777" w:rsidR="005643EA" w:rsidRPr="00A30C4C" w:rsidRDefault="002648B0" w:rsidP="00FD239F">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14:paraId="7706BEAE" w14:textId="05C809CD" w:rsidR="005643EA" w:rsidRPr="00A30C4C" w:rsidRDefault="002648B0" w:rsidP="0014657C">
            <w:pPr>
              <w:pStyle w:val="InstructionsText"/>
            </w:pPr>
            <w:r>
              <w:lastRenderedPageBreak/>
              <w:t>Ne uključuju se ulaganja koja se tretiraju kao recipročna međusobna ulaganja u skladu s člankom 56. točkom (b) CRR-a.</w:t>
            </w:r>
          </w:p>
        </w:tc>
      </w:tr>
      <w:tr w:rsidR="002648B0" w:rsidRPr="00A30C4C" w14:paraId="14E003A3" w14:textId="77777777" w:rsidTr="00672D2A">
        <w:tc>
          <w:tcPr>
            <w:tcW w:w="1506" w:type="dxa"/>
          </w:tcPr>
          <w:p w14:paraId="721432E5" w14:textId="77777777" w:rsidR="002648B0" w:rsidRPr="00A30C4C" w:rsidRDefault="002648B0" w:rsidP="00FD239F">
            <w:pPr>
              <w:pStyle w:val="InstructionsText"/>
            </w:pPr>
            <w:r>
              <w:lastRenderedPageBreak/>
              <w:t>570</w:t>
            </w:r>
          </w:p>
        </w:tc>
        <w:tc>
          <w:tcPr>
            <w:tcW w:w="7243" w:type="dxa"/>
          </w:tcPr>
          <w:p w14:paraId="0BF1722E" w14:textId="39757FF7" w:rsidR="005643EA" w:rsidRPr="00A30C4C" w:rsidRDefault="002648B0" w:rsidP="00FD239F">
            <w:pPr>
              <w:pStyle w:val="InstructionsText"/>
            </w:pPr>
            <w:r>
              <w:rPr>
                <w:rStyle w:val="InstructionsTabelleberschrift"/>
                <w:rFonts w:ascii="Times New Roman" w:hAnsi="Times New Roman"/>
                <w:sz w:val="24"/>
              </w:rPr>
              <w:t>16.2.2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14:paraId="48B61345" w14:textId="10C95388" w:rsidR="005643EA" w:rsidRPr="00A30C4C" w:rsidRDefault="00214FDA" w:rsidP="00FD239F">
            <w:pPr>
              <w:pStyle w:val="InstructionsText"/>
            </w:pPr>
            <w:r>
              <w:t>Članak 4. stavak 1. točka 114. i članak 59. CRR-a</w:t>
            </w:r>
          </w:p>
          <w:p w14:paraId="0C0E1FA0" w14:textId="1D6A146E" w:rsidR="005643EA" w:rsidRPr="00A30C4C" w:rsidRDefault="0014657C" w:rsidP="0014657C">
            <w:pPr>
              <w:pStyle w:val="InstructionsText"/>
            </w:pPr>
            <w:r>
              <w:t>Člankom 59. točkom (a) CRR-a omogućuje se prijeboj kratkih pozicija u istoj odnosnoj izloženosti ako je dospijeće kratke pozicije usklađeno s dospijećem duge pozicije ili ima preostali rok dospijeća najmanje godinu dana.</w:t>
            </w:r>
          </w:p>
        </w:tc>
      </w:tr>
      <w:tr w:rsidR="00E81DB9" w:rsidRPr="00A30C4C" w14:paraId="28CE4219" w14:textId="77777777" w:rsidTr="00672D2A">
        <w:tc>
          <w:tcPr>
            <w:tcW w:w="1506" w:type="dxa"/>
          </w:tcPr>
          <w:p w14:paraId="70F834C4" w14:textId="77777777" w:rsidR="00E81DB9" w:rsidRPr="00A30C4C" w:rsidRDefault="00E81DB9" w:rsidP="00FD239F">
            <w:pPr>
              <w:pStyle w:val="InstructionsText"/>
            </w:pPr>
            <w:r>
              <w:t>571</w:t>
            </w:r>
          </w:p>
        </w:tc>
        <w:tc>
          <w:tcPr>
            <w:tcW w:w="7243" w:type="dxa"/>
          </w:tcPr>
          <w:p w14:paraId="7D0D3803" w14:textId="65778348" w:rsidR="005643EA" w:rsidRPr="00A30C4C" w:rsidRDefault="00E81DB9" w:rsidP="00FD239F">
            <w:pPr>
              <w:pStyle w:val="InstructionsText"/>
            </w:pPr>
            <w:r>
              <w:rPr>
                <w:rStyle w:val="InstructionsTabelleberschrift"/>
                <w:rFonts w:ascii="Times New Roman" w:hAnsi="Times New Roman"/>
                <w:sz w:val="24"/>
              </w:rPr>
              <w:t>16.3</w:t>
            </w:r>
            <w:r w:rsidR="00792467">
              <w:rPr>
                <w:rStyle w:val="InstructionsTabelleberschrift"/>
                <w:rFonts w:ascii="Times New Roman" w:hAnsi="Times New Roman"/>
                <w:sz w:val="24"/>
              </w:rPr>
              <w:t>.</w:t>
            </w:r>
            <w:r>
              <w:rPr>
                <w:rStyle w:val="InstructionsTabelleberschrift"/>
                <w:rFonts w:ascii="Times New Roman" w:hAnsi="Times New Roman"/>
                <w:sz w:val="24"/>
              </w:rPr>
              <w:tab/>
              <w:t>Sintetska ulaganja u dodatni osnovni kapital subjekata financijskog sektora ako institucija ima značajno ulaganje</w:t>
            </w:r>
          </w:p>
          <w:p w14:paraId="7F2AD22F" w14:textId="4FFC45BF" w:rsidR="005643EA" w:rsidRPr="00A30C4C" w:rsidRDefault="00214FDA" w:rsidP="00214FDA">
            <w:pPr>
              <w:pStyle w:val="InstructionsText"/>
              <w:rPr>
                <w:rStyle w:val="InstructionsTabelleberschrift"/>
                <w:rFonts w:ascii="Times New Roman" w:hAnsi="Times New Roman"/>
                <w:b w:val="0"/>
                <w:bCs w:val="0"/>
                <w:sz w:val="24"/>
                <w:u w:val="none"/>
              </w:rPr>
            </w:pPr>
            <w:r>
              <w:t>Članak 4. stavak 1. točka 126. i članci 58. i 59. CRR-a</w:t>
            </w:r>
          </w:p>
        </w:tc>
      </w:tr>
      <w:tr w:rsidR="00E81DB9" w:rsidRPr="00A30C4C" w14:paraId="4BEC707A" w14:textId="77777777" w:rsidTr="00672D2A">
        <w:tc>
          <w:tcPr>
            <w:tcW w:w="1506" w:type="dxa"/>
          </w:tcPr>
          <w:p w14:paraId="0BCA77A7" w14:textId="77777777" w:rsidR="00E81DB9" w:rsidRPr="00A30C4C" w:rsidRDefault="00E81DB9" w:rsidP="00FD239F">
            <w:pPr>
              <w:pStyle w:val="InstructionsText"/>
            </w:pPr>
            <w:r>
              <w:t>572</w:t>
            </w:r>
          </w:p>
        </w:tc>
        <w:tc>
          <w:tcPr>
            <w:tcW w:w="7243" w:type="dxa"/>
          </w:tcPr>
          <w:p w14:paraId="715CE87A" w14:textId="0BD311C3" w:rsidR="005643EA" w:rsidRPr="00A30C4C" w:rsidRDefault="00E81DB9" w:rsidP="00FD239F">
            <w:pPr>
              <w:pStyle w:val="InstructionsText"/>
            </w:pPr>
            <w:r>
              <w:rPr>
                <w:rStyle w:val="InstructionsTabelleberschrift"/>
                <w:rFonts w:ascii="Times New Roman" w:hAnsi="Times New Roman"/>
                <w:sz w:val="24"/>
              </w:rPr>
              <w:t>16.3.1</w:t>
            </w:r>
            <w:r w:rsidR="00792467">
              <w:rPr>
                <w:rStyle w:val="InstructionsTabelleberschrift"/>
                <w:rFonts w:ascii="Times New Roman" w:hAnsi="Times New Roman"/>
                <w:sz w:val="24"/>
              </w:rPr>
              <w:t>.</w:t>
            </w:r>
            <w:r>
              <w:rPr>
                <w:rStyle w:val="InstructionsTabelleberschrift"/>
                <w:rFonts w:ascii="Times New Roman" w:hAnsi="Times New Roman"/>
                <w:sz w:val="24"/>
              </w:rPr>
              <w:tab/>
              <w:t>Bruto sintetska ulaganja u dodatni osnovni kapital subjekata financijskog sektora ako institucija ima značajno ulaganje</w:t>
            </w:r>
          </w:p>
          <w:p w14:paraId="144F93F9" w14:textId="6BEDA80F" w:rsidR="005643EA" w:rsidRPr="00A30C4C" w:rsidRDefault="00214FDA" w:rsidP="00FD239F">
            <w:pPr>
              <w:pStyle w:val="InstructionsText"/>
              <w:rPr>
                <w:rStyle w:val="InstructionsTabelleberschrift"/>
                <w:rFonts w:ascii="Times New Roman" w:hAnsi="Times New Roman"/>
                <w:b w:val="0"/>
                <w:bCs w:val="0"/>
                <w:sz w:val="24"/>
                <w:u w:val="none"/>
              </w:rPr>
            </w:pPr>
            <w:r>
              <w:t>Članak 4. stavak 1. točka 126. i članci 58. i 59. CRR-a</w:t>
            </w:r>
          </w:p>
        </w:tc>
      </w:tr>
      <w:tr w:rsidR="00E81DB9" w:rsidRPr="00A30C4C" w14:paraId="633C061F" w14:textId="77777777" w:rsidTr="00672D2A">
        <w:tc>
          <w:tcPr>
            <w:tcW w:w="1506" w:type="dxa"/>
          </w:tcPr>
          <w:p w14:paraId="48A3DAED" w14:textId="77777777" w:rsidR="00E81DB9" w:rsidRPr="00A30C4C" w:rsidRDefault="00E81DB9" w:rsidP="00FD239F">
            <w:pPr>
              <w:pStyle w:val="InstructionsText"/>
            </w:pPr>
            <w:r>
              <w:t>573</w:t>
            </w:r>
          </w:p>
        </w:tc>
        <w:tc>
          <w:tcPr>
            <w:tcW w:w="7243" w:type="dxa"/>
          </w:tcPr>
          <w:p w14:paraId="5112916F" w14:textId="5360419D" w:rsidR="005643EA" w:rsidRPr="00A30C4C" w:rsidRDefault="00E81DB9" w:rsidP="00FD239F">
            <w:pPr>
              <w:pStyle w:val="InstructionsText"/>
            </w:pPr>
            <w:r>
              <w:rPr>
                <w:rStyle w:val="InstructionsTabelleberschrift"/>
                <w:rFonts w:ascii="Times New Roman" w:hAnsi="Times New Roman"/>
                <w:sz w:val="24"/>
              </w:rPr>
              <w:t>16.3.2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14:paraId="50623946" w14:textId="3F3B0EE3" w:rsidR="005643EA" w:rsidRPr="00A30C4C" w:rsidRDefault="00214FDA" w:rsidP="00FD239F">
            <w:pPr>
              <w:pStyle w:val="InstructionsText"/>
              <w:rPr>
                <w:rStyle w:val="InstructionsTabelleberschrift"/>
                <w:rFonts w:ascii="Times New Roman" w:hAnsi="Times New Roman"/>
                <w:b w:val="0"/>
                <w:bCs w:val="0"/>
                <w:sz w:val="24"/>
                <w:u w:val="none"/>
              </w:rPr>
            </w:pPr>
            <w:r>
              <w:t>Članak 4. stavak 1. točka 126. i članak 59. CRR-a</w:t>
            </w:r>
          </w:p>
        </w:tc>
      </w:tr>
      <w:tr w:rsidR="002648B0" w:rsidRPr="00A30C4C" w14:paraId="50E519C6" w14:textId="77777777" w:rsidTr="00672D2A">
        <w:tc>
          <w:tcPr>
            <w:tcW w:w="1506" w:type="dxa"/>
          </w:tcPr>
          <w:p w14:paraId="10C3CF59" w14:textId="77777777" w:rsidR="002648B0" w:rsidRPr="00A30C4C" w:rsidRDefault="002648B0" w:rsidP="00FD239F">
            <w:pPr>
              <w:pStyle w:val="InstructionsText"/>
            </w:pPr>
            <w:r>
              <w:t>580</w:t>
            </w:r>
          </w:p>
        </w:tc>
        <w:tc>
          <w:tcPr>
            <w:tcW w:w="7243" w:type="dxa"/>
          </w:tcPr>
          <w:p w14:paraId="42F63504" w14:textId="22D53CB4" w:rsidR="005643EA" w:rsidRPr="00A30C4C" w:rsidRDefault="002648B0" w:rsidP="00FD239F">
            <w:pPr>
              <w:pStyle w:val="InstructionsText"/>
            </w:pPr>
            <w:r>
              <w:rPr>
                <w:rStyle w:val="InstructionsTabelleberschrift"/>
                <w:rFonts w:ascii="Times New Roman" w:hAnsi="Times New Roman"/>
                <w:sz w:val="24"/>
              </w:rPr>
              <w:t>17</w:t>
            </w:r>
            <w:r w:rsidR="00792467">
              <w:rPr>
                <w:rStyle w:val="InstructionsTabelleberschrift"/>
                <w:rFonts w:ascii="Times New Roman" w:hAnsi="Times New Roman"/>
                <w:sz w:val="24"/>
              </w:rPr>
              <w:t>.</w:t>
            </w:r>
            <w:r>
              <w:rPr>
                <w:rStyle w:val="InstructionsTabelleberschrift"/>
                <w:rFonts w:ascii="Times New Roman" w:hAnsi="Times New Roman"/>
                <w:sz w:val="24"/>
              </w:rPr>
              <w:t xml:space="preserve"> Ulaganja u dopunski kapital subjekata financijskog sektora ako institucija ima značajno ulaganje, ne uključujući kratke pozicije</w:t>
            </w:r>
          </w:p>
          <w:p w14:paraId="7A5CB051" w14:textId="57B6E684" w:rsidR="005643EA" w:rsidRPr="00A30C4C" w:rsidRDefault="002648B0" w:rsidP="00FD239F">
            <w:pPr>
              <w:pStyle w:val="InstructionsText"/>
            </w:pPr>
            <w:r>
              <w:t>Članci 68. i 69. CRR-a</w:t>
            </w:r>
          </w:p>
        </w:tc>
      </w:tr>
      <w:tr w:rsidR="002648B0" w:rsidRPr="00A30C4C" w14:paraId="55B076F7" w14:textId="77777777" w:rsidTr="00672D2A">
        <w:tc>
          <w:tcPr>
            <w:tcW w:w="1506" w:type="dxa"/>
          </w:tcPr>
          <w:p w14:paraId="001A8EA2" w14:textId="77777777" w:rsidR="002648B0" w:rsidRPr="00A30C4C" w:rsidRDefault="002648B0" w:rsidP="00FD239F">
            <w:pPr>
              <w:pStyle w:val="InstructionsText"/>
            </w:pPr>
            <w:r>
              <w:t>590</w:t>
            </w:r>
          </w:p>
        </w:tc>
        <w:tc>
          <w:tcPr>
            <w:tcW w:w="7243" w:type="dxa"/>
          </w:tcPr>
          <w:p w14:paraId="15DE9E31" w14:textId="4386F06B" w:rsidR="005643EA" w:rsidRPr="00A30C4C" w:rsidRDefault="002648B0" w:rsidP="00FD239F">
            <w:pPr>
              <w:pStyle w:val="InstructionsText"/>
            </w:pPr>
            <w:r>
              <w:rPr>
                <w:rStyle w:val="InstructionsTabelleberschrift"/>
                <w:rFonts w:ascii="Times New Roman" w:hAnsi="Times New Roman"/>
                <w:sz w:val="24"/>
              </w:rPr>
              <w:t>17.1</w:t>
            </w:r>
            <w:r w:rsidR="00792467">
              <w:rPr>
                <w:rStyle w:val="InstructionsTabelleberschrift"/>
                <w:rFonts w:ascii="Times New Roman" w:hAnsi="Times New Roman"/>
                <w:sz w:val="24"/>
              </w:rPr>
              <w:t>.</w:t>
            </w:r>
            <w:r>
              <w:rPr>
                <w:rStyle w:val="InstructionsTabelleberschrift"/>
                <w:rFonts w:ascii="Times New Roman" w:hAnsi="Times New Roman"/>
                <w:sz w:val="24"/>
              </w:rPr>
              <w:tab/>
              <w:t>Izravna ulaganja u dopunski kapital subjekata financijskog sektora ako institucija ima značajno ulaganje</w:t>
            </w:r>
          </w:p>
          <w:p w14:paraId="18678044" w14:textId="1EB63DCE" w:rsidR="005643EA" w:rsidRPr="00A30C4C" w:rsidRDefault="002648B0" w:rsidP="00FD239F">
            <w:pPr>
              <w:pStyle w:val="InstructionsText"/>
            </w:pPr>
            <w:r>
              <w:t>Članci 68. i 69. CRR-a</w:t>
            </w:r>
          </w:p>
        </w:tc>
      </w:tr>
      <w:tr w:rsidR="002648B0" w:rsidRPr="00A30C4C" w14:paraId="4D94C750" w14:textId="77777777" w:rsidTr="00672D2A">
        <w:tc>
          <w:tcPr>
            <w:tcW w:w="1506" w:type="dxa"/>
          </w:tcPr>
          <w:p w14:paraId="6DD0D1F4" w14:textId="77777777" w:rsidR="002648B0" w:rsidRPr="00A30C4C" w:rsidRDefault="002648B0" w:rsidP="00FD239F">
            <w:pPr>
              <w:pStyle w:val="InstructionsText"/>
            </w:pPr>
            <w:r>
              <w:t>600</w:t>
            </w:r>
          </w:p>
        </w:tc>
        <w:tc>
          <w:tcPr>
            <w:tcW w:w="7243" w:type="dxa"/>
          </w:tcPr>
          <w:p w14:paraId="7F136317" w14:textId="7EE3669E" w:rsidR="005643EA" w:rsidRPr="00A30C4C" w:rsidRDefault="002648B0" w:rsidP="00FD239F">
            <w:pPr>
              <w:pStyle w:val="InstructionsText"/>
            </w:pPr>
            <w:r>
              <w:rPr>
                <w:rStyle w:val="InstructionsTabelleberschrift"/>
                <w:rFonts w:ascii="Times New Roman" w:hAnsi="Times New Roman"/>
                <w:sz w:val="24"/>
              </w:rPr>
              <w:t>17.1.1</w:t>
            </w:r>
            <w:r w:rsidR="00792467">
              <w:rPr>
                <w:rStyle w:val="InstructionsTabelleberschrift"/>
                <w:rFonts w:ascii="Times New Roman" w:hAnsi="Times New Roman"/>
                <w:sz w:val="24"/>
              </w:rPr>
              <w:t>.</w:t>
            </w:r>
            <w:r>
              <w:rPr>
                <w:rStyle w:val="InstructionsTabelleberschrift"/>
                <w:rFonts w:ascii="Times New Roman" w:hAnsi="Times New Roman"/>
                <w:sz w:val="24"/>
              </w:rPr>
              <w:tab/>
              <w:t>Bruto izravna ulaganja u dopunski kapital subjekata financijskog sektora ako institucija ima značajno ulaganje</w:t>
            </w:r>
          </w:p>
          <w:p w14:paraId="25CD6776" w14:textId="506DD83C" w:rsidR="005643EA" w:rsidRPr="00A30C4C" w:rsidRDefault="002648B0" w:rsidP="00FD239F">
            <w:pPr>
              <w:pStyle w:val="InstructionsText"/>
            </w:pPr>
            <w:r>
              <w:t>Članak 68. CRR-a</w:t>
            </w:r>
          </w:p>
          <w:p w14:paraId="5406E851" w14:textId="77777777" w:rsidR="005643EA" w:rsidRPr="00A30C4C" w:rsidRDefault="002648B0" w:rsidP="00FD239F">
            <w:pPr>
              <w:pStyle w:val="InstructionsText"/>
            </w:pPr>
            <w:r>
              <w:t>Izravna ulaganja u dopunski kapital subjekata financijskog sektora ako institucija ima značajno ulaganje, isključujući:</w:t>
            </w:r>
          </w:p>
          <w:p w14:paraId="280B4C16" w14:textId="1622587C" w:rsidR="005643EA" w:rsidRPr="00A30C4C" w:rsidRDefault="002648B0" w:rsidP="00167619">
            <w:pPr>
              <w:pStyle w:val="InstructionsText"/>
              <w:ind w:left="423" w:hanging="423"/>
            </w:pPr>
            <w:r>
              <w:t>a)</w:t>
            </w:r>
            <w:r>
              <w:tab/>
              <w:t xml:space="preserve">pozicije proizišle iz usluge provedbe ponude odnosno prodaje financijskih instrumenata uz obvezu otkupa koje se drže najviše 5 radnih dana (članak 66. točka (d) CRR-a), i </w:t>
            </w:r>
          </w:p>
          <w:p w14:paraId="5472A79B" w14:textId="54950EAE" w:rsidR="005643EA" w:rsidRPr="00A30C4C" w:rsidRDefault="002648B0" w:rsidP="00167619">
            <w:pPr>
              <w:pStyle w:val="InstructionsText"/>
              <w:ind w:left="423" w:hanging="423"/>
            </w:pPr>
            <w:r>
              <w:t>b)</w:t>
            </w:r>
            <w:r>
              <w:tab/>
              <w:t>ulaganja koja se tretiraju kao recipročna međusobna ulaganja u skladu s člankom 66. točkom (b) CRR-a</w:t>
            </w:r>
          </w:p>
        </w:tc>
      </w:tr>
      <w:tr w:rsidR="002648B0" w:rsidRPr="00A30C4C" w14:paraId="51CF4FFC" w14:textId="77777777" w:rsidTr="00672D2A">
        <w:tc>
          <w:tcPr>
            <w:tcW w:w="1506" w:type="dxa"/>
          </w:tcPr>
          <w:p w14:paraId="5FAF3861" w14:textId="77777777" w:rsidR="002648B0" w:rsidRPr="00A30C4C" w:rsidRDefault="002648B0" w:rsidP="00FD239F">
            <w:pPr>
              <w:pStyle w:val="InstructionsText"/>
            </w:pPr>
            <w:r>
              <w:t>610</w:t>
            </w:r>
          </w:p>
        </w:tc>
        <w:tc>
          <w:tcPr>
            <w:tcW w:w="7243" w:type="dxa"/>
          </w:tcPr>
          <w:p w14:paraId="6012C5CA" w14:textId="5CD057D7" w:rsidR="005643EA" w:rsidRPr="00A30C4C" w:rsidRDefault="002648B0" w:rsidP="00FD239F">
            <w:pPr>
              <w:pStyle w:val="InstructionsText"/>
            </w:pPr>
            <w:r>
              <w:rPr>
                <w:rStyle w:val="InstructionsTabelleberschrift"/>
                <w:rFonts w:ascii="Times New Roman" w:hAnsi="Times New Roman"/>
                <w:sz w:val="24"/>
              </w:rPr>
              <w:t>17.1.2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izravnim bruto ulaganjima</w:t>
            </w:r>
          </w:p>
          <w:p w14:paraId="4B3ACD72" w14:textId="25B4CBD0" w:rsidR="005643EA" w:rsidRPr="00A30C4C" w:rsidRDefault="002648B0" w:rsidP="00FD239F">
            <w:pPr>
              <w:pStyle w:val="InstructionsText"/>
            </w:pPr>
            <w:r>
              <w:t>Članak 69. CRR-a</w:t>
            </w:r>
          </w:p>
          <w:p w14:paraId="29E859F2" w14:textId="087D2534" w:rsidR="005643EA" w:rsidRPr="00A30C4C" w:rsidRDefault="0014657C" w:rsidP="0014657C">
            <w:pPr>
              <w:pStyle w:val="InstructionsText"/>
            </w:pPr>
            <w:r>
              <w:t xml:space="preserve">Člankom 69. točkom (a) CRR-a omogućuje se prijeboj kratkih pozicija u istoj odnosnoj izloženosti ako je dospijeće kratke pozicije usklađeno </w:t>
            </w:r>
            <w:r>
              <w:lastRenderedPageBreak/>
              <w:t>s dospijećem duge pozicije ili ima preostali rok dospijeća najmanje godinu dana.</w:t>
            </w:r>
          </w:p>
        </w:tc>
      </w:tr>
      <w:tr w:rsidR="002648B0" w:rsidRPr="00A30C4C" w14:paraId="2EF64A0D" w14:textId="77777777" w:rsidTr="00672D2A">
        <w:tc>
          <w:tcPr>
            <w:tcW w:w="1506" w:type="dxa"/>
          </w:tcPr>
          <w:p w14:paraId="193C63CC" w14:textId="77777777" w:rsidR="002648B0" w:rsidRPr="00A30C4C" w:rsidRDefault="002648B0" w:rsidP="00FD239F">
            <w:pPr>
              <w:pStyle w:val="InstructionsText"/>
            </w:pPr>
            <w:r>
              <w:lastRenderedPageBreak/>
              <w:t>620</w:t>
            </w:r>
          </w:p>
        </w:tc>
        <w:tc>
          <w:tcPr>
            <w:tcW w:w="7243" w:type="dxa"/>
          </w:tcPr>
          <w:p w14:paraId="3CCD3624" w14:textId="2B0421C2" w:rsidR="005643EA" w:rsidRPr="00A30C4C" w:rsidRDefault="002648B0" w:rsidP="00FD239F">
            <w:pPr>
              <w:pStyle w:val="InstructionsText"/>
            </w:pPr>
            <w:r>
              <w:rPr>
                <w:rStyle w:val="InstructionsTabelleberschrift"/>
                <w:rFonts w:ascii="Times New Roman" w:hAnsi="Times New Roman"/>
                <w:sz w:val="24"/>
              </w:rPr>
              <w:t>17.2</w:t>
            </w:r>
            <w:r w:rsidR="00792467">
              <w:rPr>
                <w:rStyle w:val="InstructionsTabelleberschrift"/>
                <w:rFonts w:ascii="Times New Roman" w:hAnsi="Times New Roman"/>
                <w:sz w:val="24"/>
              </w:rPr>
              <w:t>.</w:t>
            </w:r>
            <w:r>
              <w:rPr>
                <w:rStyle w:val="InstructionsTabelleberschrift"/>
                <w:rFonts w:ascii="Times New Roman" w:hAnsi="Times New Roman"/>
                <w:sz w:val="24"/>
              </w:rPr>
              <w:tab/>
              <w:t>Neizravna ulaganja u dopunski kapital subjekata financijskog sektora ako institucija ima značajno ulaganje</w:t>
            </w:r>
          </w:p>
          <w:p w14:paraId="27A2E34A" w14:textId="0215332B" w:rsidR="005643EA" w:rsidRPr="00A30C4C" w:rsidRDefault="00214FDA" w:rsidP="00214FDA">
            <w:pPr>
              <w:pStyle w:val="InstructionsText"/>
            </w:pPr>
            <w:r>
              <w:t>Članak 4. stavak 1. točka 114. i članci 68. i 69. CRR-a</w:t>
            </w:r>
          </w:p>
        </w:tc>
      </w:tr>
      <w:tr w:rsidR="002648B0" w:rsidRPr="00A30C4C" w14:paraId="612D3C25" w14:textId="77777777" w:rsidTr="00672D2A">
        <w:tc>
          <w:tcPr>
            <w:tcW w:w="1506" w:type="dxa"/>
          </w:tcPr>
          <w:p w14:paraId="3983A918" w14:textId="77777777" w:rsidR="002648B0" w:rsidRPr="00A30C4C" w:rsidRDefault="002648B0" w:rsidP="00FD239F">
            <w:pPr>
              <w:pStyle w:val="InstructionsText"/>
            </w:pPr>
            <w:r>
              <w:t>630</w:t>
            </w:r>
          </w:p>
        </w:tc>
        <w:tc>
          <w:tcPr>
            <w:tcW w:w="7243" w:type="dxa"/>
          </w:tcPr>
          <w:p w14:paraId="0AFAC56E" w14:textId="42C9E51B" w:rsidR="005643EA" w:rsidRPr="00A30C4C" w:rsidRDefault="002648B0" w:rsidP="00FD239F">
            <w:pPr>
              <w:pStyle w:val="InstructionsText"/>
            </w:pPr>
            <w:r>
              <w:rPr>
                <w:rStyle w:val="InstructionsTabelleberschrift"/>
                <w:rFonts w:ascii="Times New Roman" w:hAnsi="Times New Roman"/>
                <w:sz w:val="24"/>
              </w:rPr>
              <w:t>17.2.1</w:t>
            </w:r>
            <w:r w:rsidR="00792467">
              <w:rPr>
                <w:rStyle w:val="InstructionsTabelleberschrift"/>
                <w:rFonts w:ascii="Times New Roman" w:hAnsi="Times New Roman"/>
                <w:sz w:val="24"/>
              </w:rPr>
              <w:t>.</w:t>
            </w:r>
            <w:r>
              <w:rPr>
                <w:rStyle w:val="InstructionsTabelleberschrift"/>
                <w:rFonts w:ascii="Times New Roman" w:hAnsi="Times New Roman"/>
                <w:sz w:val="24"/>
              </w:rPr>
              <w:tab/>
              <w:t>Bruto neizravna ulaganja u dopunski kapital subjekata financijskog sektora ako institucija ima značajno ulaganje</w:t>
            </w:r>
          </w:p>
          <w:p w14:paraId="5174B9EB" w14:textId="51648C68" w:rsidR="005643EA" w:rsidRPr="00A30C4C" w:rsidRDefault="00214FDA" w:rsidP="00FD239F">
            <w:pPr>
              <w:pStyle w:val="InstructionsText"/>
            </w:pPr>
            <w:r>
              <w:t>Članak 4. stavak 1. točka 114. i članci 68. i 69. CRR-a</w:t>
            </w:r>
          </w:p>
          <w:p w14:paraId="060D459D" w14:textId="77777777" w:rsidR="005643EA" w:rsidRPr="00A30C4C" w:rsidRDefault="002648B0" w:rsidP="00FD239F">
            <w:pPr>
              <w:pStyle w:val="InstructionsText"/>
            </w:pPr>
            <w:r>
              <w:t>Iznos koji se iskazuje neizravna su ulaganja u instrumente kapitala subjekata financijskog sektora u knjizi trgovanja u obliku ulaganja u indeksne vrijednosne papire. Dobiva se izračunom odnosne izloženosti prema instrumentima kapitala subjekata financijskog sektora u indeksima.</w:t>
            </w:r>
          </w:p>
          <w:p w14:paraId="46345853" w14:textId="514C7367" w:rsidR="005643EA" w:rsidRPr="00A30C4C" w:rsidRDefault="002648B0" w:rsidP="0014657C">
            <w:pPr>
              <w:pStyle w:val="InstructionsText"/>
            </w:pPr>
            <w:r>
              <w:t>Ne uključuju se ulaganja koja se tretiraju kao recipročna međusobna ulaganja u skladu s člankom 66. točkom (b) CRR-a</w:t>
            </w:r>
          </w:p>
        </w:tc>
      </w:tr>
      <w:tr w:rsidR="002648B0" w:rsidRPr="00A30C4C" w14:paraId="5A343273" w14:textId="77777777" w:rsidTr="00672D2A">
        <w:tc>
          <w:tcPr>
            <w:tcW w:w="1506" w:type="dxa"/>
          </w:tcPr>
          <w:p w14:paraId="1F694909" w14:textId="77777777" w:rsidR="002648B0" w:rsidRPr="00A30C4C" w:rsidRDefault="002648B0" w:rsidP="00FD239F">
            <w:pPr>
              <w:pStyle w:val="InstructionsText"/>
            </w:pPr>
            <w:r>
              <w:t>640</w:t>
            </w:r>
          </w:p>
        </w:tc>
        <w:tc>
          <w:tcPr>
            <w:tcW w:w="7243" w:type="dxa"/>
          </w:tcPr>
          <w:p w14:paraId="25239FD5" w14:textId="56E33EEB" w:rsidR="005643EA" w:rsidRPr="00A30C4C" w:rsidRDefault="002648B0" w:rsidP="00FD239F">
            <w:pPr>
              <w:pStyle w:val="InstructionsText"/>
            </w:pPr>
            <w:r>
              <w:rPr>
                <w:rStyle w:val="InstructionsTabelleberschrift"/>
                <w:rFonts w:ascii="Times New Roman" w:hAnsi="Times New Roman"/>
                <w:sz w:val="24"/>
              </w:rPr>
              <w:t>17.2.2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neizravnim bruto ulaganjima</w:t>
            </w:r>
          </w:p>
          <w:p w14:paraId="62B785BE" w14:textId="32239918" w:rsidR="005643EA" w:rsidRPr="00A30C4C" w:rsidRDefault="00214FDA" w:rsidP="00FD239F">
            <w:pPr>
              <w:pStyle w:val="InstructionsText"/>
            </w:pPr>
            <w:r>
              <w:t>Članak 4. stavak 1. točka 114. i članak 69. CRR-a</w:t>
            </w:r>
          </w:p>
          <w:p w14:paraId="3592C249" w14:textId="2AA87063" w:rsidR="005643EA" w:rsidRPr="00A30C4C" w:rsidRDefault="0014657C" w:rsidP="0014657C">
            <w:pPr>
              <w:pStyle w:val="InstructionsText"/>
            </w:pPr>
            <w:r>
              <w:t>Člankom 69. točkom (a) CRR-a omogućuje se prijeboj kratkih pozicija u istoj odnosnoj izloženosti ako je dospijeće kratke pozicije usklađeno s dospijećem duge pozicije ili ima preostali rok dospijeća najmanje godinu dana.</w:t>
            </w:r>
          </w:p>
        </w:tc>
      </w:tr>
      <w:tr w:rsidR="002648B0" w:rsidRPr="00A30C4C" w14:paraId="75D8109D" w14:textId="77777777" w:rsidTr="00672D2A">
        <w:tc>
          <w:tcPr>
            <w:tcW w:w="1506" w:type="dxa"/>
          </w:tcPr>
          <w:p w14:paraId="1F804E01" w14:textId="77777777" w:rsidR="002648B0" w:rsidRPr="00A30C4C" w:rsidRDefault="002648B0" w:rsidP="00FD239F">
            <w:pPr>
              <w:pStyle w:val="InstructionsText"/>
            </w:pPr>
            <w:r>
              <w:t>641</w:t>
            </w:r>
          </w:p>
        </w:tc>
        <w:tc>
          <w:tcPr>
            <w:tcW w:w="7243" w:type="dxa"/>
            <w:vAlign w:val="center"/>
          </w:tcPr>
          <w:p w14:paraId="183D493E" w14:textId="15A1F07B" w:rsidR="005643EA" w:rsidRPr="00A30C4C" w:rsidRDefault="002648B0" w:rsidP="00FD239F">
            <w:pPr>
              <w:pStyle w:val="InstructionsText"/>
            </w:pPr>
            <w:r>
              <w:rPr>
                <w:rStyle w:val="InstructionsTabelleberschrift"/>
                <w:rFonts w:ascii="Times New Roman" w:hAnsi="Times New Roman"/>
                <w:sz w:val="24"/>
              </w:rPr>
              <w:t>17.3</w:t>
            </w:r>
            <w:r w:rsidR="00792467">
              <w:rPr>
                <w:rStyle w:val="InstructionsTabelleberschrift"/>
                <w:rFonts w:ascii="Times New Roman" w:hAnsi="Times New Roman"/>
                <w:sz w:val="24"/>
              </w:rPr>
              <w:t>.</w:t>
            </w:r>
            <w:r>
              <w:rPr>
                <w:rStyle w:val="InstructionsTabelleberschrift"/>
                <w:rFonts w:ascii="Times New Roman" w:hAnsi="Times New Roman"/>
                <w:sz w:val="24"/>
              </w:rPr>
              <w:tab/>
              <w:t>Sintetska ulaganja u dopunski kapital subjekata financijskog sektora ako institucija ima značajno ulaganje</w:t>
            </w:r>
          </w:p>
          <w:p w14:paraId="022F90F1" w14:textId="5B47A7FA" w:rsidR="005643EA" w:rsidRPr="00A30C4C" w:rsidRDefault="00214FDA" w:rsidP="00FD239F">
            <w:pPr>
              <w:pStyle w:val="InstructionsText"/>
              <w:rPr>
                <w:rStyle w:val="InstructionsTabelleberschrift"/>
                <w:rFonts w:ascii="Times New Roman" w:hAnsi="Times New Roman"/>
                <w:b w:val="0"/>
                <w:bCs w:val="0"/>
                <w:sz w:val="24"/>
                <w:u w:val="none"/>
              </w:rPr>
            </w:pPr>
            <w:r>
              <w:t>Članak 4. stavak 1. točka 126. i članci 68. i 69. CRR-a</w:t>
            </w:r>
          </w:p>
        </w:tc>
      </w:tr>
      <w:tr w:rsidR="002648B0" w:rsidRPr="00A30C4C" w14:paraId="2A4CB4E9" w14:textId="77777777" w:rsidTr="00672D2A">
        <w:tc>
          <w:tcPr>
            <w:tcW w:w="1506" w:type="dxa"/>
          </w:tcPr>
          <w:p w14:paraId="7D025789" w14:textId="77777777" w:rsidR="002648B0" w:rsidRPr="00A30C4C" w:rsidRDefault="002648B0" w:rsidP="00FD239F">
            <w:pPr>
              <w:pStyle w:val="InstructionsText"/>
            </w:pPr>
            <w:r>
              <w:t>642</w:t>
            </w:r>
          </w:p>
        </w:tc>
        <w:tc>
          <w:tcPr>
            <w:tcW w:w="7243" w:type="dxa"/>
            <w:vAlign w:val="center"/>
          </w:tcPr>
          <w:p w14:paraId="5DE52751" w14:textId="254A33BE" w:rsidR="005643EA" w:rsidRPr="00A30C4C" w:rsidRDefault="002648B0" w:rsidP="00FD239F">
            <w:pPr>
              <w:pStyle w:val="InstructionsText"/>
            </w:pPr>
            <w:r>
              <w:rPr>
                <w:rStyle w:val="InstructionsTabelleberschrift"/>
                <w:rFonts w:ascii="Times New Roman" w:hAnsi="Times New Roman"/>
                <w:sz w:val="24"/>
              </w:rPr>
              <w:t>17.3.1</w:t>
            </w:r>
            <w:r w:rsidR="00792467">
              <w:rPr>
                <w:rStyle w:val="InstructionsTabelleberschrift"/>
                <w:rFonts w:ascii="Times New Roman" w:hAnsi="Times New Roman"/>
                <w:sz w:val="24"/>
              </w:rPr>
              <w:t>.</w:t>
            </w:r>
            <w:r>
              <w:rPr>
                <w:rStyle w:val="InstructionsTabelleberschrift"/>
                <w:rFonts w:ascii="Times New Roman" w:hAnsi="Times New Roman"/>
                <w:sz w:val="24"/>
              </w:rPr>
              <w:tab/>
              <w:t>Bruto sintetska ulaganja u dopunski kapital subjekata financijskog sektora ako institucija ima značajno ulaganje</w:t>
            </w:r>
          </w:p>
          <w:p w14:paraId="3B2234B4" w14:textId="44849788" w:rsidR="005643EA" w:rsidRPr="00A30C4C" w:rsidRDefault="00214FDA" w:rsidP="00214FDA">
            <w:pPr>
              <w:pStyle w:val="InstructionsText"/>
              <w:rPr>
                <w:rStyle w:val="InstructionsTabelleberschrift"/>
                <w:rFonts w:ascii="Times New Roman" w:hAnsi="Times New Roman"/>
                <w:b w:val="0"/>
                <w:bCs w:val="0"/>
                <w:sz w:val="24"/>
                <w:u w:val="none"/>
              </w:rPr>
            </w:pPr>
            <w:r>
              <w:t>Članak 4. stavak 1. točka 126. i članci 68. i 69. CRR-a</w:t>
            </w:r>
          </w:p>
        </w:tc>
      </w:tr>
      <w:tr w:rsidR="002648B0" w:rsidRPr="00A30C4C" w14:paraId="46148E6D" w14:textId="77777777" w:rsidTr="00672D2A">
        <w:tc>
          <w:tcPr>
            <w:tcW w:w="1506" w:type="dxa"/>
          </w:tcPr>
          <w:p w14:paraId="5BC5081D" w14:textId="77777777" w:rsidR="002648B0" w:rsidRPr="00A30C4C" w:rsidRDefault="002648B0" w:rsidP="00FD239F">
            <w:pPr>
              <w:pStyle w:val="InstructionsText"/>
            </w:pPr>
            <w:r>
              <w:t>643</w:t>
            </w:r>
          </w:p>
        </w:tc>
        <w:tc>
          <w:tcPr>
            <w:tcW w:w="7243" w:type="dxa"/>
            <w:vAlign w:val="center"/>
          </w:tcPr>
          <w:p w14:paraId="30D52697" w14:textId="484F2A63" w:rsidR="005643EA" w:rsidRPr="00A30C4C" w:rsidRDefault="002648B0" w:rsidP="00FD239F">
            <w:pPr>
              <w:pStyle w:val="InstructionsText"/>
            </w:pPr>
            <w:r>
              <w:rPr>
                <w:rStyle w:val="InstructionsTabelleberschrift"/>
                <w:rFonts w:ascii="Times New Roman" w:hAnsi="Times New Roman"/>
                <w:sz w:val="24"/>
              </w:rPr>
              <w:t>17.3.2</w:t>
            </w:r>
            <w:r w:rsidR="00792467">
              <w:rPr>
                <w:rStyle w:val="InstructionsTabelleberschrift"/>
                <w:rFonts w:ascii="Times New Roman" w:hAnsi="Times New Roman"/>
                <w:sz w:val="24"/>
              </w:rPr>
              <w:t>.</w:t>
            </w:r>
            <w:r>
              <w:rPr>
                <w:rStyle w:val="InstructionsTabelleberschrift"/>
                <w:rFonts w:ascii="Times New Roman" w:hAnsi="Times New Roman"/>
                <w:sz w:val="24"/>
              </w:rPr>
              <w:tab/>
              <w:t>(–) Odobreni prijeboj kratkih pozicija prethodno uključenim sintetskim bruto ulaganjima</w:t>
            </w:r>
          </w:p>
          <w:p w14:paraId="7C363177" w14:textId="6C5D3572" w:rsidR="005643EA" w:rsidRPr="00A30C4C" w:rsidRDefault="00214FDA" w:rsidP="00FD239F">
            <w:pPr>
              <w:pStyle w:val="InstructionsText"/>
              <w:rPr>
                <w:rStyle w:val="InstructionsTabelleberschrift"/>
                <w:rFonts w:ascii="Times New Roman" w:hAnsi="Times New Roman"/>
                <w:b w:val="0"/>
                <w:bCs w:val="0"/>
                <w:sz w:val="24"/>
                <w:u w:val="none"/>
              </w:rPr>
            </w:pPr>
            <w:r>
              <w:t>Članak 4. stavak 1. točka 126. i članak 69. CRR-a</w:t>
            </w:r>
          </w:p>
        </w:tc>
      </w:tr>
      <w:tr w:rsidR="002648B0" w:rsidRPr="00A30C4C" w14:paraId="2826F4E0" w14:textId="77777777" w:rsidTr="00672D2A">
        <w:tc>
          <w:tcPr>
            <w:tcW w:w="1506" w:type="dxa"/>
          </w:tcPr>
          <w:p w14:paraId="1DA8D087" w14:textId="77777777" w:rsidR="002648B0" w:rsidRPr="00A30C4C" w:rsidRDefault="002648B0" w:rsidP="00FD239F">
            <w:pPr>
              <w:pStyle w:val="InstructionsText"/>
            </w:pPr>
            <w:r>
              <w:t>650</w:t>
            </w:r>
          </w:p>
        </w:tc>
        <w:tc>
          <w:tcPr>
            <w:tcW w:w="7243" w:type="dxa"/>
          </w:tcPr>
          <w:p w14:paraId="70549837" w14:textId="31EB357D" w:rsidR="005643EA" w:rsidRPr="00A30C4C" w:rsidRDefault="002648B0" w:rsidP="00FD239F">
            <w:pPr>
              <w:pStyle w:val="InstructionsText"/>
            </w:pPr>
            <w:r>
              <w:rPr>
                <w:rStyle w:val="InstructionsTabelleberschrift"/>
                <w:rFonts w:ascii="Times New Roman" w:hAnsi="Times New Roman"/>
                <w:sz w:val="24"/>
              </w:rPr>
              <w:t>18</w:t>
            </w:r>
            <w:r w:rsidR="00792467">
              <w:rPr>
                <w:rStyle w:val="InstructionsTabelleberschrift"/>
                <w:rFonts w:ascii="Times New Roman" w:hAnsi="Times New Roman"/>
                <w:sz w:val="24"/>
              </w:rPr>
              <w:t>.</w:t>
            </w:r>
            <w:r>
              <w:rPr>
                <w:rStyle w:val="InstructionsTabelleberschrift"/>
                <w:rFonts w:ascii="Times New Roman" w:hAnsi="Times New Roman"/>
                <w:sz w:val="24"/>
              </w:rPr>
              <w:t xml:space="preserve"> Izloženosti ulaganja u redovni osnovni kapital subjekata financijskog sektora ponderirane rizikom koja se ne odbijaju od redovnog osnovnog kapitala institucije</w:t>
            </w:r>
          </w:p>
          <w:p w14:paraId="786079A0" w14:textId="5AB99194" w:rsidR="005643EA" w:rsidRPr="00A30C4C" w:rsidRDefault="002648B0" w:rsidP="00FD239F">
            <w:pPr>
              <w:pStyle w:val="InstructionsText"/>
            </w:pPr>
            <w:r>
              <w:t>Članak 46. stavak 4., članak 48. stavak 4. i članak 49. stavak 4. CRR-a</w:t>
            </w:r>
          </w:p>
        </w:tc>
      </w:tr>
      <w:tr w:rsidR="002648B0" w:rsidRPr="00A30C4C" w14:paraId="74B30FC8" w14:textId="77777777" w:rsidTr="00672D2A">
        <w:tc>
          <w:tcPr>
            <w:tcW w:w="1506" w:type="dxa"/>
          </w:tcPr>
          <w:p w14:paraId="798CF1B0" w14:textId="77777777" w:rsidR="002648B0" w:rsidRPr="00A30C4C" w:rsidRDefault="002648B0" w:rsidP="00FD239F">
            <w:pPr>
              <w:pStyle w:val="InstructionsText"/>
            </w:pPr>
            <w:r>
              <w:t>660</w:t>
            </w:r>
          </w:p>
        </w:tc>
        <w:tc>
          <w:tcPr>
            <w:tcW w:w="7243" w:type="dxa"/>
          </w:tcPr>
          <w:p w14:paraId="2F20F59C" w14:textId="7C3BF22A" w:rsidR="005643EA" w:rsidRPr="00A30C4C" w:rsidRDefault="002648B0" w:rsidP="00FD239F">
            <w:pPr>
              <w:pStyle w:val="InstructionsText"/>
            </w:pPr>
            <w:r>
              <w:rPr>
                <w:rStyle w:val="InstructionsTabelleberschrift"/>
                <w:rFonts w:ascii="Times New Roman" w:hAnsi="Times New Roman"/>
                <w:sz w:val="24"/>
              </w:rPr>
              <w:t>19</w:t>
            </w:r>
            <w:r w:rsidR="00792467">
              <w:rPr>
                <w:rStyle w:val="InstructionsTabelleberschrift"/>
                <w:rFonts w:ascii="Times New Roman" w:hAnsi="Times New Roman"/>
                <w:sz w:val="24"/>
              </w:rPr>
              <w:t>.</w:t>
            </w:r>
            <w:r>
              <w:rPr>
                <w:rStyle w:val="InstructionsTabelleberschrift"/>
                <w:rFonts w:ascii="Times New Roman" w:hAnsi="Times New Roman"/>
                <w:sz w:val="24"/>
              </w:rPr>
              <w:t xml:space="preserve"> Izloženosti ulaganja u dodatni osnovni kapital subjekata financijskog sektora ponderirane rizikom koja se ne odbijaju od dodatnog osnovnog kapitala institucije</w:t>
            </w:r>
          </w:p>
          <w:p w14:paraId="1E7B2123" w14:textId="1C12BA14" w:rsidR="005643EA" w:rsidRPr="00A30C4C" w:rsidRDefault="002648B0" w:rsidP="00FD239F">
            <w:pPr>
              <w:pStyle w:val="InstructionsText"/>
            </w:pPr>
            <w:r>
              <w:t>Članak 60. stavak 4. CRR-a</w:t>
            </w:r>
          </w:p>
        </w:tc>
      </w:tr>
      <w:tr w:rsidR="002648B0" w:rsidRPr="00A30C4C" w14:paraId="2CDAAC1B" w14:textId="77777777" w:rsidTr="00672D2A">
        <w:tc>
          <w:tcPr>
            <w:tcW w:w="1506" w:type="dxa"/>
          </w:tcPr>
          <w:p w14:paraId="14716438" w14:textId="77777777" w:rsidR="002648B0" w:rsidRPr="00A30C4C" w:rsidRDefault="002648B0" w:rsidP="00FD239F">
            <w:pPr>
              <w:pStyle w:val="InstructionsText"/>
            </w:pPr>
            <w:r>
              <w:t>670</w:t>
            </w:r>
          </w:p>
        </w:tc>
        <w:tc>
          <w:tcPr>
            <w:tcW w:w="7243" w:type="dxa"/>
          </w:tcPr>
          <w:p w14:paraId="5D1E75DC" w14:textId="0F7E09CA" w:rsidR="005643EA" w:rsidRPr="00A30C4C" w:rsidRDefault="002648B0" w:rsidP="00FD239F">
            <w:pPr>
              <w:pStyle w:val="InstructionsText"/>
            </w:pPr>
            <w:r>
              <w:rPr>
                <w:rStyle w:val="InstructionsTabelleberschrift"/>
                <w:rFonts w:ascii="Times New Roman" w:hAnsi="Times New Roman"/>
                <w:sz w:val="24"/>
              </w:rPr>
              <w:t>20</w:t>
            </w:r>
            <w:r w:rsidR="00792467">
              <w:rPr>
                <w:rStyle w:val="InstructionsTabelleberschrift"/>
                <w:rFonts w:ascii="Times New Roman" w:hAnsi="Times New Roman"/>
                <w:sz w:val="24"/>
              </w:rPr>
              <w:t>.</w:t>
            </w:r>
            <w:r>
              <w:rPr>
                <w:rStyle w:val="InstructionsTabelleberschrift"/>
                <w:rFonts w:ascii="Times New Roman" w:hAnsi="Times New Roman"/>
                <w:sz w:val="24"/>
              </w:rPr>
              <w:t xml:space="preserve"> Izloženosti ulaganja u dopunski kapital subjekata financijskog sektora ponderirane rizikom koja se ne odbijaju od dopunskog kapitala institucije</w:t>
            </w:r>
          </w:p>
          <w:p w14:paraId="749C57A1" w14:textId="1579468B" w:rsidR="005643EA" w:rsidRPr="00A30C4C" w:rsidRDefault="002648B0" w:rsidP="00FD239F">
            <w:pPr>
              <w:pStyle w:val="InstructionsText"/>
            </w:pPr>
            <w:r>
              <w:lastRenderedPageBreak/>
              <w:t>Članak 70. stavak 4. CRR-a</w:t>
            </w:r>
          </w:p>
        </w:tc>
      </w:tr>
      <w:tr w:rsidR="002648B0" w:rsidRPr="00A30C4C" w14:paraId="0A74B934" w14:textId="77777777" w:rsidTr="00672D2A">
        <w:tc>
          <w:tcPr>
            <w:tcW w:w="1506" w:type="dxa"/>
          </w:tcPr>
          <w:p w14:paraId="5C0961F2" w14:textId="77777777" w:rsidR="002648B0" w:rsidRPr="00A30C4C" w:rsidRDefault="002648B0" w:rsidP="00FD239F">
            <w:pPr>
              <w:pStyle w:val="InstructionsText"/>
            </w:pPr>
            <w:r>
              <w:lastRenderedPageBreak/>
              <w:t>680</w:t>
            </w:r>
          </w:p>
        </w:tc>
        <w:tc>
          <w:tcPr>
            <w:tcW w:w="7243" w:type="dxa"/>
          </w:tcPr>
          <w:p w14:paraId="6EFF6E75" w14:textId="75BF924A" w:rsidR="005643EA" w:rsidRPr="00A30C4C" w:rsidRDefault="002648B0" w:rsidP="00FD239F">
            <w:pPr>
              <w:pStyle w:val="InstructionsText"/>
            </w:pPr>
            <w:r>
              <w:rPr>
                <w:rStyle w:val="InstructionsTabelleberschrift"/>
                <w:rFonts w:ascii="Times New Roman" w:hAnsi="Times New Roman"/>
                <w:sz w:val="24"/>
              </w:rPr>
              <w:t>21</w:t>
            </w:r>
            <w:r w:rsidR="00792467">
              <w:rPr>
                <w:rStyle w:val="InstructionsTabelleberschrift"/>
                <w:rFonts w:ascii="Times New Roman" w:hAnsi="Times New Roman"/>
                <w:sz w:val="24"/>
              </w:rPr>
              <w:t>.</w:t>
            </w:r>
            <w:r>
              <w:rPr>
                <w:rStyle w:val="InstructionsTabelleberschrift"/>
                <w:rFonts w:ascii="Times New Roman" w:hAnsi="Times New Roman"/>
                <w:sz w:val="24"/>
              </w:rPr>
              <w:tab/>
              <w:t>Ulaganja u instrumente redovnog osnovnog kapitala subjekata financijskog sektora ako institucija nema značajno ulaganje, privremeno izuzeta</w:t>
            </w:r>
          </w:p>
          <w:p w14:paraId="583D6DC5" w14:textId="6893FB97" w:rsidR="005643EA" w:rsidRPr="00A30C4C" w:rsidRDefault="002648B0" w:rsidP="00FD239F">
            <w:pPr>
              <w:pStyle w:val="InstructionsText"/>
            </w:pPr>
            <w:r>
              <w:t>Članak 79. CRR-a</w:t>
            </w:r>
          </w:p>
          <w:p w14:paraId="47A914BA" w14:textId="1027B96F" w:rsidR="005643EA" w:rsidRPr="00A30C4C" w:rsidRDefault="002648B0" w:rsidP="00FD239F">
            <w:pPr>
              <w:pStyle w:val="InstructionsText"/>
            </w:pPr>
            <w:r>
              <w:t>Nadležno tijelo može privremeno primijeniti izuzeće od odredbi o odbitku od redovnog osnovnog kapitala koje se primjenjuju na ulaganja u instrumente specifičnog subjekta financijskog sektora ako to smatra ulaganjem radi financijske pomoći u svrhu reorganizacije i spašavanja tog subjekta.</w:t>
            </w:r>
          </w:p>
          <w:p w14:paraId="3C8D0E92" w14:textId="5F01882D" w:rsidR="005643EA" w:rsidRPr="00A30C4C" w:rsidRDefault="002648B0" w:rsidP="0014657C">
            <w:pPr>
              <w:pStyle w:val="InstructionsText"/>
            </w:pPr>
            <w:r>
              <w:t>Potrebno je napomenuti da se ti instrumenti iskazuju i u stavci 12.1.</w:t>
            </w:r>
          </w:p>
        </w:tc>
      </w:tr>
      <w:tr w:rsidR="002648B0" w:rsidRPr="00A30C4C" w14:paraId="7E3CED47" w14:textId="77777777" w:rsidTr="00672D2A">
        <w:tc>
          <w:tcPr>
            <w:tcW w:w="1506" w:type="dxa"/>
          </w:tcPr>
          <w:p w14:paraId="3AF1C247" w14:textId="77777777" w:rsidR="002648B0" w:rsidRPr="00A30C4C" w:rsidRDefault="002648B0" w:rsidP="00FD239F">
            <w:pPr>
              <w:pStyle w:val="InstructionsText"/>
            </w:pPr>
            <w:r>
              <w:t>690</w:t>
            </w:r>
          </w:p>
        </w:tc>
        <w:tc>
          <w:tcPr>
            <w:tcW w:w="7243" w:type="dxa"/>
          </w:tcPr>
          <w:p w14:paraId="67B6F515" w14:textId="00F2C260" w:rsidR="005643EA" w:rsidRPr="00A30C4C" w:rsidRDefault="002648B0" w:rsidP="00FD239F">
            <w:pPr>
              <w:pStyle w:val="InstructionsText"/>
            </w:pPr>
            <w:r>
              <w:rPr>
                <w:rStyle w:val="InstructionsTabelleberschrift"/>
                <w:rFonts w:ascii="Times New Roman" w:hAnsi="Times New Roman"/>
                <w:sz w:val="24"/>
              </w:rPr>
              <w:t>22</w:t>
            </w:r>
            <w:r w:rsidR="00792467">
              <w:rPr>
                <w:rStyle w:val="InstructionsTabelleberschrift"/>
                <w:rFonts w:ascii="Times New Roman" w:hAnsi="Times New Roman"/>
                <w:sz w:val="24"/>
              </w:rPr>
              <w:t>.</w:t>
            </w:r>
            <w:r>
              <w:rPr>
                <w:rStyle w:val="InstructionsTabelleberschrift"/>
                <w:rFonts w:ascii="Times New Roman" w:hAnsi="Times New Roman"/>
                <w:sz w:val="24"/>
              </w:rPr>
              <w:tab/>
              <w:t>Ulaganja u instrumente redovnog osnovnog kapitala subjekata financijskog sektora ako institucija ima značajno ulaganje, privremeno izuzeta</w:t>
            </w:r>
          </w:p>
          <w:p w14:paraId="70E517EB" w14:textId="58D210AB" w:rsidR="005643EA" w:rsidRPr="00A30C4C" w:rsidRDefault="002648B0" w:rsidP="00FD239F">
            <w:pPr>
              <w:pStyle w:val="InstructionsText"/>
            </w:pPr>
            <w:r>
              <w:t>Članak 79. CRR-a</w:t>
            </w:r>
          </w:p>
          <w:p w14:paraId="1FD384CA" w14:textId="0DD666A9" w:rsidR="005643EA" w:rsidRPr="00A30C4C" w:rsidRDefault="002648B0" w:rsidP="00FD239F">
            <w:pPr>
              <w:pStyle w:val="InstructionsText"/>
            </w:pPr>
            <w:r>
              <w:t>Nadležno tijelo može primijeniti izuzeće od odredbi o odbitku od redovnog osnovnog kapitala koje se primjenjuju na ulaganja u instrumente specifičnog subjekta financijskog sektora ako to smatra ulaganjem radi financijske pomoći u svrhu reorganizacije i spašavanja tog subjekta.</w:t>
            </w:r>
          </w:p>
          <w:p w14:paraId="1099FAF3" w14:textId="752D2281" w:rsidR="005643EA" w:rsidRPr="00A30C4C" w:rsidRDefault="002648B0" w:rsidP="00FD239F">
            <w:pPr>
              <w:pStyle w:val="InstructionsText"/>
            </w:pPr>
            <w:r>
              <w:t>Potrebno je napomenuti da se ti instrumenti iskazuju i u stavci 15.1.</w:t>
            </w:r>
          </w:p>
        </w:tc>
      </w:tr>
      <w:tr w:rsidR="002648B0" w:rsidRPr="00A30C4C" w14:paraId="453D50CC" w14:textId="77777777" w:rsidTr="00672D2A">
        <w:tc>
          <w:tcPr>
            <w:tcW w:w="1506" w:type="dxa"/>
          </w:tcPr>
          <w:p w14:paraId="0267B50F" w14:textId="77777777" w:rsidR="002648B0" w:rsidRPr="00A30C4C" w:rsidRDefault="002648B0" w:rsidP="00FD239F">
            <w:pPr>
              <w:pStyle w:val="InstructionsText"/>
            </w:pPr>
            <w:r>
              <w:t>700</w:t>
            </w:r>
          </w:p>
        </w:tc>
        <w:tc>
          <w:tcPr>
            <w:tcW w:w="7243" w:type="dxa"/>
          </w:tcPr>
          <w:p w14:paraId="5F99A217" w14:textId="304BFD9B" w:rsidR="005643EA" w:rsidRPr="00A30C4C" w:rsidRDefault="002648B0" w:rsidP="00FD239F">
            <w:pPr>
              <w:pStyle w:val="InstructionsText"/>
            </w:pPr>
            <w:r>
              <w:rPr>
                <w:rStyle w:val="InstructionsTabelleberschrift"/>
                <w:rFonts w:ascii="Times New Roman" w:hAnsi="Times New Roman"/>
                <w:sz w:val="24"/>
              </w:rPr>
              <w:t>23</w:t>
            </w:r>
            <w:r w:rsidR="00792467">
              <w:rPr>
                <w:rStyle w:val="InstructionsTabelleberschrift"/>
                <w:rFonts w:ascii="Times New Roman" w:hAnsi="Times New Roman"/>
                <w:sz w:val="24"/>
              </w:rPr>
              <w:t>.</w:t>
            </w:r>
            <w:r>
              <w:rPr>
                <w:rStyle w:val="InstructionsTabelleberschrift"/>
                <w:rFonts w:ascii="Times New Roman" w:hAnsi="Times New Roman"/>
                <w:sz w:val="24"/>
              </w:rPr>
              <w:tab/>
              <w:t>Ulaganja u instrumente dodatnog osnovnog kapitala subjekata financijskog sektora ako institucija nema značajno ulaganje, privremeno izuzeta</w:t>
            </w:r>
          </w:p>
          <w:p w14:paraId="23EC3B8E" w14:textId="5F91A925" w:rsidR="005643EA" w:rsidRPr="00A30C4C" w:rsidRDefault="002648B0" w:rsidP="00FD239F">
            <w:pPr>
              <w:pStyle w:val="InstructionsText"/>
            </w:pPr>
            <w:r>
              <w:t>Članak 79. CRR-a</w:t>
            </w:r>
          </w:p>
          <w:p w14:paraId="38B56FFB" w14:textId="77777777" w:rsidR="005643EA" w:rsidRPr="00A30C4C" w:rsidRDefault="002648B0" w:rsidP="00FD239F">
            <w:pPr>
              <w:pStyle w:val="InstructionsText"/>
            </w:pPr>
            <w:r>
              <w:t>Nadležno tijelo može privremeno primijeniti izuzeće od odredbi o odbitku od dodatnog osnovnog kapitala koje se primjenjuju na ulaganja u instrumente specifičnog subjekta financijskog sektora ako to smatra ulaganjem radi financijske pomoći u svrhu reorganizacije i spašavanja tog subjekta.</w:t>
            </w:r>
          </w:p>
          <w:p w14:paraId="2395CF45" w14:textId="77777777" w:rsidR="005643EA" w:rsidRPr="00A30C4C" w:rsidRDefault="002648B0" w:rsidP="00FD239F">
            <w:pPr>
              <w:pStyle w:val="InstructionsText"/>
            </w:pPr>
            <w:r>
              <w:t>Potrebno je napomenuti da se ti instrumenti iskazuju i u stavci 13.1.</w:t>
            </w:r>
          </w:p>
        </w:tc>
      </w:tr>
      <w:tr w:rsidR="002648B0" w:rsidRPr="00A30C4C" w14:paraId="7DDAE296" w14:textId="77777777" w:rsidTr="00672D2A">
        <w:tc>
          <w:tcPr>
            <w:tcW w:w="1506" w:type="dxa"/>
          </w:tcPr>
          <w:p w14:paraId="5C518DEE" w14:textId="77777777" w:rsidR="002648B0" w:rsidRPr="00A30C4C" w:rsidRDefault="002648B0" w:rsidP="00FD239F">
            <w:pPr>
              <w:pStyle w:val="InstructionsText"/>
            </w:pPr>
            <w:r>
              <w:t>710</w:t>
            </w:r>
          </w:p>
        </w:tc>
        <w:tc>
          <w:tcPr>
            <w:tcW w:w="7243" w:type="dxa"/>
          </w:tcPr>
          <w:p w14:paraId="3FBECBE9" w14:textId="4A8FB402" w:rsidR="005643EA" w:rsidRPr="00A30C4C" w:rsidRDefault="002648B0" w:rsidP="00FD239F">
            <w:pPr>
              <w:pStyle w:val="InstructionsText"/>
            </w:pPr>
            <w:r>
              <w:rPr>
                <w:rStyle w:val="InstructionsTabelleberschrift"/>
                <w:rFonts w:ascii="Times New Roman" w:hAnsi="Times New Roman"/>
                <w:sz w:val="24"/>
              </w:rPr>
              <w:t>24</w:t>
            </w:r>
            <w:r w:rsidR="00792467">
              <w:rPr>
                <w:rStyle w:val="InstructionsTabelleberschrift"/>
                <w:rFonts w:ascii="Times New Roman" w:hAnsi="Times New Roman"/>
                <w:sz w:val="24"/>
              </w:rPr>
              <w:t>.</w:t>
            </w:r>
            <w:r>
              <w:rPr>
                <w:rStyle w:val="InstructionsTabelleberschrift"/>
                <w:rFonts w:ascii="Times New Roman" w:hAnsi="Times New Roman"/>
                <w:sz w:val="24"/>
              </w:rPr>
              <w:tab/>
              <w:t>Ulaganja u instrumente dodatnog osnovnog kapitala subjekata financijskog sektora ako institucija ima značajno ulaganje, privremeno izuzeta</w:t>
            </w:r>
          </w:p>
          <w:p w14:paraId="15A18B6E" w14:textId="7212DB10" w:rsidR="005643EA" w:rsidRPr="00A30C4C" w:rsidRDefault="002648B0" w:rsidP="00FD239F">
            <w:pPr>
              <w:pStyle w:val="InstructionsText"/>
            </w:pPr>
            <w:r>
              <w:t>Članak 79. CRR-a</w:t>
            </w:r>
          </w:p>
          <w:p w14:paraId="716EB002" w14:textId="77777777" w:rsidR="005643EA" w:rsidRPr="00A30C4C" w:rsidRDefault="002648B0" w:rsidP="00FD239F">
            <w:pPr>
              <w:pStyle w:val="InstructionsText"/>
            </w:pPr>
            <w:r>
              <w:t>Nadležno tijelo može privremeno primijeniti izuzeće od odredbi o odbitku od dodatnog osnovnog kapitala koje se primjenjuju na ulaganja u instrumente specifičnog subjekta financijskog sektora ako to smatra ulaganjem radi financijske pomoći u svrhu reorganizacije i spašavanja tog subjekta.</w:t>
            </w:r>
          </w:p>
          <w:p w14:paraId="3E632DA5" w14:textId="77777777" w:rsidR="005643EA" w:rsidRPr="00A30C4C" w:rsidRDefault="002648B0" w:rsidP="00FD239F">
            <w:pPr>
              <w:pStyle w:val="InstructionsText"/>
            </w:pPr>
            <w:r>
              <w:t>Potrebno je napomenuti da se ti instrumenti iskazuju i u stavci 16.1.</w:t>
            </w:r>
          </w:p>
        </w:tc>
      </w:tr>
      <w:tr w:rsidR="002648B0" w:rsidRPr="00A30C4C" w14:paraId="64BA4182" w14:textId="77777777" w:rsidTr="00672D2A">
        <w:tc>
          <w:tcPr>
            <w:tcW w:w="1506" w:type="dxa"/>
          </w:tcPr>
          <w:p w14:paraId="513397EA" w14:textId="77777777" w:rsidR="002648B0" w:rsidRPr="00A30C4C" w:rsidRDefault="002648B0" w:rsidP="00FD239F">
            <w:pPr>
              <w:pStyle w:val="InstructionsText"/>
            </w:pPr>
            <w:r>
              <w:lastRenderedPageBreak/>
              <w:t>720</w:t>
            </w:r>
          </w:p>
        </w:tc>
        <w:tc>
          <w:tcPr>
            <w:tcW w:w="7243" w:type="dxa"/>
          </w:tcPr>
          <w:p w14:paraId="4357DCED" w14:textId="2039BA20" w:rsidR="005643EA" w:rsidRPr="00A30C4C" w:rsidRDefault="002648B0" w:rsidP="00FD239F">
            <w:pPr>
              <w:pStyle w:val="InstructionsText"/>
            </w:pPr>
            <w:r>
              <w:rPr>
                <w:rStyle w:val="InstructionsTabelleberschrift"/>
                <w:rFonts w:ascii="Times New Roman" w:hAnsi="Times New Roman"/>
                <w:sz w:val="24"/>
              </w:rPr>
              <w:t>25</w:t>
            </w:r>
            <w:r w:rsidR="00792467">
              <w:rPr>
                <w:rStyle w:val="InstructionsTabelleberschrift"/>
                <w:rFonts w:ascii="Times New Roman" w:hAnsi="Times New Roman"/>
                <w:sz w:val="24"/>
              </w:rPr>
              <w:t>.</w:t>
            </w:r>
            <w:r>
              <w:rPr>
                <w:rStyle w:val="InstructionsTabelleberschrift"/>
                <w:rFonts w:ascii="Times New Roman" w:hAnsi="Times New Roman"/>
                <w:sz w:val="24"/>
              </w:rPr>
              <w:tab/>
              <w:t>Ulaganja u instrumente dopunskog kapitala subjekata financijskog sektora ako institucija nema značajno ulaganje, privremeno izuzeta</w:t>
            </w:r>
          </w:p>
          <w:p w14:paraId="1CC33FAD" w14:textId="586AE0DC" w:rsidR="005643EA" w:rsidRPr="00A30C4C" w:rsidRDefault="002648B0" w:rsidP="00FD239F">
            <w:pPr>
              <w:pStyle w:val="InstructionsText"/>
            </w:pPr>
            <w:r>
              <w:t>Članak 79. CRR-a</w:t>
            </w:r>
          </w:p>
          <w:p w14:paraId="096E7F95" w14:textId="17412F11" w:rsidR="005643EA" w:rsidRPr="00A30C4C" w:rsidRDefault="002648B0" w:rsidP="00FD239F">
            <w:pPr>
              <w:pStyle w:val="InstructionsText"/>
            </w:pPr>
            <w:r>
              <w:t>Nadležno tijelo može primijeniti izuzeće od odredbi o odbitku od dopunskog kapitala koje se primjenjuju na ulaganja u instrumente specifičnog subjekta financijskog sektora ako to smatra ulaganjem radi financijske pomoći u svrhu reorganizacije i spašavanja tog subjekta.</w:t>
            </w:r>
          </w:p>
          <w:p w14:paraId="6F211F4A" w14:textId="3AB75C2B" w:rsidR="005643EA" w:rsidRPr="00A30C4C" w:rsidRDefault="002648B0" w:rsidP="00FD239F">
            <w:pPr>
              <w:pStyle w:val="InstructionsText"/>
            </w:pPr>
            <w:r>
              <w:t>Potrebno je napomenuti da se ti instrumenti iskazuju i u stavci 14.1.</w:t>
            </w:r>
          </w:p>
        </w:tc>
      </w:tr>
      <w:tr w:rsidR="002648B0" w:rsidRPr="00A30C4C" w14:paraId="5675C4A3" w14:textId="77777777" w:rsidTr="00672D2A">
        <w:tc>
          <w:tcPr>
            <w:tcW w:w="1506" w:type="dxa"/>
          </w:tcPr>
          <w:p w14:paraId="586FFA28" w14:textId="77777777" w:rsidR="002648B0" w:rsidRPr="00A30C4C" w:rsidRDefault="002648B0" w:rsidP="00FD239F">
            <w:pPr>
              <w:pStyle w:val="InstructionsText"/>
            </w:pPr>
            <w:r>
              <w:t>730</w:t>
            </w:r>
          </w:p>
        </w:tc>
        <w:tc>
          <w:tcPr>
            <w:tcW w:w="7243" w:type="dxa"/>
          </w:tcPr>
          <w:p w14:paraId="5ADCB9E1" w14:textId="2396CE50" w:rsidR="005643EA" w:rsidRPr="00A30C4C" w:rsidRDefault="002648B0" w:rsidP="00FD239F">
            <w:pPr>
              <w:pStyle w:val="InstructionsText"/>
            </w:pPr>
            <w:r>
              <w:rPr>
                <w:rStyle w:val="InstructionsTabelleberschrift"/>
                <w:rFonts w:ascii="Times New Roman" w:hAnsi="Times New Roman"/>
                <w:sz w:val="24"/>
              </w:rPr>
              <w:t>26</w:t>
            </w:r>
            <w:r w:rsidR="00792467">
              <w:rPr>
                <w:rStyle w:val="InstructionsTabelleberschrift"/>
                <w:rFonts w:ascii="Times New Roman" w:hAnsi="Times New Roman"/>
                <w:sz w:val="24"/>
              </w:rPr>
              <w:t>..</w:t>
            </w:r>
            <w:r>
              <w:rPr>
                <w:rStyle w:val="InstructionsTabelleberschrift"/>
                <w:rFonts w:ascii="Times New Roman" w:hAnsi="Times New Roman"/>
                <w:sz w:val="24"/>
              </w:rPr>
              <w:tab/>
              <w:t>Ulaganja u instrumente dopunskog kapitala subjekata financijskog sektora ako institucija ima značajno ulaganje, privremeno izuzeta</w:t>
            </w:r>
          </w:p>
          <w:p w14:paraId="60D3D569" w14:textId="2757B1EB" w:rsidR="005643EA" w:rsidRPr="00A30C4C" w:rsidRDefault="002648B0" w:rsidP="00FD239F">
            <w:pPr>
              <w:pStyle w:val="InstructionsText"/>
            </w:pPr>
            <w:r>
              <w:t>Članak 79. CRR-a</w:t>
            </w:r>
          </w:p>
          <w:p w14:paraId="39AF13D5" w14:textId="6A51451B" w:rsidR="005643EA" w:rsidRPr="00A30C4C" w:rsidRDefault="002648B0" w:rsidP="00FD239F">
            <w:pPr>
              <w:pStyle w:val="InstructionsText"/>
            </w:pPr>
            <w:r>
              <w:t>Nadležno tijelo može primijeniti izuzeće od odredbi o odbitku od dopunskog kapitala koje se primjenjuju na ulaganja u instrumente specifičnog subjekta financijskog sektora ako to smatra ulaganjem radi financijske pomoći u svrhu reorganizacije i spašavanja tog subjekta.</w:t>
            </w:r>
          </w:p>
          <w:p w14:paraId="0C98A16F" w14:textId="4AD51A9D" w:rsidR="005643EA" w:rsidRPr="00A30C4C" w:rsidRDefault="002648B0" w:rsidP="0014657C">
            <w:pPr>
              <w:pStyle w:val="InstructionsText"/>
            </w:pPr>
            <w:r>
              <w:t>Potrebno je napomenuti da se ti instrumenti iskazuju i u stavci 17.1.</w:t>
            </w:r>
          </w:p>
        </w:tc>
      </w:tr>
      <w:tr w:rsidR="002648B0" w:rsidRPr="00A30C4C"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2648B0" w:rsidRPr="00A30C4C" w:rsidRDefault="002648B0" w:rsidP="00FD239F">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14:paraId="12EF3B80" w14:textId="0FF681D9" w:rsidR="005643EA" w:rsidRPr="00A30C4C" w:rsidRDefault="002648B0" w:rsidP="00FD239F">
            <w:pPr>
              <w:pStyle w:val="InstructionsText"/>
            </w:pPr>
            <w:r>
              <w:rPr>
                <w:rStyle w:val="InstructionsTabelleberschrift"/>
                <w:rFonts w:ascii="Times New Roman" w:hAnsi="Times New Roman"/>
                <w:sz w:val="24"/>
              </w:rPr>
              <w:t>27</w:t>
            </w:r>
            <w:r w:rsidR="00792467">
              <w:rPr>
                <w:rStyle w:val="InstructionsTabelleberschrift"/>
                <w:rFonts w:ascii="Times New Roman" w:hAnsi="Times New Roman"/>
                <w:sz w:val="24"/>
              </w:rPr>
              <w:t>.</w:t>
            </w:r>
            <w:r>
              <w:rPr>
                <w:rStyle w:val="InstructionsTabelleberschrift"/>
                <w:rFonts w:ascii="Times New Roman" w:hAnsi="Times New Roman"/>
                <w:sz w:val="24"/>
              </w:rPr>
              <w:tab/>
              <w:t>Zahtjev za kombinirani zaštitni sloj</w:t>
            </w:r>
          </w:p>
          <w:p w14:paraId="7ECA4B47" w14:textId="6EF01E3E" w:rsidR="005643EA" w:rsidRPr="00A30C4C" w:rsidRDefault="0014657C" w:rsidP="0014657C">
            <w:pPr>
              <w:pStyle w:val="InstructionsText"/>
            </w:pPr>
            <w:r>
              <w:t>Članak 128. točka 6. CRD-a</w:t>
            </w:r>
          </w:p>
        </w:tc>
      </w:tr>
      <w:tr w:rsidR="002648B0" w:rsidRPr="00A30C4C"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2648B0" w:rsidRPr="00A30C4C"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5643EA" w:rsidRPr="00A30C4C" w:rsidRDefault="00454139" w:rsidP="00FD239F">
            <w:pPr>
              <w:pStyle w:val="InstructionsText"/>
            </w:pPr>
            <w:r>
              <w:rPr>
                <w:rStyle w:val="InstructionsTabelleberschrift"/>
                <w:rFonts w:ascii="Times New Roman" w:hAnsi="Times New Roman"/>
                <w:sz w:val="24"/>
              </w:rPr>
              <w:t>Zaštitni sloj za očuvanje kapitala</w:t>
            </w:r>
          </w:p>
          <w:p w14:paraId="7B21E489" w14:textId="628AB57B" w:rsidR="005643EA" w:rsidRPr="00A30C4C" w:rsidRDefault="0014657C" w:rsidP="00FD239F">
            <w:pPr>
              <w:pStyle w:val="InstructionsText"/>
            </w:pPr>
            <w:r>
              <w:t xml:space="preserve">Članak 128. točka 1. i članak 129. CRD-a </w:t>
            </w:r>
          </w:p>
          <w:p w14:paraId="5E4947F7" w14:textId="5A739360" w:rsidR="005643EA" w:rsidRPr="00A30C4C" w:rsidRDefault="0014657C" w:rsidP="0014657C">
            <w:pPr>
              <w:pStyle w:val="InstructionsText"/>
            </w:pPr>
            <w:r>
              <w:t>U skladu s člankom 129. stavkom 1. CRD-a zaštitni sloj za očuvanje kapitala nastavlja se na redovni osnovni kapital. Budući da je stopa zaštitnog sloja za očuvanje kapitala od 2,5 % stabilna, iznos se iskazuje u ovom retku.</w:t>
            </w:r>
          </w:p>
        </w:tc>
      </w:tr>
      <w:tr w:rsidR="002648B0" w:rsidRPr="00A30C4C"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2648B0" w:rsidRPr="00A30C4C"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5643EA" w:rsidRPr="00A30C4C" w:rsidRDefault="002648B0" w:rsidP="00FD239F">
            <w:pPr>
              <w:pStyle w:val="InstructionsText"/>
            </w:pPr>
            <w:r>
              <w:rPr>
                <w:rStyle w:val="InstructionsTabelleberschrift"/>
                <w:rFonts w:ascii="Times New Roman" w:hAnsi="Times New Roman"/>
                <w:sz w:val="24"/>
              </w:rPr>
              <w:t xml:space="preserve">Zaštitni sloj za očuvanje kapitala zbog </w:t>
            </w:r>
            <w:proofErr w:type="spellStart"/>
            <w:r>
              <w:rPr>
                <w:rStyle w:val="InstructionsTabelleberschrift"/>
                <w:rFonts w:ascii="Times New Roman" w:hAnsi="Times New Roman"/>
                <w:sz w:val="24"/>
              </w:rPr>
              <w:t>makrobonitetnog</w:t>
            </w:r>
            <w:proofErr w:type="spellEnd"/>
            <w:r>
              <w:rPr>
                <w:rStyle w:val="InstructionsTabelleberschrift"/>
                <w:rFonts w:ascii="Times New Roman" w:hAnsi="Times New Roman"/>
                <w:sz w:val="24"/>
              </w:rPr>
              <w:t xml:space="preserve"> ili sistemskog rizika utvrđenog na razini države članice </w:t>
            </w:r>
          </w:p>
          <w:p w14:paraId="0818F48A" w14:textId="2E2FB184" w:rsidR="005643EA" w:rsidRPr="00A30C4C" w:rsidRDefault="0014657C" w:rsidP="00FD239F">
            <w:pPr>
              <w:pStyle w:val="InstructionsText"/>
            </w:pPr>
            <w:r>
              <w:t xml:space="preserve">Članak 458. stavak 2. točka (d) </w:t>
            </w:r>
            <w:proofErr w:type="spellStart"/>
            <w:r>
              <w:t>podtočka</w:t>
            </w:r>
            <w:proofErr w:type="spellEnd"/>
            <w:r>
              <w:t xml:space="preserve"> iv. CRR-a</w:t>
            </w:r>
          </w:p>
          <w:p w14:paraId="406A0E60" w14:textId="5521DDE4" w:rsidR="00DF65DF" w:rsidRPr="00A30C4C" w:rsidRDefault="002648B0" w:rsidP="00FD239F">
            <w:pPr>
              <w:pStyle w:val="InstructionsText"/>
            </w:pPr>
            <w:r>
              <w:t xml:space="preserve">U ovom se retku iskazuje iznos zaštitnog sloja za očuvanje kapitala zbog </w:t>
            </w:r>
            <w:proofErr w:type="spellStart"/>
            <w:r>
              <w:t>makrobonitetnog</w:t>
            </w:r>
            <w:proofErr w:type="spellEnd"/>
            <w:r>
              <w:t xml:space="preserve"> ili sistemskog rizika utvrđenog na razini države članice koji se može zatražiti u skladu s člankom 458. CRR-a uz zaštitni sloj za očuvanje kapitala.</w:t>
            </w:r>
          </w:p>
          <w:p w14:paraId="3FB65437" w14:textId="77777777" w:rsidR="005643EA" w:rsidRPr="00A30C4C" w:rsidRDefault="00DF65DF" w:rsidP="00FD239F">
            <w:pPr>
              <w:pStyle w:val="InstructionsText"/>
            </w:pPr>
            <w:r>
              <w:t>Iskazani iznos predstavlja iznos regulatornog kapitala koji je potreban za ispunjenje odgovarajućeg zahtjeva za zaštitni sloj kapitala na izvještajni datum.</w:t>
            </w:r>
          </w:p>
        </w:tc>
      </w:tr>
      <w:tr w:rsidR="002648B0" w:rsidRPr="00A30C4C"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2648B0" w:rsidRPr="00A30C4C"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5643EA" w:rsidRPr="00A30C4C" w:rsidRDefault="0010177C" w:rsidP="00FD239F">
            <w:pPr>
              <w:pStyle w:val="InstructionsText"/>
            </w:pPr>
            <w:proofErr w:type="spellStart"/>
            <w:r>
              <w:rPr>
                <w:rStyle w:val="InstructionsTabelleberschrift"/>
                <w:rFonts w:ascii="Times New Roman" w:hAnsi="Times New Roman"/>
                <w:sz w:val="24"/>
              </w:rPr>
              <w:t>Protuciklički</w:t>
            </w:r>
            <w:proofErr w:type="spellEnd"/>
            <w:r>
              <w:rPr>
                <w:rStyle w:val="InstructionsTabelleberschrift"/>
                <w:rFonts w:ascii="Times New Roman" w:hAnsi="Times New Roman"/>
                <w:sz w:val="24"/>
              </w:rPr>
              <w:t xml:space="preserve"> zaštitni sloj kapitala specifičan za instituciju </w:t>
            </w:r>
          </w:p>
          <w:p w14:paraId="5E664A7B" w14:textId="30785823" w:rsidR="00DF65DF" w:rsidRPr="00A30C4C" w:rsidRDefault="0014657C" w:rsidP="00FD239F">
            <w:pPr>
              <w:pStyle w:val="InstructionsText"/>
            </w:pPr>
            <w:r>
              <w:t xml:space="preserve">Članak 128. točka 2., članak 130. i članci od 135. do 140. CRD-a </w:t>
            </w:r>
          </w:p>
          <w:p w14:paraId="1544268E" w14:textId="77777777" w:rsidR="005643EA" w:rsidRPr="00A30C4C" w:rsidRDefault="00DF65DF" w:rsidP="00FD239F">
            <w:pPr>
              <w:pStyle w:val="InstructionsText"/>
            </w:pPr>
            <w:r>
              <w:t>Iskazani iznos predstavlja iznos regulatornog kapitala koji je potreban za ispunjenje odgovarajućeg zahtjeva za zaštitni sloj kapitala na izvještajni datum.</w:t>
            </w:r>
          </w:p>
        </w:tc>
      </w:tr>
      <w:tr w:rsidR="002648B0" w:rsidRPr="00A30C4C"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2648B0" w:rsidRPr="00A30C4C" w:rsidRDefault="002648B0" w:rsidP="00FD239F">
            <w:pPr>
              <w:pStyle w:val="InstructionsText"/>
            </w:pPr>
            <w:r>
              <w:lastRenderedPageBreak/>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5643EA" w:rsidRPr="00A30C4C" w:rsidRDefault="002648B0" w:rsidP="00FD239F">
            <w:pPr>
              <w:pStyle w:val="InstructionsText"/>
            </w:pPr>
            <w:r>
              <w:rPr>
                <w:rStyle w:val="InstructionsTabelleberschrift"/>
                <w:rFonts w:ascii="Times New Roman" w:hAnsi="Times New Roman"/>
                <w:sz w:val="24"/>
              </w:rPr>
              <w:t xml:space="preserve">Zaštitni sloj za sistemski rizik </w:t>
            </w:r>
          </w:p>
          <w:p w14:paraId="2E8A598A" w14:textId="621F1F0E" w:rsidR="00DF65DF" w:rsidRPr="00A30C4C" w:rsidRDefault="0014657C" w:rsidP="00FD239F">
            <w:pPr>
              <w:pStyle w:val="InstructionsText"/>
            </w:pPr>
            <w:r>
              <w:t xml:space="preserve">Članak 128. točka 5. i članci 133. i 134. CRD-a </w:t>
            </w:r>
          </w:p>
          <w:p w14:paraId="0C99E105" w14:textId="77777777" w:rsidR="005643EA" w:rsidRPr="00A30C4C" w:rsidRDefault="00DF65DF" w:rsidP="00FD239F">
            <w:pPr>
              <w:pStyle w:val="InstructionsText"/>
            </w:pPr>
            <w:r>
              <w:t>Iskazani iznos predstavlja iznos regulatornog kapitala koji je potreban za ispunjenje odgovarajućeg zahtjeva za zaštitni sloj kapitala na izvještajni datum.</w:t>
            </w:r>
          </w:p>
        </w:tc>
      </w:tr>
      <w:tr w:rsidR="00AC0F2C" w:rsidRPr="00A30C4C"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AC0F2C" w:rsidRPr="00A30C4C"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5643EA" w:rsidRPr="00A30C4C"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Zaštitni sloj za globalnu sistemski važnu instituciju</w:t>
            </w:r>
          </w:p>
          <w:p w14:paraId="2B6752E9" w14:textId="366E25EE" w:rsidR="00DF65DF"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128. točka 3. i članak 131. CRD-a</w:t>
            </w:r>
          </w:p>
          <w:p w14:paraId="35E48079" w14:textId="77777777" w:rsidR="005643EA" w:rsidRPr="00A30C4C" w:rsidRDefault="00DF65DF" w:rsidP="00FD239F">
            <w:pPr>
              <w:pStyle w:val="InstructionsText"/>
              <w:rPr>
                <w:rStyle w:val="InstructionsTabelleberschrift"/>
                <w:rFonts w:ascii="Times New Roman" w:hAnsi="Times New Roman"/>
                <w:b w:val="0"/>
                <w:bCs w:val="0"/>
                <w:sz w:val="24"/>
                <w:u w:val="none"/>
              </w:rPr>
            </w:pPr>
            <w:r>
              <w:t>Iskazani iznos predstavlja iznos regulatornog kapitala koji je potreban za ispunjenje odgovarajućeg zahtjeva za zaštitni sloj kapitala na izvještajni datum.</w:t>
            </w:r>
          </w:p>
        </w:tc>
      </w:tr>
      <w:tr w:rsidR="00AC0F2C" w:rsidRPr="00A30C4C"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AC0F2C" w:rsidRPr="00A30C4C"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5643EA" w:rsidRPr="00A30C4C"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Zaštitni sloj za ostale sistemski važne institucije </w:t>
            </w:r>
          </w:p>
          <w:p w14:paraId="6B4333ED" w14:textId="6B70FFED" w:rsidR="00DF65DF"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128. točka 4. i članak 131. CRD-a</w:t>
            </w:r>
          </w:p>
          <w:p w14:paraId="0C2C0E4D" w14:textId="77777777" w:rsidR="005643EA" w:rsidRPr="00A30C4C" w:rsidRDefault="00DF65DF" w:rsidP="00FD239F">
            <w:pPr>
              <w:pStyle w:val="InstructionsText"/>
              <w:rPr>
                <w:rStyle w:val="InstructionsTabelleberschrift"/>
                <w:rFonts w:ascii="Times New Roman" w:hAnsi="Times New Roman"/>
                <w:b w:val="0"/>
                <w:bCs w:val="0"/>
                <w:sz w:val="24"/>
                <w:u w:val="none"/>
              </w:rPr>
            </w:pPr>
            <w:r>
              <w:t>Iskazani iznos predstavlja iznos regulatornog kapitala koji je potreban za ispunjenje odgovarajućeg zahtjeva za zaštitni sloj kapitala na izvještajni datum.</w:t>
            </w:r>
          </w:p>
        </w:tc>
      </w:tr>
      <w:tr w:rsidR="00E81DB9" w:rsidRPr="00A30C4C"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E81DB9" w:rsidRPr="00A30C4C" w:rsidRDefault="00497D60" w:rsidP="00FD239F">
            <w:pPr>
              <w:pStyle w:val="InstructionsText"/>
            </w:pPr>
            <w:r>
              <w:t>820</w:t>
            </w:r>
          </w:p>
          <w:p w14:paraId="5A878E1B" w14:textId="77777777" w:rsidR="00E81DB9" w:rsidRPr="00A30C4C"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5D56DF98" w:rsidR="005643EA" w:rsidRPr="00A30C4C"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00792467">
              <w:rPr>
                <w:rStyle w:val="InstructionsTabelleberschrift"/>
                <w:rFonts w:ascii="Times New Roman" w:hAnsi="Times New Roman"/>
                <w:sz w:val="24"/>
              </w:rPr>
              <w:t>.</w:t>
            </w:r>
            <w:r>
              <w:rPr>
                <w:rStyle w:val="InstructionsTabelleberschrift"/>
                <w:rFonts w:ascii="Times New Roman" w:hAnsi="Times New Roman"/>
                <w:sz w:val="24"/>
              </w:rPr>
              <w:tab/>
              <w:t>Kapitalni zahtjevi povezani s usklađenjima iz stupa II</w:t>
            </w:r>
          </w:p>
          <w:p w14:paraId="0C6042EB" w14:textId="1F3E4E28" w:rsidR="005643EA" w:rsidRPr="00A30C4C"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104. stavak 2. CRD-a. </w:t>
            </w:r>
          </w:p>
          <w:p w14:paraId="63F3FBD9" w14:textId="34492408" w:rsidR="005643EA" w:rsidRPr="00A30C4C" w:rsidRDefault="00190FA3"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Ako nadležno tijelo odluči da institucija treba izračunati dodatne kapitalne zahtjeve za potrebe stupa II, ti se dodatni kapitalni zahtjevi iskazuju u ovom retku. </w:t>
            </w:r>
          </w:p>
        </w:tc>
      </w:tr>
      <w:tr w:rsidR="00E81DB9" w:rsidRPr="00A30C4C"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E81DB9" w:rsidRPr="00A30C4C" w:rsidRDefault="00497D60" w:rsidP="00FD239F">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14:paraId="14196A17" w14:textId="563AFCB6" w:rsidR="005643EA"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00792467">
              <w:rPr>
                <w:rStyle w:val="InstructionsTabelleberschrift"/>
                <w:rFonts w:ascii="Times New Roman" w:hAnsi="Times New Roman"/>
                <w:sz w:val="24"/>
              </w:rPr>
              <w:t>.</w:t>
            </w:r>
            <w:r>
              <w:rPr>
                <w:rStyle w:val="InstructionsTabelleberschrift"/>
                <w:rFonts w:ascii="Times New Roman" w:hAnsi="Times New Roman"/>
                <w:sz w:val="24"/>
              </w:rPr>
              <w:tab/>
              <w:t>Inicijalni kapital</w:t>
            </w:r>
          </w:p>
          <w:p w14:paraId="2E07B924" w14:textId="126A2A49" w:rsidR="005643EA" w:rsidRPr="00A30C4C" w:rsidRDefault="00E0639C"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 i članci od 28. do 31. CRD-a i članak 93. CRR-a</w:t>
            </w:r>
          </w:p>
        </w:tc>
      </w:tr>
      <w:tr w:rsidR="00E81DB9" w:rsidRPr="00A30C4C"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E81DB9" w:rsidRPr="00A30C4C"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14:paraId="01DD499A" w14:textId="55E2DDD9" w:rsidR="005643EA"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00792467">
              <w:rPr>
                <w:rStyle w:val="InstructionsTabelleberschrift"/>
                <w:rFonts w:ascii="Times New Roman" w:hAnsi="Times New Roman"/>
                <w:sz w:val="24"/>
              </w:rPr>
              <w:t>.</w:t>
            </w:r>
            <w:r>
              <w:rPr>
                <w:rStyle w:val="InstructionsTabelleberschrift"/>
                <w:rFonts w:ascii="Times New Roman" w:hAnsi="Times New Roman"/>
                <w:sz w:val="24"/>
              </w:rPr>
              <w:tab/>
              <w:t>Regulatorni kapital na osnovi fiksnih općih troškova</w:t>
            </w:r>
          </w:p>
          <w:p w14:paraId="215D5CD6" w14:textId="0B5701E4" w:rsidR="005643EA" w:rsidRPr="00A30C4C" w:rsidRDefault="0014657C"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96. stavak 2. točka (b), članak 97. i članak 98. stavak 1. točka (a) CRR-a</w:t>
            </w:r>
          </w:p>
        </w:tc>
      </w:tr>
      <w:tr w:rsidR="00A774C1" w:rsidRPr="00A30C4C"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A774C1" w:rsidRPr="00A30C4C"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14:paraId="778CC1F4" w14:textId="674DC5F2" w:rsidR="00A774C1"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00792467">
              <w:rPr>
                <w:rStyle w:val="InstructionsTabelleberschrift"/>
                <w:rFonts w:ascii="Times New Roman" w:hAnsi="Times New Roman"/>
                <w:sz w:val="24"/>
              </w:rPr>
              <w:t>.</w:t>
            </w:r>
            <w:r>
              <w:rPr>
                <w:rStyle w:val="InstructionsTabelleberschrift"/>
                <w:rFonts w:ascii="Times New Roman" w:hAnsi="Times New Roman"/>
                <w:sz w:val="24"/>
              </w:rPr>
              <w:tab/>
              <w:t>Strane originalne izloženosti</w:t>
            </w:r>
          </w:p>
          <w:p w14:paraId="6DF99A0F" w14:textId="4387F241" w:rsidR="00DD5F87" w:rsidRPr="00A30C4C"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potrebne za izračun praga za izvješćivanje iz obrasca CR GB </w:t>
            </w:r>
            <w:r>
              <w:t xml:space="preserve">u skladu s </w:t>
            </w:r>
            <w:r>
              <w:rPr>
                <w:rStyle w:val="InstructionsTabelleberschrift"/>
                <w:rFonts w:ascii="Times New Roman" w:hAnsi="Times New Roman"/>
                <w:b w:val="0"/>
                <w:sz w:val="24"/>
                <w:u w:val="none"/>
              </w:rPr>
              <w:t xml:space="preserve">člankom 5. stavkom (a) točkom 4. ove Provedbene uredbe. Prag se izračunava na osnovi originalne izloženosti prije konverzijskog faktora. </w:t>
            </w:r>
          </w:p>
          <w:p w14:paraId="1B982B5C" w14:textId="77777777" w:rsidR="00A774C1" w:rsidRPr="00A30C4C"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tc>
      </w:tr>
      <w:tr w:rsidR="00A774C1" w:rsidRPr="00A30C4C"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A774C1" w:rsidRPr="00A30C4C"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14:paraId="60D1C4B8" w14:textId="52481BE6" w:rsidR="00A774C1"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00792467">
              <w:rPr>
                <w:rStyle w:val="InstructionsTabelleberschrift"/>
                <w:rFonts w:ascii="Times New Roman" w:hAnsi="Times New Roman"/>
                <w:sz w:val="24"/>
              </w:rPr>
              <w:t>.</w:t>
            </w:r>
            <w:r>
              <w:rPr>
                <w:rStyle w:val="InstructionsTabelleberschrift"/>
                <w:rFonts w:ascii="Times New Roman" w:hAnsi="Times New Roman"/>
                <w:sz w:val="24"/>
              </w:rPr>
              <w:tab/>
              <w:t>Ukupne originalne izloženosti</w:t>
            </w:r>
          </w:p>
          <w:p w14:paraId="6A74AE51" w14:textId="4028C27C" w:rsidR="00DD5F87" w:rsidRPr="00A30C4C"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Informacije potrebne za izračun praga za izvješćivanje iz obrasca CR GB </w:t>
            </w:r>
            <w:r>
              <w:t xml:space="preserve">u skladu s </w:t>
            </w:r>
            <w:r>
              <w:rPr>
                <w:rStyle w:val="InstructionsTabelleberschrift"/>
                <w:rFonts w:ascii="Times New Roman" w:hAnsi="Times New Roman"/>
                <w:b w:val="0"/>
                <w:sz w:val="24"/>
                <w:u w:val="none"/>
              </w:rPr>
              <w:t>člankom 5. stavkom (a) točkom 4. ove Provedbene uredbe. Prag se izračunava na osnovi originalne izloženosti prije konverzijskog faktora.</w:t>
            </w:r>
          </w:p>
          <w:p w14:paraId="195053B6" w14:textId="77777777" w:rsidR="00A774C1" w:rsidRPr="00A30C4C"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Izloženosti se smatraju domaćima ako su to izloženosti prema drugim ugovornim stranama u državi članici u kojoj se nalazi institucija.</w:t>
            </w:r>
          </w:p>
        </w:tc>
      </w:tr>
      <w:tr w:rsidR="00700DFD" w:rsidRPr="00A30C4C"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700DFD" w:rsidRPr="00A30C4C"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7E16E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ukupnog regulatornog kapitala</w:t>
            </w:r>
          </w:p>
          <w:p w14:paraId="2FFACBFD" w14:textId="567E2EBF" w:rsidR="00700DFD" w:rsidRPr="00A30C4C"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Članak 500. stavak 4. CRR-a</w:t>
            </w:r>
          </w:p>
          <w:p w14:paraId="43708573" w14:textId="0555480A" w:rsidR="00643362" w:rsidRPr="00A30C4C"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Razlika između iznosa iskazanog u retku 800 i ukupnog regulatornog kapitala na temelju CRR-a mora se iskazati u ovom retku. </w:t>
            </w:r>
          </w:p>
          <w:p w14:paraId="4EBC63C5" w14:textId="33B94BD3" w:rsidR="00DE48EF" w:rsidRPr="00A30C4C" w:rsidRDefault="003A1469"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se primjenjuje alternativni standardizirani pristup (članak 500. stavak 2. CRR-a), ovaj se redak ne popunjava.</w:t>
            </w:r>
          </w:p>
        </w:tc>
      </w:tr>
      <w:tr w:rsidR="000A4B61" w:rsidRPr="00A30C4C"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0A4B61" w:rsidRPr="00A30C4C" w:rsidRDefault="007E16E5" w:rsidP="00FD239F">
            <w:pPr>
              <w:pStyle w:val="InstructionsText"/>
            </w:pPr>
            <w:r>
              <w:lastRenderedPageBreak/>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7E16E5" w:rsidRPr="00A30C4C"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Regulatorni kapital u potpunosti usklađen s pragom iz </w:t>
            </w:r>
            <w:proofErr w:type="spellStart"/>
            <w:r>
              <w:rPr>
                <w:rStyle w:val="InstructionsTabelleberschrift"/>
                <w:rFonts w:ascii="Times New Roman" w:hAnsi="Times New Roman"/>
                <w:sz w:val="24"/>
              </w:rPr>
              <w:t>Basela</w:t>
            </w:r>
            <w:proofErr w:type="spellEnd"/>
            <w:r>
              <w:rPr>
                <w:rStyle w:val="InstructionsTabelleberschrift"/>
                <w:rFonts w:ascii="Times New Roman" w:hAnsi="Times New Roman"/>
                <w:sz w:val="24"/>
              </w:rPr>
              <w:t xml:space="preserve"> I</w:t>
            </w:r>
          </w:p>
          <w:p w14:paraId="2C4DAFAB" w14:textId="70686029" w:rsidR="000A4B61" w:rsidRPr="00A30C4C"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500. stavak 4. CRR-a</w:t>
            </w:r>
          </w:p>
          <w:p w14:paraId="3B590ED5" w14:textId="63F96E57" w:rsidR="002540B2" w:rsidRPr="00A30C4C" w:rsidRDefault="002540B2"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Ukupni regulatorni kapital na temelju CRR-a koji je usklađen kako je propisano člankom 500. stavkom 4. CRR-a (odnosno u potpunosti usklađen kako bi se odrazila razlika između izračuna regulatornoga kapitala u skladu s Direktivom Vijeća 93/6/EEZ</w:t>
            </w:r>
            <w:r w:rsidR="0014657C" w:rsidRPr="00A30C4C">
              <w:rPr>
                <w:rStyle w:val="FootnoteReference"/>
                <w:rFonts w:ascii="Times New Roman" w:hAnsi="Times New Roman"/>
                <w:bCs/>
                <w:sz w:val="20"/>
                <w:szCs w:val="20"/>
                <w:vertAlign w:val="superscript"/>
              </w:rPr>
              <w:footnoteReference w:id="7"/>
            </w:r>
            <w:r>
              <w:rPr>
                <w:rStyle w:val="InstructionsTabelleberschrift"/>
                <w:rFonts w:ascii="Times New Roman" w:hAnsi="Times New Roman"/>
                <w:b w:val="0"/>
                <w:sz w:val="24"/>
                <w:u w:val="none"/>
              </w:rPr>
              <w:t xml:space="preserve"> i Direktivom 2000/12/EZ Europskog parlamenta i Vijeća</w:t>
            </w:r>
            <w:r w:rsidR="0014657C" w:rsidRPr="00A30C4C">
              <w:rPr>
                <w:rStyle w:val="FootnoteReference"/>
                <w:rFonts w:ascii="Times New Roman" w:hAnsi="Times New Roman"/>
                <w:bCs/>
                <w:sz w:val="20"/>
                <w:szCs w:val="20"/>
                <w:vertAlign w:val="superscript"/>
              </w:rPr>
              <w:footnoteReference w:id="8"/>
            </w:r>
            <w:r>
              <w:rPr>
                <w:rStyle w:val="InstructionsTabelleberschrift"/>
                <w:rFonts w:ascii="Times New Roman" w:hAnsi="Times New Roman"/>
                <w:b w:val="0"/>
                <w:sz w:val="24"/>
                <w:u w:val="none"/>
              </w:rPr>
              <w:t xml:space="preserve"> kako su te direktive glasile prije 1. siječnja 2007. i izračuna regulatornoga kapitala u skladu s CRR-om koji proizlazi iz različitih tretmana očekivanoga gubitka i neočekivanoga gubitka u skladu s</w:t>
            </w:r>
            <w:r>
              <w:t xml:space="preserve"> dijelom trećim glavom II. </w:t>
            </w:r>
            <w:r>
              <w:rPr>
                <w:rStyle w:val="InstructionsTabelleberschrift"/>
                <w:rFonts w:ascii="Times New Roman" w:hAnsi="Times New Roman"/>
                <w:b w:val="0"/>
                <w:sz w:val="24"/>
                <w:u w:val="none"/>
              </w:rPr>
              <w:t xml:space="preserve">poglavljem 3. CRR-a) mora se iskazati u ovom retku. </w:t>
            </w:r>
          </w:p>
          <w:p w14:paraId="629AE7CE" w14:textId="730AE847" w:rsidR="00DE48EF" w:rsidRPr="00A30C4C" w:rsidRDefault="003A1469"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Ako se primjenjuje alternativni standardizirani pristup (članak 500. stavak 2. CRR-a), ovaj se redak ne popunjava.</w:t>
            </w:r>
          </w:p>
        </w:tc>
      </w:tr>
      <w:tr w:rsidR="000A4B61" w:rsidRPr="00A30C4C"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0A4B61" w:rsidRPr="00A30C4C" w:rsidRDefault="007E16E5" w:rsidP="00FD239F">
            <w:pPr>
              <w:pStyle w:val="InstructionsText"/>
            </w:pPr>
            <w:r>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7E16E5" w:rsidRPr="00A30C4C"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Kapitalni zahtjevi za prag iz </w:t>
            </w:r>
            <w:proofErr w:type="spellStart"/>
            <w:r>
              <w:rPr>
                <w:rStyle w:val="InstructionsTabelleberschrift"/>
                <w:rFonts w:ascii="Times New Roman" w:hAnsi="Times New Roman"/>
                <w:sz w:val="24"/>
              </w:rPr>
              <w:t>Basela</w:t>
            </w:r>
            <w:proofErr w:type="spellEnd"/>
            <w:r>
              <w:rPr>
                <w:rStyle w:val="InstructionsTabelleberschrift"/>
                <w:rFonts w:ascii="Times New Roman" w:hAnsi="Times New Roman"/>
                <w:sz w:val="24"/>
              </w:rPr>
              <w:t xml:space="preserve"> I</w:t>
            </w:r>
          </w:p>
          <w:p w14:paraId="0B850548" w14:textId="2D4092FA" w:rsidR="000A4B61"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500. stavak 1. točka (b) CRR-a </w:t>
            </w:r>
          </w:p>
          <w:p w14:paraId="09285A06" w14:textId="1D365F93" w:rsidR="00DE48EF" w:rsidRPr="00A30C4C" w:rsidRDefault="002540B2" w:rsidP="0019394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Iznos regulatornog kapitala koji se mora imati kako je propisano člankom 500. stavkom 1. točkom (b) CRR-a (odnosno 80 % ukupnog minimalnog iznosa regulatornoga kapitala koji bi institucija trebala imati u skladu s člankom 4. Direktive 93/6/EEZ i Direktivom 2000/12/EZ mora se iskazati u ovom retku.</w:t>
            </w:r>
          </w:p>
        </w:tc>
      </w:tr>
      <w:tr w:rsidR="000A4B61" w:rsidRPr="00A30C4C"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0A4B61" w:rsidRPr="00A30C4C"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7E16E5" w:rsidRPr="00A30C4C"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Kapitalni zahtjevi za prag iz </w:t>
            </w:r>
            <w:proofErr w:type="spellStart"/>
            <w:r>
              <w:rPr>
                <w:rStyle w:val="InstructionsTabelleberschrift"/>
                <w:rFonts w:ascii="Times New Roman" w:hAnsi="Times New Roman"/>
                <w:sz w:val="24"/>
              </w:rPr>
              <w:t>Basela</w:t>
            </w:r>
            <w:proofErr w:type="spellEnd"/>
            <w:r>
              <w:rPr>
                <w:rStyle w:val="InstructionsTabelleberschrift"/>
                <w:rFonts w:ascii="Times New Roman" w:hAnsi="Times New Roman"/>
                <w:sz w:val="24"/>
              </w:rPr>
              <w:t xml:space="preserve"> I – alternativni standardizirani pristup</w:t>
            </w:r>
          </w:p>
          <w:p w14:paraId="16A26EEB" w14:textId="475A557E" w:rsidR="000A4B61" w:rsidRPr="00A30C4C" w:rsidRDefault="00214FD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500. stavci 2. i 3. CRR-a </w:t>
            </w:r>
          </w:p>
          <w:p w14:paraId="7085DCA6" w14:textId="46731F19" w:rsidR="00DE48EF" w:rsidRPr="00A30C4C" w:rsidRDefault="00DE48EF" w:rsidP="003061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 regulatornog kapitala koji se mora imati kako je propisano člankom 500. stavkom 2. CRR-a (odnosno 80 % regulatornoga kapitala koji bi institucija trebala imati u skladu s člankom 92. CRR-a, pri čemu se iznosi izloženosti ponderirani rizikom izračunavaju u skladu s </w:t>
            </w:r>
            <w:r>
              <w:t xml:space="preserve">dijelom trećim glavom II. </w:t>
            </w:r>
            <w:r>
              <w:rPr>
                <w:rStyle w:val="InstructionsTabelleberschrift"/>
                <w:rFonts w:ascii="Times New Roman" w:hAnsi="Times New Roman"/>
                <w:b w:val="0"/>
                <w:sz w:val="24"/>
                <w:u w:val="none"/>
              </w:rPr>
              <w:t xml:space="preserve">poglavljem 2. i </w:t>
            </w:r>
            <w:r>
              <w:t xml:space="preserve">dijelom trećim glavom III. </w:t>
            </w:r>
            <w:r>
              <w:rPr>
                <w:rStyle w:val="InstructionsTabelleberschrift"/>
                <w:rFonts w:ascii="Times New Roman" w:hAnsi="Times New Roman"/>
                <w:b w:val="0"/>
                <w:sz w:val="24"/>
                <w:u w:val="none"/>
              </w:rPr>
              <w:t>poglavljima 2. ili 3. CRR-a, ovisno o slučaju, umjesto u skladu s</w:t>
            </w:r>
            <w:r>
              <w:t xml:space="preserve"> dijelom trećim glavom II. </w:t>
            </w:r>
            <w:r>
              <w:rPr>
                <w:rStyle w:val="InstructionsTabelleberschrift"/>
                <w:rFonts w:ascii="Times New Roman" w:hAnsi="Times New Roman"/>
                <w:b w:val="0"/>
                <w:sz w:val="24"/>
                <w:u w:val="none"/>
              </w:rPr>
              <w:t xml:space="preserve">poglavljem 3. ili </w:t>
            </w:r>
            <w:r>
              <w:t xml:space="preserve">dijelom trećim glavom III. </w:t>
            </w:r>
            <w:r>
              <w:rPr>
                <w:rStyle w:val="InstructionsTabelleberschrift"/>
                <w:rFonts w:ascii="Times New Roman" w:hAnsi="Times New Roman"/>
                <w:b w:val="0"/>
                <w:sz w:val="24"/>
                <w:u w:val="none"/>
              </w:rPr>
              <w:t>poglavljem 4. CRR-a, ovisno o slučaju) mora se iskazati u ovom retku.</w:t>
            </w:r>
          </w:p>
        </w:tc>
      </w:tr>
      <w:tr w:rsidR="00A840D5" w:rsidRPr="00A30C4C"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A840D5" w:rsidRPr="00A30C4C" w:rsidRDefault="00A840D5" w:rsidP="00FD239F">
            <w:pPr>
              <w:pStyle w:val="InstructionsText"/>
            </w:pPr>
            <w:r>
              <w:lastRenderedPageBreak/>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2540B2" w:rsidRPr="00A30C4C"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Deficit ukupnog regulatornog kapitala u pogledu kapitalnih zahtjeva za prag iz </w:t>
            </w:r>
            <w:proofErr w:type="spellStart"/>
            <w:r>
              <w:rPr>
                <w:rStyle w:val="InstructionsTabelleberschrift"/>
                <w:rFonts w:ascii="Times New Roman" w:hAnsi="Times New Roman"/>
                <w:sz w:val="24"/>
              </w:rPr>
              <w:t>Basela</w:t>
            </w:r>
            <w:proofErr w:type="spellEnd"/>
            <w:r>
              <w:rPr>
                <w:rStyle w:val="InstructionsTabelleberschrift"/>
                <w:rFonts w:ascii="Times New Roman" w:hAnsi="Times New Roman"/>
                <w:sz w:val="24"/>
              </w:rPr>
              <w:t> I ili alternativni standardizirani pristup</w:t>
            </w:r>
          </w:p>
          <w:p w14:paraId="2415E5FA" w14:textId="69690AE5" w:rsidR="00DE48EF"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500. stavak 1. točka (b) i članak 500. stavak 2. CRR-a </w:t>
            </w:r>
          </w:p>
          <w:p w14:paraId="7724778A" w14:textId="77777777" w:rsidR="00DE48EF" w:rsidRPr="00A30C4C"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ovaj se redak unosi:</w:t>
            </w:r>
          </w:p>
          <w:p w14:paraId="4D0AF386" w14:textId="45D8ADF9" w:rsidR="00DE48EF" w:rsidRPr="00A30C4C" w:rsidRDefault="00DE48EF" w:rsidP="00167619">
            <w:pPr>
              <w:pStyle w:val="InstructionsText"/>
              <w:ind w:left="423" w:hanging="423"/>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t>ako se primjenjuje članak 500. stavak 1. točka (b) CRR-a i ako je redak 880 &lt; retka 890: razlika između retka 890 i retka 880</w:t>
            </w:r>
          </w:p>
          <w:p w14:paraId="382D4867" w14:textId="50830AFD" w:rsidR="00DE48EF" w:rsidRPr="00A30C4C" w:rsidRDefault="00DE48EF" w:rsidP="00167619">
            <w:pPr>
              <w:pStyle w:val="InstructionsText"/>
              <w:ind w:left="423" w:hanging="423"/>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b/>
              <w:t>ili ako se primjenjuje članak 500. stavak 2. CRR-a i ako je redak 010 iz obrasca C 01.00 &lt; retka 900 iz obrasca C 04.00: razlika između retka 900 iz obrasca C 04.00 i retka 010 iz obrasca C 01.00.</w:t>
            </w:r>
          </w:p>
        </w:tc>
      </w:tr>
    </w:tbl>
    <w:p w14:paraId="6661FFBF" w14:textId="77777777" w:rsidR="002648B0" w:rsidRPr="00A30C4C" w:rsidRDefault="002648B0" w:rsidP="00FD239F">
      <w:pPr>
        <w:pStyle w:val="InstructionsText"/>
      </w:pPr>
    </w:p>
    <w:p w14:paraId="589D224B" w14:textId="5EA5DB2E" w:rsidR="002648B0" w:rsidRPr="00A30C4C"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308175834"/>
      <w:bookmarkStart w:id="70" w:name="_Toc30677637"/>
      <w:r>
        <w:rPr>
          <w:rFonts w:ascii="Times New Roman" w:hAnsi="Times New Roman"/>
          <w:sz w:val="24"/>
          <w:u w:val="none"/>
        </w:rPr>
        <w:t>1.6</w:t>
      </w:r>
      <w:r w:rsidR="00792467">
        <w:rPr>
          <w:rFonts w:ascii="Times New Roman" w:hAnsi="Times New Roman"/>
          <w:sz w:val="24"/>
          <w:u w:val="none"/>
        </w:rPr>
        <w:t>.</w:t>
      </w:r>
      <w:r>
        <w:rPr>
          <w:rFonts w:ascii="Times New Roman" w:hAnsi="Times New Roman"/>
          <w:sz w:val="24"/>
          <w:u w:val="none"/>
        </w:rPr>
        <w:tab/>
      </w:r>
      <w:r>
        <w:rPr>
          <w:rFonts w:ascii="Times New Roman" w:hAnsi="Times New Roman"/>
          <w:sz w:val="24"/>
        </w:rPr>
        <w:t xml:space="preserve">PRIJELAZNE ODREDBE i INSTRUMENTI KOJI SE NASTAVLJAJU PRIZNAVATI: </w:t>
      </w:r>
      <w:bookmarkStart w:id="71" w:name="_Toc360188333"/>
      <w:r>
        <w:rPr>
          <w:rFonts w:ascii="Times New Roman" w:hAnsi="Times New Roman"/>
          <w:sz w:val="24"/>
        </w:rPr>
        <w:t>INSTRUMENTI KOJI NISU INSTRUMENTI DRŽAVNE POTPORE (CA5</w:t>
      </w:r>
      <w:bookmarkEnd w:id="71"/>
      <w:r>
        <w:rPr>
          <w:rFonts w:ascii="Times New Roman" w:hAnsi="Times New Roman"/>
          <w:sz w:val="24"/>
        </w:rPr>
        <w:t>)</w:t>
      </w:r>
      <w:bookmarkEnd w:id="68"/>
      <w:bookmarkEnd w:id="70"/>
    </w:p>
    <w:p w14:paraId="1F398445" w14:textId="7236A740" w:rsidR="002648B0" w:rsidRPr="00A30C4C"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30677638"/>
      <w:bookmarkEnd w:id="69"/>
      <w:r>
        <w:rPr>
          <w:rFonts w:ascii="Times New Roman" w:hAnsi="Times New Roman"/>
          <w:sz w:val="24"/>
          <w:u w:val="none"/>
        </w:rPr>
        <w:t>1.6.1</w:t>
      </w:r>
      <w:r w:rsidR="00792467">
        <w:rPr>
          <w:rFonts w:ascii="Times New Roman" w:hAnsi="Times New Roman"/>
          <w:sz w:val="24"/>
          <w:u w:val="none"/>
        </w:rPr>
        <w:t>.</w:t>
      </w:r>
      <w:r>
        <w:rPr>
          <w:rFonts w:ascii="Times New Roman" w:hAnsi="Times New Roman"/>
          <w:sz w:val="24"/>
          <w:u w:val="none"/>
        </w:rPr>
        <w:tab/>
      </w:r>
      <w:r>
        <w:rPr>
          <w:rFonts w:ascii="Times New Roman" w:hAnsi="Times New Roman"/>
          <w:sz w:val="24"/>
        </w:rPr>
        <w:t>Opće napomene</w:t>
      </w:r>
      <w:bookmarkEnd w:id="72"/>
      <w:bookmarkEnd w:id="73"/>
      <w:bookmarkEnd w:id="74"/>
      <w:bookmarkEnd w:id="75"/>
    </w:p>
    <w:p w14:paraId="7C94098E" w14:textId="444755C1" w:rsidR="00783881" w:rsidRPr="00A30C4C" w:rsidRDefault="00B43C2A" w:rsidP="00C37B29">
      <w:pPr>
        <w:pStyle w:val="InstructionsText2"/>
        <w:numPr>
          <w:ilvl w:val="0"/>
          <w:numId w:val="0"/>
        </w:numPr>
        <w:ind w:left="993"/>
      </w:pPr>
      <w:r>
        <w:t>15.</w:t>
      </w:r>
      <w:r>
        <w:tab/>
        <w:t xml:space="preserve">U obrascu CA5 daje se sažetak izračuna elemenata i odbitaka regulatornog kapitala na koje se primjenjuju prijelazne odredbe utvrđene u člancima od 465. do 491. CRR-a. </w:t>
      </w:r>
    </w:p>
    <w:p w14:paraId="563F7928" w14:textId="77777777" w:rsidR="00496C53" w:rsidRPr="00A30C4C" w:rsidRDefault="00125707" w:rsidP="00C37B29">
      <w:pPr>
        <w:pStyle w:val="InstructionsText2"/>
        <w:numPr>
          <w:ilvl w:val="0"/>
          <w:numId w:val="0"/>
        </w:numPr>
        <w:ind w:left="993"/>
      </w:pPr>
      <w:r>
        <w:t>16.</w:t>
      </w:r>
      <w:r>
        <w:tab/>
        <w:t>Obrazac CA5 strukturiran je kako slijedi:</w:t>
      </w:r>
    </w:p>
    <w:p w14:paraId="5C17D503" w14:textId="602919AA" w:rsidR="002648B0" w:rsidRPr="00A30C4C" w:rsidRDefault="00125707" w:rsidP="00C37B29">
      <w:pPr>
        <w:pStyle w:val="InstructionsText2"/>
        <w:numPr>
          <w:ilvl w:val="0"/>
          <w:numId w:val="0"/>
        </w:numPr>
        <w:ind w:left="993"/>
      </w:pPr>
      <w:r>
        <w:t>(a)</w:t>
      </w:r>
      <w:r>
        <w:tab/>
        <w:t xml:space="preserve">U </w:t>
      </w:r>
      <w:r>
        <w:rPr>
          <w:u w:val="single"/>
        </w:rPr>
        <w:t>obrascu 5.1</w:t>
      </w:r>
      <w:r>
        <w:t xml:space="preserve"> daje se sažetak ukupnih usklađenja koje je potrebno napraviti na različitim komponentama regularnog kapitala (iskazanih u CA1 u skladu sa završnim odredbama) kao posljedica primjene prijelaznih odredbi. Elementi iz ovog obrasca iskazuju se kao „usklađenja” različitih komponenti kapitala u CA1 kako bi u komponentama regulatornog kapitala odraža</w:t>
      </w:r>
      <w:r w:rsidR="00792467">
        <w:t>vali učinke prijelaznih odredbi.</w:t>
      </w:r>
    </w:p>
    <w:p w14:paraId="1953B9FF" w14:textId="77777777" w:rsidR="002648B0" w:rsidRPr="00A30C4C" w:rsidRDefault="00125707" w:rsidP="00C37B29">
      <w:pPr>
        <w:pStyle w:val="InstructionsText2"/>
        <w:numPr>
          <w:ilvl w:val="0"/>
          <w:numId w:val="0"/>
        </w:numPr>
        <w:ind w:left="993"/>
      </w:pPr>
      <w:r>
        <w:t>(b)</w:t>
      </w:r>
      <w:r>
        <w:tab/>
        <w:t xml:space="preserve">U </w:t>
      </w:r>
      <w:r>
        <w:rPr>
          <w:u w:val="single"/>
        </w:rPr>
        <w:t>obrascu 5.2</w:t>
      </w:r>
      <w:r>
        <w:t xml:space="preserve"> nalaze se detaljniji podaci o izračunu tih instrumenata koji se nastavljaju priznavati i koji nisu državna potpora. </w:t>
      </w:r>
    </w:p>
    <w:p w14:paraId="3C132050" w14:textId="77777777" w:rsidR="005643EA" w:rsidRPr="00A30C4C" w:rsidRDefault="00125707" w:rsidP="00C37B29">
      <w:pPr>
        <w:pStyle w:val="InstructionsText2"/>
        <w:numPr>
          <w:ilvl w:val="0"/>
          <w:numId w:val="0"/>
        </w:numPr>
        <w:ind w:left="993"/>
      </w:pPr>
      <w:bookmarkStart w:id="76" w:name="_Toc307386943"/>
      <w:r>
        <w:t>17.</w:t>
      </w:r>
      <w:r>
        <w:tab/>
        <w:t>U prva četiri stupca institucije iskazuju usklađenja redovnog osnovnog kapitala, dodatnog osnovnog kapitala i dopunskog kapitala te iznos koji je potrebno tretirati kao rizikom ponderiranu imovinu. Od institucija se zahtijeva i iskazivanje odgovarajućeg postotka u stupcu 050 i priznatog iznosa bez priznavanja prijelaznih odredbi u stupcu 060.</w:t>
      </w:r>
    </w:p>
    <w:p w14:paraId="44CB6B23" w14:textId="74BB1B67" w:rsidR="005643EA" w:rsidRPr="00A30C4C" w:rsidRDefault="00125707" w:rsidP="00C37B29">
      <w:pPr>
        <w:pStyle w:val="InstructionsText2"/>
        <w:numPr>
          <w:ilvl w:val="0"/>
          <w:numId w:val="0"/>
        </w:numPr>
        <w:ind w:left="993"/>
      </w:pPr>
      <w:r>
        <w:t>18.</w:t>
      </w:r>
      <w:r>
        <w:tab/>
        <w:t>Institucije u CA5 iskazuju samo elemente tijekom razdoblja u kojem se primjenjuju prijelazne odredbe utvrđene u dijelu desetom CRR-a.</w:t>
      </w:r>
    </w:p>
    <w:p w14:paraId="4ADA01E5" w14:textId="77777777" w:rsidR="005643EA" w:rsidRPr="00A30C4C" w:rsidRDefault="00125707" w:rsidP="00C37B29">
      <w:pPr>
        <w:pStyle w:val="InstructionsText2"/>
        <w:numPr>
          <w:ilvl w:val="0"/>
          <w:numId w:val="0"/>
        </w:numPr>
        <w:ind w:left="993"/>
      </w:pPr>
      <w:r>
        <w:t>19.</w:t>
      </w:r>
      <w:r>
        <w:tab/>
        <w:t>Nekim prijelaznim odredbama propisuje se odbitak od osnovnog kapitala. Ako je to slučaj kada se preostali iznos odbitka ili odbitaka primjenjuje na osnovni kapital i ne postoji dovoljno dodatnog osnovnog kapitala za apsorbiranje tog iznosa, višak se odbija od redovnog osnovnog kapitala.</w:t>
      </w:r>
    </w:p>
    <w:p w14:paraId="2887826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30677639"/>
      <w:bookmarkEnd w:id="76"/>
      <w:r>
        <w:rPr>
          <w:rFonts w:ascii="Times New Roman" w:hAnsi="Times New Roman"/>
          <w:sz w:val="24"/>
          <w:u w:val="none"/>
        </w:rPr>
        <w:lastRenderedPageBreak/>
        <w:t>1.6.2.</w:t>
      </w:r>
      <w:r>
        <w:rPr>
          <w:rFonts w:ascii="Times New Roman" w:hAnsi="Times New Roman"/>
          <w:sz w:val="24"/>
          <w:u w:val="none"/>
        </w:rPr>
        <w:tab/>
      </w:r>
      <w:r>
        <w:rPr>
          <w:rFonts w:ascii="Times New Roman" w:hAnsi="Times New Roman"/>
          <w:sz w:val="24"/>
        </w:rPr>
        <w:t>C 05.01 – PRIJELAZNE ODREDBE (CA5.1)</w:t>
      </w:r>
      <w:bookmarkEnd w:id="77"/>
      <w:bookmarkEnd w:id="80"/>
      <w:r>
        <w:rPr>
          <w:rFonts w:ascii="Times New Roman" w:hAnsi="Times New Roman"/>
          <w:sz w:val="24"/>
        </w:rPr>
        <w:t xml:space="preserve"> </w:t>
      </w:r>
      <w:bookmarkEnd w:id="78"/>
      <w:bookmarkEnd w:id="79"/>
    </w:p>
    <w:p w14:paraId="71A2D646" w14:textId="42BDB15C" w:rsidR="002648B0" w:rsidRPr="00A30C4C" w:rsidRDefault="00125707" w:rsidP="00C37B29">
      <w:pPr>
        <w:pStyle w:val="InstructionsText2"/>
        <w:numPr>
          <w:ilvl w:val="0"/>
          <w:numId w:val="0"/>
        </w:numPr>
        <w:ind w:left="993"/>
      </w:pPr>
      <w:r>
        <w:t>20.</w:t>
      </w:r>
      <w:r>
        <w:tab/>
        <w:t xml:space="preserve">Institucije u obrascu CA5.1 iskazuju prijelazne odredbe o komponentama regulatornog kapitala kako je propisano u člancima od 465. do 491. CRR-a, u usporedbi s primjenom završnih odredbi propisanih u dijelu drugom glavi II. CRR-a. </w:t>
      </w:r>
    </w:p>
    <w:p w14:paraId="0F033D5C" w14:textId="13C30FC9" w:rsidR="00783881" w:rsidRPr="00A30C4C" w:rsidRDefault="00125707" w:rsidP="00C37B29">
      <w:pPr>
        <w:pStyle w:val="InstructionsText2"/>
        <w:numPr>
          <w:ilvl w:val="0"/>
          <w:numId w:val="0"/>
        </w:numPr>
        <w:ind w:left="993"/>
      </w:pPr>
      <w:r>
        <w:t>21.</w:t>
      </w:r>
      <w:r>
        <w:tab/>
        <w:t>Institucije u redcima od 020 do 060 iskazuju informacije o prijelaznim odredbama za instrumente koji se nastavljaju priznavati. Vrijednosti koje je potrebno iskazati u stupcima od 010 do 030 retka 060 iz CA5.1 mogu se izvesti iz odgovarajućih odjeljaka CA5.2.</w:t>
      </w:r>
    </w:p>
    <w:p w14:paraId="0A55A4B4" w14:textId="0E613EAB" w:rsidR="00496C53" w:rsidRPr="00A30C4C" w:rsidRDefault="00125707" w:rsidP="00C37B29">
      <w:pPr>
        <w:pStyle w:val="InstructionsText2"/>
        <w:numPr>
          <w:ilvl w:val="0"/>
          <w:numId w:val="0"/>
        </w:numPr>
        <w:ind w:left="993"/>
      </w:pPr>
      <w:r>
        <w:t>22.</w:t>
      </w:r>
      <w:r>
        <w:tab/>
        <w:t>U redcima od 070 do 092 institucije iskazuju informacije o prijelaznim odredbama za manjinske udjele i instrumente dodatnog osnovnog kapitala i dopunskog kapitala društava kćeri (u skladu s člancima 479. i 480. CRR-a).</w:t>
      </w:r>
    </w:p>
    <w:p w14:paraId="129C3C4D" w14:textId="7FC69125" w:rsidR="00783881" w:rsidRPr="00A30C4C" w:rsidRDefault="00125707" w:rsidP="00C37B29">
      <w:pPr>
        <w:pStyle w:val="InstructionsText2"/>
        <w:numPr>
          <w:ilvl w:val="0"/>
          <w:numId w:val="0"/>
        </w:numPr>
        <w:ind w:left="993"/>
      </w:pPr>
      <w:r>
        <w:t>23.</w:t>
      </w:r>
      <w:r>
        <w:tab/>
        <w:t>U retku 100 nadalje institucije iskazuju informacije o prijelaznim odredbama o nerealiziranim dobicima i gubicima, odbicima te dodatnim filtrima i odbicima.</w:t>
      </w:r>
    </w:p>
    <w:p w14:paraId="0EC1FE36" w14:textId="4A869469" w:rsidR="005643EA" w:rsidRPr="00A30C4C" w:rsidRDefault="00125707" w:rsidP="00C37B29">
      <w:pPr>
        <w:pStyle w:val="InstructionsText2"/>
        <w:numPr>
          <w:ilvl w:val="0"/>
          <w:numId w:val="0"/>
        </w:numPr>
        <w:ind w:left="993"/>
      </w:pPr>
      <w:r>
        <w:t>24.</w:t>
      </w:r>
      <w:r>
        <w:tab/>
        <w:t xml:space="preserve">To bi moglo biti u slučajevima kada prijelazni odbici od redovnog osnovnog kapitala, dodatnog osnovnog kapitala ili dopunskog kapitala premašuju redovni osnovni kapital, dodatni osnovni kapital ili dopunski kapital institucije. Taj se učinak – ako proizlazi iz prijelaznih odredbi – iskazuje u obrascu CA1 upotrebom odgovarajućih rubrika. Kao posljedica toga, usklađenja u stupcima obrasca CA5 ne uključuju nikakve učinke prelijevanja u slučaju nedostatnog dostupnog kapitala. </w:t>
      </w:r>
    </w:p>
    <w:p w14:paraId="434225D9"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30677640"/>
      <w:r>
        <w:rPr>
          <w:rFonts w:ascii="Times New Roman" w:hAnsi="Times New Roman"/>
          <w:sz w:val="24"/>
          <w:u w:val="none"/>
        </w:rPr>
        <w:t>1.6.2.1.</w:t>
      </w:r>
      <w:r>
        <w:rPr>
          <w:rFonts w:ascii="Times New Roman" w:hAnsi="Times New Roman"/>
          <w:sz w:val="24"/>
          <w:u w:val="none"/>
        </w:rPr>
        <w:tab/>
      </w:r>
      <w:r>
        <w:rPr>
          <w:rFonts w:ascii="Times New Roman" w:hAnsi="Times New Roman"/>
          <w:sz w:val="24"/>
        </w:rPr>
        <w:t>Upute za specifične pozicije</w:t>
      </w:r>
      <w:bookmarkEnd w:id="81"/>
      <w:bookmarkEnd w:id="82"/>
      <w:bookmarkEnd w:id="83"/>
    </w:p>
    <w:p w14:paraId="5BB2D391" w14:textId="77777777" w:rsidR="002648B0" w:rsidRPr="00A30C4C"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A30C4C" w14:paraId="0C2D193D" w14:textId="77777777" w:rsidTr="00672D2A">
        <w:tc>
          <w:tcPr>
            <w:tcW w:w="8372" w:type="dxa"/>
            <w:gridSpan w:val="2"/>
            <w:shd w:val="clear" w:color="auto" w:fill="D9D9D9"/>
          </w:tcPr>
          <w:p w14:paraId="766B446E" w14:textId="77777777" w:rsidR="00783881" w:rsidRPr="00A30C4C" w:rsidRDefault="002648B0" w:rsidP="00FD239F">
            <w:pPr>
              <w:pStyle w:val="InstructionsText"/>
            </w:pPr>
            <w:r>
              <w:t>Stupci</w:t>
            </w:r>
          </w:p>
        </w:tc>
      </w:tr>
      <w:tr w:rsidR="002648B0" w:rsidRPr="00A30C4C" w14:paraId="085C8845" w14:textId="77777777" w:rsidTr="00672D2A">
        <w:tc>
          <w:tcPr>
            <w:tcW w:w="894" w:type="dxa"/>
          </w:tcPr>
          <w:p w14:paraId="392DF49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14:paraId="330CAD2E"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redovnog osnovnog kapitala</w:t>
            </w:r>
          </w:p>
        </w:tc>
      </w:tr>
      <w:tr w:rsidR="002648B0" w:rsidRPr="00A30C4C" w14:paraId="3AC96FFE" w14:textId="77777777" w:rsidTr="00672D2A">
        <w:tc>
          <w:tcPr>
            <w:tcW w:w="894" w:type="dxa"/>
          </w:tcPr>
          <w:p w14:paraId="60E46846"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14:paraId="358141E3"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dodatnog osnovnog kapitala</w:t>
            </w:r>
          </w:p>
        </w:tc>
      </w:tr>
      <w:tr w:rsidR="002648B0" w:rsidRPr="00A30C4C" w14:paraId="3BB84582" w14:textId="77777777" w:rsidTr="00672D2A">
        <w:tc>
          <w:tcPr>
            <w:tcW w:w="894" w:type="dxa"/>
          </w:tcPr>
          <w:p w14:paraId="5CDA248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37B87DA0"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dopunskog kapitala</w:t>
            </w:r>
          </w:p>
        </w:tc>
      </w:tr>
      <w:tr w:rsidR="002648B0" w:rsidRPr="00A30C4C" w14:paraId="581D9501" w14:textId="77777777" w:rsidTr="00672D2A">
        <w:tc>
          <w:tcPr>
            <w:tcW w:w="894" w:type="dxa"/>
          </w:tcPr>
          <w:p w14:paraId="274F52A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14:paraId="2922ED58"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Usklađenja uključena u rizikom ponderiranu imovinu</w:t>
            </w:r>
          </w:p>
          <w:p w14:paraId="3BF81B8A" w14:textId="5B77F9B1"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U stupac 040 uključuju se relevantni iznosi kojima se usklađuje ukupni iznos izloženosti riziku iz članka 92. stavka 3. CRR-a zbog prijelaznih odredbi. U iskazanim iznosima uzima se u obzir primjena odredbi iz dijela trećeg glave II. poglavlja 2. ili 3. ili iz dijela trećeg glave IV. u skladu s člankom 92. stavkom 4. CRR-a. To znači da se iznosi na temelju prijelaznih odredbi koji podliježu primjeni dijela trećeg glave II. poglavlja 2. ili 3. iskazuju kao iznosi izloženosti ponderirani rizikom, dok iznosi na temelju prijelaznih odredbi koji podliježu primjeni dijela trećeg glave IV. predstavljaju kapitalne zahtjeve pomnožene sa 12,5.</w:t>
            </w:r>
          </w:p>
          <w:p w14:paraId="38455D6B" w14:textId="24B2D00C" w:rsidR="005643EA" w:rsidRPr="00A30C4C" w:rsidRDefault="00B4177D" w:rsidP="00BB22D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Dok su stupci od 010 do 030 izravno povezani s obrascem CA1, usklađenja uključena u ukupni iznos izloženosti riziku nisu izravno povezana s relevantnim obrascima za kreditni rizik. Ako postoje usklađenja koja proizlaze iz prijelaznih odredbi u vezi s ukupnim iznosom izloženosti riziku, navedena se usklađenja izravno uključuju u obrazac CR SA, CR IRB, CR EQU IRB, MKR SA TDI, MKR SA EQU ili MKR IM. Osim toga, navedeni se učinci </w:t>
            </w:r>
            <w:r>
              <w:rPr>
                <w:rStyle w:val="InstructionsTabelleText"/>
                <w:rFonts w:ascii="Times New Roman" w:hAnsi="Times New Roman"/>
                <w:sz w:val="24"/>
              </w:rPr>
              <w:lastRenderedPageBreak/>
              <w:t xml:space="preserve">iskazuju u stupcu 040 obrasca CA5.1. Kao posljedica toga, ti su iznosi samo bilješke. </w:t>
            </w:r>
          </w:p>
        </w:tc>
      </w:tr>
      <w:tr w:rsidR="002648B0" w:rsidRPr="00A30C4C" w14:paraId="6496D8B8" w14:textId="77777777" w:rsidTr="00672D2A">
        <w:tc>
          <w:tcPr>
            <w:tcW w:w="894" w:type="dxa"/>
          </w:tcPr>
          <w:p w14:paraId="01EA3DFB"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7478" w:type="dxa"/>
          </w:tcPr>
          <w:p w14:paraId="125867E8"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Primjenjivi postotak</w:t>
            </w:r>
          </w:p>
        </w:tc>
      </w:tr>
      <w:tr w:rsidR="002648B0" w:rsidRPr="00A30C4C" w14:paraId="5A52EFF5" w14:textId="77777777" w:rsidTr="00672D2A">
        <w:tc>
          <w:tcPr>
            <w:tcW w:w="894" w:type="dxa"/>
          </w:tcPr>
          <w:p w14:paraId="0A04E67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790ADC24"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Priznati iznos bez prijelaznih odredbi</w:t>
            </w:r>
          </w:p>
          <w:p w14:paraId="30AC3AA7" w14:textId="1CC15994"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Stupac 060 uključuje iznos svakog instrumenta prije primjene prijelaznih odredbi, tj. osnovni iznos koji je relevantan za izračun usklađenja.</w:t>
            </w:r>
          </w:p>
        </w:tc>
      </w:tr>
    </w:tbl>
    <w:p w14:paraId="3ACC7B4C" w14:textId="77777777" w:rsidR="002648B0" w:rsidRPr="00A30C4C"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A30C4C" w14:paraId="7044E13E" w14:textId="77777777" w:rsidTr="00672D2A">
        <w:tc>
          <w:tcPr>
            <w:tcW w:w="8490" w:type="dxa"/>
            <w:gridSpan w:val="2"/>
            <w:shd w:val="clear" w:color="auto" w:fill="D9D9D9"/>
          </w:tcPr>
          <w:p w14:paraId="51A2DEA9" w14:textId="77777777" w:rsidR="002648B0" w:rsidRPr="00A30C4C" w:rsidRDefault="002648B0" w:rsidP="00FD239F">
            <w:pPr>
              <w:pStyle w:val="InstructionsText"/>
            </w:pPr>
            <w:r>
              <w:t>Redci</w:t>
            </w:r>
          </w:p>
        </w:tc>
      </w:tr>
      <w:tr w:rsidR="002648B0" w:rsidRPr="00A30C4C" w14:paraId="64C5A293" w14:textId="77777777" w:rsidTr="00672D2A">
        <w:tc>
          <w:tcPr>
            <w:tcW w:w="1012" w:type="dxa"/>
          </w:tcPr>
          <w:p w14:paraId="1D81FE4A"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14:paraId="1F050C9D" w14:textId="77777777" w:rsidR="005643EA" w:rsidRPr="00A30C4C"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Pr>
                <w:rStyle w:val="InstructionsTabelleberschrift"/>
                <w:rFonts w:ascii="Times New Roman" w:hAnsi="Times New Roman"/>
                <w:sz w:val="24"/>
              </w:rPr>
              <w:tab/>
              <w:t>Ukupna usklađenja</w:t>
            </w:r>
          </w:p>
          <w:p w14:paraId="1FC1B190" w14:textId="40963797" w:rsidR="002648B0" w:rsidRPr="00A30C4C"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Ovaj redak odražava ukupni učinak prijelaznih usklađenja na različite vrste kapitala, uvećan za iznose ponderirane rizikom proizišle iz tih usklađenja.</w:t>
            </w:r>
          </w:p>
        </w:tc>
      </w:tr>
      <w:tr w:rsidR="002648B0" w:rsidRPr="00A30C4C" w14:paraId="365722CC" w14:textId="77777777" w:rsidTr="00672D2A">
        <w:tc>
          <w:tcPr>
            <w:tcW w:w="1012" w:type="dxa"/>
          </w:tcPr>
          <w:p w14:paraId="0CFAC34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020 </w:t>
            </w:r>
          </w:p>
        </w:tc>
        <w:tc>
          <w:tcPr>
            <w:tcW w:w="7478" w:type="dxa"/>
          </w:tcPr>
          <w:p w14:paraId="0B219D5C" w14:textId="0B3AF528"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koji se nastavljaju priznavati</w:t>
            </w:r>
          </w:p>
          <w:p w14:paraId="239E98DB" w14:textId="5DDF77DE"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Članci od 483. do 491. CRR-a</w:t>
            </w:r>
          </w:p>
          <w:p w14:paraId="165AD983" w14:textId="77777777" w:rsidR="002648B0" w:rsidRPr="00A30C4C"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Ovaj redak odražava ukupni učinak instrumenata koji se nastavljaju priznavati u prijelaznom razdoblju na različite vrste kapitala.</w:t>
            </w:r>
          </w:p>
        </w:tc>
      </w:tr>
      <w:tr w:rsidR="002648B0" w:rsidRPr="00A30C4C" w14:paraId="6F18E2C8" w14:textId="77777777" w:rsidTr="00672D2A">
        <w:tc>
          <w:tcPr>
            <w:tcW w:w="1012" w:type="dxa"/>
          </w:tcPr>
          <w:p w14:paraId="47DECC6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495401D4" w14:textId="77777777" w:rsidR="002648B0"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rPr>
                <w:rStyle w:val="InstructionsTabelleberschrift"/>
                <w:rFonts w:ascii="Times New Roman" w:hAnsi="Times New Roman"/>
                <w:sz w:val="24"/>
              </w:rPr>
              <w:tab/>
              <w:t>Instrumenti koji se nastavljaju priznavati: instrumenti državne potpore</w:t>
            </w:r>
          </w:p>
          <w:p w14:paraId="36D6F244" w14:textId="77777777" w:rsidR="002648B0" w:rsidRPr="00A30C4C"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Članak 483. CRR-a</w:t>
            </w:r>
          </w:p>
        </w:tc>
      </w:tr>
      <w:tr w:rsidR="002648B0" w:rsidRPr="00A30C4C" w14:paraId="0856E89F" w14:textId="77777777" w:rsidTr="00672D2A">
        <w:tc>
          <w:tcPr>
            <w:tcW w:w="1012" w:type="dxa"/>
          </w:tcPr>
          <w:p w14:paraId="28C108D2"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14:paraId="107C2500"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rPr>
                <w:rStyle w:val="InstructionsTabelleberschrift"/>
                <w:rFonts w:ascii="Times New Roman" w:hAnsi="Times New Roman"/>
                <w:sz w:val="24"/>
              </w:rPr>
              <w:tab/>
              <w:t>Instrumenti koji su ispunili uvjete za regulatorni kapital u skladu s Direktivom 2006/48/EZ</w:t>
            </w:r>
          </w:p>
          <w:p w14:paraId="05A43A22" w14:textId="3E4A0182" w:rsidR="005643EA" w:rsidRPr="00A30C4C" w:rsidRDefault="00167619" w:rsidP="00167619">
            <w:pPr>
              <w:pStyle w:val="InstructionsText"/>
              <w:rPr>
                <w:bCs/>
              </w:rPr>
            </w:pPr>
            <w:r>
              <w:rPr>
                <w:rStyle w:val="InstructionsTabelleText"/>
                <w:rFonts w:ascii="Times New Roman" w:hAnsi="Times New Roman"/>
                <w:sz w:val="24"/>
              </w:rPr>
              <w:t>Članak 483. stavci 1., 2., 4. i 6. CRR-a</w:t>
            </w:r>
          </w:p>
        </w:tc>
      </w:tr>
      <w:tr w:rsidR="002648B0" w:rsidRPr="00A30C4C" w14:paraId="2178D9EA" w14:textId="77777777" w:rsidTr="00672D2A">
        <w:tc>
          <w:tcPr>
            <w:tcW w:w="1012" w:type="dxa"/>
          </w:tcPr>
          <w:p w14:paraId="0926CD11"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14:paraId="3095CC95" w14:textId="77777777" w:rsidR="002648B0"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rPr>
                <w:rStyle w:val="InstructionsTabelleberschrift"/>
                <w:rFonts w:ascii="Times New Roman" w:hAnsi="Times New Roman"/>
                <w:sz w:val="24"/>
              </w:rPr>
              <w:tab/>
              <w:t>Instrumenti koje izdaju institucije koje su osnovane u državi članici koja podliježe Programu ekonomske prilagodbe</w:t>
            </w:r>
          </w:p>
          <w:p w14:paraId="7DD64DF0" w14:textId="54882EB4" w:rsidR="002648B0" w:rsidRPr="00A30C4C" w:rsidRDefault="00167619" w:rsidP="00167619">
            <w:pPr>
              <w:spacing w:before="0"/>
              <w:rPr>
                <w:rFonts w:ascii="Times New Roman" w:hAnsi="Times New Roman"/>
                <w:b/>
                <w:bCs/>
                <w:sz w:val="24"/>
              </w:rPr>
            </w:pPr>
            <w:r>
              <w:rPr>
                <w:rStyle w:val="InstructionsTabelleText"/>
                <w:rFonts w:ascii="Times New Roman" w:hAnsi="Times New Roman"/>
                <w:sz w:val="24"/>
              </w:rPr>
              <w:t>Članak 483. stavci 1., 3., 5., 7. i 8. CRR-a</w:t>
            </w:r>
          </w:p>
        </w:tc>
      </w:tr>
      <w:tr w:rsidR="002648B0" w:rsidRPr="00A30C4C" w14:paraId="7A18B9EA" w14:textId="77777777" w:rsidTr="00672D2A">
        <w:tc>
          <w:tcPr>
            <w:tcW w:w="1012" w:type="dxa"/>
          </w:tcPr>
          <w:p w14:paraId="344CA4E0"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7B5DE80F" w14:textId="77777777" w:rsidR="002648B0" w:rsidRPr="00A30C4C"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Pr>
                <w:rStyle w:val="InstructionsTabelleberschrift"/>
                <w:rFonts w:ascii="Times New Roman" w:hAnsi="Times New Roman"/>
                <w:sz w:val="24"/>
              </w:rPr>
              <w:tab/>
              <w:t>Instrumenti koji nisu instrumenti državne potpore</w:t>
            </w:r>
          </w:p>
          <w:p w14:paraId="5C9C7A9D" w14:textId="00B06800" w:rsidR="002648B0" w:rsidRPr="00A30C4C" w:rsidRDefault="002648B0" w:rsidP="00133396">
            <w:pPr>
              <w:spacing w:before="0"/>
              <w:rPr>
                <w:rFonts w:ascii="Times New Roman" w:hAnsi="Times New Roman"/>
                <w:b/>
                <w:bCs/>
                <w:sz w:val="24"/>
              </w:rPr>
            </w:pPr>
            <w:r>
              <w:rPr>
                <w:rStyle w:val="InstructionsTabelleText"/>
                <w:rFonts w:ascii="Times New Roman" w:hAnsi="Times New Roman"/>
                <w:sz w:val="24"/>
              </w:rPr>
              <w:t>Iznosi koje je potrebno iskazati dobivaju se iz stupca 060 obrasca CA5.2.</w:t>
            </w:r>
          </w:p>
        </w:tc>
      </w:tr>
      <w:tr w:rsidR="002648B0" w:rsidRPr="00A30C4C" w14:paraId="13629F97" w14:textId="77777777" w:rsidTr="00672D2A">
        <w:tc>
          <w:tcPr>
            <w:tcW w:w="1012" w:type="dxa"/>
          </w:tcPr>
          <w:p w14:paraId="21A140E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14:paraId="42434079"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Pr>
                <w:rStyle w:val="InstructionsTabelleberschrift"/>
                <w:rFonts w:ascii="Times New Roman" w:hAnsi="Times New Roman"/>
                <w:sz w:val="24"/>
              </w:rPr>
              <w:tab/>
              <w:t>Manjinski udjeli i ekvivalenti</w:t>
            </w:r>
          </w:p>
          <w:p w14:paraId="290D2D09" w14:textId="0A9273FD"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Članci 479. i 480. CRR-a</w:t>
            </w:r>
          </w:p>
          <w:p w14:paraId="79858C41" w14:textId="77777777" w:rsidR="002648B0" w:rsidRPr="00A30C4C"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Ovaj redak odražava učinke prijelaznih odredbi na manjinske udjele koji se priznaju kao redovni osnovni kapital, instrumente kvalificiranog osnovnog kapitala koji se priznaju kao konsolidirani dodatni osnovni kapital  i kvalificirani regulatorni kapital koji se priznaje kao konsolidirani dopunski kapital.</w:t>
            </w:r>
          </w:p>
        </w:tc>
      </w:tr>
      <w:tr w:rsidR="002648B0" w:rsidRPr="00A30C4C" w14:paraId="1C69F74B" w14:textId="77777777" w:rsidTr="00672D2A">
        <w:tc>
          <w:tcPr>
            <w:tcW w:w="1012" w:type="dxa"/>
          </w:tcPr>
          <w:p w14:paraId="49910EA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14:paraId="5CEB788D"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Pr>
                <w:rStyle w:val="InstructionsTabelleberschrift"/>
                <w:rFonts w:ascii="Times New Roman" w:hAnsi="Times New Roman"/>
                <w:sz w:val="24"/>
              </w:rPr>
              <w:tab/>
              <w:t>Instrumenti i stavke u kapitalu koji ne ispunjavaju uvjete za manjinske udjele</w:t>
            </w:r>
          </w:p>
          <w:p w14:paraId="507CA44B" w14:textId="2F7855ED"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Članak 479. CRR-a</w:t>
            </w:r>
          </w:p>
          <w:p w14:paraId="58B7C0BD"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Iznos koji se iskazuje u stupcu 060 ovog retka iznos je koji ispunjava uvjete za konsolidirane rezerve u skladu s prethodnom uredbom. </w:t>
            </w:r>
          </w:p>
        </w:tc>
      </w:tr>
      <w:tr w:rsidR="002648B0" w:rsidRPr="00A30C4C" w14:paraId="6D9F8A1B" w14:textId="77777777" w:rsidTr="00672D2A">
        <w:tc>
          <w:tcPr>
            <w:tcW w:w="1012" w:type="dxa"/>
          </w:tcPr>
          <w:p w14:paraId="2840A98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7478" w:type="dxa"/>
          </w:tcPr>
          <w:p w14:paraId="53B54DA1" w14:textId="77777777"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Pr>
                <w:rStyle w:val="InstructionsTabelleberschrift"/>
                <w:rFonts w:ascii="Times New Roman" w:hAnsi="Times New Roman"/>
                <w:sz w:val="24"/>
              </w:rPr>
              <w:tab/>
              <w:t>Prijelazno priznavanje u konsolidiranom regulatornom kapitalu manjinskih udjela</w:t>
            </w:r>
          </w:p>
          <w:p w14:paraId="6D6FF74C" w14:textId="36854019"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Članci 84. i 480. CRR-a</w:t>
            </w:r>
          </w:p>
          <w:p w14:paraId="7B6F0854" w14:textId="77777777" w:rsidR="005643EA" w:rsidRPr="00A30C4C"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060 ovog retka priznati je iznos bez prijelaznih odredbi.</w:t>
            </w:r>
          </w:p>
        </w:tc>
      </w:tr>
      <w:tr w:rsidR="002648B0" w:rsidRPr="00A30C4C" w14:paraId="5AC846B3" w14:textId="77777777" w:rsidTr="00672D2A">
        <w:tc>
          <w:tcPr>
            <w:tcW w:w="1012" w:type="dxa"/>
          </w:tcPr>
          <w:p w14:paraId="1C8216EF"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14:paraId="45B6A2AB"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Pr>
                <w:rStyle w:val="InstructionsTabelleberschrift"/>
                <w:rFonts w:ascii="Times New Roman" w:hAnsi="Times New Roman"/>
                <w:sz w:val="24"/>
              </w:rPr>
              <w:tab/>
              <w:t>Prijelazno priznavanje u konsolidiranom regulatornom kapitalu kvalificiranog dodatnog osnovnog kapitala</w:t>
            </w:r>
          </w:p>
          <w:p w14:paraId="0A8B5DC8" w14:textId="30F8DCDB"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Članci 85. i 480. CRR-a</w:t>
            </w:r>
          </w:p>
          <w:p w14:paraId="1F99651A" w14:textId="77777777"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priznati je iznos bez prijelaznih odredbi.</w:t>
            </w:r>
          </w:p>
        </w:tc>
      </w:tr>
      <w:tr w:rsidR="002648B0" w:rsidRPr="00A30C4C" w14:paraId="004C7784" w14:textId="77777777" w:rsidTr="00672D2A">
        <w:tc>
          <w:tcPr>
            <w:tcW w:w="1012" w:type="dxa"/>
          </w:tcPr>
          <w:p w14:paraId="504D19F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092</w:t>
            </w:r>
          </w:p>
        </w:tc>
        <w:tc>
          <w:tcPr>
            <w:tcW w:w="7478" w:type="dxa"/>
          </w:tcPr>
          <w:p w14:paraId="38EA09DF"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Pr>
                <w:rStyle w:val="InstructionsTabelleberschrift"/>
                <w:rFonts w:ascii="Times New Roman" w:hAnsi="Times New Roman"/>
                <w:sz w:val="24"/>
              </w:rPr>
              <w:tab/>
              <w:t>Prijelazno priznavanje u konsolidiranom regulatornom kapitalu kvalificiranog dopunskog kapitala</w:t>
            </w:r>
          </w:p>
          <w:p w14:paraId="0589947F" w14:textId="563D9094"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Članci 87. i 480. CRR-a</w:t>
            </w:r>
          </w:p>
          <w:p w14:paraId="0A126F82" w14:textId="77777777"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priznati je iznos bez prijelaznih odredbi.</w:t>
            </w:r>
          </w:p>
        </w:tc>
      </w:tr>
      <w:tr w:rsidR="002648B0" w:rsidRPr="00A30C4C" w14:paraId="52B335DF" w14:textId="77777777" w:rsidTr="00672D2A">
        <w:tc>
          <w:tcPr>
            <w:tcW w:w="1012" w:type="dxa"/>
          </w:tcPr>
          <w:p w14:paraId="1091B9A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14:paraId="418C0613" w14:textId="7EB17176" w:rsidR="002648B0"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00723C0B">
              <w:rPr>
                <w:rStyle w:val="InstructionsTabelleberschrift"/>
                <w:rFonts w:ascii="Times New Roman" w:hAnsi="Times New Roman"/>
                <w:sz w:val="24"/>
              </w:rPr>
              <w:t>.</w:t>
            </w:r>
            <w:r>
              <w:rPr>
                <w:rStyle w:val="InstructionsTabelleberschrift"/>
                <w:rFonts w:ascii="Times New Roman" w:hAnsi="Times New Roman"/>
                <w:sz w:val="24"/>
              </w:rPr>
              <w:tab/>
              <w:t>Ostala prijelazna usklađenja</w:t>
            </w:r>
          </w:p>
          <w:p w14:paraId="33D1D6E8" w14:textId="12E06180"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Članci od 467. do 478. i članak 481. CRR-a</w:t>
            </w:r>
          </w:p>
          <w:p w14:paraId="142E63B1" w14:textId="77777777"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Ovaj redak odražava ukupni učinak prijelaznih usklađenja odbitka na različite vrste kapitala, nerealizirane dobitke i gubitke, dodatne filtre i odbitke, uvećan za iznose ponderirane rizikom proizišle iz tih usklađenja.</w:t>
            </w:r>
          </w:p>
        </w:tc>
      </w:tr>
      <w:tr w:rsidR="002648B0" w:rsidRPr="00A30C4C" w14:paraId="6E7E06DF" w14:textId="77777777" w:rsidTr="00672D2A">
        <w:tc>
          <w:tcPr>
            <w:tcW w:w="1012" w:type="dxa"/>
          </w:tcPr>
          <w:p w14:paraId="40268B2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14:paraId="21B5E4B0" w14:textId="1A9C760F"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rsidR="00723C0B">
              <w:rPr>
                <w:rStyle w:val="InstructionsTabelleberschrift"/>
                <w:rFonts w:ascii="Times New Roman" w:hAnsi="Times New Roman"/>
                <w:sz w:val="24"/>
              </w:rPr>
              <w:t>.</w:t>
            </w:r>
            <w:r>
              <w:rPr>
                <w:rStyle w:val="InstructionsTabelleberschrift"/>
                <w:rFonts w:ascii="Times New Roman" w:hAnsi="Times New Roman"/>
                <w:sz w:val="24"/>
              </w:rPr>
              <w:tab/>
              <w:t>Nerealizirani dobici i gubici</w:t>
            </w:r>
          </w:p>
          <w:p w14:paraId="5A12F546" w14:textId="450915E9"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Članci 467. i 468. CRR-a</w:t>
            </w:r>
          </w:p>
          <w:p w14:paraId="24586742" w14:textId="089A5E25" w:rsidR="002648B0" w:rsidRPr="00A30C4C" w:rsidRDefault="002648B0" w:rsidP="00C7103D">
            <w:pPr>
              <w:spacing w:before="0"/>
              <w:rPr>
                <w:rStyle w:val="InstructionsTabelleText"/>
                <w:rFonts w:ascii="Times New Roman" w:hAnsi="Times New Roman"/>
                <w:sz w:val="24"/>
              </w:rPr>
            </w:pPr>
            <w:r>
              <w:rPr>
                <w:rStyle w:val="InstructionsTabelleText"/>
                <w:rFonts w:ascii="Times New Roman" w:hAnsi="Times New Roman"/>
                <w:sz w:val="24"/>
              </w:rPr>
              <w:t>Ovaj redak odražava ukupni učinak prijelaznih odredbi na nerealizirane dobitke i gubitke koji se mjere po fer vrijednosti.</w:t>
            </w:r>
          </w:p>
        </w:tc>
      </w:tr>
      <w:tr w:rsidR="002648B0" w:rsidRPr="00A30C4C" w14:paraId="660BE7EE" w14:textId="77777777" w:rsidTr="00672D2A">
        <w:tc>
          <w:tcPr>
            <w:tcW w:w="1012" w:type="dxa"/>
          </w:tcPr>
          <w:p w14:paraId="73DA862E"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14:paraId="215A8594" w14:textId="018908A1"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rsidR="00723C0B">
              <w:rPr>
                <w:rStyle w:val="InstructionsTabelleberschrift"/>
                <w:rFonts w:ascii="Times New Roman" w:hAnsi="Times New Roman"/>
                <w:sz w:val="24"/>
              </w:rPr>
              <w:t>.</w:t>
            </w:r>
            <w:r>
              <w:rPr>
                <w:rStyle w:val="InstructionsTabelleberschrift"/>
                <w:rFonts w:ascii="Times New Roman" w:hAnsi="Times New Roman"/>
                <w:sz w:val="24"/>
              </w:rPr>
              <w:tab/>
              <w:t>Nerealizirani dobici</w:t>
            </w:r>
          </w:p>
          <w:p w14:paraId="28C343C7" w14:textId="251A6465"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468. stavak 1. CRR-a</w:t>
            </w:r>
          </w:p>
        </w:tc>
      </w:tr>
      <w:tr w:rsidR="002648B0" w:rsidRPr="00A30C4C" w14:paraId="0499E855" w14:textId="77777777" w:rsidTr="00672D2A">
        <w:tc>
          <w:tcPr>
            <w:tcW w:w="1012" w:type="dxa"/>
          </w:tcPr>
          <w:p w14:paraId="71CD8FF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14:paraId="7618F641" w14:textId="4CAF0259"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rsidR="00723C0B">
              <w:rPr>
                <w:rStyle w:val="InstructionsTabelleberschrift"/>
                <w:rFonts w:ascii="Times New Roman" w:hAnsi="Times New Roman"/>
                <w:sz w:val="24"/>
              </w:rPr>
              <w:t>.</w:t>
            </w:r>
            <w:r>
              <w:rPr>
                <w:rStyle w:val="InstructionsTabelleberschrift"/>
                <w:rFonts w:ascii="Times New Roman" w:hAnsi="Times New Roman"/>
                <w:sz w:val="24"/>
              </w:rPr>
              <w:tab/>
              <w:t>Nerealizirani gubici</w:t>
            </w:r>
          </w:p>
          <w:p w14:paraId="36AC21D0" w14:textId="008A3DF4"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467. stavak 1. CRR-a</w:t>
            </w:r>
          </w:p>
        </w:tc>
      </w:tr>
      <w:tr w:rsidR="00E06628" w:rsidRPr="00A30C4C" w14:paraId="7EC2F160" w14:textId="77777777" w:rsidTr="00672D2A">
        <w:tc>
          <w:tcPr>
            <w:tcW w:w="1012" w:type="dxa"/>
          </w:tcPr>
          <w:p w14:paraId="1F72A819" w14:textId="77777777" w:rsidR="00E06628" w:rsidRPr="00A30C4C"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14:paraId="0CA788CC" w14:textId="45E8CACF" w:rsidR="005643EA" w:rsidRPr="00A30C4C"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00723C0B">
              <w:rPr>
                <w:rStyle w:val="InstructionsTabelleberschrift"/>
                <w:rFonts w:ascii="Times New Roman" w:hAnsi="Times New Roman"/>
                <w:sz w:val="24"/>
              </w:rPr>
              <w:t>.</w:t>
            </w:r>
            <w:r>
              <w:rPr>
                <w:rStyle w:val="InstructionsTabelleberschrift"/>
                <w:rFonts w:ascii="Times New Roman" w:hAnsi="Times New Roman"/>
                <w:sz w:val="24"/>
              </w:rPr>
              <w:tab/>
              <w:t>Nerealizirani dobici na osnovi izloženosti prema središnjim državama koje su raspoređene u kategoriju „raspoloživo za prodaju” MRS-a 39 koji je potvrdio EU</w:t>
            </w:r>
          </w:p>
          <w:p w14:paraId="1237B90D" w14:textId="52776326" w:rsidR="005643EA" w:rsidRPr="00A30C4C"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468. CRR-a</w:t>
            </w:r>
          </w:p>
        </w:tc>
      </w:tr>
      <w:tr w:rsidR="00E06628" w:rsidRPr="00A30C4C" w14:paraId="5200A156" w14:textId="77777777" w:rsidTr="00672D2A">
        <w:tc>
          <w:tcPr>
            <w:tcW w:w="1012" w:type="dxa"/>
          </w:tcPr>
          <w:p w14:paraId="17B2DEEC" w14:textId="77777777" w:rsidR="00E06628" w:rsidRPr="00A30C4C"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14:paraId="441EBEB4" w14:textId="68EEC09F" w:rsidR="005643EA" w:rsidRPr="00A30C4C"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rsidR="00723C0B">
              <w:rPr>
                <w:rStyle w:val="InstructionsTabelleberschrift"/>
                <w:rFonts w:ascii="Times New Roman" w:hAnsi="Times New Roman"/>
                <w:sz w:val="24"/>
              </w:rPr>
              <w:t>.</w:t>
            </w:r>
            <w:r>
              <w:rPr>
                <w:rStyle w:val="InstructionsTabelleberschrift"/>
                <w:rFonts w:ascii="Times New Roman" w:hAnsi="Times New Roman"/>
                <w:sz w:val="24"/>
              </w:rPr>
              <w:tab/>
              <w:t>Nerealizirani gubici na osnovi izloženosti prema središnjim državama koje su raspoređene u kategoriju „raspoloživo za prodaju” MRS-a 39 koji je potvrdio EU</w:t>
            </w:r>
          </w:p>
          <w:p w14:paraId="6A86D75B" w14:textId="49239AC6" w:rsidR="00E06628" w:rsidRPr="00A30C4C"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467. CRR-a</w:t>
            </w:r>
          </w:p>
        </w:tc>
      </w:tr>
      <w:tr w:rsidR="00E06628" w:rsidRPr="00A30C4C" w14:paraId="12DABBD7" w14:textId="77777777" w:rsidTr="00672D2A">
        <w:tc>
          <w:tcPr>
            <w:tcW w:w="1012" w:type="dxa"/>
          </w:tcPr>
          <w:p w14:paraId="7D3A53EE" w14:textId="77777777" w:rsidR="00E06628" w:rsidRPr="00A30C4C"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14:paraId="41B2BCAF" w14:textId="21149B71" w:rsidR="005643EA" w:rsidRPr="00A30C4C"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rsidR="00723C0B">
              <w:rPr>
                <w:rStyle w:val="InstructionsTabelleberschrift"/>
                <w:rFonts w:ascii="Times New Roman" w:hAnsi="Times New Roman"/>
                <w:sz w:val="24"/>
              </w:rPr>
              <w:t>.</w:t>
            </w:r>
            <w:r>
              <w:rPr>
                <w:rStyle w:val="InstructionsTabelleberschrift"/>
                <w:rFonts w:ascii="Times New Roman" w:hAnsi="Times New Roman"/>
                <w:sz w:val="24"/>
              </w:rPr>
              <w:tab/>
              <w:t>Dobici ili gubici nastali vrednovanjem po fer vrijednosti, koji proizlaze iz kreditnog rizika same institucije povezanog s obvezama po izvedenicama</w:t>
            </w:r>
          </w:p>
          <w:p w14:paraId="00FD5CB8" w14:textId="75F5676E" w:rsidR="005643EA" w:rsidRPr="00A30C4C"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Članak 468. CRR-a</w:t>
            </w:r>
          </w:p>
        </w:tc>
      </w:tr>
      <w:tr w:rsidR="002648B0" w:rsidRPr="00A30C4C" w14:paraId="4EA69FFA" w14:textId="77777777" w:rsidTr="00672D2A">
        <w:tc>
          <w:tcPr>
            <w:tcW w:w="1012" w:type="dxa"/>
          </w:tcPr>
          <w:p w14:paraId="6C64D50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140</w:t>
            </w:r>
          </w:p>
        </w:tc>
        <w:tc>
          <w:tcPr>
            <w:tcW w:w="7478" w:type="dxa"/>
          </w:tcPr>
          <w:p w14:paraId="734DACDF" w14:textId="6BEB19D2"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00723C0B">
              <w:rPr>
                <w:rStyle w:val="InstructionsTabelleberschrift"/>
                <w:rFonts w:ascii="Times New Roman" w:hAnsi="Times New Roman"/>
                <w:sz w:val="24"/>
              </w:rPr>
              <w:t>.</w:t>
            </w:r>
            <w:r>
              <w:rPr>
                <w:rStyle w:val="InstructionsTabelleberschrift"/>
                <w:rFonts w:ascii="Times New Roman" w:hAnsi="Times New Roman"/>
                <w:sz w:val="24"/>
              </w:rPr>
              <w:tab/>
              <w:t>Odbici</w:t>
            </w:r>
          </w:p>
          <w:p w14:paraId="05EDCD25" w14:textId="0DED2E40"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Članak 36. stavak 1. i članci od 469. do 478. CRR-a</w:t>
            </w:r>
          </w:p>
          <w:p w14:paraId="0EE3A7BC" w14:textId="77777777"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Ovaj redak odražava ukupni učinak prijelaznih odredbi na odbitke.</w:t>
            </w:r>
          </w:p>
        </w:tc>
      </w:tr>
      <w:tr w:rsidR="002648B0" w:rsidRPr="00A30C4C" w14:paraId="7FAD8D9F" w14:textId="77777777" w:rsidTr="00672D2A">
        <w:tc>
          <w:tcPr>
            <w:tcW w:w="1012" w:type="dxa"/>
          </w:tcPr>
          <w:p w14:paraId="69541B00" w14:textId="77777777" w:rsidR="002648B0" w:rsidRPr="00A30C4C"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14:paraId="5A9CBF64"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rPr>
                <w:rStyle w:val="InstructionsTabelleberschrift"/>
                <w:rFonts w:ascii="Times New Roman" w:hAnsi="Times New Roman"/>
                <w:sz w:val="24"/>
              </w:rPr>
              <w:tab/>
              <w:t>Gubici tekuće financijske godine</w:t>
            </w:r>
          </w:p>
          <w:p w14:paraId="4A674ADA" w14:textId="43691E9C" w:rsidR="005643EA" w:rsidRPr="00A30C4C" w:rsidRDefault="00BB22D4"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Članak 36. stavak 1. točka (a), članak 469. stavak 1., članak 472. stavak 3. i članak 478. CRR-a</w:t>
            </w:r>
          </w:p>
          <w:p w14:paraId="77AF59C5" w14:textId="424359EC"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Iznos koji se iskazuje u stupcu 060 ovog retka originalni je odbitak u skladu s člankom 36. stavkom 1. točkom (a) CRR-a.</w:t>
            </w:r>
          </w:p>
          <w:p w14:paraId="1D13CCD6"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Ako se od društava zahtijeva samo odbitak značajnih gubitaka:</w:t>
            </w:r>
          </w:p>
          <w:p w14:paraId="1BA5E15F"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•ako je ukupni privremeni neto gubitak bio „značajan”, puni preostali iznos odbio bi se od osnovnog kapitala, ili</w:t>
            </w:r>
          </w:p>
          <w:p w14:paraId="45C3B2C2"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•ako ukupni privremeni neto gubitak nije bio „značajan”, ne bi bilo odbitaka od preostalog iznosa.</w:t>
            </w:r>
          </w:p>
        </w:tc>
      </w:tr>
      <w:tr w:rsidR="002648B0" w:rsidRPr="00A30C4C" w14:paraId="1B915F21" w14:textId="77777777" w:rsidTr="00672D2A">
        <w:tc>
          <w:tcPr>
            <w:tcW w:w="1012" w:type="dxa"/>
          </w:tcPr>
          <w:p w14:paraId="401F021A" w14:textId="77777777" w:rsidR="002648B0" w:rsidRPr="00A30C4C"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160</w:t>
            </w:r>
          </w:p>
        </w:tc>
        <w:tc>
          <w:tcPr>
            <w:tcW w:w="7478" w:type="dxa"/>
          </w:tcPr>
          <w:p w14:paraId="00A0644F"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rPr>
                <w:rStyle w:val="InstructionsTabelleberschrift"/>
                <w:rFonts w:ascii="Times New Roman" w:hAnsi="Times New Roman"/>
                <w:sz w:val="24"/>
              </w:rPr>
              <w:tab/>
              <w:t>Nematerijalna imovina</w:t>
            </w:r>
          </w:p>
          <w:p w14:paraId="2434DB68" w14:textId="59C6B9B4"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(b), članak 469. stavak 1., članak 472. stavak 4. i članak 478. CRR-a</w:t>
            </w:r>
          </w:p>
          <w:p w14:paraId="1AD1DACF" w14:textId="37CF2501"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nematerijalne imovine koji je potrebno odbiti, institucije uzimaju u obzir odredbe članka 37. CRR-a</w:t>
            </w:r>
          </w:p>
          <w:p w14:paraId="7FC3F4C0" w14:textId="2ABFCA9E"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je odbitak u skladu s člankom 36. stavkom 1. točkom (b) CRR-a.</w:t>
            </w:r>
          </w:p>
        </w:tc>
      </w:tr>
      <w:tr w:rsidR="002648B0" w:rsidRPr="00A30C4C" w14:paraId="24D62F44" w14:textId="77777777" w:rsidTr="00672D2A">
        <w:tc>
          <w:tcPr>
            <w:tcW w:w="1012" w:type="dxa"/>
          </w:tcPr>
          <w:p w14:paraId="32FB2A1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14:paraId="688B6C0E" w14:textId="77777777" w:rsidR="005643EA" w:rsidRPr="00A30C4C" w:rsidRDefault="005643EA" w:rsidP="00FD239F">
            <w:pPr>
              <w:pStyle w:val="InstructionsText"/>
              <w:rPr>
                <w:rStyle w:val="InstructionsTabelleText"/>
                <w:rFonts w:ascii="Times New Roman" w:hAnsi="Times New Roman"/>
                <w:sz w:val="24"/>
              </w:rPr>
            </w:pPr>
          </w:p>
        </w:tc>
        <w:tc>
          <w:tcPr>
            <w:tcW w:w="7478" w:type="dxa"/>
          </w:tcPr>
          <w:p w14:paraId="47BD46E7"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Pr>
                <w:rStyle w:val="InstructionsTabelleberschrift"/>
                <w:rFonts w:ascii="Times New Roman" w:hAnsi="Times New Roman"/>
                <w:sz w:val="24"/>
              </w:rPr>
              <w:tab/>
              <w:t>Odgođena porezna imovina koja ovisi o budućoj profitabilnosti i ne proizlazi iz privremenih razlika</w:t>
            </w:r>
          </w:p>
          <w:p w14:paraId="4355E263" w14:textId="226E0E44"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(c), članak 469. stavak 1., članak 472. stavak 5. i članak 478. CRR-a</w:t>
            </w:r>
          </w:p>
          <w:p w14:paraId="50DABAF8" w14:textId="73261899"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prethodno navedene odgođene porezne imovine koji je potrebno odbiti, institucije uzimaju u obzir odredbe članka 38. CRR-a koje se odnose na umanjenje odgođene porezne imovine za odgođene porezne obveze.</w:t>
            </w:r>
          </w:p>
          <w:p w14:paraId="72438F1D" w14:textId="585040D2"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Ukupni iznos u skladu s člankom 469. stavkom 1. CRR-a</w:t>
            </w:r>
          </w:p>
        </w:tc>
      </w:tr>
      <w:tr w:rsidR="002648B0" w:rsidRPr="00A30C4C" w14:paraId="3780187D" w14:textId="77777777" w:rsidTr="00672D2A">
        <w:tc>
          <w:tcPr>
            <w:tcW w:w="1012" w:type="dxa"/>
          </w:tcPr>
          <w:p w14:paraId="47E0148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14:paraId="7A813EAF" w14:textId="77777777" w:rsidR="005643EA" w:rsidRPr="00A30C4C" w:rsidRDefault="005643EA" w:rsidP="00FD239F">
            <w:pPr>
              <w:pStyle w:val="InstructionsText"/>
              <w:rPr>
                <w:rStyle w:val="InstructionsTabelleText"/>
                <w:rFonts w:ascii="Times New Roman" w:hAnsi="Times New Roman"/>
                <w:sz w:val="24"/>
              </w:rPr>
            </w:pPr>
          </w:p>
        </w:tc>
        <w:tc>
          <w:tcPr>
            <w:tcW w:w="7478" w:type="dxa"/>
          </w:tcPr>
          <w:p w14:paraId="4B4EBB21"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rPr>
                <w:rStyle w:val="InstructionsTabelleberschrift"/>
                <w:rFonts w:ascii="Times New Roman" w:hAnsi="Times New Roman"/>
                <w:sz w:val="24"/>
              </w:rPr>
              <w:tab/>
              <w:t>Manjak rezervacija u odnosu na očekivane gubitke primjenom IRB pristupa</w:t>
            </w:r>
          </w:p>
          <w:p w14:paraId="266DCF0F" w14:textId="73451627"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(d), članak 469. stavak 1., članak 472. stavak 6. i članak 478. CRR-a</w:t>
            </w:r>
          </w:p>
          <w:p w14:paraId="5DAD45C5" w14:textId="3C6FBA33"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prethodno navedenog manjka rezervacija u odnosu na očekivane gubitke primjenom IRB pristupa koji je potrebno odbiti, institucije uzimaju u obzir odredbe članka 40. CRR-a.</w:t>
            </w:r>
          </w:p>
          <w:p w14:paraId="5B5A6FCE" w14:textId="1E54411C"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36. stavkom 1. točkom (d) CRR-a.</w:t>
            </w:r>
          </w:p>
        </w:tc>
      </w:tr>
      <w:tr w:rsidR="002648B0" w:rsidRPr="00A30C4C" w14:paraId="448E168D" w14:textId="77777777" w:rsidTr="00672D2A">
        <w:tc>
          <w:tcPr>
            <w:tcW w:w="1012" w:type="dxa"/>
          </w:tcPr>
          <w:p w14:paraId="48384768" w14:textId="77777777" w:rsidR="002648B0" w:rsidRPr="00A30C4C"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190</w:t>
            </w:r>
          </w:p>
        </w:tc>
        <w:tc>
          <w:tcPr>
            <w:tcW w:w="7478" w:type="dxa"/>
          </w:tcPr>
          <w:p w14:paraId="32182C03"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Pr>
                <w:rStyle w:val="InstructionsTabelleberschrift"/>
                <w:rFonts w:ascii="Times New Roman" w:hAnsi="Times New Roman"/>
                <w:sz w:val="24"/>
              </w:rPr>
              <w:tab/>
              <w:t>Imovina mirovinskog fonda pod pokroviteljstvom poslodavca</w:t>
            </w:r>
          </w:p>
          <w:p w14:paraId="645D30A6" w14:textId="1775D71E"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33. stavak 1. točka (e), članak 469. stavak 1., članak 472. stavak 7., članci 473. i 478. CRR-a</w:t>
            </w:r>
          </w:p>
          <w:p w14:paraId="66204E08" w14:textId="1ECA5851"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prethodno navedene imovine mirovinskog fonda pod pokroviteljstvom poslodavca koji je potrebno odbiti, institucije uzimaju u obzir odredbe članka 41. CRR-a</w:t>
            </w:r>
          </w:p>
          <w:p w14:paraId="005E812C" w14:textId="24397C15"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36. stavkom 1. točkom (e) CRR-a.</w:t>
            </w:r>
          </w:p>
        </w:tc>
      </w:tr>
      <w:tr w:rsidR="00B11D0D" w:rsidRPr="00A30C4C" w14:paraId="29112ADA" w14:textId="77777777" w:rsidTr="00672D2A">
        <w:tc>
          <w:tcPr>
            <w:tcW w:w="1012" w:type="dxa"/>
          </w:tcPr>
          <w:p w14:paraId="1A040774" w14:textId="77777777" w:rsidR="00B11D0D" w:rsidRPr="00A30C4C"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14:paraId="279EA20B" w14:textId="77777777" w:rsidR="00B11D0D" w:rsidRPr="00A30C4C"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Pr>
                <w:rStyle w:val="InstructionsTabelleberschrift"/>
                <w:rFonts w:ascii="Times New Roman" w:hAnsi="Times New Roman"/>
                <w:sz w:val="24"/>
              </w:rPr>
              <w:tab/>
              <w:t>od čega: uvođenje izmjena MRS-a 19 – pozitivna stavka</w:t>
            </w:r>
          </w:p>
          <w:p w14:paraId="0BBB3C9E" w14:textId="4C59EDF2" w:rsidR="00B11D0D" w:rsidRPr="00A30C4C"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Članak 473. CRR-a</w:t>
            </w:r>
          </w:p>
        </w:tc>
      </w:tr>
      <w:tr w:rsidR="00A60195" w:rsidRPr="00A30C4C" w14:paraId="69715AAF" w14:textId="77777777" w:rsidTr="00672D2A">
        <w:tc>
          <w:tcPr>
            <w:tcW w:w="1012" w:type="dxa"/>
          </w:tcPr>
          <w:p w14:paraId="12A5C28B"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198</w:t>
            </w:r>
          </w:p>
        </w:tc>
        <w:tc>
          <w:tcPr>
            <w:tcW w:w="7478" w:type="dxa"/>
          </w:tcPr>
          <w:p w14:paraId="7C24FDB3"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rPr>
                <w:rStyle w:val="InstructionsTabelleberschrift"/>
                <w:rFonts w:ascii="Times New Roman" w:hAnsi="Times New Roman"/>
                <w:sz w:val="24"/>
              </w:rPr>
              <w:tab/>
              <w:t>od čega: uvođenje izmjena MRS-a 19 – negativna stavka</w:t>
            </w:r>
          </w:p>
          <w:p w14:paraId="3225A680" w14:textId="310A3F39" w:rsidR="00A60195" w:rsidRPr="00A30C4C"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Članak 473. CRR-a</w:t>
            </w:r>
          </w:p>
        </w:tc>
      </w:tr>
      <w:tr w:rsidR="00A60195" w:rsidRPr="00A30C4C" w14:paraId="63FDF032" w14:textId="77777777" w:rsidTr="00672D2A">
        <w:tc>
          <w:tcPr>
            <w:tcW w:w="1012" w:type="dxa"/>
          </w:tcPr>
          <w:p w14:paraId="3CB0D1C7"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14:paraId="666C8FD7"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rPr>
                <w:rStyle w:val="InstructionsTabelleberschrift"/>
                <w:rFonts w:ascii="Times New Roman" w:hAnsi="Times New Roman"/>
                <w:sz w:val="24"/>
              </w:rPr>
              <w:tab/>
              <w:t>Vlastiti instrumenti</w:t>
            </w:r>
          </w:p>
          <w:p w14:paraId="6DD70F0F" w14:textId="7F593D48"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(f), članak 469. stavak 1., članak 472. stavak 8. i članak 478. CRR-a</w:t>
            </w:r>
          </w:p>
          <w:p w14:paraId="6E699820" w14:textId="09345648"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36. stavkom 1. točkom (f) CRR-a.</w:t>
            </w:r>
          </w:p>
        </w:tc>
      </w:tr>
      <w:tr w:rsidR="00A60195" w:rsidRPr="00A30C4C" w14:paraId="793E04B5" w14:textId="77777777" w:rsidTr="00672D2A">
        <w:tc>
          <w:tcPr>
            <w:tcW w:w="1012" w:type="dxa"/>
          </w:tcPr>
          <w:p w14:paraId="1FF48FA6"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14:paraId="043792D9"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63094381" w14:textId="6F9EF810"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723C0B">
              <w:rPr>
                <w:rStyle w:val="InstructionsTabelleberschrift"/>
                <w:rFonts w:ascii="Times New Roman" w:hAnsi="Times New Roman"/>
                <w:sz w:val="24"/>
              </w:rPr>
              <w:t>.</w:t>
            </w:r>
            <w:r>
              <w:rPr>
                <w:rStyle w:val="InstructionsTabelleberschrift"/>
                <w:rFonts w:ascii="Times New Roman" w:hAnsi="Times New Roman"/>
                <w:sz w:val="24"/>
              </w:rPr>
              <w:tab/>
              <w:t>Vlastiti instrumenti redovnog osnovnog kapitala</w:t>
            </w:r>
          </w:p>
          <w:p w14:paraId="756FA04D" w14:textId="37DEC479"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(f), članak 469. stavak 1., članak 472. stavak 8. i članak 478. CRR-a</w:t>
            </w:r>
          </w:p>
          <w:p w14:paraId="110B4277" w14:textId="6B0DDD7E"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prethodno navedenih vlastitih instrumenata redovnog osnovnog kapitala koji je potrebno odbiti, institucije uzimaju u obzir članak 42. CRR-a.</w:t>
            </w:r>
          </w:p>
          <w:p w14:paraId="78018FF7" w14:textId="132602E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Budući da se tretman „preostalog iznosa” razlikuje ovisno o prirodi instrumenta, institucije raščlanjuju ulaganja u vlastite instrumente redovnog kapitala u „izravna” i „neizravna” ulaganja.</w:t>
            </w:r>
          </w:p>
          <w:p w14:paraId="6EFCF488" w14:textId="7566E887"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36. stavkom 1. točkom (f) CRR-a.</w:t>
            </w:r>
          </w:p>
        </w:tc>
      </w:tr>
      <w:tr w:rsidR="00A60195" w:rsidRPr="00A30C4C" w14:paraId="390FBB1F" w14:textId="77777777" w:rsidTr="00672D2A">
        <w:tc>
          <w:tcPr>
            <w:tcW w:w="1012" w:type="dxa"/>
          </w:tcPr>
          <w:p w14:paraId="5B4784F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14:paraId="61C5099D" w14:textId="4F656F39" w:rsidR="00213E0E" w:rsidRPr="00A30C4C"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rsidR="00723C0B">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izravna ulaganja</w:t>
            </w:r>
          </w:p>
          <w:p w14:paraId="5F0EBEF9" w14:textId="0EE477C7" w:rsidR="00213E0E"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469. stavak 1. točka (b) i članak 472. stavak 8. točka (a) CRR-a</w:t>
            </w:r>
          </w:p>
          <w:p w14:paraId="53C148B9"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Iznos koji se iskazuje u stupcu 060 ovog retka: Ukupni iznos izravnih ulaganja, uključujući instrumente koje bi institucija mogla biti obvezna kupiti na temelju postojeće ili potencijalne ugovorne obveze. </w:t>
            </w:r>
          </w:p>
        </w:tc>
      </w:tr>
      <w:tr w:rsidR="00A60195" w:rsidRPr="00A30C4C" w14:paraId="2CF01656" w14:textId="77777777" w:rsidTr="00672D2A">
        <w:tc>
          <w:tcPr>
            <w:tcW w:w="1012" w:type="dxa"/>
          </w:tcPr>
          <w:p w14:paraId="2B8A6CE7"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14:paraId="7880AF2F" w14:textId="472250B0" w:rsidR="00A60195" w:rsidRPr="00A30C4C"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rsidR="00723C0B">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neizravna ulaganja</w:t>
            </w:r>
          </w:p>
          <w:p w14:paraId="7BCD9309"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Članak 469. stavak 1. točka (b) i članak 472. stavak 8. točka (b) CRR-a</w:t>
            </w:r>
          </w:p>
          <w:p w14:paraId="34DA11F8" w14:textId="77777777" w:rsidR="00A60195" w:rsidRPr="00A30C4C"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060 ovog retka: Ukupni iznos neizravnih ulaganja, uključujući instrumente koje bi institucija mogla biti obvezna kupiti na temelju postojeće ili potencijalne ugovorne obveze.</w:t>
            </w:r>
          </w:p>
        </w:tc>
      </w:tr>
      <w:tr w:rsidR="00A60195" w:rsidRPr="00A30C4C" w14:paraId="5081264F" w14:textId="77777777" w:rsidTr="00672D2A">
        <w:tc>
          <w:tcPr>
            <w:tcW w:w="1012" w:type="dxa"/>
          </w:tcPr>
          <w:p w14:paraId="1195A069"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14:paraId="34379458" w14:textId="13CC89E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723C0B">
              <w:rPr>
                <w:rStyle w:val="InstructionsTabelleberschrift"/>
                <w:rFonts w:ascii="Times New Roman" w:hAnsi="Times New Roman"/>
                <w:sz w:val="24"/>
              </w:rPr>
              <w:t>.</w:t>
            </w:r>
            <w:r>
              <w:rPr>
                <w:rStyle w:val="InstructionsTabelleberschrift"/>
                <w:rFonts w:ascii="Times New Roman" w:hAnsi="Times New Roman"/>
                <w:sz w:val="24"/>
              </w:rPr>
              <w:tab/>
              <w:t>Vlastiti instrumenti dodatnog osnovnog kapitala</w:t>
            </w:r>
          </w:p>
          <w:p w14:paraId="5342B049" w14:textId="419705C9"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Članak 56. točka (a), članak 474., članak 475. stavak 2. i članak 478. CRR-a</w:t>
            </w:r>
          </w:p>
          <w:p w14:paraId="4071C2D3" w14:textId="59C5D732"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prethodno navedenih ulaganja koji je potrebno odbiti, institucije uzimaju u obzir odredbe članka 57. CRR-a</w:t>
            </w:r>
          </w:p>
          <w:p w14:paraId="674BFE7A" w14:textId="1821D0FE"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Budući da se tretman „preostalog iznosa” razlikuje ovisno o prirodi instrumenta (članak 475. stavak 2. CRR-a), institucije raščlanjuju prethodno navedena ulaganja u „izravna” i „neizravna” vlastita ulaganja u dodatni osnovni kapital.</w:t>
            </w:r>
          </w:p>
          <w:p w14:paraId="696E88C0" w14:textId="21F37D2C"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56. točkom (a) CRR-a.</w:t>
            </w:r>
          </w:p>
        </w:tc>
      </w:tr>
      <w:tr w:rsidR="00A60195" w:rsidRPr="00A30C4C" w14:paraId="47B22F43" w14:textId="77777777" w:rsidTr="00672D2A">
        <w:tc>
          <w:tcPr>
            <w:tcW w:w="1012" w:type="dxa"/>
          </w:tcPr>
          <w:p w14:paraId="05A78882"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221</w:t>
            </w:r>
          </w:p>
        </w:tc>
        <w:tc>
          <w:tcPr>
            <w:tcW w:w="7478" w:type="dxa"/>
          </w:tcPr>
          <w:p w14:paraId="072C949C" w14:textId="7DBD1DAF" w:rsidR="00A60195" w:rsidRPr="00A30C4C"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723C0B">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izravna ulaganja</w:t>
            </w:r>
          </w:p>
          <w:p w14:paraId="544DCCAF" w14:textId="6F0CECE8" w:rsidR="00A60195" w:rsidRPr="00A30C4C" w:rsidRDefault="00A60195" w:rsidP="00BB22D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060 ovog retka: Ukupni iznos izravnih ulaganja, uključujući instrumente koje bi institucija mogla biti obvezna kupiti na temelju postojeće ili potencijalne ugovorne obveze u skladu s člankom 474. točkom (b) i člankom 475. stavkom 2. točkom (a) CRR-a.</w:t>
            </w:r>
          </w:p>
        </w:tc>
      </w:tr>
      <w:tr w:rsidR="00A60195" w:rsidRPr="00A30C4C" w14:paraId="5EDEFB7F" w14:textId="77777777" w:rsidTr="00672D2A">
        <w:tc>
          <w:tcPr>
            <w:tcW w:w="1012" w:type="dxa"/>
          </w:tcPr>
          <w:p w14:paraId="19CC0771"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222</w:t>
            </w:r>
          </w:p>
        </w:tc>
        <w:tc>
          <w:tcPr>
            <w:tcW w:w="7478" w:type="dxa"/>
          </w:tcPr>
          <w:p w14:paraId="43463552" w14:textId="037BFC53" w:rsidR="00A60195" w:rsidRPr="00A30C4C"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rsidR="00723C0B">
              <w:rPr>
                <w:rStyle w:val="InstructionsTabelleberschrift"/>
                <w:rFonts w:ascii="Times New Roman" w:hAnsi="Times New Roman"/>
                <w:sz w:val="24"/>
              </w:rPr>
              <w:t>.</w:t>
            </w:r>
            <w:r>
              <w:rPr>
                <w:rStyle w:val="InstructionsTabelleberschrift"/>
                <w:rFonts w:ascii="Times New Roman" w:hAnsi="Times New Roman"/>
                <w:sz w:val="24"/>
              </w:rPr>
              <w:t>*</w:t>
            </w:r>
            <w:r>
              <w:rPr>
                <w:rStyle w:val="InstructionsTabelleberschrift"/>
                <w:rFonts w:ascii="Times New Roman" w:hAnsi="Times New Roman"/>
                <w:sz w:val="24"/>
              </w:rPr>
              <w:tab/>
              <w:t>od čega: neizravna ulaganja</w:t>
            </w:r>
          </w:p>
          <w:p w14:paraId="77785843" w14:textId="24BAA4CC" w:rsidR="00A60195" w:rsidRPr="00A30C4C"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060 ovog retka: Ukupni iznos neizravnih ulaganja, uključujući instrumente koje bi institucija mogla biti obvezna kupiti na temelju postojeće ili potencijalne ugovorne obveze u skladu s člankom 474. točkom (b) i člankom 475. stavkom 2. točkom (b) CRR-a.</w:t>
            </w:r>
          </w:p>
        </w:tc>
      </w:tr>
      <w:tr w:rsidR="00A60195" w:rsidRPr="00A30C4C" w14:paraId="67D794BA" w14:textId="77777777" w:rsidTr="00672D2A">
        <w:tc>
          <w:tcPr>
            <w:tcW w:w="1012" w:type="dxa"/>
          </w:tcPr>
          <w:p w14:paraId="2B632C67"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14:paraId="16AB2929" w14:textId="23FB397B"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rsidR="00723C0B">
              <w:rPr>
                <w:rStyle w:val="InstructionsTabelleberschrift"/>
                <w:rFonts w:ascii="Times New Roman" w:hAnsi="Times New Roman"/>
                <w:sz w:val="24"/>
              </w:rPr>
              <w:t>.</w:t>
            </w:r>
            <w:r>
              <w:rPr>
                <w:rStyle w:val="InstructionsTabelleberschrift"/>
                <w:rFonts w:ascii="Times New Roman" w:hAnsi="Times New Roman"/>
                <w:sz w:val="24"/>
              </w:rPr>
              <w:tab/>
              <w:t>Vlastiti instrumenti dopunskog kapitala</w:t>
            </w:r>
          </w:p>
          <w:p w14:paraId="3F56D725" w14:textId="66C7CF43"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66. točka (a), članak 476., članak 477. stavak 2. i članak 478. CRR-a</w:t>
            </w:r>
          </w:p>
          <w:p w14:paraId="01888AB3" w14:textId="1A67293D"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Pri određivanju iznosa ulaganja koji je potrebno odbiti, institucije uzimaju u obzir odredbe članka 67. CRR-a</w:t>
            </w:r>
          </w:p>
          <w:p w14:paraId="6E3DA9D9" w14:textId="02A5D238"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Budući da se tretman „preostalog iznosa” razlikuje ovisno o prirodi instrumenta (članak 477. stavak 2. CRR-a), institucije raščlanjuju prethodno navedena ulaganja prema „izravnim” i „neizravnim” vlastitim ulaganjima u dopunski kapital.</w:t>
            </w:r>
          </w:p>
          <w:p w14:paraId="4EA9EC35" w14:textId="1ECDA758" w:rsidR="00A60195" w:rsidRPr="00A30C4C" w:rsidRDefault="00A60195" w:rsidP="001E0C80">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66. točkom (a) CRR-a.</w:t>
            </w:r>
          </w:p>
        </w:tc>
      </w:tr>
      <w:tr w:rsidR="00A60195" w:rsidRPr="00A30C4C" w14:paraId="03FD5E74" w14:textId="77777777" w:rsidTr="00672D2A">
        <w:tc>
          <w:tcPr>
            <w:tcW w:w="1012" w:type="dxa"/>
          </w:tcPr>
          <w:p w14:paraId="54719DDA"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14:paraId="25C19ED2" w14:textId="7777777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izravna ulaganja</w:t>
            </w:r>
          </w:p>
          <w:p w14:paraId="0FF6A3FA" w14:textId="3275B09A" w:rsidR="00A60195" w:rsidRPr="00A30C4C" w:rsidRDefault="00A60195" w:rsidP="00BB22D4">
            <w:pPr>
              <w:pStyle w:val="InstructionsText"/>
              <w:rPr>
                <w:rStyle w:val="InstructionsTabelleberschrift"/>
                <w:rFonts w:ascii="Times New Roman" w:hAnsi="Times New Roman"/>
                <w:sz w:val="24"/>
              </w:rPr>
            </w:pPr>
            <w:r>
              <w:rPr>
                <w:rStyle w:val="InstructionsTabelleText"/>
                <w:rFonts w:ascii="Times New Roman" w:hAnsi="Times New Roman"/>
                <w:sz w:val="24"/>
              </w:rPr>
              <w:t>Iznos koji se iskazuje u stupcu 060 ovog retka: Ukupni iznos izravnih ulaganja, uključujući instrumente koje bi institucija mogla biti obvezna kupiti na temelju postojeće ili potencijalne ugovorne obveze u skladu s člankom 476. točkom (b) i člankom 477. stavkom 2. točkom (a) CRR-a.</w:t>
            </w:r>
          </w:p>
        </w:tc>
      </w:tr>
      <w:tr w:rsidR="00A60195" w:rsidRPr="00A30C4C" w14:paraId="50DCE9EB" w14:textId="77777777" w:rsidTr="00672D2A">
        <w:tc>
          <w:tcPr>
            <w:tcW w:w="1012" w:type="dxa"/>
          </w:tcPr>
          <w:p w14:paraId="2A1D3732"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14:paraId="3DDB55B3"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22739A62" w14:textId="7777777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neizravna ulaganja</w:t>
            </w:r>
          </w:p>
          <w:p w14:paraId="47F659B9" w14:textId="51E8FFB9" w:rsidR="00A60195" w:rsidRPr="00A30C4C"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060 ovog retka: Ukupni iznos neizravnih ulaganja, uključujući instrumente koje bi institucija mogla biti obvezna kupiti na temelju postojeće ili potencijalne ugovorne obveze u skladu s člankom 476. točkom (b) i člankom 477. stavkom 2. točkom (b) CRR-a.</w:t>
            </w:r>
          </w:p>
        </w:tc>
      </w:tr>
      <w:tr w:rsidR="00A60195" w:rsidRPr="00A30C4C" w14:paraId="533F9CB8" w14:textId="77777777" w:rsidTr="00672D2A">
        <w:tc>
          <w:tcPr>
            <w:tcW w:w="1012" w:type="dxa"/>
          </w:tcPr>
          <w:p w14:paraId="4606C2CC"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14:paraId="0C6BF191"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rPr>
                <w:rStyle w:val="InstructionsTabelleberschrift"/>
                <w:rFonts w:ascii="Times New Roman" w:hAnsi="Times New Roman"/>
                <w:sz w:val="24"/>
              </w:rPr>
              <w:tab/>
              <w:t>Recipročna međusobna ulaganja</w:t>
            </w:r>
          </w:p>
          <w:p w14:paraId="241EF8E8" w14:textId="351C527E" w:rsidR="00A60195" w:rsidRPr="00A30C4C" w:rsidRDefault="00A60195" w:rsidP="00BB22D4">
            <w:pPr>
              <w:spacing w:before="0"/>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Budući da se tretman „preostalog iznosa” razlikuje ovisno o tome treba li ulaganje u redovni osnovni kapital, dodatni osnovni kapital</w:t>
            </w:r>
            <w:r>
              <w:rPr>
                <w:rFonts w:ascii="Times New Roman" w:hAnsi="Times New Roman"/>
                <w:sz w:val="24"/>
              </w:rPr>
              <w:t xml:space="preserve"> </w:t>
            </w:r>
            <w:r>
              <w:rPr>
                <w:rStyle w:val="InstructionsTabelleText"/>
                <w:rFonts w:ascii="Times New Roman" w:hAnsi="Times New Roman"/>
                <w:sz w:val="24"/>
              </w:rPr>
              <w:t>ili dopunski kapital u subjektu financijskog sektora smatrati značajnim ili ne (članak 472. stavak 9., članak 475. stavak 3. i članak 477. stavak 3. CRR-a), institucije raščlanjuju recipročna međusobna ulaganja prema značajnim ulaganjima i ulaganjima koja nisu značajna.</w:t>
            </w:r>
          </w:p>
        </w:tc>
      </w:tr>
      <w:tr w:rsidR="00A60195" w:rsidRPr="00A30C4C" w14:paraId="01BDBA6D" w14:textId="77777777" w:rsidTr="00672D2A">
        <w:tc>
          <w:tcPr>
            <w:tcW w:w="1012" w:type="dxa"/>
          </w:tcPr>
          <w:p w14:paraId="4A6C20C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250</w:t>
            </w:r>
          </w:p>
        </w:tc>
        <w:tc>
          <w:tcPr>
            <w:tcW w:w="7478" w:type="dxa"/>
          </w:tcPr>
          <w:p w14:paraId="31323548" w14:textId="18BA5570"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redovni osnovni kapital</w:t>
            </w:r>
          </w:p>
          <w:p w14:paraId="6E32CD77" w14:textId="5A5E926E"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(g), članak 469. stavak 1., članak 472. stavak 9. i članak 478. CRR-a</w:t>
            </w:r>
          </w:p>
          <w:p w14:paraId="2E0144EB" w14:textId="54F6EACA" w:rsidR="00A60195" w:rsidRPr="00A30C4C" w:rsidRDefault="00A60195" w:rsidP="00BB22D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Iznos koji se iskazuje u stupcu 060 ovog retka: originalni odbitak u skladu s člankom 36. stavkom 1. točkom (g) CRR-a.</w:t>
            </w:r>
          </w:p>
        </w:tc>
      </w:tr>
      <w:tr w:rsidR="00A60195" w:rsidRPr="00A30C4C" w14:paraId="1C8169C7" w14:textId="77777777" w:rsidTr="00672D2A">
        <w:tc>
          <w:tcPr>
            <w:tcW w:w="1012" w:type="dxa"/>
          </w:tcPr>
          <w:p w14:paraId="66A58CE9"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14:paraId="781BB204" w14:textId="28838E43"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redovni osnovni kapital subjekata financijskog sektora ako institucija nema značajno ulaganje</w:t>
            </w:r>
          </w:p>
          <w:p w14:paraId="59893F75" w14:textId="17628D9A"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(g), članak 469. stavak 1., članak 472. stavak 9. točka (a) i članak 478. CRR-a</w:t>
            </w:r>
          </w:p>
          <w:p w14:paraId="01545D06" w14:textId="55BFF63A"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preostali iznos u skladu s člankom 469. stavkom 1. točkom (b) CRR-a.</w:t>
            </w:r>
          </w:p>
        </w:tc>
      </w:tr>
      <w:tr w:rsidR="00A60195" w:rsidRPr="00A30C4C" w14:paraId="5C092C88" w14:textId="77777777" w:rsidTr="00672D2A">
        <w:tc>
          <w:tcPr>
            <w:tcW w:w="1012" w:type="dxa"/>
          </w:tcPr>
          <w:p w14:paraId="2BC3AC6B"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270</w:t>
            </w:r>
          </w:p>
        </w:tc>
        <w:tc>
          <w:tcPr>
            <w:tcW w:w="7478" w:type="dxa"/>
          </w:tcPr>
          <w:p w14:paraId="0CBA61E6" w14:textId="4645F922"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redovni osnovni kapital subjekata financijskog sektora ako institucija ima značajno ulaganje</w:t>
            </w:r>
          </w:p>
          <w:p w14:paraId="654A684A"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(g), članak 469. stavak 1., članak 472. stavak 9. točka (b) i članak 478. CRR-a</w:t>
            </w:r>
          </w:p>
          <w:p w14:paraId="13FC95BD" w14:textId="71F93C72" w:rsidR="00A60195" w:rsidRPr="00A30C4C" w:rsidRDefault="00A60195" w:rsidP="0088587E">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preostali iznos u skladu s člankom 469. stavkom 1. točkom (b) CRR-a</w:t>
            </w:r>
          </w:p>
        </w:tc>
      </w:tr>
      <w:tr w:rsidR="00A60195" w:rsidRPr="00A30C4C" w14:paraId="241FB5AC" w14:textId="77777777" w:rsidTr="00672D2A">
        <w:tc>
          <w:tcPr>
            <w:tcW w:w="1012" w:type="dxa"/>
          </w:tcPr>
          <w:p w14:paraId="66FE3213"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14:paraId="40D3E67B" w14:textId="0AE74C6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dodatni osnovni kapital</w:t>
            </w:r>
          </w:p>
          <w:p w14:paraId="1C3DE5E3" w14:textId="36BD75F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56. točka (b), članak 474., članak 475. stavak 3. i članak 478. CRR-a</w:t>
            </w:r>
          </w:p>
          <w:p w14:paraId="0DA8E9D8" w14:textId="26B00297"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56. točkom (b) CRR-a.</w:t>
            </w:r>
          </w:p>
        </w:tc>
      </w:tr>
      <w:tr w:rsidR="00A60195" w:rsidRPr="00A30C4C" w14:paraId="325C3B8D" w14:textId="77777777" w:rsidTr="00672D2A">
        <w:tc>
          <w:tcPr>
            <w:tcW w:w="1012" w:type="dxa"/>
          </w:tcPr>
          <w:p w14:paraId="6F8955C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14:paraId="02ACD2BF" w14:textId="682188A6"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dodatni osnovni kapital subjekata financijskog sektora ako institucija nema značajno ulaganje</w:t>
            </w:r>
          </w:p>
          <w:p w14:paraId="3B1D8AE1"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Članak 56. točka (b), članak 474., članak 475. stavak 3. točka (a) i članak 478. CRR-a</w:t>
            </w:r>
          </w:p>
          <w:p w14:paraId="14C3B0A4" w14:textId="77D84F74"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preostali iznos u skladu s člankom 475. stavkom 3. CRR-a</w:t>
            </w:r>
          </w:p>
        </w:tc>
      </w:tr>
      <w:tr w:rsidR="00A60195" w:rsidRPr="00A30C4C" w14:paraId="1EB2D1E2" w14:textId="77777777" w:rsidTr="00672D2A">
        <w:tc>
          <w:tcPr>
            <w:tcW w:w="1012" w:type="dxa"/>
          </w:tcPr>
          <w:p w14:paraId="17655E00"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14:paraId="26D3EE4F" w14:textId="57BD0F36"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dodatni osnovni kapital subjekata financijskog sektora ako institucija ima značajno ulaganje</w:t>
            </w:r>
          </w:p>
          <w:p w14:paraId="2B6A0B0B"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Članak 56. točka (b), članak 474., članak 475. stavak 3. točka (b) i članak 478. CRR-a</w:t>
            </w:r>
          </w:p>
          <w:p w14:paraId="26A4E35B" w14:textId="6F95E20E"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Iznos koji se iskazuje u stupcu 060 ovog retka: preostali iznos u skladu s člankom 475. stavkom 3. CRR-a</w:t>
            </w:r>
          </w:p>
        </w:tc>
      </w:tr>
      <w:tr w:rsidR="00A60195" w:rsidRPr="00A30C4C" w14:paraId="7B23C126" w14:textId="77777777" w:rsidTr="00672D2A">
        <w:tc>
          <w:tcPr>
            <w:tcW w:w="1012" w:type="dxa"/>
          </w:tcPr>
          <w:p w14:paraId="4D2A8AF1"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310</w:t>
            </w:r>
          </w:p>
        </w:tc>
        <w:tc>
          <w:tcPr>
            <w:tcW w:w="7478" w:type="dxa"/>
          </w:tcPr>
          <w:p w14:paraId="74211019" w14:textId="2D9012C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dopunski kapital</w:t>
            </w:r>
          </w:p>
          <w:p w14:paraId="3373730A" w14:textId="5ACDB7E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66. točka (b), članak 476., članak 477. stavak 3. i članak 478. CRR-a</w:t>
            </w:r>
          </w:p>
          <w:p w14:paraId="6F110618" w14:textId="50E81A9F" w:rsidR="00A60195" w:rsidRPr="00A30C4C" w:rsidRDefault="00A60195" w:rsidP="001E0C80">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w:t>
            </w:r>
            <w:r>
              <w:t xml:space="preserve"> </w:t>
            </w:r>
            <w:r>
              <w:rPr>
                <w:rStyle w:val="InstructionsTabelleText"/>
                <w:rFonts w:ascii="Times New Roman" w:hAnsi="Times New Roman"/>
                <w:sz w:val="24"/>
              </w:rPr>
              <w:t>originalni odbitak u skladu s člankom 66. točkom (b) CRR-a.</w:t>
            </w:r>
          </w:p>
        </w:tc>
      </w:tr>
      <w:tr w:rsidR="00A60195" w:rsidRPr="00A30C4C" w14:paraId="3EBCC695" w14:textId="77777777" w:rsidTr="00672D2A">
        <w:tc>
          <w:tcPr>
            <w:tcW w:w="1012" w:type="dxa"/>
          </w:tcPr>
          <w:p w14:paraId="25B5C784"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14:paraId="49B3DE68" w14:textId="333CB881"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dopunski kapital subjekata financijskog sektora ako institucija nema značajno ulaganje</w:t>
            </w:r>
          </w:p>
          <w:p w14:paraId="14681240" w14:textId="735235DA"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Članak 66. točka (b), članak 476., članak 477. stavak 3. točka (a) i članak 478. CRR-a</w:t>
            </w:r>
          </w:p>
          <w:p w14:paraId="0DC44CA3" w14:textId="20BFEE63"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preostali iznos u skladu s člankom 477. stavkom 3. CRR-a</w:t>
            </w:r>
          </w:p>
        </w:tc>
      </w:tr>
      <w:tr w:rsidR="00A60195" w:rsidRPr="00A30C4C" w14:paraId="3385AA1F" w14:textId="77777777" w:rsidTr="00672D2A">
        <w:tc>
          <w:tcPr>
            <w:tcW w:w="1012" w:type="dxa"/>
          </w:tcPr>
          <w:p w14:paraId="6B1B12E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14:paraId="08B0FA6B" w14:textId="3E5AA6FC"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rsidR="00723C0B">
              <w:rPr>
                <w:rStyle w:val="InstructionsTabelleberschrift"/>
                <w:rFonts w:ascii="Times New Roman" w:hAnsi="Times New Roman"/>
                <w:sz w:val="24"/>
              </w:rPr>
              <w:t>.</w:t>
            </w:r>
            <w:r>
              <w:rPr>
                <w:rStyle w:val="InstructionsTabelleberschrift"/>
                <w:rFonts w:ascii="Times New Roman" w:hAnsi="Times New Roman"/>
                <w:sz w:val="24"/>
              </w:rPr>
              <w:tab/>
              <w:t>Recipročna međusobna ulaganja u dopunski kapital subjekata financijskog sektora ako institucija ima značajno ulaganje</w:t>
            </w:r>
          </w:p>
          <w:p w14:paraId="08838DE7" w14:textId="7E291910"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Članak 66. točka (b), članak 476., članak 477. stavak 3. točka (a) i članak 478. CRR-a</w:t>
            </w:r>
          </w:p>
          <w:p w14:paraId="00F78A6A" w14:textId="72920460"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preostali iznos u skladu s člankom 477. stavkom 3. CRR-a</w:t>
            </w:r>
          </w:p>
        </w:tc>
      </w:tr>
      <w:tr w:rsidR="00A60195" w:rsidRPr="00A30C4C" w14:paraId="63CDFA28" w14:textId="77777777" w:rsidTr="00672D2A">
        <w:tc>
          <w:tcPr>
            <w:tcW w:w="1012" w:type="dxa"/>
          </w:tcPr>
          <w:p w14:paraId="29DC482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340</w:t>
            </w:r>
          </w:p>
        </w:tc>
        <w:tc>
          <w:tcPr>
            <w:tcW w:w="7478" w:type="dxa"/>
          </w:tcPr>
          <w:p w14:paraId="02C89377" w14:textId="7777777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rPr>
                <w:rStyle w:val="InstructionsTabelleberschrift"/>
                <w:rFonts w:ascii="Times New Roman" w:hAnsi="Times New Roman"/>
                <w:sz w:val="24"/>
              </w:rPr>
              <w:tab/>
              <w:t>Instrumenti regulatornog kapitala subjekata financijskog sektora ako institucija nema značajno ulaganje</w:t>
            </w:r>
          </w:p>
        </w:tc>
      </w:tr>
      <w:tr w:rsidR="00A60195" w:rsidRPr="00A30C4C" w14:paraId="75EFB10E" w14:textId="77777777" w:rsidTr="00672D2A">
        <w:tc>
          <w:tcPr>
            <w:tcW w:w="1012" w:type="dxa"/>
          </w:tcPr>
          <w:p w14:paraId="7002C262"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14:paraId="34E82DB3" w14:textId="6AE55792"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redovnog osnovnog kapitala subjekata financijskog sektora ako institucija nema značajno ulaganje</w:t>
            </w:r>
          </w:p>
          <w:p w14:paraId="4A2E0EDC" w14:textId="2584F7F6"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(h), članak 469. stavak 1., članak 472. stavak 10. i članak 478. CRR-a</w:t>
            </w:r>
          </w:p>
          <w:p w14:paraId="63FCD7CD" w14:textId="260FCEE5"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36. stavkom 1. točkom (h) CRR-a.</w:t>
            </w:r>
          </w:p>
        </w:tc>
      </w:tr>
      <w:tr w:rsidR="00A60195" w:rsidRPr="00A30C4C" w14:paraId="4FDF3963" w14:textId="77777777" w:rsidTr="00672D2A">
        <w:tc>
          <w:tcPr>
            <w:tcW w:w="1012" w:type="dxa"/>
          </w:tcPr>
          <w:p w14:paraId="0768614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14:paraId="4A685F38" w14:textId="719DFD22"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dodatnog osnovnog kapitala subjekata financijskog sektora ako institucija nema značajno ulaganje</w:t>
            </w:r>
          </w:p>
          <w:p w14:paraId="2119C84E" w14:textId="6E109E0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56. točka (c), članak 474., članak 475. stavak 4. i članak 478. CRR-a</w:t>
            </w:r>
          </w:p>
          <w:p w14:paraId="75260D75" w14:textId="303F222E"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56. točkom (c) CRR-a.</w:t>
            </w:r>
          </w:p>
        </w:tc>
      </w:tr>
      <w:tr w:rsidR="00A60195" w:rsidRPr="00A30C4C" w14:paraId="7CFBB2F4" w14:textId="77777777" w:rsidTr="00672D2A">
        <w:tc>
          <w:tcPr>
            <w:tcW w:w="1012" w:type="dxa"/>
          </w:tcPr>
          <w:p w14:paraId="41A97CC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14:paraId="1E24DB20" w14:textId="74CB8A84"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dopunskog kapitala subjekata financijskog sektora ako institucija nema značajno ulaganje</w:t>
            </w:r>
          </w:p>
          <w:p w14:paraId="06F725A2" w14:textId="38C33699"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66. točka (c), članak 476., članak 477. stavak 4. i članak 478. CRR-a</w:t>
            </w:r>
          </w:p>
          <w:p w14:paraId="526B6482" w14:textId="3E401A67"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66. točkom (c) CRR-a.</w:t>
            </w:r>
          </w:p>
        </w:tc>
      </w:tr>
      <w:tr w:rsidR="00A60195" w:rsidRPr="00A30C4C" w14:paraId="786115CC" w14:textId="77777777" w:rsidTr="00672D2A">
        <w:tc>
          <w:tcPr>
            <w:tcW w:w="1012" w:type="dxa"/>
          </w:tcPr>
          <w:p w14:paraId="5F0D31C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380</w:t>
            </w:r>
          </w:p>
        </w:tc>
        <w:tc>
          <w:tcPr>
            <w:tcW w:w="7478" w:type="dxa"/>
          </w:tcPr>
          <w:p w14:paraId="183B71F1" w14:textId="60EA74E6"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rsidR="00723C0B">
              <w:rPr>
                <w:rStyle w:val="InstructionsTabelleberschrift"/>
                <w:rFonts w:ascii="Times New Roman" w:hAnsi="Times New Roman"/>
                <w:sz w:val="24"/>
              </w:rPr>
              <w:t>.</w:t>
            </w:r>
            <w:r>
              <w:rPr>
                <w:rStyle w:val="InstructionsTabelleberschrift"/>
                <w:rFonts w:ascii="Times New Roman" w:hAnsi="Times New Roman"/>
                <w:sz w:val="24"/>
              </w:rPr>
              <w:tab/>
              <w:t>Odgođena porezna imovina koja ovisi o budućoj profitabilnosti i proizlazi iz privremenih razlika i instrumenti redovnog osnovnog kapitala subjekata financijskog sektora ako institucija ima značajno ulaganje</w:t>
            </w:r>
          </w:p>
          <w:p w14:paraId="3B8EEB70" w14:textId="3FBCB008" w:rsidR="00A60195" w:rsidRPr="00A30C4C" w:rsidRDefault="00167619"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470. stavci 2. i 3. CRR-a</w:t>
            </w:r>
          </w:p>
          <w:p w14:paraId="74EB0D10" w14:textId="2AEBE20C" w:rsidR="00A60195" w:rsidRPr="00A30C4C" w:rsidRDefault="00A60195" w:rsidP="001E0C80">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Članak 470. stavak 1. CRR-a</w:t>
            </w:r>
          </w:p>
        </w:tc>
      </w:tr>
      <w:tr w:rsidR="004A705D" w:rsidRPr="00A30C4C" w14:paraId="74EEC66A" w14:textId="77777777" w:rsidTr="00672D2A">
        <w:tc>
          <w:tcPr>
            <w:tcW w:w="1012" w:type="dxa"/>
          </w:tcPr>
          <w:p w14:paraId="3F8E1E08" w14:textId="77777777" w:rsidR="004A705D" w:rsidRPr="00A30C4C"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14:paraId="4A22FA8A" w14:textId="77777777" w:rsidR="004A705D" w:rsidRPr="00A30C4C"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Odgođena porezna imovina koja ovisi o budućoj profitabilnosti i proizlazi iz privremenih razlika</w:t>
            </w:r>
          </w:p>
          <w:p w14:paraId="3AF24D9C" w14:textId="14C2A0D3" w:rsidR="004A705D" w:rsidRPr="00A30C4C" w:rsidRDefault="00BB22D4" w:rsidP="00FD239F">
            <w:pPr>
              <w:pStyle w:val="InstructionsText"/>
              <w:rPr>
                <w:rStyle w:val="InstructionsTabelleText"/>
                <w:rFonts w:ascii="Times New Roman" w:hAnsi="Times New Roman"/>
                <w:bCs/>
                <w:sz w:val="24"/>
              </w:rPr>
            </w:pPr>
            <w:r>
              <w:rPr>
                <w:rStyle w:val="InstructionsTabelleText"/>
                <w:rFonts w:ascii="Times New Roman" w:hAnsi="Times New Roman"/>
                <w:bCs/>
                <w:sz w:val="24"/>
              </w:rPr>
              <w:t>Članak 469. stavak 1. točka (c), članak 472. stavak 5. i članak 478. CRR-a</w:t>
            </w:r>
          </w:p>
          <w:p w14:paraId="7C982C77" w14:textId="01643ABA" w:rsidR="004A705D" w:rsidRPr="00A30C4C" w:rsidRDefault="004A705D" w:rsidP="00BB22D4">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Dio odgođene porezne imovine koja ovisi o budućoj profitabilnosti i proizlazi iz privremenih razlika koji premašuje prag od 10 % iz članka 470. stavka 2. točke (a) CRR-a.</w:t>
            </w:r>
          </w:p>
        </w:tc>
      </w:tr>
      <w:tr w:rsidR="00A60195" w:rsidRPr="00A30C4C" w14:paraId="2023DCD6" w14:textId="77777777" w:rsidTr="00672D2A">
        <w:trPr>
          <w:trHeight w:val="60"/>
        </w:trPr>
        <w:tc>
          <w:tcPr>
            <w:tcW w:w="1012" w:type="dxa"/>
          </w:tcPr>
          <w:p w14:paraId="073ED403"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14:paraId="1058222D" w14:textId="1B283E9E"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regulatornog kapitala subjekata financijskog sektora ako institucija ima značajno ulaganje</w:t>
            </w:r>
          </w:p>
        </w:tc>
      </w:tr>
      <w:tr w:rsidR="00A60195" w:rsidRPr="00A30C4C" w14:paraId="3748CEFA" w14:textId="77777777" w:rsidTr="00672D2A">
        <w:tc>
          <w:tcPr>
            <w:tcW w:w="1012" w:type="dxa"/>
          </w:tcPr>
          <w:p w14:paraId="1ADBB1F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14:paraId="794741B8" w14:textId="0C37B1FD"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redovnog osnovnog kapitala subjekata financijskog sektora ako institucija ima značajno ulaganje</w:t>
            </w:r>
          </w:p>
          <w:p w14:paraId="3DB12CC0" w14:textId="1094C9E7"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36. stavak 1. točka (i), članak 469. stavak 1., članak 472. stavak 11. i članak 478. CRR-a</w:t>
            </w:r>
          </w:p>
          <w:p w14:paraId="510E93CC" w14:textId="13E451F4"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36. stavkom 1. točkom (i) CRR-a.</w:t>
            </w:r>
          </w:p>
        </w:tc>
      </w:tr>
      <w:tr w:rsidR="00A60195" w:rsidRPr="00A30C4C" w14:paraId="1DAFD9EE" w14:textId="77777777" w:rsidTr="00672D2A">
        <w:tc>
          <w:tcPr>
            <w:tcW w:w="1012" w:type="dxa"/>
          </w:tcPr>
          <w:p w14:paraId="7F392CCD"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14:paraId="4F78A876" w14:textId="6FD35651"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dodatnog osnovnog kapitala subjekata financijskog sektora ako institucija ima značajno ulaganje</w:t>
            </w:r>
          </w:p>
          <w:p w14:paraId="62E39799" w14:textId="0AB10383"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56. točka (d), članak 474., članak 475. stavak 4. i članak 478. CRR-a</w:t>
            </w:r>
          </w:p>
          <w:p w14:paraId="503BB587" w14:textId="1F5F1BFC"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56. točkom (d) CRR-a.</w:t>
            </w:r>
          </w:p>
        </w:tc>
      </w:tr>
      <w:tr w:rsidR="00A60195" w:rsidRPr="00A30C4C" w14:paraId="6FAB7611" w14:textId="77777777" w:rsidTr="00672D2A">
        <w:tc>
          <w:tcPr>
            <w:tcW w:w="1012" w:type="dxa"/>
          </w:tcPr>
          <w:p w14:paraId="7E4849C9"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420</w:t>
            </w:r>
          </w:p>
        </w:tc>
        <w:tc>
          <w:tcPr>
            <w:tcW w:w="7478" w:type="dxa"/>
          </w:tcPr>
          <w:p w14:paraId="3643AB6A" w14:textId="7838A4A4"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dopunskog kapitala subjekata financijskog sektora ako institucija ima značajno ulaganje</w:t>
            </w:r>
          </w:p>
          <w:p w14:paraId="5D13E409" w14:textId="58F0F90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66. točka (d), članak 476., članak 477. stavak 4. i članak 478. CRR-a</w:t>
            </w:r>
          </w:p>
          <w:p w14:paraId="5F202800" w14:textId="42757C21"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 stupcu 060 ovog retka: originalni odbitak u skladu s člankom 66. točkom (d) CRR-a</w:t>
            </w:r>
          </w:p>
        </w:tc>
      </w:tr>
      <w:tr w:rsidR="00A60195" w:rsidRPr="00A30C4C" w14:paraId="0B9FD5DC" w14:textId="77777777" w:rsidTr="00672D2A">
        <w:tc>
          <w:tcPr>
            <w:tcW w:w="1012" w:type="dxa"/>
          </w:tcPr>
          <w:p w14:paraId="1FDD63DD"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14:paraId="0B4CC82A" w14:textId="292F5369"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00723C0B">
              <w:rPr>
                <w:rStyle w:val="InstructionsTabelleberschrift"/>
                <w:rFonts w:ascii="Times New Roman" w:hAnsi="Times New Roman"/>
                <w:sz w:val="24"/>
              </w:rPr>
              <w:t>.</w:t>
            </w:r>
            <w:r>
              <w:rPr>
                <w:rStyle w:val="InstructionsTabelleberschrift"/>
                <w:rFonts w:ascii="Times New Roman" w:hAnsi="Times New Roman"/>
                <w:sz w:val="24"/>
              </w:rPr>
              <w:tab/>
              <w:t>Izuzeće od odbitka ulaganja u kapital društava za osiguranje od stavki redovnog osnovnog kapitala</w:t>
            </w:r>
          </w:p>
          <w:p w14:paraId="1BA7B38D" w14:textId="3027E64A" w:rsidR="00A60195" w:rsidRPr="00A30C4C"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471. CRR-a</w:t>
            </w:r>
          </w:p>
        </w:tc>
      </w:tr>
      <w:tr w:rsidR="00A60195" w:rsidRPr="00A30C4C" w14:paraId="36D940FB" w14:textId="77777777" w:rsidTr="00672D2A">
        <w:tc>
          <w:tcPr>
            <w:tcW w:w="1012" w:type="dxa"/>
          </w:tcPr>
          <w:p w14:paraId="0DDBFDCA"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14:paraId="4BA3EFF2"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6B38EE47" w14:textId="1436ADB9"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00723C0B">
              <w:rPr>
                <w:rStyle w:val="InstructionsTabelleberschrift"/>
                <w:rFonts w:ascii="Times New Roman" w:hAnsi="Times New Roman"/>
                <w:sz w:val="24"/>
              </w:rPr>
              <w:t>.</w:t>
            </w:r>
            <w:r>
              <w:rPr>
                <w:rStyle w:val="InstructionsTabelleberschrift"/>
                <w:rFonts w:ascii="Times New Roman" w:hAnsi="Times New Roman"/>
                <w:sz w:val="24"/>
              </w:rPr>
              <w:tab/>
              <w:t>Dodatni filtri i odbici</w:t>
            </w:r>
          </w:p>
          <w:p w14:paraId="021A120F" w14:textId="05BA78BB" w:rsidR="00A60195" w:rsidRPr="00A30C4C"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Članak 481. CRR-a</w:t>
            </w:r>
          </w:p>
          <w:p w14:paraId="3D336B18"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Ovaj redak odražava ukupni učinak prijelaznih odredbi na dodatne filtre i odbitke.</w:t>
            </w:r>
          </w:p>
          <w:p w14:paraId="78A0408C" w14:textId="5DB65B39" w:rsidR="00783881"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U skladu s člankom 481. CRR-a, u stavci 1.3.3 institucije iskazuju informacije o filtrima i odbicima zahtijevanima u skladu s nacionalnim mjerama za prenošenje članaka 57. i 66. Direktive 2006/48/EZ i članaka 13. i 16. Direktive 2006/49/EZ te koji nisu zahtijevani u skladu s dijelom drugim. </w:t>
            </w:r>
          </w:p>
        </w:tc>
      </w:tr>
      <w:tr w:rsidR="008B695F" w:rsidRPr="00A30C4C" w14:paraId="4AAC0D51" w14:textId="77777777" w:rsidTr="00672D2A">
        <w:tc>
          <w:tcPr>
            <w:tcW w:w="1012" w:type="dxa"/>
          </w:tcPr>
          <w:p w14:paraId="479EBC6B" w14:textId="77777777" w:rsidR="008B695F" w:rsidRPr="00A30C4C"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440</w:t>
            </w:r>
          </w:p>
        </w:tc>
        <w:tc>
          <w:tcPr>
            <w:tcW w:w="7478" w:type="dxa"/>
          </w:tcPr>
          <w:p w14:paraId="2FAF298B" w14:textId="51187E0F" w:rsidR="008B695F" w:rsidRPr="00A30C4C"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00723C0B">
              <w:rPr>
                <w:rStyle w:val="InstructionsTabelleberschrift"/>
                <w:rFonts w:ascii="Times New Roman" w:hAnsi="Times New Roman"/>
                <w:sz w:val="24"/>
              </w:rPr>
              <w:t>.</w:t>
            </w:r>
            <w:r>
              <w:rPr>
                <w:rStyle w:val="InstructionsTabelleberschrift"/>
                <w:rFonts w:ascii="Times New Roman" w:hAnsi="Times New Roman"/>
                <w:sz w:val="24"/>
              </w:rPr>
              <w:tab/>
              <w:t>Usklađenja zbog prijelaznih aranžmana povezanih s MSFI-</w:t>
            </w:r>
            <w:proofErr w:type="spellStart"/>
            <w:r>
              <w:rPr>
                <w:rStyle w:val="InstructionsTabelleberschrift"/>
                <w:rFonts w:ascii="Times New Roman" w:hAnsi="Times New Roman"/>
                <w:sz w:val="24"/>
              </w:rPr>
              <w:t>jem</w:t>
            </w:r>
            <w:proofErr w:type="spellEnd"/>
            <w:r>
              <w:rPr>
                <w:rStyle w:val="InstructionsTabelleberschrift"/>
                <w:rFonts w:ascii="Times New Roman" w:hAnsi="Times New Roman"/>
                <w:sz w:val="24"/>
              </w:rPr>
              <w:t xml:space="preserve"> 9</w:t>
            </w:r>
          </w:p>
          <w:p w14:paraId="6DD976B6" w14:textId="77777777" w:rsidR="008B695F" w:rsidRPr="00A30C4C"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Institucije iskazuju informacije povezane s prijelaznim aranžmanima zbog primjene MSFI-ja 9 u skladu s primjenjivim pravnim odredbama.</w:t>
            </w:r>
          </w:p>
        </w:tc>
      </w:tr>
    </w:tbl>
    <w:p w14:paraId="4587B72A" w14:textId="77777777" w:rsidR="002648B0" w:rsidRPr="00A30C4C" w:rsidRDefault="002648B0" w:rsidP="00D946DB">
      <w:pPr>
        <w:spacing w:after="0"/>
        <w:rPr>
          <w:rFonts w:ascii="Times New Roman" w:hAnsi="Times New Roman"/>
          <w:sz w:val="24"/>
        </w:rPr>
      </w:pPr>
    </w:p>
    <w:p w14:paraId="028A9ED4"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84" w:name="_Toc361666252"/>
      <w:bookmarkStart w:id="85" w:name="_Toc308175839"/>
      <w:bookmarkStart w:id="86" w:name="_Toc473560885"/>
      <w:bookmarkStart w:id="87" w:name="_Toc360188337"/>
      <w:bookmarkStart w:id="88" w:name="_Toc30677641"/>
      <w:bookmarkEnd w:id="84"/>
      <w:r>
        <w:rPr>
          <w:rFonts w:ascii="Times New Roman" w:hAnsi="Times New Roman"/>
          <w:sz w:val="24"/>
          <w:u w:val="none"/>
        </w:rPr>
        <w:t>1.6.3.</w:t>
      </w:r>
      <w:r>
        <w:rPr>
          <w:rFonts w:ascii="Times New Roman" w:hAnsi="Times New Roman"/>
          <w:sz w:val="24"/>
          <w:u w:val="none"/>
        </w:rPr>
        <w:tab/>
      </w:r>
      <w:r>
        <w:rPr>
          <w:rFonts w:ascii="Times New Roman" w:hAnsi="Times New Roman"/>
          <w:sz w:val="24"/>
        </w:rPr>
        <w:t>C 05.02 – INSTRUMENTI KOJI SE NASTAVLJAJU PRIZNAVATI: INSTRUMENTI KOJI NISU INSTRUMENTI DRŽAVNE POTPORE (CA5.2)</w:t>
      </w:r>
      <w:bookmarkEnd w:id="85"/>
      <w:bookmarkEnd w:id="86"/>
      <w:bookmarkEnd w:id="88"/>
      <w:r>
        <w:rPr>
          <w:rFonts w:ascii="Times New Roman" w:hAnsi="Times New Roman"/>
          <w:sz w:val="24"/>
        </w:rPr>
        <w:t xml:space="preserve"> </w:t>
      </w:r>
      <w:bookmarkEnd w:id="87"/>
    </w:p>
    <w:p w14:paraId="1AFBD2F4" w14:textId="37D689E0" w:rsidR="00783881" w:rsidRPr="00A30C4C" w:rsidRDefault="00125707" w:rsidP="00C37B29">
      <w:pPr>
        <w:pStyle w:val="InstructionsText2"/>
        <w:numPr>
          <w:ilvl w:val="0"/>
          <w:numId w:val="0"/>
        </w:numPr>
        <w:ind w:left="993"/>
      </w:pPr>
      <w:r>
        <w:t>25.</w:t>
      </w:r>
      <w:r>
        <w:tab/>
        <w:t>Institucije iskazuje informacije o prijelaznim odredbama za instrumente koji se nastavljaju priznavati i koji nisu instrumenti državne potpore (članci od 484. do 491. CRR-a).</w:t>
      </w:r>
    </w:p>
    <w:p w14:paraId="49D8AD5D"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89" w:name="_Toc360188338"/>
      <w:bookmarkStart w:id="90" w:name="_Toc473560886"/>
      <w:bookmarkStart w:id="91" w:name="_Toc30677642"/>
      <w:r>
        <w:rPr>
          <w:rFonts w:ascii="Times New Roman" w:hAnsi="Times New Roman"/>
          <w:sz w:val="24"/>
          <w:u w:val="none"/>
        </w:rPr>
        <w:t>1.6.3.1.</w:t>
      </w:r>
      <w:r>
        <w:rPr>
          <w:rFonts w:ascii="Times New Roman" w:hAnsi="Times New Roman"/>
          <w:sz w:val="24"/>
          <w:u w:val="none"/>
        </w:rPr>
        <w:tab/>
      </w:r>
      <w:r>
        <w:rPr>
          <w:rFonts w:ascii="Times New Roman" w:hAnsi="Times New Roman"/>
          <w:sz w:val="24"/>
        </w:rPr>
        <w:t>Upute za specifične pozicije</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30C4C" w14:paraId="744F3D21" w14:textId="77777777" w:rsidTr="00672D2A">
        <w:tc>
          <w:tcPr>
            <w:tcW w:w="8181" w:type="dxa"/>
            <w:gridSpan w:val="2"/>
            <w:shd w:val="clear" w:color="auto" w:fill="D9D9D9"/>
          </w:tcPr>
          <w:p w14:paraId="187FA7A6" w14:textId="77777777"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Stupci</w:t>
            </w:r>
          </w:p>
        </w:tc>
      </w:tr>
      <w:tr w:rsidR="002648B0" w:rsidRPr="00A30C4C" w14:paraId="77FFF3F5" w14:textId="77777777" w:rsidTr="00672D2A">
        <w:tc>
          <w:tcPr>
            <w:tcW w:w="703" w:type="dxa"/>
          </w:tcPr>
          <w:p w14:paraId="1EE9132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14:paraId="6E91664F"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Iznos instrumenata uvećan za povezanu premiju na dionice</w:t>
            </w:r>
          </w:p>
          <w:p w14:paraId="5B0ED10B" w14:textId="4FEEE536" w:rsidR="002648B0" w:rsidRPr="00A30C4C" w:rsidRDefault="00167619" w:rsidP="007106FB">
            <w:pPr>
              <w:rPr>
                <w:rStyle w:val="InstructionsTabelleText"/>
                <w:rFonts w:ascii="Times New Roman" w:hAnsi="Times New Roman"/>
                <w:sz w:val="24"/>
              </w:rPr>
            </w:pPr>
            <w:r>
              <w:rPr>
                <w:rStyle w:val="InstructionsTabelleText"/>
                <w:rFonts w:ascii="Times New Roman" w:hAnsi="Times New Roman"/>
                <w:sz w:val="24"/>
              </w:rPr>
              <w:t>Članak 484. stavci 3., 4. i 5. CRR-a</w:t>
            </w:r>
          </w:p>
          <w:p w14:paraId="62768602"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Instrumenti koji ispunjavaju uvjete za svaki redak, uključujući njihove povezane premije na dionice</w:t>
            </w:r>
          </w:p>
        </w:tc>
      </w:tr>
      <w:tr w:rsidR="002648B0" w:rsidRPr="00A30C4C" w14:paraId="40DE1994" w14:textId="77777777" w:rsidTr="00672D2A">
        <w:tc>
          <w:tcPr>
            <w:tcW w:w="703" w:type="dxa"/>
          </w:tcPr>
          <w:p w14:paraId="313EFA2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14:paraId="580FCFFC"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Osnova za izračun ograničenja</w:t>
            </w:r>
          </w:p>
          <w:p w14:paraId="71AACF42" w14:textId="67F19FBB" w:rsidR="002648B0" w:rsidRPr="00A30C4C" w:rsidRDefault="00167619" w:rsidP="00167619">
            <w:pPr>
              <w:rPr>
                <w:rStyle w:val="InstructionsTabelleText"/>
                <w:rFonts w:ascii="Times New Roman" w:hAnsi="Times New Roman"/>
                <w:sz w:val="24"/>
              </w:rPr>
            </w:pPr>
            <w:r>
              <w:rPr>
                <w:rStyle w:val="InstructionsTabelleText"/>
                <w:rFonts w:ascii="Times New Roman" w:hAnsi="Times New Roman"/>
                <w:sz w:val="24"/>
              </w:rPr>
              <w:t>Članak 486. stavci 2., 3. i 4. CRR-a</w:t>
            </w:r>
          </w:p>
        </w:tc>
      </w:tr>
      <w:tr w:rsidR="002648B0" w:rsidRPr="00A30C4C" w14:paraId="151FF944" w14:textId="77777777" w:rsidTr="00672D2A">
        <w:tc>
          <w:tcPr>
            <w:tcW w:w="703" w:type="dxa"/>
          </w:tcPr>
          <w:p w14:paraId="23880D52"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3573D25D"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Primjenjivi postotak</w:t>
            </w:r>
          </w:p>
          <w:p w14:paraId="375A0FE1" w14:textId="2E6F26FA" w:rsidR="002648B0" w:rsidRPr="00A30C4C" w:rsidRDefault="002648B0" w:rsidP="009F1550">
            <w:pPr>
              <w:rPr>
                <w:rStyle w:val="InstructionsTabelleText"/>
                <w:rFonts w:ascii="Times New Roman" w:hAnsi="Times New Roman"/>
                <w:sz w:val="24"/>
              </w:rPr>
            </w:pPr>
            <w:r>
              <w:rPr>
                <w:rStyle w:val="InstructionsTabelleText"/>
                <w:rFonts w:ascii="Times New Roman" w:hAnsi="Times New Roman"/>
                <w:sz w:val="24"/>
              </w:rPr>
              <w:t>Članak 486. stavak 5. CRR-a</w:t>
            </w:r>
          </w:p>
        </w:tc>
      </w:tr>
      <w:tr w:rsidR="002648B0" w:rsidRPr="00A30C4C" w14:paraId="14F08ED0" w14:textId="77777777" w:rsidTr="00672D2A">
        <w:tc>
          <w:tcPr>
            <w:tcW w:w="703" w:type="dxa"/>
          </w:tcPr>
          <w:p w14:paraId="06AA66F8"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14:paraId="523CF396"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Ograničenje</w:t>
            </w:r>
          </w:p>
          <w:p w14:paraId="0759A3E0" w14:textId="242C2F17" w:rsidR="002648B0" w:rsidRPr="00A30C4C" w:rsidRDefault="00167619" w:rsidP="00167619">
            <w:pPr>
              <w:rPr>
                <w:rStyle w:val="InstructionsTabelleText"/>
                <w:rFonts w:ascii="Times New Roman" w:hAnsi="Times New Roman"/>
                <w:sz w:val="24"/>
              </w:rPr>
            </w:pPr>
            <w:r>
              <w:rPr>
                <w:rStyle w:val="InstructionsTabelleText"/>
                <w:rFonts w:ascii="Times New Roman" w:hAnsi="Times New Roman"/>
                <w:sz w:val="24"/>
              </w:rPr>
              <w:t>Članak 486. stavci od 2. do 5. CRR-a</w:t>
            </w:r>
          </w:p>
        </w:tc>
      </w:tr>
      <w:tr w:rsidR="002648B0" w:rsidRPr="00A30C4C" w14:paraId="5FB8B9D8" w14:textId="77777777" w:rsidTr="00672D2A">
        <w:tc>
          <w:tcPr>
            <w:tcW w:w="703" w:type="dxa"/>
          </w:tcPr>
          <w:p w14:paraId="6BA36B25"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14:paraId="7752635F"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Iznos koji premašuje ograničenja za nastavak priznavanja</w:t>
            </w:r>
          </w:p>
          <w:p w14:paraId="2EBB3A4F" w14:textId="0D7B9CBD" w:rsidR="002648B0" w:rsidRPr="00A30C4C" w:rsidRDefault="00167619" w:rsidP="009F1550">
            <w:pPr>
              <w:rPr>
                <w:rStyle w:val="InstructionsTabelleText"/>
                <w:rFonts w:ascii="Times New Roman" w:hAnsi="Times New Roman"/>
                <w:sz w:val="24"/>
              </w:rPr>
            </w:pPr>
            <w:r>
              <w:rPr>
                <w:rStyle w:val="InstructionsTabelleText"/>
                <w:rFonts w:ascii="Times New Roman" w:hAnsi="Times New Roman"/>
                <w:sz w:val="24"/>
              </w:rPr>
              <w:t>Članak 486. stavci od 2. do 5. CRR-a</w:t>
            </w:r>
          </w:p>
        </w:tc>
      </w:tr>
      <w:tr w:rsidR="002648B0" w:rsidRPr="00A30C4C" w14:paraId="21CF1090" w14:textId="77777777" w:rsidTr="00672D2A">
        <w:tc>
          <w:tcPr>
            <w:tcW w:w="703" w:type="dxa"/>
          </w:tcPr>
          <w:p w14:paraId="4CBE88CE"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449331E9"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Ukupni iznos koji se nastavlja priznavati</w:t>
            </w:r>
          </w:p>
          <w:p w14:paraId="5DEE80C6" w14:textId="5A38B6EE" w:rsidR="002648B0" w:rsidRPr="00A30C4C" w:rsidRDefault="002648B0" w:rsidP="00852CAD">
            <w:pPr>
              <w:rPr>
                <w:rStyle w:val="InstructionsTabelleText"/>
                <w:rFonts w:ascii="Times New Roman" w:hAnsi="Times New Roman"/>
                <w:sz w:val="24"/>
              </w:rPr>
            </w:pPr>
            <w:r>
              <w:rPr>
                <w:rStyle w:val="InstructionsTabelleText"/>
                <w:rFonts w:ascii="Times New Roman" w:hAnsi="Times New Roman"/>
                <w:sz w:val="24"/>
              </w:rPr>
              <w:t>Iznos koji se iskazuje jednak je iznosima iskazanima u odgovarajućim stupcima u retku 060 obrasca CA 5.1.</w:t>
            </w:r>
          </w:p>
        </w:tc>
      </w:tr>
    </w:tbl>
    <w:p w14:paraId="1FBB159E"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30C4C" w14:paraId="14065DA6" w14:textId="77777777" w:rsidTr="00672D2A">
        <w:tc>
          <w:tcPr>
            <w:tcW w:w="8181" w:type="dxa"/>
            <w:gridSpan w:val="2"/>
            <w:shd w:val="clear" w:color="auto" w:fill="D9D9D9"/>
          </w:tcPr>
          <w:p w14:paraId="673915CE" w14:textId="77777777" w:rsidR="005643EA" w:rsidRPr="00A30C4C" w:rsidRDefault="002648B0" w:rsidP="00FD239F">
            <w:pPr>
              <w:pStyle w:val="InstructionsText"/>
            </w:pPr>
            <w:r>
              <w:t>Redci</w:t>
            </w:r>
          </w:p>
        </w:tc>
      </w:tr>
      <w:tr w:rsidR="002648B0" w:rsidRPr="00A30C4C" w14:paraId="6ED9E034" w14:textId="77777777" w:rsidTr="00672D2A">
        <w:tc>
          <w:tcPr>
            <w:tcW w:w="703" w:type="dxa"/>
          </w:tcPr>
          <w:p w14:paraId="53436CAA"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010</w:t>
            </w:r>
          </w:p>
        </w:tc>
        <w:tc>
          <w:tcPr>
            <w:tcW w:w="7478" w:type="dxa"/>
          </w:tcPr>
          <w:p w14:paraId="5CAC9AE9" w14:textId="77777777" w:rsidR="005643EA" w:rsidRPr="00A30C4C"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Pr>
                <w:rStyle w:val="InstructionsTabelleberschrift"/>
                <w:rFonts w:ascii="Times New Roman" w:hAnsi="Times New Roman"/>
                <w:sz w:val="24"/>
              </w:rPr>
              <w:tab/>
              <w:t>Instrumenti koji ispunjavaju uvjete iz članka 57. točke (a) Direktive 2006/48/EZ</w:t>
            </w:r>
          </w:p>
          <w:p w14:paraId="64BFBEB9" w14:textId="3093BA5C"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Članak 484. stavak 3. CRR-a</w:t>
            </w:r>
          </w:p>
          <w:p w14:paraId="2B04B67F"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24B3FF21" w14:textId="77777777" w:rsidTr="00672D2A">
        <w:tc>
          <w:tcPr>
            <w:tcW w:w="703" w:type="dxa"/>
          </w:tcPr>
          <w:p w14:paraId="377B225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14:paraId="09E0B8AD" w14:textId="77777777" w:rsidR="005643EA" w:rsidRPr="00A30C4C"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rPr>
                <w:rStyle w:val="InstructionsTabelleberschrift"/>
                <w:rFonts w:ascii="Times New Roman" w:hAnsi="Times New Roman"/>
                <w:sz w:val="24"/>
              </w:rPr>
              <w:tab/>
              <w:t>Instrumenti koji ispunjavaju uvjete iz članka 57. točke (</w:t>
            </w:r>
            <w:proofErr w:type="spellStart"/>
            <w:r>
              <w:rPr>
                <w:rStyle w:val="InstructionsTabelleberschrift"/>
                <w:rFonts w:ascii="Times New Roman" w:hAnsi="Times New Roman"/>
                <w:sz w:val="24"/>
              </w:rPr>
              <w:t>ca</w:t>
            </w:r>
            <w:proofErr w:type="spellEnd"/>
            <w:r>
              <w:rPr>
                <w:rStyle w:val="InstructionsTabelleberschrift"/>
                <w:rFonts w:ascii="Times New Roman" w:hAnsi="Times New Roman"/>
                <w:sz w:val="24"/>
              </w:rPr>
              <w:t>) i članka 154. stavaka 8. i 9. Direktive 2006/48/EZ, podložno ograničenju iz članka 489.</w:t>
            </w:r>
          </w:p>
          <w:p w14:paraId="0D197541" w14:textId="2E611B43"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Članak 484. stavak 4. CRR-a</w:t>
            </w:r>
          </w:p>
        </w:tc>
      </w:tr>
      <w:tr w:rsidR="002648B0" w:rsidRPr="00A30C4C" w14:paraId="15DF7219" w14:textId="77777777" w:rsidTr="00672D2A">
        <w:tc>
          <w:tcPr>
            <w:tcW w:w="703" w:type="dxa"/>
          </w:tcPr>
          <w:p w14:paraId="284F578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06DD94E9" w14:textId="48E2EE38" w:rsidR="00496C53"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rsidR="00723C0B">
              <w:rPr>
                <w:rStyle w:val="InstructionsTabelleberschrift"/>
                <w:rFonts w:ascii="Times New Roman" w:hAnsi="Times New Roman"/>
                <w:sz w:val="24"/>
              </w:rPr>
              <w:t>.</w:t>
            </w:r>
            <w:r>
              <w:rPr>
                <w:rStyle w:val="InstructionsTabelleberschrift"/>
                <w:rFonts w:ascii="Times New Roman" w:hAnsi="Times New Roman"/>
                <w:sz w:val="24"/>
              </w:rPr>
              <w:tab/>
              <w:t>Ukupni instrumenti bez opcije kupnje ili poticaja na otkup</w:t>
            </w:r>
          </w:p>
          <w:p w14:paraId="7DA67154" w14:textId="4177E78D" w:rsidR="002648B0"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Članak 484. stavak 4. i članak 489. CRR-a</w:t>
            </w:r>
          </w:p>
          <w:p w14:paraId="755696AD"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72485432" w14:textId="77777777" w:rsidTr="00672D2A">
        <w:tc>
          <w:tcPr>
            <w:tcW w:w="703" w:type="dxa"/>
          </w:tcPr>
          <w:p w14:paraId="3828D750"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14:paraId="11D8F4AD" w14:textId="103B313A"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koji se nastavljaju priznavati s opcijom kupnje i poticajem na otkup</w:t>
            </w:r>
          </w:p>
          <w:p w14:paraId="4B2F57CE" w14:textId="2FFAD25B"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Članak 489. CRR-a</w:t>
            </w:r>
          </w:p>
        </w:tc>
      </w:tr>
      <w:tr w:rsidR="002648B0" w:rsidRPr="00A30C4C" w14:paraId="12729CB7" w14:textId="77777777" w:rsidTr="00672D2A">
        <w:tc>
          <w:tcPr>
            <w:tcW w:w="703" w:type="dxa"/>
          </w:tcPr>
          <w:p w14:paraId="5BD3049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14:paraId="4964DE04" w14:textId="7444AA8D"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s opcijom kupnje koja se može izvršiti nakon izvještajnog datuma koji ispunjavaju uvjete iz članka 52. CRR-a nakon datuma efektivnog dospijeća</w:t>
            </w:r>
          </w:p>
          <w:p w14:paraId="3DA61745" w14:textId="1767F56D"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489. stavak 3. i članak 491. točka (a) CRR-a</w:t>
            </w:r>
          </w:p>
          <w:p w14:paraId="27D78769"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156521F2" w14:textId="77777777" w:rsidTr="00672D2A">
        <w:tc>
          <w:tcPr>
            <w:tcW w:w="703" w:type="dxa"/>
          </w:tcPr>
          <w:p w14:paraId="51F2DC9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6D056AF7" w14:textId="4417FA00"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s opcijom kupnje koja se može izvršiti nakon izvještajnog datuma koji ne ispunjavaju uvjete iz članka 52. CRR-a nakon datuma efektivnog dospijeća</w:t>
            </w:r>
          </w:p>
          <w:p w14:paraId="03E564F8" w14:textId="77777777" w:rsidR="009F1550" w:rsidRPr="00A30C4C" w:rsidRDefault="009F1550" w:rsidP="009F1550">
            <w:pPr>
              <w:pStyle w:val="InstructionsText"/>
              <w:rPr>
                <w:rStyle w:val="InstructionsTabelleText"/>
                <w:rFonts w:ascii="Times New Roman" w:hAnsi="Times New Roman"/>
                <w:sz w:val="24"/>
              </w:rPr>
            </w:pPr>
            <w:r>
              <w:rPr>
                <w:rStyle w:val="InstructionsTabelleText"/>
                <w:rFonts w:ascii="Times New Roman" w:hAnsi="Times New Roman"/>
                <w:sz w:val="24"/>
              </w:rPr>
              <w:t>Članak 489. stavak 5. i članak 491. točka (a) CRR-a</w:t>
            </w:r>
          </w:p>
          <w:p w14:paraId="683A0881"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3ED116FE" w14:textId="77777777" w:rsidTr="00672D2A">
        <w:tc>
          <w:tcPr>
            <w:tcW w:w="703" w:type="dxa"/>
          </w:tcPr>
          <w:p w14:paraId="63D3F5A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14:paraId="55844FCD" w14:textId="11988130"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rsidR="00723C0B">
              <w:rPr>
                <w:rStyle w:val="InstructionsTabelleberschrift"/>
                <w:rFonts w:ascii="Times New Roman" w:hAnsi="Times New Roman"/>
                <w:sz w:val="24"/>
              </w:rPr>
              <w:t>.</w:t>
            </w:r>
            <w:r>
              <w:rPr>
                <w:rStyle w:val="InstructionsTabelleberschrift"/>
                <w:rFonts w:ascii="Times New Roman" w:hAnsi="Times New Roman"/>
                <w:sz w:val="24"/>
              </w:rPr>
              <w:tab/>
              <w:t>Instrumenti s opcijom kupnje koja se može izvršiti prije 20. srpnja 2011. ili na taj dan koji ne ispunjavaju uvjete iz članka 52. CRR-a nakon datuma efektivnog dospijeća</w:t>
            </w:r>
          </w:p>
          <w:p w14:paraId="4FF64B88" w14:textId="77777777" w:rsidR="009F1550" w:rsidRPr="00A30C4C" w:rsidRDefault="009F1550" w:rsidP="009F1550">
            <w:pPr>
              <w:pStyle w:val="InstructionsText"/>
              <w:rPr>
                <w:rStyle w:val="InstructionsTabelleText"/>
                <w:rFonts w:ascii="Times New Roman" w:hAnsi="Times New Roman"/>
                <w:sz w:val="24"/>
              </w:rPr>
            </w:pPr>
            <w:r>
              <w:rPr>
                <w:rStyle w:val="InstructionsTabelleText"/>
                <w:rFonts w:ascii="Times New Roman" w:hAnsi="Times New Roman"/>
                <w:sz w:val="24"/>
              </w:rPr>
              <w:t>Članak 489. stavak 6. i članak 491. točka (c) CRR-a</w:t>
            </w:r>
          </w:p>
          <w:p w14:paraId="76E15D9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1484081C" w14:textId="77777777" w:rsidTr="00672D2A">
        <w:tc>
          <w:tcPr>
            <w:tcW w:w="703" w:type="dxa"/>
          </w:tcPr>
          <w:p w14:paraId="766BE8B5"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14:paraId="24CB712D" w14:textId="70BD1FCF"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rsidR="00723C0B">
              <w:rPr>
                <w:rStyle w:val="InstructionsTabelleberschrift"/>
                <w:rFonts w:ascii="Times New Roman" w:hAnsi="Times New Roman"/>
                <w:sz w:val="24"/>
              </w:rPr>
              <w:t>.</w:t>
            </w:r>
            <w:r>
              <w:rPr>
                <w:rStyle w:val="InstructionsTabelleberschrift"/>
                <w:rFonts w:ascii="Times New Roman" w:hAnsi="Times New Roman"/>
                <w:sz w:val="24"/>
              </w:rPr>
              <w:tab/>
              <w:t>Prekoračenje ograničenja za instrumente redovnog osnovnog kapitala koji se nastavljaju priznavati</w:t>
            </w:r>
          </w:p>
          <w:p w14:paraId="2BC183EC" w14:textId="5133841C"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487. stavak 1. CRR-a</w:t>
            </w:r>
          </w:p>
          <w:p w14:paraId="39EEAD88"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Prekoračenje ograničenja za instrumente redovnog osnovnog kapitala koji se nastavljaju priznavati može se tretirati kao instrumente koji se mogu nastaviti priznavati kao instrumenti dodatnog osnovnog kapitala.</w:t>
            </w:r>
          </w:p>
        </w:tc>
      </w:tr>
      <w:tr w:rsidR="002648B0" w:rsidRPr="00A30C4C" w14:paraId="61E5E55B" w14:textId="77777777" w:rsidTr="00672D2A">
        <w:tc>
          <w:tcPr>
            <w:tcW w:w="703" w:type="dxa"/>
          </w:tcPr>
          <w:p w14:paraId="2837DB8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14:paraId="01ECF30E" w14:textId="77777777" w:rsidR="005643EA" w:rsidRPr="00A30C4C"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rPr>
                <w:rStyle w:val="InstructionsTabelleberschrift"/>
                <w:rFonts w:ascii="Times New Roman" w:hAnsi="Times New Roman"/>
                <w:sz w:val="24"/>
              </w:rPr>
              <w:tab/>
              <w:t>Stavke koje ispunjavaju uvjete iz članka 57. točke (e), (f), (g) ili (h) Direktive 2006/48/EZ, podložno ograničenju iz članka 490. CRR-a</w:t>
            </w:r>
          </w:p>
          <w:p w14:paraId="7A3517FB" w14:textId="405FFA3E"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Članak 484. stavak 5. CRR-a</w:t>
            </w:r>
          </w:p>
        </w:tc>
      </w:tr>
      <w:tr w:rsidR="002648B0" w:rsidRPr="00A30C4C" w14:paraId="7AD26B0B" w14:textId="77777777" w:rsidTr="00672D2A">
        <w:tc>
          <w:tcPr>
            <w:tcW w:w="703" w:type="dxa"/>
          </w:tcPr>
          <w:p w14:paraId="4B9CB77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14:paraId="563811AC" w14:textId="64DABA66"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rsidR="00723C0B">
              <w:rPr>
                <w:rStyle w:val="InstructionsTabelleberschrift"/>
                <w:rFonts w:ascii="Times New Roman" w:hAnsi="Times New Roman"/>
                <w:sz w:val="24"/>
              </w:rPr>
              <w:t>..</w:t>
            </w:r>
            <w:r>
              <w:rPr>
                <w:rStyle w:val="InstructionsTabelleberschrift"/>
                <w:rFonts w:ascii="Times New Roman" w:hAnsi="Times New Roman"/>
                <w:sz w:val="24"/>
              </w:rPr>
              <w:tab/>
              <w:t>Ukupne stavke bez poticaja na otkup</w:t>
            </w:r>
          </w:p>
          <w:p w14:paraId="400AD677" w14:textId="3D0FEEB8"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Članak 490. CRR-a</w:t>
            </w:r>
          </w:p>
        </w:tc>
      </w:tr>
      <w:tr w:rsidR="002648B0" w:rsidRPr="00A30C4C" w14:paraId="26942B32" w14:textId="77777777" w:rsidTr="00672D2A">
        <w:tc>
          <w:tcPr>
            <w:tcW w:w="703" w:type="dxa"/>
          </w:tcPr>
          <w:p w14:paraId="756180B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110</w:t>
            </w:r>
          </w:p>
        </w:tc>
        <w:tc>
          <w:tcPr>
            <w:tcW w:w="7478" w:type="dxa"/>
          </w:tcPr>
          <w:p w14:paraId="38934F09" w14:textId="7CB0D241"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rsidR="00723C0B">
              <w:rPr>
                <w:rStyle w:val="InstructionsTabelleberschrift"/>
                <w:rFonts w:ascii="Times New Roman" w:hAnsi="Times New Roman"/>
                <w:sz w:val="24"/>
              </w:rPr>
              <w:t>.</w:t>
            </w:r>
            <w:r>
              <w:rPr>
                <w:rStyle w:val="InstructionsTabelleberschrift"/>
                <w:rFonts w:ascii="Times New Roman" w:hAnsi="Times New Roman"/>
                <w:sz w:val="24"/>
              </w:rPr>
              <w:tab/>
              <w:t>Stavke koje se nastavljaju priznavati s poticajem na otkup</w:t>
            </w:r>
          </w:p>
          <w:p w14:paraId="064BD76D" w14:textId="2745ECA6"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Članak 490. CRR-a</w:t>
            </w:r>
          </w:p>
        </w:tc>
      </w:tr>
      <w:tr w:rsidR="002648B0" w:rsidRPr="00A30C4C" w14:paraId="14DC22B6" w14:textId="77777777" w:rsidTr="00672D2A">
        <w:tc>
          <w:tcPr>
            <w:tcW w:w="703" w:type="dxa"/>
          </w:tcPr>
          <w:p w14:paraId="1D49D24A"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14:paraId="34153268" w14:textId="29CBA3D1"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rsidR="00723C0B">
              <w:rPr>
                <w:rStyle w:val="InstructionsTabelleberschrift"/>
                <w:rFonts w:ascii="Times New Roman" w:hAnsi="Times New Roman"/>
                <w:sz w:val="24"/>
              </w:rPr>
              <w:t>.</w:t>
            </w:r>
            <w:r>
              <w:rPr>
                <w:rStyle w:val="InstructionsTabelleberschrift"/>
                <w:rFonts w:ascii="Times New Roman" w:hAnsi="Times New Roman"/>
                <w:sz w:val="24"/>
              </w:rPr>
              <w:tab/>
              <w:t>Stavke s opcijom kupnje koja se može izvršiti nakon izvještajnog datuma koje ispunjavaju uvjete iz članka 63. CRR-a nakon datuma efektivnog dospijeća</w:t>
            </w:r>
          </w:p>
          <w:p w14:paraId="2C3B8B3C" w14:textId="2A9A1793"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Članak 490. stavak 3. i članak 491. točka (a) CRR-a</w:t>
            </w:r>
          </w:p>
          <w:p w14:paraId="03595345"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6CBF303C" w14:textId="77777777" w:rsidTr="00672D2A">
        <w:tc>
          <w:tcPr>
            <w:tcW w:w="703" w:type="dxa"/>
          </w:tcPr>
          <w:p w14:paraId="5C2C4CC6"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14:paraId="2A8A2BA9" w14:textId="350E2748"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rsidR="00723C0B">
              <w:rPr>
                <w:rStyle w:val="InstructionsTabelleberschrift"/>
                <w:rFonts w:ascii="Times New Roman" w:hAnsi="Times New Roman"/>
                <w:sz w:val="24"/>
              </w:rPr>
              <w:t>.</w:t>
            </w:r>
            <w:r>
              <w:rPr>
                <w:rStyle w:val="InstructionsTabelleberschrift"/>
                <w:rFonts w:ascii="Times New Roman" w:hAnsi="Times New Roman"/>
                <w:sz w:val="24"/>
              </w:rPr>
              <w:tab/>
              <w:t>Stavke s opcijom kupnje koja se može izvršiti nakon izvještajnog datuma koje ne ispunjavaju uvjete iz članka 63. CRR-a nakon datuma efektivnog dospijeća</w:t>
            </w:r>
          </w:p>
          <w:p w14:paraId="11B9C32C" w14:textId="77777777" w:rsidR="009F1550" w:rsidRPr="00A30C4C" w:rsidRDefault="009F1550" w:rsidP="009F1550">
            <w:pPr>
              <w:rPr>
                <w:rStyle w:val="InstructionsTabelleText"/>
                <w:rFonts w:ascii="Times New Roman" w:hAnsi="Times New Roman"/>
                <w:sz w:val="24"/>
              </w:rPr>
            </w:pPr>
            <w:r>
              <w:rPr>
                <w:rStyle w:val="InstructionsTabelleText"/>
                <w:rFonts w:ascii="Times New Roman" w:hAnsi="Times New Roman"/>
                <w:sz w:val="24"/>
              </w:rPr>
              <w:t>Članak 490. stavak 5. i članak 491. točka (a) CRR-a</w:t>
            </w:r>
          </w:p>
          <w:p w14:paraId="59FA2736" w14:textId="77777777" w:rsidR="002648B0" w:rsidRPr="00A30C4C" w:rsidRDefault="007C3B71" w:rsidP="007106FB">
            <w:pPr>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14590764" w14:textId="77777777" w:rsidTr="00672D2A">
        <w:tc>
          <w:tcPr>
            <w:tcW w:w="703" w:type="dxa"/>
          </w:tcPr>
          <w:p w14:paraId="7DAA6408"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14:paraId="0CCC7907" w14:textId="0B262A31" w:rsidR="00496C53"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rsidR="00723C0B">
              <w:rPr>
                <w:rStyle w:val="InstructionsTabelleberschrift"/>
                <w:rFonts w:ascii="Times New Roman" w:hAnsi="Times New Roman"/>
                <w:sz w:val="24"/>
              </w:rPr>
              <w:t>.</w:t>
            </w:r>
            <w:r>
              <w:rPr>
                <w:rStyle w:val="InstructionsTabelleberschrift"/>
                <w:rFonts w:ascii="Times New Roman" w:hAnsi="Times New Roman"/>
                <w:sz w:val="24"/>
              </w:rPr>
              <w:tab/>
              <w:t>Stavke s opcijom kupnje koja se može izvršiti prije 20. srpnja 2011. ili na taj dan koje ne ispunjavaju uvjete iz članka 63. CRR-a nakon datuma efektivnog dospijeća</w:t>
            </w:r>
          </w:p>
          <w:p w14:paraId="1B4BA73C" w14:textId="77777777" w:rsidR="009F1550" w:rsidRPr="00A30C4C" w:rsidRDefault="009F1550" w:rsidP="009F1550">
            <w:pPr>
              <w:rPr>
                <w:rStyle w:val="InstructionsTabelleText"/>
                <w:rFonts w:ascii="Times New Roman" w:hAnsi="Times New Roman"/>
                <w:sz w:val="24"/>
              </w:rPr>
            </w:pPr>
            <w:r>
              <w:rPr>
                <w:rStyle w:val="InstructionsTabelleText"/>
                <w:rFonts w:ascii="Times New Roman" w:hAnsi="Times New Roman"/>
                <w:sz w:val="24"/>
              </w:rPr>
              <w:t>Članak 490. stavak 6. i članak 491. točka (c) CRR-a</w:t>
            </w:r>
          </w:p>
          <w:p w14:paraId="0E0942E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Iznos koji se iskazuje uključuje povezane račune premija na dionice.</w:t>
            </w:r>
          </w:p>
        </w:tc>
      </w:tr>
      <w:tr w:rsidR="002648B0" w:rsidRPr="00A30C4C" w14:paraId="005BB829" w14:textId="77777777" w:rsidTr="00672D2A">
        <w:tc>
          <w:tcPr>
            <w:tcW w:w="703" w:type="dxa"/>
          </w:tcPr>
          <w:p w14:paraId="367D4EE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14:paraId="00481FDA" w14:textId="1B18D235"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rsidR="00723C0B">
              <w:rPr>
                <w:rStyle w:val="InstructionsTabelleberschrift"/>
                <w:rFonts w:ascii="Times New Roman" w:hAnsi="Times New Roman"/>
                <w:sz w:val="24"/>
              </w:rPr>
              <w:t xml:space="preserve">. </w:t>
            </w:r>
            <w:r>
              <w:rPr>
                <w:rStyle w:val="InstructionsTabelleberschrift"/>
                <w:rFonts w:ascii="Times New Roman" w:hAnsi="Times New Roman"/>
                <w:sz w:val="24"/>
              </w:rPr>
              <w:tab/>
              <w:t>Prekoračenje ograničenja za instrumente dodatnog osnovnog kapitala koji se nastavljaju priznavati</w:t>
            </w:r>
          </w:p>
          <w:p w14:paraId="69FAA950" w14:textId="1529F9CE"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Članak 487. stavak 2. CRR-a </w:t>
            </w:r>
          </w:p>
          <w:p w14:paraId="503E47F7"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Prekoračenje ograničenja za instrumente dodatnog osnovnog kapitala koji se nastavljaju priznavati može se tretirati kao instrumente koji se mogu nastaviti priznavati kao instrumenti dopunskog kapitala.</w:t>
            </w:r>
          </w:p>
        </w:tc>
      </w:tr>
    </w:tbl>
    <w:p w14:paraId="59B49FCF" w14:textId="77777777" w:rsidR="00464F34" w:rsidRPr="00A30C4C" w:rsidRDefault="00464F34">
      <w:pPr>
        <w:spacing w:before="0" w:after="0"/>
        <w:jc w:val="left"/>
        <w:rPr>
          <w:rFonts w:ascii="Times New Roman" w:hAnsi="Times New Roman"/>
          <w:sz w:val="24"/>
          <w:u w:val="single"/>
        </w:rPr>
      </w:pPr>
      <w:bookmarkStart w:id="92" w:name="_Toc239157372"/>
      <w:bookmarkStart w:id="93" w:name="_Toc295829844"/>
      <w:bookmarkStart w:id="94" w:name="_Toc330394185"/>
      <w:bookmarkEnd w:id="0"/>
      <w:bookmarkEnd w:id="1"/>
    </w:p>
    <w:p w14:paraId="0163BAC5"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30677643"/>
      <w:bookmarkEnd w:id="92"/>
      <w:bookmarkEnd w:id="93"/>
      <w:bookmarkEnd w:id="94"/>
      <w:r>
        <w:rPr>
          <w:rFonts w:ascii="Times New Roman" w:hAnsi="Times New Roman"/>
          <w:sz w:val="24"/>
          <w:u w:val="none"/>
        </w:rPr>
        <w:t>2.</w:t>
      </w:r>
      <w:r>
        <w:rPr>
          <w:rFonts w:ascii="Times New Roman" w:hAnsi="Times New Roman"/>
          <w:sz w:val="24"/>
          <w:u w:val="none"/>
        </w:rPr>
        <w:tab/>
      </w:r>
      <w:r>
        <w:rPr>
          <w:rFonts w:ascii="Times New Roman" w:hAnsi="Times New Roman"/>
          <w:sz w:val="24"/>
        </w:rPr>
        <w:t xml:space="preserve">SOLVENTNOST GRUPE: </w:t>
      </w:r>
      <w:bookmarkStart w:id="97" w:name="_Toc360188339"/>
      <w:r>
        <w:rPr>
          <w:rFonts w:ascii="Times New Roman" w:hAnsi="Times New Roman"/>
          <w:sz w:val="24"/>
        </w:rPr>
        <w:t>INFORMACIJE O POVEZANIM DRUŠTVIMA (GS</w:t>
      </w:r>
      <w:bookmarkEnd w:id="97"/>
      <w:r>
        <w:rPr>
          <w:rFonts w:ascii="Times New Roman" w:hAnsi="Times New Roman"/>
          <w:sz w:val="24"/>
        </w:rPr>
        <w:t>)</w:t>
      </w:r>
      <w:bookmarkEnd w:id="95"/>
      <w:bookmarkEnd w:id="96"/>
    </w:p>
    <w:p w14:paraId="6A00CF03"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30677644"/>
      <w:r>
        <w:rPr>
          <w:rFonts w:ascii="Times New Roman" w:hAnsi="Times New Roman"/>
          <w:sz w:val="24"/>
          <w:u w:val="none"/>
        </w:rPr>
        <w:t>2.1.</w:t>
      </w:r>
      <w:r>
        <w:rPr>
          <w:rFonts w:ascii="Times New Roman" w:hAnsi="Times New Roman"/>
          <w:sz w:val="24"/>
          <w:u w:val="none"/>
        </w:rPr>
        <w:tab/>
      </w:r>
      <w:r>
        <w:rPr>
          <w:rFonts w:ascii="Times New Roman" w:hAnsi="Times New Roman"/>
          <w:sz w:val="24"/>
        </w:rPr>
        <w:t>Opće napomene</w:t>
      </w:r>
      <w:bookmarkEnd w:id="98"/>
      <w:bookmarkEnd w:id="99"/>
      <w:bookmarkEnd w:id="100"/>
      <w:bookmarkEnd w:id="101"/>
      <w:bookmarkEnd w:id="102"/>
      <w:bookmarkEnd w:id="103"/>
      <w:bookmarkEnd w:id="104"/>
    </w:p>
    <w:p w14:paraId="3C128FD1" w14:textId="33BC7EA9" w:rsidR="00464F34" w:rsidRPr="00A30C4C" w:rsidRDefault="00125707" w:rsidP="00C37B29">
      <w:pPr>
        <w:pStyle w:val="InstructionsText2"/>
        <w:numPr>
          <w:ilvl w:val="0"/>
          <w:numId w:val="0"/>
        </w:numPr>
        <w:ind w:left="993"/>
      </w:pPr>
      <w:r>
        <w:t>26.</w:t>
      </w:r>
      <w:r>
        <w:tab/>
        <w:t>Izvješćivanje u skladu s obrascima C 06.01 i C 06.02 potrebno je ako se kapitalni zahtjevi izračunavaju na konsolidiranoj osnovi. Obrazac C 06.02 sastoji od četiri dijela radi prikupljanja različitih informacija o svim pojedinačnim subjektima (uključujući instituciju koja izvješćuje) uključenima u opseg konsolidacije.</w:t>
      </w:r>
    </w:p>
    <w:p w14:paraId="2F240F2E" w14:textId="77777777" w:rsidR="00C93697" w:rsidRPr="00A30C4C" w:rsidRDefault="00125707" w:rsidP="00C37B29">
      <w:pPr>
        <w:pStyle w:val="InstructionsText2"/>
        <w:numPr>
          <w:ilvl w:val="0"/>
          <w:numId w:val="0"/>
        </w:numPr>
        <w:ind w:left="993"/>
      </w:pPr>
      <w:r>
        <w:t>(a)</w:t>
      </w:r>
      <w:r>
        <w:tab/>
        <w:t>Subjekti u opsegu konsolidacije;</w:t>
      </w:r>
    </w:p>
    <w:p w14:paraId="156731C7" w14:textId="77777777" w:rsidR="00C93697" w:rsidRPr="00A30C4C" w:rsidRDefault="00125707" w:rsidP="00C37B29">
      <w:pPr>
        <w:pStyle w:val="InstructionsText2"/>
        <w:numPr>
          <w:ilvl w:val="0"/>
          <w:numId w:val="0"/>
        </w:numPr>
        <w:ind w:left="993"/>
      </w:pPr>
      <w:r>
        <w:t>(b)</w:t>
      </w:r>
      <w:r>
        <w:tab/>
        <w:t>Detaljne informacije o solventnosti grupe;</w:t>
      </w:r>
    </w:p>
    <w:p w14:paraId="32ED5F82" w14:textId="77777777" w:rsidR="00C93697" w:rsidRPr="00A30C4C" w:rsidRDefault="00125707" w:rsidP="00C37B29">
      <w:pPr>
        <w:pStyle w:val="InstructionsText2"/>
        <w:numPr>
          <w:ilvl w:val="0"/>
          <w:numId w:val="0"/>
        </w:numPr>
        <w:ind w:left="993"/>
      </w:pPr>
      <w:r>
        <w:t>(c)</w:t>
      </w:r>
      <w:r>
        <w:tab/>
        <w:t>Informacije o doprinosima pojedinačnih subjekata solventnosti grupe;</w:t>
      </w:r>
    </w:p>
    <w:p w14:paraId="5775CB40" w14:textId="50D9E796" w:rsidR="00C93697" w:rsidRPr="00A30C4C" w:rsidRDefault="00125707" w:rsidP="00C37B29">
      <w:pPr>
        <w:pStyle w:val="InstructionsText2"/>
        <w:numPr>
          <w:ilvl w:val="0"/>
          <w:numId w:val="0"/>
        </w:numPr>
        <w:ind w:left="993"/>
      </w:pPr>
      <w:r>
        <w:t>(d)</w:t>
      </w:r>
      <w:r>
        <w:tab/>
        <w:t>Informacije</w:t>
      </w:r>
      <w:r w:rsidR="00723C0B">
        <w:t xml:space="preserve"> o zaštitnim slojevima kapitala.</w:t>
      </w:r>
    </w:p>
    <w:p w14:paraId="5D034BF6" w14:textId="25F62A40" w:rsidR="00464F34" w:rsidRPr="00A30C4C"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lastRenderedPageBreak/>
        <w:t>27.</w:t>
      </w:r>
      <w:r>
        <w:rPr>
          <w:rStyle w:val="InstructionsTabelleText"/>
          <w:rFonts w:ascii="Times New Roman" w:hAnsi="Times New Roman"/>
          <w:sz w:val="24"/>
        </w:rPr>
        <w:tab/>
      </w:r>
      <w:r>
        <w:t>Institucije</w:t>
      </w:r>
      <w:r>
        <w:rPr>
          <w:rStyle w:val="InstructionsTabelleText"/>
          <w:rFonts w:ascii="Times New Roman" w:hAnsi="Times New Roman"/>
          <w:sz w:val="24"/>
        </w:rPr>
        <w:t xml:space="preserve"> izuzete u skladu s člankom 7. CRR-a iskazuju samo stupce</w:t>
      </w:r>
      <w:r>
        <w:t xml:space="preserve"> od 010</w:t>
      </w:r>
      <w:r>
        <w:rPr>
          <w:rStyle w:val="InstructionsTabelleText"/>
          <w:rFonts w:ascii="Times New Roman" w:hAnsi="Times New Roman"/>
          <w:sz w:val="24"/>
        </w:rPr>
        <w:t xml:space="preserve"> do 060 i od 250 do 400.</w:t>
      </w:r>
    </w:p>
    <w:p w14:paraId="628603EB" w14:textId="27F5CEA6" w:rsidR="004C0508" w:rsidRPr="00A30C4C" w:rsidRDefault="00125707" w:rsidP="00C37B29">
      <w:pPr>
        <w:pStyle w:val="InstructionsText2"/>
        <w:numPr>
          <w:ilvl w:val="0"/>
          <w:numId w:val="0"/>
        </w:numPr>
        <w:ind w:left="993"/>
      </w:pPr>
      <w:r>
        <w:t>28.</w:t>
      </w:r>
      <w:r>
        <w:tab/>
        <w:t>U iskazanim vrijednostima uzimaju se u obzir sve primjenjive prijelazne odredbe CRR-a koje se primjenjuju na određeni izvještajni datum.</w:t>
      </w:r>
    </w:p>
    <w:p w14:paraId="4A512942" w14:textId="77777777" w:rsidR="00C93697" w:rsidRPr="00A30C4C"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30677645"/>
      <w:r>
        <w:rPr>
          <w:rFonts w:ascii="Times New Roman" w:hAnsi="Times New Roman"/>
          <w:sz w:val="24"/>
          <w:u w:val="none"/>
        </w:rPr>
        <w:t>2.2.</w:t>
      </w:r>
      <w:r>
        <w:rPr>
          <w:rFonts w:ascii="Times New Roman" w:hAnsi="Times New Roman"/>
          <w:sz w:val="24"/>
          <w:u w:val="none"/>
        </w:rPr>
        <w:tab/>
      </w:r>
      <w:r>
        <w:rPr>
          <w:rFonts w:ascii="Times New Roman" w:hAnsi="Times New Roman"/>
          <w:sz w:val="24"/>
        </w:rPr>
        <w:t>Detaljne informacije o solventnosti grupe</w:t>
      </w:r>
      <w:bookmarkEnd w:id="105"/>
      <w:bookmarkEnd w:id="106"/>
      <w:bookmarkEnd w:id="107"/>
    </w:p>
    <w:p w14:paraId="26A8AF7B" w14:textId="1C059025" w:rsidR="00464F34" w:rsidRPr="00A30C4C" w:rsidRDefault="00125707" w:rsidP="00C37B29">
      <w:pPr>
        <w:pStyle w:val="InstructionsText2"/>
        <w:numPr>
          <w:ilvl w:val="0"/>
          <w:numId w:val="0"/>
        </w:numPr>
        <w:ind w:left="993"/>
      </w:pPr>
      <w:r>
        <w:t>29.</w:t>
      </w:r>
      <w:r>
        <w:tab/>
        <w:t xml:space="preserve">Drugi dio ovog obrasca C 06.02 (detaljne informacije o solventnosti grupe) u stupcima od 070 do 210 osmišljen je za prikupljanje informacija o kreditnim i drugim reguliranim financijskim institucijama na koje se efektivno primjenjuju posebni zahtjevi koji se odnose na solventnost na pojedinačnoj osnovi. U njemu se, za svakog od tih subjekata u opsegu izvješćivanja, navode kapitalni zahtjevi za svaku kategoriju rizika i regulatorni kapital za potrebe solventnosti. </w:t>
      </w:r>
    </w:p>
    <w:p w14:paraId="3060C7BE" w14:textId="77777777" w:rsidR="00464F34" w:rsidRPr="00A30C4C" w:rsidRDefault="00125707" w:rsidP="00C37B29">
      <w:pPr>
        <w:pStyle w:val="InstructionsText2"/>
        <w:numPr>
          <w:ilvl w:val="0"/>
          <w:numId w:val="0"/>
        </w:numPr>
        <w:ind w:left="993"/>
      </w:pPr>
      <w:r>
        <w:t>30.</w:t>
      </w:r>
      <w:r>
        <w:tab/>
        <w:t>U slučaju proporcionalne konsolidacije sudjelujućih udjela, vrijednosti povezane s kapitalnim zahtjevima i regulatornim kapitalom odražavaju odgovarajuće proporcionalne iznose.</w:t>
      </w:r>
    </w:p>
    <w:p w14:paraId="0BDB977F" w14:textId="77777777" w:rsidR="00C93697" w:rsidRPr="00A30C4C"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30677646"/>
      <w:r>
        <w:rPr>
          <w:rFonts w:ascii="Times New Roman" w:hAnsi="Times New Roman"/>
          <w:sz w:val="24"/>
          <w:u w:val="none"/>
        </w:rPr>
        <w:t>2.3.</w:t>
      </w:r>
      <w:r>
        <w:rPr>
          <w:rFonts w:ascii="Times New Roman" w:hAnsi="Times New Roman"/>
          <w:sz w:val="24"/>
          <w:u w:val="none"/>
        </w:rPr>
        <w:tab/>
      </w:r>
      <w:r>
        <w:rPr>
          <w:rFonts w:ascii="Times New Roman" w:hAnsi="Times New Roman"/>
          <w:sz w:val="24"/>
        </w:rPr>
        <w:t>Informacije o doprinosima pojedinačnih subjekata solventnosti grupe</w:t>
      </w:r>
      <w:bookmarkEnd w:id="108"/>
      <w:bookmarkEnd w:id="109"/>
      <w:bookmarkEnd w:id="110"/>
    </w:p>
    <w:p w14:paraId="024FA3F4" w14:textId="1C77AD1E" w:rsidR="00464F34" w:rsidRPr="00A30C4C" w:rsidRDefault="00125707" w:rsidP="00C37B29">
      <w:pPr>
        <w:pStyle w:val="InstructionsText2"/>
        <w:numPr>
          <w:ilvl w:val="0"/>
          <w:numId w:val="0"/>
        </w:numPr>
        <w:ind w:left="993"/>
      </w:pPr>
      <w:r>
        <w:t>31.</w:t>
      </w:r>
      <w:r>
        <w:tab/>
        <w:t xml:space="preserve">Cilj je trećeg dijela obrasca C 06.02 i obrasca C 06.01 (informacije o svim subjektima u opsegu konsolidacije solventnosti grupe u skladu s CCR-om), uključujući one na koje se ne primjenjuju posebni zahtjevi koji se odnose na solventnost na pojedinačnoj osnovi, u stupcima od 250 do 400 utvrditi koji subjekti unutar grupe stvaraju rizik i povećavaju regulatorni kapital na tržištu, na temelju podataka koji su dostupni ili se mogu na jednostavan način ponovno obraditi, a da pri tome nije potrebno ponovo izračunati stopu kapitala na pojedinačnoj ili </w:t>
      </w:r>
      <w:proofErr w:type="spellStart"/>
      <w:r>
        <w:t>potkonsolidiranoj</w:t>
      </w:r>
      <w:proofErr w:type="spellEnd"/>
      <w:r>
        <w:t xml:space="preserve"> osnovi. Vrijednosti koje se odnose rizik i regulatorni kapital na razini su subjekta doprinosi vrijednostima grupe i nisu elementi stope solventnosti na pojedinačnoj osnove te se kao takve ne smiju uspoređivati jedne s drugima. </w:t>
      </w:r>
    </w:p>
    <w:p w14:paraId="44517FB0" w14:textId="77777777" w:rsidR="00464F34" w:rsidRPr="00A30C4C" w:rsidRDefault="00125707" w:rsidP="00C37B29">
      <w:pPr>
        <w:pStyle w:val="InstructionsText2"/>
        <w:numPr>
          <w:ilvl w:val="0"/>
          <w:numId w:val="0"/>
        </w:numPr>
        <w:ind w:left="993"/>
      </w:pPr>
      <w:r>
        <w:t>32.</w:t>
      </w:r>
      <w:r>
        <w:tab/>
        <w:t>Treći dio uključuje i iznose manjinskih udjela, kvalificiranog dodatnog osnovnog kapitala i kvalificiranog dopunskog kapitala koji se priznaju u konsolidiranom regulatornom kapitalu.</w:t>
      </w:r>
    </w:p>
    <w:p w14:paraId="059C57B0" w14:textId="77777777" w:rsidR="00464F34" w:rsidRPr="00A30C4C" w:rsidRDefault="00125707" w:rsidP="00C37B29">
      <w:pPr>
        <w:pStyle w:val="InstructionsText2"/>
        <w:numPr>
          <w:ilvl w:val="0"/>
          <w:numId w:val="0"/>
        </w:numPr>
        <w:ind w:left="993"/>
      </w:pPr>
      <w:r>
        <w:t>33.</w:t>
      </w:r>
      <w:r>
        <w:tab/>
        <w:t>Budući da se treći dio obrasca odnosi na „doprinose”, vrijednosti koje je ovdje potrebno iskazati razlikuju se, prema potrebi, od vrijednosti iskazanih u stupcima koji se odnose na detaljne informacije o solventnosti grupe.</w:t>
      </w:r>
    </w:p>
    <w:p w14:paraId="59DCAFC3" w14:textId="4564F453" w:rsidR="00464F34" w:rsidRPr="00A30C4C" w:rsidRDefault="00125707" w:rsidP="00C37B29">
      <w:pPr>
        <w:pStyle w:val="InstructionsText2"/>
        <w:numPr>
          <w:ilvl w:val="0"/>
          <w:numId w:val="0"/>
        </w:numPr>
        <w:ind w:left="993"/>
      </w:pPr>
      <w:r>
        <w:t>34.</w:t>
      </w:r>
      <w:r>
        <w:tab/>
        <w:t>Načelo je ravnomjerno izbrisati unakrsne izloženosti unutar iste grupe u pogledu rizika ili regulatornog kapitala kako bi se pokrili iznosi iskazani u konsolidiranom obrascu CA grupe dodavanjem iznosa iskazanih za svaki subjekt u obrascu „Solventnost grupe”. Ako prag od 1 % nije premašen, izravna poveznica na obrazac CA nije moguća.</w:t>
      </w:r>
    </w:p>
    <w:p w14:paraId="024FA7DB" w14:textId="77777777" w:rsidR="00464F34" w:rsidRPr="00A30C4C" w:rsidRDefault="00125707" w:rsidP="00C37B29">
      <w:pPr>
        <w:pStyle w:val="InstructionsText2"/>
        <w:numPr>
          <w:ilvl w:val="0"/>
          <w:numId w:val="0"/>
        </w:numPr>
        <w:ind w:left="993"/>
      </w:pPr>
      <w:r>
        <w:t>35.</w:t>
      </w:r>
      <w:r>
        <w:tab/>
        <w:t>Institucije definiraju najprimjereniju metodu raščlambe subjekata kako bi se u obzir uzeli mogući učinci diversifikacije za tržišni i operativni rizik.</w:t>
      </w:r>
    </w:p>
    <w:p w14:paraId="44E73222" w14:textId="4CB52BDC" w:rsidR="00464F34" w:rsidRPr="00A30C4C" w:rsidRDefault="00125707" w:rsidP="00C37B29">
      <w:pPr>
        <w:pStyle w:val="InstructionsText2"/>
        <w:numPr>
          <w:ilvl w:val="0"/>
          <w:numId w:val="0"/>
        </w:numPr>
        <w:ind w:left="993"/>
      </w:pPr>
      <w:r>
        <w:t>36.</w:t>
      </w:r>
      <w:r>
        <w:tab/>
        <w:t xml:space="preserve">Jedna konsolidirana grupa može biti uključena u drugu konsolidiranu grupu. U tom se slučaju o subjektima unutar podgrupe izvješćuje na pojedinačnoj osnovi u </w:t>
      </w:r>
      <w:r>
        <w:lastRenderedPageBreak/>
        <w:t xml:space="preserve">obrascu GS cijele grupe čak i onda kada i sama podgrupa podliježe zahtjevima izvješćivanja. Podgrupa koja podliježe zahtjevima izvješćivanja izvješćuje o subjektima na pojedinačnoj osnovi u obrascu GS iako su ti podaci uključeni u obrazac GS više konsolidirane grupe. </w:t>
      </w:r>
    </w:p>
    <w:p w14:paraId="747B1752" w14:textId="5D606B71" w:rsidR="00464F34" w:rsidRPr="00A30C4C" w:rsidRDefault="00125707" w:rsidP="00C37B29">
      <w:pPr>
        <w:pStyle w:val="InstructionsText2"/>
        <w:numPr>
          <w:ilvl w:val="0"/>
          <w:numId w:val="0"/>
        </w:numPr>
        <w:ind w:left="993"/>
      </w:pPr>
      <w:r>
        <w:t>37.</w:t>
      </w:r>
      <w:r>
        <w:tab/>
        <w:t>Institucija iskazuje podatke o doprinosu subjekta ako njegov doprinos ukupnom iznosu izloženosti riziku premašuje 1 % ukupnog iznosa izloženosti riziku grupe ili ako njegov doprinos ukupnom regulatornom kapitalu premašuje 1 % ukupnog regulatornog kapitala grupe. Taj se prag ne primjenjuje u slučaju društava kćeri ili podgrupa koje grupi osiguravaju regulatorni kapital (u obliku manjinskih udjela ili instrumenata kvalificiranog dodatnog osnovnog kapitala ili dopunskog kapitala uključenih u regulatorni kapital).</w:t>
      </w:r>
    </w:p>
    <w:p w14:paraId="313A94E2" w14:textId="73659E53"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30677647"/>
      <w:r>
        <w:rPr>
          <w:rFonts w:ascii="Times New Roman" w:hAnsi="Times New Roman"/>
          <w:sz w:val="24"/>
          <w:u w:val="none"/>
        </w:rPr>
        <w:t>2.4.</w:t>
      </w:r>
      <w:r>
        <w:rPr>
          <w:rFonts w:ascii="Times New Roman" w:hAnsi="Times New Roman"/>
          <w:sz w:val="24"/>
          <w:u w:val="none"/>
        </w:rPr>
        <w:tab/>
      </w:r>
      <w:r>
        <w:rPr>
          <w:rFonts w:ascii="Times New Roman" w:hAnsi="Times New Roman"/>
          <w:sz w:val="24"/>
        </w:rPr>
        <w:t>C 06.01</w:t>
      </w:r>
      <w:r w:rsidR="00723ABC">
        <w:rPr>
          <w:rFonts w:ascii="Times New Roman" w:hAnsi="Times New Roman"/>
          <w:sz w:val="24"/>
        </w:rPr>
        <w:t>.</w:t>
      </w:r>
      <w:r>
        <w:rPr>
          <w:rFonts w:ascii="Times New Roman" w:hAnsi="Times New Roman"/>
          <w:sz w:val="24"/>
        </w:rPr>
        <w:t xml:space="preserve"> – SOLVENTNOST GRUPE: INFORMACIJE O POVEZANIM DRUŠTVIMA - Ukupno (GS Ukupno)</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30C4C" w14:paraId="3D7B88F7" w14:textId="77777777" w:rsidTr="00672D2A">
        <w:tc>
          <w:tcPr>
            <w:tcW w:w="1188" w:type="dxa"/>
            <w:shd w:val="clear" w:color="auto" w:fill="CCCCCC"/>
          </w:tcPr>
          <w:p w14:paraId="2F6E71C0"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14:paraId="3B0EAFD0"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Upute</w:t>
            </w:r>
          </w:p>
        </w:tc>
      </w:tr>
      <w:tr w:rsidR="00D85AC7" w:rsidRPr="00A30C4C" w14:paraId="1F7FDDC7" w14:textId="77777777" w:rsidTr="00672D2A">
        <w:tc>
          <w:tcPr>
            <w:tcW w:w="1188" w:type="dxa"/>
          </w:tcPr>
          <w:p w14:paraId="474253BB" w14:textId="77777777" w:rsidR="00D85AC7" w:rsidRPr="00A30C4C"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14:paraId="56930B44" w14:textId="77777777" w:rsidR="00D85AC7" w:rsidRPr="00A30C4C"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14:paraId="622423D7" w14:textId="77777777" w:rsidR="00D85AC7" w:rsidRPr="00A30C4C"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Vidjeti upute za obrazac C 06.02.</w:t>
            </w:r>
          </w:p>
        </w:tc>
      </w:tr>
      <w:tr w:rsidR="00D85AC7" w:rsidRPr="00A30C4C"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A30C4C"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14:paraId="54FE50B2" w14:textId="77777777" w:rsidR="00D85AC7" w:rsidRPr="00A30C4C" w:rsidRDefault="00D85AC7" w:rsidP="00FF36A5">
            <w:pPr>
              <w:rPr>
                <w:rStyle w:val="InstructionsTabelleberschrift"/>
                <w:rFonts w:ascii="Times New Roman" w:hAnsi="Times New Roman"/>
                <w:sz w:val="24"/>
              </w:rPr>
            </w:pPr>
            <w:r>
              <w:rPr>
                <w:rStyle w:val="InstructionsTabelleText"/>
                <w:rFonts w:ascii="Times New Roman" w:hAnsi="Times New Roman"/>
                <w:sz w:val="24"/>
              </w:rPr>
              <w:t>Vidjeti upute za obrazac C 06.02.</w:t>
            </w:r>
          </w:p>
        </w:tc>
      </w:tr>
    </w:tbl>
    <w:p w14:paraId="03C35D0A" w14:textId="77777777" w:rsidR="00D85AC7" w:rsidRPr="00A30C4C"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30C4C" w14:paraId="2DF7E091" w14:textId="77777777" w:rsidTr="00672D2A">
        <w:tc>
          <w:tcPr>
            <w:tcW w:w="1188" w:type="dxa"/>
            <w:shd w:val="clear" w:color="auto" w:fill="CCCCCC"/>
          </w:tcPr>
          <w:p w14:paraId="78D4F2D0"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Redci</w:t>
            </w:r>
          </w:p>
        </w:tc>
        <w:tc>
          <w:tcPr>
            <w:tcW w:w="8640" w:type="dxa"/>
            <w:shd w:val="clear" w:color="auto" w:fill="CCCCCC"/>
          </w:tcPr>
          <w:p w14:paraId="1C741FE2"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Upute</w:t>
            </w:r>
          </w:p>
        </w:tc>
      </w:tr>
      <w:tr w:rsidR="00D85AC7" w:rsidRPr="00A30C4C" w14:paraId="3F370291" w14:textId="77777777" w:rsidTr="00672D2A">
        <w:tc>
          <w:tcPr>
            <w:tcW w:w="1188" w:type="dxa"/>
          </w:tcPr>
          <w:p w14:paraId="196EEEBF"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4FC9E795" w14:textId="77777777" w:rsidR="00D85AC7" w:rsidRPr="00A30C4C"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UKUPNO</w:t>
            </w:r>
          </w:p>
          <w:p w14:paraId="0FC622F0" w14:textId="77777777" w:rsidR="00D85AC7" w:rsidRPr="00A30C4C"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Iskazuje se zbroj vrijednosti iskazanih u svim redcima obrasca C 06.02.</w:t>
            </w:r>
          </w:p>
        </w:tc>
      </w:tr>
    </w:tbl>
    <w:p w14:paraId="3C6A430D" w14:textId="77777777" w:rsidR="00D85AC7" w:rsidRPr="00A30C4C" w:rsidRDefault="00D85AC7" w:rsidP="00FD239F">
      <w:pPr>
        <w:pStyle w:val="InstructionsText"/>
      </w:pPr>
    </w:p>
    <w:p w14:paraId="539B2369" w14:textId="77777777" w:rsidR="00D85AC7" w:rsidRPr="00A30C4C"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30677648"/>
      <w:r>
        <w:rPr>
          <w:rFonts w:ascii="Times New Roman" w:hAnsi="Times New Roman"/>
          <w:sz w:val="24"/>
          <w:u w:val="none"/>
        </w:rPr>
        <w:t>2.5.</w:t>
      </w:r>
      <w:r>
        <w:rPr>
          <w:rFonts w:ascii="Times New Roman" w:hAnsi="Times New Roman"/>
          <w:sz w:val="24"/>
          <w:u w:val="none"/>
        </w:rPr>
        <w:tab/>
      </w:r>
      <w:r>
        <w:rPr>
          <w:rFonts w:ascii="Times New Roman" w:hAnsi="Times New Roman"/>
          <w:sz w:val="24"/>
        </w:rPr>
        <w:t>C 06.02 – SOLVENTNOST GRUPE: INFORMACIJE O POVEZANIM DRUŠTVIMA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30C4C" w14:paraId="3514CD02" w14:textId="77777777" w:rsidTr="00672D2A">
        <w:tc>
          <w:tcPr>
            <w:tcW w:w="1188" w:type="dxa"/>
            <w:shd w:val="clear" w:color="auto" w:fill="CCCCCC"/>
          </w:tcPr>
          <w:p w14:paraId="01AA5D3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Stupci</w:t>
            </w:r>
          </w:p>
        </w:tc>
        <w:tc>
          <w:tcPr>
            <w:tcW w:w="8640" w:type="dxa"/>
            <w:shd w:val="clear" w:color="auto" w:fill="CCCCCC"/>
          </w:tcPr>
          <w:p w14:paraId="7FC7F52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Upute</w:t>
            </w:r>
          </w:p>
        </w:tc>
      </w:tr>
      <w:tr w:rsidR="00464F34" w:rsidRPr="00A30C4C" w14:paraId="53722D57" w14:textId="77777777" w:rsidTr="00672D2A">
        <w:tc>
          <w:tcPr>
            <w:tcW w:w="1188" w:type="dxa"/>
          </w:tcPr>
          <w:p w14:paraId="7A09A40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14:paraId="5EE7C796"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SUBJEKTI U OPSEGU KONSOLIDACIJE</w:t>
            </w:r>
          </w:p>
          <w:p w14:paraId="7CE0B44F" w14:textId="34C2AEBE" w:rsidR="00464F34" w:rsidRPr="00A30C4C"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Ovaj je obrazac osmišljen za prikupljanje informacija o svim subjektima u opsegu konsolidacije na pojedinačnoj osnovi u skladu s dijelom prvim glavom II. poglavljem 2. CRR-a.  </w:t>
            </w:r>
          </w:p>
        </w:tc>
      </w:tr>
      <w:tr w:rsidR="00464F34" w:rsidRPr="00A30C4C" w14:paraId="0589B0E9" w14:textId="77777777" w:rsidTr="00672D2A">
        <w:tc>
          <w:tcPr>
            <w:tcW w:w="1188" w:type="dxa"/>
          </w:tcPr>
          <w:p w14:paraId="5E42392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2D9738C7"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NAZIV</w:t>
            </w:r>
          </w:p>
          <w:p w14:paraId="1D69F93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Naziv subjekta u opsegu konsolidacije.</w:t>
            </w:r>
          </w:p>
        </w:tc>
      </w:tr>
      <w:tr w:rsidR="00464F34" w:rsidRPr="00A30C4C" w14:paraId="2EF8636C" w14:textId="77777777" w:rsidTr="00672D2A">
        <w:tc>
          <w:tcPr>
            <w:tcW w:w="1188" w:type="dxa"/>
          </w:tcPr>
          <w:p w14:paraId="0E548189"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14:paraId="5AFA22A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OZNAKA</w:t>
            </w:r>
          </w:p>
          <w:p w14:paraId="49108895" w14:textId="2BB68904" w:rsidR="009A47E2" w:rsidRPr="00A30C4C" w:rsidRDefault="009A47E2" w:rsidP="00464F34">
            <w:pPr>
              <w:rPr>
                <w:rStyle w:val="InstructionsTabelleText"/>
                <w:rFonts w:ascii="Times New Roman" w:hAnsi="Times New Roman"/>
                <w:sz w:val="24"/>
              </w:rPr>
            </w:pPr>
            <w:r>
              <w:rPr>
                <w:rStyle w:val="InstructionsTabelleText"/>
                <w:rFonts w:ascii="Times New Roman" w:hAnsi="Times New Roman"/>
                <w:sz w:val="24"/>
              </w:rPr>
              <w:t>Ova je oznaka identifikator retka i jedinstvena je za svaki redak u obrascu.</w:t>
            </w:r>
          </w:p>
          <w:p w14:paraId="1A549825" w14:textId="77777777" w:rsidR="002E136A"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Oznaka dodijeljena subjektu u opsegu konsolidacije.</w:t>
            </w:r>
          </w:p>
          <w:p w14:paraId="3A5D7904" w14:textId="77777777" w:rsidR="00464F34" w:rsidRPr="00A30C4C"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Stvaran sastav oznake ovisi o nacionalnom sustavu izvješćivanja. </w:t>
            </w:r>
          </w:p>
        </w:tc>
      </w:tr>
      <w:tr w:rsidR="00464F34" w:rsidRPr="00A30C4C" w14:paraId="498A1D59" w14:textId="77777777" w:rsidTr="00672D2A">
        <w:tc>
          <w:tcPr>
            <w:tcW w:w="1188" w:type="dxa"/>
          </w:tcPr>
          <w:p w14:paraId="0A0AFF54"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025</w:t>
            </w:r>
          </w:p>
        </w:tc>
        <w:tc>
          <w:tcPr>
            <w:tcW w:w="8640" w:type="dxa"/>
          </w:tcPr>
          <w:p w14:paraId="62F1EBDE"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OZNAKA LEI</w:t>
            </w:r>
          </w:p>
          <w:p w14:paraId="75F27FE2" w14:textId="77777777" w:rsidR="00C504D3" w:rsidRPr="00A30C4C" w:rsidRDefault="00C504D3" w:rsidP="00C504D3">
            <w:pPr>
              <w:rPr>
                <w:rStyle w:val="InstructionsTabelleText"/>
                <w:rFonts w:ascii="Times New Roman" w:hAnsi="Times New Roman"/>
                <w:sz w:val="24"/>
              </w:rPr>
            </w:pPr>
            <w:r>
              <w:rPr>
                <w:rStyle w:val="InstructionsTabelleText"/>
                <w:rFonts w:ascii="Times New Roman" w:hAnsi="Times New Roman"/>
                <w:sz w:val="24"/>
              </w:rPr>
              <w:t>Oznaka LEI je referentna identifikacijska oznaka pravnog subjekta (</w:t>
            </w:r>
            <w:proofErr w:type="spellStart"/>
            <w:r>
              <w:rPr>
                <w:rStyle w:val="InstructionsTabelleText"/>
                <w:rFonts w:ascii="Times New Roman" w:hAnsi="Times New Roman"/>
                <w:sz w:val="24"/>
              </w:rPr>
              <w:t>eng</w:t>
            </w:r>
            <w:proofErr w:type="spellEnd"/>
            <w:r>
              <w:rPr>
                <w:rStyle w:val="InstructionsTabelleText"/>
                <w:rFonts w:ascii="Times New Roman" w:hAnsi="Times New Roman"/>
                <w:sz w:val="24"/>
              </w:rPr>
              <w:t xml:space="preserve">. Legal </w:t>
            </w:r>
            <w:proofErr w:type="spellStart"/>
            <w:r>
              <w:rPr>
                <w:rStyle w:val="InstructionsTabelleText"/>
                <w:rFonts w:ascii="Times New Roman" w:hAnsi="Times New Roman"/>
                <w:sz w:val="24"/>
              </w:rPr>
              <w:t>Entity</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Identification</w:t>
            </w:r>
            <w:proofErr w:type="spellEnd"/>
            <w:r>
              <w:rPr>
                <w:rStyle w:val="InstructionsTabelleText"/>
                <w:rFonts w:ascii="Times New Roman" w:hAnsi="Times New Roman"/>
                <w:sz w:val="24"/>
              </w:rPr>
              <w:t>) koju je predložio Odbor za financijsku stabilnost (FSB) i potvrdila skupina G20 u cilju osiguranja jedinstvene globalne identifikacije stranaka u financijskim transakcijama.</w:t>
            </w:r>
          </w:p>
          <w:p w14:paraId="7320F1F1" w14:textId="15DD7B7E" w:rsidR="00A10C90" w:rsidRPr="00A30C4C" w:rsidRDefault="00C504D3" w:rsidP="009A47E2">
            <w:pPr>
              <w:rPr>
                <w:rStyle w:val="InstructionsTabelleText"/>
                <w:rFonts w:ascii="Times New Roman" w:hAnsi="Times New Roman"/>
                <w:sz w:val="24"/>
              </w:rPr>
            </w:pPr>
            <w:r>
              <w:rPr>
                <w:rStyle w:val="InstructionsTabelleText"/>
                <w:rFonts w:ascii="Times New Roman" w:hAnsi="Times New Roman"/>
                <w:sz w:val="24"/>
              </w:rPr>
              <w:t xml:space="preserve">Dok globalni sustav LEI ne bude u punoj funkciji, lokalna operativna jedinica koju je potvrdio Regulatorni nadzorni odbor (detaljne informacije mogu se pronaći na sljedećim internetskim stranicama: </w:t>
            </w:r>
            <w:hyperlink r:id="rId10" w:history="1">
              <w:r>
                <w:rPr>
                  <w:rStyle w:val="Hyperlink"/>
                  <w:rFonts w:ascii="Times New Roman" w:hAnsi="Times New Roman"/>
                  <w:sz w:val="24"/>
                </w:rPr>
                <w:t>www.leiroc.org</w:t>
              </w:r>
            </w:hyperlink>
            <w:r>
              <w:rPr>
                <w:rStyle w:val="InstructionsTabelleText"/>
                <w:rFonts w:ascii="Times New Roman" w:hAnsi="Times New Roman"/>
                <w:sz w:val="24"/>
              </w:rPr>
              <w:t>) drugim ugovornim stranama dodjeljuje privremene oznake LEI</w:t>
            </w:r>
            <w:r>
              <w:rPr>
                <w:rStyle w:val="InstructionsTabelleText"/>
                <w:rFonts w:ascii="Times New Roman" w:hAnsi="Times New Roman"/>
                <w:i/>
                <w:sz w:val="24"/>
              </w:rPr>
              <w:t xml:space="preserve"> </w:t>
            </w:r>
          </w:p>
          <w:p w14:paraId="51EE99AB" w14:textId="77777777" w:rsidR="00464F34" w:rsidRPr="00A30C4C"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Ako pojedina druga ugovorna strana ima identifikacijsku oznaku pravne osobe (LEI), ona se koristi za identifikaciju te druge ugovorne strane. </w:t>
            </w:r>
          </w:p>
        </w:tc>
      </w:tr>
      <w:tr w:rsidR="00464F34" w:rsidRPr="00A30C4C" w14:paraId="1DF5E571" w14:textId="77777777" w:rsidTr="00672D2A">
        <w:tc>
          <w:tcPr>
            <w:tcW w:w="1188" w:type="dxa"/>
          </w:tcPr>
          <w:p w14:paraId="5294AC3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14:paraId="2C9F5508"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INSTITUCIJA ILI EKVIVALENT (DA/NE)</w:t>
            </w:r>
          </w:p>
          <w:p w14:paraId="778DDD55" w14:textId="7B2C6B4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„DA” se iskazuje ako se na subjekt primjenjuju kapitalni zahtjevi u skladu s CRR-om i CRD-om ili odredbama koje su barem istovjetne bazelskim odredbama.</w:t>
            </w:r>
          </w:p>
          <w:p w14:paraId="1871066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„NE” se iskazuje u suprotnom slučaju.</w:t>
            </w:r>
          </w:p>
          <w:p w14:paraId="430EA4DC" w14:textId="77777777" w:rsidR="00464F34" w:rsidRPr="00A30C4C" w:rsidRDefault="00464F34" w:rsidP="00464F34">
            <w:pPr>
              <w:rPr>
                <w:rStyle w:val="InstructionsTabelleText"/>
                <w:rFonts w:ascii="Times New Roman" w:hAnsi="Times New Roman"/>
                <w:sz w:val="24"/>
              </w:rPr>
            </w:pPr>
          </w:p>
          <w:p w14:paraId="23D75BCC" w14:textId="77777777" w:rsidR="00464F34" w:rsidRPr="00A30C4C"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rPr>
                <w:rStyle w:val="InstructionsTabelleText"/>
                <w:rFonts w:ascii="Wingdings" w:hAnsi="Wingdings"/>
                <w:sz w:val="24"/>
              </w:rPr>
              <w:tab/>
            </w:r>
            <w:r>
              <w:rPr>
                <w:rStyle w:val="InstructionsTabelleText"/>
                <w:rFonts w:ascii="Times New Roman" w:hAnsi="Times New Roman"/>
                <w:sz w:val="24"/>
              </w:rPr>
              <w:t>Manjinski udjeli:</w:t>
            </w:r>
          </w:p>
          <w:p w14:paraId="17E96CB7" w14:textId="5070EAA2" w:rsidR="00464F34" w:rsidRPr="00A30C4C" w:rsidRDefault="00283C5E" w:rsidP="00464F34">
            <w:pPr>
              <w:rPr>
                <w:rStyle w:val="InstructionsTabelleText"/>
                <w:rFonts w:ascii="Times New Roman" w:hAnsi="Times New Roman"/>
                <w:sz w:val="24"/>
              </w:rPr>
            </w:pPr>
            <w:r>
              <w:rPr>
                <w:rFonts w:ascii="Times New Roman" w:hAnsi="Times New Roman"/>
                <w:sz w:val="24"/>
              </w:rPr>
              <w:t xml:space="preserve">Članak 81. stavak 1. točka (a) </w:t>
            </w:r>
            <w:proofErr w:type="spellStart"/>
            <w:r>
              <w:rPr>
                <w:rFonts w:ascii="Times New Roman" w:hAnsi="Times New Roman"/>
                <w:sz w:val="24"/>
              </w:rPr>
              <w:t>podtočka</w:t>
            </w:r>
            <w:proofErr w:type="spellEnd"/>
            <w:r>
              <w:rPr>
                <w:rFonts w:ascii="Times New Roman" w:hAnsi="Times New Roman"/>
                <w:sz w:val="24"/>
              </w:rPr>
              <w:t xml:space="preserve"> ii. i članak 82. stavak 1. točka (a) </w:t>
            </w:r>
            <w:proofErr w:type="spellStart"/>
            <w:r>
              <w:rPr>
                <w:rFonts w:ascii="Times New Roman" w:hAnsi="Times New Roman"/>
                <w:sz w:val="24"/>
              </w:rPr>
              <w:t>podtočka</w:t>
            </w:r>
            <w:proofErr w:type="spellEnd"/>
            <w:r>
              <w:rPr>
                <w:rFonts w:ascii="Times New Roman" w:hAnsi="Times New Roman"/>
                <w:sz w:val="24"/>
              </w:rPr>
              <w:t xml:space="preserve"> ii. CRR-a</w:t>
            </w:r>
          </w:p>
          <w:p w14:paraId="70FC6685" w14:textId="177CDE94" w:rsidR="00464F34" w:rsidRPr="00A30C4C" w:rsidRDefault="00464F34" w:rsidP="00283C5E">
            <w:pPr>
              <w:rPr>
                <w:rStyle w:val="InstructionsTabelleText"/>
                <w:rFonts w:ascii="Times New Roman" w:hAnsi="Times New Roman"/>
                <w:sz w:val="24"/>
              </w:rPr>
            </w:pPr>
            <w:r>
              <w:rPr>
                <w:rFonts w:ascii="Times New Roman" w:hAnsi="Times New Roman"/>
                <w:sz w:val="24"/>
              </w:rPr>
              <w:t>U pogledu manjinskih udjela i instrumenata dodatnog osnovnog kapitala i dopunskog kapitala društava kćeri, društva kćeri čiji se instrumenti mogu priznati jesu institucije ili društva na koje se primjenjuju zahtjevi CRR-a na temelju primjenjivog nacionalnog prava.</w:t>
            </w:r>
          </w:p>
        </w:tc>
      </w:tr>
      <w:tr w:rsidR="00B47F0C" w:rsidRPr="00A30C4C" w14:paraId="00CEA0C8" w14:textId="77777777" w:rsidTr="00672D2A">
        <w:tc>
          <w:tcPr>
            <w:tcW w:w="1188" w:type="dxa"/>
          </w:tcPr>
          <w:p w14:paraId="7D6FF3E4" w14:textId="77777777" w:rsidR="00B47F0C" w:rsidRPr="00A30C4C"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14:paraId="4AEC7BD9" w14:textId="77777777" w:rsidR="00B47F0C" w:rsidRPr="00A30C4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VRSTA SUBJEKTA</w:t>
            </w:r>
          </w:p>
          <w:p w14:paraId="6D57FDC9" w14:textId="77777777" w:rsidR="0071377A" w:rsidRPr="00A30C4C" w:rsidRDefault="0071377A" w:rsidP="00B47F0C">
            <w:pPr>
              <w:rPr>
                <w:rStyle w:val="InstructionsTabelleText"/>
                <w:rFonts w:ascii="Times New Roman" w:hAnsi="Times New Roman"/>
                <w:bCs/>
                <w:sz w:val="24"/>
              </w:rPr>
            </w:pPr>
            <w:r>
              <w:rPr>
                <w:rStyle w:val="InstructionsTabelleText"/>
                <w:rFonts w:ascii="Times New Roman" w:hAnsi="Times New Roman"/>
                <w:bCs/>
                <w:sz w:val="24"/>
              </w:rPr>
              <w:t>Vrsta subjekta iskazuje se na temelju sljedećih kategorija:</w:t>
            </w:r>
          </w:p>
          <w:p w14:paraId="63AFEC92" w14:textId="77777777" w:rsidR="0071377A" w:rsidRPr="00A30C4C"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rPr>
                <w:rStyle w:val="InstructionsTabelleText"/>
                <w:rFonts w:ascii="Times New Roman" w:hAnsi="Times New Roman"/>
                <w:sz w:val="24"/>
              </w:rPr>
              <w:tab/>
              <w:t>kreditne institucije</w:t>
            </w:r>
          </w:p>
          <w:p w14:paraId="6F13943F" w14:textId="130A098E" w:rsidR="0071377A" w:rsidRPr="00A30C4C"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b/>
              <w:t>Članak 4. stavak 1. točka 1. CRR-a</w:t>
            </w:r>
          </w:p>
          <w:p w14:paraId="5D2B34B7"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rPr>
                <w:rStyle w:val="InstructionsTabelleText"/>
                <w:rFonts w:ascii="Times New Roman" w:hAnsi="Times New Roman"/>
                <w:bCs/>
                <w:sz w:val="24"/>
              </w:rPr>
              <w:tab/>
            </w:r>
            <w:r>
              <w:rPr>
                <w:rStyle w:val="InstructionsTabelleText"/>
                <w:rFonts w:ascii="Times New Roman" w:hAnsi="Times New Roman"/>
                <w:sz w:val="24"/>
              </w:rPr>
              <w:t>investicijsko društvo</w:t>
            </w:r>
          </w:p>
          <w:p w14:paraId="5D9225D3" w14:textId="1499D2B4"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točka 2. CRR-a</w:t>
            </w:r>
          </w:p>
          <w:p w14:paraId="4AC1E538"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rPr>
                <w:rStyle w:val="InstructionsTabelleText"/>
                <w:rFonts w:ascii="Times New Roman" w:hAnsi="Times New Roman"/>
                <w:bCs/>
                <w:sz w:val="24"/>
              </w:rPr>
              <w:tab/>
            </w:r>
            <w:r>
              <w:rPr>
                <w:rStyle w:val="InstructionsTabelleText"/>
                <w:rFonts w:ascii="Times New Roman" w:hAnsi="Times New Roman"/>
                <w:sz w:val="24"/>
              </w:rPr>
              <w:t xml:space="preserve">financijska institucija (ostalo) </w:t>
            </w:r>
          </w:p>
          <w:p w14:paraId="0B837FD2" w14:textId="72ADA4B5" w:rsidR="00965D27"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točke 20., 21. i 26. CRR-a</w:t>
            </w:r>
          </w:p>
          <w:p w14:paraId="4ECB5309" w14:textId="048F3DED" w:rsidR="0071377A" w:rsidRPr="00A30C4C" w:rsidRDefault="00965D27" w:rsidP="00965D2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bCs/>
                <w:sz w:val="24"/>
              </w:rPr>
              <w:tab/>
              <w:t>Financijske institucije u smislu članka 4. stavka 1. točke 26. CRR-a koje nisu uključene u kategorije iz točaka (d), (f) ili (g);</w:t>
            </w:r>
          </w:p>
          <w:p w14:paraId="693D5F80"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rPr>
                <w:rStyle w:val="InstructionsTabelleText"/>
                <w:rFonts w:ascii="Times New Roman" w:hAnsi="Times New Roman"/>
                <w:bCs/>
                <w:sz w:val="24"/>
              </w:rPr>
              <w:tab/>
            </w:r>
            <w:r>
              <w:rPr>
                <w:rStyle w:val="InstructionsTabelleText"/>
                <w:rFonts w:ascii="Times New Roman" w:hAnsi="Times New Roman"/>
                <w:sz w:val="24"/>
              </w:rPr>
              <w:t>mješoviti financijski holding</w:t>
            </w:r>
          </w:p>
          <w:p w14:paraId="7285AC88" w14:textId="1C6BACC2"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točke 20. i 21. CRR-a</w:t>
            </w:r>
          </w:p>
          <w:p w14:paraId="0D38C0FD"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rPr>
                <w:rStyle w:val="InstructionsTabelleText"/>
                <w:rFonts w:ascii="Times New Roman" w:hAnsi="Times New Roman"/>
                <w:bCs/>
                <w:sz w:val="24"/>
              </w:rPr>
              <w:tab/>
            </w:r>
            <w:r>
              <w:rPr>
                <w:rStyle w:val="InstructionsTabelleText"/>
                <w:rFonts w:ascii="Times New Roman" w:hAnsi="Times New Roman"/>
                <w:sz w:val="24"/>
              </w:rPr>
              <w:t>društvo za pomoćne usluge</w:t>
            </w:r>
          </w:p>
          <w:p w14:paraId="55506CD2" w14:textId="53A86B31"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lastRenderedPageBreak/>
              <w:tab/>
              <w:t>Članak 4. stavak 1. točka 18. CRR-a</w:t>
            </w:r>
          </w:p>
          <w:p w14:paraId="096B9600"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rPr>
                <w:rStyle w:val="InstructionsTabelleText"/>
                <w:rFonts w:ascii="Times New Roman" w:hAnsi="Times New Roman"/>
                <w:bCs/>
                <w:sz w:val="24"/>
              </w:rPr>
              <w:tab/>
            </w:r>
            <w:proofErr w:type="spellStart"/>
            <w:r>
              <w:rPr>
                <w:rStyle w:val="InstructionsTabelleText"/>
                <w:rFonts w:ascii="Times New Roman" w:hAnsi="Times New Roman"/>
                <w:bCs/>
                <w:sz w:val="24"/>
              </w:rPr>
              <w:t>sekuritizacijski</w:t>
            </w:r>
            <w:proofErr w:type="spellEnd"/>
            <w:r>
              <w:rPr>
                <w:rStyle w:val="InstructionsTabelleText"/>
                <w:rFonts w:ascii="Times New Roman" w:hAnsi="Times New Roman"/>
                <w:bCs/>
                <w:sz w:val="24"/>
              </w:rPr>
              <w:t xml:space="preserve"> subjekt posebne namjene</w:t>
            </w:r>
          </w:p>
          <w:p w14:paraId="7F662C14" w14:textId="6DC55CAE"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Članak 4. stavak 1. točka 66. CRR-a</w:t>
            </w:r>
          </w:p>
          <w:p w14:paraId="0DB5F04F"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rPr>
                <w:rStyle w:val="InstructionsTabelleText"/>
                <w:rFonts w:ascii="Times New Roman" w:hAnsi="Times New Roman"/>
                <w:bCs/>
                <w:sz w:val="24"/>
              </w:rPr>
              <w:tab/>
            </w:r>
            <w:r>
              <w:rPr>
                <w:rStyle w:val="InstructionsTabelleText"/>
                <w:rFonts w:ascii="Times New Roman" w:hAnsi="Times New Roman"/>
                <w:sz w:val="24"/>
              </w:rPr>
              <w:t>društvo za izdavanje pokrivenih obveznica.</w:t>
            </w:r>
          </w:p>
          <w:p w14:paraId="17D0AFB0" w14:textId="77777777" w:rsidR="009B526D" w:rsidRPr="00A30C4C"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Subjekt osnovan za potrebe izdavanja pokrivenih obveznica ili držanje kolaterala kojim je osigurana pokrivena obveznica, ako nije uključen u prethodno navedene kategorije iz točaka (a), (b) ili od (d) do (f);</w:t>
            </w:r>
          </w:p>
          <w:p w14:paraId="3BF0B420" w14:textId="77777777" w:rsidR="0089010B" w:rsidRPr="00A30C4C"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rPr>
                <w:rStyle w:val="InstructionsTabelleText"/>
                <w:rFonts w:ascii="Times New Roman" w:hAnsi="Times New Roman"/>
                <w:bCs/>
                <w:sz w:val="24"/>
              </w:rPr>
              <w:tab/>
            </w:r>
            <w:r>
              <w:rPr>
                <w:rStyle w:val="InstructionsTabelleText"/>
                <w:rFonts w:ascii="Times New Roman" w:hAnsi="Times New Roman"/>
                <w:sz w:val="24"/>
              </w:rPr>
              <w:t>ostale vrste subjekta</w:t>
            </w:r>
          </w:p>
          <w:p w14:paraId="1C3B0A84" w14:textId="77777777" w:rsidR="00DA0DB4" w:rsidRPr="00A30C4C"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Subjekt osim onog iz točaka od (a) do (g)</w:t>
            </w:r>
          </w:p>
          <w:p w14:paraId="200F2A18" w14:textId="77777777" w:rsidR="00965D27" w:rsidRPr="00A30C4C"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Ako se na subjekt ne primjenjuje CRR i CRD, već odredbe koje su barem istovjetne bazelskim odredbama, relevantna kategorija određuje se u okviru mogućnosti.  </w:t>
            </w:r>
          </w:p>
        </w:tc>
      </w:tr>
      <w:tr w:rsidR="00464F34" w:rsidRPr="00A30C4C" w14:paraId="67463085" w14:textId="77777777" w:rsidTr="00672D2A">
        <w:tc>
          <w:tcPr>
            <w:tcW w:w="1188" w:type="dxa"/>
          </w:tcPr>
          <w:p w14:paraId="11FAC5C4"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8640" w:type="dxa"/>
          </w:tcPr>
          <w:p w14:paraId="5C81B104" w14:textId="77777777" w:rsidR="00464F34" w:rsidRPr="00A30C4C" w:rsidRDefault="00464F34" w:rsidP="00464F34">
            <w:pPr>
              <w:rPr>
                <w:rFonts w:ascii="Times New Roman" w:hAnsi="Times New Roman"/>
                <w:b/>
                <w:sz w:val="24"/>
                <w:u w:val="single"/>
              </w:rPr>
            </w:pPr>
            <w:r>
              <w:rPr>
                <w:rFonts w:ascii="Times New Roman" w:hAnsi="Times New Roman"/>
                <w:b/>
                <w:sz w:val="24"/>
                <w:u w:val="single"/>
              </w:rPr>
              <w:t xml:space="preserve">OPSEG PODATAKA: </w:t>
            </w:r>
            <w:r>
              <w:rPr>
                <w:rFonts w:ascii="Times New Roman" w:hAnsi="Times New Roman"/>
                <w:b/>
                <w:caps/>
                <w:sz w:val="24"/>
                <w:u w:val="single"/>
              </w:rPr>
              <w:t>pojedinačno potpuno konsolidirana (SF) ILI pojedinačno djelomično konsolidirana (SP)</w:t>
            </w:r>
          </w:p>
          <w:p w14:paraId="7670D05C" w14:textId="77777777" w:rsidR="00464F34" w:rsidRPr="00A30C4C" w:rsidRDefault="00464F34" w:rsidP="009E5DCC">
            <w:pPr>
              <w:rPr>
                <w:rStyle w:val="Heading1Char"/>
                <w:rFonts w:ascii="Times New Roman" w:hAnsi="Times New Roman"/>
                <w:sz w:val="24"/>
                <w:szCs w:val="24"/>
              </w:rPr>
            </w:pPr>
            <w:r>
              <w:rPr>
                <w:rStyle w:val="InstructionsTabelleText"/>
                <w:rFonts w:ascii="Times New Roman" w:hAnsi="Times New Roman"/>
                <w:sz w:val="24"/>
              </w:rPr>
              <w:t>„SF” se iskazuje za pojedinačna društva kćeri koja su potpuno konsolidirana.</w:t>
            </w:r>
            <w:r>
              <w:rPr>
                <w:rStyle w:val="Heading1Char"/>
                <w:rFonts w:ascii="Times New Roman" w:hAnsi="Times New Roman"/>
                <w:sz w:val="24"/>
                <w:szCs w:val="24"/>
              </w:rPr>
              <w:t xml:space="preserve"> </w:t>
            </w:r>
          </w:p>
          <w:p w14:paraId="60F66323" w14:textId="77777777" w:rsidR="00464F34" w:rsidRPr="00A30C4C" w:rsidRDefault="009E5DCC" w:rsidP="00941843">
            <w:pPr>
              <w:rPr>
                <w:rStyle w:val="InstructionsTabelleText"/>
                <w:rFonts w:ascii="Times New Roman" w:hAnsi="Times New Roman"/>
                <w:smallCaps/>
                <w:sz w:val="24"/>
              </w:rPr>
            </w:pPr>
            <w:r>
              <w:rPr>
                <w:rStyle w:val="InstructionsTabelleText"/>
                <w:rFonts w:ascii="Times New Roman" w:hAnsi="Times New Roman"/>
                <w:sz w:val="24"/>
              </w:rPr>
              <w:t>„SP” se iskazuje za pojedinačna društva kćeri koja su djelomično konsolidirana.</w:t>
            </w:r>
            <w:r>
              <w:rPr>
                <w:rStyle w:val="InstructionsTabelleText"/>
                <w:rFonts w:ascii="Times New Roman" w:hAnsi="Times New Roman"/>
                <w:i/>
                <w:sz w:val="24"/>
              </w:rPr>
              <w:t xml:space="preserve"> </w:t>
            </w:r>
          </w:p>
        </w:tc>
      </w:tr>
      <w:tr w:rsidR="00464F34" w:rsidRPr="00A30C4C" w14:paraId="0DFB4DFD" w14:textId="77777777" w:rsidTr="00672D2A">
        <w:tc>
          <w:tcPr>
            <w:tcW w:w="1188" w:type="dxa"/>
          </w:tcPr>
          <w:p w14:paraId="0AC0535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14:paraId="0F4A9943" w14:textId="77777777" w:rsidR="00464F34" w:rsidRPr="00A30C4C" w:rsidRDefault="00464F34" w:rsidP="00464F34">
            <w:pPr>
              <w:rPr>
                <w:rFonts w:ascii="Times New Roman" w:hAnsi="Times New Roman"/>
                <w:b/>
                <w:sz w:val="24"/>
                <w:u w:val="single"/>
              </w:rPr>
            </w:pPr>
            <w:r>
              <w:rPr>
                <w:rFonts w:ascii="Times New Roman" w:hAnsi="Times New Roman"/>
                <w:b/>
                <w:sz w:val="24"/>
                <w:u w:val="single"/>
              </w:rPr>
              <w:t xml:space="preserve">OZNAKA ZEMLJE </w:t>
            </w:r>
          </w:p>
          <w:p w14:paraId="3BE65297" w14:textId="4781671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 xml:space="preserve">Institucije iskazuju dvoslovnu oznaku zemlje navedenu u normi ISO 3166-2. </w:t>
            </w:r>
          </w:p>
        </w:tc>
      </w:tr>
      <w:tr w:rsidR="00464F34" w:rsidRPr="00A30C4C" w14:paraId="784633B7" w14:textId="77777777" w:rsidTr="00672D2A">
        <w:tc>
          <w:tcPr>
            <w:tcW w:w="1188" w:type="dxa"/>
          </w:tcPr>
          <w:p w14:paraId="7CEBA24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060</w:t>
            </w:r>
          </w:p>
        </w:tc>
        <w:tc>
          <w:tcPr>
            <w:tcW w:w="8640" w:type="dxa"/>
          </w:tcPr>
          <w:p w14:paraId="76BE311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UDJEL ULAGANJA (%)</w:t>
            </w:r>
          </w:p>
          <w:p w14:paraId="796D7C4B" w14:textId="27BB44E2" w:rsidR="00464F34" w:rsidRPr="00A30C4C" w:rsidRDefault="00464F34" w:rsidP="008B3E8F">
            <w:pPr>
              <w:rPr>
                <w:rStyle w:val="InstructionsTabelleText"/>
                <w:rFonts w:ascii="Times New Roman" w:hAnsi="Times New Roman"/>
                <w:sz w:val="24"/>
              </w:rPr>
            </w:pPr>
            <w:r>
              <w:rPr>
                <w:rStyle w:val="InstructionsTabelleText"/>
                <w:rFonts w:ascii="Times New Roman" w:hAnsi="Times New Roman"/>
                <w:sz w:val="24"/>
              </w:rPr>
              <w:t>Ovaj se postotak odnosi na stvarni udio u kapitalu koji matično društvo ima u društvima kćerima. U slučaju potpune konsolidacije izravnog društva kćeri stvarni je udio npr. 70 %. U skladu s člankom 4. stavkom 1. točkom 16. CRR-a, iskazuje se udio u društvu kćeri koji se dobije množenjem udjela među dotičnim društvima kćerima.</w:t>
            </w:r>
          </w:p>
        </w:tc>
      </w:tr>
      <w:tr w:rsidR="00464F34" w:rsidRPr="00A30C4C" w14:paraId="2FF2D492" w14:textId="77777777" w:rsidTr="00672D2A">
        <w:tc>
          <w:tcPr>
            <w:tcW w:w="1188" w:type="dxa"/>
          </w:tcPr>
          <w:p w14:paraId="383AF80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14:paraId="494A0AD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INFORMACIJE O SUBJEKTIMA NA KOJE SE PRIMJENJUJE KAPITALNI ZAHTJEV</w:t>
            </w:r>
          </w:p>
          <w:p w14:paraId="388DF1CE" w14:textId="49F82FB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U odjeljku o detaljnim informacijama (tj. stupci od 070 do 240) prikupljaju se informacije samo o subjektima i podgrupama na koje se, s obzirom da su u opsegu konsolidacije (</w:t>
            </w:r>
            <w:r>
              <w:rPr>
                <w:rFonts w:ascii="Times New Roman" w:hAnsi="Times New Roman"/>
                <w:sz w:val="24"/>
              </w:rPr>
              <w:t>dio prvi glava II. poglavlje 2. CRR-a</w:t>
            </w:r>
            <w:r>
              <w:rPr>
                <w:rStyle w:val="InstructionsTabelleText"/>
                <w:rFonts w:ascii="Times New Roman" w:hAnsi="Times New Roman"/>
                <w:sz w:val="24"/>
              </w:rPr>
              <w:t xml:space="preserve">), efektivno primjenjuju zahtjevi koji se odnose na solventnost utvrđeni u CRR-u ili odredbama koje su barem istovjetne bazelskim odredbama (tj., iskazano „da” u stupcu 030). </w:t>
            </w:r>
          </w:p>
          <w:p w14:paraId="38824BAC" w14:textId="77777777" w:rsidR="00464F34" w:rsidRPr="00A30C4C" w:rsidRDefault="00464F34" w:rsidP="00464F34">
            <w:pPr>
              <w:rPr>
                <w:rFonts w:ascii="Times New Roman" w:hAnsi="Times New Roman"/>
                <w:sz w:val="24"/>
              </w:rPr>
            </w:pPr>
            <w:r>
              <w:rPr>
                <w:rFonts w:ascii="Times New Roman" w:hAnsi="Times New Roman"/>
                <w:sz w:val="24"/>
              </w:rPr>
              <w:t xml:space="preserve">Uključuju se informacije o svim pojedinačnim institucijama konsolidirane grupe na koje se primjenjuju kapitalni zahtjevi, bez obzira na to gdje se nalaze. </w:t>
            </w:r>
          </w:p>
          <w:p w14:paraId="799DC52C" w14:textId="76CC7909" w:rsidR="00464F34" w:rsidRPr="00A30C4C" w:rsidRDefault="00464F34" w:rsidP="00464F34">
            <w:pPr>
              <w:rPr>
                <w:rFonts w:ascii="Times New Roman" w:hAnsi="Times New Roman"/>
                <w:sz w:val="24"/>
              </w:rPr>
            </w:pPr>
            <w:r>
              <w:rPr>
                <w:rFonts w:ascii="Times New Roman" w:hAnsi="Times New Roman"/>
                <w:sz w:val="24"/>
              </w:rPr>
              <w:t xml:space="preserve">Informacije iskazane u ovom dijelu odražavaju </w:t>
            </w:r>
            <w:r>
              <w:rPr>
                <w:rFonts w:ascii="Times New Roman" w:hAnsi="Times New Roman"/>
                <w:bCs/>
                <w:sz w:val="24"/>
              </w:rPr>
              <w:t>lokalna pravila koja se odnose na solventnost</w:t>
            </w:r>
            <w:r>
              <w:rPr>
                <w:rFonts w:ascii="Times New Roman" w:hAnsi="Times New Roman"/>
                <w:b/>
                <w:bCs/>
                <w:sz w:val="24"/>
              </w:rPr>
              <w:t xml:space="preserve"> </w:t>
            </w:r>
            <w:r>
              <w:rPr>
                <w:rFonts w:ascii="Times New Roman" w:hAnsi="Times New Roman"/>
                <w:bCs/>
                <w:sz w:val="24"/>
              </w:rPr>
              <w:t xml:space="preserve"> s obzirom na zemlju</w:t>
            </w:r>
            <w:r>
              <w:rPr>
                <w:rFonts w:ascii="Times New Roman" w:hAnsi="Times New Roman"/>
                <w:b/>
                <w:bCs/>
                <w:sz w:val="24"/>
              </w:rPr>
              <w:t xml:space="preserve"> </w:t>
            </w:r>
            <w:r>
              <w:rPr>
                <w:rFonts w:ascii="Times New Roman" w:hAnsi="Times New Roman"/>
                <w:bCs/>
                <w:sz w:val="24"/>
              </w:rPr>
              <w:t>u kojoj</w:t>
            </w:r>
            <w:r>
              <w:rPr>
                <w:rFonts w:ascii="Times New Roman" w:hAnsi="Times New Roman"/>
                <w:sz w:val="24"/>
              </w:rPr>
              <w:t xml:space="preserve"> institucija posluje (stoga za taj obrazac nije potreban dvostruki izračun na pojedinačnoj osnovi na temelju pravila matične institucije). Ako se lokalna pravila koja se odnose na solventnost razlikuju od CRR-a i nije dana usporediva raščlamba, informacije se popunjavaju kada su dostupni dovoljno detaljni podaci. Stoga je ovaj dio obrazac za podatke u kojem se daje sažetak izračuna koje pojedinačna institucija grupe provodi, uzimajući u obzir da se na neke od tih institucija mogu primjenjivati različita pravila koja se odnose na solventnost.</w:t>
            </w:r>
          </w:p>
          <w:p w14:paraId="34A211F6" w14:textId="77777777" w:rsidR="00464F34" w:rsidRPr="00A30C4C"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lastRenderedPageBreak/>
              <w:t>Izvješćivanje o fiksnim općim troškovima u investicijskim društvima:</w:t>
            </w:r>
          </w:p>
          <w:p w14:paraId="4897D046" w14:textId="49B6D192" w:rsidR="00464F34" w:rsidRPr="00A30C4C"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Investicijska društva uključuju kapitalne zahtjeve povezane s fiksnim općim troškovima u svoj izračun stope kapitala na temelju članaka 95., 96., 97. i 98. CRR-a.</w:t>
            </w:r>
          </w:p>
          <w:p w14:paraId="031DF955" w14:textId="77777777" w:rsidR="00464F34" w:rsidRPr="00A30C4C"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Dio ukupnog iznosa izloženosti riziku koji je povezan s fiksnim općim troškovima iskazuje se u stupcu 100 dijela 2. ovog obrasca. </w:t>
            </w:r>
          </w:p>
        </w:tc>
      </w:tr>
      <w:tr w:rsidR="00464F34" w:rsidRPr="00A30C4C" w14:paraId="527DB4C5" w14:textId="77777777" w:rsidTr="00672D2A">
        <w:tc>
          <w:tcPr>
            <w:tcW w:w="1188" w:type="dxa"/>
          </w:tcPr>
          <w:p w14:paraId="11D1C2B4"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8640" w:type="dxa"/>
          </w:tcPr>
          <w:p w14:paraId="37273FD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UKUPNI IZNOS IZLOŽENOSTI RIZIKU </w:t>
            </w:r>
          </w:p>
          <w:p w14:paraId="77C81940"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Iskazuje se zbroj stupaca od 080 do 110.</w:t>
            </w:r>
          </w:p>
        </w:tc>
      </w:tr>
      <w:tr w:rsidR="00464F34" w:rsidRPr="00A30C4C" w14:paraId="1826C7C5" w14:textId="77777777" w:rsidTr="00672D2A">
        <w:tc>
          <w:tcPr>
            <w:tcW w:w="1188" w:type="dxa"/>
          </w:tcPr>
          <w:p w14:paraId="3B8CC19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14:paraId="21EC418F"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14:paraId="7F9BD427" w14:textId="64F78327"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zbroju iznosa izloženosti ponderirane rizikom koji su jednaki ili istovjetni iznosima koji se moraju iskazati u retku 040 „</w:t>
            </w:r>
            <w:r>
              <w:rPr>
                <w:rStyle w:val="InstructionsTabelleberschrift"/>
                <w:rFonts w:ascii="Times New Roman" w:hAnsi="Times New Roman"/>
                <w:b w:val="0"/>
                <w:sz w:val="24"/>
                <w:u w:val="none"/>
              </w:rPr>
              <w:t>IZNOSI IZLOŽENOSTI PONDERIRANI RIZIKOM</w:t>
            </w:r>
            <w:r>
              <w:rPr>
                <w:rStyle w:val="InstructionsTabelleText"/>
                <w:rFonts w:ascii="Times New Roman" w:hAnsi="Times New Roman"/>
                <w:sz w:val="24"/>
              </w:rPr>
              <w:t xml:space="preserve">  ZA KREDITNI RIZIK, KREDITNI RIZIK DRUGE UGOVORNE STRANE, RAZJEĐIVAČKI RIZIK I SLOBODNE ISPORUKE” i iznosa kapitalnih zahtjeva koji su jednaki ili istovjetni iznosima koji se moraju iskazati u retku 490 „UKUPNI IZNOS IZLOŽENOSTI RIZIKU ZA NAMIRU/ISPORUKU” obrasca CA2.</w:t>
            </w:r>
          </w:p>
        </w:tc>
      </w:tr>
      <w:tr w:rsidR="00464F34" w:rsidRPr="00A30C4C" w14:paraId="7F5116C7" w14:textId="77777777" w:rsidTr="00672D2A">
        <w:tc>
          <w:tcPr>
            <w:tcW w:w="1188" w:type="dxa"/>
          </w:tcPr>
          <w:p w14:paraId="22CA7DC0"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14:paraId="4D46F688"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POZICIJSKI, VALUTNI I ROBNI RIZIK</w:t>
            </w:r>
          </w:p>
          <w:p w14:paraId="366C99B2" w14:textId="77A993E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kapitalnih zahtjeva koji su jednaki ili istovjetni iznosima koji se moraju iskazati u retku 520 „UKUPNI IZNOS IZLOŽENOSTI RIZIKU ZA POZICIJSKI, DEVIZNI I ROBNI RIZIK” obrasca CA2.</w:t>
            </w:r>
          </w:p>
        </w:tc>
      </w:tr>
      <w:tr w:rsidR="00464F34" w:rsidRPr="00A30C4C" w14:paraId="70750086" w14:textId="77777777" w:rsidTr="00672D2A">
        <w:tc>
          <w:tcPr>
            <w:tcW w:w="1188" w:type="dxa"/>
          </w:tcPr>
          <w:p w14:paraId="64E3DDAE"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100</w:t>
            </w:r>
          </w:p>
        </w:tc>
        <w:tc>
          <w:tcPr>
            <w:tcW w:w="8640" w:type="dxa"/>
          </w:tcPr>
          <w:p w14:paraId="14BC5320"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OPERATIVNI RIZIK</w:t>
            </w:r>
          </w:p>
          <w:p w14:paraId="17CDB038" w14:textId="3F9AFC53"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izloženosti riziku koji je jednak ili istovjetan iznosu koji se mora iskazati u retku 590 „UKUPNI IZNOS IZLOŽENOSTI RIZIKU ZA OPERATIVNI RIZIK” obrasca CA2.</w:t>
            </w:r>
          </w:p>
          <w:p w14:paraId="48EE13A8" w14:textId="37CED10C"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Fiksni opći troškovi uključuju se u ovaj stupac uključujući redak 630 „DODATNI IZNOS IZLOŽENOSTI RIZIKU ZBOG FIKSNIH OPĆIH TROŠKOVA” obrasca CA2.</w:t>
            </w:r>
          </w:p>
        </w:tc>
      </w:tr>
      <w:tr w:rsidR="00464F34" w:rsidRPr="00A30C4C" w14:paraId="6F971F86" w14:textId="77777777" w:rsidTr="00672D2A">
        <w:tc>
          <w:tcPr>
            <w:tcW w:w="1188" w:type="dxa"/>
          </w:tcPr>
          <w:p w14:paraId="53A2157B"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14:paraId="0C1EF2D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14:paraId="1A55FB51" w14:textId="73132C2D"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Iznos koji se iskazuje u ovom stupcu odgovara iznosu izloženosti riziku koji nije prethodno posebno naveden. To je zbroj iznosa iz redaka 640, 680 i 690 obrasca CA2.</w:t>
            </w:r>
          </w:p>
        </w:tc>
      </w:tr>
      <w:tr w:rsidR="00464F34" w:rsidRPr="00A30C4C" w14:paraId="313FC97C" w14:textId="77777777" w:rsidTr="00672D2A">
        <w:tc>
          <w:tcPr>
            <w:tcW w:w="1188" w:type="dxa"/>
          </w:tcPr>
          <w:p w14:paraId="13A1545D"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14:paraId="2F2E30D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DETALJNE INFORMACIJE O REGULATORNOM KAPITALU KAO DIJELU SOLVENTNOSTI GRUPE</w:t>
            </w:r>
          </w:p>
          <w:p w14:paraId="1A14F676" w14:textId="0683A3BB" w:rsidR="00464F34" w:rsidRPr="00A30C4C" w:rsidRDefault="00464F34" w:rsidP="004A1D97">
            <w:pPr>
              <w:rPr>
                <w:rStyle w:val="InstructionsTabelleText"/>
                <w:rFonts w:ascii="Times New Roman" w:hAnsi="Times New Roman"/>
                <w:sz w:val="24"/>
              </w:rPr>
            </w:pPr>
            <w:r>
              <w:rPr>
                <w:rStyle w:val="InstructionsTabelleText"/>
                <w:rFonts w:ascii="Times New Roman" w:hAnsi="Times New Roman"/>
                <w:sz w:val="24"/>
              </w:rPr>
              <w:t>Informacije iskazane u sljedećim stupcima odražavaju lokalna pravila koja se odnose na solventnost u državi članici u kojoj subjekt ili podgrupa posluje.</w:t>
            </w:r>
          </w:p>
        </w:tc>
      </w:tr>
      <w:tr w:rsidR="00464F34" w:rsidRPr="00A30C4C" w14:paraId="1B6D416F" w14:textId="77777777" w:rsidTr="00672D2A">
        <w:tc>
          <w:tcPr>
            <w:tcW w:w="1188" w:type="dxa"/>
          </w:tcPr>
          <w:p w14:paraId="772171D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14:paraId="591A00A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REGULATORNI KAPITAL</w:t>
            </w:r>
          </w:p>
          <w:p w14:paraId="5596F621"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regulatornog kapitala koji je jednak ili istovjetan iznosima koji se moraju iskazati u retku 010 „REGULATORNI KAPITAL” obrasca CA1.</w:t>
            </w:r>
          </w:p>
        </w:tc>
      </w:tr>
      <w:tr w:rsidR="00464F34" w:rsidRPr="00A30C4C" w14:paraId="38E63995" w14:textId="77777777" w:rsidTr="00672D2A">
        <w:tc>
          <w:tcPr>
            <w:tcW w:w="1188" w:type="dxa"/>
          </w:tcPr>
          <w:p w14:paraId="4973F2F3"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130</w:t>
            </w:r>
          </w:p>
        </w:tc>
        <w:tc>
          <w:tcPr>
            <w:tcW w:w="8640" w:type="dxa"/>
          </w:tcPr>
          <w:p w14:paraId="003C33E4"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OD ČEGA: KVALIFICIRANI REGULATORNI KAPITAL </w:t>
            </w:r>
          </w:p>
          <w:p w14:paraId="209F5C9D" w14:textId="032CF236"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Članak 82. CRR-a </w:t>
            </w:r>
          </w:p>
          <w:p w14:paraId="1CB0C203" w14:textId="63929185"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Ovaj je stupac predviđen samo za društva kćeri o kojima se izvješćuje na pojedinačnoj osnovi koja su potpuno konsolidirana i koja su institucije. </w:t>
            </w:r>
          </w:p>
          <w:p w14:paraId="440FC02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Kvalificirani su udjeli, za prethodno navedena društva kćeri, instrumenti (uvećani za povezanu zadržanu dobit, račune premija na dionice i ostale rezerve) u vlasništvu osoba koje nisu društva i uključeni su u konsolidaciju u skladu s CRR-om.</w:t>
            </w:r>
          </w:p>
          <w:p w14:paraId="2B4CB5C6"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464F34" w:rsidRPr="00A30C4C" w14:paraId="5F5C2775" w14:textId="77777777" w:rsidTr="00672D2A">
        <w:tc>
          <w:tcPr>
            <w:tcW w:w="1188" w:type="dxa"/>
          </w:tcPr>
          <w:p w14:paraId="733BDBF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14:paraId="5A73C1CB" w14:textId="77777777" w:rsidR="00464F34" w:rsidRPr="00A30C4C"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14:paraId="25DE61D6" w14:textId="7CAAC974" w:rsidR="00464F34" w:rsidRPr="00A30C4C" w:rsidRDefault="00283C5E" w:rsidP="00283C5E">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87. stavak 1. točka (b) CRR-a</w:t>
            </w:r>
          </w:p>
        </w:tc>
      </w:tr>
      <w:tr w:rsidR="00464F34" w:rsidRPr="002F0FB3" w14:paraId="009E84A1" w14:textId="77777777" w:rsidTr="00672D2A">
        <w:tc>
          <w:tcPr>
            <w:tcW w:w="1188" w:type="dxa"/>
          </w:tcPr>
          <w:p w14:paraId="6D628FBD"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14:paraId="79313680" w14:textId="77777777" w:rsidR="00464F34" w:rsidRPr="000226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UKUPNI OSNOVNI KAPITAL</w:t>
            </w:r>
          </w:p>
          <w:p w14:paraId="7004BB9E" w14:textId="3EFF55E3" w:rsidR="00464F34" w:rsidRPr="0002267E"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Članak 25. CRR-a</w:t>
            </w:r>
          </w:p>
        </w:tc>
      </w:tr>
      <w:tr w:rsidR="00464F34" w:rsidRPr="00A30C4C" w14:paraId="74823C66" w14:textId="77777777" w:rsidTr="00672D2A">
        <w:tc>
          <w:tcPr>
            <w:tcW w:w="1188" w:type="dxa"/>
          </w:tcPr>
          <w:p w14:paraId="5C52BB13"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14:paraId="6CDFB6A5"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ČEGA: KVALIFICIRANI OSNOVNI KAPITAL</w:t>
            </w:r>
          </w:p>
          <w:p w14:paraId="5D6ECF13" w14:textId="648EAAEC"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Članak 82. CRR-a</w:t>
            </w:r>
          </w:p>
          <w:p w14:paraId="7F0B04E8" w14:textId="26A0B0F9"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Ovaj je stupac predviđen samo za društva kćeri iskazana na pojedinačnoj osnovi koja su potpuno konsolidirana i koja su institucije.</w:t>
            </w:r>
          </w:p>
          <w:p w14:paraId="64C845E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Kvalificirani su udjeli, za prethodno navedena društva kćeri, instrumenti (uvećani za povezanu zadržanu dobit i račune premija na dionice) u vlasništvu osoba koje nisu društva uključena u konsolidaciju u skladu s CRR-om.</w:t>
            </w:r>
          </w:p>
          <w:p w14:paraId="722E47B7" w14:textId="77777777" w:rsidR="00464F34" w:rsidRPr="00A30C4C" w:rsidRDefault="00464F34" w:rsidP="003C1BB1">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464F34" w:rsidRPr="00A30C4C" w14:paraId="6EDF381C" w14:textId="77777777" w:rsidTr="00672D2A">
        <w:tc>
          <w:tcPr>
            <w:tcW w:w="1188" w:type="dxa"/>
          </w:tcPr>
          <w:p w14:paraId="43541E40"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170</w:t>
            </w:r>
          </w:p>
        </w:tc>
        <w:tc>
          <w:tcPr>
            <w:tcW w:w="8640" w:type="dxa"/>
          </w:tcPr>
          <w:p w14:paraId="0D194735" w14:textId="77777777" w:rsidR="00144F03" w:rsidRPr="00A30C4C"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POVEZANI INSTRUMENTI OSNOVNOG KAPITALA, POVEZANA ZADRŽANA DOBIT I RAČUNI PREMIJA NA DIONICE</w:t>
            </w:r>
          </w:p>
          <w:p w14:paraId="1DCD7A72" w14:textId="3EACED00" w:rsidR="00464F34" w:rsidRPr="00A30C4C" w:rsidRDefault="001E0C80" w:rsidP="001E0C80">
            <w:pPr>
              <w:rPr>
                <w:rStyle w:val="InstructionsTabelleberschrift"/>
                <w:rFonts w:ascii="Times New Roman" w:hAnsi="Times New Roman"/>
                <w:sz w:val="24"/>
              </w:rPr>
            </w:pPr>
            <w:r>
              <w:rPr>
                <w:rStyle w:val="InstructionsTabelleberschrift"/>
                <w:rFonts w:ascii="Times New Roman" w:hAnsi="Times New Roman"/>
                <w:b w:val="0"/>
                <w:sz w:val="24"/>
                <w:u w:val="none"/>
              </w:rPr>
              <w:t>Članak 85. stavak 1. točka (b) CRR-a</w:t>
            </w:r>
          </w:p>
        </w:tc>
      </w:tr>
      <w:tr w:rsidR="00464F34" w:rsidRPr="00A30C4C" w14:paraId="2FD318C0" w14:textId="77777777" w:rsidTr="00672D2A">
        <w:tc>
          <w:tcPr>
            <w:tcW w:w="1188" w:type="dxa"/>
          </w:tcPr>
          <w:p w14:paraId="04787C11"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14:paraId="1D3C4F40"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REDOVNI OSNOVNI KAPITAL</w:t>
            </w:r>
          </w:p>
          <w:p w14:paraId="2DB91122" w14:textId="0B0CF577" w:rsidR="00464F34" w:rsidRPr="00A30C4C" w:rsidRDefault="00464F34" w:rsidP="003C1BB1">
            <w:pPr>
              <w:rPr>
                <w:rStyle w:val="InstructionsTabelleberschrift"/>
                <w:rFonts w:ascii="Times New Roman" w:hAnsi="Times New Roman"/>
                <w:sz w:val="24"/>
              </w:rPr>
            </w:pPr>
            <w:r>
              <w:rPr>
                <w:rStyle w:val="InstructionsTabelleText"/>
                <w:rFonts w:ascii="Times New Roman" w:hAnsi="Times New Roman"/>
                <w:sz w:val="24"/>
              </w:rPr>
              <w:t>Članak 50. CRR-a</w:t>
            </w:r>
          </w:p>
        </w:tc>
      </w:tr>
      <w:tr w:rsidR="00464F34" w:rsidRPr="00A30C4C" w14:paraId="2DBC2430" w14:textId="77777777" w:rsidTr="00672D2A">
        <w:tc>
          <w:tcPr>
            <w:tcW w:w="1188" w:type="dxa"/>
          </w:tcPr>
          <w:p w14:paraId="5069379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14:paraId="6F86A4BF"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ČEGA: MANJINSKI UDJELI</w:t>
            </w:r>
          </w:p>
          <w:p w14:paraId="1B6B2E1F" w14:textId="0B318F41"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Članak 81. CRR-a</w:t>
            </w:r>
          </w:p>
          <w:p w14:paraId="79D5231D" w14:textId="74FB4F8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Ovaj se stupac iskazuje samo za društva kćeri koja su potpuno konsolidirana i koja su institucije, izuzev društava kćeri iz članka 84. stavka 3. CRR-a. Svako društvo kći razmatra se na </w:t>
            </w:r>
            <w:proofErr w:type="spellStart"/>
            <w:r>
              <w:rPr>
                <w:rStyle w:val="InstructionsTabelleText"/>
                <w:rFonts w:ascii="Times New Roman" w:hAnsi="Times New Roman"/>
                <w:sz w:val="24"/>
              </w:rPr>
              <w:t>potkonsolidiranoj</w:t>
            </w:r>
            <w:proofErr w:type="spellEnd"/>
            <w:r>
              <w:rPr>
                <w:rStyle w:val="InstructionsTabelleText"/>
                <w:rFonts w:ascii="Times New Roman" w:hAnsi="Times New Roman"/>
                <w:sz w:val="24"/>
              </w:rPr>
              <w:t xml:space="preserve"> osnovi za sve izračune koji su propisani člankom 84. CRR-a, prema potrebi, u skladu s člankom 84. stavkom 2., a inače na pojedinačnoj osnovi.</w:t>
            </w:r>
          </w:p>
          <w:p w14:paraId="00B11729" w14:textId="3CF450D0"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Manjinski su udjeli, za prethodno navedena društva kćeri, instrumenti redovnog osnovnog kapitala (uvećani za povezanu zadržanu dobit i račune premija na dionice) u vlasništvu osoba koje nisu društva uključena u konsolidaciju u skladu s CRR-om.</w:t>
            </w:r>
          </w:p>
          <w:p w14:paraId="24D22AAE"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lastRenderedPageBreak/>
              <w:t>Iznos koji se iskazuje uključuje učinke svih prijelaznih odredbi. To je priznati iznos na izvještajni datum.</w:t>
            </w:r>
          </w:p>
        </w:tc>
      </w:tr>
      <w:tr w:rsidR="00464F34" w:rsidRPr="00A30C4C" w14:paraId="472D0DEE" w14:textId="77777777" w:rsidTr="00672D2A">
        <w:tc>
          <w:tcPr>
            <w:tcW w:w="1188" w:type="dxa"/>
          </w:tcPr>
          <w:p w14:paraId="25C515A6"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200</w:t>
            </w:r>
          </w:p>
        </w:tc>
        <w:tc>
          <w:tcPr>
            <w:tcW w:w="8640" w:type="dxa"/>
          </w:tcPr>
          <w:p w14:paraId="14DC5916" w14:textId="77777777" w:rsidR="00144F03" w:rsidRPr="00A30C4C"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POVEZANI INSTRUMENTI REGULATORNOG KAPITALA, POVEZANA ZADRŽANA DOBIT, RAČUNI PREMIJA NA DIONICE I OSTALE REZERVE</w:t>
            </w:r>
          </w:p>
          <w:p w14:paraId="64525FAB" w14:textId="279497C4" w:rsidR="00464F34" w:rsidRPr="00A30C4C" w:rsidRDefault="001E0C80" w:rsidP="001E0C80">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84. stavak 1. točka (b) CRR-a</w:t>
            </w:r>
          </w:p>
        </w:tc>
      </w:tr>
      <w:tr w:rsidR="00464F34" w:rsidRPr="00A30C4C" w14:paraId="1B3E3283" w14:textId="77777777" w:rsidTr="00672D2A">
        <w:tc>
          <w:tcPr>
            <w:tcW w:w="1188" w:type="dxa"/>
          </w:tcPr>
          <w:p w14:paraId="267C4DB6"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14:paraId="09BE0853"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DODATNI OSNOVNI KAPITAL</w:t>
            </w:r>
          </w:p>
          <w:p w14:paraId="5A521D63" w14:textId="0A8EFD91"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Članak 61. CRR-a</w:t>
            </w:r>
          </w:p>
        </w:tc>
      </w:tr>
      <w:tr w:rsidR="00464F34" w:rsidRPr="00A30C4C" w14:paraId="0D6DAAD8" w14:textId="77777777" w:rsidTr="00672D2A">
        <w:tc>
          <w:tcPr>
            <w:tcW w:w="1188" w:type="dxa"/>
          </w:tcPr>
          <w:p w14:paraId="3C24935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14:paraId="62367DCC"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ČEGA: KVALIFICIRANI DODATNI OSNOVNI KAPITAL</w:t>
            </w:r>
          </w:p>
          <w:p w14:paraId="5F84F697" w14:textId="2AA2627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Članci 82. i 83. CRR-a</w:t>
            </w:r>
          </w:p>
          <w:p w14:paraId="0AF4E5E3" w14:textId="44D544D1"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Ovaj je stupac predviđen samo za društva kćeri koja su potpuno konsolidirana i koja su institucije, izuzev društava kćeri iz članka 85. stavka 2. CRR-a. Svako društvo kći razmatra se na </w:t>
            </w:r>
            <w:proofErr w:type="spellStart"/>
            <w:r>
              <w:rPr>
                <w:rStyle w:val="InstructionsTabelleText"/>
                <w:rFonts w:ascii="Times New Roman" w:hAnsi="Times New Roman"/>
                <w:sz w:val="24"/>
              </w:rPr>
              <w:t>potkonsolidiranoj</w:t>
            </w:r>
            <w:proofErr w:type="spellEnd"/>
            <w:r>
              <w:rPr>
                <w:rStyle w:val="InstructionsTabelleText"/>
                <w:rFonts w:ascii="Times New Roman" w:hAnsi="Times New Roman"/>
                <w:sz w:val="24"/>
              </w:rPr>
              <w:t xml:space="preserve"> osnovi za sve izračune koji su propisani člankom 85. CRR-a, prema potrebi, u skladu s člankom 85. stavkom 2., a inače na pojedinačnoj osnovi.</w:t>
            </w:r>
          </w:p>
          <w:p w14:paraId="7023DF92" w14:textId="16A8A296"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Manjinski su udjeli, za prethodno navedena društva kćeri, instrumenti dodatnog osnovnog kapitala (uvećani za povezanu zadržanu dobit i račune premija na dionice) u vlasništvu osoba koje nisu društva uključena u konsolidaciju u skladu s CRR-om.</w:t>
            </w:r>
          </w:p>
          <w:p w14:paraId="2B44E764"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464F34" w:rsidRPr="00A30C4C" w14:paraId="4B4C9BD8" w14:textId="77777777" w:rsidTr="00672D2A">
        <w:tc>
          <w:tcPr>
            <w:tcW w:w="1188" w:type="dxa"/>
          </w:tcPr>
          <w:p w14:paraId="433FC6D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230</w:t>
            </w:r>
          </w:p>
        </w:tc>
        <w:tc>
          <w:tcPr>
            <w:tcW w:w="8640" w:type="dxa"/>
          </w:tcPr>
          <w:p w14:paraId="00BBB33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DOPUNSKI KAPITAL</w:t>
            </w:r>
          </w:p>
          <w:p w14:paraId="3BD73D04" w14:textId="5E72256A"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bCs/>
                <w:sz w:val="24"/>
              </w:rPr>
              <w:t>Članak 71. CRR-a</w:t>
            </w:r>
          </w:p>
        </w:tc>
      </w:tr>
      <w:tr w:rsidR="00464F34" w:rsidRPr="00A30C4C" w14:paraId="20FFCE86" w14:textId="77777777" w:rsidTr="00672D2A">
        <w:tc>
          <w:tcPr>
            <w:tcW w:w="1188" w:type="dxa"/>
          </w:tcPr>
          <w:p w14:paraId="5503872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14:paraId="0364F3A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ČEGA: KVALIFICIRANI DOPUNSKI KAPITAL</w:t>
            </w:r>
          </w:p>
          <w:p w14:paraId="52E3491E" w14:textId="5C1233F0"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Članci 82. i 83. CRR-a</w:t>
            </w:r>
          </w:p>
          <w:p w14:paraId="7478F7BC" w14:textId="6EAF6022"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Ovaj je stupac predviđen samo za društva kćeri koja su potpuno konsolidirana i koja su institucije, izuzev društava kćeri iz članka 87. stavka 2. CRR-a. Svako društvo kći razmatra se na </w:t>
            </w:r>
            <w:proofErr w:type="spellStart"/>
            <w:r>
              <w:rPr>
                <w:rStyle w:val="InstructionsTabelleText"/>
                <w:rFonts w:ascii="Times New Roman" w:hAnsi="Times New Roman"/>
                <w:sz w:val="24"/>
              </w:rPr>
              <w:t>potkonsolidiranoj</w:t>
            </w:r>
            <w:proofErr w:type="spellEnd"/>
            <w:r>
              <w:rPr>
                <w:rStyle w:val="InstructionsTabelleText"/>
                <w:rFonts w:ascii="Times New Roman" w:hAnsi="Times New Roman"/>
                <w:sz w:val="24"/>
              </w:rPr>
              <w:t xml:space="preserve"> osnovi za potrebe svih izračuna koji su propisani člankom 87. CRR-a, prema potrebi, u skladu s člankom 87. stavkom 2., a inače na pojedinačnoj osnovi. </w:t>
            </w:r>
          </w:p>
          <w:p w14:paraId="5FC4E074" w14:textId="5E39FF48"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Manjinski su udjeli, za prethodno navedena društva kćeri, instrumenti dopunskog kapitala (uvećani za povezanu zadržanu dobit i račune premija na dionice) u vlasništvu osoba koje nisu društva uključena u konsolidaciju u skladu s CRR-om.</w:t>
            </w:r>
          </w:p>
          <w:p w14:paraId="1EE3B768" w14:textId="5454B162"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Iznos koji se iskazuje uključuje učinke svih prijelaznih odredbi. To je priznati iznos na izvještajni datum.</w:t>
            </w:r>
          </w:p>
        </w:tc>
      </w:tr>
      <w:tr w:rsidR="00464F34" w:rsidRPr="00A30C4C" w14:paraId="6ABC8CAA" w14:textId="77777777" w:rsidTr="00672D2A">
        <w:tc>
          <w:tcPr>
            <w:tcW w:w="1188" w:type="dxa"/>
          </w:tcPr>
          <w:p w14:paraId="10A2B7E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14:paraId="4D7709B7"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INFORMACIJE O DOPRINOSU SUBJEKATA SOLVENTNOSTI GRUPE</w:t>
            </w:r>
          </w:p>
        </w:tc>
      </w:tr>
      <w:tr w:rsidR="00464F34" w:rsidRPr="00A30C4C" w14:paraId="5ADF2F49" w14:textId="77777777" w:rsidTr="00672D2A">
        <w:tc>
          <w:tcPr>
            <w:tcW w:w="1188" w:type="dxa"/>
          </w:tcPr>
          <w:p w14:paraId="5E6D582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14:paraId="23DAEC4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DOPRINOS RIZICIMA</w:t>
            </w:r>
          </w:p>
          <w:p w14:paraId="20A7A7DB" w14:textId="5025D6E4" w:rsidR="00464F34" w:rsidRPr="00A30C4C" w:rsidRDefault="00464F34" w:rsidP="00464F34">
            <w:pPr>
              <w:rPr>
                <w:rStyle w:val="InstructionsTabelleberschrift"/>
                <w:rFonts w:ascii="Times New Roman" w:hAnsi="Times New Roman"/>
                <w:sz w:val="24"/>
              </w:rPr>
            </w:pPr>
            <w:r>
              <w:rPr>
                <w:rFonts w:ascii="Times New Roman" w:hAnsi="Times New Roman"/>
                <w:sz w:val="24"/>
              </w:rPr>
              <w:t xml:space="preserve">Informacije iskazane u sljedećim stupcima u skladu su s </w:t>
            </w:r>
            <w:r>
              <w:rPr>
                <w:rFonts w:ascii="Times New Roman" w:hAnsi="Times New Roman"/>
                <w:bCs/>
                <w:sz w:val="24"/>
              </w:rPr>
              <w:t>pravilima koja se odnose na solventnost i koja se primjenjuju na instituciju koja izvješćuje.</w:t>
            </w:r>
          </w:p>
        </w:tc>
      </w:tr>
      <w:tr w:rsidR="00464F34" w:rsidRPr="00A30C4C" w14:paraId="3835BB5B" w14:textId="77777777" w:rsidTr="00672D2A">
        <w:tc>
          <w:tcPr>
            <w:tcW w:w="1188" w:type="dxa"/>
          </w:tcPr>
          <w:p w14:paraId="3F25DC3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14:paraId="2A7EC60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UKUPNI IZNOS IZLOŽENOSTI RIZIKU</w:t>
            </w:r>
          </w:p>
          <w:p w14:paraId="5C8011BF"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lastRenderedPageBreak/>
              <w:t>Iskazuje se zbroj stupaca od 260 do 290.</w:t>
            </w:r>
          </w:p>
        </w:tc>
      </w:tr>
      <w:tr w:rsidR="00464F34" w:rsidRPr="00A30C4C" w14:paraId="3B6FA67E" w14:textId="77777777" w:rsidTr="00672D2A">
        <w:tc>
          <w:tcPr>
            <w:tcW w:w="1188" w:type="dxa"/>
          </w:tcPr>
          <w:p w14:paraId="00616C4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260</w:t>
            </w:r>
          </w:p>
        </w:tc>
        <w:tc>
          <w:tcPr>
            <w:tcW w:w="8640" w:type="dxa"/>
          </w:tcPr>
          <w:p w14:paraId="34838795"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KREDITNI RIZIK; KREDITNI RIZIK DRUGE UGOVORNE STRANE; RAZRJEĐIVAČKI RIZIK, SLOBODNE ISPORUKE I RIZIK NAMIRE/ISPORUKE</w:t>
            </w:r>
          </w:p>
          <w:p w14:paraId="34F523EA" w14:textId="7BD0D3F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Iznos koji se iskazuje iznosi su izloženosti ponderirani rizikom za kreditni rizik i kapitalne zahtjeve u pogledu rizika namire/isporuke u skladu s CRR-om, isključujući svaki iznos povezan s transakcijama s ostalim subjektima uključenima u izračun konsolidirane stope solventnost grupe.</w:t>
            </w:r>
          </w:p>
        </w:tc>
      </w:tr>
      <w:tr w:rsidR="00464F34" w:rsidRPr="00A30C4C" w14:paraId="2B29E8BD" w14:textId="77777777" w:rsidTr="00672D2A">
        <w:tc>
          <w:tcPr>
            <w:tcW w:w="1188" w:type="dxa"/>
          </w:tcPr>
          <w:p w14:paraId="45530B7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14:paraId="1DEC7A7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POZICIJSKI, VALUTNI I ROBNI RIZIK</w:t>
            </w:r>
          </w:p>
          <w:p w14:paraId="1423596A" w14:textId="0EE4E452" w:rsidR="00464F34" w:rsidRPr="00A30C4C" w:rsidRDefault="00464F34" w:rsidP="00283C5E">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Iznose izloženosti riziku za tržišne rizike potrebno je izračunati na razini svakog subjekta u skladu s CRR-om. Subjekti iskazuju doprinos ukupnim iznosima izloženosti riziku za pozicijski, valutni i robni rizik grupe. Ovdje iskazani zbroj iznosa odgovara iznosu iskazanom u retku 520 „UKUPNI IZNOSI IZLOŽENOSTI RIZIKU ZA POZICIJSKI, VALUTNI I ROBNI RIZIK” konsolidiranog izvještaja.</w:t>
            </w:r>
          </w:p>
        </w:tc>
      </w:tr>
      <w:tr w:rsidR="00464F34" w:rsidRPr="00A30C4C" w14:paraId="567D1146" w14:textId="77777777" w:rsidTr="00672D2A">
        <w:tc>
          <w:tcPr>
            <w:tcW w:w="1188" w:type="dxa"/>
          </w:tcPr>
          <w:p w14:paraId="01D25B1A"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280</w:t>
            </w:r>
          </w:p>
        </w:tc>
        <w:tc>
          <w:tcPr>
            <w:tcW w:w="8640" w:type="dxa"/>
          </w:tcPr>
          <w:p w14:paraId="7DFDB003"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OPERATIVNI RIZIK</w:t>
            </w:r>
          </w:p>
          <w:p w14:paraId="08564C7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U slučaju naprednog pristupa, iskazani iznosi izloženosti riziku za operativni rizik uključuju učinak diversifikacije.</w:t>
            </w:r>
          </w:p>
          <w:p w14:paraId="71BF6470" w14:textId="77777777" w:rsidR="00464F34" w:rsidRPr="00A30C4C" w:rsidRDefault="00464F34" w:rsidP="00464F34">
            <w:pPr>
              <w:rPr>
                <w:rStyle w:val="InstructionsTabelleText"/>
                <w:rFonts w:ascii="Times New Roman" w:hAnsi="Times New Roman"/>
                <w:sz w:val="24"/>
              </w:rPr>
            </w:pPr>
            <w:r>
              <w:rPr>
                <w:rFonts w:ascii="Times New Roman" w:hAnsi="Times New Roman"/>
                <w:caps/>
                <w:sz w:val="24"/>
              </w:rPr>
              <w:t>F</w:t>
            </w:r>
            <w:r>
              <w:rPr>
                <w:rFonts w:ascii="Times New Roman" w:hAnsi="Times New Roman"/>
                <w:sz w:val="24"/>
              </w:rPr>
              <w:t>iksni opći troškovi uključeni su u ovaj stupac.</w:t>
            </w:r>
          </w:p>
        </w:tc>
      </w:tr>
      <w:tr w:rsidR="00464F34" w:rsidRPr="00A30C4C" w14:paraId="7E363AA4" w14:textId="77777777" w:rsidTr="00672D2A">
        <w:tc>
          <w:tcPr>
            <w:tcW w:w="1188" w:type="dxa"/>
          </w:tcPr>
          <w:p w14:paraId="170C9C8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14:paraId="59DE72D6"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OSTALI IZNOSI IZLOŽENOSTI RIZIKU</w:t>
            </w:r>
          </w:p>
          <w:p w14:paraId="45E85CA0" w14:textId="717F1DFC" w:rsidR="00464F34" w:rsidRPr="00A30C4C" w:rsidRDefault="00464F34" w:rsidP="00283C5E">
            <w:pPr>
              <w:rPr>
                <w:rStyle w:val="InstructionsTabelleberschrift"/>
                <w:rFonts w:ascii="Times New Roman" w:hAnsi="Times New Roman"/>
                <w:sz w:val="24"/>
              </w:rPr>
            </w:pPr>
            <w:r>
              <w:rPr>
                <w:rStyle w:val="InstructionsTabelleText"/>
                <w:rFonts w:ascii="Times New Roman" w:hAnsi="Times New Roman"/>
                <w:sz w:val="24"/>
              </w:rPr>
              <w:t>Iznos koji se iskazuje u ovom stupcu odgovara iznosu izloženosti rizicima za rizike koji nisu prethodno navedeni.</w:t>
            </w:r>
          </w:p>
        </w:tc>
      </w:tr>
      <w:tr w:rsidR="00464F34" w:rsidRPr="00A30C4C" w14:paraId="6F963242" w14:textId="77777777" w:rsidTr="00672D2A">
        <w:tc>
          <w:tcPr>
            <w:tcW w:w="1188" w:type="dxa"/>
          </w:tcPr>
          <w:p w14:paraId="0174A19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14:paraId="7267C2A4"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DOPRINOS REGULATORNOM KAPITALU</w:t>
            </w:r>
          </w:p>
          <w:p w14:paraId="11A314E7" w14:textId="52C2BC47" w:rsidR="00464F34" w:rsidRPr="00A30C4C"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Ovim se dijelom obrasca ne namjerava odrediti institucijama provedba punog izračuna ukupne stope kapitala na razini svakog subjekta. </w:t>
            </w:r>
          </w:p>
          <w:p w14:paraId="3865A295" w14:textId="52B4542C" w:rsidR="00144F03" w:rsidRPr="00A30C4C" w:rsidRDefault="00144F03" w:rsidP="00144F03">
            <w:pPr>
              <w:pStyle w:val="Texte2"/>
              <w:ind w:left="0"/>
              <w:rPr>
                <w:rStyle w:val="InstructionsTabelleText"/>
                <w:rFonts w:ascii="Times New Roman" w:hAnsi="Times New Roman"/>
                <w:sz w:val="24"/>
                <w:szCs w:val="24"/>
              </w:rPr>
            </w:pPr>
            <w:r>
              <w:rPr>
                <w:rFonts w:ascii="Times New Roman" w:hAnsi="Times New Roman"/>
                <w:sz w:val="24"/>
                <w:szCs w:val="24"/>
              </w:rPr>
              <w:t>Stupci od 300 do 350 iskazuju se za one konsolidirane subjekte koji regulatornom kapitalu doprinose manjinskim udjelima,</w:t>
            </w:r>
            <w:r>
              <w:t xml:space="preserve"> </w:t>
            </w:r>
            <w:r>
              <w:rPr>
                <w:rFonts w:ascii="Times New Roman" w:hAnsi="Times New Roman"/>
                <w:sz w:val="24"/>
                <w:szCs w:val="24"/>
              </w:rPr>
              <w:t>kvalificiranim osnovnim kapitalom ili kvalificiranim regulatornim kapitalom. Podložno primjeni praga iz zadnje točke prethodno navedenog  dijela II. poglavlja 2.3, stupci od 360 do 400 iskazuju se za sve konsolidirane subjekte koji doprinose konsolidiranom regulatornom kapitalu.</w:t>
            </w:r>
          </w:p>
          <w:p w14:paraId="2E1AFE9A" w14:textId="6B0DEE1A" w:rsidR="00464F34" w:rsidRPr="00A30C4C"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Regulatorni kapital koji su u neki subjekt unijeli preostali subjekti uključeni u opseg subjekta koji izvješćuje ne uzima se u obzir; samo se neto doprinos regulatornom kapitalu grupe iskazuje u ovom stupcu (uglavnom regulatorni kapital prikupljen od trećih strana i akumulirane rezerve). </w:t>
            </w:r>
          </w:p>
          <w:p w14:paraId="5CA636EE" w14:textId="10745EA6" w:rsidR="00464F34" w:rsidRPr="00A30C4C"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Informacije iskazane u sljedećim stupcima u skladu su s pravilima koja se odnose na solventnost i koja se primjenjuju na instituciju koja izvješćuje.</w:t>
            </w:r>
          </w:p>
        </w:tc>
      </w:tr>
      <w:tr w:rsidR="00464F34" w:rsidRPr="00A30C4C" w14:paraId="3BEFC5EB" w14:textId="77777777" w:rsidTr="00672D2A">
        <w:tc>
          <w:tcPr>
            <w:tcW w:w="1188" w:type="dxa"/>
          </w:tcPr>
          <w:p w14:paraId="7012FA1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14:paraId="23116F1E"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14:paraId="6EE0AA3D" w14:textId="5B5FBBE1"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lastRenderedPageBreak/>
              <w:t>Iznos koji se iskazuje kao „KVALIFICIRANI REGULATORNI KAPITAL UKLJUČEN U KONSOLIDIRANI REGULATORNI KAPITAL” iznos je izveden iz dijela drugog glave II. CRR-a, isključujući sva sredstva koja su unijeli ostali subjekti unutar grupe.</w:t>
            </w:r>
          </w:p>
        </w:tc>
      </w:tr>
      <w:tr w:rsidR="00464F34" w:rsidRPr="00A30C4C" w14:paraId="1790E500" w14:textId="77777777" w:rsidTr="00672D2A">
        <w:tc>
          <w:tcPr>
            <w:tcW w:w="1188" w:type="dxa"/>
          </w:tcPr>
          <w:p w14:paraId="7888A79A"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lastRenderedPageBreak/>
              <w:t>300</w:t>
            </w:r>
          </w:p>
        </w:tc>
        <w:tc>
          <w:tcPr>
            <w:tcW w:w="8640" w:type="dxa"/>
          </w:tcPr>
          <w:p w14:paraId="2D92B9FB"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KVALIFICIRANI REGULATORNI KAPITAL UKLJUČEN U KONSOLIDIRANI REGULATORNI KAPITAL</w:t>
            </w:r>
          </w:p>
          <w:p w14:paraId="70F58F8C" w14:textId="02B77BB6"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Članak 87. CRR-a</w:t>
            </w:r>
          </w:p>
        </w:tc>
      </w:tr>
      <w:tr w:rsidR="00464F34" w:rsidRPr="00A30C4C" w14:paraId="5C01EE84" w14:textId="77777777" w:rsidTr="00672D2A">
        <w:tc>
          <w:tcPr>
            <w:tcW w:w="1188" w:type="dxa"/>
          </w:tcPr>
          <w:p w14:paraId="2CADDD49"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14:paraId="250EFA6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INSTRUMENTI KVALIFICIRANOG OSNOVNOG KAPITALA UKLJUČENI U KONSOLIDIRANI OSNOVNI KAPITAL</w:t>
            </w:r>
          </w:p>
          <w:p w14:paraId="4AA94D29" w14:textId="5411A7D8" w:rsidR="00464F34" w:rsidRPr="00A30C4C" w:rsidRDefault="00464F34" w:rsidP="00871877">
            <w:pPr>
              <w:rPr>
                <w:rStyle w:val="InstructionsTabelleText"/>
                <w:rFonts w:ascii="Times New Roman" w:hAnsi="Times New Roman"/>
                <w:sz w:val="24"/>
              </w:rPr>
            </w:pPr>
            <w:r>
              <w:rPr>
                <w:rStyle w:val="InstructionsTabelleText"/>
                <w:rFonts w:ascii="Times New Roman" w:hAnsi="Times New Roman"/>
                <w:sz w:val="24"/>
              </w:rPr>
              <w:t>Članak 85. CRR-a</w:t>
            </w:r>
          </w:p>
        </w:tc>
      </w:tr>
      <w:tr w:rsidR="00464F34" w:rsidRPr="00A30C4C" w14:paraId="51C2388F" w14:textId="77777777" w:rsidTr="00672D2A">
        <w:tc>
          <w:tcPr>
            <w:tcW w:w="1188" w:type="dxa"/>
          </w:tcPr>
          <w:p w14:paraId="512828E0"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14:paraId="0CB4FAEF" w14:textId="77777777" w:rsidR="00464F34" w:rsidRPr="00A30C4C" w:rsidRDefault="00464F34" w:rsidP="00464F34">
            <w:pPr>
              <w:rPr>
                <w:rStyle w:val="InstructionsTabelleText"/>
                <w:rFonts w:ascii="Times New Roman" w:hAnsi="Times New Roman"/>
                <w:sz w:val="24"/>
              </w:rPr>
            </w:pPr>
            <w:r>
              <w:rPr>
                <w:rStyle w:val="InstructionsTabelleberschrift"/>
                <w:rFonts w:ascii="Times New Roman" w:hAnsi="Times New Roman"/>
                <w:sz w:val="24"/>
              </w:rPr>
              <w:t xml:space="preserve">MANJINSKI UDJELI UKLJUČENI U KONSOLIDIRANI </w:t>
            </w:r>
            <w:r>
              <w:rPr>
                <w:rStyle w:val="InstructionsTabelleberschrift"/>
                <w:rFonts w:ascii="Times New Roman" w:hAnsi="Times New Roman"/>
                <w:sz w:val="24"/>
              </w:rPr>
              <w:br/>
              <w:t>REDOVNI OSNOVNI KAPITAL</w:t>
            </w:r>
          </w:p>
          <w:p w14:paraId="160B6956" w14:textId="4460E230"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Članak 84. CRR-a</w:t>
            </w:r>
          </w:p>
          <w:p w14:paraId="4ED4B8CC" w14:textId="3DFB9CD7" w:rsidR="00464F34" w:rsidRPr="00A30C4C" w:rsidRDefault="00464F34" w:rsidP="00255BA9">
            <w:pPr>
              <w:rPr>
                <w:rStyle w:val="InstructionsTabelleText"/>
                <w:rFonts w:ascii="Times New Roman" w:hAnsi="Times New Roman"/>
                <w:sz w:val="24"/>
              </w:rPr>
            </w:pPr>
            <w:r>
              <w:rPr>
                <w:rStyle w:val="InstructionsTabelleText"/>
                <w:rFonts w:ascii="Times New Roman" w:hAnsi="Times New Roman"/>
                <w:sz w:val="24"/>
              </w:rPr>
              <w:t xml:space="preserve">Iznos koji se iskazuje iznos je manjinskih udjela društva kćeri koji je uključen u konsolidirani redovni osnovni kapital u skladu s CRR-om. </w:t>
            </w:r>
          </w:p>
        </w:tc>
      </w:tr>
      <w:tr w:rsidR="00464F34" w:rsidRPr="00A30C4C" w14:paraId="1D8D9731" w14:textId="77777777" w:rsidTr="00672D2A">
        <w:tc>
          <w:tcPr>
            <w:tcW w:w="1188" w:type="dxa"/>
          </w:tcPr>
          <w:p w14:paraId="2300A69C"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330</w:t>
            </w:r>
          </w:p>
        </w:tc>
        <w:tc>
          <w:tcPr>
            <w:tcW w:w="8640" w:type="dxa"/>
          </w:tcPr>
          <w:p w14:paraId="6B046E49" w14:textId="77777777" w:rsidR="00464F34" w:rsidRPr="00A30C4C" w:rsidRDefault="00464F34" w:rsidP="00464F34">
            <w:pPr>
              <w:rPr>
                <w:rStyle w:val="InstructionsTabelleText"/>
                <w:rFonts w:ascii="Times New Roman" w:hAnsi="Times New Roman"/>
                <w:sz w:val="24"/>
              </w:rPr>
            </w:pPr>
            <w:r>
              <w:rPr>
                <w:rStyle w:val="InstructionsTabelleberschrift"/>
                <w:rFonts w:ascii="Times New Roman" w:hAnsi="Times New Roman"/>
                <w:sz w:val="24"/>
              </w:rPr>
              <w:t>INSTRUMENTI KVALIFICIRANOG OSNOVNOG KAPITALA UKLJUČENI U KONSOLIDIRANI DODATNI OSNOVNI KAPITAL</w:t>
            </w:r>
          </w:p>
          <w:p w14:paraId="2407C887" w14:textId="78BCAD8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Članak 86. CRR-a</w:t>
            </w:r>
          </w:p>
          <w:p w14:paraId="59A4ACFF" w14:textId="1592C3E7"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 xml:space="preserve">Iznos koji se iskazuje iznos je kvalificiranog osnovnog kapitala društva kćeri koji je uključen u konsolidirani dodatni osnovni kapital u skladu s CRR-om. </w:t>
            </w:r>
          </w:p>
        </w:tc>
      </w:tr>
      <w:tr w:rsidR="00464F34" w:rsidRPr="00A30C4C" w14:paraId="129BF993" w14:textId="77777777" w:rsidTr="00672D2A">
        <w:tc>
          <w:tcPr>
            <w:tcW w:w="1188" w:type="dxa"/>
          </w:tcPr>
          <w:p w14:paraId="5BEE037F"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14:paraId="55091107"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INSTRUMENTI KVALIFICIRANOG REGULATORNOG KAPITALA UKLJUČENI U</w:t>
            </w:r>
            <w:r>
              <w:rPr>
                <w:rStyle w:val="InstructionsTabelleberschrift"/>
                <w:rFonts w:ascii="Times New Roman" w:hAnsi="Times New Roman"/>
                <w:sz w:val="24"/>
              </w:rPr>
              <w:br/>
              <w:t>KONSOLIDIRANI DOPUNSKI KAPITAL</w:t>
            </w:r>
          </w:p>
          <w:p w14:paraId="57DF16FA" w14:textId="3A7244DE"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Članak 88. CRR-a</w:t>
            </w:r>
          </w:p>
          <w:p w14:paraId="24816211" w14:textId="4E2903A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 xml:space="preserve">Iznos koji se iskazuje iznos je kvalificiranog regulatornog kapitala društva kćeri koji je uključen u konsolidirani dopunski kapital u skladu s CRR-om. </w:t>
            </w:r>
          </w:p>
        </w:tc>
      </w:tr>
      <w:tr w:rsidR="00464F34" w:rsidRPr="00A30C4C" w14:paraId="2AE56A3E" w14:textId="77777777" w:rsidTr="00672D2A">
        <w:tc>
          <w:tcPr>
            <w:tcW w:w="1188" w:type="dxa"/>
          </w:tcPr>
          <w:p w14:paraId="04C23640" w14:textId="77777777" w:rsidR="00464F34" w:rsidRPr="00A30C4C" w:rsidRDefault="00464F34" w:rsidP="00464F34">
            <w:pPr>
              <w:rPr>
                <w:rFonts w:ascii="Times New Roman" w:hAnsi="Times New Roman"/>
                <w:sz w:val="24"/>
              </w:rPr>
            </w:pPr>
            <w:r>
              <w:rPr>
                <w:rFonts w:ascii="Times New Roman" w:hAnsi="Times New Roman"/>
                <w:sz w:val="24"/>
              </w:rPr>
              <w:t>350</w:t>
            </w:r>
          </w:p>
        </w:tc>
        <w:tc>
          <w:tcPr>
            <w:tcW w:w="8640" w:type="dxa"/>
          </w:tcPr>
          <w:p w14:paraId="29A7F16B" w14:textId="77777777" w:rsidR="00464F34" w:rsidRPr="00A30C4C"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BILJEŠKA: GOODWILL (–) / (+) NEGATIVAN GOODWILL</w:t>
            </w:r>
          </w:p>
        </w:tc>
      </w:tr>
      <w:tr w:rsidR="00464F34" w:rsidRPr="00A30C4C" w14:paraId="1058F454" w14:textId="77777777" w:rsidTr="00672D2A">
        <w:tc>
          <w:tcPr>
            <w:tcW w:w="1188" w:type="dxa"/>
          </w:tcPr>
          <w:p w14:paraId="3E29943B" w14:textId="77777777" w:rsidR="00464F34" w:rsidRPr="00A30C4C" w:rsidRDefault="00464F34" w:rsidP="00464F34">
            <w:pPr>
              <w:rPr>
                <w:rFonts w:ascii="Times New Roman" w:hAnsi="Times New Roman"/>
                <w:sz w:val="24"/>
              </w:rPr>
            </w:pPr>
            <w:r>
              <w:rPr>
                <w:rFonts w:ascii="Times New Roman" w:hAnsi="Times New Roman"/>
                <w:sz w:val="24"/>
              </w:rPr>
              <w:t>360-400</w:t>
            </w:r>
          </w:p>
        </w:tc>
        <w:tc>
          <w:tcPr>
            <w:tcW w:w="8640" w:type="dxa"/>
          </w:tcPr>
          <w:p w14:paraId="5C286EC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p w14:paraId="162DBB5B" w14:textId="77777777" w:rsidR="00144F03" w:rsidRPr="00A30C4C" w:rsidRDefault="00144F03" w:rsidP="00464F34">
            <w:pPr>
              <w:rPr>
                <w:rStyle w:val="InstructionsTabelleText"/>
                <w:rFonts w:ascii="Times New Roman" w:hAnsi="Times New Roman"/>
                <w:sz w:val="24"/>
              </w:rPr>
            </w:pPr>
            <w:r>
              <w:rPr>
                <w:rStyle w:val="InstructionsTabelleText"/>
                <w:rFonts w:ascii="Times New Roman" w:hAnsi="Times New Roman"/>
                <w:sz w:val="24"/>
              </w:rPr>
              <w:t>Članak 18. CRR-a</w:t>
            </w:r>
          </w:p>
          <w:p w14:paraId="73795258" w14:textId="167CFAA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Iznos koji se iskazuje kao „KONSOLIDIRANI REGULATORNI KAPITAL” iznos je izveden iz bilance, isključujući sva sredstva koja su unijeli ostali subjekti unutar grupe.</w:t>
            </w:r>
          </w:p>
        </w:tc>
      </w:tr>
      <w:tr w:rsidR="00464F34" w:rsidRPr="00A30C4C" w14:paraId="5AA67888" w14:textId="77777777" w:rsidTr="00672D2A">
        <w:tc>
          <w:tcPr>
            <w:tcW w:w="1188" w:type="dxa"/>
          </w:tcPr>
          <w:p w14:paraId="3FA205D2" w14:textId="77777777" w:rsidR="00464F34" w:rsidRPr="00A30C4C" w:rsidRDefault="00464F34" w:rsidP="00464F34">
            <w:pPr>
              <w:rPr>
                <w:rFonts w:ascii="Times New Roman" w:hAnsi="Times New Roman"/>
                <w:sz w:val="24"/>
              </w:rPr>
            </w:pPr>
            <w:r>
              <w:rPr>
                <w:rFonts w:ascii="Times New Roman" w:hAnsi="Times New Roman"/>
                <w:sz w:val="24"/>
              </w:rPr>
              <w:t>360</w:t>
            </w:r>
          </w:p>
        </w:tc>
        <w:tc>
          <w:tcPr>
            <w:tcW w:w="8640" w:type="dxa"/>
          </w:tcPr>
          <w:p w14:paraId="45C611D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KONSOLIDIRANI REGULATORNI KAPITAL</w:t>
            </w:r>
          </w:p>
        </w:tc>
      </w:tr>
      <w:tr w:rsidR="00464F34" w:rsidRPr="00A30C4C" w14:paraId="60B6ED66" w14:textId="77777777" w:rsidTr="00672D2A">
        <w:tc>
          <w:tcPr>
            <w:tcW w:w="1188" w:type="dxa"/>
          </w:tcPr>
          <w:p w14:paraId="3F6AF20B" w14:textId="77777777" w:rsidR="00464F34" w:rsidRPr="00A30C4C" w:rsidRDefault="00464F34" w:rsidP="00464F34">
            <w:pPr>
              <w:rPr>
                <w:rFonts w:ascii="Times New Roman" w:hAnsi="Times New Roman"/>
                <w:sz w:val="24"/>
              </w:rPr>
            </w:pPr>
            <w:r>
              <w:rPr>
                <w:rFonts w:ascii="Times New Roman" w:hAnsi="Times New Roman"/>
                <w:sz w:val="24"/>
              </w:rPr>
              <w:t>370</w:t>
            </w:r>
          </w:p>
        </w:tc>
        <w:tc>
          <w:tcPr>
            <w:tcW w:w="8640" w:type="dxa"/>
          </w:tcPr>
          <w:p w14:paraId="04D4546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ČEGA: REDOVNI OSNOVNI KAPITAL</w:t>
            </w:r>
          </w:p>
        </w:tc>
      </w:tr>
      <w:tr w:rsidR="00464F34" w:rsidRPr="00A30C4C" w14:paraId="566334E0" w14:textId="77777777" w:rsidTr="00672D2A">
        <w:tc>
          <w:tcPr>
            <w:tcW w:w="1188" w:type="dxa"/>
          </w:tcPr>
          <w:p w14:paraId="64BE572A" w14:textId="77777777" w:rsidR="00464F34" w:rsidRPr="00A30C4C" w:rsidDel="0081176B" w:rsidRDefault="00464F34" w:rsidP="00464F34">
            <w:pPr>
              <w:rPr>
                <w:rFonts w:ascii="Times New Roman" w:hAnsi="Times New Roman"/>
                <w:sz w:val="24"/>
              </w:rPr>
            </w:pPr>
            <w:r>
              <w:rPr>
                <w:rFonts w:ascii="Times New Roman" w:hAnsi="Times New Roman"/>
                <w:sz w:val="24"/>
              </w:rPr>
              <w:t>380</w:t>
            </w:r>
          </w:p>
        </w:tc>
        <w:tc>
          <w:tcPr>
            <w:tcW w:w="8640" w:type="dxa"/>
          </w:tcPr>
          <w:p w14:paraId="7522E2C9" w14:textId="77777777" w:rsidR="00464F34" w:rsidRPr="00A30C4C"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ČEGA: DODATNI OSNOVNI KAPITAL</w:t>
            </w:r>
          </w:p>
        </w:tc>
      </w:tr>
      <w:tr w:rsidR="00464F34" w:rsidRPr="00A30C4C" w14:paraId="31D77A09" w14:textId="77777777" w:rsidTr="00672D2A">
        <w:tc>
          <w:tcPr>
            <w:tcW w:w="1188" w:type="dxa"/>
          </w:tcPr>
          <w:p w14:paraId="36F058F5" w14:textId="77777777" w:rsidR="00464F34" w:rsidRPr="00A30C4C" w:rsidRDefault="00464F34" w:rsidP="00464F34">
            <w:pPr>
              <w:rPr>
                <w:rFonts w:ascii="Times New Roman" w:hAnsi="Times New Roman"/>
                <w:sz w:val="24"/>
              </w:rPr>
            </w:pPr>
            <w:r>
              <w:rPr>
                <w:rFonts w:ascii="Times New Roman" w:hAnsi="Times New Roman"/>
                <w:sz w:val="24"/>
              </w:rPr>
              <w:t>390</w:t>
            </w:r>
          </w:p>
        </w:tc>
        <w:tc>
          <w:tcPr>
            <w:tcW w:w="8640" w:type="dxa"/>
          </w:tcPr>
          <w:p w14:paraId="3D9171D7" w14:textId="77777777" w:rsidR="00464F34" w:rsidRPr="00A30C4C" w:rsidRDefault="00464F34" w:rsidP="00464F34">
            <w:pPr>
              <w:rPr>
                <w:rStyle w:val="InstructionsTabelleText"/>
                <w:rFonts w:ascii="Times New Roman" w:hAnsi="Times New Roman"/>
                <w:sz w:val="24"/>
              </w:rPr>
            </w:pPr>
            <w:r>
              <w:rPr>
                <w:rStyle w:val="InstructionsTabelleberschrift"/>
                <w:rFonts w:ascii="Times New Roman" w:hAnsi="Times New Roman"/>
                <w:sz w:val="24"/>
              </w:rPr>
              <w:t>OD ČEGA: DOPRINOSI KONSOLIDIRANOM REZULTATU</w:t>
            </w:r>
          </w:p>
          <w:p w14:paraId="0FC91FD9" w14:textId="6026D6F4" w:rsidR="00464F34" w:rsidRPr="00A30C4C" w:rsidRDefault="00464F34" w:rsidP="00283C5E">
            <w:pPr>
              <w:rPr>
                <w:rStyle w:val="InstructionsTabelleberschrift"/>
                <w:rFonts w:ascii="Times New Roman" w:hAnsi="Times New Roman"/>
                <w:sz w:val="24"/>
              </w:rPr>
            </w:pPr>
            <w:r>
              <w:rPr>
                <w:rStyle w:val="InstructionsTabelleText"/>
                <w:rFonts w:ascii="Times New Roman" w:hAnsi="Times New Roman"/>
                <w:sz w:val="24"/>
              </w:rPr>
              <w:lastRenderedPageBreak/>
              <w:t>Iskazuje se doprinos svakog subjekta konsolidiranom rezultatu (dobit ili gubitak (–)). To uključuje rezultate koji se mogu pripisati manjinskim udjelima.</w:t>
            </w:r>
          </w:p>
        </w:tc>
      </w:tr>
      <w:tr w:rsidR="00464F34" w:rsidRPr="00A30C4C" w14:paraId="0C8E75ED" w14:textId="77777777" w:rsidTr="00672D2A">
        <w:tc>
          <w:tcPr>
            <w:tcW w:w="1188" w:type="dxa"/>
          </w:tcPr>
          <w:p w14:paraId="32717992" w14:textId="77777777" w:rsidR="00464F34" w:rsidRPr="00A30C4C" w:rsidRDefault="00464F34" w:rsidP="00464F34">
            <w:pPr>
              <w:rPr>
                <w:rFonts w:ascii="Times New Roman" w:hAnsi="Times New Roman"/>
                <w:sz w:val="24"/>
              </w:rPr>
            </w:pPr>
            <w:r>
              <w:rPr>
                <w:rFonts w:ascii="Times New Roman" w:hAnsi="Times New Roman"/>
                <w:sz w:val="24"/>
              </w:rPr>
              <w:lastRenderedPageBreak/>
              <w:t>400</w:t>
            </w:r>
          </w:p>
        </w:tc>
        <w:tc>
          <w:tcPr>
            <w:tcW w:w="8640" w:type="dxa"/>
          </w:tcPr>
          <w:p w14:paraId="4651A8C3"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OD ČEGA: (–) GOODWILL/(+) NEGATIVAN GOODWILL</w:t>
            </w:r>
          </w:p>
          <w:p w14:paraId="45C408B2" w14:textId="4D1144CD" w:rsidR="00464F34" w:rsidRPr="00A30C4C" w:rsidRDefault="00464F34" w:rsidP="00283C5E">
            <w:pPr>
              <w:rPr>
                <w:rStyle w:val="InstructionsTabelleberschrift"/>
                <w:rFonts w:ascii="Times New Roman" w:hAnsi="Times New Roman"/>
                <w:sz w:val="24"/>
              </w:rPr>
            </w:pPr>
            <w:r>
              <w:rPr>
                <w:rStyle w:val="InstructionsTabelleText"/>
                <w:rFonts w:ascii="Times New Roman" w:hAnsi="Times New Roman"/>
                <w:sz w:val="24"/>
              </w:rPr>
              <w:t xml:space="preserve">Ovdje se iskazuje </w:t>
            </w:r>
            <w:proofErr w:type="spellStart"/>
            <w:r>
              <w:rPr>
                <w:rStyle w:val="InstructionsTabelleText"/>
                <w:rFonts w:ascii="Times New Roman" w:hAnsi="Times New Roman"/>
                <w:sz w:val="24"/>
              </w:rPr>
              <w:t>goodwill</w:t>
            </w:r>
            <w:proofErr w:type="spellEnd"/>
            <w:r>
              <w:rPr>
                <w:rStyle w:val="InstructionsTabelleText"/>
                <w:rFonts w:ascii="Times New Roman" w:hAnsi="Times New Roman"/>
                <w:sz w:val="24"/>
              </w:rPr>
              <w:t xml:space="preserve"> ili negativan </w:t>
            </w:r>
            <w:proofErr w:type="spellStart"/>
            <w:r>
              <w:rPr>
                <w:rStyle w:val="InstructionsTabelleText"/>
                <w:rFonts w:ascii="Times New Roman" w:hAnsi="Times New Roman"/>
                <w:sz w:val="24"/>
              </w:rPr>
              <w:t>goodwill</w:t>
            </w:r>
            <w:proofErr w:type="spellEnd"/>
            <w:r>
              <w:rPr>
                <w:rStyle w:val="InstructionsTabelleText"/>
                <w:rFonts w:ascii="Times New Roman" w:hAnsi="Times New Roman"/>
                <w:sz w:val="24"/>
              </w:rPr>
              <w:t xml:space="preserve"> subjekta koji izvješćuje o društvu kćeri.</w:t>
            </w:r>
          </w:p>
        </w:tc>
      </w:tr>
      <w:tr w:rsidR="00464F34" w:rsidRPr="00A30C4C" w14:paraId="67E5B69E" w14:textId="77777777" w:rsidTr="00672D2A">
        <w:tc>
          <w:tcPr>
            <w:tcW w:w="1188" w:type="dxa"/>
          </w:tcPr>
          <w:p w14:paraId="504EAFBB"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14:paraId="75B88055"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ZAŠTITNI SLOJEVI KAPITALA</w:t>
            </w:r>
          </w:p>
          <w:p w14:paraId="42203032" w14:textId="10FDD9C0" w:rsidR="00464F34" w:rsidRPr="00A30C4C" w:rsidRDefault="00464F34" w:rsidP="00283C5E">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Struktura izvješćivanja o zaštitnim slojevima kapitala za obrazac GS slijedi opću strukturu obrasca CA4, primjenom jednakih koncepata izvješćivanja. Pri iskazivanju zaštitnih slojeva kapitala za obrazac GS, iskazuju se relevantni iznosi u skladu s odredbama koje se primjenjuju na utvrđivanje zahtjeva za zaštitni sloj za konsolidiranu situaciju grupe. Stoga iskazani iznosi zaštitnih slojeva kapitala predstavljaju doprinose svakog subjekta zaštitnim slojevima grupe. Iskazani iznosi temelje se na nacionalnim odredbama kojima se prenose CRD i CRR, uključujući sve prijelazne odredbe koje su u njima utvrđene.</w:t>
            </w:r>
          </w:p>
        </w:tc>
      </w:tr>
      <w:tr w:rsidR="00464F34" w:rsidRPr="00A30C4C" w14:paraId="7D44B0C6" w14:textId="77777777" w:rsidTr="00672D2A">
        <w:tc>
          <w:tcPr>
            <w:tcW w:w="1188" w:type="dxa"/>
          </w:tcPr>
          <w:p w14:paraId="729BBE09"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410</w:t>
            </w:r>
          </w:p>
        </w:tc>
        <w:tc>
          <w:tcPr>
            <w:tcW w:w="8640" w:type="dxa"/>
          </w:tcPr>
          <w:p w14:paraId="5BD65C06"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ZAHTJEVI ZA KOMBINIRANI ZAŠTITNI SLOJ</w:t>
            </w:r>
          </w:p>
          <w:p w14:paraId="49953CA7" w14:textId="441469E9" w:rsidR="00464F34" w:rsidRPr="00A30C4C" w:rsidRDefault="00283C5E" w:rsidP="00283C5E">
            <w:pPr>
              <w:tabs>
                <w:tab w:val="left" w:pos="3510"/>
              </w:tabs>
              <w:rPr>
                <w:rStyle w:val="InstructionsTabelleberschrift"/>
                <w:rFonts w:ascii="Times New Roman" w:hAnsi="Times New Roman"/>
                <w:sz w:val="24"/>
              </w:rPr>
            </w:pPr>
            <w:r>
              <w:rPr>
                <w:rStyle w:val="InstructionsTabelleText"/>
                <w:rFonts w:ascii="Times New Roman" w:hAnsi="Times New Roman"/>
                <w:sz w:val="24"/>
              </w:rPr>
              <w:t>Članak 128. točka 6. CRD-a</w:t>
            </w:r>
          </w:p>
        </w:tc>
      </w:tr>
      <w:tr w:rsidR="00464F34" w:rsidRPr="00A30C4C" w14:paraId="290C574E" w14:textId="77777777" w:rsidTr="00672D2A">
        <w:tc>
          <w:tcPr>
            <w:tcW w:w="1188" w:type="dxa"/>
          </w:tcPr>
          <w:p w14:paraId="4F3EA18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14:paraId="30C78CC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w:t>
            </w:r>
          </w:p>
          <w:p w14:paraId="7270E591" w14:textId="6DAFFC24"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Članak 128. točka 1. i članak 129. CRD-a</w:t>
            </w:r>
          </w:p>
          <w:p w14:paraId="7023D0C0" w14:textId="5B60B66E" w:rsidR="00464F34" w:rsidRPr="00A30C4C" w:rsidRDefault="00BB22D4" w:rsidP="001E0C80">
            <w:pPr>
              <w:pStyle w:val="InstructionsText"/>
              <w:rPr>
                <w:rStyle w:val="InstructionsTabelleText"/>
                <w:rFonts w:ascii="Times New Roman" w:hAnsi="Times New Roman"/>
                <w:sz w:val="24"/>
              </w:rPr>
            </w:pPr>
            <w:r>
              <w:t>U skladu s člankom 129. stavkom 1. CRD-a zaštitni sloj za očuvanje kapitala nastavlja se na redovni osnovni kapital. Budući da je stopa zaštitnog sloja za očuvanje kapitala od 2,5 % stabilna, iznos se iskazuje u ovoj rubrici.</w:t>
            </w:r>
          </w:p>
        </w:tc>
      </w:tr>
      <w:tr w:rsidR="00464F34" w:rsidRPr="00A30C4C" w14:paraId="6A904394" w14:textId="77777777" w:rsidTr="00672D2A">
        <w:tc>
          <w:tcPr>
            <w:tcW w:w="1188" w:type="dxa"/>
          </w:tcPr>
          <w:p w14:paraId="597E010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14:paraId="51FB7F5B"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PROTUCIKLIČKI ZAŠTITNI SLOJ KAPITALA SPECIFIČAN ZA INSTITUCIJU</w:t>
            </w:r>
          </w:p>
          <w:p w14:paraId="385196E8" w14:textId="0B2ABA94"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Članak 128. točka 2., članak 130. i članci od 135. do 140. CRD-a</w:t>
            </w:r>
          </w:p>
          <w:p w14:paraId="2D171BBF" w14:textId="77777777" w:rsidR="00464F34" w:rsidRPr="00A30C4C" w:rsidRDefault="00464F34" w:rsidP="00FD239F">
            <w:pPr>
              <w:pStyle w:val="InstructionsText"/>
              <w:rPr>
                <w:rStyle w:val="InstructionsTabelleText"/>
                <w:rFonts w:ascii="Times New Roman" w:hAnsi="Times New Roman"/>
                <w:sz w:val="24"/>
              </w:rPr>
            </w:pPr>
            <w:r>
              <w:t xml:space="preserve">U ovoj se rubrici iskazuje konkretan iznos </w:t>
            </w:r>
            <w:proofErr w:type="spellStart"/>
            <w:r>
              <w:t>protucikličkog</w:t>
            </w:r>
            <w:proofErr w:type="spellEnd"/>
            <w:r>
              <w:t xml:space="preserve"> zaštitnog sloja.</w:t>
            </w:r>
          </w:p>
        </w:tc>
      </w:tr>
      <w:tr w:rsidR="00464F34" w:rsidRPr="00A30C4C" w14:paraId="42A13680" w14:textId="77777777" w:rsidTr="00672D2A">
        <w:tc>
          <w:tcPr>
            <w:tcW w:w="1188" w:type="dxa"/>
          </w:tcPr>
          <w:p w14:paraId="3B7D72C3" w14:textId="77777777" w:rsidR="00464F34" w:rsidRPr="00A30C4C"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14:paraId="56A86F3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ZAŠTITNI SLOJ ZA OČUVANJE KAPITALA ZBOG MAKROBONITETNOG ILI SISTEMSKOG RIZIKA UTVRĐENOG NA RAZINI DRŽAVE ČLANICE</w:t>
            </w:r>
          </w:p>
          <w:p w14:paraId="16BE882A" w14:textId="20D03F71" w:rsidR="00464F34" w:rsidRPr="00A30C4C" w:rsidRDefault="00283C5E"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458. stavak 2. točka (d) </w:t>
            </w:r>
            <w:proofErr w:type="spellStart"/>
            <w:r>
              <w:rPr>
                <w:rStyle w:val="InstructionsTabelleberschrift"/>
                <w:rFonts w:ascii="Times New Roman" w:hAnsi="Times New Roman"/>
                <w:b w:val="0"/>
                <w:sz w:val="24"/>
                <w:u w:val="none"/>
              </w:rPr>
              <w:t>podtočka</w:t>
            </w:r>
            <w:proofErr w:type="spellEnd"/>
            <w:r>
              <w:rPr>
                <w:rStyle w:val="InstructionsTabelleberschrift"/>
                <w:rFonts w:ascii="Times New Roman" w:hAnsi="Times New Roman"/>
                <w:b w:val="0"/>
                <w:sz w:val="24"/>
                <w:u w:val="none"/>
              </w:rPr>
              <w:t xml:space="preserve"> iv. CRR-a</w:t>
            </w:r>
          </w:p>
          <w:p w14:paraId="267A732C" w14:textId="7B87DCDE" w:rsidR="00464F34" w:rsidRPr="00A30C4C" w:rsidRDefault="00464F34" w:rsidP="00FD239F">
            <w:pPr>
              <w:pStyle w:val="InstructionsText"/>
              <w:rPr>
                <w:rStyle w:val="InstructionsTabelleberschrift"/>
                <w:rFonts w:ascii="Times New Roman" w:hAnsi="Times New Roman"/>
                <w:sz w:val="24"/>
              </w:rPr>
            </w:pPr>
            <w:r>
              <w:t xml:space="preserve">U ovoj se rubrici iskazuje iznos zaštitnog sloja za očuvanje kapitala zbog </w:t>
            </w:r>
            <w:proofErr w:type="spellStart"/>
            <w:r>
              <w:t>makrobonitetnog</w:t>
            </w:r>
            <w:proofErr w:type="spellEnd"/>
            <w:r>
              <w:t xml:space="preserve"> ili sistemskog rizika utvrđenog na razini države članice koji se može zatražiti u skladu s člankom 458. CRR-a uz zaštitni sloj za očuvanje kapitala.</w:t>
            </w:r>
          </w:p>
        </w:tc>
      </w:tr>
      <w:tr w:rsidR="00464F34" w:rsidRPr="00A30C4C" w14:paraId="60606A3E" w14:textId="77777777" w:rsidTr="00672D2A">
        <w:tc>
          <w:tcPr>
            <w:tcW w:w="1188" w:type="dxa"/>
          </w:tcPr>
          <w:p w14:paraId="3DB4AC5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14:paraId="57441EEE"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ZAŠTITNI SLOJ ZA SISTEMSKI RIZIK</w:t>
            </w:r>
          </w:p>
          <w:p w14:paraId="6B63796F" w14:textId="32737270" w:rsidR="00464F34" w:rsidRPr="00A30C4C" w:rsidRDefault="00283C5E" w:rsidP="00FD239F">
            <w:pPr>
              <w:pStyle w:val="InstructionsText"/>
            </w:pPr>
            <w:r>
              <w:t xml:space="preserve">Članak 128. točka 5., članci 133. i 134. CRD-a </w:t>
            </w:r>
          </w:p>
          <w:p w14:paraId="62368385" w14:textId="77777777" w:rsidR="00464F34" w:rsidRPr="00A30C4C" w:rsidRDefault="00464F34" w:rsidP="00464F34">
            <w:pPr>
              <w:rPr>
                <w:rStyle w:val="InstructionsTabelleberschrift"/>
                <w:rFonts w:ascii="Times New Roman" w:hAnsi="Times New Roman"/>
                <w:sz w:val="24"/>
              </w:rPr>
            </w:pPr>
            <w:r>
              <w:rPr>
                <w:rFonts w:ascii="Times New Roman" w:hAnsi="Times New Roman"/>
                <w:sz w:val="24"/>
              </w:rPr>
              <w:t>U ovoj se rubrici iskazuje konkretan iznos zaštitnog sloja za sistemski rizik.</w:t>
            </w:r>
          </w:p>
        </w:tc>
      </w:tr>
      <w:tr w:rsidR="00464F34" w:rsidRPr="00A30C4C" w14:paraId="7B0A8514" w14:textId="77777777" w:rsidTr="00672D2A">
        <w:tc>
          <w:tcPr>
            <w:tcW w:w="1188" w:type="dxa"/>
          </w:tcPr>
          <w:p w14:paraId="6DD8C00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14:paraId="2F4D0319" w14:textId="77777777" w:rsidR="00464F34" w:rsidRPr="00A30C4C"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ZAŠTITNI SLOJ ZA GLOBALNE SISTEMSKI VAŽNE INSTITUCIJE</w:t>
            </w:r>
            <w:r>
              <w:rPr>
                <w:rStyle w:val="InstructionsTabelleberschrift"/>
                <w:rFonts w:ascii="Times New Roman" w:hAnsi="Times New Roman"/>
                <w:sz w:val="24"/>
              </w:rPr>
              <w:tab/>
            </w:r>
          </w:p>
          <w:p w14:paraId="387CB577" w14:textId="6F425AC2" w:rsidR="00464F34" w:rsidRPr="00A30C4C" w:rsidRDefault="00283C5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128. točka 3. i članak 131. CRD-a</w:t>
            </w:r>
          </w:p>
          <w:p w14:paraId="234A78D7" w14:textId="77777777" w:rsidR="00483FC9" w:rsidRPr="00A30C4C" w:rsidRDefault="00464F34" w:rsidP="00FD239F">
            <w:pPr>
              <w:pStyle w:val="InstructionsText"/>
              <w:rPr>
                <w:rStyle w:val="InstructionsTabelleberschrift"/>
                <w:rFonts w:ascii="Times New Roman" w:hAnsi="Times New Roman"/>
                <w:sz w:val="24"/>
              </w:rPr>
            </w:pPr>
            <w:r>
              <w:t>U ovoj se rubrici iskazuje iznos zaštitnog sloja za globalne sistemski važne institucije.</w:t>
            </w:r>
          </w:p>
        </w:tc>
      </w:tr>
      <w:tr w:rsidR="00464F34" w:rsidRPr="00A30C4C" w14:paraId="71950C7A" w14:textId="77777777" w:rsidTr="00672D2A">
        <w:tc>
          <w:tcPr>
            <w:tcW w:w="1188" w:type="dxa"/>
          </w:tcPr>
          <w:p w14:paraId="5DA03A36"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480</w:t>
            </w:r>
          </w:p>
        </w:tc>
        <w:tc>
          <w:tcPr>
            <w:tcW w:w="8640" w:type="dxa"/>
          </w:tcPr>
          <w:p w14:paraId="66E623D3" w14:textId="77777777" w:rsidR="00464F34" w:rsidRPr="00A30C4C"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ZAŠTITNI SLOJ ZA OSTALE SISTEMSKI VAŽNE INSTITUCIJE</w:t>
            </w:r>
            <w:r>
              <w:rPr>
                <w:rStyle w:val="InstructionsTabelleberschrift"/>
                <w:rFonts w:ascii="Times New Roman" w:hAnsi="Times New Roman"/>
                <w:sz w:val="24"/>
              </w:rPr>
              <w:tab/>
            </w:r>
          </w:p>
          <w:p w14:paraId="25F9394F" w14:textId="286EB2B8" w:rsidR="00464F34" w:rsidRPr="00A30C4C" w:rsidRDefault="00283C5E" w:rsidP="00FD239F">
            <w:pPr>
              <w:pStyle w:val="InstructionsText"/>
            </w:pPr>
            <w:r>
              <w:t>Članak 128. točka 4. i članak 131. CRD-a</w:t>
            </w:r>
          </w:p>
          <w:p w14:paraId="65185580" w14:textId="77777777" w:rsidR="00464F34" w:rsidRPr="00A30C4C" w:rsidRDefault="00464F34" w:rsidP="00FD239F">
            <w:pPr>
              <w:pStyle w:val="InstructionsText"/>
              <w:rPr>
                <w:rStyle w:val="InstructionsTabelleberschrift"/>
                <w:rFonts w:ascii="Times New Roman" w:hAnsi="Times New Roman"/>
                <w:sz w:val="24"/>
              </w:rPr>
            </w:pPr>
            <w:r>
              <w:t>U ovoj se rubrici iskazuje iznos zaštitnog sloja za ostale sistemski važne institucije.</w:t>
            </w:r>
          </w:p>
        </w:tc>
      </w:tr>
    </w:tbl>
    <w:p w14:paraId="7E0CA39F" w14:textId="77777777" w:rsidR="00FC1030" w:rsidRPr="00A30C4C" w:rsidRDefault="00FC1030" w:rsidP="00FD239F">
      <w:pPr>
        <w:pStyle w:val="InstructionsText"/>
      </w:pPr>
    </w:p>
    <w:p w14:paraId="45EDFBFA" w14:textId="77777777" w:rsidR="00464F34" w:rsidRPr="00A30C4C"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30677649"/>
      <w:r>
        <w:rPr>
          <w:rFonts w:ascii="Times New Roman" w:hAnsi="Times New Roman"/>
          <w:sz w:val="24"/>
          <w:u w:val="none"/>
        </w:rPr>
        <w:t>3.</w:t>
      </w:r>
      <w:r>
        <w:rPr>
          <w:rFonts w:ascii="Times New Roman" w:hAnsi="Times New Roman"/>
          <w:sz w:val="24"/>
          <w:u w:val="none"/>
        </w:rPr>
        <w:tab/>
      </w:r>
      <w:r>
        <w:rPr>
          <w:rFonts w:ascii="Times New Roman" w:hAnsi="Times New Roman"/>
          <w:sz w:val="24"/>
        </w:rPr>
        <w:t>Obrasci za kreditni rizik</w:t>
      </w:r>
      <w:bookmarkEnd w:id="115"/>
      <w:bookmarkEnd w:id="116"/>
      <w:bookmarkEnd w:id="117"/>
      <w:bookmarkEnd w:id="118"/>
    </w:p>
    <w:p w14:paraId="55E89157"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30677650"/>
      <w:r>
        <w:rPr>
          <w:rFonts w:ascii="Times New Roman" w:hAnsi="Times New Roman"/>
          <w:sz w:val="24"/>
          <w:u w:val="none"/>
        </w:rPr>
        <w:t>3.1.</w:t>
      </w:r>
      <w:r>
        <w:rPr>
          <w:rFonts w:ascii="Times New Roman" w:hAnsi="Times New Roman"/>
          <w:sz w:val="24"/>
          <w:u w:val="none"/>
        </w:rPr>
        <w:tab/>
      </w:r>
      <w:r>
        <w:rPr>
          <w:rFonts w:ascii="Times New Roman" w:hAnsi="Times New Roman"/>
          <w:sz w:val="24"/>
        </w:rPr>
        <w:t>Opće napomene</w:t>
      </w:r>
      <w:bookmarkEnd w:id="119"/>
      <w:bookmarkEnd w:id="120"/>
      <w:bookmarkEnd w:id="124"/>
      <w:r>
        <w:rPr>
          <w:rFonts w:ascii="Times New Roman" w:hAnsi="Times New Roman"/>
          <w:sz w:val="24"/>
        </w:rPr>
        <w:t xml:space="preserve"> </w:t>
      </w:r>
      <w:bookmarkEnd w:id="121"/>
      <w:bookmarkEnd w:id="122"/>
      <w:bookmarkEnd w:id="123"/>
    </w:p>
    <w:p w14:paraId="561CA98B" w14:textId="38640B38" w:rsidR="00464F34" w:rsidRPr="00A30C4C" w:rsidRDefault="00125707" w:rsidP="00C37B29">
      <w:pPr>
        <w:pStyle w:val="InstructionsText2"/>
        <w:numPr>
          <w:ilvl w:val="0"/>
          <w:numId w:val="0"/>
        </w:numPr>
        <w:ind w:left="993"/>
      </w:pPr>
      <w:r>
        <w:t>38.</w:t>
      </w:r>
      <w:r>
        <w:tab/>
        <w:t xml:space="preserve">Postoje različite skupine obrazaca za standardizirani pristup i IRB pristup kreditnom riziku. Osim toga, zasebni obrasci za geografsku raščlambu pozicija koje podliježu kreditnom riziku iskazuju se ako je premašen relevantan prag iz članka 5. točke (a) </w:t>
      </w:r>
      <w:proofErr w:type="spellStart"/>
      <w:r>
        <w:t>podtočke</w:t>
      </w:r>
      <w:proofErr w:type="spellEnd"/>
      <w:r>
        <w:t xml:space="preserve"> 4. ove Provedbene uredbe. </w:t>
      </w:r>
    </w:p>
    <w:p w14:paraId="24A12BC4"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30677651"/>
      <w:r>
        <w:rPr>
          <w:rFonts w:ascii="Times New Roman" w:hAnsi="Times New Roman"/>
          <w:sz w:val="24"/>
          <w:u w:val="none"/>
        </w:rPr>
        <w:t>3.1.1.</w:t>
      </w:r>
      <w:r>
        <w:rPr>
          <w:rFonts w:ascii="Times New Roman" w:hAnsi="Times New Roman"/>
          <w:sz w:val="24"/>
          <w:u w:val="none"/>
        </w:rPr>
        <w:tab/>
      </w:r>
      <w:r>
        <w:rPr>
          <w:rFonts w:ascii="Times New Roman" w:hAnsi="Times New Roman"/>
          <w:sz w:val="24"/>
        </w:rPr>
        <w:t>Izvješćivanje o tehnikama smanjenja kreditnog rizika s učinkom zamjene</w:t>
      </w:r>
      <w:bookmarkEnd w:id="125"/>
      <w:bookmarkEnd w:id="126"/>
      <w:bookmarkEnd w:id="127"/>
      <w:bookmarkEnd w:id="128"/>
      <w:bookmarkEnd w:id="129"/>
      <w:bookmarkEnd w:id="130"/>
    </w:p>
    <w:p w14:paraId="5618B1C1" w14:textId="710F450C" w:rsidR="00464F34" w:rsidRPr="00A30C4C" w:rsidRDefault="00125707" w:rsidP="00C37B29">
      <w:pPr>
        <w:pStyle w:val="InstructionsText2"/>
        <w:numPr>
          <w:ilvl w:val="0"/>
          <w:numId w:val="0"/>
        </w:numPr>
        <w:ind w:left="993"/>
      </w:pPr>
      <w:r>
        <w:t>39.</w:t>
      </w:r>
      <w:r>
        <w:tab/>
        <w:t>U članku 235. CRR-a opisuje se postupak izračuna izloženosti koja je u potpunosti zaštićena nematerijalnom zaštitom.</w:t>
      </w:r>
    </w:p>
    <w:p w14:paraId="0C6811C2" w14:textId="71D8D82A" w:rsidR="00464F34" w:rsidRPr="00A30C4C" w:rsidRDefault="00125707" w:rsidP="00C37B29">
      <w:pPr>
        <w:pStyle w:val="InstructionsText2"/>
        <w:numPr>
          <w:ilvl w:val="0"/>
          <w:numId w:val="0"/>
        </w:numPr>
        <w:ind w:left="993"/>
      </w:pPr>
      <w:r>
        <w:t>40.</w:t>
      </w:r>
      <w:r>
        <w:tab/>
        <w:t>U članku 236. CRR-a opisuje se postupak izračuna izloženosti koja je u potpunosti zaštićena nematerijalnom zaštitom u slučaju potpune zaštite/djelomične zaštite — jednako pravo u redoslijedu naplate.</w:t>
      </w:r>
    </w:p>
    <w:p w14:paraId="0F7DEE63" w14:textId="26E9B85F" w:rsidR="00464F34" w:rsidRPr="00A30C4C" w:rsidRDefault="00125707" w:rsidP="00C37B29">
      <w:pPr>
        <w:pStyle w:val="InstructionsText2"/>
        <w:numPr>
          <w:ilvl w:val="0"/>
          <w:numId w:val="0"/>
        </w:numPr>
        <w:ind w:left="993"/>
      </w:pPr>
      <w:r>
        <w:t>41.</w:t>
      </w:r>
      <w:r>
        <w:tab/>
        <w:t>U člancima 196., 197. i 200. CRR-a uređena je materijalna kreditna zaštita.</w:t>
      </w:r>
    </w:p>
    <w:p w14:paraId="6D2EF433" w14:textId="61DC48EF" w:rsidR="00464F34" w:rsidRPr="00A30C4C" w:rsidRDefault="00125707" w:rsidP="00C37B29">
      <w:pPr>
        <w:pStyle w:val="InstructionsText2"/>
        <w:numPr>
          <w:ilvl w:val="0"/>
          <w:numId w:val="0"/>
        </w:numPr>
        <w:ind w:left="993"/>
      </w:pPr>
      <w:r>
        <w:t>42.</w:t>
      </w:r>
      <w:r>
        <w:tab/>
        <w:t>Izloženosti prema dužnicima (neposrednim drugim ugovornim stranama) i pružateljima zaštite koji su raspoređeni u istu kategoriju izloženosti iskazuju se kao priljev i odljev u istu kategoriju izloženosti.</w:t>
      </w:r>
    </w:p>
    <w:p w14:paraId="3D5B371F" w14:textId="5AE6E95D" w:rsidR="00464F34" w:rsidRPr="00A30C4C" w:rsidRDefault="00125707" w:rsidP="00C37B29">
      <w:pPr>
        <w:pStyle w:val="InstructionsText2"/>
        <w:numPr>
          <w:ilvl w:val="0"/>
          <w:numId w:val="0"/>
        </w:numPr>
        <w:ind w:left="993"/>
      </w:pPr>
      <w:r>
        <w:t>43.</w:t>
      </w:r>
      <w:r>
        <w:tab/>
        <w:t>Vrsta izloženosti ne mijenja se zbog nematerijalne kreditne zaštite.</w:t>
      </w:r>
    </w:p>
    <w:p w14:paraId="6F5E7DFF" w14:textId="22C4CB39" w:rsidR="00464F34" w:rsidRPr="00A30C4C" w:rsidRDefault="00125707" w:rsidP="00C37B29">
      <w:pPr>
        <w:pStyle w:val="InstructionsText2"/>
        <w:numPr>
          <w:ilvl w:val="0"/>
          <w:numId w:val="0"/>
        </w:numPr>
        <w:ind w:left="993"/>
      </w:pPr>
      <w:r>
        <w:t>44.</w:t>
      </w:r>
      <w:r>
        <w:tab/>
        <w:t>Ako je izloženost osigurana nematerijalnom kreditnom zaštitom, osigurani dio raspoređuje se kao odljev npr. u kategoriji izloženosti dužnika i kao priljev u kategoriji izloženosti pružatelja zaštite. Međutim, vrsta izloženosti ne mijenja se zbog promjene kategorije izloženosti.</w:t>
      </w:r>
    </w:p>
    <w:p w14:paraId="17148265" w14:textId="12570531" w:rsidR="00464F34" w:rsidRPr="00A30C4C" w:rsidRDefault="00125707" w:rsidP="00C37B29">
      <w:pPr>
        <w:pStyle w:val="InstructionsText2"/>
        <w:numPr>
          <w:ilvl w:val="0"/>
          <w:numId w:val="0"/>
        </w:numPr>
        <w:ind w:left="993"/>
      </w:pPr>
      <w:r>
        <w:t>45.</w:t>
      </w:r>
      <w:r>
        <w:tab/>
        <w:t xml:space="preserve">Učinak zamjene u izvještajnom okviru COREP odražava tretman </w:t>
      </w:r>
      <w:proofErr w:type="spellStart"/>
      <w:r>
        <w:t>ponderiranja</w:t>
      </w:r>
      <w:proofErr w:type="spellEnd"/>
      <w:r>
        <w:t xml:space="preserve"> rizikom koji se može učinkovito primijeniti na pokriveni dio izloženosti. Kao takav, pokriveni je dio izloženosti ponderiran rizikom u skladu sa standardiziranim pristupom i iskazuje se u obrascu CR SA. </w:t>
      </w:r>
    </w:p>
    <w:p w14:paraId="08DB1FC2"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30677652"/>
      <w:r>
        <w:rPr>
          <w:rFonts w:ascii="Times New Roman" w:hAnsi="Times New Roman"/>
          <w:sz w:val="24"/>
          <w:u w:val="none"/>
        </w:rPr>
        <w:t>3.1.2.</w:t>
      </w:r>
      <w:r>
        <w:rPr>
          <w:rFonts w:ascii="Times New Roman" w:hAnsi="Times New Roman"/>
          <w:sz w:val="24"/>
          <w:u w:val="none"/>
        </w:rPr>
        <w:tab/>
      </w:r>
      <w:r>
        <w:rPr>
          <w:rFonts w:ascii="Times New Roman" w:hAnsi="Times New Roman"/>
          <w:sz w:val="24"/>
        </w:rPr>
        <w:t>Izvješćivanje o kreditnom riziku druge ugovorne strane</w:t>
      </w:r>
      <w:bookmarkEnd w:id="131"/>
      <w:bookmarkEnd w:id="132"/>
      <w:bookmarkEnd w:id="133"/>
      <w:bookmarkEnd w:id="134"/>
      <w:bookmarkEnd w:id="135"/>
      <w:bookmarkEnd w:id="136"/>
    </w:p>
    <w:p w14:paraId="595DF864" w14:textId="77777777" w:rsidR="00464F34" w:rsidRPr="00A30C4C" w:rsidRDefault="00125707" w:rsidP="00C37B29">
      <w:pPr>
        <w:pStyle w:val="InstructionsText2"/>
        <w:numPr>
          <w:ilvl w:val="0"/>
          <w:numId w:val="0"/>
        </w:numPr>
        <w:ind w:left="993"/>
      </w:pPr>
      <w:r>
        <w:t>46.</w:t>
      </w:r>
      <w:r>
        <w:tab/>
        <w:t xml:space="preserve">Izloženosti koje proizlaze iz pozicija kreditnog rizika druge ugovorne strane iskazuju se u obrascima CR SA ili CR IRB, neovisno o tome jesu li stavke iz knjige pozicija kojima se ne trguje ili stavke iz knjige trgovanja. </w:t>
      </w:r>
    </w:p>
    <w:p w14:paraId="050F06E6"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30677653"/>
      <w:r>
        <w:rPr>
          <w:rFonts w:ascii="Times New Roman" w:hAnsi="Times New Roman"/>
          <w:sz w:val="24"/>
          <w:u w:val="none"/>
        </w:rPr>
        <w:lastRenderedPageBreak/>
        <w:t>3.2.</w:t>
      </w:r>
      <w:r>
        <w:rPr>
          <w:rFonts w:ascii="Times New Roman" w:hAnsi="Times New Roman"/>
          <w:sz w:val="24"/>
          <w:u w:val="none"/>
        </w:rPr>
        <w:tab/>
      </w:r>
      <w:r>
        <w:rPr>
          <w:rFonts w:ascii="Times New Roman" w:hAnsi="Times New Roman"/>
          <w:sz w:val="24"/>
        </w:rPr>
        <w:t xml:space="preserve">C 07.00 – Kreditni rizik, kreditni rizik druge ugovorne strane i slobodne isporuke: </w:t>
      </w:r>
      <w:bookmarkStart w:id="142" w:name="_Toc292456202"/>
      <w:r>
        <w:rPr>
          <w:rFonts w:ascii="Times New Roman" w:hAnsi="Times New Roman"/>
          <w:sz w:val="24"/>
        </w:rPr>
        <w:t>Standardizirani pristup kapitalnim zahtjevima</w:t>
      </w:r>
      <w:bookmarkEnd w:id="142"/>
      <w:bookmarkEnd w:id="137"/>
      <w:bookmarkEnd w:id="138"/>
      <w:bookmarkEnd w:id="139"/>
      <w:r>
        <w:rPr>
          <w:rFonts w:ascii="Times New Roman" w:hAnsi="Times New Roman"/>
          <w:sz w:val="24"/>
        </w:rPr>
        <w:t xml:space="preserve"> (CR SA)</w:t>
      </w:r>
      <w:bookmarkEnd w:id="140"/>
      <w:bookmarkEnd w:id="141"/>
    </w:p>
    <w:p w14:paraId="2C884E9E"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30677654"/>
      <w:r>
        <w:rPr>
          <w:rFonts w:ascii="Times New Roman" w:hAnsi="Times New Roman"/>
          <w:sz w:val="24"/>
          <w:u w:val="none"/>
        </w:rPr>
        <w:t>3.2.1.</w:t>
      </w:r>
      <w:r>
        <w:rPr>
          <w:rFonts w:ascii="Times New Roman" w:hAnsi="Times New Roman"/>
          <w:sz w:val="24"/>
          <w:u w:val="none"/>
        </w:rPr>
        <w:tab/>
      </w:r>
      <w:r>
        <w:rPr>
          <w:rFonts w:ascii="Times New Roman" w:hAnsi="Times New Roman"/>
          <w:sz w:val="24"/>
        </w:rPr>
        <w:t>Opće napomene</w:t>
      </w:r>
      <w:bookmarkEnd w:id="143"/>
      <w:bookmarkEnd w:id="144"/>
      <w:bookmarkEnd w:id="145"/>
      <w:bookmarkEnd w:id="146"/>
      <w:bookmarkEnd w:id="147"/>
      <w:bookmarkEnd w:id="148"/>
      <w:bookmarkEnd w:id="149"/>
      <w:bookmarkEnd w:id="150"/>
    </w:p>
    <w:p w14:paraId="043CCB8F" w14:textId="0A9B4E7D" w:rsidR="00464F34" w:rsidRPr="00A30C4C" w:rsidRDefault="00125707" w:rsidP="00C37B29">
      <w:pPr>
        <w:pStyle w:val="InstructionsText2"/>
        <w:numPr>
          <w:ilvl w:val="0"/>
          <w:numId w:val="0"/>
        </w:numPr>
        <w:ind w:left="993"/>
      </w:pPr>
      <w:r>
        <w:t>47.</w:t>
      </w:r>
      <w:r>
        <w:tab/>
        <w:t>U obrascima CR SA pružaju se potrebne informacije o izračunu kapitalnih zahtjeva za kreditni rizik u skladu sa standardiziranim pristupom. Posebno sadržavaju informacije:</w:t>
      </w:r>
    </w:p>
    <w:p w14:paraId="2B59DD5B" w14:textId="77777777" w:rsidR="00464F34" w:rsidRPr="00A30C4C" w:rsidRDefault="00125707" w:rsidP="00C37B29">
      <w:pPr>
        <w:pStyle w:val="InstructionsText2"/>
        <w:numPr>
          <w:ilvl w:val="0"/>
          <w:numId w:val="0"/>
        </w:numPr>
        <w:ind w:left="993"/>
      </w:pPr>
      <w:r>
        <w:t>a)</w:t>
      </w:r>
      <w:r>
        <w:tab/>
        <w:t>o raspodjeli vrijednosti izloženosti u skladu s različitim vrstama izloženosti, ponderima rizika i kategorijama izloženosti;</w:t>
      </w:r>
    </w:p>
    <w:p w14:paraId="318DAC93" w14:textId="77777777" w:rsidR="00464F34" w:rsidRPr="00A30C4C" w:rsidRDefault="00125707" w:rsidP="00C37B29">
      <w:pPr>
        <w:pStyle w:val="InstructionsText2"/>
        <w:numPr>
          <w:ilvl w:val="0"/>
          <w:numId w:val="0"/>
        </w:numPr>
        <w:ind w:left="993"/>
      </w:pPr>
      <w:r>
        <w:t>b)</w:t>
      </w:r>
      <w:r>
        <w:tab/>
        <w:t xml:space="preserve">o iznosima i vrstama tehnika smanjenja kreditnog rizika koje se koriste za smanjenje rizika. </w:t>
      </w:r>
    </w:p>
    <w:p w14:paraId="232245F1"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30677655"/>
      <w:r>
        <w:rPr>
          <w:rFonts w:ascii="Times New Roman" w:hAnsi="Times New Roman"/>
          <w:sz w:val="24"/>
          <w:u w:val="none"/>
        </w:rPr>
        <w:t>3.2.2.</w:t>
      </w:r>
      <w:r>
        <w:rPr>
          <w:rFonts w:ascii="Times New Roman" w:hAnsi="Times New Roman"/>
          <w:sz w:val="24"/>
          <w:u w:val="none"/>
        </w:rPr>
        <w:tab/>
      </w:r>
      <w:r>
        <w:rPr>
          <w:rFonts w:ascii="Times New Roman" w:hAnsi="Times New Roman"/>
          <w:sz w:val="24"/>
        </w:rPr>
        <w:t>Opseg obrasca CR SA</w:t>
      </w:r>
      <w:bookmarkEnd w:id="158"/>
      <w:r>
        <w:rPr>
          <w:rFonts w:ascii="Times New Roman" w:hAnsi="Times New Roman"/>
          <w:sz w:val="24"/>
        </w:rPr>
        <w:t xml:space="preserve"> </w:t>
      </w:r>
      <w:bookmarkEnd w:id="151"/>
      <w:bookmarkEnd w:id="152"/>
      <w:bookmarkEnd w:id="153"/>
      <w:bookmarkEnd w:id="154"/>
      <w:bookmarkEnd w:id="155"/>
      <w:bookmarkEnd w:id="156"/>
      <w:bookmarkEnd w:id="157"/>
    </w:p>
    <w:p w14:paraId="74E1ED6A" w14:textId="08B2AD37" w:rsidR="00464F34" w:rsidRPr="00A30C4C" w:rsidRDefault="00125707" w:rsidP="00C37B29">
      <w:pPr>
        <w:pStyle w:val="InstructionsText2"/>
        <w:numPr>
          <w:ilvl w:val="0"/>
          <w:numId w:val="0"/>
        </w:numPr>
        <w:ind w:left="993"/>
      </w:pPr>
      <w:r>
        <w:t>48.</w:t>
      </w:r>
      <w:r>
        <w:tab/>
        <w:t>U skladu s člankom 112. CRR-a, svaka izloženost u skladu sa standardiziranim pristupom raspoređuje se u jednu od 16 kategorija izloženosti u skladu sa standardiziranim pristupom radi izračuna kapitalnih zahtjeva.</w:t>
      </w:r>
    </w:p>
    <w:p w14:paraId="1A5DE48F" w14:textId="59A37784" w:rsidR="00464F34" w:rsidRPr="00A30C4C" w:rsidRDefault="00125707" w:rsidP="00C37B29">
      <w:pPr>
        <w:pStyle w:val="InstructionsText2"/>
        <w:numPr>
          <w:ilvl w:val="0"/>
          <w:numId w:val="0"/>
        </w:numPr>
        <w:ind w:left="993"/>
      </w:pPr>
      <w:r>
        <w:t>49.</w:t>
      </w:r>
      <w:r>
        <w:tab/>
        <w:t xml:space="preserve">Informacije u obrascu CR SA zahtijevaju se za ukupne kategorije izloženosti i pojedinačno za svaku od kategorija izloženosti u skladu sa standardiziranim pristupom. Ukupne vrijednosti te informacije o svakoj kategoriji izloženosti iskazuju se u posebnoj dimenziji. </w:t>
      </w:r>
    </w:p>
    <w:p w14:paraId="1F160EE7" w14:textId="77777777" w:rsidR="00464F34" w:rsidRPr="00A30C4C" w:rsidRDefault="00125707" w:rsidP="00C37B29">
      <w:pPr>
        <w:pStyle w:val="InstructionsText2"/>
        <w:numPr>
          <w:ilvl w:val="0"/>
          <w:numId w:val="0"/>
        </w:numPr>
        <w:ind w:left="993"/>
      </w:pPr>
      <w:r>
        <w:t>50.</w:t>
      </w:r>
      <w:r>
        <w:tab/>
        <w:t>Međutim, sljedeće pozicije nisu u opsegu obrasca CR SA:</w:t>
      </w:r>
    </w:p>
    <w:p w14:paraId="2C467C4D" w14:textId="78BDAC3F" w:rsidR="00464F34" w:rsidRPr="00A30C4C" w:rsidRDefault="00125707" w:rsidP="00C37B29">
      <w:pPr>
        <w:pStyle w:val="InstructionsText2"/>
        <w:numPr>
          <w:ilvl w:val="0"/>
          <w:numId w:val="0"/>
        </w:numPr>
        <w:ind w:left="993"/>
      </w:pPr>
      <w:r>
        <w:t>(a)</w:t>
      </w:r>
      <w:r>
        <w:tab/>
        <w:t xml:space="preserve">izloženosti raspoređene u kategoriju izloženosti „stavke koje čine </w:t>
      </w:r>
      <w:proofErr w:type="spellStart"/>
      <w:r>
        <w:t>sekuritizacijske</w:t>
      </w:r>
      <w:proofErr w:type="spellEnd"/>
      <w:r>
        <w:t xml:space="preserve"> pozicije” iz članka 112. točke (m) CRR-a koje se iskazuju u obrascima CR SEC.</w:t>
      </w:r>
    </w:p>
    <w:p w14:paraId="271B5B48" w14:textId="77777777" w:rsidR="00464F34" w:rsidRPr="00A30C4C" w:rsidRDefault="00125707" w:rsidP="00C37B29">
      <w:pPr>
        <w:pStyle w:val="InstructionsText2"/>
        <w:numPr>
          <w:ilvl w:val="0"/>
          <w:numId w:val="0"/>
        </w:numPr>
        <w:ind w:left="993"/>
      </w:pPr>
      <w:r>
        <w:t>(b)</w:t>
      </w:r>
      <w:r>
        <w:tab/>
        <w:t xml:space="preserve">izloženosti koje predstavljaju </w:t>
      </w:r>
      <w:proofErr w:type="spellStart"/>
      <w:r>
        <w:t>odbitnu</w:t>
      </w:r>
      <w:proofErr w:type="spellEnd"/>
      <w:r>
        <w:t xml:space="preserve"> stavku od regulatornog kapitala.</w:t>
      </w:r>
    </w:p>
    <w:p w14:paraId="5F89B3AB" w14:textId="1F85E260" w:rsidR="00464F34" w:rsidRPr="00A30C4C" w:rsidRDefault="00125707" w:rsidP="00C37B29">
      <w:pPr>
        <w:pStyle w:val="InstructionsText2"/>
        <w:numPr>
          <w:ilvl w:val="0"/>
          <w:numId w:val="0"/>
        </w:numPr>
        <w:ind w:left="993"/>
      </w:pPr>
      <w:r>
        <w:t>51.</w:t>
      </w:r>
      <w:r>
        <w:tab/>
        <w:t>Opsegom obrasca CR SA obuhvaćeni su sljedeći kapitalni zahtjevi:</w:t>
      </w:r>
    </w:p>
    <w:p w14:paraId="40BE9125" w14:textId="3B590834" w:rsidR="00464F34" w:rsidRPr="00A30C4C" w:rsidRDefault="00125707" w:rsidP="00C37B29">
      <w:pPr>
        <w:pStyle w:val="InstructionsText2"/>
        <w:numPr>
          <w:ilvl w:val="0"/>
          <w:numId w:val="0"/>
        </w:numPr>
        <w:ind w:left="993"/>
      </w:pPr>
      <w:r>
        <w:t>(a)</w:t>
      </w:r>
      <w:r>
        <w:tab/>
        <w:t>kreditni rizik u skladu s dijelom trećim glavom II. poglavljem 2. (standardizirani pristup) CRR-a u knjizi pozicija kojima se ne trguje, među kojim kreditni rizik druge ugovorne strane u skladu s dijelom trećim glavom II. poglavljem 6. (Kreditni rizik druge ugovorne strane) CRR-a u knjizi pozicija kojima se ne trguje;</w:t>
      </w:r>
    </w:p>
    <w:p w14:paraId="69D3131A" w14:textId="619C9173" w:rsidR="00464F34" w:rsidRPr="00A30C4C" w:rsidRDefault="00125707" w:rsidP="00C37B29">
      <w:pPr>
        <w:pStyle w:val="InstructionsText2"/>
        <w:numPr>
          <w:ilvl w:val="0"/>
          <w:numId w:val="0"/>
        </w:numPr>
        <w:ind w:left="993"/>
      </w:pPr>
      <w:r>
        <w:t>(b)</w:t>
      </w:r>
      <w:r>
        <w:tab/>
        <w:t>kreditni rizik druge ugovorne strane u skladu s dijelom trećim glavom II. poglavljem 6 (Kreditni rizik druge ugovorne strane) CRR-a u knjizi trgovanja;</w:t>
      </w:r>
    </w:p>
    <w:p w14:paraId="6190C467" w14:textId="4E84CB75" w:rsidR="00464F34" w:rsidRPr="00A30C4C" w:rsidRDefault="00125707" w:rsidP="00C37B29">
      <w:pPr>
        <w:pStyle w:val="InstructionsText2"/>
        <w:numPr>
          <w:ilvl w:val="0"/>
          <w:numId w:val="0"/>
        </w:numPr>
        <w:ind w:left="993"/>
      </w:pPr>
      <w:r>
        <w:t>(c)</w:t>
      </w:r>
      <w:r>
        <w:tab/>
        <w:t>rizik namire koji proizlazi iz slobodnih isporuka u skladu s člankom 379. CRR-a u pogledu svih poslovnih aktivnosti.</w:t>
      </w:r>
    </w:p>
    <w:p w14:paraId="09CB9C35" w14:textId="353E409C" w:rsidR="00464F34" w:rsidRPr="00A30C4C" w:rsidRDefault="00125707" w:rsidP="00C37B29">
      <w:pPr>
        <w:pStyle w:val="InstructionsText2"/>
        <w:numPr>
          <w:ilvl w:val="0"/>
          <w:numId w:val="0"/>
        </w:numPr>
        <w:ind w:left="993"/>
      </w:pPr>
      <w:r>
        <w:t>52.</w:t>
      </w:r>
      <w:r>
        <w:tab/>
        <w:t xml:space="preserve">Obrascem su obuhvaćene sve izloženosti za koje se kapitalni zahtjevi izračunavaju u skladu s dijelom trećim glavom II. poglavljem 2. CRR-a u vezi s dijelom trećim glavom II. poglavljima 4. i 6. CRR-a. Institucije koje primjenjuju članak 94. stavak 1. CRR-a u ovom obrascu trebaju iskazivati i svoje pozicije u knjizi trgovanja ako primjenjuju dio treći glavu II. poglavlje 2. CRR-a za izračun svojih kapitalnih zahtjeva (dio treći glava II., poglavlja 2. i 6. i dio treći glava V. CRR-a). Stoga se u </w:t>
      </w:r>
      <w:r>
        <w:lastRenderedPageBreak/>
        <w:t>obrascu ne pružaju samo detaljne informacije o vrsti izloženosti (npr. o bilančnim/</w:t>
      </w:r>
      <w:proofErr w:type="spellStart"/>
      <w:r>
        <w:t>izvanbilančnim</w:t>
      </w:r>
      <w:proofErr w:type="spellEnd"/>
      <w:r>
        <w:t xml:space="preserve"> stavkama), nego i informacije o raspoređivanju pondera rizika u okviru odgovarajuće kategorije izloženosti.</w:t>
      </w:r>
    </w:p>
    <w:p w14:paraId="6334493C" w14:textId="30416E60" w:rsidR="00464F34" w:rsidRPr="00A30C4C" w:rsidRDefault="00125707" w:rsidP="00C37B29">
      <w:pPr>
        <w:pStyle w:val="InstructionsText2"/>
        <w:numPr>
          <w:ilvl w:val="0"/>
          <w:numId w:val="0"/>
        </w:numPr>
        <w:ind w:left="993"/>
      </w:pPr>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t>53.</w:t>
      </w:r>
      <w:r>
        <w:tab/>
        <w:t xml:space="preserve">Osim toga, obrazac CR SA uključuje bilješke u redcima od 290 do 320 za prikupljanje dodatnih informacija o izloženostima osiguranima nekretninama i sa statusom neispunjavanja obveza. </w:t>
      </w:r>
    </w:p>
    <w:p w14:paraId="67EA7489" w14:textId="59341A36" w:rsidR="00464F34" w:rsidRPr="00A30C4C" w:rsidRDefault="00125707" w:rsidP="00C37B29">
      <w:pPr>
        <w:pStyle w:val="InstructionsText2"/>
        <w:numPr>
          <w:ilvl w:val="0"/>
          <w:numId w:val="0"/>
        </w:numPr>
        <w:ind w:left="993"/>
      </w:pPr>
      <w:r>
        <w:t>54.</w:t>
      </w:r>
      <w:r>
        <w:tab/>
        <w:t xml:space="preserve">Te se bilješke iskazuju samo za sljedeće kategorije izloženosti: </w:t>
      </w:r>
    </w:p>
    <w:p w14:paraId="2885A1A2" w14:textId="76D9374F" w:rsidR="00464F34" w:rsidRPr="00A30C4C" w:rsidRDefault="00125707" w:rsidP="00C37B29">
      <w:pPr>
        <w:pStyle w:val="InstructionsText2"/>
        <w:numPr>
          <w:ilvl w:val="0"/>
          <w:numId w:val="0"/>
        </w:numPr>
        <w:ind w:left="993"/>
      </w:pPr>
      <w:r>
        <w:t>(a)</w:t>
      </w:r>
      <w:r>
        <w:tab/>
        <w:t>izloženosti prema središnjim državama ili središnjim bankama (članak 112. točka (a) CRR-a)</w:t>
      </w:r>
    </w:p>
    <w:p w14:paraId="299692FA" w14:textId="57463D83" w:rsidR="00464F34" w:rsidRPr="00A30C4C" w:rsidRDefault="00125707" w:rsidP="00C37B29">
      <w:pPr>
        <w:pStyle w:val="InstructionsText2"/>
        <w:numPr>
          <w:ilvl w:val="0"/>
          <w:numId w:val="0"/>
        </w:numPr>
        <w:ind w:left="993"/>
      </w:pPr>
      <w:r>
        <w:t>(b)</w:t>
      </w:r>
      <w:r>
        <w:tab/>
        <w:t>izloženosti prema područnoj (regionalnoj) ili lokalnoj samoupravi (članak 112. točka (b) CRR-a)</w:t>
      </w:r>
    </w:p>
    <w:p w14:paraId="10915378" w14:textId="2EF8A380" w:rsidR="00464F34" w:rsidRPr="00A30C4C" w:rsidRDefault="00125707" w:rsidP="00C37B29">
      <w:pPr>
        <w:pStyle w:val="InstructionsText2"/>
        <w:numPr>
          <w:ilvl w:val="0"/>
          <w:numId w:val="0"/>
        </w:numPr>
        <w:ind w:left="993"/>
      </w:pPr>
      <w:r>
        <w:t>(c)</w:t>
      </w:r>
      <w:r>
        <w:tab/>
        <w:t>izloženosti prema subjektima javnog sektora (članak 112. točka (c) CRR-a)</w:t>
      </w:r>
    </w:p>
    <w:p w14:paraId="323BE37C" w14:textId="453F60FE" w:rsidR="00464F34" w:rsidRPr="00A30C4C" w:rsidRDefault="00125707" w:rsidP="00C37B29">
      <w:pPr>
        <w:pStyle w:val="InstructionsText2"/>
        <w:numPr>
          <w:ilvl w:val="0"/>
          <w:numId w:val="0"/>
        </w:numPr>
        <w:ind w:left="993"/>
      </w:pPr>
      <w:r>
        <w:t>(d)</w:t>
      </w:r>
      <w:r>
        <w:tab/>
        <w:t>izloženosti prema institucijama (članak 112. točka (f) CRR-a)</w:t>
      </w:r>
    </w:p>
    <w:p w14:paraId="3E92CB10" w14:textId="5555DC0A" w:rsidR="00464F34" w:rsidRPr="00A30C4C" w:rsidRDefault="00125707" w:rsidP="00C37B29">
      <w:pPr>
        <w:pStyle w:val="InstructionsText2"/>
        <w:numPr>
          <w:ilvl w:val="0"/>
          <w:numId w:val="0"/>
        </w:numPr>
        <w:ind w:left="993"/>
      </w:pPr>
      <w:r>
        <w:t>(e)</w:t>
      </w:r>
      <w:r>
        <w:tab/>
        <w:t>izloženosti prema trgovačkim društvima (članak 112. točka (g) CRR-a)</w:t>
      </w:r>
    </w:p>
    <w:p w14:paraId="2084F570" w14:textId="1B99FF84" w:rsidR="00464F34" w:rsidRPr="00A30C4C" w:rsidRDefault="00125707" w:rsidP="00C37B29">
      <w:pPr>
        <w:pStyle w:val="InstructionsText2"/>
        <w:numPr>
          <w:ilvl w:val="0"/>
          <w:numId w:val="0"/>
        </w:numPr>
        <w:ind w:left="993"/>
      </w:pPr>
      <w:r>
        <w:t>(f)</w:t>
      </w:r>
      <w:r>
        <w:tab/>
        <w:t>izloženosti prema stanovništvu (članak 112. točka (h) CRR-a).</w:t>
      </w:r>
    </w:p>
    <w:p w14:paraId="27C88E40" w14:textId="3FF304DE" w:rsidR="00464F34" w:rsidRPr="00A30C4C" w:rsidRDefault="00125707" w:rsidP="00C37B29">
      <w:pPr>
        <w:pStyle w:val="InstructionsText2"/>
        <w:numPr>
          <w:ilvl w:val="0"/>
          <w:numId w:val="0"/>
        </w:numPr>
        <w:ind w:left="993"/>
      </w:pPr>
      <w:r>
        <w:t>55.</w:t>
      </w:r>
      <w:r>
        <w:tab/>
        <w:t xml:space="preserve">Izvješćivanje o bilješkama ne utječe ni na izračun iznosa izloženosti ponderiranih rizikom kategorija izloženosti iz članka 112. točaka od (a) do (c) i od (f) do (h) CRR-a ni na kategorije izloženosti iz članka 112. točaka (i) i (j) CRR-a iskazane u obrascu CR SA. </w:t>
      </w:r>
    </w:p>
    <w:p w14:paraId="5405E871" w14:textId="564E5802" w:rsidR="00464F34" w:rsidRPr="00A30C4C" w:rsidRDefault="00125707" w:rsidP="00C37B29">
      <w:pPr>
        <w:pStyle w:val="InstructionsText2"/>
        <w:numPr>
          <w:ilvl w:val="0"/>
          <w:numId w:val="0"/>
        </w:numPr>
        <w:ind w:left="993"/>
      </w:pPr>
      <w:r>
        <w:t>56.</w:t>
      </w:r>
      <w:r>
        <w:tab/>
        <w:t>U bilješkama se daju dodatne informacije o strukturi dužnika za kategorije izloženosti „sa statusom neispunjavanja obveza” ili „osigurane nekretninama”. Izloženosti se u tim redcima iskazuju kada bi se dužnici morali iskazati u kategorijama izloženosti „prema središnjim državama ili središnjim bankama”, „prema područnoj (regionalnoj) ili lokalnoj samoupravi”, „prema subjektima javnog sektora”, „prema institucijama”, „prema trgovačkim društvima” i „prema stanovništvu” obrasca CR SA da te izloženosti nisu raspoređene u kategorije izloženosti „sa statusom neispunjavanja obveza” ili „osigurane nekretninama”. Međutim vrijednosti koje se iskazuju jednake su onima koje se koriste za izračun iznosa izloženosti ponderiranih rizikom u kategorijama izloženosti „sa statusom neispunjavanja obveza” ili „osigurane nekretninama”.</w:t>
      </w:r>
    </w:p>
    <w:p w14:paraId="01B323ED" w14:textId="38714DC4" w:rsidR="00464F34" w:rsidRPr="00A30C4C" w:rsidRDefault="00125707" w:rsidP="00C37B29">
      <w:pPr>
        <w:pStyle w:val="InstructionsText2"/>
        <w:numPr>
          <w:ilvl w:val="0"/>
          <w:numId w:val="0"/>
        </w:numPr>
        <w:ind w:left="993"/>
      </w:pPr>
      <w:r>
        <w:t>57.</w:t>
      </w:r>
      <w:r>
        <w:tab/>
        <w:t>Na primjer, ako izloženost, čiji se iznosi izloženosti riziku izračunavaju u skladu s člankom 127. CRR-a, a vrijednosna usklađenja manja su od 20 %, tada se ta informacija iskazuje u retku 320 obrasca CR SA ukupno i u kategoriji izloženosti „sa statusom neispunjavanja obveza”. Ako je ta izloženost, prije nego što je dobila status neispunjavanja obveza, bila izloženost prema instituciji, tada se ta informacija iskazuje i u retku 320 kategorije izloženosti „prema institucijama”.</w:t>
      </w:r>
    </w:p>
    <w:p w14:paraId="5075EBA7"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30677656"/>
      <w:r>
        <w:rPr>
          <w:rFonts w:ascii="Times New Roman" w:hAnsi="Times New Roman"/>
          <w:sz w:val="24"/>
          <w:u w:val="none"/>
        </w:rPr>
        <w:lastRenderedPageBreak/>
        <w:t>3.2.3.</w:t>
      </w:r>
      <w:r>
        <w:rPr>
          <w:rFonts w:ascii="Times New Roman" w:hAnsi="Times New Roman"/>
          <w:sz w:val="24"/>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Raspoređivanje izloženosti u kategorije izloženosti u skladu sa standardiziranim pristupom</w:t>
      </w:r>
      <w:bookmarkEnd w:id="183"/>
      <w:bookmarkEnd w:id="184"/>
      <w:bookmarkEnd w:id="185"/>
      <w:bookmarkEnd w:id="186"/>
      <w:bookmarkEnd w:id="188"/>
      <w:bookmarkEnd w:id="189"/>
      <w:bookmarkEnd w:id="190"/>
      <w:bookmarkEnd w:id="187"/>
    </w:p>
    <w:p w14:paraId="56DE341F" w14:textId="24064B92" w:rsidR="00464F34" w:rsidRPr="00A30C4C" w:rsidRDefault="00125707" w:rsidP="00C37B29">
      <w:pPr>
        <w:pStyle w:val="InstructionsText2"/>
        <w:numPr>
          <w:ilvl w:val="0"/>
          <w:numId w:val="0"/>
        </w:numPr>
        <w:ind w:left="993"/>
      </w:pPr>
      <w:r>
        <w:t>58.</w:t>
      </w:r>
      <w:r>
        <w:tab/>
        <w:t xml:space="preserve">Kako bi se osigurala dosljedna kategorizacija izloženosti u različite kategorije izloženosti iz članka 112. CRR-a, primjenjuje se sljedeći redoslijed: </w:t>
      </w:r>
    </w:p>
    <w:p w14:paraId="25825A90" w14:textId="670F637A" w:rsidR="00464F34" w:rsidRPr="00A30C4C" w:rsidRDefault="00125707" w:rsidP="00C37B29">
      <w:pPr>
        <w:pStyle w:val="InstructionsText2"/>
        <w:numPr>
          <w:ilvl w:val="0"/>
          <w:numId w:val="0"/>
        </w:numPr>
        <w:ind w:left="993"/>
      </w:pPr>
      <w:r>
        <w:t>(a)</w:t>
      </w:r>
      <w:r>
        <w:tab/>
        <w:t>U prvoj se fazi originalne izloženosti prije konverzijskih faktora raspoređuju u odgovarajuću kategoriju (originalne) izloženosti iz članka 112. CRR-a, ne dovodeći u pitanje posebni tretman (ponder rizika) koji svaka posebna izloženost dobiva u okviru dodijeljene kategorije izloženosti.</w:t>
      </w:r>
    </w:p>
    <w:p w14:paraId="14D8FCDD" w14:textId="77777777" w:rsidR="00464F34" w:rsidRPr="00A30C4C" w:rsidRDefault="00125707" w:rsidP="00C37B29">
      <w:pPr>
        <w:pStyle w:val="InstructionsText2"/>
        <w:numPr>
          <w:ilvl w:val="0"/>
          <w:numId w:val="0"/>
        </w:numPr>
        <w:ind w:left="993"/>
      </w:pPr>
      <w:r>
        <w:t>(b)</w:t>
      </w:r>
      <w:r>
        <w:tab/>
        <w:t>U drugoj se fazi izloženosti mogu ponovno raspodijeliti u druge kategorije izloženosti zbog primjene tehnika smanjenja kreditnog rizika s učincima zamjene na izloženost (npr. jamstva, kreditne izvedenice, jednostavna metoda financijskog kolaterala) preko priljeva i odljeva.</w:t>
      </w:r>
    </w:p>
    <w:p w14:paraId="636966C0" w14:textId="5468243F" w:rsidR="00464F34" w:rsidRPr="00A30C4C" w:rsidRDefault="00125707" w:rsidP="00C37B29">
      <w:pPr>
        <w:pStyle w:val="InstructionsText2"/>
        <w:numPr>
          <w:ilvl w:val="0"/>
          <w:numId w:val="0"/>
        </w:numPr>
        <w:ind w:left="993"/>
      </w:pPr>
      <w:r>
        <w:t>59.</w:t>
      </w:r>
      <w:r>
        <w:tab/>
        <w:t>Sljedeći se kriteriji primjenjuju za razvrstavanje originalne izloženosti prije konverzijskih faktora u različite kategorije izloženosti (prva faza), ne dovodeći u pitanje naknadnu ponovnu raspodjelu do koje je došlo primjenom tehnika smanjenja kreditnog rizika s učincima zamjene na izloženost ili tretman (ponder rizika) koji svaka posebna izloženost prima u okviru dodijeljene kategorije izloženosti.</w:t>
      </w:r>
    </w:p>
    <w:p w14:paraId="5D97C3FE" w14:textId="52320A1D" w:rsidR="00464F34" w:rsidRPr="00A30C4C" w:rsidRDefault="00125707" w:rsidP="00C37B29">
      <w:pPr>
        <w:pStyle w:val="InstructionsText2"/>
        <w:numPr>
          <w:ilvl w:val="0"/>
          <w:numId w:val="0"/>
        </w:numPr>
        <w:ind w:left="993"/>
      </w:pPr>
      <w:r>
        <w:t>60.</w:t>
      </w:r>
      <w:r>
        <w:tab/>
        <w:t>Za potrebe raspoređivanja originalne izloženosti prije konverzijskog faktora u prvoj fazi, tehnike smanjenja kreditnog rizika povezane s izloženosti ne uzimaju se u obzir (uz napomenu da se uzimaju u obzir isključivo u drugoj fazi), osim ako je zaštitni učinak sastavni dio definicije kategorije izloženosti kao što je to slučaju u kategoriji izloženosti iz članka 112. točke (i) CRR-a (izloženosti osigurane nekretninama).</w:t>
      </w:r>
    </w:p>
    <w:p w14:paraId="2246C4DC" w14:textId="012A7A4B" w:rsidR="00464F34" w:rsidRPr="00A30C4C" w:rsidRDefault="00125707" w:rsidP="00C37B29">
      <w:pPr>
        <w:pStyle w:val="InstructionsText2"/>
        <w:numPr>
          <w:ilvl w:val="0"/>
          <w:numId w:val="0"/>
        </w:numPr>
        <w:ind w:left="993"/>
      </w:pPr>
      <w:r>
        <w:t>61.</w:t>
      </w:r>
      <w:r>
        <w:tab/>
        <w:t>Člankom 112. CRR-a nisu predviđeni kriteriji za razdvajanje kategorija izloženosti. To može značiti da bi se jedna izloženost mogla razvrstati u različite kategorije izloženosti ako u kriterijima procjene za razvrstavanje nisu određeni prioriteti. To je najočitije između izloženosti prema institucijama i trgovačkim društvima s kratkoročnom kreditnom procjenom (članak 112. točka (n) CRR-a) te izloženosti prema institucijama (članak 112. točka (f) CRR-a)/izloženosti prema trgovačkim društvima (članak 112. točka (g) CRR-a). U tom je slučaju jasno da postoji implicitno određivanje prioriteta u CRR-u, jer se najprije procjenjuje može li se određena izloženost rasporediti u kratkoročne izloženosti prema institucijama i trgovačkim društvima, a tek poslije procjenjuje može li se rasporediti u izloženosti prema institucijama ili izloženosti prema trgovačkim društvima. U suprotnom je jasno da neka izloženost nikada ne bi bila raspoređena u kategoriju izloženosti iz članka 112. točke (n) CRR-a. Navedeni primjer jedan je od najočitijih primjera, ali nije jedini. Potrebno je napomenuti da se kriteriji korišteni za utvrđivanje kategorija izloženosti u skladu sa standardiziranim pristupom razlikuju (kategorizacija institucija, trajanje izloženosti, status dospjelih nenaplaćenih potraživanja itd.), što je temeljni razlog za nerazdvojeno grupiranje.</w:t>
      </w:r>
    </w:p>
    <w:p w14:paraId="0FFB00BE" w14:textId="16548A18" w:rsidR="00464F34" w:rsidRPr="00A30C4C" w:rsidRDefault="00125707" w:rsidP="00C37B29">
      <w:pPr>
        <w:pStyle w:val="InstructionsText2"/>
        <w:numPr>
          <w:ilvl w:val="0"/>
          <w:numId w:val="0"/>
        </w:numPr>
        <w:ind w:left="993"/>
      </w:pPr>
      <w:r>
        <w:t>62.</w:t>
      </w:r>
      <w:r>
        <w:tab/>
        <w:t>Za ravnomjerno i usporedivo izvješćivanje potrebno je odrediti kriterije procjene za određivanje prioriteta u cilju raspoređivanja originalne izloženosti prije konverzijskog faktora prema kategorijama izloženosti, ne dovodeći u pitanje posebni tret</w:t>
      </w:r>
      <w:r>
        <w:lastRenderedPageBreak/>
        <w:t>man (ponder rizika) koji svaka posebna izloženost dobiva u okviru dodijeljene kategorije izloženosti. Kriteriji za određivanje prioriteta navedeni u nastavku primjenom stabla odlučivanja temelje se na procjeni uvjeta koji su izričito navedeni u CRR-u za određivanja odgovara li izloženost određenoj kategoriji izloženosti i, ako je to slučaj, na svakoj odluci institucija koje izvješćuju ili nadzornog tijela o mogućnosti primjene određenih kategorija izloženosti. Stoga je ishod postupka raspoređivanja izloženosti za potrebe izvješćivanja u skladu s odredbama CRR-a. Time se instituciji ne zabranjuje primjena internih postupaka raspoređivanja koji isto mogu biti u skladu sa svim relevantnim odredbama CRR-a i njegovim tumačenjima koja su dala odgovarajuća tijela.</w:t>
      </w:r>
    </w:p>
    <w:p w14:paraId="2B58442E" w14:textId="288E713D" w:rsidR="00464F34" w:rsidRPr="00A30C4C" w:rsidRDefault="00125707" w:rsidP="00C37B29">
      <w:pPr>
        <w:pStyle w:val="InstructionsText2"/>
        <w:numPr>
          <w:ilvl w:val="0"/>
          <w:numId w:val="0"/>
        </w:numPr>
        <w:ind w:left="993"/>
      </w:pPr>
      <w:r>
        <w:t>63.</w:t>
      </w:r>
      <w:r>
        <w:tab/>
        <w:t>Nekoj kategoriji izloženosti daje se prioritet pred drugima pri rangiranju procjena u stablu odlučivanja (tj. najprije se procjenjuje može li se kategoriji izloženosti dodijeliti izloženost, ne dovodeći u pitanje ishod te procjene) ako joj se inače možda ne bi dodijelila nikakva izloženost. To bi bio slučaj kada je u nedostatku kriterija za određivanje prioriteta jedna kategorija izloženosti podgrupa drugih. Stoga bi se kriteriji koji su grafički navedeni u sljedećem stablu odlučivanja primjenjivali određenim redoslijedom.</w:t>
      </w:r>
    </w:p>
    <w:p w14:paraId="743C534D" w14:textId="7B9AEE86" w:rsidR="00464F34" w:rsidRPr="00A30C4C" w:rsidRDefault="00125707" w:rsidP="00C37B29">
      <w:pPr>
        <w:pStyle w:val="InstructionsText2"/>
        <w:numPr>
          <w:ilvl w:val="0"/>
          <w:numId w:val="0"/>
        </w:numPr>
        <w:ind w:left="993"/>
      </w:pPr>
      <w:r>
        <w:t>64.</w:t>
      </w:r>
      <w:r>
        <w:tab/>
        <w:t>Uzimajući u obzir prethodno navedeno, rangiranje procjena u stablu odlučivanja navedenom u nastavku odvija se sljedećim redoslijedom:</w:t>
      </w:r>
    </w:p>
    <w:p w14:paraId="4954B2D3" w14:textId="77777777" w:rsidR="00464F34" w:rsidRPr="00A30C4C" w:rsidRDefault="00464F34" w:rsidP="00167619">
      <w:pPr>
        <w:pStyle w:val="InstructionsText"/>
        <w:ind w:left="1416"/>
      </w:pPr>
      <w:r>
        <w:t xml:space="preserve">1. </w:t>
      </w:r>
      <w:proofErr w:type="spellStart"/>
      <w:r>
        <w:t>sekuritizacijske</w:t>
      </w:r>
      <w:proofErr w:type="spellEnd"/>
      <w:r>
        <w:t xml:space="preserve"> pozicije;</w:t>
      </w:r>
    </w:p>
    <w:p w14:paraId="515D1A40" w14:textId="77777777" w:rsidR="00464F34" w:rsidRPr="00A30C4C" w:rsidRDefault="00464F34" w:rsidP="00167619">
      <w:pPr>
        <w:pStyle w:val="InstructionsText"/>
        <w:ind w:left="1416"/>
      </w:pPr>
      <w:r>
        <w:t xml:space="preserve">2. visokorizične stavke; </w:t>
      </w:r>
    </w:p>
    <w:p w14:paraId="7BC4DBAB" w14:textId="77777777" w:rsidR="00464F34" w:rsidRPr="00A30C4C" w:rsidRDefault="00464F34" w:rsidP="00167619">
      <w:pPr>
        <w:pStyle w:val="InstructionsText"/>
        <w:ind w:left="1416"/>
      </w:pPr>
      <w:r>
        <w:t>3. izloženosti na osnovi vlasničkih ulaganja</w:t>
      </w:r>
    </w:p>
    <w:p w14:paraId="4A2C27D5" w14:textId="77777777" w:rsidR="00464F34" w:rsidRPr="00A30C4C" w:rsidRDefault="00464F34" w:rsidP="00167619">
      <w:pPr>
        <w:pStyle w:val="InstructionsText"/>
        <w:ind w:left="1416"/>
      </w:pPr>
      <w:r>
        <w:t>4. izloženosti sa statusom neispunjavanja obveza;</w:t>
      </w:r>
    </w:p>
    <w:p w14:paraId="1B00E1D6" w14:textId="77777777" w:rsidR="00464F34" w:rsidRPr="00A30C4C" w:rsidRDefault="00464F34" w:rsidP="00167619">
      <w:pPr>
        <w:pStyle w:val="InstructionsText"/>
        <w:ind w:left="1416"/>
      </w:pPr>
      <w:r>
        <w:t>5. izloženosti u obliku udjela ili dionica u subjektima za zajednička ulaganja („CIU”)/izloženosti u obliku pokrivenih obveznica (razdvojene kategorije izloženosti);</w:t>
      </w:r>
    </w:p>
    <w:p w14:paraId="0BE47EDA" w14:textId="77777777" w:rsidR="00464F34" w:rsidRPr="00A30C4C" w:rsidRDefault="00464F34" w:rsidP="00167619">
      <w:pPr>
        <w:pStyle w:val="InstructionsText"/>
        <w:ind w:left="1416"/>
      </w:pPr>
      <w:r>
        <w:t>6. izloženosti osigurane nekretninama;</w:t>
      </w:r>
    </w:p>
    <w:p w14:paraId="57E315D6" w14:textId="77777777" w:rsidR="00464F34" w:rsidRPr="00A30C4C" w:rsidRDefault="00464F34" w:rsidP="00167619">
      <w:pPr>
        <w:pStyle w:val="InstructionsText"/>
        <w:ind w:left="1416"/>
      </w:pPr>
      <w:r>
        <w:t>7. ostale stavke;</w:t>
      </w:r>
    </w:p>
    <w:p w14:paraId="3DC985C3" w14:textId="77777777" w:rsidR="00464F34" w:rsidRPr="00A30C4C" w:rsidRDefault="00464F34" w:rsidP="00167619">
      <w:pPr>
        <w:pStyle w:val="InstructionsText"/>
        <w:ind w:left="1416"/>
      </w:pPr>
      <w:r>
        <w:t>8. izloženosti prema institucijama i društvima s kratkoročnom kreditnom procjenom;</w:t>
      </w:r>
    </w:p>
    <w:p w14:paraId="771D6D91" w14:textId="77777777" w:rsidR="00464F34" w:rsidRPr="00A30C4C" w:rsidRDefault="00464F34" w:rsidP="00167619">
      <w:pPr>
        <w:pStyle w:val="InstructionsText"/>
        <w:ind w:left="1416"/>
      </w:pPr>
      <w:r>
        <w:t>9. sve ostale kategorije izloženosti (razdvojene kategorije izloženosti) koje uključuju izloženosti prema središnjim državama ili središnjim bankama; izloženosti prema jedinicama područne (regionalne) ili lokalne samouprave; izloženosti prema subjektima javnog sektora; izloženosti prema multilateralnim razvojnim bankama; izloženosti prema međunarodnim organizacijama; izloženosti prema institucijama; izloženosti prema trgovačkim društvima i stanovništvu.</w:t>
      </w:r>
    </w:p>
    <w:p w14:paraId="3F014AD0" w14:textId="51228443" w:rsidR="00464F34" w:rsidRPr="00A30C4C" w:rsidRDefault="00125707" w:rsidP="00C37B29">
      <w:pPr>
        <w:pStyle w:val="InstructionsText2"/>
        <w:numPr>
          <w:ilvl w:val="0"/>
          <w:numId w:val="0"/>
        </w:numPr>
        <w:ind w:left="993"/>
      </w:pPr>
      <w:r>
        <w:t>65.</w:t>
      </w:r>
      <w:r>
        <w:tab/>
        <w:t>U slučaju izloženosti u obliku udjela ili dionica u subjektima za zajednička ulaganja i ako se koristi pristup odnosnih izloženosti (članak 132. stavci 3., 4. i 5. CRR-a), pojedine odnosne izloženosti uzimaju se u obzir i razvrstavaju u odgovarajuće linije pondera rizika u skladu s njihovim tretmanom, ali se sve pojedine izloženosti razvrstavaju u kategoriju izloženosti u obliku udjela ili dionica u subjektima za zajednička ulaganja („CIU”).</w:t>
      </w:r>
    </w:p>
    <w:p w14:paraId="2F9FE036" w14:textId="22F742D8" w:rsidR="00464F34" w:rsidRPr="00A30C4C" w:rsidRDefault="00125707" w:rsidP="00C37B29">
      <w:pPr>
        <w:pStyle w:val="InstructionsText2"/>
        <w:numPr>
          <w:ilvl w:val="0"/>
          <w:numId w:val="0"/>
        </w:numPr>
        <w:ind w:left="993"/>
      </w:pPr>
      <w:r>
        <w:lastRenderedPageBreak/>
        <w:t>66.</w:t>
      </w:r>
      <w:r>
        <w:tab/>
        <w:t xml:space="preserve"> Kreditne izvedenice na osnovi „n-tog” nastanka statusa neispunjavanja obveza iz članka 134. stavka 6. CRR-a koje se procjenjuju izravno se razvrstavaju kao </w:t>
      </w:r>
      <w:proofErr w:type="spellStart"/>
      <w:r>
        <w:t>sekuritizacijske</w:t>
      </w:r>
      <w:proofErr w:type="spellEnd"/>
      <w:r>
        <w:t xml:space="preserve"> pozicije. Ako ih se ne procjenjuje, smatraju se kategorijom izloženosti „ostale stavke”. U potonjem slučaju nominalni iznos ugovora iskazuje se kao originalna izloženost prije konverzijskih faktora u stavci za „ostale pondere rizika” (korišteni ponder rizika ponder je rizika određen zbrojem navedenim u članku 134. stavku 6. CRR-a.) </w:t>
      </w:r>
    </w:p>
    <w:p w14:paraId="23693882" w14:textId="77777777" w:rsidR="00464F34" w:rsidRPr="00A30C4C" w:rsidRDefault="00125707" w:rsidP="00C37B29">
      <w:pPr>
        <w:pStyle w:val="InstructionsText2"/>
        <w:numPr>
          <w:ilvl w:val="0"/>
          <w:numId w:val="0"/>
        </w:numPr>
        <w:ind w:left="993"/>
      </w:pPr>
      <w:r>
        <w:t>67.</w:t>
      </w:r>
      <w:r>
        <w:tab/>
        <w:t>U drugom koraku, kao posljedica tehnika smanjenja kreditnog rizika s učincima zamjene, izloženosti se ponovno raspoređuju u kategoriju izloženosti pružatelja zaštite.</w:t>
      </w:r>
    </w:p>
    <w:p w14:paraId="16A9923E" w14:textId="690FD34A" w:rsidR="00464F34" w:rsidRPr="00A30C4C" w:rsidRDefault="00464F34" w:rsidP="00FD239F">
      <w:pPr>
        <w:pStyle w:val="InstructionsText"/>
      </w:pPr>
      <w:r>
        <w:br w:type="page"/>
      </w:r>
      <w:r>
        <w:lastRenderedPageBreak/>
        <w:t xml:space="preserve">STABLO ODLUČIVANJA O NAČINU RASPOREĐIVANJA ORIGINALNE IZLOŽENOSTI PRIJE KONVERZIJSKIH FAKTORA U KATEGORIJE IZLOŽENOSTI STANDARDIZIRANOG PRISTUPA U SKLADU S CRR-om </w:t>
      </w:r>
    </w:p>
    <w:p w14:paraId="025C2526" w14:textId="77777777" w:rsidR="00464F34" w:rsidRPr="00A30C4C"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A30C4C" w14:paraId="2A889189" w14:textId="77777777" w:rsidTr="00672D2A">
        <w:tc>
          <w:tcPr>
            <w:tcW w:w="3761" w:type="dxa"/>
            <w:shd w:val="clear" w:color="auto" w:fill="auto"/>
          </w:tcPr>
          <w:p w14:paraId="2409E75E" w14:textId="1F29BACB" w:rsidR="003A1B96" w:rsidRPr="00A30C4C" w:rsidRDefault="003A1B96" w:rsidP="007574C3">
            <w:pPr>
              <w:spacing w:before="0" w:after="0"/>
              <w:jc w:val="left"/>
              <w:rPr>
                <w:sz w:val="24"/>
              </w:rPr>
            </w:pPr>
            <w:r>
              <w:rPr>
                <w:rFonts w:ascii="Times New Roman" w:hAnsi="Times New Roman"/>
                <w:sz w:val="24"/>
              </w:rPr>
              <w:t>Originalna izloženost prije konverzijskih faktora</w:t>
            </w:r>
          </w:p>
        </w:tc>
        <w:tc>
          <w:tcPr>
            <w:tcW w:w="1417" w:type="dxa"/>
            <w:shd w:val="clear" w:color="auto" w:fill="auto"/>
          </w:tcPr>
          <w:p w14:paraId="2AFDBC59" w14:textId="77777777" w:rsidR="003A1B96" w:rsidRPr="00A30C4C" w:rsidRDefault="003A1B96" w:rsidP="00FD239F">
            <w:pPr>
              <w:pStyle w:val="InstructionsText"/>
            </w:pPr>
          </w:p>
        </w:tc>
        <w:tc>
          <w:tcPr>
            <w:tcW w:w="4077" w:type="dxa"/>
            <w:shd w:val="clear" w:color="auto" w:fill="auto"/>
          </w:tcPr>
          <w:p w14:paraId="632F597A" w14:textId="77777777" w:rsidR="003A1B96" w:rsidRPr="00A30C4C" w:rsidRDefault="003A1B96" w:rsidP="00FD239F">
            <w:pPr>
              <w:pStyle w:val="InstructionsText"/>
            </w:pPr>
          </w:p>
        </w:tc>
      </w:tr>
      <w:tr w:rsidR="00581FA5" w:rsidRPr="00A30C4C" w14:paraId="68AE611A" w14:textId="77777777" w:rsidTr="00672D2A">
        <w:tc>
          <w:tcPr>
            <w:tcW w:w="3761" w:type="dxa"/>
            <w:shd w:val="clear" w:color="auto" w:fill="auto"/>
          </w:tcPr>
          <w:p w14:paraId="5444040B" w14:textId="1EEFC05C" w:rsidR="00581FA5" w:rsidRPr="00A30C4C" w:rsidRDefault="00581FA5" w:rsidP="00CA21CA">
            <w:pPr>
              <w:pStyle w:val="InstructionsText"/>
            </w:pPr>
            <w:r>
              <w:t>Može li se rasporediti u kategoriju izloženosti iz članka 112. točke (m) CRR-a?</w:t>
            </w:r>
          </w:p>
        </w:tc>
        <w:tc>
          <w:tcPr>
            <w:tcW w:w="1417" w:type="dxa"/>
            <w:shd w:val="clear" w:color="auto" w:fill="auto"/>
          </w:tcPr>
          <w:p w14:paraId="505BFA94" w14:textId="77777777" w:rsidR="00BD52C3" w:rsidRPr="00A30C4C" w:rsidRDefault="00BD52C3" w:rsidP="00FD239F">
            <w:pPr>
              <w:pStyle w:val="InstructionsText"/>
            </w:pPr>
            <w:r>
              <w:t xml:space="preserve">DA </w:t>
            </w:r>
            <w:r>
              <w:rPr>
                <w:noProof/>
                <w:lang w:eastAsia="hr-HR"/>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A30C4C" w:rsidRDefault="00581FA5" w:rsidP="00FD239F">
            <w:pPr>
              <w:pStyle w:val="InstructionsText"/>
            </w:pPr>
          </w:p>
        </w:tc>
        <w:tc>
          <w:tcPr>
            <w:tcW w:w="4077" w:type="dxa"/>
            <w:shd w:val="clear" w:color="auto" w:fill="auto"/>
          </w:tcPr>
          <w:p w14:paraId="3077380F" w14:textId="77777777" w:rsidR="00581FA5" w:rsidRPr="00A30C4C" w:rsidRDefault="00581FA5" w:rsidP="00FD239F">
            <w:pPr>
              <w:pStyle w:val="InstructionsText"/>
            </w:pPr>
            <w:proofErr w:type="spellStart"/>
            <w:r>
              <w:t>Sekuritizacijske</w:t>
            </w:r>
            <w:proofErr w:type="spellEnd"/>
            <w:r>
              <w:t xml:space="preserve"> pozicije</w:t>
            </w:r>
          </w:p>
        </w:tc>
      </w:tr>
      <w:tr w:rsidR="005B3B7C" w:rsidRPr="00A30C4C" w14:paraId="1610BAB9" w14:textId="77777777" w:rsidTr="00672D2A">
        <w:tc>
          <w:tcPr>
            <w:tcW w:w="3761" w:type="dxa"/>
            <w:shd w:val="clear" w:color="auto" w:fill="auto"/>
          </w:tcPr>
          <w:p w14:paraId="04D0117E" w14:textId="77777777" w:rsidR="00581FA5" w:rsidRPr="00A30C4C" w:rsidRDefault="00581FA5" w:rsidP="00FD239F">
            <w:pPr>
              <w:pStyle w:val="InstructionsText"/>
            </w:pPr>
            <w:r>
              <w:t xml:space="preserve">NE </w:t>
            </w:r>
            <w:r>
              <w:rPr>
                <w:noProof/>
                <w:lang w:eastAsia="hr-HR"/>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A30C4C" w:rsidRDefault="005B3B7C" w:rsidP="00FD239F">
            <w:pPr>
              <w:pStyle w:val="InstructionsText"/>
            </w:pPr>
          </w:p>
        </w:tc>
        <w:tc>
          <w:tcPr>
            <w:tcW w:w="1417" w:type="dxa"/>
            <w:shd w:val="clear" w:color="auto" w:fill="auto"/>
          </w:tcPr>
          <w:p w14:paraId="39B19640" w14:textId="77777777" w:rsidR="005B3B7C" w:rsidRPr="00A30C4C" w:rsidRDefault="005B3B7C" w:rsidP="00FD239F">
            <w:pPr>
              <w:pStyle w:val="InstructionsText"/>
            </w:pPr>
          </w:p>
        </w:tc>
        <w:tc>
          <w:tcPr>
            <w:tcW w:w="4077" w:type="dxa"/>
            <w:shd w:val="clear" w:color="auto" w:fill="auto"/>
          </w:tcPr>
          <w:p w14:paraId="6CDDDA68" w14:textId="77777777" w:rsidR="005B3B7C" w:rsidRPr="00A30C4C" w:rsidRDefault="005B3B7C" w:rsidP="00FD239F">
            <w:pPr>
              <w:pStyle w:val="InstructionsText"/>
            </w:pPr>
          </w:p>
        </w:tc>
      </w:tr>
      <w:tr w:rsidR="003A1B96" w:rsidRPr="00A30C4C" w14:paraId="11996439" w14:textId="77777777" w:rsidTr="00672D2A">
        <w:tc>
          <w:tcPr>
            <w:tcW w:w="3761" w:type="dxa"/>
            <w:shd w:val="clear" w:color="auto" w:fill="auto"/>
          </w:tcPr>
          <w:p w14:paraId="1AD81743" w14:textId="6EB34F41" w:rsidR="003A1B96" w:rsidRPr="00A30C4C" w:rsidRDefault="003A1B96" w:rsidP="00CA21CA">
            <w:pPr>
              <w:pStyle w:val="InstructionsText"/>
            </w:pPr>
            <w:r>
              <w:t>Može li se rasporediti u kategoriju izloženosti iz članka 112. točke (k) CRR-a?</w:t>
            </w:r>
          </w:p>
        </w:tc>
        <w:tc>
          <w:tcPr>
            <w:tcW w:w="1417" w:type="dxa"/>
            <w:shd w:val="clear" w:color="auto" w:fill="auto"/>
          </w:tcPr>
          <w:p w14:paraId="6F0126D3" w14:textId="77777777" w:rsidR="00AC3054" w:rsidRPr="00A30C4C" w:rsidRDefault="00974E3F" w:rsidP="00FD239F">
            <w:pPr>
              <w:pStyle w:val="InstructionsText"/>
            </w:pPr>
            <w:r>
              <w:t xml:space="preserve">DA </w:t>
            </w:r>
            <w:r>
              <w:rPr>
                <w:noProof/>
                <w:lang w:eastAsia="hr-HR"/>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A30C4C" w:rsidRDefault="00BD52C3" w:rsidP="00FD239F">
            <w:pPr>
              <w:pStyle w:val="InstructionsText"/>
            </w:pPr>
          </w:p>
          <w:p w14:paraId="7361AF99" w14:textId="77777777" w:rsidR="003A1B96" w:rsidRPr="00A30C4C" w:rsidRDefault="003A1B96" w:rsidP="00FD239F">
            <w:pPr>
              <w:pStyle w:val="InstructionsText"/>
            </w:pPr>
          </w:p>
        </w:tc>
        <w:tc>
          <w:tcPr>
            <w:tcW w:w="4077" w:type="dxa"/>
            <w:shd w:val="clear" w:color="auto" w:fill="auto"/>
          </w:tcPr>
          <w:p w14:paraId="059A7579" w14:textId="6FF4558A" w:rsidR="003A1B96" w:rsidRPr="00A30C4C" w:rsidRDefault="003A1B96" w:rsidP="00CA21CA">
            <w:pPr>
              <w:pStyle w:val="InstructionsText"/>
            </w:pPr>
            <w:r>
              <w:t>Visokorizične stavke (vidjeti i članak 128. CRR-a)</w:t>
            </w:r>
          </w:p>
        </w:tc>
      </w:tr>
      <w:tr w:rsidR="003A1B96" w:rsidRPr="00A30C4C" w14:paraId="3BBC948D" w14:textId="77777777" w:rsidTr="00672D2A">
        <w:tc>
          <w:tcPr>
            <w:tcW w:w="3761" w:type="dxa"/>
            <w:shd w:val="clear" w:color="auto" w:fill="auto"/>
          </w:tcPr>
          <w:p w14:paraId="44A69A33" w14:textId="77777777" w:rsidR="007241D3" w:rsidRPr="00A30C4C" w:rsidRDefault="007241D3" w:rsidP="00FD239F">
            <w:pPr>
              <w:pStyle w:val="InstructionsText"/>
            </w:pPr>
            <w:r>
              <w:t xml:space="preserve">NE </w:t>
            </w:r>
            <w:r>
              <w:rPr>
                <w:noProof/>
                <w:lang w:eastAsia="hr-HR"/>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A30C4C" w:rsidRDefault="003A1B96" w:rsidP="00FD239F">
            <w:pPr>
              <w:pStyle w:val="InstructionsText"/>
            </w:pPr>
          </w:p>
        </w:tc>
        <w:tc>
          <w:tcPr>
            <w:tcW w:w="1417" w:type="dxa"/>
            <w:shd w:val="clear" w:color="auto" w:fill="auto"/>
          </w:tcPr>
          <w:p w14:paraId="4A094914" w14:textId="77777777" w:rsidR="003A1B96" w:rsidRPr="00A30C4C" w:rsidRDefault="003A1B96" w:rsidP="00FD239F">
            <w:pPr>
              <w:pStyle w:val="InstructionsText"/>
            </w:pPr>
          </w:p>
        </w:tc>
        <w:tc>
          <w:tcPr>
            <w:tcW w:w="4077" w:type="dxa"/>
            <w:shd w:val="clear" w:color="auto" w:fill="auto"/>
          </w:tcPr>
          <w:p w14:paraId="61455436" w14:textId="77777777" w:rsidR="003A1B96" w:rsidRPr="00A30C4C" w:rsidRDefault="003A1B96" w:rsidP="00FD239F">
            <w:pPr>
              <w:pStyle w:val="InstructionsText"/>
            </w:pPr>
          </w:p>
        </w:tc>
      </w:tr>
      <w:tr w:rsidR="003A1B96" w:rsidRPr="00A30C4C" w14:paraId="7963147E" w14:textId="77777777" w:rsidTr="00672D2A">
        <w:tc>
          <w:tcPr>
            <w:tcW w:w="3761" w:type="dxa"/>
            <w:shd w:val="clear" w:color="auto" w:fill="auto"/>
          </w:tcPr>
          <w:p w14:paraId="4C9BC581" w14:textId="0B8282C0" w:rsidR="003A1B96" w:rsidRPr="00A30C4C" w:rsidRDefault="003A1B96" w:rsidP="00CA21CA">
            <w:pPr>
              <w:pStyle w:val="InstructionsText"/>
            </w:pPr>
            <w:r>
              <w:t>Može li se rasporediti u kategoriju izloženosti iz članka 112. točke (p) CRR-a?</w:t>
            </w:r>
          </w:p>
        </w:tc>
        <w:tc>
          <w:tcPr>
            <w:tcW w:w="1417" w:type="dxa"/>
            <w:shd w:val="clear" w:color="auto" w:fill="auto"/>
          </w:tcPr>
          <w:p w14:paraId="0EF4CF5E" w14:textId="77777777" w:rsidR="00BD52C3" w:rsidRPr="00A30C4C" w:rsidRDefault="00BD52C3" w:rsidP="00FD239F">
            <w:pPr>
              <w:pStyle w:val="InstructionsText"/>
            </w:pPr>
            <w:r>
              <w:t xml:space="preserve">DA </w:t>
            </w:r>
            <w:r>
              <w:rPr>
                <w:noProof/>
                <w:lang w:eastAsia="hr-HR"/>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A30C4C" w:rsidRDefault="003A1B96" w:rsidP="00FD239F">
            <w:pPr>
              <w:pStyle w:val="InstructionsText"/>
            </w:pPr>
          </w:p>
        </w:tc>
        <w:tc>
          <w:tcPr>
            <w:tcW w:w="4077" w:type="dxa"/>
            <w:shd w:val="clear" w:color="auto" w:fill="auto"/>
          </w:tcPr>
          <w:p w14:paraId="584F6859" w14:textId="28DEBDB8" w:rsidR="003A1B96" w:rsidRPr="00A30C4C" w:rsidRDefault="003A1B96" w:rsidP="00CA21CA">
            <w:pPr>
              <w:pStyle w:val="InstructionsText"/>
            </w:pPr>
            <w:r>
              <w:t>Izloženosti na osnovi vlasničkih ulaganja (vidjeti i članak 133. CRR-a)</w:t>
            </w:r>
          </w:p>
        </w:tc>
      </w:tr>
      <w:tr w:rsidR="003A1B96" w:rsidRPr="00A30C4C" w14:paraId="2D22D061" w14:textId="77777777" w:rsidTr="00672D2A">
        <w:tc>
          <w:tcPr>
            <w:tcW w:w="3761" w:type="dxa"/>
            <w:shd w:val="clear" w:color="auto" w:fill="auto"/>
          </w:tcPr>
          <w:p w14:paraId="691610C5" w14:textId="77777777" w:rsidR="007241D3" w:rsidRPr="00A30C4C" w:rsidRDefault="007241D3" w:rsidP="00FD239F">
            <w:pPr>
              <w:pStyle w:val="InstructionsText"/>
            </w:pPr>
            <w:r>
              <w:t xml:space="preserve">NE </w:t>
            </w:r>
            <w:r>
              <w:rPr>
                <w:noProof/>
                <w:lang w:eastAsia="hr-HR"/>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A30C4C" w:rsidRDefault="003A1B96" w:rsidP="00FD239F">
            <w:pPr>
              <w:pStyle w:val="InstructionsText"/>
            </w:pPr>
          </w:p>
        </w:tc>
        <w:tc>
          <w:tcPr>
            <w:tcW w:w="1417" w:type="dxa"/>
            <w:shd w:val="clear" w:color="auto" w:fill="auto"/>
          </w:tcPr>
          <w:p w14:paraId="01F0E11C" w14:textId="77777777" w:rsidR="003A1B96" w:rsidRPr="00A30C4C" w:rsidRDefault="003A1B96" w:rsidP="00FD239F">
            <w:pPr>
              <w:pStyle w:val="InstructionsText"/>
            </w:pPr>
          </w:p>
        </w:tc>
        <w:tc>
          <w:tcPr>
            <w:tcW w:w="4077" w:type="dxa"/>
            <w:shd w:val="clear" w:color="auto" w:fill="auto"/>
          </w:tcPr>
          <w:p w14:paraId="10F8A01A" w14:textId="77777777" w:rsidR="003A1B96" w:rsidRPr="00A30C4C" w:rsidRDefault="003A1B96" w:rsidP="00FD239F">
            <w:pPr>
              <w:pStyle w:val="InstructionsText"/>
            </w:pPr>
          </w:p>
        </w:tc>
      </w:tr>
      <w:tr w:rsidR="00581FA5" w:rsidRPr="00A30C4C" w14:paraId="3AA08B7D" w14:textId="77777777" w:rsidTr="00672D2A">
        <w:tc>
          <w:tcPr>
            <w:tcW w:w="3761" w:type="dxa"/>
            <w:shd w:val="clear" w:color="auto" w:fill="auto"/>
          </w:tcPr>
          <w:p w14:paraId="2BA0D5EF" w14:textId="0420F7A4" w:rsidR="00581FA5" w:rsidRPr="00A30C4C" w:rsidRDefault="00581FA5" w:rsidP="00CA21CA">
            <w:pPr>
              <w:pStyle w:val="InstructionsText"/>
            </w:pPr>
            <w:r>
              <w:t>Može li se rasporediti u kategoriju izloženosti iz članka 112. točke (j) CRR-a?</w:t>
            </w:r>
          </w:p>
        </w:tc>
        <w:tc>
          <w:tcPr>
            <w:tcW w:w="1417" w:type="dxa"/>
            <w:shd w:val="clear" w:color="auto" w:fill="auto"/>
          </w:tcPr>
          <w:p w14:paraId="543BEA3F" w14:textId="77777777" w:rsidR="00BD52C3" w:rsidRPr="00A30C4C" w:rsidRDefault="00BD52C3" w:rsidP="00FD239F">
            <w:pPr>
              <w:pStyle w:val="InstructionsText"/>
            </w:pPr>
            <w:r>
              <w:t xml:space="preserve">DA </w:t>
            </w:r>
            <w:r>
              <w:rPr>
                <w:noProof/>
                <w:lang w:eastAsia="hr-HR"/>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A30C4C" w:rsidRDefault="00581FA5" w:rsidP="00FD239F">
            <w:pPr>
              <w:pStyle w:val="InstructionsText"/>
            </w:pPr>
          </w:p>
        </w:tc>
        <w:tc>
          <w:tcPr>
            <w:tcW w:w="4077" w:type="dxa"/>
            <w:shd w:val="clear" w:color="auto" w:fill="auto"/>
          </w:tcPr>
          <w:p w14:paraId="34BFBC1E" w14:textId="77777777" w:rsidR="00581FA5" w:rsidRPr="00A30C4C" w:rsidRDefault="00581FA5" w:rsidP="00FD239F">
            <w:pPr>
              <w:pStyle w:val="InstructionsText"/>
            </w:pPr>
            <w:r>
              <w:t>Izloženosti sa statusom neispunjavanja obveza</w:t>
            </w:r>
          </w:p>
        </w:tc>
      </w:tr>
      <w:tr w:rsidR="00581FA5" w:rsidRPr="00A30C4C" w14:paraId="43E73082" w14:textId="77777777" w:rsidTr="00672D2A">
        <w:tc>
          <w:tcPr>
            <w:tcW w:w="3761" w:type="dxa"/>
            <w:shd w:val="clear" w:color="auto" w:fill="auto"/>
          </w:tcPr>
          <w:p w14:paraId="3C1403EA" w14:textId="77777777" w:rsidR="007241D3" w:rsidRPr="00A30C4C" w:rsidRDefault="007241D3" w:rsidP="00FD239F">
            <w:pPr>
              <w:pStyle w:val="InstructionsText"/>
            </w:pPr>
            <w:r>
              <w:t xml:space="preserve">NE </w:t>
            </w:r>
            <w:r>
              <w:rPr>
                <w:noProof/>
                <w:lang w:eastAsia="hr-HR"/>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A30C4C" w:rsidRDefault="00581FA5" w:rsidP="00FD239F">
            <w:pPr>
              <w:pStyle w:val="InstructionsText"/>
            </w:pPr>
          </w:p>
        </w:tc>
        <w:tc>
          <w:tcPr>
            <w:tcW w:w="1417" w:type="dxa"/>
            <w:shd w:val="clear" w:color="auto" w:fill="auto"/>
          </w:tcPr>
          <w:p w14:paraId="485586F6" w14:textId="77777777" w:rsidR="00581FA5" w:rsidRPr="00A30C4C" w:rsidRDefault="00581FA5" w:rsidP="00FD239F">
            <w:pPr>
              <w:pStyle w:val="InstructionsText"/>
            </w:pPr>
          </w:p>
        </w:tc>
        <w:tc>
          <w:tcPr>
            <w:tcW w:w="4077" w:type="dxa"/>
            <w:shd w:val="clear" w:color="auto" w:fill="auto"/>
          </w:tcPr>
          <w:p w14:paraId="142754A6" w14:textId="77777777" w:rsidR="00581FA5" w:rsidRPr="00A30C4C" w:rsidRDefault="00581FA5" w:rsidP="00FD239F">
            <w:pPr>
              <w:pStyle w:val="InstructionsText"/>
            </w:pPr>
          </w:p>
        </w:tc>
      </w:tr>
      <w:tr w:rsidR="00581FA5" w:rsidRPr="00A30C4C" w14:paraId="58B72B53" w14:textId="77777777" w:rsidTr="00672D2A">
        <w:tc>
          <w:tcPr>
            <w:tcW w:w="3761" w:type="dxa"/>
            <w:shd w:val="clear" w:color="auto" w:fill="auto"/>
          </w:tcPr>
          <w:p w14:paraId="173CBAA7" w14:textId="7FC9001A" w:rsidR="00581FA5" w:rsidRPr="00A30C4C" w:rsidRDefault="00581FA5" w:rsidP="00CA21CA">
            <w:pPr>
              <w:pStyle w:val="InstructionsText"/>
            </w:pPr>
            <w:r>
              <w:t>Može li se rasporediti u kategorije izloženosti iz članka 112. točaka (l) i (o) CRR-a?</w:t>
            </w:r>
          </w:p>
        </w:tc>
        <w:tc>
          <w:tcPr>
            <w:tcW w:w="1417" w:type="dxa"/>
            <w:shd w:val="clear" w:color="auto" w:fill="auto"/>
          </w:tcPr>
          <w:p w14:paraId="0FD160D4" w14:textId="77777777" w:rsidR="00BD52C3" w:rsidRPr="00A30C4C" w:rsidRDefault="00BD52C3" w:rsidP="00FD239F">
            <w:pPr>
              <w:pStyle w:val="InstructionsText"/>
            </w:pPr>
            <w:r>
              <w:t xml:space="preserve">DA </w:t>
            </w:r>
            <w:r>
              <w:rPr>
                <w:noProof/>
                <w:lang w:eastAsia="hr-HR"/>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A30C4C" w:rsidRDefault="00581FA5" w:rsidP="00FD239F">
            <w:pPr>
              <w:pStyle w:val="InstructionsText"/>
            </w:pPr>
          </w:p>
        </w:tc>
        <w:tc>
          <w:tcPr>
            <w:tcW w:w="4077" w:type="dxa"/>
            <w:shd w:val="clear" w:color="auto" w:fill="auto"/>
          </w:tcPr>
          <w:p w14:paraId="32E5D0C0" w14:textId="77777777" w:rsidR="00581FA5" w:rsidRPr="00A30C4C" w:rsidRDefault="00581FA5" w:rsidP="00FD239F">
            <w:pPr>
              <w:pStyle w:val="InstructionsText"/>
            </w:pPr>
            <w:r>
              <w:t>Izloženosti u obliku udjela ili dionica u subjektima za zajednička ulaganja (CIU)</w:t>
            </w:r>
          </w:p>
          <w:p w14:paraId="3586185D" w14:textId="5D15E81E" w:rsidR="00581FA5" w:rsidRPr="00A30C4C" w:rsidRDefault="00581FA5" w:rsidP="00FD239F">
            <w:pPr>
              <w:pStyle w:val="InstructionsText"/>
            </w:pPr>
            <w:r>
              <w:t>Izloženosti u obliku pokrivenih obveznica (vidjeti i članak 129. CRR-a)</w:t>
            </w:r>
          </w:p>
          <w:p w14:paraId="74616D9E" w14:textId="77777777" w:rsidR="00581FA5" w:rsidRPr="00A30C4C" w:rsidRDefault="00581FA5" w:rsidP="00FD239F">
            <w:pPr>
              <w:pStyle w:val="InstructionsText"/>
            </w:pPr>
            <w:r>
              <w:t xml:space="preserve">Te su dvije kategorije izloženosti međusobno razdvojene (vidjeti napomene </w:t>
            </w:r>
            <w:r>
              <w:lastRenderedPageBreak/>
              <w:t>o pristupu odnosnih izloženosti u prethodnom odgovoru). Stoga je raspoređivanje u jednu od tih kategorija izravno.</w:t>
            </w:r>
          </w:p>
        </w:tc>
      </w:tr>
      <w:tr w:rsidR="00581FA5" w:rsidRPr="00A30C4C" w14:paraId="42C71F00" w14:textId="77777777" w:rsidTr="00672D2A">
        <w:tc>
          <w:tcPr>
            <w:tcW w:w="3761" w:type="dxa"/>
            <w:shd w:val="clear" w:color="auto" w:fill="auto"/>
          </w:tcPr>
          <w:p w14:paraId="060602C5" w14:textId="77777777" w:rsidR="007241D3" w:rsidRPr="00A30C4C" w:rsidRDefault="007241D3" w:rsidP="00FD239F">
            <w:pPr>
              <w:pStyle w:val="InstructionsText"/>
            </w:pPr>
            <w:r>
              <w:lastRenderedPageBreak/>
              <w:t xml:space="preserve">NE </w:t>
            </w:r>
            <w:r>
              <w:rPr>
                <w:noProof/>
                <w:lang w:eastAsia="hr-HR"/>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A30C4C" w:rsidRDefault="00581FA5" w:rsidP="00FD239F">
            <w:pPr>
              <w:pStyle w:val="InstructionsText"/>
            </w:pPr>
          </w:p>
        </w:tc>
        <w:tc>
          <w:tcPr>
            <w:tcW w:w="1417" w:type="dxa"/>
            <w:shd w:val="clear" w:color="auto" w:fill="auto"/>
          </w:tcPr>
          <w:p w14:paraId="679C4CB1" w14:textId="77777777" w:rsidR="00581FA5" w:rsidRPr="00A30C4C" w:rsidRDefault="00581FA5" w:rsidP="00FD239F">
            <w:pPr>
              <w:pStyle w:val="InstructionsText"/>
            </w:pPr>
          </w:p>
        </w:tc>
        <w:tc>
          <w:tcPr>
            <w:tcW w:w="4077" w:type="dxa"/>
            <w:shd w:val="clear" w:color="auto" w:fill="auto"/>
          </w:tcPr>
          <w:p w14:paraId="7236FE4F" w14:textId="77777777" w:rsidR="00581FA5" w:rsidRPr="00A30C4C" w:rsidRDefault="00581FA5" w:rsidP="00FD239F">
            <w:pPr>
              <w:pStyle w:val="InstructionsText"/>
            </w:pPr>
          </w:p>
        </w:tc>
      </w:tr>
      <w:tr w:rsidR="00581FA5" w:rsidRPr="00A30C4C" w14:paraId="034A5765" w14:textId="77777777" w:rsidTr="00672D2A">
        <w:tc>
          <w:tcPr>
            <w:tcW w:w="3761" w:type="dxa"/>
            <w:shd w:val="clear" w:color="auto" w:fill="auto"/>
          </w:tcPr>
          <w:p w14:paraId="6BFD180B" w14:textId="2C76BEB6" w:rsidR="00581FA5" w:rsidRPr="00A30C4C" w:rsidRDefault="00581FA5" w:rsidP="00CA21CA">
            <w:pPr>
              <w:pStyle w:val="InstructionsText"/>
            </w:pPr>
            <w:r>
              <w:t>Može li se rasporediti u kategoriju izloženosti iz članka 112. točke (i) CRR-a?</w:t>
            </w:r>
          </w:p>
        </w:tc>
        <w:tc>
          <w:tcPr>
            <w:tcW w:w="1417" w:type="dxa"/>
            <w:shd w:val="clear" w:color="auto" w:fill="auto"/>
          </w:tcPr>
          <w:p w14:paraId="67903E0D" w14:textId="77777777" w:rsidR="00BD52C3" w:rsidRPr="00A30C4C" w:rsidRDefault="00BD52C3" w:rsidP="00FD239F">
            <w:pPr>
              <w:pStyle w:val="InstructionsText"/>
            </w:pPr>
            <w:r>
              <w:t xml:space="preserve">DA </w:t>
            </w:r>
            <w:r>
              <w:rPr>
                <w:noProof/>
                <w:lang w:eastAsia="hr-HR"/>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A30C4C" w:rsidRDefault="00581FA5" w:rsidP="00FD239F">
            <w:pPr>
              <w:pStyle w:val="InstructionsText"/>
            </w:pPr>
          </w:p>
        </w:tc>
        <w:tc>
          <w:tcPr>
            <w:tcW w:w="4077" w:type="dxa"/>
            <w:shd w:val="clear" w:color="auto" w:fill="auto"/>
          </w:tcPr>
          <w:p w14:paraId="36CD7691" w14:textId="627F109A" w:rsidR="00581FA5" w:rsidRPr="00A30C4C" w:rsidRDefault="00581FA5" w:rsidP="00CA21CA">
            <w:pPr>
              <w:pStyle w:val="InstructionsText"/>
            </w:pPr>
            <w:r>
              <w:t>Izloženosti osigurane nekretninama (vidjeti i članak 124. CRR-a)</w:t>
            </w:r>
          </w:p>
        </w:tc>
      </w:tr>
      <w:tr w:rsidR="00581FA5" w:rsidRPr="00A30C4C" w14:paraId="4CF22974" w14:textId="77777777" w:rsidTr="00672D2A">
        <w:tc>
          <w:tcPr>
            <w:tcW w:w="3761" w:type="dxa"/>
            <w:shd w:val="clear" w:color="auto" w:fill="auto"/>
          </w:tcPr>
          <w:p w14:paraId="56077271" w14:textId="77777777" w:rsidR="007241D3" w:rsidRPr="00A30C4C" w:rsidRDefault="007241D3" w:rsidP="00FD239F">
            <w:pPr>
              <w:pStyle w:val="InstructionsText"/>
            </w:pPr>
            <w:r>
              <w:t xml:space="preserve">NE </w:t>
            </w:r>
            <w:r>
              <w:rPr>
                <w:noProof/>
                <w:lang w:eastAsia="hr-HR"/>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A30C4C" w:rsidRDefault="00581FA5" w:rsidP="00FD239F">
            <w:pPr>
              <w:pStyle w:val="InstructionsText"/>
            </w:pPr>
          </w:p>
        </w:tc>
        <w:tc>
          <w:tcPr>
            <w:tcW w:w="1417" w:type="dxa"/>
            <w:shd w:val="clear" w:color="auto" w:fill="auto"/>
          </w:tcPr>
          <w:p w14:paraId="78FB45C7" w14:textId="77777777" w:rsidR="00581FA5" w:rsidRPr="00A30C4C" w:rsidRDefault="00581FA5" w:rsidP="00FD239F">
            <w:pPr>
              <w:pStyle w:val="InstructionsText"/>
            </w:pPr>
          </w:p>
        </w:tc>
        <w:tc>
          <w:tcPr>
            <w:tcW w:w="4077" w:type="dxa"/>
            <w:shd w:val="clear" w:color="auto" w:fill="auto"/>
          </w:tcPr>
          <w:p w14:paraId="5AB0D542" w14:textId="77777777" w:rsidR="00581FA5" w:rsidRPr="00A30C4C" w:rsidRDefault="00581FA5" w:rsidP="00FD239F">
            <w:pPr>
              <w:pStyle w:val="InstructionsText"/>
            </w:pPr>
          </w:p>
        </w:tc>
      </w:tr>
      <w:tr w:rsidR="00581FA5" w:rsidRPr="00A30C4C" w14:paraId="15A2E16C" w14:textId="77777777" w:rsidTr="00672D2A">
        <w:tc>
          <w:tcPr>
            <w:tcW w:w="3761" w:type="dxa"/>
            <w:shd w:val="clear" w:color="auto" w:fill="auto"/>
          </w:tcPr>
          <w:p w14:paraId="012D373D" w14:textId="3FACBE89" w:rsidR="00581FA5" w:rsidRPr="00A30C4C" w:rsidRDefault="00581FA5" w:rsidP="00CA21CA">
            <w:pPr>
              <w:pStyle w:val="InstructionsText"/>
            </w:pPr>
            <w:r>
              <w:t>Može li se rasporediti u kategoriju izloženosti iz članka 112. točke (q) CRR-a?</w:t>
            </w:r>
          </w:p>
        </w:tc>
        <w:tc>
          <w:tcPr>
            <w:tcW w:w="1417" w:type="dxa"/>
            <w:shd w:val="clear" w:color="auto" w:fill="auto"/>
          </w:tcPr>
          <w:p w14:paraId="3EACC872" w14:textId="77777777" w:rsidR="00BD52C3" w:rsidRPr="00A30C4C" w:rsidRDefault="00BD52C3" w:rsidP="00FD239F">
            <w:pPr>
              <w:pStyle w:val="InstructionsText"/>
            </w:pPr>
            <w:r>
              <w:t xml:space="preserve">DA </w:t>
            </w:r>
            <w:r>
              <w:rPr>
                <w:noProof/>
                <w:lang w:eastAsia="hr-HR"/>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A30C4C" w:rsidRDefault="00581FA5" w:rsidP="00FD239F">
            <w:pPr>
              <w:pStyle w:val="InstructionsText"/>
            </w:pPr>
          </w:p>
        </w:tc>
        <w:tc>
          <w:tcPr>
            <w:tcW w:w="4077" w:type="dxa"/>
            <w:shd w:val="clear" w:color="auto" w:fill="auto"/>
          </w:tcPr>
          <w:p w14:paraId="643D1030" w14:textId="77777777" w:rsidR="00581FA5" w:rsidRPr="00A30C4C" w:rsidRDefault="00581FA5" w:rsidP="00FD239F">
            <w:pPr>
              <w:pStyle w:val="InstructionsText"/>
            </w:pPr>
            <w:r>
              <w:t>Ostale stavke</w:t>
            </w:r>
          </w:p>
        </w:tc>
      </w:tr>
      <w:tr w:rsidR="00581FA5" w:rsidRPr="00A30C4C" w14:paraId="402C8810" w14:textId="77777777" w:rsidTr="00672D2A">
        <w:tc>
          <w:tcPr>
            <w:tcW w:w="3761" w:type="dxa"/>
            <w:shd w:val="clear" w:color="auto" w:fill="auto"/>
          </w:tcPr>
          <w:p w14:paraId="24AEB9DD" w14:textId="77777777" w:rsidR="007241D3" w:rsidRPr="00A30C4C" w:rsidRDefault="007241D3" w:rsidP="00FD239F">
            <w:pPr>
              <w:pStyle w:val="InstructionsText"/>
            </w:pPr>
            <w:r>
              <w:t xml:space="preserve">NE </w:t>
            </w:r>
            <w:r>
              <w:rPr>
                <w:noProof/>
                <w:lang w:eastAsia="hr-HR"/>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A30C4C" w:rsidRDefault="00581FA5" w:rsidP="00FD239F">
            <w:pPr>
              <w:pStyle w:val="InstructionsText"/>
            </w:pPr>
          </w:p>
        </w:tc>
        <w:tc>
          <w:tcPr>
            <w:tcW w:w="1417" w:type="dxa"/>
            <w:shd w:val="clear" w:color="auto" w:fill="auto"/>
          </w:tcPr>
          <w:p w14:paraId="1BA1AC9E" w14:textId="77777777" w:rsidR="00581FA5" w:rsidRPr="00A30C4C" w:rsidRDefault="00581FA5" w:rsidP="00FD239F">
            <w:pPr>
              <w:pStyle w:val="InstructionsText"/>
            </w:pPr>
          </w:p>
        </w:tc>
        <w:tc>
          <w:tcPr>
            <w:tcW w:w="4077" w:type="dxa"/>
            <w:shd w:val="clear" w:color="auto" w:fill="auto"/>
          </w:tcPr>
          <w:p w14:paraId="2467E0EC" w14:textId="77777777" w:rsidR="00581FA5" w:rsidRPr="00A30C4C" w:rsidRDefault="00581FA5" w:rsidP="00FD239F">
            <w:pPr>
              <w:pStyle w:val="InstructionsText"/>
            </w:pPr>
          </w:p>
        </w:tc>
      </w:tr>
      <w:tr w:rsidR="00581FA5" w:rsidRPr="00A30C4C" w14:paraId="54310255" w14:textId="77777777" w:rsidTr="00672D2A">
        <w:tc>
          <w:tcPr>
            <w:tcW w:w="3761" w:type="dxa"/>
            <w:shd w:val="clear" w:color="auto" w:fill="auto"/>
          </w:tcPr>
          <w:p w14:paraId="076CAED9" w14:textId="61165865" w:rsidR="00581FA5" w:rsidRPr="00A30C4C" w:rsidRDefault="00581FA5" w:rsidP="00CA21CA">
            <w:pPr>
              <w:pStyle w:val="InstructionsText"/>
            </w:pPr>
            <w:r>
              <w:t>Može li se rasporediti u kategoriju izloženosti iz članka 112. točke (n) CRR-a?</w:t>
            </w:r>
          </w:p>
        </w:tc>
        <w:tc>
          <w:tcPr>
            <w:tcW w:w="1417" w:type="dxa"/>
            <w:shd w:val="clear" w:color="auto" w:fill="auto"/>
          </w:tcPr>
          <w:p w14:paraId="6F7C76EC" w14:textId="77777777" w:rsidR="0063493E" w:rsidRPr="00A30C4C" w:rsidRDefault="0063493E" w:rsidP="00FD239F">
            <w:pPr>
              <w:pStyle w:val="InstructionsText"/>
            </w:pPr>
            <w:r>
              <w:t xml:space="preserve">DA </w:t>
            </w:r>
            <w:r>
              <w:rPr>
                <w:noProof/>
                <w:lang w:eastAsia="hr-HR"/>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A30C4C" w:rsidRDefault="00581FA5" w:rsidP="00FD239F">
            <w:pPr>
              <w:pStyle w:val="InstructionsText"/>
            </w:pPr>
          </w:p>
        </w:tc>
        <w:tc>
          <w:tcPr>
            <w:tcW w:w="4077" w:type="dxa"/>
            <w:shd w:val="clear" w:color="auto" w:fill="auto"/>
          </w:tcPr>
          <w:p w14:paraId="1D8A0D68" w14:textId="77777777" w:rsidR="00581FA5" w:rsidRPr="00A30C4C" w:rsidRDefault="00581FA5" w:rsidP="00FD239F">
            <w:pPr>
              <w:pStyle w:val="InstructionsText"/>
            </w:pPr>
            <w:r>
              <w:t>Izloženosti prema institucijama i društvima s kratkoročnom kreditnom procjenom</w:t>
            </w:r>
          </w:p>
        </w:tc>
      </w:tr>
      <w:tr w:rsidR="00581FA5" w:rsidRPr="00A30C4C" w14:paraId="3C329ACB" w14:textId="77777777" w:rsidTr="00672D2A">
        <w:tc>
          <w:tcPr>
            <w:tcW w:w="3761" w:type="dxa"/>
            <w:shd w:val="clear" w:color="auto" w:fill="auto"/>
          </w:tcPr>
          <w:p w14:paraId="77334F84" w14:textId="77777777" w:rsidR="007241D3" w:rsidRPr="00A30C4C" w:rsidRDefault="007241D3" w:rsidP="00FD239F">
            <w:pPr>
              <w:pStyle w:val="InstructionsText"/>
            </w:pPr>
            <w:r>
              <w:t xml:space="preserve">NE </w:t>
            </w:r>
            <w:r>
              <w:rPr>
                <w:noProof/>
                <w:lang w:eastAsia="hr-HR"/>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A30C4C" w:rsidRDefault="00581FA5" w:rsidP="00FD239F">
            <w:pPr>
              <w:pStyle w:val="InstructionsText"/>
            </w:pPr>
          </w:p>
        </w:tc>
        <w:tc>
          <w:tcPr>
            <w:tcW w:w="1417" w:type="dxa"/>
            <w:shd w:val="clear" w:color="auto" w:fill="auto"/>
          </w:tcPr>
          <w:p w14:paraId="3C98273E" w14:textId="77777777" w:rsidR="00581FA5" w:rsidRPr="00A30C4C" w:rsidRDefault="00581FA5" w:rsidP="00FD239F">
            <w:pPr>
              <w:pStyle w:val="InstructionsText"/>
            </w:pPr>
          </w:p>
        </w:tc>
        <w:tc>
          <w:tcPr>
            <w:tcW w:w="4077" w:type="dxa"/>
            <w:shd w:val="clear" w:color="auto" w:fill="auto"/>
          </w:tcPr>
          <w:p w14:paraId="34264BB1" w14:textId="77777777" w:rsidR="00581FA5" w:rsidRPr="00A30C4C" w:rsidRDefault="00581FA5" w:rsidP="00FD239F">
            <w:pPr>
              <w:pStyle w:val="InstructionsText"/>
            </w:pPr>
          </w:p>
        </w:tc>
      </w:tr>
      <w:tr w:rsidR="00581FA5" w:rsidRPr="00A30C4C" w14:paraId="4599AE10" w14:textId="77777777" w:rsidTr="00672D2A">
        <w:tc>
          <w:tcPr>
            <w:tcW w:w="9255" w:type="dxa"/>
            <w:gridSpan w:val="3"/>
            <w:shd w:val="clear" w:color="auto" w:fill="auto"/>
          </w:tcPr>
          <w:p w14:paraId="7C69413F" w14:textId="77777777" w:rsidR="00581FA5" w:rsidRPr="00A30C4C" w:rsidRDefault="00581FA5" w:rsidP="00FD239F">
            <w:pPr>
              <w:pStyle w:val="InstructionsText"/>
            </w:pPr>
            <w:r>
              <w:t>Izloženosti u nastavku međusobno su razdvojene. Stoga je raspoređivanje u jednu od tih kategorija izravno.</w:t>
            </w:r>
          </w:p>
          <w:p w14:paraId="6CF9167B" w14:textId="77777777" w:rsidR="00581FA5" w:rsidRPr="00A30C4C" w:rsidRDefault="00581FA5" w:rsidP="00FD239F">
            <w:pPr>
              <w:pStyle w:val="InstructionsText"/>
            </w:pPr>
            <w:r>
              <w:t>Izloženosti prema središnjim državama ili središnjim bankama</w:t>
            </w:r>
          </w:p>
          <w:p w14:paraId="2AE04B9F" w14:textId="77777777" w:rsidR="00581FA5" w:rsidRPr="00A30C4C" w:rsidRDefault="00581FA5" w:rsidP="00FD239F">
            <w:pPr>
              <w:pStyle w:val="InstructionsText"/>
            </w:pPr>
            <w:r>
              <w:t>Izloženosti prema jedinicama područne (regionalne) ili lokalne samouprave</w:t>
            </w:r>
          </w:p>
          <w:p w14:paraId="79C1CBA1" w14:textId="77777777" w:rsidR="00581FA5" w:rsidRPr="00A30C4C" w:rsidRDefault="00581FA5" w:rsidP="00FD239F">
            <w:pPr>
              <w:pStyle w:val="InstructionsText"/>
            </w:pPr>
            <w:r>
              <w:t>Izloženosti prema subjektima javnog sektora</w:t>
            </w:r>
          </w:p>
          <w:p w14:paraId="1AADDA86" w14:textId="77777777" w:rsidR="00581FA5" w:rsidRPr="00A30C4C" w:rsidRDefault="00581FA5" w:rsidP="00FD239F">
            <w:pPr>
              <w:pStyle w:val="InstructionsText"/>
            </w:pPr>
            <w:r>
              <w:t>Izloženosti prema multilateralnim razvojnim bankama</w:t>
            </w:r>
          </w:p>
          <w:p w14:paraId="1AA5040C" w14:textId="77777777" w:rsidR="00581FA5" w:rsidRPr="00A30C4C" w:rsidRDefault="00581FA5" w:rsidP="00FD239F">
            <w:pPr>
              <w:pStyle w:val="InstructionsText"/>
            </w:pPr>
            <w:r>
              <w:t>Izloženosti prema međunarodnim organizacijama</w:t>
            </w:r>
          </w:p>
          <w:p w14:paraId="47991122" w14:textId="77777777" w:rsidR="00581FA5" w:rsidRPr="00A30C4C" w:rsidRDefault="00581FA5" w:rsidP="00FD239F">
            <w:pPr>
              <w:pStyle w:val="InstructionsText"/>
            </w:pPr>
            <w:r>
              <w:t>Izloženosti prema institucijama</w:t>
            </w:r>
          </w:p>
          <w:p w14:paraId="563317D9" w14:textId="77777777" w:rsidR="00581FA5" w:rsidRPr="00A30C4C" w:rsidRDefault="00581FA5" w:rsidP="00FD239F">
            <w:pPr>
              <w:pStyle w:val="InstructionsText"/>
            </w:pPr>
            <w:r>
              <w:t>Izloženosti prema trgovačkim društvima</w:t>
            </w:r>
          </w:p>
          <w:p w14:paraId="0126B927" w14:textId="77777777" w:rsidR="00581FA5" w:rsidRPr="00A30C4C" w:rsidRDefault="00581FA5" w:rsidP="00FD239F">
            <w:pPr>
              <w:pStyle w:val="InstructionsText"/>
            </w:pPr>
            <w:r>
              <w:t>Izloženosti prema stanovništvu</w:t>
            </w:r>
          </w:p>
        </w:tc>
      </w:tr>
    </w:tbl>
    <w:p w14:paraId="33B76BB0" w14:textId="77777777" w:rsidR="00464F34" w:rsidRPr="00A30C4C" w:rsidRDefault="00464F34" w:rsidP="00FD239F">
      <w:pPr>
        <w:pStyle w:val="InstructionsText"/>
      </w:pPr>
    </w:p>
    <w:p w14:paraId="1EAB1602" w14:textId="77777777" w:rsidR="00464F34" w:rsidRPr="00A30C4C" w:rsidRDefault="00464F34" w:rsidP="00FD239F">
      <w:pPr>
        <w:pStyle w:val="InstructionsText"/>
      </w:pPr>
    </w:p>
    <w:p w14:paraId="247800C0" w14:textId="77777777" w:rsidR="0073242B" w:rsidRPr="00A30C4C" w:rsidRDefault="0073242B">
      <w:pPr>
        <w:spacing w:before="0" w:after="0"/>
        <w:jc w:val="left"/>
        <w:rPr>
          <w:rFonts w:ascii="Times New Roman" w:hAnsi="Times New Roman"/>
          <w:bCs/>
          <w:sz w:val="24"/>
        </w:rPr>
      </w:pPr>
      <w:r>
        <w:br w:type="page"/>
      </w:r>
    </w:p>
    <w:p w14:paraId="2AC19E2B" w14:textId="77777777" w:rsidR="00464F34" w:rsidRPr="00A30C4C" w:rsidRDefault="00464F34" w:rsidP="00FD239F">
      <w:pPr>
        <w:pStyle w:val="InstructionsText"/>
      </w:pPr>
    </w:p>
    <w:p w14:paraId="60DD97FC" w14:textId="314A1799"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30677657"/>
      <w:r>
        <w:rPr>
          <w:rFonts w:ascii="Times New Roman" w:hAnsi="Times New Roman"/>
          <w:sz w:val="24"/>
          <w:u w:val="none"/>
        </w:rPr>
        <w:t>3.2.4.</w:t>
      </w:r>
      <w:r>
        <w:rPr>
          <w:rFonts w:ascii="Times New Roman" w:hAnsi="Times New Roman"/>
          <w:sz w:val="24"/>
          <w:u w:val="none"/>
        </w:rPr>
        <w:tab/>
      </w:r>
      <w:bookmarkStart w:id="198" w:name="_Toc262568031"/>
      <w:r>
        <w:rPr>
          <w:rFonts w:ascii="Times New Roman" w:hAnsi="Times New Roman"/>
          <w:sz w:val="24"/>
        </w:rPr>
        <w:t xml:space="preserve">Pojašnjenja opsega nekih posebnih kategorija izloženosti iz članka 112. </w:t>
      </w:r>
      <w:bookmarkEnd w:id="198"/>
      <w:bookmarkEnd w:id="191"/>
      <w:bookmarkEnd w:id="192"/>
      <w:bookmarkEnd w:id="193"/>
      <w:bookmarkEnd w:id="194"/>
      <w:bookmarkEnd w:id="195"/>
      <w:bookmarkEnd w:id="196"/>
      <w:r>
        <w:rPr>
          <w:rFonts w:ascii="Times New Roman" w:hAnsi="Times New Roman"/>
          <w:sz w:val="24"/>
        </w:rPr>
        <w:t>CRR-a</w:t>
      </w:r>
      <w:bookmarkEnd w:id="197"/>
    </w:p>
    <w:p w14:paraId="301C7983"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30677658"/>
      <w:r>
        <w:rPr>
          <w:rFonts w:ascii="Times New Roman" w:hAnsi="Times New Roman"/>
          <w:sz w:val="24"/>
          <w:u w:val="none"/>
        </w:rPr>
        <w:t>3.2.4.1.</w:t>
      </w:r>
      <w:r>
        <w:rPr>
          <w:rFonts w:ascii="Times New Roman" w:hAnsi="Times New Roman"/>
          <w:sz w:val="24"/>
          <w:u w:val="none"/>
        </w:rPr>
        <w:tab/>
      </w:r>
      <w:r>
        <w:rPr>
          <w:rFonts w:ascii="Times New Roman" w:hAnsi="Times New Roman"/>
          <w:sz w:val="24"/>
        </w:rPr>
        <w:t>Kategorija izloženosti „institucije”</w:t>
      </w:r>
      <w:bookmarkEnd w:id="199"/>
      <w:bookmarkEnd w:id="200"/>
      <w:bookmarkEnd w:id="201"/>
    </w:p>
    <w:p w14:paraId="4F6E5DB2" w14:textId="752E3C36" w:rsidR="00464F34" w:rsidRPr="00A30C4C" w:rsidRDefault="00125707" w:rsidP="00C37B29">
      <w:pPr>
        <w:pStyle w:val="InstructionsText2"/>
        <w:numPr>
          <w:ilvl w:val="0"/>
          <w:numId w:val="0"/>
        </w:numPr>
        <w:ind w:left="993"/>
      </w:pPr>
      <w:r>
        <w:t>68.</w:t>
      </w:r>
      <w:r>
        <w:tab/>
      </w:r>
      <w:proofErr w:type="spellStart"/>
      <w:r>
        <w:t>Unutargrupne</w:t>
      </w:r>
      <w:proofErr w:type="spellEnd"/>
      <w:r>
        <w:t xml:space="preserve"> izloženosti iz članka 113. stavaka od 6. do 7. CRR-a iskazuju se kako slijedi:</w:t>
      </w:r>
    </w:p>
    <w:p w14:paraId="580D5DF7" w14:textId="7BA1F7FB" w:rsidR="00464F34" w:rsidRPr="00A30C4C" w:rsidRDefault="00125707" w:rsidP="00C37B29">
      <w:pPr>
        <w:pStyle w:val="InstructionsText2"/>
        <w:numPr>
          <w:ilvl w:val="0"/>
          <w:numId w:val="0"/>
        </w:numPr>
        <w:ind w:left="993"/>
      </w:pPr>
      <w:r>
        <w:t>69.</w:t>
      </w:r>
      <w:r>
        <w:tab/>
        <w:t xml:space="preserve">Izloženosti koje ispunjavaju zahtjeve iz članka 113. stavka 7. CRR-a iskazuju se u odgovarajućim kategorijama izloženosti u kojima bi se iskazivale kad ne bi bile </w:t>
      </w:r>
      <w:proofErr w:type="spellStart"/>
      <w:r>
        <w:t>unutargrupne</w:t>
      </w:r>
      <w:proofErr w:type="spellEnd"/>
      <w:r>
        <w:t xml:space="preserve"> izloženosti.</w:t>
      </w:r>
    </w:p>
    <w:p w14:paraId="13DAA094" w14:textId="32B21E7D" w:rsidR="00464F34" w:rsidRPr="00A30C4C" w:rsidRDefault="00125707" w:rsidP="00C37B29">
      <w:pPr>
        <w:pStyle w:val="InstructionsText2"/>
        <w:numPr>
          <w:ilvl w:val="0"/>
          <w:numId w:val="0"/>
        </w:numPr>
        <w:ind w:left="993"/>
      </w:pPr>
      <w:r>
        <w:t>70.</w:t>
      </w:r>
      <w:r>
        <w:tab/>
        <w:t xml:space="preserve">U skladu s člankom 113. stavcima 6. i 7. CRR-a institucija može uz prethodnu suglasnost nadležnih tijela odlučiti ne primjenjivati zahtjeve iz stavka 1. tog članka na izloženosti te institucije prema drugoj ugovornoj strani koja je njezino matično društvo, njezino društvo kći, društvo kći njezinog matičnog društva ili društvo povezano odnosom u smislu članka 12. stavka 1. Direktive 83/349/EEZ. To znači da </w:t>
      </w:r>
      <w:proofErr w:type="spellStart"/>
      <w:r>
        <w:t>unutargrupne</w:t>
      </w:r>
      <w:proofErr w:type="spellEnd"/>
      <w:r>
        <w:t xml:space="preserve"> druge ugovorne strane nisu nužno institucije, nego i društva raspoređena u ostale kategorije izloženosti, npr. društva za pomoćne usluge ili društva u smislu članka 12. stavka 1. Direktive Vijeća 83/349/EEZ</w:t>
      </w:r>
      <w:r w:rsidR="00D21B29" w:rsidRPr="00A30C4C">
        <w:rPr>
          <w:rStyle w:val="FootnoteReference"/>
        </w:rPr>
        <w:footnoteReference w:id="9"/>
      </w:r>
      <w:r>
        <w:t xml:space="preserve">. Stoga se </w:t>
      </w:r>
      <w:proofErr w:type="spellStart"/>
      <w:r>
        <w:t>unutargrupne</w:t>
      </w:r>
      <w:proofErr w:type="spellEnd"/>
      <w:r>
        <w:t xml:space="preserve"> izloženosti iskazuju u odgovarajućoj kategoriji izloženosti.</w:t>
      </w:r>
    </w:p>
    <w:p w14:paraId="454F0B0F"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30677659"/>
      <w:r>
        <w:rPr>
          <w:rFonts w:ascii="Times New Roman" w:hAnsi="Times New Roman"/>
          <w:sz w:val="24"/>
          <w:u w:val="none"/>
        </w:rPr>
        <w:t>3.2.4.2.</w:t>
      </w:r>
      <w:r>
        <w:rPr>
          <w:rFonts w:ascii="Times New Roman" w:hAnsi="Times New Roman"/>
          <w:sz w:val="24"/>
          <w:u w:val="none"/>
        </w:rPr>
        <w:tab/>
      </w:r>
      <w:r>
        <w:rPr>
          <w:rFonts w:ascii="Times New Roman" w:hAnsi="Times New Roman"/>
          <w:sz w:val="24"/>
        </w:rPr>
        <w:t>Kategorija izloženosti „pokrivene obveznice”</w:t>
      </w:r>
      <w:bookmarkEnd w:id="202"/>
      <w:bookmarkEnd w:id="203"/>
      <w:bookmarkEnd w:id="204"/>
    </w:p>
    <w:p w14:paraId="04680842" w14:textId="6AB3CB3D" w:rsidR="00464F34" w:rsidRPr="00A30C4C" w:rsidRDefault="00125707" w:rsidP="00C37B29">
      <w:pPr>
        <w:pStyle w:val="InstructionsText2"/>
        <w:numPr>
          <w:ilvl w:val="0"/>
          <w:numId w:val="0"/>
        </w:numPr>
        <w:ind w:left="993"/>
      </w:pPr>
      <w:r>
        <w:t>71.</w:t>
      </w:r>
      <w:r>
        <w:tab/>
        <w:t>Izloženosti u skladu sa standardiziranim pristupom raspoređuju se u kategoriju izloženosti „pokrivene obveznice” kako slijedi:</w:t>
      </w:r>
    </w:p>
    <w:p w14:paraId="26117C3B" w14:textId="3404A89E" w:rsidR="00464F34" w:rsidRPr="00A30C4C" w:rsidRDefault="00125707" w:rsidP="00C37B29">
      <w:pPr>
        <w:pStyle w:val="InstructionsText2"/>
        <w:numPr>
          <w:ilvl w:val="0"/>
          <w:numId w:val="0"/>
        </w:numPr>
        <w:ind w:left="993"/>
      </w:pPr>
      <w:r>
        <w:t>72.</w:t>
      </w:r>
      <w:r>
        <w:tab/>
        <w:t xml:space="preserve">Obveznice iz članka 52. stavka 4. Direktive 2009/65/EZ </w:t>
      </w:r>
      <w:r>
        <w:rPr>
          <w:color w:val="444444"/>
        </w:rPr>
        <w:t>Europskog parlamenta i Vijeća</w:t>
      </w:r>
      <w:r w:rsidR="00D21B29" w:rsidRPr="00A30C4C">
        <w:rPr>
          <w:rStyle w:val="FootnoteReference"/>
          <w:rFonts w:ascii="Times New Roman" w:hAnsi="Times New Roman"/>
          <w:sz w:val="24"/>
          <w:szCs w:val="24"/>
          <w:vertAlign w:val="superscript"/>
        </w:rPr>
        <w:footnoteReference w:id="10"/>
      </w:r>
      <w:r>
        <w:t xml:space="preserve"> ispunjavaju uvjete iz članka 129. stavaka 1. i 2. CRR-a kako bi bile raspoređene u kategoriju izloženosti „pokrivene obveznice”. Potrebno je u svakom slučaju provjeriti jesu li ti zahtjevi ispunjeni. Bez obzira na to, u kategoriju izloženosti „pokrivene obveznice” raspoređuju se i obveznice iz članka 52. stavka 4. Direktive 2009/65/EZ izdane prije 31. prosinca 2007. na temelju članka 129. stavka 6. CRR-a.</w:t>
      </w:r>
    </w:p>
    <w:p w14:paraId="07D7BC61"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30677660"/>
      <w:r>
        <w:rPr>
          <w:rFonts w:ascii="Times New Roman" w:hAnsi="Times New Roman"/>
          <w:sz w:val="24"/>
          <w:u w:val="none"/>
        </w:rPr>
        <w:t>3.2.4.3.</w:t>
      </w:r>
      <w:r>
        <w:rPr>
          <w:rFonts w:ascii="Times New Roman" w:hAnsi="Times New Roman"/>
          <w:sz w:val="24"/>
          <w:u w:val="none"/>
        </w:rPr>
        <w:tab/>
      </w:r>
      <w:r>
        <w:rPr>
          <w:rFonts w:ascii="Times New Roman" w:hAnsi="Times New Roman"/>
          <w:sz w:val="24"/>
        </w:rPr>
        <w:t>Kategorija izloženosti „subjekti za zajednička ulaganja”</w:t>
      </w:r>
      <w:bookmarkEnd w:id="205"/>
      <w:bookmarkEnd w:id="206"/>
      <w:bookmarkEnd w:id="207"/>
    </w:p>
    <w:p w14:paraId="7A6279A6" w14:textId="2244E0DD" w:rsidR="00464F34" w:rsidRPr="00A30C4C" w:rsidRDefault="00125707" w:rsidP="00C37B29">
      <w:pPr>
        <w:pStyle w:val="InstructionsText2"/>
        <w:numPr>
          <w:ilvl w:val="0"/>
          <w:numId w:val="0"/>
        </w:numPr>
        <w:ind w:left="993"/>
      </w:pPr>
      <w:r>
        <w:t>73.</w:t>
      </w:r>
      <w:r>
        <w:tab/>
        <w:t xml:space="preserve">Ako se koristi mogućnost iz članka 132. stavka 5., izloženosti u obliku udjela ili dionica u CIU-u iskazuju se kao bilančne stavke u skladu s člankom 111. stavkom 1. prvom rečenicom CRR-a. </w:t>
      </w:r>
    </w:p>
    <w:p w14:paraId="2EE1E026"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30677661"/>
      <w:r>
        <w:rPr>
          <w:rFonts w:ascii="Times New Roman" w:hAnsi="Times New Roman"/>
          <w:sz w:val="24"/>
          <w:u w:val="none"/>
        </w:rPr>
        <w:t>3.2.5.</w:t>
      </w:r>
      <w:r>
        <w:rPr>
          <w:rFonts w:ascii="Times New Roman" w:hAnsi="Times New Roman"/>
          <w:sz w:val="24"/>
          <w:u w:val="none"/>
        </w:rPr>
        <w:tab/>
      </w:r>
      <w:r>
        <w:rPr>
          <w:rFonts w:ascii="Times New Roman" w:hAnsi="Times New Roman"/>
          <w:sz w:val="24"/>
        </w:rPr>
        <w:t>Upute za specifične pozicije</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30C4C" w14:paraId="60D5C64A" w14:textId="77777777" w:rsidTr="00672D2A">
        <w:trPr>
          <w:trHeight w:val="581"/>
        </w:trPr>
        <w:tc>
          <w:tcPr>
            <w:tcW w:w="9828" w:type="dxa"/>
            <w:gridSpan w:val="2"/>
            <w:shd w:val="clear" w:color="auto" w:fill="CCCCCC"/>
          </w:tcPr>
          <w:p w14:paraId="2A60DB9C" w14:textId="77777777" w:rsidR="00464F34" w:rsidRPr="00A30C4C" w:rsidRDefault="00464F34" w:rsidP="00FD239F">
            <w:pPr>
              <w:pStyle w:val="InstructionsText"/>
            </w:pPr>
            <w:r>
              <w:t>Stupci</w:t>
            </w:r>
          </w:p>
        </w:tc>
      </w:tr>
      <w:tr w:rsidR="00464F34" w:rsidRPr="00A30C4C" w14:paraId="0A756E82" w14:textId="77777777" w:rsidTr="00672D2A">
        <w:tc>
          <w:tcPr>
            <w:tcW w:w="1188" w:type="dxa"/>
          </w:tcPr>
          <w:p w14:paraId="0424DDD4" w14:textId="77777777" w:rsidR="00464F34" w:rsidRPr="00A30C4C" w:rsidRDefault="00464F34" w:rsidP="00FD239F">
            <w:pPr>
              <w:pStyle w:val="InstructionsText"/>
            </w:pPr>
            <w:r>
              <w:t>010</w:t>
            </w:r>
          </w:p>
        </w:tc>
        <w:tc>
          <w:tcPr>
            <w:tcW w:w="8640" w:type="dxa"/>
          </w:tcPr>
          <w:p w14:paraId="155EB26F" w14:textId="47734983"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14:paraId="6CF00A70" w14:textId="433A4A1F" w:rsidR="00464F34" w:rsidRPr="00A30C4C" w:rsidRDefault="00464F34" w:rsidP="00FD239F">
            <w:pPr>
              <w:pStyle w:val="InstructionsText"/>
            </w:pPr>
            <w:r>
              <w:lastRenderedPageBreak/>
              <w:t>Vrijednost izloženosti izračunata u skladu s člankom 111. CRR-a ne uzimajući u obzir vrijednosna usklađenja i rezervacije, konverzijske faktore i učinak tehnika smanjenja rizika sa sljedećim uvjetima iz članka 111. stavka 2. CRR-a:</w:t>
            </w:r>
          </w:p>
          <w:p w14:paraId="4FCD5AC8" w14:textId="02D70DE7" w:rsidR="00464F34" w:rsidRPr="00A30C4C" w:rsidRDefault="00464F34" w:rsidP="0002267E">
            <w:pPr>
              <w:pStyle w:val="InstructionsText"/>
              <w:numPr>
                <w:ilvl w:val="0"/>
                <w:numId w:val="34"/>
              </w:numPr>
            </w:pPr>
            <w:r>
              <w:t xml:space="preserve">Za izvedene instrumente, repo transakcije, transakcije pozajmljivanja vrijednosnih papira ili robe drugoj ugovornoj strani ili od druge ugovorne strane, transakcije s dugim rokom namire i </w:t>
            </w:r>
            <w:proofErr w:type="spellStart"/>
            <w:r>
              <w:t>maržne</w:t>
            </w:r>
            <w:proofErr w:type="spellEnd"/>
            <w:r>
              <w:t xml:space="preserve"> kredite na koje se primjenjuje dio treći glava II. poglavlje 6. CRR-a ili članak 92. stavak 3. točka (f) CRR-a, originalna izloženost odgovara vrijednosti izloženosti za kreditni rizik druge ugovorne strane izračunanoj u skladu s metodama utvrđenima u dijelu trećem glavi II. poglavlju 6. CRR-a.</w:t>
            </w:r>
          </w:p>
          <w:p w14:paraId="14207A4F" w14:textId="1214B1FD" w:rsidR="00464F34" w:rsidRPr="00A30C4C" w:rsidRDefault="00464F34" w:rsidP="0002267E">
            <w:pPr>
              <w:pStyle w:val="InstructionsText"/>
              <w:numPr>
                <w:ilvl w:val="0"/>
                <w:numId w:val="34"/>
              </w:numPr>
            </w:pPr>
            <w:r>
              <w:t xml:space="preserve">Na vrijednosti izloženosti za najam primjenjuje se članak 134. stavak 7. CRR-a. </w:t>
            </w:r>
          </w:p>
          <w:p w14:paraId="3D00DF66" w14:textId="0A0E8EBE" w:rsidR="00464F34" w:rsidRPr="00A30C4C" w:rsidRDefault="00464F34" w:rsidP="0002267E">
            <w:pPr>
              <w:pStyle w:val="InstructionsText"/>
              <w:numPr>
                <w:ilvl w:val="0"/>
                <w:numId w:val="34"/>
              </w:numPr>
            </w:pPr>
            <w:r>
              <w:t xml:space="preserve">U slučaju bilančnog </w:t>
            </w:r>
            <w:proofErr w:type="spellStart"/>
            <w:r>
              <w:t>netiranja</w:t>
            </w:r>
            <w:proofErr w:type="spellEnd"/>
            <w:r>
              <w:t xml:space="preserve"> kako je utvrđeno u članku 219. CRR-a, vrijednosti izloženosti iskazuju se uzimajući u obzir iznos primljenog gotovinskog kolaterala.</w:t>
            </w:r>
          </w:p>
          <w:p w14:paraId="65871675" w14:textId="076B5EB9" w:rsidR="00464F34" w:rsidRPr="00A30C4C" w:rsidRDefault="00464F34" w:rsidP="0002267E">
            <w:pPr>
              <w:pStyle w:val="InstructionsText"/>
              <w:numPr>
                <w:ilvl w:val="0"/>
                <w:numId w:val="34"/>
              </w:numPr>
            </w:pPr>
            <w:r>
              <w:t xml:space="preserve">U slučaju standardiziranih sporazuma o </w:t>
            </w:r>
            <w:proofErr w:type="spellStart"/>
            <w:r>
              <w:t>netiranju</w:t>
            </w:r>
            <w:proofErr w:type="spellEnd"/>
            <w:r>
              <w:t xml:space="preserve"> kojima su obuhvaćene repo transakcije, transakcije pozajmljivanja vrijednosnih papira ili robe drugoj ugovornoj strani ili od druge ugovorne strane ili transakcije ovisne o kretanju na tržištu kapitala na koje se primjenjuje dio treći. glava II. poglavlje 6. CRR-a, učinak materijalne kreditne zaštite u obliku standardiziranih sporazuma o </w:t>
            </w:r>
            <w:proofErr w:type="spellStart"/>
            <w:r>
              <w:t>netiranju</w:t>
            </w:r>
            <w:proofErr w:type="spellEnd"/>
            <w:r>
              <w:t xml:space="preserve"> iz članka 220. stavka 4. CRR-a iskazuje se u stupcu 010. Stoga se u slučaju standardiziranih sporazuma o </w:t>
            </w:r>
            <w:proofErr w:type="spellStart"/>
            <w:r>
              <w:t>netiranju</w:t>
            </w:r>
            <w:proofErr w:type="spellEnd"/>
            <w:r>
              <w:t xml:space="preserve"> kojima su obuhvaćene repo transakcije na koje se primjenjuje dio treći. glava II. poglavlje 6. CRR-a, E* izračunan u skladu s člancima 220. i 221. CRR-a iskazuje u stupcu 010 obrasca CR SA.</w:t>
            </w:r>
          </w:p>
        </w:tc>
      </w:tr>
      <w:tr w:rsidR="00464F34" w:rsidRPr="00A30C4C" w14:paraId="06162BCB" w14:textId="77777777" w:rsidTr="00672D2A">
        <w:tc>
          <w:tcPr>
            <w:tcW w:w="1188" w:type="dxa"/>
          </w:tcPr>
          <w:p w14:paraId="561D2932" w14:textId="77777777" w:rsidR="00464F34" w:rsidRPr="00A30C4C" w:rsidRDefault="00464F34" w:rsidP="00FD239F">
            <w:pPr>
              <w:pStyle w:val="InstructionsText"/>
            </w:pPr>
            <w:r>
              <w:lastRenderedPageBreak/>
              <w:t>030</w:t>
            </w:r>
          </w:p>
        </w:tc>
        <w:tc>
          <w:tcPr>
            <w:tcW w:w="8640" w:type="dxa"/>
          </w:tcPr>
          <w:p w14:paraId="37C2574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Vrijednosna usklađenja i rezervacije povezane s originalnom izloženosti</w:t>
            </w:r>
          </w:p>
          <w:p w14:paraId="359C13A5" w14:textId="3D1D93A8"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Članci 24. i 111. CRR-a</w:t>
            </w:r>
          </w:p>
          <w:p w14:paraId="3FAA5F48" w14:textId="5708685D" w:rsidR="00464F34" w:rsidRPr="00A30C4C" w:rsidRDefault="00464F34" w:rsidP="00D21B29">
            <w:pPr>
              <w:pStyle w:val="InstructionsText"/>
            </w:pPr>
            <w:r>
              <w:t xml:space="preserve">Vrijednosna usklađenja i rezervacije za gubitke po kreditu u skladu s računovodstvenim okvirom koji se primjenjuje na subjekt koji izvješćuje. </w:t>
            </w:r>
          </w:p>
        </w:tc>
      </w:tr>
      <w:tr w:rsidR="00464F34" w:rsidRPr="00A30C4C" w14:paraId="71B0957F" w14:textId="77777777" w:rsidTr="00672D2A">
        <w:tc>
          <w:tcPr>
            <w:tcW w:w="1188" w:type="dxa"/>
          </w:tcPr>
          <w:p w14:paraId="1B9ACE09" w14:textId="77777777" w:rsidR="00464F34" w:rsidRPr="00A30C4C" w:rsidRDefault="00464F34" w:rsidP="00FD239F">
            <w:pPr>
              <w:pStyle w:val="InstructionsText"/>
            </w:pPr>
            <w:r>
              <w:t>040</w:t>
            </w:r>
          </w:p>
        </w:tc>
        <w:tc>
          <w:tcPr>
            <w:tcW w:w="8640" w:type="dxa"/>
          </w:tcPr>
          <w:p w14:paraId="1CDEE718" w14:textId="77777777" w:rsidR="00464F34" w:rsidRPr="00A30C4C" w:rsidRDefault="00464F34" w:rsidP="00FD239F">
            <w:pPr>
              <w:pStyle w:val="InstructionsText"/>
            </w:pPr>
            <w:r>
              <w:rPr>
                <w:rStyle w:val="InstructionsTabelleberschrift"/>
                <w:rFonts w:ascii="Times New Roman" w:hAnsi="Times New Roman"/>
                <w:sz w:val="24"/>
              </w:rPr>
              <w:t>Izloženost umanjena za vrijednosna usklađenja i rezervacije</w:t>
            </w:r>
          </w:p>
          <w:p w14:paraId="2E54438F" w14:textId="7898AACC" w:rsidR="00464F34" w:rsidRPr="00A30C4C" w:rsidRDefault="00464F34" w:rsidP="00D21B29">
            <w:pPr>
              <w:pStyle w:val="InstructionsText"/>
            </w:pPr>
            <w:r>
              <w:t>Zbroj stupaca 010 i 030</w:t>
            </w:r>
          </w:p>
        </w:tc>
      </w:tr>
      <w:tr w:rsidR="00464F34" w:rsidRPr="00A30C4C" w14:paraId="2A8D0BE9" w14:textId="77777777" w:rsidTr="00672D2A">
        <w:tc>
          <w:tcPr>
            <w:tcW w:w="1188" w:type="dxa"/>
          </w:tcPr>
          <w:p w14:paraId="1E640D18" w14:textId="77777777" w:rsidR="00464F34" w:rsidRPr="00A30C4C" w:rsidRDefault="00464F34" w:rsidP="00FD239F">
            <w:pPr>
              <w:pStyle w:val="InstructionsText"/>
            </w:pPr>
            <w:r>
              <w:t>050 – 100</w:t>
            </w:r>
          </w:p>
        </w:tc>
        <w:tc>
          <w:tcPr>
            <w:tcW w:w="8640" w:type="dxa"/>
          </w:tcPr>
          <w:p w14:paraId="7F57112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14:paraId="4A3B0C25" w14:textId="351CB71A" w:rsidR="00464F34" w:rsidRPr="00A30C4C" w:rsidRDefault="00464F34" w:rsidP="00FD239F">
            <w:pPr>
              <w:pStyle w:val="InstructionsText"/>
            </w:pPr>
            <w:r>
              <w:t>Tehnike smanjenja kreditnog rizika kako su definirane u članku 4. stavku 1. točki 57. CRR-a kojima se smanjuje kreditni rizik izloženosti zamjenom izloženosti kako je opisano u nastavku pod „Zamjena izloženosti zbog smanjenja kreditnog rizika”.</w:t>
            </w:r>
          </w:p>
          <w:p w14:paraId="564DB9C9" w14:textId="58C3FB81" w:rsidR="00464F34" w:rsidRPr="00A30C4C" w:rsidRDefault="00D21B29" w:rsidP="00FD239F">
            <w:pPr>
              <w:pStyle w:val="InstructionsText"/>
            </w:pPr>
            <w:r>
              <w:t>Kolateralu koji utječe na vrijednost izloženosti (npr. ako se koristi za tehnike smanjenja kreditnog rizika s učincima zamjene na izloženost) gornja granica određuje se na razini vrijednosti izloženosti.</w:t>
            </w:r>
          </w:p>
          <w:p w14:paraId="7EDD45C2" w14:textId="77777777" w:rsidR="00464F34" w:rsidRPr="00A30C4C" w:rsidRDefault="00464F34" w:rsidP="00FD239F">
            <w:pPr>
              <w:pStyle w:val="InstructionsText"/>
            </w:pPr>
            <w:r>
              <w:t>Stavke koje je ovdje potrebno iskazati:</w:t>
            </w:r>
          </w:p>
          <w:p w14:paraId="09CA1958" w14:textId="7194766D" w:rsidR="00464F34" w:rsidRPr="00A30C4C" w:rsidRDefault="00125707" w:rsidP="00167619">
            <w:pPr>
              <w:pStyle w:val="InstructionsText"/>
              <w:ind w:left="545" w:hanging="545"/>
            </w:pPr>
            <w:r>
              <w:rPr>
                <w:rFonts w:ascii="Arial" w:hAnsi="Arial"/>
              </w:rPr>
              <w:t>-</w:t>
            </w:r>
            <w:r>
              <w:rPr>
                <w:rFonts w:ascii="Arial" w:hAnsi="Arial"/>
              </w:rPr>
              <w:tab/>
            </w:r>
            <w:proofErr w:type="spellStart"/>
            <w:r>
              <w:t>kolateral</w:t>
            </w:r>
            <w:proofErr w:type="spellEnd"/>
            <w:r>
              <w:t>, uključen u skladu s jednostavnom metodom financijskog kolaterala;</w:t>
            </w:r>
          </w:p>
          <w:p w14:paraId="293AEDCE" w14:textId="77777777" w:rsidR="00464F34" w:rsidRPr="00A30C4C" w:rsidRDefault="00125707" w:rsidP="00167619">
            <w:pPr>
              <w:pStyle w:val="InstructionsText"/>
              <w:ind w:left="545" w:hanging="545"/>
            </w:pPr>
            <w:r>
              <w:rPr>
                <w:rFonts w:ascii="Arial" w:hAnsi="Arial"/>
              </w:rPr>
              <w:t>-</w:t>
            </w:r>
            <w:r>
              <w:rPr>
                <w:rFonts w:ascii="Arial" w:hAnsi="Arial"/>
              </w:rPr>
              <w:tab/>
            </w:r>
            <w:r>
              <w:t>priznata nematerijalna kreditna zaštita.</w:t>
            </w:r>
          </w:p>
          <w:p w14:paraId="54C1D173" w14:textId="67902962" w:rsidR="00464F34" w:rsidRPr="00A30C4C" w:rsidRDefault="00464F34" w:rsidP="00E10B85">
            <w:pPr>
              <w:pStyle w:val="InstructionsText"/>
            </w:pPr>
            <w:r>
              <w:t>Vidjeti i upute iz stavke 3.1.1.</w:t>
            </w:r>
          </w:p>
        </w:tc>
      </w:tr>
      <w:tr w:rsidR="00464F34" w:rsidRPr="00A30C4C" w14:paraId="48CAFA37" w14:textId="77777777" w:rsidTr="00672D2A">
        <w:tc>
          <w:tcPr>
            <w:tcW w:w="1188" w:type="dxa"/>
          </w:tcPr>
          <w:p w14:paraId="000EA90A" w14:textId="77777777" w:rsidR="00464F34" w:rsidRPr="00A30C4C" w:rsidRDefault="00464F34" w:rsidP="00FD239F">
            <w:pPr>
              <w:pStyle w:val="InstructionsText"/>
            </w:pPr>
            <w:r>
              <w:t>050 – 060</w:t>
            </w:r>
          </w:p>
        </w:tc>
        <w:tc>
          <w:tcPr>
            <w:tcW w:w="8640" w:type="dxa"/>
          </w:tcPr>
          <w:p w14:paraId="4D778B5F" w14:textId="2090831F"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Nematerijalna kreditna zaštita: prilagođene vrijednosti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E2A91D4" w14:textId="63031307" w:rsidR="00464F34" w:rsidRPr="00A30C4C" w:rsidRDefault="00464F34" w:rsidP="00FD239F">
            <w:pPr>
              <w:pStyle w:val="InstructionsText"/>
            </w:pPr>
            <w:r>
              <w:lastRenderedPageBreak/>
              <w:t>Članak 235. CRR-a</w:t>
            </w:r>
          </w:p>
          <w:p w14:paraId="42296315" w14:textId="643B51CB" w:rsidR="00464F34" w:rsidRPr="00A30C4C" w:rsidRDefault="00464F34" w:rsidP="00D21B29">
            <w:pPr>
              <w:pStyle w:val="InstructionsText"/>
            </w:pPr>
            <w:r>
              <w:t>Članak 239. stavak 3. CRR-a sadržava formulu za izračun prilagođene vrijednosti G</w:t>
            </w:r>
            <w:r>
              <w:rPr>
                <w:vertAlign w:val="subscript"/>
              </w:rPr>
              <w:t>A</w:t>
            </w:r>
            <w:r>
              <w:t xml:space="preserve"> nematerijalne kreditne zaštite.</w:t>
            </w:r>
          </w:p>
        </w:tc>
      </w:tr>
      <w:tr w:rsidR="00464F34" w:rsidRPr="00A30C4C" w14:paraId="6FCB536B" w14:textId="77777777" w:rsidTr="00672D2A">
        <w:tc>
          <w:tcPr>
            <w:tcW w:w="1188" w:type="dxa"/>
          </w:tcPr>
          <w:p w14:paraId="2DEDE4CD" w14:textId="77777777" w:rsidR="00464F34" w:rsidRPr="00A30C4C" w:rsidRDefault="00464F34" w:rsidP="00FD239F">
            <w:pPr>
              <w:pStyle w:val="InstructionsText"/>
            </w:pPr>
            <w:r>
              <w:lastRenderedPageBreak/>
              <w:t>050</w:t>
            </w:r>
          </w:p>
        </w:tc>
        <w:tc>
          <w:tcPr>
            <w:tcW w:w="8640" w:type="dxa"/>
          </w:tcPr>
          <w:p w14:paraId="1A6F57A1"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Jamstva</w:t>
            </w:r>
          </w:p>
          <w:p w14:paraId="3C817615" w14:textId="52BDCBE9" w:rsidR="00464F34" w:rsidRPr="00A30C4C" w:rsidRDefault="00464F34" w:rsidP="00FD239F">
            <w:pPr>
              <w:pStyle w:val="InstructionsText"/>
            </w:pPr>
            <w:r>
              <w:t>Članak 203. CRR-a</w:t>
            </w:r>
          </w:p>
          <w:p w14:paraId="4D9BDF1E" w14:textId="6E29CFE0" w:rsidR="00464F34" w:rsidRPr="00A30C4C" w:rsidRDefault="00464F34" w:rsidP="00D21B29">
            <w:pPr>
              <w:pStyle w:val="InstructionsText"/>
              <w:rPr>
                <w:b/>
                <w:u w:val="single"/>
              </w:rPr>
            </w:pPr>
            <w:r>
              <w:t>Nematerijalna kreditna zaštita kako je definirana u članku 4. stavku 1. točki 59. CRR-a koja ne uključuje kreditne izvedenice.</w:t>
            </w:r>
          </w:p>
        </w:tc>
      </w:tr>
      <w:tr w:rsidR="00464F34" w:rsidRPr="00A30C4C" w14:paraId="53EC46EE" w14:textId="77777777" w:rsidTr="00672D2A">
        <w:tc>
          <w:tcPr>
            <w:tcW w:w="1188" w:type="dxa"/>
          </w:tcPr>
          <w:p w14:paraId="664C21AF" w14:textId="77777777" w:rsidR="00464F34" w:rsidRPr="00A30C4C" w:rsidRDefault="00464F34" w:rsidP="00FD239F">
            <w:pPr>
              <w:pStyle w:val="InstructionsText"/>
            </w:pPr>
            <w:r>
              <w:t>060</w:t>
            </w:r>
          </w:p>
        </w:tc>
        <w:tc>
          <w:tcPr>
            <w:tcW w:w="8640" w:type="dxa"/>
          </w:tcPr>
          <w:p w14:paraId="11B5337C"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Kreditne izvedenice</w:t>
            </w:r>
          </w:p>
          <w:p w14:paraId="6F84C7A7" w14:textId="32C70D1A" w:rsidR="00464F34" w:rsidRPr="00A30C4C" w:rsidRDefault="00464F34" w:rsidP="00D21B29">
            <w:pPr>
              <w:pStyle w:val="InstructionsText"/>
              <w:rPr>
                <w:b/>
                <w:u w:val="single"/>
              </w:rPr>
            </w:pPr>
            <w:r>
              <w:t>Članak 204. CRR-a</w:t>
            </w:r>
          </w:p>
        </w:tc>
      </w:tr>
      <w:tr w:rsidR="00464F34" w:rsidRPr="00A30C4C" w14:paraId="33D7E361" w14:textId="77777777" w:rsidTr="00672D2A">
        <w:tc>
          <w:tcPr>
            <w:tcW w:w="1188" w:type="dxa"/>
          </w:tcPr>
          <w:p w14:paraId="2A69FCA4" w14:textId="77777777" w:rsidR="00464F34" w:rsidRPr="00A30C4C" w:rsidRDefault="00464F34" w:rsidP="00FD239F">
            <w:pPr>
              <w:pStyle w:val="InstructionsText"/>
            </w:pPr>
            <w:r>
              <w:t>070 – 080</w:t>
            </w:r>
          </w:p>
          <w:p w14:paraId="3F0DF3CC" w14:textId="77777777" w:rsidR="00464F34" w:rsidRPr="00A30C4C" w:rsidRDefault="00464F34" w:rsidP="00FD239F">
            <w:pPr>
              <w:pStyle w:val="InstructionsText"/>
            </w:pPr>
          </w:p>
        </w:tc>
        <w:tc>
          <w:tcPr>
            <w:tcW w:w="8640" w:type="dxa"/>
          </w:tcPr>
          <w:p w14:paraId="154EB93F"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Materijalna kreditna zaštita</w:t>
            </w:r>
          </w:p>
          <w:p w14:paraId="08255B17" w14:textId="68A7E5F4" w:rsidR="00464F34" w:rsidRPr="00A30C4C" w:rsidRDefault="009C44E7" w:rsidP="00FD239F">
            <w:pPr>
              <w:pStyle w:val="InstructionsText"/>
            </w:pPr>
            <w:r>
              <w:t xml:space="preserve">Navedeni se stupci odnose na materijalnu kreditnu zaštitu kako je definirana u članku 4. stavku 1. točki 58. CRR-a i podložno pravilima utvrđenima u člancima 196., 197. i 200. CRR-a. Iznosi ne uključuju standardizirane sporazume o </w:t>
            </w:r>
            <w:proofErr w:type="spellStart"/>
            <w:r>
              <w:t>netiranju</w:t>
            </w:r>
            <w:proofErr w:type="spellEnd"/>
            <w:r>
              <w:t xml:space="preserve"> (već uključeni u originalnu izloženost prije konverzijskih faktora).</w:t>
            </w:r>
          </w:p>
          <w:p w14:paraId="1C24337C" w14:textId="27BD332F" w:rsidR="00464F34" w:rsidRPr="00A30C4C" w:rsidRDefault="00167619" w:rsidP="00F811C6">
            <w:pPr>
              <w:pStyle w:val="InstructionsText"/>
            </w:pPr>
            <w:r>
              <w:t xml:space="preserve">Ulaganja u kreditne zapise iz članka 218. CRR-a i pozicije bilančnog </w:t>
            </w:r>
            <w:proofErr w:type="spellStart"/>
            <w:r>
              <w:t>netiranja</w:t>
            </w:r>
            <w:proofErr w:type="spellEnd"/>
            <w:r>
              <w:t xml:space="preserve"> koje proizlaze iz priznatih sporazuma o bilančnom </w:t>
            </w:r>
            <w:proofErr w:type="spellStart"/>
            <w:r>
              <w:t>netiranju</w:t>
            </w:r>
            <w:proofErr w:type="spellEnd"/>
            <w:r>
              <w:t xml:space="preserve"> iz članka 219. CRR-a tretiraju se kao gotovinski </w:t>
            </w:r>
            <w:proofErr w:type="spellStart"/>
            <w:r>
              <w:t>kolateral</w:t>
            </w:r>
            <w:proofErr w:type="spellEnd"/>
            <w:r>
              <w:t>.</w:t>
            </w:r>
          </w:p>
        </w:tc>
      </w:tr>
      <w:tr w:rsidR="00464F34" w:rsidRPr="00A30C4C" w14:paraId="684855B2" w14:textId="77777777" w:rsidTr="00672D2A">
        <w:tc>
          <w:tcPr>
            <w:tcW w:w="1188" w:type="dxa"/>
          </w:tcPr>
          <w:p w14:paraId="7C3AD714" w14:textId="77777777" w:rsidR="00464F34" w:rsidRPr="00A30C4C" w:rsidRDefault="00464F34" w:rsidP="00FD239F">
            <w:pPr>
              <w:pStyle w:val="InstructionsText"/>
            </w:pPr>
            <w:r>
              <w:t>070</w:t>
            </w:r>
          </w:p>
        </w:tc>
        <w:tc>
          <w:tcPr>
            <w:tcW w:w="8640" w:type="dxa"/>
          </w:tcPr>
          <w:p w14:paraId="785A081B" w14:textId="77777777" w:rsidR="00464F34" w:rsidRPr="00A30C4C" w:rsidRDefault="00464F34" w:rsidP="00FD239F">
            <w:pPr>
              <w:pStyle w:val="InstructionsText"/>
            </w:pPr>
            <w:r>
              <w:rPr>
                <w:rStyle w:val="InstructionsTabelleberschrift"/>
                <w:rFonts w:ascii="Times New Roman" w:hAnsi="Times New Roman"/>
                <w:sz w:val="24"/>
              </w:rPr>
              <w:t xml:space="preserve">Financijski </w:t>
            </w:r>
            <w:proofErr w:type="spellStart"/>
            <w:r>
              <w:rPr>
                <w:rStyle w:val="InstructionsTabelleberschrift"/>
                <w:rFonts w:ascii="Times New Roman" w:hAnsi="Times New Roman"/>
                <w:sz w:val="24"/>
              </w:rPr>
              <w:t>kolateral</w:t>
            </w:r>
            <w:proofErr w:type="spellEnd"/>
            <w:r>
              <w:rPr>
                <w:rStyle w:val="InstructionsTabelleberschrift"/>
                <w:rFonts w:ascii="Times New Roman" w:hAnsi="Times New Roman"/>
                <w:sz w:val="24"/>
              </w:rPr>
              <w:t>: jednostavna metoda</w:t>
            </w:r>
          </w:p>
          <w:p w14:paraId="30F5FF1A" w14:textId="76B40E70" w:rsidR="00464F34" w:rsidRPr="00A30C4C" w:rsidRDefault="00167619" w:rsidP="0060043C">
            <w:pPr>
              <w:pStyle w:val="InstructionsText"/>
            </w:pPr>
            <w:r>
              <w:t>Članak 222. stavci 1. i 2. CRR-a</w:t>
            </w:r>
          </w:p>
        </w:tc>
      </w:tr>
      <w:tr w:rsidR="00464F34" w:rsidRPr="00A30C4C" w14:paraId="4F0A954E" w14:textId="77777777" w:rsidTr="00672D2A">
        <w:tc>
          <w:tcPr>
            <w:tcW w:w="1188" w:type="dxa"/>
          </w:tcPr>
          <w:p w14:paraId="3A0C71EB" w14:textId="77777777" w:rsidR="00464F34" w:rsidRPr="00A30C4C" w:rsidRDefault="00464F34" w:rsidP="00FD239F">
            <w:pPr>
              <w:pStyle w:val="InstructionsText"/>
            </w:pPr>
            <w:r>
              <w:t>080</w:t>
            </w:r>
          </w:p>
        </w:tc>
        <w:tc>
          <w:tcPr>
            <w:tcW w:w="8640" w:type="dxa"/>
          </w:tcPr>
          <w:p w14:paraId="0A7B1F90"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Ostala materijalna kreditna zaštita</w:t>
            </w:r>
          </w:p>
          <w:p w14:paraId="30768CF6" w14:textId="749ACE07" w:rsidR="00464F34" w:rsidRPr="00A30C4C" w:rsidRDefault="00464F34" w:rsidP="00FD239F">
            <w:pPr>
              <w:pStyle w:val="InstructionsText"/>
            </w:pPr>
            <w:r>
              <w:t>Članak 232. CRR-a</w:t>
            </w:r>
          </w:p>
        </w:tc>
      </w:tr>
      <w:tr w:rsidR="00464F34" w:rsidRPr="00A30C4C" w14:paraId="66728599" w14:textId="77777777" w:rsidTr="00672D2A">
        <w:tc>
          <w:tcPr>
            <w:tcW w:w="1188" w:type="dxa"/>
          </w:tcPr>
          <w:p w14:paraId="640EA64E" w14:textId="77777777" w:rsidR="00464F34" w:rsidRPr="00A30C4C" w:rsidRDefault="00464F34" w:rsidP="00FD239F">
            <w:pPr>
              <w:pStyle w:val="InstructionsText"/>
            </w:pPr>
            <w:r>
              <w:t>090 – 100</w:t>
            </w:r>
          </w:p>
        </w:tc>
        <w:tc>
          <w:tcPr>
            <w:tcW w:w="8640" w:type="dxa"/>
          </w:tcPr>
          <w:p w14:paraId="210ED76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ZAMJENA IZLOŽENOSTI ZBOG SMANJENJA KREDITNOG RIZIKA</w:t>
            </w:r>
          </w:p>
          <w:p w14:paraId="516B4950" w14:textId="4E0296F5" w:rsidR="00464F34" w:rsidRPr="00A30C4C" w:rsidRDefault="00464F34" w:rsidP="00FD239F">
            <w:pPr>
              <w:pStyle w:val="InstructionsText"/>
            </w:pPr>
            <w:r>
              <w:t>Članak 222. stavak 3., članak 235. stavci 1. i 2. i članak 236. CRR-a</w:t>
            </w:r>
          </w:p>
          <w:p w14:paraId="1BE85E4D" w14:textId="538B70D3" w:rsidR="00464F34" w:rsidRPr="00A30C4C" w:rsidRDefault="00464F34" w:rsidP="00FD239F">
            <w:pPr>
              <w:pStyle w:val="InstructionsText"/>
            </w:pPr>
            <w:r>
              <w:t>Odljevi odgovaraju pokrivenom dijelu originalne izloženosti prije konverzijskih faktora koji je odbijen od kategorije izloženosti dužnika i naknadno raspoređen u kategoriju izloženosti pružatelja zaštite. Taj se iznos smatra priljevom u kategoriju izloženosti pružatelja zaštite.</w:t>
            </w:r>
          </w:p>
          <w:p w14:paraId="3C767A74" w14:textId="77777777" w:rsidR="00464F34" w:rsidRPr="00A30C4C" w:rsidRDefault="00464F34" w:rsidP="00FD239F">
            <w:pPr>
              <w:pStyle w:val="InstructionsText"/>
              <w:rPr>
                <w:b/>
              </w:rPr>
            </w:pPr>
            <w:r>
              <w:t>Iskazuju se i priljevi i odljevi u istim kategorijama izloženosti.</w:t>
            </w:r>
          </w:p>
          <w:p w14:paraId="28447CBF" w14:textId="77777777" w:rsidR="00464F34" w:rsidRPr="00A30C4C" w:rsidRDefault="00464F34" w:rsidP="00FD239F">
            <w:pPr>
              <w:pStyle w:val="InstructionsText"/>
            </w:pPr>
            <w:r>
              <w:t>Izloženosti koje proizlaze iz mogućih priljeva i odljeva iz drugih obrazaca i u druge obrasce uzimaju se u obzir.</w:t>
            </w:r>
          </w:p>
        </w:tc>
      </w:tr>
      <w:tr w:rsidR="00464F34" w:rsidRPr="00A30C4C" w14:paraId="2CD19DE6" w14:textId="77777777" w:rsidTr="00672D2A">
        <w:tc>
          <w:tcPr>
            <w:tcW w:w="1188" w:type="dxa"/>
          </w:tcPr>
          <w:p w14:paraId="527C3318" w14:textId="77777777" w:rsidR="00464F34" w:rsidRPr="00A30C4C" w:rsidRDefault="00464F34" w:rsidP="00FD239F">
            <w:pPr>
              <w:pStyle w:val="InstructionsText"/>
            </w:pPr>
            <w:r>
              <w:t>110</w:t>
            </w:r>
          </w:p>
        </w:tc>
        <w:tc>
          <w:tcPr>
            <w:tcW w:w="8640" w:type="dxa"/>
          </w:tcPr>
          <w:p w14:paraId="01C10ADF" w14:textId="2774256C"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NETO IZLOŽENOST NAKON PRIMJENE TEHNIKA SMANJENJA KREDITNOG RIZIKA S UČINKOM ZAMJENE, A PRIJE PRIMJENE KONVERZIJSKIH FAKTORA</w:t>
            </w:r>
          </w:p>
          <w:p w14:paraId="65CAB6BF" w14:textId="77777777" w:rsidR="00464F34" w:rsidRPr="00A30C4C" w:rsidRDefault="00464F34" w:rsidP="00FD239F">
            <w:pPr>
              <w:pStyle w:val="InstructionsText"/>
            </w:pPr>
            <w:r>
              <w:t>Iznos izloženosti umanjen za vrijednosna usklađenja nakon uzimanja u obzir odljeva i priljeva na temelju TEHNIKA SMANJENJA KREDITNOG RIZIKA S UČINCIMA ZAMJENE NA IZLOŽENOST</w:t>
            </w:r>
          </w:p>
        </w:tc>
      </w:tr>
      <w:tr w:rsidR="00464F34" w:rsidRPr="00A30C4C" w14:paraId="5C5D751D" w14:textId="77777777" w:rsidTr="00672D2A">
        <w:tc>
          <w:tcPr>
            <w:tcW w:w="1188" w:type="dxa"/>
          </w:tcPr>
          <w:p w14:paraId="00A3493D" w14:textId="77777777" w:rsidR="00464F34" w:rsidRPr="00A30C4C" w:rsidRDefault="00464F34" w:rsidP="00FD239F">
            <w:pPr>
              <w:pStyle w:val="InstructionsText"/>
            </w:pPr>
            <w:r>
              <w:t>120-140</w:t>
            </w:r>
          </w:p>
        </w:tc>
        <w:tc>
          <w:tcPr>
            <w:tcW w:w="8640" w:type="dxa"/>
          </w:tcPr>
          <w:p w14:paraId="133D63FB" w14:textId="77777777" w:rsidR="00464F34" w:rsidRPr="00A30C4C" w:rsidRDefault="00464F34" w:rsidP="00FD239F">
            <w:pPr>
              <w:pStyle w:val="InstructionsText"/>
            </w:pPr>
            <w:r>
              <w:rPr>
                <w:rStyle w:val="InstructionsTabelleberschrift"/>
                <w:rFonts w:ascii="Times New Roman" w:hAnsi="Times New Roman"/>
                <w:sz w:val="24"/>
              </w:rPr>
              <w:t>TEHNIKE SMANJENJA KREDITNOG RIZIKA KOJE UTJEČU NA IZNOS IZLOŽENOSTI. MATERIJALNA KREDITNA ZAŠTITA, SLOŽENA METODA FINANCIJSKOG KOLATERALA</w:t>
            </w:r>
          </w:p>
          <w:p w14:paraId="35315E37" w14:textId="2F2FBDF5" w:rsidR="00464F34" w:rsidRPr="00A30C4C" w:rsidRDefault="00464F34" w:rsidP="00FD239F">
            <w:pPr>
              <w:pStyle w:val="InstructionsText"/>
            </w:pPr>
            <w:r>
              <w:t>Članci od 223. do 228. CRR-a One uključuju i kreditne zapise (članak 218. CRR-a)</w:t>
            </w:r>
          </w:p>
          <w:p w14:paraId="41F834A4" w14:textId="6E2C3ADA" w:rsidR="00464F34" w:rsidRPr="00A30C4C" w:rsidRDefault="00464F34" w:rsidP="00FD239F">
            <w:pPr>
              <w:pStyle w:val="InstructionsText"/>
            </w:pPr>
            <w:r>
              <w:lastRenderedPageBreak/>
              <w:t xml:space="preserve">Kreditni zapisi iz članka 218. CRR-a i pozicije bilančnog </w:t>
            </w:r>
            <w:proofErr w:type="spellStart"/>
            <w:r>
              <w:t>netiranja</w:t>
            </w:r>
            <w:proofErr w:type="spellEnd"/>
            <w:r>
              <w:t xml:space="preserve"> koje proizlaze iz priznatih sporazuma o bilančnom </w:t>
            </w:r>
            <w:proofErr w:type="spellStart"/>
            <w:r>
              <w:t>netiranju</w:t>
            </w:r>
            <w:proofErr w:type="spellEnd"/>
            <w:r>
              <w:t xml:space="preserve"> iz članka 219. CRR-a tretiraju se kao gotovinski </w:t>
            </w:r>
            <w:proofErr w:type="spellStart"/>
            <w:r>
              <w:t>kolateral</w:t>
            </w:r>
            <w:proofErr w:type="spellEnd"/>
            <w:r>
              <w:t>.</w:t>
            </w:r>
          </w:p>
          <w:p w14:paraId="6A0852CD" w14:textId="1DAFD84E" w:rsidR="00464F34" w:rsidRPr="00A30C4C" w:rsidRDefault="00464F34" w:rsidP="005C14B0">
            <w:pPr>
              <w:pStyle w:val="InstructionsText"/>
            </w:pPr>
            <w:r>
              <w:t xml:space="preserve">Učinak osiguranja kolateralom složene metode financijskog kolaterala koja se primjenjuje na izloženost osiguranu priznatim financijskim kolateralom izračunava se u skladu s člancima od 223. do 228.CRR-a. </w:t>
            </w:r>
          </w:p>
        </w:tc>
      </w:tr>
      <w:tr w:rsidR="00464F34" w:rsidRPr="00A30C4C" w14:paraId="1A2DAD1A" w14:textId="77777777" w:rsidTr="00672D2A">
        <w:tc>
          <w:tcPr>
            <w:tcW w:w="1188" w:type="dxa"/>
          </w:tcPr>
          <w:p w14:paraId="0862AFEE" w14:textId="77777777" w:rsidR="00464F34" w:rsidRPr="00A30C4C" w:rsidRDefault="00464F34" w:rsidP="00FD239F">
            <w:pPr>
              <w:pStyle w:val="InstructionsText"/>
            </w:pPr>
            <w:r>
              <w:lastRenderedPageBreak/>
              <w:t>120</w:t>
            </w:r>
          </w:p>
        </w:tc>
        <w:tc>
          <w:tcPr>
            <w:tcW w:w="8640" w:type="dxa"/>
          </w:tcPr>
          <w:p w14:paraId="4D04017F"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Korektivni faktor za izloženost</w:t>
            </w:r>
          </w:p>
          <w:p w14:paraId="2DBA3C48" w14:textId="4FA2FC7A" w:rsidR="00464F34" w:rsidRPr="00A30C4C" w:rsidRDefault="00167619" w:rsidP="00FD239F">
            <w:pPr>
              <w:pStyle w:val="InstructionsText"/>
            </w:pPr>
            <w:r>
              <w:t>Članak 223. stavci 2. i 3. CRR-a</w:t>
            </w:r>
          </w:p>
          <w:p w14:paraId="5CA75325" w14:textId="3ABCC22A" w:rsidR="00464F34" w:rsidRPr="00A30C4C" w:rsidRDefault="00464F34" w:rsidP="00110F40">
            <w:pPr>
              <w:pStyle w:val="InstructionsText"/>
            </w:pPr>
            <w:r>
              <w:t>Iznos koji se iskazuje utjecaj je korektivnog faktora za izloženost (Eva-E) = E*He</w:t>
            </w:r>
          </w:p>
        </w:tc>
      </w:tr>
      <w:tr w:rsidR="00464F34" w:rsidRPr="00A30C4C" w14:paraId="1328FEEF" w14:textId="77777777" w:rsidTr="00672D2A">
        <w:tc>
          <w:tcPr>
            <w:tcW w:w="1188" w:type="dxa"/>
          </w:tcPr>
          <w:p w14:paraId="65567F2E" w14:textId="77777777" w:rsidR="00464F34" w:rsidRPr="00A30C4C" w:rsidRDefault="00464F34" w:rsidP="00FD239F">
            <w:pPr>
              <w:pStyle w:val="InstructionsText"/>
            </w:pPr>
            <w:r>
              <w:t>130</w:t>
            </w:r>
          </w:p>
        </w:tc>
        <w:tc>
          <w:tcPr>
            <w:tcW w:w="8640" w:type="dxa"/>
          </w:tcPr>
          <w:p w14:paraId="425A0584"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Vrijednost financijskog kolaterala korigirana korektivnim faktorom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14:paraId="129271D2" w14:textId="019500E0" w:rsidR="00464F34" w:rsidRPr="00A30C4C" w:rsidRDefault="00464F34" w:rsidP="00FD239F">
            <w:pPr>
              <w:pStyle w:val="InstructionsText"/>
            </w:pPr>
            <w:r>
              <w:t>Članak 239. stavak 2. CRR-a</w:t>
            </w:r>
          </w:p>
          <w:p w14:paraId="1725491A" w14:textId="7B89B115" w:rsidR="00464F34" w:rsidRPr="00A30C4C" w:rsidRDefault="00464F34" w:rsidP="00FD239F">
            <w:pPr>
              <w:pStyle w:val="InstructionsText"/>
            </w:pPr>
            <w:r>
              <w:t xml:space="preserve">Za poslove iz knjige trgovanja uključuje financijski </w:t>
            </w:r>
            <w:proofErr w:type="spellStart"/>
            <w:r>
              <w:t>kolateral</w:t>
            </w:r>
            <w:proofErr w:type="spellEnd"/>
            <w:r>
              <w:t xml:space="preserve"> i robu priznate za izloženosti iz knjige trgovanja u skladu s člankom 299. stavkom 2. točkama od (c) do (f) CRR-a. </w:t>
            </w:r>
          </w:p>
          <w:p w14:paraId="0C722CAF" w14:textId="0BCFA170" w:rsidR="00464F34" w:rsidRPr="00A30C4C" w:rsidRDefault="00464F34" w:rsidP="00D21B29">
            <w:pPr>
              <w:pStyle w:val="InstructionsText"/>
            </w:pPr>
            <w:r>
              <w:t xml:space="preserve">Iznos koji se iskazuje odgovara </w:t>
            </w:r>
            <w:proofErr w:type="spellStart"/>
            <w:r>
              <w:t>Cvam</w:t>
            </w:r>
            <w:proofErr w:type="spellEnd"/>
            <w:r>
              <w:t xml:space="preserve"> =  C*(1-Hc-Hfx)*(t-t*)/(T-t*). C, </w:t>
            </w:r>
            <w:proofErr w:type="spellStart"/>
            <w:r>
              <w:t>Hc</w:t>
            </w:r>
            <w:proofErr w:type="spellEnd"/>
            <w:r>
              <w:t xml:space="preserve">, </w:t>
            </w:r>
            <w:proofErr w:type="spellStart"/>
            <w:r>
              <w:t>Hfx</w:t>
            </w:r>
            <w:proofErr w:type="spellEnd"/>
            <w:r>
              <w:t>, t, T i t* definirani su u dijelu trećem glavi II. poglavlju 4. odjeljcima 4. i 5. CRR-a.</w:t>
            </w:r>
          </w:p>
        </w:tc>
      </w:tr>
      <w:tr w:rsidR="00464F34" w:rsidRPr="00A30C4C" w14:paraId="6DDB92B8" w14:textId="77777777" w:rsidTr="00672D2A">
        <w:tc>
          <w:tcPr>
            <w:tcW w:w="1188" w:type="dxa"/>
          </w:tcPr>
          <w:p w14:paraId="26C8C3A2" w14:textId="77777777" w:rsidR="00464F34" w:rsidRPr="00A30C4C" w:rsidRDefault="00464F34" w:rsidP="00FD239F">
            <w:pPr>
              <w:pStyle w:val="InstructionsText"/>
            </w:pPr>
            <w:r>
              <w:t>140</w:t>
            </w:r>
          </w:p>
        </w:tc>
        <w:tc>
          <w:tcPr>
            <w:tcW w:w="8640" w:type="dxa"/>
          </w:tcPr>
          <w:p w14:paraId="7F05E927" w14:textId="77777777" w:rsidR="00464F34" w:rsidRPr="00A30C4C"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Od čega: korektivni faktor i faktor prilagodbe za efektivno dospijeće</w:t>
            </w:r>
          </w:p>
          <w:p w14:paraId="20CE6C10" w14:textId="694F701E" w:rsidR="00464F34" w:rsidRPr="00A30C4C" w:rsidRDefault="00464F34" w:rsidP="00FD239F">
            <w:pPr>
              <w:pStyle w:val="InstructionsText"/>
            </w:pPr>
            <w:r>
              <w:t xml:space="preserve">Članak 223. stavak 1. CRR-a i članak 239. stavak 2. CRR-a </w:t>
            </w:r>
          </w:p>
          <w:p w14:paraId="2A14750F" w14:textId="77777777" w:rsidR="00464F34" w:rsidRPr="00A30C4C" w:rsidRDefault="00464F34" w:rsidP="00FD239F">
            <w:pPr>
              <w:pStyle w:val="InstructionsText"/>
            </w:pPr>
            <w:r>
              <w:t>Iznos koji se iskazuje zajednički je utjecaj korektivnog faktora i faktora prilagodbe za efektivno dospijeće (</w:t>
            </w:r>
            <w:proofErr w:type="spellStart"/>
            <w:r>
              <w:t>Cvam</w:t>
            </w:r>
            <w:proofErr w:type="spellEnd"/>
            <w:r>
              <w:t>-C) = C*[(1-Hc-Hfx)*(t-t*)/(T-t*)-1], pri čemu je korektivni faktor (</w:t>
            </w:r>
            <w:proofErr w:type="spellStart"/>
            <w:r>
              <w:t>Cva</w:t>
            </w:r>
            <w:proofErr w:type="spellEnd"/>
            <w:r>
              <w:t>-C) = C*[(1-Hc-Hfx)-1], a utjecaj faktora prilagodbe za efektivno dospijeće (</w:t>
            </w:r>
            <w:proofErr w:type="spellStart"/>
            <w:r>
              <w:t>Cvam-Cva</w:t>
            </w:r>
            <w:proofErr w:type="spellEnd"/>
            <w:r>
              <w:t>) = C*(1-Hc-Hfx)*[(t-t*)/(T-t*)-1]</w:t>
            </w:r>
          </w:p>
        </w:tc>
      </w:tr>
      <w:tr w:rsidR="00464F34" w:rsidRPr="00F811C6" w14:paraId="5AC27CBC" w14:textId="77777777" w:rsidTr="00672D2A">
        <w:tc>
          <w:tcPr>
            <w:tcW w:w="1188" w:type="dxa"/>
          </w:tcPr>
          <w:p w14:paraId="1B98879E" w14:textId="77777777" w:rsidR="00464F34" w:rsidRPr="00A30C4C" w:rsidRDefault="00464F34" w:rsidP="00FD239F">
            <w:pPr>
              <w:pStyle w:val="InstructionsText"/>
            </w:pPr>
            <w:r>
              <w:t>150</w:t>
            </w:r>
          </w:p>
        </w:tc>
        <w:tc>
          <w:tcPr>
            <w:tcW w:w="8640" w:type="dxa"/>
          </w:tcPr>
          <w:p w14:paraId="45978C18" w14:textId="77777777" w:rsidR="00464F34" w:rsidRPr="00A30C4C" w:rsidRDefault="00464F34" w:rsidP="00FD239F">
            <w:pPr>
              <w:pStyle w:val="InstructionsText"/>
            </w:pPr>
            <w:r>
              <w:rPr>
                <w:rStyle w:val="InstructionsTabelleberschrift"/>
                <w:rFonts w:ascii="Times New Roman" w:hAnsi="Times New Roman"/>
                <w:sz w:val="24"/>
              </w:rPr>
              <w:t>Potpuno prilagođena vrijednost izloženosti (E*)</w:t>
            </w:r>
          </w:p>
          <w:p w14:paraId="61E64A6F" w14:textId="20614960" w:rsidR="00464F34" w:rsidRPr="00F36287" w:rsidRDefault="00464F34" w:rsidP="00F811C6">
            <w:pPr>
              <w:pStyle w:val="InstructionsText"/>
              <w:rPr>
                <w:b/>
                <w:u w:val="single"/>
              </w:rPr>
            </w:pPr>
            <w:r>
              <w:t>Članak 220. stavak 4., članak 223. stavci od 2. do 5. i članak 228. stavak 1. CRR-a</w:t>
            </w:r>
          </w:p>
        </w:tc>
      </w:tr>
      <w:tr w:rsidR="00464F34" w:rsidRPr="00A30C4C" w14:paraId="1C43E57B" w14:textId="77777777" w:rsidTr="00672D2A">
        <w:tc>
          <w:tcPr>
            <w:tcW w:w="1188" w:type="dxa"/>
          </w:tcPr>
          <w:p w14:paraId="72380E29" w14:textId="77777777" w:rsidR="00464F34" w:rsidRPr="00A30C4C" w:rsidRDefault="00464F34" w:rsidP="00FD239F">
            <w:pPr>
              <w:pStyle w:val="InstructionsText"/>
            </w:pPr>
            <w:r>
              <w:t>160 – 190</w:t>
            </w:r>
          </w:p>
        </w:tc>
        <w:tc>
          <w:tcPr>
            <w:tcW w:w="8640" w:type="dxa"/>
          </w:tcPr>
          <w:p w14:paraId="6B84413D"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Raščlamba potpuno prilagođene vrijednosti izloženosti </w:t>
            </w:r>
            <w:proofErr w:type="spellStart"/>
            <w:r>
              <w:rPr>
                <w:rStyle w:val="InstructionsTabelleberschrift"/>
                <w:rFonts w:ascii="Times New Roman" w:hAnsi="Times New Roman"/>
                <w:sz w:val="24"/>
              </w:rPr>
              <w:t>izvanbilančnih</w:t>
            </w:r>
            <w:proofErr w:type="spellEnd"/>
            <w:r>
              <w:rPr>
                <w:rStyle w:val="InstructionsTabelleberschrift"/>
                <w:rFonts w:ascii="Times New Roman" w:hAnsi="Times New Roman"/>
                <w:sz w:val="24"/>
              </w:rPr>
              <w:t xml:space="preserve"> stavki prema konverzijskim faktorima</w:t>
            </w:r>
          </w:p>
          <w:p w14:paraId="4BC7B539" w14:textId="4F489D4C" w:rsidR="00464F34" w:rsidRPr="00A30C4C" w:rsidRDefault="00464F34" w:rsidP="00FD239F">
            <w:pPr>
              <w:pStyle w:val="InstructionsText"/>
            </w:pPr>
            <w:r>
              <w:t>Članak 111. stavak 1. i članak 4. stavak 1. točka 56. CRR-a Vidjeti i članak 222. stavak 3. i članak 228. stavak 1. CRR-a.</w:t>
            </w:r>
          </w:p>
          <w:p w14:paraId="4780337C" w14:textId="77777777" w:rsidR="000A4C10" w:rsidRPr="00A30C4C" w:rsidRDefault="000A4C10" w:rsidP="00FD239F">
            <w:pPr>
              <w:pStyle w:val="InstructionsText"/>
              <w:rPr>
                <w:b/>
                <w:u w:val="single"/>
              </w:rPr>
            </w:pPr>
            <w:r>
              <w:t>Vrijednosti koje se iskazuju jesu potpuno prilagođene vrijednosti izloženosti prije primjene konverzijskog faktora.</w:t>
            </w:r>
          </w:p>
        </w:tc>
      </w:tr>
      <w:tr w:rsidR="00464F34" w:rsidRPr="00A30C4C" w14:paraId="2134E394" w14:textId="77777777" w:rsidTr="00672D2A">
        <w:tc>
          <w:tcPr>
            <w:tcW w:w="1188" w:type="dxa"/>
          </w:tcPr>
          <w:p w14:paraId="73C75375" w14:textId="77777777" w:rsidR="00464F34" w:rsidRPr="00A30C4C" w:rsidRDefault="00464F34" w:rsidP="00FD239F">
            <w:pPr>
              <w:pStyle w:val="InstructionsText"/>
            </w:pPr>
            <w:r>
              <w:t>200</w:t>
            </w:r>
          </w:p>
        </w:tc>
        <w:tc>
          <w:tcPr>
            <w:tcW w:w="8640" w:type="dxa"/>
          </w:tcPr>
          <w:p w14:paraId="40D99D0D" w14:textId="77777777" w:rsidR="00464F34" w:rsidRPr="00A30C4C" w:rsidRDefault="00464F34" w:rsidP="00FD239F">
            <w:pPr>
              <w:pStyle w:val="InstructionsText"/>
            </w:pPr>
            <w:r>
              <w:rPr>
                <w:rStyle w:val="InstructionsTabelleberschrift"/>
                <w:rFonts w:ascii="Times New Roman" w:hAnsi="Times New Roman"/>
                <w:sz w:val="24"/>
              </w:rPr>
              <w:t>Vrijednost izloženosti</w:t>
            </w:r>
          </w:p>
          <w:p w14:paraId="776AC4C6" w14:textId="4C3A4132" w:rsidR="00464F34" w:rsidRPr="00A30C4C" w:rsidRDefault="00531FC9" w:rsidP="00FD239F">
            <w:pPr>
              <w:pStyle w:val="InstructionsText"/>
            </w:pPr>
            <w:r>
              <w:t>Članak 111. CRR-a i dio treći glava II. poglavlje 4. odjeljak 4. CRR-a</w:t>
            </w:r>
          </w:p>
          <w:p w14:paraId="560BE3F4" w14:textId="4C7F4F4F" w:rsidR="00464F34" w:rsidRPr="00A30C4C" w:rsidRDefault="00464F34" w:rsidP="00D21B29">
            <w:pPr>
              <w:pStyle w:val="InstructionsText"/>
            </w:pPr>
            <w:r>
              <w:t>Vrijednost izloženosti nakon uzimanja u obzir vrijednosnih usklađenja, svih smanjenja kreditnog rizika i kreditnih konverzijskih faktora koju je potrebno dodijeliti ponderima rizika u skladu s člankom 113. i dijelom trećim glavom II. poglavljem 2. odjeljkom 2. CRR-a.</w:t>
            </w:r>
          </w:p>
        </w:tc>
      </w:tr>
      <w:tr w:rsidR="00464F34" w:rsidRPr="00A30C4C" w14:paraId="31B06F73" w14:textId="77777777" w:rsidTr="00672D2A">
        <w:tc>
          <w:tcPr>
            <w:tcW w:w="1188" w:type="dxa"/>
          </w:tcPr>
          <w:p w14:paraId="050B79BD" w14:textId="77777777" w:rsidR="00464F34" w:rsidRPr="00A30C4C" w:rsidRDefault="00464F34" w:rsidP="00FD239F">
            <w:pPr>
              <w:pStyle w:val="InstructionsText"/>
            </w:pPr>
            <w:r>
              <w:t>210</w:t>
            </w:r>
          </w:p>
        </w:tc>
        <w:tc>
          <w:tcPr>
            <w:tcW w:w="8640" w:type="dxa"/>
          </w:tcPr>
          <w:p w14:paraId="2449FA63"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koja proizlazi iz kreditnog rizika druge ugovorne strane</w:t>
            </w:r>
          </w:p>
          <w:p w14:paraId="451780AE" w14:textId="6696BD5C" w:rsidR="00464F34" w:rsidRPr="00A30C4C" w:rsidRDefault="00464F34" w:rsidP="00D21B29">
            <w:pPr>
              <w:pStyle w:val="InstructionsText"/>
              <w:rPr>
                <w:b/>
                <w:u w:val="single"/>
              </w:rPr>
            </w:pPr>
            <w:r>
              <w:t xml:space="preserve">Za izvedene instrumente, repo transakcije, transakcije pozajmljivanja vrijednosnih papira ili robe drugoj ugovornoj strani ili od druge ugovorne strane, transakcije s dugim rokom namire i </w:t>
            </w:r>
            <w:proofErr w:type="spellStart"/>
            <w:r>
              <w:t>maržne</w:t>
            </w:r>
            <w:proofErr w:type="spellEnd"/>
            <w:r>
              <w:t xml:space="preserve"> kredite na koje se primjenjuje dio treći glava II. poglavlje 6. CRR-a, vrijednost izloženosti za kreditni rizik druge ugovorne strane izračunava se u </w:t>
            </w:r>
            <w:r>
              <w:lastRenderedPageBreak/>
              <w:t>skladu s metodama utvrđenima u dijelu trećem glavi II. poglavlju 6. odjeljcima od 2. do 5. CRR-a</w:t>
            </w:r>
          </w:p>
        </w:tc>
      </w:tr>
      <w:tr w:rsidR="00464F34" w:rsidRPr="00A30C4C" w14:paraId="61787D1E" w14:textId="77777777" w:rsidTr="00672D2A">
        <w:tc>
          <w:tcPr>
            <w:tcW w:w="1188" w:type="dxa"/>
          </w:tcPr>
          <w:p w14:paraId="58B05941" w14:textId="77777777" w:rsidR="00464F34" w:rsidRPr="00A30C4C" w:rsidRDefault="00464F34" w:rsidP="00FD239F">
            <w:pPr>
              <w:pStyle w:val="InstructionsText"/>
            </w:pPr>
            <w:r>
              <w:lastRenderedPageBreak/>
              <w:t>215</w:t>
            </w:r>
          </w:p>
        </w:tc>
        <w:tc>
          <w:tcPr>
            <w:tcW w:w="8640" w:type="dxa"/>
          </w:tcPr>
          <w:p w14:paraId="005D0196"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prije primjene pomoćnog faktora za MSP-ove</w:t>
            </w:r>
          </w:p>
          <w:p w14:paraId="0B128B59" w14:textId="2D34EC2D" w:rsidR="00464F34" w:rsidRPr="00A30C4C" w:rsidRDefault="00167619" w:rsidP="0060043C">
            <w:pPr>
              <w:pStyle w:val="InstructionsText"/>
              <w:rPr>
                <w:b/>
                <w:u w:val="single"/>
              </w:rPr>
            </w:pPr>
            <w:r>
              <w:t>Članak 113. stavci od 1. do 5. CRR-a, ne uzimajući u obzir pomoćni faktor za MSP-ove u skladu s člankom 501. CRR-a.</w:t>
            </w:r>
          </w:p>
        </w:tc>
      </w:tr>
      <w:tr w:rsidR="00464F34" w:rsidRPr="00A30C4C" w14:paraId="119C4055" w14:textId="77777777" w:rsidTr="00672D2A">
        <w:tc>
          <w:tcPr>
            <w:tcW w:w="1188" w:type="dxa"/>
          </w:tcPr>
          <w:p w14:paraId="6664E16C" w14:textId="77777777" w:rsidR="00464F34" w:rsidRPr="00A30C4C" w:rsidRDefault="00464F34" w:rsidP="00FD239F">
            <w:pPr>
              <w:pStyle w:val="InstructionsText"/>
            </w:pPr>
            <w:r>
              <w:t>220</w:t>
            </w:r>
          </w:p>
        </w:tc>
        <w:tc>
          <w:tcPr>
            <w:tcW w:w="8640" w:type="dxa"/>
          </w:tcPr>
          <w:p w14:paraId="4728CE9D"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Iznos izloženosti ponderiran rizikom nakon pomoćnog faktora za MSP-ove</w:t>
            </w:r>
          </w:p>
          <w:p w14:paraId="038B49D6" w14:textId="62C3D46E" w:rsidR="00464F34" w:rsidRPr="00A30C4C" w:rsidRDefault="00167619" w:rsidP="0060043C">
            <w:pPr>
              <w:pStyle w:val="InstructionsText"/>
              <w:rPr>
                <w:b/>
                <w:u w:val="single"/>
              </w:rPr>
            </w:pPr>
            <w:r>
              <w:t>Članak 113. stavci od 1. do 5. CRR-a, uzimajući u obzir pomoćni faktor za MSP-ove u skladu s člankom 501. CRR-a.</w:t>
            </w:r>
          </w:p>
        </w:tc>
      </w:tr>
      <w:tr w:rsidR="00464F34" w:rsidRPr="00A30C4C" w14:paraId="1ADA61B6" w14:textId="77777777" w:rsidTr="00672D2A">
        <w:tc>
          <w:tcPr>
            <w:tcW w:w="1188" w:type="dxa"/>
            <w:shd w:val="clear" w:color="auto" w:fill="auto"/>
          </w:tcPr>
          <w:p w14:paraId="325CA916" w14:textId="77777777" w:rsidR="00464F34" w:rsidRPr="00A30C4C" w:rsidRDefault="00464F34" w:rsidP="00FD239F">
            <w:pPr>
              <w:pStyle w:val="InstructionsText"/>
            </w:pPr>
            <w:r>
              <w:t>230</w:t>
            </w:r>
          </w:p>
        </w:tc>
        <w:tc>
          <w:tcPr>
            <w:tcW w:w="8640" w:type="dxa"/>
            <w:shd w:val="clear" w:color="auto" w:fill="auto"/>
          </w:tcPr>
          <w:p w14:paraId="27CF9147"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procjenom kreditnog rizika odabranog VIPKR-a</w:t>
            </w:r>
          </w:p>
          <w:p w14:paraId="610513ED" w14:textId="1C7A2AD8" w:rsidR="003812AC" w:rsidRPr="00A30C4C" w:rsidRDefault="00D21B29" w:rsidP="00D21B29">
            <w:pPr>
              <w:pStyle w:val="InstructionsText"/>
            </w:pPr>
            <w:r>
              <w:t>Članak 112. točke od (a) do (d), (f), (g), (l), (n) (o) i (q) CRR-a</w:t>
            </w:r>
          </w:p>
        </w:tc>
      </w:tr>
      <w:tr w:rsidR="00464F34" w:rsidRPr="00A30C4C" w14:paraId="65863454" w14:textId="77777777" w:rsidTr="00672D2A">
        <w:tc>
          <w:tcPr>
            <w:tcW w:w="1188" w:type="dxa"/>
            <w:shd w:val="clear" w:color="auto" w:fill="auto"/>
          </w:tcPr>
          <w:p w14:paraId="46E34B33" w14:textId="77777777" w:rsidR="00464F34" w:rsidRPr="00A30C4C" w:rsidRDefault="00464F34" w:rsidP="00FD239F">
            <w:pPr>
              <w:pStyle w:val="InstructionsText"/>
            </w:pPr>
            <w:r>
              <w:t>240</w:t>
            </w:r>
          </w:p>
        </w:tc>
        <w:tc>
          <w:tcPr>
            <w:tcW w:w="8640" w:type="dxa"/>
            <w:shd w:val="clear" w:color="auto" w:fill="auto"/>
          </w:tcPr>
          <w:p w14:paraId="18C8B354"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s procjenom kreditnog rizika središnje države</w:t>
            </w:r>
          </w:p>
          <w:p w14:paraId="66946226" w14:textId="0EB85471" w:rsidR="003812AC" w:rsidRPr="00A30C4C" w:rsidRDefault="00D21B29" w:rsidP="00D21B29">
            <w:pPr>
              <w:pStyle w:val="InstructionsText"/>
            </w:pPr>
            <w:r>
              <w:t>Članak 112. točke od (b) do (d), (f), (g), (l) i (o) CRR-a</w:t>
            </w:r>
          </w:p>
        </w:tc>
      </w:tr>
    </w:tbl>
    <w:p w14:paraId="68926343" w14:textId="77777777" w:rsidR="00464F34" w:rsidRPr="00A30C4C"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A30C4C" w14:paraId="0E4351BB" w14:textId="77777777" w:rsidTr="00672D2A">
        <w:tc>
          <w:tcPr>
            <w:tcW w:w="1188" w:type="dxa"/>
            <w:shd w:val="clear" w:color="auto" w:fill="CCCCCC"/>
          </w:tcPr>
          <w:p w14:paraId="52F6FEFE" w14:textId="77777777" w:rsidR="00464F34" w:rsidRPr="00A30C4C" w:rsidRDefault="007106FB" w:rsidP="00FD239F">
            <w:pPr>
              <w:pStyle w:val="InstructionsText"/>
            </w:pPr>
            <w:r>
              <w:t>Redci</w:t>
            </w:r>
          </w:p>
        </w:tc>
        <w:tc>
          <w:tcPr>
            <w:tcW w:w="8701" w:type="dxa"/>
            <w:shd w:val="clear" w:color="auto" w:fill="CCCCCC"/>
          </w:tcPr>
          <w:p w14:paraId="68A14790" w14:textId="77777777" w:rsidR="00464F34" w:rsidRPr="00A30C4C" w:rsidRDefault="00464F34" w:rsidP="00FD239F">
            <w:pPr>
              <w:pStyle w:val="InstructionsText"/>
            </w:pPr>
            <w:r>
              <w:t>Upute</w:t>
            </w:r>
          </w:p>
        </w:tc>
      </w:tr>
      <w:tr w:rsidR="00464F34" w:rsidRPr="00A30C4C" w14:paraId="4B0F93DE" w14:textId="77777777" w:rsidTr="00672D2A">
        <w:tc>
          <w:tcPr>
            <w:tcW w:w="1188" w:type="dxa"/>
          </w:tcPr>
          <w:p w14:paraId="47A3346C" w14:textId="77777777" w:rsidR="00464F34" w:rsidRPr="00A30C4C" w:rsidRDefault="00464F34" w:rsidP="00FD239F">
            <w:pPr>
              <w:pStyle w:val="InstructionsText"/>
            </w:pPr>
            <w:r>
              <w:t>010</w:t>
            </w:r>
          </w:p>
        </w:tc>
        <w:tc>
          <w:tcPr>
            <w:tcW w:w="8701" w:type="dxa"/>
          </w:tcPr>
          <w:p w14:paraId="5B1EE3A2" w14:textId="77777777" w:rsidR="00464F34" w:rsidRPr="00A30C4C" w:rsidRDefault="00464F34" w:rsidP="00FD239F">
            <w:pPr>
              <w:pStyle w:val="InstructionsText"/>
            </w:pPr>
            <w:r>
              <w:rPr>
                <w:rStyle w:val="InstructionsTabelleberschrift"/>
                <w:rFonts w:ascii="Times New Roman" w:hAnsi="Times New Roman"/>
                <w:sz w:val="24"/>
              </w:rPr>
              <w:t>Ukupne izloženosti</w:t>
            </w:r>
          </w:p>
        </w:tc>
      </w:tr>
      <w:tr w:rsidR="00610B56" w:rsidRPr="00A30C4C" w14:paraId="6FB1CA8B" w14:textId="77777777" w:rsidTr="00672D2A">
        <w:tc>
          <w:tcPr>
            <w:tcW w:w="1188" w:type="dxa"/>
          </w:tcPr>
          <w:p w14:paraId="2FA89992" w14:textId="77777777" w:rsidR="00610B56" w:rsidRPr="00A30C4C" w:rsidRDefault="00610B56" w:rsidP="00FD239F">
            <w:pPr>
              <w:pStyle w:val="InstructionsText"/>
            </w:pPr>
            <w:r>
              <w:t>015</w:t>
            </w:r>
          </w:p>
        </w:tc>
        <w:tc>
          <w:tcPr>
            <w:tcW w:w="8701" w:type="dxa"/>
          </w:tcPr>
          <w:p w14:paraId="72183B6C" w14:textId="77777777" w:rsidR="00D21B29" w:rsidRPr="00A30C4C" w:rsidRDefault="00F5132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sa statusom neispunjavanja obveza u kategorijama izloženosti „visokorizične stavke” i „izloženosti na osnovi vlasničkih ulaganja”.</w:t>
            </w:r>
          </w:p>
          <w:p w14:paraId="26AC7FB8" w14:textId="77777777" w:rsidR="00610B56" w:rsidRPr="00A30C4C" w:rsidRDefault="00610B56" w:rsidP="00FD239F">
            <w:pPr>
              <w:pStyle w:val="InstructionsText"/>
            </w:pPr>
            <w:r>
              <w:t>Članak 127. CRR-a</w:t>
            </w:r>
          </w:p>
          <w:p w14:paraId="42AC7575" w14:textId="77777777" w:rsidR="00610B56" w:rsidRPr="00A30C4C" w:rsidRDefault="00610B56" w:rsidP="00FD239F">
            <w:pPr>
              <w:pStyle w:val="InstructionsText"/>
            </w:pPr>
            <w:r>
              <w:t xml:space="preserve">Ovaj se redak iskazuje samo u kategorijama izloženosti „visokorizične stavke” i „izloženosti na osnovi vlasničkih ulaganja”. </w:t>
            </w:r>
          </w:p>
          <w:p w14:paraId="6D22EB82" w14:textId="414AE176" w:rsidR="00761891" w:rsidRPr="00A30C4C" w:rsidRDefault="00167619" w:rsidP="00167619">
            <w:pPr>
              <w:pStyle w:val="InstructionsText"/>
            </w:pPr>
            <w:r>
              <w:t>Izloženost koja je navedena u članku 128. stavku 2. CRR-a ili koja ispunjava uvjete iz članka 128. stavka 3. ili članka 133. CRR-a, raspoređuje se u kategoriju izloženosti „visokorizične stavke” ili „izloženosti na osnovi vlasničkih ulaganja”. U skladu s time ne smije postojati drugačija raspodjela čak i ako izloženost ima status neispunjavanja obveza iz članka 127. CRR-a.</w:t>
            </w:r>
          </w:p>
        </w:tc>
      </w:tr>
      <w:tr w:rsidR="00464F34" w:rsidRPr="00A30C4C" w14:paraId="288A445F" w14:textId="77777777" w:rsidTr="00672D2A">
        <w:tc>
          <w:tcPr>
            <w:tcW w:w="1188" w:type="dxa"/>
            <w:shd w:val="clear" w:color="auto" w:fill="auto"/>
          </w:tcPr>
          <w:p w14:paraId="12B41B21" w14:textId="77777777" w:rsidR="00464F34" w:rsidRPr="00A30C4C" w:rsidRDefault="00462BAB" w:rsidP="00FD239F">
            <w:pPr>
              <w:pStyle w:val="InstructionsText"/>
            </w:pPr>
            <w:r>
              <w:t>020</w:t>
            </w:r>
          </w:p>
        </w:tc>
        <w:tc>
          <w:tcPr>
            <w:tcW w:w="8701" w:type="dxa"/>
            <w:shd w:val="clear" w:color="auto" w:fill="auto"/>
          </w:tcPr>
          <w:p w14:paraId="2281725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MSP</w:t>
            </w:r>
          </w:p>
          <w:p w14:paraId="5B0D4E86" w14:textId="77777777" w:rsidR="00464F34" w:rsidRPr="00A30C4C" w:rsidRDefault="00464F34" w:rsidP="00FD239F">
            <w:pPr>
              <w:pStyle w:val="InstructionsText"/>
            </w:pPr>
            <w:r>
              <w:t xml:space="preserve">Sve izloženosti prema MSP-ovima iskazuju se ovdje. </w:t>
            </w:r>
          </w:p>
        </w:tc>
      </w:tr>
      <w:tr w:rsidR="00464F34" w:rsidRPr="00A30C4C" w14:paraId="18A6138B" w14:textId="77777777" w:rsidTr="00672D2A">
        <w:tc>
          <w:tcPr>
            <w:tcW w:w="1188" w:type="dxa"/>
            <w:shd w:val="clear" w:color="auto" w:fill="auto"/>
          </w:tcPr>
          <w:p w14:paraId="5B6DB43F" w14:textId="77777777" w:rsidR="00464F34" w:rsidRPr="00A30C4C" w:rsidRDefault="00462BAB" w:rsidP="00FD239F">
            <w:pPr>
              <w:pStyle w:val="InstructionsText"/>
            </w:pPr>
            <w:r>
              <w:t>030</w:t>
            </w:r>
          </w:p>
        </w:tc>
        <w:tc>
          <w:tcPr>
            <w:tcW w:w="8701" w:type="dxa"/>
            <w:shd w:val="clear" w:color="auto" w:fill="auto"/>
          </w:tcPr>
          <w:p w14:paraId="1AA8B685"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koje podliježu pomoćnom faktoru za MSP-ove</w:t>
            </w:r>
          </w:p>
          <w:p w14:paraId="556ED9CB" w14:textId="77777777" w:rsidR="00464F34" w:rsidRPr="00A30C4C" w:rsidRDefault="00464F34" w:rsidP="00FD239F">
            <w:pPr>
              <w:pStyle w:val="InstructionsText"/>
            </w:pPr>
            <w:r>
              <w:t xml:space="preserve">Ovdje se iskazuju samo izloženosti koje ispunjavaju zahtjeve iz članka 501. CRR-a. </w:t>
            </w:r>
          </w:p>
        </w:tc>
      </w:tr>
      <w:tr w:rsidR="00464F34" w:rsidRPr="00A30C4C" w14:paraId="3D1028AB" w14:textId="77777777" w:rsidTr="00672D2A">
        <w:tc>
          <w:tcPr>
            <w:tcW w:w="1188" w:type="dxa"/>
            <w:shd w:val="clear" w:color="auto" w:fill="auto"/>
          </w:tcPr>
          <w:p w14:paraId="36488A52" w14:textId="77777777" w:rsidR="00464F34" w:rsidRPr="00A30C4C" w:rsidRDefault="00462BAB" w:rsidP="00FD239F">
            <w:pPr>
              <w:pStyle w:val="InstructionsText"/>
            </w:pPr>
            <w:r>
              <w:t>040</w:t>
            </w:r>
          </w:p>
        </w:tc>
        <w:tc>
          <w:tcPr>
            <w:tcW w:w="8701" w:type="dxa"/>
            <w:shd w:val="clear" w:color="auto" w:fill="auto"/>
          </w:tcPr>
          <w:p w14:paraId="17EF48ED"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osigurane nekretninama – stambene nekretnine</w:t>
            </w:r>
          </w:p>
          <w:p w14:paraId="51CD7D78" w14:textId="6631FB20" w:rsidR="00464F34" w:rsidRPr="00A30C4C" w:rsidRDefault="00464F34" w:rsidP="00FD239F">
            <w:pPr>
              <w:pStyle w:val="InstructionsText"/>
            </w:pPr>
            <w:r>
              <w:t>Članak 125. CRR-a</w:t>
            </w:r>
          </w:p>
          <w:p w14:paraId="53534879" w14:textId="77777777" w:rsidR="00464F34" w:rsidRPr="00A30C4C" w:rsidRDefault="00464F34" w:rsidP="00FD239F">
            <w:pPr>
              <w:pStyle w:val="InstructionsText"/>
              <w:rPr>
                <w:b/>
                <w:u w:val="single"/>
              </w:rPr>
            </w:pPr>
            <w:r>
              <w:t>Iskazuju se samo u kategoriji izloženosti „osigurane nekretninama”.</w:t>
            </w:r>
          </w:p>
        </w:tc>
      </w:tr>
      <w:tr w:rsidR="00464F34" w:rsidRPr="00A30C4C" w14:paraId="273F4B3B" w14:textId="77777777" w:rsidTr="00672D2A">
        <w:tc>
          <w:tcPr>
            <w:tcW w:w="1188" w:type="dxa"/>
            <w:shd w:val="clear" w:color="auto" w:fill="auto"/>
          </w:tcPr>
          <w:p w14:paraId="2FF4F260" w14:textId="77777777" w:rsidR="00464F34" w:rsidRPr="00A30C4C" w:rsidRDefault="00462BAB" w:rsidP="00FD239F">
            <w:pPr>
              <w:pStyle w:val="InstructionsText"/>
            </w:pPr>
            <w:r>
              <w:t>050</w:t>
            </w:r>
          </w:p>
        </w:tc>
        <w:tc>
          <w:tcPr>
            <w:tcW w:w="8701" w:type="dxa"/>
            <w:shd w:val="clear" w:color="auto" w:fill="auto"/>
          </w:tcPr>
          <w:p w14:paraId="630326F0" w14:textId="267BE7F2"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 trajnim izuzećem od primjene standardiziranog pristupa</w:t>
            </w:r>
          </w:p>
          <w:p w14:paraId="0AF9ABC5" w14:textId="040B68BE" w:rsidR="00464F34" w:rsidRPr="00A30C4C" w:rsidRDefault="00464F34" w:rsidP="005965CE">
            <w:pPr>
              <w:pStyle w:val="InstructionsText"/>
            </w:pPr>
            <w:r>
              <w:t>Izloženosti na koje je primijenjen standardizirani pristup u skladu s člankom 150. stavkom 1. CRR-a</w:t>
            </w:r>
          </w:p>
        </w:tc>
      </w:tr>
      <w:tr w:rsidR="00464F34" w:rsidRPr="00A30C4C" w14:paraId="48E7C094" w14:textId="77777777" w:rsidTr="00672D2A">
        <w:tc>
          <w:tcPr>
            <w:tcW w:w="1188" w:type="dxa"/>
            <w:shd w:val="clear" w:color="auto" w:fill="auto"/>
          </w:tcPr>
          <w:p w14:paraId="4235E5C8" w14:textId="77777777" w:rsidR="00464F34" w:rsidRPr="00A30C4C" w:rsidRDefault="00462BAB" w:rsidP="00FD239F">
            <w:pPr>
              <w:pStyle w:val="InstructionsText"/>
            </w:pPr>
            <w:r>
              <w:t>060</w:t>
            </w:r>
          </w:p>
        </w:tc>
        <w:tc>
          <w:tcPr>
            <w:tcW w:w="8701" w:type="dxa"/>
            <w:shd w:val="clear" w:color="auto" w:fill="auto"/>
          </w:tcPr>
          <w:p w14:paraId="28BD1135" w14:textId="44BDF03A"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izloženosti u skladu sa standardiziranim pristupom s prethodnim nadzornim odobrenjem za postupno uvođenje IRB pristupa</w:t>
            </w:r>
          </w:p>
          <w:p w14:paraId="7849F924" w14:textId="0710D6C0" w:rsidR="00464F34" w:rsidRPr="00A30C4C" w:rsidRDefault="00464F34" w:rsidP="005965CE">
            <w:pPr>
              <w:pStyle w:val="InstructionsText"/>
            </w:pPr>
            <w:r>
              <w:lastRenderedPageBreak/>
              <w:t xml:space="preserve">Članak 148. stavak 1. CRR-a </w:t>
            </w:r>
          </w:p>
        </w:tc>
      </w:tr>
      <w:tr w:rsidR="00464F34" w:rsidRPr="00A30C4C" w14:paraId="20C71889" w14:textId="77777777" w:rsidTr="00672D2A">
        <w:tc>
          <w:tcPr>
            <w:tcW w:w="1188" w:type="dxa"/>
          </w:tcPr>
          <w:p w14:paraId="7DD3DA2F" w14:textId="77777777" w:rsidR="00464F34" w:rsidRPr="00A30C4C" w:rsidRDefault="00462BAB" w:rsidP="00FD239F">
            <w:pPr>
              <w:pStyle w:val="InstructionsText"/>
            </w:pPr>
            <w:r>
              <w:lastRenderedPageBreak/>
              <w:t>070-130</w:t>
            </w:r>
          </w:p>
        </w:tc>
        <w:tc>
          <w:tcPr>
            <w:tcW w:w="8701" w:type="dxa"/>
          </w:tcPr>
          <w:p w14:paraId="436636E8"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UKUPNIH IZLOŽENOSTI PREMA VRSTMA IZLOŽENOSTI</w:t>
            </w:r>
          </w:p>
          <w:p w14:paraId="4355499C" w14:textId="77777777" w:rsidR="00464F34" w:rsidRPr="00A30C4C" w:rsidRDefault="00464F34" w:rsidP="00FD239F">
            <w:pPr>
              <w:pStyle w:val="InstructionsText"/>
            </w:pPr>
            <w:r>
              <w:t xml:space="preserve">Pozicije iz „knjige pozicija kojima se ne trguje” institucije koja izvješćuje raščlanjuju se u skladu s kriterijima u nastavku na bilančne izloženosti koje podliježu kreditnom riziku, </w:t>
            </w:r>
            <w:proofErr w:type="spellStart"/>
            <w:r>
              <w:t>izvanbilančne</w:t>
            </w:r>
            <w:proofErr w:type="spellEnd"/>
            <w:r>
              <w:t xml:space="preserve"> izloženosti koje podliježu kreditnom riziku i izloženosti koje podliježu kreditnom riziku druge ugovorne strane. </w:t>
            </w:r>
          </w:p>
          <w:p w14:paraId="39F5ABA8" w14:textId="775736A3" w:rsidR="00464F34" w:rsidRPr="00A30C4C" w:rsidRDefault="009F45B7" w:rsidP="009F45B7">
            <w:pPr>
              <w:pStyle w:val="InstructionsText"/>
            </w:pPr>
            <w:r>
              <w:t xml:space="preserve">Izloženosti koje podliježu kreditnom riziku druge ugovorne strane koje proizlaze iz knjige trgovanja institucije iz članka 92. stavka 3. točke (f) i članka 299. stavka 2. raspoređuju se u izloženosti koje podliježu kreditnom riziku druge ugovorne strane. I institucije koje primjenjuju članak 94. stavak 1. CRR-a svoje pozicije iz „knjige trgovanja” raščlanjuju u skladu s kriterijima u nastavku na bilančne izloženosti koje podliježu kreditnom riziku, </w:t>
            </w:r>
            <w:proofErr w:type="spellStart"/>
            <w:r>
              <w:t>izvanbilančne</w:t>
            </w:r>
            <w:proofErr w:type="spellEnd"/>
            <w:r>
              <w:t xml:space="preserve"> izloženosti koje podliježu kreditnom riziku i izloženosti koje podliježu kreditnom riziku druge ugovorne strane.</w:t>
            </w:r>
          </w:p>
        </w:tc>
      </w:tr>
      <w:tr w:rsidR="00464F34" w:rsidRPr="00A30C4C" w14:paraId="62D92739" w14:textId="77777777" w:rsidTr="00672D2A">
        <w:tc>
          <w:tcPr>
            <w:tcW w:w="1188" w:type="dxa"/>
          </w:tcPr>
          <w:p w14:paraId="110504B5" w14:textId="77777777" w:rsidR="00464F34" w:rsidRPr="00A30C4C" w:rsidRDefault="00462BAB" w:rsidP="00FD239F">
            <w:pPr>
              <w:pStyle w:val="InstructionsText"/>
            </w:pPr>
            <w:r>
              <w:t>070</w:t>
            </w:r>
          </w:p>
        </w:tc>
        <w:tc>
          <w:tcPr>
            <w:tcW w:w="8701" w:type="dxa"/>
          </w:tcPr>
          <w:p w14:paraId="08924B6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Bilančne izloženosti koje podliježu kreditnom riziku </w:t>
            </w:r>
          </w:p>
          <w:p w14:paraId="6F646CDC" w14:textId="67D7F948" w:rsidR="00464F34" w:rsidRPr="00A30C4C" w:rsidRDefault="00464F34" w:rsidP="00FD239F">
            <w:pPr>
              <w:pStyle w:val="InstructionsText"/>
            </w:pPr>
            <w:r>
              <w:t>Imovina iz članka 24. CRR-a koja nije uključena u neku drugu kategoriju.</w:t>
            </w:r>
          </w:p>
          <w:p w14:paraId="7AB13312" w14:textId="77777777" w:rsidR="00464F34" w:rsidRPr="00A30C4C" w:rsidRDefault="00464F34" w:rsidP="00FD239F">
            <w:pPr>
              <w:pStyle w:val="InstructionsText"/>
            </w:pPr>
            <w:r>
              <w:t xml:space="preserve">Izloženosti, koje su bilančne stavke i koje su uključene kao transakcije financiranja vrijednosnim papirima, izvedenice i transakcije s dugim rokom namire ili iz </w:t>
            </w:r>
            <w:proofErr w:type="spellStart"/>
            <w:r>
              <w:t>netiranja</w:t>
            </w:r>
            <w:proofErr w:type="spellEnd"/>
            <w:r>
              <w:t xml:space="preserve"> između različitih kategorija proizvoda, iskazuju se u redcima 090, 110 i 130 te se, stoga, ne iskazuju u ovom retku. </w:t>
            </w:r>
          </w:p>
          <w:p w14:paraId="7B01432E" w14:textId="2C70B313" w:rsidR="00464F34" w:rsidRPr="00A30C4C" w:rsidRDefault="00464F34" w:rsidP="00FD239F">
            <w:pPr>
              <w:pStyle w:val="InstructionsText"/>
            </w:pPr>
            <w:r>
              <w:t>Slobodne isporuke iz članka 379. stavka 1. CRR-a (ako nisu odbijene) nisu bilančne stavke, ali se ipak iskazuju u ovom retku.</w:t>
            </w:r>
          </w:p>
          <w:p w14:paraId="7A7B2F79" w14:textId="73C35E31" w:rsidR="00464F34" w:rsidRPr="00A30C4C" w:rsidRDefault="00464F34" w:rsidP="001B023A">
            <w:pPr>
              <w:pStyle w:val="InstructionsText"/>
              <w:rPr>
                <w:b/>
                <w:u w:val="single"/>
              </w:rPr>
            </w:pPr>
            <w:r>
              <w:t xml:space="preserve">Izloženosti koje proizlaze iz imovine uplaćene središnjoj drugoj ugovornoj strani kako je definirana u članku 4. stavku 1. točki 90. CRR-a uključuju se ako nisu iskazane u retku 080. </w:t>
            </w:r>
          </w:p>
        </w:tc>
      </w:tr>
      <w:tr w:rsidR="00464F34" w:rsidRPr="00A30C4C" w14:paraId="73DA2F80" w14:textId="77777777" w:rsidTr="00672D2A">
        <w:tc>
          <w:tcPr>
            <w:tcW w:w="1188" w:type="dxa"/>
          </w:tcPr>
          <w:p w14:paraId="3FC28FB2" w14:textId="77777777" w:rsidR="00464F34" w:rsidRPr="00A30C4C" w:rsidRDefault="00462BAB" w:rsidP="00FD239F">
            <w:pPr>
              <w:pStyle w:val="InstructionsText"/>
            </w:pPr>
            <w:r>
              <w:t>080</w:t>
            </w:r>
          </w:p>
        </w:tc>
        <w:tc>
          <w:tcPr>
            <w:tcW w:w="8701" w:type="dxa"/>
          </w:tcPr>
          <w:p w14:paraId="260F7F46" w14:textId="77777777" w:rsidR="00464F34" w:rsidRPr="00A30C4C" w:rsidRDefault="00464F34" w:rsidP="00FD239F">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Izvanbilančne</w:t>
            </w:r>
            <w:proofErr w:type="spellEnd"/>
            <w:r>
              <w:rPr>
                <w:rStyle w:val="InstructionsTabelleberschrift"/>
                <w:rFonts w:ascii="Times New Roman" w:hAnsi="Times New Roman"/>
                <w:sz w:val="24"/>
              </w:rPr>
              <w:t xml:space="preserve"> izloženosti koje podliježu kreditnom riziku</w:t>
            </w:r>
          </w:p>
          <w:p w14:paraId="3B927194" w14:textId="3A42F2FD" w:rsidR="00464F34" w:rsidRPr="00A30C4C" w:rsidRDefault="00464F34" w:rsidP="00FD239F">
            <w:pPr>
              <w:pStyle w:val="InstructionsText"/>
            </w:pPr>
            <w:proofErr w:type="spellStart"/>
            <w:r>
              <w:t>Izvanbilančnim</w:t>
            </w:r>
            <w:proofErr w:type="spellEnd"/>
            <w:r>
              <w:t xml:space="preserve"> pozicijama obuhvaćene su stavke navedene u Prilogu I. CRR-a.</w:t>
            </w:r>
          </w:p>
          <w:p w14:paraId="7C1C09BD" w14:textId="2AEFA941" w:rsidR="00464F34" w:rsidRPr="00A30C4C" w:rsidRDefault="00464F34" w:rsidP="00FD239F">
            <w:pPr>
              <w:pStyle w:val="InstructionsText"/>
            </w:pPr>
            <w:r>
              <w:t xml:space="preserve">Izloženosti, koje su </w:t>
            </w:r>
            <w:proofErr w:type="spellStart"/>
            <w:r>
              <w:t>izvanbilančne</w:t>
            </w:r>
            <w:proofErr w:type="spellEnd"/>
            <w:r>
              <w:t xml:space="preserve"> stavke i koje su uključene kao transakcije financiranja vrijednosnim papirima, izvedenice i transakcije s dugim rokom namire ili iz </w:t>
            </w:r>
            <w:proofErr w:type="spellStart"/>
            <w:r>
              <w:t>netiranja</w:t>
            </w:r>
            <w:proofErr w:type="spellEnd"/>
            <w:r>
              <w:t xml:space="preserve"> između različitih kategorija proizvoda, iskazuju se u redcima 090, 110 i 130 te se, stoga, ne iskazuju u ovom retku.</w:t>
            </w:r>
          </w:p>
          <w:p w14:paraId="5AAE82BB" w14:textId="12612346" w:rsidR="00464F34" w:rsidRPr="00A30C4C" w:rsidRDefault="00464F34" w:rsidP="001B023A">
            <w:pPr>
              <w:pStyle w:val="InstructionsText"/>
              <w:rPr>
                <w:b/>
                <w:u w:val="single"/>
              </w:rPr>
            </w:pPr>
            <w:r>
              <w:t xml:space="preserve">Izloženosti koje proizlaze iz imovine uplaćene središnjoj drugoj ugovornoj strani kako je definirano u članku 4. stavku 1. točki 90. CRR-a uključuju se ako se smatraju </w:t>
            </w:r>
            <w:proofErr w:type="spellStart"/>
            <w:r>
              <w:t>izvanbilančnim</w:t>
            </w:r>
            <w:proofErr w:type="spellEnd"/>
            <w:r>
              <w:t xml:space="preserve"> stavkama.</w:t>
            </w:r>
          </w:p>
        </w:tc>
      </w:tr>
      <w:tr w:rsidR="003C3168" w:rsidRPr="00A30C4C"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3C3168" w:rsidRPr="00A30C4C" w:rsidRDefault="003C3168" w:rsidP="00FD239F">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3C3168" w:rsidRPr="00A30C4C" w:rsidRDefault="003C3168" w:rsidP="00FD239F">
            <w:pPr>
              <w:pStyle w:val="InstructionsText"/>
            </w:pPr>
            <w:r>
              <w:rPr>
                <w:rStyle w:val="InstructionsTabelleberschrift"/>
                <w:rFonts w:ascii="Times New Roman" w:hAnsi="Times New Roman"/>
                <w:sz w:val="24"/>
              </w:rPr>
              <w:t>Izloženosti/transakcije koje podliježu kreditnom riziku druge ugovorne strane</w:t>
            </w:r>
          </w:p>
        </w:tc>
      </w:tr>
      <w:tr w:rsidR="00464F34" w:rsidRPr="00A30C4C" w14:paraId="498A4859" w14:textId="77777777" w:rsidTr="00672D2A">
        <w:tc>
          <w:tcPr>
            <w:tcW w:w="1188" w:type="dxa"/>
          </w:tcPr>
          <w:p w14:paraId="23B5FC5B" w14:textId="77777777" w:rsidR="00464F34" w:rsidRPr="00A30C4C" w:rsidRDefault="00462BAB" w:rsidP="00FD239F">
            <w:pPr>
              <w:pStyle w:val="InstructionsText"/>
            </w:pPr>
            <w:r>
              <w:t>090</w:t>
            </w:r>
          </w:p>
        </w:tc>
        <w:tc>
          <w:tcPr>
            <w:tcW w:w="8701" w:type="dxa"/>
          </w:tcPr>
          <w:p w14:paraId="179F042E" w14:textId="77777777" w:rsidR="00464F34" w:rsidRPr="00A30C4C" w:rsidRDefault="00464F34" w:rsidP="00FD239F">
            <w:pPr>
              <w:pStyle w:val="InstructionsText"/>
            </w:pPr>
            <w:r>
              <w:rPr>
                <w:rStyle w:val="InstructionsTabelleberschrift"/>
                <w:rFonts w:ascii="Times New Roman" w:hAnsi="Times New Roman"/>
                <w:sz w:val="24"/>
              </w:rPr>
              <w:t xml:space="preserve">Transakcije financiranja vrijednosnim papirima </w:t>
            </w:r>
          </w:p>
          <w:p w14:paraId="4A701960" w14:textId="60AE85B1" w:rsidR="00464F34" w:rsidRPr="00A30C4C" w:rsidRDefault="00464F34" w:rsidP="00764BC5">
            <w:pPr>
              <w:pStyle w:val="InstructionsText"/>
            </w:pPr>
            <w:r>
              <w:t>Transakcije financiranja vrijednosnim papirima, kako su definirane u točki 17. dokumenta Bazelskog odbora „</w:t>
            </w:r>
            <w:proofErr w:type="spellStart"/>
            <w:r>
              <w:t>The</w:t>
            </w:r>
            <w:proofErr w:type="spellEnd"/>
            <w:r>
              <w:t xml:space="preserve"> </w:t>
            </w:r>
            <w:proofErr w:type="spellStart"/>
            <w:r>
              <w:t>Application</w:t>
            </w:r>
            <w:proofErr w:type="spellEnd"/>
            <w:r>
              <w:t xml:space="preserve"> </w:t>
            </w:r>
            <w:proofErr w:type="spellStart"/>
            <w:r>
              <w:t>of</w:t>
            </w:r>
            <w:proofErr w:type="spellEnd"/>
            <w:r>
              <w:t xml:space="preserve"> </w:t>
            </w:r>
            <w:proofErr w:type="spellStart"/>
            <w:r>
              <w:t>Basel</w:t>
            </w:r>
            <w:proofErr w:type="spellEnd"/>
            <w:r>
              <w:t xml:space="preserve"> II to </w:t>
            </w:r>
            <w:proofErr w:type="spellStart"/>
            <w:r>
              <w:t>Trading</w:t>
            </w:r>
            <w:proofErr w:type="spellEnd"/>
            <w:r>
              <w:t xml:space="preserve"> </w:t>
            </w:r>
            <w:proofErr w:type="spellStart"/>
            <w:r>
              <w:t>Activities</w:t>
            </w:r>
            <w:proofErr w:type="spellEnd"/>
            <w:r>
              <w:t xml:space="preserve"> </w:t>
            </w:r>
            <w:proofErr w:type="spellStart"/>
            <w:r>
              <w:t>and</w:t>
            </w:r>
            <w:proofErr w:type="spellEnd"/>
            <w:r>
              <w:t xml:space="preserve"> </w:t>
            </w:r>
            <w:proofErr w:type="spellStart"/>
            <w:r>
              <w:t>the</w:t>
            </w:r>
            <w:proofErr w:type="spellEnd"/>
            <w:r>
              <w:t xml:space="preserve"> </w:t>
            </w:r>
            <w:proofErr w:type="spellStart"/>
            <w:r>
              <w:t>Treatment</w:t>
            </w:r>
            <w:proofErr w:type="spellEnd"/>
            <w:r>
              <w:t xml:space="preserve"> </w:t>
            </w:r>
            <w:proofErr w:type="spellStart"/>
            <w:r>
              <w:t>of</w:t>
            </w:r>
            <w:proofErr w:type="spellEnd"/>
            <w:r>
              <w:t xml:space="preserve"> </w:t>
            </w:r>
            <w:proofErr w:type="spellStart"/>
            <w:r>
              <w:t>Double</w:t>
            </w:r>
            <w:proofErr w:type="spellEnd"/>
            <w:r>
              <w:t xml:space="preserve"> </w:t>
            </w:r>
            <w:proofErr w:type="spellStart"/>
            <w:r>
              <w:t>Default</w:t>
            </w:r>
            <w:proofErr w:type="spellEnd"/>
            <w:r>
              <w:t xml:space="preserve"> </w:t>
            </w:r>
            <w:proofErr w:type="spellStart"/>
            <w:r>
              <w:t>Effects</w:t>
            </w:r>
            <w:proofErr w:type="spellEnd"/>
            <w:r>
              <w:t xml:space="preserve">” uključuju: i. repo ugovore i obratne repo ugovore definirane u članku 4. stavku 1. točki 82. CRR-a te transakcije pozajmljivanja vrijednosnih papira ili robe drugoj ugovornoj strani ili od druge ugovorne strane; ii. </w:t>
            </w:r>
            <w:proofErr w:type="spellStart"/>
            <w:r>
              <w:t>maržne</w:t>
            </w:r>
            <w:proofErr w:type="spellEnd"/>
            <w:r>
              <w:t xml:space="preserve"> kredite kako su definirani u članku 272. točki 3. CRR-a.</w:t>
            </w:r>
          </w:p>
        </w:tc>
      </w:tr>
      <w:tr w:rsidR="00464F34" w:rsidRPr="00A30C4C" w14:paraId="2DDF541E" w14:textId="77777777" w:rsidTr="00672D2A">
        <w:tc>
          <w:tcPr>
            <w:tcW w:w="1188" w:type="dxa"/>
          </w:tcPr>
          <w:p w14:paraId="59065B51" w14:textId="77777777" w:rsidR="00464F34" w:rsidRPr="00A30C4C" w:rsidRDefault="00462BAB" w:rsidP="00FD239F">
            <w:pPr>
              <w:pStyle w:val="InstructionsText"/>
            </w:pPr>
            <w:r>
              <w:t>100</w:t>
            </w:r>
          </w:p>
        </w:tc>
        <w:tc>
          <w:tcPr>
            <w:tcW w:w="8701" w:type="dxa"/>
          </w:tcPr>
          <w:p w14:paraId="63EA1C39"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Od čega: poravnane centralno preko kvalificirane središnje druge ugovorne strane</w:t>
            </w:r>
          </w:p>
          <w:p w14:paraId="2749A2D5" w14:textId="0D426EBB" w:rsidR="00464F34" w:rsidRPr="00A30C4C" w:rsidRDefault="00464F34" w:rsidP="00FD239F">
            <w:pPr>
              <w:pStyle w:val="InstructionsText"/>
            </w:pPr>
            <w:r>
              <w:lastRenderedPageBreak/>
              <w:t>Članak 306. CRR-a za kvalificirane središnje druge ugovorne strane kako su definirane u članku 4. stavku 1. točki 88. u skladu s člankom 301. stavkom 2. CRR-a.</w:t>
            </w:r>
          </w:p>
          <w:p w14:paraId="4EF87CFA" w14:textId="546C6E2D" w:rsidR="00464F34" w:rsidRPr="00A30C4C" w:rsidRDefault="00D02E89" w:rsidP="00764BC5">
            <w:pPr>
              <w:pStyle w:val="InstructionsText"/>
            </w:pPr>
            <w:r>
              <w:t>Izloženosti iz trgovanja, kako su definirane u članku 4. stavku 1. točki 91., prema središnjoj drugoj ugovornoj strani</w:t>
            </w:r>
          </w:p>
        </w:tc>
      </w:tr>
      <w:tr w:rsidR="00464F34" w:rsidRPr="00A30C4C" w14:paraId="25C82359" w14:textId="77777777" w:rsidTr="00672D2A">
        <w:tc>
          <w:tcPr>
            <w:tcW w:w="1188" w:type="dxa"/>
          </w:tcPr>
          <w:p w14:paraId="6BAADFCF" w14:textId="77777777" w:rsidR="00464F34" w:rsidRPr="00A30C4C" w:rsidRDefault="00462BAB" w:rsidP="00FD239F">
            <w:pPr>
              <w:pStyle w:val="InstructionsText"/>
            </w:pPr>
            <w:r>
              <w:lastRenderedPageBreak/>
              <w:t>110</w:t>
            </w:r>
          </w:p>
        </w:tc>
        <w:tc>
          <w:tcPr>
            <w:tcW w:w="8701" w:type="dxa"/>
          </w:tcPr>
          <w:p w14:paraId="1558EB08"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Izvedenice i transakcije s dugim rokom namire </w:t>
            </w:r>
          </w:p>
          <w:p w14:paraId="0F3D5BDD" w14:textId="42E98FCC" w:rsidR="00464F34" w:rsidRPr="00A30C4C" w:rsidRDefault="00464F34" w:rsidP="00FD239F">
            <w:pPr>
              <w:pStyle w:val="InstructionsText"/>
            </w:pPr>
            <w:r>
              <w:t>Izvedenicama su obuhvaćeni ugovori navedeni u Prilogu II. CRR-u.</w:t>
            </w:r>
          </w:p>
          <w:p w14:paraId="3FF9EB7A" w14:textId="16431124" w:rsidR="00464F34" w:rsidRPr="00A30C4C" w:rsidRDefault="00464F34" w:rsidP="00FD239F">
            <w:pPr>
              <w:pStyle w:val="InstructionsText"/>
            </w:pPr>
            <w:r>
              <w:t>Transakcije s dugim rokom namire kako su definirane u članku 272. točki 2. CRR-a.</w:t>
            </w:r>
          </w:p>
          <w:p w14:paraId="71CB7804" w14:textId="77777777" w:rsidR="00464F34" w:rsidRPr="00A30C4C" w:rsidRDefault="00464F34" w:rsidP="00FD239F">
            <w:pPr>
              <w:pStyle w:val="InstructionsText"/>
            </w:pPr>
            <w:r>
              <w:t xml:space="preserve">Izvedenice i transakcije s dugim rokom namire koje su uključene u </w:t>
            </w:r>
            <w:proofErr w:type="spellStart"/>
            <w:r>
              <w:t>netiranje</w:t>
            </w:r>
            <w:proofErr w:type="spellEnd"/>
            <w:r>
              <w:t xml:space="preserve"> između različitih kategorija proizvoda i stoga iskazane u retku 130 ne iskazuju se u ovom retku.</w:t>
            </w:r>
          </w:p>
        </w:tc>
      </w:tr>
      <w:tr w:rsidR="00464F34" w:rsidRPr="00A30C4C" w14:paraId="400D6268" w14:textId="77777777" w:rsidTr="00672D2A">
        <w:tc>
          <w:tcPr>
            <w:tcW w:w="1188" w:type="dxa"/>
          </w:tcPr>
          <w:p w14:paraId="0A00C468" w14:textId="77777777" w:rsidR="00464F34" w:rsidRPr="00A30C4C" w:rsidRDefault="00462BAB" w:rsidP="00FD239F">
            <w:pPr>
              <w:pStyle w:val="InstructionsText"/>
            </w:pPr>
            <w:r>
              <w:t>120</w:t>
            </w:r>
          </w:p>
        </w:tc>
        <w:tc>
          <w:tcPr>
            <w:tcW w:w="8701" w:type="dxa"/>
          </w:tcPr>
          <w:p w14:paraId="5A7B90AA" w14:textId="77777777" w:rsidR="00464F34" w:rsidRPr="00A30C4C" w:rsidRDefault="00464F34" w:rsidP="00FD239F">
            <w:pPr>
              <w:pStyle w:val="InstructionsText"/>
            </w:pPr>
            <w:r>
              <w:rPr>
                <w:rStyle w:val="InstructionsTabelleberschrift"/>
                <w:rFonts w:ascii="Times New Roman" w:hAnsi="Times New Roman"/>
                <w:sz w:val="24"/>
              </w:rPr>
              <w:t>Od čega: poravnane centralno preko kvalificirane središnje druge ugovorne strane</w:t>
            </w:r>
          </w:p>
          <w:p w14:paraId="51699D27" w14:textId="4C1530B7" w:rsidR="00464F34" w:rsidRPr="00A30C4C" w:rsidRDefault="00464F34" w:rsidP="00FD239F">
            <w:pPr>
              <w:pStyle w:val="InstructionsText"/>
            </w:pPr>
            <w:r>
              <w:t>Članak 306. CRR-a za kvalificirane središnje druge ugovorne strane kako su definirane u članku 4. stavku 1. točki 88. u skladu s člankom 301. stavkom 2. CRR-a.</w:t>
            </w:r>
          </w:p>
          <w:p w14:paraId="5BBEC160" w14:textId="7F5733D4" w:rsidR="00464F34" w:rsidRPr="00A30C4C" w:rsidRDefault="00770830" w:rsidP="00764BC5">
            <w:pPr>
              <w:pStyle w:val="InstructionsText"/>
              <w:rPr>
                <w:b/>
                <w:u w:val="single"/>
              </w:rPr>
            </w:pPr>
            <w:r>
              <w:t>Izloženosti iz trgovanja, kako su definirane u članku 4. stavku 1. točki 91., prema središnjoj drugoj ugovornoj strani</w:t>
            </w:r>
          </w:p>
        </w:tc>
      </w:tr>
      <w:tr w:rsidR="00464F34" w:rsidRPr="00A30C4C" w14:paraId="0594C4E8" w14:textId="77777777" w:rsidTr="00672D2A">
        <w:tc>
          <w:tcPr>
            <w:tcW w:w="1188" w:type="dxa"/>
          </w:tcPr>
          <w:p w14:paraId="5C850426" w14:textId="77777777" w:rsidR="00464F34" w:rsidRPr="00A30C4C" w:rsidRDefault="00462BAB" w:rsidP="00FD239F">
            <w:pPr>
              <w:pStyle w:val="InstructionsText"/>
            </w:pPr>
            <w:r>
              <w:t>130</w:t>
            </w:r>
          </w:p>
        </w:tc>
        <w:tc>
          <w:tcPr>
            <w:tcW w:w="8701" w:type="dxa"/>
          </w:tcPr>
          <w:p w14:paraId="75FD13DF"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 </w:t>
            </w:r>
            <w:proofErr w:type="spellStart"/>
            <w:r>
              <w:rPr>
                <w:rStyle w:val="InstructionsTabelleberschrift"/>
                <w:rFonts w:ascii="Times New Roman" w:hAnsi="Times New Roman"/>
                <w:sz w:val="24"/>
              </w:rPr>
              <w:t>netiranja</w:t>
            </w:r>
            <w:proofErr w:type="spellEnd"/>
            <w:r>
              <w:rPr>
                <w:rStyle w:val="InstructionsTabelleberschrift"/>
                <w:rFonts w:ascii="Times New Roman" w:hAnsi="Times New Roman"/>
                <w:sz w:val="24"/>
              </w:rPr>
              <w:t xml:space="preserve"> između različitih kategorija proizvoda</w:t>
            </w:r>
          </w:p>
          <w:p w14:paraId="08F04BB3" w14:textId="072823F1" w:rsidR="00464F34" w:rsidRPr="00A30C4C" w:rsidRDefault="00464F34" w:rsidP="00D21B29">
            <w:pPr>
              <w:pStyle w:val="InstructionsText"/>
            </w:pPr>
            <w:r>
              <w:t xml:space="preserve">Izloženosti koje se zbog postojanja </w:t>
            </w:r>
            <w:proofErr w:type="spellStart"/>
            <w:r>
              <w:t>netiranja</w:t>
            </w:r>
            <w:proofErr w:type="spellEnd"/>
            <w:r>
              <w:t xml:space="preserve"> između različitih kategorija proizvoda (kako je definirano u članku 272. točki 11. CRR-a) ne mogu rasporediti u izvedenice i transakcije s dugim rokom namire ili transakcije financiranja vrijednosnim papirima iskazuju se u ovom retku.</w:t>
            </w:r>
          </w:p>
        </w:tc>
      </w:tr>
      <w:tr w:rsidR="00464F34" w:rsidRPr="00A30C4C" w14:paraId="5DD9B910" w14:textId="77777777" w:rsidTr="00672D2A">
        <w:tc>
          <w:tcPr>
            <w:tcW w:w="1188" w:type="dxa"/>
          </w:tcPr>
          <w:p w14:paraId="3752B892" w14:textId="77777777" w:rsidR="00464F34" w:rsidRPr="00A30C4C" w:rsidRDefault="00462BAB" w:rsidP="00FD239F">
            <w:pPr>
              <w:pStyle w:val="InstructionsText"/>
            </w:pPr>
            <w:r>
              <w:t>140-280</w:t>
            </w:r>
          </w:p>
        </w:tc>
        <w:tc>
          <w:tcPr>
            <w:tcW w:w="8701" w:type="dxa"/>
          </w:tcPr>
          <w:p w14:paraId="7B7F8D08"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RAŠČLAMBA IZLOŽENOSTI PREMA PONDERIMA RIZIKA</w:t>
            </w:r>
          </w:p>
          <w:p w14:paraId="67525D7F" w14:textId="77777777" w:rsidR="00464F34" w:rsidRPr="00A30C4C" w:rsidRDefault="00464F34" w:rsidP="00FD239F">
            <w:pPr>
              <w:pStyle w:val="InstructionsText"/>
            </w:pPr>
          </w:p>
        </w:tc>
      </w:tr>
      <w:tr w:rsidR="00464F34" w:rsidRPr="00A30C4C" w14:paraId="7D31A42B" w14:textId="77777777" w:rsidTr="00672D2A">
        <w:tc>
          <w:tcPr>
            <w:tcW w:w="1188" w:type="dxa"/>
            <w:shd w:val="clear" w:color="auto" w:fill="auto"/>
          </w:tcPr>
          <w:p w14:paraId="049D722F" w14:textId="77777777" w:rsidR="00464F34" w:rsidRPr="00A30C4C" w:rsidRDefault="00462BAB" w:rsidP="00FD239F">
            <w:pPr>
              <w:pStyle w:val="InstructionsText"/>
            </w:pPr>
            <w:r>
              <w:t>140</w:t>
            </w:r>
          </w:p>
        </w:tc>
        <w:tc>
          <w:tcPr>
            <w:tcW w:w="8701" w:type="dxa"/>
            <w:shd w:val="clear" w:color="auto" w:fill="auto"/>
          </w:tcPr>
          <w:p w14:paraId="2732209C"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14:paraId="4919C89A" w14:textId="77777777" w:rsidR="00464F34" w:rsidRPr="00A30C4C" w:rsidRDefault="00464F34" w:rsidP="00FD239F">
            <w:pPr>
              <w:pStyle w:val="InstructionsText"/>
            </w:pPr>
          </w:p>
        </w:tc>
      </w:tr>
      <w:tr w:rsidR="00464F34" w:rsidRPr="00A30C4C" w14:paraId="13E4B14C" w14:textId="77777777" w:rsidTr="00672D2A">
        <w:tc>
          <w:tcPr>
            <w:tcW w:w="1188" w:type="dxa"/>
            <w:shd w:val="clear" w:color="auto" w:fill="auto"/>
          </w:tcPr>
          <w:p w14:paraId="7473F8DC" w14:textId="77777777" w:rsidR="00464F34" w:rsidRPr="00A30C4C" w:rsidRDefault="00462BAB" w:rsidP="00FD239F">
            <w:pPr>
              <w:pStyle w:val="InstructionsText"/>
            </w:pPr>
            <w:r>
              <w:t>150</w:t>
            </w:r>
          </w:p>
        </w:tc>
        <w:tc>
          <w:tcPr>
            <w:tcW w:w="8701" w:type="dxa"/>
            <w:shd w:val="clear" w:color="auto" w:fill="auto"/>
          </w:tcPr>
          <w:p w14:paraId="201EF7DA"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5F171746" w14:textId="1821A69B" w:rsidR="00464F34" w:rsidRPr="00A30C4C" w:rsidRDefault="00464F34" w:rsidP="00D21B29">
            <w:pPr>
              <w:pStyle w:val="InstructionsText"/>
              <w:rPr>
                <w:b/>
              </w:rPr>
            </w:pPr>
            <w:r>
              <w:t>Članak 306. stavak 1. CRR-a</w:t>
            </w:r>
          </w:p>
        </w:tc>
      </w:tr>
      <w:tr w:rsidR="00462BAB" w:rsidRPr="00A30C4C" w14:paraId="6EB8AC3B" w14:textId="77777777" w:rsidTr="00672D2A">
        <w:tc>
          <w:tcPr>
            <w:tcW w:w="1188" w:type="dxa"/>
            <w:shd w:val="clear" w:color="auto" w:fill="auto"/>
          </w:tcPr>
          <w:p w14:paraId="4772746B" w14:textId="77777777" w:rsidR="00462BAB" w:rsidRPr="00A30C4C" w:rsidRDefault="00462BAB" w:rsidP="00FD239F">
            <w:pPr>
              <w:pStyle w:val="InstructionsText"/>
            </w:pPr>
            <w:r>
              <w:t>160</w:t>
            </w:r>
          </w:p>
        </w:tc>
        <w:tc>
          <w:tcPr>
            <w:tcW w:w="8701" w:type="dxa"/>
            <w:shd w:val="clear" w:color="auto" w:fill="auto"/>
          </w:tcPr>
          <w:p w14:paraId="0CE91579"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64E98C4F" w14:textId="72286B20" w:rsidR="00462BAB" w:rsidRPr="00A30C4C" w:rsidRDefault="00462BAB" w:rsidP="00D21B29">
            <w:pPr>
              <w:pStyle w:val="InstructionsText"/>
              <w:rPr>
                <w:b/>
                <w:u w:val="single"/>
              </w:rPr>
            </w:pPr>
            <w:r>
              <w:t>Članak 305. stavak 3. CRR-a</w:t>
            </w:r>
          </w:p>
        </w:tc>
      </w:tr>
      <w:tr w:rsidR="00462BAB" w:rsidRPr="00A30C4C" w14:paraId="6DD4D856" w14:textId="77777777" w:rsidTr="00672D2A">
        <w:tc>
          <w:tcPr>
            <w:tcW w:w="1188" w:type="dxa"/>
            <w:shd w:val="clear" w:color="auto" w:fill="auto"/>
          </w:tcPr>
          <w:p w14:paraId="3DB4451A" w14:textId="77777777" w:rsidR="00462BAB" w:rsidRPr="00A30C4C" w:rsidRDefault="00462BAB" w:rsidP="00FD239F">
            <w:pPr>
              <w:pStyle w:val="InstructionsText"/>
            </w:pPr>
            <w:r>
              <w:t>170</w:t>
            </w:r>
          </w:p>
        </w:tc>
        <w:tc>
          <w:tcPr>
            <w:tcW w:w="8701" w:type="dxa"/>
            <w:shd w:val="clear" w:color="auto" w:fill="auto"/>
          </w:tcPr>
          <w:p w14:paraId="47CBBF0D"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14:paraId="6E6D2FEF" w14:textId="77777777" w:rsidR="00462BAB" w:rsidRPr="00A30C4C" w:rsidRDefault="00462BAB" w:rsidP="00FD239F">
            <w:pPr>
              <w:pStyle w:val="InstructionsText"/>
            </w:pPr>
          </w:p>
        </w:tc>
      </w:tr>
      <w:tr w:rsidR="00462BAB" w:rsidRPr="00A30C4C" w14:paraId="06D0C5F2" w14:textId="77777777" w:rsidTr="00672D2A">
        <w:tc>
          <w:tcPr>
            <w:tcW w:w="1188" w:type="dxa"/>
            <w:shd w:val="clear" w:color="auto" w:fill="auto"/>
          </w:tcPr>
          <w:p w14:paraId="197C4678" w14:textId="77777777" w:rsidR="00462BAB" w:rsidRPr="00A30C4C" w:rsidRDefault="00462BAB" w:rsidP="00FD239F">
            <w:pPr>
              <w:pStyle w:val="InstructionsText"/>
            </w:pPr>
            <w:r>
              <w:t>180</w:t>
            </w:r>
          </w:p>
        </w:tc>
        <w:tc>
          <w:tcPr>
            <w:tcW w:w="8701" w:type="dxa"/>
            <w:shd w:val="clear" w:color="auto" w:fill="auto"/>
          </w:tcPr>
          <w:p w14:paraId="4FA81A5F"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14:paraId="7F0891DD" w14:textId="77777777" w:rsidR="00462BAB" w:rsidRPr="00A30C4C" w:rsidRDefault="00462BAB" w:rsidP="00FD239F">
            <w:pPr>
              <w:pStyle w:val="InstructionsText"/>
            </w:pPr>
          </w:p>
        </w:tc>
      </w:tr>
      <w:tr w:rsidR="00462BAB" w:rsidRPr="00A30C4C" w14:paraId="3197C9A6" w14:textId="77777777" w:rsidTr="00672D2A">
        <w:tc>
          <w:tcPr>
            <w:tcW w:w="1188" w:type="dxa"/>
            <w:shd w:val="clear" w:color="auto" w:fill="auto"/>
          </w:tcPr>
          <w:p w14:paraId="124695BB" w14:textId="77777777" w:rsidR="00462BAB" w:rsidRPr="00A30C4C" w:rsidRDefault="00462BAB" w:rsidP="00FD239F">
            <w:pPr>
              <w:pStyle w:val="InstructionsText"/>
            </w:pPr>
            <w:r>
              <w:t>190</w:t>
            </w:r>
          </w:p>
        </w:tc>
        <w:tc>
          <w:tcPr>
            <w:tcW w:w="8701" w:type="dxa"/>
            <w:shd w:val="clear" w:color="auto" w:fill="auto"/>
          </w:tcPr>
          <w:p w14:paraId="38EADEFB"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14:paraId="257917EE" w14:textId="77777777" w:rsidR="00462BAB" w:rsidRPr="00A30C4C" w:rsidRDefault="00462BAB" w:rsidP="00FD239F">
            <w:pPr>
              <w:pStyle w:val="InstructionsText"/>
            </w:pPr>
          </w:p>
        </w:tc>
      </w:tr>
      <w:tr w:rsidR="00462BAB" w:rsidRPr="00A30C4C" w14:paraId="04B675ED" w14:textId="77777777" w:rsidTr="00672D2A">
        <w:tc>
          <w:tcPr>
            <w:tcW w:w="1188" w:type="dxa"/>
            <w:shd w:val="clear" w:color="auto" w:fill="auto"/>
          </w:tcPr>
          <w:p w14:paraId="271FA406" w14:textId="77777777" w:rsidR="00462BAB" w:rsidRPr="00A30C4C" w:rsidRDefault="00462BAB" w:rsidP="00FD239F">
            <w:pPr>
              <w:pStyle w:val="InstructionsText"/>
            </w:pPr>
            <w:r>
              <w:t>200</w:t>
            </w:r>
          </w:p>
        </w:tc>
        <w:tc>
          <w:tcPr>
            <w:tcW w:w="8701" w:type="dxa"/>
            <w:shd w:val="clear" w:color="auto" w:fill="auto"/>
          </w:tcPr>
          <w:p w14:paraId="03E42EEF"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14:paraId="63E93581" w14:textId="77777777" w:rsidR="00462BAB" w:rsidRPr="00A30C4C" w:rsidRDefault="00462BAB" w:rsidP="00FD239F">
            <w:pPr>
              <w:pStyle w:val="InstructionsText"/>
            </w:pPr>
          </w:p>
        </w:tc>
      </w:tr>
      <w:tr w:rsidR="00462BAB" w:rsidRPr="00A30C4C" w14:paraId="36DCC047" w14:textId="77777777" w:rsidTr="00672D2A">
        <w:tc>
          <w:tcPr>
            <w:tcW w:w="1188" w:type="dxa"/>
            <w:shd w:val="clear" w:color="auto" w:fill="auto"/>
          </w:tcPr>
          <w:p w14:paraId="66D6B354" w14:textId="77777777" w:rsidR="00462BAB" w:rsidRPr="00A30C4C" w:rsidRDefault="00462BAB" w:rsidP="00FD239F">
            <w:pPr>
              <w:pStyle w:val="InstructionsText"/>
            </w:pPr>
            <w:r>
              <w:t>210</w:t>
            </w:r>
          </w:p>
        </w:tc>
        <w:tc>
          <w:tcPr>
            <w:tcW w:w="8701" w:type="dxa"/>
            <w:shd w:val="clear" w:color="auto" w:fill="auto"/>
          </w:tcPr>
          <w:p w14:paraId="55AA7A20"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14:paraId="081C0AF3" w14:textId="31E9C078" w:rsidR="00462BAB" w:rsidRPr="00A30C4C" w:rsidRDefault="00D21B29" w:rsidP="001E0C80">
            <w:pPr>
              <w:pStyle w:val="InstructionsText"/>
            </w:pPr>
            <w:r>
              <w:t>Članak 232. stavak 3. točka (c) CRR-a</w:t>
            </w:r>
          </w:p>
        </w:tc>
      </w:tr>
      <w:tr w:rsidR="00462BAB" w:rsidRPr="00A30C4C" w14:paraId="5AB965D9" w14:textId="77777777" w:rsidTr="00672D2A">
        <w:tc>
          <w:tcPr>
            <w:tcW w:w="1188" w:type="dxa"/>
            <w:shd w:val="clear" w:color="auto" w:fill="auto"/>
          </w:tcPr>
          <w:p w14:paraId="4DC93FE1" w14:textId="77777777" w:rsidR="00462BAB" w:rsidRPr="00A30C4C" w:rsidRDefault="00462BAB" w:rsidP="00FD239F">
            <w:pPr>
              <w:pStyle w:val="InstructionsText"/>
            </w:pPr>
            <w:r>
              <w:lastRenderedPageBreak/>
              <w:t>220</w:t>
            </w:r>
          </w:p>
        </w:tc>
        <w:tc>
          <w:tcPr>
            <w:tcW w:w="8701" w:type="dxa"/>
            <w:shd w:val="clear" w:color="auto" w:fill="auto"/>
          </w:tcPr>
          <w:p w14:paraId="3CA47DA5"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14:paraId="0D74F3CB" w14:textId="77777777" w:rsidR="00462BAB" w:rsidRPr="00A30C4C" w:rsidRDefault="00462BAB" w:rsidP="00FD239F">
            <w:pPr>
              <w:pStyle w:val="InstructionsText"/>
            </w:pPr>
          </w:p>
        </w:tc>
      </w:tr>
      <w:tr w:rsidR="00462BAB" w:rsidRPr="00A30C4C" w14:paraId="644D7D63" w14:textId="77777777" w:rsidTr="00672D2A">
        <w:tc>
          <w:tcPr>
            <w:tcW w:w="1188" w:type="dxa"/>
            <w:shd w:val="clear" w:color="auto" w:fill="auto"/>
          </w:tcPr>
          <w:p w14:paraId="15850B07" w14:textId="77777777" w:rsidR="00462BAB" w:rsidRPr="00A30C4C" w:rsidRDefault="00462BAB" w:rsidP="00FD239F">
            <w:pPr>
              <w:pStyle w:val="InstructionsText"/>
            </w:pPr>
            <w:r>
              <w:t>230</w:t>
            </w:r>
          </w:p>
        </w:tc>
        <w:tc>
          <w:tcPr>
            <w:tcW w:w="8701" w:type="dxa"/>
            <w:shd w:val="clear" w:color="auto" w:fill="auto"/>
          </w:tcPr>
          <w:p w14:paraId="2C04D32D"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14:paraId="502631B3" w14:textId="77777777" w:rsidR="00462BAB" w:rsidRPr="00A30C4C" w:rsidRDefault="00462BAB" w:rsidP="00FD239F">
            <w:pPr>
              <w:pStyle w:val="InstructionsText"/>
            </w:pPr>
          </w:p>
        </w:tc>
      </w:tr>
      <w:tr w:rsidR="00462BAB" w:rsidRPr="00A30C4C" w14:paraId="61E4A948" w14:textId="77777777" w:rsidTr="00672D2A">
        <w:tc>
          <w:tcPr>
            <w:tcW w:w="1188" w:type="dxa"/>
            <w:shd w:val="clear" w:color="auto" w:fill="auto"/>
          </w:tcPr>
          <w:p w14:paraId="0BD0253F" w14:textId="77777777" w:rsidR="00462BAB" w:rsidRPr="00A30C4C" w:rsidRDefault="00462BAB" w:rsidP="00FD239F">
            <w:pPr>
              <w:pStyle w:val="InstructionsText"/>
            </w:pPr>
            <w:r>
              <w:t>240</w:t>
            </w:r>
          </w:p>
        </w:tc>
        <w:tc>
          <w:tcPr>
            <w:tcW w:w="8701" w:type="dxa"/>
            <w:shd w:val="clear" w:color="auto" w:fill="auto"/>
          </w:tcPr>
          <w:p w14:paraId="4B31930A"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14:paraId="47E2C677" w14:textId="77777777" w:rsidR="00462BAB" w:rsidRPr="00A30C4C" w:rsidRDefault="00462BAB" w:rsidP="00FD239F">
            <w:pPr>
              <w:pStyle w:val="InstructionsText"/>
            </w:pPr>
          </w:p>
        </w:tc>
      </w:tr>
      <w:tr w:rsidR="00462BAB" w:rsidRPr="00A30C4C" w14:paraId="1AD3E98B" w14:textId="77777777" w:rsidTr="00672D2A">
        <w:tc>
          <w:tcPr>
            <w:tcW w:w="1188" w:type="dxa"/>
            <w:shd w:val="clear" w:color="auto" w:fill="auto"/>
          </w:tcPr>
          <w:p w14:paraId="1C3F1822" w14:textId="77777777" w:rsidR="00462BAB" w:rsidRPr="00A30C4C" w:rsidRDefault="00462BAB" w:rsidP="00FD239F">
            <w:pPr>
              <w:pStyle w:val="InstructionsText"/>
            </w:pPr>
            <w:r>
              <w:t>250</w:t>
            </w:r>
          </w:p>
        </w:tc>
        <w:tc>
          <w:tcPr>
            <w:tcW w:w="8701" w:type="dxa"/>
            <w:shd w:val="clear" w:color="auto" w:fill="auto"/>
          </w:tcPr>
          <w:p w14:paraId="3B8D962F"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41C76E01" w14:textId="6F897835" w:rsidR="00462BAB" w:rsidRPr="00A30C4C" w:rsidRDefault="00462BAB" w:rsidP="00D21B29">
            <w:pPr>
              <w:pStyle w:val="InstructionsText"/>
            </w:pPr>
            <w:r>
              <w:t>Članak 133. stavak 2. i članak 48. stavak 4. CRR-a</w:t>
            </w:r>
          </w:p>
        </w:tc>
      </w:tr>
      <w:tr w:rsidR="00462BAB" w:rsidRPr="00A30C4C" w14:paraId="2FC10DCB" w14:textId="77777777" w:rsidTr="00672D2A">
        <w:tc>
          <w:tcPr>
            <w:tcW w:w="1188" w:type="dxa"/>
            <w:shd w:val="clear" w:color="auto" w:fill="auto"/>
          </w:tcPr>
          <w:p w14:paraId="4EB3306B" w14:textId="77777777" w:rsidR="00462BAB" w:rsidRPr="00A30C4C" w:rsidRDefault="00462BAB" w:rsidP="00FD239F">
            <w:pPr>
              <w:pStyle w:val="InstructionsText"/>
            </w:pPr>
            <w:r>
              <w:t>260</w:t>
            </w:r>
          </w:p>
        </w:tc>
        <w:tc>
          <w:tcPr>
            <w:tcW w:w="8701" w:type="dxa"/>
            <w:shd w:val="clear" w:color="auto" w:fill="auto"/>
          </w:tcPr>
          <w:p w14:paraId="4B55582E"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424B85A" w14:textId="07D58770" w:rsidR="00462BAB" w:rsidRPr="00A30C4C" w:rsidRDefault="00462BAB" w:rsidP="00FD239F">
            <w:pPr>
              <w:pStyle w:val="InstructionsText"/>
              <w:rPr>
                <w:b/>
                <w:u w:val="single"/>
              </w:rPr>
            </w:pPr>
            <w:r>
              <w:t>Članak 471. CRR-a</w:t>
            </w:r>
          </w:p>
        </w:tc>
      </w:tr>
      <w:tr w:rsidR="00462BAB" w:rsidRPr="00A30C4C" w14:paraId="73D4C74B" w14:textId="77777777" w:rsidTr="00672D2A">
        <w:tc>
          <w:tcPr>
            <w:tcW w:w="1188" w:type="dxa"/>
            <w:shd w:val="clear" w:color="auto" w:fill="auto"/>
          </w:tcPr>
          <w:p w14:paraId="1C3AE7F6" w14:textId="77777777" w:rsidR="00462BAB" w:rsidRPr="00A30C4C" w:rsidRDefault="00462BAB" w:rsidP="00FD239F">
            <w:pPr>
              <w:pStyle w:val="InstructionsText"/>
            </w:pPr>
            <w:r>
              <w:t>270</w:t>
            </w:r>
          </w:p>
        </w:tc>
        <w:tc>
          <w:tcPr>
            <w:tcW w:w="8701" w:type="dxa"/>
            <w:shd w:val="clear" w:color="auto" w:fill="auto"/>
          </w:tcPr>
          <w:p w14:paraId="1AE17939"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56F443AA" w14:textId="1E20E342" w:rsidR="00462BAB" w:rsidRPr="00A30C4C" w:rsidRDefault="00462BAB" w:rsidP="00D21B29">
            <w:pPr>
              <w:pStyle w:val="InstructionsText"/>
              <w:rPr>
                <w:b/>
                <w:u w:val="single"/>
              </w:rPr>
            </w:pPr>
            <w:r>
              <w:t>Članak 133. stavak 2. i članak 379. CRR-a</w:t>
            </w:r>
          </w:p>
        </w:tc>
      </w:tr>
      <w:tr w:rsidR="00462BAB" w:rsidRPr="00A30C4C" w14:paraId="5B803A89" w14:textId="77777777" w:rsidTr="00672D2A">
        <w:tc>
          <w:tcPr>
            <w:tcW w:w="1188" w:type="dxa"/>
            <w:shd w:val="clear" w:color="auto" w:fill="auto"/>
          </w:tcPr>
          <w:p w14:paraId="44EE6FB9" w14:textId="77777777" w:rsidR="00462BAB" w:rsidRPr="00A30C4C" w:rsidRDefault="00462BAB" w:rsidP="00FD239F">
            <w:pPr>
              <w:pStyle w:val="InstructionsText"/>
            </w:pPr>
            <w:r>
              <w:t>280</w:t>
            </w:r>
          </w:p>
        </w:tc>
        <w:tc>
          <w:tcPr>
            <w:tcW w:w="8701" w:type="dxa"/>
            <w:shd w:val="clear" w:color="auto" w:fill="auto"/>
          </w:tcPr>
          <w:p w14:paraId="0A40E035"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Ostali ponderi rizika</w:t>
            </w:r>
          </w:p>
          <w:p w14:paraId="75E5F61E" w14:textId="77777777" w:rsidR="00462BAB" w:rsidRPr="00A30C4C" w:rsidRDefault="00462BAB" w:rsidP="00FD239F">
            <w:pPr>
              <w:pStyle w:val="InstructionsText"/>
            </w:pPr>
            <w:r>
              <w:t>Ovaj se redak ne može koristiti za kategorije izloženosti prema državi, trgovačkim društvima, institucijama i stanovništvu.</w:t>
            </w:r>
          </w:p>
          <w:p w14:paraId="121FC4D4" w14:textId="77777777" w:rsidR="00462BAB" w:rsidRPr="00A30C4C" w:rsidRDefault="00462BAB" w:rsidP="00FD239F">
            <w:pPr>
              <w:pStyle w:val="InstructionsText"/>
            </w:pPr>
          </w:p>
          <w:p w14:paraId="67CEAA17" w14:textId="77777777" w:rsidR="00462BAB" w:rsidRPr="00A30C4C" w:rsidRDefault="00462BAB" w:rsidP="00FD239F">
            <w:pPr>
              <w:pStyle w:val="InstructionsText"/>
            </w:pPr>
            <w:r>
              <w:t>Za izvješćivanje izloženosti na koje se ne primjenjuju ponderi rizika navedeni u obrascu.</w:t>
            </w:r>
          </w:p>
          <w:p w14:paraId="7E603395" w14:textId="19F54081" w:rsidR="00462BAB" w:rsidRPr="00A30C4C" w:rsidRDefault="00167619" w:rsidP="00FD239F">
            <w:pPr>
              <w:pStyle w:val="InstructionsText"/>
            </w:pPr>
            <w:r>
              <w:t xml:space="preserve">Članak 113. stavci od 1. do 5. CRR-a </w:t>
            </w:r>
          </w:p>
          <w:p w14:paraId="4BA7C54D" w14:textId="77777777" w:rsidR="00462BAB" w:rsidRPr="00A30C4C" w:rsidRDefault="00462BAB" w:rsidP="00FD239F">
            <w:pPr>
              <w:pStyle w:val="InstructionsText"/>
            </w:pPr>
          </w:p>
          <w:p w14:paraId="7E4903A5" w14:textId="71BE3F5C" w:rsidR="00462BAB" w:rsidRPr="00A30C4C" w:rsidRDefault="00462BAB" w:rsidP="00FD239F">
            <w:pPr>
              <w:pStyle w:val="InstructionsText"/>
            </w:pPr>
            <w:r>
              <w:t>Kreditne izvedenice bez rejtinga na osnovi „n-tog” nastanka statusa neispunjavanja obveza u skladu sa standardiziranim pristupom (članak 134. stavak 6. CRR-a) iskazuju se u ovom retku u kategoriji izloženosti „Ostale stavke”.</w:t>
            </w:r>
          </w:p>
          <w:p w14:paraId="521DC7A1" w14:textId="6E172B47" w:rsidR="00462BAB" w:rsidRPr="00A30C4C" w:rsidRDefault="00462BAB" w:rsidP="00D21B29">
            <w:pPr>
              <w:pStyle w:val="InstructionsText"/>
            </w:pPr>
            <w:r>
              <w:t xml:space="preserve">Članak 124. stavak 2. točka (b) i članak 152. stavak 2. CRR-a </w:t>
            </w:r>
          </w:p>
        </w:tc>
      </w:tr>
      <w:tr w:rsidR="00462BAB" w:rsidRPr="00A30C4C" w14:paraId="69F88F23" w14:textId="77777777" w:rsidTr="00672D2A">
        <w:tc>
          <w:tcPr>
            <w:tcW w:w="1188" w:type="dxa"/>
            <w:shd w:val="clear" w:color="auto" w:fill="auto"/>
          </w:tcPr>
          <w:p w14:paraId="61528BCF" w14:textId="77777777" w:rsidR="00462BAB" w:rsidRPr="00A30C4C" w:rsidRDefault="00462BAB" w:rsidP="00FD239F">
            <w:pPr>
              <w:pStyle w:val="InstructionsText"/>
            </w:pPr>
            <w:r>
              <w:t>290-320</w:t>
            </w:r>
          </w:p>
        </w:tc>
        <w:tc>
          <w:tcPr>
            <w:tcW w:w="8701" w:type="dxa"/>
            <w:shd w:val="clear" w:color="auto" w:fill="auto"/>
          </w:tcPr>
          <w:p w14:paraId="36CA6F93"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Bilješke</w:t>
            </w:r>
          </w:p>
          <w:p w14:paraId="0F27190C" w14:textId="77777777" w:rsidR="00462BAB" w:rsidRPr="00A30C4C" w:rsidRDefault="00462BAB" w:rsidP="00FD239F">
            <w:pPr>
              <w:pStyle w:val="InstructionsText"/>
              <w:rPr>
                <w:b/>
                <w:u w:val="single"/>
              </w:rPr>
            </w:pPr>
            <w:r>
              <w:t>Vidjeti i objašnjenje svrhe bilješki u odjeljku s općim napomenama obrasca CR SA.</w:t>
            </w:r>
          </w:p>
        </w:tc>
      </w:tr>
      <w:tr w:rsidR="00462BAB" w:rsidRPr="00A30C4C" w14:paraId="5258B59B" w14:textId="77777777" w:rsidTr="00672D2A">
        <w:tc>
          <w:tcPr>
            <w:tcW w:w="1188" w:type="dxa"/>
            <w:shd w:val="clear" w:color="auto" w:fill="auto"/>
          </w:tcPr>
          <w:p w14:paraId="7F98313D" w14:textId="77777777" w:rsidR="00462BAB" w:rsidRPr="00A30C4C" w:rsidRDefault="00462BAB" w:rsidP="00FD239F">
            <w:pPr>
              <w:pStyle w:val="InstructionsText"/>
            </w:pPr>
            <w:r>
              <w:t>290</w:t>
            </w:r>
          </w:p>
          <w:p w14:paraId="0CA5F736" w14:textId="77777777" w:rsidR="00462BAB" w:rsidRPr="00A30C4C" w:rsidRDefault="00462BAB" w:rsidP="00FD239F">
            <w:pPr>
              <w:pStyle w:val="InstructionsText"/>
            </w:pPr>
          </w:p>
        </w:tc>
        <w:tc>
          <w:tcPr>
            <w:tcW w:w="8701" w:type="dxa"/>
            <w:shd w:val="clear" w:color="auto" w:fill="auto"/>
          </w:tcPr>
          <w:p w14:paraId="56098472"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osigurane poslovnim nekretninama</w:t>
            </w:r>
          </w:p>
          <w:p w14:paraId="462ADB3C" w14:textId="142A6AFA" w:rsidR="00462BAB" w:rsidRPr="00A30C4C" w:rsidRDefault="00D21B29" w:rsidP="00FD239F">
            <w:pPr>
              <w:pStyle w:val="InstructionsText"/>
            </w:pPr>
            <w:r>
              <w:t>Članak 112. točka (i) CRR-a</w:t>
            </w:r>
          </w:p>
          <w:p w14:paraId="7529741F" w14:textId="151140A5" w:rsidR="00462BAB" w:rsidRPr="00A30C4C" w:rsidRDefault="00462BAB" w:rsidP="00110F40">
            <w:pPr>
              <w:pStyle w:val="InstructionsText"/>
            </w:pPr>
            <w:r>
              <w:t>To je samo bilješka. Neovisno o izračunu iznosa izloženosti riziku za izloženosti osigurane poslovnim nekretninama iz članaka 124. i 126. CRR-a, izloženosti se raščlanjuju i iskazuju u ovom retku ako su osigurane poslovnom nekretninom.</w:t>
            </w:r>
          </w:p>
        </w:tc>
      </w:tr>
      <w:tr w:rsidR="00462BAB" w:rsidRPr="00A30C4C" w14:paraId="0ECA48B5" w14:textId="77777777" w:rsidTr="00672D2A">
        <w:tc>
          <w:tcPr>
            <w:tcW w:w="1188" w:type="dxa"/>
            <w:shd w:val="clear" w:color="auto" w:fill="auto"/>
          </w:tcPr>
          <w:p w14:paraId="303BEE53" w14:textId="77777777" w:rsidR="00462BAB" w:rsidRPr="00A30C4C" w:rsidRDefault="00462BAB" w:rsidP="00FD239F">
            <w:pPr>
              <w:pStyle w:val="InstructionsText"/>
            </w:pPr>
            <w:r>
              <w:t>300</w:t>
            </w:r>
          </w:p>
        </w:tc>
        <w:tc>
          <w:tcPr>
            <w:tcW w:w="8701" w:type="dxa"/>
            <w:shd w:val="clear" w:color="auto" w:fill="auto"/>
          </w:tcPr>
          <w:p w14:paraId="0632B907"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Izloženosti sa statusom neispunjavanja obveza na koje se primjenjuje ponder rizika od 100 %</w:t>
            </w:r>
          </w:p>
          <w:p w14:paraId="62F0F0F9" w14:textId="5689AF16" w:rsidR="00462BAB" w:rsidRPr="00A30C4C" w:rsidRDefault="00D21B29" w:rsidP="00FD239F">
            <w:pPr>
              <w:pStyle w:val="InstructionsText"/>
            </w:pPr>
            <w:r>
              <w:t>Članak 112. točka (j) CRR-a</w:t>
            </w:r>
          </w:p>
          <w:p w14:paraId="50595979" w14:textId="77777777" w:rsidR="00462BAB" w:rsidRPr="00A30C4C" w:rsidRDefault="00462BAB" w:rsidP="00FD239F">
            <w:pPr>
              <w:pStyle w:val="InstructionsText"/>
            </w:pPr>
            <w:r>
              <w:t>Izloženosti uključene u kategoriju izloženosti „sa statusom neispunjavanja obveza” koje se uključuju u ovu kategoriju izloženosti ako nisu bile u statusu neispunjavanja obveza.</w:t>
            </w:r>
          </w:p>
        </w:tc>
      </w:tr>
      <w:tr w:rsidR="00462BAB" w:rsidRPr="00A30C4C" w14:paraId="4F3B943B" w14:textId="77777777" w:rsidTr="00672D2A">
        <w:tc>
          <w:tcPr>
            <w:tcW w:w="1188" w:type="dxa"/>
            <w:shd w:val="clear" w:color="auto" w:fill="auto"/>
          </w:tcPr>
          <w:p w14:paraId="015401C1" w14:textId="77777777" w:rsidR="00462BAB" w:rsidRPr="00A30C4C" w:rsidRDefault="00462BAB" w:rsidP="00FD239F">
            <w:pPr>
              <w:pStyle w:val="InstructionsText"/>
            </w:pPr>
            <w:r>
              <w:t>310</w:t>
            </w:r>
          </w:p>
        </w:tc>
        <w:tc>
          <w:tcPr>
            <w:tcW w:w="8701" w:type="dxa"/>
            <w:shd w:val="clear" w:color="auto" w:fill="auto"/>
          </w:tcPr>
          <w:p w14:paraId="0ED3ECDB"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osigurane stambenim nekretninama </w:t>
            </w:r>
          </w:p>
          <w:p w14:paraId="733259AF" w14:textId="21D07B15" w:rsidR="00462BAB" w:rsidRPr="00A30C4C" w:rsidRDefault="00D21B29" w:rsidP="00FD239F">
            <w:pPr>
              <w:pStyle w:val="InstructionsText"/>
            </w:pPr>
            <w:r>
              <w:t>Članak 112. točka (i) CRR-a</w:t>
            </w:r>
          </w:p>
          <w:p w14:paraId="6DA788E4" w14:textId="269533C6" w:rsidR="00462BAB" w:rsidRPr="00A30C4C" w:rsidRDefault="00462BAB" w:rsidP="00110F40">
            <w:pPr>
              <w:pStyle w:val="InstructionsText"/>
              <w:rPr>
                <w:b/>
                <w:u w:val="single"/>
              </w:rPr>
            </w:pPr>
            <w:r>
              <w:lastRenderedPageBreak/>
              <w:t>To je samo bilješka. Neovisno o izračunu iznosa izloženosti riziku za izloženosti osigurane stambenim nekretninama u skladu s člancima 124. i 125. CRR-a, izloženosti se raščlanjuju i iskazuju u ovom retku ako su osigurane nekretninom.</w:t>
            </w:r>
          </w:p>
        </w:tc>
      </w:tr>
      <w:tr w:rsidR="00462BAB" w:rsidRPr="00A30C4C" w14:paraId="7BF1F948" w14:textId="77777777" w:rsidTr="00672D2A">
        <w:tc>
          <w:tcPr>
            <w:tcW w:w="1188" w:type="dxa"/>
            <w:shd w:val="clear" w:color="auto" w:fill="auto"/>
          </w:tcPr>
          <w:p w14:paraId="3BB26996" w14:textId="77777777" w:rsidR="00462BAB" w:rsidRPr="00A30C4C" w:rsidRDefault="00462BAB" w:rsidP="00FD239F">
            <w:pPr>
              <w:pStyle w:val="InstructionsText"/>
            </w:pPr>
            <w:r>
              <w:lastRenderedPageBreak/>
              <w:t>320</w:t>
            </w:r>
          </w:p>
        </w:tc>
        <w:tc>
          <w:tcPr>
            <w:tcW w:w="8701" w:type="dxa"/>
            <w:shd w:val="clear" w:color="auto" w:fill="auto"/>
          </w:tcPr>
          <w:p w14:paraId="46896447"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Izloženosti sa statusom neispunjavanja obveza na koje se primjenjuje ponder rizika od 150 % </w:t>
            </w:r>
          </w:p>
          <w:p w14:paraId="1FD8C7E5" w14:textId="5D2BD4ED" w:rsidR="00462BAB" w:rsidRPr="00A30C4C" w:rsidRDefault="00D21B29" w:rsidP="00FD239F">
            <w:pPr>
              <w:pStyle w:val="InstructionsText"/>
            </w:pPr>
            <w:r>
              <w:t>Članak 112. točka (j) CRR-a</w:t>
            </w:r>
          </w:p>
          <w:p w14:paraId="5A795656" w14:textId="77777777" w:rsidR="00462BAB" w:rsidRPr="00A30C4C" w:rsidRDefault="00462BAB" w:rsidP="00FD239F">
            <w:pPr>
              <w:pStyle w:val="InstructionsText"/>
            </w:pPr>
            <w:r>
              <w:t>Izloženosti uključene u kategoriju izloženosti „sa statusom neispunjavanja obveza” koje se uključuju u ovu kategoriju izloženosti ako nisu bile u statusu neispunjavanja obveza.</w:t>
            </w:r>
          </w:p>
        </w:tc>
      </w:tr>
    </w:tbl>
    <w:p w14:paraId="0CF52968" w14:textId="77777777" w:rsidR="001C7AB7" w:rsidRPr="00A30C4C" w:rsidRDefault="001C7AB7">
      <w:pPr>
        <w:spacing w:before="0" w:after="0"/>
        <w:jc w:val="left"/>
        <w:rPr>
          <w:rFonts w:ascii="Times New Roman" w:hAnsi="Times New Roman"/>
          <w:bCs/>
          <w:sz w:val="24"/>
          <w:lang w:eastAsia="de-DE"/>
        </w:rPr>
      </w:pPr>
    </w:p>
    <w:p w14:paraId="34424423" w14:textId="75946C46"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30677662"/>
      <w:r>
        <w:rPr>
          <w:rFonts w:ascii="Times New Roman" w:hAnsi="Times New Roman"/>
          <w:sz w:val="24"/>
          <w:u w:val="none"/>
        </w:rPr>
        <w:t>3.3.</w:t>
      </w:r>
      <w:r>
        <w:rPr>
          <w:rFonts w:ascii="Times New Roman" w:hAnsi="Times New Roman"/>
          <w:sz w:val="24"/>
          <w:u w:val="none"/>
        </w:rPr>
        <w:tab/>
      </w:r>
      <w:r>
        <w:rPr>
          <w:rFonts w:ascii="Times New Roman" w:hAnsi="Times New Roman"/>
          <w:sz w:val="24"/>
        </w:rPr>
        <w:t xml:space="preserve">Kreditni rizik, kreditni rizik druge ugovorne strane i slobodne isporuke: </w:t>
      </w:r>
      <w:bookmarkStart w:id="218" w:name="_Toc360188357"/>
      <w:r>
        <w:rPr>
          <w:rFonts w:ascii="Times New Roman" w:hAnsi="Times New Roman"/>
          <w:sz w:val="24"/>
        </w:rPr>
        <w:t>IRB pristup kapitalnim zahtjevima</w:t>
      </w:r>
      <w:bookmarkEnd w:id="218"/>
      <w:r>
        <w:rPr>
          <w:rFonts w:ascii="Times New Roman" w:hAnsi="Times New Roman"/>
          <w:sz w:val="24"/>
        </w:rPr>
        <w:t xml:space="preserve"> (CR IRB)</w:t>
      </w:r>
      <w:bookmarkEnd w:id="216"/>
      <w:bookmarkEnd w:id="217"/>
    </w:p>
    <w:p w14:paraId="6D3CC5E2" w14:textId="77777777"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30677663"/>
      <w:r>
        <w:rPr>
          <w:rFonts w:ascii="Times New Roman" w:hAnsi="Times New Roman"/>
          <w:sz w:val="24"/>
          <w:u w:val="none"/>
        </w:rPr>
        <w:t>3.3.1.</w:t>
      </w:r>
      <w:r>
        <w:rPr>
          <w:rFonts w:ascii="Times New Roman" w:hAnsi="Times New Roman"/>
          <w:sz w:val="24"/>
          <w:u w:val="none"/>
        </w:rPr>
        <w:tab/>
      </w:r>
      <w:r>
        <w:rPr>
          <w:rFonts w:ascii="Times New Roman" w:hAnsi="Times New Roman"/>
          <w:sz w:val="24"/>
        </w:rPr>
        <w:t>Opseg obrasca CR IRB</w:t>
      </w:r>
      <w:bookmarkEnd w:id="219"/>
      <w:bookmarkEnd w:id="220"/>
      <w:bookmarkEnd w:id="221"/>
    </w:p>
    <w:p w14:paraId="4F8060C4" w14:textId="77777777" w:rsidR="001C7AB7" w:rsidRPr="00A30C4C" w:rsidRDefault="00125707" w:rsidP="00C37B29">
      <w:pPr>
        <w:pStyle w:val="InstructionsText2"/>
        <w:numPr>
          <w:ilvl w:val="0"/>
          <w:numId w:val="0"/>
        </w:numPr>
        <w:ind w:left="993"/>
      </w:pPr>
      <w:r>
        <w:t>74.</w:t>
      </w:r>
      <w:r>
        <w:tab/>
        <w:t>Obrascem CR IRB obuhvaćeni su kapitalni zahtjevi za:</w:t>
      </w:r>
    </w:p>
    <w:p w14:paraId="0B0D2E2D" w14:textId="77777777" w:rsidR="001C7AB7" w:rsidRPr="00A30C4C" w:rsidRDefault="00125707" w:rsidP="00C37B29">
      <w:pPr>
        <w:pStyle w:val="InstructionsText2"/>
        <w:numPr>
          <w:ilvl w:val="0"/>
          <w:numId w:val="0"/>
        </w:numPr>
        <w:ind w:left="993"/>
      </w:pPr>
      <w:r>
        <w:t>i.</w:t>
      </w:r>
      <w:r>
        <w:tab/>
        <w:t>kreditni rizik u knjizi pozicija kojima se ne trguje, među ostalim:</w:t>
      </w:r>
    </w:p>
    <w:p w14:paraId="13B12833" w14:textId="77777777" w:rsidR="001C7AB7" w:rsidRPr="00A30C4C" w:rsidRDefault="00125707" w:rsidP="0023700C">
      <w:pPr>
        <w:tabs>
          <w:tab w:val="left" w:pos="2370"/>
        </w:tabs>
        <w:autoSpaceDE w:val="0"/>
        <w:autoSpaceDN w:val="0"/>
        <w:adjustRightInd w:val="0"/>
        <w:spacing w:before="0" w:after="240"/>
        <w:ind w:left="2370" w:hanging="360"/>
        <w:jc w:val="left"/>
        <w:rPr>
          <w:rFonts w:ascii="Times New Roman" w:hAnsi="Times New Roman"/>
          <w:sz w:val="24"/>
        </w:rPr>
      </w:pPr>
      <w:r>
        <w:rPr>
          <w:rFonts w:ascii="Wingdings" w:hAnsi="Wingdings"/>
          <w:sz w:val="24"/>
        </w:rPr>
        <w:t></w:t>
      </w:r>
      <w:r>
        <w:rPr>
          <w:rFonts w:ascii="Wingdings" w:hAnsi="Wingdings"/>
          <w:sz w:val="24"/>
        </w:rPr>
        <w:tab/>
      </w:r>
      <w:r>
        <w:rPr>
          <w:rFonts w:ascii="Times New Roman" w:hAnsi="Times New Roman"/>
          <w:sz w:val="24"/>
        </w:rPr>
        <w:t>kreditni rizik druge ugovorne strane u knjizi pozicija kojima se ne trguje;</w:t>
      </w:r>
    </w:p>
    <w:p w14:paraId="0E5FFAAE" w14:textId="77777777" w:rsidR="001C7AB7" w:rsidRPr="00A30C4C" w:rsidRDefault="00125707" w:rsidP="0023700C">
      <w:pPr>
        <w:tabs>
          <w:tab w:val="left" w:pos="2370"/>
        </w:tabs>
        <w:autoSpaceDE w:val="0"/>
        <w:autoSpaceDN w:val="0"/>
        <w:adjustRightInd w:val="0"/>
        <w:spacing w:before="0" w:after="240"/>
        <w:ind w:left="2370" w:hanging="360"/>
        <w:jc w:val="left"/>
        <w:rPr>
          <w:rFonts w:ascii="Times New Roman" w:hAnsi="Times New Roman"/>
          <w:sz w:val="24"/>
        </w:rPr>
      </w:pPr>
      <w:r>
        <w:rPr>
          <w:rFonts w:ascii="Wingdings" w:hAnsi="Wingdings"/>
          <w:sz w:val="24"/>
        </w:rPr>
        <w:t></w:t>
      </w:r>
      <w:r>
        <w:rPr>
          <w:sz w:val="24"/>
        </w:rPr>
        <w:tab/>
      </w:r>
      <w:proofErr w:type="spellStart"/>
      <w:r>
        <w:rPr>
          <w:rFonts w:ascii="Times New Roman" w:hAnsi="Times New Roman"/>
          <w:sz w:val="24"/>
        </w:rPr>
        <w:t>razrjeđivački</w:t>
      </w:r>
      <w:proofErr w:type="spellEnd"/>
      <w:r>
        <w:rPr>
          <w:rFonts w:ascii="Times New Roman" w:hAnsi="Times New Roman"/>
          <w:sz w:val="24"/>
        </w:rPr>
        <w:t xml:space="preserve"> rizik za otkupljena potraživanja;</w:t>
      </w:r>
    </w:p>
    <w:p w14:paraId="1320AA00" w14:textId="77777777" w:rsidR="001C7AB7" w:rsidRPr="00A30C4C" w:rsidRDefault="00125707" w:rsidP="00C37B29">
      <w:pPr>
        <w:pStyle w:val="InstructionsText2"/>
        <w:numPr>
          <w:ilvl w:val="0"/>
          <w:numId w:val="0"/>
        </w:numPr>
        <w:ind w:left="993"/>
      </w:pPr>
      <w:r>
        <w:t>ii.</w:t>
      </w:r>
      <w:r>
        <w:tab/>
        <w:t>kreditni rizik druge ugovorne strane u knjizi trgovanja;</w:t>
      </w:r>
    </w:p>
    <w:p w14:paraId="67266BBC" w14:textId="33C55E4A" w:rsidR="001C7AB7" w:rsidRPr="00A30C4C" w:rsidRDefault="00125707" w:rsidP="00C37B29">
      <w:pPr>
        <w:pStyle w:val="InstructionsText2"/>
        <w:numPr>
          <w:ilvl w:val="0"/>
          <w:numId w:val="0"/>
        </w:numPr>
        <w:ind w:left="993"/>
      </w:pPr>
      <w:r>
        <w:t>iii.</w:t>
      </w:r>
      <w:r>
        <w:tab/>
        <w:t>slobodne isporuke koje proizlaze iz svih poslovnih aktivnosti.</w:t>
      </w:r>
    </w:p>
    <w:p w14:paraId="47FFEBCE" w14:textId="2485DC22" w:rsidR="001C7AB7" w:rsidRPr="00A30C4C" w:rsidRDefault="00125707" w:rsidP="00C37B29">
      <w:pPr>
        <w:pStyle w:val="InstructionsText2"/>
        <w:numPr>
          <w:ilvl w:val="0"/>
          <w:numId w:val="0"/>
        </w:numPr>
        <w:ind w:left="993"/>
      </w:pPr>
      <w:r>
        <w:t>75.</w:t>
      </w:r>
      <w:r>
        <w:tab/>
        <w:t xml:space="preserve">Opseg obrasca odnosi se na izloženosti za koje se iznosi izloženosti ponderirani rizikom izračunavaju u skladu s dijelom trećim glavom II. poglavljem 3. člancima od 151. do 157. (IRB pristup). </w:t>
      </w:r>
    </w:p>
    <w:p w14:paraId="400615E1" w14:textId="77777777" w:rsidR="001C7AB7" w:rsidRPr="00A30C4C" w:rsidRDefault="00125707" w:rsidP="00C37B29">
      <w:pPr>
        <w:pStyle w:val="InstructionsText2"/>
        <w:numPr>
          <w:ilvl w:val="0"/>
          <w:numId w:val="0"/>
        </w:numPr>
        <w:ind w:left="993"/>
      </w:pPr>
      <w:r>
        <w:t>76.</w:t>
      </w:r>
      <w:r>
        <w:tab/>
        <w:t xml:space="preserve">Obrascem CR IRB nisu obuhvaćeni sljedeći podaci: </w:t>
      </w:r>
    </w:p>
    <w:p w14:paraId="44821CA0" w14:textId="77777777" w:rsidR="001C7AB7" w:rsidRPr="00A30C4C" w:rsidRDefault="00125707" w:rsidP="00C37B29">
      <w:pPr>
        <w:pStyle w:val="InstructionsText2"/>
        <w:numPr>
          <w:ilvl w:val="0"/>
          <w:numId w:val="0"/>
        </w:numPr>
        <w:ind w:left="993"/>
      </w:pPr>
      <w:r>
        <w:t>i.</w:t>
      </w:r>
      <w:r>
        <w:tab/>
        <w:t xml:space="preserve">izloženosti na osnovi vlasničkih ulaganja, koje se iskazuju u obrascu CR EQU IRB; </w:t>
      </w:r>
    </w:p>
    <w:p w14:paraId="4E90EF54" w14:textId="77777777" w:rsidR="001C7AB7" w:rsidRPr="00A30C4C" w:rsidRDefault="00125707" w:rsidP="00C37B29">
      <w:pPr>
        <w:pStyle w:val="InstructionsText2"/>
        <w:numPr>
          <w:ilvl w:val="0"/>
          <w:numId w:val="0"/>
        </w:numPr>
        <w:ind w:left="993"/>
      </w:pPr>
      <w:r>
        <w:t>ii.</w:t>
      </w:r>
      <w:r>
        <w:tab/>
      </w:r>
      <w:proofErr w:type="spellStart"/>
      <w:r>
        <w:t>sekuritizacijske</w:t>
      </w:r>
      <w:proofErr w:type="spellEnd"/>
      <w:r>
        <w:t xml:space="preserve"> pozicije, koje se iskazuju u obrascu CR SEC i/ili CR SEC detaljniji podaci;</w:t>
      </w:r>
    </w:p>
    <w:p w14:paraId="293A551D" w14:textId="31553042" w:rsidR="001C7AB7" w:rsidRPr="00A30C4C" w:rsidRDefault="00125707" w:rsidP="00C37B29">
      <w:pPr>
        <w:pStyle w:val="InstructionsText2"/>
        <w:numPr>
          <w:ilvl w:val="0"/>
          <w:numId w:val="0"/>
        </w:numPr>
        <w:ind w:left="993"/>
      </w:pPr>
      <w:r>
        <w:t>iii.</w:t>
      </w:r>
      <w:r>
        <w:tab/>
        <w:t xml:space="preserve"> „ostala imovina” iz članka 147. stavka 2. točke (g) CRR-a. Ponder rizika za tu kategoriju izloženosti treba odrediti na 100 % u svakom trenutku, izuzev gotovine u blagajni, istovjetnih gotovinskih stavki i izloženosti koje su ostatak vrijednosti imovine dane u zajam, u skladu s člankom 156. CRR-a. Iznosi izloženosti ponderirani rizikom za tu kategoriju izloženosti iskazuju se izravno u obrascu CA;</w:t>
      </w:r>
    </w:p>
    <w:p w14:paraId="3DE00D15" w14:textId="77777777" w:rsidR="001C7AB7" w:rsidRPr="00A30C4C" w:rsidRDefault="00125707" w:rsidP="00C37B29">
      <w:pPr>
        <w:pStyle w:val="InstructionsText2"/>
        <w:numPr>
          <w:ilvl w:val="0"/>
          <w:numId w:val="0"/>
        </w:numPr>
        <w:ind w:left="993"/>
      </w:pPr>
      <w:r>
        <w:t>iv.</w:t>
      </w:r>
      <w:r>
        <w:tab/>
        <w:t>rizik prilagodbe kreditnom vrednovanju, koji se iskazuje u obrascu za CVA rizik;</w:t>
      </w:r>
    </w:p>
    <w:p w14:paraId="5762A669" w14:textId="2C2934B6" w:rsidR="001C7AB7" w:rsidRPr="00A30C4C"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lastRenderedPageBreak/>
        <w:t xml:space="preserve">Obrascem CR IRB ne propisuje se geografska raščlamba izloženosti u skladu s IRB pristupom prema boravištu druge ugovorne strane. Ta se raščlamba iskazuje u obrascu CR GB. </w:t>
      </w:r>
    </w:p>
    <w:p w14:paraId="7E96E46E" w14:textId="43D7F0B3" w:rsidR="001C7AB7" w:rsidRPr="00A30C4C" w:rsidRDefault="00125707" w:rsidP="00C37B29">
      <w:pPr>
        <w:pStyle w:val="InstructionsText2"/>
        <w:numPr>
          <w:ilvl w:val="0"/>
          <w:numId w:val="0"/>
        </w:numPr>
        <w:ind w:left="993"/>
      </w:pPr>
      <w:r>
        <w:t>77.</w:t>
      </w:r>
      <w:r>
        <w:tab/>
        <w:t>Radi pojašnjenja koristi li institucija vlastite procjene LGD-a ili kreditnih konverzijskih faktora, za svaku iskazanu kategoriju izloženosti dostavljaju se sljedeće informacije:</w:t>
      </w:r>
    </w:p>
    <w:p w14:paraId="7DC64B70" w14:textId="77777777"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 ako se koriste nadzorne procjene LGD-a i kreditnih konverzijskih faktora (osnovni IRB pristup)</w:t>
      </w:r>
    </w:p>
    <w:p w14:paraId="3B491514" w14:textId="77777777"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„DA” = ako se koriste vlastite procjene LGD-a i kreditnih konverzijskih faktora (napredni IRB pristup) </w:t>
      </w:r>
    </w:p>
    <w:p w14:paraId="7DBA70CF" w14:textId="77777777"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U svakom slučaju, za izvješćivanje o portfeljima izloženosti prema stanovništvu potrebno je iskazati „DA”.</w:t>
      </w:r>
    </w:p>
    <w:p w14:paraId="7486BF84" w14:textId="4E39E0E9"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Ako institucija koristi vlastite procjene LGD-a za izračun </w:t>
      </w:r>
      <w:r>
        <w:rPr>
          <w:rStyle w:val="InstructionsTabelleText"/>
          <w:rFonts w:ascii="Times New Roman" w:hAnsi="Times New Roman"/>
          <w:sz w:val="24"/>
        </w:rPr>
        <w:t>iznosa izloženosti ponderiranih rizikom</w:t>
      </w:r>
      <w:r>
        <w:rPr>
          <w:rFonts w:ascii="Times New Roman" w:hAnsi="Times New Roman"/>
          <w:sz w:val="24"/>
        </w:rPr>
        <w:t xml:space="preserve"> za dio svojih izloženosti u skladu s IRB pristupom i nadzorne procjene LGD-a za izračun </w:t>
      </w:r>
      <w:r>
        <w:rPr>
          <w:rStyle w:val="InstructionsTabelleText"/>
          <w:rFonts w:ascii="Times New Roman" w:hAnsi="Times New Roman"/>
          <w:sz w:val="24"/>
        </w:rPr>
        <w:t>iznosa izloženosti ponderiranih rizikom</w:t>
      </w:r>
      <w:r>
        <w:rPr>
          <w:rFonts w:ascii="Times New Roman" w:hAnsi="Times New Roman"/>
          <w:sz w:val="24"/>
        </w:rPr>
        <w:t xml:space="preserve"> za drugi dio izloženosti u skladu s IRB pristupom, potrebno je iskazati obrazac s ukupnim podacima CR IRB za pozicije u skladu s osnovnim IRB pristupom i obrazac s ukupnim podacima CR IRB za pozicije u skladu s naprednim IRB pristupom.</w:t>
      </w:r>
    </w:p>
    <w:p w14:paraId="706E10C7" w14:textId="77777777"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30677664"/>
      <w:r>
        <w:rPr>
          <w:rFonts w:ascii="Times New Roman" w:hAnsi="Times New Roman"/>
          <w:sz w:val="24"/>
          <w:u w:val="none"/>
        </w:rPr>
        <w:t>3.3.2.</w:t>
      </w:r>
      <w:r>
        <w:rPr>
          <w:rFonts w:ascii="Times New Roman" w:hAnsi="Times New Roman"/>
          <w:sz w:val="24"/>
          <w:u w:val="none"/>
        </w:rPr>
        <w:tab/>
      </w:r>
      <w:r>
        <w:rPr>
          <w:rFonts w:ascii="Times New Roman" w:hAnsi="Times New Roman"/>
          <w:sz w:val="24"/>
        </w:rPr>
        <w:t>Raščlamba obrasca CR IRB</w:t>
      </w:r>
      <w:bookmarkEnd w:id="222"/>
      <w:bookmarkEnd w:id="223"/>
      <w:bookmarkEnd w:id="224"/>
      <w:bookmarkEnd w:id="225"/>
      <w:bookmarkEnd w:id="226"/>
      <w:bookmarkEnd w:id="227"/>
      <w:bookmarkEnd w:id="228"/>
      <w:bookmarkEnd w:id="229"/>
    </w:p>
    <w:p w14:paraId="49869CCD" w14:textId="77777777" w:rsidR="001C7AB7" w:rsidRPr="00A30C4C" w:rsidRDefault="00125707" w:rsidP="00C37B29">
      <w:pPr>
        <w:pStyle w:val="InstructionsText2"/>
        <w:numPr>
          <w:ilvl w:val="0"/>
          <w:numId w:val="0"/>
        </w:numPr>
        <w:ind w:left="993"/>
      </w:pPr>
      <w:r>
        <w:t>78.</w:t>
      </w:r>
      <w:r>
        <w:tab/>
        <w:t>CR IRB čine dva obrasca. CR IRB 1 sadržava opći pregled izloženosti u skladu s IRB pristupom i različite metode izračuna ukupnih iznosa izloženosti riziku te raščlambu ukupnih izloženosti prema vrsti izloženosti. CR IRB 2 sadržava raščlambu ukupnih izloženosti raspoređenih u rejting-kategorije dužnika ili skupove izloženosti. Obrasci CR IRB 1 i CR IRB 2 iskazuju se zasebno za sljedeće kategorije i potkategorije izloženosti:</w:t>
      </w:r>
    </w:p>
    <w:p w14:paraId="4C3A3DB6" w14:textId="149CE91E" w:rsidR="001C7AB7" w:rsidRPr="00A30C4C" w:rsidRDefault="00723ABC"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rsidR="001C7AB7">
        <w:rPr>
          <w:rFonts w:ascii="Times New Roman" w:hAnsi="Times New Roman"/>
          <w:sz w:val="24"/>
        </w:rPr>
        <w:tab/>
        <w:t>Ukupno</w:t>
      </w:r>
    </w:p>
    <w:p w14:paraId="715E55C4" w14:textId="1D763B57" w:rsidR="001C7AB7" w:rsidRPr="00A30C4C"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ab/>
        <w:t>(Obrazac s ukupnim podacima mora se iskazati za osnovni IRB pristup i zasebno za napredni IRB pristup.)</w:t>
      </w:r>
    </w:p>
    <w:p w14:paraId="4B0D3A90" w14:textId="262BCC02" w:rsidR="001C7AB7" w:rsidRPr="00A30C4C" w:rsidRDefault="00723ABC"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rsidR="001C7AB7">
        <w:rPr>
          <w:rFonts w:ascii="Times New Roman" w:hAnsi="Times New Roman"/>
          <w:sz w:val="24"/>
        </w:rPr>
        <w:tab/>
        <w:t xml:space="preserve">Središnje banke i središnje države </w:t>
      </w:r>
    </w:p>
    <w:p w14:paraId="558C719D" w14:textId="36EEE6E3"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(Članak 147. stavak 2. točka (a) CRR-a)</w:t>
      </w:r>
    </w:p>
    <w:p w14:paraId="07EF82EF" w14:textId="05315804" w:rsidR="001C7AB7" w:rsidRPr="00A30C4C" w:rsidRDefault="00723ABC"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rsidR="001C7AB7">
        <w:rPr>
          <w:rFonts w:ascii="Times New Roman" w:hAnsi="Times New Roman"/>
          <w:sz w:val="24"/>
        </w:rPr>
        <w:tab/>
        <w:t>Institucije</w:t>
      </w:r>
    </w:p>
    <w:p w14:paraId="0A7EB7B6" w14:textId="0996937B" w:rsidR="001C7AB7" w:rsidRPr="00A30C4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(Članak 147. stavak 2. točka (b) CRR-a)</w:t>
      </w:r>
    </w:p>
    <w:p w14:paraId="3A5A6D07" w14:textId="49223F56" w:rsidR="001C7AB7" w:rsidRPr="00A30C4C" w:rsidRDefault="00723ABC"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rsidR="001C7AB7">
        <w:rPr>
          <w:rFonts w:ascii="Times New Roman" w:hAnsi="Times New Roman"/>
          <w:sz w:val="24"/>
        </w:rPr>
        <w:tab/>
        <w:t>Trgovačka društva – MSP</w:t>
      </w:r>
    </w:p>
    <w:p w14:paraId="3A1569F4" w14:textId="72264776"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(Članak 147. stavak 2. točka (c) CRR-a) </w:t>
      </w:r>
    </w:p>
    <w:p w14:paraId="628E8942" w14:textId="509E9DE0" w:rsidR="001C7AB7" w:rsidRPr="00A30C4C" w:rsidRDefault="00723ABC"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rsidR="001C7AB7">
        <w:rPr>
          <w:rFonts w:ascii="Times New Roman" w:hAnsi="Times New Roman"/>
          <w:sz w:val="24"/>
        </w:rPr>
        <w:tab/>
        <w:t>Trgovačka društva – specijalizirano financiranje</w:t>
      </w:r>
    </w:p>
    <w:p w14:paraId="11349E18" w14:textId="41907546"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(članak 147. stavak 8. CRR-a)</w:t>
      </w:r>
    </w:p>
    <w:p w14:paraId="2AA1AE86" w14:textId="222D86BD" w:rsidR="001C7AB7" w:rsidRPr="00A30C4C" w:rsidRDefault="00723ABC"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rsidR="001C7AB7">
        <w:rPr>
          <w:rFonts w:ascii="Times New Roman" w:hAnsi="Times New Roman"/>
          <w:sz w:val="24"/>
        </w:rPr>
        <w:tab/>
        <w:t xml:space="preserve">Trgovačka društva – ostalo </w:t>
      </w:r>
    </w:p>
    <w:p w14:paraId="17B1202D" w14:textId="2FC75A02"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(sve izloženosti prema trgovačkim društvima iz članka 147. stavka 2. točke (c) CRR-a koje nisu iskazane u stavkama 4.1 i 4.2).</w:t>
      </w:r>
    </w:p>
    <w:p w14:paraId="012C1B7E" w14:textId="2D45B785" w:rsidR="001C7AB7" w:rsidRPr="00A30C4C" w:rsidRDefault="00723ABC"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rsidR="001C7AB7">
        <w:rPr>
          <w:rFonts w:ascii="Times New Roman" w:hAnsi="Times New Roman"/>
          <w:sz w:val="24"/>
        </w:rPr>
        <w:tab/>
        <w:t>Stanovništvo – izloženosti osigurane nekretninama MSP-ova</w:t>
      </w:r>
    </w:p>
    <w:p w14:paraId="14276CA5" w14:textId="3B541F5F"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CRR-a u vezi s člankom 154. stavkom 3. CRR-a koje su osigurane nekretninama).</w:t>
      </w:r>
    </w:p>
    <w:p w14:paraId="477FAE70" w14:textId="45C80A2D" w:rsidR="001C7AB7" w:rsidRPr="00A30C4C" w:rsidRDefault="00723ABC"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rsidR="001C7AB7">
        <w:rPr>
          <w:rFonts w:ascii="Times New Roman" w:hAnsi="Times New Roman"/>
          <w:sz w:val="24"/>
        </w:rPr>
        <w:tab/>
        <w:t>Stanovništvo – izloženosti osigurane nekretninama osoba koje nisu MSP-ovi</w:t>
      </w:r>
    </w:p>
    <w:p w14:paraId="0853E262" w14:textId="2F01E70E"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(izloženosti prema stanovništvu iz članka 147. stavka 2. točke (d) CRR-a koje su osigurane nekretninama i nisu iskazane u stavki 5.1).</w:t>
      </w:r>
    </w:p>
    <w:p w14:paraId="152083C0" w14:textId="07F816B1" w:rsidR="001C7AB7" w:rsidRPr="00A30C4C" w:rsidRDefault="00723ABC"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rsidR="001C7AB7">
        <w:rPr>
          <w:rFonts w:ascii="Times New Roman" w:hAnsi="Times New Roman"/>
          <w:sz w:val="24"/>
        </w:rPr>
        <w:tab/>
        <w:t>Stanovništvo – kvalificirane obnovljive izloženosti</w:t>
      </w:r>
    </w:p>
    <w:p w14:paraId="1B6B0E6E" w14:textId="2E42B74C"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(izloženosti prema stanovništvu iz članka 147. stavka 2. točke (d) CRR-a u vezi s člankom 154. stavkom 4. CRR-a). </w:t>
      </w:r>
    </w:p>
    <w:p w14:paraId="751555D8" w14:textId="78AE04D1" w:rsidR="001C7AB7" w:rsidRPr="00A30C4C" w:rsidRDefault="00723ABC"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rsidR="001C7AB7">
        <w:rPr>
          <w:rFonts w:ascii="Times New Roman" w:hAnsi="Times New Roman"/>
          <w:sz w:val="24"/>
        </w:rPr>
        <w:tab/>
        <w:t>Stanovništvo – ostalo, MSP-ovi</w:t>
      </w:r>
    </w:p>
    <w:p w14:paraId="4E8B2F09" w14:textId="33427A08"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CRR-a koje nisu iskazane u stavkama 5.1 i 5.3).</w:t>
      </w:r>
    </w:p>
    <w:p w14:paraId="4C9857F1" w14:textId="59C8AE5A" w:rsidR="001C7AB7" w:rsidRPr="00A30C4C" w:rsidRDefault="00723ABC"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rsidR="00125707">
        <w:rPr>
          <w:rFonts w:ascii="Times New Roman" w:hAnsi="Times New Roman"/>
          <w:sz w:val="24"/>
        </w:rPr>
        <w:tab/>
        <w:t>Stanovništvo – ostali ne–MSP-ovi</w:t>
      </w:r>
    </w:p>
    <w:p w14:paraId="0B729311" w14:textId="2066B4DE"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(izloženosti prema stanovništvu iz članka 147. stavka 2. točke (d) CRR-a koje nisu iskazane u stavkama 5.2 i 5.3).</w:t>
      </w:r>
    </w:p>
    <w:p w14:paraId="4580B6D6" w14:textId="77777777" w:rsidR="001C7AB7" w:rsidRPr="00A30C4C" w:rsidRDefault="001C7AB7" w:rsidP="001C7AB7">
      <w:pPr>
        <w:autoSpaceDE w:val="0"/>
        <w:autoSpaceDN w:val="0"/>
        <w:adjustRightInd w:val="0"/>
        <w:spacing w:before="0" w:after="240"/>
        <w:jc w:val="left"/>
        <w:rPr>
          <w:rFonts w:ascii="Times New Roman" w:hAnsi="Times New Roman"/>
          <w:sz w:val="24"/>
          <w:lang w:eastAsia="de-DE"/>
        </w:rPr>
      </w:pPr>
    </w:p>
    <w:p w14:paraId="75F30A67" w14:textId="1F35783A" w:rsidR="00206687" w:rsidRPr="00A30C4C"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30677665"/>
      <w:r>
        <w:rPr>
          <w:rFonts w:ascii="Times New Roman" w:hAnsi="Times New Roman"/>
          <w:sz w:val="24"/>
          <w:u w:val="none"/>
        </w:rPr>
        <w:t>3.3.3.</w:t>
      </w:r>
      <w:r>
        <w:rPr>
          <w:rFonts w:ascii="Times New Roman" w:hAnsi="Times New Roman"/>
          <w:sz w:val="24"/>
          <w:u w:val="none"/>
        </w:rPr>
        <w:tab/>
      </w:r>
      <w:r>
        <w:rPr>
          <w:rFonts w:ascii="Times New Roman" w:hAnsi="Times New Roman"/>
          <w:sz w:val="24"/>
        </w:rPr>
        <w:t>C 08.01 – Kreditni rizik, kreditni rizik druge ugovorne strane i slobodne isporuke: IRB pristup kapitalnim zahtjevima (CR IRB 1)</w:t>
      </w:r>
      <w:bookmarkEnd w:id="230"/>
      <w:bookmarkEnd w:id="238"/>
    </w:p>
    <w:p w14:paraId="07E30962" w14:textId="2FCC8AC8" w:rsidR="001C7AB7" w:rsidRPr="00A30C4C"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30677666"/>
      <w:r>
        <w:rPr>
          <w:rFonts w:ascii="Times New Roman" w:hAnsi="Times New Roman"/>
          <w:sz w:val="24"/>
          <w:u w:val="none"/>
        </w:rPr>
        <w:t>3.3.3.1</w:t>
      </w:r>
      <w:r w:rsidR="00723ABC">
        <w:rPr>
          <w:rFonts w:ascii="Times New Roman" w:hAnsi="Times New Roman"/>
          <w:sz w:val="24"/>
          <w:u w:val="none"/>
        </w:rPr>
        <w:t>.</w:t>
      </w:r>
      <w:r>
        <w:rPr>
          <w:rFonts w:ascii="Times New Roman" w:hAnsi="Times New Roman"/>
          <w:sz w:val="24"/>
          <w:u w:val="none"/>
        </w:rPr>
        <w:tab/>
      </w:r>
      <w:r>
        <w:rPr>
          <w:rFonts w:ascii="Times New Roman" w:hAnsi="Times New Roman"/>
          <w:sz w:val="24"/>
        </w:rPr>
        <w:t>Upute za specifične pozicije</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A30C4C" w14:paraId="60E9BF4A" w14:textId="77777777" w:rsidTr="00672D2A">
        <w:tc>
          <w:tcPr>
            <w:tcW w:w="1188" w:type="dxa"/>
            <w:shd w:val="clear" w:color="auto" w:fill="CCCCCC"/>
          </w:tcPr>
          <w:p w14:paraId="2BEBA0BC" w14:textId="77777777" w:rsidR="001C7AB7" w:rsidRPr="00A30C4C" w:rsidRDefault="001C7AB7" w:rsidP="001C7AB7">
            <w:pPr>
              <w:rPr>
                <w:rFonts w:ascii="Times New Roman" w:hAnsi="Times New Roman"/>
                <w:sz w:val="24"/>
              </w:rPr>
            </w:pPr>
            <w:r>
              <w:rPr>
                <w:rFonts w:ascii="Times New Roman" w:hAnsi="Times New Roman"/>
                <w:sz w:val="24"/>
              </w:rPr>
              <w:t>Stupci</w:t>
            </w:r>
          </w:p>
        </w:tc>
        <w:tc>
          <w:tcPr>
            <w:tcW w:w="8843" w:type="dxa"/>
            <w:shd w:val="clear" w:color="auto" w:fill="CCCCCC"/>
          </w:tcPr>
          <w:p w14:paraId="0982259D" w14:textId="77777777" w:rsidR="001C7AB7" w:rsidRPr="00A30C4C" w:rsidRDefault="001C7AB7" w:rsidP="001C7AB7">
            <w:pPr>
              <w:rPr>
                <w:rFonts w:ascii="Times New Roman" w:hAnsi="Times New Roman"/>
                <w:sz w:val="24"/>
              </w:rPr>
            </w:pPr>
            <w:r>
              <w:rPr>
                <w:rFonts w:ascii="Times New Roman" w:hAnsi="Times New Roman"/>
                <w:sz w:val="24"/>
              </w:rPr>
              <w:t>Upute</w:t>
            </w:r>
          </w:p>
        </w:tc>
      </w:tr>
      <w:tr w:rsidR="001C7AB7" w:rsidRPr="00A30C4C" w14:paraId="6BE64C9B" w14:textId="77777777" w:rsidTr="00672D2A">
        <w:tc>
          <w:tcPr>
            <w:tcW w:w="1188" w:type="dxa"/>
          </w:tcPr>
          <w:p w14:paraId="025C7020" w14:textId="77777777" w:rsidR="001C7AB7" w:rsidRPr="00A30C4C" w:rsidRDefault="001C7AB7" w:rsidP="001C7AB7">
            <w:pPr>
              <w:rPr>
                <w:rFonts w:ascii="Times New Roman" w:hAnsi="Times New Roman"/>
                <w:sz w:val="24"/>
              </w:rPr>
            </w:pPr>
            <w:r>
              <w:rPr>
                <w:rFonts w:ascii="Times New Roman" w:hAnsi="Times New Roman"/>
                <w:sz w:val="24"/>
              </w:rPr>
              <w:t>010</w:t>
            </w:r>
          </w:p>
        </w:tc>
        <w:tc>
          <w:tcPr>
            <w:tcW w:w="8843" w:type="dxa"/>
          </w:tcPr>
          <w:p w14:paraId="2F4620DE"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INTERNI REJTING-SUSTAV / PD RASPOREĐEN U REJTING-KATEGORIJU DUŽNIKA ILI SKUP IZLOŽENOSTI (%)</w:t>
            </w:r>
          </w:p>
          <w:p w14:paraId="3067A2B1" w14:textId="0B3366AD" w:rsidR="001C7AB7" w:rsidRPr="00A30C4C" w:rsidRDefault="001C7AB7" w:rsidP="001C7AB7">
            <w:pPr>
              <w:rPr>
                <w:rFonts w:ascii="Times New Roman" w:hAnsi="Times New Roman"/>
                <w:sz w:val="24"/>
              </w:rPr>
            </w:pPr>
            <w:r>
              <w:rPr>
                <w:rStyle w:val="InstructionsTabelleText"/>
                <w:rFonts w:ascii="Times New Roman" w:hAnsi="Times New Roman"/>
                <w:sz w:val="24"/>
              </w:rPr>
              <w:t>PD raspoređen u rejting-kategoriju dužnika ili skup izloženosti temelji se na odredbama članka 180. CRR-a. Za svaku pojedinu rejting-kategoriju ili skup iskazuje se PD raspoređen u specifičnu rejting-kategoriju dužnika ili skup izloženosti. Za vrijednosti koje odgovaraju agregiranju rejting-kategorija dužnika ili skupova izloženosti (npr. ukupne izloženosti) dostavlja se ponderirani prosjek izloženosti PD-ova raspoređenih u rejting-kategoriju dužnika ili skupove izloženosti uključen u agregiranje. Vrijednost izloženosti (stupac 110) koristi se za izračun izloženošću ponderiranog prosječnog PD-a</w:t>
            </w:r>
            <w:r>
              <w:rPr>
                <w:rFonts w:ascii="Times New Roman" w:hAnsi="Times New Roman"/>
                <w:sz w:val="24"/>
              </w:rPr>
              <w:t>.</w:t>
            </w:r>
          </w:p>
          <w:p w14:paraId="12D93A11" w14:textId="77777777"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Za svaku pojedinu rejting-kategoriju ili skup iskazuje se PD raspoređen u specifičnu rejting-kategoriju dužnika ili skup izloženosti. Svi iskazani parametri rizika izvode se iz parametara rizika upotrijebljenih u internom rejting-sustavu koji je odobrilo nadležno tijelo.</w:t>
            </w:r>
          </w:p>
          <w:p w14:paraId="329568E1" w14:textId="036AA890"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Rejting-skala za nadzor ne namjerava se uvesti niti je poželjna. Ako institucija koja izvješćuje primjenjuje jedinstveni rejting-sustav ili može izvješćivati u skladu s internom rejting-skalom, koristi se ta skala. </w:t>
            </w:r>
          </w:p>
          <w:p w14:paraId="28E55D40" w14:textId="2DD15389"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U suprotnom se različiti rejting-sustavi spajaju i određuju u skladu sa sljedećim kriterijima: rejting-kategorije dužnika različitih rejting-sustava grupiraju se i određuju od nižeg PD-a raspoređenog u svaku rejting-kategoriju dužnika prema višem. Ako institucija koristi veliki broj rejting-kategorija ili skupova, s nadležnim tijelima može se dogovoriti iskazivanje smanjenog broja rejting-kategorija ili skupova.</w:t>
            </w:r>
          </w:p>
          <w:p w14:paraId="02372E1B" w14:textId="527E8396"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Institucije unaprijed kontaktiraju s nadležnim tijelom ako žele iskazati drukčiji broj rejting-kategorija u odnosu na interni broj rejting-kategorija.</w:t>
            </w:r>
          </w:p>
          <w:p w14:paraId="19F06AB9" w14:textId="2C177AB2"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Za potrebe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prosječnog PD-a vrijednost izloženosti iskazuje se u stupcu 110. Sve izloženosti, uključujući izloženosti sa statusom neispunjavanja obveza, potrebno je uzeti u obzir za izračun izloženošću ponderiranog prosječnog PD-a (npr. za „ukupne izloženosti”). Izloženosti sa statusom neispunjavanja obveza izloženosti su raspoređene u zadnju rejting-kategoriju/kategorije s PD-om od 100 %.</w:t>
            </w:r>
          </w:p>
          <w:p w14:paraId="373AF56E" w14:textId="77777777" w:rsidR="001C7AB7" w:rsidRPr="00A30C4C" w:rsidRDefault="001C7AB7" w:rsidP="001C7AB7">
            <w:pPr>
              <w:rPr>
                <w:rFonts w:ascii="Times New Roman" w:hAnsi="Times New Roman"/>
                <w:sz w:val="24"/>
              </w:rPr>
            </w:pPr>
          </w:p>
        </w:tc>
      </w:tr>
      <w:tr w:rsidR="001C7AB7" w:rsidRPr="00A30C4C" w14:paraId="3B380EDD" w14:textId="77777777" w:rsidTr="00672D2A">
        <w:tc>
          <w:tcPr>
            <w:tcW w:w="1188" w:type="dxa"/>
          </w:tcPr>
          <w:p w14:paraId="7D15D9BB" w14:textId="77777777" w:rsidR="001C7AB7" w:rsidRPr="00A30C4C" w:rsidRDefault="001C7AB7" w:rsidP="001C7AB7">
            <w:pPr>
              <w:rPr>
                <w:rFonts w:ascii="Times New Roman" w:hAnsi="Times New Roman"/>
                <w:sz w:val="24"/>
              </w:rPr>
            </w:pPr>
            <w:r>
              <w:rPr>
                <w:rFonts w:ascii="Times New Roman" w:hAnsi="Times New Roman"/>
                <w:sz w:val="24"/>
              </w:rPr>
              <w:lastRenderedPageBreak/>
              <w:t>020</w:t>
            </w:r>
          </w:p>
        </w:tc>
        <w:tc>
          <w:tcPr>
            <w:tcW w:w="8843" w:type="dxa"/>
          </w:tcPr>
          <w:p w14:paraId="4A4ECBDA" w14:textId="1BCAD522" w:rsidR="001C7AB7" w:rsidRPr="00A30C4C" w:rsidRDefault="001C7AB7" w:rsidP="001C7AB7">
            <w:pPr>
              <w:rPr>
                <w:rFonts w:ascii="Times New Roman" w:hAnsi="Times New Roman"/>
                <w:b/>
                <w:sz w:val="24"/>
                <w:u w:val="single"/>
              </w:rPr>
            </w:pPr>
            <w:r>
              <w:rPr>
                <w:rFonts w:ascii="Times New Roman" w:hAnsi="Times New Roman"/>
                <w:b/>
                <w:sz w:val="24"/>
                <w:u w:val="single"/>
              </w:rPr>
              <w:t>ORIGINALNA IZLOŽENOST PRIJE KONVERZIJSKIH FAKTORA</w:t>
            </w:r>
          </w:p>
          <w:p w14:paraId="4BEF39D8" w14:textId="77777777" w:rsidR="001C7AB7" w:rsidRPr="00A30C4C" w:rsidRDefault="001C7AB7" w:rsidP="001C7AB7">
            <w:pPr>
              <w:rPr>
                <w:rFonts w:ascii="Times New Roman" w:hAnsi="Times New Roman"/>
                <w:sz w:val="24"/>
              </w:rPr>
            </w:pPr>
            <w:r>
              <w:rPr>
                <w:rFonts w:ascii="Times New Roman" w:hAnsi="Times New Roman"/>
                <w:sz w:val="24"/>
              </w:rPr>
              <w:t xml:space="preserve">Institucije iskazuju vrijednost izloženosti prije uzimanja u obzir bilo kakvih vrijednosnih usklađenja, rezervacija, učinaka na temelju tehnika smanjenja kreditnog rizika ili kreditnih konverzijskih faktora. </w:t>
            </w:r>
          </w:p>
          <w:p w14:paraId="338AF088" w14:textId="3DD95DA4" w:rsidR="001C7AB7" w:rsidRPr="00A30C4C" w:rsidRDefault="001C7AB7" w:rsidP="001C7AB7">
            <w:pPr>
              <w:rPr>
                <w:rFonts w:ascii="Times New Roman" w:hAnsi="Times New Roman"/>
                <w:sz w:val="24"/>
              </w:rPr>
            </w:pPr>
            <w:r>
              <w:rPr>
                <w:rFonts w:ascii="Times New Roman" w:hAnsi="Times New Roman"/>
                <w:sz w:val="24"/>
              </w:rPr>
              <w:t>Vrijednost originalne izloženosti iskazuje se u skladu s člankom 24. CRR-a i člankom 166. stavcima 1., 2., 4., 5., 6. i 7. CRR-a.</w:t>
            </w:r>
          </w:p>
          <w:p w14:paraId="743A5BCF" w14:textId="4A5EB26C" w:rsidR="001C7AB7" w:rsidRPr="00A30C4C" w:rsidRDefault="001C7AB7" w:rsidP="001C7AB7">
            <w:pPr>
              <w:rPr>
                <w:rFonts w:ascii="Times New Roman" w:hAnsi="Times New Roman"/>
                <w:sz w:val="24"/>
              </w:rPr>
            </w:pPr>
            <w:r>
              <w:rPr>
                <w:rFonts w:ascii="Times New Roman" w:hAnsi="Times New Roman"/>
                <w:sz w:val="24"/>
              </w:rPr>
              <w:t xml:space="preserve">Učinak koji proizlazi iz članka 166. stavka 3. CRR-a (učinak bilančnog </w:t>
            </w:r>
            <w:proofErr w:type="spellStart"/>
            <w:r>
              <w:rPr>
                <w:rFonts w:ascii="Times New Roman" w:hAnsi="Times New Roman"/>
                <w:sz w:val="24"/>
              </w:rPr>
              <w:t>netiranja</w:t>
            </w:r>
            <w:proofErr w:type="spellEnd"/>
            <w:r>
              <w:rPr>
                <w:rFonts w:ascii="Times New Roman" w:hAnsi="Times New Roman"/>
                <w:sz w:val="24"/>
              </w:rPr>
              <w:t xml:space="preserve"> kredita i depozita) iskazuje se zasebno kao materijalna kreditna zaštita i stoga se njime ne smanjuje originalna izloženost. </w:t>
            </w:r>
          </w:p>
          <w:p w14:paraId="7DE0FC32" w14:textId="77777777" w:rsidR="001C7AB7" w:rsidRPr="00A30C4C" w:rsidRDefault="001C7AB7" w:rsidP="001C7AB7">
            <w:pPr>
              <w:rPr>
                <w:rFonts w:ascii="Times New Roman" w:hAnsi="Times New Roman"/>
                <w:sz w:val="24"/>
              </w:rPr>
            </w:pPr>
          </w:p>
        </w:tc>
      </w:tr>
      <w:tr w:rsidR="001C7AB7" w:rsidRPr="00A30C4C" w14:paraId="61052186" w14:textId="77777777" w:rsidTr="00672D2A">
        <w:tc>
          <w:tcPr>
            <w:tcW w:w="1188" w:type="dxa"/>
          </w:tcPr>
          <w:p w14:paraId="709F0222" w14:textId="77777777" w:rsidR="001C7AB7" w:rsidRPr="00A30C4C" w:rsidRDefault="001C7AB7" w:rsidP="001C7AB7">
            <w:pPr>
              <w:rPr>
                <w:rFonts w:ascii="Times New Roman" w:hAnsi="Times New Roman"/>
                <w:sz w:val="24"/>
              </w:rPr>
            </w:pPr>
            <w:r>
              <w:rPr>
                <w:rFonts w:ascii="Times New Roman" w:hAnsi="Times New Roman"/>
                <w:sz w:val="24"/>
              </w:rPr>
              <w:t>030</w:t>
            </w:r>
          </w:p>
        </w:tc>
        <w:tc>
          <w:tcPr>
            <w:tcW w:w="8843" w:type="dxa"/>
          </w:tcPr>
          <w:p w14:paraId="1F21C7FE"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14:paraId="6E0215A4" w14:textId="23CA57E8" w:rsidR="001C7AB7" w:rsidRPr="00A30C4C" w:rsidRDefault="001C7AB7" w:rsidP="00110F40">
            <w:pPr>
              <w:rPr>
                <w:rFonts w:ascii="Times New Roman" w:hAnsi="Times New Roman"/>
                <w:b/>
                <w:sz w:val="24"/>
                <w:u w:val="single"/>
              </w:rPr>
            </w:pPr>
            <w:r>
              <w:rPr>
                <w:rFonts w:ascii="Times New Roman" w:hAnsi="Times New Roman"/>
                <w:sz w:val="24"/>
              </w:rPr>
              <w:t>Raščlamba originalne izloženosti prije konverzijskih faktora za sve izloženosti subjekata iz članka 142. stavaka 4. i 5. CRR-a na koje se primjenjuje viši koeficijent korelacije određen skladu s člankom 153. stavkom 2. CRR-a.</w:t>
            </w:r>
          </w:p>
        </w:tc>
      </w:tr>
      <w:tr w:rsidR="001C7AB7" w:rsidRPr="00A30C4C" w14:paraId="087C15D1" w14:textId="77777777" w:rsidTr="00672D2A">
        <w:tc>
          <w:tcPr>
            <w:tcW w:w="1188" w:type="dxa"/>
          </w:tcPr>
          <w:p w14:paraId="1CE3EFB8" w14:textId="77777777" w:rsidR="001C7AB7" w:rsidRPr="00A30C4C" w:rsidRDefault="001C7AB7" w:rsidP="004F2B30">
            <w:pPr>
              <w:rPr>
                <w:rFonts w:ascii="Times New Roman" w:hAnsi="Times New Roman"/>
                <w:sz w:val="24"/>
              </w:rPr>
            </w:pPr>
            <w:r>
              <w:rPr>
                <w:rFonts w:ascii="Times New Roman" w:hAnsi="Times New Roman"/>
                <w:sz w:val="24"/>
              </w:rPr>
              <w:t>040 – 080</w:t>
            </w:r>
          </w:p>
        </w:tc>
        <w:tc>
          <w:tcPr>
            <w:tcW w:w="8843" w:type="dxa"/>
          </w:tcPr>
          <w:p w14:paraId="6F7017BE"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TEHNIKE SMANJENJA KREDITNOG RIZIKA S UČINCIMA ZAMJENE NA IZLOŽENOST</w:t>
            </w:r>
          </w:p>
          <w:p w14:paraId="3A4BD32D" w14:textId="0DD4B9B3" w:rsidR="001C7AB7" w:rsidRPr="00A30C4C" w:rsidRDefault="001C7AB7" w:rsidP="001C7AB7">
            <w:pPr>
              <w:rPr>
                <w:rFonts w:ascii="Times New Roman" w:hAnsi="Times New Roman"/>
                <w:sz w:val="24"/>
              </w:rPr>
            </w:pPr>
            <w:r>
              <w:rPr>
                <w:rFonts w:ascii="Times New Roman" w:hAnsi="Times New Roman"/>
                <w:sz w:val="24"/>
              </w:rPr>
              <w:t>Smanjenje kreditnog rizika kako je definirano u članku 4. stavku 1. točki 57. CRR-a kojim se smanjuje kreditni rizik izloženosti zamjenom izloženosti kako je definirano u nastavku pod „ZAMJENA IZLOŽENOSTI ZBOG SMANJENJA KREDITNOG RIZIKA”.</w:t>
            </w:r>
          </w:p>
          <w:p w14:paraId="09F148A2" w14:textId="77777777" w:rsidR="001C7AB7" w:rsidRPr="00A30C4C" w:rsidRDefault="001C7AB7" w:rsidP="001C7AB7">
            <w:pPr>
              <w:autoSpaceDE w:val="0"/>
              <w:autoSpaceDN w:val="0"/>
              <w:adjustRightInd w:val="0"/>
              <w:spacing w:before="0" w:after="0"/>
              <w:jc w:val="left"/>
              <w:rPr>
                <w:rFonts w:ascii="Times New Roman" w:hAnsi="Times New Roman"/>
                <w:sz w:val="24"/>
              </w:rPr>
            </w:pPr>
          </w:p>
        </w:tc>
      </w:tr>
      <w:tr w:rsidR="001C7AB7" w:rsidRPr="00A30C4C" w14:paraId="4FE2A744" w14:textId="77777777" w:rsidTr="00672D2A">
        <w:tc>
          <w:tcPr>
            <w:tcW w:w="1188" w:type="dxa"/>
          </w:tcPr>
          <w:p w14:paraId="1B5DB7CA" w14:textId="77777777" w:rsidR="001C7AB7" w:rsidRPr="00A30C4C" w:rsidRDefault="001C7AB7" w:rsidP="004F2B30">
            <w:pPr>
              <w:rPr>
                <w:rFonts w:ascii="Times New Roman" w:hAnsi="Times New Roman"/>
                <w:sz w:val="24"/>
              </w:rPr>
            </w:pPr>
            <w:r>
              <w:rPr>
                <w:rFonts w:ascii="Times New Roman" w:hAnsi="Times New Roman"/>
                <w:sz w:val="24"/>
              </w:rPr>
              <w:t>040-050</w:t>
            </w:r>
          </w:p>
        </w:tc>
        <w:tc>
          <w:tcPr>
            <w:tcW w:w="8843" w:type="dxa"/>
          </w:tcPr>
          <w:p w14:paraId="75607115"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NEMATERIJALNA KREDITNA ZAŠTITA</w:t>
            </w:r>
          </w:p>
          <w:p w14:paraId="0FDF3562" w14:textId="34E4B9A2"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Nematerijalna kreditna zaštita kako je definirana u članku 4. stavku 1. točki 59. CRR-a.</w:t>
            </w:r>
          </w:p>
          <w:p w14:paraId="010FA2BC" w14:textId="6342FD8B" w:rsidR="001C7AB7" w:rsidRPr="00A30C4C" w:rsidRDefault="00BD6DB9" w:rsidP="00BD6DB9">
            <w:pPr>
              <w:rPr>
                <w:rFonts w:ascii="Times New Roman" w:hAnsi="Times New Roman"/>
                <w:sz w:val="24"/>
              </w:rPr>
            </w:pPr>
            <w:r>
              <w:rPr>
                <w:rFonts w:ascii="Times New Roman" w:hAnsi="Times New Roman"/>
                <w:sz w:val="24"/>
              </w:rPr>
              <w:t>Kolateralu koji utječe na izloženost (npr. koristi se za tehnike smanjenja kreditnog rizika s učincima zamjene na izloženost), gornja granica određuje se na razini vrijednosti izloženosti.</w:t>
            </w:r>
          </w:p>
        </w:tc>
      </w:tr>
      <w:tr w:rsidR="001C7AB7" w:rsidRPr="00A30C4C" w14:paraId="15FEA964" w14:textId="77777777" w:rsidTr="00672D2A">
        <w:tc>
          <w:tcPr>
            <w:tcW w:w="1188" w:type="dxa"/>
          </w:tcPr>
          <w:p w14:paraId="4537B28C" w14:textId="77777777" w:rsidR="001C7AB7" w:rsidRPr="00A30C4C" w:rsidRDefault="001C7AB7" w:rsidP="001C7AB7">
            <w:pPr>
              <w:rPr>
                <w:rFonts w:ascii="Times New Roman" w:hAnsi="Times New Roman"/>
                <w:sz w:val="24"/>
              </w:rPr>
            </w:pPr>
            <w:r>
              <w:rPr>
                <w:rFonts w:ascii="Times New Roman" w:hAnsi="Times New Roman"/>
                <w:sz w:val="24"/>
              </w:rPr>
              <w:t>040</w:t>
            </w:r>
          </w:p>
        </w:tc>
        <w:tc>
          <w:tcPr>
            <w:tcW w:w="8843" w:type="dxa"/>
          </w:tcPr>
          <w:p w14:paraId="04C977CF" w14:textId="77777777" w:rsidR="001C7AB7" w:rsidRPr="00A30C4C"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JAMSTVA:</w:t>
            </w:r>
          </w:p>
          <w:p w14:paraId="4005F699" w14:textId="252DC861" w:rsidR="001C7AB7" w:rsidRPr="00A30C4C" w:rsidRDefault="001C7AB7" w:rsidP="001C7AB7">
            <w:pPr>
              <w:jc w:val="left"/>
              <w:rPr>
                <w:rFonts w:ascii="Times New Roman" w:hAnsi="Times New Roman"/>
                <w:sz w:val="24"/>
              </w:rPr>
            </w:pPr>
            <w:r>
              <w:rPr>
                <w:rFonts w:ascii="Times New Roman" w:hAnsi="Times New Roman"/>
                <w:sz w:val="24"/>
              </w:rPr>
              <w:t>Ako se ne primjenjuju vlastite procjene LGD-a, dostavlja se prilagođena vrijednost (G</w:t>
            </w:r>
            <w:r>
              <w:rPr>
                <w:rFonts w:ascii="Times New Roman" w:hAnsi="Times New Roman"/>
                <w:sz w:val="24"/>
                <w:vertAlign w:val="subscript"/>
              </w:rPr>
              <w:t>A</w:t>
            </w:r>
            <w:r>
              <w:rPr>
                <w:rFonts w:ascii="Times New Roman" w:hAnsi="Times New Roman"/>
                <w:sz w:val="24"/>
              </w:rPr>
              <w:t>) kako je definirana u članku 236. stavku 3. CRR-a.</w:t>
            </w:r>
          </w:p>
          <w:p w14:paraId="3FD2207A" w14:textId="09BC9875" w:rsidR="001C7AB7" w:rsidRPr="00A30C4C" w:rsidRDefault="001C7AB7" w:rsidP="001C7AB7">
            <w:pPr>
              <w:jc w:val="left"/>
              <w:rPr>
                <w:rFonts w:ascii="Times New Roman" w:hAnsi="Times New Roman"/>
                <w:sz w:val="24"/>
              </w:rPr>
            </w:pPr>
            <w:r>
              <w:rPr>
                <w:rFonts w:ascii="Times New Roman" w:hAnsi="Times New Roman"/>
                <w:sz w:val="24"/>
              </w:rPr>
              <w:t xml:space="preserve">Kada se primjenjuju vlastite procjene LGD-a u skladu s člankom 183. CRR-a, iskazuje se relevantna vrijednost korištena u internom modelu. </w:t>
            </w:r>
          </w:p>
          <w:p w14:paraId="7B34BA70" w14:textId="3D37FEF7" w:rsidR="001C7AB7" w:rsidRPr="00A30C4C" w:rsidRDefault="001C7AB7" w:rsidP="001C7AB7">
            <w:pPr>
              <w:jc w:val="left"/>
              <w:rPr>
                <w:rFonts w:ascii="Times New Roman" w:hAnsi="Times New Roman"/>
                <w:sz w:val="24"/>
              </w:rPr>
            </w:pPr>
            <w:r>
              <w:rPr>
                <w:rFonts w:ascii="Times New Roman" w:hAnsi="Times New Roman"/>
                <w:sz w:val="24"/>
              </w:rPr>
              <w:t>Jamstva se iskazuju u stupcu 040 ako nije izvršena prilagodba LGD-a. Ako je izvršena prilagodba LGD-a, iznos jamstva iskazuje se u stupcu 150.</w:t>
            </w:r>
          </w:p>
          <w:p w14:paraId="30E15DE3" w14:textId="4C650B64" w:rsidR="00785F3E" w:rsidRPr="00A30C4C" w:rsidRDefault="00785F3E" w:rsidP="001C7AB7">
            <w:pPr>
              <w:jc w:val="left"/>
              <w:rPr>
                <w:rFonts w:ascii="Times New Roman" w:hAnsi="Times New Roman"/>
                <w:sz w:val="24"/>
              </w:rPr>
            </w:pPr>
            <w:r>
              <w:rPr>
                <w:rFonts w:ascii="Times New Roman" w:hAnsi="Times New Roman"/>
                <w:sz w:val="24"/>
              </w:rPr>
              <w:t>U pogledu izloženosti na koje se primjenjuje tretman dvostrukog statusa neispunjavanja obveza, vrijednost nematerijalne kreditne zaštite iskazuje se u stupcu 220.</w:t>
            </w:r>
          </w:p>
          <w:p w14:paraId="50DBA967" w14:textId="77777777" w:rsidR="001C7AB7" w:rsidRPr="00A30C4C" w:rsidRDefault="001C7AB7" w:rsidP="001C7AB7">
            <w:pPr>
              <w:jc w:val="left"/>
              <w:rPr>
                <w:rFonts w:ascii="Times New Roman" w:hAnsi="Times New Roman"/>
                <w:sz w:val="24"/>
              </w:rPr>
            </w:pPr>
          </w:p>
        </w:tc>
      </w:tr>
      <w:tr w:rsidR="001C7AB7" w:rsidRPr="00A30C4C" w14:paraId="66F1FEC3" w14:textId="77777777" w:rsidTr="00672D2A">
        <w:tc>
          <w:tcPr>
            <w:tcW w:w="1188" w:type="dxa"/>
          </w:tcPr>
          <w:p w14:paraId="65B5140D" w14:textId="77777777" w:rsidR="001C7AB7" w:rsidRPr="00A30C4C" w:rsidRDefault="001C7AB7" w:rsidP="001C7AB7">
            <w:pPr>
              <w:rPr>
                <w:rFonts w:ascii="Times New Roman" w:hAnsi="Times New Roman"/>
                <w:sz w:val="24"/>
              </w:rPr>
            </w:pPr>
            <w:r>
              <w:rPr>
                <w:rFonts w:ascii="Times New Roman" w:hAnsi="Times New Roman"/>
                <w:sz w:val="24"/>
              </w:rPr>
              <w:t>050</w:t>
            </w:r>
          </w:p>
        </w:tc>
        <w:tc>
          <w:tcPr>
            <w:tcW w:w="8843" w:type="dxa"/>
          </w:tcPr>
          <w:p w14:paraId="6ECF35CC"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KREDITNE IZVEDENICE:</w:t>
            </w:r>
          </w:p>
          <w:p w14:paraId="1E4FD5B6" w14:textId="45B238C5" w:rsidR="001C7AB7" w:rsidRPr="00A30C4C" w:rsidRDefault="001C7AB7" w:rsidP="001C7AB7">
            <w:pPr>
              <w:rPr>
                <w:rFonts w:ascii="Times New Roman" w:hAnsi="Times New Roman"/>
                <w:sz w:val="24"/>
              </w:rPr>
            </w:pPr>
            <w:r>
              <w:rPr>
                <w:rFonts w:ascii="Times New Roman" w:hAnsi="Times New Roman"/>
                <w:sz w:val="24"/>
              </w:rPr>
              <w:lastRenderedPageBreak/>
              <w:t>Ako se ne primjenjuju vlastite procjene LGD-a, dostavlja se prilagođena vrijednost (G</w:t>
            </w:r>
            <w:r>
              <w:rPr>
                <w:rFonts w:ascii="Times New Roman" w:hAnsi="Times New Roman"/>
                <w:sz w:val="24"/>
                <w:vertAlign w:val="subscript"/>
              </w:rPr>
              <w:t>A</w:t>
            </w:r>
            <w:r>
              <w:rPr>
                <w:rFonts w:ascii="Times New Roman" w:hAnsi="Times New Roman"/>
                <w:sz w:val="24"/>
              </w:rPr>
              <w:t xml:space="preserve">) kako je definirana u članku 236. stavku 3. CRR-a. </w:t>
            </w:r>
          </w:p>
          <w:p w14:paraId="77C671AB" w14:textId="218BA7E0" w:rsidR="00785F3E" w:rsidRPr="00A30C4C" w:rsidRDefault="00785F3E" w:rsidP="001C7AB7">
            <w:pPr>
              <w:rPr>
                <w:rFonts w:ascii="Times New Roman" w:hAnsi="Times New Roman"/>
                <w:sz w:val="24"/>
              </w:rPr>
            </w:pPr>
            <w:r>
              <w:rPr>
                <w:rFonts w:ascii="Times New Roman" w:hAnsi="Times New Roman"/>
                <w:sz w:val="24"/>
              </w:rPr>
              <w:t>Kada se primjenjuju vlastite procjene LGD-a u skladu s člankom 183. CRR-a, iskazuje se relevantna vrijednost korištena u internim modelima.</w:t>
            </w:r>
          </w:p>
          <w:p w14:paraId="1303A310" w14:textId="05B400CA" w:rsidR="001C7AB7" w:rsidRPr="00A30C4C" w:rsidRDefault="001C7AB7" w:rsidP="001C7AB7">
            <w:pPr>
              <w:rPr>
                <w:rFonts w:ascii="Times New Roman" w:hAnsi="Times New Roman"/>
                <w:sz w:val="24"/>
              </w:rPr>
            </w:pPr>
            <w:r>
              <w:rPr>
                <w:rFonts w:ascii="Times New Roman" w:hAnsi="Times New Roman"/>
                <w:sz w:val="24"/>
              </w:rPr>
              <w:t>Ako je izvršena prilagodba LGD-a, iznos kreditnih izvedenica iskazuje se u stupcu 160.</w:t>
            </w:r>
          </w:p>
          <w:p w14:paraId="0D934CB2" w14:textId="77777777" w:rsidR="001C7AB7" w:rsidRPr="00A30C4C" w:rsidRDefault="001C7AB7" w:rsidP="00785F3E">
            <w:pPr>
              <w:jc w:val="left"/>
              <w:rPr>
                <w:rFonts w:ascii="Times New Roman" w:hAnsi="Times New Roman"/>
                <w:sz w:val="24"/>
              </w:rPr>
            </w:pPr>
            <w:r>
              <w:rPr>
                <w:rFonts w:ascii="Times New Roman" w:hAnsi="Times New Roman"/>
                <w:sz w:val="24"/>
              </w:rPr>
              <w:t>U pogledu izloženosti na koje se primjenjuje tretman dvostrukog statusa neispunjavanja obveza, vrijednost nematerijalne kreditne zaštite iskazuje se u stupcu 220.</w:t>
            </w:r>
          </w:p>
        </w:tc>
      </w:tr>
      <w:tr w:rsidR="001C7AB7" w:rsidRPr="00A30C4C" w14:paraId="11BD9CAC" w14:textId="77777777" w:rsidTr="00672D2A">
        <w:tc>
          <w:tcPr>
            <w:tcW w:w="1188" w:type="dxa"/>
          </w:tcPr>
          <w:p w14:paraId="6CC75E39" w14:textId="77777777" w:rsidR="001C7AB7" w:rsidRPr="00A30C4C" w:rsidRDefault="001C7AB7" w:rsidP="001C7AB7">
            <w:pPr>
              <w:rPr>
                <w:rFonts w:ascii="Times New Roman" w:hAnsi="Times New Roman"/>
                <w:sz w:val="24"/>
              </w:rPr>
            </w:pPr>
            <w:r>
              <w:rPr>
                <w:rFonts w:ascii="Times New Roman" w:hAnsi="Times New Roman"/>
                <w:sz w:val="24"/>
              </w:rPr>
              <w:lastRenderedPageBreak/>
              <w:t>060</w:t>
            </w:r>
          </w:p>
        </w:tc>
        <w:tc>
          <w:tcPr>
            <w:tcW w:w="8843" w:type="dxa"/>
          </w:tcPr>
          <w:p w14:paraId="37769350"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OSTALA MATERIJALNA KREDITNA ZAŠTITA</w:t>
            </w:r>
          </w:p>
          <w:p w14:paraId="5AFE3F66" w14:textId="6138AAE4" w:rsidR="00785F3E" w:rsidRPr="00A30C4C" w:rsidRDefault="00BD6DB9" w:rsidP="001C7AB7">
            <w:pPr>
              <w:rPr>
                <w:rStyle w:val="InstructionsTabelleText"/>
                <w:rFonts w:ascii="Times New Roman" w:hAnsi="Times New Roman"/>
                <w:sz w:val="24"/>
              </w:rPr>
            </w:pPr>
            <w:r>
              <w:rPr>
                <w:rStyle w:val="InstructionsTabelleText"/>
                <w:rFonts w:ascii="Times New Roman" w:hAnsi="Times New Roman"/>
                <w:sz w:val="24"/>
              </w:rPr>
              <w:t>Kolateralu koji utječe na izloženost (npr. ako se koristi za tehnike smanjenja kreditnog rizika s učincima zamjene na izloženost), gornja granica određuje se na razini vrijednosti izloženosti.</w:t>
            </w:r>
          </w:p>
          <w:p w14:paraId="66D31600" w14:textId="21616AD6"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Kada se ne primjenjuju vlastite procjene LGD-a, primjenjuje se članak 232. CRR-a</w:t>
            </w:r>
          </w:p>
          <w:p w14:paraId="4AFFF80F" w14:textId="56578B61"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Kada se primjenjuju vlastite procjene LGD-a, iskazuju se smanjenja kreditnog rizika koja ispunjavaju uvjete iz članka 212. CRR-a. Iskazuje se relevantna vrijednost korištena u internom modelu.</w:t>
            </w:r>
          </w:p>
          <w:p w14:paraId="58DC2D2A" w14:textId="3E5E4BEA" w:rsidR="001C7AB7" w:rsidRPr="00A30C4C" w:rsidRDefault="00A94F5F" w:rsidP="00A94F5F">
            <w:pPr>
              <w:rPr>
                <w:rFonts w:ascii="Times New Roman" w:hAnsi="Times New Roman"/>
                <w:sz w:val="24"/>
              </w:rPr>
            </w:pPr>
            <w:r>
              <w:rPr>
                <w:rStyle w:val="InstructionsTabelleText"/>
                <w:rFonts w:ascii="Times New Roman" w:hAnsi="Times New Roman"/>
                <w:sz w:val="24"/>
              </w:rPr>
              <w:t>Iznos se iskazuje u stupcu 060 ako nije izvršena prilagodba LGD-a. Ako je izvršena prilagodba LGD-a, taj se iznos iskazuje u stupcu 170.</w:t>
            </w:r>
          </w:p>
        </w:tc>
      </w:tr>
      <w:tr w:rsidR="001C7AB7" w:rsidRPr="00A30C4C" w14:paraId="75D7E7B4" w14:textId="77777777" w:rsidTr="00672D2A">
        <w:tc>
          <w:tcPr>
            <w:tcW w:w="1188" w:type="dxa"/>
          </w:tcPr>
          <w:p w14:paraId="323021FD" w14:textId="77777777" w:rsidR="001C7AB7" w:rsidRPr="00A30C4C" w:rsidRDefault="001C7AB7" w:rsidP="001C7AB7">
            <w:pPr>
              <w:rPr>
                <w:rFonts w:ascii="Times New Roman" w:hAnsi="Times New Roman"/>
                <w:sz w:val="24"/>
              </w:rPr>
            </w:pPr>
            <w:r>
              <w:rPr>
                <w:rFonts w:ascii="Times New Roman" w:hAnsi="Times New Roman"/>
                <w:sz w:val="24"/>
              </w:rPr>
              <w:t>070-080</w:t>
            </w:r>
          </w:p>
        </w:tc>
        <w:tc>
          <w:tcPr>
            <w:tcW w:w="8843" w:type="dxa"/>
          </w:tcPr>
          <w:p w14:paraId="7B94C6E4"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ZAMJENA IZLOŽENOSTI ZBOG SMANJENJA KREDITNOG RIZIKA</w:t>
            </w:r>
          </w:p>
          <w:p w14:paraId="159F0CD2" w14:textId="39DE9621" w:rsidR="001C7AB7" w:rsidRPr="00A30C4C" w:rsidRDefault="001C7AB7" w:rsidP="001C7AB7">
            <w:pPr>
              <w:rPr>
                <w:rFonts w:ascii="Times New Roman" w:hAnsi="Times New Roman"/>
                <w:sz w:val="24"/>
              </w:rPr>
            </w:pPr>
            <w:r>
              <w:rPr>
                <w:rFonts w:ascii="Times New Roman" w:hAnsi="Times New Roman"/>
                <w:sz w:val="24"/>
              </w:rPr>
              <w:t>Odljevi odgovaraju pokrivenom dijelu originalne izloženosti prije konverzijskih faktora koji je odbijen od kategorije izloženosti dužnika i, prema potrebi, rejting-kategorije dužnika ili skupa izloženosti te naknadno raspoređen u kategoriju izloženosti pružatelja zaštite i, prema potrebi, rejting-kategoriju dužnika ili skup izloženosti. Taj se iznos smatra priljevom u kategoriju izloženosti pružatelja zaštite i, prema potrebi, rejting-kategorije dužnika ili skupove izloženosti.</w:t>
            </w:r>
          </w:p>
          <w:p w14:paraId="11BB8EA9" w14:textId="2B324722" w:rsidR="001C7AB7" w:rsidRPr="00A30C4C" w:rsidRDefault="001C7AB7" w:rsidP="001C7AB7">
            <w:pPr>
              <w:rPr>
                <w:rFonts w:ascii="Times New Roman" w:hAnsi="Times New Roman"/>
                <w:b/>
                <w:sz w:val="24"/>
              </w:rPr>
            </w:pPr>
            <w:r>
              <w:rPr>
                <w:rFonts w:ascii="Times New Roman" w:hAnsi="Times New Roman"/>
                <w:sz w:val="24"/>
              </w:rPr>
              <w:t>U obzir se uzimaju i priljevi i odljevi u istoj kategoriji izloženosti i, prema potrebi, rejting-kategorijama dužnika ili skupovima izloženosti.</w:t>
            </w:r>
          </w:p>
          <w:p w14:paraId="635CAFFA" w14:textId="77777777" w:rsidR="001C7AB7" w:rsidRPr="00A30C4C" w:rsidRDefault="001C7AB7" w:rsidP="001C7AB7">
            <w:pPr>
              <w:rPr>
                <w:rFonts w:ascii="Times New Roman" w:hAnsi="Times New Roman"/>
                <w:sz w:val="24"/>
              </w:rPr>
            </w:pPr>
            <w:r>
              <w:rPr>
                <w:rFonts w:ascii="Times New Roman" w:hAnsi="Times New Roman"/>
                <w:sz w:val="24"/>
              </w:rPr>
              <w:t>Izloženosti koje proizlaze iz mogućih priljeva i odljeva iz drugih obrazaca i u druge obrasce uzimaju se u obzir.</w:t>
            </w:r>
          </w:p>
        </w:tc>
      </w:tr>
      <w:tr w:rsidR="001C7AB7" w:rsidRPr="00A30C4C" w14:paraId="39BE7878" w14:textId="77777777" w:rsidTr="00672D2A">
        <w:tc>
          <w:tcPr>
            <w:tcW w:w="1188" w:type="dxa"/>
          </w:tcPr>
          <w:p w14:paraId="76E0D514" w14:textId="77777777" w:rsidR="001C7AB7" w:rsidRPr="00A30C4C" w:rsidRDefault="001C7AB7" w:rsidP="001C7AB7">
            <w:pPr>
              <w:rPr>
                <w:rFonts w:ascii="Times New Roman" w:hAnsi="Times New Roman"/>
                <w:sz w:val="24"/>
              </w:rPr>
            </w:pPr>
            <w:r>
              <w:rPr>
                <w:rFonts w:ascii="Times New Roman" w:hAnsi="Times New Roman"/>
                <w:sz w:val="24"/>
              </w:rPr>
              <w:t>090</w:t>
            </w:r>
          </w:p>
        </w:tc>
        <w:tc>
          <w:tcPr>
            <w:tcW w:w="8843" w:type="dxa"/>
          </w:tcPr>
          <w:p w14:paraId="2A5B67AA" w14:textId="42DFA058" w:rsidR="001C7AB7" w:rsidRPr="00A30C4C" w:rsidRDefault="001C7AB7" w:rsidP="001C7AB7">
            <w:pPr>
              <w:rPr>
                <w:rFonts w:ascii="Times New Roman" w:hAnsi="Times New Roman"/>
                <w:b/>
                <w:sz w:val="24"/>
                <w:u w:val="single"/>
              </w:rPr>
            </w:pPr>
            <w:r>
              <w:rPr>
                <w:rFonts w:ascii="Times New Roman" w:hAnsi="Times New Roman"/>
                <w:b/>
                <w:sz w:val="24"/>
                <w:u w:val="single"/>
              </w:rPr>
              <w:t>IZLOŽENOST NAKON PRIMJENE TEHNIKA SMANJENJA KREDITNOG RIZIKA S UČINKOM ZAMJENE, A PRIJE PRIMJENE KONVERZIJSKIH FAKTORA</w:t>
            </w:r>
          </w:p>
          <w:p w14:paraId="0FA4A0EE" w14:textId="77777777" w:rsidR="001C7AB7" w:rsidRPr="00A30C4C" w:rsidRDefault="001C7AB7" w:rsidP="001C7AB7">
            <w:pPr>
              <w:rPr>
                <w:rFonts w:ascii="Times New Roman" w:hAnsi="Times New Roman"/>
                <w:sz w:val="24"/>
              </w:rPr>
            </w:pPr>
            <w:r>
              <w:rPr>
                <w:rFonts w:ascii="Times New Roman" w:hAnsi="Times New Roman"/>
                <w:sz w:val="24"/>
              </w:rPr>
              <w:t>Izloženost raspoređena u odgovarajuću rejting-kategoriju dužnika ili skup izloženosti i kategoriju izloženosti nakon uzimanja u obzir odljeva i priljeva zbog tehnika smanjenja rizika s učincima zamjene na izloženost.</w:t>
            </w:r>
          </w:p>
        </w:tc>
      </w:tr>
      <w:tr w:rsidR="001C7AB7" w:rsidRPr="00A30C4C" w14:paraId="3BA745B3" w14:textId="77777777" w:rsidTr="00672D2A">
        <w:tc>
          <w:tcPr>
            <w:tcW w:w="1188" w:type="dxa"/>
          </w:tcPr>
          <w:p w14:paraId="5B205B4C" w14:textId="77777777" w:rsidR="001C7AB7" w:rsidRPr="00A30C4C" w:rsidRDefault="001C7AB7" w:rsidP="001C7AB7">
            <w:pPr>
              <w:rPr>
                <w:rFonts w:ascii="Times New Roman" w:hAnsi="Times New Roman"/>
                <w:sz w:val="24"/>
              </w:rPr>
            </w:pPr>
            <w:r>
              <w:rPr>
                <w:rFonts w:ascii="Times New Roman" w:hAnsi="Times New Roman"/>
                <w:sz w:val="24"/>
              </w:rPr>
              <w:t>100, 120</w:t>
            </w:r>
          </w:p>
        </w:tc>
        <w:tc>
          <w:tcPr>
            <w:tcW w:w="8843" w:type="dxa"/>
          </w:tcPr>
          <w:p w14:paraId="035B6C4C"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čega: </w:t>
            </w:r>
            <w:proofErr w:type="spellStart"/>
            <w:r>
              <w:rPr>
                <w:rStyle w:val="InstructionsTabelleberschrift"/>
                <w:rFonts w:ascii="Times New Roman" w:hAnsi="Times New Roman"/>
                <w:sz w:val="24"/>
              </w:rPr>
              <w:t>izvanbilančne</w:t>
            </w:r>
            <w:proofErr w:type="spellEnd"/>
            <w:r>
              <w:rPr>
                <w:rStyle w:val="InstructionsTabelleberschrift"/>
                <w:rFonts w:ascii="Times New Roman" w:hAnsi="Times New Roman"/>
                <w:sz w:val="24"/>
              </w:rPr>
              <w:t xml:space="preserve"> stavke </w:t>
            </w:r>
          </w:p>
          <w:p w14:paraId="6556527C" w14:textId="77777777" w:rsidR="001C7AB7" w:rsidRPr="00A30C4C" w:rsidRDefault="001C7AB7" w:rsidP="001C7AB7">
            <w:pPr>
              <w:rPr>
                <w:rFonts w:ascii="Times New Roman" w:hAnsi="Times New Roman"/>
                <w:sz w:val="24"/>
              </w:rPr>
            </w:pPr>
            <w:r>
              <w:rPr>
                <w:rFonts w:ascii="Times New Roman" w:hAnsi="Times New Roman"/>
                <w:sz w:val="24"/>
              </w:rPr>
              <w:t>Vidjeti upute za obrazac CR-SA</w:t>
            </w:r>
          </w:p>
        </w:tc>
      </w:tr>
      <w:tr w:rsidR="001C7AB7" w:rsidRPr="00A30C4C" w14:paraId="062B60D4" w14:textId="77777777" w:rsidTr="00672D2A">
        <w:tc>
          <w:tcPr>
            <w:tcW w:w="1188" w:type="dxa"/>
          </w:tcPr>
          <w:p w14:paraId="1B29B806" w14:textId="77777777" w:rsidR="001C7AB7" w:rsidRPr="00A30C4C" w:rsidRDefault="001C7AB7" w:rsidP="001C7AB7">
            <w:pPr>
              <w:rPr>
                <w:rFonts w:ascii="Times New Roman" w:hAnsi="Times New Roman"/>
                <w:sz w:val="24"/>
              </w:rPr>
            </w:pPr>
            <w:r>
              <w:rPr>
                <w:rFonts w:ascii="Times New Roman" w:hAnsi="Times New Roman"/>
                <w:sz w:val="24"/>
              </w:rPr>
              <w:t>110</w:t>
            </w:r>
          </w:p>
        </w:tc>
        <w:tc>
          <w:tcPr>
            <w:tcW w:w="8843" w:type="dxa"/>
          </w:tcPr>
          <w:p w14:paraId="2A85896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VRIJEDNOST IZLOŽENOSTI</w:t>
            </w:r>
          </w:p>
          <w:p w14:paraId="5FF542B5" w14:textId="7099C207" w:rsidR="001C7AB7" w:rsidRPr="00A30C4C" w:rsidRDefault="001C7AB7" w:rsidP="001C7AB7">
            <w:pPr>
              <w:rPr>
                <w:rFonts w:ascii="Times New Roman" w:hAnsi="Times New Roman"/>
                <w:sz w:val="24"/>
              </w:rPr>
            </w:pPr>
            <w:r>
              <w:rPr>
                <w:rFonts w:ascii="Times New Roman" w:hAnsi="Times New Roman"/>
                <w:sz w:val="24"/>
              </w:rPr>
              <w:t>Iskazuje se vrijednost izloženosti određena u skladu s člankom 166. CRR-a i člankom 230. stavkom 1. drugom rečenicom CRR-a.</w:t>
            </w:r>
          </w:p>
          <w:p w14:paraId="5F0CF11E" w14:textId="03D9190B" w:rsidR="001C7AB7" w:rsidRPr="00A30C4C" w:rsidRDefault="001C7AB7" w:rsidP="001C7AB7">
            <w:pPr>
              <w:rPr>
                <w:rFonts w:ascii="Times New Roman" w:hAnsi="Times New Roman"/>
                <w:sz w:val="24"/>
              </w:rPr>
            </w:pPr>
            <w:r>
              <w:rPr>
                <w:rFonts w:ascii="Times New Roman" w:hAnsi="Times New Roman"/>
                <w:sz w:val="24"/>
              </w:rPr>
              <w:lastRenderedPageBreak/>
              <w:t>Za instrumente iz Priloga I. primjenjuju se kreditni konverzijski faktori (članak 166. stavci 8., 9. i 10. CRR-a), bez obzira na pristup koji je institucija odabrala.</w:t>
            </w:r>
          </w:p>
          <w:p w14:paraId="0E8B0429" w14:textId="0905BF56" w:rsidR="001C7AB7" w:rsidRPr="00A30C4C" w:rsidRDefault="001C7AB7" w:rsidP="00BD6DB9">
            <w:pPr>
              <w:rPr>
                <w:rFonts w:ascii="Times New Roman" w:hAnsi="Times New Roman"/>
                <w:sz w:val="24"/>
              </w:rPr>
            </w:pPr>
            <w:r>
              <w:rPr>
                <w:rStyle w:val="InstructionsTabelleText"/>
                <w:rFonts w:ascii="Times New Roman" w:hAnsi="Times New Roman"/>
                <w:sz w:val="24"/>
              </w:rPr>
              <w:t xml:space="preserve">Za retke 040 – 060 (transakcije financiranja vrijednosnim papirima, izvedenice i transakcije s dugim rokom namire te izloženosti iz </w:t>
            </w:r>
            <w:proofErr w:type="spellStart"/>
            <w:r>
              <w:rPr>
                <w:rStyle w:val="InstructionsTabelleText"/>
                <w:rFonts w:ascii="Times New Roman" w:hAnsi="Times New Roman"/>
                <w:sz w:val="24"/>
              </w:rPr>
              <w:t>netiranja</w:t>
            </w:r>
            <w:proofErr w:type="spellEnd"/>
            <w:r>
              <w:rPr>
                <w:rStyle w:val="InstructionsTabelleText"/>
                <w:rFonts w:ascii="Times New Roman" w:hAnsi="Times New Roman"/>
                <w:sz w:val="24"/>
              </w:rPr>
              <w:t xml:space="preserve"> između različitih kategorija proizvoda) na koje se primjenjuje dio 3. glava II. poglavlje 6. CRR-a, vrijednost izloženosti jednaka je vrijednosti izloženosti za kreditni rizik druge ugovorne strane izračunane u skladu s dijelom trećim glavom II. poglavljem 6. odjeljcima od 3. do 7. CRR-a. Te se vrijednosti iskazuju u ovom stupcu, a ne u stupcu 130 „od čega: iz kreditnog rizika druge ugovorne strane”.</w:t>
            </w:r>
          </w:p>
        </w:tc>
      </w:tr>
      <w:tr w:rsidR="001C7AB7" w:rsidRPr="00A30C4C" w14:paraId="4A4D8CFE" w14:textId="77777777" w:rsidTr="00672D2A">
        <w:tc>
          <w:tcPr>
            <w:tcW w:w="1188" w:type="dxa"/>
          </w:tcPr>
          <w:p w14:paraId="492E66E1" w14:textId="77777777" w:rsidR="001C7AB7" w:rsidRPr="00A30C4C" w:rsidRDefault="001C7AB7" w:rsidP="001C7AB7">
            <w:pPr>
              <w:rPr>
                <w:rFonts w:ascii="Times New Roman" w:hAnsi="Times New Roman"/>
                <w:sz w:val="24"/>
              </w:rPr>
            </w:pPr>
            <w:r>
              <w:rPr>
                <w:rFonts w:ascii="Times New Roman" w:hAnsi="Times New Roman"/>
                <w:sz w:val="24"/>
              </w:rPr>
              <w:lastRenderedPageBreak/>
              <w:t>130</w:t>
            </w:r>
          </w:p>
        </w:tc>
        <w:tc>
          <w:tcPr>
            <w:tcW w:w="8843" w:type="dxa"/>
          </w:tcPr>
          <w:p w14:paraId="142D929E"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čega: iz kreditnog rizika druge ugovorne strane </w:t>
            </w:r>
          </w:p>
          <w:p w14:paraId="335E78D0" w14:textId="77777777" w:rsidR="001C7AB7" w:rsidRPr="00A30C4C" w:rsidRDefault="001C7AB7" w:rsidP="00FD6CCB">
            <w:pPr>
              <w:rPr>
                <w:rFonts w:ascii="Times New Roman" w:hAnsi="Times New Roman"/>
                <w:sz w:val="24"/>
              </w:rPr>
            </w:pPr>
            <w:r>
              <w:rPr>
                <w:rFonts w:ascii="Times New Roman" w:hAnsi="Times New Roman"/>
                <w:sz w:val="24"/>
              </w:rPr>
              <w:t>Vidjeti upute za obrazac CR SA.</w:t>
            </w:r>
            <w:r>
              <w:rPr>
                <w:rStyle w:val="InstructionsTabelleText"/>
                <w:rFonts w:ascii="Times New Roman" w:hAnsi="Times New Roman"/>
                <w:sz w:val="24"/>
              </w:rPr>
              <w:t xml:space="preserve"> </w:t>
            </w:r>
          </w:p>
        </w:tc>
      </w:tr>
      <w:tr w:rsidR="001C7AB7" w:rsidRPr="00A30C4C" w14:paraId="60CE02FA" w14:textId="77777777" w:rsidTr="00672D2A">
        <w:tc>
          <w:tcPr>
            <w:tcW w:w="1188" w:type="dxa"/>
          </w:tcPr>
          <w:p w14:paraId="1C26C66A" w14:textId="77777777" w:rsidR="001C7AB7" w:rsidRPr="00A30C4C" w:rsidRDefault="001C7AB7" w:rsidP="001C7AB7">
            <w:pPr>
              <w:rPr>
                <w:rFonts w:ascii="Times New Roman" w:hAnsi="Times New Roman"/>
                <w:sz w:val="24"/>
              </w:rPr>
            </w:pPr>
            <w:r>
              <w:rPr>
                <w:rFonts w:ascii="Times New Roman" w:hAnsi="Times New Roman"/>
                <w:sz w:val="24"/>
              </w:rPr>
              <w:t>140</w:t>
            </w:r>
          </w:p>
        </w:tc>
        <w:tc>
          <w:tcPr>
            <w:tcW w:w="8843" w:type="dxa"/>
          </w:tcPr>
          <w:p w14:paraId="169697B1"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14:paraId="2A462A35" w14:textId="5600D80D" w:rsidR="001C7AB7" w:rsidRPr="00A30C4C" w:rsidRDefault="001C7AB7" w:rsidP="00F811C6">
            <w:pPr>
              <w:rPr>
                <w:rFonts w:ascii="Times New Roman" w:hAnsi="Times New Roman"/>
                <w:b/>
                <w:sz w:val="24"/>
                <w:u w:val="single"/>
              </w:rPr>
            </w:pPr>
            <w:r>
              <w:rPr>
                <w:rFonts w:ascii="Times New Roman" w:hAnsi="Times New Roman"/>
                <w:sz w:val="24"/>
              </w:rPr>
              <w:t>Raščlamba vrijednosti izloženosti za sve izloženosti subjekata iz članka 142. stavaka 4. i 5. CRR-a na koje se primjenjuje viši koeficijent korelacije određen u skladu s člankom 153. stavkom 2. CRR-a.</w:t>
            </w:r>
          </w:p>
        </w:tc>
      </w:tr>
      <w:tr w:rsidR="001C7AB7" w:rsidRPr="00A30C4C" w14:paraId="4918FA04" w14:textId="77777777" w:rsidTr="00672D2A">
        <w:trPr>
          <w:trHeight w:val="2109"/>
        </w:trPr>
        <w:tc>
          <w:tcPr>
            <w:tcW w:w="1188" w:type="dxa"/>
          </w:tcPr>
          <w:p w14:paraId="5A5514D9" w14:textId="77777777" w:rsidR="001C7AB7" w:rsidRPr="00A30C4C" w:rsidDel="001D4BE0" w:rsidRDefault="001C7AB7" w:rsidP="001C7AB7">
            <w:pPr>
              <w:rPr>
                <w:rFonts w:ascii="Times New Roman" w:hAnsi="Times New Roman"/>
                <w:sz w:val="24"/>
              </w:rPr>
            </w:pPr>
            <w:r>
              <w:rPr>
                <w:rFonts w:ascii="Times New Roman" w:hAnsi="Times New Roman"/>
                <w:sz w:val="24"/>
              </w:rPr>
              <w:t>150-210</w:t>
            </w:r>
          </w:p>
        </w:tc>
        <w:tc>
          <w:tcPr>
            <w:tcW w:w="8843" w:type="dxa"/>
          </w:tcPr>
          <w:p w14:paraId="0D0DB57B"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TEHNIKE SMANJENJA KREDITNOG RIZIKA UZETE U OBZIR U PROCJENAMA LGD-A, ISKLJUČUJUĆI TRETMAN DVOSTRUKOG STATUSA NEISPUNJAVANJA OBVEZA</w:t>
            </w:r>
          </w:p>
          <w:p w14:paraId="61F7F1B2" w14:textId="6FFAD7E9" w:rsidR="001C7AB7" w:rsidRPr="00A30C4C" w:rsidRDefault="001C7AB7" w:rsidP="001C7AB7">
            <w:pPr>
              <w:rPr>
                <w:rFonts w:ascii="Times New Roman" w:hAnsi="Times New Roman"/>
                <w:sz w:val="24"/>
              </w:rPr>
            </w:pPr>
            <w:r>
              <w:rPr>
                <w:rFonts w:ascii="Times New Roman" w:hAnsi="Times New Roman"/>
                <w:sz w:val="24"/>
              </w:rPr>
              <w:t>Tehnike smanjenja kreditnog rizika koje utječu na LGD-ove kao rezultat primjene učinka zamjene tehnika smanjenja kreditnog rizika ne uključuju se u ovim stupcima.</w:t>
            </w:r>
          </w:p>
          <w:p w14:paraId="0000147B" w14:textId="796D41C9" w:rsidR="001C7AB7" w:rsidRPr="00A30C4C" w:rsidRDefault="00C61FF5" w:rsidP="001C7AB7">
            <w:pPr>
              <w:rPr>
                <w:rFonts w:ascii="Times New Roman" w:hAnsi="Times New Roman"/>
                <w:sz w:val="24"/>
              </w:rPr>
            </w:pPr>
            <w:r>
              <w:rPr>
                <w:rFonts w:ascii="Times New Roman" w:hAnsi="Times New Roman"/>
                <w:sz w:val="24"/>
              </w:rPr>
              <w:t>Ako se ne primjenjuju vlastite procjene LGD-a, uzimaju se u obzir članak 228. stavak 2., članak 230. stavci 1. i 2. i članak 231. CRR-a.</w:t>
            </w:r>
          </w:p>
          <w:p w14:paraId="1E1E6BDB" w14:textId="77777777" w:rsidR="001C7AB7" w:rsidRPr="00A30C4C" w:rsidRDefault="00C61FF5" w:rsidP="001C7AB7">
            <w:pPr>
              <w:rPr>
                <w:rFonts w:ascii="Times New Roman" w:hAnsi="Times New Roman"/>
                <w:sz w:val="24"/>
              </w:rPr>
            </w:pPr>
            <w:r>
              <w:rPr>
                <w:rFonts w:ascii="Times New Roman" w:hAnsi="Times New Roman"/>
                <w:sz w:val="24"/>
              </w:rPr>
              <w:t xml:space="preserve">Ako se primjenjuju vlastite procjene LGD-a: </w:t>
            </w:r>
          </w:p>
          <w:p w14:paraId="101C7ABE" w14:textId="00511F70" w:rsidR="001C7AB7" w:rsidRPr="00A30C4C" w:rsidRDefault="001C7AB7" w:rsidP="001C7AB7">
            <w:pPr>
              <w:rPr>
                <w:rFonts w:ascii="Times New Roman" w:hAnsi="Times New Roman"/>
                <w:sz w:val="24"/>
              </w:rPr>
            </w:pPr>
            <w:r>
              <w:rPr>
                <w:rFonts w:ascii="Times New Roman" w:hAnsi="Times New Roman"/>
                <w:sz w:val="24"/>
              </w:rPr>
              <w:t>– u pogledu nematerijalne kreditne zaštite, za izloženosti prema središnjoj državi, središnjim bankama, institucijama i trgovačkim društvima, uzima se u obzir članak 161. stavak 3. CRR-a. Za izloženosti prema stanovništvu uzima se u obzir članak 164. stavak 2. CRR-a.</w:t>
            </w:r>
          </w:p>
          <w:p w14:paraId="2F9D858B" w14:textId="7DB83D59" w:rsidR="001C7AB7" w:rsidRPr="00A30C4C" w:rsidRDefault="001C7AB7" w:rsidP="00255BA9">
            <w:pPr>
              <w:rPr>
                <w:rFonts w:ascii="Times New Roman" w:hAnsi="Times New Roman"/>
                <w:b/>
                <w:sz w:val="24"/>
                <w:u w:val="single"/>
              </w:rPr>
            </w:pPr>
            <w:r>
              <w:rPr>
                <w:rFonts w:ascii="Times New Roman" w:hAnsi="Times New Roman"/>
                <w:sz w:val="24"/>
              </w:rPr>
              <w:t xml:space="preserve">– u pogledu materijalne kreditne zaštite, u procjenama LGD-a uzima se u obzir </w:t>
            </w:r>
            <w:proofErr w:type="spellStart"/>
            <w:r>
              <w:rPr>
                <w:rFonts w:ascii="Times New Roman" w:hAnsi="Times New Roman"/>
                <w:sz w:val="24"/>
              </w:rPr>
              <w:t>kolateral</w:t>
            </w:r>
            <w:proofErr w:type="spellEnd"/>
            <w:r>
              <w:rPr>
                <w:rFonts w:ascii="Times New Roman" w:hAnsi="Times New Roman"/>
                <w:sz w:val="24"/>
              </w:rPr>
              <w:t xml:space="preserve"> u skladu s člankom 181. stavkom 1. točkama (e) i (f) CRR-a.</w:t>
            </w:r>
          </w:p>
        </w:tc>
      </w:tr>
      <w:tr w:rsidR="001C7AB7" w:rsidRPr="00A30C4C" w14:paraId="2B9CA2B6" w14:textId="77777777" w:rsidTr="00672D2A">
        <w:trPr>
          <w:trHeight w:val="957"/>
        </w:trPr>
        <w:tc>
          <w:tcPr>
            <w:tcW w:w="1188" w:type="dxa"/>
          </w:tcPr>
          <w:p w14:paraId="5E3C4118" w14:textId="77777777" w:rsidR="001C7AB7" w:rsidRPr="00A30C4C" w:rsidRDefault="001C7AB7" w:rsidP="001C7AB7">
            <w:pPr>
              <w:rPr>
                <w:rFonts w:ascii="Times New Roman" w:hAnsi="Times New Roman"/>
                <w:sz w:val="24"/>
              </w:rPr>
            </w:pPr>
            <w:r>
              <w:rPr>
                <w:rFonts w:ascii="Times New Roman" w:hAnsi="Times New Roman"/>
                <w:sz w:val="24"/>
              </w:rPr>
              <w:t>150</w:t>
            </w:r>
          </w:p>
        </w:tc>
        <w:tc>
          <w:tcPr>
            <w:tcW w:w="8843" w:type="dxa"/>
          </w:tcPr>
          <w:p w14:paraId="489A272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JAMSTVA </w:t>
            </w:r>
          </w:p>
          <w:p w14:paraId="5CDD29E2" w14:textId="77777777" w:rsidR="001C7AB7" w:rsidRPr="00A30C4C" w:rsidRDefault="001C7AB7" w:rsidP="001C7AB7">
            <w:pPr>
              <w:jc w:val="left"/>
              <w:rPr>
                <w:rFonts w:ascii="Times New Roman" w:hAnsi="Times New Roman"/>
                <w:b/>
                <w:sz w:val="24"/>
                <w:u w:val="single"/>
              </w:rPr>
            </w:pPr>
            <w:r>
              <w:rPr>
                <w:rFonts w:ascii="Times New Roman" w:hAnsi="Times New Roman"/>
                <w:sz w:val="24"/>
              </w:rPr>
              <w:t>Vidjeti upute za stupac 040.</w:t>
            </w:r>
          </w:p>
        </w:tc>
      </w:tr>
      <w:tr w:rsidR="001C7AB7" w:rsidRPr="00A30C4C" w14:paraId="6B562DDD" w14:textId="77777777" w:rsidTr="00672D2A">
        <w:tc>
          <w:tcPr>
            <w:tcW w:w="1188" w:type="dxa"/>
          </w:tcPr>
          <w:p w14:paraId="331AF144" w14:textId="77777777" w:rsidR="001C7AB7" w:rsidRPr="00A30C4C" w:rsidRDefault="001C7AB7" w:rsidP="001C7AB7">
            <w:pPr>
              <w:rPr>
                <w:rFonts w:ascii="Times New Roman" w:hAnsi="Times New Roman"/>
                <w:sz w:val="24"/>
              </w:rPr>
            </w:pPr>
            <w:r>
              <w:rPr>
                <w:rFonts w:ascii="Times New Roman" w:hAnsi="Times New Roman"/>
                <w:sz w:val="24"/>
              </w:rPr>
              <w:t>160</w:t>
            </w:r>
          </w:p>
        </w:tc>
        <w:tc>
          <w:tcPr>
            <w:tcW w:w="8843" w:type="dxa"/>
          </w:tcPr>
          <w:p w14:paraId="2BA68CAE"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KREDITNE IZVEDENICE </w:t>
            </w:r>
          </w:p>
          <w:p w14:paraId="2F6FB3EC" w14:textId="77777777" w:rsidR="001C7AB7" w:rsidRPr="00A30C4C" w:rsidRDefault="001C7AB7" w:rsidP="001C7AB7">
            <w:pPr>
              <w:rPr>
                <w:rFonts w:ascii="Times New Roman" w:hAnsi="Times New Roman"/>
                <w:sz w:val="24"/>
              </w:rPr>
            </w:pPr>
            <w:r>
              <w:rPr>
                <w:rFonts w:ascii="Times New Roman" w:hAnsi="Times New Roman"/>
                <w:sz w:val="24"/>
              </w:rPr>
              <w:t>Vidjeti upute za stupac 050.</w:t>
            </w:r>
          </w:p>
        </w:tc>
      </w:tr>
      <w:tr w:rsidR="001C7AB7" w:rsidRPr="00A30C4C" w14:paraId="5F49DF29" w14:textId="77777777" w:rsidTr="00672D2A">
        <w:tc>
          <w:tcPr>
            <w:tcW w:w="1188" w:type="dxa"/>
          </w:tcPr>
          <w:p w14:paraId="642A5BE9" w14:textId="77777777" w:rsidR="001C7AB7" w:rsidRPr="00A30C4C" w:rsidRDefault="001C7AB7" w:rsidP="001C7AB7">
            <w:pPr>
              <w:rPr>
                <w:rFonts w:ascii="Times New Roman" w:hAnsi="Times New Roman"/>
                <w:sz w:val="24"/>
              </w:rPr>
            </w:pPr>
            <w:r>
              <w:rPr>
                <w:rFonts w:ascii="Times New Roman" w:hAnsi="Times New Roman"/>
                <w:sz w:val="24"/>
              </w:rPr>
              <w:t>170</w:t>
            </w:r>
          </w:p>
        </w:tc>
        <w:tc>
          <w:tcPr>
            <w:tcW w:w="8843" w:type="dxa"/>
          </w:tcPr>
          <w:p w14:paraId="4814F7C0"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KORISTE SE VLASTITE PROCJENE LGD-a: OSTALA MATERIJALNA KREDITNA ZAŠTITA </w:t>
            </w:r>
          </w:p>
          <w:p w14:paraId="67714F1F" w14:textId="77777777"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Relevantna vrijednosti korištena u internim modelima institucije.</w:t>
            </w:r>
          </w:p>
          <w:p w14:paraId="00F55851" w14:textId="20167858" w:rsidR="001C7AB7" w:rsidRPr="00A30C4C" w:rsidRDefault="001C7AB7" w:rsidP="00255BA9">
            <w:pPr>
              <w:rPr>
                <w:rFonts w:ascii="Times New Roman" w:hAnsi="Times New Roman"/>
                <w:sz w:val="24"/>
              </w:rPr>
            </w:pPr>
            <w:r>
              <w:rPr>
                <w:rFonts w:ascii="Times New Roman" w:hAnsi="Times New Roman"/>
                <w:sz w:val="24"/>
              </w:rPr>
              <w:t xml:space="preserve">Faktori smanjenja kreditnog rizika koji ispunjavaju kriterije iz članka 212. CRR-a. </w:t>
            </w:r>
          </w:p>
        </w:tc>
      </w:tr>
      <w:tr w:rsidR="001C7AB7" w:rsidRPr="00A30C4C" w14:paraId="2B6B5990" w14:textId="77777777" w:rsidTr="00672D2A">
        <w:tc>
          <w:tcPr>
            <w:tcW w:w="1188" w:type="dxa"/>
          </w:tcPr>
          <w:p w14:paraId="30030987" w14:textId="77777777" w:rsidR="001C7AB7" w:rsidRPr="00A30C4C" w:rsidRDefault="001C7AB7" w:rsidP="001C7AB7">
            <w:pPr>
              <w:rPr>
                <w:rFonts w:ascii="Times New Roman" w:hAnsi="Times New Roman"/>
                <w:sz w:val="24"/>
              </w:rPr>
            </w:pPr>
            <w:r>
              <w:rPr>
                <w:rFonts w:ascii="Times New Roman" w:hAnsi="Times New Roman"/>
                <w:sz w:val="24"/>
              </w:rPr>
              <w:lastRenderedPageBreak/>
              <w:t>180</w:t>
            </w:r>
          </w:p>
        </w:tc>
        <w:tc>
          <w:tcPr>
            <w:tcW w:w="8843" w:type="dxa"/>
          </w:tcPr>
          <w:p w14:paraId="7F9158FB"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PRIZNATI FINANCIJSKI KOLATERAL</w:t>
            </w:r>
          </w:p>
          <w:p w14:paraId="060F8654" w14:textId="3949FA43" w:rsidR="001C7AB7" w:rsidRPr="00A30C4C" w:rsidRDefault="001C7AB7" w:rsidP="001C7AB7">
            <w:pPr>
              <w:rPr>
                <w:rFonts w:ascii="Times New Roman" w:hAnsi="Times New Roman"/>
                <w:sz w:val="24"/>
              </w:rPr>
            </w:pPr>
            <w:r>
              <w:rPr>
                <w:rFonts w:ascii="Times New Roman" w:hAnsi="Times New Roman"/>
                <w:sz w:val="24"/>
              </w:rPr>
              <w:t xml:space="preserve">Za poslove iz knjige trgovanja uključuje financijske instrumente i robu priznate za izloženosti iz knjige trgovanja u skladu s člankom 299. stavkom 2. točkama od (c) do (f) CRR-a. Kreditni zapisi i bilančno </w:t>
            </w:r>
            <w:proofErr w:type="spellStart"/>
            <w:r>
              <w:rPr>
                <w:rFonts w:ascii="Times New Roman" w:hAnsi="Times New Roman"/>
                <w:sz w:val="24"/>
              </w:rPr>
              <w:t>netiranje</w:t>
            </w:r>
            <w:proofErr w:type="spellEnd"/>
            <w:r>
              <w:rPr>
                <w:rFonts w:ascii="Times New Roman" w:hAnsi="Times New Roman"/>
                <w:sz w:val="24"/>
              </w:rPr>
              <w:t xml:space="preserve"> u skladu s dijelom trećim glavom II. poglavljem 4. odjeljkom 4. CRR-a tretiraju se kao gotovinski </w:t>
            </w:r>
            <w:proofErr w:type="spellStart"/>
            <w:r>
              <w:rPr>
                <w:rFonts w:ascii="Times New Roman" w:hAnsi="Times New Roman"/>
                <w:sz w:val="24"/>
              </w:rPr>
              <w:t>kolateral</w:t>
            </w:r>
            <w:proofErr w:type="spellEnd"/>
            <w:r>
              <w:rPr>
                <w:rFonts w:ascii="Times New Roman" w:hAnsi="Times New Roman"/>
                <w:sz w:val="24"/>
              </w:rPr>
              <w:t>.</w:t>
            </w:r>
          </w:p>
          <w:p w14:paraId="1CA102C9" w14:textId="585345AE" w:rsidR="001C7AB7" w:rsidRPr="00A30C4C" w:rsidRDefault="001C7AB7" w:rsidP="001C7AB7">
            <w:pPr>
              <w:rPr>
                <w:rFonts w:ascii="Times New Roman" w:hAnsi="Times New Roman"/>
                <w:sz w:val="24"/>
              </w:rPr>
            </w:pPr>
            <w:r>
              <w:rPr>
                <w:rFonts w:ascii="Times New Roman" w:hAnsi="Times New Roman"/>
                <w:sz w:val="24"/>
              </w:rPr>
              <w:t>Ako se ne primjenjuju vlastite procjene LGD-a, vrijednosti se utvrđuju u skladu s člankom 193. stavcima od 1. do 4. i člankom 194. stavkom 1. CRR-a. Iskazuje se prilagođena vrijednost (</w:t>
            </w:r>
            <w:proofErr w:type="spellStart"/>
            <w:r>
              <w:rPr>
                <w:rFonts w:ascii="Times New Roman" w:hAnsi="Times New Roman"/>
                <w:sz w:val="24"/>
              </w:rPr>
              <w:t>Cvam</w:t>
            </w:r>
            <w:proofErr w:type="spellEnd"/>
            <w:r>
              <w:rPr>
                <w:rFonts w:ascii="Times New Roman" w:hAnsi="Times New Roman"/>
                <w:sz w:val="24"/>
              </w:rPr>
              <w:t>) kako je određena u članku 223. stavku 2. CRR-a.</w:t>
            </w:r>
          </w:p>
          <w:p w14:paraId="67F48A52" w14:textId="43BF5DE1" w:rsidR="001C7AB7" w:rsidRPr="00A30C4C" w:rsidRDefault="001C7AB7" w:rsidP="00D21B29">
            <w:pPr>
              <w:rPr>
                <w:rFonts w:ascii="Times New Roman" w:hAnsi="Times New Roman"/>
                <w:b/>
                <w:sz w:val="24"/>
                <w:u w:val="single"/>
              </w:rPr>
            </w:pPr>
            <w:r>
              <w:rPr>
                <w:rFonts w:ascii="Times New Roman" w:hAnsi="Times New Roman"/>
                <w:sz w:val="24"/>
              </w:rPr>
              <w:t xml:space="preserve">Ako se primjenjuju vlastite procjene LGD-a, u procjenama LGD-a uzima se u obzir financijski </w:t>
            </w:r>
            <w:proofErr w:type="spellStart"/>
            <w:r>
              <w:rPr>
                <w:rFonts w:ascii="Times New Roman" w:hAnsi="Times New Roman"/>
                <w:sz w:val="24"/>
              </w:rPr>
              <w:t>kolateral</w:t>
            </w:r>
            <w:proofErr w:type="spellEnd"/>
            <w:r>
              <w:rPr>
                <w:rFonts w:ascii="Times New Roman" w:hAnsi="Times New Roman"/>
                <w:sz w:val="24"/>
              </w:rPr>
              <w:t xml:space="preserve"> u skladu s člankom 181. stavkom 1. točkama (e) i (f) CRR-a. Iznos koji se iskazuje procijenjena je tržišna vrijednost kolaterala.</w:t>
            </w:r>
          </w:p>
        </w:tc>
      </w:tr>
      <w:tr w:rsidR="001C7AB7" w:rsidRPr="00A30C4C" w14:paraId="457D2C2B" w14:textId="77777777" w:rsidTr="00672D2A">
        <w:tc>
          <w:tcPr>
            <w:tcW w:w="1188" w:type="dxa"/>
          </w:tcPr>
          <w:p w14:paraId="5057A0C2" w14:textId="77777777" w:rsidR="001C7AB7" w:rsidRPr="00A30C4C" w:rsidDel="001D4BE0" w:rsidRDefault="001C7AB7" w:rsidP="001C7AB7">
            <w:pPr>
              <w:rPr>
                <w:rFonts w:ascii="Times New Roman" w:hAnsi="Times New Roman"/>
                <w:sz w:val="24"/>
              </w:rPr>
            </w:pPr>
            <w:r>
              <w:rPr>
                <w:rFonts w:ascii="Times New Roman" w:hAnsi="Times New Roman"/>
                <w:sz w:val="24"/>
              </w:rPr>
              <w:t>190-210</w:t>
            </w:r>
          </w:p>
        </w:tc>
        <w:tc>
          <w:tcPr>
            <w:tcW w:w="8843" w:type="dxa"/>
          </w:tcPr>
          <w:p w14:paraId="4CBF1C33"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OSTALI PRIZNATI KOLATERAL</w:t>
            </w:r>
          </w:p>
          <w:p w14:paraId="5AA9B5AE" w14:textId="40D3C029" w:rsidR="001C7AB7" w:rsidRPr="00A30C4C" w:rsidRDefault="00C61FF5" w:rsidP="001C7AB7">
            <w:pPr>
              <w:rPr>
                <w:rFonts w:ascii="Times New Roman" w:hAnsi="Times New Roman"/>
                <w:sz w:val="24"/>
              </w:rPr>
            </w:pPr>
            <w:r>
              <w:rPr>
                <w:rFonts w:ascii="Times New Roman" w:hAnsi="Times New Roman"/>
                <w:sz w:val="24"/>
              </w:rPr>
              <w:t>Ako se ne primjenjuju vlastite procjene LGD-a, vrijednosti se utvrđuju u skladu s člankom 199. stavcima od 1. do 8. CRR-a i člankom 229. CRR-a.</w:t>
            </w:r>
          </w:p>
          <w:p w14:paraId="3BABB64B" w14:textId="0966C29D" w:rsidR="001C7AB7" w:rsidRPr="00A30C4C" w:rsidRDefault="00C61FF5" w:rsidP="00D21B29">
            <w:pPr>
              <w:rPr>
                <w:rFonts w:ascii="Times New Roman" w:hAnsi="Times New Roman"/>
                <w:b/>
                <w:sz w:val="24"/>
                <w:u w:val="single"/>
              </w:rPr>
            </w:pPr>
            <w:r>
              <w:rPr>
                <w:rFonts w:ascii="Times New Roman" w:hAnsi="Times New Roman"/>
                <w:sz w:val="24"/>
              </w:rPr>
              <w:t xml:space="preserve">Ako se primjenjuju vlastite procjene LGD-a, u procjenama LGD-a uzima se u obzir ostali </w:t>
            </w:r>
            <w:proofErr w:type="spellStart"/>
            <w:r>
              <w:rPr>
                <w:rFonts w:ascii="Times New Roman" w:hAnsi="Times New Roman"/>
                <w:sz w:val="24"/>
              </w:rPr>
              <w:t>kolateral</w:t>
            </w:r>
            <w:proofErr w:type="spellEnd"/>
            <w:r>
              <w:rPr>
                <w:rFonts w:ascii="Times New Roman" w:hAnsi="Times New Roman"/>
                <w:sz w:val="24"/>
              </w:rPr>
              <w:t xml:space="preserve"> u skladu s člankom 181. stavkom 1. točkama (e) i (f) CRR-a.</w:t>
            </w:r>
          </w:p>
        </w:tc>
      </w:tr>
      <w:tr w:rsidR="001C7AB7" w:rsidRPr="00A30C4C" w14:paraId="0539FC4A" w14:textId="77777777" w:rsidTr="00672D2A">
        <w:tc>
          <w:tcPr>
            <w:tcW w:w="1188" w:type="dxa"/>
          </w:tcPr>
          <w:p w14:paraId="6E144E0D" w14:textId="77777777" w:rsidR="001C7AB7" w:rsidRPr="00A30C4C"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14:paraId="1C034029" w14:textId="77777777" w:rsidR="001C7AB7" w:rsidRPr="00A30C4C" w:rsidRDefault="001C7AB7" w:rsidP="00C61FF5">
            <w:pPr>
              <w:spacing w:line="240" w:lineRule="exact"/>
              <w:rPr>
                <w:rFonts w:ascii="Times New Roman" w:hAnsi="Times New Roman"/>
                <w:sz w:val="24"/>
              </w:rPr>
            </w:pPr>
            <w:r>
              <w:rPr>
                <w:rFonts w:ascii="Times New Roman" w:hAnsi="Times New Roman"/>
                <w:b/>
                <w:sz w:val="24"/>
                <w:u w:val="single"/>
              </w:rPr>
              <w:t>NEKRETNINA</w:t>
            </w:r>
          </w:p>
          <w:p w14:paraId="43C12D0D" w14:textId="75B953B4" w:rsidR="001C7AB7" w:rsidRPr="00A30C4C" w:rsidRDefault="00C61FF5" w:rsidP="00C61FF5">
            <w:pPr>
              <w:spacing w:line="240" w:lineRule="exact"/>
              <w:rPr>
                <w:rFonts w:ascii="Times New Roman" w:hAnsi="Times New Roman"/>
                <w:sz w:val="24"/>
              </w:rPr>
            </w:pPr>
            <w:r>
              <w:rPr>
                <w:rFonts w:ascii="Times New Roman" w:hAnsi="Times New Roman"/>
                <w:sz w:val="24"/>
              </w:rPr>
              <w:t>Ako se ne primjenjuju vlastite procjene LGD-a, vrijednosti se utvrđuju u skladu s člankom 199. stavcima 2., 3. i 4. CRR-a i iskazuju u ovom stupcu. Uključen je i najam nekretnine (vidjeti članak 199. stavak 7. CRR-a). Vidjeti i članak 229. CRR-a.</w:t>
            </w:r>
          </w:p>
          <w:p w14:paraId="64EA227D" w14:textId="61CD192C" w:rsidR="001C7AB7" w:rsidRPr="00A30C4C" w:rsidRDefault="001C7AB7" w:rsidP="00C61FF5">
            <w:pPr>
              <w:spacing w:line="240" w:lineRule="exact"/>
              <w:rPr>
                <w:rFonts w:ascii="Times New Roman" w:hAnsi="Times New Roman"/>
                <w:sz w:val="24"/>
              </w:rPr>
            </w:pPr>
            <w:r>
              <w:rPr>
                <w:rFonts w:ascii="Times New Roman" w:hAnsi="Times New Roman"/>
                <w:sz w:val="24"/>
              </w:rPr>
              <w:t>Ako se primjenjuju vlastite procjene LGD-a, iznos koji se iskazuje procijenjena je tržišna vrijednost.</w:t>
            </w:r>
          </w:p>
        </w:tc>
      </w:tr>
      <w:tr w:rsidR="001C7AB7" w:rsidRPr="00A30C4C" w14:paraId="52B2ECF9" w14:textId="77777777" w:rsidTr="00672D2A">
        <w:tc>
          <w:tcPr>
            <w:tcW w:w="1188" w:type="dxa"/>
          </w:tcPr>
          <w:p w14:paraId="1C90656C" w14:textId="77777777" w:rsidR="001C7AB7" w:rsidRPr="00A30C4C" w:rsidRDefault="001C7AB7" w:rsidP="001C7AB7">
            <w:pPr>
              <w:rPr>
                <w:rFonts w:ascii="Times New Roman" w:hAnsi="Times New Roman"/>
                <w:sz w:val="24"/>
              </w:rPr>
            </w:pPr>
            <w:r>
              <w:rPr>
                <w:rFonts w:ascii="Times New Roman" w:hAnsi="Times New Roman"/>
                <w:sz w:val="24"/>
              </w:rPr>
              <w:t>200</w:t>
            </w:r>
          </w:p>
        </w:tc>
        <w:tc>
          <w:tcPr>
            <w:tcW w:w="8843" w:type="dxa"/>
          </w:tcPr>
          <w:p w14:paraId="6A8F9F1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KOLATERAL U OBLIKU OSTALE MATERIJALNE IMOVINE</w:t>
            </w:r>
          </w:p>
          <w:p w14:paraId="22D76B22" w14:textId="59831EE9" w:rsidR="001C7AB7" w:rsidRPr="00A30C4C" w:rsidRDefault="00C61FF5" w:rsidP="001C7AB7">
            <w:pPr>
              <w:rPr>
                <w:rFonts w:ascii="Times New Roman" w:hAnsi="Times New Roman"/>
                <w:sz w:val="24"/>
              </w:rPr>
            </w:pPr>
            <w:r>
              <w:rPr>
                <w:rFonts w:ascii="Times New Roman" w:hAnsi="Times New Roman"/>
                <w:sz w:val="24"/>
              </w:rPr>
              <w:t xml:space="preserve">Ako se ne primjenjuju vlastite procjene LGD-a, vrijednosti se utvrđuju u skladu s člankom 199. stavcima od 6. do 8. CRR-a i iskazuju u ovom stupcu. Uključen je i najam imovine koja nije nekretnina (vidjeti članak 199. stavak 7. CRR-a). Vidjeti članak 229. stavak 3. CRR-a. </w:t>
            </w:r>
          </w:p>
          <w:p w14:paraId="3D35C427" w14:textId="77777777" w:rsidR="001C7AB7" w:rsidRPr="00A30C4C" w:rsidRDefault="00C61FF5" w:rsidP="00C61FF5">
            <w:pPr>
              <w:rPr>
                <w:rFonts w:ascii="Times New Roman" w:hAnsi="Times New Roman"/>
                <w:b/>
                <w:sz w:val="24"/>
                <w:u w:val="single"/>
              </w:rPr>
            </w:pPr>
            <w:r>
              <w:rPr>
                <w:rFonts w:ascii="Times New Roman" w:hAnsi="Times New Roman"/>
                <w:sz w:val="24"/>
              </w:rPr>
              <w:t>Ako se primjenjuju vlastite procjene LGD-a, iznos koji se iskazuje procijenjena je tržišna vrijednost kolaterala.</w:t>
            </w:r>
          </w:p>
        </w:tc>
      </w:tr>
      <w:tr w:rsidR="001C7AB7" w:rsidRPr="00A30C4C" w14:paraId="7266AB27" w14:textId="77777777" w:rsidTr="00672D2A">
        <w:tc>
          <w:tcPr>
            <w:tcW w:w="1188" w:type="dxa"/>
          </w:tcPr>
          <w:p w14:paraId="353A005F" w14:textId="77777777" w:rsidR="001C7AB7" w:rsidRPr="00A30C4C" w:rsidRDefault="001C7AB7" w:rsidP="001C7AB7">
            <w:pPr>
              <w:rPr>
                <w:rFonts w:ascii="Times New Roman" w:hAnsi="Times New Roman"/>
                <w:sz w:val="24"/>
              </w:rPr>
            </w:pPr>
            <w:r>
              <w:rPr>
                <w:rFonts w:ascii="Times New Roman" w:hAnsi="Times New Roman"/>
                <w:sz w:val="24"/>
              </w:rPr>
              <w:t>210</w:t>
            </w:r>
          </w:p>
        </w:tc>
        <w:tc>
          <w:tcPr>
            <w:tcW w:w="8843" w:type="dxa"/>
          </w:tcPr>
          <w:p w14:paraId="0D2D1647"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POTRAŽIVANJA</w:t>
            </w:r>
          </w:p>
          <w:p w14:paraId="15BC6C80" w14:textId="7CA7DAE8" w:rsidR="001C7AB7" w:rsidRPr="00A30C4C" w:rsidRDefault="001C7AB7" w:rsidP="001C7AB7">
            <w:pPr>
              <w:rPr>
                <w:rFonts w:ascii="Times New Roman" w:hAnsi="Times New Roman"/>
                <w:sz w:val="24"/>
              </w:rPr>
            </w:pPr>
            <w:r>
              <w:rPr>
                <w:rFonts w:ascii="Times New Roman" w:hAnsi="Times New Roman"/>
                <w:sz w:val="24"/>
              </w:rPr>
              <w:t>Ako se ne primjenjuju vlastite procjene LGD-a, vrijednosti se utvrđuju u skladu s člankom 199. stavkom 5. i člankom 229. stavkom 2. CRR-a i iskazuju u ovom stupcu.</w:t>
            </w:r>
          </w:p>
          <w:p w14:paraId="789B21A5" w14:textId="4E85E5B3" w:rsidR="001C7AB7" w:rsidRPr="00A30C4C" w:rsidRDefault="001C7AB7" w:rsidP="001C7AB7">
            <w:pPr>
              <w:rPr>
                <w:rFonts w:ascii="Times New Roman" w:hAnsi="Times New Roman"/>
                <w:b/>
                <w:sz w:val="24"/>
                <w:u w:val="single"/>
              </w:rPr>
            </w:pPr>
            <w:r>
              <w:rPr>
                <w:rFonts w:ascii="Times New Roman" w:hAnsi="Times New Roman"/>
                <w:sz w:val="24"/>
              </w:rPr>
              <w:t>Ako se primjenjuju vlastite procjene LGD-a, iznos koji se iskazuje procijenjena je tržišna vrijednost kolaterala.</w:t>
            </w:r>
          </w:p>
        </w:tc>
      </w:tr>
      <w:tr w:rsidR="001C7AB7" w:rsidRPr="00A30C4C" w14:paraId="160BD61D" w14:textId="77777777" w:rsidTr="00672D2A">
        <w:tc>
          <w:tcPr>
            <w:tcW w:w="1188" w:type="dxa"/>
          </w:tcPr>
          <w:p w14:paraId="67C0ECE1" w14:textId="77777777" w:rsidR="001C7AB7" w:rsidRPr="00A30C4C" w:rsidRDefault="001C7AB7" w:rsidP="001C7AB7">
            <w:pPr>
              <w:rPr>
                <w:rFonts w:ascii="Times New Roman" w:hAnsi="Times New Roman"/>
                <w:sz w:val="24"/>
              </w:rPr>
            </w:pPr>
            <w:r>
              <w:rPr>
                <w:rFonts w:ascii="Times New Roman" w:hAnsi="Times New Roman"/>
                <w:sz w:val="24"/>
              </w:rPr>
              <w:t>220</w:t>
            </w:r>
          </w:p>
        </w:tc>
        <w:tc>
          <w:tcPr>
            <w:tcW w:w="8843" w:type="dxa"/>
          </w:tcPr>
          <w:p w14:paraId="6F4C5B5D"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PODLOŽNO TRETMANU DVOSTRUKOG STATUSA NEISPUNJAVANJA OBVEZA: NEMATERIJALNA KREDITNA ZAŠTITA</w:t>
            </w:r>
          </w:p>
          <w:p w14:paraId="5F59E0A4" w14:textId="05EE627D" w:rsidR="001C7AB7" w:rsidRPr="00A30C4C" w:rsidRDefault="001C7AB7" w:rsidP="00F33ABB">
            <w:pPr>
              <w:rPr>
                <w:rFonts w:ascii="Times New Roman" w:hAnsi="Times New Roman"/>
                <w:b/>
                <w:sz w:val="24"/>
                <w:u w:val="single"/>
              </w:rPr>
            </w:pPr>
            <w:r>
              <w:rPr>
                <w:rFonts w:ascii="Times New Roman" w:hAnsi="Times New Roman"/>
                <w:sz w:val="24"/>
              </w:rPr>
              <w:t xml:space="preserve">Jamstva i kreditne izvedenice kojima su obuhvaćene izloženosti koje podliježu tretmanu dvostrukog statusa neispunjavanja obveza uzimajući u obzir članak 202. i članak 217. stavak 1. CRR-a. Vidjeti i stupce 040 „Jamstva” i 050 „Kreditne izvedenice”. </w:t>
            </w:r>
          </w:p>
        </w:tc>
      </w:tr>
      <w:tr w:rsidR="001C7AB7" w:rsidRPr="00A30C4C" w14:paraId="764740C6" w14:textId="77777777" w:rsidTr="00672D2A">
        <w:tc>
          <w:tcPr>
            <w:tcW w:w="1188" w:type="dxa"/>
          </w:tcPr>
          <w:p w14:paraId="5F21C48A" w14:textId="77777777" w:rsidR="001C7AB7" w:rsidRPr="00A30C4C" w:rsidRDefault="001C7AB7" w:rsidP="001C7AB7">
            <w:pPr>
              <w:rPr>
                <w:rFonts w:ascii="Times New Roman" w:hAnsi="Times New Roman"/>
                <w:sz w:val="24"/>
              </w:rPr>
            </w:pPr>
            <w:r>
              <w:rPr>
                <w:rFonts w:ascii="Times New Roman" w:hAnsi="Times New Roman"/>
                <w:sz w:val="24"/>
              </w:rPr>
              <w:lastRenderedPageBreak/>
              <w:t>230</w:t>
            </w:r>
          </w:p>
        </w:tc>
        <w:tc>
          <w:tcPr>
            <w:tcW w:w="8843" w:type="dxa"/>
          </w:tcPr>
          <w:p w14:paraId="2D7DD034"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PROSJEČNI LGD PONDERIRAN VISINOM IZLOŽENOSTI (%)</w:t>
            </w:r>
          </w:p>
          <w:p w14:paraId="4EA92E36" w14:textId="6EF051D1" w:rsidR="001C7AB7" w:rsidRPr="00A30C4C" w:rsidRDefault="001C7AB7" w:rsidP="001C7AB7">
            <w:pPr>
              <w:rPr>
                <w:rFonts w:ascii="Times New Roman" w:hAnsi="Times New Roman"/>
                <w:sz w:val="24"/>
              </w:rPr>
            </w:pPr>
            <w:r>
              <w:rPr>
                <w:rFonts w:ascii="Times New Roman" w:hAnsi="Times New Roman"/>
                <w:sz w:val="24"/>
              </w:rPr>
              <w:t>U obzir se uzima cjelokupan utjecaj tehnika smanjenja kreditnog rizika na vrijednosti LGD-a kako je određeno u dijelu trećem glavi II. poglavljima 3. i 4. CRR-a. U slučaju izloženosti koje podliježu tretmanu dvostrukog statusa neispunjavanja obveza, LGD koji se iskazuje odgovara LGD-u odabranom u skladu s člankom 161. stavkom 4. CRR-a.</w:t>
            </w:r>
          </w:p>
          <w:p w14:paraId="4B5EA6DB" w14:textId="73016443" w:rsidR="001C7AB7" w:rsidRPr="00A30C4C" w:rsidRDefault="001C7AB7" w:rsidP="001C7AB7">
            <w:pPr>
              <w:rPr>
                <w:rFonts w:ascii="Times New Roman" w:hAnsi="Times New Roman"/>
                <w:sz w:val="24"/>
              </w:rPr>
            </w:pPr>
            <w:r>
              <w:rPr>
                <w:rFonts w:ascii="Times New Roman" w:hAnsi="Times New Roman"/>
                <w:sz w:val="24"/>
              </w:rPr>
              <w:t>Za izloženosti sa statusom neispunjavanja obveza uzima se u obzir članak 181. stavak 1. točka (h) CRR-a.</w:t>
            </w:r>
          </w:p>
          <w:p w14:paraId="09340637" w14:textId="24D323FA" w:rsidR="001C7AB7" w:rsidRPr="00A30C4C" w:rsidRDefault="001C7AB7" w:rsidP="001C7AB7">
            <w:pPr>
              <w:rPr>
                <w:rFonts w:ascii="Times New Roman" w:hAnsi="Times New Roman"/>
                <w:sz w:val="24"/>
              </w:rPr>
            </w:pPr>
            <w:r>
              <w:rPr>
                <w:rFonts w:ascii="Times New Roman" w:hAnsi="Times New Roman"/>
                <w:sz w:val="24"/>
              </w:rPr>
              <w:t>Vrijednost izloženosti iz stupca 110 koristi se za izračun izloženošću ponderiranih prosjeka.</w:t>
            </w:r>
          </w:p>
          <w:p w14:paraId="2BDF199D" w14:textId="77777777" w:rsidR="001C7AB7" w:rsidRPr="00A30C4C" w:rsidRDefault="001C7AB7" w:rsidP="001C7AB7">
            <w:pPr>
              <w:rPr>
                <w:rFonts w:ascii="Times New Roman" w:hAnsi="Times New Roman"/>
                <w:sz w:val="24"/>
              </w:rPr>
            </w:pPr>
            <w:r>
              <w:rPr>
                <w:rFonts w:ascii="Times New Roman" w:hAnsi="Times New Roman"/>
                <w:sz w:val="24"/>
              </w:rPr>
              <w:t>U obzir se uzimaju svi učinci (tako da se prag koji se primjenjuje na hipoteke uključuje u izvješćivanje).</w:t>
            </w:r>
          </w:p>
          <w:p w14:paraId="28E66744" w14:textId="063D34CA" w:rsidR="001C7AB7" w:rsidRPr="00A30C4C" w:rsidRDefault="001C7AB7" w:rsidP="001C7AB7">
            <w:pPr>
              <w:rPr>
                <w:rFonts w:ascii="Times New Roman" w:hAnsi="Times New Roman"/>
                <w:sz w:val="24"/>
              </w:rPr>
            </w:pPr>
            <w:r>
              <w:rPr>
                <w:rFonts w:ascii="Times New Roman" w:hAnsi="Times New Roman"/>
                <w:sz w:val="24"/>
              </w:rPr>
              <w:t>Za institucije koje primjenjuju IRB pristup, ali ne primjenjuju vlastite procjene LGD-a, učinci smanjenja rizika financijskog kolaterala odražavaju se u E*, potpuno prilagođenoj vrijednosti izloženosti, a zatim u LGD* kako je navedeno u članku 228. stavku 2. CRR-a.</w:t>
            </w:r>
          </w:p>
          <w:p w14:paraId="2A145D44" w14:textId="751EEF96" w:rsidR="001C7AB7" w:rsidRPr="00A30C4C" w:rsidRDefault="001C7AB7" w:rsidP="001C7AB7">
            <w:pPr>
              <w:rPr>
                <w:rFonts w:ascii="Times New Roman" w:hAnsi="Times New Roman"/>
                <w:sz w:val="24"/>
              </w:rPr>
            </w:pPr>
            <w:r>
              <w:rPr>
                <w:rFonts w:ascii="Times New Roman" w:hAnsi="Times New Roman"/>
                <w:sz w:val="24"/>
              </w:rPr>
              <w:t>Prosječni LGD ponderiran visinom izloženosti povezan sa svakim PD-om raspoređenim u „rejting-kategoriju dužnika ili skup izloženosti” proizlazi iz prosjeka bonitetnih LGD-ova raspoređenih u izloženosti tog PD-a raspoređenog u rejting-kategoriju/skup, ponderiranih odgovarajućom vrijednosti izloženosti iz stupca 110.</w:t>
            </w:r>
          </w:p>
          <w:p w14:paraId="6A4AD111" w14:textId="2285534A" w:rsidR="001C7AB7" w:rsidRPr="00A30C4C" w:rsidRDefault="00BD6DB9" w:rsidP="001C7AB7">
            <w:pPr>
              <w:rPr>
                <w:rFonts w:ascii="Times New Roman" w:hAnsi="Times New Roman"/>
                <w:sz w:val="24"/>
              </w:rPr>
            </w:pPr>
            <w:r>
              <w:rPr>
                <w:rFonts w:ascii="Times New Roman" w:hAnsi="Times New Roman"/>
                <w:sz w:val="24"/>
              </w:rPr>
              <w:t>Ako se primjenjuju vlastite procjene LGD-a, uzimaju se u obzir članak 175. i članak 181. stavci 1. i 2. CRR-a.</w:t>
            </w:r>
          </w:p>
          <w:p w14:paraId="5343716F" w14:textId="49AD7810" w:rsidR="001C7AB7" w:rsidRPr="00A30C4C" w:rsidRDefault="001C7AB7" w:rsidP="001C7AB7">
            <w:pPr>
              <w:rPr>
                <w:rFonts w:ascii="Times New Roman" w:hAnsi="Times New Roman"/>
                <w:sz w:val="24"/>
              </w:rPr>
            </w:pPr>
            <w:r>
              <w:rPr>
                <w:rFonts w:ascii="Times New Roman" w:hAnsi="Times New Roman"/>
                <w:sz w:val="24"/>
              </w:rPr>
              <w:t>U slučaju izloženosti koje podliježu tretmanu dvostrukog statusa neispunjavanja obveza, LGD koji se iskazuje odgovara LGD-u odabranom u skladu s člankom 161. stavkom 4. CRR-a.</w:t>
            </w:r>
          </w:p>
          <w:p w14:paraId="5D639D9E" w14:textId="77777777" w:rsidR="001C7AB7" w:rsidRPr="00A30C4C" w:rsidRDefault="001C7AB7" w:rsidP="001C7AB7">
            <w:pPr>
              <w:rPr>
                <w:rFonts w:ascii="Times New Roman" w:hAnsi="Times New Roman"/>
                <w:sz w:val="24"/>
              </w:rPr>
            </w:pPr>
            <w:r>
              <w:rPr>
                <w:rFonts w:ascii="Times New Roman" w:hAnsi="Times New Roman"/>
                <w:sz w:val="24"/>
              </w:rPr>
              <w:t>Izračun prosječnog LGD-a ponderiranog visinom izloženosti proizlazi iz parametara koji su stvarno upotrijebljeni u internom rejting-sustavu koji je odobrilo odgovarajuće nadležno tijelo.</w:t>
            </w:r>
          </w:p>
          <w:p w14:paraId="51A29E9F" w14:textId="0F3AA7AF" w:rsidR="001C7AB7" w:rsidRPr="00A30C4C" w:rsidRDefault="00224FE5" w:rsidP="001C7AB7">
            <w:pPr>
              <w:rPr>
                <w:rFonts w:ascii="Times New Roman" w:hAnsi="Times New Roman"/>
                <w:sz w:val="24"/>
              </w:rPr>
            </w:pPr>
            <w:r>
              <w:rPr>
                <w:rFonts w:ascii="Times New Roman" w:hAnsi="Times New Roman"/>
                <w:sz w:val="24"/>
              </w:rPr>
              <w:t>Podaci se ne iskazuju za izloženosti u obliku specijaliziranog financiranja iz članka 153. stavka 5.</w:t>
            </w:r>
          </w:p>
          <w:p w14:paraId="66AC2D00" w14:textId="6F81BEC4" w:rsidR="001C7AB7" w:rsidRPr="00A30C4C" w:rsidRDefault="001C7AB7" w:rsidP="00F811C6">
            <w:pPr>
              <w:rPr>
                <w:rFonts w:ascii="Times New Roman" w:hAnsi="Times New Roman"/>
                <w:sz w:val="24"/>
              </w:rPr>
            </w:pPr>
            <w:r>
              <w:rPr>
                <w:rFonts w:ascii="Times New Roman" w:hAnsi="Times New Roman"/>
                <w:sz w:val="24"/>
              </w:rPr>
              <w:t xml:space="preserve">Izloženost i odgovarajući LGD-ovi za velike regulirane subjekte financijskog sektora i neregulirane financijske subjekte ne uključuju se u izračun stupca 230, nego se uključuju samo u izračun stupca 240. </w:t>
            </w:r>
          </w:p>
        </w:tc>
      </w:tr>
      <w:tr w:rsidR="001C7AB7" w:rsidRPr="00A30C4C" w14:paraId="1525CBDC" w14:textId="77777777" w:rsidTr="00672D2A">
        <w:tc>
          <w:tcPr>
            <w:tcW w:w="1188" w:type="dxa"/>
          </w:tcPr>
          <w:p w14:paraId="268CDBB9" w14:textId="77777777" w:rsidR="001C7AB7" w:rsidRPr="00A30C4C" w:rsidRDefault="001C7AB7" w:rsidP="001C7AB7">
            <w:pPr>
              <w:rPr>
                <w:rFonts w:ascii="Times New Roman" w:hAnsi="Times New Roman"/>
                <w:sz w:val="24"/>
              </w:rPr>
            </w:pPr>
            <w:r>
              <w:rPr>
                <w:rFonts w:ascii="Times New Roman" w:hAnsi="Times New Roman"/>
                <w:sz w:val="24"/>
              </w:rPr>
              <w:t>240</w:t>
            </w:r>
          </w:p>
        </w:tc>
        <w:tc>
          <w:tcPr>
            <w:tcW w:w="8843" w:type="dxa"/>
          </w:tcPr>
          <w:p w14:paraId="04D6225A"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PROSJEČNI LGD PONDERIRAN VISINOM IZLOŽENOSTI (%) ZA VELIKE SUBJEKTE FINANCIJSKOG SEKTORA I NEREGULIRANE FINANCIJSKE SUBJEKTE</w:t>
            </w:r>
          </w:p>
          <w:p w14:paraId="25F07784" w14:textId="30FF65B0" w:rsidR="001C7AB7" w:rsidRPr="00A30C4C" w:rsidRDefault="001C7AB7" w:rsidP="00F33ABB">
            <w:pPr>
              <w:rPr>
                <w:rFonts w:ascii="Times New Roman" w:hAnsi="Times New Roman"/>
                <w:sz w:val="24"/>
              </w:rPr>
            </w:pPr>
            <w:r>
              <w:rPr>
                <w:rFonts w:ascii="Times New Roman" w:hAnsi="Times New Roman"/>
                <w:sz w:val="24"/>
              </w:rPr>
              <w:t>Prosječni LGD ponderiran visinom izloženosti (%) za sve izloženosti velikim subjektima financijskog sektora kako su definirani u članku 142. stavku 4. CRR-a i nereguliranim subjektima financijskog sektora kako su definirani u članku 142. stavku 5. CRR-a na koje se primjenjuje viši koeficijent korelacije utvrđen u skladu s člankom 153. stavkom 2. CRR-a.</w:t>
            </w:r>
          </w:p>
        </w:tc>
      </w:tr>
      <w:tr w:rsidR="001C7AB7" w:rsidRPr="00A30C4C" w14:paraId="72416014" w14:textId="77777777" w:rsidTr="00672D2A">
        <w:tc>
          <w:tcPr>
            <w:tcW w:w="1188" w:type="dxa"/>
          </w:tcPr>
          <w:p w14:paraId="660A86A5" w14:textId="77777777" w:rsidR="001C7AB7" w:rsidRPr="00A30C4C" w:rsidRDefault="001C7AB7" w:rsidP="001C7AB7">
            <w:pPr>
              <w:rPr>
                <w:rFonts w:ascii="Times New Roman" w:hAnsi="Times New Roman"/>
                <w:sz w:val="24"/>
              </w:rPr>
            </w:pPr>
            <w:r>
              <w:rPr>
                <w:rFonts w:ascii="Times New Roman" w:hAnsi="Times New Roman"/>
                <w:sz w:val="24"/>
              </w:rPr>
              <w:t>250</w:t>
            </w:r>
          </w:p>
        </w:tc>
        <w:tc>
          <w:tcPr>
            <w:tcW w:w="8843" w:type="dxa"/>
          </w:tcPr>
          <w:p w14:paraId="3CDC4BF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PROSJEČNO DOSPIJEĆE PONDERIRANO IZNOSOM IZLOŽENOSTI (U DANIMA)</w:t>
            </w:r>
          </w:p>
          <w:p w14:paraId="6A5B55BD" w14:textId="52E618E5" w:rsidR="001C7AB7" w:rsidRPr="00A30C4C" w:rsidRDefault="001C7AB7" w:rsidP="001C7AB7">
            <w:pPr>
              <w:rPr>
                <w:rFonts w:ascii="Times New Roman" w:hAnsi="Times New Roman"/>
                <w:sz w:val="24"/>
              </w:rPr>
            </w:pPr>
            <w:r>
              <w:rPr>
                <w:rFonts w:ascii="Times New Roman" w:hAnsi="Times New Roman"/>
                <w:sz w:val="24"/>
              </w:rPr>
              <w:lastRenderedPageBreak/>
              <w:t>Iskazana vrijednost utvrđuje se u skladu s člankom 162. CRR-a. Vrijednost izloženosti (stupac 110) koristi se za izračun izloženošću ponderiranih prosjeka. Prosječno dospijeće iskazuje se u danima.</w:t>
            </w:r>
          </w:p>
          <w:p w14:paraId="4CF51C09" w14:textId="6055FC34" w:rsidR="001C7AB7" w:rsidRPr="00A30C4C" w:rsidRDefault="001C7AB7" w:rsidP="00FD6CCB">
            <w:pPr>
              <w:rPr>
                <w:rFonts w:ascii="Times New Roman" w:hAnsi="Times New Roman"/>
                <w:sz w:val="24"/>
              </w:rPr>
            </w:pPr>
            <w:r>
              <w:rPr>
                <w:rFonts w:ascii="Times New Roman" w:hAnsi="Times New Roman"/>
                <w:sz w:val="24"/>
              </w:rPr>
              <w:t>Navedeni se podaci ne iskazuju za vrijednosti izloženosti za koje dospijeće nije element izračuna iznosa izloženosti ponderiranih rizikom.. To znači da se ovaj stupac ne popunjava za kategoriju izloženosti „stanovništvo”.</w:t>
            </w:r>
          </w:p>
        </w:tc>
      </w:tr>
      <w:tr w:rsidR="001C7AB7" w:rsidRPr="00A30C4C" w14:paraId="173F47EB" w14:textId="77777777" w:rsidTr="00672D2A">
        <w:tc>
          <w:tcPr>
            <w:tcW w:w="1188" w:type="dxa"/>
          </w:tcPr>
          <w:p w14:paraId="510FE529" w14:textId="77777777" w:rsidR="001C7AB7" w:rsidRPr="00A30C4C" w:rsidRDefault="001C7AB7" w:rsidP="001C7AB7">
            <w:pPr>
              <w:rPr>
                <w:rFonts w:ascii="Times New Roman" w:hAnsi="Times New Roman"/>
                <w:sz w:val="24"/>
              </w:rPr>
            </w:pPr>
            <w:r>
              <w:rPr>
                <w:rFonts w:ascii="Times New Roman" w:hAnsi="Times New Roman"/>
                <w:sz w:val="24"/>
              </w:rPr>
              <w:lastRenderedPageBreak/>
              <w:t>255</w:t>
            </w:r>
          </w:p>
        </w:tc>
        <w:tc>
          <w:tcPr>
            <w:tcW w:w="8843" w:type="dxa"/>
          </w:tcPr>
          <w:p w14:paraId="69D74682"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IZNOS IZLOŽENOSTI PONDERIRAN RIZIKOM PRIJE PRIMJENE POMOĆNOG FAKTORA ZA MSP-ove</w:t>
            </w:r>
          </w:p>
          <w:p w14:paraId="02B8E9A8" w14:textId="628D4D7A" w:rsidR="001C7AB7" w:rsidRPr="00A30C4C" w:rsidRDefault="001C7AB7" w:rsidP="001C7AB7">
            <w:pPr>
              <w:rPr>
                <w:rFonts w:ascii="Times New Roman" w:hAnsi="Times New Roman"/>
                <w:sz w:val="24"/>
              </w:rPr>
            </w:pPr>
            <w:r>
              <w:rPr>
                <w:rFonts w:ascii="Times New Roman" w:hAnsi="Times New Roman"/>
                <w:sz w:val="24"/>
              </w:rPr>
              <w:t xml:space="preserve">Za središnje države i središnje banke, trgovačka društva i institucije vidjeti članak 153. stavke 1. i 3. CRR-a. Za stanovništvo vidjeti članak 154. stavak 1. CRR-a. </w:t>
            </w:r>
          </w:p>
          <w:p w14:paraId="0AE89240" w14:textId="08C31358" w:rsidR="001C7AB7" w:rsidRPr="00A30C4C" w:rsidRDefault="001C7AB7" w:rsidP="00BD6DB9">
            <w:pPr>
              <w:rPr>
                <w:rFonts w:ascii="Times New Roman" w:hAnsi="Times New Roman"/>
                <w:b/>
                <w:sz w:val="24"/>
                <w:u w:val="single"/>
              </w:rPr>
            </w:pPr>
            <w:r>
              <w:rPr>
                <w:rFonts w:ascii="Times New Roman" w:hAnsi="Times New Roman"/>
                <w:sz w:val="24"/>
              </w:rPr>
              <w:t>Pomoćni faktor za MSP-ove iz članka 501. stavka 1. CRR-a ne uzima se u obzir.</w:t>
            </w:r>
          </w:p>
        </w:tc>
      </w:tr>
      <w:tr w:rsidR="001C7AB7" w:rsidRPr="00A30C4C" w14:paraId="72EE3687" w14:textId="77777777" w:rsidTr="00672D2A">
        <w:tc>
          <w:tcPr>
            <w:tcW w:w="1188" w:type="dxa"/>
            <w:shd w:val="clear" w:color="auto" w:fill="auto"/>
          </w:tcPr>
          <w:p w14:paraId="71B6C259" w14:textId="77777777" w:rsidR="001C7AB7" w:rsidRPr="00A30C4C"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14:paraId="0B4AC5EF"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IZNOS IZLOŽENOSTI PONDERIRAN RIZIKOM NAKON PRIMJENE POMOĆNOG FAKTORA ZA MSP-ove</w:t>
            </w:r>
          </w:p>
          <w:p w14:paraId="4E982BC7" w14:textId="1870E060" w:rsidR="001C7AB7" w:rsidRPr="00A30C4C" w:rsidRDefault="001C7AB7" w:rsidP="001C7AB7">
            <w:pPr>
              <w:rPr>
                <w:rFonts w:ascii="Times New Roman" w:hAnsi="Times New Roman"/>
                <w:sz w:val="24"/>
              </w:rPr>
            </w:pPr>
            <w:r>
              <w:rPr>
                <w:rFonts w:ascii="Times New Roman" w:hAnsi="Times New Roman"/>
                <w:sz w:val="24"/>
              </w:rPr>
              <w:t>Za središnje države i središnje banke, trgovačka društva i institucije vidjeti članak 153. stavke 1. i 3. CRR-a. Za stanovništvo vidjeti članak 154. stavak 1. CRR-a.</w:t>
            </w:r>
          </w:p>
          <w:p w14:paraId="3ED455D9" w14:textId="400EFC49" w:rsidR="001C7AB7" w:rsidRPr="00A30C4C" w:rsidRDefault="001C7AB7" w:rsidP="00FD6CCB">
            <w:pPr>
              <w:rPr>
                <w:rFonts w:ascii="Times New Roman" w:hAnsi="Times New Roman"/>
                <w:b/>
                <w:sz w:val="24"/>
                <w:u w:val="single"/>
              </w:rPr>
            </w:pPr>
            <w:r>
              <w:rPr>
                <w:rFonts w:ascii="Times New Roman" w:hAnsi="Times New Roman"/>
                <w:sz w:val="24"/>
              </w:rPr>
              <w:t>Pomoćni faktor za MSP-ove iz članka 501. stavka 1. CRR-a uzima se u obzir.</w:t>
            </w:r>
          </w:p>
        </w:tc>
      </w:tr>
      <w:tr w:rsidR="001C7AB7" w:rsidRPr="00A30C4C" w14:paraId="134DDB1B" w14:textId="77777777" w:rsidTr="00672D2A">
        <w:tc>
          <w:tcPr>
            <w:tcW w:w="1188" w:type="dxa"/>
            <w:shd w:val="clear" w:color="auto" w:fill="auto"/>
          </w:tcPr>
          <w:p w14:paraId="37AECAEF" w14:textId="77777777" w:rsidR="001C7AB7" w:rsidRPr="00A30C4C"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14:paraId="47AC1042"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OD ČEGA: VELIKI SUBJEKTI FINANCIJSKOG SEKTORA I NEREGULIRANI FINANCIJSKI SUBJEKTI</w:t>
            </w:r>
          </w:p>
          <w:p w14:paraId="2EF8A139" w14:textId="5F80640E" w:rsidR="001C7AB7" w:rsidRPr="00A30C4C" w:rsidDel="005A2363" w:rsidRDefault="001C7AB7" w:rsidP="00F811C6">
            <w:pPr>
              <w:rPr>
                <w:rFonts w:ascii="Times New Roman" w:hAnsi="Times New Roman"/>
                <w:sz w:val="24"/>
              </w:rPr>
            </w:pPr>
            <w:r>
              <w:rPr>
                <w:rFonts w:ascii="Times New Roman" w:hAnsi="Times New Roman"/>
                <w:sz w:val="24"/>
              </w:rPr>
              <w:t>Raščlamba iznosa izloženosti ponderiranog rizikom nakon primjene pomoćnog faktora za MSP-ove za sve izloženosti velikim subjektima financijskog sektora kako su definirani u članku 142. stavku 4. CRR-a i nereguliranim subjektima financijskog sektora kako su definirani u članku 142. stavku 5. CRR-a na koje se primjenjuje viši koeficijent korelacije utvrđen u skladu s člankom 153. stavkom 2. CRR-a.</w:t>
            </w:r>
          </w:p>
        </w:tc>
      </w:tr>
      <w:tr w:rsidR="001C7AB7" w:rsidRPr="00A30C4C" w14:paraId="16206C6A" w14:textId="77777777" w:rsidTr="00672D2A">
        <w:tc>
          <w:tcPr>
            <w:tcW w:w="1188" w:type="dxa"/>
          </w:tcPr>
          <w:p w14:paraId="2CDB54A8" w14:textId="77777777" w:rsidR="001C7AB7" w:rsidRPr="00A30C4C" w:rsidRDefault="001C7AB7" w:rsidP="001C7AB7">
            <w:pPr>
              <w:rPr>
                <w:rFonts w:ascii="Times New Roman" w:hAnsi="Times New Roman"/>
                <w:sz w:val="24"/>
              </w:rPr>
            </w:pPr>
            <w:r>
              <w:rPr>
                <w:rFonts w:ascii="Times New Roman" w:hAnsi="Times New Roman"/>
                <w:sz w:val="24"/>
              </w:rPr>
              <w:t>280</w:t>
            </w:r>
          </w:p>
        </w:tc>
        <w:tc>
          <w:tcPr>
            <w:tcW w:w="8843" w:type="dxa"/>
          </w:tcPr>
          <w:p w14:paraId="754B6D32"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IZNOS OČEKIVANOGA GUBITKA</w:t>
            </w:r>
          </w:p>
          <w:p w14:paraId="69A911E5" w14:textId="6384C986" w:rsidR="001C7AB7" w:rsidRPr="00A30C4C" w:rsidRDefault="001C7AB7" w:rsidP="00BD6DB9">
            <w:pPr>
              <w:jc w:val="left"/>
              <w:rPr>
                <w:rFonts w:ascii="Times New Roman" w:hAnsi="Times New Roman"/>
                <w:sz w:val="24"/>
              </w:rPr>
            </w:pPr>
            <w:r>
              <w:rPr>
                <w:rFonts w:ascii="Times New Roman" w:hAnsi="Times New Roman"/>
                <w:sz w:val="24"/>
              </w:rPr>
              <w:t>Za definiciju očekivanoga gubitka vidjeti članak 5. stavak 3. CRR-a, a za izračun iznosa očekivanoga gubitka vidjeti članak 158. CRR-a. Izračun očekivanoga gubitka koji se iskazuje temelji se na parametrima rizika koji su stvarno upotrijebljeni u internom rejting-sustavu koji je odobrilo odgovarajuće nadležno tijelo.</w:t>
            </w:r>
          </w:p>
        </w:tc>
      </w:tr>
      <w:tr w:rsidR="001C7AB7" w:rsidRPr="00A30C4C" w14:paraId="040F1978" w14:textId="77777777" w:rsidTr="00672D2A">
        <w:tc>
          <w:tcPr>
            <w:tcW w:w="1188" w:type="dxa"/>
          </w:tcPr>
          <w:p w14:paraId="74EBD966" w14:textId="77777777" w:rsidR="001C7AB7" w:rsidRPr="00A30C4C" w:rsidRDefault="001C7AB7" w:rsidP="001C7AB7">
            <w:pPr>
              <w:rPr>
                <w:rFonts w:ascii="Times New Roman" w:hAnsi="Times New Roman"/>
                <w:sz w:val="24"/>
              </w:rPr>
            </w:pPr>
            <w:r>
              <w:rPr>
                <w:rFonts w:ascii="Times New Roman" w:hAnsi="Times New Roman"/>
                <w:sz w:val="24"/>
              </w:rPr>
              <w:t>290</w:t>
            </w:r>
          </w:p>
        </w:tc>
        <w:tc>
          <w:tcPr>
            <w:tcW w:w="8843" w:type="dxa"/>
          </w:tcPr>
          <w:p w14:paraId="1700156B" w14:textId="77777777" w:rsidR="001C7AB7" w:rsidRPr="006B2333" w:rsidRDefault="001C7AB7" w:rsidP="001C7AB7">
            <w:pPr>
              <w:rPr>
                <w:rFonts w:ascii="Times New Roman" w:hAnsi="Times New Roman"/>
                <w:b/>
                <w:sz w:val="24"/>
                <w:u w:val="single"/>
              </w:rPr>
            </w:pPr>
            <w:r>
              <w:rPr>
                <w:rFonts w:ascii="Times New Roman" w:hAnsi="Times New Roman"/>
                <w:b/>
                <w:sz w:val="24"/>
                <w:u w:val="single"/>
              </w:rPr>
              <w:t>(–) VRIJEDNOSNA USKLAĐENJA I REZERVACIJE</w:t>
            </w:r>
          </w:p>
          <w:p w14:paraId="79426AFB" w14:textId="7E53E4BB" w:rsidR="001C7AB7" w:rsidRPr="0002267E" w:rsidRDefault="001C7AB7" w:rsidP="006B2333">
            <w:pPr>
              <w:rPr>
                <w:rFonts w:ascii="Times New Roman" w:hAnsi="Times New Roman"/>
                <w:sz w:val="24"/>
                <w:highlight w:val="yellow"/>
              </w:rPr>
            </w:pPr>
            <w:r>
              <w:rPr>
                <w:rFonts w:ascii="Times New Roman" w:hAnsi="Times New Roman"/>
                <w:sz w:val="24"/>
              </w:rPr>
              <w:t>Iskazuju se vrijednosna usklađenja te specifični i opći ispravci vrijednosti za kreditni rizik u skladu s člankom 159. CRR-a. Opći</w:t>
            </w:r>
            <w:r>
              <w:rPr>
                <w:rFonts w:ascii="Times New Roman" w:hAnsi="Times New Roman"/>
                <w:b/>
                <w:bCs/>
                <w:i/>
                <w:iCs/>
                <w:sz w:val="24"/>
              </w:rPr>
              <w:t xml:space="preserve"> </w:t>
            </w:r>
            <w:r>
              <w:rPr>
                <w:rFonts w:ascii="Times New Roman" w:hAnsi="Times New Roman"/>
                <w:sz w:val="24"/>
              </w:rPr>
              <w:t>se ispravci vrijednosti za kreditni rizik iskazuju raspoređivanjem iznosa na proporcionalnoj osnovi u skladu s očekivanim gubitkom različitih rejting-kategorija dužnika.</w:t>
            </w:r>
          </w:p>
        </w:tc>
      </w:tr>
      <w:tr w:rsidR="001C7AB7" w:rsidRPr="00A30C4C" w14:paraId="7AF7ED08" w14:textId="77777777" w:rsidTr="00672D2A">
        <w:tc>
          <w:tcPr>
            <w:tcW w:w="1188" w:type="dxa"/>
          </w:tcPr>
          <w:p w14:paraId="5250D4DA" w14:textId="77777777" w:rsidR="001C7AB7" w:rsidRPr="00A30C4C" w:rsidRDefault="001C7AB7" w:rsidP="001C7AB7">
            <w:pPr>
              <w:ind w:right="-288"/>
              <w:rPr>
                <w:rFonts w:ascii="Times New Roman" w:hAnsi="Times New Roman"/>
                <w:sz w:val="24"/>
              </w:rPr>
            </w:pPr>
            <w:r>
              <w:rPr>
                <w:rFonts w:ascii="Times New Roman" w:hAnsi="Times New Roman"/>
                <w:sz w:val="24"/>
              </w:rPr>
              <w:t>300</w:t>
            </w:r>
          </w:p>
        </w:tc>
        <w:tc>
          <w:tcPr>
            <w:tcW w:w="8843" w:type="dxa"/>
          </w:tcPr>
          <w:p w14:paraId="02029B3F" w14:textId="77777777" w:rsidR="001C7AB7" w:rsidRPr="00A30C4C" w:rsidRDefault="001C7AB7" w:rsidP="001C7AB7">
            <w:pPr>
              <w:ind w:right="-288"/>
              <w:rPr>
                <w:rFonts w:ascii="Times New Roman" w:hAnsi="Times New Roman"/>
                <w:b/>
                <w:sz w:val="24"/>
                <w:u w:val="single"/>
              </w:rPr>
            </w:pPr>
            <w:r>
              <w:rPr>
                <w:rFonts w:ascii="Times New Roman" w:hAnsi="Times New Roman"/>
                <w:b/>
                <w:sz w:val="24"/>
                <w:u w:val="single"/>
              </w:rPr>
              <w:t>BROJ DUŽNIKA</w:t>
            </w:r>
          </w:p>
          <w:p w14:paraId="390A7084" w14:textId="0BA9EFAF" w:rsidR="001C7AB7" w:rsidRPr="00A30C4C" w:rsidRDefault="00BD6DB9" w:rsidP="001C7AB7">
            <w:pPr>
              <w:rPr>
                <w:rFonts w:ascii="Times New Roman" w:hAnsi="Times New Roman"/>
                <w:sz w:val="24"/>
              </w:rPr>
            </w:pPr>
            <w:r>
              <w:rPr>
                <w:rFonts w:ascii="Times New Roman" w:hAnsi="Times New Roman"/>
                <w:sz w:val="24"/>
              </w:rPr>
              <w:t>Članak 172. stavci 1. i 2. CRR-a</w:t>
            </w:r>
          </w:p>
          <w:p w14:paraId="608B4D5F" w14:textId="1227C2C0" w:rsidR="001C7AB7" w:rsidRPr="00A30C4C" w:rsidRDefault="001C7AB7" w:rsidP="001C7AB7">
            <w:pPr>
              <w:rPr>
                <w:rFonts w:ascii="Times New Roman" w:hAnsi="Times New Roman"/>
                <w:sz w:val="24"/>
              </w:rPr>
            </w:pPr>
            <w:r>
              <w:rPr>
                <w:rFonts w:ascii="Times New Roman" w:hAnsi="Times New Roman"/>
                <w:sz w:val="24"/>
              </w:rPr>
              <w:t xml:space="preserve">Za sve kategorije izloženosti, izuzev kategorije izloženosti prema stanovništvu i slučajeva navedenih u članku 172. stavku 1. točki (e) drugoj rečenici CRR-a, institucija iskazuje broj pravnih subjekata/dužnika kojima se dodjeljuje zasebni rejting, bez obzira na broj različitih odobrenih kredita ili izloženosti. </w:t>
            </w:r>
          </w:p>
          <w:p w14:paraId="5B24290D" w14:textId="7E5B7C65" w:rsidR="001C7AB7" w:rsidRPr="00A30C4C" w:rsidRDefault="001C7AB7" w:rsidP="001C7AB7">
            <w:pPr>
              <w:rPr>
                <w:rFonts w:ascii="Times New Roman" w:hAnsi="Times New Roman"/>
                <w:sz w:val="24"/>
              </w:rPr>
            </w:pPr>
            <w:r>
              <w:rPr>
                <w:rFonts w:ascii="Times New Roman" w:hAnsi="Times New Roman"/>
                <w:sz w:val="24"/>
              </w:rPr>
              <w:lastRenderedPageBreak/>
              <w:t>U kategoriji izloženosti prema stanovništvu ili ako su različite izloženosti prema istom dužniku raspoređene u različite rejting-kategorije dužnika u skladu s člankom 172. stavkom 1. točkom (e) drugom rečenicom CRR-a u ostalim kategorijama izloženosti, institucije iskazuju broj izloženosti koje su odvojeno raspoređene u određenu rejting-kategoriju ili skup. Ako se primjenjuje članak 172. stavak 2. CRR-a, dužnik se može uzeti u obzir u više od jedne rejting-kategorije.</w:t>
            </w:r>
          </w:p>
          <w:p w14:paraId="1547B503" w14:textId="16C026F4" w:rsidR="001C7AB7" w:rsidRPr="00A30C4C" w:rsidRDefault="001C7AB7" w:rsidP="007574C3">
            <w:pPr>
              <w:rPr>
                <w:rFonts w:ascii="Times New Roman" w:hAnsi="Times New Roman"/>
                <w:sz w:val="24"/>
              </w:rPr>
            </w:pPr>
            <w:r>
              <w:rPr>
                <w:rStyle w:val="InstructionsTabelleText"/>
                <w:rFonts w:ascii="Times New Roman" w:hAnsi="Times New Roman"/>
                <w:sz w:val="24"/>
              </w:rPr>
              <w:t>Budući da je predmet ovog stupca element strukture rejting-sustava, on se odnosi na originalnu izloženost prije konverzijskih faktora koja je raspoređena u svaku rejting-kategoriju dužnika ili skup izloženosti, ne uzimajući u obzir učinak tehnika smanjenja kreditnog rizika (posebno učinak ponovne raspodjele).</w:t>
            </w:r>
          </w:p>
        </w:tc>
      </w:tr>
    </w:tbl>
    <w:p w14:paraId="144D4DE9" w14:textId="77777777" w:rsidR="001C7AB7" w:rsidRPr="00A30C4C"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A30C4C" w14:paraId="67A7870D" w14:textId="77777777" w:rsidTr="00672D2A">
        <w:tc>
          <w:tcPr>
            <w:tcW w:w="1242" w:type="dxa"/>
            <w:shd w:val="clear" w:color="auto" w:fill="CCCCCC"/>
          </w:tcPr>
          <w:p w14:paraId="74B29CD0" w14:textId="77777777" w:rsidR="001C7AB7" w:rsidRPr="00A30C4C" w:rsidRDefault="001C7AB7" w:rsidP="001C7AB7">
            <w:pPr>
              <w:rPr>
                <w:rFonts w:ascii="Times New Roman" w:hAnsi="Times New Roman"/>
                <w:sz w:val="24"/>
              </w:rPr>
            </w:pPr>
            <w:r>
              <w:rPr>
                <w:rFonts w:ascii="Times New Roman" w:hAnsi="Times New Roman"/>
                <w:sz w:val="24"/>
              </w:rPr>
              <w:t>Redci</w:t>
            </w:r>
          </w:p>
        </w:tc>
        <w:tc>
          <w:tcPr>
            <w:tcW w:w="8789" w:type="dxa"/>
            <w:shd w:val="clear" w:color="auto" w:fill="CCCCCC"/>
          </w:tcPr>
          <w:p w14:paraId="0336C81C" w14:textId="77777777" w:rsidR="001C7AB7" w:rsidRPr="00A30C4C" w:rsidRDefault="001C7AB7" w:rsidP="001C7AB7">
            <w:pPr>
              <w:ind w:left="72"/>
              <w:rPr>
                <w:rFonts w:ascii="Times New Roman" w:hAnsi="Times New Roman"/>
                <w:sz w:val="24"/>
              </w:rPr>
            </w:pPr>
            <w:r>
              <w:rPr>
                <w:rFonts w:ascii="Times New Roman" w:hAnsi="Times New Roman"/>
                <w:sz w:val="24"/>
              </w:rPr>
              <w:t>Upute</w:t>
            </w:r>
          </w:p>
        </w:tc>
      </w:tr>
      <w:tr w:rsidR="001C7AB7" w:rsidRPr="00A30C4C" w14:paraId="2C25964C" w14:textId="77777777" w:rsidTr="00672D2A">
        <w:tc>
          <w:tcPr>
            <w:tcW w:w="1242" w:type="dxa"/>
          </w:tcPr>
          <w:p w14:paraId="20F4F65D" w14:textId="77777777" w:rsidR="001C7AB7" w:rsidRPr="00A30C4C" w:rsidRDefault="001C7AB7" w:rsidP="001C7AB7">
            <w:pPr>
              <w:rPr>
                <w:rFonts w:ascii="Times New Roman" w:hAnsi="Times New Roman"/>
                <w:sz w:val="24"/>
              </w:rPr>
            </w:pPr>
            <w:r>
              <w:rPr>
                <w:rFonts w:ascii="Times New Roman" w:hAnsi="Times New Roman"/>
                <w:sz w:val="24"/>
              </w:rPr>
              <w:t>010</w:t>
            </w:r>
          </w:p>
        </w:tc>
        <w:tc>
          <w:tcPr>
            <w:tcW w:w="8789" w:type="dxa"/>
          </w:tcPr>
          <w:p w14:paraId="709C02D5" w14:textId="77777777" w:rsidR="001C7AB7" w:rsidRPr="00A30C4C" w:rsidRDefault="001C7AB7" w:rsidP="00FD6CCB">
            <w:pPr>
              <w:rPr>
                <w:rFonts w:ascii="Times New Roman" w:hAnsi="Times New Roman"/>
                <w:sz w:val="24"/>
              </w:rPr>
            </w:pPr>
            <w:r>
              <w:rPr>
                <w:rFonts w:ascii="Times New Roman" w:hAnsi="Times New Roman"/>
                <w:b/>
                <w:sz w:val="24"/>
                <w:u w:val="single"/>
              </w:rPr>
              <w:t>UKUPNE IZLOŽENOSTI</w:t>
            </w:r>
          </w:p>
        </w:tc>
      </w:tr>
      <w:tr w:rsidR="00785F3E" w:rsidRPr="00A30C4C" w14:paraId="00F02146" w14:textId="77777777" w:rsidTr="00672D2A">
        <w:tc>
          <w:tcPr>
            <w:tcW w:w="1242" w:type="dxa"/>
          </w:tcPr>
          <w:p w14:paraId="3903B142" w14:textId="77777777" w:rsidR="00785F3E" w:rsidRPr="00A30C4C" w:rsidRDefault="003C3168" w:rsidP="001C7AB7">
            <w:pPr>
              <w:rPr>
                <w:rFonts w:ascii="Times New Roman" w:hAnsi="Times New Roman"/>
                <w:sz w:val="24"/>
              </w:rPr>
            </w:pPr>
            <w:r>
              <w:rPr>
                <w:rFonts w:ascii="Times New Roman" w:hAnsi="Times New Roman"/>
                <w:sz w:val="24"/>
              </w:rPr>
              <w:t>015</w:t>
            </w:r>
          </w:p>
        </w:tc>
        <w:tc>
          <w:tcPr>
            <w:tcW w:w="8789" w:type="dxa"/>
          </w:tcPr>
          <w:p w14:paraId="5DB40E09" w14:textId="77777777" w:rsidR="00785F3E" w:rsidRPr="00A30C4C" w:rsidRDefault="00785F3E" w:rsidP="00785F3E">
            <w:pPr>
              <w:rPr>
                <w:rFonts w:ascii="Times New Roman" w:hAnsi="Times New Roman"/>
                <w:b/>
                <w:sz w:val="24"/>
                <w:u w:val="single"/>
              </w:rPr>
            </w:pPr>
            <w:r>
              <w:rPr>
                <w:rFonts w:ascii="Times New Roman" w:hAnsi="Times New Roman"/>
                <w:b/>
                <w:sz w:val="24"/>
                <w:u w:val="single"/>
              </w:rPr>
              <w:t>od čega: izloženosti koje podliježu pomoćnom faktoru za MSP-ove</w:t>
            </w:r>
          </w:p>
          <w:p w14:paraId="5F8B6009" w14:textId="77777777" w:rsidR="00785F3E" w:rsidRPr="00A30C4C" w:rsidRDefault="00785F3E" w:rsidP="00785F3E">
            <w:pPr>
              <w:rPr>
                <w:rFonts w:ascii="Times New Roman" w:hAnsi="Times New Roman"/>
                <w:sz w:val="24"/>
              </w:rPr>
            </w:pPr>
            <w:r>
              <w:rPr>
                <w:rFonts w:ascii="Times New Roman" w:hAnsi="Times New Roman"/>
                <w:sz w:val="24"/>
              </w:rPr>
              <w:t>Ovdje se iskazuju samo izloženosti koje ispunjavaju zahtjeve iz članka 501. stavka 2. CRR-a.</w:t>
            </w:r>
          </w:p>
        </w:tc>
      </w:tr>
      <w:tr w:rsidR="001C7AB7" w:rsidRPr="00A30C4C" w14:paraId="6936BCF8" w14:textId="77777777" w:rsidTr="00672D2A">
        <w:tc>
          <w:tcPr>
            <w:tcW w:w="1242" w:type="dxa"/>
          </w:tcPr>
          <w:p w14:paraId="17393267" w14:textId="77777777" w:rsidR="001C7AB7" w:rsidRPr="00A30C4C" w:rsidRDefault="001C7AB7" w:rsidP="001C7AB7">
            <w:pPr>
              <w:rPr>
                <w:rFonts w:ascii="Times New Roman" w:hAnsi="Times New Roman"/>
                <w:sz w:val="24"/>
              </w:rPr>
            </w:pPr>
            <w:r>
              <w:rPr>
                <w:rFonts w:ascii="Times New Roman" w:hAnsi="Times New Roman"/>
                <w:sz w:val="24"/>
              </w:rPr>
              <w:t>020-060</w:t>
            </w:r>
          </w:p>
        </w:tc>
        <w:tc>
          <w:tcPr>
            <w:tcW w:w="8789" w:type="dxa"/>
          </w:tcPr>
          <w:p w14:paraId="084F6733" w14:textId="77777777" w:rsidR="001C7AB7" w:rsidRPr="00A30C4C" w:rsidRDefault="001C7AB7" w:rsidP="001C7AB7">
            <w:pPr>
              <w:rPr>
                <w:rFonts w:ascii="Times New Roman" w:hAnsi="Times New Roman"/>
                <w:sz w:val="24"/>
              </w:rPr>
            </w:pPr>
            <w:r>
              <w:rPr>
                <w:rFonts w:ascii="Times New Roman" w:hAnsi="Times New Roman"/>
                <w:sz w:val="24"/>
              </w:rPr>
              <w:t>RAŠČLAMBA UKUPNIH IZLOŽENOSTI PREMA VRSTAMA IZLOŽENOSTI:</w:t>
            </w:r>
          </w:p>
        </w:tc>
      </w:tr>
      <w:tr w:rsidR="001C7AB7" w:rsidRPr="00A30C4C" w14:paraId="0C7A79BA" w14:textId="77777777" w:rsidTr="00672D2A">
        <w:tc>
          <w:tcPr>
            <w:tcW w:w="1242" w:type="dxa"/>
          </w:tcPr>
          <w:p w14:paraId="73FC6971" w14:textId="77777777" w:rsidR="001C7AB7" w:rsidRPr="00A30C4C" w:rsidRDefault="001C7AB7" w:rsidP="001C7AB7">
            <w:pPr>
              <w:rPr>
                <w:rFonts w:ascii="Times New Roman" w:hAnsi="Times New Roman"/>
                <w:sz w:val="24"/>
              </w:rPr>
            </w:pPr>
            <w:r>
              <w:rPr>
                <w:rFonts w:ascii="Times New Roman" w:hAnsi="Times New Roman"/>
                <w:sz w:val="24"/>
              </w:rPr>
              <w:t>020</w:t>
            </w:r>
          </w:p>
        </w:tc>
        <w:tc>
          <w:tcPr>
            <w:tcW w:w="8789" w:type="dxa"/>
          </w:tcPr>
          <w:p w14:paraId="3566196D"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Bilančne stavke koje podliježu kreditnom riziku </w:t>
            </w:r>
          </w:p>
          <w:p w14:paraId="28EA2A5D" w14:textId="620E7722" w:rsidR="001C7AB7" w:rsidRPr="00A30C4C" w:rsidRDefault="001C7AB7" w:rsidP="00FC20DD">
            <w:pPr>
              <w:rPr>
                <w:rStyle w:val="InstructionsTabelleText"/>
                <w:rFonts w:ascii="Times New Roman" w:hAnsi="Times New Roman"/>
                <w:sz w:val="24"/>
              </w:rPr>
            </w:pPr>
            <w:r>
              <w:rPr>
                <w:rStyle w:val="InstructionsTabelleText"/>
                <w:rFonts w:ascii="Times New Roman" w:hAnsi="Times New Roman"/>
                <w:sz w:val="24"/>
              </w:rPr>
              <w:t>Imovina iz članka 24. CRR-a nije uključena u neku drugu kategoriju.</w:t>
            </w:r>
          </w:p>
          <w:p w14:paraId="3A67FB5E" w14:textId="77777777" w:rsidR="001C7AB7" w:rsidRPr="00A30C4C" w:rsidRDefault="001C7AB7" w:rsidP="00FC20DD">
            <w:pPr>
              <w:rPr>
                <w:rStyle w:val="InstructionsTabelleText"/>
                <w:rFonts w:ascii="Times New Roman" w:hAnsi="Times New Roman"/>
                <w:sz w:val="24"/>
              </w:rPr>
            </w:pPr>
            <w:r>
              <w:rPr>
                <w:rStyle w:val="InstructionsTabelleText"/>
                <w:rFonts w:ascii="Times New Roman" w:hAnsi="Times New Roman"/>
                <w:sz w:val="24"/>
              </w:rPr>
              <w:t xml:space="preserve">Izloženosti, koje su bilančne stavke i koje su uključene kao transakcije financiranja vrijednosnim papirima, izvedenice i transakcije s dugim rokom namire ili iz </w:t>
            </w:r>
            <w:proofErr w:type="spellStart"/>
            <w:r>
              <w:rPr>
                <w:rStyle w:val="InstructionsTabelleText"/>
                <w:rFonts w:ascii="Times New Roman" w:hAnsi="Times New Roman"/>
                <w:sz w:val="24"/>
              </w:rPr>
              <w:t>netiranja</w:t>
            </w:r>
            <w:proofErr w:type="spellEnd"/>
            <w:r>
              <w:rPr>
                <w:rStyle w:val="InstructionsTabelleText"/>
                <w:rFonts w:ascii="Times New Roman" w:hAnsi="Times New Roman"/>
                <w:sz w:val="24"/>
              </w:rPr>
              <w:t xml:space="preserve"> između različitih kategorija proizvoda, iskazuju se u redcima 040 – 060 te se, stoga, ne iskazuju u ovom retku.</w:t>
            </w:r>
          </w:p>
          <w:p w14:paraId="422306DC" w14:textId="35795F25" w:rsidR="001C7AB7" w:rsidRPr="00A30C4C" w:rsidRDefault="001C7AB7" w:rsidP="00FC20DD">
            <w:pPr>
              <w:rPr>
                <w:rStyle w:val="InstructionsTabelleText"/>
                <w:rFonts w:ascii="Times New Roman" w:hAnsi="Times New Roman"/>
                <w:sz w:val="24"/>
              </w:rPr>
            </w:pPr>
            <w:r>
              <w:rPr>
                <w:rStyle w:val="InstructionsTabelleText"/>
                <w:rFonts w:ascii="Times New Roman" w:hAnsi="Times New Roman"/>
                <w:sz w:val="24"/>
              </w:rPr>
              <w:t>Slobodne isporuke iz članka 379. stavka 1. CRR-a (ako nisu odbijene) nisu bilančne stavke, ali se ipak iskazuju u ovom retku.</w:t>
            </w:r>
          </w:p>
          <w:p w14:paraId="54CB0B39" w14:textId="4086BDBD" w:rsidR="001C7AB7" w:rsidRPr="00A30C4C" w:rsidRDefault="001C7AB7" w:rsidP="00FC04E6">
            <w:pPr>
              <w:rPr>
                <w:rFonts w:ascii="Times New Roman" w:hAnsi="Times New Roman"/>
                <w:sz w:val="24"/>
              </w:rPr>
            </w:pPr>
            <w:r>
              <w:rPr>
                <w:rStyle w:val="InstructionsTabelleText"/>
                <w:rFonts w:ascii="Times New Roman" w:hAnsi="Times New Roman"/>
                <w:sz w:val="24"/>
              </w:rPr>
              <w:t xml:space="preserve">Izloženosti koje proizlaze iz imovine uplaćene središnjoj drugoj ugovornoj strani kako je definirana u članku 4. stavku 1. točki 91. CRR-a uključuju se ako nisu iskazane u retku 030. </w:t>
            </w:r>
          </w:p>
        </w:tc>
      </w:tr>
      <w:tr w:rsidR="001C7AB7" w:rsidRPr="00A30C4C" w14:paraId="6E8A95CE" w14:textId="77777777" w:rsidTr="00672D2A">
        <w:tc>
          <w:tcPr>
            <w:tcW w:w="1242" w:type="dxa"/>
          </w:tcPr>
          <w:p w14:paraId="519C9D40" w14:textId="77777777" w:rsidR="001C7AB7" w:rsidRPr="00A30C4C" w:rsidRDefault="001C7AB7" w:rsidP="001C7AB7">
            <w:pPr>
              <w:rPr>
                <w:rFonts w:ascii="Times New Roman" w:hAnsi="Times New Roman"/>
                <w:sz w:val="24"/>
              </w:rPr>
            </w:pPr>
            <w:r>
              <w:rPr>
                <w:rFonts w:ascii="Times New Roman" w:hAnsi="Times New Roman"/>
                <w:sz w:val="24"/>
              </w:rPr>
              <w:t>030</w:t>
            </w:r>
          </w:p>
        </w:tc>
        <w:tc>
          <w:tcPr>
            <w:tcW w:w="8789" w:type="dxa"/>
          </w:tcPr>
          <w:p w14:paraId="00498170" w14:textId="77777777" w:rsidR="001C7AB7" w:rsidRPr="00A30C4C" w:rsidRDefault="001C7AB7" w:rsidP="001C7AB7">
            <w:pPr>
              <w:rPr>
                <w:rFonts w:ascii="Times New Roman" w:hAnsi="Times New Roman"/>
                <w:b/>
                <w:sz w:val="24"/>
                <w:u w:val="single"/>
              </w:rPr>
            </w:pPr>
            <w:proofErr w:type="spellStart"/>
            <w:r>
              <w:rPr>
                <w:rFonts w:ascii="Times New Roman" w:hAnsi="Times New Roman"/>
                <w:b/>
                <w:sz w:val="24"/>
                <w:u w:val="single"/>
              </w:rPr>
              <w:t>Izvanbilančne</w:t>
            </w:r>
            <w:proofErr w:type="spellEnd"/>
            <w:r>
              <w:rPr>
                <w:rFonts w:ascii="Times New Roman" w:hAnsi="Times New Roman"/>
                <w:b/>
                <w:sz w:val="24"/>
                <w:u w:val="single"/>
              </w:rPr>
              <w:t xml:space="preserve"> stavke koje podliježu kreditnom riziku</w:t>
            </w:r>
          </w:p>
          <w:p w14:paraId="1EF7495B" w14:textId="3D96EE29" w:rsidR="001C7AB7" w:rsidRPr="00A30C4C" w:rsidRDefault="001C7AB7" w:rsidP="001C7AB7">
            <w:pPr>
              <w:rPr>
                <w:rStyle w:val="InstructionsTabelleText"/>
                <w:rFonts w:ascii="Times New Roman" w:hAnsi="Times New Roman"/>
                <w:sz w:val="24"/>
              </w:rPr>
            </w:pPr>
            <w:proofErr w:type="spellStart"/>
            <w:r>
              <w:rPr>
                <w:rStyle w:val="InstructionsTabelleText"/>
                <w:rFonts w:ascii="Times New Roman" w:hAnsi="Times New Roman"/>
                <w:sz w:val="24"/>
              </w:rPr>
              <w:t>Izvanbilančne</w:t>
            </w:r>
            <w:proofErr w:type="spellEnd"/>
            <w:r>
              <w:rPr>
                <w:rStyle w:val="InstructionsTabelleText"/>
                <w:rFonts w:ascii="Times New Roman" w:hAnsi="Times New Roman"/>
                <w:sz w:val="24"/>
              </w:rPr>
              <w:t xml:space="preserve"> stavke obuhvaćaju stavke navedene u Prilogu I. CRR-a.</w:t>
            </w:r>
          </w:p>
          <w:p w14:paraId="0FC5ED39" w14:textId="623B7C4D"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Izloženosti, koje su </w:t>
            </w:r>
            <w:proofErr w:type="spellStart"/>
            <w:r>
              <w:rPr>
                <w:rStyle w:val="InstructionsTabelleText"/>
                <w:rFonts w:ascii="Times New Roman" w:hAnsi="Times New Roman"/>
                <w:sz w:val="24"/>
              </w:rPr>
              <w:t>izvanbilančne</w:t>
            </w:r>
            <w:proofErr w:type="spellEnd"/>
            <w:r>
              <w:rPr>
                <w:rStyle w:val="InstructionsTabelleText"/>
                <w:rFonts w:ascii="Times New Roman" w:hAnsi="Times New Roman"/>
                <w:sz w:val="24"/>
              </w:rPr>
              <w:t xml:space="preserve"> stavke i koje su uključene kao transakcije financiranja vrijednosnim papirima, izvedenice i transakcije s dugim rokom namire ili iz </w:t>
            </w:r>
            <w:proofErr w:type="spellStart"/>
            <w:r>
              <w:rPr>
                <w:rStyle w:val="InstructionsTabelleText"/>
                <w:rFonts w:ascii="Times New Roman" w:hAnsi="Times New Roman"/>
                <w:sz w:val="24"/>
              </w:rPr>
              <w:t>netiranja</w:t>
            </w:r>
            <w:proofErr w:type="spellEnd"/>
            <w:r>
              <w:rPr>
                <w:rStyle w:val="InstructionsTabelleText"/>
                <w:rFonts w:ascii="Times New Roman" w:hAnsi="Times New Roman"/>
                <w:sz w:val="24"/>
              </w:rPr>
              <w:t xml:space="preserve"> između različitih kategorija proizvoda, iskazuju se u redcima 040 – 060 te se, stoga, ne iskazuju u ovom retku.</w:t>
            </w:r>
          </w:p>
          <w:p w14:paraId="372A584F" w14:textId="3E542904" w:rsidR="001C7AB7" w:rsidRPr="00A30C4C" w:rsidRDefault="001C7AB7" w:rsidP="00FC04E6">
            <w:pPr>
              <w:rPr>
                <w:rFonts w:ascii="Times New Roman" w:hAnsi="Times New Roman"/>
                <w:sz w:val="24"/>
              </w:rPr>
            </w:pPr>
            <w:r>
              <w:rPr>
                <w:rStyle w:val="InstructionsTabelleText"/>
                <w:rFonts w:ascii="Times New Roman" w:hAnsi="Times New Roman"/>
                <w:sz w:val="24"/>
              </w:rPr>
              <w:t xml:space="preserve">Izloženosti koje proizlaze iz imovine uplaćene središnjoj drugoj ugovornoj strani kako je definirano u članku 4. stavku 1. točki 91. CRR-a uključuju se ako se smatraju </w:t>
            </w:r>
            <w:proofErr w:type="spellStart"/>
            <w:r>
              <w:rPr>
                <w:rStyle w:val="InstructionsTabelleText"/>
                <w:rFonts w:ascii="Times New Roman" w:hAnsi="Times New Roman"/>
                <w:sz w:val="24"/>
              </w:rPr>
              <w:t>izvanbilančnim</w:t>
            </w:r>
            <w:proofErr w:type="spellEnd"/>
            <w:r>
              <w:rPr>
                <w:rStyle w:val="InstructionsTabelleText"/>
                <w:rFonts w:ascii="Times New Roman" w:hAnsi="Times New Roman"/>
                <w:sz w:val="24"/>
              </w:rPr>
              <w:t xml:space="preserve"> stavkama.</w:t>
            </w:r>
          </w:p>
        </w:tc>
      </w:tr>
      <w:tr w:rsidR="001C7AB7" w:rsidRPr="00A30C4C" w14:paraId="7BC6039A" w14:textId="77777777" w:rsidTr="00672D2A">
        <w:tc>
          <w:tcPr>
            <w:tcW w:w="1242" w:type="dxa"/>
          </w:tcPr>
          <w:p w14:paraId="55A1E823" w14:textId="77777777" w:rsidR="001C7AB7" w:rsidRPr="00A30C4C"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14:paraId="3F535A8F" w14:textId="77777777" w:rsidR="001C7AB7" w:rsidRPr="00A30C4C" w:rsidRDefault="001C7AB7" w:rsidP="001C7AB7">
            <w:pPr>
              <w:rPr>
                <w:rFonts w:ascii="Times New Roman" w:hAnsi="Times New Roman"/>
                <w:b/>
                <w:sz w:val="24"/>
                <w:u w:val="single"/>
              </w:rPr>
            </w:pPr>
            <w:r>
              <w:rPr>
                <w:rStyle w:val="InstructionsTabelleberschrift"/>
                <w:rFonts w:ascii="Times New Roman" w:hAnsi="Times New Roman"/>
                <w:sz w:val="24"/>
              </w:rPr>
              <w:t>Izloženosti/transakcije koje podliježu kreditnom riziku druge ugovorne strane</w:t>
            </w:r>
          </w:p>
        </w:tc>
      </w:tr>
      <w:tr w:rsidR="001C7AB7" w:rsidRPr="00A30C4C" w14:paraId="664A63CB" w14:textId="77777777" w:rsidTr="00672D2A">
        <w:tc>
          <w:tcPr>
            <w:tcW w:w="1242" w:type="dxa"/>
          </w:tcPr>
          <w:p w14:paraId="76851B1C" w14:textId="77777777" w:rsidR="001C7AB7" w:rsidRPr="00A30C4C" w:rsidRDefault="001C7AB7" w:rsidP="001C7AB7">
            <w:pPr>
              <w:rPr>
                <w:rFonts w:ascii="Times New Roman" w:hAnsi="Times New Roman"/>
                <w:sz w:val="24"/>
              </w:rPr>
            </w:pPr>
            <w:r>
              <w:rPr>
                <w:rFonts w:ascii="Times New Roman" w:hAnsi="Times New Roman"/>
                <w:sz w:val="24"/>
              </w:rPr>
              <w:lastRenderedPageBreak/>
              <w:t>040</w:t>
            </w:r>
          </w:p>
        </w:tc>
        <w:tc>
          <w:tcPr>
            <w:tcW w:w="8789" w:type="dxa"/>
          </w:tcPr>
          <w:p w14:paraId="6B6DFE3A" w14:textId="77777777" w:rsidR="001C7AB7" w:rsidRPr="00A30C4C"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Transakcije financiranja vrijednosnim papirima </w:t>
            </w:r>
          </w:p>
          <w:p w14:paraId="75BED70D" w14:textId="4B57C44A" w:rsidR="001C7AB7" w:rsidRPr="00A30C4C"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Transakcije financiranja vrijednosnim papirima, kako su definirane u stavku 17. dokumenta Bazelskog odbora „</w:t>
            </w:r>
            <w:proofErr w:type="spellStart"/>
            <w:r>
              <w:rPr>
                <w:rStyle w:val="InstructionsTabelleText"/>
                <w:rFonts w:ascii="Times New Roman" w:hAnsi="Times New Roman"/>
                <w:sz w:val="24"/>
              </w:rPr>
              <w:t>The</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Application</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of</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Basel</w:t>
            </w:r>
            <w:proofErr w:type="spellEnd"/>
            <w:r>
              <w:rPr>
                <w:rStyle w:val="InstructionsTabelleText"/>
                <w:rFonts w:ascii="Times New Roman" w:hAnsi="Times New Roman"/>
                <w:sz w:val="24"/>
              </w:rPr>
              <w:t xml:space="preserve"> II to </w:t>
            </w:r>
            <w:proofErr w:type="spellStart"/>
            <w:r>
              <w:rPr>
                <w:rStyle w:val="InstructionsTabelleText"/>
                <w:rFonts w:ascii="Times New Roman" w:hAnsi="Times New Roman"/>
                <w:sz w:val="24"/>
              </w:rPr>
              <w:t>Trading</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Activities</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and</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the</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Treatment</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of</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Double</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Default</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Effects</w:t>
            </w:r>
            <w:proofErr w:type="spellEnd"/>
            <w:r>
              <w:rPr>
                <w:rStyle w:val="InstructionsTabelleText"/>
                <w:rFonts w:ascii="Times New Roman" w:hAnsi="Times New Roman"/>
                <w:sz w:val="24"/>
              </w:rPr>
              <w:t xml:space="preserve">” uključuju: i. repo ugovore i obratne repo ugovore kako su definirani u članku 4. stavku 1. točki 82. CRR-a te transakcije pozajmljivanja vrijednosnih papira ili robe drugoj ugovornoj strani ili od druge ugovorne strane i ii. </w:t>
            </w:r>
            <w:proofErr w:type="spellStart"/>
            <w:r>
              <w:rPr>
                <w:rStyle w:val="InstructionsTabelleText"/>
                <w:rFonts w:ascii="Times New Roman" w:hAnsi="Times New Roman"/>
                <w:sz w:val="24"/>
              </w:rPr>
              <w:t>maržne</w:t>
            </w:r>
            <w:proofErr w:type="spellEnd"/>
            <w:r>
              <w:rPr>
                <w:rStyle w:val="InstructionsTabelleText"/>
                <w:rFonts w:ascii="Times New Roman" w:hAnsi="Times New Roman"/>
                <w:sz w:val="24"/>
              </w:rPr>
              <w:t xml:space="preserve"> kredite kako su definirani u članku 272. točki 3. CRR-a.</w:t>
            </w:r>
          </w:p>
          <w:p w14:paraId="354D01CA" w14:textId="77777777" w:rsidR="001C7AB7" w:rsidRPr="00A30C4C" w:rsidRDefault="001C7AB7" w:rsidP="00FD6CCB">
            <w:pPr>
              <w:rPr>
                <w:rFonts w:ascii="Times New Roman" w:hAnsi="Times New Roman"/>
                <w:sz w:val="24"/>
              </w:rPr>
            </w:pPr>
            <w:r>
              <w:rPr>
                <w:rStyle w:val="InstructionsTabelleText"/>
                <w:rFonts w:ascii="Times New Roman" w:hAnsi="Times New Roman"/>
                <w:sz w:val="24"/>
              </w:rPr>
              <w:t xml:space="preserve">Transakcije financiranja vrijednosnim papirima, koje su uključene u </w:t>
            </w:r>
            <w:proofErr w:type="spellStart"/>
            <w:r>
              <w:rPr>
                <w:rStyle w:val="InstructionsTabelleText"/>
                <w:rFonts w:ascii="Times New Roman" w:hAnsi="Times New Roman"/>
                <w:sz w:val="24"/>
              </w:rPr>
              <w:t>netiranje</w:t>
            </w:r>
            <w:proofErr w:type="spellEnd"/>
            <w:r>
              <w:rPr>
                <w:rStyle w:val="InstructionsTabelleText"/>
                <w:rFonts w:ascii="Times New Roman" w:hAnsi="Times New Roman"/>
                <w:sz w:val="24"/>
              </w:rPr>
              <w:t xml:space="preserve"> između različitih kategorija proizvoda i stoga iskazane u retku 060 ne iskazuju se u ovom retku.</w:t>
            </w:r>
          </w:p>
        </w:tc>
      </w:tr>
      <w:tr w:rsidR="001C7AB7" w:rsidRPr="00A30C4C" w14:paraId="25EC65F2" w14:textId="77777777" w:rsidTr="00672D2A">
        <w:tc>
          <w:tcPr>
            <w:tcW w:w="1242" w:type="dxa"/>
          </w:tcPr>
          <w:p w14:paraId="4EE3528A" w14:textId="77777777" w:rsidR="001C7AB7" w:rsidRPr="00A30C4C" w:rsidRDefault="001C7AB7" w:rsidP="001C7AB7">
            <w:pPr>
              <w:rPr>
                <w:rFonts w:ascii="Times New Roman" w:hAnsi="Times New Roman"/>
                <w:sz w:val="24"/>
              </w:rPr>
            </w:pPr>
            <w:r>
              <w:rPr>
                <w:rFonts w:ascii="Times New Roman" w:hAnsi="Times New Roman"/>
                <w:sz w:val="24"/>
              </w:rPr>
              <w:t>050</w:t>
            </w:r>
          </w:p>
        </w:tc>
        <w:tc>
          <w:tcPr>
            <w:tcW w:w="8789" w:type="dxa"/>
          </w:tcPr>
          <w:p w14:paraId="01E25247"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Izvedenice </w:t>
            </w:r>
            <w:r>
              <w:rPr>
                <w:rStyle w:val="InstructionsTabelleberschrift"/>
                <w:rFonts w:ascii="Times New Roman" w:hAnsi="Times New Roman"/>
                <w:sz w:val="24"/>
              </w:rPr>
              <w:t xml:space="preserve"> i transakcije s dugim rokom namire</w:t>
            </w:r>
          </w:p>
          <w:p w14:paraId="627B0E9C" w14:textId="01122B3F" w:rsidR="001C7AB7" w:rsidRPr="00A30C4C" w:rsidRDefault="001C7AB7" w:rsidP="00FD6CCB">
            <w:pPr>
              <w:ind w:left="72"/>
              <w:rPr>
                <w:rFonts w:ascii="Times New Roman" w:hAnsi="Times New Roman"/>
                <w:sz w:val="24"/>
              </w:rPr>
            </w:pPr>
            <w:r>
              <w:rPr>
                <w:rStyle w:val="InstructionsTabelleText"/>
                <w:rFonts w:ascii="Times New Roman" w:hAnsi="Times New Roman"/>
                <w:sz w:val="24"/>
              </w:rPr>
              <w:t xml:space="preserve">Izvedenicama su obuhvaćeni ugovori navedeni u Prilogu II. CRR-u. Izvedenice i transakcije s dugim rokom namire koje su uključene u </w:t>
            </w:r>
            <w:proofErr w:type="spellStart"/>
            <w:r>
              <w:rPr>
                <w:rStyle w:val="InstructionsTabelleText"/>
                <w:rFonts w:ascii="Times New Roman" w:hAnsi="Times New Roman"/>
                <w:sz w:val="24"/>
              </w:rPr>
              <w:t>netiranje</w:t>
            </w:r>
            <w:proofErr w:type="spellEnd"/>
            <w:r>
              <w:rPr>
                <w:rStyle w:val="InstructionsTabelleText"/>
                <w:rFonts w:ascii="Times New Roman" w:hAnsi="Times New Roman"/>
                <w:sz w:val="24"/>
              </w:rPr>
              <w:t xml:space="preserve"> između različitih kategorija proizvoda i stoga iskazane u retku 060 ne iskazuju se u ovom retku.</w:t>
            </w:r>
          </w:p>
        </w:tc>
      </w:tr>
      <w:tr w:rsidR="001C7AB7" w:rsidRPr="00A30C4C" w14:paraId="20C1482C" w14:textId="77777777" w:rsidTr="00672D2A">
        <w:tc>
          <w:tcPr>
            <w:tcW w:w="1242" w:type="dxa"/>
          </w:tcPr>
          <w:p w14:paraId="790FB546" w14:textId="77777777" w:rsidR="001C7AB7" w:rsidRPr="00A30C4C" w:rsidRDefault="001C7AB7" w:rsidP="001C7AB7">
            <w:pPr>
              <w:rPr>
                <w:rFonts w:ascii="Times New Roman" w:hAnsi="Times New Roman"/>
                <w:sz w:val="24"/>
              </w:rPr>
            </w:pPr>
            <w:r>
              <w:rPr>
                <w:rFonts w:ascii="Times New Roman" w:hAnsi="Times New Roman"/>
                <w:sz w:val="24"/>
              </w:rPr>
              <w:t>060</w:t>
            </w:r>
          </w:p>
        </w:tc>
        <w:tc>
          <w:tcPr>
            <w:tcW w:w="8789" w:type="dxa"/>
          </w:tcPr>
          <w:p w14:paraId="6AAA3FC1"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iz </w:t>
            </w:r>
            <w:proofErr w:type="spellStart"/>
            <w:r>
              <w:rPr>
                <w:rFonts w:ascii="Times New Roman" w:hAnsi="Times New Roman"/>
                <w:b/>
                <w:sz w:val="24"/>
                <w:u w:val="single"/>
              </w:rPr>
              <w:t>netiranja</w:t>
            </w:r>
            <w:proofErr w:type="spellEnd"/>
            <w:r>
              <w:rPr>
                <w:rFonts w:ascii="Times New Roman" w:hAnsi="Times New Roman"/>
                <w:b/>
                <w:sz w:val="24"/>
                <w:u w:val="single"/>
              </w:rPr>
              <w:t xml:space="preserve"> između različitih kategorija proizvoda</w:t>
            </w:r>
          </w:p>
          <w:p w14:paraId="205CBCBC" w14:textId="77777777" w:rsidR="001C7AB7" w:rsidRPr="00A30C4C" w:rsidRDefault="00FD6CCB" w:rsidP="001C7AB7">
            <w:pPr>
              <w:rPr>
                <w:rFonts w:ascii="Times New Roman" w:hAnsi="Times New Roman"/>
                <w:sz w:val="24"/>
              </w:rPr>
            </w:pPr>
            <w:r>
              <w:rPr>
                <w:rFonts w:ascii="Times New Roman" w:hAnsi="Times New Roman"/>
                <w:sz w:val="24"/>
              </w:rPr>
              <w:t>Vidjeti upute za obrazac CR SA.</w:t>
            </w:r>
          </w:p>
        </w:tc>
      </w:tr>
      <w:tr w:rsidR="001C7AB7" w:rsidRPr="00A30C4C" w14:paraId="4E7568B1" w14:textId="77777777" w:rsidTr="00672D2A">
        <w:tc>
          <w:tcPr>
            <w:tcW w:w="1242" w:type="dxa"/>
          </w:tcPr>
          <w:p w14:paraId="31FA8B97" w14:textId="77777777" w:rsidR="001C7AB7" w:rsidRPr="00A30C4C" w:rsidRDefault="001C7AB7" w:rsidP="001C7AB7">
            <w:pPr>
              <w:rPr>
                <w:rFonts w:ascii="Times New Roman" w:hAnsi="Times New Roman"/>
                <w:sz w:val="24"/>
              </w:rPr>
            </w:pPr>
            <w:r>
              <w:rPr>
                <w:rFonts w:ascii="Times New Roman" w:hAnsi="Times New Roman"/>
                <w:sz w:val="24"/>
              </w:rPr>
              <w:t>070</w:t>
            </w:r>
          </w:p>
        </w:tc>
        <w:tc>
          <w:tcPr>
            <w:tcW w:w="8789" w:type="dxa"/>
          </w:tcPr>
          <w:p w14:paraId="73C9DDE5"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IZLOŽENOSTI RASPOREĐENE U REJTING-KATEGORIJE DUŽNIKA ILI SKUPOVE IZLOŽENOSTI: UKUPNO</w:t>
            </w:r>
          </w:p>
          <w:p w14:paraId="22528351" w14:textId="7CC76043" w:rsidR="001C7AB7" w:rsidRPr="00A30C4C" w:rsidRDefault="001C7AB7" w:rsidP="001C7AB7">
            <w:pPr>
              <w:rPr>
                <w:rFonts w:ascii="Times New Roman" w:hAnsi="Times New Roman"/>
                <w:sz w:val="24"/>
              </w:rPr>
            </w:pPr>
            <w:r>
              <w:rPr>
                <w:rFonts w:ascii="Times New Roman" w:hAnsi="Times New Roman"/>
                <w:sz w:val="24"/>
              </w:rPr>
              <w:t xml:space="preserve">Za izloženosti prema trgovačkim društvima, institucijama te središnjim državama i središnjim bankama vidjeti članak 142. stavak 1. točku 6. i članak 170. stavak 1. točku (c) CRR-a. </w:t>
            </w:r>
          </w:p>
          <w:p w14:paraId="52848E45" w14:textId="4BF9E2D0" w:rsidR="001C7AB7" w:rsidRPr="00A30C4C" w:rsidRDefault="001C7AB7" w:rsidP="001C7AB7">
            <w:pPr>
              <w:rPr>
                <w:rFonts w:ascii="Times New Roman" w:hAnsi="Times New Roman"/>
                <w:sz w:val="24"/>
              </w:rPr>
            </w:pPr>
            <w:r>
              <w:rPr>
                <w:rFonts w:ascii="Times New Roman" w:hAnsi="Times New Roman"/>
                <w:sz w:val="24"/>
              </w:rPr>
              <w:t xml:space="preserve">Za izloženosti prema stanovništvu vidjeti članak 170. stavak 3. točku (b) CRR-a. Za izloženosti koje proizlaze iz otkupljenih potraživanja vidjeti članak 166. stavak 6. CRR-a. </w:t>
            </w:r>
          </w:p>
          <w:p w14:paraId="4252D0B9" w14:textId="77777777" w:rsidR="001C7AB7" w:rsidRPr="00A30C4C" w:rsidRDefault="001C7AB7" w:rsidP="001C7AB7">
            <w:pPr>
              <w:rPr>
                <w:rFonts w:ascii="Times New Roman" w:hAnsi="Times New Roman"/>
                <w:sz w:val="24"/>
              </w:rPr>
            </w:pPr>
            <w:r>
              <w:rPr>
                <w:rFonts w:ascii="Times New Roman" w:hAnsi="Times New Roman"/>
                <w:sz w:val="24"/>
              </w:rPr>
              <w:t xml:space="preserve">Izloženosti za </w:t>
            </w:r>
            <w:proofErr w:type="spellStart"/>
            <w:r>
              <w:rPr>
                <w:rFonts w:ascii="Times New Roman" w:hAnsi="Times New Roman"/>
                <w:sz w:val="24"/>
              </w:rPr>
              <w:t>razrjeđivački</w:t>
            </w:r>
            <w:proofErr w:type="spellEnd"/>
            <w:r>
              <w:rPr>
                <w:rFonts w:ascii="Times New Roman" w:hAnsi="Times New Roman"/>
                <w:sz w:val="24"/>
              </w:rPr>
              <w:t xml:space="preserve"> rizik otkupljenih potraživanja ne iskazuju se prema rejting-kategorijama dužnika ili skupovima izloženosti i iskazuju se u retku 180.</w:t>
            </w:r>
          </w:p>
          <w:p w14:paraId="7E1E1302" w14:textId="77777777" w:rsidR="001C7AB7" w:rsidRPr="00A30C4C" w:rsidRDefault="001C7AB7" w:rsidP="001C7AB7">
            <w:pPr>
              <w:rPr>
                <w:rFonts w:ascii="Times New Roman" w:hAnsi="Times New Roman"/>
                <w:sz w:val="24"/>
              </w:rPr>
            </w:pPr>
            <w:r>
              <w:rPr>
                <w:rFonts w:ascii="Times New Roman" w:hAnsi="Times New Roman"/>
                <w:sz w:val="24"/>
              </w:rPr>
              <w:t xml:space="preserve">Ako institucija koristi veliki broj rejting-kategorija ili skupova, s nadležnim tijelima može se dogovoriti iskazivanje smanjenog broja rejting-kategorija ili skupova. </w:t>
            </w:r>
          </w:p>
          <w:p w14:paraId="62CC30B5" w14:textId="77777777" w:rsidR="001C7AB7" w:rsidRPr="00A30C4C" w:rsidRDefault="00C93697" w:rsidP="00FD6CCB">
            <w:pPr>
              <w:rPr>
                <w:rFonts w:ascii="Times New Roman" w:hAnsi="Times New Roman"/>
                <w:sz w:val="24"/>
              </w:rPr>
            </w:pPr>
            <w:r>
              <w:rPr>
                <w:rFonts w:ascii="Times New Roman" w:hAnsi="Times New Roman"/>
                <w:sz w:val="24"/>
              </w:rPr>
              <w:t xml:space="preserve">Ne koristi se rejting-skala. Umjesto toga, institucije određuju skalu koju će same upotrebljavati. </w:t>
            </w:r>
          </w:p>
        </w:tc>
      </w:tr>
      <w:tr w:rsidR="001C7AB7" w:rsidRPr="00A30C4C" w14:paraId="5B21935D" w14:textId="77777777" w:rsidTr="00672D2A">
        <w:tc>
          <w:tcPr>
            <w:tcW w:w="1242" w:type="dxa"/>
          </w:tcPr>
          <w:p w14:paraId="093E3F72" w14:textId="77777777" w:rsidR="001C7AB7" w:rsidRPr="00A30C4C" w:rsidRDefault="001C7AB7" w:rsidP="001C7AB7">
            <w:pPr>
              <w:rPr>
                <w:rFonts w:ascii="Times New Roman" w:hAnsi="Times New Roman"/>
                <w:sz w:val="24"/>
              </w:rPr>
            </w:pPr>
            <w:r>
              <w:rPr>
                <w:rFonts w:ascii="Times New Roman" w:hAnsi="Times New Roman"/>
                <w:sz w:val="24"/>
              </w:rPr>
              <w:t>080</w:t>
            </w:r>
          </w:p>
        </w:tc>
        <w:tc>
          <w:tcPr>
            <w:tcW w:w="8789" w:type="dxa"/>
          </w:tcPr>
          <w:p w14:paraId="3414B688" w14:textId="4C7F2219" w:rsidR="001C7AB7" w:rsidRPr="00A30C4C" w:rsidRDefault="001C7AB7" w:rsidP="001C7AB7">
            <w:pPr>
              <w:rPr>
                <w:rFonts w:ascii="Times New Roman" w:hAnsi="Times New Roman"/>
                <w:sz w:val="24"/>
              </w:rPr>
            </w:pPr>
            <w:r>
              <w:rPr>
                <w:rFonts w:ascii="Times New Roman" w:hAnsi="Times New Roman"/>
                <w:b/>
                <w:sz w:val="24"/>
                <w:u w:val="single"/>
              </w:rPr>
              <w:t>KRITERIJI RASPOREĐIVANJA SPECIJALIZIRANOG FINANCIRANJA: UKUPNO</w:t>
            </w:r>
          </w:p>
          <w:p w14:paraId="19AB4923" w14:textId="377F13FE" w:rsidR="001C7AB7" w:rsidRPr="00A30C4C" w:rsidRDefault="001C7AB7" w:rsidP="005A760D">
            <w:pPr>
              <w:rPr>
                <w:rFonts w:ascii="Times New Roman" w:hAnsi="Times New Roman"/>
                <w:sz w:val="24"/>
              </w:rPr>
            </w:pPr>
            <w:r>
              <w:rPr>
                <w:rFonts w:ascii="Times New Roman" w:hAnsi="Times New Roman"/>
                <w:sz w:val="24"/>
              </w:rPr>
              <w:t xml:space="preserve">Članak 153. stavak 5. CRR-a To se primjenjuje samo na kategorije izloženosti prema trgovačkim društvima, institucijama te središnjim državama i središnjim bankama. </w:t>
            </w:r>
          </w:p>
        </w:tc>
      </w:tr>
      <w:tr w:rsidR="001C7AB7" w:rsidRPr="00A30C4C" w14:paraId="246BA3CD" w14:textId="77777777" w:rsidTr="00672D2A">
        <w:tc>
          <w:tcPr>
            <w:tcW w:w="1242" w:type="dxa"/>
          </w:tcPr>
          <w:p w14:paraId="321F33D9" w14:textId="77777777" w:rsidR="001C7AB7" w:rsidRPr="00A30C4C" w:rsidRDefault="001C7AB7" w:rsidP="004F2B30">
            <w:pPr>
              <w:rPr>
                <w:rFonts w:ascii="Times New Roman" w:hAnsi="Times New Roman"/>
                <w:sz w:val="24"/>
              </w:rPr>
            </w:pPr>
            <w:r>
              <w:rPr>
                <w:rFonts w:ascii="Times New Roman" w:hAnsi="Times New Roman"/>
                <w:sz w:val="24"/>
              </w:rPr>
              <w:t>090-150</w:t>
            </w:r>
          </w:p>
        </w:tc>
        <w:tc>
          <w:tcPr>
            <w:tcW w:w="8789" w:type="dxa"/>
          </w:tcPr>
          <w:p w14:paraId="7214D63C" w14:textId="212ECF04"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RAŠČLAMBA PREMA PONDERIMA RIZIKA UKUPNIH IZLOŽENOSTI U SKLADU S KRITERIJIMA RASPOREĐIVANJA SPECIJALIZIRANOG FINANCIRANJA</w:t>
            </w:r>
          </w:p>
        </w:tc>
      </w:tr>
      <w:tr w:rsidR="001C7AB7" w:rsidRPr="00A30C4C" w14:paraId="57FD0E83" w14:textId="77777777" w:rsidTr="00672D2A">
        <w:tc>
          <w:tcPr>
            <w:tcW w:w="1242" w:type="dxa"/>
          </w:tcPr>
          <w:p w14:paraId="5077A772" w14:textId="77777777" w:rsidR="001C7AB7" w:rsidRPr="00A30C4C" w:rsidRDefault="001C7AB7" w:rsidP="001C7AB7">
            <w:pPr>
              <w:rPr>
                <w:rFonts w:ascii="Times New Roman" w:hAnsi="Times New Roman"/>
                <w:sz w:val="24"/>
              </w:rPr>
            </w:pPr>
            <w:r>
              <w:rPr>
                <w:rFonts w:ascii="Times New Roman" w:hAnsi="Times New Roman"/>
                <w:sz w:val="24"/>
              </w:rPr>
              <w:t>120</w:t>
            </w:r>
          </w:p>
        </w:tc>
        <w:tc>
          <w:tcPr>
            <w:tcW w:w="8789" w:type="dxa"/>
          </w:tcPr>
          <w:p w14:paraId="195F8E31"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Od čega: u kategoriji 1 </w:t>
            </w:r>
          </w:p>
          <w:p w14:paraId="01DEB61C" w14:textId="3E38240B" w:rsidR="001C7AB7" w:rsidRPr="00A30C4C" w:rsidRDefault="00133396" w:rsidP="00133396">
            <w:pPr>
              <w:rPr>
                <w:rFonts w:ascii="Times New Roman" w:hAnsi="Times New Roman"/>
                <w:sz w:val="24"/>
              </w:rPr>
            </w:pPr>
            <w:r>
              <w:rPr>
                <w:rFonts w:ascii="Times New Roman" w:hAnsi="Times New Roman"/>
                <w:sz w:val="24"/>
              </w:rPr>
              <w:t>Članak 153. stavak 5. tablica 1. CRR-a</w:t>
            </w:r>
          </w:p>
        </w:tc>
      </w:tr>
      <w:tr w:rsidR="001C7AB7" w:rsidRPr="00A30C4C" w14:paraId="19A70C29" w14:textId="77777777" w:rsidTr="00672D2A">
        <w:tc>
          <w:tcPr>
            <w:tcW w:w="1242" w:type="dxa"/>
          </w:tcPr>
          <w:p w14:paraId="2222963B" w14:textId="77777777" w:rsidR="001C7AB7" w:rsidRPr="00A30C4C" w:rsidRDefault="001C7AB7" w:rsidP="001C7AB7">
            <w:pPr>
              <w:rPr>
                <w:rFonts w:ascii="Times New Roman" w:hAnsi="Times New Roman"/>
                <w:sz w:val="24"/>
              </w:rPr>
            </w:pPr>
            <w:r>
              <w:rPr>
                <w:rFonts w:ascii="Times New Roman" w:hAnsi="Times New Roman"/>
                <w:sz w:val="24"/>
              </w:rPr>
              <w:t>160</w:t>
            </w:r>
          </w:p>
        </w:tc>
        <w:tc>
          <w:tcPr>
            <w:tcW w:w="8789" w:type="dxa"/>
          </w:tcPr>
          <w:p w14:paraId="23EA095C"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ALTERNATIVNI TRETMAN: OSIGURANO NEKRETNINOM</w:t>
            </w:r>
          </w:p>
          <w:p w14:paraId="6475E38A" w14:textId="2712F6F5" w:rsidR="001C7AB7" w:rsidRPr="00A30C4C" w:rsidRDefault="00BD6DB9" w:rsidP="00BD6DB9">
            <w:pPr>
              <w:rPr>
                <w:rFonts w:ascii="Times New Roman" w:hAnsi="Times New Roman"/>
                <w:sz w:val="24"/>
              </w:rPr>
            </w:pPr>
            <w:r>
              <w:rPr>
                <w:rFonts w:ascii="Times New Roman" w:hAnsi="Times New Roman"/>
                <w:sz w:val="24"/>
              </w:rPr>
              <w:lastRenderedPageBreak/>
              <w:t>Članak 193. stavci 1. i 2., članak 194. stavci od 1. do 7. i članak 230. stavak 3. CRR-a</w:t>
            </w:r>
          </w:p>
        </w:tc>
      </w:tr>
      <w:tr w:rsidR="001C7AB7" w:rsidRPr="00A30C4C" w14:paraId="0474B7EE" w14:textId="77777777" w:rsidTr="00672D2A">
        <w:tc>
          <w:tcPr>
            <w:tcW w:w="1242" w:type="dxa"/>
          </w:tcPr>
          <w:p w14:paraId="388A515E" w14:textId="77777777" w:rsidR="001C7AB7" w:rsidRPr="00A30C4C" w:rsidRDefault="001C7AB7" w:rsidP="001C7AB7">
            <w:pPr>
              <w:rPr>
                <w:rFonts w:ascii="Times New Roman" w:hAnsi="Times New Roman"/>
                <w:sz w:val="24"/>
              </w:rPr>
            </w:pPr>
            <w:r>
              <w:rPr>
                <w:rFonts w:ascii="Times New Roman" w:hAnsi="Times New Roman"/>
                <w:sz w:val="24"/>
              </w:rPr>
              <w:lastRenderedPageBreak/>
              <w:t>170</w:t>
            </w:r>
          </w:p>
        </w:tc>
        <w:tc>
          <w:tcPr>
            <w:tcW w:w="8789" w:type="dxa"/>
          </w:tcPr>
          <w:p w14:paraId="2D606023"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IZLOŽENOSTI NA OSNOVI SLOBODNIH ISPORUKA ZA KOJE SE PRIMJENJUJU PONDERI RIZIKA U SKLADU S ALTERNATIVNIM PRISTUPOM ILI 100 % I OSTALE IZLOŽENOSTI NA KOJE SE PRIMJENJUJU PONDERI RIZIKA</w:t>
            </w:r>
          </w:p>
          <w:p w14:paraId="6554E226" w14:textId="7677BA98" w:rsidR="001C7AB7" w:rsidRPr="00A30C4C" w:rsidRDefault="001C7AB7" w:rsidP="00A16FFF">
            <w:pPr>
              <w:rPr>
                <w:rFonts w:ascii="Times New Roman" w:hAnsi="Times New Roman"/>
                <w:sz w:val="24"/>
              </w:rPr>
            </w:pPr>
            <w:r>
              <w:rPr>
                <w:rFonts w:ascii="Times New Roman" w:hAnsi="Times New Roman"/>
                <w:sz w:val="24"/>
              </w:rPr>
              <w:t>Izloženosti na osnovi slobodnih isporuka za koje se primjenjuje alternativni tretman iz članka 379. stavka 2. prvog podstavka, zadnje rečenice CRR-a ili za koje se primjenjuje ponder rizika 100 % u skladu s člankom 379. stavkom 2. zadnjim podstavkom CRR-a. Kreditne izvedenice bez rejtinga na osnovi „n-tog” nastanka statusa neispunjavanja obveza u skladu s člankom 153. stavkom 8. CRR-a i sve ostale izloženosti na koje se primjenjuju ponderi rizika i koje nisu uključene u drugim redcima iskazuju se u ovom retku.</w:t>
            </w:r>
          </w:p>
        </w:tc>
      </w:tr>
      <w:tr w:rsidR="001C7AB7" w:rsidRPr="00A30C4C" w14:paraId="239C4002" w14:textId="77777777" w:rsidTr="00672D2A">
        <w:tc>
          <w:tcPr>
            <w:tcW w:w="1242" w:type="dxa"/>
          </w:tcPr>
          <w:p w14:paraId="0CC0DD10" w14:textId="77777777" w:rsidR="001C7AB7" w:rsidRPr="00A30C4C" w:rsidRDefault="001C7AB7" w:rsidP="001C7AB7">
            <w:pPr>
              <w:rPr>
                <w:rFonts w:ascii="Times New Roman" w:hAnsi="Times New Roman"/>
                <w:sz w:val="24"/>
              </w:rPr>
            </w:pPr>
            <w:r>
              <w:rPr>
                <w:rFonts w:ascii="Times New Roman" w:hAnsi="Times New Roman"/>
                <w:sz w:val="24"/>
              </w:rPr>
              <w:t>180</w:t>
            </w:r>
          </w:p>
        </w:tc>
        <w:tc>
          <w:tcPr>
            <w:tcW w:w="8789" w:type="dxa"/>
          </w:tcPr>
          <w:p w14:paraId="5DED59BF"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RAZRJEĐIVAČKI RIZIK: UKUPNA OTKUPLJENA POTRAŽIVANJA</w:t>
            </w:r>
          </w:p>
          <w:p w14:paraId="7598D14B" w14:textId="61F766B3" w:rsidR="001C7AB7" w:rsidRPr="00A30C4C" w:rsidRDefault="001C7AB7" w:rsidP="001C7AB7">
            <w:pPr>
              <w:rPr>
                <w:rFonts w:ascii="Times New Roman" w:hAnsi="Times New Roman"/>
                <w:sz w:val="24"/>
              </w:rPr>
            </w:pPr>
            <w:r>
              <w:rPr>
                <w:rFonts w:ascii="Times New Roman" w:hAnsi="Times New Roman"/>
                <w:sz w:val="24"/>
              </w:rPr>
              <w:t xml:space="preserve">Vidjeti članak 4. stavak 1. točku 53. CRR-a za definiciju </w:t>
            </w:r>
            <w:proofErr w:type="spellStart"/>
            <w:r>
              <w:rPr>
                <w:rFonts w:ascii="Times New Roman" w:hAnsi="Times New Roman"/>
                <w:sz w:val="24"/>
              </w:rPr>
              <w:t>razrjeđivačkog</w:t>
            </w:r>
            <w:proofErr w:type="spellEnd"/>
            <w:r>
              <w:rPr>
                <w:rFonts w:ascii="Times New Roman" w:hAnsi="Times New Roman"/>
                <w:sz w:val="24"/>
              </w:rPr>
              <w:t xml:space="preserve"> rizika. Za izračun pondera rizika za </w:t>
            </w:r>
            <w:proofErr w:type="spellStart"/>
            <w:r>
              <w:rPr>
                <w:rFonts w:ascii="Times New Roman" w:hAnsi="Times New Roman"/>
                <w:sz w:val="24"/>
              </w:rPr>
              <w:t>razrjeđivački</w:t>
            </w:r>
            <w:proofErr w:type="spellEnd"/>
            <w:r>
              <w:rPr>
                <w:rFonts w:ascii="Times New Roman" w:hAnsi="Times New Roman"/>
                <w:sz w:val="24"/>
              </w:rPr>
              <w:t xml:space="preserve"> rizik vidjeti članak 157. stavak 1. CRR-a.</w:t>
            </w:r>
          </w:p>
          <w:p w14:paraId="02A23372" w14:textId="799E2427" w:rsidR="001C7AB7" w:rsidRPr="00A30C4C" w:rsidRDefault="00BB22D4" w:rsidP="00FD6CCB">
            <w:pPr>
              <w:rPr>
                <w:rFonts w:ascii="Times New Roman" w:hAnsi="Times New Roman"/>
                <w:sz w:val="24"/>
              </w:rPr>
            </w:pPr>
            <w:r>
              <w:rPr>
                <w:rFonts w:ascii="Times New Roman" w:hAnsi="Times New Roman"/>
                <w:sz w:val="24"/>
              </w:rPr>
              <w:t xml:space="preserve">U skladu s člankom 166. stavkom 6. CRR-a vrijednost izloženosti otkupljenih potraživanja preostali je iznos umanjen za </w:t>
            </w:r>
            <w:r>
              <w:rPr>
                <w:rStyle w:val="InstructionsTabelleText"/>
                <w:rFonts w:ascii="Times New Roman" w:hAnsi="Times New Roman"/>
                <w:sz w:val="24"/>
              </w:rPr>
              <w:t>iznose izloženosti ponderirane rizikom</w:t>
            </w:r>
            <w:r>
              <w:rPr>
                <w:rFonts w:ascii="Times New Roman" w:hAnsi="Times New Roman"/>
                <w:sz w:val="24"/>
              </w:rPr>
              <w:t xml:space="preserve"> za </w:t>
            </w:r>
            <w:proofErr w:type="spellStart"/>
            <w:r>
              <w:rPr>
                <w:rFonts w:ascii="Times New Roman" w:hAnsi="Times New Roman"/>
                <w:sz w:val="24"/>
              </w:rPr>
              <w:t>razrjeđivački</w:t>
            </w:r>
            <w:proofErr w:type="spellEnd"/>
            <w:r>
              <w:rPr>
                <w:rFonts w:ascii="Times New Roman" w:hAnsi="Times New Roman"/>
                <w:sz w:val="24"/>
              </w:rPr>
              <w:t xml:space="preserve"> rizik prije smanjenja kreditnog rizika.</w:t>
            </w:r>
          </w:p>
        </w:tc>
      </w:tr>
    </w:tbl>
    <w:p w14:paraId="3C504AEC" w14:textId="77777777" w:rsidR="004357B9" w:rsidRPr="00A30C4C"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6F570112" w14:textId="5349924B"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30677667"/>
      <w:r>
        <w:rPr>
          <w:rFonts w:ascii="Times New Roman" w:hAnsi="Times New Roman"/>
          <w:sz w:val="24"/>
          <w:u w:val="none"/>
        </w:rPr>
        <w:t>3.3.4.</w:t>
      </w:r>
      <w:r>
        <w:rPr>
          <w:rFonts w:ascii="Times New Roman" w:hAnsi="Times New Roman"/>
          <w:sz w:val="24"/>
          <w:u w:val="none"/>
        </w:rPr>
        <w:tab/>
      </w:r>
      <w:r>
        <w:rPr>
          <w:rFonts w:ascii="Times New Roman" w:hAnsi="Times New Roman"/>
          <w:sz w:val="24"/>
        </w:rPr>
        <w:t>C 08.02 – Kreditni rizik, kreditni rizik druge ugovorne strane i slobodne isporuke: IRB pristup kapitalnim zahtjevima: raščlamba prema rejting-kategorijama dužnika ili skupovima izloženosti (obrazac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30C4C" w14:paraId="508D011D" w14:textId="77777777" w:rsidTr="00672D2A">
        <w:tc>
          <w:tcPr>
            <w:tcW w:w="2024" w:type="dxa"/>
            <w:shd w:val="clear" w:color="auto" w:fill="BFBFBF"/>
          </w:tcPr>
          <w:p w14:paraId="77D0F85C" w14:textId="77777777" w:rsidR="001C7AB7" w:rsidRPr="00A30C4C" w:rsidRDefault="001C7AB7" w:rsidP="001C7AB7">
            <w:pPr>
              <w:rPr>
                <w:rFonts w:ascii="Times New Roman" w:hAnsi="Times New Roman"/>
                <w:sz w:val="24"/>
              </w:rPr>
            </w:pPr>
            <w:r>
              <w:rPr>
                <w:rFonts w:ascii="Times New Roman" w:hAnsi="Times New Roman"/>
                <w:sz w:val="24"/>
              </w:rPr>
              <w:t>Stupac</w:t>
            </w:r>
          </w:p>
        </w:tc>
        <w:tc>
          <w:tcPr>
            <w:tcW w:w="7804" w:type="dxa"/>
            <w:shd w:val="clear" w:color="auto" w:fill="BFBFBF"/>
          </w:tcPr>
          <w:p w14:paraId="26D4E61F" w14:textId="77777777" w:rsidR="001C7AB7" w:rsidRPr="00A30C4C" w:rsidRDefault="001C7AB7" w:rsidP="001C7AB7">
            <w:pPr>
              <w:rPr>
                <w:rFonts w:ascii="Times New Roman" w:hAnsi="Times New Roman"/>
                <w:sz w:val="24"/>
              </w:rPr>
            </w:pPr>
            <w:r>
              <w:rPr>
                <w:rFonts w:ascii="Times New Roman" w:hAnsi="Times New Roman"/>
                <w:sz w:val="24"/>
              </w:rPr>
              <w:t>Upute</w:t>
            </w:r>
          </w:p>
        </w:tc>
      </w:tr>
      <w:tr w:rsidR="00E97CD2" w:rsidRPr="00A30C4C" w14:paraId="1F7ADBE3" w14:textId="77777777" w:rsidTr="00672D2A">
        <w:tc>
          <w:tcPr>
            <w:tcW w:w="2024" w:type="dxa"/>
          </w:tcPr>
          <w:p w14:paraId="4C7084CF" w14:textId="77777777" w:rsidR="00E97CD2" w:rsidRPr="00A30C4C" w:rsidRDefault="00E97CD2" w:rsidP="001C7AB7">
            <w:pPr>
              <w:rPr>
                <w:rFonts w:ascii="Times New Roman" w:hAnsi="Times New Roman"/>
                <w:sz w:val="24"/>
              </w:rPr>
            </w:pPr>
            <w:r>
              <w:rPr>
                <w:rFonts w:ascii="Times New Roman" w:hAnsi="Times New Roman"/>
                <w:sz w:val="24"/>
              </w:rPr>
              <w:t>005</w:t>
            </w:r>
          </w:p>
        </w:tc>
        <w:tc>
          <w:tcPr>
            <w:tcW w:w="7804" w:type="dxa"/>
          </w:tcPr>
          <w:p w14:paraId="13A3D9C9" w14:textId="77777777" w:rsidR="00E97CD2" w:rsidRPr="00A30C4C" w:rsidRDefault="00E97CD2" w:rsidP="001C7AB7">
            <w:pPr>
              <w:rPr>
                <w:rFonts w:ascii="Times New Roman" w:hAnsi="Times New Roman"/>
                <w:b/>
                <w:sz w:val="24"/>
                <w:u w:val="single"/>
              </w:rPr>
            </w:pPr>
            <w:r>
              <w:rPr>
                <w:rFonts w:ascii="Times New Roman" w:hAnsi="Times New Roman"/>
                <w:b/>
                <w:sz w:val="24"/>
                <w:u w:val="single"/>
              </w:rPr>
              <w:t>Rejting-kategorija dužnika (identifikator retka)</w:t>
            </w:r>
          </w:p>
          <w:p w14:paraId="0FE6ACAB" w14:textId="1A0E69CE" w:rsidR="00E97CD2" w:rsidRPr="00A30C4C" w:rsidRDefault="00E97CD2" w:rsidP="00133396">
            <w:pPr>
              <w:rPr>
                <w:rFonts w:ascii="Times New Roman" w:hAnsi="Times New Roman"/>
                <w:sz w:val="24"/>
              </w:rPr>
            </w:pPr>
            <w:r>
              <w:rPr>
                <w:rFonts w:ascii="Times New Roman" w:hAnsi="Times New Roman"/>
                <w:sz w:val="24"/>
              </w:rPr>
              <w:t>Ovo je identifikator retka koji je jedinstven za svaki redak pojedinog lista obrasca. Navodi se numeričkim redoslijedom 1, 2, 3 itd.</w:t>
            </w:r>
          </w:p>
        </w:tc>
      </w:tr>
      <w:tr w:rsidR="001C7AB7" w:rsidRPr="00A30C4C" w14:paraId="49C132D8" w14:textId="77777777" w:rsidTr="00672D2A">
        <w:tc>
          <w:tcPr>
            <w:tcW w:w="2024" w:type="dxa"/>
          </w:tcPr>
          <w:p w14:paraId="47525D0B" w14:textId="77777777" w:rsidR="001C7AB7" w:rsidRPr="00A30C4C" w:rsidRDefault="001C7AB7" w:rsidP="001C7AB7">
            <w:pPr>
              <w:rPr>
                <w:rFonts w:ascii="Times New Roman" w:hAnsi="Times New Roman"/>
                <w:sz w:val="24"/>
              </w:rPr>
            </w:pPr>
            <w:r>
              <w:rPr>
                <w:rFonts w:ascii="Times New Roman" w:hAnsi="Times New Roman"/>
                <w:sz w:val="24"/>
              </w:rPr>
              <w:t>010-300</w:t>
            </w:r>
          </w:p>
        </w:tc>
        <w:tc>
          <w:tcPr>
            <w:tcW w:w="7804" w:type="dxa"/>
          </w:tcPr>
          <w:p w14:paraId="3DC85712" w14:textId="35FDBD62" w:rsidR="001C7AB7" w:rsidRPr="00A30C4C" w:rsidRDefault="001C7AB7" w:rsidP="00133396">
            <w:pPr>
              <w:rPr>
                <w:rFonts w:ascii="Times New Roman" w:hAnsi="Times New Roman"/>
                <w:sz w:val="24"/>
              </w:rPr>
            </w:pPr>
            <w:r>
              <w:rPr>
                <w:rFonts w:ascii="Times New Roman" w:hAnsi="Times New Roman"/>
                <w:sz w:val="24"/>
              </w:rPr>
              <w:t>Upute za svaki od ovih stupaca jednake su uputama za odgovarajuće brojevima označene stupce u obrascu CR IRB 1.</w:t>
            </w:r>
          </w:p>
        </w:tc>
      </w:tr>
    </w:tbl>
    <w:p w14:paraId="13C85220" w14:textId="77777777" w:rsidR="001C7AB7" w:rsidRPr="00A30C4C"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30C4C" w14:paraId="389E3359" w14:textId="77777777" w:rsidTr="00672D2A">
        <w:tc>
          <w:tcPr>
            <w:tcW w:w="2024" w:type="dxa"/>
            <w:shd w:val="pct25" w:color="auto" w:fill="auto"/>
          </w:tcPr>
          <w:p w14:paraId="07035E4F" w14:textId="77777777" w:rsidR="001C7AB7" w:rsidRPr="00A30C4C" w:rsidRDefault="001C7AB7" w:rsidP="001C7AB7">
            <w:pPr>
              <w:rPr>
                <w:rFonts w:ascii="Times New Roman" w:hAnsi="Times New Roman"/>
                <w:sz w:val="24"/>
              </w:rPr>
            </w:pPr>
            <w:r>
              <w:rPr>
                <w:rFonts w:ascii="Times New Roman" w:hAnsi="Times New Roman"/>
                <w:sz w:val="24"/>
              </w:rPr>
              <w:t>Redak</w:t>
            </w:r>
          </w:p>
        </w:tc>
        <w:tc>
          <w:tcPr>
            <w:tcW w:w="7804" w:type="dxa"/>
            <w:shd w:val="pct25" w:color="auto" w:fill="auto"/>
          </w:tcPr>
          <w:p w14:paraId="2745B785" w14:textId="77777777" w:rsidR="001C7AB7" w:rsidRPr="00A30C4C" w:rsidRDefault="001C7AB7" w:rsidP="001C7AB7">
            <w:pPr>
              <w:rPr>
                <w:rFonts w:ascii="Times New Roman" w:hAnsi="Times New Roman"/>
                <w:sz w:val="24"/>
              </w:rPr>
            </w:pPr>
            <w:r>
              <w:rPr>
                <w:rFonts w:ascii="Times New Roman" w:hAnsi="Times New Roman"/>
                <w:sz w:val="24"/>
              </w:rPr>
              <w:t>Upute</w:t>
            </w:r>
          </w:p>
        </w:tc>
      </w:tr>
      <w:tr w:rsidR="001C7AB7" w:rsidRPr="00A30C4C" w14:paraId="17CDB09A" w14:textId="77777777" w:rsidTr="00672D2A">
        <w:tc>
          <w:tcPr>
            <w:tcW w:w="2024" w:type="dxa"/>
          </w:tcPr>
          <w:p w14:paraId="2824A27E" w14:textId="77777777" w:rsidR="001C7AB7" w:rsidRPr="00A30C4C" w:rsidRDefault="001C7AB7" w:rsidP="001C7AB7">
            <w:pPr>
              <w:rPr>
                <w:rFonts w:ascii="Times New Roman" w:hAnsi="Times New Roman"/>
                <w:sz w:val="24"/>
              </w:rPr>
            </w:pPr>
            <w:r>
              <w:rPr>
                <w:rFonts w:ascii="Times New Roman" w:hAnsi="Times New Roman"/>
                <w:sz w:val="24"/>
              </w:rPr>
              <w:t>010-001 – 010-NNN</w:t>
            </w:r>
          </w:p>
        </w:tc>
        <w:tc>
          <w:tcPr>
            <w:tcW w:w="7804" w:type="dxa"/>
          </w:tcPr>
          <w:p w14:paraId="207A885A" w14:textId="741C4BE5" w:rsidR="001C7AB7" w:rsidRPr="00A30C4C" w:rsidRDefault="001C7AB7" w:rsidP="00763B4B">
            <w:pPr>
              <w:rPr>
                <w:rFonts w:ascii="Times New Roman" w:hAnsi="Times New Roman"/>
                <w:sz w:val="24"/>
              </w:rPr>
            </w:pPr>
            <w:r>
              <w:rPr>
                <w:rFonts w:ascii="Times New Roman" w:hAnsi="Times New Roman"/>
                <w:sz w:val="24"/>
              </w:rPr>
              <w:t>Vrijednosti iskazane u ovim stupcima moraju se odrediti od najniže do najviše u skladu s PD-om raspoređenim u rejting-kategoriju dužnika ili skup izloženosti. PD dužnika sa statusom neispunjavanja obveza iznosi 100 %. Izloženosti na koje se primjenjuje alternativni tretman za </w:t>
            </w:r>
            <w:proofErr w:type="spellStart"/>
            <w:r>
              <w:rPr>
                <w:rFonts w:ascii="Times New Roman" w:hAnsi="Times New Roman"/>
                <w:sz w:val="24"/>
              </w:rPr>
              <w:t>kolateral</w:t>
            </w:r>
            <w:proofErr w:type="spellEnd"/>
            <w:r>
              <w:rPr>
                <w:rFonts w:ascii="Times New Roman" w:hAnsi="Times New Roman"/>
                <w:sz w:val="24"/>
              </w:rPr>
              <w:t xml:space="preserve"> u obliku nekretnine (dostupan samo ako se ne koriste vlastite procjene LGD-a) ne raspoređuju se u skladu s PD-om dužnika i ne iskazuju se u ovom obrascu.</w:t>
            </w:r>
          </w:p>
        </w:tc>
      </w:tr>
    </w:tbl>
    <w:p w14:paraId="48FCB77F" w14:textId="77777777" w:rsidR="004357B9" w:rsidRPr="00A30C4C" w:rsidRDefault="004357B9" w:rsidP="00FD239F">
      <w:pPr>
        <w:pStyle w:val="InstructionsText"/>
      </w:pPr>
    </w:p>
    <w:p w14:paraId="22185BC7"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23" w:name="_Toc360188361"/>
      <w:bookmarkStart w:id="324" w:name="_Toc473560912"/>
      <w:bookmarkStart w:id="325" w:name="_Toc30677668"/>
      <w:r>
        <w:rPr>
          <w:rFonts w:ascii="Times New Roman" w:hAnsi="Times New Roman"/>
          <w:sz w:val="24"/>
          <w:u w:val="none"/>
        </w:rPr>
        <w:lastRenderedPageBreak/>
        <w:t>3.4.</w:t>
      </w:r>
      <w:r>
        <w:rPr>
          <w:rFonts w:ascii="Times New Roman" w:hAnsi="Times New Roman"/>
          <w:sz w:val="24"/>
          <w:u w:val="none"/>
        </w:rPr>
        <w:tab/>
      </w:r>
      <w:r>
        <w:rPr>
          <w:rFonts w:ascii="Times New Roman" w:hAnsi="Times New Roman"/>
          <w:sz w:val="24"/>
        </w:rPr>
        <w:t>Kreditni rizik, kreditni rizik druge ugovorne strane i slobodne isporuke: Informacije s geografskom raščlambom</w:t>
      </w:r>
      <w:bookmarkEnd w:id="323"/>
      <w:bookmarkEnd w:id="324"/>
      <w:bookmarkEnd w:id="325"/>
    </w:p>
    <w:p w14:paraId="1B85B690" w14:textId="4D0E56E3" w:rsidR="004357B9" w:rsidRPr="00A30C4C" w:rsidRDefault="00125707" w:rsidP="00C37B29">
      <w:pPr>
        <w:pStyle w:val="InstructionsText2"/>
        <w:numPr>
          <w:ilvl w:val="0"/>
          <w:numId w:val="0"/>
        </w:numPr>
        <w:ind w:left="993"/>
      </w:pPr>
      <w:r>
        <w:t>79.</w:t>
      </w:r>
      <w:r>
        <w:tab/>
        <w:t>Sve institucije dostavljaju informacije agregirane na ukupnoj razini. Nadalje, institucije koje ispunjavaju prag određen u članku 5. stavku (a) točki 4. ove Provedbene uredbe dostavljaju informacije o matičnoj državi te o svakoj drugoj državi raščlanjene prema zemlji. Prag se razmatra samo u odnosu na obrasce CR GB 1 i CR GB 2. Izloženosti prema nadnacionalnim organizacijama raspoređuju se na geografsko područje „ostale zemlje”.</w:t>
      </w:r>
    </w:p>
    <w:p w14:paraId="73B980E9" w14:textId="77777777" w:rsidR="004357B9" w:rsidRPr="00A30C4C" w:rsidRDefault="00125707" w:rsidP="00C37B29">
      <w:pPr>
        <w:pStyle w:val="InstructionsText2"/>
        <w:numPr>
          <w:ilvl w:val="0"/>
          <w:numId w:val="0"/>
        </w:numPr>
        <w:ind w:left="993"/>
      </w:pPr>
      <w:r>
        <w:t>80.</w:t>
      </w:r>
      <w:r>
        <w:tab/>
        <w:t xml:space="preserve">Pojam „boravište dužnika” odnosi se na zemlju u kojoj je osnovan dužnik. Taj se koncept može primijeniti na osnovi neposrednog dužnika i krajnjeg rizika. Stoga se tehnikama smanjenja kreditnog rizika s učincima zamjene može promijeniti raspodjela izloženosti prema zemlji. Izloženosti prema nadnacionalnim organizacijama ne raspoređuju se na zemlju </w:t>
      </w:r>
      <w:proofErr w:type="spellStart"/>
      <w:r>
        <w:t>rezidentnosti</w:t>
      </w:r>
      <w:proofErr w:type="spellEnd"/>
      <w:r>
        <w:t xml:space="preserve"> institucije, već na geografsko područje „Ostale zemlje”, neovisno o kategoriji izloženosti u koju se raspoređuje izloženost prema nadnacionalnim organizacijama.</w:t>
      </w:r>
    </w:p>
    <w:p w14:paraId="2E93593D" w14:textId="3A282286" w:rsidR="0096378F" w:rsidRPr="00A30C4C" w:rsidRDefault="00125707" w:rsidP="00C37B29">
      <w:pPr>
        <w:pStyle w:val="InstructionsText2"/>
        <w:numPr>
          <w:ilvl w:val="0"/>
          <w:numId w:val="0"/>
        </w:numPr>
        <w:ind w:left="993"/>
      </w:pPr>
      <w:r>
        <w:t>81.</w:t>
      </w:r>
      <w:r>
        <w:tab/>
        <w:t>Podaci o „originalnoj izloženosti prije konverzijskih faktora” iskazuju se uz upućivanja na zemlju boravišta neposrednog dužnika. Podaci o „vrijednosti izloženosti” i „iznosima izloženosti ponderiranima rizikom” iskazuju se prema zemlji boravišta krajnjeg dužnika.</w:t>
      </w:r>
    </w:p>
    <w:p w14:paraId="65D356E5"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26" w:name="_Toc360188362"/>
      <w:bookmarkStart w:id="327" w:name="_Toc473560913"/>
      <w:bookmarkStart w:id="328" w:name="_Toc30677669"/>
      <w:r>
        <w:rPr>
          <w:rFonts w:ascii="Times New Roman" w:hAnsi="Times New Roman"/>
          <w:sz w:val="24"/>
          <w:u w:val="none"/>
        </w:rPr>
        <w:t>3.4.1.</w:t>
      </w:r>
      <w:r>
        <w:rPr>
          <w:rFonts w:ascii="Times New Roman" w:hAnsi="Times New Roman"/>
          <w:sz w:val="24"/>
          <w:u w:val="none"/>
        </w:rPr>
        <w:tab/>
      </w:r>
      <w:r>
        <w:rPr>
          <w:rFonts w:ascii="Times New Roman" w:hAnsi="Times New Roman"/>
          <w:sz w:val="24"/>
        </w:rPr>
        <w:t>C 09.01 – Geografska raščlamba izloženosti prema boravištu dužnika: izloženosti u skladu sa standardiziranim pristupom (CR GB 1)</w:t>
      </w:r>
      <w:bookmarkEnd w:id="326"/>
      <w:bookmarkEnd w:id="327"/>
      <w:bookmarkEnd w:id="328"/>
    </w:p>
    <w:p w14:paraId="77B971F2"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29" w:name="_Toc360188363"/>
      <w:bookmarkStart w:id="330" w:name="_Toc473560914"/>
      <w:bookmarkStart w:id="331" w:name="_Toc30677670"/>
      <w:r>
        <w:rPr>
          <w:rFonts w:ascii="Times New Roman" w:hAnsi="Times New Roman"/>
          <w:sz w:val="24"/>
          <w:u w:val="none"/>
        </w:rPr>
        <w:t>3.4.1.1.</w:t>
      </w:r>
      <w:r>
        <w:rPr>
          <w:rFonts w:ascii="Times New Roman" w:hAnsi="Times New Roman"/>
          <w:sz w:val="24"/>
          <w:u w:val="none"/>
        </w:rPr>
        <w:tab/>
      </w:r>
      <w:r>
        <w:rPr>
          <w:rFonts w:ascii="Times New Roman" w:hAnsi="Times New Roman"/>
          <w:sz w:val="24"/>
        </w:rPr>
        <w:t>Upute za specifične pozicije</w:t>
      </w:r>
      <w:bookmarkEnd w:id="329"/>
      <w:bookmarkEnd w:id="330"/>
      <w:bookmarkEnd w:id="33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A30C4C" w14:paraId="00A62539" w14:textId="77777777" w:rsidTr="00672D2A">
        <w:trPr>
          <w:trHeight w:val="581"/>
        </w:trPr>
        <w:tc>
          <w:tcPr>
            <w:tcW w:w="9828" w:type="dxa"/>
            <w:gridSpan w:val="2"/>
            <w:shd w:val="clear" w:color="auto" w:fill="CCCCCC"/>
          </w:tcPr>
          <w:p w14:paraId="20553A31" w14:textId="77777777" w:rsidR="004357B9" w:rsidRPr="00A30C4C"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Stupci</w:t>
            </w:r>
          </w:p>
        </w:tc>
      </w:tr>
      <w:tr w:rsidR="004357B9" w:rsidRPr="00A30C4C" w14:paraId="326C18F6" w14:textId="77777777" w:rsidTr="00672D2A">
        <w:tc>
          <w:tcPr>
            <w:tcW w:w="1188" w:type="dxa"/>
          </w:tcPr>
          <w:p w14:paraId="00EEB0C3" w14:textId="77777777"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5FFFCD08" w14:textId="30C14346" w:rsidR="004357B9" w:rsidRPr="00A30C4C" w:rsidRDefault="004357B9" w:rsidP="004357B9">
            <w:pPr>
              <w:rPr>
                <w:rFonts w:ascii="Times New Roman" w:hAnsi="Times New Roman"/>
                <w:b/>
                <w:sz w:val="24"/>
                <w:u w:val="single"/>
              </w:rPr>
            </w:pPr>
            <w:r>
              <w:rPr>
                <w:rFonts w:ascii="Times New Roman" w:hAnsi="Times New Roman"/>
                <w:b/>
                <w:sz w:val="24"/>
                <w:u w:val="single"/>
              </w:rPr>
              <w:t>ORIGINALNA IZLOŽENOST PRIJE KONVERZIJSKIH FAKTORA</w:t>
            </w:r>
          </w:p>
          <w:p w14:paraId="736986FA" w14:textId="77777777" w:rsidR="004357B9" w:rsidRPr="00A30C4C" w:rsidRDefault="004357B9" w:rsidP="004357B9">
            <w:pPr>
              <w:rPr>
                <w:rFonts w:ascii="Times New Roman" w:hAnsi="Times New Roman"/>
                <w:sz w:val="24"/>
              </w:rPr>
            </w:pPr>
            <w:r>
              <w:rPr>
                <w:rFonts w:ascii="Times New Roman" w:hAnsi="Times New Roman"/>
                <w:sz w:val="24"/>
              </w:rPr>
              <w:t>Ista definicija kao za stupac 010 obrasca CR SA</w:t>
            </w:r>
          </w:p>
        </w:tc>
      </w:tr>
      <w:tr w:rsidR="004357B9" w:rsidRPr="00A30C4C" w14:paraId="29EDD32F" w14:textId="77777777" w:rsidTr="00672D2A">
        <w:tc>
          <w:tcPr>
            <w:tcW w:w="1188" w:type="dxa"/>
          </w:tcPr>
          <w:p w14:paraId="78065DD2" w14:textId="77777777" w:rsidR="004357B9" w:rsidRPr="00A30C4C" w:rsidRDefault="004357B9" w:rsidP="004357B9">
            <w:pPr>
              <w:rPr>
                <w:rFonts w:ascii="Times New Roman" w:hAnsi="Times New Roman"/>
                <w:sz w:val="24"/>
              </w:rPr>
            </w:pPr>
            <w:r>
              <w:rPr>
                <w:rFonts w:ascii="Times New Roman" w:hAnsi="Times New Roman"/>
                <w:sz w:val="24"/>
              </w:rPr>
              <w:t>020</w:t>
            </w:r>
          </w:p>
        </w:tc>
        <w:tc>
          <w:tcPr>
            <w:tcW w:w="8640" w:type="dxa"/>
          </w:tcPr>
          <w:p w14:paraId="274A33EE" w14:textId="77777777" w:rsidR="004357B9" w:rsidRPr="00A30C4C" w:rsidRDefault="00771E97" w:rsidP="004357B9">
            <w:pPr>
              <w:rPr>
                <w:rFonts w:ascii="Times New Roman" w:hAnsi="Times New Roman"/>
                <w:b/>
                <w:sz w:val="24"/>
                <w:u w:val="single"/>
              </w:rPr>
            </w:pPr>
            <w:r>
              <w:rPr>
                <w:rFonts w:ascii="Times New Roman" w:hAnsi="Times New Roman"/>
                <w:b/>
                <w:sz w:val="24"/>
                <w:u w:val="single"/>
              </w:rPr>
              <w:t>Izloženosti sa statusom neispunjavanja obveza</w:t>
            </w:r>
          </w:p>
          <w:p w14:paraId="64B70800" w14:textId="013EB10C"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Originalna izloženost prije konverzijskih faktora za izloženosti koje su raspoređene kao „izloženosti sa statusom neispunjavanja obveza” i za izloženosti sa statusom neispunjavanja obveza koje se raspoređuju u kategoriju „izloženosti visokorizične stavke” i „izloženosti na osnovi vlasničkih ulaganja”.</w:t>
            </w:r>
          </w:p>
          <w:p w14:paraId="5CBAE055" w14:textId="2D732DEA"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U navedenoj se „bilješci” daju dodatne informacije o strukturi dužnika kategorije izloženosti sa statusom neispunjavanja obveza. Izloženosti raspoređene u kategoriju „izloženosti sa statusom neispunjavanja obveza” kako je navedeno u članku 112. točki (j) CRR-a iskazuju se kada bi se dužnici morali </w:t>
            </w:r>
            <w:r>
              <w:rPr>
                <w:rStyle w:val="InstructionsTabelleText"/>
                <w:rFonts w:ascii="Times New Roman" w:hAnsi="Times New Roman"/>
                <w:sz w:val="24"/>
              </w:rPr>
              <w:br/>
              <w:t xml:space="preserve">iskazati ako te izloženosti ne bi bile raspoređene u kategorije „izloženosti sa statusom neispunjavanja obveza”. </w:t>
            </w:r>
          </w:p>
          <w:p w14:paraId="083D1225" w14:textId="0F2233E6" w:rsidR="004357B9" w:rsidRPr="00A30C4C" w:rsidRDefault="004357B9" w:rsidP="00763B4B">
            <w:pPr>
              <w:rPr>
                <w:rFonts w:ascii="Times New Roman" w:hAnsi="Times New Roman"/>
                <w:sz w:val="24"/>
              </w:rPr>
            </w:pPr>
            <w:r>
              <w:rPr>
                <w:rStyle w:val="InstructionsTabelleText"/>
                <w:rFonts w:ascii="Times New Roman" w:hAnsi="Times New Roman"/>
                <w:sz w:val="24"/>
              </w:rPr>
              <w:t>Ta je informacija „bilješka” i stoga ne utječe na izračun iznosa izloženosti ponderiranih rizikom kategorija „izloženosti sa statusom neispunjavanja obveza”, „visokorizične izloženosti” i „izloženosti na osnovi vlasničkih ulaganja” kako su navedene u članku 112. točkama (j), (k) i (p) CRR-a.</w:t>
            </w:r>
          </w:p>
        </w:tc>
      </w:tr>
      <w:tr w:rsidR="004357B9" w:rsidRPr="00A30C4C" w14:paraId="2E3F251B" w14:textId="77777777" w:rsidTr="00672D2A">
        <w:tc>
          <w:tcPr>
            <w:tcW w:w="1188" w:type="dxa"/>
          </w:tcPr>
          <w:p w14:paraId="23CB7F54" w14:textId="77777777" w:rsidR="004357B9" w:rsidRPr="00A30C4C" w:rsidRDefault="004357B9" w:rsidP="004357B9">
            <w:pPr>
              <w:rPr>
                <w:rFonts w:ascii="Times New Roman" w:hAnsi="Times New Roman"/>
                <w:sz w:val="24"/>
              </w:rPr>
            </w:pPr>
            <w:r>
              <w:rPr>
                <w:rFonts w:ascii="Times New Roman" w:hAnsi="Times New Roman"/>
                <w:sz w:val="24"/>
              </w:rPr>
              <w:lastRenderedPageBreak/>
              <w:t>040</w:t>
            </w:r>
          </w:p>
        </w:tc>
        <w:tc>
          <w:tcPr>
            <w:tcW w:w="8640" w:type="dxa"/>
          </w:tcPr>
          <w:p w14:paraId="50E07768"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Zabilježeni novi statusi neispunjavanja obveza tijekom razdoblja</w:t>
            </w:r>
          </w:p>
          <w:p w14:paraId="4E51ABF8" w14:textId="77777777" w:rsidR="004357B9" w:rsidRPr="00A30C4C" w:rsidRDefault="00DF70AE" w:rsidP="00DF70AE">
            <w:pPr>
              <w:rPr>
                <w:rFonts w:ascii="Times New Roman" w:hAnsi="Times New Roman"/>
                <w:b/>
                <w:sz w:val="24"/>
                <w:u w:val="single"/>
              </w:rPr>
            </w:pPr>
            <w:r>
              <w:rPr>
                <w:rStyle w:val="InstructionsTabelleText"/>
                <w:rFonts w:ascii="Times New Roman" w:hAnsi="Times New Roman"/>
                <w:sz w:val="24"/>
              </w:rPr>
              <w:t>Iznos originalnih izloženosti koje su prenesene u kategoriju izloženosti „sa statusom neispunjavanja obveza” tijekom 3-mjesečnog razdoblje od posljednjeg referentnog datuma izvješćivanja iskazuje se u odnosu na kategoriju izloženosti kojoj je dužnik originalno pripadao.</w:t>
            </w:r>
          </w:p>
        </w:tc>
      </w:tr>
      <w:tr w:rsidR="004357B9" w:rsidRPr="00A30C4C" w14:paraId="762DAFD3" w14:textId="77777777" w:rsidTr="00672D2A">
        <w:tc>
          <w:tcPr>
            <w:tcW w:w="1188" w:type="dxa"/>
          </w:tcPr>
          <w:p w14:paraId="477F58BF" w14:textId="77777777" w:rsidR="004357B9" w:rsidRPr="00A30C4C" w:rsidRDefault="004357B9" w:rsidP="004357B9">
            <w:pPr>
              <w:rPr>
                <w:rFonts w:ascii="Times New Roman" w:hAnsi="Times New Roman"/>
                <w:sz w:val="24"/>
              </w:rPr>
            </w:pPr>
            <w:r>
              <w:rPr>
                <w:rFonts w:ascii="Times New Roman" w:hAnsi="Times New Roman"/>
                <w:sz w:val="24"/>
              </w:rPr>
              <w:t>050</w:t>
            </w:r>
          </w:p>
        </w:tc>
        <w:tc>
          <w:tcPr>
            <w:tcW w:w="8640" w:type="dxa"/>
          </w:tcPr>
          <w:p w14:paraId="7B7C6C5A"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Opći ispravci vrijednosti za kreditni rizik</w:t>
            </w:r>
          </w:p>
          <w:p w14:paraId="6F55B825" w14:textId="18EA79A9" w:rsidR="004357B9" w:rsidRPr="00A30C4C" w:rsidRDefault="004357B9" w:rsidP="004357B9">
            <w:pPr>
              <w:rPr>
                <w:rFonts w:ascii="Times New Roman" w:hAnsi="Times New Roman"/>
                <w:sz w:val="24"/>
              </w:rPr>
            </w:pPr>
            <w:r>
              <w:rPr>
                <w:rFonts w:ascii="Times New Roman" w:hAnsi="Times New Roman"/>
                <w:sz w:val="24"/>
              </w:rPr>
              <w:t xml:space="preserve">Ispravci vrijednosti za kreditni rizik kako su navedeni u članku 110. CRR-a </w:t>
            </w:r>
          </w:p>
          <w:p w14:paraId="46866298" w14:textId="0F5ECB0A" w:rsidR="00D95045" w:rsidRPr="00A30C4C" w:rsidRDefault="00D95045" w:rsidP="00D95045">
            <w:pPr>
              <w:rPr>
                <w:rFonts w:ascii="Times New Roman" w:hAnsi="Times New Roman"/>
                <w:sz w:val="24"/>
              </w:rPr>
            </w:pPr>
            <w:r>
              <w:rPr>
                <w:rFonts w:ascii="Times New Roman" w:hAnsi="Times New Roman"/>
                <w:sz w:val="24"/>
              </w:rPr>
              <w:t>Ova stavka uključuje opće ispravke vrijednosti za kreditni rizik koji ispunjavaju uvjete za uključivanje u dopunski kapital, prije primjene gornje granice iz članka 62. točke (c) CRR-a.</w:t>
            </w:r>
          </w:p>
          <w:p w14:paraId="2C814480" w14:textId="77777777" w:rsidR="00D95045" w:rsidRPr="00A30C4C" w:rsidRDefault="00D95045" w:rsidP="00D95045">
            <w:pPr>
              <w:rPr>
                <w:rFonts w:ascii="Times New Roman" w:hAnsi="Times New Roman"/>
                <w:b/>
                <w:sz w:val="24"/>
                <w:u w:val="single"/>
              </w:rPr>
            </w:pPr>
            <w:r>
              <w:rPr>
                <w:rFonts w:ascii="Times New Roman" w:hAnsi="Times New Roman"/>
                <w:sz w:val="24"/>
              </w:rPr>
              <w:t>Iznos koji se iskazuje nije umanjen za porezne učinke.</w:t>
            </w:r>
          </w:p>
        </w:tc>
      </w:tr>
      <w:tr w:rsidR="004357B9" w:rsidRPr="00A30C4C" w14:paraId="7C2BFDFD" w14:textId="77777777" w:rsidTr="00672D2A">
        <w:tc>
          <w:tcPr>
            <w:tcW w:w="1188" w:type="dxa"/>
          </w:tcPr>
          <w:p w14:paraId="51BF1CE0" w14:textId="77777777" w:rsidR="004357B9" w:rsidRPr="00A30C4C" w:rsidRDefault="004357B9" w:rsidP="004357B9">
            <w:pPr>
              <w:rPr>
                <w:rFonts w:ascii="Times New Roman" w:hAnsi="Times New Roman"/>
                <w:sz w:val="24"/>
              </w:rPr>
            </w:pPr>
            <w:r>
              <w:rPr>
                <w:rFonts w:ascii="Times New Roman" w:hAnsi="Times New Roman"/>
                <w:sz w:val="24"/>
              </w:rPr>
              <w:t>055</w:t>
            </w:r>
          </w:p>
        </w:tc>
        <w:tc>
          <w:tcPr>
            <w:tcW w:w="8640" w:type="dxa"/>
          </w:tcPr>
          <w:p w14:paraId="2BC39485"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Specifični ispravci vrijednosti za kreditni rizik</w:t>
            </w:r>
          </w:p>
          <w:p w14:paraId="09256F50" w14:textId="72AF8530" w:rsidR="004357B9" w:rsidRPr="00A30C4C" w:rsidRDefault="004357B9" w:rsidP="003B2712">
            <w:pPr>
              <w:rPr>
                <w:rFonts w:ascii="Times New Roman" w:hAnsi="Times New Roman"/>
                <w:b/>
                <w:sz w:val="24"/>
                <w:u w:val="single"/>
              </w:rPr>
            </w:pPr>
            <w:r>
              <w:rPr>
                <w:rFonts w:ascii="Times New Roman" w:hAnsi="Times New Roman"/>
                <w:sz w:val="24"/>
              </w:rPr>
              <w:t>Ispravci vrijednosti za kreditni rizik kako su navedeni u članku 110. CRR-a</w:t>
            </w:r>
          </w:p>
        </w:tc>
      </w:tr>
      <w:tr w:rsidR="004357B9" w:rsidRPr="00A30C4C" w14:paraId="7171770E" w14:textId="77777777" w:rsidTr="00672D2A">
        <w:tc>
          <w:tcPr>
            <w:tcW w:w="1188" w:type="dxa"/>
          </w:tcPr>
          <w:p w14:paraId="3EBBE060"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640" w:type="dxa"/>
          </w:tcPr>
          <w:p w14:paraId="489B9A51"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Otpisi</w:t>
            </w:r>
          </w:p>
          <w:p w14:paraId="147BEE4B"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Otpisi uključuju smanjenja umanjene vrijednosti financijske imovine izravno priznate u dobiti ili gubitku [MSFI 7.B5.(d).(i)] i smanjenja iznosa ispravaka vrijednosti umanjene financijske imovine [MSFI 7.B5.(d).(ii)].</w:t>
            </w:r>
          </w:p>
        </w:tc>
      </w:tr>
      <w:tr w:rsidR="004357B9" w:rsidRPr="00A30C4C" w14:paraId="0ED5012D" w14:textId="77777777" w:rsidTr="00672D2A">
        <w:tc>
          <w:tcPr>
            <w:tcW w:w="1188" w:type="dxa"/>
          </w:tcPr>
          <w:p w14:paraId="28F13CB0"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640" w:type="dxa"/>
          </w:tcPr>
          <w:p w14:paraId="49B1F54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Ispravci vrijednosti za kreditni rizik/otpisi za zabilježene nove statuse neispunjavanja obveza</w:t>
            </w:r>
          </w:p>
          <w:p w14:paraId="4B1C116B"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Zbroj ispravaka vrijednosti i otpisa za izloženosti koje su razvrstane kao „izloženosti sa statusom neispunjavanja obveza” tijekom 3-mjesečnog razdoblja od posljednjeg podnošenja podataka</w:t>
            </w:r>
          </w:p>
        </w:tc>
      </w:tr>
      <w:tr w:rsidR="004357B9" w:rsidRPr="00A30C4C" w14:paraId="517526D9" w14:textId="77777777" w:rsidTr="00672D2A">
        <w:tc>
          <w:tcPr>
            <w:tcW w:w="1188" w:type="dxa"/>
          </w:tcPr>
          <w:p w14:paraId="1C9AE3E1" w14:textId="77777777" w:rsidR="004357B9" w:rsidRPr="00A30C4C" w:rsidRDefault="004357B9" w:rsidP="004357B9">
            <w:pPr>
              <w:rPr>
                <w:rFonts w:ascii="Times New Roman" w:hAnsi="Times New Roman"/>
                <w:sz w:val="24"/>
              </w:rPr>
            </w:pPr>
            <w:r>
              <w:rPr>
                <w:rFonts w:ascii="Times New Roman" w:hAnsi="Times New Roman"/>
                <w:sz w:val="24"/>
              </w:rPr>
              <w:t>075</w:t>
            </w:r>
          </w:p>
        </w:tc>
        <w:tc>
          <w:tcPr>
            <w:tcW w:w="8640" w:type="dxa"/>
          </w:tcPr>
          <w:p w14:paraId="7D2501F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Vrijednost izloženosti</w:t>
            </w:r>
          </w:p>
          <w:p w14:paraId="0FC9F2D2"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200 obrasca CR SA</w:t>
            </w:r>
          </w:p>
        </w:tc>
      </w:tr>
      <w:tr w:rsidR="004357B9" w:rsidRPr="00A30C4C" w14:paraId="1E6CBFD9" w14:textId="77777777" w:rsidTr="00672D2A">
        <w:tc>
          <w:tcPr>
            <w:tcW w:w="1188" w:type="dxa"/>
          </w:tcPr>
          <w:p w14:paraId="16603464" w14:textId="77777777" w:rsidR="004357B9" w:rsidRPr="00A30C4C" w:rsidRDefault="004357B9" w:rsidP="004357B9">
            <w:pPr>
              <w:rPr>
                <w:rFonts w:ascii="Times New Roman" w:hAnsi="Times New Roman"/>
                <w:sz w:val="24"/>
              </w:rPr>
            </w:pPr>
            <w:r>
              <w:rPr>
                <w:rFonts w:ascii="Times New Roman" w:hAnsi="Times New Roman"/>
                <w:sz w:val="24"/>
              </w:rPr>
              <w:t>080</w:t>
            </w:r>
          </w:p>
        </w:tc>
        <w:tc>
          <w:tcPr>
            <w:tcW w:w="8640" w:type="dxa"/>
          </w:tcPr>
          <w:p w14:paraId="03C6A6D7"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IZNOS IZLOŽENOSTI PONDERIRAN RIZIKOM PRIJE PRIMJENE POMOĆNOG FAKTORA ZA MSP-ove</w:t>
            </w:r>
          </w:p>
          <w:p w14:paraId="76FB36A8" w14:textId="77777777" w:rsidR="004357B9" w:rsidRPr="00A30C4C" w:rsidRDefault="004357B9" w:rsidP="004357B9">
            <w:pPr>
              <w:rPr>
                <w:rFonts w:ascii="Times New Roman" w:hAnsi="Times New Roman"/>
                <w:b/>
                <w:sz w:val="24"/>
                <w:u w:val="single"/>
              </w:rPr>
            </w:pPr>
            <w:r>
              <w:rPr>
                <w:rFonts w:ascii="Times New Roman" w:hAnsi="Times New Roman"/>
                <w:sz w:val="24"/>
              </w:rPr>
              <w:t>Ista definicija kao za stupac 215 obrasca CR SA</w:t>
            </w:r>
          </w:p>
        </w:tc>
      </w:tr>
      <w:tr w:rsidR="004357B9" w:rsidRPr="00A30C4C" w14:paraId="7637CECB" w14:textId="77777777" w:rsidTr="00672D2A">
        <w:tc>
          <w:tcPr>
            <w:tcW w:w="1188" w:type="dxa"/>
          </w:tcPr>
          <w:p w14:paraId="4D08A233" w14:textId="77777777" w:rsidR="004357B9" w:rsidRPr="00A30C4C" w:rsidRDefault="004357B9" w:rsidP="004357B9">
            <w:pPr>
              <w:rPr>
                <w:rFonts w:ascii="Times New Roman" w:hAnsi="Times New Roman"/>
                <w:sz w:val="24"/>
              </w:rPr>
            </w:pPr>
            <w:r>
              <w:rPr>
                <w:rFonts w:ascii="Times New Roman" w:hAnsi="Times New Roman"/>
                <w:sz w:val="24"/>
              </w:rPr>
              <w:t>090</w:t>
            </w:r>
          </w:p>
        </w:tc>
        <w:tc>
          <w:tcPr>
            <w:tcW w:w="8640" w:type="dxa"/>
          </w:tcPr>
          <w:p w14:paraId="5F436B79"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IZNOS IZLOŽENOSTI PONDERIRAN RIZIKOM NAKON PRIMJENE POMOĆNOG FAKTORA ZA MSP-ove</w:t>
            </w:r>
          </w:p>
          <w:p w14:paraId="387EDED8" w14:textId="77777777" w:rsidR="004357B9" w:rsidRPr="00A30C4C" w:rsidRDefault="004357B9" w:rsidP="004357B9">
            <w:pPr>
              <w:rPr>
                <w:rFonts w:ascii="Times New Roman" w:hAnsi="Times New Roman"/>
                <w:b/>
                <w:sz w:val="24"/>
                <w:u w:val="single"/>
              </w:rPr>
            </w:pPr>
            <w:r>
              <w:rPr>
                <w:rFonts w:ascii="Times New Roman" w:hAnsi="Times New Roman"/>
                <w:sz w:val="24"/>
              </w:rPr>
              <w:t>Ista definicija kao za stupac 220 obrasca CR SA</w:t>
            </w:r>
          </w:p>
        </w:tc>
      </w:tr>
    </w:tbl>
    <w:p w14:paraId="56054924" w14:textId="77777777" w:rsidR="004357B9" w:rsidRPr="00A30C4C"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A30C4C" w14:paraId="0F5D510B" w14:textId="77777777" w:rsidTr="00672D2A">
        <w:trPr>
          <w:gridAfter w:val="1"/>
          <w:wAfter w:w="61" w:type="dxa"/>
          <w:trHeight w:val="581"/>
        </w:trPr>
        <w:tc>
          <w:tcPr>
            <w:tcW w:w="9828" w:type="dxa"/>
            <w:gridSpan w:val="2"/>
            <w:shd w:val="clear" w:color="auto" w:fill="CCCCCC"/>
          </w:tcPr>
          <w:p w14:paraId="23D3CC9C" w14:textId="77777777" w:rsidR="004357B9" w:rsidRPr="00A30C4C"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Redci</w:t>
            </w:r>
          </w:p>
        </w:tc>
      </w:tr>
      <w:tr w:rsidR="004357B9" w:rsidRPr="00A30C4C" w14:paraId="2F593AC9" w14:textId="77777777" w:rsidTr="00672D2A">
        <w:tc>
          <w:tcPr>
            <w:tcW w:w="1188" w:type="dxa"/>
            <w:shd w:val="clear" w:color="auto" w:fill="FFFFFF"/>
          </w:tcPr>
          <w:p w14:paraId="09FADAB5" w14:textId="77777777" w:rsidR="004357B9" w:rsidRPr="00A30C4C"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14:paraId="77A4FEB5"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Središnje države ili središnje banke</w:t>
            </w:r>
          </w:p>
          <w:p w14:paraId="0FCC655C" w14:textId="458570AF" w:rsidR="004357B9" w:rsidRPr="00A30C4C" w:rsidRDefault="00D21B29" w:rsidP="00D21B29">
            <w:pPr>
              <w:ind w:left="72"/>
              <w:rPr>
                <w:rStyle w:val="InstructionsTabelleText"/>
                <w:rFonts w:ascii="Times New Roman" w:hAnsi="Times New Roman"/>
                <w:sz w:val="24"/>
              </w:rPr>
            </w:pPr>
            <w:r>
              <w:rPr>
                <w:rFonts w:ascii="Times New Roman" w:hAnsi="Times New Roman"/>
                <w:sz w:val="24"/>
              </w:rPr>
              <w:t>Članak 112. točka (a) CRR-a</w:t>
            </w:r>
          </w:p>
        </w:tc>
      </w:tr>
      <w:tr w:rsidR="004357B9" w:rsidRPr="00A30C4C" w14:paraId="5D6B04F0" w14:textId="77777777" w:rsidTr="00672D2A">
        <w:tc>
          <w:tcPr>
            <w:tcW w:w="1188" w:type="dxa"/>
            <w:shd w:val="clear" w:color="auto" w:fill="FFFFFF"/>
          </w:tcPr>
          <w:p w14:paraId="0D310BFC" w14:textId="77777777" w:rsidR="004357B9" w:rsidRPr="00A30C4C" w:rsidRDefault="004357B9" w:rsidP="004357B9">
            <w:pPr>
              <w:rPr>
                <w:rFonts w:ascii="Times New Roman" w:hAnsi="Times New Roman"/>
                <w:sz w:val="24"/>
              </w:rPr>
            </w:pPr>
            <w:r>
              <w:rPr>
                <w:rFonts w:ascii="Times New Roman" w:hAnsi="Times New Roman"/>
                <w:sz w:val="24"/>
              </w:rPr>
              <w:lastRenderedPageBreak/>
              <w:t>020</w:t>
            </w:r>
          </w:p>
        </w:tc>
        <w:tc>
          <w:tcPr>
            <w:tcW w:w="8701" w:type="dxa"/>
            <w:gridSpan w:val="2"/>
            <w:shd w:val="clear" w:color="auto" w:fill="FFFFFF"/>
          </w:tcPr>
          <w:p w14:paraId="2DA589A8"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Jedinice područne (regionalne) ili lokalne samouprave</w:t>
            </w:r>
          </w:p>
          <w:p w14:paraId="429EB3F8" w14:textId="70223954"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(b) CRR-a</w:t>
            </w:r>
          </w:p>
        </w:tc>
      </w:tr>
      <w:tr w:rsidR="004357B9" w:rsidRPr="00A30C4C" w14:paraId="213DF72C" w14:textId="77777777" w:rsidTr="00672D2A">
        <w:tc>
          <w:tcPr>
            <w:tcW w:w="1188" w:type="dxa"/>
            <w:shd w:val="clear" w:color="auto" w:fill="FFFFFF"/>
          </w:tcPr>
          <w:p w14:paraId="6DA94ED7" w14:textId="77777777" w:rsidR="004357B9" w:rsidRPr="00A30C4C"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14:paraId="13427E47"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javnog sektora</w:t>
            </w:r>
          </w:p>
          <w:p w14:paraId="78F31A1E" w14:textId="23CA771B"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(c) CRR-a</w:t>
            </w:r>
          </w:p>
        </w:tc>
      </w:tr>
      <w:tr w:rsidR="004357B9" w:rsidRPr="00A30C4C" w14:paraId="690BBFE3" w14:textId="77777777" w:rsidTr="00672D2A">
        <w:tc>
          <w:tcPr>
            <w:tcW w:w="1188" w:type="dxa"/>
            <w:shd w:val="clear" w:color="auto" w:fill="FFFFFF"/>
          </w:tcPr>
          <w:p w14:paraId="614019A4" w14:textId="77777777" w:rsidR="004357B9" w:rsidRPr="00A30C4C"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14:paraId="73248D6E"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Multilateralne razvojne banke</w:t>
            </w:r>
          </w:p>
          <w:p w14:paraId="5C52A188" w14:textId="11EE4A10"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w:t>
            </w:r>
            <w:r>
              <w:rPr>
                <w:rStyle w:val="InstructionsTabelleText"/>
                <w:rFonts w:ascii="Times New Roman" w:hAnsi="Times New Roman"/>
                <w:sz w:val="24"/>
              </w:rPr>
              <w:t xml:space="preserve"> točka (d)</w:t>
            </w:r>
            <w:r>
              <w:rPr>
                <w:rFonts w:ascii="Times New Roman" w:hAnsi="Times New Roman"/>
                <w:bCs/>
                <w:sz w:val="24"/>
              </w:rPr>
              <w:t xml:space="preserve"> CRR-a</w:t>
            </w:r>
          </w:p>
        </w:tc>
      </w:tr>
      <w:tr w:rsidR="004357B9" w:rsidRPr="00A30C4C" w14:paraId="4D7CF9C5" w14:textId="77777777" w:rsidTr="00672D2A">
        <w:tc>
          <w:tcPr>
            <w:tcW w:w="1188" w:type="dxa"/>
            <w:shd w:val="clear" w:color="auto" w:fill="FFFFFF"/>
          </w:tcPr>
          <w:p w14:paraId="02CD4D5F" w14:textId="77777777" w:rsidR="004357B9" w:rsidRPr="00A30C4C" w:rsidRDefault="004357B9" w:rsidP="004357B9">
            <w:pPr>
              <w:rPr>
                <w:rFonts w:ascii="Times New Roman" w:hAnsi="Times New Roman"/>
                <w:sz w:val="24"/>
              </w:rPr>
            </w:pPr>
            <w:r>
              <w:rPr>
                <w:rFonts w:ascii="Times New Roman" w:hAnsi="Times New Roman"/>
                <w:sz w:val="24"/>
              </w:rPr>
              <w:t>050</w:t>
            </w:r>
          </w:p>
        </w:tc>
        <w:tc>
          <w:tcPr>
            <w:tcW w:w="8701" w:type="dxa"/>
            <w:gridSpan w:val="2"/>
            <w:shd w:val="clear" w:color="auto" w:fill="FFFFFF"/>
          </w:tcPr>
          <w:p w14:paraId="191DEA30"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Međunarodne organizacije</w:t>
            </w:r>
          </w:p>
          <w:p w14:paraId="2BAE0184" w14:textId="48737763"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(e) CRR-a</w:t>
            </w:r>
          </w:p>
        </w:tc>
      </w:tr>
      <w:tr w:rsidR="004357B9" w:rsidRPr="00A30C4C" w14:paraId="38ABA1B5" w14:textId="77777777" w:rsidTr="00672D2A">
        <w:tc>
          <w:tcPr>
            <w:tcW w:w="1188" w:type="dxa"/>
            <w:shd w:val="clear" w:color="auto" w:fill="FFFFFF"/>
          </w:tcPr>
          <w:p w14:paraId="4E86EC15"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14:paraId="291BC296"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Institucije</w:t>
            </w:r>
          </w:p>
          <w:p w14:paraId="2904CFFB" w14:textId="566A617B"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(f) CRR-a</w:t>
            </w:r>
          </w:p>
        </w:tc>
      </w:tr>
      <w:tr w:rsidR="004357B9" w:rsidRPr="00A30C4C" w14:paraId="69E525A3" w14:textId="77777777" w:rsidTr="00672D2A">
        <w:tc>
          <w:tcPr>
            <w:tcW w:w="1188" w:type="dxa"/>
            <w:shd w:val="clear" w:color="auto" w:fill="FFFFFF"/>
          </w:tcPr>
          <w:p w14:paraId="2B676835"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14:paraId="39158FB9"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Trgovačka društva</w:t>
            </w:r>
          </w:p>
          <w:p w14:paraId="0B377737" w14:textId="4BFB5A58"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(g) CRR-a</w:t>
            </w:r>
          </w:p>
        </w:tc>
      </w:tr>
      <w:tr w:rsidR="004357B9" w:rsidRPr="00A30C4C" w14:paraId="2F441EB7" w14:textId="77777777" w:rsidTr="00672D2A">
        <w:tc>
          <w:tcPr>
            <w:tcW w:w="1188" w:type="dxa"/>
            <w:shd w:val="clear" w:color="auto" w:fill="FFFFFF"/>
          </w:tcPr>
          <w:p w14:paraId="16E1C1F2" w14:textId="77777777" w:rsidR="004357B9" w:rsidRPr="00A30C4C"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14:paraId="6DDA31AF"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14:paraId="66B0FF6E" w14:textId="77777777" w:rsidR="004357B9" w:rsidRPr="00A30C4C"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020 obrasca CR SA</w:t>
            </w:r>
          </w:p>
        </w:tc>
      </w:tr>
      <w:tr w:rsidR="004357B9" w:rsidRPr="00A30C4C" w14:paraId="61F699C5" w14:textId="77777777" w:rsidTr="00672D2A">
        <w:tc>
          <w:tcPr>
            <w:tcW w:w="1188" w:type="dxa"/>
            <w:shd w:val="clear" w:color="auto" w:fill="FFFFFF"/>
          </w:tcPr>
          <w:p w14:paraId="635B20B4" w14:textId="77777777" w:rsidR="004357B9" w:rsidRPr="00A30C4C"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14:paraId="3A028B82"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Stanovništvo</w:t>
            </w:r>
          </w:p>
          <w:p w14:paraId="0EAEC635" w14:textId="5AF25699"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(h) CRR-a</w:t>
            </w:r>
          </w:p>
        </w:tc>
      </w:tr>
      <w:tr w:rsidR="004357B9" w:rsidRPr="00A30C4C" w14:paraId="7B9A6B0C" w14:textId="77777777" w:rsidTr="00672D2A">
        <w:tc>
          <w:tcPr>
            <w:tcW w:w="1188" w:type="dxa"/>
            <w:shd w:val="clear" w:color="auto" w:fill="FFFFFF"/>
          </w:tcPr>
          <w:p w14:paraId="4C761573" w14:textId="77777777" w:rsidR="004357B9" w:rsidRPr="00A30C4C"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14:paraId="6921B26B"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14:paraId="4CC6A450" w14:textId="77777777" w:rsidR="004357B9" w:rsidRPr="00A30C4C"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redak 020 obrasca CR SA</w:t>
            </w:r>
          </w:p>
        </w:tc>
      </w:tr>
      <w:tr w:rsidR="004357B9" w:rsidRPr="00A30C4C" w14:paraId="300D14E6" w14:textId="77777777" w:rsidTr="00672D2A">
        <w:tc>
          <w:tcPr>
            <w:tcW w:w="1188" w:type="dxa"/>
            <w:shd w:val="clear" w:color="auto" w:fill="FFFFFF"/>
          </w:tcPr>
          <w:p w14:paraId="6E09B154" w14:textId="77777777" w:rsidR="004357B9" w:rsidRPr="00A30C4C"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14:paraId="04E4DB08"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Osigurane nekretninama</w:t>
            </w:r>
          </w:p>
          <w:p w14:paraId="5AB36A97" w14:textId="648283A5" w:rsidR="004357B9" w:rsidRPr="00A30C4C" w:rsidRDefault="00D21B29" w:rsidP="00D21B29">
            <w:pPr>
              <w:ind w:left="72"/>
              <w:rPr>
                <w:rStyle w:val="InstructionsTabelleText"/>
                <w:rFonts w:ascii="Times New Roman" w:hAnsi="Times New Roman"/>
                <w:sz w:val="24"/>
              </w:rPr>
            </w:pPr>
            <w:r>
              <w:rPr>
                <w:rFonts w:ascii="Times New Roman" w:hAnsi="Times New Roman"/>
                <w:sz w:val="24"/>
              </w:rPr>
              <w:t xml:space="preserve">Članak 112. </w:t>
            </w:r>
            <w:r>
              <w:rPr>
                <w:rFonts w:ascii="Times New Roman" w:hAnsi="Times New Roman"/>
                <w:bCs/>
                <w:sz w:val="24"/>
              </w:rPr>
              <w:t>točka (i)</w:t>
            </w:r>
            <w:r>
              <w:rPr>
                <w:rFonts w:ascii="Times New Roman" w:hAnsi="Times New Roman"/>
                <w:sz w:val="24"/>
              </w:rPr>
              <w:t xml:space="preserve"> CRR-a</w:t>
            </w:r>
          </w:p>
        </w:tc>
      </w:tr>
      <w:tr w:rsidR="004357B9" w:rsidRPr="00A30C4C" w14:paraId="10CA01AC" w14:textId="77777777" w:rsidTr="00672D2A">
        <w:tc>
          <w:tcPr>
            <w:tcW w:w="1188" w:type="dxa"/>
            <w:shd w:val="clear" w:color="auto" w:fill="FFFFFF"/>
          </w:tcPr>
          <w:p w14:paraId="00E78091" w14:textId="77777777" w:rsidR="004357B9" w:rsidRPr="00A30C4C"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14:paraId="4C3BF951"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od čega: MSP</w:t>
            </w:r>
          </w:p>
          <w:p w14:paraId="33D86C93" w14:textId="77777777" w:rsidR="004357B9" w:rsidRPr="00A30C4C"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Ista definicija kao za stupac 020 obrasca CR SA</w:t>
            </w:r>
          </w:p>
        </w:tc>
      </w:tr>
      <w:tr w:rsidR="004357B9" w:rsidRPr="00A30C4C" w14:paraId="36A48887" w14:textId="77777777" w:rsidTr="00672D2A">
        <w:tc>
          <w:tcPr>
            <w:tcW w:w="1188" w:type="dxa"/>
            <w:shd w:val="clear" w:color="auto" w:fill="FFFFFF"/>
          </w:tcPr>
          <w:p w14:paraId="30AED4CA" w14:textId="77777777" w:rsidR="004357B9" w:rsidRPr="00A30C4C"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14:paraId="3E2610CA"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Izloženosti sa statusom neispunjavanja obveza</w:t>
            </w:r>
          </w:p>
          <w:p w14:paraId="555EF331" w14:textId="6662C3C8"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(j) CRR-a</w:t>
            </w:r>
          </w:p>
        </w:tc>
      </w:tr>
      <w:tr w:rsidR="004357B9" w:rsidRPr="00A30C4C" w14:paraId="2CD722D1" w14:textId="77777777" w:rsidTr="00672D2A">
        <w:tc>
          <w:tcPr>
            <w:tcW w:w="1188" w:type="dxa"/>
            <w:shd w:val="clear" w:color="auto" w:fill="FFFFFF"/>
          </w:tcPr>
          <w:p w14:paraId="611661D5" w14:textId="77777777" w:rsidR="004357B9" w:rsidRPr="00A30C4C"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14:paraId="32B40A76" w14:textId="77777777" w:rsidR="004357B9" w:rsidRPr="00A30C4C"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Visokorizične stavke</w:t>
            </w:r>
          </w:p>
          <w:p w14:paraId="400221CA" w14:textId="282ECE73" w:rsidR="004357B9" w:rsidRPr="00A30C4C"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Članak 112. točka (k) CRR-a</w:t>
            </w:r>
          </w:p>
        </w:tc>
      </w:tr>
      <w:tr w:rsidR="004357B9" w:rsidRPr="00A30C4C" w14:paraId="0B3750B5" w14:textId="77777777" w:rsidTr="00672D2A">
        <w:tc>
          <w:tcPr>
            <w:tcW w:w="1188" w:type="dxa"/>
            <w:shd w:val="clear" w:color="auto" w:fill="FFFFFF"/>
          </w:tcPr>
          <w:p w14:paraId="545F7CFF" w14:textId="77777777" w:rsidR="004357B9" w:rsidRPr="00A30C4C"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14:paraId="6E4B3101" w14:textId="77777777" w:rsidR="004357B9" w:rsidRPr="00A30C4C"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Pokrivene obveznice</w:t>
            </w:r>
          </w:p>
          <w:p w14:paraId="55A3E28E" w14:textId="1072B586" w:rsidR="004357B9" w:rsidRPr="00A30C4C"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u w:val="single"/>
              </w:rPr>
              <w:t>Članak 112.</w:t>
            </w:r>
            <w:r>
              <w:rPr>
                <w:rFonts w:ascii="Times New Roman" w:hAnsi="Times New Roman"/>
                <w:bCs/>
                <w:sz w:val="24"/>
              </w:rPr>
              <w:t xml:space="preserve"> točka (l) CRR-a</w:t>
            </w:r>
          </w:p>
        </w:tc>
      </w:tr>
      <w:tr w:rsidR="004357B9" w:rsidRPr="00A30C4C" w14:paraId="31AA3E6C" w14:textId="77777777" w:rsidTr="00672D2A">
        <w:tc>
          <w:tcPr>
            <w:tcW w:w="1188" w:type="dxa"/>
            <w:shd w:val="clear" w:color="auto" w:fill="FFFFFF"/>
          </w:tcPr>
          <w:p w14:paraId="641FF18A" w14:textId="77777777" w:rsidR="004357B9" w:rsidRPr="00A30C4C" w:rsidRDefault="004357B9" w:rsidP="004357B9">
            <w:pPr>
              <w:rPr>
                <w:rFonts w:ascii="Times New Roman" w:hAnsi="Times New Roman"/>
                <w:sz w:val="24"/>
              </w:rPr>
            </w:pPr>
            <w:r>
              <w:rPr>
                <w:rFonts w:ascii="Times New Roman" w:hAnsi="Times New Roman"/>
                <w:sz w:val="24"/>
              </w:rPr>
              <w:t>130</w:t>
            </w:r>
          </w:p>
          <w:p w14:paraId="38822768" w14:textId="77777777" w:rsidR="004357B9" w:rsidRPr="00A30C4C"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A30C4C"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Potraživanja prema institucijama i trgovačkim društvima s kratkoročnom kreditnom procjenom</w:t>
            </w:r>
          </w:p>
          <w:p w14:paraId="37E39A7B" w14:textId="6AD9224A" w:rsidR="004357B9" w:rsidRPr="00A30C4C" w:rsidRDefault="00D21B29" w:rsidP="00D21B29">
            <w:pPr>
              <w:ind w:left="72"/>
              <w:rPr>
                <w:rFonts w:ascii="Times New Roman" w:hAnsi="Times New Roman"/>
                <w:sz w:val="24"/>
              </w:rPr>
            </w:pPr>
            <w:r>
              <w:rPr>
                <w:rFonts w:ascii="Times New Roman" w:hAnsi="Times New Roman"/>
                <w:sz w:val="24"/>
              </w:rPr>
              <w:t xml:space="preserve">Članak 112. </w:t>
            </w:r>
            <w:r>
              <w:rPr>
                <w:rFonts w:ascii="Times New Roman" w:hAnsi="Times New Roman"/>
                <w:bCs/>
                <w:sz w:val="24"/>
              </w:rPr>
              <w:t>točka (n)</w:t>
            </w:r>
            <w:r>
              <w:rPr>
                <w:rFonts w:ascii="Times New Roman" w:hAnsi="Times New Roman"/>
                <w:sz w:val="24"/>
              </w:rPr>
              <w:t xml:space="preserve"> CRR-a</w:t>
            </w:r>
          </w:p>
        </w:tc>
      </w:tr>
      <w:tr w:rsidR="004357B9" w:rsidRPr="00A30C4C" w14:paraId="26489F28" w14:textId="77777777" w:rsidTr="00672D2A">
        <w:tc>
          <w:tcPr>
            <w:tcW w:w="1188" w:type="dxa"/>
            <w:shd w:val="clear" w:color="auto" w:fill="FFFFFF"/>
          </w:tcPr>
          <w:p w14:paraId="6B2971A0" w14:textId="77777777" w:rsidR="004357B9" w:rsidRPr="00A30C4C" w:rsidRDefault="004357B9" w:rsidP="004357B9">
            <w:pPr>
              <w:rPr>
                <w:rFonts w:ascii="Times New Roman" w:hAnsi="Times New Roman"/>
                <w:sz w:val="24"/>
              </w:rPr>
            </w:pPr>
            <w:r>
              <w:rPr>
                <w:rFonts w:ascii="Times New Roman" w:hAnsi="Times New Roman"/>
                <w:sz w:val="24"/>
              </w:rPr>
              <w:lastRenderedPageBreak/>
              <w:t>140</w:t>
            </w:r>
          </w:p>
        </w:tc>
        <w:tc>
          <w:tcPr>
            <w:tcW w:w="8701" w:type="dxa"/>
            <w:gridSpan w:val="2"/>
            <w:shd w:val="clear" w:color="auto" w:fill="FFFFFF"/>
          </w:tcPr>
          <w:p w14:paraId="2FF8F067" w14:textId="77777777" w:rsidR="00D82B60" w:rsidRPr="00A30C4C"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Subjekti za zajednička ulaganja (CIU)</w:t>
            </w:r>
          </w:p>
          <w:p w14:paraId="7C2B5AD5" w14:textId="06433ADD" w:rsidR="004357B9" w:rsidRPr="00A30C4C" w:rsidRDefault="00D21B29" w:rsidP="00D21B29">
            <w:pPr>
              <w:ind w:left="72"/>
              <w:rPr>
                <w:rStyle w:val="InstructionsTabelleberschrift"/>
                <w:rFonts w:ascii="Times New Roman" w:hAnsi="Times New Roman"/>
                <w:b w:val="0"/>
                <w:bCs w:val="0"/>
                <w:sz w:val="24"/>
                <w:u w:val="none"/>
              </w:rPr>
            </w:pPr>
            <w:r>
              <w:rPr>
                <w:rFonts w:ascii="Times New Roman" w:hAnsi="Times New Roman"/>
                <w:bCs/>
                <w:sz w:val="24"/>
              </w:rPr>
              <w:t>Članak 112. točka (o) CRR-a</w:t>
            </w:r>
          </w:p>
        </w:tc>
      </w:tr>
      <w:tr w:rsidR="004357B9" w:rsidRPr="00A30C4C" w14:paraId="19559318" w14:textId="77777777" w:rsidTr="00672D2A">
        <w:tc>
          <w:tcPr>
            <w:tcW w:w="1188" w:type="dxa"/>
            <w:shd w:val="clear" w:color="auto" w:fill="FFFFFF"/>
          </w:tcPr>
          <w:p w14:paraId="4B0E8C16" w14:textId="77777777" w:rsidR="004357B9" w:rsidRPr="00A30C4C"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14:paraId="0820F792"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Izloženosti na osnovi vlasničkih ulaganja</w:t>
            </w:r>
          </w:p>
          <w:p w14:paraId="73C64BC4" w14:textId="0213202A"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(p) CRR-a</w:t>
            </w:r>
          </w:p>
        </w:tc>
      </w:tr>
      <w:tr w:rsidR="004357B9" w:rsidRPr="00A30C4C" w14:paraId="1A1787E4" w14:textId="77777777" w:rsidTr="00672D2A">
        <w:tc>
          <w:tcPr>
            <w:tcW w:w="1188" w:type="dxa"/>
            <w:shd w:val="clear" w:color="auto" w:fill="FFFFFF"/>
          </w:tcPr>
          <w:p w14:paraId="02F8C0FC" w14:textId="77777777" w:rsidR="004357B9" w:rsidRPr="00A30C4C"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14:paraId="1C103F0B"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Ostale izloženosti</w:t>
            </w:r>
          </w:p>
          <w:p w14:paraId="364F4504" w14:textId="44EE6D62"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Članak 112. točka (q) CRR-a</w:t>
            </w:r>
          </w:p>
        </w:tc>
      </w:tr>
      <w:tr w:rsidR="007A49AC" w:rsidRPr="00A30C4C" w14:paraId="641D72CC" w14:textId="77777777" w:rsidTr="00672D2A">
        <w:tc>
          <w:tcPr>
            <w:tcW w:w="1188" w:type="dxa"/>
            <w:shd w:val="clear" w:color="auto" w:fill="FFFFFF"/>
          </w:tcPr>
          <w:p w14:paraId="13C4FCB7" w14:textId="77777777" w:rsidR="007A49AC" w:rsidRPr="00A30C4C" w:rsidRDefault="007A49AC" w:rsidP="004357B9">
            <w:pPr>
              <w:rPr>
                <w:rFonts w:ascii="Times New Roman" w:hAnsi="Times New Roman"/>
                <w:sz w:val="24"/>
              </w:rPr>
            </w:pPr>
            <w:r>
              <w:rPr>
                <w:rFonts w:ascii="Times New Roman" w:hAnsi="Times New Roman"/>
                <w:sz w:val="24"/>
              </w:rPr>
              <w:t>170</w:t>
            </w:r>
          </w:p>
        </w:tc>
        <w:tc>
          <w:tcPr>
            <w:tcW w:w="8701" w:type="dxa"/>
            <w:gridSpan w:val="2"/>
            <w:shd w:val="clear" w:color="auto" w:fill="FFFFFF"/>
          </w:tcPr>
          <w:p w14:paraId="071FA584" w14:textId="77777777" w:rsidR="007A49AC" w:rsidRPr="00A30C4C"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Ukupne izloženosti</w:t>
            </w:r>
          </w:p>
        </w:tc>
      </w:tr>
    </w:tbl>
    <w:p w14:paraId="58C9DEA4" w14:textId="77777777" w:rsidR="004357B9" w:rsidRPr="00A30C4C" w:rsidRDefault="004357B9" w:rsidP="004357B9">
      <w:pPr>
        <w:spacing w:before="0" w:after="200" w:line="312" w:lineRule="auto"/>
        <w:jc w:val="left"/>
        <w:rPr>
          <w:rFonts w:ascii="Times New Roman" w:hAnsi="Times New Roman"/>
          <w:sz w:val="24"/>
        </w:rPr>
      </w:pPr>
      <w:bookmarkStart w:id="332" w:name="_Toc292456210"/>
    </w:p>
    <w:p w14:paraId="536F0DF2"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33" w:name="_Toc473560915"/>
      <w:bookmarkStart w:id="334" w:name="_Toc30677671"/>
      <w:r>
        <w:rPr>
          <w:rFonts w:ascii="Times New Roman" w:hAnsi="Times New Roman"/>
          <w:sz w:val="24"/>
          <w:u w:val="none"/>
        </w:rPr>
        <w:t>3.4.2.</w:t>
      </w:r>
      <w:r>
        <w:rPr>
          <w:rFonts w:ascii="Times New Roman" w:hAnsi="Times New Roman"/>
          <w:sz w:val="24"/>
          <w:u w:val="none"/>
        </w:rPr>
        <w:tab/>
      </w:r>
      <w:r>
        <w:rPr>
          <w:rFonts w:ascii="Times New Roman" w:hAnsi="Times New Roman"/>
          <w:sz w:val="24"/>
        </w:rPr>
        <w:t xml:space="preserve">C 09.02 – Geografska raščlamba izloženosti prema boravištu dužnika: </w:t>
      </w:r>
      <w:bookmarkStart w:id="335" w:name="_Toc360188364"/>
      <w:r>
        <w:rPr>
          <w:rFonts w:ascii="Times New Roman" w:hAnsi="Times New Roman"/>
          <w:sz w:val="24"/>
        </w:rPr>
        <w:t>Izloženosti u skladu s IRB pristupom</w:t>
      </w:r>
      <w:bookmarkEnd w:id="335"/>
      <w:r>
        <w:rPr>
          <w:rFonts w:ascii="Times New Roman" w:hAnsi="Times New Roman"/>
          <w:sz w:val="24"/>
        </w:rPr>
        <w:t xml:space="preserve"> (CR GB 2)</w:t>
      </w:r>
      <w:bookmarkEnd w:id="333"/>
      <w:bookmarkEnd w:id="334"/>
    </w:p>
    <w:p w14:paraId="6676EAFB"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36" w:name="_Toc360188365"/>
      <w:bookmarkStart w:id="337" w:name="_Toc473560916"/>
      <w:bookmarkStart w:id="338" w:name="_Toc30677672"/>
      <w:r>
        <w:rPr>
          <w:rFonts w:ascii="Times New Roman" w:hAnsi="Times New Roman"/>
          <w:sz w:val="24"/>
          <w:u w:val="none"/>
        </w:rPr>
        <w:t>3.4.2.1.</w:t>
      </w:r>
      <w:r>
        <w:rPr>
          <w:rFonts w:ascii="Times New Roman" w:hAnsi="Times New Roman"/>
          <w:sz w:val="24"/>
          <w:u w:val="none"/>
        </w:rPr>
        <w:tab/>
      </w:r>
      <w:r>
        <w:rPr>
          <w:rFonts w:ascii="Times New Roman" w:hAnsi="Times New Roman"/>
          <w:sz w:val="24"/>
        </w:rPr>
        <w:t>Upute za specifične pozicije</w:t>
      </w:r>
      <w:bookmarkEnd w:id="336"/>
      <w:bookmarkEnd w:id="337"/>
      <w:bookmarkEnd w:id="3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30C4C" w14:paraId="35D5CC31" w14:textId="77777777" w:rsidTr="00672D2A">
        <w:tc>
          <w:tcPr>
            <w:tcW w:w="1188" w:type="dxa"/>
            <w:shd w:val="clear" w:color="auto" w:fill="CCCCCC"/>
          </w:tcPr>
          <w:p w14:paraId="7B2198DD" w14:textId="77777777" w:rsidR="004357B9" w:rsidRPr="00A30C4C" w:rsidRDefault="004357B9" w:rsidP="004357B9">
            <w:pPr>
              <w:rPr>
                <w:rFonts w:ascii="Times New Roman" w:hAnsi="Times New Roman"/>
                <w:b/>
                <w:sz w:val="24"/>
              </w:rPr>
            </w:pPr>
            <w:r>
              <w:rPr>
                <w:rFonts w:ascii="Times New Roman" w:hAnsi="Times New Roman"/>
                <w:b/>
                <w:sz w:val="24"/>
              </w:rPr>
              <w:t>Stupci</w:t>
            </w:r>
          </w:p>
        </w:tc>
        <w:tc>
          <w:tcPr>
            <w:tcW w:w="8640" w:type="dxa"/>
            <w:shd w:val="clear" w:color="auto" w:fill="CCCCCC"/>
          </w:tcPr>
          <w:p w14:paraId="52F255E3" w14:textId="77777777" w:rsidR="004357B9" w:rsidRPr="00A30C4C" w:rsidRDefault="004357B9" w:rsidP="004357B9">
            <w:pPr>
              <w:ind w:left="72"/>
              <w:rPr>
                <w:rFonts w:ascii="Times New Roman" w:hAnsi="Times New Roman"/>
                <w:sz w:val="24"/>
              </w:rPr>
            </w:pPr>
          </w:p>
        </w:tc>
      </w:tr>
      <w:tr w:rsidR="004357B9" w:rsidRPr="00A30C4C" w14:paraId="689E92D8" w14:textId="77777777" w:rsidTr="00672D2A">
        <w:tc>
          <w:tcPr>
            <w:tcW w:w="1188" w:type="dxa"/>
          </w:tcPr>
          <w:p w14:paraId="66074EC3" w14:textId="77777777"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41657C4F" w14:textId="09E717BB" w:rsidR="004357B9" w:rsidRPr="00A30C4C"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14:paraId="6D5ECAFF" w14:textId="77777777" w:rsidR="004357B9" w:rsidRPr="00A30C4C"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Ista definicija kao za stupac 020 obrasca CR IRB</w:t>
            </w:r>
          </w:p>
        </w:tc>
      </w:tr>
      <w:tr w:rsidR="004357B9" w:rsidRPr="00A30C4C" w14:paraId="78B699E8" w14:textId="77777777" w:rsidTr="00672D2A">
        <w:tc>
          <w:tcPr>
            <w:tcW w:w="1188" w:type="dxa"/>
          </w:tcPr>
          <w:p w14:paraId="26744C33" w14:textId="77777777" w:rsidR="004357B9" w:rsidRPr="00A30C4C" w:rsidRDefault="004357B9" w:rsidP="004357B9">
            <w:pPr>
              <w:rPr>
                <w:rFonts w:ascii="Times New Roman" w:hAnsi="Times New Roman"/>
                <w:sz w:val="24"/>
              </w:rPr>
            </w:pPr>
            <w:r>
              <w:rPr>
                <w:rFonts w:ascii="Times New Roman" w:hAnsi="Times New Roman"/>
                <w:sz w:val="24"/>
              </w:rPr>
              <w:t>030</w:t>
            </w:r>
          </w:p>
        </w:tc>
        <w:tc>
          <w:tcPr>
            <w:tcW w:w="8640" w:type="dxa"/>
          </w:tcPr>
          <w:p w14:paraId="569C114D"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Od čega sa statusom neispunjavanja obveza</w:t>
            </w:r>
          </w:p>
          <w:p w14:paraId="3C508978" w14:textId="7009B02E" w:rsidR="004357B9" w:rsidRPr="00A30C4C" w:rsidRDefault="004357B9" w:rsidP="00F855D5">
            <w:pPr>
              <w:rPr>
                <w:rStyle w:val="InstructionsTabelleText"/>
                <w:rFonts w:ascii="Times New Roman" w:hAnsi="Times New Roman"/>
                <w:sz w:val="24"/>
              </w:rPr>
            </w:pPr>
            <w:r>
              <w:rPr>
                <w:rStyle w:val="InstructionsTabelleText"/>
                <w:rFonts w:ascii="Times New Roman" w:hAnsi="Times New Roman"/>
                <w:sz w:val="24"/>
              </w:rPr>
              <w:t>Vrijednost originalne izloženosti za izloženosti koje su razvrstane kao izloženosti sa statusom neispunjavanja obveza u skladu s člankom 178. CRR-a.</w:t>
            </w:r>
          </w:p>
        </w:tc>
      </w:tr>
      <w:tr w:rsidR="004357B9" w:rsidRPr="00A30C4C" w14:paraId="52CB92A0" w14:textId="77777777" w:rsidTr="00672D2A">
        <w:tc>
          <w:tcPr>
            <w:tcW w:w="1188" w:type="dxa"/>
          </w:tcPr>
          <w:p w14:paraId="103B46E8" w14:textId="77777777" w:rsidR="004357B9" w:rsidRPr="00A30C4C" w:rsidRDefault="004357B9" w:rsidP="004357B9">
            <w:pPr>
              <w:rPr>
                <w:rFonts w:ascii="Times New Roman" w:hAnsi="Times New Roman"/>
                <w:sz w:val="24"/>
              </w:rPr>
            </w:pPr>
            <w:r>
              <w:rPr>
                <w:rFonts w:ascii="Times New Roman" w:hAnsi="Times New Roman"/>
                <w:sz w:val="24"/>
              </w:rPr>
              <w:t>040</w:t>
            </w:r>
          </w:p>
        </w:tc>
        <w:tc>
          <w:tcPr>
            <w:tcW w:w="8640" w:type="dxa"/>
          </w:tcPr>
          <w:p w14:paraId="4D1BDBDE"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Zabilježeni novi statusi neispunjavanja obveza tijekom razdoblja</w:t>
            </w:r>
          </w:p>
          <w:p w14:paraId="40CEA638" w14:textId="77777777" w:rsidR="004357B9" w:rsidRPr="00A30C4C" w:rsidRDefault="00DF70AE" w:rsidP="00DF70AE">
            <w:pPr>
              <w:rPr>
                <w:rFonts w:ascii="Times New Roman" w:hAnsi="Times New Roman"/>
                <w:b/>
                <w:sz w:val="24"/>
                <w:u w:val="single"/>
              </w:rPr>
            </w:pPr>
            <w:r>
              <w:rPr>
                <w:rStyle w:val="InstructionsTabelleText"/>
                <w:rFonts w:ascii="Times New Roman" w:hAnsi="Times New Roman"/>
                <w:sz w:val="24"/>
              </w:rPr>
              <w:t>Iznos originalnih izloženosti koje su prenesene u kategoriju izloženosti „sa statusom neispunjavanja obveza” tijekom 3-mjesečnog razdoblje od posljednjeg referentnog datuma izvješćivanja iskazuje se u odnosu na kategoriju izloženosti kojoj je dužnik originalno pripadao.</w:t>
            </w:r>
          </w:p>
        </w:tc>
      </w:tr>
      <w:tr w:rsidR="004357B9" w:rsidRPr="00A30C4C" w14:paraId="5D5103CD" w14:textId="77777777" w:rsidTr="00672D2A">
        <w:tc>
          <w:tcPr>
            <w:tcW w:w="1188" w:type="dxa"/>
          </w:tcPr>
          <w:p w14:paraId="66C4ED9F" w14:textId="77777777" w:rsidR="004357B9" w:rsidRPr="00A30C4C" w:rsidRDefault="004357B9" w:rsidP="004357B9">
            <w:pPr>
              <w:rPr>
                <w:rFonts w:ascii="Times New Roman" w:hAnsi="Times New Roman"/>
                <w:sz w:val="24"/>
              </w:rPr>
            </w:pPr>
            <w:r>
              <w:rPr>
                <w:rFonts w:ascii="Times New Roman" w:hAnsi="Times New Roman"/>
                <w:sz w:val="24"/>
              </w:rPr>
              <w:t>050</w:t>
            </w:r>
          </w:p>
        </w:tc>
        <w:tc>
          <w:tcPr>
            <w:tcW w:w="8640" w:type="dxa"/>
          </w:tcPr>
          <w:p w14:paraId="2BDCE360"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Opći ispravci vrijednosti za kreditni rizik</w:t>
            </w:r>
          </w:p>
          <w:p w14:paraId="540BA1F5" w14:textId="74F87362" w:rsidR="004357B9" w:rsidRPr="00A30C4C" w:rsidRDefault="004357B9" w:rsidP="00D82B60">
            <w:pPr>
              <w:rPr>
                <w:rFonts w:ascii="Times New Roman" w:hAnsi="Times New Roman"/>
                <w:b/>
                <w:sz w:val="24"/>
                <w:u w:val="single"/>
              </w:rPr>
            </w:pPr>
            <w:r>
              <w:rPr>
                <w:rFonts w:ascii="Times New Roman" w:hAnsi="Times New Roman"/>
                <w:sz w:val="24"/>
              </w:rPr>
              <w:t xml:space="preserve">Ispravci vrijednosti za kreditni rizik kako su navedeni u članku 110. CRR-a </w:t>
            </w:r>
          </w:p>
        </w:tc>
      </w:tr>
      <w:tr w:rsidR="004357B9" w:rsidRPr="00A30C4C" w14:paraId="5AE1C898" w14:textId="77777777" w:rsidTr="00672D2A">
        <w:tc>
          <w:tcPr>
            <w:tcW w:w="1188" w:type="dxa"/>
          </w:tcPr>
          <w:p w14:paraId="080BBA79" w14:textId="77777777" w:rsidR="004357B9" w:rsidRPr="00A30C4C" w:rsidRDefault="004357B9" w:rsidP="004357B9">
            <w:pPr>
              <w:rPr>
                <w:rFonts w:ascii="Times New Roman" w:hAnsi="Times New Roman"/>
                <w:sz w:val="24"/>
              </w:rPr>
            </w:pPr>
            <w:r>
              <w:rPr>
                <w:rFonts w:ascii="Times New Roman" w:hAnsi="Times New Roman"/>
                <w:sz w:val="24"/>
              </w:rPr>
              <w:t>055</w:t>
            </w:r>
          </w:p>
        </w:tc>
        <w:tc>
          <w:tcPr>
            <w:tcW w:w="8640" w:type="dxa"/>
          </w:tcPr>
          <w:p w14:paraId="44FD761E"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Specifični ispravci vrijednosti za kreditni rizik</w:t>
            </w:r>
          </w:p>
          <w:p w14:paraId="4AA945A6" w14:textId="7E55F311" w:rsidR="004357B9" w:rsidRPr="00A30C4C" w:rsidRDefault="004357B9" w:rsidP="003B2712">
            <w:pPr>
              <w:rPr>
                <w:rFonts w:ascii="Times New Roman" w:hAnsi="Times New Roman"/>
                <w:b/>
                <w:sz w:val="24"/>
                <w:u w:val="single"/>
              </w:rPr>
            </w:pPr>
            <w:r>
              <w:rPr>
                <w:rFonts w:ascii="Times New Roman" w:hAnsi="Times New Roman"/>
                <w:sz w:val="24"/>
              </w:rPr>
              <w:t>Ispravci vrijednosti za kreditni rizik kako su navedeni u članku 110. CRR-a</w:t>
            </w:r>
          </w:p>
        </w:tc>
      </w:tr>
      <w:tr w:rsidR="004357B9" w:rsidRPr="00A30C4C" w14:paraId="392A705C" w14:textId="77777777" w:rsidTr="00672D2A">
        <w:tc>
          <w:tcPr>
            <w:tcW w:w="1188" w:type="dxa"/>
          </w:tcPr>
          <w:p w14:paraId="22D96083"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640" w:type="dxa"/>
          </w:tcPr>
          <w:p w14:paraId="08584DA5"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Otpisi</w:t>
            </w:r>
          </w:p>
          <w:p w14:paraId="3EA7746E"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Otpisi uključuju smanjenja umanjene vrijednosti financijske imovine izravno priznate u dobiti ili gubitku [MSFI 7.B5.(d).(i)] i smanjenja iznosa ispravaka vrijednosti umanjene financijske imovine [MSFI 7.B5.(d).(ii)].</w:t>
            </w:r>
          </w:p>
        </w:tc>
      </w:tr>
      <w:tr w:rsidR="004357B9" w:rsidRPr="00A30C4C" w14:paraId="77F93991" w14:textId="77777777" w:rsidTr="00672D2A">
        <w:tc>
          <w:tcPr>
            <w:tcW w:w="1188" w:type="dxa"/>
          </w:tcPr>
          <w:p w14:paraId="2C254F71"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640" w:type="dxa"/>
          </w:tcPr>
          <w:p w14:paraId="2E65699C"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Ispravci vrijednosti za kreditni rizik/otpisi za zabilježene nove statuse neispunjavanja obveza</w:t>
            </w:r>
          </w:p>
          <w:p w14:paraId="03914B0F"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lastRenderedPageBreak/>
              <w:t>Zbroj ispravaka vrijednosti i otpisa za izloženosti koje su razvrstane kao „izloženosti sa statusom neispunjavanja obveza” tijekom 3-mjesečnog razdoblja od posljednjeg podnošenja podataka</w:t>
            </w:r>
          </w:p>
        </w:tc>
      </w:tr>
      <w:tr w:rsidR="004357B9" w:rsidRPr="00A30C4C" w14:paraId="66123BD2" w14:textId="77777777" w:rsidTr="00672D2A">
        <w:tc>
          <w:tcPr>
            <w:tcW w:w="1188" w:type="dxa"/>
          </w:tcPr>
          <w:p w14:paraId="2F225594" w14:textId="77777777" w:rsidR="004357B9" w:rsidRPr="00A30C4C" w:rsidRDefault="004357B9" w:rsidP="004357B9">
            <w:pPr>
              <w:rPr>
                <w:rFonts w:ascii="Times New Roman" w:hAnsi="Times New Roman"/>
                <w:sz w:val="24"/>
              </w:rPr>
            </w:pPr>
            <w:r>
              <w:rPr>
                <w:rFonts w:ascii="Times New Roman" w:hAnsi="Times New Roman"/>
                <w:sz w:val="24"/>
              </w:rPr>
              <w:lastRenderedPageBreak/>
              <w:t>080</w:t>
            </w:r>
          </w:p>
        </w:tc>
        <w:tc>
          <w:tcPr>
            <w:tcW w:w="8640" w:type="dxa"/>
          </w:tcPr>
          <w:p w14:paraId="5339E9CD" w14:textId="77777777" w:rsidR="004357B9" w:rsidRPr="00A30C4C"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INTERNI REJTING-SUSTAV / PD RASPOREĐEN U REJTING-KATEGORIJU DUŽNIKA ILI SKUP IZLOŽENOSTI (%)</w:t>
            </w:r>
          </w:p>
          <w:p w14:paraId="6FCB51E9"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010 obrasca CR IRB</w:t>
            </w:r>
          </w:p>
        </w:tc>
      </w:tr>
      <w:tr w:rsidR="004357B9" w:rsidRPr="00A30C4C" w14:paraId="6493BD42" w14:textId="77777777" w:rsidTr="00672D2A">
        <w:tc>
          <w:tcPr>
            <w:tcW w:w="1188" w:type="dxa"/>
          </w:tcPr>
          <w:p w14:paraId="648DE1F2" w14:textId="77777777" w:rsidR="004357B9" w:rsidRPr="00A30C4C" w:rsidRDefault="004357B9" w:rsidP="004357B9">
            <w:pPr>
              <w:rPr>
                <w:rFonts w:ascii="Times New Roman" w:hAnsi="Times New Roman"/>
                <w:sz w:val="24"/>
              </w:rPr>
            </w:pPr>
            <w:r>
              <w:rPr>
                <w:rFonts w:ascii="Times New Roman" w:hAnsi="Times New Roman"/>
                <w:sz w:val="24"/>
              </w:rPr>
              <w:t>090</w:t>
            </w:r>
          </w:p>
        </w:tc>
        <w:tc>
          <w:tcPr>
            <w:tcW w:w="8640" w:type="dxa"/>
          </w:tcPr>
          <w:p w14:paraId="3221E804"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PROSJEČNI LGD PONDERIRAN VISINOM IZLOŽENOSTI (%)</w:t>
            </w:r>
          </w:p>
          <w:p w14:paraId="59CEB8E5" w14:textId="75D1716B"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Ista definicija kao za stupce 230 i 240 obrasca CR IRB: prosječni LGD ponderiran visinom izloženosti (%) odnosi se na sve izloženosti, uključujući izloženosti prema velikim subjektima financijskog sektora i nereguliranim financijskim subjektima.  Primjenjuje se članak 181. stavak 1. točka (h) CRR-a.</w:t>
            </w:r>
          </w:p>
          <w:p w14:paraId="6A98020E" w14:textId="5E11BAD9" w:rsidR="0042766A" w:rsidRPr="00A30C4C" w:rsidRDefault="0042766A" w:rsidP="00D21B29">
            <w:pPr>
              <w:rPr>
                <w:rFonts w:ascii="Times New Roman" w:hAnsi="Times New Roman"/>
                <w:b/>
                <w:sz w:val="24"/>
                <w:u w:val="single"/>
              </w:rPr>
            </w:pPr>
            <w:r>
              <w:rPr>
                <w:rFonts w:ascii="Times New Roman" w:hAnsi="Times New Roman"/>
                <w:sz w:val="24"/>
              </w:rPr>
              <w:t>Podaci se ne iskazuju za izloženosti u obliku specijaliziranog financiranja iz članka 153. stavka 5 CRR-a.</w:t>
            </w:r>
          </w:p>
        </w:tc>
      </w:tr>
      <w:tr w:rsidR="004357B9" w:rsidRPr="00A30C4C" w14:paraId="188F3DA1" w14:textId="77777777" w:rsidTr="00672D2A">
        <w:tc>
          <w:tcPr>
            <w:tcW w:w="1188" w:type="dxa"/>
          </w:tcPr>
          <w:p w14:paraId="12D07594" w14:textId="77777777" w:rsidR="004357B9" w:rsidRPr="00A30C4C" w:rsidRDefault="004357B9" w:rsidP="004357B9">
            <w:pPr>
              <w:rPr>
                <w:rFonts w:ascii="Times New Roman" w:hAnsi="Times New Roman"/>
                <w:sz w:val="24"/>
              </w:rPr>
            </w:pPr>
            <w:r>
              <w:rPr>
                <w:rFonts w:ascii="Times New Roman" w:hAnsi="Times New Roman"/>
                <w:sz w:val="24"/>
              </w:rPr>
              <w:t>100</w:t>
            </w:r>
          </w:p>
        </w:tc>
        <w:tc>
          <w:tcPr>
            <w:tcW w:w="8640" w:type="dxa"/>
          </w:tcPr>
          <w:p w14:paraId="623B781E"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Od čega: sa statusom neispunjavanja obveza</w:t>
            </w:r>
          </w:p>
          <w:p w14:paraId="1E7C106F" w14:textId="5DB18A2F" w:rsidR="004357B9" w:rsidRPr="00A30C4C" w:rsidRDefault="004357B9" w:rsidP="003B2712">
            <w:pPr>
              <w:rPr>
                <w:rFonts w:ascii="Times New Roman" w:hAnsi="Times New Roman"/>
                <w:b/>
                <w:sz w:val="24"/>
                <w:u w:val="single"/>
              </w:rPr>
            </w:pPr>
            <w:r>
              <w:rPr>
                <w:rStyle w:val="InstructionsTabelleText"/>
                <w:rFonts w:ascii="Times New Roman" w:hAnsi="Times New Roman"/>
                <w:sz w:val="24"/>
              </w:rPr>
              <w:t>LGD ponderiran visinom izloženosti za izloženosti koje su razvrstane kao izloženosti sa statusom neispunjavanja obveza u skladu s člankom 178. CRR-a.</w:t>
            </w:r>
          </w:p>
        </w:tc>
      </w:tr>
      <w:tr w:rsidR="004357B9" w:rsidRPr="00A30C4C" w14:paraId="59532D8D" w14:textId="77777777" w:rsidTr="00672D2A">
        <w:tc>
          <w:tcPr>
            <w:tcW w:w="1188" w:type="dxa"/>
          </w:tcPr>
          <w:p w14:paraId="4A3C1205" w14:textId="77777777" w:rsidR="004357B9" w:rsidRPr="00A30C4C" w:rsidRDefault="00F45359" w:rsidP="004357B9">
            <w:pPr>
              <w:rPr>
                <w:rFonts w:ascii="Times New Roman" w:hAnsi="Times New Roman"/>
                <w:sz w:val="24"/>
              </w:rPr>
            </w:pPr>
            <w:r>
              <w:rPr>
                <w:rFonts w:ascii="Times New Roman" w:hAnsi="Times New Roman"/>
                <w:sz w:val="24"/>
              </w:rPr>
              <w:t>105</w:t>
            </w:r>
          </w:p>
        </w:tc>
        <w:tc>
          <w:tcPr>
            <w:tcW w:w="8640" w:type="dxa"/>
          </w:tcPr>
          <w:p w14:paraId="7D8C1D0F"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Vrijednost izloženosti</w:t>
            </w:r>
          </w:p>
          <w:p w14:paraId="0343C116"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110 obrasca CR IRB</w:t>
            </w:r>
          </w:p>
        </w:tc>
      </w:tr>
      <w:tr w:rsidR="004357B9" w:rsidRPr="00A30C4C" w14:paraId="2E53A13C" w14:textId="77777777" w:rsidTr="00672D2A">
        <w:tc>
          <w:tcPr>
            <w:tcW w:w="1188" w:type="dxa"/>
          </w:tcPr>
          <w:p w14:paraId="67075BC8" w14:textId="77777777" w:rsidR="004357B9" w:rsidRPr="00A30C4C" w:rsidRDefault="004357B9" w:rsidP="004357B9">
            <w:pPr>
              <w:rPr>
                <w:rFonts w:ascii="Times New Roman" w:hAnsi="Times New Roman"/>
                <w:sz w:val="24"/>
              </w:rPr>
            </w:pPr>
            <w:r>
              <w:rPr>
                <w:rFonts w:ascii="Times New Roman" w:hAnsi="Times New Roman"/>
                <w:sz w:val="24"/>
              </w:rPr>
              <w:t>110</w:t>
            </w:r>
          </w:p>
        </w:tc>
        <w:tc>
          <w:tcPr>
            <w:tcW w:w="8640" w:type="dxa"/>
          </w:tcPr>
          <w:p w14:paraId="2058E52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IZNOS IZLOŽENOSTI PONDERIRAN RIZIKOM PRIJE PRIMJENE POMOĆNOG FAKTORA ZA MSP-ove</w:t>
            </w:r>
          </w:p>
          <w:p w14:paraId="0D5C707A"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255 obrasca CR IRB</w:t>
            </w:r>
          </w:p>
        </w:tc>
      </w:tr>
      <w:tr w:rsidR="004357B9" w:rsidRPr="00A30C4C" w14:paraId="75AC0537" w14:textId="77777777" w:rsidTr="00672D2A">
        <w:tc>
          <w:tcPr>
            <w:tcW w:w="1188" w:type="dxa"/>
          </w:tcPr>
          <w:p w14:paraId="595D3504" w14:textId="77777777" w:rsidR="004357B9" w:rsidRPr="00A30C4C" w:rsidRDefault="004357B9" w:rsidP="004357B9">
            <w:pPr>
              <w:rPr>
                <w:rFonts w:ascii="Times New Roman" w:hAnsi="Times New Roman"/>
                <w:sz w:val="24"/>
              </w:rPr>
            </w:pPr>
            <w:r>
              <w:rPr>
                <w:rFonts w:ascii="Times New Roman" w:hAnsi="Times New Roman"/>
                <w:sz w:val="24"/>
              </w:rPr>
              <w:t>120</w:t>
            </w:r>
          </w:p>
        </w:tc>
        <w:tc>
          <w:tcPr>
            <w:tcW w:w="8640" w:type="dxa"/>
          </w:tcPr>
          <w:p w14:paraId="67C7B976"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Od čega sa statusom neispunjavanja obveza</w:t>
            </w:r>
          </w:p>
          <w:p w14:paraId="7422C9FE" w14:textId="09FFA9F0" w:rsidR="004357B9" w:rsidRPr="00A30C4C" w:rsidRDefault="004357B9" w:rsidP="00BB22D4">
            <w:pPr>
              <w:rPr>
                <w:rFonts w:ascii="Times New Roman" w:hAnsi="Times New Roman"/>
                <w:b/>
                <w:sz w:val="24"/>
                <w:u w:val="single"/>
              </w:rPr>
            </w:pPr>
            <w:r>
              <w:rPr>
                <w:rStyle w:val="InstructionsTabelleText"/>
                <w:rFonts w:ascii="Times New Roman" w:hAnsi="Times New Roman"/>
                <w:sz w:val="24"/>
              </w:rPr>
              <w:t>Iznos izloženosti ponderiran rizikom za izloženosti koje su razvrstane kao izloženosti sa statusom neispunjavanja obveza u skladu s člankom 178. stavkom 1. CRR-a.</w:t>
            </w:r>
          </w:p>
        </w:tc>
      </w:tr>
      <w:tr w:rsidR="004357B9" w:rsidRPr="00A30C4C" w14:paraId="213E6887" w14:textId="77777777" w:rsidTr="00672D2A">
        <w:tc>
          <w:tcPr>
            <w:tcW w:w="1188" w:type="dxa"/>
          </w:tcPr>
          <w:p w14:paraId="6350F734" w14:textId="77777777" w:rsidR="004357B9" w:rsidRPr="00A30C4C" w:rsidRDefault="004357B9" w:rsidP="004357B9">
            <w:pPr>
              <w:rPr>
                <w:rFonts w:ascii="Times New Roman" w:hAnsi="Times New Roman"/>
                <w:sz w:val="24"/>
              </w:rPr>
            </w:pPr>
            <w:r>
              <w:rPr>
                <w:rFonts w:ascii="Times New Roman" w:hAnsi="Times New Roman"/>
                <w:sz w:val="24"/>
              </w:rPr>
              <w:t>125</w:t>
            </w:r>
          </w:p>
        </w:tc>
        <w:tc>
          <w:tcPr>
            <w:tcW w:w="8640" w:type="dxa"/>
          </w:tcPr>
          <w:p w14:paraId="34287935"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IZNOS IZLOŽENOSTI PONDERIRAN RIZIKOM NAKON PRIMJENE POMOĆNOG FAKTORA ZA MSP-ove</w:t>
            </w:r>
          </w:p>
          <w:p w14:paraId="0FBEAEA3"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260 obrasca CR IRB</w:t>
            </w:r>
          </w:p>
        </w:tc>
      </w:tr>
      <w:tr w:rsidR="004357B9" w:rsidRPr="00A30C4C" w14:paraId="494565E5" w14:textId="77777777" w:rsidTr="00672D2A">
        <w:tc>
          <w:tcPr>
            <w:tcW w:w="1188" w:type="dxa"/>
          </w:tcPr>
          <w:p w14:paraId="723CB731" w14:textId="77777777" w:rsidR="004357B9" w:rsidRPr="00A30C4C" w:rsidRDefault="004357B9" w:rsidP="004357B9">
            <w:pPr>
              <w:rPr>
                <w:rFonts w:ascii="Times New Roman" w:hAnsi="Times New Roman"/>
                <w:sz w:val="24"/>
              </w:rPr>
            </w:pPr>
            <w:r>
              <w:rPr>
                <w:rFonts w:ascii="Times New Roman" w:hAnsi="Times New Roman"/>
                <w:sz w:val="24"/>
              </w:rPr>
              <w:t>130</w:t>
            </w:r>
          </w:p>
        </w:tc>
        <w:tc>
          <w:tcPr>
            <w:tcW w:w="8640" w:type="dxa"/>
          </w:tcPr>
          <w:p w14:paraId="1E4CBCD4"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IZNOS OČEKIVANOGA GUBITKA</w:t>
            </w:r>
          </w:p>
          <w:p w14:paraId="00F4C565"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Ista definicija kao za stupac 280 obrasca CR IRB</w:t>
            </w:r>
            <w:r>
              <w:rPr>
                <w:rFonts w:ascii="Times New Roman" w:hAnsi="Times New Roman"/>
                <w:b/>
                <w:sz w:val="24"/>
                <w:u w:val="single"/>
              </w:rPr>
              <w:t xml:space="preserve"> </w:t>
            </w:r>
          </w:p>
        </w:tc>
      </w:tr>
    </w:tbl>
    <w:p w14:paraId="0662D07F" w14:textId="77777777" w:rsidR="004357B9" w:rsidRPr="00A30C4C"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30C4C" w14:paraId="58C6D1CD" w14:textId="77777777" w:rsidTr="00672D2A">
        <w:tc>
          <w:tcPr>
            <w:tcW w:w="1188" w:type="dxa"/>
            <w:shd w:val="clear" w:color="auto" w:fill="CCCCCC"/>
          </w:tcPr>
          <w:p w14:paraId="17E54FF6" w14:textId="77777777" w:rsidR="004357B9" w:rsidRPr="00A30C4C" w:rsidRDefault="004357B9" w:rsidP="004357B9">
            <w:pPr>
              <w:rPr>
                <w:rFonts w:ascii="Times New Roman" w:hAnsi="Times New Roman"/>
                <w:b/>
                <w:sz w:val="24"/>
              </w:rPr>
            </w:pPr>
            <w:r>
              <w:rPr>
                <w:rFonts w:ascii="Times New Roman" w:hAnsi="Times New Roman"/>
                <w:b/>
                <w:sz w:val="24"/>
              </w:rPr>
              <w:t>Redci</w:t>
            </w:r>
          </w:p>
        </w:tc>
        <w:tc>
          <w:tcPr>
            <w:tcW w:w="8640" w:type="dxa"/>
            <w:shd w:val="clear" w:color="auto" w:fill="CCCCCC"/>
          </w:tcPr>
          <w:p w14:paraId="53395035" w14:textId="77777777" w:rsidR="004357B9" w:rsidRPr="00A30C4C" w:rsidRDefault="004357B9" w:rsidP="004357B9">
            <w:pPr>
              <w:ind w:left="72"/>
              <w:rPr>
                <w:rFonts w:ascii="Times New Roman" w:hAnsi="Times New Roman"/>
                <w:sz w:val="24"/>
              </w:rPr>
            </w:pPr>
          </w:p>
        </w:tc>
      </w:tr>
      <w:tr w:rsidR="004357B9" w:rsidRPr="00A30C4C" w14:paraId="15EB838A" w14:textId="77777777" w:rsidTr="00672D2A">
        <w:tc>
          <w:tcPr>
            <w:tcW w:w="1188" w:type="dxa"/>
          </w:tcPr>
          <w:p w14:paraId="5E6B896D" w14:textId="77777777" w:rsidR="004357B9" w:rsidRPr="00A30C4C" w:rsidRDefault="004357B9" w:rsidP="004357B9">
            <w:pPr>
              <w:rPr>
                <w:rFonts w:ascii="Times New Roman" w:hAnsi="Times New Roman"/>
                <w:sz w:val="24"/>
              </w:rPr>
            </w:pPr>
            <w:r>
              <w:rPr>
                <w:rFonts w:ascii="Times New Roman" w:hAnsi="Times New Roman"/>
                <w:sz w:val="24"/>
              </w:rPr>
              <w:t>010</w:t>
            </w:r>
          </w:p>
        </w:tc>
        <w:tc>
          <w:tcPr>
            <w:tcW w:w="8640" w:type="dxa"/>
          </w:tcPr>
          <w:p w14:paraId="5E840046"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 xml:space="preserve">Središnje banke i središnje države </w:t>
            </w:r>
          </w:p>
          <w:p w14:paraId="090B69EE" w14:textId="2B0AEA1B" w:rsidR="004357B9" w:rsidRPr="00A30C4C" w:rsidRDefault="00D21B29" w:rsidP="001E0C80">
            <w:pPr>
              <w:rPr>
                <w:rFonts w:ascii="Times New Roman" w:hAnsi="Times New Roman"/>
                <w:sz w:val="24"/>
              </w:rPr>
            </w:pPr>
            <w:r>
              <w:rPr>
                <w:rFonts w:ascii="Times New Roman" w:hAnsi="Times New Roman"/>
                <w:sz w:val="24"/>
              </w:rPr>
              <w:t xml:space="preserve">Članak 147. stavak 2. </w:t>
            </w:r>
            <w:r>
              <w:rPr>
                <w:rFonts w:ascii="Times New Roman" w:hAnsi="Times New Roman"/>
                <w:bCs/>
                <w:sz w:val="24"/>
              </w:rPr>
              <w:t>točka (a)</w:t>
            </w:r>
            <w:r>
              <w:rPr>
                <w:rFonts w:ascii="Times New Roman" w:hAnsi="Times New Roman"/>
                <w:sz w:val="24"/>
              </w:rPr>
              <w:t xml:space="preserve"> CRR-a</w:t>
            </w:r>
          </w:p>
        </w:tc>
      </w:tr>
      <w:tr w:rsidR="004357B9" w:rsidRPr="00A30C4C" w14:paraId="524F7F96" w14:textId="77777777" w:rsidTr="00672D2A">
        <w:tc>
          <w:tcPr>
            <w:tcW w:w="1188" w:type="dxa"/>
          </w:tcPr>
          <w:p w14:paraId="072201D4" w14:textId="77777777" w:rsidR="004357B9" w:rsidRPr="00A30C4C" w:rsidRDefault="004357B9" w:rsidP="004357B9">
            <w:pPr>
              <w:rPr>
                <w:rFonts w:ascii="Times New Roman" w:hAnsi="Times New Roman"/>
                <w:sz w:val="24"/>
              </w:rPr>
            </w:pPr>
            <w:r>
              <w:rPr>
                <w:rFonts w:ascii="Times New Roman" w:hAnsi="Times New Roman"/>
                <w:sz w:val="24"/>
              </w:rPr>
              <w:t>020</w:t>
            </w:r>
          </w:p>
        </w:tc>
        <w:tc>
          <w:tcPr>
            <w:tcW w:w="8640" w:type="dxa"/>
          </w:tcPr>
          <w:p w14:paraId="3EACDA70"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Institucije</w:t>
            </w:r>
          </w:p>
          <w:p w14:paraId="0844CBEA" w14:textId="0B333C5A" w:rsidR="004357B9" w:rsidRPr="00A30C4C" w:rsidRDefault="00D21B29" w:rsidP="00D21B29">
            <w:pPr>
              <w:rPr>
                <w:rFonts w:ascii="Times New Roman" w:hAnsi="Times New Roman"/>
                <w:sz w:val="24"/>
              </w:rPr>
            </w:pPr>
            <w:r>
              <w:rPr>
                <w:rFonts w:ascii="Times New Roman" w:hAnsi="Times New Roman"/>
                <w:sz w:val="24"/>
              </w:rPr>
              <w:lastRenderedPageBreak/>
              <w:t>Članak 147. stavak 2. točka (b) CRR-a</w:t>
            </w:r>
          </w:p>
        </w:tc>
      </w:tr>
      <w:tr w:rsidR="004357B9" w:rsidRPr="00A30C4C" w14:paraId="45F9CBBF" w14:textId="77777777" w:rsidTr="00672D2A">
        <w:tc>
          <w:tcPr>
            <w:tcW w:w="1188" w:type="dxa"/>
          </w:tcPr>
          <w:p w14:paraId="4EDE8471" w14:textId="77777777" w:rsidR="004357B9" w:rsidRPr="00A30C4C" w:rsidRDefault="004357B9" w:rsidP="004357B9">
            <w:pPr>
              <w:rPr>
                <w:rFonts w:ascii="Times New Roman" w:hAnsi="Times New Roman"/>
                <w:sz w:val="24"/>
              </w:rPr>
            </w:pPr>
            <w:r>
              <w:rPr>
                <w:rFonts w:ascii="Times New Roman" w:hAnsi="Times New Roman"/>
                <w:sz w:val="24"/>
              </w:rPr>
              <w:lastRenderedPageBreak/>
              <w:t>030</w:t>
            </w:r>
          </w:p>
        </w:tc>
        <w:tc>
          <w:tcPr>
            <w:tcW w:w="8640" w:type="dxa"/>
          </w:tcPr>
          <w:p w14:paraId="498BD2E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 xml:space="preserve">Trgovačka društva </w:t>
            </w:r>
          </w:p>
          <w:p w14:paraId="1427627B" w14:textId="18F05657" w:rsidR="004357B9" w:rsidRPr="00A30C4C" w:rsidRDefault="004357B9" w:rsidP="003B2712">
            <w:pPr>
              <w:pStyle w:val="ListParagraph"/>
              <w:ind w:left="0"/>
              <w:rPr>
                <w:rFonts w:ascii="Times New Roman" w:hAnsi="Times New Roman"/>
                <w:sz w:val="24"/>
              </w:rPr>
            </w:pPr>
            <w:r>
              <w:rPr>
                <w:rFonts w:ascii="Times New Roman" w:hAnsi="Times New Roman"/>
                <w:sz w:val="24"/>
              </w:rPr>
              <w:t xml:space="preserve">Sve izloženosti prema trgovačkim društvima iz članka 147. stavka 2. </w:t>
            </w:r>
            <w:r>
              <w:rPr>
                <w:rFonts w:ascii="Times New Roman" w:hAnsi="Times New Roman"/>
                <w:bCs/>
                <w:sz w:val="24"/>
              </w:rPr>
              <w:t>točke (c)</w:t>
            </w:r>
            <w:r>
              <w:rPr>
                <w:rFonts w:ascii="Times New Roman" w:hAnsi="Times New Roman"/>
                <w:sz w:val="24"/>
              </w:rPr>
              <w:t xml:space="preserve"> CRR-a</w:t>
            </w:r>
          </w:p>
        </w:tc>
      </w:tr>
      <w:tr w:rsidR="004357B9" w:rsidRPr="00A30C4C" w14:paraId="2BB19F94" w14:textId="77777777" w:rsidTr="00672D2A">
        <w:tc>
          <w:tcPr>
            <w:tcW w:w="1188" w:type="dxa"/>
          </w:tcPr>
          <w:p w14:paraId="1B0A27AB" w14:textId="77777777" w:rsidR="004357B9" w:rsidRPr="00A30C4C" w:rsidRDefault="004357B9" w:rsidP="004357B9">
            <w:pPr>
              <w:rPr>
                <w:rFonts w:ascii="Times New Roman" w:hAnsi="Times New Roman"/>
                <w:sz w:val="24"/>
              </w:rPr>
            </w:pPr>
            <w:r>
              <w:rPr>
                <w:rFonts w:ascii="Times New Roman" w:hAnsi="Times New Roman"/>
                <w:sz w:val="24"/>
              </w:rPr>
              <w:t>042</w:t>
            </w:r>
          </w:p>
        </w:tc>
        <w:tc>
          <w:tcPr>
            <w:tcW w:w="8640" w:type="dxa"/>
          </w:tcPr>
          <w:p w14:paraId="6FA09752" w14:textId="572D0545" w:rsidR="004357B9" w:rsidRPr="00A30C4C" w:rsidRDefault="004357B9" w:rsidP="004357B9">
            <w:pPr>
              <w:rPr>
                <w:rFonts w:ascii="Times New Roman" w:hAnsi="Times New Roman"/>
                <w:b/>
                <w:sz w:val="24"/>
                <w:u w:val="single"/>
              </w:rPr>
            </w:pPr>
            <w:r>
              <w:rPr>
                <w:rFonts w:ascii="Times New Roman" w:hAnsi="Times New Roman"/>
                <w:b/>
                <w:sz w:val="24"/>
                <w:u w:val="single"/>
              </w:rPr>
              <w:t>Od čega: specijalizirano financiranje (isključujući specijalizirano financiranje koje podliježe kriterijima raspoređivanja)</w:t>
            </w:r>
          </w:p>
          <w:p w14:paraId="7EDA1A93" w14:textId="4FA807E5" w:rsidR="004357B9" w:rsidRPr="00A30C4C" w:rsidRDefault="00D21B29" w:rsidP="004357B9">
            <w:pPr>
              <w:pStyle w:val="ListParagraph"/>
              <w:ind w:left="0"/>
              <w:rPr>
                <w:rFonts w:ascii="Times New Roman" w:hAnsi="Times New Roman"/>
                <w:sz w:val="24"/>
              </w:rPr>
            </w:pPr>
            <w:r>
              <w:rPr>
                <w:rFonts w:ascii="Times New Roman" w:hAnsi="Times New Roman"/>
                <w:sz w:val="24"/>
              </w:rPr>
              <w:t xml:space="preserve">Članak 147. stavak 8. </w:t>
            </w:r>
            <w:r>
              <w:rPr>
                <w:rFonts w:ascii="Times New Roman" w:hAnsi="Times New Roman"/>
                <w:bCs/>
                <w:sz w:val="24"/>
              </w:rPr>
              <w:t>točka (a)</w:t>
            </w:r>
            <w:r>
              <w:rPr>
                <w:rFonts w:ascii="Times New Roman" w:hAnsi="Times New Roman"/>
                <w:sz w:val="24"/>
              </w:rPr>
              <w:t xml:space="preserve"> CRR-a</w:t>
            </w:r>
          </w:p>
          <w:p w14:paraId="103A67ED" w14:textId="4F740281" w:rsidR="0042766A" w:rsidRPr="00A30C4C" w:rsidRDefault="0042766A" w:rsidP="00D21B29">
            <w:pPr>
              <w:pStyle w:val="ListParagraph"/>
              <w:ind w:left="0"/>
              <w:rPr>
                <w:rFonts w:ascii="Times New Roman" w:hAnsi="Times New Roman"/>
                <w:sz w:val="24"/>
              </w:rPr>
            </w:pPr>
            <w:r>
              <w:rPr>
                <w:rFonts w:ascii="Times New Roman" w:hAnsi="Times New Roman"/>
                <w:sz w:val="24"/>
              </w:rPr>
              <w:t>Podaci se ne iskazuju za izloženosti u obliku specijaliziranog financiranja iz članka 153. stavka 5. CRR-a.</w:t>
            </w:r>
          </w:p>
        </w:tc>
      </w:tr>
      <w:tr w:rsidR="000E093A" w:rsidRPr="00A30C4C" w14:paraId="1F8186F4" w14:textId="77777777" w:rsidTr="00672D2A">
        <w:tc>
          <w:tcPr>
            <w:tcW w:w="1188" w:type="dxa"/>
          </w:tcPr>
          <w:p w14:paraId="5843B83F" w14:textId="77777777" w:rsidR="000E093A" w:rsidRPr="00A30C4C" w:rsidRDefault="000E093A" w:rsidP="004357B9">
            <w:pPr>
              <w:rPr>
                <w:rFonts w:ascii="Times New Roman" w:hAnsi="Times New Roman"/>
                <w:sz w:val="24"/>
              </w:rPr>
            </w:pPr>
            <w:r>
              <w:rPr>
                <w:rFonts w:ascii="Times New Roman" w:hAnsi="Times New Roman"/>
                <w:sz w:val="24"/>
              </w:rPr>
              <w:t>045</w:t>
            </w:r>
          </w:p>
        </w:tc>
        <w:tc>
          <w:tcPr>
            <w:tcW w:w="8640" w:type="dxa"/>
          </w:tcPr>
          <w:p w14:paraId="39002DAB" w14:textId="3090F631" w:rsidR="000E093A" w:rsidRPr="00A30C4C" w:rsidRDefault="000E093A" w:rsidP="004357B9">
            <w:pPr>
              <w:rPr>
                <w:rFonts w:ascii="Times New Roman" w:hAnsi="Times New Roman"/>
                <w:b/>
                <w:sz w:val="24"/>
                <w:u w:val="single"/>
              </w:rPr>
            </w:pPr>
            <w:r>
              <w:rPr>
                <w:rFonts w:ascii="Times New Roman" w:hAnsi="Times New Roman"/>
                <w:b/>
                <w:sz w:val="24"/>
                <w:u w:val="single"/>
              </w:rPr>
              <w:t>Od čega: specijalizirano financiranje koje podliježe kriterijima raspoređivanja</w:t>
            </w:r>
          </w:p>
          <w:p w14:paraId="56E4B85C" w14:textId="1F369A86" w:rsidR="000E093A" w:rsidRPr="00A30C4C" w:rsidRDefault="00D21B29" w:rsidP="00D21B29">
            <w:pPr>
              <w:rPr>
                <w:rFonts w:ascii="Times New Roman" w:hAnsi="Times New Roman"/>
                <w:b/>
                <w:sz w:val="24"/>
                <w:u w:val="single"/>
              </w:rPr>
            </w:pPr>
            <w:r>
              <w:rPr>
                <w:rFonts w:ascii="Times New Roman" w:hAnsi="Times New Roman"/>
                <w:sz w:val="24"/>
              </w:rPr>
              <w:t>Članak 147. stavak 8. točka (a) i članak 153. točka 5. CRR-a</w:t>
            </w:r>
          </w:p>
        </w:tc>
      </w:tr>
      <w:tr w:rsidR="004357B9" w:rsidRPr="00A30C4C" w14:paraId="4D8522F6" w14:textId="77777777" w:rsidTr="00672D2A">
        <w:tc>
          <w:tcPr>
            <w:tcW w:w="1188" w:type="dxa"/>
          </w:tcPr>
          <w:p w14:paraId="4722F6D6" w14:textId="77777777" w:rsidR="004357B9" w:rsidRPr="00A30C4C" w:rsidRDefault="004357B9" w:rsidP="004357B9">
            <w:pPr>
              <w:rPr>
                <w:rFonts w:ascii="Times New Roman" w:hAnsi="Times New Roman"/>
                <w:sz w:val="24"/>
              </w:rPr>
            </w:pPr>
            <w:r>
              <w:rPr>
                <w:rFonts w:ascii="Times New Roman" w:hAnsi="Times New Roman"/>
                <w:sz w:val="24"/>
              </w:rPr>
              <w:t>050</w:t>
            </w:r>
          </w:p>
        </w:tc>
        <w:tc>
          <w:tcPr>
            <w:tcW w:w="8640" w:type="dxa"/>
          </w:tcPr>
          <w:p w14:paraId="2364526D"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Od čega: MSP</w:t>
            </w:r>
          </w:p>
          <w:p w14:paraId="5ABADB8A" w14:textId="07271DA1" w:rsidR="004357B9" w:rsidRPr="00A30C4C" w:rsidRDefault="00D21B29" w:rsidP="00D21B29">
            <w:pPr>
              <w:pStyle w:val="ListParagraph"/>
              <w:ind w:left="0"/>
              <w:rPr>
                <w:rFonts w:ascii="Times New Roman" w:hAnsi="Times New Roman"/>
                <w:sz w:val="24"/>
              </w:rPr>
            </w:pPr>
            <w:r>
              <w:rPr>
                <w:rFonts w:ascii="Times New Roman" w:hAnsi="Times New Roman"/>
                <w:sz w:val="24"/>
              </w:rPr>
              <w:t xml:space="preserve">Članak 147. stavak 2. </w:t>
            </w:r>
            <w:r>
              <w:rPr>
                <w:rFonts w:ascii="Times New Roman" w:hAnsi="Times New Roman"/>
                <w:bCs/>
                <w:sz w:val="24"/>
              </w:rPr>
              <w:t>točka (c)</w:t>
            </w:r>
            <w:r>
              <w:rPr>
                <w:rFonts w:ascii="Times New Roman" w:hAnsi="Times New Roman"/>
                <w:sz w:val="24"/>
              </w:rPr>
              <w:t xml:space="preserve"> CRR-a</w:t>
            </w:r>
          </w:p>
        </w:tc>
      </w:tr>
      <w:tr w:rsidR="004357B9" w:rsidRPr="00A30C4C" w14:paraId="4E60DA06" w14:textId="77777777" w:rsidTr="00672D2A">
        <w:tc>
          <w:tcPr>
            <w:tcW w:w="1188" w:type="dxa"/>
          </w:tcPr>
          <w:p w14:paraId="079B0B71"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640" w:type="dxa"/>
          </w:tcPr>
          <w:p w14:paraId="621299E2"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Stanovništvo</w:t>
            </w:r>
          </w:p>
          <w:p w14:paraId="7EA656E7" w14:textId="76C11169" w:rsidR="004357B9" w:rsidRPr="00A30C4C" w:rsidRDefault="004357B9" w:rsidP="003B2712">
            <w:pPr>
              <w:rPr>
                <w:rFonts w:ascii="Times New Roman" w:hAnsi="Times New Roman"/>
                <w:sz w:val="24"/>
              </w:rPr>
            </w:pPr>
            <w:r>
              <w:rPr>
                <w:rFonts w:ascii="Times New Roman" w:hAnsi="Times New Roman"/>
                <w:sz w:val="24"/>
              </w:rPr>
              <w:t>Sve izloženosti prema stanovništvu iz članka 147. stavka 2. točke (d) CRR-a</w:t>
            </w:r>
          </w:p>
        </w:tc>
      </w:tr>
      <w:tr w:rsidR="004357B9" w:rsidRPr="00A30C4C" w14:paraId="5B12FE9E" w14:textId="77777777" w:rsidTr="00672D2A">
        <w:tc>
          <w:tcPr>
            <w:tcW w:w="1188" w:type="dxa"/>
          </w:tcPr>
          <w:p w14:paraId="7498E6A0"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640" w:type="dxa"/>
          </w:tcPr>
          <w:p w14:paraId="28D48F26"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Stanovništvo – osigurane nekretninom</w:t>
            </w:r>
          </w:p>
          <w:p w14:paraId="7D846491" w14:textId="32C30682" w:rsidR="004357B9" w:rsidRPr="00A30C4C" w:rsidRDefault="003B2712" w:rsidP="00D21B29">
            <w:pPr>
              <w:pStyle w:val="ListParagraph"/>
              <w:ind w:left="0"/>
              <w:rPr>
                <w:rFonts w:ascii="Times New Roman" w:hAnsi="Times New Roman"/>
                <w:sz w:val="24"/>
              </w:rPr>
            </w:pPr>
            <w:r>
              <w:rPr>
                <w:rFonts w:ascii="Times New Roman" w:hAnsi="Times New Roman"/>
                <w:sz w:val="24"/>
              </w:rPr>
              <w:t>(izloženosti prema stanovništvu iz članka 147. stavka 2. točke (d) CRR-a koje su osigurane nekretninama</w:t>
            </w:r>
          </w:p>
        </w:tc>
      </w:tr>
      <w:tr w:rsidR="004357B9" w:rsidRPr="00A30C4C" w14:paraId="72C223B9" w14:textId="77777777" w:rsidTr="00672D2A">
        <w:tc>
          <w:tcPr>
            <w:tcW w:w="1188" w:type="dxa"/>
          </w:tcPr>
          <w:p w14:paraId="02BEDBA1" w14:textId="77777777" w:rsidR="004357B9" w:rsidRPr="00A30C4C" w:rsidRDefault="004357B9" w:rsidP="004357B9">
            <w:pPr>
              <w:rPr>
                <w:rFonts w:ascii="Times New Roman" w:hAnsi="Times New Roman"/>
                <w:sz w:val="24"/>
              </w:rPr>
            </w:pPr>
            <w:r>
              <w:rPr>
                <w:rFonts w:ascii="Times New Roman" w:hAnsi="Times New Roman"/>
                <w:sz w:val="24"/>
              </w:rPr>
              <w:t>080</w:t>
            </w:r>
          </w:p>
        </w:tc>
        <w:tc>
          <w:tcPr>
            <w:tcW w:w="8640" w:type="dxa"/>
          </w:tcPr>
          <w:p w14:paraId="6EFC5600"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MSP</w:t>
            </w:r>
          </w:p>
          <w:p w14:paraId="617C25C7" w14:textId="0C29615F" w:rsidR="004357B9" w:rsidRPr="00A30C4C" w:rsidRDefault="004357B9" w:rsidP="00BD4E13">
            <w:pPr>
              <w:pStyle w:val="ListParagraph"/>
              <w:ind w:left="0"/>
              <w:rPr>
                <w:rFonts w:ascii="Times New Roman" w:hAnsi="Times New Roman"/>
                <w:sz w:val="24"/>
              </w:rPr>
            </w:pPr>
            <w:r>
              <w:rPr>
                <w:rFonts w:ascii="Times New Roman" w:hAnsi="Times New Roman"/>
                <w:sz w:val="24"/>
              </w:rPr>
              <w:t>Izloženosti prema stanovništvu iz članka 147. stavka 2. točke (d) i članka 154. stavka 3. CRR-a koje su osigurane nekretninama</w:t>
            </w:r>
          </w:p>
        </w:tc>
      </w:tr>
      <w:tr w:rsidR="004357B9" w:rsidRPr="00A30C4C" w14:paraId="739DA1B5" w14:textId="77777777" w:rsidTr="00672D2A">
        <w:tc>
          <w:tcPr>
            <w:tcW w:w="1188" w:type="dxa"/>
          </w:tcPr>
          <w:p w14:paraId="1CE167A5" w14:textId="77777777" w:rsidR="004357B9" w:rsidRPr="00A30C4C" w:rsidRDefault="004357B9" w:rsidP="004357B9">
            <w:pPr>
              <w:rPr>
                <w:rFonts w:ascii="Times New Roman" w:hAnsi="Times New Roman"/>
                <w:sz w:val="24"/>
              </w:rPr>
            </w:pPr>
            <w:r>
              <w:rPr>
                <w:rFonts w:ascii="Times New Roman" w:hAnsi="Times New Roman"/>
                <w:sz w:val="24"/>
              </w:rPr>
              <w:t>090</w:t>
            </w:r>
          </w:p>
        </w:tc>
        <w:tc>
          <w:tcPr>
            <w:tcW w:w="8640" w:type="dxa"/>
          </w:tcPr>
          <w:p w14:paraId="0E51ED1A"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Osobe koje nisu MSP-ovi</w:t>
            </w:r>
          </w:p>
          <w:p w14:paraId="7801AED9" w14:textId="151DFF3E" w:rsidR="004357B9" w:rsidRPr="00A30C4C" w:rsidRDefault="004357B9" w:rsidP="003B2712">
            <w:pPr>
              <w:pStyle w:val="ListParagraph"/>
              <w:ind w:left="0"/>
              <w:rPr>
                <w:rFonts w:ascii="Times New Roman" w:hAnsi="Times New Roman"/>
                <w:sz w:val="24"/>
              </w:rPr>
            </w:pPr>
            <w:r>
              <w:rPr>
                <w:rFonts w:ascii="Times New Roman" w:hAnsi="Times New Roman"/>
                <w:sz w:val="24"/>
              </w:rPr>
              <w:t>(izloženosti prema stanovništvu iz članka 147. stavka 2. točke (d) CRR-a koje su osigurane nekretninama</w:t>
            </w:r>
          </w:p>
        </w:tc>
      </w:tr>
      <w:tr w:rsidR="004357B9" w:rsidRPr="00A30C4C" w14:paraId="69310AEB" w14:textId="77777777" w:rsidTr="00672D2A">
        <w:tc>
          <w:tcPr>
            <w:tcW w:w="1188" w:type="dxa"/>
          </w:tcPr>
          <w:p w14:paraId="015185BC" w14:textId="77777777" w:rsidR="004357B9" w:rsidRPr="00A30C4C" w:rsidRDefault="004357B9" w:rsidP="004357B9">
            <w:pPr>
              <w:rPr>
                <w:rFonts w:ascii="Times New Roman" w:hAnsi="Times New Roman"/>
                <w:sz w:val="24"/>
              </w:rPr>
            </w:pPr>
            <w:r>
              <w:rPr>
                <w:rFonts w:ascii="Times New Roman" w:hAnsi="Times New Roman"/>
                <w:sz w:val="24"/>
              </w:rPr>
              <w:t>100</w:t>
            </w:r>
          </w:p>
        </w:tc>
        <w:tc>
          <w:tcPr>
            <w:tcW w:w="8640" w:type="dxa"/>
          </w:tcPr>
          <w:p w14:paraId="2F841CD8"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Stanovništvo – kvalificirane obnovljive izloženosti</w:t>
            </w:r>
          </w:p>
          <w:p w14:paraId="7A535000" w14:textId="2A893CE0" w:rsidR="004357B9" w:rsidRPr="00A30C4C" w:rsidRDefault="003B2712" w:rsidP="00F811C6">
            <w:pPr>
              <w:pStyle w:val="ListParagraph"/>
              <w:ind w:left="0"/>
              <w:rPr>
                <w:rFonts w:ascii="Times New Roman" w:hAnsi="Times New Roman"/>
                <w:sz w:val="24"/>
              </w:rPr>
            </w:pPr>
            <w:r>
              <w:rPr>
                <w:rFonts w:ascii="Times New Roman" w:hAnsi="Times New Roman"/>
                <w:sz w:val="24"/>
              </w:rPr>
              <w:t xml:space="preserve">Izloženosti prema stanovništvu iz članka 147. stavka 2. </w:t>
            </w:r>
            <w:r>
              <w:rPr>
                <w:rFonts w:ascii="Times New Roman" w:hAnsi="Times New Roman"/>
                <w:bCs/>
                <w:sz w:val="24"/>
              </w:rPr>
              <w:t>točke (d)</w:t>
            </w:r>
            <w:r>
              <w:rPr>
                <w:rFonts w:ascii="Times New Roman" w:hAnsi="Times New Roman"/>
                <w:sz w:val="24"/>
              </w:rPr>
              <w:t xml:space="preserve"> u vezi s člankom 154. stavkom 4. CRR-a. </w:t>
            </w:r>
          </w:p>
        </w:tc>
      </w:tr>
      <w:tr w:rsidR="004357B9" w:rsidRPr="00A30C4C" w14:paraId="310E9DF1" w14:textId="77777777" w:rsidTr="00672D2A">
        <w:tc>
          <w:tcPr>
            <w:tcW w:w="1188" w:type="dxa"/>
          </w:tcPr>
          <w:p w14:paraId="197CC5CC" w14:textId="77777777" w:rsidR="004357B9" w:rsidRPr="00A30C4C" w:rsidRDefault="004357B9" w:rsidP="004357B9">
            <w:pPr>
              <w:rPr>
                <w:rFonts w:ascii="Times New Roman" w:hAnsi="Times New Roman"/>
                <w:sz w:val="24"/>
              </w:rPr>
            </w:pPr>
            <w:r>
              <w:rPr>
                <w:rFonts w:ascii="Times New Roman" w:hAnsi="Times New Roman"/>
                <w:sz w:val="24"/>
              </w:rPr>
              <w:t>110</w:t>
            </w:r>
          </w:p>
        </w:tc>
        <w:tc>
          <w:tcPr>
            <w:tcW w:w="8640" w:type="dxa"/>
          </w:tcPr>
          <w:p w14:paraId="62BCD037"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Ostale izloženosti prema stanovništvu</w:t>
            </w:r>
          </w:p>
          <w:p w14:paraId="008CB529" w14:textId="24922CC6" w:rsidR="004357B9" w:rsidRPr="00A30C4C" w:rsidRDefault="004357B9" w:rsidP="003B2712">
            <w:pPr>
              <w:pStyle w:val="ListParagraph"/>
              <w:ind w:left="0"/>
              <w:rPr>
                <w:rFonts w:ascii="Times New Roman" w:hAnsi="Times New Roman"/>
                <w:sz w:val="24"/>
              </w:rPr>
            </w:pPr>
            <w:r>
              <w:rPr>
                <w:rFonts w:ascii="Times New Roman" w:hAnsi="Times New Roman"/>
                <w:sz w:val="24"/>
              </w:rPr>
              <w:t>Ostale izloženosti prema stanovništvu iz članka 147. stavka 2. točke (d) CRR-a koje nisu iskazane u redcima 070–100</w:t>
            </w:r>
          </w:p>
        </w:tc>
      </w:tr>
      <w:tr w:rsidR="004357B9" w:rsidRPr="00A30C4C" w14:paraId="03E08DFC" w14:textId="77777777" w:rsidTr="00672D2A">
        <w:tc>
          <w:tcPr>
            <w:tcW w:w="1188" w:type="dxa"/>
          </w:tcPr>
          <w:p w14:paraId="18CDFB4C" w14:textId="77777777" w:rsidR="004357B9" w:rsidRPr="00A30C4C" w:rsidRDefault="004357B9" w:rsidP="004357B9">
            <w:pPr>
              <w:rPr>
                <w:rFonts w:ascii="Times New Roman" w:hAnsi="Times New Roman"/>
                <w:sz w:val="24"/>
              </w:rPr>
            </w:pPr>
            <w:r>
              <w:rPr>
                <w:rFonts w:ascii="Times New Roman" w:hAnsi="Times New Roman"/>
                <w:sz w:val="24"/>
              </w:rPr>
              <w:t>120</w:t>
            </w:r>
          </w:p>
        </w:tc>
        <w:tc>
          <w:tcPr>
            <w:tcW w:w="8640" w:type="dxa"/>
          </w:tcPr>
          <w:p w14:paraId="312E624C"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MSP</w:t>
            </w:r>
          </w:p>
          <w:p w14:paraId="5B7DCAF9" w14:textId="3E559DE3" w:rsidR="004357B9" w:rsidRPr="00A30C4C" w:rsidRDefault="004357B9" w:rsidP="00A779E9">
            <w:pPr>
              <w:pStyle w:val="ListParagraph"/>
              <w:ind w:left="0"/>
              <w:rPr>
                <w:rFonts w:ascii="Times New Roman" w:hAnsi="Times New Roman"/>
                <w:sz w:val="24"/>
              </w:rPr>
            </w:pPr>
            <w:r>
              <w:rPr>
                <w:rFonts w:ascii="Times New Roman" w:hAnsi="Times New Roman"/>
                <w:sz w:val="24"/>
              </w:rPr>
              <w:t>Ostale izloženosti prema stanovništvu iz članka 147. stavka 2. točke (d) CRR-a prema MSP-ovima</w:t>
            </w:r>
          </w:p>
        </w:tc>
      </w:tr>
      <w:tr w:rsidR="004357B9" w:rsidRPr="00A30C4C" w14:paraId="46163273" w14:textId="77777777" w:rsidTr="00672D2A">
        <w:tc>
          <w:tcPr>
            <w:tcW w:w="1188" w:type="dxa"/>
          </w:tcPr>
          <w:p w14:paraId="58B3BE55" w14:textId="77777777" w:rsidR="004357B9" w:rsidRPr="00A30C4C" w:rsidRDefault="004357B9" w:rsidP="004357B9">
            <w:pPr>
              <w:rPr>
                <w:rFonts w:ascii="Times New Roman" w:hAnsi="Times New Roman"/>
                <w:sz w:val="24"/>
              </w:rPr>
            </w:pPr>
            <w:r>
              <w:rPr>
                <w:rFonts w:ascii="Times New Roman" w:hAnsi="Times New Roman"/>
                <w:sz w:val="24"/>
              </w:rPr>
              <w:t>130</w:t>
            </w:r>
          </w:p>
        </w:tc>
        <w:tc>
          <w:tcPr>
            <w:tcW w:w="8640" w:type="dxa"/>
          </w:tcPr>
          <w:p w14:paraId="0299AF28"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Osobe koje nisu MSP-ovi</w:t>
            </w:r>
          </w:p>
          <w:p w14:paraId="5CE130B3" w14:textId="396ABC8D" w:rsidR="004357B9" w:rsidRPr="00A30C4C" w:rsidRDefault="004357B9" w:rsidP="003B2712">
            <w:pPr>
              <w:rPr>
                <w:rFonts w:ascii="Times New Roman" w:hAnsi="Times New Roman"/>
                <w:sz w:val="24"/>
              </w:rPr>
            </w:pPr>
            <w:r>
              <w:rPr>
                <w:rFonts w:ascii="Times New Roman" w:hAnsi="Times New Roman"/>
                <w:sz w:val="24"/>
              </w:rPr>
              <w:lastRenderedPageBreak/>
              <w:t>Ostale izloženosti prema stanovništvu iz članka 147. stavka 2. točke (d) CRR-a prema osobama koje nisu MSP-ovi</w:t>
            </w:r>
          </w:p>
        </w:tc>
      </w:tr>
      <w:bookmarkEnd w:id="332"/>
      <w:tr w:rsidR="004357B9" w:rsidRPr="00A30C4C"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4357B9" w:rsidRPr="00A30C4C" w:rsidRDefault="004357B9" w:rsidP="004357B9">
            <w:pPr>
              <w:rPr>
                <w:rFonts w:ascii="Times New Roman" w:hAnsi="Times New Roman"/>
                <w:sz w:val="24"/>
              </w:rPr>
            </w:pPr>
            <w:r>
              <w:rPr>
                <w:rFonts w:ascii="Times New Roman" w:hAnsi="Times New Roman"/>
                <w:sz w:val="24"/>
              </w:rPr>
              <w:lastRenderedPageBreak/>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Vlasnička ulaganja</w:t>
            </w:r>
          </w:p>
          <w:p w14:paraId="226E72C5" w14:textId="40764E84" w:rsidR="004357B9" w:rsidRPr="00A30C4C" w:rsidRDefault="004357B9" w:rsidP="003B2712">
            <w:pPr>
              <w:rPr>
                <w:rFonts w:ascii="Times New Roman" w:hAnsi="Times New Roman"/>
                <w:b/>
                <w:sz w:val="24"/>
                <w:u w:val="single"/>
              </w:rPr>
            </w:pPr>
            <w:r>
              <w:rPr>
                <w:rFonts w:ascii="Times New Roman" w:hAnsi="Times New Roman"/>
                <w:sz w:val="24"/>
              </w:rPr>
              <w:t>Izloženosti na osnovi vlasničkih ulaganja iz članka 147. stavka 2. točke (e) CRR-a</w:t>
            </w:r>
          </w:p>
        </w:tc>
      </w:tr>
      <w:tr w:rsidR="007A49AC" w:rsidRPr="00A30C4C"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7A49AC" w:rsidRPr="00A30C4C"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A30C4C" w:rsidRDefault="007A49AC" w:rsidP="00A779E9">
            <w:pPr>
              <w:rPr>
                <w:rFonts w:ascii="Times New Roman" w:hAnsi="Times New Roman"/>
                <w:b/>
                <w:sz w:val="24"/>
                <w:u w:val="single"/>
              </w:rPr>
            </w:pPr>
            <w:r>
              <w:rPr>
                <w:rFonts w:ascii="Times New Roman" w:hAnsi="Times New Roman"/>
                <w:b/>
                <w:sz w:val="24"/>
                <w:u w:val="single"/>
              </w:rPr>
              <w:t>Ukupne izloženosti</w:t>
            </w:r>
          </w:p>
        </w:tc>
      </w:tr>
    </w:tbl>
    <w:p w14:paraId="2736D670" w14:textId="77777777" w:rsidR="004357B9" w:rsidRPr="00A30C4C" w:rsidRDefault="004357B9" w:rsidP="004357B9">
      <w:pPr>
        <w:spacing w:before="0" w:after="200" w:line="312" w:lineRule="auto"/>
        <w:jc w:val="left"/>
        <w:rPr>
          <w:rFonts w:ascii="Times New Roman" w:hAnsi="Times New Roman"/>
          <w:sz w:val="24"/>
        </w:rPr>
      </w:pPr>
    </w:p>
    <w:p w14:paraId="7DCD41BA"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39" w:name="_Toc473560917"/>
      <w:bookmarkStart w:id="340" w:name="_Toc30677673"/>
      <w:r>
        <w:rPr>
          <w:rFonts w:ascii="Times New Roman" w:hAnsi="Times New Roman"/>
          <w:sz w:val="24"/>
          <w:u w:val="none"/>
        </w:rPr>
        <w:t>3.4.3.</w:t>
      </w:r>
      <w:r>
        <w:rPr>
          <w:rFonts w:ascii="Times New Roman" w:hAnsi="Times New Roman"/>
          <w:sz w:val="24"/>
          <w:u w:val="none"/>
        </w:rPr>
        <w:tab/>
      </w:r>
      <w:bookmarkStart w:id="341" w:name="_Toc360188366"/>
      <w:r>
        <w:rPr>
          <w:rFonts w:ascii="Times New Roman" w:hAnsi="Times New Roman"/>
          <w:sz w:val="24"/>
        </w:rPr>
        <w:t xml:space="preserve">C 09.04 – Raščlamba relevantnih kreditnih izloženosti za potrebe izračuna </w:t>
      </w:r>
      <w:proofErr w:type="spellStart"/>
      <w:r>
        <w:rPr>
          <w:rFonts w:ascii="Times New Roman" w:hAnsi="Times New Roman"/>
          <w:sz w:val="24"/>
        </w:rPr>
        <w:t>protucikličkog</w:t>
      </w:r>
      <w:proofErr w:type="spellEnd"/>
      <w:r>
        <w:rPr>
          <w:rFonts w:ascii="Times New Roman" w:hAnsi="Times New Roman"/>
          <w:sz w:val="24"/>
        </w:rPr>
        <w:t xml:space="preserve"> zaštitnog sloja prema zemlji i stope </w:t>
      </w:r>
      <w:proofErr w:type="spellStart"/>
      <w:r>
        <w:rPr>
          <w:rFonts w:ascii="Times New Roman" w:hAnsi="Times New Roman"/>
          <w:sz w:val="24"/>
        </w:rPr>
        <w:t>protucikličkog</w:t>
      </w:r>
      <w:proofErr w:type="spellEnd"/>
      <w:r>
        <w:rPr>
          <w:rFonts w:ascii="Times New Roman" w:hAnsi="Times New Roman"/>
          <w:sz w:val="24"/>
        </w:rPr>
        <w:t xml:space="preserve"> zaštitnog sloja specifičnog za instituciju </w:t>
      </w:r>
      <w:bookmarkEnd w:id="341"/>
      <w:r>
        <w:rPr>
          <w:rFonts w:ascii="Times New Roman" w:hAnsi="Times New Roman"/>
          <w:sz w:val="24"/>
        </w:rPr>
        <w:t>(CCB)</w:t>
      </w:r>
      <w:bookmarkEnd w:id="339"/>
      <w:bookmarkEnd w:id="340"/>
    </w:p>
    <w:p w14:paraId="465F81DE"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42" w:name="_Toc360188367"/>
      <w:bookmarkStart w:id="343" w:name="_Toc473560918"/>
      <w:bookmarkStart w:id="344" w:name="_Toc30677674"/>
      <w:r>
        <w:rPr>
          <w:rFonts w:ascii="Times New Roman" w:hAnsi="Times New Roman"/>
          <w:sz w:val="24"/>
          <w:u w:val="none"/>
        </w:rPr>
        <w:t>3.4.3.1.</w:t>
      </w:r>
      <w:r>
        <w:rPr>
          <w:rFonts w:ascii="Times New Roman" w:hAnsi="Times New Roman"/>
          <w:sz w:val="24"/>
          <w:u w:val="none"/>
        </w:rPr>
        <w:tab/>
      </w:r>
      <w:r>
        <w:rPr>
          <w:rFonts w:ascii="Times New Roman" w:hAnsi="Times New Roman"/>
          <w:sz w:val="24"/>
        </w:rPr>
        <w:t>Opće napomene</w:t>
      </w:r>
      <w:bookmarkEnd w:id="342"/>
      <w:bookmarkEnd w:id="343"/>
      <w:bookmarkEnd w:id="344"/>
    </w:p>
    <w:p w14:paraId="590600E2" w14:textId="69965B11" w:rsidR="00430F6F" w:rsidRPr="00A30C4C" w:rsidRDefault="00125707" w:rsidP="00C37B29">
      <w:pPr>
        <w:pStyle w:val="InstructionsText2"/>
        <w:numPr>
          <w:ilvl w:val="0"/>
          <w:numId w:val="0"/>
        </w:numPr>
        <w:ind w:left="993"/>
      </w:pPr>
      <w:r>
        <w:t>82.</w:t>
      </w:r>
      <w:r>
        <w:tab/>
        <w:t xml:space="preserve">Cilj je ovog obrasca dobivanje više informacija o elementima </w:t>
      </w:r>
      <w:proofErr w:type="spellStart"/>
      <w:r>
        <w:t>protucikličkog</w:t>
      </w:r>
      <w:proofErr w:type="spellEnd"/>
      <w:r>
        <w:t xml:space="preserve"> zaštitnog sloja kapitala specifičnog za instituciju. Potrebne informacije odnose se na kapitalne zahtjeve utvrđene u skladu s dijelom trećim glavama II. i IV. CRR-a i geografski položaj za kreditne izloženosti, </w:t>
      </w:r>
      <w:proofErr w:type="spellStart"/>
      <w:r>
        <w:t>sekuritizacijske</w:t>
      </w:r>
      <w:proofErr w:type="spellEnd"/>
      <w:r>
        <w:t xml:space="preserve"> izloženosti i izloženosti iz knjige trgovanja relevantne za izračun </w:t>
      </w:r>
      <w:proofErr w:type="spellStart"/>
      <w:r>
        <w:t>protucikličkog</w:t>
      </w:r>
      <w:proofErr w:type="spellEnd"/>
      <w:r>
        <w:t xml:space="preserve"> zaštitnog sloja kapitala specifičnog za instituciju u skladu s člankom 140. CRD-a (relevantne kreditne izloženosti). </w:t>
      </w:r>
    </w:p>
    <w:p w14:paraId="565CB2C5" w14:textId="48308892" w:rsidR="00430F6F" w:rsidRPr="00A30C4C" w:rsidRDefault="00125707" w:rsidP="00C37B29">
      <w:pPr>
        <w:pStyle w:val="InstructionsText2"/>
        <w:numPr>
          <w:ilvl w:val="0"/>
          <w:numId w:val="0"/>
        </w:numPr>
        <w:ind w:left="993"/>
      </w:pPr>
      <w:r>
        <w:t>83.</w:t>
      </w:r>
      <w:r>
        <w:tab/>
        <w:t xml:space="preserve">Informacije u obrascu C 09.04 iskazuju se za stavku „ukupne” relevantne kreditne izloženosti u svim državama u kojima se nalaze te izloženosti i pojedinačno za svaku državu u kojima se nalaze relevantne kreditne izloženosti. Ukupne vrijednosti te informacije o svakoj državi iskazuju se zasebno. </w:t>
      </w:r>
    </w:p>
    <w:p w14:paraId="3D431326" w14:textId="1A0A567B" w:rsidR="007463E2" w:rsidRPr="00A30C4C" w:rsidRDefault="00125707" w:rsidP="00C37B29">
      <w:pPr>
        <w:pStyle w:val="InstructionsText2"/>
        <w:numPr>
          <w:ilvl w:val="0"/>
          <w:numId w:val="0"/>
        </w:numPr>
        <w:ind w:left="993"/>
      </w:pPr>
      <w:r>
        <w:t>84.</w:t>
      </w:r>
      <w:r>
        <w:tab/>
        <w:t>Prag određen u članku 5. stavku (a) točki 4. ove Provedbene uredbe ne primjenjuje se na izvješćivanje o ovoj raščlambi.</w:t>
      </w:r>
    </w:p>
    <w:p w14:paraId="51425BA4" w14:textId="2521704A" w:rsidR="005A7CA9" w:rsidRPr="00A30C4C" w:rsidRDefault="00125707" w:rsidP="00C37B29">
      <w:pPr>
        <w:pStyle w:val="InstructionsText2"/>
        <w:numPr>
          <w:ilvl w:val="0"/>
          <w:numId w:val="0"/>
        </w:numPr>
        <w:ind w:left="993"/>
      </w:pPr>
      <w:r>
        <w:t>85.</w:t>
      </w:r>
      <w:r>
        <w:tab/>
        <w:t>Kako bi se utvrdio geografski položaj, izloženosti se raspoređuju na osnovi položaja neposrednog dužnika kako je predviđeno Delegiranom uredbom Komisije (EU) br. 1152/2014</w:t>
      </w:r>
      <w:r w:rsidR="003B2712" w:rsidRPr="00A30C4C">
        <w:rPr>
          <w:rStyle w:val="FootnoteReference"/>
          <w:rFonts w:ascii="Times New Roman" w:hAnsi="Times New Roman"/>
          <w:sz w:val="24"/>
          <w:szCs w:val="24"/>
          <w:vertAlign w:val="superscript"/>
        </w:rPr>
        <w:footnoteReference w:id="11"/>
      </w:r>
      <w:r>
        <w:t>. Stoga se tehnikama smanjenja kreditnog rizika ne mijenja raspodjela izloženosti prema geografskom položaju za potrebe izvješćivanja o informacijama utvrđenima u ovom obrascu.</w:t>
      </w:r>
    </w:p>
    <w:p w14:paraId="79C27D50" w14:textId="77777777" w:rsidR="00154859" w:rsidRPr="00A30C4C" w:rsidRDefault="00125707" w:rsidP="0023700C">
      <w:pPr>
        <w:pStyle w:val="Instructionsberschrift2"/>
        <w:numPr>
          <w:ilvl w:val="0"/>
          <w:numId w:val="0"/>
        </w:numPr>
        <w:ind w:left="357" w:hanging="357"/>
        <w:rPr>
          <w:rFonts w:ascii="Times New Roman" w:hAnsi="Times New Roman" w:cs="Times New Roman"/>
          <w:sz w:val="24"/>
        </w:rPr>
      </w:pPr>
      <w:bookmarkStart w:id="345" w:name="_Toc360188368"/>
      <w:bookmarkStart w:id="346" w:name="_Toc473560919"/>
      <w:bookmarkStart w:id="347" w:name="_Toc30677675"/>
      <w:r>
        <w:rPr>
          <w:rFonts w:ascii="Times New Roman" w:hAnsi="Times New Roman"/>
          <w:sz w:val="24"/>
          <w:u w:val="none"/>
        </w:rPr>
        <w:t>3.4.3.2.</w:t>
      </w:r>
      <w:r>
        <w:rPr>
          <w:rFonts w:ascii="Times New Roman" w:hAnsi="Times New Roman"/>
          <w:sz w:val="24"/>
          <w:u w:val="none"/>
        </w:rPr>
        <w:tab/>
      </w:r>
      <w:r>
        <w:rPr>
          <w:rFonts w:ascii="Times New Roman" w:hAnsi="Times New Roman"/>
          <w:sz w:val="24"/>
        </w:rPr>
        <w:t>Upute za specifične pozicije</w:t>
      </w:r>
      <w:bookmarkEnd w:id="345"/>
      <w:bookmarkEnd w:id="346"/>
      <w:bookmarkEnd w:id="3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A30C4C" w14:paraId="5FF7C3DD" w14:textId="77777777" w:rsidTr="00672D2A">
        <w:tc>
          <w:tcPr>
            <w:tcW w:w="1697" w:type="dxa"/>
            <w:shd w:val="clear" w:color="auto" w:fill="CCCCCC"/>
          </w:tcPr>
          <w:p w14:paraId="354E64FE" w14:textId="77777777" w:rsidR="00154859" w:rsidRPr="00A30C4C" w:rsidRDefault="00154859" w:rsidP="004357B9">
            <w:pPr>
              <w:rPr>
                <w:rFonts w:ascii="Times New Roman" w:hAnsi="Times New Roman"/>
                <w:b/>
                <w:sz w:val="24"/>
              </w:rPr>
            </w:pPr>
            <w:r>
              <w:rPr>
                <w:rFonts w:ascii="Times New Roman" w:hAnsi="Times New Roman"/>
                <w:b/>
                <w:sz w:val="24"/>
              </w:rPr>
              <w:t>Stupci</w:t>
            </w:r>
          </w:p>
        </w:tc>
        <w:tc>
          <w:tcPr>
            <w:tcW w:w="8131" w:type="dxa"/>
            <w:shd w:val="clear" w:color="auto" w:fill="CCCCCC"/>
          </w:tcPr>
          <w:p w14:paraId="1B8532BA" w14:textId="77777777" w:rsidR="004357B9" w:rsidRPr="00A30C4C" w:rsidRDefault="004357B9" w:rsidP="004357B9">
            <w:pPr>
              <w:ind w:left="72"/>
              <w:rPr>
                <w:rFonts w:ascii="Times New Roman" w:hAnsi="Times New Roman"/>
                <w:sz w:val="24"/>
              </w:rPr>
            </w:pPr>
          </w:p>
        </w:tc>
      </w:tr>
      <w:tr w:rsidR="00154859" w:rsidRPr="00A30C4C" w14:paraId="49520813" w14:textId="77777777" w:rsidTr="00672D2A">
        <w:tc>
          <w:tcPr>
            <w:tcW w:w="1697" w:type="dxa"/>
          </w:tcPr>
          <w:p w14:paraId="3F21DB43" w14:textId="77777777" w:rsidR="00154859" w:rsidRPr="00A30C4C"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14:paraId="10E57B59" w14:textId="77777777" w:rsidR="00154859" w:rsidRPr="00A30C4C" w:rsidRDefault="00154859" w:rsidP="00133107">
            <w:pPr>
              <w:rPr>
                <w:rFonts w:ascii="Times New Roman" w:hAnsi="Times New Roman"/>
                <w:b/>
                <w:bCs/>
                <w:sz w:val="24"/>
                <w:u w:val="single"/>
              </w:rPr>
            </w:pPr>
            <w:r>
              <w:rPr>
                <w:rFonts w:ascii="Times New Roman" w:hAnsi="Times New Roman"/>
                <w:b/>
                <w:bCs/>
                <w:sz w:val="24"/>
                <w:u w:val="single"/>
              </w:rPr>
              <w:t>Iznos</w:t>
            </w:r>
          </w:p>
          <w:p w14:paraId="4EB9CF49" w14:textId="77777777" w:rsidR="00154859" w:rsidRPr="00A30C4C" w:rsidRDefault="006E3440" w:rsidP="00535A98">
            <w:pPr>
              <w:rPr>
                <w:rFonts w:ascii="Times New Roman" w:hAnsi="Times New Roman"/>
                <w:b/>
                <w:sz w:val="24"/>
                <w:u w:val="single"/>
              </w:rPr>
            </w:pPr>
            <w:r>
              <w:rPr>
                <w:rFonts w:ascii="Times New Roman" w:hAnsi="Times New Roman"/>
                <w:bCs/>
                <w:sz w:val="24"/>
              </w:rPr>
              <w:t>Vrijednost relevantnih kreditnih izloženosti i s njima povezanih kapitalnih zahtjeva utvrđenih u skladu s uputama za odgovarajući redak.</w:t>
            </w:r>
          </w:p>
        </w:tc>
      </w:tr>
      <w:tr w:rsidR="00154859" w:rsidRPr="00A30C4C" w14:paraId="268C7893" w14:textId="77777777" w:rsidTr="00672D2A">
        <w:tc>
          <w:tcPr>
            <w:tcW w:w="1697" w:type="dxa"/>
          </w:tcPr>
          <w:p w14:paraId="6B0C9199" w14:textId="77777777" w:rsidR="00154859" w:rsidRPr="00A30C4C" w:rsidRDefault="00154859" w:rsidP="004357B9">
            <w:pPr>
              <w:rPr>
                <w:sz w:val="24"/>
              </w:rPr>
            </w:pPr>
            <w:r>
              <w:rPr>
                <w:rFonts w:ascii="Times New Roman" w:hAnsi="Times New Roman"/>
                <w:sz w:val="24"/>
              </w:rPr>
              <w:lastRenderedPageBreak/>
              <w:t>020</w:t>
            </w:r>
          </w:p>
        </w:tc>
        <w:tc>
          <w:tcPr>
            <w:tcW w:w="8131" w:type="dxa"/>
          </w:tcPr>
          <w:p w14:paraId="5C3A8C79" w14:textId="77777777" w:rsidR="00154859" w:rsidRPr="00A30C4C" w:rsidRDefault="00154859" w:rsidP="00133107">
            <w:pPr>
              <w:rPr>
                <w:rFonts w:ascii="Times New Roman" w:hAnsi="Times New Roman"/>
                <w:b/>
                <w:bCs/>
                <w:sz w:val="24"/>
                <w:u w:val="single"/>
              </w:rPr>
            </w:pPr>
            <w:r>
              <w:rPr>
                <w:rFonts w:ascii="Times New Roman" w:hAnsi="Times New Roman"/>
                <w:b/>
                <w:bCs/>
                <w:sz w:val="24"/>
                <w:u w:val="single"/>
              </w:rPr>
              <w:t>Postotak</w:t>
            </w:r>
          </w:p>
          <w:p w14:paraId="4D2BDB64" w14:textId="77777777" w:rsidR="00154859" w:rsidRPr="00A30C4C" w:rsidRDefault="00154859" w:rsidP="00133107">
            <w:pPr>
              <w:rPr>
                <w:rFonts w:ascii="Times New Roman" w:hAnsi="Times New Roman"/>
                <w:b/>
                <w:bCs/>
                <w:sz w:val="24"/>
                <w:u w:val="single"/>
                <w:lang w:eastAsia="de-DE"/>
              </w:rPr>
            </w:pPr>
          </w:p>
        </w:tc>
      </w:tr>
      <w:tr w:rsidR="00154859" w:rsidRPr="00A30C4C" w14:paraId="1550E296" w14:textId="77777777" w:rsidTr="00672D2A">
        <w:tc>
          <w:tcPr>
            <w:tcW w:w="1697" w:type="dxa"/>
          </w:tcPr>
          <w:p w14:paraId="75FA72CB" w14:textId="77777777" w:rsidR="00154859" w:rsidRPr="00A30C4C" w:rsidRDefault="00154859" w:rsidP="004357B9">
            <w:pPr>
              <w:rPr>
                <w:rFonts w:ascii="Times New Roman" w:hAnsi="Times New Roman"/>
                <w:sz w:val="24"/>
              </w:rPr>
            </w:pPr>
            <w:r>
              <w:rPr>
                <w:rFonts w:ascii="Times New Roman" w:hAnsi="Times New Roman"/>
                <w:sz w:val="24"/>
              </w:rPr>
              <w:t>030</w:t>
            </w:r>
          </w:p>
        </w:tc>
        <w:tc>
          <w:tcPr>
            <w:tcW w:w="8131" w:type="dxa"/>
          </w:tcPr>
          <w:p w14:paraId="2412DC52" w14:textId="77777777" w:rsidR="00154859" w:rsidRPr="00A30C4C"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Kvalitativne informacije</w:t>
            </w:r>
          </w:p>
          <w:p w14:paraId="029AF1F6" w14:textId="77777777" w:rsidR="00514783" w:rsidRPr="00A30C4C" w:rsidRDefault="00CA270D" w:rsidP="00234E7D">
            <w:pPr>
              <w:autoSpaceDE w:val="0"/>
              <w:autoSpaceDN w:val="0"/>
              <w:adjustRightInd w:val="0"/>
              <w:rPr>
                <w:rFonts w:ascii="Times New Roman" w:hAnsi="Times New Roman"/>
                <w:sz w:val="24"/>
              </w:rPr>
            </w:pPr>
            <w:r>
              <w:rPr>
                <w:rFonts w:ascii="Times New Roman" w:hAnsi="Times New Roman"/>
                <w:sz w:val="24"/>
              </w:rPr>
              <w:t xml:space="preserve">Informacije se iskazuju samo za zemlju </w:t>
            </w:r>
            <w:proofErr w:type="spellStart"/>
            <w:r>
              <w:rPr>
                <w:rFonts w:ascii="Times New Roman" w:hAnsi="Times New Roman"/>
                <w:sz w:val="24"/>
              </w:rPr>
              <w:t>rezidentnosti</w:t>
            </w:r>
            <w:proofErr w:type="spellEnd"/>
            <w:r>
              <w:rPr>
                <w:rFonts w:ascii="Times New Roman" w:hAnsi="Times New Roman"/>
                <w:sz w:val="24"/>
              </w:rPr>
              <w:t xml:space="preserve"> institucije (zemlju koja odgovara njezinoj matičnoj državi članici) i „ukupno” za sve zemlje. </w:t>
            </w:r>
          </w:p>
          <w:p w14:paraId="0D411860" w14:textId="77777777" w:rsidR="00EF3F40" w:rsidRPr="00A30C4C"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Institucije iskazuju {y} ili {n}  u skladu s uputama za odgovarajući redak.</w:t>
            </w:r>
          </w:p>
        </w:tc>
      </w:tr>
    </w:tbl>
    <w:p w14:paraId="5B115871" w14:textId="77777777" w:rsidR="00464F34" w:rsidRPr="00A30C4C"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A30C4C" w14:paraId="221B0333" w14:textId="77777777" w:rsidTr="00672D2A">
        <w:tc>
          <w:tcPr>
            <w:tcW w:w="1697" w:type="dxa"/>
            <w:shd w:val="clear" w:color="auto" w:fill="CCCCCC"/>
          </w:tcPr>
          <w:p w14:paraId="437ACE57" w14:textId="77777777" w:rsidR="00BD5485" w:rsidRPr="00A30C4C" w:rsidRDefault="00BD5485" w:rsidP="00133107">
            <w:pPr>
              <w:rPr>
                <w:rFonts w:ascii="Times New Roman" w:hAnsi="Times New Roman"/>
                <w:b/>
                <w:sz w:val="24"/>
              </w:rPr>
            </w:pPr>
            <w:r>
              <w:rPr>
                <w:rFonts w:ascii="Times New Roman" w:hAnsi="Times New Roman"/>
                <w:b/>
                <w:sz w:val="24"/>
              </w:rPr>
              <w:t>Redci</w:t>
            </w:r>
          </w:p>
        </w:tc>
        <w:tc>
          <w:tcPr>
            <w:tcW w:w="8131" w:type="dxa"/>
            <w:shd w:val="clear" w:color="auto" w:fill="CCCCCC"/>
          </w:tcPr>
          <w:p w14:paraId="594AB552" w14:textId="77777777" w:rsidR="00BD5485" w:rsidRPr="00A30C4C" w:rsidRDefault="00BD5485" w:rsidP="00133107">
            <w:pPr>
              <w:ind w:left="72"/>
              <w:rPr>
                <w:rFonts w:ascii="Times New Roman" w:hAnsi="Times New Roman"/>
                <w:sz w:val="24"/>
              </w:rPr>
            </w:pPr>
          </w:p>
        </w:tc>
      </w:tr>
      <w:tr w:rsidR="00BD5485" w:rsidRPr="00A30C4C" w14:paraId="573D073A" w14:textId="77777777" w:rsidTr="00672D2A">
        <w:tc>
          <w:tcPr>
            <w:tcW w:w="1697" w:type="dxa"/>
          </w:tcPr>
          <w:p w14:paraId="01569166" w14:textId="77777777" w:rsidR="00BD5485" w:rsidRPr="00A30C4C"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14:paraId="7114AFAC"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Relevantne kreditne izloženosti – kreditni rizik</w:t>
            </w:r>
          </w:p>
          <w:p w14:paraId="41A44D7A" w14:textId="67014FA9" w:rsidR="00BD5485" w:rsidRPr="00A30C4C" w:rsidRDefault="00BD5485" w:rsidP="00A37A04">
            <w:pPr>
              <w:rPr>
                <w:rFonts w:ascii="Times New Roman" w:hAnsi="Times New Roman"/>
                <w:b/>
                <w:sz w:val="24"/>
                <w:u w:val="single"/>
              </w:rPr>
            </w:pPr>
            <w:r>
              <w:rPr>
                <w:rFonts w:ascii="Times New Roman" w:hAnsi="Times New Roman"/>
                <w:sz w:val="24"/>
              </w:rPr>
              <w:t>Relevantne kreditne izloženosti iz članka 140. stavka 4. točke (a) CRD-a</w:t>
            </w:r>
          </w:p>
        </w:tc>
      </w:tr>
      <w:tr w:rsidR="00BD5485" w:rsidRPr="00A30C4C" w14:paraId="25827097" w14:textId="77777777" w:rsidTr="00672D2A">
        <w:tc>
          <w:tcPr>
            <w:tcW w:w="1697" w:type="dxa"/>
          </w:tcPr>
          <w:p w14:paraId="5B4B27F7" w14:textId="77777777" w:rsidR="00BD5485" w:rsidRPr="00A30C4C" w:rsidRDefault="00BD5485" w:rsidP="00133107">
            <w:pPr>
              <w:rPr>
                <w:sz w:val="24"/>
              </w:rPr>
            </w:pPr>
            <w:r>
              <w:rPr>
                <w:rFonts w:ascii="Times New Roman" w:hAnsi="Times New Roman"/>
                <w:sz w:val="24"/>
              </w:rPr>
              <w:t>010</w:t>
            </w:r>
          </w:p>
        </w:tc>
        <w:tc>
          <w:tcPr>
            <w:tcW w:w="8131" w:type="dxa"/>
          </w:tcPr>
          <w:p w14:paraId="6D491E25"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Vrijednost izloženosti u skladu sa standardiziranim pristupom</w:t>
            </w:r>
          </w:p>
          <w:p w14:paraId="29167577" w14:textId="454FD415"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Vrijednost izloženosti izračunana u skladu s člankom 111. CRR-a za relevantne kreditne izloženosti iz članka 140. stavka 4. točke (a) CRD-a. </w:t>
            </w:r>
          </w:p>
          <w:p w14:paraId="5DA5322A" w14:textId="77777777" w:rsidR="00BD5485" w:rsidRPr="00A30C4C"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u knjizi pozicija kojima se ne trguje isključuje se iz ovog retka i iskazuje se u retku 055.</w:t>
            </w:r>
          </w:p>
        </w:tc>
      </w:tr>
      <w:tr w:rsidR="00BD5485" w:rsidRPr="00A30C4C" w14:paraId="4FA25E7A" w14:textId="77777777" w:rsidTr="00672D2A">
        <w:tc>
          <w:tcPr>
            <w:tcW w:w="1697" w:type="dxa"/>
          </w:tcPr>
          <w:p w14:paraId="182629F3" w14:textId="77777777" w:rsidR="00BD5485" w:rsidRPr="00A30C4C" w:rsidRDefault="00BD5485" w:rsidP="00133107">
            <w:pPr>
              <w:rPr>
                <w:rFonts w:ascii="Times New Roman" w:hAnsi="Times New Roman"/>
                <w:sz w:val="24"/>
              </w:rPr>
            </w:pPr>
            <w:r>
              <w:rPr>
                <w:rFonts w:ascii="Times New Roman" w:hAnsi="Times New Roman"/>
                <w:sz w:val="24"/>
              </w:rPr>
              <w:t>020</w:t>
            </w:r>
          </w:p>
        </w:tc>
        <w:tc>
          <w:tcPr>
            <w:tcW w:w="8131" w:type="dxa"/>
          </w:tcPr>
          <w:p w14:paraId="0B2401A2"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Vrijednost izloženosti u skladu s IRB pristupom</w:t>
            </w:r>
          </w:p>
          <w:p w14:paraId="7F5F59B9" w14:textId="77804934"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Vrijednost izloženosti izračunana u skladu s člankom 166. CRR-a za relevantne kreditne izloženosti iz članka 140. stavka 4. točke (a) CRD-a. </w:t>
            </w:r>
          </w:p>
          <w:p w14:paraId="0801FF0E" w14:textId="77777777" w:rsidR="00BD5485" w:rsidRPr="00A30C4C" w:rsidRDefault="00BD5485" w:rsidP="00B85F75">
            <w:pPr>
              <w:rPr>
                <w:rFonts w:ascii="Times New Roman" w:hAnsi="Times New Roman"/>
                <w:b/>
                <w:bCs/>
                <w:sz w:val="24"/>
                <w:u w:val="single"/>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u knjizi pozicija kojima se ne trguje isključuje se iz ovog retka i iskazuje se u retku 055.</w:t>
            </w:r>
          </w:p>
        </w:tc>
      </w:tr>
      <w:tr w:rsidR="00BD5485" w:rsidRPr="00A30C4C" w14:paraId="51948321" w14:textId="77777777" w:rsidTr="00672D2A">
        <w:tc>
          <w:tcPr>
            <w:tcW w:w="1697" w:type="dxa"/>
          </w:tcPr>
          <w:p w14:paraId="230F5679" w14:textId="77777777" w:rsidR="00BD5485" w:rsidRPr="00A30C4C" w:rsidRDefault="00BD5485" w:rsidP="00133107">
            <w:pPr>
              <w:rPr>
                <w:rFonts w:ascii="Times New Roman" w:hAnsi="Times New Roman"/>
                <w:sz w:val="24"/>
              </w:rPr>
            </w:pPr>
            <w:r>
              <w:rPr>
                <w:rFonts w:ascii="Times New Roman" w:hAnsi="Times New Roman"/>
                <w:sz w:val="24"/>
              </w:rPr>
              <w:t>030-040</w:t>
            </w:r>
          </w:p>
        </w:tc>
        <w:tc>
          <w:tcPr>
            <w:tcW w:w="8131" w:type="dxa"/>
          </w:tcPr>
          <w:p w14:paraId="1E7525DE"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Relevantne kreditne izloženosti – tržišni rizik</w:t>
            </w:r>
          </w:p>
          <w:p w14:paraId="0F3A7B2F" w14:textId="09F3C829" w:rsidR="00BD5485" w:rsidRPr="00A30C4C" w:rsidRDefault="00BD5485" w:rsidP="00A37A04">
            <w:pPr>
              <w:rPr>
                <w:rFonts w:ascii="Times New Roman" w:hAnsi="Times New Roman"/>
                <w:b/>
                <w:bCs/>
                <w:sz w:val="24"/>
                <w:u w:val="single"/>
              </w:rPr>
            </w:pPr>
            <w:r>
              <w:rPr>
                <w:rFonts w:ascii="Times New Roman" w:hAnsi="Times New Roman"/>
                <w:sz w:val="24"/>
              </w:rPr>
              <w:t>Relevantne kreditne izloženosti iz članka 140. stavka 4. točke (b) CRD-a</w:t>
            </w:r>
          </w:p>
        </w:tc>
      </w:tr>
      <w:tr w:rsidR="00BD5485" w:rsidRPr="00A30C4C" w14:paraId="79FC1A80" w14:textId="77777777" w:rsidTr="00672D2A">
        <w:tc>
          <w:tcPr>
            <w:tcW w:w="1697" w:type="dxa"/>
          </w:tcPr>
          <w:p w14:paraId="497766A6" w14:textId="77777777" w:rsidR="00BD5485" w:rsidRPr="00A30C4C" w:rsidRDefault="00BD5485" w:rsidP="00133107">
            <w:pPr>
              <w:rPr>
                <w:rFonts w:ascii="Times New Roman" w:hAnsi="Times New Roman"/>
                <w:sz w:val="24"/>
              </w:rPr>
            </w:pPr>
            <w:r>
              <w:rPr>
                <w:rFonts w:ascii="Times New Roman" w:hAnsi="Times New Roman"/>
                <w:sz w:val="24"/>
              </w:rPr>
              <w:t>030</w:t>
            </w:r>
          </w:p>
        </w:tc>
        <w:tc>
          <w:tcPr>
            <w:tcW w:w="8131" w:type="dxa"/>
          </w:tcPr>
          <w:p w14:paraId="04A9CA19" w14:textId="3F2AB8A9" w:rsidR="00BD5485" w:rsidRPr="00A30C4C" w:rsidRDefault="00BD5485" w:rsidP="00BD5485">
            <w:pPr>
              <w:rPr>
                <w:rFonts w:ascii="Times New Roman" w:hAnsi="Times New Roman"/>
                <w:b/>
                <w:bCs/>
                <w:sz w:val="24"/>
                <w:u w:val="single"/>
              </w:rPr>
            </w:pPr>
            <w:r>
              <w:rPr>
                <w:rFonts w:ascii="Times New Roman" w:hAnsi="Times New Roman"/>
                <w:b/>
                <w:bCs/>
                <w:sz w:val="24"/>
                <w:u w:val="single"/>
              </w:rPr>
              <w:t>Zbroj dugih i kratkih pozicija u izloženostima iz knjige trgovanja za standardizirani pristup</w:t>
            </w:r>
          </w:p>
          <w:p w14:paraId="00BAC1C1" w14:textId="57F8F503"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Zbroj neto dugih i neto kratkih pozicija, u skladu s člankom 327. CRR-a, u relevantnim kreditnim izloženostima iz članka 140. stavka 4. točke (b) CRD-a koje podliježu kapitalnim zahtjevima na temelju dijela trećeg glave IV. poglavlja 2. CRR-a: </w:t>
            </w:r>
          </w:p>
          <w:p w14:paraId="17A7C416" w14:textId="04DC4F6E"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izloženosti prema dužničkim instrumentima osim </w:t>
            </w:r>
            <w:proofErr w:type="spellStart"/>
            <w:r>
              <w:rPr>
                <w:rFonts w:ascii="Times New Roman" w:hAnsi="Times New Roman"/>
                <w:sz w:val="24"/>
              </w:rPr>
              <w:t>sekuritizacija</w:t>
            </w:r>
            <w:proofErr w:type="spellEnd"/>
            <w:r>
              <w:rPr>
                <w:rFonts w:ascii="Times New Roman" w:hAnsi="Times New Roman"/>
                <w:sz w:val="24"/>
              </w:rPr>
              <w:t>,</w:t>
            </w:r>
          </w:p>
          <w:p w14:paraId="1A1A3199" w14:textId="12DFF28D"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izloženosti prema </w:t>
            </w:r>
            <w:proofErr w:type="spellStart"/>
            <w:r>
              <w:rPr>
                <w:rFonts w:ascii="Times New Roman" w:hAnsi="Times New Roman"/>
                <w:sz w:val="24"/>
              </w:rPr>
              <w:t>sekuritizacijskim</w:t>
            </w:r>
            <w:proofErr w:type="spellEnd"/>
            <w:r>
              <w:rPr>
                <w:rFonts w:ascii="Times New Roman" w:hAnsi="Times New Roman"/>
                <w:sz w:val="24"/>
              </w:rPr>
              <w:t xml:space="preserve"> pozicijama u knjizi trgovanja,</w:t>
            </w:r>
          </w:p>
          <w:p w14:paraId="79ED82FF" w14:textId="3468B88E"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korelacijskim portfeljima namijenjenima trgovanju,</w:t>
            </w:r>
          </w:p>
          <w:p w14:paraId="27C772FA" w14:textId="307CF54E"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izloženosti prema vlasničkim vrijednosnim papirima,</w:t>
            </w:r>
          </w:p>
          <w:p w14:paraId="2992A621" w14:textId="344C1C78" w:rsidR="00797715" w:rsidRPr="00A30C4C"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rPr>
                <w:rFonts w:ascii="Times New Roman" w:hAnsi="Times New Roman"/>
                <w:bCs/>
                <w:sz w:val="24"/>
              </w:rPr>
              <w:tab/>
            </w:r>
            <w:r>
              <w:rPr>
                <w:rFonts w:ascii="Times New Roman" w:hAnsi="Times New Roman"/>
                <w:sz w:val="24"/>
              </w:rPr>
              <w:t>izloženosti prema CIU-ovima ako se kapitalni zahtjevi izračunavaju u skladu s člankom 348. CRR-a.</w:t>
            </w:r>
          </w:p>
        </w:tc>
      </w:tr>
      <w:tr w:rsidR="00BD5485" w:rsidRPr="00A30C4C" w14:paraId="1FED66B6" w14:textId="77777777" w:rsidTr="00672D2A">
        <w:tc>
          <w:tcPr>
            <w:tcW w:w="1697" w:type="dxa"/>
          </w:tcPr>
          <w:p w14:paraId="57918A86" w14:textId="77777777" w:rsidR="00BD5485" w:rsidRPr="00A30C4C" w:rsidRDefault="00BD5485" w:rsidP="00133107">
            <w:pPr>
              <w:rPr>
                <w:rFonts w:ascii="Times New Roman" w:hAnsi="Times New Roman"/>
                <w:sz w:val="24"/>
              </w:rPr>
            </w:pPr>
            <w:r>
              <w:rPr>
                <w:rFonts w:ascii="Times New Roman" w:hAnsi="Times New Roman"/>
                <w:sz w:val="24"/>
              </w:rPr>
              <w:t>040</w:t>
            </w:r>
          </w:p>
        </w:tc>
        <w:tc>
          <w:tcPr>
            <w:tcW w:w="8131" w:type="dxa"/>
          </w:tcPr>
          <w:p w14:paraId="057C116C" w14:textId="66ED0793" w:rsidR="00BD5485" w:rsidRPr="00A30C4C" w:rsidRDefault="00BD5485" w:rsidP="00BD5485">
            <w:pPr>
              <w:rPr>
                <w:rFonts w:ascii="Times New Roman" w:hAnsi="Times New Roman"/>
                <w:b/>
                <w:bCs/>
                <w:sz w:val="24"/>
                <w:u w:val="single"/>
              </w:rPr>
            </w:pPr>
            <w:r>
              <w:rPr>
                <w:rFonts w:ascii="Times New Roman" w:hAnsi="Times New Roman"/>
                <w:b/>
                <w:bCs/>
                <w:sz w:val="24"/>
                <w:u w:val="single"/>
              </w:rPr>
              <w:t>Vrijednost izloženosti iz knjige trgovanja u skladu s internim modelima</w:t>
            </w:r>
          </w:p>
          <w:p w14:paraId="03B50E71" w14:textId="0D073B2C"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Za relevantne kreditne izloženosti iz članka 140. stavka 4. točke (b) CRD-a na koje se primjenjuju kapitalni zahtjevi u skladu s dijelom trećim glavom IV. poglavljem 2. i 5. CRR-a, iskazuje se zbroj sljedećeg:</w:t>
            </w:r>
          </w:p>
          <w:p w14:paraId="53F7ACFD" w14:textId="66A139F7" w:rsidR="00BD5485" w:rsidRPr="00A30C4C"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rPr>
                <w:rFonts w:ascii="Calibri" w:hAnsi="Calibri"/>
                <w:sz w:val="24"/>
              </w:rPr>
              <w:tab/>
            </w:r>
            <w:r>
              <w:rPr>
                <w:rFonts w:ascii="Times New Roman" w:hAnsi="Times New Roman"/>
                <w:sz w:val="24"/>
              </w:rPr>
              <w:t>fer vrijednosti neizvedenih pozicija koje predstavljaju relevantne kreditne izloženosti iz članka 140. stavka 4. točke (b) CRD-a, utvrđene u skladu s člankom 104. CRR-a.</w:t>
            </w:r>
          </w:p>
          <w:p w14:paraId="5FB438A1" w14:textId="1C96DB25" w:rsidR="00BD5485" w:rsidRPr="00A30C4C"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rPr>
                <w:rFonts w:ascii="Calibri" w:hAnsi="Calibri"/>
                <w:bCs/>
                <w:sz w:val="24"/>
              </w:rPr>
              <w:tab/>
            </w:r>
            <w:r>
              <w:rPr>
                <w:rFonts w:ascii="Times New Roman" w:hAnsi="Times New Roman"/>
                <w:sz w:val="24"/>
              </w:rPr>
              <w:t>zamišljene vrijednosti izvedenica koje predstavljaju relevantne kreditne izloženosti iz članka 140. stavka 4. točke (b) CRD-a.</w:t>
            </w:r>
          </w:p>
        </w:tc>
      </w:tr>
      <w:tr w:rsidR="00BD5485" w:rsidRPr="00A30C4C" w14:paraId="0C9C0584" w14:textId="77777777" w:rsidTr="00672D2A">
        <w:tc>
          <w:tcPr>
            <w:tcW w:w="1697" w:type="dxa"/>
          </w:tcPr>
          <w:p w14:paraId="718A0F02" w14:textId="77777777" w:rsidR="00BD5485" w:rsidRPr="00A30C4C" w:rsidRDefault="008B6B86" w:rsidP="008B6B86">
            <w:pPr>
              <w:rPr>
                <w:rFonts w:ascii="Times New Roman" w:hAnsi="Times New Roman"/>
                <w:sz w:val="24"/>
              </w:rPr>
            </w:pPr>
            <w:r>
              <w:rPr>
                <w:rFonts w:ascii="Times New Roman" w:hAnsi="Times New Roman"/>
                <w:sz w:val="24"/>
              </w:rPr>
              <w:lastRenderedPageBreak/>
              <w:t>055</w:t>
            </w:r>
          </w:p>
        </w:tc>
        <w:tc>
          <w:tcPr>
            <w:tcW w:w="8131" w:type="dxa"/>
          </w:tcPr>
          <w:p w14:paraId="586EB716"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 xml:space="preserve">Relevantne kreditne izloženosti – </w:t>
            </w:r>
            <w:proofErr w:type="spellStart"/>
            <w:r>
              <w:rPr>
                <w:rFonts w:ascii="Times New Roman" w:hAnsi="Times New Roman"/>
                <w:b/>
                <w:bCs/>
                <w:sz w:val="24"/>
                <w:u w:val="single"/>
              </w:rPr>
              <w:t>sekuritizacijske</w:t>
            </w:r>
            <w:proofErr w:type="spellEnd"/>
            <w:r>
              <w:rPr>
                <w:rFonts w:ascii="Times New Roman" w:hAnsi="Times New Roman"/>
                <w:b/>
                <w:bCs/>
                <w:sz w:val="24"/>
                <w:u w:val="single"/>
              </w:rPr>
              <w:t xml:space="preserve"> pozicije u knjizi pozicija kojima se ne trguje</w:t>
            </w:r>
          </w:p>
          <w:p w14:paraId="2A72AE78" w14:textId="48612639" w:rsidR="00BD5485" w:rsidRPr="00A30C4C" w:rsidRDefault="00C44421" w:rsidP="00A37A04">
            <w:pPr>
              <w:rPr>
                <w:rFonts w:ascii="Times New Roman" w:hAnsi="Times New Roman"/>
                <w:sz w:val="24"/>
              </w:rPr>
            </w:pPr>
            <w:r>
              <w:rPr>
                <w:rFonts w:ascii="Times New Roman" w:hAnsi="Times New Roman"/>
                <w:sz w:val="24"/>
              </w:rPr>
              <w:t>Vrijednost izloženosti izračunana u skladu s člankom 248. CRR-a za relevantne kreditne izloženosti iz članka 140. stavka 4. točke (c) CRD-a.</w:t>
            </w:r>
          </w:p>
        </w:tc>
      </w:tr>
      <w:tr w:rsidR="00BD5485" w:rsidRPr="00A30C4C" w14:paraId="1A186CC1" w14:textId="77777777" w:rsidTr="00672D2A">
        <w:tc>
          <w:tcPr>
            <w:tcW w:w="1697" w:type="dxa"/>
          </w:tcPr>
          <w:p w14:paraId="588C5D36" w14:textId="77777777" w:rsidR="00BD5485" w:rsidRPr="00A30C4C" w:rsidRDefault="00BD5485" w:rsidP="00133107">
            <w:pPr>
              <w:rPr>
                <w:rFonts w:ascii="Times New Roman" w:hAnsi="Times New Roman"/>
                <w:sz w:val="24"/>
              </w:rPr>
            </w:pPr>
            <w:r>
              <w:rPr>
                <w:rFonts w:ascii="Times New Roman" w:hAnsi="Times New Roman"/>
                <w:sz w:val="24"/>
              </w:rPr>
              <w:t>070-110</w:t>
            </w:r>
          </w:p>
        </w:tc>
        <w:tc>
          <w:tcPr>
            <w:tcW w:w="8131" w:type="dxa"/>
          </w:tcPr>
          <w:p w14:paraId="1BE0CCAB" w14:textId="77777777" w:rsidR="00BD5485" w:rsidRPr="00A30C4C" w:rsidRDefault="00BD5485" w:rsidP="00133107">
            <w:pPr>
              <w:rPr>
                <w:rFonts w:ascii="Times New Roman" w:hAnsi="Times New Roman"/>
                <w:b/>
                <w:bCs/>
                <w:sz w:val="24"/>
                <w:u w:val="single"/>
              </w:rPr>
            </w:pPr>
            <w:r>
              <w:rPr>
                <w:rFonts w:ascii="Times New Roman" w:hAnsi="Times New Roman"/>
                <w:b/>
                <w:bCs/>
                <w:sz w:val="24"/>
                <w:u w:val="single"/>
              </w:rPr>
              <w:t>Kapitalni zahtjevi i ponderi</w:t>
            </w:r>
          </w:p>
        </w:tc>
      </w:tr>
      <w:tr w:rsidR="00BD5485" w:rsidRPr="00A30C4C" w14:paraId="5EEE0196" w14:textId="77777777" w:rsidTr="00672D2A">
        <w:tc>
          <w:tcPr>
            <w:tcW w:w="1697" w:type="dxa"/>
          </w:tcPr>
          <w:p w14:paraId="3610D72B" w14:textId="77777777" w:rsidR="00BD5485" w:rsidRPr="00A30C4C" w:rsidRDefault="00BD5485" w:rsidP="00133107">
            <w:pPr>
              <w:rPr>
                <w:rFonts w:ascii="Times New Roman" w:hAnsi="Times New Roman"/>
                <w:sz w:val="24"/>
              </w:rPr>
            </w:pPr>
            <w:r>
              <w:rPr>
                <w:rFonts w:ascii="Times New Roman" w:hAnsi="Times New Roman"/>
                <w:sz w:val="24"/>
              </w:rPr>
              <w:t>070</w:t>
            </w:r>
          </w:p>
        </w:tc>
        <w:tc>
          <w:tcPr>
            <w:tcW w:w="8131" w:type="dxa"/>
          </w:tcPr>
          <w:p w14:paraId="3F1B6928"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 xml:space="preserve">Ukupni kapitalni zahtjevi za </w:t>
            </w:r>
            <w:proofErr w:type="spellStart"/>
            <w:r>
              <w:rPr>
                <w:rFonts w:ascii="Times New Roman" w:hAnsi="Times New Roman"/>
                <w:b/>
                <w:bCs/>
                <w:sz w:val="24"/>
                <w:u w:val="single"/>
              </w:rPr>
              <w:t>protuciklički</w:t>
            </w:r>
            <w:proofErr w:type="spellEnd"/>
            <w:r>
              <w:rPr>
                <w:rFonts w:ascii="Times New Roman" w:hAnsi="Times New Roman"/>
                <w:b/>
                <w:bCs/>
                <w:sz w:val="24"/>
                <w:u w:val="single"/>
              </w:rPr>
              <w:t xml:space="preserve"> zaštitni sloj kapitala</w:t>
            </w:r>
          </w:p>
          <w:p w14:paraId="199E09E3" w14:textId="77777777" w:rsidR="00BD5485" w:rsidRPr="00A30C4C" w:rsidRDefault="00BD5485" w:rsidP="00BD5485">
            <w:pPr>
              <w:rPr>
                <w:rFonts w:ascii="Times New Roman" w:hAnsi="Times New Roman"/>
                <w:b/>
                <w:bCs/>
                <w:sz w:val="24"/>
                <w:u w:val="single"/>
              </w:rPr>
            </w:pPr>
            <w:r>
              <w:rPr>
                <w:rFonts w:ascii="Times New Roman" w:hAnsi="Times New Roman"/>
                <w:sz w:val="24"/>
              </w:rPr>
              <w:t>Zbroj redaka 080, 090 i 100.</w:t>
            </w:r>
          </w:p>
        </w:tc>
      </w:tr>
      <w:tr w:rsidR="00BD5485" w:rsidRPr="00A30C4C" w14:paraId="161C6590" w14:textId="77777777" w:rsidTr="00672D2A">
        <w:tc>
          <w:tcPr>
            <w:tcW w:w="1697" w:type="dxa"/>
          </w:tcPr>
          <w:p w14:paraId="6BBFB334" w14:textId="77777777" w:rsidR="00BD5485" w:rsidRPr="00A30C4C" w:rsidRDefault="00BD5485" w:rsidP="00133107">
            <w:pPr>
              <w:rPr>
                <w:rFonts w:ascii="Times New Roman" w:hAnsi="Times New Roman"/>
                <w:sz w:val="24"/>
              </w:rPr>
            </w:pPr>
            <w:r>
              <w:rPr>
                <w:rFonts w:ascii="Times New Roman" w:hAnsi="Times New Roman"/>
                <w:sz w:val="24"/>
              </w:rPr>
              <w:t>080</w:t>
            </w:r>
          </w:p>
        </w:tc>
        <w:tc>
          <w:tcPr>
            <w:tcW w:w="8131" w:type="dxa"/>
          </w:tcPr>
          <w:p w14:paraId="344AB852" w14:textId="77777777" w:rsidR="00BD5485" w:rsidRPr="00A30C4C" w:rsidRDefault="00C211DC" w:rsidP="00BD5485">
            <w:pPr>
              <w:rPr>
                <w:rFonts w:ascii="Times New Roman" w:hAnsi="Times New Roman"/>
                <w:b/>
                <w:bCs/>
                <w:sz w:val="24"/>
                <w:u w:val="single"/>
              </w:rPr>
            </w:pPr>
            <w:r>
              <w:rPr>
                <w:rFonts w:ascii="Times New Roman" w:hAnsi="Times New Roman"/>
                <w:b/>
                <w:sz w:val="24"/>
                <w:u w:val="single"/>
              </w:rPr>
              <w:t xml:space="preserve">Kapitalni zahtjevi </w:t>
            </w:r>
            <w:r>
              <w:rPr>
                <w:rFonts w:ascii="Times New Roman" w:hAnsi="Times New Roman"/>
                <w:b/>
                <w:bCs/>
                <w:sz w:val="24"/>
                <w:u w:val="single"/>
              </w:rPr>
              <w:t xml:space="preserve"> za relevantne kreditne izloženosti – kreditni rizik </w:t>
            </w:r>
          </w:p>
          <w:p w14:paraId="318DE0F4" w14:textId="2C5D9445"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Kapitalni zahtjevi izračunani u skladu s dijelom trećim glavom II. poglavljima od 1. do 4. i poglavljem 6. CRR-a za relevantne kreditne izloženosti iz članka 140. stavka 4. točke (a) CRD-a u dotičnoj zemlji.</w:t>
            </w:r>
          </w:p>
          <w:p w14:paraId="2AFBCF34" w14:textId="77777777"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Kapitalni zahtjevi za </w:t>
            </w:r>
            <w:proofErr w:type="spellStart"/>
            <w:r>
              <w:rPr>
                <w:rFonts w:ascii="Times New Roman" w:hAnsi="Times New Roman"/>
                <w:sz w:val="24"/>
              </w:rPr>
              <w:t>sekuritizacijske</w:t>
            </w:r>
            <w:proofErr w:type="spellEnd"/>
            <w:r>
              <w:rPr>
                <w:rFonts w:ascii="Times New Roman" w:hAnsi="Times New Roman"/>
                <w:sz w:val="24"/>
              </w:rPr>
              <w:t xml:space="preserve"> pozicije u knjizi pozicija kojima se ne trguje isključuju se iz ovog retka i iskazuje se u retku 100.</w:t>
            </w:r>
          </w:p>
          <w:p w14:paraId="1948BA36" w14:textId="1C89B589" w:rsidR="00BD5485" w:rsidRPr="00A30C4C" w:rsidRDefault="00BD5485" w:rsidP="002B004B">
            <w:pPr>
              <w:rPr>
                <w:rFonts w:ascii="Times New Roman" w:hAnsi="Times New Roman"/>
                <w:b/>
                <w:bCs/>
                <w:sz w:val="24"/>
                <w:u w:val="single"/>
              </w:rPr>
            </w:pPr>
            <w:r>
              <w:rPr>
                <w:rFonts w:ascii="Times New Roman" w:hAnsi="Times New Roman"/>
                <w:sz w:val="24"/>
              </w:rPr>
              <w:t>Kapitalni zahtjevi iznose 8 % iznosa izloženosti ponderirane rizikom utvrđenog u skladu s dijelom trećim glavom II. poglavljima od 1. do 4. i poglavljem 6. CRR-a.</w:t>
            </w:r>
          </w:p>
        </w:tc>
      </w:tr>
      <w:tr w:rsidR="00BD5485" w:rsidRPr="00A30C4C" w14:paraId="7D6F4CA6" w14:textId="77777777" w:rsidTr="00672D2A">
        <w:tc>
          <w:tcPr>
            <w:tcW w:w="1697" w:type="dxa"/>
          </w:tcPr>
          <w:p w14:paraId="5A7104C7" w14:textId="77777777" w:rsidR="00BD5485" w:rsidRPr="00A30C4C" w:rsidRDefault="00BD5485" w:rsidP="00133107">
            <w:pPr>
              <w:rPr>
                <w:rFonts w:ascii="Times New Roman" w:hAnsi="Times New Roman"/>
                <w:sz w:val="24"/>
              </w:rPr>
            </w:pPr>
            <w:r>
              <w:rPr>
                <w:rFonts w:ascii="Times New Roman" w:hAnsi="Times New Roman"/>
                <w:sz w:val="24"/>
              </w:rPr>
              <w:t>090</w:t>
            </w:r>
          </w:p>
        </w:tc>
        <w:tc>
          <w:tcPr>
            <w:tcW w:w="8131" w:type="dxa"/>
          </w:tcPr>
          <w:p w14:paraId="3CD11A5D" w14:textId="77777777" w:rsidR="00BD5485" w:rsidRPr="00A30C4C" w:rsidRDefault="00C211DC" w:rsidP="00BD5485">
            <w:pPr>
              <w:rPr>
                <w:rFonts w:ascii="Times New Roman" w:hAnsi="Times New Roman"/>
                <w:b/>
                <w:bCs/>
                <w:sz w:val="24"/>
                <w:u w:val="single"/>
              </w:rPr>
            </w:pPr>
            <w:r>
              <w:rPr>
                <w:rFonts w:ascii="Times New Roman" w:hAnsi="Times New Roman"/>
                <w:b/>
                <w:sz w:val="24"/>
                <w:u w:val="single"/>
              </w:rPr>
              <w:t>Kapitalni zahtjevi</w:t>
            </w:r>
            <w:r>
              <w:rPr>
                <w:rFonts w:ascii="Times New Roman" w:hAnsi="Times New Roman"/>
                <w:b/>
                <w:bCs/>
                <w:sz w:val="24"/>
                <w:u w:val="single"/>
              </w:rPr>
              <w:t xml:space="preserve"> za relevantne kreditne izloženosti – tržišni rizik  </w:t>
            </w:r>
          </w:p>
          <w:p w14:paraId="3CED33FB" w14:textId="4223ED8D"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Kapitalni zahtjevi izračunani u skladu s dijelom trećim glavom IV. poglavljem 2. CRR-a za specifični rizik ili u skladu s dijelom trećim glavom IV. poglavljem 5. CRR-a za dodatni rizik nastanka statusa neispunjavanja obveza i migracijski rizik relevantnih kreditnih izloženosti iz članka 140. stavka 4. točke (b) CRD-a u dotičnoj zemlji. </w:t>
            </w:r>
          </w:p>
          <w:p w14:paraId="72F007FC" w14:textId="5A825C47" w:rsidR="00BD5485" w:rsidRPr="00A30C4C"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 xml:space="preserve">Kapitalni zahtjevi za relevantne kreditne izloženosti na temelju okvira tržišnog rizika uključuju među ostalim kapitalne zahtjeve za </w:t>
            </w:r>
            <w:proofErr w:type="spellStart"/>
            <w:r>
              <w:rPr>
                <w:rFonts w:ascii="Times New Roman" w:hAnsi="Times New Roman"/>
                <w:sz w:val="24"/>
              </w:rPr>
              <w:t>sekuritizacijske</w:t>
            </w:r>
            <w:proofErr w:type="spellEnd"/>
            <w:r>
              <w:rPr>
                <w:rFonts w:ascii="Times New Roman" w:hAnsi="Times New Roman"/>
                <w:sz w:val="24"/>
              </w:rPr>
              <w:t xml:space="preserve"> pozicije izračunane u skladu s dijelom trećim glavom IV. poglavljem 2. CRR-a i kapitalne zahtjeve za izloženosti subjekata za zajednička ulaganja utvrđene u skladu s člankom 348. CRR-a.</w:t>
            </w:r>
          </w:p>
        </w:tc>
      </w:tr>
      <w:tr w:rsidR="00BD5485" w:rsidRPr="00A30C4C" w14:paraId="208072B1" w14:textId="77777777" w:rsidTr="00672D2A">
        <w:tc>
          <w:tcPr>
            <w:tcW w:w="1697" w:type="dxa"/>
          </w:tcPr>
          <w:p w14:paraId="31DC711E" w14:textId="77777777" w:rsidR="00BD5485" w:rsidRPr="00A30C4C" w:rsidRDefault="00BD5485" w:rsidP="00133107">
            <w:pPr>
              <w:rPr>
                <w:rFonts w:ascii="Times New Roman" w:hAnsi="Times New Roman"/>
                <w:sz w:val="24"/>
              </w:rPr>
            </w:pPr>
            <w:r>
              <w:rPr>
                <w:rFonts w:ascii="Times New Roman" w:hAnsi="Times New Roman"/>
                <w:sz w:val="24"/>
              </w:rPr>
              <w:t>100</w:t>
            </w:r>
          </w:p>
        </w:tc>
        <w:tc>
          <w:tcPr>
            <w:tcW w:w="8131" w:type="dxa"/>
          </w:tcPr>
          <w:p w14:paraId="70EC6CA1" w14:textId="77777777" w:rsidR="00BD5485" w:rsidRPr="00A30C4C" w:rsidRDefault="00C211DC" w:rsidP="00BD5485">
            <w:pPr>
              <w:rPr>
                <w:rFonts w:ascii="Times New Roman" w:hAnsi="Times New Roman"/>
                <w:b/>
                <w:bCs/>
                <w:sz w:val="24"/>
                <w:u w:val="single"/>
              </w:rPr>
            </w:pPr>
            <w:r>
              <w:rPr>
                <w:rFonts w:ascii="Times New Roman" w:hAnsi="Times New Roman"/>
                <w:b/>
                <w:sz w:val="24"/>
                <w:u w:val="single"/>
              </w:rPr>
              <w:t xml:space="preserve">Kapitalni zahtjevi </w:t>
            </w:r>
            <w:r>
              <w:rPr>
                <w:rFonts w:ascii="Times New Roman" w:hAnsi="Times New Roman"/>
                <w:b/>
                <w:bCs/>
                <w:sz w:val="24"/>
                <w:u w:val="single"/>
              </w:rPr>
              <w:t xml:space="preserve"> za relevantne kreditne izloženosti – </w:t>
            </w:r>
            <w:proofErr w:type="spellStart"/>
            <w:r>
              <w:rPr>
                <w:rFonts w:ascii="Times New Roman" w:hAnsi="Times New Roman"/>
                <w:b/>
                <w:bCs/>
                <w:sz w:val="24"/>
                <w:u w:val="single"/>
              </w:rPr>
              <w:t>sekuritizacijske</w:t>
            </w:r>
            <w:proofErr w:type="spellEnd"/>
            <w:r>
              <w:rPr>
                <w:rFonts w:ascii="Times New Roman" w:hAnsi="Times New Roman"/>
                <w:b/>
                <w:bCs/>
                <w:sz w:val="24"/>
                <w:u w:val="single"/>
              </w:rPr>
              <w:t xml:space="preserve"> pozicije u knjizi pozicija kojima se ne trguje</w:t>
            </w:r>
          </w:p>
          <w:p w14:paraId="3910496F" w14:textId="3BCA276A"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Kapitalni zahtjevi izračunani u skladu s dijelom trećim glavom II. poglavljem 5. CRR-a za relevantne kreditne izloženosti iz članka 140. stavka 4. točke (c) CRD-a u dotičnoj zemlji.</w:t>
            </w:r>
          </w:p>
          <w:p w14:paraId="40DE055C" w14:textId="22D6AB04" w:rsidR="00BD5485" w:rsidRPr="00A30C4C" w:rsidRDefault="00BD5485" w:rsidP="00A37A04">
            <w:pPr>
              <w:rPr>
                <w:rFonts w:ascii="Times New Roman" w:hAnsi="Times New Roman"/>
                <w:b/>
                <w:bCs/>
                <w:sz w:val="24"/>
                <w:u w:val="single"/>
              </w:rPr>
            </w:pPr>
            <w:r>
              <w:rPr>
                <w:rFonts w:ascii="Times New Roman" w:hAnsi="Times New Roman"/>
                <w:sz w:val="24"/>
              </w:rPr>
              <w:lastRenderedPageBreak/>
              <w:t>Kapitalni zahtjevi iznose 8 % iznosa izloženosti ponderirane rizikom izračunanog u skladu s dijelom trećim glavom II. poglavljem 5. CRR-a.</w:t>
            </w:r>
          </w:p>
        </w:tc>
      </w:tr>
      <w:tr w:rsidR="00BD5485" w:rsidRPr="00A30C4C" w14:paraId="5C913484" w14:textId="77777777" w:rsidTr="00672D2A">
        <w:tc>
          <w:tcPr>
            <w:tcW w:w="1697" w:type="dxa"/>
          </w:tcPr>
          <w:p w14:paraId="7ABCA2B9" w14:textId="77777777" w:rsidR="00BD5485" w:rsidRPr="00A30C4C" w:rsidRDefault="00BD5485" w:rsidP="00133107">
            <w:pPr>
              <w:rPr>
                <w:rFonts w:ascii="Times New Roman" w:hAnsi="Times New Roman"/>
                <w:sz w:val="24"/>
              </w:rPr>
            </w:pPr>
            <w:r>
              <w:rPr>
                <w:rFonts w:ascii="Times New Roman" w:hAnsi="Times New Roman"/>
                <w:sz w:val="24"/>
              </w:rPr>
              <w:lastRenderedPageBreak/>
              <w:t>110</w:t>
            </w:r>
          </w:p>
        </w:tc>
        <w:tc>
          <w:tcPr>
            <w:tcW w:w="8131" w:type="dxa"/>
          </w:tcPr>
          <w:p w14:paraId="31BB9CC7" w14:textId="77777777" w:rsidR="00966663" w:rsidRPr="00A30C4C" w:rsidRDefault="00966663" w:rsidP="00966663">
            <w:pPr>
              <w:rPr>
                <w:rFonts w:ascii="Times New Roman" w:hAnsi="Times New Roman"/>
                <w:b/>
                <w:bCs/>
                <w:sz w:val="24"/>
                <w:u w:val="single"/>
              </w:rPr>
            </w:pPr>
            <w:r>
              <w:rPr>
                <w:rFonts w:ascii="Times New Roman" w:hAnsi="Times New Roman"/>
                <w:b/>
                <w:bCs/>
                <w:sz w:val="24"/>
                <w:u w:val="single"/>
              </w:rPr>
              <w:t>Ponderi kapitalnih zahtjeva</w:t>
            </w:r>
          </w:p>
          <w:p w14:paraId="057A44A8" w14:textId="206B6F27" w:rsidR="00966663" w:rsidRPr="00A30C4C" w:rsidRDefault="00966663" w:rsidP="00966663">
            <w:pPr>
              <w:rPr>
                <w:rFonts w:ascii="Times New Roman" w:hAnsi="Times New Roman"/>
                <w:sz w:val="24"/>
              </w:rPr>
            </w:pPr>
            <w:r>
              <w:rPr>
                <w:rFonts w:ascii="Times New Roman" w:hAnsi="Times New Roman"/>
                <w:sz w:val="24"/>
              </w:rPr>
              <w:t xml:space="preserve">Ponder koji se primjenjuje na stopu </w:t>
            </w:r>
            <w:proofErr w:type="spellStart"/>
            <w:r>
              <w:rPr>
                <w:rFonts w:ascii="Times New Roman" w:hAnsi="Times New Roman"/>
                <w:sz w:val="24"/>
              </w:rPr>
              <w:t>protucikličkog</w:t>
            </w:r>
            <w:proofErr w:type="spellEnd"/>
            <w:r>
              <w:rPr>
                <w:rFonts w:ascii="Times New Roman" w:hAnsi="Times New Roman"/>
                <w:sz w:val="24"/>
              </w:rPr>
              <w:t xml:space="preserve"> zaštitnog sloja u svakoj zemlji izračunava se kao omjer kapitalnih zahtjeva utvrđeno kako slijedi:</w:t>
            </w:r>
          </w:p>
          <w:p w14:paraId="3EA883A6" w14:textId="5493F592" w:rsidR="00966663" w:rsidRPr="00A30C4C" w:rsidRDefault="00966663" w:rsidP="00966663">
            <w:pPr>
              <w:rPr>
                <w:rFonts w:ascii="Times New Roman" w:hAnsi="Times New Roman"/>
                <w:sz w:val="24"/>
              </w:rPr>
            </w:pPr>
            <w:r>
              <w:rPr>
                <w:rFonts w:ascii="Times New Roman" w:hAnsi="Times New Roman"/>
                <w:sz w:val="24"/>
              </w:rPr>
              <w:t>1.</w:t>
            </w:r>
            <w:r>
              <w:rPr>
                <w:rFonts w:ascii="Times New Roman" w:hAnsi="Times New Roman"/>
                <w:sz w:val="24"/>
              </w:rPr>
              <w:tab/>
              <w:t xml:space="preserve">Brojnik: ukupni kapitalni zahtjevi koji se odnose na relevantne kreditne izloženosti u dotičnoj zemlji [redak 070; stupac 010  u obrascu za zemlju], </w:t>
            </w:r>
          </w:p>
          <w:p w14:paraId="61CF4DFF" w14:textId="0F93BFF9" w:rsidR="00BD5485" w:rsidRPr="00A30C4C" w:rsidRDefault="00966663" w:rsidP="00CF5466">
            <w:pPr>
              <w:rPr>
                <w:rFonts w:ascii="Times New Roman" w:hAnsi="Times New Roman"/>
                <w:b/>
                <w:bCs/>
                <w:sz w:val="24"/>
                <w:u w:val="single"/>
              </w:rPr>
            </w:pPr>
            <w:r>
              <w:rPr>
                <w:rFonts w:ascii="Times New Roman" w:hAnsi="Times New Roman"/>
                <w:sz w:val="24"/>
              </w:rPr>
              <w:t>2.</w:t>
            </w:r>
            <w:r>
              <w:rPr>
                <w:rFonts w:ascii="Times New Roman" w:hAnsi="Times New Roman"/>
                <w:sz w:val="24"/>
              </w:rPr>
              <w:tab/>
              <w:t xml:space="preserve">Nazivnik: ukupni kapitalni zahtjevi koji se odnose na sve kreditne izloženosti relevantne za izračun </w:t>
            </w:r>
            <w:proofErr w:type="spellStart"/>
            <w:r>
              <w:rPr>
                <w:rFonts w:ascii="Times New Roman" w:hAnsi="Times New Roman"/>
                <w:sz w:val="24"/>
              </w:rPr>
              <w:t>protucikličkog</w:t>
            </w:r>
            <w:proofErr w:type="spellEnd"/>
            <w:r>
              <w:rPr>
                <w:rFonts w:ascii="Times New Roman" w:hAnsi="Times New Roman"/>
                <w:sz w:val="24"/>
              </w:rPr>
              <w:t xml:space="preserve"> zaštitnog sloja u skladu s člankom 140. stavkom 4. CRD-a [redak 070; stupac 010;  „Ukupno”].</w:t>
            </w:r>
          </w:p>
          <w:p w14:paraId="68F00F8B" w14:textId="77777777" w:rsidR="003B00F4" w:rsidRPr="00A30C4C" w:rsidRDefault="003B00F4" w:rsidP="003B00F4">
            <w:pPr>
              <w:rPr>
                <w:rFonts w:ascii="Times New Roman" w:hAnsi="Times New Roman"/>
                <w:b/>
                <w:bCs/>
                <w:sz w:val="24"/>
                <w:u w:val="single"/>
              </w:rPr>
            </w:pPr>
            <w:r>
              <w:rPr>
                <w:rFonts w:ascii="Times New Roman" w:hAnsi="Times New Roman"/>
                <w:sz w:val="24"/>
              </w:rPr>
              <w:t>Informacije o ponderima kapitalnih zahtjeva ne iskazuju se pod „ukupno” za sve zemlje.</w:t>
            </w:r>
          </w:p>
        </w:tc>
      </w:tr>
      <w:tr w:rsidR="00966663" w:rsidRPr="00A30C4C" w14:paraId="55404630" w14:textId="77777777" w:rsidTr="00672D2A">
        <w:tc>
          <w:tcPr>
            <w:tcW w:w="1697" w:type="dxa"/>
          </w:tcPr>
          <w:p w14:paraId="499890CE" w14:textId="77777777" w:rsidR="00966663" w:rsidRPr="00A30C4C" w:rsidRDefault="00966663" w:rsidP="00133107">
            <w:pPr>
              <w:rPr>
                <w:rFonts w:ascii="Times New Roman" w:hAnsi="Times New Roman"/>
                <w:sz w:val="24"/>
              </w:rPr>
            </w:pPr>
            <w:r>
              <w:rPr>
                <w:rFonts w:ascii="Times New Roman" w:hAnsi="Times New Roman"/>
                <w:sz w:val="24"/>
              </w:rPr>
              <w:t>120-140</w:t>
            </w:r>
          </w:p>
        </w:tc>
        <w:tc>
          <w:tcPr>
            <w:tcW w:w="8131" w:type="dxa"/>
          </w:tcPr>
          <w:p w14:paraId="7CF81B67"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 xml:space="preserve">Stope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w:t>
            </w:r>
          </w:p>
        </w:tc>
      </w:tr>
      <w:tr w:rsidR="00966663" w:rsidRPr="00A30C4C" w14:paraId="0F379AD6" w14:textId="77777777" w:rsidTr="00672D2A">
        <w:tc>
          <w:tcPr>
            <w:tcW w:w="1697" w:type="dxa"/>
          </w:tcPr>
          <w:p w14:paraId="1DD17E60" w14:textId="77777777" w:rsidR="00966663" w:rsidRPr="00A30C4C" w:rsidRDefault="00966663" w:rsidP="00133107">
            <w:pPr>
              <w:rPr>
                <w:rFonts w:ascii="Times New Roman" w:hAnsi="Times New Roman"/>
                <w:sz w:val="24"/>
              </w:rPr>
            </w:pPr>
            <w:r>
              <w:rPr>
                <w:rFonts w:ascii="Times New Roman" w:hAnsi="Times New Roman"/>
                <w:sz w:val="24"/>
              </w:rPr>
              <w:t>120</w:t>
            </w:r>
          </w:p>
        </w:tc>
        <w:tc>
          <w:tcPr>
            <w:tcW w:w="8131" w:type="dxa"/>
          </w:tcPr>
          <w:p w14:paraId="08E9E1AD"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 xml:space="preserve">Stopa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 kapitala koju je odredilo imenovano tijelo</w:t>
            </w:r>
          </w:p>
          <w:p w14:paraId="0F835130" w14:textId="64030E69" w:rsidR="00966663" w:rsidRPr="00A30C4C"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koju je za tu zemlju odredilo imenovano tijelo te zemlje u skladu s člancima 136., 137., 139., člankom 140. stavkom 2. točkama (a) i (c) i člankom 140. stavkom 3. točkom (b) CRD-a.</w:t>
            </w:r>
          </w:p>
          <w:p w14:paraId="3BCE5FC7" w14:textId="77777777"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 xml:space="preserve">Ovaj se redak ne treba popunjavati ako za dotičnu zemlju imenovano tijelo te zemlje nije utvrdilo stopu </w:t>
            </w:r>
            <w:proofErr w:type="spellStart"/>
            <w:r>
              <w:rPr>
                <w:rFonts w:ascii="Times New Roman" w:hAnsi="Times New Roman"/>
                <w:sz w:val="24"/>
              </w:rPr>
              <w:t>protucikličkog</w:t>
            </w:r>
            <w:proofErr w:type="spellEnd"/>
            <w:r>
              <w:rPr>
                <w:rFonts w:ascii="Times New Roman" w:hAnsi="Times New Roman"/>
                <w:sz w:val="24"/>
              </w:rPr>
              <w:t xml:space="preserve"> zaštitnog sloja kapitala.</w:t>
            </w:r>
          </w:p>
          <w:p w14:paraId="773D17C0" w14:textId="644CB054"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 xml:space="preserve">Ne iskazuju se stope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koje je odredilo imenovano tijelo, ali koje nisu još primjenjive u dotičnoj zemlji na referentni izvještajni datum.</w:t>
            </w:r>
          </w:p>
          <w:p w14:paraId="7DC5255F" w14:textId="77777777" w:rsidR="00966663" w:rsidRPr="00A30C4C" w:rsidRDefault="00966663" w:rsidP="000E6835">
            <w:pPr>
              <w:rPr>
                <w:rFonts w:ascii="Times New Roman" w:hAnsi="Times New Roman"/>
                <w:b/>
                <w:bCs/>
                <w:sz w:val="24"/>
                <w:u w:val="single"/>
              </w:rPr>
            </w:pPr>
            <w:r>
              <w:rPr>
                <w:rFonts w:ascii="Times New Roman" w:hAnsi="Times New Roman"/>
                <w:sz w:val="24"/>
              </w:rPr>
              <w:t xml:space="preserve">Informacije o stopi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koju je odredilo imenovano tijelo ne iskazuju se pod „ukupno” za sve zemlje. </w:t>
            </w:r>
          </w:p>
        </w:tc>
      </w:tr>
      <w:tr w:rsidR="00966663" w:rsidRPr="00A30C4C" w14:paraId="22D3265F" w14:textId="77777777" w:rsidTr="00672D2A">
        <w:tc>
          <w:tcPr>
            <w:tcW w:w="1697" w:type="dxa"/>
          </w:tcPr>
          <w:p w14:paraId="633BB7D1" w14:textId="77777777" w:rsidR="00966663" w:rsidRPr="00A30C4C" w:rsidRDefault="00966663" w:rsidP="00133107">
            <w:pPr>
              <w:rPr>
                <w:rFonts w:ascii="Times New Roman" w:hAnsi="Times New Roman"/>
                <w:sz w:val="24"/>
              </w:rPr>
            </w:pPr>
            <w:r>
              <w:rPr>
                <w:rFonts w:ascii="Times New Roman" w:hAnsi="Times New Roman"/>
                <w:sz w:val="24"/>
              </w:rPr>
              <w:t>130</w:t>
            </w:r>
          </w:p>
        </w:tc>
        <w:tc>
          <w:tcPr>
            <w:tcW w:w="8131" w:type="dxa"/>
          </w:tcPr>
          <w:p w14:paraId="0507AFFC"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 xml:space="preserve">Stopa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 primjenjiva na zemlju institucije</w:t>
            </w:r>
          </w:p>
          <w:p w14:paraId="12F70EF9" w14:textId="7A12C6B4"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primjenjiva na dotičnu zemlju koju je za tu zemlju odredilo imenovano tijelo zemlje </w:t>
            </w:r>
            <w:proofErr w:type="spellStart"/>
            <w:r>
              <w:rPr>
                <w:rFonts w:ascii="Times New Roman" w:hAnsi="Times New Roman"/>
                <w:sz w:val="24"/>
              </w:rPr>
              <w:t>rezidentnosti</w:t>
            </w:r>
            <w:proofErr w:type="spellEnd"/>
            <w:r>
              <w:rPr>
                <w:rFonts w:ascii="Times New Roman" w:hAnsi="Times New Roman"/>
                <w:sz w:val="24"/>
              </w:rPr>
              <w:t xml:space="preserve"> institucije u skladu s člancima 137., 138. i 139., člankom 140. stavkom 2. točkom (b) i člankom 140. stavkom 3. točkom (a) CRD-a. Ne iskazuju se stope </w:t>
            </w:r>
            <w:proofErr w:type="spellStart"/>
            <w:r>
              <w:rPr>
                <w:rFonts w:ascii="Times New Roman" w:hAnsi="Times New Roman"/>
                <w:sz w:val="24"/>
              </w:rPr>
              <w:t>protucikličkog</w:t>
            </w:r>
            <w:proofErr w:type="spellEnd"/>
            <w:r>
              <w:rPr>
                <w:rFonts w:ascii="Times New Roman" w:hAnsi="Times New Roman"/>
                <w:sz w:val="24"/>
              </w:rPr>
              <w:t xml:space="preserve"> zaštitnog sloja kapitala koje nisu primjenjive na referentni izvještajni datum.</w:t>
            </w:r>
          </w:p>
          <w:p w14:paraId="2B061151" w14:textId="77777777" w:rsidR="00966663" w:rsidRPr="00A30C4C" w:rsidRDefault="00966663" w:rsidP="00133107">
            <w:pPr>
              <w:rPr>
                <w:rFonts w:ascii="Times New Roman" w:hAnsi="Times New Roman"/>
                <w:b/>
                <w:bCs/>
                <w:sz w:val="24"/>
                <w:u w:val="single"/>
              </w:rPr>
            </w:pPr>
            <w:r>
              <w:rPr>
                <w:rFonts w:ascii="Times New Roman" w:hAnsi="Times New Roman"/>
                <w:sz w:val="24"/>
              </w:rPr>
              <w:t xml:space="preserve">Informacije o stopi </w:t>
            </w:r>
            <w:proofErr w:type="spellStart"/>
            <w:r>
              <w:rPr>
                <w:rFonts w:ascii="Times New Roman" w:hAnsi="Times New Roman"/>
                <w:sz w:val="24"/>
              </w:rPr>
              <w:t>protucikličkog</w:t>
            </w:r>
            <w:proofErr w:type="spellEnd"/>
            <w:r>
              <w:rPr>
                <w:rFonts w:ascii="Times New Roman" w:hAnsi="Times New Roman"/>
                <w:sz w:val="24"/>
              </w:rPr>
              <w:t xml:space="preserve"> zaštitnog sloja kapitala primjenjivoj na dotičnu zemlju institucije ne iskazuju se pod „ukupno” za sve zemlje.</w:t>
            </w:r>
          </w:p>
        </w:tc>
      </w:tr>
      <w:tr w:rsidR="00966663" w:rsidRPr="00A30C4C" w14:paraId="262440CD" w14:textId="77777777" w:rsidTr="00672D2A">
        <w:tc>
          <w:tcPr>
            <w:tcW w:w="1697" w:type="dxa"/>
          </w:tcPr>
          <w:p w14:paraId="1973CB1A" w14:textId="77777777" w:rsidR="00966663" w:rsidRPr="00A30C4C" w:rsidRDefault="00966663" w:rsidP="00133107">
            <w:pPr>
              <w:rPr>
                <w:rFonts w:ascii="Times New Roman" w:hAnsi="Times New Roman"/>
                <w:sz w:val="24"/>
              </w:rPr>
            </w:pPr>
            <w:r>
              <w:rPr>
                <w:rFonts w:ascii="Times New Roman" w:hAnsi="Times New Roman"/>
                <w:sz w:val="24"/>
              </w:rPr>
              <w:t>140</w:t>
            </w:r>
          </w:p>
        </w:tc>
        <w:tc>
          <w:tcPr>
            <w:tcW w:w="8131" w:type="dxa"/>
          </w:tcPr>
          <w:p w14:paraId="0A436DF4"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 xml:space="preserve">Stopa </w:t>
            </w:r>
            <w:proofErr w:type="spellStart"/>
            <w:r>
              <w:rPr>
                <w:rFonts w:ascii="Times New Roman" w:hAnsi="Times New Roman"/>
                <w:b/>
                <w:bCs/>
                <w:sz w:val="24"/>
                <w:u w:val="single"/>
              </w:rPr>
              <w:t>protucikličkog</w:t>
            </w:r>
            <w:proofErr w:type="spellEnd"/>
            <w:r>
              <w:rPr>
                <w:rFonts w:ascii="Times New Roman" w:hAnsi="Times New Roman"/>
                <w:b/>
                <w:bCs/>
                <w:sz w:val="24"/>
                <w:u w:val="single"/>
              </w:rPr>
              <w:t xml:space="preserve"> zaštitnog sloja kapitala specifična za instituciju </w:t>
            </w:r>
          </w:p>
          <w:p w14:paraId="57DDE462" w14:textId="3D5DCFC5"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specifična za instituciju, izračunana u skladu s člankom 140. stavkom 1. CRD-a. </w:t>
            </w:r>
          </w:p>
          <w:p w14:paraId="768F6D06" w14:textId="39E530B3"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 xml:space="preserve">Stopa </w:t>
            </w:r>
            <w:proofErr w:type="spellStart"/>
            <w:r>
              <w:rPr>
                <w:rFonts w:ascii="Times New Roman" w:hAnsi="Times New Roman"/>
                <w:sz w:val="24"/>
              </w:rPr>
              <w:t>protucikličkog</w:t>
            </w:r>
            <w:proofErr w:type="spellEnd"/>
            <w:r>
              <w:rPr>
                <w:rFonts w:ascii="Times New Roman" w:hAnsi="Times New Roman"/>
                <w:sz w:val="24"/>
              </w:rPr>
              <w:t xml:space="preserve"> zaštitnog sloja kapitala specifičnog za instituciju izračunava se kao ponderirani prosjek stopa </w:t>
            </w:r>
            <w:proofErr w:type="spellStart"/>
            <w:r>
              <w:rPr>
                <w:rFonts w:ascii="Times New Roman" w:hAnsi="Times New Roman"/>
                <w:sz w:val="24"/>
              </w:rPr>
              <w:t>protucikličkog</w:t>
            </w:r>
            <w:proofErr w:type="spellEnd"/>
            <w:r>
              <w:rPr>
                <w:rFonts w:ascii="Times New Roman" w:hAnsi="Times New Roman"/>
                <w:sz w:val="24"/>
              </w:rPr>
              <w:t xml:space="preserve"> zaštitnog sloja koje se primjenjuju u zemljama u kojima se nalaze relevantne kreditne izloženosti institucije ili koje se primjenjuju za potrebe članka 140. na temelju članka 139. stavaka 2. ili 3. CRD-a. Relevantna stopa </w:t>
            </w:r>
            <w:proofErr w:type="spellStart"/>
            <w:r>
              <w:rPr>
                <w:rFonts w:ascii="Times New Roman" w:hAnsi="Times New Roman"/>
                <w:sz w:val="24"/>
              </w:rPr>
              <w:t>protucikličkog</w:t>
            </w:r>
            <w:proofErr w:type="spellEnd"/>
            <w:r>
              <w:rPr>
                <w:rFonts w:ascii="Times New Roman" w:hAnsi="Times New Roman"/>
                <w:sz w:val="24"/>
              </w:rPr>
              <w:t xml:space="preserve"> zaštitnog sloja iskazuje se u [retku 120; stupcu </w:t>
            </w:r>
            <w:r>
              <w:rPr>
                <w:rFonts w:ascii="Times New Roman" w:hAnsi="Times New Roman"/>
                <w:sz w:val="24"/>
              </w:rPr>
              <w:lastRenderedPageBreak/>
              <w:t>020; obrazac za zemlju], ili [retku 130; stupcu 020; obrazac za zemlju] kako je primjenjivo.</w:t>
            </w:r>
          </w:p>
          <w:p w14:paraId="77566ED2" w14:textId="56FDB140" w:rsidR="00C4425F" w:rsidRPr="00A30C4C"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Ponder primjenjiv na stopu </w:t>
            </w:r>
            <w:proofErr w:type="spellStart"/>
            <w:r>
              <w:rPr>
                <w:rFonts w:ascii="Times New Roman" w:hAnsi="Times New Roman"/>
                <w:sz w:val="24"/>
              </w:rPr>
              <w:t>protucikličkog</w:t>
            </w:r>
            <w:proofErr w:type="spellEnd"/>
            <w:r>
              <w:rPr>
                <w:rFonts w:ascii="Times New Roman" w:hAnsi="Times New Roman"/>
                <w:sz w:val="24"/>
              </w:rPr>
              <w:t xml:space="preserve"> zaštitnog sloja u svakoj zemlji jednak je udjelu kapitalnih zahtjeva u ukupnim kapitalnim zahtjevima i iskazuje se u [retku 110; stupcu 020; obrascu za zemlju]. </w:t>
            </w:r>
          </w:p>
          <w:p w14:paraId="49E66101" w14:textId="77777777" w:rsidR="00966663" w:rsidRPr="00A30C4C" w:rsidRDefault="00966663" w:rsidP="00B816A3">
            <w:pPr>
              <w:rPr>
                <w:rFonts w:ascii="Times New Roman" w:hAnsi="Times New Roman"/>
                <w:b/>
                <w:bCs/>
                <w:sz w:val="24"/>
                <w:u w:val="single"/>
              </w:rPr>
            </w:pPr>
            <w:r>
              <w:rPr>
                <w:rFonts w:ascii="Times New Roman" w:hAnsi="Times New Roman"/>
                <w:sz w:val="24"/>
              </w:rPr>
              <w:t xml:space="preserve">Informacije o stopi </w:t>
            </w:r>
            <w:proofErr w:type="spellStart"/>
            <w:r>
              <w:rPr>
                <w:rFonts w:ascii="Times New Roman" w:hAnsi="Times New Roman"/>
                <w:sz w:val="24"/>
              </w:rPr>
              <w:t>protucikličkog</w:t>
            </w:r>
            <w:proofErr w:type="spellEnd"/>
            <w:r>
              <w:rPr>
                <w:rFonts w:ascii="Times New Roman" w:hAnsi="Times New Roman"/>
                <w:sz w:val="24"/>
              </w:rPr>
              <w:t xml:space="preserve"> zaštitnog sloja kapitala specifičnog za instituciju iskazuju se samo pod „ukupno” za sve zemlje, a ne zasebno za svaku zemlju.</w:t>
            </w:r>
          </w:p>
        </w:tc>
      </w:tr>
      <w:tr w:rsidR="006B1A77" w:rsidRPr="00A30C4C" w14:paraId="64DE1759" w14:textId="77777777" w:rsidTr="00672D2A">
        <w:tc>
          <w:tcPr>
            <w:tcW w:w="1697" w:type="dxa"/>
          </w:tcPr>
          <w:p w14:paraId="57D6BF5B" w14:textId="77777777" w:rsidR="006B1A77" w:rsidRPr="00A30C4C" w:rsidRDefault="006B1A77" w:rsidP="00FC0B81">
            <w:pPr>
              <w:rPr>
                <w:rFonts w:ascii="Times New Roman" w:hAnsi="Times New Roman"/>
                <w:sz w:val="24"/>
              </w:rPr>
            </w:pPr>
            <w:r>
              <w:rPr>
                <w:rFonts w:ascii="Times New Roman" w:hAnsi="Times New Roman"/>
                <w:sz w:val="24"/>
              </w:rPr>
              <w:lastRenderedPageBreak/>
              <w:t>150 - 160</w:t>
            </w:r>
          </w:p>
        </w:tc>
        <w:tc>
          <w:tcPr>
            <w:tcW w:w="8131" w:type="dxa"/>
          </w:tcPr>
          <w:p w14:paraId="6477D974" w14:textId="77777777" w:rsidR="006B1A77" w:rsidRPr="00A30C4C" w:rsidRDefault="006B1A77" w:rsidP="00133107">
            <w:pPr>
              <w:rPr>
                <w:rFonts w:ascii="Times New Roman" w:hAnsi="Times New Roman"/>
                <w:b/>
                <w:bCs/>
                <w:sz w:val="24"/>
                <w:u w:val="single"/>
              </w:rPr>
            </w:pPr>
            <w:r>
              <w:rPr>
                <w:rFonts w:ascii="Times New Roman" w:hAnsi="Times New Roman"/>
                <w:b/>
                <w:bCs/>
                <w:sz w:val="24"/>
                <w:u w:val="single"/>
              </w:rPr>
              <w:t>Primjena praga od 2 %</w:t>
            </w:r>
          </w:p>
        </w:tc>
      </w:tr>
      <w:tr w:rsidR="00966663" w:rsidRPr="00A30C4C" w14:paraId="27996DE3" w14:textId="77777777" w:rsidTr="00672D2A">
        <w:tc>
          <w:tcPr>
            <w:tcW w:w="1697" w:type="dxa"/>
          </w:tcPr>
          <w:p w14:paraId="373293DD" w14:textId="77777777" w:rsidR="00966663" w:rsidRPr="00A30C4C" w:rsidRDefault="00966663" w:rsidP="00133107">
            <w:pPr>
              <w:rPr>
                <w:rFonts w:ascii="Times New Roman" w:hAnsi="Times New Roman"/>
                <w:sz w:val="24"/>
              </w:rPr>
            </w:pPr>
            <w:r>
              <w:rPr>
                <w:rFonts w:ascii="Times New Roman" w:hAnsi="Times New Roman"/>
                <w:sz w:val="24"/>
              </w:rPr>
              <w:t>150</w:t>
            </w:r>
          </w:p>
        </w:tc>
        <w:tc>
          <w:tcPr>
            <w:tcW w:w="8131" w:type="dxa"/>
          </w:tcPr>
          <w:p w14:paraId="2A5F59A8" w14:textId="77777777" w:rsidR="006A3A82" w:rsidRPr="00A30C4C"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Primjena praga od 2 % za opće kreditne izloženosti</w:t>
            </w:r>
            <w:r>
              <w:rPr>
                <w:rFonts w:ascii="Times New Roman" w:hAnsi="Times New Roman"/>
                <w:sz w:val="24"/>
              </w:rPr>
              <w:t xml:space="preserve"> </w:t>
            </w:r>
          </w:p>
          <w:p w14:paraId="26FF49BD" w14:textId="73A3098E" w:rsidR="006A3A82" w:rsidRPr="00A30C4C" w:rsidRDefault="006A3A82" w:rsidP="006A3A82">
            <w:pPr>
              <w:autoSpaceDE w:val="0"/>
              <w:autoSpaceDN w:val="0"/>
              <w:adjustRightInd w:val="0"/>
              <w:rPr>
                <w:rFonts w:ascii="Times New Roman" w:hAnsi="Times New Roman"/>
                <w:sz w:val="24"/>
              </w:rPr>
            </w:pPr>
            <w:r>
              <w:rPr>
                <w:rFonts w:ascii="Times New Roman" w:hAnsi="Times New Roman"/>
                <w:sz w:val="24"/>
              </w:rPr>
              <w:t xml:space="preserve">U skladu s člankom 2. stavkom 5. točkom (b) Delegirane uredbe Komisije (EU) br. 1152/2014 inozemne opće kreditne izloženosti čija ukupna vrijednost ne premašuje 2 % ukupne vrijednosti općih kreditnih izloženosti, izloženosti iz knjige trgovanja i </w:t>
            </w:r>
            <w:proofErr w:type="spellStart"/>
            <w:r>
              <w:rPr>
                <w:rFonts w:ascii="Times New Roman" w:hAnsi="Times New Roman"/>
                <w:sz w:val="24"/>
              </w:rPr>
              <w:t>sekuritizacijskih</w:t>
            </w:r>
            <w:proofErr w:type="spellEnd"/>
            <w:r>
              <w:rPr>
                <w:rFonts w:ascii="Times New Roman" w:hAnsi="Times New Roman"/>
                <w:sz w:val="24"/>
              </w:rPr>
              <w:t xml:space="preserve"> izloženosti te institucije mogu se raspodijeliti na matičnu državu članicu institucije. Ukupne vrijednosti općih kreditnih izloženosti, izloženosti iz knjige trgovanja i </w:t>
            </w:r>
            <w:proofErr w:type="spellStart"/>
            <w:r>
              <w:rPr>
                <w:rFonts w:ascii="Times New Roman" w:hAnsi="Times New Roman"/>
                <w:sz w:val="24"/>
              </w:rPr>
              <w:t>sekuritizacijskih</w:t>
            </w:r>
            <w:proofErr w:type="spellEnd"/>
            <w:r>
              <w:rPr>
                <w:rFonts w:ascii="Times New Roman" w:hAnsi="Times New Roman"/>
                <w:sz w:val="24"/>
              </w:rPr>
              <w:t xml:space="preserve"> izloženosti izračunavaju se tako što se isključuju opće kreditne izloženosti raspoređene u skladu s člankom 2. stavkom 5. točkom (a) i člankom 2. stavkom 4. Delegirane uredbe Komisije (EU) br. 1152/2014.</w:t>
            </w:r>
          </w:p>
          <w:p w14:paraId="2ABCAAFB" w14:textId="50B28332" w:rsidR="00966663" w:rsidRPr="00A30C4C" w:rsidRDefault="006A3A82" w:rsidP="006A3A82">
            <w:pPr>
              <w:autoSpaceDE w:val="0"/>
              <w:autoSpaceDN w:val="0"/>
              <w:adjustRightInd w:val="0"/>
              <w:rPr>
                <w:rFonts w:ascii="Times New Roman" w:hAnsi="Times New Roman"/>
                <w:sz w:val="24"/>
              </w:rPr>
            </w:pPr>
            <w:r>
              <w:rPr>
                <w:rFonts w:ascii="Times New Roman" w:hAnsi="Times New Roman"/>
                <w:sz w:val="24"/>
              </w:rPr>
              <w:t>Ako institucija koristi tu derogaciju, navodi „y” u obrascu za zemlju koja odgovara njezinoj matičnoj državi članici i pod „ukupno” za sve zemlje.</w:t>
            </w:r>
          </w:p>
          <w:p w14:paraId="22F8386D" w14:textId="77777777" w:rsidR="006A3A82" w:rsidRPr="00A30C4C" w:rsidRDefault="006A3A82" w:rsidP="006A3A82">
            <w:pPr>
              <w:autoSpaceDE w:val="0"/>
              <w:autoSpaceDN w:val="0"/>
              <w:adjustRightInd w:val="0"/>
              <w:rPr>
                <w:rFonts w:ascii="Times New Roman" w:hAnsi="Times New Roman"/>
                <w:sz w:val="24"/>
              </w:rPr>
            </w:pPr>
            <w:r>
              <w:rPr>
                <w:rFonts w:ascii="Times New Roman" w:hAnsi="Times New Roman"/>
                <w:sz w:val="24"/>
              </w:rPr>
              <w:t>Ako institucija ne koristi tu derogaciju, navodi „n” u odgovarajućoj rubrici.</w:t>
            </w:r>
          </w:p>
        </w:tc>
      </w:tr>
      <w:tr w:rsidR="00966663" w:rsidRPr="00A30C4C" w14:paraId="72684D83" w14:textId="77777777" w:rsidTr="00672D2A">
        <w:tc>
          <w:tcPr>
            <w:tcW w:w="1697" w:type="dxa"/>
          </w:tcPr>
          <w:p w14:paraId="44197176" w14:textId="77777777" w:rsidR="00966663" w:rsidRPr="00A30C4C" w:rsidRDefault="00966663" w:rsidP="00133107">
            <w:pPr>
              <w:rPr>
                <w:rFonts w:ascii="Times New Roman" w:hAnsi="Times New Roman"/>
                <w:sz w:val="24"/>
              </w:rPr>
            </w:pPr>
            <w:r>
              <w:rPr>
                <w:rFonts w:ascii="Times New Roman" w:hAnsi="Times New Roman"/>
                <w:sz w:val="24"/>
              </w:rPr>
              <w:t>160</w:t>
            </w:r>
          </w:p>
        </w:tc>
        <w:tc>
          <w:tcPr>
            <w:tcW w:w="8131" w:type="dxa"/>
          </w:tcPr>
          <w:p w14:paraId="1F228719" w14:textId="77777777" w:rsidR="00535A98" w:rsidRPr="00A30C4C"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Primjena praga od 2 % za izloženosti iz knjige trgovanja</w:t>
            </w:r>
          </w:p>
          <w:p w14:paraId="0AA58BA6" w14:textId="32441BA2" w:rsidR="006A3A82" w:rsidRPr="00A30C4C" w:rsidRDefault="006A3A82" w:rsidP="006A3A82">
            <w:pPr>
              <w:autoSpaceDE w:val="0"/>
              <w:autoSpaceDN w:val="0"/>
              <w:adjustRightInd w:val="0"/>
              <w:rPr>
                <w:rFonts w:ascii="Times New Roman" w:hAnsi="Times New Roman"/>
                <w:sz w:val="24"/>
              </w:rPr>
            </w:pPr>
            <w:r>
              <w:rPr>
                <w:rFonts w:ascii="Times New Roman" w:hAnsi="Times New Roman"/>
                <w:sz w:val="24"/>
              </w:rPr>
              <w:t xml:space="preserve">U skladu s člankom 3. stavkom 3. Delegirane uredbe Komisije (EU) br. 1152/2014 institucije mogu izloženosti iz knjige trgovanja raspodijeliti na matičnu državu članicu ako ukupna vrijednost izloženosti iz knjige trgovanja ne premašuje 2 % njihovih ukupnih općih kreditnih izloženosti, izloženosti iz knjige trgovanja i </w:t>
            </w:r>
            <w:proofErr w:type="spellStart"/>
            <w:r>
              <w:rPr>
                <w:rFonts w:ascii="Times New Roman" w:hAnsi="Times New Roman"/>
                <w:sz w:val="24"/>
              </w:rPr>
              <w:t>sekuritizacijskih</w:t>
            </w:r>
            <w:proofErr w:type="spellEnd"/>
            <w:r>
              <w:rPr>
                <w:rFonts w:ascii="Times New Roman" w:hAnsi="Times New Roman"/>
                <w:sz w:val="24"/>
              </w:rPr>
              <w:t xml:space="preserve"> izloženosti.</w:t>
            </w:r>
          </w:p>
          <w:p w14:paraId="0BEB1050" w14:textId="79E4E652" w:rsidR="006A3A82" w:rsidRPr="00A30C4C" w:rsidRDefault="006A3A82" w:rsidP="006A3A82">
            <w:pPr>
              <w:rPr>
                <w:rFonts w:ascii="Times New Roman" w:hAnsi="Times New Roman"/>
                <w:sz w:val="24"/>
              </w:rPr>
            </w:pPr>
            <w:r>
              <w:rPr>
                <w:rFonts w:ascii="Times New Roman" w:hAnsi="Times New Roman"/>
                <w:sz w:val="24"/>
              </w:rPr>
              <w:t>Ako institucija koristi tu derogaciju, navodi „y” u obrascu za zemlju koja odgovara njezinoj matičnoj državi članici i pod „ukupno” za sve zemlje.</w:t>
            </w:r>
          </w:p>
          <w:p w14:paraId="53DD7898" w14:textId="77777777" w:rsidR="00966663" w:rsidRPr="00A30C4C" w:rsidRDefault="006A3A82" w:rsidP="006A3A82">
            <w:pPr>
              <w:rPr>
                <w:rFonts w:ascii="Times New Roman" w:hAnsi="Times New Roman"/>
                <w:b/>
                <w:bCs/>
                <w:sz w:val="24"/>
                <w:u w:val="single"/>
              </w:rPr>
            </w:pPr>
            <w:r>
              <w:rPr>
                <w:rFonts w:ascii="Times New Roman" w:hAnsi="Times New Roman"/>
                <w:sz w:val="24"/>
              </w:rPr>
              <w:t>Ako institucija ne koristi tu derogaciju, navodi „n” u odgovarajućoj rubrici.</w:t>
            </w:r>
          </w:p>
        </w:tc>
      </w:tr>
    </w:tbl>
    <w:p w14:paraId="267282D1" w14:textId="77777777" w:rsidR="004357B9" w:rsidRPr="00A30C4C" w:rsidRDefault="004357B9">
      <w:pPr>
        <w:spacing w:before="0" w:after="0"/>
        <w:jc w:val="left"/>
        <w:rPr>
          <w:rFonts w:ascii="Times New Roman" w:hAnsi="Times New Roman"/>
          <w:bCs/>
          <w:sz w:val="24"/>
          <w:lang w:eastAsia="de-DE"/>
        </w:rPr>
      </w:pPr>
    </w:p>
    <w:p w14:paraId="121158E1"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rPr>
      </w:pPr>
      <w:bookmarkStart w:id="348" w:name="_Toc310415031"/>
      <w:bookmarkStart w:id="349" w:name="_Toc360188369"/>
      <w:bookmarkStart w:id="350" w:name="_Toc473560920"/>
      <w:bookmarkStart w:id="351" w:name="_Toc30677676"/>
      <w:r>
        <w:rPr>
          <w:rFonts w:ascii="Times New Roman" w:hAnsi="Times New Roman"/>
          <w:sz w:val="24"/>
          <w:u w:val="none"/>
        </w:rPr>
        <w:t>3.5.</w:t>
      </w:r>
      <w:r>
        <w:rPr>
          <w:rFonts w:ascii="Times New Roman" w:hAnsi="Times New Roman"/>
          <w:sz w:val="24"/>
          <w:u w:val="none"/>
        </w:rPr>
        <w:tab/>
      </w:r>
      <w:bookmarkStart w:id="352" w:name="_Toc295829919"/>
      <w:r>
        <w:rPr>
          <w:rFonts w:ascii="Times New Roman" w:hAnsi="Times New Roman"/>
          <w:sz w:val="24"/>
        </w:rPr>
        <w:t>C 10.01 i C 10.02 – Izloženosti na osnovi vlasničkih ulaganja u skladu s pristupom zasnovanim na internim rejting-sustavima</w:t>
      </w:r>
      <w:bookmarkEnd w:id="352"/>
      <w:bookmarkEnd w:id="348"/>
      <w:bookmarkEnd w:id="349"/>
      <w:r>
        <w:rPr>
          <w:rFonts w:ascii="Times New Roman" w:hAnsi="Times New Roman"/>
          <w:sz w:val="24"/>
        </w:rPr>
        <w:t xml:space="preserve"> (CR EQU IRB 1 i CR EQU IRB 2)</w:t>
      </w:r>
      <w:bookmarkEnd w:id="350"/>
      <w:bookmarkEnd w:id="351"/>
    </w:p>
    <w:p w14:paraId="3E8B781F"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rPr>
      </w:pPr>
      <w:bookmarkStart w:id="353" w:name="_Toc239157382"/>
      <w:bookmarkStart w:id="354" w:name="_Toc295829920"/>
      <w:bookmarkStart w:id="355" w:name="_Toc310415032"/>
      <w:bookmarkStart w:id="356" w:name="_Toc360188370"/>
      <w:bookmarkStart w:id="357" w:name="_Toc473560921"/>
      <w:bookmarkStart w:id="358" w:name="_Toc30677677"/>
      <w:r>
        <w:rPr>
          <w:rFonts w:ascii="Times New Roman" w:hAnsi="Times New Roman"/>
          <w:sz w:val="24"/>
          <w:u w:val="none"/>
        </w:rPr>
        <w:t>3.5.1.</w:t>
      </w:r>
      <w:r>
        <w:rPr>
          <w:rFonts w:ascii="Times New Roman" w:hAnsi="Times New Roman"/>
          <w:sz w:val="24"/>
          <w:u w:val="none"/>
        </w:rPr>
        <w:tab/>
      </w:r>
      <w:r>
        <w:rPr>
          <w:rFonts w:ascii="Times New Roman" w:hAnsi="Times New Roman"/>
          <w:sz w:val="24"/>
        </w:rPr>
        <w:t>Opće napomene</w:t>
      </w:r>
      <w:bookmarkEnd w:id="353"/>
      <w:bookmarkEnd w:id="354"/>
      <w:bookmarkEnd w:id="355"/>
      <w:bookmarkEnd w:id="356"/>
      <w:bookmarkEnd w:id="357"/>
      <w:bookmarkEnd w:id="358"/>
    </w:p>
    <w:p w14:paraId="078C0293" w14:textId="77777777" w:rsidR="00C61FF5" w:rsidRPr="00A30C4C" w:rsidRDefault="00125707" w:rsidP="00C37B29">
      <w:pPr>
        <w:pStyle w:val="InstructionsText2"/>
        <w:numPr>
          <w:ilvl w:val="0"/>
          <w:numId w:val="0"/>
        </w:numPr>
        <w:ind w:left="993"/>
      </w:pPr>
      <w:r>
        <w:t>86.</w:t>
      </w:r>
      <w:r>
        <w:tab/>
        <w:t>Obrazac CR EQU IRB sastoji se od dva obrasca: obrazac CR EQU IRB 1 sadržava opći pregled izloženosti u skladu s IRB pristupom kategorije izloženosti na osnovi vlasničkih ulaganja i različite metode izračuna ukupnih iznosa izloženosti riziku. Obrazac CR EQU IRB 2 sadržava raščlambu ukupnih izloženosti raspoređenih u rejting-kategorije dužnika u kontekstu PD/LGD pristupa. „CR EQU IRB” odnosi se na obrasce „CR EQU IRB 1” i „CR EQU IRB 2”, kako je primjenjivo, u sljedećim uputama.</w:t>
      </w:r>
    </w:p>
    <w:p w14:paraId="214B758E" w14:textId="56853A61" w:rsidR="00C61FF5" w:rsidRPr="00A30C4C" w:rsidRDefault="00125707" w:rsidP="00C37B29">
      <w:pPr>
        <w:pStyle w:val="InstructionsText2"/>
        <w:numPr>
          <w:ilvl w:val="0"/>
          <w:numId w:val="0"/>
        </w:numPr>
        <w:ind w:left="993"/>
      </w:pPr>
      <w:r>
        <w:lastRenderedPageBreak/>
        <w:t>87.</w:t>
      </w:r>
      <w:r>
        <w:tab/>
        <w:t>Obrazac CR EQU IRB sadržava informacije o izračunu iznosa izloženosti ponderiranih rizikom za kreditni rizik (članak 92. stavak 3. točka (a) CRR-a) u skladu s dijelom trećim glavom II. poglavljem 3. CRR-a za izloženosti na osnovi vlasničkih ulaganja iz članka 147. stavka 2. točke (e) CRR-a.</w:t>
      </w:r>
    </w:p>
    <w:p w14:paraId="66E98C3E" w14:textId="1E1C4A4C" w:rsidR="00C61FF5" w:rsidRPr="00A30C4C" w:rsidRDefault="00125707" w:rsidP="00C37B29">
      <w:pPr>
        <w:pStyle w:val="InstructionsText2"/>
        <w:numPr>
          <w:ilvl w:val="0"/>
          <w:numId w:val="0"/>
        </w:numPr>
        <w:ind w:left="993"/>
      </w:pPr>
      <w:r>
        <w:t>88.</w:t>
      </w:r>
      <w:r>
        <w:tab/>
        <w:t>U skladu s člankom 147. stavkom 6. CRR-a, sljedeće se izloženosti raspoređuju u kategoriju izloženosti na osnovi vlasničkih ulaganja:</w:t>
      </w:r>
    </w:p>
    <w:p w14:paraId="28B6278D" w14:textId="3E5AFA22" w:rsidR="00C61FF5" w:rsidRPr="00A30C4C" w:rsidRDefault="00125707" w:rsidP="00C37B29">
      <w:pPr>
        <w:pStyle w:val="InstructionsText2"/>
        <w:numPr>
          <w:ilvl w:val="0"/>
          <w:numId w:val="0"/>
        </w:numPr>
        <w:ind w:left="993"/>
      </w:pPr>
      <w:r>
        <w:t>(a)</w:t>
      </w:r>
      <w:r>
        <w:tab/>
        <w:t>izloženosti koje nisu dužničke te predstavljaju podređeno rezidualno pravo na izdavateljevu imovinu ili prihod;</w:t>
      </w:r>
    </w:p>
    <w:p w14:paraId="6F181DD1" w14:textId="77777777" w:rsidR="00C61FF5" w:rsidRPr="00A30C4C" w:rsidRDefault="00125707" w:rsidP="00C37B29">
      <w:pPr>
        <w:pStyle w:val="InstructionsText2"/>
        <w:numPr>
          <w:ilvl w:val="0"/>
          <w:numId w:val="0"/>
        </w:numPr>
        <w:ind w:left="993"/>
      </w:pPr>
      <w:r>
        <w:t>(b)</w:t>
      </w:r>
      <w:r>
        <w:tab/>
        <w:t>dužničke izloženosti i drugi vrijednosni papiri, partnerstva, izvedenice ili drugi instrumenti čija je ekonomska bit slična izloženostima navedenima u točki (a).</w:t>
      </w:r>
    </w:p>
    <w:p w14:paraId="0B3CD3B7" w14:textId="426B279E" w:rsidR="00C61FF5" w:rsidRPr="00A30C4C" w:rsidRDefault="00125707" w:rsidP="00C37B29">
      <w:pPr>
        <w:pStyle w:val="InstructionsText2"/>
        <w:numPr>
          <w:ilvl w:val="0"/>
          <w:numId w:val="0"/>
        </w:numPr>
        <w:ind w:left="993"/>
      </w:pPr>
      <w:r>
        <w:t>89.</w:t>
      </w:r>
      <w:r>
        <w:tab/>
        <w:t xml:space="preserve">U obrascu CR EQU IRB iskazuju se i subjekti za zajednička ulaganja koji se tretiraju u skladu s jednostavnim pristupom </w:t>
      </w:r>
      <w:proofErr w:type="spellStart"/>
      <w:r>
        <w:t>ponderiranja</w:t>
      </w:r>
      <w:proofErr w:type="spellEnd"/>
      <w:r>
        <w:t xml:space="preserve"> iz članka 152. CRR-a.</w:t>
      </w:r>
    </w:p>
    <w:p w14:paraId="3792BF77" w14:textId="3D5D4AD3" w:rsidR="00C61FF5" w:rsidRPr="00A30C4C" w:rsidRDefault="00125707" w:rsidP="00C37B29">
      <w:pPr>
        <w:pStyle w:val="InstructionsText2"/>
        <w:numPr>
          <w:ilvl w:val="0"/>
          <w:numId w:val="0"/>
        </w:numPr>
        <w:ind w:left="993"/>
      </w:pPr>
      <w:r>
        <w:t>90.</w:t>
      </w:r>
      <w:r>
        <w:tab/>
        <w:t xml:space="preserve">U skladu s člankom 151. stavkom 1. CRR-a, institucije dostavljaju obrazac CR EQU IRB ako primjenjuju jedan od tri pristupa iz članka 155. CRR-a: </w:t>
      </w:r>
    </w:p>
    <w:p w14:paraId="13C8039D" w14:textId="3F0C5F10" w:rsidR="00C61FF5" w:rsidRPr="00A30C4C" w:rsidRDefault="00C61FF5" w:rsidP="002C4D74">
      <w:pPr>
        <w:pStyle w:val="InstructionsText"/>
        <w:ind w:left="993"/>
      </w:pPr>
      <w:r>
        <w:t xml:space="preserve">– jednostavni pristup </w:t>
      </w:r>
      <w:proofErr w:type="spellStart"/>
      <w:r>
        <w:t>ponderiranja</w:t>
      </w:r>
      <w:proofErr w:type="spellEnd"/>
      <w:r>
        <w:t>,</w:t>
      </w:r>
    </w:p>
    <w:p w14:paraId="7B3F472B" w14:textId="58A7BD8E" w:rsidR="00C61FF5" w:rsidRPr="00A30C4C" w:rsidRDefault="00C61FF5" w:rsidP="002C4D74">
      <w:pPr>
        <w:pStyle w:val="InstructionsText"/>
        <w:ind w:left="993"/>
      </w:pPr>
      <w:r>
        <w:t>– PD/LGD pristup ili</w:t>
      </w:r>
    </w:p>
    <w:p w14:paraId="459A321C" w14:textId="77777777" w:rsidR="00C61FF5" w:rsidRPr="00A30C4C" w:rsidRDefault="00C61FF5" w:rsidP="002C4D74">
      <w:pPr>
        <w:pStyle w:val="InstructionsText"/>
        <w:ind w:left="993"/>
      </w:pPr>
      <w:r>
        <w:t>– pristup internih modela.</w:t>
      </w:r>
    </w:p>
    <w:p w14:paraId="47812ED1" w14:textId="01BB01EB" w:rsidR="00C61FF5" w:rsidRPr="00A30C4C" w:rsidRDefault="00C61FF5" w:rsidP="002C4D74">
      <w:pPr>
        <w:pStyle w:val="InstructionsText"/>
        <w:ind w:left="993"/>
      </w:pPr>
      <w:r>
        <w:t xml:space="preserve">Nadalje, institucije koje primjenjuju IRB pristup u obrascu CR EQU IRB iskazuju i iznose izloženosti ponderirane rizikom za izloženosti na osnovi vlasničkih ulaganja koje podliježu tretmanu s fiksnim ponderom rizika (a da ih se pri tome ne tretira izričito u skladu s jednostavnim pristupom </w:t>
      </w:r>
      <w:proofErr w:type="spellStart"/>
      <w:r>
        <w:t>ponderiranja</w:t>
      </w:r>
      <w:proofErr w:type="spellEnd"/>
      <w:r>
        <w:t xml:space="preserve"> ili (privremeno ili stalno) izuzećem od primjene standardiziranog pristupa kreditnom riziku) npr. izloženosti na osnovi vlasničkih ulaganja na koje se primjenjuje ponder rizika od 250 % u skladu s člankom 48. stavkom 4. CRR-a, odnosno ponder rizika od 370 % u skladu s člankom 471. stavkom 2. CRR-a.</w:t>
      </w:r>
    </w:p>
    <w:p w14:paraId="41EDEF2D" w14:textId="77777777" w:rsidR="00C61FF5" w:rsidRPr="00A30C4C" w:rsidRDefault="00125707" w:rsidP="00C37B29">
      <w:pPr>
        <w:pStyle w:val="InstructionsText2"/>
        <w:numPr>
          <w:ilvl w:val="0"/>
          <w:numId w:val="0"/>
        </w:numPr>
        <w:ind w:left="993"/>
      </w:pPr>
      <w:r>
        <w:t>91.</w:t>
      </w:r>
      <w:r>
        <w:tab/>
        <w:t>Sljedeća se potraživanja na osnovi vlasničkih ulaganja ne iskazuju u obrascu CR EQU IRB:</w:t>
      </w:r>
    </w:p>
    <w:p w14:paraId="5FFD76B9" w14:textId="36E30DF1" w:rsidR="00C61FF5" w:rsidRPr="00A30C4C" w:rsidRDefault="00C61FF5" w:rsidP="002C4D74">
      <w:pPr>
        <w:pStyle w:val="InstructionsText"/>
        <w:ind w:left="993"/>
      </w:pPr>
      <w:r>
        <w:t xml:space="preserve">– izloženosti na osnovi vlasničkih ulaganja u knjizi trgovanja (ako institucije nisu izuzete od izračuna kapitalnih zahtjeva za pozicije iz knjige trgovanja (članak 94. CRR-a)). </w:t>
      </w:r>
    </w:p>
    <w:p w14:paraId="19C08E32" w14:textId="2A657569" w:rsidR="00C61FF5" w:rsidRPr="00A30C4C" w:rsidRDefault="00C61FF5" w:rsidP="002C4D74">
      <w:pPr>
        <w:pStyle w:val="InstructionsText"/>
        <w:ind w:left="993"/>
      </w:pPr>
      <w:r>
        <w:t>– izloženosti na osnovi vlasničkih ulaganja koje podliježu izuzeću od primjene standardiziranog pristupa (članak 150. CRR-a), uključujući:</w:t>
      </w:r>
    </w:p>
    <w:p w14:paraId="0B1BD8BA" w14:textId="5F87A60E" w:rsidR="00C61FF5" w:rsidRPr="00A30C4C" w:rsidRDefault="00C61FF5" w:rsidP="002C4D74">
      <w:pPr>
        <w:pStyle w:val="InstructionsText"/>
        <w:ind w:left="993"/>
      </w:pPr>
      <w:r>
        <w:t>– izloženosti na osnovi vlasničkih ulaganja koja se nastavljaju priznavati u skladu s člankom 495. stavkom 1. CRR-a</w:t>
      </w:r>
    </w:p>
    <w:p w14:paraId="465612C3" w14:textId="5E46439A" w:rsidR="00C61FF5" w:rsidRPr="00A30C4C" w:rsidRDefault="00C61FF5" w:rsidP="002C4D74">
      <w:pPr>
        <w:pStyle w:val="InstructionsText"/>
        <w:ind w:left="993"/>
      </w:pPr>
      <w:r>
        <w:t>– izloženosti na osnovi vlasničkih ulaganja u subjekte čijim se kreditnim obvezama dodjeljuje ponder rizika od 0 % u skladu sa standardiziranim pristupom, uključujući javno financirane subjekte kod kojih je moguća primjena pondera rizika od 0 % (članak 150. stavak 1. točka (g) CRR-a),</w:t>
      </w:r>
    </w:p>
    <w:p w14:paraId="6F1AAFB5" w14:textId="719E5FD0" w:rsidR="00C61FF5" w:rsidRPr="00A30C4C" w:rsidRDefault="00C61FF5" w:rsidP="002C4D74">
      <w:pPr>
        <w:pStyle w:val="InstructionsText"/>
        <w:ind w:left="993"/>
      </w:pPr>
      <w:r>
        <w:lastRenderedPageBreak/>
        <w:t>– izloženosti na osnovi vlasničkih ulaganja prema zakonodavnim programima za promicanje posebnih sektora gospodarstva koji osiguravaju institucijama značajne subvencije za ulaganje te uključuju neki oblik državnog nadzora i ograničenja za vlasnička ulaganja (članak 150. stavak 1. točka (h) CRR-a),</w:t>
      </w:r>
    </w:p>
    <w:p w14:paraId="6DD3B008" w14:textId="2CDC22A5" w:rsidR="00C61FF5" w:rsidRPr="00A30C4C" w:rsidRDefault="00C61FF5" w:rsidP="002C4D74">
      <w:pPr>
        <w:pStyle w:val="InstructionsText"/>
        <w:ind w:left="993"/>
      </w:pPr>
      <w:r>
        <w:t>– izloženosti na osnovi vlasničkih ulaganja u društva za pomoćne usluge čiji se iznosi izloženosti ponderirani rizikom mogu izračunati u skladu s tretmanom „ostale imovine” (članak 155. stavak 1. CRR-a),</w:t>
      </w:r>
    </w:p>
    <w:p w14:paraId="6D1517B8" w14:textId="1429D9B4" w:rsidR="00C61FF5" w:rsidRPr="00A30C4C" w:rsidRDefault="00C61FF5" w:rsidP="002C4D74">
      <w:pPr>
        <w:pStyle w:val="InstructionsText"/>
        <w:ind w:left="993"/>
      </w:pPr>
      <w:r>
        <w:t>– potraživanja na osnovi vlasničkih ulaganja odbijena od regulatornog kapitala u skladu s člancima 46. i 48. CRR-a.</w:t>
      </w:r>
    </w:p>
    <w:p w14:paraId="5D3BCE93" w14:textId="77777777" w:rsidR="00C61FF5" w:rsidRPr="00A30C4C" w:rsidRDefault="00C61FF5" w:rsidP="00FD239F">
      <w:pPr>
        <w:pStyle w:val="InstructionsText"/>
      </w:pPr>
    </w:p>
    <w:p w14:paraId="5A70CA6C"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rPr>
      </w:pPr>
      <w:bookmarkStart w:id="359" w:name="_Toc310415033"/>
      <w:bookmarkStart w:id="360" w:name="_Toc360188371"/>
      <w:bookmarkStart w:id="361" w:name="_Toc473560922"/>
      <w:bookmarkStart w:id="362" w:name="_Toc30677678"/>
      <w:r>
        <w:rPr>
          <w:rFonts w:ascii="Times New Roman" w:hAnsi="Times New Roman"/>
          <w:sz w:val="24"/>
          <w:u w:val="none"/>
        </w:rPr>
        <w:t>3.5.2.</w:t>
      </w:r>
      <w:r>
        <w:rPr>
          <w:rFonts w:ascii="Times New Roman" w:hAnsi="Times New Roman"/>
          <w:sz w:val="24"/>
          <w:u w:val="none"/>
        </w:rPr>
        <w:tab/>
      </w:r>
      <w:bookmarkStart w:id="363" w:name="_Toc295829921"/>
      <w:r>
        <w:rPr>
          <w:rFonts w:ascii="Times New Roman" w:hAnsi="Times New Roman"/>
          <w:sz w:val="24"/>
        </w:rPr>
        <w:t>Upute za specifične pozicije</w:t>
      </w:r>
      <w:bookmarkEnd w:id="363"/>
      <w:bookmarkEnd w:id="359"/>
      <w:r>
        <w:rPr>
          <w:rFonts w:ascii="Times New Roman" w:hAnsi="Times New Roman"/>
          <w:sz w:val="24"/>
        </w:rPr>
        <w:t xml:space="preserve"> (mogu se primijeniti na obrasce CR EQU IRB 1 i CR EQU IRB 2)</w:t>
      </w:r>
      <w:bookmarkEnd w:id="360"/>
      <w:bookmarkEnd w:id="361"/>
      <w:bookmarkEnd w:id="362"/>
    </w:p>
    <w:tbl>
      <w:tblPr>
        <w:tblW w:w="0" w:type="auto"/>
        <w:tblLook w:val="01E0" w:firstRow="1" w:lastRow="1" w:firstColumn="1" w:lastColumn="1" w:noHBand="0" w:noVBand="0"/>
      </w:tblPr>
      <w:tblGrid>
        <w:gridCol w:w="852"/>
        <w:gridCol w:w="8004"/>
      </w:tblGrid>
      <w:tr w:rsidR="00C61FF5" w:rsidRPr="00A30C4C"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A30C4C"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Stupci</w:t>
            </w:r>
          </w:p>
        </w:tc>
      </w:tr>
      <w:tr w:rsidR="003F05A0" w:rsidRPr="00A30C4C"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3F05A0" w:rsidRPr="00A30C4C"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14:paraId="47AB38C7" w14:textId="77777777" w:rsidR="003F05A0" w:rsidRPr="00A30C4C"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REJTING-KATEGORIJA DUŽNIKA (IDENTIFIKATOR RETKA)</w:t>
            </w:r>
          </w:p>
          <w:p w14:paraId="0EAE0975" w14:textId="7DCE0C34" w:rsidR="003F05A0" w:rsidRPr="00A30C4C"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Rejting-kategorija dužnika je identifikator retka i jedinstvena je za svaki redak u obrascu. </w:t>
            </w:r>
            <w:r>
              <w:rPr>
                <w:rFonts w:ascii="Times New Roman" w:hAnsi="Times New Roman"/>
                <w:sz w:val="24"/>
              </w:rPr>
              <w:t>Navodi se numeričkim redoslijedom 1, 2, 3 itd.</w:t>
            </w:r>
          </w:p>
        </w:tc>
      </w:tr>
      <w:tr w:rsidR="00C61FF5" w:rsidRPr="00A30C4C"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14:paraId="7CFE1EA8"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INTERNI REJTING-SUSTAV </w:t>
            </w:r>
          </w:p>
          <w:p w14:paraId="3BEB17A8"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RASPOREĐEN U REJTING-KATEGORIJU DUŽNIKA (%)</w:t>
            </w:r>
          </w:p>
          <w:p w14:paraId="44F74EFD" w14:textId="61D97016"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iskazuju u stupcu 010 vjerojatnost nastanka statusa neispunjavanja obveza (PD) izračunanu u skladu s člankom 165. stavkom 1. CRR-a.</w:t>
            </w:r>
          </w:p>
          <w:p w14:paraId="5E9E1A46" w14:textId="3B103F99"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 raspoređen u rejting-kategoriju dužnika ili skup izloženosti iskazuje se u skladu s minimalnim zahtjevima utvrđenima u dijelu trećem glavi II. poglavlju 3. odjeljku 6. CRR-a. Za svaku pojedinu rejting-kategoriju ili skup iskazuje se PD raspoređen u specifičnu rejting-kategoriju dužnika ili skup izloženosti. Svi iskazani parametri rizika izvode se iz parametara rizika upotrijebljenih u internom rejting-sustavu koji je odobrilo nadležno tijelo.</w:t>
            </w:r>
          </w:p>
          <w:p w14:paraId="7262CB84"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Za vrijednosti koje odgovaraju agregiranju rejting-kategorija dužnika ili skupova izloženosti (npr. „ukupne izloženosti”) dostavlja se ponderirani prosjek izloženosti PD-ova raspoređenih u rejting-kategoriju dužnika ili skupove izloženosti uključen u agregiranje. Sve izloženosti, uključujući izloženosti sa statusom neispunjavanja obveza, potrebno je uzeti u obzir za potrebe izračuna izloženošću ponderiranog prosječnog PD-a. Za izračun izloženošću ponderiranog prosječnog PD-a, vrijednost izloženosti, uzimajući u obzir nematerijalnu kreditnu zaštitu (stupac 060), koristi se za potrebe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w:t>
            </w:r>
          </w:p>
        </w:tc>
      </w:tr>
      <w:tr w:rsidR="00C61FF5" w:rsidRPr="00A30C4C"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14:paraId="42297808" w14:textId="7964ADCA"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ORIGINALNA IZLOŽENOST PRIJE KONVERZIJSKIH FAKTORA</w:t>
            </w:r>
          </w:p>
          <w:p w14:paraId="4BEEA019" w14:textId="78212A5D" w:rsidR="00C61FF5" w:rsidRPr="00A30C4C"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U stupcu 020 institucije iskazuju vrijednost originalne izloženosti (prije konverzijskih faktora). U skladu s člankom 167. CRR-a, vrijednost izloženosti za izloženosti na osnovi vlasničkih ulaganja računovodstvena je vrijednost preostala nakon primjene specifičnih ispravaka vrijednosti za kreditni rizik.  </w:t>
            </w:r>
            <w:r>
              <w:rPr>
                <w:rFonts w:ascii="Times New Roman" w:hAnsi="Times New Roman"/>
                <w:sz w:val="24"/>
              </w:rPr>
              <w:t xml:space="preserve">Vrijednost izloženosti </w:t>
            </w:r>
            <w:r>
              <w:rPr>
                <w:rFonts w:ascii="Times New Roman" w:hAnsi="Times New Roman"/>
                <w:sz w:val="24"/>
              </w:rPr>
              <w:lastRenderedPageBreak/>
              <w:t xml:space="preserve">za kategoriju </w:t>
            </w:r>
            <w:proofErr w:type="spellStart"/>
            <w:r>
              <w:rPr>
                <w:rFonts w:ascii="Times New Roman" w:hAnsi="Times New Roman"/>
                <w:sz w:val="24"/>
              </w:rPr>
              <w:t>izvanbilančnih</w:t>
            </w:r>
            <w:proofErr w:type="spellEnd"/>
            <w:r>
              <w:rPr>
                <w:rFonts w:ascii="Times New Roman" w:hAnsi="Times New Roman"/>
                <w:sz w:val="24"/>
              </w:rPr>
              <w:t xml:space="preserve"> izloženosti na osnovi vlasničkih ulaganja jest njihova nominalna vrijednost nakon specifičnih ispravaka vrijednosti za kreditni rizik.</w:t>
            </w:r>
          </w:p>
          <w:p w14:paraId="1C80CD14" w14:textId="2B631E0F"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 stupac 020 institucije uključuju i </w:t>
            </w:r>
            <w:proofErr w:type="spellStart"/>
            <w:r>
              <w:rPr>
                <w:rStyle w:val="InstructionsTabelleText"/>
                <w:rFonts w:ascii="Times New Roman" w:hAnsi="Times New Roman"/>
                <w:sz w:val="24"/>
              </w:rPr>
              <w:t>izvanbilančne</w:t>
            </w:r>
            <w:proofErr w:type="spellEnd"/>
            <w:r>
              <w:rPr>
                <w:rStyle w:val="InstructionsTabelleText"/>
                <w:rFonts w:ascii="Times New Roman" w:hAnsi="Times New Roman"/>
                <w:sz w:val="24"/>
              </w:rPr>
              <w:t xml:space="preserve"> stavke iz Priloga I. CRR-u raspoređene u kategoriju izloženosti na osnovi vlasničkih ulaganja (npr. „neuplaćeni dio djelomično uplaćenih dionica”).</w:t>
            </w:r>
          </w:p>
          <w:p w14:paraId="1448449F" w14:textId="3EACF17F" w:rsidR="00745369" w:rsidRPr="00A30C4C"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ili PD/LGD pristup (iz članka 165. stavka 1. CRR-a) uzimaju u obzir i prijeboj iz članka 155. stavka 2. drugog podstavka CRR-a. </w:t>
            </w:r>
          </w:p>
        </w:tc>
      </w:tr>
      <w:tr w:rsidR="00C61FF5" w:rsidRPr="00A30C4C"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030-040</w:t>
            </w:r>
          </w:p>
        </w:tc>
        <w:tc>
          <w:tcPr>
            <w:tcW w:w="8004" w:type="dxa"/>
          </w:tcPr>
          <w:p w14:paraId="5A5489A1"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14:paraId="7830C552"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NEMATERIJALNA KREDITNA ZAŠTITA</w:t>
            </w:r>
          </w:p>
          <w:p w14:paraId="020EC0D8"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JAMSTVA</w:t>
            </w:r>
          </w:p>
          <w:p w14:paraId="0B08E13C"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KREDITNE IZVEDENICE</w:t>
            </w:r>
          </w:p>
          <w:p w14:paraId="6EB56834" w14:textId="2A97AEBC" w:rsidR="00745369" w:rsidRPr="00A30C4C"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Bez obzira na pristup koji je prihvaćen za izračun iznosa izloženosti ponderiranih rizikom za izloženosti na osnovi vlasničkih ulaganja, institucije mogu priznati nematerijalnu kreditnu zaštitu primljenu za izloženosti na osnovi vlasničkih ulaganja (članak 155. stavci 2., 3. i 4. CRR-a). 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ili PD/LGD pristup u stupcima 030 i 040 iskazuju iznos nematerijalne kreditne zaštite u obliku jamstava (stupac 030) ili kreditnih izvedenica (stupac 040) priznate u skladu s metodama određenima u dijelu trećem glavi II. poglavlju 4. CRR-a.</w:t>
            </w:r>
          </w:p>
        </w:tc>
      </w:tr>
      <w:tr w:rsidR="00C61FF5" w:rsidRPr="00A30C4C"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050</w:t>
            </w:r>
          </w:p>
        </w:tc>
        <w:tc>
          <w:tcPr>
            <w:tcW w:w="8004" w:type="dxa"/>
          </w:tcPr>
          <w:p w14:paraId="0F188D89"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TEHNIKE SMANJENJA KREDITNOG RIZIKA S UČINCIMA ZAMJENE NA IZLOŽENOST</w:t>
            </w:r>
          </w:p>
          <w:p w14:paraId="3BFA6B41"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ZAMJENA IZLOŽENOSTI ZBOG SMANJENJA KREDITNOG RIZIKA</w:t>
            </w:r>
          </w:p>
          <w:p w14:paraId="10F17615"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UKUPNI ODLJEVI</w:t>
            </w:r>
          </w:p>
          <w:p w14:paraId="1A4BB276" w14:textId="2D4D113E" w:rsidR="00745369" w:rsidRPr="00A30C4C"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 stupcu 050 institucije iskazuju dio originalne izloženosti prije konverzijskih faktora pokriven nematerijalnom kreditnom zaštitom priznatom u skladu s metodama određenima u dijelu trećem glavi II. poglavlju 4. CRR-a.</w:t>
            </w:r>
          </w:p>
        </w:tc>
      </w:tr>
      <w:tr w:rsidR="00C61FF5" w:rsidRPr="00A30C4C"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14:paraId="637A7A8E"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VRIJEDNOST IZLOŽENOSTI</w:t>
            </w:r>
          </w:p>
          <w:p w14:paraId="6CBC7FDC" w14:textId="25B23E95"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ili PD/LGD pristup iskazuju u stupcu 060 vrijednosti izloženosti uzimajući u obzir učinke zamjene koji proizlaze iz nematerijalne kreditne zaštite (članak 155. stavci 2. i 3. i članak 167. CRR-a).</w:t>
            </w:r>
          </w:p>
          <w:p w14:paraId="168218CE" w14:textId="6661DDAE" w:rsidR="00745369" w:rsidRPr="00A30C4C"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 slučaju </w:t>
            </w:r>
            <w:proofErr w:type="spellStart"/>
            <w:r>
              <w:rPr>
                <w:rStyle w:val="InstructionsTabelleText"/>
                <w:rFonts w:ascii="Times New Roman" w:hAnsi="Times New Roman"/>
                <w:sz w:val="24"/>
              </w:rPr>
              <w:t>izvanbilančnih</w:t>
            </w:r>
            <w:proofErr w:type="spellEnd"/>
            <w:r>
              <w:rPr>
                <w:rStyle w:val="InstructionsTabelleText"/>
                <w:rFonts w:ascii="Times New Roman" w:hAnsi="Times New Roman"/>
                <w:sz w:val="24"/>
              </w:rPr>
              <w:t xml:space="preserve"> izloženosti na osnovi vlasničkih ulaganja, vrijednost izloženosti jest nominalna vrijednost preostala nakon primjene specifičnih ispravaka vrijednosti za kreditni rizik (članak 167. CRR-a).</w:t>
            </w:r>
          </w:p>
        </w:tc>
      </w:tr>
      <w:tr w:rsidR="00C61FF5" w:rsidRPr="00A30C4C"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14:paraId="610B0CF0"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PROSJEČNI LGD PONDERIRAN VISINOM IZLOŽENOSTI (%)</w:t>
            </w:r>
          </w:p>
          <w:p w14:paraId="7FFC3F61" w14:textId="75F0534A" w:rsidR="001A627D"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Institucije koje primjenjuju PD/LGD pristup iskazuju izloženošću ponderirani prosjek LGD-ova raspoređenih u rejting-kategorije dužnika ili skupove izloženosti uključene u agregiranje. </w:t>
            </w:r>
          </w:p>
          <w:p w14:paraId="0B187789" w14:textId="77777777" w:rsidR="001A627D"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Vrijednost izloženosti, uzimajući u obzir nematerijalnu kreditnu zaštitu (stupac 060) koristi se za izračun prosječnog LGD-a ponderiranog visinom izloženosti. </w:t>
            </w:r>
          </w:p>
          <w:p w14:paraId="44AE69A8" w14:textId="3703686A" w:rsidR="00745369" w:rsidRPr="00A30C4C"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uzimaju u obzir članak 165. stavak 2. CRR-a.</w:t>
            </w:r>
          </w:p>
        </w:tc>
      </w:tr>
      <w:tr w:rsidR="00C61FF5" w:rsidRPr="00A30C4C"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080</w:t>
            </w:r>
          </w:p>
        </w:tc>
        <w:tc>
          <w:tcPr>
            <w:tcW w:w="8004" w:type="dxa"/>
          </w:tcPr>
          <w:p w14:paraId="39CF20D7"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IZNOS IZLOŽENOSTI PONDERIRAN RIZIKOM</w:t>
            </w:r>
          </w:p>
          <w:p w14:paraId="5A2BBB02" w14:textId="267239CE"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iskazuju iznose izloženosti ponderirane rizikom za izloženosti na osnovi vlasničkih ulaganja izračunane u skladu s člankom 155. CRR-a.</w:t>
            </w:r>
          </w:p>
          <w:p w14:paraId="5AB232F0" w14:textId="6F820BB1" w:rsidR="00745369" w:rsidRPr="00A30C4C"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Ako institucije koje primjenjuju PD/LGD pristup nemaju dovoljno informacija za uporabu definicije nastanka statusa neispunjavanja obveza iz članka 178. CRR-a, ponderu rizika dodjeljuje se faktor prilagodbe od 1,5 pri izračunu iznosa izloženosti ponderiranih rizikom (članak 155. stavak 3. CRR-a.) </w:t>
            </w:r>
          </w:p>
          <w:p w14:paraId="0158FAA8" w14:textId="6B077CA9"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 pogledu ulaznog parametra M (efektivno dospijeće) u funkciji izračuna pondera rizika, efektivno dospijeće koje se dodjeljuje izloženostima na osnovi vlasničkih ulaganja iznosi 5 godina (članak 165. stavak 3. CRR-a).</w:t>
            </w:r>
          </w:p>
        </w:tc>
      </w:tr>
      <w:tr w:rsidR="00C61FF5" w:rsidRPr="00A30C4C"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090</w:t>
            </w:r>
          </w:p>
        </w:tc>
        <w:tc>
          <w:tcPr>
            <w:tcW w:w="8004" w:type="dxa"/>
          </w:tcPr>
          <w:p w14:paraId="0B4F1531"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BILJEŠKA: IZNOS OČEKIVANOGA GUBITKA</w:t>
            </w:r>
          </w:p>
          <w:p w14:paraId="73ECA7C7" w14:textId="3819AD02" w:rsidR="00745369" w:rsidRPr="00A30C4C"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 stupcu 090 institucije iskazuju iznos očekivanoga gubitka za izloženosti na osnovi vlasničkih ulaganja izračunan u skladu s člankom 158. stavcima 4., 7., 8. i 9. CRR-a. </w:t>
            </w:r>
          </w:p>
        </w:tc>
      </w:tr>
    </w:tbl>
    <w:p w14:paraId="29506A55" w14:textId="77777777" w:rsidR="00745369" w:rsidRPr="00A30C4C" w:rsidRDefault="00745369" w:rsidP="00FD239F">
      <w:pPr>
        <w:pStyle w:val="InstructionsText"/>
      </w:pPr>
    </w:p>
    <w:p w14:paraId="0D0C0491" w14:textId="77836A0A" w:rsidR="00C61FF5" w:rsidRPr="00A30C4C" w:rsidRDefault="00125707" w:rsidP="00C37B29">
      <w:pPr>
        <w:pStyle w:val="InstructionsText2"/>
        <w:numPr>
          <w:ilvl w:val="0"/>
          <w:numId w:val="0"/>
        </w:numPr>
        <w:ind w:left="993"/>
      </w:pPr>
      <w:r>
        <w:t>92.</w:t>
      </w:r>
      <w:r>
        <w:tab/>
        <w:t xml:space="preserve">U skladu s člankom 155. CRR-a, institucije mogu primijeniti različite pristupe (jednostavni pristup </w:t>
      </w:r>
      <w:proofErr w:type="spellStart"/>
      <w:r>
        <w:t>ponderiranja</w:t>
      </w:r>
      <w:proofErr w:type="spellEnd"/>
      <w:r>
        <w:t xml:space="preserve">, PD/LGD pristup ili pristup internih modela) na različite portfelje ako interno koriste te različite pristupe. Institucije iskazuju u obrascu CR EQU IRB 1 i iznose izloženosti ponderirane rizikom za one izloženosti na osnovi vlasničkih ulaganja koje podliježu fiksnom tretmanu ponderiranom rizikom (a da ih se pri tome ne tretira izričito u skladu s jednostavnim pristupom </w:t>
      </w:r>
      <w:proofErr w:type="spellStart"/>
      <w:r>
        <w:t>ponderiranja</w:t>
      </w:r>
      <w:proofErr w:type="spellEnd"/>
      <w:r>
        <w:t xml:space="preserve"> ili (privremeno ili stalno) izuzećem od primjene standardiziranog pristupa kreditnom riziku).</w:t>
      </w:r>
    </w:p>
    <w:tbl>
      <w:tblPr>
        <w:tblW w:w="9524" w:type="dxa"/>
        <w:tblLook w:val="01E0" w:firstRow="1" w:lastRow="1" w:firstColumn="1" w:lastColumn="1" w:noHBand="0" w:noVBand="0"/>
      </w:tblPr>
      <w:tblGrid>
        <w:gridCol w:w="1608"/>
        <w:gridCol w:w="7916"/>
      </w:tblGrid>
      <w:tr w:rsidR="00C61FF5" w:rsidRPr="00A30C4C"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A30C4C"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Redci</w:t>
            </w:r>
          </w:p>
        </w:tc>
      </w:tr>
      <w:tr w:rsidR="00C61FF5" w:rsidRPr="00A30C4C"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32EE66F4" w:rsidR="00745369" w:rsidRPr="00A30C4C" w:rsidRDefault="00D633B1"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redak 020</w:t>
            </w:r>
          </w:p>
          <w:p w14:paraId="612436A8" w14:textId="77777777" w:rsidR="00745369" w:rsidRPr="00A30C4C"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A30C4C"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 PRISTUP: UKUPNO </w:t>
            </w:r>
          </w:p>
          <w:p w14:paraId="68E108AA" w14:textId="0787FDDE" w:rsidR="00745369" w:rsidRPr="00A30C4C"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(članak 155. stavak 3. CRR-a) iskazuju potrebne informacije u retku 020 obrasca CR EQU IRB 1.</w:t>
            </w:r>
          </w:p>
        </w:tc>
      </w:tr>
      <w:tr w:rsidR="00C61FF5" w:rsidRPr="00A30C4C"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redci 050 – 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A30C4C"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JEDNOSTAVNI PRISTUP PONDERIRANJA: UKUPNO</w:t>
            </w:r>
          </w:p>
          <w:p w14:paraId="365B8FA7" w14:textId="0722E76C" w:rsidR="00C61FF5" w:rsidRPr="00A30C4C"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RAŠČLAMBA UKUPNIH IZLOŽENOSTI U SKLADU S JEDNOSTAVNIM PRISTUPOM PONDERIRANJA PREMA PONDERIMA RIZIKA:</w:t>
            </w:r>
          </w:p>
          <w:p w14:paraId="71A2DB99" w14:textId="7666ADD0" w:rsidR="00745369" w:rsidRPr="00A30C4C"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Institucije koje primjenjuju jednostavni pristup </w:t>
            </w:r>
            <w:proofErr w:type="spellStart"/>
            <w:r>
              <w:rPr>
                <w:rStyle w:val="InstructionsTabelleText"/>
                <w:rFonts w:ascii="Times New Roman" w:hAnsi="Times New Roman"/>
                <w:sz w:val="24"/>
              </w:rPr>
              <w:t>ponderiranja</w:t>
            </w:r>
            <w:proofErr w:type="spellEnd"/>
            <w:r>
              <w:rPr>
                <w:rStyle w:val="InstructionsTabelleText"/>
                <w:rFonts w:ascii="Times New Roman" w:hAnsi="Times New Roman"/>
                <w:sz w:val="24"/>
              </w:rPr>
              <w:t xml:space="preserve"> (članak 155. stavak 2. CRR-a) iskazuju potrebne informacije u skladu s karakteristikama odnosnih izloženosti u redcima od 050 do 090.</w:t>
            </w:r>
          </w:p>
        </w:tc>
      </w:tr>
      <w:tr w:rsidR="00C61FF5" w:rsidRPr="00A30C4C"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redak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A30C4C"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PRISTUP INTERNIH MODELA</w:t>
            </w:r>
          </w:p>
          <w:p w14:paraId="7303F976" w14:textId="5C26F242" w:rsidR="00C61FF5" w:rsidRPr="00A30C4C"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Institucije koje primjenjuju pristup internih modela (članak 155. stavak 4. CRR-a) iskazuju potrebne informacije u retku 100.</w:t>
            </w:r>
          </w:p>
        </w:tc>
      </w:tr>
      <w:tr w:rsidR="00C61FF5" w:rsidRPr="00A30C4C"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745369" w:rsidRPr="00A30C4C"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redak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A30C4C"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IZLOŽENOSTI NA OSNOVI VLASNIČKIH ULAGANJA NA KOJE SE PRIMJENJUJU PONDERI RIZIKA</w:t>
            </w:r>
          </w:p>
          <w:p w14:paraId="4B76CB87" w14:textId="046A42A7" w:rsidR="00C61FF5" w:rsidRPr="00A30C4C" w:rsidRDefault="00C61FF5" w:rsidP="00C61FF5">
            <w:pPr>
              <w:rPr>
                <w:rFonts w:ascii="Times New Roman" w:hAnsi="Times New Roman"/>
                <w:sz w:val="24"/>
              </w:rPr>
            </w:pPr>
            <w:r>
              <w:rPr>
                <w:rFonts w:ascii="Times New Roman" w:hAnsi="Times New Roman"/>
                <w:sz w:val="24"/>
              </w:rPr>
              <w:t xml:space="preserve">Institucije koje primjenjuju IRB pristup iskazuju iznose izloženosti ponderirane rizikom za one izloženosti na osnovi vlasničkih ulaganja koje podliježu fiksnom tretmanu ponderiranom rizikom (a da ih se pri tome ne tretira izričito u skladu s jednostavnim pristupom </w:t>
            </w:r>
            <w:proofErr w:type="spellStart"/>
            <w:r>
              <w:rPr>
                <w:rFonts w:ascii="Times New Roman" w:hAnsi="Times New Roman"/>
                <w:sz w:val="24"/>
              </w:rPr>
              <w:t>ponderiranja</w:t>
            </w:r>
            <w:proofErr w:type="spellEnd"/>
            <w:r>
              <w:rPr>
                <w:rFonts w:ascii="Times New Roman" w:hAnsi="Times New Roman"/>
                <w:sz w:val="24"/>
              </w:rPr>
              <w:t xml:space="preserve"> ili (privremeno ili stalno) izuzećem od primjene standardiziranog pristupa kreditnom riziku). Na primjer,</w:t>
            </w:r>
          </w:p>
          <w:p w14:paraId="276AD23C" w14:textId="3696C320" w:rsidR="00C61FF5" w:rsidRPr="00A30C4C"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iznos izloženosti ponderiran rizikom za pozicije vlasničkih ulaganja u subjekte financijskog sektora koje se tretiraju u skladu s člankom 48. stavkom 4. CRR-a, te</w:t>
            </w:r>
          </w:p>
          <w:p w14:paraId="4810199E" w14:textId="50C885C1" w:rsidR="00C61FF5" w:rsidRPr="00A30C4C"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pozicije vlasničkih ulaganja s ponderom rizika 370 % u skladu s člankom 471. stavkom 2. CRR-a </w:t>
            </w:r>
          </w:p>
          <w:p w14:paraId="2CB3A9BA" w14:textId="77777777" w:rsidR="00C61FF5" w:rsidRPr="00A30C4C"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iskazuju se u retku 110.</w:t>
            </w:r>
          </w:p>
        </w:tc>
      </w:tr>
      <w:tr w:rsidR="00C61FF5" w:rsidRPr="00A30C4C"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A30C4C"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14:paraId="7BAE5549" w14:textId="77777777" w:rsidR="00745369" w:rsidRPr="00A30C4C"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A30C4C"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RAŠČLAMBA UKUPNIH IZLOŽENOSTI U SKLADU S PD/LGD PRISTUPOM PREMA REJTING-KATEGORIJAMA DUŽNIKA:</w:t>
            </w:r>
          </w:p>
          <w:p w14:paraId="3CBD70B6" w14:textId="37C022DE" w:rsidR="00745369" w:rsidRPr="00A30C4C"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koje primjenjuju PD/LGD pristup (članak 155. stavak 3. CRR-a) iskazuju potrebne informacije u obrascu CR EQU IRB 2.</w:t>
            </w:r>
          </w:p>
          <w:p w14:paraId="4A99D5E0" w14:textId="7EE2DEA1" w:rsidR="00C61FF5" w:rsidRPr="00A30C4C"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Institucije koje koriste PD/LGD pristup koje primjenjuju jedinstveni rejting-sustav ili mogu izvješćivati u skladu s internom rejting-skalom, u obrascu CR EQU IRB 2 iskazuju rejting-kategorije ili skupove povezane s tim jedinstvenim rejting-sustavom / jedinstvenom rejting-skalom. U svim ostalim slučajevima različiti rejting-sustavi spajaju se i određuju u skladu sa sljedećim kriterijima: Rejting-kategorije dužnika ili skupovi izloženosti različitih rejting-sustava grupiraju se i određuju od nižeg PD-a raspoređenog u svaku rejting-kategoriju dužnika ili skup izloženosti prema višem.</w:t>
            </w:r>
          </w:p>
        </w:tc>
      </w:tr>
    </w:tbl>
    <w:p w14:paraId="6FA66299" w14:textId="77777777" w:rsidR="00633DEB" w:rsidRPr="00A30C4C" w:rsidRDefault="00633DEB">
      <w:pPr>
        <w:spacing w:before="0" w:after="0"/>
        <w:jc w:val="left"/>
        <w:rPr>
          <w:rStyle w:val="InstructionsTabelleText"/>
          <w:rFonts w:ascii="Times New Roman" w:hAnsi="Times New Roman"/>
          <w:sz w:val="24"/>
        </w:rPr>
      </w:pPr>
    </w:p>
    <w:p w14:paraId="5D217367"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64" w:name="_Toc360188372"/>
      <w:bookmarkStart w:id="365" w:name="_Toc473560923"/>
      <w:bookmarkStart w:id="366" w:name="_Toc30677679"/>
      <w:r>
        <w:rPr>
          <w:rFonts w:ascii="Times New Roman" w:hAnsi="Times New Roman"/>
          <w:sz w:val="24"/>
          <w:u w:val="none"/>
        </w:rPr>
        <w:t>3.6.</w:t>
      </w:r>
      <w:r>
        <w:rPr>
          <w:rFonts w:ascii="Times New Roman" w:hAnsi="Times New Roman"/>
          <w:sz w:val="24"/>
          <w:u w:val="none"/>
        </w:rPr>
        <w:tab/>
      </w:r>
      <w:bookmarkStart w:id="367" w:name="_Toc310415035"/>
      <w:r>
        <w:rPr>
          <w:rFonts w:ascii="Times New Roman" w:hAnsi="Times New Roman"/>
          <w:sz w:val="24"/>
        </w:rPr>
        <w:t xml:space="preserve">C 11.00 – Rizik namire/isporuke </w:t>
      </w:r>
      <w:bookmarkEnd w:id="367"/>
      <w:bookmarkEnd w:id="364"/>
      <w:r>
        <w:rPr>
          <w:rFonts w:ascii="Times New Roman" w:hAnsi="Times New Roman"/>
          <w:sz w:val="24"/>
        </w:rPr>
        <w:t xml:space="preserve"> (CR SETT)</w:t>
      </w:r>
      <w:bookmarkEnd w:id="365"/>
      <w:bookmarkEnd w:id="366"/>
    </w:p>
    <w:p w14:paraId="67551EF1"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68" w:name="_Toc262568045"/>
      <w:bookmarkStart w:id="369" w:name="_Toc295829924"/>
      <w:bookmarkStart w:id="370" w:name="_Toc310415036"/>
      <w:bookmarkStart w:id="371" w:name="_Toc360188373"/>
      <w:bookmarkStart w:id="372" w:name="_Toc473560924"/>
      <w:bookmarkStart w:id="373" w:name="_Toc30677680"/>
      <w:r>
        <w:rPr>
          <w:rFonts w:ascii="Times New Roman" w:hAnsi="Times New Roman"/>
          <w:sz w:val="24"/>
          <w:u w:val="none"/>
        </w:rPr>
        <w:t>3.6.1.</w:t>
      </w:r>
      <w:r>
        <w:rPr>
          <w:rFonts w:ascii="Times New Roman" w:hAnsi="Times New Roman"/>
          <w:sz w:val="24"/>
          <w:u w:val="none"/>
        </w:rPr>
        <w:tab/>
      </w:r>
      <w:r>
        <w:rPr>
          <w:rFonts w:ascii="Times New Roman" w:hAnsi="Times New Roman"/>
          <w:sz w:val="24"/>
        </w:rPr>
        <w:t>Opće napomene</w:t>
      </w:r>
      <w:bookmarkEnd w:id="368"/>
      <w:bookmarkEnd w:id="369"/>
      <w:bookmarkEnd w:id="370"/>
      <w:bookmarkEnd w:id="371"/>
      <w:bookmarkEnd w:id="372"/>
      <w:bookmarkEnd w:id="373"/>
    </w:p>
    <w:p w14:paraId="4790EC4D" w14:textId="03F851B3" w:rsidR="00612780" w:rsidRPr="00A30C4C" w:rsidRDefault="00125707" w:rsidP="00C37B29">
      <w:pPr>
        <w:pStyle w:val="InstructionsText2"/>
        <w:numPr>
          <w:ilvl w:val="0"/>
          <w:numId w:val="0"/>
        </w:numPr>
        <w:ind w:left="993"/>
      </w:pPr>
      <w:r>
        <w:t>93.</w:t>
      </w:r>
      <w:r>
        <w:tab/>
        <w:t xml:space="preserve">U ovom se obrascu zahtijevaju informacije o transakcijama iz knjige trgovanja i transakcijama iz knjige pozicija kojima se ne trguje koje nisu namirene nakon datuma dospijeća te kapitalnim zahtjevima za rizik namire iz članka 92. stavka 3. točke (c) </w:t>
      </w:r>
      <w:proofErr w:type="spellStart"/>
      <w:r>
        <w:t>podtočke</w:t>
      </w:r>
      <w:proofErr w:type="spellEnd"/>
      <w:r>
        <w:t xml:space="preserve"> ii. i članka 378. CRR-a. </w:t>
      </w:r>
    </w:p>
    <w:p w14:paraId="1DC61D44" w14:textId="77777777" w:rsidR="00612780" w:rsidRPr="00A30C4C" w:rsidRDefault="00125707" w:rsidP="00C37B29">
      <w:pPr>
        <w:pStyle w:val="InstructionsText2"/>
        <w:numPr>
          <w:ilvl w:val="0"/>
          <w:numId w:val="0"/>
        </w:numPr>
        <w:ind w:left="993"/>
      </w:pPr>
      <w:r>
        <w:lastRenderedPageBreak/>
        <w:t>94.</w:t>
      </w:r>
      <w:r>
        <w:tab/>
        <w:t xml:space="preserve">U obrascu CR SETT institucije iskazuju informacije o riziku namire/isporuke u vezi s dužničkim i vlasničkim instrumentima, stranim valutama i robi koje drže u svojoj knjizi trgovanja ili knjizi pozicija kojima se ne trguje. </w:t>
      </w:r>
    </w:p>
    <w:p w14:paraId="545D84A1" w14:textId="5D66B72A" w:rsidR="00612780" w:rsidRPr="00A30C4C" w:rsidRDefault="00125707" w:rsidP="00C37B29">
      <w:pPr>
        <w:pStyle w:val="InstructionsText2"/>
        <w:numPr>
          <w:ilvl w:val="0"/>
          <w:numId w:val="0"/>
        </w:numPr>
        <w:ind w:left="993"/>
      </w:pPr>
      <w:r>
        <w:t>95.</w:t>
      </w:r>
      <w:r>
        <w:tab/>
        <w:t>U skladu s člankom 378. CRR-a, repo transakcije, transakcije pozajmljivanja vrijednosnih papira ili robe drugoj strani ili od druge strane u vezi s dužničkim, vlasničkim, deviznim i robnim instrumentima ne podliježu kapitalnim zahtjevima za rizik namire/isporuke. Međutim, potrebno je napomenuti da izvedenice i transakcije s dugim rokom namire koje nisu namirene nakon datuma dospijeća ipak podliježu kapitalnim zahtjevima za rizik namire/isporuke kako je određeno u članku 378. CRR-a.</w:t>
      </w:r>
    </w:p>
    <w:p w14:paraId="22B606E8" w14:textId="7D57A456" w:rsidR="00612780" w:rsidRPr="00A30C4C" w:rsidRDefault="00125707" w:rsidP="00C37B29">
      <w:pPr>
        <w:pStyle w:val="InstructionsText2"/>
        <w:numPr>
          <w:ilvl w:val="0"/>
          <w:numId w:val="0"/>
        </w:numPr>
        <w:ind w:left="993"/>
      </w:pPr>
      <w:r>
        <w:t>96.</w:t>
      </w:r>
      <w:r>
        <w:tab/>
        <w:t xml:space="preserve">U slučaju nenamirenih transakcija nakon datuma dospijeća, institucije izračunavaju razliku u cijeni kojoj su izložene. To je razlika između ugovorene cijene namire za određeni dužnički, vlasnički, devizni ili robni instrument i njezine sadašnje tržišne vrijednosti, u slučaju kada je ta razlika gubitak za instituciju. </w:t>
      </w:r>
    </w:p>
    <w:p w14:paraId="3C33B3C5" w14:textId="433DF7A1" w:rsidR="00612780" w:rsidRPr="00A30C4C" w:rsidRDefault="00125707" w:rsidP="00C37B29">
      <w:pPr>
        <w:pStyle w:val="InstructionsText2"/>
        <w:numPr>
          <w:ilvl w:val="0"/>
          <w:numId w:val="0"/>
        </w:numPr>
        <w:ind w:left="993"/>
      </w:pPr>
      <w:r>
        <w:t>97.</w:t>
      </w:r>
      <w:r>
        <w:tab/>
        <w:t>Institucije množe tu razliku odgovarajućim faktorom iz tablice 1. iz članka 378. CRR-a kako bi se odredili odgovarajući kapitalni zahtjevi.</w:t>
      </w:r>
    </w:p>
    <w:p w14:paraId="26845CF7" w14:textId="17CD59B8" w:rsidR="00612780" w:rsidRPr="00A30C4C" w:rsidRDefault="00125707" w:rsidP="00C37B29">
      <w:pPr>
        <w:pStyle w:val="InstructionsText2"/>
        <w:numPr>
          <w:ilvl w:val="0"/>
          <w:numId w:val="0"/>
        </w:numPr>
        <w:ind w:left="993"/>
      </w:pPr>
      <w:r>
        <w:t>98.</w:t>
      </w:r>
      <w:r>
        <w:tab/>
        <w:t>U skladu s člankom 92. stavkom 4. točkom (b), kapitalni zahtjevi za rizik namire/isporuke množe se s 12,5 kako bi se izračunao iznos izloženosti riziku.</w:t>
      </w:r>
    </w:p>
    <w:p w14:paraId="3EEF45C0" w14:textId="24A8C6AE" w:rsidR="00612780" w:rsidRPr="00A30C4C" w:rsidRDefault="00125707" w:rsidP="00C37B29">
      <w:pPr>
        <w:pStyle w:val="InstructionsText2"/>
        <w:numPr>
          <w:ilvl w:val="0"/>
          <w:numId w:val="0"/>
        </w:numPr>
        <w:ind w:left="993"/>
      </w:pPr>
      <w:r>
        <w:t>99.</w:t>
      </w:r>
      <w:r>
        <w:tab/>
        <w:t>Potrebno je napomenuti da kapitalni zahtjevi za slobodne isporuke iz članka 379. CRR-a nisu u opsegu obrasca CR SETT. Ti kapitalni zahtjevi iskazuju se u obrascima za kreditni rizik (CR SA, CR IRB).</w:t>
      </w:r>
    </w:p>
    <w:p w14:paraId="7C539E4E"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74" w:name="_Toc310415037"/>
      <w:bookmarkStart w:id="375" w:name="_Toc360188374"/>
      <w:bookmarkStart w:id="376" w:name="_Toc473560925"/>
      <w:bookmarkStart w:id="377" w:name="_Toc30677681"/>
      <w:r>
        <w:rPr>
          <w:rFonts w:ascii="Times New Roman" w:hAnsi="Times New Roman"/>
          <w:sz w:val="24"/>
          <w:u w:val="none"/>
        </w:rPr>
        <w:t>3.6.2.</w:t>
      </w:r>
      <w:r>
        <w:rPr>
          <w:rFonts w:ascii="Times New Roman" w:hAnsi="Times New Roman"/>
          <w:sz w:val="24"/>
          <w:u w:val="none"/>
        </w:rPr>
        <w:tab/>
      </w:r>
      <w:r>
        <w:rPr>
          <w:rFonts w:ascii="Times New Roman" w:hAnsi="Times New Roman"/>
          <w:sz w:val="24"/>
        </w:rPr>
        <w:t>Upute za specifične pozicije</w:t>
      </w:r>
      <w:bookmarkEnd w:id="374"/>
      <w:bookmarkEnd w:id="375"/>
      <w:bookmarkEnd w:id="376"/>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A30C4C" w14:paraId="5575C142" w14:textId="77777777" w:rsidTr="00672D2A">
        <w:tc>
          <w:tcPr>
            <w:tcW w:w="8856" w:type="dxa"/>
            <w:gridSpan w:val="2"/>
            <w:shd w:val="clear" w:color="auto" w:fill="CCCCCC"/>
          </w:tcPr>
          <w:p w14:paraId="2EED0216" w14:textId="77777777" w:rsidR="00745369" w:rsidRPr="00A30C4C" w:rsidRDefault="00612780" w:rsidP="00EA0BAB">
            <w:pPr>
              <w:spacing w:beforeLines="60" w:before="144" w:afterLines="60" w:after="144"/>
              <w:rPr>
                <w:rFonts w:ascii="Times New Roman" w:hAnsi="Times New Roman"/>
                <w:b/>
                <w:sz w:val="24"/>
              </w:rPr>
            </w:pPr>
            <w:r>
              <w:rPr>
                <w:rFonts w:ascii="Times New Roman" w:hAnsi="Times New Roman"/>
                <w:b/>
                <w:sz w:val="24"/>
              </w:rPr>
              <w:t>Stupci</w:t>
            </w:r>
          </w:p>
        </w:tc>
      </w:tr>
      <w:tr w:rsidR="00612780" w:rsidRPr="00A30C4C" w14:paraId="60A7F75E" w14:textId="77777777" w:rsidTr="00672D2A">
        <w:tc>
          <w:tcPr>
            <w:tcW w:w="852" w:type="dxa"/>
          </w:tcPr>
          <w:p w14:paraId="2183F4D1"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14:paraId="5E53C8B8"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PO CIJENI NAMIRE</w:t>
            </w:r>
          </w:p>
          <w:p w14:paraId="4F483008" w14:textId="73FBE602" w:rsidR="00745369" w:rsidRPr="00A30C4C"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iskazuju transakcije koje nisu namirene nakon datuma dospijeća po odgovarajućim dogovorenim cijenama namire iz članka 378. CRR-a. </w:t>
            </w:r>
          </w:p>
          <w:p w14:paraId="1F67800B" w14:textId="21B3D72F"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t>Sve transakcije koje nisu namirene uključuju se u ovom stupcu, bez obzira na to jesu li na dobitku ili gubitku nakon datuma namire.</w:t>
            </w:r>
          </w:p>
        </w:tc>
      </w:tr>
      <w:tr w:rsidR="00612780" w:rsidRPr="00A30C4C" w14:paraId="7D156DB1" w14:textId="77777777" w:rsidTr="00672D2A">
        <w:tc>
          <w:tcPr>
            <w:tcW w:w="852" w:type="dxa"/>
          </w:tcPr>
          <w:p w14:paraId="26C9B508"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14:paraId="2332AC41"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IZLOŽENOST NA OSNOVI RAZLIKE U CIJENI ZBOG TRANSAKCIJA KOJE NISU NAMIRENE</w:t>
            </w:r>
          </w:p>
          <w:p w14:paraId="6A0703DD" w14:textId="44103163" w:rsidR="00745369" w:rsidRPr="00A30C4C"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Institucije iskazuju razliku u cijeni između dogovorene cijene namire i njezine sadašnje tržišne vrijednosti za predmetni dužnički, vlasnički, devizni ili robni instrument, u slučaju kada je ta razlika gubitak za instituciju, kako je navedeno u članku 378. CRR-a. </w:t>
            </w:r>
          </w:p>
          <w:p w14:paraId="2A2C35B7" w14:textId="3C4384AC"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t>Samo se transakcije s gubitkom koje nisu namirene nakon datuma namire iskazuju u ovom stupcu.</w:t>
            </w:r>
          </w:p>
        </w:tc>
      </w:tr>
      <w:tr w:rsidR="00612780" w:rsidRPr="00A30C4C" w14:paraId="50BA0E72" w14:textId="77777777" w:rsidTr="00672D2A">
        <w:tc>
          <w:tcPr>
            <w:tcW w:w="852" w:type="dxa"/>
          </w:tcPr>
          <w:p w14:paraId="3A1E12B1"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14:paraId="2EBFDFA7"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KAPITALNI ZAHTJEVI</w:t>
            </w:r>
          </w:p>
          <w:p w14:paraId="11F3CADC" w14:textId="58890F22"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lastRenderedPageBreak/>
              <w:t>Institucije iskazuju kapitalne zahtjeve izračunane u skladu s člankom 378. CRR-a.</w:t>
            </w:r>
          </w:p>
        </w:tc>
      </w:tr>
      <w:tr w:rsidR="00612780" w:rsidRPr="00A30C4C" w14:paraId="30291023" w14:textId="77777777" w:rsidTr="00672D2A">
        <w:tc>
          <w:tcPr>
            <w:tcW w:w="852" w:type="dxa"/>
          </w:tcPr>
          <w:p w14:paraId="0CC911EB"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040</w:t>
            </w:r>
          </w:p>
        </w:tc>
        <w:tc>
          <w:tcPr>
            <w:tcW w:w="8004" w:type="dxa"/>
          </w:tcPr>
          <w:p w14:paraId="18C12A6F"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UKUPNI IZNOS IZLOŽENOSTI RIZIKU NAMIRE</w:t>
            </w:r>
          </w:p>
          <w:p w14:paraId="4585916E" w14:textId="035C6AA0" w:rsidR="00745369" w:rsidRPr="00A30C4C" w:rsidRDefault="00612780" w:rsidP="00705025">
            <w:pPr>
              <w:spacing w:beforeLines="60" w:before="144" w:afterLines="60" w:after="144"/>
              <w:rPr>
                <w:rFonts w:ascii="Times New Roman" w:hAnsi="Times New Roman"/>
                <w:sz w:val="24"/>
              </w:rPr>
            </w:pPr>
            <w:r>
              <w:rPr>
                <w:rFonts w:ascii="Times New Roman" w:hAnsi="Times New Roman"/>
                <w:sz w:val="24"/>
              </w:rPr>
              <w:t>U skladu s člankom 92. stavkom 4. točkom (b) CRR-a, institucije množe svoje kapitalne zahtjeve iskazane u stupcu 030 sa 12,5 kako bi dobile iznos izloženosti riziku namire.</w:t>
            </w:r>
          </w:p>
        </w:tc>
      </w:tr>
    </w:tbl>
    <w:p w14:paraId="325CED20" w14:textId="77777777" w:rsidR="00612780" w:rsidRPr="00A30C4C"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A30C4C" w14:paraId="073135B3" w14:textId="77777777" w:rsidTr="00672D2A">
        <w:tc>
          <w:tcPr>
            <w:tcW w:w="8862" w:type="dxa"/>
            <w:gridSpan w:val="2"/>
            <w:shd w:val="clear" w:color="auto" w:fill="CCCCCC"/>
          </w:tcPr>
          <w:p w14:paraId="3201B95F" w14:textId="77777777" w:rsidR="00745369" w:rsidRPr="00A30C4C" w:rsidRDefault="00612780" w:rsidP="00EA0BAB">
            <w:pPr>
              <w:spacing w:beforeLines="60" w:before="144" w:afterLines="60" w:after="144"/>
              <w:rPr>
                <w:rFonts w:ascii="Times New Roman" w:hAnsi="Times New Roman"/>
                <w:b/>
                <w:sz w:val="24"/>
              </w:rPr>
            </w:pPr>
            <w:r>
              <w:rPr>
                <w:rFonts w:ascii="Times New Roman" w:hAnsi="Times New Roman"/>
                <w:b/>
                <w:sz w:val="24"/>
              </w:rPr>
              <w:t>Redci</w:t>
            </w:r>
          </w:p>
        </w:tc>
      </w:tr>
      <w:tr w:rsidR="00612780" w:rsidRPr="00A30C4C" w14:paraId="0189EB04" w14:textId="77777777" w:rsidTr="00672D2A">
        <w:tc>
          <w:tcPr>
            <w:tcW w:w="852" w:type="dxa"/>
          </w:tcPr>
          <w:p w14:paraId="05E5D2BF"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14:paraId="5CD29E23"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Ukupne transakcije koje nisu namirene u knjizi pozicija kojima se ne trguje</w:t>
            </w:r>
          </w:p>
          <w:p w14:paraId="170979C3" w14:textId="71CEE16F"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iskazuju agregirane informacije o riziku namire/isporuke iz knjige pozicija kojima se ne trguje (kako je navedeno u članku 92. stavku 3. točki (c) </w:t>
            </w:r>
            <w:proofErr w:type="spellStart"/>
            <w:r>
              <w:rPr>
                <w:rFonts w:ascii="Times New Roman" w:hAnsi="Times New Roman"/>
                <w:sz w:val="24"/>
              </w:rPr>
              <w:t>podtočki</w:t>
            </w:r>
            <w:proofErr w:type="spellEnd"/>
            <w:r>
              <w:rPr>
                <w:rFonts w:ascii="Times New Roman" w:hAnsi="Times New Roman"/>
                <w:sz w:val="24"/>
              </w:rPr>
              <w:t xml:space="preserve"> ii. i članku 378. CRR-a).</w:t>
            </w:r>
          </w:p>
          <w:p w14:paraId="6190E788" w14:textId="28AB5D81" w:rsidR="00745369" w:rsidRPr="00A30C4C" w:rsidRDefault="00612780" w:rsidP="00450A2E">
            <w:pPr>
              <w:spacing w:beforeLines="60" w:before="144"/>
              <w:rPr>
                <w:rFonts w:ascii="Times New Roman" w:hAnsi="Times New Roman"/>
                <w:sz w:val="24"/>
              </w:rPr>
            </w:pPr>
            <w:r>
              <w:rPr>
                <w:rFonts w:ascii="Times New Roman" w:hAnsi="Times New Roman"/>
                <w:sz w:val="24"/>
              </w:rPr>
              <w:t>Institucije iskazuju u {r010;c010} agregirani zbroj transakcija koje nisu namirene nakon datuma dospijeća po odgovarajućim dogovorenim cijenama namire.</w:t>
            </w:r>
          </w:p>
          <w:p w14:paraId="0F0F475E" w14:textId="512EF335" w:rsidR="00745369" w:rsidRPr="00A30C4C" w:rsidRDefault="00612780" w:rsidP="00450A2E">
            <w:pPr>
              <w:spacing w:beforeLines="60" w:before="144"/>
              <w:rPr>
                <w:rFonts w:ascii="Times New Roman" w:hAnsi="Times New Roman"/>
                <w:sz w:val="24"/>
              </w:rPr>
            </w:pPr>
            <w:r>
              <w:rPr>
                <w:rFonts w:ascii="Times New Roman" w:hAnsi="Times New Roman"/>
                <w:sz w:val="24"/>
              </w:rPr>
              <w:t>Institucije iskazuju u {r010;c020} agregirane informacije o izloženosti na osnovi razlike u cijeni zbog transakcija s gubitkom koje nisu namirene.</w:t>
            </w:r>
          </w:p>
          <w:p w14:paraId="58319765" w14:textId="3B601BC3"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t>Institucije iskazuju u {r010;c030] agregirane kapitalne zahtjeve koji proizlaze iz utvrđivanja kapitalnih zahtjeva za transakcije koje nisu namirene množenjem „razlike u cijeni” iskazane u stupcu 020 odgovarajućim faktorom temeljenim na broju radnih dana nakon datuma namire (kategorije iz tablice 1. iz članka 378. CRR-a).</w:t>
            </w:r>
          </w:p>
        </w:tc>
      </w:tr>
      <w:tr w:rsidR="00612780" w:rsidRPr="00A30C4C" w14:paraId="1878C2AF" w14:textId="77777777" w:rsidTr="00672D2A">
        <w:tc>
          <w:tcPr>
            <w:tcW w:w="852" w:type="dxa"/>
          </w:tcPr>
          <w:p w14:paraId="2309AC75"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od 020 do 060</w:t>
            </w:r>
          </w:p>
        </w:tc>
        <w:tc>
          <w:tcPr>
            <w:tcW w:w="8010" w:type="dxa"/>
          </w:tcPr>
          <w:p w14:paraId="4529BA3B"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Transakcije koje nisu namirene do 4 dana (faktor 0 %) </w:t>
            </w:r>
          </w:p>
          <w:p w14:paraId="6CDA317A"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5 i 15 dana (faktor 8 %)</w:t>
            </w:r>
          </w:p>
          <w:p w14:paraId="09A8F4C8"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16 i 30 dana (faktor 50 %)</w:t>
            </w:r>
          </w:p>
          <w:p w14:paraId="31C36005"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31 i 45 dana (faktor 75 %)</w:t>
            </w:r>
          </w:p>
          <w:p w14:paraId="2F475E9C"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46 dana ili više (faktor 100 %)</w:t>
            </w:r>
          </w:p>
          <w:p w14:paraId="60054263" w14:textId="0A554F81"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u redcima od 020 do 060 iskazuju informacije o riziku namire/isporuke za knjigu pozicija kojima se ne trguje u skladu s kategorijama iz tablice 1. iz članka 378. CRR-a. </w:t>
            </w:r>
          </w:p>
          <w:p w14:paraId="44D0C740" w14:textId="77777777"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Nikakvi kapitalni zahtjevi za rizik namire/isporuke nisu potrebni za transakcije koje nisu namirene manje od 5 radnih dana nakon datuma namire.</w:t>
            </w:r>
          </w:p>
        </w:tc>
      </w:tr>
      <w:tr w:rsidR="00612780" w:rsidRPr="00A30C4C" w14:paraId="2C66FCE5" w14:textId="77777777" w:rsidTr="00672D2A">
        <w:tc>
          <w:tcPr>
            <w:tcW w:w="852" w:type="dxa"/>
          </w:tcPr>
          <w:p w14:paraId="6BD184A5"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14:paraId="5FDA9C4F"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Ukupne transakcije koje nisu namirene u knjizi trgovanja</w:t>
            </w:r>
          </w:p>
          <w:p w14:paraId="60AB71F7" w14:textId="03006947"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iskazuju agregirane informacije o riziku namire/isporuke za pozicije iz knjige trgovanja (kako je navedeno u članku 92. stavku 3. točki (c) </w:t>
            </w:r>
            <w:proofErr w:type="spellStart"/>
            <w:r>
              <w:rPr>
                <w:rFonts w:ascii="Times New Roman" w:hAnsi="Times New Roman"/>
                <w:sz w:val="24"/>
              </w:rPr>
              <w:t>podtočki</w:t>
            </w:r>
            <w:proofErr w:type="spellEnd"/>
            <w:r>
              <w:rPr>
                <w:rFonts w:ascii="Times New Roman" w:hAnsi="Times New Roman"/>
                <w:sz w:val="24"/>
              </w:rPr>
              <w:t xml:space="preserve"> ii. i članku 378. CRR-a).</w:t>
            </w:r>
          </w:p>
          <w:p w14:paraId="2C4006D2" w14:textId="41D388DB"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Institucije iskazuju u {r070;c010} agregirani zbroj transakcija koje nisu namirene nakon datuma dospijeća po odgovarajućim dogovorenim cijenama namire.</w:t>
            </w:r>
          </w:p>
          <w:p w14:paraId="2F5263F5" w14:textId="6B361F03"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Institucije iskazuju u {r070;c020} agregirane informacije o izloženosti na osnovi razlike u cijeni zbog transakcija s gubitkom koje nisu namirene.</w:t>
            </w:r>
          </w:p>
          <w:p w14:paraId="06D1744A" w14:textId="2ECAAB50" w:rsidR="00745369" w:rsidRPr="00A30C4C" w:rsidRDefault="00612780" w:rsidP="00E921F1">
            <w:pPr>
              <w:spacing w:beforeLines="60" w:before="144" w:afterLines="60" w:after="144"/>
              <w:rPr>
                <w:rFonts w:ascii="Times New Roman" w:hAnsi="Times New Roman"/>
                <w:b/>
                <w:sz w:val="24"/>
              </w:rPr>
            </w:pPr>
            <w:r>
              <w:rPr>
                <w:rFonts w:ascii="Times New Roman" w:hAnsi="Times New Roman"/>
                <w:sz w:val="24"/>
              </w:rPr>
              <w:t>Institucije iskazuju u {r070;c030} agregirane kapitalne zahtjeve koji proizlaze iz utvrđivanja kapitalnih zahtjeva za transakcije koje nisu namirene množenjem „razlike u cijeni” iskazane u stupcu 020 odgovarajućim faktorom temeljenim na broju radnih dana nakon datuma namire (kategorije iz tablice 1. iz članka 378. CRR-a).</w:t>
            </w:r>
          </w:p>
        </w:tc>
      </w:tr>
      <w:tr w:rsidR="00612780" w:rsidRPr="00A30C4C" w14:paraId="256C4BD4" w14:textId="77777777" w:rsidTr="00672D2A">
        <w:tc>
          <w:tcPr>
            <w:tcW w:w="852" w:type="dxa"/>
          </w:tcPr>
          <w:p w14:paraId="0600B802"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od 080 do 120</w:t>
            </w:r>
          </w:p>
        </w:tc>
        <w:tc>
          <w:tcPr>
            <w:tcW w:w="8010" w:type="dxa"/>
          </w:tcPr>
          <w:p w14:paraId="649FDDE5"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Transakcije koje nisu namirene do 4 dana (faktor 0 %) </w:t>
            </w:r>
          </w:p>
          <w:p w14:paraId="64108ABB"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5 i 15 dana (faktor 8 %)</w:t>
            </w:r>
          </w:p>
          <w:p w14:paraId="69A72164"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16 i 30 dana (faktor 50 %)</w:t>
            </w:r>
          </w:p>
          <w:p w14:paraId="4BB8E407"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između 31 i 45 dana (faktor 75 %)</w:t>
            </w:r>
          </w:p>
          <w:p w14:paraId="0F10AD33"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Transakcije koje nisu namirene 46 dana ili više (faktor 100 %)</w:t>
            </w:r>
          </w:p>
          <w:p w14:paraId="0DD12A0A" w14:textId="480E616D"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 xml:space="preserve">Institucije u redcima od 080 do 120 iskazuju informacije o riziku namire/isporuke za pozicije iz knjige trgovanja u skladu s kategorijama iz tablice 1. iz članka 378. CRR-a. </w:t>
            </w:r>
          </w:p>
          <w:p w14:paraId="2C467110" w14:textId="77777777" w:rsidR="00745369" w:rsidRPr="00A30C4C" w:rsidRDefault="00612780" w:rsidP="00D021AF">
            <w:pPr>
              <w:spacing w:beforeLines="60" w:before="144" w:afterLines="60" w:after="144"/>
              <w:rPr>
                <w:rFonts w:ascii="Times New Roman" w:hAnsi="Times New Roman"/>
                <w:b/>
                <w:sz w:val="24"/>
              </w:rPr>
            </w:pPr>
            <w:r>
              <w:rPr>
                <w:rFonts w:ascii="Times New Roman" w:hAnsi="Times New Roman"/>
                <w:sz w:val="24"/>
              </w:rPr>
              <w:t>Nikakvi kapitalni zahtjevi za rizik namire/isporuke nisu potrebni za transakcije koje nisu namirene manje od 5 radnih dana nakon datuma namire.</w:t>
            </w:r>
          </w:p>
        </w:tc>
      </w:tr>
    </w:tbl>
    <w:p w14:paraId="46A5D5C3" w14:textId="77777777" w:rsidR="00612780" w:rsidRPr="00A30C4C" w:rsidRDefault="00612780" w:rsidP="00612780">
      <w:pPr>
        <w:spacing w:after="0"/>
        <w:rPr>
          <w:rFonts w:ascii="Times New Roman" w:hAnsi="Times New Roman"/>
          <w:sz w:val="24"/>
        </w:rPr>
      </w:pPr>
    </w:p>
    <w:p w14:paraId="63067A32" w14:textId="77777777" w:rsidR="00612780" w:rsidRPr="00A30C4C" w:rsidRDefault="00612780">
      <w:pPr>
        <w:spacing w:before="0" w:after="0"/>
        <w:jc w:val="left"/>
        <w:rPr>
          <w:rStyle w:val="InstructionsTabelleText"/>
          <w:rFonts w:ascii="Times New Roman" w:hAnsi="Times New Roman"/>
          <w:sz w:val="24"/>
        </w:rPr>
      </w:pPr>
      <w:r>
        <w:br w:type="page"/>
      </w:r>
    </w:p>
    <w:p w14:paraId="0A8AC0A3" w14:textId="77777777" w:rsidR="00612780" w:rsidRPr="00A30C4C"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rPr>
      </w:pPr>
      <w:bookmarkStart w:id="378" w:name="_Toc522019827"/>
      <w:bookmarkStart w:id="379" w:name="_Toc30677682"/>
      <w:r>
        <w:rPr>
          <w:rFonts w:ascii="Times New Roman" w:hAnsi="Times New Roman"/>
          <w:sz w:val="24"/>
          <w:u w:val="none"/>
        </w:rPr>
        <w:t>3.7.</w:t>
      </w:r>
      <w:r>
        <w:rPr>
          <w:rFonts w:ascii="Times New Roman" w:hAnsi="Times New Roman"/>
          <w:sz w:val="24"/>
          <w:u w:val="none"/>
        </w:rPr>
        <w:tab/>
      </w:r>
      <w:r>
        <w:rPr>
          <w:rFonts w:ascii="Times New Roman" w:hAnsi="Times New Roman"/>
          <w:sz w:val="24"/>
        </w:rPr>
        <w:t xml:space="preserve">C 13.01 – Kreditni rizik – </w:t>
      </w:r>
      <w:proofErr w:type="spellStart"/>
      <w:r>
        <w:rPr>
          <w:rFonts w:ascii="Times New Roman" w:hAnsi="Times New Roman"/>
          <w:sz w:val="24"/>
        </w:rPr>
        <w:t>sekuritizacije</w:t>
      </w:r>
      <w:proofErr w:type="spellEnd"/>
      <w:r>
        <w:rPr>
          <w:rFonts w:ascii="Times New Roman" w:hAnsi="Times New Roman"/>
          <w:sz w:val="24"/>
        </w:rPr>
        <w:t xml:space="preserve"> (CR SEC)</w:t>
      </w:r>
      <w:bookmarkEnd w:id="378"/>
      <w:bookmarkEnd w:id="379"/>
    </w:p>
    <w:p w14:paraId="6F06AFA3"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rPr>
      </w:pPr>
      <w:bookmarkStart w:id="380" w:name="_Toc522019828"/>
      <w:bookmarkStart w:id="381" w:name="_Toc30677683"/>
      <w:r>
        <w:rPr>
          <w:rFonts w:ascii="Times New Roman" w:hAnsi="Times New Roman"/>
          <w:sz w:val="24"/>
          <w:u w:val="none"/>
        </w:rPr>
        <w:t>3.7.1.</w:t>
      </w:r>
      <w:r>
        <w:rPr>
          <w:rFonts w:ascii="Times New Roman" w:hAnsi="Times New Roman"/>
          <w:sz w:val="24"/>
          <w:u w:val="none"/>
        </w:rPr>
        <w:tab/>
      </w:r>
      <w:r>
        <w:rPr>
          <w:rFonts w:ascii="Times New Roman" w:hAnsi="Times New Roman"/>
          <w:sz w:val="24"/>
        </w:rPr>
        <w:t>Opće napomene</w:t>
      </w:r>
      <w:bookmarkEnd w:id="380"/>
      <w:bookmarkEnd w:id="381"/>
    </w:p>
    <w:p w14:paraId="6E8CF2DA" w14:textId="2868BF1B" w:rsidR="00E026FB" w:rsidRPr="00A30C4C" w:rsidRDefault="00E026FB" w:rsidP="00E026FB">
      <w:pPr>
        <w:pStyle w:val="InstructionsText2"/>
        <w:numPr>
          <w:ilvl w:val="0"/>
          <w:numId w:val="0"/>
        </w:numPr>
        <w:ind w:left="993"/>
      </w:pPr>
      <w:r>
        <w:t xml:space="preserve">100. Ako institucija djeluje kao inicijator, informacije u ovom obrascu zahtijevaju se za sve </w:t>
      </w:r>
      <w:proofErr w:type="spellStart"/>
      <w:r>
        <w:t>sekuritizacije</w:t>
      </w:r>
      <w:proofErr w:type="spellEnd"/>
      <w:r>
        <w:t xml:space="preserve"> za koje je priznat prijenos značajnog rizika. Ako institucija djeluje kao investitor, iskazuju se sve izloženosti. </w:t>
      </w:r>
    </w:p>
    <w:p w14:paraId="304D921A" w14:textId="7E2C8C27" w:rsidR="00E026FB" w:rsidRPr="00A30C4C" w:rsidRDefault="00E026FB" w:rsidP="00E026FB">
      <w:pPr>
        <w:pStyle w:val="InstructionsText2"/>
        <w:numPr>
          <w:ilvl w:val="0"/>
          <w:numId w:val="0"/>
        </w:numPr>
        <w:ind w:left="993"/>
      </w:pPr>
      <w:r>
        <w:t>101.</w:t>
      </w:r>
      <w:r>
        <w:tab/>
        <w:t xml:space="preserve"> Informacije koje je potrebno iskazati ovise o ulozi institucije u procesu </w:t>
      </w:r>
      <w:proofErr w:type="spellStart"/>
      <w:r>
        <w:t>sekuritizacije</w:t>
      </w:r>
      <w:proofErr w:type="spellEnd"/>
      <w:r>
        <w:t>. Kao takve, specifične izvještajne stavke primjenjuju se na inicijatore, sponzore i investitore.</w:t>
      </w:r>
    </w:p>
    <w:p w14:paraId="2AEAC17E" w14:textId="2370C83F" w:rsidR="00E026FB" w:rsidRPr="00A30C4C" w:rsidRDefault="00E026FB" w:rsidP="00E026FB">
      <w:pPr>
        <w:pStyle w:val="InstructionsText2"/>
        <w:numPr>
          <w:ilvl w:val="0"/>
          <w:numId w:val="0"/>
        </w:numPr>
        <w:ind w:left="993"/>
      </w:pPr>
      <w:r>
        <w:t xml:space="preserve">102. U ovom obrascu prikupljaju se zajedničke informacije o tradicionalnim i sintetskim </w:t>
      </w:r>
      <w:proofErr w:type="spellStart"/>
      <w:r>
        <w:t>sekuritizacijama</w:t>
      </w:r>
      <w:proofErr w:type="spellEnd"/>
      <w:r>
        <w:t xml:space="preserve"> koje se drže u knjizi pozicija kojima se ne trguje </w:t>
      </w:r>
    </w:p>
    <w:p w14:paraId="0B0DD4A5"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rPr>
      </w:pPr>
      <w:bookmarkStart w:id="382" w:name="_Toc522019829"/>
      <w:bookmarkStart w:id="383" w:name="_Toc30677684"/>
      <w:r>
        <w:rPr>
          <w:rFonts w:ascii="Times New Roman" w:hAnsi="Times New Roman"/>
          <w:sz w:val="24"/>
          <w:u w:val="none"/>
        </w:rPr>
        <w:t>3.7.2.</w:t>
      </w:r>
      <w:r>
        <w:rPr>
          <w:rFonts w:ascii="Times New Roman" w:hAnsi="Times New Roman"/>
          <w:sz w:val="24"/>
          <w:u w:val="none"/>
        </w:rPr>
        <w:tab/>
      </w:r>
      <w:r>
        <w:rPr>
          <w:rFonts w:ascii="Times New Roman" w:hAnsi="Times New Roman"/>
          <w:sz w:val="24"/>
        </w:rPr>
        <w:t>Upute za specifične pozicije</w:t>
      </w:r>
      <w:bookmarkEnd w:id="382"/>
      <w:bookmarkEnd w:id="38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A30C4C" w14:paraId="739CBB50" w14:textId="77777777" w:rsidTr="00E10B85">
        <w:tc>
          <w:tcPr>
            <w:tcW w:w="9004" w:type="dxa"/>
            <w:gridSpan w:val="2"/>
            <w:shd w:val="clear" w:color="auto" w:fill="CCCCCC"/>
          </w:tcPr>
          <w:p w14:paraId="2CA37790" w14:textId="77777777" w:rsidR="00E026FB" w:rsidRPr="00A30C4C"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A30C4C"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14:paraId="154783E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192E1531" w14:textId="77777777" w:rsidTr="00E10B85">
        <w:tc>
          <w:tcPr>
            <w:tcW w:w="1568" w:type="dxa"/>
          </w:tcPr>
          <w:p w14:paraId="5ECAF04F"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14:paraId="2A71F778" w14:textId="77777777" w:rsidR="00E026FB" w:rsidRPr="00A30C4C" w:rsidRDefault="00E026FB" w:rsidP="00E10B85">
            <w:pPr>
              <w:spacing w:before="0" w:after="0"/>
              <w:jc w:val="left"/>
              <w:rPr>
                <w:rFonts w:ascii="Times New Roman" w:hAnsi="Times New Roman"/>
                <w:sz w:val="24"/>
              </w:rPr>
            </w:pPr>
            <w:r>
              <w:rPr>
                <w:rFonts w:ascii="Times New Roman" w:hAnsi="Times New Roman"/>
                <w:b/>
                <w:sz w:val="24"/>
                <w:u w:val="single"/>
              </w:rPr>
              <w:t>UKUPNI IZNOS INICIRANIH SEKURITIZIRANIH IZLOŽENOSTI</w:t>
            </w:r>
          </w:p>
          <w:p w14:paraId="712F783A" w14:textId="77777777" w:rsidR="00E026FB" w:rsidRPr="00A30C4C" w:rsidRDefault="00E026FB" w:rsidP="00E10B85">
            <w:pPr>
              <w:spacing w:before="0" w:after="0"/>
              <w:jc w:val="left"/>
              <w:rPr>
                <w:rFonts w:ascii="Times New Roman" w:hAnsi="Times New Roman"/>
                <w:sz w:val="24"/>
              </w:rPr>
            </w:pPr>
          </w:p>
          <w:p w14:paraId="45244DC5"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Institucije inicijatori iskazuju preostali iznos na izvještajni datum svih trenutačnih </w:t>
            </w:r>
            <w:proofErr w:type="spellStart"/>
            <w:r>
              <w:rPr>
                <w:rFonts w:ascii="Times New Roman" w:hAnsi="Times New Roman"/>
                <w:sz w:val="24"/>
              </w:rPr>
              <w:t>sekuritiziranih</w:t>
            </w:r>
            <w:proofErr w:type="spellEnd"/>
            <w:r>
              <w:rPr>
                <w:rFonts w:ascii="Times New Roman" w:hAnsi="Times New Roman"/>
                <w:sz w:val="24"/>
              </w:rPr>
              <w:t xml:space="preserve"> izloženosti iniciranih u </w:t>
            </w:r>
            <w:proofErr w:type="spellStart"/>
            <w:r>
              <w:rPr>
                <w:rFonts w:ascii="Times New Roman" w:hAnsi="Times New Roman"/>
                <w:sz w:val="24"/>
              </w:rPr>
              <w:t>sekuritizacijskoj</w:t>
            </w:r>
            <w:proofErr w:type="spellEnd"/>
            <w:r>
              <w:rPr>
                <w:rFonts w:ascii="Times New Roman" w:hAnsi="Times New Roman"/>
                <w:sz w:val="24"/>
              </w:rPr>
              <w:t xml:space="preserve"> transakciji, bez obzira na to tko drži pozicije. Kao takve, iskazuju se bilančne </w:t>
            </w:r>
            <w:proofErr w:type="spellStart"/>
            <w:r>
              <w:rPr>
                <w:rFonts w:ascii="Times New Roman" w:hAnsi="Times New Roman"/>
                <w:sz w:val="24"/>
              </w:rPr>
              <w:t>sekuritizacijske</w:t>
            </w:r>
            <w:proofErr w:type="spellEnd"/>
            <w:r>
              <w:rPr>
                <w:rFonts w:ascii="Times New Roman" w:hAnsi="Times New Roman"/>
                <w:sz w:val="24"/>
              </w:rPr>
              <w:t xml:space="preserve"> pozicije (npr. obveznice, podređeni krediti) te </w:t>
            </w:r>
            <w:proofErr w:type="spellStart"/>
            <w:r>
              <w:rPr>
                <w:rFonts w:ascii="Times New Roman" w:hAnsi="Times New Roman"/>
                <w:sz w:val="24"/>
              </w:rPr>
              <w:t>izvanbilančne</w:t>
            </w:r>
            <w:proofErr w:type="spellEnd"/>
            <w:r>
              <w:rPr>
                <w:rFonts w:ascii="Times New Roman" w:hAnsi="Times New Roman"/>
                <w:sz w:val="24"/>
              </w:rPr>
              <w:t xml:space="preserve"> </w:t>
            </w:r>
            <w:proofErr w:type="spellStart"/>
            <w:r>
              <w:rPr>
                <w:rFonts w:ascii="Times New Roman" w:hAnsi="Times New Roman"/>
                <w:sz w:val="24"/>
              </w:rPr>
              <w:t>sekuritizacijske</w:t>
            </w:r>
            <w:proofErr w:type="spellEnd"/>
            <w:r>
              <w:rPr>
                <w:rFonts w:ascii="Times New Roman" w:hAnsi="Times New Roman"/>
                <w:sz w:val="24"/>
              </w:rPr>
              <w:t xml:space="preserve"> pozicije i izvedenice (npr. podređene kreditne linije, </w:t>
            </w:r>
            <w:proofErr w:type="spellStart"/>
            <w:r>
              <w:rPr>
                <w:rFonts w:ascii="Times New Roman" w:hAnsi="Times New Roman"/>
                <w:sz w:val="24"/>
              </w:rPr>
              <w:t>likvidnosne</w:t>
            </w:r>
            <w:proofErr w:type="spellEnd"/>
            <w:r>
              <w:rPr>
                <w:rFonts w:ascii="Times New Roman" w:hAnsi="Times New Roman"/>
                <w:sz w:val="24"/>
              </w:rPr>
              <w:t xml:space="preserve"> linije, kamatni ugovori o razmjeni, ugovori o razmjeni na osnovi nastanka statusa neispunjavanja obveza itd.) koje su inicirane u </w:t>
            </w:r>
            <w:proofErr w:type="spellStart"/>
            <w:r>
              <w:rPr>
                <w:rFonts w:ascii="Times New Roman" w:hAnsi="Times New Roman"/>
                <w:sz w:val="24"/>
              </w:rPr>
              <w:t>sekuritizaciji</w:t>
            </w:r>
            <w:proofErr w:type="spellEnd"/>
            <w:r>
              <w:rPr>
                <w:rFonts w:ascii="Times New Roman" w:hAnsi="Times New Roman"/>
                <w:sz w:val="24"/>
              </w:rPr>
              <w:t xml:space="preserve">. </w:t>
            </w:r>
          </w:p>
          <w:p w14:paraId="1CC84C6B" w14:textId="77777777" w:rsidR="00E026FB" w:rsidRPr="00A30C4C" w:rsidRDefault="00E026FB" w:rsidP="00E10B85">
            <w:pPr>
              <w:autoSpaceDE w:val="0"/>
              <w:autoSpaceDN w:val="0"/>
              <w:adjustRightInd w:val="0"/>
              <w:spacing w:before="0" w:after="0"/>
              <w:rPr>
                <w:rFonts w:ascii="Times New Roman" w:hAnsi="Times New Roman"/>
                <w:sz w:val="24"/>
              </w:rPr>
            </w:pPr>
          </w:p>
          <w:p w14:paraId="4B287425" w14:textId="27181E3B"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slučaju tradicionalnih </w:t>
            </w:r>
            <w:proofErr w:type="spellStart"/>
            <w:r>
              <w:rPr>
                <w:rFonts w:ascii="Times New Roman" w:hAnsi="Times New Roman"/>
                <w:sz w:val="24"/>
              </w:rPr>
              <w:t>sekuritizacija</w:t>
            </w:r>
            <w:proofErr w:type="spellEnd"/>
            <w:r>
              <w:rPr>
                <w:rFonts w:ascii="Times New Roman" w:hAnsi="Times New Roman"/>
                <w:sz w:val="24"/>
              </w:rPr>
              <w:t xml:space="preserve"> kada inicijator ne drži nijednu poziciju, inicijator ne uzima u obzir tu </w:t>
            </w:r>
            <w:proofErr w:type="spellStart"/>
            <w:r>
              <w:rPr>
                <w:rFonts w:ascii="Times New Roman" w:hAnsi="Times New Roman"/>
                <w:sz w:val="24"/>
              </w:rPr>
              <w:t>sekuritizaciju</w:t>
            </w:r>
            <w:proofErr w:type="spellEnd"/>
            <w:r>
              <w:rPr>
                <w:rFonts w:ascii="Times New Roman" w:hAnsi="Times New Roman"/>
                <w:sz w:val="24"/>
              </w:rPr>
              <w:t xml:space="preserve"> u izvješćivanju u ovom obrascu. U tu svrhu </w:t>
            </w:r>
            <w:proofErr w:type="spellStart"/>
            <w:r>
              <w:rPr>
                <w:rFonts w:ascii="Times New Roman" w:hAnsi="Times New Roman"/>
                <w:sz w:val="24"/>
              </w:rPr>
              <w:t>sekuritizacijske</w:t>
            </w:r>
            <w:proofErr w:type="spellEnd"/>
            <w:r>
              <w:rPr>
                <w:rFonts w:ascii="Times New Roman" w:hAnsi="Times New Roman"/>
                <w:sz w:val="24"/>
              </w:rPr>
              <w:t xml:space="preserve"> pozicije koje drži inicijator uključuju odredbe o prijevremenoj isplati pri </w:t>
            </w:r>
            <w:proofErr w:type="spellStart"/>
            <w:r>
              <w:rPr>
                <w:rFonts w:ascii="Times New Roman" w:hAnsi="Times New Roman"/>
                <w:sz w:val="24"/>
              </w:rPr>
              <w:t>sekuritizaciji</w:t>
            </w:r>
            <w:proofErr w:type="spellEnd"/>
            <w:r>
              <w:rPr>
                <w:rFonts w:ascii="Times New Roman" w:hAnsi="Times New Roman"/>
                <w:sz w:val="24"/>
              </w:rPr>
              <w:t xml:space="preserve"> obnovljivih izloženosti, kako su definirane u članku 242. stavku 16. CRR-a.</w:t>
            </w:r>
          </w:p>
          <w:p w14:paraId="69FC9006"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4D946982" w14:textId="77777777" w:rsidTr="00E10B85">
        <w:tc>
          <w:tcPr>
            <w:tcW w:w="1568" w:type="dxa"/>
          </w:tcPr>
          <w:p w14:paraId="17EFB89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14:paraId="62885C41"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SINTETSKE SEKURITIZACIJE: KREDITNA ZAŠTITA SEKURITIZIRANIH IZLOŽENOSTI</w:t>
            </w:r>
          </w:p>
          <w:p w14:paraId="244811B1" w14:textId="77777777" w:rsidR="00E026FB" w:rsidRPr="00A30C4C" w:rsidRDefault="00E026FB" w:rsidP="00E10B85">
            <w:pPr>
              <w:spacing w:before="0" w:after="0"/>
              <w:jc w:val="left"/>
              <w:rPr>
                <w:rFonts w:ascii="Times New Roman" w:hAnsi="Times New Roman"/>
                <w:sz w:val="24"/>
              </w:rPr>
            </w:pPr>
          </w:p>
          <w:p w14:paraId="7BDB723D" w14:textId="634C7E2B" w:rsidR="00E026FB" w:rsidRPr="00A30C4C" w:rsidRDefault="00E026FB" w:rsidP="00E10B85">
            <w:pPr>
              <w:spacing w:before="0" w:after="0"/>
              <w:rPr>
                <w:rFonts w:ascii="Times New Roman" w:hAnsi="Times New Roman"/>
                <w:sz w:val="24"/>
              </w:rPr>
            </w:pPr>
            <w:r>
              <w:rPr>
                <w:rFonts w:ascii="Times New Roman" w:hAnsi="Times New Roman"/>
                <w:sz w:val="24"/>
              </w:rPr>
              <w:t xml:space="preserve">Članci 251. i 252. CRR-a </w:t>
            </w:r>
          </w:p>
          <w:p w14:paraId="2CBA7E2E" w14:textId="77777777" w:rsidR="00E026FB" w:rsidRPr="00A30C4C" w:rsidRDefault="00E026FB" w:rsidP="00E10B85">
            <w:pPr>
              <w:spacing w:before="0" w:after="0"/>
              <w:rPr>
                <w:rFonts w:ascii="Times New Roman" w:hAnsi="Times New Roman"/>
                <w:sz w:val="24"/>
              </w:rPr>
            </w:pPr>
          </w:p>
          <w:p w14:paraId="09877378" w14:textId="77777777" w:rsidR="00E026FB" w:rsidRPr="00A30C4C" w:rsidRDefault="00E026FB" w:rsidP="00E10B85">
            <w:pPr>
              <w:spacing w:before="0" w:after="0"/>
              <w:rPr>
                <w:rFonts w:ascii="Times New Roman" w:hAnsi="Times New Roman"/>
                <w:sz w:val="24"/>
              </w:rPr>
            </w:pPr>
            <w:r>
              <w:rPr>
                <w:rFonts w:ascii="Times New Roman" w:hAnsi="Times New Roman"/>
                <w:sz w:val="24"/>
              </w:rPr>
              <w:t xml:space="preserve">Ročne neusklađenosti ne uzimaju se u obzir u prilagođenoj vrijednosti tehnika smanjenja kreditnog rizika uključenih u strukturu </w:t>
            </w:r>
            <w:proofErr w:type="spellStart"/>
            <w:r>
              <w:rPr>
                <w:rFonts w:ascii="Times New Roman" w:hAnsi="Times New Roman"/>
                <w:sz w:val="24"/>
              </w:rPr>
              <w:t>sekuritizacije</w:t>
            </w:r>
            <w:proofErr w:type="spellEnd"/>
            <w:r>
              <w:rPr>
                <w:rFonts w:ascii="Times New Roman" w:hAnsi="Times New Roman"/>
                <w:sz w:val="24"/>
              </w:rPr>
              <w:t xml:space="preserve">. </w:t>
            </w:r>
          </w:p>
          <w:p w14:paraId="2C658462" w14:textId="77777777" w:rsidR="00E026FB" w:rsidRPr="00A30C4C" w:rsidRDefault="00E026FB" w:rsidP="00E10B85">
            <w:pPr>
              <w:spacing w:before="0" w:after="0"/>
              <w:rPr>
                <w:rFonts w:ascii="Times New Roman" w:hAnsi="Times New Roman"/>
                <w:bCs/>
                <w:sz w:val="24"/>
                <w:lang w:eastAsia="nl-BE"/>
              </w:rPr>
            </w:pPr>
          </w:p>
        </w:tc>
      </w:tr>
      <w:tr w:rsidR="00E026FB" w:rsidRPr="00A30C4C" w14:paraId="39646F32" w14:textId="77777777" w:rsidTr="00E10B85">
        <w:tc>
          <w:tcPr>
            <w:tcW w:w="1568" w:type="dxa"/>
          </w:tcPr>
          <w:p w14:paraId="51A08C1F"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14:paraId="172C70AF" w14:textId="77777777" w:rsidR="00E026FB" w:rsidRPr="00A30C4C"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MATERIJALNA KREDITNA ZAŠTITA (C</w:t>
            </w:r>
            <w:r>
              <w:rPr>
                <w:rFonts w:ascii="Times New Roman" w:hAnsi="Times New Roman"/>
                <w:b/>
                <w:sz w:val="24"/>
                <w:u w:val="single"/>
                <w:vertAlign w:val="subscript"/>
              </w:rPr>
              <w:t>VA</w:t>
            </w:r>
            <w:r>
              <w:rPr>
                <w:rFonts w:ascii="Times New Roman" w:hAnsi="Times New Roman"/>
                <w:b/>
                <w:sz w:val="24"/>
                <w:u w:val="single"/>
              </w:rPr>
              <w:t xml:space="preserve">) </w:t>
            </w:r>
          </w:p>
          <w:p w14:paraId="1EEBA0E0" w14:textId="77777777" w:rsidR="00E026FB" w:rsidRPr="00A30C4C" w:rsidRDefault="00E026FB" w:rsidP="00E10B85">
            <w:pPr>
              <w:spacing w:before="0" w:after="0"/>
              <w:jc w:val="left"/>
              <w:rPr>
                <w:rFonts w:ascii="Times New Roman" w:hAnsi="Times New Roman"/>
                <w:sz w:val="24"/>
                <w:lang w:eastAsia="es-ES_tradnl"/>
              </w:rPr>
            </w:pPr>
          </w:p>
          <w:p w14:paraId="508766CC" w14:textId="45BB6F76"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Detaljan postupak izračuna vrijednosti kolaterala korigirane korektivnim faktorom (C</w:t>
            </w:r>
            <w:r>
              <w:rPr>
                <w:rFonts w:ascii="Times New Roman" w:hAnsi="Times New Roman"/>
                <w:sz w:val="24"/>
                <w:vertAlign w:val="subscript"/>
              </w:rPr>
              <w:t>VA</w:t>
            </w:r>
            <w:r>
              <w:rPr>
                <w:rFonts w:ascii="Times New Roman" w:hAnsi="Times New Roman"/>
                <w:sz w:val="24"/>
              </w:rPr>
              <w:t>) koja se iskazuje u ovom stupcu utvrđen je u članku 223. stavku 2. CRR-a.</w:t>
            </w:r>
          </w:p>
          <w:p w14:paraId="757F8D80"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D3E24DA" w14:textId="77777777" w:rsidTr="00E10B85">
        <w:tc>
          <w:tcPr>
            <w:tcW w:w="1568" w:type="dxa"/>
          </w:tcPr>
          <w:p w14:paraId="5D0AA934"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14:paraId="7D0A1A23" w14:textId="77777777" w:rsidR="00E026FB" w:rsidRPr="006B2333"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UKUPNI ODLJEVI: PRILAGOĐENE VRIJEDNOSTI NEMATERIJALNE KREDITNE ZAŠTITE (G*) </w:t>
            </w:r>
          </w:p>
          <w:p w14:paraId="0799A049" w14:textId="77777777" w:rsidR="00E026FB" w:rsidRPr="006B2333" w:rsidRDefault="00E026FB" w:rsidP="00E10B85">
            <w:pPr>
              <w:spacing w:before="0" w:after="0"/>
              <w:jc w:val="left"/>
              <w:rPr>
                <w:rFonts w:ascii="Times New Roman" w:hAnsi="Times New Roman"/>
                <w:sz w:val="24"/>
                <w:lang w:eastAsia="es-ES_tradnl"/>
              </w:rPr>
            </w:pPr>
          </w:p>
          <w:p w14:paraId="2BA6D5D4" w14:textId="641DDB26" w:rsidR="00E026FB" w:rsidRPr="0002267E" w:rsidRDefault="00E026FB" w:rsidP="00E10B85">
            <w:pPr>
              <w:spacing w:before="0" w:after="0"/>
              <w:rPr>
                <w:rFonts w:ascii="Times New Roman" w:hAnsi="Times New Roman"/>
                <w:sz w:val="24"/>
              </w:rPr>
            </w:pPr>
            <w:r>
              <w:rPr>
                <w:rFonts w:ascii="Times New Roman" w:hAnsi="Times New Roman"/>
                <w:sz w:val="24"/>
              </w:rPr>
              <w:t>U skladu s općim pravilom za „priljeve” i „odljeve”, iznosi koji se iskazuju u ovom stupcu pojavljuju se kao „priljevi” u odgovarajućem obrascu za kreditni rizik (CR SA ili CR IRB) i kategoriji izloženosti kojoj subjekt koji izvješćuje dodijeli pružatelja zaštite (tj. treću stranu kojoj se tranša prenosi nematerijalnom kreditnom zaštitom).</w:t>
            </w:r>
          </w:p>
          <w:p w14:paraId="3A660088" w14:textId="77777777" w:rsidR="00E026FB" w:rsidRPr="006B2333" w:rsidRDefault="00E026FB" w:rsidP="00E10B85">
            <w:pPr>
              <w:spacing w:before="0" w:after="0"/>
              <w:jc w:val="left"/>
              <w:rPr>
                <w:rFonts w:ascii="Times New Roman" w:hAnsi="Times New Roman"/>
                <w:sz w:val="24"/>
                <w:lang w:eastAsia="es-ES_tradnl"/>
              </w:rPr>
            </w:pPr>
          </w:p>
          <w:p w14:paraId="762F2510" w14:textId="4166C6C8"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Postupak izračuna „valutnog rizika” – prilagođenog nominalnog iznosa kreditne zaštite (G*) utvrđen je u članku 233. stavku 3. CRR-a.</w:t>
            </w:r>
          </w:p>
          <w:p w14:paraId="09ADD7D8" w14:textId="77777777" w:rsidR="00E026FB" w:rsidRPr="00A30C4C"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A30C4C" w14:paraId="352BC6C4" w14:textId="77777777" w:rsidTr="00E10B85">
        <w:tc>
          <w:tcPr>
            <w:tcW w:w="1568" w:type="dxa"/>
          </w:tcPr>
          <w:p w14:paraId="04189F8F"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14:paraId="3FADD4D7"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ZAMIŠLJENI ZADRŽANI ILI PONOVNO KUPLJENI IZNOS KREDITNE ZAŠTITE</w:t>
            </w:r>
          </w:p>
          <w:p w14:paraId="0ACB162C" w14:textId="77777777" w:rsidR="00E026FB" w:rsidRPr="00A30C4C" w:rsidRDefault="00E026FB" w:rsidP="00E10B85">
            <w:pPr>
              <w:spacing w:before="0" w:after="0"/>
              <w:jc w:val="left"/>
              <w:rPr>
                <w:rFonts w:ascii="Times New Roman" w:hAnsi="Times New Roman"/>
                <w:sz w:val="24"/>
                <w:lang w:eastAsia="es-ES_tradnl"/>
              </w:rPr>
            </w:pPr>
          </w:p>
          <w:p w14:paraId="2C1E5633"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Sve tranše koje su zadržane ili ponovno kupljene, npr. zadržane pozicije prvoga gubitka iskazuju se sa svojim nominalnim iznosom.</w:t>
            </w:r>
          </w:p>
          <w:p w14:paraId="22DDAF8E"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Učinak nadzornih korektivnih faktora u kreditnoj zaštiti ne uzima se u obzir pri izračunu zadržanog ili ponovno kupljenog iznosa kreditne zaštite.</w:t>
            </w:r>
          </w:p>
          <w:p w14:paraId="21181D6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5DCAA2E7" w14:textId="77777777" w:rsidTr="00E10B85">
        <w:tc>
          <w:tcPr>
            <w:tcW w:w="1568" w:type="dxa"/>
          </w:tcPr>
          <w:p w14:paraId="6B750D5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14:paraId="048DAF08" w14:textId="1EE4AB11"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xml:space="preserve">SEKURITIZACIJSKE POZICIJE: ORIGINALNA IZLOŽENOST PRIJE KONVERZIJSKIH FAKTORA </w:t>
            </w:r>
          </w:p>
          <w:p w14:paraId="4A807316" w14:textId="77777777" w:rsidR="00E026FB" w:rsidRPr="00A30C4C" w:rsidRDefault="00E026FB" w:rsidP="00E10B85">
            <w:pPr>
              <w:spacing w:before="0" w:after="0"/>
              <w:jc w:val="left"/>
              <w:rPr>
                <w:rFonts w:ascii="Times New Roman" w:hAnsi="Times New Roman"/>
                <w:sz w:val="24"/>
              </w:rPr>
            </w:pPr>
          </w:p>
          <w:p w14:paraId="3CCC0123" w14:textId="5791CA0B" w:rsidR="001263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Ovaj stupac uključuje vrijednosti izloženosti </w:t>
            </w:r>
            <w:proofErr w:type="spellStart"/>
            <w:r>
              <w:rPr>
                <w:rFonts w:ascii="Times New Roman" w:hAnsi="Times New Roman"/>
                <w:sz w:val="24"/>
              </w:rPr>
              <w:t>sekuritizacijskih</w:t>
            </w:r>
            <w:proofErr w:type="spellEnd"/>
            <w:r>
              <w:rPr>
                <w:rFonts w:ascii="Times New Roman" w:hAnsi="Times New Roman"/>
                <w:sz w:val="24"/>
              </w:rPr>
              <w:t xml:space="preserve"> pozicija koje drži institucija koja izvješćuje, izračunane u skladu s člankom 248. stavcima 1. i 2. CRR-a, bez primjene kreditnih konverzijskih faktora, ne uzimajući u obzir ispravke vrijednosti za kreditni rizik i rezervacije, i nepovratne diskonte kupovne cijene za </w:t>
            </w:r>
            <w:proofErr w:type="spellStart"/>
            <w:r>
              <w:rPr>
                <w:rFonts w:ascii="Times New Roman" w:hAnsi="Times New Roman"/>
                <w:sz w:val="24"/>
              </w:rPr>
              <w:t>sekuritizirane</w:t>
            </w:r>
            <w:proofErr w:type="spellEnd"/>
            <w:r>
              <w:rPr>
                <w:rFonts w:ascii="Times New Roman" w:hAnsi="Times New Roman"/>
                <w:sz w:val="24"/>
              </w:rPr>
              <w:t xml:space="preserve"> izloženosti iz članka 248. stavka 1. točke (d) i ne uzimajući u obzir ispravke vrijednosti i rezervacije za </w:t>
            </w:r>
            <w:proofErr w:type="spellStart"/>
            <w:r>
              <w:rPr>
                <w:rFonts w:ascii="Times New Roman" w:hAnsi="Times New Roman"/>
                <w:sz w:val="24"/>
              </w:rPr>
              <w:t>sekuritizacijsku</w:t>
            </w:r>
            <w:proofErr w:type="spellEnd"/>
            <w:r>
              <w:rPr>
                <w:rFonts w:ascii="Times New Roman" w:hAnsi="Times New Roman"/>
                <w:sz w:val="24"/>
              </w:rPr>
              <w:t xml:space="preserve"> poziciju.</w:t>
            </w:r>
          </w:p>
          <w:p w14:paraId="79547600" w14:textId="2EF32B47" w:rsidR="00A16FFF"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A30C4C"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Netiranje</w:t>
            </w:r>
            <w:proofErr w:type="spellEnd"/>
            <w:r>
              <w:rPr>
                <w:rFonts w:ascii="Times New Roman" w:hAnsi="Times New Roman"/>
                <w:sz w:val="24"/>
              </w:rPr>
              <w:t xml:space="preserve"> je relevantno samo u pogledu višestrukih ugovora o izvedenicama ponuđenih istom SSPN-u, uključenih u priznati sporazum o </w:t>
            </w:r>
            <w:proofErr w:type="spellStart"/>
            <w:r>
              <w:rPr>
                <w:rFonts w:ascii="Times New Roman" w:hAnsi="Times New Roman"/>
                <w:sz w:val="24"/>
              </w:rPr>
              <w:t>netiranju</w:t>
            </w:r>
            <w:proofErr w:type="spellEnd"/>
            <w:r>
              <w:rPr>
                <w:rFonts w:ascii="Times New Roman" w:hAnsi="Times New Roman"/>
                <w:sz w:val="24"/>
              </w:rPr>
              <w:t xml:space="preserve">. </w:t>
            </w:r>
          </w:p>
          <w:p w14:paraId="04872AB7"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sintetskim </w:t>
            </w:r>
            <w:proofErr w:type="spellStart"/>
            <w:r>
              <w:rPr>
                <w:rFonts w:ascii="Times New Roman" w:hAnsi="Times New Roman"/>
                <w:sz w:val="24"/>
              </w:rPr>
              <w:t>sekuritizacijama</w:t>
            </w:r>
            <w:proofErr w:type="spellEnd"/>
            <w:r>
              <w:rPr>
                <w:rFonts w:ascii="Times New Roman" w:hAnsi="Times New Roman"/>
                <w:sz w:val="24"/>
              </w:rPr>
              <w:t xml:space="preserve"> pozicije koje drži inicijator u obliku bilančnih stavki i/ili udjela </w:t>
            </w:r>
            <w:proofErr w:type="spellStart"/>
            <w:r>
              <w:rPr>
                <w:rFonts w:ascii="Times New Roman" w:hAnsi="Times New Roman"/>
                <w:sz w:val="24"/>
              </w:rPr>
              <w:t>ulagatelja</w:t>
            </w:r>
            <w:proofErr w:type="spellEnd"/>
            <w:r>
              <w:rPr>
                <w:rFonts w:ascii="Times New Roman" w:hAnsi="Times New Roman"/>
                <w:sz w:val="24"/>
              </w:rPr>
              <w:t xml:space="preserve"> rezultat su agregiranja stupaca od 0010 do 0040.</w:t>
            </w:r>
          </w:p>
          <w:p w14:paraId="1A1975D8"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03FDE2C8" w14:textId="77777777" w:rsidTr="00E10B85">
        <w:tc>
          <w:tcPr>
            <w:tcW w:w="1568" w:type="dxa"/>
          </w:tcPr>
          <w:p w14:paraId="41D8640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14:paraId="2582B198"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VRIJEDNOSNA USKLAĐENJA I REZERVACIJE </w:t>
            </w:r>
          </w:p>
          <w:p w14:paraId="21E3E585" w14:textId="77777777" w:rsidR="00E026FB" w:rsidRPr="00A30C4C"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Članak 248. CRR-a Vrijednosna usklađenja i rezervacije koje je potrebno iskazati u ovom stupcu odnose se samo na </w:t>
            </w:r>
            <w:proofErr w:type="spellStart"/>
            <w:r>
              <w:rPr>
                <w:rFonts w:ascii="Times New Roman" w:hAnsi="Times New Roman"/>
                <w:sz w:val="24"/>
              </w:rPr>
              <w:t>sekuritizacijske</w:t>
            </w:r>
            <w:proofErr w:type="spellEnd"/>
            <w:r>
              <w:rPr>
                <w:rFonts w:ascii="Times New Roman" w:hAnsi="Times New Roman"/>
                <w:sz w:val="24"/>
              </w:rPr>
              <w:t xml:space="preserve"> pozicije. Vrijednosna usklađenja </w:t>
            </w:r>
            <w:proofErr w:type="spellStart"/>
            <w:r>
              <w:rPr>
                <w:rFonts w:ascii="Times New Roman" w:hAnsi="Times New Roman"/>
                <w:sz w:val="24"/>
              </w:rPr>
              <w:t>sekuritiziranih</w:t>
            </w:r>
            <w:proofErr w:type="spellEnd"/>
            <w:r>
              <w:rPr>
                <w:rFonts w:ascii="Times New Roman" w:hAnsi="Times New Roman"/>
                <w:sz w:val="24"/>
              </w:rPr>
              <w:t xml:space="preserve"> izloženosti ne uzimaju se u obzir.</w:t>
            </w:r>
          </w:p>
          <w:p w14:paraId="0561621F"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230FB5A4" w14:textId="77777777" w:rsidTr="00E10B85">
        <w:tc>
          <w:tcPr>
            <w:tcW w:w="1568" w:type="dxa"/>
          </w:tcPr>
          <w:p w14:paraId="3DF1C9E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14:paraId="7FDA918E"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IZLOŽENOST UMANJENA ZA VRIJEDNOSNA USKLAĐENJA I REZERVACIJE</w:t>
            </w:r>
          </w:p>
          <w:p w14:paraId="7F0EE619" w14:textId="77777777" w:rsidR="00E026FB" w:rsidRPr="00A30C4C" w:rsidRDefault="00E026FB" w:rsidP="00E10B85">
            <w:pPr>
              <w:spacing w:before="0" w:after="0"/>
              <w:jc w:val="left"/>
              <w:rPr>
                <w:rFonts w:ascii="Times New Roman" w:hAnsi="Times New Roman"/>
                <w:sz w:val="24"/>
                <w:lang w:eastAsia="es-ES_tradnl"/>
              </w:rPr>
            </w:pPr>
          </w:p>
          <w:p w14:paraId="799E5479" w14:textId="12CB41D9" w:rsidR="00E026FB" w:rsidRPr="00A30C4C"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Ovaj stupac uključuje vrijednosti izloženosti </w:t>
            </w:r>
            <w:proofErr w:type="spellStart"/>
            <w:r>
              <w:rPr>
                <w:rFonts w:ascii="Times New Roman" w:hAnsi="Times New Roman"/>
                <w:sz w:val="24"/>
              </w:rPr>
              <w:t>sekuritizacijskih</w:t>
            </w:r>
            <w:proofErr w:type="spellEnd"/>
            <w:r>
              <w:rPr>
                <w:rFonts w:ascii="Times New Roman" w:hAnsi="Times New Roman"/>
                <w:sz w:val="24"/>
              </w:rPr>
              <w:t xml:space="preserve"> pozicija izračunane u skladu s člankom 248. stavcima 1. i 2. CRR-a, umanjene za vrijednosna usklađenja i rezervacije, bez primjene konverzijskih faktora i ne uzimajući u obzir nepovratne diskonte kupovne cijene </w:t>
            </w:r>
            <w:proofErr w:type="spellStart"/>
            <w:r>
              <w:rPr>
                <w:rFonts w:ascii="Times New Roman" w:hAnsi="Times New Roman"/>
                <w:sz w:val="24"/>
              </w:rPr>
              <w:t>sekuritiziranih</w:t>
            </w:r>
            <w:proofErr w:type="spellEnd"/>
            <w:r>
              <w:rPr>
                <w:rFonts w:ascii="Times New Roman" w:hAnsi="Times New Roman"/>
                <w:sz w:val="24"/>
              </w:rPr>
              <w:t xml:space="preserve"> izloženosti iz članka 248. stavka 1. točke (d) CRR-a i umanjene za vrijednosna usklađenja i rezervacije za </w:t>
            </w:r>
            <w:proofErr w:type="spellStart"/>
            <w:r>
              <w:rPr>
                <w:rFonts w:ascii="Times New Roman" w:hAnsi="Times New Roman"/>
                <w:sz w:val="24"/>
              </w:rPr>
              <w:t>sekuritizacijsku</w:t>
            </w:r>
            <w:proofErr w:type="spellEnd"/>
            <w:r>
              <w:rPr>
                <w:rFonts w:ascii="Times New Roman" w:hAnsi="Times New Roman"/>
                <w:sz w:val="24"/>
              </w:rPr>
              <w:t xml:space="preserve"> poziciju.</w:t>
            </w:r>
          </w:p>
          <w:p w14:paraId="4A1BAEDA"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C818E24" w14:textId="77777777" w:rsidTr="00E10B85">
        <w:tc>
          <w:tcPr>
            <w:tcW w:w="1568" w:type="dxa"/>
          </w:tcPr>
          <w:p w14:paraId="2CB8234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0080-0110</w:t>
            </w:r>
          </w:p>
        </w:tc>
        <w:tc>
          <w:tcPr>
            <w:tcW w:w="7436" w:type="dxa"/>
          </w:tcPr>
          <w:p w14:paraId="2F2D43D0"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TEHNIKE SMANJENJA KREDITNOG RIZIKA S UČINCIMA ZAMJENE NA IZLOŽENOST</w:t>
            </w:r>
          </w:p>
          <w:p w14:paraId="768F5C2C" w14:textId="77777777" w:rsidR="00E026FB" w:rsidRPr="00A30C4C" w:rsidRDefault="00E026FB" w:rsidP="00E10B85">
            <w:pPr>
              <w:spacing w:before="0" w:after="0"/>
              <w:jc w:val="left"/>
              <w:rPr>
                <w:rFonts w:ascii="Times New Roman" w:hAnsi="Times New Roman"/>
                <w:sz w:val="24"/>
                <w:lang w:eastAsia="es-ES_tradnl"/>
              </w:rPr>
            </w:pPr>
          </w:p>
          <w:p w14:paraId="74D00D7A" w14:textId="6656912B" w:rsidR="00E026FB" w:rsidRPr="00A30C4C" w:rsidRDefault="00A16FFF" w:rsidP="00E10B85">
            <w:pPr>
              <w:spacing w:before="0" w:after="0"/>
              <w:rPr>
                <w:rFonts w:ascii="Times New Roman" w:hAnsi="Times New Roman"/>
                <w:sz w:val="24"/>
              </w:rPr>
            </w:pPr>
            <w:r>
              <w:rPr>
                <w:rFonts w:ascii="Times New Roman" w:hAnsi="Times New Roman"/>
                <w:sz w:val="24"/>
              </w:rPr>
              <w:t>Članak 4. stavak 1. točka 57. CRR-a, dio treći glava II: poglavlje 4. CRR-a i članak 249. CRR-a</w:t>
            </w:r>
          </w:p>
          <w:p w14:paraId="6CA1E725" w14:textId="77777777" w:rsidR="00E026FB" w:rsidRPr="00A30C4C" w:rsidRDefault="00E026FB" w:rsidP="00E10B85">
            <w:pPr>
              <w:spacing w:before="0" w:after="0"/>
              <w:rPr>
                <w:rFonts w:ascii="Times New Roman" w:hAnsi="Times New Roman"/>
                <w:sz w:val="24"/>
                <w:lang w:eastAsia="es-ES_tradnl"/>
              </w:rPr>
            </w:pPr>
          </w:p>
          <w:p w14:paraId="1A2D70F4" w14:textId="77777777" w:rsidR="00E026FB" w:rsidRPr="00A30C4C" w:rsidRDefault="007A00D6" w:rsidP="00E10B85">
            <w:pPr>
              <w:spacing w:before="0" w:after="0"/>
              <w:rPr>
                <w:rFonts w:ascii="Times New Roman" w:hAnsi="Times New Roman"/>
                <w:sz w:val="24"/>
              </w:rPr>
            </w:pPr>
            <w:r>
              <w:rPr>
                <w:rFonts w:ascii="Times New Roman" w:hAnsi="Times New Roman"/>
                <w:sz w:val="24"/>
              </w:rPr>
              <w:t>Institucije u ovim stupcima iskazuju informacije o tehnikama smanjenja kreditnog rizika kojima se smanjuje krediti rizik izloženosti zamjenom izloženosti (kako je navedeno u nastavku za priljeve i odljeve).</w:t>
            </w:r>
          </w:p>
          <w:p w14:paraId="5C52F384" w14:textId="77777777" w:rsidR="00E026FB" w:rsidRPr="00A30C4C" w:rsidRDefault="00E026FB" w:rsidP="00E10B85">
            <w:pPr>
              <w:spacing w:before="0" w:after="0"/>
              <w:rPr>
                <w:rFonts w:ascii="Times New Roman" w:hAnsi="Times New Roman"/>
                <w:sz w:val="24"/>
                <w:lang w:eastAsia="es-ES_tradnl"/>
              </w:rPr>
            </w:pPr>
          </w:p>
          <w:p w14:paraId="7554F59A" w14:textId="42839ECE" w:rsidR="00E026FB" w:rsidRPr="00A30C4C" w:rsidRDefault="00D021AF" w:rsidP="00E10B85">
            <w:pPr>
              <w:pStyle w:val="InstructionsText"/>
            </w:pPr>
            <w:r>
              <w:t>Kolateralu koji utječe na vrijednost izloženosti (npr. ako se koristi za tehnike smanjenja kreditnog rizika s učincima zamjene na izloženost) gornja granica određuje se na razini vrijednosti izloženosti.</w:t>
            </w:r>
          </w:p>
          <w:p w14:paraId="575F0F4D" w14:textId="77777777" w:rsidR="00E026FB" w:rsidRPr="00A30C4C" w:rsidRDefault="00E026FB" w:rsidP="00E10B85">
            <w:pPr>
              <w:pStyle w:val="InstructionsText"/>
            </w:pPr>
            <w:r>
              <w:t>Stavke koje je ovdje potrebno iskazati:</w:t>
            </w:r>
          </w:p>
          <w:p w14:paraId="74DAEEA3" w14:textId="4E700FC4" w:rsidR="00E026FB" w:rsidRPr="00A30C4C" w:rsidRDefault="00E026FB" w:rsidP="00126395">
            <w:pPr>
              <w:pStyle w:val="ListParagraph"/>
              <w:numPr>
                <w:ilvl w:val="0"/>
                <w:numId w:val="37"/>
              </w:numPr>
              <w:tabs>
                <w:tab w:val="num" w:pos="360"/>
              </w:tabs>
              <w:spacing w:before="0" w:after="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uključen u skladu s člankom 222. CRR-a (jednostavnom metodom financijskog kolaterala);</w:t>
            </w:r>
          </w:p>
          <w:p w14:paraId="0E01D21D" w14:textId="77777777" w:rsidR="00E026FB" w:rsidRPr="00A30C4C" w:rsidRDefault="00E026FB" w:rsidP="00126395">
            <w:pPr>
              <w:pStyle w:val="ListParagraph"/>
              <w:numPr>
                <w:ilvl w:val="0"/>
                <w:numId w:val="37"/>
              </w:numPr>
              <w:tabs>
                <w:tab w:val="num" w:pos="360"/>
              </w:tabs>
              <w:spacing w:before="0" w:after="0"/>
              <w:rPr>
                <w:rFonts w:ascii="Times New Roman" w:hAnsi="Times New Roman"/>
                <w:sz w:val="24"/>
              </w:rPr>
            </w:pPr>
            <w:r>
              <w:rPr>
                <w:rFonts w:ascii="Times New Roman" w:hAnsi="Times New Roman"/>
                <w:sz w:val="24"/>
              </w:rPr>
              <w:t>priznata nematerijalna kreditna zaštita.</w:t>
            </w:r>
          </w:p>
          <w:p w14:paraId="76E64F6A" w14:textId="77777777" w:rsidR="00E026FB" w:rsidRPr="00A30C4C" w:rsidRDefault="00E026FB" w:rsidP="00E10B85">
            <w:pPr>
              <w:spacing w:before="0" w:after="0"/>
              <w:rPr>
                <w:rFonts w:ascii="Times New Roman" w:hAnsi="Times New Roman"/>
                <w:b/>
                <w:sz w:val="24"/>
                <w:u w:val="single"/>
              </w:rPr>
            </w:pPr>
          </w:p>
        </w:tc>
      </w:tr>
      <w:tr w:rsidR="00E026FB" w:rsidRPr="00A30C4C" w14:paraId="795C8CE5" w14:textId="77777777" w:rsidTr="00E10B85">
        <w:tc>
          <w:tcPr>
            <w:tcW w:w="1568" w:type="dxa"/>
          </w:tcPr>
          <w:p w14:paraId="1136E60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14:paraId="02226FA3"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NEMATERIJALNA KREDITNA ZAŠTITA: PRILAGOĐENE VRIJEDNOSTI (G</w:t>
            </w:r>
            <w:r>
              <w:rPr>
                <w:rFonts w:ascii="Times New Roman" w:hAnsi="Times New Roman"/>
                <w:b/>
                <w:sz w:val="24"/>
                <w:u w:val="single"/>
                <w:vertAlign w:val="subscript"/>
              </w:rPr>
              <w:t>A</w:t>
            </w:r>
            <w:r>
              <w:rPr>
                <w:rFonts w:ascii="Times New Roman" w:hAnsi="Times New Roman"/>
                <w:b/>
                <w:sz w:val="24"/>
                <w:u w:val="single"/>
              </w:rPr>
              <w:t xml:space="preserve">) </w:t>
            </w:r>
          </w:p>
          <w:p w14:paraId="7E216753" w14:textId="77777777" w:rsidR="00E026FB" w:rsidRPr="00A30C4C" w:rsidRDefault="00E026FB" w:rsidP="00E10B85">
            <w:pPr>
              <w:spacing w:before="0" w:after="0"/>
              <w:jc w:val="left"/>
              <w:rPr>
                <w:rFonts w:ascii="Times New Roman" w:hAnsi="Times New Roman"/>
                <w:b/>
                <w:sz w:val="24"/>
                <w:u w:val="single"/>
                <w:lang w:eastAsia="es-ES_tradnl"/>
              </w:rPr>
            </w:pPr>
          </w:p>
          <w:p w14:paraId="6285D450" w14:textId="4A99A4A1"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Nematerijalna kreditna zaštita kako je definirana u članku 4. stavku 1. točki 59. i člancima od 234. do 236. CRR-a.</w:t>
            </w:r>
          </w:p>
          <w:p w14:paraId="432EE6E4" w14:textId="77777777" w:rsidR="00E026FB" w:rsidRPr="00A30C4C" w:rsidRDefault="00E026FB" w:rsidP="00E10B85">
            <w:pPr>
              <w:autoSpaceDE w:val="0"/>
              <w:autoSpaceDN w:val="0"/>
              <w:adjustRightInd w:val="0"/>
              <w:spacing w:before="0" w:after="0"/>
              <w:rPr>
                <w:rFonts w:ascii="Times New Roman" w:hAnsi="Times New Roman"/>
                <w:b/>
                <w:sz w:val="24"/>
                <w:u w:val="single"/>
              </w:rPr>
            </w:pPr>
          </w:p>
        </w:tc>
      </w:tr>
      <w:tr w:rsidR="00E026FB" w:rsidRPr="00A30C4C" w14:paraId="7F05EE55" w14:textId="77777777" w:rsidTr="00E10B85">
        <w:tc>
          <w:tcPr>
            <w:tcW w:w="1568" w:type="dxa"/>
          </w:tcPr>
          <w:p w14:paraId="6E9625C0"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14:paraId="11331AA2"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MATERIJALNA KREDITNA ZAŠTITA</w:t>
            </w:r>
          </w:p>
          <w:p w14:paraId="70917145" w14:textId="77777777" w:rsidR="00E026FB" w:rsidRPr="00A30C4C" w:rsidRDefault="00E026FB" w:rsidP="00E10B85">
            <w:pPr>
              <w:spacing w:before="0" w:after="0"/>
              <w:rPr>
                <w:rFonts w:ascii="Times New Roman" w:hAnsi="Times New Roman"/>
                <w:sz w:val="24"/>
              </w:rPr>
            </w:pPr>
          </w:p>
          <w:p w14:paraId="16B35BA8" w14:textId="43D810FA"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Materijalna kreditna zaštita kako je definirana u članku 4. stavku 1. točki 58. CRR-a, kako je navedena u članku 249. stavku 2. prvom podstavku CRR-a i kako je uređena člancima 195., 197. i 200. CRR-a.</w:t>
            </w:r>
          </w:p>
          <w:p w14:paraId="79CFEB9C" w14:textId="77777777" w:rsidR="00E026FB" w:rsidRPr="00A30C4C"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A30C4C" w:rsidRDefault="00E026FB" w:rsidP="00E10B85">
            <w:pPr>
              <w:spacing w:before="0" w:after="0"/>
              <w:rPr>
                <w:rFonts w:ascii="Times New Roman" w:hAnsi="Times New Roman"/>
                <w:sz w:val="24"/>
              </w:rPr>
            </w:pPr>
            <w:r>
              <w:rPr>
                <w:rFonts w:ascii="Times New Roman" w:hAnsi="Times New Roman"/>
                <w:sz w:val="24"/>
              </w:rPr>
              <w:t xml:space="preserve">Kreditni zapisi i bilančno </w:t>
            </w:r>
            <w:proofErr w:type="spellStart"/>
            <w:r>
              <w:rPr>
                <w:rFonts w:ascii="Times New Roman" w:hAnsi="Times New Roman"/>
                <w:sz w:val="24"/>
              </w:rPr>
              <w:t>netiranje</w:t>
            </w:r>
            <w:proofErr w:type="spellEnd"/>
            <w:r>
              <w:rPr>
                <w:rFonts w:ascii="Times New Roman" w:hAnsi="Times New Roman"/>
                <w:sz w:val="24"/>
              </w:rPr>
              <w:t xml:space="preserve"> iz članaka 218. i 219. CRR-a tretiraju se kao gotovinski </w:t>
            </w:r>
            <w:proofErr w:type="spellStart"/>
            <w:r>
              <w:rPr>
                <w:rFonts w:ascii="Times New Roman" w:hAnsi="Times New Roman"/>
                <w:sz w:val="24"/>
              </w:rPr>
              <w:t>kolateral</w:t>
            </w:r>
            <w:proofErr w:type="spellEnd"/>
            <w:r>
              <w:rPr>
                <w:rFonts w:ascii="Times New Roman" w:hAnsi="Times New Roman"/>
                <w:sz w:val="24"/>
              </w:rPr>
              <w:t>.</w:t>
            </w:r>
          </w:p>
          <w:p w14:paraId="539B11C7"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510C1FA5" w14:textId="77777777" w:rsidTr="00E10B85">
        <w:tc>
          <w:tcPr>
            <w:tcW w:w="1568" w:type="dxa"/>
          </w:tcPr>
          <w:p w14:paraId="21953A6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14:paraId="74EF31B3"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ZAMJENA IZLOŽENOSTI ZBOG SMANJENJA KREDITNOG RIZIKA:</w:t>
            </w:r>
          </w:p>
          <w:p w14:paraId="17529285" w14:textId="77777777" w:rsidR="00E026FB" w:rsidRPr="00A30C4C" w:rsidRDefault="00E026FB" w:rsidP="00E10B85">
            <w:pPr>
              <w:spacing w:before="0" w:after="0"/>
              <w:rPr>
                <w:rFonts w:ascii="Times New Roman" w:hAnsi="Times New Roman"/>
                <w:b/>
                <w:sz w:val="24"/>
                <w:u w:val="single"/>
              </w:rPr>
            </w:pPr>
          </w:p>
          <w:p w14:paraId="55CBC0C5"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Iskazuju se priljevi i odljevi u istoj kategoriji izloženosti te, prema potrebi, ponderima rizika ili rejting-kategoriji dužnika.</w:t>
            </w:r>
          </w:p>
          <w:p w14:paraId="04AF3836" w14:textId="77777777" w:rsidR="00E026FB" w:rsidRPr="00A30C4C" w:rsidRDefault="00E026FB" w:rsidP="00E10B85">
            <w:pPr>
              <w:spacing w:before="0" w:after="0"/>
              <w:rPr>
                <w:rFonts w:ascii="Times New Roman" w:hAnsi="Times New Roman"/>
                <w:b/>
                <w:sz w:val="24"/>
                <w:u w:val="single"/>
              </w:rPr>
            </w:pPr>
          </w:p>
        </w:tc>
      </w:tr>
      <w:tr w:rsidR="00E026FB" w:rsidRPr="00A30C4C" w14:paraId="12F37967" w14:textId="77777777" w:rsidTr="00E10B85">
        <w:tc>
          <w:tcPr>
            <w:tcW w:w="1568" w:type="dxa"/>
          </w:tcPr>
          <w:p w14:paraId="5926E75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14:paraId="4485CBBF"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UKUPNI ODLJEVI</w:t>
            </w:r>
          </w:p>
          <w:p w14:paraId="5BE641B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Članak 222. stavak 3., članak 235. stavci 1. i 2. i članak 236. CRR-a </w:t>
            </w:r>
          </w:p>
          <w:p w14:paraId="3F4E0C87"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Odljevi odgovaraju pokrivenom dijelu „izloženosti umanjene za vrijednosna usklađenja i rezervacije” koji je odbijen od kategorije izloženosti dužnika i, prema potrebi, rejting-kategorije dužnika ili skupa izloženosti te naknadno raspoređen u kategoriju izloženosti pružatelja zaštite i, prema potrebi, rejting-kategoriju dužnika ili skup izloženosti. </w:t>
            </w:r>
          </w:p>
          <w:p w14:paraId="25F263EA"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Taj se iznos smatra priljevom u kategoriju izloženosti pružatelja zaštite i, prema potrebi, pondere rizika ili rejting-kategorije dužnika.</w:t>
            </w:r>
          </w:p>
          <w:p w14:paraId="306AF987"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5A37FD56" w14:textId="77777777" w:rsidTr="00E10B85">
        <w:tc>
          <w:tcPr>
            <w:tcW w:w="1568" w:type="dxa"/>
          </w:tcPr>
          <w:p w14:paraId="2185113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w:t>
            </w:r>
          </w:p>
        </w:tc>
        <w:tc>
          <w:tcPr>
            <w:tcW w:w="7436" w:type="dxa"/>
          </w:tcPr>
          <w:p w14:paraId="08F2A960"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UKUPNI PRILJEVI</w:t>
            </w:r>
          </w:p>
          <w:p w14:paraId="60589067"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A30C4C"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koje su dužnički vrijednosni papiri i koriste se kao priznati financijski </w:t>
            </w:r>
            <w:proofErr w:type="spellStart"/>
            <w:r>
              <w:rPr>
                <w:rFonts w:ascii="Times New Roman" w:hAnsi="Times New Roman"/>
                <w:sz w:val="24"/>
              </w:rPr>
              <w:t>kolateral</w:t>
            </w:r>
            <w:proofErr w:type="spellEnd"/>
            <w:r>
              <w:rPr>
                <w:rFonts w:ascii="Times New Roman" w:hAnsi="Times New Roman"/>
                <w:sz w:val="24"/>
              </w:rPr>
              <w:t xml:space="preserve"> u skladu s člankom 197. stavkom 1. CRR-a i kada se koristi jednostavna metoda financijskog kolaterala, iskazuju se kao priljevi u ovom stupcu.</w:t>
            </w:r>
          </w:p>
          <w:p w14:paraId="23CF13D1"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79317135" w14:textId="77777777" w:rsidTr="00E10B85">
        <w:tc>
          <w:tcPr>
            <w:tcW w:w="1568" w:type="dxa"/>
          </w:tcPr>
          <w:p w14:paraId="30FE9FD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14:paraId="3347B009" w14:textId="329D9D02"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IZLOŽENOST NAKON PRIMJENE TEHNIKA SMANJENJA KREDITNOG RIZIKA S UČINKOM ZAMJENE, A PRIJE PRIMJENE KONVERZIJSKIH FAKTORA</w:t>
            </w:r>
          </w:p>
          <w:p w14:paraId="60391F6F" w14:textId="77777777" w:rsidR="00E026FB" w:rsidRPr="00A30C4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A30C4C"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Ovaj stupac uključuje izloženosti raspoređene u odgovarajući ponder rizika i kategoriju izloženosti nakon odljeva i priljeva na temelju „tehnika smanjena rizika s učincima zamjene na izloženost”.</w:t>
            </w:r>
          </w:p>
          <w:p w14:paraId="34068537"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30C4C" w14:paraId="602C6CFB" w14:textId="77777777" w:rsidTr="00E10B85">
        <w:tc>
          <w:tcPr>
            <w:tcW w:w="1568" w:type="dxa"/>
          </w:tcPr>
          <w:p w14:paraId="78D10379"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14:paraId="057F37AA"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TEHNIKE SMANJENJA KREDITNOG RIZIKA KOJE UTJEČU NA IZNOS IZLOŽENOSTI: PRILAGOĐENA VRIJEDNOST MATERIJALNE KREDITNE ZAŠTITE PREMA SLOŽENOJ METODI FINANCIJSKOG KOLATERALA (CVAM)</w:t>
            </w:r>
          </w:p>
          <w:p w14:paraId="7C872E39" w14:textId="77777777" w:rsidR="00E026FB" w:rsidRPr="00A30C4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A30C4C" w:rsidRDefault="00E026FB" w:rsidP="00E10B85">
            <w:pPr>
              <w:pStyle w:val="InstructionsText"/>
            </w:pPr>
            <w:r>
              <w:t xml:space="preserve">Članci od 223. do 228. CRR-a </w:t>
            </w:r>
          </w:p>
          <w:p w14:paraId="0B6C8764" w14:textId="796379BA" w:rsidR="00E026FB" w:rsidRPr="00A30C4C" w:rsidRDefault="00A16FFF" w:rsidP="00E10B85">
            <w:pPr>
              <w:pStyle w:val="InstructionsText"/>
            </w:pPr>
            <w:r>
              <w:t>Iskazani iznos uključuje i kreditne zapise (članak 218. CRR-a).</w:t>
            </w:r>
          </w:p>
          <w:p w14:paraId="5D92B4BC"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30C4C" w14:paraId="73A95B88" w14:textId="77777777" w:rsidTr="00E10B85">
        <w:tc>
          <w:tcPr>
            <w:tcW w:w="1568" w:type="dxa"/>
          </w:tcPr>
          <w:p w14:paraId="235DCD79"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60A07133" w14:textId="77777777" w:rsidR="00E026FB" w:rsidRPr="006B2333" w:rsidRDefault="00E026FB" w:rsidP="00E10B85">
            <w:pPr>
              <w:spacing w:before="0" w:after="0"/>
              <w:rPr>
                <w:rFonts w:ascii="Times New Roman" w:hAnsi="Times New Roman"/>
                <w:b/>
                <w:sz w:val="24"/>
                <w:u w:val="single"/>
              </w:rPr>
            </w:pPr>
            <w:r>
              <w:rPr>
                <w:rFonts w:ascii="Times New Roman" w:hAnsi="Times New Roman"/>
                <w:b/>
                <w:sz w:val="24"/>
                <w:u w:val="single"/>
              </w:rPr>
              <w:t>POTPUNO PRILAGOĐENA VRIJEDNOST IZLOŽENOSTI (E*)</w:t>
            </w:r>
          </w:p>
          <w:p w14:paraId="06238DFE" w14:textId="77777777" w:rsidR="00E026FB" w:rsidRPr="006B2333" w:rsidRDefault="00E026FB" w:rsidP="00E10B85">
            <w:pPr>
              <w:pStyle w:val="Heading1"/>
              <w:rPr>
                <w:rFonts w:ascii="Times New Roman" w:eastAsia="Times New Roman" w:hAnsi="Times New Roman"/>
                <w:sz w:val="24"/>
                <w:szCs w:val="24"/>
                <w:lang w:eastAsia="es-ES_tradnl"/>
              </w:rPr>
            </w:pPr>
          </w:p>
          <w:p w14:paraId="1D0B024C" w14:textId="0861B1C4" w:rsidR="00E026FB" w:rsidRPr="006B2333"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izračunana u skladu s člankom 248. CRR-a, ali bez primjene konverzijskih faktora iz članka 248. stavka 1. točke (b) CRR-a. </w:t>
            </w:r>
          </w:p>
          <w:p w14:paraId="4A63D9DA" w14:textId="77777777" w:rsidR="00E026FB" w:rsidRPr="006B2333"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A30C4C" w14:paraId="35F69331" w14:textId="77777777" w:rsidTr="00E10B85">
        <w:tc>
          <w:tcPr>
            <w:tcW w:w="1568" w:type="dxa"/>
          </w:tcPr>
          <w:p w14:paraId="43295A5B"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247C28E8"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OD ČEGA: UZ PRIMJENU KREDITNOG KONVERZIJSKOG FAKTORA OD 0 %</w:t>
            </w:r>
          </w:p>
          <w:p w14:paraId="4A3A0993" w14:textId="77777777" w:rsidR="00E026FB" w:rsidRPr="00A30C4C" w:rsidRDefault="00E026FB" w:rsidP="00E10B85">
            <w:pPr>
              <w:spacing w:before="0" w:after="0"/>
              <w:rPr>
                <w:rFonts w:ascii="Times New Roman" w:hAnsi="Times New Roman"/>
                <w:b/>
                <w:sz w:val="24"/>
                <w:u w:val="single"/>
                <w:lang w:eastAsia="es-ES_tradnl"/>
              </w:rPr>
            </w:pPr>
          </w:p>
          <w:p w14:paraId="2F8E1635" w14:textId="5516C1E9" w:rsidR="00705025" w:rsidRPr="00A30C4C"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Članak 248. stavak 1. točka (b) CRR-a </w:t>
            </w:r>
          </w:p>
          <w:p w14:paraId="78F6C5DE" w14:textId="77777777" w:rsidR="00705025" w:rsidRPr="00A30C4C"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članku 4. stavku 1. točki 56. CRR-a definiran je konverzijski faktor.</w:t>
            </w:r>
          </w:p>
          <w:p w14:paraId="7D235F7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potrebe izvješćivanja potpuno prilagođena vrijednost izloženosti (E*) iskazuje se za konverzijski faktor od 0 %.</w:t>
            </w:r>
          </w:p>
          <w:p w14:paraId="6CF96076" w14:textId="77777777" w:rsidR="00E026FB" w:rsidRPr="00A30C4C" w:rsidRDefault="00E026FB" w:rsidP="00E10B85">
            <w:pPr>
              <w:spacing w:before="0" w:after="0"/>
              <w:rPr>
                <w:rFonts w:ascii="Times New Roman" w:hAnsi="Times New Roman"/>
                <w:b/>
                <w:sz w:val="24"/>
                <w:u w:val="single"/>
              </w:rPr>
            </w:pPr>
          </w:p>
        </w:tc>
      </w:tr>
      <w:tr w:rsidR="00E026FB" w:rsidRPr="00A30C4C" w14:paraId="5EDAFED5" w14:textId="77777777" w:rsidTr="00E10B85">
        <w:tc>
          <w:tcPr>
            <w:tcW w:w="1568" w:type="dxa"/>
          </w:tcPr>
          <w:p w14:paraId="4F79903F"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0160</w:t>
            </w:r>
          </w:p>
        </w:tc>
        <w:tc>
          <w:tcPr>
            <w:tcW w:w="7436" w:type="dxa"/>
          </w:tcPr>
          <w:p w14:paraId="059FABBD"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(-)NEPOVRATNA DISKONTNA KUPOVNA CIJENA</w:t>
            </w:r>
          </w:p>
          <w:p w14:paraId="598C25E2" w14:textId="77777777" w:rsidR="00E026FB" w:rsidRPr="00A30C4C" w:rsidRDefault="00E026FB" w:rsidP="00E10B85">
            <w:pPr>
              <w:spacing w:before="0" w:after="0"/>
              <w:jc w:val="left"/>
              <w:rPr>
                <w:rFonts w:ascii="Times New Roman" w:hAnsi="Times New Roman"/>
                <w:b/>
                <w:sz w:val="24"/>
                <w:u w:val="single"/>
              </w:rPr>
            </w:pPr>
          </w:p>
          <w:p w14:paraId="4F25AF43" w14:textId="0EF0A0A8" w:rsidR="00E026FB" w:rsidRPr="00A30C4C" w:rsidRDefault="00BB22D4" w:rsidP="00E10B85">
            <w:pPr>
              <w:spacing w:before="0" w:after="0"/>
              <w:jc w:val="left"/>
              <w:rPr>
                <w:rFonts w:ascii="Times New Roman" w:hAnsi="Times New Roman"/>
                <w:sz w:val="24"/>
              </w:rPr>
            </w:pPr>
            <w:r>
              <w:rPr>
                <w:rFonts w:ascii="Times New Roman" w:hAnsi="Times New Roman"/>
                <w:sz w:val="24"/>
              </w:rPr>
              <w:t xml:space="preserve">U skladu s člankom 248. stavkom 1. točkom (d) CRR-a institucija inicijator može od vrijednosti izloženosti </w:t>
            </w:r>
            <w:proofErr w:type="spellStart"/>
            <w:r>
              <w:rPr>
                <w:rFonts w:ascii="Times New Roman" w:hAnsi="Times New Roman"/>
                <w:sz w:val="24"/>
              </w:rPr>
              <w:t>sekuritizacijske</w:t>
            </w:r>
            <w:proofErr w:type="spellEnd"/>
            <w:r>
              <w:rPr>
                <w:rFonts w:ascii="Times New Roman" w:hAnsi="Times New Roman"/>
                <w:sz w:val="24"/>
              </w:rPr>
              <w:t xml:space="preserve"> pozicije na koju se primjenjuje ponder rizika od 1 250 % odbiti nepovratne diskonte kupovne cijene povezane s takvim odnosnim izloženostima u mjeri u kojoj su ti diskonti prouzročili smanjenje regulatornog kapitala.</w:t>
            </w:r>
          </w:p>
          <w:p w14:paraId="73C16F62"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08AFADB1" w14:textId="77777777" w:rsidTr="00E10B85">
        <w:tc>
          <w:tcPr>
            <w:tcW w:w="1568" w:type="dxa"/>
          </w:tcPr>
          <w:p w14:paraId="126F1184"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49FFAA27"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SPECIFIČNI ISPRAVCI VRIJEDNOSTI ZA KREDITNI RIZIK ZA ODNOSNE IZLOŽENOSTI</w:t>
            </w:r>
          </w:p>
          <w:p w14:paraId="702F72A8" w14:textId="77777777" w:rsidR="00E026FB" w:rsidRPr="00A30C4C" w:rsidRDefault="00E026FB" w:rsidP="00E10B85">
            <w:pPr>
              <w:spacing w:before="0" w:after="0"/>
              <w:jc w:val="left"/>
              <w:rPr>
                <w:rFonts w:ascii="Times New Roman" w:hAnsi="Times New Roman"/>
                <w:b/>
                <w:sz w:val="24"/>
                <w:u w:val="single"/>
              </w:rPr>
            </w:pPr>
          </w:p>
          <w:p w14:paraId="4A46AA69" w14:textId="02E414CB" w:rsidR="00E026FB" w:rsidRPr="00A30C4C" w:rsidRDefault="00BB22D4" w:rsidP="00E10B85">
            <w:pPr>
              <w:spacing w:before="0" w:after="0"/>
              <w:jc w:val="left"/>
              <w:rPr>
                <w:rFonts w:ascii="Times New Roman" w:hAnsi="Times New Roman"/>
                <w:sz w:val="24"/>
              </w:rPr>
            </w:pPr>
            <w:r>
              <w:rPr>
                <w:rFonts w:ascii="Times New Roman" w:hAnsi="Times New Roman"/>
                <w:sz w:val="24"/>
              </w:rPr>
              <w:t xml:space="preserve">U skladu s člankom 248. stavkom 1. točkom (d) CRR-a institucija inicijator može od vrijednosti izloženosti </w:t>
            </w:r>
            <w:proofErr w:type="spellStart"/>
            <w:r>
              <w:rPr>
                <w:rFonts w:ascii="Times New Roman" w:hAnsi="Times New Roman"/>
                <w:sz w:val="24"/>
              </w:rPr>
              <w:t>sekuritizacijske</w:t>
            </w:r>
            <w:proofErr w:type="spellEnd"/>
            <w:r>
              <w:rPr>
                <w:rFonts w:ascii="Times New Roman" w:hAnsi="Times New Roman"/>
                <w:sz w:val="24"/>
              </w:rPr>
              <w:t xml:space="preserve"> pozicije na koju se primjenjuje ponder rizika od 1 250 % ili koja je odbijena od redovnog osnovnog kapitala odbiti iznos specifičnih ispravaka vrijednosti za kreditni rizik za odnosne izloženosti kako je određeno u skladu s člankom 110. CRR-a. </w:t>
            </w:r>
          </w:p>
          <w:p w14:paraId="14046BFE"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8CB838B" w14:textId="77777777" w:rsidTr="00E10B85">
        <w:tc>
          <w:tcPr>
            <w:tcW w:w="1568" w:type="dxa"/>
          </w:tcPr>
          <w:p w14:paraId="56A71E8A"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44B79A9"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VRIJEDNOST IZLOŽENOSTI</w:t>
            </w:r>
          </w:p>
          <w:p w14:paraId="3E8726F4" w14:textId="77777777" w:rsidR="00E026FB" w:rsidRPr="00A30C4C" w:rsidRDefault="00E026FB" w:rsidP="00E10B85">
            <w:pPr>
              <w:spacing w:before="0" w:after="0"/>
              <w:jc w:val="left"/>
              <w:rPr>
                <w:rFonts w:ascii="Times New Roman" w:hAnsi="Times New Roman"/>
                <w:b/>
                <w:sz w:val="24"/>
                <w:u w:val="single"/>
                <w:lang w:eastAsia="es-ES_tradnl"/>
              </w:rPr>
            </w:pPr>
          </w:p>
          <w:p w14:paraId="61EE4152" w14:textId="084E947D" w:rsidR="00E026FB" w:rsidRPr="00A30C4C"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 izloženosti </w:t>
            </w:r>
            <w:proofErr w:type="spellStart"/>
            <w:r>
              <w:rPr>
                <w:rFonts w:ascii="Times New Roman" w:hAnsi="Times New Roman"/>
                <w:sz w:val="24"/>
              </w:rPr>
              <w:t>sekuritizacijskih</w:t>
            </w:r>
            <w:proofErr w:type="spellEnd"/>
            <w:r>
              <w:rPr>
                <w:rFonts w:ascii="Times New Roman" w:hAnsi="Times New Roman"/>
                <w:sz w:val="24"/>
              </w:rPr>
              <w:t xml:space="preserve"> pozicija izračunana u skladu s člankom 248. CRR-a.</w:t>
            </w:r>
          </w:p>
          <w:p w14:paraId="0C4CC919"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545D8C88" w14:textId="77777777" w:rsidTr="00E10B85">
        <w:tc>
          <w:tcPr>
            <w:tcW w:w="1568" w:type="dxa"/>
          </w:tcPr>
          <w:p w14:paraId="328265EE"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4F8D2DCE"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VRIJEDNOST IZLOŽENOSTI KOJA PREDSTAVLJA ODBITNU STAVKU OD REGULATORNOG KAPITALA</w:t>
            </w:r>
          </w:p>
          <w:p w14:paraId="76232993" w14:textId="77777777" w:rsidR="00E026FB" w:rsidRPr="00A30C4C" w:rsidRDefault="00E026FB" w:rsidP="00E10B85">
            <w:pPr>
              <w:spacing w:before="0" w:after="0"/>
              <w:jc w:val="left"/>
              <w:rPr>
                <w:rFonts w:ascii="Times New Roman" w:hAnsi="Times New Roman"/>
                <w:sz w:val="24"/>
              </w:rPr>
            </w:pPr>
          </w:p>
          <w:p w14:paraId="3DFEE244" w14:textId="6E963FFE" w:rsidR="00E026FB" w:rsidRPr="00A30C4C" w:rsidRDefault="00BB22D4" w:rsidP="00E10B85">
            <w:pPr>
              <w:spacing w:before="0" w:after="0"/>
              <w:rPr>
                <w:rFonts w:ascii="Times New Roman" w:hAnsi="Times New Roman"/>
                <w:sz w:val="24"/>
              </w:rPr>
            </w:pPr>
            <w:r>
              <w:rPr>
                <w:rFonts w:ascii="Times New Roman" w:hAnsi="Times New Roman"/>
                <w:sz w:val="24"/>
              </w:rPr>
              <w:t xml:space="preserve">U skladu s </w:t>
            </w:r>
            <w:r>
              <w:rPr>
                <w:rStyle w:val="FormatvorlageInstructionsTabelleText"/>
                <w:rFonts w:ascii="Times New Roman" w:hAnsi="Times New Roman"/>
                <w:sz w:val="24"/>
              </w:rPr>
              <w:t>člankom 244.</w:t>
            </w:r>
            <w:r>
              <w:rPr>
                <w:rFonts w:ascii="Times New Roman" w:hAnsi="Times New Roman"/>
                <w:sz w:val="24"/>
              </w:rPr>
              <w:t xml:space="preserve"> </w:t>
            </w:r>
            <w:r>
              <w:rPr>
                <w:rStyle w:val="FormatvorlageInstructionsTabelleText"/>
                <w:rFonts w:ascii="Times New Roman" w:hAnsi="Times New Roman"/>
                <w:sz w:val="24"/>
              </w:rPr>
              <w:t xml:space="preserve">stavkom 1. točkom (b), člankom 245. stavkom 1. točkom (b) i </w:t>
            </w:r>
            <w:r>
              <w:rPr>
                <w:rFonts w:ascii="Times New Roman" w:hAnsi="Times New Roman"/>
                <w:sz w:val="24"/>
              </w:rPr>
              <w:t xml:space="preserve">člankom 253. stavkom 1. CRR-a u slučaju </w:t>
            </w:r>
            <w:proofErr w:type="spellStart"/>
            <w:r>
              <w:rPr>
                <w:rFonts w:ascii="Times New Roman" w:hAnsi="Times New Roman"/>
                <w:sz w:val="24"/>
              </w:rPr>
              <w:t>sekuritizacijske</w:t>
            </w:r>
            <w:proofErr w:type="spellEnd"/>
            <w:r>
              <w:rPr>
                <w:rFonts w:ascii="Times New Roman" w:hAnsi="Times New Roman"/>
                <w:sz w:val="24"/>
              </w:rPr>
              <w:t xml:space="preserve"> pozicije na koju se primjenjuje ponder rizika od 1 250 %, institucija može, kao alternativu uključivanju pozicije u svoj izračun iznosa izloženosti ponderiranih rizikom, iskazati vrijednost izloženosti pozicije kao </w:t>
            </w:r>
            <w:proofErr w:type="spellStart"/>
            <w:r>
              <w:rPr>
                <w:rFonts w:ascii="Times New Roman" w:hAnsi="Times New Roman"/>
                <w:sz w:val="24"/>
              </w:rPr>
              <w:t>odbitnu</w:t>
            </w:r>
            <w:proofErr w:type="spellEnd"/>
            <w:r>
              <w:rPr>
                <w:rFonts w:ascii="Times New Roman" w:hAnsi="Times New Roman"/>
                <w:sz w:val="24"/>
              </w:rPr>
              <w:t xml:space="preserve"> stavku pri izračunu regulatornog kapitala.</w:t>
            </w:r>
          </w:p>
          <w:p w14:paraId="763B19E6" w14:textId="77777777" w:rsidR="00E026FB" w:rsidRPr="00A30C4C"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A30C4C" w14:paraId="32DF26BB" w14:textId="77777777" w:rsidTr="00E10B85">
        <w:tc>
          <w:tcPr>
            <w:tcW w:w="1568" w:type="dxa"/>
          </w:tcPr>
          <w:p w14:paraId="23E5208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281E0D8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VRIJEDNOST IZLOŽENOSTI NA KOJU SE PRIMJENJUJU PONDERI RIZIKA</w:t>
            </w:r>
          </w:p>
          <w:p w14:paraId="23F99AC8" w14:textId="77777777" w:rsidR="00E026FB" w:rsidRPr="00A30C4C" w:rsidRDefault="00E026FB" w:rsidP="00E10B85">
            <w:pPr>
              <w:spacing w:before="0" w:after="0"/>
              <w:jc w:val="left"/>
              <w:rPr>
                <w:rFonts w:ascii="Times New Roman" w:hAnsi="Times New Roman"/>
                <w:b/>
                <w:sz w:val="24"/>
                <w:u w:val="single"/>
              </w:rPr>
            </w:pPr>
          </w:p>
          <w:p w14:paraId="39B3C0F9" w14:textId="77777777" w:rsidR="00E026FB" w:rsidRPr="00A30C4C" w:rsidRDefault="00E026FB" w:rsidP="00E10B85">
            <w:pPr>
              <w:spacing w:before="0" w:after="0"/>
              <w:rPr>
                <w:rFonts w:ascii="Times New Roman" w:hAnsi="Times New Roman"/>
                <w:sz w:val="24"/>
              </w:rPr>
            </w:pPr>
            <w:r>
              <w:rPr>
                <w:rFonts w:ascii="Times New Roman" w:hAnsi="Times New Roman"/>
                <w:sz w:val="24"/>
              </w:rPr>
              <w:t xml:space="preserve">Vrijednost izloženosti umanjena za vrijednost izloženosti koja predstavlja </w:t>
            </w:r>
            <w:proofErr w:type="spellStart"/>
            <w:r>
              <w:rPr>
                <w:rFonts w:ascii="Times New Roman" w:hAnsi="Times New Roman"/>
                <w:sz w:val="24"/>
              </w:rPr>
              <w:t>odbitnu</w:t>
            </w:r>
            <w:proofErr w:type="spellEnd"/>
            <w:r>
              <w:rPr>
                <w:rFonts w:ascii="Times New Roman" w:hAnsi="Times New Roman"/>
                <w:sz w:val="24"/>
              </w:rPr>
              <w:t xml:space="preserve"> stavku od regulatornog kapitala.</w:t>
            </w:r>
          </w:p>
          <w:p w14:paraId="3FFEF3E3" w14:textId="77777777" w:rsidR="00E026FB" w:rsidRPr="00A30C4C" w:rsidRDefault="00E026FB" w:rsidP="00E10B85">
            <w:pPr>
              <w:pStyle w:val="Heading1"/>
              <w:rPr>
                <w:rFonts w:ascii="Times New Roman" w:eastAsia="Times New Roman" w:hAnsi="Times New Roman"/>
                <w:sz w:val="24"/>
                <w:szCs w:val="24"/>
                <w:lang w:eastAsia="es-ES_tradnl"/>
              </w:rPr>
            </w:pPr>
          </w:p>
        </w:tc>
      </w:tr>
      <w:tr w:rsidR="00E026FB" w:rsidRPr="00A30C4C" w14:paraId="1DFD4FCD" w14:textId="77777777" w:rsidTr="00E10B85">
        <w:tc>
          <w:tcPr>
            <w:tcW w:w="1568" w:type="dxa"/>
          </w:tcPr>
          <w:p w14:paraId="35DD908D"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0FFF490B"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4FA1D9FA" w14:textId="77777777" w:rsidR="00E026FB" w:rsidRPr="00A30C4C" w:rsidRDefault="00E026FB" w:rsidP="00E10B85">
            <w:pPr>
              <w:spacing w:before="0" w:after="0"/>
              <w:jc w:val="left"/>
              <w:rPr>
                <w:rFonts w:ascii="Times New Roman" w:hAnsi="Times New Roman"/>
                <w:b/>
                <w:sz w:val="24"/>
                <w:u w:val="single"/>
              </w:rPr>
            </w:pPr>
          </w:p>
          <w:p w14:paraId="0F342164" w14:textId="74871240" w:rsidR="00E026FB" w:rsidRPr="00A30C4C" w:rsidRDefault="001E0C80" w:rsidP="00E10B85">
            <w:pPr>
              <w:spacing w:before="0" w:after="0"/>
              <w:jc w:val="left"/>
              <w:rPr>
                <w:rFonts w:ascii="Times New Roman" w:hAnsi="Times New Roman"/>
                <w:sz w:val="24"/>
              </w:rPr>
            </w:pPr>
            <w:r>
              <w:rPr>
                <w:rFonts w:ascii="Times New Roman" w:hAnsi="Times New Roman"/>
                <w:sz w:val="24"/>
              </w:rPr>
              <w:t>Članak 254. stavak 1. točka (a) CRR-a</w:t>
            </w:r>
          </w:p>
          <w:p w14:paraId="5DF1BD70" w14:textId="77777777" w:rsidR="00E026FB" w:rsidRPr="00A30C4C" w:rsidRDefault="00E026FB" w:rsidP="00E10B85">
            <w:pPr>
              <w:spacing w:before="0" w:after="0"/>
              <w:jc w:val="left"/>
              <w:rPr>
                <w:rFonts w:ascii="Times New Roman" w:hAnsi="Times New Roman"/>
                <w:sz w:val="24"/>
              </w:rPr>
            </w:pPr>
          </w:p>
        </w:tc>
      </w:tr>
      <w:tr w:rsidR="00E026FB" w:rsidRPr="00A30C4C" w14:paraId="0DF54B21" w14:textId="77777777" w:rsidTr="00E10B85">
        <w:tc>
          <w:tcPr>
            <w:tcW w:w="1568" w:type="dxa"/>
          </w:tcPr>
          <w:p w14:paraId="19EB2459"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6CDE18A3"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14:paraId="1F6408CC" w14:textId="77777777" w:rsidR="00E026FB" w:rsidRPr="00A30C4C" w:rsidRDefault="00E026FB" w:rsidP="00E10B85">
            <w:pPr>
              <w:spacing w:before="0" w:after="0"/>
              <w:jc w:val="left"/>
              <w:rPr>
                <w:rFonts w:ascii="Times New Roman" w:hAnsi="Times New Roman"/>
                <w:sz w:val="24"/>
              </w:rPr>
            </w:pPr>
          </w:p>
          <w:p w14:paraId="5BB23D05" w14:textId="77777777" w:rsidR="00E026FB" w:rsidRPr="00A30C4C" w:rsidRDefault="00E026FB" w:rsidP="00E10B85">
            <w:pPr>
              <w:spacing w:before="0" w:after="0"/>
              <w:jc w:val="left"/>
              <w:rPr>
                <w:rFonts w:ascii="Times New Roman" w:hAnsi="Times New Roman"/>
                <w:sz w:val="24"/>
              </w:rPr>
            </w:pPr>
            <w:r>
              <w:rPr>
                <w:rFonts w:ascii="Times New Roman" w:hAnsi="Times New Roman"/>
                <w:sz w:val="24"/>
              </w:rPr>
              <w:t>Izloženosti SEC-IRBA raščlanjene prema rasponima pondera rizika.</w:t>
            </w:r>
          </w:p>
          <w:p w14:paraId="5FDBCA85"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3AB4ED3" w14:textId="77777777" w:rsidTr="00E10B85">
        <w:tc>
          <w:tcPr>
            <w:tcW w:w="1568" w:type="dxa"/>
          </w:tcPr>
          <w:p w14:paraId="164FD94D"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10502E2D" w14:textId="7CD41CF4"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OD ČEGA: IZRAČUNANO U SKLADU S ČLANKOM 255. STAVKOM 4. (OTKUPLJENA POTRAŽIVANJA) </w:t>
            </w:r>
          </w:p>
          <w:p w14:paraId="6F082799" w14:textId="77777777" w:rsidR="00E026FB" w:rsidRPr="00A30C4C" w:rsidRDefault="00E026FB" w:rsidP="00E10B85">
            <w:pPr>
              <w:spacing w:before="0" w:after="0"/>
              <w:jc w:val="left"/>
              <w:rPr>
                <w:rFonts w:ascii="Times New Roman" w:hAnsi="Times New Roman"/>
                <w:sz w:val="24"/>
              </w:rPr>
            </w:pPr>
          </w:p>
          <w:p w14:paraId="26E3FBB7" w14:textId="56238375" w:rsidR="001E0C80" w:rsidRPr="00A30C4C" w:rsidRDefault="00E026FB" w:rsidP="00E10B85">
            <w:pPr>
              <w:spacing w:before="0" w:after="0"/>
              <w:jc w:val="left"/>
              <w:rPr>
                <w:rFonts w:ascii="Times New Roman" w:hAnsi="Times New Roman"/>
                <w:sz w:val="24"/>
              </w:rPr>
            </w:pPr>
            <w:r>
              <w:rPr>
                <w:rFonts w:ascii="Times New Roman" w:hAnsi="Times New Roman"/>
                <w:sz w:val="24"/>
              </w:rPr>
              <w:lastRenderedPageBreak/>
              <w:t>Članak 255. stavak 4. CRR-a</w:t>
            </w:r>
          </w:p>
          <w:p w14:paraId="133C5AF3" w14:textId="2B77008A" w:rsidR="001E0C80" w:rsidRPr="00A30C4C" w:rsidRDefault="00E026FB" w:rsidP="00E10B85">
            <w:pPr>
              <w:spacing w:before="0" w:after="0"/>
              <w:jc w:val="left"/>
              <w:rPr>
                <w:rFonts w:ascii="Times New Roman" w:hAnsi="Times New Roman"/>
                <w:sz w:val="24"/>
              </w:rPr>
            </w:pPr>
            <w:r>
              <w:rPr>
                <w:rFonts w:ascii="Times New Roman" w:hAnsi="Times New Roman"/>
                <w:sz w:val="24"/>
              </w:rPr>
              <w:t xml:space="preserve"> </w:t>
            </w:r>
          </w:p>
          <w:p w14:paraId="0D79C9FD" w14:textId="0F5C6A3B" w:rsidR="00E026FB" w:rsidRPr="00A30C4C" w:rsidRDefault="00E026FB" w:rsidP="00E10B85">
            <w:pPr>
              <w:spacing w:before="0" w:after="0"/>
              <w:jc w:val="left"/>
              <w:rPr>
                <w:rFonts w:ascii="Times New Roman" w:hAnsi="Times New Roman"/>
                <w:sz w:val="24"/>
              </w:rPr>
            </w:pPr>
            <w:r>
              <w:rPr>
                <w:rFonts w:ascii="Times New Roman" w:hAnsi="Times New Roman"/>
                <w:sz w:val="24"/>
              </w:rPr>
              <w:t>Za potrebe ovog stupca izloženosti prema stanovništvu tretiraju se kao otkupljena potraživanja od stanovništva, a izloženosti koje nisu prema stanovništvu kao otkupljena potraživanja od trgovačkih društava.</w:t>
            </w:r>
          </w:p>
          <w:p w14:paraId="14469ABF" w14:textId="77777777" w:rsidR="00E026FB" w:rsidRPr="00A30C4C" w:rsidRDefault="00E026FB" w:rsidP="00E10B85">
            <w:pPr>
              <w:spacing w:before="0" w:after="0"/>
              <w:jc w:val="left"/>
              <w:rPr>
                <w:rFonts w:ascii="Times New Roman" w:hAnsi="Times New Roman"/>
                <w:sz w:val="24"/>
              </w:rPr>
            </w:pPr>
          </w:p>
        </w:tc>
      </w:tr>
      <w:tr w:rsidR="00E026FB" w:rsidRPr="002F0FB3" w14:paraId="7AB9FDBC" w14:textId="77777777" w:rsidTr="00E10B85">
        <w:tc>
          <w:tcPr>
            <w:tcW w:w="1568" w:type="dxa"/>
          </w:tcPr>
          <w:p w14:paraId="0DFBF2C3"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0280</w:t>
            </w:r>
          </w:p>
        </w:tc>
        <w:tc>
          <w:tcPr>
            <w:tcW w:w="7436" w:type="dxa"/>
          </w:tcPr>
          <w:p w14:paraId="159CCAEE" w14:textId="77777777" w:rsidR="00E026FB" w:rsidRPr="000226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B21C6C1" w14:textId="77777777" w:rsidR="00E026FB" w:rsidRPr="0002267E" w:rsidRDefault="00E026FB" w:rsidP="00E10B85">
            <w:pPr>
              <w:spacing w:before="0" w:after="0"/>
              <w:jc w:val="left"/>
              <w:rPr>
                <w:rFonts w:ascii="Times New Roman" w:hAnsi="Times New Roman"/>
                <w:b/>
                <w:sz w:val="24"/>
                <w:u w:val="single"/>
                <w:lang w:val="fr-BE"/>
              </w:rPr>
            </w:pPr>
          </w:p>
          <w:p w14:paraId="19D2C018" w14:textId="0E190AF8" w:rsidR="00E026FB" w:rsidRPr="0002267E" w:rsidRDefault="001E0C80" w:rsidP="00E10B85">
            <w:pPr>
              <w:spacing w:before="0" w:after="0"/>
              <w:jc w:val="left"/>
              <w:rPr>
                <w:rFonts w:ascii="Times New Roman" w:hAnsi="Times New Roman"/>
                <w:b/>
                <w:sz w:val="24"/>
                <w:u w:val="single"/>
              </w:rPr>
            </w:pPr>
            <w:r>
              <w:rPr>
                <w:rFonts w:ascii="Times New Roman" w:hAnsi="Times New Roman"/>
                <w:sz w:val="24"/>
              </w:rPr>
              <w:t>Članak 254. stavak 1. točka (b) CRR-a</w:t>
            </w:r>
          </w:p>
          <w:p w14:paraId="4520145D" w14:textId="77777777" w:rsidR="00E026FB" w:rsidRPr="0002267E" w:rsidRDefault="00E026FB" w:rsidP="00E10B85">
            <w:pPr>
              <w:spacing w:before="0" w:after="0"/>
              <w:jc w:val="left"/>
              <w:rPr>
                <w:rFonts w:ascii="Times New Roman" w:hAnsi="Times New Roman"/>
                <w:sz w:val="24"/>
                <w:lang w:val="fr-BE"/>
              </w:rPr>
            </w:pPr>
          </w:p>
        </w:tc>
      </w:tr>
      <w:tr w:rsidR="00E026FB" w:rsidRPr="00A30C4C" w14:paraId="7E678937" w14:textId="77777777" w:rsidTr="00E10B85">
        <w:tc>
          <w:tcPr>
            <w:tcW w:w="1568" w:type="dxa"/>
          </w:tcPr>
          <w:p w14:paraId="4C48203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0608AED5"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14:paraId="1627D47C" w14:textId="77777777" w:rsidR="00E026FB" w:rsidRPr="00A30C4C" w:rsidRDefault="00E026FB" w:rsidP="00E10B85">
            <w:pPr>
              <w:spacing w:before="0" w:after="0"/>
              <w:jc w:val="left"/>
              <w:rPr>
                <w:rFonts w:ascii="Times New Roman" w:hAnsi="Times New Roman"/>
                <w:sz w:val="24"/>
              </w:rPr>
            </w:pPr>
          </w:p>
          <w:p w14:paraId="110F47E1" w14:textId="77777777" w:rsidR="00E026FB" w:rsidRPr="00A30C4C" w:rsidRDefault="00E026FB" w:rsidP="00E10B85">
            <w:pPr>
              <w:spacing w:before="0" w:after="0"/>
              <w:jc w:val="left"/>
              <w:rPr>
                <w:rFonts w:ascii="Times New Roman" w:hAnsi="Times New Roman"/>
                <w:sz w:val="24"/>
              </w:rPr>
            </w:pPr>
            <w:r>
              <w:rPr>
                <w:rFonts w:ascii="Times New Roman" w:hAnsi="Times New Roman"/>
                <w:sz w:val="24"/>
              </w:rPr>
              <w:t>Izloženosti SEC-SA raščlanjene prema rasponima pondera rizika.</w:t>
            </w:r>
          </w:p>
          <w:p w14:paraId="12454A5F" w14:textId="77777777" w:rsidR="00E026FB" w:rsidRPr="00A30C4C" w:rsidRDefault="00E026FB" w:rsidP="00E10B85">
            <w:pPr>
              <w:spacing w:before="0" w:after="0"/>
              <w:jc w:val="left"/>
              <w:rPr>
                <w:rFonts w:ascii="Times New Roman" w:hAnsi="Times New Roman"/>
                <w:sz w:val="24"/>
                <w:u w:val="single"/>
              </w:rPr>
            </w:pPr>
          </w:p>
          <w:p w14:paraId="0742EADE" w14:textId="24DC79CE" w:rsidR="00E026FB" w:rsidRPr="00A30C4C" w:rsidRDefault="00E026FB" w:rsidP="00E10B85">
            <w:pPr>
              <w:spacing w:before="0" w:after="0"/>
              <w:jc w:val="left"/>
              <w:rPr>
                <w:rFonts w:ascii="Times New Roman" w:hAnsi="Times New Roman"/>
                <w:sz w:val="24"/>
              </w:rPr>
            </w:pPr>
            <w:r>
              <w:rPr>
                <w:rFonts w:ascii="Times New Roman" w:hAnsi="Times New Roman"/>
                <w:sz w:val="24"/>
              </w:rPr>
              <w:t xml:space="preserve">Za ponder rizika = 1 250 % (W nepoznat), u članku 261. stavku 2. točki (b) četvrtom podstavku CRR-a propisuje se da se na poziciju u </w:t>
            </w:r>
            <w:proofErr w:type="spellStart"/>
            <w:r>
              <w:rPr>
                <w:rFonts w:ascii="Times New Roman" w:hAnsi="Times New Roman"/>
                <w:sz w:val="24"/>
              </w:rPr>
              <w:t>sekuritizaciji</w:t>
            </w:r>
            <w:proofErr w:type="spellEnd"/>
            <w:r>
              <w:rPr>
                <w:rFonts w:ascii="Times New Roman" w:hAnsi="Times New Roman"/>
                <w:sz w:val="24"/>
              </w:rPr>
              <w:t xml:space="preserve"> primjenjuje ponder rizika od 1 250 % ako institucija nema informacije o statusu u pogledu dospjelih nenaplaćenih potraživanja za više od 5 % odnosnih izloženosti u skupu.</w:t>
            </w:r>
          </w:p>
          <w:p w14:paraId="2D38FDA6" w14:textId="77777777" w:rsidR="00E026FB" w:rsidRPr="00A30C4C" w:rsidRDefault="00E026FB" w:rsidP="00E10B85">
            <w:pPr>
              <w:spacing w:before="0" w:after="0"/>
              <w:jc w:val="left"/>
              <w:rPr>
                <w:rFonts w:ascii="Times New Roman" w:hAnsi="Times New Roman"/>
                <w:sz w:val="24"/>
                <w:u w:val="single"/>
              </w:rPr>
            </w:pPr>
          </w:p>
        </w:tc>
      </w:tr>
      <w:tr w:rsidR="00E026FB" w:rsidRPr="00A30C4C" w14:paraId="793A2558" w14:textId="77777777" w:rsidTr="00E10B85">
        <w:tc>
          <w:tcPr>
            <w:tcW w:w="1568" w:type="dxa"/>
          </w:tcPr>
          <w:p w14:paraId="650800DC" w14:textId="77777777" w:rsidR="00E026FB" w:rsidRPr="00A30C4C"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7F15D7C0"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0402ED2B" w14:textId="77777777" w:rsidR="00E026FB" w:rsidRPr="00A30C4C" w:rsidRDefault="00E026FB" w:rsidP="00E10B85">
            <w:pPr>
              <w:spacing w:before="0" w:after="0"/>
              <w:rPr>
                <w:rFonts w:ascii="Times New Roman" w:hAnsi="Times New Roman"/>
                <w:sz w:val="24"/>
              </w:rPr>
            </w:pPr>
          </w:p>
          <w:p w14:paraId="7F514D61" w14:textId="4C82D9C9" w:rsidR="00E026FB" w:rsidRPr="00A30C4C" w:rsidRDefault="001E0C80" w:rsidP="00E10B85">
            <w:pPr>
              <w:spacing w:before="0" w:after="0"/>
              <w:jc w:val="left"/>
              <w:rPr>
                <w:rFonts w:ascii="Times New Roman" w:hAnsi="Times New Roman"/>
                <w:sz w:val="24"/>
              </w:rPr>
            </w:pPr>
            <w:r>
              <w:rPr>
                <w:rFonts w:ascii="Times New Roman" w:hAnsi="Times New Roman"/>
                <w:sz w:val="24"/>
              </w:rPr>
              <w:t xml:space="preserve">Članak 254. stavak 1. točka (c) CRR-a </w:t>
            </w:r>
          </w:p>
          <w:p w14:paraId="6D127C5E" w14:textId="77777777" w:rsidR="00E026FB" w:rsidRPr="00A30C4C" w:rsidRDefault="00E026FB" w:rsidP="00E10B85">
            <w:pPr>
              <w:spacing w:before="0" w:after="0"/>
              <w:rPr>
                <w:rFonts w:ascii="Times New Roman" w:hAnsi="Times New Roman"/>
                <w:b/>
                <w:sz w:val="24"/>
                <w:u w:val="single"/>
              </w:rPr>
            </w:pPr>
          </w:p>
        </w:tc>
      </w:tr>
      <w:tr w:rsidR="00E026FB" w:rsidRPr="00A30C4C" w14:paraId="5BC56A45" w14:textId="77777777" w:rsidTr="00E10B85">
        <w:tc>
          <w:tcPr>
            <w:tcW w:w="1568" w:type="dxa"/>
          </w:tcPr>
          <w:p w14:paraId="46B7A345"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0DFF631D"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RAŠČLAMBA PREMA STUPNJEVIMA KREDITNE KVALITETE (STUPNJEVI KREDITNE KVALITETE KRATKOROČNO/DUGOROČNO)</w:t>
            </w:r>
          </w:p>
          <w:p w14:paraId="198A093C" w14:textId="77777777" w:rsidR="00E026FB" w:rsidRPr="00A30C4C" w:rsidRDefault="00E026FB" w:rsidP="00E10B85">
            <w:pPr>
              <w:spacing w:before="0" w:after="0"/>
              <w:rPr>
                <w:rFonts w:ascii="Times New Roman" w:hAnsi="Times New Roman"/>
                <w:sz w:val="24"/>
              </w:rPr>
            </w:pPr>
          </w:p>
          <w:p w14:paraId="5F90F107" w14:textId="6FF8522B" w:rsidR="00E026FB" w:rsidRPr="00A30C4C" w:rsidRDefault="00E026FB" w:rsidP="00E10B85">
            <w:pPr>
              <w:spacing w:before="0" w:after="0"/>
              <w:rPr>
                <w:rFonts w:ascii="Times New Roman" w:hAnsi="Times New Roman"/>
                <w:sz w:val="24"/>
              </w:rPr>
            </w:pPr>
            <w:r>
              <w:rPr>
                <w:rFonts w:ascii="Times New Roman" w:hAnsi="Times New Roman"/>
                <w:sz w:val="24"/>
              </w:rPr>
              <w:t>Članak 263. CRR-a</w:t>
            </w:r>
          </w:p>
          <w:p w14:paraId="567B7627" w14:textId="77777777" w:rsidR="00E026FB" w:rsidRPr="00A30C4C" w:rsidRDefault="00E026FB" w:rsidP="00E10B85">
            <w:pPr>
              <w:spacing w:before="0" w:after="0"/>
              <w:rPr>
                <w:rFonts w:ascii="Times New Roman" w:hAnsi="Times New Roman"/>
                <w:sz w:val="24"/>
              </w:rPr>
            </w:pPr>
          </w:p>
          <w:p w14:paraId="5970A37D" w14:textId="05404ACC" w:rsidR="00E026FB" w:rsidRPr="00A30C4C"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u skladu s pristupom SEC-ERBA s izvedenim rejtingom kako je navedeno u članku 254. stavku 2. CRR-a iskazuju se kao pozicije s rejtingom.</w:t>
            </w:r>
          </w:p>
          <w:p w14:paraId="513CCCC6" w14:textId="77777777" w:rsidR="00E026FB" w:rsidRPr="00A30C4C" w:rsidRDefault="00E026FB" w:rsidP="00E10B85">
            <w:pPr>
              <w:spacing w:before="0" w:after="0"/>
              <w:rPr>
                <w:rFonts w:ascii="Times New Roman" w:hAnsi="Times New Roman"/>
                <w:sz w:val="24"/>
              </w:rPr>
            </w:pPr>
          </w:p>
          <w:p w14:paraId="2488A405" w14:textId="44AA8D38"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Vrijednosti izloženosti na koje se primjenjuju ponderi rizika raščlanjuju se kao kratkoročne i dugoročne i prema stupnjevima kreditne kvalitete kako je utvrđeno u članku 263. tablicama 1. i 2. i članku 264. tablicama 3. i 4. CRR-a. </w:t>
            </w:r>
          </w:p>
          <w:p w14:paraId="2909105C" w14:textId="77777777" w:rsidR="00E026FB" w:rsidRPr="00A30C4C" w:rsidRDefault="00E026FB" w:rsidP="00E10B85">
            <w:pPr>
              <w:pStyle w:val="Heading1"/>
              <w:rPr>
                <w:rFonts w:ascii="Times New Roman" w:eastAsia="Times New Roman" w:hAnsi="Times New Roman"/>
                <w:sz w:val="24"/>
                <w:szCs w:val="24"/>
                <w:lang w:eastAsia="es-ES_tradnl"/>
              </w:rPr>
            </w:pPr>
          </w:p>
        </w:tc>
      </w:tr>
      <w:tr w:rsidR="00E026FB" w:rsidRPr="00A30C4C" w14:paraId="23D98720" w14:textId="77777777" w:rsidTr="00E10B85">
        <w:tc>
          <w:tcPr>
            <w:tcW w:w="1568" w:type="dxa"/>
          </w:tcPr>
          <w:p w14:paraId="3F8AB288"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46EFE09A"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RAŠČLAMBA PREMA RAZLOGU ZA PRIMJENU PRISTUPA SEC-ERBA</w:t>
            </w:r>
          </w:p>
          <w:p w14:paraId="7B883B93" w14:textId="77777777" w:rsidR="00E026FB" w:rsidRPr="00A30C4C" w:rsidRDefault="00E026FB" w:rsidP="00E10B85">
            <w:pPr>
              <w:spacing w:before="0" w:after="0"/>
              <w:rPr>
                <w:rFonts w:ascii="Times New Roman" w:hAnsi="Times New Roman"/>
                <w:b/>
                <w:sz w:val="24"/>
                <w:u w:val="single"/>
              </w:rPr>
            </w:pPr>
          </w:p>
          <w:p w14:paraId="3462691E" w14:textId="77777777" w:rsidR="00E026FB" w:rsidRPr="00A30C4C" w:rsidRDefault="00E026FB" w:rsidP="00E10B85">
            <w:pPr>
              <w:spacing w:before="0" w:after="0"/>
              <w:rPr>
                <w:rFonts w:ascii="Times New Roman" w:hAnsi="Times New Roman"/>
                <w:sz w:val="24"/>
              </w:rPr>
            </w:pPr>
            <w:r>
              <w:rPr>
                <w:rFonts w:ascii="Times New Roman" w:hAnsi="Times New Roman"/>
                <w:sz w:val="24"/>
              </w:rPr>
              <w:t xml:space="preserve">Za svaku </w:t>
            </w:r>
            <w:proofErr w:type="spellStart"/>
            <w:r>
              <w:rPr>
                <w:rFonts w:ascii="Times New Roman" w:hAnsi="Times New Roman"/>
                <w:sz w:val="24"/>
              </w:rPr>
              <w:t>sekuritizacijsku</w:t>
            </w:r>
            <w:proofErr w:type="spellEnd"/>
            <w:r>
              <w:rPr>
                <w:rFonts w:ascii="Times New Roman" w:hAnsi="Times New Roman"/>
                <w:sz w:val="24"/>
              </w:rPr>
              <w:t xml:space="preserve"> poziciju institucije razmatraju jednu od sljedećih opcija u stupcima 0580-0620.</w:t>
            </w:r>
          </w:p>
          <w:p w14:paraId="3E678156" w14:textId="77777777" w:rsidR="00E026FB" w:rsidRPr="00A30C4C" w:rsidRDefault="00E026FB" w:rsidP="00E10B85">
            <w:pPr>
              <w:spacing w:before="0" w:after="0"/>
              <w:rPr>
                <w:rFonts w:ascii="Times New Roman" w:hAnsi="Times New Roman"/>
                <w:sz w:val="24"/>
                <w:u w:val="single"/>
              </w:rPr>
            </w:pPr>
          </w:p>
        </w:tc>
      </w:tr>
      <w:tr w:rsidR="00E026FB" w:rsidRPr="00A30C4C" w14:paraId="1C6448C8" w14:textId="77777777" w:rsidTr="00E10B85">
        <w:tc>
          <w:tcPr>
            <w:tcW w:w="1568" w:type="dxa"/>
          </w:tcPr>
          <w:p w14:paraId="6B21AA05"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05846207"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KREDITI ZA KUPNJU AUTOMOBILA, NAJMOVI AUTOMOBILA I NAJMOVI OPREME</w:t>
            </w:r>
          </w:p>
          <w:p w14:paraId="42B162B6" w14:textId="77777777" w:rsidR="00E026FB" w:rsidRPr="00A30C4C" w:rsidRDefault="00E026FB" w:rsidP="00E10B85">
            <w:pPr>
              <w:spacing w:before="0" w:after="0"/>
              <w:rPr>
                <w:rFonts w:ascii="Times New Roman" w:hAnsi="Times New Roman"/>
                <w:b/>
                <w:sz w:val="24"/>
                <w:u w:val="single"/>
              </w:rPr>
            </w:pPr>
          </w:p>
          <w:p w14:paraId="2A24B47D" w14:textId="62BCF229" w:rsidR="001E0C80" w:rsidRPr="00A30C4C" w:rsidRDefault="001E0C80" w:rsidP="00E10B85">
            <w:pPr>
              <w:spacing w:before="0" w:after="0"/>
              <w:rPr>
                <w:rFonts w:ascii="Times New Roman" w:hAnsi="Times New Roman"/>
                <w:sz w:val="24"/>
              </w:rPr>
            </w:pPr>
            <w:r>
              <w:rPr>
                <w:rFonts w:ascii="Times New Roman" w:hAnsi="Times New Roman"/>
                <w:sz w:val="24"/>
              </w:rPr>
              <w:t xml:space="preserve">Članak 254. stavak 2. točka (c) CRR-a </w:t>
            </w:r>
          </w:p>
          <w:p w14:paraId="5D2CE71D" w14:textId="77777777" w:rsidR="001E0C80" w:rsidRPr="00A30C4C" w:rsidRDefault="001E0C80" w:rsidP="00E10B85">
            <w:pPr>
              <w:spacing w:before="0" w:after="0"/>
              <w:rPr>
                <w:rFonts w:ascii="Times New Roman" w:hAnsi="Times New Roman"/>
                <w:sz w:val="24"/>
              </w:rPr>
            </w:pPr>
          </w:p>
          <w:p w14:paraId="2A586696" w14:textId="2FAEBD6A" w:rsidR="00E026FB" w:rsidRPr="00A30C4C" w:rsidRDefault="00FC5515" w:rsidP="00E10B85">
            <w:pPr>
              <w:spacing w:before="0" w:after="0"/>
              <w:rPr>
                <w:rFonts w:ascii="Times New Roman" w:hAnsi="Times New Roman"/>
                <w:b/>
                <w:sz w:val="24"/>
                <w:u w:val="single"/>
              </w:rPr>
            </w:pPr>
            <w:r>
              <w:rPr>
                <w:rFonts w:ascii="Times New Roman" w:hAnsi="Times New Roman"/>
                <w:sz w:val="24"/>
              </w:rPr>
              <w:lastRenderedPageBreak/>
              <w:t>U ovom se stupcu iskazuju svi krediti za kupnju automobila, najmovi automobila i najmovi opreme, čak i ako ispunjavaju uvjete za članak 254. stavak 2. točku (a) ili (b) CRR-a.</w:t>
            </w:r>
          </w:p>
        </w:tc>
      </w:tr>
      <w:tr w:rsidR="00E026FB" w:rsidRPr="0002267E" w14:paraId="61107D9E" w14:textId="77777777" w:rsidTr="00E10B85">
        <w:tc>
          <w:tcPr>
            <w:tcW w:w="1568" w:type="dxa"/>
          </w:tcPr>
          <w:p w14:paraId="4E48F4A6"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0590</w:t>
            </w:r>
          </w:p>
        </w:tc>
        <w:tc>
          <w:tcPr>
            <w:tcW w:w="7436" w:type="dxa"/>
          </w:tcPr>
          <w:p w14:paraId="5FDE75E5" w14:textId="77777777" w:rsidR="00E026FB" w:rsidRPr="0002267E" w:rsidRDefault="00E026FB" w:rsidP="00E10B85">
            <w:pPr>
              <w:spacing w:before="0" w:after="0"/>
              <w:rPr>
                <w:rFonts w:ascii="Times New Roman" w:hAnsi="Times New Roman"/>
                <w:b/>
                <w:sz w:val="24"/>
                <w:u w:val="single"/>
              </w:rPr>
            </w:pPr>
            <w:r>
              <w:rPr>
                <w:rFonts w:ascii="Times New Roman" w:hAnsi="Times New Roman"/>
                <w:b/>
                <w:sz w:val="24"/>
                <w:u w:val="single"/>
              </w:rPr>
              <w:t>OPCIJA SEC-ERBA</w:t>
            </w:r>
          </w:p>
          <w:p w14:paraId="745DBA1D" w14:textId="77777777" w:rsidR="00E026FB" w:rsidRPr="0039290F" w:rsidRDefault="00E026FB" w:rsidP="00E10B85">
            <w:pPr>
              <w:spacing w:before="0" w:after="0"/>
              <w:rPr>
                <w:rFonts w:ascii="Times New Roman" w:hAnsi="Times New Roman"/>
                <w:b/>
                <w:sz w:val="24"/>
                <w:u w:val="single"/>
                <w:lang w:val="en-US"/>
              </w:rPr>
            </w:pPr>
          </w:p>
          <w:p w14:paraId="4AB9E844" w14:textId="0224B0AE" w:rsidR="00E026FB" w:rsidRPr="0002267E" w:rsidRDefault="00E026FB" w:rsidP="00E10B85">
            <w:pPr>
              <w:spacing w:before="0" w:after="0"/>
              <w:rPr>
                <w:rFonts w:ascii="Times New Roman" w:hAnsi="Times New Roman"/>
                <w:sz w:val="24"/>
              </w:rPr>
            </w:pPr>
            <w:r>
              <w:rPr>
                <w:rFonts w:ascii="Times New Roman" w:hAnsi="Times New Roman"/>
                <w:sz w:val="24"/>
              </w:rPr>
              <w:t>Članak 254. stavak 3. CRR-a</w:t>
            </w:r>
          </w:p>
          <w:p w14:paraId="59104AC0" w14:textId="77777777" w:rsidR="00E026FB" w:rsidRPr="0002267E" w:rsidRDefault="00E026FB" w:rsidP="00E10B85">
            <w:pPr>
              <w:spacing w:before="0" w:after="0"/>
              <w:rPr>
                <w:rFonts w:ascii="Times New Roman" w:hAnsi="Times New Roman"/>
                <w:b/>
                <w:sz w:val="24"/>
                <w:u w:val="single"/>
                <w:lang w:val="fr-BE"/>
              </w:rPr>
            </w:pPr>
          </w:p>
        </w:tc>
      </w:tr>
      <w:tr w:rsidR="00E026FB" w:rsidRPr="00A30C4C" w14:paraId="3BE197CE" w14:textId="77777777" w:rsidTr="00E10B85">
        <w:tc>
          <w:tcPr>
            <w:tcW w:w="1568" w:type="dxa"/>
          </w:tcPr>
          <w:p w14:paraId="50AFF662"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098BDB3B" w14:textId="60FD329F" w:rsidR="00E026FB" w:rsidRPr="00A30C4C" w:rsidRDefault="00E026FB" w:rsidP="00E10B85">
            <w:pPr>
              <w:spacing w:before="0" w:after="0"/>
              <w:rPr>
                <w:rFonts w:ascii="Times New Roman" w:hAnsi="Times New Roman"/>
                <w:b/>
                <w:bCs/>
                <w:sz w:val="24"/>
                <w:u w:val="single"/>
              </w:rPr>
            </w:pPr>
            <w:r>
              <w:rPr>
                <w:rFonts w:ascii="Times New Roman" w:hAnsi="Times New Roman"/>
                <w:b/>
                <w:bCs/>
                <w:sz w:val="24"/>
                <w:u w:val="single"/>
              </w:rPr>
              <w:t>POZICIJE NA KOJE SE PRIMJENJUJE ČLANAK 254. STAVAK 2. TOČKA (a) CRR-a</w:t>
            </w:r>
          </w:p>
          <w:p w14:paraId="556620CD" w14:textId="77777777" w:rsidR="00E026FB" w:rsidRPr="00A30C4C" w:rsidRDefault="00E026FB" w:rsidP="00E10B85">
            <w:pPr>
              <w:spacing w:before="0" w:after="0"/>
              <w:rPr>
                <w:rFonts w:ascii="Times New Roman" w:hAnsi="Times New Roman"/>
                <w:b/>
                <w:bCs/>
                <w:sz w:val="24"/>
                <w:u w:val="single"/>
              </w:rPr>
            </w:pPr>
          </w:p>
          <w:p w14:paraId="4A05456B" w14:textId="66D8DC30" w:rsidR="00E026FB" w:rsidRPr="00A30C4C" w:rsidRDefault="001E0C80" w:rsidP="00E10B85">
            <w:pPr>
              <w:spacing w:before="0" w:after="0"/>
              <w:rPr>
                <w:rFonts w:ascii="Times New Roman" w:hAnsi="Times New Roman"/>
                <w:sz w:val="24"/>
              </w:rPr>
            </w:pPr>
            <w:r>
              <w:rPr>
                <w:rFonts w:ascii="Times New Roman" w:hAnsi="Times New Roman"/>
                <w:sz w:val="24"/>
              </w:rPr>
              <w:t>Članak 254. stavak 2. točka (a) CRR-a</w:t>
            </w:r>
          </w:p>
          <w:p w14:paraId="4744F7C2" w14:textId="77777777" w:rsidR="00E026FB" w:rsidRPr="00A30C4C" w:rsidRDefault="00E026FB" w:rsidP="00E10B85">
            <w:pPr>
              <w:spacing w:before="0" w:after="0"/>
              <w:rPr>
                <w:rFonts w:ascii="Times New Roman" w:hAnsi="Times New Roman"/>
                <w:sz w:val="24"/>
              </w:rPr>
            </w:pPr>
          </w:p>
        </w:tc>
      </w:tr>
      <w:tr w:rsidR="00E026FB" w:rsidRPr="00A30C4C" w14:paraId="501BCF2F" w14:textId="77777777" w:rsidTr="00E10B85">
        <w:tc>
          <w:tcPr>
            <w:tcW w:w="1568" w:type="dxa"/>
          </w:tcPr>
          <w:p w14:paraId="58899ADE"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3207191B" w14:textId="113C2A39"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POZICIJE NA KOJE SE PRIMJENJUJE ČLANAK 254. STAVAK 2. TOČKA (b) CRR-a </w:t>
            </w:r>
          </w:p>
          <w:p w14:paraId="555AEE35" w14:textId="77777777" w:rsidR="00E026FB" w:rsidRPr="00A30C4C" w:rsidRDefault="00E026FB" w:rsidP="00E10B85">
            <w:pPr>
              <w:spacing w:before="0" w:after="0"/>
              <w:rPr>
                <w:rFonts w:ascii="Times New Roman" w:hAnsi="Times New Roman"/>
                <w:b/>
                <w:sz w:val="24"/>
                <w:u w:val="single"/>
              </w:rPr>
            </w:pPr>
          </w:p>
          <w:p w14:paraId="1C715972" w14:textId="06F7C58E" w:rsidR="00E026FB" w:rsidRPr="00A30C4C" w:rsidRDefault="001E0C80" w:rsidP="00E10B85">
            <w:pPr>
              <w:spacing w:before="0" w:after="0"/>
              <w:rPr>
                <w:rFonts w:ascii="Times New Roman" w:hAnsi="Times New Roman"/>
                <w:sz w:val="24"/>
              </w:rPr>
            </w:pPr>
            <w:r>
              <w:rPr>
                <w:rFonts w:ascii="Times New Roman" w:hAnsi="Times New Roman"/>
                <w:sz w:val="24"/>
              </w:rPr>
              <w:t>Članak 254. stavak 2. točka (b) CRR-a</w:t>
            </w:r>
          </w:p>
          <w:p w14:paraId="43813D5C" w14:textId="77777777" w:rsidR="00E026FB" w:rsidRPr="00A30C4C" w:rsidRDefault="00E026FB" w:rsidP="00E10B85">
            <w:pPr>
              <w:spacing w:before="0" w:after="0"/>
              <w:rPr>
                <w:rFonts w:ascii="Times New Roman" w:hAnsi="Times New Roman"/>
                <w:b/>
                <w:sz w:val="24"/>
                <w:u w:val="single"/>
              </w:rPr>
            </w:pPr>
          </w:p>
        </w:tc>
      </w:tr>
      <w:tr w:rsidR="00E026FB" w:rsidRPr="00A30C4C" w14:paraId="5778B0D0" w14:textId="77777777" w:rsidTr="00E10B85">
        <w:tc>
          <w:tcPr>
            <w:tcW w:w="1568" w:type="dxa"/>
          </w:tcPr>
          <w:p w14:paraId="55E812F8"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432C8637" w14:textId="338BC9D0" w:rsidR="00962BBD" w:rsidRDefault="00E026FB" w:rsidP="00E10B85">
            <w:pPr>
              <w:spacing w:before="0" w:after="0"/>
              <w:rPr>
                <w:rFonts w:ascii="Times New Roman" w:hAnsi="Times New Roman"/>
                <w:b/>
                <w:bCs/>
                <w:sz w:val="24"/>
                <w:u w:val="single"/>
              </w:rPr>
            </w:pPr>
            <w:r>
              <w:rPr>
                <w:rFonts w:ascii="Times New Roman" w:hAnsi="Times New Roman"/>
                <w:b/>
                <w:bCs/>
                <w:sz w:val="24"/>
                <w:u w:val="single"/>
              </w:rPr>
              <w:t>POZICIJE NA KOJE SE PRIMJENJUJE ČLANAK 254. STAVAK 4. ILI ČLANAK 258. STAVAK 2. CRR-A</w:t>
            </w:r>
          </w:p>
          <w:p w14:paraId="1E25C8D2" w14:textId="22017101" w:rsidR="00962BBD" w:rsidRDefault="00962BBD" w:rsidP="00E10B85">
            <w:pPr>
              <w:spacing w:before="0" w:after="0"/>
              <w:rPr>
                <w:rFonts w:ascii="Times New Roman" w:hAnsi="Times New Roman"/>
                <w:sz w:val="24"/>
              </w:rPr>
            </w:pPr>
          </w:p>
          <w:p w14:paraId="2A95D5CA" w14:textId="29BE4579" w:rsidR="00E026FB" w:rsidRPr="00A30C4C"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na koje se primjenjuje pristup SEC-ERBA, ako su nadležna tijela onemogućila primjenu pristupa SEC-IRBA ili SEC-SA u skladu s člankom 254. stavkom 4. ili člankom 258. stavkom 2. CRR-a.</w:t>
            </w:r>
          </w:p>
          <w:p w14:paraId="51377462" w14:textId="77777777" w:rsidR="00E026FB" w:rsidRPr="00A30C4C" w:rsidRDefault="00E026FB" w:rsidP="00E10B85">
            <w:pPr>
              <w:spacing w:before="0" w:after="0"/>
              <w:rPr>
                <w:rFonts w:ascii="Times New Roman" w:hAnsi="Times New Roman"/>
                <w:b/>
                <w:sz w:val="24"/>
                <w:u w:val="single"/>
              </w:rPr>
            </w:pPr>
          </w:p>
        </w:tc>
      </w:tr>
      <w:tr w:rsidR="00E026FB" w:rsidRPr="00A30C4C" w14:paraId="0DE28F3C" w14:textId="77777777" w:rsidTr="00E10B85">
        <w:tc>
          <w:tcPr>
            <w:tcW w:w="1568" w:type="dxa"/>
          </w:tcPr>
          <w:p w14:paraId="4C23F3E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1A50C4AE"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xml:space="preserve">POŠTOVANJE HIJERARHIJE PRISTUPA </w:t>
            </w:r>
          </w:p>
          <w:p w14:paraId="2795FFEF" w14:textId="77777777" w:rsidR="00E026FB" w:rsidRPr="00A30C4C" w:rsidRDefault="00E026FB" w:rsidP="00E10B85">
            <w:pPr>
              <w:spacing w:before="0" w:after="0"/>
              <w:rPr>
                <w:rFonts w:ascii="Times New Roman" w:hAnsi="Times New Roman"/>
                <w:b/>
                <w:sz w:val="24"/>
                <w:u w:val="single"/>
              </w:rPr>
            </w:pPr>
          </w:p>
          <w:p w14:paraId="40883A8F" w14:textId="1D54E6E8" w:rsidR="00E026FB" w:rsidRPr="00A30C4C" w:rsidRDefault="00E026FB" w:rsidP="00E10B85">
            <w:pPr>
              <w:spacing w:before="0" w:after="0"/>
              <w:rPr>
                <w:rFonts w:ascii="Times New Roman" w:hAnsi="Times New Roman"/>
                <w:sz w:val="24"/>
              </w:rPr>
            </w:pPr>
            <w:proofErr w:type="spellStart"/>
            <w:r>
              <w:rPr>
                <w:rFonts w:ascii="Times New Roman" w:hAnsi="Times New Roman"/>
                <w:sz w:val="24"/>
              </w:rPr>
              <w:t>Sekuritizacijske</w:t>
            </w:r>
            <w:proofErr w:type="spellEnd"/>
            <w:r>
              <w:rPr>
                <w:rFonts w:ascii="Times New Roman" w:hAnsi="Times New Roman"/>
                <w:sz w:val="24"/>
              </w:rPr>
              <w:t xml:space="preserve"> pozicije na koje se primjenjuje pristup SEC-ERBA poštujući hijerarhiju pristupa propisanu u članku 254. stavku 1. CRR-a.</w:t>
            </w:r>
          </w:p>
          <w:p w14:paraId="453B4568" w14:textId="77777777" w:rsidR="00E026FB" w:rsidRPr="00A30C4C" w:rsidRDefault="00E026FB" w:rsidP="00E10B85">
            <w:pPr>
              <w:spacing w:before="0" w:after="0"/>
              <w:rPr>
                <w:rFonts w:ascii="Times New Roman" w:hAnsi="Times New Roman"/>
                <w:b/>
                <w:sz w:val="24"/>
                <w:u w:val="single"/>
              </w:rPr>
            </w:pPr>
          </w:p>
        </w:tc>
      </w:tr>
      <w:tr w:rsidR="00E026FB" w:rsidRPr="00A30C4C" w14:paraId="56DC25F7" w14:textId="77777777" w:rsidTr="00E10B85">
        <w:tc>
          <w:tcPr>
            <w:tcW w:w="1568" w:type="dxa"/>
          </w:tcPr>
          <w:p w14:paraId="479DAC3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06E4956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PRISTUP INTERNE PROCJENE</w:t>
            </w:r>
          </w:p>
          <w:p w14:paraId="0A440E40" w14:textId="77777777" w:rsidR="00E026FB" w:rsidRPr="00A30C4C" w:rsidRDefault="00E026FB" w:rsidP="00E10B85">
            <w:pPr>
              <w:spacing w:before="0" w:after="0"/>
              <w:jc w:val="left"/>
              <w:rPr>
                <w:rFonts w:ascii="Times New Roman" w:hAnsi="Times New Roman"/>
                <w:sz w:val="24"/>
              </w:rPr>
            </w:pPr>
          </w:p>
          <w:p w14:paraId="6FE35675" w14:textId="5682F568" w:rsidR="00E026FB" w:rsidRPr="00A30C4C" w:rsidRDefault="008F2C6B" w:rsidP="00E10B85">
            <w:pPr>
              <w:spacing w:before="0" w:after="0"/>
              <w:rPr>
                <w:rFonts w:ascii="Times New Roman" w:hAnsi="Times New Roman"/>
                <w:sz w:val="24"/>
              </w:rPr>
            </w:pPr>
            <w:r>
              <w:rPr>
                <w:rFonts w:ascii="Times New Roman" w:hAnsi="Times New Roman"/>
                <w:sz w:val="24"/>
              </w:rPr>
              <w:t>Člankom 254. stavkom 5. CRR-a predviđen je „pristup interne procjene” za pozicije u programima ABCP.</w:t>
            </w:r>
          </w:p>
          <w:p w14:paraId="7F78C2F5" w14:textId="77777777" w:rsidR="00E026FB" w:rsidRPr="00A30C4C" w:rsidRDefault="00E026FB" w:rsidP="00E10B85">
            <w:pPr>
              <w:spacing w:before="0" w:after="0"/>
              <w:jc w:val="left"/>
              <w:rPr>
                <w:rFonts w:ascii="Times New Roman" w:hAnsi="Times New Roman"/>
                <w:sz w:val="24"/>
              </w:rPr>
            </w:pPr>
          </w:p>
        </w:tc>
      </w:tr>
      <w:tr w:rsidR="00E026FB" w:rsidRPr="00A30C4C" w14:paraId="0615923D" w14:textId="77777777" w:rsidTr="00E10B85">
        <w:tc>
          <w:tcPr>
            <w:tcW w:w="1568" w:type="dxa"/>
          </w:tcPr>
          <w:p w14:paraId="56A96366" w14:textId="77777777" w:rsidR="00E026FB" w:rsidRPr="00A30C4C"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3B5724C2"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RAŠČLAMBA PREMA RASPONIMA PONDERA RIZIKA</w:t>
            </w:r>
          </w:p>
          <w:p w14:paraId="192A051D" w14:textId="77777777" w:rsidR="00E026FB" w:rsidRPr="00A30C4C" w:rsidRDefault="00E026FB" w:rsidP="00E10B85">
            <w:pPr>
              <w:spacing w:before="0" w:after="0"/>
              <w:jc w:val="left"/>
              <w:rPr>
                <w:rFonts w:ascii="Times New Roman" w:hAnsi="Times New Roman"/>
                <w:sz w:val="24"/>
              </w:rPr>
            </w:pPr>
          </w:p>
          <w:p w14:paraId="7C12ECD1" w14:textId="790D7869" w:rsidR="00E026FB" w:rsidRPr="00A30C4C" w:rsidRDefault="00E026FB" w:rsidP="00E10B85">
            <w:pPr>
              <w:spacing w:before="0" w:after="0"/>
              <w:jc w:val="left"/>
              <w:rPr>
                <w:rFonts w:ascii="Times New Roman" w:hAnsi="Times New Roman"/>
                <w:sz w:val="24"/>
              </w:rPr>
            </w:pPr>
            <w:r>
              <w:rPr>
                <w:rFonts w:ascii="Times New Roman" w:hAnsi="Times New Roman"/>
                <w:sz w:val="24"/>
              </w:rPr>
              <w:t>Izloženosti u skladu s pristupom interne procjene raščlanjene prema rasponima pondera rizika.</w:t>
            </w:r>
          </w:p>
          <w:p w14:paraId="7D141278"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B79B5B6" w14:textId="77777777" w:rsidTr="00E10B85">
        <w:tc>
          <w:tcPr>
            <w:tcW w:w="1568" w:type="dxa"/>
          </w:tcPr>
          <w:p w14:paraId="0497DF64"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14:paraId="5161BFC4"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OSTALO (PONDER RIZIKA = 1 250 %)</w:t>
            </w:r>
          </w:p>
          <w:p w14:paraId="2E06A423" w14:textId="77777777" w:rsidR="00E026FB" w:rsidRPr="00A30C4C" w:rsidRDefault="00E026FB" w:rsidP="00E10B85">
            <w:pPr>
              <w:spacing w:before="0" w:after="0"/>
              <w:jc w:val="left"/>
              <w:rPr>
                <w:rFonts w:ascii="Times New Roman" w:hAnsi="Times New Roman"/>
                <w:b/>
                <w:sz w:val="24"/>
                <w:u w:val="single"/>
              </w:rPr>
            </w:pPr>
          </w:p>
          <w:p w14:paraId="4FD395B3" w14:textId="6A0B5D49" w:rsidR="00E026FB" w:rsidRPr="00A30C4C" w:rsidRDefault="00D021AF" w:rsidP="00E10B85">
            <w:pPr>
              <w:spacing w:before="0" w:after="0"/>
              <w:jc w:val="left"/>
              <w:rPr>
                <w:rFonts w:ascii="Times New Roman" w:hAnsi="Times New Roman"/>
                <w:sz w:val="24"/>
              </w:rPr>
            </w:pPr>
            <w:r>
              <w:rPr>
                <w:rFonts w:ascii="Times New Roman" w:hAnsi="Times New Roman"/>
                <w:sz w:val="24"/>
              </w:rPr>
              <w:t xml:space="preserve">Ako nije primijenjen nijedan od prethodno navedenih pristupa, </w:t>
            </w:r>
            <w:proofErr w:type="spellStart"/>
            <w:r>
              <w:rPr>
                <w:rFonts w:ascii="Times New Roman" w:hAnsi="Times New Roman"/>
                <w:sz w:val="24"/>
              </w:rPr>
              <w:t>sekuritizacijskim</w:t>
            </w:r>
            <w:proofErr w:type="spellEnd"/>
            <w:r>
              <w:rPr>
                <w:rFonts w:ascii="Times New Roman" w:hAnsi="Times New Roman"/>
                <w:sz w:val="24"/>
              </w:rPr>
              <w:t xml:space="preserve"> pozicijama pripisuje se ponder rizika od 1 250 % u skladu s člankom 254. stavkom 7. CRR-a.</w:t>
            </w:r>
          </w:p>
          <w:p w14:paraId="0322DCB5"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575497AC" w14:textId="77777777" w:rsidTr="00E10B85">
        <w:tc>
          <w:tcPr>
            <w:tcW w:w="1568" w:type="dxa"/>
          </w:tcPr>
          <w:p w14:paraId="373CFC88"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14:paraId="39B0D01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IZNOS IZLOŽENOSTI PONDERIRAN RIZIKOM</w:t>
            </w:r>
          </w:p>
          <w:p w14:paraId="4F2BBE4C" w14:textId="77777777" w:rsidR="00E026FB" w:rsidRPr="00A30C4C" w:rsidRDefault="00E026FB" w:rsidP="00E10B85">
            <w:pPr>
              <w:spacing w:before="0" w:after="0"/>
              <w:jc w:val="left"/>
              <w:rPr>
                <w:rFonts w:ascii="Times New Roman" w:hAnsi="Times New Roman"/>
                <w:sz w:val="24"/>
              </w:rPr>
            </w:pPr>
          </w:p>
          <w:p w14:paraId="5C304F6F" w14:textId="57CEBC6A" w:rsidR="00E026FB" w:rsidRPr="00A30C4C" w:rsidRDefault="00E026FB" w:rsidP="00E10B85">
            <w:pPr>
              <w:spacing w:before="0" w:after="0"/>
              <w:rPr>
                <w:rFonts w:ascii="Times New Roman" w:hAnsi="Times New Roman"/>
                <w:sz w:val="24"/>
              </w:rPr>
            </w:pPr>
            <w:r>
              <w:rPr>
                <w:rFonts w:ascii="Times New Roman" w:hAnsi="Times New Roman"/>
                <w:sz w:val="24"/>
              </w:rPr>
              <w:t xml:space="preserve">Ukupni iznos izloženosti ponderiran rizikom izračunan u skladu s dijelom trećim glavom II. poglavljem 5. odjeljkom 3. CRR-a, prije usklađenja zbog ročne neusklađenosti ili kršenja odredaba o dubinskoj analizi, i isključujući </w:t>
            </w:r>
            <w:r>
              <w:rPr>
                <w:rFonts w:ascii="Times New Roman" w:hAnsi="Times New Roman"/>
                <w:sz w:val="24"/>
              </w:rPr>
              <w:lastRenderedPageBreak/>
              <w:t xml:space="preserve">svaki iznos izloženosti ponderiran rizikom koji odgovara izloženostima koje su ponovno raspodijeljene preko odljeva u drugi obrazac. </w:t>
            </w:r>
          </w:p>
          <w:p w14:paraId="44644FC2" w14:textId="77777777" w:rsidR="00E026FB" w:rsidRPr="00A30C4C" w:rsidRDefault="00E026FB" w:rsidP="00E10B85">
            <w:pPr>
              <w:spacing w:before="0" w:after="0"/>
              <w:rPr>
                <w:rFonts w:ascii="Times New Roman" w:hAnsi="Times New Roman"/>
                <w:sz w:val="24"/>
              </w:rPr>
            </w:pPr>
          </w:p>
        </w:tc>
      </w:tr>
      <w:tr w:rsidR="00E026FB" w:rsidRPr="00A30C4C" w14:paraId="3B5BB759" w14:textId="77777777" w:rsidTr="00E10B85">
        <w:tc>
          <w:tcPr>
            <w:tcW w:w="1568" w:type="dxa"/>
          </w:tcPr>
          <w:p w14:paraId="634B8549" w14:textId="77777777" w:rsidR="00E026FB" w:rsidRPr="00A30C4C"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0840</w:t>
            </w:r>
          </w:p>
        </w:tc>
        <w:tc>
          <w:tcPr>
            <w:tcW w:w="7436" w:type="dxa"/>
          </w:tcPr>
          <w:p w14:paraId="63453F9F"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PRISTUP INTERNE PROCJENE: PROSJEČNI PONDER RIZIKA (%)</w:t>
            </w:r>
          </w:p>
          <w:p w14:paraId="72A6AB7F" w14:textId="77777777" w:rsidR="00E026FB" w:rsidRPr="00A30C4C" w:rsidRDefault="00E026FB" w:rsidP="00E10B85">
            <w:pPr>
              <w:spacing w:before="0" w:after="0"/>
              <w:rPr>
                <w:rFonts w:ascii="Times New Roman" w:hAnsi="Times New Roman"/>
                <w:sz w:val="24"/>
              </w:rPr>
            </w:pPr>
          </w:p>
          <w:p w14:paraId="7F0E2730" w14:textId="77777777" w:rsidR="00E026FB" w:rsidRPr="00A30C4C" w:rsidRDefault="00E026FB" w:rsidP="00E10B85">
            <w:pPr>
              <w:spacing w:before="0" w:after="0"/>
              <w:jc w:val="left"/>
              <w:rPr>
                <w:rFonts w:ascii="Times New Roman" w:hAnsi="Times New Roman"/>
                <w:sz w:val="24"/>
              </w:rPr>
            </w:pPr>
            <w:r>
              <w:rPr>
                <w:rFonts w:ascii="Times New Roman" w:hAnsi="Times New Roman"/>
                <w:sz w:val="24"/>
              </w:rPr>
              <w:t xml:space="preserve">Prosječni ponder rizika ponderiran izloženošću </w:t>
            </w:r>
            <w:proofErr w:type="spellStart"/>
            <w:r>
              <w:rPr>
                <w:rFonts w:ascii="Times New Roman" w:hAnsi="Times New Roman"/>
                <w:sz w:val="24"/>
              </w:rPr>
              <w:t>sekuritizacijskih</w:t>
            </w:r>
            <w:proofErr w:type="spellEnd"/>
            <w:r>
              <w:rPr>
                <w:rFonts w:ascii="Times New Roman" w:hAnsi="Times New Roman"/>
                <w:sz w:val="24"/>
              </w:rPr>
              <w:t xml:space="preserve"> pozicija iskazuje se u ovom stupcu.</w:t>
            </w:r>
          </w:p>
          <w:p w14:paraId="5D02469C" w14:textId="77777777" w:rsidR="00E026FB" w:rsidRPr="00A30C4C" w:rsidRDefault="00E026FB" w:rsidP="00E10B85">
            <w:pPr>
              <w:spacing w:before="0" w:after="0"/>
              <w:jc w:val="left"/>
              <w:rPr>
                <w:rFonts w:ascii="Times New Roman" w:hAnsi="Times New Roman"/>
                <w:sz w:val="24"/>
              </w:rPr>
            </w:pPr>
          </w:p>
        </w:tc>
      </w:tr>
      <w:tr w:rsidR="00E026FB" w:rsidRPr="00A30C4C" w14:paraId="12CC8BA0" w14:textId="77777777" w:rsidTr="00E10B85">
        <w:tc>
          <w:tcPr>
            <w:tcW w:w="1568" w:type="dxa"/>
          </w:tcPr>
          <w:p w14:paraId="4895A1A8" w14:textId="77777777" w:rsidR="00E026FB" w:rsidRPr="00A30C4C"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F677915"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IZNOSI IZLOŽENOSTI PONDERIRANI RIZIKOM, OD ČEGA: SINTETSKE SEKURITIZACIJE</w:t>
            </w:r>
          </w:p>
          <w:p w14:paraId="2F9CE64F" w14:textId="77777777" w:rsidR="00E026FB" w:rsidRPr="00A30C4C" w:rsidRDefault="00E026FB" w:rsidP="00E10B85">
            <w:pPr>
              <w:spacing w:before="0" w:after="0"/>
              <w:jc w:val="left"/>
              <w:rPr>
                <w:rFonts w:ascii="Times New Roman" w:hAnsi="Times New Roman"/>
                <w:sz w:val="24"/>
              </w:rPr>
            </w:pPr>
          </w:p>
          <w:p w14:paraId="313C29B6" w14:textId="77777777" w:rsidR="00E026FB" w:rsidRPr="00A30C4C" w:rsidRDefault="00E026FB" w:rsidP="00E10B85">
            <w:pPr>
              <w:spacing w:before="0" w:after="0"/>
              <w:rPr>
                <w:rFonts w:ascii="Times New Roman" w:hAnsi="Times New Roman"/>
                <w:sz w:val="24"/>
              </w:rPr>
            </w:pPr>
            <w:r>
              <w:rPr>
                <w:rFonts w:ascii="Times New Roman" w:hAnsi="Times New Roman"/>
                <w:sz w:val="24"/>
              </w:rPr>
              <w:t xml:space="preserve">Za sintetske </w:t>
            </w:r>
            <w:proofErr w:type="spellStart"/>
            <w:r>
              <w:rPr>
                <w:rFonts w:ascii="Times New Roman" w:hAnsi="Times New Roman"/>
                <w:sz w:val="24"/>
              </w:rPr>
              <w:t>sekuritizacije</w:t>
            </w:r>
            <w:proofErr w:type="spellEnd"/>
            <w:r>
              <w:rPr>
                <w:rFonts w:ascii="Times New Roman" w:hAnsi="Times New Roman"/>
                <w:sz w:val="24"/>
              </w:rPr>
              <w:t xml:space="preserve"> s ročnim neusklađenostima, u iznosu koji se iskazuje u ovom stupcu zanemaruje se bilo kakva ročna neusklađenost.</w:t>
            </w:r>
          </w:p>
          <w:p w14:paraId="6C18E9C1" w14:textId="77777777" w:rsidR="00E026FB" w:rsidRPr="00A30C4C" w:rsidRDefault="00E026FB" w:rsidP="00E10B85">
            <w:pPr>
              <w:spacing w:before="0" w:after="0"/>
              <w:jc w:val="left"/>
              <w:rPr>
                <w:rFonts w:ascii="Times New Roman" w:hAnsi="Times New Roman"/>
                <w:sz w:val="24"/>
              </w:rPr>
            </w:pPr>
          </w:p>
        </w:tc>
      </w:tr>
      <w:tr w:rsidR="00E026FB" w:rsidRPr="00A30C4C" w14:paraId="01314054" w14:textId="77777777" w:rsidTr="00E10B85">
        <w:tc>
          <w:tcPr>
            <w:tcW w:w="1568" w:type="dxa"/>
          </w:tcPr>
          <w:p w14:paraId="4C152C00"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6345E2A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USKLAĐENJE IZNOSA IZLOŽENOSTI PONDERIRANOG RIZIKOM ZBOG ROČNIH NEUSKLAĐENOSTI</w:t>
            </w:r>
          </w:p>
          <w:p w14:paraId="0B14F4AB" w14:textId="77777777" w:rsidR="00E026FB" w:rsidRPr="00A30C4C" w:rsidRDefault="00E026FB" w:rsidP="00E10B85">
            <w:pPr>
              <w:spacing w:before="0" w:after="0"/>
              <w:jc w:val="left"/>
              <w:rPr>
                <w:rFonts w:ascii="Times New Roman" w:hAnsi="Times New Roman"/>
                <w:b/>
                <w:sz w:val="24"/>
                <w:u w:val="single"/>
                <w:lang w:eastAsia="es-ES_tradnl"/>
              </w:rPr>
            </w:pPr>
          </w:p>
          <w:p w14:paraId="3DFAE8FC" w14:textId="4765786F" w:rsidR="00E026FB" w:rsidRPr="00A30C4C" w:rsidRDefault="008F2C6B" w:rsidP="00E10B85">
            <w:pPr>
              <w:spacing w:before="0" w:after="0"/>
              <w:rPr>
                <w:rFonts w:ascii="Times New Roman" w:hAnsi="Times New Roman"/>
                <w:sz w:val="24"/>
              </w:rPr>
            </w:pPr>
            <w:r>
              <w:rPr>
                <w:rFonts w:ascii="Times New Roman" w:hAnsi="Times New Roman"/>
                <w:sz w:val="24"/>
              </w:rPr>
              <w:t xml:space="preserve">Uključuju se ročne neusklađenosti u sintetskim </w:t>
            </w:r>
            <w:proofErr w:type="spellStart"/>
            <w:r>
              <w:rPr>
                <w:rFonts w:ascii="Times New Roman" w:hAnsi="Times New Roman"/>
                <w:sz w:val="24"/>
              </w:rPr>
              <w:t>sekuritizacijama</w:t>
            </w:r>
            <w:proofErr w:type="spellEnd"/>
            <w:r>
              <w:rPr>
                <w:rFonts w:ascii="Times New Roman" w:hAnsi="Times New Roman"/>
                <w:sz w:val="24"/>
              </w:rPr>
              <w:t xml:space="preserve"> RW*-RW(SP), kako je izračunano u skladu s člankom 252. CRR-a, izuzev u slučaju tranši na koje se primjenjuje ponder rizika 1 250 % kada iznos koji se iskazuje iznosi nula. RW(SP) ne uključuje samo iznose izloženosti ponderirane rizikom iskazane u stupcu 0650, nego i iznose izloženosti ponderirane rizikom koji odgovaraju izloženostima koje su ponovno raspodijeljene preko odljeva u druge obrasce.</w:t>
            </w:r>
          </w:p>
          <w:p w14:paraId="5DC8F379" w14:textId="77777777" w:rsidR="00E026FB" w:rsidRPr="00A30C4C" w:rsidRDefault="00E026FB" w:rsidP="00E10B85">
            <w:pPr>
              <w:spacing w:before="0" w:after="0"/>
              <w:rPr>
                <w:rFonts w:ascii="Times New Roman" w:hAnsi="Times New Roman"/>
                <w:sz w:val="24"/>
                <w:lang w:eastAsia="es-ES_tradnl"/>
              </w:rPr>
            </w:pPr>
          </w:p>
        </w:tc>
      </w:tr>
      <w:tr w:rsidR="00E026FB" w:rsidRPr="00A30C4C" w14:paraId="2ED3783F" w14:textId="77777777" w:rsidTr="00E10B85">
        <w:tc>
          <w:tcPr>
            <w:tcW w:w="1568" w:type="dxa"/>
          </w:tcPr>
          <w:p w14:paraId="597D820C" w14:textId="77777777" w:rsidR="00E026FB" w:rsidRPr="00A30C4C"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3EF2F4A8" w14:textId="1ACA04E1"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UKUPNI UČINAK (USKLAĐENJE) ZBOG KRŠENJA POGLAVLJA 2. UREDBE (EU) 2017/2402</w:t>
            </w:r>
            <w:r w:rsidR="002409C1" w:rsidRPr="00A30C4C">
              <w:rPr>
                <w:rStyle w:val="FootnoteReference"/>
                <w:rFonts w:ascii="Times New Roman" w:hAnsi="Times New Roman"/>
                <w:sz w:val="24"/>
                <w:szCs w:val="24"/>
                <w:vertAlign w:val="superscript"/>
                <w:lang w:eastAsia="es-ES_tradnl"/>
              </w:rPr>
              <w:footnoteReference w:id="12"/>
            </w:r>
          </w:p>
          <w:p w14:paraId="09A09E5C" w14:textId="77777777" w:rsidR="00E026FB" w:rsidRPr="00A30C4C" w:rsidRDefault="00E026FB" w:rsidP="00E10B85">
            <w:pPr>
              <w:spacing w:before="0" w:after="0"/>
              <w:jc w:val="left"/>
              <w:rPr>
                <w:rFonts w:ascii="Times New Roman" w:hAnsi="Times New Roman"/>
                <w:sz w:val="24"/>
                <w:lang w:eastAsia="es-ES_tradnl"/>
              </w:rPr>
            </w:pPr>
          </w:p>
          <w:p w14:paraId="71E7F447" w14:textId="02EA2C34" w:rsidR="00E026FB" w:rsidRPr="00A30C4C" w:rsidRDefault="00BB22D4" w:rsidP="00E10B85">
            <w:pPr>
              <w:spacing w:before="0" w:after="0"/>
              <w:jc w:val="left"/>
              <w:rPr>
                <w:rFonts w:ascii="Times New Roman" w:eastAsia="Arial" w:hAnsi="Times New Roman"/>
                <w:sz w:val="24"/>
              </w:rPr>
            </w:pPr>
            <w:r>
              <w:rPr>
                <w:rFonts w:ascii="Times New Roman" w:hAnsi="Times New Roman"/>
                <w:sz w:val="24"/>
              </w:rPr>
              <w:t xml:space="preserve">U skladu s člankom 270.a CRR-a, kad god institucija ne ispuni određene zahtjeve, nadležna tijela određuju razmjerni dodatni ponder rizika od najmanje 250 % pondera rizika (s gornjom granicom od 1 250 %) koji bi se primjenjivao na relevantne </w:t>
            </w:r>
            <w:proofErr w:type="spellStart"/>
            <w:r>
              <w:rPr>
                <w:rFonts w:ascii="Times New Roman" w:hAnsi="Times New Roman"/>
                <w:sz w:val="24"/>
              </w:rPr>
              <w:t>sekuritizacijske</w:t>
            </w:r>
            <w:proofErr w:type="spellEnd"/>
            <w:r>
              <w:rPr>
                <w:rFonts w:ascii="Times New Roman" w:hAnsi="Times New Roman"/>
                <w:sz w:val="24"/>
              </w:rPr>
              <w:t xml:space="preserve"> pozicije u skladu s dijelom trećim glavom II. poglavljem 5. odjeljkom 3. CRR-a. </w:t>
            </w:r>
          </w:p>
          <w:p w14:paraId="6A934538"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3D1344FD" w14:textId="77777777" w:rsidTr="00E10B85">
        <w:tc>
          <w:tcPr>
            <w:tcW w:w="1568" w:type="dxa"/>
          </w:tcPr>
          <w:p w14:paraId="01B8C8E1"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28FF17DC"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PRIJE PRIMJENE GORNJE GRANICE</w:t>
            </w:r>
          </w:p>
          <w:p w14:paraId="5D432EA3" w14:textId="77777777" w:rsidR="00E026FB" w:rsidRPr="00A30C4C" w:rsidRDefault="00E026FB" w:rsidP="00E10B85">
            <w:pPr>
              <w:spacing w:before="0" w:after="0"/>
              <w:jc w:val="left"/>
              <w:rPr>
                <w:rFonts w:ascii="Times New Roman" w:hAnsi="Times New Roman"/>
                <w:b/>
                <w:sz w:val="24"/>
                <w:u w:val="single"/>
                <w:lang w:eastAsia="es-ES_tradnl"/>
              </w:rPr>
            </w:pPr>
          </w:p>
          <w:p w14:paraId="7560FA47" w14:textId="6FE22E23" w:rsidR="00E026FB" w:rsidRPr="00A30C4C" w:rsidRDefault="00E026FB" w:rsidP="00E10B85">
            <w:pPr>
              <w:spacing w:before="0" w:after="0"/>
              <w:jc w:val="left"/>
              <w:rPr>
                <w:rFonts w:ascii="Times New Roman" w:eastAsia="Arial" w:hAnsi="Times New Roman"/>
                <w:sz w:val="24"/>
              </w:rPr>
            </w:pPr>
            <w:r>
              <w:rPr>
                <w:rFonts w:ascii="Times New Roman" w:hAnsi="Times New Roman"/>
                <w:sz w:val="24"/>
              </w:rPr>
              <w:t xml:space="preserve">Ukupni iznos izloženosti ponderiran rizikom izračunan u skladu s dijelom trećim glavom II. poglavljem 5. odjeljkom 3. CRR-a prije primjene granica određenih u članku 267. i 268. CRR-a. </w:t>
            </w:r>
          </w:p>
          <w:p w14:paraId="246E788B" w14:textId="77777777" w:rsidR="00E026FB" w:rsidRPr="00A30C4C" w:rsidRDefault="00E026FB" w:rsidP="00E10B85">
            <w:pPr>
              <w:spacing w:before="0" w:after="0"/>
              <w:jc w:val="left"/>
              <w:rPr>
                <w:rFonts w:ascii="Times New Roman" w:hAnsi="Times New Roman"/>
                <w:b/>
                <w:sz w:val="24"/>
                <w:u w:val="single"/>
                <w:lang w:eastAsia="es-ES_tradnl"/>
              </w:rPr>
            </w:pPr>
          </w:p>
        </w:tc>
      </w:tr>
      <w:tr w:rsidR="00E026FB" w:rsidRPr="00A30C4C" w14:paraId="13A017A6" w14:textId="77777777" w:rsidTr="00E10B85">
        <w:tc>
          <w:tcPr>
            <w:tcW w:w="1568" w:type="dxa"/>
          </w:tcPr>
          <w:p w14:paraId="274A653E"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C1AD25D"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SMANJENJE ZBOG GORNJE GRANICE PONDERA RIZIKA</w:t>
            </w:r>
          </w:p>
          <w:p w14:paraId="5C0527A1" w14:textId="77777777" w:rsidR="00E026FB" w:rsidRPr="00A30C4C" w:rsidRDefault="00E026FB" w:rsidP="00E10B85">
            <w:pPr>
              <w:spacing w:before="0" w:after="0"/>
              <w:jc w:val="left"/>
              <w:rPr>
                <w:rFonts w:ascii="Times New Roman" w:hAnsi="Times New Roman"/>
                <w:b/>
                <w:sz w:val="24"/>
                <w:u w:val="single"/>
              </w:rPr>
            </w:pPr>
          </w:p>
          <w:p w14:paraId="4CCE306B" w14:textId="488DCEA9" w:rsidR="00E026FB" w:rsidRPr="00A30C4C" w:rsidRDefault="00BB22D4" w:rsidP="00E10B85">
            <w:pPr>
              <w:spacing w:before="0" w:after="0"/>
              <w:jc w:val="left"/>
              <w:rPr>
                <w:rFonts w:ascii="Times New Roman" w:hAnsi="Times New Roman"/>
                <w:sz w:val="24"/>
              </w:rPr>
            </w:pPr>
            <w:r>
              <w:rPr>
                <w:rFonts w:ascii="Times New Roman" w:hAnsi="Times New Roman"/>
                <w:sz w:val="24"/>
              </w:rPr>
              <w:t xml:space="preserve">U skladu s člankom 267. CRR-a institucija koja u svakom trenutku  poznaje sastav odnosnih izloženosti može nadređenoj </w:t>
            </w:r>
            <w:proofErr w:type="spellStart"/>
            <w:r>
              <w:rPr>
                <w:rFonts w:ascii="Times New Roman" w:hAnsi="Times New Roman"/>
                <w:sz w:val="24"/>
              </w:rPr>
              <w:t>sekuritizacijskoj</w:t>
            </w:r>
            <w:proofErr w:type="spellEnd"/>
            <w:r>
              <w:rPr>
                <w:rFonts w:ascii="Times New Roman" w:hAnsi="Times New Roman"/>
                <w:sz w:val="24"/>
              </w:rPr>
              <w:t xml:space="preserve"> poziciji </w:t>
            </w:r>
            <w:r>
              <w:rPr>
                <w:rFonts w:ascii="Times New Roman" w:hAnsi="Times New Roman"/>
                <w:sz w:val="24"/>
              </w:rPr>
              <w:lastRenderedPageBreak/>
              <w:t xml:space="preserve">pripisati maksimalni ponder rizika jednak izloženošću ponderiranom prosječnom ponderu rizika koji bi se primjenjivao na odnosne izloženosti da one nisu bile </w:t>
            </w:r>
            <w:proofErr w:type="spellStart"/>
            <w:r>
              <w:rPr>
                <w:rFonts w:ascii="Times New Roman" w:hAnsi="Times New Roman"/>
                <w:sz w:val="24"/>
              </w:rPr>
              <w:t>sekuritizirane</w:t>
            </w:r>
            <w:proofErr w:type="spellEnd"/>
            <w:r>
              <w:rPr>
                <w:rFonts w:ascii="Times New Roman" w:hAnsi="Times New Roman"/>
                <w:sz w:val="24"/>
              </w:rPr>
              <w:t>.</w:t>
            </w:r>
          </w:p>
          <w:p w14:paraId="1D24460D"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A644888" w14:textId="77777777" w:rsidTr="00E10B85">
        <w:tc>
          <w:tcPr>
            <w:tcW w:w="1568" w:type="dxa"/>
          </w:tcPr>
          <w:p w14:paraId="7FB7F43F"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F2216E3"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SMANJENJE ZBOG UKUPNE GORNJE GRANICE</w:t>
            </w:r>
          </w:p>
          <w:p w14:paraId="69D4E1FF" w14:textId="77777777" w:rsidR="00E026FB" w:rsidRPr="00A30C4C" w:rsidRDefault="00E026FB" w:rsidP="00E10B85">
            <w:pPr>
              <w:spacing w:before="0" w:after="0"/>
              <w:jc w:val="left"/>
              <w:rPr>
                <w:rFonts w:ascii="Times New Roman" w:hAnsi="Times New Roman"/>
                <w:b/>
                <w:sz w:val="24"/>
                <w:u w:val="single"/>
              </w:rPr>
            </w:pPr>
          </w:p>
          <w:p w14:paraId="26EEE42E" w14:textId="610482E7" w:rsidR="00E026FB" w:rsidRPr="00A30C4C" w:rsidRDefault="00BB22D4" w:rsidP="00E10B85">
            <w:pPr>
              <w:spacing w:before="0" w:after="0"/>
              <w:jc w:val="left"/>
              <w:rPr>
                <w:rFonts w:ascii="Times New Roman" w:hAnsi="Times New Roman"/>
                <w:sz w:val="24"/>
              </w:rPr>
            </w:pPr>
            <w:r>
              <w:rPr>
                <w:rFonts w:ascii="Times New Roman" w:hAnsi="Times New Roman"/>
                <w:sz w:val="24"/>
              </w:rPr>
              <w:t xml:space="preserve">U skladu s člankom 268. CRR-a institucija inicijator, institucija sponzor ili druga institucija koja primjenjuje pristup SEC-IRBA ili institucija inicijator ili institucija sponzor koja primjenjuje pristup SEC-SA ili pristup SEC-ERBA može na </w:t>
            </w:r>
            <w:proofErr w:type="spellStart"/>
            <w:r>
              <w:rPr>
                <w:rFonts w:ascii="Times New Roman" w:hAnsi="Times New Roman"/>
                <w:sz w:val="24"/>
              </w:rPr>
              <w:t>sekuritizacijsku</w:t>
            </w:r>
            <w:proofErr w:type="spellEnd"/>
            <w:r>
              <w:rPr>
                <w:rFonts w:ascii="Times New Roman" w:hAnsi="Times New Roman"/>
                <w:sz w:val="24"/>
              </w:rPr>
              <w:t xml:space="preserve"> poziciju koju drži primjenjivati maksimalni kapitalni zahtjev jednak kapitalnim zahtjevima koji bi se dobili izračunom u skladu s dijelom trećim glavom II. poglavljem 2. ili 3. za odnosne izloženosti kakve bi bile da nisu bile </w:t>
            </w:r>
            <w:proofErr w:type="spellStart"/>
            <w:r>
              <w:rPr>
                <w:rFonts w:ascii="Times New Roman" w:hAnsi="Times New Roman"/>
                <w:sz w:val="24"/>
              </w:rPr>
              <w:t>sekuritizirane</w:t>
            </w:r>
            <w:proofErr w:type="spellEnd"/>
            <w:r>
              <w:rPr>
                <w:rFonts w:ascii="Times New Roman" w:hAnsi="Times New Roman"/>
                <w:sz w:val="24"/>
              </w:rPr>
              <w:t>.</w:t>
            </w:r>
          </w:p>
          <w:p w14:paraId="35B48BCF"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2F6EAE4" w14:textId="77777777" w:rsidTr="00E10B85">
        <w:tc>
          <w:tcPr>
            <w:tcW w:w="1568" w:type="dxa"/>
          </w:tcPr>
          <w:p w14:paraId="243F7C6C"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32950E1B"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w:t>
            </w:r>
          </w:p>
          <w:p w14:paraId="1B4AF79B" w14:textId="77777777" w:rsidR="00E026FB" w:rsidRPr="00A30C4C" w:rsidRDefault="00E026FB" w:rsidP="00E10B85">
            <w:pPr>
              <w:spacing w:before="0" w:after="0"/>
              <w:jc w:val="left"/>
              <w:rPr>
                <w:rFonts w:ascii="Times New Roman" w:hAnsi="Times New Roman"/>
                <w:b/>
                <w:sz w:val="24"/>
                <w:u w:val="single"/>
              </w:rPr>
            </w:pPr>
          </w:p>
          <w:p w14:paraId="2609A7F6" w14:textId="06F6746D" w:rsidR="00E026FB" w:rsidRPr="00A30C4C" w:rsidRDefault="00E026FB" w:rsidP="00E10B85">
            <w:pPr>
              <w:spacing w:before="0" w:after="0"/>
              <w:jc w:val="left"/>
              <w:rPr>
                <w:rFonts w:ascii="Times New Roman" w:hAnsi="Times New Roman"/>
                <w:b/>
                <w:sz w:val="24"/>
                <w:u w:val="single"/>
              </w:rPr>
            </w:pPr>
            <w:r>
              <w:rPr>
                <w:rFonts w:ascii="Times New Roman" w:hAnsi="Times New Roman"/>
                <w:sz w:val="24"/>
              </w:rPr>
              <w:t>Ukupni iznos izloženosti ponderiran rizikom izračunan u skladu s dijelom trećim glavom II. poglavljem 5. odjeljkom 3. CRR-a, uzimajući u obzir ukupni ponder rizika kako je utvrđen u članku 247. stavku 6. CRR-a.</w:t>
            </w:r>
          </w:p>
          <w:p w14:paraId="5B7D5A1D" w14:textId="77777777" w:rsidR="00E026FB" w:rsidRPr="00A30C4C" w:rsidRDefault="00E026FB" w:rsidP="00E10B85">
            <w:pPr>
              <w:spacing w:before="0" w:after="0"/>
              <w:jc w:val="left"/>
              <w:rPr>
                <w:rFonts w:ascii="Times New Roman" w:hAnsi="Times New Roman"/>
                <w:b/>
                <w:sz w:val="24"/>
                <w:u w:val="single"/>
                <w:lang w:eastAsia="es-ES_tradnl"/>
              </w:rPr>
            </w:pPr>
          </w:p>
        </w:tc>
      </w:tr>
      <w:tr w:rsidR="00E026FB" w:rsidRPr="00A30C4C" w14:paraId="000B7A6E" w14:textId="77777777" w:rsidTr="00E10B85">
        <w:tc>
          <w:tcPr>
            <w:tcW w:w="1568" w:type="dxa"/>
          </w:tcPr>
          <w:p w14:paraId="059E1D4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14:paraId="1DD6B8D0"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BILJEŠKA: IZNOS IZLOŽENOSTI PONDERIRAN RIZIKOM KOJI ODGOVARA ODLJEVIMA IZ SEKURITIZACIJA U OSTALE KATEGORIJE IZLOŽENOSTI</w:t>
            </w:r>
          </w:p>
          <w:p w14:paraId="517CD2FC" w14:textId="77777777" w:rsidR="00E026FB" w:rsidRPr="00A30C4C" w:rsidRDefault="00E026FB" w:rsidP="00E10B85">
            <w:pPr>
              <w:spacing w:before="0" w:after="0"/>
              <w:jc w:val="left"/>
              <w:rPr>
                <w:rFonts w:ascii="Times New Roman" w:hAnsi="Times New Roman"/>
                <w:sz w:val="24"/>
              </w:rPr>
            </w:pPr>
          </w:p>
          <w:p w14:paraId="3CB6FC11" w14:textId="77777777" w:rsidR="00E026FB" w:rsidRPr="00A30C4C" w:rsidRDefault="00E026FB" w:rsidP="00E10B85">
            <w:pPr>
              <w:spacing w:before="0" w:after="0"/>
              <w:rPr>
                <w:rFonts w:ascii="Times New Roman" w:hAnsi="Times New Roman"/>
                <w:sz w:val="24"/>
              </w:rPr>
            </w:pPr>
            <w:r>
              <w:rPr>
                <w:rFonts w:ascii="Times New Roman" w:hAnsi="Times New Roman"/>
                <w:sz w:val="24"/>
              </w:rPr>
              <w:t xml:space="preserve">Iznos izloženosti ponderiran rizikom koji proizlazi iz izloženosti koje su ponovno raspoređene na pružatelja smanjenja kreditnog rizika, i stoga se izračunava u odgovarajućem obrascu, koje se uzimaju u obzir pri izračunu gornje granice </w:t>
            </w:r>
            <w:proofErr w:type="spellStart"/>
            <w:r>
              <w:rPr>
                <w:rFonts w:ascii="Times New Roman" w:hAnsi="Times New Roman"/>
                <w:sz w:val="24"/>
              </w:rPr>
              <w:t>sekuritizacijskih</w:t>
            </w:r>
            <w:proofErr w:type="spellEnd"/>
            <w:r>
              <w:rPr>
                <w:rFonts w:ascii="Times New Roman" w:hAnsi="Times New Roman"/>
                <w:sz w:val="24"/>
              </w:rPr>
              <w:t xml:space="preserve"> pozicija.</w:t>
            </w:r>
          </w:p>
          <w:p w14:paraId="52F0EEF1" w14:textId="77777777" w:rsidR="00E026FB" w:rsidRPr="00A30C4C" w:rsidRDefault="00E026FB" w:rsidP="00E10B85">
            <w:pPr>
              <w:spacing w:before="0" w:after="0"/>
              <w:jc w:val="left"/>
              <w:rPr>
                <w:rFonts w:ascii="Times New Roman" w:hAnsi="Times New Roman"/>
                <w:sz w:val="24"/>
              </w:rPr>
            </w:pPr>
          </w:p>
        </w:tc>
      </w:tr>
    </w:tbl>
    <w:p w14:paraId="5364907F" w14:textId="77777777" w:rsidR="00E026FB" w:rsidRPr="00A30C4C" w:rsidRDefault="00E026FB" w:rsidP="00E026FB">
      <w:pPr>
        <w:spacing w:before="0" w:after="0"/>
        <w:rPr>
          <w:rFonts w:ascii="Times New Roman" w:hAnsi="Times New Roman"/>
          <w:sz w:val="24"/>
        </w:rPr>
      </w:pPr>
    </w:p>
    <w:p w14:paraId="54083D5E" w14:textId="77777777" w:rsidR="00E026FB" w:rsidRPr="00A30C4C" w:rsidRDefault="00E026FB" w:rsidP="00E026FB">
      <w:pPr>
        <w:spacing w:before="0" w:after="0"/>
        <w:rPr>
          <w:rFonts w:ascii="Times New Roman" w:hAnsi="Times New Roman"/>
          <w:sz w:val="24"/>
        </w:rPr>
      </w:pPr>
    </w:p>
    <w:p w14:paraId="5B270F78" w14:textId="3990152A" w:rsidR="00E026FB" w:rsidRPr="00A30C4C" w:rsidRDefault="00E026FB" w:rsidP="00E026FB">
      <w:pPr>
        <w:pStyle w:val="InstructionsText2"/>
        <w:numPr>
          <w:ilvl w:val="0"/>
          <w:numId w:val="0"/>
        </w:numPr>
        <w:ind w:left="993"/>
      </w:pPr>
      <w:r>
        <w:t>103.</w:t>
      </w:r>
      <w:r>
        <w:tab/>
        <w:t xml:space="preserve"> Obrazac je podijeljen u tri velike skupine redaka u kojima se prikupljaju podaci o iniciranim/financiranim/zadržanim ili kupljenim izloženostima inicijatora, investitora i sponzora. Za svaku od njih informacije se raščlanjuju prema bilančnim stavkama i </w:t>
      </w:r>
      <w:proofErr w:type="spellStart"/>
      <w:r>
        <w:t>izvanbilančnim</w:t>
      </w:r>
      <w:proofErr w:type="spellEnd"/>
      <w:r>
        <w:t xml:space="preserve"> stavkama i izvedenicama te prema tome primjenjuje li se na njih različit tretman kapitala ili ne.</w:t>
      </w:r>
    </w:p>
    <w:p w14:paraId="04896403" w14:textId="27765607" w:rsidR="00E026FB" w:rsidRPr="00A30C4C" w:rsidRDefault="00E026FB" w:rsidP="00E026FB">
      <w:pPr>
        <w:pStyle w:val="InstructionsText2"/>
        <w:numPr>
          <w:ilvl w:val="0"/>
          <w:numId w:val="0"/>
        </w:numPr>
        <w:ind w:left="993"/>
      </w:pPr>
      <w:r>
        <w:t>104. Raščlanjuju se i pozicije koje se tretiraju u skladu s pristupom SEC-ERBA i pozicije bez rejtinga (izloženosti na izvještajni datum) u skladu sa stupnjevima kreditne kvalitete koji se primjenjuju na početku (zadnja skupina redaka). Inicijatori, sponzori i investitori iskazuju te informacije.</w:t>
      </w:r>
    </w:p>
    <w:p w14:paraId="25CE6C68" w14:textId="77777777" w:rsidR="00E026FB" w:rsidRPr="00A30C4C"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A30C4C" w14:paraId="5F17B556" w14:textId="77777777" w:rsidTr="00E10B85">
        <w:tc>
          <w:tcPr>
            <w:tcW w:w="9145" w:type="dxa"/>
            <w:gridSpan w:val="2"/>
            <w:shd w:val="clear" w:color="auto" w:fill="CCCCCC"/>
          </w:tcPr>
          <w:p w14:paraId="7B2196C9"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A30C4C"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Redci</w:t>
            </w:r>
          </w:p>
          <w:p w14:paraId="4522B21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4720E70A" w14:textId="77777777" w:rsidTr="00E10B85">
        <w:tc>
          <w:tcPr>
            <w:tcW w:w="1256" w:type="dxa"/>
          </w:tcPr>
          <w:p w14:paraId="2B9483E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14:paraId="7B95F336"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UKUPNE IZLOŽENOSTI </w:t>
            </w:r>
          </w:p>
          <w:p w14:paraId="42A04FD6"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Ukupne izloženosti odnose se na ukupni iznos preostalih </w:t>
            </w:r>
            <w:proofErr w:type="spellStart"/>
            <w:r>
              <w:rPr>
                <w:rFonts w:ascii="Times New Roman" w:hAnsi="Times New Roman"/>
                <w:sz w:val="24"/>
              </w:rPr>
              <w:t>sekuritizacija</w:t>
            </w:r>
            <w:proofErr w:type="spellEnd"/>
            <w:r>
              <w:rPr>
                <w:rFonts w:ascii="Times New Roman" w:hAnsi="Times New Roman"/>
                <w:sz w:val="24"/>
              </w:rPr>
              <w:t xml:space="preserve"> i </w:t>
            </w:r>
            <w:proofErr w:type="spellStart"/>
            <w:r>
              <w:rPr>
                <w:rFonts w:ascii="Times New Roman" w:hAnsi="Times New Roman"/>
                <w:sz w:val="24"/>
              </w:rPr>
              <w:t>resekuritizacija</w:t>
            </w:r>
            <w:proofErr w:type="spellEnd"/>
            <w:r>
              <w:rPr>
                <w:rFonts w:ascii="Times New Roman" w:hAnsi="Times New Roman"/>
                <w:sz w:val="24"/>
              </w:rPr>
              <w:t>. U ovom su retku sažete sve informacije koje iskazuju inicijatori, sponzori i investitori u sljedećim redcima.</w:t>
            </w:r>
          </w:p>
          <w:p w14:paraId="3D6E2F7F" w14:textId="77777777" w:rsidR="00E026FB" w:rsidRPr="00A30C4C"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A30C4C" w14:paraId="75E477ED" w14:textId="77777777" w:rsidTr="00E10B85">
        <w:tc>
          <w:tcPr>
            <w:tcW w:w="1256" w:type="dxa"/>
          </w:tcPr>
          <w:p w14:paraId="544C448C"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889" w:type="dxa"/>
          </w:tcPr>
          <w:p w14:paraId="0CEE8781" w14:textId="01CF1853"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SEKURITIZACIJSKE POZICIJE:</w:t>
            </w:r>
          </w:p>
          <w:p w14:paraId="35D10EC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preostalih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4. stavku 1. točki 62. CRR-a, koje nisu </w:t>
            </w:r>
            <w:proofErr w:type="spellStart"/>
            <w:r>
              <w:rPr>
                <w:rFonts w:ascii="Times New Roman" w:hAnsi="Times New Roman"/>
                <w:sz w:val="24"/>
              </w:rPr>
              <w:t>resekuritizacije</w:t>
            </w:r>
            <w:proofErr w:type="spellEnd"/>
            <w:r>
              <w:rPr>
                <w:rFonts w:ascii="Times New Roman" w:hAnsi="Times New Roman"/>
                <w:sz w:val="24"/>
              </w:rPr>
              <w:t xml:space="preserve"> kako su definirane u članku 4. stavku 1. točki 63.</w:t>
            </w:r>
          </w:p>
          <w:p w14:paraId="4C65BBDA"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2BC883E2" w14:textId="77777777" w:rsidTr="00E10B85">
        <w:tc>
          <w:tcPr>
            <w:tcW w:w="1256" w:type="dxa"/>
          </w:tcPr>
          <w:p w14:paraId="58D9C83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14:paraId="35E2CF6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593B920F"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kriterije članka 243. ili članka 270. CRR-a i stoga ispunjavaju uvjete za različit tretman kapitala.</w:t>
            </w:r>
          </w:p>
          <w:p w14:paraId="4AF81EF5"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5948BE37" w14:textId="77777777" w:rsidTr="00E10B85">
        <w:tc>
          <w:tcPr>
            <w:tcW w:w="1256" w:type="dxa"/>
          </w:tcPr>
          <w:p w14:paraId="467837A3"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14:paraId="0CFB4D72"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 IZLOŽENOSTI </w:t>
            </w:r>
          </w:p>
          <w:p w14:paraId="1FD6D11A"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STS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zahtjeve iz članka 243. CRR-a.</w:t>
            </w:r>
          </w:p>
          <w:p w14:paraId="718A14B1"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897C86A" w14:textId="77777777" w:rsidTr="00E10B85">
        <w:tc>
          <w:tcPr>
            <w:tcW w:w="1256" w:type="dxa"/>
          </w:tcPr>
          <w:p w14:paraId="56B61DD2"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14:paraId="23A2D2F7"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NADREĐENA POZICIJA U SEKURITIZACIJAMA KREDITA ZA MSP-ove </w:t>
            </w:r>
          </w:p>
          <w:p w14:paraId="388400C2"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nadređenih pozicija u </w:t>
            </w:r>
            <w:proofErr w:type="spellStart"/>
            <w:r>
              <w:rPr>
                <w:rFonts w:ascii="Times New Roman" w:hAnsi="Times New Roman"/>
                <w:sz w:val="24"/>
              </w:rPr>
              <w:t>sekuritizacijama</w:t>
            </w:r>
            <w:proofErr w:type="spellEnd"/>
            <w:r>
              <w:rPr>
                <w:rFonts w:ascii="Times New Roman" w:hAnsi="Times New Roman"/>
                <w:sz w:val="24"/>
              </w:rPr>
              <w:t xml:space="preserve"> kredita za MSP-ove koje ispunjavaju uvjete iz članka 270. CRR-a.</w:t>
            </w:r>
          </w:p>
          <w:p w14:paraId="04422526"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2FFCA40F" w14:textId="77777777" w:rsidTr="00E10B85">
        <w:tc>
          <w:tcPr>
            <w:tcW w:w="1256" w:type="dxa"/>
          </w:tcPr>
          <w:p w14:paraId="71F091C0"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i 0410</w:t>
            </w:r>
          </w:p>
        </w:tc>
        <w:tc>
          <w:tcPr>
            <w:tcW w:w="7889" w:type="dxa"/>
          </w:tcPr>
          <w:p w14:paraId="35146DB5"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NE ISPUNJAVAJU UVJETE ZA RAZLIČIT TRETMAN KAPITALA</w:t>
            </w:r>
          </w:p>
          <w:p w14:paraId="6BC19570"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A30C4C"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Članak 254. stavci 1., 4., 5. i 6. i članci 259., 261., 263., 265., 266. i 269. CRR-a</w:t>
            </w:r>
          </w:p>
          <w:p w14:paraId="0FE69611" w14:textId="77777777" w:rsidR="00192744" w:rsidRPr="00A30C4C"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ne ispunjavaju uvjete za različit tretman kapitala.</w:t>
            </w:r>
          </w:p>
          <w:p w14:paraId="563AFCAF"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361D432D" w14:textId="77777777" w:rsidTr="00E10B85">
        <w:tc>
          <w:tcPr>
            <w:tcW w:w="1256" w:type="dxa"/>
          </w:tcPr>
          <w:p w14:paraId="0A2EAF2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i 0430</w:t>
            </w:r>
          </w:p>
        </w:tc>
        <w:tc>
          <w:tcPr>
            <w:tcW w:w="7889" w:type="dxa"/>
          </w:tcPr>
          <w:p w14:paraId="3C029E52" w14:textId="5B9570D4"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RESEKURITIZACIJSKE POZICIJE</w:t>
            </w:r>
          </w:p>
          <w:p w14:paraId="4B80953E"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preostalih </w:t>
            </w:r>
            <w:proofErr w:type="spellStart"/>
            <w:r>
              <w:rPr>
                <w:rFonts w:ascii="Times New Roman" w:hAnsi="Times New Roman"/>
                <w:sz w:val="24"/>
              </w:rPr>
              <w:t>resekuritizacijskih</w:t>
            </w:r>
            <w:proofErr w:type="spellEnd"/>
            <w:r>
              <w:rPr>
                <w:rFonts w:ascii="Times New Roman" w:hAnsi="Times New Roman"/>
                <w:sz w:val="24"/>
              </w:rPr>
              <w:t xml:space="preserve"> pozicija kako su definirane u članku 4. stavku 1. točki 64. CRR-a.</w:t>
            </w:r>
          </w:p>
          <w:p w14:paraId="1C1D9657"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0F58EDFB" w14:textId="77777777" w:rsidTr="00E10B85">
        <w:tc>
          <w:tcPr>
            <w:tcW w:w="1256" w:type="dxa"/>
          </w:tcPr>
          <w:p w14:paraId="1BA6D856" w14:textId="77777777" w:rsidR="00E026FB" w:rsidRPr="00A30C4C" w:rsidRDefault="00E026FB"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0080</w:t>
            </w:r>
          </w:p>
        </w:tc>
        <w:tc>
          <w:tcPr>
            <w:tcW w:w="7889" w:type="dxa"/>
          </w:tcPr>
          <w:p w14:paraId="6AC61D8D"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INICIJATOR: UKUPNE IZLOŽENOSTI </w:t>
            </w:r>
          </w:p>
          <w:p w14:paraId="4D68A0E9"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su retku sažete informacije o bilančnim i </w:t>
            </w:r>
            <w:proofErr w:type="spellStart"/>
            <w:r>
              <w:rPr>
                <w:rFonts w:ascii="Times New Roman" w:hAnsi="Times New Roman"/>
                <w:sz w:val="24"/>
              </w:rPr>
              <w:t>izvanbilančnim</w:t>
            </w:r>
            <w:proofErr w:type="spellEnd"/>
            <w:r>
              <w:rPr>
                <w:rFonts w:ascii="Times New Roman" w:hAnsi="Times New Roman"/>
                <w:sz w:val="24"/>
              </w:rPr>
              <w:t xml:space="preserve"> stavkama i izvedenicama tih </w:t>
            </w:r>
            <w:proofErr w:type="spellStart"/>
            <w:r>
              <w:rPr>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Fonts w:ascii="Times New Roman" w:hAnsi="Times New Roman"/>
                <w:sz w:val="24"/>
              </w:rPr>
              <w:t xml:space="preserve"> pozicija kod kojih institucija ima ulogu inicijatora, kako je definiran u članku 4. stavku 1. točki 13. CRR-a.</w:t>
            </w:r>
          </w:p>
          <w:p w14:paraId="76394D57" w14:textId="77777777" w:rsidR="00E026FB" w:rsidRPr="00A30C4C"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A30C4C" w14:paraId="73B6FD08" w14:textId="77777777" w:rsidTr="00E10B85">
        <w:tc>
          <w:tcPr>
            <w:tcW w:w="1256" w:type="dxa"/>
          </w:tcPr>
          <w:p w14:paraId="61AE74E6"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0090-0130, </w:t>
            </w:r>
            <w:r>
              <w:rPr>
                <w:rFonts w:ascii="Times New Roman" w:hAnsi="Times New Roman"/>
                <w:bCs/>
                <w:sz w:val="24"/>
              </w:rPr>
              <w:lastRenderedPageBreak/>
              <w:t>0210-0250 i 0330-0370</w:t>
            </w:r>
          </w:p>
        </w:tc>
        <w:tc>
          <w:tcPr>
            <w:tcW w:w="7889" w:type="dxa"/>
          </w:tcPr>
          <w:p w14:paraId="7CC776AA" w14:textId="629CD822"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lastRenderedPageBreak/>
              <w:t xml:space="preserve">SEKURITIZACIJSKE POZICIJE: BILANČNE STAVKE </w:t>
            </w:r>
          </w:p>
          <w:p w14:paraId="0B20532B"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A30C4C"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 skladu s člankom 248. stavkom 1. točkom (a), vrijednost izloženosti bilančne </w:t>
            </w:r>
            <w:proofErr w:type="spellStart"/>
            <w:r>
              <w:rPr>
                <w:rFonts w:ascii="Times New Roman" w:hAnsi="Times New Roman"/>
                <w:sz w:val="24"/>
              </w:rPr>
              <w:t>sekuritizacijske</w:t>
            </w:r>
            <w:proofErr w:type="spellEnd"/>
            <w:r>
              <w:rPr>
                <w:rFonts w:ascii="Times New Roman" w:hAnsi="Times New Roman"/>
                <w:sz w:val="24"/>
              </w:rPr>
              <w:t xml:space="preserve"> pozicije jest njezina računovodstvena vrijednost koja preostaje nakon primjene bilo kojih relevantnih specifičnih ispravaka vrijednosti za kreditni rizik na tu </w:t>
            </w:r>
            <w:proofErr w:type="spellStart"/>
            <w:r>
              <w:rPr>
                <w:rFonts w:ascii="Times New Roman" w:hAnsi="Times New Roman"/>
                <w:sz w:val="24"/>
              </w:rPr>
              <w:t>sekuritizacijsku</w:t>
            </w:r>
            <w:proofErr w:type="spellEnd"/>
            <w:r>
              <w:rPr>
                <w:rFonts w:ascii="Times New Roman" w:hAnsi="Times New Roman"/>
                <w:sz w:val="24"/>
              </w:rPr>
              <w:t xml:space="preserve"> poziciju u skladu s člankom 110. CRR-a.</w:t>
            </w:r>
          </w:p>
          <w:p w14:paraId="757B8077" w14:textId="69FFA7E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Bilančne stavke raščlanjuju se kako bi se obuhvatile informacije o primjeni različitog tretmana kapitala iz članka 243. CRR-a u redcima 0100 i 0120 te o ukupnom iznosu nadređenih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242. stavku 6. CRR-a, u redcima 0110 i 0130.</w:t>
            </w:r>
          </w:p>
          <w:p w14:paraId="1DFC50DD"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4D2F6B40" w14:textId="77777777" w:rsidTr="00E10B85">
        <w:tc>
          <w:tcPr>
            <w:tcW w:w="1256" w:type="dxa"/>
          </w:tcPr>
          <w:p w14:paraId="4E161870"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0220 i 0340</w:t>
            </w:r>
          </w:p>
        </w:tc>
        <w:tc>
          <w:tcPr>
            <w:tcW w:w="7889" w:type="dxa"/>
          </w:tcPr>
          <w:p w14:paraId="40B45655"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6160C5F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kriterije iz članka 243. CRR-a i stoga ispunjavaju uvjete za različit tretman kapitala.</w:t>
            </w:r>
          </w:p>
          <w:p w14:paraId="38FFECE2"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467718DD" w14:textId="77777777" w:rsidTr="00E10B85">
        <w:tc>
          <w:tcPr>
            <w:tcW w:w="1256" w:type="dxa"/>
          </w:tcPr>
          <w:p w14:paraId="2F32453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i 420</w:t>
            </w:r>
          </w:p>
        </w:tc>
        <w:tc>
          <w:tcPr>
            <w:tcW w:w="7889" w:type="dxa"/>
          </w:tcPr>
          <w:p w14:paraId="369686C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OD ČEGA: NADREĐENE IZLOŽENOSTI</w:t>
            </w:r>
          </w:p>
          <w:p w14:paraId="47BD6FC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preostalih </w:t>
            </w:r>
            <w:proofErr w:type="spellStart"/>
            <w:r>
              <w:rPr>
                <w:rFonts w:ascii="Times New Roman" w:hAnsi="Times New Roman"/>
                <w:sz w:val="24"/>
              </w:rPr>
              <w:t>resekuritizacijskih</w:t>
            </w:r>
            <w:proofErr w:type="spellEnd"/>
            <w:r>
              <w:rPr>
                <w:rFonts w:ascii="Times New Roman" w:hAnsi="Times New Roman"/>
                <w:sz w:val="24"/>
              </w:rPr>
              <w:t xml:space="preserve"> pozicija kako su definirane u članku 242. stavku 6. CRR-a.</w:t>
            </w:r>
          </w:p>
          <w:p w14:paraId="5BE6F5F8"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D7442D1" w14:textId="77777777" w:rsidTr="00E10B85">
        <w:tc>
          <w:tcPr>
            <w:tcW w:w="1256" w:type="dxa"/>
          </w:tcPr>
          <w:p w14:paraId="6201B418" w14:textId="77777777" w:rsidR="00E026FB" w:rsidRPr="00A30C4C" w:rsidRDefault="00E026FB"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0140-0180, 0260-0300 i 0380-0420</w:t>
            </w:r>
          </w:p>
        </w:tc>
        <w:tc>
          <w:tcPr>
            <w:tcW w:w="7889" w:type="dxa"/>
          </w:tcPr>
          <w:p w14:paraId="7666E671" w14:textId="159866FD"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SEKURITIZACIJSKE POZICIJE: IZVANBILANČNE STAVKE I IZVEDENICE</w:t>
            </w:r>
          </w:p>
          <w:p w14:paraId="64A36234"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A30C4C"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U ovim redcima prikupljaju se informacije o </w:t>
            </w:r>
            <w:proofErr w:type="spellStart"/>
            <w:r>
              <w:rPr>
                <w:rFonts w:ascii="Times New Roman" w:hAnsi="Times New Roman"/>
                <w:sz w:val="24"/>
              </w:rPr>
              <w:t>izvanbilančnim</w:t>
            </w:r>
            <w:proofErr w:type="spellEnd"/>
            <w:r>
              <w:rPr>
                <w:rFonts w:ascii="Times New Roman" w:hAnsi="Times New Roman"/>
                <w:sz w:val="24"/>
              </w:rPr>
              <w:t xml:space="preserve"> stavkama i izvedenicama kao </w:t>
            </w:r>
            <w:proofErr w:type="spellStart"/>
            <w:r>
              <w:rPr>
                <w:rFonts w:ascii="Times New Roman" w:hAnsi="Times New Roman"/>
                <w:sz w:val="24"/>
              </w:rPr>
              <w:t>sekuritizacijskim</w:t>
            </w:r>
            <w:proofErr w:type="spellEnd"/>
            <w:r>
              <w:rPr>
                <w:rFonts w:ascii="Times New Roman" w:hAnsi="Times New Roman"/>
                <w:sz w:val="24"/>
              </w:rPr>
              <w:t xml:space="preserve"> pozicijama na koje se primjenjuje konverzijski faktor u skladu sa </w:t>
            </w:r>
            <w:proofErr w:type="spellStart"/>
            <w:r>
              <w:rPr>
                <w:rFonts w:ascii="Times New Roman" w:hAnsi="Times New Roman"/>
                <w:sz w:val="24"/>
              </w:rPr>
              <w:t>sekuritizacijskim</w:t>
            </w:r>
            <w:proofErr w:type="spellEnd"/>
            <w:r>
              <w:rPr>
                <w:rFonts w:ascii="Times New Roman" w:hAnsi="Times New Roman"/>
                <w:sz w:val="24"/>
              </w:rPr>
              <w:t xml:space="preserve"> okvirom. Vrijednost izloženosti </w:t>
            </w:r>
            <w:proofErr w:type="spellStart"/>
            <w:r>
              <w:rPr>
                <w:rFonts w:ascii="Times New Roman" w:hAnsi="Times New Roman"/>
                <w:sz w:val="24"/>
              </w:rPr>
              <w:t>izvanbilančne</w:t>
            </w:r>
            <w:proofErr w:type="spellEnd"/>
            <w:r>
              <w:rPr>
                <w:rFonts w:ascii="Times New Roman" w:hAnsi="Times New Roman"/>
                <w:sz w:val="24"/>
              </w:rPr>
              <w:t xml:space="preserve"> </w:t>
            </w:r>
            <w:proofErr w:type="spellStart"/>
            <w:r>
              <w:rPr>
                <w:rFonts w:ascii="Times New Roman" w:hAnsi="Times New Roman"/>
                <w:sz w:val="24"/>
              </w:rPr>
              <w:t>sekuritizacijske</w:t>
            </w:r>
            <w:proofErr w:type="spellEnd"/>
            <w:r>
              <w:rPr>
                <w:rFonts w:ascii="Times New Roman" w:hAnsi="Times New Roman"/>
                <w:sz w:val="24"/>
              </w:rPr>
              <w:t xml:space="preserve"> pozicije njezina je nominalna vrijednost, umanjena za svaki specifični ispravak vrijednosti za kreditni rizik te </w:t>
            </w:r>
            <w:proofErr w:type="spellStart"/>
            <w:r>
              <w:rPr>
                <w:rFonts w:ascii="Times New Roman" w:hAnsi="Times New Roman"/>
                <w:sz w:val="24"/>
              </w:rPr>
              <w:t>sekuritizacijske</w:t>
            </w:r>
            <w:proofErr w:type="spellEnd"/>
            <w:r>
              <w:rPr>
                <w:rFonts w:ascii="Times New Roman" w:hAnsi="Times New Roman"/>
                <w:sz w:val="24"/>
              </w:rPr>
              <w:t xml:space="preserve"> pozicije i pomnožena konverzijskom faktorom od 100 %, osim ako je drukčije određeno.</w:t>
            </w:r>
          </w:p>
          <w:p w14:paraId="44E44F1F" w14:textId="77777777" w:rsidR="00E026FB" w:rsidRPr="00A30C4C" w:rsidRDefault="00E026FB" w:rsidP="00E10B85">
            <w:pPr>
              <w:autoSpaceDE w:val="0"/>
              <w:autoSpaceDN w:val="0"/>
              <w:adjustRightInd w:val="0"/>
              <w:spacing w:before="0" w:after="0"/>
              <w:rPr>
                <w:rFonts w:ascii="Times New Roman" w:hAnsi="Times New Roman"/>
                <w:i/>
                <w:sz w:val="24"/>
              </w:rPr>
            </w:pPr>
          </w:p>
          <w:p w14:paraId="05BC309B" w14:textId="25751C1B" w:rsidR="00E026FB" w:rsidRPr="00A30C4C"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Izvanbilančne</w:t>
            </w:r>
            <w:proofErr w:type="spellEnd"/>
            <w:r>
              <w:rPr>
                <w:rFonts w:ascii="Times New Roman" w:hAnsi="Times New Roman"/>
                <w:sz w:val="24"/>
              </w:rPr>
              <w:t xml:space="preserve"> </w:t>
            </w:r>
            <w:proofErr w:type="spellStart"/>
            <w:r>
              <w:rPr>
                <w:rFonts w:ascii="Times New Roman" w:hAnsi="Times New Roman"/>
                <w:sz w:val="24"/>
              </w:rPr>
              <w:t>sekuritizacijske</w:t>
            </w:r>
            <w:proofErr w:type="spellEnd"/>
            <w:r>
              <w:rPr>
                <w:rFonts w:ascii="Times New Roman" w:hAnsi="Times New Roman"/>
                <w:sz w:val="24"/>
              </w:rPr>
              <w:t xml:space="preserve"> pozicije koje proizlaze iz izvedenog instrumenta navedenog u Prilogu II. CRR-u određuju se u skladu s dijelom trećim glavom II. poglavljem 6. CRR-a. Vrijednost izloženosti za kreditni rizik druge ugovorne strane izvedenog instrumenta navedenog u Prilogu II. CRR-u određuje se u skladu s dijelom trećim glavom II. poglavljem 6. CRR-a. </w:t>
            </w:r>
          </w:p>
          <w:p w14:paraId="1FA163B5" w14:textId="77777777" w:rsidR="00E026FB" w:rsidRPr="00A30C4C" w:rsidRDefault="00E026FB" w:rsidP="00E10B85">
            <w:pPr>
              <w:autoSpaceDE w:val="0"/>
              <w:autoSpaceDN w:val="0"/>
              <w:adjustRightInd w:val="0"/>
              <w:spacing w:before="0" w:after="0"/>
              <w:rPr>
                <w:rFonts w:ascii="Times New Roman" w:hAnsi="Times New Roman"/>
                <w:sz w:val="24"/>
              </w:rPr>
            </w:pPr>
          </w:p>
          <w:p w14:paraId="0D7ACF7A" w14:textId="18C40FED"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w:t>
            </w:r>
            <w:proofErr w:type="spellStart"/>
            <w:r>
              <w:rPr>
                <w:rFonts w:ascii="Times New Roman" w:hAnsi="Times New Roman"/>
                <w:sz w:val="24"/>
              </w:rPr>
              <w:t>likvidnosne</w:t>
            </w:r>
            <w:proofErr w:type="spellEnd"/>
            <w:r>
              <w:rPr>
                <w:rFonts w:ascii="Times New Roman" w:hAnsi="Times New Roman"/>
                <w:sz w:val="24"/>
              </w:rPr>
              <w:t xml:space="preserve"> linije, kreditne linije i gotovinske predujmove servisera, institucije dostavljaju neiskorišteni iznos.</w:t>
            </w:r>
          </w:p>
          <w:p w14:paraId="3B76420E" w14:textId="77777777" w:rsidR="00E026FB" w:rsidRPr="00A30C4C" w:rsidRDefault="00E026FB" w:rsidP="00E10B85">
            <w:pPr>
              <w:autoSpaceDE w:val="0"/>
              <w:autoSpaceDN w:val="0"/>
              <w:adjustRightInd w:val="0"/>
              <w:spacing w:before="0" w:after="0"/>
              <w:rPr>
                <w:rFonts w:ascii="Times New Roman" w:hAnsi="Times New Roman"/>
                <w:sz w:val="24"/>
              </w:rPr>
            </w:pPr>
          </w:p>
          <w:p w14:paraId="42D0D88B" w14:textId="095472BA"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Za kamatne i valutne ugovore o razmjeni dostavljaju vrijednost izloženosti (izračunanu u skladu s člankom 248. stavkom 1. CRR-a).</w:t>
            </w:r>
          </w:p>
          <w:p w14:paraId="611034F2" w14:textId="77777777" w:rsidR="00E026FB" w:rsidRPr="00A30C4C" w:rsidRDefault="00E026FB" w:rsidP="00E10B85">
            <w:pPr>
              <w:autoSpaceDE w:val="0"/>
              <w:autoSpaceDN w:val="0"/>
              <w:adjustRightInd w:val="0"/>
              <w:spacing w:before="0" w:after="0"/>
              <w:rPr>
                <w:rFonts w:ascii="Times New Roman" w:hAnsi="Times New Roman"/>
                <w:sz w:val="24"/>
              </w:rPr>
            </w:pPr>
          </w:p>
          <w:p w14:paraId="45CC09B2" w14:textId="5F743E49" w:rsidR="00E026FB" w:rsidRPr="00A30C4C"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Izvanbilančne</w:t>
            </w:r>
            <w:proofErr w:type="spellEnd"/>
            <w:r>
              <w:rPr>
                <w:rFonts w:ascii="Times New Roman" w:hAnsi="Times New Roman"/>
                <w:sz w:val="24"/>
              </w:rPr>
              <w:t xml:space="preserve"> stavke i izvedenice raščlanjuju se kako bi se obuhvatile informacije o primjeni različitog tretmana kapitala iz članka 270. CRR-a u redcima 0150 </w:t>
            </w:r>
            <w:r>
              <w:rPr>
                <w:rFonts w:ascii="Times New Roman" w:hAnsi="Times New Roman"/>
                <w:sz w:val="24"/>
              </w:rPr>
              <w:lastRenderedPageBreak/>
              <w:t xml:space="preserve">i 0170 te o ukupnom iznosu nadređenih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242. stavku 6. CRR-a, u redcima 0160 i 0180. Za retke od 0100 do 0130 primjenjuje se ista pravna osnova.</w:t>
            </w:r>
          </w:p>
          <w:p w14:paraId="3F9CCD14"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16F69C0F" w14:textId="77777777" w:rsidTr="00E10B85">
        <w:tc>
          <w:tcPr>
            <w:tcW w:w="1256" w:type="dxa"/>
          </w:tcPr>
          <w:p w14:paraId="703441DC"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i 0390</w:t>
            </w:r>
          </w:p>
        </w:tc>
        <w:tc>
          <w:tcPr>
            <w:tcW w:w="7889" w:type="dxa"/>
          </w:tcPr>
          <w:p w14:paraId="1FCF918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790EC494"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Ukupni iznos </w:t>
            </w:r>
            <w:proofErr w:type="spellStart"/>
            <w:r>
              <w:rPr>
                <w:rFonts w:ascii="Times New Roman" w:hAnsi="Times New Roman"/>
                <w:sz w:val="24"/>
              </w:rPr>
              <w:t>sekuritizacijskih</w:t>
            </w:r>
            <w:proofErr w:type="spellEnd"/>
            <w:r>
              <w:rPr>
                <w:rFonts w:ascii="Times New Roman" w:hAnsi="Times New Roman"/>
                <w:sz w:val="24"/>
              </w:rPr>
              <w:t xml:space="preserve"> pozicija koje ispunjavaju kriterije članka 243. ili članka 270. CRR-a i stoga ispunjavaju uvjete za različit tretman kapitala.</w:t>
            </w:r>
          </w:p>
          <w:p w14:paraId="5B138588" w14:textId="77777777" w:rsidR="00E026FB" w:rsidRPr="00A30C4C" w:rsidRDefault="00E026FB" w:rsidP="00E10B85">
            <w:pPr>
              <w:spacing w:before="0" w:after="0"/>
              <w:rPr>
                <w:rFonts w:ascii="Times New Roman" w:hAnsi="Times New Roman"/>
                <w:b/>
                <w:sz w:val="24"/>
                <w:u w:val="single"/>
                <w:lang w:eastAsia="es-ES_tradnl"/>
              </w:rPr>
            </w:pPr>
          </w:p>
        </w:tc>
      </w:tr>
      <w:tr w:rsidR="00E026FB" w:rsidRPr="00A30C4C" w14:paraId="5CE68763" w14:textId="77777777" w:rsidTr="00E10B85">
        <w:tc>
          <w:tcPr>
            <w:tcW w:w="1256" w:type="dxa"/>
          </w:tcPr>
          <w:p w14:paraId="0DCDA346"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14:paraId="24FD7445"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 UKUPNE IZLOŽENOSTI </w:t>
            </w:r>
          </w:p>
          <w:p w14:paraId="2A624B9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A30C4C"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U ovom su retku sažete informacije o bilančnim i </w:t>
            </w:r>
            <w:proofErr w:type="spellStart"/>
            <w:r>
              <w:rPr>
                <w:rStyle w:val="FormatvorlageInstructionsTabelleText"/>
                <w:rFonts w:ascii="Times New Roman" w:hAnsi="Times New Roman"/>
                <w:sz w:val="24"/>
              </w:rPr>
              <w:t>izvanbilančnim</w:t>
            </w:r>
            <w:proofErr w:type="spellEnd"/>
            <w:r>
              <w:rPr>
                <w:rStyle w:val="FormatvorlageInstructionsTabelleText"/>
                <w:rFonts w:ascii="Times New Roman" w:hAnsi="Times New Roman"/>
                <w:sz w:val="24"/>
              </w:rPr>
              <w:t xml:space="preserve"> stavkama te izvedenicama </w:t>
            </w:r>
            <w:proofErr w:type="spellStart"/>
            <w:r>
              <w:rPr>
                <w:rStyle w:val="FormatvorlageInstructionsTabelleText"/>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Style w:val="FormatvorlageInstructionsTabelleText"/>
                <w:rFonts w:ascii="Times New Roman" w:hAnsi="Times New Roman"/>
                <w:sz w:val="24"/>
              </w:rPr>
              <w:t xml:space="preserve"> pozicija kod kojih institucija ima ulogu investitora. </w:t>
            </w:r>
          </w:p>
          <w:p w14:paraId="2CB53497" w14:textId="77777777" w:rsidR="00E026FB" w:rsidRPr="00A30C4C"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A30C4C"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Za potrebe ovog obrasca investitor znači institucija koja drži </w:t>
            </w:r>
            <w:proofErr w:type="spellStart"/>
            <w:r>
              <w:rPr>
                <w:rStyle w:val="FormatvorlageInstructionsTabelleText"/>
                <w:rFonts w:ascii="Times New Roman" w:hAnsi="Times New Roman"/>
                <w:sz w:val="24"/>
              </w:rPr>
              <w:t>sekuritizacijsku</w:t>
            </w:r>
            <w:proofErr w:type="spellEnd"/>
            <w:r>
              <w:rPr>
                <w:rStyle w:val="FormatvorlageInstructionsTabelleText"/>
                <w:rFonts w:ascii="Times New Roman" w:hAnsi="Times New Roman"/>
                <w:sz w:val="24"/>
              </w:rPr>
              <w:t xml:space="preserve"> poziciju u </w:t>
            </w:r>
            <w:proofErr w:type="spellStart"/>
            <w:r>
              <w:rPr>
                <w:rStyle w:val="FormatvorlageInstructionsTabelleText"/>
                <w:rFonts w:ascii="Times New Roman" w:hAnsi="Times New Roman"/>
                <w:sz w:val="24"/>
              </w:rPr>
              <w:t>sekuritizacijskoj</w:t>
            </w:r>
            <w:proofErr w:type="spellEnd"/>
            <w:r>
              <w:rPr>
                <w:rStyle w:val="FormatvorlageInstructionsTabelleText"/>
                <w:rFonts w:ascii="Times New Roman" w:hAnsi="Times New Roman"/>
                <w:sz w:val="24"/>
              </w:rPr>
              <w:t xml:space="preserve"> transakciji u kojoj nije ni inicijator ni sponzor.</w:t>
            </w:r>
          </w:p>
          <w:p w14:paraId="65DCA65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32F3D76F" w14:textId="77777777" w:rsidTr="00E10B85">
        <w:tc>
          <w:tcPr>
            <w:tcW w:w="1256" w:type="dxa"/>
          </w:tcPr>
          <w:p w14:paraId="12E4BFC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14:paraId="6C9CF9F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UKUPNE IZLOŽENOSTI </w:t>
            </w:r>
          </w:p>
          <w:p w14:paraId="5D2E9B66"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su retku sažete informacije o bilančnim i </w:t>
            </w:r>
            <w:proofErr w:type="spellStart"/>
            <w:r>
              <w:rPr>
                <w:rFonts w:ascii="Times New Roman" w:hAnsi="Times New Roman"/>
                <w:sz w:val="24"/>
              </w:rPr>
              <w:t>izvanbilančnim</w:t>
            </w:r>
            <w:proofErr w:type="spellEnd"/>
            <w:r>
              <w:rPr>
                <w:rFonts w:ascii="Times New Roman" w:hAnsi="Times New Roman"/>
                <w:sz w:val="24"/>
              </w:rPr>
              <w:t xml:space="preserve"> stavkama i izvedenicama tih </w:t>
            </w:r>
            <w:proofErr w:type="spellStart"/>
            <w:r>
              <w:rPr>
                <w:rFonts w:ascii="Times New Roman" w:hAnsi="Times New Roman"/>
                <w:sz w:val="24"/>
              </w:rPr>
              <w:t>sekuritizacijskih</w:t>
            </w:r>
            <w:proofErr w:type="spellEnd"/>
            <w:r>
              <w:rPr>
                <w:rFonts w:ascii="Times New Roman" w:hAnsi="Times New Roman"/>
                <w:sz w:val="24"/>
              </w:rPr>
              <w:t xml:space="preserve"> i </w:t>
            </w:r>
            <w:proofErr w:type="spellStart"/>
            <w:r>
              <w:rPr>
                <w:rFonts w:ascii="Times New Roman" w:hAnsi="Times New Roman"/>
                <w:sz w:val="24"/>
              </w:rPr>
              <w:t>resekuritizacijskih</w:t>
            </w:r>
            <w:proofErr w:type="spellEnd"/>
            <w:r>
              <w:rPr>
                <w:rFonts w:ascii="Times New Roman" w:hAnsi="Times New Roman"/>
                <w:sz w:val="24"/>
              </w:rPr>
              <w:t xml:space="preserve"> pozicija kod kojih institucija ima ulogu sponzora, kako je definirano u članku 4. stavku 1. točki 14. CRR-a. Ako sponzor </w:t>
            </w:r>
            <w:proofErr w:type="spellStart"/>
            <w:r>
              <w:rPr>
                <w:rFonts w:ascii="Times New Roman" w:hAnsi="Times New Roman"/>
                <w:sz w:val="24"/>
              </w:rPr>
              <w:t>sekuritizira</w:t>
            </w:r>
            <w:proofErr w:type="spellEnd"/>
            <w:r>
              <w:rPr>
                <w:rFonts w:ascii="Times New Roman" w:hAnsi="Times New Roman"/>
                <w:sz w:val="24"/>
              </w:rPr>
              <w:t xml:space="preserve"> i svoju imovinu, popunjava retke za inicijatora informacijama o vlastitoj </w:t>
            </w:r>
            <w:proofErr w:type="spellStart"/>
            <w:r>
              <w:rPr>
                <w:rFonts w:ascii="Times New Roman" w:hAnsi="Times New Roman"/>
                <w:sz w:val="24"/>
              </w:rPr>
              <w:t>sekuritiziranoj</w:t>
            </w:r>
            <w:proofErr w:type="spellEnd"/>
            <w:r>
              <w:rPr>
                <w:rFonts w:ascii="Times New Roman" w:hAnsi="Times New Roman"/>
                <w:sz w:val="24"/>
              </w:rPr>
              <w:t xml:space="preserve"> imovini.</w:t>
            </w:r>
          </w:p>
          <w:p w14:paraId="5A74191A"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tc>
      </w:tr>
      <w:tr w:rsidR="00E026FB" w:rsidRPr="00A30C4C" w14:paraId="581F91D8" w14:textId="77777777" w:rsidTr="00E10B85">
        <w:tc>
          <w:tcPr>
            <w:tcW w:w="1256" w:type="dxa"/>
          </w:tcPr>
          <w:p w14:paraId="4F9C80C2" w14:textId="77777777" w:rsidR="00E026FB" w:rsidRPr="00A30C4C" w:rsidRDefault="00E026FB"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0440-0670</w:t>
            </w:r>
          </w:p>
        </w:tc>
        <w:tc>
          <w:tcPr>
            <w:tcW w:w="7889" w:type="dxa"/>
          </w:tcPr>
          <w:p w14:paraId="42047E99" w14:textId="6A05D7BB"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RAŠČLAMBA PREOSTALIH POZICIJA PREMA STUPNJEVIMA KREDITNE KVALITETE NA POČETKU</w:t>
            </w:r>
          </w:p>
          <w:p w14:paraId="4179918B"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ovim se redcima prikupljaju informacije o preostalim pozicijama (na izvještajni datum) za koje je stupanj kreditne kvalitete (kako je utvrđen u članku 263. tablicama 1. i 2. i članku 264. tablicama 3. i 4. CRR-a) određen na datum početka </w:t>
            </w:r>
            <w:proofErr w:type="spellStart"/>
            <w:r>
              <w:rPr>
                <w:rFonts w:ascii="Times New Roman" w:hAnsi="Times New Roman"/>
                <w:sz w:val="24"/>
              </w:rPr>
              <w:t>sekuritizacije</w:t>
            </w:r>
            <w:proofErr w:type="spellEnd"/>
            <w:r>
              <w:rPr>
                <w:rFonts w:ascii="Times New Roman" w:hAnsi="Times New Roman"/>
                <w:sz w:val="24"/>
              </w:rPr>
              <w:t xml:space="preserve"> (početak). Stupanj kreditne kvalitete </w:t>
            </w:r>
            <w:proofErr w:type="spellStart"/>
            <w:r>
              <w:rPr>
                <w:rFonts w:ascii="Times New Roman" w:hAnsi="Times New Roman"/>
                <w:sz w:val="24"/>
              </w:rPr>
              <w:t>sekuritizacijskih</w:t>
            </w:r>
            <w:proofErr w:type="spellEnd"/>
            <w:r>
              <w:rPr>
                <w:rFonts w:ascii="Times New Roman" w:hAnsi="Times New Roman"/>
                <w:sz w:val="24"/>
              </w:rPr>
              <w:t xml:space="preserve"> pozicija koje se tretiraju u skladu s pristupom interne procjene stupanj je koji su imale u trenutku prve dodjele rejtinga u skladu s pristupom interne procjene. U nedostatku tih informacija, iskazuju se najraniji dostupni podaci istovjetni stupnjevima kreditne kvalitete.</w:t>
            </w:r>
          </w:p>
          <w:p w14:paraId="4C6212A8"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Ove je retke potrebno iskazivati samo za stupce 0180-0210, 0280, 0350-0640, 0700-0720, 0740, 0760-0830 i 0850.</w:t>
            </w:r>
          </w:p>
          <w:p w14:paraId="6C857D2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A30C4C"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84" w:name="_Toc239157390"/>
      <w:bookmarkStart w:id="385" w:name="_Toc310415046"/>
      <w:bookmarkStart w:id="386" w:name="_Toc360188381"/>
      <w:bookmarkStart w:id="387" w:name="_Toc473560932"/>
      <w:bookmarkStart w:id="388" w:name="_Toc30677685"/>
      <w:r>
        <w:rPr>
          <w:rFonts w:ascii="Times New Roman" w:hAnsi="Times New Roman"/>
          <w:sz w:val="24"/>
          <w:u w:val="none"/>
        </w:rPr>
        <w:t>3.9.</w:t>
      </w:r>
      <w:r>
        <w:rPr>
          <w:rFonts w:ascii="Times New Roman" w:hAnsi="Times New Roman"/>
          <w:sz w:val="24"/>
          <w:u w:val="none"/>
        </w:rPr>
        <w:tab/>
      </w:r>
      <w:bookmarkEnd w:id="384"/>
      <w:r>
        <w:rPr>
          <w:rFonts w:ascii="Times New Roman" w:hAnsi="Times New Roman"/>
          <w:sz w:val="24"/>
        </w:rPr>
        <w:t xml:space="preserve">Detaljne informacije o </w:t>
      </w:r>
      <w:proofErr w:type="spellStart"/>
      <w:r>
        <w:rPr>
          <w:rFonts w:ascii="Times New Roman" w:hAnsi="Times New Roman"/>
          <w:sz w:val="24"/>
        </w:rPr>
        <w:t>sekuritizacijama</w:t>
      </w:r>
      <w:bookmarkEnd w:id="385"/>
      <w:bookmarkEnd w:id="386"/>
      <w:proofErr w:type="spellEnd"/>
      <w:r>
        <w:rPr>
          <w:rFonts w:ascii="Times New Roman" w:hAnsi="Times New Roman"/>
          <w:sz w:val="24"/>
        </w:rPr>
        <w:t xml:space="preserve"> (SEC DETALJNIJI PODACI)</w:t>
      </w:r>
      <w:bookmarkEnd w:id="387"/>
      <w:bookmarkEnd w:id="388"/>
    </w:p>
    <w:p w14:paraId="13979E1F"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389" w:name="_Toc310415047"/>
      <w:bookmarkStart w:id="390" w:name="_Toc360188382"/>
      <w:bookmarkStart w:id="391" w:name="_Toc473560933"/>
      <w:bookmarkStart w:id="392" w:name="_Toc30677686"/>
      <w:r>
        <w:rPr>
          <w:rFonts w:ascii="Times New Roman" w:hAnsi="Times New Roman"/>
          <w:sz w:val="24"/>
          <w:u w:val="none"/>
        </w:rPr>
        <w:t>3.9.1.</w:t>
      </w:r>
      <w:r>
        <w:rPr>
          <w:rFonts w:ascii="Times New Roman" w:hAnsi="Times New Roman"/>
          <w:sz w:val="24"/>
          <w:u w:val="none"/>
        </w:rPr>
        <w:tab/>
        <w:t>Opseg obrasca SEC DETAILS</w:t>
      </w:r>
      <w:bookmarkEnd w:id="389"/>
      <w:bookmarkEnd w:id="390"/>
      <w:bookmarkEnd w:id="391"/>
      <w:bookmarkEnd w:id="392"/>
    </w:p>
    <w:p w14:paraId="3A99C0C3" w14:textId="77777777" w:rsidR="00062A1F" w:rsidRPr="00A30C4C" w:rsidRDefault="00062A1F" w:rsidP="00062A1F">
      <w:pPr>
        <w:pStyle w:val="InstructionsText2"/>
        <w:numPr>
          <w:ilvl w:val="0"/>
          <w:numId w:val="0"/>
        </w:numPr>
        <w:ind w:left="993"/>
      </w:pPr>
      <w:bookmarkStart w:id="393" w:name="_Toc310415048"/>
      <w:bookmarkStart w:id="394" w:name="_Toc360188383"/>
      <w:bookmarkStart w:id="395" w:name="_Toc473560934"/>
      <w:r>
        <w:t>109.</w:t>
      </w:r>
      <w:r>
        <w:tab/>
        <w:t xml:space="preserve"> U ovim se </w:t>
      </w:r>
      <w:proofErr w:type="spellStart"/>
      <w:r>
        <w:t>obrascims</w:t>
      </w:r>
      <w:proofErr w:type="spellEnd"/>
      <w:r>
        <w:t xml:space="preserve"> prikupljaju informacije na osnovi transakcija (nasuprot agregiranih informacija iskazanih u obrascima CR SEC, MKR SA SEC, MKR SA </w:t>
      </w:r>
      <w:r>
        <w:lastRenderedPageBreak/>
        <w:t xml:space="preserve">CTP, CA1 i CA2) o svim </w:t>
      </w:r>
      <w:proofErr w:type="spellStart"/>
      <w:r>
        <w:t>sekuritizacijama</w:t>
      </w:r>
      <w:proofErr w:type="spellEnd"/>
      <w:r>
        <w:t xml:space="preserve"> u koje je uključena institucija koja izvješćuje. Iskazuju se glavna obilježja svake </w:t>
      </w:r>
      <w:proofErr w:type="spellStart"/>
      <w:r>
        <w:t>sekuritizacije</w:t>
      </w:r>
      <w:proofErr w:type="spellEnd"/>
      <w:r>
        <w:t xml:space="preserve">, kao što su priroda odnosnog skupa i kapitalni zahtjevi. </w:t>
      </w:r>
    </w:p>
    <w:p w14:paraId="3784C6D7" w14:textId="77777777" w:rsidR="00062A1F" w:rsidRPr="00A30C4C" w:rsidRDefault="00062A1F" w:rsidP="00062A1F">
      <w:pPr>
        <w:pStyle w:val="InstructionsText2"/>
        <w:numPr>
          <w:ilvl w:val="0"/>
          <w:numId w:val="0"/>
        </w:numPr>
        <w:ind w:left="993"/>
      </w:pPr>
      <w:r>
        <w:t>110.</w:t>
      </w:r>
      <w:r>
        <w:tab/>
        <w:t xml:space="preserve"> Te je obrasce potrebno iskazati za sljedeće:</w:t>
      </w:r>
    </w:p>
    <w:p w14:paraId="7BCD0350" w14:textId="7BBFD7E9" w:rsidR="002409C1" w:rsidRPr="00A30C4C" w:rsidRDefault="00062A1F" w:rsidP="00062A1F">
      <w:pPr>
        <w:pStyle w:val="InstructionsText2"/>
        <w:numPr>
          <w:ilvl w:val="0"/>
          <w:numId w:val="0"/>
        </w:numPr>
        <w:ind w:left="993"/>
      </w:pPr>
      <w:r>
        <w:t>a.</w:t>
      </w:r>
      <w:r>
        <w:tab/>
      </w:r>
      <w:proofErr w:type="spellStart"/>
      <w:r>
        <w:t>sekuritizacije</w:t>
      </w:r>
      <w:proofErr w:type="spellEnd"/>
      <w:r>
        <w:t xml:space="preserve"> koje inicira/sponzorira institucija koja izvješćuje, među ostalim ako ne drži poziciju u </w:t>
      </w:r>
      <w:proofErr w:type="spellStart"/>
      <w:r>
        <w:t>sekuritizaciji</w:t>
      </w:r>
      <w:proofErr w:type="spellEnd"/>
      <w:r>
        <w:t xml:space="preserve">. U slučajevima kada institucije drže barem jednu poziciju u </w:t>
      </w:r>
      <w:proofErr w:type="spellStart"/>
      <w:r>
        <w:t>sekuritizaciji</w:t>
      </w:r>
      <w:proofErr w:type="spellEnd"/>
      <w:r>
        <w:t>, bez obzira na to postoji li prijenos značajnog rizika ili ne, institucije iskazuju informacije o svim pozicijama koje drže (u knjizi pozicija kojima se ne trguje ili u knjizi trgovanja). Pozicije koje drže uključuju one pozicije koje su zadržane zbog članka 6. Uredbe (EU) 2017/2402 i, ako se primjenjuje članak 43. stavak 6. te Uredbe, članka 405. CRR-a u verziji koja se primjenjuje na dan 31. prosinca 2018.</w:t>
      </w:r>
    </w:p>
    <w:p w14:paraId="030512C5" w14:textId="09CB0A7F" w:rsidR="00062A1F" w:rsidRPr="00A30C4C" w:rsidRDefault="00062A1F" w:rsidP="00062A1F">
      <w:pPr>
        <w:pStyle w:val="InstructionsText2"/>
        <w:numPr>
          <w:ilvl w:val="0"/>
          <w:numId w:val="0"/>
        </w:numPr>
        <w:ind w:left="993"/>
      </w:pPr>
      <w:r>
        <w:t>b.</w:t>
      </w:r>
      <w:r>
        <w:tab/>
      </w:r>
      <w:proofErr w:type="spellStart"/>
      <w:r>
        <w:t>sekuritizacije</w:t>
      </w:r>
      <w:proofErr w:type="spellEnd"/>
      <w:r>
        <w:t xml:space="preserve"> čiji su krajnji odnosni instrument financijske obveze koje je izdala institucija koja izvješćuje i koje je (djelomično) stekao subjekt za </w:t>
      </w:r>
      <w:proofErr w:type="spellStart"/>
      <w:r>
        <w:t>sekuritizaciju</w:t>
      </w:r>
      <w:proofErr w:type="spellEnd"/>
      <w:r>
        <w:t>. Taj odnosni instrument mogu biti pokrivene obveznice ili druge obveze i utvrđuje se kao takav u stupcu 160.</w:t>
      </w:r>
    </w:p>
    <w:p w14:paraId="74ADC909" w14:textId="4D5E5F8F" w:rsidR="00062A1F" w:rsidRPr="00A30C4C" w:rsidRDefault="002409C1" w:rsidP="00062A1F">
      <w:pPr>
        <w:pStyle w:val="InstructionsText2"/>
        <w:numPr>
          <w:ilvl w:val="0"/>
          <w:numId w:val="0"/>
        </w:numPr>
        <w:ind w:left="993"/>
      </w:pPr>
      <w:r>
        <w:t>c.</w:t>
      </w:r>
      <w:r>
        <w:tab/>
        <w:t xml:space="preserve">pozicije koje se drže u </w:t>
      </w:r>
      <w:proofErr w:type="spellStart"/>
      <w:r>
        <w:t>sekuritizacijama</w:t>
      </w:r>
      <w:proofErr w:type="spellEnd"/>
      <w:r>
        <w:t xml:space="preserve"> ako institucija koja izvješćuje nije ni inicijator ni sponzor (tj. investitori i izvorni zajmodavci).</w:t>
      </w:r>
    </w:p>
    <w:p w14:paraId="4A064453" w14:textId="77777777" w:rsidR="00062A1F" w:rsidRPr="00A30C4C" w:rsidRDefault="00062A1F" w:rsidP="00062A1F">
      <w:pPr>
        <w:pStyle w:val="InstructionsText2"/>
        <w:numPr>
          <w:ilvl w:val="0"/>
          <w:numId w:val="0"/>
        </w:numPr>
        <w:ind w:left="993"/>
      </w:pPr>
      <w:r>
        <w:t>111.</w:t>
      </w:r>
      <w:r>
        <w:tab/>
        <w:t xml:space="preserve"> Te obrasce dostavljaju konsolidirane grupe i samostalne institucije</w:t>
      </w:r>
      <w:r w:rsidRPr="00A30C4C">
        <w:rPr>
          <w:vertAlign w:val="superscript"/>
        </w:rPr>
        <w:footnoteReference w:id="13"/>
      </w:r>
      <w:r>
        <w:t xml:space="preserve"> koje se nalaze u istoj zemlji u kojoj podliježu kapitalnim zahtjevima. Ako </w:t>
      </w:r>
      <w:proofErr w:type="spellStart"/>
      <w:r>
        <w:t>sekuritizacije</w:t>
      </w:r>
      <w:proofErr w:type="spellEnd"/>
      <w:r>
        <w:t xml:space="preserve"> uključuju više od jednog subjekta iste konsolidirane grupe, dostavlja se detaljna raščlamba prema pojedinom subjektu. </w:t>
      </w:r>
    </w:p>
    <w:p w14:paraId="6D77FDD7" w14:textId="24C92077" w:rsidR="00062A1F" w:rsidRPr="00A30C4C" w:rsidRDefault="00062A1F" w:rsidP="00062A1F">
      <w:pPr>
        <w:pStyle w:val="InstructionsText2"/>
        <w:numPr>
          <w:ilvl w:val="0"/>
          <w:numId w:val="0"/>
        </w:numPr>
        <w:ind w:left="993"/>
      </w:pPr>
      <w:r>
        <w:t>112.</w:t>
      </w:r>
      <w:r>
        <w:tab/>
        <w:t xml:space="preserve"> Zbog članka 5. Uredbe (EU) 2017/2402 kojim je utvrđeno da institucije koje ulažu u </w:t>
      </w:r>
      <w:proofErr w:type="spellStart"/>
      <w:r>
        <w:t>sekuritizacijske</w:t>
      </w:r>
      <w:proofErr w:type="spellEnd"/>
      <w:r>
        <w:t xml:space="preserve"> pozicije stječu veliki broj informacija o njima kako bi postupale u skladu sa zahtjevima povezanima s dubinskom analizom, opseg izvješćivanja u obrascu primjenjuje se u ograničenoj mjeri na investitore. Konkretno, iskazuju stupce 010-040; 070-110; 161.; 190; 290-300; 310-470.</w:t>
      </w:r>
    </w:p>
    <w:p w14:paraId="2F520B35" w14:textId="77777777" w:rsidR="00062A1F" w:rsidRPr="00A30C4C" w:rsidRDefault="00062A1F" w:rsidP="00062A1F">
      <w:pPr>
        <w:pStyle w:val="InstructionsText2"/>
        <w:numPr>
          <w:ilvl w:val="0"/>
          <w:numId w:val="0"/>
        </w:numPr>
        <w:ind w:left="993"/>
      </w:pPr>
      <w:r>
        <w:t>113.</w:t>
      </w:r>
      <w:r>
        <w:tab/>
        <w:t xml:space="preserve"> Institucije koje imaju ulogu izvornog zajmodavca (nemaju ulogu inicijatora ili sponzora u istoj </w:t>
      </w:r>
      <w:proofErr w:type="spellStart"/>
      <w:r>
        <w:t>sekuritizaciji</w:t>
      </w:r>
      <w:proofErr w:type="spellEnd"/>
      <w:r>
        <w:t>) općenito izvješćuju u obrascu u istoj mjeri kao i investitori.</w:t>
      </w:r>
    </w:p>
    <w:p w14:paraId="7984AB85" w14:textId="17CC4C53" w:rsidR="00062A1F" w:rsidRPr="00A30C4C" w:rsidRDefault="00062A1F" w:rsidP="003B3533">
      <w:pPr>
        <w:pStyle w:val="Instructionsberschrift2"/>
        <w:numPr>
          <w:ilvl w:val="0"/>
          <w:numId w:val="0"/>
        </w:numPr>
        <w:ind w:left="357" w:hanging="357"/>
        <w:rPr>
          <w:rFonts w:ascii="Times New Roman" w:hAnsi="Times New Roman" w:cs="Times New Roman"/>
          <w:sz w:val="24"/>
          <w:u w:val="none"/>
        </w:rPr>
      </w:pPr>
      <w:bookmarkStart w:id="396" w:name="_Toc522019892"/>
      <w:bookmarkStart w:id="397" w:name="_Toc30677687"/>
      <w:r>
        <w:rPr>
          <w:rFonts w:ascii="Times New Roman" w:hAnsi="Times New Roman"/>
          <w:sz w:val="24"/>
          <w:u w:val="none"/>
        </w:rPr>
        <w:t>3.9.2</w:t>
      </w:r>
      <w:r w:rsidR="00D633B1">
        <w:rPr>
          <w:rFonts w:ascii="Times New Roman" w:hAnsi="Times New Roman"/>
          <w:sz w:val="24"/>
          <w:u w:val="none"/>
        </w:rPr>
        <w:t>.</w:t>
      </w:r>
      <w:r>
        <w:rPr>
          <w:rFonts w:ascii="Times New Roman" w:hAnsi="Times New Roman"/>
          <w:sz w:val="24"/>
          <w:u w:val="none"/>
        </w:rPr>
        <w:t xml:space="preserve"> Raščlamba obrasca SEC DETALJNIJI PODACI</w:t>
      </w:r>
      <w:bookmarkEnd w:id="396"/>
      <w:bookmarkEnd w:id="397"/>
    </w:p>
    <w:p w14:paraId="71B50127" w14:textId="77777777" w:rsidR="00062A1F" w:rsidRPr="00A30C4C" w:rsidRDefault="00CA4EB2" w:rsidP="00C94812">
      <w:pPr>
        <w:pStyle w:val="InstructionsText2"/>
        <w:numPr>
          <w:ilvl w:val="0"/>
          <w:numId w:val="0"/>
        </w:numPr>
        <w:ind w:left="993"/>
      </w:pPr>
      <w:r>
        <w:t xml:space="preserve">113a. Obrazac SEC DETALJNIJI PODACI sastoji se od dva obrasca. U obrascu SEC DETALJNIJI PODACI navodi se opći pregled </w:t>
      </w:r>
      <w:proofErr w:type="spellStart"/>
      <w:r>
        <w:t>sekuritizacija</w:t>
      </w:r>
      <w:proofErr w:type="spellEnd"/>
      <w:r>
        <w:t xml:space="preserve">, a u obrascu SEC DETALJNIJI PODACI 2 navodi se raščlamba tih </w:t>
      </w:r>
      <w:proofErr w:type="spellStart"/>
      <w:r>
        <w:t>sekuritizacija</w:t>
      </w:r>
      <w:proofErr w:type="spellEnd"/>
      <w:r>
        <w:t xml:space="preserve"> prema pristupu koji je primijenjen. </w:t>
      </w:r>
    </w:p>
    <w:p w14:paraId="47FA2E7A" w14:textId="77777777" w:rsidR="00062A1F" w:rsidRPr="00A30C4C" w:rsidRDefault="00CA4EB2" w:rsidP="00062A1F">
      <w:pPr>
        <w:pStyle w:val="InstructionsText2"/>
        <w:numPr>
          <w:ilvl w:val="0"/>
          <w:numId w:val="0"/>
        </w:numPr>
        <w:ind w:left="1353" w:hanging="360"/>
      </w:pPr>
      <w:r>
        <w:t xml:space="preserve">113b. </w:t>
      </w:r>
      <w:proofErr w:type="spellStart"/>
      <w:r>
        <w:t>Sekuritizacijske</w:t>
      </w:r>
      <w:proofErr w:type="spellEnd"/>
      <w:r>
        <w:t xml:space="preserve"> pozicije u knjizi trgovanja iskazuju se samo u stupcima 005-020, 420, 430, 431, 432, 440 i 450-470. Za stupce 420, 430 i 440 institucije uzimaju u obzir ponder rizika koji odgovara kapitalnom </w:t>
      </w:r>
      <w:proofErr w:type="spellStart"/>
      <w:r>
        <w:t>zatjevu</w:t>
      </w:r>
      <w:proofErr w:type="spellEnd"/>
      <w:r>
        <w:t xml:space="preserve"> neto pozicije. </w:t>
      </w:r>
    </w:p>
    <w:p w14:paraId="63D5DB28" w14:textId="4F77913B" w:rsidR="00612780" w:rsidRPr="00A30C4C" w:rsidRDefault="00FC6275">
      <w:pPr>
        <w:pStyle w:val="Instructionsberschrift2"/>
        <w:numPr>
          <w:ilvl w:val="0"/>
          <w:numId w:val="0"/>
        </w:numPr>
        <w:ind w:left="357" w:hanging="357"/>
        <w:rPr>
          <w:rFonts w:ascii="Times New Roman" w:hAnsi="Times New Roman" w:cs="Times New Roman"/>
          <w:sz w:val="24"/>
          <w:u w:val="none"/>
        </w:rPr>
      </w:pPr>
      <w:bookmarkStart w:id="398" w:name="_Toc30677688"/>
      <w:r>
        <w:rPr>
          <w:rFonts w:ascii="Times New Roman" w:hAnsi="Times New Roman"/>
          <w:sz w:val="24"/>
          <w:u w:val="none"/>
        </w:rPr>
        <w:lastRenderedPageBreak/>
        <w:t>3.9.3</w:t>
      </w:r>
      <w:r w:rsidR="00D633B1">
        <w:rPr>
          <w:rFonts w:ascii="Times New Roman" w:hAnsi="Times New Roman"/>
          <w:sz w:val="24"/>
          <w:u w:val="none"/>
        </w:rPr>
        <w:t>.</w:t>
      </w:r>
      <w:r>
        <w:rPr>
          <w:rFonts w:ascii="Times New Roman" w:hAnsi="Times New Roman"/>
          <w:sz w:val="24"/>
          <w:u w:val="none"/>
        </w:rPr>
        <w:t xml:space="preserve"> C 14.00 – Detaljne informacije o </w:t>
      </w:r>
      <w:proofErr w:type="spellStart"/>
      <w:r>
        <w:rPr>
          <w:rFonts w:ascii="Times New Roman" w:hAnsi="Times New Roman"/>
          <w:sz w:val="24"/>
          <w:u w:val="none"/>
        </w:rPr>
        <w:t>sekuritizacijama</w:t>
      </w:r>
      <w:proofErr w:type="spellEnd"/>
      <w:r>
        <w:rPr>
          <w:rFonts w:ascii="Times New Roman" w:hAnsi="Times New Roman"/>
          <w:sz w:val="24"/>
          <w:u w:val="none"/>
        </w:rPr>
        <w:t xml:space="preserve"> (SEC DETALJNIJI PODACI)</w:t>
      </w:r>
      <w:bookmarkEnd w:id="393"/>
      <w:bookmarkEnd w:id="394"/>
      <w:bookmarkEnd w:id="395"/>
      <w:bookmarkEnd w:id="39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A30C4C" w14:paraId="26A3EDEF" w14:textId="77777777" w:rsidTr="00E10B85">
        <w:tc>
          <w:tcPr>
            <w:tcW w:w="9004" w:type="dxa"/>
            <w:gridSpan w:val="2"/>
            <w:shd w:val="clear" w:color="auto" w:fill="CCCCCC"/>
          </w:tcPr>
          <w:p w14:paraId="1E45696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A30C4C"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14:paraId="73F20482"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61E4AA35" w14:textId="77777777" w:rsidTr="00E10B85">
        <w:tc>
          <w:tcPr>
            <w:tcW w:w="1101" w:type="dxa"/>
          </w:tcPr>
          <w:p w14:paraId="79EBA34A"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005</w:t>
            </w:r>
          </w:p>
        </w:tc>
        <w:tc>
          <w:tcPr>
            <w:tcW w:w="7903" w:type="dxa"/>
          </w:tcPr>
          <w:p w14:paraId="5FE45A4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BROJ RETKA</w:t>
            </w:r>
          </w:p>
          <w:p w14:paraId="5668FEBC" w14:textId="77777777" w:rsidR="00C55547" w:rsidRPr="00A30C4C" w:rsidRDefault="00C55547" w:rsidP="00E10B85">
            <w:pPr>
              <w:spacing w:before="0" w:after="0"/>
              <w:jc w:val="left"/>
              <w:rPr>
                <w:rFonts w:ascii="Times New Roman" w:hAnsi="Times New Roman"/>
                <w:b/>
                <w:sz w:val="24"/>
                <w:u w:val="single"/>
              </w:rPr>
            </w:pPr>
          </w:p>
          <w:p w14:paraId="15014612" w14:textId="1427EBA3"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Broj retka je identifikator retka i jedinstven je za svaki redak u obrascu. Navodi se numeričkim redoslijedom 1, 2, 3 itd.</w:t>
            </w:r>
          </w:p>
          <w:p w14:paraId="6CE9D6DC" w14:textId="77777777" w:rsidR="00C55547" w:rsidRPr="00A30C4C" w:rsidRDefault="00C55547" w:rsidP="00E10B85">
            <w:pPr>
              <w:autoSpaceDE w:val="0"/>
              <w:autoSpaceDN w:val="0"/>
              <w:adjustRightInd w:val="0"/>
              <w:spacing w:before="0" w:after="0"/>
              <w:rPr>
                <w:rFonts w:ascii="Times New Roman" w:hAnsi="Times New Roman"/>
                <w:b/>
                <w:sz w:val="24"/>
                <w:u w:val="single"/>
              </w:rPr>
            </w:pPr>
          </w:p>
        </w:tc>
      </w:tr>
      <w:tr w:rsidR="00C55547" w:rsidRPr="00A30C4C" w14:paraId="3BDF78D0" w14:textId="77777777" w:rsidTr="00E10B85">
        <w:tc>
          <w:tcPr>
            <w:tcW w:w="1101" w:type="dxa"/>
          </w:tcPr>
          <w:p w14:paraId="1C62AFDD"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010</w:t>
            </w:r>
          </w:p>
        </w:tc>
        <w:tc>
          <w:tcPr>
            <w:tcW w:w="7903" w:type="dxa"/>
          </w:tcPr>
          <w:p w14:paraId="11016763"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INTERNA OZNAKA</w:t>
            </w:r>
          </w:p>
          <w:p w14:paraId="7DE7F9FB" w14:textId="77777777" w:rsidR="00C55547" w:rsidRPr="00A30C4C" w:rsidRDefault="00C55547" w:rsidP="00E10B85">
            <w:pPr>
              <w:spacing w:before="0" w:after="0"/>
              <w:jc w:val="left"/>
              <w:rPr>
                <w:rFonts w:ascii="Times New Roman" w:hAnsi="Times New Roman"/>
                <w:sz w:val="24"/>
              </w:rPr>
            </w:pPr>
          </w:p>
          <w:p w14:paraId="476E1B27" w14:textId="77777777" w:rsidR="00D956C2" w:rsidRPr="00A30C4C"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Interna (alfanumerička) oznaka koju institucije koriste za utvrđivanje </w:t>
            </w:r>
            <w:proofErr w:type="spellStart"/>
            <w:r>
              <w:rPr>
                <w:rFonts w:ascii="Times New Roman" w:hAnsi="Times New Roman"/>
                <w:sz w:val="24"/>
              </w:rPr>
              <w:t>sekuritizacije</w:t>
            </w:r>
            <w:proofErr w:type="spellEnd"/>
            <w:r>
              <w:rPr>
                <w:rFonts w:ascii="Times New Roman" w:hAnsi="Times New Roman"/>
                <w:sz w:val="24"/>
              </w:rPr>
              <w:t xml:space="preserve">. Interna oznaka povezuje se s identifikatorom </w:t>
            </w:r>
            <w:proofErr w:type="spellStart"/>
            <w:r>
              <w:rPr>
                <w:rFonts w:ascii="Times New Roman" w:hAnsi="Times New Roman"/>
                <w:sz w:val="24"/>
              </w:rPr>
              <w:t>sekuritizacijske</w:t>
            </w:r>
            <w:proofErr w:type="spellEnd"/>
            <w:r>
              <w:rPr>
                <w:rFonts w:ascii="Times New Roman" w:hAnsi="Times New Roman"/>
                <w:sz w:val="24"/>
              </w:rPr>
              <w:t xml:space="preserve"> transakcije.</w:t>
            </w:r>
          </w:p>
          <w:p w14:paraId="66148281"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3DA7E308" w14:textId="77777777" w:rsidTr="00E10B85">
        <w:tc>
          <w:tcPr>
            <w:tcW w:w="1101" w:type="dxa"/>
          </w:tcPr>
          <w:p w14:paraId="072A9743"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14:paraId="07F994B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IDENTIFIKATOR SEKURITIZACIJE </w:t>
            </w:r>
            <w:r>
              <w:rPr>
                <w:rFonts w:ascii="Times New Roman" w:hAnsi="Times New Roman"/>
                <w:b/>
                <w:sz w:val="24"/>
              </w:rPr>
              <w:t xml:space="preserve"> (oznaka/naziv)</w:t>
            </w:r>
          </w:p>
          <w:p w14:paraId="0CCA42B7" w14:textId="77777777" w:rsidR="00C55547" w:rsidRPr="00A30C4C" w:rsidRDefault="00C55547" w:rsidP="00E10B85">
            <w:pPr>
              <w:spacing w:before="0" w:after="0"/>
              <w:jc w:val="left"/>
              <w:rPr>
                <w:rFonts w:ascii="Times New Roman" w:hAnsi="Times New Roman"/>
                <w:sz w:val="24"/>
              </w:rPr>
            </w:pPr>
          </w:p>
          <w:p w14:paraId="466E15FC" w14:textId="19F5A99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Oznaka koja se koristi za zakonski upis </w:t>
            </w:r>
            <w:proofErr w:type="spellStart"/>
            <w:r>
              <w:rPr>
                <w:rFonts w:ascii="Times New Roman" w:hAnsi="Times New Roman"/>
                <w:sz w:val="24"/>
              </w:rPr>
              <w:t>sekuritizacijske</w:t>
            </w:r>
            <w:proofErr w:type="spellEnd"/>
            <w:r>
              <w:rPr>
                <w:rFonts w:ascii="Times New Roman" w:hAnsi="Times New Roman"/>
                <w:sz w:val="24"/>
              </w:rPr>
              <w:t xml:space="preserve"> transakcije ili, ako nije dostupna, naziv po kojem je </w:t>
            </w:r>
            <w:proofErr w:type="spellStart"/>
            <w:r>
              <w:rPr>
                <w:rFonts w:ascii="Times New Roman" w:hAnsi="Times New Roman"/>
                <w:sz w:val="24"/>
              </w:rPr>
              <w:t>sekuritizacijska</w:t>
            </w:r>
            <w:proofErr w:type="spellEnd"/>
            <w:r>
              <w:rPr>
                <w:rFonts w:ascii="Times New Roman" w:hAnsi="Times New Roman"/>
                <w:sz w:val="24"/>
              </w:rPr>
              <w:t xml:space="preserve"> transakcija poznata na tržištu, ili unutar institucije u slučaju interne ili privatne </w:t>
            </w:r>
            <w:proofErr w:type="spellStart"/>
            <w:r>
              <w:rPr>
                <w:rFonts w:ascii="Times New Roman" w:hAnsi="Times New Roman"/>
                <w:sz w:val="24"/>
              </w:rPr>
              <w:t>sekuritizacije</w:t>
            </w:r>
            <w:proofErr w:type="spellEnd"/>
            <w:r>
              <w:rPr>
                <w:rFonts w:ascii="Times New Roman" w:hAnsi="Times New Roman"/>
                <w:sz w:val="24"/>
              </w:rPr>
              <w:t xml:space="preserve">. Ako je dostupan međunarodni identifikacijski broj vrijednosnog papira (ISIN) (tj. za javne transakcije), u ovom se stupcu iskazuju znakovi koji su zajednički svim tranšama </w:t>
            </w:r>
            <w:proofErr w:type="spellStart"/>
            <w:r>
              <w:rPr>
                <w:rFonts w:ascii="Times New Roman" w:hAnsi="Times New Roman"/>
                <w:sz w:val="24"/>
              </w:rPr>
              <w:t>sekuritizacije</w:t>
            </w:r>
            <w:proofErr w:type="spellEnd"/>
            <w:r>
              <w:rPr>
                <w:rFonts w:ascii="Times New Roman" w:hAnsi="Times New Roman"/>
                <w:sz w:val="24"/>
              </w:rPr>
              <w:t>.</w:t>
            </w:r>
          </w:p>
          <w:p w14:paraId="084E4489"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6B879E4A" w14:textId="77777777" w:rsidTr="00E10B85">
        <w:tc>
          <w:tcPr>
            <w:tcW w:w="1101" w:type="dxa"/>
          </w:tcPr>
          <w:p w14:paraId="6CBD8AA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7903" w:type="dxa"/>
          </w:tcPr>
          <w:p w14:paraId="3E7C7C2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UNUTARGRUPNA, PRIVATNA ILI JAVNA SEKURITIZACIJA?</w:t>
            </w:r>
          </w:p>
          <w:p w14:paraId="48B40EEE"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3EAD98B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 ovom se stupcu određuje je li </w:t>
            </w:r>
            <w:proofErr w:type="spellStart"/>
            <w:r>
              <w:rPr>
                <w:rFonts w:ascii="Times New Roman" w:hAnsi="Times New Roman"/>
                <w:sz w:val="24"/>
              </w:rPr>
              <w:t>sekuritizacija</w:t>
            </w:r>
            <w:proofErr w:type="spellEnd"/>
            <w:r>
              <w:rPr>
                <w:rFonts w:ascii="Times New Roman" w:hAnsi="Times New Roman"/>
                <w:sz w:val="24"/>
              </w:rPr>
              <w:t xml:space="preserve"> </w:t>
            </w:r>
            <w:proofErr w:type="spellStart"/>
            <w:r>
              <w:rPr>
                <w:rFonts w:ascii="Times New Roman" w:hAnsi="Times New Roman"/>
                <w:sz w:val="24"/>
              </w:rPr>
              <w:t>unutargrupna</w:t>
            </w:r>
            <w:proofErr w:type="spellEnd"/>
            <w:r>
              <w:rPr>
                <w:rFonts w:ascii="Times New Roman" w:hAnsi="Times New Roman"/>
                <w:sz w:val="24"/>
              </w:rPr>
              <w:t xml:space="preserve">, privatna ili javna </w:t>
            </w:r>
            <w:proofErr w:type="spellStart"/>
            <w:r>
              <w:rPr>
                <w:rFonts w:ascii="Times New Roman" w:hAnsi="Times New Roman"/>
                <w:sz w:val="24"/>
              </w:rPr>
              <w:t>sekuritizacija</w:t>
            </w:r>
            <w:proofErr w:type="spellEnd"/>
            <w:r>
              <w:rPr>
                <w:rFonts w:ascii="Times New Roman" w:hAnsi="Times New Roman"/>
                <w:sz w:val="24"/>
              </w:rPr>
              <w:t>.</w:t>
            </w:r>
          </w:p>
          <w:p w14:paraId="24C8F05D"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iskazuju jednu od sljedećih kratica:</w:t>
            </w:r>
          </w:p>
          <w:p w14:paraId="3451D2D9"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21297D0" w14:textId="77777777" w:rsidR="00C55547" w:rsidRPr="00A30C4C" w:rsidRDefault="00C55547" w:rsidP="0002267E">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sz w:val="24"/>
              </w:rPr>
              <w:t>„PRI” za privatnu</w:t>
            </w:r>
          </w:p>
          <w:p w14:paraId="4572E686" w14:textId="0CC89B26" w:rsidR="00BF67D7" w:rsidRPr="00A30C4C" w:rsidRDefault="00BF67D7" w:rsidP="0002267E">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„INT” za </w:t>
            </w:r>
            <w:proofErr w:type="spellStart"/>
            <w:r>
              <w:rPr>
                <w:rFonts w:ascii="Times New Roman" w:hAnsi="Times New Roman"/>
                <w:sz w:val="24"/>
              </w:rPr>
              <w:t>unutargrupnu</w:t>
            </w:r>
            <w:proofErr w:type="spellEnd"/>
          </w:p>
          <w:p w14:paraId="64026956" w14:textId="77777777" w:rsidR="00C55547" w:rsidRPr="0002267E" w:rsidRDefault="00C55547" w:rsidP="0002267E">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„PUB” za javnu </w:t>
            </w:r>
            <w:proofErr w:type="spellStart"/>
            <w:r>
              <w:rPr>
                <w:rFonts w:ascii="Times New Roman" w:hAnsi="Times New Roman"/>
                <w:sz w:val="24"/>
              </w:rPr>
              <w:t>sekuritizaciju</w:t>
            </w:r>
            <w:proofErr w:type="spellEnd"/>
            <w:r>
              <w:rPr>
                <w:rFonts w:ascii="Times New Roman" w:hAnsi="Times New Roman"/>
                <w:sz w:val="24"/>
              </w:rPr>
              <w:t>.</w:t>
            </w:r>
          </w:p>
          <w:p w14:paraId="4B8FED1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FD2A43D" w14:textId="77777777" w:rsidTr="00E10B85">
        <w:tc>
          <w:tcPr>
            <w:tcW w:w="1101" w:type="dxa"/>
            <w:shd w:val="clear" w:color="auto" w:fill="auto"/>
          </w:tcPr>
          <w:p w14:paraId="4CD05E4A"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110</w:t>
            </w:r>
          </w:p>
        </w:tc>
        <w:tc>
          <w:tcPr>
            <w:tcW w:w="7903" w:type="dxa"/>
            <w:shd w:val="clear" w:color="auto" w:fill="auto"/>
          </w:tcPr>
          <w:p w14:paraId="70BE1BD0"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ULOGA INSTITUCIJE: (INICIJATOR / SPONZOR / IZVORNI ZAJMODAVAC / INVESTITOR)</w:t>
            </w:r>
          </w:p>
          <w:p w14:paraId="483E0016"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iskazuju sljedeće kratice: </w:t>
            </w:r>
          </w:p>
          <w:p w14:paraId="526A42BE"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za inicijatora;</w:t>
            </w:r>
          </w:p>
          <w:p w14:paraId="518F539B"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za sponzora;</w:t>
            </w:r>
          </w:p>
          <w:p w14:paraId="0287405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za investitora. </w:t>
            </w:r>
          </w:p>
          <w:p w14:paraId="19BB498E"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za izvornog zajmodavca;</w:t>
            </w:r>
          </w:p>
          <w:p w14:paraId="4101962B"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Inicijator kako je definiran u članku 4. stavku 1. točki 13. CRR-a i sponzor kako je definiran u članku 4. stavku 1. točki 14. CRR-a. Pretpostavlja se da su investitori institucije na koje se primjenjuje članak 5. Uredbe (EU) 2017/2402. U slučaju primjene članka 43. stavka 5. Uredbe (EU) 2017/2402, primjenjuju se članci 406. i 407. CRR-a u verziji koja se primjenjuje na dan 31. prosinca 2018.</w:t>
            </w:r>
          </w:p>
          <w:p w14:paraId="6E14677A"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C1F8386" w14:textId="77777777" w:rsidTr="00E10B85">
        <w:tc>
          <w:tcPr>
            <w:tcW w:w="1101" w:type="dxa"/>
          </w:tcPr>
          <w:p w14:paraId="6EF387CE"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030</w:t>
            </w:r>
          </w:p>
        </w:tc>
        <w:tc>
          <w:tcPr>
            <w:tcW w:w="7903" w:type="dxa"/>
          </w:tcPr>
          <w:p w14:paraId="0FADED4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IDENTIFIKATOR INICIJATORA</w:t>
            </w:r>
            <w:r>
              <w:rPr>
                <w:rFonts w:ascii="Times New Roman" w:hAnsi="Times New Roman"/>
                <w:b/>
                <w:sz w:val="24"/>
              </w:rPr>
              <w:t xml:space="preserve"> (oznaka/naziv)</w:t>
            </w:r>
          </w:p>
          <w:p w14:paraId="1E73EDE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ovom se stupcu iskazuje oznaka LEI koja se primjenjuje na inicijatora ili, ako nije dostupna, oznaka koju je inicijatoru dalo nadzorno tijelo ili, ako ni ona nije dostupna, naziv same institucije.</w:t>
            </w:r>
          </w:p>
          <w:p w14:paraId="4C06EA4C" w14:textId="77777777" w:rsidR="00C55547" w:rsidRPr="00A30C4C" w:rsidRDefault="00C55547" w:rsidP="00E10B85">
            <w:pPr>
              <w:autoSpaceDE w:val="0"/>
              <w:autoSpaceDN w:val="0"/>
              <w:adjustRightInd w:val="0"/>
              <w:spacing w:before="0" w:after="0"/>
              <w:rPr>
                <w:rFonts w:ascii="Times New Roman" w:hAnsi="Times New Roman"/>
                <w:sz w:val="24"/>
              </w:rPr>
            </w:pPr>
          </w:p>
          <w:p w14:paraId="40573422" w14:textId="37C0EBE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višestrukih (</w:t>
            </w:r>
            <w:proofErr w:type="spellStart"/>
            <w:r>
              <w:rPr>
                <w:rFonts w:ascii="Times New Roman" w:hAnsi="Times New Roman"/>
                <w:sz w:val="24"/>
              </w:rPr>
              <w:t>multi-seller</w:t>
            </w:r>
            <w:proofErr w:type="spellEnd"/>
            <w:r>
              <w:rPr>
                <w:rFonts w:ascii="Times New Roman" w:hAnsi="Times New Roman"/>
                <w:sz w:val="24"/>
              </w:rPr>
              <w:t xml:space="preserve">) </w:t>
            </w:r>
            <w:proofErr w:type="spellStart"/>
            <w:r>
              <w:rPr>
                <w:rFonts w:ascii="Times New Roman" w:hAnsi="Times New Roman"/>
                <w:sz w:val="24"/>
              </w:rPr>
              <w:t>sekuritizacija</w:t>
            </w:r>
            <w:proofErr w:type="spellEnd"/>
            <w:r>
              <w:rPr>
                <w:rFonts w:ascii="Times New Roman" w:hAnsi="Times New Roman"/>
                <w:sz w:val="24"/>
              </w:rPr>
              <w:t xml:space="preserve"> u kojima je institucija koja izvješćuje uključena kao inicijator, sponzor ili izvorni zajmodavac, institucija koja izvješćuje dostavlja identifikator svih subjekata unutar konsolidirane grupe koji su uključeni u transakciju (kao inicijator, sponzor ili izvorni zajmodavac). Ako oznaka nije dostupna ili nije poznata instituciji koja izvješćuje, iskazuje se naziv institucije.</w:t>
            </w:r>
          </w:p>
          <w:p w14:paraId="6C77E3FA" w14:textId="77777777" w:rsidR="00C55547" w:rsidRPr="00A30C4C" w:rsidRDefault="00C55547" w:rsidP="00E10B85">
            <w:pPr>
              <w:autoSpaceDE w:val="0"/>
              <w:autoSpaceDN w:val="0"/>
              <w:adjustRightInd w:val="0"/>
              <w:spacing w:before="0" w:after="0"/>
              <w:rPr>
                <w:rFonts w:ascii="Times New Roman" w:hAnsi="Times New Roman"/>
                <w:sz w:val="24"/>
              </w:rPr>
            </w:pPr>
          </w:p>
          <w:p w14:paraId="4E71CFAD" w14:textId="3E566472"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slučaju višestrukih (</w:t>
            </w:r>
            <w:proofErr w:type="spellStart"/>
            <w:r>
              <w:rPr>
                <w:rFonts w:ascii="Times New Roman" w:hAnsi="Times New Roman"/>
                <w:sz w:val="24"/>
              </w:rPr>
              <w:t>multi-seller</w:t>
            </w:r>
            <w:proofErr w:type="spellEnd"/>
            <w:r>
              <w:rPr>
                <w:rFonts w:ascii="Times New Roman" w:hAnsi="Times New Roman"/>
                <w:sz w:val="24"/>
              </w:rPr>
              <w:t xml:space="preserve">) </w:t>
            </w:r>
            <w:proofErr w:type="spellStart"/>
            <w:r>
              <w:rPr>
                <w:rFonts w:ascii="Times New Roman" w:hAnsi="Times New Roman"/>
                <w:sz w:val="24"/>
              </w:rPr>
              <w:t>sekuritizacija</w:t>
            </w:r>
            <w:proofErr w:type="spellEnd"/>
            <w:r>
              <w:rPr>
                <w:rFonts w:ascii="Times New Roman" w:hAnsi="Times New Roman"/>
                <w:sz w:val="24"/>
              </w:rPr>
              <w:t xml:space="preserve"> u kojima institucija koja izvješćuje drži poziciju u </w:t>
            </w:r>
            <w:proofErr w:type="spellStart"/>
            <w:r>
              <w:rPr>
                <w:rFonts w:ascii="Times New Roman" w:hAnsi="Times New Roman"/>
                <w:sz w:val="24"/>
              </w:rPr>
              <w:t>sekuritizaciji</w:t>
            </w:r>
            <w:proofErr w:type="spellEnd"/>
            <w:r>
              <w:rPr>
                <w:rFonts w:ascii="Times New Roman" w:hAnsi="Times New Roman"/>
                <w:sz w:val="24"/>
              </w:rPr>
              <w:t xml:space="preserve"> kao investitor, institucija koja izvješćuje dostavlja identifikator svih različitih inicijatora koji su uključeni u </w:t>
            </w:r>
            <w:proofErr w:type="spellStart"/>
            <w:r>
              <w:rPr>
                <w:rFonts w:ascii="Times New Roman" w:hAnsi="Times New Roman"/>
                <w:sz w:val="24"/>
              </w:rPr>
              <w:t>sekuritizaciju</w:t>
            </w:r>
            <w:proofErr w:type="spellEnd"/>
            <w:r>
              <w:rPr>
                <w:rFonts w:ascii="Times New Roman" w:hAnsi="Times New Roman"/>
                <w:sz w:val="24"/>
              </w:rPr>
              <w:t xml:space="preserve">, ili ako nije dostupan, nazive različitih inicijatora. Ako instituciji koja izvješćuje nazivi nisu poznati, institucija koja izvješćuje tada iskazuje da je </w:t>
            </w:r>
            <w:proofErr w:type="spellStart"/>
            <w:r>
              <w:rPr>
                <w:rFonts w:ascii="Times New Roman" w:hAnsi="Times New Roman"/>
                <w:sz w:val="24"/>
              </w:rPr>
              <w:t>sekuritizacija</w:t>
            </w:r>
            <w:proofErr w:type="spellEnd"/>
            <w:r>
              <w:rPr>
                <w:rFonts w:ascii="Times New Roman" w:hAnsi="Times New Roman"/>
                <w:sz w:val="24"/>
              </w:rPr>
              <w:t xml:space="preserve"> višestruka („</w:t>
            </w:r>
            <w:proofErr w:type="spellStart"/>
            <w:r>
              <w:rPr>
                <w:rFonts w:ascii="Times New Roman" w:hAnsi="Times New Roman"/>
                <w:sz w:val="24"/>
              </w:rPr>
              <w:t>multi-seller</w:t>
            </w:r>
            <w:proofErr w:type="spellEnd"/>
            <w:r>
              <w:rPr>
                <w:rFonts w:ascii="Times New Roman" w:hAnsi="Times New Roman"/>
                <w:sz w:val="24"/>
              </w:rPr>
              <w:t>”).</w:t>
            </w:r>
          </w:p>
          <w:p w14:paraId="7F390260" w14:textId="77777777" w:rsidR="00C55547" w:rsidRPr="00A30C4C" w:rsidRDefault="00C55547" w:rsidP="00E10B85">
            <w:pPr>
              <w:autoSpaceDE w:val="0"/>
              <w:autoSpaceDN w:val="0"/>
              <w:adjustRightInd w:val="0"/>
              <w:spacing w:before="0" w:after="0"/>
              <w:rPr>
                <w:rFonts w:ascii="Times New Roman" w:hAnsi="Times New Roman"/>
                <w:sz w:val="24"/>
              </w:rPr>
            </w:pPr>
          </w:p>
          <w:p w14:paraId="491D179B"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1F46A12A" w14:textId="77777777" w:rsidTr="00E10B85">
        <w:tc>
          <w:tcPr>
            <w:tcW w:w="1101" w:type="dxa"/>
          </w:tcPr>
          <w:p w14:paraId="6005B34C"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040</w:t>
            </w:r>
          </w:p>
        </w:tc>
        <w:tc>
          <w:tcPr>
            <w:tcW w:w="7903" w:type="dxa"/>
          </w:tcPr>
          <w:p w14:paraId="55BC621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VRSTA SEKURITIZACIJE: (TRADICIONALNA / SINTETSKA / PROGRAM ABCP / TRANSAKCIJA ABCP) </w:t>
            </w:r>
          </w:p>
          <w:p w14:paraId="370D0E3D" w14:textId="77777777" w:rsidR="00C55547" w:rsidRPr="00A30C4C" w:rsidRDefault="00C55547" w:rsidP="00E10B85">
            <w:pPr>
              <w:spacing w:before="0" w:after="0"/>
              <w:jc w:val="left"/>
              <w:rPr>
                <w:rFonts w:ascii="Times New Roman" w:hAnsi="Times New Roman"/>
                <w:sz w:val="24"/>
              </w:rPr>
            </w:pPr>
          </w:p>
          <w:p w14:paraId="0AE7FEDF" w14:textId="77777777"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iskazuju sljedeće kratice:</w:t>
            </w:r>
            <w:r>
              <w:rPr>
                <w:rFonts w:ascii="Times New Roman" w:hAnsi="Times New Roman"/>
                <w:sz w:val="24"/>
              </w:rPr>
              <w:br/>
              <w:t>- „AP” za program ABCP;</w:t>
            </w:r>
          </w:p>
          <w:p w14:paraId="01297A25"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za transakciju ABCP;</w:t>
            </w:r>
          </w:p>
          <w:p w14:paraId="2F3F9BB5"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za tradicionalnu;</w:t>
            </w:r>
          </w:p>
          <w:p w14:paraId="3645466C"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za sintetsku. </w:t>
            </w:r>
          </w:p>
          <w:p w14:paraId="1AAB702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Definicije „programa komercijalnih zapisa osiguranih imovinom”, „transakcije komercijalnim zapisima osiguranim imovinom”, „tradicionalne </w:t>
            </w:r>
            <w:proofErr w:type="spellStart"/>
            <w:r>
              <w:rPr>
                <w:rFonts w:ascii="Times New Roman" w:hAnsi="Times New Roman"/>
                <w:sz w:val="24"/>
              </w:rPr>
              <w:t>sekuritizacije</w:t>
            </w:r>
            <w:proofErr w:type="spellEnd"/>
            <w:r>
              <w:rPr>
                <w:rFonts w:ascii="Times New Roman" w:hAnsi="Times New Roman"/>
                <w:sz w:val="24"/>
              </w:rPr>
              <w:t xml:space="preserve">” i „sintetske </w:t>
            </w:r>
            <w:proofErr w:type="spellStart"/>
            <w:r>
              <w:rPr>
                <w:rFonts w:ascii="Times New Roman" w:hAnsi="Times New Roman"/>
                <w:sz w:val="24"/>
              </w:rPr>
              <w:t>sekuritizacije</w:t>
            </w:r>
            <w:proofErr w:type="spellEnd"/>
            <w:r>
              <w:rPr>
                <w:rFonts w:ascii="Times New Roman" w:hAnsi="Times New Roman"/>
                <w:sz w:val="24"/>
              </w:rPr>
              <w:t>” navedene su u članku 242. točkama od 11. do 14. CRR-a.</w:t>
            </w:r>
          </w:p>
          <w:p w14:paraId="3B1B3ED7"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38B30F06" w14:textId="77777777" w:rsidTr="00E10B85">
        <w:tc>
          <w:tcPr>
            <w:tcW w:w="1101" w:type="dxa"/>
          </w:tcPr>
          <w:p w14:paraId="73A180AD"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sz w:val="24"/>
              </w:rPr>
              <w:t>051</w:t>
            </w:r>
          </w:p>
        </w:tc>
        <w:tc>
          <w:tcPr>
            <w:tcW w:w="7903" w:type="dxa"/>
          </w:tcPr>
          <w:p w14:paraId="15D2647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RAČUNOVODSTVENI TRETMAN: SEKURITIZIRANE IZLOŽENOSTI ZADRŽAVAJU SE U BILANCI ILI SE IZ NJE UKLANJAJU?</w:t>
            </w:r>
          </w:p>
          <w:p w14:paraId="4363CC44"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A30C4C"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Institucije kao inicijatori, sponzori i izvorni zajmodavci iskazuju jednu od sljedećih kratica:</w:t>
            </w:r>
          </w:p>
          <w:p w14:paraId="2AEA7D8A" w14:textId="77777777" w:rsidR="00C55547" w:rsidRPr="00A30C4C"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ako su potpuno priznate</w:t>
            </w:r>
          </w:p>
          <w:p w14:paraId="00DED1E1"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ako su se djelomično prestale priznavati</w:t>
            </w:r>
          </w:p>
          <w:p w14:paraId="7F2667CC"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ako su se potpuno prestale priznavati</w:t>
            </w:r>
          </w:p>
          <w:p w14:paraId="7F68ECC0"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ako nije primjenjivo.</w:t>
            </w:r>
          </w:p>
          <w:p w14:paraId="774F7FD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U ovom je stupcu sažet računovodstveni tretman transakcije. Prijenos značajnog rizika u skladu s člancima 244. i 245. CRR-a ne utječe na računovodstveni tretman transakcije na temelju relevantnog računovodstvenog okvira.</w:t>
            </w:r>
          </w:p>
          <w:p w14:paraId="5F8E0475" w14:textId="77777777" w:rsidR="007F1970" w:rsidRPr="00A30C4C" w:rsidRDefault="007F1970" w:rsidP="00E10B85">
            <w:pPr>
              <w:autoSpaceDE w:val="0"/>
              <w:autoSpaceDN w:val="0"/>
              <w:adjustRightInd w:val="0"/>
              <w:spacing w:before="0" w:after="0"/>
              <w:rPr>
                <w:rFonts w:ascii="Times New Roman" w:hAnsi="Times New Roman"/>
                <w:sz w:val="24"/>
              </w:rPr>
            </w:pPr>
          </w:p>
          <w:p w14:paraId="664DE973" w14:textId="1B7EB95C"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inicijatori ne iskazuju ovaj stupac.</w:t>
            </w:r>
          </w:p>
          <w:p w14:paraId="5601BEA9" w14:textId="10C2F9C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Opcija „P” (djelomično prestale priznavati) iskazuje se ako je </w:t>
            </w:r>
            <w:proofErr w:type="spellStart"/>
            <w:r>
              <w:rPr>
                <w:rFonts w:ascii="Times New Roman" w:hAnsi="Times New Roman"/>
                <w:sz w:val="24"/>
              </w:rPr>
              <w:t>sekuritizirana</w:t>
            </w:r>
            <w:proofErr w:type="spellEnd"/>
            <w:r>
              <w:rPr>
                <w:rFonts w:ascii="Times New Roman" w:hAnsi="Times New Roman"/>
                <w:sz w:val="24"/>
              </w:rPr>
              <w:t xml:space="preserve"> imovina priznata u bilanci u opsegu kontinuiranog sudjelovanja subjekta koji izvješćuje u skladu s MSFI-</w:t>
            </w:r>
            <w:proofErr w:type="spellStart"/>
            <w:r>
              <w:rPr>
                <w:rFonts w:ascii="Times New Roman" w:hAnsi="Times New Roman"/>
                <w:sz w:val="24"/>
              </w:rPr>
              <w:t>jem</w:t>
            </w:r>
            <w:proofErr w:type="spellEnd"/>
            <w:r>
              <w:rPr>
                <w:rFonts w:ascii="Times New Roman" w:hAnsi="Times New Roman"/>
                <w:sz w:val="24"/>
              </w:rPr>
              <w:t xml:space="preserve"> 9.3.2.16 – 3.2.21.</w:t>
            </w:r>
          </w:p>
          <w:p w14:paraId="1BFC4A17"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29433D54" w14:textId="77777777" w:rsidTr="00E10B85">
        <w:tc>
          <w:tcPr>
            <w:tcW w:w="1101" w:type="dxa"/>
          </w:tcPr>
          <w:p w14:paraId="48543BA3"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060</w:t>
            </w:r>
          </w:p>
        </w:tc>
        <w:tc>
          <w:tcPr>
            <w:tcW w:w="7903" w:type="dxa"/>
          </w:tcPr>
          <w:p w14:paraId="6280A99D"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TRETMAN SOLVENTNOSTI: SEKURITIZACIJSKE POZICIJE PODLIJEŽU KAPITALNIM ZAHTJEVIMA?</w:t>
            </w:r>
          </w:p>
          <w:p w14:paraId="7CF7DE39"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C152A04"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Samo inicijatori iskazuju sljedeće kratice: </w:t>
            </w:r>
          </w:p>
          <w:p w14:paraId="62F9B84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ne podliježu kapitalnim zahtjevima;</w:t>
            </w:r>
          </w:p>
          <w:p w14:paraId="211FCABF"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knjiga pozicija kojima se ne trguje;</w:t>
            </w:r>
          </w:p>
          <w:p w14:paraId="5BB1CF63"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knjiga trgovanja;</w:t>
            </w:r>
          </w:p>
          <w:p w14:paraId="4F6DE62D"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djelomično u obje knjige. </w:t>
            </w:r>
          </w:p>
          <w:p w14:paraId="462424B0"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3A053B1" w14:textId="22F50868"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Članci 109., 244. i 245. CRR-a.</w:t>
            </w:r>
          </w:p>
          <w:p w14:paraId="68B7B2BF" w14:textId="77777777" w:rsidR="00C55547" w:rsidRPr="00A30C4C" w:rsidRDefault="00C55547" w:rsidP="00E10B85">
            <w:pPr>
              <w:autoSpaceDE w:val="0"/>
              <w:autoSpaceDN w:val="0"/>
              <w:adjustRightInd w:val="0"/>
              <w:spacing w:before="0" w:after="0"/>
              <w:rPr>
                <w:rFonts w:ascii="Times New Roman" w:hAnsi="Times New Roman"/>
                <w:sz w:val="24"/>
              </w:rPr>
            </w:pPr>
          </w:p>
          <w:p w14:paraId="6A51368E" w14:textId="2D800E5A"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je stupcu sažet tretman </w:t>
            </w:r>
            <w:proofErr w:type="spellStart"/>
            <w:r>
              <w:rPr>
                <w:rFonts w:ascii="Times New Roman" w:hAnsi="Times New Roman"/>
                <w:sz w:val="24"/>
              </w:rPr>
              <w:t>sekuritizacijske</w:t>
            </w:r>
            <w:proofErr w:type="spellEnd"/>
            <w:r>
              <w:rPr>
                <w:rFonts w:ascii="Times New Roman" w:hAnsi="Times New Roman"/>
                <w:sz w:val="24"/>
              </w:rPr>
              <w:t xml:space="preserve"> strukture inicijatora. Njime se iskazuje jesu li kapitalni zahtjevi izračunani na temelju </w:t>
            </w:r>
            <w:proofErr w:type="spellStart"/>
            <w:r>
              <w:rPr>
                <w:rFonts w:ascii="Times New Roman" w:hAnsi="Times New Roman"/>
                <w:sz w:val="24"/>
              </w:rPr>
              <w:t>sekuritiziranih</w:t>
            </w:r>
            <w:proofErr w:type="spellEnd"/>
            <w:r>
              <w:rPr>
                <w:rFonts w:ascii="Times New Roman" w:hAnsi="Times New Roman"/>
                <w:sz w:val="24"/>
              </w:rPr>
              <w:t xml:space="preserve"> izloženosti ili </w:t>
            </w:r>
            <w:proofErr w:type="spellStart"/>
            <w:r>
              <w:rPr>
                <w:rFonts w:ascii="Times New Roman" w:hAnsi="Times New Roman"/>
                <w:sz w:val="24"/>
              </w:rPr>
              <w:t>sekuritizacijskih</w:t>
            </w:r>
            <w:proofErr w:type="spellEnd"/>
            <w:r>
              <w:rPr>
                <w:rFonts w:ascii="Times New Roman" w:hAnsi="Times New Roman"/>
                <w:sz w:val="24"/>
              </w:rPr>
              <w:t xml:space="preserve"> pozicija (knjiga pozicija kojima se ne trguje/knjiga trgovanja). </w:t>
            </w:r>
          </w:p>
          <w:p w14:paraId="48A6D860" w14:textId="77777777" w:rsidR="00C55547" w:rsidRPr="00A30C4C" w:rsidRDefault="00C55547" w:rsidP="00E10B85">
            <w:pPr>
              <w:autoSpaceDE w:val="0"/>
              <w:autoSpaceDN w:val="0"/>
              <w:adjustRightInd w:val="0"/>
              <w:spacing w:before="0" w:after="0"/>
              <w:rPr>
                <w:rFonts w:ascii="Times New Roman" w:hAnsi="Times New Roman"/>
                <w:sz w:val="24"/>
              </w:rPr>
            </w:pPr>
          </w:p>
          <w:p w14:paraId="43C7BF34" w14:textId="067CC044" w:rsidR="00C55547" w:rsidRPr="00A30C4C"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Ako se kapitalni zahtjevi temelje na </w:t>
            </w:r>
            <w:proofErr w:type="spellStart"/>
            <w:r>
              <w:rPr>
                <w:rFonts w:ascii="Times New Roman" w:hAnsi="Times New Roman"/>
                <w:i/>
                <w:sz w:val="24"/>
              </w:rPr>
              <w:t>sekuritiziranim</w:t>
            </w:r>
            <w:proofErr w:type="spellEnd"/>
            <w:r>
              <w:rPr>
                <w:rFonts w:ascii="Times New Roman" w:hAnsi="Times New Roman"/>
                <w:i/>
                <w:sz w:val="24"/>
              </w:rPr>
              <w:t xml:space="preserve"> izloženostima</w:t>
            </w:r>
            <w:r>
              <w:rPr>
                <w:rFonts w:ascii="Times New Roman" w:hAnsi="Times New Roman"/>
                <w:sz w:val="24"/>
              </w:rPr>
              <w:t xml:space="preserve"> (</w:t>
            </w:r>
            <w:r>
              <w:rPr>
                <w:rFonts w:ascii="Times New Roman" w:hAnsi="Times New Roman"/>
                <w:sz w:val="24"/>
                <w:highlight w:val="cyan"/>
              </w:rPr>
              <w:t>jer nije</w:t>
            </w:r>
            <w:r>
              <w:rPr>
                <w:rFonts w:ascii="Times New Roman" w:hAnsi="Times New Roman"/>
                <w:sz w:val="24"/>
              </w:rPr>
              <w:t xml:space="preserve"> </w:t>
            </w:r>
            <w:r>
              <w:rPr>
                <w:rFonts w:ascii="Times New Roman" w:hAnsi="Times New Roman"/>
                <w:sz w:val="24"/>
                <w:highlight w:val="cyan"/>
              </w:rPr>
              <w:t>ostvaren</w:t>
            </w:r>
            <w:r>
              <w:rPr>
                <w:rFonts w:ascii="Times New Roman" w:hAnsi="Times New Roman"/>
                <w:sz w:val="24"/>
              </w:rPr>
              <w:t xml:space="preserve"> prijenos značajnog rizika), izračun kapitalnih zahtjeva za kreditni rizik iskazuje se u obrascu CR SA za </w:t>
            </w:r>
            <w:proofErr w:type="spellStart"/>
            <w:r>
              <w:rPr>
                <w:rFonts w:ascii="Times New Roman" w:hAnsi="Times New Roman"/>
                <w:sz w:val="24"/>
              </w:rPr>
              <w:t>sekuritizirane</w:t>
            </w:r>
            <w:proofErr w:type="spellEnd"/>
            <w:r>
              <w:rPr>
                <w:rFonts w:ascii="Times New Roman" w:hAnsi="Times New Roman"/>
                <w:sz w:val="24"/>
              </w:rPr>
              <w:t xml:space="preserve"> izloženosti za koje se koristi standardizirani pristup, ili obrascu CR IRB za </w:t>
            </w:r>
            <w:proofErr w:type="spellStart"/>
            <w:r>
              <w:rPr>
                <w:rFonts w:ascii="Times New Roman" w:hAnsi="Times New Roman"/>
                <w:sz w:val="24"/>
              </w:rPr>
              <w:t>sekuritizirane</w:t>
            </w:r>
            <w:proofErr w:type="spellEnd"/>
            <w:r>
              <w:rPr>
                <w:rFonts w:ascii="Times New Roman" w:hAnsi="Times New Roman"/>
                <w:sz w:val="24"/>
              </w:rPr>
              <w:t xml:space="preserve"> izloženosti za koje se koristi pristup zasnovan na internim rejting-sustavima.</w:t>
            </w:r>
          </w:p>
          <w:p w14:paraId="60FF100C" w14:textId="77777777" w:rsidR="00C55547" w:rsidRPr="00A30C4C" w:rsidRDefault="00C55547" w:rsidP="00E10B85">
            <w:pPr>
              <w:autoSpaceDE w:val="0"/>
              <w:autoSpaceDN w:val="0"/>
              <w:adjustRightInd w:val="0"/>
              <w:spacing w:before="0" w:after="0"/>
              <w:rPr>
                <w:rFonts w:ascii="Times New Roman" w:hAnsi="Times New Roman"/>
                <w:sz w:val="24"/>
              </w:rPr>
            </w:pPr>
          </w:p>
          <w:p w14:paraId="34177440" w14:textId="172C5459"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suprotnom slučaju, ako se kapitalni zahtjevi temelje na </w:t>
            </w:r>
            <w:proofErr w:type="spellStart"/>
            <w:r>
              <w:rPr>
                <w:rFonts w:ascii="Times New Roman" w:hAnsi="Times New Roman"/>
                <w:i/>
                <w:sz w:val="24"/>
              </w:rPr>
              <w:t>sekuritizacijskim</w:t>
            </w:r>
            <w:proofErr w:type="spellEnd"/>
            <w:r>
              <w:rPr>
                <w:rFonts w:ascii="Times New Roman" w:hAnsi="Times New Roman"/>
                <w:i/>
                <w:sz w:val="24"/>
              </w:rPr>
              <w:t xml:space="preserve"> pozicijama koje se drže u knjizi pozicija kojima se ne trguje</w:t>
            </w:r>
            <w:r>
              <w:rPr>
                <w:rFonts w:ascii="Times New Roman" w:hAnsi="Times New Roman"/>
                <w:sz w:val="24"/>
              </w:rPr>
              <w:t xml:space="preserve"> (jer je ostvaren prijenos značajnog rizika), informacije o izračunu kapitalnih zahtjeva za kreditni rizik iskazuju se u obrascu CR SEC. U slučaju </w:t>
            </w:r>
            <w:proofErr w:type="spellStart"/>
            <w:r>
              <w:rPr>
                <w:rFonts w:ascii="Times New Roman" w:hAnsi="Times New Roman"/>
                <w:i/>
                <w:sz w:val="24"/>
              </w:rPr>
              <w:t>sekuritizacijskih</w:t>
            </w:r>
            <w:proofErr w:type="spellEnd"/>
            <w:r>
              <w:rPr>
                <w:rFonts w:ascii="Times New Roman" w:hAnsi="Times New Roman"/>
                <w:i/>
                <w:sz w:val="24"/>
              </w:rPr>
              <w:t xml:space="preserve"> pozicija koje se drže u knjizi trgovanja</w:t>
            </w:r>
            <w:r>
              <w:rPr>
                <w:rFonts w:ascii="Times New Roman" w:hAnsi="Times New Roman"/>
                <w:sz w:val="24"/>
              </w:rPr>
              <w:t>,</w:t>
            </w:r>
            <w:r>
              <w:rPr>
                <w:rFonts w:ascii="Times New Roman" w:hAnsi="Times New Roman"/>
                <w:i/>
                <w:sz w:val="24"/>
              </w:rPr>
              <w:t xml:space="preserve"> </w:t>
            </w:r>
            <w:r>
              <w:rPr>
                <w:rFonts w:ascii="Times New Roman" w:hAnsi="Times New Roman"/>
                <w:sz w:val="24"/>
              </w:rPr>
              <w:t>informacije o izračunu kapitalnih zahtjeva za tržišni rizik iskazuju se u obrascu MKR SA TDI (standardizirani opći pozicijski rizik) i MKR SA SEC ili MKR SA CTP (standardizirani specifični pozicijski rizik) ili MKR IM (interni modeli).</w:t>
            </w:r>
          </w:p>
          <w:p w14:paraId="02D39791"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inicijatori ne iskazuju ovaj stupac.</w:t>
            </w:r>
          </w:p>
          <w:p w14:paraId="0A6A40C3"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083C831B" w14:textId="77777777" w:rsidTr="00E10B85">
        <w:tc>
          <w:tcPr>
            <w:tcW w:w="1101" w:type="dxa"/>
          </w:tcPr>
          <w:p w14:paraId="13948ABD"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061</w:t>
            </w:r>
          </w:p>
        </w:tc>
        <w:tc>
          <w:tcPr>
            <w:tcW w:w="7903" w:type="dxa"/>
          </w:tcPr>
          <w:p w14:paraId="449B26F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PRIJENOS ZNAČAJNOG RIZIKA</w:t>
            </w:r>
          </w:p>
          <w:p w14:paraId="0F330A6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Samo inicijatori iskazuju sljedeće kratice:</w:t>
            </w:r>
          </w:p>
          <w:p w14:paraId="2A4BF114" w14:textId="1AACA603"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 ako nije bilo prijenosa značajnog rizika i subjekt koji izvješćuje svoje </w:t>
            </w:r>
            <w:proofErr w:type="spellStart"/>
            <w:r>
              <w:rPr>
                <w:rFonts w:ascii="Times New Roman" w:hAnsi="Times New Roman"/>
                <w:sz w:val="24"/>
              </w:rPr>
              <w:t>sekuritizirane</w:t>
            </w:r>
            <w:proofErr w:type="spellEnd"/>
            <w:r>
              <w:rPr>
                <w:rFonts w:ascii="Times New Roman" w:hAnsi="Times New Roman"/>
                <w:sz w:val="24"/>
              </w:rPr>
              <w:t xml:space="preserve"> izloženosti ponderira rizikom</w:t>
            </w:r>
          </w:p>
          <w:p w14:paraId="3E6C5300" w14:textId="0D21DE8D"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ako je došlo do prijenosa značajnog rizika u skladu s člankom 244. stavkom 2. točkom (a) ili člankom 245. stavkom 2. točkom (a);</w:t>
            </w:r>
          </w:p>
          <w:p w14:paraId="5CB8EC75" w14:textId="39B63EB9"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ako je došlo do prijenosa značajnog rizika u skladu s člankom 244. stavkom 2. točkom (b) ili člankom 245. stavkom 2. točkom (b);</w:t>
            </w:r>
          </w:p>
          <w:p w14:paraId="3D542CF4" w14:textId="71196BBB"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ako je došlo do prijenosa značajnog rizika u skladu s člankom 244. stavkom 3. točkom (a) ili člankom 245. stavkom 3. točkom (a);</w:t>
            </w:r>
          </w:p>
          <w:p w14:paraId="614D6E6C" w14:textId="4C4419BF"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ako je primijenjen ponder rizika od 1 250 % ili su zadržane pozicije odbijene u skladu s člankom 244. stavkom 1. točkom (b) ili člankom 245. stavkom 1. točkom (b).</w:t>
            </w:r>
          </w:p>
          <w:p w14:paraId="729200A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62FAADB" w14:textId="33649DA4"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highlight w:val="yellow"/>
              </w:rPr>
              <w:t>U ovom se stupcu sažima je li došlo do prijenosa značajnog rizika, i ako jest, na koji način. Odgovarajući tretman solventnosti od strane inicijatora ovisit će o tome je li došlo do prijenosa značajnog rizika.</w:t>
            </w:r>
          </w:p>
          <w:p w14:paraId="4DBA8992" w14:textId="77777777" w:rsidR="00C55547" w:rsidRPr="00A30C4C" w:rsidRDefault="00C55547" w:rsidP="00E10B85">
            <w:pPr>
              <w:spacing w:before="0" w:after="0"/>
              <w:jc w:val="left"/>
            </w:pPr>
          </w:p>
        </w:tc>
      </w:tr>
      <w:tr w:rsidR="00C55547" w:rsidRPr="00A30C4C" w14:paraId="73D0A23B" w14:textId="77777777" w:rsidTr="00E10B85">
        <w:tc>
          <w:tcPr>
            <w:tcW w:w="1101" w:type="dxa"/>
          </w:tcPr>
          <w:p w14:paraId="147E46D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903" w:type="dxa"/>
          </w:tcPr>
          <w:p w14:paraId="4B70DAD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SEKURITIZACIJA ILI RESEKURITIZACIJA?</w:t>
            </w:r>
          </w:p>
          <w:p w14:paraId="4387FBB7"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52D06941" w14:textId="2E0F57E3" w:rsidR="00C55547" w:rsidRPr="00A30C4C" w:rsidRDefault="00BB22D4" w:rsidP="00E10B85">
            <w:pPr>
              <w:autoSpaceDE w:val="0"/>
              <w:autoSpaceDN w:val="0"/>
              <w:adjustRightInd w:val="0"/>
              <w:spacing w:before="0" w:after="0"/>
              <w:jc w:val="left"/>
              <w:rPr>
                <w:rFonts w:ascii="Times New Roman" w:hAnsi="Times New Roman"/>
                <w:sz w:val="24"/>
              </w:rPr>
            </w:pPr>
            <w:r>
              <w:rPr>
                <w:rFonts w:ascii="Times New Roman" w:hAnsi="Times New Roman"/>
                <w:sz w:val="24"/>
              </w:rPr>
              <w:t>U skladu s definicijama „</w:t>
            </w:r>
            <w:proofErr w:type="spellStart"/>
            <w:r>
              <w:rPr>
                <w:rFonts w:ascii="Times New Roman" w:hAnsi="Times New Roman"/>
                <w:sz w:val="24"/>
              </w:rPr>
              <w:t>sekuritizacije</w:t>
            </w:r>
            <w:proofErr w:type="spellEnd"/>
            <w:r>
              <w:rPr>
                <w:rFonts w:ascii="Times New Roman" w:hAnsi="Times New Roman"/>
                <w:sz w:val="24"/>
              </w:rPr>
              <w:t>” iz članka 4. stavka 1. točke 61. CRR-a i „</w:t>
            </w:r>
            <w:proofErr w:type="spellStart"/>
            <w:r>
              <w:rPr>
                <w:rFonts w:ascii="Times New Roman" w:hAnsi="Times New Roman"/>
                <w:sz w:val="24"/>
              </w:rPr>
              <w:t>resekuritizacije</w:t>
            </w:r>
            <w:proofErr w:type="spellEnd"/>
            <w:r>
              <w:rPr>
                <w:rFonts w:ascii="Times New Roman" w:hAnsi="Times New Roman"/>
                <w:sz w:val="24"/>
              </w:rPr>
              <w:t>” iz članka 4. stavka 1. točke 64. CRR-a, iskazuje se vrsta odnosnog instrumenta upotrebom sljedećih kratica:</w:t>
            </w:r>
          </w:p>
          <w:p w14:paraId="2062D149"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za </w:t>
            </w:r>
            <w:proofErr w:type="spellStart"/>
            <w:r>
              <w:rPr>
                <w:rFonts w:ascii="Times New Roman" w:hAnsi="Times New Roman"/>
                <w:sz w:val="24"/>
              </w:rPr>
              <w:t>sekuritizaciju</w:t>
            </w:r>
            <w:proofErr w:type="spellEnd"/>
            <w:r>
              <w:rPr>
                <w:rFonts w:ascii="Times New Roman" w:hAnsi="Times New Roman"/>
                <w:sz w:val="24"/>
              </w:rPr>
              <w:t>;</w:t>
            </w:r>
          </w:p>
          <w:p w14:paraId="0A039BDD"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„R” za </w:t>
            </w:r>
            <w:proofErr w:type="spellStart"/>
            <w:r>
              <w:rPr>
                <w:rFonts w:ascii="Times New Roman" w:hAnsi="Times New Roman"/>
                <w:sz w:val="24"/>
              </w:rPr>
              <w:t>resekuritizaciju</w:t>
            </w:r>
            <w:proofErr w:type="spellEnd"/>
            <w:r>
              <w:rPr>
                <w:rFonts w:ascii="Times New Roman" w:hAnsi="Times New Roman"/>
                <w:sz w:val="24"/>
              </w:rPr>
              <w:t>.</w:t>
            </w:r>
          </w:p>
          <w:p w14:paraId="477F258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1B9412A4" w14:textId="77777777" w:rsidTr="00E10B85">
        <w:tc>
          <w:tcPr>
            <w:tcW w:w="1101" w:type="dxa"/>
          </w:tcPr>
          <w:p w14:paraId="25ECB5FC"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14:paraId="050E4477" w14:textId="77777777" w:rsidR="00C55547" w:rsidRPr="00A30C4C"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 SEKURITIZACIJA</w:t>
            </w:r>
          </w:p>
          <w:p w14:paraId="0F653A63" w14:textId="77777777" w:rsidR="00C55547" w:rsidRPr="00A30C4C" w:rsidRDefault="00C55547" w:rsidP="00E10B85">
            <w:pPr>
              <w:spacing w:before="0" w:after="0"/>
              <w:jc w:val="left"/>
              <w:rPr>
                <w:rFonts w:ascii="Times New Roman" w:hAnsi="Times New Roman"/>
                <w:sz w:val="24"/>
              </w:rPr>
            </w:pPr>
          </w:p>
          <w:p w14:paraId="397DA170"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Članak 18. Uredbe (EU) 2017/2402</w:t>
            </w:r>
          </w:p>
          <w:p w14:paraId="23A70561" w14:textId="77777777" w:rsidR="00C55547" w:rsidRPr="00A30C4C" w:rsidRDefault="00C55547" w:rsidP="00E10B85">
            <w:pPr>
              <w:spacing w:before="0" w:after="0"/>
              <w:jc w:val="left"/>
              <w:rPr>
                <w:rFonts w:ascii="Times New Roman" w:hAnsi="Times New Roman"/>
                <w:sz w:val="24"/>
              </w:rPr>
            </w:pPr>
          </w:p>
          <w:p w14:paraId="59861CD9"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Iskazuje se jedna od sljedećih kratica:</w:t>
            </w:r>
          </w:p>
          <w:p w14:paraId="090D9D08"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Y – da</w:t>
            </w:r>
          </w:p>
          <w:p w14:paraId="6A4DFA78"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N – ne</w:t>
            </w:r>
          </w:p>
          <w:p w14:paraId="4C8EC122"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C84F17B" w14:textId="77777777" w:rsidTr="00E10B85">
        <w:tc>
          <w:tcPr>
            <w:tcW w:w="1101" w:type="dxa"/>
          </w:tcPr>
          <w:p w14:paraId="1A9BD687"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14:paraId="6781AE51"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SEKURITIZACIJE KOJE ISPUNJAVAJU UVJETE ZA RAZLIČIT TRETMAN KAPITALA</w:t>
            </w:r>
          </w:p>
          <w:p w14:paraId="750938E2" w14:textId="77777777" w:rsidR="00C55547" w:rsidRPr="00A30C4C" w:rsidRDefault="00C55547" w:rsidP="00E10B85">
            <w:pPr>
              <w:spacing w:before="0" w:after="0"/>
              <w:jc w:val="left"/>
              <w:rPr>
                <w:rFonts w:ascii="Times New Roman" w:hAnsi="Times New Roman"/>
                <w:sz w:val="24"/>
              </w:rPr>
            </w:pPr>
          </w:p>
          <w:p w14:paraId="7DD81FAC" w14:textId="1DAB758F" w:rsidR="00C55547" w:rsidRPr="00A30C4C" w:rsidRDefault="00C55547" w:rsidP="00E10B85">
            <w:pPr>
              <w:spacing w:before="0" w:after="0"/>
              <w:jc w:val="left"/>
              <w:rPr>
                <w:rFonts w:ascii="Times New Roman" w:hAnsi="Times New Roman"/>
                <w:sz w:val="24"/>
              </w:rPr>
            </w:pPr>
            <w:r>
              <w:rPr>
                <w:rFonts w:ascii="Times New Roman" w:hAnsi="Times New Roman"/>
                <w:sz w:val="24"/>
              </w:rPr>
              <w:t>Članci 243. i 270. CRR-a</w:t>
            </w:r>
          </w:p>
          <w:p w14:paraId="67440723" w14:textId="77777777" w:rsidR="00C55547" w:rsidRPr="00A30C4C" w:rsidRDefault="00C55547" w:rsidP="00E10B85">
            <w:pPr>
              <w:spacing w:before="0" w:after="0"/>
              <w:jc w:val="left"/>
              <w:rPr>
                <w:rFonts w:ascii="Times New Roman" w:hAnsi="Times New Roman"/>
                <w:sz w:val="24"/>
              </w:rPr>
            </w:pPr>
          </w:p>
          <w:p w14:paraId="37D2BB15" w14:textId="77777777" w:rsidR="00C55547" w:rsidRPr="00A30C4C" w:rsidRDefault="00EE2BEA" w:rsidP="00E10B85">
            <w:pPr>
              <w:spacing w:before="0" w:after="0"/>
              <w:jc w:val="left"/>
              <w:rPr>
                <w:rFonts w:ascii="Times New Roman" w:hAnsi="Times New Roman"/>
                <w:sz w:val="24"/>
              </w:rPr>
            </w:pPr>
            <w:r>
              <w:rPr>
                <w:rFonts w:ascii="Times New Roman" w:hAnsi="Times New Roman"/>
                <w:sz w:val="24"/>
              </w:rPr>
              <w:t>Institucije iskazuju jednu od sljedećih kratica:</w:t>
            </w:r>
          </w:p>
          <w:p w14:paraId="2A5FE7A7"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 Da</w:t>
            </w:r>
          </w:p>
          <w:p w14:paraId="3C46AF09"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 Ne</w:t>
            </w:r>
          </w:p>
          <w:p w14:paraId="7EB5BD0A" w14:textId="77777777" w:rsidR="00C55547" w:rsidRPr="00A30C4C" w:rsidRDefault="00C55547" w:rsidP="00E10B85">
            <w:pPr>
              <w:spacing w:before="0" w:after="0"/>
              <w:jc w:val="left"/>
              <w:rPr>
                <w:rFonts w:ascii="Times New Roman" w:hAnsi="Times New Roman"/>
                <w:b/>
                <w:sz w:val="24"/>
                <w:u w:val="single"/>
              </w:rPr>
            </w:pPr>
          </w:p>
          <w:p w14:paraId="1D22217F" w14:textId="3776B295"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„Da” se iskazuje u slučaju STS </w:t>
            </w:r>
            <w:proofErr w:type="spellStart"/>
            <w:r>
              <w:rPr>
                <w:rFonts w:ascii="Times New Roman" w:hAnsi="Times New Roman"/>
                <w:sz w:val="24"/>
              </w:rPr>
              <w:t>sekuritizacija</w:t>
            </w:r>
            <w:proofErr w:type="spellEnd"/>
            <w:r>
              <w:rPr>
                <w:rFonts w:ascii="Times New Roman" w:hAnsi="Times New Roman"/>
                <w:sz w:val="24"/>
              </w:rPr>
              <w:t xml:space="preserve"> koje ispunjavaju uvjete za različit tretman kapitala u skladu s člankom 243. CRR-a i u slučaju nadređenih pozicija u </w:t>
            </w:r>
            <w:proofErr w:type="spellStart"/>
            <w:r>
              <w:rPr>
                <w:rFonts w:ascii="Times New Roman" w:hAnsi="Times New Roman"/>
                <w:sz w:val="24"/>
              </w:rPr>
              <w:t>sekuritizacijama</w:t>
            </w:r>
            <w:proofErr w:type="spellEnd"/>
            <w:r>
              <w:rPr>
                <w:rFonts w:ascii="Times New Roman" w:hAnsi="Times New Roman"/>
                <w:sz w:val="24"/>
              </w:rPr>
              <w:t xml:space="preserve"> kredita za MSP-ove (</w:t>
            </w:r>
            <w:proofErr w:type="spellStart"/>
            <w:r>
              <w:rPr>
                <w:rFonts w:ascii="Times New Roman" w:hAnsi="Times New Roman"/>
                <w:sz w:val="24"/>
              </w:rPr>
              <w:t>sekuritizacije</w:t>
            </w:r>
            <w:proofErr w:type="spellEnd"/>
            <w:r>
              <w:rPr>
                <w:rFonts w:ascii="Times New Roman" w:hAnsi="Times New Roman"/>
                <w:sz w:val="24"/>
              </w:rPr>
              <w:t xml:space="preserve"> koje nisu STS </w:t>
            </w:r>
            <w:proofErr w:type="spellStart"/>
            <w:r>
              <w:rPr>
                <w:rFonts w:ascii="Times New Roman" w:hAnsi="Times New Roman"/>
                <w:sz w:val="24"/>
              </w:rPr>
              <w:t>sekuritizacije</w:t>
            </w:r>
            <w:proofErr w:type="spellEnd"/>
            <w:r>
              <w:rPr>
                <w:rFonts w:ascii="Times New Roman" w:hAnsi="Times New Roman"/>
                <w:sz w:val="24"/>
              </w:rPr>
              <w:t>) koje ispunjavaju uvjete za ovaj tretman u skladu s člankom 270. CRR-a.</w:t>
            </w:r>
          </w:p>
          <w:p w14:paraId="416BB82A" w14:textId="77777777" w:rsidR="00C55547" w:rsidRPr="00A30C4C" w:rsidRDefault="00C55547" w:rsidP="00E10B85">
            <w:pPr>
              <w:tabs>
                <w:tab w:val="left" w:pos="3274"/>
              </w:tabs>
              <w:spacing w:before="0" w:after="0"/>
              <w:jc w:val="left"/>
              <w:rPr>
                <w:rFonts w:ascii="Times New Roman" w:hAnsi="Times New Roman"/>
                <w:b/>
                <w:sz w:val="24"/>
                <w:u w:val="single"/>
              </w:rPr>
            </w:pPr>
          </w:p>
        </w:tc>
      </w:tr>
      <w:tr w:rsidR="00C55547" w:rsidRPr="00A30C4C" w14:paraId="2D795827" w14:textId="77777777" w:rsidTr="00E10B85">
        <w:tc>
          <w:tcPr>
            <w:tcW w:w="1101" w:type="dxa"/>
          </w:tcPr>
          <w:p w14:paraId="7330EDCC" w14:textId="77777777" w:rsidR="00C55547" w:rsidRPr="00A30C4C" w:rsidRDefault="00C55547" w:rsidP="00E10B85">
            <w:pPr>
              <w:autoSpaceDE w:val="0"/>
              <w:autoSpaceDN w:val="0"/>
              <w:adjustRightInd w:val="0"/>
              <w:spacing w:before="0" w:after="0"/>
              <w:rPr>
                <w:rFonts w:ascii="Times New Roman" w:hAnsi="Times New Roman"/>
                <w:sz w:val="24"/>
                <w:highlight w:val="yellow"/>
              </w:rPr>
            </w:pPr>
            <w:r>
              <w:rPr>
                <w:rFonts w:ascii="Times New Roman" w:hAnsi="Times New Roman"/>
                <w:sz w:val="24"/>
              </w:rPr>
              <w:t>080-100</w:t>
            </w:r>
          </w:p>
        </w:tc>
        <w:tc>
          <w:tcPr>
            <w:tcW w:w="7903" w:type="dxa"/>
          </w:tcPr>
          <w:p w14:paraId="371F9D73" w14:textId="77777777" w:rsidR="00C55547" w:rsidRPr="00A30C4C" w:rsidRDefault="00C55547" w:rsidP="00E10B85">
            <w:pPr>
              <w:spacing w:before="0" w:after="0"/>
              <w:jc w:val="left"/>
              <w:rPr>
                <w:rFonts w:ascii="Times New Roman" w:hAnsi="Times New Roman"/>
                <w:sz w:val="24"/>
              </w:rPr>
            </w:pPr>
            <w:r>
              <w:rPr>
                <w:rFonts w:ascii="Times New Roman" w:hAnsi="Times New Roman"/>
                <w:b/>
                <w:sz w:val="24"/>
                <w:u w:val="single"/>
              </w:rPr>
              <w:t>ZADRŽAVANJE</w:t>
            </w:r>
          </w:p>
          <w:p w14:paraId="52E825CF" w14:textId="77777777" w:rsidR="00C55547" w:rsidRPr="00A30C4C" w:rsidRDefault="00C55547" w:rsidP="00E10B85">
            <w:pPr>
              <w:spacing w:before="0" w:after="0"/>
              <w:rPr>
                <w:rFonts w:ascii="Times New Roman" w:hAnsi="Times New Roman"/>
                <w:sz w:val="24"/>
              </w:rPr>
            </w:pPr>
          </w:p>
          <w:p w14:paraId="2EFF58A8" w14:textId="2F606CA7" w:rsidR="00C55547" w:rsidRPr="00A30C4C" w:rsidRDefault="00C55547" w:rsidP="00E10B85">
            <w:pPr>
              <w:spacing w:before="0" w:after="0"/>
              <w:rPr>
                <w:rFonts w:ascii="Times New Roman" w:hAnsi="Times New Roman"/>
                <w:sz w:val="24"/>
              </w:rPr>
            </w:pPr>
            <w:r>
              <w:rPr>
                <w:rFonts w:ascii="Times New Roman" w:hAnsi="Times New Roman"/>
                <w:sz w:val="24"/>
              </w:rPr>
              <w:t xml:space="preserve">Članak 6. Uredbe (EU) 2017/2402 U slučaju primjene članka 43. stavka 6. Uredbe (EU) 2017/2402, primjenjuje se članak 405. CRR-a u verziji koja je primjenjiva na dan 31. prosinca 2018. </w:t>
            </w:r>
          </w:p>
          <w:p w14:paraId="14F8F26F" w14:textId="77777777" w:rsidR="00C55547" w:rsidRPr="00A30C4C" w:rsidRDefault="00C55547" w:rsidP="00E10B85">
            <w:pPr>
              <w:spacing w:before="0" w:after="0"/>
              <w:jc w:val="left"/>
              <w:rPr>
                <w:rFonts w:ascii="Times New Roman" w:hAnsi="Times New Roman"/>
                <w:sz w:val="24"/>
              </w:rPr>
            </w:pPr>
          </w:p>
        </w:tc>
      </w:tr>
      <w:tr w:rsidR="00C55547" w:rsidRPr="00A30C4C" w14:paraId="2129CABA" w14:textId="77777777" w:rsidTr="00E10B85">
        <w:tc>
          <w:tcPr>
            <w:tcW w:w="1101" w:type="dxa"/>
          </w:tcPr>
          <w:p w14:paraId="2337A31E"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080</w:t>
            </w:r>
          </w:p>
        </w:tc>
        <w:tc>
          <w:tcPr>
            <w:tcW w:w="7903" w:type="dxa"/>
          </w:tcPr>
          <w:p w14:paraId="28796C4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VRSTA PRIMIJENJENOG ZADRŽAVANJA</w:t>
            </w:r>
          </w:p>
          <w:p w14:paraId="553C7481" w14:textId="77777777" w:rsidR="00C55547" w:rsidRPr="00A30C4C" w:rsidRDefault="00C55547" w:rsidP="00E10B85">
            <w:pPr>
              <w:spacing w:before="0" w:after="0"/>
              <w:jc w:val="left"/>
              <w:rPr>
                <w:rFonts w:ascii="Times New Roman" w:hAnsi="Times New Roman"/>
                <w:sz w:val="24"/>
              </w:rPr>
            </w:pPr>
          </w:p>
          <w:p w14:paraId="0B4E4AFD" w14:textId="77777777" w:rsidR="00C55547" w:rsidRPr="00A30C4C" w:rsidRDefault="00C55547" w:rsidP="00E10B85">
            <w:pPr>
              <w:spacing w:before="0" w:after="0"/>
              <w:rPr>
                <w:rFonts w:ascii="Times New Roman" w:hAnsi="Times New Roman"/>
                <w:sz w:val="24"/>
              </w:rPr>
            </w:pPr>
            <w:r>
              <w:rPr>
                <w:rFonts w:ascii="Times New Roman" w:hAnsi="Times New Roman"/>
                <w:sz w:val="24"/>
              </w:rPr>
              <w:t xml:space="preserve">Za svaku iniciranu </w:t>
            </w:r>
            <w:proofErr w:type="spellStart"/>
            <w:r>
              <w:rPr>
                <w:rFonts w:ascii="Times New Roman" w:hAnsi="Times New Roman"/>
                <w:sz w:val="24"/>
              </w:rPr>
              <w:t>sekuritizacijsku</w:t>
            </w:r>
            <w:proofErr w:type="spellEnd"/>
            <w:r>
              <w:rPr>
                <w:rFonts w:ascii="Times New Roman" w:hAnsi="Times New Roman"/>
                <w:sz w:val="24"/>
              </w:rPr>
              <w:t xml:space="preserve"> strukturu iskazuje se relevantna vrsta zadržavanja neto ekonomskog udjela, kako je predviđeno u članku 6. Uredbe (EU) 2017/2402:</w:t>
            </w:r>
          </w:p>
          <w:p w14:paraId="559F8262" w14:textId="77777777" w:rsidR="00C55547" w:rsidRPr="00A30C4C" w:rsidRDefault="00C55547" w:rsidP="00E10B85">
            <w:pPr>
              <w:spacing w:before="0" w:after="0"/>
              <w:rPr>
                <w:rFonts w:ascii="Times New Roman" w:hAnsi="Times New Roman"/>
                <w:sz w:val="24"/>
              </w:rPr>
            </w:pPr>
          </w:p>
          <w:p w14:paraId="6359C576" w14:textId="77777777" w:rsidR="00C55547" w:rsidRPr="00A30C4C" w:rsidRDefault="00C55547" w:rsidP="00E10B85">
            <w:pPr>
              <w:spacing w:before="0" w:after="0"/>
              <w:rPr>
                <w:rFonts w:ascii="Times New Roman" w:hAnsi="Times New Roman"/>
                <w:sz w:val="24"/>
              </w:rPr>
            </w:pPr>
            <w:r>
              <w:rPr>
                <w:rFonts w:ascii="Times New Roman" w:hAnsi="Times New Roman"/>
                <w:sz w:val="24"/>
              </w:rPr>
              <w:t>A – Vertikalni udjel (</w:t>
            </w:r>
            <w:proofErr w:type="spellStart"/>
            <w:r>
              <w:rPr>
                <w:rFonts w:ascii="Times New Roman" w:hAnsi="Times New Roman"/>
                <w:sz w:val="24"/>
              </w:rPr>
              <w:t>sekuritizacijske</w:t>
            </w:r>
            <w:proofErr w:type="spellEnd"/>
            <w:r>
              <w:rPr>
                <w:rFonts w:ascii="Times New Roman" w:hAnsi="Times New Roman"/>
                <w:sz w:val="24"/>
              </w:rPr>
              <w:t xml:space="preserve"> pozicije): </w:t>
            </w:r>
            <w:r>
              <w:rPr>
                <w:rFonts w:ascii="Times New Roman" w:hAnsi="Times New Roman"/>
                <w:i/>
                <w:sz w:val="24"/>
              </w:rPr>
              <w:t xml:space="preserve">„zadržavanje najmanje 5 % nominalne vrijednosti svih tranši prodanih ili prenesenih investitorima”. </w:t>
            </w:r>
          </w:p>
          <w:p w14:paraId="05F9343C" w14:textId="77777777" w:rsidR="00C55547" w:rsidRPr="00A30C4C" w:rsidRDefault="00C55547" w:rsidP="00E10B85">
            <w:pPr>
              <w:spacing w:before="0" w:after="0"/>
              <w:rPr>
                <w:rFonts w:ascii="Times New Roman" w:hAnsi="Times New Roman"/>
                <w:sz w:val="24"/>
              </w:rPr>
            </w:pPr>
          </w:p>
          <w:p w14:paraId="445598A5" w14:textId="77777777" w:rsidR="00C55547" w:rsidRPr="00A30C4C" w:rsidRDefault="00C55547" w:rsidP="00E10B85">
            <w:pPr>
              <w:spacing w:before="0" w:after="0"/>
              <w:rPr>
                <w:rFonts w:ascii="Times New Roman" w:hAnsi="Times New Roman"/>
                <w:sz w:val="24"/>
              </w:rPr>
            </w:pPr>
            <w:r>
              <w:rPr>
                <w:rFonts w:ascii="Times New Roman" w:hAnsi="Times New Roman"/>
                <w:sz w:val="24"/>
              </w:rPr>
              <w:lastRenderedPageBreak/>
              <w:t>V – Vertikalni udjel (</w:t>
            </w:r>
            <w:proofErr w:type="spellStart"/>
            <w:r>
              <w:rPr>
                <w:rFonts w:ascii="Times New Roman" w:hAnsi="Times New Roman"/>
                <w:sz w:val="24"/>
              </w:rPr>
              <w:t>sekuritizirane</w:t>
            </w:r>
            <w:proofErr w:type="spellEnd"/>
            <w:r>
              <w:rPr>
                <w:rFonts w:ascii="Times New Roman" w:hAnsi="Times New Roman"/>
                <w:sz w:val="24"/>
              </w:rPr>
              <w:t xml:space="preserve"> izloženosti): zadržavanje najmanje 5 % kreditnog rizika svih </w:t>
            </w:r>
            <w:proofErr w:type="spellStart"/>
            <w:r>
              <w:rPr>
                <w:rFonts w:ascii="Times New Roman" w:hAnsi="Times New Roman"/>
                <w:sz w:val="24"/>
              </w:rPr>
              <w:t>sekuritiziranih</w:t>
            </w:r>
            <w:proofErr w:type="spellEnd"/>
            <w:r>
              <w:rPr>
                <w:rFonts w:ascii="Times New Roman" w:hAnsi="Times New Roman"/>
                <w:sz w:val="24"/>
              </w:rPr>
              <w:t xml:space="preserve"> izloženosti, ako tako zadržani kreditni rizik povezan s tim </w:t>
            </w:r>
            <w:proofErr w:type="spellStart"/>
            <w:r>
              <w:rPr>
                <w:rFonts w:ascii="Times New Roman" w:hAnsi="Times New Roman"/>
                <w:sz w:val="24"/>
              </w:rPr>
              <w:t>sekuritiziranim</w:t>
            </w:r>
            <w:proofErr w:type="spellEnd"/>
            <w:r>
              <w:rPr>
                <w:rFonts w:ascii="Times New Roman" w:hAnsi="Times New Roman"/>
                <w:sz w:val="24"/>
              </w:rPr>
              <w:t xml:space="preserve"> izloženostima ima jednako pravo u redoslijedu naplate ili je podređen kreditnom kreditu koji je </w:t>
            </w:r>
            <w:proofErr w:type="spellStart"/>
            <w:r>
              <w:rPr>
                <w:rFonts w:ascii="Times New Roman" w:hAnsi="Times New Roman"/>
                <w:sz w:val="24"/>
              </w:rPr>
              <w:t>sekuritiziran</w:t>
            </w:r>
            <w:proofErr w:type="spellEnd"/>
            <w:r>
              <w:rPr>
                <w:rFonts w:ascii="Times New Roman" w:hAnsi="Times New Roman"/>
                <w:sz w:val="24"/>
              </w:rPr>
              <w:t xml:space="preserve"> u vezi s tim istim izloženostima.</w:t>
            </w:r>
          </w:p>
          <w:p w14:paraId="22CDCA49" w14:textId="77777777" w:rsidR="00C55547" w:rsidRPr="00A30C4C" w:rsidRDefault="00C55547" w:rsidP="00E10B85">
            <w:pPr>
              <w:spacing w:before="0" w:after="0"/>
              <w:rPr>
                <w:rFonts w:ascii="Times New Roman" w:hAnsi="Times New Roman"/>
                <w:sz w:val="24"/>
              </w:rPr>
            </w:pPr>
          </w:p>
          <w:p w14:paraId="4BD60BEA" w14:textId="77777777" w:rsidR="00C55547" w:rsidRPr="00A30C4C" w:rsidRDefault="00C55547" w:rsidP="00E10B85">
            <w:pPr>
              <w:spacing w:before="0" w:after="0"/>
              <w:rPr>
                <w:rFonts w:ascii="Times New Roman" w:hAnsi="Times New Roman"/>
                <w:sz w:val="24"/>
              </w:rPr>
            </w:pPr>
            <w:r>
              <w:rPr>
                <w:rFonts w:ascii="Times New Roman" w:hAnsi="Times New Roman"/>
                <w:sz w:val="24"/>
              </w:rPr>
              <w:t xml:space="preserve">B – Obnovljive izloženosti: „u slučaju </w:t>
            </w:r>
            <w:proofErr w:type="spellStart"/>
            <w:r>
              <w:rPr>
                <w:rFonts w:ascii="Times New Roman" w:hAnsi="Times New Roman"/>
                <w:sz w:val="24"/>
              </w:rPr>
              <w:t>sekuritizacije</w:t>
            </w:r>
            <w:proofErr w:type="spellEnd"/>
            <w:r>
              <w:rPr>
                <w:rFonts w:ascii="Times New Roman" w:hAnsi="Times New Roman"/>
                <w:sz w:val="24"/>
              </w:rPr>
              <w:t xml:space="preserve"> obnovljivih izloženosti, zadržavanje udjela inicijatora u iznosu od najmanje 5 % nominalne vrijednosti </w:t>
            </w:r>
            <w:proofErr w:type="spellStart"/>
            <w:r>
              <w:rPr>
                <w:rFonts w:ascii="Times New Roman" w:hAnsi="Times New Roman"/>
                <w:sz w:val="24"/>
              </w:rPr>
              <w:t>sekuritiziranih</w:t>
            </w:r>
            <w:proofErr w:type="spellEnd"/>
            <w:r>
              <w:rPr>
                <w:rFonts w:ascii="Times New Roman" w:hAnsi="Times New Roman"/>
                <w:sz w:val="24"/>
              </w:rPr>
              <w:t xml:space="preserve"> izloženosti”. </w:t>
            </w:r>
          </w:p>
          <w:p w14:paraId="6D93EF17" w14:textId="77777777" w:rsidR="00C55547" w:rsidRPr="00A30C4C" w:rsidRDefault="00C55547" w:rsidP="00E10B85">
            <w:pPr>
              <w:spacing w:before="0" w:after="0"/>
              <w:rPr>
                <w:rFonts w:ascii="Times New Roman" w:hAnsi="Times New Roman"/>
                <w:sz w:val="24"/>
              </w:rPr>
            </w:pPr>
          </w:p>
          <w:p w14:paraId="5F483273" w14:textId="77777777" w:rsidR="00C55547" w:rsidRPr="00A30C4C" w:rsidRDefault="00C55547" w:rsidP="00E10B85">
            <w:pPr>
              <w:spacing w:before="0" w:after="0"/>
              <w:rPr>
                <w:rFonts w:ascii="Times New Roman" w:hAnsi="Times New Roman"/>
                <w:sz w:val="24"/>
              </w:rPr>
            </w:pPr>
            <w:r>
              <w:rPr>
                <w:rFonts w:ascii="Times New Roman" w:hAnsi="Times New Roman"/>
                <w:sz w:val="24"/>
              </w:rPr>
              <w:t xml:space="preserve">C – Bilanca: „zadržavanje nasumice odabranih izloženosti u iznosu od najmanje 5 % nominalne vrijednosti </w:t>
            </w:r>
            <w:proofErr w:type="spellStart"/>
            <w:r>
              <w:rPr>
                <w:rFonts w:ascii="Times New Roman" w:hAnsi="Times New Roman"/>
                <w:sz w:val="24"/>
              </w:rPr>
              <w:t>sekuritiziranih</w:t>
            </w:r>
            <w:proofErr w:type="spellEnd"/>
            <w:r>
              <w:rPr>
                <w:rFonts w:ascii="Times New Roman" w:hAnsi="Times New Roman"/>
                <w:sz w:val="24"/>
              </w:rPr>
              <w:t xml:space="preserve"> izloženosti koje bi inače bile </w:t>
            </w:r>
            <w:proofErr w:type="spellStart"/>
            <w:r>
              <w:rPr>
                <w:rFonts w:ascii="Times New Roman" w:hAnsi="Times New Roman"/>
                <w:sz w:val="24"/>
              </w:rPr>
              <w:t>sekuritizirane</w:t>
            </w:r>
            <w:proofErr w:type="spellEnd"/>
            <w:r>
              <w:rPr>
                <w:rFonts w:ascii="Times New Roman" w:hAnsi="Times New Roman"/>
                <w:sz w:val="24"/>
              </w:rPr>
              <w:t xml:space="preserve"> u </w:t>
            </w:r>
            <w:proofErr w:type="spellStart"/>
            <w:r>
              <w:rPr>
                <w:rFonts w:ascii="Times New Roman" w:hAnsi="Times New Roman"/>
                <w:sz w:val="24"/>
              </w:rPr>
              <w:t>sekuritizaciji</w:t>
            </w:r>
            <w:proofErr w:type="spellEnd"/>
            <w:r>
              <w:rPr>
                <w:rFonts w:ascii="Times New Roman" w:hAnsi="Times New Roman"/>
                <w:sz w:val="24"/>
              </w:rPr>
              <w:t xml:space="preserve"> pod uvjetom da broj potencijalno </w:t>
            </w:r>
            <w:proofErr w:type="spellStart"/>
            <w:r>
              <w:rPr>
                <w:rFonts w:ascii="Times New Roman" w:hAnsi="Times New Roman"/>
                <w:sz w:val="24"/>
              </w:rPr>
              <w:t>sekuritiziranih</w:t>
            </w:r>
            <w:proofErr w:type="spellEnd"/>
            <w:r>
              <w:rPr>
                <w:rFonts w:ascii="Times New Roman" w:hAnsi="Times New Roman"/>
                <w:sz w:val="24"/>
              </w:rPr>
              <w:t xml:space="preserve"> izloženosti iznosi najmanje 100 na početku </w:t>
            </w:r>
            <w:proofErr w:type="spellStart"/>
            <w:r>
              <w:rPr>
                <w:rFonts w:ascii="Times New Roman" w:hAnsi="Times New Roman"/>
                <w:sz w:val="24"/>
              </w:rPr>
              <w:t>sekuritizacije</w:t>
            </w:r>
            <w:proofErr w:type="spellEnd"/>
            <w:r>
              <w:rPr>
                <w:rFonts w:ascii="Times New Roman" w:hAnsi="Times New Roman"/>
                <w:sz w:val="24"/>
              </w:rPr>
              <w:t>”.</w:t>
            </w:r>
          </w:p>
          <w:p w14:paraId="6FC45199" w14:textId="77777777" w:rsidR="00C55547" w:rsidRPr="00A30C4C" w:rsidRDefault="00C55547" w:rsidP="00E10B85">
            <w:pPr>
              <w:spacing w:before="0" w:after="0"/>
              <w:rPr>
                <w:rFonts w:ascii="Times New Roman" w:hAnsi="Times New Roman"/>
                <w:sz w:val="24"/>
              </w:rPr>
            </w:pPr>
          </w:p>
          <w:p w14:paraId="597B4308" w14:textId="77777777" w:rsidR="00C55547" w:rsidRPr="00A30C4C" w:rsidRDefault="00C55547" w:rsidP="00E10B85">
            <w:pPr>
              <w:spacing w:before="0" w:after="0"/>
              <w:rPr>
                <w:rFonts w:ascii="Times New Roman" w:hAnsi="Times New Roman"/>
                <w:sz w:val="24"/>
              </w:rPr>
            </w:pPr>
            <w:r>
              <w:rPr>
                <w:rFonts w:ascii="Times New Roman" w:hAnsi="Times New Roman"/>
                <w:sz w:val="24"/>
              </w:rPr>
              <w:t xml:space="preserve">D – Prvi gubitak: „zadržavanje tranše prvoga gubitka te, prema potrebi, ostalih tranši istog ili još većeg profila rizičnosti od onih prenesenih ili prodanih investitorima koje ne dospijevaju prije onih prenesenih ili prodanih investitorima, tako da ukupni iznos koji se zadržava iznosi najmanje 5 % nominalne vrijednosti </w:t>
            </w:r>
            <w:proofErr w:type="spellStart"/>
            <w:r>
              <w:rPr>
                <w:rFonts w:ascii="Times New Roman" w:hAnsi="Times New Roman"/>
                <w:sz w:val="24"/>
              </w:rPr>
              <w:t>sekuritiziranih</w:t>
            </w:r>
            <w:proofErr w:type="spellEnd"/>
            <w:r>
              <w:rPr>
                <w:rFonts w:ascii="Times New Roman" w:hAnsi="Times New Roman"/>
                <w:sz w:val="24"/>
              </w:rPr>
              <w:t xml:space="preserve"> izloženosti”.</w:t>
            </w:r>
          </w:p>
          <w:p w14:paraId="68C76BD6" w14:textId="77777777" w:rsidR="00C55547" w:rsidRPr="00A30C4C" w:rsidRDefault="00C55547" w:rsidP="00E10B85">
            <w:pPr>
              <w:spacing w:before="0" w:after="0"/>
              <w:rPr>
                <w:rFonts w:ascii="Times New Roman" w:hAnsi="Times New Roman"/>
                <w:sz w:val="24"/>
              </w:rPr>
            </w:pPr>
          </w:p>
          <w:p w14:paraId="4580DA17" w14:textId="08CAEFFF" w:rsidR="00C55547" w:rsidRPr="00A30C4C" w:rsidRDefault="00C55547" w:rsidP="00E10B85">
            <w:pPr>
              <w:spacing w:before="0" w:after="0"/>
              <w:rPr>
                <w:rFonts w:ascii="Times New Roman" w:hAnsi="Times New Roman"/>
                <w:sz w:val="24"/>
              </w:rPr>
            </w:pPr>
            <w:r>
              <w:rPr>
                <w:rFonts w:ascii="Times New Roman" w:hAnsi="Times New Roman"/>
                <w:sz w:val="24"/>
              </w:rPr>
              <w:t xml:space="preserve">E – Izuzeće. Navedena se oznaka iskazuje za </w:t>
            </w:r>
            <w:proofErr w:type="spellStart"/>
            <w:r>
              <w:rPr>
                <w:rFonts w:ascii="Times New Roman" w:hAnsi="Times New Roman"/>
                <w:sz w:val="24"/>
              </w:rPr>
              <w:t>sekuritizacije</w:t>
            </w:r>
            <w:proofErr w:type="spellEnd"/>
            <w:r>
              <w:rPr>
                <w:rFonts w:ascii="Times New Roman" w:hAnsi="Times New Roman"/>
                <w:sz w:val="24"/>
              </w:rPr>
              <w:t xml:space="preserve"> na koje utječe primjena članka 6. stavka 6. Uredbe (EU) 2017/2402.</w:t>
            </w:r>
          </w:p>
          <w:p w14:paraId="7B3B8D07" w14:textId="77777777" w:rsidR="00C55547" w:rsidRPr="00A30C4C" w:rsidRDefault="00C55547" w:rsidP="00E10B85">
            <w:pPr>
              <w:spacing w:before="0" w:after="0"/>
              <w:rPr>
                <w:rFonts w:ascii="Times New Roman" w:hAnsi="Times New Roman"/>
                <w:sz w:val="24"/>
              </w:rPr>
            </w:pPr>
          </w:p>
          <w:p w14:paraId="369E3C3B" w14:textId="6C65B385" w:rsidR="00C55547" w:rsidRPr="00A30C4C" w:rsidRDefault="00C55547" w:rsidP="00E10B85">
            <w:pPr>
              <w:spacing w:before="0" w:after="0"/>
              <w:rPr>
                <w:rFonts w:ascii="Times New Roman" w:hAnsi="Times New Roman"/>
                <w:sz w:val="24"/>
              </w:rPr>
            </w:pPr>
            <w:r>
              <w:rPr>
                <w:rFonts w:ascii="Times New Roman" w:hAnsi="Times New Roman"/>
                <w:sz w:val="24"/>
              </w:rPr>
              <w:t>U – Kršenje ili nepoznato. Navedena se oznaka iskazuje ako institucija koja izvješćuje ne zna sa sigurnošću koja se vrsta zadržavanja primjenjuje ili u slučaju neusklađenosti.</w:t>
            </w:r>
          </w:p>
          <w:p w14:paraId="6F79727B"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4BA4A4DE" w14:textId="77777777" w:rsidTr="00E10B85">
        <w:tc>
          <w:tcPr>
            <w:tcW w:w="1101" w:type="dxa"/>
          </w:tcPr>
          <w:p w14:paraId="5B5306BA"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090</w:t>
            </w:r>
          </w:p>
        </w:tc>
        <w:tc>
          <w:tcPr>
            <w:tcW w:w="7903" w:type="dxa"/>
          </w:tcPr>
          <w:p w14:paraId="1B360083"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ZADRŽAVANJA NA IZVJEŠTAJNI DATUM</w:t>
            </w:r>
          </w:p>
          <w:p w14:paraId="01BE6D7F" w14:textId="77777777" w:rsidR="00C55547" w:rsidRPr="00A30C4C" w:rsidRDefault="00C55547" w:rsidP="00E10B85">
            <w:pPr>
              <w:spacing w:before="0" w:after="0"/>
              <w:jc w:val="left"/>
              <w:rPr>
                <w:rFonts w:ascii="Times New Roman" w:hAnsi="Times New Roman"/>
                <w:sz w:val="24"/>
              </w:rPr>
            </w:pPr>
          </w:p>
          <w:p w14:paraId="017B54B1" w14:textId="77777777" w:rsidR="00C55547" w:rsidRPr="00A30C4C" w:rsidRDefault="00C55547" w:rsidP="00E10B85">
            <w:pPr>
              <w:spacing w:before="0" w:after="0"/>
              <w:rPr>
                <w:rFonts w:ascii="Times New Roman" w:hAnsi="Times New Roman"/>
                <w:i/>
                <w:sz w:val="24"/>
              </w:rPr>
            </w:pPr>
            <w:r>
              <w:rPr>
                <w:rFonts w:ascii="Times New Roman" w:hAnsi="Times New Roman"/>
                <w:sz w:val="24"/>
              </w:rPr>
              <w:t xml:space="preserve">Zadržavanje </w:t>
            </w:r>
            <w:r>
              <w:rPr>
                <w:rFonts w:ascii="Times New Roman" w:hAnsi="Times New Roman"/>
                <w:i/>
                <w:sz w:val="24"/>
              </w:rPr>
              <w:t>značajnog neto ekonomskog udjela inicijatora, sponzora ili izvornog zajmodavca</w:t>
            </w:r>
            <w:r>
              <w:rPr>
                <w:rFonts w:ascii="Times New Roman" w:hAnsi="Times New Roman"/>
                <w:sz w:val="24"/>
              </w:rPr>
              <w:t xml:space="preserve"> </w:t>
            </w:r>
            <w:proofErr w:type="spellStart"/>
            <w:r>
              <w:rPr>
                <w:rFonts w:ascii="Times New Roman" w:hAnsi="Times New Roman"/>
                <w:sz w:val="24"/>
              </w:rPr>
              <w:t>sekuritizacije</w:t>
            </w:r>
            <w:proofErr w:type="spellEnd"/>
            <w:r>
              <w:rPr>
                <w:rFonts w:ascii="Times New Roman" w:hAnsi="Times New Roman"/>
                <w:sz w:val="24"/>
              </w:rPr>
              <w:t xml:space="preserve"> iznosi najmanje 5 % (na datum početka </w:t>
            </w:r>
            <w:proofErr w:type="spellStart"/>
            <w:r>
              <w:rPr>
                <w:rFonts w:ascii="Times New Roman" w:hAnsi="Times New Roman"/>
                <w:sz w:val="24"/>
              </w:rPr>
              <w:t>sekuritizacije</w:t>
            </w:r>
            <w:proofErr w:type="spellEnd"/>
            <w:r>
              <w:rPr>
                <w:rFonts w:ascii="Times New Roman" w:hAnsi="Times New Roman"/>
                <w:sz w:val="24"/>
              </w:rPr>
              <w:t>).</w:t>
            </w:r>
          </w:p>
          <w:p w14:paraId="736CBC94" w14:textId="77777777" w:rsidR="00C55547" w:rsidRPr="00A30C4C" w:rsidRDefault="00C55547" w:rsidP="00E10B85">
            <w:pPr>
              <w:spacing w:before="0" w:after="0"/>
              <w:rPr>
                <w:rFonts w:ascii="Times New Roman" w:hAnsi="Times New Roman"/>
                <w:i/>
                <w:sz w:val="24"/>
              </w:rPr>
            </w:pPr>
          </w:p>
          <w:p w14:paraId="2D8B6608" w14:textId="14A4E3C4" w:rsidR="00C55547" w:rsidRPr="00A30C4C"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Ovaj se stupac ne iskazuje ako su oznake „E” (izuzeće) ili „N” (nije primjenjivo) iskazane u stupcu 080 (Vrsta primijenjenog zadržavanja).</w:t>
            </w:r>
          </w:p>
          <w:p w14:paraId="57D619B2" w14:textId="77777777" w:rsidR="00C55547" w:rsidRPr="00A30C4C" w:rsidRDefault="00C55547" w:rsidP="00E10B85">
            <w:pPr>
              <w:spacing w:before="0" w:after="0"/>
              <w:jc w:val="left"/>
              <w:rPr>
                <w:rFonts w:ascii="Times New Roman" w:hAnsi="Times New Roman"/>
                <w:sz w:val="24"/>
              </w:rPr>
            </w:pPr>
          </w:p>
        </w:tc>
      </w:tr>
      <w:tr w:rsidR="00C55547" w:rsidRPr="00A30C4C" w14:paraId="40B36568" w14:textId="77777777" w:rsidTr="00E10B85">
        <w:tc>
          <w:tcPr>
            <w:tcW w:w="1101" w:type="dxa"/>
          </w:tcPr>
          <w:p w14:paraId="0655C560"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100</w:t>
            </w:r>
          </w:p>
        </w:tc>
        <w:tc>
          <w:tcPr>
            <w:tcW w:w="7903" w:type="dxa"/>
          </w:tcPr>
          <w:p w14:paraId="2381967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USKLAĐENOST SA ZAHTJEVOM ZA ZADRŽAVANJE?</w:t>
            </w:r>
          </w:p>
          <w:p w14:paraId="3D773677" w14:textId="77777777" w:rsidR="00C55547" w:rsidRPr="00A30C4C" w:rsidRDefault="00C55547" w:rsidP="00E10B85">
            <w:pPr>
              <w:spacing w:before="0" w:after="0"/>
              <w:jc w:val="left"/>
              <w:rPr>
                <w:rFonts w:ascii="Times New Roman" w:hAnsi="Times New Roman"/>
                <w:b/>
                <w:sz w:val="24"/>
                <w:u w:val="single"/>
              </w:rPr>
            </w:pPr>
          </w:p>
          <w:p w14:paraId="21715324" w14:textId="77777777" w:rsidR="00C55547" w:rsidRPr="00A30C4C" w:rsidRDefault="00EE2BEA" w:rsidP="00E10B85">
            <w:pPr>
              <w:spacing w:before="0" w:after="0"/>
              <w:jc w:val="left"/>
              <w:rPr>
                <w:rFonts w:ascii="Times New Roman" w:hAnsi="Times New Roman"/>
                <w:sz w:val="24"/>
              </w:rPr>
            </w:pPr>
            <w:r>
              <w:rPr>
                <w:rFonts w:ascii="Times New Roman" w:hAnsi="Times New Roman"/>
                <w:sz w:val="24"/>
              </w:rPr>
              <w:t>Institucije iskazuju sljedeće kratice:</w:t>
            </w:r>
          </w:p>
          <w:p w14:paraId="138F52BD" w14:textId="77777777" w:rsidR="00C55547" w:rsidRPr="00A30C4C"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rPr>
                <w:rFonts w:ascii="Times New Roman" w:hAnsi="Times New Roman"/>
                <w:sz w:val="24"/>
              </w:rPr>
              <w:tab/>
              <w:t>-</w:t>
            </w:r>
            <w:r>
              <w:rPr>
                <w:rFonts w:ascii="Times New Roman" w:hAnsi="Times New Roman"/>
                <w:sz w:val="24"/>
              </w:rPr>
              <w:tab/>
              <w:t>⁪Da;</w:t>
            </w:r>
          </w:p>
          <w:p w14:paraId="7C65DB26" w14:textId="77777777" w:rsidR="00C55547" w:rsidRPr="00A30C4C"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rPr>
                <w:rFonts w:ascii="Times New Roman" w:hAnsi="Times New Roman"/>
                <w:sz w:val="24"/>
              </w:rPr>
              <w:tab/>
              <w:t>-</w:t>
            </w:r>
            <w:r>
              <w:rPr>
                <w:rFonts w:ascii="Times New Roman" w:hAnsi="Times New Roman"/>
                <w:sz w:val="24"/>
              </w:rPr>
              <w:tab/>
              <w:t>Ne.</w:t>
            </w:r>
          </w:p>
          <w:p w14:paraId="6A952D60" w14:textId="77777777" w:rsidR="00C55547" w:rsidRPr="00A30C4C" w:rsidRDefault="00C55547" w:rsidP="00E10B85">
            <w:pPr>
              <w:spacing w:before="0" w:after="0"/>
              <w:jc w:val="left"/>
              <w:rPr>
                <w:rFonts w:ascii="Times New Roman" w:hAnsi="Times New Roman"/>
                <w:sz w:val="24"/>
              </w:rPr>
            </w:pPr>
          </w:p>
          <w:p w14:paraId="77FA9D5B" w14:textId="04AD3AF5" w:rsidR="00C55547" w:rsidRPr="00A30C4C"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Ovaj se stupac ne iskazuje ako je oznaka „E” (izuzeće)  iskazana u stupcu 080 (Vrsta primijenjenog zadržavanja).</w:t>
            </w:r>
          </w:p>
          <w:p w14:paraId="647391F6"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3B97E3E5" w14:textId="77777777" w:rsidTr="00E10B85">
        <w:tc>
          <w:tcPr>
            <w:tcW w:w="1101" w:type="dxa"/>
          </w:tcPr>
          <w:p w14:paraId="3D4614DB"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120-130</w:t>
            </w:r>
          </w:p>
        </w:tc>
        <w:tc>
          <w:tcPr>
            <w:tcW w:w="7903" w:type="dxa"/>
          </w:tcPr>
          <w:p w14:paraId="449AF9BD"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PROGRAMI KOJI NISU ABCP</w:t>
            </w:r>
          </w:p>
          <w:p w14:paraId="086B9BE2"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347E6E0" w14:textId="7B62C5D9"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Zbog posebne prirode programa ABCP koja proizlazi iz činjenice da sadržavaju nekoliko jedinstvenih </w:t>
            </w:r>
            <w:proofErr w:type="spellStart"/>
            <w:r>
              <w:rPr>
                <w:rFonts w:ascii="Times New Roman" w:hAnsi="Times New Roman"/>
                <w:sz w:val="24"/>
              </w:rPr>
              <w:t>sekuritizacijskih</w:t>
            </w:r>
            <w:proofErr w:type="spellEnd"/>
            <w:r>
              <w:rPr>
                <w:rFonts w:ascii="Times New Roman" w:hAnsi="Times New Roman"/>
                <w:sz w:val="24"/>
              </w:rPr>
              <w:t xml:space="preserve"> pozicija, programi ABCP (kako su definirani u članku 242. stavku 11. CRR-a) izuzeti su iz izvješćivanja u stupcima 120, 121 i 130.</w:t>
            </w:r>
          </w:p>
          <w:p w14:paraId="1870D494" w14:textId="77777777" w:rsidR="00C55547" w:rsidRPr="00A30C4C" w:rsidRDefault="00C55547" w:rsidP="00E10B85">
            <w:pPr>
              <w:spacing w:before="0" w:after="0"/>
              <w:jc w:val="left"/>
              <w:rPr>
                <w:rFonts w:ascii="Times New Roman" w:hAnsi="Times New Roman"/>
                <w:sz w:val="24"/>
              </w:rPr>
            </w:pPr>
          </w:p>
        </w:tc>
      </w:tr>
      <w:tr w:rsidR="00C55547" w:rsidRPr="00A30C4C" w14:paraId="29BDE928" w14:textId="77777777" w:rsidTr="00E10B85">
        <w:tc>
          <w:tcPr>
            <w:tcW w:w="1101" w:type="dxa"/>
          </w:tcPr>
          <w:p w14:paraId="4D0E8F86"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120</w:t>
            </w:r>
          </w:p>
        </w:tc>
        <w:tc>
          <w:tcPr>
            <w:tcW w:w="7903" w:type="dxa"/>
          </w:tcPr>
          <w:p w14:paraId="42A4DE86" w14:textId="77777777" w:rsidR="00C55547" w:rsidRPr="00A30C4C" w:rsidRDefault="00C55547" w:rsidP="00E10B85">
            <w:pPr>
              <w:spacing w:before="0" w:after="0"/>
              <w:jc w:val="left"/>
              <w:rPr>
                <w:rFonts w:ascii="Times New Roman" w:hAnsi="Times New Roman"/>
                <w:b/>
                <w:sz w:val="24"/>
              </w:rPr>
            </w:pPr>
            <w:r>
              <w:rPr>
                <w:rFonts w:ascii="Times New Roman" w:hAnsi="Times New Roman"/>
                <w:b/>
                <w:sz w:val="24"/>
              </w:rPr>
              <w:t>POČETAK SEKURITIZACIJE (mm/</w:t>
            </w:r>
            <w:proofErr w:type="spellStart"/>
            <w:r>
              <w:rPr>
                <w:rFonts w:ascii="Times New Roman" w:hAnsi="Times New Roman"/>
                <w:b/>
                <w:sz w:val="24"/>
              </w:rPr>
              <w:t>gggg</w:t>
            </w:r>
            <w:proofErr w:type="spellEnd"/>
            <w:r>
              <w:rPr>
                <w:rFonts w:ascii="Times New Roman" w:hAnsi="Times New Roman"/>
                <w:b/>
                <w:sz w:val="24"/>
              </w:rPr>
              <w:t>)</w:t>
            </w:r>
          </w:p>
          <w:p w14:paraId="49F98229" w14:textId="77777777" w:rsidR="00C55547" w:rsidRPr="00A30C4C" w:rsidRDefault="00C55547" w:rsidP="00E10B85">
            <w:pPr>
              <w:spacing w:before="0" w:after="0"/>
              <w:jc w:val="left"/>
              <w:rPr>
                <w:rFonts w:ascii="Times New Roman" w:hAnsi="Times New Roman"/>
                <w:sz w:val="24"/>
              </w:rPr>
            </w:pPr>
          </w:p>
          <w:p w14:paraId="040343AD" w14:textId="407F6FE2"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Mjesec i godina početka (granični ili završni datum skupa) </w:t>
            </w:r>
            <w:proofErr w:type="spellStart"/>
            <w:r>
              <w:rPr>
                <w:rFonts w:ascii="Times New Roman" w:hAnsi="Times New Roman"/>
                <w:sz w:val="24"/>
              </w:rPr>
              <w:t>sekuritizacije</w:t>
            </w:r>
            <w:proofErr w:type="spellEnd"/>
            <w:r>
              <w:rPr>
                <w:rFonts w:ascii="Times New Roman" w:hAnsi="Times New Roman"/>
                <w:sz w:val="24"/>
              </w:rPr>
              <w:t xml:space="preserve"> iskazuje se u sljedećem formatu: „mm/</w:t>
            </w:r>
            <w:proofErr w:type="spellStart"/>
            <w:r>
              <w:rPr>
                <w:rFonts w:ascii="Times New Roman" w:hAnsi="Times New Roman"/>
                <w:sz w:val="24"/>
              </w:rPr>
              <w:t>gggg</w:t>
            </w:r>
            <w:proofErr w:type="spellEnd"/>
            <w:r>
              <w:rPr>
                <w:rFonts w:ascii="Times New Roman" w:hAnsi="Times New Roman"/>
                <w:sz w:val="24"/>
              </w:rPr>
              <w:t>”.</w:t>
            </w:r>
          </w:p>
          <w:p w14:paraId="0C480317" w14:textId="77777777" w:rsidR="00C55547" w:rsidRPr="00A30C4C" w:rsidRDefault="00C55547" w:rsidP="00E10B85">
            <w:pPr>
              <w:autoSpaceDE w:val="0"/>
              <w:autoSpaceDN w:val="0"/>
              <w:adjustRightInd w:val="0"/>
              <w:spacing w:before="0" w:after="0"/>
              <w:rPr>
                <w:rFonts w:ascii="Times New Roman" w:hAnsi="Times New Roman"/>
                <w:sz w:val="24"/>
              </w:rPr>
            </w:pPr>
          </w:p>
          <w:p w14:paraId="41AB4885"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svaku </w:t>
            </w:r>
            <w:proofErr w:type="spellStart"/>
            <w:r>
              <w:rPr>
                <w:rFonts w:ascii="Times New Roman" w:hAnsi="Times New Roman"/>
                <w:sz w:val="24"/>
              </w:rPr>
              <w:t>sekuritizacijsku</w:t>
            </w:r>
            <w:proofErr w:type="spellEnd"/>
            <w:r>
              <w:rPr>
                <w:rFonts w:ascii="Times New Roman" w:hAnsi="Times New Roman"/>
                <w:sz w:val="24"/>
              </w:rPr>
              <w:t xml:space="preserve"> strukturu početak </w:t>
            </w:r>
            <w:proofErr w:type="spellStart"/>
            <w:r>
              <w:rPr>
                <w:rFonts w:ascii="Times New Roman" w:hAnsi="Times New Roman"/>
                <w:sz w:val="24"/>
              </w:rPr>
              <w:t>sekuritizacije</w:t>
            </w:r>
            <w:proofErr w:type="spellEnd"/>
            <w:r>
              <w:rPr>
                <w:rFonts w:ascii="Times New Roman" w:hAnsi="Times New Roman"/>
                <w:sz w:val="24"/>
              </w:rPr>
              <w:t xml:space="preserve"> ne može se promijeniti između izvještajnih datuma. U posebnom slučaju </w:t>
            </w:r>
            <w:proofErr w:type="spellStart"/>
            <w:r>
              <w:rPr>
                <w:rFonts w:ascii="Times New Roman" w:hAnsi="Times New Roman"/>
                <w:sz w:val="24"/>
              </w:rPr>
              <w:t>sekuritizacijskih</w:t>
            </w:r>
            <w:proofErr w:type="spellEnd"/>
            <w:r>
              <w:rPr>
                <w:rFonts w:ascii="Times New Roman" w:hAnsi="Times New Roman"/>
                <w:sz w:val="24"/>
              </w:rPr>
              <w:t xml:space="preserve"> struktura osiguranih otvorenim skupovima, početak </w:t>
            </w:r>
            <w:proofErr w:type="spellStart"/>
            <w:r>
              <w:rPr>
                <w:rFonts w:ascii="Times New Roman" w:hAnsi="Times New Roman"/>
                <w:sz w:val="24"/>
              </w:rPr>
              <w:t>sekuritizacije</w:t>
            </w:r>
            <w:proofErr w:type="spellEnd"/>
            <w:r>
              <w:rPr>
                <w:rFonts w:ascii="Times New Roman" w:hAnsi="Times New Roman"/>
                <w:sz w:val="24"/>
              </w:rPr>
              <w:t xml:space="preserve"> datum je prvog izdanja vrijednosnih papira. </w:t>
            </w:r>
          </w:p>
          <w:p w14:paraId="6309F4E0" w14:textId="77777777" w:rsidR="00C55547" w:rsidRPr="00A30C4C" w:rsidRDefault="00C55547" w:rsidP="00E10B85">
            <w:pPr>
              <w:autoSpaceDE w:val="0"/>
              <w:autoSpaceDN w:val="0"/>
              <w:adjustRightInd w:val="0"/>
              <w:spacing w:before="0" w:after="0"/>
              <w:rPr>
                <w:rFonts w:ascii="Times New Roman" w:hAnsi="Times New Roman"/>
                <w:sz w:val="24"/>
              </w:rPr>
            </w:pPr>
          </w:p>
          <w:p w14:paraId="1004180F" w14:textId="73F40864"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14:paraId="081BB365"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14C2F7C0" w14:textId="77777777" w:rsidTr="00E10B85">
        <w:tc>
          <w:tcPr>
            <w:tcW w:w="1101" w:type="dxa"/>
          </w:tcPr>
          <w:p w14:paraId="75A67799"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121</w:t>
            </w:r>
          </w:p>
        </w:tc>
        <w:tc>
          <w:tcPr>
            <w:tcW w:w="7903" w:type="dxa"/>
          </w:tcPr>
          <w:p w14:paraId="0E47212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DATUM ZADNJEG IZDANJA (mm/</w:t>
            </w:r>
            <w:proofErr w:type="spellStart"/>
            <w:r>
              <w:rPr>
                <w:rFonts w:ascii="Times New Roman" w:hAnsi="Times New Roman"/>
                <w:b/>
                <w:sz w:val="24"/>
                <w:u w:val="single"/>
              </w:rPr>
              <w:t>gggg</w:t>
            </w:r>
            <w:proofErr w:type="spellEnd"/>
            <w:r>
              <w:rPr>
                <w:rFonts w:ascii="Times New Roman" w:hAnsi="Times New Roman"/>
                <w:b/>
                <w:sz w:val="24"/>
                <w:u w:val="single"/>
              </w:rPr>
              <w:t>)</w:t>
            </w:r>
          </w:p>
          <w:p w14:paraId="59CF45F5" w14:textId="77777777" w:rsidR="00C55547" w:rsidRPr="00A30C4C" w:rsidRDefault="00C55547" w:rsidP="00E10B85">
            <w:pPr>
              <w:spacing w:before="0" w:after="0"/>
              <w:jc w:val="left"/>
              <w:rPr>
                <w:rFonts w:ascii="Times New Roman" w:hAnsi="Times New Roman"/>
                <w:b/>
                <w:sz w:val="24"/>
                <w:u w:val="single"/>
              </w:rPr>
            </w:pPr>
          </w:p>
          <w:p w14:paraId="7FBBA6B6" w14:textId="57CD7E7F"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Mjesec i godina zadnjeg izdanja vrijednosnih papira u </w:t>
            </w:r>
            <w:proofErr w:type="spellStart"/>
            <w:r>
              <w:rPr>
                <w:rFonts w:ascii="Times New Roman" w:hAnsi="Times New Roman"/>
                <w:sz w:val="24"/>
              </w:rPr>
              <w:t>sekuritizaciji</w:t>
            </w:r>
            <w:proofErr w:type="spellEnd"/>
            <w:r>
              <w:rPr>
                <w:rFonts w:ascii="Times New Roman" w:hAnsi="Times New Roman"/>
                <w:sz w:val="24"/>
              </w:rPr>
              <w:t xml:space="preserve"> iskazuje se u sljedećem formatu: „mm/</w:t>
            </w:r>
            <w:proofErr w:type="spellStart"/>
            <w:r>
              <w:rPr>
                <w:rFonts w:ascii="Times New Roman" w:hAnsi="Times New Roman"/>
                <w:sz w:val="24"/>
              </w:rPr>
              <w:t>gggg</w:t>
            </w:r>
            <w:proofErr w:type="spellEnd"/>
            <w:r>
              <w:rPr>
                <w:rFonts w:ascii="Times New Roman" w:hAnsi="Times New Roman"/>
                <w:sz w:val="24"/>
              </w:rPr>
              <w:t>”.</w:t>
            </w:r>
          </w:p>
          <w:p w14:paraId="5CF784BC" w14:textId="77777777" w:rsidR="00C55547" w:rsidRPr="00A30C4C" w:rsidRDefault="00C55547" w:rsidP="00E10B85">
            <w:pPr>
              <w:spacing w:before="0" w:after="0"/>
              <w:jc w:val="left"/>
              <w:rPr>
                <w:rFonts w:ascii="Times New Roman" w:hAnsi="Times New Roman"/>
                <w:sz w:val="24"/>
              </w:rPr>
            </w:pPr>
          </w:p>
          <w:p w14:paraId="1EABFA70" w14:textId="1BF17B48"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Uredba (EU) 2017/2402 primjenjuje se samo na </w:t>
            </w:r>
            <w:proofErr w:type="spellStart"/>
            <w:r>
              <w:rPr>
                <w:rFonts w:ascii="Times New Roman" w:hAnsi="Times New Roman"/>
                <w:sz w:val="24"/>
              </w:rPr>
              <w:t>sekuritizacije</w:t>
            </w:r>
            <w:proofErr w:type="spellEnd"/>
            <w:r>
              <w:rPr>
                <w:rFonts w:ascii="Times New Roman" w:hAnsi="Times New Roman"/>
                <w:sz w:val="24"/>
              </w:rPr>
              <w:t xml:space="preserve"> čiji su vrijednosni papiri izdani na dan ili nakon 1. siječnja 2019. Datumom zadnjeg izdanja vrijednosnih papira utvrđuje se pripada li pojedina </w:t>
            </w:r>
            <w:proofErr w:type="spellStart"/>
            <w:r>
              <w:rPr>
                <w:rFonts w:ascii="Times New Roman" w:hAnsi="Times New Roman"/>
                <w:sz w:val="24"/>
              </w:rPr>
              <w:t>sekuritizacijska</w:t>
            </w:r>
            <w:proofErr w:type="spellEnd"/>
            <w:r>
              <w:rPr>
                <w:rFonts w:ascii="Times New Roman" w:hAnsi="Times New Roman"/>
                <w:sz w:val="24"/>
              </w:rPr>
              <w:t xml:space="preserve"> struktura u područje primjene Uredbe (EU) 2017/2402.</w:t>
            </w:r>
          </w:p>
          <w:p w14:paraId="46B361DF" w14:textId="77777777" w:rsidR="00C55547" w:rsidRPr="00A30C4C" w:rsidRDefault="00C55547" w:rsidP="00E10B85">
            <w:pPr>
              <w:spacing w:before="0" w:after="0"/>
              <w:jc w:val="left"/>
              <w:rPr>
                <w:rFonts w:ascii="Times New Roman" w:hAnsi="Times New Roman"/>
                <w:sz w:val="24"/>
              </w:rPr>
            </w:pPr>
          </w:p>
          <w:p w14:paraId="6ABE70EA" w14:textId="1A133939"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14:paraId="26FEB71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04911088" w14:textId="77777777" w:rsidTr="00E10B85">
        <w:tc>
          <w:tcPr>
            <w:tcW w:w="1101" w:type="dxa"/>
          </w:tcPr>
          <w:p w14:paraId="16A74709"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130</w:t>
            </w:r>
          </w:p>
        </w:tc>
        <w:tc>
          <w:tcPr>
            <w:tcW w:w="7903" w:type="dxa"/>
          </w:tcPr>
          <w:p w14:paraId="2A5CE648"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UKUPNI IZNOS SEKURITIZIRANIH IZLOŽENOSTI NA POČETKU SEKURITIZACIJE</w:t>
            </w:r>
          </w:p>
          <w:p w14:paraId="48FB32F8" w14:textId="77777777" w:rsidR="00C55547" w:rsidRPr="00A30C4C" w:rsidRDefault="00C55547" w:rsidP="00E10B85">
            <w:pPr>
              <w:spacing w:before="0" w:after="0"/>
              <w:jc w:val="left"/>
              <w:rPr>
                <w:rFonts w:ascii="Times New Roman" w:hAnsi="Times New Roman"/>
                <w:sz w:val="24"/>
              </w:rPr>
            </w:pPr>
          </w:p>
          <w:p w14:paraId="67DF33A0" w14:textId="4BE9AFB3"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iskazuje iznos (izračunan na temelju konverzijskih faktora prije originalne izloženosti) </w:t>
            </w:r>
            <w:proofErr w:type="spellStart"/>
            <w:r>
              <w:rPr>
                <w:rFonts w:ascii="Times New Roman" w:hAnsi="Times New Roman"/>
                <w:sz w:val="24"/>
              </w:rPr>
              <w:t>sekuritiziranog</w:t>
            </w:r>
            <w:proofErr w:type="spellEnd"/>
            <w:r>
              <w:rPr>
                <w:rFonts w:ascii="Times New Roman" w:hAnsi="Times New Roman"/>
                <w:sz w:val="24"/>
              </w:rPr>
              <w:t xml:space="preserve"> portfelja na početku </w:t>
            </w:r>
            <w:proofErr w:type="spellStart"/>
            <w:r>
              <w:rPr>
                <w:rFonts w:ascii="Times New Roman" w:hAnsi="Times New Roman"/>
                <w:sz w:val="24"/>
              </w:rPr>
              <w:t>sekuritizacije</w:t>
            </w:r>
            <w:proofErr w:type="spellEnd"/>
            <w:r>
              <w:rPr>
                <w:rFonts w:ascii="Times New Roman" w:hAnsi="Times New Roman"/>
                <w:sz w:val="24"/>
              </w:rPr>
              <w:t xml:space="preserve">. </w:t>
            </w:r>
          </w:p>
          <w:p w14:paraId="78CC71AA" w14:textId="77777777" w:rsidR="00C55547" w:rsidRPr="00A30C4C" w:rsidRDefault="00C55547" w:rsidP="00E10B85">
            <w:pPr>
              <w:autoSpaceDE w:val="0"/>
              <w:autoSpaceDN w:val="0"/>
              <w:adjustRightInd w:val="0"/>
              <w:spacing w:before="0" w:after="0"/>
              <w:rPr>
                <w:rFonts w:ascii="Times New Roman" w:hAnsi="Times New Roman"/>
                <w:sz w:val="24"/>
              </w:rPr>
            </w:pPr>
          </w:p>
          <w:p w14:paraId="56318037" w14:textId="5D0A6E37" w:rsidR="00C55547" w:rsidRPr="00A30C4C"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w:t>
            </w:r>
            <w:proofErr w:type="spellStart"/>
            <w:r>
              <w:rPr>
                <w:rFonts w:ascii="Times New Roman" w:hAnsi="Times New Roman"/>
                <w:sz w:val="24"/>
              </w:rPr>
              <w:t>sekuritizacijske</w:t>
            </w:r>
            <w:proofErr w:type="spellEnd"/>
            <w:r>
              <w:rPr>
                <w:rFonts w:ascii="Times New Roman" w:hAnsi="Times New Roman"/>
                <w:sz w:val="24"/>
              </w:rPr>
              <w:t xml:space="preserve"> strukture osigurane otvorenim skupovima, iskazuje se iznos koji se odnosi na početak </w:t>
            </w:r>
            <w:proofErr w:type="spellStart"/>
            <w:r>
              <w:rPr>
                <w:rFonts w:ascii="Times New Roman" w:hAnsi="Times New Roman"/>
                <w:sz w:val="24"/>
              </w:rPr>
              <w:t>sekuritizacije</w:t>
            </w:r>
            <w:proofErr w:type="spellEnd"/>
            <w:r>
              <w:rPr>
                <w:rFonts w:ascii="Times New Roman" w:hAnsi="Times New Roman"/>
                <w:sz w:val="24"/>
              </w:rPr>
              <w:t xml:space="preserve"> prvog izdanja vrijednosnih papira. Za tradicionalne </w:t>
            </w:r>
            <w:proofErr w:type="spellStart"/>
            <w:r>
              <w:rPr>
                <w:rFonts w:ascii="Times New Roman" w:hAnsi="Times New Roman"/>
                <w:sz w:val="24"/>
              </w:rPr>
              <w:t>sekuritizacije</w:t>
            </w:r>
            <w:proofErr w:type="spellEnd"/>
            <w:r>
              <w:rPr>
                <w:rFonts w:ascii="Times New Roman" w:hAnsi="Times New Roman"/>
                <w:sz w:val="24"/>
              </w:rPr>
              <w:t xml:space="preserve"> ne uključuje se nikakva druga imovina </w:t>
            </w:r>
            <w:proofErr w:type="spellStart"/>
            <w:r>
              <w:rPr>
                <w:rFonts w:ascii="Times New Roman" w:hAnsi="Times New Roman"/>
                <w:sz w:val="24"/>
              </w:rPr>
              <w:t>sekuritizacijskog</w:t>
            </w:r>
            <w:proofErr w:type="spellEnd"/>
            <w:r>
              <w:rPr>
                <w:rFonts w:ascii="Times New Roman" w:hAnsi="Times New Roman"/>
                <w:sz w:val="24"/>
              </w:rPr>
              <w:t xml:space="preserve"> skupa. Za višestruke </w:t>
            </w:r>
            <w:proofErr w:type="spellStart"/>
            <w:r>
              <w:rPr>
                <w:rFonts w:ascii="Times New Roman" w:hAnsi="Times New Roman"/>
                <w:sz w:val="24"/>
              </w:rPr>
              <w:t>sekuritizacijske</w:t>
            </w:r>
            <w:proofErr w:type="spellEnd"/>
            <w:r>
              <w:rPr>
                <w:rFonts w:ascii="Times New Roman" w:hAnsi="Times New Roman"/>
                <w:sz w:val="24"/>
              </w:rPr>
              <w:t xml:space="preserve"> strukture (tj. s više inicijatora) iskazuje se samo iznos koji odgovara doprinosu subjekta koji izvješćuje u </w:t>
            </w:r>
            <w:proofErr w:type="spellStart"/>
            <w:r>
              <w:rPr>
                <w:rFonts w:ascii="Times New Roman" w:hAnsi="Times New Roman"/>
                <w:sz w:val="24"/>
              </w:rPr>
              <w:t>sekuritiziranom</w:t>
            </w:r>
            <w:proofErr w:type="spellEnd"/>
            <w:r>
              <w:rPr>
                <w:rFonts w:ascii="Times New Roman" w:hAnsi="Times New Roman"/>
                <w:sz w:val="24"/>
              </w:rPr>
              <w:t xml:space="preserve"> portfelju. Za </w:t>
            </w:r>
            <w:proofErr w:type="spellStart"/>
            <w:r>
              <w:rPr>
                <w:rFonts w:ascii="Times New Roman" w:hAnsi="Times New Roman"/>
                <w:sz w:val="24"/>
              </w:rPr>
              <w:t>sekuritizacije</w:t>
            </w:r>
            <w:proofErr w:type="spellEnd"/>
            <w:r>
              <w:rPr>
                <w:rFonts w:ascii="Times New Roman" w:hAnsi="Times New Roman"/>
                <w:sz w:val="24"/>
              </w:rPr>
              <w:t xml:space="preserve"> obveza iskazuju se samo iznosi koje je izdao subjekt koji izvješćuje.</w:t>
            </w:r>
          </w:p>
          <w:p w14:paraId="4410A8C1" w14:textId="77777777" w:rsidR="00C55547" w:rsidRPr="00A30C4C" w:rsidRDefault="00C55547" w:rsidP="00E10B85">
            <w:pPr>
              <w:autoSpaceDE w:val="0"/>
              <w:autoSpaceDN w:val="0"/>
              <w:adjustRightInd w:val="0"/>
              <w:spacing w:before="0" w:after="0"/>
              <w:rPr>
                <w:rFonts w:ascii="Times New Roman" w:hAnsi="Times New Roman"/>
                <w:sz w:val="24"/>
              </w:rPr>
            </w:pPr>
          </w:p>
          <w:p w14:paraId="4E26C7BC" w14:textId="7433274B"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14:paraId="40C9460C"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0034138D" w14:textId="77777777" w:rsidTr="00E10B85">
        <w:tc>
          <w:tcPr>
            <w:tcW w:w="1101" w:type="dxa"/>
          </w:tcPr>
          <w:p w14:paraId="4C33E089" w14:textId="77777777" w:rsidR="00C55547" w:rsidRPr="00A30C4C" w:rsidRDefault="00C55547" w:rsidP="00677A91">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140-225</w:t>
            </w:r>
          </w:p>
        </w:tc>
        <w:tc>
          <w:tcPr>
            <w:tcW w:w="7903" w:type="dxa"/>
          </w:tcPr>
          <w:p w14:paraId="7D39CB4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SEKURITIZIRANE IZLOŽENOSTI</w:t>
            </w:r>
          </w:p>
          <w:p w14:paraId="2D381EA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5CFD1854"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U stupcima od 140 do 225 od subjekta koji izvješćuje zahtijevaju se informacije o nekoliko značajki </w:t>
            </w:r>
            <w:proofErr w:type="spellStart"/>
            <w:r>
              <w:rPr>
                <w:rFonts w:ascii="Times New Roman" w:hAnsi="Times New Roman"/>
                <w:sz w:val="24"/>
              </w:rPr>
              <w:t>sekuritiziranog</w:t>
            </w:r>
            <w:proofErr w:type="spellEnd"/>
            <w:r>
              <w:rPr>
                <w:rFonts w:ascii="Times New Roman" w:hAnsi="Times New Roman"/>
                <w:sz w:val="24"/>
              </w:rPr>
              <w:t xml:space="preserve"> portfelja.</w:t>
            </w:r>
          </w:p>
          <w:p w14:paraId="749B2DAC"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0AB7A1D4" w14:textId="77777777" w:rsidTr="00E10B85">
        <w:tc>
          <w:tcPr>
            <w:tcW w:w="1101" w:type="dxa"/>
          </w:tcPr>
          <w:p w14:paraId="68DEC9A2"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140</w:t>
            </w:r>
          </w:p>
        </w:tc>
        <w:tc>
          <w:tcPr>
            <w:tcW w:w="7903" w:type="dxa"/>
          </w:tcPr>
          <w:p w14:paraId="45EA3BA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UKUPNI IZNOS</w:t>
            </w:r>
          </w:p>
          <w:p w14:paraId="45FF1177" w14:textId="77777777" w:rsidR="00C55547" w:rsidRPr="00A30C4C" w:rsidRDefault="00C55547" w:rsidP="00E10B85">
            <w:pPr>
              <w:spacing w:before="0" w:after="0"/>
              <w:jc w:val="left"/>
              <w:rPr>
                <w:rFonts w:ascii="Times New Roman" w:hAnsi="Times New Roman"/>
                <w:sz w:val="24"/>
              </w:rPr>
            </w:pPr>
          </w:p>
          <w:p w14:paraId="654DEAF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Institucija iskazuju vrijednost </w:t>
            </w:r>
            <w:proofErr w:type="spellStart"/>
            <w:r>
              <w:rPr>
                <w:rFonts w:ascii="Times New Roman" w:hAnsi="Times New Roman"/>
                <w:sz w:val="24"/>
              </w:rPr>
              <w:t>sekuritiziranog</w:t>
            </w:r>
            <w:proofErr w:type="spellEnd"/>
            <w:r>
              <w:rPr>
                <w:rFonts w:ascii="Times New Roman" w:hAnsi="Times New Roman"/>
                <w:sz w:val="24"/>
              </w:rPr>
              <w:t xml:space="preserve"> portfelja na izvještajni datum, tj. preostali iznos </w:t>
            </w:r>
            <w:proofErr w:type="spellStart"/>
            <w:r>
              <w:rPr>
                <w:rFonts w:ascii="Times New Roman" w:hAnsi="Times New Roman"/>
                <w:sz w:val="24"/>
              </w:rPr>
              <w:t>sekuritiziranih</w:t>
            </w:r>
            <w:proofErr w:type="spellEnd"/>
            <w:r>
              <w:rPr>
                <w:rFonts w:ascii="Times New Roman" w:hAnsi="Times New Roman"/>
                <w:sz w:val="24"/>
              </w:rPr>
              <w:t xml:space="preserve"> izloženosti. U slučaju tradicionalnih </w:t>
            </w:r>
            <w:proofErr w:type="spellStart"/>
            <w:r>
              <w:rPr>
                <w:rFonts w:ascii="Times New Roman" w:hAnsi="Times New Roman"/>
                <w:sz w:val="24"/>
              </w:rPr>
              <w:t>sekuritizacija</w:t>
            </w:r>
            <w:proofErr w:type="spellEnd"/>
            <w:r>
              <w:rPr>
                <w:rFonts w:ascii="Times New Roman" w:hAnsi="Times New Roman"/>
                <w:sz w:val="24"/>
              </w:rPr>
              <w:t xml:space="preserve"> ne uključuje se nikakva druga imovina </w:t>
            </w:r>
            <w:proofErr w:type="spellStart"/>
            <w:r>
              <w:rPr>
                <w:rFonts w:ascii="Times New Roman" w:hAnsi="Times New Roman"/>
                <w:sz w:val="24"/>
              </w:rPr>
              <w:t>sekuritizacijskog</w:t>
            </w:r>
            <w:proofErr w:type="spellEnd"/>
            <w:r>
              <w:rPr>
                <w:rFonts w:ascii="Times New Roman" w:hAnsi="Times New Roman"/>
                <w:sz w:val="24"/>
              </w:rPr>
              <w:t xml:space="preserve"> skupa. U slučaju višestrukih </w:t>
            </w:r>
            <w:proofErr w:type="spellStart"/>
            <w:r>
              <w:rPr>
                <w:rFonts w:ascii="Times New Roman" w:hAnsi="Times New Roman"/>
                <w:sz w:val="24"/>
              </w:rPr>
              <w:t>sekuritizacijskih</w:t>
            </w:r>
            <w:proofErr w:type="spellEnd"/>
            <w:r>
              <w:rPr>
                <w:rFonts w:ascii="Times New Roman" w:hAnsi="Times New Roman"/>
                <w:sz w:val="24"/>
              </w:rPr>
              <w:t xml:space="preserve"> struktura (tj. s više inicijatora) iskazuje se samo iznos koji odgovara doprinosu subjekta koji izvješćuje u </w:t>
            </w:r>
            <w:proofErr w:type="spellStart"/>
            <w:r>
              <w:rPr>
                <w:rFonts w:ascii="Times New Roman" w:hAnsi="Times New Roman"/>
                <w:sz w:val="24"/>
              </w:rPr>
              <w:t>sekuritiziranom</w:t>
            </w:r>
            <w:proofErr w:type="spellEnd"/>
            <w:r>
              <w:rPr>
                <w:rFonts w:ascii="Times New Roman" w:hAnsi="Times New Roman"/>
                <w:sz w:val="24"/>
              </w:rPr>
              <w:t xml:space="preserve"> portfelju. U slučaju </w:t>
            </w:r>
            <w:proofErr w:type="spellStart"/>
            <w:r>
              <w:rPr>
                <w:rFonts w:ascii="Times New Roman" w:hAnsi="Times New Roman"/>
                <w:sz w:val="24"/>
              </w:rPr>
              <w:t>sekuritizacijskih</w:t>
            </w:r>
            <w:proofErr w:type="spellEnd"/>
            <w:r>
              <w:rPr>
                <w:rFonts w:ascii="Times New Roman" w:hAnsi="Times New Roman"/>
                <w:sz w:val="24"/>
              </w:rPr>
              <w:t xml:space="preserve"> struktura osiguranih zatvorenim skupovima (tj. portfelj </w:t>
            </w:r>
            <w:proofErr w:type="spellStart"/>
            <w:r>
              <w:rPr>
                <w:rFonts w:ascii="Times New Roman" w:hAnsi="Times New Roman"/>
                <w:sz w:val="24"/>
              </w:rPr>
              <w:t>sekuritizirane</w:t>
            </w:r>
            <w:proofErr w:type="spellEnd"/>
            <w:r>
              <w:rPr>
                <w:rFonts w:ascii="Times New Roman" w:hAnsi="Times New Roman"/>
                <w:sz w:val="24"/>
              </w:rPr>
              <w:t xml:space="preserve"> imovine ne može se povećati nakon početka </w:t>
            </w:r>
            <w:proofErr w:type="spellStart"/>
            <w:r>
              <w:rPr>
                <w:rFonts w:ascii="Times New Roman" w:hAnsi="Times New Roman"/>
                <w:sz w:val="24"/>
              </w:rPr>
              <w:t>sekuritizacije</w:t>
            </w:r>
            <w:proofErr w:type="spellEnd"/>
            <w:r>
              <w:rPr>
                <w:rFonts w:ascii="Times New Roman" w:hAnsi="Times New Roman"/>
                <w:sz w:val="24"/>
              </w:rPr>
              <w:t>) iznos će se postupno smanjivati.</w:t>
            </w:r>
          </w:p>
          <w:p w14:paraId="793C7679" w14:textId="77777777" w:rsidR="00C55547" w:rsidRPr="00A30C4C" w:rsidRDefault="00C55547" w:rsidP="00E10B85">
            <w:pPr>
              <w:autoSpaceDE w:val="0"/>
              <w:autoSpaceDN w:val="0"/>
              <w:adjustRightInd w:val="0"/>
              <w:spacing w:before="0" w:after="0"/>
              <w:rPr>
                <w:rFonts w:ascii="Times New Roman" w:hAnsi="Times New Roman"/>
                <w:sz w:val="24"/>
              </w:rPr>
            </w:pPr>
          </w:p>
          <w:p w14:paraId="1F99F140" w14:textId="697756FD"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14:paraId="6FC8F04D"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3C7DA2A" w14:textId="77777777" w:rsidTr="00E10B85">
        <w:tc>
          <w:tcPr>
            <w:tcW w:w="1101" w:type="dxa"/>
          </w:tcPr>
          <w:p w14:paraId="41C7EC33"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150</w:t>
            </w:r>
          </w:p>
        </w:tc>
        <w:tc>
          <w:tcPr>
            <w:tcW w:w="7903" w:type="dxa"/>
          </w:tcPr>
          <w:p w14:paraId="2DBD447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UDJEL INSTITUCIJE (%)</w:t>
            </w:r>
          </w:p>
          <w:p w14:paraId="50F9085C" w14:textId="77777777" w:rsidR="00C55547" w:rsidRPr="00A30C4C" w:rsidRDefault="00C55547" w:rsidP="00E10B85">
            <w:pPr>
              <w:spacing w:before="0" w:after="0"/>
              <w:jc w:val="left"/>
              <w:rPr>
                <w:rFonts w:ascii="Times New Roman" w:hAnsi="Times New Roman"/>
                <w:sz w:val="24"/>
              </w:rPr>
            </w:pPr>
          </w:p>
          <w:p w14:paraId="7CC29DEA" w14:textId="77777777" w:rsidR="00C55547" w:rsidRPr="00A30C4C" w:rsidRDefault="00EE2BEA" w:rsidP="00E10B85">
            <w:pPr>
              <w:spacing w:before="0" w:after="0"/>
              <w:rPr>
                <w:rFonts w:ascii="Times New Roman" w:hAnsi="Times New Roman"/>
                <w:sz w:val="24"/>
              </w:rPr>
            </w:pPr>
            <w:r>
              <w:rPr>
                <w:rFonts w:ascii="Times New Roman" w:hAnsi="Times New Roman"/>
                <w:sz w:val="24"/>
              </w:rPr>
              <w:t xml:space="preserve">Udjel institucije (u postotku s dvije decimale) u </w:t>
            </w:r>
            <w:proofErr w:type="spellStart"/>
            <w:r>
              <w:rPr>
                <w:rFonts w:ascii="Times New Roman" w:hAnsi="Times New Roman"/>
                <w:sz w:val="24"/>
              </w:rPr>
              <w:t>sekuritiziranom</w:t>
            </w:r>
            <w:proofErr w:type="spellEnd"/>
            <w:r>
              <w:rPr>
                <w:rFonts w:ascii="Times New Roman" w:hAnsi="Times New Roman"/>
                <w:sz w:val="24"/>
              </w:rPr>
              <w:t xml:space="preserve"> portfelju na izvještajni datum. Vrijednost koju je potrebno iskazati u ovom stupcu u pravilu iznosi 100 %, izuzev za višestruke </w:t>
            </w:r>
            <w:proofErr w:type="spellStart"/>
            <w:r>
              <w:rPr>
                <w:rFonts w:ascii="Times New Roman" w:hAnsi="Times New Roman"/>
                <w:sz w:val="24"/>
              </w:rPr>
              <w:t>sekuritizacijske</w:t>
            </w:r>
            <w:proofErr w:type="spellEnd"/>
            <w:r>
              <w:rPr>
                <w:rFonts w:ascii="Times New Roman" w:hAnsi="Times New Roman"/>
                <w:sz w:val="24"/>
              </w:rPr>
              <w:t xml:space="preserve"> strukture. U tom slučaju subjekt koji izvješćuje iskazuje trenutačan doprinos </w:t>
            </w:r>
            <w:proofErr w:type="spellStart"/>
            <w:r>
              <w:rPr>
                <w:rFonts w:ascii="Times New Roman" w:hAnsi="Times New Roman"/>
                <w:sz w:val="24"/>
              </w:rPr>
              <w:t>sekuritiziranom</w:t>
            </w:r>
            <w:proofErr w:type="spellEnd"/>
            <w:r>
              <w:rPr>
                <w:rFonts w:ascii="Times New Roman" w:hAnsi="Times New Roman"/>
                <w:sz w:val="24"/>
              </w:rPr>
              <w:t xml:space="preserve"> portfelju (istovjetan stupcu 140 u relativnom smislu).</w:t>
            </w:r>
          </w:p>
          <w:p w14:paraId="51311ACF" w14:textId="77777777" w:rsidR="00C55547" w:rsidRPr="00A30C4C" w:rsidRDefault="00C55547" w:rsidP="00E10B85">
            <w:pPr>
              <w:spacing w:before="0" w:after="0"/>
              <w:rPr>
                <w:rFonts w:ascii="Times New Roman" w:hAnsi="Times New Roman"/>
                <w:sz w:val="24"/>
              </w:rPr>
            </w:pPr>
          </w:p>
          <w:p w14:paraId="63DE5A54" w14:textId="225113BC"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w:t>
            </w:r>
          </w:p>
          <w:p w14:paraId="643C2E44"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A56B349" w14:textId="77777777" w:rsidTr="00E10B85">
        <w:tc>
          <w:tcPr>
            <w:tcW w:w="1101" w:type="dxa"/>
          </w:tcPr>
          <w:p w14:paraId="550979F0" w14:textId="77777777" w:rsidR="00C55547" w:rsidRPr="00A30C4C" w:rsidDel="00817047"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160</w:t>
            </w:r>
          </w:p>
        </w:tc>
        <w:tc>
          <w:tcPr>
            <w:tcW w:w="7903" w:type="dxa"/>
          </w:tcPr>
          <w:p w14:paraId="6797CF9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VRSTA</w:t>
            </w:r>
          </w:p>
          <w:p w14:paraId="4604BBA9" w14:textId="77777777" w:rsidR="00C55547" w:rsidRPr="00A30C4C" w:rsidRDefault="00C55547" w:rsidP="00E10B85">
            <w:pPr>
              <w:autoSpaceDE w:val="0"/>
              <w:autoSpaceDN w:val="0"/>
              <w:adjustRightInd w:val="0"/>
              <w:spacing w:before="0" w:after="0"/>
              <w:rPr>
                <w:rFonts w:ascii="Times New Roman" w:hAnsi="Times New Roman"/>
                <w:sz w:val="24"/>
              </w:rPr>
            </w:pPr>
          </w:p>
          <w:p w14:paraId="3EA02560"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prikupljaju informacije o vrsti imovine („stambene nekretnine” do „ostale veleprodajne izloženosti”) ili obveza („pokrivene obveznice” i „ostale obveze”) </w:t>
            </w:r>
            <w:proofErr w:type="spellStart"/>
            <w:r>
              <w:rPr>
                <w:rFonts w:ascii="Times New Roman" w:hAnsi="Times New Roman"/>
                <w:sz w:val="24"/>
              </w:rPr>
              <w:t>sekuritiziranog</w:t>
            </w:r>
            <w:proofErr w:type="spellEnd"/>
            <w:r>
              <w:rPr>
                <w:rFonts w:ascii="Times New Roman" w:hAnsi="Times New Roman"/>
                <w:sz w:val="24"/>
              </w:rPr>
              <w:t xml:space="preserve"> portfelja. Institucija iskazuje jednu od sljedećih opcija, razmatrajući najveći EAD:</w:t>
            </w:r>
          </w:p>
          <w:p w14:paraId="20C6ABB1"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Stanovništvo:</w:t>
            </w:r>
          </w:p>
          <w:p w14:paraId="4D2EE18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stambene nekretnine; </w:t>
            </w:r>
          </w:p>
          <w:p w14:paraId="1A8E22B4"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potraživanja po kreditnim karticama; </w:t>
            </w:r>
          </w:p>
          <w:p w14:paraId="59D6169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potrošački krediti;</w:t>
            </w:r>
          </w:p>
          <w:p w14:paraId="052DE92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krediti MSP-ovima (koji se tretiraju kao stanovništvo);</w:t>
            </w:r>
          </w:p>
          <w:p w14:paraId="4D56B438"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ostale izloženosti prema stanovništvu.</w:t>
            </w:r>
          </w:p>
          <w:p w14:paraId="124C988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Veliki klijenti:</w:t>
            </w:r>
          </w:p>
          <w:p w14:paraId="22523AE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poslovne nekretnine; </w:t>
            </w:r>
          </w:p>
          <w:p w14:paraId="47A9B45C"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najam; </w:t>
            </w:r>
          </w:p>
          <w:p w14:paraId="54791978"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krediti trgovačkim društvima;</w:t>
            </w:r>
          </w:p>
          <w:p w14:paraId="44D2E796"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krediti MSP-ovima (koji se tretiraju kao trgovačka društva); </w:t>
            </w:r>
          </w:p>
          <w:p w14:paraId="6A0B3AE8"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potraživanja od kupaca;</w:t>
            </w:r>
          </w:p>
          <w:p w14:paraId="4BDFD92E"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ostale izloženosti prema velikim klijentima. </w:t>
            </w:r>
          </w:p>
          <w:p w14:paraId="659BA010"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lastRenderedPageBreak/>
              <w:t>Obveze:</w:t>
            </w:r>
          </w:p>
          <w:p w14:paraId="400C935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pokrivene obveznice;</w:t>
            </w:r>
          </w:p>
          <w:p w14:paraId="3D7C9737"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ostale obveze.</w:t>
            </w:r>
          </w:p>
          <w:p w14:paraId="6FC1FE6E"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A30C4C"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Ako je skup </w:t>
            </w:r>
            <w:proofErr w:type="spellStart"/>
            <w:r>
              <w:rPr>
                <w:rFonts w:ascii="Times New Roman" w:hAnsi="Times New Roman"/>
                <w:sz w:val="24"/>
              </w:rPr>
              <w:t>sekuritiziranih</w:t>
            </w:r>
            <w:proofErr w:type="spellEnd"/>
            <w:r>
              <w:rPr>
                <w:rFonts w:ascii="Times New Roman" w:hAnsi="Times New Roman"/>
                <w:sz w:val="24"/>
              </w:rPr>
              <w:t xml:space="preserve"> izloženosti kombinacija prethodno navedenih vrsta, institucija navodi najvažniju vrstu. U slučaju </w:t>
            </w:r>
            <w:proofErr w:type="spellStart"/>
            <w:r>
              <w:rPr>
                <w:rFonts w:ascii="Times New Roman" w:hAnsi="Times New Roman"/>
                <w:sz w:val="24"/>
              </w:rPr>
              <w:t>resekuritizacija</w:t>
            </w:r>
            <w:proofErr w:type="spellEnd"/>
            <w:r>
              <w:rPr>
                <w:rFonts w:ascii="Times New Roman" w:hAnsi="Times New Roman"/>
                <w:sz w:val="24"/>
              </w:rPr>
              <w:t xml:space="preserve"> institucija navodi krajnji odnosni skup imovine. Vrsta „ostale obveze” uključuje trezorske zapise i kreditne zapise.</w:t>
            </w:r>
          </w:p>
          <w:p w14:paraId="4EB15AE2" w14:textId="77777777" w:rsidR="00C55547" w:rsidRPr="00A30C4C" w:rsidRDefault="00C55547" w:rsidP="00E10B85">
            <w:pPr>
              <w:autoSpaceDE w:val="0"/>
              <w:autoSpaceDN w:val="0"/>
              <w:adjustRightInd w:val="0"/>
              <w:spacing w:before="0" w:after="0"/>
              <w:rPr>
                <w:rFonts w:ascii="Times New Roman" w:hAnsi="Times New Roman"/>
                <w:sz w:val="24"/>
              </w:rPr>
            </w:pPr>
          </w:p>
          <w:p w14:paraId="04F8790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 </w:t>
            </w:r>
            <w:proofErr w:type="spellStart"/>
            <w:r>
              <w:rPr>
                <w:rFonts w:ascii="Times New Roman" w:hAnsi="Times New Roman"/>
                <w:sz w:val="24"/>
              </w:rPr>
              <w:t>sekuritizacijske</w:t>
            </w:r>
            <w:proofErr w:type="spellEnd"/>
            <w:r>
              <w:rPr>
                <w:rFonts w:ascii="Times New Roman" w:hAnsi="Times New Roman"/>
                <w:sz w:val="24"/>
              </w:rPr>
              <w:t xml:space="preserve"> strukture osigurane zatvorenim skupovima vrsta se ne može mijenjati između izvještajnih datuma.</w:t>
            </w:r>
          </w:p>
          <w:p w14:paraId="4B46E89D"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646A03A8" w14:textId="77777777" w:rsidTr="00E10B85">
        <w:tc>
          <w:tcPr>
            <w:tcW w:w="1101" w:type="dxa"/>
          </w:tcPr>
          <w:p w14:paraId="6B28F911"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171</w:t>
            </w:r>
          </w:p>
        </w:tc>
        <w:tc>
          <w:tcPr>
            <w:tcW w:w="7903" w:type="dxa"/>
          </w:tcPr>
          <w:p w14:paraId="1DE803A1"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IRB-a U PRIMIJENJENOM PRISTUPU</w:t>
            </w:r>
          </w:p>
          <w:p w14:paraId="68DFF41A" w14:textId="77777777" w:rsidR="00C55547" w:rsidRPr="00A30C4C" w:rsidRDefault="00C55547" w:rsidP="00E10B85">
            <w:pPr>
              <w:spacing w:before="0" w:after="0"/>
              <w:jc w:val="left"/>
              <w:rPr>
                <w:rFonts w:ascii="Times New Roman" w:hAnsi="Times New Roman"/>
                <w:sz w:val="24"/>
              </w:rPr>
            </w:pPr>
          </w:p>
          <w:p w14:paraId="72A4879F"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prikupljaju informacije o pristupu/pristupima koje bi institucija na izvještajni datum primijenila na </w:t>
            </w:r>
            <w:proofErr w:type="spellStart"/>
            <w:r>
              <w:rPr>
                <w:rFonts w:ascii="Times New Roman" w:hAnsi="Times New Roman"/>
                <w:sz w:val="24"/>
              </w:rPr>
              <w:t>sekuritizirane</w:t>
            </w:r>
            <w:proofErr w:type="spellEnd"/>
            <w:r>
              <w:rPr>
                <w:rFonts w:ascii="Times New Roman" w:hAnsi="Times New Roman"/>
                <w:sz w:val="24"/>
              </w:rPr>
              <w:t xml:space="preserve"> izloženosti.</w:t>
            </w:r>
          </w:p>
          <w:p w14:paraId="2CF3DA78"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Institucije iskazuju postotak </w:t>
            </w:r>
            <w:proofErr w:type="spellStart"/>
            <w:r>
              <w:rPr>
                <w:rFonts w:ascii="Times New Roman" w:hAnsi="Times New Roman"/>
                <w:sz w:val="24"/>
              </w:rPr>
              <w:t>sekuritiziranih</w:t>
            </w:r>
            <w:proofErr w:type="spellEnd"/>
            <w:r>
              <w:rPr>
                <w:rFonts w:ascii="Times New Roman" w:hAnsi="Times New Roman"/>
                <w:sz w:val="24"/>
              </w:rPr>
              <w:t xml:space="preserve"> izloženosti, mjereno prema vrijednosti izloženosti, na koje se primjenjuje pristup zasnovan na rejting sustavima na izvještajni datum. </w:t>
            </w:r>
          </w:p>
          <w:p w14:paraId="01B6063E" w14:textId="77777777" w:rsidR="00C55547" w:rsidRPr="00A30C4C" w:rsidRDefault="00C55547" w:rsidP="00E10B85">
            <w:pPr>
              <w:autoSpaceDE w:val="0"/>
              <w:autoSpaceDN w:val="0"/>
              <w:adjustRightInd w:val="0"/>
              <w:spacing w:before="0" w:after="0"/>
              <w:rPr>
                <w:rFonts w:ascii="Times New Roman" w:hAnsi="Times New Roman"/>
                <w:sz w:val="24"/>
              </w:rPr>
            </w:pPr>
          </w:p>
          <w:p w14:paraId="3F1A2C26" w14:textId="0AF4E503"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Međutim, ovaj se stupac ne primjenjuje na </w:t>
            </w:r>
            <w:proofErr w:type="spellStart"/>
            <w:r>
              <w:rPr>
                <w:rFonts w:ascii="Times New Roman" w:hAnsi="Times New Roman"/>
                <w:sz w:val="24"/>
              </w:rPr>
              <w:t>sekuritizacije</w:t>
            </w:r>
            <w:proofErr w:type="spellEnd"/>
            <w:r>
              <w:rPr>
                <w:rFonts w:ascii="Times New Roman" w:hAnsi="Times New Roman"/>
                <w:sz w:val="24"/>
              </w:rPr>
              <w:t xml:space="preserve"> obveza. </w:t>
            </w:r>
          </w:p>
          <w:p w14:paraId="6A1C8D6A"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6E9ED292" w14:textId="77777777" w:rsidTr="00E10B85">
        <w:tc>
          <w:tcPr>
            <w:tcW w:w="1101" w:type="dxa"/>
          </w:tcPr>
          <w:p w14:paraId="521B304D"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180</w:t>
            </w:r>
          </w:p>
        </w:tc>
        <w:tc>
          <w:tcPr>
            <w:tcW w:w="7903" w:type="dxa"/>
            <w:shd w:val="clear" w:color="auto" w:fill="auto"/>
          </w:tcPr>
          <w:p w14:paraId="7818E5D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BROJ IZLOŽENOSTI</w:t>
            </w:r>
          </w:p>
          <w:p w14:paraId="6E376510" w14:textId="77777777" w:rsidR="00C55547" w:rsidRPr="00A30C4C" w:rsidRDefault="00C55547" w:rsidP="00E10B85">
            <w:pPr>
              <w:spacing w:before="0" w:after="0"/>
              <w:jc w:val="left"/>
              <w:rPr>
                <w:rFonts w:ascii="Times New Roman" w:hAnsi="Times New Roman"/>
                <w:sz w:val="24"/>
              </w:rPr>
            </w:pPr>
          </w:p>
          <w:p w14:paraId="5E2D1AE9" w14:textId="70024D4C"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Članak 259. stavak 4. CRR-a</w:t>
            </w:r>
          </w:p>
          <w:p w14:paraId="036E3F7B"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Ovaj je stupac obvezan samo za institucije koje koriste SEC-IRBA pristup </w:t>
            </w:r>
            <w:proofErr w:type="spellStart"/>
            <w:r>
              <w:rPr>
                <w:rFonts w:ascii="Times New Roman" w:hAnsi="Times New Roman"/>
                <w:sz w:val="24"/>
              </w:rPr>
              <w:t>sekuritizacijskim</w:t>
            </w:r>
            <w:proofErr w:type="spellEnd"/>
            <w:r>
              <w:rPr>
                <w:rFonts w:ascii="Times New Roman" w:hAnsi="Times New Roman"/>
                <w:sz w:val="24"/>
              </w:rPr>
              <w:t xml:space="preserve"> pozicijama (i, stoga, iskazuju više od 95 % u stupcu 171). Institucija iskazuje efektivni broj izloženosti.</w:t>
            </w:r>
          </w:p>
          <w:p w14:paraId="291C831D" w14:textId="235C5911" w:rsidR="00C55547" w:rsidRPr="00A30C4C"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ako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 Ovaj se stupac ne iskazuje ako institucija koja izvješćuje ne drži nikakve pozicije u </w:t>
            </w:r>
            <w:proofErr w:type="spellStart"/>
            <w:r>
              <w:rPr>
                <w:rFonts w:ascii="Times New Roman" w:hAnsi="Times New Roman"/>
                <w:sz w:val="24"/>
              </w:rPr>
              <w:t>sekuritizaciji</w:t>
            </w:r>
            <w:proofErr w:type="spellEnd"/>
            <w:r>
              <w:rPr>
                <w:rFonts w:ascii="Times New Roman" w:hAnsi="Times New Roman"/>
                <w:sz w:val="24"/>
              </w:rPr>
              <w:t>. Ovaj stupac ne iskazuju investitori.</w:t>
            </w:r>
          </w:p>
          <w:p w14:paraId="0E1FA237"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6B1AC828" w14:textId="77777777" w:rsidTr="00E10B85">
        <w:tc>
          <w:tcPr>
            <w:tcW w:w="1101" w:type="dxa"/>
            <w:shd w:val="clear" w:color="auto" w:fill="auto"/>
          </w:tcPr>
          <w:p w14:paraId="5E012CE3"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181</w:t>
            </w:r>
          </w:p>
        </w:tc>
        <w:tc>
          <w:tcPr>
            <w:tcW w:w="7903" w:type="dxa"/>
            <w:shd w:val="clear" w:color="auto" w:fill="auto"/>
          </w:tcPr>
          <w:p w14:paraId="6E23F86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IZLOŽENOSTI SA STATUSOM NEISPUNJAVANJA OBVEZA „W” (%)</w:t>
            </w:r>
          </w:p>
          <w:p w14:paraId="74FE4004" w14:textId="77777777" w:rsidR="00C55547" w:rsidRPr="00A30C4C" w:rsidRDefault="00C55547" w:rsidP="00E10B85">
            <w:pPr>
              <w:spacing w:before="0" w:after="0"/>
              <w:jc w:val="left"/>
              <w:rPr>
                <w:rFonts w:ascii="Times New Roman" w:hAnsi="Times New Roman"/>
                <w:b/>
                <w:sz w:val="24"/>
                <w:u w:val="single"/>
              </w:rPr>
            </w:pPr>
          </w:p>
          <w:p w14:paraId="58EAD229" w14:textId="384C4B6A" w:rsidR="00C55547" w:rsidRPr="00A30C4C" w:rsidRDefault="00C55547" w:rsidP="00E10B85">
            <w:pPr>
              <w:spacing w:before="0" w:after="0"/>
              <w:jc w:val="left"/>
              <w:rPr>
                <w:rFonts w:ascii="Times New Roman" w:hAnsi="Times New Roman"/>
                <w:sz w:val="24"/>
              </w:rPr>
            </w:pPr>
            <w:r>
              <w:rPr>
                <w:rFonts w:ascii="Times New Roman" w:hAnsi="Times New Roman"/>
                <w:sz w:val="24"/>
              </w:rPr>
              <w:t>Članak 261. stavak 2. CRR-a</w:t>
            </w:r>
          </w:p>
          <w:p w14:paraId="438D60B6" w14:textId="77777777" w:rsidR="00C55547" w:rsidRPr="00A30C4C" w:rsidRDefault="00C55547" w:rsidP="00E10B85">
            <w:pPr>
              <w:spacing w:before="0" w:after="0"/>
              <w:jc w:val="left"/>
              <w:rPr>
                <w:rFonts w:ascii="Times New Roman" w:hAnsi="Times New Roman"/>
                <w:sz w:val="24"/>
              </w:rPr>
            </w:pPr>
          </w:p>
          <w:p w14:paraId="21C3FC96" w14:textId="360E679D"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Čak i ako institucija ne primjenjuje pristup SEC-SA na </w:t>
            </w:r>
            <w:proofErr w:type="spellStart"/>
            <w:r>
              <w:rPr>
                <w:rFonts w:ascii="Times New Roman" w:hAnsi="Times New Roman"/>
                <w:sz w:val="24"/>
              </w:rPr>
              <w:t>sekuritizacijske</w:t>
            </w:r>
            <w:proofErr w:type="spellEnd"/>
            <w:r>
              <w:rPr>
                <w:rFonts w:ascii="Times New Roman" w:hAnsi="Times New Roman"/>
                <w:sz w:val="24"/>
              </w:rPr>
              <w:t xml:space="preserve"> pozicije, institucija iskazuje faktor „W” (koji se odnosi na odnosne izloženosti sa statusom neispunjavanja obveza) koji se izračunava kako je navedeno u članku 261. stavku 2. CRR-a. </w:t>
            </w:r>
          </w:p>
          <w:p w14:paraId="76BDD17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730B382C" w14:textId="77777777" w:rsidTr="00E10B85">
        <w:tc>
          <w:tcPr>
            <w:tcW w:w="1101" w:type="dxa"/>
            <w:shd w:val="clear" w:color="auto" w:fill="auto"/>
          </w:tcPr>
          <w:p w14:paraId="7D7D8A42" w14:textId="77777777" w:rsidR="00C55547" w:rsidRPr="00A30C4C" w:rsidDel="00A749EA"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190</w:t>
            </w:r>
          </w:p>
        </w:tc>
        <w:tc>
          <w:tcPr>
            <w:tcW w:w="7903" w:type="dxa"/>
            <w:shd w:val="clear" w:color="auto" w:fill="auto"/>
          </w:tcPr>
          <w:p w14:paraId="542DFD30"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ZEMLJA</w:t>
            </w:r>
          </w:p>
          <w:p w14:paraId="0356F3FB" w14:textId="77777777" w:rsidR="00C55547" w:rsidRPr="00A30C4C" w:rsidRDefault="00C55547" w:rsidP="00E10B85">
            <w:pPr>
              <w:spacing w:before="0" w:after="0"/>
              <w:jc w:val="left"/>
              <w:rPr>
                <w:rFonts w:ascii="Times New Roman" w:hAnsi="Times New Roman"/>
                <w:sz w:val="24"/>
              </w:rPr>
            </w:pPr>
          </w:p>
          <w:p w14:paraId="39DA99FC" w14:textId="4B2CF478" w:rsidR="00C55547" w:rsidRPr="00A30C4C" w:rsidRDefault="00EE2BEA" w:rsidP="00E10B85">
            <w:pPr>
              <w:spacing w:before="0" w:after="0"/>
              <w:rPr>
                <w:rFonts w:ascii="Times New Roman" w:hAnsi="Times New Roman"/>
                <w:sz w:val="24"/>
              </w:rPr>
            </w:pPr>
            <w:r>
              <w:rPr>
                <w:rFonts w:ascii="Times New Roman" w:hAnsi="Times New Roman"/>
                <w:sz w:val="24"/>
              </w:rPr>
              <w:lastRenderedPageBreak/>
              <w:t xml:space="preserve">Institucije iskazuju oznaku (ISO 3166-1 alpha-2) matične države krajnjeg odnosnog instrumenta transakcije, tj. zemlje neposrednog dužnika originalnih </w:t>
            </w:r>
            <w:proofErr w:type="spellStart"/>
            <w:r>
              <w:rPr>
                <w:rFonts w:ascii="Times New Roman" w:hAnsi="Times New Roman"/>
                <w:sz w:val="24"/>
              </w:rPr>
              <w:t>sekuritiziranih</w:t>
            </w:r>
            <w:proofErr w:type="spellEnd"/>
            <w:r>
              <w:rPr>
                <w:rFonts w:ascii="Times New Roman" w:hAnsi="Times New Roman"/>
                <w:sz w:val="24"/>
              </w:rPr>
              <w:t xml:space="preserve"> izloženosti (odnosne izloženosti). Ako skup </w:t>
            </w:r>
            <w:proofErr w:type="spellStart"/>
            <w:r>
              <w:rPr>
                <w:rFonts w:ascii="Times New Roman" w:hAnsi="Times New Roman"/>
                <w:sz w:val="24"/>
              </w:rPr>
              <w:t>sekuritizacije</w:t>
            </w:r>
            <w:proofErr w:type="spellEnd"/>
            <w:r>
              <w:rPr>
                <w:rFonts w:ascii="Times New Roman" w:hAnsi="Times New Roman"/>
                <w:sz w:val="24"/>
              </w:rPr>
              <w:t xml:space="preserve"> čine različite zemlje, institucija navodi najvažniju zemlju. Ako nijedna zemlja ne prelazi prag od 20 % na temelju iznosa imovine/obveza, iskazuje se „ostale zemlje”.</w:t>
            </w:r>
          </w:p>
          <w:p w14:paraId="12521C0F" w14:textId="77777777" w:rsidR="00C55547" w:rsidRPr="00A30C4C" w:rsidRDefault="00C55547" w:rsidP="00E10B85">
            <w:pPr>
              <w:spacing w:before="0" w:after="0"/>
              <w:rPr>
                <w:rFonts w:ascii="Times New Roman" w:hAnsi="Times New Roman"/>
                <w:sz w:val="24"/>
              </w:rPr>
            </w:pPr>
          </w:p>
        </w:tc>
      </w:tr>
      <w:tr w:rsidR="00C55547" w:rsidRPr="00A30C4C" w14:paraId="3BEDBFD7" w14:textId="77777777" w:rsidTr="00E10B85">
        <w:tc>
          <w:tcPr>
            <w:tcW w:w="1101" w:type="dxa"/>
          </w:tcPr>
          <w:p w14:paraId="1076F031"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lastRenderedPageBreak/>
              <w:t>201</w:t>
            </w:r>
          </w:p>
        </w:tc>
        <w:tc>
          <w:tcPr>
            <w:tcW w:w="7903" w:type="dxa"/>
          </w:tcPr>
          <w:p w14:paraId="3DE9332F"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14:paraId="365D726F" w14:textId="77777777" w:rsidR="00C55547" w:rsidRPr="00A30C4C" w:rsidRDefault="00C55547" w:rsidP="00E10B85">
            <w:pPr>
              <w:spacing w:before="0" w:after="0"/>
              <w:jc w:val="left"/>
              <w:rPr>
                <w:rFonts w:ascii="Times New Roman" w:hAnsi="Times New Roman"/>
                <w:sz w:val="24"/>
              </w:rPr>
            </w:pPr>
          </w:p>
          <w:p w14:paraId="39FBD66E" w14:textId="16AB6E4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Prosječni gubitak zbog nastanka statusa neispunjavanja obveza (LGD) ponderiran visinom izloženosti iskazuju samo institucije koje primjenjuju pristup SEC-IRBA (i, stoga, iskazuju 95 % ili više u stupcu 170). LGD se izračunava kako je navedeno u članku 259. stavku 5. CRR-a. </w:t>
            </w:r>
          </w:p>
          <w:p w14:paraId="0D5E0617" w14:textId="49B21C44"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ako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 </w:t>
            </w:r>
          </w:p>
          <w:p w14:paraId="6B1C68CF" w14:textId="77777777" w:rsidR="00C55547" w:rsidRPr="00A30C4C" w:rsidRDefault="00C55547" w:rsidP="00E10B85">
            <w:pPr>
              <w:spacing w:before="0" w:after="0"/>
              <w:jc w:val="left"/>
              <w:rPr>
                <w:rFonts w:ascii="Times New Roman" w:hAnsi="Times New Roman"/>
                <w:sz w:val="24"/>
              </w:rPr>
            </w:pPr>
          </w:p>
        </w:tc>
      </w:tr>
      <w:tr w:rsidR="00C55547" w:rsidRPr="00A30C4C" w14:paraId="1293712A" w14:textId="77777777" w:rsidTr="00E10B85">
        <w:tc>
          <w:tcPr>
            <w:tcW w:w="1101" w:type="dxa"/>
          </w:tcPr>
          <w:p w14:paraId="2AE571A6"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202</w:t>
            </w:r>
          </w:p>
        </w:tc>
        <w:tc>
          <w:tcPr>
            <w:tcW w:w="7903" w:type="dxa"/>
          </w:tcPr>
          <w:p w14:paraId="3F45BF47"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14:paraId="71C7D5B1" w14:textId="77777777" w:rsidR="00C55547" w:rsidRPr="00A30C4C" w:rsidRDefault="00C55547" w:rsidP="00E10B85">
            <w:pPr>
              <w:spacing w:before="0" w:after="0"/>
              <w:jc w:val="left"/>
              <w:rPr>
                <w:rFonts w:ascii="Times New Roman" w:hAnsi="Times New Roman"/>
                <w:b/>
                <w:sz w:val="24"/>
                <w:u w:val="single"/>
              </w:rPr>
            </w:pPr>
          </w:p>
          <w:p w14:paraId="1A5DCB68" w14:textId="6EDABEF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Prosječni očekivani gubitak (EL) ponderiran visinom izloženosti </w:t>
            </w:r>
            <w:proofErr w:type="spellStart"/>
            <w:r>
              <w:rPr>
                <w:rFonts w:ascii="Times New Roman" w:hAnsi="Times New Roman"/>
                <w:sz w:val="24"/>
              </w:rPr>
              <w:t>sekuritizirane</w:t>
            </w:r>
            <w:proofErr w:type="spellEnd"/>
            <w:r>
              <w:rPr>
                <w:rFonts w:ascii="Times New Roman" w:hAnsi="Times New Roman"/>
                <w:sz w:val="24"/>
              </w:rPr>
              <w:t xml:space="preserve"> imovine iskazuju samo institucije koje primjenjuju pristup SEC-IRBA (i, stoga, iskazuju 95 % ili više u stupcu 171). U slučaju </w:t>
            </w:r>
            <w:proofErr w:type="spellStart"/>
            <w:r>
              <w:rPr>
                <w:rFonts w:ascii="Times New Roman" w:hAnsi="Times New Roman"/>
                <w:sz w:val="24"/>
              </w:rPr>
              <w:t>sekuritizirane</w:t>
            </w:r>
            <w:proofErr w:type="spellEnd"/>
            <w:r>
              <w:rPr>
                <w:rFonts w:ascii="Times New Roman" w:hAnsi="Times New Roman"/>
                <w:sz w:val="24"/>
              </w:rPr>
              <w:t xml:space="preserve"> imovine u skladu sa standardiziranim pristupom, iskazani EL je specifični ispravak vrijednosti za kreditni rizik iz članka 111, CRR-a. EL se izračunava kako je navedeno u dijelu trećem glavi II. poglavlju 3. odjeljku 3. CRR-a. 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kada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w:t>
            </w:r>
          </w:p>
          <w:p w14:paraId="1B51220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CA50EAA" w14:textId="77777777" w:rsidTr="00E10B85">
        <w:tc>
          <w:tcPr>
            <w:tcW w:w="1101" w:type="dxa"/>
          </w:tcPr>
          <w:p w14:paraId="3D690D15"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203</w:t>
            </w:r>
          </w:p>
        </w:tc>
        <w:tc>
          <w:tcPr>
            <w:tcW w:w="7903" w:type="dxa"/>
          </w:tcPr>
          <w:p w14:paraId="0227BAA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14:paraId="49300184" w14:textId="77777777" w:rsidR="00C55547" w:rsidRPr="00A30C4C" w:rsidRDefault="00C55547" w:rsidP="00E10B85">
            <w:pPr>
              <w:spacing w:before="0" w:after="0"/>
              <w:jc w:val="left"/>
              <w:rPr>
                <w:rFonts w:ascii="Times New Roman" w:hAnsi="Times New Roman"/>
                <w:b/>
                <w:sz w:val="24"/>
                <w:u w:val="single"/>
              </w:rPr>
            </w:pPr>
          </w:p>
          <w:p w14:paraId="51B6F9EC" w14:textId="33098531"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Prosječni neočekivani gubitak (UL) ponderiran visinom izloženosti </w:t>
            </w:r>
            <w:proofErr w:type="spellStart"/>
            <w:r>
              <w:rPr>
                <w:rFonts w:ascii="Times New Roman" w:hAnsi="Times New Roman"/>
                <w:sz w:val="24"/>
              </w:rPr>
              <w:t>sekuritizirane</w:t>
            </w:r>
            <w:proofErr w:type="spellEnd"/>
            <w:r>
              <w:rPr>
                <w:rFonts w:ascii="Times New Roman" w:hAnsi="Times New Roman"/>
                <w:sz w:val="24"/>
              </w:rPr>
              <w:t xml:space="preserve"> imovine iskazuju samo institucije koje primjenjuju pristup SEC-IRBA (i, stoga, iskazuju 95 % ili više u stupcu 170). UL imovine jednak je iznosu izloženosti ponderiranih rizikom (RWEA) pomnoženom s 8 %. RWEA se izračunava kako je navedeno u dijelu trećem glavi II. poglavlju 3. odjeljku 2. CRR-a. 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ili kada se kapitalni zahtjevi temelje na </w:t>
            </w:r>
            <w:proofErr w:type="spellStart"/>
            <w:r>
              <w:rPr>
                <w:rFonts w:ascii="Times New Roman" w:hAnsi="Times New Roman"/>
                <w:sz w:val="24"/>
              </w:rPr>
              <w:t>sekuritiziranim</w:t>
            </w:r>
            <w:proofErr w:type="spellEnd"/>
            <w:r>
              <w:rPr>
                <w:rFonts w:ascii="Times New Roman" w:hAnsi="Times New Roman"/>
                <w:sz w:val="24"/>
              </w:rPr>
              <w:t xml:space="preserve"> izloženostima (u slučaju </w:t>
            </w:r>
            <w:proofErr w:type="spellStart"/>
            <w:r>
              <w:rPr>
                <w:rFonts w:ascii="Times New Roman" w:hAnsi="Times New Roman"/>
                <w:sz w:val="24"/>
              </w:rPr>
              <w:t>sekuritizacije</w:t>
            </w:r>
            <w:proofErr w:type="spellEnd"/>
            <w:r>
              <w:rPr>
                <w:rFonts w:ascii="Times New Roman" w:hAnsi="Times New Roman"/>
                <w:sz w:val="24"/>
              </w:rPr>
              <w:t xml:space="preserve"> imovine).</w:t>
            </w:r>
          </w:p>
          <w:p w14:paraId="739EC2D3"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7F4B9387" w14:textId="77777777" w:rsidTr="00E10B85">
        <w:tc>
          <w:tcPr>
            <w:tcW w:w="1101" w:type="dxa"/>
          </w:tcPr>
          <w:p w14:paraId="53306CE5"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204</w:t>
            </w:r>
          </w:p>
        </w:tc>
        <w:tc>
          <w:tcPr>
            <w:tcW w:w="7903" w:type="dxa"/>
          </w:tcPr>
          <w:p w14:paraId="03CE5E91"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PROSJEČNO DOSPIJEĆE IMOVINE PONDERIRANO IZNOSOM IZLOŽENOSTI</w:t>
            </w:r>
          </w:p>
          <w:p w14:paraId="1F0E9E32" w14:textId="77777777" w:rsidR="00C55547" w:rsidRPr="00A30C4C" w:rsidRDefault="00C55547" w:rsidP="00E10B85">
            <w:pPr>
              <w:spacing w:before="0" w:after="0"/>
              <w:jc w:val="left"/>
              <w:rPr>
                <w:rFonts w:ascii="Times New Roman" w:hAnsi="Times New Roman"/>
                <w:b/>
                <w:sz w:val="24"/>
                <w:u w:val="single"/>
              </w:rPr>
            </w:pPr>
          </w:p>
          <w:p w14:paraId="0ED79C83" w14:textId="4174ECE7" w:rsidR="00C55547" w:rsidRPr="00A30C4C" w:rsidRDefault="00C55547" w:rsidP="00E10B85">
            <w:pPr>
              <w:spacing w:before="0" w:after="0"/>
              <w:jc w:val="left"/>
              <w:rPr>
                <w:rFonts w:ascii="Times New Roman" w:hAnsi="Times New Roman"/>
                <w:b/>
                <w:sz w:val="24"/>
                <w:u w:val="single"/>
              </w:rPr>
            </w:pPr>
            <w:r>
              <w:rPr>
                <w:rFonts w:ascii="Times New Roman" w:hAnsi="Times New Roman"/>
                <w:sz w:val="24"/>
              </w:rPr>
              <w:t xml:space="preserve">Prosječno dospijeće ponderirano iznosom izloženosti </w:t>
            </w:r>
            <w:proofErr w:type="spellStart"/>
            <w:r>
              <w:rPr>
                <w:rFonts w:ascii="Times New Roman" w:hAnsi="Times New Roman"/>
                <w:sz w:val="24"/>
              </w:rPr>
              <w:t>sekuritizirane</w:t>
            </w:r>
            <w:proofErr w:type="spellEnd"/>
            <w:r>
              <w:rPr>
                <w:rFonts w:ascii="Times New Roman" w:hAnsi="Times New Roman"/>
                <w:sz w:val="24"/>
              </w:rPr>
              <w:t xml:space="preserve"> imovine na izvještajni datum iskazuju sve institucije neovisno o pristupu koji se primjenjuje za izračun kapitalnih zahtjeva. Institucije izračunavaju dospijeće za svu imovinu kako je navedeno u članku 162. stavku 2. točkama (a) i (f) CRR-a, ne primjenjujući gornju granicu od pet godina.</w:t>
            </w:r>
          </w:p>
          <w:p w14:paraId="009C17D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1C4B4B4" w14:textId="77777777" w:rsidTr="00E10B85">
        <w:tc>
          <w:tcPr>
            <w:tcW w:w="1101" w:type="dxa"/>
          </w:tcPr>
          <w:p w14:paraId="1167AEFD"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210</w:t>
            </w:r>
          </w:p>
        </w:tc>
        <w:tc>
          <w:tcPr>
            <w:tcW w:w="7903" w:type="dxa"/>
          </w:tcPr>
          <w:p w14:paraId="51B0D230"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VRIJEDNOSNA USKLAĐENJA I REZERVACIJE</w:t>
            </w:r>
          </w:p>
          <w:p w14:paraId="077C50B6" w14:textId="77777777" w:rsidR="00C55547" w:rsidRPr="00A30C4C" w:rsidRDefault="00C55547" w:rsidP="00E10B85">
            <w:pPr>
              <w:spacing w:before="0" w:after="0"/>
              <w:jc w:val="left"/>
              <w:rPr>
                <w:rFonts w:ascii="Times New Roman" w:hAnsi="Times New Roman"/>
                <w:sz w:val="24"/>
              </w:rPr>
            </w:pPr>
          </w:p>
          <w:p w14:paraId="4730FE5B" w14:textId="0F296EEF"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Vrijednosna usklađenja i rezervacije (članak 159. CRR-a) za gubitke po kreditu u skladu s računovodstvenim okvirom koji se primjenjuje na subjekt koji izvješćuje. Vrijednosna usklađenja uključuju svaki iznos priznat u dobiti ili gubitku za kreditne gubitke na osnovi financijske imovine od njihova početnog priznavanja u bilanci (uključujući gubitke na temelju kreditnog rizika financijske imovine koja se mjeri po fer vrijednosti koji se ne odbijaju od vrijednosti izloženosti) uvećan za diskonte na otkupljenu imovinu u statusu neispunjavanja obveza iz članka 166. stavka 1. CRR-a. Rezervacije uključuju akumulirane iznose gubitaka po kreditu u </w:t>
            </w:r>
            <w:proofErr w:type="spellStart"/>
            <w:r>
              <w:rPr>
                <w:rFonts w:ascii="Times New Roman" w:hAnsi="Times New Roman"/>
                <w:sz w:val="24"/>
              </w:rPr>
              <w:t>izvanbilančnim</w:t>
            </w:r>
            <w:proofErr w:type="spellEnd"/>
            <w:r>
              <w:rPr>
                <w:rFonts w:ascii="Times New Roman" w:hAnsi="Times New Roman"/>
                <w:sz w:val="24"/>
              </w:rPr>
              <w:t xml:space="preserve"> stavkama.</w:t>
            </w:r>
          </w:p>
          <w:p w14:paraId="3D9AB14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stupcu prikupljaju informacije o vrijednosnim usklađenjima i rezervacijama koje se primjenjuju na </w:t>
            </w:r>
            <w:proofErr w:type="spellStart"/>
            <w:r>
              <w:rPr>
                <w:rFonts w:ascii="Times New Roman" w:hAnsi="Times New Roman"/>
                <w:sz w:val="24"/>
              </w:rPr>
              <w:t>sekuritizirane</w:t>
            </w:r>
            <w:proofErr w:type="spellEnd"/>
            <w:r>
              <w:rPr>
                <w:rFonts w:ascii="Times New Roman" w:hAnsi="Times New Roman"/>
                <w:sz w:val="24"/>
              </w:rPr>
              <w:t xml:space="preserve"> izloženosti. 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w:t>
            </w:r>
          </w:p>
          <w:p w14:paraId="23322D28" w14:textId="77777777" w:rsidR="00C55547" w:rsidRPr="00A30C4C" w:rsidRDefault="00C55547" w:rsidP="00E10B85">
            <w:pPr>
              <w:autoSpaceDE w:val="0"/>
              <w:autoSpaceDN w:val="0"/>
              <w:adjustRightInd w:val="0"/>
              <w:spacing w:before="0" w:after="0"/>
              <w:rPr>
                <w:rFonts w:ascii="Times New Roman" w:hAnsi="Times New Roman"/>
                <w:sz w:val="24"/>
              </w:rPr>
            </w:pPr>
          </w:p>
          <w:p w14:paraId="56FB1A97" w14:textId="43918AEF"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w:t>
            </w:r>
          </w:p>
          <w:p w14:paraId="7A38027F" w14:textId="77777777" w:rsidR="00C55547" w:rsidRPr="00A30C4C" w:rsidRDefault="00C55547" w:rsidP="00E10B85">
            <w:pPr>
              <w:autoSpaceDE w:val="0"/>
              <w:autoSpaceDN w:val="0"/>
              <w:adjustRightInd w:val="0"/>
              <w:spacing w:before="0" w:after="0"/>
              <w:rPr>
                <w:rFonts w:ascii="Times New Roman" w:hAnsi="Times New Roman"/>
                <w:sz w:val="24"/>
              </w:rPr>
            </w:pPr>
          </w:p>
        </w:tc>
      </w:tr>
      <w:tr w:rsidR="00C55547" w:rsidRPr="00A30C4C" w14:paraId="557AB33B" w14:textId="77777777" w:rsidTr="00E10B85">
        <w:tc>
          <w:tcPr>
            <w:tcW w:w="1101" w:type="dxa"/>
          </w:tcPr>
          <w:p w14:paraId="02552CE5"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221</w:t>
            </w:r>
          </w:p>
        </w:tc>
        <w:tc>
          <w:tcPr>
            <w:tcW w:w="7903" w:type="dxa"/>
          </w:tcPr>
          <w:p w14:paraId="18A7F5F5" w14:textId="77777777" w:rsidR="00C55547" w:rsidRPr="00A30C4C"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KAPITALNI ZAHTJEVI PRIJE SEKURITIZACIJE (%) K</w:t>
            </w:r>
            <w:r>
              <w:rPr>
                <w:rFonts w:ascii="Times New Roman" w:hAnsi="Times New Roman"/>
                <w:b/>
                <w:sz w:val="24"/>
                <w:u w:val="single"/>
                <w:vertAlign w:val="subscript"/>
              </w:rPr>
              <w:t>IRB</w:t>
            </w:r>
          </w:p>
          <w:p w14:paraId="7E936449" w14:textId="77777777" w:rsidR="00C55547" w:rsidRPr="00A30C4C" w:rsidRDefault="00C55547" w:rsidP="00E10B85">
            <w:pPr>
              <w:spacing w:before="0" w:after="0"/>
              <w:jc w:val="left"/>
              <w:rPr>
                <w:rFonts w:ascii="Times New Roman" w:hAnsi="Times New Roman"/>
                <w:sz w:val="24"/>
              </w:rPr>
            </w:pPr>
          </w:p>
          <w:p w14:paraId="777B42C5" w14:textId="39E8E67B"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Ovaj stupac iskazuju samo institucije koje primjenjuju pristup SEC-IRBA (i, stoga, iskazuju 95 % ili više u stupcu 171) i navode se informacije o K</w:t>
            </w:r>
            <w:r>
              <w:rPr>
                <w:rFonts w:ascii="Times New Roman" w:hAnsi="Times New Roman"/>
                <w:sz w:val="24"/>
                <w:vertAlign w:val="subscript"/>
              </w:rPr>
              <w:t>IRB</w:t>
            </w:r>
            <w:r>
              <w:rPr>
                <w:rFonts w:ascii="Times New Roman" w:hAnsi="Times New Roman"/>
                <w:sz w:val="24"/>
              </w:rPr>
              <w:t xml:space="preserve"> kako je navedeno u članku 255. CRR-a. K</w:t>
            </w:r>
            <w:r>
              <w:rPr>
                <w:rFonts w:ascii="Times New Roman" w:hAnsi="Times New Roman"/>
                <w:sz w:val="24"/>
                <w:vertAlign w:val="subscript"/>
              </w:rPr>
              <w:t>IRB</w:t>
            </w:r>
            <w:r>
              <w:rPr>
                <w:rFonts w:ascii="Times New Roman" w:hAnsi="Times New Roman"/>
                <w:sz w:val="24"/>
              </w:rPr>
              <w:t xml:space="preserve"> je izražen kao postotak (s dvije decimale).</w:t>
            </w:r>
          </w:p>
          <w:p w14:paraId="4EBD8251" w14:textId="77777777" w:rsidR="00C55547" w:rsidRPr="00A30C4C" w:rsidRDefault="00C55547" w:rsidP="00E10B85">
            <w:pPr>
              <w:autoSpaceDE w:val="0"/>
              <w:autoSpaceDN w:val="0"/>
              <w:adjustRightInd w:val="0"/>
              <w:spacing w:before="0" w:after="0"/>
              <w:rPr>
                <w:rFonts w:ascii="Times New Roman" w:hAnsi="Times New Roman"/>
                <w:sz w:val="24"/>
              </w:rPr>
            </w:pPr>
          </w:p>
          <w:p w14:paraId="573D35EA" w14:textId="1A662C0F"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U slučaju </w:t>
            </w:r>
            <w:proofErr w:type="spellStart"/>
            <w:r>
              <w:rPr>
                <w:rFonts w:ascii="Times New Roman" w:hAnsi="Times New Roman"/>
                <w:sz w:val="24"/>
              </w:rPr>
              <w:t>sekuritizacije</w:t>
            </w:r>
            <w:proofErr w:type="spellEnd"/>
            <w:r>
              <w:rPr>
                <w:rFonts w:ascii="Times New Roman" w:hAnsi="Times New Roman"/>
                <w:sz w:val="24"/>
              </w:rPr>
              <w:t xml:space="preserve"> imovine, 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w:t>
            </w:r>
          </w:p>
          <w:p w14:paraId="624A3FB3" w14:textId="77777777" w:rsidR="00C55547" w:rsidRPr="00A30C4C" w:rsidRDefault="00C55547" w:rsidP="00E10B85">
            <w:pPr>
              <w:autoSpaceDE w:val="0"/>
              <w:autoSpaceDN w:val="0"/>
              <w:adjustRightInd w:val="0"/>
              <w:spacing w:before="0" w:after="0"/>
              <w:rPr>
                <w:rFonts w:ascii="Times New Roman" w:hAnsi="Times New Roman"/>
                <w:sz w:val="24"/>
              </w:rPr>
            </w:pPr>
          </w:p>
        </w:tc>
      </w:tr>
      <w:tr w:rsidR="00C55547" w:rsidRPr="00A30C4C" w14:paraId="2E47BDD5" w14:textId="77777777" w:rsidTr="00E10B85">
        <w:tc>
          <w:tcPr>
            <w:tcW w:w="1101" w:type="dxa"/>
          </w:tcPr>
          <w:p w14:paraId="5F3ACC47"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222</w:t>
            </w:r>
          </w:p>
        </w:tc>
        <w:tc>
          <w:tcPr>
            <w:tcW w:w="7903" w:type="dxa"/>
          </w:tcPr>
          <w:p w14:paraId="6DBBA49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IZLOŽENOSTI PREMA STANOVNIŠTVU U SKUPOVIMA IRB</w:t>
            </w:r>
          </w:p>
          <w:p w14:paraId="52A55AA4"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Skupovi IRB kako su definirani u članku 242. stavku 7. CRR-a pod uvjetom da institucija može izračunati K</w:t>
            </w:r>
            <w:r>
              <w:rPr>
                <w:rFonts w:ascii="Times New Roman" w:hAnsi="Times New Roman"/>
                <w:sz w:val="24"/>
                <w:vertAlign w:val="subscript"/>
              </w:rPr>
              <w:t>IRB</w:t>
            </w:r>
            <w:r>
              <w:rPr>
                <w:rFonts w:ascii="Times New Roman" w:hAnsi="Times New Roman"/>
                <w:sz w:val="24"/>
              </w:rPr>
              <w:t xml:space="preserve"> u skladu s dijelom trećim glavom II poglavljem 6. odjeljkom 3. na minimalno 95 % iznosa odnosne izloženosti (članak 259. stavak 2. CRR-a) </w:t>
            </w:r>
          </w:p>
          <w:p w14:paraId="24E9895F"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0E48A4A" w14:textId="77777777" w:rsidTr="00E10B85">
        <w:tc>
          <w:tcPr>
            <w:tcW w:w="1101" w:type="dxa"/>
          </w:tcPr>
          <w:p w14:paraId="114A505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223</w:t>
            </w:r>
          </w:p>
        </w:tc>
        <w:tc>
          <w:tcPr>
            <w:tcW w:w="7903" w:type="dxa"/>
          </w:tcPr>
          <w:p w14:paraId="6AF83F9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KAPITALNI ZAHTJEVI PRIJE SEKURITIZACIJE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14:paraId="50AD647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Čak i ako institucija ne primjenjuje pristup SEC-SA na </w:t>
            </w:r>
            <w:proofErr w:type="spellStart"/>
            <w:r>
              <w:rPr>
                <w:rFonts w:ascii="Times New Roman" w:hAnsi="Times New Roman"/>
                <w:sz w:val="24"/>
              </w:rPr>
              <w:t>sekuritizacijske</w:t>
            </w:r>
            <w:proofErr w:type="spellEnd"/>
            <w:r>
              <w:rPr>
                <w:rFonts w:ascii="Times New Roman" w:hAnsi="Times New Roman"/>
                <w:sz w:val="24"/>
              </w:rPr>
              <w:t xml:space="preserve"> pozicije, institucija iskazuje ovaj stupac. U ovom stupcu navode se informacije o K</w:t>
            </w:r>
            <w:r>
              <w:rPr>
                <w:rFonts w:ascii="Times New Roman" w:hAnsi="Times New Roman"/>
                <w:sz w:val="24"/>
                <w:vertAlign w:val="subscript"/>
              </w:rPr>
              <w:t>SA</w:t>
            </w:r>
            <w:r>
              <w:rPr>
                <w:rFonts w:ascii="Times New Roman" w:hAnsi="Times New Roman"/>
                <w:sz w:val="24"/>
              </w:rPr>
              <w:t>, kako je navedeno u članku 255. stavku 6. CRR-a. K</w:t>
            </w:r>
            <w:r>
              <w:rPr>
                <w:rFonts w:ascii="Times New Roman" w:hAnsi="Times New Roman"/>
                <w:sz w:val="24"/>
                <w:vertAlign w:val="subscript"/>
              </w:rPr>
              <w:t>SA</w:t>
            </w:r>
            <w:r>
              <w:rPr>
                <w:rFonts w:ascii="Times New Roman" w:hAnsi="Times New Roman"/>
                <w:sz w:val="24"/>
              </w:rPr>
              <w:t xml:space="preserve"> je izražen kao postotak (s dvije decimale).</w:t>
            </w:r>
          </w:p>
          <w:p w14:paraId="7EC6E5ED" w14:textId="77777777" w:rsidR="00C55547" w:rsidRPr="00A30C4C" w:rsidRDefault="00C55547" w:rsidP="00E10B85">
            <w:pPr>
              <w:autoSpaceDE w:val="0"/>
              <w:autoSpaceDN w:val="0"/>
              <w:adjustRightInd w:val="0"/>
              <w:spacing w:before="0" w:after="0"/>
              <w:rPr>
                <w:rFonts w:ascii="Times New Roman" w:hAnsi="Times New Roman"/>
                <w:sz w:val="24"/>
              </w:rPr>
            </w:pPr>
          </w:p>
          <w:p w14:paraId="2F6FAAF6" w14:textId="728C8F46"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Ovaj se stupac ne iskazuje u slučaju </w:t>
            </w:r>
            <w:proofErr w:type="spellStart"/>
            <w:r>
              <w:rPr>
                <w:rFonts w:ascii="Times New Roman" w:hAnsi="Times New Roman"/>
                <w:sz w:val="24"/>
              </w:rPr>
              <w:t>sekuritizacije</w:t>
            </w:r>
            <w:proofErr w:type="spellEnd"/>
            <w:r>
              <w:rPr>
                <w:rFonts w:ascii="Times New Roman" w:hAnsi="Times New Roman"/>
                <w:sz w:val="24"/>
              </w:rPr>
              <w:t xml:space="preserve"> obveza. U slučaju </w:t>
            </w:r>
            <w:proofErr w:type="spellStart"/>
            <w:r>
              <w:rPr>
                <w:rFonts w:ascii="Times New Roman" w:hAnsi="Times New Roman"/>
                <w:sz w:val="24"/>
              </w:rPr>
              <w:t>sekuritizacije</w:t>
            </w:r>
            <w:proofErr w:type="spellEnd"/>
            <w:r>
              <w:rPr>
                <w:rFonts w:ascii="Times New Roman" w:hAnsi="Times New Roman"/>
                <w:sz w:val="24"/>
              </w:rPr>
              <w:t xml:space="preserve"> imovine, navedena se informacija iskazuje čak i ako subjekt koji izvješćuje ne drži nikakve pozicije u </w:t>
            </w:r>
            <w:proofErr w:type="spellStart"/>
            <w:r>
              <w:rPr>
                <w:rFonts w:ascii="Times New Roman" w:hAnsi="Times New Roman"/>
                <w:sz w:val="24"/>
              </w:rPr>
              <w:t>sekuritizaciji</w:t>
            </w:r>
            <w:proofErr w:type="spellEnd"/>
            <w:r>
              <w:rPr>
                <w:rFonts w:ascii="Times New Roman" w:hAnsi="Times New Roman"/>
                <w:sz w:val="24"/>
              </w:rPr>
              <w:t xml:space="preserve">. </w:t>
            </w:r>
          </w:p>
          <w:p w14:paraId="69FE6E9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7C21F93" w14:textId="77777777" w:rsidTr="00E10B85">
        <w:tc>
          <w:tcPr>
            <w:tcW w:w="1101" w:type="dxa"/>
          </w:tcPr>
          <w:p w14:paraId="3A9A1C03" w14:textId="77777777" w:rsidR="00C55547" w:rsidRPr="00A30C4C" w:rsidRDefault="00C55547" w:rsidP="00EA0754">
            <w:pPr>
              <w:autoSpaceDE w:val="0"/>
              <w:autoSpaceDN w:val="0"/>
              <w:adjustRightInd w:val="0"/>
              <w:spacing w:before="0" w:after="0"/>
              <w:rPr>
                <w:rFonts w:ascii="Times New Roman" w:hAnsi="Times New Roman"/>
                <w:sz w:val="24"/>
              </w:rPr>
            </w:pPr>
            <w:r>
              <w:rPr>
                <w:rFonts w:ascii="Times New Roman" w:hAnsi="Times New Roman"/>
                <w:sz w:val="24"/>
              </w:rPr>
              <w:t>225</w:t>
            </w:r>
          </w:p>
        </w:tc>
        <w:tc>
          <w:tcPr>
            <w:tcW w:w="7903" w:type="dxa"/>
          </w:tcPr>
          <w:p w14:paraId="453184D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BILJEŠKE:</w:t>
            </w:r>
          </w:p>
        </w:tc>
      </w:tr>
      <w:tr w:rsidR="00C55547" w:rsidRPr="00A30C4C" w14:paraId="7F0CF1B3" w14:textId="77777777" w:rsidTr="00E10B85">
        <w:tc>
          <w:tcPr>
            <w:tcW w:w="1101" w:type="dxa"/>
          </w:tcPr>
          <w:p w14:paraId="0D41FA5C" w14:textId="77777777" w:rsidR="00C55547" w:rsidRPr="00A30C4C" w:rsidRDefault="00C55547" w:rsidP="00EA0754">
            <w:pPr>
              <w:autoSpaceDE w:val="0"/>
              <w:autoSpaceDN w:val="0"/>
              <w:adjustRightInd w:val="0"/>
              <w:spacing w:before="0" w:after="0"/>
              <w:rPr>
                <w:rFonts w:ascii="Times New Roman" w:hAnsi="Times New Roman"/>
                <w:sz w:val="24"/>
              </w:rPr>
            </w:pPr>
            <w:r>
              <w:rPr>
                <w:rFonts w:ascii="Times New Roman" w:hAnsi="Times New Roman"/>
                <w:sz w:val="24"/>
              </w:rPr>
              <w:t>225</w:t>
            </w:r>
          </w:p>
        </w:tc>
        <w:tc>
          <w:tcPr>
            <w:tcW w:w="7903" w:type="dxa"/>
          </w:tcPr>
          <w:p w14:paraId="372E587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ISPRAVCI VRIJEDNOSTI ZA KREDITNI RIZIK TIJEKOM SADAŠNJEG RAZDOBLJA </w:t>
            </w:r>
          </w:p>
          <w:p w14:paraId="08058EA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Članak 110. CRR-a</w:t>
            </w:r>
          </w:p>
          <w:p w14:paraId="0D72900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5A9945E1" w14:textId="77777777" w:rsidTr="00E10B85">
        <w:tc>
          <w:tcPr>
            <w:tcW w:w="1101" w:type="dxa"/>
          </w:tcPr>
          <w:p w14:paraId="2EA15BF6" w14:textId="77777777" w:rsidR="00C55547" w:rsidRPr="00A30C4C" w:rsidRDefault="00C55547" w:rsidP="00B85F75">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230-304</w:t>
            </w:r>
          </w:p>
        </w:tc>
        <w:tc>
          <w:tcPr>
            <w:tcW w:w="7903" w:type="dxa"/>
          </w:tcPr>
          <w:p w14:paraId="7F51B0A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SEKURITIZACIJSKA STRUKTURA</w:t>
            </w:r>
          </w:p>
          <w:p w14:paraId="7BF1D62B" w14:textId="77777777" w:rsidR="00C55547" w:rsidRPr="00A30C4C"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ovoj se skupini stupaca prikupljaju informacije o strukturi </w:t>
            </w:r>
            <w:proofErr w:type="spellStart"/>
            <w:r>
              <w:rPr>
                <w:rFonts w:ascii="Times New Roman" w:hAnsi="Times New Roman"/>
                <w:sz w:val="24"/>
              </w:rPr>
              <w:t>sekuritizacije</w:t>
            </w:r>
            <w:proofErr w:type="spellEnd"/>
            <w:r>
              <w:rPr>
                <w:rFonts w:ascii="Times New Roman" w:hAnsi="Times New Roman"/>
                <w:sz w:val="24"/>
              </w:rPr>
              <w:t xml:space="preserve"> na temelju bilančnih/</w:t>
            </w:r>
            <w:proofErr w:type="spellStart"/>
            <w:r>
              <w:rPr>
                <w:rFonts w:ascii="Times New Roman" w:hAnsi="Times New Roman"/>
                <w:sz w:val="24"/>
              </w:rPr>
              <w:t>izvanbilančnih</w:t>
            </w:r>
            <w:proofErr w:type="spellEnd"/>
            <w:r>
              <w:rPr>
                <w:rFonts w:ascii="Times New Roman" w:hAnsi="Times New Roman"/>
                <w:sz w:val="24"/>
              </w:rPr>
              <w:t xml:space="preserve"> pozicija, tranši (nadređene/mezaninske/prvoga gubitka) i dospijeća na izvještajni datum. </w:t>
            </w:r>
          </w:p>
          <w:p w14:paraId="597A080E" w14:textId="77777777" w:rsidR="00C55547" w:rsidRPr="00A30C4C" w:rsidRDefault="00C55547" w:rsidP="00E10B85">
            <w:pPr>
              <w:autoSpaceDE w:val="0"/>
              <w:autoSpaceDN w:val="0"/>
              <w:adjustRightInd w:val="0"/>
              <w:spacing w:before="0" w:after="0"/>
              <w:rPr>
                <w:rFonts w:ascii="Times New Roman" w:hAnsi="Times New Roman"/>
                <w:sz w:val="24"/>
              </w:rPr>
            </w:pPr>
          </w:p>
          <w:p w14:paraId="3993DC59" w14:textId="75BC2CAC" w:rsidR="00C55547" w:rsidRPr="00A30C4C" w:rsidRDefault="005E5070" w:rsidP="00E10B85">
            <w:pPr>
              <w:spacing w:before="0" w:after="0"/>
              <w:rPr>
                <w:rFonts w:ascii="Times New Roman" w:hAnsi="Times New Roman"/>
                <w:sz w:val="24"/>
              </w:rPr>
            </w:pPr>
            <w:r>
              <w:rPr>
                <w:rFonts w:ascii="Times New Roman" w:hAnsi="Times New Roman"/>
                <w:sz w:val="24"/>
              </w:rPr>
              <w:t xml:space="preserve">Za višestruke </w:t>
            </w:r>
            <w:proofErr w:type="spellStart"/>
            <w:r>
              <w:rPr>
                <w:rFonts w:ascii="Times New Roman" w:hAnsi="Times New Roman"/>
                <w:sz w:val="24"/>
              </w:rPr>
              <w:t>sekuritizacije</w:t>
            </w:r>
            <w:proofErr w:type="spellEnd"/>
            <w:r>
              <w:rPr>
                <w:rFonts w:ascii="Times New Roman" w:hAnsi="Times New Roman"/>
                <w:sz w:val="24"/>
              </w:rPr>
              <w:t xml:space="preserve"> iskazuje se samo iznos koji odgovara ili je pripisan instituciji koja izvješćuje.</w:t>
            </w:r>
          </w:p>
          <w:p w14:paraId="7879254F" w14:textId="77777777" w:rsidR="00C55547" w:rsidRPr="00A30C4C" w:rsidRDefault="00C55547" w:rsidP="00E10B85">
            <w:pPr>
              <w:spacing w:before="0" w:after="0"/>
              <w:jc w:val="left"/>
              <w:rPr>
                <w:rFonts w:ascii="Times New Roman" w:hAnsi="Times New Roman"/>
                <w:sz w:val="24"/>
              </w:rPr>
            </w:pPr>
          </w:p>
        </w:tc>
      </w:tr>
      <w:tr w:rsidR="00C55547" w:rsidRPr="00A30C4C" w14:paraId="030979A3" w14:textId="77777777" w:rsidTr="00E10B85">
        <w:tc>
          <w:tcPr>
            <w:tcW w:w="1101" w:type="dxa"/>
          </w:tcPr>
          <w:p w14:paraId="451A9E15" w14:textId="77777777" w:rsidR="00C55547" w:rsidRPr="00A30C4C" w:rsidRDefault="00C55547" w:rsidP="00E10B85">
            <w:pPr>
              <w:autoSpaceDE w:val="0"/>
              <w:autoSpaceDN w:val="0"/>
              <w:adjustRightInd w:val="0"/>
              <w:spacing w:before="0" w:after="0"/>
              <w:rPr>
                <w:rFonts w:ascii="Times New Roman" w:hAnsi="Times New Roman"/>
                <w:sz w:val="24"/>
                <w:highlight w:val="yellow"/>
              </w:rPr>
            </w:pPr>
            <w:r>
              <w:rPr>
                <w:rFonts w:ascii="Times New Roman" w:hAnsi="Times New Roman"/>
                <w:sz w:val="24"/>
              </w:rPr>
              <w:t>230-252</w:t>
            </w:r>
          </w:p>
        </w:tc>
        <w:tc>
          <w:tcPr>
            <w:tcW w:w="7903" w:type="dxa"/>
          </w:tcPr>
          <w:p w14:paraId="292F613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BILANČNE STAVKE</w:t>
            </w:r>
          </w:p>
          <w:p w14:paraId="19B0A5A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 ovoj se skupini stupaca prikupljaju informacije o bilančnim stavkama raščlanjenima prema tranšama (nadređene/mezaninske/prvoga gubitka).</w:t>
            </w:r>
          </w:p>
          <w:p w14:paraId="314A1B6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37F222B7" w14:textId="77777777" w:rsidTr="00E10B85">
        <w:tc>
          <w:tcPr>
            <w:tcW w:w="1101" w:type="dxa"/>
          </w:tcPr>
          <w:p w14:paraId="1D8C1F6F"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230-232</w:t>
            </w:r>
          </w:p>
        </w:tc>
        <w:tc>
          <w:tcPr>
            <w:tcW w:w="7903" w:type="dxa"/>
          </w:tcPr>
          <w:p w14:paraId="239EA82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NADREĐENE TRANŠE</w:t>
            </w:r>
          </w:p>
          <w:p w14:paraId="18A61EA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AB80D13" w14:textId="77777777" w:rsidTr="00E10B85">
        <w:tc>
          <w:tcPr>
            <w:tcW w:w="1101" w:type="dxa"/>
          </w:tcPr>
          <w:p w14:paraId="5F2A959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14:paraId="7FBA2DF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14:paraId="2481D0E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Iznos nadređenih </w:t>
            </w:r>
            <w:proofErr w:type="spellStart"/>
            <w:r>
              <w:rPr>
                <w:rFonts w:ascii="Times New Roman" w:hAnsi="Times New Roman"/>
                <w:sz w:val="24"/>
              </w:rPr>
              <w:t>sekuritizacijskih</w:t>
            </w:r>
            <w:proofErr w:type="spellEnd"/>
            <w:r>
              <w:rPr>
                <w:rFonts w:ascii="Times New Roman" w:hAnsi="Times New Roman"/>
                <w:sz w:val="24"/>
              </w:rPr>
              <w:t xml:space="preserve"> pozicija kako su definirane u članku 242. stavku 6. CRR-a.</w:t>
            </w:r>
          </w:p>
          <w:p w14:paraId="280FA19F"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4EF90DC" w14:textId="77777777" w:rsidTr="00E10B85">
        <w:tc>
          <w:tcPr>
            <w:tcW w:w="1101" w:type="dxa"/>
          </w:tcPr>
          <w:p w14:paraId="01DA9A9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231</w:t>
            </w:r>
          </w:p>
        </w:tc>
        <w:tc>
          <w:tcPr>
            <w:tcW w:w="7903" w:type="dxa"/>
          </w:tcPr>
          <w:p w14:paraId="3A68B8DE"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SPAJANJA (%)</w:t>
            </w:r>
          </w:p>
          <w:p w14:paraId="5E88F0B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Točka spajanja (%) iz članka 256. stavka 1. CRR-a</w:t>
            </w:r>
          </w:p>
          <w:p w14:paraId="5DDFFCBC"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863D268" w14:textId="77777777" w:rsidTr="00E10B85">
        <w:tc>
          <w:tcPr>
            <w:tcW w:w="1101" w:type="dxa"/>
          </w:tcPr>
          <w:p w14:paraId="25953C96"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232 i 252</w:t>
            </w:r>
          </w:p>
        </w:tc>
        <w:tc>
          <w:tcPr>
            <w:tcW w:w="7903" w:type="dxa"/>
          </w:tcPr>
          <w:p w14:paraId="6942194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STUPNJEVI KREDITNE KVALITETE</w:t>
            </w:r>
          </w:p>
          <w:p w14:paraId="27D0FAB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Stupnjevi kreditne kvalitete (CQS) kako su predviđeni za institucije koje primjenjuju pristup SEC-ERBA (članak 263. tablice 1. i 2. i članak 264. tablice 3. i 4.). Ti stupci iskazuju se za sve ocijenjene transakcije neovisno o primijenjenom pristupu.</w:t>
            </w:r>
          </w:p>
          <w:p w14:paraId="79C3D23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05A5C118" w14:textId="77777777" w:rsidTr="00E10B85">
        <w:tc>
          <w:tcPr>
            <w:tcW w:w="1101" w:type="dxa"/>
          </w:tcPr>
          <w:p w14:paraId="588BBE90"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240-242</w:t>
            </w:r>
          </w:p>
        </w:tc>
        <w:tc>
          <w:tcPr>
            <w:tcW w:w="7903" w:type="dxa"/>
          </w:tcPr>
          <w:p w14:paraId="041A91E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MEZANINSKE TRANŠE</w:t>
            </w:r>
          </w:p>
          <w:p w14:paraId="0A5BFA8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4A86FB45" w14:textId="77777777" w:rsidTr="00E10B85">
        <w:tc>
          <w:tcPr>
            <w:tcW w:w="1101" w:type="dxa"/>
          </w:tcPr>
          <w:p w14:paraId="42ED58DC"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14:paraId="2676D10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14:paraId="373DE2F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Iznos koji se iskazuje uključuje:</w:t>
            </w:r>
          </w:p>
          <w:p w14:paraId="13C2E815" w14:textId="609C39D9" w:rsidR="00C55547" w:rsidRPr="00A30C4C"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mezaninske </w:t>
            </w:r>
            <w:proofErr w:type="spellStart"/>
            <w:r>
              <w:rPr>
                <w:rFonts w:ascii="Times New Roman" w:hAnsi="Times New Roman"/>
                <w:sz w:val="24"/>
              </w:rPr>
              <w:t>sekuritizacijske</w:t>
            </w:r>
            <w:proofErr w:type="spellEnd"/>
            <w:r>
              <w:rPr>
                <w:rFonts w:ascii="Times New Roman" w:hAnsi="Times New Roman"/>
                <w:sz w:val="24"/>
              </w:rPr>
              <w:t xml:space="preserve"> pozicije kako je definirano u članku 242. stavku 18. CRR-a.</w:t>
            </w:r>
          </w:p>
          <w:p w14:paraId="374E16B1" w14:textId="5C0647D2" w:rsidR="00C55547" w:rsidRPr="00A30C4C"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dodatne </w:t>
            </w:r>
            <w:proofErr w:type="spellStart"/>
            <w:r>
              <w:rPr>
                <w:rFonts w:ascii="Times New Roman" w:hAnsi="Times New Roman"/>
                <w:sz w:val="24"/>
              </w:rPr>
              <w:t>sekuritizacijske</w:t>
            </w:r>
            <w:proofErr w:type="spellEnd"/>
            <w:r>
              <w:rPr>
                <w:rFonts w:ascii="Times New Roman" w:hAnsi="Times New Roman"/>
                <w:sz w:val="24"/>
              </w:rPr>
              <w:t xml:space="preserve"> pozicije koje nisu pozicije definirane u članku 242. stavcima 6., 17. ili 18. CRR-a.</w:t>
            </w:r>
          </w:p>
          <w:p w14:paraId="49C94C75"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2F145853" w14:textId="77777777" w:rsidTr="00E10B85">
        <w:tc>
          <w:tcPr>
            <w:tcW w:w="1101" w:type="dxa"/>
          </w:tcPr>
          <w:p w14:paraId="37626CF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241</w:t>
            </w:r>
          </w:p>
        </w:tc>
        <w:tc>
          <w:tcPr>
            <w:tcW w:w="7903" w:type="dxa"/>
          </w:tcPr>
          <w:p w14:paraId="55FA427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BROJ TRANŠI</w:t>
            </w:r>
          </w:p>
          <w:p w14:paraId="7CD41B01"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Broj mezaninskih tranši.</w:t>
            </w:r>
          </w:p>
          <w:p w14:paraId="1E8D557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6EF4716" w14:textId="77777777" w:rsidTr="00E10B85">
        <w:tc>
          <w:tcPr>
            <w:tcW w:w="1101" w:type="dxa"/>
          </w:tcPr>
          <w:p w14:paraId="3A8D346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242</w:t>
            </w:r>
          </w:p>
        </w:tc>
        <w:tc>
          <w:tcPr>
            <w:tcW w:w="7903" w:type="dxa"/>
          </w:tcPr>
          <w:p w14:paraId="5621365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STUPANJ KREDITNE KVALITE NAJPODREĐENIJE TRANŠE</w:t>
            </w:r>
          </w:p>
          <w:p w14:paraId="532F051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Stupanj kreditne kvalitete kako je utvrđen u skladu s člankom 263. tablicom 2. i člankom 264. tablicom 3. CRR-a, najpodređenije mezaninske tranše. </w:t>
            </w:r>
          </w:p>
          <w:p w14:paraId="223C1B4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2C48CBA7" w14:textId="77777777" w:rsidTr="00E10B85">
        <w:tc>
          <w:tcPr>
            <w:tcW w:w="1101" w:type="dxa"/>
          </w:tcPr>
          <w:p w14:paraId="5486FE18"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250-252</w:t>
            </w:r>
          </w:p>
        </w:tc>
        <w:tc>
          <w:tcPr>
            <w:tcW w:w="7903" w:type="dxa"/>
          </w:tcPr>
          <w:p w14:paraId="59CEB62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TRANŠE PRVOGA GUBITKA</w:t>
            </w:r>
          </w:p>
          <w:p w14:paraId="6A2F1BC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472C1508" w14:textId="77777777" w:rsidTr="00E10B85">
        <w:tc>
          <w:tcPr>
            <w:tcW w:w="1101" w:type="dxa"/>
          </w:tcPr>
          <w:p w14:paraId="7FB987E7"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14:paraId="0B9F98A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IZNOS</w:t>
            </w:r>
          </w:p>
          <w:p w14:paraId="04AF787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Iznos tranše prvog gubitka kako je definirana u članku 242. stavku 17. CRR-a.</w:t>
            </w:r>
          </w:p>
          <w:p w14:paraId="3DAA3E7D"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5503E2EE" w14:textId="77777777" w:rsidTr="00E10B85">
        <w:tc>
          <w:tcPr>
            <w:tcW w:w="1101" w:type="dxa"/>
          </w:tcPr>
          <w:p w14:paraId="012FA2A9"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251</w:t>
            </w:r>
          </w:p>
        </w:tc>
        <w:tc>
          <w:tcPr>
            <w:tcW w:w="7903" w:type="dxa"/>
          </w:tcPr>
          <w:p w14:paraId="1B7FDD3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TOČKA RAZDVAJANJA (%)</w:t>
            </w:r>
          </w:p>
          <w:p w14:paraId="1355C30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Točka razdvajanja (%) iz članka 256. stavka 2. CRR-a</w:t>
            </w:r>
          </w:p>
          <w:p w14:paraId="7345BA2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05D61AE" w14:textId="77777777" w:rsidTr="00E10B85">
        <w:tc>
          <w:tcPr>
            <w:tcW w:w="1101" w:type="dxa"/>
          </w:tcPr>
          <w:p w14:paraId="1125A01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14:paraId="6B7BBE8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IZVANBILANČNE STAVKE I IZVEDENICE</w:t>
            </w:r>
          </w:p>
          <w:p w14:paraId="05499DB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U ovom se skupu stupaca prikupljaju informacije o </w:t>
            </w:r>
            <w:proofErr w:type="spellStart"/>
            <w:r>
              <w:rPr>
                <w:rFonts w:ascii="Times New Roman" w:hAnsi="Times New Roman"/>
                <w:sz w:val="24"/>
              </w:rPr>
              <w:t>izvanbilančnim</w:t>
            </w:r>
            <w:proofErr w:type="spellEnd"/>
            <w:r>
              <w:rPr>
                <w:rFonts w:ascii="Times New Roman" w:hAnsi="Times New Roman"/>
                <w:sz w:val="24"/>
              </w:rPr>
              <w:t xml:space="preserve"> stavkama i izvedenicama raščlanjenima prema tranšama (nadređene/mezaninske/prvoga gubitka).</w:t>
            </w:r>
          </w:p>
          <w:p w14:paraId="09F2974B"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Ovdje se primjenjuju jednaki kriteriji raščlanjivanja tranši koji se primjenjuju za bilančne stavke.</w:t>
            </w:r>
          </w:p>
          <w:p w14:paraId="3AA2BDF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73943D6" w14:textId="77777777" w:rsidTr="00E10B85">
        <w:tc>
          <w:tcPr>
            <w:tcW w:w="1101" w:type="dxa"/>
            <w:shd w:val="clear" w:color="auto" w:fill="auto"/>
          </w:tcPr>
          <w:p w14:paraId="6978FA3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290-300</w:t>
            </w:r>
          </w:p>
        </w:tc>
        <w:tc>
          <w:tcPr>
            <w:tcW w:w="7903" w:type="dxa"/>
            <w:shd w:val="clear" w:color="auto" w:fill="auto"/>
          </w:tcPr>
          <w:p w14:paraId="612518E7"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DOSPIJEĆE</w:t>
            </w:r>
          </w:p>
        </w:tc>
      </w:tr>
      <w:tr w:rsidR="00C55547" w:rsidRPr="00A30C4C" w14:paraId="6AA63705" w14:textId="77777777" w:rsidTr="00E10B85">
        <w:tc>
          <w:tcPr>
            <w:tcW w:w="1101" w:type="dxa"/>
            <w:shd w:val="clear" w:color="auto" w:fill="auto"/>
          </w:tcPr>
          <w:p w14:paraId="1AEC547E" w14:textId="77777777" w:rsidR="00C55547" w:rsidRPr="00A30C4C" w:rsidDel="00304CB1"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14:paraId="777220E4"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PRVI PREDVIDIVI DATUM PREKIDA</w:t>
            </w:r>
          </w:p>
          <w:p w14:paraId="7064B0BA" w14:textId="77777777" w:rsidR="00C55547" w:rsidRPr="00A30C4C" w:rsidRDefault="00C55547" w:rsidP="00E10B85">
            <w:pPr>
              <w:spacing w:before="0" w:after="0"/>
              <w:jc w:val="left"/>
              <w:rPr>
                <w:rFonts w:ascii="Times New Roman" w:hAnsi="Times New Roman"/>
                <w:b/>
                <w:sz w:val="24"/>
                <w:u w:val="single"/>
              </w:rPr>
            </w:pPr>
          </w:p>
          <w:p w14:paraId="61DCD0F8"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Vjerojatni datum prekida cijele </w:t>
            </w:r>
            <w:proofErr w:type="spellStart"/>
            <w:r>
              <w:rPr>
                <w:rFonts w:ascii="Times New Roman" w:hAnsi="Times New Roman"/>
                <w:sz w:val="24"/>
              </w:rPr>
              <w:t>sekuritizacije</w:t>
            </w:r>
            <w:proofErr w:type="spellEnd"/>
            <w:r>
              <w:rPr>
                <w:rFonts w:ascii="Times New Roman" w:hAnsi="Times New Roman"/>
                <w:sz w:val="24"/>
              </w:rPr>
              <w:t xml:space="preserve"> u svjetlu njezinih ugovornih odredbi i trenutačno očekivanih financijskih uvjeta. Općenito bi to bio raniji od sljedećih datuma: </w:t>
            </w:r>
          </w:p>
          <w:p w14:paraId="6F49AE9B" w14:textId="77777777" w:rsidR="00C55547" w:rsidRPr="00A30C4C" w:rsidRDefault="00C55547" w:rsidP="00E10B85">
            <w:pPr>
              <w:spacing w:before="0" w:after="0"/>
              <w:jc w:val="left"/>
              <w:rPr>
                <w:rFonts w:ascii="Times New Roman" w:hAnsi="Times New Roman"/>
                <w:sz w:val="24"/>
              </w:rPr>
            </w:pPr>
          </w:p>
          <w:p w14:paraId="78BC5B74" w14:textId="3C59317A" w:rsidR="00C55547" w:rsidRPr="00A30C4C" w:rsidRDefault="00C55547" w:rsidP="00E10B85">
            <w:pPr>
              <w:spacing w:before="0" w:after="0"/>
              <w:jc w:val="left"/>
              <w:rPr>
                <w:rFonts w:ascii="Times New Roman" w:hAnsi="Times New Roman"/>
                <w:sz w:val="24"/>
              </w:rPr>
            </w:pPr>
            <w:r>
              <w:rPr>
                <w:rFonts w:ascii="Times New Roman" w:hAnsi="Times New Roman"/>
                <w:sz w:val="24"/>
              </w:rPr>
              <w:t>i.</w:t>
            </w:r>
            <w:r>
              <w:rPr>
                <w:rFonts w:ascii="Times New Roman" w:hAnsi="Times New Roman"/>
                <w:sz w:val="24"/>
              </w:rPr>
              <w:tab/>
              <w:t>datum kada bi se opcija kupnje s ugrađenim otkupom (definirana u članku 242. stavku 1. CRR-a) mogla prvi put iskoristiti, uzimajući u obzir dospijeće odnosne izloženosti/odnosnih izloženosti te njihovu očekivanu stopu plaćenog predujma ili moguće aktivnosti povezane s ponovnim pregovaranjem;</w:t>
            </w:r>
          </w:p>
          <w:p w14:paraId="6D0D67C0" w14:textId="77777777" w:rsidR="00C55547" w:rsidRPr="00A30C4C" w:rsidRDefault="00C55547" w:rsidP="00E10B85">
            <w:pPr>
              <w:spacing w:before="0" w:after="0"/>
              <w:jc w:val="left"/>
              <w:rPr>
                <w:rFonts w:ascii="Times New Roman" w:hAnsi="Times New Roman"/>
                <w:sz w:val="24"/>
              </w:rPr>
            </w:pPr>
          </w:p>
          <w:p w14:paraId="36521F45"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ii.</w:t>
            </w:r>
            <w:r>
              <w:rPr>
                <w:rFonts w:ascii="Times New Roman" w:hAnsi="Times New Roman"/>
                <w:sz w:val="24"/>
              </w:rPr>
              <w:tab/>
              <w:t xml:space="preserve">datum kada inicijator može prvi put iskoristiti bilo koju drugu opciju kupnje ugrađenu u ugovorne odredbe </w:t>
            </w:r>
            <w:proofErr w:type="spellStart"/>
            <w:r>
              <w:rPr>
                <w:rFonts w:ascii="Times New Roman" w:hAnsi="Times New Roman"/>
                <w:sz w:val="24"/>
              </w:rPr>
              <w:t>sekuritizacije</w:t>
            </w:r>
            <w:proofErr w:type="spellEnd"/>
            <w:r>
              <w:rPr>
                <w:rFonts w:ascii="Times New Roman" w:hAnsi="Times New Roman"/>
                <w:sz w:val="24"/>
              </w:rPr>
              <w:t xml:space="preserve">, što bi dovelo do potpunog otkupa </w:t>
            </w:r>
            <w:proofErr w:type="spellStart"/>
            <w:r>
              <w:rPr>
                <w:rFonts w:ascii="Times New Roman" w:hAnsi="Times New Roman"/>
                <w:sz w:val="24"/>
              </w:rPr>
              <w:t>sekuritizacije</w:t>
            </w:r>
            <w:proofErr w:type="spellEnd"/>
            <w:r>
              <w:rPr>
                <w:rFonts w:ascii="Times New Roman" w:hAnsi="Times New Roman"/>
                <w:sz w:val="24"/>
              </w:rPr>
              <w:t>.</w:t>
            </w:r>
          </w:p>
          <w:p w14:paraId="078670E9" w14:textId="77777777" w:rsidR="00C55547" w:rsidRPr="00A30C4C" w:rsidRDefault="00C55547" w:rsidP="00E10B85">
            <w:pPr>
              <w:spacing w:before="0" w:after="0"/>
              <w:jc w:val="left"/>
              <w:rPr>
                <w:rFonts w:ascii="Times New Roman" w:hAnsi="Times New Roman"/>
                <w:sz w:val="24"/>
              </w:rPr>
            </w:pPr>
          </w:p>
          <w:p w14:paraId="4BA66220" w14:textId="461E547A"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Navodi se dan, mjesec i godina prvog očekivanog datuma prekida.</w:t>
            </w:r>
            <w:r>
              <w:rPr>
                <w:rFonts w:ascii="Times New Roman" w:hAnsi="Times New Roman"/>
                <w:szCs w:val="20"/>
              </w:rPr>
              <w:t xml:space="preserve"> </w:t>
            </w:r>
            <w:r>
              <w:rPr>
                <w:rFonts w:ascii="Times New Roman" w:hAnsi="Times New Roman"/>
                <w:sz w:val="24"/>
              </w:rPr>
              <w:t>Ako je ta informacija dostupna, navodi se točan dan, u protivnom se navodi prvi dan u mjesecu.</w:t>
            </w:r>
          </w:p>
          <w:p w14:paraId="490F4A67" w14:textId="77777777" w:rsidR="00C55547" w:rsidRPr="00A30C4C" w:rsidRDefault="00C55547" w:rsidP="00E10B85">
            <w:pPr>
              <w:spacing w:before="0" w:after="0"/>
              <w:jc w:val="left"/>
              <w:rPr>
                <w:rFonts w:ascii="Times New Roman" w:hAnsi="Times New Roman"/>
                <w:sz w:val="24"/>
              </w:rPr>
            </w:pPr>
          </w:p>
        </w:tc>
      </w:tr>
      <w:tr w:rsidR="00C55547" w:rsidRPr="00A30C4C" w14:paraId="24FD7BB3" w14:textId="77777777" w:rsidTr="00E10B85">
        <w:tc>
          <w:tcPr>
            <w:tcW w:w="1101" w:type="dxa"/>
            <w:shd w:val="clear" w:color="auto" w:fill="auto"/>
          </w:tcPr>
          <w:p w14:paraId="0599A059"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bCs/>
                <w:sz w:val="24"/>
              </w:rPr>
              <w:t>291</w:t>
            </w:r>
          </w:p>
        </w:tc>
        <w:tc>
          <w:tcPr>
            <w:tcW w:w="7903" w:type="dxa"/>
            <w:shd w:val="clear" w:color="auto" w:fill="auto"/>
          </w:tcPr>
          <w:p w14:paraId="71A92E87"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INICIJATOROVE OPCIJE KUPNJE UKLJUČENE U TRANSAKCIJU</w:t>
            </w:r>
          </w:p>
          <w:p w14:paraId="026AD3BA" w14:textId="77777777" w:rsidR="00C55547" w:rsidRPr="00A30C4C" w:rsidRDefault="00C55547" w:rsidP="00E10B85">
            <w:pPr>
              <w:spacing w:before="0" w:after="0"/>
              <w:jc w:val="left"/>
              <w:rPr>
                <w:rFonts w:ascii="Times New Roman" w:hAnsi="Times New Roman"/>
                <w:b/>
                <w:sz w:val="24"/>
                <w:u w:val="single"/>
              </w:rPr>
            </w:pPr>
          </w:p>
          <w:p w14:paraId="57494296" w14:textId="149BA8DC" w:rsidR="00C55547" w:rsidRPr="00A30C4C" w:rsidRDefault="00C55547" w:rsidP="00E10B85">
            <w:pPr>
              <w:spacing w:before="0" w:after="0"/>
              <w:jc w:val="left"/>
              <w:rPr>
                <w:rFonts w:ascii="Times New Roman" w:hAnsi="Times New Roman"/>
                <w:sz w:val="24"/>
              </w:rPr>
            </w:pPr>
            <w:r>
              <w:rPr>
                <w:rFonts w:ascii="Times New Roman" w:hAnsi="Times New Roman"/>
                <w:sz w:val="24"/>
              </w:rPr>
              <w:t>Vrsta opcije kupnje za prvi očekivani datum prekida:</w:t>
            </w:r>
          </w:p>
          <w:p w14:paraId="308C614B" w14:textId="32A9BFE9" w:rsidR="00C55547" w:rsidRPr="0002267E"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opcija kupnje s ugrađenim otkupom koja ispunjava uvjete iz članka 244. stavka 4. točke (g) CRR-a;</w:t>
            </w:r>
          </w:p>
          <w:p w14:paraId="147D3AD6" w14:textId="77777777" w:rsidR="00C55547" w:rsidRPr="0002267E"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druga opcija kupnje s ugrađenim otkupom;</w:t>
            </w:r>
          </w:p>
          <w:p w14:paraId="2346ED40" w14:textId="35342C21" w:rsidR="00C55547" w:rsidRPr="0002267E"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druga vrsta opcije kupnje.</w:t>
            </w:r>
          </w:p>
          <w:p w14:paraId="73086AF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28A076D" w14:textId="77777777" w:rsidTr="00E10B85">
        <w:tc>
          <w:tcPr>
            <w:tcW w:w="1101" w:type="dxa"/>
            <w:shd w:val="clear" w:color="auto" w:fill="auto"/>
          </w:tcPr>
          <w:p w14:paraId="2B7F4B62" w14:textId="77777777" w:rsidR="00C55547" w:rsidRPr="00A30C4C" w:rsidDel="00304CB1"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14:paraId="4D7BC1C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ZAKONSKI ROK KONAČNOG DOSPIJEĆA</w:t>
            </w:r>
          </w:p>
          <w:p w14:paraId="1FC5943C" w14:textId="77777777" w:rsidR="00C55547" w:rsidRPr="00A30C4C" w:rsidRDefault="00C55547" w:rsidP="00E10B85">
            <w:pPr>
              <w:spacing w:before="0" w:after="0"/>
              <w:jc w:val="left"/>
              <w:rPr>
                <w:rFonts w:ascii="Times New Roman" w:hAnsi="Times New Roman"/>
                <w:b/>
                <w:sz w:val="24"/>
                <w:u w:val="single"/>
              </w:rPr>
            </w:pPr>
          </w:p>
          <w:p w14:paraId="79D48A53"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Datum kada se cjelokupna glavnica i kamate </w:t>
            </w:r>
            <w:proofErr w:type="spellStart"/>
            <w:r>
              <w:rPr>
                <w:rFonts w:ascii="Times New Roman" w:hAnsi="Times New Roman"/>
                <w:sz w:val="24"/>
              </w:rPr>
              <w:t>sekuritizacije</w:t>
            </w:r>
            <w:proofErr w:type="spellEnd"/>
            <w:r>
              <w:rPr>
                <w:rFonts w:ascii="Times New Roman" w:hAnsi="Times New Roman"/>
                <w:sz w:val="24"/>
              </w:rPr>
              <w:t xml:space="preserve"> moraju zakonski otplatiti (na temelju dokumentacije o transakciji).</w:t>
            </w:r>
          </w:p>
          <w:p w14:paraId="69CB8BC2" w14:textId="77777777" w:rsidR="00C55547" w:rsidRPr="00A30C4C" w:rsidRDefault="00C55547" w:rsidP="00E10B85">
            <w:pPr>
              <w:spacing w:before="0" w:after="0"/>
              <w:jc w:val="left"/>
              <w:rPr>
                <w:rFonts w:ascii="Times New Roman" w:hAnsi="Times New Roman"/>
                <w:sz w:val="24"/>
              </w:rPr>
            </w:pPr>
          </w:p>
          <w:p w14:paraId="40BD8A30" w14:textId="337FBE7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Navodi se dan, mjesec i godina zakonskog roka konačnog dospijeća.</w:t>
            </w:r>
            <w:r>
              <w:rPr>
                <w:rFonts w:ascii="Times New Roman" w:hAnsi="Times New Roman"/>
                <w:szCs w:val="20"/>
              </w:rPr>
              <w:t xml:space="preserve"> </w:t>
            </w:r>
            <w:r>
              <w:rPr>
                <w:rFonts w:ascii="Times New Roman" w:hAnsi="Times New Roman"/>
                <w:sz w:val="24"/>
              </w:rPr>
              <w:t>Ako je ta informacija dostupna, navodi se točan dan, u protivnom se navodi prvi dan u mjesecu.</w:t>
            </w:r>
          </w:p>
          <w:p w14:paraId="426B1ED1" w14:textId="77777777" w:rsidR="00C55547" w:rsidRPr="00A30C4C" w:rsidRDefault="00C55547" w:rsidP="00E10B85">
            <w:pPr>
              <w:spacing w:before="0" w:after="0"/>
              <w:jc w:val="left"/>
              <w:rPr>
                <w:rFonts w:ascii="Times New Roman" w:hAnsi="Times New Roman"/>
                <w:sz w:val="24"/>
              </w:rPr>
            </w:pPr>
          </w:p>
        </w:tc>
      </w:tr>
      <w:tr w:rsidR="00C55547" w:rsidRPr="00A30C4C" w14:paraId="6E297872" w14:textId="77777777" w:rsidTr="00E10B85">
        <w:tc>
          <w:tcPr>
            <w:tcW w:w="1101" w:type="dxa"/>
            <w:shd w:val="clear" w:color="auto" w:fill="auto"/>
          </w:tcPr>
          <w:p w14:paraId="244BAFB9" w14:textId="77777777" w:rsidR="00C55547" w:rsidRPr="00A30C4C" w:rsidRDefault="00C55547" w:rsidP="00BF37A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302-304</w:t>
            </w:r>
          </w:p>
        </w:tc>
        <w:tc>
          <w:tcPr>
            <w:tcW w:w="7903" w:type="dxa"/>
            <w:shd w:val="clear" w:color="auto" w:fill="auto"/>
          </w:tcPr>
          <w:p w14:paraId="06A11EDB"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BILJEŠKE </w:t>
            </w:r>
          </w:p>
        </w:tc>
      </w:tr>
      <w:tr w:rsidR="00C55547" w:rsidRPr="00A30C4C" w14:paraId="72A5FF23" w14:textId="77777777" w:rsidTr="00E10B85">
        <w:tc>
          <w:tcPr>
            <w:tcW w:w="1101" w:type="dxa"/>
            <w:shd w:val="clear" w:color="auto" w:fill="auto"/>
          </w:tcPr>
          <w:p w14:paraId="47FE92CB" w14:textId="77777777" w:rsidR="00C55547" w:rsidRPr="00A30C4C"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rPr>
              <w:t>302</w:t>
            </w:r>
          </w:p>
        </w:tc>
        <w:tc>
          <w:tcPr>
            <w:tcW w:w="7903" w:type="dxa"/>
            <w:shd w:val="clear" w:color="auto" w:fill="auto"/>
          </w:tcPr>
          <w:p w14:paraId="0C524673"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TOČKA SPAJANJA PRODANOG RIZIKA (%)</w:t>
            </w:r>
          </w:p>
          <w:p w14:paraId="4B654EF1" w14:textId="77777777" w:rsidR="00C55547" w:rsidRPr="00A30C4C" w:rsidRDefault="00C55547" w:rsidP="00E10B85">
            <w:pPr>
              <w:spacing w:before="0" w:after="0"/>
              <w:jc w:val="left"/>
              <w:rPr>
                <w:rFonts w:ascii="Times New Roman" w:hAnsi="Times New Roman"/>
                <w:b/>
                <w:sz w:val="24"/>
                <w:u w:val="single"/>
              </w:rPr>
            </w:pPr>
          </w:p>
          <w:p w14:paraId="089250FD" w14:textId="60722CEE" w:rsidR="00C55547" w:rsidRPr="00A30C4C" w:rsidRDefault="00C55547" w:rsidP="00E10B85">
            <w:pPr>
              <w:spacing w:before="0" w:after="0"/>
              <w:jc w:val="left"/>
              <w:rPr>
                <w:rFonts w:ascii="Times New Roman" w:hAnsi="Times New Roman"/>
                <w:b/>
                <w:sz w:val="24"/>
                <w:u w:val="single"/>
              </w:rPr>
            </w:pPr>
            <w:r>
              <w:rPr>
                <w:rFonts w:ascii="Times New Roman" w:hAnsi="Times New Roman"/>
                <w:sz w:val="24"/>
              </w:rPr>
              <w:t xml:space="preserve">Samo inicijatori iskazuju točku spajanja najpodređenije tranše koja se u tradicionalnim </w:t>
            </w:r>
            <w:proofErr w:type="spellStart"/>
            <w:r>
              <w:rPr>
                <w:rFonts w:ascii="Times New Roman" w:hAnsi="Times New Roman"/>
                <w:sz w:val="24"/>
              </w:rPr>
              <w:t>sekuritizacijama</w:t>
            </w:r>
            <w:proofErr w:type="spellEnd"/>
            <w:r>
              <w:rPr>
                <w:rFonts w:ascii="Times New Roman" w:hAnsi="Times New Roman"/>
                <w:sz w:val="24"/>
              </w:rPr>
              <w:t xml:space="preserve"> prodaje trećim stranama, a kojoj u sintetskim </w:t>
            </w:r>
            <w:proofErr w:type="spellStart"/>
            <w:r>
              <w:rPr>
                <w:rFonts w:ascii="Times New Roman" w:hAnsi="Times New Roman"/>
                <w:sz w:val="24"/>
              </w:rPr>
              <w:t>sekuritizacijama</w:t>
            </w:r>
            <w:proofErr w:type="spellEnd"/>
            <w:r>
              <w:rPr>
                <w:rFonts w:ascii="Times New Roman" w:hAnsi="Times New Roman"/>
                <w:sz w:val="24"/>
              </w:rPr>
              <w:t xml:space="preserve"> zaštitu daju treće strane.</w:t>
            </w:r>
          </w:p>
          <w:p w14:paraId="7039C0CA"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79000E3" w14:textId="77777777" w:rsidTr="00E10B85">
        <w:tc>
          <w:tcPr>
            <w:tcW w:w="1101" w:type="dxa"/>
            <w:shd w:val="clear" w:color="auto" w:fill="auto"/>
          </w:tcPr>
          <w:p w14:paraId="6539E85C" w14:textId="77777777" w:rsidR="00C55547" w:rsidRPr="00A30C4C"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rPr>
              <w:t>303</w:t>
            </w:r>
          </w:p>
        </w:tc>
        <w:tc>
          <w:tcPr>
            <w:tcW w:w="7903" w:type="dxa"/>
            <w:shd w:val="clear" w:color="auto" w:fill="auto"/>
          </w:tcPr>
          <w:p w14:paraId="7993FAF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TOČKA RAZDVAJANJA PRODANOG RIZIKA (%)</w:t>
            </w:r>
          </w:p>
          <w:p w14:paraId="3D10DFDB" w14:textId="77777777" w:rsidR="00C55547" w:rsidRPr="00A30C4C" w:rsidRDefault="00C55547" w:rsidP="00E10B85">
            <w:pPr>
              <w:spacing w:before="0" w:after="0"/>
              <w:jc w:val="left"/>
              <w:rPr>
                <w:rFonts w:ascii="Times New Roman" w:hAnsi="Times New Roman"/>
                <w:b/>
                <w:sz w:val="24"/>
                <w:u w:val="single"/>
              </w:rPr>
            </w:pPr>
          </w:p>
          <w:p w14:paraId="4B689885" w14:textId="3A96C1B3"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Samo inicijatori iskazuju točku razdvajanja </w:t>
            </w:r>
            <w:proofErr w:type="spellStart"/>
            <w:r>
              <w:rPr>
                <w:rFonts w:ascii="Times New Roman" w:hAnsi="Times New Roman"/>
                <w:sz w:val="24"/>
              </w:rPr>
              <w:t>najnadređenije</w:t>
            </w:r>
            <w:proofErr w:type="spellEnd"/>
            <w:r>
              <w:rPr>
                <w:rFonts w:ascii="Times New Roman" w:hAnsi="Times New Roman"/>
                <w:sz w:val="24"/>
              </w:rPr>
              <w:t xml:space="preserve"> tranše koja se u tradicionalnim </w:t>
            </w:r>
            <w:proofErr w:type="spellStart"/>
            <w:r>
              <w:rPr>
                <w:rFonts w:ascii="Times New Roman" w:hAnsi="Times New Roman"/>
                <w:sz w:val="24"/>
              </w:rPr>
              <w:t>sekuritizacijama</w:t>
            </w:r>
            <w:proofErr w:type="spellEnd"/>
            <w:r>
              <w:rPr>
                <w:rFonts w:ascii="Times New Roman" w:hAnsi="Times New Roman"/>
                <w:sz w:val="24"/>
              </w:rPr>
              <w:t xml:space="preserve"> prodaje trećim stranama, a kojoj u sintetskim </w:t>
            </w:r>
            <w:proofErr w:type="spellStart"/>
            <w:r>
              <w:rPr>
                <w:rFonts w:ascii="Times New Roman" w:hAnsi="Times New Roman"/>
                <w:sz w:val="24"/>
              </w:rPr>
              <w:t>sekuritizacijama</w:t>
            </w:r>
            <w:proofErr w:type="spellEnd"/>
            <w:r>
              <w:rPr>
                <w:rFonts w:ascii="Times New Roman" w:hAnsi="Times New Roman"/>
                <w:sz w:val="24"/>
              </w:rPr>
              <w:t xml:space="preserve"> zaštitu daju treće strane.</w:t>
            </w:r>
          </w:p>
          <w:p w14:paraId="06AFF67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F86659B" w14:textId="77777777" w:rsidTr="00E10B85">
        <w:tc>
          <w:tcPr>
            <w:tcW w:w="1101" w:type="dxa"/>
            <w:shd w:val="clear" w:color="auto" w:fill="auto"/>
          </w:tcPr>
          <w:p w14:paraId="5A7ED862" w14:textId="77777777" w:rsidR="00C55547" w:rsidRPr="00A30C4C"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rPr>
              <w:t>304</w:t>
            </w:r>
          </w:p>
        </w:tc>
        <w:tc>
          <w:tcPr>
            <w:tcW w:w="7903" w:type="dxa"/>
            <w:shd w:val="clear" w:color="auto" w:fill="auto"/>
          </w:tcPr>
          <w:p w14:paraId="4F401239"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PRIJENOS RIZIKA KOJI ISKAZUJE INSTITUCIJA INICIJATOR</w:t>
            </w:r>
          </w:p>
          <w:p w14:paraId="680800C0" w14:textId="77777777" w:rsidR="00C55547" w:rsidRPr="00A30C4C" w:rsidRDefault="00C55547" w:rsidP="00E10B85">
            <w:pPr>
              <w:spacing w:before="0" w:after="0"/>
              <w:jc w:val="left"/>
              <w:rPr>
                <w:rFonts w:ascii="Times New Roman" w:hAnsi="Times New Roman"/>
                <w:b/>
                <w:sz w:val="24"/>
                <w:u w:val="single"/>
              </w:rPr>
            </w:pPr>
          </w:p>
          <w:p w14:paraId="1611C31C" w14:textId="3ED215FA"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Samo inicijatori iskazuju očekivani gubitak (EL) uvećan za neočekivani gubitak (UL) </w:t>
            </w:r>
            <w:proofErr w:type="spellStart"/>
            <w:r>
              <w:rPr>
                <w:rFonts w:ascii="Times New Roman" w:hAnsi="Times New Roman"/>
                <w:sz w:val="24"/>
              </w:rPr>
              <w:t>sekuritizirane</w:t>
            </w:r>
            <w:proofErr w:type="spellEnd"/>
            <w:r>
              <w:rPr>
                <w:rFonts w:ascii="Times New Roman" w:hAnsi="Times New Roman"/>
                <w:sz w:val="24"/>
              </w:rPr>
              <w:t xml:space="preserve"> imovine prenesene na treće strane kao postotak ukupnog EL-a uvećanog za UL. Iskazuju se EL i UL odnosnih izloženosti, koji se zatim po redoslijedu isplate u </w:t>
            </w:r>
            <w:proofErr w:type="spellStart"/>
            <w:r>
              <w:rPr>
                <w:rFonts w:ascii="Times New Roman" w:hAnsi="Times New Roman"/>
                <w:sz w:val="24"/>
              </w:rPr>
              <w:t>sekuritizaciji</w:t>
            </w:r>
            <w:proofErr w:type="spellEnd"/>
            <w:r>
              <w:rPr>
                <w:rFonts w:ascii="Times New Roman" w:hAnsi="Times New Roman"/>
                <w:sz w:val="24"/>
              </w:rPr>
              <w:t xml:space="preserve"> raspoređuju u odnosne tranše </w:t>
            </w:r>
            <w:proofErr w:type="spellStart"/>
            <w:r>
              <w:rPr>
                <w:rFonts w:ascii="Times New Roman" w:hAnsi="Times New Roman"/>
                <w:sz w:val="24"/>
              </w:rPr>
              <w:t>sekuritizacije</w:t>
            </w:r>
            <w:proofErr w:type="spellEnd"/>
            <w:r>
              <w:rPr>
                <w:rFonts w:ascii="Times New Roman" w:hAnsi="Times New Roman"/>
                <w:sz w:val="24"/>
              </w:rPr>
              <w:t xml:space="preserve">. Za banke koje koriste standardni pristup EL je specifičan ispravak vrijednosti za kreditni rizik </w:t>
            </w:r>
            <w:proofErr w:type="spellStart"/>
            <w:r>
              <w:rPr>
                <w:rFonts w:ascii="Times New Roman" w:hAnsi="Times New Roman"/>
                <w:sz w:val="24"/>
              </w:rPr>
              <w:t>sekuritizirane</w:t>
            </w:r>
            <w:proofErr w:type="spellEnd"/>
            <w:r>
              <w:rPr>
                <w:rFonts w:ascii="Times New Roman" w:hAnsi="Times New Roman"/>
                <w:sz w:val="24"/>
              </w:rPr>
              <w:t xml:space="preserve"> imovine, a UL je kapitalni zahtjev </w:t>
            </w:r>
            <w:proofErr w:type="spellStart"/>
            <w:r>
              <w:rPr>
                <w:rFonts w:ascii="Times New Roman" w:hAnsi="Times New Roman"/>
                <w:sz w:val="24"/>
              </w:rPr>
              <w:t>sekuritiziranih</w:t>
            </w:r>
            <w:proofErr w:type="spellEnd"/>
            <w:r>
              <w:rPr>
                <w:rFonts w:ascii="Times New Roman" w:hAnsi="Times New Roman"/>
                <w:sz w:val="24"/>
              </w:rPr>
              <w:t xml:space="preserve"> izloženosti. </w:t>
            </w:r>
          </w:p>
          <w:p w14:paraId="4276B83A" w14:textId="77777777" w:rsidR="00C55547" w:rsidRPr="00A30C4C" w:rsidRDefault="00C55547" w:rsidP="00E10B85">
            <w:pPr>
              <w:spacing w:before="0" w:after="0"/>
              <w:jc w:val="left"/>
              <w:rPr>
                <w:rFonts w:ascii="Times New Roman" w:hAnsi="Times New Roman"/>
                <w:b/>
                <w:sz w:val="24"/>
                <w:u w:val="single"/>
              </w:rPr>
            </w:pPr>
          </w:p>
        </w:tc>
      </w:tr>
    </w:tbl>
    <w:p w14:paraId="41F4D1A9" w14:textId="77777777" w:rsidR="00612780" w:rsidRPr="00A30C4C" w:rsidRDefault="00612780">
      <w:pPr>
        <w:spacing w:before="0" w:after="0"/>
        <w:jc w:val="left"/>
        <w:rPr>
          <w:rStyle w:val="InstructionsTabelleText"/>
          <w:rFonts w:ascii="Times New Roman" w:hAnsi="Times New Roman"/>
          <w:sz w:val="24"/>
        </w:rPr>
      </w:pPr>
    </w:p>
    <w:p w14:paraId="681C1EE1" w14:textId="77777777" w:rsidR="00FC6275" w:rsidRPr="00A30C4C" w:rsidRDefault="00FC6275" w:rsidP="00FC6275">
      <w:pPr>
        <w:pStyle w:val="Instructionsberschrift2"/>
        <w:numPr>
          <w:ilvl w:val="0"/>
          <w:numId w:val="0"/>
        </w:numPr>
        <w:ind w:left="357" w:hanging="357"/>
        <w:rPr>
          <w:rFonts w:ascii="Times New Roman" w:hAnsi="Times New Roman" w:cs="Times New Roman"/>
          <w:sz w:val="24"/>
        </w:rPr>
      </w:pPr>
      <w:bookmarkStart w:id="399" w:name="_Toc522019895"/>
      <w:bookmarkStart w:id="400" w:name="_Toc30677689"/>
      <w:r>
        <w:rPr>
          <w:rFonts w:ascii="Times New Roman" w:hAnsi="Times New Roman"/>
          <w:sz w:val="24"/>
          <w:u w:val="none"/>
        </w:rPr>
        <w:t>3.9.4.</w:t>
      </w:r>
      <w:r>
        <w:rPr>
          <w:rFonts w:ascii="Times New Roman" w:hAnsi="Times New Roman"/>
          <w:sz w:val="24"/>
          <w:u w:val="none"/>
        </w:rPr>
        <w:tab/>
      </w:r>
      <w:r>
        <w:rPr>
          <w:rFonts w:ascii="Times New Roman" w:hAnsi="Times New Roman"/>
          <w:sz w:val="24"/>
        </w:rPr>
        <w:t xml:space="preserve">C 14.01 – Detaljne informacije o </w:t>
      </w:r>
      <w:proofErr w:type="spellStart"/>
      <w:r>
        <w:rPr>
          <w:rFonts w:ascii="Times New Roman" w:hAnsi="Times New Roman"/>
          <w:sz w:val="24"/>
        </w:rPr>
        <w:t>sekuritizacijama</w:t>
      </w:r>
      <w:proofErr w:type="spellEnd"/>
      <w:r>
        <w:rPr>
          <w:rFonts w:ascii="Times New Roman" w:hAnsi="Times New Roman"/>
          <w:sz w:val="24"/>
        </w:rPr>
        <w:t xml:space="preserve"> (SEC DETALJNIJI PODACI 2)</w:t>
      </w:r>
      <w:bookmarkEnd w:id="399"/>
      <w:bookmarkEnd w:id="400"/>
    </w:p>
    <w:p w14:paraId="19D97974" w14:textId="77777777" w:rsidR="00CA4EB2" w:rsidRPr="00A30C4C" w:rsidRDefault="00CA4EB2" w:rsidP="00ED1379">
      <w:pPr>
        <w:pStyle w:val="InstructionsText2"/>
        <w:numPr>
          <w:ilvl w:val="0"/>
          <w:numId w:val="0"/>
        </w:numPr>
      </w:pPr>
      <w:bookmarkStart w:id="401" w:name="_Toc522019896"/>
      <w:r>
        <w:t>113c. Obrazac SEC DETALJNIJI PODACI 2 iskazuje se zasebno za sljedeće pristupe:</w:t>
      </w:r>
    </w:p>
    <w:p w14:paraId="47151734" w14:textId="77777777" w:rsidR="00CA4EB2" w:rsidRPr="0002267E" w:rsidRDefault="00CA4EB2" w:rsidP="00ED1379">
      <w:pPr>
        <w:pStyle w:val="InstructionsText2"/>
        <w:numPr>
          <w:ilvl w:val="0"/>
          <w:numId w:val="0"/>
        </w:numPr>
        <w:ind w:firstLine="423"/>
      </w:pPr>
      <w:r>
        <w:t>1. SEC-IRBA;</w:t>
      </w:r>
    </w:p>
    <w:p w14:paraId="0F280B59" w14:textId="77777777" w:rsidR="00CA4EB2" w:rsidRPr="0002267E" w:rsidRDefault="00CA4EB2" w:rsidP="00ED1379">
      <w:pPr>
        <w:pStyle w:val="InstructionsText2"/>
        <w:numPr>
          <w:ilvl w:val="0"/>
          <w:numId w:val="0"/>
        </w:numPr>
        <w:ind w:firstLine="423"/>
      </w:pPr>
      <w:r>
        <w:t>2. SEC-SA;</w:t>
      </w:r>
    </w:p>
    <w:p w14:paraId="0E480690" w14:textId="77777777" w:rsidR="00CA4EB2" w:rsidRPr="0002267E" w:rsidRDefault="00CA4EB2" w:rsidP="00ED1379">
      <w:pPr>
        <w:pStyle w:val="InstructionsText2"/>
        <w:numPr>
          <w:ilvl w:val="0"/>
          <w:numId w:val="0"/>
        </w:numPr>
        <w:ind w:firstLine="423"/>
      </w:pPr>
      <w:r>
        <w:t>3. SEC-ERBA;</w:t>
      </w:r>
    </w:p>
    <w:p w14:paraId="7C3082BF" w14:textId="77777777" w:rsidR="00CA4EB2" w:rsidRPr="00A30C4C" w:rsidRDefault="00CA4EB2" w:rsidP="00ED1379">
      <w:pPr>
        <w:pStyle w:val="InstructionsText2"/>
        <w:numPr>
          <w:ilvl w:val="0"/>
          <w:numId w:val="0"/>
        </w:numPr>
        <w:ind w:firstLine="423"/>
      </w:pPr>
      <w:r>
        <w:t>4. 1 250 %</w:t>
      </w:r>
    </w:p>
    <w:p w14:paraId="6C14E1AE" w14:textId="77777777" w:rsidR="000B73C4" w:rsidRPr="00A30C4C" w:rsidRDefault="000B73C4" w:rsidP="00ED1379">
      <w:pPr>
        <w:pStyle w:val="InstructionsText2"/>
        <w:numPr>
          <w:ilvl w:val="0"/>
          <w:numId w:val="0"/>
        </w:numPr>
        <w:ind w:firstLine="423"/>
      </w:pPr>
    </w:p>
    <w:bookmarkEnd w:id="401"/>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A30C4C" w14:paraId="24B629CB" w14:textId="77777777" w:rsidTr="00E10B85">
        <w:tc>
          <w:tcPr>
            <w:tcW w:w="9004" w:type="dxa"/>
            <w:gridSpan w:val="2"/>
            <w:shd w:val="clear" w:color="auto" w:fill="CCCCCC"/>
          </w:tcPr>
          <w:p w14:paraId="7822B9A2"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A30C4C"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Stupci</w:t>
            </w:r>
          </w:p>
          <w:p w14:paraId="7A839348"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p>
        </w:tc>
      </w:tr>
      <w:tr w:rsidR="00FC6275" w:rsidRPr="00A30C4C" w14:paraId="46BFB097" w14:textId="77777777" w:rsidTr="00E10B85">
        <w:tc>
          <w:tcPr>
            <w:tcW w:w="1101" w:type="dxa"/>
          </w:tcPr>
          <w:p w14:paraId="7B6E154D"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005</w:t>
            </w:r>
          </w:p>
        </w:tc>
        <w:tc>
          <w:tcPr>
            <w:tcW w:w="7903" w:type="dxa"/>
          </w:tcPr>
          <w:p w14:paraId="493432E4"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BROJ RETKA</w:t>
            </w:r>
          </w:p>
          <w:p w14:paraId="729141D9" w14:textId="77777777" w:rsidR="00FC6275" w:rsidRPr="00A30C4C" w:rsidRDefault="00FC6275" w:rsidP="00E10B85">
            <w:pPr>
              <w:spacing w:before="0" w:after="0"/>
              <w:jc w:val="left"/>
              <w:rPr>
                <w:rFonts w:ascii="Times New Roman" w:hAnsi="Times New Roman"/>
                <w:b/>
                <w:sz w:val="24"/>
                <w:u w:val="single"/>
              </w:rPr>
            </w:pPr>
          </w:p>
          <w:p w14:paraId="499806AF" w14:textId="2FD2D0FF"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Broj retka je identifikator retka i jedinstven je za svaki redak u obrascu. Navodi se numeričkim redoslijedom 1, 2, 3 itd.</w:t>
            </w:r>
          </w:p>
          <w:p w14:paraId="6845544B" w14:textId="77777777" w:rsidR="00FC6275" w:rsidRPr="00A30C4C" w:rsidRDefault="00FC6275" w:rsidP="00E10B85">
            <w:pPr>
              <w:autoSpaceDE w:val="0"/>
              <w:autoSpaceDN w:val="0"/>
              <w:adjustRightInd w:val="0"/>
              <w:spacing w:before="0" w:after="0"/>
              <w:rPr>
                <w:rFonts w:ascii="Times New Roman" w:hAnsi="Times New Roman"/>
                <w:b/>
                <w:sz w:val="24"/>
                <w:u w:val="single"/>
              </w:rPr>
            </w:pPr>
          </w:p>
        </w:tc>
      </w:tr>
      <w:tr w:rsidR="00FC6275" w:rsidRPr="00A30C4C" w14:paraId="59423977" w14:textId="77777777" w:rsidTr="00E10B85">
        <w:tc>
          <w:tcPr>
            <w:tcW w:w="1101" w:type="dxa"/>
          </w:tcPr>
          <w:p w14:paraId="42E6678C" w14:textId="77777777" w:rsidR="00FC6275" w:rsidRPr="00A30C4C" w:rsidRDefault="00FC6275"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lastRenderedPageBreak/>
              <w:t>010</w:t>
            </w:r>
          </w:p>
        </w:tc>
        <w:tc>
          <w:tcPr>
            <w:tcW w:w="7903" w:type="dxa"/>
          </w:tcPr>
          <w:p w14:paraId="1C1F45C5"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INTERNA OZNAKA</w:t>
            </w:r>
          </w:p>
          <w:p w14:paraId="76C45D39" w14:textId="77777777" w:rsidR="00FC6275" w:rsidRPr="00A30C4C" w:rsidRDefault="00FC6275" w:rsidP="00E10B85">
            <w:pPr>
              <w:spacing w:before="0" w:after="0"/>
              <w:jc w:val="left"/>
              <w:rPr>
                <w:rFonts w:ascii="Times New Roman" w:hAnsi="Times New Roman"/>
                <w:sz w:val="24"/>
              </w:rPr>
            </w:pPr>
          </w:p>
          <w:p w14:paraId="6639388F"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Interna (alfanumerička) oznaka koju institucije koriste za utvrđivanje </w:t>
            </w:r>
            <w:proofErr w:type="spellStart"/>
            <w:r>
              <w:rPr>
                <w:rFonts w:ascii="Times New Roman" w:hAnsi="Times New Roman"/>
                <w:sz w:val="24"/>
              </w:rPr>
              <w:t>sekuritizacije</w:t>
            </w:r>
            <w:proofErr w:type="spellEnd"/>
            <w:r>
              <w:rPr>
                <w:rFonts w:ascii="Times New Roman" w:hAnsi="Times New Roman"/>
                <w:sz w:val="24"/>
              </w:rPr>
              <w:t xml:space="preserve">. Interna oznaka povezuje se s identifikatorom </w:t>
            </w:r>
            <w:proofErr w:type="spellStart"/>
            <w:r>
              <w:rPr>
                <w:rFonts w:ascii="Times New Roman" w:hAnsi="Times New Roman"/>
                <w:sz w:val="24"/>
              </w:rPr>
              <w:t>sekuritizacijske</w:t>
            </w:r>
            <w:proofErr w:type="spellEnd"/>
            <w:r>
              <w:rPr>
                <w:rFonts w:ascii="Times New Roman" w:hAnsi="Times New Roman"/>
                <w:sz w:val="24"/>
              </w:rPr>
              <w:t xml:space="preserve"> transakcije.</w:t>
            </w:r>
          </w:p>
          <w:p w14:paraId="3C3BB2AC" w14:textId="77777777" w:rsidR="00FC6275" w:rsidRPr="00A30C4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30C4C" w14:paraId="57044FE5" w14:textId="77777777" w:rsidTr="00E10B85">
        <w:tc>
          <w:tcPr>
            <w:tcW w:w="1101" w:type="dxa"/>
          </w:tcPr>
          <w:p w14:paraId="5CA360EC"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14:paraId="02CA1DA6"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IDENTIFIKATOR SEKURITIZACIJE </w:t>
            </w:r>
            <w:r>
              <w:rPr>
                <w:rFonts w:ascii="Times New Roman" w:hAnsi="Times New Roman"/>
                <w:b/>
                <w:sz w:val="24"/>
              </w:rPr>
              <w:t xml:space="preserve"> (oznaka/naziv)</w:t>
            </w:r>
          </w:p>
          <w:p w14:paraId="1EE0099A" w14:textId="77777777" w:rsidR="00FC6275" w:rsidRPr="00A30C4C" w:rsidRDefault="00FC6275" w:rsidP="00E10B85">
            <w:pPr>
              <w:spacing w:before="0" w:after="0"/>
              <w:jc w:val="left"/>
              <w:rPr>
                <w:rFonts w:ascii="Times New Roman" w:hAnsi="Times New Roman"/>
                <w:sz w:val="24"/>
              </w:rPr>
            </w:pPr>
          </w:p>
          <w:p w14:paraId="13DD1771" w14:textId="45A8A559"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Oznaka koja se koristi za zakonski upis </w:t>
            </w:r>
            <w:proofErr w:type="spellStart"/>
            <w:r>
              <w:rPr>
                <w:rFonts w:ascii="Times New Roman" w:hAnsi="Times New Roman"/>
                <w:sz w:val="24"/>
              </w:rPr>
              <w:t>sekuritizacijske</w:t>
            </w:r>
            <w:proofErr w:type="spellEnd"/>
            <w:r>
              <w:rPr>
                <w:rFonts w:ascii="Times New Roman" w:hAnsi="Times New Roman"/>
                <w:sz w:val="24"/>
              </w:rPr>
              <w:t xml:space="preserve"> pozicije, ili transakcije u slučaju više pozicija koje se mogu iskazati u istom retku ili, ako nije dostupna, naziv po kojem je </w:t>
            </w:r>
            <w:proofErr w:type="spellStart"/>
            <w:r>
              <w:rPr>
                <w:rFonts w:ascii="Times New Roman" w:hAnsi="Times New Roman"/>
                <w:sz w:val="24"/>
              </w:rPr>
              <w:t>sekuritizacijska</w:t>
            </w:r>
            <w:proofErr w:type="spellEnd"/>
            <w:r>
              <w:rPr>
                <w:rFonts w:ascii="Times New Roman" w:hAnsi="Times New Roman"/>
                <w:sz w:val="24"/>
              </w:rPr>
              <w:t xml:space="preserve"> pozicija ili transakcija poznata na tržištu, ili unutar institucije u slučaju interne ili privatne </w:t>
            </w:r>
            <w:proofErr w:type="spellStart"/>
            <w:r>
              <w:rPr>
                <w:rFonts w:ascii="Times New Roman" w:hAnsi="Times New Roman"/>
                <w:sz w:val="24"/>
              </w:rPr>
              <w:t>sekuritizacije</w:t>
            </w:r>
            <w:proofErr w:type="spellEnd"/>
            <w:r>
              <w:rPr>
                <w:rFonts w:ascii="Times New Roman" w:hAnsi="Times New Roman"/>
                <w:sz w:val="24"/>
              </w:rPr>
              <w:t xml:space="preserve">. Ako je dostupan međunarodni identifikacijski broj vrijednosnog papira (ISIN) (tj. za javne transakcije), u ovom se stupcu iskazuju znakovi koji su zajednički svim tranšama </w:t>
            </w:r>
            <w:proofErr w:type="spellStart"/>
            <w:r>
              <w:rPr>
                <w:rFonts w:ascii="Times New Roman" w:hAnsi="Times New Roman"/>
                <w:sz w:val="24"/>
              </w:rPr>
              <w:t>sekuritizacije</w:t>
            </w:r>
            <w:proofErr w:type="spellEnd"/>
            <w:r>
              <w:rPr>
                <w:rFonts w:ascii="Times New Roman" w:hAnsi="Times New Roman"/>
                <w:sz w:val="24"/>
              </w:rPr>
              <w:t>.</w:t>
            </w:r>
          </w:p>
          <w:p w14:paraId="23D900E6" w14:textId="77777777" w:rsidR="00FC6275" w:rsidRPr="00A30C4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30C4C" w14:paraId="553DE7E4" w14:textId="77777777" w:rsidTr="00E10B85">
        <w:tc>
          <w:tcPr>
            <w:tcW w:w="1101" w:type="dxa"/>
          </w:tcPr>
          <w:p w14:paraId="5B79E3F3"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14:paraId="6E2AC05C" w14:textId="71DC1195"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SEKURITIZACIJSKE POZICIJE: ORIGINALNA IZLOŽENOST PRIJE KONVERZIJSKIH FAKTORA</w:t>
            </w:r>
          </w:p>
          <w:p w14:paraId="79227684" w14:textId="77777777" w:rsidR="00FC6275" w:rsidRPr="00A30C4C" w:rsidRDefault="00FC6275" w:rsidP="00E10B85">
            <w:pPr>
              <w:spacing w:before="0" w:after="0"/>
              <w:jc w:val="left"/>
              <w:rPr>
                <w:rFonts w:ascii="Times New Roman" w:hAnsi="Times New Roman"/>
                <w:sz w:val="24"/>
              </w:rPr>
            </w:pPr>
          </w:p>
          <w:p w14:paraId="3A2991C7" w14:textId="42C60B50" w:rsidR="00FC6275" w:rsidRPr="00A30C4C" w:rsidRDefault="00FC6275" w:rsidP="00E10B85">
            <w:pPr>
              <w:spacing w:before="0" w:after="0"/>
              <w:rPr>
                <w:rFonts w:ascii="Times New Roman" w:hAnsi="Times New Roman"/>
                <w:sz w:val="24"/>
              </w:rPr>
            </w:pPr>
            <w:r>
              <w:rPr>
                <w:rFonts w:ascii="Times New Roman" w:hAnsi="Times New Roman"/>
                <w:sz w:val="24"/>
              </w:rPr>
              <w:t xml:space="preserve">U ovom se skupu stupaca prikupljaju informacije o </w:t>
            </w:r>
            <w:proofErr w:type="spellStart"/>
            <w:r>
              <w:rPr>
                <w:rFonts w:ascii="Times New Roman" w:hAnsi="Times New Roman"/>
                <w:sz w:val="24"/>
              </w:rPr>
              <w:t>sekuritizacijskim</w:t>
            </w:r>
            <w:proofErr w:type="spellEnd"/>
            <w:r>
              <w:rPr>
                <w:rFonts w:ascii="Times New Roman" w:hAnsi="Times New Roman"/>
                <w:sz w:val="24"/>
              </w:rPr>
              <w:t xml:space="preserve"> pozicijama raščlanjenim prema bilančnim/</w:t>
            </w:r>
            <w:proofErr w:type="spellStart"/>
            <w:r>
              <w:rPr>
                <w:rFonts w:ascii="Times New Roman" w:hAnsi="Times New Roman"/>
                <w:sz w:val="24"/>
              </w:rPr>
              <w:t>izvanbilančnim</w:t>
            </w:r>
            <w:proofErr w:type="spellEnd"/>
            <w:r>
              <w:rPr>
                <w:rFonts w:ascii="Times New Roman" w:hAnsi="Times New Roman"/>
                <w:sz w:val="24"/>
              </w:rPr>
              <w:t xml:space="preserve"> pozicijama i tranšama (nadređene/mezaninske/prvoga gubitka) na izvještajni datum. </w:t>
            </w:r>
          </w:p>
          <w:p w14:paraId="67CA4174" w14:textId="77777777" w:rsidR="00FC6275" w:rsidRPr="00A30C4C" w:rsidRDefault="00FC6275" w:rsidP="00E10B85">
            <w:pPr>
              <w:spacing w:before="0" w:after="0"/>
              <w:jc w:val="left"/>
              <w:rPr>
                <w:rFonts w:ascii="Times New Roman" w:hAnsi="Times New Roman"/>
                <w:sz w:val="24"/>
              </w:rPr>
            </w:pPr>
          </w:p>
        </w:tc>
      </w:tr>
      <w:tr w:rsidR="00FC6275" w:rsidRPr="00A30C4C" w14:paraId="18FAD142" w14:textId="77777777" w:rsidTr="00E10B85">
        <w:tc>
          <w:tcPr>
            <w:tcW w:w="1101" w:type="dxa"/>
          </w:tcPr>
          <w:p w14:paraId="42F5ED1F"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310-330</w:t>
            </w:r>
          </w:p>
        </w:tc>
        <w:tc>
          <w:tcPr>
            <w:tcW w:w="7903" w:type="dxa"/>
          </w:tcPr>
          <w:p w14:paraId="6F968930"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BILANČNE STAVKE </w:t>
            </w:r>
          </w:p>
          <w:p w14:paraId="7D19E8D9" w14:textId="77777777" w:rsidR="00FC6275" w:rsidRPr="00A30C4C" w:rsidRDefault="00FC6275" w:rsidP="00E10B85">
            <w:pPr>
              <w:spacing w:before="0" w:after="0"/>
              <w:jc w:val="left"/>
              <w:rPr>
                <w:rFonts w:ascii="Times New Roman" w:hAnsi="Times New Roman"/>
                <w:sz w:val="24"/>
              </w:rPr>
            </w:pPr>
          </w:p>
          <w:p w14:paraId="6606DB1E" w14:textId="77777777" w:rsidR="00FC6275" w:rsidRPr="00A30C4C" w:rsidRDefault="00FC6275" w:rsidP="00E10B85">
            <w:pPr>
              <w:spacing w:before="0" w:after="0"/>
              <w:jc w:val="left"/>
              <w:rPr>
                <w:rFonts w:ascii="Times New Roman" w:hAnsi="Times New Roman"/>
                <w:sz w:val="24"/>
              </w:rPr>
            </w:pPr>
            <w:r>
              <w:rPr>
                <w:rFonts w:ascii="Times New Roman" w:hAnsi="Times New Roman"/>
                <w:sz w:val="24"/>
              </w:rPr>
              <w:t>Ovdje se primjenjuju jednaki kriteriji raščlanjivanja tranši koji se primjenjuju u stupcima 230, 240 i 250.</w:t>
            </w:r>
          </w:p>
          <w:p w14:paraId="30110BB4" w14:textId="77777777" w:rsidR="00FC6275" w:rsidRPr="00A30C4C" w:rsidRDefault="00FC6275" w:rsidP="00E10B85">
            <w:pPr>
              <w:spacing w:before="0" w:after="0"/>
              <w:jc w:val="left"/>
              <w:rPr>
                <w:rFonts w:ascii="Times New Roman" w:hAnsi="Times New Roman"/>
                <w:sz w:val="24"/>
              </w:rPr>
            </w:pPr>
          </w:p>
        </w:tc>
      </w:tr>
      <w:tr w:rsidR="00FC6275" w:rsidRPr="00A30C4C" w14:paraId="63BABDFF" w14:textId="77777777" w:rsidTr="00E10B85">
        <w:tc>
          <w:tcPr>
            <w:tcW w:w="1101" w:type="dxa"/>
          </w:tcPr>
          <w:p w14:paraId="693A94C9"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340-361</w:t>
            </w:r>
          </w:p>
        </w:tc>
        <w:tc>
          <w:tcPr>
            <w:tcW w:w="7903" w:type="dxa"/>
          </w:tcPr>
          <w:p w14:paraId="076ACBA0"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IZVANBILANČNE STAVKE I IZVEDENICE</w:t>
            </w:r>
          </w:p>
          <w:p w14:paraId="27125C1E" w14:textId="77777777" w:rsidR="00FC6275" w:rsidRPr="00A30C4C" w:rsidRDefault="00FC6275" w:rsidP="00E10B85">
            <w:pPr>
              <w:spacing w:before="0" w:after="0"/>
              <w:jc w:val="left"/>
              <w:rPr>
                <w:rFonts w:ascii="Times New Roman" w:hAnsi="Times New Roman"/>
                <w:sz w:val="24"/>
              </w:rPr>
            </w:pPr>
          </w:p>
          <w:p w14:paraId="0664BE13" w14:textId="77777777" w:rsidR="00FC6275" w:rsidRPr="00A30C4C" w:rsidRDefault="00FC6275" w:rsidP="00E10B85">
            <w:pPr>
              <w:spacing w:before="0" w:after="0"/>
              <w:jc w:val="left"/>
              <w:rPr>
                <w:rFonts w:ascii="Times New Roman" w:hAnsi="Times New Roman"/>
                <w:sz w:val="24"/>
              </w:rPr>
            </w:pPr>
            <w:r>
              <w:rPr>
                <w:rFonts w:ascii="Times New Roman" w:hAnsi="Times New Roman"/>
                <w:sz w:val="24"/>
              </w:rPr>
              <w:t>Ovdje se primjenjuju jednaki kriteriji raščlanjivanja tranši koji se primjenjuju u stupcima od 260 do 280.</w:t>
            </w:r>
          </w:p>
          <w:p w14:paraId="61DC83D7" w14:textId="77777777" w:rsidR="00FC6275" w:rsidRPr="00A30C4C" w:rsidRDefault="00FC6275" w:rsidP="00E10B85">
            <w:pPr>
              <w:spacing w:before="0" w:after="0"/>
              <w:jc w:val="left"/>
              <w:rPr>
                <w:rFonts w:ascii="Times New Roman" w:hAnsi="Times New Roman"/>
                <w:sz w:val="24"/>
              </w:rPr>
            </w:pPr>
          </w:p>
        </w:tc>
      </w:tr>
      <w:tr w:rsidR="00FC6275" w:rsidRPr="00A30C4C" w14:paraId="49D31348" w14:textId="77777777" w:rsidTr="00E10B85">
        <w:tc>
          <w:tcPr>
            <w:tcW w:w="1101" w:type="dxa"/>
          </w:tcPr>
          <w:p w14:paraId="0E17D940"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351 i 361</w:t>
            </w:r>
          </w:p>
        </w:tc>
        <w:tc>
          <w:tcPr>
            <w:tcW w:w="7903" w:type="dxa"/>
          </w:tcPr>
          <w:p w14:paraId="43F61828"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PONDER RIZIKA KOJI ODGOVARA PRUŽATELJU ZAŠTITE / INSTRUMENTU ZAŠTITE</w:t>
            </w:r>
          </w:p>
          <w:p w14:paraId="5309A14E"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A30C4C"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Ponder rizika (u %) priznatog davatelja jamstva ili ponder rizika (u %) odgovarajućeg instrumenta koji pruža kreditnu zaštitu u skladu s člankom 249. CRR-a.</w:t>
            </w:r>
          </w:p>
          <w:p w14:paraId="03F785C2"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tc>
      </w:tr>
      <w:tr w:rsidR="00FC6275" w:rsidRPr="00A30C4C" w14:paraId="20282866" w14:textId="77777777" w:rsidTr="00E10B85">
        <w:tc>
          <w:tcPr>
            <w:tcW w:w="1101" w:type="dxa"/>
          </w:tcPr>
          <w:p w14:paraId="419786A6" w14:textId="77777777" w:rsidR="00FC6275" w:rsidRPr="00A30C4C" w:rsidRDefault="00FC6275" w:rsidP="00E10B85">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14:paraId="6D1571CF" w14:textId="554B7FD2"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BILJEŠKE: IZVANBILANČNE STAVKE I IZVEDENICE PRIJE PRIMJENE KONVERZIJSKIH FAKTORA</w:t>
            </w:r>
          </w:p>
          <w:p w14:paraId="6ABBF46E"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479CFEE5"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 ovom se skupu stupaca prikupljaju dodatne informacije o ukupnim </w:t>
            </w:r>
            <w:proofErr w:type="spellStart"/>
            <w:r>
              <w:rPr>
                <w:rFonts w:ascii="Times New Roman" w:hAnsi="Times New Roman"/>
                <w:sz w:val="24"/>
              </w:rPr>
              <w:t>izvanbilančnim</w:t>
            </w:r>
            <w:proofErr w:type="spellEnd"/>
            <w:r>
              <w:rPr>
                <w:rFonts w:ascii="Times New Roman" w:hAnsi="Times New Roman"/>
                <w:sz w:val="24"/>
              </w:rPr>
              <w:t xml:space="preserve"> stavkama i izvedenicama (koje su već iskazane u drukčijoj raščlambi u stupcima 340–361).</w:t>
            </w:r>
          </w:p>
          <w:p w14:paraId="6CEB7659" w14:textId="77777777" w:rsidR="00FC6275" w:rsidRPr="00A30C4C" w:rsidRDefault="00FC6275" w:rsidP="00E10B85">
            <w:pPr>
              <w:autoSpaceDE w:val="0"/>
              <w:autoSpaceDN w:val="0"/>
              <w:adjustRightInd w:val="0"/>
              <w:spacing w:before="0" w:after="0"/>
              <w:jc w:val="left"/>
              <w:rPr>
                <w:rFonts w:ascii="Times New Roman" w:hAnsi="Times New Roman"/>
                <w:sz w:val="24"/>
              </w:rPr>
            </w:pPr>
          </w:p>
        </w:tc>
      </w:tr>
      <w:tr w:rsidR="00FC6275" w:rsidRPr="00A30C4C" w14:paraId="1450EA12" w14:textId="77777777" w:rsidTr="00E10B85">
        <w:tc>
          <w:tcPr>
            <w:tcW w:w="1101" w:type="dxa"/>
          </w:tcPr>
          <w:p w14:paraId="3FA29278"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14:paraId="5AD9CF06"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IZRAVNI KREDITNI SUPSTITUTI</w:t>
            </w:r>
          </w:p>
          <w:p w14:paraId="70E7F351"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A30C4C" w:rsidRDefault="00FC6275" w:rsidP="00E10B85">
            <w:pPr>
              <w:spacing w:before="0" w:after="0"/>
              <w:rPr>
                <w:rFonts w:ascii="Times New Roman" w:hAnsi="Times New Roman"/>
                <w:sz w:val="24"/>
              </w:rPr>
            </w:pPr>
            <w:r>
              <w:rPr>
                <w:rFonts w:ascii="Times New Roman" w:hAnsi="Times New Roman"/>
                <w:sz w:val="24"/>
              </w:rPr>
              <w:t xml:space="preserve">Ovaj se stupac primjenjuje na </w:t>
            </w:r>
            <w:proofErr w:type="spellStart"/>
            <w:r>
              <w:rPr>
                <w:rFonts w:ascii="Times New Roman" w:hAnsi="Times New Roman"/>
                <w:sz w:val="24"/>
              </w:rPr>
              <w:t>sekuritizacijske</w:t>
            </w:r>
            <w:proofErr w:type="spellEnd"/>
            <w:r>
              <w:rPr>
                <w:rFonts w:ascii="Times New Roman" w:hAnsi="Times New Roman"/>
                <w:sz w:val="24"/>
              </w:rPr>
              <w:t xml:space="preserve"> pozicije koje drži inicijator i za koje se jamči izravnim kreditnim supstitutima.</w:t>
            </w:r>
          </w:p>
          <w:p w14:paraId="5D31B483" w14:textId="77777777" w:rsidR="00FC6275" w:rsidRPr="00A30C4C" w:rsidRDefault="00FC6275" w:rsidP="00E10B85">
            <w:pPr>
              <w:spacing w:before="0" w:after="0"/>
              <w:rPr>
                <w:rFonts w:ascii="Times New Roman" w:hAnsi="Times New Roman"/>
                <w:sz w:val="24"/>
              </w:rPr>
            </w:pPr>
          </w:p>
          <w:p w14:paraId="56E6E340" w14:textId="5D17F7FB" w:rsidR="00FC6275" w:rsidRPr="00A30C4C" w:rsidRDefault="00BB22D4" w:rsidP="00E10B85">
            <w:pPr>
              <w:spacing w:before="0" w:after="0"/>
              <w:rPr>
                <w:rFonts w:ascii="Times New Roman" w:hAnsi="Times New Roman"/>
                <w:sz w:val="24"/>
              </w:rPr>
            </w:pPr>
            <w:r>
              <w:rPr>
                <w:rFonts w:ascii="Times New Roman" w:hAnsi="Times New Roman"/>
                <w:sz w:val="24"/>
              </w:rPr>
              <w:t xml:space="preserve">U skladu s Prilogom I. CRR-u, sljedeće se </w:t>
            </w:r>
            <w:proofErr w:type="spellStart"/>
            <w:r>
              <w:rPr>
                <w:rFonts w:ascii="Times New Roman" w:hAnsi="Times New Roman"/>
                <w:sz w:val="24"/>
              </w:rPr>
              <w:t>izvanbilančne</w:t>
            </w:r>
            <w:proofErr w:type="spellEnd"/>
            <w:r>
              <w:rPr>
                <w:rFonts w:ascii="Times New Roman" w:hAnsi="Times New Roman"/>
                <w:sz w:val="24"/>
              </w:rPr>
              <w:t xml:space="preserve"> stavke visokog rizika smatraju izravnim kreditnim supstitutima:</w:t>
            </w:r>
          </w:p>
          <w:p w14:paraId="72A8EA09" w14:textId="77777777" w:rsidR="00FC6275" w:rsidRPr="00A30C4C" w:rsidRDefault="00FC6275" w:rsidP="00E10B85">
            <w:pPr>
              <w:spacing w:before="0" w:after="0"/>
              <w:rPr>
                <w:rFonts w:ascii="Times New Roman" w:hAnsi="Times New Roman"/>
                <w:sz w:val="24"/>
              </w:rPr>
            </w:pPr>
          </w:p>
          <w:p w14:paraId="552748AA" w14:textId="77777777" w:rsidR="00FC6275" w:rsidRPr="00A30C4C" w:rsidRDefault="00FC6275" w:rsidP="00E10B85">
            <w:pPr>
              <w:spacing w:before="0" w:after="0"/>
              <w:rPr>
                <w:rFonts w:ascii="Times New Roman" w:hAnsi="Times New Roman"/>
                <w:i/>
                <w:sz w:val="24"/>
              </w:rPr>
            </w:pPr>
            <w:r>
              <w:rPr>
                <w:rFonts w:ascii="Times New Roman" w:hAnsi="Times New Roman"/>
                <w:i/>
                <w:sz w:val="24"/>
              </w:rPr>
              <w:t>- jamstva koja imaju svojstvo kreditnih supstituta.</w:t>
            </w:r>
          </w:p>
          <w:p w14:paraId="5F1B8317" w14:textId="77777777" w:rsidR="00FC6275" w:rsidRPr="00A30C4C" w:rsidRDefault="00FC6275" w:rsidP="00E10B85">
            <w:pPr>
              <w:spacing w:before="0" w:after="0"/>
              <w:rPr>
                <w:rFonts w:ascii="Times New Roman" w:hAnsi="Times New Roman"/>
                <w:i/>
                <w:sz w:val="24"/>
              </w:rPr>
            </w:pPr>
            <w:r>
              <w:rPr>
                <w:rFonts w:ascii="Times New Roman" w:hAnsi="Times New Roman"/>
                <w:i/>
                <w:sz w:val="24"/>
              </w:rPr>
              <w:t xml:space="preserve">- neopozivi </w:t>
            </w:r>
            <w:proofErr w:type="spellStart"/>
            <w:r>
              <w:rPr>
                <w:rFonts w:ascii="Times New Roman" w:hAnsi="Times New Roman"/>
                <w:i/>
                <w:sz w:val="24"/>
              </w:rPr>
              <w:t>standby</w:t>
            </w:r>
            <w:proofErr w:type="spellEnd"/>
            <w:r>
              <w:rPr>
                <w:rFonts w:ascii="Times New Roman" w:hAnsi="Times New Roman"/>
                <w:i/>
                <w:sz w:val="24"/>
              </w:rPr>
              <w:t xml:space="preserve"> akreditivi koji imaju svojstvo kreditnih supstituta.</w:t>
            </w:r>
          </w:p>
          <w:p w14:paraId="3D80E152"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tc>
      </w:tr>
      <w:tr w:rsidR="00FC6275" w:rsidRPr="00A30C4C" w14:paraId="78D623ED" w14:textId="77777777" w:rsidTr="00E10B85">
        <w:tc>
          <w:tcPr>
            <w:tcW w:w="1101" w:type="dxa"/>
          </w:tcPr>
          <w:p w14:paraId="7F3081DD"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380</w:t>
            </w:r>
          </w:p>
        </w:tc>
        <w:tc>
          <w:tcPr>
            <w:tcW w:w="7903" w:type="dxa"/>
          </w:tcPr>
          <w:p w14:paraId="02F2E68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14:paraId="3B81E05E" w14:textId="77777777" w:rsidR="00FC6275" w:rsidRPr="00A30C4C" w:rsidRDefault="00FC6275" w:rsidP="00E10B85">
            <w:pPr>
              <w:spacing w:before="0" w:after="0"/>
              <w:jc w:val="left"/>
              <w:rPr>
                <w:rFonts w:ascii="Times New Roman" w:hAnsi="Times New Roman"/>
                <w:sz w:val="24"/>
              </w:rPr>
            </w:pPr>
          </w:p>
          <w:p w14:paraId="00895983" w14:textId="0FD39857" w:rsidR="00FC6275" w:rsidRPr="00A30C4C" w:rsidRDefault="00FC6275" w:rsidP="00E10B85">
            <w:pPr>
              <w:spacing w:before="0" w:after="0"/>
              <w:rPr>
                <w:rFonts w:ascii="Times New Roman" w:hAnsi="Times New Roman"/>
                <w:sz w:val="24"/>
              </w:rPr>
            </w:pPr>
            <w:r>
              <w:rPr>
                <w:rFonts w:ascii="Times New Roman" w:hAnsi="Times New Roman"/>
                <w:sz w:val="24"/>
              </w:rPr>
              <w:t>IRS znači kamatni ugovori o razmjeni, dok CRS znači valutni ugovori o razmjeni. Te su izvedenice navedene u Prilogu II. CRR-u.</w:t>
            </w:r>
          </w:p>
          <w:p w14:paraId="303B9529" w14:textId="77777777" w:rsidR="00FC6275" w:rsidRPr="00A30C4C" w:rsidRDefault="00FC6275" w:rsidP="00E10B85">
            <w:pPr>
              <w:spacing w:before="0" w:after="0"/>
              <w:jc w:val="left"/>
              <w:rPr>
                <w:rFonts w:ascii="Times New Roman" w:hAnsi="Times New Roman"/>
                <w:sz w:val="24"/>
              </w:rPr>
            </w:pPr>
          </w:p>
        </w:tc>
      </w:tr>
      <w:tr w:rsidR="00FC6275" w:rsidRPr="00A30C4C" w14:paraId="185C7415" w14:textId="77777777" w:rsidTr="00E10B85">
        <w:tc>
          <w:tcPr>
            <w:tcW w:w="1101" w:type="dxa"/>
          </w:tcPr>
          <w:p w14:paraId="4A2D453A"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390</w:t>
            </w:r>
          </w:p>
        </w:tc>
        <w:tc>
          <w:tcPr>
            <w:tcW w:w="7903" w:type="dxa"/>
          </w:tcPr>
          <w:p w14:paraId="45C5A98C"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LIKVIDNOSNE LINIJE</w:t>
            </w:r>
          </w:p>
          <w:p w14:paraId="4B0633C7" w14:textId="77777777" w:rsidR="00FC6275" w:rsidRPr="00A30C4C" w:rsidRDefault="00FC6275" w:rsidP="00E10B85">
            <w:pPr>
              <w:spacing w:before="0" w:after="0"/>
              <w:jc w:val="left"/>
              <w:rPr>
                <w:rFonts w:ascii="Times New Roman" w:hAnsi="Times New Roman"/>
                <w:sz w:val="24"/>
              </w:rPr>
            </w:pPr>
          </w:p>
          <w:p w14:paraId="47FD43EA" w14:textId="54BD56AD" w:rsidR="00FC6275" w:rsidRPr="00A30C4C" w:rsidRDefault="00FC6275" w:rsidP="00E10B85">
            <w:pPr>
              <w:spacing w:before="0" w:after="0"/>
              <w:rPr>
                <w:rFonts w:ascii="Times New Roman" w:hAnsi="Times New Roman"/>
                <w:sz w:val="24"/>
              </w:rPr>
            </w:pPr>
            <w:proofErr w:type="spellStart"/>
            <w:r>
              <w:rPr>
                <w:rFonts w:ascii="Times New Roman" w:hAnsi="Times New Roman"/>
                <w:sz w:val="24"/>
              </w:rPr>
              <w:t>Likvidnosne</w:t>
            </w:r>
            <w:proofErr w:type="spellEnd"/>
            <w:r>
              <w:rPr>
                <w:rFonts w:ascii="Times New Roman" w:hAnsi="Times New Roman"/>
                <w:sz w:val="24"/>
              </w:rPr>
              <w:t xml:space="preserve"> linije kako su definirane u članku 242. stavku 3. CRR-a.</w:t>
            </w:r>
          </w:p>
          <w:p w14:paraId="5A23540E" w14:textId="77777777" w:rsidR="00FC6275" w:rsidRPr="00A30C4C" w:rsidRDefault="00FC6275" w:rsidP="00E10B85">
            <w:pPr>
              <w:spacing w:before="0" w:after="0"/>
              <w:rPr>
                <w:rFonts w:ascii="Times New Roman" w:hAnsi="Times New Roman"/>
                <w:sz w:val="24"/>
              </w:rPr>
            </w:pPr>
          </w:p>
        </w:tc>
      </w:tr>
      <w:tr w:rsidR="00FC6275" w:rsidRPr="00A30C4C" w14:paraId="0D87AF86" w14:textId="77777777" w:rsidTr="00E10B85">
        <w:tc>
          <w:tcPr>
            <w:tcW w:w="1101" w:type="dxa"/>
          </w:tcPr>
          <w:p w14:paraId="2DDDF8AF"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400</w:t>
            </w:r>
          </w:p>
        </w:tc>
        <w:tc>
          <w:tcPr>
            <w:tcW w:w="7903" w:type="dxa"/>
          </w:tcPr>
          <w:p w14:paraId="379A2E1D"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OSTALO </w:t>
            </w:r>
          </w:p>
          <w:p w14:paraId="30E7CE86" w14:textId="77777777" w:rsidR="00FC6275" w:rsidRPr="00A30C4C" w:rsidRDefault="00FC6275" w:rsidP="00E10B85">
            <w:pPr>
              <w:spacing w:before="0" w:after="0"/>
              <w:jc w:val="left"/>
              <w:rPr>
                <w:rFonts w:ascii="Times New Roman" w:hAnsi="Times New Roman"/>
                <w:sz w:val="24"/>
              </w:rPr>
            </w:pPr>
          </w:p>
          <w:p w14:paraId="47EAC92A" w14:textId="7EB306EE" w:rsidR="00FC6275" w:rsidRPr="00A30C4C" w:rsidRDefault="001C3443" w:rsidP="00E10B85">
            <w:pPr>
              <w:spacing w:before="0" w:after="0"/>
              <w:rPr>
                <w:rFonts w:ascii="Times New Roman" w:hAnsi="Times New Roman"/>
                <w:sz w:val="24"/>
              </w:rPr>
            </w:pPr>
            <w:r>
              <w:rPr>
                <w:rFonts w:ascii="Times New Roman" w:hAnsi="Times New Roman"/>
                <w:sz w:val="24"/>
              </w:rPr>
              <w:t xml:space="preserve">Preostale </w:t>
            </w:r>
            <w:proofErr w:type="spellStart"/>
            <w:r>
              <w:rPr>
                <w:rFonts w:ascii="Times New Roman" w:hAnsi="Times New Roman"/>
                <w:sz w:val="24"/>
              </w:rPr>
              <w:t>izvanbilančne</w:t>
            </w:r>
            <w:proofErr w:type="spellEnd"/>
            <w:r>
              <w:rPr>
                <w:rFonts w:ascii="Times New Roman" w:hAnsi="Times New Roman"/>
                <w:sz w:val="24"/>
              </w:rPr>
              <w:t xml:space="preserve"> stavke.</w:t>
            </w:r>
          </w:p>
          <w:p w14:paraId="15342BF9" w14:textId="77777777" w:rsidR="00FC6275" w:rsidRPr="00A30C4C" w:rsidRDefault="00FC6275" w:rsidP="00E10B85">
            <w:pPr>
              <w:spacing w:before="0" w:after="0"/>
              <w:jc w:val="left"/>
              <w:rPr>
                <w:rFonts w:ascii="Times New Roman" w:hAnsi="Times New Roman"/>
                <w:sz w:val="24"/>
              </w:rPr>
            </w:pPr>
          </w:p>
        </w:tc>
      </w:tr>
      <w:tr w:rsidR="00FC6275" w:rsidRPr="00A30C4C" w14:paraId="123D3B8A" w14:textId="77777777" w:rsidTr="00E10B85">
        <w:tc>
          <w:tcPr>
            <w:tcW w:w="1101" w:type="dxa"/>
          </w:tcPr>
          <w:p w14:paraId="296566C5"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411</w:t>
            </w:r>
          </w:p>
        </w:tc>
        <w:tc>
          <w:tcPr>
            <w:tcW w:w="7903" w:type="dxa"/>
          </w:tcPr>
          <w:p w14:paraId="32246B29"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VRIJEDNOST IZLOŽENOSTI</w:t>
            </w:r>
          </w:p>
          <w:p w14:paraId="3A2FC455" w14:textId="77777777" w:rsidR="00FC6275" w:rsidRPr="00A30C4C" w:rsidRDefault="00FC6275" w:rsidP="00E10B85">
            <w:pPr>
              <w:spacing w:before="0" w:after="0"/>
              <w:jc w:val="left"/>
              <w:rPr>
                <w:rFonts w:ascii="Times New Roman" w:hAnsi="Times New Roman"/>
                <w:b/>
                <w:sz w:val="24"/>
                <w:u w:val="single"/>
              </w:rPr>
            </w:pPr>
          </w:p>
          <w:p w14:paraId="558BD2CF" w14:textId="77777777" w:rsidR="00FC6275" w:rsidRPr="00A30C4C" w:rsidRDefault="00FC6275" w:rsidP="00E10B85">
            <w:pPr>
              <w:spacing w:before="0" w:after="0"/>
              <w:rPr>
                <w:rFonts w:ascii="Times New Roman" w:hAnsi="Times New Roman"/>
                <w:sz w:val="24"/>
              </w:rPr>
            </w:pPr>
            <w:r>
              <w:rPr>
                <w:rFonts w:ascii="Times New Roman" w:hAnsi="Times New Roman"/>
                <w:sz w:val="24"/>
              </w:rPr>
              <w:t>Navedena je informacija blisko povezana sa stupcem 0180 u obrascu CR SEC.</w:t>
            </w:r>
          </w:p>
          <w:p w14:paraId="7023388C"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18CFD31" w14:textId="77777777" w:rsidTr="00E10B85">
        <w:tc>
          <w:tcPr>
            <w:tcW w:w="1101" w:type="dxa"/>
          </w:tcPr>
          <w:p w14:paraId="5221C72B"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420</w:t>
            </w:r>
          </w:p>
        </w:tc>
        <w:tc>
          <w:tcPr>
            <w:tcW w:w="7903" w:type="dxa"/>
          </w:tcPr>
          <w:p w14:paraId="74E292A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VRIJEDNOST IZLOŽENOSTI KOJA PREDSTAVLJA ODBITNU STAVKU OD REGULATORNOG KAPITALA</w:t>
            </w:r>
          </w:p>
          <w:p w14:paraId="33206523" w14:textId="77777777" w:rsidR="00FC6275" w:rsidRPr="00A30C4C" w:rsidRDefault="00FC6275" w:rsidP="00E10B85">
            <w:pPr>
              <w:spacing w:before="0" w:after="0"/>
              <w:jc w:val="left"/>
              <w:rPr>
                <w:rFonts w:ascii="Times New Roman" w:hAnsi="Times New Roman"/>
                <w:sz w:val="24"/>
              </w:rPr>
            </w:pPr>
          </w:p>
          <w:p w14:paraId="7CD4B52C" w14:textId="77777777" w:rsidR="00FC6275" w:rsidRPr="00A30C4C" w:rsidRDefault="00FC6275" w:rsidP="00E10B85">
            <w:pPr>
              <w:spacing w:before="0" w:after="0"/>
              <w:rPr>
                <w:rFonts w:ascii="Times New Roman" w:hAnsi="Times New Roman"/>
                <w:sz w:val="24"/>
              </w:rPr>
            </w:pPr>
            <w:r>
              <w:rPr>
                <w:rFonts w:ascii="Times New Roman" w:hAnsi="Times New Roman"/>
                <w:sz w:val="24"/>
              </w:rPr>
              <w:t>Navedena je informacija blisko povezana sa stupcem 0190 u obrascu CR SEC.</w:t>
            </w:r>
          </w:p>
          <w:p w14:paraId="07374170" w14:textId="77777777" w:rsidR="00FC6275" w:rsidRPr="00A30C4C" w:rsidRDefault="00FC6275" w:rsidP="00E10B85">
            <w:pPr>
              <w:spacing w:before="0" w:after="0"/>
              <w:rPr>
                <w:rFonts w:ascii="Times New Roman" w:hAnsi="Times New Roman"/>
                <w:sz w:val="24"/>
              </w:rPr>
            </w:pPr>
          </w:p>
          <w:p w14:paraId="6DD62141" w14:textId="77777777" w:rsidR="00FC6275" w:rsidRPr="00A30C4C" w:rsidRDefault="00FC6275" w:rsidP="00E10B85">
            <w:pPr>
              <w:spacing w:before="0" w:after="0"/>
              <w:rPr>
                <w:rFonts w:ascii="Times New Roman" w:hAnsi="Times New Roman"/>
                <w:sz w:val="24"/>
              </w:rPr>
            </w:pPr>
            <w:r>
              <w:rPr>
                <w:rFonts w:ascii="Times New Roman" w:hAnsi="Times New Roman"/>
                <w:sz w:val="24"/>
              </w:rPr>
              <w:t>U ovom se stupcu iskazuje negativna vrijednost.</w:t>
            </w:r>
          </w:p>
          <w:p w14:paraId="4AC6A3F6" w14:textId="77777777" w:rsidR="00FC6275" w:rsidRPr="00A30C4C" w:rsidRDefault="00FC6275" w:rsidP="00E10B85">
            <w:pPr>
              <w:spacing w:before="0" w:after="0"/>
              <w:jc w:val="left"/>
              <w:rPr>
                <w:rFonts w:ascii="Times New Roman" w:hAnsi="Times New Roman"/>
                <w:sz w:val="24"/>
              </w:rPr>
            </w:pPr>
          </w:p>
        </w:tc>
      </w:tr>
      <w:tr w:rsidR="00FC6275" w:rsidRPr="00A30C4C" w14:paraId="7B6F2701" w14:textId="77777777" w:rsidTr="00E10B85">
        <w:tc>
          <w:tcPr>
            <w:tcW w:w="1101" w:type="dxa"/>
          </w:tcPr>
          <w:p w14:paraId="58DA1F0F" w14:textId="77777777" w:rsidR="00FC6275" w:rsidRPr="00A30C4C" w:rsidDel="00304CB1"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430</w:t>
            </w:r>
          </w:p>
        </w:tc>
        <w:tc>
          <w:tcPr>
            <w:tcW w:w="7903" w:type="dxa"/>
          </w:tcPr>
          <w:p w14:paraId="42E66F9F"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 PRIJE PRIMJENE GORNJE GRANICE</w:t>
            </w:r>
          </w:p>
          <w:p w14:paraId="1D54F331" w14:textId="77777777" w:rsidR="00FC6275" w:rsidRPr="00A30C4C" w:rsidRDefault="00FC6275" w:rsidP="00E10B85">
            <w:pPr>
              <w:spacing w:before="0" w:after="0"/>
              <w:jc w:val="left"/>
              <w:rPr>
                <w:rFonts w:ascii="Times New Roman" w:hAnsi="Times New Roman"/>
                <w:sz w:val="24"/>
              </w:rPr>
            </w:pPr>
          </w:p>
          <w:p w14:paraId="5F025CC4" w14:textId="2B57391F" w:rsidR="00FC6275" w:rsidRPr="00A30C4C" w:rsidRDefault="00FC6275" w:rsidP="00E10B85">
            <w:pPr>
              <w:spacing w:before="0" w:after="0"/>
              <w:rPr>
                <w:rFonts w:ascii="Times New Roman" w:hAnsi="Times New Roman"/>
                <w:sz w:val="24"/>
              </w:rPr>
            </w:pPr>
            <w:r>
              <w:rPr>
                <w:rFonts w:ascii="Times New Roman" w:hAnsi="Times New Roman"/>
                <w:sz w:val="24"/>
              </w:rPr>
              <w:t xml:space="preserve">U ovom se stupcu prikupljaju informacije o iznosu izloženosti ponderiranom rizikom prije primjene gornje granice koji se primjenjuje na </w:t>
            </w:r>
            <w:proofErr w:type="spellStart"/>
            <w:r>
              <w:rPr>
                <w:rFonts w:ascii="Times New Roman" w:hAnsi="Times New Roman"/>
                <w:sz w:val="24"/>
              </w:rPr>
              <w:t>sekuritizacijske</w:t>
            </w:r>
            <w:proofErr w:type="spellEnd"/>
            <w:r>
              <w:rPr>
                <w:rFonts w:ascii="Times New Roman" w:hAnsi="Times New Roman"/>
                <w:sz w:val="24"/>
              </w:rPr>
              <w:t xml:space="preserve"> pozicije (tj. za </w:t>
            </w:r>
            <w:proofErr w:type="spellStart"/>
            <w:r>
              <w:rPr>
                <w:rFonts w:ascii="Times New Roman" w:hAnsi="Times New Roman"/>
                <w:sz w:val="24"/>
              </w:rPr>
              <w:t>sekuritizacijske</w:t>
            </w:r>
            <w:proofErr w:type="spellEnd"/>
            <w:r>
              <w:rPr>
                <w:rFonts w:ascii="Times New Roman" w:hAnsi="Times New Roman"/>
                <w:sz w:val="24"/>
              </w:rPr>
              <w:t xml:space="preserve"> strukture s prijenosom značajnog rizika). Za </w:t>
            </w:r>
            <w:proofErr w:type="spellStart"/>
            <w:r>
              <w:rPr>
                <w:rFonts w:ascii="Times New Roman" w:hAnsi="Times New Roman"/>
                <w:sz w:val="24"/>
              </w:rPr>
              <w:t>sekuritizacijske</w:t>
            </w:r>
            <w:proofErr w:type="spellEnd"/>
            <w:r>
              <w:rPr>
                <w:rFonts w:ascii="Times New Roman" w:hAnsi="Times New Roman"/>
                <w:sz w:val="24"/>
              </w:rPr>
              <w:t xml:space="preserve"> strukture bez prijenosa značajnog rizika (tj. iznosa izloženosti ponderiranog rizikom utvrđenog na temelju </w:t>
            </w:r>
            <w:proofErr w:type="spellStart"/>
            <w:r>
              <w:rPr>
                <w:rFonts w:ascii="Times New Roman" w:hAnsi="Times New Roman"/>
                <w:sz w:val="24"/>
              </w:rPr>
              <w:t>sekuritiziranih</w:t>
            </w:r>
            <w:proofErr w:type="spellEnd"/>
            <w:r>
              <w:rPr>
                <w:rFonts w:ascii="Times New Roman" w:hAnsi="Times New Roman"/>
                <w:sz w:val="24"/>
              </w:rPr>
              <w:t xml:space="preserve"> izloženosti), u ovom se stupcu ne iskazuju nikakvi podaci.</w:t>
            </w:r>
          </w:p>
          <w:p w14:paraId="78ADAD5B" w14:textId="77777777" w:rsidR="00FC6275" w:rsidRPr="00A30C4C" w:rsidRDefault="00FC6275" w:rsidP="00E10B85">
            <w:pPr>
              <w:spacing w:before="0" w:after="0"/>
              <w:jc w:val="left"/>
              <w:rPr>
                <w:rFonts w:ascii="Times New Roman" w:hAnsi="Times New Roman"/>
                <w:sz w:val="24"/>
              </w:rPr>
            </w:pPr>
          </w:p>
          <w:p w14:paraId="39E07A50" w14:textId="4C372F74" w:rsidR="00FC6275" w:rsidRPr="00A30C4C" w:rsidRDefault="00FC6275" w:rsidP="00E10B85">
            <w:pPr>
              <w:spacing w:before="0" w:after="0"/>
              <w:jc w:val="left"/>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ovaj se stupac ne iskazuje. </w:t>
            </w:r>
          </w:p>
          <w:p w14:paraId="73C12B72" w14:textId="77777777" w:rsidR="00FC6275" w:rsidRPr="00A30C4C" w:rsidRDefault="00FC6275" w:rsidP="00E10B85">
            <w:pPr>
              <w:spacing w:before="0" w:after="0"/>
              <w:jc w:val="left"/>
              <w:rPr>
                <w:rFonts w:ascii="Times New Roman" w:hAnsi="Times New Roman"/>
                <w:sz w:val="24"/>
              </w:rPr>
            </w:pPr>
          </w:p>
          <w:p w14:paraId="54ACB331" w14:textId="77777777" w:rsidR="00FC6275" w:rsidRPr="00A30C4C" w:rsidRDefault="00FC6275" w:rsidP="00E10B85">
            <w:pPr>
              <w:spacing w:before="0" w:after="0"/>
              <w:jc w:val="left"/>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u knjizi trgovanja, iskazuje se iznos izloženosti ponderiran rizikom koji se odnosi na specifični rizik. Vidjeti stupac 570 obrasca MKR SA SEC odnosno stupce 410 i 420 (relevantne za kapitalne zahtjeve) obrasca MKR SA CTP. </w:t>
            </w:r>
          </w:p>
          <w:p w14:paraId="00634588"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75EBB5F1" w14:textId="77777777" w:rsidTr="00E10B85">
        <w:tc>
          <w:tcPr>
            <w:tcW w:w="1101" w:type="dxa"/>
          </w:tcPr>
          <w:p w14:paraId="72383ED5"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431</w:t>
            </w:r>
          </w:p>
        </w:tc>
        <w:tc>
          <w:tcPr>
            <w:tcW w:w="7903" w:type="dxa"/>
          </w:tcPr>
          <w:p w14:paraId="72CF682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SMANJENJE ZBOG GORNJE GRANICE PONDERA RIZIKA</w:t>
            </w:r>
          </w:p>
          <w:p w14:paraId="19DB032C" w14:textId="77777777" w:rsidR="00FC6275" w:rsidRPr="00A30C4C" w:rsidRDefault="00FC6275" w:rsidP="00E10B85">
            <w:pPr>
              <w:spacing w:before="0" w:after="0"/>
              <w:jc w:val="left"/>
              <w:rPr>
                <w:rFonts w:ascii="Times New Roman" w:hAnsi="Times New Roman"/>
                <w:b/>
                <w:sz w:val="24"/>
                <w:u w:val="single"/>
              </w:rPr>
            </w:pPr>
          </w:p>
          <w:p w14:paraId="02157D97" w14:textId="1AFC0212" w:rsidR="00FC6275" w:rsidRPr="00A30C4C" w:rsidRDefault="00FC6275" w:rsidP="00E10B85">
            <w:pPr>
              <w:spacing w:before="0" w:after="0"/>
              <w:jc w:val="left"/>
              <w:rPr>
                <w:rFonts w:ascii="Times New Roman" w:hAnsi="Times New Roman"/>
                <w:sz w:val="24"/>
              </w:rPr>
            </w:pPr>
            <w:r>
              <w:rPr>
                <w:rFonts w:ascii="Times New Roman" w:hAnsi="Times New Roman"/>
                <w:sz w:val="24"/>
              </w:rPr>
              <w:t>Članak 267. CRR-a</w:t>
            </w:r>
          </w:p>
          <w:p w14:paraId="0D7FABBA"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0BCA0CA8" w14:textId="77777777" w:rsidTr="00E10B85">
        <w:tc>
          <w:tcPr>
            <w:tcW w:w="1101" w:type="dxa"/>
          </w:tcPr>
          <w:p w14:paraId="6EAFD84F"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432</w:t>
            </w:r>
          </w:p>
        </w:tc>
        <w:tc>
          <w:tcPr>
            <w:tcW w:w="7903" w:type="dxa"/>
          </w:tcPr>
          <w:p w14:paraId="6B0A2EFB"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SMANJENJE ZBOG UKUPNE GORNJE GRANICE</w:t>
            </w:r>
          </w:p>
          <w:p w14:paraId="00B93CC3" w14:textId="77777777" w:rsidR="00FC6275" w:rsidRPr="00A30C4C" w:rsidRDefault="00FC6275" w:rsidP="00E10B85">
            <w:pPr>
              <w:spacing w:before="0" w:after="0"/>
              <w:jc w:val="left"/>
              <w:rPr>
                <w:rFonts w:ascii="Times New Roman" w:hAnsi="Times New Roman"/>
                <w:b/>
                <w:sz w:val="24"/>
                <w:u w:val="single"/>
              </w:rPr>
            </w:pPr>
          </w:p>
          <w:p w14:paraId="5D5CB5C4" w14:textId="74AB04EA" w:rsidR="00FC6275" w:rsidRPr="00A30C4C" w:rsidRDefault="00FC6275" w:rsidP="00E10B85">
            <w:pPr>
              <w:spacing w:before="0" w:after="0"/>
              <w:jc w:val="left"/>
              <w:rPr>
                <w:rFonts w:ascii="Times New Roman" w:hAnsi="Times New Roman"/>
                <w:sz w:val="24"/>
              </w:rPr>
            </w:pPr>
            <w:r>
              <w:rPr>
                <w:rFonts w:ascii="Times New Roman" w:hAnsi="Times New Roman"/>
                <w:sz w:val="24"/>
              </w:rPr>
              <w:t>Članak 268. CRR-a</w:t>
            </w:r>
          </w:p>
          <w:p w14:paraId="48B6117F"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5507B657" w14:textId="77777777" w:rsidTr="00E10B85">
        <w:tc>
          <w:tcPr>
            <w:tcW w:w="1101" w:type="dxa"/>
          </w:tcPr>
          <w:p w14:paraId="61544280"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14:paraId="78880E8D"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UKUPNI IZNOS IZLOŽENOSTI PONDERIRAN RIZIKOM NAKON PRIMJENE GORNJE GRANICE</w:t>
            </w:r>
          </w:p>
          <w:p w14:paraId="16A32033" w14:textId="77777777" w:rsidR="00FC6275" w:rsidRPr="00A30C4C" w:rsidRDefault="00FC6275" w:rsidP="00E10B85">
            <w:pPr>
              <w:spacing w:before="0" w:after="0"/>
              <w:jc w:val="left"/>
              <w:rPr>
                <w:rFonts w:ascii="Times New Roman" w:hAnsi="Times New Roman"/>
                <w:sz w:val="24"/>
              </w:rPr>
            </w:pPr>
          </w:p>
          <w:p w14:paraId="0B170A70" w14:textId="33634F8C" w:rsidR="00FC6275" w:rsidRPr="00A30C4C" w:rsidRDefault="00FC6275" w:rsidP="00E10B85">
            <w:pPr>
              <w:spacing w:before="0" w:after="0"/>
              <w:rPr>
                <w:rFonts w:ascii="Times New Roman" w:hAnsi="Times New Roman"/>
                <w:sz w:val="24"/>
              </w:rPr>
            </w:pPr>
            <w:r>
              <w:rPr>
                <w:rFonts w:ascii="Times New Roman" w:hAnsi="Times New Roman"/>
                <w:sz w:val="24"/>
              </w:rPr>
              <w:t xml:space="preserve">U ovom se stupcu prikupljaju informacije o iznosu izloženosti ponderiranom rizikom nakon primjene gornje granice koji se primjenjuje na </w:t>
            </w:r>
            <w:proofErr w:type="spellStart"/>
            <w:r>
              <w:rPr>
                <w:rFonts w:ascii="Times New Roman" w:hAnsi="Times New Roman"/>
                <w:sz w:val="24"/>
              </w:rPr>
              <w:t>sekuritizacijske</w:t>
            </w:r>
            <w:proofErr w:type="spellEnd"/>
            <w:r>
              <w:rPr>
                <w:rFonts w:ascii="Times New Roman" w:hAnsi="Times New Roman"/>
                <w:sz w:val="24"/>
              </w:rPr>
              <w:t xml:space="preserve"> pozicije (tj. za </w:t>
            </w:r>
            <w:proofErr w:type="spellStart"/>
            <w:r>
              <w:rPr>
                <w:rFonts w:ascii="Times New Roman" w:hAnsi="Times New Roman"/>
                <w:sz w:val="24"/>
              </w:rPr>
              <w:t>sekuritizacijske</w:t>
            </w:r>
            <w:proofErr w:type="spellEnd"/>
            <w:r>
              <w:rPr>
                <w:rFonts w:ascii="Times New Roman" w:hAnsi="Times New Roman"/>
                <w:sz w:val="24"/>
              </w:rPr>
              <w:t xml:space="preserve"> strukture s prijenosom značajnog rizika). Za </w:t>
            </w:r>
            <w:proofErr w:type="spellStart"/>
            <w:r>
              <w:rPr>
                <w:rFonts w:ascii="Times New Roman" w:hAnsi="Times New Roman"/>
                <w:sz w:val="24"/>
              </w:rPr>
              <w:t>sekuritizacijske</w:t>
            </w:r>
            <w:proofErr w:type="spellEnd"/>
            <w:r>
              <w:rPr>
                <w:rFonts w:ascii="Times New Roman" w:hAnsi="Times New Roman"/>
                <w:sz w:val="24"/>
              </w:rPr>
              <w:t xml:space="preserve"> strukture bez prijenosa značajnog rizika (tj. kapitalnih zahtjeva utvrđenih na temelju </w:t>
            </w:r>
            <w:proofErr w:type="spellStart"/>
            <w:r>
              <w:rPr>
                <w:rFonts w:ascii="Times New Roman" w:hAnsi="Times New Roman"/>
                <w:sz w:val="24"/>
              </w:rPr>
              <w:t>sekuritiziranih</w:t>
            </w:r>
            <w:proofErr w:type="spellEnd"/>
            <w:r>
              <w:rPr>
                <w:rFonts w:ascii="Times New Roman" w:hAnsi="Times New Roman"/>
                <w:sz w:val="24"/>
              </w:rPr>
              <w:t xml:space="preserve"> izloženosti), u ovom se stupcu ne iskazuju nikakvi podaci.</w:t>
            </w:r>
          </w:p>
          <w:p w14:paraId="0DF83039" w14:textId="77777777" w:rsidR="00FC6275" w:rsidRPr="00A30C4C" w:rsidRDefault="00FC6275" w:rsidP="00E10B85">
            <w:pPr>
              <w:spacing w:before="0" w:after="0"/>
              <w:rPr>
                <w:rFonts w:ascii="Times New Roman" w:hAnsi="Times New Roman"/>
                <w:sz w:val="24"/>
              </w:rPr>
            </w:pPr>
          </w:p>
          <w:p w14:paraId="055EC3C4" w14:textId="03EF7E1D" w:rsidR="00FC6275" w:rsidRPr="00A30C4C" w:rsidRDefault="00FC6275" w:rsidP="00E10B85">
            <w:pPr>
              <w:spacing w:before="0" w:after="0"/>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obveza, ovaj se stupac ne iskazuje. </w:t>
            </w:r>
          </w:p>
          <w:p w14:paraId="1F88ED81" w14:textId="77777777" w:rsidR="00FC6275" w:rsidRPr="00A30C4C" w:rsidRDefault="00FC6275" w:rsidP="00E10B85">
            <w:pPr>
              <w:spacing w:before="0" w:after="0"/>
              <w:rPr>
                <w:rFonts w:ascii="Times New Roman" w:hAnsi="Times New Roman"/>
                <w:sz w:val="24"/>
              </w:rPr>
            </w:pPr>
          </w:p>
          <w:p w14:paraId="630C2349" w14:textId="77777777" w:rsidR="00FC6275" w:rsidRPr="00A30C4C" w:rsidRDefault="00FC6275" w:rsidP="00E10B85">
            <w:pPr>
              <w:spacing w:before="0" w:after="0"/>
              <w:rPr>
                <w:rFonts w:ascii="Times New Roman" w:hAnsi="Times New Roman"/>
                <w:sz w:val="24"/>
              </w:rPr>
            </w:pPr>
            <w:r>
              <w:rPr>
                <w:rFonts w:ascii="Times New Roman" w:hAnsi="Times New Roman"/>
                <w:sz w:val="24"/>
              </w:rPr>
              <w:t xml:space="preserve">U slučaju </w:t>
            </w:r>
            <w:proofErr w:type="spellStart"/>
            <w:r>
              <w:rPr>
                <w:rFonts w:ascii="Times New Roman" w:hAnsi="Times New Roman"/>
                <w:sz w:val="24"/>
              </w:rPr>
              <w:t>sekuritizacija</w:t>
            </w:r>
            <w:proofErr w:type="spellEnd"/>
            <w:r>
              <w:rPr>
                <w:rFonts w:ascii="Times New Roman" w:hAnsi="Times New Roman"/>
                <w:sz w:val="24"/>
              </w:rPr>
              <w:t xml:space="preserve"> u knjizi trgovanja, iskazuje se iznos izloženosti ponderiran rizikom koji se odnosi na specifični rizik. Vidjeti stupac 600 obrasca MKR SA SEC odnosno stupac 450 obrasca MKR SA CTP.</w:t>
            </w:r>
          </w:p>
          <w:p w14:paraId="63B294EA" w14:textId="77777777" w:rsidR="00FC6275" w:rsidRPr="00A30C4C" w:rsidRDefault="00FC6275" w:rsidP="00E10B85">
            <w:pPr>
              <w:spacing w:before="0" w:after="0"/>
              <w:jc w:val="left"/>
              <w:rPr>
                <w:rFonts w:ascii="Times New Roman" w:hAnsi="Times New Roman"/>
                <w:sz w:val="24"/>
              </w:rPr>
            </w:pPr>
          </w:p>
        </w:tc>
      </w:tr>
      <w:tr w:rsidR="00FC6275" w:rsidRPr="00A30C4C" w14:paraId="1297821E" w14:textId="77777777" w:rsidTr="00E10B85">
        <w:tc>
          <w:tcPr>
            <w:tcW w:w="1101" w:type="dxa"/>
          </w:tcPr>
          <w:p w14:paraId="23EAFF93"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447-448</w:t>
            </w:r>
          </w:p>
        </w:tc>
        <w:tc>
          <w:tcPr>
            <w:tcW w:w="7903" w:type="dxa"/>
          </w:tcPr>
          <w:p w14:paraId="095B675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BILJEŠKE:</w:t>
            </w:r>
          </w:p>
        </w:tc>
      </w:tr>
      <w:tr w:rsidR="00FC6275" w:rsidRPr="00A30C4C" w14:paraId="29E4D611" w14:textId="77777777" w:rsidTr="00E10B85">
        <w:tc>
          <w:tcPr>
            <w:tcW w:w="1101" w:type="dxa"/>
          </w:tcPr>
          <w:p w14:paraId="59677DC2"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447</w:t>
            </w:r>
          </w:p>
        </w:tc>
        <w:tc>
          <w:tcPr>
            <w:tcW w:w="7903" w:type="dxa"/>
          </w:tcPr>
          <w:p w14:paraId="7250528A"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IZNOSI IZLOŽENOSTI PONDERIRANI RIZIKOM U SKLADU S PRISTUPOM SEC-ERBA</w:t>
            </w:r>
          </w:p>
          <w:p w14:paraId="0E7B7AE3" w14:textId="77777777" w:rsidR="00FC6275" w:rsidRPr="00A30C4C" w:rsidRDefault="00FC6275" w:rsidP="00E10B85">
            <w:pPr>
              <w:spacing w:before="0" w:after="0"/>
              <w:jc w:val="left"/>
              <w:rPr>
                <w:rFonts w:ascii="Times New Roman" w:hAnsi="Times New Roman"/>
                <w:b/>
                <w:sz w:val="24"/>
                <w:u w:val="single"/>
              </w:rPr>
            </w:pPr>
          </w:p>
          <w:p w14:paraId="32260898" w14:textId="15C5C041" w:rsidR="00FC6275" w:rsidRPr="00A30C4C" w:rsidRDefault="00FC6275" w:rsidP="00E10B85">
            <w:pPr>
              <w:spacing w:before="0" w:after="0"/>
              <w:jc w:val="left"/>
              <w:rPr>
                <w:rFonts w:ascii="Times New Roman" w:hAnsi="Times New Roman"/>
                <w:sz w:val="24"/>
              </w:rPr>
            </w:pPr>
            <w:r>
              <w:rPr>
                <w:rFonts w:ascii="Times New Roman" w:hAnsi="Times New Roman"/>
                <w:sz w:val="24"/>
              </w:rPr>
              <w:t xml:space="preserve">Članci 263. i 264. CRR-a U ovom se stupcu iskazuju samo transakcije ocijenjene prije primjene gornje granice i ne iskazuju se transakcije u skladu s pristupom SEC-ERBA. </w:t>
            </w:r>
          </w:p>
          <w:p w14:paraId="7824768C"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6017789" w14:textId="77777777" w:rsidTr="00E10B85">
        <w:tc>
          <w:tcPr>
            <w:tcW w:w="1101" w:type="dxa"/>
          </w:tcPr>
          <w:p w14:paraId="4AF511BB"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448</w:t>
            </w:r>
          </w:p>
        </w:tc>
        <w:tc>
          <w:tcPr>
            <w:tcW w:w="7903" w:type="dxa"/>
          </w:tcPr>
          <w:p w14:paraId="36B61EAE"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IZNOSI IZLOŽENOSTI PONDERIRANI RIZIKOM U SKLADU S PRISTUPOM SEC-SA</w:t>
            </w:r>
          </w:p>
          <w:p w14:paraId="03C3DAB2" w14:textId="77777777" w:rsidR="00FC6275" w:rsidRPr="00A30C4C" w:rsidRDefault="00FC6275" w:rsidP="00E10B85">
            <w:pPr>
              <w:spacing w:before="0" w:after="0"/>
              <w:jc w:val="left"/>
              <w:rPr>
                <w:rFonts w:ascii="Times New Roman" w:hAnsi="Times New Roman"/>
                <w:b/>
                <w:sz w:val="24"/>
                <w:u w:val="single"/>
              </w:rPr>
            </w:pPr>
          </w:p>
          <w:p w14:paraId="0BA99E35" w14:textId="5E6D4D69" w:rsidR="00FC6275" w:rsidRPr="00A30C4C" w:rsidRDefault="00FC6275" w:rsidP="00E10B85">
            <w:pPr>
              <w:spacing w:before="0" w:after="0"/>
              <w:jc w:val="left"/>
              <w:rPr>
                <w:rFonts w:ascii="Times New Roman" w:hAnsi="Times New Roman"/>
                <w:sz w:val="24"/>
              </w:rPr>
            </w:pPr>
            <w:r>
              <w:rPr>
                <w:rFonts w:ascii="Times New Roman" w:hAnsi="Times New Roman"/>
                <w:sz w:val="24"/>
              </w:rPr>
              <w:t>Članci 261. i 262. CRR-a Ovaj se stupac iskazuje prije primjene gornje granice i ne iskazuju se za transakcije u skladu s pristupom SEC-SA.</w:t>
            </w:r>
          </w:p>
          <w:p w14:paraId="05270BEF"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1AE066A2" w14:textId="77777777" w:rsidTr="00E10B85">
        <w:tc>
          <w:tcPr>
            <w:tcW w:w="1101" w:type="dxa"/>
            <w:shd w:val="clear" w:color="auto" w:fill="auto"/>
          </w:tcPr>
          <w:p w14:paraId="4153A6F3" w14:textId="77777777" w:rsidR="00FC6275" w:rsidRPr="00A30C4C" w:rsidRDefault="00677A91" w:rsidP="00677A91">
            <w:pPr>
              <w:autoSpaceDE w:val="0"/>
              <w:autoSpaceDN w:val="0"/>
              <w:adjustRightInd w:val="0"/>
              <w:spacing w:before="0" w:after="0"/>
              <w:rPr>
                <w:rFonts w:ascii="Times New Roman" w:hAnsi="Times New Roman"/>
                <w:sz w:val="24"/>
              </w:rPr>
            </w:pPr>
            <w:r>
              <w:rPr>
                <w:rFonts w:ascii="Times New Roman" w:hAnsi="Times New Roman"/>
                <w:sz w:val="24"/>
              </w:rPr>
              <w:t>450-470</w:t>
            </w:r>
          </w:p>
        </w:tc>
        <w:tc>
          <w:tcPr>
            <w:tcW w:w="7903" w:type="dxa"/>
            <w:shd w:val="clear" w:color="auto" w:fill="auto"/>
          </w:tcPr>
          <w:p w14:paraId="41388C7F"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SEKURITIZACIJSKE POZICIJE – KNJIGA TRGOVANJA</w:t>
            </w:r>
          </w:p>
          <w:p w14:paraId="3172C445"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FC6275" w:rsidRPr="00A30C4C" w:rsidDel="00304CB1"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KORELACIJSKI PORTFELJ NAMIJENJEN TRGOVANJU ILI KORELACIJSKI PORTFELJ KOJI NIJE NAMIJENJEN TRGOVANJU?</w:t>
            </w:r>
          </w:p>
          <w:p w14:paraId="0277A8CD" w14:textId="77777777" w:rsidR="00FC6275" w:rsidRPr="00A30C4C" w:rsidRDefault="00FC6275" w:rsidP="00E10B85">
            <w:pPr>
              <w:spacing w:before="0" w:after="0"/>
              <w:jc w:val="left"/>
              <w:rPr>
                <w:rStyle w:val="InstructionsTabelleText"/>
                <w:rFonts w:ascii="Times New Roman" w:hAnsi="Times New Roman"/>
                <w:sz w:val="24"/>
              </w:rPr>
            </w:pPr>
          </w:p>
          <w:p w14:paraId="43936197" w14:textId="77777777" w:rsidR="00FC6275" w:rsidRPr="00A30C4C"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Institucije iskazuju sljedeće kratice:</w:t>
            </w:r>
          </w:p>
          <w:p w14:paraId="0813C2A4" w14:textId="77777777" w:rsidR="00FC6275" w:rsidRPr="00A30C4C"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korelacijski portfelj namijenjen trgovanju (CTP);</w:t>
            </w:r>
          </w:p>
          <w:p w14:paraId="791EBD74" w14:textId="77777777" w:rsidR="00FC6275" w:rsidRPr="00A30C4C"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korelacijski portfelj koji nije namijenjen trgovanju</w:t>
            </w:r>
          </w:p>
          <w:p w14:paraId="2B570DF8"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FC6275" w:rsidRPr="00A30C4C" w:rsidDel="00304CB1"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A30C4C"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NETO POZICIJE – DUGE/KRATKE</w:t>
            </w:r>
          </w:p>
          <w:p w14:paraId="4D8B0BDD" w14:textId="77777777" w:rsidR="00FC6275" w:rsidRPr="00A30C4C" w:rsidRDefault="00FC6275" w:rsidP="00E10B85">
            <w:pPr>
              <w:spacing w:before="0" w:after="0"/>
              <w:jc w:val="left"/>
              <w:rPr>
                <w:rFonts w:ascii="Times New Roman" w:hAnsi="Times New Roman"/>
                <w:b/>
                <w:sz w:val="24"/>
                <w:u w:val="single"/>
              </w:rPr>
            </w:pPr>
          </w:p>
          <w:p w14:paraId="6A52E9EF" w14:textId="77777777" w:rsidR="00FC6275" w:rsidRPr="00A30C4C"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lastRenderedPageBreak/>
              <w:t xml:space="preserve">Vidjeti stupce 050/060 obrasca MKR SA SEC odnosno MKR SA CTP. </w:t>
            </w:r>
          </w:p>
          <w:p w14:paraId="09E56F10" w14:textId="77777777" w:rsidR="00FC6275" w:rsidRPr="00A30C4C" w:rsidRDefault="00FC6275" w:rsidP="00E10B85">
            <w:pPr>
              <w:spacing w:before="0" w:after="0"/>
              <w:jc w:val="left"/>
              <w:rPr>
                <w:rFonts w:ascii="Times New Roman" w:hAnsi="Times New Roman"/>
                <w:b/>
                <w:sz w:val="24"/>
                <w:u w:val="single"/>
              </w:rPr>
            </w:pPr>
          </w:p>
        </w:tc>
      </w:tr>
    </w:tbl>
    <w:p w14:paraId="25C5EB8A" w14:textId="77777777" w:rsidR="00FC6275" w:rsidRPr="00A30C4C" w:rsidRDefault="00FC6275">
      <w:pPr>
        <w:spacing w:before="0" w:after="0"/>
        <w:jc w:val="left"/>
        <w:rPr>
          <w:rStyle w:val="InstructionsTabelleText"/>
          <w:rFonts w:ascii="Times New Roman" w:hAnsi="Times New Roman"/>
          <w:b/>
          <w:sz w:val="24"/>
        </w:rPr>
      </w:pPr>
    </w:p>
    <w:p w14:paraId="34E9DEE1" w14:textId="021E8CF2" w:rsidR="00AC6255" w:rsidRPr="00A30C4C" w:rsidRDefault="00CE4C49" w:rsidP="0023700C">
      <w:pPr>
        <w:pStyle w:val="Instructionsberschrift2"/>
        <w:numPr>
          <w:ilvl w:val="0"/>
          <w:numId w:val="0"/>
        </w:numPr>
        <w:ind w:left="357" w:hanging="357"/>
        <w:rPr>
          <w:rFonts w:ascii="Times New Roman" w:hAnsi="Times New Roman" w:cs="Times New Roman"/>
          <w:sz w:val="24"/>
        </w:rPr>
      </w:pPr>
      <w:bookmarkStart w:id="402" w:name="_Toc260157222"/>
      <w:bookmarkStart w:id="403" w:name="_Toc262566416"/>
      <w:bookmarkStart w:id="404" w:name="_Toc295829987"/>
      <w:bookmarkStart w:id="405" w:name="_Toc310415049"/>
      <w:bookmarkStart w:id="406" w:name="_Toc360188384"/>
      <w:bookmarkStart w:id="407" w:name="_Toc473560935"/>
      <w:bookmarkStart w:id="408" w:name="_Toc260157223"/>
      <w:bookmarkStart w:id="409" w:name="_Toc262566417"/>
      <w:bookmarkStart w:id="410" w:name="_Toc264038462"/>
      <w:bookmarkStart w:id="411" w:name="_Toc295829988"/>
      <w:bookmarkStart w:id="412" w:name="_Toc310415050"/>
      <w:bookmarkStart w:id="413" w:name="_Toc30677690"/>
      <w:r>
        <w:rPr>
          <w:rFonts w:ascii="Times New Roman" w:hAnsi="Times New Roman"/>
          <w:sz w:val="24"/>
        </w:rPr>
        <w:t>4</w:t>
      </w:r>
      <w:r w:rsidR="00D633B1">
        <w:rPr>
          <w:rFonts w:ascii="Times New Roman" w:hAnsi="Times New Roman"/>
          <w:sz w:val="24"/>
        </w:rPr>
        <w:t>.</w:t>
      </w:r>
      <w:r>
        <w:rPr>
          <w:rFonts w:ascii="Times New Roman" w:hAnsi="Times New Roman"/>
          <w:sz w:val="24"/>
        </w:rPr>
        <w:tab/>
        <w:t>Obrasci za operativni rizik</w:t>
      </w:r>
      <w:bookmarkEnd w:id="402"/>
      <w:bookmarkEnd w:id="403"/>
      <w:bookmarkEnd w:id="404"/>
      <w:bookmarkEnd w:id="405"/>
      <w:bookmarkEnd w:id="406"/>
      <w:bookmarkEnd w:id="407"/>
      <w:bookmarkEnd w:id="413"/>
    </w:p>
    <w:p w14:paraId="0B183E1A" w14:textId="166A2E60" w:rsidR="00AC6255" w:rsidRPr="00A30C4C" w:rsidRDefault="00CE4C49" w:rsidP="0023700C">
      <w:pPr>
        <w:pStyle w:val="Instructionsberschrift2"/>
        <w:numPr>
          <w:ilvl w:val="0"/>
          <w:numId w:val="0"/>
        </w:numPr>
        <w:ind w:left="357" w:hanging="357"/>
        <w:rPr>
          <w:rFonts w:ascii="Times New Roman" w:hAnsi="Times New Roman" w:cs="Times New Roman"/>
          <w:sz w:val="24"/>
        </w:rPr>
      </w:pPr>
      <w:bookmarkStart w:id="414" w:name="_Toc473560936"/>
      <w:bookmarkStart w:id="415" w:name="_Toc30677691"/>
      <w:r>
        <w:rPr>
          <w:rFonts w:ascii="Times New Roman" w:hAnsi="Times New Roman"/>
          <w:sz w:val="24"/>
        </w:rPr>
        <w:t>4.1</w:t>
      </w:r>
      <w:r w:rsidR="00D633B1">
        <w:rPr>
          <w:rFonts w:ascii="Times New Roman" w:hAnsi="Times New Roman"/>
          <w:sz w:val="24"/>
        </w:rPr>
        <w:t>.</w:t>
      </w:r>
      <w:r>
        <w:rPr>
          <w:rFonts w:ascii="Times New Roman" w:hAnsi="Times New Roman"/>
          <w:sz w:val="24"/>
        </w:rPr>
        <w:tab/>
      </w:r>
      <w:r>
        <w:rPr>
          <w:rFonts w:ascii="Times New Roman" w:hAnsi="Times New Roman"/>
          <w:sz w:val="24"/>
        </w:rPr>
        <w:tab/>
      </w:r>
      <w:bookmarkStart w:id="416" w:name="_Toc360188385"/>
      <w:r>
        <w:rPr>
          <w:rFonts w:ascii="Times New Roman" w:hAnsi="Times New Roman"/>
          <w:sz w:val="24"/>
        </w:rPr>
        <w:t>C 16.00 – Operativni rizik</w:t>
      </w:r>
      <w:bookmarkEnd w:id="408"/>
      <w:bookmarkEnd w:id="409"/>
      <w:bookmarkEnd w:id="410"/>
      <w:bookmarkEnd w:id="411"/>
      <w:bookmarkEnd w:id="412"/>
      <w:bookmarkEnd w:id="416"/>
      <w:r>
        <w:rPr>
          <w:rFonts w:ascii="Times New Roman" w:hAnsi="Times New Roman"/>
          <w:sz w:val="24"/>
        </w:rPr>
        <w:t xml:space="preserve"> (OPR)</w:t>
      </w:r>
      <w:bookmarkEnd w:id="414"/>
      <w:bookmarkEnd w:id="415"/>
    </w:p>
    <w:p w14:paraId="3C130F30" w14:textId="7A95BB71" w:rsidR="00AC6255" w:rsidRPr="00A30C4C" w:rsidRDefault="00CE4C49" w:rsidP="0023700C">
      <w:pPr>
        <w:pStyle w:val="Instructionsberschrift2"/>
        <w:numPr>
          <w:ilvl w:val="0"/>
          <w:numId w:val="0"/>
        </w:numPr>
        <w:ind w:left="357" w:hanging="357"/>
        <w:rPr>
          <w:rFonts w:ascii="Times New Roman" w:hAnsi="Times New Roman" w:cs="Times New Roman"/>
          <w:sz w:val="24"/>
          <w:u w:val="none"/>
        </w:rPr>
      </w:pPr>
      <w:bookmarkStart w:id="417" w:name="_Toc262566418"/>
      <w:bookmarkStart w:id="418" w:name="_Toc264038463"/>
      <w:bookmarkStart w:id="419" w:name="_Toc295829989"/>
      <w:bookmarkStart w:id="420" w:name="_Toc310415051"/>
      <w:bookmarkStart w:id="421" w:name="_Toc360188386"/>
      <w:bookmarkStart w:id="422" w:name="_Toc473560937"/>
      <w:bookmarkStart w:id="423" w:name="_Toc30677692"/>
      <w:r>
        <w:rPr>
          <w:rFonts w:ascii="Times New Roman" w:hAnsi="Times New Roman"/>
          <w:sz w:val="24"/>
          <w:u w:val="none"/>
        </w:rPr>
        <w:t>4.1.1</w:t>
      </w:r>
      <w:r w:rsidR="00D633B1">
        <w:rPr>
          <w:rFonts w:ascii="Times New Roman" w:hAnsi="Times New Roman"/>
          <w:sz w:val="24"/>
          <w:u w:val="none"/>
        </w:rPr>
        <w:t>.</w:t>
      </w:r>
      <w:r>
        <w:rPr>
          <w:rFonts w:ascii="Times New Roman" w:hAnsi="Times New Roman"/>
          <w:sz w:val="24"/>
          <w:u w:val="none"/>
        </w:rPr>
        <w:tab/>
      </w:r>
      <w:bookmarkStart w:id="424" w:name="_Toc260157224"/>
      <w:r>
        <w:rPr>
          <w:rFonts w:ascii="Times New Roman" w:hAnsi="Times New Roman"/>
          <w:sz w:val="24"/>
          <w:u w:val="none"/>
        </w:rPr>
        <w:t>Opće</w:t>
      </w:r>
      <w:bookmarkEnd w:id="424"/>
      <w:r>
        <w:rPr>
          <w:rFonts w:ascii="Times New Roman" w:hAnsi="Times New Roman"/>
          <w:sz w:val="24"/>
          <w:u w:val="none"/>
        </w:rPr>
        <w:t xml:space="preserve"> napomene</w:t>
      </w:r>
      <w:bookmarkEnd w:id="417"/>
      <w:bookmarkEnd w:id="418"/>
      <w:bookmarkEnd w:id="419"/>
      <w:bookmarkEnd w:id="420"/>
      <w:bookmarkEnd w:id="421"/>
      <w:bookmarkEnd w:id="422"/>
      <w:bookmarkEnd w:id="423"/>
      <w:r>
        <w:rPr>
          <w:rFonts w:ascii="Times New Roman" w:hAnsi="Times New Roman"/>
          <w:sz w:val="24"/>
          <w:u w:val="none"/>
        </w:rPr>
        <w:t xml:space="preserve"> </w:t>
      </w:r>
    </w:p>
    <w:p w14:paraId="423A7091" w14:textId="654C95B1" w:rsidR="00AC6255" w:rsidRPr="00A30C4C" w:rsidRDefault="006660B9" w:rsidP="00C37B29">
      <w:pPr>
        <w:pStyle w:val="InstructionsText2"/>
        <w:numPr>
          <w:ilvl w:val="0"/>
          <w:numId w:val="0"/>
        </w:numPr>
        <w:ind w:left="993"/>
      </w:pPr>
      <w:r>
        <w:t>114.</w:t>
      </w:r>
      <w:r>
        <w:tab/>
        <w:t xml:space="preserve"> U ovom se obrascu nalaze informacije o izračunu kapitalnih zahtjeva u skladu s člancima od 312. do 324. CRR-a za operativni rizik u skladu s jednostavnim pristupom, standardiziranim pristupom, alternativnim standardiziranim pristupom i naprednim pristupima. Institucija ne može istodobno primijeniti standardizirani i alternativni standardizirani pristup za poslovne linije poslovanja sa stanovništvom ili poslovnog bankarstva na pojedinačnoj razini.</w:t>
      </w:r>
    </w:p>
    <w:p w14:paraId="56FD3321" w14:textId="528E0A35" w:rsidR="00AC6255" w:rsidRPr="00A30C4C" w:rsidRDefault="00125707" w:rsidP="00C37B29">
      <w:pPr>
        <w:pStyle w:val="InstructionsText2"/>
        <w:numPr>
          <w:ilvl w:val="0"/>
          <w:numId w:val="0"/>
        </w:numPr>
        <w:ind w:left="993"/>
      </w:pPr>
      <w:r>
        <w:t xml:space="preserve">115. Institucije koje koriste jednostavni pristup, standardizirani ili alternativni standardizirani pristup izračunavaju svoje kapitalne zahtjeve na temelju informacija na kraju financijske godine. Ako nisu dostupni revidirani podaci, institucije se mogu koristiti poslovnim procjenama. Ako se koriste revidirani podaci, institucije iskazuju revidirane podatke koji bi trebali ostati nepromijenjeni. Odstupanja od tog načela „nepromijenjenih podataka” moguća su, na primjer, ako se tijekom tog razdoblja ostvare iznimne okolnosti, kao što su nedavna preuzimanja ili otuđivanja subjekata ili aktivnosti. </w:t>
      </w:r>
    </w:p>
    <w:p w14:paraId="4A9F6BA1" w14:textId="1822CBBC" w:rsidR="00AC6255" w:rsidRPr="00A30C4C" w:rsidRDefault="00125707" w:rsidP="00C37B29">
      <w:pPr>
        <w:pStyle w:val="InstructionsText2"/>
        <w:numPr>
          <w:ilvl w:val="0"/>
          <w:numId w:val="0"/>
        </w:numPr>
        <w:ind w:left="993"/>
      </w:pPr>
      <w:r>
        <w:t>116.</w:t>
      </w:r>
      <w:r>
        <w:tab/>
        <w:t xml:space="preserve"> Ako institucija može dokazati svom nadležnom tijelu da bi zbog iznimnih okolnosti – kao što je spajanje odnosno pripajanje ili otuđivanje subjekata ili aktivnosti – primjena trogodišnjeg prosjeka za izračun relevantnog pokazatelja dovela do pristrane procjene kapitalnog zahtjeva za operativni rizik, nadležno tijelo može odobriti instituciji izmjenu izračuna tako da uzme u obzir takve događaje. Nadležno tijelo može, na vlastitu inicijativu, zahtijevati i da institucija izmijeni svoj izračun. Institucija koja posluje kraće od tri godine može primjenjivati procjene budućeg poslovanja pri izračunu relevantnog pokazatelja, pod uvjetom da počne koristiti povijesne podatke čim ti podaci postanu raspoloživi.</w:t>
      </w:r>
    </w:p>
    <w:p w14:paraId="60F0D5E1" w14:textId="267293E2" w:rsidR="00AC6255" w:rsidRPr="00A30C4C" w:rsidRDefault="00125707" w:rsidP="00C37B29">
      <w:pPr>
        <w:pStyle w:val="InstructionsText2"/>
        <w:numPr>
          <w:ilvl w:val="0"/>
          <w:numId w:val="0"/>
        </w:numPr>
        <w:ind w:left="993"/>
      </w:pPr>
      <w:r>
        <w:t>117.</w:t>
      </w:r>
      <w:r>
        <w:tab/>
        <w:t xml:space="preserve"> U ovom su obrascu po stupcima predstavljene informacije za tri posljednje godine o iznosu relevantnog pokazatelja bankarskih aktivnosti koje podliježu operativnom riziku i iznosu kredita i predujmova (potonji se primjenjuje samo u slučaju alternativnog standardiziranog pristupa). Zatim se iskazuju informacije o kapitalnom zahtjevu za operativni rizik. Ako je primjenjivo, mora se detaljno navesti koji dio tog iznosa podliježe alokacijskom mehanizmu. U pogledu naprednih pristupa, dodane su bilješke kako bi se iskazali detalji učinka očekivanoga gubitka, diversifikacije i tehnika smanjenja na kapitalni zahtjev za operativni rizik.</w:t>
      </w:r>
    </w:p>
    <w:p w14:paraId="124A0324" w14:textId="77777777" w:rsidR="00AC6255" w:rsidRPr="00A30C4C" w:rsidRDefault="00125707" w:rsidP="00C37B29">
      <w:pPr>
        <w:pStyle w:val="InstructionsText2"/>
        <w:numPr>
          <w:ilvl w:val="0"/>
          <w:numId w:val="0"/>
        </w:numPr>
        <w:ind w:left="993"/>
      </w:pPr>
      <w:r>
        <w:t>118.</w:t>
      </w:r>
      <w:r>
        <w:tab/>
        <w:t xml:space="preserve"> Informacije su po redcima predstavljene prema metodi izračuna kapitalnog zahtjeva za operativni rizik s detaljnijim podacima o poslovnim linijama za standardizirani i alternativni standardizirani pristup.</w:t>
      </w:r>
    </w:p>
    <w:p w14:paraId="3C672CDB" w14:textId="77777777" w:rsidR="00AC6255" w:rsidRPr="00A30C4C" w:rsidRDefault="00125707" w:rsidP="00C37B29">
      <w:pPr>
        <w:pStyle w:val="InstructionsText2"/>
        <w:numPr>
          <w:ilvl w:val="0"/>
          <w:numId w:val="0"/>
        </w:numPr>
        <w:ind w:left="993"/>
      </w:pPr>
      <w:r>
        <w:t>119.</w:t>
      </w:r>
      <w:r>
        <w:tab/>
        <w:t xml:space="preserve"> Ovaj obrazac podnose sve institucije na koje se primjenjuje kapitalni zahtjev za operativni rizik.</w:t>
      </w:r>
    </w:p>
    <w:p w14:paraId="5D30B0E9" w14:textId="77777777" w:rsidR="00AC6255" w:rsidRPr="00A30C4C" w:rsidRDefault="00125707" w:rsidP="0023700C">
      <w:pPr>
        <w:pStyle w:val="Instructionsberschrift2"/>
        <w:numPr>
          <w:ilvl w:val="0"/>
          <w:numId w:val="0"/>
        </w:numPr>
        <w:ind w:left="357" w:hanging="357"/>
        <w:rPr>
          <w:rFonts w:ascii="Times New Roman" w:hAnsi="Times New Roman" w:cs="Times New Roman"/>
          <w:sz w:val="24"/>
        </w:rPr>
      </w:pPr>
      <w:bookmarkStart w:id="425" w:name="_Toc260157225"/>
      <w:bookmarkStart w:id="426" w:name="_Toc262566419"/>
      <w:bookmarkStart w:id="427" w:name="_Toc264038464"/>
      <w:bookmarkStart w:id="428" w:name="_Toc295829990"/>
      <w:bookmarkStart w:id="429" w:name="_Toc310415052"/>
      <w:bookmarkStart w:id="430" w:name="_Toc360188387"/>
      <w:bookmarkStart w:id="431" w:name="_Toc473560938"/>
      <w:bookmarkStart w:id="432" w:name="_Toc30677693"/>
      <w:r>
        <w:rPr>
          <w:rFonts w:ascii="Times New Roman" w:hAnsi="Times New Roman"/>
          <w:sz w:val="24"/>
          <w:u w:val="none"/>
        </w:rPr>
        <w:lastRenderedPageBreak/>
        <w:t>4.1.2.</w:t>
      </w:r>
      <w:r>
        <w:rPr>
          <w:rFonts w:ascii="Times New Roman" w:hAnsi="Times New Roman"/>
          <w:sz w:val="24"/>
          <w:u w:val="none"/>
        </w:rPr>
        <w:tab/>
      </w:r>
      <w:r>
        <w:rPr>
          <w:rFonts w:ascii="Times New Roman" w:hAnsi="Times New Roman"/>
          <w:sz w:val="24"/>
        </w:rPr>
        <w:t>Upute za specifične pozicije</w:t>
      </w:r>
      <w:bookmarkEnd w:id="425"/>
      <w:bookmarkEnd w:id="426"/>
      <w:bookmarkEnd w:id="427"/>
      <w:bookmarkEnd w:id="428"/>
      <w:bookmarkEnd w:id="429"/>
      <w:bookmarkEnd w:id="430"/>
      <w:bookmarkEnd w:id="431"/>
      <w:bookmarkEnd w:id="432"/>
    </w:p>
    <w:p w14:paraId="2FFFD54E"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30C4C" w14:paraId="0ED5FA59" w14:textId="77777777" w:rsidTr="00672D2A">
        <w:trPr>
          <w:trHeight w:val="553"/>
        </w:trPr>
        <w:tc>
          <w:tcPr>
            <w:tcW w:w="8862" w:type="dxa"/>
            <w:gridSpan w:val="2"/>
            <w:shd w:val="clear" w:color="auto" w:fill="CCCCCC"/>
          </w:tcPr>
          <w:p w14:paraId="04A6D214" w14:textId="77777777" w:rsidR="00AC6255" w:rsidRPr="00A30C4C"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Stupci</w:t>
            </w:r>
          </w:p>
        </w:tc>
      </w:tr>
      <w:tr w:rsidR="00AC6255" w:rsidRPr="00A30C4C" w14:paraId="75B0A424" w14:textId="77777777" w:rsidTr="00672D2A">
        <w:tc>
          <w:tcPr>
            <w:tcW w:w="985" w:type="dxa"/>
          </w:tcPr>
          <w:p w14:paraId="41F1DAD5"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t>010-030</w:t>
            </w:r>
          </w:p>
        </w:tc>
        <w:tc>
          <w:tcPr>
            <w:tcW w:w="7877" w:type="dxa"/>
          </w:tcPr>
          <w:p w14:paraId="7665078D"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RELEVANTNI POKAZATELJ</w:t>
            </w:r>
          </w:p>
          <w:p w14:paraId="1CDF94D3"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485D2C02" w14:textId="5FDE8E0A"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Institucije koje koriste relevantni pokazatelj za izračun kapitalnog zahtjeva za operativni rizik (jednostavni, standardizirani i alternativni standardizirani pristup) iskazuju relevantni pokazatelj za odgovarajuće godine u stupcima od 010 do 030. Nadalje, u slučaju kombinirane primjene različitih pristupa iz članka 314. CRR-a, institucije iskazuju, za potrebe dostavljanja informacija, i relevantni pokazatelj za aktivnosti koje podliježu naprednim pristupima. Isto se primjenjuje za sve ostale banke koje primjenjuju napredne pristupe.</w:t>
            </w:r>
          </w:p>
          <w:p w14:paraId="396E1BE6" w14:textId="77777777" w:rsidR="00AC6255" w:rsidRPr="00A30C4C"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U nastavku se pojam „relevantni pokazatelj” odnosi na „zbroj elemenata” na kraju financijske godine iz članka 316. tablice 1. točke 1. CRR-a. </w:t>
            </w:r>
          </w:p>
          <w:p w14:paraId="0586ED75" w14:textId="77777777" w:rsidR="00AC6255" w:rsidRPr="00A30C4C" w:rsidRDefault="00AC6255" w:rsidP="000B0B09">
            <w:pPr>
              <w:autoSpaceDE w:val="0"/>
              <w:autoSpaceDN w:val="0"/>
              <w:adjustRightInd w:val="0"/>
              <w:spacing w:before="0" w:after="0"/>
              <w:rPr>
                <w:rFonts w:ascii="Times New Roman" w:hAnsi="Times New Roman"/>
                <w:sz w:val="24"/>
                <w:lang w:eastAsia="de-DE"/>
              </w:rPr>
            </w:pPr>
          </w:p>
          <w:p w14:paraId="24504E63" w14:textId="77C06CD6" w:rsidR="00AC6255" w:rsidRPr="00A30C4C"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Ako institucija ima podatke za manje od 3 godine o dostupnom „relevantnom pokazatelju”, dostupni povijesni podaci (revidirani podaci) raspoređuju se prema prioritetu u odgovarajuće stupce u obrascu. Ako su, na primjer, povijesni podaci dostupni samo za jednu godinu, ti se podaci iskazuju u stupcu 030. Ako se čini razumnim, procjene budućeg poslovanja uključuju se u stupac 020 (procjena sljedeće godine) i stupac 010 (procjena godine +2).</w:t>
            </w:r>
          </w:p>
          <w:p w14:paraId="37DBFE3D" w14:textId="77777777" w:rsidR="00AC6255" w:rsidRPr="00A30C4C" w:rsidRDefault="00AC6255" w:rsidP="000B0B09">
            <w:pPr>
              <w:autoSpaceDE w:val="0"/>
              <w:autoSpaceDN w:val="0"/>
              <w:adjustRightInd w:val="0"/>
              <w:spacing w:before="0" w:after="0"/>
              <w:rPr>
                <w:rFonts w:ascii="Times New Roman" w:hAnsi="Times New Roman"/>
                <w:i/>
                <w:sz w:val="24"/>
              </w:rPr>
            </w:pPr>
          </w:p>
          <w:p w14:paraId="0DB52E93" w14:textId="2C1C470D"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Nadalje, ako povijesni podaci o „relevantnom pokazatelju” nisu dostupni, institucija se može koristiti procjenama budućeg poslovanja.</w:t>
            </w:r>
          </w:p>
          <w:p w14:paraId="7AC86AA8"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0E3385AA" w14:textId="77777777" w:rsidTr="00672D2A">
        <w:tc>
          <w:tcPr>
            <w:tcW w:w="985" w:type="dxa"/>
          </w:tcPr>
          <w:p w14:paraId="1495F5B0"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t>040-060</w:t>
            </w:r>
          </w:p>
        </w:tc>
        <w:tc>
          <w:tcPr>
            <w:tcW w:w="7877" w:type="dxa"/>
          </w:tcPr>
          <w:p w14:paraId="57FF171C"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KREDITI I PREDUJMOVI (U SLUČAJU PRIMJENE ALTERNATIVNOG STANDARDIZIRANOG PRISTUPA)</w:t>
            </w:r>
          </w:p>
          <w:p w14:paraId="70267385"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Ovi se stupci koriste za iskazivanje iznosa kredita i predujmova, kako je navedeno u članku 319. stavku 1. točki (b) CRR-a, za poslovne linije „poslovno bankarstvo” i „poslovanje sa stanovništvom”. Navedeni se iznosi koriste za izračun alternativnog relevantnog pokazatelja koji dovodi do kapitalnih zahtjeva koji odgovaraju aktivnostima na koje se primjenjuje alternativni standardizirani pristup (članak 319. stavak 1. točka (a) CRR-a). </w:t>
            </w:r>
          </w:p>
          <w:p w14:paraId="1834B90C" w14:textId="77777777" w:rsidR="00AC6255" w:rsidRPr="00A30C4C" w:rsidRDefault="00AC6255" w:rsidP="000B0B09">
            <w:pPr>
              <w:autoSpaceDE w:val="0"/>
              <w:autoSpaceDN w:val="0"/>
              <w:adjustRightInd w:val="0"/>
              <w:spacing w:before="0" w:after="0"/>
              <w:rPr>
                <w:rFonts w:ascii="Times New Roman" w:hAnsi="Times New Roman"/>
                <w:sz w:val="24"/>
              </w:rPr>
            </w:pPr>
          </w:p>
          <w:p w14:paraId="39ABC864"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Za poslovnu liniju „poslovno bankarstvo” uključuju se i vrijednosni papiri koji se drže u knjizi pozicija kojima se ne trguje.</w:t>
            </w:r>
          </w:p>
        </w:tc>
      </w:tr>
      <w:tr w:rsidR="00AC6255" w:rsidRPr="00A30C4C" w14:paraId="47DB7975" w14:textId="77777777" w:rsidTr="00672D2A">
        <w:tc>
          <w:tcPr>
            <w:tcW w:w="985" w:type="dxa"/>
          </w:tcPr>
          <w:p w14:paraId="699B7C5C"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070</w:t>
            </w:r>
          </w:p>
        </w:tc>
        <w:tc>
          <w:tcPr>
            <w:tcW w:w="7877" w:type="dxa"/>
          </w:tcPr>
          <w:p w14:paraId="0CFEB8B5"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KAPITALNI ZAHTJEV</w:t>
            </w:r>
          </w:p>
          <w:p w14:paraId="23009EB8" w14:textId="77777777" w:rsidR="00AC6255" w:rsidRPr="00A30C4C" w:rsidRDefault="00AC6255" w:rsidP="000B0B09">
            <w:pPr>
              <w:autoSpaceDE w:val="0"/>
              <w:autoSpaceDN w:val="0"/>
              <w:adjustRightInd w:val="0"/>
              <w:spacing w:before="0" w:after="0"/>
              <w:jc w:val="left"/>
              <w:rPr>
                <w:rFonts w:ascii="Times New Roman" w:hAnsi="Times New Roman"/>
                <w:sz w:val="24"/>
                <w:lang w:eastAsia="de-DE"/>
              </w:rPr>
            </w:pPr>
          </w:p>
          <w:p w14:paraId="69D5BDB3" w14:textId="7CFA541C" w:rsidR="00AC6255" w:rsidRPr="00A30C4C"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Kapitalni zahtjev izračunava se u skladu s primijenjenim pristupom u skladu s člancima od 312. do 324. CRR-a. Nastali iznos iskazuje se u stupcu 070.</w:t>
            </w:r>
          </w:p>
        </w:tc>
      </w:tr>
      <w:tr w:rsidR="00AC6255" w:rsidRPr="00A30C4C" w14:paraId="49D9544B" w14:textId="77777777" w:rsidTr="00672D2A">
        <w:tc>
          <w:tcPr>
            <w:tcW w:w="985" w:type="dxa"/>
          </w:tcPr>
          <w:p w14:paraId="49CF59E4"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071</w:t>
            </w:r>
          </w:p>
        </w:tc>
        <w:tc>
          <w:tcPr>
            <w:tcW w:w="7877" w:type="dxa"/>
          </w:tcPr>
          <w:p w14:paraId="32B8583F" w14:textId="77777777" w:rsidR="00AC625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UKUPNI IZNOS IZLOŽENOSTI OPERATIVNOM RIZIKU</w:t>
            </w:r>
          </w:p>
          <w:p w14:paraId="51215736" w14:textId="3B9CCEDA" w:rsidR="00454CFC" w:rsidRDefault="00AC6255" w:rsidP="0002267E">
            <w:pPr>
              <w:rPr>
                <w:rFonts w:ascii="Times New Roman" w:hAnsi="Times New Roman"/>
                <w:sz w:val="24"/>
              </w:rPr>
            </w:pPr>
            <w:r>
              <w:t xml:space="preserve">Članak 92. stavak 4. CRR-a </w:t>
            </w:r>
          </w:p>
          <w:p w14:paraId="071BA017" w14:textId="77777777" w:rsidR="00AC6255" w:rsidRPr="00A30C4C" w:rsidRDefault="00AC6255" w:rsidP="0002267E">
            <w:pPr>
              <w:rPr>
                <w:rStyle w:val="InstructionsTabelleberschrift"/>
                <w:rFonts w:ascii="Times New Roman" w:hAnsi="Times New Roman"/>
                <w:b w:val="0"/>
                <w:sz w:val="24"/>
              </w:rPr>
            </w:pPr>
            <w:r>
              <w:t>Kapitalni zahtjevi u stupcu 070 pomnoženi s 12,5</w:t>
            </w:r>
          </w:p>
        </w:tc>
      </w:tr>
      <w:tr w:rsidR="00AC6255" w:rsidRPr="00A30C4C" w14:paraId="3915C7EF" w14:textId="77777777" w:rsidTr="00672D2A">
        <w:tc>
          <w:tcPr>
            <w:tcW w:w="985" w:type="dxa"/>
          </w:tcPr>
          <w:p w14:paraId="31839518"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080</w:t>
            </w:r>
          </w:p>
        </w:tc>
        <w:tc>
          <w:tcPr>
            <w:tcW w:w="7877" w:type="dxa"/>
          </w:tcPr>
          <w:p w14:paraId="1FFB7703" w14:textId="77777777" w:rsidR="00AC6255" w:rsidRPr="0002267E" w:rsidRDefault="00AC6255" w:rsidP="000B0B09">
            <w:pPr>
              <w:autoSpaceDE w:val="0"/>
              <w:autoSpaceDN w:val="0"/>
              <w:adjustRightInd w:val="0"/>
              <w:spacing w:before="0" w:after="0"/>
              <w:jc w:val="left"/>
              <w:rPr>
                <w:rStyle w:val="InstructionsTabelleberschrift"/>
                <w:rFonts w:ascii="Times New Roman" w:hAnsi="Times New Roman"/>
                <w:sz w:val="24"/>
                <w:highlight w:val="yellow"/>
              </w:rPr>
            </w:pPr>
            <w:r>
              <w:rPr>
                <w:rStyle w:val="InstructionsTabelleberschrift"/>
                <w:rFonts w:ascii="Times New Roman" w:hAnsi="Times New Roman"/>
                <w:sz w:val="24"/>
                <w:highlight w:val="yellow"/>
              </w:rPr>
              <w:t>OD ČEGA: NA TEMELJU ALOKACIJSKOG MEHANIZMA</w:t>
            </w:r>
          </w:p>
          <w:p w14:paraId="0D1177E6" w14:textId="77777777" w:rsidR="00AC6255" w:rsidRPr="0002267E" w:rsidRDefault="00AC6255" w:rsidP="000B0B09">
            <w:pPr>
              <w:autoSpaceDE w:val="0"/>
              <w:autoSpaceDN w:val="0"/>
              <w:adjustRightInd w:val="0"/>
              <w:spacing w:before="0" w:after="0"/>
              <w:jc w:val="left"/>
              <w:rPr>
                <w:rFonts w:ascii="Times New Roman" w:hAnsi="Times New Roman"/>
                <w:bCs/>
                <w:sz w:val="24"/>
                <w:highlight w:val="yellow"/>
                <w:lang w:eastAsia="nl-BE"/>
              </w:rPr>
            </w:pPr>
          </w:p>
          <w:p w14:paraId="723162CE" w14:textId="0EDA2C48" w:rsidR="00AC6255" w:rsidRPr="0002267E" w:rsidRDefault="003E7AEC" w:rsidP="000B0B09">
            <w:pPr>
              <w:jc w:val="left"/>
              <w:rPr>
                <w:rFonts w:ascii="Times New Roman" w:hAnsi="Times New Roman"/>
                <w:bCs/>
                <w:sz w:val="24"/>
                <w:highlight w:val="yellow"/>
              </w:rPr>
            </w:pPr>
            <w:r>
              <w:rPr>
                <w:rFonts w:ascii="Times New Roman" w:hAnsi="Times New Roman"/>
                <w:bCs/>
                <w:sz w:val="24"/>
                <w:highlight w:val="yellow"/>
              </w:rPr>
              <w:lastRenderedPageBreak/>
              <w:t>Ako je primjena naprednih pristupa na konsolidiranoj razini (članak 18. stavak 1. CRR-a) odobrena</w:t>
            </w:r>
            <w:r>
              <w:rPr>
                <w:rFonts w:ascii="Times New Roman" w:hAnsi="Times New Roman"/>
                <w:sz w:val="24"/>
                <w:highlight w:val="yellow"/>
              </w:rPr>
              <w:t xml:space="preserve"> u skladu s člankom 312. stavkom 2. CRR-a, kapital za operativni rizik raspodjeljuje se između različitih subjekata u grupi na temelju metodologije koju primjenjuju institucije kako bi se učinci diversifikacije uzeli u obzir u sustavu mjerenja rizika koji koriste matična kreditna institucija iz EU-a i njezina društva kćeri ili zajednički društva kćeri matičnog financijskog holdinga iz EU-a ili matični mješoviti financijski holding iz EU-a. Rezultat te raspodjele iskazuje se u ovom stupcu. </w:t>
            </w:r>
          </w:p>
          <w:p w14:paraId="6BA87823" w14:textId="77777777" w:rsidR="00AC6255" w:rsidRPr="0002267E" w:rsidRDefault="00AC6255" w:rsidP="000B0B09">
            <w:pPr>
              <w:autoSpaceDE w:val="0"/>
              <w:autoSpaceDN w:val="0"/>
              <w:adjustRightInd w:val="0"/>
              <w:spacing w:before="0" w:after="0"/>
              <w:jc w:val="left"/>
              <w:rPr>
                <w:rFonts w:ascii="Times New Roman" w:hAnsi="Times New Roman"/>
                <w:bCs/>
                <w:sz w:val="24"/>
                <w:highlight w:val="yellow"/>
                <w:lang w:eastAsia="nl-BE"/>
              </w:rPr>
            </w:pPr>
          </w:p>
        </w:tc>
      </w:tr>
      <w:tr w:rsidR="00AC6255" w:rsidRPr="00A30C4C" w14:paraId="05DAC788" w14:textId="77777777" w:rsidTr="00672D2A">
        <w:tc>
          <w:tcPr>
            <w:tcW w:w="985" w:type="dxa"/>
          </w:tcPr>
          <w:p w14:paraId="13A3E0FC"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090-120</w:t>
            </w:r>
          </w:p>
        </w:tc>
        <w:tc>
          <w:tcPr>
            <w:tcW w:w="7877" w:type="dxa"/>
          </w:tcPr>
          <w:p w14:paraId="10FAF020"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BILJEŠKE U SKLADU S NAPREDNIM PRISTUPIMA KOJE JE POTREBNO ISKAZATI AKO JE PRIMJENJIVO</w:t>
            </w:r>
          </w:p>
        </w:tc>
      </w:tr>
      <w:tr w:rsidR="00AC6255" w:rsidRPr="00A30C4C" w14:paraId="35EEC7EB" w14:textId="77777777" w:rsidTr="00672D2A">
        <w:tc>
          <w:tcPr>
            <w:tcW w:w="985" w:type="dxa"/>
          </w:tcPr>
          <w:p w14:paraId="35255FF5"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090</w:t>
            </w:r>
          </w:p>
        </w:tc>
        <w:tc>
          <w:tcPr>
            <w:tcW w:w="7877" w:type="dxa"/>
          </w:tcPr>
          <w:p w14:paraId="75DF12A4"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KAPITALNI ZAHTJEV PRIJE SMANJENJA ZBOG OČEKIVANOGA GUBITKA, DIVERSIFIKACIJE I TEHNIKA SMANJENJA RIZIKA</w:t>
            </w:r>
          </w:p>
          <w:p w14:paraId="09DB1937"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Kapitalni zahtjev iskazan u stupcu 090 zahtjev je iz stupca 070, ali izračunan prije uzimanja u obzir učinaka smanjenja zbog očekivanoga gubitka, diversifikacije i tehnika smanjenja rizika (vidjeti u nastavku).</w:t>
            </w:r>
          </w:p>
          <w:p w14:paraId="31521B51"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62BCB1ED" w14:textId="77777777" w:rsidTr="00672D2A">
        <w:tc>
          <w:tcPr>
            <w:tcW w:w="985" w:type="dxa"/>
          </w:tcPr>
          <w:p w14:paraId="247865E1"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100</w:t>
            </w:r>
          </w:p>
        </w:tc>
        <w:tc>
          <w:tcPr>
            <w:tcW w:w="7877" w:type="dxa"/>
          </w:tcPr>
          <w:p w14:paraId="39E9249B"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SMANJENJE KAPITALNIH ZAHTJEVA ZBOG OČEKIVANOGA GUBITKA OBUHVAĆENOG U POSLOVNIM PRAKSAMA</w:t>
            </w:r>
          </w:p>
          <w:p w14:paraId="402E2D2B"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U stupcu 100 iskazuje se smanjenje kapitalnih zahtjeva zbog očekivanoga gubitka obuhvaćenog u internim poslovnim praksama (iz članka 322. stavka 2. točke (a) CRR-a).</w:t>
            </w:r>
          </w:p>
          <w:p w14:paraId="5C7DD762"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1ABEA2AC" w14:textId="77777777" w:rsidTr="00672D2A">
        <w:tc>
          <w:tcPr>
            <w:tcW w:w="985" w:type="dxa"/>
          </w:tcPr>
          <w:p w14:paraId="7C02BD71"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110</w:t>
            </w:r>
          </w:p>
        </w:tc>
        <w:tc>
          <w:tcPr>
            <w:tcW w:w="7877" w:type="dxa"/>
          </w:tcPr>
          <w:p w14:paraId="102A8AEB"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SMANJENJE KAPITALNIH ZAHTJEVA ZBOG DIVERSIFIKACIJE</w:t>
            </w:r>
          </w:p>
          <w:p w14:paraId="4B201E61" w14:textId="74393C1E" w:rsidR="00AC6255" w:rsidRPr="00A30C4C" w:rsidRDefault="00AC6255" w:rsidP="000B0B09">
            <w:pPr>
              <w:rPr>
                <w:rFonts w:ascii="Times New Roman" w:hAnsi="Times New Roman"/>
                <w:sz w:val="24"/>
              </w:rPr>
            </w:pPr>
            <w:r>
              <w:rPr>
                <w:rFonts w:ascii="Times New Roman" w:hAnsi="Times New Roman"/>
                <w:sz w:val="24"/>
              </w:rPr>
              <w:t>Učinak diversifikacije iz stupca 110 razlika je između zbroja kapitalnih zahtjeva izračunanih zasebno za svaku kategoriju operativnog rizika (tj. situacija „potpune zavisnosti”) i diversificiranog kapitalnog zahtjeva izračunanog uzimanjem u obzir korelacija i zavisnosti (tj. uz pretpostavku zavisnosti koje nije „potpuna zavisnost” među kategorijama rizika). Situacija „potpune zavisnosti” pojavljuje se u „slučaju neispunjavanja obveza”, tj. ako institucija ne koristi strukturu izričitih korelacija među kategorijama rizika, pa se stoga kapital u skladu s naprednim pristupom izračunava kao zbroj pojedinačnih mjera operativnog rizika za odabrane kategorije rizika. U tom se slučaju pretpostavlja da korelacija među kategorijama rizika iznosi 100 %, a vrijednost u stupcu mora iznositi nula. S druge strane, ako institucija izračunava strukturu izričitih korelacija među kategorijama rizika, mora uključiti u ovaj stupac razliku između kapitala u skladu s naprednim pristupom koji proizlazi iz „standardnog slučaja” i kapitala u skladu s naprednim pristupom koji je dobiven nakon primjene strukture korelacija među kategorijama rizika. Vrijednost odražava „kapacitet diversifikacije” modela naprednog pristupa, tj. sposobnost modela da se njime obuhvati neistovremeno pojavljivanje ozbiljnih štetnih događaja povezanih s operativnim rizikom. U stupcu 110 mora se iskazati iznos za koji pretpostavljena struktura korelacije smanjuje kapital u skladu s naprednim pristupom u odnosu na pretpostavku od 100 %.</w:t>
            </w:r>
          </w:p>
          <w:p w14:paraId="2A3A543E"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3B67DD76" w14:textId="77777777" w:rsidTr="00672D2A">
        <w:tc>
          <w:tcPr>
            <w:tcW w:w="985" w:type="dxa"/>
          </w:tcPr>
          <w:p w14:paraId="1E73534A"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120</w:t>
            </w:r>
          </w:p>
        </w:tc>
        <w:tc>
          <w:tcPr>
            <w:tcW w:w="7877" w:type="dxa"/>
          </w:tcPr>
          <w:p w14:paraId="494EF734" w14:textId="77777777" w:rsidR="00AC6255" w:rsidRPr="00A30C4C"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SMANJENJE KAPITALNOG ZAHTJEVA ZBOG TEHNIKA SMANJENJA RIZIKA (OSIGURANJE I DRUGI MEHANIZMI ZA PRIJENOS RIZIKA)</w:t>
            </w:r>
          </w:p>
          <w:p w14:paraId="756E5E01" w14:textId="77777777" w:rsidR="00AC6255" w:rsidRPr="00A30C4C" w:rsidRDefault="00AC6255" w:rsidP="000B0B09">
            <w:pPr>
              <w:autoSpaceDE w:val="0"/>
              <w:autoSpaceDN w:val="0"/>
              <w:adjustRightInd w:val="0"/>
              <w:spacing w:before="0" w:after="0"/>
              <w:jc w:val="left"/>
              <w:rPr>
                <w:rFonts w:ascii="Times New Roman" w:hAnsi="Times New Roman"/>
                <w:sz w:val="24"/>
                <w:lang w:eastAsia="de-DE"/>
              </w:rPr>
            </w:pPr>
          </w:p>
          <w:p w14:paraId="26193D95" w14:textId="43423D10" w:rsidR="00AC6255" w:rsidRPr="00A30C4C"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U stupcu 120 iskazuje se učinak osiguranja i drugih mehanizama za prijenos rizika iz članka 323. CRR-a.</w:t>
            </w:r>
          </w:p>
          <w:p w14:paraId="315C424A"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A30C4C"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30C4C" w14:paraId="20F9DBD6" w14:textId="77777777" w:rsidTr="00672D2A">
        <w:trPr>
          <w:trHeight w:val="518"/>
        </w:trPr>
        <w:tc>
          <w:tcPr>
            <w:tcW w:w="8862" w:type="dxa"/>
            <w:gridSpan w:val="2"/>
            <w:shd w:val="clear" w:color="auto" w:fill="CCCCCC"/>
          </w:tcPr>
          <w:p w14:paraId="6606766B" w14:textId="77777777" w:rsidR="00AC6255" w:rsidRPr="00A30C4C"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Redci</w:t>
            </w:r>
          </w:p>
        </w:tc>
      </w:tr>
      <w:tr w:rsidR="00AC6255" w:rsidRPr="00A30C4C" w14:paraId="02B071F0" w14:textId="77777777" w:rsidTr="00672D2A">
        <w:tc>
          <w:tcPr>
            <w:tcW w:w="985" w:type="dxa"/>
          </w:tcPr>
          <w:p w14:paraId="2C7368F9"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010 </w:t>
            </w:r>
          </w:p>
        </w:tc>
        <w:tc>
          <w:tcPr>
            <w:tcW w:w="7877" w:type="dxa"/>
          </w:tcPr>
          <w:p w14:paraId="628EF631"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KOJE PODLIJEŽU JEDNOSTAVNOM PRISTUPU</w:t>
            </w:r>
          </w:p>
          <w:p w14:paraId="2187988F" w14:textId="77777777" w:rsidR="00AC6255" w:rsidRPr="0039290F" w:rsidRDefault="00AC6255" w:rsidP="000B0B09">
            <w:pPr>
              <w:pStyle w:val="PlainText"/>
              <w:jc w:val="both"/>
              <w:rPr>
                <w:rFonts w:ascii="Times New Roman" w:eastAsia="Times New Roman" w:hAnsi="Times New Roman"/>
                <w:sz w:val="24"/>
                <w:szCs w:val="24"/>
                <w:lang w:eastAsia="de-DE"/>
              </w:rPr>
            </w:pPr>
          </w:p>
          <w:p w14:paraId="69F468DC" w14:textId="5F2D62F5" w:rsidR="00AC6255" w:rsidRPr="00A30C4C"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U ovom se retku iskazuju iznosi koji odgovaraju aktivnostima koje podliježu jednostavnom pristupu u cilju izračuna kapitalnog zahtjeva za operativni rizik (članci 315. i 316. CRR-a).</w:t>
            </w:r>
          </w:p>
          <w:p w14:paraId="6067A1A0" w14:textId="77777777" w:rsidR="00AC6255" w:rsidRPr="00A30C4C" w:rsidRDefault="00AC6255" w:rsidP="000B0B09">
            <w:pPr>
              <w:pStyle w:val="PlainText"/>
              <w:jc w:val="both"/>
              <w:rPr>
                <w:rFonts w:ascii="Times New Roman" w:eastAsia="Times New Roman" w:hAnsi="Times New Roman"/>
                <w:bCs/>
                <w:sz w:val="24"/>
                <w:szCs w:val="24"/>
                <w:lang w:val="en-GB" w:eastAsia="nl-BE"/>
              </w:rPr>
            </w:pPr>
          </w:p>
        </w:tc>
      </w:tr>
      <w:tr w:rsidR="00AC6255" w:rsidRPr="00A30C4C" w14:paraId="155512A8" w14:textId="77777777" w:rsidTr="00672D2A">
        <w:tc>
          <w:tcPr>
            <w:tcW w:w="985" w:type="dxa"/>
          </w:tcPr>
          <w:p w14:paraId="460FAC80"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020</w:t>
            </w:r>
          </w:p>
        </w:tc>
        <w:tc>
          <w:tcPr>
            <w:tcW w:w="7877" w:type="dxa"/>
          </w:tcPr>
          <w:p w14:paraId="625979B3"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KOJE PODLIJEŽU STANDARDIZIRANOM/ALTERNATIVNOM STANDARDIZIRANOM PRISTUPU</w:t>
            </w:r>
          </w:p>
          <w:p w14:paraId="1D9EB8A6" w14:textId="77777777" w:rsidR="00AC6255" w:rsidRPr="00A30C4C"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Iskazuje se kapitalni zahtjev izračunan u skladu sa standardiziranim i alternativnim standardiziranim pristupom (članci 317., 318. i 319. CRR-a).</w:t>
            </w:r>
          </w:p>
          <w:p w14:paraId="432248F1"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tc>
      </w:tr>
      <w:tr w:rsidR="00AC6255" w:rsidRPr="00A30C4C" w14:paraId="6228067A" w14:textId="77777777" w:rsidTr="00672D2A">
        <w:trPr>
          <w:trHeight w:val="1705"/>
        </w:trPr>
        <w:tc>
          <w:tcPr>
            <w:tcW w:w="985" w:type="dxa"/>
          </w:tcPr>
          <w:p w14:paraId="7BB966FB"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t>030 – 100</w:t>
            </w:r>
          </w:p>
        </w:tc>
        <w:tc>
          <w:tcPr>
            <w:tcW w:w="7877" w:type="dxa"/>
          </w:tcPr>
          <w:p w14:paraId="12B0B4FB" w14:textId="77777777" w:rsidR="00AC6255" w:rsidRPr="00A30C4C"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PODLOŽNO STANDARDIZIRANOM PRISTUPU</w:t>
            </w:r>
          </w:p>
          <w:p w14:paraId="201BB629" w14:textId="41C787B9" w:rsidR="00AC6255" w:rsidRPr="00A30C4C"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Ako se primjenjuje standardizirani pristup, relevantni pokazatelj za svaku odnosnu godinu raspoređuje se u retke od 030 do 100 među poslovne linije iz članka 317. tablice 2. CRR-a. Raspoređivanje aktivnosti u poslovne linije u skladu je s načelima opisanima u članku 318. CRR-a.</w:t>
            </w:r>
          </w:p>
        </w:tc>
      </w:tr>
      <w:tr w:rsidR="00AC6255" w:rsidRPr="00A30C4C" w14:paraId="76BCFFD6" w14:textId="77777777" w:rsidTr="00672D2A">
        <w:tc>
          <w:tcPr>
            <w:tcW w:w="985" w:type="dxa"/>
          </w:tcPr>
          <w:p w14:paraId="348D7061"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t>110-120</w:t>
            </w:r>
          </w:p>
        </w:tc>
        <w:tc>
          <w:tcPr>
            <w:tcW w:w="7877" w:type="dxa"/>
          </w:tcPr>
          <w:p w14:paraId="311D0EF5"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PODLOŽNO ALTERNATIVNOM STANDARDIZIRANOM PRISTUPU</w:t>
            </w:r>
          </w:p>
          <w:p w14:paraId="42D39F0D" w14:textId="49294729" w:rsidR="00AC6255" w:rsidRPr="00A30C4C" w:rsidRDefault="00AC6255" w:rsidP="000B0B09">
            <w:pPr>
              <w:rPr>
                <w:rFonts w:ascii="Times New Roman" w:hAnsi="Times New Roman"/>
                <w:sz w:val="24"/>
              </w:rPr>
            </w:pPr>
            <w:r>
              <w:rPr>
                <w:rFonts w:ascii="Times New Roman" w:hAnsi="Times New Roman"/>
                <w:sz w:val="24"/>
              </w:rPr>
              <w:t xml:space="preserve">Institucije koje primjenjuju alternativni standardizirani pristup (članak 319. CRR-a) za odnosne godine iskazuju relevantni pokazatelj zasebno za svaku poslovnu liniju u redcima od 030 do 050 i od 080 do 100 te u redcima 110 i 120 za poslovne linije „poslovno bankarstvo” i „poslovanje sa stanovništvom”. </w:t>
            </w:r>
          </w:p>
          <w:p w14:paraId="4B898B97" w14:textId="09CE8C67" w:rsidR="00AC6255" w:rsidRPr="00A30C4C"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U redcima 110 i 120 iskazuje se iznos </w:t>
            </w:r>
            <w:r>
              <w:rPr>
                <w:rFonts w:ascii="Times New Roman" w:hAnsi="Times New Roman"/>
                <w:sz w:val="24"/>
              </w:rPr>
              <w:t xml:space="preserve">relevantnog pokazatelja </w:t>
            </w:r>
            <w:r>
              <w:rPr>
                <w:rStyle w:val="InstructionsTabelleText"/>
                <w:rFonts w:ascii="Times New Roman" w:hAnsi="Times New Roman"/>
                <w:sz w:val="24"/>
              </w:rPr>
              <w:t>aktivnosti koje podliježu alternativnom standardiziranom pristupu, pri čemu se razlikuje iznos koji odgovara poslovnoj liniji „poslovno bankarstvo” i iznosi koji odgovaraju poslovnoj liniji „poslovanje sa stanovništvom” (članak 319.</w:t>
            </w:r>
            <w:r>
              <w:rPr>
                <w:rFonts w:ascii="Times New Roman" w:hAnsi="Times New Roman"/>
                <w:sz w:val="24"/>
              </w:rPr>
              <w:t xml:space="preserve"> CRR-a</w:t>
            </w:r>
            <w:r>
              <w:rPr>
                <w:rStyle w:val="InstructionsTabelleText"/>
                <w:rFonts w:ascii="Times New Roman" w:hAnsi="Times New Roman"/>
                <w:sz w:val="24"/>
              </w:rPr>
              <w:t>). Mogu postojati i iznosi za retke koji odgovaraju „poslovnom bankarstvu” i „poslovanju sa stanovništvom” u skladu sa standardiziranim pristupom (redci 060 i 070) te u skladu s alternativnim standardiziranim pristupom u redcima 110 i 120 (npr. ako se na društvo kćer primjenjuje standardizirani pristup, a na matični subjekt alternativni standardizirani pristup).</w:t>
            </w:r>
          </w:p>
        </w:tc>
      </w:tr>
      <w:tr w:rsidR="00AC6255" w:rsidRPr="00A30C4C" w14:paraId="29C852E3" w14:textId="77777777" w:rsidTr="00672D2A">
        <w:tc>
          <w:tcPr>
            <w:tcW w:w="985" w:type="dxa"/>
          </w:tcPr>
          <w:p w14:paraId="4BAFA8BB"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130</w:t>
            </w:r>
          </w:p>
        </w:tc>
        <w:tc>
          <w:tcPr>
            <w:tcW w:w="7877" w:type="dxa"/>
          </w:tcPr>
          <w:p w14:paraId="2CE8EEAB"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BANKARSKE AKTIVNOSTI KOJE PODLIJEŽU NAPREDNIM PRISTUPIMA</w:t>
            </w:r>
          </w:p>
          <w:p w14:paraId="7F18DCB3"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Iskazuju se relevantni podaci za institucije koje podliježu naprednim pristupima (članak 312. točka 2. i članci 321., 322. i 323. CRR-a). </w:t>
            </w:r>
          </w:p>
          <w:p w14:paraId="2B6B4533" w14:textId="77777777" w:rsidR="00AC6255" w:rsidRPr="00A30C4C" w:rsidRDefault="00AC6255" w:rsidP="000B0B09">
            <w:pPr>
              <w:autoSpaceDE w:val="0"/>
              <w:autoSpaceDN w:val="0"/>
              <w:adjustRightInd w:val="0"/>
              <w:spacing w:before="0" w:after="0"/>
              <w:rPr>
                <w:rFonts w:ascii="Times New Roman" w:hAnsi="Times New Roman"/>
                <w:sz w:val="24"/>
              </w:rPr>
            </w:pPr>
          </w:p>
          <w:p w14:paraId="4D4A773D" w14:textId="25F36B51" w:rsidR="00AC6255" w:rsidRPr="00A30C4C"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Ako se kombiniraju primjene različitih pristupa kako je navedeno u članku 314. CRR-a, iskazuju se informacije o relevantnom pokazatelju za aktivnosti koje podliježu naprednim pristupima. Isto se primjenjuje za sve ostale banke koje primjenjuju napredne pristupe.</w:t>
            </w:r>
          </w:p>
          <w:p w14:paraId="3CCD4477"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A30C4C" w:rsidRDefault="00AC6255" w:rsidP="00AC6255">
      <w:pPr>
        <w:pStyle w:val="PlainText"/>
        <w:jc w:val="both"/>
        <w:rPr>
          <w:rFonts w:ascii="Times New Roman" w:hAnsi="Times New Roman"/>
          <w:sz w:val="24"/>
          <w:szCs w:val="24"/>
          <w:lang w:val="en-GB"/>
        </w:rPr>
      </w:pPr>
    </w:p>
    <w:p w14:paraId="4E53479F" w14:textId="77777777" w:rsidR="00AC6255" w:rsidRPr="00A30C4C" w:rsidRDefault="00AC6255" w:rsidP="00AC6255">
      <w:pPr>
        <w:rPr>
          <w:rFonts w:ascii="Times New Roman" w:hAnsi="Times New Roman"/>
          <w:sz w:val="24"/>
        </w:rPr>
      </w:pPr>
    </w:p>
    <w:p w14:paraId="6BEF8F27"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33" w:name="_Toc473560939"/>
      <w:bookmarkStart w:id="434" w:name="_Toc473560940"/>
      <w:bookmarkStart w:id="435" w:name="_Toc473560941"/>
      <w:bookmarkStart w:id="436" w:name="_Toc473560942"/>
      <w:bookmarkStart w:id="437" w:name="_Toc473560943"/>
      <w:bookmarkStart w:id="438" w:name="_Toc473560944"/>
      <w:bookmarkStart w:id="439" w:name="_Toc473560945"/>
      <w:bookmarkStart w:id="440" w:name="_Toc473560946"/>
      <w:bookmarkStart w:id="441" w:name="_Toc473560947"/>
      <w:bookmarkStart w:id="442" w:name="_Toc473560948"/>
      <w:bookmarkStart w:id="443" w:name="_Toc473560949"/>
      <w:bookmarkStart w:id="444" w:name="_Toc473560950"/>
      <w:bookmarkStart w:id="445" w:name="_Toc473560951"/>
      <w:bookmarkStart w:id="446" w:name="_Toc473560952"/>
      <w:bookmarkStart w:id="447" w:name="_Toc473560953"/>
      <w:bookmarkStart w:id="448" w:name="_Toc473560954"/>
      <w:bookmarkStart w:id="449" w:name="_Toc473560955"/>
      <w:bookmarkStart w:id="450" w:name="_Toc473560956"/>
      <w:bookmarkStart w:id="451" w:name="_Toc473560957"/>
      <w:bookmarkStart w:id="452" w:name="_Toc473560958"/>
      <w:bookmarkStart w:id="453" w:name="_Toc473560959"/>
      <w:bookmarkStart w:id="454" w:name="_Toc473560960"/>
      <w:bookmarkStart w:id="455" w:name="_Toc473560961"/>
      <w:bookmarkStart w:id="456" w:name="_Toc473560962"/>
      <w:bookmarkStart w:id="457" w:name="_Toc473560963"/>
      <w:bookmarkStart w:id="458" w:name="_Toc473560964"/>
      <w:bookmarkStart w:id="459" w:name="_Toc473560965"/>
      <w:bookmarkStart w:id="460" w:name="_Toc473560966"/>
      <w:bookmarkStart w:id="461" w:name="_Toc473560967"/>
      <w:bookmarkStart w:id="462" w:name="_Toc473560968"/>
      <w:bookmarkStart w:id="463" w:name="_Toc473560969"/>
      <w:bookmarkStart w:id="464" w:name="_Toc473560970"/>
      <w:bookmarkStart w:id="465" w:name="_Toc473560989"/>
      <w:bookmarkStart w:id="466" w:name="_Toc473560990"/>
      <w:bookmarkStart w:id="467" w:name="_Toc473561022"/>
      <w:bookmarkStart w:id="468" w:name="_Toc473561023"/>
      <w:bookmarkStart w:id="469" w:name="_Toc30677694"/>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ascii="Times New Roman" w:hAnsi="Times New Roman"/>
          <w:sz w:val="24"/>
          <w:u w:val="none"/>
        </w:rPr>
        <w:t>4.2.</w:t>
      </w:r>
      <w:r>
        <w:rPr>
          <w:rFonts w:ascii="Times New Roman" w:hAnsi="Times New Roman"/>
          <w:sz w:val="24"/>
          <w:u w:val="none"/>
        </w:rPr>
        <w:tab/>
      </w:r>
      <w:r>
        <w:rPr>
          <w:rFonts w:ascii="Times New Roman" w:hAnsi="Times New Roman"/>
          <w:sz w:val="24"/>
        </w:rPr>
        <w:t>Operativni rizik: Detaljne informacije o gubicima iz prethodne godine (OPR DETALJNIJI PODACI)</w:t>
      </w:r>
      <w:bookmarkEnd w:id="468"/>
      <w:bookmarkEnd w:id="469"/>
    </w:p>
    <w:p w14:paraId="6053B6B0"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0" w:name="_Toc473561024"/>
      <w:bookmarkStart w:id="471" w:name="_Toc30677695"/>
      <w:r>
        <w:rPr>
          <w:rFonts w:ascii="Times New Roman" w:hAnsi="Times New Roman"/>
          <w:sz w:val="24"/>
          <w:u w:val="none"/>
        </w:rPr>
        <w:t>4.2.1.</w:t>
      </w:r>
      <w:r>
        <w:rPr>
          <w:rFonts w:ascii="Times New Roman" w:hAnsi="Times New Roman"/>
          <w:sz w:val="24"/>
          <w:u w:val="none"/>
        </w:rPr>
        <w:tab/>
      </w:r>
      <w:r>
        <w:rPr>
          <w:rFonts w:ascii="Times New Roman" w:hAnsi="Times New Roman"/>
          <w:sz w:val="24"/>
        </w:rPr>
        <w:t>Opće napomene</w:t>
      </w:r>
      <w:bookmarkEnd w:id="470"/>
      <w:bookmarkEnd w:id="471"/>
    </w:p>
    <w:p w14:paraId="069470F5" w14:textId="7F80B240" w:rsidR="00FD54FC" w:rsidRPr="00A30C4C" w:rsidRDefault="00125707" w:rsidP="00C37B29">
      <w:pPr>
        <w:pStyle w:val="InstructionsText2"/>
        <w:numPr>
          <w:ilvl w:val="0"/>
          <w:numId w:val="0"/>
        </w:numPr>
        <w:ind w:left="993"/>
      </w:pPr>
      <w:r>
        <w:t>120.</w:t>
      </w:r>
      <w:r>
        <w:tab/>
        <w:t xml:space="preserve"> U obrascu C 17.01 (OPR DETALJNIJI PODACI 1) navode se sažete informacije o bruto gubicima i povratima gubitaka koje je institucija zabilježila u prethodnoj godini, prema vrstama događaja i poslovnim linijama. U obrascu C 17.02 (OPR DETALJNIJI PODACI 2) navode se detaljne informacije o najvećim štetnim događajima iz posljednje godine. </w:t>
      </w:r>
    </w:p>
    <w:p w14:paraId="07BE1384" w14:textId="0743498C" w:rsidR="00FD54FC" w:rsidRPr="00A30C4C" w:rsidRDefault="00125707" w:rsidP="00C37B29">
      <w:pPr>
        <w:pStyle w:val="InstructionsText2"/>
        <w:numPr>
          <w:ilvl w:val="0"/>
          <w:numId w:val="0"/>
        </w:numPr>
        <w:ind w:left="993"/>
      </w:pPr>
      <w:r>
        <w:t>121. Gubici od operativnog rizika koji su povezani s kreditnim rizikom i podliježu kapitalnim zahtjevima za kreditni rizik (događaji povezani s kreditnim rizikom i operativnim rizikom) ne uzimaju se u obzir ni u obrascu C 17.01 ni u obrascu C 17.02.</w:t>
      </w:r>
    </w:p>
    <w:p w14:paraId="21FF5E63" w14:textId="50392103" w:rsidR="00FD54FC" w:rsidRPr="00A30C4C" w:rsidRDefault="00125707" w:rsidP="00C37B29">
      <w:pPr>
        <w:pStyle w:val="InstructionsText2"/>
        <w:numPr>
          <w:ilvl w:val="0"/>
          <w:numId w:val="0"/>
        </w:numPr>
        <w:ind w:left="993"/>
      </w:pPr>
      <w:r>
        <w:t>122. U slučaju kombinirane primjene različitih pristupa za izračun kapitalnih zahtjeva za operativni rizik u skladu s člankom 314. CRR-a, gubici i povrati koje je institucija zabilježila iskazuju se u obrascima C 17.01 i C 17.02, neovisno o tome koji se pristup primjenjuje za izračun kapitalnih zahtjeva.</w:t>
      </w:r>
    </w:p>
    <w:p w14:paraId="5CD4AE9D" w14:textId="2B5838F6" w:rsidR="00FD54FC" w:rsidRPr="00A30C4C" w:rsidRDefault="00125707" w:rsidP="00C37B29">
      <w:pPr>
        <w:pStyle w:val="InstructionsText2"/>
        <w:numPr>
          <w:ilvl w:val="0"/>
          <w:numId w:val="0"/>
        </w:numPr>
        <w:ind w:left="993"/>
      </w:pPr>
      <w:r>
        <w:t xml:space="preserve">123. „Bruto gubitak” znači gubitak – kako je navedeno u članku 322. stavku 3. točki (b) CRR-a – koji proizlazi iz događaja ili vrste događaja povezane s operativnim rizikom prije bilo kakvog povrata, ne dovodeći u pitanje točku „štetni događaji s brzim povratom” kako je definirana u nastavku. </w:t>
      </w:r>
    </w:p>
    <w:p w14:paraId="663BB525" w14:textId="4BE7D896" w:rsidR="00FD54FC" w:rsidRPr="00A30C4C" w:rsidRDefault="00125707" w:rsidP="00C37B29">
      <w:pPr>
        <w:pStyle w:val="InstructionsText2"/>
        <w:numPr>
          <w:ilvl w:val="0"/>
          <w:numId w:val="0"/>
        </w:numPr>
        <w:ind w:left="993"/>
      </w:pPr>
      <w:r>
        <w:t>124. „Povrat” znači neovisni događaj povezan s izvornim gubitkom od operativnog rizika koji je vremenski odvojen i pri kojem se financijska sredstva ili priljevi ekonomskih koristi primaju od prvih ili trećih strana, poput osiguravatelja ili drugih osoba. Povrati se raščlanjuju na povrate od osiguranja i drugih mehanizama za prijenos rizika i izravne povrate.</w:t>
      </w:r>
    </w:p>
    <w:p w14:paraId="1BA12CCD" w14:textId="33B868DC" w:rsidR="00FD54FC" w:rsidRPr="00A30C4C" w:rsidRDefault="00125707" w:rsidP="00C37B29">
      <w:pPr>
        <w:pStyle w:val="InstructionsText2"/>
        <w:numPr>
          <w:ilvl w:val="0"/>
          <w:numId w:val="0"/>
        </w:numPr>
        <w:ind w:left="993"/>
      </w:pPr>
      <w:r>
        <w:t>125.</w:t>
      </w:r>
      <w:r>
        <w:tab/>
        <w:t xml:space="preserve"> „Štetni događaji s brzim povratom” znači događaji povezani s operativnim rizikom koji dovode do gubitaka za koje je povrat ostvaren, djelomično ili u cijelosti, u roku od pet radnih dana. U slučaju štetnog događaja s brzim povratom u definiciju bruto gubitka uključuje se samo dio gubitka za koji povrat nije ostvaren u cijelosti (tj. gubitak umanjen za djelomični brzi povrat). Posljedično, štetni događaji koji dovode do gubitaka za koje je povrat ostvaren u cijelosti u roku od pet radnih dana ne uključuju se u definiciju bruto gubitka ni u izvješćivanje u obrazac OPR DETALJNIJI PODACI.</w:t>
      </w:r>
    </w:p>
    <w:p w14:paraId="11407E94" w14:textId="2A2C462D" w:rsidR="00FD54FC" w:rsidRPr="00A30C4C" w:rsidRDefault="00125707" w:rsidP="00C37B29">
      <w:pPr>
        <w:pStyle w:val="InstructionsText2"/>
        <w:numPr>
          <w:ilvl w:val="0"/>
          <w:numId w:val="0"/>
        </w:numPr>
        <w:ind w:left="993"/>
      </w:pPr>
      <w:r>
        <w:lastRenderedPageBreak/>
        <w:t>126.</w:t>
      </w:r>
      <w:r>
        <w:tab/>
        <w:t xml:space="preserve"> „Računovodstveni datum” znači datum kada su gubitak ili rezerva/pričuva prvi put priznati u računu dobiti i gubitka u odnosu na gubitak od operativnog rizika. Taj datum logično slijedi nakon „datuma događaja” (tj. datuma nastanka ili početka događaja povezanog s operativnim rizikom) i „datuma otkrića” (tj. datuma kada je institucija saznala za događaj povezan s operativnim rizikom). </w:t>
      </w:r>
    </w:p>
    <w:p w14:paraId="7244BFE4" w14:textId="77777777" w:rsidR="00FD54FC" w:rsidRPr="00A30C4C" w:rsidRDefault="00125707" w:rsidP="00C37B29">
      <w:pPr>
        <w:pStyle w:val="InstructionsText2"/>
        <w:numPr>
          <w:ilvl w:val="0"/>
          <w:numId w:val="0"/>
        </w:numPr>
        <w:ind w:left="993"/>
      </w:pPr>
      <w:r>
        <w:t>127.</w:t>
      </w:r>
      <w:r>
        <w:tab/>
        <w:t xml:space="preserve"> Grupiraju se gubici uzrokovani zajedničkim događajem povezanim s operativnim rizikom ili višestrukim događajima povezanima s izvornim događajem povezanim s operativnim rizikom koji dovodi do događaja ili gubitaka (izvorni događaj). Grupirani događaji uzimaju se u obzir i iskazuju kao jedan događaj i stoga se zbrajaju povezani iznosi bruto gubitaka odnosno iznosi usklađenja gubitaka.</w:t>
      </w:r>
    </w:p>
    <w:p w14:paraId="52827CA5" w14:textId="78CE1CEE" w:rsidR="00FD54FC" w:rsidRPr="00A30C4C" w:rsidRDefault="00125707" w:rsidP="00C37B29">
      <w:pPr>
        <w:pStyle w:val="InstructionsText2"/>
        <w:numPr>
          <w:ilvl w:val="0"/>
          <w:numId w:val="0"/>
        </w:numPr>
        <w:ind w:left="993"/>
      </w:pPr>
      <w:r>
        <w:t>128.</w:t>
      </w:r>
      <w:r>
        <w:tab/>
        <w:t xml:space="preserve"> Vrijednosti iskazane u lipnju pojedine godine privremene su i konačne se vrijednosti iskazuju u prosincu. Prema tome, vrijednosti iz lipnja odnose se na referentno razdoblje od šest mjeseci (tj. od 1. siječnja do 30. lipnja kalendarske godine), a vrijednosti iz prosinca na referentno razdoblje od dvanaest mjeseci (tj. od 1. siječnja do 31. prosinca kalendarske godine). Za podatke koji se iskazuju u lipnju i prosincu „prethodna referentna izvještajna razdoblja” znači sva referentna izvještajna razdoblja do kraja prethodne kalendarske godine i uključujući tu prethodnu godinu.</w:t>
      </w:r>
    </w:p>
    <w:p w14:paraId="72F4B8A7" w14:textId="09871605" w:rsidR="00FD54FC" w:rsidRPr="00A30C4C" w:rsidRDefault="00125707" w:rsidP="00C37B29">
      <w:pPr>
        <w:pStyle w:val="InstructionsText2"/>
        <w:numPr>
          <w:ilvl w:val="0"/>
          <w:numId w:val="0"/>
        </w:numPr>
        <w:ind w:left="993"/>
      </w:pPr>
      <w:r>
        <w:t>129.</w:t>
      </w:r>
      <w:r>
        <w:tab/>
        <w:t xml:space="preserve"> Za provjeru usklađenosti s kriterijem utvrđenim u članku 5. stavku (b) točki 2. </w:t>
      </w:r>
      <w:proofErr w:type="spellStart"/>
      <w:r>
        <w:t>podtočki</w:t>
      </w:r>
      <w:proofErr w:type="spellEnd"/>
      <w:r>
        <w:t xml:space="preserve"> (b) </w:t>
      </w:r>
      <w:proofErr w:type="spellStart"/>
      <w:r>
        <w:t>podpodtočki</w:t>
      </w:r>
      <w:proofErr w:type="spellEnd"/>
      <w:r>
        <w:t xml:space="preserve"> i. ove Provedbene uredbe institucije koriste najnovije statističke podatke koji su dostupni na internetskim stranicama EBA-e za objavu nadzornih podataka kako bi dobile „zbroj pojedinačnih ukupnih bilanci svih institucija u istoj državi članici”. Kako bi se provjerio kriterij predviđen člankom 5. stavkom (b) točkom 2. </w:t>
      </w:r>
      <w:proofErr w:type="spellStart"/>
      <w:r>
        <w:t>podtočkom</w:t>
      </w:r>
      <w:proofErr w:type="spellEnd"/>
      <w:r>
        <w:t xml:space="preserve"> (b) iii. ove Provedbene uredbe, koristi se bruto domaći proizvod po tržišnim cijenama kako je definiran u točki 8.89 Priloga A Uredbi (EU) br. 549/2013 Europskog parlamenta i Vijeća (ESA 2010)</w:t>
      </w:r>
      <w:r w:rsidR="001F6487" w:rsidRPr="00A30C4C">
        <w:rPr>
          <w:rStyle w:val="FootnoteReference"/>
          <w:rFonts w:ascii="Times New Roman" w:hAnsi="Times New Roman"/>
          <w:sz w:val="24"/>
          <w:szCs w:val="24"/>
          <w:vertAlign w:val="superscript"/>
        </w:rPr>
        <w:footnoteReference w:id="14"/>
      </w:r>
      <w:r>
        <w:t xml:space="preserve"> i koji je </w:t>
      </w:r>
      <w:proofErr w:type="spellStart"/>
      <w:r>
        <w:t>Eurostat</w:t>
      </w:r>
      <w:proofErr w:type="spellEnd"/>
      <w:r>
        <w:t xml:space="preserve"> objavio za prethodnu kalendarsku godinu.</w:t>
      </w:r>
    </w:p>
    <w:p w14:paraId="315CE265"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2" w:name="_Toc473561025"/>
      <w:bookmarkStart w:id="473" w:name="_Toc30677696"/>
      <w:r>
        <w:rPr>
          <w:rFonts w:ascii="Times New Roman" w:hAnsi="Times New Roman"/>
          <w:sz w:val="24"/>
          <w:u w:val="none"/>
        </w:rPr>
        <w:t>4.2.2.</w:t>
      </w:r>
      <w:r>
        <w:rPr>
          <w:rFonts w:ascii="Times New Roman" w:hAnsi="Times New Roman"/>
          <w:sz w:val="24"/>
          <w:u w:val="none"/>
        </w:rPr>
        <w:tab/>
      </w:r>
      <w:r>
        <w:rPr>
          <w:rFonts w:ascii="Times New Roman" w:hAnsi="Times New Roman"/>
          <w:sz w:val="24"/>
        </w:rPr>
        <w:t>C 17.01: Operativni rizik: gubici i povrati prema poslovnim linijama i vrstama štetnog događaja u prethodnoj godini (OPR DETALJNIJI PODACI 1)</w:t>
      </w:r>
      <w:bookmarkEnd w:id="472"/>
      <w:bookmarkEnd w:id="473"/>
    </w:p>
    <w:p w14:paraId="5365FCC1"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4" w:name="_Toc473561026"/>
      <w:bookmarkStart w:id="475" w:name="_Toc30677697"/>
      <w:r>
        <w:rPr>
          <w:rFonts w:ascii="Times New Roman" w:hAnsi="Times New Roman"/>
          <w:sz w:val="24"/>
          <w:u w:val="none"/>
        </w:rPr>
        <w:t>4.2.2.1.</w:t>
      </w:r>
      <w:r>
        <w:rPr>
          <w:rFonts w:ascii="Times New Roman" w:hAnsi="Times New Roman"/>
          <w:sz w:val="24"/>
          <w:u w:val="none"/>
        </w:rPr>
        <w:tab/>
      </w:r>
      <w:r>
        <w:rPr>
          <w:rFonts w:ascii="Times New Roman" w:hAnsi="Times New Roman"/>
          <w:sz w:val="24"/>
        </w:rPr>
        <w:t>Opće napomene</w:t>
      </w:r>
      <w:bookmarkEnd w:id="474"/>
      <w:bookmarkEnd w:id="475"/>
    </w:p>
    <w:p w14:paraId="0A9E5D92" w14:textId="722C1B84" w:rsidR="00FD54FC" w:rsidRPr="00A30C4C" w:rsidRDefault="00125707" w:rsidP="00C37B29">
      <w:pPr>
        <w:pStyle w:val="InstructionsText2"/>
        <w:numPr>
          <w:ilvl w:val="0"/>
          <w:numId w:val="0"/>
        </w:numPr>
        <w:ind w:left="993"/>
      </w:pPr>
      <w:r>
        <w:t>130. U obrascu C.17.01 informacije se iskazuju raspoređivanjem gubitaka i povrata iznad internih pragova među poslovnim linijama (kako je navedeno u članku 317. tablici 2. CRR-a, uključujući dodatnu poslovnu liniju „poslovne stavke” iz članka 322. stavka 3. točke (b) CRR-a) i vrstama štetnog događaja (kako su navedene u članku 324. CRR-a). Gubici koji odgovaraju jednom štetnom događaju mogu se rasporediti među nekoliko poslovnih linija.</w:t>
      </w:r>
    </w:p>
    <w:p w14:paraId="78785B44" w14:textId="35E2A46B" w:rsidR="00FD54FC" w:rsidRPr="00A30C4C" w:rsidRDefault="00125707" w:rsidP="00C37B29">
      <w:pPr>
        <w:pStyle w:val="InstructionsText2"/>
        <w:numPr>
          <w:ilvl w:val="0"/>
          <w:numId w:val="0"/>
        </w:numPr>
        <w:ind w:left="993"/>
      </w:pPr>
      <w:r>
        <w:t>131. U stupcima se iskazuju različite vrste štetnog događaja i ukupni iznosi za svaku poslovnu liniju, zajedno s bilješkom koja pokazuje najniži interni prag koji je primijenjen pri prikupljanju podataka o gubicima, pri čemu se u svakoj poslovnoj liniji iskazuje najniži i najviši prag ako postoji više pragova.</w:t>
      </w:r>
    </w:p>
    <w:p w14:paraId="3C522681" w14:textId="6B50C409" w:rsidR="00FD54FC" w:rsidRPr="00A30C4C" w:rsidRDefault="00125707" w:rsidP="00C37B29">
      <w:pPr>
        <w:pStyle w:val="InstructionsText2"/>
        <w:numPr>
          <w:ilvl w:val="0"/>
          <w:numId w:val="0"/>
        </w:numPr>
        <w:ind w:left="993"/>
      </w:pPr>
      <w:r>
        <w:lastRenderedPageBreak/>
        <w:t>132.</w:t>
      </w:r>
      <w:r>
        <w:tab/>
        <w:t xml:space="preserve"> Redci predstavljaju poslovne linije i unutar svake poslovne linije informacije o broju štetnih događaja (novi štetni događaji), iznosu bruto gubitka (novi štetni događaji), broju štetnih događaja koji podliježu usklađenjima gubitka, usklađenjima gubitka koja se odnose na prethodna izvještajna razdoblja, najvećem pojedinačnom gubitku, zbroju pet najvećih gubitaka i ukupnim povratima gubitka (izravni povrati gubitka i povrati od osiguranja i drugih mehanizama za prijenos rizika).</w:t>
      </w:r>
    </w:p>
    <w:p w14:paraId="369C04CC" w14:textId="6780CB25" w:rsidR="00FD54FC" w:rsidRPr="00A30C4C" w:rsidRDefault="00125707" w:rsidP="00C37B29">
      <w:pPr>
        <w:pStyle w:val="InstructionsText2"/>
        <w:numPr>
          <w:ilvl w:val="0"/>
          <w:numId w:val="0"/>
        </w:numPr>
        <w:ind w:left="993"/>
      </w:pPr>
      <w:r>
        <w:t>133. Za ukupne poslovne linije iskazuju se i podaci o broju štetnih događaja i bruto iznosu gubitka u okviru određenih raspona koji se temelje na utvrđenim pragovima, tj. 10 000, 20 000, 100 000 i 1 000 000. Pragovi su utvrđeni u eurima, a uključeni su u svrhu usporedbe iskazanih gubitaka među institucijama. Ti pragovi stoga ne moraju nužno biti povezani s minimalnim pragovima gubitka upotrijebljenima za interno prikupljanje podataka o gubicima, koji se iskazuju u drugom dijelu obrasca.</w:t>
      </w:r>
    </w:p>
    <w:p w14:paraId="1A70C919"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6" w:name="_Toc473561027"/>
      <w:bookmarkStart w:id="477" w:name="_Toc30677698"/>
      <w:r>
        <w:rPr>
          <w:rFonts w:ascii="Times New Roman" w:hAnsi="Times New Roman"/>
          <w:sz w:val="24"/>
          <w:u w:val="none"/>
        </w:rPr>
        <w:t>4.2.2.2.</w:t>
      </w:r>
      <w:r>
        <w:rPr>
          <w:rFonts w:ascii="Times New Roman" w:hAnsi="Times New Roman"/>
          <w:sz w:val="24"/>
          <w:u w:val="none"/>
        </w:rPr>
        <w:tab/>
      </w:r>
      <w:r>
        <w:rPr>
          <w:rFonts w:ascii="Times New Roman" w:hAnsi="Times New Roman"/>
          <w:sz w:val="24"/>
        </w:rPr>
        <w:t>Upute za specifične pozicije</w:t>
      </w:r>
      <w:bookmarkEnd w:id="476"/>
      <w:bookmarkEnd w:id="4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A30C4C" w14:paraId="6133A103" w14:textId="77777777" w:rsidTr="00672D2A">
        <w:trPr>
          <w:trHeight w:val="576"/>
        </w:trPr>
        <w:tc>
          <w:tcPr>
            <w:tcW w:w="9180" w:type="dxa"/>
            <w:gridSpan w:val="2"/>
            <w:shd w:val="clear" w:color="auto" w:fill="CCCCCC"/>
          </w:tcPr>
          <w:p w14:paraId="73DF8664" w14:textId="77777777" w:rsidR="00FD54FC" w:rsidRPr="00A30C4C"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Stupci</w:t>
            </w:r>
          </w:p>
        </w:tc>
      </w:tr>
      <w:tr w:rsidR="00FD54FC" w:rsidRPr="00A30C4C" w14:paraId="512463AA" w14:textId="77777777" w:rsidTr="00672D2A">
        <w:tc>
          <w:tcPr>
            <w:tcW w:w="985" w:type="dxa"/>
          </w:tcPr>
          <w:p w14:paraId="14B4E581" w14:textId="77777777" w:rsidR="00FD54FC" w:rsidRPr="00A30C4C"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14:paraId="7AD5518A" w14:textId="77777777" w:rsidR="00FD54FC" w:rsidRPr="00A30C4C"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VRSTE DOGAĐAJA</w:t>
            </w:r>
          </w:p>
          <w:p w14:paraId="64A60681" w14:textId="667B2BD2" w:rsidR="00FD54FC" w:rsidRPr="00A30C4C" w:rsidRDefault="00FD54FC" w:rsidP="00FD54FC">
            <w:pPr>
              <w:rPr>
                <w:rFonts w:ascii="Times New Roman" w:hAnsi="Times New Roman"/>
                <w:sz w:val="24"/>
              </w:rPr>
            </w:pPr>
            <w:r>
              <w:rPr>
                <w:rFonts w:ascii="Times New Roman" w:hAnsi="Times New Roman"/>
                <w:sz w:val="24"/>
              </w:rPr>
              <w:t xml:space="preserve">Institucije iskazuju gubitke u odgovarajućim stupcima od 010 do 070 u skladu s vrstama štetnih događaja iz članka 324. CRR-a. </w:t>
            </w:r>
          </w:p>
          <w:p w14:paraId="505467F1" w14:textId="1E4CF686" w:rsidR="00FD54FC" w:rsidRPr="00A30C4C" w:rsidRDefault="00FD54FC" w:rsidP="00871877">
            <w:pPr>
              <w:rPr>
                <w:rFonts w:ascii="Times New Roman" w:hAnsi="Times New Roman"/>
                <w:bCs/>
                <w:sz w:val="24"/>
              </w:rPr>
            </w:pPr>
            <w:r>
              <w:rPr>
                <w:rFonts w:ascii="Times New Roman" w:hAnsi="Times New Roman"/>
                <w:bCs/>
                <w:sz w:val="24"/>
              </w:rPr>
              <w:t>Institucije koje izračunavaju kapitalni zahtjev u skladu s jednostavnim pristupom mogu iskazati gubitke za koje vrsta štetnog događaja nije utvrđena samo u stupcu 080.</w:t>
            </w:r>
          </w:p>
        </w:tc>
      </w:tr>
      <w:tr w:rsidR="00FD54FC" w:rsidRPr="00A30C4C" w14:paraId="7B954609" w14:textId="77777777" w:rsidTr="00672D2A">
        <w:tc>
          <w:tcPr>
            <w:tcW w:w="985" w:type="dxa"/>
          </w:tcPr>
          <w:p w14:paraId="7C1045CC" w14:textId="77777777" w:rsidR="00FD54FC" w:rsidRPr="00A30C4C"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14:paraId="1752A989" w14:textId="77777777" w:rsidR="00FD54FC" w:rsidRPr="00A30C4C"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UKUPNE VRSTE ŠTETNIH DOGAĐAJA</w:t>
            </w:r>
          </w:p>
          <w:p w14:paraId="593E9B26" w14:textId="5370CC6C" w:rsidR="008D30F0" w:rsidRPr="00A30C4C" w:rsidRDefault="00FD54FC" w:rsidP="00FD54FC">
            <w:pPr>
              <w:rPr>
                <w:rStyle w:val="InstructionsTabelleText"/>
                <w:rFonts w:ascii="Times New Roman" w:hAnsi="Times New Roman"/>
                <w:sz w:val="24"/>
              </w:rPr>
            </w:pPr>
            <w:r>
              <w:rPr>
                <w:rStyle w:val="InstructionsTabelleText"/>
                <w:rFonts w:ascii="Times New Roman" w:hAnsi="Times New Roman"/>
                <w:sz w:val="24"/>
              </w:rPr>
              <w:t>U stupcu 080 za svaku poslovnu liniju institucije iskazuju ukupni „broj štetnih događaja (novi štetni događaji)”, ukupni „iznos bruto gubitka (novi štetni događaji)”, ukupni „broj štetnih događaja koji podliježu usklađenjima gubitka”, ukupna „usklađenja gubitka koja se odnose na prethodna izvještajna razdoblja”, „najveći pojedinačni gubitak”, „zbroj pet najvećih gubitaka”, ukupno „ukupni izravni povrat gubitka” i ukupno „ukupni povrat od osiguranja i drugih mehanizama za prijenos rizika”.</w:t>
            </w:r>
          </w:p>
          <w:p w14:paraId="51D2EB5A" w14:textId="4A16C9CD" w:rsidR="00FD54FC" w:rsidRPr="00A30C4C"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Pod uvjetom da je institucija utvrdila sve vrste štetnih događaja za sve gubitke, u stupcu 080 iskazuje se jednostavno agregiranje broja štetnih događaja, ukupnih iznosa bruto gubitaka, ukupnih iznosa povrata gubitka i „usklađenja gubitka koja se odnose na prethodna izvještajna razdoblja” iskazana u stupcima od 010 do 070. </w:t>
            </w:r>
          </w:p>
          <w:p w14:paraId="239BC0C7" w14:textId="260DB9E6" w:rsidR="00FD54FC" w:rsidRPr="00A30C4C"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„Najveći pojedinačni gubitak” iskazan u stupcu 080 jednak je najvećem pojedinačnom gubitku u poslovnoj liniji i jednak je najvećem iznosu „najvećih pojedinačnih gubitaka” iskazanih u stupcima od 010 do 070, pod uvjetom da je institucija utvrdila vrste štetnih događaja za sve gubitke. </w:t>
            </w:r>
          </w:p>
          <w:p w14:paraId="293F470B" w14:textId="77A168B8" w:rsidR="00FD54FC" w:rsidRPr="00A30C4C" w:rsidRDefault="00FD54FC" w:rsidP="00FD54FC">
            <w:pPr>
              <w:rPr>
                <w:rFonts w:ascii="Times New Roman" w:hAnsi="Times New Roman"/>
                <w:bCs/>
                <w:sz w:val="24"/>
              </w:rPr>
            </w:pPr>
            <w:r>
              <w:rPr>
                <w:rStyle w:val="InstructionsTabelleText"/>
                <w:rFonts w:ascii="Times New Roman" w:hAnsi="Times New Roman"/>
                <w:sz w:val="24"/>
              </w:rPr>
              <w:t>Za zbroj pet najvećih gubitaka, u stupcu 080 iskazuje se zbroj pet najvećih gubitaka u okviru jedne poslovne linije.</w:t>
            </w:r>
          </w:p>
        </w:tc>
      </w:tr>
      <w:tr w:rsidR="00FD54FC" w:rsidRPr="00A30C4C" w14:paraId="3B74DBFF" w14:textId="77777777" w:rsidTr="00672D2A">
        <w:tc>
          <w:tcPr>
            <w:tcW w:w="985" w:type="dxa"/>
          </w:tcPr>
          <w:p w14:paraId="28ACCDB1" w14:textId="77777777" w:rsidR="00FD54FC" w:rsidRPr="00A30C4C"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14:paraId="085BD40C" w14:textId="77777777" w:rsidR="00FD54FC" w:rsidRPr="00A30C4C"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BILJEŠKA: PRAG PRIMIJENJEN U PRIKUPLJANJU PODATAKA</w:t>
            </w:r>
          </w:p>
          <w:p w14:paraId="45E2948B" w14:textId="5B2557D0" w:rsidR="00FD54FC" w:rsidRPr="00A30C4C"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Institucije iskazuju u stupcima 090 i 100 minimalne pragove gubitka koje primjenjuju za prikupljanje internih podataka o gubicima u skladu s člankom 322. stavkom 3. točkom (c) zadnjom rečenicom CRR-a. </w:t>
            </w:r>
          </w:p>
          <w:p w14:paraId="20697D94" w14:textId="0F6CA9AF" w:rsidR="00FD54FC" w:rsidRPr="00A30C4C"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lastRenderedPageBreak/>
              <w:t xml:space="preserve">Ako institucija primjenjuje samo jedan prag za svaku poslovnu liniju, popunjava se samo stupac 090. </w:t>
            </w:r>
          </w:p>
          <w:p w14:paraId="0A034B85" w14:textId="2E988A50" w:rsidR="00650B6C" w:rsidRPr="00A30C4C" w:rsidRDefault="001F6487" w:rsidP="0002267E">
            <w:pPr>
              <w:rPr>
                <w:rStyle w:val="InstructionsTabelleText"/>
                <w:rFonts w:ascii="Times New Roman" w:hAnsi="Times New Roman"/>
                <w:sz w:val="24"/>
              </w:rPr>
            </w:pPr>
            <w:r>
              <w:rPr>
                <w:rStyle w:val="InstructionsTabelleText"/>
                <w:rFonts w:ascii="Times New Roman" w:hAnsi="Times New Roman"/>
                <w:sz w:val="24"/>
              </w:rPr>
              <w:t>Ako postoje različiti pragovi koji se primjenjuju u istoj regulatornoj poslovnoj liniji, popunjava se i najviši primjenjivi prag (stupac 100).</w:t>
            </w:r>
          </w:p>
        </w:tc>
      </w:tr>
    </w:tbl>
    <w:p w14:paraId="0D28A5B3" w14:textId="77777777" w:rsidR="00FD54FC" w:rsidRPr="0039290F"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A30C4C" w14:paraId="47512A96" w14:textId="77777777" w:rsidTr="00672D2A">
        <w:trPr>
          <w:trHeight w:val="504"/>
        </w:trPr>
        <w:tc>
          <w:tcPr>
            <w:tcW w:w="9180" w:type="dxa"/>
            <w:gridSpan w:val="2"/>
            <w:shd w:val="clear" w:color="auto" w:fill="CCCCCC"/>
          </w:tcPr>
          <w:p w14:paraId="6B697241" w14:textId="77777777" w:rsidR="00FD54FC" w:rsidRPr="00A30C4C"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Redci</w:t>
            </w:r>
          </w:p>
        </w:tc>
      </w:tr>
      <w:tr w:rsidR="00FD54FC" w:rsidRPr="00A30C4C" w14:paraId="06F4EB44" w14:textId="77777777" w:rsidTr="00672D2A">
        <w:tc>
          <w:tcPr>
            <w:tcW w:w="1101" w:type="dxa"/>
          </w:tcPr>
          <w:p w14:paraId="0FDBA9D1" w14:textId="77777777" w:rsidR="00FD54FC" w:rsidRPr="00A30C4C"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14:paraId="790E6AEC"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POSLOVNE LINIJE: KORPORATIVNO FINANCIRANJE, TRGOVANJE I PRODAJA, BROKERSKI POSLOVI SA STANOVNIŠTVOM, POSLOVNO BANKARSTVO, POSLOVANJE SA STANOVNIŠTVOM, PLAĆANJA I NAMIRE, AGENCIJSKE USLUGE, UPRAVLJANJE IMOVINOM, POSLOVNE STAVKE</w:t>
            </w:r>
          </w:p>
          <w:p w14:paraId="3928E22F" w14:textId="395CDDBF" w:rsidR="00FD54FC" w:rsidRPr="00A30C4C" w:rsidRDefault="00FD54FC" w:rsidP="00FD54FC">
            <w:pPr>
              <w:pStyle w:val="PlainText"/>
              <w:jc w:val="both"/>
              <w:rPr>
                <w:rFonts w:ascii="Times New Roman" w:hAnsi="Times New Roman"/>
                <w:sz w:val="24"/>
                <w:szCs w:val="24"/>
              </w:rPr>
            </w:pPr>
            <w:r>
              <w:rPr>
                <w:rFonts w:ascii="Times New Roman" w:hAnsi="Times New Roman"/>
                <w:sz w:val="24"/>
                <w:szCs w:val="24"/>
              </w:rPr>
              <w:t>Za svaku poslovnu liniju iz članka 317. stavka 4. tablice 2. CRR-a, uključujući dodatnu poslovnu liniju „poslovne stavke” iz članka 322. stavka 3. točke (b) CRR-a, i za svaku vrstu štetnog događaja institucija iskazuje, u skladu s internim pragovima, sljedeće informacije: broj štetnih događaja (novi štetni događaji), iznos bruto gubitka (novi štetni događaji), broj štetnih događaja koji podliježu usklađenjima gubitka, usklađenja gubitka koja se odnose na prethodna izvještajna razdoblja, najveći pojedinačni gubitak, zbroj pet najvećih gubitaka, ukupni izravni povrat gubitka i ukupni povrat od osiguranja i drugih mehanizama za prijenos rizika.</w:t>
            </w:r>
          </w:p>
          <w:p w14:paraId="707A080D" w14:textId="3AB3AFF2" w:rsidR="00FD54FC" w:rsidRPr="00A30C4C" w:rsidRDefault="00FD54FC" w:rsidP="00FD54FC">
            <w:pPr>
              <w:rPr>
                <w:rFonts w:ascii="Times New Roman" w:hAnsi="Times New Roman"/>
                <w:sz w:val="24"/>
              </w:rPr>
            </w:pPr>
            <w:r>
              <w:rPr>
                <w:rFonts w:ascii="Times New Roman" w:hAnsi="Times New Roman"/>
                <w:sz w:val="24"/>
              </w:rPr>
              <w:t>Za štetni događaj koji utječe na više poslovnih linija „bruto iznos gubitka” raspoređuje se na sve pogođene poslovne linije.</w:t>
            </w:r>
          </w:p>
          <w:p w14:paraId="1493D8E8" w14:textId="1A719C4D" w:rsidR="00FD54FC" w:rsidRPr="00A30C4C" w:rsidRDefault="00FD54FC" w:rsidP="00FD54FC">
            <w:pPr>
              <w:rPr>
                <w:rFonts w:ascii="Times New Roman" w:hAnsi="Times New Roman"/>
                <w:bCs/>
                <w:sz w:val="24"/>
              </w:rPr>
            </w:pPr>
            <w:r>
              <w:rPr>
                <w:rFonts w:ascii="Times New Roman" w:hAnsi="Times New Roman"/>
                <w:sz w:val="24"/>
              </w:rPr>
              <w:t>Institucije koje izračunavaju kapitalni zahtjev u skladu s jednostavnim pristupom mogu iskazati gubitke za koje poslovna linija nije utvrđena samo u redcima 910-980.</w:t>
            </w:r>
          </w:p>
        </w:tc>
      </w:tr>
      <w:tr w:rsidR="00FD54FC" w:rsidRPr="00A30C4C" w14:paraId="6A147BD6" w14:textId="77777777" w:rsidTr="00672D2A">
        <w:tc>
          <w:tcPr>
            <w:tcW w:w="1101" w:type="dxa"/>
          </w:tcPr>
          <w:p w14:paraId="7CF23EE8" w14:textId="77777777" w:rsidR="00FD54FC" w:rsidRPr="00A30C4C"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14:paraId="746434C0"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(novi štetni događaji)</w:t>
            </w:r>
          </w:p>
          <w:p w14:paraId="4348AE4C" w14:textId="589AB41A" w:rsidR="00FD54FC" w:rsidRPr="00A30C4C" w:rsidRDefault="00FD54FC" w:rsidP="00FD54FC">
            <w:pPr>
              <w:rPr>
                <w:rFonts w:ascii="Times New Roman" w:hAnsi="Times New Roman"/>
                <w:sz w:val="24"/>
              </w:rPr>
            </w:pPr>
            <w:r>
              <w:rPr>
                <w:rFonts w:ascii="Times New Roman" w:hAnsi="Times New Roman"/>
                <w:sz w:val="24"/>
              </w:rPr>
              <w:t>Broj štetnih događaja je broj štetnih događaja za koje su bruto gubici obračunani u referentnom izvještajnom razdoblju.</w:t>
            </w:r>
          </w:p>
          <w:p w14:paraId="56537FE3" w14:textId="02E49BF5" w:rsidR="00FD54FC" w:rsidRPr="00A30C4C" w:rsidRDefault="00FD54FC" w:rsidP="00FD54FC">
            <w:pPr>
              <w:rPr>
                <w:rFonts w:ascii="Times New Roman" w:hAnsi="Times New Roman"/>
                <w:sz w:val="24"/>
              </w:rPr>
            </w:pPr>
            <w:r>
              <w:rPr>
                <w:rFonts w:ascii="Times New Roman" w:hAnsi="Times New Roman"/>
                <w:sz w:val="24"/>
              </w:rPr>
              <w:t>Broj štetnih događaja odnosi se na „nove događaje”, odnosno događaje povezane s operativnim rizikom koji su:</w:t>
            </w:r>
          </w:p>
          <w:p w14:paraId="5C5DFEFB"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„prvi put obračunani” u referentnom izvještajnom razdoblju ili</w:t>
            </w:r>
          </w:p>
          <w:p w14:paraId="1D0BC305" w14:textId="7EA901E1"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„prvi put obračunani” u prethodnom referentnom izvještajnom razdoblju ako štetni događaj nije bio uključen u prethodno nadzorno izvješće, npr. zato što je utvrđen kao štetni događaj povezan s operativnim rizikom tek u sadašnjem referentnom izvještajnom razdoblju ili zato što je akumulirani gubitak koji se može pripisati tom štetnom događaju (odnosno izvorni gubitak uvećan/umanjen za sva usklađenja gubitaka provedena u prethodnim referentnim izvještajnim razdobljima) premašio prag za prikupljanje internih podataka tek u sadašnjem referentnom izvještajnom razdoblju.</w:t>
            </w:r>
          </w:p>
          <w:p w14:paraId="67455681" w14:textId="14485A52" w:rsidR="00FD54FC" w:rsidRPr="00A30C4C" w:rsidRDefault="00FD54FC" w:rsidP="005F1EB8">
            <w:pPr>
              <w:rPr>
                <w:rStyle w:val="InstructionsTabelleberschrift"/>
                <w:rFonts w:ascii="Times New Roman" w:hAnsi="Times New Roman"/>
                <w:sz w:val="24"/>
              </w:rPr>
            </w:pPr>
            <w:r>
              <w:rPr>
                <w:rFonts w:ascii="Times New Roman" w:hAnsi="Times New Roman"/>
                <w:sz w:val="24"/>
              </w:rPr>
              <w:t>„Novi štetni događaji” ne uključuju štetne događaje koji su „prvi put obračunani” u prethodnom referentnom izvještajnom razdoblju, koji su već bili uključeni u prethodna nadzorna izvješća.</w:t>
            </w:r>
          </w:p>
        </w:tc>
      </w:tr>
      <w:tr w:rsidR="00FD54FC" w:rsidRPr="00A30C4C" w14:paraId="280792D0" w14:textId="77777777" w:rsidTr="00672D2A">
        <w:tc>
          <w:tcPr>
            <w:tcW w:w="1101" w:type="dxa"/>
          </w:tcPr>
          <w:p w14:paraId="2EDFACF1" w14:textId="77777777" w:rsidR="00FD54FC" w:rsidRPr="00A30C4C"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14:paraId="55FA581D"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Iznos bruto gubitka (novi štetni događaji)</w:t>
            </w:r>
          </w:p>
          <w:p w14:paraId="00134414" w14:textId="3B544272" w:rsidR="00FD54FC" w:rsidRPr="00A30C4C" w:rsidRDefault="00FD54FC" w:rsidP="00FD54FC">
            <w:pPr>
              <w:rPr>
                <w:rFonts w:ascii="Times New Roman" w:hAnsi="Times New Roman"/>
                <w:sz w:val="24"/>
              </w:rPr>
            </w:pPr>
            <w:r>
              <w:rPr>
                <w:rFonts w:ascii="Times New Roman" w:hAnsi="Times New Roman"/>
                <w:sz w:val="24"/>
              </w:rPr>
              <w:t>Iznos bruto gubitka jesu iznosi bruto gubitka koji se odnose na štetne događaje povezane s operativnim rizikom (npr. izravne naknade, pričuve, namire). Svi gubici koji se odnose na pojedinačni štetni događaj i koji su obračunani u referentnom izvještajnom razdoblju zbrajaju se i smatraju se bruto gubitkom za taj štetni događaj za to referentno izvještajno razdoblje.</w:t>
            </w:r>
          </w:p>
          <w:p w14:paraId="7E276A2F" w14:textId="6E927AB8" w:rsidR="00FD54FC" w:rsidRPr="00A30C4C" w:rsidRDefault="00FD54FC" w:rsidP="00FD54FC">
            <w:pPr>
              <w:rPr>
                <w:rFonts w:ascii="Times New Roman" w:hAnsi="Times New Roman"/>
                <w:sz w:val="24"/>
              </w:rPr>
            </w:pPr>
            <w:r>
              <w:rPr>
                <w:rFonts w:ascii="Times New Roman" w:hAnsi="Times New Roman"/>
                <w:sz w:val="24"/>
              </w:rPr>
              <w:t>Iskazani iznos bruto gubitka odnosi se na „nove štetne događaje” iz prethodnog retka. Za štetne događaje koji su „prvi put obračunani” u prethodnom referentnom izvještajnom razdoblju i koji nisu bili uključeni ni u jedno prethodno nadzorno izvješće ukupni akumulirani gubitak do referentnog izvještajnog datuma (odnosno izvorni gubitak uvećan/umanjen za sva usklađenja gubitaka provedena u prethodnim referentnim izvještajnim razdobljima) iskazuje se kao bruto gubitak na referentni izvještajni datum.</w:t>
            </w:r>
          </w:p>
          <w:p w14:paraId="492192BF" w14:textId="047AC907" w:rsidR="00FD54FC" w:rsidRPr="00A30C4C" w:rsidRDefault="00FD54FC" w:rsidP="00F52FC6">
            <w:pPr>
              <w:rPr>
                <w:rStyle w:val="InstructionsTabelleberschrift"/>
                <w:rFonts w:ascii="Times New Roman" w:hAnsi="Times New Roman"/>
                <w:sz w:val="24"/>
              </w:rPr>
            </w:pPr>
            <w:r>
              <w:rPr>
                <w:rFonts w:ascii="Times New Roman" w:hAnsi="Times New Roman"/>
                <w:sz w:val="24"/>
              </w:rPr>
              <w:t>Za iznose koji se trebaju iskazati ne uzimaju se u obzir ostvareni povrati.</w:t>
            </w:r>
          </w:p>
        </w:tc>
      </w:tr>
      <w:tr w:rsidR="00FD54FC" w:rsidRPr="00A30C4C" w14:paraId="2F31663E" w14:textId="77777777" w:rsidTr="00672D2A">
        <w:tc>
          <w:tcPr>
            <w:tcW w:w="1101" w:type="dxa"/>
          </w:tcPr>
          <w:p w14:paraId="4597FED8" w14:textId="77777777" w:rsidR="00FD54FC" w:rsidRPr="00A30C4C"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14:paraId="731870A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 koji podliježu usklađenjima gubitka</w:t>
            </w:r>
          </w:p>
          <w:p w14:paraId="0BA745E9" w14:textId="1A846C10" w:rsidR="00FD54FC" w:rsidRPr="00A30C4C" w:rsidRDefault="00FD54FC" w:rsidP="00FD54FC">
            <w:pPr>
              <w:rPr>
                <w:rFonts w:ascii="Times New Roman" w:hAnsi="Times New Roman"/>
                <w:sz w:val="24"/>
              </w:rPr>
            </w:pPr>
            <w:r>
              <w:rPr>
                <w:rFonts w:ascii="Times New Roman" w:hAnsi="Times New Roman"/>
                <w:sz w:val="24"/>
              </w:rPr>
              <w:t xml:space="preserve">Broj štetnih događaja koji podliježu usklađenjima gubitka jednak je broju štetnih događaja povezanih s operativnim rizikom koji su „prvi put obračunani” u prethodnim referentnim izvještajnim razdobljima i koji su već uključeni u prethodna izvješća, za koja su usklađenja gubitaka provedena u sadašnjem referentnom izvještajnom razdoblju. </w:t>
            </w:r>
          </w:p>
          <w:p w14:paraId="2B31C3CD" w14:textId="56A2CDB1" w:rsidR="00FD54FC" w:rsidRPr="00A30C4C" w:rsidRDefault="001F6487" w:rsidP="005F1EB8">
            <w:pPr>
              <w:rPr>
                <w:b/>
                <w:sz w:val="24"/>
              </w:rPr>
            </w:pPr>
            <w:r>
              <w:rPr>
                <w:rFonts w:ascii="Times New Roman" w:hAnsi="Times New Roman"/>
                <w:sz w:val="24"/>
              </w:rPr>
              <w:t>Ako je za štetni događaj provedeno više od jednog usklađenja gubitka u referentnom izvještajnom razdoblju, zbroj tih usklađenja gubitka računa se kao jedno usklađenje u tom razdoblju.</w:t>
            </w:r>
          </w:p>
        </w:tc>
      </w:tr>
      <w:tr w:rsidR="00FD54FC" w:rsidRPr="00A30C4C" w14:paraId="24028166" w14:textId="77777777" w:rsidTr="00672D2A">
        <w:tc>
          <w:tcPr>
            <w:tcW w:w="1101" w:type="dxa"/>
          </w:tcPr>
          <w:p w14:paraId="152C190A" w14:textId="77777777" w:rsidR="00FD54FC" w:rsidRPr="00A30C4C"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14:paraId="57C9572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Usklađenja gubitka koja se odnose na prethodna izvještajna razdoblja</w:t>
            </w:r>
          </w:p>
          <w:p w14:paraId="6221F1D9" w14:textId="3EB9E979" w:rsidR="00FD54FC" w:rsidRPr="00A30C4C" w:rsidRDefault="00FD54FC" w:rsidP="00FD54FC">
            <w:pPr>
              <w:rPr>
                <w:rFonts w:ascii="Times New Roman" w:hAnsi="Times New Roman"/>
                <w:sz w:val="24"/>
              </w:rPr>
            </w:pPr>
            <w:r>
              <w:rPr>
                <w:rFonts w:ascii="Times New Roman" w:hAnsi="Times New Roman"/>
                <w:sz w:val="24"/>
              </w:rPr>
              <w:t>Usklađenja gubitka koja se odnose na prethodna referentna izvještajna razdoblja jednaka su zbroju sljedećih elemenata (pozitivnih ili negativnih):</w:t>
            </w:r>
          </w:p>
          <w:p w14:paraId="4B47FAE2"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iznosa bruto gubitka koji se odnose na pozitivna usklađenja gubitka tijekom referentnog izvještajnog razdoblja (npr. povećanje pričuva, povezani štetni događaji, dodatne namire) za događaje povezane s operativnim rizikom koji su „prvi put obračunani” i iskazani u prethodnim referentnim izvještajnim razdobljima;</w:t>
            </w:r>
          </w:p>
          <w:p w14:paraId="23707CE8"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 xml:space="preserve">iznosa bruto gubitka koji se odnose na negativna usklađenja gubitka tijekom referentnog izvještajnog razdoblja (npr. zbog smanjenja pričuva) za štetne događaje povezane s gubitkom od operativnog rizika koji su „prvi put obračunani” i iskazani u prethodnim referentnim izvještajnim razdobljima. </w:t>
            </w:r>
          </w:p>
          <w:p w14:paraId="2D748ABA" w14:textId="3AB3CED4" w:rsidR="00FD54FC" w:rsidRPr="00A30C4C" w:rsidRDefault="001F6487" w:rsidP="00FD54FC">
            <w:pPr>
              <w:rPr>
                <w:rFonts w:ascii="Times New Roman" w:hAnsi="Times New Roman"/>
                <w:sz w:val="24"/>
              </w:rPr>
            </w:pPr>
            <w:r>
              <w:rPr>
                <w:rFonts w:ascii="Times New Roman" w:hAnsi="Times New Roman"/>
                <w:sz w:val="24"/>
              </w:rPr>
              <w:t>Ako je za štetni događaj provedeno više od jednog usklađenja gubitka u referentnom izvještajnom razdoblju, zbrajaju se iznosi svih tih usklađenja gubitka, uzimajući u obzir predznak usklađenja (pozitivan, negativan). Taj se zbroj smatra usklađenjem gubitka za taj štetni događaj za to referentno izvještajno razdoblje.</w:t>
            </w:r>
          </w:p>
          <w:p w14:paraId="6AFACF1E" w14:textId="212B31F7" w:rsidR="00FD54FC" w:rsidRPr="00A30C4C" w:rsidRDefault="001F6487" w:rsidP="00FD54FC">
            <w:pPr>
              <w:rPr>
                <w:rFonts w:ascii="Times New Roman" w:hAnsi="Times New Roman"/>
                <w:sz w:val="24"/>
              </w:rPr>
            </w:pPr>
            <w:r>
              <w:rPr>
                <w:rFonts w:ascii="Times New Roman" w:hAnsi="Times New Roman"/>
                <w:sz w:val="24"/>
              </w:rPr>
              <w:t>Ako zbog negativnog usklađenja gubitka iznos usklađenog gubitka koji se može pripisati štetnom događaju bude manji od praga institucije za prikupljanje podataka, institucija iskazuje ukupni iznos gubitka za taj štetni događaj koji je akumu</w:t>
            </w:r>
            <w:r>
              <w:rPr>
                <w:rFonts w:ascii="Times New Roman" w:hAnsi="Times New Roman"/>
                <w:sz w:val="24"/>
              </w:rPr>
              <w:lastRenderedPageBreak/>
              <w:t>liran do zadnjeg puta kad je događaj iskazan za referentni datum u prosincu (odnosno izvorni gubitak uvećan/umanjen za sva usklađenja gubitaka provedena u prethodnim referentnim izvještajnim razdobljima) s negativnim predznakom umjesto iznosa negativnog usklađenja gubitka.</w:t>
            </w:r>
          </w:p>
          <w:p w14:paraId="32E8B207" w14:textId="1128A6E7" w:rsidR="00FD54FC" w:rsidRPr="00A30C4C" w:rsidRDefault="00FD54FC" w:rsidP="00EB62C2">
            <w:pPr>
              <w:rPr>
                <w:b/>
                <w:sz w:val="24"/>
              </w:rPr>
            </w:pPr>
            <w:r>
              <w:rPr>
                <w:rFonts w:ascii="Times New Roman" w:hAnsi="Times New Roman"/>
                <w:sz w:val="24"/>
              </w:rPr>
              <w:t>Za iznose koji se trebaju iskazati ne uzimaju se u obzir ostvareni povrati.</w:t>
            </w:r>
          </w:p>
        </w:tc>
      </w:tr>
      <w:tr w:rsidR="00FD54FC" w:rsidRPr="00A30C4C" w14:paraId="57752AD3" w14:textId="77777777" w:rsidTr="00672D2A">
        <w:tc>
          <w:tcPr>
            <w:tcW w:w="1101" w:type="dxa"/>
          </w:tcPr>
          <w:p w14:paraId="0F2AEB24" w14:textId="77777777" w:rsidR="00FD54FC" w:rsidRPr="00A30C4C"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14:paraId="7C8B89AF"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Najveći pojedinačni gubitak</w:t>
            </w:r>
          </w:p>
          <w:p w14:paraId="102DF4F7" w14:textId="5F979B0C" w:rsidR="00FD54FC" w:rsidRPr="00A30C4C" w:rsidRDefault="00FD54FC" w:rsidP="00FD54FC">
            <w:pPr>
              <w:rPr>
                <w:rFonts w:ascii="Times New Roman" w:hAnsi="Times New Roman"/>
                <w:sz w:val="24"/>
              </w:rPr>
            </w:pPr>
            <w:r>
              <w:rPr>
                <w:rFonts w:ascii="Times New Roman" w:hAnsi="Times New Roman"/>
                <w:sz w:val="24"/>
              </w:rPr>
              <w:t>Najveći pojedinačni gubitak jednak je većem iznosu od dva sljedeća iznosa:</w:t>
            </w:r>
          </w:p>
          <w:p w14:paraId="4E1B5AE8" w14:textId="5623FEDD"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najveći iznos bruto gubitka koji se odnosi na štetni događaj koji je iskazan prvi put u referentnom izvještajnom razdoblju i</w:t>
            </w:r>
          </w:p>
          <w:p w14:paraId="0A7B5272" w14:textId="59833E26"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highlight w:val="yellow"/>
              </w:rPr>
              <w:t>ii.</w:t>
            </w:r>
            <w:r>
              <w:rPr>
                <w:rFonts w:ascii="Times New Roman" w:hAnsi="Times New Roman"/>
                <w:sz w:val="24"/>
                <w:highlight w:val="yellow"/>
              </w:rPr>
              <w:tab/>
              <w:t>najveći pozitivni iznos usklađenja gubitka (kako je prethodno navedeno u redcima 0040, 0140, …, 0840) koji se odnosi na štetni događaj koji je iskazan prvi put u prethodnom referentnom izvještajnom razdoblju.</w:t>
            </w:r>
          </w:p>
          <w:p w14:paraId="3816A2ED" w14:textId="1AF42AAC" w:rsidR="00FD54FC" w:rsidRPr="00A30C4C" w:rsidRDefault="00FD54FC" w:rsidP="00F52FC6">
            <w:pPr>
              <w:rPr>
                <w:sz w:val="24"/>
              </w:rPr>
            </w:pPr>
            <w:r>
              <w:rPr>
                <w:rFonts w:ascii="Times New Roman" w:hAnsi="Times New Roman"/>
                <w:sz w:val="24"/>
              </w:rPr>
              <w:t>Za iznose koji se trebaju iskazati ne uzimaju se u obzir ostvareni povrati.</w:t>
            </w:r>
          </w:p>
        </w:tc>
      </w:tr>
      <w:tr w:rsidR="00FD54FC" w:rsidRPr="00A30C4C" w14:paraId="4B199E8D" w14:textId="77777777" w:rsidTr="00672D2A">
        <w:tc>
          <w:tcPr>
            <w:tcW w:w="1101" w:type="dxa"/>
          </w:tcPr>
          <w:p w14:paraId="44F8BA7E" w14:textId="77777777" w:rsidR="00FD54FC" w:rsidRPr="00A30C4C"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14:paraId="15174573"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14:paraId="38CFFFCE" w14:textId="2415CD6C" w:rsidR="00FD54FC" w:rsidRPr="00A30C4C" w:rsidRDefault="00FD54FC" w:rsidP="00FD54FC">
            <w:pPr>
              <w:rPr>
                <w:rFonts w:ascii="Times New Roman" w:hAnsi="Times New Roman"/>
                <w:sz w:val="24"/>
              </w:rPr>
            </w:pPr>
            <w:r>
              <w:rPr>
                <w:rFonts w:ascii="Times New Roman" w:hAnsi="Times New Roman"/>
                <w:sz w:val="24"/>
              </w:rPr>
              <w:t>Zbroj pet najvećih gubitaka je zbroj pet najvećih iznosa među sljedećim:</w:t>
            </w:r>
          </w:p>
          <w:p w14:paraId="1E955010"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rPr>
                <w:rFonts w:ascii="Times New Roman" w:hAnsi="Times New Roman"/>
                <w:sz w:val="24"/>
              </w:rPr>
              <w:tab/>
              <w:t>iznosi bruto gubitka za štetne događaje koji su iskazani prvi put u referentnom izvještajnom razdoblju i</w:t>
            </w:r>
          </w:p>
          <w:p w14:paraId="612D4190" w14:textId="73765FE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ii.</w:t>
            </w:r>
            <w:r>
              <w:rPr>
                <w:rFonts w:ascii="Times New Roman" w:hAnsi="Times New Roman"/>
                <w:sz w:val="24"/>
              </w:rPr>
              <w:tab/>
              <w:t>pozitivni iznosi usklađenja gubitka (kako je prethodno definirano u redcima 0040, 0140, …, 0840) koji se odnose na štetne događaje koji su iskazani prvi put u prethodnom referentnom izvještajnom razdoblju. Iznos koji se može smatrati jednim od pet najvećih iznosa jednak je iznosu samog usklađenja gubitka, a ne ukupnom gubitku povezanom s odgovarajućim štetnim događajem prije ili nakon usklađenja gubitka.</w:t>
            </w:r>
          </w:p>
          <w:p w14:paraId="203923A8" w14:textId="1F4A1F8D" w:rsidR="00FD54FC" w:rsidRPr="00A30C4C" w:rsidRDefault="00FD54FC" w:rsidP="00F52FC6">
            <w:pPr>
              <w:rPr>
                <w:sz w:val="24"/>
              </w:rPr>
            </w:pPr>
            <w:r>
              <w:rPr>
                <w:rFonts w:ascii="Times New Roman" w:hAnsi="Times New Roman"/>
                <w:sz w:val="24"/>
              </w:rPr>
              <w:t>Za iznose koji se trebaju iskazati ne uzimaju se u obzir ostvareni povrati.</w:t>
            </w:r>
          </w:p>
        </w:tc>
      </w:tr>
      <w:tr w:rsidR="00FD54FC" w:rsidRPr="00A30C4C" w14:paraId="413941A3" w14:textId="77777777" w:rsidTr="00672D2A">
        <w:tc>
          <w:tcPr>
            <w:tcW w:w="1101" w:type="dxa"/>
          </w:tcPr>
          <w:p w14:paraId="30E45BBE" w14:textId="77777777" w:rsidR="00FD54FC" w:rsidRPr="00A30C4C"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14:paraId="43A05DAB" w14:textId="77777777" w:rsidR="00FD54FC" w:rsidRPr="00A30C4C" w:rsidRDefault="00B34B0B" w:rsidP="00FD54FC">
            <w:pPr>
              <w:rPr>
                <w:sz w:val="24"/>
              </w:rPr>
            </w:pPr>
            <w:r>
              <w:rPr>
                <w:rStyle w:val="InstructionsTabelleberschrift"/>
                <w:rFonts w:ascii="Times New Roman" w:hAnsi="Times New Roman"/>
                <w:sz w:val="24"/>
              </w:rPr>
              <w:t>Ukupni izravni povrat gubitka</w:t>
            </w:r>
          </w:p>
          <w:p w14:paraId="7A363432" w14:textId="345758E1" w:rsidR="00FD54FC" w:rsidRPr="00A30C4C" w:rsidRDefault="00FD54FC" w:rsidP="00FD54FC">
            <w:pPr>
              <w:rPr>
                <w:rFonts w:ascii="Times New Roman" w:hAnsi="Times New Roman"/>
                <w:sz w:val="24"/>
              </w:rPr>
            </w:pPr>
            <w:r>
              <w:rPr>
                <w:rFonts w:ascii="Times New Roman" w:hAnsi="Times New Roman"/>
                <w:sz w:val="24"/>
              </w:rPr>
              <w:t xml:space="preserve">Izravni povrati gubitka su svi ostvareni povrati gubitka osim onih koji podliježu članku 323. CRR-a kako je navedeno u retku ove tablice u nastavku. </w:t>
            </w:r>
          </w:p>
          <w:p w14:paraId="0C7D6285" w14:textId="15F98768" w:rsidR="00FD54FC" w:rsidRPr="00A30C4C" w:rsidRDefault="00FD54FC" w:rsidP="00FD54FC">
            <w:pPr>
              <w:rPr>
                <w:b/>
                <w:sz w:val="24"/>
              </w:rPr>
            </w:pPr>
            <w:r>
              <w:rPr>
                <w:rFonts w:ascii="Times New Roman" w:hAnsi="Times New Roman"/>
                <w:sz w:val="24"/>
              </w:rPr>
              <w:t>Ukupni izravni povrat gubitka je zbroj svih izravnih povrata i usklađenja izravnih povrata obračunanih u izvještajnom razdoblju koji se odnose na štetne događaje povezane s operativnim rizikom koji su prvi put obračunani u referentnom izvještajnom razdoblju ili u prethodnim referentnim izvještajnim razdobljima.</w:t>
            </w:r>
          </w:p>
        </w:tc>
      </w:tr>
      <w:tr w:rsidR="00FD54FC" w:rsidRPr="00A30C4C" w14:paraId="05698663" w14:textId="77777777" w:rsidTr="00672D2A">
        <w:tc>
          <w:tcPr>
            <w:tcW w:w="1101" w:type="dxa"/>
          </w:tcPr>
          <w:p w14:paraId="4C97E254" w14:textId="77777777" w:rsidR="00FD54FC" w:rsidRPr="00A30C4C"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14:paraId="79D2A1B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povrat od osiguranja i drugih mehanizama za prijenos rizika</w:t>
            </w:r>
          </w:p>
          <w:p w14:paraId="20936E62" w14:textId="20CC6831" w:rsidR="00FD54FC" w:rsidRPr="00A30C4C" w:rsidRDefault="00FD54FC" w:rsidP="00FD54FC">
            <w:pPr>
              <w:rPr>
                <w:rFonts w:ascii="Times New Roman" w:hAnsi="Times New Roman"/>
                <w:sz w:val="24"/>
              </w:rPr>
            </w:pPr>
            <w:r>
              <w:rPr>
                <w:rFonts w:ascii="Times New Roman" w:hAnsi="Times New Roman"/>
                <w:sz w:val="24"/>
              </w:rPr>
              <w:t xml:space="preserve">Povrati od osiguranja i drugih mehanizama za prijenos rizika jesu povrati koji podliježu članku 323. CRR-a. </w:t>
            </w:r>
          </w:p>
          <w:p w14:paraId="52FE6B5C" w14:textId="2CDF759D" w:rsidR="00FD54FC" w:rsidRPr="00A30C4C" w:rsidRDefault="00FD54FC" w:rsidP="00070AF9">
            <w:pPr>
              <w:rPr>
                <w:sz w:val="24"/>
              </w:rPr>
            </w:pPr>
            <w:r>
              <w:rPr>
                <w:rFonts w:ascii="Times New Roman" w:hAnsi="Times New Roman"/>
                <w:sz w:val="24"/>
              </w:rPr>
              <w:t xml:space="preserve">Ukupni povrat od osiguranja i drugih mehanizama za prijenos rizika je zbroj svih povrata od osiguranja i drugih mehanizama za prijenos rizika i usklađenja tih povrata obračunanih u referentnom izvještajnom razdoblju koji se odnose na štetne </w:t>
            </w:r>
            <w:r>
              <w:rPr>
                <w:rFonts w:ascii="Times New Roman" w:hAnsi="Times New Roman"/>
                <w:sz w:val="24"/>
              </w:rPr>
              <w:lastRenderedPageBreak/>
              <w:t>događaje povezane s operativnim rizikom koji su prvi put obračunani u referentnom izvještajnom razdoblju ili u prethodnim referentnim izvještajnim razdobljima.</w:t>
            </w:r>
          </w:p>
        </w:tc>
      </w:tr>
      <w:tr w:rsidR="00FD54FC" w:rsidRPr="00A30C4C" w14:paraId="1D4EE1B2" w14:textId="77777777" w:rsidTr="00672D2A">
        <w:tc>
          <w:tcPr>
            <w:tcW w:w="1101" w:type="dxa"/>
          </w:tcPr>
          <w:p w14:paraId="3C552EE6" w14:textId="77777777" w:rsidR="00FD54FC" w:rsidRPr="00A30C4C" w:rsidRDefault="00C93FC2" w:rsidP="000F70EC">
            <w:pPr>
              <w:rPr>
                <w:rFonts w:ascii="Times New Roman" w:hAnsi="Times New Roman"/>
                <w:bCs/>
                <w:sz w:val="24"/>
              </w:rPr>
            </w:pPr>
            <w:r>
              <w:rPr>
                <w:rFonts w:ascii="Times New Roman" w:hAnsi="Times New Roman"/>
                <w:sz w:val="24"/>
              </w:rPr>
              <w:lastRenderedPageBreak/>
              <w:t>0910</w:t>
            </w:r>
            <w:r>
              <w:rPr>
                <w:rFonts w:ascii="Times New Roman" w:hAnsi="Times New Roman"/>
                <w:bCs/>
                <w:sz w:val="24"/>
              </w:rPr>
              <w:t>-0980</w:t>
            </w:r>
          </w:p>
        </w:tc>
        <w:tc>
          <w:tcPr>
            <w:tcW w:w="8079" w:type="dxa"/>
          </w:tcPr>
          <w:p w14:paraId="2AF50A78"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UKUPNE POSLOVNE LINIJE</w:t>
            </w:r>
          </w:p>
          <w:p w14:paraId="159F5A10" w14:textId="49FD225D" w:rsidR="00FD54FC" w:rsidRPr="00A30C4C" w:rsidRDefault="00FD54FC" w:rsidP="00F114E6">
            <w:pPr>
              <w:rPr>
                <w:rFonts w:ascii="Times New Roman" w:hAnsi="Times New Roman"/>
                <w:sz w:val="24"/>
              </w:rPr>
            </w:pPr>
            <w:r>
              <w:rPr>
                <w:rFonts w:ascii="Times New Roman" w:hAnsi="Times New Roman"/>
                <w:sz w:val="24"/>
              </w:rPr>
              <w:t>Za svaku vrstu štetnog događaja (stupac od 0010 do 0080) moraju se iskazati informacije o ukupnim poslovnim linijama.</w:t>
            </w:r>
          </w:p>
        </w:tc>
      </w:tr>
      <w:tr w:rsidR="00FD54FC" w:rsidRPr="00A30C4C" w14:paraId="52871EAA" w14:textId="77777777" w:rsidTr="00672D2A">
        <w:tc>
          <w:tcPr>
            <w:tcW w:w="1101" w:type="dxa"/>
          </w:tcPr>
          <w:p w14:paraId="763520E2" w14:textId="77777777" w:rsidR="00FD54FC" w:rsidRPr="00A30C4C" w:rsidRDefault="00C93FC2" w:rsidP="000F70EC">
            <w:pPr>
              <w:rPr>
                <w:rFonts w:ascii="Times New Roman" w:hAnsi="Times New Roman"/>
                <w:bCs/>
                <w:sz w:val="24"/>
              </w:rPr>
            </w:pPr>
            <w:r>
              <w:rPr>
                <w:rFonts w:ascii="Times New Roman" w:hAnsi="Times New Roman"/>
                <w:bCs/>
                <w:sz w:val="24"/>
              </w:rPr>
              <w:t>0910-0914</w:t>
            </w:r>
          </w:p>
        </w:tc>
        <w:tc>
          <w:tcPr>
            <w:tcW w:w="8079" w:type="dxa"/>
          </w:tcPr>
          <w:p w14:paraId="6F3B7948" w14:textId="0F1C3828"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Broj štetnih događaja</w:t>
            </w:r>
          </w:p>
          <w:p w14:paraId="57A8B0AC" w14:textId="34F6FB8B" w:rsidR="00FD54FC" w:rsidRPr="00A30C4C" w:rsidRDefault="00FD54FC" w:rsidP="00FD54FC">
            <w:pPr>
              <w:rPr>
                <w:rFonts w:ascii="Times New Roman" w:hAnsi="Times New Roman"/>
                <w:sz w:val="24"/>
              </w:rPr>
            </w:pPr>
            <w:r>
              <w:rPr>
                <w:rFonts w:ascii="Times New Roman" w:hAnsi="Times New Roman"/>
                <w:sz w:val="24"/>
              </w:rPr>
              <w:t>U retku 0910 iskazuje se broj štetnih događaja iznad internog praga prema vrsti štetnog događaja za ukupne poslovne linije. Navedena vrijednost može biti manja od agregiranja broja štetnih događaja prema poslovnim linijama jer se štetni događaji s višestrukim utjecajima (utjecaji na različite poslovne linije) smatraju jednim. Može biti i veća ako institucija koja svoje kapitalne zahtjeve izračunava u skladu s jednostavnim pristupom ne može u svakom pojedinom slučaju utvrditi poslovne linije na koje je utjecao gubitak.</w:t>
            </w:r>
          </w:p>
          <w:p w14:paraId="7D8E9783" w14:textId="77777777" w:rsidR="00FD54FC" w:rsidRPr="00A30C4C" w:rsidRDefault="00FD54FC" w:rsidP="00FD54FC">
            <w:pPr>
              <w:rPr>
                <w:rFonts w:ascii="Times New Roman" w:hAnsi="Times New Roman"/>
                <w:sz w:val="24"/>
              </w:rPr>
            </w:pPr>
            <w:r>
              <w:rPr>
                <w:rFonts w:ascii="Times New Roman" w:hAnsi="Times New Roman"/>
                <w:sz w:val="24"/>
              </w:rPr>
              <w:t>U redcima 0911 – 0914 iskazuje se broj štetnih događaja za koje je iznos bruto gubitka razvrstan u raspone definirane u odgovarajućim redcima obrasca.</w:t>
            </w:r>
          </w:p>
          <w:p w14:paraId="62578568" w14:textId="3FFE9ED6" w:rsidR="00FD54FC" w:rsidRPr="00A30C4C" w:rsidRDefault="00FD54FC" w:rsidP="00FD54FC">
            <w:pPr>
              <w:rPr>
                <w:rFonts w:ascii="Times New Roman" w:hAnsi="Times New Roman"/>
                <w:sz w:val="24"/>
              </w:rPr>
            </w:pPr>
            <w:r>
              <w:rPr>
                <w:rFonts w:ascii="Times New Roman" w:hAnsi="Times New Roman"/>
                <w:sz w:val="24"/>
              </w:rPr>
              <w:t>Pod uvjetom da je institucija sve svoje gubitke pripisala poslovnoj liniji navedenoj u članku 317. stavku 4. tablici 2. CRR-a ili poslovnoj liniji „poslovne stavke” iz članka 322. stavka 3. točke (b) CRR-a ili da je utvrdila vrste štetnih događaja za sve gubitke, za stupac 080 primjenjuje se sljedeće, prema potrebi:</w:t>
            </w:r>
          </w:p>
          <w:p w14:paraId="52A5DAB2" w14:textId="1A37D047" w:rsidR="00FD54FC" w:rsidRPr="00A30C4C" w:rsidRDefault="00125707" w:rsidP="0023700C">
            <w:pPr>
              <w:ind w:left="360" w:hanging="360"/>
              <w:rPr>
                <w:rFonts w:ascii="Times New Roman" w:hAnsi="Times New Roman"/>
                <w:sz w:val="24"/>
              </w:rPr>
            </w:pPr>
            <w:r>
              <w:rPr>
                <w:rFonts w:ascii="Times New Roman" w:hAnsi="Times New Roman"/>
                <w:sz w:val="24"/>
              </w:rPr>
              <w:t>-</w:t>
            </w:r>
            <w:r>
              <w:rPr>
                <w:rFonts w:ascii="Times New Roman" w:hAnsi="Times New Roman"/>
                <w:sz w:val="24"/>
              </w:rPr>
              <w:tab/>
              <w:t>Ukupni broj štetnih događaja iskazanih u redcima od 0910 do 0914 jednak je horizontalnom agregiranju broja štetnih događaja u odgovarajućem retku jer se u tim vrijednostima štetni događaji koji utječu na različite poslovne linije već smatraju jednim štetnim događajem.</w:t>
            </w:r>
          </w:p>
          <w:p w14:paraId="3FC3B86E" w14:textId="6A3E01F1" w:rsidR="00FD54FC" w:rsidRPr="00A30C4C"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ab/>
            </w:r>
            <w:r>
              <w:rPr>
                <w:rFonts w:ascii="Times New Roman" w:hAnsi="Times New Roman"/>
                <w:sz w:val="24"/>
              </w:rPr>
              <w:t>Vrijednost iskazana u stupcu 0080 retku 0910 nije nužno jednaka vertikalnom agregiranju broja štetnih događaja koji su uključeni u stupcu 080 jer jedan štetni događaj može istodobno utjecati na različite poslovne linije.</w:t>
            </w:r>
          </w:p>
        </w:tc>
      </w:tr>
      <w:tr w:rsidR="00FD54FC" w:rsidRPr="00A30C4C" w14:paraId="17C91CB1" w14:textId="77777777" w:rsidTr="00672D2A">
        <w:tc>
          <w:tcPr>
            <w:tcW w:w="1101" w:type="dxa"/>
          </w:tcPr>
          <w:p w14:paraId="24B03D45" w14:textId="77777777" w:rsidR="00FD54FC" w:rsidRPr="00A30C4C" w:rsidRDefault="00C93FC2" w:rsidP="000F70EC">
            <w:pPr>
              <w:rPr>
                <w:rFonts w:ascii="Times New Roman" w:hAnsi="Times New Roman"/>
                <w:bCs/>
                <w:sz w:val="24"/>
              </w:rPr>
            </w:pPr>
            <w:r>
              <w:rPr>
                <w:rFonts w:ascii="Times New Roman" w:hAnsi="Times New Roman"/>
                <w:bCs/>
                <w:sz w:val="24"/>
              </w:rPr>
              <w:t>0920-0924</w:t>
            </w:r>
          </w:p>
        </w:tc>
        <w:tc>
          <w:tcPr>
            <w:tcW w:w="8079" w:type="dxa"/>
          </w:tcPr>
          <w:p w14:paraId="182B4DE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Iznos bruto gubitka (novi štetni događaji)</w:t>
            </w:r>
          </w:p>
          <w:p w14:paraId="5058FFA5" w14:textId="3CB4A96F" w:rsidR="00FD54FC" w:rsidRPr="00A30C4C" w:rsidRDefault="00FD54FC" w:rsidP="00FD54FC">
            <w:pPr>
              <w:rPr>
                <w:rFonts w:ascii="Times New Roman" w:hAnsi="Times New Roman"/>
                <w:sz w:val="24"/>
              </w:rPr>
            </w:pPr>
            <w:r>
              <w:rPr>
                <w:rFonts w:ascii="Times New Roman" w:hAnsi="Times New Roman"/>
                <w:sz w:val="24"/>
              </w:rPr>
              <w:t xml:space="preserve">Pod uvjetom da je institucija sve svoje gubitke pripisala poslovnoj liniji navedenoj u članku 317. stavku 4. tablici 2. CRR-a ili poslovnoj liniji „poslovne stavke” iz članka 322. stavka 3. točke (b) CRR-a, iznos bruto gubitka (novi štetni događaji) iskazan u retku 0920 jednak je jednostavnom agregiranju iznosa bruto gubitaka novih štetnih događaja za svaku poslovnu liniju. </w:t>
            </w:r>
          </w:p>
          <w:p w14:paraId="01543D87" w14:textId="77777777" w:rsidR="00FD54FC" w:rsidRPr="00A30C4C" w:rsidRDefault="00FD54FC" w:rsidP="00FD54FC">
            <w:pPr>
              <w:rPr>
                <w:rStyle w:val="InstructionsTabelleberschrift"/>
                <w:rFonts w:ascii="Times New Roman" w:hAnsi="Times New Roman"/>
                <w:sz w:val="24"/>
              </w:rPr>
            </w:pPr>
            <w:r>
              <w:rPr>
                <w:rFonts w:ascii="Times New Roman" w:hAnsi="Times New Roman"/>
                <w:sz w:val="24"/>
              </w:rPr>
              <w:t>U redcima 0921 – 0924 iskazuje se iznos bruto gubitka za štetne događaje za koje je iznos bruto gubitka razvrstan u raspone definirane u odgovarajućim redcima.</w:t>
            </w:r>
          </w:p>
        </w:tc>
      </w:tr>
      <w:tr w:rsidR="00FD54FC" w:rsidRPr="00A30C4C" w14:paraId="0F05F6E4" w14:textId="77777777" w:rsidTr="00672D2A">
        <w:tc>
          <w:tcPr>
            <w:tcW w:w="1101" w:type="dxa"/>
          </w:tcPr>
          <w:p w14:paraId="195E7212" w14:textId="77777777" w:rsidR="00FD54FC" w:rsidRPr="00A30C4C"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14:paraId="574ACB41" w14:textId="77777777" w:rsidR="00FD54FC" w:rsidRPr="00A30C4C" w:rsidRDefault="00FD54FC" w:rsidP="00FD54FC">
            <w:pPr>
              <w:rPr>
                <w:rFonts w:ascii="Times New Roman" w:hAnsi="Times New Roman"/>
                <w:sz w:val="24"/>
              </w:rPr>
            </w:pPr>
            <w:r>
              <w:rPr>
                <w:rStyle w:val="InstructionsTabelleberschrift"/>
                <w:rFonts w:ascii="Times New Roman" w:hAnsi="Times New Roman"/>
                <w:sz w:val="24"/>
              </w:rPr>
              <w:t>Broj štetnih događaja koji podliježu usklađenjima gubitka</w:t>
            </w:r>
          </w:p>
          <w:p w14:paraId="6B647356" w14:textId="1507AA29" w:rsidR="00FD54FC" w:rsidRPr="00A30C4C" w:rsidRDefault="00FD54FC" w:rsidP="00FD54FC">
            <w:pPr>
              <w:rPr>
                <w:rFonts w:ascii="Times New Roman" w:hAnsi="Times New Roman"/>
                <w:sz w:val="24"/>
              </w:rPr>
            </w:pPr>
            <w:r>
              <w:rPr>
                <w:rFonts w:ascii="Times New Roman" w:hAnsi="Times New Roman"/>
                <w:sz w:val="24"/>
              </w:rPr>
              <w:t xml:space="preserve">U retku 0930 iskazuje se ukupni broj štetnih događaja koji podliježu usklađenjima gubitka kako je iskazano u redcima 0030, 0130, …, 0830. Ta vrijednost može biti manja od agregiranja broja štetnih događaja koji podliježu usklađenjima gubitka prema poslovnim linijama jer se štetni događaji s višestrukim utjecajima (utjecaji na različite poslovne linije) smatraju jednim. Može biti i veća ako institucija koja </w:t>
            </w:r>
            <w:r>
              <w:rPr>
                <w:rFonts w:ascii="Times New Roman" w:hAnsi="Times New Roman"/>
                <w:sz w:val="24"/>
              </w:rPr>
              <w:lastRenderedPageBreak/>
              <w:t>svoje kapitalne zahtjeve izračunava u skladu s jednostavnim pristupom ne može u svakom pojedinom slučaju utvrditi poslovne linije na koje je utjecao gubitak.</w:t>
            </w:r>
          </w:p>
          <w:p w14:paraId="07A99000" w14:textId="77777777" w:rsidR="00FD54FC" w:rsidRPr="00A30C4C" w:rsidRDefault="00FD54FC" w:rsidP="00FD54FC">
            <w:pPr>
              <w:rPr>
                <w:rStyle w:val="InstructionsTabelleberschrift"/>
                <w:rFonts w:ascii="Times New Roman" w:hAnsi="Times New Roman"/>
                <w:sz w:val="24"/>
              </w:rPr>
            </w:pPr>
            <w:r>
              <w:rPr>
                <w:rFonts w:ascii="Times New Roman" w:hAnsi="Times New Roman"/>
                <w:sz w:val="24"/>
              </w:rPr>
              <w:t>Broj štetnih događaja koji podliježu usklađenjima gubitka raščlanjuje se na broj štetnih događaja za koje je u referentnom izvještajnom razdoblju provedeno pozitivno usklađenje gubitka i na broj štetnih događaja za koje je u referentnom izvještajnom razdoblju provedeno negativno usklađenje gubitka (svi su iskazani s pozitivnim predznakom).</w:t>
            </w:r>
          </w:p>
        </w:tc>
      </w:tr>
      <w:tr w:rsidR="00FD54FC" w:rsidRPr="00A30C4C" w14:paraId="7291468E" w14:textId="77777777" w:rsidTr="00672D2A">
        <w:tc>
          <w:tcPr>
            <w:tcW w:w="1101" w:type="dxa"/>
          </w:tcPr>
          <w:p w14:paraId="72DD46B7" w14:textId="77777777" w:rsidR="00FD54FC" w:rsidRPr="00A30C4C"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14:paraId="2DEEDC08" w14:textId="77777777" w:rsidR="00FD54FC" w:rsidRPr="00A30C4C" w:rsidRDefault="00FD54FC" w:rsidP="00FD54FC">
            <w:pPr>
              <w:rPr>
                <w:rFonts w:ascii="Times New Roman" w:hAnsi="Times New Roman"/>
                <w:sz w:val="24"/>
              </w:rPr>
            </w:pPr>
            <w:r>
              <w:rPr>
                <w:rStyle w:val="InstructionsTabelleberschrift"/>
                <w:rFonts w:ascii="Times New Roman" w:hAnsi="Times New Roman"/>
                <w:sz w:val="24"/>
              </w:rPr>
              <w:t>Usklađenja gubitka koja se odnose na prethodna izvještajna razdoblja</w:t>
            </w:r>
          </w:p>
          <w:p w14:paraId="3F7BFAFE" w14:textId="63C79774" w:rsidR="00FD54FC" w:rsidRPr="00A30C4C" w:rsidRDefault="00FD54FC" w:rsidP="00FD54FC">
            <w:pPr>
              <w:rPr>
                <w:rFonts w:ascii="Times New Roman" w:hAnsi="Times New Roman"/>
                <w:sz w:val="24"/>
              </w:rPr>
            </w:pPr>
            <w:r>
              <w:rPr>
                <w:rFonts w:ascii="Times New Roman" w:hAnsi="Times New Roman"/>
                <w:sz w:val="24"/>
              </w:rPr>
              <w:t>U retku 0940 iskazuju se ukupni iznosi usklađenja gubitka koja se odnose na prethodna izvještajna razdoblja prema poslovnim linijama (kako je iskazano u redcima 0040, 0140, …, 0840). Pod uvjetom da je institucija sve svoje gubitke pripisala poslovnoj liniji navedenoj u članku 317. stavku 4. tablici 2. CRR-a ili poslovnoj liniji „poslovne stavke” iz članka 322. stavka 3. točke (b) CRR-a, iznos iskazan u retku 0940 jednak je jednostavnom agregiranju usklađenja gubitka koja se odnose na prethodna izvještajna razdoblja iskazana za različite poslovne linije.</w:t>
            </w:r>
          </w:p>
          <w:p w14:paraId="1258C52F" w14:textId="5202D499" w:rsidR="00FD54FC" w:rsidRPr="00A30C4C" w:rsidRDefault="00FD54FC" w:rsidP="00EB6FC2">
            <w:pPr>
              <w:rPr>
                <w:rFonts w:ascii="Times New Roman" w:hAnsi="Times New Roman"/>
                <w:sz w:val="24"/>
              </w:rPr>
            </w:pPr>
            <w:r>
              <w:rPr>
                <w:rFonts w:ascii="Times New Roman" w:hAnsi="Times New Roman"/>
                <w:sz w:val="24"/>
              </w:rPr>
              <w:t>Iznos usklađenja gubitka raščlanjuje se na iznos koji se odnosi na štetne događaje za koje je u referentnom izvještajnom razdoblju provedeno pozitivno usklađenje gubitka (redak 0945, iskazano u pozitivnim vrijednostima) i na iznos koji se odnosi na štetne događaje za koje je u izvještajnom razdoblju provedeno negativno usklađenje gubitka (redak 0946, iskazano u negativnim vrijednostima). Ako zbog negativnog usklađenja gubitka iznos usklađenog gubitka koji se može pripisati štetnom događaju bude manji od praga institucije za prikupljanje podataka, institucije iskazuje ukupni iznos gubitka za taj događaj koji je akumuliran do zadnjeg puta kad je štetni događaj iskazan za referentni datum u prosincu (odnosno izvorni gubitak uvećan/umanjen za sva usklađenja gubitaka provedena u prethodnim referentnim izvještajnim razdobljima) s negativnim predznakom u retku 946 umjesto iznosa negativnog usklađenja gubitka.</w:t>
            </w:r>
          </w:p>
        </w:tc>
      </w:tr>
      <w:tr w:rsidR="00FD54FC" w:rsidRPr="00A30C4C"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A30C4C"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Najveći pojedinačni gubitak</w:t>
            </w:r>
          </w:p>
          <w:p w14:paraId="3AA118C4" w14:textId="7A14A978" w:rsidR="00FD54FC" w:rsidRPr="00A30C4C" w:rsidRDefault="00FD54FC" w:rsidP="00FD54FC">
            <w:pPr>
              <w:rPr>
                <w:rFonts w:ascii="Times New Roman" w:hAnsi="Times New Roman"/>
                <w:sz w:val="24"/>
              </w:rPr>
            </w:pPr>
            <w:r>
              <w:rPr>
                <w:rFonts w:ascii="Times New Roman" w:hAnsi="Times New Roman"/>
                <w:sz w:val="24"/>
              </w:rPr>
              <w:t>Pod uvjetom da je institucija sve svoje gubitke pripisala poslovnoj liniji definiranoj u članku 317. stavku 4. tablici 2. CRR-a ili poslovnoj liniji „poslovne stavke” iz članka 322. stavka 3. točke (b) CRR-a, najveći pojedinačni gubitak jednak je najvećem gubitku iznad praga za svaku vrstu događaja i među svim poslovnim linijama. Te vrijednosti mogu biti veće od najvećeg pojedinačnog gubitka u svakoj poslovnoj liniji ako štetni događaj utječe na različite poslovne linije.</w:t>
            </w:r>
          </w:p>
          <w:p w14:paraId="513FDB76" w14:textId="6728B4CB" w:rsidR="00FD54FC" w:rsidRPr="00A30C4C" w:rsidRDefault="00FD54FC" w:rsidP="00FD54FC">
            <w:pPr>
              <w:rPr>
                <w:rFonts w:ascii="Times New Roman" w:hAnsi="Times New Roman"/>
                <w:sz w:val="24"/>
              </w:rPr>
            </w:pPr>
            <w:r>
              <w:rPr>
                <w:rFonts w:ascii="Times New Roman" w:hAnsi="Times New Roman"/>
                <w:sz w:val="24"/>
              </w:rPr>
              <w:t>Pod uvjetom da je institucija sve svoje gubitke pripisala poslovnoj liniji navedenoj u članku 317. stavku 4. tablici 2. CRR-a ili poslovnoj liniji „poslovne stavke” iz članka 322. stavka 3. točke (b) CRR-a odnosno da je utvrdila vrste štetnih događaja za sve gubitke, za stupac 0080 primjenjuje se sljedeće:</w:t>
            </w:r>
          </w:p>
          <w:p w14:paraId="19D329EB" w14:textId="77777777" w:rsidR="00FD54FC" w:rsidRPr="00A30C4C" w:rsidRDefault="00125707" w:rsidP="0023700C">
            <w:pPr>
              <w:ind w:left="360" w:hanging="360"/>
              <w:rPr>
                <w:rFonts w:ascii="Times New Roman" w:hAnsi="Times New Roman"/>
                <w:b/>
                <w:bCs/>
                <w:sz w:val="24"/>
                <w:u w:val="single"/>
              </w:rPr>
            </w:pPr>
            <w:r>
              <w:rPr>
                <w:rFonts w:ascii="Times New Roman" w:hAnsi="Times New Roman"/>
                <w:bCs/>
                <w:sz w:val="24"/>
              </w:rPr>
              <w:t>-</w:t>
            </w:r>
            <w:r>
              <w:rPr>
                <w:rFonts w:ascii="Times New Roman" w:hAnsi="Times New Roman"/>
                <w:bCs/>
                <w:sz w:val="24"/>
              </w:rPr>
              <w:tab/>
            </w:r>
            <w:r>
              <w:rPr>
                <w:rFonts w:ascii="Times New Roman" w:hAnsi="Times New Roman"/>
                <w:sz w:val="24"/>
              </w:rPr>
              <w:t>najveći iskazani pojedinačni gubitak jednak je najvećoj vrijednosti iskazanoj u stupcima 0010 – 0070 ovog retka.</w:t>
            </w:r>
          </w:p>
          <w:p w14:paraId="54FBCD00" w14:textId="1FACAB03" w:rsidR="00FD54FC" w:rsidRPr="00A30C4C"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ab/>
            </w:r>
            <w:r>
              <w:rPr>
                <w:rFonts w:ascii="Times New Roman" w:hAnsi="Times New Roman"/>
                <w:sz w:val="24"/>
              </w:rPr>
              <w:t xml:space="preserve">Ako postoje štetni događaji koji utječu na različite poslovne linije, iznos iskazan u {r950, c080} može biti veći od iznosa „najvećeg pojedinačnog gubitka” prema poslovnoj liniji iskazanih u ostalim redcima stupca 080. </w:t>
            </w:r>
          </w:p>
        </w:tc>
      </w:tr>
      <w:tr w:rsidR="00FD54FC" w:rsidRPr="00A30C4C"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A30C4C"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Zbroj pet najvećih gubitaka</w:t>
            </w:r>
          </w:p>
          <w:p w14:paraId="164955D7" w14:textId="6655AF61" w:rsidR="00FD54FC" w:rsidRPr="00A30C4C" w:rsidRDefault="00FD54FC" w:rsidP="00FD54FC">
            <w:pPr>
              <w:rPr>
                <w:rFonts w:ascii="Times New Roman" w:hAnsi="Times New Roman"/>
                <w:sz w:val="24"/>
              </w:rPr>
            </w:pPr>
            <w:r>
              <w:rPr>
                <w:rFonts w:ascii="Times New Roman" w:hAnsi="Times New Roman"/>
                <w:sz w:val="24"/>
              </w:rPr>
              <w:lastRenderedPageBreak/>
              <w:t xml:space="preserve">Iskazuje se zbroj pet najvećih bruto gubitaka za svaku vrstu štetnog događaja i među svim poslovnim linijama. Taj zbroj može biti veći od najvećeg zbroja pet najvećih gubitaka zabilježenih u svakoj poslovnoj liniji. Taj je zbroj potrebno iskazati bez obzira na broj gubitaka. </w:t>
            </w:r>
          </w:p>
          <w:p w14:paraId="166ECE75" w14:textId="11DFEF71" w:rsidR="00FD54FC" w:rsidRPr="00A30C4C" w:rsidRDefault="00FD54FC" w:rsidP="00AB6610">
            <w:pPr>
              <w:rPr>
                <w:rStyle w:val="InstructionsTabelleberschrift"/>
                <w:rFonts w:ascii="Times New Roman" w:hAnsi="Times New Roman"/>
                <w:sz w:val="24"/>
              </w:rPr>
            </w:pPr>
            <w:r>
              <w:rPr>
                <w:rFonts w:ascii="Times New Roman" w:hAnsi="Times New Roman"/>
                <w:sz w:val="24"/>
              </w:rPr>
              <w:t>Pod uvjetom da je institucija sve svoje gubitke pripisala poslovnoj liniji definiranoj u članku 317. stavku 4. tablici 2. CRR-a ili poslovnoj liniji „poslovne stavke” iz članka 322. stavka 3. točke (b) CRR-a i da je utvrdila vrste štetnih događaja za sve gubitke, za stupac 0080 zbroj pet najvećih gubitaka jednak je zbroju pet najvećih gubitaka u cijeloj matrici, što znači da nije nužno jednak najvećoj vrijednosti „zbroja pet najvećih gubitaka” u retku 0960 ni najvećoj vrijednosti „zbroja pet najvećih gubitaka” u stupcu 0080.</w:t>
            </w:r>
          </w:p>
        </w:tc>
      </w:tr>
      <w:tr w:rsidR="00FD54FC" w:rsidRPr="00A30C4C"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A30C4C"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izravni povrat gubitka</w:t>
            </w:r>
          </w:p>
          <w:p w14:paraId="7FEE4F90" w14:textId="11DC8F36" w:rsidR="00FD54FC" w:rsidRPr="00A30C4C" w:rsidRDefault="00FD54FC" w:rsidP="00705025">
            <w:pPr>
              <w:rPr>
                <w:rStyle w:val="InstructionsTabelleberschrift"/>
                <w:rFonts w:ascii="Times New Roman" w:hAnsi="Times New Roman"/>
                <w:sz w:val="24"/>
              </w:rPr>
            </w:pPr>
            <w:r>
              <w:rPr>
                <w:rFonts w:ascii="Times New Roman" w:hAnsi="Times New Roman"/>
                <w:sz w:val="24"/>
              </w:rPr>
              <w:t>Pod uvjetom da je institucija sve svoje gubitke pripisala poslovnoj liniji navedenoj u članku 317. stavku 4. tablici 2. CRR-a ili poslovnoj liniji „poslovne stavke” iz članka 322. stavka 3. točke (b) CRR-a, ukupni izravni povrat gubitka jednak je jednostavnom agregiranju ukupnih izravnih povrata gubitka za svaku poslovnu liniju.</w:t>
            </w:r>
          </w:p>
        </w:tc>
      </w:tr>
      <w:tr w:rsidR="00FD54FC" w:rsidRPr="00A30C4C"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A30C4C"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Ukupni povrat od osiguranja i drugih mehanizama za prijenos rizika</w:t>
            </w:r>
          </w:p>
          <w:p w14:paraId="007FE0EB" w14:textId="53113F24" w:rsidR="00FD54FC" w:rsidRPr="00A30C4C" w:rsidRDefault="00FD54FC" w:rsidP="00133396">
            <w:pPr>
              <w:rPr>
                <w:rFonts w:ascii="Times New Roman" w:hAnsi="Times New Roman"/>
                <w:b/>
                <w:bCs/>
                <w:sz w:val="24"/>
                <w:u w:val="single"/>
              </w:rPr>
            </w:pPr>
            <w:r>
              <w:rPr>
                <w:rFonts w:ascii="Times New Roman" w:hAnsi="Times New Roman"/>
                <w:sz w:val="24"/>
              </w:rPr>
              <w:t>Pod uvjetom da je institucija sve svoje gubitke pripisala poslovnoj liniji navedenoj u članku 317. stavku 4. tablici 2. CRR-a ili poslovnoj liniji „poslovne stavke” iz članka 322. stavka 3. točke (b) CRR-a, ukupni povrat od osiguranja i drugih mehanizama za prijenos rizika jednak je jednostavnom agregiranju ukupnog povrata od osiguranja i drugih mehanizama za prijenos rizika za svaku poslovnu liniju.</w:t>
            </w:r>
          </w:p>
        </w:tc>
      </w:tr>
    </w:tbl>
    <w:p w14:paraId="03F5E592" w14:textId="77777777" w:rsidR="00FD54FC" w:rsidRPr="00A30C4C" w:rsidRDefault="00FD54FC" w:rsidP="00FD54FC">
      <w:pPr>
        <w:spacing w:before="0" w:after="0"/>
        <w:jc w:val="left"/>
        <w:rPr>
          <w:rStyle w:val="InstructionsTabelleText"/>
          <w:rFonts w:ascii="Times New Roman" w:hAnsi="Times New Roman"/>
          <w:sz w:val="24"/>
        </w:rPr>
      </w:pPr>
    </w:p>
    <w:p w14:paraId="0B74CAC3"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8" w:name="_Toc473561028"/>
      <w:bookmarkStart w:id="479" w:name="_Toc30677699"/>
      <w:r>
        <w:rPr>
          <w:rFonts w:ascii="Times New Roman" w:hAnsi="Times New Roman"/>
          <w:sz w:val="24"/>
          <w:u w:val="none"/>
        </w:rPr>
        <w:t>4.2.3.</w:t>
      </w:r>
      <w:r>
        <w:rPr>
          <w:rFonts w:ascii="Times New Roman" w:hAnsi="Times New Roman"/>
          <w:sz w:val="24"/>
          <w:u w:val="none"/>
        </w:rPr>
        <w:tab/>
      </w:r>
      <w:r>
        <w:rPr>
          <w:rFonts w:ascii="Times New Roman" w:hAnsi="Times New Roman"/>
          <w:sz w:val="24"/>
        </w:rPr>
        <w:t>C 17.02: Operativni rizik: Detaljne informacije o najvećim štetnim događajima iz prethodne godine (OPR DETALJNIJI PODACI 2)</w:t>
      </w:r>
      <w:bookmarkEnd w:id="478"/>
      <w:bookmarkEnd w:id="479"/>
    </w:p>
    <w:p w14:paraId="1A936193"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80" w:name="_Toc473561029"/>
      <w:bookmarkStart w:id="481" w:name="_Toc30677700"/>
      <w:r>
        <w:rPr>
          <w:rFonts w:ascii="Times New Roman" w:hAnsi="Times New Roman"/>
          <w:sz w:val="24"/>
          <w:u w:val="none"/>
        </w:rPr>
        <w:t>4.2.3.1.</w:t>
      </w:r>
      <w:r>
        <w:rPr>
          <w:rFonts w:ascii="Times New Roman" w:hAnsi="Times New Roman"/>
          <w:sz w:val="24"/>
          <w:u w:val="none"/>
        </w:rPr>
        <w:tab/>
      </w:r>
      <w:r>
        <w:rPr>
          <w:rFonts w:ascii="Times New Roman" w:hAnsi="Times New Roman"/>
          <w:sz w:val="24"/>
        </w:rPr>
        <w:t>Opće napomene</w:t>
      </w:r>
      <w:bookmarkEnd w:id="480"/>
      <w:bookmarkEnd w:id="481"/>
    </w:p>
    <w:p w14:paraId="231309DD" w14:textId="57B03D0A" w:rsidR="00FD54FC" w:rsidRPr="00A30C4C" w:rsidRDefault="00125707" w:rsidP="00C37B29">
      <w:pPr>
        <w:pStyle w:val="InstructionsText2"/>
        <w:numPr>
          <w:ilvl w:val="0"/>
          <w:numId w:val="0"/>
        </w:numPr>
        <w:ind w:left="993"/>
      </w:pPr>
      <w:r>
        <w:t>134. U obrascu C 17.02 navode se informacije o pojedinačnim štetnim događajima (jedan redak po štetnom događaju).</w:t>
      </w:r>
    </w:p>
    <w:p w14:paraId="2C6E2560" w14:textId="1F22973B" w:rsidR="00FD54FC" w:rsidRPr="00A30C4C" w:rsidRDefault="00125707" w:rsidP="00C37B29">
      <w:pPr>
        <w:pStyle w:val="InstructionsText2"/>
        <w:numPr>
          <w:ilvl w:val="0"/>
          <w:numId w:val="0"/>
        </w:numPr>
        <w:ind w:left="993"/>
      </w:pPr>
      <w:r>
        <w:t>135.</w:t>
      </w:r>
      <w:r>
        <w:tab/>
        <w:t xml:space="preserve"> Informacije koje se navode u ovom obrascu odnose se na „nove štetne događaje”, odnosno događaje povezane s operativnim rizikom.</w:t>
      </w:r>
    </w:p>
    <w:p w14:paraId="189C8F4C" w14:textId="77777777" w:rsidR="00FD54FC" w:rsidRPr="00A30C4C" w:rsidRDefault="00125707" w:rsidP="00C37B29">
      <w:pPr>
        <w:pStyle w:val="InstructionsText2"/>
        <w:numPr>
          <w:ilvl w:val="0"/>
          <w:numId w:val="0"/>
        </w:numPr>
        <w:ind w:left="993"/>
      </w:pPr>
      <w:r>
        <w:t>(a)</w:t>
      </w:r>
      <w:r>
        <w:tab/>
        <w:t>„prvi put obračunani” u referentnom izvještajnom razdoblju ili</w:t>
      </w:r>
    </w:p>
    <w:p w14:paraId="49320BA9" w14:textId="7DA88BB1" w:rsidR="00FD54FC" w:rsidRPr="00A30C4C" w:rsidRDefault="00125707" w:rsidP="00C37B29">
      <w:pPr>
        <w:pStyle w:val="InstructionsText2"/>
        <w:numPr>
          <w:ilvl w:val="0"/>
          <w:numId w:val="0"/>
        </w:numPr>
        <w:ind w:left="993"/>
      </w:pPr>
      <w:r>
        <w:t>(b)</w:t>
      </w:r>
      <w:r>
        <w:tab/>
        <w:t>„prvi put obračunani” u prethodnom referentnom izvještajnom razdoblju ako štetni događaj nije bio uključen u prethodno nadzorno izvješće, npr. zato što je utvrđen kao štetni događaj povezan s operativnim rizikom tek u sadašnjem referentnom izvještajnom razdoblju ili zato što je akumulirani gubitak koji se može pripisati tom štetnom događaju (odnosno izvorni gubitak uvećan/umanjen za sva usklađenja gubitaka provedena u prethodnim referentnim izvještajnim razdobljima) premašio prag za prikupljanje internih podataka tek u sadašnjem referentnom izvještajnom razdoblju.</w:t>
      </w:r>
    </w:p>
    <w:p w14:paraId="1FF61CF3" w14:textId="4604001C" w:rsidR="00F41508" w:rsidRPr="00A30C4C" w:rsidRDefault="00125707" w:rsidP="00C37B29">
      <w:pPr>
        <w:pStyle w:val="InstructionsText2"/>
        <w:numPr>
          <w:ilvl w:val="0"/>
          <w:numId w:val="0"/>
        </w:numPr>
        <w:ind w:left="993"/>
      </w:pPr>
      <w:r>
        <w:lastRenderedPageBreak/>
        <w:t>136. Iskazuju se samo štetni događaji koji podrazumijevaju iznos bruto gubitka u vrijednosti od 100 000 EUR ili više.</w:t>
      </w:r>
    </w:p>
    <w:p w14:paraId="3FC165DA" w14:textId="638133E6" w:rsidR="00FD54FC" w:rsidRPr="00A30C4C" w:rsidRDefault="00FD54FC" w:rsidP="00C37B29">
      <w:pPr>
        <w:pStyle w:val="InstructionsText2"/>
        <w:numPr>
          <w:ilvl w:val="0"/>
          <w:numId w:val="0"/>
        </w:numPr>
        <w:ind w:left="993"/>
      </w:pPr>
      <w:r>
        <w:t>Podložno primjeni tog praga, u obrazac se uključuju:</w:t>
      </w:r>
    </w:p>
    <w:p w14:paraId="796D3249" w14:textId="77777777" w:rsidR="00FD54FC" w:rsidRPr="00A30C4C" w:rsidRDefault="00125707" w:rsidP="00C37B29">
      <w:pPr>
        <w:pStyle w:val="InstructionsText2"/>
        <w:numPr>
          <w:ilvl w:val="0"/>
          <w:numId w:val="0"/>
        </w:numPr>
        <w:ind w:left="993"/>
      </w:pPr>
      <w:r>
        <w:t>(a)</w:t>
      </w:r>
      <w:r>
        <w:tab/>
        <w:t>najveći događaj za svaku vrstu događaja pod uvjetom da je institucija utvrdila vrste događaja za gubitke i</w:t>
      </w:r>
    </w:p>
    <w:p w14:paraId="6D2F0F68" w14:textId="6EB0FA69" w:rsidR="00FD54FC" w:rsidRPr="00A30C4C" w:rsidRDefault="00125707" w:rsidP="00C37B29">
      <w:pPr>
        <w:pStyle w:val="InstructionsText2"/>
        <w:numPr>
          <w:ilvl w:val="0"/>
          <w:numId w:val="0"/>
        </w:numPr>
        <w:ind w:left="993"/>
      </w:pPr>
      <w:r>
        <w:t>(b)</w:t>
      </w:r>
      <w:r>
        <w:tab/>
        <w:t>barem deset najvećih preostalih događaja neovisno o tome je li utvrđena vrsta događaja prema iznosu bruto gubitka.</w:t>
      </w:r>
    </w:p>
    <w:p w14:paraId="416EF068" w14:textId="194599A2" w:rsidR="00FD54FC" w:rsidRPr="00A30C4C" w:rsidRDefault="00125707" w:rsidP="00C37B29">
      <w:pPr>
        <w:pStyle w:val="InstructionsText2"/>
        <w:numPr>
          <w:ilvl w:val="0"/>
          <w:numId w:val="0"/>
        </w:numPr>
        <w:ind w:left="993"/>
      </w:pPr>
      <w:r>
        <w:t>(c)</w:t>
      </w:r>
      <w:r>
        <w:tab/>
        <w:t>Štetni događaji rangiraju se na temelju bruto gubitka koji im se pripisuje.</w:t>
      </w:r>
    </w:p>
    <w:p w14:paraId="5809A7B6" w14:textId="1E238DAE" w:rsidR="00FD54FC" w:rsidRPr="00A30C4C" w:rsidRDefault="00125707" w:rsidP="00C37B29">
      <w:pPr>
        <w:pStyle w:val="InstructionsText2"/>
        <w:numPr>
          <w:ilvl w:val="0"/>
          <w:numId w:val="0"/>
        </w:numPr>
        <w:ind w:left="993"/>
      </w:pPr>
      <w:r>
        <w:t>(d)</w:t>
      </w:r>
      <w:r>
        <w:tab/>
        <w:t>Štetni događaj uzima se u obzir samo jedanput.</w:t>
      </w:r>
    </w:p>
    <w:p w14:paraId="0573DA78"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82" w:name="_Toc473561030"/>
      <w:bookmarkStart w:id="483" w:name="_Toc30677701"/>
      <w:r>
        <w:rPr>
          <w:rFonts w:ascii="Times New Roman" w:hAnsi="Times New Roman"/>
          <w:sz w:val="24"/>
          <w:u w:val="none"/>
        </w:rPr>
        <w:t>4.2.3.2.</w:t>
      </w:r>
      <w:r>
        <w:rPr>
          <w:rFonts w:ascii="Times New Roman" w:hAnsi="Times New Roman"/>
          <w:sz w:val="24"/>
          <w:u w:val="none"/>
        </w:rPr>
        <w:tab/>
      </w:r>
      <w:r>
        <w:rPr>
          <w:rFonts w:ascii="Times New Roman" w:hAnsi="Times New Roman"/>
          <w:sz w:val="24"/>
        </w:rPr>
        <w:t>Upute za specifične pozicije</w:t>
      </w:r>
      <w:bookmarkEnd w:id="482"/>
      <w:bookmarkEnd w:id="4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A30C4C" w14:paraId="7B50679A" w14:textId="77777777" w:rsidTr="00672D2A">
        <w:tc>
          <w:tcPr>
            <w:tcW w:w="9288" w:type="dxa"/>
            <w:gridSpan w:val="2"/>
            <w:shd w:val="clear" w:color="auto" w:fill="BFBFBF"/>
          </w:tcPr>
          <w:p w14:paraId="4890EFE8" w14:textId="77777777" w:rsidR="00FD54FC" w:rsidRPr="00A30C4C" w:rsidRDefault="00FD54FC" w:rsidP="00FD54FC">
            <w:pPr>
              <w:rPr>
                <w:rFonts w:ascii="Times New Roman" w:hAnsi="Times New Roman"/>
                <w:sz w:val="24"/>
              </w:rPr>
            </w:pPr>
            <w:r>
              <w:rPr>
                <w:rFonts w:ascii="Times New Roman" w:hAnsi="Times New Roman"/>
                <w:b/>
                <w:bCs/>
                <w:sz w:val="24"/>
              </w:rPr>
              <w:t>Stupci</w:t>
            </w:r>
          </w:p>
        </w:tc>
      </w:tr>
      <w:tr w:rsidR="00FD54FC" w:rsidRPr="00A30C4C" w14:paraId="748A91C9" w14:textId="77777777" w:rsidTr="00672D2A">
        <w:tc>
          <w:tcPr>
            <w:tcW w:w="959" w:type="dxa"/>
            <w:shd w:val="clear" w:color="auto" w:fill="auto"/>
          </w:tcPr>
          <w:p w14:paraId="56A3745B" w14:textId="77777777" w:rsidR="00FD54FC" w:rsidRPr="00A30C4C"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14:paraId="57B3B92C" w14:textId="77777777" w:rsidR="00FD54FC" w:rsidRPr="00A30C4C" w:rsidRDefault="00FD54FC" w:rsidP="00FD54FC">
            <w:pPr>
              <w:rPr>
                <w:rFonts w:ascii="Times New Roman" w:hAnsi="Times New Roman"/>
                <w:sz w:val="24"/>
              </w:rPr>
            </w:pPr>
            <w:r>
              <w:rPr>
                <w:rStyle w:val="InstructionsTabelleberschrift"/>
                <w:rFonts w:ascii="Times New Roman" w:hAnsi="Times New Roman"/>
                <w:sz w:val="24"/>
              </w:rPr>
              <w:t>Identifikacijski broj događaja</w:t>
            </w:r>
          </w:p>
          <w:p w14:paraId="24D3BF54" w14:textId="54FF1E08" w:rsidR="00FD54FC" w:rsidRPr="00A30C4C" w:rsidRDefault="00FD54FC" w:rsidP="00FD54FC">
            <w:pPr>
              <w:rPr>
                <w:rFonts w:ascii="Times New Roman" w:hAnsi="Times New Roman"/>
                <w:sz w:val="24"/>
              </w:rPr>
            </w:pPr>
            <w:r>
              <w:rPr>
                <w:rFonts w:ascii="Times New Roman" w:hAnsi="Times New Roman"/>
                <w:sz w:val="24"/>
              </w:rPr>
              <w:t xml:space="preserve">Identifikacijski broj događaja je identifikator retka i jedinstven je za svaki redak u obrascu. </w:t>
            </w:r>
          </w:p>
          <w:p w14:paraId="6A5FB408" w14:textId="77777777" w:rsidR="00FD54FC" w:rsidRPr="00A30C4C" w:rsidRDefault="00FD54FC" w:rsidP="00FD54FC">
            <w:pPr>
              <w:rPr>
                <w:rFonts w:ascii="Times New Roman" w:hAnsi="Times New Roman"/>
                <w:sz w:val="24"/>
              </w:rPr>
            </w:pPr>
            <w:r>
              <w:rPr>
                <w:rFonts w:ascii="Times New Roman" w:hAnsi="Times New Roman"/>
                <w:sz w:val="24"/>
              </w:rPr>
              <w:t>Ako je dostupan interni identifikacijski broj, institucije dostavljaju taj interni identifikacijski broj. U protivnome, identifikacijski broj navodi se numeričkim redoslijedom 1, 2, 3 itd.</w:t>
            </w:r>
          </w:p>
        </w:tc>
      </w:tr>
      <w:tr w:rsidR="00FD54FC" w:rsidRPr="00A30C4C" w14:paraId="3170B641" w14:textId="77777777" w:rsidTr="00672D2A">
        <w:tc>
          <w:tcPr>
            <w:tcW w:w="959" w:type="dxa"/>
            <w:shd w:val="clear" w:color="auto" w:fill="auto"/>
          </w:tcPr>
          <w:p w14:paraId="0307C808" w14:textId="77777777" w:rsidR="00FD54FC" w:rsidRPr="00A30C4C" w:rsidRDefault="00C93FC2" w:rsidP="00FD54FC">
            <w:pPr>
              <w:rPr>
                <w:rFonts w:ascii="Times New Roman" w:hAnsi="Times New Roman"/>
                <w:sz w:val="24"/>
              </w:rPr>
            </w:pPr>
            <w:r>
              <w:rPr>
                <w:rFonts w:ascii="Times New Roman" w:hAnsi="Times New Roman"/>
                <w:sz w:val="24"/>
              </w:rPr>
              <w:t>0020</w:t>
            </w:r>
          </w:p>
        </w:tc>
        <w:tc>
          <w:tcPr>
            <w:tcW w:w="8329" w:type="dxa"/>
            <w:shd w:val="clear" w:color="auto" w:fill="auto"/>
          </w:tcPr>
          <w:p w14:paraId="5C917FB2"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Računovodstveni datum</w:t>
            </w:r>
          </w:p>
          <w:p w14:paraId="54DCB09F" w14:textId="7E85C3C7" w:rsidR="00FD54FC" w:rsidRPr="00A30C4C" w:rsidRDefault="00FD54FC" w:rsidP="00C7103D">
            <w:pPr>
              <w:rPr>
                <w:rFonts w:ascii="Times New Roman" w:hAnsi="Times New Roman"/>
                <w:sz w:val="24"/>
              </w:rPr>
            </w:pPr>
            <w:r>
              <w:rPr>
                <w:rFonts w:ascii="Times New Roman" w:hAnsi="Times New Roman"/>
                <w:sz w:val="24"/>
              </w:rPr>
              <w:t xml:space="preserve">Računovodstveni datum znači datum kada su gubitak ili rezerva/pričuva prvi put priznati u računu dobiti i gubitka u odnosu na gubitak od operativnog rizika. </w:t>
            </w:r>
          </w:p>
        </w:tc>
      </w:tr>
      <w:tr w:rsidR="00FD54FC" w:rsidRPr="00A30C4C" w14:paraId="41A2B7D3" w14:textId="77777777" w:rsidTr="00672D2A">
        <w:tc>
          <w:tcPr>
            <w:tcW w:w="959" w:type="dxa"/>
            <w:shd w:val="clear" w:color="auto" w:fill="auto"/>
          </w:tcPr>
          <w:p w14:paraId="4C0CA412" w14:textId="77777777" w:rsidR="00FD54FC" w:rsidRPr="00A30C4C"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14:paraId="1BFF12D2"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događaja</w:t>
            </w:r>
          </w:p>
          <w:p w14:paraId="2381B252" w14:textId="6CB49C28" w:rsidR="00FD54FC" w:rsidRPr="00A30C4C" w:rsidRDefault="00FD54FC" w:rsidP="00871877">
            <w:pPr>
              <w:rPr>
                <w:rFonts w:ascii="Times New Roman" w:hAnsi="Times New Roman"/>
                <w:sz w:val="24"/>
              </w:rPr>
            </w:pPr>
            <w:r>
              <w:rPr>
                <w:rFonts w:ascii="Times New Roman" w:hAnsi="Times New Roman"/>
                <w:sz w:val="24"/>
              </w:rPr>
              <w:t>Datum događaja jest datum nastanka ili početka štetnog događaja povezanog s operativnim rizikom.</w:t>
            </w:r>
          </w:p>
        </w:tc>
      </w:tr>
      <w:tr w:rsidR="00FD54FC" w:rsidRPr="00A30C4C" w14:paraId="4AC525C3" w14:textId="77777777" w:rsidTr="00672D2A">
        <w:tc>
          <w:tcPr>
            <w:tcW w:w="959" w:type="dxa"/>
            <w:shd w:val="clear" w:color="auto" w:fill="auto"/>
          </w:tcPr>
          <w:p w14:paraId="1A72F0CC" w14:textId="77777777" w:rsidR="00FD54FC" w:rsidRPr="00A30C4C"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14:paraId="468C7F1A"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otkrića</w:t>
            </w:r>
          </w:p>
          <w:p w14:paraId="16F4DCBE" w14:textId="67D795E7" w:rsidR="00FD54FC" w:rsidRPr="00A30C4C" w:rsidRDefault="00FD54FC" w:rsidP="00FD54FC">
            <w:pPr>
              <w:rPr>
                <w:rFonts w:ascii="Times New Roman" w:hAnsi="Times New Roman"/>
                <w:sz w:val="24"/>
              </w:rPr>
            </w:pPr>
            <w:r>
              <w:rPr>
                <w:rFonts w:ascii="Times New Roman" w:hAnsi="Times New Roman"/>
                <w:sz w:val="24"/>
              </w:rPr>
              <w:t>Datum otkrića jest datum kada je institucija saznala za štetni događaj povezan s operativnim rizikom.</w:t>
            </w:r>
          </w:p>
        </w:tc>
      </w:tr>
      <w:tr w:rsidR="00FD54FC" w:rsidRPr="00A30C4C" w14:paraId="5D4DB782" w14:textId="77777777" w:rsidTr="00672D2A">
        <w:tc>
          <w:tcPr>
            <w:tcW w:w="959" w:type="dxa"/>
            <w:shd w:val="clear" w:color="auto" w:fill="auto"/>
          </w:tcPr>
          <w:p w14:paraId="08468149" w14:textId="77777777" w:rsidR="00FD54FC" w:rsidRPr="00A30C4C"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14:paraId="13DA8006" w14:textId="650648BF" w:rsidR="00FD54FC" w:rsidRPr="00A30C4C"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Vrste štetnih događaja</w:t>
            </w:r>
          </w:p>
          <w:p w14:paraId="406E29FD" w14:textId="533AC5CE" w:rsidR="00FD54FC" w:rsidRPr="00A30C4C" w:rsidRDefault="00F41508" w:rsidP="00EB6FC2">
            <w:pPr>
              <w:rPr>
                <w:rFonts w:ascii="Times New Roman" w:hAnsi="Times New Roman"/>
                <w:sz w:val="24"/>
              </w:rPr>
            </w:pPr>
            <w:r>
              <w:rPr>
                <w:rFonts w:ascii="Times New Roman" w:hAnsi="Times New Roman"/>
                <w:sz w:val="24"/>
              </w:rPr>
              <w:t>Vrste štetnih događaja iz članka 324. CRR-a</w:t>
            </w:r>
          </w:p>
        </w:tc>
      </w:tr>
      <w:tr w:rsidR="00FD54FC" w:rsidRPr="00A30C4C" w14:paraId="1D660F38" w14:textId="77777777" w:rsidTr="00672D2A">
        <w:tc>
          <w:tcPr>
            <w:tcW w:w="959" w:type="dxa"/>
            <w:shd w:val="clear" w:color="auto" w:fill="auto"/>
          </w:tcPr>
          <w:p w14:paraId="0985E5F3" w14:textId="77777777" w:rsidR="00FD54FC" w:rsidRPr="00A30C4C"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14:paraId="70D34815"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w:t>
            </w:r>
          </w:p>
          <w:p w14:paraId="74813F4B" w14:textId="568D2C1B" w:rsidR="00FD54FC" w:rsidRPr="00A30C4C" w:rsidRDefault="00FD54FC" w:rsidP="0023276A">
            <w:pPr>
              <w:rPr>
                <w:rFonts w:ascii="Times New Roman" w:hAnsi="Times New Roman"/>
                <w:sz w:val="24"/>
              </w:rPr>
            </w:pPr>
            <w:r>
              <w:rPr>
                <w:rFonts w:ascii="Times New Roman" w:hAnsi="Times New Roman"/>
                <w:sz w:val="24"/>
              </w:rPr>
              <w:t>Bruto gubitak koji se odnosi na štetni događaj iskazan u redcima 0020, 0120 itd. obrasca C 17.01.</w:t>
            </w:r>
          </w:p>
        </w:tc>
      </w:tr>
      <w:tr w:rsidR="00FD54FC" w:rsidRPr="00A30C4C" w14:paraId="566DE2EB" w14:textId="77777777" w:rsidTr="00672D2A">
        <w:tc>
          <w:tcPr>
            <w:tcW w:w="959" w:type="dxa"/>
            <w:shd w:val="clear" w:color="auto" w:fill="auto"/>
          </w:tcPr>
          <w:p w14:paraId="6F628B44" w14:textId="77777777" w:rsidR="00FD54FC" w:rsidRPr="00A30C4C"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14:paraId="3285AB30"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ne uključujući izravne povrate</w:t>
            </w:r>
          </w:p>
          <w:p w14:paraId="4D05111A" w14:textId="7607C8F4" w:rsidR="00FD54FC" w:rsidRPr="00A30C4C" w:rsidRDefault="00FD54FC" w:rsidP="0023276A">
            <w:pPr>
              <w:rPr>
                <w:rFonts w:ascii="Times New Roman" w:hAnsi="Times New Roman"/>
                <w:sz w:val="24"/>
              </w:rPr>
            </w:pPr>
            <w:r>
              <w:rPr>
                <w:rFonts w:ascii="Times New Roman" w:hAnsi="Times New Roman"/>
                <w:sz w:val="24"/>
              </w:rPr>
              <w:lastRenderedPageBreak/>
              <w:t>Bruto gubitak koji se odnosi na štetni događaj iskazan u redcima 0020, 0120 itd. obrasca C 17.01, isključujući izravne povrate koji se odnose na taj štetni događaj.</w:t>
            </w:r>
          </w:p>
        </w:tc>
      </w:tr>
      <w:tr w:rsidR="00FD54FC" w:rsidRPr="00A30C4C" w14:paraId="333A6C2C" w14:textId="77777777" w:rsidTr="00672D2A">
        <w:tc>
          <w:tcPr>
            <w:tcW w:w="959" w:type="dxa"/>
            <w:shd w:val="clear" w:color="auto" w:fill="auto"/>
          </w:tcPr>
          <w:p w14:paraId="50A72E5B" w14:textId="77777777" w:rsidR="00FD54FC" w:rsidRPr="00A30C4C" w:rsidRDefault="00C93FC2" w:rsidP="00FD54FC">
            <w:pPr>
              <w:rPr>
                <w:rFonts w:ascii="Times New Roman" w:hAnsi="Times New Roman"/>
                <w:sz w:val="24"/>
              </w:rPr>
            </w:pPr>
            <w:r>
              <w:rPr>
                <w:rFonts w:ascii="Times New Roman" w:hAnsi="Times New Roman"/>
                <w:sz w:val="24"/>
              </w:rPr>
              <w:lastRenderedPageBreak/>
              <w:t>0080 – 0160</w:t>
            </w:r>
          </w:p>
        </w:tc>
        <w:tc>
          <w:tcPr>
            <w:tcW w:w="8329" w:type="dxa"/>
            <w:shd w:val="clear" w:color="auto" w:fill="auto"/>
          </w:tcPr>
          <w:p w14:paraId="38AA42DC"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Bruto gubitak prema poslovnoj liniji</w:t>
            </w:r>
          </w:p>
          <w:p w14:paraId="76D3B7AD" w14:textId="7C485E6B" w:rsidR="00FD54FC" w:rsidRPr="00A30C4C" w:rsidRDefault="00FD54FC" w:rsidP="00AB6610">
            <w:pPr>
              <w:rPr>
                <w:rFonts w:ascii="Times New Roman" w:hAnsi="Times New Roman"/>
                <w:sz w:val="24"/>
              </w:rPr>
            </w:pPr>
            <w:r>
              <w:rPr>
                <w:rFonts w:ascii="Times New Roman" w:hAnsi="Times New Roman"/>
                <w:sz w:val="24"/>
              </w:rPr>
              <w:t>Bruto gubitak kako je iskazan u stupcu 0060 pripisuje se relevantnim poslovnim linijama iz članka 317. stavka 4. tablice 2. CRR-a i članka 322. stavka 3. točke (b) CRR-a.</w:t>
            </w:r>
          </w:p>
        </w:tc>
      </w:tr>
      <w:tr w:rsidR="00FD54FC" w:rsidRPr="00A30C4C" w14:paraId="26276203" w14:textId="77777777" w:rsidTr="00672D2A">
        <w:tc>
          <w:tcPr>
            <w:tcW w:w="959" w:type="dxa"/>
            <w:shd w:val="clear" w:color="auto" w:fill="auto"/>
          </w:tcPr>
          <w:p w14:paraId="6354A56E" w14:textId="77777777" w:rsidR="00FD54FC" w:rsidRPr="00A30C4C"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14:paraId="415B57CF"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Naziv pravnog subjekta</w:t>
            </w:r>
          </w:p>
          <w:p w14:paraId="68447AC9" w14:textId="77777777" w:rsidR="00FD54FC" w:rsidRPr="00A30C4C" w:rsidRDefault="00FD54FC" w:rsidP="00FD54FC">
            <w:pPr>
              <w:rPr>
                <w:rFonts w:ascii="Times New Roman" w:hAnsi="Times New Roman"/>
                <w:sz w:val="24"/>
              </w:rPr>
            </w:pPr>
            <w:r>
              <w:rPr>
                <w:rFonts w:ascii="Times New Roman" w:hAnsi="Times New Roman"/>
                <w:sz w:val="24"/>
              </w:rPr>
              <w:t>Naziv pravnog subjekta kako je navedeno u stupcu 010 obrasca C 06.02 u kojemu se dogodio gubitak ili najveći udio gubitka ako je pogođeno nekoliko subjekata.</w:t>
            </w:r>
          </w:p>
        </w:tc>
      </w:tr>
      <w:tr w:rsidR="00FD54FC" w:rsidRPr="00A30C4C" w14:paraId="7F2AE553" w14:textId="77777777" w:rsidTr="00672D2A">
        <w:tc>
          <w:tcPr>
            <w:tcW w:w="959" w:type="dxa"/>
            <w:shd w:val="clear" w:color="auto" w:fill="auto"/>
          </w:tcPr>
          <w:p w14:paraId="4FE7E3A2" w14:textId="77777777" w:rsidR="00FD54FC" w:rsidRPr="00A30C4C"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14:paraId="0E148FD4"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Identifikacijski broj pravnog subjekta</w:t>
            </w:r>
          </w:p>
          <w:p w14:paraId="45DE608D" w14:textId="77777777" w:rsidR="00FD54FC" w:rsidRPr="00A30C4C" w:rsidRDefault="00FD54FC" w:rsidP="00FD54FC">
            <w:pPr>
              <w:rPr>
                <w:rFonts w:ascii="Times New Roman" w:hAnsi="Times New Roman"/>
                <w:sz w:val="24"/>
              </w:rPr>
            </w:pPr>
            <w:r>
              <w:rPr>
                <w:rFonts w:ascii="Times New Roman" w:hAnsi="Times New Roman"/>
                <w:sz w:val="24"/>
              </w:rPr>
              <w:t>Oznaka LEI pravnog subjekta kako je navedeno u stupcu 025 obrasca C 06.02 u kojemu se dogodio gubitak ili najveći udio gubitka ako je pogođeno nekoliko subjekata.</w:t>
            </w:r>
          </w:p>
        </w:tc>
      </w:tr>
      <w:tr w:rsidR="00FD54FC" w:rsidRPr="00A30C4C" w14:paraId="14CE4235" w14:textId="77777777" w:rsidTr="00672D2A">
        <w:tc>
          <w:tcPr>
            <w:tcW w:w="959" w:type="dxa"/>
            <w:shd w:val="clear" w:color="auto" w:fill="auto"/>
          </w:tcPr>
          <w:p w14:paraId="2BAC94C5" w14:textId="77777777" w:rsidR="00FD54FC" w:rsidRPr="00A30C4C"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14:paraId="16D40789"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Poslovna jedinica</w:t>
            </w:r>
          </w:p>
          <w:p w14:paraId="5F31CE90" w14:textId="77777777" w:rsidR="00FD54FC" w:rsidRPr="00A30C4C" w:rsidRDefault="00FD54FC" w:rsidP="00FD54FC">
            <w:pPr>
              <w:rPr>
                <w:rFonts w:ascii="Times New Roman" w:hAnsi="Times New Roman"/>
                <w:sz w:val="24"/>
              </w:rPr>
            </w:pPr>
            <w:r>
              <w:rPr>
                <w:rFonts w:ascii="Times New Roman" w:hAnsi="Times New Roman"/>
                <w:sz w:val="24"/>
              </w:rPr>
              <w:t>Poslovna jedinica ili korporativni odjel institucije u kojemu se dogodio gubitak ili najveći udio gubitka ako je pogođeno nekoliko poslovnih jedinica ili korporativnih odjela.</w:t>
            </w:r>
          </w:p>
        </w:tc>
      </w:tr>
      <w:tr w:rsidR="00FD54FC" w:rsidRPr="00A30C4C" w14:paraId="2E2FC3F2" w14:textId="77777777" w:rsidTr="00672D2A">
        <w:tc>
          <w:tcPr>
            <w:tcW w:w="959" w:type="dxa"/>
            <w:shd w:val="clear" w:color="auto" w:fill="auto"/>
          </w:tcPr>
          <w:p w14:paraId="47CEA134" w14:textId="77777777" w:rsidR="00FD54FC" w:rsidRPr="00A30C4C"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14:paraId="5D0B1956"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Opis</w:t>
            </w:r>
          </w:p>
          <w:p w14:paraId="0DD7E318" w14:textId="7F5B2E78" w:rsidR="00FD54FC" w:rsidRPr="00A30C4C" w:rsidRDefault="00FD54FC" w:rsidP="00FD239F">
            <w:pPr>
              <w:rPr>
                <w:rFonts w:ascii="Times New Roman" w:hAnsi="Times New Roman"/>
                <w:sz w:val="24"/>
              </w:rPr>
            </w:pPr>
            <w:r>
              <w:rPr>
                <w:rFonts w:ascii="Times New Roman" w:hAnsi="Times New Roman"/>
                <w:sz w:val="24"/>
              </w:rPr>
              <w:t xml:space="preserve">Narativni opis štetnog događaja, prema potrebi općenit ili </w:t>
            </w:r>
            <w:proofErr w:type="spellStart"/>
            <w:r>
              <w:rPr>
                <w:rFonts w:ascii="Times New Roman" w:hAnsi="Times New Roman"/>
                <w:sz w:val="24"/>
              </w:rPr>
              <w:t>anonimiziran</w:t>
            </w:r>
            <w:proofErr w:type="spellEnd"/>
            <w:r>
              <w:rPr>
                <w:rFonts w:ascii="Times New Roman" w:hAnsi="Times New Roman"/>
                <w:sz w:val="24"/>
              </w:rPr>
              <w:t>, koji sadržava barem informacije o samom događaju i informacije o pokretačima ili uzrocima štetnog događaja ako su poznati.</w:t>
            </w:r>
          </w:p>
        </w:tc>
      </w:tr>
    </w:tbl>
    <w:p w14:paraId="797CE58A" w14:textId="77777777" w:rsidR="00FD54FC" w:rsidRPr="00A30C4C" w:rsidRDefault="00FD54FC" w:rsidP="00AC6255">
      <w:pPr>
        <w:spacing w:after="0"/>
        <w:rPr>
          <w:rFonts w:ascii="Times New Roman" w:hAnsi="Times New Roman"/>
          <w:sz w:val="24"/>
        </w:rPr>
      </w:pPr>
    </w:p>
    <w:p w14:paraId="477EDC0A" w14:textId="77777777" w:rsidR="00AC6255" w:rsidRPr="00A30C4C" w:rsidRDefault="00AC6255">
      <w:pPr>
        <w:spacing w:before="0" w:after="0"/>
        <w:jc w:val="left"/>
        <w:rPr>
          <w:rStyle w:val="InstructionsTabelleText"/>
          <w:rFonts w:ascii="Times New Roman" w:hAnsi="Times New Roman"/>
          <w:sz w:val="24"/>
        </w:rPr>
      </w:pPr>
      <w:r>
        <w:br w:type="page"/>
      </w:r>
    </w:p>
    <w:p w14:paraId="68CC3DA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484" w:name="_Toc295829995"/>
      <w:bookmarkStart w:id="485" w:name="_Toc262566425"/>
      <w:bookmarkStart w:id="486" w:name="_Toc308426671"/>
      <w:bookmarkStart w:id="487" w:name="_Toc310415056"/>
      <w:bookmarkStart w:id="488" w:name="_Toc360188391"/>
      <w:bookmarkStart w:id="489" w:name="_Toc473561031"/>
      <w:bookmarkStart w:id="490" w:name="_Toc30677702"/>
      <w:r>
        <w:rPr>
          <w:rFonts w:ascii="Times New Roman" w:hAnsi="Times New Roman"/>
          <w:sz w:val="24"/>
          <w:u w:val="none"/>
        </w:rPr>
        <w:lastRenderedPageBreak/>
        <w:t>5.</w:t>
      </w:r>
      <w:r>
        <w:rPr>
          <w:rFonts w:ascii="Times New Roman" w:hAnsi="Times New Roman"/>
          <w:sz w:val="24"/>
          <w:u w:val="none"/>
        </w:rPr>
        <w:tab/>
      </w:r>
      <w:r>
        <w:rPr>
          <w:rFonts w:ascii="Times New Roman" w:hAnsi="Times New Roman"/>
          <w:sz w:val="24"/>
        </w:rPr>
        <w:t>Obrasci za tržišni rizik</w:t>
      </w:r>
      <w:bookmarkEnd w:id="484"/>
      <w:bookmarkEnd w:id="485"/>
      <w:bookmarkEnd w:id="486"/>
      <w:bookmarkEnd w:id="487"/>
      <w:bookmarkEnd w:id="488"/>
      <w:bookmarkEnd w:id="489"/>
      <w:bookmarkEnd w:id="490"/>
    </w:p>
    <w:p w14:paraId="7E671213" w14:textId="144BC71D" w:rsidR="000B0B09" w:rsidRPr="00A30C4C" w:rsidRDefault="00125707" w:rsidP="00C37B29">
      <w:pPr>
        <w:pStyle w:val="InstructionsText2"/>
        <w:numPr>
          <w:ilvl w:val="0"/>
          <w:numId w:val="0"/>
        </w:numPr>
        <w:ind w:left="993"/>
      </w:pPr>
      <w:bookmarkStart w:id="491" w:name="_Toc308426672"/>
      <w:r>
        <w:t>137.</w:t>
      </w:r>
      <w:r>
        <w:tab/>
        <w:t xml:space="preserve"> Navedene se upute odnose na obrasce za izvješćivanje o izračunu kapitalnih zahtjeva u skladu sa standardiziranim pristupom za valutni rizik (MKR SA FX), robni rizik (MKS SA COM), kamatni rizik (MKS SA TDI, MKR SA SEC, MKR SA CTP) i rizik vlasničkih instrumenata (MKS SA EQU). Osim toga, upute za obrazac za izvješćivanje o izračunu kapitalnih zahtjeva u skladu s pristupom internih modela (MKR IM) uključene su u ovom dijelu. </w:t>
      </w:r>
    </w:p>
    <w:p w14:paraId="532D693F" w14:textId="683C2F49" w:rsidR="000B0B09" w:rsidRPr="00A30C4C" w:rsidRDefault="00125707" w:rsidP="00C37B29">
      <w:pPr>
        <w:pStyle w:val="InstructionsText2"/>
        <w:numPr>
          <w:ilvl w:val="0"/>
          <w:numId w:val="0"/>
        </w:numPr>
        <w:ind w:left="993"/>
      </w:pPr>
      <w:r>
        <w:t>138.</w:t>
      </w:r>
      <w:r>
        <w:tab/>
        <w:t xml:space="preserve"> Pozicijski rizik za dužnički ili vlasnički instrument dijeli se u dvije komponente radi izračuna kapitalnog zahtjeva povezanog s njim. Prva komponenta je specifični rizik — to je rizik promjene cijene spomenutog instrumenta radi faktora povezanih s izdavateljem ili, kad je riječ o izvedenicama, izdavateljem odnosnog instrumenta. Druga komponenta obuhvaća opći rizik — to je rizik promjene cijene instrumenta zbog (kad je riječ o dužničkim instrumentima ili izvedenicama dužničkih instrumenata kojima se trguje) promjene razine kamatnih stopa ili (kad je riječ o vlasničkim instrumentima ili izvedenicama vlasničkih instrumenata) općih kretanja na tržištu vlasničkih instrumenata koja nisu povezana s posebnim karakteristikama pojedinih vrijednosnih papira. </w:t>
      </w:r>
      <w:bookmarkEnd w:id="491"/>
      <w:r>
        <w:t xml:space="preserve">Opći tretman specifičnih instrumenata i postupaka </w:t>
      </w:r>
      <w:proofErr w:type="spellStart"/>
      <w:r>
        <w:t>netiranja</w:t>
      </w:r>
      <w:proofErr w:type="spellEnd"/>
      <w:r>
        <w:t xml:space="preserve"> naveden je u člancima od 326. do 333. CRR-a. </w:t>
      </w:r>
    </w:p>
    <w:p w14:paraId="102B89F4"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492" w:name="_Toc262566426"/>
      <w:bookmarkStart w:id="493" w:name="_Toc295829996"/>
      <w:bookmarkStart w:id="494" w:name="_Toc308426673"/>
      <w:bookmarkStart w:id="495" w:name="_Toc310415057"/>
      <w:bookmarkStart w:id="496" w:name="_Toc360188392"/>
      <w:bookmarkStart w:id="497" w:name="_Toc473561032"/>
      <w:bookmarkStart w:id="498" w:name="_Toc30677703"/>
      <w:r>
        <w:rPr>
          <w:rFonts w:ascii="Times New Roman" w:hAnsi="Times New Roman"/>
          <w:sz w:val="24"/>
          <w:u w:val="none"/>
        </w:rPr>
        <w:t>5.1.</w:t>
      </w:r>
      <w:r>
        <w:rPr>
          <w:rFonts w:ascii="Times New Roman" w:hAnsi="Times New Roman"/>
          <w:sz w:val="24"/>
          <w:u w:val="none"/>
        </w:rPr>
        <w:tab/>
      </w:r>
      <w:r>
        <w:rPr>
          <w:rFonts w:ascii="Times New Roman" w:hAnsi="Times New Roman"/>
          <w:sz w:val="24"/>
        </w:rPr>
        <w:t xml:space="preserve">C 18.00 – Tržišni rizik: </w:t>
      </w:r>
      <w:bookmarkStart w:id="499" w:name="_Toc239157393"/>
      <w:r>
        <w:rPr>
          <w:rFonts w:ascii="Times New Roman" w:hAnsi="Times New Roman"/>
          <w:sz w:val="24"/>
        </w:rPr>
        <w:t>standardizirani pristup pozicijskim rizicima dužničkih instrumenata kojima se trguje</w:t>
      </w:r>
      <w:bookmarkEnd w:id="499"/>
      <w:bookmarkEnd w:id="492"/>
      <w:bookmarkEnd w:id="493"/>
      <w:bookmarkEnd w:id="494"/>
      <w:bookmarkEnd w:id="495"/>
      <w:bookmarkEnd w:id="496"/>
      <w:r>
        <w:rPr>
          <w:rFonts w:ascii="Times New Roman" w:hAnsi="Times New Roman"/>
          <w:sz w:val="24"/>
        </w:rPr>
        <w:t xml:space="preserve"> (MKR SA TDI)</w:t>
      </w:r>
      <w:bookmarkEnd w:id="497"/>
      <w:bookmarkEnd w:id="498"/>
    </w:p>
    <w:p w14:paraId="715816FA"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00" w:name="_Toc262566427"/>
      <w:bookmarkStart w:id="501" w:name="_Toc295829997"/>
      <w:bookmarkStart w:id="502" w:name="_Toc308426674"/>
      <w:bookmarkStart w:id="503" w:name="_Toc310415058"/>
      <w:bookmarkStart w:id="504" w:name="_Toc360188393"/>
      <w:bookmarkStart w:id="505" w:name="_Toc473561033"/>
      <w:bookmarkStart w:id="506" w:name="_Toc30677704"/>
      <w:r>
        <w:rPr>
          <w:rFonts w:ascii="Times New Roman" w:hAnsi="Times New Roman"/>
          <w:sz w:val="24"/>
          <w:u w:val="none"/>
        </w:rPr>
        <w:t>5.1.1.</w:t>
      </w:r>
      <w:r>
        <w:rPr>
          <w:rFonts w:ascii="Times New Roman" w:hAnsi="Times New Roman"/>
          <w:sz w:val="24"/>
          <w:u w:val="none"/>
        </w:rPr>
        <w:tab/>
      </w:r>
      <w:r>
        <w:rPr>
          <w:rFonts w:ascii="Times New Roman" w:hAnsi="Times New Roman"/>
          <w:sz w:val="24"/>
        </w:rPr>
        <w:t>Opće napomene</w:t>
      </w:r>
      <w:bookmarkEnd w:id="500"/>
      <w:bookmarkEnd w:id="501"/>
      <w:bookmarkEnd w:id="502"/>
      <w:bookmarkEnd w:id="503"/>
      <w:bookmarkEnd w:id="504"/>
      <w:bookmarkEnd w:id="505"/>
      <w:bookmarkEnd w:id="506"/>
    </w:p>
    <w:p w14:paraId="5B765DA5" w14:textId="38512066" w:rsidR="000B0B09" w:rsidRPr="00A30C4C" w:rsidRDefault="00125707" w:rsidP="00C37B29">
      <w:pPr>
        <w:pStyle w:val="InstructionsText2"/>
        <w:numPr>
          <w:ilvl w:val="0"/>
          <w:numId w:val="0"/>
        </w:numPr>
        <w:ind w:left="993"/>
      </w:pPr>
      <w:r>
        <w:t>139.</w:t>
      </w:r>
      <w:r>
        <w:tab/>
        <w:t xml:space="preserve"> Ovim su obrascem obuhvaćene pozicije i povezani kapitalni zahtjevi za pozicijske rizike dužničkih instrumenata kojima se trguje u skladu sa standardiziranim pristupom (članak 102. i članak 105. stavak 1. CRR-a). Različiti rizici i metode dostupni u skladu s CRR-om raspoređeni su u redcima. Specifični rizik povezan s izloženostima uključenima u obrasce MKR SA SEC i MKR SA CTP potrebno je iskazati samo u obrascu s ukupnim podacima MKR SA TDI. Kapitalni zahtjevi iskazani u navedenim obrascima prenose se u rubriku {325;060} (</w:t>
      </w:r>
      <w:proofErr w:type="spellStart"/>
      <w:r>
        <w:t>sekuritizacije</w:t>
      </w:r>
      <w:proofErr w:type="spellEnd"/>
      <w:r>
        <w:t>) odnosno {330;060} (korelacijski portfelj namijenjen trgovanju).</w:t>
      </w:r>
    </w:p>
    <w:p w14:paraId="66F36146" w14:textId="77777777" w:rsidR="000B0B09" w:rsidRPr="00A30C4C" w:rsidRDefault="00125707" w:rsidP="00C37B29">
      <w:pPr>
        <w:pStyle w:val="InstructionsText2"/>
        <w:numPr>
          <w:ilvl w:val="0"/>
          <w:numId w:val="0"/>
        </w:numPr>
        <w:ind w:left="993"/>
      </w:pPr>
      <w:r>
        <w:t>140.</w:t>
      </w:r>
      <w:r>
        <w:tab/>
        <w:t xml:space="preserve"> Obrazac je potrebno popuniti zasebno za „ukupne podatke”, uključujući prethodno definirani popis sljedećih valuta: </w:t>
      </w:r>
      <w:bookmarkStart w:id="507" w:name="OLE_LINK1"/>
      <w:r>
        <w:t xml:space="preserve">EUR, ALL, BGN, CZK, DKK, EGP, GBP, HRK, HUF, ISK, JPY, MKD, NOK, PLN, RON, RUB, RSD, SEK, CHF, TRY, UAH, USD </w:t>
      </w:r>
      <w:bookmarkEnd w:id="507"/>
      <w:r>
        <w:t xml:space="preserve">i jedan preostali obrazac za sve ostale valute. </w:t>
      </w:r>
    </w:p>
    <w:p w14:paraId="21E7AE9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08" w:name="_Toc262566428"/>
      <w:bookmarkStart w:id="509" w:name="_Toc295829998"/>
      <w:bookmarkStart w:id="510" w:name="_Toc308426675"/>
      <w:bookmarkStart w:id="511" w:name="_Toc310415059"/>
      <w:bookmarkStart w:id="512" w:name="_Toc360188394"/>
      <w:bookmarkStart w:id="513" w:name="_Toc473561034"/>
      <w:bookmarkStart w:id="514" w:name="_Toc30677705"/>
      <w:r>
        <w:rPr>
          <w:rFonts w:ascii="Times New Roman" w:hAnsi="Times New Roman"/>
          <w:sz w:val="24"/>
          <w:u w:val="none"/>
        </w:rPr>
        <w:t>5.1.2.</w:t>
      </w:r>
      <w:r>
        <w:rPr>
          <w:rFonts w:ascii="Times New Roman" w:hAnsi="Times New Roman"/>
          <w:sz w:val="24"/>
          <w:u w:val="none"/>
        </w:rPr>
        <w:tab/>
      </w:r>
      <w:r>
        <w:rPr>
          <w:rFonts w:ascii="Times New Roman" w:hAnsi="Times New Roman"/>
          <w:sz w:val="24"/>
        </w:rPr>
        <w:t>Upute za specifične pozicije</w:t>
      </w:r>
      <w:bookmarkEnd w:id="508"/>
      <w:bookmarkEnd w:id="509"/>
      <w:bookmarkEnd w:id="510"/>
      <w:bookmarkEnd w:id="511"/>
      <w:bookmarkEnd w:id="512"/>
      <w:bookmarkEnd w:id="513"/>
      <w:bookmarkEnd w:id="5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182517AD" w14:textId="77777777" w:rsidTr="00672D2A">
        <w:trPr>
          <w:trHeight w:val="569"/>
        </w:trPr>
        <w:tc>
          <w:tcPr>
            <w:tcW w:w="8862" w:type="dxa"/>
            <w:gridSpan w:val="2"/>
            <w:shd w:val="clear" w:color="auto" w:fill="CCCCCC"/>
          </w:tcPr>
          <w:p w14:paraId="5020DF58"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A30C4C" w14:paraId="74254EDB" w14:textId="77777777" w:rsidTr="00672D2A">
        <w:tc>
          <w:tcPr>
            <w:tcW w:w="988" w:type="dxa"/>
          </w:tcPr>
          <w:p w14:paraId="620A001E"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14:paraId="34B3688C"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14:paraId="32AEBA14" w14:textId="1AC393D5" w:rsidR="000B0B09" w:rsidRPr="00A30C4C" w:rsidRDefault="000B0B09" w:rsidP="00BD2FE7">
            <w:pPr>
              <w:rPr>
                <w:rFonts w:ascii="Times New Roman" w:hAnsi="Times New Roman"/>
                <w:sz w:val="24"/>
              </w:rPr>
            </w:pPr>
            <w:r>
              <w:rPr>
                <w:rFonts w:ascii="Times New Roman" w:hAnsi="Times New Roman"/>
                <w:sz w:val="24"/>
              </w:rPr>
              <w:t xml:space="preserve">Članak 102. i članak 105. stavak 1. CRR-a To su bruto pozicije koje nisu </w:t>
            </w:r>
            <w:proofErr w:type="spellStart"/>
            <w:r>
              <w:rPr>
                <w:rFonts w:ascii="Times New Roman" w:hAnsi="Times New Roman"/>
                <w:sz w:val="24"/>
              </w:rPr>
              <w:t>netirane</w:t>
            </w:r>
            <w:proofErr w:type="spellEnd"/>
            <w:r>
              <w:rPr>
                <w:rFonts w:ascii="Times New Roman" w:hAnsi="Times New Roman"/>
                <w:sz w:val="24"/>
              </w:rPr>
              <w:t xml:space="preserve"> instrumentima, ali isključujući pozicije proizišle iz pružanja usluge provedbe ponude odnosno prodaje financijskih instrumenata uz obvezu otkupa koje su upisane ili su predmet </w:t>
            </w:r>
            <w:proofErr w:type="spellStart"/>
            <w:r>
              <w:rPr>
                <w:rFonts w:ascii="Times New Roman" w:hAnsi="Times New Roman"/>
                <w:sz w:val="24"/>
              </w:rPr>
              <w:t>potpokroviteljstva</w:t>
            </w:r>
            <w:proofErr w:type="spellEnd"/>
            <w:r>
              <w:rPr>
                <w:rFonts w:ascii="Times New Roman" w:hAnsi="Times New Roman"/>
                <w:sz w:val="24"/>
              </w:rPr>
              <w:t xml:space="preserve"> trećih strana u skladu s člankom 345. stavkom 1. prvom </w:t>
            </w:r>
            <w:proofErr w:type="spellStart"/>
            <w:r>
              <w:rPr>
                <w:rFonts w:ascii="Times New Roman" w:hAnsi="Times New Roman"/>
                <w:sz w:val="24"/>
              </w:rPr>
              <w:t>podtočkom</w:t>
            </w:r>
            <w:proofErr w:type="spellEnd"/>
            <w:r>
              <w:rPr>
                <w:rFonts w:ascii="Times New Roman" w:hAnsi="Times New Roman"/>
                <w:sz w:val="24"/>
              </w:rPr>
              <w:t xml:space="preserve"> drugom rečenicom CRR-a. Za razliku između dugih i </w:t>
            </w:r>
            <w:r>
              <w:rPr>
                <w:rFonts w:ascii="Times New Roman" w:hAnsi="Times New Roman"/>
                <w:sz w:val="24"/>
              </w:rPr>
              <w:lastRenderedPageBreak/>
              <w:t>kratkih pozicija, koja se primjenjuje i na te bruto pozicije, vidjeti članak 328. stavak 2. CRR-a.</w:t>
            </w:r>
          </w:p>
        </w:tc>
      </w:tr>
      <w:tr w:rsidR="000B0B09" w:rsidRPr="00A30C4C" w14:paraId="58994B05" w14:textId="77777777" w:rsidTr="00672D2A">
        <w:tc>
          <w:tcPr>
            <w:tcW w:w="988" w:type="dxa"/>
          </w:tcPr>
          <w:p w14:paraId="564F0D3C"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14:paraId="31BBA35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14:paraId="6AB5B979" w14:textId="777392E7" w:rsidR="000B0B09" w:rsidRPr="00A30C4C" w:rsidRDefault="000B0B09" w:rsidP="005B04C9">
            <w:pPr>
              <w:rPr>
                <w:rFonts w:ascii="Times New Roman" w:hAnsi="Times New Roman"/>
                <w:sz w:val="24"/>
              </w:rPr>
            </w:pPr>
            <w:r>
              <w:rPr>
                <w:rFonts w:ascii="Times New Roman" w:hAnsi="Times New Roman"/>
                <w:sz w:val="24"/>
              </w:rPr>
              <w:t>Članci od 327. do 329. i članak 334. CRR-a Za razliku između dugih i kratkih pozicija vidjeti članak 328. stavak 2. CRR-a.</w:t>
            </w:r>
          </w:p>
        </w:tc>
      </w:tr>
      <w:tr w:rsidR="000B0B09" w:rsidRPr="00A30C4C" w14:paraId="557B6B1E" w14:textId="77777777" w:rsidTr="00672D2A">
        <w:tc>
          <w:tcPr>
            <w:tcW w:w="988" w:type="dxa"/>
          </w:tcPr>
          <w:p w14:paraId="0BDFE68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14:paraId="279B3EC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14:paraId="476DAC65" w14:textId="2B09687E" w:rsidR="000B0B09" w:rsidRPr="00A30C4C" w:rsidRDefault="000B0B09" w:rsidP="005B04C9">
            <w:pPr>
              <w:rPr>
                <w:rFonts w:ascii="Times New Roman" w:hAnsi="Times New Roman"/>
                <w:b/>
                <w:bCs/>
                <w:sz w:val="24"/>
                <w:u w:val="single"/>
              </w:rPr>
            </w:pPr>
            <w:r>
              <w:rPr>
                <w:rFonts w:ascii="Times New Roman" w:hAnsi="Times New Roman"/>
                <w:sz w:val="24"/>
              </w:rPr>
              <w:t>Neto pozicije koje, u skladu s različitim pristupima koji se razmatraju u dijelu trećem glavi IV. poglavlju 2. CRR-a dobivaju kapitalni zahtjev.</w:t>
            </w:r>
          </w:p>
        </w:tc>
      </w:tr>
      <w:tr w:rsidR="000B0B09" w:rsidRPr="00A30C4C" w14:paraId="5EAA7670" w14:textId="77777777" w:rsidTr="00672D2A">
        <w:tc>
          <w:tcPr>
            <w:tcW w:w="988" w:type="dxa"/>
          </w:tcPr>
          <w:p w14:paraId="7AC9423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14:paraId="15FE8D3B"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14:paraId="0A2F966C" w14:textId="6172FA9B" w:rsidR="000B0B09" w:rsidRPr="00A30C4C" w:rsidRDefault="000B0B09" w:rsidP="005B04C9">
            <w:pPr>
              <w:rPr>
                <w:rFonts w:ascii="Times New Roman" w:hAnsi="Times New Roman"/>
                <w:b/>
                <w:bCs/>
                <w:sz w:val="24"/>
                <w:u w:val="single"/>
              </w:rPr>
            </w:pPr>
            <w:r>
              <w:rPr>
                <w:rFonts w:ascii="Times New Roman" w:hAnsi="Times New Roman"/>
                <w:sz w:val="24"/>
              </w:rPr>
              <w:t>Kapitalni zahtjev za sve relevantne pozicije u skladu s dijelom trećim glavom IV. poglavljem 2. CRR-a.</w:t>
            </w:r>
          </w:p>
        </w:tc>
      </w:tr>
      <w:tr w:rsidR="000B0B09" w:rsidRPr="00A30C4C" w14:paraId="15A8F05E" w14:textId="77777777" w:rsidTr="00672D2A">
        <w:tc>
          <w:tcPr>
            <w:tcW w:w="988" w:type="dxa"/>
          </w:tcPr>
          <w:p w14:paraId="4C8E924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14:paraId="148ECE11"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14:paraId="7A4A764A" w14:textId="0AB379D0" w:rsidR="000B0B09" w:rsidRPr="00A30C4C" w:rsidRDefault="00D21B29" w:rsidP="005B04C9">
            <w:pPr>
              <w:rPr>
                <w:rFonts w:ascii="Times New Roman" w:hAnsi="Times New Roman"/>
                <w:b/>
                <w:bCs/>
                <w:sz w:val="24"/>
                <w:u w:val="single"/>
              </w:rPr>
            </w:pPr>
            <w:r>
              <w:rPr>
                <w:rFonts w:ascii="Times New Roman" w:hAnsi="Times New Roman"/>
                <w:sz w:val="24"/>
              </w:rPr>
              <w:t xml:space="preserve">Članak 92. stavak 4. točka (b) CRR-a Rezultat množenja kapitalnih zahtjeva sa 12,5. </w:t>
            </w:r>
          </w:p>
        </w:tc>
      </w:tr>
    </w:tbl>
    <w:p w14:paraId="0D1A06D1"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30C4C" w14:paraId="660B3F69" w14:textId="77777777" w:rsidTr="00672D2A">
        <w:trPr>
          <w:trHeight w:val="533"/>
        </w:trPr>
        <w:tc>
          <w:tcPr>
            <w:tcW w:w="8862" w:type="dxa"/>
            <w:gridSpan w:val="2"/>
            <w:shd w:val="clear" w:color="auto" w:fill="CCCCCC"/>
          </w:tcPr>
          <w:p w14:paraId="7B4D7841"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A30C4C" w14:paraId="6E8D9E7C" w14:textId="77777777" w:rsidTr="00672D2A">
        <w:trPr>
          <w:trHeight w:val="1168"/>
        </w:trPr>
        <w:tc>
          <w:tcPr>
            <w:tcW w:w="987" w:type="dxa"/>
          </w:tcPr>
          <w:p w14:paraId="22C78DAA" w14:textId="2254D038"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14:paraId="5C92840E"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7BE0E9F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 U KNJIZI TRGOVANJA</w:t>
            </w:r>
          </w:p>
          <w:p w14:paraId="3900CB8C" w14:textId="03381506" w:rsidR="000B0B09" w:rsidRPr="00A30C4C" w:rsidRDefault="000B0B09" w:rsidP="00BD2FE7">
            <w:pPr>
              <w:rPr>
                <w:rFonts w:ascii="Times New Roman" w:hAnsi="Times New Roman"/>
                <w:sz w:val="24"/>
              </w:rPr>
            </w:pPr>
            <w:r>
              <w:rPr>
                <w:rFonts w:ascii="Times New Roman" w:hAnsi="Times New Roman"/>
                <w:sz w:val="24"/>
              </w:rPr>
              <w:t xml:space="preserve">Pozicije u dužničkim instrumentima kojima se trguje u knjizi trgovanja i njihovi odgovarajući kapitalni zahtjevi za pozicijski rizik u skladu s člankom 92. stavkom 3. točkom (b) </w:t>
            </w:r>
            <w:proofErr w:type="spellStart"/>
            <w:r>
              <w:rPr>
                <w:rFonts w:ascii="Times New Roman" w:hAnsi="Times New Roman"/>
                <w:sz w:val="24"/>
              </w:rPr>
              <w:t>podtočkom</w:t>
            </w:r>
            <w:proofErr w:type="spellEnd"/>
            <w:r>
              <w:rPr>
                <w:rFonts w:ascii="Times New Roman" w:hAnsi="Times New Roman"/>
                <w:sz w:val="24"/>
              </w:rPr>
              <w:t> i. CRR-a i dijelom trećim glavom IV. poglavljem 2. CRR-a iskazuju se ovisno o kategoriji rizika, dospijeću i korištenom pristupu.</w:t>
            </w:r>
          </w:p>
        </w:tc>
      </w:tr>
      <w:tr w:rsidR="000B0B09" w:rsidRPr="00A30C4C" w14:paraId="15D0D30A" w14:textId="77777777" w:rsidTr="00672D2A">
        <w:tc>
          <w:tcPr>
            <w:tcW w:w="987" w:type="dxa"/>
          </w:tcPr>
          <w:p w14:paraId="4A05F913"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14:paraId="62313BD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OPĆI RIZIK </w:t>
            </w:r>
          </w:p>
        </w:tc>
      </w:tr>
      <w:tr w:rsidR="000B0B09" w:rsidRPr="00A30C4C" w14:paraId="1A597333" w14:textId="77777777" w:rsidTr="00672D2A">
        <w:tc>
          <w:tcPr>
            <w:tcW w:w="987" w:type="dxa"/>
          </w:tcPr>
          <w:p w14:paraId="073CE1C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14:paraId="45AD68A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Izvedenice</w:t>
            </w:r>
          </w:p>
          <w:p w14:paraId="6A3F52D4" w14:textId="198B30EB" w:rsidR="000B0B09" w:rsidRPr="00A30C4C" w:rsidRDefault="000B0B09" w:rsidP="00BD2FE7">
            <w:pPr>
              <w:rPr>
                <w:rFonts w:ascii="Times New Roman" w:hAnsi="Times New Roman"/>
                <w:b/>
                <w:bCs/>
                <w:sz w:val="24"/>
                <w:u w:val="single"/>
              </w:rPr>
            </w:pPr>
            <w:r>
              <w:rPr>
                <w:rFonts w:ascii="Times New Roman" w:hAnsi="Times New Roman"/>
                <w:sz w:val="24"/>
              </w:rPr>
              <w:t>Izvedenice uključene u izračun kamatnog rizika pozicija iz knjige trgovanja, uzimajući u obzir članke od 328. do 331. CRR-a ako su primjenjivi.</w:t>
            </w:r>
          </w:p>
        </w:tc>
      </w:tr>
      <w:tr w:rsidR="000B0B09" w:rsidRPr="00A30C4C" w14:paraId="4066369A" w14:textId="77777777" w:rsidTr="00672D2A">
        <w:tc>
          <w:tcPr>
            <w:tcW w:w="987" w:type="dxa"/>
          </w:tcPr>
          <w:p w14:paraId="74A5196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14:paraId="7CCBA4BB" w14:textId="77777777" w:rsidR="000B0B09" w:rsidRPr="007B2F8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Ostala imovina i obveze</w:t>
            </w:r>
          </w:p>
          <w:p w14:paraId="4019FF5C" w14:textId="77777777" w:rsidR="000B0B09" w:rsidRPr="00A30C4C" w:rsidRDefault="000B0B09" w:rsidP="00BD2FE7">
            <w:pPr>
              <w:rPr>
                <w:rFonts w:ascii="Times New Roman" w:hAnsi="Times New Roman"/>
                <w:b/>
                <w:bCs/>
                <w:sz w:val="24"/>
                <w:u w:val="single"/>
              </w:rPr>
            </w:pPr>
            <w:r>
              <w:rPr>
                <w:rFonts w:ascii="Times New Roman" w:hAnsi="Times New Roman"/>
                <w:sz w:val="24"/>
              </w:rPr>
              <w:t xml:space="preserve">Instrumenti osim izvedenica uključeni u izračun kamatnog rizika pozicija iz knjige trgovanja. </w:t>
            </w:r>
          </w:p>
        </w:tc>
      </w:tr>
      <w:tr w:rsidR="000B0B09" w:rsidRPr="00A30C4C" w14:paraId="40B19596" w14:textId="77777777" w:rsidTr="00672D2A">
        <w:tc>
          <w:tcPr>
            <w:tcW w:w="987" w:type="dxa"/>
          </w:tcPr>
          <w:p w14:paraId="2C49850B"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14:paraId="1B81BB5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KOJI SE TEMELJI NA DOSPIJEĆU</w:t>
            </w:r>
          </w:p>
          <w:p w14:paraId="22A8CC47" w14:textId="4118D35C" w:rsidR="000B0B09" w:rsidRPr="00A30C4C" w:rsidRDefault="000B0B09" w:rsidP="00BD2FE7">
            <w:pPr>
              <w:rPr>
                <w:rFonts w:ascii="Times New Roman" w:hAnsi="Times New Roman"/>
                <w:b/>
                <w:bCs/>
                <w:sz w:val="24"/>
                <w:u w:val="single"/>
              </w:rPr>
            </w:pPr>
            <w:r>
              <w:rPr>
                <w:rFonts w:ascii="Times New Roman" w:hAnsi="Times New Roman"/>
                <w:sz w:val="24"/>
              </w:rPr>
              <w:t>Pozicije u dužničkim instrumentima kojima se trguje koje podliježu pristupu koji se temelji na dospijeću iz članka 339. stavaka od 1. do 8. CRR-a i odgovarajućim kapitalnim zahtjevima izračunanima u skladu s člankom 339. stavkom 9. CRR-a. Pozicije se dijele prema zonama 1, 2 i 3, a te zone prema dospijeću instrumenata.</w:t>
            </w:r>
          </w:p>
        </w:tc>
      </w:tr>
      <w:tr w:rsidR="000B0B09" w:rsidRPr="00A30C4C" w14:paraId="401470EE" w14:textId="77777777" w:rsidTr="00672D2A">
        <w:tc>
          <w:tcPr>
            <w:tcW w:w="987" w:type="dxa"/>
          </w:tcPr>
          <w:p w14:paraId="77C47481"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14:paraId="46B670F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OPĆI RIZIK PRISTUP KOJI SE TEMELJI NA TRAJANJU</w:t>
            </w:r>
          </w:p>
          <w:p w14:paraId="656A74EC" w14:textId="2DE28CB3" w:rsidR="000B0B09" w:rsidRPr="00A30C4C" w:rsidRDefault="000B0B09" w:rsidP="0002267E">
            <w:pPr>
              <w:rPr>
                <w:rFonts w:ascii="Times New Roman" w:hAnsi="Times New Roman"/>
                <w:b/>
                <w:bCs/>
                <w:sz w:val="24"/>
                <w:u w:val="single"/>
              </w:rPr>
            </w:pPr>
            <w:r>
              <w:rPr>
                <w:rFonts w:ascii="Times New Roman" w:hAnsi="Times New Roman"/>
                <w:sz w:val="24"/>
              </w:rPr>
              <w:t xml:space="preserve">Pozicije u dužničkim instrumentima kojima se trguje koje podliježu pristupu koji se temelji na trajanju iz članka 340. stavaka od 1. do 6. CRR-a i odgovarajućim </w:t>
            </w:r>
            <w:r>
              <w:rPr>
                <w:rFonts w:ascii="Times New Roman" w:hAnsi="Times New Roman"/>
                <w:sz w:val="24"/>
              </w:rPr>
              <w:lastRenderedPageBreak/>
              <w:t>kapitalnim zahtjevima izračunanima u skladu s člankom 340. stavkom 7. CRR-a. Pozicija se dijeli prema zonama 1, 2 i 3.</w:t>
            </w:r>
          </w:p>
        </w:tc>
      </w:tr>
      <w:tr w:rsidR="000B0B09" w:rsidRPr="00A30C4C" w14:paraId="56133F49" w14:textId="77777777" w:rsidTr="00672D2A">
        <w:tc>
          <w:tcPr>
            <w:tcW w:w="987" w:type="dxa"/>
          </w:tcPr>
          <w:p w14:paraId="6B3D2337"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875" w:type="dxa"/>
          </w:tcPr>
          <w:p w14:paraId="237CDD2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SPECIFIČNI RIZIK</w:t>
            </w:r>
          </w:p>
          <w:p w14:paraId="06C0BA9E" w14:textId="77777777" w:rsidR="000B0B09" w:rsidRPr="00A30C4C" w:rsidRDefault="000B0B09" w:rsidP="00BD2FE7">
            <w:pPr>
              <w:rPr>
                <w:rFonts w:ascii="Times New Roman" w:hAnsi="Times New Roman"/>
                <w:sz w:val="24"/>
              </w:rPr>
            </w:pPr>
            <w:r>
              <w:rPr>
                <w:rFonts w:ascii="Times New Roman" w:hAnsi="Times New Roman"/>
                <w:sz w:val="24"/>
              </w:rPr>
              <w:t xml:space="preserve">Zbroj iznosa iskazanih u redcima 251, 325 i 330. </w:t>
            </w:r>
          </w:p>
          <w:p w14:paraId="3C48F607" w14:textId="005F7C7A" w:rsidR="000B0B09" w:rsidRPr="00A30C4C" w:rsidRDefault="000B0B09" w:rsidP="00BD2FE7">
            <w:pPr>
              <w:rPr>
                <w:rFonts w:ascii="Times New Roman" w:hAnsi="Times New Roman"/>
                <w:b/>
                <w:bCs/>
                <w:sz w:val="24"/>
                <w:u w:val="single"/>
              </w:rPr>
            </w:pPr>
            <w:r>
              <w:rPr>
                <w:rFonts w:ascii="Times New Roman" w:hAnsi="Times New Roman"/>
                <w:sz w:val="24"/>
              </w:rPr>
              <w:t>Pozicije u dužničkim instrumentima kojima se trguje koje podliježu kapitalnim zahtjevima za specifični rizik i odgovarajućim kapitalnim zahtjevima u skladu s člankom 92. stavkom 3. točkom (b), člankom 335., člankom 336. stavcima 1., 2. i 3. i člancima 337. i 338. CRR-a. Potrebno je uzeti u obzir i članak 327. stavak 1. zadnju rečenicu CRR-a.</w:t>
            </w:r>
          </w:p>
        </w:tc>
      </w:tr>
      <w:tr w:rsidR="000B0B09" w:rsidRPr="00A30C4C" w14:paraId="592D5F2E" w14:textId="77777777" w:rsidTr="00672D2A">
        <w:tc>
          <w:tcPr>
            <w:tcW w:w="987" w:type="dxa"/>
          </w:tcPr>
          <w:p w14:paraId="3B6FBE11"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14:paraId="48DB774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Kapitalni zahtjev za dužničke instrumente koji nisu predmet </w:t>
            </w:r>
            <w:proofErr w:type="spellStart"/>
            <w:r>
              <w:rPr>
                <w:rFonts w:ascii="Times New Roman" w:hAnsi="Times New Roman"/>
                <w:b/>
                <w:bCs/>
                <w:sz w:val="24"/>
                <w:u w:val="single"/>
              </w:rPr>
              <w:t>sekuritizacije</w:t>
            </w:r>
            <w:proofErr w:type="spellEnd"/>
          </w:p>
          <w:p w14:paraId="51195B9D" w14:textId="77777777" w:rsidR="000B0B09" w:rsidRPr="00A30C4C" w:rsidRDefault="000B0B09" w:rsidP="007B2F85">
            <w:pPr>
              <w:rPr>
                <w:rFonts w:ascii="Times New Roman" w:hAnsi="Times New Roman"/>
                <w:sz w:val="24"/>
              </w:rPr>
            </w:pPr>
            <w:r>
              <w:rPr>
                <w:rFonts w:ascii="Times New Roman" w:hAnsi="Times New Roman"/>
                <w:sz w:val="24"/>
              </w:rPr>
              <w:t>Zbroj iznosa iskazanih u redcima od 260 do 321.</w:t>
            </w:r>
          </w:p>
          <w:p w14:paraId="28AB4B51" w14:textId="37207696" w:rsidR="000B0B09" w:rsidRPr="00A30C4C" w:rsidRDefault="000B0B09" w:rsidP="00BD2FE7">
            <w:pPr>
              <w:rPr>
                <w:rFonts w:ascii="Times New Roman" w:hAnsi="Times New Roman"/>
                <w:sz w:val="24"/>
              </w:rPr>
            </w:pPr>
            <w:r>
              <w:rPr>
                <w:rFonts w:ascii="Times New Roman" w:hAnsi="Times New Roman"/>
                <w:sz w:val="24"/>
              </w:rPr>
              <w:t xml:space="preserve">Kapitalni zahtjev za kreditne izvedenice na osnovi n-tog nastanka statusa neispunjavanja obveza koje nisu dobile vanjski rejting izračunava se zbrajanjem pondera rizika referentnih subjekata (članak 332. stavak 1. točka (e) CRR-a i članak 332. stavak 1. drugi podstavak CRR-a – „odnosne izloženosti”). Kreditne izvedenice na osnovi n-tog nastanka statusa neispunjavanja obveza koje su dobile vanjski rejting (članak 332. stavak 1. treći podstavak CRR-a) iskazuju se zasebno u liniji 321. </w:t>
            </w:r>
          </w:p>
          <w:p w14:paraId="7D406BCD" w14:textId="2EC1B88B" w:rsidR="000B0B09" w:rsidRPr="001A741B" w:rsidRDefault="000B0B09" w:rsidP="00BD2FE7">
            <w:pPr>
              <w:rPr>
                <w:rFonts w:ascii="Times New Roman" w:hAnsi="Times New Roman"/>
                <w:sz w:val="24"/>
              </w:rPr>
            </w:pPr>
            <w:r>
              <w:rPr>
                <w:rFonts w:ascii="Times New Roman" w:hAnsi="Times New Roman"/>
                <w:sz w:val="24"/>
              </w:rPr>
              <w:t>Iskazivanje pozicija koje podliježu članku 336. stavku 3. CRR-a: Postoji poseban tretman za obveznice koje ispunjavaju uvjete za ponder rizika od 10 % u knjizi pozicija kojima se ne trguje u skladu s člankom 129. stavkom 3. CRR-a (pokrivene obveznice). Specifični kapitalni zahtjevi polovina su postotka druge kategorije u članka 336. tablici 1. CRR-a. Te pozicije moraju se rasporediti u retke 280–300 u skladu s preostalim rokom do konačnog dospijeća.</w:t>
            </w:r>
          </w:p>
          <w:p w14:paraId="176001AF" w14:textId="75838C4C" w:rsidR="000B0B09" w:rsidRPr="00A30C4C" w:rsidRDefault="00F41508" w:rsidP="0002267E">
            <w:pPr>
              <w:rPr>
                <w:rFonts w:ascii="Times New Roman" w:hAnsi="Times New Roman"/>
                <w:b/>
                <w:bCs/>
                <w:sz w:val="24"/>
                <w:u w:val="single"/>
              </w:rPr>
            </w:pPr>
            <w:r>
              <w:rPr>
                <w:rFonts w:ascii="Times New Roman" w:hAnsi="Times New Roman"/>
                <w:sz w:val="24"/>
              </w:rPr>
              <w:t xml:space="preserve">Ako je opći rizik kamatnih pozicija zaštićen kreditnom izvedenicom, primjenjuju se članci 346. i 347. CRR-a. </w:t>
            </w:r>
          </w:p>
        </w:tc>
      </w:tr>
      <w:tr w:rsidR="000B0B09" w:rsidRPr="00A30C4C" w14:paraId="17067F13" w14:textId="77777777" w:rsidTr="00672D2A">
        <w:tc>
          <w:tcPr>
            <w:tcW w:w="987" w:type="dxa"/>
          </w:tcPr>
          <w:p w14:paraId="3CA941ED" w14:textId="77777777" w:rsidR="000B0B09" w:rsidRPr="00A30C4C"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14:paraId="4452EF3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Kapitalni zahtjev za </w:t>
            </w:r>
            <w:proofErr w:type="spellStart"/>
            <w:r>
              <w:rPr>
                <w:rFonts w:ascii="Times New Roman" w:hAnsi="Times New Roman"/>
                <w:b/>
                <w:bCs/>
                <w:sz w:val="24"/>
                <w:u w:val="single"/>
              </w:rPr>
              <w:t>sekuritizacijske</w:t>
            </w:r>
            <w:proofErr w:type="spellEnd"/>
            <w:r>
              <w:rPr>
                <w:rFonts w:ascii="Times New Roman" w:hAnsi="Times New Roman"/>
                <w:b/>
                <w:bCs/>
                <w:sz w:val="24"/>
                <w:u w:val="single"/>
              </w:rPr>
              <w:t xml:space="preserve"> instrumente</w:t>
            </w:r>
          </w:p>
          <w:p w14:paraId="1126C2A9" w14:textId="64B5CA78" w:rsidR="00722A10" w:rsidRPr="00A30C4C"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610 obrasca MKR SA SEC. Ti ukupni kapitalni zahtjevi iskazuju se samo na razini obrasca s ukupnim podacima MKR SA TDI.</w:t>
            </w:r>
          </w:p>
        </w:tc>
      </w:tr>
      <w:tr w:rsidR="000B0B09" w:rsidRPr="00A30C4C" w14:paraId="55601A85" w14:textId="77777777" w:rsidTr="00672D2A">
        <w:tc>
          <w:tcPr>
            <w:tcW w:w="987" w:type="dxa"/>
          </w:tcPr>
          <w:p w14:paraId="6F45BFC9" w14:textId="77777777" w:rsidR="000B0B09" w:rsidRPr="00A30C4C"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14:paraId="61DB719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 za korelacijski portfelj namijenjen trgovanju</w:t>
            </w:r>
          </w:p>
          <w:p w14:paraId="50472B97" w14:textId="08E34275" w:rsidR="00722A10" w:rsidRPr="00A30C4C" w:rsidDel="00F27BD6" w:rsidRDefault="000B0B09" w:rsidP="0002267E">
            <w:pPr>
              <w:rPr>
                <w:rFonts w:ascii="Times New Roman" w:hAnsi="Times New Roman"/>
                <w:b/>
                <w:bCs/>
                <w:sz w:val="24"/>
                <w:u w:val="single"/>
              </w:rPr>
            </w:pPr>
            <w:r>
              <w:rPr>
                <w:rFonts w:ascii="Times New Roman" w:hAnsi="Times New Roman"/>
                <w:sz w:val="24"/>
              </w:rPr>
              <w:t>Ukupni kapitalni zahtjevi iskazani u stupcu 450 obrasca MKR SA CTP. Ti ukupni kapitalni zahtjevi iskazuju se samo na razini obrasca s ukupnim podacima MKR SA TDI.</w:t>
            </w:r>
          </w:p>
        </w:tc>
      </w:tr>
      <w:tr w:rsidR="000B0B09" w:rsidRPr="00A30C4C" w14:paraId="3E08FD25" w14:textId="77777777" w:rsidTr="00672D2A">
        <w:tc>
          <w:tcPr>
            <w:tcW w:w="987" w:type="dxa"/>
          </w:tcPr>
          <w:p w14:paraId="62E631E9"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14:paraId="3415B06E"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DODATNI ZAHTJEVI ZA OPCIJE (RIZICI OSIM DELTA-RIZIKA) </w:t>
            </w:r>
          </w:p>
          <w:p w14:paraId="06492815" w14:textId="0555D41E" w:rsidR="000B0B09" w:rsidRPr="00A30C4C" w:rsidRDefault="000B0B09" w:rsidP="00BD2FE7">
            <w:pPr>
              <w:rPr>
                <w:rFonts w:ascii="Times New Roman" w:hAnsi="Times New Roman"/>
                <w:sz w:val="24"/>
              </w:rPr>
            </w:pPr>
            <w:r>
              <w:rPr>
                <w:rFonts w:ascii="Times New Roman" w:hAnsi="Times New Roman"/>
                <w:sz w:val="24"/>
              </w:rPr>
              <w:t>Članak 329. stavak 3. CRR-a</w:t>
            </w:r>
          </w:p>
          <w:p w14:paraId="176CA52A" w14:textId="7989800D" w:rsidR="000B0B09" w:rsidRPr="00A30C4C" w:rsidRDefault="000B0B09" w:rsidP="0002267E">
            <w:pPr>
              <w:rPr>
                <w:rFonts w:ascii="Times New Roman" w:hAnsi="Times New Roman"/>
                <w:bCs/>
                <w:sz w:val="24"/>
              </w:rPr>
            </w:pPr>
            <w:r>
              <w:rPr>
                <w:rFonts w:ascii="Times New Roman" w:hAnsi="Times New Roman"/>
                <w:sz w:val="24"/>
              </w:rPr>
              <w:t>Dodatni zahtjevi za opcije povezani s rizicima osim delta-rizika iskazuju se raščlanjeni po metodi koja se koristi za njihov izračun.</w:t>
            </w:r>
          </w:p>
        </w:tc>
      </w:tr>
    </w:tbl>
    <w:p w14:paraId="79E459D1" w14:textId="77777777" w:rsidR="000B0B09" w:rsidRPr="00A30C4C"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15" w:name="_Toc294172370"/>
      <w:bookmarkStart w:id="516" w:name="_Toc295829999"/>
      <w:bookmarkStart w:id="517" w:name="_Toc308426676"/>
      <w:bookmarkStart w:id="518" w:name="_Toc310415060"/>
      <w:bookmarkStart w:id="519" w:name="_Toc360188395"/>
      <w:bookmarkStart w:id="520" w:name="_Toc473561035"/>
      <w:bookmarkStart w:id="521" w:name="_Toc30677706"/>
      <w:r>
        <w:rPr>
          <w:rFonts w:ascii="Times New Roman" w:hAnsi="Times New Roman"/>
          <w:sz w:val="24"/>
          <w:u w:val="none"/>
        </w:rPr>
        <w:lastRenderedPageBreak/>
        <w:t>5.2.</w:t>
      </w:r>
      <w:r>
        <w:rPr>
          <w:rFonts w:ascii="Times New Roman" w:hAnsi="Times New Roman"/>
          <w:sz w:val="24"/>
          <w:u w:val="none"/>
        </w:rPr>
        <w:tab/>
      </w:r>
      <w:r>
        <w:rPr>
          <w:rFonts w:ascii="Times New Roman" w:hAnsi="Times New Roman"/>
          <w:sz w:val="24"/>
        </w:rPr>
        <w:t>C 19.00 – TRŽIŠNI RIZIK: STANDARDIZIRANI PRISTUP SPECIFIČNOM RIZIKU U SEKURITIZACIJAMA (MKR SA SEC)</w:t>
      </w:r>
      <w:bookmarkEnd w:id="515"/>
      <w:bookmarkEnd w:id="516"/>
      <w:bookmarkEnd w:id="517"/>
      <w:bookmarkEnd w:id="518"/>
      <w:bookmarkEnd w:id="519"/>
      <w:bookmarkEnd w:id="520"/>
      <w:bookmarkEnd w:id="521"/>
    </w:p>
    <w:p w14:paraId="3DF4DE91"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22" w:name="_Toc294172371"/>
      <w:bookmarkStart w:id="523" w:name="_Toc295830000"/>
      <w:bookmarkStart w:id="524" w:name="_Toc308426677"/>
      <w:bookmarkStart w:id="525" w:name="_Toc310415061"/>
      <w:bookmarkStart w:id="526" w:name="_Toc360188396"/>
      <w:bookmarkStart w:id="527" w:name="_Toc473561036"/>
      <w:bookmarkStart w:id="528" w:name="_Toc30677707"/>
      <w:r>
        <w:rPr>
          <w:rFonts w:ascii="Times New Roman" w:hAnsi="Times New Roman"/>
          <w:sz w:val="24"/>
          <w:u w:val="none"/>
        </w:rPr>
        <w:t>5.2.1.</w:t>
      </w:r>
      <w:r>
        <w:rPr>
          <w:rFonts w:ascii="Times New Roman" w:hAnsi="Times New Roman"/>
          <w:sz w:val="24"/>
          <w:u w:val="none"/>
        </w:rPr>
        <w:tab/>
      </w:r>
      <w:r>
        <w:rPr>
          <w:rFonts w:ascii="Times New Roman" w:hAnsi="Times New Roman"/>
          <w:sz w:val="24"/>
        </w:rPr>
        <w:t>Opće napomene</w:t>
      </w:r>
      <w:bookmarkEnd w:id="522"/>
      <w:bookmarkEnd w:id="523"/>
      <w:bookmarkEnd w:id="524"/>
      <w:bookmarkEnd w:id="525"/>
      <w:bookmarkEnd w:id="526"/>
      <w:bookmarkEnd w:id="527"/>
      <w:bookmarkEnd w:id="528"/>
    </w:p>
    <w:p w14:paraId="760B423B" w14:textId="2B025BA0" w:rsidR="00FC6275" w:rsidRPr="00A30C4C" w:rsidRDefault="00FC6275" w:rsidP="00FC6275">
      <w:pPr>
        <w:pStyle w:val="InstructionsText2"/>
        <w:numPr>
          <w:ilvl w:val="0"/>
          <w:numId w:val="0"/>
        </w:numPr>
        <w:ind w:left="993"/>
      </w:pPr>
      <w:bookmarkStart w:id="529" w:name="_Toc294172372"/>
      <w:bookmarkStart w:id="530" w:name="_Toc295830001"/>
      <w:bookmarkStart w:id="531" w:name="_Toc308426678"/>
      <w:bookmarkStart w:id="532" w:name="_Toc310415062"/>
      <w:bookmarkStart w:id="533" w:name="_Toc360188397"/>
      <w:bookmarkStart w:id="534" w:name="_Toc473561037"/>
      <w:r>
        <w:t>141.</w:t>
      </w:r>
      <w:r>
        <w:tab/>
        <w:t xml:space="preserve"> U ovom se obrascu zahtijevaju informacije o pozicijama (sve/neto i duge/kratke) i povezanim kapitalnim zahtjevima za komponentu specifičnog rizika u pozicijskom riziku u </w:t>
      </w:r>
      <w:proofErr w:type="spellStart"/>
      <w:r>
        <w:t>sekuritizacijama</w:t>
      </w:r>
      <w:proofErr w:type="spellEnd"/>
      <w:r>
        <w:t>/</w:t>
      </w:r>
      <w:proofErr w:type="spellStart"/>
      <w:r>
        <w:t>resekuritizacijama</w:t>
      </w:r>
      <w:proofErr w:type="spellEnd"/>
      <w:r>
        <w:t xml:space="preserve"> koje se drže u knjizi trgovanja (nisu priznate za korelacijski portfelj namijenjen trgovanju) u skladu sa standardiziranim pristupom. </w:t>
      </w:r>
    </w:p>
    <w:p w14:paraId="28F8BE4E" w14:textId="3D12444A" w:rsidR="00FC6275" w:rsidRPr="00A30C4C" w:rsidRDefault="00FC6275" w:rsidP="00FC6275">
      <w:pPr>
        <w:pStyle w:val="InstructionsText2"/>
        <w:numPr>
          <w:ilvl w:val="0"/>
          <w:numId w:val="0"/>
        </w:numPr>
        <w:ind w:left="993"/>
      </w:pPr>
      <w:r>
        <w:t>142.</w:t>
      </w:r>
      <w:r>
        <w:tab/>
        <w:t xml:space="preserve"> U obrascu MKR SA SEC prikazani su kapitalni zahtjevi samo za specifični rizik </w:t>
      </w:r>
      <w:proofErr w:type="spellStart"/>
      <w:r>
        <w:t>sekuritizacijskih</w:t>
      </w:r>
      <w:proofErr w:type="spellEnd"/>
      <w:r>
        <w:t xml:space="preserve"> pozicija u skladu s člankom 335. CRR-a u vezi s člankom 337. CRR-a. Ako su </w:t>
      </w:r>
      <w:proofErr w:type="spellStart"/>
      <w:r>
        <w:t>sekuritizacijske</w:t>
      </w:r>
      <w:proofErr w:type="spellEnd"/>
      <w:r>
        <w:t xml:space="preserve"> pozicije iz knjige trgovanja zaštićene kreditnim izvedenicama, primjenjuju se članci 346. i 347. CRR-a. Postoji samo jedan obrazac za sve pozicije iz knjige trgovanja, bez obzira na pristup koji institucija koristi za određivanje pondera rizika za svaku poziciju u skladu s dijelom trećim glavom II. poglavljem 5. CRR-a. Kapitalni zahtjevi za opći rizik tih pozicija iskazuju se u obrascima MKR SA TDI ili MKR IM.</w:t>
      </w:r>
    </w:p>
    <w:p w14:paraId="69A98D53" w14:textId="51F65A7C" w:rsidR="00FC6275" w:rsidRPr="00A30C4C" w:rsidRDefault="00FC6275" w:rsidP="00FC6275">
      <w:pPr>
        <w:pStyle w:val="InstructionsText2"/>
        <w:numPr>
          <w:ilvl w:val="0"/>
          <w:numId w:val="0"/>
        </w:numPr>
        <w:ind w:left="993"/>
      </w:pPr>
      <w:r>
        <w:t>143. Pozicije koje dobivaju ponder rizika od 1 250 % mogu se, kao alternativa, odbiti od redovnog osnovnog kapitala (vidjeti članak 244. stavak 1. točku (b), članak 245. stavak 1. točku (b) i članak 253. CRR-a). Ako je to slučaj, navedene je pozicije potrebno iskazati u retku 460 obrasca CA1.</w:t>
      </w:r>
    </w:p>
    <w:p w14:paraId="289FA4F0"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35" w:name="_Toc30677708"/>
      <w:r>
        <w:rPr>
          <w:rFonts w:ascii="Times New Roman" w:hAnsi="Times New Roman"/>
          <w:sz w:val="24"/>
          <w:u w:val="none"/>
        </w:rPr>
        <w:t>5.2.2.</w:t>
      </w:r>
      <w:r>
        <w:rPr>
          <w:rFonts w:ascii="Times New Roman" w:hAnsi="Times New Roman"/>
          <w:sz w:val="24"/>
          <w:u w:val="none"/>
        </w:rPr>
        <w:tab/>
      </w:r>
      <w:r>
        <w:rPr>
          <w:rFonts w:ascii="Times New Roman" w:hAnsi="Times New Roman"/>
          <w:sz w:val="24"/>
        </w:rPr>
        <w:t>Upute za specifične pozicije</w:t>
      </w:r>
      <w:bookmarkEnd w:id="529"/>
      <w:bookmarkEnd w:id="530"/>
      <w:bookmarkEnd w:id="531"/>
      <w:bookmarkEnd w:id="532"/>
      <w:bookmarkEnd w:id="533"/>
      <w:bookmarkEnd w:id="534"/>
      <w:bookmarkEnd w:id="5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C55547" w:rsidRPr="008C26F8" w14:paraId="52E34CC6" w14:textId="77777777" w:rsidTr="00E10B85">
        <w:trPr>
          <w:trHeight w:val="631"/>
        </w:trPr>
        <w:tc>
          <w:tcPr>
            <w:tcW w:w="9018" w:type="dxa"/>
            <w:gridSpan w:val="2"/>
            <w:shd w:val="clear" w:color="auto" w:fill="CCCCCC"/>
          </w:tcPr>
          <w:p w14:paraId="0F87415D" w14:textId="77777777" w:rsidR="00C55547" w:rsidRPr="008C26F8"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8C26F8" w14:paraId="799318A8" w14:textId="77777777" w:rsidTr="00E10B85">
        <w:tc>
          <w:tcPr>
            <w:tcW w:w="1144" w:type="dxa"/>
          </w:tcPr>
          <w:p w14:paraId="75052669"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14:paraId="619F8C38"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14:paraId="682F4C68" w14:textId="76552070" w:rsidR="00C55547" w:rsidRPr="008C26F8" w:rsidRDefault="00C55547" w:rsidP="003073B2">
            <w:pPr>
              <w:rPr>
                <w:rFonts w:ascii="Times New Roman" w:hAnsi="Times New Roman"/>
                <w:sz w:val="24"/>
              </w:rPr>
            </w:pPr>
            <w:r>
              <w:rPr>
                <w:rFonts w:ascii="Times New Roman" w:hAnsi="Times New Roman"/>
                <w:sz w:val="24"/>
              </w:rPr>
              <w:t>Članak</w:t>
            </w:r>
            <w:r>
              <w:rPr>
                <w:rStyle w:val="InstructionsTabelleText"/>
                <w:rFonts w:ascii="Times New Roman" w:hAnsi="Times New Roman"/>
                <w:sz w:val="24"/>
              </w:rPr>
              <w:t xml:space="preserve"> 102. i članak 105. stavak 1. CRR-a u vezi s člankom 337. CRR-a (</w:t>
            </w:r>
            <w:proofErr w:type="spellStart"/>
            <w:r>
              <w:rPr>
                <w:rStyle w:val="InstructionsTabelleText"/>
                <w:rFonts w:ascii="Times New Roman" w:hAnsi="Times New Roman"/>
                <w:sz w:val="24"/>
              </w:rPr>
              <w:t>sekuritizacijske</w:t>
            </w:r>
            <w:proofErr w:type="spellEnd"/>
            <w:r>
              <w:rPr>
                <w:rStyle w:val="InstructionsTabelleText"/>
                <w:rFonts w:ascii="Times New Roman" w:hAnsi="Times New Roman"/>
                <w:sz w:val="24"/>
              </w:rPr>
              <w:t xml:space="preserve"> pozicije). Za razliku između dugih i kratkih pozicija, koja se primjenjuje i na te bruto pozicije, vidjeti članak 328. stavak 2. CRR-a. </w:t>
            </w:r>
          </w:p>
        </w:tc>
      </w:tr>
      <w:tr w:rsidR="00C55547" w:rsidRPr="008C26F8" w14:paraId="6199F4EC" w14:textId="77777777" w:rsidTr="00E10B85">
        <w:tc>
          <w:tcPr>
            <w:tcW w:w="1144" w:type="dxa"/>
          </w:tcPr>
          <w:p w14:paraId="1B25CDEF"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14:paraId="145A08B1" w14:textId="77777777" w:rsidR="00C55547" w:rsidRPr="008C26F8"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14:paraId="37C026B6" w14:textId="2D08514C" w:rsidR="00C55547" w:rsidRPr="008C26F8" w:rsidRDefault="00705025" w:rsidP="003073B2">
            <w:pPr>
              <w:rPr>
                <w:rStyle w:val="InstructionsTabelleText"/>
                <w:rFonts w:ascii="Times New Roman" w:hAnsi="Times New Roman"/>
                <w:sz w:val="24"/>
              </w:rPr>
            </w:pPr>
            <w:r>
              <w:rPr>
                <w:rStyle w:val="InstructionsTabelleText"/>
                <w:rFonts w:ascii="Times New Roman" w:hAnsi="Times New Roman"/>
                <w:sz w:val="24"/>
              </w:rPr>
              <w:t>Članak 244. stavak 1. točka (b), članak 245. stavak 1. točka (b) i članak 253. CRR-a</w:t>
            </w:r>
          </w:p>
        </w:tc>
      </w:tr>
      <w:tr w:rsidR="00C55547" w:rsidRPr="008C26F8" w14:paraId="024C5AFF" w14:textId="77777777" w:rsidTr="00E10B85">
        <w:tc>
          <w:tcPr>
            <w:tcW w:w="1144" w:type="dxa"/>
          </w:tcPr>
          <w:p w14:paraId="6A55F5A5"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14:paraId="7EBDBB11" w14:textId="77777777" w:rsidR="00C55547" w:rsidRPr="008C26F8"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NETO POZICIJE </w:t>
            </w:r>
            <w:r>
              <w:rPr>
                <w:rFonts w:ascii="Times New Roman" w:hAnsi="Times New Roman"/>
                <w:b/>
                <w:bCs/>
                <w:sz w:val="24"/>
                <w:u w:val="single"/>
              </w:rPr>
              <w:t xml:space="preserve"> (DUGE I KRATKE)</w:t>
            </w:r>
          </w:p>
          <w:p w14:paraId="574B641C" w14:textId="023103BC" w:rsidR="00C55547" w:rsidRPr="008C26F8" w:rsidRDefault="00C55547" w:rsidP="003073B2">
            <w:pPr>
              <w:rPr>
                <w:rStyle w:val="InstructionsTabelleText"/>
                <w:rFonts w:ascii="Times New Roman" w:hAnsi="Times New Roman"/>
                <w:sz w:val="24"/>
              </w:rPr>
            </w:pPr>
            <w:r>
              <w:rPr>
                <w:rFonts w:ascii="Times New Roman" w:hAnsi="Times New Roman"/>
                <w:sz w:val="24"/>
              </w:rPr>
              <w:t>Članci</w:t>
            </w:r>
            <w:r>
              <w:rPr>
                <w:rStyle w:val="InstructionsTabelleText"/>
                <w:rFonts w:ascii="Times New Roman" w:hAnsi="Times New Roman"/>
                <w:sz w:val="24"/>
              </w:rPr>
              <w:t xml:space="preserve"> 327., 328., 329. i 334. CRR-a. Za razliku između dugih i kratkih pozicija vidjeti članak 328. stavak 2. CRR-a.</w:t>
            </w:r>
          </w:p>
        </w:tc>
      </w:tr>
      <w:tr w:rsidR="00C55547" w:rsidRPr="008C26F8" w14:paraId="546368FA" w14:textId="77777777" w:rsidTr="00E10B85">
        <w:tc>
          <w:tcPr>
            <w:tcW w:w="1144" w:type="dxa"/>
          </w:tcPr>
          <w:p w14:paraId="464B8D6D" w14:textId="77777777" w:rsidR="00C55547" w:rsidRPr="008C26F8" w:rsidRDefault="00C55547" w:rsidP="00543964">
            <w:pPr>
              <w:autoSpaceDE w:val="0"/>
              <w:autoSpaceDN w:val="0"/>
              <w:adjustRightInd w:val="0"/>
              <w:spacing w:before="0" w:after="0"/>
              <w:rPr>
                <w:rFonts w:ascii="Times New Roman" w:hAnsi="Times New Roman"/>
                <w:sz w:val="24"/>
              </w:rPr>
            </w:pPr>
            <w:r>
              <w:rPr>
                <w:rFonts w:ascii="Times New Roman" w:hAnsi="Times New Roman"/>
                <w:sz w:val="24"/>
              </w:rPr>
              <w:t>061-104</w:t>
            </w:r>
          </w:p>
        </w:tc>
        <w:tc>
          <w:tcPr>
            <w:tcW w:w="7874" w:type="dxa"/>
          </w:tcPr>
          <w:p w14:paraId="5B7D6F8E" w14:textId="30FD8284"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NETO POZICIJA PREMA PONDERIMA RIZIKA</w:t>
            </w:r>
          </w:p>
          <w:p w14:paraId="4C8A00B9" w14:textId="4F58B468" w:rsidR="00C3548F"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Članci od 259. do 262., članak 263. tablice 1. i 2., članak 264. tablice 3. i 4. i članak 266. CRR-a </w:t>
            </w:r>
          </w:p>
          <w:p w14:paraId="76F29C4F" w14:textId="190DE5E8" w:rsidR="00C55547" w:rsidRPr="008C26F8" w:rsidRDefault="00C55547" w:rsidP="003073B2">
            <w:pPr>
              <w:rPr>
                <w:rStyle w:val="InstructionsTabelleText"/>
                <w:rFonts w:ascii="Times New Roman" w:hAnsi="Times New Roman"/>
                <w:sz w:val="24"/>
              </w:rPr>
            </w:pPr>
            <w:r>
              <w:rPr>
                <w:rStyle w:val="InstructionsTabelleText"/>
                <w:rFonts w:ascii="Times New Roman" w:hAnsi="Times New Roman"/>
                <w:sz w:val="24"/>
              </w:rPr>
              <w:t>Duge i kratke pozicije raščlanjuju se zasebno.</w:t>
            </w:r>
          </w:p>
        </w:tc>
      </w:tr>
      <w:tr w:rsidR="00C55547" w:rsidRPr="008C26F8" w14:paraId="4849CE02" w14:textId="77777777" w:rsidTr="00E10B85">
        <w:tc>
          <w:tcPr>
            <w:tcW w:w="1144" w:type="dxa"/>
          </w:tcPr>
          <w:p w14:paraId="04BF166A"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402-406</w:t>
            </w:r>
          </w:p>
        </w:tc>
        <w:tc>
          <w:tcPr>
            <w:tcW w:w="7874" w:type="dxa"/>
          </w:tcPr>
          <w:p w14:paraId="31CBA0F3" w14:textId="4539ACE1"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NETO POZICIJA PREMA PRISTUPIMA</w:t>
            </w:r>
          </w:p>
          <w:p w14:paraId="5E0A32C0" w14:textId="2170528B" w:rsidR="00C55547" w:rsidRPr="008C26F8" w:rsidRDefault="00C55547" w:rsidP="003073B2">
            <w:pPr>
              <w:rPr>
                <w:rFonts w:ascii="Times New Roman" w:hAnsi="Times New Roman"/>
                <w:b/>
                <w:bCs/>
                <w:sz w:val="24"/>
                <w:u w:val="single"/>
              </w:rPr>
            </w:pPr>
            <w:r>
              <w:rPr>
                <w:rFonts w:ascii="Times New Roman" w:hAnsi="Times New Roman"/>
                <w:sz w:val="24"/>
              </w:rPr>
              <w:lastRenderedPageBreak/>
              <w:t>Članak</w:t>
            </w:r>
            <w:r>
              <w:rPr>
                <w:rStyle w:val="InstructionsTabelleText"/>
                <w:rFonts w:ascii="Times New Roman" w:hAnsi="Times New Roman"/>
                <w:sz w:val="24"/>
              </w:rPr>
              <w:t xml:space="preserve"> 254. CRR-a </w:t>
            </w:r>
          </w:p>
        </w:tc>
      </w:tr>
      <w:tr w:rsidR="00C55547" w:rsidRPr="008C26F8" w14:paraId="04E9E548" w14:textId="77777777" w:rsidTr="00E10B85">
        <w:tc>
          <w:tcPr>
            <w:tcW w:w="1144" w:type="dxa"/>
          </w:tcPr>
          <w:p w14:paraId="52710FE5"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402</w:t>
            </w:r>
          </w:p>
        </w:tc>
        <w:tc>
          <w:tcPr>
            <w:tcW w:w="7874" w:type="dxa"/>
          </w:tcPr>
          <w:p w14:paraId="567BB6FB"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021F46C0" w14:textId="7DD16BC2"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Članci 259. i 260. CRR-a</w:t>
            </w:r>
          </w:p>
        </w:tc>
      </w:tr>
      <w:tr w:rsidR="00C55547" w:rsidRPr="008C26F8" w14:paraId="6AA0D3A8" w14:textId="77777777" w:rsidTr="00E10B85">
        <w:tc>
          <w:tcPr>
            <w:tcW w:w="1144" w:type="dxa"/>
          </w:tcPr>
          <w:p w14:paraId="1C0DB11C"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403</w:t>
            </w:r>
          </w:p>
        </w:tc>
        <w:tc>
          <w:tcPr>
            <w:tcW w:w="7874" w:type="dxa"/>
          </w:tcPr>
          <w:p w14:paraId="54504140"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37E5169A" w14:textId="72D429C0" w:rsidR="00C55547" w:rsidRPr="008C26F8"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Članci 261. i 262. CRR-a</w:t>
            </w:r>
          </w:p>
        </w:tc>
      </w:tr>
      <w:tr w:rsidR="00C55547" w:rsidRPr="008C26F8" w14:paraId="7C8171F3" w14:textId="77777777" w:rsidTr="00E10B85">
        <w:tc>
          <w:tcPr>
            <w:tcW w:w="1144" w:type="dxa"/>
          </w:tcPr>
          <w:p w14:paraId="36E4B956"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404</w:t>
            </w:r>
          </w:p>
        </w:tc>
        <w:tc>
          <w:tcPr>
            <w:tcW w:w="7874" w:type="dxa"/>
          </w:tcPr>
          <w:p w14:paraId="7FA6E1E5"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4BE3C821" w14:textId="0C194362"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Članci 263. i 264. CRR-a</w:t>
            </w:r>
          </w:p>
        </w:tc>
      </w:tr>
      <w:tr w:rsidR="00C55547" w:rsidRPr="008C26F8" w14:paraId="31ABA7E3" w14:textId="77777777" w:rsidTr="00E10B85">
        <w:tc>
          <w:tcPr>
            <w:tcW w:w="1144" w:type="dxa"/>
          </w:tcPr>
          <w:p w14:paraId="0CFD80ED"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405</w:t>
            </w:r>
          </w:p>
        </w:tc>
        <w:tc>
          <w:tcPr>
            <w:tcW w:w="7874" w:type="dxa"/>
          </w:tcPr>
          <w:p w14:paraId="7447AB22"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INTERNE PROCJENE</w:t>
            </w:r>
          </w:p>
          <w:p w14:paraId="68AF8C71" w14:textId="375124E3" w:rsidR="00C55547" w:rsidRPr="008C26F8" w:rsidRDefault="00C55547" w:rsidP="003073B2">
            <w:pPr>
              <w:rPr>
                <w:rFonts w:ascii="Times New Roman" w:hAnsi="Times New Roman"/>
                <w:bCs/>
                <w:sz w:val="24"/>
                <w:u w:val="single"/>
              </w:rPr>
            </w:pPr>
            <w:r>
              <w:rPr>
                <w:rStyle w:val="InstructionsTabelleText"/>
                <w:rFonts w:ascii="Times New Roman" w:hAnsi="Times New Roman"/>
                <w:sz w:val="24"/>
              </w:rPr>
              <w:t>Članci 254. i 265. CRR-a i članak 266. stavak 5. CRR-a</w:t>
            </w:r>
          </w:p>
        </w:tc>
      </w:tr>
      <w:tr w:rsidR="00C55547" w:rsidRPr="008C26F8" w14:paraId="11417FB2" w14:textId="77777777" w:rsidTr="00E10B85">
        <w:tc>
          <w:tcPr>
            <w:tcW w:w="1144" w:type="dxa"/>
          </w:tcPr>
          <w:p w14:paraId="21548B54"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406</w:t>
            </w:r>
          </w:p>
        </w:tc>
        <w:tc>
          <w:tcPr>
            <w:tcW w:w="7874" w:type="dxa"/>
          </w:tcPr>
          <w:p w14:paraId="4371E384"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OSTALO (PONDER RIZIKA = 1 250 %)</w:t>
            </w:r>
          </w:p>
          <w:p w14:paraId="2D4D8058" w14:textId="7ADB34D6"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Članak 254. stavak 7. CRR-a</w:t>
            </w:r>
          </w:p>
        </w:tc>
      </w:tr>
      <w:tr w:rsidR="00C55547" w:rsidRPr="008C26F8" w14:paraId="2E14A25F" w14:textId="77777777" w:rsidTr="00E10B85">
        <w:tc>
          <w:tcPr>
            <w:tcW w:w="1144" w:type="dxa"/>
          </w:tcPr>
          <w:p w14:paraId="18CC8D55"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14:paraId="7A56BC29" w14:textId="4686DEDE"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UČINAK (USKLAĐENJE) ZBOG KRŠENJA POGLAVLJA 2. UREDBE (EU) 2017/2402</w:t>
            </w:r>
          </w:p>
          <w:p w14:paraId="04042539" w14:textId="2BE104C4"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Članak 270.a CRR-a</w:t>
            </w:r>
          </w:p>
        </w:tc>
      </w:tr>
      <w:tr w:rsidR="00C55547" w:rsidRPr="008C26F8" w14:paraId="3ABCF96D" w14:textId="77777777" w:rsidTr="00E10B85">
        <w:tc>
          <w:tcPr>
            <w:tcW w:w="1144" w:type="dxa"/>
          </w:tcPr>
          <w:p w14:paraId="68A5E5DC"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570</w:t>
            </w:r>
          </w:p>
        </w:tc>
        <w:tc>
          <w:tcPr>
            <w:tcW w:w="7874" w:type="dxa"/>
          </w:tcPr>
          <w:p w14:paraId="3F701079"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PRIJE PRIMJENE GORNJE GRANICE </w:t>
            </w:r>
          </w:p>
          <w:p w14:paraId="5BCBF683" w14:textId="6BD86F0B" w:rsidR="00C55547" w:rsidRPr="008C26F8" w:rsidRDefault="00C55547" w:rsidP="003073B2">
            <w:pPr>
              <w:rPr>
                <w:rFonts w:ascii="Times New Roman" w:hAnsi="Times New Roman"/>
                <w:bCs/>
                <w:sz w:val="24"/>
              </w:rPr>
            </w:pPr>
            <w:r>
              <w:rPr>
                <w:rFonts w:ascii="Times New Roman" w:hAnsi="Times New Roman"/>
                <w:bCs/>
                <w:sz w:val="24"/>
              </w:rPr>
              <w:t>Članak 337. CRR-a, ne uzimajući u obzir diskrecijsko pravo iz članka 335. CRR-a kojim se instituciji omogućava ograničenje proizvoda pondera i neto pozicije na najveći mogući iznos gubitka povezan s rizikom nastanka statusa neispunjavanja obveza</w:t>
            </w:r>
          </w:p>
        </w:tc>
      </w:tr>
      <w:tr w:rsidR="00C55547" w:rsidRPr="008C26F8" w14:paraId="42B025F1" w14:textId="77777777" w:rsidTr="00E10B85">
        <w:tc>
          <w:tcPr>
            <w:tcW w:w="1144" w:type="dxa"/>
          </w:tcPr>
          <w:p w14:paraId="7EB98B68" w14:textId="77777777" w:rsidR="00C55547" w:rsidRPr="008C26F8" w:rsidRDefault="00EE079A" w:rsidP="00EE079A">
            <w:pPr>
              <w:autoSpaceDE w:val="0"/>
              <w:autoSpaceDN w:val="0"/>
              <w:adjustRightInd w:val="0"/>
              <w:spacing w:before="0" w:after="0"/>
              <w:rPr>
                <w:rFonts w:ascii="Times New Roman" w:hAnsi="Times New Roman"/>
                <w:sz w:val="24"/>
              </w:rPr>
            </w:pPr>
            <w:r>
              <w:rPr>
                <w:rFonts w:ascii="Times New Roman" w:hAnsi="Times New Roman"/>
                <w:sz w:val="24"/>
              </w:rPr>
              <w:t>601</w:t>
            </w:r>
          </w:p>
        </w:tc>
        <w:tc>
          <w:tcPr>
            <w:tcW w:w="7874" w:type="dxa"/>
          </w:tcPr>
          <w:p w14:paraId="2F26198E"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NAKON PRIMJENE GORNJE GRANICE/UKUPNI KAPITALNI ZAHTJEVI </w:t>
            </w:r>
          </w:p>
          <w:p w14:paraId="6733A0E4" w14:textId="6D946F44" w:rsidR="00C55547" w:rsidRPr="008C26F8" w:rsidRDefault="00C55547" w:rsidP="003073B2">
            <w:pPr>
              <w:rPr>
                <w:rFonts w:ascii="Times New Roman" w:hAnsi="Times New Roman"/>
                <w:bCs/>
                <w:sz w:val="24"/>
              </w:rPr>
            </w:pPr>
            <w:r>
              <w:rPr>
                <w:rFonts w:ascii="Times New Roman" w:hAnsi="Times New Roman"/>
                <w:bCs/>
                <w:sz w:val="24"/>
              </w:rPr>
              <w:t>Članak 337. CRR-a, uzimajući</w:t>
            </w:r>
            <w:r>
              <w:rPr>
                <w:rStyle w:val="InstructionsTabelleText"/>
                <w:rFonts w:ascii="Times New Roman" w:hAnsi="Times New Roman"/>
                <w:sz w:val="24"/>
              </w:rPr>
              <w:t xml:space="preserve"> u </w:t>
            </w:r>
            <w:r>
              <w:rPr>
                <w:rFonts w:ascii="Times New Roman" w:hAnsi="Times New Roman"/>
                <w:bCs/>
                <w:sz w:val="24"/>
              </w:rPr>
              <w:t>obzir diskrecijsko pravo iz članka 335. CRR-a.</w:t>
            </w:r>
          </w:p>
        </w:tc>
      </w:tr>
    </w:tbl>
    <w:p w14:paraId="7AAC6397"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C55547" w:rsidRPr="00A30C4C" w14:paraId="3545DE8A" w14:textId="77777777" w:rsidTr="00E10B85">
        <w:trPr>
          <w:trHeight w:val="537"/>
        </w:trPr>
        <w:tc>
          <w:tcPr>
            <w:tcW w:w="8950" w:type="dxa"/>
            <w:gridSpan w:val="2"/>
            <w:shd w:val="clear" w:color="auto" w:fill="BFBFBF"/>
          </w:tcPr>
          <w:p w14:paraId="42759E47" w14:textId="77777777" w:rsidR="00C55547" w:rsidRPr="00A30C4C"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A30C4C" w14:paraId="212CE458" w14:textId="77777777" w:rsidTr="00E10B85">
        <w:tc>
          <w:tcPr>
            <w:tcW w:w="1056" w:type="dxa"/>
          </w:tcPr>
          <w:p w14:paraId="54771851"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14:paraId="77ECC080" w14:textId="77777777" w:rsidR="00C55547" w:rsidRPr="00A30C4C" w:rsidRDefault="00C55547" w:rsidP="00E10B85">
            <w:pPr>
              <w:rPr>
                <w:rFonts w:ascii="Times New Roman" w:hAnsi="Times New Roman"/>
                <w:sz w:val="24"/>
              </w:rPr>
            </w:pPr>
            <w:r>
              <w:rPr>
                <w:rStyle w:val="InstructionsTabelleberschrift"/>
                <w:rFonts w:ascii="Times New Roman" w:hAnsi="Times New Roman"/>
                <w:sz w:val="24"/>
              </w:rPr>
              <w:t>UKUPNE IZLOŽENOSTI</w:t>
            </w:r>
          </w:p>
          <w:p w14:paraId="6F801EDD" w14:textId="749CC600" w:rsidR="00C55547" w:rsidRPr="00A30C4C"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Ukupni iznos preostalih </w:t>
            </w:r>
            <w:proofErr w:type="spellStart"/>
            <w:r>
              <w:rPr>
                <w:rStyle w:val="InstructionsTabelleText"/>
                <w:rFonts w:ascii="Times New Roman" w:hAnsi="Times New Roman"/>
                <w:sz w:val="24"/>
              </w:rPr>
              <w:t>sekuritizacija</w:t>
            </w:r>
            <w:proofErr w:type="spellEnd"/>
            <w:r>
              <w:rPr>
                <w:rStyle w:val="InstructionsTabelleText"/>
                <w:rFonts w:ascii="Times New Roman" w:hAnsi="Times New Roman"/>
                <w:sz w:val="24"/>
              </w:rPr>
              <w:t xml:space="preserve"> i </w:t>
            </w:r>
            <w:proofErr w:type="spellStart"/>
            <w:r>
              <w:rPr>
                <w:rStyle w:val="InstructionsTabelleText"/>
                <w:rFonts w:ascii="Times New Roman" w:hAnsi="Times New Roman"/>
                <w:sz w:val="24"/>
              </w:rPr>
              <w:t>resekuritizacija</w:t>
            </w:r>
            <w:proofErr w:type="spellEnd"/>
            <w:r>
              <w:rPr>
                <w:rStyle w:val="InstructionsTabelleText"/>
                <w:rFonts w:ascii="Times New Roman" w:hAnsi="Times New Roman"/>
                <w:sz w:val="24"/>
              </w:rPr>
              <w:t xml:space="preserve"> (koje se drže u knjizi trgovanja) koji iskazuje institucija koja ima ulogu/uloge inicijatora ili investitora ili sponzora.</w:t>
            </w:r>
          </w:p>
        </w:tc>
      </w:tr>
      <w:tr w:rsidR="00C55547" w:rsidRPr="00A30C4C" w14:paraId="3CD58C01" w14:textId="77777777" w:rsidTr="00E10B85">
        <w:tc>
          <w:tcPr>
            <w:tcW w:w="1056" w:type="dxa"/>
          </w:tcPr>
          <w:p w14:paraId="5240D8B6"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040,070 i</w:t>
            </w:r>
          </w:p>
          <w:p w14:paraId="1CC6A8AB"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14:paraId="0C4166D7" w14:textId="6255869B"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4412FADB" w14:textId="18AF4CF6" w:rsidR="00C55547" w:rsidRPr="00A30C4C"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Članak 4. stavak 1. točka 62. CRR-a</w:t>
            </w:r>
          </w:p>
          <w:p w14:paraId="272E789B"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2E87B5B2" w14:textId="77777777" w:rsidTr="00E10B85">
        <w:tc>
          <w:tcPr>
            <w:tcW w:w="1056" w:type="dxa"/>
          </w:tcPr>
          <w:p w14:paraId="6768D6F5"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020,050,</w:t>
            </w:r>
          </w:p>
          <w:p w14:paraId="3C0B519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080 i 110</w:t>
            </w:r>
          </w:p>
        </w:tc>
        <w:tc>
          <w:tcPr>
            <w:tcW w:w="7894" w:type="dxa"/>
          </w:tcPr>
          <w:p w14:paraId="1946E15C" w14:textId="182828A6"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RESEKURITIZACIJSKE POZICIJE</w:t>
            </w:r>
          </w:p>
          <w:p w14:paraId="4F403A6C" w14:textId="56FCB660" w:rsidR="00C55547" w:rsidRPr="00A30C4C"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Članak 4. stavak 1. točka 64. CRR-a</w:t>
            </w:r>
          </w:p>
          <w:p w14:paraId="6E0E1D52"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31E7E238" w14:textId="77777777" w:rsidTr="00E10B85">
        <w:tc>
          <w:tcPr>
            <w:tcW w:w="1056" w:type="dxa"/>
          </w:tcPr>
          <w:p w14:paraId="27523E8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041, 071 i 101</w:t>
            </w:r>
          </w:p>
        </w:tc>
        <w:tc>
          <w:tcPr>
            <w:tcW w:w="7894" w:type="dxa"/>
          </w:tcPr>
          <w:p w14:paraId="1935010F"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OD ČEGA: SEKURITIZACIJE KOJE ISPUNJAVAJU UVJETE ZA RAZLIČIT TRETMAN KAPITALA</w:t>
            </w:r>
          </w:p>
          <w:p w14:paraId="1D3FC150" w14:textId="414B3A66" w:rsidR="00C55547" w:rsidRPr="00A30C4C" w:rsidRDefault="00C55547">
            <w:pPr>
              <w:rPr>
                <w:rStyle w:val="InstructionsTabelleberschrift"/>
                <w:rFonts w:ascii="Times New Roman" w:hAnsi="Times New Roman"/>
                <w:sz w:val="24"/>
              </w:rPr>
            </w:pPr>
            <w:r>
              <w:rPr>
                <w:rFonts w:ascii="Times New Roman" w:hAnsi="Times New Roman"/>
                <w:bCs/>
                <w:sz w:val="24"/>
              </w:rPr>
              <w:lastRenderedPageBreak/>
              <w:t xml:space="preserve">Ukupni iznos </w:t>
            </w:r>
            <w:proofErr w:type="spellStart"/>
            <w:r>
              <w:rPr>
                <w:rFonts w:ascii="Times New Roman" w:hAnsi="Times New Roman"/>
                <w:bCs/>
                <w:sz w:val="24"/>
              </w:rPr>
              <w:t>sekuritizacijskih</w:t>
            </w:r>
            <w:proofErr w:type="spellEnd"/>
            <w:r>
              <w:rPr>
                <w:rFonts w:ascii="Times New Roman" w:hAnsi="Times New Roman"/>
                <w:bCs/>
                <w:sz w:val="24"/>
              </w:rPr>
              <w:t xml:space="preserve"> pozicija koje ispunjavaju kriterije članka 243. CRR-a ili članka 270. CRR-a i stoga ispunjavaju uvjete za različit tretman kapitala.</w:t>
            </w:r>
          </w:p>
        </w:tc>
      </w:tr>
      <w:tr w:rsidR="00C55547" w:rsidRPr="00A30C4C" w14:paraId="17F2B7F1" w14:textId="77777777" w:rsidTr="00E10B85">
        <w:tc>
          <w:tcPr>
            <w:tcW w:w="1056" w:type="dxa"/>
          </w:tcPr>
          <w:p w14:paraId="27DE551D"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030-050</w:t>
            </w:r>
          </w:p>
        </w:tc>
        <w:tc>
          <w:tcPr>
            <w:tcW w:w="7894" w:type="dxa"/>
          </w:tcPr>
          <w:p w14:paraId="1773FA0D"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14:paraId="574C8742" w14:textId="359823E4" w:rsidR="00C55547" w:rsidRPr="00A30C4C"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Članak 4. stavak 1. točka 13. CRR-a</w:t>
            </w:r>
          </w:p>
          <w:p w14:paraId="2DEDD43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501C8C22" w14:textId="77777777" w:rsidTr="00E10B85">
        <w:tc>
          <w:tcPr>
            <w:tcW w:w="1056" w:type="dxa"/>
          </w:tcPr>
          <w:p w14:paraId="5587655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94" w:type="dxa"/>
          </w:tcPr>
          <w:p w14:paraId="46480E81"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5561386A"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Kreditna institucija koja drži </w:t>
            </w:r>
            <w:proofErr w:type="spellStart"/>
            <w:r>
              <w:rPr>
                <w:rFonts w:ascii="Times New Roman" w:hAnsi="Times New Roman"/>
                <w:bCs/>
                <w:sz w:val="24"/>
              </w:rPr>
              <w:t>sekuritizacijske</w:t>
            </w:r>
            <w:proofErr w:type="spellEnd"/>
            <w:r>
              <w:rPr>
                <w:rFonts w:ascii="Times New Roman" w:hAnsi="Times New Roman"/>
                <w:bCs/>
                <w:sz w:val="24"/>
              </w:rPr>
              <w:t xml:space="preserve"> pozicije u </w:t>
            </w:r>
            <w:proofErr w:type="spellStart"/>
            <w:r>
              <w:rPr>
                <w:rFonts w:ascii="Times New Roman" w:hAnsi="Times New Roman"/>
                <w:bCs/>
                <w:sz w:val="24"/>
              </w:rPr>
              <w:t>sekuritizacijskoj</w:t>
            </w:r>
            <w:proofErr w:type="spellEnd"/>
            <w:r>
              <w:rPr>
                <w:rFonts w:ascii="Times New Roman" w:hAnsi="Times New Roman"/>
                <w:bCs/>
                <w:sz w:val="24"/>
              </w:rPr>
              <w:t xml:space="preserve"> transakciji u kojoj nije ni inicijator ni sponzor ni izvorni zajmodavac.</w:t>
            </w:r>
          </w:p>
          <w:p w14:paraId="0DBE1446"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488BF2FC" w14:textId="77777777" w:rsidTr="00E10B85">
        <w:tc>
          <w:tcPr>
            <w:tcW w:w="1056" w:type="dxa"/>
          </w:tcPr>
          <w:p w14:paraId="7238D1DC"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14:paraId="08D7D924"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5BB1E310" w14:textId="765A409B" w:rsidR="000242CC"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Članak 4. stavak 1. točka 14. CRR-a </w:t>
            </w:r>
          </w:p>
          <w:p w14:paraId="6559FEAC" w14:textId="3BF66031" w:rsidR="00C55547" w:rsidRPr="00A30C4C"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Sponzor koji i </w:t>
            </w:r>
            <w:proofErr w:type="spellStart"/>
            <w:r>
              <w:rPr>
                <w:rStyle w:val="InstructionsTabelleText"/>
                <w:rFonts w:ascii="Times New Roman" w:hAnsi="Times New Roman"/>
                <w:sz w:val="24"/>
              </w:rPr>
              <w:t>sekuritizira</w:t>
            </w:r>
            <w:proofErr w:type="spellEnd"/>
            <w:r>
              <w:rPr>
                <w:rStyle w:val="InstructionsTabelleText"/>
                <w:rFonts w:ascii="Times New Roman" w:hAnsi="Times New Roman"/>
                <w:sz w:val="24"/>
              </w:rPr>
              <w:t xml:space="preserve"> svoju imovinu popunjava retke za inicijatora informacijama o vlastitoj </w:t>
            </w:r>
            <w:proofErr w:type="spellStart"/>
            <w:r>
              <w:rPr>
                <w:rStyle w:val="InstructionsTabelleText"/>
                <w:rFonts w:ascii="Times New Roman" w:hAnsi="Times New Roman"/>
                <w:sz w:val="24"/>
              </w:rPr>
              <w:t>sekuritiziranoj</w:t>
            </w:r>
            <w:proofErr w:type="spellEnd"/>
            <w:r>
              <w:rPr>
                <w:rStyle w:val="InstructionsTabelleText"/>
                <w:rFonts w:ascii="Times New Roman" w:hAnsi="Times New Roman"/>
                <w:sz w:val="24"/>
              </w:rPr>
              <w:t xml:space="preserve"> imovini.</w:t>
            </w:r>
          </w:p>
        </w:tc>
      </w:tr>
    </w:tbl>
    <w:p w14:paraId="3BF599F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36" w:name="_Toc295830002"/>
      <w:bookmarkStart w:id="537" w:name="_Toc308426679"/>
      <w:bookmarkStart w:id="538" w:name="_Toc310415063"/>
      <w:bookmarkStart w:id="539" w:name="_Toc360188398"/>
      <w:bookmarkStart w:id="540" w:name="_Toc473561038"/>
      <w:bookmarkStart w:id="541" w:name="_Toc30677709"/>
      <w:r>
        <w:rPr>
          <w:rFonts w:ascii="Times New Roman" w:hAnsi="Times New Roman"/>
          <w:sz w:val="24"/>
          <w:u w:val="none"/>
        </w:rPr>
        <w:t>5.3.</w:t>
      </w:r>
      <w:r>
        <w:rPr>
          <w:rFonts w:ascii="Times New Roman" w:hAnsi="Times New Roman"/>
          <w:sz w:val="24"/>
          <w:u w:val="none"/>
        </w:rPr>
        <w:tab/>
      </w:r>
      <w:r>
        <w:rPr>
          <w:rFonts w:ascii="Times New Roman" w:hAnsi="Times New Roman"/>
          <w:sz w:val="24"/>
        </w:rPr>
        <w:t xml:space="preserve">C 20.00 – TRŽIŠNI RIZIK: </w:t>
      </w:r>
      <w:bookmarkStart w:id="542" w:name="_Toc294172373"/>
      <w:r>
        <w:rPr>
          <w:rFonts w:ascii="Times New Roman" w:hAnsi="Times New Roman"/>
          <w:sz w:val="24"/>
        </w:rPr>
        <w:t>STANDARDIZIRANI PRISTUP SPECIFIČNOM RIZIKU ZA POZICIJE RASPOREĐENE U KORELACIJSKI PORTFELJ NAMIJENJEN TRGOVANJU (MKR SA CTP</w:t>
      </w:r>
      <w:bookmarkEnd w:id="542"/>
      <w:bookmarkEnd w:id="536"/>
      <w:bookmarkEnd w:id="537"/>
      <w:bookmarkEnd w:id="538"/>
      <w:r>
        <w:rPr>
          <w:rFonts w:ascii="Times New Roman" w:hAnsi="Times New Roman"/>
          <w:sz w:val="24"/>
        </w:rPr>
        <w:t>)</w:t>
      </w:r>
      <w:bookmarkEnd w:id="539"/>
      <w:bookmarkEnd w:id="540"/>
      <w:bookmarkEnd w:id="541"/>
    </w:p>
    <w:p w14:paraId="4044EAD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43" w:name="_Toc294172374"/>
      <w:bookmarkStart w:id="544" w:name="_Toc295830003"/>
      <w:bookmarkStart w:id="545" w:name="_Toc308426680"/>
      <w:bookmarkStart w:id="546" w:name="_Toc310415064"/>
      <w:bookmarkStart w:id="547" w:name="_Toc360188399"/>
      <w:bookmarkStart w:id="548" w:name="_Toc473561039"/>
      <w:bookmarkStart w:id="549" w:name="_Toc30677710"/>
      <w:r>
        <w:rPr>
          <w:rFonts w:ascii="Times New Roman" w:hAnsi="Times New Roman"/>
          <w:sz w:val="24"/>
          <w:u w:val="none"/>
        </w:rPr>
        <w:t>5.3.1.</w:t>
      </w:r>
      <w:r>
        <w:rPr>
          <w:rFonts w:ascii="Times New Roman" w:hAnsi="Times New Roman"/>
          <w:sz w:val="24"/>
          <w:u w:val="none"/>
        </w:rPr>
        <w:tab/>
      </w:r>
      <w:r>
        <w:rPr>
          <w:rFonts w:ascii="Times New Roman" w:hAnsi="Times New Roman"/>
          <w:sz w:val="24"/>
        </w:rPr>
        <w:t>Opće napomene</w:t>
      </w:r>
      <w:bookmarkEnd w:id="543"/>
      <w:bookmarkEnd w:id="544"/>
      <w:bookmarkEnd w:id="545"/>
      <w:bookmarkEnd w:id="546"/>
      <w:bookmarkEnd w:id="547"/>
      <w:bookmarkEnd w:id="548"/>
      <w:bookmarkEnd w:id="549"/>
    </w:p>
    <w:p w14:paraId="2EF14F09" w14:textId="151DD272" w:rsidR="00C55547" w:rsidRPr="00A30C4C" w:rsidRDefault="00C55547" w:rsidP="00C55547">
      <w:pPr>
        <w:pStyle w:val="InstructionsText2"/>
        <w:numPr>
          <w:ilvl w:val="0"/>
          <w:numId w:val="0"/>
        </w:numPr>
        <w:ind w:left="993"/>
      </w:pPr>
      <w:bookmarkStart w:id="550" w:name="_Toc294172375"/>
      <w:bookmarkStart w:id="551" w:name="_Toc295830004"/>
      <w:bookmarkStart w:id="552" w:name="_Toc308426681"/>
      <w:bookmarkStart w:id="553" w:name="_Toc310415065"/>
      <w:bookmarkStart w:id="554" w:name="_Toc360188400"/>
      <w:bookmarkStart w:id="555" w:name="_Toc473561040"/>
      <w:r>
        <w:t xml:space="preserve">144. U ovom su obrascu potrebne informacije o pozicijama korelacijskog portfelja namijenjenog trgovanju (koje čine </w:t>
      </w:r>
      <w:proofErr w:type="spellStart"/>
      <w:r>
        <w:t>sekuritizacije</w:t>
      </w:r>
      <w:proofErr w:type="spellEnd"/>
      <w:r>
        <w:t>, kreditne izvedenice na osnovi n-tog nastanka statusa neispunjavanja obveza i ostale pozicije korelacijskog portfelja namijenjenog trgovanju uključene u skladu s člankom 338. stavkom 3. CRR-a) i odgovarajućim kapitalnim zahtjevima u skladu sa standardiziranim pristupom.</w:t>
      </w:r>
    </w:p>
    <w:p w14:paraId="7A71D073" w14:textId="4700C4C5" w:rsidR="00C55547" w:rsidRPr="00A30C4C" w:rsidRDefault="00C55547" w:rsidP="00C55547">
      <w:pPr>
        <w:pStyle w:val="InstructionsText2"/>
        <w:numPr>
          <w:ilvl w:val="0"/>
          <w:numId w:val="0"/>
        </w:numPr>
        <w:ind w:left="993"/>
      </w:pPr>
      <w:r>
        <w:t>145.</w:t>
      </w:r>
      <w:r>
        <w:tab/>
        <w:t xml:space="preserve"> U obrascu MKR SA CTP prikazani su kapitalni zahtjevi samo za specifični rizik pozicija raspoređenih u korelacijski portfelj namijenjen trgovanju u skladu s člankom 335. CRR-a u vezi s člankom 338. stavcima 2. i 3. CRR-a. Ako su pozicije korelacijskog portfelja namijenjenog trgovanju iz knjige trgovanja zaštićene kreditnim izvedenicama, primjenjuju se članci 346. i 347. CRR-a. Postoji samo jedan obrazac za sve pozicije korelacijskog portfelja namijenjenog trgovanju iz knjige trgovanja, bez obzira na pristup koji institucija koristi za određivanje pondera rizika za svaku poziciju u skladu s dijelom trećim glavom II. poglavljem 5. CRR-a. Kapitalni zahtjevi za opći rizik tih pozicija iskazuju se u obrascima MKR SA TDI ili MKR IM.</w:t>
      </w:r>
    </w:p>
    <w:p w14:paraId="7B56D737" w14:textId="69450C71" w:rsidR="00C55547" w:rsidRPr="00A30C4C" w:rsidRDefault="00C55547" w:rsidP="00C55547">
      <w:pPr>
        <w:pStyle w:val="InstructionsText2"/>
        <w:numPr>
          <w:ilvl w:val="0"/>
          <w:numId w:val="0"/>
        </w:numPr>
        <w:ind w:left="993"/>
      </w:pPr>
      <w:r>
        <w:t>146.</w:t>
      </w:r>
      <w:r>
        <w:tab/>
        <w:t xml:space="preserve"> U obrascu su razdvojene </w:t>
      </w:r>
      <w:proofErr w:type="spellStart"/>
      <w:r>
        <w:t>sekuritizacijske</w:t>
      </w:r>
      <w:proofErr w:type="spellEnd"/>
      <w:r>
        <w:t xml:space="preserve"> pozicije, kreditne izvedenice na osnovi n-tog nastanka statusa neispunjavanja obveza i ostale pozicije korelacijskog portfelja namijenjenog trgovanju. </w:t>
      </w:r>
      <w:proofErr w:type="spellStart"/>
      <w:r>
        <w:t>Sekuritizacijske</w:t>
      </w:r>
      <w:proofErr w:type="spellEnd"/>
      <w:r>
        <w:t xml:space="preserve"> pozicije uvijek se iskazuju u redcima 030, 060 ili 090 (ovisno o ulozi institucije u </w:t>
      </w:r>
      <w:proofErr w:type="spellStart"/>
      <w:r>
        <w:t>sekuritizaciji</w:t>
      </w:r>
      <w:proofErr w:type="spellEnd"/>
      <w:r>
        <w:t xml:space="preserve">). Kreditne izvedenice na osnovi n-tog nastanka statusa neispunjavanja obveza uvijek se iskazuju u retku 110. „Ostale pozicije korelacijskog portfelja namijenjenog trgovanju” su pozicije koje nisu ni </w:t>
      </w:r>
      <w:proofErr w:type="spellStart"/>
      <w:r>
        <w:t>sekuritizacijske</w:t>
      </w:r>
      <w:proofErr w:type="spellEnd"/>
      <w:r>
        <w:t xml:space="preserve"> poziciji ni kreditne izvedenice na osnovi n-tog nastanka statusa neispunjavanja obveza (vidjeti članak 338. stavak 3. CRR-a), nego su izričito „povezane” s jednom od te dvije pozicije (radi zaštite). </w:t>
      </w:r>
    </w:p>
    <w:p w14:paraId="4D8B5A88" w14:textId="721BB075" w:rsidR="00C55547" w:rsidRPr="00A30C4C" w:rsidRDefault="00C55547" w:rsidP="00C55547">
      <w:pPr>
        <w:pStyle w:val="InstructionsText2"/>
        <w:numPr>
          <w:ilvl w:val="0"/>
          <w:numId w:val="0"/>
        </w:numPr>
        <w:ind w:left="993"/>
      </w:pPr>
      <w:r>
        <w:lastRenderedPageBreak/>
        <w:t>147.</w:t>
      </w:r>
      <w:r>
        <w:tab/>
        <w:t xml:space="preserve"> Pozicije koje dobivaju ponder rizika od 1 250 % mogu se, kao alternativa, odbiti od redovnog osnovnog kapitala (vidjeti članak 244. stavak 1. točku (b), članak 245. stavak 1. točku (b) i članak 253. CRR-a). Ako je to slučaj, navedene je pozicije potrebno iskazati u retku 460 obrasca CA1.</w:t>
      </w:r>
    </w:p>
    <w:p w14:paraId="761CEF7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56" w:name="_Toc30677711"/>
      <w:r>
        <w:rPr>
          <w:rFonts w:ascii="Times New Roman" w:hAnsi="Times New Roman"/>
          <w:sz w:val="24"/>
          <w:u w:val="none"/>
        </w:rPr>
        <w:t>5.3.2.</w:t>
      </w:r>
      <w:r>
        <w:rPr>
          <w:rFonts w:ascii="Times New Roman" w:hAnsi="Times New Roman"/>
          <w:sz w:val="24"/>
          <w:u w:val="none"/>
        </w:rPr>
        <w:tab/>
      </w:r>
      <w:r>
        <w:rPr>
          <w:rFonts w:ascii="Times New Roman" w:hAnsi="Times New Roman"/>
          <w:sz w:val="24"/>
        </w:rPr>
        <w:t>Upute za specifične pozicije</w:t>
      </w:r>
      <w:bookmarkEnd w:id="550"/>
      <w:bookmarkEnd w:id="551"/>
      <w:bookmarkEnd w:id="552"/>
      <w:bookmarkEnd w:id="553"/>
      <w:bookmarkEnd w:id="554"/>
      <w:bookmarkEnd w:id="555"/>
      <w:bookmarkEnd w:id="556"/>
    </w:p>
    <w:p w14:paraId="4F1C97AE" w14:textId="77777777" w:rsidR="000B0B09" w:rsidRPr="00A30C4C"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A30C4C" w14:paraId="279F9534" w14:textId="77777777" w:rsidTr="00E10B85">
        <w:trPr>
          <w:trHeight w:val="602"/>
        </w:trPr>
        <w:tc>
          <w:tcPr>
            <w:tcW w:w="8890" w:type="dxa"/>
            <w:gridSpan w:val="2"/>
            <w:shd w:val="clear" w:color="auto" w:fill="CCCCCC"/>
          </w:tcPr>
          <w:p w14:paraId="1FF57BEA" w14:textId="77777777" w:rsidR="00C55547" w:rsidRPr="00A30C4C"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C55547" w:rsidRPr="00A30C4C" w14:paraId="4222B4BB" w14:textId="77777777" w:rsidTr="00E10B85">
        <w:tc>
          <w:tcPr>
            <w:tcW w:w="1016" w:type="dxa"/>
          </w:tcPr>
          <w:p w14:paraId="302BB386"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14:paraId="1792E809"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SVE POZICIJE (DUGE I KRATKE)</w:t>
            </w:r>
          </w:p>
          <w:p w14:paraId="79DC5844" w14:textId="5CA962C2" w:rsidR="005C14B0" w:rsidRPr="00A30C4C" w:rsidRDefault="00C55547" w:rsidP="00E10B85">
            <w:pPr>
              <w:rPr>
                <w:rFonts w:ascii="Times New Roman" w:hAnsi="Times New Roman"/>
                <w:sz w:val="24"/>
              </w:rPr>
            </w:pPr>
            <w:r>
              <w:rPr>
                <w:rFonts w:ascii="Times New Roman" w:hAnsi="Times New Roman"/>
                <w:sz w:val="24"/>
              </w:rPr>
              <w:t>Članak 102. i članak 105. stavak 1. CRR-a u vezi s člankom 338. stavcima 2. i 3. CRR-a (pozicije koje su raspoređene u korelacijski portfelj namijenjen trgovanju).</w:t>
            </w:r>
          </w:p>
          <w:p w14:paraId="62D28AC6" w14:textId="1CB7A31B" w:rsidR="00C55547" w:rsidRPr="00A30C4C" w:rsidRDefault="00C55547" w:rsidP="0002267E">
            <w:pPr>
              <w:rPr>
                <w:rFonts w:ascii="Times New Roman" w:hAnsi="Times New Roman"/>
                <w:sz w:val="24"/>
              </w:rPr>
            </w:pPr>
            <w:r>
              <w:rPr>
                <w:rFonts w:ascii="Times New Roman" w:hAnsi="Times New Roman"/>
                <w:sz w:val="24"/>
              </w:rPr>
              <w:t>Za razliku između dugih i kratkih pozicija, koja se primjenjuje i na te bruto pozicije, vidjeti članak 328. stavak 2. CRR-a.</w:t>
            </w:r>
          </w:p>
        </w:tc>
      </w:tr>
      <w:tr w:rsidR="00C55547" w:rsidRPr="00A30C4C" w14:paraId="04A72934" w14:textId="77777777" w:rsidTr="00E10B85">
        <w:tc>
          <w:tcPr>
            <w:tcW w:w="1016" w:type="dxa"/>
          </w:tcPr>
          <w:p w14:paraId="487C4BDD"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14:paraId="637746A2"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POZICIJE KOJE ČINE ODBITNU STAVKU OD REGULATORNOG KAPITALA (DUGE I KRATKE)</w:t>
            </w:r>
          </w:p>
          <w:p w14:paraId="5DF1145D" w14:textId="6BD2217C" w:rsidR="00C55547" w:rsidRPr="00A30C4C" w:rsidRDefault="00C55547" w:rsidP="00E64BFE">
            <w:pPr>
              <w:rPr>
                <w:rFonts w:ascii="Times New Roman" w:hAnsi="Times New Roman"/>
                <w:sz w:val="24"/>
              </w:rPr>
            </w:pPr>
            <w:r>
              <w:rPr>
                <w:rFonts w:ascii="Times New Roman" w:hAnsi="Times New Roman"/>
                <w:sz w:val="24"/>
              </w:rPr>
              <w:t xml:space="preserve">Članak 253. CRR-a </w:t>
            </w:r>
          </w:p>
        </w:tc>
      </w:tr>
      <w:tr w:rsidR="00C55547" w:rsidRPr="00A30C4C" w14:paraId="5D2995B6" w14:textId="77777777" w:rsidTr="00E10B85">
        <w:tc>
          <w:tcPr>
            <w:tcW w:w="1016" w:type="dxa"/>
          </w:tcPr>
          <w:p w14:paraId="1BE45535"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14:paraId="21A59744"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NETO POZICIJE (DUGE I KRATKE)</w:t>
            </w:r>
          </w:p>
          <w:p w14:paraId="68A8CA57" w14:textId="05F2F580" w:rsidR="005C14B0" w:rsidRPr="00A30C4C" w:rsidRDefault="00C55547" w:rsidP="00E10B85">
            <w:pPr>
              <w:rPr>
                <w:rFonts w:ascii="Times New Roman" w:hAnsi="Times New Roman"/>
                <w:sz w:val="24"/>
              </w:rPr>
            </w:pPr>
            <w:r>
              <w:rPr>
                <w:rFonts w:ascii="Times New Roman" w:hAnsi="Times New Roman"/>
                <w:sz w:val="24"/>
              </w:rPr>
              <w:t xml:space="preserve">Članci 327., 328., 329. i 334. CRR-a </w:t>
            </w:r>
          </w:p>
          <w:p w14:paraId="4FC53FB3" w14:textId="4E244FB6" w:rsidR="00C55547" w:rsidRPr="00A30C4C" w:rsidRDefault="00C55547" w:rsidP="00E64BFE">
            <w:pPr>
              <w:rPr>
                <w:rFonts w:ascii="Times New Roman" w:hAnsi="Times New Roman"/>
                <w:sz w:val="24"/>
              </w:rPr>
            </w:pPr>
            <w:r>
              <w:rPr>
                <w:rFonts w:ascii="Times New Roman" w:hAnsi="Times New Roman"/>
                <w:sz w:val="24"/>
              </w:rPr>
              <w:t>Za razliku između dugih i kratkih pozicija vidjeti članak 328. stavak 2. CRR-a.</w:t>
            </w:r>
          </w:p>
        </w:tc>
      </w:tr>
      <w:tr w:rsidR="00C55547" w:rsidRPr="00A30C4C" w14:paraId="588F4FF8" w14:textId="77777777" w:rsidTr="00E10B85">
        <w:tc>
          <w:tcPr>
            <w:tcW w:w="1016" w:type="dxa"/>
          </w:tcPr>
          <w:p w14:paraId="1F613F3C" w14:textId="77777777" w:rsidR="00C55547" w:rsidRPr="00A30C4C" w:rsidRDefault="00C55547" w:rsidP="00543964">
            <w:pPr>
              <w:autoSpaceDE w:val="0"/>
              <w:autoSpaceDN w:val="0"/>
              <w:adjustRightInd w:val="0"/>
              <w:spacing w:before="0" w:after="0"/>
              <w:rPr>
                <w:rFonts w:ascii="Times New Roman" w:hAnsi="Times New Roman"/>
                <w:sz w:val="24"/>
              </w:rPr>
            </w:pPr>
            <w:r>
              <w:rPr>
                <w:rFonts w:ascii="Times New Roman" w:hAnsi="Times New Roman"/>
                <w:sz w:val="24"/>
              </w:rPr>
              <w:t>071-097</w:t>
            </w:r>
          </w:p>
        </w:tc>
        <w:tc>
          <w:tcPr>
            <w:tcW w:w="7874" w:type="dxa"/>
          </w:tcPr>
          <w:p w14:paraId="70C3ABA6" w14:textId="059BA50B"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RAŠČLAMBA NETO POZICIJA PREMA PONDERIMA RIZIKA</w:t>
            </w:r>
          </w:p>
          <w:p w14:paraId="27E6B3E0" w14:textId="6A82112E" w:rsidR="00C55547" w:rsidRPr="00A30C4C" w:rsidRDefault="00133396" w:rsidP="00E64BFE">
            <w:pPr>
              <w:rPr>
                <w:rFonts w:ascii="Times New Roman" w:hAnsi="Times New Roman"/>
                <w:sz w:val="24"/>
              </w:rPr>
            </w:pPr>
            <w:r>
              <w:rPr>
                <w:rStyle w:val="InstructionsTabelleText"/>
                <w:rFonts w:ascii="Times New Roman" w:hAnsi="Times New Roman"/>
                <w:sz w:val="24"/>
              </w:rPr>
              <w:t>Članci od 259. do 262., članak 263. tablice 1. i 2., članak 264. tablice 3. i 4. i članak 266. CRR-a</w:t>
            </w:r>
          </w:p>
        </w:tc>
      </w:tr>
      <w:tr w:rsidR="00C55547" w:rsidRPr="00A30C4C" w14:paraId="512F98C5" w14:textId="77777777" w:rsidTr="00E10B85">
        <w:tc>
          <w:tcPr>
            <w:tcW w:w="1016" w:type="dxa"/>
          </w:tcPr>
          <w:p w14:paraId="0CFBD4C2" w14:textId="77777777" w:rsidR="00C55547" w:rsidRPr="00A30C4C" w:rsidRDefault="00C55547" w:rsidP="00921700">
            <w:pPr>
              <w:rPr>
                <w:rFonts w:ascii="Times New Roman" w:hAnsi="Times New Roman"/>
                <w:sz w:val="24"/>
              </w:rPr>
            </w:pPr>
            <w:r>
              <w:rPr>
                <w:rFonts w:ascii="Times New Roman" w:hAnsi="Times New Roman"/>
                <w:sz w:val="24"/>
              </w:rPr>
              <w:t>402-406</w:t>
            </w:r>
          </w:p>
        </w:tc>
        <w:tc>
          <w:tcPr>
            <w:tcW w:w="7874" w:type="dxa"/>
          </w:tcPr>
          <w:p w14:paraId="341DCD07" w14:textId="1AD9FC1D" w:rsidR="00C55547" w:rsidRPr="00A30C4C"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NETO POZICIJA PREMA PRISTUPIMA</w:t>
            </w:r>
          </w:p>
          <w:p w14:paraId="0BDDA5D5" w14:textId="368D3A2B" w:rsidR="00C55547" w:rsidRPr="00A30C4C"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Članak 254. CRR-a </w:t>
            </w:r>
          </w:p>
        </w:tc>
      </w:tr>
      <w:tr w:rsidR="00C55547" w:rsidRPr="00A30C4C" w14:paraId="7D6C10C3" w14:textId="77777777" w:rsidTr="00E10B85">
        <w:tc>
          <w:tcPr>
            <w:tcW w:w="1016" w:type="dxa"/>
          </w:tcPr>
          <w:p w14:paraId="2A04A6D8" w14:textId="77777777" w:rsidR="00C55547" w:rsidRPr="00A30C4C" w:rsidRDefault="00C55547" w:rsidP="00921700">
            <w:pPr>
              <w:rPr>
                <w:rFonts w:ascii="Times New Roman" w:hAnsi="Times New Roman"/>
                <w:sz w:val="24"/>
              </w:rPr>
            </w:pPr>
            <w:r>
              <w:rPr>
                <w:rFonts w:ascii="Times New Roman" w:hAnsi="Times New Roman"/>
                <w:sz w:val="24"/>
              </w:rPr>
              <w:t>402</w:t>
            </w:r>
          </w:p>
        </w:tc>
        <w:tc>
          <w:tcPr>
            <w:tcW w:w="7874" w:type="dxa"/>
          </w:tcPr>
          <w:p w14:paraId="0F8167D1"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10ADFA68" w14:textId="45EEE50A"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259. i 260. CRR-a</w:t>
            </w:r>
          </w:p>
        </w:tc>
      </w:tr>
      <w:tr w:rsidR="00C55547" w:rsidRPr="002F0FB3" w14:paraId="1603725B" w14:textId="77777777" w:rsidTr="00E10B85">
        <w:tc>
          <w:tcPr>
            <w:tcW w:w="1016" w:type="dxa"/>
          </w:tcPr>
          <w:p w14:paraId="35CC16C1" w14:textId="77777777" w:rsidR="00C55547" w:rsidRPr="00A30C4C" w:rsidRDefault="00C55547" w:rsidP="00921700">
            <w:pPr>
              <w:rPr>
                <w:rFonts w:ascii="Times New Roman" w:hAnsi="Times New Roman"/>
                <w:sz w:val="24"/>
              </w:rPr>
            </w:pPr>
            <w:r>
              <w:rPr>
                <w:rFonts w:ascii="Times New Roman" w:hAnsi="Times New Roman"/>
                <w:sz w:val="24"/>
              </w:rPr>
              <w:t>403</w:t>
            </w:r>
          </w:p>
        </w:tc>
        <w:tc>
          <w:tcPr>
            <w:tcW w:w="7874" w:type="dxa"/>
          </w:tcPr>
          <w:p w14:paraId="7191C526" w14:textId="77777777" w:rsidR="00C55547" w:rsidRPr="00A11C6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7A6529D9" w14:textId="1956D893" w:rsidR="00C55547" w:rsidRPr="00A11C6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261. i 262. CRR-a</w:t>
            </w:r>
          </w:p>
        </w:tc>
      </w:tr>
      <w:tr w:rsidR="00C55547" w:rsidRPr="00A30C4C" w14:paraId="787A44CC" w14:textId="77777777" w:rsidTr="00E10B85">
        <w:tc>
          <w:tcPr>
            <w:tcW w:w="1016" w:type="dxa"/>
          </w:tcPr>
          <w:p w14:paraId="1D46CCFA" w14:textId="77777777" w:rsidR="00C55547" w:rsidRPr="00A30C4C" w:rsidRDefault="00C55547" w:rsidP="00921700">
            <w:pPr>
              <w:rPr>
                <w:rFonts w:ascii="Times New Roman" w:hAnsi="Times New Roman"/>
                <w:sz w:val="24"/>
              </w:rPr>
            </w:pPr>
            <w:r>
              <w:rPr>
                <w:rFonts w:ascii="Times New Roman" w:hAnsi="Times New Roman"/>
                <w:sz w:val="24"/>
              </w:rPr>
              <w:t>404</w:t>
            </w:r>
          </w:p>
        </w:tc>
        <w:tc>
          <w:tcPr>
            <w:tcW w:w="7874" w:type="dxa"/>
          </w:tcPr>
          <w:p w14:paraId="403243F9"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6F6107EF" w14:textId="785C9B5C"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263. i 264. CRR-a</w:t>
            </w:r>
          </w:p>
        </w:tc>
      </w:tr>
      <w:tr w:rsidR="00C55547" w:rsidRPr="00A30C4C" w14:paraId="74126E0F" w14:textId="77777777" w:rsidTr="00E10B85">
        <w:tc>
          <w:tcPr>
            <w:tcW w:w="1016" w:type="dxa"/>
          </w:tcPr>
          <w:p w14:paraId="05AE3262" w14:textId="77777777" w:rsidR="00C55547" w:rsidRPr="00A30C4C" w:rsidRDefault="00C55547" w:rsidP="00921700">
            <w:pPr>
              <w:rPr>
                <w:rFonts w:ascii="Times New Roman" w:hAnsi="Times New Roman"/>
                <w:sz w:val="24"/>
              </w:rPr>
            </w:pPr>
            <w:r>
              <w:rPr>
                <w:rFonts w:ascii="Times New Roman" w:hAnsi="Times New Roman"/>
                <w:sz w:val="24"/>
              </w:rPr>
              <w:t>405</w:t>
            </w:r>
          </w:p>
        </w:tc>
        <w:tc>
          <w:tcPr>
            <w:tcW w:w="7874" w:type="dxa"/>
          </w:tcPr>
          <w:p w14:paraId="06CF9F37"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INTERNE PROCJENE</w:t>
            </w:r>
          </w:p>
          <w:p w14:paraId="4E6E2F1E" w14:textId="2D5AFE97"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Članci 254. i 265. i članak 266. stavak 5. CRR-a</w:t>
            </w:r>
          </w:p>
        </w:tc>
      </w:tr>
      <w:tr w:rsidR="00C55547" w:rsidRPr="00A30C4C" w14:paraId="2935A030" w14:textId="77777777" w:rsidTr="00E10B85">
        <w:tc>
          <w:tcPr>
            <w:tcW w:w="1016" w:type="dxa"/>
          </w:tcPr>
          <w:p w14:paraId="02151F54" w14:textId="77777777" w:rsidR="00C55547" w:rsidRPr="00A30C4C" w:rsidRDefault="00C55547" w:rsidP="00921700">
            <w:pPr>
              <w:rPr>
                <w:rFonts w:ascii="Times New Roman" w:hAnsi="Times New Roman"/>
                <w:sz w:val="24"/>
              </w:rPr>
            </w:pPr>
            <w:r>
              <w:rPr>
                <w:rFonts w:ascii="Times New Roman" w:hAnsi="Times New Roman"/>
                <w:sz w:val="24"/>
              </w:rPr>
              <w:t>406</w:t>
            </w:r>
          </w:p>
        </w:tc>
        <w:tc>
          <w:tcPr>
            <w:tcW w:w="7874" w:type="dxa"/>
          </w:tcPr>
          <w:p w14:paraId="7F5F7FF3"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OSTALO (PONDER RIZIKA = 1 250 %)</w:t>
            </w:r>
          </w:p>
          <w:p w14:paraId="5C224172" w14:textId="0BD89175"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Članak 254. stavak 7. CRR-a</w:t>
            </w:r>
          </w:p>
        </w:tc>
      </w:tr>
      <w:tr w:rsidR="00C55547" w:rsidRPr="00A30C4C" w14:paraId="415733AE" w14:textId="77777777" w:rsidTr="00E10B85">
        <w:tc>
          <w:tcPr>
            <w:tcW w:w="1016" w:type="dxa"/>
          </w:tcPr>
          <w:p w14:paraId="3814AFD4" w14:textId="0E50F3FF" w:rsidR="00C55547" w:rsidRPr="00A30C4C" w:rsidRDefault="00C55547" w:rsidP="0002267E">
            <w:pPr>
              <w:rPr>
                <w:rFonts w:ascii="Times New Roman" w:hAnsi="Times New Roman"/>
                <w:sz w:val="24"/>
              </w:rPr>
            </w:pPr>
            <w:r>
              <w:rPr>
                <w:rFonts w:ascii="Times New Roman" w:hAnsi="Times New Roman"/>
                <w:sz w:val="24"/>
              </w:rPr>
              <w:lastRenderedPageBreak/>
              <w:t>410-420</w:t>
            </w:r>
          </w:p>
        </w:tc>
        <w:tc>
          <w:tcPr>
            <w:tcW w:w="7874" w:type="dxa"/>
          </w:tcPr>
          <w:p w14:paraId="0CAA16CF"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PRIJE PRIMJENE GORNJE GRANICE – PONDERIRANE NETO DUGE/KRATKE POZICIJE</w:t>
            </w:r>
          </w:p>
          <w:p w14:paraId="665E0E4B" w14:textId="0378EE50" w:rsidR="00C55547" w:rsidRPr="00A30C4C" w:rsidRDefault="00C55547" w:rsidP="00E64BFE">
            <w:pPr>
              <w:rPr>
                <w:rFonts w:ascii="Times New Roman" w:hAnsi="Times New Roman"/>
                <w:sz w:val="24"/>
              </w:rPr>
            </w:pPr>
            <w:r>
              <w:rPr>
                <w:rFonts w:ascii="Times New Roman" w:hAnsi="Times New Roman"/>
                <w:sz w:val="24"/>
              </w:rPr>
              <w:t>Članak 338. CRR-a, ne uzimajući u obzir diskrecijsko pravo iz članka 335. CRR-a.</w:t>
            </w:r>
          </w:p>
        </w:tc>
      </w:tr>
      <w:tr w:rsidR="00C55547" w:rsidRPr="00A30C4C" w14:paraId="7E47DA23" w14:textId="77777777" w:rsidTr="00E10B85">
        <w:tc>
          <w:tcPr>
            <w:tcW w:w="1016" w:type="dxa"/>
          </w:tcPr>
          <w:p w14:paraId="792E9786" w14:textId="515B2BDB" w:rsidR="00C55547" w:rsidRPr="00A30C4C" w:rsidRDefault="00C55547" w:rsidP="0002267E">
            <w:pPr>
              <w:rPr>
                <w:rFonts w:ascii="Times New Roman" w:hAnsi="Times New Roman"/>
                <w:sz w:val="24"/>
              </w:rPr>
            </w:pPr>
            <w:r>
              <w:rPr>
                <w:rFonts w:ascii="Times New Roman" w:hAnsi="Times New Roman"/>
                <w:sz w:val="24"/>
              </w:rPr>
              <w:t>430-440</w:t>
            </w:r>
          </w:p>
        </w:tc>
        <w:tc>
          <w:tcPr>
            <w:tcW w:w="7874" w:type="dxa"/>
          </w:tcPr>
          <w:p w14:paraId="0B77DEE0"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NAKON PRIMJENE GORNJE GRANICE – PONDERIRANE NETO DUGE/KRATKE POZICIJE</w:t>
            </w:r>
          </w:p>
          <w:p w14:paraId="10AE0022" w14:textId="0A570F77" w:rsidR="00C55547" w:rsidRPr="00A30C4C" w:rsidRDefault="00C55547">
            <w:pPr>
              <w:rPr>
                <w:rFonts w:ascii="Times New Roman" w:hAnsi="Times New Roman"/>
                <w:sz w:val="24"/>
              </w:rPr>
            </w:pPr>
            <w:r>
              <w:rPr>
                <w:rFonts w:ascii="Times New Roman" w:hAnsi="Times New Roman"/>
                <w:sz w:val="24"/>
              </w:rPr>
              <w:t xml:space="preserve">Članak 338. CRR-a, uzimajući u obzir diskrecijsko pravo iz članka 335. CRR-a. </w:t>
            </w:r>
          </w:p>
        </w:tc>
      </w:tr>
      <w:tr w:rsidR="00C55547" w:rsidRPr="00A30C4C" w14:paraId="6533939A" w14:textId="77777777" w:rsidTr="00E10B85">
        <w:tc>
          <w:tcPr>
            <w:tcW w:w="1016" w:type="dxa"/>
          </w:tcPr>
          <w:p w14:paraId="7B641B84" w14:textId="48F90AB1" w:rsidR="00C55547" w:rsidRPr="00A30C4C" w:rsidRDefault="00C55547" w:rsidP="0002267E">
            <w:pPr>
              <w:rPr>
                <w:rFonts w:ascii="Times New Roman" w:hAnsi="Times New Roman"/>
                <w:sz w:val="24"/>
              </w:rPr>
            </w:pPr>
            <w:r>
              <w:rPr>
                <w:rFonts w:ascii="Times New Roman" w:hAnsi="Times New Roman"/>
                <w:sz w:val="24"/>
              </w:rPr>
              <w:t>450</w:t>
            </w:r>
          </w:p>
        </w:tc>
        <w:tc>
          <w:tcPr>
            <w:tcW w:w="7874" w:type="dxa"/>
          </w:tcPr>
          <w:p w14:paraId="4A808D57"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UKUPNI KAPITALNI ZAHTJEVI</w:t>
            </w:r>
          </w:p>
          <w:p w14:paraId="40BB1C25" w14:textId="77777777" w:rsidR="00C55547" w:rsidRPr="00A30C4C" w:rsidRDefault="00C55547" w:rsidP="00E10B85">
            <w:pPr>
              <w:rPr>
                <w:rFonts w:ascii="Times New Roman" w:hAnsi="Times New Roman"/>
                <w:sz w:val="24"/>
              </w:rPr>
            </w:pPr>
            <w:r>
              <w:rPr>
                <w:rFonts w:ascii="Times New Roman" w:hAnsi="Times New Roman"/>
                <w:sz w:val="24"/>
              </w:rPr>
              <w:t>Ukupni kapitalni zahtjevi određuju se kao i. zahtjev za specifični rizik koji bi se primjenjivao samo na neto duge pozicije (stupac 430) ili ii. zahtjev za specifični rizik koji bi se primjenjivao samo na neto kratke pozicije (stupac 440), ovisno o tome koji je veći.</w:t>
            </w:r>
          </w:p>
        </w:tc>
      </w:tr>
    </w:tbl>
    <w:p w14:paraId="06B264D3"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C55547" w:rsidRPr="00A30C4C" w14:paraId="595BF6EB" w14:textId="77777777" w:rsidTr="00E10B85">
        <w:trPr>
          <w:trHeight w:val="642"/>
        </w:trPr>
        <w:tc>
          <w:tcPr>
            <w:tcW w:w="9212" w:type="dxa"/>
            <w:gridSpan w:val="2"/>
            <w:shd w:val="clear" w:color="auto" w:fill="CCCCCC"/>
          </w:tcPr>
          <w:p w14:paraId="1E45084B" w14:textId="77777777" w:rsidR="00C55547" w:rsidRPr="00A30C4C"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Redci</w:t>
            </w:r>
          </w:p>
        </w:tc>
      </w:tr>
      <w:tr w:rsidR="00C55547" w:rsidRPr="00A30C4C" w14:paraId="4355B670" w14:textId="77777777" w:rsidTr="00E10B85">
        <w:tc>
          <w:tcPr>
            <w:tcW w:w="1008" w:type="dxa"/>
          </w:tcPr>
          <w:p w14:paraId="381C6EC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14:paraId="35D1FD11"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UKUPNE IZLOŽENOSTI</w:t>
            </w:r>
          </w:p>
          <w:p w14:paraId="53E640ED" w14:textId="77777777" w:rsidR="00C55547" w:rsidRPr="00A30C4C" w:rsidRDefault="00C55547" w:rsidP="00E10B85">
            <w:pPr>
              <w:rPr>
                <w:rFonts w:ascii="Times New Roman" w:hAnsi="Times New Roman"/>
                <w:sz w:val="24"/>
              </w:rPr>
            </w:pPr>
            <w:r>
              <w:rPr>
                <w:rFonts w:ascii="Times New Roman" w:hAnsi="Times New Roman"/>
                <w:sz w:val="24"/>
              </w:rPr>
              <w:t>Ukupni iznos preostalih pozicija (koje se drže u korelacijskom portfelju namijenjenom trgovanju) koji iskazuje institucija koja ima ulogu/uloge inicijatora, investitora ili sponzora.</w:t>
            </w:r>
          </w:p>
        </w:tc>
      </w:tr>
      <w:tr w:rsidR="00C55547" w:rsidRPr="00A30C4C" w14:paraId="3938E94C" w14:textId="77777777" w:rsidTr="00E10B85">
        <w:tc>
          <w:tcPr>
            <w:tcW w:w="1008" w:type="dxa"/>
          </w:tcPr>
          <w:p w14:paraId="4A44C79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14:paraId="4BA9008F"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INICIJATOR</w:t>
            </w:r>
          </w:p>
          <w:p w14:paraId="2D874398" w14:textId="57A7E244" w:rsidR="00C55547" w:rsidRPr="00A30C4C" w:rsidRDefault="00E64BFE" w:rsidP="00E64BFE">
            <w:pPr>
              <w:rPr>
                <w:rFonts w:ascii="Times New Roman" w:hAnsi="Times New Roman"/>
                <w:sz w:val="24"/>
              </w:rPr>
            </w:pPr>
            <w:r>
              <w:rPr>
                <w:rFonts w:ascii="Times New Roman" w:hAnsi="Times New Roman"/>
                <w:sz w:val="24"/>
              </w:rPr>
              <w:t xml:space="preserve">Članak 4. stavak 1. točka 13. CRR-a </w:t>
            </w:r>
          </w:p>
        </w:tc>
      </w:tr>
      <w:tr w:rsidR="00C55547" w:rsidRPr="00A30C4C" w14:paraId="1B3F2041" w14:textId="77777777" w:rsidTr="00E10B85">
        <w:tc>
          <w:tcPr>
            <w:tcW w:w="1008" w:type="dxa"/>
          </w:tcPr>
          <w:p w14:paraId="575AE299"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14:paraId="54B3E731"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INVESTITOR</w:t>
            </w:r>
          </w:p>
          <w:p w14:paraId="14B913F3" w14:textId="5EA02CDC" w:rsidR="00C55547" w:rsidRPr="00A30C4C" w:rsidRDefault="00C55547">
            <w:pPr>
              <w:rPr>
                <w:rFonts w:ascii="Times New Roman" w:hAnsi="Times New Roman"/>
                <w:sz w:val="24"/>
              </w:rPr>
            </w:pPr>
            <w:r>
              <w:rPr>
                <w:rFonts w:ascii="Times New Roman" w:hAnsi="Times New Roman"/>
                <w:sz w:val="24"/>
              </w:rPr>
              <w:t xml:space="preserve">Kreditna institucija koja drži </w:t>
            </w:r>
            <w:proofErr w:type="spellStart"/>
            <w:r>
              <w:rPr>
                <w:rFonts w:ascii="Times New Roman" w:hAnsi="Times New Roman"/>
                <w:sz w:val="24"/>
              </w:rPr>
              <w:t>sekuritizacijske</w:t>
            </w:r>
            <w:proofErr w:type="spellEnd"/>
            <w:r>
              <w:rPr>
                <w:rFonts w:ascii="Times New Roman" w:hAnsi="Times New Roman"/>
                <w:sz w:val="24"/>
              </w:rPr>
              <w:t xml:space="preserve"> pozicije u </w:t>
            </w:r>
            <w:proofErr w:type="spellStart"/>
            <w:r>
              <w:rPr>
                <w:rFonts w:ascii="Times New Roman" w:hAnsi="Times New Roman"/>
                <w:sz w:val="24"/>
              </w:rPr>
              <w:t>sekuritizacijskoj</w:t>
            </w:r>
            <w:proofErr w:type="spellEnd"/>
            <w:r>
              <w:rPr>
                <w:rFonts w:ascii="Times New Roman" w:hAnsi="Times New Roman"/>
                <w:sz w:val="24"/>
              </w:rPr>
              <w:t xml:space="preserve"> transakciji u kojoj nije ni inicijator ni sponzor ni izvorni zajmodavac.</w:t>
            </w:r>
          </w:p>
        </w:tc>
      </w:tr>
      <w:tr w:rsidR="00C55547" w:rsidRPr="00A30C4C" w14:paraId="64F90258" w14:textId="77777777" w:rsidTr="00E10B85">
        <w:tc>
          <w:tcPr>
            <w:tcW w:w="1008" w:type="dxa"/>
          </w:tcPr>
          <w:p w14:paraId="5FC5225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14:paraId="28C29349"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14:paraId="4B9915C9" w14:textId="1844E04E" w:rsidR="005C14B0" w:rsidRPr="00A30C4C" w:rsidRDefault="00E64BFE" w:rsidP="001E0C80">
            <w:pPr>
              <w:rPr>
                <w:rFonts w:ascii="Times New Roman" w:hAnsi="Times New Roman"/>
                <w:sz w:val="24"/>
              </w:rPr>
            </w:pPr>
            <w:r>
              <w:rPr>
                <w:rFonts w:ascii="Times New Roman" w:hAnsi="Times New Roman"/>
                <w:sz w:val="24"/>
              </w:rPr>
              <w:t xml:space="preserve">Članak 4. stavak 1. točka 14. CRR-a </w:t>
            </w:r>
          </w:p>
          <w:p w14:paraId="4AE597AF" w14:textId="3DCDD088" w:rsidR="00C55547" w:rsidRPr="00A30C4C" w:rsidRDefault="005F3BBE" w:rsidP="005F3BBE">
            <w:pPr>
              <w:rPr>
                <w:rFonts w:ascii="Times New Roman" w:hAnsi="Times New Roman"/>
                <w:sz w:val="24"/>
              </w:rPr>
            </w:pPr>
            <w:r>
              <w:rPr>
                <w:rFonts w:ascii="Times New Roman" w:hAnsi="Times New Roman"/>
                <w:sz w:val="24"/>
              </w:rPr>
              <w:t xml:space="preserve">Sponzor koji i </w:t>
            </w:r>
            <w:proofErr w:type="spellStart"/>
            <w:r>
              <w:rPr>
                <w:rFonts w:ascii="Times New Roman" w:hAnsi="Times New Roman"/>
                <w:sz w:val="24"/>
              </w:rPr>
              <w:t>sekuritizira</w:t>
            </w:r>
            <w:proofErr w:type="spellEnd"/>
            <w:r>
              <w:rPr>
                <w:rFonts w:ascii="Times New Roman" w:hAnsi="Times New Roman"/>
                <w:sz w:val="24"/>
              </w:rPr>
              <w:t xml:space="preserve"> svoju imovinu popunjava retke za inicijatora informacijama o vlastitoj </w:t>
            </w:r>
            <w:proofErr w:type="spellStart"/>
            <w:r>
              <w:rPr>
                <w:rFonts w:ascii="Times New Roman" w:hAnsi="Times New Roman"/>
                <w:sz w:val="24"/>
              </w:rPr>
              <w:t>sekuritiziranoj</w:t>
            </w:r>
            <w:proofErr w:type="spellEnd"/>
            <w:r>
              <w:rPr>
                <w:rFonts w:ascii="Times New Roman" w:hAnsi="Times New Roman"/>
                <w:sz w:val="24"/>
              </w:rPr>
              <w:t xml:space="preserve"> imovini.</w:t>
            </w:r>
          </w:p>
        </w:tc>
      </w:tr>
      <w:tr w:rsidR="00C55547" w:rsidRPr="00A30C4C" w14:paraId="5F06ED76" w14:textId="77777777" w:rsidTr="00E10B85">
        <w:tc>
          <w:tcPr>
            <w:tcW w:w="1008" w:type="dxa"/>
          </w:tcPr>
          <w:p w14:paraId="3FDBC7C8"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030, 060 i 090</w:t>
            </w:r>
          </w:p>
        </w:tc>
        <w:tc>
          <w:tcPr>
            <w:tcW w:w="8204" w:type="dxa"/>
          </w:tcPr>
          <w:p w14:paraId="6D8C0704" w14:textId="1BC5BEA9"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SEKURITIZACIJSKE POZICIJE</w:t>
            </w:r>
          </w:p>
          <w:p w14:paraId="2FF6099C" w14:textId="36ABC9C4" w:rsidR="00C55547" w:rsidRPr="00A30C4C" w:rsidRDefault="00C55547" w:rsidP="00E10B85">
            <w:pPr>
              <w:rPr>
                <w:rFonts w:ascii="Times New Roman" w:hAnsi="Times New Roman"/>
                <w:sz w:val="24"/>
              </w:rPr>
            </w:pPr>
            <w:r>
              <w:rPr>
                <w:rFonts w:ascii="Times New Roman" w:hAnsi="Times New Roman"/>
                <w:sz w:val="24"/>
              </w:rPr>
              <w:t xml:space="preserve">Korelacijski portfelj namijenjen trgovanju sadržava </w:t>
            </w:r>
            <w:proofErr w:type="spellStart"/>
            <w:r>
              <w:rPr>
                <w:rFonts w:ascii="Times New Roman" w:hAnsi="Times New Roman"/>
                <w:sz w:val="24"/>
              </w:rPr>
              <w:t>sekuritizacije</w:t>
            </w:r>
            <w:proofErr w:type="spellEnd"/>
            <w:r>
              <w:rPr>
                <w:rFonts w:ascii="Times New Roman" w:hAnsi="Times New Roman"/>
                <w:sz w:val="24"/>
              </w:rPr>
              <w:t>, kreditne izvedenice na osnovi n-tog nastanka statusa neispunjavanja obveza i moguće ostale pozicije za zaštitu koje ispunjavaju kriterije iz članka 338. stavaka 2. i 3. CRR-a.</w:t>
            </w:r>
          </w:p>
          <w:p w14:paraId="5739C9FE" w14:textId="77777777" w:rsidR="00C55547" w:rsidRPr="00A30C4C" w:rsidRDefault="00C55547" w:rsidP="00E10B85">
            <w:pPr>
              <w:rPr>
                <w:rFonts w:ascii="Times New Roman" w:hAnsi="Times New Roman"/>
                <w:sz w:val="24"/>
              </w:rPr>
            </w:pPr>
            <w:r>
              <w:rPr>
                <w:rFonts w:ascii="Times New Roman" w:hAnsi="Times New Roman"/>
                <w:sz w:val="24"/>
              </w:rPr>
              <w:t xml:space="preserve">Izvedenice </w:t>
            </w:r>
            <w:proofErr w:type="spellStart"/>
            <w:r>
              <w:rPr>
                <w:rFonts w:ascii="Times New Roman" w:hAnsi="Times New Roman"/>
                <w:sz w:val="24"/>
              </w:rPr>
              <w:t>sekuritizacijskih</w:t>
            </w:r>
            <w:proofErr w:type="spellEnd"/>
            <w:r>
              <w:rPr>
                <w:rFonts w:ascii="Times New Roman" w:hAnsi="Times New Roman"/>
                <w:sz w:val="24"/>
              </w:rPr>
              <w:t xml:space="preserve"> izloženosti kojima se osigurava proporcionalan udio te pozicije za zaštitu pozicija korelacijskog portfelja namijenjenog trgovanju uključuju se u redak „Ostale pozicije korelacijskog portfelja namijenjenog trgovanju”.</w:t>
            </w:r>
          </w:p>
        </w:tc>
      </w:tr>
      <w:tr w:rsidR="00C55547" w:rsidRPr="00A30C4C" w14:paraId="184CDEEA" w14:textId="77777777" w:rsidTr="00E10B85">
        <w:tc>
          <w:tcPr>
            <w:tcW w:w="1008" w:type="dxa"/>
          </w:tcPr>
          <w:p w14:paraId="27D0C00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tc>
        <w:tc>
          <w:tcPr>
            <w:tcW w:w="8204" w:type="dxa"/>
          </w:tcPr>
          <w:p w14:paraId="0E649A0D"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KREDITNE IZVEDENICE NA OSNOVI N-TOG NASTANKA STATUSA NEISPUNJAVANJA OBVEZA</w:t>
            </w:r>
          </w:p>
          <w:p w14:paraId="4476AAB5" w14:textId="77684023" w:rsidR="00C55547" w:rsidRPr="00A30C4C" w:rsidRDefault="00C55547" w:rsidP="00E10B85">
            <w:pPr>
              <w:rPr>
                <w:rFonts w:ascii="Times New Roman" w:hAnsi="Times New Roman"/>
                <w:sz w:val="24"/>
              </w:rPr>
            </w:pPr>
            <w:r>
              <w:rPr>
                <w:rFonts w:ascii="Times New Roman" w:hAnsi="Times New Roman"/>
                <w:sz w:val="24"/>
              </w:rPr>
              <w:t>Kreditne izvedenice na osnovi n-tog nastanka statusa neispunjavanja obveza koje su zaštićene kreditnim izvedenicama na osnovi n-tog nastanka statusa neispunjavanja obveza u skladu s člankom 347. CRR-a iskazuju se ovdje.</w:t>
            </w:r>
          </w:p>
          <w:p w14:paraId="177FAE42" w14:textId="77777777" w:rsidR="00C55547" w:rsidRPr="00A30C4C" w:rsidRDefault="00C55547" w:rsidP="00E10B85">
            <w:pPr>
              <w:rPr>
                <w:rFonts w:ascii="Times New Roman" w:hAnsi="Times New Roman"/>
                <w:sz w:val="24"/>
              </w:rPr>
            </w:pPr>
            <w:r>
              <w:rPr>
                <w:rFonts w:ascii="Times New Roman" w:hAnsi="Times New Roman"/>
                <w:sz w:val="24"/>
              </w:rPr>
              <w:t xml:space="preserve">Inicijator, investitor i sponzor pozicija ne ispunjavaju uvjere za kreditne izvedenice na osnovi n-tog nastanka statusa neispunjavanja obveza. Kao posljedica toga, kreditne izvedenice na osnovi n-tog nastanka statusa neispunjavanja obveza ne mogu se raščlaniti kao </w:t>
            </w:r>
            <w:proofErr w:type="spellStart"/>
            <w:r>
              <w:rPr>
                <w:rFonts w:ascii="Times New Roman" w:hAnsi="Times New Roman"/>
                <w:sz w:val="24"/>
              </w:rPr>
              <w:t>sekuritizacijske</w:t>
            </w:r>
            <w:proofErr w:type="spellEnd"/>
            <w:r>
              <w:rPr>
                <w:rFonts w:ascii="Times New Roman" w:hAnsi="Times New Roman"/>
                <w:sz w:val="24"/>
              </w:rPr>
              <w:t xml:space="preserve"> pozicije.</w:t>
            </w:r>
          </w:p>
        </w:tc>
      </w:tr>
      <w:tr w:rsidR="00C55547" w:rsidRPr="00A30C4C" w14:paraId="29930146" w14:textId="77777777" w:rsidTr="00E10B85">
        <w:tc>
          <w:tcPr>
            <w:tcW w:w="1008" w:type="dxa"/>
          </w:tcPr>
          <w:p w14:paraId="58106EA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040, 070, 100 i 120</w:t>
            </w:r>
          </w:p>
        </w:tc>
        <w:tc>
          <w:tcPr>
            <w:tcW w:w="8204" w:type="dxa"/>
          </w:tcPr>
          <w:p w14:paraId="0972E17B"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OSTALE POZICIJE KORELACIJSKOG PORTFELJA NAMIJENJENOG TRGOVANJU</w:t>
            </w:r>
          </w:p>
          <w:p w14:paraId="1740DE1D" w14:textId="75717A0B" w:rsidR="00C55547" w:rsidRPr="00A30C4C" w:rsidRDefault="00C55547" w:rsidP="00E10B85">
            <w:pPr>
              <w:rPr>
                <w:rFonts w:ascii="Times New Roman" w:hAnsi="Times New Roman"/>
                <w:sz w:val="24"/>
              </w:rPr>
            </w:pPr>
            <w:r>
              <w:rPr>
                <w:rFonts w:ascii="Times New Roman" w:hAnsi="Times New Roman"/>
                <w:sz w:val="24"/>
              </w:rPr>
              <w:t xml:space="preserve">Uključene su sljedeće pozicije: </w:t>
            </w:r>
          </w:p>
          <w:p w14:paraId="2E95BB61" w14:textId="77777777" w:rsidR="00C55547" w:rsidRPr="00A30C4C"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 xml:space="preserve">izvedenice </w:t>
            </w:r>
            <w:proofErr w:type="spellStart"/>
            <w:r>
              <w:rPr>
                <w:rFonts w:ascii="Times New Roman" w:hAnsi="Times New Roman"/>
                <w:sz w:val="24"/>
              </w:rPr>
              <w:t>sekuritizacijskih</w:t>
            </w:r>
            <w:proofErr w:type="spellEnd"/>
            <w:r>
              <w:rPr>
                <w:rFonts w:ascii="Times New Roman" w:hAnsi="Times New Roman"/>
                <w:sz w:val="24"/>
              </w:rPr>
              <w:t xml:space="preserve"> izloženosti kojima se osigurava proporcionalan udio te pozicije za zaštitu pozicija korelacijskog portfelja namijenjenog trgovanju;</w:t>
            </w:r>
          </w:p>
          <w:p w14:paraId="41423E99" w14:textId="1D63F79A" w:rsidR="00C55547" w:rsidRPr="00A30C4C" w:rsidRDefault="00C55547" w:rsidP="00E10B85">
            <w:pPr>
              <w:tabs>
                <w:tab w:val="left" w:pos="720"/>
              </w:tabs>
              <w:ind w:left="720" w:hanging="360"/>
              <w:rPr>
                <w:rFonts w:ascii="Times New Roman" w:hAnsi="Times New Roman"/>
                <w:sz w:val="24"/>
              </w:rPr>
            </w:pPr>
            <w:r>
              <w:rPr>
                <w:rFonts w:ascii="Symbol" w:hAnsi="Symbol"/>
                <w:sz w:val="24"/>
              </w:rPr>
              <w:t></w:t>
            </w:r>
            <w:r>
              <w:rPr>
                <w:rFonts w:ascii="Symbol" w:hAnsi="Symbol"/>
                <w:sz w:val="24"/>
              </w:rPr>
              <w:tab/>
            </w:r>
            <w:r>
              <w:rPr>
                <w:rFonts w:ascii="Times New Roman" w:hAnsi="Times New Roman"/>
                <w:sz w:val="24"/>
              </w:rPr>
              <w:t>pozicije korelacijskog portfelja namijenjenog trgovanju koje su zaštićene kreditnim izvedenicama u skladu s člankom 346. CRR-a;</w:t>
            </w:r>
          </w:p>
          <w:p w14:paraId="2AE83702" w14:textId="6649D035" w:rsidR="00C55547" w:rsidRPr="00A30C4C" w:rsidRDefault="00C55547" w:rsidP="005F3BBE">
            <w:pPr>
              <w:tabs>
                <w:tab w:val="left" w:pos="720"/>
              </w:tabs>
              <w:ind w:left="720" w:hanging="360"/>
              <w:rPr>
                <w:rFonts w:ascii="Times New Roman" w:hAnsi="Times New Roman"/>
                <w:sz w:val="24"/>
              </w:rPr>
            </w:pPr>
            <w:r>
              <w:rPr>
                <w:rFonts w:ascii="Symbol" w:hAnsi="Symbol"/>
                <w:sz w:val="24"/>
              </w:rPr>
              <w:t></w:t>
            </w:r>
            <w:r>
              <w:rPr>
                <w:sz w:val="24"/>
              </w:rPr>
              <w:tab/>
            </w:r>
            <w:r>
              <w:rPr>
                <w:rFonts w:ascii="Times New Roman" w:hAnsi="Times New Roman"/>
                <w:sz w:val="24"/>
              </w:rPr>
              <w:t>ostale pozicije koje ispunjavaju uvjete iz članka 338. stavka 3. CRR-a.</w:t>
            </w:r>
          </w:p>
        </w:tc>
      </w:tr>
    </w:tbl>
    <w:p w14:paraId="07A4A11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57" w:name="_Toc295830005"/>
      <w:bookmarkStart w:id="558" w:name="_Toc308426682"/>
      <w:bookmarkStart w:id="559" w:name="_Toc310415066"/>
      <w:bookmarkStart w:id="560" w:name="_Toc360188401"/>
      <w:bookmarkStart w:id="561" w:name="_Toc473561041"/>
      <w:bookmarkStart w:id="562" w:name="_Toc30677712"/>
      <w:r>
        <w:rPr>
          <w:rFonts w:ascii="Times New Roman" w:hAnsi="Times New Roman"/>
          <w:sz w:val="24"/>
          <w:u w:val="none"/>
        </w:rPr>
        <w:t>5.4.</w:t>
      </w:r>
      <w:r>
        <w:rPr>
          <w:rFonts w:ascii="Times New Roman" w:hAnsi="Times New Roman"/>
          <w:sz w:val="24"/>
          <w:u w:val="none"/>
        </w:rPr>
        <w:tab/>
      </w:r>
      <w:r>
        <w:rPr>
          <w:rFonts w:ascii="Times New Roman" w:hAnsi="Times New Roman"/>
          <w:sz w:val="24"/>
        </w:rPr>
        <w:t xml:space="preserve">C 21.00 – Tržišni rizik: </w:t>
      </w:r>
      <w:bookmarkStart w:id="563" w:name="_Toc262566429"/>
      <w:r>
        <w:rPr>
          <w:rFonts w:ascii="Times New Roman" w:hAnsi="Times New Roman"/>
          <w:sz w:val="24"/>
        </w:rPr>
        <w:t>standardizirani pristup pozicijskom riziku u vlasničkim instrumentima</w:t>
      </w:r>
      <w:bookmarkEnd w:id="563"/>
      <w:r>
        <w:t xml:space="preserve"> </w:t>
      </w:r>
      <w:bookmarkEnd w:id="557"/>
      <w:bookmarkEnd w:id="558"/>
      <w:bookmarkEnd w:id="559"/>
      <w:bookmarkEnd w:id="560"/>
      <w:r>
        <w:rPr>
          <w:rFonts w:ascii="Times New Roman" w:hAnsi="Times New Roman"/>
          <w:sz w:val="24"/>
        </w:rPr>
        <w:t xml:space="preserve"> (MKR SA EQU)</w:t>
      </w:r>
      <w:bookmarkEnd w:id="561"/>
      <w:bookmarkEnd w:id="562"/>
    </w:p>
    <w:p w14:paraId="014E240B"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64" w:name="_Toc262566430"/>
      <w:bookmarkStart w:id="565" w:name="_Toc295830006"/>
      <w:bookmarkStart w:id="566" w:name="_Toc308426683"/>
      <w:bookmarkStart w:id="567" w:name="_Toc310415067"/>
      <w:bookmarkStart w:id="568" w:name="_Toc360188402"/>
      <w:bookmarkStart w:id="569" w:name="_Toc473561042"/>
      <w:bookmarkStart w:id="570" w:name="_Toc30677713"/>
      <w:r>
        <w:rPr>
          <w:rFonts w:ascii="Times New Roman" w:hAnsi="Times New Roman"/>
          <w:sz w:val="24"/>
          <w:u w:val="none"/>
        </w:rPr>
        <w:t>5.4.1.</w:t>
      </w:r>
      <w:r>
        <w:rPr>
          <w:rFonts w:ascii="Times New Roman" w:hAnsi="Times New Roman"/>
          <w:sz w:val="24"/>
          <w:u w:val="none"/>
        </w:rPr>
        <w:tab/>
      </w:r>
      <w:r>
        <w:rPr>
          <w:rFonts w:ascii="Times New Roman" w:hAnsi="Times New Roman"/>
          <w:sz w:val="24"/>
        </w:rPr>
        <w:t>Opće napomene</w:t>
      </w:r>
      <w:bookmarkEnd w:id="564"/>
      <w:bookmarkEnd w:id="565"/>
      <w:bookmarkEnd w:id="566"/>
      <w:bookmarkEnd w:id="567"/>
      <w:bookmarkEnd w:id="568"/>
      <w:bookmarkEnd w:id="569"/>
      <w:bookmarkEnd w:id="570"/>
    </w:p>
    <w:p w14:paraId="2DC9750B" w14:textId="38C560CA" w:rsidR="000B0B09" w:rsidRPr="00A30C4C" w:rsidRDefault="00125707" w:rsidP="001A3980">
      <w:pPr>
        <w:pStyle w:val="InstructionsText2"/>
        <w:numPr>
          <w:ilvl w:val="0"/>
          <w:numId w:val="0"/>
        </w:numPr>
        <w:ind w:left="993"/>
      </w:pPr>
      <w:r>
        <w:t>148.</w:t>
      </w:r>
      <w:r>
        <w:tab/>
        <w:t xml:space="preserve"> U ovom se obrascu zahtijevaju informacije o pozicijama i odgovarajućim kapitalnim zahtjevima za pozicijski rizik u vlasničkim instrumentima koji se drže u knjizi trgovanja i tretiraju se u skladu sa standardiziranim pristupom.</w:t>
      </w:r>
    </w:p>
    <w:p w14:paraId="249BDF92" w14:textId="77777777" w:rsidR="000B0B09" w:rsidRPr="00A30C4C" w:rsidRDefault="00125707" w:rsidP="001A3980">
      <w:pPr>
        <w:pStyle w:val="InstructionsText2"/>
        <w:numPr>
          <w:ilvl w:val="0"/>
          <w:numId w:val="0"/>
        </w:numPr>
        <w:ind w:left="993"/>
      </w:pPr>
      <w:r>
        <w:t>149.</w:t>
      </w:r>
      <w:r>
        <w:tab/>
        <w:t xml:space="preserve"> Obrazac je potrebno popuniti zasebno za „ukupne podatke”, uključujući stalan prethodno definirani popis sljedećih tržišta: Bugarske, Hrvatske, Češke, Danske, Egipta, Mađarske, Islanda, Lihtenštajna, Norveške, Poljske, Rumunjske, Švedske, Ujedinjene Kraljevine, Albanije, Japana, bivše jugoslavenske republike Makedonije, Ruske Federacije, Srbije, Švicarske, Turske, Ukrajine, SAD-a, </w:t>
      </w:r>
      <w:proofErr w:type="spellStart"/>
      <w:r>
        <w:t>europodručja</w:t>
      </w:r>
      <w:proofErr w:type="spellEnd"/>
      <w:r>
        <w:t xml:space="preserve"> uključujući jedan preostali obrazac za sva ostala tržišta. Za potrebe iskazivanja zahtjeva pojam „tržište” tumači se kao „zemlja” (osim za zemlje koje su članice </w:t>
      </w:r>
      <w:proofErr w:type="spellStart"/>
      <w:r>
        <w:t>europodručja</w:t>
      </w:r>
      <w:proofErr w:type="spellEnd"/>
      <w:r>
        <w:t>, vidjeti Delegiranu uredbu Komisije (EU) br. 525/2014</w:t>
      </w:r>
      <w:r w:rsidR="005F3BBE" w:rsidRPr="00A30C4C">
        <w:rPr>
          <w:rStyle w:val="FootnoteReference"/>
          <w:rFonts w:ascii="Times New Roman" w:hAnsi="Times New Roman"/>
          <w:sz w:val="20"/>
          <w:szCs w:val="20"/>
          <w:vertAlign w:val="superscript"/>
        </w:rPr>
        <w:footnoteReference w:id="15"/>
      </w:r>
      <w:r>
        <w:t>).</w:t>
      </w:r>
    </w:p>
    <w:p w14:paraId="0ADCA857"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71" w:name="_Toc262566431"/>
      <w:bookmarkStart w:id="572" w:name="_Toc295830007"/>
      <w:bookmarkStart w:id="573" w:name="_Toc308426684"/>
      <w:bookmarkStart w:id="574" w:name="_Toc310415068"/>
      <w:bookmarkStart w:id="575" w:name="_Toc360188403"/>
      <w:bookmarkStart w:id="576" w:name="_Toc473561043"/>
      <w:bookmarkStart w:id="577" w:name="_Toc30677714"/>
      <w:r>
        <w:rPr>
          <w:rFonts w:ascii="Times New Roman" w:hAnsi="Times New Roman"/>
          <w:sz w:val="24"/>
          <w:u w:val="none"/>
        </w:rPr>
        <w:t>5.4.2.</w:t>
      </w:r>
      <w:r>
        <w:rPr>
          <w:rFonts w:ascii="Times New Roman" w:hAnsi="Times New Roman"/>
          <w:sz w:val="24"/>
          <w:u w:val="none"/>
        </w:rPr>
        <w:tab/>
      </w:r>
      <w:r>
        <w:rPr>
          <w:rFonts w:ascii="Times New Roman" w:hAnsi="Times New Roman"/>
          <w:sz w:val="24"/>
        </w:rPr>
        <w:t>Upute za specifične pozicije</w:t>
      </w:r>
      <w:bookmarkEnd w:id="571"/>
      <w:bookmarkEnd w:id="572"/>
      <w:bookmarkEnd w:id="573"/>
      <w:bookmarkEnd w:id="574"/>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0D1FD3F9" w14:textId="77777777" w:rsidTr="00672D2A">
        <w:trPr>
          <w:trHeight w:val="626"/>
        </w:trPr>
        <w:tc>
          <w:tcPr>
            <w:tcW w:w="8862" w:type="dxa"/>
            <w:gridSpan w:val="2"/>
            <w:shd w:val="clear" w:color="auto" w:fill="CCCCCC"/>
          </w:tcPr>
          <w:p w14:paraId="4E32C797"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A30C4C" w14:paraId="44C5D299" w14:textId="77777777" w:rsidTr="00672D2A">
        <w:tc>
          <w:tcPr>
            <w:tcW w:w="988" w:type="dxa"/>
          </w:tcPr>
          <w:p w14:paraId="1913A6AA"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010-020</w:t>
            </w:r>
          </w:p>
        </w:tc>
        <w:tc>
          <w:tcPr>
            <w:tcW w:w="7874" w:type="dxa"/>
          </w:tcPr>
          <w:p w14:paraId="21ED8BDF" w14:textId="77777777"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SVE POZICIJE (DUGE I KRATKE)</w:t>
            </w:r>
          </w:p>
          <w:p w14:paraId="0C196EB7" w14:textId="07DA4557" w:rsidR="005C14B0" w:rsidRPr="00A30C4C"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Članak 102. i članak 105. stavak 1. CRR-a </w:t>
            </w:r>
          </w:p>
          <w:p w14:paraId="46B910C9" w14:textId="75F18726" w:rsidR="000B0B09" w:rsidRPr="00A30C4C"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To su bruto pozicije koje nisu </w:t>
            </w:r>
            <w:proofErr w:type="spellStart"/>
            <w:r>
              <w:rPr>
                <w:rFonts w:ascii="Times New Roman" w:hAnsi="Times New Roman"/>
                <w:sz w:val="24"/>
              </w:rPr>
              <w:t>netirane</w:t>
            </w:r>
            <w:proofErr w:type="spellEnd"/>
            <w:r>
              <w:rPr>
                <w:rFonts w:ascii="Times New Roman" w:hAnsi="Times New Roman"/>
                <w:sz w:val="24"/>
              </w:rPr>
              <w:t xml:space="preserve"> instrumentima, ali isključujući pozicije proizišle iz pružanja usluge provedbe ponude odnosno prodaje financijskih instrumenata uz obvezu otkupa koje su upisane ili su predmet </w:t>
            </w:r>
            <w:proofErr w:type="spellStart"/>
            <w:r>
              <w:rPr>
                <w:rFonts w:ascii="Times New Roman" w:hAnsi="Times New Roman"/>
                <w:sz w:val="24"/>
              </w:rPr>
              <w:t>potpokroviteljstva</w:t>
            </w:r>
            <w:proofErr w:type="spellEnd"/>
            <w:r>
              <w:rPr>
                <w:rFonts w:ascii="Times New Roman" w:hAnsi="Times New Roman"/>
                <w:sz w:val="24"/>
              </w:rPr>
              <w:t xml:space="preserve"> trećih strana iz članka 345. stavka 1. prvog podstavka druge rečenice CRR-a. </w:t>
            </w:r>
          </w:p>
        </w:tc>
      </w:tr>
      <w:tr w:rsidR="000B0B09" w:rsidRPr="00A30C4C" w14:paraId="5BB4F368" w14:textId="77777777" w:rsidTr="00672D2A">
        <w:tc>
          <w:tcPr>
            <w:tcW w:w="988" w:type="dxa"/>
          </w:tcPr>
          <w:p w14:paraId="742D20C7"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14:paraId="024F736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14:paraId="60CE0C26" w14:textId="5C8BDC4C" w:rsidR="000B0B09" w:rsidRPr="00A30C4C" w:rsidRDefault="000B0B09" w:rsidP="005F3BBE">
            <w:pPr>
              <w:autoSpaceDE w:val="0"/>
              <w:autoSpaceDN w:val="0"/>
              <w:adjustRightInd w:val="0"/>
              <w:rPr>
                <w:rFonts w:ascii="Times New Roman" w:hAnsi="Times New Roman"/>
                <w:sz w:val="24"/>
              </w:rPr>
            </w:pPr>
            <w:r>
              <w:rPr>
                <w:rFonts w:ascii="Times New Roman" w:hAnsi="Times New Roman"/>
                <w:sz w:val="24"/>
              </w:rPr>
              <w:t xml:space="preserve">Članci 327., 329., 332., 341. i 345. CRR-a. </w:t>
            </w:r>
          </w:p>
        </w:tc>
      </w:tr>
      <w:tr w:rsidR="000B0B09" w:rsidRPr="00A30C4C" w14:paraId="6D268F9B" w14:textId="77777777" w:rsidTr="00672D2A">
        <w:tc>
          <w:tcPr>
            <w:tcW w:w="988" w:type="dxa"/>
          </w:tcPr>
          <w:p w14:paraId="47EAC24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14:paraId="142D2F43" w14:textId="77777777" w:rsidR="000B0B09" w:rsidRPr="00A30C4C"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14:paraId="17FCE457" w14:textId="0D8E5A85" w:rsidR="000B0B09" w:rsidRPr="00A30C4C"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Neto pozicije koje, u skladu s različitim pristupima koji se razmatraju u dijelu trećem glavi IV. poglavlju 2. CRR-a dobivaju kapitalni zahtjev. Kapitalni zahtjev mora se izračunati za svako nacionalno tržište zasebno. U ovaj se stupac ne uključuju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iz članka 344. stavka 4. druge rečenice CRR-a.</w:t>
            </w:r>
          </w:p>
          <w:p w14:paraId="5BD09D1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A0ACA66" w14:textId="77777777" w:rsidTr="00672D2A">
        <w:tc>
          <w:tcPr>
            <w:tcW w:w="988" w:type="dxa"/>
          </w:tcPr>
          <w:p w14:paraId="7B6025D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14:paraId="32999987"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14:paraId="2776CC3D" w14:textId="28B97DBB" w:rsidR="000B0B09" w:rsidRPr="00A30C4C"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Kapitalni zahtjev za sve relevantne pozicije u skladu s dijelom trećim glavom IV. poglavljem 2. CRR-a</w:t>
            </w:r>
          </w:p>
          <w:p w14:paraId="1386161B"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A30C4C" w14:paraId="16CCEF26" w14:textId="77777777" w:rsidTr="00672D2A">
        <w:tc>
          <w:tcPr>
            <w:tcW w:w="988" w:type="dxa"/>
          </w:tcPr>
          <w:p w14:paraId="2B03749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14:paraId="3E9B730F"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14:paraId="62D46FDE" w14:textId="790192CB" w:rsidR="00E64BFE"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Članak 92. stavak 4. točka (b) CRR-a </w:t>
            </w:r>
          </w:p>
          <w:p w14:paraId="0AD48A5E" w14:textId="0496E056" w:rsidR="000B0B09" w:rsidRPr="00A30C4C" w:rsidRDefault="000B0B09" w:rsidP="005F3BBE">
            <w:pPr>
              <w:tabs>
                <w:tab w:val="left" w:pos="1665"/>
              </w:tabs>
              <w:autoSpaceDE w:val="0"/>
              <w:autoSpaceDN w:val="0"/>
              <w:adjustRightInd w:val="0"/>
              <w:spacing w:after="0"/>
              <w:rPr>
                <w:rFonts w:ascii="Times New Roman" w:hAnsi="Times New Roman"/>
                <w:b/>
                <w:bCs/>
                <w:sz w:val="24"/>
                <w:u w:val="single"/>
              </w:rPr>
            </w:pPr>
            <w:r>
              <w:rPr>
                <w:rFonts w:ascii="Times New Roman" w:hAnsi="Times New Roman"/>
                <w:sz w:val="24"/>
              </w:rPr>
              <w:t xml:space="preserve">Rezultat množenja kapitalnih zahtjeva sa 12,5. </w:t>
            </w:r>
          </w:p>
        </w:tc>
      </w:tr>
    </w:tbl>
    <w:p w14:paraId="4EFF44B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31FC1E5C"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0B0B09" w:rsidRPr="00A30C4C" w14:paraId="2BF596AB" w14:textId="77777777" w:rsidTr="00672D2A">
        <w:trPr>
          <w:trHeight w:val="662"/>
        </w:trPr>
        <w:tc>
          <w:tcPr>
            <w:tcW w:w="9212" w:type="dxa"/>
            <w:gridSpan w:val="2"/>
            <w:shd w:val="clear" w:color="auto" w:fill="CCCCCC"/>
          </w:tcPr>
          <w:p w14:paraId="30258F42"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A30C4C" w14:paraId="53CC4F42" w14:textId="77777777" w:rsidTr="00672D2A">
        <w:tc>
          <w:tcPr>
            <w:tcW w:w="1008" w:type="dxa"/>
          </w:tcPr>
          <w:p w14:paraId="07A1E0BC"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14:paraId="6837522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 U KNJIZI TRGOVANJA</w:t>
            </w:r>
          </w:p>
          <w:p w14:paraId="2D56A0EB" w14:textId="77777777" w:rsidR="000B0B09" w:rsidRPr="00A30C4C" w:rsidRDefault="000B0B09">
            <w:pPr>
              <w:autoSpaceDE w:val="0"/>
              <w:autoSpaceDN w:val="0"/>
              <w:adjustRightInd w:val="0"/>
              <w:spacing w:before="0" w:after="0"/>
              <w:rPr>
                <w:rFonts w:ascii="Times New Roman" w:hAnsi="Times New Roman"/>
                <w:sz w:val="24"/>
                <w:lang w:eastAsia="nl-BE"/>
              </w:rPr>
            </w:pPr>
          </w:p>
          <w:p w14:paraId="6F68248B" w14:textId="58D439B3" w:rsidR="005C14B0" w:rsidRPr="00A30C4C" w:rsidRDefault="000B0B09" w:rsidP="005F3BBE">
            <w:pPr>
              <w:autoSpaceDE w:val="0"/>
              <w:autoSpaceDN w:val="0"/>
              <w:adjustRightInd w:val="0"/>
              <w:rPr>
                <w:rFonts w:ascii="Times New Roman" w:hAnsi="Times New Roman"/>
                <w:sz w:val="24"/>
              </w:rPr>
            </w:pPr>
            <w:r>
              <w:rPr>
                <w:rFonts w:ascii="Times New Roman" w:hAnsi="Times New Roman"/>
                <w:sz w:val="24"/>
              </w:rPr>
              <w:t xml:space="preserve">Kapitalni zahtjevi za pozicijski rizik iz članka 92. stavka 3. točke (b) </w:t>
            </w:r>
            <w:proofErr w:type="spellStart"/>
            <w:r>
              <w:rPr>
                <w:rFonts w:ascii="Times New Roman" w:hAnsi="Times New Roman"/>
                <w:sz w:val="24"/>
              </w:rPr>
              <w:t>podtočke</w:t>
            </w:r>
            <w:proofErr w:type="spellEnd"/>
            <w:r>
              <w:rPr>
                <w:rFonts w:ascii="Times New Roman" w:hAnsi="Times New Roman"/>
                <w:sz w:val="24"/>
              </w:rPr>
              <w:t xml:space="preserve"> i. CRR-a i dijela trećeg glave IV. poglavlja 2. odjeljka 3. CRR-a.</w:t>
            </w:r>
          </w:p>
          <w:p w14:paraId="33C626D4" w14:textId="77777777" w:rsidR="000B0B09" w:rsidRPr="00A30C4C" w:rsidRDefault="000B0B09">
            <w:pPr>
              <w:autoSpaceDE w:val="0"/>
              <w:autoSpaceDN w:val="0"/>
              <w:adjustRightInd w:val="0"/>
              <w:spacing w:before="0" w:after="0"/>
              <w:rPr>
                <w:rFonts w:ascii="Times New Roman" w:hAnsi="Times New Roman"/>
                <w:sz w:val="24"/>
                <w:lang w:eastAsia="nl-BE"/>
              </w:rPr>
            </w:pPr>
          </w:p>
        </w:tc>
      </w:tr>
      <w:tr w:rsidR="000B0B09" w:rsidRPr="00A30C4C" w14:paraId="0D311520" w14:textId="77777777" w:rsidTr="00672D2A">
        <w:tc>
          <w:tcPr>
            <w:tcW w:w="1008" w:type="dxa"/>
          </w:tcPr>
          <w:p w14:paraId="60097250"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14:paraId="6573510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OPĆI RIZIK</w:t>
            </w:r>
          </w:p>
          <w:p w14:paraId="20B8FBBD" w14:textId="22E30883" w:rsidR="000B0B09" w:rsidRPr="00A30C4C" w:rsidRDefault="000B0B09" w:rsidP="005F3BBE">
            <w:pPr>
              <w:autoSpaceDE w:val="0"/>
              <w:autoSpaceDN w:val="0"/>
              <w:adjustRightInd w:val="0"/>
              <w:rPr>
                <w:rFonts w:ascii="Times New Roman" w:hAnsi="Times New Roman"/>
                <w:sz w:val="24"/>
              </w:rPr>
            </w:pPr>
            <w:r>
              <w:rPr>
                <w:rFonts w:ascii="Times New Roman" w:hAnsi="Times New Roman"/>
                <w:sz w:val="24"/>
              </w:rPr>
              <w:t>Pozicije u vlasničkim instrumentima koje podliježu općem riziku (članak 343. CRR-a) i njihov odgovarajući kapitalni zahtjev u skladu s dijelom trećim glavom IV. poglavljem 2. odjeljkom 3. CRR-a</w:t>
            </w:r>
          </w:p>
          <w:p w14:paraId="1BFE1CA0" w14:textId="77777777" w:rsidR="001E0C80" w:rsidRPr="00A30C4C" w:rsidRDefault="000B0B09" w:rsidP="005F3BBE">
            <w:pPr>
              <w:autoSpaceDE w:val="0"/>
              <w:autoSpaceDN w:val="0"/>
              <w:adjustRightInd w:val="0"/>
              <w:spacing w:before="0"/>
              <w:rPr>
                <w:rFonts w:ascii="Times New Roman" w:hAnsi="Times New Roman"/>
                <w:sz w:val="24"/>
              </w:rPr>
            </w:pPr>
            <w:r>
              <w:rPr>
                <w:rFonts w:ascii="Times New Roman" w:hAnsi="Times New Roman"/>
                <w:sz w:val="24"/>
              </w:rPr>
              <w:t>Obje su raščlambe (021/022 te 030/040) raščlamba povezana sa svim pozicijama koje podliježu općem riziku.</w:t>
            </w:r>
          </w:p>
          <w:p w14:paraId="63462FC1" w14:textId="29CC009F" w:rsidR="004E272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U redcima 021 i 022 zahtijevaju se informacije o raščlambi po instrumentima. </w:t>
            </w:r>
          </w:p>
          <w:p w14:paraId="16A2D7C2" w14:textId="12409853" w:rsidR="005C14B0" w:rsidRPr="00A30C4C" w:rsidRDefault="000B0B09">
            <w:pPr>
              <w:autoSpaceDE w:val="0"/>
              <w:autoSpaceDN w:val="0"/>
              <w:adjustRightInd w:val="0"/>
              <w:spacing w:before="0" w:after="0"/>
              <w:rPr>
                <w:rFonts w:ascii="Times New Roman" w:hAnsi="Times New Roman"/>
                <w:sz w:val="24"/>
              </w:rPr>
            </w:pPr>
            <w:r>
              <w:rPr>
                <w:rFonts w:ascii="Times New Roman" w:hAnsi="Times New Roman"/>
                <w:sz w:val="24"/>
              </w:rPr>
              <w:t>Samo se raščlamba u redcima 030 i 040 koristi kao osnova za izračun kapitalnih zahtjeva.</w:t>
            </w:r>
          </w:p>
          <w:p w14:paraId="13826A34" w14:textId="77777777" w:rsidR="000B0B09" w:rsidRPr="00A30C4C" w:rsidRDefault="000B0B09">
            <w:pPr>
              <w:autoSpaceDE w:val="0"/>
              <w:autoSpaceDN w:val="0"/>
              <w:adjustRightInd w:val="0"/>
              <w:spacing w:before="0" w:after="0"/>
              <w:rPr>
                <w:rFonts w:ascii="Times New Roman" w:hAnsi="Times New Roman"/>
                <w:sz w:val="24"/>
                <w:lang w:eastAsia="nl-BE"/>
              </w:rPr>
            </w:pPr>
          </w:p>
        </w:tc>
      </w:tr>
      <w:tr w:rsidR="000B0B09" w:rsidRPr="00A30C4C" w14:paraId="5713A497" w14:textId="77777777" w:rsidTr="00672D2A">
        <w:tc>
          <w:tcPr>
            <w:tcW w:w="1008" w:type="dxa"/>
          </w:tcPr>
          <w:p w14:paraId="2F04325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14:paraId="4F0CFF98" w14:textId="77777777" w:rsidR="000B0B09" w:rsidRPr="00A30C4C"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Izvedenice</w:t>
            </w:r>
          </w:p>
          <w:p w14:paraId="2BAE4180" w14:textId="5E55F605"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lastRenderedPageBreak/>
              <w:t>Izvedenice uključene u izračun rizika vlasničkih instrumenata za pozicije iz knjige trgovanja, uzimajući u obzir članke 329. i 332. CRR-a ako su primjenjivi.</w:t>
            </w:r>
          </w:p>
        </w:tc>
      </w:tr>
      <w:tr w:rsidR="000B0B09" w:rsidRPr="00A30C4C" w14:paraId="6B052FFA" w14:textId="77777777" w:rsidTr="00672D2A">
        <w:tc>
          <w:tcPr>
            <w:tcW w:w="1008" w:type="dxa"/>
          </w:tcPr>
          <w:p w14:paraId="279E0D9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022</w:t>
            </w:r>
          </w:p>
        </w:tc>
        <w:tc>
          <w:tcPr>
            <w:tcW w:w="8204" w:type="dxa"/>
          </w:tcPr>
          <w:p w14:paraId="757B7646" w14:textId="77777777" w:rsidR="000B0B09" w:rsidRPr="00A30C4C"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Ostala imovina i obveze</w:t>
            </w:r>
          </w:p>
          <w:p w14:paraId="0C210D3A" w14:textId="09F38B26"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Instrumenti osim izvedenica uključeni u izračun rizika vlasničkih instrumenata za pozicije iz knjige trgovanja. </w:t>
            </w:r>
          </w:p>
        </w:tc>
      </w:tr>
      <w:tr w:rsidR="000B0B09" w:rsidRPr="00A30C4C" w14:paraId="0BFC1543" w14:textId="77777777" w:rsidTr="00672D2A">
        <w:tc>
          <w:tcPr>
            <w:tcW w:w="1008" w:type="dxa"/>
          </w:tcPr>
          <w:p w14:paraId="410E75B8"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14:paraId="62C6DCE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Široko diversificirane </w:t>
            </w:r>
            <w:proofErr w:type="spellStart"/>
            <w:r>
              <w:rPr>
                <w:rFonts w:ascii="Times New Roman" w:hAnsi="Times New Roman"/>
                <w:b/>
                <w:bCs/>
                <w:sz w:val="24"/>
                <w:u w:val="single"/>
              </w:rPr>
              <w:t>budućnosnice</w:t>
            </w:r>
            <w:proofErr w:type="spellEnd"/>
            <w:r>
              <w:rPr>
                <w:rFonts w:ascii="Times New Roman" w:hAnsi="Times New Roman"/>
                <w:b/>
                <w:bCs/>
                <w:sz w:val="24"/>
                <w:u w:val="single"/>
              </w:rPr>
              <w:t xml:space="preserve"> na osnovi dioničkog indeksa kojima se trguje na burzi i koje podliježu posebnom pristupu</w:t>
            </w:r>
          </w:p>
          <w:p w14:paraId="02154138" w14:textId="77777777" w:rsidR="000B0B09" w:rsidRPr="00A30C4C" w:rsidRDefault="000B0B09" w:rsidP="000B0B09">
            <w:pPr>
              <w:autoSpaceDE w:val="0"/>
              <w:autoSpaceDN w:val="0"/>
              <w:adjustRightInd w:val="0"/>
              <w:spacing w:before="0" w:after="0"/>
              <w:rPr>
                <w:rFonts w:ascii="Times New Roman" w:hAnsi="Times New Roman"/>
                <w:sz w:val="24"/>
              </w:rPr>
            </w:pPr>
          </w:p>
          <w:p w14:paraId="0473B6C6" w14:textId="73AE1F75" w:rsidR="005C14B0"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Široko diversificirane </w:t>
            </w:r>
            <w:proofErr w:type="spellStart"/>
            <w:r>
              <w:rPr>
                <w:rFonts w:ascii="Times New Roman" w:hAnsi="Times New Roman"/>
                <w:sz w:val="24"/>
              </w:rPr>
              <w:t>budućnosnice</w:t>
            </w:r>
            <w:proofErr w:type="spellEnd"/>
            <w:r>
              <w:rPr>
                <w:rFonts w:ascii="Times New Roman" w:hAnsi="Times New Roman"/>
                <w:sz w:val="24"/>
              </w:rPr>
              <w:t xml:space="preserve"> na osnovi dioničkog indeksa kojima se trguje na burzi i koje podliježu posebnom pristupu u skladu s Provedbenom uredbom Komisije (EU) br. 945/2014</w:t>
            </w:r>
            <w:r w:rsidR="00A11C6E">
              <w:rPr>
                <w:rStyle w:val="FootnoteReference"/>
              </w:rPr>
              <w:footnoteReference w:id="16"/>
            </w:r>
          </w:p>
          <w:p w14:paraId="770167E8" w14:textId="18B416A6"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Te pozicije podliježu samo općem riziku i, u skladu s tim, ne smiju se iskazivati u retku 050.</w:t>
            </w:r>
          </w:p>
        </w:tc>
      </w:tr>
      <w:tr w:rsidR="000B0B09" w:rsidRPr="00A30C4C" w14:paraId="75CC6FFE" w14:textId="77777777" w:rsidTr="00672D2A">
        <w:tc>
          <w:tcPr>
            <w:tcW w:w="1008" w:type="dxa"/>
          </w:tcPr>
          <w:p w14:paraId="60C8670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8204" w:type="dxa"/>
          </w:tcPr>
          <w:p w14:paraId="03267B60"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Ostali vlasnički instrumenti koji nisu široko diversificirane </w:t>
            </w:r>
            <w:proofErr w:type="spellStart"/>
            <w:r>
              <w:rPr>
                <w:rFonts w:ascii="Times New Roman" w:hAnsi="Times New Roman"/>
                <w:b/>
                <w:bCs/>
                <w:sz w:val="24"/>
                <w:u w:val="single"/>
              </w:rPr>
              <w:t>budućnosnice</w:t>
            </w:r>
            <w:proofErr w:type="spellEnd"/>
            <w:r>
              <w:rPr>
                <w:rFonts w:ascii="Times New Roman" w:hAnsi="Times New Roman"/>
                <w:b/>
                <w:bCs/>
                <w:sz w:val="24"/>
                <w:u w:val="single"/>
              </w:rPr>
              <w:t xml:space="preserve"> na osnovi dioničkog indeksa kojima se trguje na burzi</w:t>
            </w:r>
          </w:p>
          <w:p w14:paraId="2137D3FE" w14:textId="1EA14295" w:rsidR="000B0B09" w:rsidRPr="00A30C4C" w:rsidRDefault="000B0B09" w:rsidP="006259C7">
            <w:pPr>
              <w:autoSpaceDE w:val="0"/>
              <w:autoSpaceDN w:val="0"/>
              <w:adjustRightInd w:val="0"/>
              <w:rPr>
                <w:rFonts w:ascii="Times New Roman" w:hAnsi="Times New Roman"/>
                <w:sz w:val="24"/>
              </w:rPr>
            </w:pPr>
            <w:r>
              <w:rPr>
                <w:rFonts w:ascii="Times New Roman" w:hAnsi="Times New Roman"/>
                <w:sz w:val="24"/>
              </w:rPr>
              <w:t xml:space="preserve">Ostale pozicije u vlasničkim instrumentima koje podliježu specifičnom riziku kao i odgovarajućim kapitalnim zahtjevima u skladu s člankom 343. CRR-a, uključujući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koje se tretiraju u skladu s člankom 344. stavkom 3. CRR-a </w:t>
            </w:r>
          </w:p>
        </w:tc>
      </w:tr>
      <w:tr w:rsidR="000B0B09" w:rsidRPr="00A30C4C" w14:paraId="60F1FFCE" w14:textId="77777777" w:rsidTr="00672D2A">
        <w:tc>
          <w:tcPr>
            <w:tcW w:w="1008" w:type="dxa"/>
          </w:tcPr>
          <w:p w14:paraId="3EF1505F"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14:paraId="4AA511F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SPECIFIČNI RIZIK</w:t>
            </w:r>
          </w:p>
          <w:p w14:paraId="24761435" w14:textId="54D53325" w:rsidR="000B0B09" w:rsidRPr="00A30C4C" w:rsidRDefault="000B0B09" w:rsidP="00F2521E">
            <w:pPr>
              <w:autoSpaceDE w:val="0"/>
              <w:autoSpaceDN w:val="0"/>
              <w:adjustRightInd w:val="0"/>
              <w:rPr>
                <w:rFonts w:ascii="Times New Roman" w:hAnsi="Times New Roman"/>
                <w:sz w:val="24"/>
              </w:rPr>
            </w:pPr>
            <w:r>
              <w:rPr>
                <w:rFonts w:ascii="Times New Roman" w:hAnsi="Times New Roman"/>
                <w:sz w:val="24"/>
              </w:rPr>
              <w:t xml:space="preserve">Pozicije u vlasničkim instrumentima koje podliježu specifičnom riziku i odgovarajućem kapitalnom zahtjevu u skladu s člankom 342. CRR-a, ne uključujući pozicije u </w:t>
            </w:r>
            <w:proofErr w:type="spellStart"/>
            <w:r>
              <w:rPr>
                <w:rFonts w:ascii="Times New Roman" w:hAnsi="Times New Roman"/>
                <w:sz w:val="24"/>
              </w:rPr>
              <w:t>budućnosnicama</w:t>
            </w:r>
            <w:proofErr w:type="spellEnd"/>
            <w:r>
              <w:rPr>
                <w:rFonts w:ascii="Times New Roman" w:hAnsi="Times New Roman"/>
                <w:sz w:val="24"/>
              </w:rPr>
              <w:t xml:space="preserve"> na osnovi dioničkog indeksa koje se tretiraju u skladu s člankom 344. stavkom 4. CRR-a </w:t>
            </w:r>
          </w:p>
        </w:tc>
      </w:tr>
      <w:tr w:rsidR="000B0B09" w:rsidRPr="00A30C4C" w14:paraId="605363C2" w14:textId="77777777" w:rsidTr="00672D2A">
        <w:tc>
          <w:tcPr>
            <w:tcW w:w="1008" w:type="dxa"/>
          </w:tcPr>
          <w:p w14:paraId="3EEF77C6"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14:paraId="03D2BD0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10D9AA05" w14:textId="79412E76" w:rsidR="000B0B09" w:rsidRPr="00A30C4C" w:rsidRDefault="00F2521E" w:rsidP="00F2521E">
            <w:pPr>
              <w:autoSpaceDE w:val="0"/>
              <w:autoSpaceDN w:val="0"/>
              <w:adjustRightInd w:val="0"/>
              <w:rPr>
                <w:rFonts w:ascii="Times New Roman" w:hAnsi="Times New Roman"/>
                <w:sz w:val="24"/>
              </w:rPr>
            </w:pPr>
            <w:r>
              <w:rPr>
                <w:rFonts w:ascii="Times New Roman" w:hAnsi="Times New Roman"/>
                <w:sz w:val="24"/>
              </w:rPr>
              <w:t xml:space="preserve">Članak 329. stavci 2. i 3. CRR-a </w:t>
            </w:r>
          </w:p>
          <w:p w14:paraId="13F60611" w14:textId="54A07015" w:rsidR="000B0B09" w:rsidRPr="00A30C4C" w:rsidRDefault="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u metodi koja se koristi za njihov izračun.</w:t>
            </w:r>
          </w:p>
        </w:tc>
      </w:tr>
    </w:tbl>
    <w:p w14:paraId="7A270268" w14:textId="77777777" w:rsidR="000B0B09" w:rsidRPr="00A30C4C"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78" w:name="_Toc295830008"/>
      <w:bookmarkStart w:id="579" w:name="_Toc308426685"/>
      <w:bookmarkStart w:id="580" w:name="_Toc310415069"/>
      <w:bookmarkStart w:id="581" w:name="_Toc360188404"/>
      <w:bookmarkStart w:id="582" w:name="_Toc473561044"/>
      <w:bookmarkStart w:id="583" w:name="_Toc30677715"/>
      <w:r>
        <w:rPr>
          <w:rFonts w:ascii="Times New Roman" w:hAnsi="Times New Roman"/>
          <w:sz w:val="24"/>
          <w:u w:val="none"/>
        </w:rPr>
        <w:t>5.5.</w:t>
      </w:r>
      <w:r>
        <w:rPr>
          <w:rFonts w:ascii="Times New Roman" w:hAnsi="Times New Roman"/>
          <w:sz w:val="24"/>
          <w:u w:val="none"/>
        </w:rPr>
        <w:tab/>
      </w:r>
      <w:r>
        <w:rPr>
          <w:rFonts w:ascii="Times New Roman" w:hAnsi="Times New Roman"/>
          <w:sz w:val="24"/>
        </w:rPr>
        <w:t xml:space="preserve">C 22.00 – Tržišni rizik: </w:t>
      </w:r>
      <w:bookmarkStart w:id="584" w:name="_Toc262566432"/>
      <w:r>
        <w:rPr>
          <w:rFonts w:ascii="Times New Roman" w:hAnsi="Times New Roman"/>
          <w:sz w:val="24"/>
        </w:rPr>
        <w:t xml:space="preserve">standardizirani pristup valutnom riziku </w:t>
      </w:r>
      <w:bookmarkEnd w:id="584"/>
      <w:bookmarkEnd w:id="578"/>
      <w:bookmarkEnd w:id="579"/>
      <w:bookmarkEnd w:id="580"/>
      <w:bookmarkEnd w:id="581"/>
      <w:r>
        <w:rPr>
          <w:rFonts w:ascii="Times New Roman" w:hAnsi="Times New Roman"/>
          <w:sz w:val="24"/>
        </w:rPr>
        <w:t xml:space="preserve"> (MKR SA FX)</w:t>
      </w:r>
      <w:bookmarkEnd w:id="582"/>
      <w:bookmarkEnd w:id="583"/>
    </w:p>
    <w:p w14:paraId="66C47D2B"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85" w:name="_Toc262566433"/>
      <w:bookmarkStart w:id="586" w:name="_Toc295830009"/>
      <w:bookmarkStart w:id="587" w:name="_Toc308426686"/>
      <w:bookmarkStart w:id="588" w:name="_Toc310415070"/>
      <w:bookmarkStart w:id="589" w:name="_Toc360188405"/>
      <w:bookmarkStart w:id="590" w:name="_Toc473561045"/>
      <w:bookmarkStart w:id="591" w:name="_Toc30677716"/>
      <w:r>
        <w:rPr>
          <w:rFonts w:ascii="Times New Roman" w:hAnsi="Times New Roman"/>
          <w:sz w:val="24"/>
          <w:u w:val="none"/>
        </w:rPr>
        <w:t>5.5.1.</w:t>
      </w:r>
      <w:r>
        <w:rPr>
          <w:rFonts w:ascii="Times New Roman" w:hAnsi="Times New Roman"/>
          <w:sz w:val="24"/>
          <w:u w:val="none"/>
        </w:rPr>
        <w:tab/>
      </w:r>
      <w:r>
        <w:rPr>
          <w:rFonts w:ascii="Times New Roman" w:hAnsi="Times New Roman"/>
          <w:sz w:val="24"/>
        </w:rPr>
        <w:t>Opće napomene</w:t>
      </w:r>
      <w:bookmarkEnd w:id="585"/>
      <w:bookmarkEnd w:id="586"/>
      <w:bookmarkEnd w:id="587"/>
      <w:bookmarkEnd w:id="588"/>
      <w:bookmarkEnd w:id="589"/>
      <w:bookmarkEnd w:id="590"/>
      <w:bookmarkEnd w:id="591"/>
    </w:p>
    <w:p w14:paraId="1B02D834" w14:textId="6448D8A7" w:rsidR="00F71DF2" w:rsidRPr="00A30C4C" w:rsidRDefault="00125707" w:rsidP="001A3980">
      <w:pPr>
        <w:pStyle w:val="InstructionsText2"/>
        <w:numPr>
          <w:ilvl w:val="0"/>
          <w:numId w:val="0"/>
        </w:numPr>
        <w:ind w:left="993"/>
      </w:pPr>
      <w:r>
        <w:t>150. Institucije iskazuju informacije o pozicijama u svakoj valuti (uključujući izvještajnu valutu) i odgovarajućim kapitalnim zahtjevima za valutni rizik koji se tretiraju u skladu sa standardiziranim pristupom. Pozicija se izračunava za svaku valutu (uključujući EUR), zlato i pozicije u CIU-u.</w:t>
      </w:r>
    </w:p>
    <w:p w14:paraId="572D06D9" w14:textId="311A63CD" w:rsidR="000B0B09" w:rsidRPr="00A30C4C" w:rsidRDefault="00125707" w:rsidP="001A3980">
      <w:pPr>
        <w:pStyle w:val="InstructionsText2"/>
        <w:numPr>
          <w:ilvl w:val="0"/>
          <w:numId w:val="0"/>
        </w:numPr>
        <w:ind w:left="993"/>
      </w:pPr>
      <w:r>
        <w:t>151.</w:t>
      </w:r>
      <w:r>
        <w:tab/>
        <w:t xml:space="preserve"> Stupci od 100 do 480 ovog obrasca iskazuju se čak i ako institucije nisu obvezne izračunavati kapitalne zahtjeve za valutni rizik u skladu s člankom 351. CRR-a. U te se bilješke uključuju sve pozicije u izvještajnoj valuti, neovisno o tome jesu li uzete u obzir za potrebe članka 354. CRR-a. U redcima od 130 do 480 bilješke uz obrazac </w:t>
      </w:r>
      <w:r>
        <w:lastRenderedPageBreak/>
        <w:t>popunjavaju se zasebno za sve valute država članica Unije, za valute: USD, CHF, JPY, RUB, TRY, AUD, CAD, RSD, ALL, UAH, MKD, EGP, ARS, BRL, MXN, HKD, ICK, TWD, NZD, NOK, SGD, KRW, CNY i sve ostale valute.</w:t>
      </w:r>
    </w:p>
    <w:p w14:paraId="756CA95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92" w:name="_Toc262566434"/>
      <w:bookmarkStart w:id="593" w:name="_Toc295830010"/>
      <w:bookmarkStart w:id="594" w:name="_Toc308426687"/>
      <w:bookmarkStart w:id="595" w:name="_Toc310415071"/>
      <w:bookmarkStart w:id="596" w:name="_Toc360188406"/>
      <w:bookmarkStart w:id="597" w:name="_Toc473561046"/>
      <w:bookmarkStart w:id="598" w:name="_Toc30677717"/>
      <w:r>
        <w:rPr>
          <w:rFonts w:ascii="Times New Roman" w:hAnsi="Times New Roman"/>
          <w:sz w:val="24"/>
          <w:u w:val="none"/>
        </w:rPr>
        <w:t>5.5.2.</w:t>
      </w:r>
      <w:r>
        <w:rPr>
          <w:rFonts w:ascii="Times New Roman" w:hAnsi="Times New Roman"/>
          <w:sz w:val="24"/>
          <w:u w:val="none"/>
        </w:rPr>
        <w:tab/>
      </w:r>
      <w:r>
        <w:rPr>
          <w:rFonts w:ascii="Times New Roman" w:hAnsi="Times New Roman"/>
          <w:sz w:val="24"/>
        </w:rPr>
        <w:t>Upute za specifične pozicije</w:t>
      </w:r>
      <w:bookmarkEnd w:id="592"/>
      <w:bookmarkEnd w:id="593"/>
      <w:bookmarkEnd w:id="594"/>
      <w:bookmarkEnd w:id="595"/>
      <w:bookmarkEnd w:id="596"/>
      <w:bookmarkEnd w:id="597"/>
      <w:bookmarkEnd w:id="5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7796681E" w14:textId="77777777" w:rsidTr="00672D2A">
        <w:trPr>
          <w:trHeight w:val="595"/>
        </w:trPr>
        <w:tc>
          <w:tcPr>
            <w:tcW w:w="8862" w:type="dxa"/>
            <w:gridSpan w:val="2"/>
            <w:shd w:val="clear" w:color="auto" w:fill="CCCCCC"/>
          </w:tcPr>
          <w:p w14:paraId="64AA629F"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A30C4C" w14:paraId="48023067" w14:textId="77777777" w:rsidTr="00672D2A">
        <w:tc>
          <w:tcPr>
            <w:tcW w:w="988" w:type="dxa"/>
          </w:tcPr>
          <w:p w14:paraId="6025387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14:paraId="0EF4FB5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75AE99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14:paraId="25C0D792" w14:textId="77777777" w:rsidR="000B0B09" w:rsidRPr="00A30C4C"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A30C4C"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Bruto pozicije na osnovi imovine, iznosi koji će biti primljeni i slične stavke iz članka 352. stavka 1. CRR-a.</w:t>
            </w:r>
          </w:p>
          <w:p w14:paraId="07DCE953" w14:textId="16415C68" w:rsidR="000B0B09" w:rsidRPr="00A30C4C"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U skladu s člankom 352. stavkom 2. CRR-a, podložno odobrenju nadležnih tijela, ne iskazuju se pozicije koje je institucija zauzela s ciljem zaštite od negativnih učinaka promjene tečaja na svoje stope u skladu s člankom 92. stavkom 1. CRR-a i pozicije koje se odnose na stavke koje su već izuzete iz izračuna regulatornog kapitala.</w:t>
            </w:r>
          </w:p>
          <w:p w14:paraId="40EFBBBE"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76AE6473" w14:textId="77777777" w:rsidTr="00672D2A">
        <w:tc>
          <w:tcPr>
            <w:tcW w:w="988" w:type="dxa"/>
          </w:tcPr>
          <w:p w14:paraId="1707CB18"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040-050</w:t>
            </w:r>
          </w:p>
        </w:tc>
        <w:tc>
          <w:tcPr>
            <w:tcW w:w="7874" w:type="dxa"/>
          </w:tcPr>
          <w:p w14:paraId="21070BD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14:paraId="265F2DAD"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A30C4C" w:rsidRDefault="000B0B09" w:rsidP="00F2521E">
            <w:pPr>
              <w:autoSpaceDE w:val="0"/>
              <w:autoSpaceDN w:val="0"/>
              <w:adjustRightInd w:val="0"/>
              <w:spacing w:before="0"/>
              <w:rPr>
                <w:rFonts w:ascii="Times New Roman" w:hAnsi="Times New Roman"/>
                <w:sz w:val="24"/>
              </w:rPr>
            </w:pPr>
            <w:r>
              <w:rPr>
                <w:rFonts w:ascii="Times New Roman" w:hAnsi="Times New Roman"/>
                <w:sz w:val="24"/>
              </w:rPr>
              <w:t>Članak 352. stavak 3., članak 352. stavak 4. prve dvije rečenice i članak 353. CRR-a</w:t>
            </w:r>
          </w:p>
          <w:p w14:paraId="2BF45567" w14:textId="42C6953C"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izračunavaju se za svaku valutu u skladu s člankom 352. stavkom 1. CRR-a. U skladu s time duge i kratke pozicije mogu se istovremeno iskazati.</w:t>
            </w:r>
          </w:p>
          <w:p w14:paraId="577D22D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3D0085D3" w14:textId="77777777" w:rsidTr="00672D2A">
        <w:tc>
          <w:tcPr>
            <w:tcW w:w="988" w:type="dxa"/>
          </w:tcPr>
          <w:p w14:paraId="1B50818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14:paraId="7A859AF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14:paraId="7296D2C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352. stavak 4. treća rečenica i članci 353. i 354. CRR-a </w:t>
            </w:r>
          </w:p>
          <w:p w14:paraId="6343D99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5EB37095" w14:textId="77777777" w:rsidTr="00672D2A">
        <w:tc>
          <w:tcPr>
            <w:tcW w:w="988" w:type="dxa"/>
          </w:tcPr>
          <w:p w14:paraId="581ABA0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14:paraId="1460931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POZICIJE KOJE PODLIJEŽU KAPITALNOM ZAHTJEVU (DUGE I KRATKE)</w:t>
            </w:r>
          </w:p>
          <w:p w14:paraId="57F79153" w14:textId="08F42552"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Duge i kratke pozicije za svaku valutu izračunavaju se odbijanjem ukupnih kratkih pozicija od ukupnih dugih pozicija.</w:t>
            </w:r>
          </w:p>
          <w:p w14:paraId="4F8F114A" w14:textId="1948625B"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Neto duge pozicije za svaki posao u nekoj valuti dodaju se kako bi se dobile neto duge pozicije u toj valuti.</w:t>
            </w:r>
          </w:p>
          <w:p w14:paraId="3E97328D" w14:textId="08F1ECF1"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Neto kratke pozicije za svaki posao u nekoj valuti dodaju se kako bi se dobile neto kratke pozicije u toj valuti.</w:t>
            </w:r>
          </w:p>
          <w:p w14:paraId="497B2FED" w14:textId="04EDB455"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Neusklađene pozicije u neizvještajnim valutama dodaju se pozicijama koje podliježu kapitalnim zahtjevima za ostale valute (redak 030) u stupcu 060 ili 070, ovisno o njihovom kratkom ili dugom aranžmanu.</w:t>
            </w:r>
          </w:p>
          <w:p w14:paraId="15EA75BC" w14:textId="77777777" w:rsidR="00DE48EF" w:rsidRPr="00A30C4C"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A30C4C" w14:paraId="2AF0BC2C" w14:textId="77777777" w:rsidTr="00672D2A">
        <w:tc>
          <w:tcPr>
            <w:tcW w:w="988" w:type="dxa"/>
          </w:tcPr>
          <w:p w14:paraId="24F2E25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14:paraId="14E0FD4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 (USKLAĐENE)</w:t>
            </w:r>
          </w:p>
          <w:p w14:paraId="1660EA41"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Usklađene pozicije za </w:t>
            </w:r>
            <w:proofErr w:type="spellStart"/>
            <w:r>
              <w:rPr>
                <w:rFonts w:ascii="Times New Roman" w:hAnsi="Times New Roman"/>
                <w:sz w:val="24"/>
              </w:rPr>
              <w:t>visokokorelirane</w:t>
            </w:r>
            <w:proofErr w:type="spellEnd"/>
            <w:r>
              <w:rPr>
                <w:rFonts w:ascii="Times New Roman" w:hAnsi="Times New Roman"/>
                <w:sz w:val="24"/>
              </w:rPr>
              <w:t xml:space="preserve"> valute</w:t>
            </w:r>
          </w:p>
          <w:p w14:paraId="7D5B199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666A5D00" w14:textId="77777777" w:rsidTr="00672D2A">
        <w:tc>
          <w:tcPr>
            <w:tcW w:w="988" w:type="dxa"/>
          </w:tcPr>
          <w:p w14:paraId="706FBE6C"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14:paraId="09E9184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14:paraId="4E55ADD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Kapitalni zahtjev za sve relevantne pozicije u skladu s dijelom trećim glavom IV. poglavljem 3. CRR-a. </w:t>
            </w:r>
          </w:p>
          <w:p w14:paraId="5E61BBB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368BE23" w14:textId="77777777" w:rsidTr="00672D2A">
        <w:tc>
          <w:tcPr>
            <w:tcW w:w="988" w:type="dxa"/>
          </w:tcPr>
          <w:p w14:paraId="197EB1D4"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w:t>
            </w:r>
          </w:p>
        </w:tc>
        <w:tc>
          <w:tcPr>
            <w:tcW w:w="7874" w:type="dxa"/>
          </w:tcPr>
          <w:p w14:paraId="2C78C9EA"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14:paraId="30E6DCD1"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A30C4C"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Članak 92. stavak 4. točka (b) CRR-a</w:t>
            </w:r>
          </w:p>
          <w:p w14:paraId="00440307" w14:textId="6A5C8E20" w:rsidR="000B0B09" w:rsidRPr="00A30C4C"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Rezultat množenja kapitalnih zahtjeva sa 12,5. </w:t>
            </w:r>
          </w:p>
          <w:p w14:paraId="4C34DF56" w14:textId="77777777" w:rsidR="00DE48EF" w:rsidRPr="00A30C4C"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A30C4C" w14:paraId="09A7A9C0" w14:textId="77777777" w:rsidTr="00672D2A">
        <w:trPr>
          <w:trHeight w:val="497"/>
        </w:trPr>
        <w:tc>
          <w:tcPr>
            <w:tcW w:w="8862" w:type="dxa"/>
            <w:gridSpan w:val="2"/>
            <w:shd w:val="clear" w:color="auto" w:fill="CCCCCC"/>
          </w:tcPr>
          <w:p w14:paraId="008F0461"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A30C4C" w14:paraId="5C001F68" w14:textId="77777777" w:rsidTr="00672D2A">
        <w:tc>
          <w:tcPr>
            <w:tcW w:w="991" w:type="dxa"/>
          </w:tcPr>
          <w:p w14:paraId="0027DA2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14:paraId="13E9FB3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UKUPNE POZICIJE</w:t>
            </w:r>
          </w:p>
          <w:p w14:paraId="1257C07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4B7F845E" w14:textId="11A82F64" w:rsidR="000B0B09" w:rsidRPr="00A30C4C"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Sve pozicije u neizvještajnim valutama i one pozicije u izvještajnoj valuti koje se uzimaju u obzir za potrebe članka 354. CRR-a te njihovi odgovarajući kapitalni zahtjevi u skladu s člankom 92. stavkom 3. točkom (c) </w:t>
            </w:r>
            <w:proofErr w:type="spellStart"/>
            <w:r>
              <w:rPr>
                <w:rFonts w:ascii="Times New Roman" w:hAnsi="Times New Roman"/>
                <w:sz w:val="24"/>
              </w:rPr>
              <w:t>podtočkom</w:t>
            </w:r>
            <w:proofErr w:type="spellEnd"/>
            <w:r>
              <w:rPr>
                <w:rFonts w:ascii="Times New Roman" w:hAnsi="Times New Roman"/>
                <w:sz w:val="24"/>
              </w:rPr>
              <w:t xml:space="preserve"> i. i člankom 92. stavcima 3. i 4. CRR-a (radi preračunavanja u izvještajnu valutu)</w:t>
            </w:r>
          </w:p>
          <w:p w14:paraId="7605EA72"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30F009A5" w14:textId="77777777" w:rsidTr="00672D2A">
        <w:tc>
          <w:tcPr>
            <w:tcW w:w="991" w:type="dxa"/>
          </w:tcPr>
          <w:p w14:paraId="0BC1CCB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871" w:type="dxa"/>
          </w:tcPr>
          <w:p w14:paraId="24D6A26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VISOKOKORELIRANE VALUTE</w:t>
            </w:r>
          </w:p>
          <w:p w14:paraId="592220A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i njihovi odgovarajući kapitalni zahtjevi za </w:t>
            </w:r>
            <w:proofErr w:type="spellStart"/>
            <w:r>
              <w:rPr>
                <w:rFonts w:ascii="Times New Roman" w:hAnsi="Times New Roman"/>
                <w:sz w:val="24"/>
              </w:rPr>
              <w:t>visokokorelirane</w:t>
            </w:r>
            <w:proofErr w:type="spellEnd"/>
            <w:r>
              <w:rPr>
                <w:rFonts w:ascii="Times New Roman" w:hAnsi="Times New Roman"/>
                <w:sz w:val="24"/>
              </w:rPr>
              <w:t xml:space="preserve"> valute iz članka 354. CRR-a.</w:t>
            </w:r>
          </w:p>
          <w:p w14:paraId="3659DFEB"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491F4D" w:rsidRPr="00A30C4C" w14:paraId="41510BBE" w14:textId="77777777" w:rsidTr="00672D2A">
        <w:tc>
          <w:tcPr>
            <w:tcW w:w="991" w:type="dxa"/>
          </w:tcPr>
          <w:p w14:paraId="03AEDF87" w14:textId="77777777" w:rsidR="00491F4D" w:rsidRPr="00A30C4C"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14:paraId="66C1F6B0" w14:textId="77777777" w:rsidR="00491F4D" w:rsidRPr="00A30C4C" w:rsidRDefault="00491F4D"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Visokokorelirane</w:t>
            </w:r>
            <w:proofErr w:type="spellEnd"/>
            <w:r>
              <w:rPr>
                <w:rFonts w:ascii="Times New Roman" w:hAnsi="Times New Roman"/>
                <w:b/>
                <w:bCs/>
                <w:sz w:val="24"/>
                <w:u w:val="single"/>
              </w:rPr>
              <w:t xml:space="preserve"> valute: </w:t>
            </w:r>
            <w:r>
              <w:rPr>
                <w:rFonts w:ascii="Times New Roman" w:hAnsi="Times New Roman"/>
                <w:b/>
                <w:bCs/>
                <w:i/>
                <w:sz w:val="24"/>
                <w:u w:val="single"/>
              </w:rPr>
              <w:t>od čega</w:t>
            </w:r>
            <w:r>
              <w:rPr>
                <w:rFonts w:ascii="Times New Roman" w:hAnsi="Times New Roman"/>
                <w:b/>
                <w:bCs/>
                <w:sz w:val="24"/>
                <w:u w:val="single"/>
              </w:rPr>
              <w:t>: izvještajna valuta</w:t>
            </w:r>
          </w:p>
          <w:p w14:paraId="3A21A411" w14:textId="77777777" w:rsidR="00491F4D" w:rsidRPr="00A30C4C" w:rsidRDefault="00491F4D" w:rsidP="000B0B09">
            <w:pPr>
              <w:autoSpaceDE w:val="0"/>
              <w:autoSpaceDN w:val="0"/>
              <w:adjustRightInd w:val="0"/>
              <w:spacing w:before="0" w:after="0"/>
              <w:rPr>
                <w:rFonts w:ascii="Times New Roman" w:hAnsi="Times New Roman"/>
                <w:sz w:val="24"/>
              </w:rPr>
            </w:pPr>
          </w:p>
          <w:p w14:paraId="379FE9C2" w14:textId="231CFECC" w:rsidR="00491F4D" w:rsidRPr="00A30C4C"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Pozicije u izvještajnoj valuti koje pridonose izračunu kapitalnih zahtjeva u skladu s člankom 354. CRR-a</w:t>
            </w:r>
          </w:p>
          <w:p w14:paraId="0CD77931" w14:textId="77777777" w:rsidR="00491F4D" w:rsidRPr="00A30C4C"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04C357C" w14:textId="77777777" w:rsidTr="00672D2A">
        <w:tc>
          <w:tcPr>
            <w:tcW w:w="991" w:type="dxa"/>
          </w:tcPr>
          <w:p w14:paraId="5D3C41A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14:paraId="6BB078E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OSTALE VALUTE (uključujući CIU-e koji se tretiraju kao različite valute)</w:t>
            </w:r>
          </w:p>
          <w:p w14:paraId="6C1AA40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1994CA91"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i njihovi odgovarajući kapitalni zahtjevi za valute koje podliježu općem postupku iz članka 351. i članka 352. stavaka 2. i 4. CRR-a.</w:t>
            </w:r>
          </w:p>
          <w:p w14:paraId="4DF0375E"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A30C4C"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Iskazivanje CIU-a koji se tretiraju kao zasebne valute u skladu s člankom 353. CRR-a:</w:t>
            </w:r>
          </w:p>
          <w:p w14:paraId="051C2F90" w14:textId="311AF9D6" w:rsidR="000B0B09" w:rsidRPr="00A30C4C"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Postoje dva različita tretmana CIU-a koji se tretiraju kao zasebne valute radi izračuna kapitalnih zahtjeva:</w:t>
            </w:r>
          </w:p>
          <w:p w14:paraId="255957B8" w14:textId="5252A175" w:rsidR="000B0B09" w:rsidRPr="00A30C4C"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rPr>
                <w:rFonts w:ascii="Times New Roman" w:hAnsi="Times New Roman"/>
                <w:bCs/>
                <w:sz w:val="24"/>
              </w:rPr>
              <w:tab/>
              <w:t>izmijenjena metoda pozicija u zlatu ako smjer ulaganja CIU-a nije dostupan (navedeni se CIU-i dodaju ukupnim neto valutnim pozicijama institucije)</w:t>
            </w:r>
          </w:p>
          <w:p w14:paraId="6F86EE5B" w14:textId="3D35E491" w:rsidR="000B0B09" w:rsidRPr="00A30C4C"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rPr>
                <w:rFonts w:ascii="Times New Roman" w:hAnsi="Times New Roman"/>
                <w:bCs/>
                <w:sz w:val="24"/>
              </w:rPr>
              <w:tab/>
              <w:t>ako je smjer ulaganja CIU-a dostupan, navedeni se CIU-ovi dodaju ukupnoj otvorenoj valutnoj poziciji (dugoj ili kratkoj, ovisno o smjeru CIU-a).</w:t>
            </w:r>
          </w:p>
          <w:p w14:paraId="267301F6" w14:textId="733FB10D" w:rsidR="000B0B09" w:rsidRPr="00A30C4C"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Iskazivanje navedenih CIU-a slijedi izračun kapitalnih zahtjeva.</w:t>
            </w:r>
          </w:p>
          <w:p w14:paraId="251EF93C"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62E0484" w14:textId="77777777" w:rsidTr="00672D2A">
        <w:tc>
          <w:tcPr>
            <w:tcW w:w="991" w:type="dxa"/>
          </w:tcPr>
          <w:p w14:paraId="76ACA2D8"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14:paraId="57F03FA3"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ZLATO</w:t>
            </w:r>
          </w:p>
          <w:p w14:paraId="36C6442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Pozicije i njihovi odgovarajući kapitalni zahtjevi za valute koje podliježu općem postupku iz članka 351. i članka 352. stavaka 2. i 4. CRR-a. </w:t>
            </w:r>
          </w:p>
          <w:p w14:paraId="32A1D9D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63E78194" w14:textId="77777777" w:rsidTr="00672D2A">
        <w:tc>
          <w:tcPr>
            <w:tcW w:w="991" w:type="dxa"/>
          </w:tcPr>
          <w:p w14:paraId="2E6FEA6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050 – 090</w:t>
            </w:r>
          </w:p>
        </w:tc>
        <w:tc>
          <w:tcPr>
            <w:tcW w:w="7871" w:type="dxa"/>
          </w:tcPr>
          <w:p w14:paraId="1680894D"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5C200991" w14:textId="39577EC6" w:rsidR="000B0B09" w:rsidRPr="00A30C4C"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Članak 352. stavci 5. i 6. CRR-a </w:t>
            </w:r>
          </w:p>
          <w:p w14:paraId="541BDB2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Dodatni zahtjevi za opcije povezani s rizicima osim delta-rizika iskazuju se raščlanjeni po metodi koja se koristi za njihov izračun. </w:t>
            </w:r>
          </w:p>
          <w:p w14:paraId="7D027FA3" w14:textId="77777777" w:rsidR="000B0B09" w:rsidRPr="00A30C4C"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A30C4C" w14:paraId="74B7B704" w14:textId="77777777" w:rsidTr="00672D2A">
        <w:tc>
          <w:tcPr>
            <w:tcW w:w="991" w:type="dxa"/>
          </w:tcPr>
          <w:p w14:paraId="4363043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100-120</w:t>
            </w:r>
          </w:p>
        </w:tc>
        <w:tc>
          <w:tcPr>
            <w:tcW w:w="7871" w:type="dxa"/>
          </w:tcPr>
          <w:p w14:paraId="48A5E96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Raščlamba ukupnih pozicija (uključujući izvještajnu valutu) prema vrstama izloženosti</w:t>
            </w:r>
          </w:p>
          <w:p w14:paraId="1FF8076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Ukupne pozicije raščlanjuju se na izvedenice, ostalu imovinu i obveze te </w:t>
            </w:r>
            <w:proofErr w:type="spellStart"/>
            <w:r>
              <w:rPr>
                <w:rFonts w:ascii="Times New Roman" w:hAnsi="Times New Roman"/>
                <w:sz w:val="24"/>
              </w:rPr>
              <w:t>izvanbilančne</w:t>
            </w:r>
            <w:proofErr w:type="spellEnd"/>
            <w:r>
              <w:rPr>
                <w:rFonts w:ascii="Times New Roman" w:hAnsi="Times New Roman"/>
                <w:sz w:val="24"/>
              </w:rPr>
              <w:t xml:space="preserve"> stavke.</w:t>
            </w:r>
          </w:p>
          <w:p w14:paraId="440E53F5"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7181203" w14:textId="77777777" w:rsidTr="00672D2A">
        <w:tc>
          <w:tcPr>
            <w:tcW w:w="991" w:type="dxa"/>
          </w:tcPr>
          <w:p w14:paraId="46F50C9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14:paraId="41EFD0B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Ostala imovina i obveze osim </w:t>
            </w:r>
            <w:proofErr w:type="spellStart"/>
            <w:r>
              <w:rPr>
                <w:rFonts w:ascii="Times New Roman" w:hAnsi="Times New Roman"/>
                <w:b/>
                <w:bCs/>
                <w:sz w:val="24"/>
                <w:u w:val="single"/>
              </w:rPr>
              <w:t>izvanbilančnih</w:t>
            </w:r>
            <w:proofErr w:type="spellEnd"/>
            <w:r>
              <w:rPr>
                <w:rFonts w:ascii="Times New Roman" w:hAnsi="Times New Roman"/>
                <w:b/>
                <w:bCs/>
                <w:sz w:val="24"/>
                <w:u w:val="single"/>
              </w:rPr>
              <w:t xml:space="preserve"> stavki i izvedenica</w:t>
            </w:r>
          </w:p>
          <w:p w14:paraId="2828007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4D2A25C5" w:rsidR="00DE48EF"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koje nisu uključene u redak 110 ili 120 uključuju se ovdje. </w:t>
            </w:r>
          </w:p>
          <w:p w14:paraId="0A2B383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A30C4C" w14:paraId="66AED25F" w14:textId="77777777" w:rsidTr="00672D2A">
        <w:tc>
          <w:tcPr>
            <w:tcW w:w="991" w:type="dxa"/>
          </w:tcPr>
          <w:p w14:paraId="3177BEE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14:paraId="59E283A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Izvanbilančne</w:t>
            </w:r>
            <w:proofErr w:type="spellEnd"/>
            <w:r>
              <w:rPr>
                <w:rFonts w:ascii="Times New Roman" w:hAnsi="Times New Roman"/>
                <w:b/>
                <w:bCs/>
                <w:sz w:val="24"/>
                <w:u w:val="single"/>
              </w:rPr>
              <w:t xml:space="preserve"> stavke</w:t>
            </w:r>
          </w:p>
          <w:p w14:paraId="61E13CD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Stavke u okviru područja primjene članka 352. CRR-a, neovisno o tome u kojoj su valuti denominirane, koje su uključene u Prilog I. CRR-u, osim stavki uključenih kao transakcije financiranja vrijednosnim papirima i transakcije s dugim rokom namire ili iz </w:t>
            </w:r>
            <w:proofErr w:type="spellStart"/>
            <w:r>
              <w:rPr>
                <w:rFonts w:ascii="Times New Roman" w:hAnsi="Times New Roman"/>
                <w:sz w:val="24"/>
              </w:rPr>
              <w:t>netiranja</w:t>
            </w:r>
            <w:proofErr w:type="spellEnd"/>
            <w:r>
              <w:rPr>
                <w:rFonts w:ascii="Times New Roman" w:hAnsi="Times New Roman"/>
                <w:sz w:val="24"/>
              </w:rPr>
              <w:t xml:space="preserve"> između različitih kategorija proizvoda.</w:t>
            </w:r>
          </w:p>
          <w:p w14:paraId="0FB67B8F"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3B0796D" w14:textId="77777777" w:rsidTr="00672D2A">
        <w:tc>
          <w:tcPr>
            <w:tcW w:w="991" w:type="dxa"/>
          </w:tcPr>
          <w:p w14:paraId="5BC973E8"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14:paraId="5A706C9D"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26039B0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Izvedenice</w:t>
            </w:r>
          </w:p>
          <w:p w14:paraId="735E3247"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vrednovane u skladu s člankom 352. CRR-a.</w:t>
            </w:r>
          </w:p>
          <w:p w14:paraId="60FA76E8" w14:textId="77777777" w:rsidR="00902EFC" w:rsidRPr="00A30C4C"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4E1851B6" w14:textId="77777777" w:rsidTr="00672D2A">
        <w:tc>
          <w:tcPr>
            <w:tcW w:w="991" w:type="dxa"/>
          </w:tcPr>
          <w:p w14:paraId="242F079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14:paraId="3B43002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146998E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BILJEŠKE: DEVIZNE POZICIJE</w:t>
            </w:r>
          </w:p>
          <w:p w14:paraId="321BD3B9" w14:textId="77777777" w:rsidR="000B0B09" w:rsidRPr="00A30C4C" w:rsidRDefault="000B0B09" w:rsidP="000B0B09">
            <w:pPr>
              <w:autoSpaceDE w:val="0"/>
              <w:autoSpaceDN w:val="0"/>
              <w:adjustRightInd w:val="0"/>
              <w:spacing w:before="0" w:after="0"/>
              <w:rPr>
                <w:rFonts w:ascii="Times New Roman" w:hAnsi="Times New Roman"/>
                <w:b/>
                <w:bCs/>
                <w:sz w:val="24"/>
                <w:lang w:eastAsia="de-DE"/>
              </w:rPr>
            </w:pPr>
          </w:p>
          <w:p w14:paraId="70963912" w14:textId="7ADF3555" w:rsidR="000B0B09" w:rsidRPr="00A30C4C"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Bilješke uz obrazac popunjavaju se zasebno za sve valute država članica Unije, USD, CHF, JPY, RUB, TRY, AUD, CAD, RSD, ALL, UAH, MKD, EGP, ARS, BRL, MXN, HKD, ICK, TWD, NZD, NOK, SGD, KRW, CNY i sve ostale valute. </w:t>
            </w:r>
          </w:p>
        </w:tc>
      </w:tr>
    </w:tbl>
    <w:p w14:paraId="16039BCB" w14:textId="77777777" w:rsidR="000B0B09" w:rsidRPr="00A30C4C" w:rsidRDefault="000B0B09" w:rsidP="000B0B09">
      <w:pPr>
        <w:rPr>
          <w:rFonts w:ascii="Times New Roman" w:hAnsi="Times New Roman"/>
          <w:sz w:val="24"/>
        </w:rPr>
      </w:pPr>
    </w:p>
    <w:p w14:paraId="237C8B1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99" w:name="_Toc295830011"/>
      <w:bookmarkStart w:id="600" w:name="_Toc308426688"/>
      <w:bookmarkStart w:id="601" w:name="_Toc310415072"/>
      <w:bookmarkStart w:id="602" w:name="_Toc360188407"/>
      <w:bookmarkStart w:id="603" w:name="_Toc473561047"/>
      <w:bookmarkStart w:id="604" w:name="_Toc30677718"/>
      <w:r>
        <w:rPr>
          <w:rFonts w:ascii="Times New Roman" w:hAnsi="Times New Roman"/>
          <w:sz w:val="24"/>
          <w:u w:val="none"/>
        </w:rPr>
        <w:t>5.6.</w:t>
      </w:r>
      <w:r>
        <w:rPr>
          <w:rFonts w:ascii="Times New Roman" w:hAnsi="Times New Roman"/>
          <w:sz w:val="24"/>
          <w:u w:val="none"/>
        </w:rPr>
        <w:tab/>
      </w:r>
      <w:r>
        <w:rPr>
          <w:rFonts w:ascii="Times New Roman" w:hAnsi="Times New Roman"/>
          <w:sz w:val="24"/>
        </w:rPr>
        <w:t xml:space="preserve">C 23.00 – Tržišni rizik: </w:t>
      </w:r>
      <w:bookmarkStart w:id="605" w:name="_Toc262566435"/>
      <w:r>
        <w:rPr>
          <w:rFonts w:ascii="Times New Roman" w:hAnsi="Times New Roman"/>
          <w:sz w:val="24"/>
        </w:rPr>
        <w:t>standardizirani pristupi robi</w:t>
      </w:r>
      <w:bookmarkEnd w:id="605"/>
      <w:r>
        <w:t xml:space="preserve"> </w:t>
      </w:r>
      <w:bookmarkEnd w:id="599"/>
      <w:bookmarkEnd w:id="600"/>
      <w:bookmarkEnd w:id="601"/>
      <w:bookmarkEnd w:id="602"/>
      <w:r>
        <w:rPr>
          <w:rFonts w:ascii="Times New Roman" w:hAnsi="Times New Roman"/>
          <w:sz w:val="24"/>
        </w:rPr>
        <w:t xml:space="preserve"> (MKR SA COM)</w:t>
      </w:r>
      <w:bookmarkEnd w:id="603"/>
      <w:bookmarkEnd w:id="604"/>
    </w:p>
    <w:p w14:paraId="7BF00096"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06" w:name="_Toc262566436"/>
      <w:bookmarkStart w:id="607" w:name="_Toc295830012"/>
      <w:bookmarkStart w:id="608" w:name="_Toc308426689"/>
      <w:bookmarkStart w:id="609" w:name="_Toc310415073"/>
      <w:bookmarkStart w:id="610" w:name="_Toc360188408"/>
      <w:bookmarkStart w:id="611" w:name="_Toc473561048"/>
      <w:bookmarkStart w:id="612" w:name="_Toc30677719"/>
      <w:r>
        <w:rPr>
          <w:rFonts w:ascii="Times New Roman" w:hAnsi="Times New Roman"/>
          <w:sz w:val="24"/>
          <w:u w:val="none"/>
        </w:rPr>
        <w:t>5.6.1.</w:t>
      </w:r>
      <w:r>
        <w:rPr>
          <w:rFonts w:ascii="Times New Roman" w:hAnsi="Times New Roman"/>
          <w:sz w:val="24"/>
          <w:u w:val="none"/>
        </w:rPr>
        <w:tab/>
      </w:r>
      <w:r>
        <w:rPr>
          <w:rFonts w:ascii="Times New Roman" w:hAnsi="Times New Roman"/>
          <w:sz w:val="24"/>
        </w:rPr>
        <w:t>Opće napomene</w:t>
      </w:r>
      <w:bookmarkEnd w:id="606"/>
      <w:bookmarkEnd w:id="607"/>
      <w:bookmarkEnd w:id="608"/>
      <w:bookmarkEnd w:id="609"/>
      <w:bookmarkEnd w:id="610"/>
      <w:bookmarkEnd w:id="611"/>
      <w:bookmarkEnd w:id="612"/>
    </w:p>
    <w:p w14:paraId="41536C89" w14:textId="600DF35D" w:rsidR="000B0B09" w:rsidRPr="00A30C4C" w:rsidRDefault="00125707" w:rsidP="001A3980">
      <w:pPr>
        <w:pStyle w:val="InstructionsText2"/>
        <w:numPr>
          <w:ilvl w:val="0"/>
          <w:numId w:val="0"/>
        </w:numPr>
        <w:ind w:left="993"/>
      </w:pPr>
      <w:r>
        <w:t>152.</w:t>
      </w:r>
      <w:r>
        <w:tab/>
        <w:t xml:space="preserve"> U ovom se obrascu zahtijevaju informacije o pozicijama u robi i odgovarajućim kapitalnim zahtjevima koje se tretiraju u skladu sa standardiziranim pristupom.</w:t>
      </w:r>
    </w:p>
    <w:p w14:paraId="387788E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13" w:name="_Toc262566437"/>
      <w:bookmarkStart w:id="614" w:name="_Toc295830013"/>
      <w:bookmarkStart w:id="615" w:name="_Toc308426690"/>
      <w:bookmarkStart w:id="616" w:name="_Toc310415074"/>
      <w:bookmarkStart w:id="617" w:name="_Toc360188409"/>
      <w:bookmarkStart w:id="618" w:name="_Toc473561049"/>
      <w:bookmarkStart w:id="619" w:name="_Toc30677720"/>
      <w:r>
        <w:rPr>
          <w:rFonts w:ascii="Times New Roman" w:hAnsi="Times New Roman"/>
          <w:sz w:val="24"/>
          <w:u w:val="none"/>
        </w:rPr>
        <w:t>5.6.2.</w:t>
      </w:r>
      <w:r>
        <w:rPr>
          <w:rFonts w:ascii="Times New Roman" w:hAnsi="Times New Roman"/>
          <w:sz w:val="24"/>
          <w:u w:val="none"/>
        </w:rPr>
        <w:tab/>
      </w:r>
      <w:r>
        <w:rPr>
          <w:rFonts w:ascii="Times New Roman" w:hAnsi="Times New Roman"/>
          <w:sz w:val="24"/>
        </w:rPr>
        <w:t>Upute za specifične pozicije</w:t>
      </w:r>
      <w:bookmarkEnd w:id="613"/>
      <w:bookmarkEnd w:id="614"/>
      <w:bookmarkEnd w:id="615"/>
      <w:bookmarkEnd w:id="616"/>
      <w:bookmarkEnd w:id="617"/>
      <w:bookmarkEnd w:id="618"/>
      <w:bookmarkEnd w:id="6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A30C4C" w14:paraId="3A954E89" w14:textId="77777777" w:rsidTr="00672D2A">
        <w:trPr>
          <w:trHeight w:val="591"/>
        </w:trPr>
        <w:tc>
          <w:tcPr>
            <w:tcW w:w="8862" w:type="dxa"/>
            <w:gridSpan w:val="2"/>
            <w:shd w:val="clear" w:color="auto" w:fill="CCCCCC"/>
          </w:tcPr>
          <w:p w14:paraId="5CCCDF09"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Stupci</w:t>
            </w:r>
          </w:p>
        </w:tc>
      </w:tr>
      <w:tr w:rsidR="000B0B09" w:rsidRPr="00A30C4C" w14:paraId="4954C355" w14:textId="77777777" w:rsidTr="00672D2A">
        <w:tc>
          <w:tcPr>
            <w:tcW w:w="986" w:type="dxa"/>
          </w:tcPr>
          <w:p w14:paraId="0CF2B7B0"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010-020</w:t>
            </w:r>
          </w:p>
        </w:tc>
        <w:tc>
          <w:tcPr>
            <w:tcW w:w="7876" w:type="dxa"/>
          </w:tcPr>
          <w:p w14:paraId="567D8D3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SVE POZICIJE (DUGE I KRATKE)</w:t>
            </w:r>
          </w:p>
          <w:p w14:paraId="299F4C4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Bruto dugim/kratkim pozicijama smatraju se pozicije u istoj robi u skladu s člankom 357. stavkom 4. CRR-a (vidjeti i članak 359. stavak 1. CRR-a)</w:t>
            </w:r>
          </w:p>
          <w:p w14:paraId="427CD06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A30C4C" w14:paraId="404D06D4" w14:textId="77777777" w:rsidTr="00672D2A">
        <w:tc>
          <w:tcPr>
            <w:tcW w:w="986" w:type="dxa"/>
          </w:tcPr>
          <w:p w14:paraId="53D676A2"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14:paraId="65920E20"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NETO POZICIJE (DUGE I KRATKE)</w:t>
            </w:r>
          </w:p>
          <w:p w14:paraId="2F34C355"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A30C4C"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Kako su definirane u članku 357. stavku 3. CRR-a. </w:t>
            </w:r>
          </w:p>
        </w:tc>
      </w:tr>
      <w:tr w:rsidR="000B0B09" w:rsidRPr="00A30C4C" w14:paraId="1E20BCEE" w14:textId="77777777" w:rsidTr="00672D2A">
        <w:tc>
          <w:tcPr>
            <w:tcW w:w="986" w:type="dxa"/>
          </w:tcPr>
          <w:p w14:paraId="660BC236"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14:paraId="6C26919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KOJE PODLIJEŽU KAPITALNOM ZAHTJEVU</w:t>
            </w:r>
          </w:p>
          <w:p w14:paraId="1EAC575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549FD729" w14:textId="6F1359FB"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Neto pozicije koje, u skladu s različitim pristupima koji se razmatraju u dijelu trećem glavi IV. poglavlju 4. CRR-a dobivaju kapitalni zahtjev.</w:t>
            </w:r>
          </w:p>
          <w:p w14:paraId="130E13F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68A7FB7" w14:textId="77777777" w:rsidTr="00672D2A">
        <w:tc>
          <w:tcPr>
            <w:tcW w:w="986" w:type="dxa"/>
          </w:tcPr>
          <w:p w14:paraId="68FCB3E6"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6" w:type="dxa"/>
          </w:tcPr>
          <w:p w14:paraId="418E7CA9"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14:paraId="12512DC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A30C4C"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Kapitalni zahtjev za sve relevantne pozicije izračunan u skladu s dijelom trećim glavom IV. poglavljem 4. CRR-a</w:t>
            </w:r>
          </w:p>
        </w:tc>
      </w:tr>
      <w:tr w:rsidR="000B0B09" w:rsidRPr="00A30C4C" w14:paraId="15C10C2B" w14:textId="77777777" w:rsidTr="00672D2A">
        <w:tc>
          <w:tcPr>
            <w:tcW w:w="986" w:type="dxa"/>
          </w:tcPr>
          <w:p w14:paraId="2A524AC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14:paraId="320A753A"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14:paraId="564004DD"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Članak 92. stavak 4. točka (b) CRR-a </w:t>
            </w:r>
          </w:p>
          <w:p w14:paraId="48E50A18" w14:textId="42488E70" w:rsidR="000B0B09" w:rsidRPr="00A30C4C"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Rezultat množenja kapitalnih zahtjeva sa 12,5.</w:t>
            </w:r>
          </w:p>
        </w:tc>
      </w:tr>
    </w:tbl>
    <w:p w14:paraId="29FC921B"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30C4C" w14:paraId="4F7C43AF" w14:textId="77777777" w:rsidTr="00672D2A">
        <w:trPr>
          <w:trHeight w:val="483"/>
        </w:trPr>
        <w:tc>
          <w:tcPr>
            <w:tcW w:w="8862" w:type="dxa"/>
            <w:gridSpan w:val="2"/>
            <w:shd w:val="clear" w:color="auto" w:fill="CCCCCC"/>
          </w:tcPr>
          <w:p w14:paraId="597DF065"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A30C4C" w14:paraId="3070A4EF" w14:textId="77777777" w:rsidTr="00672D2A">
        <w:tc>
          <w:tcPr>
            <w:tcW w:w="987" w:type="dxa"/>
          </w:tcPr>
          <w:p w14:paraId="6D3D671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14:paraId="67A9BBD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UKUPNE POZICIJE U ROBI</w:t>
            </w:r>
          </w:p>
          <w:p w14:paraId="7599290F" w14:textId="77777777" w:rsidR="000B0B09" w:rsidRPr="00A30C4C" w:rsidRDefault="000B0B09" w:rsidP="000B0B09">
            <w:pPr>
              <w:autoSpaceDE w:val="0"/>
              <w:autoSpaceDN w:val="0"/>
              <w:adjustRightInd w:val="0"/>
              <w:spacing w:before="0" w:after="0"/>
              <w:rPr>
                <w:rFonts w:ascii="Times New Roman" w:hAnsi="Times New Roman"/>
                <w:sz w:val="24"/>
              </w:rPr>
            </w:pPr>
          </w:p>
          <w:p w14:paraId="0FC9167E" w14:textId="61FEB305" w:rsidR="000B0B09" w:rsidRPr="00A30C4C"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Pozicije u robi i njihovi odgovarajući kapitalni zahtjevi za tržišni rizik u skladu s člankom 92. stavkom 3. točkom (c) </w:t>
            </w:r>
            <w:proofErr w:type="spellStart"/>
            <w:r>
              <w:rPr>
                <w:rFonts w:ascii="Times New Roman" w:hAnsi="Times New Roman"/>
                <w:sz w:val="24"/>
              </w:rPr>
              <w:t>podtočkom</w:t>
            </w:r>
            <w:proofErr w:type="spellEnd"/>
            <w:r>
              <w:rPr>
                <w:rFonts w:ascii="Times New Roman" w:hAnsi="Times New Roman"/>
                <w:sz w:val="24"/>
              </w:rPr>
              <w:t xml:space="preserve"> iii. CRR-a i dijelom trećim glavom IV. poglavljem 4. CRR-a. </w:t>
            </w:r>
          </w:p>
        </w:tc>
      </w:tr>
      <w:tr w:rsidR="000B0B09" w:rsidRPr="00A30C4C" w14:paraId="5922DE26" w14:textId="77777777" w:rsidTr="00672D2A">
        <w:tc>
          <w:tcPr>
            <w:tcW w:w="987" w:type="dxa"/>
          </w:tcPr>
          <w:p w14:paraId="6C743166"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14:paraId="4098085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POZICIJE PREMA KATEGORIJI ROBE</w:t>
            </w:r>
          </w:p>
          <w:p w14:paraId="23840BC8"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Za potrebe izvješćivanja roba se raspoređuje u četiri skupine robe iz tablice 2. iz članka 361. CRR-a.</w:t>
            </w:r>
          </w:p>
          <w:p w14:paraId="63C35F1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A30C4C" w14:paraId="45E2333D" w14:textId="77777777" w:rsidTr="00672D2A">
        <w:tc>
          <w:tcPr>
            <w:tcW w:w="987" w:type="dxa"/>
          </w:tcPr>
          <w:p w14:paraId="29B142E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14:paraId="105F7AD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PRISTUP LJESTVICE DOSPIJEĆA</w:t>
            </w:r>
          </w:p>
          <w:p w14:paraId="39F97B47"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koje podliježu pristupu ljestvici dospijeća iz članka 359. CRR-a</w:t>
            </w:r>
          </w:p>
          <w:p w14:paraId="6898B84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4B767E2B" w14:textId="77777777" w:rsidTr="00672D2A">
        <w:tc>
          <w:tcPr>
            <w:tcW w:w="987" w:type="dxa"/>
          </w:tcPr>
          <w:p w14:paraId="11D494E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14:paraId="2360874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PROŠIRENI PRISTUP LJESTVICE DOSPIJEĆA</w:t>
            </w:r>
          </w:p>
          <w:p w14:paraId="4931AAB2"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Pozicije u robi koje podliježu proširenom pristupu ljestvici dospijeća iz članka 361. CRR-a</w:t>
            </w:r>
          </w:p>
          <w:p w14:paraId="4D8A3DED"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23D639C" w14:textId="77777777" w:rsidTr="00672D2A">
        <w:tc>
          <w:tcPr>
            <w:tcW w:w="987" w:type="dxa"/>
          </w:tcPr>
          <w:p w14:paraId="1BD325F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14:paraId="0E654A1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POJEDNOSTAVLJENI PRISTUP</w:t>
            </w:r>
          </w:p>
          <w:p w14:paraId="5ED8B69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Pozicije u robi koje podliježu pojednostavljenom pristupu iz članka 360. CRR-a </w:t>
            </w:r>
          </w:p>
          <w:p w14:paraId="55928D2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BB179E1" w14:textId="77777777" w:rsidTr="00672D2A">
        <w:tc>
          <w:tcPr>
            <w:tcW w:w="987" w:type="dxa"/>
          </w:tcPr>
          <w:p w14:paraId="3823471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100-140</w:t>
            </w:r>
          </w:p>
        </w:tc>
        <w:tc>
          <w:tcPr>
            <w:tcW w:w="7875" w:type="dxa"/>
          </w:tcPr>
          <w:p w14:paraId="3C6B1B1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DODATNI ZAHTJEVI ZA OPCIJE (RIZICI OSIM DELTA-RIZIKA)</w:t>
            </w:r>
          </w:p>
          <w:p w14:paraId="04A52F73" w14:textId="0D4A667C" w:rsidR="000B0B09" w:rsidRPr="00A30C4C" w:rsidRDefault="000B0B09" w:rsidP="001A0143">
            <w:pPr>
              <w:autoSpaceDE w:val="0"/>
              <w:autoSpaceDN w:val="0"/>
              <w:adjustRightInd w:val="0"/>
              <w:rPr>
                <w:rFonts w:ascii="Times New Roman" w:hAnsi="Times New Roman"/>
                <w:sz w:val="24"/>
              </w:rPr>
            </w:pPr>
            <w:r>
              <w:rPr>
                <w:rFonts w:ascii="Times New Roman" w:hAnsi="Times New Roman"/>
                <w:sz w:val="24"/>
              </w:rPr>
              <w:t xml:space="preserve">Članak 358. stavak 4. CRR-a </w:t>
            </w:r>
          </w:p>
          <w:p w14:paraId="0A912753" w14:textId="7A4A6BCD"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Dodatni zahtjevi za opcije povezani s rizicima osim delta-rizika iskazuju se u metodi koja se koristi za njihov izračun.</w:t>
            </w:r>
          </w:p>
          <w:p w14:paraId="7D9E445C"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A30C4C" w:rsidRDefault="000B0B09" w:rsidP="000B0B09">
      <w:pPr>
        <w:rPr>
          <w:rFonts w:ascii="Times New Roman" w:hAnsi="Times New Roman"/>
          <w:sz w:val="24"/>
        </w:rPr>
      </w:pPr>
    </w:p>
    <w:p w14:paraId="0E9180D7" w14:textId="77777777" w:rsidR="000B0B09" w:rsidRPr="00A30C4C" w:rsidRDefault="00125707" w:rsidP="0023700C">
      <w:pPr>
        <w:pStyle w:val="Instructionsberschrift2"/>
        <w:numPr>
          <w:ilvl w:val="0"/>
          <w:numId w:val="0"/>
        </w:numPr>
        <w:ind w:left="357" w:hanging="357"/>
        <w:rPr>
          <w:rFonts w:ascii="Times New Roman" w:hAnsi="Times New Roman"/>
          <w:sz w:val="24"/>
        </w:rPr>
      </w:pPr>
      <w:bookmarkStart w:id="620" w:name="_Toc295830014"/>
      <w:bookmarkStart w:id="621" w:name="_Toc308426691"/>
      <w:bookmarkStart w:id="622" w:name="_Toc310415075"/>
      <w:bookmarkStart w:id="623" w:name="_Toc360188410"/>
      <w:bookmarkStart w:id="624" w:name="_Toc473561050"/>
      <w:bookmarkStart w:id="625" w:name="_Toc30677721"/>
      <w:r>
        <w:rPr>
          <w:rFonts w:ascii="Times New Roman" w:hAnsi="Times New Roman"/>
          <w:sz w:val="24"/>
          <w:u w:val="none"/>
        </w:rPr>
        <w:t>5.7.</w:t>
      </w:r>
      <w:r>
        <w:rPr>
          <w:rFonts w:ascii="Times New Roman" w:hAnsi="Times New Roman"/>
          <w:sz w:val="24"/>
          <w:u w:val="none"/>
        </w:rPr>
        <w:tab/>
      </w:r>
      <w:bookmarkStart w:id="626" w:name="_Toc262566438"/>
      <w:r>
        <w:rPr>
          <w:rFonts w:ascii="Times New Roman" w:hAnsi="Times New Roman"/>
          <w:sz w:val="24"/>
        </w:rPr>
        <w:t>C 24.00 – Interni model za tržišni rizik</w:t>
      </w:r>
      <w:bookmarkEnd w:id="626"/>
      <w:r>
        <w:t xml:space="preserve"> </w:t>
      </w:r>
      <w:bookmarkEnd w:id="620"/>
      <w:bookmarkEnd w:id="621"/>
      <w:bookmarkEnd w:id="622"/>
      <w:bookmarkEnd w:id="623"/>
      <w:r>
        <w:rPr>
          <w:rFonts w:ascii="Times New Roman" w:hAnsi="Times New Roman"/>
          <w:sz w:val="24"/>
        </w:rPr>
        <w:t xml:space="preserve"> (MKR IM)</w:t>
      </w:r>
      <w:bookmarkEnd w:id="624"/>
      <w:bookmarkEnd w:id="625"/>
    </w:p>
    <w:p w14:paraId="7F086F7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27" w:name="_Toc262566439"/>
      <w:bookmarkStart w:id="628" w:name="_Toc295830015"/>
      <w:bookmarkStart w:id="629" w:name="_Toc308426692"/>
      <w:bookmarkStart w:id="630" w:name="_Toc310415076"/>
      <w:bookmarkStart w:id="631" w:name="_Toc360188411"/>
      <w:bookmarkStart w:id="632" w:name="_Toc473561051"/>
      <w:bookmarkStart w:id="633" w:name="_Toc30677722"/>
      <w:r>
        <w:rPr>
          <w:rFonts w:ascii="Times New Roman" w:hAnsi="Times New Roman"/>
          <w:sz w:val="24"/>
          <w:u w:val="none"/>
        </w:rPr>
        <w:t>5.7.1.</w:t>
      </w:r>
      <w:r>
        <w:rPr>
          <w:rFonts w:ascii="Times New Roman" w:hAnsi="Times New Roman"/>
          <w:sz w:val="24"/>
          <w:u w:val="none"/>
        </w:rPr>
        <w:tab/>
      </w:r>
      <w:r>
        <w:rPr>
          <w:rFonts w:ascii="Times New Roman" w:hAnsi="Times New Roman"/>
          <w:sz w:val="24"/>
        </w:rPr>
        <w:t>Opće napomene</w:t>
      </w:r>
      <w:bookmarkEnd w:id="627"/>
      <w:bookmarkEnd w:id="628"/>
      <w:bookmarkEnd w:id="629"/>
      <w:bookmarkEnd w:id="630"/>
      <w:bookmarkEnd w:id="631"/>
      <w:bookmarkEnd w:id="632"/>
      <w:bookmarkEnd w:id="633"/>
    </w:p>
    <w:p w14:paraId="01A97E14" w14:textId="0E5A558C" w:rsidR="000B0B09" w:rsidRPr="00A30C4C" w:rsidRDefault="00125707" w:rsidP="001A3980">
      <w:pPr>
        <w:pStyle w:val="InstructionsText2"/>
        <w:numPr>
          <w:ilvl w:val="0"/>
          <w:numId w:val="0"/>
        </w:numPr>
        <w:ind w:left="993"/>
      </w:pPr>
      <w:r>
        <w:t>153.</w:t>
      </w:r>
      <w:r>
        <w:tab/>
        <w:t xml:space="preserve"> U ovom se obrascu navodi raščlamba vrijednosti </w:t>
      </w:r>
      <w:proofErr w:type="spellStart"/>
      <w:r>
        <w:t>VaR</w:t>
      </w:r>
      <w:proofErr w:type="spellEnd"/>
      <w:r>
        <w:t xml:space="preserve"> i </w:t>
      </w:r>
      <w:proofErr w:type="spellStart"/>
      <w:r>
        <w:t>VaR</w:t>
      </w:r>
      <w:proofErr w:type="spellEnd"/>
      <w:r>
        <w:t xml:space="preserve"> u stresnim uvjetima (</w:t>
      </w:r>
      <w:proofErr w:type="spellStart"/>
      <w:r>
        <w:t>sVaR</w:t>
      </w:r>
      <w:proofErr w:type="spellEnd"/>
      <w:r>
        <w:t>) po različitim tržišnim rizicima (za dužničke, vlasničke, valutne i robne instrumente) i ostale informacije koje su relevantne za izračun kapitalnih zahtjeva.</w:t>
      </w:r>
    </w:p>
    <w:p w14:paraId="5E568853" w14:textId="20234B99" w:rsidR="000B0B09" w:rsidRPr="00A30C4C" w:rsidRDefault="00125707" w:rsidP="001A3980">
      <w:pPr>
        <w:pStyle w:val="InstructionsText2"/>
        <w:numPr>
          <w:ilvl w:val="0"/>
          <w:numId w:val="0"/>
        </w:numPr>
        <w:ind w:left="993"/>
      </w:pPr>
      <w:r>
        <w:t>154.</w:t>
      </w:r>
      <w:r>
        <w:tab/>
        <w:t xml:space="preserve"> Općenito, ovisi o strukturi modela institucija, odnosno mogu li se vrijednosti za opći i specifični rizik utvrditi i iskazati zasebno ili samo ukupno. Isto vrijedi za raščlanjivanje vrijednosti </w:t>
      </w:r>
      <w:proofErr w:type="spellStart"/>
      <w:r>
        <w:t>VaR</w:t>
      </w:r>
      <w:proofErr w:type="spellEnd"/>
      <w:r>
        <w:t>/</w:t>
      </w:r>
      <w:proofErr w:type="spellStart"/>
      <w:r>
        <w:t>VaR</w:t>
      </w:r>
      <w:proofErr w:type="spellEnd"/>
      <w:r>
        <w:t xml:space="preserve"> u stresnim uvjetima u kategorije rizika (kamatni rizik, rizik vlasničkih instrumenata, robni rizik i valutni rizik). Institucija može odustati od iskazivanja tih raščlanjivanja ako dokaže da bi iskazivanje tih vrijednosti bilo preveliko opterećenje. </w:t>
      </w:r>
    </w:p>
    <w:p w14:paraId="38B8C7CC"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34" w:name="_Toc262566440"/>
      <w:bookmarkStart w:id="635" w:name="_Toc295830016"/>
      <w:bookmarkStart w:id="636" w:name="_Toc308426693"/>
      <w:bookmarkStart w:id="637" w:name="_Toc310415077"/>
      <w:bookmarkStart w:id="638" w:name="_Toc360188412"/>
      <w:bookmarkStart w:id="639" w:name="_Toc473561052"/>
      <w:bookmarkStart w:id="640" w:name="_Toc30677723"/>
      <w:r>
        <w:rPr>
          <w:rFonts w:ascii="Times New Roman" w:hAnsi="Times New Roman"/>
          <w:sz w:val="24"/>
          <w:u w:val="none"/>
        </w:rPr>
        <w:t>5.7.2.</w:t>
      </w:r>
      <w:r>
        <w:rPr>
          <w:rFonts w:ascii="Times New Roman" w:hAnsi="Times New Roman"/>
          <w:sz w:val="24"/>
          <w:u w:val="none"/>
        </w:rPr>
        <w:tab/>
      </w:r>
      <w:r>
        <w:rPr>
          <w:rFonts w:ascii="Times New Roman" w:hAnsi="Times New Roman"/>
          <w:sz w:val="24"/>
        </w:rPr>
        <w:t>Upute za specifične pozicije</w:t>
      </w:r>
      <w:bookmarkEnd w:id="634"/>
      <w:bookmarkEnd w:id="635"/>
      <w:bookmarkEnd w:id="636"/>
      <w:bookmarkEnd w:id="637"/>
      <w:bookmarkEnd w:id="638"/>
      <w:bookmarkEnd w:id="639"/>
      <w:bookmarkEnd w:id="6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A30C4C" w14:paraId="5884FDB3" w14:textId="77777777" w:rsidTr="00672D2A">
        <w:tc>
          <w:tcPr>
            <w:tcW w:w="8862" w:type="dxa"/>
            <w:gridSpan w:val="2"/>
            <w:shd w:val="clear" w:color="auto" w:fill="BFBFBF"/>
          </w:tcPr>
          <w:p w14:paraId="23D5B4C7" w14:textId="77777777" w:rsidR="000B0B09" w:rsidRPr="00A30C4C"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Stupci</w:t>
            </w:r>
          </w:p>
        </w:tc>
      </w:tr>
      <w:tr w:rsidR="000B0B09" w:rsidRPr="00A30C4C" w14:paraId="55253F25" w14:textId="77777777" w:rsidTr="00672D2A">
        <w:tc>
          <w:tcPr>
            <w:tcW w:w="993" w:type="dxa"/>
          </w:tcPr>
          <w:p w14:paraId="010599D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14:paraId="4EEB9077" w14:textId="0517FC9C" w:rsidR="000B0B09" w:rsidRPr="00A30C4C"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Vrijednost adherentna riziku (</w:t>
            </w:r>
            <w:proofErr w:type="spellStart"/>
            <w:r>
              <w:rPr>
                <w:rFonts w:ascii="Times New Roman" w:hAnsi="Times New Roman"/>
                <w:b/>
                <w:bCs/>
                <w:sz w:val="24"/>
                <w:u w:val="single"/>
              </w:rPr>
              <w:t>VaR</w:t>
            </w:r>
            <w:proofErr w:type="spellEnd"/>
            <w:r>
              <w:rPr>
                <w:rFonts w:ascii="Times New Roman" w:hAnsi="Times New Roman"/>
                <w:b/>
                <w:bCs/>
                <w:sz w:val="24"/>
                <w:u w:val="single"/>
              </w:rPr>
              <w:t>)</w:t>
            </w:r>
          </w:p>
          <w:p w14:paraId="3E120A63" w14:textId="5FA0B125" w:rsidR="000B0B09" w:rsidRPr="00A30C4C" w:rsidRDefault="0016282F" w:rsidP="002300C6">
            <w:pPr>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znači najveći mogući gubitak koji bi proizišao iz promjene cijene uz danu vjerojatnost tijekom određenog razdoblja.</w:t>
            </w:r>
          </w:p>
        </w:tc>
      </w:tr>
      <w:tr w:rsidR="000B0B09" w:rsidRPr="00A30C4C" w14:paraId="3FC67EE7" w14:textId="77777777" w:rsidTr="00672D2A">
        <w:tc>
          <w:tcPr>
            <w:tcW w:w="993" w:type="dxa"/>
          </w:tcPr>
          <w:p w14:paraId="10F45DB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14:paraId="09BBDED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Multiplikacijski faktor (mc) x prosjek vrijednosti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za prethodnih 60 radnih dana (</w:t>
            </w:r>
            <w:proofErr w:type="spellStart"/>
            <w:r>
              <w:rPr>
                <w:rFonts w:ascii="Times New Roman" w:hAnsi="Times New Roman"/>
                <w:b/>
                <w:bCs/>
                <w:sz w:val="24"/>
                <w:u w:val="single"/>
              </w:rPr>
              <w:t>VaRavg</w:t>
            </w:r>
            <w:proofErr w:type="spellEnd"/>
            <w:r>
              <w:rPr>
                <w:rFonts w:ascii="Times New Roman" w:hAnsi="Times New Roman"/>
                <w:b/>
                <w:bCs/>
                <w:sz w:val="24"/>
                <w:u w:val="single"/>
              </w:rPr>
              <w:t>)</w:t>
            </w:r>
          </w:p>
          <w:p w14:paraId="0760C22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A30C4C"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(a) </w:t>
            </w:r>
            <w:proofErr w:type="spellStart"/>
            <w:r>
              <w:rPr>
                <w:rFonts w:ascii="Times New Roman" w:hAnsi="Times New Roman"/>
                <w:sz w:val="24"/>
              </w:rPr>
              <w:t>podtočka</w:t>
            </w:r>
            <w:proofErr w:type="spellEnd"/>
            <w:r>
              <w:rPr>
                <w:rFonts w:ascii="Times New Roman" w:hAnsi="Times New Roman"/>
                <w:sz w:val="24"/>
              </w:rPr>
              <w:t xml:space="preserve"> ii. i članak 365. točka 1. CRR-a </w:t>
            </w:r>
          </w:p>
          <w:p w14:paraId="1588E504"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013A7680" w14:textId="77777777" w:rsidTr="00672D2A">
        <w:tc>
          <w:tcPr>
            <w:tcW w:w="993" w:type="dxa"/>
          </w:tcPr>
          <w:p w14:paraId="3CFF4374"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14:paraId="27CB835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Prethodni dan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(VaRt-1)</w:t>
            </w:r>
          </w:p>
          <w:p w14:paraId="4579B3E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(a) </w:t>
            </w:r>
            <w:proofErr w:type="spellStart"/>
            <w:r>
              <w:rPr>
                <w:rFonts w:ascii="Times New Roman" w:hAnsi="Times New Roman"/>
                <w:sz w:val="24"/>
              </w:rPr>
              <w:t>podtočka</w:t>
            </w:r>
            <w:proofErr w:type="spellEnd"/>
            <w:r>
              <w:rPr>
                <w:rFonts w:ascii="Times New Roman" w:hAnsi="Times New Roman"/>
                <w:sz w:val="24"/>
              </w:rPr>
              <w:t xml:space="preserve"> i. i članak 365. točka 1. CRR-a </w:t>
            </w:r>
          </w:p>
          <w:p w14:paraId="5F8EB81F"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0D767B26" w14:textId="77777777" w:rsidTr="00672D2A">
        <w:tc>
          <w:tcPr>
            <w:tcW w:w="993" w:type="dxa"/>
          </w:tcPr>
          <w:p w14:paraId="3AE0BBE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14:paraId="5A96727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VaR</w:t>
            </w:r>
            <w:proofErr w:type="spellEnd"/>
            <w:r>
              <w:rPr>
                <w:rFonts w:ascii="Times New Roman" w:hAnsi="Times New Roman"/>
                <w:b/>
                <w:bCs/>
                <w:sz w:val="24"/>
                <w:u w:val="single"/>
              </w:rPr>
              <w:t xml:space="preserve"> u stresnim uvjetima</w:t>
            </w:r>
          </w:p>
          <w:p w14:paraId="58B28F8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A30C4C" w:rsidRDefault="0016282F" w:rsidP="002300C6">
            <w:pPr>
              <w:autoSpaceDE w:val="0"/>
              <w:autoSpaceDN w:val="0"/>
              <w:adjustRightInd w:val="0"/>
              <w:spacing w:before="0"/>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 u stresnim uvjetima znači najveći mogući gubitak koji bi proizišao iz promjene cijene uz danu vjerojatnost tijekom određenog razdoblja dobiven primjenom ulaznih parametara koji su kalibrirani na povijesne podatke neprekinutog 12-mjesečnog razdoblja značajnog financijskog stresa relevantnog za portfelj institucije.</w:t>
            </w:r>
          </w:p>
        </w:tc>
      </w:tr>
      <w:tr w:rsidR="000B0B09" w:rsidRPr="00A30C4C" w14:paraId="44735C81" w14:textId="77777777" w:rsidTr="00672D2A">
        <w:tc>
          <w:tcPr>
            <w:tcW w:w="993" w:type="dxa"/>
          </w:tcPr>
          <w:p w14:paraId="155F198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14:paraId="7C6316C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Multiplikacijski faktor (</w:t>
            </w:r>
            <w:proofErr w:type="spellStart"/>
            <w:r>
              <w:rPr>
                <w:rFonts w:ascii="Times New Roman" w:hAnsi="Times New Roman"/>
                <w:b/>
                <w:bCs/>
                <w:sz w:val="24"/>
                <w:u w:val="single"/>
              </w:rPr>
              <w:t>ms</w:t>
            </w:r>
            <w:proofErr w:type="spellEnd"/>
            <w:r>
              <w:rPr>
                <w:rFonts w:ascii="Times New Roman" w:hAnsi="Times New Roman"/>
                <w:b/>
                <w:bCs/>
                <w:sz w:val="24"/>
                <w:u w:val="single"/>
              </w:rPr>
              <w:t>) x prosjek za prethodnih 60 radnih dana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14:paraId="006D95C1"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A30C4C"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 xml:space="preserve">Članak 364. stavak 1. točka (b) </w:t>
            </w:r>
            <w:proofErr w:type="spellStart"/>
            <w:r>
              <w:rPr>
                <w:rFonts w:ascii="Times New Roman" w:hAnsi="Times New Roman"/>
                <w:sz w:val="24"/>
              </w:rPr>
              <w:t>podtočka</w:t>
            </w:r>
            <w:proofErr w:type="spellEnd"/>
            <w:r>
              <w:rPr>
                <w:rFonts w:ascii="Times New Roman" w:hAnsi="Times New Roman"/>
                <w:sz w:val="24"/>
              </w:rPr>
              <w:t xml:space="preserve"> ii. i članak 365. točka 1. CRR-a</w:t>
            </w:r>
            <w:r>
              <w:rPr>
                <w:rStyle w:val="InstructionsTabelleberschrift"/>
                <w:rFonts w:ascii="Times New Roman" w:hAnsi="Times New Roman"/>
                <w:bCs w:val="0"/>
                <w:sz w:val="24"/>
              </w:rPr>
              <w:t xml:space="preserve"> </w:t>
            </w:r>
          </w:p>
          <w:p w14:paraId="111A992F"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A30C4C" w14:paraId="441907CA" w14:textId="77777777" w:rsidTr="00672D2A">
        <w:tc>
          <w:tcPr>
            <w:tcW w:w="993" w:type="dxa"/>
          </w:tcPr>
          <w:p w14:paraId="18B09A7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69" w:type="dxa"/>
          </w:tcPr>
          <w:p w14:paraId="4A21AD7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Najnoviji raspoloživi iznos (SVaRt-1)</w:t>
            </w:r>
          </w:p>
          <w:p w14:paraId="090905A7" w14:textId="77777777" w:rsidR="000B0B09" w:rsidRPr="00A30C4C" w:rsidRDefault="000B0B09" w:rsidP="000B0B09">
            <w:pPr>
              <w:autoSpaceDE w:val="0"/>
              <w:autoSpaceDN w:val="0"/>
              <w:adjustRightInd w:val="0"/>
              <w:spacing w:before="0" w:after="0"/>
              <w:rPr>
                <w:rFonts w:ascii="Times New Roman" w:hAnsi="Times New Roman"/>
                <w:sz w:val="24"/>
              </w:rPr>
            </w:pPr>
          </w:p>
          <w:p w14:paraId="3A2A9376" w14:textId="4106F60B"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1. točka (b) </w:t>
            </w:r>
            <w:proofErr w:type="spellStart"/>
            <w:r>
              <w:rPr>
                <w:rFonts w:ascii="Times New Roman" w:hAnsi="Times New Roman"/>
                <w:sz w:val="24"/>
              </w:rPr>
              <w:t>podtočka</w:t>
            </w:r>
            <w:proofErr w:type="spellEnd"/>
            <w:r>
              <w:rPr>
                <w:rFonts w:ascii="Times New Roman" w:hAnsi="Times New Roman"/>
                <w:sz w:val="24"/>
              </w:rPr>
              <w:t xml:space="preserve"> i. i članak 365. točka 1. CRR-a </w:t>
            </w:r>
          </w:p>
          <w:p w14:paraId="0E67EDC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A30C4C" w14:paraId="53582240" w14:textId="77777777" w:rsidTr="00672D2A">
        <w:tc>
          <w:tcPr>
            <w:tcW w:w="993" w:type="dxa"/>
          </w:tcPr>
          <w:p w14:paraId="0F4CA1D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14:paraId="09E92CD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 ZA DODATNI RIZIK NASTANKA STATUSA NEISPUNJAVANJA OBVEZA I MIGRACIJSKI RIZIK</w:t>
            </w:r>
          </w:p>
          <w:p w14:paraId="4BA9FCE8" w14:textId="093ABC6B" w:rsidR="000B0B09" w:rsidRPr="00A30C4C" w:rsidRDefault="0016282F" w:rsidP="0016282F">
            <w:pPr>
              <w:rPr>
                <w:rFonts w:ascii="Times New Roman" w:hAnsi="Times New Roman"/>
                <w:b/>
                <w:bCs/>
                <w:sz w:val="24"/>
                <w:u w:val="single"/>
              </w:rPr>
            </w:pPr>
            <w:r>
              <w:rPr>
                <w:rFonts w:ascii="Times New Roman" w:hAnsi="Times New Roman"/>
                <w:sz w:val="24"/>
              </w:rPr>
              <w:t xml:space="preserve">Kapitalni zahtjev za dodatni rizik nastanka statusa neispunjavanja obveza i migracijski rizik znači najveći mogući gubitak koji bi proizišao iz promjene cijene povezane s rizikom nastanka statusa neispunjavanja obveza i migracijskim rizikom izračunatima u skladu s člankom 364. stavkom 2. točkom (b) u vezi s dijelom trećim glavom IV. poglavljem 5. odjeljkom 4. CRR-a. </w:t>
            </w:r>
          </w:p>
        </w:tc>
      </w:tr>
      <w:tr w:rsidR="000B0B09" w:rsidRPr="00A30C4C" w14:paraId="23B42927" w14:textId="77777777" w:rsidTr="00672D2A">
        <w:tc>
          <w:tcPr>
            <w:tcW w:w="993" w:type="dxa"/>
          </w:tcPr>
          <w:p w14:paraId="7726E68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69" w:type="dxa"/>
          </w:tcPr>
          <w:p w14:paraId="2A6613B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Prosječna vrijednost u prethodnih 12 tjedana</w:t>
            </w:r>
          </w:p>
          <w:p w14:paraId="27A8D544" w14:textId="77777777" w:rsidR="005C14B0" w:rsidRPr="00A30C4C" w:rsidRDefault="005C14B0">
            <w:pPr>
              <w:autoSpaceDE w:val="0"/>
              <w:autoSpaceDN w:val="0"/>
              <w:adjustRightInd w:val="0"/>
              <w:spacing w:before="0" w:after="0"/>
              <w:rPr>
                <w:rFonts w:ascii="Times New Roman" w:hAnsi="Times New Roman"/>
                <w:sz w:val="24"/>
              </w:rPr>
            </w:pPr>
          </w:p>
          <w:p w14:paraId="130A4688" w14:textId="66F2BC66" w:rsidR="005C14B0" w:rsidRPr="00A30C4C" w:rsidRDefault="00705025">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2. točka (b) </w:t>
            </w:r>
            <w:proofErr w:type="spellStart"/>
            <w:r>
              <w:rPr>
                <w:rFonts w:ascii="Times New Roman" w:hAnsi="Times New Roman"/>
                <w:sz w:val="24"/>
              </w:rPr>
              <w:t>podtočka</w:t>
            </w:r>
            <w:proofErr w:type="spellEnd"/>
            <w:r>
              <w:rPr>
                <w:rFonts w:ascii="Times New Roman" w:hAnsi="Times New Roman"/>
                <w:sz w:val="24"/>
              </w:rPr>
              <w:t xml:space="preserve"> ii. u vezi s dijelom trećim glavom IV. poglavljem 5. odjeljkom 4. CRR-a</w:t>
            </w:r>
          </w:p>
          <w:p w14:paraId="223D4606" w14:textId="77777777" w:rsidR="000B0B09" w:rsidRPr="00A30C4C" w:rsidRDefault="000B0B09">
            <w:pPr>
              <w:autoSpaceDE w:val="0"/>
              <w:autoSpaceDN w:val="0"/>
              <w:adjustRightInd w:val="0"/>
              <w:spacing w:before="0" w:after="0"/>
              <w:rPr>
                <w:rFonts w:ascii="Times New Roman" w:hAnsi="Times New Roman"/>
                <w:b/>
                <w:bCs/>
                <w:sz w:val="24"/>
                <w:u w:val="single"/>
                <w:lang w:eastAsia="nl-BE"/>
              </w:rPr>
            </w:pPr>
          </w:p>
        </w:tc>
      </w:tr>
      <w:tr w:rsidR="000B0B09" w:rsidRPr="00A30C4C" w14:paraId="3223CCB2" w14:textId="77777777" w:rsidTr="00672D2A">
        <w:tc>
          <w:tcPr>
            <w:tcW w:w="993" w:type="dxa"/>
          </w:tcPr>
          <w:p w14:paraId="519B6FE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14:paraId="53207CE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Najnovija vrijednost</w:t>
            </w:r>
          </w:p>
          <w:p w14:paraId="2064AC85"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Članak 364. stavak 2. točka (b) </w:t>
            </w:r>
            <w:proofErr w:type="spellStart"/>
            <w:r>
              <w:rPr>
                <w:rFonts w:ascii="Times New Roman" w:hAnsi="Times New Roman"/>
                <w:sz w:val="24"/>
              </w:rPr>
              <w:t>podtočka</w:t>
            </w:r>
            <w:proofErr w:type="spellEnd"/>
            <w:r>
              <w:rPr>
                <w:rFonts w:ascii="Times New Roman" w:hAnsi="Times New Roman"/>
                <w:sz w:val="24"/>
              </w:rPr>
              <w:t xml:space="preserve"> i. u vezi s dijelom trećim glavom IV. poglavljem 5. odjeljkom 4. CRR-a</w:t>
            </w:r>
          </w:p>
          <w:p w14:paraId="67653EB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B27507C" w14:textId="77777777" w:rsidTr="00672D2A">
        <w:tc>
          <w:tcPr>
            <w:tcW w:w="993" w:type="dxa"/>
          </w:tcPr>
          <w:p w14:paraId="227096D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14:paraId="545694B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 ZA SVE CJENOVNE RIZIKE ZA KORELACIJSKI PORTFELJ NAMIJENJEN TRGOVANJU</w:t>
            </w:r>
          </w:p>
          <w:p w14:paraId="1893DA3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19582DF" w14:textId="77777777" w:rsidTr="00672D2A">
        <w:tc>
          <w:tcPr>
            <w:tcW w:w="993" w:type="dxa"/>
          </w:tcPr>
          <w:p w14:paraId="2E47A374"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14:paraId="0D565D1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PRAG</w:t>
            </w:r>
          </w:p>
          <w:p w14:paraId="453E7E9E" w14:textId="0056C5C0" w:rsidR="000B0B09" w:rsidRPr="00A30C4C" w:rsidRDefault="00705025" w:rsidP="000B0B09">
            <w:pPr>
              <w:rPr>
                <w:rFonts w:ascii="Times New Roman" w:hAnsi="Times New Roman"/>
                <w:sz w:val="24"/>
              </w:rPr>
            </w:pPr>
            <w:r>
              <w:rPr>
                <w:rFonts w:ascii="Times New Roman" w:hAnsi="Times New Roman"/>
                <w:sz w:val="24"/>
              </w:rPr>
              <w:t>Članak 364. stavak 3. točka (c) CRR-a</w:t>
            </w:r>
          </w:p>
          <w:p w14:paraId="098C5AE1" w14:textId="6D1BE25B"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kapitalnog zahtjeva koji bi se izračunao u skladu s člankom 338. stavkom 1. CRR-a za sve pozicije uključene u kapitalni zahtjev za „sve cjenovne rizike”.</w:t>
            </w:r>
            <w:r>
              <w:rPr>
                <w:rFonts w:ascii="Times New Roman" w:hAnsi="Times New Roman"/>
                <w:b/>
                <w:bCs/>
                <w:sz w:val="24"/>
                <w:u w:val="single"/>
              </w:rPr>
              <w:t xml:space="preserve"> </w:t>
            </w:r>
          </w:p>
          <w:p w14:paraId="6887174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D33B04F" w14:textId="77777777" w:rsidTr="00672D2A">
        <w:tc>
          <w:tcPr>
            <w:tcW w:w="993" w:type="dxa"/>
          </w:tcPr>
          <w:p w14:paraId="7FCA6AB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14:paraId="136C05A9"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PROSJEČNA VRIJEDNOST U PRETHODNIH 12 TJEDANA I NAJNOVIJA VRIJEDNOST</w:t>
            </w:r>
          </w:p>
          <w:p w14:paraId="3221D387" w14:textId="467DE778" w:rsidR="000B0B09" w:rsidRPr="00A30C4C"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Članak 364. stavak 3. točka (b) CRR-a</w:t>
            </w:r>
          </w:p>
          <w:p w14:paraId="56BC9F2F" w14:textId="77777777" w:rsidR="000B0B09" w:rsidRPr="00A30C4C"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A30C4C" w14:paraId="75D9D0FC" w14:textId="77777777" w:rsidTr="00672D2A">
        <w:tc>
          <w:tcPr>
            <w:tcW w:w="993" w:type="dxa"/>
          </w:tcPr>
          <w:p w14:paraId="62FF7F3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14:paraId="7EBF795A" w14:textId="77777777" w:rsidR="000B0B09" w:rsidRPr="00A30C4C"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NAJNOVIJA VRIJEDNOST</w:t>
            </w:r>
          </w:p>
          <w:p w14:paraId="08ADC411" w14:textId="77777777" w:rsidR="005C14B0" w:rsidRPr="00A30C4C"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Članak 364. stavak 3. točka (a) CRR-a</w:t>
            </w:r>
          </w:p>
          <w:p w14:paraId="0BF29F6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7E3D7C2" w14:textId="77777777" w:rsidTr="00672D2A">
        <w:tc>
          <w:tcPr>
            <w:tcW w:w="993" w:type="dxa"/>
          </w:tcPr>
          <w:p w14:paraId="403357F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14:paraId="0CC1B74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KAPITALNI ZAHTJEVI</w:t>
            </w:r>
          </w:p>
          <w:p w14:paraId="7F695B63" w14:textId="5EB52E01" w:rsidR="000B0B09" w:rsidRPr="00A30C4C"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Kapitalni zahtjevi</w:t>
            </w:r>
            <w:r>
              <w:rPr>
                <w:rFonts w:ascii="Times New Roman" w:hAnsi="Times New Roman"/>
                <w:sz w:val="24"/>
              </w:rPr>
              <w:t xml:space="preserve"> iz članka 364. CRR-a za sve faktore rizika, uzimajući u obzir učinke korelacije, ako je primjenjivo, uvećane za dodatni rizik nastanka statusa neispunjavanja obveza i migracijski rizik te sve cjenovne rizike za korelacijski portfelj namijenjen trgovanju, ali isključujući </w:t>
            </w:r>
            <w:proofErr w:type="spellStart"/>
            <w:r>
              <w:rPr>
                <w:rFonts w:ascii="Times New Roman" w:hAnsi="Times New Roman"/>
                <w:sz w:val="24"/>
              </w:rPr>
              <w:t>sekuritizacijske</w:t>
            </w:r>
            <w:proofErr w:type="spellEnd"/>
            <w:r>
              <w:rPr>
                <w:rFonts w:ascii="Times New Roman" w:hAnsi="Times New Roman"/>
                <w:sz w:val="24"/>
              </w:rPr>
              <w:t xml:space="preserve"> kapitalne zahtjeve za </w:t>
            </w:r>
            <w:proofErr w:type="spellStart"/>
            <w:r>
              <w:rPr>
                <w:rFonts w:ascii="Times New Roman" w:hAnsi="Times New Roman"/>
                <w:sz w:val="24"/>
              </w:rPr>
              <w:t>sekuritizaciju</w:t>
            </w:r>
            <w:proofErr w:type="spellEnd"/>
            <w:r>
              <w:rPr>
                <w:rFonts w:ascii="Times New Roman" w:hAnsi="Times New Roman"/>
                <w:sz w:val="24"/>
              </w:rPr>
              <w:t xml:space="preserve"> i kreditne izvedenice na osnovi n-tog nastanka statusa neispunjavanja obveza u skladu s člankom 364. stavkom 2. CRR-a. </w:t>
            </w:r>
          </w:p>
        </w:tc>
      </w:tr>
      <w:tr w:rsidR="000B0B09" w:rsidRPr="00A30C4C" w14:paraId="5330A5E6" w14:textId="77777777" w:rsidTr="00672D2A">
        <w:tc>
          <w:tcPr>
            <w:tcW w:w="993" w:type="dxa"/>
          </w:tcPr>
          <w:p w14:paraId="4AD8EB7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14:paraId="7ECD303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IZLOŽENOSTI RIZIKU</w:t>
            </w:r>
          </w:p>
          <w:p w14:paraId="20BF392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Članak 92. stavak 4. točka (b) CRR-a </w:t>
            </w:r>
          </w:p>
          <w:p w14:paraId="165EC96F" w14:textId="6DFEB556"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Rezultat množenja kapitalnih zahtjeva sa 12,5.</w:t>
            </w:r>
          </w:p>
          <w:p w14:paraId="4D6267B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A4AC48C" w14:textId="77777777" w:rsidTr="00672D2A">
        <w:tc>
          <w:tcPr>
            <w:tcW w:w="993" w:type="dxa"/>
          </w:tcPr>
          <w:p w14:paraId="0C59560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140</w:t>
            </w:r>
          </w:p>
        </w:tc>
        <w:tc>
          <w:tcPr>
            <w:tcW w:w="7869" w:type="dxa"/>
          </w:tcPr>
          <w:p w14:paraId="5A460C7B" w14:textId="77777777" w:rsidR="000B0B09" w:rsidRPr="00A30C4C"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Broj prekoračenja (za prethodnih 250 radnih dana)</w:t>
            </w:r>
          </w:p>
          <w:p w14:paraId="5EA690D5" w14:textId="72AF0B15" w:rsidR="00A92CFF" w:rsidRPr="00A30C4C" w:rsidRDefault="000B0B09" w:rsidP="0016282F">
            <w:pPr>
              <w:autoSpaceDE w:val="0"/>
              <w:autoSpaceDN w:val="0"/>
              <w:adjustRightInd w:val="0"/>
              <w:spacing w:before="0"/>
              <w:rPr>
                <w:rFonts w:ascii="Times New Roman" w:hAnsi="Times New Roman"/>
                <w:sz w:val="24"/>
              </w:rPr>
            </w:pPr>
            <w:r>
              <w:rPr>
                <w:rFonts w:ascii="Times New Roman" w:hAnsi="Times New Roman"/>
                <w:sz w:val="24"/>
              </w:rPr>
              <w:t>Iz članka 366. CRR-a</w:t>
            </w:r>
          </w:p>
          <w:p w14:paraId="58323C93" w14:textId="4049091C" w:rsidR="000B0B09" w:rsidRPr="00A30C4C"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Iskazuje se broj prekoračenja na temelju čega se određuje dodatni faktor.</w:t>
            </w:r>
          </w:p>
        </w:tc>
      </w:tr>
      <w:tr w:rsidR="000B0B09" w:rsidRPr="00A30C4C" w14:paraId="4A919894" w14:textId="77777777" w:rsidTr="00672D2A">
        <w:tc>
          <w:tcPr>
            <w:tcW w:w="993" w:type="dxa"/>
          </w:tcPr>
          <w:p w14:paraId="4162ECFA"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14:paraId="0B29FC8E" w14:textId="77777777" w:rsidR="000B0B09" w:rsidRPr="00A30C4C"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 xml:space="preserve">Multiplikacijski faktor za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(mc) i multiplikacijski faktor za </w:t>
            </w:r>
            <w:proofErr w:type="spellStart"/>
            <w:r>
              <w:rPr>
                <w:rFonts w:ascii="Times New Roman" w:hAnsi="Times New Roman"/>
                <w:b/>
                <w:bCs/>
                <w:sz w:val="24"/>
                <w:u w:val="single"/>
              </w:rPr>
              <w:t>SVaR</w:t>
            </w:r>
            <w:proofErr w:type="spellEnd"/>
            <w:r>
              <w:rPr>
                <w:rFonts w:ascii="Times New Roman" w:hAnsi="Times New Roman"/>
                <w:b/>
                <w:bCs/>
                <w:sz w:val="24"/>
                <w:u w:val="single"/>
              </w:rPr>
              <w:t xml:space="preserve"> (</w:t>
            </w:r>
            <w:proofErr w:type="spellStart"/>
            <w:r>
              <w:rPr>
                <w:rFonts w:ascii="Times New Roman" w:hAnsi="Times New Roman"/>
                <w:b/>
                <w:bCs/>
                <w:sz w:val="24"/>
                <w:u w:val="single"/>
              </w:rPr>
              <w:t>ms</w:t>
            </w:r>
            <w:proofErr w:type="spellEnd"/>
            <w:r>
              <w:rPr>
                <w:rFonts w:ascii="Times New Roman" w:hAnsi="Times New Roman"/>
                <w:b/>
                <w:bCs/>
                <w:sz w:val="24"/>
                <w:u w:val="single"/>
              </w:rPr>
              <w:t>)</w:t>
            </w:r>
          </w:p>
          <w:p w14:paraId="47255413" w14:textId="119C8D71" w:rsidR="005C14B0" w:rsidRPr="00A30C4C" w:rsidRDefault="000B0B09">
            <w:pPr>
              <w:autoSpaceDE w:val="0"/>
              <w:autoSpaceDN w:val="0"/>
              <w:adjustRightInd w:val="0"/>
              <w:spacing w:before="0" w:after="0"/>
              <w:rPr>
                <w:rStyle w:val="InstructionsTabelleberschrift"/>
              </w:rPr>
            </w:pPr>
            <w:r>
              <w:rPr>
                <w:rFonts w:ascii="Times New Roman" w:hAnsi="Times New Roman"/>
                <w:sz w:val="24"/>
              </w:rPr>
              <w:t>Iz članka 366. CRR-a</w:t>
            </w:r>
          </w:p>
          <w:p w14:paraId="594BC356" w14:textId="77777777" w:rsidR="000B0B09" w:rsidRPr="00A30C4C" w:rsidRDefault="000B0B09">
            <w:pPr>
              <w:autoSpaceDE w:val="0"/>
              <w:autoSpaceDN w:val="0"/>
              <w:adjustRightInd w:val="0"/>
              <w:spacing w:before="0" w:after="0"/>
              <w:rPr>
                <w:rFonts w:ascii="Times New Roman" w:hAnsi="Times New Roman"/>
                <w:b/>
                <w:bCs/>
                <w:sz w:val="24"/>
                <w:u w:val="single"/>
                <w:lang w:eastAsia="fr-FR"/>
              </w:rPr>
            </w:pPr>
          </w:p>
        </w:tc>
      </w:tr>
      <w:tr w:rsidR="000B0B09" w:rsidRPr="00A30C4C" w14:paraId="40219790" w14:textId="77777777" w:rsidTr="00672D2A">
        <w:tc>
          <w:tcPr>
            <w:tcW w:w="993" w:type="dxa"/>
          </w:tcPr>
          <w:p w14:paraId="4E97338A"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170-180</w:t>
            </w:r>
          </w:p>
        </w:tc>
        <w:tc>
          <w:tcPr>
            <w:tcW w:w="7869" w:type="dxa"/>
          </w:tcPr>
          <w:p w14:paraId="19A123C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PRETPOSTAVLJENI ZAHTJEV ZA PRAG KORELACIJSKOG PORTFELJA NAMIJENJENOG TRGOVANJU – PONDERIRANE NETO DUGE/KRATKE POZICIJE NAKON PRIMJENE GORNJE GRANICE</w:t>
            </w:r>
          </w:p>
          <w:p w14:paraId="421F26D5" w14:textId="4BF7D80B" w:rsidR="00902EFC" w:rsidRPr="00A30C4C"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Iznos koji je iskazan i služi kao osnova za izračun kapitalnog zahtjeva za prag za sve cjenovne rizike u skladu s </w:t>
            </w:r>
            <w:r>
              <w:rPr>
                <w:rFonts w:ascii="Times New Roman" w:hAnsi="Times New Roman"/>
                <w:bCs/>
                <w:sz w:val="24"/>
              </w:rPr>
              <w:t>člankom 364. stavkom 3. točkom (c) CRR-a</w:t>
            </w:r>
            <w:r>
              <w:rPr>
                <w:rFonts w:ascii="Times New Roman" w:hAnsi="Times New Roman"/>
                <w:sz w:val="24"/>
              </w:rPr>
              <w:t xml:space="preserve">, uzimajući u obzir diskrecijsko pravo iz članka 335. CRR-a kojim se propisuje da institucija može ograničiti proizvod </w:t>
            </w:r>
            <w:proofErr w:type="spellStart"/>
            <w:r>
              <w:rPr>
                <w:rFonts w:ascii="Times New Roman" w:hAnsi="Times New Roman"/>
                <w:sz w:val="24"/>
              </w:rPr>
              <w:t>ponderiranja</w:t>
            </w:r>
            <w:proofErr w:type="spellEnd"/>
            <w:r>
              <w:rPr>
                <w:rFonts w:ascii="Times New Roman" w:hAnsi="Times New Roman"/>
                <w:sz w:val="24"/>
              </w:rPr>
              <w:t xml:space="preserve"> i neto pozicije na najviši mogući iznos gubitka povezan s rizikom nastanka statusa neispunjavanja obveza. </w:t>
            </w:r>
          </w:p>
        </w:tc>
      </w:tr>
    </w:tbl>
    <w:p w14:paraId="63C05583" w14:textId="77777777" w:rsidR="000B0B09" w:rsidRPr="00A30C4C"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A30C4C" w14:paraId="084B0775" w14:textId="77777777" w:rsidTr="00672D2A">
        <w:trPr>
          <w:trHeight w:val="566"/>
        </w:trPr>
        <w:tc>
          <w:tcPr>
            <w:tcW w:w="8896" w:type="dxa"/>
            <w:gridSpan w:val="2"/>
            <w:shd w:val="clear" w:color="auto" w:fill="CCCCCC"/>
          </w:tcPr>
          <w:p w14:paraId="649D7980"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Redci</w:t>
            </w:r>
          </w:p>
        </w:tc>
      </w:tr>
      <w:tr w:rsidR="000B0B09" w:rsidRPr="00A30C4C" w14:paraId="6031AED8" w14:textId="77777777" w:rsidTr="00672D2A">
        <w:tc>
          <w:tcPr>
            <w:tcW w:w="993" w:type="dxa"/>
          </w:tcPr>
          <w:p w14:paraId="4169D2D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14:paraId="13C9886D"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UKUPNE POZICIJE</w:t>
            </w:r>
          </w:p>
          <w:p w14:paraId="358371AC"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A30C4C" w:rsidRDefault="000B0B09" w:rsidP="0016282F">
            <w:pPr>
              <w:autoSpaceDE w:val="0"/>
              <w:autoSpaceDN w:val="0"/>
              <w:adjustRightInd w:val="0"/>
              <w:spacing w:before="0"/>
              <w:rPr>
                <w:rFonts w:ascii="Times New Roman" w:hAnsi="Times New Roman"/>
                <w:sz w:val="24"/>
              </w:rPr>
            </w:pPr>
            <w:r>
              <w:rPr>
                <w:rFonts w:ascii="Times New Roman" w:hAnsi="Times New Roman"/>
                <w:sz w:val="24"/>
              </w:rPr>
              <w:t>Ukupne pozicije odgovaraju dijelu pozicijskog, valutnog i robnog rizika iz članka 363. stavka 1. CRR-a koji je povezan s faktorima rizika iz članka 367. stavka 2. CRR-a.</w:t>
            </w:r>
          </w:p>
          <w:p w14:paraId="12E3AAEC" w14:textId="1B3D92D8" w:rsidR="005C14B0" w:rsidRPr="00A30C4C" w:rsidRDefault="000B0B09">
            <w:pPr>
              <w:autoSpaceDE w:val="0"/>
              <w:autoSpaceDN w:val="0"/>
              <w:adjustRightInd w:val="0"/>
              <w:spacing w:before="0" w:after="0"/>
              <w:rPr>
                <w:rFonts w:ascii="Times New Roman" w:hAnsi="Times New Roman"/>
                <w:sz w:val="24"/>
              </w:rPr>
            </w:pPr>
            <w:r>
              <w:rPr>
                <w:rFonts w:ascii="Times New Roman" w:hAnsi="Times New Roman"/>
                <w:sz w:val="24"/>
              </w:rPr>
              <w:t>U pogledu stupaca od 030 do 060 (</w:t>
            </w:r>
            <w:proofErr w:type="spellStart"/>
            <w:r>
              <w:rPr>
                <w:rFonts w:ascii="Times New Roman" w:hAnsi="Times New Roman"/>
                <w:sz w:val="24"/>
              </w:rPr>
              <w:t>VaR</w:t>
            </w:r>
            <w:proofErr w:type="spellEnd"/>
            <w:r>
              <w:rPr>
                <w:rFonts w:ascii="Times New Roman" w:hAnsi="Times New Roman"/>
                <w:sz w:val="24"/>
              </w:rPr>
              <w:t xml:space="preserve"> i </w:t>
            </w:r>
            <w:proofErr w:type="spellStart"/>
            <w:r>
              <w:rPr>
                <w:rFonts w:ascii="Times New Roman" w:hAnsi="Times New Roman"/>
                <w:sz w:val="24"/>
              </w:rPr>
              <w:t>VaR</w:t>
            </w:r>
            <w:proofErr w:type="spellEnd"/>
            <w:r>
              <w:rPr>
                <w:rFonts w:ascii="Times New Roman" w:hAnsi="Times New Roman"/>
                <w:sz w:val="24"/>
              </w:rPr>
              <w:t xml:space="preserve"> u stresnim uvjetima), vrijednosti u retku s ukupnim podacima nisu jednake raščlanjivanju vrijednosti </w:t>
            </w:r>
            <w:proofErr w:type="spellStart"/>
            <w:r>
              <w:rPr>
                <w:rFonts w:ascii="Times New Roman" w:hAnsi="Times New Roman"/>
                <w:sz w:val="24"/>
              </w:rPr>
              <w:t>VaR</w:t>
            </w:r>
            <w:proofErr w:type="spellEnd"/>
            <w:r>
              <w:rPr>
                <w:rFonts w:ascii="Times New Roman" w:hAnsi="Times New Roman"/>
                <w:sz w:val="24"/>
              </w:rPr>
              <w:t>/</w:t>
            </w:r>
            <w:proofErr w:type="spellStart"/>
            <w:r>
              <w:rPr>
                <w:rFonts w:ascii="Times New Roman" w:hAnsi="Times New Roman"/>
                <w:sz w:val="24"/>
              </w:rPr>
              <w:t>VaR</w:t>
            </w:r>
            <w:proofErr w:type="spellEnd"/>
            <w:r>
              <w:rPr>
                <w:rFonts w:ascii="Times New Roman" w:hAnsi="Times New Roman"/>
                <w:sz w:val="24"/>
              </w:rPr>
              <w:t xml:space="preserve"> u stresnim uvjetima na relevantne komponente rizika.</w:t>
            </w:r>
          </w:p>
          <w:p w14:paraId="5C08FF29" w14:textId="77777777" w:rsidR="000B0B09" w:rsidRPr="00A30C4C" w:rsidRDefault="000B0B09">
            <w:pPr>
              <w:autoSpaceDE w:val="0"/>
              <w:autoSpaceDN w:val="0"/>
              <w:adjustRightInd w:val="0"/>
              <w:spacing w:before="0" w:after="0"/>
              <w:rPr>
                <w:rFonts w:ascii="Times New Roman" w:hAnsi="Times New Roman"/>
                <w:sz w:val="24"/>
                <w:lang w:eastAsia="fr-FR"/>
              </w:rPr>
            </w:pPr>
          </w:p>
        </w:tc>
      </w:tr>
      <w:tr w:rsidR="000B0B09" w:rsidRPr="00A30C4C" w14:paraId="05C47CAF" w14:textId="77777777" w:rsidTr="00672D2A">
        <w:tc>
          <w:tcPr>
            <w:tcW w:w="993" w:type="dxa"/>
          </w:tcPr>
          <w:p w14:paraId="6D0D8456"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14:paraId="3A9AB85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w:t>
            </w:r>
          </w:p>
          <w:p w14:paraId="5E5F36C1" w14:textId="574BB04C" w:rsidR="000B0B09" w:rsidRPr="00A30C4C" w:rsidRDefault="000B0B09" w:rsidP="00BE0363">
            <w:pPr>
              <w:autoSpaceDE w:val="0"/>
              <w:autoSpaceDN w:val="0"/>
              <w:adjustRightInd w:val="0"/>
              <w:rPr>
                <w:rFonts w:ascii="Times New Roman" w:hAnsi="Times New Roman"/>
                <w:sz w:val="24"/>
              </w:rPr>
            </w:pPr>
            <w:r>
              <w:rPr>
                <w:rFonts w:ascii="Times New Roman" w:hAnsi="Times New Roman"/>
                <w:sz w:val="24"/>
              </w:rPr>
              <w:t>Dužnički instrumenti kojima se trguje odgovaraju dijelu pozicijskog rizika iz članka 363. stavka 1. CRR-a koji je povezan s faktorima kamatnog rizika iz članka 367. stavka 2. točke (a) CRR-a.</w:t>
            </w:r>
          </w:p>
        </w:tc>
      </w:tr>
      <w:tr w:rsidR="000B0B09" w:rsidRPr="00A30C4C" w14:paraId="253DED19" w14:textId="77777777" w:rsidTr="00672D2A">
        <w:tc>
          <w:tcPr>
            <w:tcW w:w="993" w:type="dxa"/>
          </w:tcPr>
          <w:p w14:paraId="5DEFEEA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14:paraId="58A2AB5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 – OPĆI RIZIK</w:t>
            </w:r>
          </w:p>
          <w:p w14:paraId="3DB6B4AC" w14:textId="65116B44" w:rsidR="000B0B09" w:rsidRPr="00A30C4C" w:rsidRDefault="000B0B09" w:rsidP="0016282F">
            <w:pPr>
              <w:autoSpaceDE w:val="0"/>
              <w:autoSpaceDN w:val="0"/>
              <w:adjustRightInd w:val="0"/>
              <w:rPr>
                <w:rFonts w:ascii="Times New Roman" w:hAnsi="Times New Roman"/>
                <w:sz w:val="24"/>
              </w:rPr>
            </w:pPr>
            <w:r>
              <w:rPr>
                <w:rFonts w:ascii="Times New Roman" w:hAnsi="Times New Roman"/>
                <w:sz w:val="24"/>
              </w:rPr>
              <w:t xml:space="preserve">Komponenta općeg rizika iz članka 362. CRR-a </w:t>
            </w:r>
          </w:p>
        </w:tc>
      </w:tr>
      <w:tr w:rsidR="000B0B09" w:rsidRPr="00A30C4C" w14:paraId="3A87E4EC" w14:textId="77777777" w:rsidTr="00672D2A">
        <w:tc>
          <w:tcPr>
            <w:tcW w:w="993" w:type="dxa"/>
          </w:tcPr>
          <w:p w14:paraId="53BD9DEA"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14:paraId="2C5FFEF0"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DUŽNIČKI INSTRUMENTI KOJIMA SE TRGUJE – SPECIFIČNI RIZIK</w:t>
            </w:r>
          </w:p>
          <w:p w14:paraId="79C40A5C"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A30C4C"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CRR-a </w:t>
            </w:r>
          </w:p>
        </w:tc>
      </w:tr>
      <w:tr w:rsidR="000B0B09" w:rsidRPr="00A30C4C" w14:paraId="7E61770D" w14:textId="77777777" w:rsidTr="00672D2A">
        <w:tc>
          <w:tcPr>
            <w:tcW w:w="993" w:type="dxa"/>
          </w:tcPr>
          <w:p w14:paraId="0A66146B"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14:paraId="092A08D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w:t>
            </w:r>
          </w:p>
          <w:p w14:paraId="2CA0F964"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Vlasnički instrumenti odgovaraju dijelu pozicijskog rizika iz članka 363. stavka 1. CRR-a koji je povezan s faktorima rizika vlasničkih instrumenata iz članka 367. stavka 2. točke (c) CRR-a. </w:t>
            </w:r>
          </w:p>
          <w:p w14:paraId="3E4F2C4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50053F2" w14:textId="77777777" w:rsidTr="00672D2A">
        <w:tc>
          <w:tcPr>
            <w:tcW w:w="993" w:type="dxa"/>
          </w:tcPr>
          <w:p w14:paraId="7C212BD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903" w:type="dxa"/>
          </w:tcPr>
          <w:p w14:paraId="1F9B327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 – OPĆI RIZIK</w:t>
            </w:r>
          </w:p>
          <w:p w14:paraId="36FBCD50" w14:textId="57AA9076" w:rsidR="000B0B09" w:rsidRPr="00A30C4C"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Komponenta općeg rizika iz članka 362. CRR-a</w:t>
            </w:r>
          </w:p>
        </w:tc>
      </w:tr>
      <w:tr w:rsidR="000B0B09" w:rsidRPr="00A30C4C" w14:paraId="24E7AECF" w14:textId="77777777" w:rsidTr="00672D2A">
        <w:tc>
          <w:tcPr>
            <w:tcW w:w="993" w:type="dxa"/>
          </w:tcPr>
          <w:p w14:paraId="28A15B9C"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14:paraId="51442A5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VLASNIČKI INSTRUMENTI – SPECIFIČNI RIZIK</w:t>
            </w:r>
          </w:p>
          <w:p w14:paraId="4408E937" w14:textId="1F9AC85D" w:rsidR="000B0B09" w:rsidRPr="00A30C4C"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Komponenta specifičnog rizika iz članka 362. CRR-a </w:t>
            </w:r>
          </w:p>
        </w:tc>
      </w:tr>
      <w:tr w:rsidR="000B0B09" w:rsidRPr="00A30C4C" w14:paraId="7C991BE9" w14:textId="77777777" w:rsidTr="00672D2A">
        <w:tc>
          <w:tcPr>
            <w:tcW w:w="993" w:type="dxa"/>
          </w:tcPr>
          <w:p w14:paraId="672A0E2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14:paraId="536D7E3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VALUTNI RIZIK</w:t>
            </w:r>
          </w:p>
          <w:p w14:paraId="5A40A224" w14:textId="7B1A3BBD" w:rsidR="000B0B09" w:rsidRPr="00A30C4C"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Članak 363. stavak 1. i članak 367. stavak 2. točka (b) CRR-a</w:t>
            </w:r>
          </w:p>
        </w:tc>
      </w:tr>
      <w:tr w:rsidR="000B0B09" w:rsidRPr="00A30C4C" w14:paraId="16B1AF4E" w14:textId="77777777" w:rsidTr="00672D2A">
        <w:tc>
          <w:tcPr>
            <w:tcW w:w="993" w:type="dxa"/>
          </w:tcPr>
          <w:p w14:paraId="18D0BBD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14:paraId="1AC4282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ROBNI RIZIK</w:t>
            </w:r>
          </w:p>
          <w:p w14:paraId="72E6AE17" w14:textId="31B613D5" w:rsidR="000B0B09" w:rsidRPr="00A30C4C"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Članak 363. stavak 1. i članak 367. stavak 2. točka (d) CRR-a </w:t>
            </w:r>
          </w:p>
        </w:tc>
      </w:tr>
      <w:tr w:rsidR="000B0B09" w:rsidRPr="00A30C4C" w14:paraId="606DE515" w14:textId="77777777" w:rsidTr="00672D2A">
        <w:tc>
          <w:tcPr>
            <w:tcW w:w="993" w:type="dxa"/>
          </w:tcPr>
          <w:p w14:paraId="399EFC0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14:paraId="2338922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ZA OPĆI RIZIK</w:t>
            </w:r>
          </w:p>
          <w:p w14:paraId="4C4CDA88" w14:textId="77777777" w:rsidR="005C14B0" w:rsidRPr="00A30C4C"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A30C4C"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Tržišni rizik do kojeg su dovela opća kretanja na tržištu dužničkih instrumenata kojima se trguje, vlasničkih instrumenata, valuta i robe.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za opći rizik svih faktora rizika (uzimajući u obzir učinke korelacije ako je primjenjivo). </w:t>
            </w:r>
            <w:r>
              <w:rPr>
                <w:rFonts w:ascii="Times New Roman" w:hAnsi="Times New Roman"/>
                <w:b/>
                <w:bCs/>
                <w:sz w:val="24"/>
                <w:u w:val="single"/>
              </w:rPr>
              <w:t xml:space="preserve"> </w:t>
            </w:r>
          </w:p>
          <w:p w14:paraId="169EAD5F" w14:textId="77777777" w:rsidR="005C14B0" w:rsidRPr="00A30C4C" w:rsidRDefault="005C14B0">
            <w:pPr>
              <w:autoSpaceDE w:val="0"/>
              <w:autoSpaceDN w:val="0"/>
              <w:adjustRightInd w:val="0"/>
              <w:spacing w:before="0" w:after="0"/>
              <w:rPr>
                <w:rFonts w:ascii="Times New Roman" w:hAnsi="Times New Roman"/>
                <w:b/>
                <w:bCs/>
                <w:sz w:val="24"/>
                <w:u w:val="single"/>
                <w:lang w:eastAsia="nl-BE"/>
              </w:rPr>
            </w:pPr>
          </w:p>
        </w:tc>
      </w:tr>
      <w:tr w:rsidR="000B0B09" w:rsidRPr="00A30C4C" w14:paraId="1CAFB2E0" w14:textId="77777777" w:rsidTr="00672D2A">
        <w:tc>
          <w:tcPr>
            <w:tcW w:w="993" w:type="dxa"/>
          </w:tcPr>
          <w:p w14:paraId="72FA531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p w14:paraId="08524185" w14:textId="77777777" w:rsidR="000B0B09" w:rsidRPr="00A30C4C" w:rsidRDefault="000B0B09" w:rsidP="000B0B09">
            <w:pPr>
              <w:jc w:val="center"/>
              <w:rPr>
                <w:rFonts w:ascii="Times New Roman" w:hAnsi="Times New Roman"/>
                <w:sz w:val="24"/>
                <w:lang w:eastAsia="nl-BE"/>
              </w:rPr>
            </w:pPr>
          </w:p>
        </w:tc>
        <w:tc>
          <w:tcPr>
            <w:tcW w:w="7903" w:type="dxa"/>
          </w:tcPr>
          <w:p w14:paraId="56A84C9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UKUPNI IZNOS ZA SPECIFIČNI RIZIK</w:t>
            </w:r>
          </w:p>
          <w:p w14:paraId="295AD525" w14:textId="283E1B74" w:rsidR="000B0B09" w:rsidRPr="00A30C4C"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Komponenta specifičnog rizika dužničkih instrumenata kojima se trguje i vlasničkih instrumenata.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za specifični rizik vlasničkih instrumenata i dužničkih instrumenata kojima se trguje iz knjige trgovanja (uzimajući u obzir učinke korelacije ako je primjenjivo).</w:t>
            </w:r>
          </w:p>
        </w:tc>
      </w:tr>
    </w:tbl>
    <w:p w14:paraId="1B6E0B53" w14:textId="77777777" w:rsidR="000B0B09" w:rsidRPr="00A30C4C" w:rsidRDefault="000B0B09">
      <w:pPr>
        <w:spacing w:before="0" w:after="0"/>
        <w:jc w:val="left"/>
        <w:rPr>
          <w:rStyle w:val="InstructionsTabelleText"/>
          <w:rFonts w:ascii="Times New Roman" w:hAnsi="Times New Roman"/>
          <w:sz w:val="24"/>
        </w:rPr>
      </w:pPr>
    </w:p>
    <w:p w14:paraId="67B541B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41" w:name="_Toc473561053"/>
      <w:bookmarkStart w:id="642" w:name="_Toc30677724"/>
      <w:r>
        <w:rPr>
          <w:rFonts w:ascii="Times New Roman" w:hAnsi="Times New Roman"/>
          <w:sz w:val="24"/>
          <w:u w:val="none"/>
        </w:rPr>
        <w:t>5.8.</w:t>
      </w:r>
      <w:r>
        <w:rPr>
          <w:rFonts w:ascii="Times New Roman" w:hAnsi="Times New Roman"/>
          <w:sz w:val="24"/>
          <w:u w:val="none"/>
        </w:rPr>
        <w:tab/>
      </w:r>
      <w:bookmarkStart w:id="643" w:name="_Toc360188413"/>
      <w:r>
        <w:rPr>
          <w:rFonts w:ascii="Times New Roman" w:hAnsi="Times New Roman"/>
          <w:sz w:val="24"/>
        </w:rPr>
        <w:t>C 25.00 – RIZIK PRILAGODBE KREDITNOM VREDNOVANJU</w:t>
      </w:r>
      <w:bookmarkEnd w:id="643"/>
      <w:r>
        <w:rPr>
          <w:rFonts w:ascii="Times New Roman" w:hAnsi="Times New Roman"/>
          <w:sz w:val="24"/>
        </w:rPr>
        <w:t xml:space="preserve"> (CVA)</w:t>
      </w:r>
      <w:bookmarkEnd w:id="641"/>
      <w:bookmarkEnd w:id="642"/>
    </w:p>
    <w:p w14:paraId="2FA7367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44" w:name="_Toc360188414"/>
      <w:bookmarkStart w:id="645" w:name="_Toc473561054"/>
      <w:bookmarkStart w:id="646" w:name="_Toc310008820"/>
      <w:bookmarkStart w:id="647" w:name="_Toc30677725"/>
      <w:r>
        <w:rPr>
          <w:rFonts w:ascii="Times New Roman" w:hAnsi="Times New Roman"/>
          <w:sz w:val="24"/>
          <w:u w:val="none"/>
        </w:rPr>
        <w:t>5.8.1.</w:t>
      </w:r>
      <w:r>
        <w:rPr>
          <w:rFonts w:ascii="Times New Roman" w:hAnsi="Times New Roman"/>
          <w:sz w:val="24"/>
          <w:u w:val="none"/>
        </w:rPr>
        <w:tab/>
      </w:r>
      <w:r>
        <w:rPr>
          <w:rFonts w:ascii="Times New Roman" w:hAnsi="Times New Roman"/>
          <w:sz w:val="24"/>
        </w:rPr>
        <w:t>Upute za specifične pozicije</w:t>
      </w:r>
      <w:bookmarkEnd w:id="644"/>
      <w:bookmarkEnd w:id="645"/>
      <w:bookmarkEnd w:id="6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30C4C" w14:paraId="4F2DB4E4" w14:textId="77777777" w:rsidTr="00672D2A">
        <w:tc>
          <w:tcPr>
            <w:tcW w:w="8856" w:type="dxa"/>
            <w:gridSpan w:val="2"/>
            <w:shd w:val="clear" w:color="auto" w:fill="CCCCCC"/>
          </w:tcPr>
          <w:p w14:paraId="3CE242E9" w14:textId="77777777" w:rsidR="000B0B09" w:rsidRPr="00A30C4C" w:rsidRDefault="000B0B09" w:rsidP="000B0B09">
            <w:pPr>
              <w:rPr>
                <w:rFonts w:ascii="Times New Roman" w:hAnsi="Times New Roman"/>
                <w:b/>
                <w:sz w:val="24"/>
              </w:rPr>
            </w:pPr>
            <w:r>
              <w:rPr>
                <w:rFonts w:ascii="Times New Roman" w:hAnsi="Times New Roman"/>
                <w:b/>
                <w:sz w:val="24"/>
              </w:rPr>
              <w:t>Stupci</w:t>
            </w:r>
          </w:p>
        </w:tc>
      </w:tr>
      <w:tr w:rsidR="000B0B09" w:rsidRPr="00A30C4C" w14:paraId="03BEE9C8" w14:textId="77777777" w:rsidTr="00672D2A">
        <w:tc>
          <w:tcPr>
            <w:tcW w:w="852" w:type="dxa"/>
          </w:tcPr>
          <w:p w14:paraId="27817D46" w14:textId="77777777" w:rsidR="000B0B09" w:rsidRPr="00A30C4C" w:rsidRDefault="000B0B09" w:rsidP="000B0B09">
            <w:pPr>
              <w:rPr>
                <w:rFonts w:ascii="Times New Roman" w:hAnsi="Times New Roman"/>
                <w:sz w:val="24"/>
              </w:rPr>
            </w:pPr>
            <w:r>
              <w:rPr>
                <w:rFonts w:ascii="Times New Roman" w:hAnsi="Times New Roman"/>
                <w:sz w:val="24"/>
              </w:rPr>
              <w:t>010</w:t>
            </w:r>
          </w:p>
        </w:tc>
        <w:tc>
          <w:tcPr>
            <w:tcW w:w="8004" w:type="dxa"/>
          </w:tcPr>
          <w:p w14:paraId="2DAFB63B"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 xml:space="preserve">Vrijednost izloženosti </w:t>
            </w:r>
          </w:p>
          <w:p w14:paraId="48EEBA11" w14:textId="2192664D" w:rsidR="000B0B09" w:rsidRPr="00A30C4C" w:rsidRDefault="000B0B09" w:rsidP="000B0B09">
            <w:pPr>
              <w:rPr>
                <w:rFonts w:ascii="Times New Roman" w:hAnsi="Times New Roman"/>
                <w:sz w:val="24"/>
              </w:rPr>
            </w:pPr>
            <w:r>
              <w:rPr>
                <w:rFonts w:ascii="Times New Roman" w:hAnsi="Times New Roman"/>
                <w:sz w:val="24"/>
              </w:rPr>
              <w:t>Članak 271. CRR-a u vezi s člankom 382. CRR-a.</w:t>
            </w:r>
          </w:p>
          <w:p w14:paraId="096506B4" w14:textId="086B62FB" w:rsidR="000B0B09" w:rsidRPr="00A30C4C" w:rsidRDefault="000B0B09" w:rsidP="000B0B09">
            <w:pPr>
              <w:rPr>
                <w:rFonts w:ascii="Times New Roman" w:hAnsi="Times New Roman"/>
                <w:sz w:val="24"/>
              </w:rPr>
            </w:pPr>
            <w:r>
              <w:rPr>
                <w:rFonts w:ascii="Times New Roman" w:hAnsi="Times New Roman"/>
                <w:sz w:val="24"/>
              </w:rPr>
              <w:t>Ukupni EAD iz svih transakcija koje podliježu zahtjevu za CVA rizik.</w:t>
            </w:r>
          </w:p>
        </w:tc>
      </w:tr>
      <w:tr w:rsidR="000B0B09" w:rsidRPr="00A30C4C" w14:paraId="66299EE8" w14:textId="77777777" w:rsidTr="00672D2A">
        <w:tc>
          <w:tcPr>
            <w:tcW w:w="852" w:type="dxa"/>
          </w:tcPr>
          <w:p w14:paraId="4E1B4E95" w14:textId="77777777" w:rsidR="000B0B09" w:rsidRPr="00A30C4C" w:rsidRDefault="000B0B09" w:rsidP="000B0B09">
            <w:pPr>
              <w:rPr>
                <w:rFonts w:ascii="Times New Roman" w:hAnsi="Times New Roman"/>
                <w:sz w:val="24"/>
              </w:rPr>
            </w:pPr>
            <w:r>
              <w:rPr>
                <w:rFonts w:ascii="Times New Roman" w:hAnsi="Times New Roman"/>
                <w:sz w:val="24"/>
              </w:rPr>
              <w:t>020</w:t>
            </w:r>
          </w:p>
        </w:tc>
        <w:tc>
          <w:tcPr>
            <w:tcW w:w="8004" w:type="dxa"/>
          </w:tcPr>
          <w:p w14:paraId="08A29B6D"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 xml:space="preserve">Od čega: OTC izvedenice </w:t>
            </w:r>
          </w:p>
          <w:p w14:paraId="61314A49" w14:textId="3CB712E9" w:rsidR="000B0B09" w:rsidRPr="00A30C4C" w:rsidRDefault="000B0B09" w:rsidP="000B0B09">
            <w:pPr>
              <w:rPr>
                <w:rFonts w:ascii="Times New Roman" w:hAnsi="Times New Roman"/>
                <w:sz w:val="24"/>
              </w:rPr>
            </w:pPr>
            <w:r>
              <w:rPr>
                <w:rFonts w:ascii="Times New Roman" w:hAnsi="Times New Roman"/>
                <w:sz w:val="24"/>
              </w:rPr>
              <w:t>Članak 271. CRR-a u vezi s člankom 382. stavkom 1. CRR-a.</w:t>
            </w:r>
          </w:p>
          <w:p w14:paraId="3AFBBA5F" w14:textId="77777777" w:rsidR="000B0B09" w:rsidRPr="00A30C4C" w:rsidRDefault="000B0B09" w:rsidP="000B0B09">
            <w:pPr>
              <w:rPr>
                <w:rFonts w:ascii="Times New Roman" w:hAnsi="Times New Roman"/>
                <w:sz w:val="24"/>
              </w:rPr>
            </w:pPr>
            <w:r>
              <w:rPr>
                <w:rFonts w:ascii="Times New Roman" w:hAnsi="Times New Roman"/>
                <w:sz w:val="24"/>
              </w:rPr>
              <w:t xml:space="preserve">Dio ukupne izloženosti kreditnom riziku druge ugovorne strane isključivo na osnovi OTC izvedenica. Informacije se ne zahtijevaju od institucija koje primjenjuju metodu internog modela i koje drže OTC izvedenice i transakcije financiranja vrijednosnim papirima u istom skupu za </w:t>
            </w:r>
            <w:proofErr w:type="spellStart"/>
            <w:r>
              <w:rPr>
                <w:rFonts w:ascii="Times New Roman" w:hAnsi="Times New Roman"/>
                <w:sz w:val="24"/>
              </w:rPr>
              <w:t>netiranje</w:t>
            </w:r>
            <w:proofErr w:type="spellEnd"/>
            <w:r>
              <w:rPr>
                <w:rFonts w:ascii="Times New Roman" w:hAnsi="Times New Roman"/>
                <w:sz w:val="24"/>
              </w:rPr>
              <w:t>.</w:t>
            </w:r>
          </w:p>
        </w:tc>
      </w:tr>
      <w:tr w:rsidR="000B0B09" w:rsidRPr="00A30C4C" w14:paraId="2E65FA1D" w14:textId="77777777" w:rsidTr="00672D2A">
        <w:tc>
          <w:tcPr>
            <w:tcW w:w="852" w:type="dxa"/>
          </w:tcPr>
          <w:p w14:paraId="65C226A9" w14:textId="77777777" w:rsidR="000B0B09" w:rsidRPr="00A30C4C" w:rsidRDefault="000B0B09" w:rsidP="000B0B09">
            <w:pPr>
              <w:rPr>
                <w:rFonts w:ascii="Times New Roman" w:hAnsi="Times New Roman"/>
                <w:sz w:val="24"/>
              </w:rPr>
            </w:pPr>
            <w:r>
              <w:rPr>
                <w:rFonts w:ascii="Times New Roman" w:hAnsi="Times New Roman"/>
                <w:sz w:val="24"/>
              </w:rPr>
              <w:t>030</w:t>
            </w:r>
          </w:p>
        </w:tc>
        <w:tc>
          <w:tcPr>
            <w:tcW w:w="8004" w:type="dxa"/>
          </w:tcPr>
          <w:p w14:paraId="64520F50"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 xml:space="preserve">Od čega: TRANSAKCIJE FINANCIRANJA VRIJEDNOSNIM PAPIRIMA </w:t>
            </w:r>
          </w:p>
          <w:p w14:paraId="3B225BCF" w14:textId="39CD6B99" w:rsidR="000B0B09" w:rsidRPr="00A30C4C" w:rsidRDefault="000B0B09" w:rsidP="000B0B09">
            <w:pPr>
              <w:rPr>
                <w:rFonts w:ascii="Times New Roman" w:hAnsi="Times New Roman"/>
                <w:sz w:val="24"/>
              </w:rPr>
            </w:pPr>
            <w:r>
              <w:rPr>
                <w:rFonts w:ascii="Times New Roman" w:hAnsi="Times New Roman"/>
                <w:sz w:val="24"/>
              </w:rPr>
              <w:lastRenderedPageBreak/>
              <w:t>Članak 271. CRR-a u vezi s člankom 382. stavkom 2. CRR-a.</w:t>
            </w:r>
          </w:p>
          <w:p w14:paraId="3028F5AF" w14:textId="18A5950A" w:rsidR="000B0B09" w:rsidRPr="00A30C4C" w:rsidRDefault="000B0B09">
            <w:pPr>
              <w:rPr>
                <w:rFonts w:ascii="Times New Roman" w:hAnsi="Times New Roman"/>
                <w:sz w:val="24"/>
              </w:rPr>
            </w:pPr>
            <w:r>
              <w:rPr>
                <w:rFonts w:ascii="Times New Roman" w:hAnsi="Times New Roman"/>
                <w:sz w:val="24"/>
              </w:rPr>
              <w:t xml:space="preserve">Dio ukupne izloženosti kreditnom riziku druge ugovorne strane isključivo na osnovi transakcija financiranja vrijednosnim papirima. Informacije se ne zahtijevaju od institucija koje primjenjuju metodu internog modela i koje drže OTC izvedenice i transakcije financiranja vrijednosnim papirima u istom skupu za </w:t>
            </w:r>
            <w:proofErr w:type="spellStart"/>
            <w:r>
              <w:rPr>
                <w:rFonts w:ascii="Times New Roman" w:hAnsi="Times New Roman"/>
                <w:sz w:val="24"/>
              </w:rPr>
              <w:t>netiranje</w:t>
            </w:r>
            <w:proofErr w:type="spellEnd"/>
            <w:r>
              <w:rPr>
                <w:rFonts w:ascii="Times New Roman" w:hAnsi="Times New Roman"/>
                <w:sz w:val="24"/>
              </w:rPr>
              <w:t>.</w:t>
            </w:r>
          </w:p>
        </w:tc>
      </w:tr>
      <w:tr w:rsidR="000B0B09" w:rsidRPr="00A30C4C" w14:paraId="75FFB061" w14:textId="77777777" w:rsidTr="00672D2A">
        <w:tc>
          <w:tcPr>
            <w:tcW w:w="852" w:type="dxa"/>
          </w:tcPr>
          <w:p w14:paraId="19390593" w14:textId="77777777" w:rsidR="000B0B09" w:rsidRPr="00A30C4C" w:rsidRDefault="000B0B09" w:rsidP="000B0B09">
            <w:pPr>
              <w:rPr>
                <w:rFonts w:ascii="Times New Roman" w:hAnsi="Times New Roman"/>
                <w:sz w:val="24"/>
              </w:rPr>
            </w:pPr>
            <w:r>
              <w:rPr>
                <w:rFonts w:ascii="Times New Roman" w:hAnsi="Times New Roman"/>
                <w:sz w:val="24"/>
              </w:rPr>
              <w:lastRenderedPageBreak/>
              <w:t>040</w:t>
            </w:r>
          </w:p>
        </w:tc>
        <w:tc>
          <w:tcPr>
            <w:tcW w:w="8004" w:type="dxa"/>
          </w:tcPr>
          <w:p w14:paraId="3B97A67A"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MULTIPLIKACIJSKI FAKTOR (mc) x PROSJEK ZA PRETHODNIH 60 RADNIH DANA (</w:t>
            </w:r>
            <w:proofErr w:type="spellStart"/>
            <w:r>
              <w:rPr>
                <w:rFonts w:ascii="Times New Roman" w:hAnsi="Times New Roman"/>
                <w:b/>
                <w:sz w:val="24"/>
                <w:u w:val="single"/>
              </w:rPr>
              <w:t>VaRavg</w:t>
            </w:r>
            <w:proofErr w:type="spellEnd"/>
            <w:r>
              <w:rPr>
                <w:rFonts w:ascii="Times New Roman" w:hAnsi="Times New Roman"/>
                <w:b/>
                <w:sz w:val="24"/>
                <w:u w:val="single"/>
              </w:rPr>
              <w:t>)</w:t>
            </w:r>
          </w:p>
          <w:p w14:paraId="2F9A54B9" w14:textId="67F3DBFE" w:rsidR="004F6B6B" w:rsidRPr="00A30C4C" w:rsidRDefault="000B0B09">
            <w:pPr>
              <w:rPr>
                <w:rFonts w:ascii="Times New Roman" w:hAnsi="Times New Roman"/>
                <w:sz w:val="24"/>
              </w:rPr>
            </w:pPr>
            <w:r>
              <w:rPr>
                <w:rFonts w:ascii="Times New Roman" w:hAnsi="Times New Roman"/>
                <w:sz w:val="24"/>
              </w:rPr>
              <w:t xml:space="preserve">Članak 383. CRR-a u vezi s člankom 363. stavkom 1. točkom (d) CRR-a. </w:t>
            </w:r>
          </w:p>
          <w:p w14:paraId="4EB0F6FA" w14:textId="77777777" w:rsidR="000B0B09" w:rsidRPr="00A30C4C" w:rsidRDefault="000B0B09">
            <w:pPr>
              <w:rPr>
                <w:rFonts w:ascii="Times New Roman" w:hAnsi="Times New Roman"/>
                <w:sz w:val="24"/>
              </w:rPr>
            </w:pPr>
            <w:r>
              <w:rPr>
                <w:rFonts w:ascii="Times New Roman" w:hAnsi="Times New Roman"/>
                <w:sz w:val="24"/>
              </w:rPr>
              <w:t xml:space="preserve">Izračun vrijednosti </w:t>
            </w:r>
            <w:proofErr w:type="spellStart"/>
            <w:r>
              <w:rPr>
                <w:rFonts w:ascii="Times New Roman" w:hAnsi="Times New Roman"/>
                <w:sz w:val="24"/>
              </w:rPr>
              <w:t>VaR</w:t>
            </w:r>
            <w:proofErr w:type="spellEnd"/>
            <w:r>
              <w:rPr>
                <w:rFonts w:ascii="Times New Roman" w:hAnsi="Times New Roman"/>
                <w:sz w:val="24"/>
              </w:rPr>
              <w:t xml:space="preserve"> temelji se na internim modelima za tržišni rizik. </w:t>
            </w:r>
          </w:p>
        </w:tc>
      </w:tr>
      <w:tr w:rsidR="000B0B09" w:rsidRPr="00A30C4C" w14:paraId="5DB488EB" w14:textId="77777777" w:rsidTr="00672D2A">
        <w:tc>
          <w:tcPr>
            <w:tcW w:w="852" w:type="dxa"/>
          </w:tcPr>
          <w:p w14:paraId="6D1E7817" w14:textId="77777777" w:rsidR="000B0B09" w:rsidRPr="00A30C4C" w:rsidRDefault="000B0B09" w:rsidP="000B0B09">
            <w:pPr>
              <w:rPr>
                <w:rFonts w:ascii="Times New Roman" w:hAnsi="Times New Roman"/>
                <w:sz w:val="24"/>
              </w:rPr>
            </w:pPr>
            <w:r>
              <w:rPr>
                <w:rFonts w:ascii="Times New Roman" w:hAnsi="Times New Roman"/>
                <w:sz w:val="24"/>
              </w:rPr>
              <w:t>050</w:t>
            </w:r>
          </w:p>
        </w:tc>
        <w:tc>
          <w:tcPr>
            <w:tcW w:w="8004" w:type="dxa"/>
          </w:tcPr>
          <w:p w14:paraId="44F1F820"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PRETHODNI DAN (VaRt-1)</w:t>
            </w:r>
          </w:p>
          <w:p w14:paraId="11C8C183" w14:textId="114B9D75" w:rsidR="000B0B09" w:rsidRPr="00A30C4C" w:rsidRDefault="000B0B09" w:rsidP="002300C6">
            <w:pPr>
              <w:rPr>
                <w:rFonts w:ascii="Times New Roman" w:hAnsi="Times New Roman"/>
                <w:sz w:val="24"/>
              </w:rPr>
            </w:pPr>
            <w:r>
              <w:rPr>
                <w:rFonts w:ascii="Times New Roman" w:hAnsi="Times New Roman"/>
                <w:sz w:val="24"/>
              </w:rPr>
              <w:t>Vidjeti upute za stupac 040.</w:t>
            </w:r>
          </w:p>
        </w:tc>
      </w:tr>
      <w:tr w:rsidR="000B0B09" w:rsidRPr="00A30C4C" w14:paraId="02D09CF1" w14:textId="77777777" w:rsidTr="00672D2A">
        <w:tc>
          <w:tcPr>
            <w:tcW w:w="852" w:type="dxa"/>
          </w:tcPr>
          <w:p w14:paraId="71F58067" w14:textId="77777777" w:rsidR="000B0B09" w:rsidRPr="00A30C4C" w:rsidRDefault="000B0B09" w:rsidP="000B0B09">
            <w:pPr>
              <w:rPr>
                <w:rFonts w:ascii="Times New Roman" w:hAnsi="Times New Roman"/>
                <w:sz w:val="24"/>
              </w:rPr>
            </w:pPr>
            <w:r>
              <w:rPr>
                <w:rFonts w:ascii="Times New Roman" w:hAnsi="Times New Roman"/>
                <w:sz w:val="24"/>
              </w:rPr>
              <w:t>060</w:t>
            </w:r>
          </w:p>
        </w:tc>
        <w:tc>
          <w:tcPr>
            <w:tcW w:w="8004" w:type="dxa"/>
          </w:tcPr>
          <w:p w14:paraId="724BD1DF"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MULTIPLIKACIJSKI FAKTOR (</w:t>
            </w:r>
            <w:proofErr w:type="spellStart"/>
            <w:r>
              <w:rPr>
                <w:rFonts w:ascii="Times New Roman" w:hAnsi="Times New Roman"/>
                <w:b/>
                <w:bCs/>
                <w:sz w:val="24"/>
                <w:u w:val="single"/>
              </w:rPr>
              <w:t>ms</w:t>
            </w:r>
            <w:proofErr w:type="spellEnd"/>
            <w:r>
              <w:rPr>
                <w:rFonts w:ascii="Times New Roman" w:hAnsi="Times New Roman"/>
                <w:b/>
                <w:bCs/>
                <w:sz w:val="24"/>
                <w:u w:val="single"/>
              </w:rPr>
              <w:t>) x PROSJEK ZA PRETHODNIH 60 RADNIH DANA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14:paraId="61BF4BED" w14:textId="1CE4407D" w:rsidR="000B0B09" w:rsidRPr="00A30C4C" w:rsidRDefault="000B0B09" w:rsidP="002300C6">
            <w:pPr>
              <w:rPr>
                <w:rFonts w:ascii="Times New Roman" w:hAnsi="Times New Roman"/>
                <w:sz w:val="24"/>
              </w:rPr>
            </w:pPr>
            <w:r>
              <w:rPr>
                <w:rFonts w:ascii="Times New Roman" w:hAnsi="Times New Roman"/>
                <w:sz w:val="24"/>
              </w:rPr>
              <w:t>Vidjeti upute za stupac 040.</w:t>
            </w:r>
          </w:p>
        </w:tc>
      </w:tr>
      <w:tr w:rsidR="000B0B09" w:rsidRPr="00A30C4C" w14:paraId="753B76EE" w14:textId="77777777" w:rsidTr="00672D2A">
        <w:tc>
          <w:tcPr>
            <w:tcW w:w="852" w:type="dxa"/>
          </w:tcPr>
          <w:p w14:paraId="182174DD" w14:textId="77777777" w:rsidR="000B0B09" w:rsidRPr="00A30C4C" w:rsidRDefault="000B0B09" w:rsidP="000B0B09">
            <w:pPr>
              <w:rPr>
                <w:rFonts w:ascii="Times New Roman" w:hAnsi="Times New Roman"/>
                <w:sz w:val="24"/>
              </w:rPr>
            </w:pPr>
            <w:r>
              <w:rPr>
                <w:rFonts w:ascii="Times New Roman" w:hAnsi="Times New Roman"/>
                <w:sz w:val="24"/>
              </w:rPr>
              <w:t>070</w:t>
            </w:r>
          </w:p>
        </w:tc>
        <w:tc>
          <w:tcPr>
            <w:tcW w:w="8004" w:type="dxa"/>
          </w:tcPr>
          <w:p w14:paraId="568CF55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NAJNOVIJI RASPOLOŽIVI IZNOS (SVaRt-1)</w:t>
            </w:r>
          </w:p>
          <w:p w14:paraId="78ABE34A" w14:textId="7B8AAA9D" w:rsidR="000B0B09" w:rsidRPr="00A30C4C" w:rsidRDefault="000B0B09" w:rsidP="002300C6">
            <w:pPr>
              <w:rPr>
                <w:rFonts w:ascii="Times New Roman" w:hAnsi="Times New Roman"/>
                <w:b/>
                <w:sz w:val="24"/>
                <w:u w:val="single"/>
              </w:rPr>
            </w:pPr>
            <w:r>
              <w:rPr>
                <w:rFonts w:ascii="Times New Roman" w:hAnsi="Times New Roman"/>
                <w:sz w:val="24"/>
              </w:rPr>
              <w:t>Vidjeti upute za stupac 040.</w:t>
            </w:r>
          </w:p>
        </w:tc>
      </w:tr>
      <w:tr w:rsidR="000B0B09" w:rsidRPr="00A30C4C" w14:paraId="62E535D9" w14:textId="77777777" w:rsidTr="00672D2A">
        <w:tc>
          <w:tcPr>
            <w:tcW w:w="852" w:type="dxa"/>
          </w:tcPr>
          <w:p w14:paraId="054E7BC8" w14:textId="77777777" w:rsidR="000B0B09" w:rsidRPr="00A30C4C" w:rsidRDefault="000B0B09" w:rsidP="000B0B09">
            <w:pPr>
              <w:rPr>
                <w:rFonts w:ascii="Times New Roman" w:hAnsi="Times New Roman"/>
                <w:sz w:val="24"/>
              </w:rPr>
            </w:pPr>
            <w:r>
              <w:rPr>
                <w:rFonts w:ascii="Times New Roman" w:hAnsi="Times New Roman"/>
                <w:sz w:val="24"/>
              </w:rPr>
              <w:t>080</w:t>
            </w:r>
          </w:p>
        </w:tc>
        <w:tc>
          <w:tcPr>
            <w:tcW w:w="8004" w:type="dxa"/>
          </w:tcPr>
          <w:p w14:paraId="2EEF49C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KAPITALNI ZAHTJEVI</w:t>
            </w:r>
          </w:p>
          <w:p w14:paraId="1E993DF0" w14:textId="5340E0E1" w:rsidR="004F6B6B" w:rsidRDefault="001E0C80">
            <w:pPr>
              <w:rPr>
                <w:rFonts w:ascii="Times New Roman" w:hAnsi="Times New Roman"/>
                <w:sz w:val="24"/>
              </w:rPr>
            </w:pPr>
            <w:r>
              <w:rPr>
                <w:rFonts w:ascii="Times New Roman" w:hAnsi="Times New Roman"/>
                <w:sz w:val="24"/>
              </w:rPr>
              <w:t xml:space="preserve">Članak 92. stavak 3. točka (d) CRR-a. </w:t>
            </w:r>
          </w:p>
          <w:p w14:paraId="77E9E438" w14:textId="7AFFFBB0" w:rsidR="000B0B09" w:rsidRPr="00A30C4C" w:rsidRDefault="000B0B09">
            <w:pPr>
              <w:rPr>
                <w:rFonts w:ascii="Times New Roman" w:hAnsi="Times New Roman"/>
                <w:sz w:val="24"/>
              </w:rPr>
            </w:pPr>
            <w:r>
              <w:rPr>
                <w:rFonts w:ascii="Times New Roman" w:hAnsi="Times New Roman"/>
                <w:sz w:val="24"/>
              </w:rPr>
              <w:t>Kapitalni zahtjevi za CVA rizik izračunani odabranom metodom.</w:t>
            </w:r>
          </w:p>
        </w:tc>
      </w:tr>
      <w:tr w:rsidR="000B0B09" w:rsidRPr="00A30C4C" w14:paraId="7C5E8B43" w14:textId="77777777" w:rsidTr="00672D2A">
        <w:tc>
          <w:tcPr>
            <w:tcW w:w="852" w:type="dxa"/>
          </w:tcPr>
          <w:p w14:paraId="0E4FA944" w14:textId="77777777" w:rsidR="000B0B09" w:rsidRPr="00A30C4C" w:rsidRDefault="000B0B09" w:rsidP="000B0B09">
            <w:pPr>
              <w:rPr>
                <w:rFonts w:ascii="Times New Roman" w:hAnsi="Times New Roman"/>
                <w:sz w:val="24"/>
              </w:rPr>
            </w:pPr>
            <w:r>
              <w:rPr>
                <w:rFonts w:ascii="Times New Roman" w:hAnsi="Times New Roman"/>
                <w:sz w:val="24"/>
              </w:rPr>
              <w:t>090</w:t>
            </w:r>
          </w:p>
        </w:tc>
        <w:tc>
          <w:tcPr>
            <w:tcW w:w="8004" w:type="dxa"/>
          </w:tcPr>
          <w:p w14:paraId="211D4A9B"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UKUPNI IZNOS IZLOŽENOSTI RIZIKU</w:t>
            </w:r>
          </w:p>
          <w:p w14:paraId="2365D3EA" w14:textId="4F13113B" w:rsidR="004F6B6B" w:rsidRPr="00A30C4C" w:rsidRDefault="001E0C80">
            <w:pPr>
              <w:rPr>
                <w:rFonts w:ascii="Times New Roman" w:hAnsi="Times New Roman"/>
                <w:sz w:val="24"/>
              </w:rPr>
            </w:pPr>
            <w:r>
              <w:rPr>
                <w:rFonts w:ascii="Times New Roman" w:hAnsi="Times New Roman"/>
                <w:sz w:val="24"/>
              </w:rPr>
              <w:t>Članak 92. stavak 4. točka (b) CRR-a.</w:t>
            </w:r>
          </w:p>
          <w:p w14:paraId="147F8D5B" w14:textId="0392EBCB" w:rsidR="000B0B09" w:rsidRPr="00A30C4C" w:rsidRDefault="000B0B09">
            <w:pPr>
              <w:rPr>
                <w:rFonts w:ascii="Times New Roman" w:hAnsi="Times New Roman"/>
                <w:sz w:val="24"/>
              </w:rPr>
            </w:pPr>
            <w:r>
              <w:rPr>
                <w:rFonts w:ascii="Times New Roman" w:hAnsi="Times New Roman"/>
                <w:sz w:val="24"/>
              </w:rPr>
              <w:t>Kapitalni zahtjevi pomnoženi sa 12,5.</w:t>
            </w:r>
          </w:p>
        </w:tc>
      </w:tr>
      <w:tr w:rsidR="000B0B09" w:rsidRPr="00A30C4C" w14:paraId="22191597" w14:textId="77777777" w:rsidTr="00672D2A">
        <w:tc>
          <w:tcPr>
            <w:tcW w:w="852" w:type="dxa"/>
          </w:tcPr>
          <w:p w14:paraId="521173D0" w14:textId="77777777" w:rsidR="000B0B09" w:rsidRPr="00A30C4C" w:rsidRDefault="000B0B09" w:rsidP="000B0B09">
            <w:pPr>
              <w:rPr>
                <w:rFonts w:ascii="Times New Roman" w:hAnsi="Times New Roman"/>
                <w:sz w:val="24"/>
              </w:rPr>
            </w:pPr>
          </w:p>
        </w:tc>
        <w:tc>
          <w:tcPr>
            <w:tcW w:w="8004" w:type="dxa"/>
          </w:tcPr>
          <w:p w14:paraId="0294D0C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Bilješke</w:t>
            </w:r>
          </w:p>
        </w:tc>
      </w:tr>
      <w:tr w:rsidR="000B0B09" w:rsidRPr="00A30C4C" w14:paraId="22282EAE" w14:textId="77777777" w:rsidTr="00672D2A">
        <w:tc>
          <w:tcPr>
            <w:tcW w:w="852" w:type="dxa"/>
          </w:tcPr>
          <w:p w14:paraId="375E1268" w14:textId="77777777" w:rsidR="000B0B09" w:rsidRPr="00A30C4C" w:rsidRDefault="000B0B09" w:rsidP="000B0B09">
            <w:pPr>
              <w:rPr>
                <w:rFonts w:ascii="Times New Roman" w:hAnsi="Times New Roman"/>
                <w:sz w:val="24"/>
              </w:rPr>
            </w:pPr>
            <w:r>
              <w:rPr>
                <w:rFonts w:ascii="Times New Roman" w:hAnsi="Times New Roman"/>
                <w:sz w:val="24"/>
              </w:rPr>
              <w:t>100</w:t>
            </w:r>
          </w:p>
        </w:tc>
        <w:tc>
          <w:tcPr>
            <w:tcW w:w="8004" w:type="dxa"/>
          </w:tcPr>
          <w:p w14:paraId="2EF4F46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Broj drugih ugovornih strana</w:t>
            </w:r>
          </w:p>
          <w:p w14:paraId="064FE37D" w14:textId="366C87F7" w:rsidR="000B0B09" w:rsidRPr="00A30C4C" w:rsidRDefault="000B0B09" w:rsidP="000B0B09">
            <w:pPr>
              <w:rPr>
                <w:rFonts w:ascii="Times New Roman" w:hAnsi="Times New Roman"/>
                <w:sz w:val="24"/>
              </w:rPr>
            </w:pPr>
            <w:r>
              <w:rPr>
                <w:rFonts w:ascii="Times New Roman" w:hAnsi="Times New Roman"/>
                <w:sz w:val="24"/>
              </w:rPr>
              <w:t>Članak 382. CRR-a</w:t>
            </w:r>
          </w:p>
          <w:p w14:paraId="41D6F95E" w14:textId="77777777" w:rsidR="000B0B09" w:rsidRPr="00A30C4C" w:rsidRDefault="000B0B09" w:rsidP="000B0B09">
            <w:pPr>
              <w:rPr>
                <w:rFonts w:ascii="Times New Roman" w:hAnsi="Times New Roman"/>
                <w:sz w:val="24"/>
              </w:rPr>
            </w:pPr>
            <w:r>
              <w:rPr>
                <w:rFonts w:ascii="Times New Roman" w:hAnsi="Times New Roman"/>
                <w:sz w:val="24"/>
              </w:rPr>
              <w:t>Broj drugih ugovornih strana uključenih u izračun kapitalnih zahtjeva za CVA rizik.</w:t>
            </w:r>
          </w:p>
          <w:p w14:paraId="6F296582" w14:textId="7CA8D190" w:rsidR="000B0B09" w:rsidRPr="00A30C4C" w:rsidRDefault="000B0B09" w:rsidP="0016282F">
            <w:pPr>
              <w:rPr>
                <w:rFonts w:ascii="Times New Roman" w:hAnsi="Times New Roman"/>
                <w:sz w:val="24"/>
              </w:rPr>
            </w:pPr>
            <w:r>
              <w:rPr>
                <w:rFonts w:ascii="Times New Roman" w:hAnsi="Times New Roman"/>
                <w:sz w:val="24"/>
              </w:rPr>
              <w:t xml:space="preserve">Druge ugovorne strane su podgrupa dužnika. Postoje samo u slučaju transakcija izvedenicama ili transakcija financiranja vrijednosnim papirima u kojima su druga ugovorna strana. </w:t>
            </w:r>
          </w:p>
        </w:tc>
      </w:tr>
      <w:tr w:rsidR="000B0B09" w:rsidRPr="00A30C4C" w14:paraId="208E8D8E" w14:textId="77777777" w:rsidTr="00672D2A">
        <w:tc>
          <w:tcPr>
            <w:tcW w:w="852" w:type="dxa"/>
          </w:tcPr>
          <w:p w14:paraId="7A9385D3" w14:textId="77777777" w:rsidR="000B0B09" w:rsidRPr="00A30C4C" w:rsidRDefault="000B0B09" w:rsidP="000B0B09">
            <w:pPr>
              <w:rPr>
                <w:rFonts w:ascii="Times New Roman" w:hAnsi="Times New Roman"/>
                <w:sz w:val="24"/>
              </w:rPr>
            </w:pPr>
            <w:r>
              <w:rPr>
                <w:rFonts w:ascii="Times New Roman" w:hAnsi="Times New Roman"/>
                <w:sz w:val="24"/>
              </w:rPr>
              <w:t>110</w:t>
            </w:r>
          </w:p>
        </w:tc>
        <w:tc>
          <w:tcPr>
            <w:tcW w:w="8004" w:type="dxa"/>
          </w:tcPr>
          <w:p w14:paraId="0881EDD6"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Od čega: zamjenska vrijednost upotrijebljena je za određivanje kreditnog raspona</w:t>
            </w:r>
          </w:p>
          <w:p w14:paraId="0BE663C7" w14:textId="0AA3F527" w:rsidR="000B0B09" w:rsidRPr="00A30C4C" w:rsidRDefault="005C14B0">
            <w:pPr>
              <w:rPr>
                <w:rFonts w:ascii="Times New Roman" w:hAnsi="Times New Roman"/>
                <w:b/>
                <w:sz w:val="24"/>
                <w:u w:val="single"/>
              </w:rPr>
            </w:pPr>
            <w:r>
              <w:rPr>
                <w:rFonts w:ascii="Times New Roman" w:hAnsi="Times New Roman"/>
                <w:sz w:val="24"/>
              </w:rPr>
              <w:t>Broj drugih ugovornih strana kada je kreditni raspon određen upotrebom zamjenske vrijednosti umjesto izravno zabilježenih tržišnih podataka.</w:t>
            </w:r>
          </w:p>
        </w:tc>
      </w:tr>
      <w:tr w:rsidR="000B0B09" w:rsidRPr="00A30C4C" w14:paraId="5146AE6D" w14:textId="77777777" w:rsidTr="00672D2A">
        <w:tc>
          <w:tcPr>
            <w:tcW w:w="852" w:type="dxa"/>
          </w:tcPr>
          <w:p w14:paraId="17D94646" w14:textId="77777777" w:rsidR="000B0B09" w:rsidRPr="00A30C4C" w:rsidRDefault="000B0B09" w:rsidP="000B0B09">
            <w:pPr>
              <w:rPr>
                <w:rFonts w:ascii="Times New Roman" w:hAnsi="Times New Roman"/>
                <w:sz w:val="24"/>
              </w:rPr>
            </w:pPr>
            <w:r>
              <w:rPr>
                <w:rFonts w:ascii="Times New Roman" w:hAnsi="Times New Roman"/>
                <w:sz w:val="24"/>
              </w:rPr>
              <w:lastRenderedPageBreak/>
              <w:t>120</w:t>
            </w:r>
          </w:p>
        </w:tc>
        <w:tc>
          <w:tcPr>
            <w:tcW w:w="8004" w:type="dxa"/>
          </w:tcPr>
          <w:p w14:paraId="05699C1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OBRAČUNATI CVA</w:t>
            </w:r>
          </w:p>
          <w:p w14:paraId="48B7E12F" w14:textId="77777777" w:rsidR="000B0B09" w:rsidRPr="00A30C4C" w:rsidRDefault="000B0B09" w:rsidP="000B0B09">
            <w:pPr>
              <w:rPr>
                <w:rFonts w:ascii="Times New Roman" w:hAnsi="Times New Roman"/>
                <w:sz w:val="24"/>
              </w:rPr>
            </w:pPr>
            <w:r>
              <w:rPr>
                <w:rFonts w:ascii="Times New Roman" w:hAnsi="Times New Roman"/>
                <w:sz w:val="24"/>
              </w:rPr>
              <w:t>Računovodstvene odredbe na osnovi smanjene kreditne sposobnosti drugih ugovornih strana povezanih s izvedenicama.</w:t>
            </w:r>
          </w:p>
        </w:tc>
      </w:tr>
      <w:tr w:rsidR="000B0B09" w:rsidRPr="00A30C4C" w14:paraId="2C695804" w14:textId="77777777" w:rsidTr="00672D2A">
        <w:tc>
          <w:tcPr>
            <w:tcW w:w="852" w:type="dxa"/>
          </w:tcPr>
          <w:p w14:paraId="1F9E6A16" w14:textId="77777777" w:rsidR="000B0B09" w:rsidRPr="00A30C4C" w:rsidRDefault="000B0B09" w:rsidP="000B0B09">
            <w:pPr>
              <w:rPr>
                <w:rFonts w:ascii="Times New Roman" w:hAnsi="Times New Roman"/>
                <w:sz w:val="24"/>
              </w:rPr>
            </w:pPr>
            <w:r>
              <w:rPr>
                <w:rFonts w:ascii="Times New Roman" w:hAnsi="Times New Roman"/>
                <w:sz w:val="24"/>
              </w:rPr>
              <w:t>130</w:t>
            </w:r>
          </w:p>
        </w:tc>
        <w:tc>
          <w:tcPr>
            <w:tcW w:w="8004" w:type="dxa"/>
          </w:tcPr>
          <w:p w14:paraId="1B588358"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UGOVOR O RAZMJENI NA OSNOVI NASTANKA STATUSA NEISPUNJAVANJA OBVEZA JEDNOG SUBJEKTA</w:t>
            </w:r>
          </w:p>
          <w:p w14:paraId="2DB38709" w14:textId="14B2F9FD" w:rsidR="000B0B09" w:rsidRPr="00A30C4C" w:rsidRDefault="00D21B29" w:rsidP="000B0B09">
            <w:pPr>
              <w:rPr>
                <w:rFonts w:ascii="Times New Roman" w:hAnsi="Times New Roman"/>
                <w:sz w:val="24"/>
              </w:rPr>
            </w:pPr>
            <w:r>
              <w:rPr>
                <w:rFonts w:ascii="Times New Roman" w:hAnsi="Times New Roman"/>
                <w:sz w:val="24"/>
              </w:rPr>
              <w:t xml:space="preserve">Članak 386. stavak 1. točka (a) CRR-a </w:t>
            </w:r>
          </w:p>
          <w:p w14:paraId="5B50235C" w14:textId="312D16A8" w:rsidR="000B0B09" w:rsidRPr="00A30C4C" w:rsidRDefault="000B0B09" w:rsidP="000B0B09">
            <w:pPr>
              <w:rPr>
                <w:rFonts w:ascii="Times New Roman" w:hAnsi="Times New Roman"/>
                <w:sz w:val="24"/>
              </w:rPr>
            </w:pPr>
            <w:r>
              <w:rPr>
                <w:rFonts w:ascii="Times New Roman" w:hAnsi="Times New Roman"/>
                <w:sz w:val="24"/>
              </w:rPr>
              <w:t>Ukupni zamišljeni iznosi ugovora o razmjeni na osnovi nastanka statusa neispunjavanja obveza jednog subjekta koji se koriste kao zaštita za CVA rizik.</w:t>
            </w:r>
          </w:p>
        </w:tc>
      </w:tr>
      <w:tr w:rsidR="000B0B09" w:rsidRPr="00A30C4C" w14:paraId="39BBE1D7" w14:textId="77777777" w:rsidTr="00672D2A">
        <w:tc>
          <w:tcPr>
            <w:tcW w:w="852" w:type="dxa"/>
          </w:tcPr>
          <w:p w14:paraId="606251E4" w14:textId="77777777" w:rsidR="000B0B09" w:rsidRPr="00A30C4C" w:rsidRDefault="000B0B09" w:rsidP="000B0B09">
            <w:pPr>
              <w:rPr>
                <w:rFonts w:ascii="Times New Roman" w:hAnsi="Times New Roman"/>
                <w:sz w:val="24"/>
              </w:rPr>
            </w:pPr>
            <w:r>
              <w:rPr>
                <w:rFonts w:ascii="Times New Roman" w:hAnsi="Times New Roman"/>
                <w:sz w:val="24"/>
              </w:rPr>
              <w:t>140</w:t>
            </w:r>
          </w:p>
        </w:tc>
        <w:tc>
          <w:tcPr>
            <w:tcW w:w="8004" w:type="dxa"/>
          </w:tcPr>
          <w:p w14:paraId="36EC79C3"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INDEKSI UGOVORA O RAZMJENI NA OSNOVI NASTANKA STATUSA NEISPUNJAVANJA OBVEZA</w:t>
            </w:r>
          </w:p>
          <w:p w14:paraId="2907F0D4" w14:textId="0A02CB18" w:rsidR="000B0B09" w:rsidRPr="00A30C4C" w:rsidRDefault="00D21B29" w:rsidP="000B0B09">
            <w:pPr>
              <w:rPr>
                <w:rFonts w:ascii="Times New Roman" w:hAnsi="Times New Roman"/>
                <w:sz w:val="24"/>
              </w:rPr>
            </w:pPr>
            <w:r>
              <w:rPr>
                <w:rFonts w:ascii="Times New Roman" w:hAnsi="Times New Roman"/>
                <w:sz w:val="24"/>
              </w:rPr>
              <w:t>Članak 386. stavak 1. točka (b) CRR-a</w:t>
            </w:r>
          </w:p>
          <w:p w14:paraId="30AEB754" w14:textId="28361AA2" w:rsidR="000B0B09" w:rsidRPr="00A30C4C" w:rsidRDefault="000B0B09" w:rsidP="000B0B09">
            <w:pPr>
              <w:rPr>
                <w:rFonts w:ascii="Times New Roman" w:hAnsi="Times New Roman"/>
                <w:b/>
                <w:sz w:val="24"/>
                <w:u w:val="single"/>
              </w:rPr>
            </w:pPr>
            <w:r>
              <w:rPr>
                <w:rFonts w:ascii="Times New Roman" w:hAnsi="Times New Roman"/>
                <w:sz w:val="24"/>
              </w:rPr>
              <w:t>Ukupni zamišljeni iznosi indeksa ugovora o razmjeni na osnovi nastanka statusa neispunjavanja obveza koji se koriste kao zaštita za CVA rizik.</w:t>
            </w:r>
          </w:p>
        </w:tc>
      </w:tr>
    </w:tbl>
    <w:p w14:paraId="77D3C427"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30C4C" w14:paraId="63DD22C6" w14:textId="77777777" w:rsidTr="00672D2A">
        <w:tc>
          <w:tcPr>
            <w:tcW w:w="8856" w:type="dxa"/>
            <w:gridSpan w:val="2"/>
            <w:shd w:val="clear" w:color="auto" w:fill="CCCCCC"/>
          </w:tcPr>
          <w:p w14:paraId="1218FE36" w14:textId="77777777" w:rsidR="000B0B09" w:rsidRPr="00A30C4C" w:rsidRDefault="000B0B09" w:rsidP="000B0B09">
            <w:pPr>
              <w:rPr>
                <w:rFonts w:ascii="Times New Roman" w:hAnsi="Times New Roman"/>
                <w:b/>
                <w:sz w:val="24"/>
              </w:rPr>
            </w:pPr>
            <w:r>
              <w:rPr>
                <w:rFonts w:ascii="Times New Roman" w:hAnsi="Times New Roman"/>
                <w:b/>
                <w:sz w:val="24"/>
              </w:rPr>
              <w:t>Redci</w:t>
            </w:r>
          </w:p>
        </w:tc>
      </w:tr>
      <w:tr w:rsidR="000B0B09" w:rsidRPr="00A30C4C" w14:paraId="24F67660" w14:textId="77777777" w:rsidTr="00672D2A">
        <w:tc>
          <w:tcPr>
            <w:tcW w:w="852" w:type="dxa"/>
          </w:tcPr>
          <w:p w14:paraId="358BF8DF" w14:textId="77777777" w:rsidR="000B0B09" w:rsidRPr="00A30C4C" w:rsidRDefault="000B0B09" w:rsidP="000B0B09">
            <w:pPr>
              <w:rPr>
                <w:rFonts w:ascii="Times New Roman" w:hAnsi="Times New Roman"/>
                <w:sz w:val="24"/>
              </w:rPr>
            </w:pPr>
            <w:r>
              <w:rPr>
                <w:rFonts w:ascii="Times New Roman" w:hAnsi="Times New Roman"/>
                <w:sz w:val="24"/>
              </w:rPr>
              <w:t>010</w:t>
            </w:r>
          </w:p>
        </w:tc>
        <w:tc>
          <w:tcPr>
            <w:tcW w:w="8004" w:type="dxa"/>
          </w:tcPr>
          <w:p w14:paraId="55D74EEA"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Ukupni CVA rizik</w:t>
            </w:r>
          </w:p>
          <w:p w14:paraId="3FFB40EC" w14:textId="11990D5A" w:rsidR="000B0B09" w:rsidRPr="00A30C4C" w:rsidRDefault="000B0B09" w:rsidP="002300C6">
            <w:pPr>
              <w:rPr>
                <w:rFonts w:ascii="Times New Roman" w:hAnsi="Times New Roman"/>
                <w:bCs/>
                <w:sz w:val="24"/>
              </w:rPr>
            </w:pPr>
            <w:r>
              <w:rPr>
                <w:rFonts w:ascii="Times New Roman" w:hAnsi="Times New Roman"/>
                <w:bCs/>
                <w:sz w:val="24"/>
              </w:rPr>
              <w:t>Zbroj redaka 020-040</w:t>
            </w:r>
          </w:p>
        </w:tc>
      </w:tr>
      <w:tr w:rsidR="000B0B09" w:rsidRPr="00A30C4C" w14:paraId="117A9CD0" w14:textId="77777777" w:rsidTr="00672D2A">
        <w:tc>
          <w:tcPr>
            <w:tcW w:w="852" w:type="dxa"/>
          </w:tcPr>
          <w:p w14:paraId="1E281625" w14:textId="77777777" w:rsidR="000B0B09" w:rsidRPr="00A30C4C" w:rsidRDefault="000B0B09" w:rsidP="000B0B09">
            <w:pPr>
              <w:rPr>
                <w:rFonts w:ascii="Times New Roman" w:hAnsi="Times New Roman"/>
                <w:sz w:val="24"/>
              </w:rPr>
            </w:pPr>
            <w:r>
              <w:rPr>
                <w:rFonts w:ascii="Times New Roman" w:hAnsi="Times New Roman"/>
                <w:sz w:val="24"/>
              </w:rPr>
              <w:t xml:space="preserve">020 </w:t>
            </w:r>
          </w:p>
        </w:tc>
        <w:tc>
          <w:tcPr>
            <w:tcW w:w="8004" w:type="dxa"/>
          </w:tcPr>
          <w:p w14:paraId="02E6580C" w14:textId="35DF5FF3" w:rsidR="000B0B09" w:rsidRPr="00A30C4C" w:rsidRDefault="000B0B09" w:rsidP="000B0B09">
            <w:pPr>
              <w:rPr>
                <w:rFonts w:ascii="Times New Roman" w:hAnsi="Times New Roman"/>
                <w:b/>
                <w:bCs/>
                <w:sz w:val="24"/>
                <w:u w:val="single"/>
              </w:rPr>
            </w:pPr>
            <w:r>
              <w:rPr>
                <w:rFonts w:ascii="Times New Roman" w:hAnsi="Times New Roman"/>
                <w:b/>
                <w:bCs/>
                <w:sz w:val="24"/>
                <w:u w:val="single"/>
              </w:rPr>
              <w:t>Napredna metoda</w:t>
            </w:r>
          </w:p>
          <w:p w14:paraId="59CC663A" w14:textId="5570ACAA" w:rsidR="000B0B09" w:rsidRPr="00A30C4C" w:rsidRDefault="000B0B09" w:rsidP="000B0B09">
            <w:pPr>
              <w:rPr>
                <w:rFonts w:ascii="Times New Roman" w:hAnsi="Times New Roman"/>
                <w:bCs/>
                <w:sz w:val="24"/>
              </w:rPr>
            </w:pPr>
            <w:r>
              <w:rPr>
                <w:rFonts w:ascii="Times New Roman" w:hAnsi="Times New Roman"/>
                <w:bCs/>
                <w:sz w:val="24"/>
              </w:rPr>
              <w:t>Napredna metoda za CVA rizik kako je propisana člankom 383.</w:t>
            </w:r>
            <w:r>
              <w:rPr>
                <w:rFonts w:ascii="Times New Roman" w:hAnsi="Times New Roman"/>
                <w:sz w:val="24"/>
              </w:rPr>
              <w:t xml:space="preserve"> CRR-a</w:t>
            </w:r>
            <w:r>
              <w:rPr>
                <w:rFonts w:ascii="Times New Roman" w:hAnsi="Times New Roman"/>
                <w:bCs/>
                <w:sz w:val="24"/>
              </w:rPr>
              <w:t xml:space="preserve"> </w:t>
            </w:r>
          </w:p>
        </w:tc>
      </w:tr>
      <w:tr w:rsidR="000B0B09" w:rsidRPr="00A30C4C" w14:paraId="6FC0D15B" w14:textId="77777777" w:rsidTr="00672D2A">
        <w:tc>
          <w:tcPr>
            <w:tcW w:w="852" w:type="dxa"/>
          </w:tcPr>
          <w:p w14:paraId="27DE8499" w14:textId="77777777" w:rsidR="000B0B09" w:rsidRPr="00A30C4C" w:rsidRDefault="000B0B09" w:rsidP="000B0B09">
            <w:pPr>
              <w:rPr>
                <w:rFonts w:ascii="Times New Roman" w:hAnsi="Times New Roman"/>
                <w:sz w:val="24"/>
              </w:rPr>
            </w:pPr>
            <w:r>
              <w:rPr>
                <w:rFonts w:ascii="Times New Roman" w:hAnsi="Times New Roman"/>
                <w:sz w:val="24"/>
              </w:rPr>
              <w:t>030</w:t>
            </w:r>
          </w:p>
        </w:tc>
        <w:tc>
          <w:tcPr>
            <w:tcW w:w="8004" w:type="dxa"/>
          </w:tcPr>
          <w:p w14:paraId="1E919B6E" w14:textId="607AF6EF" w:rsidR="000B0B09" w:rsidRPr="00A30C4C" w:rsidRDefault="000B0B09" w:rsidP="000B0B09">
            <w:pPr>
              <w:rPr>
                <w:rFonts w:ascii="Times New Roman" w:hAnsi="Times New Roman"/>
                <w:b/>
                <w:bCs/>
                <w:sz w:val="24"/>
                <w:u w:val="single"/>
              </w:rPr>
            </w:pPr>
            <w:r>
              <w:rPr>
                <w:rFonts w:ascii="Times New Roman" w:hAnsi="Times New Roman"/>
                <w:b/>
                <w:bCs/>
                <w:sz w:val="24"/>
                <w:u w:val="single"/>
              </w:rPr>
              <w:t>Standardizirana metoda</w:t>
            </w:r>
          </w:p>
          <w:p w14:paraId="53048721" w14:textId="686011CD" w:rsidR="000B0B09" w:rsidRPr="00A30C4C" w:rsidRDefault="000B0B09" w:rsidP="000B0B09">
            <w:pPr>
              <w:rPr>
                <w:rFonts w:ascii="Times New Roman" w:hAnsi="Times New Roman"/>
                <w:bCs/>
                <w:sz w:val="24"/>
              </w:rPr>
            </w:pPr>
            <w:r>
              <w:rPr>
                <w:rFonts w:ascii="Times New Roman" w:hAnsi="Times New Roman"/>
                <w:bCs/>
                <w:sz w:val="24"/>
              </w:rPr>
              <w:t>Standardizirana metoda za CVA rizik kako je propisana člankom 384.</w:t>
            </w:r>
            <w:r>
              <w:rPr>
                <w:rFonts w:ascii="Times New Roman" w:hAnsi="Times New Roman"/>
                <w:sz w:val="24"/>
              </w:rPr>
              <w:t xml:space="preserve"> CRR-a</w:t>
            </w:r>
            <w:r>
              <w:rPr>
                <w:rFonts w:ascii="Times New Roman" w:hAnsi="Times New Roman"/>
                <w:bCs/>
                <w:sz w:val="24"/>
              </w:rPr>
              <w:t xml:space="preserve"> </w:t>
            </w:r>
          </w:p>
        </w:tc>
      </w:tr>
      <w:tr w:rsidR="000B0B09" w:rsidRPr="00A30C4C" w14:paraId="221BFDBB" w14:textId="77777777" w:rsidTr="00672D2A">
        <w:tc>
          <w:tcPr>
            <w:tcW w:w="852" w:type="dxa"/>
          </w:tcPr>
          <w:p w14:paraId="532C7E21" w14:textId="77777777" w:rsidR="000B0B09" w:rsidRPr="00A30C4C" w:rsidRDefault="000B0B09" w:rsidP="000B0B09">
            <w:pPr>
              <w:rPr>
                <w:rFonts w:ascii="Times New Roman" w:hAnsi="Times New Roman"/>
                <w:sz w:val="24"/>
              </w:rPr>
            </w:pPr>
            <w:r>
              <w:rPr>
                <w:rFonts w:ascii="Times New Roman" w:hAnsi="Times New Roman"/>
                <w:sz w:val="24"/>
              </w:rPr>
              <w:t>040</w:t>
            </w:r>
          </w:p>
        </w:tc>
        <w:tc>
          <w:tcPr>
            <w:tcW w:w="8004" w:type="dxa"/>
          </w:tcPr>
          <w:p w14:paraId="6CEF8B62"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Na temelju metode originalne izloženosti</w:t>
            </w:r>
          </w:p>
          <w:p w14:paraId="3CC30ECF" w14:textId="4897E3A7" w:rsidR="000B0B09" w:rsidRPr="00A30C4C" w:rsidRDefault="000B0B09" w:rsidP="00E871FE">
            <w:pPr>
              <w:rPr>
                <w:rFonts w:ascii="Times New Roman" w:hAnsi="Times New Roman"/>
                <w:bCs/>
                <w:sz w:val="24"/>
              </w:rPr>
            </w:pPr>
            <w:r>
              <w:rPr>
                <w:rFonts w:ascii="Times New Roman" w:hAnsi="Times New Roman"/>
                <w:bCs/>
                <w:sz w:val="24"/>
              </w:rPr>
              <w:t>Iznosi koji podliježu primjeni članka 385.</w:t>
            </w:r>
            <w:r>
              <w:rPr>
                <w:rFonts w:ascii="Times New Roman" w:hAnsi="Times New Roman"/>
                <w:sz w:val="24"/>
              </w:rPr>
              <w:t xml:space="preserve"> CRR-a</w:t>
            </w:r>
          </w:p>
        </w:tc>
      </w:tr>
      <w:bookmarkEnd w:id="646"/>
    </w:tbl>
    <w:p w14:paraId="26E1C34E" w14:textId="77777777" w:rsidR="00633DEB" w:rsidRPr="00A30C4C" w:rsidRDefault="00633DEB" w:rsidP="00C61FF5">
      <w:pPr>
        <w:rPr>
          <w:rStyle w:val="InstructionsTabelleText"/>
          <w:rFonts w:ascii="Times New Roman" w:hAnsi="Times New Roman"/>
          <w:sz w:val="24"/>
        </w:rPr>
      </w:pPr>
    </w:p>
    <w:p w14:paraId="3E0E4F0B"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rPr>
      </w:pPr>
      <w:bookmarkStart w:id="648" w:name="_Toc30677726"/>
      <w:r>
        <w:rPr>
          <w:rFonts w:ascii="Times New Roman" w:hAnsi="Times New Roman"/>
          <w:sz w:val="24"/>
          <w:u w:val="none"/>
        </w:rPr>
        <w:t>6.</w:t>
      </w:r>
      <w:r>
        <w:rPr>
          <w:rFonts w:ascii="Times New Roman" w:hAnsi="Times New Roman"/>
          <w:sz w:val="24"/>
          <w:u w:val="none"/>
        </w:rPr>
        <w:tab/>
      </w:r>
      <w:r>
        <w:rPr>
          <w:rFonts w:ascii="Times New Roman" w:hAnsi="Times New Roman"/>
          <w:sz w:val="24"/>
        </w:rPr>
        <w:t>Bonitetno vrednovanje (</w:t>
      </w:r>
      <w:proofErr w:type="spellStart"/>
      <w:r>
        <w:rPr>
          <w:rFonts w:ascii="Times New Roman" w:hAnsi="Times New Roman"/>
          <w:sz w:val="24"/>
        </w:rPr>
        <w:t>PruVal</w:t>
      </w:r>
      <w:proofErr w:type="spellEnd"/>
      <w:r>
        <w:rPr>
          <w:rFonts w:ascii="Times New Roman" w:hAnsi="Times New Roman"/>
          <w:sz w:val="24"/>
        </w:rPr>
        <w:t>)</w:t>
      </w:r>
      <w:bookmarkEnd w:id="648"/>
    </w:p>
    <w:p w14:paraId="45FB2C51"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u w:val="none"/>
        </w:rPr>
      </w:pPr>
      <w:bookmarkStart w:id="649" w:name="_Toc30677727"/>
      <w:r>
        <w:rPr>
          <w:rFonts w:ascii="Times New Roman" w:hAnsi="Times New Roman"/>
          <w:sz w:val="24"/>
          <w:u w:val="none"/>
        </w:rPr>
        <w:t>6.1.</w:t>
      </w:r>
      <w:r>
        <w:rPr>
          <w:rFonts w:ascii="Times New Roman" w:hAnsi="Times New Roman"/>
          <w:sz w:val="24"/>
          <w:u w:val="none"/>
        </w:rPr>
        <w:tab/>
      </w:r>
      <w:r>
        <w:rPr>
          <w:rFonts w:ascii="Times New Roman" w:hAnsi="Times New Roman"/>
          <w:sz w:val="24"/>
        </w:rPr>
        <w:t>C 32.01 – Bonitetno vrednovanje: imovina i obveze po fer vrijednosti (</w:t>
      </w:r>
      <w:proofErr w:type="spellStart"/>
      <w:r>
        <w:rPr>
          <w:rFonts w:ascii="Times New Roman" w:hAnsi="Times New Roman"/>
          <w:sz w:val="24"/>
        </w:rPr>
        <w:t>PruVal</w:t>
      </w:r>
      <w:proofErr w:type="spellEnd"/>
      <w:r>
        <w:rPr>
          <w:rFonts w:ascii="Times New Roman" w:hAnsi="Times New Roman"/>
          <w:sz w:val="24"/>
        </w:rPr>
        <w:t xml:space="preserve"> 1)</w:t>
      </w:r>
      <w:bookmarkEnd w:id="649"/>
    </w:p>
    <w:p w14:paraId="4FDFF8AA"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u w:val="none"/>
        </w:rPr>
      </w:pPr>
      <w:bookmarkStart w:id="650" w:name="_Toc30677728"/>
      <w:r>
        <w:rPr>
          <w:rFonts w:ascii="Times New Roman" w:hAnsi="Times New Roman"/>
          <w:sz w:val="24"/>
          <w:u w:val="none"/>
        </w:rPr>
        <w:t>6.1.1.</w:t>
      </w:r>
      <w:r>
        <w:rPr>
          <w:rFonts w:ascii="Times New Roman" w:hAnsi="Times New Roman"/>
          <w:sz w:val="24"/>
          <w:u w:val="none"/>
        </w:rPr>
        <w:tab/>
      </w:r>
      <w:r>
        <w:rPr>
          <w:rFonts w:ascii="Times New Roman" w:hAnsi="Times New Roman"/>
          <w:sz w:val="24"/>
        </w:rPr>
        <w:t>Opće napomene</w:t>
      </w:r>
      <w:bookmarkEnd w:id="650"/>
      <w:r>
        <w:rPr>
          <w:rFonts w:ascii="Times New Roman" w:hAnsi="Times New Roman"/>
          <w:sz w:val="24"/>
          <w:u w:val="none"/>
        </w:rPr>
        <w:t xml:space="preserve"> </w:t>
      </w:r>
    </w:p>
    <w:p w14:paraId="5E537868" w14:textId="2EA8F01A" w:rsidR="00B93FA1" w:rsidRPr="00A30C4C" w:rsidRDefault="00995A7F" w:rsidP="001A3980">
      <w:pPr>
        <w:pStyle w:val="InstructionsText2"/>
        <w:numPr>
          <w:ilvl w:val="0"/>
          <w:numId w:val="0"/>
        </w:numPr>
        <w:ind w:left="993"/>
      </w:pPr>
      <w:r>
        <w:t xml:space="preserve">154a. Ovaj obrazac popunjavaju sve institucije neovisno o tome primjenjuju li pojednostavnjeni pristup za utvrđivanje dodatnih prilagodbi vrednovanja. Ovaj se obrazac odnosi na apsolutnu vrijednost imovine i obveza po fer vrijednosti koja se koristi kako bi se utvrdilo jesu li ispunjeni uvjeti iz članka 4. Delegirane uredbe Komisije </w:t>
      </w:r>
      <w:r>
        <w:lastRenderedPageBreak/>
        <w:t>(EU) 2016/101</w:t>
      </w:r>
      <w:r w:rsidR="0016282F" w:rsidRPr="00A30C4C">
        <w:rPr>
          <w:rStyle w:val="FootnoteReference"/>
          <w:rFonts w:ascii="Times New Roman" w:hAnsi="Times New Roman"/>
          <w:sz w:val="20"/>
          <w:szCs w:val="20"/>
          <w:vertAlign w:val="superscript"/>
        </w:rPr>
        <w:footnoteReference w:id="17"/>
      </w:r>
      <w:r>
        <w:t xml:space="preserve"> za primjenu pojednostavnjenog pristupa za utvrđivanje dodatnih prilagodbi vrednovanja.</w:t>
      </w:r>
    </w:p>
    <w:p w14:paraId="433F2824" w14:textId="6A97C5D9" w:rsidR="00995A7F" w:rsidRPr="00A30C4C" w:rsidRDefault="00B93FA1" w:rsidP="001A3980">
      <w:pPr>
        <w:pStyle w:val="InstructionsText2"/>
        <w:numPr>
          <w:ilvl w:val="0"/>
          <w:numId w:val="0"/>
        </w:numPr>
        <w:ind w:left="993"/>
      </w:pPr>
      <w:r>
        <w:t>154b. Kad je riječ o institucijama koje primjenjuju pojednostavljeni pristup, u ovom se obrascu iskazuje ukupna dodatna prilagodba vrednovanja koja se odbija od regulatornog kapitala u skladu s člancima 34. i 105. CRR-a kako je određena u članku 5. Delegirane uredbe (EU) 2016/101, koja se u skladu s time iskazuje u retku 290 obrasca C 01.00.</w:t>
      </w:r>
    </w:p>
    <w:p w14:paraId="68F3B84E"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1" w:name="_Toc30677729"/>
      <w:r>
        <w:rPr>
          <w:rFonts w:ascii="Times New Roman" w:hAnsi="Times New Roman"/>
          <w:sz w:val="24"/>
          <w:u w:val="none"/>
        </w:rPr>
        <w:t>6.1.2.</w:t>
      </w:r>
      <w:r>
        <w:rPr>
          <w:rFonts w:ascii="Times New Roman" w:hAnsi="Times New Roman"/>
          <w:sz w:val="24"/>
          <w:u w:val="none"/>
        </w:rPr>
        <w:tab/>
      </w:r>
      <w:r>
        <w:rPr>
          <w:rFonts w:ascii="Times New Roman" w:hAnsi="Times New Roman"/>
          <w:sz w:val="24"/>
        </w:rPr>
        <w:t>Upute za specifične pozicije</w:t>
      </w:r>
      <w:bookmarkEnd w:id="65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30C4C" w14:paraId="37C991B5" w14:textId="77777777" w:rsidTr="00672D2A">
        <w:tc>
          <w:tcPr>
            <w:tcW w:w="9291" w:type="dxa"/>
            <w:gridSpan w:val="2"/>
            <w:shd w:val="clear" w:color="auto" w:fill="CCCCCC"/>
          </w:tcPr>
          <w:p w14:paraId="68F27042" w14:textId="77777777" w:rsidR="00B93FA1" w:rsidRPr="00A30C4C" w:rsidRDefault="00B93FA1" w:rsidP="00AF3D7A">
            <w:pPr>
              <w:spacing w:beforeLines="60" w:before="144" w:afterLines="60" w:after="144"/>
              <w:rPr>
                <w:rFonts w:ascii="Times New Roman" w:hAnsi="Times New Roman"/>
                <w:b/>
                <w:sz w:val="24"/>
              </w:rPr>
            </w:pPr>
            <w:r>
              <w:rPr>
                <w:rFonts w:ascii="Times New Roman" w:hAnsi="Times New Roman"/>
                <w:b/>
                <w:sz w:val="24"/>
              </w:rPr>
              <w:t>Stupci</w:t>
            </w:r>
          </w:p>
        </w:tc>
      </w:tr>
      <w:tr w:rsidR="00B93FA1" w:rsidRPr="00A30C4C" w14:paraId="58890713" w14:textId="77777777" w:rsidTr="00672D2A">
        <w:tc>
          <w:tcPr>
            <w:tcW w:w="1101" w:type="dxa"/>
          </w:tcPr>
          <w:p w14:paraId="4AE79EA6"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2BE349A"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w:t>
            </w:r>
          </w:p>
          <w:p w14:paraId="45F4B9CF" w14:textId="4F812398"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Apsolutna vrijednost imovine i obveza po fer vrijednosti, kako je navedeno u financijskim izvještajima u skladu s primjenjivim računovodstvenim okvirom, kako je određena u članku 4. stavku 1. Delegirane uredbe (EU) 2016/101, prije bilo kakvog izuzimanja u skladu s člankom 4. stavkom 2. Delegirane uredbe (EU) 2016/101.</w:t>
            </w:r>
          </w:p>
        </w:tc>
      </w:tr>
      <w:tr w:rsidR="00B93FA1" w:rsidRPr="00A30C4C" w14:paraId="0ADC2607" w14:textId="77777777" w:rsidTr="00672D2A">
        <w:tc>
          <w:tcPr>
            <w:tcW w:w="1101" w:type="dxa"/>
          </w:tcPr>
          <w:p w14:paraId="1BE14BA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D211BA4"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ČEGA: knjiga trgovanja</w:t>
            </w:r>
          </w:p>
          <w:p w14:paraId="6A2E3CB7"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Apsolutna vrijednost imovine i obveza po fer vrijednosti, kako je iskazana u retku 010, koja odgovara pozicijama koje se drže u knjizi trgovanja. </w:t>
            </w:r>
          </w:p>
        </w:tc>
      </w:tr>
      <w:tr w:rsidR="00B93FA1" w:rsidRPr="00A30C4C" w14:paraId="7BDB83B0" w14:textId="77777777" w:rsidTr="00672D2A">
        <w:tc>
          <w:tcPr>
            <w:tcW w:w="1101" w:type="dxa"/>
          </w:tcPr>
          <w:p w14:paraId="3AABA373"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5AA4280"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 KOJE SU ISKLJUČENE ZBOG DJELOMIČNOG UTJECAJA NA REDOVNI OSNOVNI KAPITAL</w:t>
            </w:r>
          </w:p>
          <w:p w14:paraId="4FC60C87" w14:textId="233C9FBF" w:rsidR="00B93FA1" w:rsidRPr="00A30C4C"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koje su isključene u skladu s člankom 4. stavkom 2. Delegirane uredbe (EU) 2016/101.</w:t>
            </w:r>
          </w:p>
        </w:tc>
      </w:tr>
      <w:tr w:rsidR="00B93FA1" w:rsidRPr="00A30C4C" w14:paraId="341FF8B7" w14:textId="77777777" w:rsidTr="00672D2A">
        <w:tc>
          <w:tcPr>
            <w:tcW w:w="1101" w:type="dxa"/>
          </w:tcPr>
          <w:p w14:paraId="2F57DF5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91EDAF3"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Potpuno podudaranje pozicija</w:t>
            </w:r>
          </w:p>
          <w:p w14:paraId="0FC282C8" w14:textId="458A6908"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Suprotne pozicije imovine i obveza po fer vrijednosti koje se u potpunosti podudaraju isključene su u skladu s člankom 4. stavkom 2. Delegirane uredbe (EU) 2016/101.</w:t>
            </w:r>
          </w:p>
        </w:tc>
      </w:tr>
      <w:tr w:rsidR="00B93FA1" w:rsidRPr="00A30C4C" w14:paraId="750781F7" w14:textId="77777777" w:rsidTr="00672D2A">
        <w:tc>
          <w:tcPr>
            <w:tcW w:w="1101" w:type="dxa"/>
          </w:tcPr>
          <w:p w14:paraId="499557F3"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15BEC75"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Računovodstvo zaštite</w:t>
            </w:r>
          </w:p>
          <w:p w14:paraId="3E8AFC8D" w14:textId="72AFDD4B"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Kad je riječ o pozicijama koje podliježu računovodstvu zaštite u skladu s primjenjivim računovodstvenim okvirom, apsolutna vrijednost imovine i obveza po fer vrijednosti koje su isključene razmjerno utjecaju odgovarajuće promjene u vrednovanju na redovni osnovni kapital u skladu s člankom 4. stavkom 2. Delegirane uredbe (EU) 2016/101.</w:t>
            </w:r>
          </w:p>
        </w:tc>
      </w:tr>
      <w:tr w:rsidR="00B93FA1" w:rsidRPr="00A30C4C" w14:paraId="40FA2695" w14:textId="77777777" w:rsidTr="00672D2A">
        <w:tc>
          <w:tcPr>
            <w:tcW w:w="1101" w:type="dxa"/>
          </w:tcPr>
          <w:p w14:paraId="3C11D6B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1368142A" w14:textId="77777777" w:rsidR="00B93FA1" w:rsidRPr="00A30C4C"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BONITETNI filtri </w:t>
            </w:r>
          </w:p>
          <w:p w14:paraId="1ADA3A45" w14:textId="3B2FDEDB" w:rsidR="00B93FA1" w:rsidRPr="00A30C4C" w:rsidRDefault="00B93FA1" w:rsidP="002300C6">
            <w:pPr>
              <w:spacing w:beforeLines="60" w:before="144" w:afterLines="60" w:after="144"/>
              <w:rPr>
                <w:rFonts w:ascii="Times New Roman" w:hAnsi="Times New Roman"/>
                <w:sz w:val="24"/>
              </w:rPr>
            </w:pPr>
            <w:r>
              <w:rPr>
                <w:rFonts w:ascii="Times New Roman" w:hAnsi="Times New Roman"/>
                <w:sz w:val="24"/>
              </w:rPr>
              <w:lastRenderedPageBreak/>
              <w:t>Apsolutna vrijednost imovine i obveza po fer vrijednosti koje su isključene u skladu s člankom 4. stavkom 2. Delegirane uredbe (EU) 2016/101 zbog prijelazne primjene bonitetnih filtara iz članaka 467. i 468. CRR-a.</w:t>
            </w:r>
          </w:p>
        </w:tc>
      </w:tr>
      <w:tr w:rsidR="00B93FA1" w:rsidRPr="00A30C4C" w14:paraId="48DF7B27" w14:textId="77777777" w:rsidTr="00672D2A">
        <w:tc>
          <w:tcPr>
            <w:tcW w:w="1101" w:type="dxa"/>
          </w:tcPr>
          <w:p w14:paraId="57A700D6" w14:textId="77777777" w:rsidR="00B93FA1" w:rsidRPr="00A30C4C" w:rsidRDefault="001924F4" w:rsidP="00B93FA1">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3CD8025C"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Ostalo</w:t>
            </w:r>
          </w:p>
          <w:p w14:paraId="45DF5D7C" w14:textId="68665FD8"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Sve ostale pozicije koje su isključene u skladu s člankom 4. stavkom 2. Delegirane uredbe (EU) 2016/101 zbog usklađenja njihove računovodstvene vrijednosti koje ima samo razmjeran utjecaj na redovni osnovni kapital.</w:t>
            </w:r>
          </w:p>
          <w:p w14:paraId="251244A0" w14:textId="37A24AA8"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Ovaj se redak popunjava samo u rijetkim slučajevima kada se elementi isključeni u skladu s člankom 4. stavkom 2. Delegirane uredbe (EU) 2016/101 ne mogu rasporediti u stupce 0030, 0040 ili 0050 ovog obrasca.</w:t>
            </w:r>
          </w:p>
        </w:tc>
      </w:tr>
      <w:tr w:rsidR="00B93FA1" w:rsidRPr="00A30C4C" w14:paraId="4376D441" w14:textId="77777777" w:rsidTr="00672D2A">
        <w:tc>
          <w:tcPr>
            <w:tcW w:w="1101" w:type="dxa"/>
          </w:tcPr>
          <w:p w14:paraId="40845684"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FF7ED81"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Napomena koja se odnosi na „ostalo”</w:t>
            </w:r>
            <w:r>
              <w:rPr>
                <w:rFonts w:ascii="Times New Roman" w:hAnsi="Times New Roman"/>
                <w:sz w:val="24"/>
              </w:rPr>
              <w:t xml:space="preserve"> </w:t>
            </w:r>
          </w:p>
          <w:p w14:paraId="555F48C0" w14:textId="77777777" w:rsidR="00B93FA1" w:rsidRPr="00A30C4C"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Navode se glavni razlozi isključenja pozicija iskazanih u stupcu 0060.</w:t>
            </w:r>
          </w:p>
        </w:tc>
      </w:tr>
      <w:tr w:rsidR="00B93FA1" w:rsidRPr="00A30C4C" w14:paraId="45292F56" w14:textId="77777777" w:rsidTr="00672D2A">
        <w:tc>
          <w:tcPr>
            <w:tcW w:w="1101" w:type="dxa"/>
          </w:tcPr>
          <w:p w14:paraId="40B987A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896A4F5" w14:textId="6816EC9D"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Imovina i obveze PO FER VRIJEDNOSTI uključene u prag iz članka 4. stavka 1.</w:t>
            </w:r>
          </w:p>
          <w:p w14:paraId="36430BD1" w14:textId="11843636" w:rsidR="00B93FA1" w:rsidRPr="00A30C4C"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koje su doista uključene u izračun praga u skladu s člankom 4. stavkom 1. Delegirane uredbe (EU) 2016/101.</w:t>
            </w:r>
          </w:p>
        </w:tc>
      </w:tr>
      <w:tr w:rsidR="00B93FA1" w:rsidRPr="00A30C4C" w14:paraId="55F86639" w14:textId="77777777" w:rsidTr="00672D2A">
        <w:tc>
          <w:tcPr>
            <w:tcW w:w="1101" w:type="dxa"/>
          </w:tcPr>
          <w:p w14:paraId="5809CAF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ABD1019"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OD ČEGA: knjiga trgovanja</w:t>
            </w:r>
          </w:p>
          <w:p w14:paraId="121F4DCD"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Apsolutna vrijednost imovine i obveza po fer vrijednosti, kako je iskazana u stupcu 0080, koja odgovara pozicijama koje se drže u knjizi trgovanja.</w:t>
            </w:r>
          </w:p>
        </w:tc>
      </w:tr>
    </w:tbl>
    <w:p w14:paraId="35766DC0" w14:textId="77777777" w:rsidR="00E60B53" w:rsidRPr="00A30C4C"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30C4C" w14:paraId="633F5FCB" w14:textId="77777777" w:rsidTr="00672D2A">
        <w:tc>
          <w:tcPr>
            <w:tcW w:w="9291" w:type="dxa"/>
            <w:gridSpan w:val="2"/>
            <w:shd w:val="clear" w:color="auto" w:fill="CCCCCC"/>
          </w:tcPr>
          <w:p w14:paraId="1B5D3ED0" w14:textId="77777777" w:rsidR="00B93FA1" w:rsidRPr="00A30C4C" w:rsidRDefault="00B93FA1" w:rsidP="00AF3D7A">
            <w:pPr>
              <w:spacing w:beforeLines="60" w:before="144" w:afterLines="60" w:after="144"/>
              <w:rPr>
                <w:rFonts w:ascii="Times New Roman" w:hAnsi="Times New Roman"/>
                <w:b/>
                <w:sz w:val="24"/>
              </w:rPr>
            </w:pPr>
            <w:r>
              <w:rPr>
                <w:rFonts w:ascii="Times New Roman" w:hAnsi="Times New Roman"/>
                <w:b/>
                <w:sz w:val="24"/>
              </w:rPr>
              <w:t>Redci</w:t>
            </w:r>
          </w:p>
        </w:tc>
      </w:tr>
      <w:tr w:rsidR="00B93FA1" w:rsidRPr="00A30C4C" w14:paraId="25BA169B" w14:textId="77777777" w:rsidTr="00672D2A">
        <w:tc>
          <w:tcPr>
            <w:tcW w:w="1101" w:type="dxa"/>
          </w:tcPr>
          <w:p w14:paraId="114ACB5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7D684F6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Definicije ovih kategorija u skladu su s definicijama iz odgovarajućih obrazaca financijskog izvješćivanja 1.1 i 1.2.  </w:t>
            </w:r>
          </w:p>
        </w:tc>
      </w:tr>
      <w:tr w:rsidR="00B93FA1" w:rsidRPr="00A30C4C" w14:paraId="2DA6A4C2" w14:textId="77777777" w:rsidTr="00672D2A">
        <w:tc>
          <w:tcPr>
            <w:tcW w:w="1101" w:type="dxa"/>
          </w:tcPr>
          <w:p w14:paraId="6F01EE2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81B4B8E"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UKUPNA IMOVINA I OBVEZE PO FER VRIJEDNOSTI</w:t>
            </w:r>
          </w:p>
          <w:p w14:paraId="0A2E4F58"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sz w:val="24"/>
              </w:rPr>
              <w:t>Ukupna imovina i obveze po fer vrijednosti iskazane u redcima od 20 do 210.</w:t>
            </w:r>
          </w:p>
        </w:tc>
      </w:tr>
      <w:tr w:rsidR="00B93FA1" w:rsidRPr="00A30C4C" w14:paraId="7BB10580" w14:textId="77777777" w:rsidTr="00672D2A">
        <w:tc>
          <w:tcPr>
            <w:tcW w:w="1101" w:type="dxa"/>
          </w:tcPr>
          <w:p w14:paraId="6D0B6C62"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A49D77F"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UKUPNA IMOVINA PO FER VRIJEDNOSTI</w:t>
            </w:r>
          </w:p>
          <w:p w14:paraId="2DDD128E"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Ukupna imovina po fer vrijednosti iskazana u redcima od 0030 do 0140. </w:t>
            </w:r>
          </w:p>
          <w:p w14:paraId="151DAF40" w14:textId="2D2D7DBF"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Relevantne rubrike u redcima od 0030 do 0130 iskazuju se u skladu s obrascem financijskog izvješćivanja F 01.01 iz priloga III. i IV. ovoj Provedbenoj uredbi ovisno o standardima koje institucija primjenjuje:</w:t>
            </w:r>
          </w:p>
          <w:p w14:paraId="2ED8DFAD" w14:textId="453DDEDB"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MSFI kako je prihvaćen u Uniji na temelju primjene Uredbe (EZ) br. 1606/2002 Europskog parlamenta i Vijeća („EU MSFI”)</w:t>
            </w:r>
            <w:r w:rsidR="0016282F" w:rsidRPr="00A30C4C">
              <w:rPr>
                <w:rStyle w:val="FootnoteReference"/>
                <w:rFonts w:ascii="Times New Roman" w:hAnsi="Times New Roman"/>
                <w:sz w:val="20"/>
                <w:szCs w:val="20"/>
                <w:vertAlign w:val="superscript"/>
              </w:rPr>
              <w:footnoteReference w:id="18"/>
            </w:r>
            <w:r>
              <w:rPr>
                <w:rFonts w:ascii="Times New Roman" w:hAnsi="Times New Roman"/>
                <w:sz w:val="24"/>
              </w:rPr>
              <w:t>;</w:t>
            </w:r>
          </w:p>
          <w:p w14:paraId="5109B6E1" w14:textId="719B428F"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računovodstveni standardi koji su usklađeni s EU MSFI-</w:t>
            </w:r>
            <w:proofErr w:type="spellStart"/>
            <w:r>
              <w:rPr>
                <w:rFonts w:ascii="Times New Roman" w:hAnsi="Times New Roman"/>
                <w:sz w:val="24"/>
              </w:rPr>
              <w:t>jem</w:t>
            </w:r>
            <w:proofErr w:type="spellEnd"/>
            <w:r>
              <w:rPr>
                <w:rFonts w:ascii="Times New Roman" w:hAnsi="Times New Roman"/>
                <w:sz w:val="24"/>
              </w:rPr>
              <w:t xml:space="preserve"> („nacionalna općeprihvaćena računovodstvena načela koja su usklađena s MSFI-</w:t>
            </w:r>
            <w:proofErr w:type="spellStart"/>
            <w:r>
              <w:rPr>
                <w:rFonts w:ascii="Times New Roman" w:hAnsi="Times New Roman"/>
                <w:sz w:val="24"/>
              </w:rPr>
              <w:t>jem</w:t>
            </w:r>
            <w:proofErr w:type="spellEnd"/>
            <w:r>
              <w:rPr>
                <w:rFonts w:ascii="Times New Roman" w:hAnsi="Times New Roman"/>
                <w:sz w:val="24"/>
              </w:rPr>
              <w:t>”) ili</w:t>
            </w:r>
          </w:p>
          <w:p w14:paraId="7CB9B711" w14:textId="6C556155"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nacionalna općeprihvaćena računovodstvena načela na temelju BAD-a (FINREP, „nacionalna općeprihvaćena računovodstvena načela na temelju BAD-a”).</w:t>
            </w:r>
          </w:p>
        </w:tc>
      </w:tr>
      <w:tr w:rsidR="00B93FA1" w:rsidRPr="00A30C4C" w14:paraId="052A7C17" w14:textId="77777777" w:rsidTr="00672D2A">
        <w:tc>
          <w:tcPr>
            <w:tcW w:w="1101" w:type="dxa"/>
          </w:tcPr>
          <w:p w14:paraId="512D094B"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47CA5D95"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FINANCIJSKA IMOVINA KOJA SE DRŽI RADI TRGOVANJA</w:t>
            </w:r>
          </w:p>
          <w:p w14:paraId="39750714"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MSFI 9 Dodatak A.</w:t>
            </w:r>
          </w:p>
          <w:p w14:paraId="599D5DF6" w14:textId="77777777"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050 iz obrasca F 01.01 iz priloga III. i IV. ovoj Provedbenoj uredbi.</w:t>
            </w:r>
          </w:p>
        </w:tc>
      </w:tr>
      <w:tr w:rsidR="00B93FA1" w:rsidRPr="00A30C4C" w14:paraId="66E93237" w14:textId="77777777" w:rsidTr="00672D2A">
        <w:tc>
          <w:tcPr>
            <w:tcW w:w="1101" w:type="dxa"/>
          </w:tcPr>
          <w:p w14:paraId="49E72A0A"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4449780"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FINANCIJSKA IMOVINA KOJOM SE TRGUJE</w:t>
            </w:r>
          </w:p>
          <w:p w14:paraId="1674E97C" w14:textId="426FE2DA"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Članci 32. i 33. BAD-a; d</w:t>
            </w:r>
            <w:r>
              <w:rPr>
                <w:rFonts w:ascii="Times New Roman" w:hAnsi="Times New Roman"/>
                <w:bCs/>
                <w:sz w:val="24"/>
              </w:rPr>
              <w:t>io 1.17. Priloga V. ovoj Provedbenoj uredbi</w:t>
            </w:r>
            <w:r>
              <w:rPr>
                <w:rFonts w:ascii="Times New Roman" w:hAnsi="Times New Roman"/>
                <w:sz w:val="24"/>
              </w:rPr>
              <w:t xml:space="preserve"> </w:t>
            </w:r>
          </w:p>
          <w:p w14:paraId="1E2E07AD" w14:textId="595E8CD3" w:rsidR="00B93FA1" w:rsidRPr="00A30C4C" w:rsidRDefault="00B93FA1" w:rsidP="006B2333">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091 iz obrasca F 01.01 iz priloga III. i IV. ovoj Provedbenoj uredbi.</w:t>
            </w:r>
          </w:p>
        </w:tc>
      </w:tr>
      <w:tr w:rsidR="00B93FA1" w:rsidRPr="00A30C4C" w14:paraId="6934103C" w14:textId="77777777" w:rsidTr="00672D2A">
        <w:tc>
          <w:tcPr>
            <w:tcW w:w="1101" w:type="dxa"/>
          </w:tcPr>
          <w:p w14:paraId="1B3854E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5B1EE5FB"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FINANCIJSKA IMOVINA KOJOM SE NE TRGUJE KOJA SE OBVEZNO MJERI PO FER VRIJENDOSTI KROZ DOBIT ILI GUBITAK </w:t>
            </w:r>
          </w:p>
          <w:p w14:paraId="4B69BEE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7.8(a)(ii); MSFI 9.4.1.4. </w:t>
            </w:r>
          </w:p>
          <w:p w14:paraId="32CC7869" w14:textId="1B4D6D5F" w:rsidR="00B93FA1" w:rsidRPr="00A30C4C"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096 iz obrasca F 01.01 iz priloga III. i IV. ovoj Provedbenoj uredbi.</w:t>
            </w:r>
          </w:p>
        </w:tc>
      </w:tr>
      <w:tr w:rsidR="00B93FA1" w:rsidRPr="00A30C4C" w14:paraId="0B21D573" w14:textId="77777777" w:rsidTr="00672D2A">
        <w:tc>
          <w:tcPr>
            <w:tcW w:w="1101" w:type="dxa"/>
          </w:tcPr>
          <w:p w14:paraId="0D5FC191"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2D917D24"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FINANCIJSKA IMOVINA PO FER VRIJEDNOSTI KROZ DOBIT ILI GUBITAK</w:t>
            </w:r>
          </w:p>
          <w:p w14:paraId="417AA106" w14:textId="1B845562"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MSFI 7.8(a)(i); MSFI 9.4.1.5.; članak 8. stavak 1. točka (a) i članak 8. točka 6. AD-a</w:t>
            </w:r>
          </w:p>
          <w:p w14:paraId="18803FF2" w14:textId="3ECC4A12" w:rsidR="00B93FA1" w:rsidRPr="00A30C4C" w:rsidRDefault="00B93FA1" w:rsidP="001771A4">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100 iz obrasca F 01.01 iz priloga III. i IV. ovoj Provedbenoj uredbi.</w:t>
            </w:r>
          </w:p>
        </w:tc>
      </w:tr>
      <w:tr w:rsidR="00B93FA1" w:rsidRPr="00A30C4C" w14:paraId="31AF53C2" w14:textId="77777777" w:rsidTr="00672D2A">
        <w:tc>
          <w:tcPr>
            <w:tcW w:w="1101" w:type="dxa"/>
          </w:tcPr>
          <w:p w14:paraId="2C064889"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8198C9C"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FINANCIJSKA IMOVINA PO FER VRIJEDNOSTI KROZ OSTALU SVEOBUHVATNU DOBIT</w:t>
            </w:r>
          </w:p>
          <w:p w14:paraId="5733F22B"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MSFI 7.8(h); MSFI 9.4.1.2A.</w:t>
            </w:r>
          </w:p>
          <w:p w14:paraId="7EDE4FFB" w14:textId="77777777" w:rsidR="00B93FA1" w:rsidRPr="00A30C4C" w:rsidRDefault="00B93FA1" w:rsidP="00C11B8D">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141 iz obrasca F 01.01 iz priloga III. i IV. ovoj Provedbenoj uredbi.</w:t>
            </w:r>
          </w:p>
        </w:tc>
      </w:tr>
      <w:tr w:rsidR="00B93FA1" w:rsidRPr="00A30C4C" w14:paraId="1BF5D773" w14:textId="77777777" w:rsidTr="00672D2A">
        <w:tc>
          <w:tcPr>
            <w:tcW w:w="1101" w:type="dxa"/>
          </w:tcPr>
          <w:p w14:paraId="2E2D11D2"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0080</w:t>
            </w:r>
          </w:p>
        </w:tc>
        <w:tc>
          <w:tcPr>
            <w:tcW w:w="8190" w:type="dxa"/>
          </w:tcPr>
          <w:p w14:paraId="12115EB0"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NEIZVEDENA FINANCIJSKA IMOVINA KOJOM SE NE TRGUJE KOJA SE MJERI PO FER VRIJEDNOSTI KROZ DOBIT ILI GUBITAK</w:t>
            </w:r>
          </w:p>
          <w:p w14:paraId="69F2A020" w14:textId="7C029408" w:rsidR="00B93FA1" w:rsidRPr="00A30C4C" w:rsidRDefault="002F78EA" w:rsidP="0016282F">
            <w:pPr>
              <w:spacing w:beforeLines="60" w:before="144" w:afterLines="60" w:after="144"/>
              <w:rPr>
                <w:rFonts w:ascii="Times New Roman" w:hAnsi="Times New Roman"/>
                <w:b/>
                <w:sz w:val="24"/>
                <w:u w:val="single"/>
              </w:rPr>
            </w:pPr>
            <w:r>
              <w:rPr>
                <w:rFonts w:ascii="Times New Roman" w:hAnsi="Times New Roman"/>
                <w:sz w:val="24"/>
              </w:rPr>
              <w:t>Članak 36. stavak 2. BAD-a. Informacije iskazane u ovom retku odgovaraju informacijama iz retka 171 iz obrasca F 01.01 iz priloga III. i IV. ovoj Provedbenoj uredbi.</w:t>
            </w:r>
          </w:p>
        </w:tc>
      </w:tr>
      <w:tr w:rsidR="00B93FA1" w:rsidRPr="00A30C4C" w14:paraId="0AA7E1B9" w14:textId="77777777" w:rsidTr="00672D2A">
        <w:tc>
          <w:tcPr>
            <w:tcW w:w="1101" w:type="dxa"/>
          </w:tcPr>
          <w:p w14:paraId="415718DD"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561B811"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NEIZVEDENA FINANCIJSKA IMOVINA KOJOM SE NE TRGUJE KOJA SE MJERI PO FER VRIJEDNOSTI KROZ KAPITAL</w:t>
            </w:r>
          </w:p>
          <w:p w14:paraId="50DF3F96" w14:textId="3319C25E"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 xml:space="preserve">Članak 8. stavak 1. točka (a) i članak 8. stavak 8. AD-a </w:t>
            </w:r>
          </w:p>
          <w:p w14:paraId="1F974E69" w14:textId="7E4253CE" w:rsidR="00B93FA1" w:rsidRPr="00A30C4C"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175 iz obrasca F 01.01 iz priloga III. i IV. ovoj Provedbenoj uredbi.</w:t>
            </w:r>
          </w:p>
        </w:tc>
      </w:tr>
      <w:tr w:rsidR="00B93FA1" w:rsidRPr="00A30C4C" w14:paraId="2EACAF1F" w14:textId="77777777" w:rsidTr="00672D2A">
        <w:tc>
          <w:tcPr>
            <w:tcW w:w="1101" w:type="dxa"/>
          </w:tcPr>
          <w:p w14:paraId="658B25EF"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3B36B7"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OSTALA NEIZVEDENA FINANCIJSKA IMOVINA KOJOM SE NE TRGUJE</w:t>
            </w:r>
          </w:p>
          <w:p w14:paraId="48AECBBE" w14:textId="602172F8"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 xml:space="preserve">Članak 37. BAD-a; članak 12. stavak 7. AD-a; </w:t>
            </w:r>
            <w:r>
              <w:rPr>
                <w:rFonts w:ascii="Times New Roman" w:hAnsi="Times New Roman"/>
                <w:bCs/>
                <w:sz w:val="24"/>
              </w:rPr>
              <w:t>dio 1.20. Priloga V. ovoj Provedbenoj uredbi</w:t>
            </w:r>
          </w:p>
          <w:p w14:paraId="74CB19E0" w14:textId="25F1B0B1" w:rsidR="00B93FA1" w:rsidRPr="00A30C4C" w:rsidRDefault="00B93FA1" w:rsidP="006B2333">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234 iz obrasca F 01.01 iz priloga III. i IV. ovoj Provedbenoj uredbi.</w:t>
            </w:r>
          </w:p>
        </w:tc>
      </w:tr>
      <w:tr w:rsidR="00B93FA1" w:rsidRPr="00A30C4C" w14:paraId="6E497EB9" w14:textId="77777777" w:rsidTr="00672D2A">
        <w:tc>
          <w:tcPr>
            <w:tcW w:w="1101" w:type="dxa"/>
          </w:tcPr>
          <w:p w14:paraId="31C6FEC5"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3A28A27C"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IZVEDENICE – RAČUNOVODSTVO ZAŠTITE</w:t>
            </w:r>
          </w:p>
          <w:p w14:paraId="43EE3D7F" w14:textId="381E6EF8"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9.6.2.1.; </w:t>
            </w:r>
            <w:r>
              <w:rPr>
                <w:rFonts w:ascii="Times New Roman" w:hAnsi="Times New Roman"/>
                <w:bCs/>
                <w:sz w:val="24"/>
              </w:rPr>
              <w:t>dio 1.22. Priloga V. ovoj Provedbenoj uredbi</w:t>
            </w:r>
            <w:r>
              <w:rPr>
                <w:rFonts w:ascii="Times New Roman" w:hAnsi="Times New Roman"/>
                <w:sz w:val="24"/>
              </w:rPr>
              <w:t>; članak 8. stavak 1. točka (a) i članak 8. stavci 6. i 8. AD-a; MRS 39.9.</w:t>
            </w:r>
          </w:p>
          <w:p w14:paraId="25BA11CC" w14:textId="0293F8AA" w:rsidR="00B93FA1" w:rsidRPr="00A30C4C" w:rsidRDefault="00B93FA1" w:rsidP="001771A4">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240 iz obrasca F 01.01 iz priloga III. i IV. ovoj Provedbenoj uredbi.</w:t>
            </w:r>
          </w:p>
        </w:tc>
      </w:tr>
      <w:tr w:rsidR="00B93FA1" w:rsidRPr="00A30C4C" w14:paraId="302B88CB" w14:textId="77777777" w:rsidTr="00672D2A">
        <w:tc>
          <w:tcPr>
            <w:tcW w:w="1101" w:type="dxa"/>
          </w:tcPr>
          <w:p w14:paraId="148F6137" w14:textId="77777777" w:rsidR="00B93FA1" w:rsidRPr="00A30C4C"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5B9144EF"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1.1.10. PROMJENE FER VRIJEDNOSTI ZAŠTIĆENIH STAVKI U ZAŠTITI PORTFELJA OD KAMATNOG RIZIKA </w:t>
            </w:r>
          </w:p>
          <w:p w14:paraId="16ED7EF0" w14:textId="1C54C712" w:rsidR="00B93FA1" w:rsidRPr="00A30C4C" w:rsidRDefault="00B93FA1" w:rsidP="008D230A">
            <w:pPr>
              <w:spacing w:beforeLines="60" w:before="144" w:afterLines="60" w:after="144"/>
              <w:rPr>
                <w:rFonts w:ascii="Times New Roman" w:hAnsi="Times New Roman"/>
                <w:b/>
                <w:sz w:val="24"/>
                <w:u w:val="single"/>
              </w:rPr>
            </w:pPr>
            <w:r>
              <w:rPr>
                <w:rFonts w:ascii="Times New Roman" w:hAnsi="Times New Roman"/>
                <w:sz w:val="24"/>
              </w:rPr>
              <w:t>MRS 39.89A (a); MSFI 9.6.5.8.; Članak 8. stavci 5. i 6. AD-a. Informacije iskazane u ovom retku odgovaraju informacijama iz retka 250 iz obrasca F 01.01 iz priloga III. i IV. ovoj Provedbenoj uredbi.</w:t>
            </w:r>
          </w:p>
        </w:tc>
      </w:tr>
      <w:tr w:rsidR="00B93FA1" w:rsidRPr="00A30C4C" w14:paraId="2A7C4243" w14:textId="77777777" w:rsidTr="00672D2A">
        <w:tc>
          <w:tcPr>
            <w:tcW w:w="1101" w:type="dxa"/>
          </w:tcPr>
          <w:p w14:paraId="112B91CA"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4F84B525"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ULAGANJA U DRUŠTVA KĆERI, ZAJEDNIČKE POTHVATE I PRIDRUŽENA DRUŠTVA</w:t>
            </w:r>
          </w:p>
          <w:p w14:paraId="31262036" w14:textId="1B99D20D"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MRS 1.54(e); </w:t>
            </w:r>
            <w:r>
              <w:rPr>
                <w:rFonts w:ascii="Times New Roman" w:hAnsi="Times New Roman"/>
                <w:bCs/>
                <w:sz w:val="24"/>
              </w:rPr>
              <w:t>dijelovi 1.21. i 2.4. Priloga V. ovoj Provedbenoj uredbi</w:t>
            </w:r>
            <w:r>
              <w:rPr>
                <w:rFonts w:ascii="Times New Roman" w:hAnsi="Times New Roman"/>
                <w:sz w:val="24"/>
              </w:rPr>
              <w:t>; članak 4. točke 7. i 8. BAD-a; članak 2. stavak 2. AD-a</w:t>
            </w:r>
          </w:p>
          <w:p w14:paraId="1EAE944E" w14:textId="771C09BF" w:rsidR="00B93FA1" w:rsidRPr="00A30C4C"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260 iz obrasca F 01.01 iz priloga III. i IV. ovoj Provedbenoj uredbi.</w:t>
            </w:r>
          </w:p>
        </w:tc>
      </w:tr>
      <w:tr w:rsidR="00B93FA1" w:rsidRPr="00A30C4C" w14:paraId="7078A652" w14:textId="77777777" w:rsidTr="00672D2A">
        <w:tc>
          <w:tcPr>
            <w:tcW w:w="1101" w:type="dxa"/>
          </w:tcPr>
          <w:p w14:paraId="7C06DA94"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DFC6298"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KOREKTIVNI FAKTORI ZA IMOVINU KOJOM SE TRGUJE PO FER VRIJEDNOSTI</w:t>
            </w:r>
          </w:p>
          <w:p w14:paraId="465F1A64" w14:textId="09AEDA1A" w:rsidR="00B93FA1" w:rsidRPr="00A30C4C" w:rsidRDefault="002F78EA" w:rsidP="00AF3D7A">
            <w:pPr>
              <w:spacing w:beforeLines="60" w:before="144" w:afterLines="60" w:after="144"/>
              <w:rPr>
                <w:rFonts w:ascii="Times New Roman" w:hAnsi="Times New Roman"/>
                <w:sz w:val="24"/>
              </w:rPr>
            </w:pPr>
            <w:r>
              <w:rPr>
                <w:rFonts w:ascii="Times New Roman" w:hAnsi="Times New Roman"/>
                <w:bCs/>
                <w:sz w:val="24"/>
              </w:rPr>
              <w:t>Dio 1.29. Priloga V. ovoj Provedbenoj uredbi</w:t>
            </w:r>
          </w:p>
          <w:p w14:paraId="49843882" w14:textId="13F1D8B6" w:rsidR="00B93FA1" w:rsidRPr="00A30C4C" w:rsidRDefault="00B93FA1" w:rsidP="001771A4">
            <w:pPr>
              <w:spacing w:beforeLines="60" w:before="144" w:afterLines="60" w:after="144"/>
              <w:rPr>
                <w:rFonts w:ascii="Times New Roman" w:hAnsi="Times New Roman"/>
                <w:b/>
                <w:sz w:val="24"/>
                <w:u w:val="single"/>
              </w:rPr>
            </w:pPr>
            <w:r>
              <w:rPr>
                <w:rFonts w:ascii="Times New Roman" w:hAnsi="Times New Roman"/>
                <w:sz w:val="24"/>
              </w:rPr>
              <w:lastRenderedPageBreak/>
              <w:t>Informacije iskazane u ovom retku odgovaraju informacijama iz retka 375 iz obrasca F 01.01 iz priloga III. i IV. ovoj Provedbenoj uredbi.</w:t>
            </w:r>
          </w:p>
        </w:tc>
      </w:tr>
      <w:tr w:rsidR="00B93FA1" w:rsidRPr="00A30C4C" w14:paraId="0F04ACD5" w14:textId="77777777" w:rsidTr="00672D2A">
        <w:tc>
          <w:tcPr>
            <w:tcW w:w="1101" w:type="dxa"/>
          </w:tcPr>
          <w:p w14:paraId="5F91827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14:paraId="6C47C20F" w14:textId="6D7AD6B2"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w:t>
            </w:r>
            <w:r w:rsidR="002A2243">
              <w:rPr>
                <w:rFonts w:ascii="Times New Roman" w:hAnsi="Times New Roman"/>
                <w:b/>
                <w:sz w:val="24"/>
                <w:u w:val="single"/>
              </w:rPr>
              <w:t>.</w:t>
            </w:r>
            <w:r>
              <w:rPr>
                <w:rFonts w:ascii="Times New Roman" w:hAnsi="Times New Roman"/>
                <w:b/>
                <w:sz w:val="24"/>
                <w:u w:val="single"/>
              </w:rPr>
              <w:t xml:space="preserve"> UKUPNE OBVEZE PO FER VRIJEDNOSTI  </w:t>
            </w:r>
          </w:p>
          <w:p w14:paraId="17ECB2B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Ukupne obveze po fer vrijednosti iskazane u redcima od 0160 do 0210.</w:t>
            </w:r>
          </w:p>
          <w:p w14:paraId="6E8FB984" w14:textId="4013799C"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Relevantne rubrike u redcima od 0150 do 0190 iskazuju se u skladu s obrascem financijskog izvješćivanja F 01.02 iz priloga III. i IV. ovoj Provedbenoj uredbi ovisno o standardima koje institucija primjenjuje: </w:t>
            </w:r>
          </w:p>
          <w:p w14:paraId="1ACCE3E8" w14:textId="462D380D"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MSFI kako je prihvaćen u Uniji na temelju primjene Uredbe (EZ) br. 1606/2002 („EU MSFI”)</w:t>
            </w:r>
          </w:p>
          <w:p w14:paraId="415004F0" w14:textId="77777777"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nacionalni računovodstveni standardi koji su usklađeni s EU MSFI-</w:t>
            </w:r>
            <w:proofErr w:type="spellStart"/>
            <w:r>
              <w:rPr>
                <w:rFonts w:ascii="Times New Roman" w:hAnsi="Times New Roman"/>
                <w:sz w:val="24"/>
              </w:rPr>
              <w:t>jem</w:t>
            </w:r>
            <w:proofErr w:type="spellEnd"/>
            <w:r>
              <w:rPr>
                <w:rFonts w:ascii="Times New Roman" w:hAnsi="Times New Roman"/>
                <w:sz w:val="24"/>
              </w:rPr>
              <w:t xml:space="preserve"> (nacionalna općeprihvaćena računovodstvena načela koja su usklađena s MSFI-</w:t>
            </w:r>
            <w:proofErr w:type="spellStart"/>
            <w:r>
              <w:rPr>
                <w:rFonts w:ascii="Times New Roman" w:hAnsi="Times New Roman"/>
                <w:sz w:val="24"/>
              </w:rPr>
              <w:t>jem</w:t>
            </w:r>
            <w:proofErr w:type="spellEnd"/>
            <w:r>
              <w:rPr>
                <w:rFonts w:ascii="Times New Roman" w:hAnsi="Times New Roman"/>
                <w:sz w:val="24"/>
              </w:rPr>
              <w:t xml:space="preserve">) </w:t>
            </w:r>
          </w:p>
          <w:p w14:paraId="35DA33DE" w14:textId="4FCC3785"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ili nacionalna općeprihvaćena računovodstvena načela na temelju BAD-a (FINREP, „nacionalna općeprihvaćena računovodstvena načela na temelju BAD-a”).</w:t>
            </w:r>
          </w:p>
        </w:tc>
      </w:tr>
      <w:tr w:rsidR="00B93FA1" w:rsidRPr="00A30C4C" w14:paraId="1D4C9290" w14:textId="77777777" w:rsidTr="00672D2A">
        <w:tc>
          <w:tcPr>
            <w:tcW w:w="1101" w:type="dxa"/>
          </w:tcPr>
          <w:p w14:paraId="41673169"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EDF4E4E" w14:textId="13455AA2"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w:t>
            </w:r>
            <w:r w:rsidR="002A2243">
              <w:rPr>
                <w:rFonts w:ascii="Times New Roman" w:hAnsi="Times New Roman"/>
                <w:b/>
                <w:sz w:val="24"/>
                <w:u w:val="single"/>
              </w:rPr>
              <w:t>.</w:t>
            </w:r>
            <w:r>
              <w:rPr>
                <w:rFonts w:ascii="Times New Roman" w:hAnsi="Times New Roman"/>
                <w:b/>
                <w:sz w:val="24"/>
                <w:u w:val="single"/>
              </w:rPr>
              <w:t xml:space="preserve"> FINANCIJSKE OBVEZE KOJE SE DRŽE RADI TRGOVANJA</w:t>
            </w:r>
          </w:p>
          <w:p w14:paraId="47CBD2EA"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MSFI 7.8 (e) (ii); MSFI 9.BA.6.</w:t>
            </w:r>
          </w:p>
          <w:p w14:paraId="716726E8" w14:textId="687AB943" w:rsidR="00B93FA1" w:rsidRPr="00A30C4C"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010 iz obrasca F 01.02 iz priloga III. i IV. ovoj Provedbenoj uredbi.</w:t>
            </w:r>
          </w:p>
        </w:tc>
      </w:tr>
      <w:tr w:rsidR="00B93FA1" w:rsidRPr="00A30C4C" w14:paraId="0D80E4B6" w14:textId="77777777" w:rsidTr="00672D2A">
        <w:tc>
          <w:tcPr>
            <w:tcW w:w="1101" w:type="dxa"/>
          </w:tcPr>
          <w:p w14:paraId="1D9F5098"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3E38621" w14:textId="4CCECFF3"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w:t>
            </w:r>
            <w:r w:rsidR="002A2243">
              <w:rPr>
                <w:rFonts w:ascii="Times New Roman" w:hAnsi="Times New Roman"/>
                <w:b/>
                <w:sz w:val="24"/>
                <w:u w:val="single"/>
              </w:rPr>
              <w:t>.</w:t>
            </w:r>
            <w:r>
              <w:rPr>
                <w:rFonts w:ascii="Times New Roman" w:hAnsi="Times New Roman"/>
                <w:b/>
                <w:sz w:val="24"/>
                <w:u w:val="single"/>
              </w:rPr>
              <w:t xml:space="preserve"> FINANCIJSKE OBVEZE KOJIMA SE TRGUJE</w:t>
            </w:r>
          </w:p>
          <w:p w14:paraId="4A9D4839" w14:textId="4FA8F09E"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Članak 8. stavak 1. točka (a) i članak 8. stavci 3. i 6. AD-a</w:t>
            </w:r>
          </w:p>
          <w:p w14:paraId="0EE8A14E" w14:textId="1F23ADA6" w:rsidR="00B93FA1" w:rsidRPr="00A30C4C"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061 iz obrasca F 01.02 iz priloga III. i IV. ovoj Provedbenoj uredbi.</w:t>
            </w:r>
          </w:p>
        </w:tc>
      </w:tr>
      <w:tr w:rsidR="00B93FA1" w:rsidRPr="00A30C4C" w14:paraId="54EA6CB4" w14:textId="77777777" w:rsidTr="00672D2A">
        <w:tc>
          <w:tcPr>
            <w:tcW w:w="1101" w:type="dxa"/>
          </w:tcPr>
          <w:p w14:paraId="24D2D683"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477C2280" w14:textId="18A166DE"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w:t>
            </w:r>
            <w:r w:rsidR="002A2243">
              <w:rPr>
                <w:rFonts w:ascii="Times New Roman" w:hAnsi="Times New Roman"/>
                <w:b/>
                <w:sz w:val="24"/>
                <w:u w:val="single"/>
              </w:rPr>
              <w:t>.</w:t>
            </w:r>
            <w:r>
              <w:rPr>
                <w:rFonts w:ascii="Times New Roman" w:hAnsi="Times New Roman"/>
                <w:b/>
                <w:sz w:val="24"/>
                <w:u w:val="single"/>
              </w:rPr>
              <w:t xml:space="preserve"> FINANCIJSKE OBVEZE PO FER VRIJEDNOSTI KROZ DOBIT ILI GUBITAK</w:t>
            </w:r>
          </w:p>
          <w:p w14:paraId="00446A36" w14:textId="58EAC344"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MSFI 7.8 (e) (i); MSFI 9.4.2.2.;</w:t>
            </w:r>
            <w:r>
              <w:rPr>
                <w:sz w:val="24"/>
              </w:rPr>
              <w:t xml:space="preserve"> </w:t>
            </w:r>
            <w:r>
              <w:rPr>
                <w:rFonts w:ascii="Times New Roman" w:hAnsi="Times New Roman"/>
                <w:sz w:val="24"/>
              </w:rPr>
              <w:t xml:space="preserve">članak 8. stavak 1. točka (a) i članak 8. stavak 6. AD-a; MRS 39.9. </w:t>
            </w:r>
          </w:p>
          <w:p w14:paraId="5BAB47B2" w14:textId="7F82696E" w:rsidR="00B93FA1" w:rsidRPr="00A30C4C"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070 iz obrasca F 01.02 iz priloga III. i IV. ovoj Provedbenoj uredbi.</w:t>
            </w:r>
          </w:p>
        </w:tc>
      </w:tr>
      <w:tr w:rsidR="00B93FA1" w:rsidRPr="00A30C4C" w14:paraId="56748B51" w14:textId="77777777" w:rsidTr="00672D2A">
        <w:tc>
          <w:tcPr>
            <w:tcW w:w="1101" w:type="dxa"/>
          </w:tcPr>
          <w:p w14:paraId="405912FA"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439D5A4" w14:textId="5DC7171F"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w:t>
            </w:r>
            <w:r w:rsidR="002A2243">
              <w:rPr>
                <w:rFonts w:ascii="Times New Roman" w:hAnsi="Times New Roman"/>
                <w:b/>
                <w:sz w:val="24"/>
                <w:u w:val="single"/>
              </w:rPr>
              <w:t>.</w:t>
            </w:r>
            <w:r>
              <w:rPr>
                <w:rFonts w:ascii="Times New Roman" w:hAnsi="Times New Roman"/>
                <w:b/>
                <w:sz w:val="24"/>
                <w:u w:val="single"/>
              </w:rPr>
              <w:t xml:space="preserve"> IZVEDENICE – RAČUNOVODSTVO ZAŠTITE</w:t>
            </w:r>
          </w:p>
          <w:p w14:paraId="29C5BFBC" w14:textId="4760869C"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MSFI 9.6.2.1.; </w:t>
            </w:r>
            <w:r>
              <w:rPr>
                <w:rFonts w:ascii="Times New Roman" w:hAnsi="Times New Roman"/>
                <w:bCs/>
                <w:sz w:val="24"/>
              </w:rPr>
              <w:t>dio 1.26. Priloga V. ovoj Provedbenoj uredbi</w:t>
            </w:r>
            <w:r>
              <w:rPr>
                <w:rFonts w:ascii="Times New Roman" w:hAnsi="Times New Roman"/>
                <w:sz w:val="24"/>
              </w:rPr>
              <w:t>; članak 8. stavak 1. točka (a), članak 8. stavak 6. i članak 8. stavak 8. točka (a) AD-a</w:t>
            </w:r>
          </w:p>
          <w:p w14:paraId="225949E5" w14:textId="20C1EE13" w:rsidR="00B93FA1" w:rsidRPr="00A30C4C" w:rsidRDefault="00B93FA1" w:rsidP="00F811F8">
            <w:pPr>
              <w:spacing w:beforeLines="60" w:before="144" w:afterLines="60" w:after="144"/>
              <w:rPr>
                <w:rFonts w:ascii="Times New Roman" w:hAnsi="Times New Roman"/>
                <w:sz w:val="24"/>
              </w:rPr>
            </w:pPr>
            <w:r>
              <w:rPr>
                <w:rFonts w:ascii="Times New Roman" w:hAnsi="Times New Roman"/>
                <w:sz w:val="24"/>
              </w:rPr>
              <w:t>Informacije iskazane u ovom retku odgovaraju informacijama iz retka 150 iz obrasca F 01.02 iz priloga III. i IV. ovoj Provedbenoj uredbi.</w:t>
            </w:r>
          </w:p>
        </w:tc>
      </w:tr>
      <w:tr w:rsidR="00B93FA1" w:rsidRPr="00A30C4C" w14:paraId="325CBC42" w14:textId="77777777" w:rsidTr="00672D2A">
        <w:tc>
          <w:tcPr>
            <w:tcW w:w="1101" w:type="dxa"/>
          </w:tcPr>
          <w:p w14:paraId="501173F2"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899FCBB" w14:textId="394871A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w:t>
            </w:r>
            <w:r w:rsidR="002A2243">
              <w:rPr>
                <w:rFonts w:ascii="Times New Roman" w:hAnsi="Times New Roman"/>
                <w:b/>
                <w:sz w:val="24"/>
                <w:u w:val="single"/>
              </w:rPr>
              <w:t>.</w:t>
            </w:r>
            <w:r>
              <w:rPr>
                <w:rFonts w:ascii="Times New Roman" w:hAnsi="Times New Roman"/>
                <w:b/>
                <w:sz w:val="24"/>
                <w:u w:val="single"/>
              </w:rPr>
              <w:t xml:space="preserve"> PROMJENE FER VRIJEDNOSTI ZAŠTIĆENIH STAVKI U ZAŠTITI PORTFELJA OD KAMATNOG RIZIKA</w:t>
            </w:r>
          </w:p>
          <w:p w14:paraId="56816866" w14:textId="7CF412BC"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MRS 39.89A(b), MSFI 9.6.5.8; članak 8. stavci 5. i 6. AD-a dio 2.8. Priloga V. ovoj Provedbenoj uredbi</w:t>
            </w:r>
          </w:p>
          <w:p w14:paraId="3D8F026C" w14:textId="77777777" w:rsidR="00B93FA1" w:rsidRPr="00A30C4C"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160 iz obrasca F 01.02 iz priloga III. i IV. ovoj Provedbenoj uredbi.</w:t>
            </w:r>
          </w:p>
        </w:tc>
      </w:tr>
      <w:tr w:rsidR="00B93FA1" w:rsidRPr="00A30C4C" w14:paraId="4A0EB91C" w14:textId="77777777" w:rsidTr="00672D2A">
        <w:tc>
          <w:tcPr>
            <w:tcW w:w="1101" w:type="dxa"/>
          </w:tcPr>
          <w:p w14:paraId="2AAEED58"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14:paraId="13D419BF" w14:textId="69F509C1"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w:t>
            </w:r>
            <w:r w:rsidR="002A2243">
              <w:rPr>
                <w:rFonts w:ascii="Times New Roman" w:hAnsi="Times New Roman"/>
                <w:b/>
                <w:sz w:val="24"/>
                <w:u w:val="single"/>
              </w:rPr>
              <w:t>.</w:t>
            </w:r>
            <w:r>
              <w:rPr>
                <w:rFonts w:ascii="Times New Roman" w:hAnsi="Times New Roman"/>
                <w:b/>
                <w:sz w:val="24"/>
                <w:u w:val="single"/>
              </w:rPr>
              <w:t xml:space="preserve"> KOREKTIVNI FAKTORI ZA OBVEZE KOJIMA SE TRGUJE PO FER VRIJEDNOSTI</w:t>
            </w:r>
          </w:p>
          <w:p w14:paraId="4AEC6085" w14:textId="3A7FBCCB" w:rsidR="00B93FA1" w:rsidRPr="00A30C4C" w:rsidRDefault="002F78EA" w:rsidP="00AF3D7A">
            <w:pPr>
              <w:spacing w:beforeLines="60" w:before="144" w:afterLines="60" w:after="144"/>
              <w:rPr>
                <w:rFonts w:ascii="Times New Roman" w:hAnsi="Times New Roman"/>
                <w:sz w:val="24"/>
              </w:rPr>
            </w:pPr>
            <w:r>
              <w:rPr>
                <w:rFonts w:ascii="Times New Roman" w:hAnsi="Times New Roman"/>
                <w:bCs/>
                <w:sz w:val="24"/>
              </w:rPr>
              <w:t>Dio 1.29. Priloga V. ovoj Provedbenoj uredbi</w:t>
            </w:r>
          </w:p>
          <w:p w14:paraId="693FA7A1" w14:textId="77777777" w:rsidR="00B93FA1" w:rsidRPr="00A30C4C"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Informacije iskazane u ovom retku odgovaraju informacijama iz retka 295 iz obrasca F 01.02 iz priloga III. i IV. ovoj Provedbenoj uredbi.</w:t>
            </w:r>
          </w:p>
        </w:tc>
      </w:tr>
    </w:tbl>
    <w:p w14:paraId="31E0370C" w14:textId="77777777" w:rsidR="00995A7F" w:rsidRPr="00A30C4C" w:rsidRDefault="00995A7F" w:rsidP="00C61FF5">
      <w:pPr>
        <w:rPr>
          <w:rStyle w:val="InstructionsTabelleText"/>
          <w:rFonts w:ascii="Times New Roman" w:hAnsi="Times New Roman"/>
          <w:sz w:val="24"/>
        </w:rPr>
      </w:pPr>
    </w:p>
    <w:p w14:paraId="01AC92F7"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2" w:name="_Toc30677730"/>
      <w:r>
        <w:rPr>
          <w:rFonts w:ascii="Times New Roman" w:hAnsi="Times New Roman"/>
          <w:sz w:val="24"/>
          <w:u w:val="none"/>
        </w:rPr>
        <w:t>6.2.</w:t>
      </w:r>
      <w:r>
        <w:rPr>
          <w:rFonts w:ascii="Times New Roman" w:hAnsi="Times New Roman"/>
          <w:sz w:val="24"/>
          <w:u w:val="none"/>
        </w:rPr>
        <w:tab/>
      </w:r>
      <w:r>
        <w:rPr>
          <w:rFonts w:ascii="Times New Roman" w:hAnsi="Times New Roman"/>
          <w:sz w:val="24"/>
        </w:rPr>
        <w:t>C 32.02 – Bonitetno vrednovanje: osnovni pristup (</w:t>
      </w:r>
      <w:proofErr w:type="spellStart"/>
      <w:r>
        <w:rPr>
          <w:rFonts w:ascii="Times New Roman" w:hAnsi="Times New Roman"/>
          <w:sz w:val="24"/>
        </w:rPr>
        <w:t>PruVal</w:t>
      </w:r>
      <w:proofErr w:type="spellEnd"/>
      <w:r>
        <w:rPr>
          <w:rFonts w:ascii="Times New Roman" w:hAnsi="Times New Roman"/>
          <w:sz w:val="24"/>
        </w:rPr>
        <w:t xml:space="preserve"> 2)</w:t>
      </w:r>
      <w:bookmarkEnd w:id="652"/>
    </w:p>
    <w:p w14:paraId="548ECBC5"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3" w:name="_Toc30677731"/>
      <w:r>
        <w:rPr>
          <w:rFonts w:ascii="Times New Roman" w:hAnsi="Times New Roman"/>
          <w:sz w:val="24"/>
          <w:u w:val="none"/>
        </w:rPr>
        <w:t>6.2.1.</w:t>
      </w:r>
      <w:r>
        <w:rPr>
          <w:rFonts w:ascii="Times New Roman" w:hAnsi="Times New Roman"/>
          <w:sz w:val="24"/>
          <w:u w:val="none"/>
        </w:rPr>
        <w:tab/>
      </w:r>
      <w:r>
        <w:rPr>
          <w:rFonts w:ascii="Times New Roman" w:hAnsi="Times New Roman"/>
          <w:sz w:val="24"/>
        </w:rPr>
        <w:t>Opće napomene</w:t>
      </w:r>
      <w:bookmarkEnd w:id="653"/>
      <w:r>
        <w:rPr>
          <w:rFonts w:ascii="Times New Roman" w:hAnsi="Times New Roman"/>
          <w:sz w:val="24"/>
          <w:u w:val="none"/>
        </w:rPr>
        <w:t xml:space="preserve"> </w:t>
      </w:r>
    </w:p>
    <w:p w14:paraId="052C2DB2" w14:textId="77777777" w:rsidR="00B93FA1" w:rsidRPr="00A30C4C" w:rsidRDefault="00B93FA1" w:rsidP="001A3980">
      <w:pPr>
        <w:pStyle w:val="InstructionsText2"/>
        <w:numPr>
          <w:ilvl w:val="0"/>
          <w:numId w:val="0"/>
        </w:numPr>
        <w:ind w:left="993"/>
      </w:pPr>
      <w:r>
        <w:t xml:space="preserve">154c. Svrha je ovog obrasca pružiti informacije o sastavu ukupne dodatne prilagodbe vrednovanja koja se treba odbiti od regulatornog kapitala na temelju članaka 34. i 105. CRR-a, uz relevantne informacije o računovodstvenom vrednovanju pozicija na temelju kojih se utvrđuju dodatne prilagodbe vrednovanja. </w:t>
      </w:r>
    </w:p>
    <w:p w14:paraId="0AE1CA14" w14:textId="77777777" w:rsidR="00B93FA1" w:rsidRPr="00A30C4C" w:rsidRDefault="00B93FA1" w:rsidP="001A3980">
      <w:pPr>
        <w:pStyle w:val="InstructionsText2"/>
        <w:numPr>
          <w:ilvl w:val="0"/>
          <w:numId w:val="0"/>
        </w:numPr>
        <w:ind w:left="993"/>
      </w:pPr>
      <w:r>
        <w:t xml:space="preserve">154d. Ovaj obrazac popunjavaju sve institucije koje:  </w:t>
      </w:r>
    </w:p>
    <w:p w14:paraId="13120E86" w14:textId="22CCB504" w:rsidR="00B93FA1" w:rsidRPr="00A30C4C" w:rsidRDefault="00B93FA1" w:rsidP="001A3980">
      <w:pPr>
        <w:pStyle w:val="InstructionsText2"/>
        <w:numPr>
          <w:ilvl w:val="0"/>
          <w:numId w:val="0"/>
        </w:numPr>
        <w:ind w:left="993"/>
      </w:pPr>
      <w:r>
        <w:t>(a) moraju primjenjivati osnovni pristup jer premašuju prag iz članka 4. stavka 1. Delegirane uredbe (EU) 2016/101 na pojedinačnoj ili konsolidiranoj osnovi kako je navedeno u članku 4. stavku 3. te uredbe ili</w:t>
      </w:r>
    </w:p>
    <w:p w14:paraId="36C3F96E" w14:textId="22492AA1" w:rsidR="00B93FA1" w:rsidRPr="00A30C4C" w:rsidRDefault="00973707" w:rsidP="001A3980">
      <w:pPr>
        <w:pStyle w:val="InstructionsText2"/>
        <w:numPr>
          <w:ilvl w:val="0"/>
          <w:numId w:val="0"/>
        </w:numPr>
        <w:ind w:left="993"/>
      </w:pPr>
      <w:r>
        <w:t xml:space="preserve">(b) su odlučile primjenjivati osnovni pristup unatoč tome što ne premašuju prag. </w:t>
      </w:r>
    </w:p>
    <w:p w14:paraId="1744C722" w14:textId="77FABB81" w:rsidR="00973707" w:rsidRPr="00A30C4C" w:rsidRDefault="00973707" w:rsidP="001A3980">
      <w:pPr>
        <w:pStyle w:val="InstructionsText2"/>
        <w:numPr>
          <w:ilvl w:val="0"/>
          <w:numId w:val="0"/>
        </w:numPr>
        <w:ind w:left="993"/>
      </w:pPr>
      <w:r>
        <w:t>154e. Za potrebe ovog obrasca „neizvjesnost pozitivnog ishoda” znači sljedeće: kako je određeno člankom 8. stavkom 2. Delegirane uredbe (EU) 2016/101, dodatne prilagodbe vrednovanja izračunavaju se kao razlika između fer vrijednosti i bonitetnog vrednovanja koje se određuje na temelju 90 %-</w:t>
      </w:r>
      <w:proofErr w:type="spellStart"/>
      <w:r>
        <w:t>tne</w:t>
      </w:r>
      <w:proofErr w:type="spellEnd"/>
      <w:r>
        <w:t xml:space="preserve"> pouzdanosti da institucije mogu izaći iz izloženosti pri toj vrijednosti ili boljoj u okviru zamišljenog niza uvjerljivih vrijednosti. Vrijednost pozitivnog ishoda ili „neizvjesnost pozitivnog ishoda” predstavlja suprotnu točku u distribuciji uvjerljivih vrijednosti pri kojoj institucije imaju samo 10 postotnu pouzdanost da mogu izaći iz pozicije pri toj vrijednosti ili boljoj. Neizvjesnost pozitivnog ishoda izračunava se i zbraja na istoj osnovi kao i ukupna dodatna prilagodba vrednovanja, pri čemu se 10 postotna razina pouzdanosti zamjenjuje sa 90 postotnom pouzdanosti pri utvrđivanju ukupne dodatne prilagodbe vrednovanja.</w:t>
      </w:r>
    </w:p>
    <w:p w14:paraId="4498127B" w14:textId="77777777" w:rsidR="00B93FA1" w:rsidRPr="00A30C4C" w:rsidRDefault="00B93FA1" w:rsidP="00973707">
      <w:pPr>
        <w:pStyle w:val="Instructionsberschrift2"/>
        <w:numPr>
          <w:ilvl w:val="0"/>
          <w:numId w:val="0"/>
        </w:numPr>
        <w:ind w:left="357" w:hanging="357"/>
        <w:rPr>
          <w:rFonts w:ascii="Times New Roman" w:hAnsi="Times New Roman" w:cs="Times New Roman"/>
          <w:sz w:val="24"/>
          <w:u w:val="none"/>
        </w:rPr>
      </w:pPr>
      <w:bookmarkStart w:id="654" w:name="_Toc30677732"/>
      <w:r>
        <w:rPr>
          <w:rFonts w:ascii="Times New Roman" w:hAnsi="Times New Roman"/>
          <w:sz w:val="24"/>
          <w:u w:val="none"/>
        </w:rPr>
        <w:t>6.2.2.</w:t>
      </w:r>
      <w:r>
        <w:rPr>
          <w:rFonts w:ascii="Times New Roman" w:hAnsi="Times New Roman"/>
          <w:sz w:val="24"/>
          <w:u w:val="none"/>
        </w:rPr>
        <w:tab/>
        <w:t>Upute za specifične pozicije</w:t>
      </w:r>
      <w:bookmarkEnd w:id="654"/>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A30C4C" w14:paraId="2A50FFAC" w14:textId="77777777" w:rsidTr="00672D2A">
        <w:tc>
          <w:tcPr>
            <w:tcW w:w="9291" w:type="dxa"/>
            <w:gridSpan w:val="2"/>
            <w:shd w:val="clear" w:color="auto" w:fill="CCCCCC"/>
          </w:tcPr>
          <w:p w14:paraId="1909DC31" w14:textId="77777777" w:rsidR="00973707" w:rsidRPr="00A30C4C" w:rsidRDefault="00973707" w:rsidP="00AF3D7A">
            <w:pPr>
              <w:spacing w:beforeLines="60" w:before="144" w:afterLines="60" w:after="144"/>
              <w:rPr>
                <w:rFonts w:ascii="Times New Roman" w:hAnsi="Times New Roman"/>
                <w:b/>
                <w:sz w:val="24"/>
              </w:rPr>
            </w:pPr>
            <w:r>
              <w:rPr>
                <w:rFonts w:ascii="Times New Roman" w:hAnsi="Times New Roman"/>
                <w:b/>
                <w:sz w:val="24"/>
              </w:rPr>
              <w:t>Stupci</w:t>
            </w:r>
          </w:p>
        </w:tc>
      </w:tr>
      <w:tr w:rsidR="00973707" w:rsidRPr="00A30C4C" w14:paraId="51FA8283" w14:textId="77777777" w:rsidTr="00672D2A">
        <w:tc>
          <w:tcPr>
            <w:tcW w:w="1101" w:type="dxa"/>
          </w:tcPr>
          <w:p w14:paraId="006D21FC"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 – 0100</w:t>
            </w:r>
          </w:p>
        </w:tc>
        <w:tc>
          <w:tcPr>
            <w:tcW w:w="8190" w:type="dxa"/>
          </w:tcPr>
          <w:p w14:paraId="75BD725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PRILAGODBA VREDNOVANJA NA RAZINI KATEGORIJE</w:t>
            </w:r>
          </w:p>
          <w:p w14:paraId="7FD99EB2" w14:textId="5BE23C60"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Dodatne prilagodbe vrednovanja na razini kategorije za neizvjesnost tržišnih cijena, troškove zatvaranja pozicija, rizik modela, koncentrirane pozicije, buduće administrativne troškove, ranije zatvaranje pozicija i operativni rizik izračunavaju se kako je opisano u člancima 9., 10., 11. i člancima od 14. do 17. Delegirane uredbe (EU) 2016/101.</w:t>
            </w:r>
          </w:p>
          <w:p w14:paraId="5AAA0587" w14:textId="0A2611A4"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Kad je riječ o kategorijama za neizvjesnost tržišnih cijena, troškove zatvaranja pozicija i rizik modela, koje podliježu koristi diversifikacije kako je određeno u članku 9. stavku 6., članku 10. stavku 7. odnosno članku 11. stavku 7. Delegirane uredbe (EU) 2016/101, dodatne prilagodbe vrednovanja na razini kategorije, osim ako se drugačije navodi, iskazuju se kao čisti zbroj pojedinačnih dodatnih prilagodbi vrednovanja prije primjene koristi diversifikacije [jer se koristi diversifikacije izračunane primjenom metode 1 ili metode 2 iz Priloga Delegiranoj uredbi (EU) 2016/101 iskazuju u stavkama 1.1.2, 1.1.2.1 i 1.1.2.2 obrasca]. </w:t>
            </w:r>
          </w:p>
          <w:p w14:paraId="47A2F76A" w14:textId="6135001F" w:rsidR="00973707" w:rsidRPr="00A30C4C" w:rsidRDefault="00973707" w:rsidP="001771A4">
            <w:pPr>
              <w:spacing w:beforeLines="60" w:before="144" w:afterLines="60" w:after="144"/>
              <w:rPr>
                <w:rFonts w:ascii="Times New Roman" w:hAnsi="Times New Roman"/>
                <w:sz w:val="24"/>
              </w:rPr>
            </w:pPr>
            <w:r>
              <w:rPr>
                <w:rFonts w:ascii="Times New Roman" w:hAnsi="Times New Roman"/>
                <w:sz w:val="24"/>
              </w:rPr>
              <w:t>Kad je riječ o kategorijama za neizvjesnost tržišnih cijena, troškove zatvaranja pozicija i rizik modela, iznosi izračunani u skladu s pristupom temeljenim na stručnoj procjeni iz članka 9. stavka 5. točke (b), članka 10. stavka 6. točke (b) odnosno članka 11. stavka 4. Delegirane uredbe (EU) 2016/101 iskazuju se zasebno u stupcima 0020, 0040 i 0060.</w:t>
            </w:r>
          </w:p>
        </w:tc>
      </w:tr>
      <w:tr w:rsidR="00973707" w:rsidRPr="00A30C4C" w14:paraId="0CE4BF76" w14:textId="77777777" w:rsidTr="00672D2A">
        <w:tc>
          <w:tcPr>
            <w:tcW w:w="1101" w:type="dxa"/>
          </w:tcPr>
          <w:p w14:paraId="126DAFBD"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4FB9877"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NEIZVJESNOST TRŽIŠNIH CIJENA</w:t>
            </w:r>
          </w:p>
          <w:p w14:paraId="1314C68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Članak 105. stavak 10. CRR-a </w:t>
            </w:r>
          </w:p>
          <w:p w14:paraId="1F11E757" w14:textId="7D18DD22"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neizvjesnost tržišnih cijena izračunane u skladu s člankom 9. Delegirane uredbe (EU) 2016/101.</w:t>
            </w:r>
          </w:p>
        </w:tc>
      </w:tr>
      <w:tr w:rsidR="00973707" w:rsidRPr="00A30C4C" w14:paraId="3FC875F8" w14:textId="77777777" w:rsidTr="00672D2A">
        <w:tc>
          <w:tcPr>
            <w:tcW w:w="1101" w:type="dxa"/>
          </w:tcPr>
          <w:p w14:paraId="3E91D6F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BF0143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IZRAČUNANE PRIMJENOM PRISTUPA TEMELJENOG NA STRUČNOJ PROCJENI</w:t>
            </w:r>
          </w:p>
          <w:p w14:paraId="4445AB46" w14:textId="57092C75"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neizvjesnost tržišnih cijena izračunane u skladu s člankom 9. stavkom 5. točkom (b) Delegirane uredbe (EU) 2016/101.</w:t>
            </w:r>
          </w:p>
        </w:tc>
      </w:tr>
      <w:tr w:rsidR="00973707" w:rsidRPr="00A30C4C" w14:paraId="67191341" w14:textId="77777777" w:rsidTr="00672D2A">
        <w:tc>
          <w:tcPr>
            <w:tcW w:w="1101" w:type="dxa"/>
          </w:tcPr>
          <w:p w14:paraId="0862874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BB27D"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14:paraId="5B2B3223"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Članak 105. stavak 10. CRR-a </w:t>
            </w:r>
          </w:p>
          <w:p w14:paraId="232F428E" w14:textId="2BFC8076"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troškove zatvaranja pozicija izračunane u skladu s člankom 10. Delegirane uredbe (EU) 2016/101. </w:t>
            </w:r>
          </w:p>
        </w:tc>
      </w:tr>
      <w:tr w:rsidR="00973707" w:rsidRPr="00A30C4C" w14:paraId="6F80DA8A" w14:textId="77777777" w:rsidTr="00672D2A">
        <w:tc>
          <w:tcPr>
            <w:tcW w:w="1101" w:type="dxa"/>
          </w:tcPr>
          <w:p w14:paraId="4804A45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7522785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IZRAČUNANE PRIMJENOM PRISTUPA TEMELJENOG NA STRUČNOJ PROCJENI</w:t>
            </w:r>
          </w:p>
          <w:p w14:paraId="4670C6A1" w14:textId="429E883A"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troškove zatvaranja pozicija izračunane u skladu s člankom 10. stavkom 6. točkom (b) Delegirane uredbe (EU) 2016/101.</w:t>
            </w:r>
          </w:p>
        </w:tc>
      </w:tr>
      <w:tr w:rsidR="00973707" w:rsidRPr="00A30C4C" w14:paraId="7C814463" w14:textId="77777777" w:rsidTr="00672D2A">
        <w:tc>
          <w:tcPr>
            <w:tcW w:w="1101" w:type="dxa"/>
          </w:tcPr>
          <w:p w14:paraId="3D4CC7FC"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45A0DF18"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 MODELA</w:t>
            </w:r>
          </w:p>
          <w:p w14:paraId="479B7FAC"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14:paraId="337DCF2A" w14:textId="6EFE1BF5"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Dodatne prilagodbe vrednovanja za rizik modela izračunane u skladu s člankom 11. Delegirane uredbe (EU) 2016/101. </w:t>
            </w:r>
          </w:p>
        </w:tc>
      </w:tr>
      <w:tr w:rsidR="00973707" w:rsidRPr="00A30C4C" w14:paraId="570871F4" w14:textId="77777777" w:rsidTr="00672D2A">
        <w:tc>
          <w:tcPr>
            <w:tcW w:w="1101" w:type="dxa"/>
          </w:tcPr>
          <w:p w14:paraId="06298AC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02BD6456"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IZRAČUNANE PRIMJENOM PRISTUPA TEMELJENOG NA STRUČNOJ PROCJENI</w:t>
            </w:r>
          </w:p>
          <w:p w14:paraId="36BEF6A2" w14:textId="3DA2E367"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rizik modela izračunane u skladu s člankom 11. stavkom 4. Delegirane uredbe (EU) 2016/101.</w:t>
            </w:r>
          </w:p>
        </w:tc>
      </w:tr>
      <w:tr w:rsidR="00973707" w:rsidRPr="00A30C4C" w14:paraId="7617E6FC" w14:textId="77777777" w:rsidTr="00672D2A">
        <w:tc>
          <w:tcPr>
            <w:tcW w:w="1101" w:type="dxa"/>
          </w:tcPr>
          <w:p w14:paraId="7A088AF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34C7D9BB"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KONCENTRIRANE POZICIJE</w:t>
            </w:r>
          </w:p>
          <w:p w14:paraId="71F8B72B"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105. stavak 11. CRR-a</w:t>
            </w:r>
          </w:p>
          <w:p w14:paraId="6D97DD76" w14:textId="19231B7E"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koncentrirane pozicije izračunane u skladu s člankom 14. Delegirane uredbe (EU) 2016/101.</w:t>
            </w:r>
          </w:p>
        </w:tc>
      </w:tr>
      <w:tr w:rsidR="00973707" w:rsidRPr="00A30C4C" w14:paraId="08D52651" w14:textId="77777777" w:rsidTr="00672D2A">
        <w:tc>
          <w:tcPr>
            <w:tcW w:w="1101" w:type="dxa"/>
          </w:tcPr>
          <w:p w14:paraId="0E0539C7"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862DE1"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14:paraId="2B9AFF7C"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14:paraId="7447FD81" w14:textId="5597B307"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buduće administrativne troškove izračunane u skladu s člankom 15. Delegirane uredbe (EU) 2016/101.</w:t>
            </w:r>
          </w:p>
        </w:tc>
      </w:tr>
      <w:tr w:rsidR="00973707" w:rsidRPr="00A30C4C" w14:paraId="68168FEB" w14:textId="77777777" w:rsidTr="00672D2A">
        <w:tc>
          <w:tcPr>
            <w:tcW w:w="1101" w:type="dxa"/>
          </w:tcPr>
          <w:p w14:paraId="742BACF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A98759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14:paraId="55E53D96"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14:paraId="567881C0" w14:textId="302C5977"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Dodatne prilagodbe vrednovanja za ranije zatvaranje pozicija izračunane u skladu s člankom 16. Delegirane uredbe (EU) 2016/101. </w:t>
            </w:r>
          </w:p>
        </w:tc>
      </w:tr>
      <w:tr w:rsidR="00973707" w:rsidRPr="00A30C4C" w14:paraId="3A5D9EA9" w14:textId="77777777" w:rsidTr="00672D2A">
        <w:tc>
          <w:tcPr>
            <w:tcW w:w="1101" w:type="dxa"/>
          </w:tcPr>
          <w:p w14:paraId="449C1D29"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4179239"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OPERATIVNI RIZIK</w:t>
            </w:r>
          </w:p>
          <w:p w14:paraId="075176D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w:t>
            </w:r>
          </w:p>
          <w:p w14:paraId="5B49D42D" w14:textId="22EA5E5F"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Dodatne prilagodbe vrednovanja za operativni rizik izračunane u skladu s člankom 17. Delegirane uredbe (EU) 2016/101.</w:t>
            </w:r>
          </w:p>
        </w:tc>
      </w:tr>
      <w:tr w:rsidR="00973707" w:rsidRPr="00A30C4C" w14:paraId="7F226801" w14:textId="77777777" w:rsidTr="00672D2A">
        <w:tc>
          <w:tcPr>
            <w:tcW w:w="1101" w:type="dxa"/>
            <w:tcBorders>
              <w:bottom w:val="single" w:sz="4" w:space="0" w:color="auto"/>
            </w:tcBorders>
          </w:tcPr>
          <w:p w14:paraId="349C8AD8"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748744F3"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UKUPNA DODATNA PRILAGODBA VREDNOVANJA  </w:t>
            </w:r>
          </w:p>
          <w:p w14:paraId="046D1F3C" w14:textId="1433180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Redak 0010: ukupna dodatna prilagodba vrednovanja koja se odbija od regulatornog kapitala u skladu s člancima 34. i 105. CRR-a i u skladu s time iskazuje u retku 290 iz obrasca C 01.00. Ukupna dodatna prilagodba vrednovanja jednaka je zbroju redaka 0030 i 0180.  </w:t>
            </w:r>
          </w:p>
          <w:p w14:paraId="6953E523"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Redak 0020: udio ukupne dodatne prilagodbe vrednovanja iskazane u retku 0010 koja proizlazi iz pozicija koje se drže u knjizi trgovanja (apsolutna vrijednost). </w:t>
            </w:r>
          </w:p>
          <w:p w14:paraId="528A4D39"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Redci od 0030 do 0160: zbroj stupaca 0010, 0030, 0050 i od 0070 do 0100. </w:t>
            </w:r>
          </w:p>
          <w:p w14:paraId="1EC177EC"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Redci od 0180 do 0210: ukupna dodatna prilagodba vrednovanja koja proizlazi iz portfelja na koje se primjenjuje zamjenski pristup.  </w:t>
            </w:r>
          </w:p>
        </w:tc>
      </w:tr>
      <w:tr w:rsidR="00973707" w:rsidRPr="00A30C4C" w14:paraId="3247717E" w14:textId="77777777" w:rsidTr="00672D2A">
        <w:tc>
          <w:tcPr>
            <w:tcW w:w="1101" w:type="dxa"/>
            <w:tcBorders>
              <w:bottom w:val="single" w:sz="4" w:space="0" w:color="auto"/>
            </w:tcBorders>
          </w:tcPr>
          <w:p w14:paraId="65FCF54F"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345BB6C9"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NEIZVJESNOST POZITIVNOG ISHODA</w:t>
            </w:r>
          </w:p>
          <w:p w14:paraId="3D8003C1" w14:textId="78EDC70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Članak 8. stavak 2. </w:t>
            </w:r>
            <w:r>
              <w:rPr>
                <w:rFonts w:ascii="Times New Roman" w:hAnsi="Times New Roman"/>
                <w:sz w:val="24"/>
              </w:rPr>
              <w:t>Delegirane uredbe (EU) 2016/101.</w:t>
            </w:r>
          </w:p>
          <w:p w14:paraId="731CC892"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Neizvjesnost pozitivnog ishoda izračunava se i zbraja na istoj osnovi kao i ukupna dodatna prilagodba vrednovanja izračunana u stupcu 0110, pri čemu se 10 postotna razina pouzdanosti zamjenjuje sa 90  postotnom pouzdanosti pri utvrđivanju ukupne dodatne prilagodbe vrednovanja.</w:t>
            </w:r>
          </w:p>
        </w:tc>
      </w:tr>
      <w:tr w:rsidR="00973707" w:rsidRPr="00A30C4C" w14:paraId="54920B4C" w14:textId="77777777" w:rsidTr="00672D2A">
        <w:tc>
          <w:tcPr>
            <w:tcW w:w="1101" w:type="dxa"/>
          </w:tcPr>
          <w:p w14:paraId="79D9AA57"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0130 -0140</w:t>
            </w:r>
          </w:p>
        </w:tc>
        <w:tc>
          <w:tcPr>
            <w:tcW w:w="8190" w:type="dxa"/>
          </w:tcPr>
          <w:p w14:paraId="2E68B4F5"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I OBVEZE PO FER VRIJEDNOSTI</w:t>
            </w:r>
          </w:p>
          <w:p w14:paraId="01F2DD78"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Apsolutna vrijednost imovine i obveza po fer vrijednosti koja odgovara iznosima dodatne prilagodbe vrednovanja iskazanima u redcima od 0010 do 0130 te retku 0180.   U slučaju nekih redaka, osobito redaka od 0090 do 0130, moguće je određivanje približne vrijednosti tih iznosa ili njihovo raspoređivanje na temelju stručne procjene.  </w:t>
            </w:r>
          </w:p>
          <w:p w14:paraId="5D26FC7D" w14:textId="16ECBD36" w:rsidR="001771A4"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Redak 0010: ukupna apsolutna vrijednost imovine i obveza po fer vrijednosti uključene u izračun praga u skladu s člankom 4. stavkom 1. Delegirane uredbe (EU) 2016/101.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 </w:t>
            </w:r>
          </w:p>
          <w:p w14:paraId="3BB13495" w14:textId="1323803C" w:rsidR="00973707" w:rsidRPr="00A30C4C"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Redak 0010 je zbroj retka 0030 i retka 0180. </w:t>
            </w:r>
          </w:p>
          <w:p w14:paraId="183B1B90"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0020: udio ukupne apsolutne vrijednosti imovine i obveza po fer vrijednosti iskazane u retku 0010 koja proizlazi iz pozicija koje se drže u knjizi trgovanja (apsolutna vrijednost). </w:t>
            </w:r>
          </w:p>
          <w:p w14:paraId="2E9D1837" w14:textId="19C2134E"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Redak 0030: apsolutna vrijednost imovine i obveza po fer vrijednosti koje odgovaraju portfeljima iz članaka od 9. do 17. Delegirane uredbe (EU) 2016/101.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 Redak 0030 je zbroj redaka od 0090 do 0130.</w:t>
            </w:r>
          </w:p>
          <w:p w14:paraId="5BB6B299" w14:textId="0DC5E6F6"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0050: apsolutna vrijednost imovine i obveza po fer vrijednosti uključene u opseg izračuna dodatnih prilagodbi vrednovanja za nerealizirane kreditne raspone. Za potrebe izračuna ove dodatne prilagodbe vrednovanja, suprotne pozicije imovine i obveza po fer vrijednosti koje se u potpunosti podudaraju isključene iz izračuna praga u skladu s člankom 4. stavkom 2. Delegirane uredbe (EU) 2016/101 ne moraju se više smatrati suprotnim pozicijama koje se u potpunosti podudaraju. </w:t>
            </w:r>
          </w:p>
          <w:p w14:paraId="0AEE6F67" w14:textId="4E56973F"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0060: apsolutna vrijednost imovine i obveza po fer vrijednosti uključene u opseg izračuna dodatnih prilagodbi vrednovanja za troškove investiranja i financiranja. Za potrebe izračuna ove dodatne prilagodbe vrednovanja, suprotne pozicije imovine i obveza po fer vrijednosti koje se u potpunosti podudaraju isključene iz izračuna praga u skladu s člankom 4. stavkom 2. Delegirane uredbe (EU) 2016/101 ne moraju se više smatrati suprotnim pozicijama koje se u potpunosti podudaraju. </w:t>
            </w:r>
          </w:p>
          <w:p w14:paraId="78347165" w14:textId="5DC3E1A2"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0070: Apsolutna vrijednost imovine i obveza po fer vrijednosti koje odgovaraju izloženostima vrednovanja za koje se procjenjuje da vrijednost dodatne prilagodbe vrednovanja iznosi nula kako je navedeno u članku 9. stavku 2. Delegirane uredbe (EU) 2016/101. </w:t>
            </w:r>
          </w:p>
          <w:p w14:paraId="0EEF2BA0" w14:textId="2B2067D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Redak 0080: Apsolutna vrijednost imovine i obveza po fer vrijednosti koje odgovaraju izloženostima vrednovanja za koje se procjenjuje da vrijednost dodatne prilagodbe vrednovanja iznosi nula kako je navedeno u članku 10. stavcima 2. i 3. Delegirane uredbe (EU) 2016/101. </w:t>
            </w:r>
          </w:p>
          <w:p w14:paraId="08695D63" w14:textId="7EB5DF4B"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Redci od 0090 do 0130: apsolutna vrijednost imovine i obveza po fer vrijednosti koja je raspoređena kako se navodi u nastavku (vidjeti odgovarajuće upute za retke) u skladu sa sljedećim kategorijama rizika: kamatni, tečajni i valutni rizik, rizik vlasničkih instrumenata te robni rizik. To uključuje apsolutnu vrijednost imovine i obveza po fer vrijednosti za koje se procjenjuje da vrijednost dodatne prilagodbe vrednovanja iznosi nula u skladu s člankom 9. stavkom 2., člankom 10. stavkom 2. ili člankom 10. stavkom 3. Delegirane uredbe (EU) 2016/101, koje se zasebno iskazuju u redcima 0070 i 0080.</w:t>
            </w:r>
          </w:p>
          <w:p w14:paraId="4D3064A6"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Redak 0180: apsolutna vrijednost imovine i obveza po fer vrijednosti koje odgovaraju portfeljima na koje se primjenjuje zamjenski pristup </w:t>
            </w:r>
          </w:p>
        </w:tc>
      </w:tr>
      <w:tr w:rsidR="00973707" w:rsidRPr="00A30C4C" w14:paraId="4282DCF6" w14:textId="77777777" w:rsidTr="00672D2A">
        <w:tc>
          <w:tcPr>
            <w:tcW w:w="1101" w:type="dxa"/>
          </w:tcPr>
          <w:p w14:paraId="01C83808"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791A4114"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PO FER VRIJEDNOSTI</w:t>
            </w:r>
          </w:p>
          <w:p w14:paraId="7F3F829E" w14:textId="77777777" w:rsidR="00973707" w:rsidRPr="00A30C4C"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Apsolutna vrijednost imovine po fer vrijednosti </w:t>
            </w:r>
            <w:r>
              <w:rPr>
                <w:rStyle w:val="InstructionsTabelleberschrift"/>
                <w:rFonts w:ascii="Times New Roman" w:hAnsi="Times New Roman"/>
                <w:b w:val="0"/>
                <w:sz w:val="24"/>
                <w:u w:val="none"/>
              </w:rPr>
              <w:t>koja odgovara različitim redcima kako je prethodno objašnjeno u uputama za stupce 0130-0140.</w:t>
            </w:r>
          </w:p>
        </w:tc>
      </w:tr>
      <w:tr w:rsidR="00973707" w:rsidRPr="00A30C4C" w14:paraId="1EB7333B" w14:textId="77777777" w:rsidTr="00672D2A">
        <w:tc>
          <w:tcPr>
            <w:tcW w:w="1101" w:type="dxa"/>
          </w:tcPr>
          <w:p w14:paraId="3163A30F"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56733A2F" w14:textId="77777777" w:rsidR="00973707" w:rsidRPr="00A30C4C"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OBVEZE PO FER VRIJEDNOSTI</w:t>
            </w:r>
          </w:p>
          <w:p w14:paraId="1D8BFEB5"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Apsolutna vrijednost obveza po fer vrijednosti </w:t>
            </w:r>
            <w:r>
              <w:rPr>
                <w:rStyle w:val="InstructionsTabelleberschrift"/>
                <w:rFonts w:ascii="Times New Roman" w:hAnsi="Times New Roman"/>
                <w:b w:val="0"/>
                <w:sz w:val="24"/>
                <w:u w:val="none"/>
              </w:rPr>
              <w:t>koja odgovara različitim redcima kako je prethodno objašnjeno u uputama za stupce 0130-0140.</w:t>
            </w:r>
          </w:p>
        </w:tc>
      </w:tr>
      <w:tr w:rsidR="00973707" w:rsidRPr="00A30C4C" w14:paraId="27DA91E9" w14:textId="77777777" w:rsidTr="00672D2A">
        <w:tc>
          <w:tcPr>
            <w:tcW w:w="1101" w:type="dxa"/>
          </w:tcPr>
          <w:p w14:paraId="7535313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4AE7343"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PRIHODI NA TROMJESEČNOJ OSNOVI DO IZVJEŠTAJNOG DATUMA</w:t>
            </w:r>
          </w:p>
          <w:p w14:paraId="0388881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Prihodi na tromjesečnoj osnovi do izvještajnog datuma od zadnjeg izvještajnog datuma koji se pripisuju imovini i obvezama po fer vrijednosti koje odgovaraju različitim redcima kako je prethodno objašnjeno u uputama za stupce 0130-0140, ako je relevantno raspoređene ili s približnom vrijednosti na temelju stručne procjene.</w:t>
            </w:r>
          </w:p>
        </w:tc>
      </w:tr>
      <w:tr w:rsidR="00973707" w:rsidRPr="00A30C4C" w14:paraId="0D514A2C" w14:textId="77777777" w:rsidTr="00672D2A">
        <w:tc>
          <w:tcPr>
            <w:tcW w:w="1101" w:type="dxa"/>
          </w:tcPr>
          <w:p w14:paraId="071C552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64FBE49A"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RAZLIKA NA TEMELJU NEOVISNE PROVJERE CIJENA </w:t>
            </w:r>
          </w:p>
          <w:p w14:paraId="2E7DD890" w14:textId="7F745F55"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Zbroj iznosa neusklađenih razlika (razlika na temelju neovisne provjere cijena) za sve pozicije i faktore rizika izračunano na kraju mjeseca koji je najbliži izvještajnom datumu na temelju postupka neovisne provjere cijena provedene u skladu s člankom 105. stavkom 8. CRR-a, u vezi s najbolje dostupnim neovisnim podacima za relevantnu poziciju ili faktor rizika. </w:t>
            </w:r>
          </w:p>
          <w:p w14:paraId="2CE9E661"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Iznosi neusklađenih razlika odnose se na neusklađene razlike između vrednovanja koji proizlaze iz sustava trgovanja i vrednovanja ocijenjenih tijekom postupka mjesečne neovisne provjere cijena. </w:t>
            </w:r>
          </w:p>
          <w:p w14:paraId="2437D774" w14:textId="77777777" w:rsidR="00973707" w:rsidRPr="00A30C4C"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izračun razlike na temelju neovisne provjere cijena ne uključuju se iznosi usklađenih razlika iz knjiga i evidencija institucije za relevantni datum na kraju mjeseca.  </w:t>
            </w:r>
          </w:p>
        </w:tc>
      </w:tr>
      <w:tr w:rsidR="00973707" w:rsidRPr="00A30C4C" w14:paraId="312B8986" w14:textId="77777777" w:rsidTr="00672D2A">
        <w:tc>
          <w:tcPr>
            <w:tcW w:w="1101" w:type="dxa"/>
          </w:tcPr>
          <w:p w14:paraId="029722F9" w14:textId="77777777" w:rsidR="00973707" w:rsidRPr="00A30C4C"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14:paraId="7B256BA4"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PRILAGODBE FER VRIJEDNOSTI</w:t>
            </w:r>
          </w:p>
          <w:p w14:paraId="659F73D4" w14:textId="61FF04F1" w:rsidR="001B1531" w:rsidRPr="00A30C4C"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Prilagodbe, na koje se katkad upućuje kao na „rezerve”, koje su potencijalno primijenjene u računovodstvenoj fer vrijednosti institucije koje se provode izvan modela </w:t>
            </w:r>
            <w:r>
              <w:rPr>
                <w:rStyle w:val="InstructionsTabelleberschrift"/>
                <w:rFonts w:ascii="Times New Roman" w:hAnsi="Times New Roman"/>
                <w:b w:val="0"/>
                <w:sz w:val="24"/>
                <w:u w:val="none"/>
              </w:rPr>
              <w:lastRenderedPageBreak/>
              <w:t>vrednovanja koji se koristi za izračun knjigovodstvenih vrijednosti (isključujući odgođenu razliku na prvi dan koja se priznaje kao dobit ili gubitak) i za koje se može utvrditi da se odnose na isti izvor nesigurnosti vrednovanja kao relevantna dodatna prilagodba vrednovanja. One bi mogle odražavati faktore rizika koji nisu obuhvaćeni tehnikom vrednovanja, koji su u obliku premije na rizik ili izlaznog troška i u skladu su s definicijom fer vrijednosti. Tržišni sudionici ipak ih trebaju uzeti u obzir pri određivanju cijene. (MSFI 13.9 i MSFI 13.88)</w:t>
            </w:r>
          </w:p>
        </w:tc>
      </w:tr>
      <w:tr w:rsidR="00973707" w:rsidRPr="00A30C4C" w14:paraId="3EB0E701" w14:textId="77777777" w:rsidTr="00672D2A">
        <w:tc>
          <w:tcPr>
            <w:tcW w:w="1101" w:type="dxa"/>
          </w:tcPr>
          <w:p w14:paraId="6E4796AB"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4B6C18C7"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NEIZVJESNOST TRŽIŠNIH CIJENA</w:t>
            </w:r>
          </w:p>
          <w:p w14:paraId="0CFF7179"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premija na rizik koja proizlazi iz niza zabilježenih cijena istovrijednih instrumenata ili, u pogledu tržišnih ulaznih parametara modela vrednovanja, instrumenata za koje su ulazni podaci kalibrirani, te se stoga za nju može utvrditi da se odnosi na isti izvor nesigurnosti vrednovanja kao dodatna prilagodba vrednovanja za neizvjesnost tržišnih cijena. </w:t>
            </w:r>
          </w:p>
        </w:tc>
      </w:tr>
      <w:tr w:rsidR="00973707" w:rsidRPr="00A30C4C" w14:paraId="7B8B25D3" w14:textId="77777777" w:rsidTr="00672D2A">
        <w:tc>
          <w:tcPr>
            <w:tcW w:w="1101" w:type="dxa"/>
          </w:tcPr>
          <w:p w14:paraId="239AE61C"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87A845C"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ZATVARANJA POZICIJA</w:t>
            </w:r>
          </w:p>
          <w:p w14:paraId="5F347C23" w14:textId="0F6D728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radi prilagodbe zbog činjenice da vrednovanja razine pozicije ne odražavaju izlaznu cijenu pozicije ili portfelja, posebno kad se ta vrednovanja kalibriraju na srednje tržišnu cijenu te se stoga za nju može utvrditi da se odnosi na isti izvor nesigurnosti vrednovanja kao </w:t>
            </w:r>
            <w:r>
              <w:rPr>
                <w:rFonts w:ascii="Times New Roman" w:hAnsi="Times New Roman"/>
                <w:sz w:val="24"/>
              </w:rPr>
              <w:t>dodatna prilagodba vrednovanja za troškove zatvaranja pozicija</w:t>
            </w:r>
            <w:r>
              <w:rPr>
                <w:rStyle w:val="InstructionsTabelleberschrift"/>
                <w:rFonts w:ascii="Times New Roman" w:hAnsi="Times New Roman"/>
                <w:b w:val="0"/>
                <w:sz w:val="24"/>
                <w:u w:val="none"/>
              </w:rPr>
              <w:t>.</w:t>
            </w:r>
          </w:p>
        </w:tc>
      </w:tr>
      <w:tr w:rsidR="00973707" w:rsidRPr="00A30C4C" w14:paraId="0056FFF2" w14:textId="77777777" w:rsidTr="00672D2A">
        <w:tc>
          <w:tcPr>
            <w:tcW w:w="1101" w:type="dxa"/>
          </w:tcPr>
          <w:p w14:paraId="24370B10"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6EB01E94"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 MODELA</w:t>
            </w:r>
          </w:p>
          <w:p w14:paraId="759215B0" w14:textId="3AC3FE01"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uzeli u obzir tržišni čimbenici ili čimbenici koji nisu povezani s modelom koji se koristi za izračun vrijednosti dnevnih pozicija i rizika („model vrednovanja”) ili kako bi se uzela u obzir odgovarajuća razina razboritosti koja proizlazi iz postojanja niza alternativnih valjanih modela i kalibracija modela te se stoga za nju može utvrditi da se odnosi na isti izvor nesigurnosti vrednovanja kao </w:t>
            </w:r>
            <w:r>
              <w:rPr>
                <w:rFonts w:ascii="Times New Roman" w:hAnsi="Times New Roman"/>
                <w:sz w:val="24"/>
              </w:rPr>
              <w:t>dodatna prilagodba vrednovanja za rizik modela</w:t>
            </w:r>
            <w:r>
              <w:rPr>
                <w:rStyle w:val="InstructionsTabelleberschrift"/>
                <w:rFonts w:ascii="Times New Roman" w:hAnsi="Times New Roman"/>
                <w:b w:val="0"/>
                <w:sz w:val="24"/>
                <w:u w:val="none"/>
              </w:rPr>
              <w:t>.</w:t>
            </w:r>
          </w:p>
        </w:tc>
      </w:tr>
      <w:tr w:rsidR="00973707" w:rsidRPr="00A30C4C" w14:paraId="1AB87AA2" w14:textId="77777777" w:rsidTr="00672D2A">
        <w:tc>
          <w:tcPr>
            <w:tcW w:w="1101" w:type="dxa"/>
          </w:tcPr>
          <w:p w14:paraId="24A595E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7F7447C2"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KONCENTRIRANE POZICIJE</w:t>
            </w:r>
          </w:p>
          <w:p w14:paraId="2AF1D656" w14:textId="3C6B13AF" w:rsidR="00973707" w:rsidRPr="00A30C4C"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činjenica da je ukupna pozicija koju drži institucija veća od uobičajenog volumena trgovanja ili veća od veličine pozicija na kojima se temelje zabilježene kotacije ili trgovanja koja se koriste za kalibraciju cijene ili ulaznih parametara koji se koriste u modelu vrednovanja te se stoga za nju može utvrditi da se odnosi na isti izvor nesigurnosti vrednovanja kao dodatna prilagodba vrednovanja za </w:t>
            </w:r>
            <w:r>
              <w:rPr>
                <w:rFonts w:ascii="Times New Roman" w:hAnsi="Times New Roman"/>
                <w:sz w:val="24"/>
              </w:rPr>
              <w:t>koncentrirane pozicije</w:t>
            </w:r>
            <w:r>
              <w:rPr>
                <w:rStyle w:val="InstructionsTabelleberschrift"/>
                <w:rFonts w:ascii="Times New Roman" w:hAnsi="Times New Roman"/>
                <w:b w:val="0"/>
                <w:sz w:val="24"/>
                <w:u w:val="none"/>
              </w:rPr>
              <w:t xml:space="preserve">. </w:t>
            </w:r>
          </w:p>
        </w:tc>
      </w:tr>
      <w:tr w:rsidR="00973707" w:rsidRPr="00A30C4C" w14:paraId="67D131A0" w14:textId="77777777" w:rsidTr="00672D2A">
        <w:tc>
          <w:tcPr>
            <w:tcW w:w="1101" w:type="dxa"/>
          </w:tcPr>
          <w:p w14:paraId="3245671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2B903605"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NEREALIZIRANI KREDITNI RASPONI</w:t>
            </w:r>
          </w:p>
          <w:p w14:paraId="567529CB"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Prilagodba primijenjena u fer vrijednosti institucije kako bi se pokrili neočekivani gubici zbog statusa neispunjavanja obveza druge ugovorne strane u vezi s pozicijama izvedenica (tj. ukupna prilagodba kreditnom vrednovanju na razini institucije).</w:t>
            </w:r>
          </w:p>
        </w:tc>
      </w:tr>
      <w:tr w:rsidR="00973707" w:rsidRPr="00A30C4C" w14:paraId="270981FF" w14:textId="77777777" w:rsidTr="00672D2A">
        <w:tc>
          <w:tcPr>
            <w:tcW w:w="1101" w:type="dxa"/>
          </w:tcPr>
          <w:p w14:paraId="5F69C201"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77449C5E"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TROŠKOVI INVESTIRANJA I FINANCIRANJA</w:t>
            </w:r>
          </w:p>
          <w:p w14:paraId="1E2FB398"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neutralizirala činjenica kada modeli vrednovanja ne odražavaju u potpunosti troškove financiranja koje bi tržišni sudionici uračunali u izlaznu cijenu pozicije ili portfelja (tj. ukupna prilagodba vrednovanja financiranja na razini institucije ako institucija izračunava tu prilagodbu ili, alternativno, istovrijedna prilagodba).    </w:t>
            </w:r>
          </w:p>
        </w:tc>
      </w:tr>
      <w:tr w:rsidR="00973707" w:rsidRPr="00A30C4C" w14:paraId="2C092C7F" w14:textId="77777777" w:rsidTr="00672D2A">
        <w:tc>
          <w:tcPr>
            <w:tcW w:w="1101" w:type="dxa"/>
          </w:tcPr>
          <w:p w14:paraId="32CCDAD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77F37331"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BUDUĆI ADMINISTRATIVNI TROŠKOVI</w:t>
            </w:r>
          </w:p>
          <w:p w14:paraId="519714E3"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uzeli u obzir administrativni troškovi koji nastaju zbog portfelja ili pozicije, ali nisu uzeti u obzir u modelu vrednovanja ili cijenama koji se koriste za kalibraciju ulaznih podataka u tom modelu vrednovanja te se stoga za nju može utvrditi da se odnosi na isti izvor nesigurnosti vrednovanja kao dodatna prilagodba vrednovanja za buduće administrativne troškove.  </w:t>
            </w:r>
          </w:p>
        </w:tc>
      </w:tr>
      <w:tr w:rsidR="00973707" w:rsidRPr="00A30C4C" w14:paraId="06CBFC6F" w14:textId="77777777" w:rsidTr="00672D2A">
        <w:tc>
          <w:tcPr>
            <w:tcW w:w="1101" w:type="dxa"/>
          </w:tcPr>
          <w:p w14:paraId="76FCCA6B"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5AEE533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RANIJE ZATVARANJE POZICIJA</w:t>
            </w:r>
          </w:p>
          <w:p w14:paraId="03FC72C7" w14:textId="70B4F51B"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Prilagodba primijenjena u fer vrijednosti institucije kako bi se uzela u obzir očekivanja o ugovornom ili </w:t>
            </w:r>
            <w:proofErr w:type="spellStart"/>
            <w:r>
              <w:rPr>
                <w:rStyle w:val="InstructionsTabelleberschrift"/>
                <w:rFonts w:ascii="Times New Roman" w:hAnsi="Times New Roman"/>
                <w:b w:val="0"/>
                <w:sz w:val="24"/>
                <w:u w:val="none"/>
              </w:rPr>
              <w:t>izvanugovornom</w:t>
            </w:r>
            <w:proofErr w:type="spellEnd"/>
            <w:r>
              <w:rPr>
                <w:rStyle w:val="InstructionsTabelleberschrift"/>
                <w:rFonts w:ascii="Times New Roman" w:hAnsi="Times New Roman"/>
                <w:b w:val="0"/>
                <w:sz w:val="24"/>
                <w:u w:val="none"/>
              </w:rPr>
              <w:t xml:space="preserve"> ranijem zatvaranju pozicija koja nisu uzeta u obzir u modelu vrednovanja te se stoga za nju može utvrditi da se odnosi na isti izvor nesigurnosti vrednovanja kao dodatna prilagodba vrednovanja za ranije zatvaranje pozicija.</w:t>
            </w:r>
          </w:p>
        </w:tc>
      </w:tr>
      <w:tr w:rsidR="00973707" w:rsidRPr="00A30C4C" w14:paraId="6D997EE3" w14:textId="77777777" w:rsidTr="00672D2A">
        <w:tc>
          <w:tcPr>
            <w:tcW w:w="1101" w:type="dxa"/>
          </w:tcPr>
          <w:p w14:paraId="5A9FF46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56F2712"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OPERATIVNI RIZIK</w:t>
            </w:r>
          </w:p>
          <w:p w14:paraId="543AC4B7" w14:textId="58E80A40" w:rsidR="00973707" w:rsidRPr="00A30C4C"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Prilagodba primijenjena u fer vrijednosti institucije kako bi se uzela u obzir premija na rizik koju bi zaračunali tržišni sudionici kako bi neutralizirali operativne rizike koji proizlaze iz zaštite, upravljanja i namire ugovora iz portfelja  te se stoga za nju može utvrditi da se odnosi na isti izvor nesigurnosti vrednovanja kao dodatna prilagodba vrednovanja za operativni rizik.</w:t>
            </w:r>
          </w:p>
        </w:tc>
      </w:tr>
      <w:tr w:rsidR="00973707" w:rsidRPr="00A30C4C" w14:paraId="00B1E50C" w14:textId="77777777" w:rsidTr="00672D2A">
        <w:tc>
          <w:tcPr>
            <w:tcW w:w="1101" w:type="dxa"/>
          </w:tcPr>
          <w:p w14:paraId="34A5C593"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56995CA9"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DOBIT I GUBITAK NA PRVI DAN</w:t>
            </w:r>
          </w:p>
          <w:p w14:paraId="5484AB71" w14:textId="77777777" w:rsidR="001B1531"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Prilagodbe koje odražavaju slučajeve u kojima model vrednovanja zajedno sa svim drugim relevantnim prilagodbama fer vrijednosti primjenjivima na poziciju ili portfelj ne odražava cijenu plaćenu ili primljenu pri početnom priznavanju, odnosno odgođena razlika na prvi dan koja se priznaje kao dobit ili gubitak (MSFI 9.B5.1.2.A).</w:t>
            </w:r>
          </w:p>
        </w:tc>
      </w:tr>
      <w:tr w:rsidR="00973707" w:rsidRPr="00A30C4C" w14:paraId="1A373008" w14:textId="77777777" w:rsidTr="00672D2A">
        <w:tc>
          <w:tcPr>
            <w:tcW w:w="1101" w:type="dxa"/>
          </w:tcPr>
          <w:p w14:paraId="43ACAC6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525F3B0B"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OBJAŠNJENJE</w:t>
            </w:r>
          </w:p>
          <w:p w14:paraId="2A6906D0" w14:textId="64451330" w:rsidR="00973707" w:rsidRPr="00A30C4C"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Opis pozicija koje se tretira u skladu s člankom 7. stavkom 2. točkom (b) Delegirane uredbe (EU) 2016/101 i objašnjenje zbog čega se nisu mogli primijeniti članci od 9. do 17. te uredbe.</w:t>
            </w:r>
          </w:p>
        </w:tc>
      </w:tr>
    </w:tbl>
    <w:p w14:paraId="523A6DE9" w14:textId="77777777" w:rsidR="00B93FA1" w:rsidRPr="00A30C4C"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973707" w:rsidRPr="00A30C4C" w14:paraId="16E49B7D" w14:textId="77777777" w:rsidTr="00672D2A">
        <w:tc>
          <w:tcPr>
            <w:tcW w:w="9288" w:type="dxa"/>
            <w:gridSpan w:val="2"/>
            <w:shd w:val="clear" w:color="auto" w:fill="CCCCCC"/>
          </w:tcPr>
          <w:p w14:paraId="269756AB" w14:textId="77777777" w:rsidR="00973707" w:rsidRPr="00A30C4C" w:rsidRDefault="00973707" w:rsidP="00AF3D7A">
            <w:pPr>
              <w:spacing w:beforeLines="60" w:before="144" w:afterLines="60" w:after="144"/>
              <w:rPr>
                <w:rFonts w:ascii="Times New Roman" w:hAnsi="Times New Roman"/>
                <w:b/>
                <w:sz w:val="24"/>
              </w:rPr>
            </w:pPr>
            <w:r>
              <w:rPr>
                <w:rFonts w:ascii="Times New Roman" w:hAnsi="Times New Roman"/>
                <w:b/>
                <w:sz w:val="24"/>
              </w:rPr>
              <w:t>Redci</w:t>
            </w:r>
          </w:p>
        </w:tc>
      </w:tr>
      <w:tr w:rsidR="00973707" w:rsidRPr="00A30C4C" w14:paraId="0D9B9B4E" w14:textId="77777777" w:rsidTr="00672D2A">
        <w:tc>
          <w:tcPr>
            <w:tcW w:w="1101" w:type="dxa"/>
          </w:tcPr>
          <w:p w14:paraId="5B2DDB2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87" w:type="dxa"/>
          </w:tcPr>
          <w:p w14:paraId="093E6C93"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UKUPNE DODATNE PRILAGODBE VREDNOVANJA NA TEMELJU OSNOVNOG PRISTUPA </w:t>
            </w:r>
          </w:p>
          <w:p w14:paraId="3AD7F65B" w14:textId="22E35E40"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7. stavak 2. Delegirane uredbe (EU) 2016/101.</w:t>
            </w:r>
          </w:p>
          <w:p w14:paraId="0A12C852" w14:textId="1350E1D4"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Za svaku relevantnu kategoriju dodatnih prilagodbi vrednovanja iz stupaca od 0010 do 0110, ukupne dodatne prilagodbe vrednovanja izračunane na temelju osnovnog pristupa kako je navedeno u poglavlju 3. Delegirane uredbe (EU) 2016/101 za imovinu i obvezu po fer vrijednosti uključene u izračun praga u skladu s člankom 4. stavkom 1. te uredbe. To uključuje koristi diversifikacije iskazane u retku 0140 u skladu s člankom 9. stavkom 6., člankom 10. stavkom 7. i člankom 11. stavkom 7. Delegirane uredbe (EU) 2016/101. </w:t>
            </w:r>
          </w:p>
        </w:tc>
      </w:tr>
      <w:tr w:rsidR="00973707" w:rsidRPr="00A30C4C" w14:paraId="3EE92267" w14:textId="77777777" w:rsidTr="00672D2A">
        <w:tc>
          <w:tcPr>
            <w:tcW w:w="1101" w:type="dxa"/>
          </w:tcPr>
          <w:p w14:paraId="25A1A49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45337FCE"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ČEGA: POZICIJE IZ KNJIGE TRGOVANJA </w:t>
            </w:r>
          </w:p>
          <w:p w14:paraId="63BAEAF5" w14:textId="40AFA418"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7. stavak 2. Delegirane uredbe (EU) 2016/101.</w:t>
            </w:r>
          </w:p>
          <w:p w14:paraId="14D4B324" w14:textId="77777777" w:rsidR="00973707" w:rsidRPr="00A30C4C"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Za svaku relevantnu kategoriju dodatnih prilagodbi vrednovanja iz stupaca od 0010 do 0110, udio ukupnih dodatnih prilagodbi vrednovanja iskazanih u retku 0010 koje proizlaze iz pozicija u knjizi trgovanja (apsolutna vrijednost). </w:t>
            </w:r>
          </w:p>
        </w:tc>
      </w:tr>
      <w:tr w:rsidR="00973707" w:rsidRPr="00A30C4C" w14:paraId="796F890B" w14:textId="77777777" w:rsidTr="00672D2A">
        <w:tc>
          <w:tcPr>
            <w:tcW w:w="1101" w:type="dxa"/>
          </w:tcPr>
          <w:p w14:paraId="10D99759"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068FE137" w14:textId="327693F6"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PORTFELJI U SKLADU S ČLANCIMA OD 9. DO 17.</w:t>
            </w:r>
            <w:r>
              <w:t xml:space="preserve"> </w:t>
            </w:r>
            <w:r>
              <w:rPr>
                <w:rFonts w:ascii="Times New Roman" w:hAnsi="Times New Roman"/>
                <w:b/>
                <w:sz w:val="24"/>
                <w:u w:val="single"/>
              </w:rPr>
              <w:t xml:space="preserve">DELEGIRANE UREDBE KOMISIJE (EU) 2016/101 – UKUPNE DODATNE PRILAGODBE VREDNOVANJA NA RAZINI KATEGORIJE NAKON PRIMJENE DIVERSIFIKACIJE </w:t>
            </w:r>
          </w:p>
          <w:p w14:paraId="58BFB114" w14:textId="0ABD3CFB" w:rsidR="00973707" w:rsidRPr="00A30C4C" w:rsidRDefault="002B004B" w:rsidP="00AF3D7A">
            <w:pPr>
              <w:spacing w:beforeLines="60" w:before="144" w:afterLines="60" w:after="144"/>
              <w:rPr>
                <w:rFonts w:ascii="Times New Roman" w:hAnsi="Times New Roman"/>
                <w:sz w:val="24"/>
              </w:rPr>
            </w:pPr>
            <w:r>
              <w:rPr>
                <w:rFonts w:ascii="Times New Roman" w:hAnsi="Times New Roman"/>
                <w:sz w:val="24"/>
              </w:rPr>
              <w:t>Članak 7. stavak 2. točka (a) Delegirane uredbe (EU) 2016/101.</w:t>
            </w:r>
          </w:p>
          <w:p w14:paraId="4CF92BA6" w14:textId="225CC484"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Za svaku relevantnu kategoriju dodatnih prilagodbi vrednovanja iz stupaca od 0010 do 0110, ukupne dodatne prilagodbe vrednovanja izračunane u skladu s člancima od 9. do 17. Delegirane uredbe (EU) 2016/101 za imovinu i obveze po fer vrijednosti uključene u izračun praga u skladu s člankom 4. stavkom 1. te uredbe, osim za imovinu i obveze po fer vrijednosti na koje se primjenjuje tretman opisan u članku 7. stavku 2. točke (b) Delegirane uredbe (EU) 2016/101. </w:t>
            </w:r>
          </w:p>
          <w:p w14:paraId="0E0C61EA" w14:textId="355BDB48"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To uključuje dodatne prilagodbe vrednovanja izračunane u skladu s člancima 12. i 13. Delegirane uredbe (EU) 2016/101 koje su iskazane u redcima 0050 i 0060 i koje su uključene u dodatne prilagodbe vrednovanja za neizvjesnost tržišnih cijena, dodatne prilagodbe vrednovanja za troškove zatvaranja pozicija i dodatne prilagodbe vrednovanja za  rizik modela kako je navedeno u članku 12. stavku 2. i članku 13. stavku 2. te uredbe. </w:t>
            </w:r>
          </w:p>
          <w:p w14:paraId="0C1502FC" w14:textId="5231625C"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To uključuje koristi diversifikacije iskazane u retku 0140 u skladu s člankom 9. stavkom 6., člankom 10. stavkom 7. i člankom 11. stavkom 7. Delegirane uredbe (EU) 2016/101. </w:t>
            </w:r>
          </w:p>
          <w:p w14:paraId="1D204122" w14:textId="4B973C5D" w:rsidR="00973707" w:rsidRPr="00A30C4C" w:rsidRDefault="00973707" w:rsidP="00127986">
            <w:pPr>
              <w:spacing w:beforeLines="60" w:before="144" w:afterLines="60" w:after="144"/>
              <w:rPr>
                <w:rFonts w:ascii="Times New Roman" w:hAnsi="Times New Roman"/>
                <w:sz w:val="24"/>
              </w:rPr>
            </w:pPr>
            <w:r>
              <w:rPr>
                <w:rFonts w:ascii="Times New Roman" w:hAnsi="Times New Roman"/>
                <w:sz w:val="24"/>
              </w:rPr>
              <w:t xml:space="preserve">Redak 0030 je razlika između redaka 0040 i 0140. </w:t>
            </w:r>
          </w:p>
        </w:tc>
      </w:tr>
      <w:tr w:rsidR="00973707" w:rsidRPr="00A30C4C" w14:paraId="4BD0BD11" w14:textId="77777777" w:rsidTr="00672D2A">
        <w:tc>
          <w:tcPr>
            <w:tcW w:w="1101" w:type="dxa"/>
          </w:tcPr>
          <w:p w14:paraId="46E9671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14:paraId="03243C51"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UKUPNE DODATNE PRILAGODBE VREDNOVANJA NA RAZINI KATEGORIJE PRIJE PRIMJENE DIVERSIFIKACIJE</w:t>
            </w:r>
          </w:p>
          <w:p w14:paraId="202A9EEF" w14:textId="623751E1"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Institucije raspoređuju u retke od 0090 do 0130 svoju imovinu i obveze po fer vrijednosti uključene u izračun praga u skladu s člankom 4. stavkom 1. Delegirane uredbe (EU) 2016/101 (knjiga trgovanja i knjiga pozicija kojima se ne trguje) </w:t>
            </w:r>
            <w:r>
              <w:rPr>
                <w:rFonts w:ascii="Times New Roman" w:hAnsi="Times New Roman"/>
                <w:sz w:val="24"/>
              </w:rPr>
              <w:lastRenderedPageBreak/>
              <w:t xml:space="preserve">prema sljedećim kategorijama rizika: kamatni, tečajni i valutni rizik, rizik vlasničkih instrumenata te robni rizik. </w:t>
            </w:r>
          </w:p>
          <w:p w14:paraId="1E1FF073" w14:textId="5403142D"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U tu se svrhu institucije oslanjaju na svoju strukturu internog upravljanja rizikom te na temelju raspoređivanja aktivnosti pripremljenog na temelju stručne procjene raspoređuju svoje poslovne linije ili stolove za trgovanje u odgovarajuće kategorije rizika. Dodatne prilagodbe vrednovanja, prilagodbe fer vrijednosti i ostale potrebne informacije, koje odgovaraju raspoređenim poslovnim linijama ili stolovima za trgovanje, raspoređuju se u iste relevantne kategorije rizika, kako bi se za svaku kategoriju rizika na razini redaka naveli dosljedan pregled prilagodbi provedenih u bonitetne i računovodstvene svrhe, kao i veličina dotičnih pozicija (u pogledu imovine i obveza po fer vrijednosti). Ako se dodatne prilagodbe vrednovanja ili druge prilagodbe izračunavaju na različitoj razini agregiranja, posebno na razini društva, institucije izrađuju metodologiju raspoređivanja dodatnih prilagodbi vrednovanja u relevantne skupove pozicija. U skladu s tom metodologijom raspoređivanja redak 0040 je zbroj redaka od 0050 do 0130 za stupce od 0010 do 0100.  </w:t>
            </w:r>
          </w:p>
          <w:p w14:paraId="4A582A0B"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Neovisno o tome koji se pristup primijeni, iskazane informacije moraju, u najvećoj mogućoj mjeri, biti dosljedne na razini redaka jer će se dostavljene informacije uspoređivati na toj razini (iznosi dodatnih prilagodbi vrednovanja, neizvjesnost pozitivnog ishoda, iznosi fer vrijednosti i potencijalne prilagodne fer vrijednosti). </w:t>
            </w:r>
          </w:p>
          <w:p w14:paraId="3351BFAA" w14:textId="6D995B8A"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Raščlamba u redcima od 0090 do 0130 isključuje dodatne prilagodbe vrednovanja izračunane u skladu s člancima 12. i 13. Delegirane uredbe (EU) 2016/101 koje su iskazane u redcima 0050 i 0060 i koje su uključene u dodatne prilagodbe vrednovanja za neizvjesnost tržišnih cijena, dodatne prilagodbe vrednovanja za troškove zatvaranja pozicija i dodatne prilagodbe vrednovanja za  rizik modela kako je navedeno u članku 12. stavku 2. i članku 13. stavku 2. te uredbe.</w:t>
            </w:r>
          </w:p>
          <w:p w14:paraId="6232A42A" w14:textId="2065D687"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Koristi diversifikacije iskazuju se u retku 0140 u skladu s člankom 9. stavkom 6., člankom 10. stavkom 7. i člankom 11. stavkom 7. Delegirane uredbe (EU) 2016/101 te su stoga isključene iz redaka od 0040 do 0130. </w:t>
            </w:r>
          </w:p>
        </w:tc>
      </w:tr>
      <w:tr w:rsidR="00973707" w:rsidRPr="00A30C4C" w14:paraId="12ECE089" w14:textId="77777777" w:rsidTr="00672D2A">
        <w:tc>
          <w:tcPr>
            <w:tcW w:w="1101" w:type="dxa"/>
          </w:tcPr>
          <w:p w14:paraId="21F21EE7"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609842B5"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DODATNE PRILAGODBE VREDNOVANJA ZA NEREALIZIRANE KREDITNE RASPONE</w:t>
            </w:r>
          </w:p>
          <w:p w14:paraId="4C43FBD6" w14:textId="42CE7CD6"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Članak 105. stavak 10. CRR-a, članak 12. Delegirane uredbe (EU) 2016/101.</w:t>
            </w:r>
          </w:p>
          <w:p w14:paraId="672111AA" w14:textId="733CE05A"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Ukupna dodatna prilagodba vrednovanja izračunana za nerealizirane kreditne raspone („dodatna prilagodba vrednovanja za rizik prilagodbe kreditnom vrednovanju) i njezino raspoređivanje u dodatne prilagodbe vrednovanja za neizvjesnost tržišnih cijena, za troškove zatvaranja pozicija ili za rizik modela u skladu s člankom 12. Delegirane uredbe (EU) 2016/101. </w:t>
            </w:r>
          </w:p>
          <w:p w14:paraId="7AAF8730"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Stupac 0110: 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14:paraId="3AE233E0" w14:textId="007FAE76" w:rsidR="00973707" w:rsidRPr="00A30C4C" w:rsidRDefault="00973707" w:rsidP="00127986">
            <w:pPr>
              <w:spacing w:beforeLines="60" w:before="144" w:afterLines="60" w:after="144"/>
              <w:rPr>
                <w:rFonts w:ascii="Times New Roman" w:hAnsi="Times New Roman"/>
                <w:sz w:val="24"/>
              </w:rPr>
            </w:pPr>
            <w:r>
              <w:rPr>
                <w:rFonts w:ascii="Times New Roman" w:hAnsi="Times New Roman"/>
                <w:sz w:val="24"/>
              </w:rPr>
              <w:lastRenderedPageBreak/>
              <w:t>Stupci 0130 i 0140: apsolutna vrijednost imovine i obveza po fer vrijednosti uključene u opseg izračuna dodatnih prilagodbi vrednovanja za nerealizirane kreditne raspone. 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973707" w:rsidRPr="00A30C4C" w14:paraId="2C7204F5" w14:textId="77777777" w:rsidTr="00672D2A">
        <w:tc>
          <w:tcPr>
            <w:tcW w:w="1101" w:type="dxa"/>
          </w:tcPr>
          <w:p w14:paraId="246E982D"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41D0B6DC"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OD ČEGA: DODATNE PRILAGODBE VREDNOVANJA ZA TROŠKOVE INVESTIRANJA I FINANCIRANJA  </w:t>
            </w:r>
          </w:p>
          <w:p w14:paraId="7F03FED1" w14:textId="29FB1ACF" w:rsidR="00973707" w:rsidRPr="00A30C4C" w:rsidRDefault="00973707" w:rsidP="00AF3D7A">
            <w:pPr>
              <w:spacing w:beforeLines="60" w:before="144" w:afterLines="60" w:after="144"/>
              <w:rPr>
                <w:rFonts w:ascii="Times New Roman" w:hAnsi="Times New Roman"/>
                <w:caps/>
                <w:sz w:val="24"/>
                <w:u w:val="single"/>
              </w:rPr>
            </w:pPr>
            <w:r>
              <w:rPr>
                <w:rFonts w:ascii="Times New Roman" w:hAnsi="Times New Roman"/>
                <w:sz w:val="24"/>
              </w:rPr>
              <w:t>Članak 105. stavak 10. CRR-a, članak 17. Delegirane uredbe (EU) 2016/101.</w:t>
            </w:r>
          </w:p>
          <w:p w14:paraId="5753A384" w14:textId="471CA708"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Ukupna dodatna prilagodba vrednovanja izračunana za troškove investiranja i financiranja i njezino raspoređivanje u dodatne prilagodbe vrednovanja za neizvjesnost tržišnih cijena, za troškove zatvaranja pozicija ili za  rizik modela u skladu s člankom 13. Delegirane uredbe (EU) 2016/101. </w:t>
            </w:r>
          </w:p>
          <w:p w14:paraId="3EB4E814"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Stupac 0110: Ukupna dodatna prilagodba vrednovanja navodi se samo u informativne svrhe jer se, zbog njezina raspoređivanja u dodatne prilagodbe vrednovanja za neizvjesnost tržišnih cijena, za troškove zatvaranja pozicija ili za rizik modela, ona uključuje u odgovarajuću stavku dodatnih prilagodbi vrednovanja na razini kategorije nakon što se uzmu u obzir koristi diversifikacije. </w:t>
            </w:r>
          </w:p>
          <w:p w14:paraId="3D381B09" w14:textId="7FA657FD" w:rsidR="00973707" w:rsidRPr="00A30C4C" w:rsidRDefault="00973707" w:rsidP="00127986">
            <w:pPr>
              <w:spacing w:beforeLines="60" w:before="144" w:afterLines="60" w:after="144"/>
              <w:rPr>
                <w:rFonts w:ascii="Times New Roman" w:hAnsi="Times New Roman"/>
                <w:sz w:val="24"/>
              </w:rPr>
            </w:pPr>
            <w:r>
              <w:rPr>
                <w:rFonts w:ascii="Times New Roman" w:hAnsi="Times New Roman"/>
                <w:sz w:val="24"/>
              </w:rPr>
              <w:t>Stupci 0130 i 0140: apsolutna vrijednost imovine i obveza po fer vrijednosti uključene u opseg izračuna dodatnih prilagodbi vrednovanja za troškove investiranja i financiranja. Za potrebe izračuna ove dodatne prilagodbe vrednovanja, suprotne pozicije imovine i obveza po fer vrijednosti koje se u potpunosti podudaraju isključene iz izračuna praga u skladu s člankom 4. stavkom 2. Delegirane uredbe (EU) 2016/101 više se ne smatraju suprotnim pozicijama koje se u potpunosti podudaraju.</w:t>
            </w:r>
          </w:p>
        </w:tc>
      </w:tr>
      <w:tr w:rsidR="00973707" w:rsidRPr="00A30C4C" w14:paraId="35A14394" w14:textId="77777777" w:rsidTr="00672D2A">
        <w:tc>
          <w:tcPr>
            <w:tcW w:w="1101" w:type="dxa"/>
          </w:tcPr>
          <w:p w14:paraId="2D34F8E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643E98B4"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VRIJEDNOST DODATNE PRILAGODBE VREDNOVANJA ZA KOJU SE PROCJENJUJE DA IZNOSI NULA U SKLADU S ČLANKOM 9. STAVKOM 2.</w:t>
            </w:r>
            <w:r>
              <w:rPr>
                <w:rFonts w:ascii="Times New Roman" w:hAnsi="Times New Roman"/>
                <w:b/>
                <w:caps/>
                <w:sz w:val="24"/>
              </w:rPr>
              <w:t xml:space="preserve"> Delegirane uredbe (EU) 2016/101</w:t>
            </w:r>
          </w:p>
          <w:p w14:paraId="50750DDA" w14:textId="60CF38F3"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Apsolutna vrijednost imovine i obveza po fer vrijednosti koje odgovaraju izloženostima vrednovanja za koje se procjenjuje da vrijednost dodatne prilagodbe vrednovanja iznosi nula u skladu s člankom 9. stavkom 2. Delegirane uredbe (EU) 2016/101. </w:t>
            </w:r>
          </w:p>
        </w:tc>
      </w:tr>
      <w:tr w:rsidR="00973707" w:rsidRPr="00A30C4C" w14:paraId="510BD45A" w14:textId="77777777" w:rsidTr="00672D2A">
        <w:tc>
          <w:tcPr>
            <w:tcW w:w="1101" w:type="dxa"/>
          </w:tcPr>
          <w:p w14:paraId="06AA6760"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24C82D9" w14:textId="12B2813B"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OD ČEGA: VRIJEDNOST DODATNE PRILAGODBE VREDNOVANJA ZA KOJU SE PROCJENJUJE DA IZNOSI NULA U SKLADU S ČLANKOM 10. STAVCIMA 2. I 3.</w:t>
            </w:r>
            <w:r>
              <w:rPr>
                <w:rFonts w:ascii="Times New Roman" w:hAnsi="Times New Roman"/>
                <w:b/>
                <w:caps/>
                <w:sz w:val="24"/>
              </w:rPr>
              <w:t xml:space="preserve"> Delegirane uredbe (EU) 2016/101</w:t>
            </w:r>
          </w:p>
          <w:p w14:paraId="5C44A8C7" w14:textId="770D8BE7"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Apsolutna vrijednost imovine i obveza po fer vrijednosti koje odgovaraju izloženostima vrednovanja za koje se procjenjuje da vrijednost dodatne prilagodbe vrednovanja iznosi nula u skladu s člankom 10. stavkom 2. ili člankom 10. stavkom 3. Delegirane uredbe (EU) 2016/101.</w:t>
            </w:r>
          </w:p>
        </w:tc>
      </w:tr>
      <w:tr w:rsidR="00973707" w:rsidRPr="00A30C4C" w14:paraId="2A570775" w14:textId="77777777" w:rsidTr="00672D2A">
        <w:tc>
          <w:tcPr>
            <w:tcW w:w="1101" w:type="dxa"/>
          </w:tcPr>
          <w:p w14:paraId="4DDE566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5A5F28D"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KAMATNI RIZIK</w:t>
            </w:r>
          </w:p>
        </w:tc>
      </w:tr>
      <w:tr w:rsidR="00AF3D7A" w:rsidRPr="00A30C4C" w14:paraId="02D801FD" w14:textId="77777777" w:rsidTr="00672D2A">
        <w:tc>
          <w:tcPr>
            <w:tcW w:w="1101" w:type="dxa"/>
          </w:tcPr>
          <w:p w14:paraId="67C5CD1F" w14:textId="77777777" w:rsidR="00AF3D7A"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87" w:type="dxa"/>
          </w:tcPr>
          <w:p w14:paraId="2A5B1241" w14:textId="77777777" w:rsidR="00AF3D7A" w:rsidRPr="00A30C4C"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VALUTNI RIZIK</w:t>
            </w:r>
          </w:p>
        </w:tc>
      </w:tr>
      <w:tr w:rsidR="00AF3D7A" w:rsidRPr="00A30C4C" w14:paraId="57F104B5" w14:textId="77777777" w:rsidTr="00672D2A">
        <w:tc>
          <w:tcPr>
            <w:tcW w:w="1101" w:type="dxa"/>
          </w:tcPr>
          <w:p w14:paraId="33D0E721" w14:textId="77777777" w:rsidR="00AF3D7A" w:rsidRPr="00A30C4C"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703FBAE0" w14:textId="77777777" w:rsidR="00AF3D7A" w:rsidRPr="00A30C4C"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KREDITNI RIZIK</w:t>
            </w:r>
          </w:p>
        </w:tc>
      </w:tr>
      <w:tr w:rsidR="00AF3D7A" w:rsidRPr="00A30C4C" w14:paraId="541FE3D7" w14:textId="77777777" w:rsidTr="00672D2A">
        <w:tc>
          <w:tcPr>
            <w:tcW w:w="1101" w:type="dxa"/>
          </w:tcPr>
          <w:p w14:paraId="544E6BCB" w14:textId="77777777" w:rsidR="00AF3D7A" w:rsidRPr="00A30C4C"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5F8A34FE" w14:textId="77777777" w:rsidR="00AF3D7A" w:rsidRPr="00A30C4C"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RIZIK VLASNIČKIH INSTRUMENATA</w:t>
            </w:r>
          </w:p>
        </w:tc>
      </w:tr>
      <w:tr w:rsidR="00973707" w:rsidRPr="00A30C4C" w14:paraId="4E2CC4F8" w14:textId="77777777" w:rsidTr="00672D2A">
        <w:tc>
          <w:tcPr>
            <w:tcW w:w="1101" w:type="dxa"/>
          </w:tcPr>
          <w:p w14:paraId="66749AB3"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225FBEF0"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ROBNI RIZIK</w:t>
            </w:r>
          </w:p>
        </w:tc>
      </w:tr>
      <w:tr w:rsidR="00973707" w:rsidRPr="00A30C4C" w14:paraId="4C68EC7C" w14:textId="77777777" w:rsidTr="00672D2A">
        <w:tc>
          <w:tcPr>
            <w:tcW w:w="1101" w:type="dxa"/>
          </w:tcPr>
          <w:p w14:paraId="268D386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12B8DCB9"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Koristi diversifikacije</w:t>
            </w:r>
          </w:p>
          <w:p w14:paraId="58F865D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Ukupna korist diversifikacije. Zbroj stupaca 0150 i 0160.</w:t>
            </w:r>
          </w:p>
        </w:tc>
      </w:tr>
      <w:tr w:rsidR="00973707" w:rsidRPr="00A30C4C" w14:paraId="18A6928D" w14:textId="77777777" w:rsidTr="00672D2A">
        <w:tc>
          <w:tcPr>
            <w:tcW w:w="1101" w:type="dxa"/>
          </w:tcPr>
          <w:p w14:paraId="70452E08"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03D2B5"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Korist diversifikacije izračunana primjenom metode 1</w:t>
            </w:r>
          </w:p>
          <w:p w14:paraId="12B72F84" w14:textId="4963AC60"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Za kategorije dodatnih prilagodbi vrednovanja agregiranih primjenom metode 1 u skladu s člankom 9. stavkom 6., člankom 10. stavkom 7. i člankom 11. stavkom 6. Delegirane uredbe (EU) 2016/101, razlika između zbroja pojedinačnih dodatnih prilagodbi vrednovanja i ukupne dodatne prilagodbe vrednovanja na razini kategorije nakon prilagodbe zbog agregiranja.</w:t>
            </w:r>
          </w:p>
        </w:tc>
      </w:tr>
      <w:tr w:rsidR="00973707" w:rsidRPr="00A30C4C" w14:paraId="04EB1DCD" w14:textId="77777777" w:rsidTr="00672D2A">
        <w:tc>
          <w:tcPr>
            <w:tcW w:w="1101" w:type="dxa"/>
          </w:tcPr>
          <w:p w14:paraId="4950FC8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2F4573A"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Korist diversifikacije izračunana primjenom metode 2</w:t>
            </w:r>
          </w:p>
          <w:p w14:paraId="32C32EE7" w14:textId="10F4F7A9"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Za kategorije dodatnih prilagodbi vrednovanja agregiranih primjenom metode 2 u skladu s člankom 9. stavkom 6., člankom 10. stavkom 7. i člankom 11. stavkom 6. Delegirane uredbe (EU) 2016/101, razlika između zbroja pojedinačnih dodatnih prilagodbi vrednovanja i ukupne dodatne prilagodbe vrednovanja na razini kategorije nakon prilagodbe zbog agregiranja.</w:t>
            </w:r>
          </w:p>
        </w:tc>
      </w:tr>
      <w:tr w:rsidR="00973707" w:rsidRPr="00A30C4C" w14:paraId="092A867D" w14:textId="77777777" w:rsidTr="00672D2A">
        <w:tc>
          <w:tcPr>
            <w:tcW w:w="1101" w:type="dxa"/>
          </w:tcPr>
          <w:p w14:paraId="4AE2F8B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006B997D"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1.1.2.2.* Bilješka: dodatne prilagodbe vrednovanja prije primjene diversifikacije umanjene za više od 90 % na temelju diversifikacije uz primjenu metode 2 </w:t>
            </w:r>
          </w:p>
          <w:p w14:paraId="3AEBF533" w14:textId="77777777" w:rsidR="00973707" w:rsidRPr="00A30C4C" w:rsidRDefault="00973707" w:rsidP="00DD41BE">
            <w:pPr>
              <w:spacing w:beforeLines="60" w:before="144" w:afterLines="60" w:after="144"/>
              <w:rPr>
                <w:rFonts w:ascii="Times New Roman" w:hAnsi="Times New Roman"/>
                <w:sz w:val="24"/>
              </w:rPr>
            </w:pPr>
            <w:r>
              <w:rPr>
                <w:rFonts w:ascii="Times New Roman" w:hAnsi="Times New Roman"/>
                <w:sz w:val="24"/>
              </w:rPr>
              <w:t>U skladu s terminologijom metode 2 zbroj FV – PV za sve izloženosti vrednovanja za koje je APVA &lt; 10 % (FV – PV).</w:t>
            </w:r>
          </w:p>
        </w:tc>
      </w:tr>
      <w:tr w:rsidR="00973707" w:rsidRPr="00A30C4C" w14:paraId="1E1D23C9" w14:textId="77777777" w:rsidTr="00672D2A">
        <w:tc>
          <w:tcPr>
            <w:tcW w:w="1101" w:type="dxa"/>
          </w:tcPr>
          <w:p w14:paraId="3F762A00"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33360B81"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 Portfelji izračunani u skladu sa zamjenskim pristupom </w:t>
            </w:r>
          </w:p>
          <w:p w14:paraId="3B6434F9" w14:textId="19E55E3B" w:rsidR="00973707" w:rsidRPr="00A30C4C" w:rsidRDefault="002F78EA" w:rsidP="00AF3D7A">
            <w:pPr>
              <w:spacing w:beforeLines="60" w:before="144" w:afterLines="60" w:after="144"/>
              <w:rPr>
                <w:rFonts w:ascii="Times New Roman" w:hAnsi="Times New Roman"/>
                <w:sz w:val="24"/>
              </w:rPr>
            </w:pPr>
            <w:r>
              <w:rPr>
                <w:rFonts w:ascii="Times New Roman" w:hAnsi="Times New Roman"/>
                <w:sz w:val="24"/>
              </w:rPr>
              <w:t>Članak 7. stavak 2. točka (b) Delegirane uredbe (EU) 2016/101.</w:t>
            </w:r>
          </w:p>
          <w:p w14:paraId="0E50F785" w14:textId="32BAFA8B"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Kad je riječ o portfeljima na koje se primjenjuje zamjenski pristup u skladu s člankom 7. stavkom 2. točkom (b) Delegirane uredbe (EU) 2016/101, ukupna dodatna prilagodba vrednovanja izračunava se kao zbroj redaka 0190, 0200 i 0210. </w:t>
            </w:r>
          </w:p>
          <w:p w14:paraId="53347298" w14:textId="6FCE279A"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Relevantne informacije o bilanci i ostale kontekstualne informacije navode se u stupcima 0130-0260.   Opis pozicija i objašnjenje zbog čega se nisu mogli primijeniti članci od 9. do 17. Delegirane uredbe (EU) 2016/101 navode se u stupcu 0270. </w:t>
            </w:r>
          </w:p>
        </w:tc>
      </w:tr>
      <w:tr w:rsidR="00973707" w:rsidRPr="00A30C4C" w14:paraId="4232FEB6" w14:textId="77777777" w:rsidTr="00672D2A">
        <w:tc>
          <w:tcPr>
            <w:tcW w:w="1101" w:type="dxa"/>
          </w:tcPr>
          <w:p w14:paraId="5EF2A571"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1DC1CE93"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Zamjenski pristup; 100 % iznosa nerealizirane dobiti</w:t>
            </w:r>
          </w:p>
          <w:p w14:paraId="2F1E8DCF" w14:textId="3696BE81" w:rsidR="00973707" w:rsidRPr="00A30C4C" w:rsidRDefault="002F78EA" w:rsidP="00A30C4C">
            <w:pPr>
              <w:spacing w:beforeLines="60" w:before="144" w:afterLines="60" w:after="144"/>
              <w:rPr>
                <w:rFonts w:ascii="Times New Roman" w:hAnsi="Times New Roman"/>
                <w:sz w:val="24"/>
              </w:rPr>
            </w:pPr>
            <w:r>
              <w:rPr>
                <w:rFonts w:ascii="Times New Roman" w:hAnsi="Times New Roman"/>
                <w:sz w:val="24"/>
              </w:rPr>
              <w:t xml:space="preserve">Članak 7. stavak 2. točka (b) </w:t>
            </w:r>
            <w:proofErr w:type="spellStart"/>
            <w:r>
              <w:rPr>
                <w:rFonts w:ascii="Times New Roman" w:hAnsi="Times New Roman"/>
                <w:sz w:val="24"/>
              </w:rPr>
              <w:t>podtočka</w:t>
            </w:r>
            <w:proofErr w:type="spellEnd"/>
            <w:r>
              <w:rPr>
                <w:rFonts w:ascii="Times New Roman" w:hAnsi="Times New Roman"/>
                <w:sz w:val="24"/>
              </w:rPr>
              <w:t xml:space="preserve"> i. Delegirane uredbe (EU) 2016/101.</w:t>
            </w:r>
          </w:p>
        </w:tc>
      </w:tr>
      <w:tr w:rsidR="00973707" w:rsidRPr="00A30C4C" w14:paraId="709A9A24" w14:textId="77777777" w:rsidTr="00672D2A">
        <w:tc>
          <w:tcPr>
            <w:tcW w:w="1101" w:type="dxa"/>
          </w:tcPr>
          <w:p w14:paraId="3962750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112FFFAF"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Zamjenski pristup; 10 % zamišljene vrijednosti</w:t>
            </w:r>
          </w:p>
          <w:p w14:paraId="79709F42" w14:textId="09C53D0E" w:rsidR="00973707" w:rsidRPr="00A30C4C" w:rsidRDefault="002F78EA" w:rsidP="00A30C4C">
            <w:pPr>
              <w:spacing w:beforeLines="60" w:before="144" w:afterLines="60" w:after="144"/>
              <w:rPr>
                <w:rFonts w:ascii="Times New Roman" w:hAnsi="Times New Roman"/>
                <w:sz w:val="24"/>
              </w:rPr>
            </w:pPr>
            <w:r>
              <w:rPr>
                <w:rFonts w:ascii="Times New Roman" w:hAnsi="Times New Roman"/>
                <w:sz w:val="24"/>
              </w:rPr>
              <w:t xml:space="preserve">Članak 7. stavak 2. točka (b) </w:t>
            </w:r>
            <w:proofErr w:type="spellStart"/>
            <w:r>
              <w:rPr>
                <w:rFonts w:ascii="Times New Roman" w:hAnsi="Times New Roman"/>
                <w:sz w:val="24"/>
              </w:rPr>
              <w:t>podtočka</w:t>
            </w:r>
            <w:proofErr w:type="spellEnd"/>
            <w:r>
              <w:rPr>
                <w:rFonts w:ascii="Times New Roman" w:hAnsi="Times New Roman"/>
                <w:sz w:val="24"/>
              </w:rPr>
              <w:t xml:space="preserve"> ii. Delegirane uredbe (EU) 2016/101.</w:t>
            </w:r>
          </w:p>
        </w:tc>
      </w:tr>
      <w:tr w:rsidR="00973707" w:rsidRPr="00A30C4C" w14:paraId="04DD8504" w14:textId="77777777" w:rsidTr="00672D2A">
        <w:tc>
          <w:tcPr>
            <w:tcW w:w="1101" w:type="dxa"/>
          </w:tcPr>
          <w:p w14:paraId="761837F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1A27ACF7"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 xml:space="preserve">1.2.3. Zamjenski pristup; 25 % početne vrijednosti </w:t>
            </w:r>
          </w:p>
          <w:p w14:paraId="7F23360D" w14:textId="211E055A" w:rsidR="00973707" w:rsidRPr="00A30C4C" w:rsidRDefault="002F78EA" w:rsidP="00A30C4C">
            <w:pPr>
              <w:spacing w:beforeLines="60" w:before="144" w:afterLines="60" w:after="144"/>
              <w:rPr>
                <w:rFonts w:ascii="Times New Roman" w:hAnsi="Times New Roman"/>
                <w:sz w:val="24"/>
              </w:rPr>
            </w:pPr>
            <w:r>
              <w:rPr>
                <w:rFonts w:ascii="Times New Roman" w:hAnsi="Times New Roman"/>
                <w:sz w:val="24"/>
              </w:rPr>
              <w:t xml:space="preserve">Članak 7. stavak 2. točka (b) </w:t>
            </w:r>
            <w:proofErr w:type="spellStart"/>
            <w:r>
              <w:rPr>
                <w:rFonts w:ascii="Times New Roman" w:hAnsi="Times New Roman"/>
                <w:sz w:val="24"/>
              </w:rPr>
              <w:t>podtočka</w:t>
            </w:r>
            <w:proofErr w:type="spellEnd"/>
            <w:r>
              <w:rPr>
                <w:rFonts w:ascii="Times New Roman" w:hAnsi="Times New Roman"/>
                <w:sz w:val="24"/>
              </w:rPr>
              <w:t xml:space="preserve"> iii. Delegirane uredbe (EU) 2016/101.</w:t>
            </w:r>
          </w:p>
        </w:tc>
      </w:tr>
    </w:tbl>
    <w:p w14:paraId="41449A55" w14:textId="77777777" w:rsidR="00973707" w:rsidRPr="00A30C4C" w:rsidRDefault="00973707" w:rsidP="00C61FF5">
      <w:pPr>
        <w:rPr>
          <w:rStyle w:val="InstructionsTabelleText"/>
          <w:rFonts w:ascii="Times New Roman" w:hAnsi="Times New Roman"/>
          <w:sz w:val="24"/>
        </w:rPr>
      </w:pPr>
    </w:p>
    <w:p w14:paraId="7FE18B56" w14:textId="77777777" w:rsidR="00B93FA1" w:rsidRPr="00A30C4C" w:rsidRDefault="00AF3D7A" w:rsidP="00B93FA1">
      <w:pPr>
        <w:pStyle w:val="Instructionsberschrift2"/>
        <w:numPr>
          <w:ilvl w:val="0"/>
          <w:numId w:val="0"/>
        </w:numPr>
        <w:ind w:left="357" w:hanging="357"/>
        <w:rPr>
          <w:rFonts w:ascii="Times New Roman" w:hAnsi="Times New Roman"/>
          <w:sz w:val="24"/>
          <w:u w:val="none"/>
        </w:rPr>
      </w:pPr>
      <w:bookmarkStart w:id="655" w:name="_Toc30677733"/>
      <w:r>
        <w:rPr>
          <w:rFonts w:ascii="Times New Roman" w:hAnsi="Times New Roman"/>
          <w:sz w:val="24"/>
          <w:u w:val="none"/>
        </w:rPr>
        <w:t xml:space="preserve">6.3. </w:t>
      </w:r>
      <w:r>
        <w:rPr>
          <w:rFonts w:ascii="Times New Roman" w:hAnsi="Times New Roman"/>
          <w:sz w:val="24"/>
        </w:rPr>
        <w:t>C 32.03 – Bonitetno vrednovanje Dodatna prilagodba vrednovanja za rizik modela (</w:t>
      </w:r>
      <w:proofErr w:type="spellStart"/>
      <w:r>
        <w:rPr>
          <w:rFonts w:ascii="Times New Roman" w:hAnsi="Times New Roman"/>
          <w:sz w:val="24"/>
        </w:rPr>
        <w:t>PruVal</w:t>
      </w:r>
      <w:proofErr w:type="spellEnd"/>
      <w:r>
        <w:rPr>
          <w:rFonts w:ascii="Times New Roman" w:hAnsi="Times New Roman"/>
          <w:sz w:val="24"/>
        </w:rPr>
        <w:t xml:space="preserve"> 3)</w:t>
      </w:r>
      <w:bookmarkEnd w:id="655"/>
    </w:p>
    <w:p w14:paraId="0AAB67FE"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6" w:name="_Toc30677734"/>
      <w:r>
        <w:rPr>
          <w:rFonts w:ascii="Times New Roman" w:hAnsi="Times New Roman"/>
          <w:sz w:val="24"/>
          <w:u w:val="none"/>
        </w:rPr>
        <w:t>6.3.1.</w:t>
      </w:r>
      <w:r>
        <w:rPr>
          <w:rFonts w:ascii="Times New Roman" w:hAnsi="Times New Roman"/>
          <w:sz w:val="24"/>
          <w:u w:val="none"/>
        </w:rPr>
        <w:tab/>
      </w:r>
      <w:r>
        <w:rPr>
          <w:rFonts w:ascii="Times New Roman" w:hAnsi="Times New Roman"/>
          <w:sz w:val="24"/>
        </w:rPr>
        <w:t>Opće napomene</w:t>
      </w:r>
      <w:bookmarkEnd w:id="656"/>
      <w:r>
        <w:rPr>
          <w:rFonts w:ascii="Times New Roman" w:hAnsi="Times New Roman"/>
          <w:sz w:val="24"/>
          <w:u w:val="none"/>
        </w:rPr>
        <w:t xml:space="preserve"> </w:t>
      </w:r>
    </w:p>
    <w:p w14:paraId="6CC13797" w14:textId="3ECFF58A" w:rsidR="00AF3D7A" w:rsidRPr="00A30C4C" w:rsidRDefault="00AF3D7A" w:rsidP="001A3980">
      <w:pPr>
        <w:pStyle w:val="InstructionsText2"/>
        <w:numPr>
          <w:ilvl w:val="0"/>
          <w:numId w:val="0"/>
        </w:numPr>
        <w:ind w:left="993"/>
      </w:pPr>
      <w:r>
        <w:t>154f. Ovaj obrazac popunjavaju samo institucije koje na pojedinačnoj razini premašuju prag iz članka 4. stavka 1. Delegirane uredbe (EU) 2016/101. Institucije koje su dio grupe koja na konsolidiranoj osnovi premašuje prag moraju izvješćivati u ovom obrascu samo ako i one na pojedinačnoj razini premašuju prag.</w:t>
      </w:r>
    </w:p>
    <w:p w14:paraId="4B7E7E29" w14:textId="2FBEDE54" w:rsidR="00AF3D7A" w:rsidRPr="00A30C4C" w:rsidRDefault="00AF3D7A" w:rsidP="001A3980">
      <w:pPr>
        <w:pStyle w:val="InstructionsText2"/>
        <w:numPr>
          <w:ilvl w:val="0"/>
          <w:numId w:val="0"/>
        </w:numPr>
        <w:ind w:left="993"/>
      </w:pPr>
      <w:r>
        <w:t>154g. Ovaj se obrazac koristi za izvješćivanje o 20 najvećih pojedinačnih dodatnih prilagodbi vrednovanja za rizik modela u pogledu iznosa dodatne prilagodbe vrednovanja koje pridonose ukupnoj dodatnoj prilagodbi vrednovanja na razini kategorije za rizik modela izračunanoj u skladu s člankom 11. Delegirane uredbe (EU) 2016/101. Te informacije odgovaraju informacijama iskazanima u stupcu 0050 iz obrasca C 32.02.</w:t>
      </w:r>
    </w:p>
    <w:p w14:paraId="4EBAD0B9" w14:textId="77777777" w:rsidR="00AF3D7A" w:rsidRPr="00A30C4C" w:rsidRDefault="00AF3D7A" w:rsidP="001A3980">
      <w:pPr>
        <w:pStyle w:val="InstructionsText2"/>
        <w:numPr>
          <w:ilvl w:val="0"/>
          <w:numId w:val="0"/>
        </w:numPr>
        <w:ind w:left="993"/>
      </w:pPr>
      <w:r>
        <w:t xml:space="preserve">154h. 20 najvećih pojedinačnih dodatnih prilagodbi vrednovanja za rizik modela i odgovarajuće informacije o proizvodima iskazuju se padajućim slijedom počevši od najveće pojedinačne dodatne prilagodbe vrednovanja za rizik modela.   </w:t>
      </w:r>
    </w:p>
    <w:p w14:paraId="6FE61D46" w14:textId="65B3357F" w:rsidR="00AF3D7A" w:rsidRPr="00A30C4C" w:rsidRDefault="00AF3D7A" w:rsidP="001A3980">
      <w:pPr>
        <w:pStyle w:val="InstructionsText2"/>
        <w:numPr>
          <w:ilvl w:val="0"/>
          <w:numId w:val="0"/>
        </w:numPr>
        <w:ind w:left="993"/>
      </w:pPr>
      <w:r>
        <w:t xml:space="preserve">154i. Proizvodi koji odgovaraju tim najvećim pojedinačnim dodatnim prilagodbama vrednovanja za rizik modela iskazuju se upotrebom popisa proizvoda koji se propisuje člankom 19. stavkom 3. točkom (a) Delegirane uredbe (EU) 2016/101. </w:t>
      </w:r>
    </w:p>
    <w:p w14:paraId="69FDFEFD" w14:textId="77777777" w:rsidR="00AF3D7A" w:rsidRPr="00A30C4C" w:rsidRDefault="00113E45" w:rsidP="001A3980">
      <w:pPr>
        <w:pStyle w:val="InstructionsText2"/>
        <w:numPr>
          <w:ilvl w:val="0"/>
          <w:numId w:val="0"/>
        </w:numPr>
        <w:ind w:left="993"/>
      </w:pPr>
      <w:r>
        <w:t xml:space="preserve">154j. Ako su proizvodi dovoljno homogeni u odnosu na model vrednovanja i dodatnu prilagodbu vrednovanja za model rizika, oni se povezuju i prikazuju u jednoj stavci kako bi se u ovom obrascu u najvećoj mjeri obuhvatila ukupna dodatna prilagodba na razini kategorije za rizik modela koja se odnosi na pojedinu instituciju.   </w:t>
      </w:r>
    </w:p>
    <w:p w14:paraId="502C13CA"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rPr>
      </w:pPr>
      <w:bookmarkStart w:id="657" w:name="_Toc30677735"/>
      <w:r>
        <w:rPr>
          <w:rFonts w:ascii="Times New Roman" w:hAnsi="Times New Roman"/>
          <w:sz w:val="24"/>
          <w:u w:val="none"/>
        </w:rPr>
        <w:t>6.3.2.</w:t>
      </w:r>
      <w:r>
        <w:rPr>
          <w:rFonts w:ascii="Times New Roman" w:hAnsi="Times New Roman"/>
          <w:sz w:val="24"/>
          <w:u w:val="none"/>
        </w:rPr>
        <w:tab/>
      </w:r>
      <w:r>
        <w:rPr>
          <w:rFonts w:ascii="Times New Roman" w:hAnsi="Times New Roman"/>
          <w:sz w:val="24"/>
        </w:rPr>
        <w:t>Upute za specifične pozicije</w:t>
      </w:r>
      <w:bookmarkEnd w:id="65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A30C4C" w14:paraId="0AB661FA" w14:textId="77777777" w:rsidTr="00672D2A">
        <w:tc>
          <w:tcPr>
            <w:tcW w:w="9322" w:type="dxa"/>
            <w:gridSpan w:val="2"/>
            <w:shd w:val="clear" w:color="auto" w:fill="CCCCCC"/>
          </w:tcPr>
          <w:p w14:paraId="46000B18" w14:textId="77777777" w:rsidR="00113E45" w:rsidRPr="00A30C4C" w:rsidRDefault="00113E45" w:rsidP="00E60B53">
            <w:pPr>
              <w:spacing w:beforeLines="60" w:before="144" w:afterLines="60" w:after="144"/>
              <w:rPr>
                <w:rFonts w:ascii="Times New Roman" w:hAnsi="Times New Roman"/>
                <w:b/>
                <w:sz w:val="24"/>
              </w:rPr>
            </w:pPr>
            <w:r>
              <w:rPr>
                <w:rFonts w:ascii="Times New Roman" w:hAnsi="Times New Roman"/>
                <w:b/>
                <w:sz w:val="24"/>
              </w:rPr>
              <w:t>Stupci</w:t>
            </w:r>
          </w:p>
        </w:tc>
      </w:tr>
      <w:tr w:rsidR="00113E45" w:rsidRPr="00A30C4C" w14:paraId="45A890B1" w14:textId="77777777" w:rsidTr="00672D2A">
        <w:tc>
          <w:tcPr>
            <w:tcW w:w="1101" w:type="dxa"/>
          </w:tcPr>
          <w:p w14:paraId="11D96786"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5C653FE4"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POREDAK</w:t>
            </w:r>
          </w:p>
          <w:p w14:paraId="33510138" w14:textId="2718236D" w:rsidR="00113E45" w:rsidRPr="00A30C4C" w:rsidRDefault="00113E45" w:rsidP="00133396">
            <w:pPr>
              <w:spacing w:beforeLines="60" w:before="144" w:afterLines="60" w:after="144"/>
              <w:rPr>
                <w:rFonts w:ascii="Times New Roman" w:hAnsi="Times New Roman"/>
                <w:b/>
                <w:sz w:val="24"/>
                <w:u w:val="single"/>
              </w:rPr>
            </w:pPr>
            <w:r>
              <w:rPr>
                <w:rFonts w:ascii="Times New Roman" w:hAnsi="Times New Roman"/>
                <w:sz w:val="24"/>
              </w:rPr>
              <w:lastRenderedPageBreak/>
              <w:t xml:space="preserve">Poredak je identifikator retka i jedinstven je za svaki redak u obrascu. On slijedi numerički redoslijed 1, 2, 3 itd. pri čemu se 1 dodjeljuje najvećoj pojedinačnoj dodatnoj prilagodbi vrednovanja za rizik modela, 2 drugoj po veličini i tako dalje. </w:t>
            </w:r>
          </w:p>
        </w:tc>
      </w:tr>
      <w:tr w:rsidR="00113E45" w:rsidRPr="00A30C4C" w14:paraId="1AD80148" w14:textId="77777777" w:rsidTr="00672D2A">
        <w:tc>
          <w:tcPr>
            <w:tcW w:w="1101" w:type="dxa"/>
          </w:tcPr>
          <w:p w14:paraId="6EC3BDD9"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0010</w:t>
            </w:r>
          </w:p>
        </w:tc>
        <w:tc>
          <w:tcPr>
            <w:tcW w:w="8221" w:type="dxa"/>
          </w:tcPr>
          <w:p w14:paraId="66572F15"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39B61F35"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sz w:val="24"/>
              </w:rPr>
              <w:t xml:space="preserve">Interni naziv (alfanumerički) modela koji institucija koristi za identifikaciju modela. </w:t>
            </w:r>
          </w:p>
        </w:tc>
      </w:tr>
      <w:tr w:rsidR="00113E45" w:rsidRPr="00A30C4C" w14:paraId="61B4C079" w14:textId="77777777" w:rsidTr="00672D2A">
        <w:tc>
          <w:tcPr>
            <w:tcW w:w="1101" w:type="dxa"/>
          </w:tcPr>
          <w:p w14:paraId="6BB5F68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EBE9A6A"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RIZIKA</w:t>
            </w:r>
          </w:p>
          <w:p w14:paraId="3136AF8C"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Kategorija rizika (kamatni, tečajni i kreditni rizik, rizik vlasničkih instrumenata, robni rizik) koja najprikladnije obilježava proizvod ili skupinu proizvoda koji dovode do prilagodbe vrednovanja za rizik modela.</w:t>
            </w:r>
          </w:p>
          <w:p w14:paraId="19F95BF0"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Institucije iskazuju sljedeće oznake:</w:t>
            </w:r>
          </w:p>
          <w:p w14:paraId="0E48C402"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IR – kamatni rizik</w:t>
            </w:r>
          </w:p>
          <w:p w14:paraId="18942E96" w14:textId="77777777" w:rsidR="00A74B40" w:rsidRPr="00A30C4C" w:rsidRDefault="00A74B40" w:rsidP="00E60B53">
            <w:pPr>
              <w:spacing w:beforeLines="60" w:before="144" w:afterLines="60" w:after="144"/>
              <w:rPr>
                <w:rFonts w:ascii="Times New Roman" w:hAnsi="Times New Roman"/>
                <w:sz w:val="24"/>
              </w:rPr>
            </w:pPr>
            <w:r>
              <w:rPr>
                <w:rFonts w:ascii="Times New Roman" w:hAnsi="Times New Roman"/>
                <w:sz w:val="24"/>
              </w:rPr>
              <w:t>FX – valutni rizik</w:t>
            </w:r>
          </w:p>
          <w:p w14:paraId="07CBEA44"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CR – kreditni rizik</w:t>
            </w:r>
          </w:p>
          <w:p w14:paraId="34E6E7E7"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EQ – rizik vlasničkih instrumenata</w:t>
            </w:r>
          </w:p>
          <w:p w14:paraId="195B6169" w14:textId="77777777" w:rsidR="00113E45" w:rsidRPr="00A30C4C" w:rsidRDefault="00113E45" w:rsidP="00A74B40">
            <w:pPr>
              <w:spacing w:beforeLines="60" w:before="144" w:afterLines="60" w:after="144"/>
              <w:rPr>
                <w:rFonts w:ascii="Times New Roman" w:hAnsi="Times New Roman"/>
                <w:sz w:val="24"/>
              </w:rPr>
            </w:pPr>
            <w:r>
              <w:rPr>
                <w:rFonts w:ascii="Times New Roman" w:hAnsi="Times New Roman"/>
                <w:sz w:val="24"/>
              </w:rPr>
              <w:t>CO – robni rizik</w:t>
            </w:r>
          </w:p>
        </w:tc>
      </w:tr>
      <w:tr w:rsidR="00113E45" w:rsidRPr="00A30C4C" w14:paraId="3E2DE61B" w14:textId="77777777" w:rsidTr="00672D2A">
        <w:tc>
          <w:tcPr>
            <w:tcW w:w="1101" w:type="dxa"/>
          </w:tcPr>
          <w:p w14:paraId="6E48DF29"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CA615BC"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PROIZVOD</w:t>
            </w:r>
          </w:p>
          <w:p w14:paraId="0A9CD898" w14:textId="35207F04" w:rsidR="00113E45" w:rsidRPr="00A30C4C" w:rsidRDefault="00113E45" w:rsidP="004B572C">
            <w:pPr>
              <w:spacing w:beforeLines="60" w:before="144" w:afterLines="60" w:after="144"/>
              <w:rPr>
                <w:rFonts w:ascii="Times New Roman" w:hAnsi="Times New Roman"/>
                <w:sz w:val="24"/>
              </w:rPr>
            </w:pPr>
            <w:r>
              <w:rPr>
                <w:rFonts w:ascii="Times New Roman" w:hAnsi="Times New Roman"/>
                <w:sz w:val="24"/>
              </w:rPr>
              <w:t>Interni naziv (alfanumerički) proizvoda ili skupine proizvoda u skladu s popisom proizvoda koji se propisuje člankom 19. stavkom 3. točkom (a) Delegirane uredbe (EU) 2016/101 koji se vrednuje upotrebom modela.</w:t>
            </w:r>
          </w:p>
        </w:tc>
      </w:tr>
      <w:tr w:rsidR="00113E45" w:rsidRPr="00A30C4C" w14:paraId="31840EB1" w14:textId="77777777" w:rsidTr="00672D2A">
        <w:tc>
          <w:tcPr>
            <w:tcW w:w="1101" w:type="dxa"/>
          </w:tcPr>
          <w:p w14:paraId="01E17E1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42AE070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ZABILJEŽENOST CIJENA</w:t>
            </w:r>
          </w:p>
          <w:p w14:paraId="294F6704" w14:textId="77777777" w:rsidR="00113E45" w:rsidRPr="00A30C4C" w:rsidRDefault="00113E45" w:rsidP="00E60B53">
            <w:pPr>
              <w:pStyle w:val="CommentText"/>
              <w:rPr>
                <w:rFonts w:ascii="Times New Roman" w:hAnsi="Times New Roman"/>
                <w:sz w:val="24"/>
                <w:szCs w:val="24"/>
              </w:rPr>
            </w:pPr>
            <w:r>
              <w:rPr>
                <w:rFonts w:ascii="Times New Roman" w:hAnsi="Times New Roman"/>
                <w:sz w:val="24"/>
                <w:szCs w:val="24"/>
              </w:rPr>
              <w:t>Broj zabilježenih cijena proizvoda ili skupine proizvoda u zadnjih dvanaest mjeseci koje ispunjavaju jedan od sljedećih kriterija:</w:t>
            </w:r>
          </w:p>
          <w:p w14:paraId="662FD107" w14:textId="77777777" w:rsidR="00113E45" w:rsidRPr="00A30C4C"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zabilježena cijena jednaka je cijeni po kojoj je institucija izvršila transakciju</w:t>
            </w:r>
          </w:p>
          <w:p w14:paraId="5372EBCF" w14:textId="77777777" w:rsidR="00113E45" w:rsidRPr="00A30C4C"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riječ je o provjerljivoj cijeni transakcije između trećih strana</w:t>
            </w:r>
          </w:p>
          <w:p w14:paraId="7ACD3E1C" w14:textId="77777777" w:rsidR="00113E45" w:rsidRPr="00A30C4C"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cijena dobivena iz ugovorene kotacije.</w:t>
            </w:r>
          </w:p>
          <w:p w14:paraId="2ED4B72D" w14:textId="77777777" w:rsidR="00113E45" w:rsidRPr="00A30C4C"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Institucije iskazuju jednu od sljedećih vrijednosti: „nema vrijednosti”, „1–6”, „6–24”, „24–100”, „100+”.</w:t>
            </w:r>
          </w:p>
        </w:tc>
      </w:tr>
      <w:tr w:rsidR="00113E45" w:rsidRPr="00A30C4C" w14:paraId="75614A0E" w14:textId="77777777" w:rsidTr="00672D2A">
        <w:tc>
          <w:tcPr>
            <w:tcW w:w="1101" w:type="dxa"/>
          </w:tcPr>
          <w:p w14:paraId="323471DF"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21013C2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PRILAGODBA VREDNOVANJA ZA RIZIK MODELA</w:t>
            </w:r>
          </w:p>
          <w:p w14:paraId="476C4F5F" w14:textId="62D31670"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Članak 11. stavak 1.</w:t>
            </w:r>
            <w:r>
              <w:rPr>
                <w:rFonts w:ascii="Times New Roman" w:hAnsi="Times New Roman"/>
                <w:sz w:val="24"/>
              </w:rPr>
              <w:t xml:space="preserve"> Delegirane uredbe (EU) 2016/101.</w:t>
            </w:r>
          </w:p>
          <w:p w14:paraId="212DCEBF"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Pojedinačna dodatna prilagodba vrednovanja za rizik modela prije primjene koristi diversifikacije, ali nakon </w:t>
            </w:r>
            <w:proofErr w:type="spellStart"/>
            <w:r>
              <w:rPr>
                <w:rStyle w:val="InstructionsTabelleberschrift"/>
                <w:rFonts w:ascii="Times New Roman" w:hAnsi="Times New Roman"/>
                <w:b w:val="0"/>
                <w:sz w:val="24"/>
                <w:u w:val="none"/>
              </w:rPr>
              <w:t>netiranja</w:t>
            </w:r>
            <w:proofErr w:type="spellEnd"/>
            <w:r>
              <w:rPr>
                <w:rStyle w:val="InstructionsTabelleberschrift"/>
                <w:rFonts w:ascii="Times New Roman" w:hAnsi="Times New Roman"/>
                <w:b w:val="0"/>
                <w:sz w:val="24"/>
                <w:u w:val="none"/>
              </w:rPr>
              <w:t xml:space="preserve"> portfelja ako je relevantno.</w:t>
            </w:r>
          </w:p>
        </w:tc>
      </w:tr>
      <w:tr w:rsidR="00113E45" w:rsidRPr="00A30C4C" w14:paraId="34D2B07B" w14:textId="77777777" w:rsidTr="00672D2A">
        <w:tc>
          <w:tcPr>
            <w:tcW w:w="1101" w:type="dxa"/>
          </w:tcPr>
          <w:p w14:paraId="3062DEAB"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5C050908"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NA TEMELJU PRIMJENE PRISTUPA TEMELJENOG NA STRUČNOJ PROCJENI</w:t>
            </w:r>
          </w:p>
          <w:p w14:paraId="4838599D" w14:textId="3167AE8D" w:rsidR="00113E45" w:rsidRPr="00A30C4C"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lastRenderedPageBreak/>
              <w:t>Iznosi u stupcu 0050 izračunani u skladu s pristupom temeljenim na stručnoj procjeni iz članka 11. stavka 4. Delegirane uredbe (EU) 2016/101.</w:t>
            </w:r>
          </w:p>
        </w:tc>
      </w:tr>
      <w:tr w:rsidR="00113E45" w:rsidRPr="00A30C4C" w14:paraId="564B5801" w14:textId="77777777" w:rsidTr="00672D2A">
        <w:tc>
          <w:tcPr>
            <w:tcW w:w="1101" w:type="dxa"/>
          </w:tcPr>
          <w:p w14:paraId="11C92D5D"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0070</w:t>
            </w:r>
          </w:p>
        </w:tc>
        <w:tc>
          <w:tcPr>
            <w:tcW w:w="8221" w:type="dxa"/>
          </w:tcPr>
          <w:p w14:paraId="6DDDF19E"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AGREGIRANA NA TEMELJU PRIMJENE METODE 2</w:t>
            </w:r>
          </w:p>
          <w:p w14:paraId="768B3A5F" w14:textId="568424C7" w:rsidR="00113E45" w:rsidRPr="00A30C4C"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Iznosi u stupcu 0050 agregirani na temelju primjene metode 2 iz Priloga Delegiranoj uredbi (EU) 2016/101. U skladu s terminologijom iz Priloga ti iznosi odgovaraju FV – PV. </w:t>
            </w:r>
          </w:p>
        </w:tc>
      </w:tr>
      <w:tr w:rsidR="00113E45" w:rsidRPr="00A30C4C" w14:paraId="740FD50E" w14:textId="77777777" w:rsidTr="00672D2A">
        <w:tc>
          <w:tcPr>
            <w:tcW w:w="1101" w:type="dxa"/>
          </w:tcPr>
          <w:p w14:paraId="237C043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67B99FDE"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AGREGIRANA DODATNA PRILAGODBA VREDNOVANJA NA TEMELJU PRIMJENE METODE 2 </w:t>
            </w:r>
          </w:p>
          <w:p w14:paraId="57370035" w14:textId="4D671E63" w:rsidR="00113E45" w:rsidRPr="00A30C4C"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Doprinos pojedinačnih dodatnih prilagodbi vrednovanja za rizik modela agregiranih na temelju primjene metode 2 iz Priloga Delegiranoj uredbi (EU) 2016/101 ukupnoj dodatnoj prilagodbi vrednovanja na razini kategorije za rizik modela, kako je izračunano u skladu s člankom 11. stavkom 7. </w:t>
            </w:r>
            <w:r>
              <w:rPr>
                <w:rFonts w:ascii="Times New Roman" w:hAnsi="Times New Roman"/>
                <w:sz w:val="24"/>
              </w:rPr>
              <w:t>te uredbe</w:t>
            </w:r>
            <w:r>
              <w:rPr>
                <w:rStyle w:val="InstructionsTabelleberschrift"/>
                <w:rFonts w:ascii="Times New Roman" w:hAnsi="Times New Roman"/>
                <w:b w:val="0"/>
                <w:sz w:val="24"/>
                <w:u w:val="none"/>
              </w:rPr>
              <w:t xml:space="preserve">. </w:t>
            </w:r>
            <w:r>
              <w:rPr>
                <w:rFonts w:ascii="Times New Roman" w:hAnsi="Times New Roman"/>
                <w:sz w:val="24"/>
              </w:rPr>
              <w:t>U skladu s terminologijom iz Priloga taj iznos odgovara APVA-i.</w:t>
            </w:r>
          </w:p>
        </w:tc>
      </w:tr>
      <w:tr w:rsidR="00113E45" w:rsidRPr="00A30C4C" w14:paraId="4AC61342" w14:textId="77777777" w:rsidTr="00672D2A">
        <w:tc>
          <w:tcPr>
            <w:tcW w:w="1101" w:type="dxa"/>
          </w:tcPr>
          <w:p w14:paraId="1E6D783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0090 -0100</w:t>
            </w:r>
          </w:p>
        </w:tc>
        <w:tc>
          <w:tcPr>
            <w:tcW w:w="8221" w:type="dxa"/>
          </w:tcPr>
          <w:p w14:paraId="68A8BE4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I OBVEZE PO FER VRIJEDNOSTI</w:t>
            </w:r>
          </w:p>
          <w:p w14:paraId="2C977DE9"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Apsolutna vrijednost imovine i obveza po fer vrijednosti koje su vrednovane primjenom modela iskazana u stupcu 0010 kako je navedeno u financijskim izvještajima u skladu s primjenjivim računovodstvenim okvirom.   </w:t>
            </w:r>
          </w:p>
        </w:tc>
      </w:tr>
      <w:tr w:rsidR="00113E45" w:rsidRPr="00A30C4C" w14:paraId="6605E1EE" w14:textId="77777777" w:rsidTr="00672D2A">
        <w:tc>
          <w:tcPr>
            <w:tcW w:w="1101" w:type="dxa"/>
          </w:tcPr>
          <w:p w14:paraId="2BDDACFC"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242098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IMOVINA PO FER VRIJEDNOSTI</w:t>
            </w:r>
          </w:p>
          <w:p w14:paraId="6A73580D"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Apsolutna vrijednost imovine po fer vrijednosti koja je vrednovana primjenom modela iskazana u stupcu 0010 kako je navedeno u financijskim izvještajima u skladu s primjenjivim računovodstvenim okvirom</w:t>
            </w:r>
            <w:r>
              <w:rPr>
                <w:rStyle w:val="InstructionsTabelleberschrift"/>
                <w:rFonts w:ascii="Times New Roman" w:hAnsi="Times New Roman"/>
                <w:b w:val="0"/>
                <w:sz w:val="24"/>
                <w:u w:val="none"/>
              </w:rPr>
              <w:t>.</w:t>
            </w:r>
          </w:p>
        </w:tc>
      </w:tr>
      <w:tr w:rsidR="00113E45" w:rsidRPr="00A30C4C" w14:paraId="3D6980E8" w14:textId="77777777" w:rsidTr="00672D2A">
        <w:tc>
          <w:tcPr>
            <w:tcW w:w="1101" w:type="dxa"/>
          </w:tcPr>
          <w:p w14:paraId="0AB9674B"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05BC5715"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OBVEZE PO FER VRIJEDNOSTI</w:t>
            </w:r>
          </w:p>
          <w:p w14:paraId="256561E6"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Apsolutna vrijednost obveza po fer vrijednosti koje su vrednovane primjenom modela iskazana u stupcu 0010 kako je navedeno u financijskim izvještajima u skladu s primjenjivim računovodstvenim okvirom. </w:t>
            </w:r>
          </w:p>
        </w:tc>
      </w:tr>
      <w:tr w:rsidR="00113E45" w:rsidRPr="00A30C4C" w14:paraId="0F047089" w14:textId="77777777" w:rsidTr="00672D2A">
        <w:tc>
          <w:tcPr>
            <w:tcW w:w="1101" w:type="dxa"/>
          </w:tcPr>
          <w:p w14:paraId="138321A5"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28AE76DB"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NE TEMELJU NEOVISNE PROVJERE CIJENA (TESTIRANJE IZLAZNIH PARAMETARA)</w:t>
            </w:r>
          </w:p>
          <w:p w14:paraId="48128713" w14:textId="0805A9F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Zbroj iznosa neusklađenih razlika (razlika na temelju neovisne provjere cijena) izračunano na kraju mjeseca koji je najbliži izvještajnom datumu na temelju postupka neovisne provjere cijena provedene u skladu s člankom 105. stavkom 8. CRR-a, u vezi s najbolje dostupnim neovisnim podacima za odgovarajući proizvod ili skupinu proizvoda. </w:t>
            </w:r>
          </w:p>
          <w:p w14:paraId="09D4C3BD"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Iznosi neusklađenih razlika odnose se na neusklađene razlike između vrednovanja koji proizlaze iz sustava trgovanja i vrednovanja ocijenjenih tijekom postupka mjesečne neovisne provjere cijena.</w:t>
            </w:r>
          </w:p>
          <w:p w14:paraId="4265E959" w14:textId="77777777" w:rsidR="00113E45" w:rsidRPr="00A30C4C"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 izračun razlike na temelju neovisne provjere cijena ne uključuju se iznosi usklađenih razlika iz knjiga i evidencija institucije za relevantni datum na kraju mjeseca.  </w:t>
            </w:r>
          </w:p>
          <w:p w14:paraId="5AB5E44E"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Ovdje se uključuju samo rezultati koji su kalibrirani na temelju cijena instrumenata koje bi se rasporedile na isti proizvod (testiranje izlaznih parametara). Ne uključuju </w:t>
            </w:r>
            <w:r>
              <w:rPr>
                <w:rStyle w:val="InstructionsTabelleberschrift"/>
                <w:rFonts w:ascii="Times New Roman" w:hAnsi="Times New Roman"/>
                <w:b w:val="0"/>
                <w:sz w:val="24"/>
                <w:u w:val="none"/>
              </w:rPr>
              <w:lastRenderedPageBreak/>
              <w:t>se rezultati testiranja ulaznih parametara na temelju tržišnih ulaznih parametara koji se testiraju u odnosu na razine koje su kalibrirane na temelju različitih proizvoda.</w:t>
            </w:r>
          </w:p>
        </w:tc>
      </w:tr>
      <w:tr w:rsidR="00113E45" w:rsidRPr="00A30C4C" w14:paraId="10D769D8" w14:textId="77777777" w:rsidTr="00672D2A">
        <w:tc>
          <w:tcPr>
            <w:tcW w:w="1101" w:type="dxa"/>
          </w:tcPr>
          <w:p w14:paraId="385DF656"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07C00E6C" w14:textId="77777777" w:rsidR="00113E45" w:rsidRPr="00A30C4C"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OBUHVAĆENOST NEOVISNOM PROVJEROM CIJENA (TESTIRANJE IZLAZNIH PARAMETARA)</w:t>
            </w:r>
          </w:p>
          <w:p w14:paraId="6DF5FC28" w14:textId="77777777" w:rsidR="00113E45" w:rsidRPr="00A30C4C"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Postotak pozicija koje su raspoređen u model ponderiran dodatnom prilagodbom vrednovanja za model rizika koja je obuhvaćena rezultatima testiranja izlaznih parametara na temelju neovisne provjere cijena iskazanima u stupcu 0110.</w:t>
            </w:r>
          </w:p>
        </w:tc>
      </w:tr>
      <w:tr w:rsidR="00113E45" w:rsidRPr="00A30C4C" w14:paraId="10CCE332" w14:textId="77777777" w:rsidTr="00672D2A">
        <w:tc>
          <w:tcPr>
            <w:tcW w:w="1101" w:type="dxa"/>
          </w:tcPr>
          <w:p w14:paraId="330438BE" w14:textId="1F4F5C07" w:rsidR="00113E45" w:rsidRPr="00A30C4C" w:rsidRDefault="00654562" w:rsidP="00E60B53">
            <w:pPr>
              <w:spacing w:beforeLines="60" w:before="144" w:afterLines="60" w:after="144"/>
              <w:rPr>
                <w:rFonts w:ascii="Times New Roman" w:hAnsi="Times New Roman"/>
                <w:sz w:val="24"/>
              </w:rPr>
            </w:pPr>
            <w:r>
              <w:rPr>
                <w:rFonts w:ascii="Times New Roman" w:hAnsi="Times New Roman"/>
                <w:sz w:val="24"/>
              </w:rPr>
              <w:t>0130–</w:t>
            </w:r>
            <w:bookmarkStart w:id="658" w:name="_GoBack"/>
            <w:bookmarkEnd w:id="658"/>
            <w:r w:rsidR="008136B4">
              <w:rPr>
                <w:rFonts w:ascii="Times New Roman" w:hAnsi="Times New Roman"/>
                <w:sz w:val="24"/>
              </w:rPr>
              <w:t>0140</w:t>
            </w:r>
          </w:p>
        </w:tc>
        <w:tc>
          <w:tcPr>
            <w:tcW w:w="8221" w:type="dxa"/>
          </w:tcPr>
          <w:p w14:paraId="4401B07B"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PRILAGODBE FER VRIJEDNOSTI</w:t>
            </w:r>
          </w:p>
          <w:p w14:paraId="0FDC4843" w14:textId="5C560EB8" w:rsidR="00113E45" w:rsidRPr="00A30C4C"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Prilagodbe fer vrijednosti iz stupaca 0190 i 0240 iz obrasca C 32.02 koje se primjenjuju na pozicije raspoređene u model iz stupca </w:t>
            </w:r>
            <w:r>
              <w:rPr>
                <w:rFonts w:ascii="Times New Roman" w:hAnsi="Times New Roman"/>
                <w:sz w:val="24"/>
              </w:rPr>
              <w:t>0010</w:t>
            </w:r>
            <w:r>
              <w:rPr>
                <w:rStyle w:val="InstructionsTabelleberschrift"/>
                <w:rFonts w:ascii="Times New Roman" w:hAnsi="Times New Roman"/>
                <w:b w:val="0"/>
                <w:sz w:val="24"/>
                <w:u w:val="none"/>
              </w:rPr>
              <w:t>.</w:t>
            </w:r>
          </w:p>
        </w:tc>
      </w:tr>
      <w:tr w:rsidR="00113E45" w:rsidRPr="00A30C4C" w14:paraId="1AB5936A" w14:textId="77777777" w:rsidTr="00672D2A">
        <w:tc>
          <w:tcPr>
            <w:tcW w:w="1101" w:type="dxa"/>
          </w:tcPr>
          <w:p w14:paraId="1F34B920"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44AED0CC"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DOBIT I GUBITAK NA PRVI DAN</w:t>
            </w:r>
          </w:p>
          <w:p w14:paraId="018D0997"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Prilagodbe kako je definirano u stupcu 0260 iz obrasca C 32.02 koje se primjenjuju na pozicije raspoređene u model iz stupca </w:t>
            </w:r>
            <w:r>
              <w:rPr>
                <w:rFonts w:ascii="Times New Roman" w:hAnsi="Times New Roman"/>
                <w:sz w:val="24"/>
              </w:rPr>
              <w:t>0010</w:t>
            </w:r>
            <w:r>
              <w:rPr>
                <w:rStyle w:val="InstructionsTabelleberschrift"/>
                <w:rFonts w:ascii="Times New Roman" w:hAnsi="Times New Roman"/>
                <w:b w:val="0"/>
                <w:sz w:val="24"/>
                <w:u w:val="none"/>
              </w:rPr>
              <w:t>.</w:t>
            </w:r>
          </w:p>
        </w:tc>
      </w:tr>
    </w:tbl>
    <w:p w14:paraId="42E50DC5" w14:textId="77777777" w:rsidR="00995A7F" w:rsidRPr="00A30C4C" w:rsidRDefault="00995A7F" w:rsidP="00C61FF5">
      <w:pPr>
        <w:rPr>
          <w:rStyle w:val="InstructionsTabelleText"/>
          <w:rFonts w:ascii="Times New Roman" w:hAnsi="Times New Roman"/>
          <w:sz w:val="24"/>
        </w:rPr>
      </w:pPr>
    </w:p>
    <w:p w14:paraId="684E0FC0" w14:textId="7719E6F3" w:rsidR="00B93FA1" w:rsidRPr="00A30C4C" w:rsidRDefault="00113E45" w:rsidP="00B93FA1">
      <w:pPr>
        <w:pStyle w:val="Instructionsberschrift2"/>
        <w:numPr>
          <w:ilvl w:val="0"/>
          <w:numId w:val="0"/>
        </w:numPr>
        <w:ind w:left="357" w:hanging="357"/>
        <w:rPr>
          <w:rFonts w:ascii="Times New Roman" w:hAnsi="Times New Roman"/>
          <w:sz w:val="24"/>
          <w:u w:val="none"/>
        </w:rPr>
      </w:pPr>
      <w:bookmarkStart w:id="659" w:name="_Toc30677736"/>
      <w:r>
        <w:rPr>
          <w:rFonts w:ascii="Times New Roman" w:hAnsi="Times New Roman"/>
          <w:sz w:val="24"/>
          <w:u w:val="none"/>
        </w:rPr>
        <w:t>6.4</w:t>
      </w:r>
      <w:r w:rsidR="002A2243">
        <w:rPr>
          <w:rFonts w:ascii="Times New Roman" w:hAnsi="Times New Roman"/>
          <w:sz w:val="24"/>
          <w:u w:val="none"/>
        </w:rPr>
        <w:t>.</w:t>
      </w:r>
      <w:r>
        <w:rPr>
          <w:rFonts w:ascii="Times New Roman" w:hAnsi="Times New Roman"/>
          <w:sz w:val="24"/>
          <w:u w:val="none"/>
        </w:rPr>
        <w:t xml:space="preserve"> </w:t>
      </w:r>
      <w:r>
        <w:rPr>
          <w:rFonts w:ascii="Times New Roman" w:hAnsi="Times New Roman"/>
          <w:sz w:val="24"/>
        </w:rPr>
        <w:t>C 32.04 - Bonitetno vrednovanje: Dodatna prilagodba vrednovanja za koncentrirane pozicije (</w:t>
      </w:r>
      <w:proofErr w:type="spellStart"/>
      <w:r>
        <w:rPr>
          <w:rFonts w:ascii="Times New Roman" w:hAnsi="Times New Roman"/>
          <w:sz w:val="24"/>
        </w:rPr>
        <w:t>PruVal</w:t>
      </w:r>
      <w:proofErr w:type="spellEnd"/>
      <w:r>
        <w:rPr>
          <w:rFonts w:ascii="Times New Roman" w:hAnsi="Times New Roman"/>
          <w:sz w:val="24"/>
        </w:rPr>
        <w:t xml:space="preserve"> 4)</w:t>
      </w:r>
      <w:bookmarkEnd w:id="659"/>
    </w:p>
    <w:p w14:paraId="15BF1E5B"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60" w:name="_Toc30677737"/>
      <w:r>
        <w:rPr>
          <w:rFonts w:ascii="Times New Roman" w:hAnsi="Times New Roman"/>
          <w:sz w:val="24"/>
          <w:u w:val="none"/>
        </w:rPr>
        <w:t>6.4.1.</w:t>
      </w:r>
      <w:r>
        <w:rPr>
          <w:rFonts w:ascii="Times New Roman" w:hAnsi="Times New Roman"/>
          <w:sz w:val="24"/>
          <w:u w:val="none"/>
        </w:rPr>
        <w:tab/>
      </w:r>
      <w:r>
        <w:rPr>
          <w:rFonts w:ascii="Times New Roman" w:hAnsi="Times New Roman"/>
          <w:sz w:val="24"/>
        </w:rPr>
        <w:t>Opće napomene</w:t>
      </w:r>
      <w:bookmarkEnd w:id="660"/>
      <w:r>
        <w:rPr>
          <w:rFonts w:ascii="Times New Roman" w:hAnsi="Times New Roman"/>
          <w:sz w:val="24"/>
          <w:u w:val="none"/>
        </w:rPr>
        <w:t xml:space="preserve"> </w:t>
      </w:r>
    </w:p>
    <w:p w14:paraId="5FFC4839" w14:textId="18061A7F" w:rsidR="00113E45" w:rsidRPr="00A30C4C" w:rsidRDefault="00113E45" w:rsidP="009068C9">
      <w:pPr>
        <w:pStyle w:val="InstructionsText2"/>
        <w:numPr>
          <w:ilvl w:val="0"/>
          <w:numId w:val="0"/>
        </w:numPr>
        <w:ind w:left="993"/>
      </w:pPr>
      <w:r>
        <w:t>154k. Ovaj obrazac popunjavaju samo institucije koje premašuju prag iz članka 4. stavka 1. Delegirane uredbe (EU) 2016/101. Institucije koje su dio grupe koja na konsolidiranoj osnovi premašuje prag moraju izvješćivati u ovom obrascu samo ako i one na pojedinačnoj razini premašuju prag.</w:t>
      </w:r>
    </w:p>
    <w:p w14:paraId="6C6B9144" w14:textId="5A1C6A2A" w:rsidR="00113E45" w:rsidRPr="00A30C4C" w:rsidRDefault="00113E45" w:rsidP="009068C9">
      <w:pPr>
        <w:pStyle w:val="InstructionsText2"/>
        <w:numPr>
          <w:ilvl w:val="0"/>
          <w:numId w:val="0"/>
        </w:numPr>
        <w:ind w:left="993"/>
      </w:pPr>
      <w:r>
        <w:t xml:space="preserve">154l. Ovaj se obrazac koristi za izvješćivanje o 20 najvećih pojedinačnih dodatnih prilagodbi vrednovanja za koncentrirane pozicije u pogledu iznosa dodatne prilagodbe vrednovanja koje pridonose ukupnoj dodatnoj prilagodbi vrednovanja na razini kategorije za koncentrirane pozicije izračunanoj u skladu s člankom 14. Delegirane uredbe (EU) 2016/101. Te informacije odgovaraju informacijama iskazanima u stupcu 0070 iz obrasca C 32.02. </w:t>
      </w:r>
    </w:p>
    <w:p w14:paraId="75B0C061" w14:textId="77777777" w:rsidR="00113E45" w:rsidRPr="00A30C4C" w:rsidRDefault="00113E45" w:rsidP="009068C9">
      <w:pPr>
        <w:pStyle w:val="InstructionsText2"/>
        <w:numPr>
          <w:ilvl w:val="0"/>
          <w:numId w:val="0"/>
        </w:numPr>
        <w:ind w:left="993"/>
      </w:pPr>
      <w:r>
        <w:t>154m. 20 najvećih dodatnih prilagodbi vrednovanja za koncentrirane pozicije i odgovarajuće informacije o proizvodima iskazuju se padajućim slijedom počevši od najveće pojedinačne dodatne prilagodbe vrednovanja za koncentrirane pozicije.</w:t>
      </w:r>
    </w:p>
    <w:p w14:paraId="18D151FC" w14:textId="33568C08" w:rsidR="00113E45" w:rsidRPr="00A30C4C" w:rsidRDefault="00113E45" w:rsidP="009068C9">
      <w:pPr>
        <w:pStyle w:val="InstructionsText2"/>
        <w:numPr>
          <w:ilvl w:val="0"/>
          <w:numId w:val="0"/>
        </w:numPr>
        <w:ind w:left="993"/>
      </w:pPr>
      <w:r>
        <w:t>154n. Proizvodi koji odgovaraju tim najvećim pojedinačnim dodatnim prilagodbama vrednovanja za koncentrirane pozicije iskazuju se upotrebom popisa proizvoda koji se propisuje člankom 19. stavkom 3. točkom (a) Delegirane uredbe (EU) 2016/101.</w:t>
      </w:r>
    </w:p>
    <w:p w14:paraId="3142F70E" w14:textId="1A46D292" w:rsidR="00113E45" w:rsidRPr="00A30C4C" w:rsidRDefault="00113E45" w:rsidP="009068C9">
      <w:pPr>
        <w:pStyle w:val="InstructionsText2"/>
        <w:numPr>
          <w:ilvl w:val="0"/>
          <w:numId w:val="0"/>
        </w:numPr>
        <w:ind w:left="993"/>
      </w:pPr>
      <w:r>
        <w:t>154o. Pozicije koje su homogene u pogledu metodologije izračuna dodatne prilagodbe vrednovanja agregiraju se ako je to moguće kako bi se u ovom obrascu u najvećoj mjeri obuhvatila ukupna dodatna prilagodba.</w:t>
      </w:r>
    </w:p>
    <w:p w14:paraId="710CAB00"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61" w:name="_Toc30677738"/>
      <w:r>
        <w:rPr>
          <w:rFonts w:ascii="Times New Roman" w:hAnsi="Times New Roman"/>
          <w:sz w:val="24"/>
          <w:u w:val="none"/>
        </w:rPr>
        <w:lastRenderedPageBreak/>
        <w:t>6.4.2.</w:t>
      </w:r>
      <w:r>
        <w:rPr>
          <w:rFonts w:ascii="Times New Roman" w:hAnsi="Times New Roman"/>
          <w:sz w:val="24"/>
          <w:u w:val="none"/>
        </w:rPr>
        <w:tab/>
      </w:r>
      <w:r>
        <w:rPr>
          <w:rFonts w:ascii="Times New Roman" w:hAnsi="Times New Roman"/>
          <w:sz w:val="24"/>
        </w:rPr>
        <w:t>Upute za specifične pozicije</w:t>
      </w:r>
      <w:bookmarkEnd w:id="6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A30C4C" w14:paraId="0D49F34C" w14:textId="77777777" w:rsidTr="00672D2A">
        <w:tc>
          <w:tcPr>
            <w:tcW w:w="8856" w:type="dxa"/>
            <w:gridSpan w:val="2"/>
            <w:shd w:val="clear" w:color="auto" w:fill="CCCCCC"/>
          </w:tcPr>
          <w:p w14:paraId="0E0913D1" w14:textId="77777777" w:rsidR="00113E45" w:rsidRPr="00A30C4C" w:rsidRDefault="00113E45" w:rsidP="00E60B53">
            <w:pPr>
              <w:spacing w:beforeLines="60" w:before="144" w:afterLines="60" w:after="144"/>
              <w:rPr>
                <w:rFonts w:ascii="Times New Roman" w:hAnsi="Times New Roman"/>
                <w:b/>
                <w:sz w:val="24"/>
              </w:rPr>
            </w:pPr>
            <w:r>
              <w:rPr>
                <w:rFonts w:ascii="Times New Roman" w:hAnsi="Times New Roman"/>
                <w:b/>
                <w:sz w:val="24"/>
              </w:rPr>
              <w:t>Stupci</w:t>
            </w:r>
          </w:p>
        </w:tc>
      </w:tr>
      <w:tr w:rsidR="00113E45" w:rsidRPr="00A30C4C" w14:paraId="01F925BD" w14:textId="77777777" w:rsidTr="00672D2A">
        <w:tc>
          <w:tcPr>
            <w:tcW w:w="852" w:type="dxa"/>
          </w:tcPr>
          <w:p w14:paraId="69077131"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5D8E42AF"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POREDAK</w:t>
            </w:r>
          </w:p>
          <w:p w14:paraId="35A12444" w14:textId="2A08DF57" w:rsidR="00113E45" w:rsidRPr="00A30C4C"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Poredak je identifikator retka i jedinstven je za svaki redak u obrascu. On slijedi numerički redoslijed 1, 2, 3 itd. pri čemu se 1 dodjeljuje najvećoj pojedinačnoj dodatnoj prilagodbi vrednovanja za koncentrirane pozicije, 2 drugoj po veličini i tako dalje.</w:t>
            </w:r>
          </w:p>
        </w:tc>
      </w:tr>
      <w:tr w:rsidR="00113E45" w:rsidRPr="00A30C4C" w14:paraId="6B3108A4" w14:textId="77777777" w:rsidTr="00672D2A">
        <w:tc>
          <w:tcPr>
            <w:tcW w:w="852" w:type="dxa"/>
          </w:tcPr>
          <w:p w14:paraId="4E297FC1"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2916DC85"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RIZIKA</w:t>
            </w:r>
          </w:p>
          <w:p w14:paraId="6D1696C8"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Kategorija rizika (kamatni, tečajni i kreditni rizik, rizik vlasničkih instrumenata, robni rizik) koja najprikladnije obilježava poziciju.</w:t>
            </w:r>
          </w:p>
          <w:p w14:paraId="16A366E7"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Institucije iskazuju sljedeće oznake:</w:t>
            </w:r>
          </w:p>
          <w:p w14:paraId="15AF634B"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IR – kamatni rizik</w:t>
            </w:r>
          </w:p>
          <w:p w14:paraId="0480F0A4" w14:textId="77777777" w:rsidR="0022597E" w:rsidRPr="00A30C4C" w:rsidRDefault="0022597E" w:rsidP="00E60B53">
            <w:pPr>
              <w:spacing w:beforeLines="60" w:before="144" w:afterLines="60" w:after="144"/>
              <w:rPr>
                <w:rFonts w:ascii="Times New Roman" w:hAnsi="Times New Roman"/>
                <w:sz w:val="24"/>
              </w:rPr>
            </w:pPr>
            <w:r>
              <w:rPr>
                <w:rFonts w:ascii="Times New Roman" w:hAnsi="Times New Roman"/>
                <w:sz w:val="24"/>
              </w:rPr>
              <w:t>FX – valutni rizik</w:t>
            </w:r>
          </w:p>
          <w:p w14:paraId="619C867D"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CR – kreditni rizik</w:t>
            </w:r>
          </w:p>
          <w:p w14:paraId="4CE04B1E"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EQ – rizik vlasničkih instrumenata</w:t>
            </w:r>
          </w:p>
          <w:p w14:paraId="53AE9257" w14:textId="77777777" w:rsidR="00113E45" w:rsidRPr="00A30C4C" w:rsidRDefault="00113E45" w:rsidP="0022597E">
            <w:pPr>
              <w:spacing w:beforeLines="60" w:before="144" w:afterLines="60" w:after="144"/>
              <w:rPr>
                <w:rFonts w:ascii="Times New Roman" w:hAnsi="Times New Roman"/>
                <w:sz w:val="24"/>
              </w:rPr>
            </w:pPr>
            <w:r>
              <w:rPr>
                <w:rFonts w:ascii="Times New Roman" w:hAnsi="Times New Roman"/>
                <w:sz w:val="24"/>
              </w:rPr>
              <w:t>CO – robni rizik</w:t>
            </w:r>
          </w:p>
        </w:tc>
      </w:tr>
      <w:tr w:rsidR="00113E45" w:rsidRPr="00A30C4C" w14:paraId="3E66D39B" w14:textId="77777777" w:rsidTr="00672D2A">
        <w:tc>
          <w:tcPr>
            <w:tcW w:w="852" w:type="dxa"/>
          </w:tcPr>
          <w:p w14:paraId="53257124"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E724BC4"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PROIZVOD </w:t>
            </w:r>
          </w:p>
          <w:p w14:paraId="61D1884D" w14:textId="3E825586" w:rsidR="00113E45" w:rsidRPr="00A30C4C" w:rsidRDefault="00113E45" w:rsidP="00B14253">
            <w:pPr>
              <w:spacing w:beforeLines="60" w:before="144" w:afterLines="60" w:after="144"/>
              <w:rPr>
                <w:rFonts w:ascii="Times New Roman" w:hAnsi="Times New Roman"/>
                <w:sz w:val="24"/>
              </w:rPr>
            </w:pPr>
            <w:r>
              <w:rPr>
                <w:rFonts w:ascii="Times New Roman" w:hAnsi="Times New Roman"/>
                <w:sz w:val="24"/>
              </w:rPr>
              <w:t>Interni naziv proizvoda ili skupine proizvoda u skladu s popisom proizvoda koji se propisuje člankom 19. stavkom 3. točkom (a) Delegirane uredbe (EU) 2016/101.</w:t>
            </w:r>
          </w:p>
        </w:tc>
      </w:tr>
      <w:tr w:rsidR="00113E45" w:rsidRPr="00A30C4C" w14:paraId="0198E1E4" w14:textId="77777777" w:rsidTr="00672D2A">
        <w:tc>
          <w:tcPr>
            <w:tcW w:w="852" w:type="dxa"/>
          </w:tcPr>
          <w:p w14:paraId="09D0AECA"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5CE27D1"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ODNOSNI INSTRUMENT</w:t>
            </w:r>
          </w:p>
          <w:p w14:paraId="70DA4BBF"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 xml:space="preserve">Interni naziv odnosnog instrumenta ili odnosnih instrumenata u slučaju izvedenica ili instrumenta u slučaju neizvedenih instrumenata. </w:t>
            </w:r>
          </w:p>
        </w:tc>
      </w:tr>
      <w:tr w:rsidR="00113E45" w:rsidRPr="00A30C4C" w14:paraId="5EB9E9C6" w14:textId="77777777" w:rsidTr="00672D2A">
        <w:tc>
          <w:tcPr>
            <w:tcW w:w="852" w:type="dxa"/>
          </w:tcPr>
          <w:p w14:paraId="611E92E9"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6CF6DF7E"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VELIČINA KONCENTRIRANE POZICIJE</w:t>
            </w:r>
          </w:p>
          <w:p w14:paraId="55E8CAD3" w14:textId="59AF245B" w:rsidR="00113E45" w:rsidRPr="00A30C4C"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Veličina pojedinačne koncentrirane pozicije koja se vrednuje kako je utvrđena u skladu s člankom 14. stavkom 1. točkom (a) Delegirane uredbe (EU) 2016/101, izražena u jedinici opisanoj u stupcu 0050. </w:t>
            </w:r>
          </w:p>
        </w:tc>
      </w:tr>
      <w:tr w:rsidR="00113E45" w:rsidRPr="00A30C4C" w14:paraId="6D7EE985" w14:textId="77777777" w:rsidTr="00672D2A">
        <w:tc>
          <w:tcPr>
            <w:tcW w:w="852" w:type="dxa"/>
          </w:tcPr>
          <w:p w14:paraId="1D4A4B11"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462E8180"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MJERA VELIČINE</w:t>
            </w:r>
          </w:p>
          <w:p w14:paraId="012AD96E"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 xml:space="preserve">Jedinica mjere veličine koja se interno koristi kao dio identifikacije koncentrirane pozicije koja se vrednuje za izračun veličine koncentrirane pozicije u stupcu 0040. </w:t>
            </w:r>
          </w:p>
          <w:p w14:paraId="63E400D7"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U slučaju pozicija u obveznicama ili vlasničkim instrumentima, navesti jedinicu koja se koristi </w:t>
            </w:r>
            <w:r>
              <w:rPr>
                <w:rFonts w:ascii="Times New Roman" w:hAnsi="Times New Roman"/>
                <w:sz w:val="24"/>
              </w:rPr>
              <w:t>za interno upravljanje rizikom</w:t>
            </w:r>
            <w:r>
              <w:rPr>
                <w:rStyle w:val="InstructionsTabelleberschrift"/>
                <w:rFonts w:ascii="Times New Roman" w:hAnsi="Times New Roman"/>
                <w:b w:val="0"/>
                <w:bCs w:val="0"/>
                <w:sz w:val="24"/>
                <w:u w:val="none"/>
              </w:rPr>
              <w:t xml:space="preserve">, kao što je „broj obveznica”, „broj dionica” ili „tržišna vrijednost”. </w:t>
            </w:r>
          </w:p>
          <w:p w14:paraId="3D011492"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lastRenderedPageBreak/>
              <w:t xml:space="preserve">U slučaju pozicija u izvedenicama navesti jedinicu koja se koristi za interno upravljanje rizikom, primjerice „vrijednost baznog boda; EUR po paralelnoj promjeni od jednog baznog boda u krivulji prinosa”. </w:t>
            </w:r>
          </w:p>
        </w:tc>
      </w:tr>
      <w:tr w:rsidR="00113E45" w:rsidRPr="00A30C4C" w14:paraId="0F65911F" w14:textId="77777777" w:rsidTr="00672D2A">
        <w:tc>
          <w:tcPr>
            <w:tcW w:w="852" w:type="dxa"/>
          </w:tcPr>
          <w:p w14:paraId="38D19445"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004" w:type="dxa"/>
          </w:tcPr>
          <w:p w14:paraId="5B31E5C5"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TRŽIŠNA VRIJEDNOST</w:t>
            </w:r>
          </w:p>
          <w:p w14:paraId="24489414"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Tržišna vrijednost pozicije. </w:t>
            </w:r>
          </w:p>
        </w:tc>
      </w:tr>
      <w:tr w:rsidR="00113E45" w:rsidRPr="00A30C4C" w14:paraId="28D8D3B4" w14:textId="77777777" w:rsidTr="00672D2A">
        <w:tc>
          <w:tcPr>
            <w:tcW w:w="852" w:type="dxa"/>
          </w:tcPr>
          <w:p w14:paraId="467CFB2C"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43BCA791"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RAZBORITO IZLAZNO RAZDOBLJE</w:t>
            </w:r>
          </w:p>
          <w:p w14:paraId="377544B0" w14:textId="56398078" w:rsidR="00113E45" w:rsidRPr="00A30C4C"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Razborito izlazno razdoblje u broju dana procijenjeno u skladu s člankom 14. stavkom 1. točkom (b)</w:t>
            </w:r>
            <w:r>
              <w:rPr>
                <w:rFonts w:ascii="Times New Roman" w:hAnsi="Times New Roman"/>
                <w:sz w:val="24"/>
              </w:rPr>
              <w:t xml:space="preserve"> Delegirane uredbe (EU) 2016/101</w:t>
            </w:r>
            <w:r>
              <w:rPr>
                <w:rStyle w:val="InstructionsTabelleberschrift"/>
                <w:rFonts w:ascii="Times New Roman" w:hAnsi="Times New Roman"/>
                <w:b w:val="0"/>
                <w:sz w:val="24"/>
                <w:u w:val="none"/>
              </w:rPr>
              <w:t>.</w:t>
            </w:r>
          </w:p>
        </w:tc>
      </w:tr>
      <w:tr w:rsidR="00113E45" w:rsidRPr="00A30C4C" w14:paraId="02D4BAC2" w14:textId="77777777" w:rsidTr="00672D2A">
        <w:tc>
          <w:tcPr>
            <w:tcW w:w="852" w:type="dxa"/>
          </w:tcPr>
          <w:p w14:paraId="213E69F9"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7274372B"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DODATNA PRILAGODBE VREDNOVANJA ZA KONCENTRIRANE POZICIJE</w:t>
            </w:r>
          </w:p>
          <w:p w14:paraId="6F7551EC" w14:textId="2FA5E31E" w:rsidR="00113E45" w:rsidRPr="00A30C4C"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 dodatne prilagodbe vrednovanja za koncentrirane pozicije izračunano u skladu s člankom 14. stavkom 1.</w:t>
            </w:r>
            <w:r>
              <w:rPr>
                <w:rFonts w:ascii="Times New Roman" w:hAnsi="Times New Roman"/>
                <w:sz w:val="24"/>
              </w:rPr>
              <w:t>Delegirane uredbe (EU) 2016/101 za dotičnu pojedinačnu koncentriranu poziciju koja se vrednuje.</w:t>
            </w:r>
            <w:r>
              <w:rPr>
                <w:rStyle w:val="InstructionsTabelleberschrift"/>
                <w:rFonts w:ascii="Times New Roman" w:hAnsi="Times New Roman"/>
                <w:b w:val="0"/>
                <w:sz w:val="24"/>
                <w:u w:val="none"/>
              </w:rPr>
              <w:t xml:space="preserve"> </w:t>
            </w:r>
          </w:p>
        </w:tc>
      </w:tr>
      <w:tr w:rsidR="00113E45" w:rsidRPr="00A30C4C" w14:paraId="4F4D7534" w14:textId="77777777" w:rsidTr="00672D2A">
        <w:tc>
          <w:tcPr>
            <w:tcW w:w="852" w:type="dxa"/>
          </w:tcPr>
          <w:p w14:paraId="360D46DF"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36649ACD"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PRILAGODBA FER VRIJEDNOSTI KONCENTRIRANE POZICIJE</w:t>
            </w:r>
          </w:p>
          <w:p w14:paraId="4C938762" w14:textId="77777777" w:rsidR="00955AA6" w:rsidRPr="00A30C4C"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Iznos bilo koje prilagodbe fer vrijednosti provedene kako bi se uzela u obzir činjenica da je ukupna pozicija koju drži institucija veća od uobičajenog volumena trgovanja ili veća od veličine pozicija i na kojima se temelje kotacije ili trgovanja koja se koriste za kalibraciju cijene ili ulaznih parametara koji se koriste u modelu vrednovanja.  </w:t>
            </w:r>
          </w:p>
          <w:p w14:paraId="52BD9D6E" w14:textId="77777777" w:rsidR="00113E45" w:rsidRPr="00A30C4C"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Iskazani iznos odgovara iznosu koji se primijenio na dotičnu pojedinačnu koncentriranu poziciju koja se vrednuje.</w:t>
            </w:r>
          </w:p>
        </w:tc>
      </w:tr>
      <w:tr w:rsidR="00113E45" w:rsidRPr="00A30C4C" w14:paraId="252B0831" w14:textId="77777777" w:rsidTr="00672D2A">
        <w:tc>
          <w:tcPr>
            <w:tcW w:w="852" w:type="dxa"/>
          </w:tcPr>
          <w:p w14:paraId="69962979"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40C20224"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RAZLIKA NA TEMELJU NEOVISNE PROVJERE CIJENA</w:t>
            </w:r>
          </w:p>
          <w:p w14:paraId="6DD8EA3B" w14:textId="0A06D3CA"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Zbroj iznosa neusklađenih razlika (razlika na temelju neovisne provjere cijena) izračunano na kraju mjeseca koji je najbliži izvještajnom datumu na temelju postupka neovisne provjere cijena provedene u skladu s člankom 105. stavkom 8. CRR-a, u vezi s najbolje dostupnim neovisnim podacima za dotičnu pojedinačnu koncentriranu poziciju koja se vrednuje. </w:t>
            </w:r>
          </w:p>
          <w:p w14:paraId="359EBA64"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Iznosi neusklađenih razlika odnose se na neusklađene razlike između vrednovanja koji proizlaze iz sustava trgovanja i vrednovanja ocijenjenih tijekom postupka mjesečne neovisne provjere cijena.</w:t>
            </w:r>
          </w:p>
          <w:p w14:paraId="256169F8" w14:textId="77777777" w:rsidR="00113E45" w:rsidRPr="00A30C4C"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 izračun razlike na temelju neovisne provjere cijena ne uključuju se iznosi usklađenih razlika iz knjiga i evidencija institucije za relevantni datum na kraju mjeseca.</w:t>
            </w:r>
          </w:p>
        </w:tc>
      </w:tr>
    </w:tbl>
    <w:p w14:paraId="7EE60302" w14:textId="77777777" w:rsidR="00995A7F" w:rsidRPr="00A30C4C" w:rsidRDefault="00995A7F" w:rsidP="00C61FF5">
      <w:pPr>
        <w:rPr>
          <w:rStyle w:val="InstructionsTabelleText"/>
          <w:rFonts w:ascii="Times New Roman" w:hAnsi="Times New Roman"/>
          <w:sz w:val="24"/>
        </w:rPr>
      </w:pPr>
    </w:p>
    <w:p w14:paraId="590E614E"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62" w:name="_Toc473561055"/>
      <w:bookmarkStart w:id="663" w:name="_Toc30677739"/>
      <w:r>
        <w:rPr>
          <w:rFonts w:ascii="Times New Roman" w:hAnsi="Times New Roman"/>
          <w:sz w:val="24"/>
          <w:u w:val="none"/>
        </w:rPr>
        <w:lastRenderedPageBreak/>
        <w:t>7.</w:t>
      </w:r>
      <w:r>
        <w:rPr>
          <w:rFonts w:ascii="Times New Roman" w:hAnsi="Times New Roman"/>
          <w:sz w:val="24"/>
          <w:u w:val="none"/>
        </w:rPr>
        <w:tab/>
      </w:r>
      <w:r>
        <w:rPr>
          <w:rFonts w:ascii="Times New Roman" w:hAnsi="Times New Roman"/>
          <w:sz w:val="24"/>
        </w:rPr>
        <w:t>C 33.00 – IZLOŽENOSTI PREMA OPĆIM DRŽAVAMA (GOV)</w:t>
      </w:r>
      <w:bookmarkEnd w:id="662"/>
      <w:bookmarkEnd w:id="663"/>
    </w:p>
    <w:p w14:paraId="17B7D7A9"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64" w:name="_Toc367202008"/>
      <w:bookmarkStart w:id="665" w:name="_Toc473561056"/>
      <w:bookmarkStart w:id="666" w:name="_Toc30677740"/>
      <w:r>
        <w:rPr>
          <w:rFonts w:ascii="Times New Roman" w:hAnsi="Times New Roman"/>
          <w:sz w:val="24"/>
          <w:u w:val="none"/>
        </w:rPr>
        <w:t>7.1.</w:t>
      </w:r>
      <w:r>
        <w:rPr>
          <w:rFonts w:ascii="Times New Roman" w:hAnsi="Times New Roman"/>
          <w:sz w:val="24"/>
          <w:u w:val="none"/>
        </w:rPr>
        <w:tab/>
      </w:r>
      <w:r>
        <w:rPr>
          <w:rFonts w:ascii="Times New Roman" w:hAnsi="Times New Roman"/>
          <w:sz w:val="24"/>
        </w:rPr>
        <w:t>Opće napomene</w:t>
      </w:r>
      <w:bookmarkEnd w:id="664"/>
      <w:bookmarkEnd w:id="665"/>
      <w:bookmarkEnd w:id="666"/>
      <w:r>
        <w:rPr>
          <w:rFonts w:ascii="Times New Roman" w:hAnsi="Times New Roman"/>
          <w:sz w:val="24"/>
        </w:rPr>
        <w:t xml:space="preserve"> </w:t>
      </w:r>
    </w:p>
    <w:p w14:paraId="02D93E92" w14:textId="2E69875E" w:rsidR="00FD54FC" w:rsidRPr="00A30C4C" w:rsidRDefault="00125707" w:rsidP="009068C9">
      <w:pPr>
        <w:pStyle w:val="InstructionsText2"/>
        <w:numPr>
          <w:ilvl w:val="0"/>
          <w:numId w:val="0"/>
        </w:numPr>
        <w:ind w:left="993"/>
      </w:pPr>
      <w:r>
        <w:t>155.</w:t>
      </w:r>
      <w:r>
        <w:tab/>
        <w:t xml:space="preserve"> Informacije za potrebe izvješćivanja u obrascu C 33.00 obuhvaćaju sve izloženosti prema „općim državama” iz točke 42. </w:t>
      </w:r>
      <w:proofErr w:type="spellStart"/>
      <w:r>
        <w:t>podtočke</w:t>
      </w:r>
      <w:proofErr w:type="spellEnd"/>
      <w:r>
        <w:t xml:space="preserve"> (b) Priloga V ovoj Provedbenoj uredbi.</w:t>
      </w:r>
    </w:p>
    <w:p w14:paraId="63422826" w14:textId="217ADD3E" w:rsidR="00FD54FC" w:rsidRPr="00A30C4C" w:rsidRDefault="00125707" w:rsidP="009068C9">
      <w:pPr>
        <w:pStyle w:val="InstructionsText2"/>
        <w:numPr>
          <w:ilvl w:val="0"/>
          <w:numId w:val="0"/>
        </w:numPr>
        <w:ind w:left="993"/>
      </w:pPr>
      <w:r>
        <w:t>156.</w:t>
      </w:r>
      <w:r>
        <w:tab/>
        <w:t xml:space="preserve"> Izloženosti prema „općim državama” uključene su u različite kategorije izloženosti u skladu s člankom 112. i člankom 147. CRR-a, kako je određeno u uputama za ispunjavanje obrazaca C 07.00, C 08.01 i C 08.02. </w:t>
      </w:r>
    </w:p>
    <w:p w14:paraId="7C0B3416" w14:textId="3F691042" w:rsidR="00FD54FC" w:rsidRPr="00A30C4C" w:rsidRDefault="00125707" w:rsidP="009068C9">
      <w:pPr>
        <w:pStyle w:val="InstructionsText2"/>
        <w:numPr>
          <w:ilvl w:val="0"/>
          <w:numId w:val="0"/>
        </w:numPr>
        <w:ind w:left="993"/>
      </w:pPr>
      <w:r>
        <w:t>157.</w:t>
      </w:r>
      <w:r>
        <w:tab/>
        <w:t xml:space="preserve"> Tablica 2. (standardizirani pristup) i tablica 3. (IRB pristup), uključene u dio 3. Priloga V. ovoj Provedbenoj uredbi, koriste se za raspoređivanje kategorija izloženosti za izračun kapitalnih zahtjeva u skladu s CRR-om u sektor druge ugovorne strane „opće države”. </w:t>
      </w:r>
    </w:p>
    <w:p w14:paraId="54DA319E" w14:textId="3CA19785" w:rsidR="00FD54FC" w:rsidRPr="00A30C4C" w:rsidRDefault="00125707" w:rsidP="009068C9">
      <w:pPr>
        <w:pStyle w:val="InstructionsText2"/>
        <w:numPr>
          <w:ilvl w:val="0"/>
          <w:numId w:val="0"/>
        </w:numPr>
        <w:ind w:left="993"/>
      </w:pPr>
      <w:r>
        <w:t xml:space="preserve">158. Iskazuju se informacije o ukupnim agregatnim izloženostima (odnosno zbroj svih zemalja u kojima banka ima izloženosti prema općim državama) i svakoj zemlji na temelju boravišta druge ugovorne strane prema neposrednom dužniku. </w:t>
      </w:r>
    </w:p>
    <w:p w14:paraId="51AE5D87" w14:textId="1E3E9BE4" w:rsidR="00FD54FC" w:rsidRPr="00A30C4C" w:rsidRDefault="00125707" w:rsidP="009068C9">
      <w:pPr>
        <w:pStyle w:val="InstructionsText2"/>
        <w:numPr>
          <w:ilvl w:val="0"/>
          <w:numId w:val="0"/>
        </w:numPr>
        <w:ind w:left="993"/>
      </w:pPr>
      <w:r>
        <w:t>159.</w:t>
      </w:r>
      <w:r>
        <w:tab/>
        <w:t xml:space="preserve"> Raspodjela izloženosti u kategorije izloženosti ili prema zemlji provodi se ne uzimajući u obzir tehnike smanjenja rizika i osobito ne uzimajući u obzir učinke zamjene. Međutim izračun vrijednosti izloženosti i iznosa izloženosti ponderiranih rizikom za svaku kategoriju izloženosti i svaku zemlju uključuje primjenu tehnika smanjenja rizika, uključujući učinke zamjene. </w:t>
      </w:r>
    </w:p>
    <w:p w14:paraId="2946E9CC" w14:textId="3B2AFF90" w:rsidR="00FD54FC" w:rsidRPr="00A30C4C" w:rsidRDefault="00125707" w:rsidP="009068C9">
      <w:pPr>
        <w:pStyle w:val="InstructionsText2"/>
        <w:numPr>
          <w:ilvl w:val="0"/>
          <w:numId w:val="0"/>
        </w:numPr>
        <w:ind w:left="993"/>
      </w:pPr>
      <w:r>
        <w:t>160.</w:t>
      </w:r>
      <w:r>
        <w:tab/>
        <w:t xml:space="preserve"> Iskazivanje informacija o izloženostima prema „općim državama” prema zemlji boravišta neposredne druge ugovorne strane osim matične zemlje institucije koja izvješćuje podliježe primjeni pragova iz članka 5. stavka (b) točke 3. ove Provedbene uredbe.</w:t>
      </w:r>
    </w:p>
    <w:p w14:paraId="20840436"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67" w:name="_Toc473561057"/>
      <w:bookmarkStart w:id="668" w:name="_Toc30677741"/>
      <w:r>
        <w:rPr>
          <w:rFonts w:ascii="Times New Roman" w:hAnsi="Times New Roman"/>
          <w:sz w:val="24"/>
          <w:u w:val="none"/>
        </w:rPr>
        <w:t>7.2.</w:t>
      </w:r>
      <w:r>
        <w:rPr>
          <w:rFonts w:ascii="Times New Roman" w:hAnsi="Times New Roman"/>
          <w:sz w:val="24"/>
          <w:u w:val="none"/>
        </w:rPr>
        <w:tab/>
      </w:r>
      <w:bookmarkStart w:id="669" w:name="_Toc367202009"/>
      <w:r>
        <w:rPr>
          <w:rFonts w:ascii="Times New Roman" w:hAnsi="Times New Roman"/>
          <w:sz w:val="24"/>
        </w:rPr>
        <w:t>Opseg izvješćivanja u obrascu</w:t>
      </w:r>
      <w:bookmarkEnd w:id="669"/>
      <w:r>
        <w:rPr>
          <w:rFonts w:ascii="Times New Roman" w:hAnsi="Times New Roman"/>
          <w:sz w:val="24"/>
        </w:rPr>
        <w:t xml:space="preserve"> o izloženostima prema „općim državama”</w:t>
      </w:r>
      <w:bookmarkEnd w:id="667"/>
      <w:bookmarkEnd w:id="668"/>
    </w:p>
    <w:p w14:paraId="03A261F0" w14:textId="77777777" w:rsidR="00FD54FC" w:rsidRPr="00A30C4C" w:rsidRDefault="00125707" w:rsidP="009068C9">
      <w:pPr>
        <w:pStyle w:val="InstructionsText2"/>
        <w:numPr>
          <w:ilvl w:val="0"/>
          <w:numId w:val="0"/>
        </w:numPr>
        <w:ind w:left="993"/>
      </w:pPr>
      <w:r>
        <w:t>161.</w:t>
      </w:r>
      <w:r>
        <w:tab/>
        <w:t xml:space="preserve"> Opseg izvješćivanja u obrascu GOV obuhvaća bilančne i </w:t>
      </w:r>
      <w:proofErr w:type="spellStart"/>
      <w:r>
        <w:t>izvanbilančne</w:t>
      </w:r>
      <w:proofErr w:type="spellEnd"/>
      <w:r>
        <w:t xml:space="preserve"> izravne izloženosti i izravne izloženosti izvedenica prema „općim državama” u knjizi pozicija kojima se ne trguje i knjizi trgovanja. Nadalje, propisuje se i navođenje bilješke o neizravnim izloženostima u obliku prodanih kreditnih izvedenica čija su odnosna imovina izloženosti prema općim državama.</w:t>
      </w:r>
    </w:p>
    <w:p w14:paraId="0793F142" w14:textId="057267EA" w:rsidR="00FD54FC" w:rsidRPr="00A30C4C" w:rsidRDefault="00125707" w:rsidP="009068C9">
      <w:pPr>
        <w:pStyle w:val="InstructionsText2"/>
        <w:numPr>
          <w:ilvl w:val="0"/>
          <w:numId w:val="0"/>
        </w:numPr>
        <w:ind w:left="993"/>
      </w:pPr>
      <w:r>
        <w:t>162.</w:t>
      </w:r>
      <w:r>
        <w:tab/>
        <w:t xml:space="preserve"> Izloženost je izravna izloženost kada je neposredna druga ugovorna strana subjekt koji je „opća država” kako je navedeno u točki 42. </w:t>
      </w:r>
      <w:proofErr w:type="spellStart"/>
      <w:r>
        <w:t>podtočki</w:t>
      </w:r>
      <w:proofErr w:type="spellEnd"/>
      <w:r>
        <w:t xml:space="preserve"> (b) Priloga V. ovoj Provedbenoj uredbi. </w:t>
      </w:r>
    </w:p>
    <w:p w14:paraId="519B25E0" w14:textId="77777777" w:rsidR="00FD54FC" w:rsidRPr="00A30C4C" w:rsidRDefault="00125707" w:rsidP="009068C9">
      <w:pPr>
        <w:pStyle w:val="InstructionsText2"/>
        <w:numPr>
          <w:ilvl w:val="0"/>
          <w:numId w:val="0"/>
        </w:numPr>
        <w:ind w:left="993"/>
      </w:pPr>
      <w:r>
        <w:t>163.</w:t>
      </w:r>
      <w:r>
        <w:tab/>
        <w:t xml:space="preserve"> Obrazac je podijeljen u dva odjeljka. Prvi se odjeljak temelji na raščlambi izloženosti prema riziku, regulatornom pristupu i kategorijama izloženosti, dok se drugi odjeljak temelji na raščlambi prema preostalom roku do dospijeća.</w:t>
      </w:r>
    </w:p>
    <w:p w14:paraId="4808E55B"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70" w:name="_Toc473561058"/>
      <w:bookmarkStart w:id="671" w:name="_Toc30677742"/>
      <w:r>
        <w:rPr>
          <w:rFonts w:ascii="Times New Roman" w:hAnsi="Times New Roman"/>
          <w:sz w:val="24"/>
          <w:u w:val="none"/>
        </w:rPr>
        <w:t>7.3.</w:t>
      </w:r>
      <w:r>
        <w:rPr>
          <w:rFonts w:ascii="Times New Roman" w:hAnsi="Times New Roman"/>
          <w:sz w:val="24"/>
          <w:u w:val="none"/>
        </w:rPr>
        <w:tab/>
      </w:r>
      <w:r>
        <w:rPr>
          <w:rFonts w:ascii="Times New Roman" w:hAnsi="Times New Roman"/>
          <w:sz w:val="24"/>
        </w:rPr>
        <w:t>Upute za specifične pozicije</w:t>
      </w:r>
      <w:bookmarkEnd w:id="670"/>
      <w:bookmarkEnd w:id="6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A30C4C" w14:paraId="7330DB9D" w14:textId="77777777" w:rsidTr="00672D2A">
        <w:tc>
          <w:tcPr>
            <w:tcW w:w="1188" w:type="dxa"/>
            <w:shd w:val="pct25" w:color="auto" w:fill="auto"/>
          </w:tcPr>
          <w:p w14:paraId="1853ABE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Stupci</w:t>
            </w:r>
          </w:p>
          <w:p w14:paraId="5CF585B8" w14:textId="77777777" w:rsidR="00FD54FC" w:rsidRPr="00A30C4C"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Upute</w:t>
            </w:r>
          </w:p>
        </w:tc>
      </w:tr>
      <w:tr w:rsidR="00FD54FC" w:rsidRPr="00A30C4C" w14:paraId="2E979F8A" w14:textId="77777777" w:rsidTr="00672D2A">
        <w:tc>
          <w:tcPr>
            <w:tcW w:w="1188" w:type="dxa"/>
            <w:tcBorders>
              <w:bottom w:val="single" w:sz="4" w:space="0" w:color="auto"/>
            </w:tcBorders>
          </w:tcPr>
          <w:p w14:paraId="34661A82" w14:textId="77777777" w:rsidR="00FD54FC" w:rsidRPr="00A30C4C" w:rsidRDefault="00FD54FC" w:rsidP="00B74792">
            <w:pPr>
              <w:spacing w:before="0" w:after="0"/>
              <w:ind w:left="33"/>
              <w:rPr>
                <w:rFonts w:ascii="Times New Roman" w:hAnsi="Times New Roman"/>
                <w:bCs/>
                <w:sz w:val="24"/>
                <w:highlight w:val="yellow"/>
              </w:rPr>
            </w:pPr>
            <w:r>
              <w:rPr>
                <w:rFonts w:ascii="Times New Roman" w:hAnsi="Times New Roman"/>
                <w:bCs/>
                <w:sz w:val="24"/>
              </w:rPr>
              <w:lastRenderedPageBreak/>
              <w:t>010-260</w:t>
            </w:r>
          </w:p>
        </w:tc>
        <w:tc>
          <w:tcPr>
            <w:tcW w:w="8640" w:type="dxa"/>
            <w:tcBorders>
              <w:bottom w:val="single" w:sz="4" w:space="0" w:color="auto"/>
            </w:tcBorders>
          </w:tcPr>
          <w:p w14:paraId="4C13CC7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IZRAVNE IZLOŽENOSTI </w:t>
            </w:r>
          </w:p>
        </w:tc>
      </w:tr>
      <w:tr w:rsidR="00FD54FC" w:rsidRPr="00A30C4C" w14:paraId="116E3D26" w14:textId="77777777" w:rsidTr="00672D2A">
        <w:tc>
          <w:tcPr>
            <w:tcW w:w="1188" w:type="dxa"/>
          </w:tcPr>
          <w:p w14:paraId="09D02E5A" w14:textId="77777777" w:rsidR="00FD54FC" w:rsidRPr="00A30C4C" w:rsidRDefault="00FD54FC" w:rsidP="00B74792">
            <w:pPr>
              <w:spacing w:before="0" w:after="0"/>
              <w:ind w:left="33"/>
              <w:rPr>
                <w:rFonts w:ascii="Times New Roman" w:hAnsi="Times New Roman"/>
                <w:bCs/>
                <w:sz w:val="24"/>
                <w:highlight w:val="yellow"/>
              </w:rPr>
            </w:pPr>
            <w:r>
              <w:rPr>
                <w:rFonts w:ascii="Times New Roman" w:hAnsi="Times New Roman"/>
                <w:bCs/>
                <w:sz w:val="24"/>
              </w:rPr>
              <w:t>010-140</w:t>
            </w:r>
          </w:p>
        </w:tc>
        <w:tc>
          <w:tcPr>
            <w:tcW w:w="8640" w:type="dxa"/>
          </w:tcPr>
          <w:p w14:paraId="128EF589"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BILANČNE IZLOŽENOSTI</w:t>
            </w:r>
          </w:p>
        </w:tc>
      </w:tr>
      <w:tr w:rsidR="00FD54FC" w:rsidRPr="00A30C4C" w14:paraId="1E75959F" w14:textId="77777777" w:rsidTr="00672D2A">
        <w:tc>
          <w:tcPr>
            <w:tcW w:w="1188" w:type="dxa"/>
          </w:tcPr>
          <w:p w14:paraId="4D2C8D0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010</w:t>
            </w:r>
          </w:p>
        </w:tc>
        <w:tc>
          <w:tcPr>
            <w:tcW w:w="8640" w:type="dxa"/>
          </w:tcPr>
          <w:p w14:paraId="412A5407"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Ukupna bruto knjigovodstvena vrijednost neizvedene financijske imovine </w:t>
            </w:r>
          </w:p>
          <w:p w14:paraId="0FE66344" w14:textId="77777777" w:rsidR="00FD54FC" w:rsidRPr="00A30C4C" w:rsidRDefault="00FD54FC" w:rsidP="00FD54FC">
            <w:pPr>
              <w:spacing w:before="0" w:after="0"/>
              <w:ind w:left="33"/>
              <w:rPr>
                <w:rFonts w:ascii="Times New Roman" w:hAnsi="Times New Roman"/>
                <w:bCs/>
                <w:sz w:val="24"/>
                <w:lang w:eastAsia="de-DE"/>
              </w:rPr>
            </w:pPr>
          </w:p>
          <w:p w14:paraId="147AEF90" w14:textId="6B0231B3"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Ukupna bruto knjigovodstvena vrijednost, kako je određena u skladu s točkom 34. dijela 1. Priloga V. ovoj Provedbenoj uredbi, neizvedene financijske imovine koja predstavlja izloženosti prema općoj državi za sve računovodstvene portfelje na temelju MSFI-ja ili nacionalnih općeprihvaćenih računovodstvenih načela na temelju BAD-a, kako su definirani u </w:t>
            </w:r>
            <w:r>
              <w:rPr>
                <w:rFonts w:ascii="Times New Roman" w:hAnsi="Times New Roman"/>
                <w:bCs/>
                <w:sz w:val="24"/>
                <w:highlight w:val="yellow"/>
              </w:rPr>
              <w:t>točkama od 15. do 22.</w:t>
            </w:r>
            <w:r>
              <w:rPr>
                <w:rFonts w:ascii="Times New Roman" w:hAnsi="Times New Roman"/>
                <w:bCs/>
                <w:sz w:val="24"/>
              </w:rPr>
              <w:t xml:space="preserve"> dijela 1. Priloga V. ovoj Provedbenoj uredbi i navedeni u stupcima od 030 do 120. </w:t>
            </w:r>
          </w:p>
          <w:p w14:paraId="4B452235" w14:textId="77777777" w:rsidR="00FD54FC" w:rsidRPr="00A30C4C" w:rsidRDefault="00FD54FC" w:rsidP="00FD54FC">
            <w:pPr>
              <w:spacing w:before="0" w:after="0"/>
              <w:ind w:left="33"/>
              <w:rPr>
                <w:rFonts w:ascii="Times New Roman" w:hAnsi="Times New Roman"/>
                <w:bCs/>
                <w:sz w:val="24"/>
                <w:lang w:eastAsia="de-DE"/>
              </w:rPr>
            </w:pPr>
          </w:p>
          <w:p w14:paraId="363E1C4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Bonitetnim vrijednosnim usklađenjima ne smije se umanjiti bruto knjigovodstvena vrijednost izloženosti iz knjige trgovanja i iz knjige pozicija kojima se ne trguje koje se mjere po fer vrijednosti.</w:t>
            </w:r>
          </w:p>
          <w:p w14:paraId="07CEAAA8" w14:textId="77777777" w:rsidR="00FD54FC" w:rsidRPr="00A30C4C" w:rsidRDefault="00FD54FC" w:rsidP="00FD54FC">
            <w:pPr>
              <w:spacing w:before="0" w:after="0"/>
              <w:rPr>
                <w:rFonts w:ascii="Times New Roman" w:hAnsi="Times New Roman"/>
                <w:bCs/>
                <w:sz w:val="24"/>
                <w:lang w:eastAsia="de-DE"/>
              </w:rPr>
            </w:pPr>
          </w:p>
        </w:tc>
      </w:tr>
      <w:tr w:rsidR="00FD54FC" w:rsidRPr="00A30C4C" w14:paraId="18D48B1A" w14:textId="77777777" w:rsidTr="00672D2A">
        <w:tc>
          <w:tcPr>
            <w:tcW w:w="1188" w:type="dxa"/>
          </w:tcPr>
          <w:p w14:paraId="1FF9BD2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020</w:t>
            </w:r>
          </w:p>
        </w:tc>
        <w:tc>
          <w:tcPr>
            <w:tcW w:w="8640" w:type="dxa"/>
          </w:tcPr>
          <w:p w14:paraId="4AD9F9C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Ukupna knjigovodstvena vrijednost neizvedene financijske imovine (ne uključujući kratke pozicije)</w:t>
            </w:r>
          </w:p>
          <w:p w14:paraId="274F1544" w14:textId="77777777" w:rsidR="00FD54FC" w:rsidRPr="00A30C4C" w:rsidRDefault="00FD54FC" w:rsidP="00FD54FC">
            <w:pPr>
              <w:spacing w:before="0" w:after="0"/>
              <w:ind w:left="33"/>
              <w:rPr>
                <w:rFonts w:ascii="Times New Roman" w:hAnsi="Times New Roman"/>
                <w:bCs/>
                <w:sz w:val="24"/>
                <w:lang w:eastAsia="de-DE"/>
              </w:rPr>
            </w:pPr>
          </w:p>
          <w:p w14:paraId="1FEF955E" w14:textId="6C78DFB0"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Ukupna knjigovodstvena vrijednost, u skladu s točkom 27. dijela 1. Priloga V. ovoj Provedbenoj uredbi, neizvedene financijske imovine koja predstavlja izloženosti prema općoj državi za sve računovodstvene portfelje na temelju MSFI-ja ili nacionalnih općeprihvaćenih računovodstvenih načela na temelju BAD-a, kako su definirani u </w:t>
            </w:r>
            <w:r>
              <w:rPr>
                <w:rFonts w:ascii="Times New Roman" w:hAnsi="Times New Roman"/>
                <w:bCs/>
                <w:sz w:val="24"/>
                <w:highlight w:val="yellow"/>
              </w:rPr>
              <w:t>točkama od 15. do 22.</w:t>
            </w:r>
            <w:r>
              <w:rPr>
                <w:rFonts w:ascii="Times New Roman" w:hAnsi="Times New Roman"/>
                <w:bCs/>
                <w:sz w:val="24"/>
              </w:rPr>
              <w:t xml:space="preserve"> dijela 1. Priloga V. ovoj Provedbenoj uredbi i navedeni u stupcima od 030 do 120, ne uključujući kratke pozicije.</w:t>
            </w:r>
          </w:p>
          <w:p w14:paraId="4541EB73" w14:textId="77777777" w:rsidR="00FD54FC" w:rsidRPr="00A30C4C" w:rsidRDefault="00FD54FC" w:rsidP="00FD54FC">
            <w:pPr>
              <w:spacing w:before="0" w:after="0"/>
              <w:ind w:left="33"/>
              <w:rPr>
                <w:rFonts w:ascii="Times New Roman" w:hAnsi="Times New Roman"/>
                <w:bCs/>
                <w:sz w:val="24"/>
                <w:lang w:eastAsia="de-DE"/>
              </w:rPr>
            </w:pPr>
          </w:p>
          <w:p w14:paraId="0CF26C61" w14:textId="7859BDF8"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Ako institucija ima kratku poziciju s istim preostalim rokom do dospijeća i </w:t>
            </w:r>
            <w:r>
              <w:rPr>
                <w:rFonts w:ascii="Times New Roman" w:hAnsi="Times New Roman"/>
                <w:bCs/>
                <w:sz w:val="24"/>
                <w:highlight w:val="yellow"/>
              </w:rPr>
              <w:t>istom neposrednom drugom ugovornom stranom koja je denominirana u istoj valuti</w:t>
            </w:r>
            <w:r>
              <w:rPr>
                <w:rFonts w:ascii="Times New Roman" w:hAnsi="Times New Roman"/>
                <w:bCs/>
                <w:sz w:val="24"/>
              </w:rPr>
              <w:t>, knjigovodstvena vrijednost kratke pozicije prebija se knjigovodstvenom vrijednošću izravne pozicije. Smatra se da taj neto iznos iznosi nula ako je riječ o negativnom iznosu.</w:t>
            </w:r>
          </w:p>
          <w:p w14:paraId="4B34714C" w14:textId="77777777" w:rsidR="00FD54FC" w:rsidRPr="00A30C4C" w:rsidRDefault="00FD54FC" w:rsidP="00FD54FC">
            <w:pPr>
              <w:spacing w:before="0" w:after="0"/>
              <w:ind w:left="33"/>
              <w:rPr>
                <w:rFonts w:ascii="Times New Roman" w:hAnsi="Times New Roman"/>
                <w:bCs/>
                <w:sz w:val="24"/>
                <w:lang w:eastAsia="de-DE"/>
              </w:rPr>
            </w:pPr>
          </w:p>
          <w:p w14:paraId="35EB42F5" w14:textId="2FF38349"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Iskazuje se zbroj stupaca od 030 do 120 umanjen za stupac 130.</w:t>
            </w:r>
            <w:r>
              <w:rPr>
                <w:sz w:val="24"/>
              </w:rPr>
              <w:t xml:space="preserve"> </w:t>
            </w:r>
            <w:r>
              <w:rPr>
                <w:rFonts w:ascii="Times New Roman" w:hAnsi="Times New Roman"/>
                <w:bCs/>
                <w:sz w:val="24"/>
              </w:rPr>
              <w:t>Ako je taj iznos manji od nula, iskazuje se iznos nula.</w:t>
            </w:r>
          </w:p>
          <w:p w14:paraId="1D747C62"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2886DAF8" w14:textId="77777777" w:rsidTr="00672D2A">
        <w:tc>
          <w:tcPr>
            <w:tcW w:w="1188" w:type="dxa"/>
          </w:tcPr>
          <w:p w14:paraId="2CE9339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030-120</w:t>
            </w:r>
          </w:p>
        </w:tc>
        <w:tc>
          <w:tcPr>
            <w:tcW w:w="8640" w:type="dxa"/>
          </w:tcPr>
          <w:p w14:paraId="096C3AB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NEIZVEDENA FINANCIJSKA IMOVINA PO RAČUNOVODSTVENIM PORTFELJIMA</w:t>
            </w:r>
          </w:p>
          <w:p w14:paraId="181432D4" w14:textId="77777777" w:rsidR="00FD54FC" w:rsidRPr="00A30C4C" w:rsidRDefault="00FD54FC" w:rsidP="00FD54FC">
            <w:pPr>
              <w:spacing w:before="0" w:after="0"/>
              <w:ind w:left="33"/>
              <w:rPr>
                <w:rFonts w:ascii="Times New Roman" w:hAnsi="Times New Roman"/>
                <w:bCs/>
                <w:sz w:val="24"/>
                <w:lang w:eastAsia="de-DE"/>
              </w:rPr>
            </w:pPr>
          </w:p>
          <w:p w14:paraId="59EEAE07" w14:textId="6AEDC106"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Ukupna knjigovodstvena vrijednost neizvedene financijske imovine, kako je definirana u retku iznad ove tablice, koja predstavlja izloženosti prema općoj državi raščlanjene po računovodstvenom portfelju u skladu s primjenjivim računovodstvenim okvirom.</w:t>
            </w:r>
          </w:p>
          <w:p w14:paraId="34973988"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3DE98288" w14:textId="77777777" w:rsidTr="00672D2A">
        <w:tc>
          <w:tcPr>
            <w:tcW w:w="1188" w:type="dxa"/>
          </w:tcPr>
          <w:p w14:paraId="588B174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030</w:t>
            </w:r>
          </w:p>
        </w:tc>
        <w:tc>
          <w:tcPr>
            <w:tcW w:w="8640" w:type="dxa"/>
          </w:tcPr>
          <w:p w14:paraId="6B093863" w14:textId="77777777" w:rsidR="00FD54FC" w:rsidRPr="00A30C4C" w:rsidRDefault="00FD54FC" w:rsidP="00FD54FC">
            <w:pPr>
              <w:spacing w:before="0" w:after="0"/>
              <w:ind w:left="33"/>
              <w:rPr>
                <w:rFonts w:ascii="Times New Roman" w:hAnsi="Times New Roman"/>
                <w:bCs/>
                <w:sz w:val="24"/>
              </w:rPr>
            </w:pPr>
            <w:r>
              <w:rPr>
                <w:rFonts w:ascii="Times New Roman" w:hAnsi="Times New Roman"/>
                <w:b/>
                <w:bCs/>
                <w:sz w:val="24"/>
                <w:u w:val="single"/>
              </w:rPr>
              <w:t>Financijska imovina koja se drži radi trgovanja</w:t>
            </w:r>
          </w:p>
          <w:p w14:paraId="5BC52B3E" w14:textId="77777777" w:rsidR="00FD54FC" w:rsidRPr="00A30C4C" w:rsidRDefault="00FD54FC" w:rsidP="00FD54FC">
            <w:pPr>
              <w:spacing w:before="0" w:after="0"/>
              <w:ind w:left="33"/>
              <w:rPr>
                <w:rFonts w:ascii="Times New Roman" w:hAnsi="Times New Roman"/>
                <w:bCs/>
                <w:sz w:val="24"/>
                <w:lang w:eastAsia="de-DE"/>
              </w:rPr>
            </w:pPr>
          </w:p>
          <w:p w14:paraId="3618DE56" w14:textId="77777777" w:rsidR="00FD54FC" w:rsidRPr="00A30C4C" w:rsidRDefault="001C79CB" w:rsidP="00FD54FC">
            <w:pPr>
              <w:spacing w:before="0" w:after="0"/>
              <w:ind w:left="33"/>
              <w:rPr>
                <w:rFonts w:ascii="Times New Roman" w:hAnsi="Times New Roman"/>
                <w:bCs/>
                <w:sz w:val="24"/>
              </w:rPr>
            </w:pPr>
            <w:r>
              <w:rPr>
                <w:rFonts w:ascii="Times New Roman" w:hAnsi="Times New Roman"/>
                <w:bCs/>
                <w:sz w:val="24"/>
              </w:rPr>
              <w:t>MSFI 7.8(a)(ii); MSFI 9 Dodatak A</w:t>
            </w:r>
          </w:p>
          <w:p w14:paraId="731669E6"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2FF466CF" w14:textId="77777777" w:rsidTr="00672D2A">
        <w:tc>
          <w:tcPr>
            <w:tcW w:w="1188" w:type="dxa"/>
          </w:tcPr>
          <w:p w14:paraId="42417D7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040</w:t>
            </w:r>
          </w:p>
        </w:tc>
        <w:tc>
          <w:tcPr>
            <w:tcW w:w="8640" w:type="dxa"/>
          </w:tcPr>
          <w:p w14:paraId="6577F555"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kojom se trguje</w:t>
            </w:r>
          </w:p>
          <w:p w14:paraId="460B9E50" w14:textId="77777777" w:rsidR="00FD54FC" w:rsidRPr="00A30C4C" w:rsidRDefault="00FD54FC" w:rsidP="00FD54FC">
            <w:pPr>
              <w:spacing w:before="0" w:after="0"/>
              <w:ind w:left="33"/>
              <w:rPr>
                <w:rFonts w:ascii="Times New Roman" w:hAnsi="Times New Roman"/>
                <w:bCs/>
                <w:sz w:val="24"/>
                <w:lang w:eastAsia="de-DE"/>
              </w:rPr>
            </w:pPr>
          </w:p>
          <w:p w14:paraId="46C53423" w14:textId="2C095E93" w:rsidR="00FD54FC" w:rsidRPr="00A30C4C" w:rsidRDefault="00245E37" w:rsidP="00FD54FC">
            <w:pPr>
              <w:spacing w:before="0" w:after="0"/>
              <w:ind w:left="33"/>
              <w:rPr>
                <w:rFonts w:ascii="Times New Roman" w:hAnsi="Times New Roman"/>
                <w:bCs/>
                <w:sz w:val="24"/>
              </w:rPr>
            </w:pPr>
            <w:r>
              <w:rPr>
                <w:rFonts w:ascii="Times New Roman" w:hAnsi="Times New Roman"/>
                <w:bCs/>
                <w:sz w:val="24"/>
              </w:rPr>
              <w:t>Članci 32. i 33. BAD-a; točka 16. dijela 1. Priloga V. ovoj Provedbenoj uredbi; članak 8. stavak 1. točka (a) AD-a</w:t>
            </w:r>
          </w:p>
          <w:p w14:paraId="166DEAB9" w14:textId="77777777" w:rsidR="002F78EA" w:rsidRPr="00A30C4C" w:rsidRDefault="002F78EA" w:rsidP="00FD54FC">
            <w:pPr>
              <w:spacing w:before="0" w:after="0"/>
              <w:ind w:left="33"/>
              <w:rPr>
                <w:rFonts w:ascii="Times New Roman" w:hAnsi="Times New Roman"/>
                <w:bCs/>
                <w:sz w:val="24"/>
                <w:lang w:eastAsia="de-DE"/>
              </w:rPr>
            </w:pPr>
          </w:p>
          <w:p w14:paraId="54203C63" w14:textId="7E7E0A89"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Iskazuju samo institucije na koje se primjenjuju nacionalna općeprihvaćena računovodstvena načela.</w:t>
            </w:r>
          </w:p>
          <w:p w14:paraId="73B98A1D"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43742E86" w14:textId="77777777" w:rsidTr="00672D2A">
        <w:tc>
          <w:tcPr>
            <w:tcW w:w="1188" w:type="dxa"/>
          </w:tcPr>
          <w:p w14:paraId="4E18D8C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050</w:t>
            </w:r>
          </w:p>
        </w:tc>
        <w:tc>
          <w:tcPr>
            <w:tcW w:w="8640" w:type="dxa"/>
          </w:tcPr>
          <w:p w14:paraId="2A424D39"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kojom se ne trguje koja se obvezno mjeri po fer vrijednosti kroz dobit ili gubitak</w:t>
            </w:r>
          </w:p>
          <w:p w14:paraId="4C995D3F" w14:textId="77777777" w:rsidR="00FD54FC" w:rsidRPr="00A30C4C" w:rsidRDefault="00FD54FC" w:rsidP="00FD54FC">
            <w:pPr>
              <w:spacing w:before="0" w:after="0"/>
              <w:ind w:left="33"/>
              <w:rPr>
                <w:rFonts w:ascii="Times New Roman" w:hAnsi="Times New Roman"/>
                <w:bCs/>
                <w:sz w:val="24"/>
                <w:lang w:eastAsia="de-DE"/>
              </w:rPr>
            </w:pPr>
          </w:p>
          <w:p w14:paraId="329B160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MSFI 7.8(a)(ii); MSFI 9.4.1.4</w:t>
            </w:r>
          </w:p>
          <w:p w14:paraId="02A9B43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203366A" w14:textId="77777777" w:rsidTr="00672D2A">
        <w:tc>
          <w:tcPr>
            <w:tcW w:w="1188" w:type="dxa"/>
          </w:tcPr>
          <w:p w14:paraId="5B29A48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060</w:t>
            </w:r>
          </w:p>
        </w:tc>
        <w:tc>
          <w:tcPr>
            <w:tcW w:w="8640" w:type="dxa"/>
          </w:tcPr>
          <w:p w14:paraId="67996AFD"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po fer vrijednosti kroz dobit ili gubitak</w:t>
            </w:r>
          </w:p>
          <w:p w14:paraId="03AA629A" w14:textId="77777777" w:rsidR="00FD54FC" w:rsidRPr="00A30C4C" w:rsidRDefault="00FD54FC" w:rsidP="00FD54FC">
            <w:pPr>
              <w:spacing w:before="0" w:after="0"/>
              <w:ind w:left="33"/>
              <w:rPr>
                <w:rFonts w:ascii="Times New Roman" w:hAnsi="Times New Roman"/>
                <w:bCs/>
                <w:sz w:val="24"/>
                <w:lang w:eastAsia="de-DE"/>
              </w:rPr>
            </w:pPr>
          </w:p>
          <w:p w14:paraId="3A9556A2" w14:textId="27AA51B2"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MSFI 7.8(a)(i); MSFI 9.4.1.5 i članak 8. stavak 1. točka (a) i članak 8. stavak 6. AD-a</w:t>
            </w:r>
          </w:p>
          <w:p w14:paraId="0E295088"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3FAC6E46" w14:textId="77777777" w:rsidTr="00672D2A">
        <w:tc>
          <w:tcPr>
            <w:tcW w:w="1188" w:type="dxa"/>
          </w:tcPr>
          <w:p w14:paraId="304B658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070</w:t>
            </w:r>
          </w:p>
        </w:tc>
        <w:tc>
          <w:tcPr>
            <w:tcW w:w="8640" w:type="dxa"/>
          </w:tcPr>
          <w:p w14:paraId="578226B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Neizvedena financijska imovina kojom se ne trguje koja se mjeri po fer vrijednosti kroz dobit ili gubitak </w:t>
            </w:r>
          </w:p>
          <w:p w14:paraId="3714D376" w14:textId="77777777" w:rsidR="00FD54FC" w:rsidRPr="00A30C4C" w:rsidRDefault="00FD54FC" w:rsidP="00FD54FC">
            <w:pPr>
              <w:spacing w:before="0" w:after="0"/>
              <w:ind w:left="33"/>
              <w:rPr>
                <w:rFonts w:ascii="Times New Roman" w:hAnsi="Times New Roman"/>
                <w:bCs/>
                <w:sz w:val="24"/>
                <w:lang w:eastAsia="de-DE"/>
              </w:rPr>
            </w:pPr>
          </w:p>
          <w:p w14:paraId="3501358D" w14:textId="54D3347B" w:rsidR="00FD54FC" w:rsidRPr="00A30C4C" w:rsidRDefault="002F78EA" w:rsidP="00FD54FC">
            <w:pPr>
              <w:spacing w:before="0" w:after="0"/>
              <w:ind w:left="33"/>
              <w:rPr>
                <w:rFonts w:ascii="Times New Roman" w:hAnsi="Times New Roman"/>
                <w:bCs/>
                <w:sz w:val="24"/>
              </w:rPr>
            </w:pPr>
            <w:r>
              <w:rPr>
                <w:rFonts w:ascii="Times New Roman" w:hAnsi="Times New Roman"/>
                <w:bCs/>
                <w:sz w:val="24"/>
              </w:rPr>
              <w:t>Članak 36. stavak 2. BAD-a; članak 8. stavak 1. točka (a) AD-a</w:t>
            </w:r>
          </w:p>
          <w:p w14:paraId="0A703A58" w14:textId="77777777" w:rsidR="00FD54FC" w:rsidRPr="00A30C4C" w:rsidRDefault="00FD54FC" w:rsidP="00FD54FC">
            <w:pPr>
              <w:spacing w:before="0" w:after="0"/>
              <w:ind w:left="33"/>
              <w:rPr>
                <w:rFonts w:ascii="Times New Roman" w:hAnsi="Times New Roman"/>
                <w:bCs/>
                <w:sz w:val="24"/>
                <w:lang w:eastAsia="de-DE"/>
              </w:rPr>
            </w:pPr>
          </w:p>
          <w:p w14:paraId="1BE801F4" w14:textId="459133CA"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14:paraId="2E9FB340"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41921E42" w14:textId="77777777" w:rsidTr="00672D2A">
        <w:tc>
          <w:tcPr>
            <w:tcW w:w="1188" w:type="dxa"/>
          </w:tcPr>
          <w:p w14:paraId="550F4CF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080</w:t>
            </w:r>
          </w:p>
        </w:tc>
        <w:tc>
          <w:tcPr>
            <w:tcW w:w="8640" w:type="dxa"/>
          </w:tcPr>
          <w:p w14:paraId="4708A24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po fer vrijednosti kroz ostalu sveobuhvatnu dobit</w:t>
            </w:r>
          </w:p>
          <w:p w14:paraId="3145817D" w14:textId="77777777" w:rsidR="00FD54FC" w:rsidRPr="00A30C4C" w:rsidRDefault="00FD54FC" w:rsidP="00FD54FC">
            <w:pPr>
              <w:spacing w:before="0" w:after="0"/>
              <w:ind w:left="33"/>
              <w:rPr>
                <w:rFonts w:ascii="Times New Roman" w:hAnsi="Times New Roman"/>
                <w:bCs/>
                <w:sz w:val="24"/>
                <w:lang w:eastAsia="de-DE"/>
              </w:rPr>
            </w:pPr>
          </w:p>
          <w:p w14:paraId="5285652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MSFI 7.8(d); MSFI 9.4.1.2A</w:t>
            </w:r>
          </w:p>
          <w:p w14:paraId="6285C98D" w14:textId="77777777" w:rsidR="00FD54FC" w:rsidRPr="00A30C4C" w:rsidRDefault="00FD54FC" w:rsidP="00FD54FC">
            <w:pPr>
              <w:spacing w:before="0" w:after="0"/>
              <w:ind w:left="33"/>
              <w:rPr>
                <w:rFonts w:ascii="Times New Roman" w:hAnsi="Times New Roman"/>
                <w:b/>
                <w:bCs/>
                <w:sz w:val="24"/>
                <w:lang w:eastAsia="de-DE"/>
              </w:rPr>
            </w:pPr>
          </w:p>
        </w:tc>
      </w:tr>
      <w:tr w:rsidR="00FD54FC" w:rsidRPr="00A30C4C" w14:paraId="7224C013" w14:textId="77777777" w:rsidTr="00672D2A">
        <w:tc>
          <w:tcPr>
            <w:tcW w:w="1188" w:type="dxa"/>
          </w:tcPr>
          <w:p w14:paraId="1D9FA35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090</w:t>
            </w:r>
          </w:p>
        </w:tc>
        <w:tc>
          <w:tcPr>
            <w:tcW w:w="8640" w:type="dxa"/>
          </w:tcPr>
          <w:p w14:paraId="104B1B6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Neizvedena financijska imovina kojom se ne trguje koja se mjeri po fer vrijednosti kroz kapital</w:t>
            </w:r>
          </w:p>
          <w:p w14:paraId="2C65FDA1" w14:textId="77777777" w:rsidR="00FD54FC" w:rsidRPr="00A30C4C" w:rsidRDefault="00FD54FC" w:rsidP="00FD54FC">
            <w:pPr>
              <w:spacing w:before="0" w:after="0"/>
              <w:ind w:left="33"/>
              <w:rPr>
                <w:rFonts w:ascii="Times New Roman" w:hAnsi="Times New Roman"/>
                <w:bCs/>
                <w:sz w:val="24"/>
                <w:lang w:eastAsia="de-DE"/>
              </w:rPr>
            </w:pPr>
          </w:p>
          <w:p w14:paraId="5FBFD577" w14:textId="7E40B0B7" w:rsidR="00FD54FC" w:rsidRPr="00A30C4C" w:rsidRDefault="00B14253" w:rsidP="00FD54FC">
            <w:pPr>
              <w:spacing w:before="0" w:after="0"/>
              <w:ind w:left="33"/>
              <w:rPr>
                <w:rFonts w:ascii="Times New Roman" w:hAnsi="Times New Roman"/>
                <w:bCs/>
                <w:sz w:val="24"/>
              </w:rPr>
            </w:pPr>
            <w:r>
              <w:rPr>
                <w:rFonts w:ascii="Times New Roman" w:hAnsi="Times New Roman"/>
                <w:bCs/>
                <w:sz w:val="24"/>
              </w:rPr>
              <w:t>Članak 8. stavak 1. točka (a) i članak 8. stavak 8. AD-a</w:t>
            </w:r>
          </w:p>
          <w:p w14:paraId="5D6D171C" w14:textId="77777777" w:rsidR="00FD54FC" w:rsidRPr="00A30C4C" w:rsidRDefault="00FD54FC" w:rsidP="00FD54FC">
            <w:pPr>
              <w:spacing w:before="0" w:after="0"/>
              <w:ind w:left="33"/>
              <w:rPr>
                <w:rFonts w:ascii="Times New Roman" w:hAnsi="Times New Roman"/>
                <w:bCs/>
                <w:sz w:val="24"/>
                <w:lang w:eastAsia="de-DE"/>
              </w:rPr>
            </w:pPr>
          </w:p>
          <w:p w14:paraId="0A9C56BC" w14:textId="12C862AE"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14:paraId="2AB80F0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022AA6CD" w14:textId="77777777" w:rsidTr="00672D2A">
        <w:tc>
          <w:tcPr>
            <w:tcW w:w="1188" w:type="dxa"/>
          </w:tcPr>
          <w:p w14:paraId="06E99EE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100</w:t>
            </w:r>
          </w:p>
        </w:tc>
        <w:tc>
          <w:tcPr>
            <w:tcW w:w="8640" w:type="dxa"/>
          </w:tcPr>
          <w:p w14:paraId="4B80C88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Financijska imovina po amortiziranom trošku</w:t>
            </w:r>
          </w:p>
          <w:p w14:paraId="26998BA8" w14:textId="77777777" w:rsidR="00FD54FC" w:rsidRPr="00A30C4C" w:rsidRDefault="00FD54FC" w:rsidP="00FD54FC">
            <w:pPr>
              <w:spacing w:before="0" w:after="0"/>
              <w:ind w:left="33"/>
              <w:rPr>
                <w:rFonts w:ascii="Times New Roman" w:hAnsi="Times New Roman"/>
                <w:bCs/>
                <w:sz w:val="24"/>
                <w:lang w:eastAsia="de-DE"/>
              </w:rPr>
            </w:pPr>
          </w:p>
          <w:p w14:paraId="6B8F70BD" w14:textId="797206E6" w:rsidR="00FD54FC" w:rsidRPr="00A30C4C"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MSFI 7.8(f); MSFI 9.4.1.2.; </w:t>
            </w:r>
            <w:r>
              <w:rPr>
                <w:rFonts w:ascii="Times New Roman" w:hAnsi="Times New Roman"/>
                <w:bCs/>
                <w:sz w:val="24"/>
                <w:highlight w:val="yellow"/>
              </w:rPr>
              <w:t>točka 15. dijela 1.</w:t>
            </w:r>
            <w:r>
              <w:rPr>
                <w:rFonts w:ascii="Times New Roman" w:hAnsi="Times New Roman"/>
                <w:bCs/>
                <w:sz w:val="24"/>
              </w:rPr>
              <w:t xml:space="preserve"> Priloga V. ovoj Provedbenoj uredbi</w:t>
            </w:r>
          </w:p>
          <w:p w14:paraId="78E4F226"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59EABBC" w14:textId="77777777" w:rsidTr="00672D2A">
        <w:tc>
          <w:tcPr>
            <w:tcW w:w="1188" w:type="dxa"/>
          </w:tcPr>
          <w:p w14:paraId="394DB7D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110</w:t>
            </w:r>
          </w:p>
        </w:tc>
        <w:tc>
          <w:tcPr>
            <w:tcW w:w="8640" w:type="dxa"/>
          </w:tcPr>
          <w:p w14:paraId="7592F492"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Neizvedena financijska imovina kojom se ne trguje koja se mjeri metodom troška</w:t>
            </w:r>
          </w:p>
          <w:p w14:paraId="21BD75BC" w14:textId="77777777" w:rsidR="00FD54FC" w:rsidRPr="00A30C4C" w:rsidRDefault="00FD54FC" w:rsidP="00FD54FC">
            <w:pPr>
              <w:spacing w:before="0" w:after="0"/>
              <w:ind w:left="33"/>
              <w:rPr>
                <w:rFonts w:ascii="Times New Roman" w:hAnsi="Times New Roman"/>
                <w:bCs/>
                <w:sz w:val="24"/>
                <w:lang w:eastAsia="de-DE"/>
              </w:rPr>
            </w:pPr>
          </w:p>
          <w:p w14:paraId="7C5A67F6" w14:textId="104E3DCF" w:rsidR="00FD54FC" w:rsidRPr="00A30C4C" w:rsidRDefault="002F78EA" w:rsidP="00FD54FC">
            <w:pPr>
              <w:spacing w:before="0" w:after="0"/>
              <w:ind w:left="33"/>
              <w:rPr>
                <w:rFonts w:ascii="Times New Roman" w:hAnsi="Times New Roman"/>
                <w:bCs/>
                <w:sz w:val="24"/>
              </w:rPr>
            </w:pPr>
            <w:r>
              <w:rPr>
                <w:rFonts w:ascii="Times New Roman" w:hAnsi="Times New Roman"/>
                <w:bCs/>
                <w:sz w:val="24"/>
              </w:rPr>
              <w:t xml:space="preserve">Članak 35. BAD-a; članak 6. stavak 1. točka (i) i članak 8. stavak 2. AD-a; </w:t>
            </w:r>
            <w:r>
              <w:rPr>
                <w:rFonts w:ascii="Times New Roman" w:hAnsi="Times New Roman"/>
                <w:bCs/>
                <w:sz w:val="24"/>
                <w:highlight w:val="yellow"/>
              </w:rPr>
              <w:t>točka 16.</w:t>
            </w:r>
            <w:r>
              <w:rPr>
                <w:rFonts w:ascii="Times New Roman" w:hAnsi="Times New Roman"/>
                <w:bCs/>
                <w:sz w:val="24"/>
              </w:rPr>
              <w:t xml:space="preserve"> dijela 1. Priloga V. ovoj Provedbenoj uredbi</w:t>
            </w:r>
          </w:p>
          <w:p w14:paraId="33535130" w14:textId="77777777" w:rsidR="00FD54FC" w:rsidRPr="00A30C4C" w:rsidRDefault="00FD54FC" w:rsidP="00FD54FC">
            <w:pPr>
              <w:spacing w:before="0" w:after="0"/>
              <w:ind w:left="33"/>
              <w:rPr>
                <w:rFonts w:ascii="Times New Roman" w:hAnsi="Times New Roman"/>
                <w:bCs/>
                <w:sz w:val="24"/>
                <w:lang w:eastAsia="de-DE"/>
              </w:rPr>
            </w:pPr>
          </w:p>
          <w:p w14:paraId="2761A2AD" w14:textId="24A5F47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Iskazuju samo institucije na koje se primjenjuju nacionalna općeprihvaćena računovodstvena načela.</w:t>
            </w:r>
          </w:p>
          <w:p w14:paraId="67AA918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B5CE477" w14:textId="77777777" w:rsidTr="00672D2A">
        <w:tc>
          <w:tcPr>
            <w:tcW w:w="1188" w:type="dxa"/>
          </w:tcPr>
          <w:p w14:paraId="032F192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120</w:t>
            </w:r>
          </w:p>
        </w:tc>
        <w:tc>
          <w:tcPr>
            <w:tcW w:w="8640" w:type="dxa"/>
          </w:tcPr>
          <w:p w14:paraId="40E49614"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Ostala neizvedena financijska imovina kojom se ne trguje </w:t>
            </w:r>
          </w:p>
          <w:p w14:paraId="1C5E5DDA" w14:textId="77777777" w:rsidR="00FD54FC" w:rsidRPr="00A30C4C" w:rsidRDefault="00FD54FC" w:rsidP="00FD54FC">
            <w:pPr>
              <w:spacing w:before="0" w:after="0"/>
              <w:ind w:left="33"/>
              <w:rPr>
                <w:rFonts w:ascii="Times New Roman" w:hAnsi="Times New Roman"/>
                <w:bCs/>
                <w:sz w:val="24"/>
                <w:lang w:eastAsia="de-DE"/>
              </w:rPr>
            </w:pPr>
          </w:p>
          <w:p w14:paraId="6B4343D7" w14:textId="423FCED2" w:rsidR="00FD54FC" w:rsidRPr="00A30C4C" w:rsidRDefault="002B004B" w:rsidP="00FD54FC">
            <w:pPr>
              <w:spacing w:before="0" w:after="0"/>
              <w:ind w:left="33"/>
              <w:rPr>
                <w:rFonts w:ascii="Times New Roman" w:hAnsi="Times New Roman"/>
                <w:bCs/>
                <w:sz w:val="24"/>
              </w:rPr>
            </w:pPr>
            <w:r>
              <w:rPr>
                <w:rFonts w:ascii="Times New Roman" w:hAnsi="Times New Roman"/>
                <w:bCs/>
                <w:sz w:val="24"/>
              </w:rPr>
              <w:t>Članak 37. BAD-a</w:t>
            </w:r>
            <w:r w:rsidR="002A2243">
              <w:rPr>
                <w:rFonts w:ascii="Times New Roman" w:hAnsi="Times New Roman"/>
                <w:bCs/>
                <w:sz w:val="24"/>
              </w:rPr>
              <w:t>; č</w:t>
            </w:r>
            <w:r>
              <w:rPr>
                <w:rFonts w:ascii="Times New Roman" w:hAnsi="Times New Roman"/>
                <w:bCs/>
                <w:sz w:val="24"/>
              </w:rPr>
              <w:t>lanak 12. stavak 7. AD-a</w:t>
            </w:r>
            <w:r w:rsidR="002A2243">
              <w:rPr>
                <w:rFonts w:ascii="Times New Roman" w:hAnsi="Times New Roman"/>
                <w:bCs/>
                <w:sz w:val="24"/>
              </w:rPr>
              <w:t>;</w:t>
            </w:r>
            <w:r>
              <w:rPr>
                <w:rFonts w:ascii="Times New Roman" w:hAnsi="Times New Roman"/>
                <w:bCs/>
                <w:sz w:val="24"/>
              </w:rPr>
              <w:t xml:space="preserve"> </w:t>
            </w:r>
            <w:r>
              <w:rPr>
                <w:rFonts w:ascii="Times New Roman" w:hAnsi="Times New Roman"/>
                <w:bCs/>
                <w:sz w:val="24"/>
                <w:highlight w:val="yellow"/>
              </w:rPr>
              <w:t>Točka 16.</w:t>
            </w:r>
            <w:r>
              <w:rPr>
                <w:rFonts w:ascii="Times New Roman" w:hAnsi="Times New Roman"/>
                <w:bCs/>
                <w:sz w:val="24"/>
              </w:rPr>
              <w:t xml:space="preserve"> dijela 1. Priloga V. ovoj Provedbenoj uredbi</w:t>
            </w:r>
          </w:p>
          <w:p w14:paraId="0E8E9288" w14:textId="77777777" w:rsidR="00FD54FC" w:rsidRPr="00A30C4C" w:rsidRDefault="00FD54FC" w:rsidP="00FD54FC">
            <w:pPr>
              <w:spacing w:before="0" w:after="0"/>
              <w:ind w:left="33"/>
              <w:rPr>
                <w:rFonts w:ascii="Times New Roman" w:hAnsi="Times New Roman"/>
                <w:bCs/>
                <w:sz w:val="24"/>
                <w:lang w:eastAsia="de-DE"/>
              </w:rPr>
            </w:pPr>
          </w:p>
          <w:p w14:paraId="005AEDF2" w14:textId="77035DFD"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Iskazuju samo institucije na koje se primjenjuju nacionalna općeprihvaćena računovodstvena načela.</w:t>
            </w:r>
          </w:p>
          <w:p w14:paraId="3B670CA5"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776AA02" w14:textId="77777777" w:rsidTr="00672D2A">
        <w:tc>
          <w:tcPr>
            <w:tcW w:w="1188" w:type="dxa"/>
          </w:tcPr>
          <w:p w14:paraId="35B59F3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130</w:t>
            </w:r>
          </w:p>
        </w:tc>
        <w:tc>
          <w:tcPr>
            <w:tcW w:w="8640" w:type="dxa"/>
          </w:tcPr>
          <w:p w14:paraId="13AAEAA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Kratke pozicije</w:t>
            </w:r>
          </w:p>
          <w:p w14:paraId="1EF926C5" w14:textId="77777777" w:rsidR="00FD54FC" w:rsidRPr="00A30C4C" w:rsidRDefault="00FD54FC" w:rsidP="00FD54FC">
            <w:pPr>
              <w:spacing w:before="0" w:after="0"/>
              <w:ind w:left="33"/>
              <w:rPr>
                <w:rFonts w:ascii="Times New Roman" w:hAnsi="Times New Roman"/>
                <w:bCs/>
                <w:sz w:val="24"/>
                <w:lang w:eastAsia="de-DE"/>
              </w:rPr>
            </w:pPr>
          </w:p>
          <w:p w14:paraId="57511115" w14:textId="3CA6BA4E"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Knjigovodstvena vrijednost kratkih pozicija, kako je definirano u MSFI-ju 9 BA.7(b) ako je izravna druga ugovorna strana opća država kako je definirano u točkama od 155. do 160 ovog Priloga.</w:t>
            </w:r>
          </w:p>
          <w:p w14:paraId="5C093156" w14:textId="77777777" w:rsidR="00FD54FC" w:rsidRPr="00A30C4C" w:rsidRDefault="00FD54FC" w:rsidP="00FD54FC">
            <w:pPr>
              <w:spacing w:before="0" w:after="0"/>
              <w:ind w:left="33"/>
              <w:rPr>
                <w:rFonts w:ascii="Times New Roman" w:hAnsi="Times New Roman"/>
                <w:bCs/>
                <w:sz w:val="24"/>
                <w:lang w:eastAsia="de-DE"/>
              </w:rPr>
            </w:pPr>
          </w:p>
          <w:p w14:paraId="67B6A0DB" w14:textId="0E5A965A"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Kratke pozicije nastaju ako institucija prodaje vrijednosne papire koje je stekla u okviru obratnog repo kredita ili koje je pozajmila u okviru transakcije pozajmljivanja vrijednosnih papira.</w:t>
            </w:r>
          </w:p>
          <w:p w14:paraId="6445F1FC" w14:textId="77777777" w:rsidR="00FD54FC" w:rsidRPr="00A30C4C" w:rsidRDefault="00FD54FC" w:rsidP="00FD54FC">
            <w:pPr>
              <w:spacing w:before="0" w:after="0"/>
              <w:ind w:left="33"/>
              <w:rPr>
                <w:rFonts w:ascii="Times New Roman" w:hAnsi="Times New Roman"/>
                <w:bCs/>
                <w:sz w:val="24"/>
                <w:lang w:eastAsia="de-DE"/>
              </w:rPr>
            </w:pPr>
          </w:p>
          <w:p w14:paraId="6A61371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Knjigovodstvena vrijednost jednaka je fer vrijednosti kratkih pozicija.</w:t>
            </w:r>
          </w:p>
          <w:p w14:paraId="2E8C93A7" w14:textId="77777777" w:rsidR="00FD54FC" w:rsidRPr="00A30C4C" w:rsidRDefault="00FD54FC" w:rsidP="00FD54FC">
            <w:pPr>
              <w:spacing w:before="0" w:after="0"/>
              <w:ind w:left="33"/>
              <w:rPr>
                <w:rFonts w:ascii="Times New Roman" w:hAnsi="Times New Roman"/>
                <w:bCs/>
                <w:sz w:val="24"/>
                <w:lang w:eastAsia="de-DE"/>
              </w:rPr>
            </w:pPr>
          </w:p>
          <w:p w14:paraId="62093D04" w14:textId="4A73E6EC" w:rsidR="00FD54FC" w:rsidRPr="00A30C4C" w:rsidRDefault="00FD54FC" w:rsidP="00127986">
            <w:pPr>
              <w:spacing w:before="0" w:after="0"/>
              <w:ind w:left="33"/>
              <w:rPr>
                <w:rFonts w:ascii="Times New Roman" w:hAnsi="Times New Roman"/>
                <w:bCs/>
                <w:sz w:val="24"/>
              </w:rPr>
            </w:pPr>
            <w:r>
              <w:rPr>
                <w:rFonts w:ascii="Times New Roman" w:hAnsi="Times New Roman"/>
                <w:bCs/>
                <w:sz w:val="24"/>
              </w:rPr>
              <w:t xml:space="preserve">Kratke pozicije iskazuju se prema razdoblju preostalog roka do dospijeća, kako je navedeno u redcima od 170 do 230, i prema neposrednoj drugoj ugovornoj strani. Kratke pozicije koriste se za </w:t>
            </w:r>
            <w:proofErr w:type="spellStart"/>
            <w:r>
              <w:rPr>
                <w:rFonts w:ascii="Times New Roman" w:hAnsi="Times New Roman"/>
                <w:bCs/>
                <w:sz w:val="24"/>
              </w:rPr>
              <w:t>netiranje</w:t>
            </w:r>
            <w:proofErr w:type="spellEnd"/>
            <w:r>
              <w:rPr>
                <w:rFonts w:ascii="Times New Roman" w:hAnsi="Times New Roman"/>
                <w:bCs/>
                <w:sz w:val="24"/>
              </w:rPr>
              <w:t xml:space="preserve"> s pozicijama koje imaju isti preostali rok do dospijeća i neposrednu drugu ugovornu stranu za potrebe izračuna u stupcima od 030 do 120.</w:t>
            </w:r>
          </w:p>
        </w:tc>
      </w:tr>
      <w:tr w:rsidR="00FD54FC" w:rsidRPr="00A30C4C" w14:paraId="0744067D" w14:textId="77777777" w:rsidTr="00672D2A">
        <w:tc>
          <w:tcPr>
            <w:tcW w:w="1188" w:type="dxa"/>
          </w:tcPr>
          <w:p w14:paraId="3E64C340" w14:textId="77777777" w:rsidR="00FD54FC" w:rsidRPr="00A30C4C" w:rsidDel="00E97A51" w:rsidRDefault="00FD54FC" w:rsidP="00FD54FC">
            <w:pPr>
              <w:spacing w:before="0" w:after="0"/>
              <w:ind w:left="33"/>
              <w:rPr>
                <w:rFonts w:ascii="Times New Roman" w:hAnsi="Times New Roman"/>
                <w:bCs/>
                <w:sz w:val="24"/>
              </w:rPr>
            </w:pPr>
            <w:r>
              <w:rPr>
                <w:rFonts w:ascii="Times New Roman" w:hAnsi="Times New Roman"/>
                <w:bCs/>
                <w:sz w:val="24"/>
              </w:rPr>
              <w:t>140</w:t>
            </w:r>
          </w:p>
        </w:tc>
        <w:tc>
          <w:tcPr>
            <w:tcW w:w="8640" w:type="dxa"/>
          </w:tcPr>
          <w:p w14:paraId="3AA354C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Od čega: kratke pozicije iz obratnih repo kredita koji se klasificiraju kao financijska imovina koja se drži radi trgovanja ili kojom se trguje</w:t>
            </w:r>
          </w:p>
          <w:p w14:paraId="26F7362C" w14:textId="77777777" w:rsidR="00FD54FC" w:rsidRPr="00A30C4C" w:rsidRDefault="00FD54FC" w:rsidP="00FD54FC">
            <w:pPr>
              <w:spacing w:before="0" w:after="0"/>
              <w:ind w:left="33"/>
              <w:rPr>
                <w:rFonts w:ascii="Times New Roman" w:hAnsi="Times New Roman"/>
                <w:bCs/>
                <w:sz w:val="24"/>
                <w:lang w:eastAsia="de-DE"/>
              </w:rPr>
            </w:pPr>
          </w:p>
          <w:p w14:paraId="74E60974" w14:textId="64E24DF0"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Knjigovodstvena vrijednost kratkih pozicija, kako je definirano u MSFI-ju 9 BA.7(b), koje nastaju kad institucija prodaje vrijednosne papire koje je stekla u okviru obratnih repo kredita, u kojima je opća država izravna druga ugovorna strana tih vrijednosnih papira i koji su uključeni u računovodstvene portfelje financijske imovine koja se drži radi trgovanja ili kojom se trguje (stupac 030 ili 040).</w:t>
            </w:r>
          </w:p>
          <w:p w14:paraId="38058E51" w14:textId="77777777" w:rsidR="00FD54FC" w:rsidRPr="00A30C4C" w:rsidRDefault="00FD54FC" w:rsidP="00FD54FC">
            <w:pPr>
              <w:spacing w:before="0" w:after="0"/>
              <w:ind w:left="33"/>
              <w:rPr>
                <w:rFonts w:ascii="Times New Roman" w:hAnsi="Times New Roman"/>
                <w:b/>
                <w:bCs/>
                <w:sz w:val="24"/>
                <w:u w:val="single"/>
                <w:lang w:eastAsia="de-DE"/>
              </w:rPr>
            </w:pPr>
          </w:p>
          <w:p w14:paraId="483197E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Kratke pozicije koje nastaju kad su prodani vrijednosni papiri pozajmljeni u okviru transakcije pozajmljivanja vrijednosnih papira ne uključuju se u ovaj stupac. </w:t>
            </w:r>
          </w:p>
          <w:p w14:paraId="319DA15C" w14:textId="77777777" w:rsidR="00FD54FC" w:rsidRPr="00A30C4C" w:rsidDel="00E97A51" w:rsidRDefault="00FD54FC" w:rsidP="00FD54FC">
            <w:pPr>
              <w:spacing w:before="0" w:after="0"/>
              <w:ind w:left="33"/>
              <w:rPr>
                <w:rFonts w:ascii="Times New Roman" w:hAnsi="Times New Roman"/>
                <w:b/>
                <w:bCs/>
                <w:sz w:val="24"/>
                <w:u w:val="single"/>
                <w:lang w:eastAsia="de-DE"/>
              </w:rPr>
            </w:pPr>
          </w:p>
        </w:tc>
      </w:tr>
      <w:tr w:rsidR="00FD54FC" w:rsidRPr="00A30C4C" w:rsidDel="004A25FD" w14:paraId="7E9D7807" w14:textId="77777777" w:rsidTr="00672D2A">
        <w:tc>
          <w:tcPr>
            <w:tcW w:w="1188" w:type="dxa"/>
          </w:tcPr>
          <w:p w14:paraId="57B9A880" w14:textId="77777777" w:rsidR="00FD54FC" w:rsidRPr="00A30C4C" w:rsidDel="004A25FD" w:rsidRDefault="00FD54FC" w:rsidP="00FD54FC">
            <w:pPr>
              <w:spacing w:before="0" w:after="0"/>
              <w:ind w:left="33"/>
              <w:rPr>
                <w:rFonts w:ascii="Times New Roman" w:hAnsi="Times New Roman"/>
                <w:bCs/>
                <w:sz w:val="24"/>
              </w:rPr>
            </w:pPr>
            <w:r>
              <w:rPr>
                <w:rFonts w:ascii="Times New Roman" w:hAnsi="Times New Roman"/>
                <w:bCs/>
                <w:sz w:val="24"/>
              </w:rPr>
              <w:t>150</w:t>
            </w:r>
          </w:p>
        </w:tc>
        <w:tc>
          <w:tcPr>
            <w:tcW w:w="8640" w:type="dxa"/>
          </w:tcPr>
          <w:p w14:paraId="08820E1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Akumulirano umanjenje vrijednosti</w:t>
            </w:r>
          </w:p>
          <w:p w14:paraId="00636F29" w14:textId="77777777" w:rsidR="00FD54FC" w:rsidRPr="00A30C4C" w:rsidRDefault="00FD54FC" w:rsidP="00FD54FC">
            <w:pPr>
              <w:spacing w:before="0" w:after="0"/>
              <w:ind w:left="33"/>
              <w:rPr>
                <w:rFonts w:ascii="Times New Roman" w:hAnsi="Times New Roman"/>
                <w:b/>
                <w:bCs/>
                <w:sz w:val="24"/>
                <w:u w:val="single"/>
                <w:lang w:eastAsia="de-DE"/>
              </w:rPr>
            </w:pPr>
          </w:p>
          <w:p w14:paraId="01AC3377" w14:textId="315B593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Ukupno akumulirano umanjenje vrijednosti koje se odnosi na neizvedenu financijsku imovinu iskazanu u stupcima od 080 do 120 (točke 70. i 71. dijela 2. Priloga V. ovoj Provedbenoj uredbi)</w:t>
            </w:r>
          </w:p>
          <w:p w14:paraId="463F1F38" w14:textId="77777777" w:rsidR="00FD54FC" w:rsidRPr="00A30C4C" w:rsidDel="004A25FD" w:rsidRDefault="00FD54FC" w:rsidP="00FD54FC">
            <w:pPr>
              <w:spacing w:before="0" w:after="0"/>
              <w:ind w:left="33"/>
              <w:rPr>
                <w:rFonts w:ascii="Times New Roman" w:hAnsi="Times New Roman"/>
                <w:bCs/>
                <w:sz w:val="24"/>
                <w:lang w:eastAsia="de-DE"/>
              </w:rPr>
            </w:pPr>
          </w:p>
        </w:tc>
      </w:tr>
      <w:tr w:rsidR="00FD54FC" w:rsidRPr="00A30C4C" w14:paraId="58743D2E" w14:textId="77777777" w:rsidTr="00672D2A">
        <w:tc>
          <w:tcPr>
            <w:tcW w:w="1188" w:type="dxa"/>
          </w:tcPr>
          <w:p w14:paraId="7A12968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160</w:t>
            </w:r>
          </w:p>
        </w:tc>
        <w:tc>
          <w:tcPr>
            <w:tcW w:w="8640" w:type="dxa"/>
          </w:tcPr>
          <w:p w14:paraId="3624DDB5"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Akumulirano umanjenje vrijednosti – od čega: financijske imovine po fer vrijednosti kroz ostalu sveobuhvatnu dobit ili neizvedene financijske imovine kojom se ne trguje koja se mjeri po fer vrijednosti kroz kapital</w:t>
            </w:r>
          </w:p>
          <w:p w14:paraId="3F5A328F" w14:textId="77777777" w:rsidR="00FD54FC" w:rsidRPr="00A30C4C" w:rsidRDefault="00FD54FC" w:rsidP="00FD54FC">
            <w:pPr>
              <w:spacing w:before="0" w:after="0"/>
              <w:ind w:left="33"/>
              <w:rPr>
                <w:rFonts w:ascii="Times New Roman" w:hAnsi="Times New Roman"/>
                <w:b/>
                <w:bCs/>
                <w:sz w:val="24"/>
                <w:u w:val="single"/>
                <w:lang w:eastAsia="de-DE"/>
              </w:rPr>
            </w:pPr>
          </w:p>
          <w:p w14:paraId="02526E9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Ukupno akumulirano umanjenje vrijednosti koje se odnosi na neizvedenu financijsku imovinu iskazanu u stupcima 080 i 090. </w:t>
            </w:r>
          </w:p>
          <w:p w14:paraId="2F68899E"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rsidDel="004A25FD" w14:paraId="3774B7A3" w14:textId="77777777" w:rsidTr="00672D2A">
        <w:tc>
          <w:tcPr>
            <w:tcW w:w="1188" w:type="dxa"/>
          </w:tcPr>
          <w:p w14:paraId="7E5BE2D3" w14:textId="77777777" w:rsidR="00FD54FC" w:rsidRPr="00A30C4C" w:rsidDel="004A25FD" w:rsidRDefault="00FD54FC" w:rsidP="00FD54FC">
            <w:pPr>
              <w:spacing w:before="0" w:after="0"/>
              <w:ind w:left="33"/>
              <w:rPr>
                <w:rFonts w:ascii="Times New Roman" w:hAnsi="Times New Roman"/>
                <w:bCs/>
                <w:sz w:val="24"/>
              </w:rPr>
            </w:pPr>
            <w:r>
              <w:rPr>
                <w:rFonts w:ascii="Times New Roman" w:hAnsi="Times New Roman"/>
                <w:bCs/>
                <w:sz w:val="24"/>
              </w:rPr>
              <w:t>170</w:t>
            </w:r>
          </w:p>
        </w:tc>
        <w:tc>
          <w:tcPr>
            <w:tcW w:w="8640" w:type="dxa"/>
          </w:tcPr>
          <w:p w14:paraId="2619C60B"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Akumulirane negativne promjene fer vrijednosti zbog kreditnog rizika </w:t>
            </w:r>
          </w:p>
          <w:p w14:paraId="45CF648B" w14:textId="77777777" w:rsidR="00FD54FC" w:rsidRPr="00A30C4C" w:rsidRDefault="00FD54FC" w:rsidP="00FD54FC">
            <w:pPr>
              <w:spacing w:before="0" w:after="0"/>
              <w:ind w:left="33"/>
              <w:rPr>
                <w:rFonts w:ascii="Times New Roman" w:hAnsi="Times New Roman"/>
                <w:b/>
                <w:bCs/>
                <w:sz w:val="24"/>
                <w:u w:val="single"/>
                <w:lang w:eastAsia="de-DE"/>
              </w:rPr>
            </w:pPr>
          </w:p>
          <w:p w14:paraId="40510C73" w14:textId="38F0BB57" w:rsidR="00FD54FC" w:rsidRPr="00A30C4C" w:rsidRDefault="00FD54FC" w:rsidP="00E863C1">
            <w:pPr>
              <w:spacing w:before="0" w:after="0"/>
              <w:ind w:left="33"/>
              <w:rPr>
                <w:rFonts w:ascii="Times New Roman" w:hAnsi="Times New Roman"/>
                <w:bCs/>
                <w:sz w:val="24"/>
              </w:rPr>
            </w:pPr>
            <w:r>
              <w:rPr>
                <w:rFonts w:ascii="Times New Roman" w:hAnsi="Times New Roman"/>
                <w:bCs/>
                <w:sz w:val="24"/>
              </w:rPr>
              <w:t>Ukupne akumulirane negativne promjene fer vrijednosti zbog kreditnog rizika koje se odnose na pozicije iskazane u stupcima 050, 060, 070, 080 i 090 (točka 69. dijela 2. Priloga V. ovoj Provedbenoj uredbi)</w:t>
            </w:r>
          </w:p>
          <w:p w14:paraId="00577D76" w14:textId="77777777" w:rsidR="00FD54FC" w:rsidRPr="00A30C4C" w:rsidDel="004A25FD" w:rsidRDefault="00FD54FC" w:rsidP="00BE47D8">
            <w:pPr>
              <w:spacing w:before="0" w:after="0"/>
              <w:ind w:left="33"/>
              <w:rPr>
                <w:rFonts w:ascii="Times New Roman" w:hAnsi="Times New Roman"/>
                <w:bCs/>
                <w:sz w:val="24"/>
                <w:lang w:eastAsia="de-DE"/>
              </w:rPr>
            </w:pPr>
          </w:p>
        </w:tc>
      </w:tr>
      <w:tr w:rsidR="00FD54FC" w:rsidRPr="00A30C4C" w14:paraId="467A9911" w14:textId="77777777" w:rsidTr="00672D2A">
        <w:tc>
          <w:tcPr>
            <w:tcW w:w="1188" w:type="dxa"/>
          </w:tcPr>
          <w:p w14:paraId="13B5C2A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180</w:t>
            </w:r>
          </w:p>
        </w:tc>
        <w:tc>
          <w:tcPr>
            <w:tcW w:w="8640" w:type="dxa"/>
          </w:tcPr>
          <w:p w14:paraId="3EF9721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negativne promjene fer vrijednosti zbog kreditnog rizika – od čega financijske imovine kojom se ne trguje koja se obvezno mjeri po fer vrijednosti kroz dobit ili gubitak, financijske imovine po fer vrijednosti kroz dobit ili gubitak ili financijske imovine kojom se ne trguje koja se mjeri po fer vrijednosti kroz dobit ili gubitak</w:t>
            </w:r>
          </w:p>
          <w:p w14:paraId="029B762A" w14:textId="77777777" w:rsidR="00FD54FC" w:rsidRPr="00A30C4C" w:rsidRDefault="00FD54FC" w:rsidP="00FD54FC">
            <w:pPr>
              <w:spacing w:before="0" w:after="0"/>
              <w:ind w:left="33"/>
              <w:rPr>
                <w:rFonts w:ascii="Times New Roman" w:hAnsi="Times New Roman"/>
                <w:bCs/>
                <w:sz w:val="24"/>
                <w:lang w:eastAsia="de-DE"/>
              </w:rPr>
            </w:pPr>
          </w:p>
          <w:p w14:paraId="2110E28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Ukupne akumulirane negativne promjene fer vrijednosti zbog kreditnog rizika koje se odnose na pozicije iskazane u stupcima 050, 060 i 070.</w:t>
            </w:r>
          </w:p>
          <w:p w14:paraId="1FCE4004" w14:textId="77777777" w:rsidR="00FD54FC" w:rsidRPr="00A30C4C"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A30C4C" w14:paraId="6313C482" w14:textId="77777777" w:rsidTr="00672D2A">
        <w:tc>
          <w:tcPr>
            <w:tcW w:w="1188" w:type="dxa"/>
          </w:tcPr>
          <w:p w14:paraId="684F032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190</w:t>
            </w:r>
          </w:p>
        </w:tc>
        <w:tc>
          <w:tcPr>
            <w:tcW w:w="8640" w:type="dxa"/>
          </w:tcPr>
          <w:p w14:paraId="3A39EC07"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Akumulirane negativne promjene fer vrijednosti zbog kreditnog rizika – od čega financijske imovine po fer vrijednosti kroz ostalu sveobuhvatnu dobit ili neizvedene financijske imovine kojom se ne trguje koja se mjeri po fer vrijednosti kroz kapital</w:t>
            </w:r>
          </w:p>
          <w:p w14:paraId="5B20AD18" w14:textId="77777777" w:rsidR="00FD54FC" w:rsidRPr="00A30C4C" w:rsidRDefault="00FD54FC" w:rsidP="00FD54FC">
            <w:pPr>
              <w:spacing w:before="0" w:after="0"/>
              <w:ind w:left="33"/>
              <w:rPr>
                <w:rFonts w:ascii="Times New Roman" w:hAnsi="Times New Roman"/>
                <w:bCs/>
                <w:sz w:val="24"/>
                <w:lang w:eastAsia="de-DE"/>
              </w:rPr>
            </w:pPr>
          </w:p>
          <w:p w14:paraId="0F9D68C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Ukupne akumulirane negativne promjene fer vrijednosti zbog kreditnog rizika koje se odnose na pozicije iskazane u stupcima 080 i 090.</w:t>
            </w:r>
          </w:p>
          <w:p w14:paraId="24C98C30" w14:textId="77777777" w:rsidR="00E863C1" w:rsidRPr="00A30C4C" w:rsidRDefault="00E863C1" w:rsidP="00FD54FC">
            <w:pPr>
              <w:spacing w:before="0" w:after="0"/>
              <w:ind w:left="33"/>
              <w:rPr>
                <w:rFonts w:ascii="Times New Roman" w:hAnsi="Times New Roman"/>
                <w:bCs/>
                <w:sz w:val="24"/>
                <w:lang w:eastAsia="de-DE"/>
              </w:rPr>
            </w:pPr>
          </w:p>
        </w:tc>
      </w:tr>
      <w:tr w:rsidR="00FD54FC" w:rsidRPr="00A30C4C" w14:paraId="61019DE2" w14:textId="77777777" w:rsidTr="00672D2A">
        <w:tc>
          <w:tcPr>
            <w:tcW w:w="1188" w:type="dxa"/>
          </w:tcPr>
          <w:p w14:paraId="08669C7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200-230</w:t>
            </w:r>
          </w:p>
        </w:tc>
        <w:tc>
          <w:tcPr>
            <w:tcW w:w="8640" w:type="dxa"/>
          </w:tcPr>
          <w:p w14:paraId="638DA15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w:t>
            </w:r>
          </w:p>
          <w:p w14:paraId="4B73D9E7" w14:textId="77777777" w:rsidR="00FD54FC" w:rsidRPr="00A30C4C" w:rsidRDefault="00FD54FC" w:rsidP="00FD54FC">
            <w:pPr>
              <w:spacing w:before="0" w:after="0"/>
              <w:ind w:left="33"/>
              <w:rPr>
                <w:rFonts w:ascii="Times New Roman" w:hAnsi="Times New Roman"/>
                <w:b/>
                <w:bCs/>
                <w:sz w:val="24"/>
                <w:u w:val="single"/>
                <w:lang w:eastAsia="de-DE"/>
              </w:rPr>
            </w:pPr>
          </w:p>
          <w:p w14:paraId="367B5573" w14:textId="064FBAC5"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Izravne pozicije izvedenica iskazuju se u stupcima od 200 do 230.</w:t>
            </w:r>
          </w:p>
          <w:p w14:paraId="3489F126" w14:textId="77777777" w:rsidR="00FD54FC" w:rsidRPr="00A30C4C" w:rsidRDefault="00FD54FC" w:rsidP="00FD54FC">
            <w:pPr>
              <w:spacing w:before="0" w:after="0"/>
              <w:ind w:left="33"/>
              <w:rPr>
                <w:rFonts w:ascii="Times New Roman" w:hAnsi="Times New Roman"/>
                <w:b/>
                <w:bCs/>
                <w:sz w:val="24"/>
                <w:u w:val="single"/>
                <w:lang w:eastAsia="de-DE"/>
              </w:rPr>
            </w:pPr>
          </w:p>
          <w:p w14:paraId="2AF5068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Za izvješćivanje o izvedenicama na koje se primjenjuju kapitalni zahtjevi za kreditni rizik druge ugovorne strane i tržišni rizik, vidjeti upute za raščlambu prema redcima.</w:t>
            </w:r>
          </w:p>
          <w:p w14:paraId="1507A2EA"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0489B5D0" w14:textId="77777777" w:rsidTr="00672D2A">
        <w:tc>
          <w:tcPr>
            <w:tcW w:w="1188" w:type="dxa"/>
          </w:tcPr>
          <w:p w14:paraId="1612CDC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200-210</w:t>
            </w:r>
          </w:p>
        </w:tc>
        <w:tc>
          <w:tcPr>
            <w:tcW w:w="8640" w:type="dxa"/>
          </w:tcPr>
          <w:p w14:paraId="6A6C391B"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pozitivnom fer vrijednošću</w:t>
            </w:r>
          </w:p>
          <w:p w14:paraId="54D7B266" w14:textId="77777777" w:rsidR="00FD54FC" w:rsidRPr="00A30C4C" w:rsidRDefault="00FD54FC" w:rsidP="00FD54FC">
            <w:pPr>
              <w:spacing w:before="0" w:after="0"/>
              <w:ind w:left="33"/>
              <w:rPr>
                <w:rFonts w:ascii="Times New Roman" w:hAnsi="Times New Roman"/>
                <w:bCs/>
                <w:sz w:val="24"/>
                <w:lang w:eastAsia="de-DE"/>
              </w:rPr>
            </w:pPr>
          </w:p>
          <w:p w14:paraId="71E3DAFA" w14:textId="3BBCD9F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Svi izvedeni instrumenti u kojima je opća država druga ugovorna strana i koji imaju pozitivnu fer vrijednost za instituciju na izvještajni datum, neovisno o tome koriste li se u kvalificiranom odnosu zaštite od rizika, drže li se radi trgovanja ili su uključeni u portfelj namijenjen trgovanju na temelju MSFI-ja i nacionalnih općeprihvaćenih računovodstvenih načela na temelju BAD-a. </w:t>
            </w:r>
          </w:p>
          <w:p w14:paraId="4D54A68D" w14:textId="77777777" w:rsidR="00FD54FC" w:rsidRPr="00A30C4C" w:rsidRDefault="00FD54FC" w:rsidP="00FD54FC">
            <w:pPr>
              <w:spacing w:before="0" w:after="0"/>
              <w:ind w:left="33"/>
              <w:rPr>
                <w:rFonts w:ascii="Times New Roman" w:hAnsi="Times New Roman"/>
                <w:bCs/>
                <w:sz w:val="24"/>
                <w:lang w:eastAsia="de-DE"/>
              </w:rPr>
            </w:pPr>
          </w:p>
          <w:p w14:paraId="43864145" w14:textId="1C006A69"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14:paraId="1082C9F0"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AB829A1" w14:textId="77777777" w:rsidTr="00672D2A">
        <w:tc>
          <w:tcPr>
            <w:tcW w:w="1188" w:type="dxa"/>
          </w:tcPr>
          <w:p w14:paraId="321093D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200</w:t>
            </w:r>
          </w:p>
        </w:tc>
        <w:tc>
          <w:tcPr>
            <w:tcW w:w="8640" w:type="dxa"/>
          </w:tcPr>
          <w:p w14:paraId="4103E663"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Izvedenice s pozitivnom fer vrijednošću: knjigovodstvena vrijednost </w:t>
            </w:r>
          </w:p>
          <w:p w14:paraId="4DAA2A8C" w14:textId="77777777" w:rsidR="00FD54FC" w:rsidRPr="00A30C4C" w:rsidRDefault="00FD54FC" w:rsidP="00FD54FC">
            <w:pPr>
              <w:spacing w:before="0" w:after="0"/>
              <w:ind w:left="33"/>
              <w:rPr>
                <w:rFonts w:ascii="Times New Roman" w:hAnsi="Times New Roman"/>
                <w:bCs/>
                <w:sz w:val="24"/>
                <w:lang w:eastAsia="de-DE"/>
              </w:rPr>
            </w:pPr>
          </w:p>
          <w:p w14:paraId="142F1AB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Knjigovodstvena vrijednost izvedenica koje se obračunavaju kao financijska imovina na referentni izvještajni datum. </w:t>
            </w:r>
          </w:p>
          <w:p w14:paraId="6E21DBB7" w14:textId="77777777" w:rsidR="00FD54FC" w:rsidRPr="00A30C4C" w:rsidRDefault="00FD54FC" w:rsidP="00FD54FC">
            <w:pPr>
              <w:spacing w:before="0" w:after="0"/>
              <w:ind w:left="33"/>
              <w:rPr>
                <w:rFonts w:ascii="Times New Roman" w:hAnsi="Times New Roman"/>
                <w:bCs/>
                <w:sz w:val="24"/>
                <w:lang w:eastAsia="de-DE"/>
              </w:rPr>
            </w:pPr>
          </w:p>
          <w:p w14:paraId="23F6DC84"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U skladu s općeprihvaćenim računovodstvenim načelima na temelju BAD-a, izvedenice koje se iskazuju u ovim stupcima uključuju izvedene instrumente koji se mjere po troškovnoj metodi ili koji se mjere po trošku ili tržišnoj vrijednosti ovisno o tome koji je iznos niži, koji su uključeni u portfelj namijenjen trgovanju ili određeni kao instrumenti zaštite od rizika. </w:t>
            </w:r>
          </w:p>
          <w:p w14:paraId="5076701F"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55ABF682" w14:textId="77777777" w:rsidTr="00672D2A">
        <w:tc>
          <w:tcPr>
            <w:tcW w:w="1188" w:type="dxa"/>
          </w:tcPr>
          <w:p w14:paraId="3621F38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210</w:t>
            </w:r>
          </w:p>
        </w:tc>
        <w:tc>
          <w:tcPr>
            <w:tcW w:w="8640" w:type="dxa"/>
          </w:tcPr>
          <w:p w14:paraId="4F898845"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pozitivnom fer vrijednošću: zamišljeni iznos</w:t>
            </w:r>
          </w:p>
          <w:p w14:paraId="6A3D984E" w14:textId="77777777" w:rsidR="00FD54FC" w:rsidRPr="00A30C4C" w:rsidRDefault="00FD54FC" w:rsidP="00FD54FC">
            <w:pPr>
              <w:spacing w:before="0" w:after="0"/>
              <w:ind w:left="33"/>
              <w:rPr>
                <w:rFonts w:ascii="Times New Roman" w:hAnsi="Times New Roman"/>
                <w:bCs/>
                <w:sz w:val="24"/>
                <w:lang w:eastAsia="de-DE"/>
              </w:rPr>
            </w:pPr>
          </w:p>
          <w:p w14:paraId="5808CEFD" w14:textId="5ED70A1F"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Na temelju MSFI-ja i nacionalnih općeprihvaćenih računovodstvenih načela na temelju BAD-a, zamišljeni iznos, </w:t>
            </w:r>
            <w:r>
              <w:rPr>
                <w:rFonts w:ascii="Times New Roman" w:hAnsi="Times New Roman"/>
                <w:bCs/>
                <w:sz w:val="24"/>
                <w:highlight w:val="yellow"/>
              </w:rPr>
              <w:t>kako je definirano u točkama od 133. do 135. dijela 2.</w:t>
            </w:r>
            <w:r>
              <w:rPr>
                <w:rFonts w:ascii="Times New Roman" w:hAnsi="Times New Roman"/>
                <w:bCs/>
                <w:sz w:val="24"/>
              </w:rPr>
              <w:t xml:space="preserve"> Priloga V ovoj Provedbenoj uredbi, svih ugovora o izvedenicama koji su sklopljeni ali još nisu namireni na referentni izvještajni datum u kojima je opća država druga ugovorna strana, kako je definirano u točkama od 155. do 160. ovog Priloga i kad je fer vrijednost izvedenice pozitivna za instituciju na referentni datum.</w:t>
            </w:r>
          </w:p>
          <w:p w14:paraId="64F993E7"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D901A57" w14:textId="77777777" w:rsidTr="00672D2A">
        <w:tc>
          <w:tcPr>
            <w:tcW w:w="1188" w:type="dxa"/>
          </w:tcPr>
          <w:p w14:paraId="411CC12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220-230</w:t>
            </w:r>
          </w:p>
        </w:tc>
        <w:tc>
          <w:tcPr>
            <w:tcW w:w="8640" w:type="dxa"/>
          </w:tcPr>
          <w:p w14:paraId="072ACC8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negativnom fer vrijednošću</w:t>
            </w:r>
          </w:p>
          <w:p w14:paraId="0FF575AB" w14:textId="77777777" w:rsidR="00FD54FC" w:rsidRPr="00A30C4C" w:rsidDel="00501397" w:rsidRDefault="00FD54FC" w:rsidP="00FD54FC">
            <w:pPr>
              <w:spacing w:before="0" w:after="0"/>
              <w:ind w:left="33"/>
              <w:rPr>
                <w:rFonts w:ascii="Times New Roman" w:hAnsi="Times New Roman"/>
                <w:bCs/>
                <w:sz w:val="24"/>
                <w:lang w:eastAsia="de-DE"/>
              </w:rPr>
            </w:pPr>
          </w:p>
          <w:p w14:paraId="56AFE90D" w14:textId="7AAC3C5F"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Svi izvedeni instrumenti u kojima je opća država druga ugovorna strana i koji imaju negativnu fer vrijednost za instituciju na referentni izvještajni datum, neovisno o tome koriste li se ti instrumenti u kvalificiranom odnosu zaštite od rizika, drže li se radi trgovanja ili su uključeni u portfelj namijenjen trgovanju u skladu s MSFI-</w:t>
            </w:r>
            <w:proofErr w:type="spellStart"/>
            <w:r>
              <w:rPr>
                <w:rFonts w:ascii="Times New Roman" w:hAnsi="Times New Roman"/>
                <w:bCs/>
                <w:sz w:val="24"/>
              </w:rPr>
              <w:t>jem</w:t>
            </w:r>
            <w:proofErr w:type="spellEnd"/>
            <w:r>
              <w:rPr>
                <w:rFonts w:ascii="Times New Roman" w:hAnsi="Times New Roman"/>
                <w:bCs/>
                <w:sz w:val="24"/>
              </w:rPr>
              <w:t xml:space="preserve"> i nacionalnim općeprihvaćenim računovodstvenim načelima na temelju BAD-a. </w:t>
            </w:r>
          </w:p>
          <w:p w14:paraId="358C7FF3" w14:textId="77777777" w:rsidR="00FD54FC" w:rsidRPr="00A30C4C" w:rsidRDefault="00FD54FC" w:rsidP="00FD54FC">
            <w:pPr>
              <w:spacing w:before="0" w:after="0"/>
              <w:ind w:left="33"/>
              <w:rPr>
                <w:rFonts w:ascii="Times New Roman" w:hAnsi="Times New Roman"/>
                <w:bCs/>
                <w:sz w:val="24"/>
                <w:lang w:eastAsia="de-DE"/>
              </w:rPr>
            </w:pPr>
          </w:p>
          <w:p w14:paraId="6A155A27" w14:textId="1283C4A6"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Izvedenice koje se koriste u okviru ekonomske zaštite iskazuju se ovdje kad su uključene u računovodstveni portfelj namijenjen trgovanju ili računovodstveni portfelj koji se drži radi trgovanja (točke 120., 124., 125. i točke od 137. do 140. dijela 2. Priloga V. ovoj Provedbenoj uredbi).</w:t>
            </w:r>
          </w:p>
          <w:p w14:paraId="503071F1"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597DAA3B" w14:textId="77777777" w:rsidTr="00672D2A">
        <w:tc>
          <w:tcPr>
            <w:tcW w:w="1188" w:type="dxa"/>
          </w:tcPr>
          <w:p w14:paraId="4C4F7C1B"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220</w:t>
            </w:r>
          </w:p>
        </w:tc>
        <w:tc>
          <w:tcPr>
            <w:tcW w:w="8640" w:type="dxa"/>
          </w:tcPr>
          <w:p w14:paraId="2059056E"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Izvedenice s negativnom fer vrijednošću: knjigovodstvena vrijednost </w:t>
            </w:r>
          </w:p>
          <w:p w14:paraId="12321CD6" w14:textId="77777777" w:rsidR="00FD54FC" w:rsidRPr="00A30C4C" w:rsidRDefault="00FD54FC" w:rsidP="00FD54FC">
            <w:pPr>
              <w:spacing w:before="0" w:after="0"/>
              <w:ind w:left="33"/>
              <w:rPr>
                <w:rFonts w:ascii="Times New Roman" w:hAnsi="Times New Roman"/>
                <w:bCs/>
                <w:sz w:val="24"/>
                <w:lang w:eastAsia="de-DE"/>
              </w:rPr>
            </w:pPr>
          </w:p>
          <w:p w14:paraId="2789095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Knjigovodstvena vrijednost izvedenica koje se obračunavaju kao financijske obveze na referentni izvještajni datum. </w:t>
            </w:r>
          </w:p>
          <w:p w14:paraId="4F38595F" w14:textId="77777777" w:rsidR="00FD54FC" w:rsidRPr="00A30C4C" w:rsidRDefault="00FD54FC" w:rsidP="00FD54FC">
            <w:pPr>
              <w:spacing w:before="0" w:after="0"/>
              <w:ind w:left="33"/>
              <w:rPr>
                <w:rFonts w:ascii="Times New Roman" w:hAnsi="Times New Roman"/>
                <w:bCs/>
                <w:sz w:val="24"/>
                <w:lang w:eastAsia="de-DE"/>
              </w:rPr>
            </w:pPr>
          </w:p>
          <w:p w14:paraId="3FC97AA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U skladu s općeprihvaćenim računovodstvenim načelima na temelju BAD-a, izvedenice koje se iskazuju u ovim stupcima uključuju izvedene instrumente koji se mjere po troškovnoj metodi ili koji se mjere po trošku ili tržišnoj vrijednosti ovisno o tome koji je iznos niži, koji su uključeni u portfelj namijenjen trgovanju ili određeni kao instrumenti zaštite od rizika. </w:t>
            </w:r>
          </w:p>
          <w:p w14:paraId="2F7292FC"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209C56C9" w14:textId="77777777" w:rsidTr="00672D2A">
        <w:tc>
          <w:tcPr>
            <w:tcW w:w="1188" w:type="dxa"/>
          </w:tcPr>
          <w:p w14:paraId="44F88DB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230</w:t>
            </w:r>
          </w:p>
        </w:tc>
        <w:tc>
          <w:tcPr>
            <w:tcW w:w="8640" w:type="dxa"/>
          </w:tcPr>
          <w:p w14:paraId="0E61C874" w14:textId="77777777" w:rsidR="00FD54FC" w:rsidRPr="00A30C4C" w:rsidRDefault="00FD54FC" w:rsidP="00FD54FC">
            <w:pPr>
              <w:spacing w:before="0" w:after="0"/>
              <w:rPr>
                <w:rFonts w:ascii="Times New Roman" w:hAnsi="Times New Roman"/>
                <w:b/>
                <w:bCs/>
                <w:sz w:val="24"/>
                <w:u w:val="single"/>
              </w:rPr>
            </w:pPr>
            <w:r>
              <w:rPr>
                <w:rFonts w:ascii="Times New Roman" w:hAnsi="Times New Roman"/>
                <w:b/>
                <w:bCs/>
                <w:sz w:val="24"/>
                <w:u w:val="single"/>
              </w:rPr>
              <w:t>Izvedenice s negativnom fer vrijednošću: zamišljeni iznos</w:t>
            </w:r>
          </w:p>
          <w:p w14:paraId="5853C03D" w14:textId="77777777" w:rsidR="00FD54FC" w:rsidRPr="00A30C4C" w:rsidRDefault="00FD54FC" w:rsidP="00FD54FC">
            <w:pPr>
              <w:spacing w:before="0" w:after="0"/>
              <w:ind w:left="33"/>
              <w:rPr>
                <w:rFonts w:ascii="Times New Roman" w:hAnsi="Times New Roman"/>
                <w:b/>
                <w:bCs/>
                <w:sz w:val="24"/>
                <w:u w:val="single"/>
                <w:lang w:eastAsia="de-DE"/>
              </w:rPr>
            </w:pPr>
          </w:p>
          <w:p w14:paraId="2002C38C" w14:textId="3213F6C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 skladu s MSFI-</w:t>
            </w:r>
            <w:proofErr w:type="spellStart"/>
            <w:r>
              <w:rPr>
                <w:rFonts w:ascii="Times New Roman" w:hAnsi="Times New Roman"/>
                <w:bCs/>
                <w:sz w:val="24"/>
              </w:rPr>
              <w:t>jem</w:t>
            </w:r>
            <w:proofErr w:type="spellEnd"/>
            <w:r>
              <w:rPr>
                <w:rFonts w:ascii="Times New Roman" w:hAnsi="Times New Roman"/>
                <w:bCs/>
                <w:sz w:val="24"/>
              </w:rPr>
              <w:t xml:space="preserve"> i nacionalnim općeprihvaćenim računovodstvenim načelima na temelju BAD-a, zamišljeni iznos, </w:t>
            </w:r>
            <w:r>
              <w:rPr>
                <w:rFonts w:ascii="Times New Roman" w:hAnsi="Times New Roman"/>
                <w:bCs/>
                <w:sz w:val="24"/>
                <w:highlight w:val="yellow"/>
              </w:rPr>
              <w:t>kako je definirano u točkama od 133. do 135. dijela 2.</w:t>
            </w:r>
            <w:r>
              <w:rPr>
                <w:rFonts w:ascii="Times New Roman" w:hAnsi="Times New Roman"/>
                <w:bCs/>
                <w:sz w:val="24"/>
              </w:rPr>
              <w:t xml:space="preserve"> Priloga V ovoj Provedbenoj uredbi, svih ugovora o izvedenicama koji su sklopljeni ali još nisu namireni na referentni datum u kojima je opća država druga ugovorna strana, kako je definirano u točkama od 155. do 160. ovog Priloga i kad je fer vrijednost izvedenice negativna za instituciju na referentni datum.</w:t>
            </w:r>
          </w:p>
          <w:p w14:paraId="25148E1B"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14FD3216" w14:textId="77777777" w:rsidTr="00672D2A">
        <w:tc>
          <w:tcPr>
            <w:tcW w:w="1188" w:type="dxa"/>
          </w:tcPr>
          <w:p w14:paraId="28BA209B" w14:textId="77777777" w:rsidR="00FD54FC" w:rsidRPr="00A30C4C" w:rsidRDefault="00FD54FC" w:rsidP="00B74792">
            <w:pPr>
              <w:spacing w:before="0" w:after="0"/>
              <w:ind w:left="33"/>
              <w:rPr>
                <w:rFonts w:ascii="Times New Roman" w:hAnsi="Times New Roman"/>
                <w:bCs/>
                <w:sz w:val="24"/>
              </w:rPr>
            </w:pPr>
            <w:r>
              <w:rPr>
                <w:rFonts w:ascii="Times New Roman" w:hAnsi="Times New Roman"/>
                <w:bCs/>
                <w:sz w:val="24"/>
              </w:rPr>
              <w:t>240-260</w:t>
            </w:r>
          </w:p>
        </w:tc>
        <w:tc>
          <w:tcPr>
            <w:tcW w:w="8640" w:type="dxa"/>
          </w:tcPr>
          <w:p w14:paraId="0781AE02"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IZVANBILANČNE IZLOŽENOSTI</w:t>
            </w:r>
          </w:p>
        </w:tc>
      </w:tr>
      <w:tr w:rsidR="00FD54FC" w:rsidRPr="00A30C4C" w14:paraId="1D6AC624" w14:textId="77777777" w:rsidTr="00672D2A">
        <w:tc>
          <w:tcPr>
            <w:tcW w:w="1188" w:type="dxa"/>
          </w:tcPr>
          <w:p w14:paraId="507721A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240</w:t>
            </w:r>
          </w:p>
        </w:tc>
        <w:tc>
          <w:tcPr>
            <w:tcW w:w="8640" w:type="dxa"/>
          </w:tcPr>
          <w:p w14:paraId="0553BFB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Nominalni iznos</w:t>
            </w:r>
          </w:p>
          <w:p w14:paraId="78EEAF76" w14:textId="77777777" w:rsidR="00FD54FC" w:rsidRPr="00A30C4C" w:rsidRDefault="00FD54FC" w:rsidP="00FD54FC">
            <w:pPr>
              <w:spacing w:before="0" w:after="0"/>
              <w:ind w:left="33"/>
              <w:rPr>
                <w:rFonts w:ascii="Times New Roman" w:hAnsi="Times New Roman"/>
                <w:bCs/>
                <w:sz w:val="24"/>
                <w:lang w:eastAsia="de-DE"/>
              </w:rPr>
            </w:pPr>
          </w:p>
          <w:p w14:paraId="77CE35DA" w14:textId="3AFFA4E0"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Kad je opća država izravna druga ugovorna strana </w:t>
            </w:r>
            <w:proofErr w:type="spellStart"/>
            <w:r>
              <w:rPr>
                <w:rFonts w:ascii="Times New Roman" w:hAnsi="Times New Roman"/>
                <w:bCs/>
                <w:sz w:val="24"/>
              </w:rPr>
              <w:t>izvanbilančne</w:t>
            </w:r>
            <w:proofErr w:type="spellEnd"/>
            <w:r>
              <w:rPr>
                <w:rFonts w:ascii="Times New Roman" w:hAnsi="Times New Roman"/>
                <w:bCs/>
                <w:sz w:val="24"/>
              </w:rPr>
              <w:t xml:space="preserve"> stavke kako je prethodno definirano u točkama od 155. do 160. ovog Priloga, nominalni iznos obveza i financijskih jamstava koji se ne smatraju izvedenicama u skladu s MSFI-</w:t>
            </w:r>
            <w:proofErr w:type="spellStart"/>
            <w:r>
              <w:rPr>
                <w:rFonts w:ascii="Times New Roman" w:hAnsi="Times New Roman"/>
                <w:bCs/>
                <w:sz w:val="24"/>
              </w:rPr>
              <w:t>jem</w:t>
            </w:r>
            <w:proofErr w:type="spellEnd"/>
            <w:r>
              <w:rPr>
                <w:rFonts w:ascii="Times New Roman" w:hAnsi="Times New Roman"/>
                <w:bCs/>
                <w:sz w:val="24"/>
              </w:rPr>
              <w:t xml:space="preserve"> ili u skladu s nacionalnim općeprihvaćenim računovodstvenim načelima na temelju BAD-a (točke od 102. do 119. dijela 2. Priloga V. ovoj Provedbenoj uredbi).</w:t>
            </w:r>
          </w:p>
          <w:p w14:paraId="3CF4F34B" w14:textId="77777777" w:rsidR="00FD54FC" w:rsidRPr="00A30C4C" w:rsidRDefault="00FD54FC" w:rsidP="00FD54FC">
            <w:pPr>
              <w:spacing w:before="0" w:after="0"/>
              <w:ind w:left="33"/>
              <w:rPr>
                <w:rFonts w:ascii="Times New Roman" w:hAnsi="Times New Roman"/>
                <w:bCs/>
                <w:sz w:val="24"/>
                <w:lang w:eastAsia="de-DE"/>
              </w:rPr>
            </w:pPr>
          </w:p>
          <w:p w14:paraId="1C264AE8" w14:textId="1AE0F373" w:rsidR="00FD54FC" w:rsidRPr="00A30C4C"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lastRenderedPageBreak/>
              <w:t xml:space="preserve">U skladu s točkama 43. i 44. dijela 2. Priloga V. ovoj Provedbenoj uredbi opća država je izravna druga ugovorna strana: (a) za preuzeto financijsko jamstvo kad je opća država izravna druga ugovorna strana osiguranog dužničkog instrumenta i (b) za preuzetu obvezu po kreditima i ostale preuzete obveze kad je opća država druga ugovorna strana čiji kreditni rizik preuzima institucija koja izvješćuje. </w:t>
            </w:r>
          </w:p>
          <w:p w14:paraId="041464C7"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3EC8195" w14:textId="77777777" w:rsidTr="00672D2A">
        <w:tc>
          <w:tcPr>
            <w:tcW w:w="1188" w:type="dxa"/>
          </w:tcPr>
          <w:p w14:paraId="24400E20"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250</w:t>
            </w:r>
          </w:p>
        </w:tc>
        <w:tc>
          <w:tcPr>
            <w:tcW w:w="8640" w:type="dxa"/>
          </w:tcPr>
          <w:p w14:paraId="486A9A32"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Rezervacije</w:t>
            </w:r>
          </w:p>
          <w:p w14:paraId="3CAA4F53" w14:textId="77777777" w:rsidR="00FD54FC" w:rsidRPr="00A30C4C" w:rsidRDefault="00FD54FC" w:rsidP="00FD54FC">
            <w:pPr>
              <w:spacing w:before="0" w:after="0"/>
              <w:ind w:left="33"/>
              <w:rPr>
                <w:rFonts w:ascii="Times New Roman" w:hAnsi="Times New Roman"/>
                <w:bCs/>
                <w:sz w:val="24"/>
                <w:lang w:eastAsia="de-DE"/>
              </w:rPr>
            </w:pPr>
          </w:p>
          <w:p w14:paraId="6CB1F0DA" w14:textId="7F04FD89" w:rsidR="00FD54FC" w:rsidRPr="00A30C4C" w:rsidRDefault="002F78EA" w:rsidP="00FD54FC">
            <w:pPr>
              <w:spacing w:before="0" w:after="0"/>
              <w:ind w:left="33"/>
              <w:rPr>
                <w:rFonts w:ascii="Times New Roman" w:hAnsi="Times New Roman"/>
                <w:bCs/>
                <w:sz w:val="24"/>
              </w:rPr>
            </w:pPr>
            <w:r>
              <w:rPr>
                <w:rFonts w:ascii="Times New Roman" w:hAnsi="Times New Roman"/>
                <w:bCs/>
                <w:sz w:val="24"/>
                <w:highlight w:val="yellow"/>
              </w:rPr>
              <w:t>Članak 4. stavak 6. točka (c) i „</w:t>
            </w:r>
            <w:proofErr w:type="spellStart"/>
            <w:r>
              <w:rPr>
                <w:rFonts w:ascii="Times New Roman" w:hAnsi="Times New Roman"/>
                <w:bCs/>
                <w:sz w:val="24"/>
                <w:highlight w:val="yellow"/>
              </w:rPr>
              <w:t>izvanbilančne</w:t>
            </w:r>
            <w:proofErr w:type="spellEnd"/>
            <w:r>
              <w:rPr>
                <w:rFonts w:ascii="Times New Roman" w:hAnsi="Times New Roman"/>
                <w:bCs/>
                <w:sz w:val="24"/>
                <w:highlight w:val="yellow"/>
              </w:rPr>
              <w:t xml:space="preserve"> stavke”, članak 27. stavak 11., članak 28. stavak 8.</w:t>
            </w:r>
            <w:r>
              <w:rPr>
                <w:rFonts w:ascii="Times New Roman" w:hAnsi="Times New Roman"/>
                <w:bCs/>
                <w:sz w:val="24"/>
              </w:rPr>
              <w:t xml:space="preserve"> i članak 33. BAD-a+/; MSFI 9.4.2.1(c)(ii),(d)(ii), 9.5.5.20; MRS 37, MSFI 4, dio 2.11. Priloga V. ovoj Provedbenoj uredbi.</w:t>
            </w:r>
          </w:p>
          <w:p w14:paraId="0171C2E6" w14:textId="77777777" w:rsidR="00FD54FC" w:rsidRPr="00A30C4C" w:rsidRDefault="00FD54FC" w:rsidP="00FD54FC">
            <w:pPr>
              <w:spacing w:before="0" w:after="0"/>
              <w:ind w:left="33"/>
              <w:rPr>
                <w:rFonts w:ascii="Times New Roman" w:hAnsi="Times New Roman"/>
                <w:bCs/>
                <w:sz w:val="24"/>
                <w:lang w:eastAsia="de-DE"/>
              </w:rPr>
            </w:pPr>
          </w:p>
          <w:p w14:paraId="044EB40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Rezervacije za sve </w:t>
            </w:r>
            <w:proofErr w:type="spellStart"/>
            <w:r>
              <w:rPr>
                <w:rFonts w:ascii="Times New Roman" w:hAnsi="Times New Roman"/>
                <w:bCs/>
                <w:sz w:val="24"/>
              </w:rPr>
              <w:t>izvanbilančne</w:t>
            </w:r>
            <w:proofErr w:type="spellEnd"/>
            <w:r>
              <w:rPr>
                <w:rFonts w:ascii="Times New Roman" w:hAnsi="Times New Roman"/>
                <w:bCs/>
                <w:sz w:val="24"/>
              </w:rPr>
              <w:t xml:space="preserve"> izloženosti neovisno o tome kako se mjere osim onih koje se mjere po fer vrijednosti kroz dobit ili gubitak u skladu s MSFI-</w:t>
            </w:r>
            <w:proofErr w:type="spellStart"/>
            <w:r>
              <w:rPr>
                <w:rFonts w:ascii="Times New Roman" w:hAnsi="Times New Roman"/>
                <w:bCs/>
                <w:sz w:val="24"/>
              </w:rPr>
              <w:t>jem</w:t>
            </w:r>
            <w:proofErr w:type="spellEnd"/>
            <w:r>
              <w:rPr>
                <w:rFonts w:ascii="Times New Roman" w:hAnsi="Times New Roman"/>
                <w:bCs/>
                <w:sz w:val="24"/>
              </w:rPr>
              <w:t xml:space="preserve"> 9.</w:t>
            </w:r>
          </w:p>
          <w:p w14:paraId="5A5CDBB6" w14:textId="76D5366B" w:rsidR="00FD54FC" w:rsidRPr="00A30C4C" w:rsidRDefault="00FD54FC" w:rsidP="00FD54FC">
            <w:pPr>
              <w:spacing w:before="0" w:after="0"/>
              <w:ind w:left="33"/>
              <w:rPr>
                <w:rFonts w:ascii="Times New Roman" w:hAnsi="Times New Roman"/>
                <w:bCs/>
                <w:sz w:val="24"/>
                <w:lang w:eastAsia="de-DE"/>
              </w:rPr>
            </w:pPr>
          </w:p>
          <w:p w14:paraId="3765CDC9" w14:textId="6C95A293"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Na temelju MSFI-ja umanjenje vrijednosti preuzete obveze po kreditima iskazuje se u stupcu 150 ako institucija ne može odvojeno utvrditi očekivane kreditne gubitke koji se odnose na iskorišteni i neiskorišteni iznos dužničkog instrumenta. Ako kombinirani očekivani kreditni gubici tog financijskog instrumenta premašuju bruto knjigovodstvenu vrijednost dužničke komponente instrumenta, preostali saldo očekivanih kreditnih gubitaka iskazuje se kao rezervacija u stupcu 250.</w:t>
            </w:r>
          </w:p>
          <w:p w14:paraId="57946B7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60EDDDD" w14:textId="77777777" w:rsidTr="00672D2A">
        <w:tc>
          <w:tcPr>
            <w:tcW w:w="1188" w:type="dxa"/>
          </w:tcPr>
          <w:p w14:paraId="533435E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260</w:t>
            </w:r>
          </w:p>
        </w:tc>
        <w:tc>
          <w:tcPr>
            <w:tcW w:w="8640" w:type="dxa"/>
          </w:tcPr>
          <w:p w14:paraId="1504B3A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Akumulirane negativne promjene fer vrijednosti zbog kreditnog rizika </w:t>
            </w:r>
          </w:p>
          <w:p w14:paraId="706D44F1" w14:textId="77777777" w:rsidR="00FD54FC" w:rsidRPr="00A30C4C" w:rsidRDefault="00FD54FC" w:rsidP="00FD54FC">
            <w:pPr>
              <w:spacing w:before="0" w:after="0"/>
              <w:ind w:left="33"/>
              <w:rPr>
                <w:rFonts w:ascii="Times New Roman" w:hAnsi="Times New Roman"/>
                <w:b/>
                <w:bCs/>
                <w:sz w:val="24"/>
                <w:u w:val="single"/>
                <w:lang w:eastAsia="de-DE"/>
              </w:rPr>
            </w:pPr>
          </w:p>
          <w:p w14:paraId="2AFAB6A1" w14:textId="20AFD492"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Za </w:t>
            </w:r>
            <w:proofErr w:type="spellStart"/>
            <w:r>
              <w:rPr>
                <w:rFonts w:ascii="Times New Roman" w:hAnsi="Times New Roman"/>
                <w:bCs/>
                <w:sz w:val="24"/>
              </w:rPr>
              <w:t>izvanbilančne</w:t>
            </w:r>
            <w:proofErr w:type="spellEnd"/>
            <w:r>
              <w:rPr>
                <w:rFonts w:ascii="Times New Roman" w:hAnsi="Times New Roman"/>
                <w:bCs/>
                <w:sz w:val="24"/>
              </w:rPr>
              <w:t xml:space="preserve"> stavke koje se mjere po fer vrijednosti kroz dobit ili gubitak u skladu s MSFI-</w:t>
            </w:r>
            <w:proofErr w:type="spellStart"/>
            <w:r>
              <w:rPr>
                <w:rFonts w:ascii="Times New Roman" w:hAnsi="Times New Roman"/>
                <w:bCs/>
                <w:sz w:val="24"/>
              </w:rPr>
              <w:t>jem</w:t>
            </w:r>
            <w:proofErr w:type="spellEnd"/>
            <w:r>
              <w:rPr>
                <w:rFonts w:ascii="Times New Roman" w:hAnsi="Times New Roman"/>
                <w:bCs/>
                <w:sz w:val="24"/>
              </w:rPr>
              <w:t xml:space="preserve"> 9, akumulirane negativne promjene fer vrijednosti zbog kreditnog rizika (točka 110. dijela 2. Priloga V. ovoj Provedbenoj uredbi)</w:t>
            </w:r>
          </w:p>
          <w:p w14:paraId="6F3D19AC" w14:textId="77777777" w:rsidR="00FD54FC" w:rsidRPr="00A30C4C"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A30C4C"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FD54FC" w:rsidRPr="00A30C4C" w:rsidDel="008D1680" w:rsidRDefault="00FD54FC" w:rsidP="00B74792">
            <w:pPr>
              <w:spacing w:before="0" w:after="0"/>
              <w:ind w:left="33"/>
              <w:rPr>
                <w:rFonts w:ascii="Times New Roman" w:hAnsi="Times New Roman"/>
                <w:bCs/>
                <w:sz w:val="24"/>
              </w:rPr>
            </w:pPr>
            <w:r>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Bilješka: prodane kreditne izvedenice čija su odnosna imovina izloženosti prema općim državama</w:t>
            </w:r>
          </w:p>
          <w:p w14:paraId="11CE1BEC" w14:textId="77777777" w:rsidR="00FD54FC" w:rsidRPr="00A30C4C" w:rsidRDefault="00FD54FC" w:rsidP="00FD54FC">
            <w:pPr>
              <w:spacing w:before="0" w:after="0"/>
              <w:ind w:left="33"/>
              <w:rPr>
                <w:rFonts w:ascii="Times New Roman" w:hAnsi="Times New Roman"/>
                <w:b/>
                <w:bCs/>
                <w:sz w:val="24"/>
                <w:u w:val="single"/>
                <w:lang w:eastAsia="de-DE"/>
              </w:rPr>
            </w:pPr>
          </w:p>
          <w:p w14:paraId="2B11DF2A" w14:textId="147A9A2B" w:rsidR="00FD54FC" w:rsidRPr="00A30C4C" w:rsidRDefault="00FD54FC" w:rsidP="00FD54FC">
            <w:pPr>
              <w:spacing w:before="0" w:after="0"/>
              <w:ind w:left="33"/>
              <w:rPr>
                <w:rFonts w:ascii="Times New Roman" w:hAnsi="Times New Roman"/>
                <w:bCs/>
                <w:sz w:val="24"/>
              </w:rPr>
            </w:pPr>
            <w:proofErr w:type="spellStart"/>
            <w:r>
              <w:rPr>
                <w:rFonts w:ascii="Times New Roman" w:hAnsi="Times New Roman"/>
                <w:bCs/>
                <w:sz w:val="24"/>
              </w:rPr>
              <w:t>Iskazauju</w:t>
            </w:r>
            <w:proofErr w:type="spellEnd"/>
            <w:r>
              <w:rPr>
                <w:rFonts w:ascii="Times New Roman" w:hAnsi="Times New Roman"/>
                <w:bCs/>
                <w:sz w:val="24"/>
              </w:rPr>
              <w:t xml:space="preserve"> se kreditne izvedenice koje nisu u skladu s definicijom financijskih jamstava </w:t>
            </w:r>
            <w:r>
              <w:rPr>
                <w:rFonts w:ascii="Times New Roman" w:hAnsi="Times New Roman"/>
                <w:bCs/>
                <w:sz w:val="24"/>
                <w:highlight w:val="yellow"/>
              </w:rPr>
              <w:t>iz Priloga V. dijela 2. točke 58.</w:t>
            </w:r>
            <w:r>
              <w:rPr>
                <w:rFonts w:ascii="Times New Roman" w:hAnsi="Times New Roman"/>
                <w:bCs/>
                <w:sz w:val="24"/>
              </w:rPr>
              <w:t xml:space="preserve"> koje je institucija koja izvješćuje sklopila s drugim ugovornim stranama koje nisu opće države i čija je referentna izloženost opća država.</w:t>
            </w:r>
          </w:p>
          <w:p w14:paraId="67AB0B19" w14:textId="77777777" w:rsidR="00FD54FC" w:rsidRPr="00A30C4C" w:rsidRDefault="00FD54FC" w:rsidP="00FD54FC">
            <w:pPr>
              <w:spacing w:before="0" w:after="0"/>
              <w:ind w:left="33"/>
              <w:rPr>
                <w:rFonts w:ascii="Times New Roman" w:hAnsi="Times New Roman"/>
                <w:bCs/>
                <w:sz w:val="24"/>
                <w:lang w:eastAsia="de-DE"/>
              </w:rPr>
            </w:pPr>
          </w:p>
          <w:p w14:paraId="27D5AACE" w14:textId="3E790EC8"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Ovi se stupci ne iskazuju za izloženosti raščlanjene prema riziku, regulatornom pristupu i kategoriji izloženosti (redci od 020 do 160).</w:t>
            </w:r>
          </w:p>
          <w:p w14:paraId="4B0669D1" w14:textId="77777777" w:rsidR="00FD54FC" w:rsidRPr="00A30C4C" w:rsidRDefault="00FD54FC" w:rsidP="00FD54FC">
            <w:pPr>
              <w:spacing w:before="0" w:after="0"/>
              <w:ind w:left="33"/>
              <w:rPr>
                <w:rFonts w:ascii="Times New Roman" w:hAnsi="Times New Roman"/>
                <w:bCs/>
                <w:sz w:val="24"/>
                <w:lang w:eastAsia="de-DE"/>
              </w:rPr>
            </w:pPr>
          </w:p>
          <w:p w14:paraId="50164D9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Izloženosti iskazane u ovom odjeljku ne uzimaju se u obzir za izračun vrijednosti izloženosti i iznosa izloženosti ponderiranog rizikom (stupci 290 i 300) koji se temelji isključivo na izravnim izloženostima. </w:t>
            </w:r>
          </w:p>
          <w:p w14:paraId="02AC865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 </w:t>
            </w:r>
          </w:p>
        </w:tc>
      </w:tr>
      <w:tr w:rsidR="00FD54FC" w:rsidRPr="00A30C4C"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FD54FC" w:rsidRPr="00A30C4C" w:rsidDel="008D1680" w:rsidRDefault="00FD54FC" w:rsidP="00FD54FC">
            <w:pPr>
              <w:spacing w:before="0" w:after="0"/>
              <w:ind w:left="33"/>
              <w:rPr>
                <w:rFonts w:ascii="Times New Roman" w:hAnsi="Times New Roman"/>
                <w:bCs/>
                <w:sz w:val="24"/>
              </w:rPr>
            </w:pPr>
            <w:r>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pozitivnom fer vrijednošću – knjigovodstvena vrijednost</w:t>
            </w:r>
          </w:p>
          <w:p w14:paraId="313828AF" w14:textId="77777777" w:rsidR="00FD54FC" w:rsidRPr="00A30C4C" w:rsidRDefault="00FD54FC" w:rsidP="00FD54FC">
            <w:pPr>
              <w:spacing w:before="0" w:after="0"/>
              <w:ind w:left="33"/>
              <w:rPr>
                <w:rFonts w:ascii="Times New Roman" w:hAnsi="Times New Roman"/>
                <w:b/>
                <w:bCs/>
                <w:sz w:val="24"/>
                <w:u w:val="single"/>
                <w:lang w:eastAsia="de-DE"/>
              </w:rPr>
            </w:pPr>
          </w:p>
          <w:p w14:paraId="527DA15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Ukupna knjigovodstvena vrijednost iskazanih prodanih kreditnih izvedenica čija su odnosna imovina izloženosti prema općim državama koje imaju pozitivnu fer vrijednost za instituciju na referentni izvještajni datum, ne uzimajući u obzir bonitetna vrijednosna usklađenja.</w:t>
            </w:r>
          </w:p>
          <w:p w14:paraId="38A318F7" w14:textId="77777777" w:rsidR="00FD54FC" w:rsidRPr="00A30C4C" w:rsidRDefault="00FD54FC" w:rsidP="00FD54FC">
            <w:pPr>
              <w:spacing w:before="0" w:after="0"/>
              <w:ind w:left="33"/>
              <w:rPr>
                <w:rFonts w:ascii="Times New Roman" w:hAnsi="Times New Roman"/>
                <w:bCs/>
                <w:sz w:val="24"/>
                <w:lang w:eastAsia="de-DE"/>
              </w:rPr>
            </w:pPr>
          </w:p>
          <w:p w14:paraId="64018276"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Za izvedenice u skladu s MSFI-</w:t>
            </w:r>
            <w:proofErr w:type="spellStart"/>
            <w:r>
              <w:rPr>
                <w:rFonts w:ascii="Times New Roman" w:hAnsi="Times New Roman"/>
                <w:bCs/>
                <w:sz w:val="24"/>
              </w:rPr>
              <w:t>jem</w:t>
            </w:r>
            <w:proofErr w:type="spellEnd"/>
            <w:r>
              <w:rPr>
                <w:rFonts w:ascii="Times New Roman" w:hAnsi="Times New Roman"/>
                <w:bCs/>
                <w:sz w:val="24"/>
              </w:rPr>
              <w:t>, iznos koji se iskazuje u ovom stupcu jest knjigovodstvena vrijednost izvedenica koje su financijska imovina na izvještajni datum.</w:t>
            </w:r>
          </w:p>
          <w:p w14:paraId="28F6D4B1" w14:textId="77777777" w:rsidR="00FD54FC" w:rsidRPr="00A30C4C" w:rsidRDefault="00FD54FC" w:rsidP="00FD54FC">
            <w:pPr>
              <w:spacing w:before="0" w:after="0"/>
              <w:ind w:left="33"/>
              <w:rPr>
                <w:rFonts w:ascii="Times New Roman" w:hAnsi="Times New Roman"/>
                <w:bCs/>
                <w:sz w:val="24"/>
                <w:lang w:eastAsia="de-DE"/>
              </w:rPr>
            </w:pPr>
          </w:p>
          <w:p w14:paraId="204A4C64" w14:textId="4538DA1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Za izvedenice u skladu s nacionalnim općeprihvaćenim računovodstvenim načelima na temelju BAD-a iznos koji se iskazuje u ovom stupcu jest fer vrijednost izvedenica s pozitivnom fer vrijednošću na referentni izvještajni datum, neovisno o načinu njihova obračunavanja.</w:t>
            </w:r>
          </w:p>
          <w:p w14:paraId="5D6153BF"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FD54FC" w:rsidRPr="00A30C4C" w:rsidDel="008D1680" w:rsidRDefault="00FD54FC" w:rsidP="00FD54FC">
            <w:pPr>
              <w:spacing w:before="0" w:after="0"/>
              <w:ind w:left="33"/>
              <w:rPr>
                <w:rFonts w:ascii="Times New Roman" w:hAnsi="Times New Roman"/>
                <w:bCs/>
                <w:sz w:val="24"/>
              </w:rPr>
            </w:pPr>
            <w:r>
              <w:rPr>
                <w:rFonts w:ascii="Times New Roman" w:hAnsi="Times New Roman"/>
                <w:bCs/>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Izvedenice s negativnom fer vrijednošću – knjigovodstvena vrijednost</w:t>
            </w:r>
          </w:p>
          <w:p w14:paraId="719F20DC" w14:textId="77777777" w:rsidR="00FD54FC" w:rsidRPr="00A30C4C" w:rsidRDefault="00FD54FC" w:rsidP="00FD54FC">
            <w:pPr>
              <w:spacing w:before="0" w:after="0"/>
              <w:ind w:left="33"/>
              <w:rPr>
                <w:rFonts w:ascii="Times New Roman" w:hAnsi="Times New Roman"/>
                <w:b/>
                <w:bCs/>
                <w:sz w:val="24"/>
                <w:u w:val="single"/>
                <w:lang w:eastAsia="de-DE"/>
              </w:rPr>
            </w:pPr>
          </w:p>
          <w:p w14:paraId="00BC88B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Ukupna knjigovodstvena vrijednost iskazanih prodanih kreditnih izvedenica čija su odnosna imovina izloženosti prema općim državama koje imaju negativnu fer vrijednost za instituciju na referentni izvještajni datum, ne uzimajući u obzir bonitetna vrijednosna usklađenja.</w:t>
            </w:r>
          </w:p>
          <w:p w14:paraId="5BD4B003" w14:textId="77777777" w:rsidR="00FD54FC" w:rsidRPr="00A30C4C" w:rsidRDefault="00FD54FC" w:rsidP="00FD54FC">
            <w:pPr>
              <w:spacing w:before="0" w:after="0"/>
              <w:ind w:left="33"/>
              <w:rPr>
                <w:rFonts w:ascii="Times New Roman" w:hAnsi="Times New Roman"/>
                <w:bCs/>
                <w:sz w:val="24"/>
                <w:lang w:eastAsia="de-DE"/>
              </w:rPr>
            </w:pPr>
          </w:p>
          <w:p w14:paraId="09714866" w14:textId="31143AA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Za izvedenice u skladu s MSFI-</w:t>
            </w:r>
            <w:proofErr w:type="spellStart"/>
            <w:r>
              <w:rPr>
                <w:rFonts w:ascii="Times New Roman" w:hAnsi="Times New Roman"/>
                <w:bCs/>
                <w:sz w:val="24"/>
              </w:rPr>
              <w:t>jem</w:t>
            </w:r>
            <w:proofErr w:type="spellEnd"/>
            <w:r>
              <w:rPr>
                <w:rFonts w:ascii="Times New Roman" w:hAnsi="Times New Roman"/>
                <w:bCs/>
                <w:sz w:val="24"/>
              </w:rPr>
              <w:t xml:space="preserve"> iznos koji se iskazuje u ovom stupcu jest knjigovodstvena vrijednost izvedenica koje su financijske obveze na izvještajni datum. </w:t>
            </w:r>
          </w:p>
          <w:p w14:paraId="59F31FCF" w14:textId="77777777" w:rsidR="00FD54FC" w:rsidRPr="00A30C4C" w:rsidRDefault="00FD54FC" w:rsidP="00FD54FC">
            <w:pPr>
              <w:spacing w:before="0" w:after="0"/>
              <w:ind w:left="33"/>
              <w:rPr>
                <w:rFonts w:ascii="Times New Roman" w:hAnsi="Times New Roman"/>
                <w:bCs/>
                <w:sz w:val="24"/>
                <w:lang w:eastAsia="de-DE"/>
              </w:rPr>
            </w:pPr>
          </w:p>
          <w:p w14:paraId="5F182F39"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Cs/>
                <w:sz w:val="24"/>
              </w:rPr>
              <w:t>Za izvedenice u skladu s nacionalnim općeprihvaćenim računovodstvenim načelima na temelju BAD-a iznos koji se iskazuje u ovom stupcu jest fer vrijednost izvedenica s negativnom fer vrijednošću na referentni izvještajni datum, neovisno o načinu njihova obračunavanja.</w:t>
            </w:r>
            <w:r>
              <w:rPr>
                <w:rFonts w:ascii="Times New Roman" w:hAnsi="Times New Roman"/>
                <w:b/>
                <w:bCs/>
                <w:sz w:val="24"/>
                <w:u w:val="single"/>
              </w:rPr>
              <w:t xml:space="preserve"> </w:t>
            </w:r>
          </w:p>
          <w:p w14:paraId="3DD8948B"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FD54FC" w:rsidRPr="00A30C4C" w:rsidDel="008D1680" w:rsidRDefault="00FD54FC" w:rsidP="00FD54FC">
            <w:pPr>
              <w:spacing w:before="0" w:after="0"/>
              <w:ind w:left="33"/>
              <w:rPr>
                <w:rFonts w:ascii="Times New Roman" w:hAnsi="Times New Roman"/>
                <w:bCs/>
                <w:sz w:val="24"/>
              </w:rPr>
            </w:pPr>
            <w:r>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Vrijednost izloženosti</w:t>
            </w:r>
          </w:p>
          <w:p w14:paraId="12CCCFCD" w14:textId="77777777" w:rsidR="00FD54FC" w:rsidRPr="00A30C4C" w:rsidRDefault="00FD54FC" w:rsidP="00FD54FC">
            <w:pPr>
              <w:spacing w:before="0" w:after="0"/>
              <w:ind w:left="33"/>
              <w:rPr>
                <w:rFonts w:ascii="Times New Roman" w:hAnsi="Times New Roman"/>
                <w:b/>
                <w:bCs/>
                <w:sz w:val="24"/>
                <w:u w:val="single"/>
                <w:lang w:eastAsia="de-DE"/>
              </w:rPr>
            </w:pPr>
          </w:p>
          <w:p w14:paraId="564C966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Vrijednost izloženosti za izloženosti na koje se primjenjuje okvir za kreditni rizik.</w:t>
            </w:r>
          </w:p>
          <w:p w14:paraId="5332F0B1" w14:textId="77777777" w:rsidR="00FD54FC" w:rsidRPr="00A30C4C" w:rsidRDefault="00FD54FC" w:rsidP="00FD54FC">
            <w:pPr>
              <w:spacing w:before="0" w:after="0"/>
              <w:ind w:left="33"/>
              <w:rPr>
                <w:rFonts w:ascii="Times New Roman" w:hAnsi="Times New Roman"/>
                <w:bCs/>
                <w:sz w:val="24"/>
                <w:lang w:eastAsia="de-DE"/>
              </w:rPr>
            </w:pPr>
          </w:p>
          <w:p w14:paraId="64489921" w14:textId="59B3CEFE"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Za izloženosti prema standardiziranom pristupu: vidjeti članak 111. CRR-a. Za izloženosti prema IRB pristupu: vidjeti članak 166. i članak 230. stavak 1. drugu rečenicu CRR-a.</w:t>
            </w:r>
          </w:p>
          <w:p w14:paraId="5027773B" w14:textId="77777777" w:rsidR="00FD54FC" w:rsidRPr="00A30C4C" w:rsidRDefault="00FD54FC" w:rsidP="00FD54FC">
            <w:pPr>
              <w:spacing w:before="0" w:after="0"/>
              <w:ind w:left="33"/>
              <w:rPr>
                <w:rFonts w:ascii="Times New Roman" w:hAnsi="Times New Roman"/>
                <w:bCs/>
                <w:sz w:val="24"/>
                <w:lang w:eastAsia="de-DE"/>
              </w:rPr>
            </w:pPr>
          </w:p>
          <w:p w14:paraId="1515F006"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Za izvješćivanje o izvedenicama na koje se primjenjuju kapitalni zahtjevi za kreditni rizik druge ugovorne strane i tržišni rizik, vidjeti upute za raščlambu prema redcima.</w:t>
            </w:r>
          </w:p>
          <w:p w14:paraId="05A5C4A4"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Iznos izloženosti ponderiran rizikom </w:t>
            </w:r>
          </w:p>
          <w:p w14:paraId="7DB82B21" w14:textId="77777777" w:rsidR="00FD54FC" w:rsidRPr="00A30C4C" w:rsidRDefault="00FD54FC" w:rsidP="00FD54FC">
            <w:pPr>
              <w:spacing w:before="0" w:after="0"/>
              <w:ind w:left="33"/>
              <w:rPr>
                <w:rFonts w:ascii="Times New Roman" w:hAnsi="Times New Roman"/>
                <w:b/>
                <w:bCs/>
                <w:sz w:val="24"/>
                <w:u w:val="single"/>
                <w:lang w:eastAsia="de-DE"/>
              </w:rPr>
            </w:pPr>
          </w:p>
          <w:p w14:paraId="1D5B82C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Iznos izloženosti ponderiran rizikom za izloženosti na koje se primjenjuje okvir za kreditni rizik. </w:t>
            </w:r>
          </w:p>
          <w:p w14:paraId="5AB5EF60" w14:textId="77777777" w:rsidR="00FD54FC" w:rsidRPr="00A30C4C" w:rsidRDefault="00FD54FC" w:rsidP="00FD54FC">
            <w:pPr>
              <w:spacing w:before="0" w:after="0"/>
              <w:ind w:left="33"/>
              <w:rPr>
                <w:rFonts w:ascii="Times New Roman" w:hAnsi="Times New Roman"/>
                <w:bCs/>
                <w:sz w:val="24"/>
                <w:lang w:eastAsia="de-DE"/>
              </w:rPr>
            </w:pPr>
          </w:p>
          <w:p w14:paraId="10AD2E37" w14:textId="51454782"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Za izloženosti prema standardiziranom pristupu: vidjeti članak 113. stavke od 1. do 5. CRR-a. Za izloženosti prema IRB pristupu: vidjeti članak 153. stavke od 1. do 3. CRR-a.</w:t>
            </w:r>
          </w:p>
          <w:p w14:paraId="5ED29C84" w14:textId="77777777" w:rsidR="00FD54FC" w:rsidRPr="00A30C4C" w:rsidRDefault="00FD54FC" w:rsidP="00FD54FC">
            <w:pPr>
              <w:spacing w:before="0" w:after="0"/>
              <w:ind w:left="33"/>
              <w:rPr>
                <w:rFonts w:ascii="Times New Roman" w:hAnsi="Times New Roman"/>
                <w:bCs/>
                <w:sz w:val="24"/>
                <w:lang w:eastAsia="de-DE"/>
              </w:rPr>
            </w:pPr>
          </w:p>
          <w:p w14:paraId="50CB580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Za izvješćivanje o izravnim izloženostima u okviru područja primjene članka 271. CRR-a na koje se primjenjuju kapitalni zahtjevi za kreditni rizik druge ugovorne strane i tržišni rizik, vidjeti upute za raščlambu prema redcima.</w:t>
            </w:r>
          </w:p>
          <w:p w14:paraId="23FE04B4" w14:textId="77777777" w:rsidR="00FD54FC" w:rsidRPr="00A30C4C" w:rsidRDefault="00FD54FC" w:rsidP="00FD54FC">
            <w:pPr>
              <w:spacing w:before="0" w:after="0"/>
              <w:ind w:left="33"/>
              <w:rPr>
                <w:rFonts w:ascii="Times New Roman" w:hAnsi="Times New Roman"/>
                <w:b/>
                <w:bCs/>
                <w:sz w:val="24"/>
                <w:u w:val="single"/>
                <w:lang w:eastAsia="de-DE"/>
              </w:rPr>
            </w:pPr>
          </w:p>
        </w:tc>
      </w:tr>
    </w:tbl>
    <w:p w14:paraId="25144459" w14:textId="77777777" w:rsidR="00FD54FC" w:rsidRPr="00A30C4C"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A30C4C" w14:paraId="4B74663B" w14:textId="77777777" w:rsidTr="00672D2A">
        <w:tc>
          <w:tcPr>
            <w:tcW w:w="1188" w:type="dxa"/>
            <w:shd w:val="clear" w:color="auto" w:fill="CCCCCC"/>
          </w:tcPr>
          <w:p w14:paraId="158EBFF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Redci</w:t>
            </w:r>
          </w:p>
        </w:tc>
        <w:tc>
          <w:tcPr>
            <w:tcW w:w="8701" w:type="dxa"/>
            <w:shd w:val="clear" w:color="auto" w:fill="CCCCCC"/>
          </w:tcPr>
          <w:p w14:paraId="2067DC1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Upute</w:t>
            </w:r>
          </w:p>
        </w:tc>
      </w:tr>
      <w:tr w:rsidR="00FD54FC" w:rsidRPr="00A30C4C" w14:paraId="6B2D45ED" w14:textId="77777777" w:rsidTr="00672D2A">
        <w:tc>
          <w:tcPr>
            <w:tcW w:w="9889" w:type="dxa"/>
            <w:gridSpan w:val="2"/>
          </w:tcPr>
          <w:p w14:paraId="4B82BE8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RAŠČLAMBA IZLOŽENOSTI PREMA PREGULATORNOM PRISTUPU</w:t>
            </w:r>
          </w:p>
          <w:p w14:paraId="71D3F36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1643FBF" w14:textId="77777777" w:rsidTr="00672D2A">
        <w:tc>
          <w:tcPr>
            <w:tcW w:w="1188" w:type="dxa"/>
            <w:shd w:val="clear" w:color="auto" w:fill="auto"/>
          </w:tcPr>
          <w:p w14:paraId="42E08604"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010</w:t>
            </w:r>
          </w:p>
        </w:tc>
        <w:tc>
          <w:tcPr>
            <w:tcW w:w="8701" w:type="dxa"/>
            <w:shd w:val="clear" w:color="auto" w:fill="auto"/>
          </w:tcPr>
          <w:p w14:paraId="3A82171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Ukupne izloženosti</w:t>
            </w:r>
          </w:p>
          <w:p w14:paraId="2BBD1D82" w14:textId="77777777" w:rsidR="00FD54FC" w:rsidRPr="00A30C4C" w:rsidRDefault="00FD54FC" w:rsidP="00FD54FC">
            <w:pPr>
              <w:spacing w:before="0" w:after="0"/>
              <w:ind w:left="33"/>
              <w:rPr>
                <w:rFonts w:ascii="Times New Roman" w:hAnsi="Times New Roman"/>
                <w:b/>
                <w:bCs/>
                <w:sz w:val="24"/>
                <w:u w:val="single"/>
                <w:lang w:eastAsia="de-DE"/>
              </w:rPr>
            </w:pPr>
          </w:p>
          <w:p w14:paraId="1121CEA2" w14:textId="243EC61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Ukupne izloženosti prema općim državama, kako je definirano u točkama od 155. do 160. ovog Priloga.</w:t>
            </w:r>
          </w:p>
          <w:p w14:paraId="5900DE7D"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7F17E38A" w14:textId="77777777" w:rsidTr="00672D2A">
        <w:tc>
          <w:tcPr>
            <w:tcW w:w="1188" w:type="dxa"/>
          </w:tcPr>
          <w:p w14:paraId="4DEE5029" w14:textId="77777777" w:rsidR="00FD54FC" w:rsidRPr="00A30C4C" w:rsidRDefault="00FD54FC" w:rsidP="00A85E91">
            <w:pPr>
              <w:spacing w:before="0" w:after="0"/>
              <w:ind w:left="33"/>
              <w:rPr>
                <w:rFonts w:ascii="Times New Roman" w:hAnsi="Times New Roman"/>
                <w:bCs/>
                <w:sz w:val="24"/>
              </w:rPr>
            </w:pPr>
            <w:r>
              <w:rPr>
                <w:rFonts w:ascii="Times New Roman" w:hAnsi="Times New Roman"/>
                <w:bCs/>
                <w:sz w:val="24"/>
              </w:rPr>
              <w:t>020-155</w:t>
            </w:r>
          </w:p>
        </w:tc>
        <w:tc>
          <w:tcPr>
            <w:tcW w:w="8701" w:type="dxa"/>
          </w:tcPr>
          <w:p w14:paraId="4A862390" w14:textId="77777777" w:rsidR="00FD54FC" w:rsidRPr="00A30C4C" w:rsidRDefault="00FD54FC" w:rsidP="00FD54FC">
            <w:pPr>
              <w:spacing w:before="0" w:after="0"/>
              <w:ind w:left="33"/>
              <w:rPr>
                <w:rFonts w:ascii="Times New Roman" w:hAnsi="Times New Roman"/>
                <w:bCs/>
                <w:sz w:val="24"/>
              </w:rPr>
            </w:pPr>
            <w:r>
              <w:rPr>
                <w:rFonts w:ascii="Times New Roman" w:hAnsi="Times New Roman"/>
                <w:b/>
                <w:bCs/>
                <w:sz w:val="24"/>
                <w:u w:val="single"/>
              </w:rPr>
              <w:t>Izloženosti na koje se primjenjuje okvir za kreditni rizik</w:t>
            </w:r>
          </w:p>
          <w:p w14:paraId="170F3005" w14:textId="77777777" w:rsidR="00FD54FC" w:rsidRPr="00A30C4C" w:rsidRDefault="00FD54FC" w:rsidP="00542EAE">
            <w:pPr>
              <w:spacing w:before="0" w:after="0"/>
              <w:ind w:left="33"/>
              <w:rPr>
                <w:rFonts w:ascii="Times New Roman" w:hAnsi="Times New Roman"/>
                <w:bCs/>
                <w:sz w:val="24"/>
                <w:lang w:eastAsia="de-DE"/>
              </w:rPr>
            </w:pPr>
          </w:p>
          <w:p w14:paraId="3CB1E817" w14:textId="50F62EB0" w:rsidR="00542EAE" w:rsidRPr="00A30C4C" w:rsidRDefault="00FD54FC" w:rsidP="009068C9">
            <w:pPr>
              <w:spacing w:before="0" w:after="0"/>
              <w:ind w:left="33"/>
              <w:rPr>
                <w:rFonts w:ascii="Times New Roman" w:hAnsi="Times New Roman"/>
                <w:bCs/>
                <w:sz w:val="24"/>
              </w:rPr>
            </w:pPr>
            <w:r>
              <w:rPr>
                <w:rFonts w:ascii="Times New Roman" w:hAnsi="Times New Roman"/>
                <w:bCs/>
                <w:sz w:val="24"/>
              </w:rPr>
              <w:t xml:space="preserve">Ukupne izloženosti prema </w:t>
            </w:r>
            <w:r>
              <w:rPr>
                <w:rFonts w:ascii="Times New Roman" w:hAnsi="Times New Roman"/>
                <w:sz w:val="24"/>
              </w:rPr>
              <w:t>općim državama</w:t>
            </w:r>
            <w:r>
              <w:rPr>
                <w:rFonts w:ascii="Times New Roman" w:hAnsi="Times New Roman"/>
                <w:bCs/>
                <w:sz w:val="24"/>
              </w:rPr>
              <w:t xml:space="preserve"> koje se ponderiraju rizikom u skladu s dijelom trećim glavom II. CRR-a. Izloženosti na koje se primjenjuje okvir za kreditni rizik uključuju izloženosti iz knjige pozicija kojima se ne trguje i iz knjige trgovanja na koje se primjenjuje kapitalni zahtjev za kreditni rizik druge ugovorne strane. </w:t>
            </w:r>
          </w:p>
          <w:p w14:paraId="10217DA5" w14:textId="77777777" w:rsidR="00FD54FC" w:rsidRPr="00A30C4C" w:rsidRDefault="00FD54FC" w:rsidP="009068C9">
            <w:pPr>
              <w:spacing w:before="0" w:after="0"/>
              <w:ind w:left="33"/>
              <w:rPr>
                <w:rFonts w:ascii="Times New Roman" w:hAnsi="Times New Roman"/>
                <w:bCs/>
                <w:sz w:val="24"/>
                <w:lang w:eastAsia="de-DE"/>
              </w:rPr>
            </w:pPr>
          </w:p>
          <w:p w14:paraId="6FDDDAC3" w14:textId="77777777" w:rsidR="00542EAE" w:rsidRPr="00A30C4C" w:rsidRDefault="00FD54FC" w:rsidP="009068C9">
            <w:pPr>
              <w:spacing w:before="0" w:after="0"/>
              <w:ind w:left="33"/>
              <w:rPr>
                <w:rFonts w:ascii="Times New Roman" w:hAnsi="Times New Roman"/>
                <w:bCs/>
                <w:sz w:val="24"/>
              </w:rPr>
            </w:pPr>
            <w:r>
              <w:rPr>
                <w:rFonts w:ascii="Times New Roman" w:hAnsi="Times New Roman"/>
                <w:bCs/>
                <w:sz w:val="24"/>
              </w:rPr>
              <w:t>Izravne izloženosti u okviru područja primjene članka 271. CRR-a na koje se primjenjuju kapitalni zahtjevi za kreditni rizik druge ugovorne strane i tržišni rizik iskazuju se u redcima za kreditni rizik (020 do 155) i retku za tržišni rizik (redak 160): izloženosti zbog kreditnog rizika druge ugovorne strane iskazuju se  u redcima za kreditni rizik, dok se izloženosti zbog tržišnog rizika  iskazuju u retku za tržišni rizik.</w:t>
            </w:r>
          </w:p>
          <w:p w14:paraId="2D1E510B" w14:textId="77777777" w:rsidR="00542EAE" w:rsidRPr="00A30C4C" w:rsidRDefault="00542EAE" w:rsidP="009068C9">
            <w:pPr>
              <w:spacing w:before="0" w:after="0"/>
              <w:ind w:left="33"/>
              <w:rPr>
                <w:rFonts w:ascii="Times New Roman" w:hAnsi="Times New Roman"/>
                <w:bCs/>
                <w:sz w:val="24"/>
                <w:lang w:eastAsia="de-DE"/>
              </w:rPr>
            </w:pPr>
          </w:p>
        </w:tc>
      </w:tr>
      <w:tr w:rsidR="00FD54FC" w:rsidRPr="00A30C4C" w14:paraId="07F9A4BC" w14:textId="77777777" w:rsidTr="00672D2A">
        <w:tc>
          <w:tcPr>
            <w:tcW w:w="1188" w:type="dxa"/>
          </w:tcPr>
          <w:p w14:paraId="52812F7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030</w:t>
            </w:r>
          </w:p>
        </w:tc>
        <w:tc>
          <w:tcPr>
            <w:tcW w:w="8701" w:type="dxa"/>
          </w:tcPr>
          <w:p w14:paraId="4106349B"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Standardizirani pristup</w:t>
            </w:r>
          </w:p>
          <w:p w14:paraId="261CF261" w14:textId="77777777" w:rsidR="00FD54FC" w:rsidRPr="00A30C4C" w:rsidRDefault="00FD54FC" w:rsidP="00FD54FC">
            <w:pPr>
              <w:spacing w:before="0" w:after="0"/>
              <w:ind w:left="33"/>
              <w:rPr>
                <w:rFonts w:ascii="Times New Roman" w:hAnsi="Times New Roman"/>
                <w:bCs/>
                <w:sz w:val="24"/>
                <w:lang w:eastAsia="de-DE"/>
              </w:rPr>
            </w:pPr>
          </w:p>
          <w:p w14:paraId="3F8B456F" w14:textId="0F69F553"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se ponderiraju rizikom u skladu s dijelom trećim glavom II. poglavljem 2. CRR-a, uključujući izloženosti iz knjige pozicija kojima se ne trguje za koje se </w:t>
            </w:r>
            <w:proofErr w:type="spellStart"/>
            <w:r>
              <w:rPr>
                <w:rFonts w:ascii="Times New Roman" w:hAnsi="Times New Roman"/>
                <w:bCs/>
                <w:sz w:val="24"/>
              </w:rPr>
              <w:t>ponderiranje</w:t>
            </w:r>
            <w:proofErr w:type="spellEnd"/>
            <w:r>
              <w:rPr>
                <w:rFonts w:ascii="Times New Roman" w:hAnsi="Times New Roman"/>
                <w:bCs/>
                <w:sz w:val="24"/>
              </w:rPr>
              <w:t xml:space="preserve"> rizikom u skladu s tim poglavljem odnosi na kreditni rizik druge ugovorne strane.</w:t>
            </w:r>
          </w:p>
          <w:p w14:paraId="5CF39721"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09F8E9F" w14:textId="77777777" w:rsidTr="00672D2A">
        <w:tc>
          <w:tcPr>
            <w:tcW w:w="1188" w:type="dxa"/>
          </w:tcPr>
          <w:p w14:paraId="0F316850"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040</w:t>
            </w:r>
          </w:p>
        </w:tc>
        <w:tc>
          <w:tcPr>
            <w:tcW w:w="8701" w:type="dxa"/>
          </w:tcPr>
          <w:p w14:paraId="757B7863"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Središnje države</w:t>
            </w:r>
          </w:p>
          <w:p w14:paraId="1CC65811" w14:textId="77777777" w:rsidR="00FD54FC" w:rsidRPr="00A30C4C" w:rsidRDefault="00FD54FC" w:rsidP="00FD54FC">
            <w:pPr>
              <w:spacing w:before="0" w:after="0"/>
              <w:ind w:left="33"/>
              <w:rPr>
                <w:rFonts w:ascii="Times New Roman" w:hAnsi="Times New Roman"/>
                <w:bCs/>
                <w:sz w:val="24"/>
                <w:lang w:eastAsia="de-DE"/>
              </w:rPr>
            </w:pPr>
          </w:p>
          <w:p w14:paraId="002D3F7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središnje države. Te se izloženosti raspoređuju u kategoriju izloženosti prema „središnjim državama ili središnjim bankama” u skladu s člancima 112. i 114. CRR-a, kako je određeno u uputama za obrazac C 07.00, osim kriterija u pogledu raspodjele izloženosti prema općim državama u druge kategorije izloženosti zbog tehnika smanjenja rizika s učinkom zamjene na izloženost, koji se ne primjenjuju.</w:t>
            </w:r>
          </w:p>
          <w:p w14:paraId="62E7C5E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5EE3576" w14:textId="77777777" w:rsidTr="00672D2A">
        <w:tc>
          <w:tcPr>
            <w:tcW w:w="1188" w:type="dxa"/>
          </w:tcPr>
          <w:p w14:paraId="342F6D56"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050</w:t>
            </w:r>
          </w:p>
        </w:tc>
        <w:tc>
          <w:tcPr>
            <w:tcW w:w="8701" w:type="dxa"/>
          </w:tcPr>
          <w:p w14:paraId="1A82549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Jedinice područne (regionalne) ili lokalne samouprave</w:t>
            </w:r>
          </w:p>
          <w:p w14:paraId="14F3B7E4" w14:textId="77777777" w:rsidR="00FD54FC" w:rsidRPr="00A30C4C" w:rsidRDefault="00FD54FC" w:rsidP="00FD54FC">
            <w:pPr>
              <w:spacing w:before="0" w:after="0"/>
              <w:ind w:left="33"/>
              <w:rPr>
                <w:rFonts w:ascii="Times New Roman" w:hAnsi="Times New Roman"/>
                <w:bCs/>
                <w:sz w:val="24"/>
                <w:lang w:eastAsia="de-DE"/>
              </w:rPr>
            </w:pPr>
          </w:p>
          <w:p w14:paraId="64E25E8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jedinice područne (regionalne) ili lokalne samouprave. Te se izloženosti raspoređuju u kategoriju izloženosti prema „jedinicama područne (regionalne) ili lokalne samouprave ” u skladu s člancima 112. i 115. CRR-a, kako je određeno u uputama za obrazac C 07.00, osim kriterija u pogledu raspodjele izloženosti prema općim državama u druge kategorije izloženosti zbog tehnika smanjenja rizika s učinkom zamjene na izloženost, koji se ne primjenjuju.</w:t>
            </w:r>
          </w:p>
          <w:p w14:paraId="5B520DF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D1216D8" w14:textId="77777777" w:rsidTr="00672D2A">
        <w:tc>
          <w:tcPr>
            <w:tcW w:w="1188" w:type="dxa"/>
          </w:tcPr>
          <w:p w14:paraId="4E85D85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060</w:t>
            </w:r>
          </w:p>
        </w:tc>
        <w:tc>
          <w:tcPr>
            <w:tcW w:w="8701" w:type="dxa"/>
          </w:tcPr>
          <w:p w14:paraId="7FC87D5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javnog sektora</w:t>
            </w:r>
          </w:p>
          <w:p w14:paraId="497DF568" w14:textId="77777777" w:rsidR="00FD54FC" w:rsidRPr="00A30C4C" w:rsidRDefault="00FD54FC" w:rsidP="00FD54FC">
            <w:pPr>
              <w:spacing w:before="0" w:after="0"/>
              <w:ind w:left="33"/>
              <w:rPr>
                <w:rFonts w:ascii="Times New Roman" w:hAnsi="Times New Roman"/>
                <w:bCs/>
                <w:sz w:val="24"/>
                <w:lang w:eastAsia="de-DE"/>
              </w:rPr>
            </w:pPr>
          </w:p>
          <w:p w14:paraId="003C7F9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su subjekti javnog sektora. Te se izloženosti raspoređuju u kategoriju izloženosti prema „subjektima javnog sektora” u skladu s člancima 112. i 116. CRR-a, kako je određeno u uputama za obrazac C 07.00, osim kriterija </w:t>
            </w:r>
            <w:r>
              <w:rPr>
                <w:rFonts w:ascii="Times New Roman" w:hAnsi="Times New Roman"/>
                <w:bCs/>
                <w:sz w:val="24"/>
              </w:rPr>
              <w:lastRenderedPageBreak/>
              <w:t>u pogledu raspodjele izloženosti prema općim državama u druge kategorije izloženosti zbog tehnika smanjenja rizika s učinkom zamjene na izloženost, koji se ne primjenjuju.</w:t>
            </w:r>
          </w:p>
          <w:p w14:paraId="2BF83B9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50A07606" w14:textId="77777777" w:rsidTr="00672D2A">
        <w:tc>
          <w:tcPr>
            <w:tcW w:w="1188" w:type="dxa"/>
          </w:tcPr>
          <w:p w14:paraId="6A035DA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070</w:t>
            </w:r>
          </w:p>
        </w:tc>
        <w:tc>
          <w:tcPr>
            <w:tcW w:w="8701" w:type="dxa"/>
          </w:tcPr>
          <w:p w14:paraId="1E2C627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Međunarodne organizacije</w:t>
            </w:r>
          </w:p>
          <w:p w14:paraId="27CAAC80" w14:textId="77777777" w:rsidR="00FD54FC" w:rsidRPr="00A30C4C" w:rsidRDefault="00FD54FC" w:rsidP="00FD54FC">
            <w:pPr>
              <w:spacing w:before="0" w:after="0"/>
              <w:ind w:left="33"/>
              <w:rPr>
                <w:rFonts w:ascii="Times New Roman" w:hAnsi="Times New Roman"/>
                <w:bCs/>
                <w:sz w:val="24"/>
                <w:lang w:eastAsia="de-DE"/>
              </w:rPr>
            </w:pPr>
          </w:p>
          <w:p w14:paraId="25487D99" w14:textId="77777777" w:rsidR="00FD54FC" w:rsidRPr="00A30C4C" w:rsidRDefault="00530BA1" w:rsidP="00FD54FC">
            <w:pPr>
              <w:spacing w:before="0" w:after="0"/>
              <w:ind w:left="33"/>
              <w:rPr>
                <w:rFonts w:ascii="Times New Roman" w:hAnsi="Times New Roman"/>
                <w:bCs/>
                <w:sz w:val="24"/>
              </w:rPr>
            </w:pPr>
            <w:r>
              <w:rPr>
                <w:rFonts w:ascii="Times New Roman" w:hAnsi="Times New Roman"/>
                <w:bCs/>
                <w:sz w:val="24"/>
              </w:rPr>
              <w:t>Izloženosti prema općim državama koje su međunarodne organizacije. Te se izloženosti raspoređuju u kategoriju izloženosti prema „međunarodnim organizacijama” u skladu s člancima 112. i 118. CRR-a, kako je određeno u uputama za obrazac C 07.00, osim kriterija u pogledu raspodjele izloženosti prema općim državama u druge kategorije izloženosti zbog tehnika smanjenja rizika s učinkom zamjene na izloženost, koji se ne primjenjuju.</w:t>
            </w:r>
          </w:p>
          <w:p w14:paraId="69071AEA" w14:textId="77777777" w:rsidR="00FD54FC" w:rsidRPr="00A30C4C" w:rsidRDefault="00FD54FC" w:rsidP="00FD54FC">
            <w:pPr>
              <w:spacing w:before="0" w:after="0"/>
              <w:ind w:left="33"/>
              <w:rPr>
                <w:rFonts w:ascii="Times New Roman" w:hAnsi="Times New Roman"/>
                <w:b/>
                <w:bCs/>
                <w:sz w:val="24"/>
                <w:u w:val="single"/>
                <w:lang w:eastAsia="de-DE"/>
              </w:rPr>
            </w:pPr>
          </w:p>
        </w:tc>
      </w:tr>
      <w:tr w:rsidR="00CE47AF" w:rsidRPr="00A30C4C" w14:paraId="0AE59D57" w14:textId="77777777" w:rsidTr="00672D2A">
        <w:tc>
          <w:tcPr>
            <w:tcW w:w="1188" w:type="dxa"/>
          </w:tcPr>
          <w:p w14:paraId="36DC970D" w14:textId="77777777" w:rsidR="00CE47AF" w:rsidRPr="00A30C4C" w:rsidRDefault="00CE47AF" w:rsidP="00FD54FC">
            <w:pPr>
              <w:spacing w:before="0" w:after="0"/>
              <w:ind w:left="33"/>
              <w:rPr>
                <w:rFonts w:ascii="Times New Roman" w:hAnsi="Times New Roman"/>
                <w:bCs/>
                <w:sz w:val="24"/>
              </w:rPr>
            </w:pPr>
            <w:r>
              <w:rPr>
                <w:rFonts w:ascii="Times New Roman" w:hAnsi="Times New Roman"/>
                <w:bCs/>
                <w:sz w:val="24"/>
              </w:rPr>
              <w:t>075</w:t>
            </w:r>
          </w:p>
        </w:tc>
        <w:tc>
          <w:tcPr>
            <w:tcW w:w="8701" w:type="dxa"/>
          </w:tcPr>
          <w:p w14:paraId="479BA384" w14:textId="77777777" w:rsidR="00CE47AF" w:rsidRPr="00A30C4C"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Ostale izloženosti prema općim državama u skladu sa standardiziranim pristupom</w:t>
            </w:r>
          </w:p>
          <w:p w14:paraId="38DCD7F8" w14:textId="77777777" w:rsidR="00CE47AF" w:rsidRPr="00A30C4C" w:rsidRDefault="00CE47AF" w:rsidP="00CE47AF">
            <w:pPr>
              <w:spacing w:before="0" w:after="0"/>
              <w:ind w:left="33"/>
              <w:rPr>
                <w:rFonts w:ascii="Times New Roman" w:hAnsi="Times New Roman"/>
                <w:bCs/>
                <w:sz w:val="24"/>
                <w:lang w:eastAsia="de-DE"/>
              </w:rPr>
            </w:pPr>
          </w:p>
          <w:p w14:paraId="0B5616D8" w14:textId="77777777" w:rsidR="00CE47AF" w:rsidRPr="00A30C4C" w:rsidRDefault="00530BA1" w:rsidP="00FD54FC">
            <w:pPr>
              <w:spacing w:before="0" w:after="0"/>
              <w:ind w:left="33"/>
              <w:rPr>
                <w:rFonts w:ascii="Times New Roman" w:hAnsi="Times New Roman"/>
                <w:bCs/>
                <w:sz w:val="24"/>
              </w:rPr>
            </w:pPr>
            <w:r>
              <w:rPr>
                <w:rFonts w:ascii="Times New Roman" w:hAnsi="Times New Roman"/>
                <w:bCs/>
                <w:sz w:val="24"/>
              </w:rPr>
              <w:t>Izloženosti prema općim državama osim onih uključenih u prethodne retke od 040 do 070, koje su raspoređene u kategorije izloženosti u skladu sa standardiziranim pristupom u skladu s člankom 112. CRR-a za potrebe izračuna kapitalnih zahtjeva.</w:t>
            </w:r>
          </w:p>
          <w:p w14:paraId="00B71678" w14:textId="77777777" w:rsidR="00530BA1" w:rsidRPr="00A30C4C" w:rsidRDefault="00530BA1" w:rsidP="00530BA1">
            <w:pPr>
              <w:spacing w:before="0" w:after="0"/>
              <w:ind w:left="33"/>
              <w:rPr>
                <w:rFonts w:ascii="Times New Roman" w:hAnsi="Times New Roman"/>
                <w:b/>
                <w:bCs/>
                <w:sz w:val="24"/>
                <w:u w:val="single"/>
                <w:lang w:eastAsia="de-DE"/>
              </w:rPr>
            </w:pPr>
          </w:p>
        </w:tc>
      </w:tr>
      <w:tr w:rsidR="00FD54FC" w:rsidRPr="00A30C4C" w14:paraId="54C846CD" w14:textId="77777777" w:rsidTr="00672D2A">
        <w:tc>
          <w:tcPr>
            <w:tcW w:w="1188" w:type="dxa"/>
          </w:tcPr>
          <w:p w14:paraId="25D1B85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080</w:t>
            </w:r>
          </w:p>
        </w:tc>
        <w:tc>
          <w:tcPr>
            <w:tcW w:w="8701" w:type="dxa"/>
          </w:tcPr>
          <w:p w14:paraId="799AE877"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IRB pristup</w:t>
            </w:r>
          </w:p>
          <w:p w14:paraId="46D51E85" w14:textId="77777777" w:rsidR="00FD54FC" w:rsidRPr="00A30C4C" w:rsidRDefault="00FD54FC" w:rsidP="00FD54FC">
            <w:pPr>
              <w:spacing w:before="0" w:after="0"/>
              <w:ind w:left="33"/>
              <w:rPr>
                <w:rFonts w:ascii="Times New Roman" w:hAnsi="Times New Roman"/>
                <w:bCs/>
                <w:sz w:val="24"/>
                <w:lang w:eastAsia="de-DE"/>
              </w:rPr>
            </w:pPr>
          </w:p>
          <w:p w14:paraId="7900AB28" w14:textId="6EF52D6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se ponderiraju rizikom u skladu s dijelom trećim glavom II. poglavljem 3. CRR-a, uključujući izloženosti iz knjige pozicija kojima se ne trguje za koje se </w:t>
            </w:r>
            <w:proofErr w:type="spellStart"/>
            <w:r>
              <w:rPr>
                <w:rFonts w:ascii="Times New Roman" w:hAnsi="Times New Roman"/>
                <w:bCs/>
                <w:sz w:val="24"/>
              </w:rPr>
              <w:t>ponderiranje</w:t>
            </w:r>
            <w:proofErr w:type="spellEnd"/>
            <w:r>
              <w:rPr>
                <w:rFonts w:ascii="Times New Roman" w:hAnsi="Times New Roman"/>
                <w:bCs/>
                <w:sz w:val="24"/>
              </w:rPr>
              <w:t xml:space="preserve"> rizikom u skladu s tim poglavljem odnosi na kreditni rizik druge ugovorne strane.</w:t>
            </w:r>
          </w:p>
          <w:p w14:paraId="29B30B61"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25F7A3FA" w14:textId="77777777" w:rsidTr="00672D2A">
        <w:tc>
          <w:tcPr>
            <w:tcW w:w="1188" w:type="dxa"/>
          </w:tcPr>
          <w:p w14:paraId="22511A04"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090</w:t>
            </w:r>
          </w:p>
        </w:tc>
        <w:tc>
          <w:tcPr>
            <w:tcW w:w="8701" w:type="dxa"/>
          </w:tcPr>
          <w:p w14:paraId="1C5FC26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Središnje države</w:t>
            </w:r>
          </w:p>
          <w:p w14:paraId="20B0BC30" w14:textId="77777777" w:rsidR="00FD54FC" w:rsidRPr="00A30C4C" w:rsidRDefault="00FD54FC" w:rsidP="00FD54FC">
            <w:pPr>
              <w:spacing w:before="0" w:after="0"/>
              <w:ind w:left="33"/>
              <w:rPr>
                <w:rFonts w:ascii="Times New Roman" w:hAnsi="Times New Roman"/>
                <w:bCs/>
                <w:sz w:val="24"/>
                <w:lang w:eastAsia="de-DE"/>
              </w:rPr>
            </w:pPr>
          </w:p>
          <w:p w14:paraId="373032B6" w14:textId="4EDB570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središnje države i koje se raspoređuju u kategoriju izloženosti prema „središnjim državama i središnjim bankama” u skladu s člankom 147. stavkom 3. točkom (a) CRR-a, kako je određeno u uputama za obrasce C 08.01 i C 08.02, osim kriterija u pogledu raspodjele izloženosti prema općim državama u druge kategorije izloženosti zbog tehnika smanjenja rizika s učinkom zamjene na izloženost, koji se ne primjenjuju.</w:t>
            </w:r>
          </w:p>
          <w:p w14:paraId="4F164F9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CAE82BC" w14:textId="77777777" w:rsidTr="00672D2A">
        <w:tc>
          <w:tcPr>
            <w:tcW w:w="1188" w:type="dxa"/>
          </w:tcPr>
          <w:p w14:paraId="285A850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100</w:t>
            </w:r>
          </w:p>
        </w:tc>
        <w:tc>
          <w:tcPr>
            <w:tcW w:w="8701" w:type="dxa"/>
          </w:tcPr>
          <w:p w14:paraId="33AE949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Jedinice područne (regionalne) ili lokalne samouprave [središnje države i središnje banke]</w:t>
            </w:r>
          </w:p>
          <w:p w14:paraId="4B875B64" w14:textId="77777777" w:rsidR="00FD54FC" w:rsidRPr="00A30C4C" w:rsidRDefault="00FD54FC" w:rsidP="00FD54FC">
            <w:pPr>
              <w:spacing w:before="0" w:after="0"/>
              <w:ind w:left="33"/>
              <w:rPr>
                <w:rFonts w:ascii="Times New Roman" w:hAnsi="Times New Roman"/>
                <w:bCs/>
                <w:sz w:val="24"/>
                <w:lang w:eastAsia="de-DE"/>
              </w:rPr>
            </w:pPr>
          </w:p>
          <w:p w14:paraId="22C9F2CE" w14:textId="4FA69191"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jedinice područne (regionalne) ili lokalne samouprave i koje se raspoređuju u kategoriju izloženosti prema „središnjim državama i središnjim bankama” u skladu s člankom 147. stavkom 3. točkom (a) CRR-a, kako je određeno u uputama za obrasce C 08.01 i C 08.02, osim kriterija u pogledu raspodjele izloženosti prema općim državama u druge kategorije izloženosti zbog tehnika smanjenja rizika s učinkom zamjene na izloženost, koji se ne primjenjuju.</w:t>
            </w:r>
          </w:p>
          <w:p w14:paraId="38749CC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BF24A5A" w14:textId="77777777" w:rsidTr="00672D2A">
        <w:tc>
          <w:tcPr>
            <w:tcW w:w="1188" w:type="dxa"/>
          </w:tcPr>
          <w:p w14:paraId="7DDA525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110</w:t>
            </w:r>
          </w:p>
        </w:tc>
        <w:tc>
          <w:tcPr>
            <w:tcW w:w="8701" w:type="dxa"/>
          </w:tcPr>
          <w:p w14:paraId="3B95D11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Jedinice područne (regionalne) ili lokalne samouprave [institucije]</w:t>
            </w:r>
          </w:p>
          <w:p w14:paraId="7D840299" w14:textId="77777777" w:rsidR="00FD54FC" w:rsidRPr="00A30C4C" w:rsidRDefault="00FD54FC" w:rsidP="00FD54FC">
            <w:pPr>
              <w:spacing w:before="0" w:after="0"/>
              <w:ind w:left="33"/>
              <w:rPr>
                <w:rFonts w:ascii="Times New Roman" w:hAnsi="Times New Roman"/>
                <w:bCs/>
                <w:sz w:val="24"/>
                <w:lang w:eastAsia="de-DE"/>
              </w:rPr>
            </w:pPr>
          </w:p>
          <w:p w14:paraId="4C64A935" w14:textId="442B425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Izloženosti prema općim državama koje su jedinice područne (regionalne) ili lokalne samouprave i koje se raspoređuju u kategoriju izloženosti prema „institucijama” u skladu s člankom 147. stavkom 4. točkom (a) CRR-a, kako je određeno u uputama za obrasce C 08.01 i C 08.02, osim kriterija u pogledu raspodjele izloženosti prema općim državama </w:t>
            </w:r>
            <w:r>
              <w:rPr>
                <w:rFonts w:ascii="Times New Roman" w:hAnsi="Times New Roman"/>
                <w:bCs/>
                <w:sz w:val="24"/>
              </w:rPr>
              <w:lastRenderedPageBreak/>
              <w:t>u druge kategorije izloženosti zbog tehnika smanjenja rizika s učinkom zamjene na izloženost, koji se ne primjenjuju.</w:t>
            </w:r>
          </w:p>
          <w:p w14:paraId="4CBC396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E703835" w14:textId="77777777" w:rsidTr="00672D2A">
        <w:tc>
          <w:tcPr>
            <w:tcW w:w="1188" w:type="dxa"/>
          </w:tcPr>
          <w:p w14:paraId="491B522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120</w:t>
            </w:r>
          </w:p>
        </w:tc>
        <w:tc>
          <w:tcPr>
            <w:tcW w:w="8701" w:type="dxa"/>
          </w:tcPr>
          <w:p w14:paraId="382BC54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javnog sektora [središnje države i središnje banke]</w:t>
            </w:r>
          </w:p>
          <w:p w14:paraId="023C6BEC" w14:textId="77777777" w:rsidR="00FD54FC" w:rsidRPr="00A30C4C" w:rsidRDefault="00FD54FC" w:rsidP="00FD54FC">
            <w:pPr>
              <w:spacing w:before="0" w:after="0"/>
              <w:ind w:left="33"/>
              <w:rPr>
                <w:rFonts w:ascii="Times New Roman" w:hAnsi="Times New Roman"/>
                <w:bCs/>
                <w:sz w:val="24"/>
                <w:lang w:eastAsia="de-DE"/>
              </w:rPr>
            </w:pPr>
          </w:p>
          <w:p w14:paraId="6304ED83" w14:textId="4A9CD53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subjekti javnog sektora u skladu s člankom 4. točkom 8. CRR-a i koje se raspoređuju u kategoriju izloženosti prema „središnjim državama i središnjim bankama” u skladu s člankom 147. stavkom 3. točkom (a) CRR-a, kako je određeno u uputama za obrasce C 08.01 i C 08.02, osim kriterija u pogledu raspodjele izloženosti prema općim državama u druge kategorije izloženosti zbog tehnika smanjenja rizika s učinkom zamjene na izloženost, koji se ne primjenjuju.</w:t>
            </w:r>
          </w:p>
          <w:p w14:paraId="4F189DF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B99303B" w14:textId="77777777" w:rsidTr="00672D2A">
        <w:tc>
          <w:tcPr>
            <w:tcW w:w="1188" w:type="dxa"/>
          </w:tcPr>
          <w:p w14:paraId="32294DA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130</w:t>
            </w:r>
          </w:p>
        </w:tc>
        <w:tc>
          <w:tcPr>
            <w:tcW w:w="8701" w:type="dxa"/>
          </w:tcPr>
          <w:p w14:paraId="7594D80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Subjekti javnog sektora [institucije]</w:t>
            </w:r>
          </w:p>
          <w:p w14:paraId="6A2FA47C" w14:textId="77777777" w:rsidR="00FD54FC" w:rsidRPr="00A30C4C" w:rsidRDefault="00FD54FC" w:rsidP="00FD54FC">
            <w:pPr>
              <w:spacing w:before="0" w:after="0"/>
              <w:ind w:left="33"/>
              <w:rPr>
                <w:rFonts w:ascii="Times New Roman" w:hAnsi="Times New Roman"/>
                <w:bCs/>
                <w:sz w:val="24"/>
                <w:lang w:eastAsia="de-DE"/>
              </w:rPr>
            </w:pPr>
          </w:p>
          <w:p w14:paraId="40C60848" w14:textId="7DABFE4F"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subjekti javnog sektora u skladu s člankom 4. točkom 8. CRR-a i koje se raspoređuju u kategoriju izloženosti prema „institucijama” u skladu s člankom 147. stavkom 4. točkom (b) CRR-a, kako je određeno u uputama za obrasce C 08.01 i C 08.02, osim kriterija u pogledu raspodjele izloženosti prema općim državama u druge kategorije izloženosti zbog tehnika smanjenja rizika s učinkom zamjene na izloženost, koji se ne primjenjuju.</w:t>
            </w:r>
          </w:p>
          <w:p w14:paraId="083886D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50DBEA2" w14:textId="77777777" w:rsidTr="00672D2A">
        <w:tc>
          <w:tcPr>
            <w:tcW w:w="1188" w:type="dxa"/>
          </w:tcPr>
          <w:p w14:paraId="3EDC30A2" w14:textId="77777777" w:rsidR="00FD54FC" w:rsidRPr="00A30C4C" w:rsidDel="00C211CB" w:rsidRDefault="00FD54FC" w:rsidP="00FD54FC">
            <w:pPr>
              <w:spacing w:before="0" w:after="0"/>
              <w:ind w:left="33"/>
              <w:rPr>
                <w:rFonts w:ascii="Times New Roman" w:hAnsi="Times New Roman"/>
                <w:bCs/>
                <w:sz w:val="24"/>
              </w:rPr>
            </w:pPr>
            <w:r>
              <w:rPr>
                <w:rFonts w:ascii="Times New Roman" w:hAnsi="Times New Roman"/>
                <w:bCs/>
                <w:sz w:val="24"/>
              </w:rPr>
              <w:t>140</w:t>
            </w:r>
          </w:p>
        </w:tc>
        <w:tc>
          <w:tcPr>
            <w:tcW w:w="8701" w:type="dxa"/>
          </w:tcPr>
          <w:p w14:paraId="2042919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Međunarodne organizacije [središnje države i središnje banke]</w:t>
            </w:r>
          </w:p>
          <w:p w14:paraId="34D8266C" w14:textId="77777777" w:rsidR="00FD54FC" w:rsidRPr="00A30C4C" w:rsidRDefault="00FD54FC" w:rsidP="00FD54FC">
            <w:pPr>
              <w:spacing w:before="0" w:after="0"/>
              <w:ind w:left="33"/>
              <w:rPr>
                <w:rFonts w:ascii="Times New Roman" w:hAnsi="Times New Roman"/>
                <w:bCs/>
                <w:sz w:val="24"/>
                <w:lang w:eastAsia="de-DE"/>
              </w:rPr>
            </w:pPr>
          </w:p>
          <w:p w14:paraId="6346CB88" w14:textId="65A44C0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koje su međunarodne organizacije i koje se raspoređuju u kategoriju izloženosti prema „središnjim državama i središnjim bankama” u skladu s člankom 147. stavkom 3. točkom (c) CRR-a, kako je određeno u uputama za obrasce C 08.01 i C 08.02, osim kriterija u pogledu raspodjele izloženosti prema općim državama u druge kategorije izloženosti zbog tehnika smanjenja rizika s učinkom zamjene na izloženost, koji se ne primjenjuju.</w:t>
            </w:r>
          </w:p>
          <w:p w14:paraId="2DFB197E" w14:textId="77777777" w:rsidR="00FD54FC" w:rsidRPr="00A30C4C" w:rsidRDefault="00FD54FC" w:rsidP="00FD54FC">
            <w:pPr>
              <w:spacing w:before="0" w:after="0"/>
              <w:ind w:left="33"/>
              <w:rPr>
                <w:rFonts w:ascii="Times New Roman" w:hAnsi="Times New Roman"/>
                <w:b/>
                <w:bCs/>
                <w:sz w:val="24"/>
                <w:u w:val="single"/>
                <w:lang w:eastAsia="de-DE"/>
              </w:rPr>
            </w:pPr>
          </w:p>
        </w:tc>
      </w:tr>
      <w:tr w:rsidR="00530BA1" w:rsidRPr="00A30C4C" w14:paraId="0DC8D283" w14:textId="77777777" w:rsidTr="00672D2A">
        <w:tc>
          <w:tcPr>
            <w:tcW w:w="1188" w:type="dxa"/>
          </w:tcPr>
          <w:p w14:paraId="4B5707BF" w14:textId="77777777" w:rsidR="00530BA1" w:rsidRPr="00A30C4C" w:rsidRDefault="00530BA1" w:rsidP="00FD54FC">
            <w:pPr>
              <w:spacing w:before="0" w:after="0"/>
              <w:ind w:left="33"/>
              <w:rPr>
                <w:rFonts w:ascii="Times New Roman" w:hAnsi="Times New Roman"/>
                <w:bCs/>
                <w:sz w:val="24"/>
              </w:rPr>
            </w:pPr>
            <w:r>
              <w:rPr>
                <w:rFonts w:ascii="Times New Roman" w:hAnsi="Times New Roman"/>
                <w:bCs/>
                <w:sz w:val="24"/>
              </w:rPr>
              <w:t>155</w:t>
            </w:r>
          </w:p>
        </w:tc>
        <w:tc>
          <w:tcPr>
            <w:tcW w:w="8701" w:type="dxa"/>
          </w:tcPr>
          <w:p w14:paraId="64D0FB62" w14:textId="6DAD0797" w:rsidR="00530BA1" w:rsidRPr="00A30C4C"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Ostale izloženosti prema općim državama u skladu s IRB pristupom</w:t>
            </w:r>
          </w:p>
          <w:p w14:paraId="4048C601" w14:textId="77777777" w:rsidR="00530BA1" w:rsidRPr="00A30C4C" w:rsidRDefault="00530BA1" w:rsidP="00530BA1">
            <w:pPr>
              <w:spacing w:before="0" w:after="0"/>
              <w:ind w:left="33"/>
              <w:rPr>
                <w:rFonts w:ascii="Times New Roman" w:hAnsi="Times New Roman"/>
                <w:bCs/>
                <w:sz w:val="24"/>
                <w:lang w:eastAsia="de-DE"/>
              </w:rPr>
            </w:pPr>
          </w:p>
          <w:p w14:paraId="42E0E151" w14:textId="77777777" w:rsidR="00530BA1" w:rsidRPr="00A30C4C" w:rsidRDefault="00530BA1" w:rsidP="00530BA1">
            <w:pPr>
              <w:spacing w:before="0" w:after="0"/>
              <w:ind w:left="33"/>
              <w:rPr>
                <w:rFonts w:ascii="Times New Roman" w:hAnsi="Times New Roman"/>
                <w:bCs/>
                <w:sz w:val="24"/>
              </w:rPr>
            </w:pPr>
            <w:r>
              <w:rPr>
                <w:rFonts w:ascii="Times New Roman" w:hAnsi="Times New Roman"/>
                <w:bCs/>
                <w:sz w:val="24"/>
              </w:rPr>
              <w:t>Izloženosti prema općim državama osim onih uključenih u prethodne retke od 090 do 140, koje su raspoređene u kategorije izloženosti u skladu s IRB pristupom u skladu s člankom 147. CRR-a za potrebe izračuna kapitalnih zahtjeva.</w:t>
            </w:r>
          </w:p>
          <w:p w14:paraId="4830A8CE" w14:textId="77777777" w:rsidR="00530BA1" w:rsidRPr="00A30C4C" w:rsidRDefault="00530BA1" w:rsidP="00FD54FC">
            <w:pPr>
              <w:spacing w:before="0" w:after="0"/>
              <w:ind w:left="33"/>
              <w:rPr>
                <w:rFonts w:ascii="Times New Roman" w:hAnsi="Times New Roman"/>
                <w:b/>
                <w:bCs/>
                <w:sz w:val="24"/>
                <w:u w:val="single"/>
                <w:lang w:eastAsia="de-DE"/>
              </w:rPr>
            </w:pPr>
          </w:p>
        </w:tc>
      </w:tr>
      <w:tr w:rsidR="00FD54FC" w:rsidRPr="00A30C4C" w14:paraId="4EA5DA4F" w14:textId="77777777" w:rsidTr="00672D2A">
        <w:tc>
          <w:tcPr>
            <w:tcW w:w="1188" w:type="dxa"/>
          </w:tcPr>
          <w:p w14:paraId="6C409FB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160</w:t>
            </w:r>
          </w:p>
        </w:tc>
        <w:tc>
          <w:tcPr>
            <w:tcW w:w="8701" w:type="dxa"/>
          </w:tcPr>
          <w:p w14:paraId="063CFFB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Izloženosti koje podliježu tržišnom riziku</w:t>
            </w:r>
          </w:p>
          <w:p w14:paraId="6D29B74F" w14:textId="77777777" w:rsidR="00FD54FC" w:rsidRPr="00A30C4C" w:rsidRDefault="00FD54FC" w:rsidP="00FD54FC">
            <w:pPr>
              <w:spacing w:before="0" w:after="0"/>
              <w:ind w:left="33"/>
              <w:rPr>
                <w:rFonts w:ascii="Times New Roman" w:hAnsi="Times New Roman"/>
                <w:bCs/>
                <w:sz w:val="24"/>
                <w:lang w:eastAsia="de-DE"/>
              </w:rPr>
            </w:pPr>
          </w:p>
          <w:p w14:paraId="746A50A0" w14:textId="22090F96"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koje podliježu tržišnom riziku obuhvaćaju pozicije za koje se kapitalni zahtjevi izračunavaju u skladu s dijelom trećim glavom IV. CRR-a.</w:t>
            </w:r>
          </w:p>
          <w:p w14:paraId="2DA3FEF1" w14:textId="77777777" w:rsidR="00FD54FC" w:rsidRPr="00A30C4C" w:rsidRDefault="00FD54FC" w:rsidP="00FD54FC">
            <w:pPr>
              <w:spacing w:before="0" w:after="0"/>
              <w:ind w:left="33"/>
              <w:rPr>
                <w:rFonts w:ascii="Times New Roman" w:hAnsi="Times New Roman"/>
                <w:bCs/>
                <w:sz w:val="24"/>
                <w:lang w:eastAsia="de-DE"/>
              </w:rPr>
            </w:pPr>
          </w:p>
          <w:p w14:paraId="07781DE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Izravne izloženosti u okviru područja primjene članka 271. CRR-a na koje se primjenjuju kapitalni zahtjevi za kreditni rizik druge ugovorne strane i tržišni rizik iskazuju se u redcima za kreditni rizik (020 do 155) i retku za tržišni rizik (redak 160): izloženost zbog kreditnog rizika druge ugovorne strane iskazuje se  u redcima za kreditni rizik, dok se izloženost zbog tržišnog rizika  iskazuje u retku za tržišni rizik.</w:t>
            </w:r>
          </w:p>
          <w:p w14:paraId="2620AD5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3DBB54E3" w14:textId="77777777" w:rsidTr="00672D2A">
        <w:tc>
          <w:tcPr>
            <w:tcW w:w="1188" w:type="dxa"/>
          </w:tcPr>
          <w:p w14:paraId="4BB4F964" w14:textId="77777777" w:rsidR="00FD54FC" w:rsidRPr="00A30C4C" w:rsidRDefault="00FD54FC" w:rsidP="00B74792">
            <w:pPr>
              <w:spacing w:before="0" w:after="0"/>
              <w:ind w:left="33"/>
              <w:rPr>
                <w:rFonts w:ascii="Times New Roman" w:hAnsi="Times New Roman"/>
                <w:bCs/>
                <w:sz w:val="24"/>
              </w:rPr>
            </w:pPr>
            <w:r>
              <w:rPr>
                <w:rFonts w:ascii="Times New Roman" w:hAnsi="Times New Roman"/>
                <w:bCs/>
                <w:sz w:val="24"/>
              </w:rPr>
              <w:t>170-230</w:t>
            </w:r>
          </w:p>
        </w:tc>
        <w:tc>
          <w:tcPr>
            <w:tcW w:w="8701" w:type="dxa"/>
          </w:tcPr>
          <w:p w14:paraId="78D0525B" w14:textId="77777777" w:rsidR="00FD54FC" w:rsidRPr="00A30C4C" w:rsidRDefault="00FD54FC" w:rsidP="00FD54FC">
            <w:pPr>
              <w:spacing w:before="0" w:after="0"/>
              <w:ind w:left="33"/>
              <w:rPr>
                <w:rFonts w:ascii="Times New Roman" w:hAnsi="Times New Roman"/>
                <w:b/>
                <w:bCs/>
                <w:sz w:val="24"/>
              </w:rPr>
            </w:pPr>
            <w:r>
              <w:rPr>
                <w:rFonts w:ascii="Times New Roman" w:hAnsi="Times New Roman"/>
                <w:b/>
                <w:bCs/>
                <w:sz w:val="24"/>
              </w:rPr>
              <w:t>RAŠČLAMBA IZLOŽENOSTI PREMA PREOSTALOM ROKU DO DOSPIJEĆA</w:t>
            </w:r>
          </w:p>
          <w:p w14:paraId="6AF475E0" w14:textId="77777777" w:rsidR="00FD54FC" w:rsidRPr="00A30C4C" w:rsidRDefault="00FD54FC" w:rsidP="00FD54FC">
            <w:pPr>
              <w:spacing w:before="0" w:after="0"/>
              <w:ind w:left="33"/>
              <w:rPr>
                <w:rFonts w:ascii="Times New Roman" w:hAnsi="Times New Roman"/>
                <w:bCs/>
                <w:sz w:val="24"/>
                <w:lang w:eastAsia="de-DE"/>
              </w:rPr>
            </w:pPr>
          </w:p>
          <w:p w14:paraId="3F5B064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Preostali rok do dospijeća izračunava se brojem dana od ugovornog datuma dospijeća do referentnog izvještajnog datuma za sve pozicije.</w:t>
            </w:r>
          </w:p>
          <w:p w14:paraId="220D1EB9" w14:textId="77777777" w:rsidR="00FD54FC" w:rsidRPr="00A30C4C" w:rsidRDefault="00FD54FC" w:rsidP="00FD54FC">
            <w:pPr>
              <w:spacing w:before="0" w:after="0"/>
              <w:ind w:left="33"/>
              <w:rPr>
                <w:rFonts w:ascii="Times New Roman" w:hAnsi="Times New Roman"/>
                <w:bCs/>
                <w:sz w:val="24"/>
                <w:lang w:eastAsia="de-DE"/>
              </w:rPr>
            </w:pPr>
          </w:p>
          <w:p w14:paraId="6C6070E0"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Izloženosti prema općim državama raščlanjuju se prema preostalom roku do dospijeća i raspoređuju se u odgovarajuća razdoblja kako slijedi:</w:t>
            </w:r>
          </w:p>
          <w:p w14:paraId="4AD74121" w14:textId="77777777" w:rsidR="00FD54FC" w:rsidRPr="00A30C4C" w:rsidRDefault="00FD54FC" w:rsidP="00FD54FC">
            <w:pPr>
              <w:spacing w:before="0" w:after="0"/>
              <w:ind w:left="33"/>
              <w:rPr>
                <w:rFonts w:ascii="Times New Roman" w:hAnsi="Times New Roman"/>
                <w:bCs/>
                <w:sz w:val="24"/>
                <w:lang w:eastAsia="de-DE"/>
              </w:rPr>
            </w:pPr>
          </w:p>
          <w:p w14:paraId="3EEA5D4A" w14:textId="7777777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[ 0 - 3M [</w:t>
            </w:r>
            <w:r>
              <w:rPr>
                <w:rFonts w:ascii="Times New Roman" w:hAnsi="Times New Roman"/>
                <w:bCs/>
                <w:sz w:val="24"/>
              </w:rPr>
              <w:t xml:space="preserve"> : manje od 90 dana</w:t>
            </w:r>
          </w:p>
          <w:p w14:paraId="4009B29B" w14:textId="7777777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[ 3M - 1G [</w:t>
            </w:r>
            <w:r>
              <w:rPr>
                <w:rFonts w:ascii="Times New Roman" w:hAnsi="Times New Roman"/>
                <w:bCs/>
                <w:sz w:val="24"/>
              </w:rPr>
              <w:t xml:space="preserve"> : 90 dana ili više od 90 dana, ali manje od 365 dana</w:t>
            </w:r>
          </w:p>
          <w:p w14:paraId="4F15AC2A" w14:textId="7777777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[ 1G – 2G [</w:t>
            </w:r>
            <w:r>
              <w:rPr>
                <w:rFonts w:ascii="Times New Roman" w:hAnsi="Times New Roman"/>
                <w:bCs/>
                <w:sz w:val="24"/>
              </w:rPr>
              <w:t xml:space="preserve"> : 365 dana ili više od 365 dana, ali manje od 730 dana</w:t>
            </w:r>
          </w:p>
          <w:p w14:paraId="0D7AA885" w14:textId="50A7BE5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[ 2G – 3G [</w:t>
            </w:r>
            <w:r>
              <w:rPr>
                <w:rFonts w:ascii="Times New Roman" w:hAnsi="Times New Roman"/>
                <w:bCs/>
                <w:sz w:val="24"/>
              </w:rPr>
              <w:t xml:space="preserve"> : 730 dana ili više od 730 dana, ali manje od 1 095 dana</w:t>
            </w:r>
          </w:p>
          <w:p w14:paraId="359FA0F4" w14:textId="38232CBC"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[ 3G – 5G [</w:t>
            </w:r>
            <w:r>
              <w:rPr>
                <w:rFonts w:ascii="Times New Roman" w:hAnsi="Times New Roman"/>
                <w:bCs/>
                <w:sz w:val="24"/>
              </w:rPr>
              <w:t xml:space="preserve"> : 1 095 dana ili više od 1095 dana, ali manje od 1 825 dana</w:t>
            </w:r>
          </w:p>
          <w:p w14:paraId="47EE71AE" w14:textId="6C3C49CF"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[ 5G – 10G [</w:t>
            </w:r>
            <w:r>
              <w:rPr>
                <w:rFonts w:ascii="Times New Roman" w:hAnsi="Times New Roman"/>
                <w:bCs/>
                <w:sz w:val="24"/>
              </w:rPr>
              <w:t xml:space="preserve"> : 1 825 dana ili više od 1 825 dana, ali manje od 3 650 dana</w:t>
            </w:r>
          </w:p>
          <w:p w14:paraId="218BED2A" w14:textId="5FE88DEC"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rPr>
                <w:rFonts w:ascii="Symbol" w:hAnsi="Symbol"/>
                <w:bCs/>
                <w:sz w:val="24"/>
              </w:rPr>
              <w:tab/>
            </w:r>
            <w:r>
              <w:rPr>
                <w:rFonts w:ascii="Times New Roman" w:hAnsi="Times New Roman"/>
                <w:b/>
                <w:bCs/>
                <w:sz w:val="24"/>
              </w:rPr>
              <w:t>[ 10G – dulje</w:t>
            </w:r>
            <w:r>
              <w:rPr>
                <w:rFonts w:ascii="Times New Roman" w:hAnsi="Times New Roman"/>
                <w:bCs/>
                <w:sz w:val="24"/>
              </w:rPr>
              <w:t xml:space="preserve"> : 3 650 dana ili više od 3 650 dana. </w:t>
            </w:r>
          </w:p>
          <w:p w14:paraId="10162CA4" w14:textId="77777777" w:rsidR="00FD54FC" w:rsidRPr="00A30C4C" w:rsidRDefault="00FD54FC" w:rsidP="00FD54FC">
            <w:pPr>
              <w:spacing w:before="0" w:after="0"/>
              <w:ind w:left="33"/>
              <w:rPr>
                <w:rFonts w:ascii="Times New Roman" w:hAnsi="Times New Roman"/>
                <w:bCs/>
                <w:sz w:val="24"/>
                <w:lang w:eastAsia="de-DE"/>
              </w:rPr>
            </w:pPr>
          </w:p>
        </w:tc>
      </w:tr>
    </w:tbl>
    <w:p w14:paraId="56B462FA" w14:textId="77777777" w:rsidR="00FD54FC" w:rsidRPr="00A30C4C" w:rsidRDefault="00FD54FC" w:rsidP="006452A4">
      <w:pPr>
        <w:spacing w:after="0"/>
        <w:rPr>
          <w:rStyle w:val="InstructionsTabelleText"/>
          <w:rFonts w:ascii="Times New Roman" w:hAnsi="Times New Roman"/>
          <w:sz w:val="24"/>
        </w:rPr>
      </w:pPr>
    </w:p>
    <w:sectPr w:rsidR="00FD54FC" w:rsidRPr="00A30C4C"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B024D7" w:rsidRDefault="00B024D7" w:rsidP="00D946DB">
      <w:pPr>
        <w:spacing w:before="0" w:after="0"/>
      </w:pPr>
      <w:r>
        <w:separator/>
      </w:r>
    </w:p>
  </w:endnote>
  <w:endnote w:type="continuationSeparator" w:id="0">
    <w:p w14:paraId="517AFAD2" w14:textId="77777777" w:rsidR="00B024D7" w:rsidRDefault="00B024D7" w:rsidP="00D946DB">
      <w:pPr>
        <w:spacing w:before="0" w:after="0"/>
      </w:pPr>
      <w:r>
        <w:continuationSeparator/>
      </w:r>
    </w:p>
  </w:endnote>
  <w:endnote w:type="continuationNotice" w:id="1">
    <w:p w14:paraId="59B4096F" w14:textId="77777777" w:rsidR="00B024D7" w:rsidRDefault="00B024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341D9B2"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982F94">
      <w:rPr>
        <w:rFonts w:ascii="Times New Roman" w:hAnsi="Times New Roman"/>
        <w:noProof/>
        <w:sz w:val="22"/>
        <w:szCs w:val="22"/>
      </w:rPr>
      <w:t>6</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BEC583A"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982F94">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C605D8E"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654562">
      <w:rPr>
        <w:rFonts w:ascii="Times New Roman" w:hAnsi="Times New Roman"/>
        <w:noProof/>
        <w:sz w:val="20"/>
        <w:szCs w:val="20"/>
      </w:rPr>
      <w:t>195</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B024D7" w:rsidRDefault="00B024D7" w:rsidP="00D946DB">
      <w:pPr>
        <w:spacing w:before="0" w:after="0"/>
      </w:pPr>
      <w:r>
        <w:separator/>
      </w:r>
    </w:p>
  </w:footnote>
  <w:footnote w:type="continuationSeparator" w:id="0">
    <w:p w14:paraId="5D734917" w14:textId="77777777" w:rsidR="00B024D7" w:rsidRDefault="00B024D7" w:rsidP="00D946DB">
      <w:pPr>
        <w:spacing w:before="0" w:after="0"/>
      </w:pPr>
      <w:r>
        <w:continuationSeparator/>
      </w:r>
    </w:p>
  </w:footnote>
  <w:footnote w:type="continuationNotice" w:id="1">
    <w:p w14:paraId="504F2A36" w14:textId="77777777" w:rsidR="00B024D7" w:rsidRDefault="00B024D7">
      <w:pPr>
        <w:spacing w:before="0" w:after="0"/>
      </w:pPr>
    </w:p>
  </w:footnote>
  <w:footnote w:id="2">
    <w:p w14:paraId="0A122620" w14:textId="77777777" w:rsidR="00B024D7" w:rsidRPr="00F95727" w:rsidRDefault="00B024D7"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rPr>
          <w:rFonts w:ascii="Times New Roman" w:hAnsi="Times New Roman"/>
          <w:sz w:val="20"/>
          <w:szCs w:val="20"/>
        </w:rPr>
        <w:tab/>
      </w:r>
      <w:r>
        <w:rPr>
          <w:rFonts w:ascii="Times New Roman" w:hAnsi="Times New Roman"/>
          <w:color w:val="444444"/>
          <w:sz w:val="20"/>
          <w:szCs w:val="20"/>
        </w:rPr>
        <w:t>Uredba (EU) br. 575/2013 Europskog parlamenta i Vijeća od 26. lipnja 2013. o bonitetnim zahtjevima za kreditne institucije i investicijska društva i o izmjeni Uredbe (EU) br. 648/2012 (</w:t>
      </w:r>
      <w:r>
        <w:rPr>
          <w:rFonts w:ascii="Times New Roman" w:hAnsi="Times New Roman"/>
          <w:iCs/>
          <w:color w:val="444444"/>
          <w:sz w:val="20"/>
          <w:szCs w:val="20"/>
        </w:rPr>
        <w:t>SL L 176, 27.6.2013., str. 1.).</w:t>
      </w:r>
    </w:p>
  </w:footnote>
  <w:footnote w:id="3">
    <w:p w14:paraId="754D5245" w14:textId="77777777" w:rsidR="00B024D7" w:rsidRPr="00F95727" w:rsidRDefault="00B024D7"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4">
    <w:p w14:paraId="325A0732" w14:textId="77777777" w:rsidR="00B024D7" w:rsidRPr="002C66A4" w:rsidRDefault="00B024D7" w:rsidP="002C66A4">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Direktiva 2013/34/EU Europskog parlamenta i Vijeća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w:t>
      </w:r>
      <w:r>
        <w:rPr>
          <w:rFonts w:ascii="Times New Roman" w:hAnsi="Times New Roman"/>
          <w:sz w:val="20"/>
          <w:szCs w:val="20"/>
        </w:rPr>
        <w:t>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77777777" w:rsidR="00B024D7" w:rsidRPr="0002267E" w:rsidRDefault="00B024D7" w:rsidP="002C66A4">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Direktiva Vijeća 86/635/EEZ od 8. prosinca 1986. o godišnjim financijskim izvještajima i konsolidiranim financijskim izvještajima banaka i drugih financijskih institucija (SL L 372, 31.12.1986., str. 1.)</w:t>
      </w:r>
      <w:r>
        <w:rPr>
          <w:rFonts w:ascii="Times New Roman" w:hAnsi="Times New Roman"/>
          <w:sz w:val="20"/>
          <w:szCs w:val="20"/>
        </w:rPr>
        <w:t>.</w:t>
      </w:r>
    </w:p>
  </w:footnote>
  <w:footnote w:id="6">
    <w:p w14:paraId="2CEE8AF9" w14:textId="77777777" w:rsidR="00B024D7" w:rsidRPr="005B592F" w:rsidRDefault="00B024D7"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 xml:space="preserve">Delegirana uredba Komisije (EU) br. 241/2014 </w:t>
      </w:r>
      <w:proofErr w:type="spellStart"/>
      <w:r>
        <w:rPr>
          <w:color w:val="444444"/>
          <w:sz w:val="20"/>
          <w:szCs w:val="20"/>
        </w:rPr>
        <w:t>оd</w:t>
      </w:r>
      <w:proofErr w:type="spellEnd"/>
      <w:r>
        <w:rPr>
          <w:color w:val="444444"/>
          <w:sz w:val="20"/>
          <w:szCs w:val="20"/>
        </w:rPr>
        <w:t xml:space="preserve"> 7. siječnja 2014. o dopuni Uredbe (EU) br. 575/2013 Europskog parlamenta i Vijeća u pogledu regulatornih tehničkih standarda za kapitalne zahtjeve za institucije (</w:t>
      </w:r>
      <w:r>
        <w:rPr>
          <w:iCs/>
          <w:color w:val="444444"/>
          <w:sz w:val="20"/>
          <w:szCs w:val="20"/>
        </w:rPr>
        <w:t>SL L 74, 14.3.2014., str. 8.)</w:t>
      </w:r>
      <w:r>
        <w:rPr>
          <w:rStyle w:val="Emphasis"/>
          <w:color w:val="444444"/>
          <w:sz w:val="20"/>
          <w:szCs w:val="20"/>
        </w:rPr>
        <w:t>.</w:t>
      </w:r>
    </w:p>
  </w:footnote>
  <w:footnote w:id="7">
    <w:p w14:paraId="4313C6D2" w14:textId="77777777" w:rsidR="00B024D7" w:rsidRPr="005B592F" w:rsidRDefault="00B024D7" w:rsidP="0014657C">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 xml:space="preserve"> Direktiva Vijeća 93/6/EEZ od 15. ožujka 1993. o adekvatnosti kapitala investicijskih društava i kreditnih institucija (</w:t>
      </w:r>
      <w:r>
        <w:rPr>
          <w:rStyle w:val="Emphasis"/>
          <w:i w:val="0"/>
          <w:color w:val="444444"/>
          <w:sz w:val="20"/>
          <w:szCs w:val="20"/>
        </w:rPr>
        <w:t>SL L 141, 11.6.1993., str. 1.)</w:t>
      </w:r>
    </w:p>
  </w:footnote>
  <w:footnote w:id="8">
    <w:p w14:paraId="68BF51CF" w14:textId="77777777" w:rsidR="00B024D7" w:rsidRPr="005B592F" w:rsidRDefault="00B024D7" w:rsidP="0014657C">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Direktiva 2000/12/EZ Europskog parlamenta i Vijeća od 20. ožujka 2000. o osnivanju i obavljanju djelatnosti kreditnih institucija (</w:t>
      </w:r>
      <w:r>
        <w:rPr>
          <w:rStyle w:val="Emphasis"/>
          <w:i w:val="0"/>
          <w:color w:val="444444"/>
          <w:sz w:val="20"/>
          <w:szCs w:val="20"/>
        </w:rPr>
        <w:t>SL L 126, 26.5.2000., str. 1.).</w:t>
      </w:r>
    </w:p>
    <w:p w14:paraId="0EB26524" w14:textId="77777777" w:rsidR="00B024D7" w:rsidRPr="0039290F" w:rsidRDefault="00B024D7" w:rsidP="0014657C">
      <w:pPr>
        <w:pStyle w:val="FootnoteText"/>
        <w:ind w:left="567" w:hanging="567"/>
        <w:rPr>
          <w:rFonts w:ascii="Times New Roman" w:hAnsi="Times New Roman"/>
          <w:sz w:val="20"/>
          <w:szCs w:val="20"/>
        </w:rPr>
      </w:pPr>
    </w:p>
  </w:footnote>
  <w:footnote w:id="9">
    <w:p w14:paraId="6CDEE1FA" w14:textId="77777777" w:rsidR="00B024D7" w:rsidRPr="005B592F" w:rsidRDefault="00B024D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 Sedma direktiva Vijeća 83/349/EEZ od 13. lipnja 1983. na temelju članka 54. stavka 3. točke (g) Ugovora o konsolidiranim financijskim izvještajima (</w:t>
      </w:r>
      <w:r>
        <w:rPr>
          <w:rFonts w:ascii="Times New Roman" w:hAnsi="Times New Roman"/>
          <w:iCs/>
          <w:color w:val="444444"/>
          <w:sz w:val="20"/>
          <w:szCs w:val="20"/>
        </w:rPr>
        <w:t>SL L 193, 18.7.1983., str. 1.)</w:t>
      </w:r>
    </w:p>
  </w:footnote>
  <w:footnote w:id="10">
    <w:p w14:paraId="3D903419" w14:textId="77777777" w:rsidR="00B024D7" w:rsidRPr="005B592F" w:rsidRDefault="00B024D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Direktiva 2009/65/EZ Europskog parlamenta i Vijeća od 13. srpnja 2009. o usklađivanju zakona i drugih propisa u odnosu na subjekte za zajednička ulaganja u prenosive vrijednosne papire (UCITS)(</w:t>
      </w:r>
      <w:r>
        <w:rPr>
          <w:rFonts w:ascii="Times New Roman" w:hAnsi="Times New Roman"/>
          <w:iCs/>
          <w:color w:val="444444"/>
          <w:sz w:val="20"/>
          <w:szCs w:val="20"/>
        </w:rPr>
        <w:t>SL L 302, 17.11.2009., str. 32.).</w:t>
      </w:r>
    </w:p>
  </w:footnote>
  <w:footnote w:id="11">
    <w:p w14:paraId="602B7BB8" w14:textId="77777777" w:rsidR="00B024D7" w:rsidRPr="0002267E" w:rsidRDefault="00B024D7"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Delegirana uredba Komisije (EU) br. 1152/2014 </w:t>
      </w:r>
      <w:proofErr w:type="spellStart"/>
      <w:r>
        <w:rPr>
          <w:rFonts w:ascii="Times New Roman" w:hAnsi="Times New Roman"/>
          <w:color w:val="444444"/>
          <w:sz w:val="20"/>
          <w:szCs w:val="20"/>
        </w:rPr>
        <w:t>оd</w:t>
      </w:r>
      <w:proofErr w:type="spellEnd"/>
      <w:r>
        <w:rPr>
          <w:rFonts w:ascii="Times New Roman" w:hAnsi="Times New Roman"/>
          <w:color w:val="444444"/>
          <w:sz w:val="20"/>
          <w:szCs w:val="20"/>
        </w:rPr>
        <w:t xml:space="preserve"> 4. lipnja 2014. o dopuni Direktive 2013/36/EU Europskog parlamenta i Vijeća u pogledu regulatornih tehničkih standarda za utvrđivanje geografskog položaja relevantnih kreditnih izloženosti za izračun stopa </w:t>
      </w:r>
      <w:proofErr w:type="spellStart"/>
      <w:r>
        <w:rPr>
          <w:rFonts w:ascii="Times New Roman" w:hAnsi="Times New Roman"/>
          <w:color w:val="444444"/>
          <w:sz w:val="20"/>
          <w:szCs w:val="20"/>
        </w:rPr>
        <w:t>protucikličkog</w:t>
      </w:r>
      <w:proofErr w:type="spellEnd"/>
      <w:r>
        <w:rPr>
          <w:rFonts w:ascii="Times New Roman" w:hAnsi="Times New Roman"/>
          <w:color w:val="444444"/>
          <w:sz w:val="20"/>
          <w:szCs w:val="20"/>
        </w:rPr>
        <w:t xml:space="preserve"> zaštitnog sloja kapitala specifičnih za instituciju (</w:t>
      </w:r>
      <w:r>
        <w:rPr>
          <w:rFonts w:ascii="Times New Roman" w:hAnsi="Times New Roman"/>
          <w:iCs/>
          <w:color w:val="444444"/>
          <w:sz w:val="20"/>
          <w:szCs w:val="20"/>
        </w:rPr>
        <w:t>SL L 309, 30.10.2014., str. 5).</w:t>
      </w:r>
    </w:p>
  </w:footnote>
  <w:footnote w:id="12">
    <w:p w14:paraId="7F363D79" w14:textId="77777777" w:rsidR="00B024D7" w:rsidRPr="0002267E" w:rsidRDefault="00B024D7"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 xml:space="preserve">Uredba (EU) 2017/2402 Europskog parlamenta i Vijeća od 12. prosinca 2017. o utvrđivanju općeg okvira za </w:t>
      </w:r>
      <w:proofErr w:type="spellStart"/>
      <w:r>
        <w:rPr>
          <w:rFonts w:ascii="Times New Roman" w:hAnsi="Times New Roman"/>
          <w:color w:val="444444"/>
          <w:sz w:val="20"/>
          <w:szCs w:val="20"/>
        </w:rPr>
        <w:t>sekuritizaciju</w:t>
      </w:r>
      <w:proofErr w:type="spellEnd"/>
      <w:r>
        <w:rPr>
          <w:rFonts w:ascii="Times New Roman" w:hAnsi="Times New Roman"/>
          <w:color w:val="444444"/>
          <w:sz w:val="20"/>
          <w:szCs w:val="20"/>
        </w:rPr>
        <w:t xml:space="preserve"> i o uspostavi specifičnog okvira za jednostavnu, transparentnu i standardiziranu </w:t>
      </w:r>
      <w:proofErr w:type="spellStart"/>
      <w:r>
        <w:rPr>
          <w:rFonts w:ascii="Times New Roman" w:hAnsi="Times New Roman"/>
          <w:color w:val="444444"/>
          <w:sz w:val="20"/>
          <w:szCs w:val="20"/>
        </w:rPr>
        <w:t>sekuritizaciju</w:t>
      </w:r>
      <w:proofErr w:type="spellEnd"/>
      <w:r>
        <w:rPr>
          <w:rFonts w:ascii="Times New Roman" w:hAnsi="Times New Roman"/>
          <w:color w:val="444444"/>
          <w:sz w:val="20"/>
          <w:szCs w:val="20"/>
        </w:rPr>
        <w:t xml:space="preserve"> te o izmjeni direktiva 2009/65/EZ, 2009/138/EZ i 2011/61/EU te uredaba (EZ) br. 1060/2009 i (EU) br. 648/2012 (</w:t>
      </w:r>
      <w:r>
        <w:rPr>
          <w:rFonts w:ascii="Times New Roman" w:hAnsi="Times New Roman"/>
          <w:iCs/>
          <w:color w:val="444444"/>
          <w:sz w:val="20"/>
          <w:szCs w:val="20"/>
        </w:rPr>
        <w:t>SL L 347, 28.12.2017., str. 35).</w:t>
      </w:r>
    </w:p>
  </w:footnote>
  <w:footnote w:id="13">
    <w:p w14:paraId="5EE13FEB" w14:textId="77777777" w:rsidR="00B024D7" w:rsidRPr="002409C1" w:rsidRDefault="00B024D7"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„Samostalne institucije” nisu dio grupe niti se konsolidiraju u istoj zemlji u kojoj podliježu kapitalnim zahtjevima</w:t>
      </w:r>
      <w:r>
        <w:rPr>
          <w:rFonts w:ascii="Times New Roman" w:hAnsi="Times New Roman"/>
          <w:iCs/>
          <w:sz w:val="20"/>
          <w:szCs w:val="20"/>
        </w:rPr>
        <w:t>.</w:t>
      </w:r>
    </w:p>
  </w:footnote>
  <w:footnote w:id="14">
    <w:p w14:paraId="025E090B" w14:textId="77777777" w:rsidR="00B024D7" w:rsidRPr="0002267E" w:rsidRDefault="00B024D7" w:rsidP="001F648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Uredba (EU) br. 549/2013 Europskog parlamenta i Vijeća od 21. svibnja 2013. o Europskom sustavu nacionalnih i regionalnih računa u Europskoj uniji (SL L 174, 26.6.2013., str. 1.).</w:t>
      </w:r>
    </w:p>
  </w:footnote>
  <w:footnote w:id="15">
    <w:p w14:paraId="6C8DA956" w14:textId="77777777" w:rsidR="00B024D7" w:rsidRPr="0002267E" w:rsidRDefault="00B024D7" w:rsidP="005F3BBE">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Delegirana uredba Komisije (EU) br. 525/2014 </w:t>
      </w:r>
      <w:proofErr w:type="spellStart"/>
      <w:r>
        <w:rPr>
          <w:rFonts w:ascii="Times New Roman" w:hAnsi="Times New Roman"/>
          <w:color w:val="444444"/>
          <w:sz w:val="20"/>
          <w:szCs w:val="20"/>
        </w:rPr>
        <w:t>оd</w:t>
      </w:r>
      <w:proofErr w:type="spellEnd"/>
      <w:r>
        <w:rPr>
          <w:rFonts w:ascii="Times New Roman" w:hAnsi="Times New Roman"/>
          <w:color w:val="444444"/>
          <w:sz w:val="20"/>
          <w:szCs w:val="20"/>
        </w:rPr>
        <w:t xml:space="preserve"> 12. ožujka 2014.o dopuni Uredbe (EU) br. 575/2013 Europskog parlamenta i Vijeća u pogledu regulatornih tehničkih standarda za definiciju tržišta(</w:t>
      </w:r>
      <w:r>
        <w:rPr>
          <w:rFonts w:ascii="Times New Roman" w:hAnsi="Times New Roman"/>
          <w:iCs/>
          <w:color w:val="444444"/>
          <w:sz w:val="20"/>
          <w:szCs w:val="20"/>
        </w:rPr>
        <w:t>SL L 148, 20.5.2014., str. 15)</w:t>
      </w:r>
    </w:p>
  </w:footnote>
  <w:footnote w:id="16">
    <w:p w14:paraId="11A626E2" w14:textId="77777777" w:rsidR="00B024D7" w:rsidRPr="00A11C6E" w:rsidRDefault="00B024D7">
      <w:pPr>
        <w:pStyle w:val="FootnoteText"/>
      </w:pPr>
      <w:r>
        <w:rPr>
          <w:rStyle w:val="FootnoteReference"/>
        </w:rPr>
        <w:footnoteRef/>
      </w:r>
      <w:r>
        <w:t xml:space="preserve">Provedbena uredba Komisije (EU) br. 945/2014 </w:t>
      </w:r>
      <w:proofErr w:type="spellStart"/>
      <w:r>
        <w:t>оd</w:t>
      </w:r>
      <w:proofErr w:type="spellEnd"/>
      <w:r>
        <w:t xml:space="preserve"> 4. rujna 2014. o utvrđivanju provedbenih tehničkih standarda u pogledu relevantnih indeksa diversificiranih na odgovarajući način u skladu s Uredbom (EU) br. 575/2013 Europskog parlamenta i Vijeća</w:t>
      </w:r>
    </w:p>
  </w:footnote>
  <w:footnote w:id="17">
    <w:p w14:paraId="4426C1A9" w14:textId="77777777" w:rsidR="00B024D7" w:rsidRPr="0016282F" w:rsidRDefault="00B024D7" w:rsidP="0016282F">
      <w:pPr>
        <w:pStyle w:val="FootnoteText"/>
        <w:ind w:left="567" w:hanging="567"/>
        <w:rPr>
          <w:rFonts w:ascii="Times New Roman" w:hAnsi="Times New Roman"/>
          <w:sz w:val="20"/>
          <w:szCs w:val="20"/>
        </w:rPr>
      </w:pPr>
      <w:r>
        <w:rPr>
          <w:rStyle w:val="FootnoteReference"/>
          <w:rFonts w:ascii="Times New Roman" w:hAnsi="Times New Roman"/>
          <w:sz w:val="20"/>
          <w:szCs w:val="20"/>
          <w:lang w:val="en-GB"/>
        </w:rPr>
        <w:footnoteRef/>
      </w:r>
      <w:r>
        <w:rPr>
          <w:rFonts w:ascii="Times New Roman" w:hAnsi="Times New Roman"/>
          <w:sz w:val="20"/>
          <w:szCs w:val="20"/>
        </w:rPr>
        <w:tab/>
      </w:r>
      <w:r>
        <w:rPr>
          <w:rFonts w:ascii="Times New Roman" w:hAnsi="Times New Roman"/>
          <w:color w:val="444444"/>
          <w:sz w:val="20"/>
          <w:szCs w:val="20"/>
        </w:rPr>
        <w:t xml:space="preserve">Delegirana uredba Komisije (EU) 2016/101 </w:t>
      </w:r>
      <w:proofErr w:type="spellStart"/>
      <w:r>
        <w:rPr>
          <w:rFonts w:ascii="Times New Roman" w:hAnsi="Times New Roman"/>
          <w:color w:val="444444"/>
          <w:sz w:val="20"/>
          <w:szCs w:val="20"/>
        </w:rPr>
        <w:t>оd</w:t>
      </w:r>
      <w:proofErr w:type="spellEnd"/>
      <w:r>
        <w:rPr>
          <w:rFonts w:ascii="Times New Roman" w:hAnsi="Times New Roman"/>
          <w:color w:val="444444"/>
          <w:sz w:val="20"/>
          <w:szCs w:val="20"/>
        </w:rPr>
        <w:t xml:space="preserve"> 26. listopada 2015. o dopuni Uredbe (EU) br. 575/2013 Europskog parlamenta i Vijeća u pogledu regulatornih tehničkih standarda za bonitetno vrednovanje u skladu s člankom 105. stavkom 14. (</w:t>
      </w:r>
      <w:r>
        <w:rPr>
          <w:rFonts w:ascii="Times New Roman" w:hAnsi="Times New Roman"/>
          <w:iCs/>
          <w:color w:val="444444"/>
          <w:sz w:val="20"/>
          <w:szCs w:val="20"/>
        </w:rPr>
        <w:t>SL L 21, 28.1.2016., str. 54.).</w:t>
      </w:r>
    </w:p>
  </w:footnote>
  <w:footnote w:id="18">
    <w:p w14:paraId="1DE0576C" w14:textId="77777777" w:rsidR="00B024D7" w:rsidRPr="0016282F" w:rsidRDefault="00B024D7" w:rsidP="0016282F">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Uredba (EZ) br. 1606/2002 Europskog parlamenta i Vijeća od 19. srpnja 2002. o primjeni međunarodnih računovodstvenih standarda (</w:t>
      </w:r>
      <w:r>
        <w:rPr>
          <w:rStyle w:val="Emphasis"/>
          <w:i w:val="0"/>
          <w:color w:val="444444"/>
          <w:sz w:val="20"/>
          <w:szCs w:val="20"/>
        </w:rPr>
        <w:t>SL L 243, 11.9.2002., str. 1.).</w:t>
      </w:r>
    </w:p>
    <w:p w14:paraId="42869AB5" w14:textId="77777777" w:rsidR="00B024D7" w:rsidRPr="0016282F" w:rsidRDefault="00B024D7"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2243"/>
    <w:rsid w:val="002A4B85"/>
    <w:rsid w:val="002A5969"/>
    <w:rsid w:val="002A5BC5"/>
    <w:rsid w:val="002A6913"/>
    <w:rsid w:val="002A7C84"/>
    <w:rsid w:val="002B004B"/>
    <w:rsid w:val="002B15B5"/>
    <w:rsid w:val="002B1600"/>
    <w:rsid w:val="002B242C"/>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90F"/>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0250"/>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3D5"/>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56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39EF"/>
    <w:rsid w:val="00723ABC"/>
    <w:rsid w:val="00723C0B"/>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2467"/>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1F5"/>
    <w:rsid w:val="00975CA2"/>
    <w:rsid w:val="00975F7F"/>
    <w:rsid w:val="009769DE"/>
    <w:rsid w:val="00981540"/>
    <w:rsid w:val="0098182F"/>
    <w:rsid w:val="0098245F"/>
    <w:rsid w:val="00982F94"/>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50A"/>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3B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EC5046"/>
    <w:rPr>
      <w:rFonts w:ascii="Verdana" w:hAnsi="Verdana" w:cs="Times New Roman"/>
      <w:b/>
      <w:sz w:val="24"/>
      <w:szCs w:val="24"/>
      <w:u w:val="single"/>
      <w:lang w:val="hr-HR"/>
    </w:rPr>
  </w:style>
  <w:style w:type="character" w:customStyle="1" w:styleId="Heading3Char">
    <w:name w:val="Heading 3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D3BE15-6294-4F19-A512-F8BD46752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219</Pages>
  <Words>68271</Words>
  <Characters>410517</Characters>
  <Application>Microsoft Office Word</Application>
  <DocSecurity>0</DocSecurity>
  <Lines>10526</Lines>
  <Paragraphs>6060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472728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HEIDL Ana (DGT)</cp:lastModifiedBy>
  <cp:revision>18</cp:revision>
  <dcterms:created xsi:type="dcterms:W3CDTF">2020-01-14T09:47:00Z</dcterms:created>
  <dcterms:modified xsi:type="dcterms:W3CDTF">2020-01-23T12:49:00Z</dcterms:modified>
</cp:coreProperties>
</file>