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07713" w14:textId="1C96FB6F" w:rsidR="0077762D" w:rsidRPr="0048590D" w:rsidRDefault="004810DA" w:rsidP="0048590D">
      <w:pPr>
        <w:pStyle w:val="Pagedecouverture"/>
      </w:pPr>
      <w:bookmarkStart w:id="0" w:name="_GoBack"/>
      <w:bookmarkEnd w:id="0"/>
      <w:r>
        <w:pict w14:anchorId="6993B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505F994-EFC0-44C2-8852-141531045E0E" style="width:451pt;height:395pt">
            <v:imagedata r:id="rId8" o:title=""/>
          </v:shape>
        </w:pict>
      </w:r>
    </w:p>
    <w:p w14:paraId="7EA50C89" w14:textId="77777777" w:rsidR="0077762D" w:rsidRPr="0048590D" w:rsidRDefault="0077762D">
      <w:pPr>
        <w:sectPr w:rsidR="0077762D" w:rsidRPr="0048590D" w:rsidSect="005319C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CDECEB2" w14:textId="3BE5D52A" w:rsidR="0077762D" w:rsidRPr="0048590D" w:rsidRDefault="0048590D" w:rsidP="0048590D">
      <w:pPr>
        <w:pStyle w:val="Typedudocument"/>
      </w:pPr>
      <w:r w:rsidRPr="0048590D">
        <w:lastRenderedPageBreak/>
        <w:t>PROVÁDĚCÍ NAŘÍZENÍ KOMISE (EU) …/...</w:t>
      </w:r>
    </w:p>
    <w:p w14:paraId="2AAC3DEF" w14:textId="2E619482" w:rsidR="0077762D" w:rsidRPr="0048590D" w:rsidRDefault="0048590D" w:rsidP="0048590D">
      <w:pPr>
        <w:pStyle w:val="Datedadoption"/>
        <w:rPr>
          <w:rStyle w:val="Marker2"/>
        </w:rPr>
      </w:pPr>
      <w:r w:rsidRPr="0048590D">
        <w:t xml:space="preserve">ze dne </w:t>
      </w:r>
      <w:r w:rsidRPr="0048590D">
        <w:rPr>
          <w:rStyle w:val="Marker2"/>
        </w:rPr>
        <w:t>XXX</w:t>
      </w:r>
      <w:r w:rsidRPr="0048590D">
        <w:t>,</w:t>
      </w:r>
    </w:p>
    <w:p w14:paraId="2CD0C74D" w14:textId="4B4F4896" w:rsidR="0077762D" w:rsidRPr="0048590D" w:rsidRDefault="0048590D" w:rsidP="0048590D">
      <w:pPr>
        <w:pStyle w:val="Titreobjet"/>
      </w:pPr>
      <w:r w:rsidRPr="0048590D">
        <w:t>kterým se mění prováděcí nařízení (EU) č. 680/2014, kterým se stanoví prováděcí technické normy, pokud jde o podávání zpráv institucí pro účely dohledu podle nařízení Evropského parlamentu a Rady (EU) č. 575/2013</w:t>
      </w:r>
    </w:p>
    <w:p w14:paraId="607AA7C4" w14:textId="117CEF1B" w:rsidR="0077762D" w:rsidRPr="0048590D" w:rsidRDefault="0048590D" w:rsidP="0048590D">
      <w:pPr>
        <w:pStyle w:val="IntrtEEE"/>
      </w:pPr>
      <w:r w:rsidRPr="0048590D">
        <w:t>(Text s významem pro EHP)</w:t>
      </w:r>
    </w:p>
    <w:p w14:paraId="5C82FF64" w14:textId="77777777" w:rsidR="0077762D" w:rsidRPr="0048590D" w:rsidRDefault="001B445C">
      <w:pPr>
        <w:pStyle w:val="Institutionquiagit"/>
      </w:pPr>
      <w:r w:rsidRPr="0048590D">
        <w:t>EVROPSKÁ KOMISE,</w:t>
      </w:r>
    </w:p>
    <w:p w14:paraId="288C7C77" w14:textId="77777777" w:rsidR="0077762D" w:rsidRPr="0048590D" w:rsidRDefault="001B445C">
      <w:r w:rsidRPr="0048590D">
        <w:t>s ohledem na Smlouvu o fungování Evropské unie,</w:t>
      </w:r>
    </w:p>
    <w:p w14:paraId="308FB29B" w14:textId="2835F500" w:rsidR="0077762D" w:rsidRPr="0048590D" w:rsidRDefault="001B445C">
      <w:r w:rsidRPr="0048590D">
        <w:t>s ohledem na nařízení Evropského parlamentu a Rady (EU) č. 575/2013 ze dne 26. června 2013 o obezřetnostních požadavcích na úvěrové instituce a investiční podniky a o změně nařízení (EU) č. 648/2012</w:t>
      </w:r>
      <w:r w:rsidRPr="0048590D">
        <w:rPr>
          <w:rStyle w:val="FootnoteReference"/>
        </w:rPr>
        <w:footnoteReference w:id="1"/>
      </w:r>
      <w:r w:rsidRPr="0048590D">
        <w:t>, a zejména na čl. 99 odst. 5 uvedeného nařízení,</w:t>
      </w:r>
    </w:p>
    <w:p w14:paraId="13C3A1D4" w14:textId="77777777" w:rsidR="0077762D" w:rsidRPr="0048590D" w:rsidRDefault="001B445C">
      <w:r w:rsidRPr="0048590D">
        <w:t>vzhledem k těmto důvodům:</w:t>
      </w:r>
    </w:p>
    <w:p w14:paraId="5323FA5C" w14:textId="6D899A74" w:rsidR="0077762D" w:rsidRPr="0048590D" w:rsidRDefault="001B445C">
      <w:pPr>
        <w:pStyle w:val="Considrant"/>
        <w:numPr>
          <w:ilvl w:val="0"/>
          <w:numId w:val="10"/>
        </w:numPr>
      </w:pPr>
      <w:r w:rsidRPr="0048590D">
        <w:t>Prováděcí nařízení Komise (EU) č. 680/2014</w:t>
      </w:r>
      <w:r w:rsidRPr="0048590D">
        <w:rPr>
          <w:rStyle w:val="FootnoteReference"/>
        </w:rPr>
        <w:footnoteReference w:id="2"/>
      </w:r>
      <w:r w:rsidRPr="0048590D">
        <w:t xml:space="preserve"> stanoví jednotné požadavky na instituce týkající se podávání zpráv pro účely dohledu příslušným orgánům pro účely článků 99 a 100, čl. 101 odst. 4 písm. a), čl. 394 odst. 1 a článků 415 a 430 nařízení (EU) č. 575/2013.</w:t>
      </w:r>
    </w:p>
    <w:p w14:paraId="26488C0A" w14:textId="7104C3B3" w:rsidR="0077762D" w:rsidRPr="0048590D" w:rsidRDefault="00EA64E6">
      <w:pPr>
        <w:pStyle w:val="Considrant"/>
      </w:pPr>
      <w:r w:rsidRPr="0048590D">
        <w:t>Nařízení Evropského parlamentu a Rady (EU) 2017/2402</w:t>
      </w:r>
      <w:r w:rsidRPr="0048590D">
        <w:rPr>
          <w:rStyle w:val="FootnoteReference"/>
        </w:rPr>
        <w:footnoteReference w:id="3"/>
      </w:r>
      <w:r w:rsidRPr="0048590D">
        <w:t xml:space="preserve"> zavádí nový rámec pro sekuritizaci, včetně zvláštního rámce pro jednoduchou, transparentní a standardizovanou (STS) </w:t>
      </w:r>
      <w:r w:rsidRPr="0048590D">
        <w:tab/>
        <w:t>sekuritizaci. Zavedlo preferenční zacházení se STS sekuritizací a některými syntetickými sekuritizacemi malých a středních podniků a stanovilo rámec pro regulační zacházení s expozicemi vůči sekuritizacím, které je citlivější vůči riziku. Prováděcí nařízení (EU) č. 680/2014 je třeba změnit tak, aby se vykazování sekuritizačních pozic přizpůsobilo tomuto novému rámci pro sekuritizaci.</w:t>
      </w:r>
    </w:p>
    <w:p w14:paraId="483135B2" w14:textId="65B6C67D" w:rsidR="0077762D" w:rsidRPr="0048590D" w:rsidRDefault="00D913C8">
      <w:pPr>
        <w:pStyle w:val="Considrant"/>
      </w:pPr>
      <w:r w:rsidRPr="0048590D">
        <w:t>Nařízení Komise (ES) č. 1126/2008</w:t>
      </w:r>
      <w:r w:rsidRPr="0048590D">
        <w:rPr>
          <w:rStyle w:val="FootnoteReference"/>
        </w:rPr>
        <w:footnoteReference w:id="4"/>
      </w:r>
      <w:r w:rsidRPr="0048590D">
        <w:t xml:space="preserve"> bylo pozměněno nařízením Komise (EU) 2017/1986</w:t>
      </w:r>
      <w:r w:rsidRPr="0048590D">
        <w:rPr>
          <w:rStyle w:val="FootnoteReference"/>
        </w:rPr>
        <w:footnoteReference w:id="5"/>
      </w:r>
      <w:r w:rsidRPr="0048590D">
        <w:t xml:space="preserve"> s cílem uvést uvedené nařízení v soulad s </w:t>
      </w:r>
      <w:r w:rsidRPr="0048590D">
        <w:rPr>
          <w:color w:val="444444"/>
        </w:rPr>
        <w:t>mezinárodním</w:t>
      </w:r>
      <w:r w:rsidRPr="0048590D">
        <w:t xml:space="preserve"> standardem </w:t>
      </w:r>
      <w:r w:rsidRPr="0048590D">
        <w:lastRenderedPageBreak/>
        <w:t>účetního výkaznictví (IFRS) 16 Leasingy, který Rada pro mezinárodní účetní standardy (IASB) zveřejnila dne 13. ledna 2016. Prováděcí nařízení (EU) č. 680/2014 je nyní třeba rovněž změnit tak, aby uvedené změny zohledňovalo.</w:t>
      </w:r>
    </w:p>
    <w:p w14:paraId="22E5D43E" w14:textId="77777777" w:rsidR="0077762D" w:rsidRPr="0048590D" w:rsidRDefault="00EE58F1">
      <w:pPr>
        <w:pStyle w:val="Considrant"/>
        <w:rPr>
          <w:color w:val="000000"/>
        </w:rPr>
      </w:pPr>
      <w:r w:rsidRPr="0048590D">
        <w:t>Příslušné orgány by měly být schopny účinně monitorovat a posuzovat rizikový profil institucí a učinit si představu o rizicích, jimž je vystaveno finanční odvětví. Vysoký objem nevýkonných expozic ovlivňuje rizikový profil, ziskovost a solventnost institucí, což v konečném důsledku ovlivňuje úvěrovou kapacitu pro celou ekonomiku. Požadavky na vykazování by proto měly být revidovány s cílem posílit schopnost příslušných orgánů posuzovat a monitorovat nevýkonné expozice pravidelným a opakovaným shromažďováním podrobnějších informací o těchto expozicích a s cílem doplnit zjištěné nedostatky v údajích.</w:t>
      </w:r>
    </w:p>
    <w:p w14:paraId="660C1B8C" w14:textId="77777777" w:rsidR="0077762D" w:rsidRPr="0048590D" w:rsidRDefault="00F95996">
      <w:pPr>
        <w:pStyle w:val="Considrant"/>
        <w:rPr>
          <w:color w:val="000000"/>
        </w:rPr>
      </w:pPr>
      <w:r w:rsidRPr="0048590D">
        <w:t>Struktura a rozsah výdajů institucí navíc významně ovlivňují ziskovost a udržitelnost jejich obchodních modelů. Aby příslušné orgány mohly získat hlubší přehled o těchto výdajích, měl by být rámec pro vykazování zdokonalen.</w:t>
      </w:r>
    </w:p>
    <w:p w14:paraId="7989BF92" w14:textId="77777777" w:rsidR="0077762D" w:rsidRPr="0048590D" w:rsidRDefault="00EA64E6">
      <w:pPr>
        <w:pStyle w:val="Considrant"/>
      </w:pPr>
      <w:r w:rsidRPr="0048590D">
        <w:t>Nařízení Komise v přenesené pravomoci (EU) 2015/61</w:t>
      </w:r>
      <w:r w:rsidRPr="0048590D">
        <w:rPr>
          <w:rStyle w:val="FootnoteReference"/>
        </w:rPr>
        <w:footnoteReference w:id="6"/>
      </w:r>
      <w:r w:rsidRPr="0048590D">
        <w:t xml:space="preserve"> bylo změněno nařízením Komise v přenesené pravomoci (EU) 2018/1620</w:t>
      </w:r>
      <w:r w:rsidRPr="0048590D">
        <w:rPr>
          <w:rStyle w:val="FootnoteReference"/>
        </w:rPr>
        <w:footnoteReference w:id="7"/>
      </w:r>
      <w:r w:rsidRPr="0048590D">
        <w:t xml:space="preserve"> </w:t>
      </w:r>
      <w:r w:rsidRPr="0048590D">
        <w:rPr>
          <w:color w:val="444444"/>
        </w:rPr>
        <w:t xml:space="preserve">s cílem zlepšit soulad s mezinárodními normami a usnadnit efektivnější řízení likvidity ze strany úvěrových institucí. </w:t>
      </w:r>
      <w:r w:rsidRPr="0048590D">
        <w:t>Prováděcí nařízení (EU) č. 680/2014 by mělo být taktéž změněno, aby byly uvedené změny zohledněny v rámci pro vykazování v souvislosti s požadavky na úvěrové instituce týkajícími se krytí likvidity.</w:t>
      </w:r>
    </w:p>
    <w:p w14:paraId="34872B97" w14:textId="77777777" w:rsidR="0077762D" w:rsidRPr="0048590D" w:rsidRDefault="003F04FB">
      <w:pPr>
        <w:pStyle w:val="Considrant"/>
      </w:pPr>
      <w:r w:rsidRPr="0048590D">
        <w:t>Kromě toho by měly být rovněž přezkoumány šablony a pokyny prováděcího nařízení (EU) č. 680/2014, aby se znovu posoudila vhodnost doplňujících položek zahrnutých v šablonách a pokynech v prvních letech provádění uvedeného nařízení a aby byly opraveny tiskové chyby, chybné odkazy a nesrovnalosti ve formátování, které byly zjištěny během uplatňování uvedeného nařízení.</w:t>
      </w:r>
    </w:p>
    <w:p w14:paraId="40A01AE5" w14:textId="5ED49F5D" w:rsidR="0077762D" w:rsidRPr="0048590D" w:rsidRDefault="00B31B60">
      <w:pPr>
        <w:pStyle w:val="Considrant"/>
      </w:pPr>
      <w:r w:rsidRPr="0048590D">
        <w:t xml:space="preserve">Příslušné orgány by měly mít možnost získávat informace od institucí používajících šablony ve znění tohoto prováděcího nařízení co nejdříve, aby mohly účinně vykonávat své kontrolní funkce. Nový rámec pro sekuritizaci v Unii se v plném rozsahu stává použitelným dne 1. ledna 2020 poté, co vyprší platnost přechodných ustanovení. Revidované požadavky na vykazování týkající se kapitálu a požadavky na kapitál stanovené v tomto prováděcím nařízení by se proto měly použít ode dne 30. března 2020. Aby instituce a příslušné orgány měly dostatek času na provedení revidovaných požadavků na vykazování týkajících se nevýkonných expozic, dluhových závazků, u nichž byla uplatněna opatření týkající se úlevy, provozních a správních výdajů a finančních informací uvedených v přílohách III až V tohoto prováděcího nařízení, měly by se tyto revidované požadavky na vykazování použít ode dne 1. června 2020. S ohledem na změny zavedené nařízením v přenesené pravomoci (EU) 2018/1620, které se použijí ode dne 30. dubna 2019, by se ustanovení tohoto prováděcího nařízení týkající se vykazování ohledně likvidity měla použít ode dne 1. dubna 2020. </w:t>
      </w:r>
    </w:p>
    <w:p w14:paraId="59349144" w14:textId="77777777" w:rsidR="0077762D" w:rsidRPr="0048590D" w:rsidRDefault="001B445C">
      <w:pPr>
        <w:pStyle w:val="Considrant"/>
        <w:rPr>
          <w:color w:val="000000"/>
        </w:rPr>
      </w:pPr>
      <w:r w:rsidRPr="0048590D">
        <w:t>Toto nařízení vychází z návrhů prováděcích technických norem, které Komisi předložil Evropský orgán pro bankovnictví (EBA).</w:t>
      </w:r>
    </w:p>
    <w:p w14:paraId="50B5C1E2" w14:textId="77777777" w:rsidR="0077762D" w:rsidRPr="0048590D" w:rsidRDefault="001B445C">
      <w:pPr>
        <w:pStyle w:val="Considrant"/>
        <w:rPr>
          <w:color w:val="000000"/>
        </w:rPr>
      </w:pPr>
      <w:r w:rsidRPr="0048590D">
        <w:t>Orgán EBA uskutečnil otevřené veřejné konzultace o návrhu prováděcích technických norem, z něhož toto nařízení vychází, analyzoval potenciální související náklady a přínosy a požádal o stanovisko skupinu subjektů působících v bankovnictví zřízenou podle článku 37 nařízení Evropského parlamentu a Rady (EU) č. 1093/2010</w:t>
      </w:r>
      <w:r w:rsidRPr="0048590D">
        <w:rPr>
          <w:rStyle w:val="FootnoteReference"/>
        </w:rPr>
        <w:footnoteReference w:id="8"/>
      </w:r>
      <w:r w:rsidRPr="0048590D">
        <w:t>. V souladu s čl. 15 odst. 1 druhým pododstavcem uvedeného nařízení orgán EBA neuskutečnil otevřenou veřejnou konzultaci týkající se těch částí návrhu prováděcích technických norem, z nichž toto nařízení vychází a které jsou buď redakční povahy, nebo  do rámce pro vykazování orgánům dohledu zavádějí pouze omezený počet položek. Takové konzultace by byly nepřiměřené vzhledem k rozsahu a dopadům dotčeného návrhu prováděcích technických norem.</w:t>
      </w:r>
    </w:p>
    <w:p w14:paraId="67DBCF52" w14:textId="77777777" w:rsidR="0077762D" w:rsidRPr="0048590D" w:rsidRDefault="001B445C">
      <w:pPr>
        <w:pStyle w:val="Considrant"/>
        <w:rPr>
          <w:color w:val="000000"/>
        </w:rPr>
      </w:pPr>
      <w:r w:rsidRPr="0048590D">
        <w:t>Prováděcí nařízení (EU) č. 680/2014 by proto mělo být odpovídajícím způsobem změněno,</w:t>
      </w:r>
    </w:p>
    <w:p w14:paraId="76AD5CEB" w14:textId="77777777" w:rsidR="0077762D" w:rsidRPr="0048590D" w:rsidRDefault="001B445C">
      <w:pPr>
        <w:pStyle w:val="Formuledadoption"/>
      </w:pPr>
      <w:r w:rsidRPr="0048590D">
        <w:t>PŘIJALA TOTO NAŘÍZENÍ:</w:t>
      </w:r>
    </w:p>
    <w:p w14:paraId="73D2A54B" w14:textId="77777777" w:rsidR="0077762D" w:rsidRPr="0048590D" w:rsidRDefault="001B445C">
      <w:pPr>
        <w:pStyle w:val="Titrearticle"/>
        <w:keepLines/>
        <w:rPr>
          <w:color w:val="000000"/>
          <w:szCs w:val="24"/>
        </w:rPr>
      </w:pPr>
      <w:r w:rsidRPr="0048590D">
        <w:t>Článek 1</w:t>
      </w:r>
    </w:p>
    <w:p w14:paraId="731C2D3F" w14:textId="59043673" w:rsidR="0077762D" w:rsidRPr="0048590D" w:rsidRDefault="001B445C">
      <w:pPr>
        <w:rPr>
          <w:szCs w:val="24"/>
        </w:rPr>
      </w:pPr>
      <w:r w:rsidRPr="0048590D">
        <w:t>Prováděcí nařízení (EU) č. 680/2014 se mění takto:</w:t>
      </w:r>
    </w:p>
    <w:p w14:paraId="1B00C599" w14:textId="51A2D43B" w:rsidR="0077762D" w:rsidRPr="0048590D" w:rsidRDefault="00CE2DAD" w:rsidP="00CE2DAD">
      <w:pPr>
        <w:pStyle w:val="Point0"/>
      </w:pPr>
      <w:r w:rsidRPr="00CE2DAD">
        <w:t>1)</w:t>
      </w:r>
      <w:r w:rsidRPr="00CE2DAD">
        <w:tab/>
      </w:r>
      <w:r w:rsidR="00C63439" w:rsidRPr="0048590D">
        <w:t>Článek 5 se mění takto:</w:t>
      </w:r>
    </w:p>
    <w:p w14:paraId="07A92DDE" w14:textId="1CC9417D" w:rsidR="0077762D" w:rsidRPr="0048590D" w:rsidRDefault="00CE2DAD" w:rsidP="00CE2DAD">
      <w:pPr>
        <w:pStyle w:val="Point1"/>
      </w:pPr>
      <w:r w:rsidRPr="00CE2DAD">
        <w:t>a)</w:t>
      </w:r>
      <w:r w:rsidRPr="00CE2DAD">
        <w:tab/>
      </w:r>
      <w:r w:rsidR="00C63439" w:rsidRPr="0048590D">
        <w:t>písmeno a) se mění takto:</w:t>
      </w:r>
    </w:p>
    <w:p w14:paraId="0051425E" w14:textId="77777777" w:rsidR="0077762D" w:rsidRPr="0048590D" w:rsidRDefault="00294A2C">
      <w:pPr>
        <w:pStyle w:val="Text2"/>
      </w:pPr>
      <w:r w:rsidRPr="0048590D">
        <w:t>i)</w:t>
      </w:r>
      <w:r w:rsidRPr="0048590D">
        <w:tab/>
        <w:t>bod 7) se zrušuje;</w:t>
      </w:r>
    </w:p>
    <w:p w14:paraId="486BC3C6" w14:textId="77777777" w:rsidR="0077762D" w:rsidRPr="0048590D" w:rsidRDefault="00294A2C">
      <w:pPr>
        <w:pStyle w:val="Text2"/>
      </w:pPr>
      <w:r w:rsidRPr="0048590D">
        <w:t>ii)</w:t>
      </w:r>
      <w:r w:rsidRPr="0048590D">
        <w:tab/>
        <w:t>bod 8) se nahrazuje tímto:</w:t>
      </w:r>
    </w:p>
    <w:p w14:paraId="6942628A" w14:textId="77777777" w:rsidR="0077762D" w:rsidRPr="0048590D" w:rsidRDefault="00294A2C">
      <w:pPr>
        <w:pStyle w:val="Text1"/>
        <w:ind w:left="2268" w:right="568" w:hanging="567"/>
        <w:rPr>
          <w:szCs w:val="24"/>
        </w:rPr>
      </w:pPr>
      <w:r w:rsidRPr="0048590D">
        <w:t>„8)</w:t>
      </w:r>
      <w:r w:rsidRPr="0048590D">
        <w:tab/>
        <w:t>informace o sekuritizovaných expozicích podle šablony 13.01 přílohy I a v souladu s pokyny části II bodu 3.7 přílohy II;“;</w:t>
      </w:r>
    </w:p>
    <w:p w14:paraId="32CB27AB" w14:textId="486AAE39" w:rsidR="0077762D" w:rsidRPr="0048590D" w:rsidRDefault="00CE2DAD" w:rsidP="00CE2DAD">
      <w:pPr>
        <w:pStyle w:val="Point1"/>
      </w:pPr>
      <w:r w:rsidRPr="00CE2DAD">
        <w:t>b)</w:t>
      </w:r>
      <w:r w:rsidRPr="00CE2DAD">
        <w:tab/>
      </w:r>
      <w:r w:rsidR="00D63710" w:rsidRPr="0048590D">
        <w:t>v písmeni b) se bod 1) nahrazuje tímto:</w:t>
      </w:r>
    </w:p>
    <w:p w14:paraId="2C729D6F" w14:textId="1DF29E03" w:rsidR="0077762D" w:rsidRPr="0048590D" w:rsidRDefault="00DC3927">
      <w:pPr>
        <w:pStyle w:val="Text1"/>
        <w:ind w:left="1701" w:right="568" w:hanging="567"/>
        <w:rPr>
          <w:szCs w:val="24"/>
        </w:rPr>
      </w:pPr>
      <w:r w:rsidRPr="0048590D">
        <w:t>„1)</w:t>
      </w:r>
      <w:r w:rsidRPr="0048590D">
        <w:tab/>
        <w:t>informace o všech sekuritizačních expozicích podle šablon 14 a 14.01 přílohy I a v souladu s pokyny části II bodu 3.9 přílohy II;</w:t>
      </w:r>
    </w:p>
    <w:p w14:paraId="36BD954D" w14:textId="62EBDF1E" w:rsidR="0077762D" w:rsidRPr="0048590D" w:rsidRDefault="002A096A">
      <w:pPr>
        <w:pStyle w:val="Text1"/>
        <w:ind w:left="1701" w:right="568"/>
        <w:rPr>
          <w:szCs w:val="24"/>
        </w:rPr>
      </w:pPr>
      <w:r w:rsidRPr="0048590D">
        <w:t>instituce jsou z povinnosti předložit uvedené informace o sekuritizacích vyňaty, jsou-li součástí skupiny v téže zemi, v níž podléhají požadavkům na kapitál;“;</w:t>
      </w:r>
    </w:p>
    <w:p w14:paraId="22157E12" w14:textId="77777777" w:rsidR="0077762D" w:rsidRPr="0048590D" w:rsidRDefault="00DC3927">
      <w:r w:rsidRPr="0048590D">
        <w:t>2)</w:t>
      </w:r>
      <w:r w:rsidRPr="0048590D">
        <w:tab/>
        <w:t>v článku 9 se odstavec 2 mění takto:</w:t>
      </w:r>
    </w:p>
    <w:p w14:paraId="2D923CE0" w14:textId="77777777" w:rsidR="0077762D" w:rsidRPr="0048590D" w:rsidRDefault="00C52F81">
      <w:pPr>
        <w:pStyle w:val="Text1"/>
      </w:pPr>
      <w:r w:rsidRPr="0048590D">
        <w:t>i)</w:t>
      </w:r>
      <w:r w:rsidRPr="0048590D">
        <w:tab/>
        <w:t>písmeno c) se nahrazuje tímto:</w:t>
      </w:r>
    </w:p>
    <w:p w14:paraId="5E362A06" w14:textId="77777777" w:rsidR="0077762D" w:rsidRPr="0048590D" w:rsidRDefault="00DC3927">
      <w:pPr>
        <w:pStyle w:val="Text1"/>
        <w:ind w:left="1701" w:right="568" w:hanging="567"/>
        <w:rPr>
          <w:szCs w:val="24"/>
        </w:rPr>
      </w:pPr>
      <w:r w:rsidRPr="0048590D">
        <w:t>„c)</w:t>
      </w:r>
      <w:r w:rsidRPr="0048590D">
        <w:tab/>
        <w:t>informace vymezené v části 4 přílohy III, s výjimkou informací uvedených v šabloně 47, s roční periodicitou;“;</w:t>
      </w:r>
    </w:p>
    <w:p w14:paraId="5EF72169" w14:textId="77777777" w:rsidR="0077762D" w:rsidRPr="0048590D" w:rsidRDefault="00C52F81">
      <w:pPr>
        <w:pStyle w:val="Text1"/>
      </w:pPr>
      <w:r w:rsidRPr="0048590D">
        <w:t>ii)</w:t>
      </w:r>
      <w:r w:rsidRPr="0048590D">
        <w:tab/>
        <w:t>doplňují se nová písmena h) a i), která znějí:</w:t>
      </w:r>
    </w:p>
    <w:p w14:paraId="49C9B54D" w14:textId="77777777" w:rsidR="0077762D" w:rsidRPr="0048590D" w:rsidRDefault="00C52F81">
      <w:pPr>
        <w:pStyle w:val="Text1"/>
        <w:ind w:left="1701" w:right="568" w:hanging="567"/>
        <w:rPr>
          <w:szCs w:val="24"/>
        </w:rPr>
      </w:pPr>
      <w:r w:rsidRPr="0048590D">
        <w:t>„h)</w:t>
      </w:r>
      <w:r w:rsidRPr="0048590D">
        <w:tab/>
        <w:t>informace vymezené v šablonách 23 až 26 v části 2 přílohy III se čtvrtletní periodicitou, pokud jsou splněny obě následující podmínky:</w:t>
      </w:r>
    </w:p>
    <w:p w14:paraId="5A3D23FC" w14:textId="77777777" w:rsidR="0077762D" w:rsidRPr="0048590D" w:rsidRDefault="001B445C">
      <w:pPr>
        <w:pStyle w:val="Text2"/>
        <w:ind w:left="2268" w:right="568" w:hanging="567"/>
        <w:rPr>
          <w:szCs w:val="24"/>
        </w:rPr>
      </w:pPr>
      <w:r w:rsidRPr="0048590D">
        <w:t>i)</w:t>
      </w:r>
      <w:r w:rsidRPr="0048590D">
        <w:tab/>
        <w:t>instituce není malou a nepříliš složitou institucí ve smyslu čl. 4 odst. 1 bodu 145 nařízení (EU) č. 575/2013;</w:t>
      </w:r>
    </w:p>
    <w:p w14:paraId="769A72A7" w14:textId="7FA489CA" w:rsidR="0077762D" w:rsidRPr="0048590D" w:rsidRDefault="001B445C">
      <w:pPr>
        <w:pStyle w:val="Text2"/>
        <w:ind w:left="2268" w:right="568" w:hanging="567"/>
        <w:rPr>
          <w:szCs w:val="24"/>
        </w:rPr>
      </w:pPr>
      <w:r w:rsidRPr="0048590D">
        <w:t>ii)</w:t>
      </w:r>
      <w:r w:rsidRPr="0048590D">
        <w:tab/>
        <w:t>poměr mezi hrubou účetní hodnotou nevýkonných úvěrů a pohledávek instituce a celkovou hrubou účetní hodnotou úvěrů a pohledávek spadajících do kategorie nevýkonných expozic podle oddílu 17 části 2 přílohy V tohoto nařízení je roven 5 % nebo je vyšší. Pro účely tohoto písmene poměr nezahrnuje v čitateli ani ve jmenovateli úvěry a pohledávky klasifikované jako držené k prodeji, hotovost u centrálních bank a ostatní vklady na požádání.</w:t>
      </w:r>
    </w:p>
    <w:p w14:paraId="1E2D7764" w14:textId="77777777" w:rsidR="0077762D" w:rsidRPr="0048590D" w:rsidRDefault="0084057B">
      <w:pPr>
        <w:pStyle w:val="Text2"/>
        <w:ind w:left="1678" w:right="568" w:firstLine="23"/>
        <w:rPr>
          <w:szCs w:val="24"/>
        </w:rPr>
      </w:pPr>
      <w:r w:rsidRPr="0048590D">
        <w:t>Použijí se kritéria pro zahájení a ukončení podle článku 4.</w:t>
      </w:r>
    </w:p>
    <w:p w14:paraId="514A0195" w14:textId="77777777" w:rsidR="0077762D" w:rsidRPr="0048590D" w:rsidRDefault="00D63710">
      <w:pPr>
        <w:pStyle w:val="Text1"/>
        <w:ind w:left="1701" w:right="568" w:hanging="567"/>
        <w:rPr>
          <w:szCs w:val="24"/>
        </w:rPr>
      </w:pPr>
      <w:r w:rsidRPr="0048590D">
        <w:t>i)</w:t>
      </w:r>
      <w:r w:rsidRPr="0048590D">
        <w:tab/>
        <w:t>informace vymezené v šabloně 47 v části 4 přílohy III s roční periodicitou, jsou-li splněny obě podmínky uvedené v písm. h) bodech i) a ii) tohoto odstavce. Použijí se kritéria pro zahájení a ukončení podle článku 4.“;</w:t>
      </w:r>
    </w:p>
    <w:p w14:paraId="1F2B8B32" w14:textId="77777777" w:rsidR="0077762D" w:rsidRPr="0048590D" w:rsidRDefault="00D63710">
      <w:pPr>
        <w:pStyle w:val="Text1"/>
        <w:ind w:left="567" w:hanging="567"/>
        <w:rPr>
          <w:szCs w:val="24"/>
        </w:rPr>
      </w:pPr>
      <w:r w:rsidRPr="0048590D">
        <w:t>3)</w:t>
      </w:r>
      <w:r w:rsidRPr="0048590D">
        <w:tab/>
        <w:t>v článku 11 se odstavec 2 mění takto:</w:t>
      </w:r>
    </w:p>
    <w:p w14:paraId="6487BD60" w14:textId="77777777" w:rsidR="0077762D" w:rsidRPr="0048590D" w:rsidRDefault="00D63710">
      <w:pPr>
        <w:pStyle w:val="Text1"/>
      </w:pPr>
      <w:r w:rsidRPr="0048590D">
        <w:t>i)</w:t>
      </w:r>
      <w:r w:rsidRPr="0048590D">
        <w:tab/>
        <w:t>písmeno c) se nahrazuje tímto:</w:t>
      </w:r>
    </w:p>
    <w:p w14:paraId="4678FF44" w14:textId="77777777" w:rsidR="0077762D" w:rsidRPr="0048590D" w:rsidRDefault="00D63710">
      <w:pPr>
        <w:pStyle w:val="Text1"/>
        <w:ind w:left="1701" w:right="568" w:hanging="567"/>
        <w:rPr>
          <w:szCs w:val="24"/>
        </w:rPr>
      </w:pPr>
      <w:r w:rsidRPr="0048590D">
        <w:t>„c)</w:t>
      </w:r>
      <w:r w:rsidRPr="0048590D">
        <w:tab/>
        <w:t>informace vymezené v části 4 přílohy IV, s výjimkou informací uvedených v šabloně 47, s roční periodicitou;“;</w:t>
      </w:r>
    </w:p>
    <w:p w14:paraId="2AE5A30E" w14:textId="77777777" w:rsidR="0077762D" w:rsidRPr="0048590D" w:rsidRDefault="00D63710">
      <w:pPr>
        <w:pStyle w:val="Text1"/>
      </w:pPr>
      <w:r w:rsidRPr="0048590D">
        <w:t>ii)</w:t>
      </w:r>
      <w:r w:rsidRPr="0048590D">
        <w:tab/>
        <w:t>doplňují se nová písmena h) a i), která znějí:</w:t>
      </w:r>
    </w:p>
    <w:p w14:paraId="46AD1146" w14:textId="77777777" w:rsidR="0077762D" w:rsidRPr="0048590D" w:rsidRDefault="00D63710">
      <w:pPr>
        <w:pStyle w:val="Text1"/>
        <w:ind w:left="1701" w:hanging="567"/>
        <w:rPr>
          <w:szCs w:val="24"/>
        </w:rPr>
      </w:pPr>
      <w:r w:rsidRPr="0048590D">
        <w:t>„h)</w:t>
      </w:r>
      <w:r w:rsidRPr="0048590D">
        <w:tab/>
        <w:t>informace vymezené v šablonách 23 až 26 v části 2 přílohy IV se čtvrtletní periodicitou, jsou-li splněny podmínky uvedené v čl. 9 odst. 2 písm. h) bodech i) a ii). Použijí se kritéria pro zahájení a ukončení podle článku 4;</w:t>
      </w:r>
    </w:p>
    <w:p w14:paraId="787C8551" w14:textId="77777777" w:rsidR="0077762D" w:rsidRPr="0048590D" w:rsidRDefault="001B445C">
      <w:pPr>
        <w:pStyle w:val="Text1"/>
        <w:ind w:left="1701" w:hanging="567"/>
        <w:rPr>
          <w:szCs w:val="24"/>
        </w:rPr>
      </w:pPr>
      <w:r w:rsidRPr="0048590D">
        <w:t>i)</w:t>
      </w:r>
      <w:r w:rsidRPr="0048590D">
        <w:tab/>
        <w:t>informace vymezené v šabloně 47 v části 4 přílohy IV s roční periodicitou, jsou-li splněny podmínky uvedené v čl. 9 odst. 2 písm. h) bodech i) a ii). Použijí se zahajovací a ukončovací kritéria podle článku 4.“;</w:t>
      </w:r>
    </w:p>
    <w:p w14:paraId="5C135AED" w14:textId="77777777" w:rsidR="0077762D" w:rsidRPr="0048590D" w:rsidRDefault="00D63710">
      <w:r w:rsidRPr="0048590D">
        <w:t>4)</w:t>
      </w:r>
      <w:r w:rsidRPr="0048590D">
        <w:tab/>
        <w:t>Příloha I prováděcího nařízení (EU) č. 680/2014 se nahrazuje zněním v příloze I tohoto nařízení.</w:t>
      </w:r>
    </w:p>
    <w:p w14:paraId="6D942284" w14:textId="77777777" w:rsidR="0077762D" w:rsidRPr="0048590D" w:rsidRDefault="00D63710">
      <w:r w:rsidRPr="0048590D">
        <w:t>5)</w:t>
      </w:r>
      <w:r w:rsidRPr="0048590D">
        <w:tab/>
        <w:t xml:space="preserve">Příloha II prováděcího nařízení (EU) č. 680/2014 se nahrazuje zněním uvedeným v příloze II tohoto nařízení. </w:t>
      </w:r>
    </w:p>
    <w:p w14:paraId="66FD1BC9" w14:textId="77777777" w:rsidR="0077762D" w:rsidRPr="0048590D" w:rsidRDefault="00D63710">
      <w:r w:rsidRPr="0048590D">
        <w:t>6)</w:t>
      </w:r>
      <w:r w:rsidRPr="0048590D">
        <w:tab/>
        <w:t xml:space="preserve">Příloha III prováděcího nařízení (EU) č. 680/2014 se nahrazuje zněním v příloze III tohoto nařízení. </w:t>
      </w:r>
    </w:p>
    <w:p w14:paraId="171FD559" w14:textId="77777777" w:rsidR="0077762D" w:rsidRPr="0048590D" w:rsidRDefault="00D63710">
      <w:r w:rsidRPr="0048590D">
        <w:t>7)</w:t>
      </w:r>
      <w:r w:rsidRPr="0048590D">
        <w:tab/>
        <w:t xml:space="preserve">Příloha IV prováděcího nařízení (EU) č. 680/2014 se nahrazuje zněním uvedeným v příloze IV tohoto nařízení. </w:t>
      </w:r>
    </w:p>
    <w:p w14:paraId="3B487D51" w14:textId="77777777" w:rsidR="0077762D" w:rsidRPr="0048590D" w:rsidRDefault="00D63710">
      <w:r w:rsidRPr="0048590D">
        <w:t>8)</w:t>
      </w:r>
      <w:r w:rsidRPr="0048590D">
        <w:tab/>
        <w:t>Příloha V prováděcího nařízení (EU) č. 680/2014 se nahrazuje zněním v příloze V tohoto nařízení.</w:t>
      </w:r>
    </w:p>
    <w:p w14:paraId="66FC58ED" w14:textId="77777777" w:rsidR="0077762D" w:rsidRPr="0048590D" w:rsidRDefault="00D63710">
      <w:r w:rsidRPr="0048590D">
        <w:t>9)</w:t>
      </w:r>
      <w:r w:rsidRPr="0048590D">
        <w:tab/>
        <w:t>Příloha XVIII prováděcího nařízení (EU) č. 680/2014 se nahrazuje zněním uvedeným v příloze VI tohoto nařízení.</w:t>
      </w:r>
    </w:p>
    <w:p w14:paraId="79EC6764" w14:textId="77777777" w:rsidR="0077762D" w:rsidRPr="0048590D" w:rsidRDefault="00D63710">
      <w:r w:rsidRPr="0048590D">
        <w:t>10)</w:t>
      </w:r>
      <w:r w:rsidRPr="0048590D">
        <w:tab/>
        <w:t xml:space="preserve">Příloha XIX prováděcího nařízení (EU) č. 680/2014 se nahrazuje zněním uvedeným v příloze VII tohoto nařízení. </w:t>
      </w:r>
    </w:p>
    <w:p w14:paraId="7D476BB9" w14:textId="77777777" w:rsidR="0077762D" w:rsidRPr="0048590D" w:rsidRDefault="00D63710">
      <w:r w:rsidRPr="0048590D">
        <w:t>11)</w:t>
      </w:r>
      <w:r w:rsidRPr="0048590D">
        <w:tab/>
        <w:t>Příloha XXIV prováděcího nařízení (EU) č. 680/2014 se nahrazuje zněním uvedeným v příloze VIII tohoto nařízení.</w:t>
      </w:r>
    </w:p>
    <w:p w14:paraId="37FC96E9" w14:textId="77777777" w:rsidR="0077762D" w:rsidRPr="0048590D" w:rsidRDefault="00D63710">
      <w:r w:rsidRPr="0048590D">
        <w:t>12)</w:t>
      </w:r>
      <w:r w:rsidRPr="0048590D">
        <w:tab/>
        <w:t>Příloha XXV prováděcího nařízení (EU) č. 680/2014 se nahrazuje zněním uvedeným v příloze IX tohoto nařízení.</w:t>
      </w:r>
    </w:p>
    <w:p w14:paraId="7036487A" w14:textId="77777777" w:rsidR="0077762D" w:rsidRPr="0048590D" w:rsidRDefault="001B445C">
      <w:pPr>
        <w:pStyle w:val="Titrearticle"/>
        <w:keepLines/>
        <w:rPr>
          <w:color w:val="000000"/>
          <w:szCs w:val="24"/>
        </w:rPr>
      </w:pPr>
      <w:r w:rsidRPr="0048590D">
        <w:t>Článek 2</w:t>
      </w:r>
    </w:p>
    <w:p w14:paraId="6D87565F" w14:textId="66470D21" w:rsidR="0077762D" w:rsidRPr="0048590D" w:rsidRDefault="001B445C">
      <w:pPr>
        <w:rPr>
          <w:color w:val="000000"/>
          <w:szCs w:val="24"/>
        </w:rPr>
      </w:pPr>
      <w:r w:rsidRPr="0048590D">
        <w:t xml:space="preserve">Toto nařízení vstupuje v platnost prvním dnem po vyhlášení v </w:t>
      </w:r>
      <w:r w:rsidRPr="0048590D">
        <w:rPr>
          <w:i/>
        </w:rPr>
        <w:t>Úředním věstníku Evropské unie</w:t>
      </w:r>
      <w:r w:rsidRPr="0048590D">
        <w:t>.</w:t>
      </w:r>
    </w:p>
    <w:p w14:paraId="7C0963A2" w14:textId="4ECFA9D7" w:rsidR="0077762D" w:rsidRPr="0048590D" w:rsidRDefault="00FB65A6">
      <w:pPr>
        <w:rPr>
          <w:color w:val="000000"/>
          <w:szCs w:val="24"/>
        </w:rPr>
      </w:pPr>
      <w:r w:rsidRPr="0048590D">
        <w:t>Ustanovení čl. 1 bodů 1, 4 a 5 se použijí ode dne 30. března 2020. Ustanovení čl. 1 bodů 9 až 12  se použijí ode dne 1. dubna 2020. Ustanovení čl. 1 bodů 2, 3, 6 až 8 se použijí ode dne 1. června 2020.</w:t>
      </w:r>
    </w:p>
    <w:p w14:paraId="0F403810" w14:textId="77777777" w:rsidR="0077762D" w:rsidRPr="0048590D" w:rsidRDefault="001B445C">
      <w:pPr>
        <w:rPr>
          <w:color w:val="000000"/>
          <w:szCs w:val="24"/>
        </w:rPr>
      </w:pPr>
      <w:r w:rsidRPr="0048590D">
        <w:t>Toto nařízení je závazné v celém rozsahu a přímo použitelné ve všech členských státech.</w:t>
      </w:r>
    </w:p>
    <w:p w14:paraId="2DB37B2E" w14:textId="1893CF4F" w:rsidR="0077762D" w:rsidRPr="0048590D" w:rsidRDefault="0048590D" w:rsidP="0048590D">
      <w:pPr>
        <w:pStyle w:val="Fait"/>
      </w:pPr>
      <w:r w:rsidRPr="0048590D">
        <w:t>V Bruselu dne</w:t>
      </w:r>
    </w:p>
    <w:p w14:paraId="5989647B" w14:textId="77777777" w:rsidR="0077762D" w:rsidRPr="0048590D" w:rsidRDefault="001B445C">
      <w:pPr>
        <w:pStyle w:val="Institutionquisigne"/>
      </w:pPr>
      <w:r w:rsidRPr="0048590D">
        <w:tab/>
        <w:t>Za Komisi</w:t>
      </w:r>
    </w:p>
    <w:p w14:paraId="06E0BB8C" w14:textId="7F367528" w:rsidR="0077762D" w:rsidRPr="0048590D" w:rsidRDefault="00B71BC4">
      <w:pPr>
        <w:pStyle w:val="Personnequisigne"/>
      </w:pPr>
      <w:r w:rsidRPr="0048590D">
        <w:tab/>
        <w:t>předsedkyně</w:t>
      </w:r>
      <w:r w:rsidRPr="0048590D">
        <w:br/>
      </w:r>
      <w:r w:rsidRPr="0048590D">
        <w:tab/>
        <w:t>Ursula von der Leyen</w:t>
      </w:r>
    </w:p>
    <w:sectPr w:rsidR="0077762D" w:rsidRPr="0048590D" w:rsidSect="005319C3"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9A566" w14:textId="77777777" w:rsidR="0077762D" w:rsidRDefault="001D2590">
      <w:r>
        <w:separator/>
      </w:r>
    </w:p>
    <w:p w14:paraId="169B0B81" w14:textId="77777777" w:rsidR="0077762D" w:rsidRDefault="0077762D"/>
    <w:p w14:paraId="55151859" w14:textId="77777777" w:rsidR="0077762D" w:rsidRDefault="0077762D"/>
  </w:endnote>
  <w:endnote w:type="continuationSeparator" w:id="0">
    <w:p w14:paraId="1F1B705E" w14:textId="77777777" w:rsidR="0077762D" w:rsidRDefault="001D2590">
      <w:r>
        <w:continuationSeparator/>
      </w:r>
    </w:p>
    <w:p w14:paraId="7AB27653" w14:textId="77777777" w:rsidR="0077762D" w:rsidRDefault="0077762D"/>
    <w:p w14:paraId="2B72467D" w14:textId="77777777" w:rsidR="0077762D" w:rsidRDefault="007776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65A90" w14:textId="77777777" w:rsidR="00D9333C" w:rsidRPr="005319C3" w:rsidRDefault="00D9333C" w:rsidP="005319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3E059" w14:textId="5F1AC049" w:rsidR="0048590D" w:rsidRPr="005319C3" w:rsidRDefault="005319C3" w:rsidP="005319C3">
    <w:pPr>
      <w:pStyle w:val="Footer"/>
      <w:rPr>
        <w:rFonts w:ascii="Arial" w:hAnsi="Arial" w:cs="Arial"/>
        <w:b/>
        <w:sz w:val="48"/>
      </w:rPr>
    </w:pPr>
    <w:r w:rsidRPr="005319C3">
      <w:rPr>
        <w:rFonts w:ascii="Arial" w:hAnsi="Arial" w:cs="Arial"/>
        <w:b/>
        <w:sz w:val="48"/>
      </w:rPr>
      <w:t>CS</w:t>
    </w:r>
    <w:r w:rsidRPr="005319C3">
      <w:rPr>
        <w:rFonts w:ascii="Arial" w:hAnsi="Arial" w:cs="Arial"/>
        <w:b/>
        <w:sz w:val="48"/>
      </w:rPr>
      <w:tab/>
    </w:r>
    <w:r w:rsidRPr="005319C3">
      <w:rPr>
        <w:rFonts w:ascii="Arial" w:hAnsi="Arial" w:cs="Arial"/>
        <w:b/>
        <w:sz w:val="48"/>
      </w:rPr>
      <w:tab/>
    </w:r>
    <w:r w:rsidRPr="005319C3">
      <w:tab/>
    </w:r>
    <w:r w:rsidRPr="005319C3">
      <w:rPr>
        <w:rFonts w:ascii="Arial" w:hAnsi="Arial" w:cs="Arial"/>
        <w:b/>
        <w:sz w:val="48"/>
      </w:rPr>
      <w:t>CS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19E00" w14:textId="77777777" w:rsidR="00D9333C" w:rsidRPr="005319C3" w:rsidRDefault="00D9333C" w:rsidP="005319C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D18FA" w14:textId="273172F9" w:rsidR="005319C3" w:rsidRPr="005319C3" w:rsidRDefault="005319C3" w:rsidP="005319C3">
    <w:pPr>
      <w:pStyle w:val="Footer"/>
      <w:rPr>
        <w:rFonts w:ascii="Arial" w:hAnsi="Arial" w:cs="Arial"/>
        <w:b/>
        <w:sz w:val="48"/>
      </w:rPr>
    </w:pPr>
    <w:r w:rsidRPr="005319C3">
      <w:rPr>
        <w:rFonts w:ascii="Arial" w:hAnsi="Arial" w:cs="Arial"/>
        <w:b/>
        <w:sz w:val="48"/>
      </w:rPr>
      <w:t>CS</w:t>
    </w:r>
    <w:r w:rsidRPr="005319C3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4810DA">
      <w:rPr>
        <w:noProof/>
      </w:rPr>
      <w:t>1</w:t>
    </w:r>
    <w:r>
      <w:fldChar w:fldCharType="end"/>
    </w:r>
    <w:r>
      <w:tab/>
    </w:r>
    <w:r w:rsidRPr="005319C3">
      <w:tab/>
    </w:r>
    <w:r w:rsidRPr="005319C3">
      <w:rPr>
        <w:rFonts w:ascii="Arial" w:hAnsi="Arial" w:cs="Arial"/>
        <w:b/>
        <w:sz w:val="48"/>
      </w:rPr>
      <w:t>CS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D3130" w14:textId="77777777" w:rsidR="005319C3" w:rsidRPr="005319C3" w:rsidRDefault="005319C3" w:rsidP="005319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8417A" w14:textId="77777777" w:rsidR="0077762D" w:rsidRDefault="001D2590">
      <w:r>
        <w:separator/>
      </w:r>
    </w:p>
    <w:p w14:paraId="5DA4DBEE" w14:textId="77777777" w:rsidR="0077762D" w:rsidRDefault="0077762D"/>
    <w:p w14:paraId="189627FC" w14:textId="77777777" w:rsidR="0077762D" w:rsidRDefault="0077762D"/>
  </w:footnote>
  <w:footnote w:type="continuationSeparator" w:id="0">
    <w:p w14:paraId="3B46B728" w14:textId="77777777" w:rsidR="0077762D" w:rsidRDefault="001D2590">
      <w:r>
        <w:continuationSeparator/>
      </w:r>
    </w:p>
    <w:p w14:paraId="22ED3C12" w14:textId="77777777" w:rsidR="0077762D" w:rsidRDefault="0077762D"/>
    <w:p w14:paraId="02263D68" w14:textId="77777777" w:rsidR="0077762D" w:rsidRDefault="0077762D"/>
  </w:footnote>
  <w:footnote w:id="1">
    <w:p w14:paraId="3904D8AB" w14:textId="22916591" w:rsidR="0077762D" w:rsidRDefault="00363BA4">
      <w:pPr>
        <w:pStyle w:val="FootnoteText"/>
      </w:pPr>
      <w:r>
        <w:rPr>
          <w:rStyle w:val="FootnoteReference"/>
        </w:rPr>
        <w:footnoteRef/>
      </w:r>
      <w:r>
        <w:tab/>
        <w:t>Úř. věst. L 176, 27.6.2013, s. 1.</w:t>
      </w:r>
    </w:p>
  </w:footnote>
  <w:footnote w:id="2">
    <w:p w14:paraId="52F74E0C" w14:textId="72E7A7A0" w:rsidR="0077762D" w:rsidRDefault="00363BA4">
      <w:pPr>
        <w:pStyle w:val="FootnoteText"/>
      </w:pPr>
      <w:r>
        <w:rPr>
          <w:rStyle w:val="FootnoteReference"/>
        </w:rPr>
        <w:footnoteRef/>
      </w:r>
      <w:r>
        <w:tab/>
        <w:t>Prováděcí nařízení Komise (EU) č. 680/2014, kterým se stanoví prováděcí technické normy, pokud jde o podávání zpráv institucí pro účely dohledu podle nařízení (EU) č. 575/2013 (Úř. věst. L 191, 28.6.2014, s. 1).</w:t>
      </w:r>
    </w:p>
  </w:footnote>
  <w:footnote w:id="3">
    <w:p w14:paraId="061DE31E" w14:textId="2680ACA0" w:rsidR="0077762D" w:rsidRDefault="00363BA4">
      <w:pPr>
        <w:pStyle w:val="FootnoteText"/>
      </w:pPr>
      <w:r>
        <w:rPr>
          <w:rStyle w:val="FootnoteReference"/>
        </w:rPr>
        <w:footnoteRef/>
      </w:r>
      <w:r>
        <w:tab/>
      </w:r>
      <w:r>
        <w:rPr>
          <w:color w:val="444444"/>
          <w:sz w:val="21"/>
          <w:szCs w:val="21"/>
        </w:rPr>
        <w:t>Nařízení Evropského parlamentu a Rady (EU) 2017/2402 ze dne 12. prosince 2017, kterým se stanoví obecný rámec pro sekuritizaci a vytváří se zvláštní rámec pro jednoduchou, transparentní a standardizovanou sekuritizaci a kterým se mění směrnice 2009/65/ES, 2009/138/ES, 2011/61/EU a nařízení (ES) č. 1060/2009 a (EU) č. 648/2012 (</w:t>
      </w:r>
      <w:r>
        <w:rPr>
          <w:rStyle w:val="Emphasis"/>
          <w:i w:val="0"/>
          <w:color w:val="444444"/>
          <w:sz w:val="21"/>
          <w:szCs w:val="21"/>
        </w:rPr>
        <w:t>Úř. věst. L 347, 28.12.2017, s. 35).</w:t>
      </w:r>
    </w:p>
  </w:footnote>
  <w:footnote w:id="4">
    <w:p w14:paraId="2FE98FB0" w14:textId="61F4F1DB" w:rsidR="0077762D" w:rsidRDefault="00363BA4">
      <w:pPr>
        <w:pStyle w:val="FootnoteText"/>
      </w:pPr>
      <w:r>
        <w:rPr>
          <w:rStyle w:val="FootnoteReference"/>
        </w:rPr>
        <w:footnoteRef/>
      </w:r>
      <w:r>
        <w:tab/>
        <w:t>Nařízení Komise (ES) č. 1126/2008 ze dne 3. listopadu 2008, kterým se přijímají některé mezinárodní účetní standardy v souladu s nařízením Evropského parlamentu a Rady (ES) č. 1606/2002 (Úř. věst. L 320, 29.11.2008, s. 1).</w:t>
      </w:r>
    </w:p>
  </w:footnote>
  <w:footnote w:id="5">
    <w:p w14:paraId="7F61ACCF" w14:textId="77777777" w:rsidR="0077762D" w:rsidRDefault="00D913C8">
      <w:pPr>
        <w:pStyle w:val="FootnoteText"/>
      </w:pPr>
      <w:r>
        <w:rPr>
          <w:rStyle w:val="FootnoteReference"/>
        </w:rPr>
        <w:footnoteRef/>
      </w:r>
      <w:r>
        <w:tab/>
        <w:t>Nařízení Komise (EU) 2017/1986 ze dne 31. října 2017, kterým se mění nařízení (ES) č. 1126/2008, kterým se přijímají některé mezinárodní účetní standardy v souladu s nařízením Evropského parlamentu a Rady (ES) č. 1606/2002, pokud jde o mezinárodní standard účetního výkaznictví 16 (Úř. věst. L 291, 9.11.2017, s. 1).</w:t>
      </w:r>
    </w:p>
  </w:footnote>
  <w:footnote w:id="6">
    <w:p w14:paraId="612F860C" w14:textId="77777777" w:rsidR="0077762D" w:rsidRDefault="00952426">
      <w:pPr>
        <w:pStyle w:val="FootnoteText"/>
      </w:pPr>
      <w:r>
        <w:rPr>
          <w:rStyle w:val="FootnoteReference"/>
        </w:rPr>
        <w:footnoteRef/>
      </w:r>
      <w:r>
        <w:tab/>
        <w:t>Nařízení Komise v přenesené pravomoci (EU) 2015/61 ze dne 10. října 2014, kterým se doplňuje nařízení Evropského parlamentu a Rady (EU) č. 575/2013, pokud jde o požadavek na úvěrové instituce týkající se krytí likvidity (Úř. věst. L 11, 17.1.2015, s. 1).</w:t>
      </w:r>
    </w:p>
  </w:footnote>
  <w:footnote w:id="7">
    <w:p w14:paraId="77365625" w14:textId="77777777" w:rsidR="0077762D" w:rsidRDefault="00952426">
      <w:pPr>
        <w:pStyle w:val="FootnoteText"/>
      </w:pPr>
      <w:r>
        <w:rPr>
          <w:rStyle w:val="FootnoteReference"/>
        </w:rPr>
        <w:footnoteRef/>
      </w:r>
      <w:r>
        <w:tab/>
        <w:t>Nařízení Komise v přenesené pravomoci (EU) 2018/1620 ze dne 13. července 2018, kterým se mění nařízení v přenesené pravomoci (EU) 2015/61, kterým se doplňuje nařízení Evropského parlamentu a Rady (EU) č. 575/2013, pokud jde o požadavek na úvěrové instituce týkající se krytí likvidity (Úř. věst. L 271, 30.10.2018, s. 10).</w:t>
      </w:r>
    </w:p>
  </w:footnote>
  <w:footnote w:id="8">
    <w:p w14:paraId="7A93B6D5" w14:textId="0FB38ACE" w:rsidR="0077762D" w:rsidRDefault="001B445C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 Rady (EU) č. 1093/2010 ze dne 24. listopadu 2010 o zřízení Evropského orgánu dohledu (Evropského orgánu pro bankovnictví), o změně rozhodnutí č. 716/2009/ES a o zrušení rozhodnutí Komise 2009/78/ES (Úř. věst. L 331, 15.12.2010, s. 12).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A259D" w14:textId="77777777" w:rsidR="00D9333C" w:rsidRPr="005319C3" w:rsidRDefault="00D9333C" w:rsidP="005319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E5F83" w14:textId="77777777" w:rsidR="00D9333C" w:rsidRPr="005319C3" w:rsidRDefault="00D9333C" w:rsidP="005319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1D6B7" w14:textId="77777777" w:rsidR="00D9333C" w:rsidRPr="005319C3" w:rsidRDefault="00D9333C" w:rsidP="005319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4CB058C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F0EC3E1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 w15:restartNumberingAfterBreak="0">
    <w:nsid w:val="FFFFFF7F"/>
    <w:multiLevelType w:val="singleLevel"/>
    <w:tmpl w:val="47143E7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FE48CA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767E1F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F704052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FA427F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9D9603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5"/>
  </w:num>
  <w:num w:numId="10">
    <w:abstractNumId w:val="22"/>
    <w:lvlOverride w:ilvl="0">
      <w:startOverride w:val="1"/>
    </w:lvlOverride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9"/>
  </w:num>
  <w:num w:numId="17">
    <w:abstractNumId w:val="20"/>
  </w:num>
  <w:num w:numId="18">
    <w:abstractNumId w:val="8"/>
  </w:num>
  <w:num w:numId="19">
    <w:abstractNumId w:val="14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sidérant" w:val="Considérant__1"/>
    <w:docVar w:name="DQCDateTime" w:val="2020-01-23 09:12:54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13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3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A505F994-EFC0-44C2-8852-141531045E0E"/>
    <w:docVar w:name="LW_COVERPAGE_TYPE" w:val="1"/>
    <w:docVar w:name="LW_CROSSREFERENCE" w:val="&lt;UNUSED&gt;"/>
    <w:docVar w:name="LW_DATE.ADOPT.CP" w:val="ze dne XXX,"/>
    <w:docVar w:name="LW_DATE.ADOPT.CP_DATEFORMAT" w:val="ze dne %DATE%,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V Bruselu dne "/>
    <w:docVar w:name="LW_EMISSION_SUFFIX" w:val=" "/>
    <w:docVar w:name="LW_ID_DOCMODEL" w:val="a08"/>
    <w:docVar w:name="LW_ID_DOCSIGNATURE" w:val="SJ-004"/>
    <w:docVar w:name="LW_ID_DOCSTRUCTURE" w:val="COM/AA"/>
    <w:docVar w:name="LW_ID_DOCTYPE" w:val="SJ-004"/>
    <w:docVar w:name="LW_INTERETEEE.CP" w:val="(Text s významem pro EHP)"/>
    <w:docVar w:name="LW_LANGUE" w:val="CS"/>
    <w:docVar w:name="LW_LANGUESFAISANTFOI.CP" w:val="&lt;UNUSED&gt;"/>
    <w:docVar w:name="LW_LEVEL_OF_SENSITIVITY" w:val="Standard treatment"/>
    <w:docVar w:name="LW_NOM.INST" w:val="EVROPSKÁ KOMISE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9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OUS.TITRE.OBJ.CP" w:val="&lt;UNUSED&gt;"/>
    <w:docVar w:name="LW_SUPERTITRE" w:val="&lt;UNUSED&gt;"/>
    <w:docVar w:name="LW_TITRE.OBJ.CP" w:val="kterým se m\u283?ní provád\u283?cí na\u345?ízení (EU) \u269?. 680/2014, kterým se stanoví provád\u283?cí technické normy, pokud jde o podávání zpráv institucí pro ú\u269?ely dohledu podle na\u345?ízení Evropského parlamentu a Rady (EU) \u269?. 575/2013"/>
    <w:docVar w:name="LW_TITRE.OBJ.CP_PREVIOUS" w:val="&lt;UNUSED&gt;"/>
    <w:docVar w:name="LW_TYPE.DOC.CP" w:val="PROVÁD\u282?CÍ NA\u344?ÍZENÍ KOMISE (EU) \u8230?/..."/>
  </w:docVars>
  <w:rsids>
    <w:rsidRoot w:val="001B445C"/>
    <w:rsid w:val="00033C74"/>
    <w:rsid w:val="00043094"/>
    <w:rsid w:val="0005623D"/>
    <w:rsid w:val="000669A6"/>
    <w:rsid w:val="00080669"/>
    <w:rsid w:val="000827FE"/>
    <w:rsid w:val="000A4D5B"/>
    <w:rsid w:val="000A5E1E"/>
    <w:rsid w:val="000B410C"/>
    <w:rsid w:val="000B73C7"/>
    <w:rsid w:val="000C750A"/>
    <w:rsid w:val="000D34D3"/>
    <w:rsid w:val="000E135F"/>
    <w:rsid w:val="00100F75"/>
    <w:rsid w:val="00103E88"/>
    <w:rsid w:val="00121213"/>
    <w:rsid w:val="001440F6"/>
    <w:rsid w:val="00157C31"/>
    <w:rsid w:val="0016544F"/>
    <w:rsid w:val="00187535"/>
    <w:rsid w:val="00190013"/>
    <w:rsid w:val="00195CE1"/>
    <w:rsid w:val="001B41CA"/>
    <w:rsid w:val="001B42E7"/>
    <w:rsid w:val="001B445C"/>
    <w:rsid w:val="001C5A09"/>
    <w:rsid w:val="001D1851"/>
    <w:rsid w:val="001D1EAD"/>
    <w:rsid w:val="001D2590"/>
    <w:rsid w:val="00210995"/>
    <w:rsid w:val="00210D88"/>
    <w:rsid w:val="00214D98"/>
    <w:rsid w:val="00234A29"/>
    <w:rsid w:val="002452B8"/>
    <w:rsid w:val="00261239"/>
    <w:rsid w:val="00294A2C"/>
    <w:rsid w:val="002A096A"/>
    <w:rsid w:val="002A3D06"/>
    <w:rsid w:val="002B7D73"/>
    <w:rsid w:val="002C0116"/>
    <w:rsid w:val="002D1D89"/>
    <w:rsid w:val="002E61FA"/>
    <w:rsid w:val="003228A8"/>
    <w:rsid w:val="00323D7B"/>
    <w:rsid w:val="00331D51"/>
    <w:rsid w:val="00346B8D"/>
    <w:rsid w:val="003516C5"/>
    <w:rsid w:val="00354C41"/>
    <w:rsid w:val="00363BA4"/>
    <w:rsid w:val="003A7F9A"/>
    <w:rsid w:val="003C12AA"/>
    <w:rsid w:val="003C3A5D"/>
    <w:rsid w:val="003D4E76"/>
    <w:rsid w:val="003E0C68"/>
    <w:rsid w:val="003E4578"/>
    <w:rsid w:val="003F04FB"/>
    <w:rsid w:val="003F5F3F"/>
    <w:rsid w:val="00400058"/>
    <w:rsid w:val="00422F73"/>
    <w:rsid w:val="0044493F"/>
    <w:rsid w:val="00452D9B"/>
    <w:rsid w:val="00453AF5"/>
    <w:rsid w:val="00460A10"/>
    <w:rsid w:val="004641C1"/>
    <w:rsid w:val="004810DA"/>
    <w:rsid w:val="0048590D"/>
    <w:rsid w:val="0048748F"/>
    <w:rsid w:val="00492479"/>
    <w:rsid w:val="00493D25"/>
    <w:rsid w:val="0049676D"/>
    <w:rsid w:val="00497A2C"/>
    <w:rsid w:val="004A3CA0"/>
    <w:rsid w:val="004A3CB1"/>
    <w:rsid w:val="004C0193"/>
    <w:rsid w:val="004D5878"/>
    <w:rsid w:val="004E2457"/>
    <w:rsid w:val="004E4C15"/>
    <w:rsid w:val="004F23A9"/>
    <w:rsid w:val="00502C75"/>
    <w:rsid w:val="00506FC2"/>
    <w:rsid w:val="005319C3"/>
    <w:rsid w:val="00537CE5"/>
    <w:rsid w:val="005469C5"/>
    <w:rsid w:val="00553296"/>
    <w:rsid w:val="00590207"/>
    <w:rsid w:val="0059701E"/>
    <w:rsid w:val="005A01CC"/>
    <w:rsid w:val="005A4EAC"/>
    <w:rsid w:val="005B3C3F"/>
    <w:rsid w:val="005C370C"/>
    <w:rsid w:val="005F7896"/>
    <w:rsid w:val="00647B5C"/>
    <w:rsid w:val="0066767D"/>
    <w:rsid w:val="00686B50"/>
    <w:rsid w:val="006967B3"/>
    <w:rsid w:val="006A1323"/>
    <w:rsid w:val="006A640B"/>
    <w:rsid w:val="006B4E20"/>
    <w:rsid w:val="006E63CD"/>
    <w:rsid w:val="006E678D"/>
    <w:rsid w:val="006F34B3"/>
    <w:rsid w:val="00704E75"/>
    <w:rsid w:val="007067B7"/>
    <w:rsid w:val="0071620D"/>
    <w:rsid w:val="007369E1"/>
    <w:rsid w:val="0075391A"/>
    <w:rsid w:val="00753980"/>
    <w:rsid w:val="007545A4"/>
    <w:rsid w:val="0075661F"/>
    <w:rsid w:val="00770919"/>
    <w:rsid w:val="00775BB6"/>
    <w:rsid w:val="00776BBC"/>
    <w:rsid w:val="0077762D"/>
    <w:rsid w:val="00785FB6"/>
    <w:rsid w:val="00790003"/>
    <w:rsid w:val="007B790A"/>
    <w:rsid w:val="007D61B3"/>
    <w:rsid w:val="007D7890"/>
    <w:rsid w:val="00814E96"/>
    <w:rsid w:val="0084057B"/>
    <w:rsid w:val="00844802"/>
    <w:rsid w:val="00854910"/>
    <w:rsid w:val="00855514"/>
    <w:rsid w:val="00867FE3"/>
    <w:rsid w:val="00897E21"/>
    <w:rsid w:val="008A0AA6"/>
    <w:rsid w:val="008A2478"/>
    <w:rsid w:val="008C22A3"/>
    <w:rsid w:val="008C48FA"/>
    <w:rsid w:val="008D09B7"/>
    <w:rsid w:val="008E268A"/>
    <w:rsid w:val="008E50CD"/>
    <w:rsid w:val="008F4EA5"/>
    <w:rsid w:val="00921359"/>
    <w:rsid w:val="0092431C"/>
    <w:rsid w:val="00940F1C"/>
    <w:rsid w:val="00945DFA"/>
    <w:rsid w:val="00946C0A"/>
    <w:rsid w:val="00952426"/>
    <w:rsid w:val="00955D63"/>
    <w:rsid w:val="009666AA"/>
    <w:rsid w:val="00983B03"/>
    <w:rsid w:val="00986B22"/>
    <w:rsid w:val="0099441B"/>
    <w:rsid w:val="009A64F9"/>
    <w:rsid w:val="009C0180"/>
    <w:rsid w:val="009C090E"/>
    <w:rsid w:val="009D448E"/>
    <w:rsid w:val="00A01488"/>
    <w:rsid w:val="00A24919"/>
    <w:rsid w:val="00A278FD"/>
    <w:rsid w:val="00A62DAE"/>
    <w:rsid w:val="00A66F54"/>
    <w:rsid w:val="00A826D6"/>
    <w:rsid w:val="00A8593B"/>
    <w:rsid w:val="00A9740D"/>
    <w:rsid w:val="00A97566"/>
    <w:rsid w:val="00AA63F1"/>
    <w:rsid w:val="00AB21FF"/>
    <w:rsid w:val="00AB5724"/>
    <w:rsid w:val="00AE05F8"/>
    <w:rsid w:val="00AF3BF4"/>
    <w:rsid w:val="00B14FCE"/>
    <w:rsid w:val="00B15EFC"/>
    <w:rsid w:val="00B26FCE"/>
    <w:rsid w:val="00B31B60"/>
    <w:rsid w:val="00B33376"/>
    <w:rsid w:val="00B467F6"/>
    <w:rsid w:val="00B64C30"/>
    <w:rsid w:val="00B71BC4"/>
    <w:rsid w:val="00B738F6"/>
    <w:rsid w:val="00B971E9"/>
    <w:rsid w:val="00BB5DB5"/>
    <w:rsid w:val="00BC373E"/>
    <w:rsid w:val="00BC6787"/>
    <w:rsid w:val="00BD2641"/>
    <w:rsid w:val="00BF3434"/>
    <w:rsid w:val="00C039DD"/>
    <w:rsid w:val="00C52F81"/>
    <w:rsid w:val="00C63439"/>
    <w:rsid w:val="00C6522F"/>
    <w:rsid w:val="00C71E1B"/>
    <w:rsid w:val="00C83DEA"/>
    <w:rsid w:val="00CB0AF7"/>
    <w:rsid w:val="00CB1A3C"/>
    <w:rsid w:val="00CC317D"/>
    <w:rsid w:val="00CC6F30"/>
    <w:rsid w:val="00CC7AB4"/>
    <w:rsid w:val="00CE2DAD"/>
    <w:rsid w:val="00CE7CAD"/>
    <w:rsid w:val="00D13150"/>
    <w:rsid w:val="00D2769A"/>
    <w:rsid w:val="00D314A9"/>
    <w:rsid w:val="00D34C13"/>
    <w:rsid w:val="00D50BB7"/>
    <w:rsid w:val="00D55B25"/>
    <w:rsid w:val="00D63710"/>
    <w:rsid w:val="00D639C9"/>
    <w:rsid w:val="00D74E3F"/>
    <w:rsid w:val="00D845A9"/>
    <w:rsid w:val="00D913C8"/>
    <w:rsid w:val="00D9333C"/>
    <w:rsid w:val="00D964B3"/>
    <w:rsid w:val="00DC033D"/>
    <w:rsid w:val="00DC3927"/>
    <w:rsid w:val="00DF4957"/>
    <w:rsid w:val="00E013AC"/>
    <w:rsid w:val="00E205D3"/>
    <w:rsid w:val="00E45AE0"/>
    <w:rsid w:val="00E52742"/>
    <w:rsid w:val="00E5700E"/>
    <w:rsid w:val="00E75423"/>
    <w:rsid w:val="00E871DE"/>
    <w:rsid w:val="00E91FF6"/>
    <w:rsid w:val="00E959F9"/>
    <w:rsid w:val="00E96626"/>
    <w:rsid w:val="00EA64E6"/>
    <w:rsid w:val="00EE58F1"/>
    <w:rsid w:val="00EF0828"/>
    <w:rsid w:val="00F32FFE"/>
    <w:rsid w:val="00F45D68"/>
    <w:rsid w:val="00F62F54"/>
    <w:rsid w:val="00F65DE7"/>
    <w:rsid w:val="00F70C72"/>
    <w:rsid w:val="00F84FD0"/>
    <w:rsid w:val="00F95996"/>
    <w:rsid w:val="00FB65A6"/>
    <w:rsid w:val="00FC4C41"/>
    <w:rsid w:val="00FC61EB"/>
    <w:rsid w:val="00FE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72D15A25"/>
  <w15:docId w15:val="{26C75A3A-333D-4F45-9580-78994C66C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cs-CZ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1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1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1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17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4D5878"/>
    <w:rPr>
      <w:sz w:val="16"/>
    </w:rPr>
  </w:style>
  <w:style w:type="paragraph" w:styleId="CommentText">
    <w:name w:val="annotation text"/>
    <w:basedOn w:val="Normal"/>
    <w:rsid w:val="004D5878"/>
    <w:pPr>
      <w:spacing w:before="0" w:after="240"/>
      <w:jc w:val="left"/>
    </w:pPr>
    <w:rPr>
      <w:rFonts w:ascii="Arial" w:hAnsi="Arial"/>
      <w:sz w:val="20"/>
      <w:szCs w:val="20"/>
    </w:rPr>
  </w:style>
  <w:style w:type="paragraph" w:styleId="ListBullet">
    <w:name w:val="List Bullet"/>
    <w:basedOn w:val="Normal"/>
    <w:uiPriority w:val="99"/>
    <w:qFormat/>
    <w:rsid w:val="000D34D3"/>
    <w:pPr>
      <w:numPr>
        <w:numId w:val="1"/>
      </w:numPr>
    </w:pPr>
  </w:style>
  <w:style w:type="paragraph" w:styleId="ListBullet2">
    <w:name w:val="List Bullet 2"/>
    <w:basedOn w:val="Normal"/>
    <w:rsid w:val="000D34D3"/>
    <w:pPr>
      <w:numPr>
        <w:numId w:val="2"/>
      </w:numPr>
    </w:pPr>
  </w:style>
  <w:style w:type="paragraph" w:styleId="ListBullet3">
    <w:name w:val="List Bullet 3"/>
    <w:basedOn w:val="Normal"/>
    <w:rsid w:val="000D34D3"/>
    <w:pPr>
      <w:numPr>
        <w:numId w:val="3"/>
      </w:numPr>
    </w:pPr>
  </w:style>
  <w:style w:type="paragraph" w:styleId="ListBullet4">
    <w:name w:val="List Bullet 4"/>
    <w:basedOn w:val="Normal"/>
    <w:rsid w:val="000D34D3"/>
    <w:pPr>
      <w:numPr>
        <w:numId w:val="4"/>
      </w:numPr>
    </w:pPr>
  </w:style>
  <w:style w:type="paragraph" w:styleId="ListNumber3">
    <w:name w:val="List Number 3"/>
    <w:basedOn w:val="Normal"/>
    <w:rsid w:val="000D34D3"/>
    <w:pPr>
      <w:numPr>
        <w:numId w:val="5"/>
      </w:numPr>
    </w:pPr>
  </w:style>
  <w:style w:type="paragraph" w:styleId="CommentSubject">
    <w:name w:val="annotation subject"/>
    <w:basedOn w:val="CommentText"/>
    <w:next w:val="CommentText"/>
    <w:rsid w:val="004641C1"/>
    <w:pPr>
      <w:spacing w:before="120" w:after="120"/>
      <w:jc w:val="both"/>
    </w:pPr>
    <w:rPr>
      <w:rFonts w:ascii="Times New Roman" w:hAnsi="Times New Roman"/>
      <w:b/>
      <w:bCs/>
    </w:rPr>
  </w:style>
  <w:style w:type="paragraph" w:styleId="Caption">
    <w:name w:val="caption"/>
    <w:basedOn w:val="Normal"/>
    <w:next w:val="Normal"/>
    <w:qFormat/>
    <w:rsid w:val="006E63CD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6E63CD"/>
  </w:style>
  <w:style w:type="paragraph" w:styleId="ListNumber">
    <w:name w:val="List Number"/>
    <w:basedOn w:val="Normal"/>
    <w:rsid w:val="006E63CD"/>
    <w:pPr>
      <w:numPr>
        <w:numId w:val="6"/>
      </w:numPr>
    </w:pPr>
  </w:style>
  <w:style w:type="paragraph" w:styleId="ListNumber2">
    <w:name w:val="List Number 2"/>
    <w:basedOn w:val="Normal"/>
    <w:rsid w:val="006E63CD"/>
    <w:pPr>
      <w:numPr>
        <w:numId w:val="7"/>
      </w:numPr>
    </w:pPr>
  </w:style>
  <w:style w:type="paragraph" w:styleId="ListNumber4">
    <w:name w:val="List Number 4"/>
    <w:basedOn w:val="Normal"/>
    <w:rsid w:val="006E63CD"/>
    <w:pPr>
      <w:numPr>
        <w:numId w:val="8"/>
      </w:numPr>
    </w:pPr>
  </w:style>
  <w:style w:type="character" w:styleId="Hyperlink">
    <w:name w:val="Hyperlink"/>
    <w:basedOn w:val="DefaultParagraphFont"/>
    <w:rsid w:val="006E63CD"/>
    <w:rPr>
      <w:color w:val="0000FF"/>
      <w:u w:val="single"/>
    </w:rPr>
  </w:style>
  <w:style w:type="paragraph" w:customStyle="1" w:styleId="numberedparagraph">
    <w:name w:val="numbered paragraph"/>
    <w:basedOn w:val="Normal"/>
    <w:qFormat/>
    <w:rsid w:val="001B445C"/>
    <w:pPr>
      <w:numPr>
        <w:numId w:val="9"/>
      </w:numPr>
      <w:spacing w:before="240" w:line="276" w:lineRule="auto"/>
    </w:pPr>
    <w:rPr>
      <w:rFonts w:asciiTheme="minorHAnsi" w:eastAsiaTheme="minorEastAsia" w:hAnsiTheme="minorHAnsi" w:cstheme="minorBidi"/>
      <w:sz w:val="22"/>
    </w:rPr>
  </w:style>
  <w:style w:type="paragraph" w:styleId="ListParagraph">
    <w:name w:val="List Paragraph"/>
    <w:basedOn w:val="Normal"/>
    <w:link w:val="ListParagraphChar"/>
    <w:uiPriority w:val="34"/>
    <w:qFormat/>
    <w:rsid w:val="006A640B"/>
    <w:pPr>
      <w:spacing w:before="0" w:after="0"/>
      <w:ind w:left="720"/>
      <w:jc w:val="left"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6A640B"/>
    <w:rPr>
      <w:rFonts w:ascii="Calibri" w:eastAsia="Calibri" w:hAnsi="Calibri"/>
      <w:sz w:val="22"/>
      <w:szCs w:val="22"/>
      <w:lang w:eastAsia="en-US"/>
    </w:r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styleId="BalloonText">
    <w:name w:val="Balloon Text"/>
    <w:basedOn w:val="Normal"/>
    <w:link w:val="BalloonTextChar"/>
    <w:uiPriority w:val="99"/>
    <w:semiHidden/>
    <w:unhideWhenUsed/>
    <w:rsid w:val="003415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5BD"/>
    <w:rPr>
      <w:rFonts w:ascii="Tahoma" w:hAnsi="Tahoma" w:cs="Tahoma"/>
      <w:sz w:val="16"/>
      <w:szCs w:val="16"/>
      <w:lang w:val="cs-CZ"/>
    </w:rPr>
  </w:style>
  <w:style w:type="paragraph" w:styleId="NormalWeb">
    <w:name w:val="Normal (Web)"/>
    <w:basedOn w:val="Normal"/>
    <w:uiPriority w:val="99"/>
    <w:unhideWhenUsed/>
    <w:rsid w:val="006A132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6A1323"/>
    <w:rPr>
      <w:i/>
      <w:iCs/>
    </w:rPr>
  </w:style>
  <w:style w:type="paragraph" w:styleId="Revision">
    <w:name w:val="Revision"/>
    <w:hidden/>
    <w:uiPriority w:val="99"/>
    <w:semiHidden/>
    <w:rsid w:val="003F04FB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11"/>
      </w:numPr>
    </w:pPr>
  </w:style>
  <w:style w:type="paragraph" w:customStyle="1" w:styleId="Tiret1">
    <w:name w:val="Tiret 1"/>
    <w:basedOn w:val="Point1"/>
    <w:rsid w:val="009B7138"/>
    <w:pPr>
      <w:numPr>
        <w:numId w:val="12"/>
      </w:numPr>
    </w:pPr>
  </w:style>
  <w:style w:type="paragraph" w:customStyle="1" w:styleId="Tiret2">
    <w:name w:val="Tiret 2"/>
    <w:basedOn w:val="Point2"/>
    <w:rsid w:val="009B7138"/>
    <w:pPr>
      <w:numPr>
        <w:numId w:val="13"/>
      </w:numPr>
    </w:pPr>
  </w:style>
  <w:style w:type="paragraph" w:customStyle="1" w:styleId="Tiret3">
    <w:name w:val="Tiret 3"/>
    <w:basedOn w:val="Point3"/>
    <w:rsid w:val="009B7138"/>
    <w:pPr>
      <w:numPr>
        <w:numId w:val="14"/>
      </w:numPr>
    </w:pPr>
  </w:style>
  <w:style w:type="paragraph" w:customStyle="1" w:styleId="Tiret4">
    <w:name w:val="Tiret 4"/>
    <w:basedOn w:val="Point4"/>
    <w:rsid w:val="009B7138"/>
    <w:pPr>
      <w:numPr>
        <w:numId w:val="15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16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16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16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16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18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18"/>
      </w:numPr>
    </w:pPr>
  </w:style>
  <w:style w:type="paragraph" w:customStyle="1" w:styleId="Bullet0">
    <w:name w:val="Bullet 0"/>
    <w:basedOn w:val="Normal"/>
    <w:rsid w:val="009B7138"/>
    <w:pPr>
      <w:numPr>
        <w:numId w:val="19"/>
      </w:numPr>
    </w:pPr>
  </w:style>
  <w:style w:type="paragraph" w:customStyle="1" w:styleId="Bullet1">
    <w:name w:val="Bullet 1"/>
    <w:basedOn w:val="Normal"/>
    <w:rsid w:val="009B7138"/>
    <w:pPr>
      <w:numPr>
        <w:numId w:val="20"/>
      </w:numPr>
    </w:pPr>
  </w:style>
  <w:style w:type="paragraph" w:customStyle="1" w:styleId="Bullet2">
    <w:name w:val="Bullet 2"/>
    <w:basedOn w:val="Normal"/>
    <w:rsid w:val="009B7138"/>
    <w:pPr>
      <w:numPr>
        <w:numId w:val="21"/>
      </w:numPr>
    </w:pPr>
  </w:style>
  <w:style w:type="paragraph" w:customStyle="1" w:styleId="Bullet3">
    <w:name w:val="Bullet 3"/>
    <w:basedOn w:val="Normal"/>
    <w:rsid w:val="009B7138"/>
    <w:pPr>
      <w:numPr>
        <w:numId w:val="22"/>
      </w:numPr>
    </w:pPr>
  </w:style>
  <w:style w:type="paragraph" w:customStyle="1" w:styleId="Bullet4">
    <w:name w:val="Bullet 4"/>
    <w:basedOn w:val="Normal"/>
    <w:rsid w:val="009B7138"/>
    <w:pPr>
      <w:numPr>
        <w:numId w:val="23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57BCF-D916-46D9-845B-983C94F3D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0</TotalTime>
  <Pages>3</Pages>
  <Words>1481</Words>
  <Characters>8121</Characters>
  <Application>Microsoft Office Word</Application>
  <DocSecurity>0</DocSecurity>
  <Lines>158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EBA Staff</dc:creator>
  <cp:lastModifiedBy>SAMSINAK Ludmila (DGT)</cp:lastModifiedBy>
  <cp:revision>3</cp:revision>
  <cp:lastPrinted>2019-11-13T10:58:00Z</cp:lastPrinted>
  <dcterms:created xsi:type="dcterms:W3CDTF">2020-01-23T08:12:00Z</dcterms:created>
  <dcterms:modified xsi:type="dcterms:W3CDTF">2020-01-23T08:12:00Z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5.8.22.0</vt:lpwstr>
  </property>
  <property fmtid="{D5CDD505-2E9C-101B-9397-08002B2CF9AE}" pid="4" name="Created using">
    <vt:lpwstr>LW 5.8, Build 20110311</vt:lpwstr>
  </property>
  <property fmtid="{D5CDD505-2E9C-101B-9397-08002B2CF9AE}" pid="5" name="Last edited using">
    <vt:lpwstr>LW 7.0, Build 20190717</vt:lpwstr>
  </property>
  <property fmtid="{D5CDD505-2E9C-101B-9397-08002B2CF9AE}" pid="6" name="_NewReviewCycle">
    <vt:lpwstr/>
  </property>
  <property fmtid="{D5CDD505-2E9C-101B-9397-08002B2CF9AE}" pid="7" name="LWTemplateID">
    <vt:lpwstr>SJ-004</vt:lpwstr>
  </property>
  <property fmtid="{D5CDD505-2E9C-101B-9397-08002B2CF9AE}" pid="8" name="Level of sensitivity">
    <vt:lpwstr>Standard treatment</vt:lpwstr>
  </property>
  <property fmtid="{D5CDD505-2E9C-101B-9397-08002B2CF9AE}" pid="9" name="Part">
    <vt:lpwstr>1</vt:lpwstr>
  </property>
  <property fmtid="{D5CDD505-2E9C-101B-9397-08002B2CF9AE}" pid="10" name="Total parts">
    <vt:lpwstr>1</vt:lpwstr>
  </property>
  <property fmtid="{D5CDD505-2E9C-101B-9397-08002B2CF9AE}" pid="11" name="DQCStatus">
    <vt:lpwstr>Green (DQC version 03)</vt:lpwstr>
  </property>
</Properties>
</file>