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B0C" w:rsidRPr="00342D7E" w:rsidRDefault="00A834F1">
      <w:pPr>
        <w:jc w:val="center"/>
        <w:rPr>
          <w:rFonts w:ascii="Times New Roman" w:hAnsi="Times New Roman"/>
          <w:b/>
          <w:sz w:val="24"/>
        </w:rPr>
      </w:pPr>
      <w:r w:rsidRPr="00342D7E">
        <w:rPr>
          <w:rFonts w:ascii="Times New Roman" w:hAnsi="Times New Roman"/>
          <w:b/>
        </w:rPr>
        <w:t>PL</w:t>
      </w:r>
      <w:r w:rsidRPr="00342D7E">
        <w:rPr>
          <w:rFonts w:ascii="Times New Roman" w:hAnsi="Times New Roman"/>
          <w:b/>
        </w:rPr>
        <w:br/>
        <w:t>ZAŁĄCZNIK V</w:t>
      </w:r>
    </w:p>
    <w:p w:rsidR="00D35B0C" w:rsidRPr="00342D7E" w:rsidRDefault="00D35B0C">
      <w:pPr>
        <w:jc w:val="center"/>
        <w:rPr>
          <w:rFonts w:ascii="Times New Roman" w:hAnsi="Times New Roman"/>
          <w:b/>
          <w:sz w:val="24"/>
        </w:rPr>
      </w:pPr>
    </w:p>
    <w:p w:rsidR="00D35B0C" w:rsidRPr="00342D7E" w:rsidRDefault="00973325">
      <w:pPr>
        <w:jc w:val="center"/>
        <w:rPr>
          <w:rFonts w:ascii="Times New Roman" w:hAnsi="Times New Roman"/>
          <w:b/>
          <w:sz w:val="24"/>
          <w:u w:val="single"/>
        </w:rPr>
      </w:pPr>
      <w:r w:rsidRPr="00342D7E">
        <w:rPr>
          <w:rFonts w:ascii="Times New Roman" w:hAnsi="Times New Roman"/>
          <w:b/>
          <w:u w:val="single"/>
        </w:rPr>
        <w:t>„ZAŁĄCZNIK V</w:t>
      </w:r>
    </w:p>
    <w:p w:rsidR="00D35B0C" w:rsidRPr="00342D7E" w:rsidRDefault="00A834F1">
      <w:pPr>
        <w:jc w:val="center"/>
        <w:rPr>
          <w:rFonts w:ascii="Times New Roman" w:hAnsi="Times New Roman"/>
          <w:b/>
          <w:sz w:val="24"/>
        </w:rPr>
      </w:pPr>
      <w:r w:rsidRPr="00342D7E">
        <w:rPr>
          <w:rFonts w:ascii="Times New Roman" w:hAnsi="Times New Roman"/>
          <w:b/>
        </w:rPr>
        <w:t>SPRAWOZDAWCZOŚĆ W ZAKRESIE INFORMACJI FINANSOWYCH</w:t>
      </w:r>
    </w:p>
    <w:p w:rsidR="00D35B0C" w:rsidRPr="00342D7E" w:rsidRDefault="00A834F1">
      <w:pPr>
        <w:spacing w:after="0"/>
        <w:rPr>
          <w:rFonts w:ascii="Times New Roman" w:hAnsi="Times New Roman"/>
          <w:sz w:val="24"/>
          <w:szCs w:val="24"/>
        </w:rPr>
      </w:pPr>
      <w:r w:rsidRPr="00342D7E">
        <w:rPr>
          <w:rFonts w:ascii="Times New Roman" w:hAnsi="Times New Roman"/>
        </w:rPr>
        <w:t>Spis treści</w:t>
      </w:r>
    </w:p>
    <w:p w:rsidR="00490B4E" w:rsidRDefault="007C242D">
      <w:pPr>
        <w:pStyle w:val="TOC1"/>
        <w:tabs>
          <w:tab w:val="right" w:leader="dot" w:pos="8296"/>
        </w:tabs>
        <w:rPr>
          <w:noProof/>
        </w:rPr>
      </w:pPr>
      <w:r w:rsidRPr="00342D7E">
        <w:t xml:space="preserve">Część 1: </w:t>
      </w:r>
      <w:r w:rsidR="00A834F1" w:rsidRPr="00342D7E">
        <w:fldChar w:fldCharType="begin"/>
      </w:r>
      <w:r w:rsidRPr="00342D7E">
        <w:instrText xml:space="preserve"> TOC \o "1-3" \u </w:instrText>
      </w:r>
      <w:r w:rsidR="00490B4E">
        <w:instrText>\w</w:instrText>
      </w:r>
      <w:r w:rsidR="00A834F1" w:rsidRPr="00342D7E">
        <w:fldChar w:fldCharType="separate"/>
      </w:r>
    </w:p>
    <w:p w:rsidR="00490B4E" w:rsidRDefault="00490B4E">
      <w:pPr>
        <w:pStyle w:val="TOC1"/>
        <w:tabs>
          <w:tab w:val="right" w:leader="dot" w:pos="8296"/>
        </w:tabs>
        <w:rPr>
          <w:rFonts w:asciiTheme="minorHAnsi" w:eastAsiaTheme="minorEastAsia" w:hAnsiTheme="minorHAnsi" w:cstheme="minorBidi"/>
          <w:b w:val="0"/>
          <w:noProof/>
          <w:sz w:val="22"/>
          <w:szCs w:val="22"/>
          <w:lang w:val="en-US" w:eastAsia="en-US"/>
        </w:rPr>
      </w:pPr>
      <w:r>
        <w:rPr>
          <w:noProof/>
        </w:rPr>
        <w:t>Instrukcje ogólne</w:t>
      </w:r>
      <w:r>
        <w:rPr>
          <w:noProof/>
        </w:rPr>
        <w:tab/>
      </w:r>
      <w:r>
        <w:rPr>
          <w:noProof/>
        </w:rPr>
        <w:fldChar w:fldCharType="begin"/>
      </w:r>
      <w:r>
        <w:rPr>
          <w:noProof/>
        </w:rPr>
        <w:instrText xml:space="preserve"> PAGEREF _Toc31019102 \h </w:instrText>
      </w:r>
      <w:r>
        <w:rPr>
          <w:noProof/>
        </w:rPr>
      </w:r>
      <w:r>
        <w:rPr>
          <w:noProof/>
        </w:rPr>
        <w:fldChar w:fldCharType="separate"/>
      </w:r>
      <w:r>
        <w:rPr>
          <w:noProof/>
        </w:rPr>
        <w:t>4</w:t>
      </w:r>
      <w:r>
        <w:rPr>
          <w:noProof/>
        </w:rPr>
        <w:fldChar w:fldCharType="end"/>
      </w:r>
    </w:p>
    <w:p w:rsidR="00490B4E" w:rsidRDefault="00490B4E">
      <w:pPr>
        <w:pStyle w:val="TOC2"/>
        <w:rPr>
          <w:rFonts w:asciiTheme="minorHAnsi" w:eastAsiaTheme="minorEastAsia" w:hAnsiTheme="minorHAnsi" w:cstheme="minorBidi"/>
          <w:sz w:val="22"/>
          <w:szCs w:val="22"/>
          <w:lang w:val="en-US" w:eastAsia="en-US"/>
        </w:rPr>
      </w:pPr>
      <w:r>
        <w:t>1.</w:t>
      </w:r>
      <w:r>
        <w:tab/>
        <w:t>Odniesienia</w:t>
      </w:r>
      <w:r>
        <w:tab/>
      </w:r>
      <w:r>
        <w:fldChar w:fldCharType="begin"/>
      </w:r>
      <w:r>
        <w:instrText xml:space="preserve"> PAGEREF _Toc31019103 \h </w:instrText>
      </w:r>
      <w:r>
        <w:fldChar w:fldCharType="separate"/>
      </w:r>
      <w:r>
        <w:t>4</w:t>
      </w:r>
      <w:r>
        <w:fldChar w:fldCharType="end"/>
      </w:r>
    </w:p>
    <w:p w:rsidR="00490B4E" w:rsidRDefault="00490B4E">
      <w:pPr>
        <w:pStyle w:val="TOC2"/>
        <w:rPr>
          <w:rFonts w:asciiTheme="minorHAnsi" w:eastAsiaTheme="minorEastAsia" w:hAnsiTheme="minorHAnsi" w:cstheme="minorBidi"/>
          <w:sz w:val="22"/>
          <w:szCs w:val="22"/>
          <w:lang w:val="en-US" w:eastAsia="en-US"/>
        </w:rPr>
      </w:pPr>
      <w:r>
        <w:t>2.</w:t>
      </w:r>
      <w:r>
        <w:tab/>
        <w:t>Konwencje</w:t>
      </w:r>
      <w:r>
        <w:tab/>
      </w:r>
      <w:r>
        <w:fldChar w:fldCharType="begin"/>
      </w:r>
      <w:r>
        <w:instrText xml:space="preserve"> PAGEREF _Toc31019104 \h </w:instrText>
      </w:r>
      <w:r>
        <w:fldChar w:fldCharType="separate"/>
      </w:r>
      <w:r>
        <w:t>6</w:t>
      </w:r>
      <w:r>
        <w:fldChar w:fldCharType="end"/>
      </w:r>
    </w:p>
    <w:p w:rsidR="00490B4E" w:rsidRDefault="00490B4E">
      <w:pPr>
        <w:pStyle w:val="TOC2"/>
        <w:rPr>
          <w:rFonts w:asciiTheme="minorHAnsi" w:eastAsiaTheme="minorEastAsia" w:hAnsiTheme="minorHAnsi" w:cstheme="minorBidi"/>
          <w:sz w:val="22"/>
          <w:szCs w:val="22"/>
          <w:lang w:val="en-US" w:eastAsia="en-US"/>
        </w:rPr>
      </w:pPr>
      <w:r>
        <w:t>3.</w:t>
      </w:r>
      <w:r>
        <w:tab/>
        <w:t>Konsolidacja</w:t>
      </w:r>
      <w:r>
        <w:tab/>
      </w:r>
      <w:r>
        <w:fldChar w:fldCharType="begin"/>
      </w:r>
      <w:r>
        <w:instrText xml:space="preserve"> PAGEREF _Toc31019105 \h </w:instrText>
      </w:r>
      <w:r>
        <w:fldChar w:fldCharType="separate"/>
      </w:r>
      <w:r>
        <w:t>8</w:t>
      </w:r>
      <w:r>
        <w:fldChar w:fldCharType="end"/>
      </w:r>
    </w:p>
    <w:p w:rsidR="00490B4E" w:rsidRDefault="00490B4E">
      <w:pPr>
        <w:pStyle w:val="TOC2"/>
        <w:rPr>
          <w:rFonts w:asciiTheme="minorHAnsi" w:eastAsiaTheme="minorEastAsia" w:hAnsiTheme="minorHAnsi" w:cstheme="minorBidi"/>
          <w:sz w:val="22"/>
          <w:szCs w:val="22"/>
          <w:lang w:val="en-US" w:eastAsia="en-US"/>
        </w:rPr>
      </w:pPr>
      <w:r>
        <w:t>4.</w:t>
      </w:r>
      <w:r>
        <w:tab/>
        <w:t>Portfele księgowe instrumentów finansowych</w:t>
      </w:r>
      <w:r>
        <w:tab/>
      </w:r>
      <w:r>
        <w:fldChar w:fldCharType="begin"/>
      </w:r>
      <w:r>
        <w:instrText xml:space="preserve"> PAGEREF _Toc31019106 \h </w:instrText>
      </w:r>
      <w:r>
        <w:fldChar w:fldCharType="separate"/>
      </w:r>
      <w:r>
        <w:t>8</w:t>
      </w:r>
      <w:r>
        <w:fldChar w:fldCharType="end"/>
      </w:r>
    </w:p>
    <w:p w:rsidR="00490B4E" w:rsidRDefault="00490B4E">
      <w:pPr>
        <w:pStyle w:val="TOC2"/>
        <w:rPr>
          <w:rFonts w:asciiTheme="minorHAnsi" w:eastAsiaTheme="minorEastAsia" w:hAnsiTheme="minorHAnsi" w:cstheme="minorBidi"/>
          <w:sz w:val="22"/>
          <w:szCs w:val="22"/>
          <w:lang w:val="en-US" w:eastAsia="en-US"/>
        </w:rPr>
      </w:pPr>
      <w:r>
        <w:t>4.1.</w:t>
      </w:r>
      <w:r>
        <w:tab/>
        <w:t>Aktywa finansowe</w:t>
      </w:r>
      <w:r>
        <w:tab/>
      </w:r>
      <w:r>
        <w:fldChar w:fldCharType="begin"/>
      </w:r>
      <w:r>
        <w:instrText xml:space="preserve"> PAGEREF _Toc31019107 \h </w:instrText>
      </w:r>
      <w:r>
        <w:fldChar w:fldCharType="separate"/>
      </w:r>
      <w:r>
        <w:t>9</w:t>
      </w:r>
      <w:r>
        <w:fldChar w:fldCharType="end"/>
      </w:r>
    </w:p>
    <w:p w:rsidR="00490B4E" w:rsidRDefault="00490B4E">
      <w:pPr>
        <w:pStyle w:val="TOC2"/>
        <w:rPr>
          <w:rFonts w:asciiTheme="minorHAnsi" w:eastAsiaTheme="minorEastAsia" w:hAnsiTheme="minorHAnsi" w:cstheme="minorBidi"/>
          <w:sz w:val="22"/>
          <w:szCs w:val="22"/>
          <w:lang w:val="en-US" w:eastAsia="en-US"/>
        </w:rPr>
      </w:pPr>
      <w:r>
        <w:t>4.2.</w:t>
      </w:r>
      <w:r>
        <w:tab/>
        <w:t>Zobowiązania finansowe</w:t>
      </w:r>
      <w:r>
        <w:tab/>
      </w:r>
      <w:r>
        <w:fldChar w:fldCharType="begin"/>
      </w:r>
      <w:r>
        <w:instrText xml:space="preserve"> PAGEREF _Toc31019108 \h </w:instrText>
      </w:r>
      <w:r>
        <w:fldChar w:fldCharType="separate"/>
      </w:r>
      <w:r>
        <w:t>11</w:t>
      </w:r>
      <w:r>
        <w:fldChar w:fldCharType="end"/>
      </w:r>
    </w:p>
    <w:p w:rsidR="00490B4E" w:rsidRDefault="00490B4E">
      <w:pPr>
        <w:pStyle w:val="TOC2"/>
        <w:rPr>
          <w:rFonts w:asciiTheme="minorHAnsi" w:eastAsiaTheme="minorEastAsia" w:hAnsiTheme="minorHAnsi" w:cstheme="minorBidi"/>
          <w:sz w:val="22"/>
          <w:szCs w:val="22"/>
          <w:lang w:val="en-US" w:eastAsia="en-US"/>
        </w:rPr>
      </w:pPr>
      <w:r>
        <w:t>5.</w:t>
      </w:r>
      <w:r>
        <w:tab/>
        <w:t>Instrumenty finansowe</w:t>
      </w:r>
      <w:r>
        <w:tab/>
      </w:r>
      <w:r>
        <w:fldChar w:fldCharType="begin"/>
      </w:r>
      <w:r>
        <w:instrText xml:space="preserve"> PAGEREF _Toc31019109 \h </w:instrText>
      </w:r>
      <w:r>
        <w:fldChar w:fldCharType="separate"/>
      </w:r>
      <w:r>
        <w:t>11</w:t>
      </w:r>
      <w:r>
        <w:fldChar w:fldCharType="end"/>
      </w:r>
    </w:p>
    <w:p w:rsidR="00490B4E" w:rsidRDefault="00490B4E">
      <w:pPr>
        <w:pStyle w:val="TOC2"/>
        <w:rPr>
          <w:rFonts w:asciiTheme="minorHAnsi" w:eastAsiaTheme="minorEastAsia" w:hAnsiTheme="minorHAnsi" w:cstheme="minorBidi"/>
          <w:sz w:val="22"/>
          <w:szCs w:val="22"/>
          <w:lang w:val="en-US" w:eastAsia="en-US"/>
        </w:rPr>
      </w:pPr>
      <w:r>
        <w:t>5.1.</w:t>
      </w:r>
      <w:r>
        <w:tab/>
        <w:t>Aktywa finansowe</w:t>
      </w:r>
      <w:r>
        <w:tab/>
      </w:r>
      <w:r>
        <w:fldChar w:fldCharType="begin"/>
      </w:r>
      <w:r>
        <w:instrText xml:space="preserve"> PAGEREF _Toc31019110 \h </w:instrText>
      </w:r>
      <w:r>
        <w:fldChar w:fldCharType="separate"/>
      </w:r>
      <w:r>
        <w:t>12</w:t>
      </w:r>
      <w:r>
        <w:fldChar w:fldCharType="end"/>
      </w:r>
    </w:p>
    <w:p w:rsidR="00490B4E" w:rsidRDefault="00490B4E">
      <w:pPr>
        <w:pStyle w:val="TOC2"/>
        <w:rPr>
          <w:rFonts w:asciiTheme="minorHAnsi" w:eastAsiaTheme="minorEastAsia" w:hAnsiTheme="minorHAnsi" w:cstheme="minorBidi"/>
          <w:sz w:val="22"/>
          <w:szCs w:val="22"/>
          <w:lang w:val="en-US" w:eastAsia="en-US"/>
        </w:rPr>
      </w:pPr>
      <w:r>
        <w:t>5.2.</w:t>
      </w:r>
      <w:r>
        <w:tab/>
        <w:t>Wartość bilansowa brutto</w:t>
      </w:r>
      <w:r>
        <w:tab/>
      </w:r>
      <w:r>
        <w:fldChar w:fldCharType="begin"/>
      </w:r>
      <w:r>
        <w:instrText xml:space="preserve"> PAGEREF _Toc31019111 \h </w:instrText>
      </w:r>
      <w:r>
        <w:fldChar w:fldCharType="separate"/>
      </w:r>
      <w:r>
        <w:t>12</w:t>
      </w:r>
      <w:r>
        <w:fldChar w:fldCharType="end"/>
      </w:r>
    </w:p>
    <w:p w:rsidR="00490B4E" w:rsidRDefault="00490B4E">
      <w:pPr>
        <w:pStyle w:val="TOC2"/>
        <w:rPr>
          <w:rFonts w:asciiTheme="minorHAnsi" w:eastAsiaTheme="minorEastAsia" w:hAnsiTheme="minorHAnsi" w:cstheme="minorBidi"/>
          <w:sz w:val="22"/>
          <w:szCs w:val="22"/>
          <w:lang w:val="en-US" w:eastAsia="en-US"/>
        </w:rPr>
      </w:pPr>
      <w:r>
        <w:t>5.3.</w:t>
      </w:r>
      <w:r>
        <w:tab/>
        <w:t>Zobowiązania finansowe</w:t>
      </w:r>
      <w:r>
        <w:tab/>
      </w:r>
      <w:r>
        <w:fldChar w:fldCharType="begin"/>
      </w:r>
      <w:r>
        <w:instrText xml:space="preserve"> PAGEREF _Toc31019112 \h </w:instrText>
      </w:r>
      <w:r>
        <w:fldChar w:fldCharType="separate"/>
      </w:r>
      <w:r>
        <w:t>14</w:t>
      </w:r>
      <w:r>
        <w:fldChar w:fldCharType="end"/>
      </w:r>
    </w:p>
    <w:p w:rsidR="00490B4E" w:rsidRDefault="00490B4E">
      <w:pPr>
        <w:pStyle w:val="TOC2"/>
        <w:rPr>
          <w:rFonts w:asciiTheme="minorHAnsi" w:eastAsiaTheme="minorEastAsia" w:hAnsiTheme="minorHAnsi" w:cstheme="minorBidi"/>
          <w:sz w:val="22"/>
          <w:szCs w:val="22"/>
          <w:lang w:val="en-US" w:eastAsia="en-US"/>
        </w:rPr>
      </w:pPr>
      <w:r>
        <w:t>6.</w:t>
      </w:r>
      <w:r>
        <w:tab/>
        <w:t>Podział według kontrahentów</w:t>
      </w:r>
      <w:r>
        <w:tab/>
      </w:r>
      <w:r>
        <w:fldChar w:fldCharType="begin"/>
      </w:r>
      <w:r>
        <w:instrText xml:space="preserve"> PAGEREF _Toc31019113 \h </w:instrText>
      </w:r>
      <w:r>
        <w:fldChar w:fldCharType="separate"/>
      </w:r>
      <w:r>
        <w:t>15</w:t>
      </w:r>
      <w:r>
        <w:fldChar w:fldCharType="end"/>
      </w:r>
    </w:p>
    <w:p w:rsidR="00490B4E" w:rsidRDefault="00490B4E">
      <w:pPr>
        <w:pStyle w:val="TOC1"/>
        <w:tabs>
          <w:tab w:val="right" w:leader="dot" w:pos="8296"/>
        </w:tabs>
        <w:rPr>
          <w:rFonts w:asciiTheme="minorHAnsi" w:eastAsiaTheme="minorEastAsia" w:hAnsiTheme="minorHAnsi" w:cstheme="minorBidi"/>
          <w:b w:val="0"/>
          <w:noProof/>
          <w:sz w:val="22"/>
          <w:szCs w:val="22"/>
          <w:lang w:val="en-US" w:eastAsia="en-US"/>
        </w:rPr>
      </w:pPr>
      <w:r>
        <w:rPr>
          <w:noProof/>
        </w:rPr>
        <w:t>Instrukcje dotyczące wzorów</w:t>
      </w:r>
      <w:r>
        <w:rPr>
          <w:noProof/>
        </w:rPr>
        <w:tab/>
      </w:r>
      <w:r>
        <w:rPr>
          <w:noProof/>
        </w:rPr>
        <w:fldChar w:fldCharType="begin"/>
      </w:r>
      <w:r>
        <w:rPr>
          <w:noProof/>
        </w:rPr>
        <w:instrText xml:space="preserve"> PAGEREF _Toc31019114 \h </w:instrText>
      </w:r>
      <w:r>
        <w:rPr>
          <w:noProof/>
        </w:rPr>
      </w:r>
      <w:r>
        <w:rPr>
          <w:noProof/>
        </w:rPr>
        <w:fldChar w:fldCharType="separate"/>
      </w:r>
      <w:r>
        <w:rPr>
          <w:noProof/>
        </w:rPr>
        <w:t>18</w:t>
      </w:r>
      <w:r>
        <w:rPr>
          <w:noProof/>
        </w:rPr>
        <w:fldChar w:fldCharType="end"/>
      </w:r>
    </w:p>
    <w:p w:rsidR="00490B4E" w:rsidRDefault="00490B4E">
      <w:pPr>
        <w:pStyle w:val="TOC2"/>
        <w:rPr>
          <w:rFonts w:asciiTheme="minorHAnsi" w:eastAsiaTheme="minorEastAsia" w:hAnsiTheme="minorHAnsi" w:cstheme="minorBidi"/>
          <w:sz w:val="22"/>
          <w:szCs w:val="22"/>
          <w:lang w:val="en-US" w:eastAsia="en-US"/>
        </w:rPr>
      </w:pPr>
      <w:r>
        <w:t>1.</w:t>
      </w:r>
      <w:r>
        <w:tab/>
        <w:t>Bilans</w:t>
      </w:r>
      <w:r>
        <w:tab/>
      </w:r>
      <w:r>
        <w:fldChar w:fldCharType="begin"/>
      </w:r>
      <w:r>
        <w:instrText xml:space="preserve"> PAGEREF _Toc31019115 \h </w:instrText>
      </w:r>
      <w:r>
        <w:fldChar w:fldCharType="separate"/>
      </w:r>
      <w:r>
        <w:t>18</w:t>
      </w:r>
      <w:r>
        <w:fldChar w:fldCharType="end"/>
      </w:r>
    </w:p>
    <w:p w:rsidR="00490B4E" w:rsidRDefault="00490B4E">
      <w:pPr>
        <w:pStyle w:val="TOC2"/>
        <w:rPr>
          <w:rFonts w:asciiTheme="minorHAnsi" w:eastAsiaTheme="minorEastAsia" w:hAnsiTheme="minorHAnsi" w:cstheme="minorBidi"/>
          <w:sz w:val="22"/>
          <w:szCs w:val="22"/>
          <w:lang w:val="en-US" w:eastAsia="en-US"/>
        </w:rPr>
      </w:pPr>
      <w:r>
        <w:t>1.1.</w:t>
      </w:r>
      <w:r>
        <w:tab/>
        <w:t>Aktywa (1.1)</w:t>
      </w:r>
      <w:r>
        <w:tab/>
      </w:r>
      <w:r>
        <w:fldChar w:fldCharType="begin"/>
      </w:r>
      <w:r>
        <w:instrText xml:space="preserve"> PAGEREF _Toc31019116 \h </w:instrText>
      </w:r>
      <w:r>
        <w:fldChar w:fldCharType="separate"/>
      </w:r>
      <w:r>
        <w:t>18</w:t>
      </w:r>
      <w:r>
        <w:fldChar w:fldCharType="end"/>
      </w:r>
    </w:p>
    <w:p w:rsidR="00490B4E" w:rsidRDefault="00490B4E">
      <w:pPr>
        <w:pStyle w:val="TOC2"/>
        <w:rPr>
          <w:rFonts w:asciiTheme="minorHAnsi" w:eastAsiaTheme="minorEastAsia" w:hAnsiTheme="minorHAnsi" w:cstheme="minorBidi"/>
          <w:sz w:val="22"/>
          <w:szCs w:val="22"/>
          <w:lang w:val="en-US" w:eastAsia="en-US"/>
        </w:rPr>
      </w:pPr>
      <w:r>
        <w:t>1.2.</w:t>
      </w:r>
      <w:r>
        <w:tab/>
        <w:t>Zobowiązania (1.2)</w:t>
      </w:r>
      <w:r>
        <w:tab/>
      </w:r>
      <w:r>
        <w:fldChar w:fldCharType="begin"/>
      </w:r>
      <w:r>
        <w:instrText xml:space="preserve"> PAGEREF _Toc31019117 \h </w:instrText>
      </w:r>
      <w:r>
        <w:fldChar w:fldCharType="separate"/>
      </w:r>
      <w:r>
        <w:t>18</w:t>
      </w:r>
      <w:r>
        <w:fldChar w:fldCharType="end"/>
      </w:r>
    </w:p>
    <w:p w:rsidR="00490B4E" w:rsidRDefault="00490B4E">
      <w:pPr>
        <w:pStyle w:val="TOC2"/>
        <w:rPr>
          <w:rFonts w:asciiTheme="minorHAnsi" w:eastAsiaTheme="minorEastAsia" w:hAnsiTheme="minorHAnsi" w:cstheme="minorBidi"/>
          <w:sz w:val="22"/>
          <w:szCs w:val="22"/>
          <w:lang w:val="en-US" w:eastAsia="en-US"/>
        </w:rPr>
      </w:pPr>
      <w:r>
        <w:t>1.3.</w:t>
      </w:r>
      <w:r>
        <w:tab/>
        <w:t>Kapitał własny (1.3)</w:t>
      </w:r>
      <w:r>
        <w:tab/>
      </w:r>
      <w:r>
        <w:fldChar w:fldCharType="begin"/>
      </w:r>
      <w:r>
        <w:instrText xml:space="preserve"> PAGEREF _Toc31019118 \h </w:instrText>
      </w:r>
      <w:r>
        <w:fldChar w:fldCharType="separate"/>
      </w:r>
      <w:r>
        <w:t>20</w:t>
      </w:r>
      <w:r>
        <w:fldChar w:fldCharType="end"/>
      </w:r>
    </w:p>
    <w:p w:rsidR="00490B4E" w:rsidRDefault="00490B4E">
      <w:pPr>
        <w:pStyle w:val="TOC2"/>
        <w:rPr>
          <w:rFonts w:asciiTheme="minorHAnsi" w:eastAsiaTheme="minorEastAsia" w:hAnsiTheme="minorHAnsi" w:cstheme="minorBidi"/>
          <w:sz w:val="22"/>
          <w:szCs w:val="22"/>
          <w:lang w:val="en-US" w:eastAsia="en-US"/>
        </w:rPr>
      </w:pPr>
      <w:r>
        <w:t>2.</w:t>
      </w:r>
      <w:r>
        <w:tab/>
        <w:t>Rachunek zysków i strat (2)</w:t>
      </w:r>
      <w:r>
        <w:tab/>
      </w:r>
      <w:r>
        <w:fldChar w:fldCharType="begin"/>
      </w:r>
      <w:r>
        <w:instrText xml:space="preserve"> PAGEREF _Toc31019119 \h </w:instrText>
      </w:r>
      <w:r>
        <w:fldChar w:fldCharType="separate"/>
      </w:r>
      <w:r>
        <w:t>22</w:t>
      </w:r>
      <w:r>
        <w:fldChar w:fldCharType="end"/>
      </w:r>
    </w:p>
    <w:p w:rsidR="00490B4E" w:rsidRDefault="00490B4E">
      <w:pPr>
        <w:pStyle w:val="TOC2"/>
        <w:rPr>
          <w:rFonts w:asciiTheme="minorHAnsi" w:eastAsiaTheme="minorEastAsia" w:hAnsiTheme="minorHAnsi" w:cstheme="minorBidi"/>
          <w:sz w:val="22"/>
          <w:szCs w:val="22"/>
          <w:lang w:val="en-US" w:eastAsia="en-US"/>
        </w:rPr>
      </w:pPr>
      <w:r>
        <w:t>3.</w:t>
      </w:r>
      <w:r>
        <w:tab/>
        <w:t>Sprawozdanie z całkowitych dochodów (3)</w:t>
      </w:r>
      <w:r>
        <w:tab/>
      </w:r>
      <w:r>
        <w:fldChar w:fldCharType="begin"/>
      </w:r>
      <w:r>
        <w:instrText xml:space="preserve"> PAGEREF _Toc31019120 \h </w:instrText>
      </w:r>
      <w:r>
        <w:fldChar w:fldCharType="separate"/>
      </w:r>
      <w:r>
        <w:t>28</w:t>
      </w:r>
      <w:r>
        <w:fldChar w:fldCharType="end"/>
      </w:r>
    </w:p>
    <w:p w:rsidR="00490B4E" w:rsidRDefault="00490B4E">
      <w:pPr>
        <w:pStyle w:val="TOC2"/>
        <w:rPr>
          <w:rFonts w:asciiTheme="minorHAnsi" w:eastAsiaTheme="minorEastAsia" w:hAnsiTheme="minorHAnsi" w:cstheme="minorBidi"/>
          <w:sz w:val="22"/>
          <w:szCs w:val="22"/>
          <w:lang w:val="en-US" w:eastAsia="en-US"/>
        </w:rPr>
      </w:pPr>
      <w:r>
        <w:t>4.</w:t>
      </w:r>
      <w:r>
        <w:tab/>
        <w:t>Podział aktywów finansowych według instrumentów i według sektorów kontrahentów (4)</w:t>
      </w:r>
      <w:r>
        <w:tab/>
      </w:r>
      <w:r>
        <w:fldChar w:fldCharType="begin"/>
      </w:r>
      <w:r>
        <w:instrText xml:space="preserve"> PAGEREF _Toc31019121 \h </w:instrText>
      </w:r>
      <w:r>
        <w:fldChar w:fldCharType="separate"/>
      </w:r>
      <w:r>
        <w:t>30</w:t>
      </w:r>
      <w:r>
        <w:fldChar w:fldCharType="end"/>
      </w:r>
    </w:p>
    <w:p w:rsidR="00490B4E" w:rsidRDefault="00490B4E">
      <w:pPr>
        <w:pStyle w:val="TOC2"/>
        <w:rPr>
          <w:rFonts w:asciiTheme="minorHAnsi" w:eastAsiaTheme="minorEastAsia" w:hAnsiTheme="minorHAnsi" w:cstheme="minorBidi"/>
          <w:sz w:val="22"/>
          <w:szCs w:val="22"/>
          <w:lang w:val="en-US" w:eastAsia="en-US"/>
        </w:rPr>
      </w:pPr>
      <w:r>
        <w:t>5.</w:t>
      </w:r>
      <w:r>
        <w:tab/>
        <w:t>Podział kredytów i zaliczek nieprzeznaczonych do obrotu według produktów (5)</w:t>
      </w:r>
      <w:r>
        <w:tab/>
      </w:r>
      <w:r>
        <w:fldChar w:fldCharType="begin"/>
      </w:r>
      <w:r>
        <w:instrText xml:space="preserve"> PAGEREF _Toc31019122 \h </w:instrText>
      </w:r>
      <w:r>
        <w:fldChar w:fldCharType="separate"/>
      </w:r>
      <w:r>
        <w:t>34</w:t>
      </w:r>
      <w:r>
        <w:fldChar w:fldCharType="end"/>
      </w:r>
    </w:p>
    <w:p w:rsidR="00490B4E" w:rsidRDefault="00490B4E">
      <w:pPr>
        <w:pStyle w:val="TOC2"/>
        <w:rPr>
          <w:rFonts w:asciiTheme="minorHAnsi" w:eastAsiaTheme="minorEastAsia" w:hAnsiTheme="minorHAnsi" w:cstheme="minorBidi"/>
          <w:sz w:val="22"/>
          <w:szCs w:val="22"/>
          <w:lang w:val="en-US" w:eastAsia="en-US"/>
        </w:rPr>
      </w:pPr>
      <w:r w:rsidRPr="00B34B45">
        <w:rPr>
          <w:kern w:val="32"/>
        </w:rPr>
        <w:t>6.</w:t>
      </w:r>
      <w:r>
        <w:tab/>
        <w:t>Podział kredytów i zaliczek nieprzeznaczonych do obrotu na rzecz przedsiębiorstw niefinansowych według kodów NACE (6)</w:t>
      </w:r>
      <w:r>
        <w:tab/>
      </w:r>
      <w:r>
        <w:fldChar w:fldCharType="begin"/>
      </w:r>
      <w:r>
        <w:instrText xml:space="preserve"> PAGEREF _Toc31019123 \h </w:instrText>
      </w:r>
      <w:r>
        <w:fldChar w:fldCharType="separate"/>
      </w:r>
      <w:r>
        <w:t>36</w:t>
      </w:r>
      <w:r>
        <w:fldChar w:fldCharType="end"/>
      </w:r>
    </w:p>
    <w:p w:rsidR="00490B4E" w:rsidRDefault="00490B4E">
      <w:pPr>
        <w:pStyle w:val="TOC2"/>
        <w:rPr>
          <w:rFonts w:asciiTheme="minorHAnsi" w:eastAsiaTheme="minorEastAsia" w:hAnsiTheme="minorHAnsi" w:cstheme="minorBidi"/>
          <w:sz w:val="22"/>
          <w:szCs w:val="22"/>
          <w:lang w:val="en-US" w:eastAsia="en-US"/>
        </w:rPr>
      </w:pPr>
      <w:r w:rsidRPr="00B34B45">
        <w:rPr>
          <w:kern w:val="32"/>
        </w:rPr>
        <w:t>7.</w:t>
      </w:r>
      <w:r>
        <w:tab/>
        <w:t>Aktywa finansowe podlegające utracie wartości, które są przeterminowane (7)</w:t>
      </w:r>
      <w:r>
        <w:tab/>
      </w:r>
      <w:r>
        <w:fldChar w:fldCharType="begin"/>
      </w:r>
      <w:r>
        <w:instrText xml:space="preserve"> PAGEREF _Toc31019124 \h </w:instrText>
      </w:r>
      <w:r>
        <w:fldChar w:fldCharType="separate"/>
      </w:r>
      <w:r>
        <w:t>36</w:t>
      </w:r>
      <w:r>
        <w:fldChar w:fldCharType="end"/>
      </w:r>
    </w:p>
    <w:p w:rsidR="00490B4E" w:rsidRDefault="00490B4E">
      <w:pPr>
        <w:pStyle w:val="TOC2"/>
        <w:rPr>
          <w:rFonts w:asciiTheme="minorHAnsi" w:eastAsiaTheme="minorEastAsia" w:hAnsiTheme="minorHAnsi" w:cstheme="minorBidi"/>
          <w:sz w:val="22"/>
          <w:szCs w:val="22"/>
          <w:lang w:val="en-US" w:eastAsia="en-US"/>
        </w:rPr>
      </w:pPr>
      <w:r>
        <w:t>8.</w:t>
      </w:r>
      <w:r>
        <w:tab/>
        <w:t>Podział zobowiązań finansowych (8)</w:t>
      </w:r>
      <w:r>
        <w:tab/>
      </w:r>
      <w:r>
        <w:fldChar w:fldCharType="begin"/>
      </w:r>
      <w:r>
        <w:instrText xml:space="preserve"> PAGEREF _Toc31019125 \h </w:instrText>
      </w:r>
      <w:r>
        <w:fldChar w:fldCharType="separate"/>
      </w:r>
      <w:r>
        <w:t>37</w:t>
      </w:r>
      <w:r>
        <w:fldChar w:fldCharType="end"/>
      </w:r>
    </w:p>
    <w:p w:rsidR="00490B4E" w:rsidRDefault="00490B4E">
      <w:pPr>
        <w:pStyle w:val="TOC2"/>
        <w:rPr>
          <w:rFonts w:asciiTheme="minorHAnsi" w:eastAsiaTheme="minorEastAsia" w:hAnsiTheme="minorHAnsi" w:cstheme="minorBidi"/>
          <w:sz w:val="22"/>
          <w:szCs w:val="22"/>
          <w:lang w:val="en-US" w:eastAsia="en-US"/>
        </w:rPr>
      </w:pPr>
      <w:r>
        <w:t>9.</w:t>
      </w:r>
      <w:r>
        <w:tab/>
        <w:t>Zobowiązania do udzielenia pożyczki, gwarancje finansowe i inne zobowiązania (9)</w:t>
      </w:r>
      <w:r>
        <w:tab/>
      </w:r>
      <w:r>
        <w:fldChar w:fldCharType="begin"/>
      </w:r>
      <w:r>
        <w:instrText xml:space="preserve"> PAGEREF _Toc31019126 \h </w:instrText>
      </w:r>
      <w:r>
        <w:fldChar w:fldCharType="separate"/>
      </w:r>
      <w:r>
        <w:t>38</w:t>
      </w:r>
      <w:r>
        <w:fldChar w:fldCharType="end"/>
      </w:r>
    </w:p>
    <w:p w:rsidR="00490B4E" w:rsidRDefault="00490B4E">
      <w:pPr>
        <w:pStyle w:val="TOC2"/>
        <w:rPr>
          <w:rFonts w:asciiTheme="minorHAnsi" w:eastAsiaTheme="minorEastAsia" w:hAnsiTheme="minorHAnsi" w:cstheme="minorBidi"/>
          <w:sz w:val="22"/>
          <w:szCs w:val="22"/>
          <w:lang w:val="en-US" w:eastAsia="en-US"/>
        </w:rPr>
      </w:pPr>
      <w:r>
        <w:t>10.</w:t>
      </w:r>
      <w:r>
        <w:tab/>
        <w:t>Instrumenty pochodne i rachunkowość zabezpieczeń (10 i 11)</w:t>
      </w:r>
      <w:r>
        <w:tab/>
      </w:r>
      <w:r>
        <w:fldChar w:fldCharType="begin"/>
      </w:r>
      <w:r>
        <w:instrText xml:space="preserve"> PAGEREF _Toc31019127 \h </w:instrText>
      </w:r>
      <w:r>
        <w:fldChar w:fldCharType="separate"/>
      </w:r>
      <w:r>
        <w:t>42</w:t>
      </w:r>
      <w:r>
        <w:fldChar w:fldCharType="end"/>
      </w:r>
    </w:p>
    <w:p w:rsidR="00490B4E" w:rsidRDefault="00490B4E">
      <w:pPr>
        <w:pStyle w:val="TOC2"/>
        <w:rPr>
          <w:rFonts w:asciiTheme="minorHAnsi" w:eastAsiaTheme="minorEastAsia" w:hAnsiTheme="minorHAnsi" w:cstheme="minorBidi"/>
          <w:sz w:val="22"/>
          <w:szCs w:val="22"/>
          <w:lang w:val="en-US" w:eastAsia="en-US"/>
        </w:rPr>
      </w:pPr>
      <w:r>
        <w:t>10.1.</w:t>
      </w:r>
      <w:r>
        <w:tab/>
        <w:t>Klasyfikacja instrumentów pochodnych według rodzaju ryzyka</w:t>
      </w:r>
      <w:r>
        <w:tab/>
      </w:r>
      <w:r>
        <w:fldChar w:fldCharType="begin"/>
      </w:r>
      <w:r>
        <w:instrText xml:space="preserve"> PAGEREF _Toc31019128 \h </w:instrText>
      </w:r>
      <w:r>
        <w:fldChar w:fldCharType="separate"/>
      </w:r>
      <w:r>
        <w:t>43</w:t>
      </w:r>
      <w:r>
        <w:fldChar w:fldCharType="end"/>
      </w:r>
    </w:p>
    <w:p w:rsidR="00490B4E" w:rsidRDefault="00490B4E">
      <w:pPr>
        <w:pStyle w:val="TOC2"/>
        <w:rPr>
          <w:rFonts w:asciiTheme="minorHAnsi" w:eastAsiaTheme="minorEastAsia" w:hAnsiTheme="minorHAnsi" w:cstheme="minorBidi"/>
          <w:sz w:val="22"/>
          <w:szCs w:val="22"/>
          <w:lang w:val="en-US" w:eastAsia="en-US"/>
        </w:rPr>
      </w:pPr>
      <w:r>
        <w:t>10.2.</w:t>
      </w:r>
      <w:r>
        <w:tab/>
        <w:t>Kwoty podlegające zgłoszeniu w odniesieniu do instrumentów pochodnych</w:t>
      </w:r>
      <w:r>
        <w:tab/>
      </w:r>
      <w:r>
        <w:fldChar w:fldCharType="begin"/>
      </w:r>
      <w:r>
        <w:instrText xml:space="preserve"> PAGEREF _Toc31019129 \h </w:instrText>
      </w:r>
      <w:r>
        <w:fldChar w:fldCharType="separate"/>
      </w:r>
      <w:r>
        <w:t>45</w:t>
      </w:r>
      <w:r>
        <w:fldChar w:fldCharType="end"/>
      </w:r>
    </w:p>
    <w:p w:rsidR="00490B4E" w:rsidRDefault="00490B4E">
      <w:pPr>
        <w:pStyle w:val="TOC2"/>
        <w:rPr>
          <w:rFonts w:asciiTheme="minorHAnsi" w:eastAsiaTheme="minorEastAsia" w:hAnsiTheme="minorHAnsi" w:cstheme="minorBidi"/>
          <w:sz w:val="22"/>
          <w:szCs w:val="22"/>
          <w:lang w:val="en-US" w:eastAsia="en-US"/>
        </w:rPr>
      </w:pPr>
      <w:r>
        <w:t>10.3.</w:t>
      </w:r>
      <w:r>
        <w:tab/>
        <w:t>Instrumenty pochodne sklasyfikowane jako „zabezpieczenia ekonomiczne”</w:t>
      </w:r>
      <w:r>
        <w:tab/>
      </w:r>
      <w:r>
        <w:fldChar w:fldCharType="begin"/>
      </w:r>
      <w:r>
        <w:instrText xml:space="preserve"> PAGEREF _Toc31019130 \h </w:instrText>
      </w:r>
      <w:r>
        <w:fldChar w:fldCharType="separate"/>
      </w:r>
      <w:r>
        <w:t>47</w:t>
      </w:r>
      <w:r>
        <w:fldChar w:fldCharType="end"/>
      </w:r>
    </w:p>
    <w:p w:rsidR="00490B4E" w:rsidRDefault="00490B4E">
      <w:pPr>
        <w:pStyle w:val="TOC2"/>
        <w:rPr>
          <w:rFonts w:asciiTheme="minorHAnsi" w:eastAsiaTheme="minorEastAsia" w:hAnsiTheme="minorHAnsi" w:cstheme="minorBidi"/>
          <w:sz w:val="22"/>
          <w:szCs w:val="22"/>
          <w:lang w:val="en-US" w:eastAsia="en-US"/>
        </w:rPr>
      </w:pPr>
      <w:r>
        <w:t>10.4.</w:t>
      </w:r>
      <w:r>
        <w:tab/>
        <w:t>Podział instrumentów pochodnych według sektorów kontrahentów</w:t>
      </w:r>
      <w:r>
        <w:tab/>
      </w:r>
      <w:r>
        <w:fldChar w:fldCharType="begin"/>
      </w:r>
      <w:r>
        <w:instrText xml:space="preserve"> PAGEREF _Toc31019131 \h </w:instrText>
      </w:r>
      <w:r>
        <w:fldChar w:fldCharType="separate"/>
      </w:r>
      <w:r>
        <w:t>48</w:t>
      </w:r>
      <w:r>
        <w:fldChar w:fldCharType="end"/>
      </w:r>
    </w:p>
    <w:p w:rsidR="00490B4E" w:rsidRDefault="00490B4E">
      <w:pPr>
        <w:pStyle w:val="TOC2"/>
        <w:rPr>
          <w:rFonts w:asciiTheme="minorHAnsi" w:eastAsiaTheme="minorEastAsia" w:hAnsiTheme="minorHAnsi" w:cstheme="minorBidi"/>
          <w:sz w:val="22"/>
          <w:szCs w:val="22"/>
          <w:lang w:val="en-US" w:eastAsia="en-US"/>
        </w:rPr>
      </w:pPr>
      <w:r>
        <w:t>10.5.</w:t>
      </w:r>
      <w:r>
        <w:tab/>
        <w:t>Rachunkowość zabezpieczeń na podstawie krajowych ogólnie przyjętych zasad rachunkowości (11.2):</w:t>
      </w:r>
      <w:r>
        <w:tab/>
      </w:r>
      <w:r>
        <w:fldChar w:fldCharType="begin"/>
      </w:r>
      <w:r>
        <w:instrText xml:space="preserve"> PAGEREF _Toc31019132 \h </w:instrText>
      </w:r>
      <w:r>
        <w:fldChar w:fldCharType="separate"/>
      </w:r>
      <w:r>
        <w:t>48</w:t>
      </w:r>
      <w:r>
        <w:fldChar w:fldCharType="end"/>
      </w:r>
    </w:p>
    <w:p w:rsidR="00490B4E" w:rsidRDefault="00490B4E">
      <w:pPr>
        <w:pStyle w:val="TOC2"/>
        <w:rPr>
          <w:rFonts w:asciiTheme="minorHAnsi" w:eastAsiaTheme="minorEastAsia" w:hAnsiTheme="minorHAnsi" w:cstheme="minorBidi"/>
          <w:sz w:val="22"/>
          <w:szCs w:val="22"/>
          <w:lang w:val="en-US" w:eastAsia="en-US"/>
        </w:rPr>
      </w:pPr>
      <w:r>
        <w:t>10.6.</w:t>
      </w:r>
      <w:r>
        <w:tab/>
        <w:t>Kwota podlegająca zgłoszeniu w odniesieniu do instrumentów zabezpieczających niebędących instrumentami pochodnymi (11.3 i 11.3.1)</w:t>
      </w:r>
      <w:r>
        <w:tab/>
      </w:r>
      <w:r>
        <w:fldChar w:fldCharType="begin"/>
      </w:r>
      <w:r>
        <w:instrText xml:space="preserve"> PAGEREF _Toc31019133 \h </w:instrText>
      </w:r>
      <w:r>
        <w:fldChar w:fldCharType="separate"/>
      </w:r>
      <w:r>
        <w:t>49</w:t>
      </w:r>
      <w:r>
        <w:fldChar w:fldCharType="end"/>
      </w:r>
    </w:p>
    <w:p w:rsidR="00490B4E" w:rsidRDefault="00490B4E">
      <w:pPr>
        <w:pStyle w:val="TOC2"/>
        <w:rPr>
          <w:rFonts w:asciiTheme="minorHAnsi" w:eastAsiaTheme="minorEastAsia" w:hAnsiTheme="minorHAnsi" w:cstheme="minorBidi"/>
          <w:sz w:val="22"/>
          <w:szCs w:val="22"/>
          <w:lang w:val="en-US" w:eastAsia="en-US"/>
        </w:rPr>
      </w:pPr>
      <w:r>
        <w:t>10.7.</w:t>
      </w:r>
      <w:r>
        <w:tab/>
        <w:t>Pozycje zabezpieczane w zabezpieczeniach wartości godziwej (11.4)</w:t>
      </w:r>
      <w:r>
        <w:tab/>
      </w:r>
      <w:r>
        <w:fldChar w:fldCharType="begin"/>
      </w:r>
      <w:r>
        <w:instrText xml:space="preserve"> PAGEREF _Toc31019134 \h </w:instrText>
      </w:r>
      <w:r>
        <w:fldChar w:fldCharType="separate"/>
      </w:r>
      <w:r>
        <w:t>49</w:t>
      </w:r>
      <w:r>
        <w:fldChar w:fldCharType="end"/>
      </w:r>
    </w:p>
    <w:p w:rsidR="00490B4E" w:rsidRDefault="00490B4E">
      <w:pPr>
        <w:pStyle w:val="TOC2"/>
        <w:rPr>
          <w:rFonts w:asciiTheme="minorHAnsi" w:eastAsiaTheme="minorEastAsia" w:hAnsiTheme="minorHAnsi" w:cstheme="minorBidi"/>
          <w:sz w:val="22"/>
          <w:szCs w:val="22"/>
          <w:lang w:val="en-US" w:eastAsia="en-US"/>
        </w:rPr>
      </w:pPr>
      <w:r w:rsidRPr="00B34B45">
        <w:rPr>
          <w:kern w:val="32"/>
        </w:rPr>
        <w:t>11.</w:t>
      </w:r>
      <w:r>
        <w:tab/>
        <w:t>Zmiany w odpisach aktualizujących z tytułu strat kredytowych i rezerwach na straty kredytowe (12)</w:t>
      </w:r>
      <w:r>
        <w:tab/>
      </w:r>
      <w:r>
        <w:fldChar w:fldCharType="begin"/>
      </w:r>
      <w:r>
        <w:instrText xml:space="preserve"> PAGEREF _Toc31019135 \h </w:instrText>
      </w:r>
      <w:r>
        <w:fldChar w:fldCharType="separate"/>
      </w:r>
      <w:r>
        <w:t>50</w:t>
      </w:r>
      <w:r>
        <w:fldChar w:fldCharType="end"/>
      </w:r>
    </w:p>
    <w:p w:rsidR="00490B4E" w:rsidRDefault="00490B4E">
      <w:pPr>
        <w:pStyle w:val="TOC2"/>
        <w:rPr>
          <w:rFonts w:asciiTheme="minorHAnsi" w:eastAsiaTheme="minorEastAsia" w:hAnsiTheme="minorHAnsi" w:cstheme="minorBidi"/>
          <w:sz w:val="22"/>
          <w:szCs w:val="22"/>
          <w:lang w:val="en-US" w:eastAsia="en-US"/>
        </w:rPr>
      </w:pPr>
      <w:r>
        <w:t>11.1.</w:t>
      </w:r>
      <w:r>
        <w:tab/>
        <w:t>Zmiany w odpisach aktualizujących z tytułu strat kredytowych i utraty wartości instrumentów kapitałowych na podstawie krajowych ogólnie przyjętych zasad rachunkowości opartych na BAD (12.0)</w:t>
      </w:r>
      <w:r>
        <w:tab/>
      </w:r>
      <w:r>
        <w:fldChar w:fldCharType="begin"/>
      </w:r>
      <w:r>
        <w:instrText xml:space="preserve"> PAGEREF _Toc31019136 \h </w:instrText>
      </w:r>
      <w:r>
        <w:fldChar w:fldCharType="separate"/>
      </w:r>
      <w:r>
        <w:t>50</w:t>
      </w:r>
      <w:r>
        <w:fldChar w:fldCharType="end"/>
      </w:r>
    </w:p>
    <w:p w:rsidR="00490B4E" w:rsidRDefault="00490B4E">
      <w:pPr>
        <w:pStyle w:val="TOC2"/>
        <w:rPr>
          <w:rFonts w:asciiTheme="minorHAnsi" w:eastAsiaTheme="minorEastAsia" w:hAnsiTheme="minorHAnsi" w:cstheme="minorBidi"/>
          <w:sz w:val="22"/>
          <w:szCs w:val="22"/>
          <w:lang w:val="en-US" w:eastAsia="en-US"/>
        </w:rPr>
      </w:pPr>
      <w:r>
        <w:t>11.2.</w:t>
      </w:r>
      <w:r>
        <w:tab/>
        <w:t>Zmiany w odpisach aktualizujących z tytułu strat kredytowych i rezerwach na straty kredytowe zgodnie z MSSF (12.1)</w:t>
      </w:r>
      <w:r>
        <w:tab/>
      </w:r>
      <w:r>
        <w:fldChar w:fldCharType="begin"/>
      </w:r>
      <w:r>
        <w:instrText xml:space="preserve"> PAGEREF _Toc31019137 \h </w:instrText>
      </w:r>
      <w:r>
        <w:fldChar w:fldCharType="separate"/>
      </w:r>
      <w:r>
        <w:t>50</w:t>
      </w:r>
      <w:r>
        <w:fldChar w:fldCharType="end"/>
      </w:r>
    </w:p>
    <w:p w:rsidR="00490B4E" w:rsidRDefault="00490B4E">
      <w:pPr>
        <w:pStyle w:val="TOC2"/>
        <w:rPr>
          <w:rFonts w:asciiTheme="minorHAnsi" w:eastAsiaTheme="minorEastAsia" w:hAnsiTheme="minorHAnsi" w:cstheme="minorBidi"/>
          <w:sz w:val="22"/>
          <w:szCs w:val="22"/>
          <w:lang w:val="en-US" w:eastAsia="en-US"/>
        </w:rPr>
      </w:pPr>
      <w:r>
        <w:t>11.3.</w:t>
      </w:r>
      <w:r>
        <w:tab/>
        <w:t>Przesunięcia między fazami utraty wartości (prezentacja w ujęciu brutto) (12.2)</w:t>
      </w:r>
      <w:r>
        <w:tab/>
      </w:r>
      <w:r>
        <w:fldChar w:fldCharType="begin"/>
      </w:r>
      <w:r>
        <w:instrText xml:space="preserve"> PAGEREF _Toc31019138 \h </w:instrText>
      </w:r>
      <w:r>
        <w:fldChar w:fldCharType="separate"/>
      </w:r>
      <w:r>
        <w:t>53</w:t>
      </w:r>
      <w:r>
        <w:fldChar w:fldCharType="end"/>
      </w:r>
    </w:p>
    <w:p w:rsidR="00490B4E" w:rsidRDefault="00490B4E">
      <w:pPr>
        <w:pStyle w:val="TOC2"/>
        <w:rPr>
          <w:rFonts w:asciiTheme="minorHAnsi" w:eastAsiaTheme="minorEastAsia" w:hAnsiTheme="minorHAnsi" w:cstheme="minorBidi"/>
          <w:sz w:val="22"/>
          <w:szCs w:val="22"/>
          <w:lang w:val="en-US" w:eastAsia="en-US"/>
        </w:rPr>
      </w:pPr>
      <w:r>
        <w:t>12.</w:t>
      </w:r>
      <w:r>
        <w:tab/>
        <w:t>Otrzymane zabezpieczenia i gwarancje (13)</w:t>
      </w:r>
      <w:r>
        <w:tab/>
      </w:r>
      <w:r>
        <w:fldChar w:fldCharType="begin"/>
      </w:r>
      <w:r>
        <w:instrText xml:space="preserve"> PAGEREF _Toc31019139 \h </w:instrText>
      </w:r>
      <w:r>
        <w:fldChar w:fldCharType="separate"/>
      </w:r>
      <w:r>
        <w:t>54</w:t>
      </w:r>
      <w:r>
        <w:fldChar w:fldCharType="end"/>
      </w:r>
    </w:p>
    <w:p w:rsidR="00490B4E" w:rsidRDefault="00490B4E">
      <w:pPr>
        <w:pStyle w:val="TOC2"/>
        <w:rPr>
          <w:rFonts w:asciiTheme="minorHAnsi" w:eastAsiaTheme="minorEastAsia" w:hAnsiTheme="minorHAnsi" w:cstheme="minorBidi"/>
          <w:sz w:val="22"/>
          <w:szCs w:val="22"/>
          <w:lang w:val="en-US" w:eastAsia="en-US"/>
        </w:rPr>
      </w:pPr>
      <w:r>
        <w:t>12.1.</w:t>
      </w:r>
      <w:r>
        <w:tab/>
        <w:t>Podział zabezpieczeń i gwarancji kredytów i zaliczek innych niż przeznaczone do obrotu (13.1)</w:t>
      </w:r>
      <w:r>
        <w:tab/>
      </w:r>
      <w:r>
        <w:fldChar w:fldCharType="begin"/>
      </w:r>
      <w:r>
        <w:instrText xml:space="preserve"> PAGEREF _Toc31019140 \h </w:instrText>
      </w:r>
      <w:r>
        <w:fldChar w:fldCharType="separate"/>
      </w:r>
      <w:r>
        <w:t>54</w:t>
      </w:r>
      <w:r>
        <w:fldChar w:fldCharType="end"/>
      </w:r>
    </w:p>
    <w:p w:rsidR="00490B4E" w:rsidRDefault="00490B4E">
      <w:pPr>
        <w:pStyle w:val="TOC2"/>
        <w:rPr>
          <w:rFonts w:asciiTheme="minorHAnsi" w:eastAsiaTheme="minorEastAsia" w:hAnsiTheme="minorHAnsi" w:cstheme="minorBidi"/>
          <w:sz w:val="22"/>
          <w:szCs w:val="22"/>
          <w:lang w:val="en-US" w:eastAsia="en-US"/>
        </w:rPr>
      </w:pPr>
      <w:r>
        <w:t>12.2.</w:t>
      </w:r>
      <w:r>
        <w:tab/>
        <w:t>Zabezpieczenie uzyskane poprzez wejście w posiadanie w danym okresie (będące w posiadaniu na dzień sprawozdawczy) (13.2.1)</w:t>
      </w:r>
      <w:r>
        <w:tab/>
      </w:r>
      <w:r>
        <w:fldChar w:fldCharType="begin"/>
      </w:r>
      <w:r>
        <w:instrText xml:space="preserve"> PAGEREF _Toc31019141 \h </w:instrText>
      </w:r>
      <w:r>
        <w:fldChar w:fldCharType="separate"/>
      </w:r>
      <w:r>
        <w:t>55</w:t>
      </w:r>
      <w:r>
        <w:fldChar w:fldCharType="end"/>
      </w:r>
    </w:p>
    <w:p w:rsidR="00490B4E" w:rsidRDefault="00490B4E">
      <w:pPr>
        <w:pStyle w:val="TOC2"/>
        <w:rPr>
          <w:rFonts w:asciiTheme="minorHAnsi" w:eastAsiaTheme="minorEastAsia" w:hAnsiTheme="minorHAnsi" w:cstheme="minorBidi"/>
          <w:sz w:val="22"/>
          <w:szCs w:val="22"/>
          <w:lang w:val="en-US" w:eastAsia="en-US"/>
        </w:rPr>
      </w:pPr>
      <w:r>
        <w:t>12.3.</w:t>
      </w:r>
      <w:r>
        <w:tab/>
        <w:t>Skumulowane zabezpieczenie uzyskane poprzez wejście w posiadanie (13.3.1)</w:t>
      </w:r>
      <w:r>
        <w:tab/>
      </w:r>
      <w:r>
        <w:fldChar w:fldCharType="begin"/>
      </w:r>
      <w:r>
        <w:instrText xml:space="preserve"> PAGEREF _Toc31019142 \h </w:instrText>
      </w:r>
      <w:r>
        <w:fldChar w:fldCharType="separate"/>
      </w:r>
      <w:r>
        <w:t>56</w:t>
      </w:r>
      <w:r>
        <w:fldChar w:fldCharType="end"/>
      </w:r>
    </w:p>
    <w:p w:rsidR="00490B4E" w:rsidRDefault="00490B4E">
      <w:pPr>
        <w:pStyle w:val="TOC2"/>
        <w:rPr>
          <w:rFonts w:asciiTheme="minorHAnsi" w:eastAsiaTheme="minorEastAsia" w:hAnsiTheme="minorHAnsi" w:cstheme="minorBidi"/>
          <w:sz w:val="22"/>
          <w:szCs w:val="22"/>
          <w:lang w:val="en-US" w:eastAsia="en-US"/>
        </w:rPr>
      </w:pPr>
      <w:r w:rsidRPr="00B34B45">
        <w:rPr>
          <w:kern w:val="32"/>
        </w:rPr>
        <w:t>13.</w:t>
      </w:r>
      <w:r>
        <w:tab/>
        <w:t>Hierarchia wartości godziwej: Instrumenty finansowe według wartości godziwej (14)</w:t>
      </w:r>
      <w:r>
        <w:tab/>
      </w:r>
      <w:r>
        <w:fldChar w:fldCharType="begin"/>
      </w:r>
      <w:r>
        <w:instrText xml:space="preserve"> PAGEREF _Toc31019143 \h </w:instrText>
      </w:r>
      <w:r>
        <w:fldChar w:fldCharType="separate"/>
      </w:r>
      <w:r>
        <w:t>56</w:t>
      </w:r>
      <w:r>
        <w:fldChar w:fldCharType="end"/>
      </w:r>
    </w:p>
    <w:p w:rsidR="00490B4E" w:rsidRDefault="00490B4E">
      <w:pPr>
        <w:pStyle w:val="TOC2"/>
        <w:rPr>
          <w:rFonts w:asciiTheme="minorHAnsi" w:eastAsiaTheme="minorEastAsia" w:hAnsiTheme="minorHAnsi" w:cstheme="minorBidi"/>
          <w:sz w:val="22"/>
          <w:szCs w:val="22"/>
          <w:lang w:val="en-US" w:eastAsia="en-US"/>
        </w:rPr>
      </w:pPr>
      <w:r w:rsidRPr="00B34B45">
        <w:rPr>
          <w:kern w:val="32"/>
        </w:rPr>
        <w:t>14.</w:t>
      </w:r>
      <w:r>
        <w:tab/>
        <w:t>Zaprzestanie ujmowania i zobowiązania finansowe związane z przeniesionymi aktywami finansowymi (15)</w:t>
      </w:r>
      <w:r>
        <w:tab/>
      </w:r>
      <w:r>
        <w:fldChar w:fldCharType="begin"/>
      </w:r>
      <w:r>
        <w:instrText xml:space="preserve"> PAGEREF _Toc31019144 \h </w:instrText>
      </w:r>
      <w:r>
        <w:fldChar w:fldCharType="separate"/>
      </w:r>
      <w:r>
        <w:t>56</w:t>
      </w:r>
      <w:r>
        <w:fldChar w:fldCharType="end"/>
      </w:r>
    </w:p>
    <w:p w:rsidR="00490B4E" w:rsidRDefault="00490B4E">
      <w:pPr>
        <w:pStyle w:val="TOC2"/>
        <w:rPr>
          <w:rFonts w:asciiTheme="minorHAnsi" w:eastAsiaTheme="minorEastAsia" w:hAnsiTheme="minorHAnsi" w:cstheme="minorBidi"/>
          <w:sz w:val="22"/>
          <w:szCs w:val="22"/>
          <w:lang w:val="en-US" w:eastAsia="en-US"/>
        </w:rPr>
      </w:pPr>
      <w:r>
        <w:t>15.</w:t>
      </w:r>
      <w:r>
        <w:tab/>
        <w:t>Podział wybranych pozycji w rachunku zysków i strat (16)</w:t>
      </w:r>
      <w:r>
        <w:tab/>
      </w:r>
      <w:r>
        <w:fldChar w:fldCharType="begin"/>
      </w:r>
      <w:r>
        <w:instrText xml:space="preserve"> PAGEREF _Toc31019145 \h </w:instrText>
      </w:r>
      <w:r>
        <w:fldChar w:fldCharType="separate"/>
      </w:r>
      <w:r>
        <w:t>57</w:t>
      </w:r>
      <w:r>
        <w:fldChar w:fldCharType="end"/>
      </w:r>
    </w:p>
    <w:p w:rsidR="00490B4E" w:rsidRDefault="00490B4E">
      <w:pPr>
        <w:pStyle w:val="TOC2"/>
        <w:rPr>
          <w:rFonts w:asciiTheme="minorHAnsi" w:eastAsiaTheme="minorEastAsia" w:hAnsiTheme="minorHAnsi" w:cstheme="minorBidi"/>
          <w:sz w:val="22"/>
          <w:szCs w:val="22"/>
          <w:lang w:val="en-US" w:eastAsia="en-US"/>
        </w:rPr>
      </w:pPr>
      <w:r>
        <w:t>15.1.</w:t>
      </w:r>
      <w:r>
        <w:tab/>
        <w:t>Przychody i koszty odsetkowe według instrumentów i sektorów kontrahentów (16.1)</w:t>
      </w:r>
      <w:r>
        <w:tab/>
      </w:r>
      <w:r>
        <w:fldChar w:fldCharType="begin"/>
      </w:r>
      <w:r>
        <w:instrText xml:space="preserve"> PAGEREF _Toc31019146 \h </w:instrText>
      </w:r>
      <w:r>
        <w:fldChar w:fldCharType="separate"/>
      </w:r>
      <w:r>
        <w:t>58</w:t>
      </w:r>
      <w:r>
        <w:fldChar w:fldCharType="end"/>
      </w:r>
    </w:p>
    <w:p w:rsidR="00490B4E" w:rsidRDefault="00490B4E">
      <w:pPr>
        <w:pStyle w:val="TOC2"/>
        <w:rPr>
          <w:rFonts w:asciiTheme="minorHAnsi" w:eastAsiaTheme="minorEastAsia" w:hAnsiTheme="minorHAnsi" w:cstheme="minorBidi"/>
          <w:sz w:val="22"/>
          <w:szCs w:val="22"/>
          <w:lang w:val="en-US" w:eastAsia="en-US"/>
        </w:rPr>
      </w:pPr>
      <w:r>
        <w:t>15.2.</w:t>
      </w:r>
      <w:r>
        <w:tab/>
        <w:t>Zyski lub straty z tytułu zaprzestania ujmowania aktywów i zobowiązań finansowych niewycenianych według wartości godziwej przez wynik finansowy według instrumentów (16.2)</w:t>
      </w:r>
      <w:r>
        <w:tab/>
      </w:r>
      <w:r>
        <w:fldChar w:fldCharType="begin"/>
      </w:r>
      <w:r>
        <w:instrText xml:space="preserve"> PAGEREF _Toc31019147 \h </w:instrText>
      </w:r>
      <w:r>
        <w:fldChar w:fldCharType="separate"/>
      </w:r>
      <w:r>
        <w:t>59</w:t>
      </w:r>
      <w:r>
        <w:fldChar w:fldCharType="end"/>
      </w:r>
    </w:p>
    <w:p w:rsidR="00490B4E" w:rsidRDefault="00490B4E">
      <w:pPr>
        <w:pStyle w:val="TOC2"/>
        <w:rPr>
          <w:rFonts w:asciiTheme="minorHAnsi" w:eastAsiaTheme="minorEastAsia" w:hAnsiTheme="minorHAnsi" w:cstheme="minorBidi"/>
          <w:sz w:val="22"/>
          <w:szCs w:val="22"/>
          <w:lang w:val="en-US" w:eastAsia="en-US"/>
        </w:rPr>
      </w:pPr>
      <w:r>
        <w:t>15.3.</w:t>
      </w:r>
      <w:r>
        <w:tab/>
        <w:t>Zyski lub straty z tytułu aktywów i zobowiązań finansowych przeznaczonych do obrotu oraz aktywów i zobowiązań finansowych z przeznaczeniem do obrotu według instrumentu (16.3)</w:t>
      </w:r>
      <w:r>
        <w:tab/>
      </w:r>
      <w:r>
        <w:fldChar w:fldCharType="begin"/>
      </w:r>
      <w:r>
        <w:instrText xml:space="preserve"> PAGEREF _Toc31019148 \h </w:instrText>
      </w:r>
      <w:r>
        <w:fldChar w:fldCharType="separate"/>
      </w:r>
      <w:r>
        <w:t>60</w:t>
      </w:r>
      <w:r>
        <w:fldChar w:fldCharType="end"/>
      </w:r>
    </w:p>
    <w:p w:rsidR="00490B4E" w:rsidRDefault="00490B4E">
      <w:pPr>
        <w:pStyle w:val="TOC2"/>
        <w:rPr>
          <w:rFonts w:asciiTheme="minorHAnsi" w:eastAsiaTheme="minorEastAsia" w:hAnsiTheme="minorHAnsi" w:cstheme="minorBidi"/>
          <w:sz w:val="22"/>
          <w:szCs w:val="22"/>
          <w:lang w:val="en-US" w:eastAsia="en-US"/>
        </w:rPr>
      </w:pPr>
      <w:r>
        <w:t>15.4.</w:t>
      </w:r>
      <w:r>
        <w:tab/>
        <w:t>Zyski lub straty z tytułu aktywów i zobowiązań finansowych przeznaczonych do obrotu oraz aktywów i zobowiązań finansowych z przeznaczeniem do obrotu według ryzyka (16.4)</w:t>
      </w:r>
      <w:r>
        <w:tab/>
      </w:r>
      <w:r>
        <w:fldChar w:fldCharType="begin"/>
      </w:r>
      <w:r>
        <w:instrText xml:space="preserve"> PAGEREF _Toc31019149 \h </w:instrText>
      </w:r>
      <w:r>
        <w:fldChar w:fldCharType="separate"/>
      </w:r>
      <w:r>
        <w:t>60</w:t>
      </w:r>
      <w:r>
        <w:fldChar w:fldCharType="end"/>
      </w:r>
    </w:p>
    <w:p w:rsidR="00490B4E" w:rsidRDefault="00490B4E">
      <w:pPr>
        <w:pStyle w:val="TOC2"/>
        <w:rPr>
          <w:rFonts w:asciiTheme="minorHAnsi" w:eastAsiaTheme="minorEastAsia" w:hAnsiTheme="minorHAnsi" w:cstheme="minorBidi"/>
          <w:sz w:val="22"/>
          <w:szCs w:val="22"/>
          <w:lang w:val="en-US" w:eastAsia="en-US"/>
        </w:rPr>
      </w:pPr>
      <w:r>
        <w:t>15.5.</w:t>
      </w:r>
      <w:r>
        <w:tab/>
        <w:t>Zyski lub straty z tytułu aktywów finansowych nieprzeznaczonych do obrotu wycenianych obowiązkowo według wartości godziwej przez wynik finansowy według instrumentów (16.4.1)</w:t>
      </w:r>
      <w:r>
        <w:tab/>
      </w:r>
      <w:r>
        <w:fldChar w:fldCharType="begin"/>
      </w:r>
      <w:r>
        <w:instrText xml:space="preserve"> PAGEREF _Toc31019150 \h </w:instrText>
      </w:r>
      <w:r>
        <w:fldChar w:fldCharType="separate"/>
      </w:r>
      <w:r>
        <w:t>61</w:t>
      </w:r>
      <w:r>
        <w:fldChar w:fldCharType="end"/>
      </w:r>
    </w:p>
    <w:p w:rsidR="00490B4E" w:rsidRDefault="00490B4E">
      <w:pPr>
        <w:pStyle w:val="TOC2"/>
        <w:rPr>
          <w:rFonts w:asciiTheme="minorHAnsi" w:eastAsiaTheme="minorEastAsia" w:hAnsiTheme="minorHAnsi" w:cstheme="minorBidi"/>
          <w:sz w:val="22"/>
          <w:szCs w:val="22"/>
          <w:lang w:val="en-US" w:eastAsia="en-US"/>
        </w:rPr>
      </w:pPr>
      <w:r>
        <w:t>15.6.</w:t>
      </w:r>
      <w:r>
        <w:tab/>
        <w:t>Zyski lub straty z tytułu aktywów i zobowiązań finansowych wycenianych według wartości godziwej przez wynik finansowy według instrumentów (16.5)</w:t>
      </w:r>
      <w:r>
        <w:tab/>
      </w:r>
      <w:r>
        <w:fldChar w:fldCharType="begin"/>
      </w:r>
      <w:r>
        <w:instrText xml:space="preserve"> PAGEREF _Toc31019151 \h </w:instrText>
      </w:r>
      <w:r>
        <w:fldChar w:fldCharType="separate"/>
      </w:r>
      <w:r>
        <w:t>61</w:t>
      </w:r>
      <w:r>
        <w:fldChar w:fldCharType="end"/>
      </w:r>
    </w:p>
    <w:p w:rsidR="00490B4E" w:rsidRDefault="00490B4E">
      <w:pPr>
        <w:pStyle w:val="TOC2"/>
        <w:rPr>
          <w:rFonts w:asciiTheme="minorHAnsi" w:eastAsiaTheme="minorEastAsia" w:hAnsiTheme="minorHAnsi" w:cstheme="minorBidi"/>
          <w:sz w:val="22"/>
          <w:szCs w:val="22"/>
          <w:lang w:val="en-US" w:eastAsia="en-US"/>
        </w:rPr>
      </w:pPr>
      <w:r>
        <w:t>15.7.</w:t>
      </w:r>
      <w:r>
        <w:tab/>
        <w:t>Zyski lub straty z tytułu rachunkowości zabezpieczeń (16.6)</w:t>
      </w:r>
      <w:r>
        <w:tab/>
      </w:r>
      <w:r>
        <w:fldChar w:fldCharType="begin"/>
      </w:r>
      <w:r>
        <w:instrText xml:space="preserve"> PAGEREF _Toc31019152 \h </w:instrText>
      </w:r>
      <w:r>
        <w:fldChar w:fldCharType="separate"/>
      </w:r>
      <w:r>
        <w:t>62</w:t>
      </w:r>
      <w:r>
        <w:fldChar w:fldCharType="end"/>
      </w:r>
    </w:p>
    <w:p w:rsidR="00490B4E" w:rsidRDefault="00490B4E">
      <w:pPr>
        <w:pStyle w:val="TOC2"/>
        <w:rPr>
          <w:rFonts w:asciiTheme="minorHAnsi" w:eastAsiaTheme="minorEastAsia" w:hAnsiTheme="minorHAnsi" w:cstheme="minorBidi"/>
          <w:sz w:val="22"/>
          <w:szCs w:val="22"/>
          <w:lang w:val="en-US" w:eastAsia="en-US"/>
        </w:rPr>
      </w:pPr>
      <w:r>
        <w:t>15.8.</w:t>
      </w:r>
      <w:r>
        <w:tab/>
        <w:t>Utrata wartości z tytułu aktywów niefinansowych (16.7)</w:t>
      </w:r>
      <w:r>
        <w:tab/>
      </w:r>
      <w:r>
        <w:fldChar w:fldCharType="begin"/>
      </w:r>
      <w:r>
        <w:instrText xml:space="preserve"> PAGEREF _Toc31019153 \h </w:instrText>
      </w:r>
      <w:r>
        <w:fldChar w:fldCharType="separate"/>
      </w:r>
      <w:r>
        <w:t>62</w:t>
      </w:r>
      <w:r>
        <w:fldChar w:fldCharType="end"/>
      </w:r>
    </w:p>
    <w:p w:rsidR="00490B4E" w:rsidRDefault="00490B4E">
      <w:pPr>
        <w:pStyle w:val="TOC2"/>
        <w:rPr>
          <w:rFonts w:asciiTheme="minorHAnsi" w:eastAsiaTheme="minorEastAsia" w:hAnsiTheme="minorHAnsi" w:cstheme="minorBidi"/>
          <w:sz w:val="22"/>
          <w:szCs w:val="22"/>
          <w:lang w:val="en-US" w:eastAsia="en-US"/>
        </w:rPr>
      </w:pPr>
      <w:r>
        <w:t>15.9.</w:t>
      </w:r>
      <w:r>
        <w:tab/>
        <w:t>Pozostałe koszty administracyjne (16.8)</w:t>
      </w:r>
      <w:r>
        <w:tab/>
      </w:r>
      <w:r>
        <w:fldChar w:fldCharType="begin"/>
      </w:r>
      <w:r>
        <w:instrText xml:space="preserve"> PAGEREF _Toc31019154 \h </w:instrText>
      </w:r>
      <w:r>
        <w:fldChar w:fldCharType="separate"/>
      </w:r>
      <w:r>
        <w:t>62</w:t>
      </w:r>
      <w:r>
        <w:fldChar w:fldCharType="end"/>
      </w:r>
    </w:p>
    <w:p w:rsidR="00490B4E" w:rsidRDefault="00490B4E">
      <w:pPr>
        <w:pStyle w:val="TOC2"/>
        <w:rPr>
          <w:rFonts w:asciiTheme="minorHAnsi" w:eastAsiaTheme="minorEastAsia" w:hAnsiTheme="minorHAnsi" w:cstheme="minorBidi"/>
          <w:sz w:val="22"/>
          <w:szCs w:val="22"/>
          <w:lang w:val="en-US" w:eastAsia="en-US"/>
        </w:rPr>
      </w:pPr>
      <w:r>
        <w:t>16.</w:t>
      </w:r>
      <w:r>
        <w:tab/>
        <w:t>Uzgodnienie rachunkowego zakresu konsolidacji i zakresu konsolidacji na podstawie CRR (17)</w:t>
      </w:r>
      <w:r>
        <w:tab/>
      </w:r>
      <w:r>
        <w:fldChar w:fldCharType="begin"/>
      </w:r>
      <w:r>
        <w:instrText xml:space="preserve"> PAGEREF _Toc31019155 \h </w:instrText>
      </w:r>
      <w:r>
        <w:fldChar w:fldCharType="separate"/>
      </w:r>
      <w:r>
        <w:t>64</w:t>
      </w:r>
      <w:r>
        <w:fldChar w:fldCharType="end"/>
      </w:r>
    </w:p>
    <w:p w:rsidR="00490B4E" w:rsidRDefault="00490B4E">
      <w:pPr>
        <w:pStyle w:val="TOC2"/>
        <w:rPr>
          <w:rFonts w:asciiTheme="minorHAnsi" w:eastAsiaTheme="minorEastAsia" w:hAnsiTheme="minorHAnsi" w:cstheme="minorBidi"/>
          <w:sz w:val="22"/>
          <w:szCs w:val="22"/>
          <w:lang w:val="en-US" w:eastAsia="en-US"/>
        </w:rPr>
      </w:pPr>
      <w:r>
        <w:t>17.</w:t>
      </w:r>
      <w:r>
        <w:tab/>
        <w:t>Ekspozycje nieobsługiwane (18)</w:t>
      </w:r>
      <w:r>
        <w:tab/>
      </w:r>
      <w:r>
        <w:fldChar w:fldCharType="begin"/>
      </w:r>
      <w:r>
        <w:instrText xml:space="preserve"> PAGEREF _Toc31019156 \h </w:instrText>
      </w:r>
      <w:r>
        <w:fldChar w:fldCharType="separate"/>
      </w:r>
      <w:r>
        <w:t>64</w:t>
      </w:r>
      <w:r>
        <w:fldChar w:fldCharType="end"/>
      </w:r>
    </w:p>
    <w:p w:rsidR="00490B4E" w:rsidRDefault="00490B4E">
      <w:pPr>
        <w:pStyle w:val="TOC2"/>
        <w:rPr>
          <w:rFonts w:asciiTheme="minorHAnsi" w:eastAsiaTheme="minorEastAsia" w:hAnsiTheme="minorHAnsi" w:cstheme="minorBidi"/>
          <w:sz w:val="22"/>
          <w:szCs w:val="22"/>
          <w:lang w:val="en-US" w:eastAsia="en-US"/>
        </w:rPr>
      </w:pPr>
      <w:r>
        <w:t>17.1.</w:t>
      </w:r>
      <w:r>
        <w:tab/>
        <w:t>Informacje na temat ekspozycji obsługiwanych i nieobsługiwanych (18.0)</w:t>
      </w:r>
      <w:r>
        <w:tab/>
      </w:r>
      <w:r>
        <w:fldChar w:fldCharType="begin"/>
      </w:r>
      <w:r>
        <w:instrText xml:space="preserve"> PAGEREF _Toc31019157 \h </w:instrText>
      </w:r>
      <w:r>
        <w:fldChar w:fldCharType="separate"/>
      </w:r>
      <w:r>
        <w:t>64</w:t>
      </w:r>
      <w:r>
        <w:fldChar w:fldCharType="end"/>
      </w:r>
    </w:p>
    <w:p w:rsidR="00490B4E" w:rsidRDefault="00490B4E">
      <w:pPr>
        <w:pStyle w:val="TOC2"/>
        <w:rPr>
          <w:rFonts w:asciiTheme="minorHAnsi" w:eastAsiaTheme="minorEastAsia" w:hAnsiTheme="minorHAnsi" w:cstheme="minorBidi"/>
          <w:sz w:val="22"/>
          <w:szCs w:val="22"/>
          <w:lang w:val="en-US" w:eastAsia="en-US"/>
        </w:rPr>
      </w:pPr>
      <w:r>
        <w:t>17.2.</w:t>
      </w:r>
      <w:r>
        <w:tab/>
        <w:t>Wpływy i wypływy z tytułu ekspozycji nieobsługiwanych – kredyty i zaliczki według sektorów kontrahentów (18.1)</w:t>
      </w:r>
      <w:r>
        <w:tab/>
      </w:r>
      <w:r>
        <w:fldChar w:fldCharType="begin"/>
      </w:r>
      <w:r>
        <w:instrText xml:space="preserve"> PAGEREF _Toc31019158 \h </w:instrText>
      </w:r>
      <w:r>
        <w:fldChar w:fldCharType="separate"/>
      </w:r>
      <w:r>
        <w:t>71</w:t>
      </w:r>
      <w:r>
        <w:fldChar w:fldCharType="end"/>
      </w:r>
    </w:p>
    <w:p w:rsidR="00490B4E" w:rsidRDefault="00490B4E">
      <w:pPr>
        <w:pStyle w:val="TOC2"/>
        <w:rPr>
          <w:rFonts w:asciiTheme="minorHAnsi" w:eastAsiaTheme="minorEastAsia" w:hAnsiTheme="minorHAnsi" w:cstheme="minorBidi"/>
          <w:sz w:val="22"/>
          <w:szCs w:val="22"/>
          <w:lang w:val="en-US" w:eastAsia="en-US"/>
        </w:rPr>
      </w:pPr>
      <w:r>
        <w:t>17.3.</w:t>
      </w:r>
      <w:r>
        <w:tab/>
        <w:t>Kredyty na zakup nieruchomości komercyjnych oraz dodatkowe informacje dotyczące kredytów zabezpieczonych nieruchomościami (18.2)</w:t>
      </w:r>
      <w:r>
        <w:tab/>
      </w:r>
      <w:r>
        <w:fldChar w:fldCharType="begin"/>
      </w:r>
      <w:r>
        <w:instrText xml:space="preserve"> PAGEREF _Toc31019159 \h </w:instrText>
      </w:r>
      <w:r>
        <w:fldChar w:fldCharType="separate"/>
      </w:r>
      <w:r>
        <w:t>72</w:t>
      </w:r>
      <w:r>
        <w:fldChar w:fldCharType="end"/>
      </w:r>
    </w:p>
    <w:p w:rsidR="00490B4E" w:rsidRDefault="00490B4E">
      <w:pPr>
        <w:pStyle w:val="TOC2"/>
        <w:rPr>
          <w:rFonts w:asciiTheme="minorHAnsi" w:eastAsiaTheme="minorEastAsia" w:hAnsiTheme="minorHAnsi" w:cstheme="minorBidi"/>
          <w:sz w:val="22"/>
          <w:szCs w:val="22"/>
          <w:lang w:val="en-US" w:eastAsia="en-US"/>
        </w:rPr>
      </w:pPr>
      <w:r>
        <w:t>18.</w:t>
      </w:r>
      <w:r>
        <w:tab/>
        <w:t>Ekspozycje restrukturyzowane (19)</w:t>
      </w:r>
      <w:r>
        <w:tab/>
      </w:r>
      <w:r>
        <w:fldChar w:fldCharType="begin"/>
      </w:r>
      <w:r>
        <w:instrText xml:space="preserve"> PAGEREF _Toc31019160 \h </w:instrText>
      </w:r>
      <w:r>
        <w:fldChar w:fldCharType="separate"/>
      </w:r>
      <w:r>
        <w:t>73</w:t>
      </w:r>
      <w:r>
        <w:fldChar w:fldCharType="end"/>
      </w:r>
    </w:p>
    <w:p w:rsidR="00490B4E" w:rsidRDefault="00490B4E">
      <w:pPr>
        <w:pStyle w:val="TOC2"/>
        <w:rPr>
          <w:rFonts w:asciiTheme="minorHAnsi" w:eastAsiaTheme="minorEastAsia" w:hAnsiTheme="minorHAnsi" w:cstheme="minorBidi"/>
          <w:sz w:val="22"/>
          <w:szCs w:val="22"/>
          <w:lang w:val="en-US" w:eastAsia="en-US"/>
        </w:rPr>
      </w:pPr>
      <w:r>
        <w:t>19.</w:t>
      </w:r>
      <w:r>
        <w:tab/>
        <w:t>Podział pod względem geograficznym (20)</w:t>
      </w:r>
      <w:r>
        <w:tab/>
      </w:r>
      <w:r>
        <w:fldChar w:fldCharType="begin"/>
      </w:r>
      <w:r>
        <w:instrText xml:space="preserve"> PAGEREF _Toc31019161 \h </w:instrText>
      </w:r>
      <w:r>
        <w:fldChar w:fldCharType="separate"/>
      </w:r>
      <w:r>
        <w:t>78</w:t>
      </w:r>
      <w:r>
        <w:fldChar w:fldCharType="end"/>
      </w:r>
    </w:p>
    <w:p w:rsidR="00490B4E" w:rsidRDefault="00490B4E">
      <w:pPr>
        <w:pStyle w:val="TOC2"/>
        <w:rPr>
          <w:rFonts w:asciiTheme="minorHAnsi" w:eastAsiaTheme="minorEastAsia" w:hAnsiTheme="minorHAnsi" w:cstheme="minorBidi"/>
          <w:sz w:val="22"/>
          <w:szCs w:val="22"/>
          <w:lang w:val="en-US" w:eastAsia="en-US"/>
        </w:rPr>
      </w:pPr>
      <w:r>
        <w:t>19.1.</w:t>
      </w:r>
      <w:r>
        <w:tab/>
        <w:t>Podział pod względem geograficznym według miejsca wykonywania działalności (20.1–20.3)</w:t>
      </w:r>
      <w:r>
        <w:tab/>
      </w:r>
      <w:r>
        <w:fldChar w:fldCharType="begin"/>
      </w:r>
      <w:r>
        <w:instrText xml:space="preserve"> PAGEREF _Toc31019162 \h </w:instrText>
      </w:r>
      <w:r>
        <w:fldChar w:fldCharType="separate"/>
      </w:r>
      <w:r>
        <w:t>78</w:t>
      </w:r>
      <w:r>
        <w:fldChar w:fldCharType="end"/>
      </w:r>
    </w:p>
    <w:p w:rsidR="00490B4E" w:rsidRDefault="00490B4E">
      <w:pPr>
        <w:pStyle w:val="TOC2"/>
        <w:rPr>
          <w:rFonts w:asciiTheme="minorHAnsi" w:eastAsiaTheme="minorEastAsia" w:hAnsiTheme="minorHAnsi" w:cstheme="minorBidi"/>
          <w:sz w:val="22"/>
          <w:szCs w:val="22"/>
          <w:lang w:val="en-US" w:eastAsia="en-US"/>
        </w:rPr>
      </w:pPr>
      <w:r>
        <w:t>19.2.</w:t>
      </w:r>
      <w:r>
        <w:tab/>
        <w:t>Podział pod względem geograficznym według siedziby kontrahenta (20.4-20.7)</w:t>
      </w:r>
      <w:r>
        <w:tab/>
      </w:r>
      <w:r>
        <w:fldChar w:fldCharType="begin"/>
      </w:r>
      <w:r>
        <w:instrText xml:space="preserve"> PAGEREF _Toc31019163 \h </w:instrText>
      </w:r>
      <w:r>
        <w:fldChar w:fldCharType="separate"/>
      </w:r>
      <w:r>
        <w:t>78</w:t>
      </w:r>
      <w:r>
        <w:fldChar w:fldCharType="end"/>
      </w:r>
    </w:p>
    <w:p w:rsidR="00490B4E" w:rsidRDefault="00490B4E">
      <w:pPr>
        <w:pStyle w:val="TOC2"/>
        <w:rPr>
          <w:rFonts w:asciiTheme="minorHAnsi" w:eastAsiaTheme="minorEastAsia" w:hAnsiTheme="minorHAnsi" w:cstheme="minorBidi"/>
          <w:sz w:val="22"/>
          <w:szCs w:val="22"/>
          <w:lang w:val="en-US" w:eastAsia="en-US"/>
        </w:rPr>
      </w:pPr>
      <w:r>
        <w:t>20.</w:t>
      </w:r>
      <w:r>
        <w:tab/>
        <w:t>Nieruchomości inwestycyjne i rzeczowe aktywa trwałe oraz wartości niematerialne i prawne: aktywa podlegające leasingowi operacyjnemu (21)</w:t>
      </w:r>
      <w:r>
        <w:tab/>
      </w:r>
      <w:r>
        <w:fldChar w:fldCharType="begin"/>
      </w:r>
      <w:r>
        <w:instrText xml:space="preserve"> PAGEREF _Toc31019164 \h </w:instrText>
      </w:r>
      <w:r>
        <w:fldChar w:fldCharType="separate"/>
      </w:r>
      <w:r>
        <w:t>80</w:t>
      </w:r>
      <w:r>
        <w:fldChar w:fldCharType="end"/>
      </w:r>
    </w:p>
    <w:p w:rsidR="00490B4E" w:rsidRDefault="00490B4E">
      <w:pPr>
        <w:pStyle w:val="TOC2"/>
        <w:rPr>
          <w:rFonts w:asciiTheme="minorHAnsi" w:eastAsiaTheme="minorEastAsia" w:hAnsiTheme="minorHAnsi" w:cstheme="minorBidi"/>
          <w:sz w:val="22"/>
          <w:szCs w:val="22"/>
          <w:lang w:val="en-US" w:eastAsia="en-US"/>
        </w:rPr>
      </w:pPr>
      <w:r>
        <w:t>21.</w:t>
      </w:r>
      <w:r>
        <w:tab/>
        <w:t>Zarządzanie aktywami, usługi przechowywania i inne usługi (22)</w:t>
      </w:r>
      <w:r>
        <w:tab/>
      </w:r>
      <w:r>
        <w:fldChar w:fldCharType="begin"/>
      </w:r>
      <w:r>
        <w:instrText xml:space="preserve"> PAGEREF _Toc31019165 \h </w:instrText>
      </w:r>
      <w:r>
        <w:fldChar w:fldCharType="separate"/>
      </w:r>
      <w:r>
        <w:t>80</w:t>
      </w:r>
      <w:r>
        <w:fldChar w:fldCharType="end"/>
      </w:r>
    </w:p>
    <w:p w:rsidR="00490B4E" w:rsidRDefault="00490B4E">
      <w:pPr>
        <w:pStyle w:val="TOC2"/>
        <w:rPr>
          <w:rFonts w:asciiTheme="minorHAnsi" w:eastAsiaTheme="minorEastAsia" w:hAnsiTheme="minorHAnsi" w:cstheme="minorBidi"/>
          <w:sz w:val="22"/>
          <w:szCs w:val="22"/>
          <w:lang w:val="en-US" w:eastAsia="en-US"/>
        </w:rPr>
      </w:pPr>
      <w:r>
        <w:t>21.1.</w:t>
      </w:r>
      <w:r>
        <w:tab/>
        <w:t>Przychody i koszty z tytułu opłat i prowizji według działalności (22.1)</w:t>
      </w:r>
      <w:r>
        <w:tab/>
      </w:r>
      <w:r>
        <w:fldChar w:fldCharType="begin"/>
      </w:r>
      <w:r>
        <w:instrText xml:space="preserve"> PAGEREF _Toc31019166 \h </w:instrText>
      </w:r>
      <w:r>
        <w:fldChar w:fldCharType="separate"/>
      </w:r>
      <w:r>
        <w:t>80</w:t>
      </w:r>
      <w:r>
        <w:fldChar w:fldCharType="end"/>
      </w:r>
    </w:p>
    <w:p w:rsidR="00490B4E" w:rsidRDefault="00490B4E">
      <w:pPr>
        <w:pStyle w:val="TOC2"/>
        <w:rPr>
          <w:rFonts w:asciiTheme="minorHAnsi" w:eastAsiaTheme="minorEastAsia" w:hAnsiTheme="minorHAnsi" w:cstheme="minorBidi"/>
          <w:sz w:val="22"/>
          <w:szCs w:val="22"/>
          <w:lang w:val="en-US" w:eastAsia="en-US"/>
        </w:rPr>
      </w:pPr>
      <w:r>
        <w:t>21.2.</w:t>
      </w:r>
      <w:r>
        <w:tab/>
        <w:t>Aktywa zaangażowane w świadczone usługi (22.2)</w:t>
      </w:r>
      <w:r>
        <w:tab/>
      </w:r>
      <w:r>
        <w:fldChar w:fldCharType="begin"/>
      </w:r>
      <w:r>
        <w:instrText xml:space="preserve"> PAGEREF _Toc31019167 \h </w:instrText>
      </w:r>
      <w:r>
        <w:fldChar w:fldCharType="separate"/>
      </w:r>
      <w:r>
        <w:t>83</w:t>
      </w:r>
      <w:r>
        <w:fldChar w:fldCharType="end"/>
      </w:r>
    </w:p>
    <w:p w:rsidR="00490B4E" w:rsidRDefault="00490B4E">
      <w:pPr>
        <w:pStyle w:val="TOC2"/>
        <w:rPr>
          <w:rFonts w:asciiTheme="minorHAnsi" w:eastAsiaTheme="minorEastAsia" w:hAnsiTheme="minorHAnsi" w:cstheme="minorBidi"/>
          <w:sz w:val="22"/>
          <w:szCs w:val="22"/>
          <w:lang w:val="en-US" w:eastAsia="en-US"/>
        </w:rPr>
      </w:pPr>
      <w:r>
        <w:t>22.</w:t>
      </w:r>
      <w:r>
        <w:tab/>
        <w:t>Udziały w jednostkach strukturyzowanych niepodlegających konsolidacji (30)</w:t>
      </w:r>
      <w:r>
        <w:tab/>
      </w:r>
      <w:r>
        <w:fldChar w:fldCharType="begin"/>
      </w:r>
      <w:r>
        <w:instrText xml:space="preserve"> PAGEREF _Toc31019168 \h </w:instrText>
      </w:r>
      <w:r>
        <w:fldChar w:fldCharType="separate"/>
      </w:r>
      <w:r>
        <w:t>84</w:t>
      </w:r>
      <w:r>
        <w:fldChar w:fldCharType="end"/>
      </w:r>
    </w:p>
    <w:p w:rsidR="00490B4E" w:rsidRDefault="00490B4E">
      <w:pPr>
        <w:pStyle w:val="TOC2"/>
        <w:rPr>
          <w:rFonts w:asciiTheme="minorHAnsi" w:eastAsiaTheme="minorEastAsia" w:hAnsiTheme="minorHAnsi" w:cstheme="minorBidi"/>
          <w:sz w:val="22"/>
          <w:szCs w:val="22"/>
          <w:lang w:val="en-US" w:eastAsia="en-US"/>
        </w:rPr>
      </w:pPr>
      <w:r>
        <w:t>23.</w:t>
      </w:r>
      <w:r>
        <w:tab/>
        <w:t>Jednostki powiązane (31)</w:t>
      </w:r>
      <w:r>
        <w:tab/>
      </w:r>
      <w:r>
        <w:fldChar w:fldCharType="begin"/>
      </w:r>
      <w:r>
        <w:instrText xml:space="preserve"> PAGEREF _Toc31019169 \h </w:instrText>
      </w:r>
      <w:r>
        <w:fldChar w:fldCharType="separate"/>
      </w:r>
      <w:r>
        <w:t>85</w:t>
      </w:r>
      <w:r>
        <w:fldChar w:fldCharType="end"/>
      </w:r>
    </w:p>
    <w:p w:rsidR="00490B4E" w:rsidRDefault="00490B4E">
      <w:pPr>
        <w:pStyle w:val="TOC2"/>
        <w:rPr>
          <w:rFonts w:asciiTheme="minorHAnsi" w:eastAsiaTheme="minorEastAsia" w:hAnsiTheme="minorHAnsi" w:cstheme="minorBidi"/>
          <w:sz w:val="22"/>
          <w:szCs w:val="22"/>
          <w:lang w:val="en-US" w:eastAsia="en-US"/>
        </w:rPr>
      </w:pPr>
      <w:r>
        <w:t>23.1.</w:t>
      </w:r>
      <w:r>
        <w:tab/>
        <w:t>Jednostki powiązane: kwoty przypadające do zapłaty i kwoty należne (31.1)</w:t>
      </w:r>
      <w:r>
        <w:tab/>
      </w:r>
      <w:r>
        <w:fldChar w:fldCharType="begin"/>
      </w:r>
      <w:r>
        <w:instrText xml:space="preserve"> PAGEREF _Toc31019170 \h </w:instrText>
      </w:r>
      <w:r>
        <w:fldChar w:fldCharType="separate"/>
      </w:r>
      <w:r>
        <w:t>85</w:t>
      </w:r>
      <w:r>
        <w:fldChar w:fldCharType="end"/>
      </w:r>
    </w:p>
    <w:p w:rsidR="00490B4E" w:rsidRDefault="00490B4E">
      <w:pPr>
        <w:pStyle w:val="TOC2"/>
        <w:rPr>
          <w:rFonts w:asciiTheme="minorHAnsi" w:eastAsiaTheme="minorEastAsia" w:hAnsiTheme="minorHAnsi" w:cstheme="minorBidi"/>
          <w:sz w:val="22"/>
          <w:szCs w:val="22"/>
          <w:lang w:val="en-US" w:eastAsia="en-US"/>
        </w:rPr>
      </w:pPr>
      <w:r>
        <w:t>23.2.</w:t>
      </w:r>
      <w:r>
        <w:tab/>
        <w:t>Jednostki powiązane: koszty i przychody generowane przez transakcje z (31.2)</w:t>
      </w:r>
      <w:r>
        <w:tab/>
      </w:r>
      <w:r>
        <w:fldChar w:fldCharType="begin"/>
      </w:r>
      <w:r>
        <w:instrText xml:space="preserve"> PAGEREF _Toc31019171 \h </w:instrText>
      </w:r>
      <w:r>
        <w:fldChar w:fldCharType="separate"/>
      </w:r>
      <w:r>
        <w:t>85</w:t>
      </w:r>
      <w:r>
        <w:fldChar w:fldCharType="end"/>
      </w:r>
    </w:p>
    <w:p w:rsidR="00490B4E" w:rsidRDefault="00490B4E">
      <w:pPr>
        <w:pStyle w:val="TOC2"/>
        <w:rPr>
          <w:rFonts w:asciiTheme="minorHAnsi" w:eastAsiaTheme="minorEastAsia" w:hAnsiTheme="minorHAnsi" w:cstheme="minorBidi"/>
          <w:sz w:val="22"/>
          <w:szCs w:val="22"/>
          <w:lang w:val="en-US" w:eastAsia="en-US"/>
        </w:rPr>
      </w:pPr>
      <w:r>
        <w:t>24.</w:t>
      </w:r>
      <w:r>
        <w:tab/>
        <w:t>Struktura grupy (40)</w:t>
      </w:r>
      <w:r>
        <w:tab/>
      </w:r>
      <w:r>
        <w:fldChar w:fldCharType="begin"/>
      </w:r>
      <w:r>
        <w:instrText xml:space="preserve"> PAGEREF _Toc31019172 \h </w:instrText>
      </w:r>
      <w:r>
        <w:fldChar w:fldCharType="separate"/>
      </w:r>
      <w:r>
        <w:t>86</w:t>
      </w:r>
      <w:r>
        <w:fldChar w:fldCharType="end"/>
      </w:r>
    </w:p>
    <w:p w:rsidR="00490B4E" w:rsidRDefault="00490B4E">
      <w:pPr>
        <w:pStyle w:val="TOC2"/>
        <w:rPr>
          <w:rFonts w:asciiTheme="minorHAnsi" w:eastAsiaTheme="minorEastAsia" w:hAnsiTheme="minorHAnsi" w:cstheme="minorBidi"/>
          <w:sz w:val="22"/>
          <w:szCs w:val="22"/>
          <w:lang w:val="en-US" w:eastAsia="en-US"/>
        </w:rPr>
      </w:pPr>
      <w:r>
        <w:t>24.1.</w:t>
      </w:r>
      <w:r>
        <w:tab/>
        <w:t>Struktura grupy: „poszczególne podmioty” (40.1)</w:t>
      </w:r>
      <w:r>
        <w:tab/>
      </w:r>
      <w:r>
        <w:fldChar w:fldCharType="begin"/>
      </w:r>
      <w:r>
        <w:instrText xml:space="preserve"> PAGEREF _Toc31019173 \h </w:instrText>
      </w:r>
      <w:r>
        <w:fldChar w:fldCharType="separate"/>
      </w:r>
      <w:r>
        <w:t>86</w:t>
      </w:r>
      <w:r>
        <w:fldChar w:fldCharType="end"/>
      </w:r>
    </w:p>
    <w:p w:rsidR="00490B4E" w:rsidRDefault="00490B4E">
      <w:pPr>
        <w:pStyle w:val="TOC2"/>
        <w:rPr>
          <w:rFonts w:asciiTheme="minorHAnsi" w:eastAsiaTheme="minorEastAsia" w:hAnsiTheme="minorHAnsi" w:cstheme="minorBidi"/>
          <w:sz w:val="22"/>
          <w:szCs w:val="22"/>
          <w:lang w:val="en-US" w:eastAsia="en-US"/>
        </w:rPr>
      </w:pPr>
      <w:r>
        <w:t>24.2.</w:t>
      </w:r>
      <w:r>
        <w:tab/>
        <w:t>Struktura grupy: „poszczególne instrumenty” (40.2)</w:t>
      </w:r>
      <w:r>
        <w:tab/>
      </w:r>
      <w:r>
        <w:fldChar w:fldCharType="begin"/>
      </w:r>
      <w:r>
        <w:instrText xml:space="preserve"> PAGEREF _Toc31019174 \h </w:instrText>
      </w:r>
      <w:r>
        <w:fldChar w:fldCharType="separate"/>
      </w:r>
      <w:r>
        <w:t>88</w:t>
      </w:r>
      <w:r>
        <w:fldChar w:fldCharType="end"/>
      </w:r>
    </w:p>
    <w:p w:rsidR="00490B4E" w:rsidRDefault="00490B4E">
      <w:pPr>
        <w:pStyle w:val="TOC2"/>
        <w:rPr>
          <w:rFonts w:asciiTheme="minorHAnsi" w:eastAsiaTheme="minorEastAsia" w:hAnsiTheme="minorHAnsi" w:cstheme="minorBidi"/>
          <w:sz w:val="22"/>
          <w:szCs w:val="22"/>
          <w:lang w:val="en-US" w:eastAsia="en-US"/>
        </w:rPr>
      </w:pPr>
      <w:r>
        <w:t>25.</w:t>
      </w:r>
      <w:r>
        <w:tab/>
        <w:t>Wartość godziwa (41)</w:t>
      </w:r>
      <w:r>
        <w:tab/>
      </w:r>
      <w:r>
        <w:fldChar w:fldCharType="begin"/>
      </w:r>
      <w:r>
        <w:instrText xml:space="preserve"> PAGEREF _Toc31019175 \h </w:instrText>
      </w:r>
      <w:r>
        <w:fldChar w:fldCharType="separate"/>
      </w:r>
      <w:r>
        <w:t>88</w:t>
      </w:r>
      <w:r>
        <w:fldChar w:fldCharType="end"/>
      </w:r>
    </w:p>
    <w:p w:rsidR="00490B4E" w:rsidRDefault="00490B4E">
      <w:pPr>
        <w:pStyle w:val="TOC2"/>
        <w:rPr>
          <w:rFonts w:asciiTheme="minorHAnsi" w:eastAsiaTheme="minorEastAsia" w:hAnsiTheme="minorHAnsi" w:cstheme="minorBidi"/>
          <w:sz w:val="22"/>
          <w:szCs w:val="22"/>
          <w:lang w:val="en-US" w:eastAsia="en-US"/>
        </w:rPr>
      </w:pPr>
      <w:r>
        <w:t>25.1.</w:t>
      </w:r>
      <w:r>
        <w:tab/>
        <w:t>Hierarchia wartości godziwej: instrumenty finansowe według kosztu zamortyzowanego (41.1)</w:t>
      </w:r>
      <w:r>
        <w:tab/>
      </w:r>
      <w:r>
        <w:fldChar w:fldCharType="begin"/>
      </w:r>
      <w:r>
        <w:instrText xml:space="preserve"> PAGEREF _Toc31019176 \h </w:instrText>
      </w:r>
      <w:r>
        <w:fldChar w:fldCharType="separate"/>
      </w:r>
      <w:r>
        <w:t>88</w:t>
      </w:r>
      <w:r>
        <w:fldChar w:fldCharType="end"/>
      </w:r>
    </w:p>
    <w:p w:rsidR="00490B4E" w:rsidRDefault="00490B4E">
      <w:pPr>
        <w:pStyle w:val="TOC2"/>
        <w:rPr>
          <w:rFonts w:asciiTheme="minorHAnsi" w:eastAsiaTheme="minorEastAsia" w:hAnsiTheme="minorHAnsi" w:cstheme="minorBidi"/>
          <w:sz w:val="22"/>
          <w:szCs w:val="22"/>
          <w:lang w:val="en-US" w:eastAsia="en-US"/>
        </w:rPr>
      </w:pPr>
      <w:r>
        <w:t>25.2.</w:t>
      </w:r>
      <w:r>
        <w:tab/>
        <w:t>Stosowanie opcji wyceny według wartości godziwej (41.2)</w:t>
      </w:r>
      <w:r>
        <w:tab/>
      </w:r>
      <w:r>
        <w:fldChar w:fldCharType="begin"/>
      </w:r>
      <w:r>
        <w:instrText xml:space="preserve"> PAGEREF _Toc31019177 \h </w:instrText>
      </w:r>
      <w:r>
        <w:fldChar w:fldCharType="separate"/>
      </w:r>
      <w:r>
        <w:t>89</w:t>
      </w:r>
      <w:r>
        <w:fldChar w:fldCharType="end"/>
      </w:r>
    </w:p>
    <w:p w:rsidR="00490B4E" w:rsidRDefault="00490B4E">
      <w:pPr>
        <w:pStyle w:val="TOC2"/>
        <w:rPr>
          <w:rFonts w:asciiTheme="minorHAnsi" w:eastAsiaTheme="minorEastAsia" w:hAnsiTheme="minorHAnsi" w:cstheme="minorBidi"/>
          <w:sz w:val="22"/>
          <w:szCs w:val="22"/>
          <w:lang w:val="en-US" w:eastAsia="en-US"/>
        </w:rPr>
      </w:pPr>
      <w:r>
        <w:t>26.</w:t>
      </w:r>
      <w:r>
        <w:tab/>
        <w:t>Nieruchomości inwestycyjne i rzeczowe aktywa trwałe oraz wartości niematerialne i prawne: wartość bilansowa według metody wyceny (42)</w:t>
      </w:r>
      <w:r>
        <w:tab/>
      </w:r>
      <w:r>
        <w:fldChar w:fldCharType="begin"/>
      </w:r>
      <w:r>
        <w:instrText xml:space="preserve"> PAGEREF _Toc31019178 \h </w:instrText>
      </w:r>
      <w:r>
        <w:fldChar w:fldCharType="separate"/>
      </w:r>
      <w:r>
        <w:t>89</w:t>
      </w:r>
      <w:r>
        <w:fldChar w:fldCharType="end"/>
      </w:r>
    </w:p>
    <w:p w:rsidR="00490B4E" w:rsidRDefault="00490B4E">
      <w:pPr>
        <w:pStyle w:val="TOC2"/>
        <w:rPr>
          <w:rFonts w:asciiTheme="minorHAnsi" w:eastAsiaTheme="minorEastAsia" w:hAnsiTheme="minorHAnsi" w:cstheme="minorBidi"/>
          <w:sz w:val="22"/>
          <w:szCs w:val="22"/>
          <w:lang w:val="en-US" w:eastAsia="en-US"/>
        </w:rPr>
      </w:pPr>
      <w:r>
        <w:t>27.</w:t>
      </w:r>
      <w:r>
        <w:tab/>
        <w:t>Rezerwy (43)</w:t>
      </w:r>
      <w:r>
        <w:tab/>
      </w:r>
      <w:r>
        <w:fldChar w:fldCharType="begin"/>
      </w:r>
      <w:r>
        <w:instrText xml:space="preserve"> PAGEREF _Toc31019179 \h </w:instrText>
      </w:r>
      <w:r>
        <w:fldChar w:fldCharType="separate"/>
      </w:r>
      <w:r>
        <w:t>89</w:t>
      </w:r>
      <w:r>
        <w:fldChar w:fldCharType="end"/>
      </w:r>
    </w:p>
    <w:p w:rsidR="00490B4E" w:rsidRDefault="00490B4E">
      <w:pPr>
        <w:pStyle w:val="TOC2"/>
        <w:rPr>
          <w:rFonts w:asciiTheme="minorHAnsi" w:eastAsiaTheme="minorEastAsia" w:hAnsiTheme="minorHAnsi" w:cstheme="minorBidi"/>
          <w:sz w:val="22"/>
          <w:szCs w:val="22"/>
          <w:lang w:val="en-US" w:eastAsia="en-US"/>
        </w:rPr>
      </w:pPr>
      <w:r>
        <w:t>28.</w:t>
      </w:r>
      <w:r>
        <w:tab/>
        <w:t>Programy o zdefiniowanym świadczeniu i świadczenia pracownicze (44)</w:t>
      </w:r>
      <w:r>
        <w:tab/>
      </w:r>
      <w:r>
        <w:fldChar w:fldCharType="begin"/>
      </w:r>
      <w:r>
        <w:instrText xml:space="preserve"> PAGEREF _Toc31019180 \h </w:instrText>
      </w:r>
      <w:r>
        <w:fldChar w:fldCharType="separate"/>
      </w:r>
      <w:r>
        <w:t>90</w:t>
      </w:r>
      <w:r>
        <w:fldChar w:fldCharType="end"/>
      </w:r>
    </w:p>
    <w:p w:rsidR="00490B4E" w:rsidRDefault="00490B4E">
      <w:pPr>
        <w:pStyle w:val="TOC2"/>
        <w:rPr>
          <w:rFonts w:asciiTheme="minorHAnsi" w:eastAsiaTheme="minorEastAsia" w:hAnsiTheme="minorHAnsi" w:cstheme="minorBidi"/>
          <w:sz w:val="22"/>
          <w:szCs w:val="22"/>
          <w:lang w:val="en-US" w:eastAsia="en-US"/>
        </w:rPr>
      </w:pPr>
      <w:r>
        <w:t>28.1.</w:t>
      </w:r>
      <w:r>
        <w:tab/>
        <w:t>Składniki aktywów i zobowiązań netto programu o zdefiniowanym świadczeniu (44.1)</w:t>
      </w:r>
      <w:r>
        <w:tab/>
      </w:r>
      <w:r>
        <w:fldChar w:fldCharType="begin"/>
      </w:r>
      <w:r>
        <w:instrText xml:space="preserve"> PAGEREF _Toc31019181 \h </w:instrText>
      </w:r>
      <w:r>
        <w:fldChar w:fldCharType="separate"/>
      </w:r>
      <w:r>
        <w:t>90</w:t>
      </w:r>
      <w:r>
        <w:fldChar w:fldCharType="end"/>
      </w:r>
    </w:p>
    <w:p w:rsidR="00490B4E" w:rsidRDefault="00490B4E">
      <w:pPr>
        <w:pStyle w:val="TOC2"/>
        <w:rPr>
          <w:rFonts w:asciiTheme="minorHAnsi" w:eastAsiaTheme="minorEastAsia" w:hAnsiTheme="minorHAnsi" w:cstheme="minorBidi"/>
          <w:sz w:val="22"/>
          <w:szCs w:val="22"/>
          <w:lang w:val="en-US" w:eastAsia="en-US"/>
        </w:rPr>
      </w:pPr>
      <w:r>
        <w:t>28.2.</w:t>
      </w:r>
      <w:r>
        <w:tab/>
        <w:t>Zmiany w zobowiązaniach z tytułu zdefiniowanych świadczeń (44.2)</w:t>
      </w:r>
      <w:r>
        <w:tab/>
      </w:r>
      <w:r>
        <w:fldChar w:fldCharType="begin"/>
      </w:r>
      <w:r>
        <w:instrText xml:space="preserve"> PAGEREF _Toc31019182 \h </w:instrText>
      </w:r>
      <w:r>
        <w:fldChar w:fldCharType="separate"/>
      </w:r>
      <w:r>
        <w:t>90</w:t>
      </w:r>
      <w:r>
        <w:fldChar w:fldCharType="end"/>
      </w:r>
    </w:p>
    <w:p w:rsidR="00490B4E" w:rsidRDefault="00490B4E">
      <w:pPr>
        <w:pStyle w:val="TOC2"/>
        <w:rPr>
          <w:rFonts w:asciiTheme="minorHAnsi" w:eastAsiaTheme="minorEastAsia" w:hAnsiTheme="minorHAnsi" w:cstheme="minorBidi"/>
          <w:sz w:val="22"/>
          <w:szCs w:val="22"/>
          <w:lang w:val="en-US" w:eastAsia="en-US"/>
        </w:rPr>
      </w:pPr>
      <w:r>
        <w:t>28.3.</w:t>
      </w:r>
      <w:r>
        <w:tab/>
        <w:t>Koszty personelu według rodzaju świadczeń (44.3)</w:t>
      </w:r>
      <w:r>
        <w:tab/>
      </w:r>
      <w:r>
        <w:fldChar w:fldCharType="begin"/>
      </w:r>
      <w:r>
        <w:instrText xml:space="preserve"> PAGEREF _Toc31019183 \h </w:instrText>
      </w:r>
      <w:r>
        <w:fldChar w:fldCharType="separate"/>
      </w:r>
      <w:r>
        <w:t>90</w:t>
      </w:r>
      <w:r>
        <w:fldChar w:fldCharType="end"/>
      </w:r>
    </w:p>
    <w:p w:rsidR="00490B4E" w:rsidRDefault="00490B4E">
      <w:pPr>
        <w:pStyle w:val="TOC2"/>
        <w:rPr>
          <w:rFonts w:asciiTheme="minorHAnsi" w:eastAsiaTheme="minorEastAsia" w:hAnsiTheme="minorHAnsi" w:cstheme="minorBidi"/>
          <w:sz w:val="22"/>
          <w:szCs w:val="22"/>
          <w:lang w:val="en-US" w:eastAsia="en-US"/>
        </w:rPr>
      </w:pPr>
      <w:r>
        <w:t>28.4.</w:t>
      </w:r>
      <w:r>
        <w:tab/>
        <w:t>Koszty personelu według kategorii wynagrodzenia i kategorii personelu (44.4)</w:t>
      </w:r>
      <w:r>
        <w:tab/>
      </w:r>
      <w:r>
        <w:fldChar w:fldCharType="begin"/>
      </w:r>
      <w:r>
        <w:instrText xml:space="preserve"> PAGEREF _Toc31019184 \h </w:instrText>
      </w:r>
      <w:r>
        <w:fldChar w:fldCharType="separate"/>
      </w:r>
      <w:r>
        <w:t>91</w:t>
      </w:r>
      <w:r>
        <w:fldChar w:fldCharType="end"/>
      </w:r>
    </w:p>
    <w:p w:rsidR="00490B4E" w:rsidRDefault="00490B4E">
      <w:pPr>
        <w:pStyle w:val="TOC2"/>
        <w:rPr>
          <w:rFonts w:asciiTheme="minorHAnsi" w:eastAsiaTheme="minorEastAsia" w:hAnsiTheme="minorHAnsi" w:cstheme="minorBidi"/>
          <w:sz w:val="22"/>
          <w:szCs w:val="22"/>
          <w:lang w:val="en-US" w:eastAsia="en-US"/>
        </w:rPr>
      </w:pPr>
      <w:r>
        <w:t>29.</w:t>
      </w:r>
      <w:r>
        <w:tab/>
        <w:t>Podział wybranych pozycji w rachunku zysków i strat (45)</w:t>
      </w:r>
      <w:r>
        <w:tab/>
      </w:r>
      <w:r>
        <w:fldChar w:fldCharType="begin"/>
      </w:r>
      <w:r>
        <w:instrText xml:space="preserve"> PAGEREF _Toc31019185 \h </w:instrText>
      </w:r>
      <w:r>
        <w:fldChar w:fldCharType="separate"/>
      </w:r>
      <w:r>
        <w:t>91</w:t>
      </w:r>
      <w:r>
        <w:fldChar w:fldCharType="end"/>
      </w:r>
    </w:p>
    <w:p w:rsidR="00490B4E" w:rsidRDefault="00490B4E">
      <w:pPr>
        <w:pStyle w:val="TOC2"/>
        <w:rPr>
          <w:rFonts w:asciiTheme="minorHAnsi" w:eastAsiaTheme="minorEastAsia" w:hAnsiTheme="minorHAnsi" w:cstheme="minorBidi"/>
          <w:sz w:val="22"/>
          <w:szCs w:val="22"/>
          <w:lang w:val="en-US" w:eastAsia="en-US"/>
        </w:rPr>
      </w:pPr>
      <w:r>
        <w:t>29.1.</w:t>
      </w:r>
      <w:r>
        <w:tab/>
        <w:t>Zyski lub straty z tytułu aktywów i zobowiązań finansowych wycenianych według wartości godziwej przez wynik finansowy według portfela księgowego (45.1)</w:t>
      </w:r>
      <w:r>
        <w:tab/>
      </w:r>
      <w:r>
        <w:fldChar w:fldCharType="begin"/>
      </w:r>
      <w:r>
        <w:instrText xml:space="preserve"> PAGEREF _Toc31019186 \h </w:instrText>
      </w:r>
      <w:r>
        <w:fldChar w:fldCharType="separate"/>
      </w:r>
      <w:r>
        <w:t>91</w:t>
      </w:r>
      <w:r>
        <w:fldChar w:fldCharType="end"/>
      </w:r>
    </w:p>
    <w:p w:rsidR="00490B4E" w:rsidRDefault="00490B4E">
      <w:pPr>
        <w:pStyle w:val="TOC2"/>
        <w:rPr>
          <w:rFonts w:asciiTheme="minorHAnsi" w:eastAsiaTheme="minorEastAsia" w:hAnsiTheme="minorHAnsi" w:cstheme="minorBidi"/>
          <w:sz w:val="22"/>
          <w:szCs w:val="22"/>
          <w:lang w:val="en-US" w:eastAsia="en-US"/>
        </w:rPr>
      </w:pPr>
      <w:r>
        <w:t>29.2.</w:t>
      </w:r>
      <w:r>
        <w:tab/>
        <w:t>Zyski lub straty z tytułu zaprzestania ujmowania aktywów niefinansowych (45.2)</w:t>
      </w:r>
      <w:r>
        <w:tab/>
      </w:r>
      <w:r>
        <w:fldChar w:fldCharType="begin"/>
      </w:r>
      <w:r>
        <w:instrText xml:space="preserve"> PAGEREF _Toc31019187 \h </w:instrText>
      </w:r>
      <w:r>
        <w:fldChar w:fldCharType="separate"/>
      </w:r>
      <w:r>
        <w:t>92</w:t>
      </w:r>
      <w:r>
        <w:fldChar w:fldCharType="end"/>
      </w:r>
    </w:p>
    <w:p w:rsidR="00490B4E" w:rsidRDefault="00490B4E">
      <w:pPr>
        <w:pStyle w:val="TOC2"/>
        <w:rPr>
          <w:rFonts w:asciiTheme="minorHAnsi" w:eastAsiaTheme="minorEastAsia" w:hAnsiTheme="minorHAnsi" w:cstheme="minorBidi"/>
          <w:sz w:val="22"/>
          <w:szCs w:val="22"/>
          <w:lang w:val="en-US" w:eastAsia="en-US"/>
        </w:rPr>
      </w:pPr>
      <w:r>
        <w:t>29.3.</w:t>
      </w:r>
      <w:r>
        <w:tab/>
        <w:t>Inne przychody i koszty operacyjne (45.3)</w:t>
      </w:r>
      <w:r>
        <w:tab/>
      </w:r>
      <w:r>
        <w:fldChar w:fldCharType="begin"/>
      </w:r>
      <w:r>
        <w:instrText xml:space="preserve"> PAGEREF _Toc31019188 \h </w:instrText>
      </w:r>
      <w:r>
        <w:fldChar w:fldCharType="separate"/>
      </w:r>
      <w:r>
        <w:t>92</w:t>
      </w:r>
      <w:r>
        <w:fldChar w:fldCharType="end"/>
      </w:r>
    </w:p>
    <w:p w:rsidR="00490B4E" w:rsidRDefault="00490B4E">
      <w:pPr>
        <w:pStyle w:val="TOC2"/>
        <w:rPr>
          <w:rFonts w:asciiTheme="minorHAnsi" w:eastAsiaTheme="minorEastAsia" w:hAnsiTheme="minorHAnsi" w:cstheme="minorBidi"/>
          <w:sz w:val="22"/>
          <w:szCs w:val="22"/>
          <w:lang w:val="en-US" w:eastAsia="en-US"/>
        </w:rPr>
      </w:pPr>
      <w:r>
        <w:t>30.</w:t>
      </w:r>
      <w:r>
        <w:tab/>
        <w:t>Sprawozdanie ze zmian w kapitale własnym (46)</w:t>
      </w:r>
      <w:r>
        <w:tab/>
      </w:r>
      <w:r>
        <w:fldChar w:fldCharType="begin"/>
      </w:r>
      <w:r>
        <w:instrText xml:space="preserve"> PAGEREF _Toc31019189 \h </w:instrText>
      </w:r>
      <w:r>
        <w:fldChar w:fldCharType="separate"/>
      </w:r>
      <w:r>
        <w:t>92</w:t>
      </w:r>
      <w:r>
        <w:fldChar w:fldCharType="end"/>
      </w:r>
    </w:p>
    <w:p w:rsidR="00490B4E" w:rsidRDefault="00490B4E">
      <w:pPr>
        <w:pStyle w:val="TOC2"/>
        <w:rPr>
          <w:rFonts w:asciiTheme="minorHAnsi" w:eastAsiaTheme="minorEastAsia" w:hAnsiTheme="minorHAnsi" w:cstheme="minorBidi"/>
          <w:sz w:val="22"/>
          <w:szCs w:val="22"/>
          <w:lang w:val="en-US" w:eastAsia="en-US"/>
        </w:rPr>
      </w:pPr>
      <w:r>
        <w:t>31.</w:t>
      </w:r>
      <w:r>
        <w:tab/>
        <w:t>KREDYTY I ZALICZKI: INFORMACJE DODATKOWE (23)</w:t>
      </w:r>
      <w:r>
        <w:tab/>
      </w:r>
      <w:r>
        <w:fldChar w:fldCharType="begin"/>
      </w:r>
      <w:r>
        <w:instrText xml:space="preserve"> PAGEREF _Toc31019190 \h </w:instrText>
      </w:r>
      <w:r>
        <w:fldChar w:fldCharType="separate"/>
      </w:r>
      <w:r>
        <w:t>93</w:t>
      </w:r>
      <w:r>
        <w:fldChar w:fldCharType="end"/>
      </w:r>
    </w:p>
    <w:p w:rsidR="00490B4E" w:rsidRDefault="00490B4E">
      <w:pPr>
        <w:pStyle w:val="TOC2"/>
        <w:rPr>
          <w:rFonts w:asciiTheme="minorHAnsi" w:eastAsiaTheme="minorEastAsia" w:hAnsiTheme="minorHAnsi" w:cstheme="minorBidi"/>
          <w:sz w:val="22"/>
          <w:szCs w:val="22"/>
          <w:lang w:val="en-US" w:eastAsia="en-US"/>
        </w:rPr>
      </w:pPr>
      <w:r>
        <w:t>32.</w:t>
      </w:r>
      <w:r>
        <w:tab/>
        <w:t>KREDYTY I ZALICZKI: PRZEPŁYWY Z TYTUŁU EKSPOZYCJI NIEOBSŁUGIWANYCH, UTRATY WARTOŚCI ORAZ SPISAŃ OD KOŃCA OSTATNIEGO ROKU OBROTOWEGO (24)</w:t>
      </w:r>
      <w:r>
        <w:tab/>
      </w:r>
      <w:r>
        <w:fldChar w:fldCharType="begin"/>
      </w:r>
      <w:r>
        <w:instrText xml:space="preserve"> PAGEREF _Toc31019191 \h </w:instrText>
      </w:r>
      <w:r>
        <w:fldChar w:fldCharType="separate"/>
      </w:r>
      <w:r>
        <w:t>94</w:t>
      </w:r>
      <w:r>
        <w:fldChar w:fldCharType="end"/>
      </w:r>
    </w:p>
    <w:p w:rsidR="00490B4E" w:rsidRDefault="00490B4E">
      <w:pPr>
        <w:pStyle w:val="TOC2"/>
        <w:rPr>
          <w:rFonts w:asciiTheme="minorHAnsi" w:eastAsiaTheme="minorEastAsia" w:hAnsiTheme="minorHAnsi" w:cstheme="minorBidi"/>
          <w:sz w:val="22"/>
          <w:szCs w:val="22"/>
          <w:lang w:val="en-US" w:eastAsia="en-US"/>
        </w:rPr>
      </w:pPr>
      <w:r>
        <w:t>32.1.</w:t>
      </w:r>
      <w:r>
        <w:tab/>
        <w:t>Kredyty i zaliczki: Wpływy i wypływy z tytułu ekspozycji nieobsługiwanych (24.1)</w:t>
      </w:r>
      <w:r>
        <w:tab/>
      </w:r>
      <w:r>
        <w:fldChar w:fldCharType="begin"/>
      </w:r>
      <w:r>
        <w:instrText xml:space="preserve"> PAGEREF _Toc31019192 \h </w:instrText>
      </w:r>
      <w:r>
        <w:fldChar w:fldCharType="separate"/>
      </w:r>
      <w:r>
        <w:t>94</w:t>
      </w:r>
      <w:r>
        <w:fldChar w:fldCharType="end"/>
      </w:r>
    </w:p>
    <w:p w:rsidR="00490B4E" w:rsidRDefault="00490B4E">
      <w:pPr>
        <w:pStyle w:val="TOC2"/>
        <w:rPr>
          <w:rFonts w:asciiTheme="minorHAnsi" w:eastAsiaTheme="minorEastAsia" w:hAnsiTheme="minorHAnsi" w:cstheme="minorBidi"/>
          <w:sz w:val="22"/>
          <w:szCs w:val="22"/>
          <w:lang w:val="en-US" w:eastAsia="en-US"/>
        </w:rPr>
      </w:pPr>
      <w:r>
        <w:t>32.2.</w:t>
      </w:r>
      <w:r>
        <w:tab/>
        <w:t>Kredyty i zaliczki: Przepływ utraty wartości i skumulowanych ujemnych zmian wartości godziwej z powodu ryzyka kredytowego z tytułu ekspozycji nieobsługiwanych (24.2)</w:t>
      </w:r>
      <w:r>
        <w:tab/>
      </w:r>
      <w:r>
        <w:fldChar w:fldCharType="begin"/>
      </w:r>
      <w:r>
        <w:instrText xml:space="preserve"> PAGEREF _Toc31019193 \h </w:instrText>
      </w:r>
      <w:r>
        <w:fldChar w:fldCharType="separate"/>
      </w:r>
      <w:r>
        <w:t>96</w:t>
      </w:r>
      <w:r>
        <w:fldChar w:fldCharType="end"/>
      </w:r>
    </w:p>
    <w:p w:rsidR="00490B4E" w:rsidRDefault="00490B4E">
      <w:pPr>
        <w:pStyle w:val="TOC2"/>
        <w:rPr>
          <w:rFonts w:asciiTheme="minorHAnsi" w:eastAsiaTheme="minorEastAsia" w:hAnsiTheme="minorHAnsi" w:cstheme="minorBidi"/>
          <w:sz w:val="22"/>
          <w:szCs w:val="22"/>
          <w:lang w:val="en-US" w:eastAsia="en-US"/>
        </w:rPr>
      </w:pPr>
      <w:r>
        <w:t>32.3.</w:t>
      </w:r>
      <w:r>
        <w:tab/>
        <w:t>Kredyty i zaliczki: Spisania ekspozycji nieobsługiwanych w danym okresie (24.3)</w:t>
      </w:r>
      <w:r>
        <w:tab/>
      </w:r>
      <w:r>
        <w:fldChar w:fldCharType="begin"/>
      </w:r>
      <w:r>
        <w:instrText xml:space="preserve"> PAGEREF _Toc31019194 \h </w:instrText>
      </w:r>
      <w:r>
        <w:fldChar w:fldCharType="separate"/>
      </w:r>
      <w:r>
        <w:t>97</w:t>
      </w:r>
      <w:r>
        <w:fldChar w:fldCharType="end"/>
      </w:r>
    </w:p>
    <w:p w:rsidR="00490B4E" w:rsidRDefault="00490B4E">
      <w:pPr>
        <w:pStyle w:val="TOC2"/>
        <w:rPr>
          <w:rFonts w:asciiTheme="minorHAnsi" w:eastAsiaTheme="minorEastAsia" w:hAnsiTheme="minorHAnsi" w:cstheme="minorBidi"/>
          <w:sz w:val="22"/>
          <w:szCs w:val="22"/>
          <w:lang w:val="en-US" w:eastAsia="en-US"/>
        </w:rPr>
      </w:pPr>
      <w:r>
        <w:t>33.</w:t>
      </w:r>
      <w:r>
        <w:tab/>
        <w:t>ZABEZPIECZENIE UZYSKANE POPRZEZ WEJŚCIE W POSIADANIE I W DRODZE POSTĘPOWAŃ EGZEKUCYJNYCH (25)</w:t>
      </w:r>
      <w:r>
        <w:tab/>
      </w:r>
      <w:r>
        <w:fldChar w:fldCharType="begin"/>
      </w:r>
      <w:r>
        <w:instrText xml:space="preserve"> PAGEREF _Toc31019195 \h </w:instrText>
      </w:r>
      <w:r>
        <w:fldChar w:fldCharType="separate"/>
      </w:r>
      <w:r>
        <w:t>97</w:t>
      </w:r>
      <w:r>
        <w:fldChar w:fldCharType="end"/>
      </w:r>
    </w:p>
    <w:p w:rsidR="00490B4E" w:rsidRDefault="00490B4E">
      <w:pPr>
        <w:pStyle w:val="TOC2"/>
        <w:rPr>
          <w:rFonts w:asciiTheme="minorHAnsi" w:eastAsiaTheme="minorEastAsia" w:hAnsiTheme="minorHAnsi" w:cstheme="minorBidi"/>
          <w:sz w:val="22"/>
          <w:szCs w:val="22"/>
          <w:lang w:val="en-US" w:eastAsia="en-US"/>
        </w:rPr>
      </w:pPr>
      <w:r>
        <w:t>33.1.</w:t>
      </w:r>
      <w:r>
        <w:tab/>
        <w:t>Zabezpieczenie uzyskane poprzez wejście w posiadanie inne niż zabezpieczenie sklasyfikowane jako rzeczowe aktywa trwałe: wpływy i wypływy (25.1)</w:t>
      </w:r>
      <w:r>
        <w:tab/>
      </w:r>
      <w:r>
        <w:fldChar w:fldCharType="begin"/>
      </w:r>
      <w:r>
        <w:instrText xml:space="preserve"> PAGEREF _Toc31019196 \h </w:instrText>
      </w:r>
      <w:r>
        <w:fldChar w:fldCharType="separate"/>
      </w:r>
      <w:r>
        <w:t>97</w:t>
      </w:r>
      <w:r>
        <w:fldChar w:fldCharType="end"/>
      </w:r>
    </w:p>
    <w:p w:rsidR="00490B4E" w:rsidRDefault="00490B4E">
      <w:pPr>
        <w:pStyle w:val="TOC2"/>
        <w:rPr>
          <w:rFonts w:asciiTheme="minorHAnsi" w:eastAsiaTheme="minorEastAsia" w:hAnsiTheme="minorHAnsi" w:cstheme="minorBidi"/>
          <w:sz w:val="22"/>
          <w:szCs w:val="22"/>
          <w:lang w:val="en-US" w:eastAsia="en-US"/>
        </w:rPr>
      </w:pPr>
      <w:r>
        <w:t>33.2.</w:t>
      </w:r>
      <w:r>
        <w:tab/>
        <w:t>Zabezpieczenie uzyskane poprzez wejście w posiadanie inne niż zabezpieczenie sklasyfikowane jako rzeczowe aktywa trwałe – Rodzaj uzyskanego zabezpieczenia (25.2)</w:t>
      </w:r>
      <w:r>
        <w:tab/>
      </w:r>
      <w:r>
        <w:fldChar w:fldCharType="begin"/>
      </w:r>
      <w:r>
        <w:instrText xml:space="preserve"> PAGEREF _Toc31019197 \h </w:instrText>
      </w:r>
      <w:r>
        <w:fldChar w:fldCharType="separate"/>
      </w:r>
      <w:r>
        <w:t>99</w:t>
      </w:r>
      <w:r>
        <w:fldChar w:fldCharType="end"/>
      </w:r>
    </w:p>
    <w:p w:rsidR="00490B4E" w:rsidRDefault="00490B4E">
      <w:pPr>
        <w:pStyle w:val="TOC2"/>
        <w:rPr>
          <w:rFonts w:asciiTheme="minorHAnsi" w:eastAsiaTheme="minorEastAsia" w:hAnsiTheme="minorHAnsi" w:cstheme="minorBidi"/>
          <w:sz w:val="22"/>
          <w:szCs w:val="22"/>
          <w:lang w:val="en-US" w:eastAsia="en-US"/>
        </w:rPr>
      </w:pPr>
      <w:r>
        <w:t>33.3.</w:t>
      </w:r>
      <w:r>
        <w:tab/>
        <w:t>Zabezpieczenie uzyskane poprzez wejście w posiadanie sklasyfikowane jako rzeczowe aktywa trwałe (25.3)</w:t>
      </w:r>
      <w:r>
        <w:tab/>
      </w:r>
      <w:r>
        <w:fldChar w:fldCharType="begin"/>
      </w:r>
      <w:r>
        <w:instrText xml:space="preserve"> PAGEREF _Toc31019198 \h </w:instrText>
      </w:r>
      <w:r>
        <w:fldChar w:fldCharType="separate"/>
      </w:r>
      <w:r>
        <w:t>100</w:t>
      </w:r>
      <w:r>
        <w:fldChar w:fldCharType="end"/>
      </w:r>
    </w:p>
    <w:p w:rsidR="00490B4E" w:rsidRDefault="00490B4E">
      <w:pPr>
        <w:pStyle w:val="TOC2"/>
        <w:rPr>
          <w:rFonts w:asciiTheme="minorHAnsi" w:eastAsiaTheme="minorEastAsia" w:hAnsiTheme="minorHAnsi" w:cstheme="minorBidi"/>
          <w:sz w:val="22"/>
          <w:szCs w:val="22"/>
          <w:lang w:val="en-US" w:eastAsia="en-US"/>
        </w:rPr>
      </w:pPr>
      <w:r>
        <w:t>34.</w:t>
      </w:r>
      <w:r>
        <w:tab/>
        <w:t>ZARZĄDZANIE DZIAŁANIAMI RESTRUKTURYZACYJNYMI I JAKOŚĆ DZIAŁAŃ RESTRUKTURYZACYJNYCH (26)</w:t>
      </w:r>
      <w:r>
        <w:tab/>
      </w:r>
      <w:r>
        <w:fldChar w:fldCharType="begin"/>
      </w:r>
      <w:r>
        <w:instrText xml:space="preserve"> PAGEREF _Toc31019199 \h </w:instrText>
      </w:r>
      <w:r>
        <w:fldChar w:fldCharType="separate"/>
      </w:r>
      <w:r>
        <w:t>100</w:t>
      </w:r>
      <w:r>
        <w:fldChar w:fldCharType="end"/>
      </w:r>
    </w:p>
    <w:p w:rsidR="00490B4E" w:rsidRDefault="00490B4E">
      <w:pPr>
        <w:pStyle w:val="TOC2"/>
        <w:rPr>
          <w:rFonts w:asciiTheme="minorHAnsi" w:eastAsiaTheme="minorEastAsia" w:hAnsiTheme="minorHAnsi" w:cstheme="minorBidi"/>
          <w:sz w:val="22"/>
          <w:szCs w:val="22"/>
          <w:lang w:val="en-US" w:eastAsia="en-US"/>
        </w:rPr>
      </w:pPr>
      <w:r>
        <w:t>35.</w:t>
      </w:r>
      <w:r>
        <w:tab/>
        <w:t>KREDYTY I ZALICZKI: ŚREDNI CZAS TRWANIA I ŚREDNI OKRES ODZYSKANIA ŚRODKÓW (47)</w:t>
      </w:r>
      <w:r>
        <w:tab/>
      </w:r>
      <w:r>
        <w:fldChar w:fldCharType="begin"/>
      </w:r>
      <w:r>
        <w:instrText xml:space="preserve"> PAGEREF _Toc31019200 \h </w:instrText>
      </w:r>
      <w:r>
        <w:fldChar w:fldCharType="separate"/>
      </w:r>
      <w:r>
        <w:t>102</w:t>
      </w:r>
      <w:r>
        <w:fldChar w:fldCharType="end"/>
      </w:r>
    </w:p>
    <w:p w:rsidR="00490B4E" w:rsidRDefault="00490B4E">
      <w:pPr>
        <w:pStyle w:val="TOC1"/>
        <w:tabs>
          <w:tab w:val="right" w:leader="dot" w:pos="8296"/>
        </w:tabs>
        <w:rPr>
          <w:rFonts w:asciiTheme="minorHAnsi" w:eastAsiaTheme="minorEastAsia" w:hAnsiTheme="minorHAnsi" w:cstheme="minorBidi"/>
          <w:b w:val="0"/>
          <w:noProof/>
          <w:sz w:val="22"/>
          <w:szCs w:val="22"/>
          <w:lang w:val="en-US" w:eastAsia="en-US"/>
        </w:rPr>
      </w:pPr>
      <w:r>
        <w:rPr>
          <w:noProof/>
        </w:rPr>
        <w:t>Przyporządkowanie kategorii ekspozycji i sektorów kontrahentów</w:t>
      </w:r>
      <w:r>
        <w:rPr>
          <w:noProof/>
        </w:rPr>
        <w:tab/>
      </w:r>
      <w:r>
        <w:rPr>
          <w:noProof/>
        </w:rPr>
        <w:fldChar w:fldCharType="begin"/>
      </w:r>
      <w:r>
        <w:rPr>
          <w:noProof/>
        </w:rPr>
        <w:instrText xml:space="preserve"> PAGEREF _Toc31019201 \h </w:instrText>
      </w:r>
      <w:r>
        <w:rPr>
          <w:noProof/>
        </w:rPr>
      </w:r>
      <w:r>
        <w:rPr>
          <w:noProof/>
        </w:rPr>
        <w:fldChar w:fldCharType="separate"/>
      </w:r>
      <w:r>
        <w:rPr>
          <w:noProof/>
        </w:rPr>
        <w:t>1</w:t>
      </w:r>
      <w:r>
        <w:rPr>
          <w:noProof/>
        </w:rPr>
        <w:t>0</w:t>
      </w:r>
      <w:r>
        <w:rPr>
          <w:noProof/>
        </w:rPr>
        <w:t>3</w:t>
      </w:r>
      <w:r>
        <w:rPr>
          <w:noProof/>
        </w:rPr>
        <w:fldChar w:fldCharType="end"/>
      </w:r>
    </w:p>
    <w:p w:rsidR="00D35B0C" w:rsidRPr="00342D7E" w:rsidRDefault="00A834F1">
      <w:pPr>
        <w:sectPr w:rsidR="00D35B0C" w:rsidRPr="00342D7E" w:rsidSect="009569C7">
          <w:footerReference w:type="default" r:id="rId8"/>
          <w:pgSz w:w="11906" w:h="16838"/>
          <w:pgMar w:top="1440" w:right="1800" w:bottom="1440" w:left="1800" w:header="708" w:footer="708" w:gutter="0"/>
          <w:cols w:space="708"/>
          <w:titlePg/>
          <w:docGrid w:linePitch="360"/>
        </w:sectPr>
      </w:pPr>
      <w:r w:rsidRPr="00342D7E">
        <w:fldChar w:fldCharType="end"/>
      </w:r>
    </w:p>
    <w:p w:rsidR="00D35B0C" w:rsidRPr="00342D7E" w:rsidRDefault="00D35B0C">
      <w:pPr>
        <w:spacing w:after="0"/>
      </w:pPr>
    </w:p>
    <w:p w:rsidR="00D35B0C" w:rsidRPr="00342D7E" w:rsidRDefault="00D35B0C">
      <w:pPr>
        <w:spacing w:after="0"/>
      </w:pPr>
    </w:p>
    <w:p w:rsidR="00D35B0C" w:rsidRPr="00342D7E" w:rsidRDefault="00A834F1">
      <w:pPr>
        <w:jc w:val="center"/>
        <w:rPr>
          <w:rFonts w:ascii="Times New Roman" w:hAnsi="Times New Roman"/>
          <w:b/>
          <w:sz w:val="24"/>
          <w:szCs w:val="24"/>
        </w:rPr>
      </w:pPr>
      <w:r w:rsidRPr="00342D7E">
        <w:rPr>
          <w:rFonts w:ascii="Times New Roman" w:hAnsi="Times New Roman"/>
          <w:b/>
        </w:rPr>
        <w:t>CZĘŚĆ 1</w:t>
      </w:r>
    </w:p>
    <w:p w:rsidR="00D35B0C" w:rsidRPr="00342D7E" w:rsidRDefault="00A834F1">
      <w:pPr>
        <w:pStyle w:val="Heading1"/>
      </w:pPr>
      <w:bookmarkStart w:id="0" w:name="_Toc31019102"/>
      <w:r w:rsidRPr="00342D7E">
        <w:t>Instrukcje ogólne</w:t>
      </w:r>
      <w:bookmarkEnd w:id="0"/>
    </w:p>
    <w:p w:rsidR="00D35B0C" w:rsidRPr="00342D7E" w:rsidRDefault="00A834F1" w:rsidP="00056B6F">
      <w:pPr>
        <w:pStyle w:val="subtitlenumbered"/>
        <w:numPr>
          <w:ilvl w:val="0"/>
          <w:numId w:val="11"/>
        </w:numPr>
        <w:jc w:val="both"/>
      </w:pPr>
      <w:bookmarkStart w:id="1" w:name="_Toc31019103"/>
      <w:r w:rsidRPr="00342D7E">
        <w:t>Odniesienia</w:t>
      </w:r>
      <w:bookmarkEnd w:id="1"/>
    </w:p>
    <w:p w:rsidR="00D35B0C" w:rsidRPr="00342D7E" w:rsidRDefault="00A834F1">
      <w:pPr>
        <w:pStyle w:val="Baseparagraphnumbered"/>
      </w:pPr>
      <w:r w:rsidRPr="00342D7E">
        <w:t>Niniejszy załącznik zawiera dodatkowe instrukcje dotyczące wzorów na potrzeby sprawozdawczości</w:t>
      </w:r>
      <w:r w:rsidR="00342D7E" w:rsidRPr="00342D7E">
        <w:t xml:space="preserve"> w</w:t>
      </w:r>
      <w:r w:rsidR="00342D7E">
        <w:t> </w:t>
      </w:r>
      <w:r w:rsidR="00342D7E" w:rsidRPr="00342D7E">
        <w:t>zak</w:t>
      </w:r>
      <w:r w:rsidRPr="00342D7E">
        <w:t>resie informacji finansowych („FINREP”)</w:t>
      </w:r>
      <w:r w:rsidR="00342D7E" w:rsidRPr="00342D7E">
        <w:t xml:space="preserve"> w</w:t>
      </w:r>
      <w:r w:rsidR="00342D7E">
        <w:t> </w:t>
      </w:r>
      <w:r w:rsidR="00342D7E" w:rsidRPr="00342D7E">
        <w:t>zał</w:t>
      </w:r>
      <w:r w:rsidRPr="00342D7E">
        <w:t>ącznikach III i IV do niniejszego rozporządzenia. Niniejszy załącznik stanowi uzupełnienie instrukcji przedstawionych we wzorach</w:t>
      </w:r>
      <w:r w:rsidR="00342D7E" w:rsidRPr="00342D7E">
        <w:t xml:space="preserve"> w</w:t>
      </w:r>
      <w:r w:rsidR="00342D7E">
        <w:t> </w:t>
      </w:r>
      <w:r w:rsidR="00342D7E" w:rsidRPr="00342D7E">
        <w:t>zał</w:t>
      </w:r>
      <w:r w:rsidRPr="00342D7E">
        <w:t>ącznikach III i IV</w:t>
      </w:r>
      <w:r w:rsidR="00342D7E" w:rsidRPr="00342D7E">
        <w:t xml:space="preserve"> w</w:t>
      </w:r>
      <w:r w:rsidR="00342D7E">
        <w:t> </w:t>
      </w:r>
      <w:r w:rsidR="00342D7E" w:rsidRPr="00342D7E">
        <w:t>for</w:t>
      </w:r>
      <w:r w:rsidRPr="00342D7E">
        <w:t>mie odniesień.</w:t>
      </w:r>
    </w:p>
    <w:p w:rsidR="00D35B0C" w:rsidRPr="00342D7E" w:rsidRDefault="00A834F1">
      <w:pPr>
        <w:pStyle w:val="Baseparagraphnumbered"/>
      </w:pPr>
      <w:r w:rsidRPr="00342D7E">
        <w:t>O ile nie przewidziano inaczej, instytucje stosujące krajowe standardy rachunkowości zgodne z MSSF („odpowiednie krajowe ogólnie przyjęte zasady rachunkowości”) stosują wspólne instrukcje oraz instrukcje dotyczące MSSF zawarte</w:t>
      </w:r>
      <w:r w:rsidR="00342D7E" w:rsidRPr="00342D7E">
        <w:t xml:space="preserve"> w</w:t>
      </w:r>
      <w:r w:rsidR="00342D7E">
        <w:t> </w:t>
      </w:r>
      <w:r w:rsidR="00342D7E" w:rsidRPr="00342D7E">
        <w:t>nin</w:t>
      </w:r>
      <w:r w:rsidRPr="00342D7E">
        <w:t>iejszym załączniku. Powyższe pozostaje bez uszczerbku dla zgodności wymogów odpowiednich krajowych ogólnie przyjętych zasad rachunkowości</w:t>
      </w:r>
      <w:r w:rsidR="00342D7E" w:rsidRPr="00342D7E">
        <w:t xml:space="preserve"> z</w:t>
      </w:r>
      <w:r w:rsidR="00342D7E">
        <w:t> </w:t>
      </w:r>
      <w:r w:rsidR="00342D7E" w:rsidRPr="00342D7E">
        <w:t>wym</w:t>
      </w:r>
      <w:r w:rsidRPr="00342D7E">
        <w:t>ogami BAD</w:t>
      </w:r>
      <w:r w:rsidR="00342D7E" w:rsidRPr="00342D7E">
        <w:t>. O</w:t>
      </w:r>
      <w:r w:rsidR="00342D7E">
        <w:t> </w:t>
      </w:r>
      <w:r w:rsidR="00342D7E" w:rsidRPr="00342D7E">
        <w:t>ile</w:t>
      </w:r>
      <w:r w:rsidRPr="00342D7E">
        <w:t xml:space="preserve"> nie przewidziano inaczej, instytucje stosujące wymogi dotyczące krajowych ogólnie przyjętych zasad rachunkowości, które są niezgodne z MSSF lub</w:t>
      </w:r>
      <w:r w:rsidR="00342D7E" w:rsidRPr="00342D7E">
        <w:t xml:space="preserve"> w</w:t>
      </w:r>
      <w:r w:rsidR="00342D7E">
        <w:t> </w:t>
      </w:r>
      <w:r w:rsidR="00342D7E" w:rsidRPr="00342D7E">
        <w:t>prz</w:t>
      </w:r>
      <w:r w:rsidRPr="00342D7E">
        <w:t>ypadku których nie zapewniono jeszcze zgodności</w:t>
      </w:r>
      <w:r w:rsidR="00342D7E" w:rsidRPr="00342D7E">
        <w:t xml:space="preserve"> z</w:t>
      </w:r>
      <w:r w:rsidR="00342D7E">
        <w:t> </w:t>
      </w:r>
      <w:r w:rsidR="00342D7E" w:rsidRPr="00342D7E">
        <w:t>wym</w:t>
      </w:r>
      <w:r w:rsidRPr="00342D7E">
        <w:t>ogami zawartymi w MSSF 9, stosują wspólne instrukcje</w:t>
      </w:r>
      <w:r w:rsidR="00342D7E" w:rsidRPr="00342D7E">
        <w:t xml:space="preserve"> i</w:t>
      </w:r>
      <w:r w:rsidR="00342D7E">
        <w:t> </w:t>
      </w:r>
      <w:r w:rsidR="00342D7E" w:rsidRPr="00342D7E">
        <w:t>ins</w:t>
      </w:r>
      <w:r w:rsidRPr="00342D7E">
        <w:t>trukcje dotyczące BAD zawarte</w:t>
      </w:r>
      <w:r w:rsidR="00342D7E" w:rsidRPr="00342D7E">
        <w:t xml:space="preserve"> w</w:t>
      </w:r>
      <w:r w:rsidR="00342D7E">
        <w:t> </w:t>
      </w:r>
      <w:r w:rsidR="00342D7E" w:rsidRPr="00342D7E">
        <w:t>nin</w:t>
      </w:r>
      <w:r w:rsidRPr="00342D7E">
        <w:t>iejszym załączniku.</w:t>
      </w:r>
    </w:p>
    <w:p w:rsidR="00D35B0C" w:rsidRPr="00342D7E" w:rsidRDefault="00A834F1">
      <w:pPr>
        <w:pStyle w:val="Baseparagraphnumbered"/>
      </w:pPr>
      <w:r w:rsidRPr="00342D7E">
        <w:t>Punkty danych wskazane we wzorach opracowuje się zgodnie</w:t>
      </w:r>
      <w:r w:rsidR="00342D7E" w:rsidRPr="00342D7E">
        <w:t xml:space="preserve"> z</w:t>
      </w:r>
      <w:r w:rsidR="00342D7E">
        <w:t> </w:t>
      </w:r>
      <w:r w:rsidR="00342D7E" w:rsidRPr="00342D7E">
        <w:t>zas</w:t>
      </w:r>
      <w:r w:rsidRPr="00342D7E">
        <w:t>adami dotyczącymi ujmowania, kompensowania</w:t>
      </w:r>
      <w:r w:rsidR="00342D7E" w:rsidRPr="00342D7E">
        <w:t xml:space="preserve"> i</w:t>
      </w:r>
      <w:r w:rsidR="00342D7E">
        <w:t> </w:t>
      </w:r>
      <w:r w:rsidR="00342D7E" w:rsidRPr="00342D7E">
        <w:t>wyc</w:t>
      </w:r>
      <w:r w:rsidRPr="00342D7E">
        <w:t>eny określonymi</w:t>
      </w:r>
      <w:r w:rsidR="00342D7E" w:rsidRPr="00342D7E">
        <w:t xml:space="preserve"> w</w:t>
      </w:r>
      <w:r w:rsidR="00342D7E">
        <w:t> </w:t>
      </w:r>
      <w:r w:rsidR="00342D7E" w:rsidRPr="00342D7E">
        <w:t>odp</w:t>
      </w:r>
      <w:r w:rsidRPr="00342D7E">
        <w:t>owiednich mających zastosowanie standardach rachunkowości zdefiniowanych</w:t>
      </w:r>
      <w:r w:rsidR="00342D7E" w:rsidRPr="00342D7E">
        <w:t xml:space="preserve"> w</w:t>
      </w:r>
      <w:r w:rsidR="00342D7E">
        <w:t> </w:t>
      </w:r>
      <w:r w:rsidR="00342D7E" w:rsidRPr="00342D7E">
        <w:t>art</w:t>
      </w:r>
      <w:r w:rsidRPr="00342D7E">
        <w:t>.</w:t>
      </w:r>
      <w:r w:rsidR="00342D7E" w:rsidRPr="00342D7E">
        <w:t> </w:t>
      </w:r>
      <w:r w:rsidRPr="00342D7E">
        <w:t>4 ust.</w:t>
      </w:r>
      <w:r w:rsidR="00342D7E" w:rsidRPr="00342D7E">
        <w:t> </w:t>
      </w:r>
      <w:r w:rsidRPr="00342D7E">
        <w:t>1 pkt</w:t>
      </w:r>
      <w:r w:rsidR="00342D7E" w:rsidRPr="00342D7E">
        <w:t> </w:t>
      </w:r>
      <w:r w:rsidRPr="00342D7E">
        <w:t>77 rozporządzenia (UE) nr</w:t>
      </w:r>
      <w:r w:rsidR="00342D7E" w:rsidRPr="00342D7E">
        <w:t> </w:t>
      </w:r>
      <w:r w:rsidRPr="00342D7E">
        <w:t>575/2013.</w:t>
      </w:r>
    </w:p>
    <w:p w:rsidR="00D35B0C" w:rsidRPr="00342D7E" w:rsidRDefault="00DE2FAA">
      <w:pPr>
        <w:pStyle w:val="Baseparagraphnumbered"/>
      </w:pPr>
      <w:r w:rsidRPr="00342D7E">
        <w:t>Instytucja przedkłada wyłącznie te części wzorów, które dotyczą:</w:t>
      </w:r>
    </w:p>
    <w:p w:rsidR="00D35B0C" w:rsidRPr="00342D7E" w:rsidRDefault="00A834F1" w:rsidP="00056B6F">
      <w:pPr>
        <w:pStyle w:val="Baseparagraphnumbered"/>
        <w:numPr>
          <w:ilvl w:val="0"/>
          <w:numId w:val="23"/>
        </w:numPr>
      </w:pPr>
      <w:proofErr w:type="gramStart"/>
      <w:r w:rsidRPr="00342D7E">
        <w:t>aktywów</w:t>
      </w:r>
      <w:proofErr w:type="gramEnd"/>
      <w:r w:rsidRPr="00342D7E">
        <w:t>, zobowiązań, kapitału własnego, przychodów</w:t>
      </w:r>
      <w:r w:rsidR="00342D7E" w:rsidRPr="00342D7E">
        <w:t xml:space="preserve"> i</w:t>
      </w:r>
      <w:r w:rsidR="00342D7E">
        <w:t> </w:t>
      </w:r>
      <w:r w:rsidR="00342D7E" w:rsidRPr="00342D7E">
        <w:t>kos</w:t>
      </w:r>
      <w:r w:rsidRPr="00342D7E">
        <w:t>ztów, które są ujmowane przez instytucję;</w:t>
      </w:r>
    </w:p>
    <w:p w:rsidR="00D35B0C" w:rsidRPr="00342D7E" w:rsidRDefault="00A834F1" w:rsidP="00056B6F">
      <w:pPr>
        <w:pStyle w:val="Baseparagraphnumbered"/>
        <w:numPr>
          <w:ilvl w:val="0"/>
          <w:numId w:val="23"/>
        </w:numPr>
      </w:pPr>
      <w:proofErr w:type="gramStart"/>
      <w:r w:rsidRPr="00342D7E">
        <w:t>ekspozycji</w:t>
      </w:r>
      <w:proofErr w:type="gramEnd"/>
      <w:r w:rsidR="00342D7E" w:rsidRPr="00342D7E">
        <w:t xml:space="preserve"> i</w:t>
      </w:r>
      <w:r w:rsidR="00342D7E">
        <w:t> </w:t>
      </w:r>
      <w:r w:rsidR="00342D7E" w:rsidRPr="00342D7E">
        <w:t>dzi</w:t>
      </w:r>
      <w:r w:rsidRPr="00342D7E">
        <w:t>ałań pozabilansowych,</w:t>
      </w:r>
      <w:r w:rsidR="00342D7E" w:rsidRPr="00342D7E">
        <w:t xml:space="preserve"> w</w:t>
      </w:r>
      <w:r w:rsidR="00342D7E">
        <w:t> </w:t>
      </w:r>
      <w:r w:rsidR="00342D7E" w:rsidRPr="00342D7E">
        <w:t>któ</w:t>
      </w:r>
      <w:r w:rsidRPr="00342D7E">
        <w:t>rych instytucja uczestniczy;</w:t>
      </w:r>
    </w:p>
    <w:p w:rsidR="00D35B0C" w:rsidRPr="00342D7E" w:rsidRDefault="00A834F1" w:rsidP="00056B6F">
      <w:pPr>
        <w:pStyle w:val="Baseparagraphnumbered"/>
        <w:numPr>
          <w:ilvl w:val="0"/>
          <w:numId w:val="23"/>
        </w:numPr>
      </w:pPr>
      <w:proofErr w:type="gramStart"/>
      <w:r w:rsidRPr="00342D7E">
        <w:t>transakcji</w:t>
      </w:r>
      <w:proofErr w:type="gramEnd"/>
      <w:r w:rsidRPr="00342D7E">
        <w:t xml:space="preserve"> przeprowadzonych przez instytucję;</w:t>
      </w:r>
    </w:p>
    <w:p w:rsidR="00D35B0C" w:rsidRPr="00342D7E" w:rsidRDefault="00A834F1" w:rsidP="00056B6F">
      <w:pPr>
        <w:pStyle w:val="Baseparagraphnumbered"/>
        <w:numPr>
          <w:ilvl w:val="0"/>
          <w:numId w:val="23"/>
        </w:numPr>
      </w:pPr>
      <w:proofErr w:type="gramStart"/>
      <w:r w:rsidRPr="00342D7E">
        <w:t>zasad</w:t>
      </w:r>
      <w:proofErr w:type="gramEnd"/>
      <w:r w:rsidRPr="00342D7E">
        <w:t xml:space="preserve"> wyceny,</w:t>
      </w:r>
      <w:r w:rsidR="00342D7E" w:rsidRPr="00342D7E">
        <w:t xml:space="preserve"> w</w:t>
      </w:r>
      <w:r w:rsidR="00342D7E">
        <w:t> </w:t>
      </w:r>
      <w:r w:rsidR="00342D7E" w:rsidRPr="00342D7E">
        <w:t>tym</w:t>
      </w:r>
      <w:r w:rsidRPr="00342D7E">
        <w:t xml:space="preserve"> metod szacowania odpisów aktualizujących</w:t>
      </w:r>
      <w:r w:rsidR="00342D7E" w:rsidRPr="00342D7E">
        <w:t xml:space="preserve"> z</w:t>
      </w:r>
      <w:r w:rsidR="00342D7E">
        <w:t> </w:t>
      </w:r>
      <w:r w:rsidR="00342D7E" w:rsidRPr="00342D7E">
        <w:t>tyt</w:t>
      </w:r>
      <w:r w:rsidRPr="00342D7E">
        <w:t>ułu ryzyka kredytowego stosowanych przez instytucję.</w:t>
      </w:r>
    </w:p>
    <w:p w:rsidR="00D35B0C" w:rsidRPr="00342D7E" w:rsidRDefault="00A834F1">
      <w:pPr>
        <w:pStyle w:val="Baseparagraphnumbered"/>
        <w:ind w:left="851" w:hanging="284"/>
      </w:pPr>
      <w:r w:rsidRPr="00342D7E">
        <w:t>Do celów załączników III i IV oraz niniejszego załącznika stosuje się następujące skróty</w:t>
      </w:r>
      <w:r w:rsidR="00342D7E" w:rsidRPr="00342D7E">
        <w:t xml:space="preserve"> i</w:t>
      </w:r>
      <w:r w:rsidR="00342D7E">
        <w:t> </w:t>
      </w:r>
      <w:r w:rsidR="00342D7E" w:rsidRPr="00342D7E">
        <w:t>naz</w:t>
      </w:r>
      <w:r w:rsidRPr="00342D7E">
        <w:t>wy skrócone:</w:t>
      </w:r>
    </w:p>
    <w:p w:rsidR="00D35B0C" w:rsidRPr="00490B4E" w:rsidRDefault="00A834F1" w:rsidP="00490B4E">
      <w:pPr>
        <w:pStyle w:val="ListParagraph"/>
        <w:numPr>
          <w:ilvl w:val="0"/>
          <w:numId w:val="24"/>
        </w:numPr>
        <w:spacing w:after="240" w:line="240" w:lineRule="auto"/>
        <w:contextualSpacing w:val="0"/>
        <w:jc w:val="both"/>
        <w:rPr>
          <w:rFonts w:ascii="Times New Roman" w:hAnsi="Times New Roman"/>
          <w:sz w:val="24"/>
          <w:szCs w:val="24"/>
        </w:rPr>
      </w:pPr>
      <w:r w:rsidRPr="00342D7E">
        <w:rPr>
          <w:rFonts w:ascii="Times New Roman" w:hAnsi="Times New Roman"/>
          <w:sz w:val="24"/>
          <w:szCs w:val="24"/>
        </w:rPr>
        <w:t>„CRR”: rozporządzenie (UE) nr</w:t>
      </w:r>
      <w:r w:rsidR="00342D7E" w:rsidRPr="00342D7E">
        <w:rPr>
          <w:rFonts w:ascii="Times New Roman" w:hAnsi="Times New Roman"/>
          <w:sz w:val="24"/>
          <w:szCs w:val="24"/>
        </w:rPr>
        <w:t> </w:t>
      </w:r>
      <w:r w:rsidRPr="00342D7E">
        <w:rPr>
          <w:rFonts w:ascii="Times New Roman" w:hAnsi="Times New Roman"/>
          <w:sz w:val="24"/>
          <w:szCs w:val="24"/>
        </w:rPr>
        <w:t>575/2013;</w:t>
      </w:r>
    </w:p>
    <w:p w:rsidR="00D35B0C" w:rsidRPr="00342D7E" w:rsidRDefault="00A834F1" w:rsidP="00056B6F">
      <w:pPr>
        <w:pStyle w:val="ListParagraph"/>
        <w:numPr>
          <w:ilvl w:val="0"/>
          <w:numId w:val="24"/>
        </w:numPr>
        <w:spacing w:after="240" w:line="240" w:lineRule="auto"/>
        <w:contextualSpacing w:val="0"/>
        <w:jc w:val="both"/>
        <w:rPr>
          <w:rFonts w:ascii="Times New Roman" w:hAnsi="Times New Roman"/>
          <w:sz w:val="24"/>
          <w:szCs w:val="24"/>
        </w:rPr>
      </w:pPr>
      <w:r w:rsidRPr="00342D7E">
        <w:rPr>
          <w:rFonts w:ascii="Times New Roman" w:hAnsi="Times New Roman"/>
          <w:sz w:val="24"/>
          <w:szCs w:val="24"/>
        </w:rPr>
        <w:t>„MSR” lub „MSSF”: „międzynarodowe standardy rachunkowości”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def</w:t>
      </w:r>
      <w:r w:rsidRPr="00342D7E">
        <w:rPr>
          <w:rFonts w:ascii="Times New Roman" w:hAnsi="Times New Roman"/>
          <w:sz w:val="24"/>
          <w:szCs w:val="24"/>
        </w:rPr>
        <w:t>inicją zawartą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art</w:t>
      </w:r>
      <w:r w:rsidRPr="00342D7E">
        <w:rPr>
          <w:rFonts w:ascii="Times New Roman" w:hAnsi="Times New Roman"/>
          <w:sz w:val="24"/>
          <w:szCs w:val="24"/>
        </w:rPr>
        <w:t>.</w:t>
      </w:r>
      <w:r w:rsidR="00342D7E" w:rsidRPr="00342D7E">
        <w:rPr>
          <w:rFonts w:ascii="Times New Roman" w:hAnsi="Times New Roman"/>
          <w:sz w:val="24"/>
          <w:szCs w:val="24"/>
        </w:rPr>
        <w:t> </w:t>
      </w:r>
      <w:r w:rsidRPr="00342D7E">
        <w:rPr>
          <w:rFonts w:ascii="Times New Roman" w:hAnsi="Times New Roman"/>
          <w:sz w:val="24"/>
          <w:szCs w:val="24"/>
        </w:rPr>
        <w:t>2 rozporządzenia (WE) nr</w:t>
      </w:r>
      <w:r w:rsidR="00342D7E" w:rsidRPr="00342D7E">
        <w:rPr>
          <w:rFonts w:ascii="Times New Roman" w:hAnsi="Times New Roman"/>
          <w:sz w:val="24"/>
          <w:szCs w:val="24"/>
        </w:rPr>
        <w:t> </w:t>
      </w:r>
      <w:r w:rsidRPr="00342D7E">
        <w:rPr>
          <w:rFonts w:ascii="Times New Roman" w:hAnsi="Times New Roman"/>
          <w:sz w:val="24"/>
          <w:szCs w:val="24"/>
        </w:rPr>
        <w:t>1606/2002 Parlamentu Europejskiego</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Rad</w:t>
      </w:r>
      <w:r w:rsidRPr="00342D7E">
        <w:rPr>
          <w:rFonts w:ascii="Times New Roman" w:hAnsi="Times New Roman"/>
          <w:sz w:val="24"/>
          <w:szCs w:val="24"/>
        </w:rPr>
        <w:t>y</w:t>
      </w:r>
      <w:r w:rsidRPr="00342D7E">
        <w:rPr>
          <w:rStyle w:val="FootnoteReference"/>
          <w:rFonts w:ascii="Times New Roman" w:hAnsi="Times New Roman"/>
          <w:sz w:val="24"/>
          <w:szCs w:val="24"/>
        </w:rPr>
        <w:footnoteReference w:id="2"/>
      </w:r>
      <w:r w:rsidRPr="00342D7E">
        <w:rPr>
          <w:rFonts w:ascii="Times New Roman" w:hAnsi="Times New Roman"/>
          <w:sz w:val="24"/>
          <w:szCs w:val="24"/>
        </w:rPr>
        <w:t>, które zostały przyjęte przez Komisję;</w:t>
      </w:r>
    </w:p>
    <w:p w:rsidR="00D35B0C" w:rsidRPr="00342D7E" w:rsidRDefault="00A834F1" w:rsidP="00056B6F">
      <w:pPr>
        <w:pStyle w:val="ListParagraph"/>
        <w:numPr>
          <w:ilvl w:val="0"/>
          <w:numId w:val="24"/>
        </w:numPr>
        <w:spacing w:after="240" w:line="240" w:lineRule="auto"/>
        <w:contextualSpacing w:val="0"/>
        <w:jc w:val="both"/>
        <w:rPr>
          <w:rFonts w:ascii="Times New Roman" w:hAnsi="Times New Roman"/>
          <w:sz w:val="24"/>
          <w:szCs w:val="24"/>
        </w:rPr>
      </w:pPr>
      <w:r w:rsidRPr="00342D7E">
        <w:rPr>
          <w:rFonts w:ascii="Times New Roman" w:hAnsi="Times New Roman"/>
          <w:sz w:val="24"/>
          <w:szCs w:val="24"/>
        </w:rPr>
        <w:t>„rozporządzenie EBC</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awie pozycji bilansowych” lub „EBC/2013/33”: rozporządzenie Europejskiego Banku Centralnego (UE) nr</w:t>
      </w:r>
      <w:r w:rsidR="00342D7E" w:rsidRPr="00342D7E">
        <w:rPr>
          <w:rFonts w:ascii="Times New Roman" w:hAnsi="Times New Roman"/>
          <w:sz w:val="24"/>
          <w:szCs w:val="24"/>
        </w:rPr>
        <w:t> </w:t>
      </w:r>
      <w:r w:rsidRPr="00342D7E">
        <w:rPr>
          <w:rFonts w:ascii="Times New Roman" w:hAnsi="Times New Roman"/>
          <w:sz w:val="24"/>
          <w:szCs w:val="24"/>
        </w:rPr>
        <w:t>1071/2013</w:t>
      </w:r>
      <w:r w:rsidRPr="00342D7E">
        <w:rPr>
          <w:rStyle w:val="FootnoteReference"/>
          <w:rFonts w:ascii="Times New Roman" w:hAnsi="Times New Roman"/>
          <w:sz w:val="24"/>
          <w:szCs w:val="24"/>
        </w:rPr>
        <w:footnoteReference w:id="3"/>
      </w:r>
      <w:r w:rsidRPr="00342D7E">
        <w:rPr>
          <w:rFonts w:ascii="Times New Roman" w:hAnsi="Times New Roman"/>
          <w:sz w:val="24"/>
          <w:szCs w:val="24"/>
        </w:rPr>
        <w:t>;</w:t>
      </w:r>
    </w:p>
    <w:p w:rsidR="00D35B0C" w:rsidRPr="00342D7E" w:rsidRDefault="00A834F1" w:rsidP="00056B6F">
      <w:pPr>
        <w:pStyle w:val="ListParagraph"/>
        <w:numPr>
          <w:ilvl w:val="0"/>
          <w:numId w:val="24"/>
        </w:numPr>
        <w:spacing w:after="240" w:line="240" w:lineRule="auto"/>
        <w:contextualSpacing w:val="0"/>
        <w:jc w:val="both"/>
        <w:rPr>
          <w:rFonts w:ascii="Times New Roman" w:hAnsi="Times New Roman"/>
          <w:sz w:val="24"/>
          <w:szCs w:val="24"/>
        </w:rPr>
      </w:pPr>
      <w:r w:rsidRPr="00342D7E">
        <w:rPr>
          <w:rFonts w:ascii="Times New Roman" w:hAnsi="Times New Roman"/>
          <w:sz w:val="24"/>
          <w:szCs w:val="24"/>
        </w:rPr>
        <w:t>„rozporządzenie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awie NACE”: rozporządzenie (WE) nr</w:t>
      </w:r>
      <w:r w:rsidR="00342D7E" w:rsidRPr="00342D7E">
        <w:rPr>
          <w:rFonts w:ascii="Times New Roman" w:hAnsi="Times New Roman"/>
          <w:sz w:val="24"/>
          <w:szCs w:val="24"/>
        </w:rPr>
        <w:t> </w:t>
      </w:r>
      <w:r w:rsidRPr="00342D7E">
        <w:rPr>
          <w:rFonts w:ascii="Times New Roman" w:hAnsi="Times New Roman"/>
          <w:sz w:val="24"/>
          <w:szCs w:val="24"/>
        </w:rPr>
        <w:t>1893/2006 Parlamentu Europejskiego</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Rad</w:t>
      </w:r>
      <w:r w:rsidRPr="00342D7E">
        <w:rPr>
          <w:rFonts w:ascii="Times New Roman" w:hAnsi="Times New Roman"/>
          <w:sz w:val="24"/>
          <w:szCs w:val="24"/>
        </w:rPr>
        <w:t>y</w:t>
      </w:r>
      <w:r w:rsidRPr="00342D7E">
        <w:rPr>
          <w:rStyle w:val="FootnoteReference"/>
          <w:rFonts w:ascii="Times New Roman" w:hAnsi="Times New Roman"/>
          <w:sz w:val="24"/>
          <w:szCs w:val="24"/>
        </w:rPr>
        <w:footnoteReference w:id="4"/>
      </w:r>
      <w:r w:rsidRPr="00342D7E">
        <w:rPr>
          <w:rFonts w:ascii="Times New Roman" w:hAnsi="Times New Roman"/>
          <w:sz w:val="24"/>
          <w:szCs w:val="24"/>
        </w:rPr>
        <w:t>;</w:t>
      </w:r>
    </w:p>
    <w:p w:rsidR="00D35B0C" w:rsidRPr="00342D7E" w:rsidRDefault="00A834F1" w:rsidP="00056B6F">
      <w:pPr>
        <w:pStyle w:val="ListParagraph"/>
        <w:numPr>
          <w:ilvl w:val="0"/>
          <w:numId w:val="24"/>
        </w:numPr>
        <w:spacing w:after="240" w:line="240" w:lineRule="auto"/>
        <w:contextualSpacing w:val="0"/>
        <w:jc w:val="both"/>
        <w:rPr>
          <w:rFonts w:ascii="Times New Roman" w:hAnsi="Times New Roman"/>
          <w:sz w:val="24"/>
          <w:szCs w:val="24"/>
        </w:rPr>
      </w:pPr>
      <w:r w:rsidRPr="00342D7E">
        <w:rPr>
          <w:rFonts w:ascii="Times New Roman" w:hAnsi="Times New Roman"/>
          <w:sz w:val="24"/>
          <w:szCs w:val="24"/>
        </w:rPr>
        <w:t>„kody NACE”: kody zawarte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roz</w:t>
      </w:r>
      <w:r w:rsidRPr="00342D7E">
        <w:rPr>
          <w:rFonts w:ascii="Times New Roman" w:hAnsi="Times New Roman"/>
          <w:sz w:val="24"/>
          <w:szCs w:val="24"/>
        </w:rPr>
        <w:t>porządzeniu</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awie NACE;</w:t>
      </w:r>
    </w:p>
    <w:p w:rsidR="00D35B0C" w:rsidRPr="00342D7E" w:rsidRDefault="00A834F1" w:rsidP="00056B6F">
      <w:pPr>
        <w:pStyle w:val="ListParagraph"/>
        <w:numPr>
          <w:ilvl w:val="0"/>
          <w:numId w:val="24"/>
        </w:numPr>
        <w:spacing w:after="240" w:line="240" w:lineRule="auto"/>
        <w:contextualSpacing w:val="0"/>
        <w:jc w:val="both"/>
        <w:rPr>
          <w:rFonts w:ascii="Times New Roman" w:hAnsi="Times New Roman"/>
          <w:sz w:val="24"/>
          <w:szCs w:val="24"/>
        </w:rPr>
      </w:pPr>
      <w:r w:rsidRPr="00342D7E">
        <w:rPr>
          <w:rFonts w:ascii="Times New Roman" w:hAnsi="Times New Roman"/>
          <w:sz w:val="24"/>
          <w:szCs w:val="24"/>
        </w:rPr>
        <w:t>„BAD”: dyrektywa Rady 86/635/EWG</w:t>
      </w:r>
      <w:r w:rsidRPr="00342D7E">
        <w:rPr>
          <w:rFonts w:ascii="Times New Roman" w:hAnsi="Times New Roman"/>
          <w:sz w:val="24"/>
          <w:szCs w:val="24"/>
          <w:vertAlign w:val="superscript"/>
        </w:rPr>
        <w:footnoteReference w:id="5"/>
      </w:r>
      <w:r w:rsidRPr="00342D7E">
        <w:rPr>
          <w:rFonts w:ascii="Times New Roman" w:hAnsi="Times New Roman"/>
          <w:sz w:val="24"/>
          <w:szCs w:val="24"/>
        </w:rPr>
        <w:t>;</w:t>
      </w:r>
    </w:p>
    <w:p w:rsidR="00D35B0C" w:rsidRPr="00342D7E" w:rsidRDefault="00A834F1" w:rsidP="00056B6F">
      <w:pPr>
        <w:pStyle w:val="ListParagraph"/>
        <w:numPr>
          <w:ilvl w:val="0"/>
          <w:numId w:val="24"/>
        </w:numPr>
        <w:spacing w:after="240" w:line="240" w:lineRule="auto"/>
        <w:contextualSpacing w:val="0"/>
        <w:jc w:val="both"/>
        <w:rPr>
          <w:rFonts w:ascii="Times New Roman" w:hAnsi="Times New Roman"/>
          <w:sz w:val="24"/>
          <w:szCs w:val="24"/>
        </w:rPr>
      </w:pPr>
      <w:r w:rsidRPr="00342D7E">
        <w:rPr>
          <w:rFonts w:ascii="Times New Roman" w:hAnsi="Times New Roman"/>
          <w:sz w:val="24"/>
          <w:szCs w:val="24"/>
        </w:rPr>
        <w:t>„dyrektywa</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rac</w:t>
      </w:r>
      <w:r w:rsidRPr="00342D7E">
        <w:rPr>
          <w:rFonts w:ascii="Times New Roman" w:hAnsi="Times New Roman"/>
          <w:sz w:val="24"/>
          <w:szCs w:val="24"/>
        </w:rPr>
        <w:t>hunkowości”: dyrektywa Parlamentu Europejskiego</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Rad</w:t>
      </w:r>
      <w:r w:rsidRPr="00342D7E">
        <w:rPr>
          <w:rFonts w:ascii="Times New Roman" w:hAnsi="Times New Roman"/>
          <w:sz w:val="24"/>
          <w:szCs w:val="24"/>
        </w:rPr>
        <w:t>y 2013/34/UE</w:t>
      </w:r>
      <w:r w:rsidRPr="00342D7E">
        <w:rPr>
          <w:rFonts w:ascii="Times New Roman" w:hAnsi="Times New Roman"/>
          <w:sz w:val="24"/>
          <w:szCs w:val="24"/>
          <w:vertAlign w:val="superscript"/>
        </w:rPr>
        <w:footnoteReference w:id="6"/>
      </w:r>
      <w:r w:rsidRPr="00342D7E">
        <w:rPr>
          <w:rFonts w:ascii="Times New Roman" w:hAnsi="Times New Roman"/>
          <w:sz w:val="24"/>
          <w:szCs w:val="24"/>
        </w:rPr>
        <w:t>;</w:t>
      </w:r>
    </w:p>
    <w:p w:rsidR="00D35B0C" w:rsidRPr="00342D7E" w:rsidRDefault="00A834F1" w:rsidP="00056B6F">
      <w:pPr>
        <w:pStyle w:val="ListParagraph"/>
        <w:numPr>
          <w:ilvl w:val="0"/>
          <w:numId w:val="24"/>
        </w:numPr>
        <w:spacing w:after="240" w:line="240" w:lineRule="auto"/>
        <w:contextualSpacing w:val="0"/>
        <w:jc w:val="both"/>
        <w:rPr>
          <w:rFonts w:ascii="Times New Roman" w:hAnsi="Times New Roman"/>
          <w:sz w:val="24"/>
          <w:szCs w:val="24"/>
        </w:rPr>
      </w:pPr>
      <w:r w:rsidRPr="00342D7E">
        <w:rPr>
          <w:rFonts w:ascii="Times New Roman" w:hAnsi="Times New Roman"/>
          <w:sz w:val="24"/>
          <w:szCs w:val="24"/>
        </w:rPr>
        <w:t>„krajowe ogólnie przyjęte zasady rachunkowości”: krajowe ogólnie przyjęte zasady rachunkowości opracowane zgodnie z BAD;</w:t>
      </w:r>
    </w:p>
    <w:p w:rsidR="00D35B0C" w:rsidRPr="00342D7E" w:rsidRDefault="00A834F1" w:rsidP="00056B6F">
      <w:pPr>
        <w:pStyle w:val="ListParagraph"/>
        <w:numPr>
          <w:ilvl w:val="0"/>
          <w:numId w:val="24"/>
        </w:numPr>
        <w:spacing w:after="240" w:line="240" w:lineRule="auto"/>
        <w:contextualSpacing w:val="0"/>
        <w:jc w:val="both"/>
        <w:rPr>
          <w:rStyle w:val="Strong"/>
          <w:rFonts w:ascii="Times New Roman" w:hAnsi="Times New Roman"/>
          <w:b w:val="0"/>
          <w:sz w:val="24"/>
          <w:szCs w:val="24"/>
        </w:rPr>
      </w:pPr>
      <w:r w:rsidRPr="00342D7E">
        <w:rPr>
          <w:rFonts w:ascii="Times New Roman" w:hAnsi="Times New Roman"/>
          <w:sz w:val="24"/>
          <w:szCs w:val="24"/>
        </w:rPr>
        <w:t>„MŚP”: mikroprzedsiębiorstwa oraz małe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śre</w:t>
      </w:r>
      <w:r w:rsidRPr="00342D7E">
        <w:rPr>
          <w:rFonts w:ascii="Times New Roman" w:hAnsi="Times New Roman"/>
          <w:sz w:val="24"/>
          <w:szCs w:val="24"/>
        </w:rPr>
        <w:t>dnie przedsiębiorstwa zdefiniowane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eceniu Komisji nr C(2003) 1422</w:t>
      </w:r>
      <w:r w:rsidRPr="00342D7E">
        <w:rPr>
          <w:rFonts w:ascii="Times New Roman" w:hAnsi="Times New Roman"/>
          <w:sz w:val="24"/>
          <w:szCs w:val="24"/>
          <w:vertAlign w:val="superscript"/>
        </w:rPr>
        <w:footnoteReference w:id="7"/>
      </w:r>
      <w:r w:rsidRPr="00342D7E">
        <w:rPr>
          <w:rFonts w:ascii="Times New Roman" w:hAnsi="Times New Roman"/>
          <w:sz w:val="24"/>
          <w:szCs w:val="24"/>
        </w:rPr>
        <w:t>;</w:t>
      </w:r>
    </w:p>
    <w:p w:rsidR="00D35B0C" w:rsidRPr="00342D7E" w:rsidRDefault="00A834F1" w:rsidP="00056B6F">
      <w:pPr>
        <w:pStyle w:val="ListParagraph"/>
        <w:numPr>
          <w:ilvl w:val="0"/>
          <w:numId w:val="24"/>
        </w:numPr>
        <w:spacing w:after="240" w:line="240" w:lineRule="auto"/>
        <w:contextualSpacing w:val="0"/>
        <w:jc w:val="both"/>
        <w:rPr>
          <w:rFonts w:ascii="Times New Roman" w:hAnsi="Times New Roman"/>
          <w:sz w:val="24"/>
          <w:szCs w:val="24"/>
        </w:rPr>
      </w:pPr>
      <w:r w:rsidRPr="00342D7E">
        <w:rPr>
          <w:rFonts w:ascii="Times New Roman" w:hAnsi="Times New Roman"/>
          <w:sz w:val="24"/>
          <w:szCs w:val="24"/>
        </w:rPr>
        <w:t>„kod ISIN”: międzynarodowy kod identyfikujący papier wartościowy przyznawany papierom wartościowym, składający się</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1</w:t>
      </w:r>
      <w:r w:rsidRPr="00342D7E">
        <w:rPr>
          <w:rFonts w:ascii="Times New Roman" w:hAnsi="Times New Roman"/>
          <w:sz w:val="24"/>
          <w:szCs w:val="24"/>
        </w:rPr>
        <w:t xml:space="preserve">2 znaków </w:t>
      </w:r>
      <w:r w:rsidRPr="00342D7E">
        <w:rPr>
          <w:rFonts w:ascii="Times New Roman" w:hAnsi="Times New Roman"/>
          <w:sz w:val="24"/>
          <w:szCs w:val="24"/>
        </w:rPr>
        <w:lastRenderedPageBreak/>
        <w:t>alfanumerycznych, pozwalający na jednoznaczną identyfikację emisji papierów wartościowych;</w:t>
      </w:r>
    </w:p>
    <w:p w:rsidR="00D35B0C" w:rsidRPr="00342D7E" w:rsidRDefault="00A834F1" w:rsidP="00056B6F">
      <w:pPr>
        <w:pStyle w:val="ListParagraph"/>
        <w:numPr>
          <w:ilvl w:val="0"/>
          <w:numId w:val="24"/>
        </w:numPr>
        <w:spacing w:after="240" w:line="240" w:lineRule="auto"/>
        <w:contextualSpacing w:val="0"/>
        <w:jc w:val="both"/>
        <w:rPr>
          <w:rFonts w:ascii="Times New Roman" w:hAnsi="Times New Roman"/>
          <w:sz w:val="24"/>
          <w:szCs w:val="24"/>
        </w:rPr>
      </w:pPr>
      <w:r w:rsidRPr="00342D7E">
        <w:rPr>
          <w:rFonts w:ascii="Times New Roman" w:hAnsi="Times New Roman"/>
          <w:sz w:val="24"/>
          <w:szCs w:val="24"/>
        </w:rPr>
        <w:t>„kod LEI”: globalny identyfikator podmiotu prawnego przyznawany podmiotom, pozwalający na jednoznaczną identyfikację strony transakcji finansowej;</w:t>
      </w:r>
    </w:p>
    <w:p w:rsidR="00D35B0C" w:rsidRPr="00342D7E" w:rsidRDefault="00A834F1" w:rsidP="00056B6F">
      <w:pPr>
        <w:pStyle w:val="ListParagraph"/>
        <w:numPr>
          <w:ilvl w:val="0"/>
          <w:numId w:val="24"/>
        </w:numPr>
        <w:spacing w:after="240" w:line="240" w:lineRule="auto"/>
        <w:contextualSpacing w:val="0"/>
        <w:jc w:val="both"/>
        <w:rPr>
          <w:rFonts w:ascii="Times New Roman" w:hAnsi="Times New Roman"/>
          <w:sz w:val="24"/>
          <w:szCs w:val="24"/>
        </w:rPr>
      </w:pPr>
      <w:r w:rsidRPr="00342D7E">
        <w:rPr>
          <w:rFonts w:ascii="Times New Roman" w:hAnsi="Times New Roman"/>
          <w:sz w:val="24"/>
          <w:szCs w:val="24"/>
        </w:rPr>
        <w:t>„fazy utraty wartości”: kategorie utraty wartości zdefiniowane w MSSF 9 pkt</w:t>
      </w:r>
      <w:r w:rsidR="00342D7E" w:rsidRPr="00342D7E">
        <w:rPr>
          <w:rFonts w:ascii="Times New Roman" w:hAnsi="Times New Roman"/>
          <w:sz w:val="24"/>
          <w:szCs w:val="24"/>
        </w:rPr>
        <w:t> </w:t>
      </w:r>
      <w:r w:rsidRPr="00342D7E">
        <w:rPr>
          <w:rFonts w:ascii="Times New Roman" w:hAnsi="Times New Roman"/>
          <w:sz w:val="24"/>
          <w:szCs w:val="24"/>
        </w:rPr>
        <w:t>5.5. „Faza 1” odnosi się do utraty wartości zmierzonej zgodnie z MSSF 9 pkt</w:t>
      </w:r>
      <w:r w:rsidR="00342D7E" w:rsidRPr="00342D7E">
        <w:rPr>
          <w:rFonts w:ascii="Times New Roman" w:hAnsi="Times New Roman"/>
          <w:sz w:val="24"/>
          <w:szCs w:val="24"/>
        </w:rPr>
        <w:t> </w:t>
      </w:r>
      <w:r w:rsidRPr="00342D7E">
        <w:rPr>
          <w:rFonts w:ascii="Times New Roman" w:hAnsi="Times New Roman"/>
          <w:sz w:val="24"/>
          <w:szCs w:val="24"/>
        </w:rPr>
        <w:t>5.5.5. „Faza 2” odnosi się do utraty wartości zmierzonej zgodnie z MSSF 9 pkt</w:t>
      </w:r>
      <w:r w:rsidR="00342D7E" w:rsidRPr="00342D7E">
        <w:rPr>
          <w:rFonts w:ascii="Times New Roman" w:hAnsi="Times New Roman"/>
          <w:sz w:val="24"/>
          <w:szCs w:val="24"/>
        </w:rPr>
        <w:t> </w:t>
      </w:r>
      <w:r w:rsidRPr="00342D7E">
        <w:rPr>
          <w:rFonts w:ascii="Times New Roman" w:hAnsi="Times New Roman"/>
          <w:sz w:val="24"/>
          <w:szCs w:val="24"/>
        </w:rPr>
        <w:t>5.5.3. „Faza 3” odnosi się do utraty wartości aktywów dotkniętych utratą wartości ze względu na ryzyko kredytowe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def</w:t>
      </w:r>
      <w:r w:rsidRPr="00342D7E">
        <w:rPr>
          <w:rFonts w:ascii="Times New Roman" w:hAnsi="Times New Roman"/>
          <w:sz w:val="24"/>
          <w:szCs w:val="24"/>
        </w:rPr>
        <w:t>inicją w MSSF 9 załącznik A;</w:t>
      </w:r>
    </w:p>
    <w:p w:rsidR="00D35B0C" w:rsidRPr="00342D7E" w:rsidRDefault="00301A78" w:rsidP="00056B6F">
      <w:pPr>
        <w:pStyle w:val="ListParagraph"/>
        <w:numPr>
          <w:ilvl w:val="0"/>
          <w:numId w:val="24"/>
        </w:numPr>
        <w:rPr>
          <w:rFonts w:ascii="Times New Roman" w:hAnsi="Times New Roman"/>
          <w:sz w:val="24"/>
          <w:szCs w:val="24"/>
        </w:rPr>
      </w:pPr>
      <w:r w:rsidRPr="00342D7E">
        <w:rPr>
          <w:rFonts w:ascii="Times New Roman" w:hAnsi="Times New Roman"/>
          <w:sz w:val="24"/>
          <w:szCs w:val="24"/>
        </w:rPr>
        <w:t>„zalecenie ERRS</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awie uzupełniania luk</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ych dotyczących sektora nieruchomości” odnosi się do zalecenia Europejskiej Rady ds. Ryzyka Systemowego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dni</w:t>
      </w:r>
      <w:r w:rsidRPr="00342D7E">
        <w:rPr>
          <w:rFonts w:ascii="Times New Roman" w:hAnsi="Times New Roman"/>
          <w:sz w:val="24"/>
          <w:szCs w:val="24"/>
        </w:rPr>
        <w:t>a 31 października 2016</w:t>
      </w:r>
      <w:r w:rsidR="00342D7E" w:rsidRPr="00342D7E">
        <w:rPr>
          <w:rFonts w:ascii="Times New Roman" w:hAnsi="Times New Roman"/>
          <w:sz w:val="24"/>
          <w:szCs w:val="24"/>
        </w:rPr>
        <w:t> </w:t>
      </w:r>
      <w:r w:rsidRPr="00342D7E">
        <w:rPr>
          <w:rFonts w:ascii="Times New Roman" w:hAnsi="Times New Roman"/>
          <w:sz w:val="24"/>
          <w:szCs w:val="24"/>
        </w:rPr>
        <w:t>r.</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awie uzupełniania luk</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ych dotyczących sektora nieruchomości (ERRS/2016/14)</w:t>
      </w:r>
      <w:r w:rsidRPr="00342D7E">
        <w:rPr>
          <w:rStyle w:val="FootnoteReference"/>
          <w:rFonts w:ascii="Times New Roman" w:hAnsi="Times New Roman"/>
          <w:sz w:val="24"/>
          <w:szCs w:val="24"/>
        </w:rPr>
        <w:footnoteReference w:id="8"/>
      </w:r>
      <w:r w:rsidRPr="00342D7E">
        <w:rPr>
          <w:rFonts w:ascii="Times New Roman" w:hAnsi="Times New Roman"/>
          <w:sz w:val="24"/>
          <w:szCs w:val="24"/>
        </w:rPr>
        <w:t xml:space="preserve">. </w:t>
      </w:r>
    </w:p>
    <w:p w:rsidR="00D35B0C" w:rsidRPr="00342D7E" w:rsidRDefault="00A834F1" w:rsidP="00056B6F">
      <w:pPr>
        <w:pStyle w:val="subtitlenumbered"/>
        <w:numPr>
          <w:ilvl w:val="0"/>
          <w:numId w:val="11"/>
        </w:numPr>
        <w:jc w:val="both"/>
      </w:pPr>
      <w:bookmarkStart w:id="2" w:name="_Toc31019104"/>
      <w:r w:rsidRPr="00342D7E">
        <w:t>Konwencje</w:t>
      </w:r>
      <w:bookmarkEnd w:id="2"/>
    </w:p>
    <w:p w:rsidR="00D35B0C" w:rsidRPr="00342D7E" w:rsidRDefault="00A834F1">
      <w:pPr>
        <w:pStyle w:val="Baseparagraphnumbered"/>
      </w:pPr>
      <w:r w:rsidRPr="00342D7E">
        <w:t>Do celów załączników III i IV punkt danych zaznaczony na szaro oznacza, że ten punkt danych nie jest wymagany lub że przekazanie odnośnych informacji nie jest możliwe</w:t>
      </w:r>
      <w:r w:rsidR="00342D7E" w:rsidRPr="00342D7E">
        <w:t>. W</w:t>
      </w:r>
      <w:r w:rsidR="00342D7E">
        <w:t> </w:t>
      </w:r>
      <w:r w:rsidR="00342D7E" w:rsidRPr="00342D7E">
        <w:t>zał</w:t>
      </w:r>
      <w:r w:rsidRPr="00342D7E">
        <w:t>ączniku IV wiersz lub kolumna</w:t>
      </w:r>
      <w:r w:rsidR="00342D7E" w:rsidRPr="00342D7E">
        <w:t xml:space="preserve"> z</w:t>
      </w:r>
      <w:r w:rsidR="00342D7E">
        <w:t> </w:t>
      </w:r>
      <w:r w:rsidR="00342D7E" w:rsidRPr="00342D7E">
        <w:t>odn</w:t>
      </w:r>
      <w:r w:rsidRPr="00342D7E">
        <w:t>iesieniami zaznaczonymi na czarno oznacza, że instytucje korzystające</w:t>
      </w:r>
      <w:r w:rsidR="00342D7E" w:rsidRPr="00342D7E">
        <w:t xml:space="preserve"> z</w:t>
      </w:r>
      <w:r w:rsidR="00342D7E">
        <w:t> </w:t>
      </w:r>
      <w:r w:rsidR="00342D7E" w:rsidRPr="00342D7E">
        <w:t>odn</w:t>
      </w:r>
      <w:r w:rsidRPr="00342D7E">
        <w:t>iesień podanych</w:t>
      </w:r>
      <w:r w:rsidR="00342D7E" w:rsidRPr="00342D7E">
        <w:t xml:space="preserve"> w</w:t>
      </w:r>
      <w:r w:rsidR="00342D7E">
        <w:t> </w:t>
      </w:r>
      <w:r w:rsidR="00342D7E" w:rsidRPr="00342D7E">
        <w:t>dan</w:t>
      </w:r>
      <w:r w:rsidRPr="00342D7E">
        <w:t>ym wierszu lub kolumnie nie przedkładają powiązanych punktów danych.</w:t>
      </w:r>
    </w:p>
    <w:p w:rsidR="00D35B0C" w:rsidRPr="00342D7E" w:rsidRDefault="00A834F1">
      <w:pPr>
        <w:pStyle w:val="Baseparagraphnumbered"/>
      </w:pPr>
      <w:r w:rsidRPr="00342D7E">
        <w:t>Wzory przedstawione</w:t>
      </w:r>
      <w:r w:rsidR="00342D7E" w:rsidRPr="00342D7E">
        <w:t xml:space="preserve"> w</w:t>
      </w:r>
      <w:r w:rsidR="00342D7E">
        <w:t> </w:t>
      </w:r>
      <w:r w:rsidR="00342D7E" w:rsidRPr="00342D7E">
        <w:t>zał</w:t>
      </w:r>
      <w:r w:rsidRPr="00342D7E">
        <w:t>ącznikach III i IV zawierają dorozumiane reguły walidacyjne, które są określone</w:t>
      </w:r>
      <w:r w:rsidR="00342D7E" w:rsidRPr="00342D7E">
        <w:t xml:space="preserve"> w</w:t>
      </w:r>
      <w:r w:rsidR="00342D7E">
        <w:t> </w:t>
      </w:r>
      <w:r w:rsidR="00342D7E" w:rsidRPr="00342D7E">
        <w:t>sam</w:t>
      </w:r>
      <w:r w:rsidRPr="00342D7E">
        <w:t>ych wzorach zgodnie</w:t>
      </w:r>
      <w:r w:rsidR="00342D7E" w:rsidRPr="00342D7E">
        <w:t xml:space="preserve"> z</w:t>
      </w:r>
      <w:r w:rsidR="00342D7E">
        <w:t> </w:t>
      </w:r>
      <w:r w:rsidR="00342D7E" w:rsidRPr="00342D7E">
        <w:t>odp</w:t>
      </w:r>
      <w:r w:rsidRPr="00342D7E">
        <w:t>owiednią konwencją.</w:t>
      </w:r>
    </w:p>
    <w:p w:rsidR="00D35B0C" w:rsidRPr="00342D7E" w:rsidRDefault="00A834F1">
      <w:pPr>
        <w:pStyle w:val="Baseparagraphnumbered"/>
      </w:pPr>
      <w:r w:rsidRPr="00342D7E">
        <w:t>Zastosowanie nawiasów</w:t>
      </w:r>
      <w:r w:rsidR="00342D7E" w:rsidRPr="00342D7E">
        <w:t xml:space="preserve"> w</w:t>
      </w:r>
      <w:r w:rsidR="00342D7E">
        <w:t> </w:t>
      </w:r>
      <w:r w:rsidR="00342D7E" w:rsidRPr="00342D7E">
        <w:t>nag</w:t>
      </w:r>
      <w:r w:rsidRPr="00342D7E">
        <w:t>łówku pozycji we wzorze oznacza, że daną pozycję należy odjąć</w:t>
      </w:r>
      <w:r w:rsidR="00342D7E" w:rsidRPr="00342D7E">
        <w:t xml:space="preserve"> w</w:t>
      </w:r>
      <w:r w:rsidR="00342D7E">
        <w:t> </w:t>
      </w:r>
      <w:r w:rsidR="00342D7E" w:rsidRPr="00342D7E">
        <w:t>cel</w:t>
      </w:r>
      <w:r w:rsidRPr="00342D7E">
        <w:t>u uzyskania łącznej kwoty, ale nie oznacza to konieczności zgłoszenia wartości tej pozycji jako ujemnej.</w:t>
      </w:r>
    </w:p>
    <w:p w:rsidR="00D35B0C" w:rsidRPr="00342D7E" w:rsidRDefault="00A834F1">
      <w:pPr>
        <w:pStyle w:val="Baseparagraphnumbered"/>
      </w:pPr>
      <w:r w:rsidRPr="00342D7E">
        <w:t>Pozycje, które należy zgłaszać</w:t>
      </w:r>
      <w:r w:rsidR="00342D7E" w:rsidRPr="00342D7E">
        <w:t xml:space="preserve"> w</w:t>
      </w:r>
      <w:r w:rsidR="00342D7E">
        <w:t> </w:t>
      </w:r>
      <w:r w:rsidR="00342D7E" w:rsidRPr="00342D7E">
        <w:t>war</w:t>
      </w:r>
      <w:r w:rsidRPr="00342D7E">
        <w:t>tości ujemnej, są oznaczone we wzorach kompilacyjnych znakiem</w:t>
      </w:r>
      <w:proofErr w:type="gramStart"/>
      <w:r w:rsidRPr="00342D7E">
        <w:t xml:space="preserve"> „(-)” na</w:t>
      </w:r>
      <w:proofErr w:type="gramEnd"/>
      <w:r w:rsidRPr="00342D7E">
        <w:t xml:space="preserve"> początku opisującego je nagłówka, np. „(-) Akcje własne”.</w:t>
      </w:r>
    </w:p>
    <w:p w:rsidR="00D35B0C" w:rsidRPr="00342D7E" w:rsidRDefault="00A834F1">
      <w:pPr>
        <w:pStyle w:val="Baseparagraphnumbered"/>
      </w:pPr>
      <w:r w:rsidRPr="00342D7E">
        <w:t>W „modelu punktów danych” („DPM”) dotyczącym wzorów na potrzeby sprawozdawczości</w:t>
      </w:r>
      <w:r w:rsidR="00342D7E" w:rsidRPr="00342D7E">
        <w:t xml:space="preserve"> w</w:t>
      </w:r>
      <w:r w:rsidR="00342D7E">
        <w:t> </w:t>
      </w:r>
      <w:r w:rsidR="00342D7E" w:rsidRPr="00342D7E">
        <w:t>zak</w:t>
      </w:r>
      <w:r w:rsidRPr="00342D7E">
        <w:t>resie informacji finansowych</w:t>
      </w:r>
      <w:r w:rsidR="00342D7E" w:rsidRPr="00342D7E">
        <w:t xml:space="preserve"> w</w:t>
      </w:r>
      <w:r w:rsidR="00342D7E">
        <w:t> </w:t>
      </w:r>
      <w:r w:rsidR="00342D7E" w:rsidRPr="00342D7E">
        <w:t>zał</w:t>
      </w:r>
      <w:r w:rsidRPr="00342D7E">
        <w:t xml:space="preserve">ącznikach III i IV każdy punkt danych (komórka) posiada „pozycję bazową”, której przypisuje się zmienną „ma/winien”. Przypisanie takiej zmiennej gwarantuje, że wszystkie podmioty, które zgłaszają punkty danych, stosują się do „konwencji </w:t>
      </w:r>
      <w:r w:rsidRPr="00342D7E">
        <w:lastRenderedPageBreak/>
        <w:t>znaków”, oraz pozwala zapoznać się</w:t>
      </w:r>
      <w:r w:rsidR="00342D7E" w:rsidRPr="00342D7E">
        <w:t xml:space="preserve"> z</w:t>
      </w:r>
      <w:r w:rsidR="00342D7E">
        <w:t> </w:t>
      </w:r>
      <w:r w:rsidR="00342D7E" w:rsidRPr="00342D7E">
        <w:t>war</w:t>
      </w:r>
      <w:r w:rsidRPr="00342D7E">
        <w:t xml:space="preserve">tością zmiennej „ma/winien”, która odpowiada każdemu punktowi danych. </w:t>
      </w:r>
    </w:p>
    <w:p w:rsidR="00D35B0C" w:rsidRPr="00342D7E" w:rsidRDefault="00A834F1">
      <w:pPr>
        <w:pStyle w:val="Baseparagraphnumbered"/>
      </w:pPr>
      <w:r w:rsidRPr="00342D7E">
        <w:t>Schemat funkcjonowania tej konwencji przedstawiono</w:t>
      </w:r>
      <w:r w:rsidR="00342D7E" w:rsidRPr="00342D7E">
        <w:t xml:space="preserve"> w</w:t>
      </w:r>
      <w:r w:rsidR="00342D7E">
        <w:t> </w:t>
      </w:r>
      <w:r w:rsidR="00342D7E" w:rsidRPr="00342D7E">
        <w:t>tab</w:t>
      </w:r>
      <w:r w:rsidRPr="00342D7E">
        <w:t>eli 1.</w:t>
      </w:r>
    </w:p>
    <w:p w:rsidR="00D35B0C" w:rsidRPr="00342D7E" w:rsidRDefault="00A834F1">
      <w:pPr>
        <w:keepNext/>
        <w:jc w:val="center"/>
        <w:rPr>
          <w:rFonts w:ascii="Times New Roman" w:hAnsi="Times New Roman"/>
          <w:bCs/>
          <w:i/>
          <w:sz w:val="24"/>
          <w:szCs w:val="24"/>
        </w:rPr>
      </w:pPr>
      <w:r w:rsidRPr="00342D7E">
        <w:rPr>
          <w:rFonts w:ascii="Times New Roman" w:hAnsi="Times New Roman"/>
          <w:bCs/>
          <w:i/>
          <w:sz w:val="24"/>
          <w:szCs w:val="24"/>
        </w:rPr>
        <w:t>Tabela 1 Konwencja ma/winien, znaki dodatnie</w:t>
      </w:r>
      <w:r w:rsidR="00342D7E" w:rsidRPr="00342D7E">
        <w:rPr>
          <w:rFonts w:ascii="Times New Roman" w:hAnsi="Times New Roman"/>
          <w:bCs/>
          <w:i/>
          <w:sz w:val="24"/>
          <w:szCs w:val="24"/>
        </w:rPr>
        <w:t xml:space="preserve"> i</w:t>
      </w:r>
      <w:r w:rsidR="00342D7E">
        <w:rPr>
          <w:rFonts w:ascii="Times New Roman" w:hAnsi="Times New Roman"/>
          <w:bCs/>
          <w:i/>
          <w:sz w:val="24"/>
          <w:szCs w:val="24"/>
        </w:rPr>
        <w:t> </w:t>
      </w:r>
      <w:r w:rsidR="00342D7E" w:rsidRPr="00342D7E">
        <w:rPr>
          <w:rFonts w:ascii="Times New Roman" w:hAnsi="Times New Roman"/>
          <w:bCs/>
          <w:i/>
          <w:sz w:val="24"/>
          <w:szCs w:val="24"/>
        </w:rPr>
        <w:t>uje</w:t>
      </w:r>
      <w:r w:rsidRPr="00342D7E">
        <w:rPr>
          <w:rFonts w:ascii="Times New Roman" w:hAnsi="Times New Roman"/>
          <w:bCs/>
          <w:i/>
          <w:sz w:val="24"/>
          <w:szCs w:val="24"/>
        </w:rPr>
        <w:t>mne</w:t>
      </w:r>
    </w:p>
    <w:tbl>
      <w:tblPr>
        <w:tblW w:w="8364" w:type="dxa"/>
        <w:tblInd w:w="496" w:type="dxa"/>
        <w:tblLayout w:type="fixed"/>
        <w:tblCellMar>
          <w:left w:w="70" w:type="dxa"/>
          <w:right w:w="70" w:type="dxa"/>
        </w:tblCellMar>
        <w:tblLook w:val="0000" w:firstRow="0" w:lastRow="0" w:firstColumn="0" w:lastColumn="0" w:noHBand="0" w:noVBand="0"/>
      </w:tblPr>
      <w:tblGrid>
        <w:gridCol w:w="1190"/>
        <w:gridCol w:w="936"/>
        <w:gridCol w:w="2977"/>
        <w:gridCol w:w="3261"/>
      </w:tblGrid>
      <w:tr w:rsidR="00D35B0C" w:rsidRPr="00342D7E" w:rsidTr="00490B4E">
        <w:trPr>
          <w:cantSplit/>
          <w:trHeight w:val="290"/>
          <w:tblHeader/>
        </w:trPr>
        <w:tc>
          <w:tcPr>
            <w:tcW w:w="1190" w:type="dxa"/>
            <w:tcBorders>
              <w:top w:val="single" w:sz="12" w:space="0" w:color="auto"/>
              <w:left w:val="single" w:sz="12" w:space="0" w:color="auto"/>
              <w:bottom w:val="single" w:sz="12" w:space="0" w:color="auto"/>
              <w:right w:val="single" w:sz="6" w:space="0" w:color="auto"/>
            </w:tcBorders>
            <w:shd w:val="clear" w:color="969696" w:fill="auto"/>
            <w:vAlign w:val="center"/>
          </w:tcPr>
          <w:p w:rsidR="00D35B0C" w:rsidRPr="00342D7E" w:rsidRDefault="00A834F1">
            <w:pPr>
              <w:autoSpaceDE w:val="0"/>
              <w:autoSpaceDN w:val="0"/>
              <w:adjustRightInd w:val="0"/>
              <w:spacing w:after="0"/>
              <w:jc w:val="both"/>
              <w:rPr>
                <w:rFonts w:ascii="Times New Roman" w:hAnsi="Times New Roman"/>
                <w:b/>
                <w:bCs/>
                <w:sz w:val="24"/>
                <w:szCs w:val="24"/>
              </w:rPr>
            </w:pPr>
            <w:r w:rsidRPr="00342D7E">
              <w:rPr>
                <w:rFonts w:ascii="Times New Roman" w:hAnsi="Times New Roman"/>
                <w:b/>
                <w:bCs/>
                <w:sz w:val="24"/>
                <w:szCs w:val="24"/>
              </w:rPr>
              <w:t>Składnik</w:t>
            </w:r>
          </w:p>
        </w:tc>
        <w:tc>
          <w:tcPr>
            <w:tcW w:w="936" w:type="dxa"/>
            <w:tcBorders>
              <w:top w:val="single" w:sz="12" w:space="0" w:color="auto"/>
              <w:left w:val="single" w:sz="6" w:space="0" w:color="auto"/>
              <w:bottom w:val="single" w:sz="12" w:space="0" w:color="auto"/>
              <w:right w:val="single" w:sz="6" w:space="0" w:color="auto"/>
            </w:tcBorders>
            <w:shd w:val="clear" w:color="969696" w:fill="auto"/>
            <w:vAlign w:val="center"/>
          </w:tcPr>
          <w:p w:rsidR="00D35B0C" w:rsidRPr="00342D7E" w:rsidRDefault="00A834F1">
            <w:pPr>
              <w:autoSpaceDE w:val="0"/>
              <w:autoSpaceDN w:val="0"/>
              <w:adjustRightInd w:val="0"/>
              <w:spacing w:after="0"/>
              <w:jc w:val="both"/>
              <w:rPr>
                <w:rFonts w:ascii="Times New Roman" w:hAnsi="Times New Roman"/>
                <w:b/>
                <w:bCs/>
                <w:sz w:val="24"/>
                <w:szCs w:val="24"/>
              </w:rPr>
            </w:pPr>
            <w:r w:rsidRPr="00342D7E">
              <w:rPr>
                <w:rFonts w:ascii="Times New Roman" w:hAnsi="Times New Roman"/>
                <w:b/>
                <w:bCs/>
                <w:sz w:val="24"/>
                <w:szCs w:val="24"/>
              </w:rPr>
              <w:t>Ma</w:t>
            </w:r>
          </w:p>
          <w:p w:rsidR="00D35B0C" w:rsidRPr="00342D7E" w:rsidRDefault="00A834F1">
            <w:pPr>
              <w:autoSpaceDE w:val="0"/>
              <w:autoSpaceDN w:val="0"/>
              <w:adjustRightInd w:val="0"/>
              <w:spacing w:after="0"/>
              <w:jc w:val="both"/>
              <w:rPr>
                <w:rFonts w:ascii="Times New Roman" w:hAnsi="Times New Roman"/>
                <w:b/>
                <w:bCs/>
                <w:sz w:val="24"/>
                <w:szCs w:val="24"/>
              </w:rPr>
            </w:pPr>
            <w:r w:rsidRPr="00342D7E">
              <w:rPr>
                <w:rFonts w:ascii="Times New Roman" w:hAnsi="Times New Roman"/>
                <w:b/>
                <w:bCs/>
                <w:sz w:val="24"/>
                <w:szCs w:val="24"/>
              </w:rPr>
              <w:t>/winien</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D35B0C" w:rsidRPr="00342D7E" w:rsidRDefault="00A834F1">
            <w:pPr>
              <w:autoSpaceDE w:val="0"/>
              <w:autoSpaceDN w:val="0"/>
              <w:adjustRightInd w:val="0"/>
              <w:spacing w:after="0"/>
              <w:jc w:val="both"/>
              <w:rPr>
                <w:rFonts w:ascii="Times New Roman" w:hAnsi="Times New Roman"/>
                <w:b/>
                <w:bCs/>
                <w:sz w:val="24"/>
                <w:szCs w:val="24"/>
              </w:rPr>
            </w:pPr>
            <w:r w:rsidRPr="00342D7E">
              <w:rPr>
                <w:rFonts w:ascii="Times New Roman" w:hAnsi="Times New Roman"/>
                <w:b/>
                <w:bCs/>
                <w:sz w:val="24"/>
                <w:szCs w:val="24"/>
              </w:rPr>
              <w:t>Saldo</w:t>
            </w:r>
          </w:p>
          <w:p w:rsidR="00D35B0C" w:rsidRPr="00342D7E" w:rsidRDefault="00A834F1">
            <w:pPr>
              <w:autoSpaceDE w:val="0"/>
              <w:autoSpaceDN w:val="0"/>
              <w:adjustRightInd w:val="0"/>
              <w:spacing w:after="0"/>
              <w:jc w:val="both"/>
              <w:rPr>
                <w:rFonts w:ascii="Times New Roman" w:hAnsi="Times New Roman"/>
                <w:b/>
                <w:bCs/>
                <w:sz w:val="24"/>
                <w:szCs w:val="24"/>
              </w:rPr>
            </w:pPr>
            <w:r w:rsidRPr="00342D7E">
              <w:rPr>
                <w:rFonts w:ascii="Times New Roman" w:hAnsi="Times New Roman"/>
                <w:b/>
                <w:bCs/>
                <w:sz w:val="24"/>
                <w:szCs w:val="24"/>
              </w:rPr>
              <w:t>/zmiana</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D35B0C" w:rsidRPr="00342D7E" w:rsidRDefault="00A834F1">
            <w:pPr>
              <w:autoSpaceDE w:val="0"/>
              <w:autoSpaceDN w:val="0"/>
              <w:adjustRightInd w:val="0"/>
              <w:spacing w:after="0"/>
              <w:jc w:val="both"/>
              <w:rPr>
                <w:rFonts w:ascii="Times New Roman" w:hAnsi="Times New Roman"/>
                <w:b/>
                <w:bCs/>
                <w:sz w:val="24"/>
                <w:szCs w:val="24"/>
              </w:rPr>
            </w:pPr>
            <w:r w:rsidRPr="00342D7E">
              <w:rPr>
                <w:rFonts w:ascii="Times New Roman" w:hAnsi="Times New Roman"/>
                <w:b/>
                <w:bCs/>
                <w:sz w:val="24"/>
                <w:szCs w:val="24"/>
              </w:rPr>
              <w:t>Zgłoszona wartość</w:t>
            </w:r>
          </w:p>
        </w:tc>
      </w:tr>
      <w:tr w:rsidR="00D35B0C" w:rsidRPr="00342D7E" w:rsidTr="00490B4E">
        <w:trPr>
          <w:trHeight w:val="557"/>
        </w:trPr>
        <w:tc>
          <w:tcPr>
            <w:tcW w:w="1190" w:type="dxa"/>
            <w:vMerge w:val="restart"/>
            <w:tcBorders>
              <w:top w:val="single" w:sz="12" w:space="0" w:color="auto"/>
              <w:left w:val="single" w:sz="1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Aktywa</w:t>
            </w:r>
          </w:p>
        </w:tc>
        <w:tc>
          <w:tcPr>
            <w:tcW w:w="936" w:type="dxa"/>
            <w:vMerge w:val="restart"/>
            <w:tcBorders>
              <w:top w:val="single" w:sz="12" w:space="0" w:color="auto"/>
              <w:left w:val="single" w:sz="6"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Winien</w:t>
            </w:r>
          </w:p>
        </w:tc>
        <w:tc>
          <w:tcPr>
            <w:tcW w:w="2977" w:type="dxa"/>
            <w:tcBorders>
              <w:top w:val="single" w:sz="12"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Saldo aktywów</w:t>
            </w:r>
          </w:p>
        </w:tc>
        <w:tc>
          <w:tcPr>
            <w:tcW w:w="3261" w:type="dxa"/>
            <w:tcBorders>
              <w:top w:val="single" w:sz="1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ind w:left="-360" w:firstLine="360"/>
              <w:jc w:val="both"/>
              <w:rPr>
                <w:rFonts w:ascii="Times New Roman" w:hAnsi="Times New Roman"/>
                <w:sz w:val="24"/>
                <w:szCs w:val="24"/>
              </w:rPr>
            </w:pPr>
            <w:r w:rsidRPr="00342D7E">
              <w:rPr>
                <w:rFonts w:ascii="Times New Roman" w:hAnsi="Times New Roman"/>
                <w:sz w:val="24"/>
                <w:szCs w:val="24"/>
              </w:rPr>
              <w:t>Dodatnia („normalna”, bez znaku)</w:t>
            </w:r>
          </w:p>
        </w:tc>
      </w:tr>
      <w:tr w:rsidR="00D35B0C" w:rsidRPr="00342D7E" w:rsidTr="00490B4E">
        <w:trPr>
          <w:trHeight w:val="557"/>
        </w:trPr>
        <w:tc>
          <w:tcPr>
            <w:tcW w:w="1190" w:type="dxa"/>
            <w:vMerge/>
            <w:tcBorders>
              <w:left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Zwiększenie aktywów</w:t>
            </w:r>
          </w:p>
        </w:tc>
        <w:tc>
          <w:tcPr>
            <w:tcW w:w="3261" w:type="dxa"/>
            <w:tcBorders>
              <w:top w:val="single" w:sz="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Dodatnia („normalna”, bez znaku)</w:t>
            </w:r>
          </w:p>
        </w:tc>
      </w:tr>
      <w:tr w:rsidR="00D35B0C" w:rsidRPr="00342D7E" w:rsidTr="00490B4E">
        <w:trPr>
          <w:trHeight w:val="557"/>
        </w:trPr>
        <w:tc>
          <w:tcPr>
            <w:tcW w:w="1190" w:type="dxa"/>
            <w:vMerge/>
            <w:tcBorders>
              <w:left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Ujemne saldo aktywów</w:t>
            </w:r>
          </w:p>
        </w:tc>
        <w:tc>
          <w:tcPr>
            <w:tcW w:w="3261" w:type="dxa"/>
            <w:tcBorders>
              <w:top w:val="single" w:sz="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Ujemna (konieczny znak minus „-”)</w:t>
            </w:r>
          </w:p>
        </w:tc>
      </w:tr>
      <w:tr w:rsidR="00D35B0C" w:rsidRPr="00342D7E" w:rsidTr="00490B4E">
        <w:trPr>
          <w:trHeight w:val="557"/>
        </w:trPr>
        <w:tc>
          <w:tcPr>
            <w:tcW w:w="1190" w:type="dxa"/>
            <w:vMerge/>
            <w:tcBorders>
              <w:left w:val="single" w:sz="12" w:space="0" w:color="auto"/>
              <w:bottom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Zmniejszenie aktywów</w:t>
            </w:r>
          </w:p>
        </w:tc>
        <w:tc>
          <w:tcPr>
            <w:tcW w:w="3261" w:type="dxa"/>
            <w:tcBorders>
              <w:top w:val="single" w:sz="2" w:space="0" w:color="auto"/>
              <w:left w:val="single" w:sz="6" w:space="0" w:color="auto"/>
              <w:bottom w:val="single" w:sz="6"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Ujemna (konieczny znak minus „-”)</w:t>
            </w:r>
          </w:p>
        </w:tc>
      </w:tr>
      <w:tr w:rsidR="00D35B0C" w:rsidRPr="00342D7E" w:rsidTr="00490B4E">
        <w:trPr>
          <w:trHeight w:val="557"/>
        </w:trPr>
        <w:tc>
          <w:tcPr>
            <w:tcW w:w="1190" w:type="dxa"/>
            <w:vMerge w:val="restart"/>
            <w:tcBorders>
              <w:top w:val="single" w:sz="6" w:space="0" w:color="auto"/>
              <w:left w:val="single" w:sz="1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Koszty</w:t>
            </w: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Saldo kosztów</w:t>
            </w:r>
          </w:p>
        </w:tc>
        <w:tc>
          <w:tcPr>
            <w:tcW w:w="3261" w:type="dxa"/>
            <w:tcBorders>
              <w:top w:val="single" w:sz="6"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Dodatnia („normalna”, bez znaku)</w:t>
            </w:r>
          </w:p>
        </w:tc>
      </w:tr>
      <w:tr w:rsidR="00D35B0C" w:rsidRPr="00342D7E" w:rsidTr="00490B4E">
        <w:trPr>
          <w:trHeight w:val="557"/>
        </w:trPr>
        <w:tc>
          <w:tcPr>
            <w:tcW w:w="1190" w:type="dxa"/>
            <w:vMerge/>
            <w:tcBorders>
              <w:left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Zwiększenie kosztów</w:t>
            </w:r>
          </w:p>
        </w:tc>
        <w:tc>
          <w:tcPr>
            <w:tcW w:w="3261" w:type="dxa"/>
            <w:tcBorders>
              <w:top w:val="single" w:sz="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Dodatnia („normalna”, bez znaku)</w:t>
            </w:r>
          </w:p>
        </w:tc>
      </w:tr>
      <w:tr w:rsidR="00D35B0C" w:rsidRPr="00342D7E" w:rsidTr="00490B4E">
        <w:trPr>
          <w:trHeight w:val="557"/>
        </w:trPr>
        <w:tc>
          <w:tcPr>
            <w:tcW w:w="1190" w:type="dxa"/>
            <w:vMerge/>
            <w:tcBorders>
              <w:left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Ujemne saldo kosztów (w tym odwrócenia)</w:t>
            </w:r>
          </w:p>
        </w:tc>
        <w:tc>
          <w:tcPr>
            <w:tcW w:w="3261" w:type="dxa"/>
            <w:tcBorders>
              <w:top w:val="single" w:sz="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Ujemna (konieczny znak minus „-”)</w:t>
            </w:r>
          </w:p>
        </w:tc>
      </w:tr>
      <w:tr w:rsidR="00D35B0C" w:rsidRPr="00342D7E" w:rsidTr="00490B4E">
        <w:trPr>
          <w:trHeight w:val="569"/>
        </w:trPr>
        <w:tc>
          <w:tcPr>
            <w:tcW w:w="1190" w:type="dxa"/>
            <w:vMerge/>
            <w:tcBorders>
              <w:left w:val="single" w:sz="12" w:space="0" w:color="auto"/>
              <w:bottom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bottom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1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Zmniejszenie kosztów</w:t>
            </w:r>
          </w:p>
        </w:tc>
        <w:tc>
          <w:tcPr>
            <w:tcW w:w="3261" w:type="dxa"/>
            <w:tcBorders>
              <w:top w:val="single" w:sz="2" w:space="0" w:color="auto"/>
              <w:left w:val="single" w:sz="6" w:space="0" w:color="auto"/>
              <w:bottom w:val="single" w:sz="1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Ujemna (konieczny znak minus „-”)</w:t>
            </w:r>
          </w:p>
        </w:tc>
      </w:tr>
      <w:tr w:rsidR="00D35B0C" w:rsidRPr="00342D7E" w:rsidTr="00490B4E">
        <w:trPr>
          <w:trHeight w:val="557"/>
        </w:trPr>
        <w:tc>
          <w:tcPr>
            <w:tcW w:w="1190" w:type="dxa"/>
            <w:vMerge w:val="restart"/>
            <w:tcBorders>
              <w:top w:val="single" w:sz="12" w:space="0" w:color="auto"/>
              <w:left w:val="single" w:sz="1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Zobowiązania</w:t>
            </w:r>
          </w:p>
        </w:tc>
        <w:tc>
          <w:tcPr>
            <w:tcW w:w="936" w:type="dxa"/>
            <w:vMerge w:val="restart"/>
            <w:tcBorders>
              <w:top w:val="single" w:sz="12" w:space="0" w:color="auto"/>
              <w:left w:val="single" w:sz="6"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Ma</w:t>
            </w:r>
          </w:p>
        </w:tc>
        <w:tc>
          <w:tcPr>
            <w:tcW w:w="2977" w:type="dxa"/>
            <w:tcBorders>
              <w:top w:val="single" w:sz="12"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Saldo zobowiązań</w:t>
            </w:r>
          </w:p>
        </w:tc>
        <w:tc>
          <w:tcPr>
            <w:tcW w:w="3261" w:type="dxa"/>
            <w:tcBorders>
              <w:top w:val="single" w:sz="1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Dodatnia („normalna”, bez znaku)</w:t>
            </w:r>
          </w:p>
        </w:tc>
      </w:tr>
      <w:tr w:rsidR="00D35B0C" w:rsidRPr="00342D7E" w:rsidTr="00490B4E">
        <w:trPr>
          <w:trHeight w:val="557"/>
        </w:trPr>
        <w:tc>
          <w:tcPr>
            <w:tcW w:w="1190" w:type="dxa"/>
            <w:vMerge/>
            <w:tcBorders>
              <w:left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Zwiększenie zobowiązań</w:t>
            </w:r>
          </w:p>
        </w:tc>
        <w:tc>
          <w:tcPr>
            <w:tcW w:w="3261" w:type="dxa"/>
            <w:tcBorders>
              <w:top w:val="single" w:sz="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Dodatnia („normalna”, bez znaku)</w:t>
            </w:r>
          </w:p>
        </w:tc>
      </w:tr>
      <w:tr w:rsidR="00D35B0C" w:rsidRPr="00342D7E" w:rsidTr="00490B4E">
        <w:trPr>
          <w:trHeight w:val="557"/>
        </w:trPr>
        <w:tc>
          <w:tcPr>
            <w:tcW w:w="1190" w:type="dxa"/>
            <w:vMerge/>
            <w:tcBorders>
              <w:left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5B0C" w:rsidRPr="00342D7E" w:rsidRDefault="00A834F1">
            <w:pPr>
              <w:jc w:val="both"/>
              <w:rPr>
                <w:rFonts w:ascii="Times New Roman" w:hAnsi="Times New Roman"/>
                <w:sz w:val="24"/>
                <w:szCs w:val="24"/>
              </w:rPr>
            </w:pPr>
            <w:r w:rsidRPr="00342D7E">
              <w:rPr>
                <w:rFonts w:ascii="Times New Roman" w:hAnsi="Times New Roman"/>
                <w:sz w:val="24"/>
                <w:szCs w:val="24"/>
              </w:rPr>
              <w:t>Ujemne saldo zobowiązań</w:t>
            </w:r>
          </w:p>
        </w:tc>
        <w:tc>
          <w:tcPr>
            <w:tcW w:w="3261" w:type="dxa"/>
            <w:tcBorders>
              <w:top w:val="single" w:sz="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Ujemna (konieczny znak minus „-”)</w:t>
            </w:r>
          </w:p>
        </w:tc>
      </w:tr>
      <w:tr w:rsidR="00D35B0C" w:rsidRPr="00342D7E" w:rsidTr="00490B4E">
        <w:trPr>
          <w:trHeight w:val="557"/>
        </w:trPr>
        <w:tc>
          <w:tcPr>
            <w:tcW w:w="1190" w:type="dxa"/>
            <w:vMerge/>
            <w:tcBorders>
              <w:left w:val="single" w:sz="12" w:space="0" w:color="auto"/>
              <w:bottom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Zmniejszenie zobowiązań</w:t>
            </w:r>
          </w:p>
        </w:tc>
        <w:tc>
          <w:tcPr>
            <w:tcW w:w="3261" w:type="dxa"/>
            <w:tcBorders>
              <w:top w:val="single" w:sz="2" w:space="0" w:color="auto"/>
              <w:left w:val="single" w:sz="6" w:space="0" w:color="auto"/>
              <w:bottom w:val="single" w:sz="6"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Ujemna (konieczny znak minus „-”)</w:t>
            </w:r>
          </w:p>
        </w:tc>
      </w:tr>
      <w:tr w:rsidR="00D35B0C" w:rsidRPr="00342D7E" w:rsidTr="00490B4E">
        <w:trPr>
          <w:trHeight w:val="557"/>
        </w:trPr>
        <w:tc>
          <w:tcPr>
            <w:tcW w:w="1190" w:type="dxa"/>
            <w:vMerge w:val="restart"/>
            <w:tcBorders>
              <w:top w:val="single" w:sz="6" w:space="0" w:color="auto"/>
              <w:left w:val="single" w:sz="1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Kapitał własny</w:t>
            </w: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Saldo kapitału własnego</w:t>
            </w:r>
          </w:p>
        </w:tc>
        <w:tc>
          <w:tcPr>
            <w:tcW w:w="3261" w:type="dxa"/>
            <w:tcBorders>
              <w:top w:val="single" w:sz="6"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Dodatnia („normalna”, bez znaku)</w:t>
            </w:r>
          </w:p>
        </w:tc>
      </w:tr>
      <w:tr w:rsidR="00D35B0C" w:rsidRPr="00342D7E" w:rsidTr="00490B4E">
        <w:trPr>
          <w:trHeight w:val="557"/>
        </w:trPr>
        <w:tc>
          <w:tcPr>
            <w:tcW w:w="1190" w:type="dxa"/>
            <w:vMerge/>
            <w:tcBorders>
              <w:left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Zwiększenie kapitału własnego</w:t>
            </w:r>
          </w:p>
        </w:tc>
        <w:tc>
          <w:tcPr>
            <w:tcW w:w="3261" w:type="dxa"/>
            <w:tcBorders>
              <w:top w:val="single" w:sz="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Dodatnia („normalna”, bez znaku)</w:t>
            </w:r>
          </w:p>
        </w:tc>
      </w:tr>
      <w:tr w:rsidR="00D35B0C" w:rsidRPr="00342D7E" w:rsidTr="00490B4E">
        <w:trPr>
          <w:trHeight w:val="557"/>
        </w:trPr>
        <w:tc>
          <w:tcPr>
            <w:tcW w:w="1190" w:type="dxa"/>
            <w:vMerge/>
            <w:tcBorders>
              <w:left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5B0C" w:rsidRPr="00342D7E" w:rsidRDefault="00A834F1">
            <w:pPr>
              <w:jc w:val="both"/>
              <w:rPr>
                <w:rFonts w:ascii="Times New Roman" w:hAnsi="Times New Roman"/>
                <w:sz w:val="24"/>
                <w:szCs w:val="24"/>
              </w:rPr>
            </w:pPr>
            <w:r w:rsidRPr="00342D7E">
              <w:rPr>
                <w:rFonts w:ascii="Times New Roman" w:hAnsi="Times New Roman"/>
                <w:sz w:val="24"/>
                <w:szCs w:val="24"/>
              </w:rPr>
              <w:t>Ujemne saldo kapitału własnego</w:t>
            </w:r>
          </w:p>
        </w:tc>
        <w:tc>
          <w:tcPr>
            <w:tcW w:w="3261" w:type="dxa"/>
            <w:tcBorders>
              <w:top w:val="single" w:sz="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Ujemna (konieczny znak minus „-”)</w:t>
            </w:r>
          </w:p>
        </w:tc>
      </w:tr>
      <w:tr w:rsidR="00D35B0C" w:rsidRPr="00342D7E" w:rsidTr="00490B4E">
        <w:trPr>
          <w:trHeight w:val="557"/>
        </w:trPr>
        <w:tc>
          <w:tcPr>
            <w:tcW w:w="1190" w:type="dxa"/>
            <w:vMerge/>
            <w:tcBorders>
              <w:left w:val="single" w:sz="12" w:space="0" w:color="auto"/>
              <w:bottom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Zmniejszenie kapitału własnego</w:t>
            </w:r>
          </w:p>
        </w:tc>
        <w:tc>
          <w:tcPr>
            <w:tcW w:w="3261" w:type="dxa"/>
            <w:tcBorders>
              <w:top w:val="single" w:sz="2" w:space="0" w:color="auto"/>
              <w:left w:val="single" w:sz="6" w:space="0" w:color="auto"/>
              <w:bottom w:val="single" w:sz="6"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Ujemna (konieczny znak minus „-”)</w:t>
            </w:r>
          </w:p>
        </w:tc>
      </w:tr>
      <w:tr w:rsidR="00D35B0C" w:rsidRPr="00342D7E" w:rsidTr="00490B4E">
        <w:trPr>
          <w:trHeight w:val="557"/>
        </w:trPr>
        <w:tc>
          <w:tcPr>
            <w:tcW w:w="1190" w:type="dxa"/>
            <w:vMerge w:val="restart"/>
            <w:tcBorders>
              <w:top w:val="single" w:sz="6" w:space="0" w:color="auto"/>
              <w:left w:val="single" w:sz="1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Przychody</w:t>
            </w: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Saldo przychodów</w:t>
            </w:r>
          </w:p>
        </w:tc>
        <w:tc>
          <w:tcPr>
            <w:tcW w:w="3261" w:type="dxa"/>
            <w:tcBorders>
              <w:top w:val="single" w:sz="6"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Dodatnia („normalna”, bez znaku)</w:t>
            </w:r>
          </w:p>
        </w:tc>
      </w:tr>
      <w:tr w:rsidR="00D35B0C" w:rsidRPr="00342D7E" w:rsidTr="00490B4E">
        <w:trPr>
          <w:trHeight w:val="557"/>
        </w:trPr>
        <w:tc>
          <w:tcPr>
            <w:tcW w:w="1190" w:type="dxa"/>
            <w:vMerge/>
            <w:tcBorders>
              <w:left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Zwiększenie przychodów</w:t>
            </w:r>
          </w:p>
        </w:tc>
        <w:tc>
          <w:tcPr>
            <w:tcW w:w="3261" w:type="dxa"/>
            <w:tcBorders>
              <w:top w:val="single" w:sz="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Dodatnia („normalna”, bez znaku)</w:t>
            </w:r>
          </w:p>
        </w:tc>
      </w:tr>
      <w:tr w:rsidR="00D35B0C" w:rsidRPr="00342D7E" w:rsidTr="00490B4E">
        <w:trPr>
          <w:trHeight w:val="557"/>
        </w:trPr>
        <w:tc>
          <w:tcPr>
            <w:tcW w:w="1190" w:type="dxa"/>
            <w:vMerge/>
            <w:tcBorders>
              <w:left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Ujemne saldo przychodów (w tym odwrócenia)</w:t>
            </w:r>
          </w:p>
        </w:tc>
        <w:tc>
          <w:tcPr>
            <w:tcW w:w="3261" w:type="dxa"/>
            <w:tcBorders>
              <w:top w:val="single" w:sz="2" w:space="0" w:color="auto"/>
              <w:left w:val="single" w:sz="6" w:space="0" w:color="auto"/>
              <w:bottom w:val="single" w:sz="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Ujemna (konieczny znak minus „-”)</w:t>
            </w:r>
          </w:p>
        </w:tc>
      </w:tr>
      <w:tr w:rsidR="00D35B0C" w:rsidRPr="00342D7E" w:rsidTr="00490B4E">
        <w:trPr>
          <w:trHeight w:val="569"/>
        </w:trPr>
        <w:tc>
          <w:tcPr>
            <w:tcW w:w="1190" w:type="dxa"/>
            <w:vMerge/>
            <w:tcBorders>
              <w:left w:val="single" w:sz="12" w:space="0" w:color="auto"/>
              <w:bottom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936" w:type="dxa"/>
            <w:vMerge/>
            <w:tcBorders>
              <w:left w:val="single" w:sz="6" w:space="0" w:color="auto"/>
              <w:bottom w:val="single" w:sz="12" w:space="0" w:color="auto"/>
              <w:right w:val="single" w:sz="6" w:space="0" w:color="auto"/>
            </w:tcBorders>
            <w:vAlign w:val="center"/>
          </w:tcPr>
          <w:p w:rsidR="00D35B0C" w:rsidRPr="00342D7E" w:rsidRDefault="00D35B0C">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12" w:space="0" w:color="auto"/>
              <w:right w:val="single" w:sz="6"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Zmniejszenie przychodów</w:t>
            </w:r>
          </w:p>
        </w:tc>
        <w:tc>
          <w:tcPr>
            <w:tcW w:w="3261" w:type="dxa"/>
            <w:tcBorders>
              <w:top w:val="single" w:sz="2" w:space="0" w:color="auto"/>
              <w:left w:val="single" w:sz="6" w:space="0" w:color="auto"/>
              <w:bottom w:val="single" w:sz="12" w:space="0" w:color="auto"/>
              <w:right w:val="single" w:sz="12" w:space="0" w:color="auto"/>
            </w:tcBorders>
            <w:vAlign w:val="center"/>
          </w:tcPr>
          <w:p w:rsidR="00D35B0C" w:rsidRPr="00342D7E" w:rsidRDefault="00A834F1">
            <w:pPr>
              <w:autoSpaceDE w:val="0"/>
              <w:autoSpaceDN w:val="0"/>
              <w:adjustRightInd w:val="0"/>
              <w:spacing w:after="0"/>
              <w:jc w:val="both"/>
              <w:rPr>
                <w:rFonts w:ascii="Times New Roman" w:hAnsi="Times New Roman"/>
                <w:sz w:val="24"/>
                <w:szCs w:val="24"/>
              </w:rPr>
            </w:pPr>
            <w:r w:rsidRPr="00342D7E">
              <w:rPr>
                <w:rFonts w:ascii="Times New Roman" w:hAnsi="Times New Roman"/>
                <w:sz w:val="24"/>
                <w:szCs w:val="24"/>
              </w:rPr>
              <w:t>Ujemna (konieczny znak minus „-”)</w:t>
            </w:r>
          </w:p>
        </w:tc>
      </w:tr>
    </w:tbl>
    <w:p w:rsidR="00D35B0C" w:rsidRPr="00342D7E" w:rsidRDefault="00D35B0C">
      <w:pPr>
        <w:pStyle w:val="Baseparagraphnumbered"/>
        <w:numPr>
          <w:ilvl w:val="0"/>
          <w:numId w:val="0"/>
        </w:numPr>
        <w:ind w:left="633"/>
      </w:pPr>
    </w:p>
    <w:p w:rsidR="00D35B0C" w:rsidRPr="00342D7E" w:rsidRDefault="00A834F1" w:rsidP="00056B6F">
      <w:pPr>
        <w:pStyle w:val="subtitlenumbered"/>
        <w:numPr>
          <w:ilvl w:val="0"/>
          <w:numId w:val="11"/>
        </w:numPr>
        <w:jc w:val="both"/>
      </w:pPr>
      <w:bookmarkStart w:id="3" w:name="_Toc31019105"/>
      <w:r w:rsidRPr="00342D7E">
        <w:t>Konsolidacja</w:t>
      </w:r>
      <w:bookmarkEnd w:id="3"/>
    </w:p>
    <w:p w:rsidR="00D35B0C" w:rsidRPr="00342D7E" w:rsidRDefault="00A834F1">
      <w:pPr>
        <w:pStyle w:val="Baseparagraphnumbered"/>
      </w:pPr>
      <w:r w:rsidRPr="00342D7E">
        <w:t>O ile przepisy niniejszego załącznika nie stanowią inaczej, wzory FINREP opracowuje się</w:t>
      </w:r>
      <w:r w:rsidR="00342D7E" w:rsidRPr="00342D7E">
        <w:t xml:space="preserve"> z</w:t>
      </w:r>
      <w:r w:rsidR="00342D7E">
        <w:t> </w:t>
      </w:r>
      <w:r w:rsidR="00342D7E" w:rsidRPr="00342D7E">
        <w:t>zas</w:t>
      </w:r>
      <w:r w:rsidRPr="00342D7E">
        <w:t>tosowaniem zakresu konsolidacji ostrożnościowej zgodnie</w:t>
      </w:r>
      <w:r w:rsidR="00342D7E" w:rsidRPr="00342D7E">
        <w:t xml:space="preserve"> z</w:t>
      </w:r>
      <w:r w:rsidR="00342D7E">
        <w:t> </w:t>
      </w:r>
      <w:r w:rsidR="00342D7E" w:rsidRPr="00342D7E">
        <w:t>czę</w:t>
      </w:r>
      <w:r w:rsidRPr="00342D7E">
        <w:t>ścią pierwszą tytuł II rozdział 2 sekcja 2 CRR. Instytucje uwzględniają swoje jednostki zależne, wspólne przedsięwzięcia</w:t>
      </w:r>
      <w:r w:rsidR="00342D7E" w:rsidRPr="00342D7E">
        <w:t xml:space="preserve"> i</w:t>
      </w:r>
      <w:r w:rsidR="00342D7E">
        <w:t> </w:t>
      </w:r>
      <w:r w:rsidR="00342D7E" w:rsidRPr="00342D7E">
        <w:t>jed</w:t>
      </w:r>
      <w:r w:rsidRPr="00342D7E">
        <w:t>nostki stowarzyszone, stosując takie same metody jak</w:t>
      </w:r>
      <w:r w:rsidR="00342D7E" w:rsidRPr="00342D7E">
        <w:t xml:space="preserve"> w</w:t>
      </w:r>
      <w:r w:rsidR="00342D7E">
        <w:t> </w:t>
      </w:r>
      <w:r w:rsidR="00342D7E" w:rsidRPr="00342D7E">
        <w:t>prz</w:t>
      </w:r>
      <w:r w:rsidRPr="00342D7E">
        <w:t xml:space="preserve">ypadku konsolidacji ostrożnościowej: </w:t>
      </w:r>
    </w:p>
    <w:p w:rsidR="00D35B0C" w:rsidRPr="00342D7E" w:rsidRDefault="00A834F1" w:rsidP="00056B6F">
      <w:pPr>
        <w:pStyle w:val="Baseparagraphnumbered"/>
        <w:numPr>
          <w:ilvl w:val="1"/>
          <w:numId w:val="25"/>
        </w:numPr>
        <w:ind w:left="1134"/>
      </w:pPr>
      <w:proofErr w:type="gramStart"/>
      <w:r w:rsidRPr="00342D7E">
        <w:t>zgodnie</w:t>
      </w:r>
      <w:proofErr w:type="gramEnd"/>
      <w:r w:rsidR="00342D7E" w:rsidRPr="00342D7E">
        <w:t xml:space="preserve"> z</w:t>
      </w:r>
      <w:r w:rsidR="00342D7E">
        <w:t> </w:t>
      </w:r>
      <w:r w:rsidR="00342D7E" w:rsidRPr="00342D7E">
        <w:t>art</w:t>
      </w:r>
      <w:r w:rsidRPr="00342D7E">
        <w:t>.</w:t>
      </w:r>
      <w:r w:rsidR="00342D7E" w:rsidRPr="00342D7E">
        <w:t> </w:t>
      </w:r>
      <w:r w:rsidRPr="00342D7E">
        <w:t>18 ust.</w:t>
      </w:r>
      <w:r w:rsidR="00342D7E" w:rsidRPr="00342D7E">
        <w:t> </w:t>
      </w:r>
      <w:r w:rsidRPr="00342D7E">
        <w:t>5 CRR instytucje mogą otrzymać zezwolenie na zastosowanie metody praw własności</w:t>
      </w:r>
      <w:r w:rsidR="00342D7E" w:rsidRPr="00342D7E">
        <w:t xml:space="preserve"> w</w:t>
      </w:r>
      <w:r w:rsidR="00342D7E">
        <w:t> </w:t>
      </w:r>
      <w:r w:rsidR="00342D7E" w:rsidRPr="00342D7E">
        <w:t>odn</w:t>
      </w:r>
      <w:r w:rsidRPr="00342D7E">
        <w:t>iesieniu do inwestycji</w:t>
      </w:r>
      <w:r w:rsidR="00342D7E" w:rsidRPr="00342D7E">
        <w:t xml:space="preserve"> w</w:t>
      </w:r>
      <w:r w:rsidR="00342D7E">
        <w:t> </w:t>
      </w:r>
      <w:r w:rsidR="00342D7E" w:rsidRPr="00342D7E">
        <w:t>fir</w:t>
      </w:r>
      <w:r w:rsidRPr="00342D7E">
        <w:t>mach ubezpieczeniowych będących jednostkami zależnymi</w:t>
      </w:r>
      <w:r w:rsidR="00342D7E" w:rsidRPr="00342D7E">
        <w:t xml:space="preserve"> i</w:t>
      </w:r>
      <w:r w:rsidR="00342D7E">
        <w:t> </w:t>
      </w:r>
      <w:r w:rsidR="00342D7E" w:rsidRPr="00342D7E">
        <w:t>w</w:t>
      </w:r>
      <w:r w:rsidR="00342D7E">
        <w:t> </w:t>
      </w:r>
      <w:r w:rsidR="00342D7E" w:rsidRPr="00342D7E">
        <w:t>nie</w:t>
      </w:r>
      <w:r w:rsidRPr="00342D7E">
        <w:t>finansowych jednostkach zależnych lub mogą zostać zobowiązane do zastosowania tej metody;</w:t>
      </w:r>
    </w:p>
    <w:p w:rsidR="00D35B0C" w:rsidRPr="00342D7E" w:rsidRDefault="00A834F1" w:rsidP="00056B6F">
      <w:pPr>
        <w:pStyle w:val="Baseparagraphnumbered"/>
        <w:numPr>
          <w:ilvl w:val="1"/>
          <w:numId w:val="25"/>
        </w:numPr>
        <w:ind w:left="1134"/>
      </w:pPr>
      <w:proofErr w:type="gramStart"/>
      <w:r w:rsidRPr="00342D7E">
        <w:t>zgodnie</w:t>
      </w:r>
      <w:proofErr w:type="gramEnd"/>
      <w:r w:rsidR="00342D7E" w:rsidRPr="00342D7E">
        <w:t xml:space="preserve"> z</w:t>
      </w:r>
      <w:r w:rsidR="00342D7E">
        <w:t> </w:t>
      </w:r>
      <w:r w:rsidR="00342D7E" w:rsidRPr="00342D7E">
        <w:t>art</w:t>
      </w:r>
      <w:r w:rsidRPr="00342D7E">
        <w:t>.</w:t>
      </w:r>
      <w:r w:rsidR="00342D7E" w:rsidRPr="00342D7E">
        <w:t> </w:t>
      </w:r>
      <w:r w:rsidRPr="00342D7E">
        <w:t>18 ust.</w:t>
      </w:r>
      <w:r w:rsidR="00342D7E" w:rsidRPr="00342D7E">
        <w:t> </w:t>
      </w:r>
      <w:r w:rsidRPr="00342D7E">
        <w:t>2 CRR instytucje mogą otrzymać zezwolenie na zastosowanie metody konsolidacji proporcjonalnej</w:t>
      </w:r>
      <w:r w:rsidR="00342D7E" w:rsidRPr="00342D7E">
        <w:t xml:space="preserve"> w</w:t>
      </w:r>
      <w:r w:rsidR="00342D7E">
        <w:t> </w:t>
      </w:r>
      <w:r w:rsidR="00342D7E" w:rsidRPr="00342D7E">
        <w:t>odn</w:t>
      </w:r>
      <w:r w:rsidRPr="00342D7E">
        <w:t>iesieniu do finansowych jednostek zależnych;</w:t>
      </w:r>
    </w:p>
    <w:p w:rsidR="00D35B0C" w:rsidRPr="00342D7E" w:rsidRDefault="00A834F1" w:rsidP="00056B6F">
      <w:pPr>
        <w:pStyle w:val="Baseparagraphnumbered"/>
        <w:numPr>
          <w:ilvl w:val="1"/>
          <w:numId w:val="25"/>
        </w:numPr>
        <w:ind w:left="1134"/>
      </w:pPr>
      <w:proofErr w:type="gramStart"/>
      <w:r w:rsidRPr="00342D7E">
        <w:t>zgodnie</w:t>
      </w:r>
      <w:proofErr w:type="gramEnd"/>
      <w:r w:rsidR="00342D7E" w:rsidRPr="00342D7E">
        <w:t xml:space="preserve"> z</w:t>
      </w:r>
      <w:r w:rsidR="00342D7E">
        <w:t> </w:t>
      </w:r>
      <w:r w:rsidR="00342D7E" w:rsidRPr="00342D7E">
        <w:t>art</w:t>
      </w:r>
      <w:r w:rsidRPr="00342D7E">
        <w:t>.</w:t>
      </w:r>
      <w:r w:rsidR="00342D7E" w:rsidRPr="00342D7E">
        <w:t> </w:t>
      </w:r>
      <w:r w:rsidRPr="00342D7E">
        <w:t>18 ust.</w:t>
      </w:r>
      <w:r w:rsidR="00342D7E" w:rsidRPr="00342D7E">
        <w:t> </w:t>
      </w:r>
      <w:r w:rsidRPr="00342D7E">
        <w:t>4 CRR instytucje mogą zostać zobowiązane do zastosowania metody konsolidacji proporcjonalnej</w:t>
      </w:r>
      <w:r w:rsidR="00342D7E" w:rsidRPr="00342D7E">
        <w:t xml:space="preserve"> w</w:t>
      </w:r>
      <w:r w:rsidR="00342D7E">
        <w:t> </w:t>
      </w:r>
      <w:r w:rsidR="00342D7E" w:rsidRPr="00342D7E">
        <w:t>odn</w:t>
      </w:r>
      <w:r w:rsidRPr="00342D7E">
        <w:t>iesieniu do inwestycji we wspólnych przedsięwzięciach.</w:t>
      </w:r>
    </w:p>
    <w:p w:rsidR="00D35B0C" w:rsidRPr="00342D7E" w:rsidRDefault="00A834F1" w:rsidP="00056B6F">
      <w:pPr>
        <w:pStyle w:val="subtitlenumbered"/>
        <w:numPr>
          <w:ilvl w:val="0"/>
          <w:numId w:val="11"/>
        </w:numPr>
        <w:jc w:val="both"/>
      </w:pPr>
      <w:bookmarkStart w:id="4" w:name="_Toc31019106"/>
      <w:r w:rsidRPr="00342D7E">
        <w:t>Portfele księgowe instrumentów finansowych</w:t>
      </w:r>
      <w:bookmarkEnd w:id="4"/>
      <w:r w:rsidRPr="00342D7E">
        <w:t xml:space="preserve"> </w:t>
      </w:r>
    </w:p>
    <w:p w:rsidR="00D35B0C" w:rsidRPr="00342D7E" w:rsidRDefault="00A834F1">
      <w:pPr>
        <w:pStyle w:val="Baseparagraphnumbered"/>
      </w:pPr>
      <w:r w:rsidRPr="00342D7E">
        <w:t>Do celów załączników III i IV oraz niniejszego załącznika „portfele księgowe” oznaczają instrumenty finansowe agregowane według zasad wyceny. Agregacje takie nie obejmują inwestycji</w:t>
      </w:r>
      <w:r w:rsidR="00342D7E" w:rsidRPr="00342D7E">
        <w:t xml:space="preserve"> w</w:t>
      </w:r>
      <w:r w:rsidR="00342D7E">
        <w:t> </w:t>
      </w:r>
      <w:r w:rsidR="00342D7E" w:rsidRPr="00342D7E">
        <w:t>jed</w:t>
      </w:r>
      <w:r w:rsidRPr="00342D7E">
        <w:t>nostkach zależnych, wspólnych przedsięwzięciach</w:t>
      </w:r>
      <w:r w:rsidR="00342D7E" w:rsidRPr="00342D7E">
        <w:t xml:space="preserve"> i</w:t>
      </w:r>
      <w:r w:rsidR="00342D7E">
        <w:t> </w:t>
      </w:r>
      <w:r w:rsidR="00342D7E" w:rsidRPr="00342D7E">
        <w:t>jed</w:t>
      </w:r>
      <w:r w:rsidRPr="00342D7E">
        <w:t>nostkach stowarzyszonych, sald płatnych na żądanie sklasyfikowanych jako „Kasa, środki</w:t>
      </w:r>
      <w:r w:rsidR="00342D7E" w:rsidRPr="00342D7E">
        <w:t xml:space="preserve"> w</w:t>
      </w:r>
      <w:r w:rsidR="00342D7E">
        <w:t> </w:t>
      </w:r>
      <w:r w:rsidR="00342D7E" w:rsidRPr="00342D7E">
        <w:t>ban</w:t>
      </w:r>
      <w:r w:rsidRPr="00342D7E">
        <w:t>kach centralnych</w:t>
      </w:r>
      <w:r w:rsidR="00342D7E" w:rsidRPr="00342D7E">
        <w:t xml:space="preserve"> i</w:t>
      </w:r>
      <w:r w:rsidR="00342D7E">
        <w:t> </w:t>
      </w:r>
      <w:r w:rsidR="00342D7E" w:rsidRPr="00342D7E">
        <w:t>inn</w:t>
      </w:r>
      <w:r w:rsidRPr="00342D7E">
        <w:t>e depozyty płatne na żądanie”, jak również instrumentów finansowych sklasyfikowanych jako „Przeznaczone do sprzedaży”</w:t>
      </w:r>
      <w:r w:rsidR="00342D7E" w:rsidRPr="00342D7E">
        <w:t xml:space="preserve"> i</w:t>
      </w:r>
      <w:r w:rsidR="00342D7E">
        <w:t> </w:t>
      </w:r>
      <w:r w:rsidR="00342D7E" w:rsidRPr="00342D7E">
        <w:t>prz</w:t>
      </w:r>
      <w:r w:rsidRPr="00342D7E">
        <w:t>edstawionych</w:t>
      </w:r>
      <w:r w:rsidR="00342D7E" w:rsidRPr="00342D7E">
        <w:t xml:space="preserve"> w</w:t>
      </w:r>
      <w:r w:rsidR="00342D7E">
        <w:t> </w:t>
      </w:r>
      <w:r w:rsidR="00342D7E" w:rsidRPr="00342D7E">
        <w:t>poz</w:t>
      </w:r>
      <w:r w:rsidRPr="00342D7E">
        <w:t>ycjach „Aktywa trwałe</w:t>
      </w:r>
      <w:r w:rsidR="00342D7E" w:rsidRPr="00342D7E">
        <w:t xml:space="preserve"> i</w:t>
      </w:r>
      <w:r w:rsidR="00342D7E">
        <w:t> </w:t>
      </w:r>
      <w:r w:rsidR="00342D7E" w:rsidRPr="00342D7E">
        <w:t>gru</w:t>
      </w:r>
      <w:r w:rsidRPr="00342D7E">
        <w:t>py do zbycia sklasyfikowane jako przeznaczone do sprzedaży” i „Zobowiązania uwzględnione</w:t>
      </w:r>
      <w:r w:rsidR="00342D7E" w:rsidRPr="00342D7E">
        <w:t xml:space="preserve"> w</w:t>
      </w:r>
      <w:r w:rsidR="00342D7E">
        <w:t> </w:t>
      </w:r>
      <w:r w:rsidR="00342D7E" w:rsidRPr="00342D7E">
        <w:t>gru</w:t>
      </w:r>
      <w:r w:rsidRPr="00342D7E">
        <w:t>pach do zbycia sklasyfikowanych jako przeznaczone do sprzedaży”.</w:t>
      </w:r>
    </w:p>
    <w:p w:rsidR="00D35B0C" w:rsidRPr="00342D7E" w:rsidRDefault="00A834F1">
      <w:pPr>
        <w:pStyle w:val="Baseparagraphnumbered"/>
      </w:pPr>
      <w:r w:rsidRPr="00342D7E">
        <w:t>Zgodnie</w:t>
      </w:r>
      <w:r w:rsidR="00342D7E" w:rsidRPr="00342D7E">
        <w:t xml:space="preserve"> z</w:t>
      </w:r>
      <w:r w:rsidR="00342D7E">
        <w:t> </w:t>
      </w:r>
      <w:r w:rsidR="00342D7E" w:rsidRPr="00342D7E">
        <w:t>kra</w:t>
      </w:r>
      <w:r w:rsidRPr="00342D7E">
        <w:t>jowymi ogólnie przyjętymi zasadami rachunkowości instytucje, które otrzymały zezwolenie na zastosowanie określonych zasad wyceny instrumentów finansowych zgodnie z MSSF lub które zostały zobowiązane do zastosowania takich zasad, przedkładają odpowiednie portfele księgowe zgodne z MSSF</w:t>
      </w:r>
      <w:r w:rsidR="00342D7E" w:rsidRPr="00342D7E">
        <w:t xml:space="preserve"> w</w:t>
      </w:r>
      <w:r w:rsidR="00342D7E">
        <w:t> </w:t>
      </w:r>
      <w:r w:rsidR="00342D7E" w:rsidRPr="00342D7E">
        <w:t>zak</w:t>
      </w:r>
      <w:r w:rsidRPr="00342D7E">
        <w:t>resie,</w:t>
      </w:r>
      <w:r w:rsidR="00342D7E" w:rsidRPr="00342D7E">
        <w:t xml:space="preserve"> w</w:t>
      </w:r>
      <w:r w:rsidR="00342D7E">
        <w:t> </w:t>
      </w:r>
      <w:r w:rsidR="00342D7E" w:rsidRPr="00342D7E">
        <w:t>jak</w:t>
      </w:r>
      <w:r w:rsidRPr="00342D7E">
        <w:t>im zasady te są stosowane. Jeżeli zasady wyceny instrumentów finansowych, na których stosowanie instytucje otrzymały zezwolenie lub do których stosowania zostały zobowiązane na podstawie krajowych ogólnie przyjętych zasad rachunkowości opartych na BAD, odwołują się do zasad wyceny zawartych w MSR 39, instytucje przedstawiają informacje na temat portfeli księgowych</w:t>
      </w:r>
      <w:r w:rsidR="00342D7E" w:rsidRPr="00342D7E">
        <w:t xml:space="preserve"> w</w:t>
      </w:r>
      <w:r w:rsidR="00342D7E">
        <w:t> </w:t>
      </w:r>
      <w:r w:rsidR="00342D7E" w:rsidRPr="00342D7E">
        <w:t>opa</w:t>
      </w:r>
      <w:r w:rsidRPr="00342D7E">
        <w:t>rciu o BAD</w:t>
      </w:r>
      <w:r w:rsidR="00342D7E" w:rsidRPr="00342D7E">
        <w:t xml:space="preserve"> </w:t>
      </w:r>
      <w:r w:rsidR="00342D7E" w:rsidRPr="00342D7E">
        <w:lastRenderedPageBreak/>
        <w:t>w</w:t>
      </w:r>
      <w:r w:rsidR="00342D7E">
        <w:t> </w:t>
      </w:r>
      <w:r w:rsidR="00342D7E" w:rsidRPr="00342D7E">
        <w:t>odn</w:t>
      </w:r>
      <w:r w:rsidRPr="00342D7E">
        <w:t>iesieniu do wszystkich swoich instrumentów finansowych, dopóki stosowane przez nie zasady wyceny nie będą odwoływać się do zasad wyceny w MSSF 9.</w:t>
      </w:r>
    </w:p>
    <w:p w:rsidR="00D35B0C" w:rsidRPr="00342D7E" w:rsidRDefault="00A834F1" w:rsidP="00490B4E">
      <w:pPr>
        <w:pStyle w:val="sub-subtitlenumbered"/>
        <w:keepNext/>
      </w:pPr>
      <w:bookmarkStart w:id="5" w:name="_Toc31019107"/>
      <w:r w:rsidRPr="00342D7E">
        <w:t>Aktywa finansowe</w:t>
      </w:r>
      <w:bookmarkEnd w:id="5"/>
    </w:p>
    <w:p w:rsidR="00D35B0C" w:rsidRPr="00342D7E" w:rsidRDefault="00A834F1" w:rsidP="00490B4E">
      <w:pPr>
        <w:pStyle w:val="Baseparagraphnumbered"/>
        <w:keepNext/>
      </w:pPr>
      <w:r w:rsidRPr="00342D7E">
        <w:t>W odniesieniu do aktywów finansowych stosuje się następujące portfele księgowe oparte na MSSF:</w:t>
      </w:r>
    </w:p>
    <w:p w:rsidR="00D35B0C" w:rsidRPr="00342D7E" w:rsidRDefault="00A834F1" w:rsidP="00917F82">
      <w:pPr>
        <w:pStyle w:val="ListParagraph"/>
        <w:numPr>
          <w:ilvl w:val="0"/>
          <w:numId w:val="26"/>
        </w:numPr>
        <w:spacing w:after="240" w:line="240" w:lineRule="auto"/>
        <w:ind w:left="1134" w:hanging="283"/>
        <w:contextualSpacing w:val="0"/>
        <w:jc w:val="both"/>
        <w:rPr>
          <w:rFonts w:ascii="Times New Roman" w:hAnsi="Times New Roman"/>
          <w:sz w:val="24"/>
          <w:szCs w:val="24"/>
        </w:rPr>
      </w:pPr>
      <w:r w:rsidRPr="00342D7E">
        <w:rPr>
          <w:rFonts w:ascii="Times New Roman" w:hAnsi="Times New Roman"/>
          <w:sz w:val="24"/>
          <w:szCs w:val="24"/>
        </w:rPr>
        <w:t>„Aktywa finansowe przeznaczone do obrotu”;</w:t>
      </w:r>
    </w:p>
    <w:p w:rsidR="00D35B0C" w:rsidRPr="00342D7E" w:rsidRDefault="00A834F1" w:rsidP="00917F82">
      <w:pPr>
        <w:pStyle w:val="ListParagraph"/>
        <w:numPr>
          <w:ilvl w:val="0"/>
          <w:numId w:val="26"/>
        </w:numPr>
        <w:spacing w:after="240" w:line="240" w:lineRule="auto"/>
        <w:ind w:left="1134" w:hanging="283"/>
        <w:contextualSpacing w:val="0"/>
        <w:jc w:val="both"/>
        <w:rPr>
          <w:rFonts w:ascii="Times New Roman" w:hAnsi="Times New Roman"/>
          <w:sz w:val="24"/>
          <w:szCs w:val="24"/>
        </w:rPr>
      </w:pPr>
      <w:r w:rsidRPr="00342D7E">
        <w:rPr>
          <w:rFonts w:ascii="Times New Roman" w:hAnsi="Times New Roman"/>
          <w:sz w:val="24"/>
          <w:szCs w:val="24"/>
        </w:rPr>
        <w:t>„aktywa finansowe nieprzeznaczone do obrotu wyceniane obowiązkowo według wartości godziwej przez wynik finansowy”;</w:t>
      </w:r>
    </w:p>
    <w:p w:rsidR="00D35B0C" w:rsidRPr="00342D7E" w:rsidRDefault="00A834F1" w:rsidP="00917F82">
      <w:pPr>
        <w:pStyle w:val="ListParagraph"/>
        <w:numPr>
          <w:ilvl w:val="0"/>
          <w:numId w:val="26"/>
        </w:numPr>
        <w:spacing w:after="240" w:line="240" w:lineRule="auto"/>
        <w:ind w:left="1134" w:hanging="283"/>
        <w:contextualSpacing w:val="0"/>
        <w:jc w:val="both"/>
        <w:rPr>
          <w:rFonts w:ascii="Times New Roman" w:hAnsi="Times New Roman"/>
          <w:sz w:val="24"/>
          <w:szCs w:val="24"/>
        </w:rPr>
      </w:pPr>
      <w:r w:rsidRPr="00342D7E">
        <w:rPr>
          <w:rFonts w:ascii="Times New Roman" w:hAnsi="Times New Roman"/>
          <w:sz w:val="24"/>
          <w:szCs w:val="24"/>
        </w:rPr>
        <w:t>„aktywa finansowe wyceniane według wartości godziwej przez wynik finansowy”;</w:t>
      </w:r>
    </w:p>
    <w:p w:rsidR="00D35B0C" w:rsidRPr="00342D7E" w:rsidRDefault="00A834F1" w:rsidP="00917F82">
      <w:pPr>
        <w:pStyle w:val="ListParagraph"/>
        <w:numPr>
          <w:ilvl w:val="0"/>
          <w:numId w:val="26"/>
        </w:numPr>
        <w:spacing w:after="240" w:line="240" w:lineRule="auto"/>
        <w:ind w:left="1134" w:hanging="283"/>
        <w:contextualSpacing w:val="0"/>
        <w:jc w:val="both"/>
        <w:rPr>
          <w:rFonts w:ascii="Times New Roman" w:hAnsi="Times New Roman"/>
          <w:sz w:val="24"/>
          <w:szCs w:val="24"/>
        </w:rPr>
      </w:pPr>
      <w:r w:rsidRPr="00342D7E">
        <w:rPr>
          <w:rFonts w:ascii="Times New Roman" w:hAnsi="Times New Roman"/>
          <w:sz w:val="24"/>
          <w:szCs w:val="24"/>
        </w:rPr>
        <w:t>„aktywa finansowe wyceniane według wartości godziwej przez inne całkowite dochody”;</w:t>
      </w:r>
    </w:p>
    <w:p w:rsidR="00D35B0C" w:rsidRPr="00342D7E" w:rsidRDefault="00A834F1" w:rsidP="00917F82">
      <w:pPr>
        <w:pStyle w:val="ListParagraph"/>
        <w:numPr>
          <w:ilvl w:val="0"/>
          <w:numId w:val="26"/>
        </w:numPr>
        <w:spacing w:after="240" w:line="240" w:lineRule="auto"/>
        <w:ind w:left="1134" w:hanging="283"/>
        <w:contextualSpacing w:val="0"/>
        <w:jc w:val="both"/>
        <w:rPr>
          <w:rFonts w:ascii="Times New Roman" w:hAnsi="Times New Roman"/>
          <w:sz w:val="24"/>
          <w:szCs w:val="24"/>
        </w:rPr>
      </w:pPr>
      <w:r w:rsidRPr="00342D7E">
        <w:rPr>
          <w:rFonts w:ascii="Times New Roman" w:hAnsi="Times New Roman"/>
          <w:sz w:val="24"/>
          <w:szCs w:val="24"/>
        </w:rPr>
        <w:t>„aktywa finansowe wyceniane według kosztu zamortyzowanego”.</w:t>
      </w:r>
    </w:p>
    <w:p w:rsidR="00D35B0C" w:rsidRPr="00342D7E" w:rsidRDefault="00A834F1">
      <w:pPr>
        <w:pStyle w:val="Baseparagraphnumbered"/>
      </w:pPr>
      <w:r w:rsidRPr="00342D7E">
        <w:t>W odniesieniu do aktywów finansowych stosuje się następujące portfele księgowe oparte na krajowych ogólnie przyjętych zasadach rachunkowości:</w:t>
      </w:r>
    </w:p>
    <w:p w:rsidR="00D35B0C" w:rsidRPr="00342D7E" w:rsidRDefault="00A834F1" w:rsidP="00056B6F">
      <w:pPr>
        <w:pStyle w:val="Baseparagraphnumbered"/>
        <w:numPr>
          <w:ilvl w:val="0"/>
          <w:numId w:val="27"/>
        </w:numPr>
        <w:ind w:left="1134"/>
      </w:pPr>
      <w:r w:rsidRPr="00342D7E">
        <w:t>„aktywa finansowe</w:t>
      </w:r>
      <w:r w:rsidR="00342D7E" w:rsidRPr="00342D7E">
        <w:t xml:space="preserve"> z</w:t>
      </w:r>
      <w:r w:rsidR="00342D7E">
        <w:t> </w:t>
      </w:r>
      <w:r w:rsidR="00342D7E" w:rsidRPr="00342D7E">
        <w:t>prz</w:t>
      </w:r>
      <w:r w:rsidRPr="00342D7E">
        <w:t xml:space="preserve">eznaczeniem do obrotu”; </w:t>
      </w:r>
    </w:p>
    <w:p w:rsidR="00D35B0C" w:rsidRPr="00342D7E" w:rsidRDefault="00A834F1" w:rsidP="00056B6F">
      <w:pPr>
        <w:pStyle w:val="Baseparagraphnumbered"/>
        <w:numPr>
          <w:ilvl w:val="0"/>
          <w:numId w:val="27"/>
        </w:numPr>
        <w:ind w:left="1134"/>
      </w:pPr>
      <w:r w:rsidRPr="00342D7E">
        <w:t xml:space="preserve">„aktywa finansowe niebędące instrumentami pochodnymi nieprzeznaczone do obrotu wyceniane według wartości godziwej przez wynik finansowy”; </w:t>
      </w:r>
    </w:p>
    <w:p w:rsidR="00D35B0C" w:rsidRPr="00342D7E" w:rsidRDefault="00A834F1" w:rsidP="00056B6F">
      <w:pPr>
        <w:pStyle w:val="Baseparagraphnumbered"/>
        <w:numPr>
          <w:ilvl w:val="0"/>
          <w:numId w:val="27"/>
        </w:numPr>
        <w:ind w:left="1134"/>
      </w:pPr>
      <w:r w:rsidRPr="00342D7E">
        <w:t>„aktywa finansowe niebędące instrumentami pochodnymi nieprzeznaczone do obrotu wyceniane według wartości godziwej przez kapitały”;</w:t>
      </w:r>
    </w:p>
    <w:p w:rsidR="00D35B0C" w:rsidRPr="00342D7E" w:rsidRDefault="00A834F1" w:rsidP="00056B6F">
      <w:pPr>
        <w:pStyle w:val="Baseparagraphnumbered"/>
        <w:numPr>
          <w:ilvl w:val="0"/>
          <w:numId w:val="27"/>
        </w:numPr>
        <w:ind w:left="1134"/>
      </w:pPr>
      <w:r w:rsidRPr="00342D7E">
        <w:t>„aktywa finansowe niebędące instrumentami pochodnymi nieprzeznaczone do obrotu wyceniane metodą ceny nabycia”;</w:t>
      </w:r>
    </w:p>
    <w:p w:rsidR="00D35B0C" w:rsidRPr="00342D7E" w:rsidRDefault="00A834F1" w:rsidP="00056B6F">
      <w:pPr>
        <w:pStyle w:val="Baseparagraphnumbered"/>
        <w:numPr>
          <w:ilvl w:val="0"/>
          <w:numId w:val="27"/>
        </w:numPr>
        <w:ind w:left="1134"/>
      </w:pPr>
      <w:r w:rsidRPr="00342D7E">
        <w:t>„inne aktywa finansowe niebędące instrumentami pochodnymi nieprzeznaczone do obrotu”.</w:t>
      </w:r>
    </w:p>
    <w:p w:rsidR="00D35B0C" w:rsidRPr="00342D7E" w:rsidRDefault="00A834F1">
      <w:pPr>
        <w:pStyle w:val="Baseparagraphnumbered"/>
      </w:pPr>
      <w:r w:rsidRPr="00342D7E">
        <w:t>„Aktywa finansowe</w:t>
      </w:r>
      <w:r w:rsidR="00342D7E" w:rsidRPr="00342D7E">
        <w:t xml:space="preserve"> z</w:t>
      </w:r>
      <w:r w:rsidR="00342D7E">
        <w:t> </w:t>
      </w:r>
      <w:r w:rsidR="00342D7E" w:rsidRPr="00342D7E">
        <w:t>prz</w:t>
      </w:r>
      <w:r w:rsidRPr="00342D7E">
        <w:t>eznaczeniem do obrotu” obejmują wszystkie aktywa finansowe zaklasyfikowane jako przeznaczone do obrotu zgodnie</w:t>
      </w:r>
      <w:r w:rsidR="00342D7E" w:rsidRPr="00342D7E">
        <w:t xml:space="preserve"> z</w:t>
      </w:r>
      <w:r w:rsidR="00342D7E">
        <w:t> </w:t>
      </w:r>
      <w:r w:rsidR="00342D7E" w:rsidRPr="00342D7E">
        <w:t>odp</w:t>
      </w:r>
      <w:r w:rsidRPr="00342D7E">
        <w:t>owiednimi krajowymi ogólnie przyjętymi zasadami rachunkowości opartymi na BAD. Niezależnie od metody wyceny stosowanej zgodnie</w:t>
      </w:r>
      <w:r w:rsidR="00342D7E" w:rsidRPr="00342D7E">
        <w:t xml:space="preserve"> z</w:t>
      </w:r>
      <w:r w:rsidR="00342D7E">
        <w:t> </w:t>
      </w:r>
      <w:r w:rsidR="00342D7E" w:rsidRPr="00342D7E">
        <w:t>odp</w:t>
      </w:r>
      <w:r w:rsidRPr="00342D7E">
        <w:t>owiednimi krajowymi ogólnie przyjętymi zasadami rachunkowości opartymi na BAD wszystkie instrumenty pochodne</w:t>
      </w:r>
      <w:r w:rsidR="00342D7E" w:rsidRPr="00342D7E">
        <w:t xml:space="preserve"> o</w:t>
      </w:r>
      <w:r w:rsidR="00342D7E">
        <w:t> </w:t>
      </w:r>
      <w:r w:rsidR="00342D7E" w:rsidRPr="00342D7E">
        <w:t>dod</w:t>
      </w:r>
      <w:r w:rsidRPr="00342D7E">
        <w:t>atnim saldzie dla instytucji sprawozdającej, których nie zaklasyfikowano jako rachunkowość zabezpieczeń zgodnie</w:t>
      </w:r>
      <w:r w:rsidR="00342D7E" w:rsidRPr="00342D7E">
        <w:t xml:space="preserve"> z</w:t>
      </w:r>
      <w:r w:rsidR="00342D7E">
        <w:t> </w:t>
      </w:r>
      <w:r w:rsidR="00342D7E" w:rsidRPr="00342D7E">
        <w:t>pkt </w:t>
      </w:r>
      <w:r w:rsidRPr="00342D7E">
        <w:t>22 niniejszej części, zgłasza się jako aktywa finansowe</w:t>
      </w:r>
      <w:r w:rsidR="00342D7E" w:rsidRPr="00342D7E">
        <w:t xml:space="preserve"> z</w:t>
      </w:r>
      <w:r w:rsidR="00342D7E">
        <w:t> </w:t>
      </w:r>
      <w:r w:rsidR="00342D7E" w:rsidRPr="00342D7E">
        <w:t>prz</w:t>
      </w:r>
      <w:r w:rsidRPr="00342D7E">
        <w:t>eznaczeniem do obrotu. Tę klasyfikację stosuje się również do instrumentów pochodnych, których zgodnie</w:t>
      </w:r>
      <w:r w:rsidR="00342D7E" w:rsidRPr="00342D7E">
        <w:t xml:space="preserve"> z</w:t>
      </w:r>
      <w:r w:rsidR="00342D7E">
        <w:t> </w:t>
      </w:r>
      <w:r w:rsidR="00342D7E" w:rsidRPr="00342D7E">
        <w:t>kra</w:t>
      </w:r>
      <w:r w:rsidRPr="00342D7E">
        <w:t>jowymi ogólnie przyjętymi zasadami rachunkowości opartymi na BAD nie ujmuje się</w:t>
      </w:r>
      <w:r w:rsidR="00342D7E" w:rsidRPr="00342D7E">
        <w:t xml:space="preserve"> w</w:t>
      </w:r>
      <w:r w:rsidR="00342D7E">
        <w:t> </w:t>
      </w:r>
      <w:r w:rsidR="00342D7E" w:rsidRPr="00342D7E">
        <w:t>bil</w:t>
      </w:r>
      <w:r w:rsidRPr="00342D7E">
        <w:t>ansie lub</w:t>
      </w:r>
      <w:r w:rsidR="00342D7E" w:rsidRPr="00342D7E">
        <w:t xml:space="preserve"> w</w:t>
      </w:r>
      <w:r w:rsidR="00342D7E">
        <w:t> </w:t>
      </w:r>
      <w:r w:rsidR="00342D7E" w:rsidRPr="00342D7E">
        <w:t>prz</w:t>
      </w:r>
      <w:r w:rsidRPr="00342D7E">
        <w:t>ypadku których</w:t>
      </w:r>
      <w:r w:rsidR="00342D7E" w:rsidRPr="00342D7E">
        <w:t xml:space="preserve"> w</w:t>
      </w:r>
      <w:r w:rsidR="00342D7E">
        <w:t> </w:t>
      </w:r>
      <w:r w:rsidR="00342D7E" w:rsidRPr="00342D7E">
        <w:t>bil</w:t>
      </w:r>
      <w:r w:rsidRPr="00342D7E">
        <w:t xml:space="preserve">ansie ujmuje się jedynie zmiany ich wartości </w:t>
      </w:r>
      <w:r w:rsidRPr="00342D7E">
        <w:lastRenderedPageBreak/>
        <w:t>godziwej, lub które są wykorzystywane jako zabezpieczenia ekonomiczne zgodnie</w:t>
      </w:r>
      <w:r w:rsidR="00342D7E" w:rsidRPr="00342D7E">
        <w:t xml:space="preserve"> z</w:t>
      </w:r>
      <w:r w:rsidR="00342D7E">
        <w:t> </w:t>
      </w:r>
      <w:r w:rsidR="00342D7E" w:rsidRPr="00342D7E">
        <w:t>def</w:t>
      </w:r>
      <w:r w:rsidRPr="00342D7E">
        <w:t>inicją</w:t>
      </w:r>
      <w:r w:rsidR="00342D7E" w:rsidRPr="00342D7E">
        <w:t xml:space="preserve"> w</w:t>
      </w:r>
      <w:r w:rsidR="00342D7E">
        <w:t> </w:t>
      </w:r>
      <w:r w:rsidR="00342D7E" w:rsidRPr="00342D7E">
        <w:t>czę</w:t>
      </w:r>
      <w:r w:rsidRPr="00342D7E">
        <w:t>ści 2 pkt</w:t>
      </w:r>
      <w:r w:rsidR="00342D7E" w:rsidRPr="00342D7E">
        <w:t> </w:t>
      </w:r>
      <w:r w:rsidRPr="00342D7E">
        <w:t>137 niniejszego załącznika.</w:t>
      </w:r>
    </w:p>
    <w:p w:rsidR="00D35B0C" w:rsidRPr="00342D7E" w:rsidRDefault="00A834F1">
      <w:pPr>
        <w:pStyle w:val="Baseparagraphnumbered"/>
      </w:pPr>
      <w:r w:rsidRPr="00342D7E">
        <w:t>Zgodnie</w:t>
      </w:r>
      <w:r w:rsidR="00342D7E" w:rsidRPr="00342D7E">
        <w:t xml:space="preserve"> z</w:t>
      </w:r>
      <w:r w:rsidR="00342D7E">
        <w:t> </w:t>
      </w:r>
      <w:r w:rsidR="00342D7E" w:rsidRPr="00342D7E">
        <w:t>kra</w:t>
      </w:r>
      <w:r w:rsidRPr="00342D7E">
        <w:t>jowymi ogólnie przyjętymi zasadami rachunkowości opartymi na BAD,</w:t>
      </w:r>
      <w:r w:rsidR="00342D7E" w:rsidRPr="00342D7E">
        <w:t xml:space="preserve"> w</w:t>
      </w:r>
      <w:r w:rsidR="00342D7E">
        <w:t> </w:t>
      </w:r>
      <w:r w:rsidR="00342D7E" w:rsidRPr="00342D7E">
        <w:t>odn</w:t>
      </w:r>
      <w:r w:rsidRPr="00342D7E">
        <w:t>iesieniu do aktywów finansowych „metody ceny nabycia” obejmują te zasady wyceny, zgodnie</w:t>
      </w:r>
      <w:r w:rsidR="00342D7E" w:rsidRPr="00342D7E">
        <w:t xml:space="preserve"> z</w:t>
      </w:r>
      <w:r w:rsidR="00342D7E">
        <w:t> </w:t>
      </w:r>
      <w:r w:rsidR="00342D7E" w:rsidRPr="00342D7E">
        <w:t>któ</w:t>
      </w:r>
      <w:r w:rsidRPr="00342D7E">
        <w:t>rymi instrument dłużny jest wyceniany według ceny nabycia wraz</w:t>
      </w:r>
      <w:r w:rsidR="00342D7E" w:rsidRPr="00342D7E">
        <w:t xml:space="preserve"> z</w:t>
      </w:r>
      <w:r w:rsidR="00342D7E">
        <w:t> </w:t>
      </w:r>
      <w:r w:rsidR="00342D7E" w:rsidRPr="00342D7E">
        <w:t>nal</w:t>
      </w:r>
      <w:r w:rsidRPr="00342D7E">
        <w:t>iczonymi odsetkami</w:t>
      </w:r>
      <w:r w:rsidR="00342D7E" w:rsidRPr="00342D7E">
        <w:t xml:space="preserve"> i</w:t>
      </w:r>
      <w:r w:rsidR="00342D7E">
        <w:t> </w:t>
      </w:r>
      <w:r w:rsidR="00342D7E" w:rsidRPr="00342D7E">
        <w:t>z</w:t>
      </w:r>
      <w:r w:rsidR="00342D7E">
        <w:t> </w:t>
      </w:r>
      <w:r w:rsidR="00342D7E" w:rsidRPr="00342D7E">
        <w:t>pom</w:t>
      </w:r>
      <w:r w:rsidRPr="00342D7E">
        <w:t>niejszeniem</w:t>
      </w:r>
      <w:r w:rsidR="00342D7E" w:rsidRPr="00342D7E">
        <w:t xml:space="preserve"> o</w:t>
      </w:r>
      <w:r w:rsidR="00342D7E">
        <w:t> </w:t>
      </w:r>
      <w:r w:rsidR="00342D7E" w:rsidRPr="00342D7E">
        <w:t>war</w:t>
      </w:r>
      <w:r w:rsidRPr="00342D7E">
        <w:t>tość odpisu aktualizującego</w:t>
      </w:r>
      <w:r w:rsidR="00342D7E" w:rsidRPr="00342D7E">
        <w:t xml:space="preserve"> z</w:t>
      </w:r>
      <w:r w:rsidR="00342D7E">
        <w:t> </w:t>
      </w:r>
      <w:r w:rsidR="00342D7E" w:rsidRPr="00342D7E">
        <w:t>tyt</w:t>
      </w:r>
      <w:r w:rsidRPr="00342D7E">
        <w:t xml:space="preserve">ułu utraty wartości. </w:t>
      </w:r>
    </w:p>
    <w:p w:rsidR="00D35B0C" w:rsidRPr="00342D7E" w:rsidRDefault="00A834F1">
      <w:pPr>
        <w:pStyle w:val="Baseparagraphnumbered"/>
      </w:pPr>
      <w:r w:rsidRPr="00342D7E">
        <w:t>Zgodnie</w:t>
      </w:r>
      <w:r w:rsidR="00342D7E" w:rsidRPr="00342D7E">
        <w:t xml:space="preserve"> z</w:t>
      </w:r>
      <w:r w:rsidR="00342D7E">
        <w:t> </w:t>
      </w:r>
      <w:r w:rsidR="00342D7E" w:rsidRPr="00342D7E">
        <w:t>kra</w:t>
      </w:r>
      <w:r w:rsidRPr="00342D7E">
        <w:t>jowymi ogólnie przyjętymi zasadami rachunkowości opartymi na BAD „Aktywa finansowe niebędące instrumentami pochodnymi nieprzeznaczone do obrotu wyceniane metodą ceny nabycia” obejmują instrumenty finansowe wyceniane według metod cen nabycia oraz instrumenty wyceniane według niższej</w:t>
      </w:r>
      <w:r w:rsidR="00342D7E" w:rsidRPr="00342D7E">
        <w:t xml:space="preserve"> z</w:t>
      </w:r>
      <w:r w:rsidR="00342D7E">
        <w:t> </w:t>
      </w:r>
      <w:r w:rsidR="00342D7E" w:rsidRPr="00342D7E">
        <w:t>dwó</w:t>
      </w:r>
      <w:r w:rsidRPr="00342D7E">
        <w:t>ch wartości: ceny nabycia lub wartości rynkowej („LOCOM”)</w:t>
      </w:r>
      <w:r w:rsidR="00342D7E" w:rsidRPr="00342D7E">
        <w:t xml:space="preserve"> w</w:t>
      </w:r>
      <w:r w:rsidR="00342D7E">
        <w:t> </w:t>
      </w:r>
      <w:r w:rsidR="00342D7E" w:rsidRPr="00342D7E">
        <w:t>spo</w:t>
      </w:r>
      <w:r w:rsidRPr="00342D7E">
        <w:t>sób nieciągły („LOCOM</w:t>
      </w:r>
      <w:r w:rsidR="00342D7E" w:rsidRPr="00342D7E">
        <w:t xml:space="preserve"> w</w:t>
      </w:r>
      <w:r w:rsidR="00342D7E">
        <w:t> </w:t>
      </w:r>
      <w:r w:rsidR="00342D7E" w:rsidRPr="00342D7E">
        <w:t>try</w:t>
      </w:r>
      <w:r w:rsidRPr="00342D7E">
        <w:t>bie warunkowym”) bez względu na ich faktyczną wycenę</w:t>
      </w:r>
      <w:r w:rsidR="00342D7E" w:rsidRPr="00342D7E">
        <w:t xml:space="preserve"> w</w:t>
      </w:r>
      <w:r w:rsidR="00342D7E">
        <w:t> </w:t>
      </w:r>
      <w:r w:rsidR="00342D7E" w:rsidRPr="00342D7E">
        <w:t>spr</w:t>
      </w:r>
      <w:r w:rsidRPr="00342D7E">
        <w:t>awozdawczym dniu odniesienia. Aktywa wyceniane według LOCOM</w:t>
      </w:r>
      <w:r w:rsidR="00342D7E" w:rsidRPr="00342D7E">
        <w:t xml:space="preserve"> w</w:t>
      </w:r>
      <w:r w:rsidR="00342D7E">
        <w:t> </w:t>
      </w:r>
      <w:r w:rsidR="00342D7E" w:rsidRPr="00342D7E">
        <w:t>try</w:t>
      </w:r>
      <w:r w:rsidRPr="00342D7E">
        <w:t>bie warunkowym to aktywa,</w:t>
      </w:r>
      <w:r w:rsidR="00342D7E" w:rsidRPr="00342D7E">
        <w:t xml:space="preserve"> w</w:t>
      </w:r>
      <w:r w:rsidR="00342D7E">
        <w:t> </w:t>
      </w:r>
      <w:r w:rsidR="00342D7E" w:rsidRPr="00342D7E">
        <w:t>prz</w:t>
      </w:r>
      <w:r w:rsidRPr="00342D7E">
        <w:t>ypadku których wycenę LOCOM stosuje się wyłącznie</w:t>
      </w:r>
      <w:r w:rsidR="00342D7E" w:rsidRPr="00342D7E">
        <w:t xml:space="preserve"> w</w:t>
      </w:r>
      <w:r w:rsidR="00342D7E">
        <w:t> </w:t>
      </w:r>
      <w:r w:rsidR="00342D7E" w:rsidRPr="00342D7E">
        <w:t>szc</w:t>
      </w:r>
      <w:r w:rsidRPr="00342D7E">
        <w:t>zególnych okolicznościach. Okoliczności te, takie jak np. utrata wartości, przedłużający się spadek wartości godziwej</w:t>
      </w:r>
      <w:r w:rsidR="00342D7E" w:rsidRPr="00342D7E">
        <w:t xml:space="preserve"> w</w:t>
      </w:r>
      <w:r w:rsidR="00342D7E">
        <w:t> </w:t>
      </w:r>
      <w:r w:rsidR="00342D7E" w:rsidRPr="00342D7E">
        <w:t>por</w:t>
      </w:r>
      <w:r w:rsidRPr="00342D7E">
        <w:t>ównaniu</w:t>
      </w:r>
      <w:r w:rsidR="00342D7E" w:rsidRPr="00342D7E">
        <w:t xml:space="preserve"> z</w:t>
      </w:r>
      <w:r w:rsidR="00342D7E">
        <w:t> </w:t>
      </w:r>
      <w:r w:rsidR="00342D7E" w:rsidRPr="00342D7E">
        <w:t>kos</w:t>
      </w:r>
      <w:r w:rsidRPr="00342D7E">
        <w:t>ztem nabycia lub zmiana zamierzeń zarządczych, przewidziano</w:t>
      </w:r>
      <w:r w:rsidR="00342D7E" w:rsidRPr="00342D7E">
        <w:t xml:space="preserve"> w</w:t>
      </w:r>
      <w:r w:rsidR="00342D7E">
        <w:t> </w:t>
      </w:r>
      <w:r w:rsidR="00342D7E" w:rsidRPr="00342D7E">
        <w:t>maj</w:t>
      </w:r>
      <w:r w:rsidRPr="00342D7E">
        <w:t xml:space="preserve">ących zastosowanie standardach rachunkowości. </w:t>
      </w:r>
    </w:p>
    <w:p w:rsidR="00D35B0C" w:rsidRPr="00342D7E" w:rsidRDefault="00A834F1">
      <w:pPr>
        <w:pStyle w:val="Baseparagraphnumbered"/>
      </w:pPr>
      <w:r w:rsidRPr="00342D7E">
        <w:t>Zgodnie</w:t>
      </w:r>
      <w:r w:rsidR="00342D7E" w:rsidRPr="00342D7E">
        <w:t xml:space="preserve"> z</w:t>
      </w:r>
      <w:r w:rsidR="00342D7E">
        <w:t> </w:t>
      </w:r>
      <w:r w:rsidR="00342D7E" w:rsidRPr="00342D7E">
        <w:t>kra</w:t>
      </w:r>
      <w:r w:rsidRPr="00342D7E">
        <w:t>jowymi ogólnie przyjętymi zasadami rachunkowości opartymi na BAD „Inne aktywa finansowe niebędące instrumentami pochodnymi nieprzeznaczone do obrotu” obejmują aktywa finansowe, które nie kwalifikują się do ujęcia</w:t>
      </w:r>
      <w:r w:rsidR="00342D7E" w:rsidRPr="00342D7E">
        <w:t xml:space="preserve"> w</w:t>
      </w:r>
      <w:r w:rsidR="00342D7E">
        <w:t> </w:t>
      </w:r>
      <w:r w:rsidR="00342D7E" w:rsidRPr="00342D7E">
        <w:t>inn</w:t>
      </w:r>
      <w:r w:rsidRPr="00342D7E">
        <w:t>ych portfelach księgowych. Ten portfel księgowy obejmuje m.in. aktywa finansowe wyceniane według metody LOCOM</w:t>
      </w:r>
      <w:r w:rsidR="00342D7E" w:rsidRPr="00342D7E">
        <w:t xml:space="preserve"> w</w:t>
      </w:r>
      <w:r w:rsidR="00342D7E">
        <w:t> </w:t>
      </w:r>
      <w:r w:rsidR="00342D7E" w:rsidRPr="00342D7E">
        <w:t>spo</w:t>
      </w:r>
      <w:r w:rsidRPr="00342D7E">
        <w:t>sób ciągły („LOCOM</w:t>
      </w:r>
      <w:r w:rsidR="00342D7E" w:rsidRPr="00342D7E">
        <w:t xml:space="preserve"> w</w:t>
      </w:r>
      <w:r w:rsidR="00342D7E">
        <w:t> </w:t>
      </w:r>
      <w:r w:rsidR="00342D7E" w:rsidRPr="00342D7E">
        <w:t>try</w:t>
      </w:r>
      <w:r w:rsidRPr="00342D7E">
        <w:t>bie bezwarunkowym”). Aktywa wyceniane według metody LOCOM</w:t>
      </w:r>
      <w:r w:rsidR="00342D7E" w:rsidRPr="00342D7E">
        <w:t xml:space="preserve"> w</w:t>
      </w:r>
      <w:r w:rsidR="00342D7E">
        <w:t> </w:t>
      </w:r>
      <w:r w:rsidR="00342D7E" w:rsidRPr="00342D7E">
        <w:t>try</w:t>
      </w:r>
      <w:r w:rsidRPr="00342D7E">
        <w:t>bie bezwarunkowym to aktywa,</w:t>
      </w:r>
      <w:r w:rsidR="00342D7E" w:rsidRPr="00342D7E">
        <w:t xml:space="preserve"> w</w:t>
      </w:r>
      <w:r w:rsidR="00342D7E">
        <w:t> </w:t>
      </w:r>
      <w:r w:rsidR="00342D7E" w:rsidRPr="00342D7E">
        <w:t>prz</w:t>
      </w:r>
      <w:r w:rsidRPr="00342D7E">
        <w:t>ypadku których mające zastosowanie standardy rachunkowości przewidują albo początkową</w:t>
      </w:r>
      <w:r w:rsidR="00342D7E" w:rsidRPr="00342D7E">
        <w:t xml:space="preserve"> i</w:t>
      </w:r>
      <w:r w:rsidR="00342D7E">
        <w:t> </w:t>
      </w:r>
      <w:r w:rsidR="00342D7E" w:rsidRPr="00342D7E">
        <w:t>póź</w:t>
      </w:r>
      <w:r w:rsidRPr="00342D7E">
        <w:t>niejszą wycenę według LOCOM, albo początkową wycenę według kosztu nabycia</w:t>
      </w:r>
      <w:r w:rsidR="00342D7E" w:rsidRPr="00342D7E">
        <w:t xml:space="preserve"> i</w:t>
      </w:r>
      <w:r w:rsidR="00342D7E">
        <w:t> </w:t>
      </w:r>
      <w:r w:rsidR="00342D7E" w:rsidRPr="00342D7E">
        <w:t>póź</w:t>
      </w:r>
      <w:r w:rsidRPr="00342D7E">
        <w:t>niejszą wycenę według LOCOM.</w:t>
      </w:r>
    </w:p>
    <w:p w:rsidR="00D35B0C" w:rsidRPr="00342D7E" w:rsidRDefault="00A834F1">
      <w:pPr>
        <w:pStyle w:val="Baseparagraphnumbered"/>
      </w:pPr>
      <w:r w:rsidRPr="00342D7E">
        <w:t>Niezależnie od metody ich wyceny inwestycje</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które nie zostały całkowicie lub proporcjonalnie skonsolidowane</w:t>
      </w:r>
      <w:r w:rsidR="00342D7E" w:rsidRPr="00342D7E">
        <w:t xml:space="preserve"> w</w:t>
      </w:r>
      <w:r w:rsidR="00342D7E">
        <w:t> </w:t>
      </w:r>
      <w:r w:rsidR="00342D7E" w:rsidRPr="00342D7E">
        <w:t>ram</w:t>
      </w:r>
      <w:r w:rsidRPr="00342D7E">
        <w:t>ach regulacyjnego zakresu konsolidacji, zgłasza się</w:t>
      </w:r>
      <w:r w:rsidR="00342D7E" w:rsidRPr="00342D7E">
        <w:t xml:space="preserve"> w</w:t>
      </w:r>
      <w:r w:rsidR="00342D7E">
        <w:t> </w:t>
      </w:r>
      <w:r w:rsidR="00342D7E" w:rsidRPr="00342D7E">
        <w:t>poz</w:t>
      </w:r>
      <w:r w:rsidRPr="00342D7E">
        <w:t>ycji „Inwestycje</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w:t>
      </w:r>
      <w:r w:rsidR="00342D7E" w:rsidRPr="00342D7E">
        <w:t xml:space="preserve"> z</w:t>
      </w:r>
      <w:r w:rsidR="00342D7E">
        <w:t> </w:t>
      </w:r>
      <w:r w:rsidR="00342D7E" w:rsidRPr="00342D7E">
        <w:t>wyj</w:t>
      </w:r>
      <w:r w:rsidRPr="00342D7E">
        <w:t>ątkiem sytuacji, gdy zaklasyfikowano je jako przeznaczone do sprzedaży zgodnie z MSSF 5.</w:t>
      </w:r>
    </w:p>
    <w:p w:rsidR="00D35B0C" w:rsidRPr="00342D7E" w:rsidRDefault="00A834F1">
      <w:pPr>
        <w:pStyle w:val="Baseparagraphnumbered"/>
      </w:pPr>
      <w:r w:rsidRPr="00342D7E">
        <w:t xml:space="preserve"> „Instrumenty pochodne – rachunkowość zabezpieczeń” obejmują instrumenty pochodne</w:t>
      </w:r>
      <w:r w:rsidR="00342D7E" w:rsidRPr="00342D7E">
        <w:t xml:space="preserve"> o</w:t>
      </w:r>
      <w:r w:rsidR="00342D7E">
        <w:t> </w:t>
      </w:r>
      <w:r w:rsidR="00342D7E" w:rsidRPr="00342D7E">
        <w:t>dod</w:t>
      </w:r>
      <w:r w:rsidRPr="00342D7E">
        <w:t>atnim saldzie dla instytucji sprawozdającej, przeznaczone do celów rachunkowości zabezpieczeń zgodnie z MSSF. Zgodnie</w:t>
      </w:r>
      <w:r w:rsidR="00342D7E" w:rsidRPr="00342D7E">
        <w:t xml:space="preserve"> z</w:t>
      </w:r>
      <w:r w:rsidR="00342D7E">
        <w:t> </w:t>
      </w:r>
      <w:r w:rsidR="00342D7E" w:rsidRPr="00342D7E">
        <w:t>kra</w:t>
      </w:r>
      <w:r w:rsidRPr="00342D7E">
        <w:t>jowymi ogólnie przyjętymi zasadami rachunkowości opartymi na BAD instrumenty pochodne</w:t>
      </w:r>
      <w:r w:rsidR="00342D7E" w:rsidRPr="00342D7E">
        <w:t xml:space="preserve"> w</w:t>
      </w:r>
      <w:r w:rsidR="00342D7E">
        <w:t> </w:t>
      </w:r>
      <w:r w:rsidR="00342D7E" w:rsidRPr="00342D7E">
        <w:t>por</w:t>
      </w:r>
      <w:r w:rsidRPr="00342D7E">
        <w:t>tfelu bankowym klasyfikuje się jako instrumenty pochodne przeznaczone do celów rachunkowości zabezpieczeń tylko wówczas, gdy zgodnie</w:t>
      </w:r>
      <w:r w:rsidR="00342D7E" w:rsidRPr="00342D7E">
        <w:t xml:space="preserve"> z</w:t>
      </w:r>
      <w:r w:rsidR="00342D7E">
        <w:t> </w:t>
      </w:r>
      <w:r w:rsidR="00342D7E" w:rsidRPr="00342D7E">
        <w:t>odp</w:t>
      </w:r>
      <w:r w:rsidRPr="00342D7E">
        <w:t xml:space="preserve">owiednimi krajowymi ogólnie przyjętymi zasadami rachunkowości opartymi na BAD istnieją szczególne reguły rachunkowości </w:t>
      </w:r>
      <w:r w:rsidRPr="00342D7E">
        <w:lastRenderedPageBreak/>
        <w:t>dotyczące instrumentów pochodnych</w:t>
      </w:r>
      <w:r w:rsidR="00342D7E" w:rsidRPr="00342D7E">
        <w:t xml:space="preserve"> w</w:t>
      </w:r>
      <w:r w:rsidR="00342D7E">
        <w:t> </w:t>
      </w:r>
      <w:r w:rsidR="00342D7E" w:rsidRPr="00342D7E">
        <w:t>por</w:t>
      </w:r>
      <w:r w:rsidRPr="00342D7E">
        <w:t>tfelu bankowym,</w:t>
      </w:r>
      <w:r w:rsidR="00342D7E" w:rsidRPr="00342D7E">
        <w:t xml:space="preserve"> a</w:t>
      </w:r>
      <w:r w:rsidR="00342D7E">
        <w:t> </w:t>
      </w:r>
      <w:r w:rsidR="00342D7E" w:rsidRPr="00342D7E">
        <w:t>dan</w:t>
      </w:r>
      <w:r w:rsidRPr="00342D7E">
        <w:t>e instrumenty pochodne ograniczają ryzyko innej pozycji</w:t>
      </w:r>
      <w:r w:rsidR="00342D7E" w:rsidRPr="00342D7E">
        <w:t xml:space="preserve"> w</w:t>
      </w:r>
      <w:r w:rsidR="00342D7E">
        <w:t> </w:t>
      </w:r>
      <w:r w:rsidR="00342D7E" w:rsidRPr="00342D7E">
        <w:t>por</w:t>
      </w:r>
      <w:r w:rsidRPr="00342D7E">
        <w:t xml:space="preserve">tfelu bankowym. </w:t>
      </w:r>
    </w:p>
    <w:p w:rsidR="00D35B0C" w:rsidRPr="00342D7E" w:rsidRDefault="00A834F1">
      <w:pPr>
        <w:pStyle w:val="sub-subtitlenumbered"/>
        <w:keepNext/>
        <w:ind w:left="788" w:hanging="431"/>
        <w:jc w:val="both"/>
      </w:pPr>
      <w:bookmarkStart w:id="6" w:name="_Toc31019108"/>
      <w:r w:rsidRPr="00342D7E">
        <w:t>Zobowiązania finansowe</w:t>
      </w:r>
      <w:bookmarkEnd w:id="6"/>
    </w:p>
    <w:p w:rsidR="00D35B0C" w:rsidRPr="00342D7E" w:rsidRDefault="00A834F1">
      <w:pPr>
        <w:pStyle w:val="Baseparagraphnumbered"/>
      </w:pPr>
      <w:r w:rsidRPr="00342D7E">
        <w:t xml:space="preserve">W odniesieniu do zobowiązań finansowych stosuje się następujące portfele księgowe oparte na MSSF: </w:t>
      </w:r>
    </w:p>
    <w:p w:rsidR="00D35B0C" w:rsidRPr="00342D7E" w:rsidRDefault="00A834F1" w:rsidP="00056B6F">
      <w:pPr>
        <w:pStyle w:val="ListParagraph"/>
        <w:numPr>
          <w:ilvl w:val="0"/>
          <w:numId w:val="28"/>
        </w:numPr>
        <w:spacing w:after="240" w:line="240" w:lineRule="auto"/>
        <w:ind w:left="1134" w:hanging="283"/>
        <w:contextualSpacing w:val="0"/>
        <w:jc w:val="both"/>
        <w:rPr>
          <w:rFonts w:ascii="Times New Roman" w:hAnsi="Times New Roman"/>
          <w:sz w:val="24"/>
          <w:szCs w:val="24"/>
        </w:rPr>
      </w:pPr>
      <w:r w:rsidRPr="00342D7E">
        <w:rPr>
          <w:rFonts w:ascii="Times New Roman" w:hAnsi="Times New Roman"/>
          <w:sz w:val="24"/>
          <w:szCs w:val="24"/>
        </w:rPr>
        <w:t xml:space="preserve">„zobowiązania finansowe przeznaczone do obrotu”; </w:t>
      </w:r>
    </w:p>
    <w:p w:rsidR="00D35B0C" w:rsidRPr="00342D7E" w:rsidRDefault="00A834F1" w:rsidP="00056B6F">
      <w:pPr>
        <w:pStyle w:val="ListParagraph"/>
        <w:numPr>
          <w:ilvl w:val="0"/>
          <w:numId w:val="28"/>
        </w:numPr>
        <w:spacing w:after="240" w:line="240" w:lineRule="auto"/>
        <w:ind w:left="1134" w:hanging="283"/>
        <w:contextualSpacing w:val="0"/>
        <w:jc w:val="both"/>
        <w:rPr>
          <w:rFonts w:ascii="Times New Roman" w:hAnsi="Times New Roman"/>
          <w:sz w:val="24"/>
          <w:szCs w:val="24"/>
        </w:rPr>
      </w:pPr>
      <w:r w:rsidRPr="00342D7E">
        <w:rPr>
          <w:rFonts w:ascii="Times New Roman" w:hAnsi="Times New Roman"/>
          <w:sz w:val="24"/>
          <w:szCs w:val="24"/>
        </w:rPr>
        <w:t>„zobowiązania finansowe wyceniane według wartości godziwej przez wynik finansowy”;</w:t>
      </w:r>
      <w:r w:rsidR="00342D7E" w:rsidRPr="00342D7E">
        <w:rPr>
          <w:rFonts w:ascii="Times New Roman" w:hAnsi="Times New Roman"/>
          <w:sz w:val="24"/>
          <w:szCs w:val="24"/>
        </w:rPr>
        <w:t xml:space="preserve"> </w:t>
      </w:r>
    </w:p>
    <w:p w:rsidR="00D35B0C" w:rsidRPr="00342D7E" w:rsidRDefault="00A834F1" w:rsidP="00056B6F">
      <w:pPr>
        <w:pStyle w:val="ListParagraph"/>
        <w:numPr>
          <w:ilvl w:val="0"/>
          <w:numId w:val="28"/>
        </w:numPr>
        <w:spacing w:after="240" w:line="240" w:lineRule="auto"/>
        <w:ind w:left="1134" w:hanging="283"/>
        <w:contextualSpacing w:val="0"/>
        <w:jc w:val="both"/>
        <w:rPr>
          <w:rFonts w:ascii="Times New Roman" w:hAnsi="Times New Roman"/>
          <w:sz w:val="24"/>
          <w:szCs w:val="24"/>
        </w:rPr>
      </w:pPr>
      <w:r w:rsidRPr="00342D7E">
        <w:rPr>
          <w:rFonts w:ascii="Times New Roman" w:hAnsi="Times New Roman"/>
          <w:sz w:val="24"/>
          <w:szCs w:val="24"/>
        </w:rPr>
        <w:t>„zobowiązania finansowe wyceniane według kosztu zamortyzowanego”.</w:t>
      </w:r>
    </w:p>
    <w:p w:rsidR="00D35B0C" w:rsidRPr="00342D7E" w:rsidRDefault="00A834F1">
      <w:pPr>
        <w:pStyle w:val="Baseparagraphnumbered"/>
      </w:pPr>
      <w:r w:rsidRPr="00342D7E">
        <w:t xml:space="preserve">W odniesieniu do zobowiązań finansowych stosuje się następujące portfele księgowe oparte na krajowych ogólnie przyjętych zasadach rachunkowości: </w:t>
      </w:r>
    </w:p>
    <w:p w:rsidR="00D35B0C" w:rsidRPr="00342D7E" w:rsidRDefault="00A834F1" w:rsidP="00056B6F">
      <w:pPr>
        <w:pStyle w:val="Baseparagraphnumbered"/>
        <w:numPr>
          <w:ilvl w:val="3"/>
          <w:numId w:val="29"/>
        </w:numPr>
        <w:ind w:left="1134" w:hanging="283"/>
      </w:pPr>
      <w:r w:rsidRPr="00342D7E">
        <w:t>„zobowiązania finansowe</w:t>
      </w:r>
      <w:r w:rsidR="00342D7E" w:rsidRPr="00342D7E">
        <w:t xml:space="preserve"> z</w:t>
      </w:r>
      <w:r w:rsidR="00342D7E">
        <w:t> </w:t>
      </w:r>
      <w:r w:rsidR="00342D7E" w:rsidRPr="00342D7E">
        <w:t>prz</w:t>
      </w:r>
      <w:r w:rsidRPr="00342D7E">
        <w:t xml:space="preserve">eznaczeniem do obrotu”; </w:t>
      </w:r>
    </w:p>
    <w:p w:rsidR="00D35B0C" w:rsidRPr="00342D7E" w:rsidRDefault="00A834F1" w:rsidP="00056B6F">
      <w:pPr>
        <w:pStyle w:val="Baseparagraphnumbered"/>
        <w:numPr>
          <w:ilvl w:val="3"/>
          <w:numId w:val="29"/>
        </w:numPr>
        <w:ind w:left="1134" w:hanging="283"/>
      </w:pPr>
      <w:r w:rsidRPr="00342D7E">
        <w:t>„zobowiązania finansowe niebędące instrumentami pochodnymi nieprzeznaczone do obrotu wyceniane metodą ceny nabycia”.</w:t>
      </w:r>
    </w:p>
    <w:p w:rsidR="00D35B0C" w:rsidRPr="00342D7E" w:rsidRDefault="00A834F1">
      <w:pPr>
        <w:pStyle w:val="Baseparagraphnumbered"/>
      </w:pPr>
      <w:r w:rsidRPr="00342D7E">
        <w:t>„Zobowiązania finansowe</w:t>
      </w:r>
      <w:r w:rsidR="00342D7E" w:rsidRPr="00342D7E">
        <w:t xml:space="preserve"> z</w:t>
      </w:r>
      <w:r w:rsidR="00342D7E">
        <w:t> </w:t>
      </w:r>
      <w:r w:rsidR="00342D7E" w:rsidRPr="00342D7E">
        <w:t>prz</w:t>
      </w:r>
      <w:r w:rsidRPr="00342D7E">
        <w:t>eznaczeniem do obrotu” obejmują wszystkie zobowiązania finansowe zaklasyfikowane jako przeznaczone do obrotu zgodnie</w:t>
      </w:r>
      <w:r w:rsidR="00342D7E" w:rsidRPr="00342D7E">
        <w:t xml:space="preserve"> z</w:t>
      </w:r>
      <w:r w:rsidR="00342D7E">
        <w:t> </w:t>
      </w:r>
      <w:r w:rsidR="00342D7E" w:rsidRPr="00342D7E">
        <w:t>odp</w:t>
      </w:r>
      <w:r w:rsidRPr="00342D7E">
        <w:t>owiednimi krajowymi ogólnie przyjętymi zasadami rachunkowości opartymi na BAD. Niezależnie od metody wyceny stosowanej zgodnie</w:t>
      </w:r>
      <w:r w:rsidR="00342D7E" w:rsidRPr="00342D7E">
        <w:t xml:space="preserve"> z</w:t>
      </w:r>
      <w:r w:rsidR="00342D7E">
        <w:t> </w:t>
      </w:r>
      <w:r w:rsidR="00342D7E" w:rsidRPr="00342D7E">
        <w:t>odp</w:t>
      </w:r>
      <w:r w:rsidRPr="00342D7E">
        <w:t>owiednimi krajowymi ogólnie przyjętymi zasadami rachunkowości opartymi na BAD wszystkie instrumenty pochodne</w:t>
      </w:r>
      <w:r w:rsidR="00342D7E" w:rsidRPr="00342D7E">
        <w:t xml:space="preserve"> o</w:t>
      </w:r>
      <w:r w:rsidR="00342D7E">
        <w:t> </w:t>
      </w:r>
      <w:r w:rsidR="00342D7E" w:rsidRPr="00342D7E">
        <w:t>uje</w:t>
      </w:r>
      <w:r w:rsidRPr="00342D7E">
        <w:t>mnym saldzie dla instytucji sprawozdającej, których nie zaklasyfikowano jako rachunkowość zabezpieczeń zgodnie</w:t>
      </w:r>
      <w:r w:rsidR="00342D7E" w:rsidRPr="00342D7E">
        <w:t xml:space="preserve"> z</w:t>
      </w:r>
      <w:r w:rsidR="00342D7E">
        <w:t> </w:t>
      </w:r>
      <w:r w:rsidR="00342D7E" w:rsidRPr="00342D7E">
        <w:t>pkt </w:t>
      </w:r>
      <w:r w:rsidRPr="00342D7E">
        <w:t>26 niniejszej części, zgłasza się jako zobowiązania finansowe</w:t>
      </w:r>
      <w:r w:rsidR="00342D7E" w:rsidRPr="00342D7E">
        <w:t xml:space="preserve"> z</w:t>
      </w:r>
      <w:r w:rsidR="00342D7E">
        <w:t> </w:t>
      </w:r>
      <w:r w:rsidR="00342D7E" w:rsidRPr="00342D7E">
        <w:t>prz</w:t>
      </w:r>
      <w:r w:rsidRPr="00342D7E">
        <w:t>eznaczeniem do obrotu. Tę klasyfikację stosuje się również do instrumentów pochodnych, których zgodnie</w:t>
      </w:r>
      <w:r w:rsidR="00342D7E" w:rsidRPr="00342D7E">
        <w:t xml:space="preserve"> z</w:t>
      </w:r>
      <w:r w:rsidR="00342D7E">
        <w:t> </w:t>
      </w:r>
      <w:r w:rsidR="00342D7E" w:rsidRPr="00342D7E">
        <w:t>kra</w:t>
      </w:r>
      <w:r w:rsidRPr="00342D7E">
        <w:t>jowymi ogólnie przyjętymi zasadami rachunkowości opartymi na BAD nie ujmuje się</w:t>
      </w:r>
      <w:r w:rsidR="00342D7E" w:rsidRPr="00342D7E">
        <w:t xml:space="preserve"> w</w:t>
      </w:r>
      <w:r w:rsidR="00342D7E">
        <w:t> </w:t>
      </w:r>
      <w:r w:rsidR="00342D7E" w:rsidRPr="00342D7E">
        <w:t>bil</w:t>
      </w:r>
      <w:r w:rsidRPr="00342D7E">
        <w:t>ansie lub</w:t>
      </w:r>
      <w:r w:rsidR="00342D7E" w:rsidRPr="00342D7E">
        <w:t xml:space="preserve"> w</w:t>
      </w:r>
      <w:r w:rsidR="00342D7E">
        <w:t> </w:t>
      </w:r>
      <w:r w:rsidR="00342D7E" w:rsidRPr="00342D7E">
        <w:t>prz</w:t>
      </w:r>
      <w:r w:rsidRPr="00342D7E">
        <w:t>ypadku których</w:t>
      </w:r>
      <w:r w:rsidR="00342D7E" w:rsidRPr="00342D7E">
        <w:t xml:space="preserve"> w</w:t>
      </w:r>
      <w:r w:rsidR="00342D7E">
        <w:t> </w:t>
      </w:r>
      <w:r w:rsidR="00342D7E" w:rsidRPr="00342D7E">
        <w:t>bil</w:t>
      </w:r>
      <w:r w:rsidRPr="00342D7E">
        <w:t>ansie ujmuje się jedynie zmiany ich wartości godziwej, lub które są wykorzystywane jako zabezpieczenia ekonomiczne zgodnie</w:t>
      </w:r>
      <w:r w:rsidR="00342D7E" w:rsidRPr="00342D7E">
        <w:t xml:space="preserve"> z</w:t>
      </w:r>
      <w:r w:rsidR="00342D7E">
        <w:t> </w:t>
      </w:r>
      <w:r w:rsidR="00342D7E" w:rsidRPr="00342D7E">
        <w:t>def</w:t>
      </w:r>
      <w:r w:rsidRPr="00342D7E">
        <w:t>inicją</w:t>
      </w:r>
      <w:r w:rsidR="00342D7E" w:rsidRPr="00342D7E">
        <w:t xml:space="preserve"> w</w:t>
      </w:r>
      <w:r w:rsidR="00342D7E">
        <w:t> </w:t>
      </w:r>
      <w:r w:rsidR="00342D7E" w:rsidRPr="00342D7E">
        <w:t>czę</w:t>
      </w:r>
      <w:r w:rsidRPr="00342D7E">
        <w:t>ści 2 pkt</w:t>
      </w:r>
      <w:r w:rsidR="00342D7E" w:rsidRPr="00342D7E">
        <w:t> </w:t>
      </w:r>
      <w:r w:rsidRPr="00342D7E">
        <w:t>137 niniejszego załącznika.</w:t>
      </w:r>
    </w:p>
    <w:p w:rsidR="00D35B0C" w:rsidRPr="00342D7E" w:rsidRDefault="00A834F1">
      <w:pPr>
        <w:pStyle w:val="Baseparagraphnumbered"/>
      </w:pPr>
      <w:r w:rsidRPr="00342D7E">
        <w:t>„Instrumenty pochodne – rachunkowość zabezpieczeń” obejmują instrumenty pochodne</w:t>
      </w:r>
      <w:r w:rsidR="00342D7E" w:rsidRPr="00342D7E">
        <w:t xml:space="preserve"> o</w:t>
      </w:r>
      <w:r w:rsidR="00342D7E">
        <w:t> </w:t>
      </w:r>
      <w:r w:rsidR="00342D7E" w:rsidRPr="00342D7E">
        <w:t>uje</w:t>
      </w:r>
      <w:r w:rsidRPr="00342D7E">
        <w:t>mnym saldzie dla instytucji sprawozdającej, przeznaczone do celów rachunkowości zabezpieczeń zgodnie z MSSF. Zgodnie</w:t>
      </w:r>
      <w:r w:rsidR="00342D7E" w:rsidRPr="00342D7E">
        <w:t xml:space="preserve"> z</w:t>
      </w:r>
      <w:r w:rsidR="00342D7E">
        <w:t> </w:t>
      </w:r>
      <w:r w:rsidR="00342D7E" w:rsidRPr="00342D7E">
        <w:t>kra</w:t>
      </w:r>
      <w:r w:rsidRPr="00342D7E">
        <w:t>jowymi ogólnie przyjętymi zasadami rachunkowości opartymi na BAD instrumenty pochodne</w:t>
      </w:r>
      <w:r w:rsidR="00342D7E" w:rsidRPr="00342D7E">
        <w:t xml:space="preserve"> w</w:t>
      </w:r>
      <w:r w:rsidR="00342D7E">
        <w:t> </w:t>
      </w:r>
      <w:r w:rsidR="00342D7E" w:rsidRPr="00342D7E">
        <w:t>por</w:t>
      </w:r>
      <w:r w:rsidRPr="00342D7E">
        <w:t>tfelu bankowym klasyfikuje się jako przeznaczone do celów rachunkowości zabezpieczeń tylko wówczas, gdy zgodnie</w:t>
      </w:r>
      <w:r w:rsidR="00342D7E" w:rsidRPr="00342D7E">
        <w:t xml:space="preserve"> z</w:t>
      </w:r>
      <w:r w:rsidR="00342D7E">
        <w:t> </w:t>
      </w:r>
      <w:r w:rsidR="00342D7E" w:rsidRPr="00342D7E">
        <w:t>odp</w:t>
      </w:r>
      <w:r w:rsidRPr="00342D7E">
        <w:t>owiednimi krajowymi ogólnie przyjętymi zasadami rachunkowości opartymi na BAD istnieją szczególne reguły rachunkowości dotyczące instrumentów pochodnych</w:t>
      </w:r>
      <w:r w:rsidR="00342D7E" w:rsidRPr="00342D7E">
        <w:t xml:space="preserve"> w</w:t>
      </w:r>
      <w:r w:rsidR="00342D7E">
        <w:t> </w:t>
      </w:r>
      <w:r w:rsidR="00342D7E" w:rsidRPr="00342D7E">
        <w:t>por</w:t>
      </w:r>
      <w:r w:rsidRPr="00342D7E">
        <w:t>tfelu bankowym,</w:t>
      </w:r>
      <w:r w:rsidR="00342D7E" w:rsidRPr="00342D7E">
        <w:t xml:space="preserve"> a</w:t>
      </w:r>
      <w:r w:rsidR="00342D7E">
        <w:t> </w:t>
      </w:r>
      <w:r w:rsidR="00342D7E" w:rsidRPr="00342D7E">
        <w:t>dan</w:t>
      </w:r>
      <w:r w:rsidRPr="00342D7E">
        <w:t>e instrumenty pochodne ograniczają ryzyko innej pozycji</w:t>
      </w:r>
      <w:r w:rsidR="00342D7E" w:rsidRPr="00342D7E">
        <w:t xml:space="preserve"> w</w:t>
      </w:r>
      <w:r w:rsidR="00342D7E">
        <w:t> </w:t>
      </w:r>
      <w:r w:rsidR="00342D7E" w:rsidRPr="00342D7E">
        <w:t>por</w:t>
      </w:r>
      <w:r w:rsidRPr="00342D7E">
        <w:t xml:space="preserve">tfelu bankowym. </w:t>
      </w:r>
    </w:p>
    <w:p w:rsidR="00D35B0C" w:rsidRPr="00342D7E" w:rsidRDefault="00A834F1" w:rsidP="00056B6F">
      <w:pPr>
        <w:pStyle w:val="subtitlenumbered"/>
        <w:numPr>
          <w:ilvl w:val="0"/>
          <w:numId w:val="11"/>
        </w:numPr>
        <w:jc w:val="both"/>
      </w:pPr>
      <w:bookmarkStart w:id="7" w:name="_Toc31019109"/>
      <w:r w:rsidRPr="00342D7E">
        <w:t>Instrumenty finansowe</w:t>
      </w:r>
      <w:bookmarkEnd w:id="7"/>
    </w:p>
    <w:p w:rsidR="00D35B0C" w:rsidRPr="00342D7E" w:rsidRDefault="00A834F1">
      <w:pPr>
        <w:pStyle w:val="Baseparagraphnumbered"/>
      </w:pPr>
      <w:r w:rsidRPr="00342D7E">
        <w:lastRenderedPageBreak/>
        <w:t>Do celów załączników III i IV oraz niniejszego załącznika „wartość bilansowa” oznacza kwotę podlegającą wykazaniu</w:t>
      </w:r>
      <w:r w:rsidR="00342D7E" w:rsidRPr="00342D7E">
        <w:t xml:space="preserve"> w</w:t>
      </w:r>
      <w:r w:rsidR="00342D7E">
        <w:t> </w:t>
      </w:r>
      <w:r w:rsidR="00342D7E" w:rsidRPr="00342D7E">
        <w:t>bil</w:t>
      </w:r>
      <w:r w:rsidRPr="00342D7E">
        <w:t>ansie. Wartość bilansowa instrumentów finansowych obejmuje odsetki naliczone. Zgodnie</w:t>
      </w:r>
      <w:r w:rsidR="00342D7E" w:rsidRPr="00342D7E">
        <w:t xml:space="preserve"> z</w:t>
      </w:r>
      <w:r w:rsidR="00342D7E">
        <w:t> </w:t>
      </w:r>
      <w:r w:rsidR="00342D7E" w:rsidRPr="00342D7E">
        <w:t>odp</w:t>
      </w:r>
      <w:r w:rsidRPr="00342D7E">
        <w:t>owiednimi krajowymi ogólnie przyjętymi zasadami rachunkowości opartymi na BAD wartość bilansową instrumentów pochodnych stanowi wartość bilansowa zgodnie</w:t>
      </w:r>
      <w:r w:rsidR="00342D7E" w:rsidRPr="00342D7E">
        <w:t xml:space="preserve"> z</w:t>
      </w:r>
      <w:r w:rsidR="00342D7E">
        <w:t> </w:t>
      </w:r>
      <w:r w:rsidR="00342D7E" w:rsidRPr="00342D7E">
        <w:t>kra</w:t>
      </w:r>
      <w:r w:rsidRPr="00342D7E">
        <w:t>jowymi ogólnie przyjętymi zasadami rachunkowości,</w:t>
      </w:r>
      <w:r w:rsidR="00342D7E" w:rsidRPr="00342D7E">
        <w:t xml:space="preserve"> w</w:t>
      </w:r>
      <w:r w:rsidR="00342D7E">
        <w:t> </w:t>
      </w:r>
      <w:r w:rsidR="00342D7E" w:rsidRPr="00342D7E">
        <w:t>tym</w:t>
      </w:r>
      <w:r w:rsidRPr="00342D7E">
        <w:t>,</w:t>
      </w:r>
      <w:r w:rsidR="00342D7E" w:rsidRPr="00342D7E">
        <w:t xml:space="preserve"> w</w:t>
      </w:r>
      <w:r w:rsidR="00342D7E">
        <w:t> </w:t>
      </w:r>
      <w:r w:rsidR="00342D7E" w:rsidRPr="00342D7E">
        <w:t>sto</w:t>
      </w:r>
      <w:r w:rsidRPr="00342D7E">
        <w:t>sownych przypadkach, rozliczenia międzyokresowe, wartości nadwyżki ze sprzedaży powyżej wartości nominalnej</w:t>
      </w:r>
      <w:r w:rsidR="00342D7E" w:rsidRPr="00342D7E">
        <w:t xml:space="preserve"> i</w:t>
      </w:r>
      <w:r w:rsidR="00342D7E">
        <w:t> </w:t>
      </w:r>
      <w:r w:rsidR="00342D7E" w:rsidRPr="00342D7E">
        <w:t>rez</w:t>
      </w:r>
      <w:r w:rsidRPr="00342D7E">
        <w:t>erwy, albo wynosi ona zero,</w:t>
      </w:r>
      <w:r w:rsidR="00342D7E" w:rsidRPr="00342D7E">
        <w:t xml:space="preserve"> w</w:t>
      </w:r>
      <w:r w:rsidR="00342D7E">
        <w:t> </w:t>
      </w:r>
      <w:r w:rsidR="00342D7E" w:rsidRPr="00342D7E">
        <w:t>prz</w:t>
      </w:r>
      <w:r w:rsidRPr="00342D7E">
        <w:t>ypadku gdy instrumentów pochodnych nie ujęto</w:t>
      </w:r>
      <w:r w:rsidR="00342D7E" w:rsidRPr="00342D7E">
        <w:t xml:space="preserve"> w</w:t>
      </w:r>
      <w:r w:rsidR="00342D7E">
        <w:t> </w:t>
      </w:r>
      <w:r w:rsidR="00342D7E" w:rsidRPr="00342D7E">
        <w:t>bil</w:t>
      </w:r>
      <w:r w:rsidRPr="00342D7E">
        <w:t>ansie.</w:t>
      </w:r>
    </w:p>
    <w:p w:rsidR="00D35B0C" w:rsidRPr="00342D7E" w:rsidRDefault="00A834F1">
      <w:pPr>
        <w:pStyle w:val="Baseparagraphnumbered"/>
      </w:pPr>
      <w:r w:rsidRPr="00342D7E">
        <w:t>Czynne</w:t>
      </w:r>
      <w:r w:rsidR="00342D7E" w:rsidRPr="00342D7E">
        <w:t xml:space="preserve"> i</w:t>
      </w:r>
      <w:r w:rsidR="00342D7E">
        <w:t> </w:t>
      </w:r>
      <w:r w:rsidR="00342D7E" w:rsidRPr="00342D7E">
        <w:t>bie</w:t>
      </w:r>
      <w:r w:rsidRPr="00342D7E">
        <w:t>rne rozliczenia międzyokresowe instrumentów finansowych,</w:t>
      </w:r>
      <w:r w:rsidR="00342D7E" w:rsidRPr="00342D7E">
        <w:t xml:space="preserve"> w</w:t>
      </w:r>
      <w:r w:rsidR="00342D7E">
        <w:t> </w:t>
      </w:r>
      <w:r w:rsidR="00342D7E" w:rsidRPr="00342D7E">
        <w:t>tym</w:t>
      </w:r>
      <w:r w:rsidRPr="00342D7E">
        <w:t xml:space="preserve"> narosłe odsetki, nadwyżki ze sprzedaży</w:t>
      </w:r>
      <w:r w:rsidR="00342D7E" w:rsidRPr="00342D7E">
        <w:t xml:space="preserve"> i</w:t>
      </w:r>
      <w:r w:rsidR="00342D7E">
        <w:t> </w:t>
      </w:r>
      <w:r w:rsidR="00342D7E" w:rsidRPr="00342D7E">
        <w:t>dys</w:t>
      </w:r>
      <w:r w:rsidRPr="00342D7E">
        <w:t>konta lub koszty transakcyjne, jeżeli zostały ujęte zgodnie</w:t>
      </w:r>
      <w:r w:rsidR="00342D7E" w:rsidRPr="00342D7E">
        <w:t xml:space="preserve"> z</w:t>
      </w:r>
      <w:r w:rsidR="00342D7E">
        <w:t> </w:t>
      </w:r>
      <w:r w:rsidR="00342D7E" w:rsidRPr="00342D7E">
        <w:t>odp</w:t>
      </w:r>
      <w:r w:rsidRPr="00342D7E">
        <w:t>owiednimi krajowymi ogólnie przyjętymi zasadami rachunkowości opartymi na BAD, zgłasza się razem</w:t>
      </w:r>
      <w:r w:rsidR="00342D7E" w:rsidRPr="00342D7E">
        <w:t xml:space="preserve"> z</w:t>
      </w:r>
      <w:r w:rsidR="00342D7E">
        <w:t> </w:t>
      </w:r>
      <w:r w:rsidR="00342D7E" w:rsidRPr="00342D7E">
        <w:t>dan</w:t>
      </w:r>
      <w:r w:rsidRPr="00342D7E">
        <w:t>ym instrumentem,</w:t>
      </w:r>
      <w:r w:rsidR="00342D7E" w:rsidRPr="00342D7E">
        <w:t xml:space="preserve"> a</w:t>
      </w:r>
      <w:r w:rsidR="00342D7E">
        <w:t> </w:t>
      </w:r>
      <w:r w:rsidR="00342D7E" w:rsidRPr="00342D7E">
        <w:t>nie w</w:t>
      </w:r>
      <w:r w:rsidR="00342D7E">
        <w:t> </w:t>
      </w:r>
      <w:r w:rsidR="00342D7E" w:rsidRPr="00342D7E">
        <w:t>poz</w:t>
      </w:r>
      <w:r w:rsidRPr="00342D7E">
        <w:t xml:space="preserve">ycji „inna aktywa” bądź „inne zobowiązania”. </w:t>
      </w:r>
    </w:p>
    <w:p w:rsidR="00D35B0C" w:rsidRPr="00342D7E" w:rsidRDefault="00A834F1">
      <w:pPr>
        <w:pStyle w:val="Baseparagraphnumbered"/>
      </w:pPr>
      <w:r w:rsidRPr="00342D7E">
        <w:t>W stosownych przypadkach na podstawie krajowych ogólnie przyjętych zasad rachunkowości opartych na BAD zgłasza się „Redukcje wartości</w:t>
      </w:r>
      <w:r w:rsidR="00342D7E" w:rsidRPr="00342D7E">
        <w:t xml:space="preserve"> w</w:t>
      </w:r>
      <w:r w:rsidR="00342D7E">
        <w:t> </w:t>
      </w:r>
      <w:r w:rsidR="00342D7E" w:rsidRPr="00342D7E">
        <w:t>odn</w:t>
      </w:r>
      <w:r w:rsidRPr="00342D7E">
        <w:t>iesieniu do pozycji</w:t>
      </w:r>
      <w:r w:rsidR="00342D7E" w:rsidRPr="00342D7E">
        <w:t xml:space="preserve"> z</w:t>
      </w:r>
      <w:r w:rsidR="00342D7E">
        <w:t> </w:t>
      </w:r>
      <w:r w:rsidR="00342D7E" w:rsidRPr="00342D7E">
        <w:t>prz</w:t>
      </w:r>
      <w:r w:rsidRPr="00342D7E">
        <w:t>eznaczeniem do obrotu wycenianych według wartości godziwej”. Redukcje wartości pomniejszają wartość aktywów</w:t>
      </w:r>
      <w:r w:rsidR="00342D7E" w:rsidRPr="00342D7E">
        <w:t xml:space="preserve"> z</w:t>
      </w:r>
      <w:r w:rsidR="00342D7E">
        <w:t> </w:t>
      </w:r>
      <w:r w:rsidR="00342D7E" w:rsidRPr="00342D7E">
        <w:t>prz</w:t>
      </w:r>
      <w:r w:rsidRPr="00342D7E">
        <w:t>eznaczeniem do obrotu</w:t>
      </w:r>
      <w:r w:rsidR="00342D7E" w:rsidRPr="00342D7E">
        <w:t xml:space="preserve"> i</w:t>
      </w:r>
      <w:r w:rsidR="00342D7E">
        <w:t> </w:t>
      </w:r>
      <w:r w:rsidR="00342D7E" w:rsidRPr="00342D7E">
        <w:t>pow</w:t>
      </w:r>
      <w:r w:rsidRPr="00342D7E">
        <w:t>iększają wartość zobowiązań</w:t>
      </w:r>
      <w:r w:rsidR="00342D7E" w:rsidRPr="00342D7E">
        <w:t xml:space="preserve"> z</w:t>
      </w:r>
      <w:r w:rsidR="00342D7E">
        <w:t> </w:t>
      </w:r>
      <w:r w:rsidR="00342D7E" w:rsidRPr="00342D7E">
        <w:t>prz</w:t>
      </w:r>
      <w:r w:rsidRPr="00342D7E">
        <w:t>eznaczeniem do obrotu.</w:t>
      </w:r>
    </w:p>
    <w:p w:rsidR="00D35B0C" w:rsidRPr="00342D7E" w:rsidRDefault="00A834F1">
      <w:pPr>
        <w:pStyle w:val="sub-subtitlenumbered"/>
        <w:jc w:val="both"/>
      </w:pPr>
      <w:bookmarkStart w:id="8" w:name="_Toc31019110"/>
      <w:r w:rsidRPr="00342D7E">
        <w:t>Aktywa finansowe</w:t>
      </w:r>
      <w:bookmarkEnd w:id="8"/>
      <w:r w:rsidRPr="00342D7E">
        <w:t xml:space="preserve"> </w:t>
      </w:r>
    </w:p>
    <w:p w:rsidR="00D35B0C" w:rsidRPr="00342D7E" w:rsidRDefault="00A834F1">
      <w:pPr>
        <w:pStyle w:val="Baseparagraphnumbered"/>
      </w:pPr>
      <w:r w:rsidRPr="00342D7E">
        <w:t>Aktywa finansowe dzieli się pomiędzy następujące kategorie instrumentów: „Gotówka</w:t>
      </w:r>
      <w:r w:rsidR="00342D7E" w:rsidRPr="00342D7E">
        <w:t xml:space="preserve"> w</w:t>
      </w:r>
      <w:r w:rsidR="00342D7E">
        <w:t> </w:t>
      </w:r>
      <w:r w:rsidR="00342D7E" w:rsidRPr="00342D7E">
        <w:t>kas</w:t>
      </w:r>
      <w:r w:rsidRPr="00342D7E">
        <w:t>ie”, „Instrumenty pochodne”, „Instrumenty kapitałowe”, „Dłużne papiery wartościowe” oraz „Kredyty</w:t>
      </w:r>
      <w:r w:rsidR="00342D7E" w:rsidRPr="00342D7E">
        <w:t xml:space="preserve"> i</w:t>
      </w:r>
      <w:r w:rsidR="00342D7E">
        <w:t> </w:t>
      </w:r>
      <w:r w:rsidR="00342D7E" w:rsidRPr="00342D7E">
        <w:t>zal</w:t>
      </w:r>
      <w:r w:rsidRPr="00342D7E">
        <w:t>iczki”.</w:t>
      </w:r>
    </w:p>
    <w:p w:rsidR="00D35B0C" w:rsidRPr="00342D7E" w:rsidRDefault="00A834F1">
      <w:pPr>
        <w:pStyle w:val="Baseparagraphnumbered"/>
      </w:pPr>
      <w:r w:rsidRPr="00342D7E">
        <w:t>„Dłużne papiery wartościowe” są to posiadane przez instytucję instrumenty dłużne wyemitowane jako papiery wartościowe niebędące kredytami zgodnie</w:t>
      </w:r>
      <w:r w:rsidR="00342D7E" w:rsidRPr="00342D7E">
        <w:t xml:space="preserve"> z</w:t>
      </w:r>
      <w:r w:rsidR="00342D7E">
        <w:t> </w:t>
      </w:r>
      <w:r w:rsidR="00342D7E" w:rsidRPr="00342D7E">
        <w:t>tab</w:t>
      </w:r>
      <w:r w:rsidRPr="00342D7E">
        <w:t>elą załącznika II część 2 do rozporządzenia EBC</w:t>
      </w:r>
      <w:r w:rsidR="00342D7E" w:rsidRPr="00342D7E">
        <w:t xml:space="preserve"> w</w:t>
      </w:r>
      <w:r w:rsidR="00342D7E">
        <w:t> </w:t>
      </w:r>
      <w:r w:rsidR="00342D7E" w:rsidRPr="00342D7E">
        <w:t>spr</w:t>
      </w:r>
      <w:r w:rsidRPr="00342D7E">
        <w:t>awie pozycji bilansowych.</w:t>
      </w:r>
    </w:p>
    <w:p w:rsidR="00D35B0C" w:rsidRPr="00342D7E" w:rsidRDefault="00A834F1">
      <w:pPr>
        <w:pStyle w:val="Baseparagraphnumbered"/>
      </w:pPr>
      <w:r w:rsidRPr="00342D7E">
        <w:t>„Kredyty</w:t>
      </w:r>
      <w:r w:rsidR="00342D7E" w:rsidRPr="00342D7E">
        <w:t xml:space="preserve"> i</w:t>
      </w:r>
      <w:r w:rsidR="00342D7E">
        <w:t> </w:t>
      </w:r>
      <w:r w:rsidR="00342D7E" w:rsidRPr="00342D7E">
        <w:t>zal</w:t>
      </w:r>
      <w:r w:rsidRPr="00342D7E">
        <w:t>iczki” są to posiadane przez instytucje instrumenty dłużne niebędące papierami wartościowymi. Pozycja ta obejmuje „kredyty” zgodnie</w:t>
      </w:r>
      <w:r w:rsidR="00342D7E" w:rsidRPr="00342D7E">
        <w:t xml:space="preserve"> z</w:t>
      </w:r>
      <w:r w:rsidR="00342D7E">
        <w:t> </w:t>
      </w:r>
      <w:r w:rsidR="00342D7E" w:rsidRPr="00342D7E">
        <w:t>tab</w:t>
      </w:r>
      <w:r w:rsidRPr="00342D7E">
        <w:t>elą załącznika II część 2 rozporządzenia EBC</w:t>
      </w:r>
      <w:r w:rsidR="00342D7E" w:rsidRPr="00342D7E">
        <w:t xml:space="preserve"> w</w:t>
      </w:r>
      <w:r w:rsidR="00342D7E">
        <w:t> </w:t>
      </w:r>
      <w:r w:rsidR="00342D7E" w:rsidRPr="00342D7E">
        <w:t>spr</w:t>
      </w:r>
      <w:r w:rsidRPr="00342D7E">
        <w:t>awie pozycji bilansowych, jak również zaliczki, których nie można sklasyfikować jako „kredyty”, zgodnie</w:t>
      </w:r>
      <w:r w:rsidR="00342D7E" w:rsidRPr="00342D7E">
        <w:t xml:space="preserve"> z</w:t>
      </w:r>
      <w:r w:rsidR="00342D7E">
        <w:t> </w:t>
      </w:r>
      <w:r w:rsidR="00342D7E" w:rsidRPr="00342D7E">
        <w:t>tab</w:t>
      </w:r>
      <w:r w:rsidRPr="00342D7E">
        <w:t>elą załącznika II część 2 do rozporządzenia EBC</w:t>
      </w:r>
      <w:r w:rsidR="00342D7E" w:rsidRPr="00342D7E">
        <w:t xml:space="preserve"> w</w:t>
      </w:r>
      <w:r w:rsidR="00342D7E">
        <w:t> </w:t>
      </w:r>
      <w:r w:rsidR="00342D7E" w:rsidRPr="00342D7E">
        <w:t>spr</w:t>
      </w:r>
      <w:r w:rsidRPr="00342D7E">
        <w:t>awie pozycji bilansowych. „Zaliczki niebędące kredytami” zostały opisane bardziej szczegółowo</w:t>
      </w:r>
      <w:r w:rsidR="00342D7E" w:rsidRPr="00342D7E">
        <w:t xml:space="preserve"> w</w:t>
      </w:r>
      <w:r w:rsidR="00342D7E">
        <w:t> </w:t>
      </w:r>
      <w:r w:rsidR="00342D7E" w:rsidRPr="00342D7E">
        <w:t>czę</w:t>
      </w:r>
      <w:r w:rsidRPr="00342D7E">
        <w:t>ści 2 pkt</w:t>
      </w:r>
      <w:r w:rsidR="00342D7E" w:rsidRPr="00342D7E">
        <w:t> </w:t>
      </w:r>
      <w:r w:rsidRPr="00342D7E">
        <w:t>85 lit.</w:t>
      </w:r>
      <w:r w:rsidR="00342D7E" w:rsidRPr="00342D7E">
        <w:t> </w:t>
      </w:r>
      <w:r w:rsidRPr="00342D7E">
        <w:t xml:space="preserve">g) niniejszego załącznika. </w:t>
      </w:r>
    </w:p>
    <w:p w:rsidR="00D35B0C" w:rsidRPr="00342D7E" w:rsidRDefault="00A834F1">
      <w:pPr>
        <w:pStyle w:val="Baseparagraphnumbered"/>
      </w:pPr>
      <w:r w:rsidRPr="00342D7E">
        <w:t>W FINREP „instrumenty dłużne” obejmują „kredyty</w:t>
      </w:r>
      <w:r w:rsidR="00342D7E" w:rsidRPr="00342D7E">
        <w:t xml:space="preserve"> i</w:t>
      </w:r>
      <w:r w:rsidR="00342D7E">
        <w:t> </w:t>
      </w:r>
      <w:r w:rsidR="00342D7E" w:rsidRPr="00342D7E">
        <w:t>zal</w:t>
      </w:r>
      <w:r w:rsidRPr="00342D7E">
        <w:t>iczki” oraz „dłużne papiery wartościowe”.</w:t>
      </w:r>
    </w:p>
    <w:p w:rsidR="00D35B0C" w:rsidRPr="00342D7E" w:rsidRDefault="00A834F1">
      <w:pPr>
        <w:pStyle w:val="sub-subtitlenumbered"/>
        <w:jc w:val="both"/>
      </w:pPr>
      <w:bookmarkStart w:id="9" w:name="_Toc31019111"/>
      <w:r w:rsidRPr="00342D7E">
        <w:t>Wartość bilansowa brutto</w:t>
      </w:r>
      <w:bookmarkEnd w:id="9"/>
    </w:p>
    <w:p w:rsidR="00D35B0C" w:rsidRPr="00342D7E" w:rsidRDefault="00A834F1">
      <w:pPr>
        <w:pStyle w:val="Baseparagraphnumbered"/>
      </w:pPr>
      <w:r w:rsidRPr="00342D7E">
        <w:t>Wartość bilansowa brutto instrumentów dłużnych ma następujące znaczenie:</w:t>
      </w:r>
    </w:p>
    <w:p w:rsidR="00D35B0C" w:rsidRPr="00342D7E" w:rsidRDefault="00A834F1" w:rsidP="00056B6F">
      <w:pPr>
        <w:pStyle w:val="Baseparagraphnumbered"/>
        <w:numPr>
          <w:ilvl w:val="1"/>
          <w:numId w:val="30"/>
        </w:numPr>
        <w:ind w:left="1134"/>
      </w:pPr>
      <w:proofErr w:type="gramStart"/>
      <w:r w:rsidRPr="00342D7E">
        <w:lastRenderedPageBreak/>
        <w:t>zgodnie</w:t>
      </w:r>
      <w:proofErr w:type="gramEnd"/>
      <w:r w:rsidRPr="00342D7E">
        <w:t xml:space="preserve"> z MSSF</w:t>
      </w:r>
      <w:r w:rsidR="00342D7E" w:rsidRPr="00342D7E">
        <w:t xml:space="preserve"> i</w:t>
      </w:r>
      <w:r w:rsidR="00342D7E">
        <w:t> </w:t>
      </w:r>
      <w:r w:rsidR="00342D7E" w:rsidRPr="00342D7E">
        <w:t>kra</w:t>
      </w:r>
      <w:r w:rsidRPr="00342D7E">
        <w:t>jowymi ogólnie przyjętymi zasadami rachunkowości opartymi na BAD</w:t>
      </w:r>
      <w:r w:rsidR="00342D7E" w:rsidRPr="00342D7E">
        <w:t xml:space="preserve"> w</w:t>
      </w:r>
      <w:r w:rsidR="00342D7E">
        <w:t> </w:t>
      </w:r>
      <w:r w:rsidR="00342D7E" w:rsidRPr="00342D7E">
        <w:t>prz</w:t>
      </w:r>
      <w:r w:rsidRPr="00342D7E">
        <w:t>ypadku instrumentów dłużnych wycenianych według wartości godziwej przez wynik finansowy, niezaliczonych do portfela instrumentów przeznaczonych do obrotu lub instrumentów</w:t>
      </w:r>
      <w:r w:rsidR="00342D7E" w:rsidRPr="00342D7E">
        <w:t xml:space="preserve"> z</w:t>
      </w:r>
      <w:r w:rsidR="00342D7E">
        <w:t> </w:t>
      </w:r>
      <w:r w:rsidR="00342D7E" w:rsidRPr="00342D7E">
        <w:t>prz</w:t>
      </w:r>
      <w:r w:rsidRPr="00342D7E">
        <w:t>eznaczeniem do obrotu, wartość bilansowa brutto zależy od tego, czy te instrumenty dłużne sklasyfikowano jako obsługiwane bądź nieobsługiwane</w:t>
      </w:r>
      <w:r w:rsidR="00342D7E" w:rsidRPr="00342D7E">
        <w:t>. W</w:t>
      </w:r>
      <w:r w:rsidR="00342D7E">
        <w:t> </w:t>
      </w:r>
      <w:r w:rsidR="00342D7E" w:rsidRPr="00342D7E">
        <w:t>prz</w:t>
      </w:r>
      <w:r w:rsidRPr="00342D7E">
        <w:t>ypadku obsługiwanych instrumentów dłużnych wartość bilansową brutto stanowi wartość godziwa</w:t>
      </w:r>
      <w:r w:rsidR="00342D7E" w:rsidRPr="00342D7E">
        <w:t>. W</w:t>
      </w:r>
      <w:r w:rsidR="00342D7E">
        <w:t> </w:t>
      </w:r>
      <w:r w:rsidR="00342D7E" w:rsidRPr="00342D7E">
        <w:t>prz</w:t>
      </w:r>
      <w:r w:rsidRPr="00342D7E">
        <w:t>ypadku nieobsługiwanych instrumentów dłużnych wartość bilansową brutto stanowi wartość godziwa po ponownym doliczeniu wszelkich skumulowanych ujemnych zmian wartości godziwej</w:t>
      </w:r>
      <w:r w:rsidR="00342D7E" w:rsidRPr="00342D7E">
        <w:t xml:space="preserve"> z</w:t>
      </w:r>
      <w:r w:rsidR="00342D7E">
        <w:t> </w:t>
      </w:r>
      <w:r w:rsidR="00342D7E" w:rsidRPr="00342D7E">
        <w:t>pow</w:t>
      </w:r>
      <w:r w:rsidRPr="00342D7E">
        <w:t>odu ryzyka kredytowego, jak określono</w:t>
      </w:r>
      <w:r w:rsidR="00342D7E" w:rsidRPr="00342D7E">
        <w:t xml:space="preserve"> w</w:t>
      </w:r>
      <w:r w:rsidR="00342D7E">
        <w:t> </w:t>
      </w:r>
      <w:r w:rsidR="00342D7E" w:rsidRPr="00342D7E">
        <w:t>czę</w:t>
      </w:r>
      <w:r w:rsidRPr="00342D7E">
        <w:t>ści 2 pkt</w:t>
      </w:r>
      <w:r w:rsidR="00342D7E" w:rsidRPr="00342D7E">
        <w:t> </w:t>
      </w:r>
      <w:r w:rsidRPr="00342D7E">
        <w:t>69 niniejszego załącznika. Do celów określenia wartości bilansowej brutto wycenę instrumentów dłużnych przeprowadza się na poziomie pojedynczych instrumentów finansowych;</w:t>
      </w:r>
    </w:p>
    <w:p w:rsidR="00D35B0C" w:rsidRPr="00342D7E" w:rsidRDefault="00A834F1" w:rsidP="00056B6F">
      <w:pPr>
        <w:pStyle w:val="Baseparagraphnumbered"/>
        <w:numPr>
          <w:ilvl w:val="1"/>
          <w:numId w:val="30"/>
        </w:numPr>
        <w:ind w:left="1134"/>
      </w:pPr>
      <w:proofErr w:type="gramStart"/>
      <w:r w:rsidRPr="00342D7E">
        <w:t>zgodnie</w:t>
      </w:r>
      <w:proofErr w:type="gramEnd"/>
      <w:r w:rsidRPr="00342D7E">
        <w:t xml:space="preserve"> z MSSF</w:t>
      </w:r>
      <w:r w:rsidR="00342D7E" w:rsidRPr="00342D7E">
        <w:t xml:space="preserve"> w</w:t>
      </w:r>
      <w:r w:rsidR="00342D7E">
        <w:t> </w:t>
      </w:r>
      <w:r w:rsidR="00342D7E" w:rsidRPr="00342D7E">
        <w:t>prz</w:t>
      </w:r>
      <w:r w:rsidRPr="00342D7E">
        <w:t>ypadku instrumentów dłużnych wycenianych według kosztu zamortyzowanego lub według wartości godziwej przez inne całkowite dochody wartość bilansowa brutto oznacza wartość bilansową przed korektą</w:t>
      </w:r>
      <w:r w:rsidR="00342D7E" w:rsidRPr="00342D7E">
        <w:t xml:space="preserve"> o</w:t>
      </w:r>
      <w:r w:rsidR="00342D7E">
        <w:t> </w:t>
      </w:r>
      <w:r w:rsidR="00342D7E" w:rsidRPr="00342D7E">
        <w:t>odp</w:t>
      </w:r>
      <w:r w:rsidRPr="00342D7E">
        <w:t>is na straty;</w:t>
      </w:r>
    </w:p>
    <w:p w:rsidR="00D35B0C" w:rsidRPr="00342D7E" w:rsidRDefault="00A834F1" w:rsidP="00056B6F">
      <w:pPr>
        <w:pStyle w:val="Baseparagraphnumbered"/>
        <w:numPr>
          <w:ilvl w:val="1"/>
          <w:numId w:val="30"/>
        </w:numPr>
        <w:ind w:left="1134"/>
      </w:pPr>
      <w:proofErr w:type="gramStart"/>
      <w:r w:rsidRPr="00342D7E">
        <w:t>zgodnie</w:t>
      </w:r>
      <w:proofErr w:type="gramEnd"/>
      <w:r w:rsidR="00342D7E" w:rsidRPr="00342D7E">
        <w:t xml:space="preserve"> z</w:t>
      </w:r>
      <w:r w:rsidR="00342D7E">
        <w:t> </w:t>
      </w:r>
      <w:r w:rsidR="00342D7E" w:rsidRPr="00342D7E">
        <w:t>kra</w:t>
      </w:r>
      <w:r w:rsidRPr="00342D7E">
        <w:t>jowymi ogólnie przyjętymi zasadami rachunkowości opartymi na BAD</w:t>
      </w:r>
      <w:r w:rsidR="00342D7E" w:rsidRPr="00342D7E">
        <w:t xml:space="preserve"> w</w:t>
      </w:r>
      <w:r w:rsidR="00342D7E">
        <w:t> </w:t>
      </w:r>
      <w:r w:rsidR="00342D7E" w:rsidRPr="00342D7E">
        <w:t>prz</w:t>
      </w:r>
      <w:r w:rsidRPr="00342D7E">
        <w:t>ypadku instrumentów dłużnych sklasyfikowanych jako „aktywa finansowe niebędące instrumentami pochodnymi nieprzeznaczone do obrotu wyceniane metodą ceny nabycia” wartość bilansowa brutto aktywów dotkniętych utratą wartości, jest równa wartości bilansowej przed korektą</w:t>
      </w:r>
      <w:r w:rsidR="00342D7E" w:rsidRPr="00342D7E">
        <w:t xml:space="preserve"> o</w:t>
      </w:r>
      <w:r w:rsidR="00342D7E">
        <w:t> </w:t>
      </w:r>
      <w:r w:rsidR="00342D7E" w:rsidRPr="00342D7E">
        <w:t>ind</w:t>
      </w:r>
      <w:r w:rsidRPr="00342D7E">
        <w:t>ywidualne odpisy</w:t>
      </w:r>
      <w:r w:rsidR="00342D7E" w:rsidRPr="00342D7E">
        <w:t xml:space="preserve"> z</w:t>
      </w:r>
      <w:r w:rsidR="00342D7E">
        <w:t> </w:t>
      </w:r>
      <w:r w:rsidR="00342D7E" w:rsidRPr="00342D7E">
        <w:t>tyt</w:t>
      </w:r>
      <w:r w:rsidRPr="00342D7E">
        <w:t>ułu ryzyka kredytowego. Wartość bilansowa brutto aktywów, które nie utraciły wartości, odpowiada wartości bilansowej przed korektą</w:t>
      </w:r>
      <w:r w:rsidR="00342D7E" w:rsidRPr="00342D7E">
        <w:t xml:space="preserve"> o</w:t>
      </w:r>
      <w:r w:rsidR="00342D7E">
        <w:t> </w:t>
      </w:r>
      <w:r w:rsidR="00342D7E" w:rsidRPr="00342D7E">
        <w:t>ogó</w:t>
      </w:r>
      <w:r w:rsidRPr="00342D7E">
        <w:t>lne odpisy aktualizujące</w:t>
      </w:r>
      <w:r w:rsidR="00342D7E" w:rsidRPr="00342D7E">
        <w:t xml:space="preserve"> z</w:t>
      </w:r>
      <w:r w:rsidR="00342D7E">
        <w:t> </w:t>
      </w:r>
      <w:r w:rsidR="00342D7E" w:rsidRPr="00342D7E">
        <w:t>tyt</w:t>
      </w:r>
      <w:r w:rsidRPr="00342D7E">
        <w:t>ułu ryzyka kredytowego</w:t>
      </w:r>
      <w:r w:rsidR="00342D7E" w:rsidRPr="00342D7E">
        <w:t xml:space="preserve"> i</w:t>
      </w:r>
      <w:r w:rsidR="00342D7E">
        <w:t> </w:t>
      </w:r>
      <w:r w:rsidR="00342D7E" w:rsidRPr="00342D7E">
        <w:t>ogó</w:t>
      </w:r>
      <w:r w:rsidRPr="00342D7E">
        <w:t>lne odpisy aktualizujące</w:t>
      </w:r>
      <w:r w:rsidR="00342D7E" w:rsidRPr="00342D7E">
        <w:t xml:space="preserve"> z</w:t>
      </w:r>
      <w:r w:rsidR="00342D7E">
        <w:t> </w:t>
      </w:r>
      <w:r w:rsidR="00342D7E" w:rsidRPr="00342D7E">
        <w:t>tyt</w:t>
      </w:r>
      <w:r w:rsidRPr="00342D7E">
        <w:t>ułu ryzyka bankowego,</w:t>
      </w:r>
      <w:r w:rsidR="00342D7E" w:rsidRPr="00342D7E">
        <w:t xml:space="preserve"> o</w:t>
      </w:r>
      <w:r w:rsidR="00342D7E">
        <w:t> </w:t>
      </w:r>
      <w:r w:rsidR="00342D7E" w:rsidRPr="00342D7E">
        <w:t>ile</w:t>
      </w:r>
      <w:r w:rsidRPr="00342D7E">
        <w:t xml:space="preserve"> wpływają one na wartość bilansową; </w:t>
      </w:r>
    </w:p>
    <w:p w:rsidR="00D35B0C" w:rsidRPr="00342D7E" w:rsidRDefault="00A834F1" w:rsidP="00056B6F">
      <w:pPr>
        <w:pStyle w:val="Baseparagraphnumbered"/>
        <w:numPr>
          <w:ilvl w:val="1"/>
          <w:numId w:val="30"/>
        </w:numPr>
        <w:ind w:left="1134"/>
      </w:pPr>
      <w:proofErr w:type="gramStart"/>
      <w:r w:rsidRPr="00342D7E">
        <w:t>zgodnie</w:t>
      </w:r>
      <w:proofErr w:type="gramEnd"/>
      <w:r w:rsidR="00342D7E" w:rsidRPr="00342D7E">
        <w:t xml:space="preserve"> z</w:t>
      </w:r>
      <w:r w:rsidR="00342D7E">
        <w:t> </w:t>
      </w:r>
      <w:r w:rsidR="00342D7E" w:rsidRPr="00342D7E">
        <w:t>kra</w:t>
      </w:r>
      <w:r w:rsidRPr="00342D7E">
        <w:t>jowymi ogólnie przyjętymi zasadami rachunkowości opartymi na BAD wartość bilansowa brutto instrumentów dłużnych sklasyfikowanych jako „Aktywa finansowe niebędące instrumentami pochodnymi nieprzeznaczone do obrotu wyceniane według wartości godziwej przez kapitały” zależy od tego, czy te aktywa finansowe podlegają wymogom</w:t>
      </w:r>
      <w:r w:rsidR="00342D7E" w:rsidRPr="00342D7E">
        <w:t xml:space="preserve"> z</w:t>
      </w:r>
      <w:r w:rsidR="00342D7E">
        <w:t> </w:t>
      </w:r>
      <w:r w:rsidR="00342D7E" w:rsidRPr="00342D7E">
        <w:t>zak</w:t>
      </w:r>
      <w:r w:rsidRPr="00342D7E">
        <w:t>resu utraty wartości. Jeżeli wspomniane aktywa podlegają wymogom</w:t>
      </w:r>
      <w:r w:rsidR="00342D7E" w:rsidRPr="00342D7E">
        <w:t xml:space="preserve"> z</w:t>
      </w:r>
      <w:r w:rsidR="00342D7E">
        <w:t> </w:t>
      </w:r>
      <w:r w:rsidR="00342D7E" w:rsidRPr="00342D7E">
        <w:t>zak</w:t>
      </w:r>
      <w:r w:rsidRPr="00342D7E">
        <w:t>resu utraty wartości, wartość bilansową brutto stanowi wartość bilansowa przed korektą</w:t>
      </w:r>
      <w:r w:rsidR="00342D7E" w:rsidRPr="00342D7E">
        <w:t xml:space="preserve"> o</w:t>
      </w:r>
      <w:r w:rsidR="00342D7E">
        <w:t> </w:t>
      </w:r>
      <w:r w:rsidR="00342D7E" w:rsidRPr="00342D7E">
        <w:t>wsz</w:t>
      </w:r>
      <w:r w:rsidRPr="00342D7E">
        <w:t>elką skumulowaną utratę wartości, stosując wymogi określone</w:t>
      </w:r>
      <w:r w:rsidR="00342D7E" w:rsidRPr="00342D7E">
        <w:t xml:space="preserve"> w</w:t>
      </w:r>
      <w:r w:rsidR="00342D7E">
        <w:t> </w:t>
      </w:r>
      <w:r w:rsidR="00342D7E" w:rsidRPr="00342D7E">
        <w:t>lit</w:t>
      </w:r>
      <w:r w:rsidRPr="00342D7E">
        <w:t>.</w:t>
      </w:r>
      <w:r w:rsidR="00342D7E" w:rsidRPr="00342D7E">
        <w:t> </w:t>
      </w:r>
      <w:r w:rsidRPr="00342D7E">
        <w:t>c) powyżej</w:t>
      </w:r>
      <w:r w:rsidR="00342D7E" w:rsidRPr="00342D7E">
        <w:t xml:space="preserve"> w</w:t>
      </w:r>
      <w:r w:rsidR="00342D7E">
        <w:t> </w:t>
      </w:r>
      <w:r w:rsidR="00342D7E" w:rsidRPr="00342D7E">
        <w:t>odn</w:t>
      </w:r>
      <w:r w:rsidRPr="00342D7E">
        <w:t>iesieniu do aktywów dotkniętych utratą wartości oraz aktywów niedotkniętych utratą wartości, bądź</w:t>
      </w:r>
      <w:r w:rsidR="00342D7E" w:rsidRPr="00342D7E">
        <w:t xml:space="preserve"> o</w:t>
      </w:r>
      <w:r w:rsidR="00342D7E">
        <w:t> </w:t>
      </w:r>
      <w:r w:rsidR="00342D7E" w:rsidRPr="00342D7E">
        <w:t>sku</w:t>
      </w:r>
      <w:r w:rsidRPr="00342D7E">
        <w:t>mulowaną kwotę korekty wartości godziwej, którą uznano za odpis aktualizujący</w:t>
      </w:r>
      <w:r w:rsidR="00342D7E" w:rsidRPr="00342D7E">
        <w:t xml:space="preserve"> z</w:t>
      </w:r>
      <w:r w:rsidR="00342D7E">
        <w:t> </w:t>
      </w:r>
      <w:r w:rsidR="00342D7E" w:rsidRPr="00342D7E">
        <w:t>tyt</w:t>
      </w:r>
      <w:r w:rsidRPr="00342D7E">
        <w:t>ułu utraty wartości. Jeżeli te aktywa finansowe nie podlegają wymogom</w:t>
      </w:r>
      <w:r w:rsidR="00342D7E" w:rsidRPr="00342D7E">
        <w:t xml:space="preserve"> z</w:t>
      </w:r>
      <w:r w:rsidR="00342D7E">
        <w:t> </w:t>
      </w:r>
      <w:r w:rsidR="00342D7E" w:rsidRPr="00342D7E">
        <w:t>zak</w:t>
      </w:r>
      <w:r w:rsidRPr="00342D7E">
        <w:t>resu utraty wartości, wartość bilansową brutto tych aktywów finansowych stanowi wartość godziwa</w:t>
      </w:r>
      <w:r w:rsidR="00342D7E" w:rsidRPr="00342D7E">
        <w:t xml:space="preserve"> w</w:t>
      </w:r>
      <w:r w:rsidR="00342D7E">
        <w:t> </w:t>
      </w:r>
      <w:r w:rsidR="00342D7E" w:rsidRPr="00342D7E">
        <w:t>prz</w:t>
      </w:r>
      <w:r w:rsidRPr="00342D7E">
        <w:t>ypadku ekspozycji obsługiwanych,</w:t>
      </w:r>
      <w:r w:rsidR="00342D7E" w:rsidRPr="00342D7E">
        <w:t xml:space="preserve"> a</w:t>
      </w:r>
      <w:r w:rsidR="00342D7E">
        <w:t> </w:t>
      </w:r>
      <w:r w:rsidR="00342D7E" w:rsidRPr="00342D7E">
        <w:t>w</w:t>
      </w:r>
      <w:r w:rsidR="00342D7E">
        <w:t> </w:t>
      </w:r>
      <w:r w:rsidR="00342D7E" w:rsidRPr="00342D7E">
        <w:t>prz</w:t>
      </w:r>
      <w:r w:rsidRPr="00342D7E">
        <w:t>ypadku ekspozycji nieobsługiwanych – wartość godziwa po ponownym doliczeniu wszelkich skumulowanych negatywnych korekt wartości godziwej ze względu na ryzyko kredytowe;</w:t>
      </w:r>
    </w:p>
    <w:p w:rsidR="00D35B0C" w:rsidRPr="00342D7E" w:rsidRDefault="00A834F1" w:rsidP="00056B6F">
      <w:pPr>
        <w:pStyle w:val="Baseparagraphnumbered"/>
        <w:numPr>
          <w:ilvl w:val="1"/>
          <w:numId w:val="30"/>
        </w:numPr>
        <w:ind w:left="1134"/>
      </w:pPr>
      <w:proofErr w:type="gramStart"/>
      <w:r w:rsidRPr="00342D7E">
        <w:lastRenderedPageBreak/>
        <w:t>zgodnie</w:t>
      </w:r>
      <w:proofErr w:type="gramEnd"/>
      <w:r w:rsidR="00342D7E" w:rsidRPr="00342D7E">
        <w:t xml:space="preserve"> z</w:t>
      </w:r>
      <w:r w:rsidR="00342D7E">
        <w:t> </w:t>
      </w:r>
      <w:r w:rsidR="00342D7E" w:rsidRPr="00342D7E">
        <w:t>kra</w:t>
      </w:r>
      <w:r w:rsidRPr="00342D7E">
        <w:t>jowymi ogólnie przyjętymi zasadami rachunkowości opartymi na BAD wartość bilansową brutto instrumentów dłużnych wycenionych według LOCOM</w:t>
      </w:r>
      <w:r w:rsidR="00342D7E" w:rsidRPr="00342D7E">
        <w:t xml:space="preserve"> w</w:t>
      </w:r>
      <w:r w:rsidR="00342D7E">
        <w:t> </w:t>
      </w:r>
      <w:r w:rsidR="00342D7E" w:rsidRPr="00342D7E">
        <w:t>try</w:t>
      </w:r>
      <w:r w:rsidRPr="00342D7E">
        <w:t>bie bezwarunkowym lub warunkowym stanowi cena nabycia, jeżeli</w:t>
      </w:r>
      <w:r w:rsidR="00342D7E" w:rsidRPr="00342D7E">
        <w:t xml:space="preserve"> w</w:t>
      </w:r>
      <w:r w:rsidR="00342D7E">
        <w:t> </w:t>
      </w:r>
      <w:r w:rsidR="00342D7E" w:rsidRPr="00342D7E">
        <w:t>okr</w:t>
      </w:r>
      <w:r w:rsidRPr="00342D7E">
        <w:t>esie sprawozdawczym wyceniano je według ceny nabycia. Jeżeli te instrumenty dłużne wycenia się według wartości rynkowej, wartość bilansową brutto stanowi wartość rynkowa przed korektą</w:t>
      </w:r>
      <w:r w:rsidR="00342D7E" w:rsidRPr="00342D7E">
        <w:t xml:space="preserve"> o</w:t>
      </w:r>
      <w:r w:rsidR="00342D7E">
        <w:t> </w:t>
      </w:r>
      <w:r w:rsidR="00342D7E" w:rsidRPr="00342D7E">
        <w:t>kor</w:t>
      </w:r>
      <w:r w:rsidRPr="00342D7E">
        <w:t xml:space="preserve">ekty wartości spowodowane ryzykiem kredytowym; </w:t>
      </w:r>
    </w:p>
    <w:p w:rsidR="00D35B0C" w:rsidRPr="00342D7E" w:rsidRDefault="00A834F1" w:rsidP="00056B6F">
      <w:pPr>
        <w:pStyle w:val="Baseparagraphnumbered"/>
        <w:numPr>
          <w:ilvl w:val="1"/>
          <w:numId w:val="30"/>
        </w:numPr>
        <w:ind w:left="1134"/>
      </w:pPr>
      <w:proofErr w:type="gramStart"/>
      <w:r w:rsidRPr="00342D7E">
        <w:t>zgodnie</w:t>
      </w:r>
      <w:proofErr w:type="gramEnd"/>
      <w:r w:rsidR="00342D7E" w:rsidRPr="00342D7E">
        <w:t xml:space="preserve"> z</w:t>
      </w:r>
      <w:r w:rsidR="00342D7E">
        <w:t> </w:t>
      </w:r>
      <w:r w:rsidR="00342D7E" w:rsidRPr="00342D7E">
        <w:t>kra</w:t>
      </w:r>
      <w:r w:rsidRPr="00342D7E">
        <w:t>jowymi ogólnie przyjętymi zasadami rachunkowości opartymi na BAD</w:t>
      </w:r>
      <w:r w:rsidR="00342D7E" w:rsidRPr="00342D7E">
        <w:t xml:space="preserve"> w</w:t>
      </w:r>
      <w:r w:rsidR="00342D7E">
        <w:t> </w:t>
      </w:r>
      <w:r w:rsidR="00342D7E" w:rsidRPr="00342D7E">
        <w:t>odn</w:t>
      </w:r>
      <w:r w:rsidRPr="00342D7E">
        <w:t>iesieniu do instrumentów dłużnych zgłaszanych</w:t>
      </w:r>
      <w:r w:rsidR="00342D7E" w:rsidRPr="00342D7E">
        <w:t xml:space="preserve"> w</w:t>
      </w:r>
      <w:r w:rsidR="00342D7E">
        <w:t> </w:t>
      </w:r>
      <w:r w:rsidR="00342D7E" w:rsidRPr="00342D7E">
        <w:t>poz</w:t>
      </w:r>
      <w:r w:rsidRPr="00342D7E">
        <w:t>ycji „Inne aktywa finansowe niebędące instrumentami pochodnymi nieprzeznaczone do obrotu” według metod wyceny innych niż LOCOM wartość bilansową brutto stanowi wartość bilansowa przed uwzględnieniem jakichkolwiek korekt wyceny, które kwalifikują się jako utrata wartości;</w:t>
      </w:r>
    </w:p>
    <w:p w:rsidR="00D35B0C" w:rsidRPr="00342D7E" w:rsidRDefault="00A834F1" w:rsidP="00056B6F">
      <w:pPr>
        <w:pStyle w:val="Baseparagraphnumbered"/>
        <w:numPr>
          <w:ilvl w:val="1"/>
          <w:numId w:val="30"/>
        </w:numPr>
        <w:ind w:left="1134"/>
      </w:pPr>
      <w:proofErr w:type="gramStart"/>
      <w:r w:rsidRPr="00342D7E">
        <w:t>w</w:t>
      </w:r>
      <w:proofErr w:type="gramEnd"/>
      <w:r w:rsidRPr="00342D7E">
        <w:t xml:space="preserve"> przypadku aktywów finansowych</w:t>
      </w:r>
      <w:r w:rsidR="00342D7E" w:rsidRPr="00342D7E">
        <w:t xml:space="preserve"> z</w:t>
      </w:r>
      <w:r w:rsidR="00342D7E">
        <w:t> </w:t>
      </w:r>
      <w:r w:rsidR="00342D7E" w:rsidRPr="00342D7E">
        <w:t>prz</w:t>
      </w:r>
      <w:r w:rsidRPr="00342D7E">
        <w:t>eznaczeniem do obrotu zgodnie</w:t>
      </w:r>
      <w:r w:rsidR="00342D7E" w:rsidRPr="00342D7E">
        <w:t xml:space="preserve"> z</w:t>
      </w:r>
      <w:r w:rsidR="00342D7E">
        <w:t> </w:t>
      </w:r>
      <w:r w:rsidR="00342D7E" w:rsidRPr="00342D7E">
        <w:t>ogó</w:t>
      </w:r>
      <w:r w:rsidRPr="00342D7E">
        <w:t>lnie przyjętymi zasadami rachunkowości opartymi na BAD lub aktywów finansowych przeznaczonych do obrotu zgodnie z MSSF wartość bilansową brutto stanowi wartość godziwa. Jeżeli</w:t>
      </w:r>
      <w:r w:rsidR="00342D7E" w:rsidRPr="00342D7E">
        <w:t xml:space="preserve"> z</w:t>
      </w:r>
      <w:r w:rsidR="00342D7E">
        <w:t> </w:t>
      </w:r>
      <w:r w:rsidR="00342D7E" w:rsidRPr="00342D7E">
        <w:t>ogó</w:t>
      </w:r>
      <w:r w:rsidRPr="00342D7E">
        <w:t>lnie przyjętych zasad rachunkowości opartych na BAD wynika wymóg redukcji wartości</w:t>
      </w:r>
      <w:r w:rsidR="00342D7E" w:rsidRPr="00342D7E">
        <w:t xml:space="preserve"> w</w:t>
      </w:r>
      <w:r w:rsidR="00342D7E">
        <w:t> </w:t>
      </w:r>
      <w:r w:rsidR="00342D7E" w:rsidRPr="00342D7E">
        <w:t>odn</w:t>
      </w:r>
      <w:r w:rsidRPr="00342D7E">
        <w:t>iesieniu do instrumentów przeznaczonych do obrotu</w:t>
      </w:r>
      <w:r w:rsidR="00342D7E" w:rsidRPr="00342D7E">
        <w:t xml:space="preserve"> i</w:t>
      </w:r>
      <w:r w:rsidR="00342D7E">
        <w:t> </w:t>
      </w:r>
      <w:r w:rsidR="00342D7E" w:rsidRPr="00342D7E">
        <w:t>wyc</w:t>
      </w:r>
      <w:r w:rsidRPr="00342D7E">
        <w:t>enianych według wartości godziwej, wartość bilansową instrumentów finansowych stanowi wartość godziwa przed wspomnianymi redukcjami wartości.</w:t>
      </w:r>
    </w:p>
    <w:p w:rsidR="00D35B0C" w:rsidRPr="00342D7E" w:rsidRDefault="00A834F1">
      <w:pPr>
        <w:pStyle w:val="sub-subtitlenumbered"/>
        <w:jc w:val="both"/>
      </w:pPr>
      <w:bookmarkStart w:id="10" w:name="_Toc31019112"/>
      <w:r w:rsidRPr="00342D7E">
        <w:t>Zobowiązania finansowe</w:t>
      </w:r>
      <w:bookmarkEnd w:id="10"/>
    </w:p>
    <w:p w:rsidR="00D35B0C" w:rsidRPr="00342D7E" w:rsidRDefault="00A834F1">
      <w:pPr>
        <w:pStyle w:val="Baseparagraphnumbered"/>
      </w:pPr>
      <w:r w:rsidRPr="00342D7E">
        <w:t>Zobowiązania finansowe dzieli się pomiędzy następujące kategorie instrumentów: „Instrumenty pochodne”, „Pozycje krótkie”, „Depozyty”, „Wyemitowane dłużne papiery wartościowe” oraz „Inne zobowiązania finansowe”.</w:t>
      </w:r>
    </w:p>
    <w:p w:rsidR="00D35B0C" w:rsidRPr="00342D7E" w:rsidRDefault="00A834F1">
      <w:pPr>
        <w:pStyle w:val="Baseparagraphnumbered"/>
      </w:pPr>
      <w:r w:rsidRPr="00342D7E">
        <w:t>Do celów załączników III i IV oraz niniejszego załącznika, „depozyty” definiuje się jako depozyty zgodnie</w:t>
      </w:r>
      <w:r w:rsidR="00342D7E" w:rsidRPr="00342D7E">
        <w:t xml:space="preserve"> z</w:t>
      </w:r>
      <w:r w:rsidR="00342D7E">
        <w:t> </w:t>
      </w:r>
      <w:r w:rsidR="00342D7E" w:rsidRPr="00342D7E">
        <w:t>tab</w:t>
      </w:r>
      <w:r w:rsidRPr="00342D7E">
        <w:t>elą załącznika II część 2 do rozporządzenia EBC</w:t>
      </w:r>
      <w:r w:rsidR="00342D7E" w:rsidRPr="00342D7E">
        <w:t xml:space="preserve"> w</w:t>
      </w:r>
      <w:r w:rsidR="00342D7E">
        <w:t> </w:t>
      </w:r>
      <w:r w:rsidR="00342D7E" w:rsidRPr="00342D7E">
        <w:t>spr</w:t>
      </w:r>
      <w:r w:rsidRPr="00342D7E">
        <w:t xml:space="preserve">awie pozycji bilansowych. </w:t>
      </w:r>
    </w:p>
    <w:p w:rsidR="00D35B0C" w:rsidRPr="00342D7E" w:rsidRDefault="00A834F1">
      <w:pPr>
        <w:pStyle w:val="Baseparagraphnumbered"/>
      </w:pPr>
      <w:r w:rsidRPr="00342D7E">
        <w:t xml:space="preserve"> „Wyemitowane dłużne papiery wartościowe” są to wyemitowane przez instytucję instrumenty dłużne niebędące depozytami zgodnie</w:t>
      </w:r>
      <w:r w:rsidR="00342D7E" w:rsidRPr="00342D7E">
        <w:t xml:space="preserve"> z</w:t>
      </w:r>
      <w:r w:rsidR="00342D7E">
        <w:t> </w:t>
      </w:r>
      <w:r w:rsidR="00342D7E" w:rsidRPr="00342D7E">
        <w:t>tab</w:t>
      </w:r>
      <w:r w:rsidRPr="00342D7E">
        <w:t>elą załącznika II część 2 do rozporządzenia EBC</w:t>
      </w:r>
      <w:r w:rsidR="00342D7E" w:rsidRPr="00342D7E">
        <w:t xml:space="preserve"> w</w:t>
      </w:r>
      <w:r w:rsidR="00342D7E">
        <w:t> </w:t>
      </w:r>
      <w:r w:rsidR="00342D7E" w:rsidRPr="00342D7E">
        <w:t>spr</w:t>
      </w:r>
      <w:r w:rsidRPr="00342D7E">
        <w:t>awie pozycji bilansowych.</w:t>
      </w:r>
    </w:p>
    <w:p w:rsidR="00D35B0C" w:rsidRPr="00342D7E" w:rsidRDefault="00A834F1">
      <w:pPr>
        <w:pStyle w:val="Baseparagraphnumbered"/>
      </w:pPr>
      <w:r w:rsidRPr="00342D7E">
        <w:t>„Inne zobowiązania finansowe” obejmują wszystkie zobowiązania finansowe niebędące instrumentami pochodnymi, pozycjami krótkimi, depozytami</w:t>
      </w:r>
      <w:r w:rsidR="00342D7E" w:rsidRPr="00342D7E">
        <w:t xml:space="preserve"> i</w:t>
      </w:r>
      <w:r w:rsidR="00342D7E">
        <w:t> </w:t>
      </w:r>
      <w:r w:rsidR="00342D7E" w:rsidRPr="00342D7E">
        <w:t>wye</w:t>
      </w:r>
      <w:r w:rsidRPr="00342D7E">
        <w:t xml:space="preserve">mitowanymi dłużnymi papierami wartościowymi. </w:t>
      </w:r>
    </w:p>
    <w:p w:rsidR="00D35B0C" w:rsidRPr="00342D7E" w:rsidRDefault="00A834F1">
      <w:pPr>
        <w:pStyle w:val="Baseparagraphnumbered"/>
      </w:pPr>
      <w:r w:rsidRPr="00342D7E">
        <w:t>Zgodnie z MSSF „Inne zobowiązania finansowe” obejmują udzielone gwarancje finansowe, jeżeli są one wyceniane według wartości godziwej przez wynik finansowy (MSSF 9 pkt</w:t>
      </w:r>
      <w:r w:rsidR="00342D7E" w:rsidRPr="00342D7E">
        <w:t> </w:t>
      </w:r>
      <w:r w:rsidRPr="00342D7E">
        <w:t>4.2.1 lit.</w:t>
      </w:r>
      <w:r w:rsidR="00342D7E" w:rsidRPr="00342D7E">
        <w:t> </w:t>
      </w:r>
      <w:r w:rsidRPr="00342D7E">
        <w:t>a)) albo według wartości początkowej pomniejszonej</w:t>
      </w:r>
      <w:r w:rsidR="00342D7E" w:rsidRPr="00342D7E">
        <w:t xml:space="preserve"> o</w:t>
      </w:r>
      <w:r w:rsidR="00342D7E">
        <w:t> </w:t>
      </w:r>
      <w:r w:rsidR="00342D7E" w:rsidRPr="00342D7E">
        <w:t>sku</w:t>
      </w:r>
      <w:r w:rsidRPr="00342D7E">
        <w:t>mulowane odpisy amortyzacyjne (MSSF 9 pkt</w:t>
      </w:r>
      <w:r w:rsidR="00342D7E" w:rsidRPr="00342D7E">
        <w:t> </w:t>
      </w:r>
      <w:r w:rsidRPr="00342D7E">
        <w:t>4.2.1 lit.</w:t>
      </w:r>
      <w:r w:rsidR="00342D7E" w:rsidRPr="00342D7E">
        <w:t> </w:t>
      </w:r>
      <w:r w:rsidRPr="00342D7E">
        <w:t>c) ppkt (ii)). Udzielone zobowiązania do udzielenia pożyczki zgłasza się jako „Inne zobowiązania finansowe”,</w:t>
      </w:r>
      <w:r w:rsidR="00342D7E" w:rsidRPr="00342D7E">
        <w:t xml:space="preserve"> w</w:t>
      </w:r>
      <w:r w:rsidR="00342D7E">
        <w:t> </w:t>
      </w:r>
      <w:r w:rsidR="00342D7E" w:rsidRPr="00342D7E">
        <w:t>prz</w:t>
      </w:r>
      <w:r w:rsidRPr="00342D7E">
        <w:t xml:space="preserve">ypadku gdy zostały one wyznaczone </w:t>
      </w:r>
      <w:r w:rsidRPr="00342D7E">
        <w:lastRenderedPageBreak/>
        <w:t>jako zobowiązania finansowe wyceniane według wartości godziwej przez wynik finansowy (MSSF 9 pkt</w:t>
      </w:r>
      <w:r w:rsidR="00342D7E" w:rsidRPr="00342D7E">
        <w:t> </w:t>
      </w:r>
      <w:r w:rsidRPr="00342D7E">
        <w:t>4.2.1 lit.</w:t>
      </w:r>
      <w:r w:rsidR="00342D7E" w:rsidRPr="00342D7E">
        <w:t> </w:t>
      </w:r>
      <w:r w:rsidRPr="00342D7E">
        <w:t>a)) lub</w:t>
      </w:r>
      <w:r w:rsidR="00342D7E" w:rsidRPr="00342D7E">
        <w:t xml:space="preserve"> w</w:t>
      </w:r>
      <w:r w:rsidR="00342D7E">
        <w:t> </w:t>
      </w:r>
      <w:r w:rsidR="00342D7E" w:rsidRPr="00342D7E">
        <w:t>prz</w:t>
      </w:r>
      <w:r w:rsidRPr="00342D7E">
        <w:t>ypadku gdy stanowią one zobowiązania do udzielenia pożyczki poniżej rynkowej stopy procentowej (MSSF 9 pkt</w:t>
      </w:r>
      <w:r w:rsidR="00342D7E" w:rsidRPr="00342D7E">
        <w:t> </w:t>
      </w:r>
      <w:r w:rsidRPr="00342D7E">
        <w:t>2.3 lit.</w:t>
      </w:r>
      <w:r w:rsidR="00342D7E" w:rsidRPr="00342D7E">
        <w:t> </w:t>
      </w:r>
      <w:r w:rsidRPr="00342D7E">
        <w:t>c) i MSSF 9 pkt</w:t>
      </w:r>
      <w:r w:rsidR="00342D7E" w:rsidRPr="00342D7E">
        <w:t> </w:t>
      </w:r>
      <w:r w:rsidRPr="00342D7E">
        <w:t>4.2.1 lit.</w:t>
      </w:r>
      <w:r w:rsidR="00342D7E" w:rsidRPr="00342D7E">
        <w:t> </w:t>
      </w:r>
      <w:r w:rsidRPr="00342D7E">
        <w:t xml:space="preserve">d)). </w:t>
      </w:r>
    </w:p>
    <w:p w:rsidR="00D35B0C" w:rsidRPr="00342D7E" w:rsidRDefault="00A834F1">
      <w:pPr>
        <w:pStyle w:val="Baseparagraphnumbered"/>
      </w:pPr>
      <w:r w:rsidRPr="00342D7E">
        <w:t>Jeżeli udzielone zobowiązania do udzielenia pożyczki, gwarancje finansowe</w:t>
      </w:r>
      <w:r w:rsidR="00342D7E" w:rsidRPr="00342D7E">
        <w:t xml:space="preserve"> i</w:t>
      </w:r>
      <w:r w:rsidR="00342D7E">
        <w:t> </w:t>
      </w:r>
      <w:r w:rsidR="00342D7E" w:rsidRPr="00342D7E">
        <w:t>inn</w:t>
      </w:r>
      <w:r w:rsidRPr="00342D7E">
        <w:t>e zobowiązania wycenia się według wartości godziwej przez wynik finansowy, każdą zmianę wartości godziwej,</w:t>
      </w:r>
      <w:r w:rsidR="00342D7E" w:rsidRPr="00342D7E">
        <w:t xml:space="preserve"> w</w:t>
      </w:r>
      <w:r w:rsidR="00342D7E">
        <w:t> </w:t>
      </w:r>
      <w:r w:rsidR="00342D7E" w:rsidRPr="00342D7E">
        <w:t>tym</w:t>
      </w:r>
      <w:r w:rsidRPr="00342D7E">
        <w:t xml:space="preserve"> zmiany wynikające</w:t>
      </w:r>
      <w:r w:rsidR="00342D7E" w:rsidRPr="00342D7E">
        <w:t xml:space="preserve"> z</w:t>
      </w:r>
      <w:r w:rsidR="00342D7E">
        <w:t> </w:t>
      </w:r>
      <w:r w:rsidR="00342D7E" w:rsidRPr="00342D7E">
        <w:t>ryz</w:t>
      </w:r>
      <w:r w:rsidRPr="00342D7E">
        <w:t>yka kredytowego, zgłasza się jako „inne zobowiązania finansowe”,</w:t>
      </w:r>
      <w:r w:rsidR="00342D7E" w:rsidRPr="00342D7E">
        <w:t xml:space="preserve"> a</w:t>
      </w:r>
      <w:r w:rsidR="00342D7E">
        <w:t> </w:t>
      </w:r>
      <w:r w:rsidR="00342D7E" w:rsidRPr="00342D7E">
        <w:t>nie</w:t>
      </w:r>
      <w:r w:rsidRPr="00342D7E">
        <w:t xml:space="preserve"> jako rezerwy na „Udzielone zobowiązania</w:t>
      </w:r>
      <w:r w:rsidR="00342D7E" w:rsidRPr="00342D7E">
        <w:t xml:space="preserve"> i</w:t>
      </w:r>
      <w:r w:rsidR="00342D7E">
        <w:t> </w:t>
      </w:r>
      <w:r w:rsidR="00342D7E" w:rsidRPr="00342D7E">
        <w:t>gwa</w:t>
      </w:r>
      <w:r w:rsidRPr="00342D7E">
        <w:t xml:space="preserve">rancje”. </w:t>
      </w:r>
    </w:p>
    <w:p w:rsidR="00D35B0C" w:rsidRPr="00342D7E" w:rsidRDefault="00A834F1">
      <w:pPr>
        <w:pStyle w:val="Baseparagraphnumbered"/>
      </w:pPr>
      <w:r w:rsidRPr="00342D7E">
        <w:t>„Inne zobowiązania finansowe” obejmują również dywidendy do wypłacenia, kwoty przypadające do zapłaty</w:t>
      </w:r>
      <w:r w:rsidR="00342D7E" w:rsidRPr="00342D7E">
        <w:t xml:space="preserve"> z</w:t>
      </w:r>
      <w:r w:rsidR="00342D7E">
        <w:t> </w:t>
      </w:r>
      <w:r w:rsidR="00342D7E" w:rsidRPr="00342D7E">
        <w:t>tyt</w:t>
      </w:r>
      <w:r w:rsidRPr="00342D7E">
        <w:t>ułu pozycji przejściowych</w:t>
      </w:r>
      <w:r w:rsidR="00342D7E" w:rsidRPr="00342D7E">
        <w:t xml:space="preserve"> i</w:t>
      </w:r>
      <w:r w:rsidR="00342D7E">
        <w:t> </w:t>
      </w:r>
      <w:r w:rsidR="00342D7E" w:rsidRPr="00342D7E">
        <w:t>tra</w:t>
      </w:r>
      <w:r w:rsidRPr="00342D7E">
        <w:t>nzytowych oraz kwoty przypadające do zapłaty</w:t>
      </w:r>
      <w:r w:rsidR="00342D7E" w:rsidRPr="00342D7E">
        <w:t xml:space="preserve"> z</w:t>
      </w:r>
      <w:r w:rsidR="00342D7E">
        <w:t> </w:t>
      </w:r>
      <w:r w:rsidR="00342D7E" w:rsidRPr="00342D7E">
        <w:t>tyt</w:t>
      </w:r>
      <w:r w:rsidRPr="00342D7E">
        <w:t>ułu przyszłych rozliczeń transakcji obejmujących papiery wartościowe lub transakcji walutowych,</w:t>
      </w:r>
      <w:r w:rsidR="00342D7E" w:rsidRPr="00342D7E">
        <w:t xml:space="preserve"> w</w:t>
      </w:r>
      <w:r w:rsidR="00342D7E">
        <w:t> </w:t>
      </w:r>
      <w:r w:rsidR="00342D7E" w:rsidRPr="00342D7E">
        <w:t>prz</w:t>
      </w:r>
      <w:r w:rsidRPr="00342D7E">
        <w:t>ypadku gdy zobowiązania</w:t>
      </w:r>
      <w:r w:rsidR="00342D7E" w:rsidRPr="00342D7E">
        <w:t xml:space="preserve"> z</w:t>
      </w:r>
      <w:r w:rsidR="00342D7E">
        <w:t> </w:t>
      </w:r>
      <w:r w:rsidR="00342D7E" w:rsidRPr="00342D7E">
        <w:t>tyt</w:t>
      </w:r>
      <w:r w:rsidRPr="00342D7E">
        <w:t>ułu transakcji ujęto przed terminem płatności.</w:t>
      </w:r>
    </w:p>
    <w:p w:rsidR="00D35B0C" w:rsidRPr="00342D7E" w:rsidRDefault="00A834F1" w:rsidP="00056B6F">
      <w:pPr>
        <w:pStyle w:val="subtitlenumbered"/>
        <w:numPr>
          <w:ilvl w:val="0"/>
          <w:numId w:val="11"/>
        </w:numPr>
        <w:jc w:val="both"/>
      </w:pPr>
      <w:bookmarkStart w:id="11" w:name="_Toc31019113"/>
      <w:r w:rsidRPr="00342D7E">
        <w:t>Podział według kontrahentów</w:t>
      </w:r>
      <w:bookmarkEnd w:id="11"/>
    </w:p>
    <w:p w:rsidR="00D35B0C" w:rsidRPr="00342D7E" w:rsidRDefault="00A834F1">
      <w:pPr>
        <w:pStyle w:val="Baseparagraphnumbered"/>
      </w:pPr>
      <w:r w:rsidRPr="00342D7E">
        <w:t>W przypadku gdy wymagany jest podział według kontrahentów, stosuje się następujące sektory kontrahentów:</w:t>
      </w:r>
    </w:p>
    <w:p w:rsidR="00D35B0C" w:rsidRPr="00342D7E" w:rsidRDefault="00A834F1" w:rsidP="00056B6F">
      <w:pPr>
        <w:numPr>
          <w:ilvl w:val="0"/>
          <w:numId w:val="31"/>
        </w:numPr>
        <w:tabs>
          <w:tab w:val="clear" w:pos="360"/>
        </w:tabs>
        <w:ind w:left="1134"/>
        <w:jc w:val="both"/>
        <w:rPr>
          <w:rFonts w:ascii="Times New Roman" w:hAnsi="Times New Roman"/>
          <w:sz w:val="24"/>
          <w:szCs w:val="24"/>
        </w:rPr>
      </w:pPr>
      <w:proofErr w:type="gramStart"/>
      <w:r w:rsidRPr="00342D7E">
        <w:rPr>
          <w:rFonts w:ascii="Times New Roman" w:hAnsi="Times New Roman"/>
          <w:sz w:val="24"/>
          <w:szCs w:val="24"/>
        </w:rPr>
        <w:t>banki</w:t>
      </w:r>
      <w:proofErr w:type="gramEnd"/>
      <w:r w:rsidRPr="00342D7E">
        <w:rPr>
          <w:rFonts w:ascii="Times New Roman" w:hAnsi="Times New Roman"/>
          <w:sz w:val="24"/>
          <w:szCs w:val="24"/>
        </w:rPr>
        <w:t xml:space="preserve"> centralne;</w:t>
      </w:r>
    </w:p>
    <w:p w:rsidR="00D35B0C" w:rsidRPr="00342D7E" w:rsidRDefault="00A834F1" w:rsidP="00056B6F">
      <w:pPr>
        <w:numPr>
          <w:ilvl w:val="0"/>
          <w:numId w:val="31"/>
        </w:numPr>
        <w:tabs>
          <w:tab w:val="clear" w:pos="360"/>
        </w:tabs>
        <w:ind w:left="1134"/>
        <w:jc w:val="both"/>
        <w:rPr>
          <w:rFonts w:ascii="Times New Roman" w:hAnsi="Times New Roman"/>
          <w:sz w:val="24"/>
          <w:szCs w:val="24"/>
        </w:rPr>
      </w:pPr>
      <w:proofErr w:type="gramStart"/>
      <w:r w:rsidRPr="00342D7E">
        <w:rPr>
          <w:rFonts w:ascii="Times New Roman" w:hAnsi="Times New Roman"/>
          <w:sz w:val="24"/>
          <w:szCs w:val="24"/>
        </w:rPr>
        <w:t>sektor</w:t>
      </w:r>
      <w:proofErr w:type="gramEnd"/>
      <w:r w:rsidRPr="00342D7E">
        <w:rPr>
          <w:rFonts w:ascii="Times New Roman" w:hAnsi="Times New Roman"/>
          <w:sz w:val="24"/>
          <w:szCs w:val="24"/>
        </w:rPr>
        <w:t xml:space="preserve"> instytucji rządowych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sam</w:t>
      </w:r>
      <w:r w:rsidRPr="00342D7E">
        <w:rPr>
          <w:rFonts w:ascii="Times New Roman" w:hAnsi="Times New Roman"/>
          <w:sz w:val="24"/>
          <w:szCs w:val="24"/>
        </w:rPr>
        <w:t>orządowych: rządy centralne, krajowe lub regionalne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sam</w:t>
      </w:r>
      <w:r w:rsidRPr="00342D7E">
        <w:rPr>
          <w:rFonts w:ascii="Times New Roman" w:hAnsi="Times New Roman"/>
          <w:sz w:val="24"/>
          <w:szCs w:val="24"/>
        </w:rPr>
        <w:t>orządy lokalne,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tym</w:t>
      </w:r>
      <w:r w:rsidRPr="00342D7E">
        <w:rPr>
          <w:rFonts w:ascii="Times New Roman" w:hAnsi="Times New Roman"/>
          <w:sz w:val="24"/>
          <w:szCs w:val="24"/>
        </w:rPr>
        <w:t xml:space="preserve"> organy administracyjne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jed</w:t>
      </w:r>
      <w:r w:rsidRPr="00342D7E">
        <w:rPr>
          <w:rFonts w:ascii="Times New Roman" w:hAnsi="Times New Roman"/>
          <w:sz w:val="24"/>
          <w:szCs w:val="24"/>
        </w:rPr>
        <w:t>nostki niekomercyjne,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wyj</w:t>
      </w:r>
      <w:r w:rsidRPr="00342D7E">
        <w:rPr>
          <w:rFonts w:ascii="Times New Roman" w:hAnsi="Times New Roman"/>
          <w:sz w:val="24"/>
          <w:szCs w:val="24"/>
        </w:rPr>
        <w:t>ątkiem posiadanych przez te organy administracyjne spółek publicznych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pry</w:t>
      </w:r>
      <w:r w:rsidRPr="00342D7E">
        <w:rPr>
          <w:rFonts w:ascii="Times New Roman" w:hAnsi="Times New Roman"/>
          <w:sz w:val="24"/>
          <w:szCs w:val="24"/>
        </w:rPr>
        <w:t>watnych prowadzących działalność komercyjną (które należy zgłaszać</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„instytucje kredytowe”, „inne instytucje finansowe” lub „przedsiębiorstwa niefinansowe”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eżności od prowadzonej przez nie działalności); fundusze zabezpieczenia społecznego; oraz organizacje międzynarodowe, takie jak instytucje Unii Europejskiej, Międzynarodowy Fundusz Walutowy oraz Bank Rozrachunków Międzynarodowych;</w:t>
      </w:r>
    </w:p>
    <w:p w:rsidR="00D35B0C" w:rsidRPr="00342D7E" w:rsidRDefault="00A834F1" w:rsidP="00056B6F">
      <w:pPr>
        <w:numPr>
          <w:ilvl w:val="0"/>
          <w:numId w:val="31"/>
        </w:numPr>
        <w:tabs>
          <w:tab w:val="clear" w:pos="360"/>
        </w:tabs>
        <w:ind w:left="1134"/>
        <w:jc w:val="both"/>
        <w:rPr>
          <w:rFonts w:ascii="Times New Roman" w:hAnsi="Times New Roman"/>
          <w:sz w:val="24"/>
          <w:szCs w:val="24"/>
        </w:rPr>
      </w:pPr>
      <w:proofErr w:type="gramStart"/>
      <w:r w:rsidRPr="00342D7E">
        <w:rPr>
          <w:rFonts w:ascii="Times New Roman" w:hAnsi="Times New Roman"/>
          <w:sz w:val="24"/>
          <w:szCs w:val="24"/>
        </w:rPr>
        <w:t>instytucje</w:t>
      </w:r>
      <w:proofErr w:type="gramEnd"/>
      <w:r w:rsidRPr="00342D7E">
        <w:rPr>
          <w:rFonts w:ascii="Times New Roman" w:hAnsi="Times New Roman"/>
          <w:sz w:val="24"/>
          <w:szCs w:val="24"/>
        </w:rPr>
        <w:t xml:space="preserve"> kredytowe: instytucje objęte definicją określoną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art</w:t>
      </w:r>
      <w:r w:rsidRPr="00342D7E">
        <w:rPr>
          <w:rFonts w:ascii="Times New Roman" w:hAnsi="Times New Roman"/>
          <w:sz w:val="24"/>
          <w:szCs w:val="24"/>
        </w:rPr>
        <w:t>.</w:t>
      </w:r>
      <w:r w:rsidR="00342D7E" w:rsidRPr="00342D7E">
        <w:rPr>
          <w:rFonts w:ascii="Times New Roman" w:hAnsi="Times New Roman"/>
          <w:sz w:val="24"/>
          <w:szCs w:val="24"/>
        </w:rPr>
        <w:t> </w:t>
      </w:r>
      <w:r w:rsidRPr="00342D7E">
        <w:rPr>
          <w:rFonts w:ascii="Times New Roman" w:hAnsi="Times New Roman"/>
          <w:sz w:val="24"/>
          <w:szCs w:val="24"/>
        </w:rPr>
        <w:t>4 ust.</w:t>
      </w:r>
      <w:r w:rsidR="00342D7E" w:rsidRPr="00342D7E">
        <w:rPr>
          <w:rFonts w:ascii="Times New Roman" w:hAnsi="Times New Roman"/>
          <w:sz w:val="24"/>
          <w:szCs w:val="24"/>
        </w:rPr>
        <w:t> </w:t>
      </w:r>
      <w:r w:rsidRPr="00342D7E">
        <w:rPr>
          <w:rFonts w:ascii="Times New Roman" w:hAnsi="Times New Roman"/>
          <w:sz w:val="24"/>
          <w:szCs w:val="24"/>
        </w:rPr>
        <w:t>1 pkt</w:t>
      </w:r>
      <w:r w:rsidR="00342D7E" w:rsidRPr="00342D7E">
        <w:rPr>
          <w:rFonts w:ascii="Times New Roman" w:hAnsi="Times New Roman"/>
          <w:sz w:val="24"/>
          <w:szCs w:val="24"/>
        </w:rPr>
        <w:t> </w:t>
      </w:r>
      <w:r w:rsidRPr="00342D7E">
        <w:rPr>
          <w:rFonts w:ascii="Times New Roman" w:hAnsi="Times New Roman"/>
          <w:sz w:val="24"/>
          <w:szCs w:val="24"/>
        </w:rPr>
        <w:t>1 CRR („przedsiębiorstwo, którego działalność polega na przyjmowaniu depozytów pieniężnych lub innych funduszy podlegających zwrotowi od klientów oraz na udzielaniu kredytów na swój własny rachunek”)</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wie</w:t>
      </w:r>
      <w:r w:rsidRPr="00342D7E">
        <w:rPr>
          <w:rFonts w:ascii="Times New Roman" w:hAnsi="Times New Roman"/>
          <w:sz w:val="24"/>
          <w:szCs w:val="24"/>
        </w:rPr>
        <w:t>lostronne banki rozwoju;</w:t>
      </w:r>
      <w:r w:rsidRPr="00342D7E">
        <w:rPr>
          <w:rFonts w:ascii="Times New Roman" w:hAnsi="Times New Roman"/>
          <w:color w:val="444444"/>
          <w:sz w:val="24"/>
          <w:szCs w:val="24"/>
        </w:rPr>
        <w:t xml:space="preserve"> </w:t>
      </w:r>
    </w:p>
    <w:p w:rsidR="00D35B0C" w:rsidRPr="00342D7E" w:rsidRDefault="00A834F1" w:rsidP="00056B6F">
      <w:pPr>
        <w:numPr>
          <w:ilvl w:val="0"/>
          <w:numId w:val="31"/>
        </w:numPr>
        <w:tabs>
          <w:tab w:val="clear" w:pos="360"/>
        </w:tabs>
        <w:ind w:left="1134"/>
        <w:jc w:val="both"/>
        <w:rPr>
          <w:rFonts w:ascii="Times New Roman" w:hAnsi="Times New Roman"/>
          <w:sz w:val="24"/>
          <w:szCs w:val="24"/>
        </w:rPr>
      </w:pPr>
      <w:proofErr w:type="gramStart"/>
      <w:r w:rsidRPr="00342D7E">
        <w:rPr>
          <w:rFonts w:ascii="Times New Roman" w:hAnsi="Times New Roman"/>
          <w:sz w:val="24"/>
          <w:szCs w:val="24"/>
        </w:rPr>
        <w:t>inne</w:t>
      </w:r>
      <w:proofErr w:type="gramEnd"/>
      <w:r w:rsidRPr="00342D7E">
        <w:rPr>
          <w:rFonts w:ascii="Times New Roman" w:hAnsi="Times New Roman"/>
          <w:sz w:val="24"/>
          <w:szCs w:val="24"/>
        </w:rPr>
        <w:t xml:space="preserve"> instytucje finansowe: wszystkie instytucje finansowe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jed</w:t>
      </w:r>
      <w:r w:rsidRPr="00342D7E">
        <w:rPr>
          <w:rFonts w:ascii="Times New Roman" w:hAnsi="Times New Roman"/>
          <w:sz w:val="24"/>
          <w:szCs w:val="24"/>
        </w:rPr>
        <w:t>nostki typu przedsiębiorstwo inne niż instytucje kredytowe, takie jak firmy inwestycyjne, fundusze inwestycyjne, zakłady ubezpieczeń, fundusze emerytalne, przedsiębiorstwa zbiorowego inwestowania oraz izby rozliczeniowe, jak również pozostali pośrednicy finansowi, pomocnicze instytucje finansowe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ins</w:t>
      </w:r>
      <w:r w:rsidRPr="00342D7E">
        <w:rPr>
          <w:rFonts w:ascii="Times New Roman" w:hAnsi="Times New Roman"/>
          <w:sz w:val="24"/>
          <w:szCs w:val="24"/>
        </w:rPr>
        <w:t>tytucje finansowe typu „captive” oraz instytucje udzielające pożyczek;</w:t>
      </w:r>
    </w:p>
    <w:p w:rsidR="00D35B0C" w:rsidRPr="00342D7E" w:rsidRDefault="00A834F1" w:rsidP="00056B6F">
      <w:pPr>
        <w:numPr>
          <w:ilvl w:val="0"/>
          <w:numId w:val="31"/>
        </w:numPr>
        <w:tabs>
          <w:tab w:val="clear" w:pos="360"/>
        </w:tabs>
        <w:ind w:left="1134"/>
        <w:jc w:val="both"/>
        <w:rPr>
          <w:rFonts w:ascii="Times New Roman" w:hAnsi="Times New Roman"/>
          <w:sz w:val="24"/>
          <w:szCs w:val="24"/>
        </w:rPr>
      </w:pPr>
      <w:proofErr w:type="gramStart"/>
      <w:r w:rsidRPr="00342D7E">
        <w:rPr>
          <w:rFonts w:ascii="Times New Roman" w:hAnsi="Times New Roman"/>
          <w:sz w:val="24"/>
          <w:szCs w:val="24"/>
        </w:rPr>
        <w:t>przedsiębiorstwa</w:t>
      </w:r>
      <w:proofErr w:type="gramEnd"/>
      <w:r w:rsidRPr="00342D7E">
        <w:rPr>
          <w:rFonts w:ascii="Times New Roman" w:hAnsi="Times New Roman"/>
          <w:sz w:val="24"/>
          <w:szCs w:val="24"/>
        </w:rPr>
        <w:t xml:space="preserve"> niefinansowe: przedsiębiorstwa</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jed</w:t>
      </w:r>
      <w:r w:rsidRPr="00342D7E">
        <w:rPr>
          <w:rFonts w:ascii="Times New Roman" w:hAnsi="Times New Roman"/>
          <w:sz w:val="24"/>
          <w:szCs w:val="24"/>
        </w:rPr>
        <w:t>nostki typu przedsiębiorstwo niezaangażowane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poś</w:t>
      </w:r>
      <w:r w:rsidRPr="00342D7E">
        <w:rPr>
          <w:rFonts w:ascii="Times New Roman" w:hAnsi="Times New Roman"/>
          <w:sz w:val="24"/>
          <w:szCs w:val="24"/>
        </w:rPr>
        <w:t xml:space="preserve">rednictwo finansowe, których </w:t>
      </w:r>
      <w:r w:rsidRPr="00342D7E">
        <w:rPr>
          <w:rFonts w:ascii="Times New Roman" w:hAnsi="Times New Roman"/>
          <w:sz w:val="24"/>
          <w:szCs w:val="24"/>
        </w:rPr>
        <w:lastRenderedPageBreak/>
        <w:t>podstawową działalnością jest produkcja wyrobów rynkowych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ug niefinansowych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tab</w:t>
      </w:r>
      <w:r w:rsidRPr="00342D7E">
        <w:rPr>
          <w:rFonts w:ascii="Times New Roman" w:hAnsi="Times New Roman"/>
          <w:sz w:val="24"/>
          <w:szCs w:val="24"/>
        </w:rPr>
        <w:t>elą załącznika II część 3 do rozporządzenia EBC</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 xml:space="preserve">awie pozycji bilansowych; </w:t>
      </w:r>
    </w:p>
    <w:p w:rsidR="00D35B0C" w:rsidRPr="00342D7E" w:rsidRDefault="00A834F1" w:rsidP="00056B6F">
      <w:pPr>
        <w:numPr>
          <w:ilvl w:val="0"/>
          <w:numId w:val="31"/>
        </w:numPr>
        <w:tabs>
          <w:tab w:val="clear" w:pos="360"/>
        </w:tabs>
        <w:ind w:left="1134"/>
        <w:jc w:val="both"/>
        <w:rPr>
          <w:rFonts w:ascii="Times New Roman" w:hAnsi="Times New Roman"/>
          <w:sz w:val="24"/>
          <w:szCs w:val="24"/>
        </w:rPr>
      </w:pPr>
      <w:proofErr w:type="gramStart"/>
      <w:r w:rsidRPr="00342D7E">
        <w:rPr>
          <w:rFonts w:ascii="Times New Roman" w:hAnsi="Times New Roman"/>
          <w:sz w:val="24"/>
          <w:szCs w:val="24"/>
        </w:rPr>
        <w:t>gospodarstwa</w:t>
      </w:r>
      <w:proofErr w:type="gramEnd"/>
      <w:r w:rsidRPr="00342D7E">
        <w:rPr>
          <w:rFonts w:ascii="Times New Roman" w:hAnsi="Times New Roman"/>
          <w:sz w:val="24"/>
          <w:szCs w:val="24"/>
        </w:rPr>
        <w:t xml:space="preserve"> domowe: osoby fizyczne lub grupy osób fizycznych będące konsumentami lub będące producentami wyrobów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ug niefinansowych wyłącznie na użytek własny lub będące producentami wyrobów rynkowych oraz usług niefinansowych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fin</w:t>
      </w:r>
      <w:r w:rsidRPr="00342D7E">
        <w:rPr>
          <w:rFonts w:ascii="Times New Roman" w:hAnsi="Times New Roman"/>
          <w:sz w:val="24"/>
          <w:szCs w:val="24"/>
        </w:rPr>
        <w:t>ansowych, pod warunkiem, że ich działalność nie jest tożsama</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dzi</w:t>
      </w:r>
      <w:r w:rsidRPr="00342D7E">
        <w:rPr>
          <w:rFonts w:ascii="Times New Roman" w:hAnsi="Times New Roman"/>
          <w:sz w:val="24"/>
          <w:szCs w:val="24"/>
        </w:rPr>
        <w:t>ałalnością jednostek typu przedsiębiorstwo. Do tej kategorii zalicza się instytucje niekomercyjne obsługujące gospodarstwa domowe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zaj</w:t>
      </w:r>
      <w:r w:rsidRPr="00342D7E">
        <w:rPr>
          <w:rFonts w:ascii="Times New Roman" w:hAnsi="Times New Roman"/>
          <w:sz w:val="24"/>
          <w:szCs w:val="24"/>
        </w:rPr>
        <w:t>mujące się głównie wytwarzaniem towarów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 xml:space="preserve">ug nierynkowych przeznaczonych dla konkretnych grup gospodarstw domowych. </w:t>
      </w:r>
    </w:p>
    <w:p w:rsidR="00D35B0C" w:rsidRPr="00342D7E" w:rsidRDefault="00A834F1">
      <w:pPr>
        <w:pStyle w:val="Baseparagraphnumbered"/>
      </w:pPr>
      <w:r w:rsidRPr="00342D7E">
        <w:t>Przypisanie do sektora kontrahentów opiera się wyłącznie na charakterze bezpośredniego kontrahenta. Ekspozycje utworzone wspólnie przez więcej niż jednego dłużnika klasyfikuje się</w:t>
      </w:r>
      <w:r w:rsidR="00342D7E" w:rsidRPr="00342D7E">
        <w:t xml:space="preserve"> w</w:t>
      </w:r>
      <w:r w:rsidR="00342D7E">
        <w:t> </w:t>
      </w:r>
      <w:r w:rsidR="00342D7E" w:rsidRPr="00342D7E">
        <w:t>opa</w:t>
      </w:r>
      <w:r w:rsidRPr="00342D7E">
        <w:t>rciu</w:t>
      </w:r>
      <w:r w:rsidR="00342D7E" w:rsidRPr="00342D7E">
        <w:t xml:space="preserve"> o</w:t>
      </w:r>
      <w:r w:rsidR="00342D7E">
        <w:t> </w:t>
      </w:r>
      <w:r w:rsidR="00342D7E" w:rsidRPr="00342D7E">
        <w:t>cec</w:t>
      </w:r>
      <w:r w:rsidRPr="00342D7E">
        <w:t>hy tego dłużnika, który miał dla instytucji większe lub decydujące znaczenie przy podejmowaniu decyzji</w:t>
      </w:r>
      <w:r w:rsidR="00342D7E" w:rsidRPr="00342D7E">
        <w:t xml:space="preserve"> o</w:t>
      </w:r>
      <w:r w:rsidR="00342D7E">
        <w:t> </w:t>
      </w:r>
      <w:r w:rsidR="00342D7E" w:rsidRPr="00342D7E">
        <w:t>prz</w:t>
      </w:r>
      <w:r w:rsidRPr="00342D7E">
        <w:t>yznaniu ekspozycji. Spośród innych klasyfikacji podział wspólnie utworzonych ekspozycji według sektora kontrahentów, kraju siedziby</w:t>
      </w:r>
      <w:r w:rsidR="00342D7E" w:rsidRPr="00342D7E">
        <w:t xml:space="preserve"> i</w:t>
      </w:r>
      <w:r w:rsidR="00342D7E">
        <w:t> </w:t>
      </w:r>
      <w:r w:rsidR="00342D7E" w:rsidRPr="00342D7E">
        <w:t>kod</w:t>
      </w:r>
      <w:r w:rsidRPr="00342D7E">
        <w:t>ów NACE opiera się na cechach tego dłużnika, który ma większe lub decydujące znaczenie.</w:t>
      </w:r>
    </w:p>
    <w:p w:rsidR="00D35B0C" w:rsidRPr="00342D7E" w:rsidRDefault="00A834F1">
      <w:pPr>
        <w:pStyle w:val="Baseparagraphnumbered"/>
      </w:pPr>
      <w:r w:rsidRPr="00342D7E">
        <w:t>W poniższych transakcjach bezpośrednim kontrahentem jest:</w:t>
      </w:r>
    </w:p>
    <w:p w:rsidR="00D35B0C" w:rsidRPr="00342D7E" w:rsidRDefault="00A834F1" w:rsidP="00056B6F">
      <w:pPr>
        <w:numPr>
          <w:ilvl w:val="0"/>
          <w:numId w:val="32"/>
        </w:numPr>
        <w:jc w:val="both"/>
        <w:rPr>
          <w:rFonts w:ascii="Times New Roman" w:hAnsi="Times New Roman"/>
          <w:sz w:val="24"/>
          <w:szCs w:val="24"/>
        </w:rPr>
      </w:pPr>
      <w:proofErr w:type="gramStart"/>
      <w:r w:rsidRPr="00342D7E">
        <w:rPr>
          <w:rFonts w:ascii="Times New Roman" w:hAnsi="Times New Roman"/>
          <w:sz w:val="24"/>
          <w:szCs w:val="24"/>
        </w:rPr>
        <w:t>w</w:t>
      </w:r>
      <w:proofErr w:type="gramEnd"/>
      <w:r w:rsidRPr="00342D7E">
        <w:rPr>
          <w:rFonts w:ascii="Times New Roman" w:hAnsi="Times New Roman"/>
          <w:sz w:val="24"/>
          <w:szCs w:val="24"/>
        </w:rPr>
        <w:t xml:space="preserve"> przypadku kredytów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iczek – bezpośredni kredytobiorca</w:t>
      </w:r>
      <w:r w:rsidR="00342D7E" w:rsidRPr="00342D7E">
        <w:rPr>
          <w:rFonts w:ascii="Times New Roman" w:hAnsi="Times New Roman"/>
          <w:sz w:val="24"/>
          <w:szCs w:val="24"/>
        </w:rPr>
        <w:t>.</w:t>
      </w:r>
      <w:r w:rsidR="00342D7E" w:rsidRPr="00342D7E">
        <w:rPr>
          <w:sz w:val="24"/>
          <w:szCs w:val="24"/>
        </w:rPr>
        <w:t xml:space="preserve"> </w:t>
      </w:r>
      <w:r w:rsidR="00342D7E" w:rsidRPr="00342D7E">
        <w:rPr>
          <w:rFonts w:ascii="Times New Roman" w:hAnsi="Times New Roman"/>
          <w:sz w:val="24"/>
          <w:szCs w:val="24"/>
        </w:rPr>
        <w:t>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należności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dostaw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ug bezpośrednim kredytobiorcą jest kontrahent zobowiązany do zapłaty należności,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wyj</w:t>
      </w:r>
      <w:r w:rsidRPr="00342D7E">
        <w:rPr>
          <w:rFonts w:ascii="Times New Roman" w:hAnsi="Times New Roman"/>
          <w:sz w:val="24"/>
          <w:szCs w:val="24"/>
        </w:rPr>
        <w:t>ątkiem transakcji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pra</w:t>
      </w:r>
      <w:r w:rsidRPr="00342D7E">
        <w:rPr>
          <w:rFonts w:ascii="Times New Roman" w:hAnsi="Times New Roman"/>
          <w:sz w:val="24"/>
          <w:szCs w:val="24"/>
        </w:rPr>
        <w:t>wem regresu,</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których bezpośrednim kredytobiorcą jest cedent należności, jeżeli</w:t>
      </w:r>
      <w:r w:rsidRPr="00342D7E">
        <w:rPr>
          <w:sz w:val="24"/>
          <w:szCs w:val="24"/>
        </w:rPr>
        <w:t xml:space="preserve"> </w:t>
      </w:r>
      <w:r w:rsidRPr="00342D7E">
        <w:rPr>
          <w:rFonts w:ascii="Times New Roman" w:hAnsi="Times New Roman"/>
          <w:sz w:val="24"/>
          <w:szCs w:val="24"/>
        </w:rPr>
        <w:t>instytucja sprawozdająca nie nabywa zasadniczo całego ryzyka</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peł</w:t>
      </w:r>
      <w:r w:rsidRPr="00342D7E">
        <w:rPr>
          <w:rFonts w:ascii="Times New Roman" w:hAnsi="Times New Roman"/>
          <w:sz w:val="24"/>
          <w:szCs w:val="24"/>
        </w:rPr>
        <w:t>ni korzyści wynikających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wła</w:t>
      </w:r>
      <w:r w:rsidRPr="00342D7E">
        <w:rPr>
          <w:rFonts w:ascii="Times New Roman" w:hAnsi="Times New Roman"/>
          <w:sz w:val="24"/>
          <w:szCs w:val="24"/>
        </w:rPr>
        <w:t>sności przeniesionych należności;</w:t>
      </w:r>
    </w:p>
    <w:p w:rsidR="00D35B0C" w:rsidRPr="00342D7E" w:rsidRDefault="00A834F1" w:rsidP="00056B6F">
      <w:pPr>
        <w:numPr>
          <w:ilvl w:val="0"/>
          <w:numId w:val="32"/>
        </w:numPr>
        <w:jc w:val="both"/>
        <w:rPr>
          <w:rFonts w:ascii="Times New Roman" w:hAnsi="Times New Roman"/>
          <w:sz w:val="24"/>
          <w:szCs w:val="24"/>
        </w:rPr>
      </w:pPr>
      <w:proofErr w:type="gramStart"/>
      <w:r w:rsidRPr="00342D7E">
        <w:rPr>
          <w:rFonts w:ascii="Times New Roman" w:hAnsi="Times New Roman"/>
          <w:sz w:val="24"/>
          <w:szCs w:val="24"/>
        </w:rPr>
        <w:t>w</w:t>
      </w:r>
      <w:proofErr w:type="gramEnd"/>
      <w:r w:rsidRPr="00342D7E">
        <w:rPr>
          <w:rFonts w:ascii="Times New Roman" w:hAnsi="Times New Roman"/>
          <w:sz w:val="24"/>
          <w:szCs w:val="24"/>
        </w:rPr>
        <w:t xml:space="preserve"> przypadku dłużnych papierów wartościowych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ins</w:t>
      </w:r>
      <w:r w:rsidRPr="00342D7E">
        <w:rPr>
          <w:rFonts w:ascii="Times New Roman" w:hAnsi="Times New Roman"/>
          <w:sz w:val="24"/>
          <w:szCs w:val="24"/>
        </w:rPr>
        <w:t xml:space="preserve">trumentów kapitałowych – emitent tych papierów wartościowych; </w:t>
      </w:r>
    </w:p>
    <w:p w:rsidR="00D35B0C" w:rsidRPr="00342D7E" w:rsidRDefault="00A834F1" w:rsidP="00342D7E">
      <w:pPr>
        <w:numPr>
          <w:ilvl w:val="0"/>
          <w:numId w:val="32"/>
        </w:numPr>
        <w:jc w:val="both"/>
        <w:rPr>
          <w:rFonts w:ascii="Times New Roman" w:hAnsi="Times New Roman"/>
          <w:sz w:val="24"/>
          <w:szCs w:val="24"/>
        </w:rPr>
      </w:pPr>
      <w:proofErr w:type="gramStart"/>
      <w:r w:rsidRPr="00342D7E">
        <w:rPr>
          <w:rFonts w:ascii="Times New Roman" w:hAnsi="Times New Roman"/>
          <w:sz w:val="24"/>
          <w:szCs w:val="24"/>
        </w:rPr>
        <w:t>w</w:t>
      </w:r>
      <w:proofErr w:type="gramEnd"/>
      <w:r w:rsidRPr="00342D7E">
        <w:rPr>
          <w:rFonts w:ascii="Times New Roman" w:hAnsi="Times New Roman"/>
          <w:sz w:val="24"/>
          <w:szCs w:val="24"/>
        </w:rPr>
        <w:t xml:space="preserve"> przypadku depozytów – deponent; </w:t>
      </w:r>
    </w:p>
    <w:p w:rsidR="00D35B0C" w:rsidRPr="00342D7E" w:rsidRDefault="00A834F1" w:rsidP="00056B6F">
      <w:pPr>
        <w:numPr>
          <w:ilvl w:val="0"/>
          <w:numId w:val="32"/>
        </w:numPr>
        <w:jc w:val="both"/>
        <w:rPr>
          <w:rFonts w:ascii="Times New Roman" w:hAnsi="Times New Roman"/>
          <w:sz w:val="24"/>
          <w:szCs w:val="24"/>
        </w:rPr>
      </w:pPr>
      <w:proofErr w:type="gramStart"/>
      <w:r w:rsidRPr="00342D7E">
        <w:rPr>
          <w:rFonts w:ascii="Times New Roman" w:hAnsi="Times New Roman"/>
          <w:sz w:val="24"/>
          <w:szCs w:val="24"/>
        </w:rPr>
        <w:t>w</w:t>
      </w:r>
      <w:proofErr w:type="gramEnd"/>
      <w:r w:rsidRPr="00342D7E">
        <w:rPr>
          <w:rFonts w:ascii="Times New Roman" w:hAnsi="Times New Roman"/>
          <w:sz w:val="24"/>
          <w:szCs w:val="24"/>
        </w:rPr>
        <w:t xml:space="preserve"> przypadku pozycji krótkich – kontrahent będący stroną transakcji zaciągnięcia pożyczki papierów wartościowych lub umowy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otr</w:t>
      </w:r>
      <w:r w:rsidRPr="00342D7E">
        <w:rPr>
          <w:rFonts w:ascii="Times New Roman" w:hAnsi="Times New Roman"/>
          <w:sz w:val="24"/>
          <w:szCs w:val="24"/>
        </w:rPr>
        <w:t>zymanym przyrzeczeniem odkupu;</w:t>
      </w:r>
    </w:p>
    <w:p w:rsidR="00D35B0C" w:rsidRPr="00342D7E" w:rsidRDefault="00A834F1" w:rsidP="00056B6F">
      <w:pPr>
        <w:numPr>
          <w:ilvl w:val="0"/>
          <w:numId w:val="32"/>
        </w:numPr>
        <w:jc w:val="both"/>
        <w:rPr>
          <w:rFonts w:ascii="Times New Roman" w:hAnsi="Times New Roman"/>
          <w:sz w:val="24"/>
          <w:szCs w:val="24"/>
        </w:rPr>
      </w:pPr>
      <w:proofErr w:type="gramStart"/>
      <w:r w:rsidRPr="00342D7E">
        <w:rPr>
          <w:rFonts w:ascii="Times New Roman" w:hAnsi="Times New Roman"/>
          <w:sz w:val="24"/>
          <w:szCs w:val="24"/>
        </w:rPr>
        <w:t>w</w:t>
      </w:r>
      <w:proofErr w:type="gramEnd"/>
      <w:r w:rsidRPr="00342D7E">
        <w:rPr>
          <w:rFonts w:ascii="Times New Roman" w:hAnsi="Times New Roman"/>
          <w:sz w:val="24"/>
          <w:szCs w:val="24"/>
        </w:rPr>
        <w:t xml:space="preserve"> przypadku instrumentów pochodnych – bezpośredni kontrahent będący stroną instrumentu pochodnego</w:t>
      </w:r>
      <w:r w:rsidR="00342D7E" w:rsidRPr="00342D7E">
        <w:rPr>
          <w:rFonts w:ascii="Times New Roman" w:hAnsi="Times New Roman"/>
          <w:sz w:val="24"/>
          <w:szCs w:val="24"/>
        </w:rPr>
        <w:t>.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rozliczanych centralnie instrumentów pochodnych będących przedmiotem obrotu poza rynkiem regulowanym bezpośrednim kontrahentem jest izba rozliczeniowa pełniąca rolę kontrahenta centralnego. Podział instrumentów pochodnych ryzyka kredytowego według kontrahentów odnosi się do sektora, do którego należy kontrahent będący stroną kontraktu (nabywca lub sprzedawca ochrony);</w:t>
      </w:r>
    </w:p>
    <w:p w:rsidR="00D35B0C" w:rsidRPr="00342D7E" w:rsidRDefault="00A834F1" w:rsidP="00056B6F">
      <w:pPr>
        <w:numPr>
          <w:ilvl w:val="0"/>
          <w:numId w:val="32"/>
        </w:numPr>
        <w:jc w:val="both"/>
        <w:rPr>
          <w:rFonts w:ascii="Times New Roman" w:hAnsi="Times New Roman"/>
          <w:sz w:val="24"/>
          <w:szCs w:val="24"/>
        </w:rPr>
      </w:pPr>
      <w:proofErr w:type="gramStart"/>
      <w:r w:rsidRPr="00342D7E">
        <w:rPr>
          <w:rFonts w:ascii="Times New Roman" w:hAnsi="Times New Roman"/>
          <w:sz w:val="24"/>
          <w:szCs w:val="24"/>
        </w:rPr>
        <w:lastRenderedPageBreak/>
        <w:t>w</w:t>
      </w:r>
      <w:proofErr w:type="gramEnd"/>
      <w:r w:rsidRPr="00342D7E">
        <w:rPr>
          <w:rFonts w:ascii="Times New Roman" w:hAnsi="Times New Roman"/>
          <w:sz w:val="24"/>
          <w:szCs w:val="24"/>
        </w:rPr>
        <w:t xml:space="preserve"> przypadku udzielonych gwarancji finansowych kontrahentem jest bezpośredni kontrahent będący stroną gwarantowanego instrumentu dłużnego;</w:t>
      </w:r>
    </w:p>
    <w:p w:rsidR="00D35B0C" w:rsidRPr="00342D7E" w:rsidRDefault="00A834F1" w:rsidP="00056B6F">
      <w:pPr>
        <w:numPr>
          <w:ilvl w:val="0"/>
          <w:numId w:val="32"/>
        </w:numPr>
        <w:jc w:val="both"/>
        <w:rPr>
          <w:rFonts w:ascii="Times New Roman" w:hAnsi="Times New Roman"/>
          <w:sz w:val="24"/>
          <w:szCs w:val="24"/>
        </w:rPr>
      </w:pPr>
      <w:proofErr w:type="gramStart"/>
      <w:r w:rsidRPr="00342D7E">
        <w:rPr>
          <w:rFonts w:ascii="Times New Roman" w:hAnsi="Times New Roman"/>
          <w:sz w:val="24"/>
          <w:szCs w:val="24"/>
        </w:rPr>
        <w:t>w</w:t>
      </w:r>
      <w:proofErr w:type="gramEnd"/>
      <w:r w:rsidRPr="00342D7E">
        <w:rPr>
          <w:rFonts w:ascii="Times New Roman" w:hAnsi="Times New Roman"/>
          <w:sz w:val="24"/>
          <w:szCs w:val="24"/>
        </w:rPr>
        <w:t xml:space="preserve"> przypadku udzielonych zobowiązań do udzielenia pożyczki lub innych zobowiązań – kontrahent, którego ryzyko przejmuje instytucja sprawozdająca; </w:t>
      </w:r>
    </w:p>
    <w:p w:rsidR="00D35B0C" w:rsidRPr="00342D7E" w:rsidRDefault="00A834F1" w:rsidP="00056B6F">
      <w:pPr>
        <w:numPr>
          <w:ilvl w:val="0"/>
          <w:numId w:val="32"/>
        </w:numPr>
        <w:spacing w:after="0"/>
        <w:jc w:val="both"/>
        <w:rPr>
          <w:rFonts w:ascii="Times New Roman" w:hAnsi="Times New Roman"/>
          <w:sz w:val="24"/>
          <w:szCs w:val="24"/>
        </w:rPr>
      </w:pPr>
      <w:proofErr w:type="gramStart"/>
      <w:r w:rsidRPr="00342D7E">
        <w:rPr>
          <w:rFonts w:ascii="Times New Roman" w:hAnsi="Times New Roman"/>
          <w:sz w:val="24"/>
          <w:szCs w:val="24"/>
        </w:rPr>
        <w:t>w</w:t>
      </w:r>
      <w:proofErr w:type="gramEnd"/>
      <w:r w:rsidRPr="00342D7E">
        <w:rPr>
          <w:rFonts w:ascii="Times New Roman" w:hAnsi="Times New Roman"/>
          <w:sz w:val="24"/>
          <w:szCs w:val="24"/>
        </w:rPr>
        <w:t xml:space="preserve"> przypadku otrzymanych zobowiązań do udzielenia pożyczki, gwarancji finansowych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ych zobowiązań – gwarant lub kontrahent, który udzielił zobowiązania instytucji sprawozdającej.</w:t>
      </w:r>
      <w:r w:rsidRPr="00342D7E">
        <w:rPr>
          <w:rFonts w:ascii="Times New Roman" w:hAnsi="Times New Roman"/>
          <w:sz w:val="24"/>
          <w:szCs w:val="24"/>
        </w:rPr>
        <w:br w:type="page"/>
      </w:r>
    </w:p>
    <w:p w:rsidR="00D35B0C" w:rsidRPr="00342D7E" w:rsidRDefault="00A834F1">
      <w:pPr>
        <w:jc w:val="center"/>
        <w:rPr>
          <w:rFonts w:ascii="Times New Roman" w:hAnsi="Times New Roman"/>
          <w:b/>
          <w:sz w:val="24"/>
          <w:szCs w:val="24"/>
        </w:rPr>
      </w:pPr>
      <w:r w:rsidRPr="00342D7E">
        <w:rPr>
          <w:rFonts w:ascii="Times New Roman" w:hAnsi="Times New Roman"/>
          <w:b/>
          <w:sz w:val="24"/>
          <w:szCs w:val="24"/>
        </w:rPr>
        <w:lastRenderedPageBreak/>
        <w:t>CZĘŚĆ 2</w:t>
      </w:r>
    </w:p>
    <w:p w:rsidR="00D35B0C" w:rsidRPr="00342D7E" w:rsidRDefault="00A834F1">
      <w:pPr>
        <w:pStyle w:val="Heading1"/>
        <w:jc w:val="both"/>
      </w:pPr>
      <w:bookmarkStart w:id="12" w:name="_Toc31019114"/>
      <w:r w:rsidRPr="00342D7E">
        <w:t>Instrukcje dotyczące wzorów</w:t>
      </w:r>
      <w:bookmarkEnd w:id="12"/>
    </w:p>
    <w:p w:rsidR="00D35B0C" w:rsidRPr="00342D7E" w:rsidRDefault="00A834F1" w:rsidP="00056B6F">
      <w:pPr>
        <w:pStyle w:val="subtitlenumbered"/>
        <w:keepNext/>
        <w:numPr>
          <w:ilvl w:val="0"/>
          <w:numId w:val="15"/>
        </w:numPr>
        <w:jc w:val="both"/>
      </w:pPr>
      <w:bookmarkStart w:id="13" w:name="_Toc31019115"/>
      <w:r w:rsidRPr="00342D7E">
        <w:t>Bilans</w:t>
      </w:r>
      <w:bookmarkEnd w:id="13"/>
    </w:p>
    <w:p w:rsidR="00D35B0C" w:rsidRPr="00342D7E" w:rsidRDefault="00A834F1">
      <w:pPr>
        <w:pStyle w:val="sub-subtitlenumbered"/>
        <w:jc w:val="both"/>
      </w:pPr>
      <w:bookmarkStart w:id="14" w:name="_Toc31019116"/>
      <w:r w:rsidRPr="00342D7E">
        <w:t>Aktywa (1.1)</w:t>
      </w:r>
      <w:bookmarkEnd w:id="14"/>
    </w:p>
    <w:p w:rsidR="00D35B0C" w:rsidRPr="00342D7E" w:rsidRDefault="00A834F1" w:rsidP="00056B6F">
      <w:pPr>
        <w:pStyle w:val="Baseparagraphnumbered"/>
        <w:numPr>
          <w:ilvl w:val="0"/>
          <w:numId w:val="14"/>
        </w:numPr>
      </w:pPr>
      <w:r w:rsidRPr="00342D7E">
        <w:t>„Gotówka</w:t>
      </w:r>
      <w:r w:rsidR="00342D7E" w:rsidRPr="00342D7E">
        <w:t xml:space="preserve"> w</w:t>
      </w:r>
      <w:r w:rsidR="00342D7E">
        <w:t> </w:t>
      </w:r>
      <w:r w:rsidR="00342D7E" w:rsidRPr="00342D7E">
        <w:t>kas</w:t>
      </w:r>
      <w:r w:rsidRPr="00342D7E">
        <w:t>ie” obejmuje portfele krajowych</w:t>
      </w:r>
      <w:r w:rsidR="00342D7E" w:rsidRPr="00342D7E">
        <w:t xml:space="preserve"> i</w:t>
      </w:r>
      <w:r w:rsidR="00342D7E">
        <w:t> </w:t>
      </w:r>
      <w:r w:rsidR="00342D7E" w:rsidRPr="00342D7E">
        <w:t>zag</w:t>
      </w:r>
      <w:r w:rsidRPr="00342D7E">
        <w:t>ranicznych banknotów</w:t>
      </w:r>
      <w:r w:rsidR="00342D7E" w:rsidRPr="00342D7E">
        <w:t xml:space="preserve"> i</w:t>
      </w:r>
      <w:r w:rsidR="00342D7E">
        <w:t> </w:t>
      </w:r>
      <w:r w:rsidR="00342D7E" w:rsidRPr="00342D7E">
        <w:t>mon</w:t>
      </w:r>
      <w:r w:rsidRPr="00342D7E">
        <w:t>et</w:t>
      </w:r>
      <w:r w:rsidR="00342D7E" w:rsidRPr="00342D7E">
        <w:t xml:space="preserve"> w</w:t>
      </w:r>
      <w:r w:rsidR="00342D7E">
        <w:t> </w:t>
      </w:r>
      <w:r w:rsidR="00342D7E" w:rsidRPr="00342D7E">
        <w:t>obi</w:t>
      </w:r>
      <w:r w:rsidRPr="00342D7E">
        <w:t>egu, które są powszechnie wykorzystywane do dokonywania płatności.</w:t>
      </w:r>
    </w:p>
    <w:p w:rsidR="00D35B0C" w:rsidRPr="00342D7E" w:rsidRDefault="00A834F1">
      <w:pPr>
        <w:pStyle w:val="Baseparagraphnumbered"/>
      </w:pPr>
      <w:r w:rsidRPr="00342D7E">
        <w:t>„Środki</w:t>
      </w:r>
      <w:r w:rsidR="00342D7E" w:rsidRPr="00342D7E">
        <w:t xml:space="preserve"> w</w:t>
      </w:r>
      <w:r w:rsidR="00342D7E">
        <w:t> </w:t>
      </w:r>
      <w:r w:rsidR="00342D7E" w:rsidRPr="00342D7E">
        <w:t>ban</w:t>
      </w:r>
      <w:r w:rsidRPr="00342D7E">
        <w:t>kach centralnych” obejmują salda</w:t>
      </w:r>
      <w:r w:rsidR="00342D7E" w:rsidRPr="00342D7E">
        <w:t xml:space="preserve"> w</w:t>
      </w:r>
      <w:r w:rsidR="00342D7E">
        <w:t> </w:t>
      </w:r>
      <w:r w:rsidR="00342D7E" w:rsidRPr="00342D7E">
        <w:t>ban</w:t>
      </w:r>
      <w:r w:rsidRPr="00342D7E">
        <w:t>kach centralnych płatne na żądanie.</w:t>
      </w:r>
    </w:p>
    <w:p w:rsidR="00D35B0C" w:rsidRPr="00342D7E" w:rsidRDefault="00A834F1">
      <w:pPr>
        <w:pStyle w:val="Baseparagraphnumbered"/>
      </w:pPr>
      <w:r w:rsidRPr="00342D7E">
        <w:t>„Inne depozyty płatne na żądanie” obejmują salda</w:t>
      </w:r>
      <w:r w:rsidR="00342D7E" w:rsidRPr="00342D7E">
        <w:t xml:space="preserve"> w</w:t>
      </w:r>
      <w:r w:rsidR="00342D7E">
        <w:t> </w:t>
      </w:r>
      <w:r w:rsidR="00342D7E" w:rsidRPr="00342D7E">
        <w:t>ins</w:t>
      </w:r>
      <w:r w:rsidRPr="00342D7E">
        <w:t xml:space="preserve">tytucjach kredytowych płatne na żądanie. </w:t>
      </w:r>
    </w:p>
    <w:p w:rsidR="00D35B0C" w:rsidRPr="00342D7E" w:rsidRDefault="00A834F1">
      <w:pPr>
        <w:pStyle w:val="Baseparagraphnumbered"/>
      </w:pPr>
      <w:r w:rsidRPr="00342D7E">
        <w:t>„Inwestycje</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obejmują inwestycje</w:t>
      </w:r>
      <w:r w:rsidR="00342D7E" w:rsidRPr="00342D7E">
        <w:t xml:space="preserve"> w</w:t>
      </w:r>
      <w:r w:rsidR="00342D7E">
        <w:t> </w:t>
      </w:r>
      <w:r w:rsidR="00342D7E" w:rsidRPr="00342D7E">
        <w:t>jed</w:t>
      </w:r>
      <w:r w:rsidRPr="00342D7E">
        <w:t>nostkach stowarzyszonych,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zależnych, które nie zostały</w:t>
      </w:r>
      <w:r w:rsidR="00342D7E" w:rsidRPr="00342D7E">
        <w:t xml:space="preserve"> w</w:t>
      </w:r>
      <w:r w:rsidR="00342D7E">
        <w:t> </w:t>
      </w:r>
      <w:r w:rsidR="00342D7E" w:rsidRPr="00342D7E">
        <w:t>peł</w:t>
      </w:r>
      <w:r w:rsidRPr="00342D7E">
        <w:t>ni lub proporcjonalnie skonsolidowane</w:t>
      </w:r>
      <w:r w:rsidR="00342D7E" w:rsidRPr="00342D7E">
        <w:t xml:space="preserve"> w</w:t>
      </w:r>
      <w:r w:rsidR="00342D7E">
        <w:t> </w:t>
      </w:r>
      <w:r w:rsidR="00342D7E" w:rsidRPr="00342D7E">
        <w:t>ram</w:t>
      </w:r>
      <w:r w:rsidRPr="00342D7E">
        <w:t>ach regulacyjnego zakresu konsolidacji,</w:t>
      </w:r>
      <w:r w:rsidR="00342D7E" w:rsidRPr="00342D7E">
        <w:t xml:space="preserve"> z</w:t>
      </w:r>
      <w:r w:rsidR="00342D7E">
        <w:t> </w:t>
      </w:r>
      <w:r w:rsidR="00342D7E" w:rsidRPr="00342D7E">
        <w:t>wyj</w:t>
      </w:r>
      <w:r w:rsidRPr="00342D7E">
        <w:t>ątkiem przypadków, gdy zaklasyfikowano je jako przeznaczone do sprzedaży zgodnie z MSSF 5, niezależnie od sposobu ich wyceny,</w:t>
      </w:r>
      <w:r w:rsidR="00342D7E" w:rsidRPr="00342D7E">
        <w:t xml:space="preserve"> w</w:t>
      </w:r>
      <w:r w:rsidR="00342D7E">
        <w:t> </w:t>
      </w:r>
      <w:r w:rsidR="00342D7E" w:rsidRPr="00342D7E">
        <w:t>tym w</w:t>
      </w:r>
      <w:r w:rsidR="00342D7E">
        <w:t> </w:t>
      </w:r>
      <w:r w:rsidR="00342D7E" w:rsidRPr="00342D7E">
        <w:t>prz</w:t>
      </w:r>
      <w:r w:rsidRPr="00342D7E">
        <w:t>ypadku gdy standardy rachunkowości dopuszczają zaliczenie ich do różnych portfeli księgowych wykorzystywanych na potrzeby instrumentów finansowych. Wartość bilansowa inwestycji uwzględnianych zgodnie</w:t>
      </w:r>
      <w:r w:rsidR="00342D7E" w:rsidRPr="00342D7E">
        <w:t xml:space="preserve"> z</w:t>
      </w:r>
      <w:r w:rsidR="00342D7E">
        <w:t> </w:t>
      </w:r>
      <w:r w:rsidR="00342D7E" w:rsidRPr="00342D7E">
        <w:t>met</w:t>
      </w:r>
      <w:r w:rsidRPr="00342D7E">
        <w:t xml:space="preserve">odą praw własności obejmuje powiązaną wartość firmy. </w:t>
      </w:r>
    </w:p>
    <w:p w:rsidR="00D35B0C" w:rsidRPr="00342D7E" w:rsidRDefault="00A834F1">
      <w:pPr>
        <w:pStyle w:val="Baseparagraphnumbered"/>
      </w:pPr>
      <w:r w:rsidRPr="00342D7E">
        <w:t>Aktywa niebędące aktywami finansowymi, które</w:t>
      </w:r>
      <w:r w:rsidR="00342D7E" w:rsidRPr="00342D7E">
        <w:t xml:space="preserve"> z</w:t>
      </w:r>
      <w:r w:rsidR="00342D7E">
        <w:t> </w:t>
      </w:r>
      <w:r w:rsidR="00342D7E" w:rsidRPr="00342D7E">
        <w:t>uwa</w:t>
      </w:r>
      <w:r w:rsidRPr="00342D7E">
        <w:t>gi na swój charakter nie mogły zostać ujęte</w:t>
      </w:r>
      <w:r w:rsidR="00342D7E" w:rsidRPr="00342D7E">
        <w:t xml:space="preserve"> w</w:t>
      </w:r>
      <w:r w:rsidR="00342D7E">
        <w:t> </w:t>
      </w:r>
      <w:r w:rsidR="00342D7E" w:rsidRPr="00342D7E">
        <w:t>okr</w:t>
      </w:r>
      <w:r w:rsidRPr="00342D7E">
        <w:t>eślonych pozycjach bilansu, zgłasza się</w:t>
      </w:r>
      <w:r w:rsidR="00342D7E" w:rsidRPr="00342D7E">
        <w:t xml:space="preserve"> w</w:t>
      </w:r>
      <w:r w:rsidR="00342D7E">
        <w:t> </w:t>
      </w:r>
      <w:r w:rsidR="00342D7E" w:rsidRPr="00342D7E">
        <w:t>poz</w:t>
      </w:r>
      <w:r w:rsidRPr="00342D7E">
        <w:t>ycji „Inne aktywa”. Inne aktywa obejmują m.in. złoto, srebro</w:t>
      </w:r>
      <w:r w:rsidR="00342D7E" w:rsidRPr="00342D7E">
        <w:t xml:space="preserve"> i</w:t>
      </w:r>
      <w:r w:rsidR="00342D7E">
        <w:t> </w:t>
      </w:r>
      <w:r w:rsidR="00342D7E" w:rsidRPr="00342D7E">
        <w:t>inn</w:t>
      </w:r>
      <w:r w:rsidRPr="00342D7E">
        <w:t>e towary, nawet jeżeli są one utrzymywane</w:t>
      </w:r>
      <w:r w:rsidR="00342D7E" w:rsidRPr="00342D7E">
        <w:t xml:space="preserve"> z</w:t>
      </w:r>
      <w:r w:rsidR="00342D7E">
        <w:t> </w:t>
      </w:r>
      <w:r w:rsidR="00342D7E" w:rsidRPr="00342D7E">
        <w:t>prz</w:t>
      </w:r>
      <w:r w:rsidRPr="00342D7E">
        <w:t xml:space="preserve">eznaczeniem do obrotu. </w:t>
      </w:r>
    </w:p>
    <w:p w:rsidR="00D35B0C" w:rsidRPr="00342D7E" w:rsidRDefault="00A834F1">
      <w:pPr>
        <w:pStyle w:val="Baseparagraphnumbered"/>
      </w:pPr>
      <w:r w:rsidRPr="00342D7E">
        <w:t>Zgodnie</w:t>
      </w:r>
      <w:r w:rsidR="00342D7E" w:rsidRPr="00342D7E">
        <w:t xml:space="preserve"> z</w:t>
      </w:r>
      <w:r w:rsidR="00342D7E">
        <w:t> </w:t>
      </w:r>
      <w:r w:rsidR="00342D7E" w:rsidRPr="00342D7E">
        <w:t>odp</w:t>
      </w:r>
      <w:r w:rsidRPr="00342D7E">
        <w:t>owiednimi krajowymi ogólnie przyjętymi zasadami rachunkowości opartymi na BAD wartość bilansową odkupionych akcji własnych ujmuje się</w:t>
      </w:r>
      <w:r w:rsidR="00342D7E" w:rsidRPr="00342D7E">
        <w:t xml:space="preserve"> w</w:t>
      </w:r>
      <w:r w:rsidR="00342D7E">
        <w:t> </w:t>
      </w:r>
      <w:r w:rsidR="00342D7E" w:rsidRPr="00342D7E">
        <w:t>poz</w:t>
      </w:r>
      <w:r w:rsidRPr="00342D7E">
        <w:t xml:space="preserve">ycji „inne aktywa”, jeżeli odpowiednie krajowe ogólnie przyjęte zasady rachunkowości dopuszczają ich prezentację jako składnik aktywów. </w:t>
      </w:r>
    </w:p>
    <w:p w:rsidR="00D35B0C" w:rsidRPr="00342D7E" w:rsidRDefault="00A834F1">
      <w:pPr>
        <w:pStyle w:val="Baseparagraphnumbered"/>
      </w:pPr>
      <w:r w:rsidRPr="00342D7E">
        <w:t>„Aktywa trwałe</w:t>
      </w:r>
      <w:r w:rsidR="00342D7E" w:rsidRPr="00342D7E">
        <w:t xml:space="preserve"> i</w:t>
      </w:r>
      <w:r w:rsidR="00342D7E">
        <w:t> </w:t>
      </w:r>
      <w:r w:rsidR="00342D7E" w:rsidRPr="00342D7E">
        <w:t>gru</w:t>
      </w:r>
      <w:r w:rsidRPr="00342D7E">
        <w:t>py do zbycia sklasyfikowane jako przeznaczone do sprzedaży” mają takie samo znaczenie jak</w:t>
      </w:r>
      <w:r w:rsidR="00342D7E" w:rsidRPr="00342D7E">
        <w:t xml:space="preserve"> w</w:t>
      </w:r>
      <w:r w:rsidR="00342D7E">
        <w:t> </w:t>
      </w:r>
      <w:r w:rsidR="00342D7E" w:rsidRPr="00342D7E">
        <w:t>ram</w:t>
      </w:r>
      <w:r w:rsidRPr="00342D7E">
        <w:t xml:space="preserve">ach MSSF 5. </w:t>
      </w:r>
    </w:p>
    <w:p w:rsidR="00D35B0C" w:rsidRPr="00342D7E" w:rsidRDefault="00A834F1">
      <w:pPr>
        <w:pStyle w:val="sub-subtitlenumbered"/>
        <w:jc w:val="both"/>
      </w:pPr>
      <w:bookmarkStart w:id="15" w:name="_Toc31019117"/>
      <w:r w:rsidRPr="00342D7E">
        <w:t>Zobowiązania (1.2)</w:t>
      </w:r>
      <w:bookmarkEnd w:id="15"/>
    </w:p>
    <w:p w:rsidR="00D35B0C" w:rsidRPr="00342D7E" w:rsidRDefault="00A834F1">
      <w:pPr>
        <w:pStyle w:val="Baseparagraphnumbered"/>
      </w:pPr>
      <w:r w:rsidRPr="00342D7E">
        <w:t>Zgodnie</w:t>
      </w:r>
      <w:r w:rsidR="00342D7E" w:rsidRPr="00342D7E">
        <w:t xml:space="preserve"> z</w:t>
      </w:r>
      <w:r w:rsidR="00342D7E">
        <w:t> </w:t>
      </w:r>
      <w:r w:rsidR="00342D7E" w:rsidRPr="00342D7E">
        <w:t>odp</w:t>
      </w:r>
      <w:r w:rsidRPr="00342D7E">
        <w:t>owiednimi krajowymi ogólnie przyjętymi zasadami rachunkowości opartymi na BAD rezerwy na straty warunkowe wynikające</w:t>
      </w:r>
      <w:r w:rsidR="00342D7E" w:rsidRPr="00342D7E">
        <w:t xml:space="preserve"> z</w:t>
      </w:r>
      <w:r w:rsidR="00342D7E">
        <w:t> </w:t>
      </w:r>
      <w:r w:rsidR="00342D7E" w:rsidRPr="00342D7E">
        <w:t>nie</w:t>
      </w:r>
      <w:r w:rsidRPr="00342D7E">
        <w:t>wydajnej części powiązania zabezpieczającego na poziomie portfela zgłasza się albo</w:t>
      </w:r>
      <w:r w:rsidR="00342D7E" w:rsidRPr="00342D7E">
        <w:t xml:space="preserve"> w</w:t>
      </w:r>
      <w:r w:rsidR="00342D7E">
        <w:t> </w:t>
      </w:r>
      <w:r w:rsidR="00342D7E" w:rsidRPr="00342D7E">
        <w:t>wie</w:t>
      </w:r>
      <w:r w:rsidRPr="00342D7E">
        <w:t>rszu „Instrumenty pochodne – rachunkowość zabezpieczeń”, jeżeli strata wynika</w:t>
      </w:r>
      <w:r w:rsidR="00342D7E" w:rsidRPr="00342D7E">
        <w:t xml:space="preserve"> z</w:t>
      </w:r>
      <w:r w:rsidR="00342D7E">
        <w:t> </w:t>
      </w:r>
      <w:r w:rsidR="00342D7E" w:rsidRPr="00342D7E">
        <w:t>wyc</w:t>
      </w:r>
      <w:r w:rsidRPr="00342D7E">
        <w:t>eny zabezpieczającego instrumentu pochodnego, albo</w:t>
      </w:r>
      <w:r w:rsidR="00342D7E" w:rsidRPr="00342D7E">
        <w:t xml:space="preserve"> w</w:t>
      </w:r>
      <w:r w:rsidR="00342D7E">
        <w:t> </w:t>
      </w:r>
      <w:r w:rsidR="00342D7E" w:rsidRPr="00342D7E">
        <w:t>wie</w:t>
      </w:r>
      <w:r w:rsidRPr="00342D7E">
        <w:t xml:space="preserve">rszu „Zmiany wartości godziwej pozycji </w:t>
      </w:r>
      <w:r w:rsidRPr="00342D7E">
        <w:lastRenderedPageBreak/>
        <w:t>zabezpieczanych</w:t>
      </w:r>
      <w:r w:rsidR="00342D7E" w:rsidRPr="00342D7E">
        <w:t xml:space="preserve"> w</w:t>
      </w:r>
      <w:r w:rsidR="00342D7E">
        <w:t> </w:t>
      </w:r>
      <w:r w:rsidR="00342D7E" w:rsidRPr="00342D7E">
        <w:t>zab</w:t>
      </w:r>
      <w:r w:rsidRPr="00342D7E">
        <w:t>ezpieczaniu portfela przed ryzykiem stopy procentowej”, jeżeli strata wynika</w:t>
      </w:r>
      <w:r w:rsidR="00342D7E" w:rsidRPr="00342D7E">
        <w:t xml:space="preserve"> z</w:t>
      </w:r>
      <w:r w:rsidR="00342D7E">
        <w:t> </w:t>
      </w:r>
      <w:r w:rsidR="00342D7E" w:rsidRPr="00342D7E">
        <w:t>wyc</w:t>
      </w:r>
      <w:r w:rsidRPr="00342D7E">
        <w:t>eny zabezpieczanej pozycji</w:t>
      </w:r>
      <w:r w:rsidR="00342D7E" w:rsidRPr="00342D7E">
        <w:t>. W</w:t>
      </w:r>
      <w:r w:rsidR="00342D7E">
        <w:t> </w:t>
      </w:r>
      <w:r w:rsidR="00342D7E" w:rsidRPr="00342D7E">
        <w:t>prz</w:t>
      </w:r>
      <w:r w:rsidRPr="00342D7E">
        <w:t>ypadku braku możliwości dokonania rozróżnienia między stratami wynikającymi</w:t>
      </w:r>
      <w:r w:rsidR="00342D7E" w:rsidRPr="00342D7E">
        <w:t xml:space="preserve"> z</w:t>
      </w:r>
      <w:r w:rsidR="00342D7E">
        <w:t> </w:t>
      </w:r>
      <w:r w:rsidR="00342D7E" w:rsidRPr="00342D7E">
        <w:t>wyc</w:t>
      </w:r>
      <w:r w:rsidRPr="00342D7E">
        <w:t>eny zabezpieczającego instrumentu pochodnego</w:t>
      </w:r>
      <w:r w:rsidR="00342D7E" w:rsidRPr="00342D7E">
        <w:t xml:space="preserve"> a</w:t>
      </w:r>
      <w:r w:rsidR="00342D7E">
        <w:t> </w:t>
      </w:r>
      <w:r w:rsidR="00342D7E" w:rsidRPr="00342D7E">
        <w:t>str</w:t>
      </w:r>
      <w:r w:rsidRPr="00342D7E">
        <w:t>atą wynikającą</w:t>
      </w:r>
      <w:r w:rsidR="00342D7E" w:rsidRPr="00342D7E">
        <w:t xml:space="preserve"> z</w:t>
      </w:r>
      <w:r w:rsidR="00342D7E">
        <w:t> </w:t>
      </w:r>
      <w:r w:rsidR="00342D7E" w:rsidRPr="00342D7E">
        <w:t>wyc</w:t>
      </w:r>
      <w:r w:rsidRPr="00342D7E">
        <w:t>eny zabezpieczanej pozycji wszystkie rezerwy na straty warunkowe wynikające</w:t>
      </w:r>
      <w:r w:rsidR="00342D7E" w:rsidRPr="00342D7E">
        <w:t xml:space="preserve"> z</w:t>
      </w:r>
      <w:r w:rsidR="00342D7E">
        <w:t> </w:t>
      </w:r>
      <w:r w:rsidR="00342D7E" w:rsidRPr="00342D7E">
        <w:t>nie</w:t>
      </w:r>
      <w:r w:rsidRPr="00342D7E">
        <w:t>wydajnej części powiązania zabezpieczającego na poziomie portfela zgłasza się</w:t>
      </w:r>
      <w:r w:rsidR="00342D7E" w:rsidRPr="00342D7E">
        <w:t xml:space="preserve"> w</w:t>
      </w:r>
      <w:r w:rsidR="00342D7E">
        <w:t> </w:t>
      </w:r>
      <w:r w:rsidR="00342D7E" w:rsidRPr="00342D7E">
        <w:t>wie</w:t>
      </w:r>
      <w:r w:rsidRPr="00342D7E">
        <w:t>rszu „Instrumenty pochodne – rachunkowość zabezpieczeń”.</w:t>
      </w:r>
    </w:p>
    <w:p w:rsidR="00D35B0C" w:rsidRPr="00342D7E" w:rsidRDefault="00A834F1">
      <w:pPr>
        <w:pStyle w:val="Baseparagraphnumbered"/>
      </w:pPr>
      <w:r w:rsidRPr="00342D7E">
        <w:t>Rezerwy na „Emerytury</w:t>
      </w:r>
      <w:r w:rsidR="00342D7E" w:rsidRPr="00342D7E">
        <w:t xml:space="preserve"> i</w:t>
      </w:r>
      <w:r w:rsidR="00342D7E">
        <w:t> </w:t>
      </w:r>
      <w:r w:rsidR="00342D7E" w:rsidRPr="00342D7E">
        <w:t>inn</w:t>
      </w:r>
      <w:r w:rsidRPr="00342D7E">
        <w:t>e zobowiązania</w:t>
      </w:r>
      <w:r w:rsidR="00342D7E" w:rsidRPr="00342D7E">
        <w:t xml:space="preserve"> z</w:t>
      </w:r>
      <w:r w:rsidR="00342D7E">
        <w:t> </w:t>
      </w:r>
      <w:r w:rsidR="00342D7E" w:rsidRPr="00342D7E">
        <w:t>tyt</w:t>
      </w:r>
      <w:r w:rsidRPr="00342D7E">
        <w:t>ułu zdefiniowanych świadczeń po okresie zatrudnienia” obejmują kwotę zobowiązań</w:t>
      </w:r>
      <w:r w:rsidR="00342D7E" w:rsidRPr="00342D7E">
        <w:t xml:space="preserve"> z</w:t>
      </w:r>
      <w:r w:rsidR="00342D7E">
        <w:t> </w:t>
      </w:r>
      <w:r w:rsidR="00342D7E" w:rsidRPr="00342D7E">
        <w:t>tyt</w:t>
      </w:r>
      <w:r w:rsidRPr="00342D7E">
        <w:t xml:space="preserve">ułu zdefiniowanych świadczeń netto. </w:t>
      </w:r>
    </w:p>
    <w:p w:rsidR="00D35B0C" w:rsidRPr="00342D7E" w:rsidRDefault="00A834F1">
      <w:pPr>
        <w:pStyle w:val="Baseparagraphnumbered"/>
      </w:pPr>
      <w:r w:rsidRPr="00342D7E">
        <w:t>Zgodnie z MSSF rezerwy na „Inne długoterminowe świadczenia pracownicze” obejmują kwotę deficytów</w:t>
      </w:r>
      <w:r w:rsidR="00342D7E" w:rsidRPr="00342D7E">
        <w:t xml:space="preserve"> w</w:t>
      </w:r>
      <w:r w:rsidR="00342D7E">
        <w:t> </w:t>
      </w:r>
      <w:r w:rsidR="00342D7E" w:rsidRPr="00342D7E">
        <w:t>pro</w:t>
      </w:r>
      <w:r w:rsidRPr="00342D7E">
        <w:t>gramach długoterminowych świadczeń pracowniczych wymienionych w MSR 19 pkt</w:t>
      </w:r>
      <w:r w:rsidR="00342D7E" w:rsidRPr="00342D7E">
        <w:t> </w:t>
      </w:r>
      <w:r w:rsidRPr="00342D7E">
        <w:t>153. Bierne rozliczenia międzyokresowe kosztów</w:t>
      </w:r>
      <w:r w:rsidR="00342D7E" w:rsidRPr="00342D7E">
        <w:t xml:space="preserve"> z</w:t>
      </w:r>
      <w:r w:rsidR="00342D7E">
        <w:t> </w:t>
      </w:r>
      <w:r w:rsidR="00342D7E" w:rsidRPr="00342D7E">
        <w:t>tyt</w:t>
      </w:r>
      <w:r w:rsidRPr="00342D7E">
        <w:t>ułu krótkoterminowych świadczeń pracowniczych (MSR 19 pkt</w:t>
      </w:r>
      <w:r w:rsidR="00342D7E" w:rsidRPr="00342D7E">
        <w:t> </w:t>
      </w:r>
      <w:r w:rsidRPr="00342D7E">
        <w:t>11 lit.</w:t>
      </w:r>
      <w:r w:rsidR="00342D7E" w:rsidRPr="00342D7E">
        <w:t> </w:t>
      </w:r>
      <w:r w:rsidRPr="00342D7E">
        <w:t>a)), programów</w:t>
      </w:r>
      <w:r w:rsidR="00342D7E" w:rsidRPr="00342D7E">
        <w:t xml:space="preserve"> o</w:t>
      </w:r>
      <w:r w:rsidR="00342D7E">
        <w:t> </w:t>
      </w:r>
      <w:r w:rsidR="00342D7E" w:rsidRPr="00342D7E">
        <w:t>zde</w:t>
      </w:r>
      <w:r w:rsidRPr="00342D7E">
        <w:t>finiowanej składce (MSR 19 pkt</w:t>
      </w:r>
      <w:r w:rsidR="00342D7E" w:rsidRPr="00342D7E">
        <w:t> </w:t>
      </w:r>
      <w:r w:rsidRPr="00342D7E">
        <w:t>51 lit.</w:t>
      </w:r>
      <w:r w:rsidR="00342D7E" w:rsidRPr="00342D7E">
        <w:t> </w:t>
      </w:r>
      <w:r w:rsidRPr="00342D7E">
        <w:t>a)) oraz świadczeń</w:t>
      </w:r>
      <w:r w:rsidR="00342D7E" w:rsidRPr="00342D7E">
        <w:t xml:space="preserve"> z</w:t>
      </w:r>
      <w:r w:rsidR="00342D7E">
        <w:t> </w:t>
      </w:r>
      <w:r w:rsidR="00342D7E" w:rsidRPr="00342D7E">
        <w:t>tyt</w:t>
      </w:r>
      <w:r w:rsidRPr="00342D7E">
        <w:t>ułu rozwiązania stosunku pracy (MSR 19 pkt</w:t>
      </w:r>
      <w:r w:rsidR="00342D7E" w:rsidRPr="00342D7E">
        <w:t> </w:t>
      </w:r>
      <w:r w:rsidRPr="00342D7E">
        <w:t>169 lit.</w:t>
      </w:r>
      <w:r w:rsidR="00342D7E" w:rsidRPr="00342D7E">
        <w:t> </w:t>
      </w:r>
      <w:r w:rsidRPr="00342D7E">
        <w:t>a)) ujmuje się</w:t>
      </w:r>
      <w:r w:rsidR="00342D7E" w:rsidRPr="00342D7E">
        <w:t xml:space="preserve"> w</w:t>
      </w:r>
      <w:r w:rsidR="00342D7E">
        <w:t> </w:t>
      </w:r>
      <w:r w:rsidR="00342D7E" w:rsidRPr="00342D7E">
        <w:t>poz</w:t>
      </w:r>
      <w:r w:rsidRPr="00342D7E">
        <w:t>ycji „Inne zobowiązania”.</w:t>
      </w:r>
    </w:p>
    <w:p w:rsidR="00D35B0C" w:rsidRPr="00342D7E" w:rsidRDefault="00A834F1">
      <w:pPr>
        <w:pStyle w:val="Baseparagraphnumbered"/>
      </w:pPr>
      <w:r w:rsidRPr="00342D7E">
        <w:t>Zgodnie z MSSF rezerwy na „Udzielone zobowiązania</w:t>
      </w:r>
      <w:r w:rsidR="00342D7E" w:rsidRPr="00342D7E">
        <w:t xml:space="preserve"> i</w:t>
      </w:r>
      <w:r w:rsidR="00342D7E">
        <w:t> </w:t>
      </w:r>
      <w:r w:rsidR="00342D7E" w:rsidRPr="00342D7E">
        <w:t>gwa</w:t>
      </w:r>
      <w:r w:rsidRPr="00342D7E">
        <w:t>rancje” obejmują rezerwy związane</w:t>
      </w:r>
      <w:r w:rsidR="00342D7E" w:rsidRPr="00342D7E">
        <w:t xml:space="preserve"> z</w:t>
      </w:r>
      <w:r w:rsidR="00342D7E">
        <w:t> </w:t>
      </w:r>
      <w:r w:rsidR="00342D7E" w:rsidRPr="00342D7E">
        <w:t>wsz</w:t>
      </w:r>
      <w:r w:rsidRPr="00342D7E">
        <w:t>ystkimi zobowiązaniami</w:t>
      </w:r>
      <w:r w:rsidR="00342D7E" w:rsidRPr="00342D7E">
        <w:t xml:space="preserve"> i</w:t>
      </w:r>
      <w:r w:rsidR="00342D7E">
        <w:t> </w:t>
      </w:r>
      <w:r w:rsidR="00342D7E" w:rsidRPr="00342D7E">
        <w:t>gwa</w:t>
      </w:r>
      <w:r w:rsidRPr="00342D7E">
        <w:t>rancjami, niezależnie od tego, czy ich utratę wartości ustala się zgodnie z MSSF 9 lub czy tworzenie rezerw</w:t>
      </w:r>
      <w:r w:rsidR="00342D7E" w:rsidRPr="00342D7E">
        <w:t xml:space="preserve"> z</w:t>
      </w:r>
      <w:r w:rsidR="00342D7E">
        <w:t> </w:t>
      </w:r>
      <w:r w:rsidR="00342D7E" w:rsidRPr="00342D7E">
        <w:t>ich</w:t>
      </w:r>
      <w:r w:rsidRPr="00342D7E">
        <w:t xml:space="preserve"> tytułu przebiega zgodnie z MSR 37 bądź też czy traktuje się je jako umowy ubezpieczeniowe zgodnie z MSSF 4. Zobowiązań wynikających</w:t>
      </w:r>
      <w:r w:rsidR="00342D7E" w:rsidRPr="00342D7E">
        <w:t xml:space="preserve"> z</w:t>
      </w:r>
      <w:r w:rsidR="00342D7E">
        <w:t> </w:t>
      </w:r>
      <w:r w:rsidR="00342D7E" w:rsidRPr="00342D7E">
        <w:t>zob</w:t>
      </w:r>
      <w:r w:rsidRPr="00342D7E">
        <w:t>owiązań</w:t>
      </w:r>
      <w:r w:rsidR="00342D7E" w:rsidRPr="00342D7E">
        <w:t xml:space="preserve"> i</w:t>
      </w:r>
      <w:r w:rsidR="00342D7E">
        <w:t> </w:t>
      </w:r>
      <w:r w:rsidR="00342D7E" w:rsidRPr="00342D7E">
        <w:t>gwa</w:t>
      </w:r>
      <w:r w:rsidRPr="00342D7E">
        <w:t>rancji finansowych wycenianych według wartości godziwej przez wynik finansowy nie zgłasza się jako rezerw, nawet jeśli zawiązano je ze względu na ryzyko kredytowe, lecz jako „inne zobowiązania finansowe” zgodnie</w:t>
      </w:r>
      <w:r w:rsidR="00342D7E" w:rsidRPr="00342D7E">
        <w:t xml:space="preserve"> z</w:t>
      </w:r>
      <w:r w:rsidR="00342D7E">
        <w:t> </w:t>
      </w:r>
      <w:r w:rsidR="00342D7E" w:rsidRPr="00342D7E">
        <w:t>czę</w:t>
      </w:r>
      <w:r w:rsidRPr="00342D7E">
        <w:t>ścią 1 pkt</w:t>
      </w:r>
      <w:r w:rsidR="00342D7E" w:rsidRPr="00342D7E">
        <w:t> </w:t>
      </w:r>
      <w:r w:rsidRPr="00342D7E">
        <w:t>40 niniejszego załącznika. Zgodnie</w:t>
      </w:r>
      <w:r w:rsidR="00342D7E" w:rsidRPr="00342D7E">
        <w:t xml:space="preserve"> z</w:t>
      </w:r>
      <w:r w:rsidR="00342D7E">
        <w:t> </w:t>
      </w:r>
      <w:r w:rsidR="00342D7E" w:rsidRPr="00342D7E">
        <w:t>kra</w:t>
      </w:r>
      <w:r w:rsidRPr="00342D7E">
        <w:t>jowymi ogólnie przyjętymi zasadami rachunkowości opartymi na BAD rezerwy na „Udzielone zobowiązania</w:t>
      </w:r>
      <w:r w:rsidR="00342D7E" w:rsidRPr="00342D7E">
        <w:t xml:space="preserve"> i</w:t>
      </w:r>
      <w:r w:rsidR="00342D7E">
        <w:t> </w:t>
      </w:r>
      <w:r w:rsidR="00342D7E" w:rsidRPr="00342D7E">
        <w:t>gwa</w:t>
      </w:r>
      <w:r w:rsidRPr="00342D7E">
        <w:t>rancje” obejmują rezerwy związane ze wszystkimi zobowiązaniami</w:t>
      </w:r>
      <w:r w:rsidR="00342D7E" w:rsidRPr="00342D7E">
        <w:t xml:space="preserve"> i</w:t>
      </w:r>
      <w:r w:rsidR="00342D7E">
        <w:t> </w:t>
      </w:r>
      <w:r w:rsidR="00342D7E" w:rsidRPr="00342D7E">
        <w:t>gwa</w:t>
      </w:r>
      <w:r w:rsidRPr="00342D7E">
        <w:t>rancjami.</w:t>
      </w:r>
    </w:p>
    <w:p w:rsidR="00D35B0C" w:rsidRPr="00342D7E" w:rsidRDefault="00A834F1">
      <w:pPr>
        <w:pStyle w:val="Baseparagraphnumbered"/>
      </w:pPr>
      <w:r w:rsidRPr="00342D7E">
        <w:t>„Kapitał podstawowy płatny na żądanie” obejmuje instrumenty kapitałowe wyemitowane przez instytucję, które nie spełniają kryteriów pozwalających zaliczyć je do kategorii kapitału własnego. Instytucje uwzględniają</w:t>
      </w:r>
      <w:r w:rsidR="00342D7E" w:rsidRPr="00342D7E">
        <w:t xml:space="preserve"> w</w:t>
      </w:r>
      <w:r w:rsidR="00342D7E">
        <w:t> </w:t>
      </w:r>
      <w:r w:rsidR="00342D7E" w:rsidRPr="00342D7E">
        <w:t>tej</w:t>
      </w:r>
      <w:r w:rsidRPr="00342D7E">
        <w:t xml:space="preserve"> pozycji udziały</w:t>
      </w:r>
      <w:r w:rsidR="00342D7E" w:rsidRPr="00342D7E">
        <w:t xml:space="preserve"> w</w:t>
      </w:r>
      <w:r w:rsidR="00342D7E">
        <w:t> </w:t>
      </w:r>
      <w:r w:rsidR="00342D7E" w:rsidRPr="00342D7E">
        <w:t>spó</w:t>
      </w:r>
      <w:r w:rsidRPr="00342D7E">
        <w:t>łdzielniach, które nie spełniają kryteriów pozwalających sklasyfikować je jako kapitał własny.</w:t>
      </w:r>
    </w:p>
    <w:p w:rsidR="00D35B0C" w:rsidRPr="00342D7E" w:rsidRDefault="00A834F1">
      <w:pPr>
        <w:pStyle w:val="Baseparagraphnumbered"/>
      </w:pPr>
      <w:r w:rsidRPr="00342D7E">
        <w:t>Zobowiązania niebędące zobowiązaniami finansowymi, które</w:t>
      </w:r>
      <w:r w:rsidR="00342D7E" w:rsidRPr="00342D7E">
        <w:t xml:space="preserve"> z</w:t>
      </w:r>
      <w:r w:rsidR="00342D7E">
        <w:t> </w:t>
      </w:r>
      <w:r w:rsidR="00342D7E" w:rsidRPr="00342D7E">
        <w:t>uwa</w:t>
      </w:r>
      <w:r w:rsidRPr="00342D7E">
        <w:t>gi na swój charakter nie mogły zostać ujęte</w:t>
      </w:r>
      <w:r w:rsidR="00342D7E" w:rsidRPr="00342D7E">
        <w:t xml:space="preserve"> w</w:t>
      </w:r>
      <w:r w:rsidR="00342D7E">
        <w:t> </w:t>
      </w:r>
      <w:r w:rsidR="00342D7E" w:rsidRPr="00342D7E">
        <w:t>okr</w:t>
      </w:r>
      <w:r w:rsidRPr="00342D7E">
        <w:t>eślonych pozycjach bilansu, zgłasza się</w:t>
      </w:r>
      <w:r w:rsidR="00342D7E" w:rsidRPr="00342D7E">
        <w:t xml:space="preserve"> w</w:t>
      </w:r>
      <w:r w:rsidR="00342D7E">
        <w:t> </w:t>
      </w:r>
      <w:r w:rsidR="00342D7E" w:rsidRPr="00342D7E">
        <w:t>poz</w:t>
      </w:r>
      <w:r w:rsidRPr="00342D7E">
        <w:t xml:space="preserve">ycji „Inne zobowiązania”. </w:t>
      </w:r>
    </w:p>
    <w:p w:rsidR="00D35B0C" w:rsidRPr="00342D7E" w:rsidRDefault="00A834F1">
      <w:pPr>
        <w:pStyle w:val="Baseparagraphnumbered"/>
      </w:pPr>
      <w:r w:rsidRPr="00342D7E">
        <w:t>„Zobowiązania uwzględnione</w:t>
      </w:r>
      <w:r w:rsidR="00342D7E" w:rsidRPr="00342D7E">
        <w:t xml:space="preserve"> w</w:t>
      </w:r>
      <w:r w:rsidR="00342D7E">
        <w:t> </w:t>
      </w:r>
      <w:r w:rsidR="00342D7E" w:rsidRPr="00342D7E">
        <w:t>gru</w:t>
      </w:r>
      <w:r w:rsidRPr="00342D7E">
        <w:t>pach do zbycia sklasyfikowanych jako przeznaczone do sprzedaży” mają takie samo znaczenie jak</w:t>
      </w:r>
      <w:r w:rsidR="00342D7E" w:rsidRPr="00342D7E">
        <w:t xml:space="preserve"> w</w:t>
      </w:r>
      <w:r w:rsidR="00342D7E">
        <w:t> </w:t>
      </w:r>
      <w:r w:rsidR="00342D7E" w:rsidRPr="00342D7E">
        <w:t>ram</w:t>
      </w:r>
      <w:r w:rsidRPr="00342D7E">
        <w:t xml:space="preserve">ach MSSF 5. </w:t>
      </w:r>
    </w:p>
    <w:p w:rsidR="00D35B0C" w:rsidRPr="00342D7E" w:rsidRDefault="00A834F1">
      <w:pPr>
        <w:pStyle w:val="Baseparagraphnumbered"/>
      </w:pPr>
      <w:r w:rsidRPr="00342D7E">
        <w:t>Zgodnie</w:t>
      </w:r>
      <w:r w:rsidR="00342D7E" w:rsidRPr="00342D7E">
        <w:t xml:space="preserve"> z</w:t>
      </w:r>
      <w:r w:rsidR="00342D7E">
        <w:t> </w:t>
      </w:r>
      <w:r w:rsidR="00342D7E" w:rsidRPr="00342D7E">
        <w:t>kra</w:t>
      </w:r>
      <w:r w:rsidRPr="00342D7E">
        <w:t xml:space="preserve">jowymi ogólnie przyjętymi zasadami rachunkowości opartymi na BAD „Fundusze ogólnego ryzyka bankowego” są to kwoty, które zostały </w:t>
      </w:r>
      <w:r w:rsidRPr="00342D7E">
        <w:lastRenderedPageBreak/>
        <w:t>przypisane zgodnie</w:t>
      </w:r>
      <w:r w:rsidR="00342D7E" w:rsidRPr="00342D7E">
        <w:t xml:space="preserve"> z</w:t>
      </w:r>
      <w:r w:rsidR="00342D7E">
        <w:t> </w:t>
      </w:r>
      <w:r w:rsidR="00342D7E" w:rsidRPr="00342D7E">
        <w:t>art</w:t>
      </w:r>
      <w:r w:rsidRPr="00342D7E">
        <w:t>.</w:t>
      </w:r>
      <w:r w:rsidR="00342D7E" w:rsidRPr="00342D7E">
        <w:t> </w:t>
      </w:r>
      <w:r w:rsidRPr="00342D7E">
        <w:t>38 BAD. Po ujęciu kwoty te pojawiają się oddzielnie jako zobowiązania</w:t>
      </w:r>
      <w:r w:rsidR="00342D7E" w:rsidRPr="00342D7E">
        <w:t xml:space="preserve"> w</w:t>
      </w:r>
      <w:r w:rsidR="00342D7E">
        <w:t> </w:t>
      </w:r>
      <w:r w:rsidR="00342D7E" w:rsidRPr="00342D7E">
        <w:t>poz</w:t>
      </w:r>
      <w:r w:rsidRPr="00342D7E">
        <w:t>ycji „rezerwy” albo jako kapitał własny</w:t>
      </w:r>
      <w:r w:rsidR="00342D7E" w:rsidRPr="00342D7E">
        <w:t xml:space="preserve"> w</w:t>
      </w:r>
      <w:r w:rsidR="00342D7E">
        <w:t> </w:t>
      </w:r>
      <w:r w:rsidR="00342D7E" w:rsidRPr="00342D7E">
        <w:t>poz</w:t>
      </w:r>
      <w:r w:rsidRPr="00342D7E">
        <w:t>ycji „pozostałe kapitały rezerwowe” zgodnie</w:t>
      </w:r>
      <w:r w:rsidR="00342D7E" w:rsidRPr="00342D7E">
        <w:t xml:space="preserve"> z</w:t>
      </w:r>
      <w:r w:rsidR="00342D7E">
        <w:t> </w:t>
      </w:r>
      <w:r w:rsidR="00342D7E" w:rsidRPr="00342D7E">
        <w:t>odp</w:t>
      </w:r>
      <w:r w:rsidRPr="00342D7E">
        <w:t>owiednimi krajowymi ogólnie przyjętymi zasadami rachunkowości.</w:t>
      </w:r>
    </w:p>
    <w:p w:rsidR="00D35B0C" w:rsidRPr="00342D7E" w:rsidRDefault="00A834F1">
      <w:pPr>
        <w:pStyle w:val="sub-subtitlenumbered"/>
        <w:jc w:val="both"/>
      </w:pPr>
      <w:bookmarkStart w:id="16" w:name="_Toc31019118"/>
      <w:r w:rsidRPr="00342D7E">
        <w:t>Kapitał własny (1.3)</w:t>
      </w:r>
      <w:bookmarkEnd w:id="16"/>
    </w:p>
    <w:p w:rsidR="00D35B0C" w:rsidRPr="00342D7E" w:rsidRDefault="00A834F1">
      <w:pPr>
        <w:pStyle w:val="Baseparagraphnumbered"/>
      </w:pPr>
      <w:r w:rsidRPr="00342D7E">
        <w:t>Zgodnie z MSSF instrumenty kapitałowe będące instrumentami finansowymi obejmują kontrakty wchodzące</w:t>
      </w:r>
      <w:r w:rsidR="00342D7E" w:rsidRPr="00342D7E">
        <w:t xml:space="preserve"> w</w:t>
      </w:r>
      <w:r w:rsidR="00342D7E">
        <w:t> </w:t>
      </w:r>
      <w:r w:rsidR="00342D7E" w:rsidRPr="00342D7E">
        <w:t>zak</w:t>
      </w:r>
      <w:r w:rsidRPr="00342D7E">
        <w:t xml:space="preserve">res MSR 32. </w:t>
      </w:r>
    </w:p>
    <w:p w:rsidR="00D35B0C" w:rsidRPr="00342D7E" w:rsidRDefault="00A834F1">
      <w:pPr>
        <w:pStyle w:val="Baseparagraphnumbered"/>
      </w:pPr>
      <w:r w:rsidRPr="00342D7E">
        <w:t>Zgodnie odpowiednimi krajowymi ogólnie przyjętymi zasadami rachunkowości opartymi na BAD „Niewniesiony kapitał zadeklarowany” obejmuje wartość bilansową wyemitowanego przez instytucję kapitału, do którego wniesienia subskrybenci zostali wezwani, ale który nie został wniesiony według stanu na sprawozdawczy dzień odniesienia. Jeżeli podwyższenie kapitału, którego jeszcze nie opłacono, ujęto jako podwyższenie kapitału podstawowego, niewniesiony kapitał zadeklarowany zgłasza się</w:t>
      </w:r>
      <w:r w:rsidR="00342D7E" w:rsidRPr="00342D7E">
        <w:t xml:space="preserve"> w</w:t>
      </w:r>
      <w:r w:rsidR="00342D7E">
        <w:t> </w:t>
      </w:r>
      <w:r w:rsidR="00342D7E" w:rsidRPr="00342D7E">
        <w:t>poz</w:t>
      </w:r>
      <w:r w:rsidRPr="00342D7E">
        <w:t xml:space="preserve">ycji „Niewniesiony kapitał zadeklarowany” we wzorze 1.3, </w:t>
      </w:r>
      <w:proofErr w:type="gramStart"/>
      <w:r w:rsidRPr="00342D7E">
        <w:t>jak</w:t>
      </w:r>
      <w:proofErr w:type="gramEnd"/>
      <w:r w:rsidRPr="00342D7E">
        <w:t xml:space="preserve"> również</w:t>
      </w:r>
      <w:r w:rsidR="00342D7E" w:rsidRPr="00342D7E">
        <w:t xml:space="preserve"> w</w:t>
      </w:r>
      <w:r w:rsidR="00342D7E">
        <w:t> </w:t>
      </w:r>
      <w:r w:rsidR="00342D7E" w:rsidRPr="00342D7E">
        <w:t>poz</w:t>
      </w:r>
      <w:r w:rsidRPr="00342D7E">
        <w:t>ycji „inne aktywa” we wzorze 1.1. Jeżeli zgodnie</w:t>
      </w:r>
      <w:r w:rsidR="00342D7E" w:rsidRPr="00342D7E">
        <w:t xml:space="preserve"> z</w:t>
      </w:r>
      <w:r w:rsidR="00342D7E">
        <w:t> </w:t>
      </w:r>
      <w:r w:rsidR="00342D7E" w:rsidRPr="00342D7E">
        <w:t>odp</w:t>
      </w:r>
      <w:r w:rsidRPr="00342D7E">
        <w:t>owiednimi krajowymi ogólnie przyjętymi zasadami rachunkowości opartymi na BAD podwyższenie kapitału można ująć dopiero po otrzymaniu płatności od akcjonariuszy lub udziałowców, niewniesionego kapitału nie zgłasza się we wzorze 1.3.</w:t>
      </w:r>
    </w:p>
    <w:p w:rsidR="00D35B0C" w:rsidRPr="00342D7E" w:rsidRDefault="00A834F1">
      <w:pPr>
        <w:pStyle w:val="Baseparagraphnumbered"/>
      </w:pPr>
      <w:r w:rsidRPr="00342D7E">
        <w:t>„Element kapitałowy złożonych instrumentów finansowych” obejmuje wyemitowany przez instytucję element kapitałowy złożonych instrumentów finansowych (tj. instrumentów finansowych zawierających zarówno element zobowiązaniowy, jak</w:t>
      </w:r>
      <w:r w:rsidR="00342D7E" w:rsidRPr="00342D7E">
        <w:t xml:space="preserve"> i</w:t>
      </w:r>
      <w:r w:rsidR="00342D7E">
        <w:t> </w:t>
      </w:r>
      <w:r w:rsidR="00342D7E" w:rsidRPr="00342D7E">
        <w:t>ele</w:t>
      </w:r>
      <w:r w:rsidRPr="00342D7E">
        <w:t>ment kapitałowy), sklasyfikowany zgodnie</w:t>
      </w:r>
      <w:r w:rsidR="00342D7E" w:rsidRPr="00342D7E">
        <w:t xml:space="preserve"> z</w:t>
      </w:r>
      <w:r w:rsidR="00342D7E">
        <w:t> </w:t>
      </w:r>
      <w:r w:rsidR="00342D7E" w:rsidRPr="00342D7E">
        <w:t>maj</w:t>
      </w:r>
      <w:r w:rsidRPr="00342D7E">
        <w:t>ącymi zastosowanie standardami rachunkowości (uwzględniając złożone instrumenty finansowe</w:t>
      </w:r>
      <w:r w:rsidR="00342D7E" w:rsidRPr="00342D7E">
        <w:t xml:space="preserve"> z</w:t>
      </w:r>
      <w:r w:rsidR="00342D7E">
        <w:t> </w:t>
      </w:r>
      <w:r w:rsidR="00342D7E" w:rsidRPr="00342D7E">
        <w:t>wie</w:t>
      </w:r>
      <w:r w:rsidRPr="00342D7E">
        <w:t>loma wbudowanymi instrumentami pochodnymi, których wartości są ze sobą wzajemnie powiązane).</w:t>
      </w:r>
    </w:p>
    <w:p w:rsidR="00D35B0C" w:rsidRPr="00342D7E" w:rsidRDefault="00A834F1">
      <w:pPr>
        <w:pStyle w:val="Baseparagraphnumbered"/>
      </w:pPr>
      <w:r w:rsidRPr="00342D7E">
        <w:t xml:space="preserve">„Inne wyemitowane instrumenty kapitałowe” obejmują instrumenty kapitałowe będące instrumentami finansowymi, inne niż „Kapitał” i „Element kapitałowy złożonych instrumentów finansowych”. </w:t>
      </w:r>
    </w:p>
    <w:p w:rsidR="00D35B0C" w:rsidRPr="00342D7E" w:rsidRDefault="00A834F1">
      <w:pPr>
        <w:pStyle w:val="Baseparagraphnumbered"/>
      </w:pPr>
      <w:r w:rsidRPr="00342D7E">
        <w:t>„Pozostałe udziały kapitałowe” obejmują wszystkie instrumenty kapitałowe niebędące instrumentami finansowymi,</w:t>
      </w:r>
      <w:r w:rsidR="00342D7E" w:rsidRPr="00342D7E">
        <w:t xml:space="preserve"> w</w:t>
      </w:r>
      <w:r w:rsidR="00342D7E">
        <w:t> </w:t>
      </w:r>
      <w:r w:rsidR="00342D7E" w:rsidRPr="00342D7E">
        <w:t>tym</w:t>
      </w:r>
      <w:r w:rsidRPr="00342D7E">
        <w:t xml:space="preserve"> m.in. transakcje płatności</w:t>
      </w:r>
      <w:r w:rsidR="00342D7E" w:rsidRPr="00342D7E">
        <w:t xml:space="preserve"> w</w:t>
      </w:r>
      <w:r w:rsidR="00342D7E">
        <w:t> </w:t>
      </w:r>
      <w:r w:rsidR="00342D7E" w:rsidRPr="00342D7E">
        <w:t>for</w:t>
      </w:r>
      <w:r w:rsidRPr="00342D7E">
        <w:t>mie akcji rozliczane</w:t>
      </w:r>
      <w:r w:rsidR="00342D7E" w:rsidRPr="00342D7E">
        <w:t xml:space="preserve"> w</w:t>
      </w:r>
      <w:r w:rsidR="00342D7E">
        <w:t> </w:t>
      </w:r>
      <w:r w:rsidR="00342D7E" w:rsidRPr="00342D7E">
        <w:t>ins</w:t>
      </w:r>
      <w:r w:rsidRPr="00342D7E">
        <w:t>trumentach kapitałowych (MSSF 2 pkt</w:t>
      </w:r>
      <w:r w:rsidR="00342D7E" w:rsidRPr="00342D7E">
        <w:t> </w:t>
      </w:r>
      <w:r w:rsidRPr="00342D7E">
        <w:t xml:space="preserve">10). </w:t>
      </w:r>
    </w:p>
    <w:p w:rsidR="00D35B0C" w:rsidRPr="00342D7E" w:rsidRDefault="00A834F1">
      <w:pPr>
        <w:pStyle w:val="Baseparagraphnumbered"/>
      </w:pPr>
      <w:r w:rsidRPr="00342D7E">
        <w:t>„Zmiany wartości godziwej instrumentów kapitałowych wycenianych według wartości godziwej przez inne całkowite dochody” obejmują skumulowane zyski</w:t>
      </w:r>
      <w:r w:rsidR="00342D7E" w:rsidRPr="00342D7E">
        <w:t xml:space="preserve"> i</w:t>
      </w:r>
      <w:r w:rsidR="00342D7E">
        <w:t> </w:t>
      </w:r>
      <w:r w:rsidR="00342D7E" w:rsidRPr="00342D7E">
        <w:t>str</w:t>
      </w:r>
      <w:r w:rsidRPr="00342D7E">
        <w:t>aty wynikające ze zmian wartości godziwej</w:t>
      </w:r>
      <w:r w:rsidR="00342D7E" w:rsidRPr="00342D7E">
        <w:t xml:space="preserve"> z</w:t>
      </w:r>
      <w:r w:rsidR="00342D7E">
        <w:t> </w:t>
      </w:r>
      <w:r w:rsidR="00342D7E" w:rsidRPr="00342D7E">
        <w:t>tyt</w:t>
      </w:r>
      <w:r w:rsidRPr="00342D7E">
        <w:t>ułu inwestycji</w:t>
      </w:r>
      <w:r w:rsidR="00342D7E" w:rsidRPr="00342D7E">
        <w:t xml:space="preserve"> w</w:t>
      </w:r>
      <w:r w:rsidR="00342D7E">
        <w:t> </w:t>
      </w:r>
      <w:r w:rsidR="00342D7E" w:rsidRPr="00342D7E">
        <w:t>ins</w:t>
      </w:r>
      <w:r w:rsidRPr="00342D7E">
        <w:t>trumenty kapitałowe,</w:t>
      </w:r>
      <w:r w:rsidR="00342D7E" w:rsidRPr="00342D7E">
        <w:t xml:space="preserve"> w</w:t>
      </w:r>
      <w:r w:rsidR="00342D7E">
        <w:t> </w:t>
      </w:r>
      <w:r w:rsidR="00342D7E" w:rsidRPr="00342D7E">
        <w:t>odn</w:t>
      </w:r>
      <w:r w:rsidRPr="00342D7E">
        <w:t>iesieniu do których jednostka sprawozdawcza dokonała nieodwracalnego wyboru, by prezentować zmiany wartości godziwej</w:t>
      </w:r>
      <w:r w:rsidR="00342D7E" w:rsidRPr="00342D7E">
        <w:t xml:space="preserve"> w</w:t>
      </w:r>
      <w:r w:rsidR="00342D7E">
        <w:t> </w:t>
      </w:r>
      <w:r w:rsidR="00342D7E" w:rsidRPr="00342D7E">
        <w:t>inn</w:t>
      </w:r>
      <w:r w:rsidRPr="00342D7E">
        <w:t xml:space="preserve">ych całkowitych dochodach. </w:t>
      </w:r>
    </w:p>
    <w:p w:rsidR="00D35B0C" w:rsidRPr="00342D7E" w:rsidRDefault="00A834F1">
      <w:pPr>
        <w:pStyle w:val="Baseparagraphnumbered"/>
      </w:pPr>
      <w:r w:rsidRPr="00342D7E">
        <w:t>„Nieefektywność zabezpieczeń wartości godziwej pod kątem zabezpieczenia instrumentów kapitałowych wycenianych według wartości godziwej przez inne całkowite dochody” obejmuje skumulowaną nieefektywność zabezpieczeń zaistniałą</w:t>
      </w:r>
      <w:r w:rsidR="00342D7E" w:rsidRPr="00342D7E">
        <w:t xml:space="preserve"> w</w:t>
      </w:r>
      <w:r w:rsidR="00342D7E">
        <w:t> </w:t>
      </w:r>
      <w:r w:rsidR="00342D7E" w:rsidRPr="00342D7E">
        <w:t>prz</w:t>
      </w:r>
      <w:r w:rsidRPr="00342D7E">
        <w:t>ypadku zabezpieczeń wartości godziwej,</w:t>
      </w:r>
      <w:r w:rsidR="00342D7E" w:rsidRPr="00342D7E">
        <w:t xml:space="preserve"> </w:t>
      </w:r>
      <w:r w:rsidR="00342D7E" w:rsidRPr="00342D7E">
        <w:lastRenderedPageBreak/>
        <w:t>w</w:t>
      </w:r>
      <w:r w:rsidR="00342D7E">
        <w:t> </w:t>
      </w:r>
      <w:r w:rsidR="00342D7E" w:rsidRPr="00342D7E">
        <w:t>któ</w:t>
      </w:r>
      <w:r w:rsidRPr="00342D7E">
        <w:t>rych pozycja zabezpieczana jest instrumentem kapitałowym wycenianym według wartości godziwej przez inne całkowite dochody. Nieefektywność zabezpieczeń zgłaszana</w:t>
      </w:r>
      <w:r w:rsidR="00342D7E" w:rsidRPr="00342D7E">
        <w:t xml:space="preserve"> w</w:t>
      </w:r>
      <w:r w:rsidR="00342D7E">
        <w:t> </w:t>
      </w:r>
      <w:r w:rsidR="00342D7E" w:rsidRPr="00342D7E">
        <w:t>tym</w:t>
      </w:r>
      <w:r w:rsidRPr="00342D7E">
        <w:t xml:space="preserve"> wierszu stanowi różnicę między skumulowaną zmianą wartości godziwej instrumentu kapitałowego zgłaszaną</w:t>
      </w:r>
      <w:r w:rsidR="00342D7E" w:rsidRPr="00342D7E">
        <w:t xml:space="preserve"> w</w:t>
      </w:r>
      <w:r w:rsidR="00342D7E">
        <w:t> </w:t>
      </w:r>
      <w:r w:rsidR="00342D7E" w:rsidRPr="00342D7E">
        <w:t>poz</w:t>
      </w:r>
      <w:r w:rsidRPr="00342D7E">
        <w:t>ycji „Zmiany wartości godziwej instrumentów kapitałowych wycenianych według wartości godziwej przez inne całkowite dochody (pozycja zabezpieczana</w:t>
      </w:r>
      <w:proofErr w:type="gramStart"/>
      <w:r w:rsidRPr="00342D7E">
        <w:t>)”</w:t>
      </w:r>
      <w:r w:rsidR="00342D7E" w:rsidRPr="00342D7E">
        <w:t xml:space="preserve"> a</w:t>
      </w:r>
      <w:proofErr w:type="gramEnd"/>
      <w:r w:rsidR="00342D7E">
        <w:t> </w:t>
      </w:r>
      <w:r w:rsidR="00342D7E" w:rsidRPr="00342D7E">
        <w:t>sku</w:t>
      </w:r>
      <w:r w:rsidRPr="00342D7E">
        <w:t>mulowanymi zmianami wartości godziwej zabezpieczającego instrumentu pochodnego zgłaszanymi</w:t>
      </w:r>
      <w:r w:rsidR="00342D7E" w:rsidRPr="00342D7E">
        <w:t xml:space="preserve"> w</w:t>
      </w:r>
      <w:r w:rsidR="00342D7E">
        <w:t> </w:t>
      </w:r>
      <w:r w:rsidR="00342D7E" w:rsidRPr="00342D7E">
        <w:t>poz</w:t>
      </w:r>
      <w:r w:rsidRPr="00342D7E">
        <w:t>ycji „Zmiany wartości godziwej instrumentów kapitałowych wycenianych według wartości godziwej przez inne całkowite dochody (instrument zabezpieczający)” (MSSF 9 pkt</w:t>
      </w:r>
      <w:r w:rsidR="00342D7E" w:rsidRPr="00342D7E">
        <w:t> </w:t>
      </w:r>
      <w:r w:rsidRPr="00342D7E">
        <w:t>6.5.3 i MSSF 9 pkt</w:t>
      </w:r>
      <w:r w:rsidR="00342D7E" w:rsidRPr="00342D7E">
        <w:t> </w:t>
      </w:r>
      <w:r w:rsidRPr="00342D7E">
        <w:t xml:space="preserve">6.5.8). </w:t>
      </w:r>
    </w:p>
    <w:p w:rsidR="00D35B0C" w:rsidRPr="00342D7E" w:rsidRDefault="00A834F1">
      <w:pPr>
        <w:pStyle w:val="Baseparagraphnumbered"/>
      </w:pPr>
      <w:r w:rsidRPr="00342D7E">
        <w:t>„Zmiany wartości godziwej zobowiązań finansowych wycenianych według wartości godziwej przez wynik finansowy wynikające ze zmian</w:t>
      </w:r>
      <w:r w:rsidR="00342D7E" w:rsidRPr="00342D7E">
        <w:t xml:space="preserve"> w</w:t>
      </w:r>
      <w:r w:rsidR="00342D7E">
        <w:t> </w:t>
      </w:r>
      <w:r w:rsidR="00342D7E" w:rsidRPr="00342D7E">
        <w:t>ryz</w:t>
      </w:r>
      <w:r w:rsidRPr="00342D7E">
        <w:t>yku kredytowym” obejmują skumulowane zyski</w:t>
      </w:r>
      <w:r w:rsidR="00342D7E" w:rsidRPr="00342D7E">
        <w:t xml:space="preserve"> i</w:t>
      </w:r>
      <w:r w:rsidR="00342D7E">
        <w:t> </w:t>
      </w:r>
      <w:r w:rsidR="00342D7E" w:rsidRPr="00342D7E">
        <w:t>str</w:t>
      </w:r>
      <w:r w:rsidRPr="00342D7E">
        <w:t>aty ujęte</w:t>
      </w:r>
      <w:r w:rsidR="00342D7E" w:rsidRPr="00342D7E">
        <w:t xml:space="preserve"> w</w:t>
      </w:r>
      <w:r w:rsidR="00342D7E">
        <w:t> </w:t>
      </w:r>
      <w:r w:rsidR="00342D7E" w:rsidRPr="00342D7E">
        <w:t>inn</w:t>
      </w:r>
      <w:r w:rsidRPr="00342D7E">
        <w:t>ych całkowitych dochodach</w:t>
      </w:r>
      <w:r w:rsidR="00342D7E" w:rsidRPr="00342D7E">
        <w:t xml:space="preserve"> i</w:t>
      </w:r>
      <w:r w:rsidR="00342D7E">
        <w:t> </w:t>
      </w:r>
      <w:r w:rsidR="00342D7E" w:rsidRPr="00342D7E">
        <w:t>dot</w:t>
      </w:r>
      <w:r w:rsidRPr="00342D7E">
        <w:t>yczące własnego ryzyka kredytowego</w:t>
      </w:r>
      <w:r w:rsidR="00342D7E" w:rsidRPr="00342D7E">
        <w:t xml:space="preserve"> z</w:t>
      </w:r>
      <w:r w:rsidR="00342D7E">
        <w:t> </w:t>
      </w:r>
      <w:r w:rsidR="00342D7E" w:rsidRPr="00342D7E">
        <w:t>tyt</w:t>
      </w:r>
      <w:r w:rsidRPr="00342D7E">
        <w:t>ułu zobowiązań wyznaczonych jako wyceniane według wartości godziwej przez wynik finansowy, niezależnie od tego, czy wyznaczenie to ma miejsce przy początkowym ujęciu czy też</w:t>
      </w:r>
      <w:r w:rsidR="00342D7E" w:rsidRPr="00342D7E">
        <w:t xml:space="preserve"> w</w:t>
      </w:r>
      <w:r w:rsidR="00342D7E">
        <w:t> </w:t>
      </w:r>
      <w:r w:rsidR="00342D7E" w:rsidRPr="00342D7E">
        <w:t>póź</w:t>
      </w:r>
      <w:r w:rsidRPr="00342D7E">
        <w:t xml:space="preserve">niejszym terminie. </w:t>
      </w:r>
    </w:p>
    <w:p w:rsidR="00D35B0C" w:rsidRPr="00342D7E" w:rsidRDefault="00A834F1">
      <w:pPr>
        <w:pStyle w:val="Baseparagraphnumbered"/>
      </w:pPr>
      <w:r w:rsidRPr="00342D7E">
        <w:t>„Zabezpieczenie inwestycji netto</w:t>
      </w:r>
      <w:r w:rsidR="00342D7E" w:rsidRPr="00342D7E">
        <w:t xml:space="preserve"> w</w:t>
      </w:r>
      <w:r w:rsidR="00342D7E">
        <w:t> </w:t>
      </w:r>
      <w:r w:rsidR="00342D7E" w:rsidRPr="00342D7E">
        <w:t>jed</w:t>
      </w:r>
      <w:r w:rsidRPr="00342D7E">
        <w:t>nostkach działających za granicą (efektywna część</w:t>
      </w:r>
      <w:proofErr w:type="gramStart"/>
      <w:r w:rsidRPr="00342D7E">
        <w:t>)” obejmuje</w:t>
      </w:r>
      <w:proofErr w:type="gramEnd"/>
      <w:r w:rsidRPr="00342D7E">
        <w:t xml:space="preserve"> rezerwy</w:t>
      </w:r>
      <w:r w:rsidR="00342D7E" w:rsidRPr="00342D7E">
        <w:t xml:space="preserve"> z</w:t>
      </w:r>
      <w:r w:rsidR="00342D7E">
        <w:t> </w:t>
      </w:r>
      <w:r w:rsidR="00342D7E" w:rsidRPr="00342D7E">
        <w:t>tyt</w:t>
      </w:r>
      <w:r w:rsidRPr="00342D7E">
        <w:t>ułu przeliczenia waluty obcej dla efektywnej części zarówno bieżących zabezpieczeń inwestycji netto</w:t>
      </w:r>
      <w:r w:rsidR="00342D7E" w:rsidRPr="00342D7E">
        <w:t xml:space="preserve"> w</w:t>
      </w:r>
      <w:r w:rsidR="00342D7E">
        <w:t> </w:t>
      </w:r>
      <w:r w:rsidR="00342D7E" w:rsidRPr="00342D7E">
        <w:t>jed</w:t>
      </w:r>
      <w:r w:rsidRPr="00342D7E">
        <w:t>nostkach działających za granicą, jak</w:t>
      </w:r>
      <w:r w:rsidR="00342D7E" w:rsidRPr="00342D7E">
        <w:t xml:space="preserve"> i</w:t>
      </w:r>
      <w:r w:rsidR="00342D7E">
        <w:t> </w:t>
      </w:r>
      <w:r w:rsidR="00342D7E" w:rsidRPr="00342D7E">
        <w:t>zab</w:t>
      </w:r>
      <w:r w:rsidRPr="00342D7E">
        <w:t>ezpieczeń inwestycji netto</w:t>
      </w:r>
      <w:r w:rsidR="00342D7E" w:rsidRPr="00342D7E">
        <w:t xml:space="preserve"> w</w:t>
      </w:r>
      <w:r w:rsidR="00342D7E">
        <w:t> </w:t>
      </w:r>
      <w:r w:rsidR="00342D7E" w:rsidRPr="00342D7E">
        <w:t>jed</w:t>
      </w:r>
      <w:r w:rsidRPr="00342D7E">
        <w:t>nostkach działających za granicą, które nie mają już zastosowania,</w:t>
      </w:r>
      <w:r w:rsidR="00342D7E" w:rsidRPr="00342D7E">
        <w:t xml:space="preserve"> o</w:t>
      </w:r>
      <w:r w:rsidR="00342D7E">
        <w:t> </w:t>
      </w:r>
      <w:r w:rsidR="00342D7E" w:rsidRPr="00342D7E">
        <w:t>ile</w:t>
      </w:r>
      <w:r w:rsidRPr="00342D7E">
        <w:t xml:space="preserve"> jednostki działające za granicą pozostają ujęte</w:t>
      </w:r>
      <w:r w:rsidR="00342D7E" w:rsidRPr="00342D7E">
        <w:t xml:space="preserve"> w</w:t>
      </w:r>
      <w:r w:rsidR="00342D7E">
        <w:t> </w:t>
      </w:r>
      <w:r w:rsidR="00342D7E" w:rsidRPr="00342D7E">
        <w:t>bil</w:t>
      </w:r>
      <w:r w:rsidRPr="00342D7E">
        <w:t xml:space="preserve">ansie. </w:t>
      </w:r>
    </w:p>
    <w:p w:rsidR="00D35B0C" w:rsidRPr="00342D7E" w:rsidRDefault="00A834F1">
      <w:pPr>
        <w:pStyle w:val="Baseparagraphnumbered"/>
      </w:pPr>
      <w:r w:rsidRPr="00342D7E">
        <w:t>„Zabezpieczające instrumenty pochodne. Rezerwa</w:t>
      </w:r>
      <w:r w:rsidR="00342D7E" w:rsidRPr="00342D7E">
        <w:t xml:space="preserve"> z</w:t>
      </w:r>
      <w:r w:rsidR="00342D7E">
        <w:t> </w:t>
      </w:r>
      <w:r w:rsidR="00342D7E" w:rsidRPr="00342D7E">
        <w:t>tyt</w:t>
      </w:r>
      <w:r w:rsidRPr="00342D7E">
        <w:t>ułu zabezpieczeń przepływów pieniężnych (efektywna część</w:t>
      </w:r>
      <w:proofErr w:type="gramStart"/>
      <w:r w:rsidRPr="00342D7E">
        <w:t>)” obejmuje</w:t>
      </w:r>
      <w:proofErr w:type="gramEnd"/>
      <w:r w:rsidRPr="00342D7E">
        <w:t xml:space="preserve"> rezerwę</w:t>
      </w:r>
      <w:r w:rsidR="00342D7E" w:rsidRPr="00342D7E">
        <w:t xml:space="preserve"> z</w:t>
      </w:r>
      <w:r w:rsidR="00342D7E">
        <w:t> </w:t>
      </w:r>
      <w:r w:rsidR="00342D7E" w:rsidRPr="00342D7E">
        <w:t>tyt</w:t>
      </w:r>
      <w:r w:rsidRPr="00342D7E">
        <w:t>ułu zabezpieczenia przepływów pieniężnych dla efektywnej części zmiany wartości godziwej zabezpieczających instrumentów pochodnych</w:t>
      </w:r>
      <w:r w:rsidR="00342D7E" w:rsidRPr="00342D7E">
        <w:t xml:space="preserve"> w</w:t>
      </w:r>
      <w:r w:rsidR="00342D7E">
        <w:t> </w:t>
      </w:r>
      <w:r w:rsidR="00342D7E" w:rsidRPr="00342D7E">
        <w:t>zab</w:t>
      </w:r>
      <w:r w:rsidRPr="00342D7E">
        <w:t>ezpieczeniu przepływów pieniężnych, zarówno</w:t>
      </w:r>
      <w:r w:rsidR="00342D7E" w:rsidRPr="00342D7E">
        <w:t xml:space="preserve"> w</w:t>
      </w:r>
      <w:r w:rsidR="00342D7E">
        <w:t> </w:t>
      </w:r>
      <w:r w:rsidR="00342D7E" w:rsidRPr="00342D7E">
        <w:t>odn</w:t>
      </w:r>
      <w:r w:rsidRPr="00342D7E">
        <w:t>iesieniu do bieżących zabezpieczeń przepływów pieniężnych, jak</w:t>
      </w:r>
      <w:r w:rsidR="00342D7E" w:rsidRPr="00342D7E">
        <w:t xml:space="preserve"> i</w:t>
      </w:r>
      <w:r w:rsidR="00342D7E">
        <w:t> </w:t>
      </w:r>
      <w:r w:rsidR="00342D7E" w:rsidRPr="00342D7E">
        <w:t>zab</w:t>
      </w:r>
      <w:r w:rsidRPr="00342D7E">
        <w:t>ezpieczeń przepływów pieniężnych, które nie mają już zastosowania.</w:t>
      </w:r>
    </w:p>
    <w:p w:rsidR="00D35B0C" w:rsidRPr="00342D7E" w:rsidRDefault="00A834F1">
      <w:pPr>
        <w:pStyle w:val="Baseparagraphnumbered"/>
      </w:pPr>
      <w:r w:rsidRPr="00342D7E">
        <w:t>„Zmiany wartości godziwej instrumentów dłużnych wycenianych według wartości godziwej przez inne całkowite dochody” obejmują skumulowane zyski lub straty</w:t>
      </w:r>
      <w:r w:rsidR="00342D7E" w:rsidRPr="00342D7E">
        <w:t xml:space="preserve"> z</w:t>
      </w:r>
      <w:r w:rsidR="00342D7E">
        <w:t> </w:t>
      </w:r>
      <w:r w:rsidR="00342D7E" w:rsidRPr="00342D7E">
        <w:t>tyt</w:t>
      </w:r>
      <w:r w:rsidRPr="00342D7E">
        <w:t>ułu instrumentów dłużnych wycenianych według wartości godziwej przez inne całkowite dochody, po odliczeniu odpisu na straty wycenianego na dzień sprawozdawczy zgodnie z MSSF 9 pkt</w:t>
      </w:r>
      <w:r w:rsidR="00342D7E" w:rsidRPr="00342D7E">
        <w:t> </w:t>
      </w:r>
      <w:r w:rsidRPr="00342D7E">
        <w:t>5.5.</w:t>
      </w:r>
    </w:p>
    <w:p w:rsidR="00D35B0C" w:rsidRPr="00342D7E" w:rsidRDefault="00A834F1">
      <w:pPr>
        <w:pStyle w:val="Baseparagraphnumbered"/>
      </w:pPr>
      <w:r w:rsidRPr="00342D7E">
        <w:t>„Instrumenty zabezpieczające (elementy niewydzielone</w:t>
      </w:r>
      <w:proofErr w:type="gramStart"/>
      <w:r w:rsidRPr="00342D7E">
        <w:t>)” obejmują</w:t>
      </w:r>
      <w:proofErr w:type="gramEnd"/>
      <w:r w:rsidRPr="00342D7E">
        <w:t xml:space="preserve"> skumulowane zmiany wartości godziwej wszystkich poniższych elementów:</w:t>
      </w:r>
    </w:p>
    <w:p w:rsidR="00D35B0C" w:rsidRPr="00342D7E" w:rsidRDefault="00A834F1" w:rsidP="00056B6F">
      <w:pPr>
        <w:pStyle w:val="ListParagraph"/>
        <w:numPr>
          <w:ilvl w:val="0"/>
          <w:numId w:val="33"/>
        </w:numPr>
        <w:spacing w:after="240" w:line="240" w:lineRule="auto"/>
        <w:contextualSpacing w:val="0"/>
        <w:jc w:val="both"/>
        <w:rPr>
          <w:rFonts w:ascii="Times New Roman" w:hAnsi="Times New Roman"/>
          <w:sz w:val="24"/>
          <w:szCs w:val="24"/>
        </w:rPr>
      </w:pPr>
      <w:proofErr w:type="gramStart"/>
      <w:r w:rsidRPr="00342D7E">
        <w:rPr>
          <w:rFonts w:ascii="Times New Roman" w:hAnsi="Times New Roman"/>
          <w:sz w:val="24"/>
          <w:szCs w:val="24"/>
        </w:rPr>
        <w:t>wartości</w:t>
      </w:r>
      <w:proofErr w:type="gramEnd"/>
      <w:r w:rsidRPr="00342D7E">
        <w:rPr>
          <w:rFonts w:ascii="Times New Roman" w:hAnsi="Times New Roman"/>
          <w:sz w:val="24"/>
          <w:szCs w:val="24"/>
        </w:rPr>
        <w:t xml:space="preserve"> czasowej opcji,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gdy zmiany wartości czasowej</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war</w:t>
      </w:r>
      <w:r w:rsidRPr="00342D7E">
        <w:rPr>
          <w:rFonts w:ascii="Times New Roman" w:hAnsi="Times New Roman"/>
          <w:sz w:val="24"/>
          <w:szCs w:val="24"/>
        </w:rPr>
        <w:t>tości wewnętrznej danej opcji następują odrębnie,</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jak</w:t>
      </w:r>
      <w:r w:rsidRPr="00342D7E">
        <w:rPr>
          <w:rFonts w:ascii="Times New Roman" w:hAnsi="Times New Roman"/>
          <w:sz w:val="24"/>
          <w:szCs w:val="24"/>
        </w:rPr>
        <w:t>o instrument zabezpieczający wyznaczono wyłącznie zmianę wartości wewnętrznej (MSSF 9 pkt</w:t>
      </w:r>
      <w:r w:rsidR="00342D7E" w:rsidRPr="00342D7E">
        <w:rPr>
          <w:rFonts w:ascii="Times New Roman" w:hAnsi="Times New Roman"/>
          <w:sz w:val="24"/>
          <w:szCs w:val="24"/>
        </w:rPr>
        <w:t> </w:t>
      </w:r>
      <w:r w:rsidRPr="00342D7E">
        <w:rPr>
          <w:rFonts w:ascii="Times New Roman" w:hAnsi="Times New Roman"/>
          <w:sz w:val="24"/>
          <w:szCs w:val="24"/>
        </w:rPr>
        <w:t xml:space="preserve">6.5.15); </w:t>
      </w:r>
    </w:p>
    <w:p w:rsidR="00D35B0C" w:rsidRPr="00342D7E" w:rsidRDefault="00A834F1" w:rsidP="00056B6F">
      <w:pPr>
        <w:pStyle w:val="ListParagraph"/>
        <w:numPr>
          <w:ilvl w:val="0"/>
          <w:numId w:val="33"/>
        </w:numPr>
        <w:spacing w:after="240" w:line="240" w:lineRule="auto"/>
        <w:contextualSpacing w:val="0"/>
        <w:jc w:val="both"/>
        <w:rPr>
          <w:rFonts w:ascii="Times New Roman" w:hAnsi="Times New Roman"/>
          <w:sz w:val="24"/>
          <w:szCs w:val="24"/>
        </w:rPr>
      </w:pPr>
      <w:proofErr w:type="gramStart"/>
      <w:r w:rsidRPr="00342D7E">
        <w:rPr>
          <w:rFonts w:ascii="Times New Roman" w:hAnsi="Times New Roman"/>
          <w:sz w:val="24"/>
          <w:szCs w:val="24"/>
        </w:rPr>
        <w:lastRenderedPageBreak/>
        <w:t>elementu</w:t>
      </w:r>
      <w:proofErr w:type="gramEnd"/>
      <w:r w:rsidRPr="00342D7E">
        <w:rPr>
          <w:rFonts w:ascii="Times New Roman" w:hAnsi="Times New Roman"/>
          <w:sz w:val="24"/>
          <w:szCs w:val="24"/>
        </w:rPr>
        <w:t xml:space="preserve"> terminowego (forward) kontraktu terminowego typu forward,</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gdy element terminowy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ele</w:t>
      </w:r>
      <w:r w:rsidRPr="00342D7E">
        <w:rPr>
          <w:rFonts w:ascii="Times New Roman" w:hAnsi="Times New Roman"/>
          <w:sz w:val="24"/>
          <w:szCs w:val="24"/>
        </w:rPr>
        <w:t>ment bieżący (spot) tego kontraktu terminowego typu forward są rozdzielone,</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jak</w:t>
      </w:r>
      <w:r w:rsidRPr="00342D7E">
        <w:rPr>
          <w:rFonts w:ascii="Times New Roman" w:hAnsi="Times New Roman"/>
          <w:sz w:val="24"/>
          <w:szCs w:val="24"/>
        </w:rPr>
        <w:t xml:space="preserve">o instrument zabezpieczający wyznaczono wyłącznie zmianę elementu bieżącego kontraktu terminowego typu forward; </w:t>
      </w:r>
    </w:p>
    <w:p w:rsidR="00D35B0C" w:rsidRPr="00342D7E" w:rsidRDefault="00A834F1" w:rsidP="00056B6F">
      <w:pPr>
        <w:pStyle w:val="ListParagraph"/>
        <w:numPr>
          <w:ilvl w:val="0"/>
          <w:numId w:val="33"/>
        </w:numPr>
        <w:spacing w:after="240" w:line="240" w:lineRule="auto"/>
        <w:contextualSpacing w:val="0"/>
        <w:jc w:val="both"/>
        <w:rPr>
          <w:rFonts w:ascii="Times New Roman" w:hAnsi="Times New Roman"/>
          <w:sz w:val="24"/>
          <w:szCs w:val="24"/>
        </w:rPr>
      </w:pPr>
      <w:proofErr w:type="gramStart"/>
      <w:r w:rsidRPr="00342D7E">
        <w:rPr>
          <w:rFonts w:ascii="Times New Roman" w:hAnsi="Times New Roman"/>
          <w:sz w:val="24"/>
          <w:szCs w:val="24"/>
        </w:rPr>
        <w:t>walutowego</w:t>
      </w:r>
      <w:proofErr w:type="gramEnd"/>
      <w:r w:rsidRPr="00342D7E">
        <w:rPr>
          <w:rFonts w:ascii="Times New Roman" w:hAnsi="Times New Roman"/>
          <w:sz w:val="24"/>
          <w:szCs w:val="24"/>
        </w:rPr>
        <w:t xml:space="preserve"> spreadu bazowego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instrumentu finansowego,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gdy spread ten pominięto przy wyznaczaniu tego instrumentu finansowego jako instrumentu zabezpieczającego (MSSF 9 pkt</w:t>
      </w:r>
      <w:r w:rsidR="00342D7E" w:rsidRPr="00342D7E">
        <w:rPr>
          <w:rFonts w:ascii="Times New Roman" w:hAnsi="Times New Roman"/>
          <w:sz w:val="24"/>
          <w:szCs w:val="24"/>
        </w:rPr>
        <w:t> </w:t>
      </w:r>
      <w:r w:rsidRPr="00342D7E">
        <w:rPr>
          <w:rFonts w:ascii="Times New Roman" w:hAnsi="Times New Roman"/>
          <w:sz w:val="24"/>
          <w:szCs w:val="24"/>
        </w:rPr>
        <w:t>6.5.15, MSSF 9 pkt</w:t>
      </w:r>
      <w:r w:rsidR="00342D7E" w:rsidRPr="00342D7E">
        <w:rPr>
          <w:rFonts w:ascii="Times New Roman" w:hAnsi="Times New Roman"/>
          <w:sz w:val="24"/>
          <w:szCs w:val="24"/>
        </w:rPr>
        <w:t> </w:t>
      </w:r>
      <w:r w:rsidRPr="00342D7E">
        <w:rPr>
          <w:rFonts w:ascii="Times New Roman" w:hAnsi="Times New Roman"/>
          <w:sz w:val="24"/>
          <w:szCs w:val="24"/>
        </w:rPr>
        <w:t>6.5.16).</w:t>
      </w:r>
    </w:p>
    <w:p w:rsidR="00D35B0C" w:rsidRPr="00342D7E" w:rsidRDefault="00A834F1">
      <w:pPr>
        <w:pStyle w:val="Baseparagraphnumbered"/>
      </w:pPr>
      <w:r w:rsidRPr="00342D7E">
        <w:t>Zgodnie z MSSF „Kapitał</w:t>
      </w:r>
      <w:r w:rsidR="00342D7E" w:rsidRPr="00342D7E">
        <w:t xml:space="preserve"> z</w:t>
      </w:r>
      <w:r w:rsidR="00342D7E">
        <w:t> </w:t>
      </w:r>
      <w:r w:rsidR="00342D7E" w:rsidRPr="00342D7E">
        <w:t>akt</w:t>
      </w:r>
      <w:r w:rsidRPr="00342D7E">
        <w:t>ualizacji wyceny” obejmuje kwotę rezerw wynikających</w:t>
      </w:r>
      <w:r w:rsidR="00342D7E" w:rsidRPr="00342D7E">
        <w:t xml:space="preserve"> z</w:t>
      </w:r>
      <w:r w:rsidR="00342D7E">
        <w:t> </w:t>
      </w:r>
      <w:r w:rsidR="00342D7E" w:rsidRPr="00342D7E">
        <w:t>zas</w:t>
      </w:r>
      <w:r w:rsidRPr="00342D7E">
        <w:t xml:space="preserve">tosowania MSR po raz pierwszy, które nie zostały rozwiązane na potrzeby innego rodzaju rezerw. </w:t>
      </w:r>
    </w:p>
    <w:p w:rsidR="00D35B0C" w:rsidRPr="00342D7E" w:rsidRDefault="00A834F1">
      <w:pPr>
        <w:pStyle w:val="Baseparagraphnumbered"/>
      </w:pPr>
      <w:r w:rsidRPr="00342D7E">
        <w:t>„Pozostałe kapitały rezerwowe” dzieli się na „Rezerwy lub niepodzielone straty</w:t>
      </w:r>
      <w:r w:rsidR="00342D7E" w:rsidRPr="00342D7E">
        <w:t xml:space="preserve"> z</w:t>
      </w:r>
      <w:r w:rsidR="00342D7E">
        <w:t> </w:t>
      </w:r>
      <w:r w:rsidR="00342D7E" w:rsidRPr="00342D7E">
        <w:t>tyt</w:t>
      </w:r>
      <w:r w:rsidRPr="00342D7E">
        <w:t>ułu inwestycji</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uwzględnionych zgodnie</w:t>
      </w:r>
      <w:r w:rsidR="00342D7E" w:rsidRPr="00342D7E">
        <w:t xml:space="preserve"> z</w:t>
      </w:r>
      <w:r w:rsidR="00342D7E">
        <w:t> </w:t>
      </w:r>
      <w:r w:rsidR="00342D7E" w:rsidRPr="00342D7E">
        <w:t>met</w:t>
      </w:r>
      <w:r w:rsidRPr="00342D7E">
        <w:t>odą praw własności” oraz na „Inne”. „Rezerwy lub niepodzielone straty</w:t>
      </w:r>
      <w:r w:rsidR="00342D7E" w:rsidRPr="00342D7E">
        <w:t xml:space="preserve"> z</w:t>
      </w:r>
      <w:r w:rsidR="00342D7E">
        <w:t> </w:t>
      </w:r>
      <w:r w:rsidR="00342D7E" w:rsidRPr="00342D7E">
        <w:t>tyt</w:t>
      </w:r>
      <w:r w:rsidRPr="00342D7E">
        <w:t>ułu inwestycji</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uwzględnionych zgodnie</w:t>
      </w:r>
      <w:r w:rsidR="00342D7E" w:rsidRPr="00342D7E">
        <w:t xml:space="preserve"> z</w:t>
      </w:r>
      <w:r w:rsidR="00342D7E">
        <w:t> </w:t>
      </w:r>
      <w:r w:rsidR="00342D7E" w:rsidRPr="00342D7E">
        <w:t>met</w:t>
      </w:r>
      <w:r w:rsidRPr="00342D7E">
        <w:t>odą praw własności” obejmują łączną kwotę przychodów</w:t>
      </w:r>
      <w:r w:rsidR="00342D7E" w:rsidRPr="00342D7E">
        <w:t xml:space="preserve"> i</w:t>
      </w:r>
      <w:r w:rsidR="00342D7E">
        <w:t> </w:t>
      </w:r>
      <w:r w:rsidR="00342D7E" w:rsidRPr="00342D7E">
        <w:t>kos</w:t>
      </w:r>
      <w:r w:rsidRPr="00342D7E">
        <w:t>ztów wygenerowanych przez wspomniane inwestycje przez wynik finansowy</w:t>
      </w:r>
      <w:r w:rsidR="00342D7E" w:rsidRPr="00342D7E">
        <w:t xml:space="preserve"> w</w:t>
      </w:r>
      <w:r w:rsidR="00342D7E">
        <w:t> </w:t>
      </w:r>
      <w:r w:rsidR="00342D7E" w:rsidRPr="00342D7E">
        <w:t>ost</w:t>
      </w:r>
      <w:r w:rsidRPr="00342D7E">
        <w:t>atnich latach,</w:t>
      </w:r>
      <w:r w:rsidR="00342D7E" w:rsidRPr="00342D7E">
        <w:t xml:space="preserve"> w</w:t>
      </w:r>
      <w:r w:rsidR="00342D7E">
        <w:t> </w:t>
      </w:r>
      <w:r w:rsidR="00342D7E" w:rsidRPr="00342D7E">
        <w:t>prz</w:t>
      </w:r>
      <w:r w:rsidRPr="00342D7E">
        <w:t>ypadku gdy uwzględniono je zgodnie</w:t>
      </w:r>
      <w:r w:rsidR="00342D7E" w:rsidRPr="00342D7E">
        <w:t xml:space="preserve"> z</w:t>
      </w:r>
      <w:r w:rsidR="00342D7E">
        <w:t> </w:t>
      </w:r>
      <w:r w:rsidR="00342D7E" w:rsidRPr="00342D7E">
        <w:t>met</w:t>
      </w:r>
      <w:r w:rsidRPr="00342D7E">
        <w:t>odą praw własności. Pozycja „Inne” obejmuje rezerwy inne niż te ujawnione oddzielnie</w:t>
      </w:r>
      <w:r w:rsidR="00342D7E" w:rsidRPr="00342D7E">
        <w:t xml:space="preserve"> w</w:t>
      </w:r>
      <w:r w:rsidR="00342D7E">
        <w:t> </w:t>
      </w:r>
      <w:r w:rsidR="00342D7E" w:rsidRPr="00342D7E">
        <w:t>poz</w:t>
      </w:r>
      <w:r w:rsidRPr="00342D7E">
        <w:t>ostałych pozycjach</w:t>
      </w:r>
      <w:r w:rsidR="00342D7E" w:rsidRPr="00342D7E">
        <w:t xml:space="preserve"> i</w:t>
      </w:r>
      <w:r w:rsidR="00342D7E">
        <w:t> </w:t>
      </w:r>
      <w:r w:rsidR="00342D7E" w:rsidRPr="00342D7E">
        <w:t>moż</w:t>
      </w:r>
      <w:r w:rsidRPr="00342D7E">
        <w:t>e obejmować ustawowy kapitał rezerwowy oraz statutowy kapitał rezerwowy.</w:t>
      </w:r>
    </w:p>
    <w:p w:rsidR="00D35B0C" w:rsidRPr="00342D7E" w:rsidRDefault="00A834F1">
      <w:pPr>
        <w:pStyle w:val="Baseparagraphnumbered"/>
      </w:pPr>
      <w:r w:rsidRPr="00342D7E">
        <w:t>„Akcje własne” obejmują wszystkie instrumenty finansowe wykazujące cechy własnych instrumentów kapitałowych, które zostały wykupione przez instytucję, gdy nie zostały sprzedane lub zamortyzowane,</w:t>
      </w:r>
      <w:r w:rsidR="00342D7E" w:rsidRPr="00342D7E">
        <w:t xml:space="preserve"> z</w:t>
      </w:r>
      <w:r w:rsidR="00342D7E">
        <w:t> </w:t>
      </w:r>
      <w:r w:rsidR="00342D7E" w:rsidRPr="00342D7E">
        <w:t>wyj</w:t>
      </w:r>
      <w:r w:rsidRPr="00342D7E">
        <w:t>ątkiem przypadków, gdy zgodnie</w:t>
      </w:r>
      <w:r w:rsidR="00342D7E" w:rsidRPr="00342D7E">
        <w:t xml:space="preserve"> z</w:t>
      </w:r>
      <w:r w:rsidR="00342D7E">
        <w:t> </w:t>
      </w:r>
      <w:r w:rsidR="00342D7E" w:rsidRPr="00342D7E">
        <w:t>odp</w:t>
      </w:r>
      <w:r w:rsidRPr="00342D7E">
        <w:t>owiednimi krajowymi ogólnie przyjętymi zasadami rachunkowości opartymi na BAD zgłasza się je</w:t>
      </w:r>
      <w:r w:rsidR="00342D7E" w:rsidRPr="00342D7E">
        <w:t xml:space="preserve"> w</w:t>
      </w:r>
      <w:r w:rsidR="00342D7E">
        <w:t> </w:t>
      </w:r>
      <w:r w:rsidR="00342D7E" w:rsidRPr="00342D7E">
        <w:t>poz</w:t>
      </w:r>
      <w:r w:rsidRPr="00342D7E">
        <w:t xml:space="preserve">ycji „pozostałe aktywa”. </w:t>
      </w:r>
    </w:p>
    <w:p w:rsidR="00D35B0C" w:rsidRPr="00342D7E" w:rsidRDefault="00A834F1">
      <w:pPr>
        <w:pStyle w:val="subtitlenumbered"/>
        <w:jc w:val="both"/>
      </w:pPr>
      <w:bookmarkStart w:id="17" w:name="_Toc31019119"/>
      <w:r w:rsidRPr="00342D7E">
        <w:t>Rachunek zysków</w:t>
      </w:r>
      <w:r w:rsidR="00342D7E" w:rsidRPr="00342D7E">
        <w:t xml:space="preserve"> i</w:t>
      </w:r>
      <w:r w:rsidR="00342D7E">
        <w:t> </w:t>
      </w:r>
      <w:r w:rsidR="00342D7E" w:rsidRPr="00342D7E">
        <w:t>str</w:t>
      </w:r>
      <w:r w:rsidRPr="00342D7E">
        <w:t>at (2)</w:t>
      </w:r>
      <w:bookmarkEnd w:id="17"/>
    </w:p>
    <w:p w:rsidR="00D35B0C" w:rsidRPr="00342D7E" w:rsidRDefault="00A834F1">
      <w:pPr>
        <w:pStyle w:val="Baseparagraphnumbered"/>
      </w:pPr>
      <w:r w:rsidRPr="00342D7E">
        <w:t>Przychody</w:t>
      </w:r>
      <w:r w:rsidR="00342D7E" w:rsidRPr="00342D7E">
        <w:t xml:space="preserve"> i</w:t>
      </w:r>
      <w:r w:rsidR="00342D7E">
        <w:t> </w:t>
      </w:r>
      <w:r w:rsidR="00342D7E" w:rsidRPr="00342D7E">
        <w:t>kos</w:t>
      </w:r>
      <w:r w:rsidRPr="00342D7E">
        <w:t>zty odsetkowe</w:t>
      </w:r>
      <w:r w:rsidR="00342D7E" w:rsidRPr="00342D7E">
        <w:t xml:space="preserve"> z</w:t>
      </w:r>
      <w:r w:rsidR="00342D7E">
        <w:t> </w:t>
      </w:r>
      <w:r w:rsidR="00342D7E" w:rsidRPr="00342D7E">
        <w:t>tyt</w:t>
      </w:r>
      <w:r w:rsidRPr="00342D7E">
        <w:t>ułu instrumentów finansowych wycenianych według wartości godziwej przez wynik finansowy lub</w:t>
      </w:r>
      <w:r w:rsidR="00342D7E" w:rsidRPr="00342D7E">
        <w:t xml:space="preserve"> z</w:t>
      </w:r>
      <w:r w:rsidR="00342D7E">
        <w:t> </w:t>
      </w:r>
      <w:r w:rsidR="00342D7E" w:rsidRPr="00342D7E">
        <w:t>tyt</w:t>
      </w:r>
      <w:r w:rsidRPr="00342D7E">
        <w:t>ułu zabezpieczających instrumentów pochodnych zaklasyfikowanych do kategorii „rachunkowość zabezpieczeń” zgłasza się albo oddzielnie od innych zysków</w:t>
      </w:r>
      <w:r w:rsidR="00342D7E" w:rsidRPr="00342D7E">
        <w:t xml:space="preserve"> i</w:t>
      </w:r>
      <w:r w:rsidR="00342D7E">
        <w:t> </w:t>
      </w:r>
      <w:r w:rsidR="00342D7E" w:rsidRPr="00342D7E">
        <w:t>str</w:t>
      </w:r>
      <w:r w:rsidRPr="00342D7E">
        <w:t>at ujętych</w:t>
      </w:r>
      <w:r w:rsidR="00342D7E" w:rsidRPr="00342D7E">
        <w:t xml:space="preserve"> w</w:t>
      </w:r>
      <w:r w:rsidR="00342D7E">
        <w:t> </w:t>
      </w:r>
      <w:r w:rsidR="00342D7E" w:rsidRPr="00342D7E">
        <w:t>poz</w:t>
      </w:r>
      <w:r w:rsidRPr="00342D7E">
        <w:t>ycjach „przychody odsetkowe” i „koszty odsetkowe” („cena czysta”), albo jako część zysków</w:t>
      </w:r>
      <w:r w:rsidR="00342D7E" w:rsidRPr="00342D7E">
        <w:t xml:space="preserve"> i</w:t>
      </w:r>
      <w:r w:rsidR="00342D7E">
        <w:t> </w:t>
      </w:r>
      <w:r w:rsidR="00342D7E" w:rsidRPr="00342D7E">
        <w:t>str</w:t>
      </w:r>
      <w:r w:rsidRPr="00342D7E">
        <w:t>at</w:t>
      </w:r>
      <w:r w:rsidR="00342D7E" w:rsidRPr="00342D7E">
        <w:t xml:space="preserve"> z</w:t>
      </w:r>
      <w:r w:rsidR="00342D7E">
        <w:t> </w:t>
      </w:r>
      <w:r w:rsidR="00342D7E" w:rsidRPr="00342D7E">
        <w:t>tyt</w:t>
      </w:r>
      <w:r w:rsidRPr="00342D7E">
        <w:t>ułu tych kategorii instrumentów („cena brudna”). Podejście oparte na cenie czystej lub brudnej stosuje się konsekwentnie</w:t>
      </w:r>
      <w:r w:rsidR="00342D7E" w:rsidRPr="00342D7E">
        <w:t xml:space="preserve"> w</w:t>
      </w:r>
      <w:r w:rsidR="00342D7E">
        <w:t> </w:t>
      </w:r>
      <w:r w:rsidR="00342D7E" w:rsidRPr="00342D7E">
        <w:t>odn</w:t>
      </w:r>
      <w:r w:rsidRPr="00342D7E">
        <w:t>iesieniu do wszystkich instrumentów finansowych wycenianych według wartości godziwej przez wynik finansowy oraz zabezpieczających instrumentów pochodnych zaklasyfikowanych do kategorii „rachunkowość zabezpieczeń”.</w:t>
      </w:r>
    </w:p>
    <w:p w:rsidR="00D35B0C" w:rsidRPr="00342D7E" w:rsidRDefault="00A834F1">
      <w:pPr>
        <w:pStyle w:val="Baseparagraphnumbered"/>
      </w:pPr>
      <w:r w:rsidRPr="00342D7E">
        <w:t>Instytucje zgłaszają następujące pozycje, które obejmują przychody</w:t>
      </w:r>
      <w:r w:rsidR="00342D7E" w:rsidRPr="00342D7E">
        <w:t xml:space="preserve"> i</w:t>
      </w:r>
      <w:r w:rsidR="00342D7E">
        <w:t> </w:t>
      </w:r>
      <w:r w:rsidR="00342D7E" w:rsidRPr="00342D7E">
        <w:t>kos</w:t>
      </w:r>
      <w:r w:rsidRPr="00342D7E">
        <w:t>zty związane</w:t>
      </w:r>
      <w:r w:rsidR="00342D7E" w:rsidRPr="00342D7E">
        <w:t xml:space="preserve"> z</w:t>
      </w:r>
      <w:r w:rsidR="00342D7E">
        <w:t> </w:t>
      </w:r>
      <w:r w:rsidR="00342D7E" w:rsidRPr="00342D7E">
        <w:t>jed</w:t>
      </w:r>
      <w:r w:rsidRPr="00342D7E">
        <w:t>nostkami powiązanymi, które nie są</w:t>
      </w:r>
      <w:r w:rsidR="00342D7E" w:rsidRPr="00342D7E">
        <w:t xml:space="preserve"> w</w:t>
      </w:r>
      <w:r w:rsidR="00342D7E">
        <w:t> </w:t>
      </w:r>
      <w:r w:rsidR="00342D7E" w:rsidRPr="00342D7E">
        <w:t>peł</w:t>
      </w:r>
      <w:r w:rsidRPr="00342D7E">
        <w:t xml:space="preserve">ni lub proporcjonalnie </w:t>
      </w:r>
      <w:r w:rsidRPr="00342D7E">
        <w:lastRenderedPageBreak/>
        <w:t>skonsolidowane</w:t>
      </w:r>
      <w:r w:rsidR="00342D7E" w:rsidRPr="00342D7E">
        <w:t xml:space="preserve"> w</w:t>
      </w:r>
      <w:r w:rsidR="00342D7E">
        <w:t> </w:t>
      </w:r>
      <w:r w:rsidR="00342D7E" w:rsidRPr="00342D7E">
        <w:t>ram</w:t>
      </w:r>
      <w:r w:rsidRPr="00342D7E">
        <w:t>ach regulacyjnego zakresu konsolidacji,</w:t>
      </w:r>
      <w:r w:rsidR="00342D7E" w:rsidRPr="00342D7E">
        <w:t xml:space="preserve"> w</w:t>
      </w:r>
      <w:r w:rsidR="00342D7E">
        <w:t> </w:t>
      </w:r>
      <w:r w:rsidR="00342D7E" w:rsidRPr="00342D7E">
        <w:t>pod</w:t>
      </w:r>
      <w:r w:rsidRPr="00342D7E">
        <w:t>ziale na portfele księgowe:</w:t>
      </w:r>
    </w:p>
    <w:p w:rsidR="00D35B0C" w:rsidRPr="00342D7E" w:rsidRDefault="00A834F1" w:rsidP="00056B6F">
      <w:pPr>
        <w:pStyle w:val="Baseparagraphnumbered"/>
        <w:numPr>
          <w:ilvl w:val="0"/>
          <w:numId w:val="34"/>
        </w:numPr>
      </w:pPr>
      <w:r w:rsidRPr="00342D7E">
        <w:t>„przychody odsetkowe”;</w:t>
      </w:r>
    </w:p>
    <w:p w:rsidR="00D35B0C" w:rsidRPr="00342D7E" w:rsidRDefault="00A834F1" w:rsidP="00056B6F">
      <w:pPr>
        <w:pStyle w:val="Baseparagraphnumbered"/>
        <w:numPr>
          <w:ilvl w:val="0"/>
          <w:numId w:val="34"/>
        </w:numPr>
      </w:pPr>
      <w:r w:rsidRPr="00342D7E">
        <w:t>„koszty odsetkowe”;</w:t>
      </w:r>
    </w:p>
    <w:p w:rsidR="00D35B0C" w:rsidRPr="00342D7E" w:rsidRDefault="00A834F1" w:rsidP="00056B6F">
      <w:pPr>
        <w:pStyle w:val="Baseparagraphnumbered"/>
        <w:numPr>
          <w:ilvl w:val="0"/>
          <w:numId w:val="34"/>
        </w:numPr>
      </w:pPr>
      <w:r w:rsidRPr="00342D7E">
        <w:t>„przychody</w:t>
      </w:r>
      <w:r w:rsidR="00342D7E" w:rsidRPr="00342D7E">
        <w:t xml:space="preserve"> z</w:t>
      </w:r>
      <w:r w:rsidR="00342D7E">
        <w:t> </w:t>
      </w:r>
      <w:r w:rsidR="00342D7E" w:rsidRPr="00342D7E">
        <w:t>tyt</w:t>
      </w:r>
      <w:r w:rsidRPr="00342D7E">
        <w:t>ułu dywidend”;</w:t>
      </w:r>
    </w:p>
    <w:p w:rsidR="00D35B0C" w:rsidRPr="00342D7E" w:rsidRDefault="00A834F1" w:rsidP="00056B6F">
      <w:pPr>
        <w:pStyle w:val="Baseparagraphnumbered"/>
        <w:numPr>
          <w:ilvl w:val="0"/>
          <w:numId w:val="34"/>
        </w:numPr>
      </w:pPr>
      <w:r w:rsidRPr="00342D7E">
        <w:t>„zyski lub straty</w:t>
      </w:r>
      <w:r w:rsidR="00342D7E" w:rsidRPr="00342D7E">
        <w:t xml:space="preserve"> z</w:t>
      </w:r>
      <w:r w:rsidR="00342D7E">
        <w:t> </w:t>
      </w:r>
      <w:r w:rsidR="00342D7E" w:rsidRPr="00342D7E">
        <w:t>tyt</w:t>
      </w:r>
      <w:r w:rsidRPr="00342D7E">
        <w:t>ułu usunięcia</w:t>
      </w:r>
      <w:r w:rsidR="00342D7E" w:rsidRPr="00342D7E">
        <w:t xml:space="preserve"> z</w:t>
      </w:r>
      <w:r w:rsidR="00342D7E">
        <w:t> </w:t>
      </w:r>
      <w:r w:rsidR="00342D7E" w:rsidRPr="00342D7E">
        <w:t>bil</w:t>
      </w:r>
      <w:r w:rsidRPr="00342D7E">
        <w:t>ansu aktywów</w:t>
      </w:r>
      <w:r w:rsidR="00342D7E" w:rsidRPr="00342D7E">
        <w:t xml:space="preserve"> i</w:t>
      </w:r>
      <w:r w:rsidR="00342D7E">
        <w:t> </w:t>
      </w:r>
      <w:r w:rsidR="00342D7E" w:rsidRPr="00342D7E">
        <w:t>zob</w:t>
      </w:r>
      <w:r w:rsidRPr="00342D7E">
        <w:t>owiązań finansowych niewycenianych według wartości godziwej przez wynik finansowy, netto”;</w:t>
      </w:r>
    </w:p>
    <w:p w:rsidR="00D35B0C" w:rsidRPr="00342D7E" w:rsidRDefault="00A834F1" w:rsidP="00056B6F">
      <w:pPr>
        <w:pStyle w:val="Baseparagraphnumbered"/>
        <w:numPr>
          <w:ilvl w:val="0"/>
          <w:numId w:val="34"/>
        </w:numPr>
      </w:pPr>
      <w:r w:rsidRPr="00342D7E">
        <w:t>„zyski lub (-) straty</w:t>
      </w:r>
      <w:r w:rsidR="00342D7E" w:rsidRPr="00342D7E">
        <w:t xml:space="preserve"> z</w:t>
      </w:r>
      <w:r w:rsidR="00342D7E">
        <w:t> </w:t>
      </w:r>
      <w:r w:rsidR="00342D7E" w:rsidRPr="00342D7E">
        <w:t>tyt</w:t>
      </w:r>
      <w:r w:rsidRPr="00342D7E">
        <w:t>ułu modyfikacji, netto”;</w:t>
      </w:r>
    </w:p>
    <w:p w:rsidR="00D35B0C" w:rsidRPr="00342D7E" w:rsidRDefault="00A834F1" w:rsidP="00056B6F">
      <w:pPr>
        <w:pStyle w:val="Baseparagraphnumbered"/>
        <w:numPr>
          <w:ilvl w:val="0"/>
          <w:numId w:val="34"/>
        </w:numPr>
      </w:pPr>
      <w:r w:rsidRPr="00342D7E">
        <w:t>„utrata wartości lub (-) odwrócenie utraty wartości aktywów finansowych niewycenianych według wartości godziwej przez wynik finansowy”.</w:t>
      </w:r>
    </w:p>
    <w:p w:rsidR="00D35B0C" w:rsidRPr="00342D7E" w:rsidRDefault="00A834F1">
      <w:pPr>
        <w:pStyle w:val="Baseparagraphnumbered"/>
      </w:pPr>
      <w:r w:rsidRPr="00342D7E">
        <w:t>„Przychody odsetkowe. Aktywa finansowe przeznaczone do obrotu” oraz „Koszty odsetkowe. Zobowiązania finansowe przeznaczone do obrotu” obejmują –</w:t>
      </w:r>
      <w:r w:rsidR="00342D7E" w:rsidRPr="00342D7E">
        <w:t xml:space="preserve"> w</w:t>
      </w:r>
      <w:r w:rsidR="00342D7E">
        <w:t> </w:t>
      </w:r>
      <w:r w:rsidR="00342D7E" w:rsidRPr="00342D7E">
        <w:t>prz</w:t>
      </w:r>
      <w:r w:rsidRPr="00342D7E">
        <w:t>ypadku zastosowania ceny czystej – kwoty związane</w:t>
      </w:r>
      <w:r w:rsidR="00342D7E" w:rsidRPr="00342D7E">
        <w:t xml:space="preserve"> z</w:t>
      </w:r>
      <w:r w:rsidR="00342D7E">
        <w:t> </w:t>
      </w:r>
      <w:r w:rsidR="00342D7E" w:rsidRPr="00342D7E">
        <w:t>ins</w:t>
      </w:r>
      <w:r w:rsidRPr="00342D7E">
        <w:t>trumentami pochodnymi zaklasyfikowanymi do kategorii „przeznaczone do obrotu”, które są instrumentami zabezpieczającymi</w:t>
      </w:r>
      <w:r w:rsidR="00342D7E" w:rsidRPr="00342D7E">
        <w:t xml:space="preserve"> z</w:t>
      </w:r>
      <w:r w:rsidR="00342D7E">
        <w:t> </w:t>
      </w:r>
      <w:r w:rsidR="00342D7E" w:rsidRPr="00342D7E">
        <w:t>eko</w:t>
      </w:r>
      <w:r w:rsidRPr="00342D7E">
        <w:t>nomicznego, lecz nie</w:t>
      </w:r>
      <w:r w:rsidR="00342D7E" w:rsidRPr="00342D7E">
        <w:t xml:space="preserve"> z</w:t>
      </w:r>
      <w:r w:rsidR="00342D7E">
        <w:t> </w:t>
      </w:r>
      <w:r w:rsidR="00342D7E" w:rsidRPr="00342D7E">
        <w:t>ksi</w:t>
      </w:r>
      <w:r w:rsidRPr="00342D7E">
        <w:t>ęgowego punktu widzenia, mające na celu prezentację prawidłowych przychodów</w:t>
      </w:r>
      <w:r w:rsidR="00342D7E" w:rsidRPr="00342D7E">
        <w:t xml:space="preserve"> i</w:t>
      </w:r>
      <w:r w:rsidR="00342D7E">
        <w:t> </w:t>
      </w:r>
      <w:r w:rsidR="00342D7E" w:rsidRPr="00342D7E">
        <w:t>kos</w:t>
      </w:r>
      <w:r w:rsidRPr="00342D7E">
        <w:t>ztów odsetkowych</w:t>
      </w:r>
      <w:r w:rsidR="00342D7E" w:rsidRPr="00342D7E">
        <w:t xml:space="preserve"> z</w:t>
      </w:r>
      <w:r w:rsidR="00342D7E">
        <w:t> </w:t>
      </w:r>
      <w:r w:rsidR="00342D7E" w:rsidRPr="00342D7E">
        <w:t>tyt</w:t>
      </w:r>
      <w:r w:rsidRPr="00342D7E">
        <w:t xml:space="preserve">ułu zabezpieczanych instrumentów finansowych. </w:t>
      </w:r>
    </w:p>
    <w:p w:rsidR="00D35B0C" w:rsidRPr="00342D7E" w:rsidRDefault="00A834F1">
      <w:pPr>
        <w:pStyle w:val="Baseparagraphnumbered"/>
      </w:pPr>
      <w:r w:rsidRPr="00342D7E">
        <w:t>W przypadku zastosowania ceny czystej „Przychody odsetkowe. Aktywa finansowe przeznaczone do obrotu” oraz „Koszty odsetkowe. Zobowiązania finansowe przeznaczone do obrotu” obejmują również opłaty przypisane do poszczególnych okresów</w:t>
      </w:r>
      <w:r w:rsidR="00342D7E" w:rsidRPr="00342D7E">
        <w:t xml:space="preserve"> i</w:t>
      </w:r>
      <w:r w:rsidR="00342D7E">
        <w:t> </w:t>
      </w:r>
      <w:r w:rsidR="00342D7E" w:rsidRPr="00342D7E">
        <w:t>pła</w:t>
      </w:r>
      <w:r w:rsidRPr="00342D7E">
        <w:t>tności wyrównawcze</w:t>
      </w:r>
      <w:r w:rsidR="00342D7E" w:rsidRPr="00342D7E">
        <w:t xml:space="preserve"> w</w:t>
      </w:r>
      <w:r w:rsidR="00342D7E">
        <w:t> </w:t>
      </w:r>
      <w:r w:rsidR="00342D7E" w:rsidRPr="00342D7E">
        <w:t>odn</w:t>
      </w:r>
      <w:r w:rsidRPr="00342D7E">
        <w:t>iesieniu do kredytowych instrumentów pochodnych wycenianych według wartości godziwej</w:t>
      </w:r>
      <w:r w:rsidR="00342D7E" w:rsidRPr="00342D7E">
        <w:t xml:space="preserve"> i</w:t>
      </w:r>
      <w:r w:rsidR="00342D7E">
        <w:t> </w:t>
      </w:r>
      <w:r w:rsidR="00342D7E" w:rsidRPr="00342D7E">
        <w:t>wyk</w:t>
      </w:r>
      <w:r w:rsidRPr="00342D7E">
        <w:t>orzystywanych do zarządzania ryzykiem kredytowym całego instrumentu finansowego lub jego części, który przy tej okazji wyznaczono jako wyceniany według wartości godziwej (MSSF 9 pkt</w:t>
      </w:r>
      <w:r w:rsidR="00342D7E" w:rsidRPr="00342D7E">
        <w:t> </w:t>
      </w:r>
      <w:r w:rsidRPr="00342D7E">
        <w:t xml:space="preserve">6.7). </w:t>
      </w:r>
    </w:p>
    <w:p w:rsidR="00D35B0C" w:rsidRPr="00342D7E" w:rsidRDefault="00A834F1">
      <w:pPr>
        <w:pStyle w:val="Baseparagraphnumbered"/>
      </w:pPr>
      <w:r w:rsidRPr="00342D7E">
        <w:t>„Przychody odsetkowe. Instrumenty pochodne – rachunkowość zabezpieczeń, ryzyko stopy procentowej” oraz „Wydatki odsetkowe. Instrumenty pochodne – rachunkowość zabezpieczeń, ryzyko stopy procentowej” obejmują –</w:t>
      </w:r>
      <w:r w:rsidR="00342D7E" w:rsidRPr="00342D7E">
        <w:t xml:space="preserve"> w</w:t>
      </w:r>
      <w:r w:rsidR="00342D7E">
        <w:t> </w:t>
      </w:r>
      <w:r w:rsidR="00342D7E" w:rsidRPr="00342D7E">
        <w:t>prz</w:t>
      </w:r>
      <w:r w:rsidRPr="00342D7E">
        <w:t>ypadku zastosowania ceny czystej – kwoty związane</w:t>
      </w:r>
      <w:r w:rsidR="00342D7E" w:rsidRPr="00342D7E">
        <w:t xml:space="preserve"> z</w:t>
      </w:r>
      <w:r w:rsidR="00342D7E">
        <w:t> </w:t>
      </w:r>
      <w:r w:rsidR="00342D7E" w:rsidRPr="00342D7E">
        <w:t>tym</w:t>
      </w:r>
      <w:r w:rsidRPr="00342D7E">
        <w:t>i instrumentami pochodnymi zaklasyfikowanymi do kategorii „rachunkowość zabezpieczeń”, które pokrywają ryzyko stopy procentowej,</w:t>
      </w:r>
      <w:r w:rsidR="00342D7E" w:rsidRPr="00342D7E">
        <w:t xml:space="preserve"> w</w:t>
      </w:r>
      <w:r w:rsidR="00342D7E">
        <w:t> </w:t>
      </w:r>
      <w:r w:rsidR="00342D7E" w:rsidRPr="00342D7E">
        <w:t>tym</w:t>
      </w:r>
      <w:r w:rsidRPr="00342D7E">
        <w:t xml:space="preserve"> zabezpieczeniami grupy pozycji obejmującej kompensujące się pozycje ryzyka (zabezpieczenia pozycji netto),</w:t>
      </w:r>
      <w:r w:rsidR="00342D7E" w:rsidRPr="00342D7E">
        <w:t xml:space="preserve"> w</w:t>
      </w:r>
      <w:r w:rsidR="00342D7E">
        <w:t> </w:t>
      </w:r>
      <w:r w:rsidR="00342D7E" w:rsidRPr="00342D7E">
        <w:t>prz</w:t>
      </w:r>
      <w:r w:rsidRPr="00342D7E">
        <w:t>ypadku których zabezpieczone ryzyko wywiera wpływ na różne pozycje</w:t>
      </w:r>
      <w:r w:rsidR="00342D7E" w:rsidRPr="00342D7E">
        <w:t xml:space="preserve"> w</w:t>
      </w:r>
      <w:r w:rsidR="00342D7E">
        <w:t> </w:t>
      </w:r>
      <w:r w:rsidR="00342D7E" w:rsidRPr="00342D7E">
        <w:t>rac</w:t>
      </w:r>
      <w:r w:rsidRPr="00342D7E">
        <w:t>hunku zysków</w:t>
      </w:r>
      <w:r w:rsidR="00342D7E" w:rsidRPr="00342D7E">
        <w:t xml:space="preserve"> i</w:t>
      </w:r>
      <w:r w:rsidR="00342D7E">
        <w:t> </w:t>
      </w:r>
      <w:r w:rsidR="00342D7E" w:rsidRPr="00342D7E">
        <w:t>str</w:t>
      </w:r>
      <w:r w:rsidRPr="00342D7E">
        <w:t>at</w:t>
      </w:r>
      <w:r w:rsidR="00342D7E" w:rsidRPr="00342D7E">
        <w:t>. W</w:t>
      </w:r>
      <w:r w:rsidR="00342D7E">
        <w:t> </w:t>
      </w:r>
      <w:r w:rsidR="00342D7E" w:rsidRPr="00342D7E">
        <w:t>prz</w:t>
      </w:r>
      <w:r w:rsidRPr="00342D7E">
        <w:t>ypadku zastosowania ceny czystej kwoty te zgłasza się jako przychody</w:t>
      </w:r>
      <w:r w:rsidR="00342D7E" w:rsidRPr="00342D7E">
        <w:t xml:space="preserve"> i</w:t>
      </w:r>
      <w:r w:rsidR="00342D7E">
        <w:t> </w:t>
      </w:r>
      <w:r w:rsidR="00342D7E" w:rsidRPr="00342D7E">
        <w:t>kos</w:t>
      </w:r>
      <w:r w:rsidRPr="00342D7E">
        <w:t>zty odsetkowe</w:t>
      </w:r>
      <w:r w:rsidR="00342D7E" w:rsidRPr="00342D7E">
        <w:t xml:space="preserve"> w</w:t>
      </w:r>
      <w:r w:rsidR="00342D7E">
        <w:t> </w:t>
      </w:r>
      <w:r w:rsidR="00342D7E" w:rsidRPr="00342D7E">
        <w:t>uję</w:t>
      </w:r>
      <w:r w:rsidRPr="00342D7E">
        <w:t>ciu brutto</w:t>
      </w:r>
      <w:r w:rsidR="00342D7E" w:rsidRPr="00342D7E">
        <w:t xml:space="preserve"> w</w:t>
      </w:r>
      <w:r w:rsidR="00342D7E">
        <w:t> </w:t>
      </w:r>
      <w:r w:rsidR="00342D7E" w:rsidRPr="00342D7E">
        <w:t>cel</w:t>
      </w:r>
      <w:r w:rsidRPr="00342D7E">
        <w:t>u przedstawienia prawidłowych przychodów</w:t>
      </w:r>
      <w:r w:rsidR="00342D7E" w:rsidRPr="00342D7E">
        <w:t xml:space="preserve"> i</w:t>
      </w:r>
      <w:r w:rsidR="00342D7E">
        <w:t> </w:t>
      </w:r>
      <w:r w:rsidR="00342D7E" w:rsidRPr="00342D7E">
        <w:t>kos</w:t>
      </w:r>
      <w:r w:rsidRPr="00342D7E">
        <w:t>ztów odsetkowych</w:t>
      </w:r>
      <w:r w:rsidR="00342D7E" w:rsidRPr="00342D7E">
        <w:t xml:space="preserve"> z</w:t>
      </w:r>
      <w:r w:rsidR="00342D7E">
        <w:t> </w:t>
      </w:r>
      <w:r w:rsidR="00342D7E" w:rsidRPr="00342D7E">
        <w:t>tyt</w:t>
      </w:r>
      <w:r w:rsidRPr="00342D7E">
        <w:t>ułu pozycji zabezpieczonych,</w:t>
      </w:r>
      <w:r w:rsidR="00342D7E" w:rsidRPr="00342D7E">
        <w:t xml:space="preserve"> z</w:t>
      </w:r>
      <w:r w:rsidR="00342D7E">
        <w:t> </w:t>
      </w:r>
      <w:r w:rsidR="00342D7E" w:rsidRPr="00342D7E">
        <w:t>któ</w:t>
      </w:r>
      <w:r w:rsidRPr="00342D7E">
        <w:t>rymi są one powiązane</w:t>
      </w:r>
      <w:r w:rsidR="00342D7E" w:rsidRPr="00342D7E">
        <w:t>. W</w:t>
      </w:r>
      <w:r w:rsidR="00342D7E">
        <w:t> </w:t>
      </w:r>
      <w:r w:rsidR="00342D7E" w:rsidRPr="00342D7E">
        <w:t>prz</w:t>
      </w:r>
      <w:r w:rsidRPr="00342D7E">
        <w:t xml:space="preserve">ypadku zastosowania ceny czystej, jeżeli zabezpieczona pozycja generuje przychody (koszty) odsetkowe, kwoty te zgłasza się jako </w:t>
      </w:r>
      <w:r w:rsidRPr="00342D7E">
        <w:lastRenderedPageBreak/>
        <w:t>przychody (koszty) odsetkowe, nawet jeśli wspomniana kwota ma wartość ujemną (dodatnią).</w:t>
      </w:r>
    </w:p>
    <w:p w:rsidR="00D35B0C" w:rsidRPr="00342D7E" w:rsidRDefault="00A834F1">
      <w:pPr>
        <w:pStyle w:val="Baseparagraphnumbered"/>
      </w:pPr>
      <w:r w:rsidRPr="00342D7E">
        <w:t>„Przychody odsetkowe – inne aktywa” obejmują kwoty przychodów odsetkowych nieuwzględnione</w:t>
      </w:r>
      <w:r w:rsidR="00342D7E" w:rsidRPr="00342D7E">
        <w:t xml:space="preserve"> w</w:t>
      </w:r>
      <w:r w:rsidR="00342D7E">
        <w:t> </w:t>
      </w:r>
      <w:r w:rsidR="00342D7E" w:rsidRPr="00342D7E">
        <w:t>inn</w:t>
      </w:r>
      <w:r w:rsidRPr="00342D7E">
        <w:t>ych pozycjach, takie jak przychody odsetkowe związane</w:t>
      </w:r>
      <w:r w:rsidR="00342D7E" w:rsidRPr="00342D7E">
        <w:t xml:space="preserve"> z</w:t>
      </w:r>
      <w:r w:rsidR="00342D7E">
        <w:t> </w:t>
      </w:r>
      <w:r w:rsidR="00342D7E" w:rsidRPr="00342D7E">
        <w:t>kas</w:t>
      </w:r>
      <w:r w:rsidRPr="00342D7E">
        <w:t>ą, środkami</w:t>
      </w:r>
      <w:r w:rsidR="00342D7E" w:rsidRPr="00342D7E">
        <w:t xml:space="preserve"> w</w:t>
      </w:r>
      <w:r w:rsidR="00342D7E">
        <w:t> </w:t>
      </w:r>
      <w:r w:rsidR="00342D7E" w:rsidRPr="00342D7E">
        <w:t>ban</w:t>
      </w:r>
      <w:r w:rsidRPr="00342D7E">
        <w:t>kach centralnych</w:t>
      </w:r>
      <w:r w:rsidR="00342D7E" w:rsidRPr="00342D7E">
        <w:t xml:space="preserve"> i</w:t>
      </w:r>
      <w:r w:rsidR="00342D7E">
        <w:t> </w:t>
      </w:r>
      <w:r w:rsidR="00342D7E" w:rsidRPr="00342D7E">
        <w:t>inn</w:t>
      </w:r>
      <w:r w:rsidRPr="00342D7E">
        <w:t>ymi depozytami płatnymi na żądanie oraz</w:t>
      </w:r>
      <w:r w:rsidR="00342D7E" w:rsidRPr="00342D7E">
        <w:t xml:space="preserve"> z</w:t>
      </w:r>
      <w:r w:rsidR="00342D7E">
        <w:t> </w:t>
      </w:r>
      <w:r w:rsidR="00342D7E" w:rsidRPr="00342D7E">
        <w:t>akt</w:t>
      </w:r>
      <w:r w:rsidRPr="00342D7E">
        <w:t>ywami trwałymi</w:t>
      </w:r>
      <w:r w:rsidR="00342D7E" w:rsidRPr="00342D7E">
        <w:t xml:space="preserve"> i</w:t>
      </w:r>
      <w:r w:rsidR="00342D7E">
        <w:t> </w:t>
      </w:r>
      <w:r w:rsidR="00342D7E" w:rsidRPr="00342D7E">
        <w:t>gru</w:t>
      </w:r>
      <w:r w:rsidRPr="00342D7E">
        <w:t>pami do zbycia sklasyfikowanymi jako przeznaczone do sprzedaży,</w:t>
      </w:r>
      <w:r w:rsidR="00342D7E" w:rsidRPr="00342D7E">
        <w:t xml:space="preserve"> a</w:t>
      </w:r>
      <w:r w:rsidR="00342D7E">
        <w:t> </w:t>
      </w:r>
      <w:r w:rsidR="00342D7E" w:rsidRPr="00342D7E">
        <w:t>tak</w:t>
      </w:r>
      <w:r w:rsidRPr="00342D7E">
        <w:t>że</w:t>
      </w:r>
      <w:r w:rsidR="00342D7E" w:rsidRPr="00342D7E">
        <w:t xml:space="preserve"> z</w:t>
      </w:r>
      <w:r w:rsidR="00342D7E">
        <w:t> </w:t>
      </w:r>
      <w:r w:rsidR="00342D7E" w:rsidRPr="00342D7E">
        <w:t>wyn</w:t>
      </w:r>
      <w:r w:rsidRPr="00342D7E">
        <w:t>ikiem odsetkowym netto</w:t>
      </w:r>
      <w:r w:rsidR="00342D7E" w:rsidRPr="00342D7E">
        <w:t xml:space="preserve"> z</w:t>
      </w:r>
      <w:r w:rsidR="00342D7E">
        <w:t> </w:t>
      </w:r>
      <w:r w:rsidR="00342D7E" w:rsidRPr="00342D7E">
        <w:t>akt</w:t>
      </w:r>
      <w:r w:rsidRPr="00342D7E">
        <w:t>ywów netto</w:t>
      </w:r>
      <w:r w:rsidR="00342D7E" w:rsidRPr="00342D7E">
        <w:t xml:space="preserve"> z</w:t>
      </w:r>
      <w:r w:rsidR="00342D7E">
        <w:t> </w:t>
      </w:r>
      <w:r w:rsidR="00342D7E" w:rsidRPr="00342D7E">
        <w:t>tyt</w:t>
      </w:r>
      <w:r w:rsidRPr="00342D7E">
        <w:t>ułu zdefiniowanych świadczeń.</w:t>
      </w:r>
    </w:p>
    <w:p w:rsidR="00D35B0C" w:rsidRPr="00342D7E" w:rsidRDefault="00A834F1">
      <w:pPr>
        <w:pStyle w:val="Baseparagraphnumbered"/>
      </w:pPr>
      <w:r w:rsidRPr="00342D7E">
        <w:t>Zgodnie z MSSF</w:t>
      </w:r>
      <w:r w:rsidR="00342D7E" w:rsidRPr="00342D7E">
        <w:t xml:space="preserve"> i</w:t>
      </w:r>
      <w:r w:rsidR="00342D7E">
        <w:t> </w:t>
      </w:r>
      <w:r w:rsidR="00342D7E" w:rsidRPr="00342D7E">
        <w:t>jeż</w:t>
      </w:r>
      <w:r w:rsidRPr="00342D7E">
        <w:t>eli odpowiednie krajowe ogólnie przyjęte zasady rachunkowości nie stanowią inaczej, odsetki</w:t>
      </w:r>
      <w:r w:rsidR="00342D7E" w:rsidRPr="00342D7E">
        <w:t xml:space="preserve"> z</w:t>
      </w:r>
      <w:r w:rsidR="00342D7E">
        <w:t> </w:t>
      </w:r>
      <w:r w:rsidR="00342D7E" w:rsidRPr="00342D7E">
        <w:t>tyt</w:t>
      </w:r>
      <w:r w:rsidRPr="00342D7E">
        <w:t>ułu zobowiązań finansowych podlegających ujemnej efektywnej stopie procentowej zgłasza się</w:t>
      </w:r>
      <w:r w:rsidR="00342D7E" w:rsidRPr="00342D7E">
        <w:t xml:space="preserve"> w</w:t>
      </w:r>
      <w:r w:rsidR="00342D7E">
        <w:t> </w:t>
      </w:r>
      <w:r w:rsidR="00342D7E" w:rsidRPr="00342D7E">
        <w:t>poz</w:t>
      </w:r>
      <w:r w:rsidRPr="00342D7E">
        <w:t>ycji „Przychody odsetkowe</w:t>
      </w:r>
      <w:r w:rsidR="00342D7E" w:rsidRPr="00342D7E">
        <w:t xml:space="preserve"> z</w:t>
      </w:r>
      <w:r w:rsidR="00342D7E">
        <w:t> </w:t>
      </w:r>
      <w:r w:rsidR="00342D7E" w:rsidRPr="00342D7E">
        <w:t>tyt</w:t>
      </w:r>
      <w:r w:rsidRPr="00342D7E">
        <w:t>ułu zobowiązań”. Zobowiązania te</w:t>
      </w:r>
      <w:r w:rsidR="00342D7E" w:rsidRPr="00342D7E">
        <w:t xml:space="preserve"> i</w:t>
      </w:r>
      <w:r w:rsidR="00342D7E">
        <w:t> </w:t>
      </w:r>
      <w:r w:rsidR="00342D7E" w:rsidRPr="00342D7E">
        <w:t>ods</w:t>
      </w:r>
      <w:r w:rsidRPr="00342D7E">
        <w:t>etki od nich generują dodatnią stopę zwrotu dla instytucji.</w:t>
      </w:r>
      <w:r w:rsidR="00342D7E" w:rsidRPr="00342D7E">
        <w:t xml:space="preserve"> </w:t>
      </w:r>
    </w:p>
    <w:p w:rsidR="00D35B0C" w:rsidRPr="00342D7E" w:rsidRDefault="00A834F1">
      <w:pPr>
        <w:pStyle w:val="Baseparagraphnumbered"/>
      </w:pPr>
      <w:r w:rsidRPr="00342D7E">
        <w:t xml:space="preserve"> „Koszty odsetkowe – inne zobowiązania” obejmują kwoty kosztów odsetkowych związane</w:t>
      </w:r>
      <w:r w:rsidR="00342D7E" w:rsidRPr="00342D7E">
        <w:t xml:space="preserve"> z</w:t>
      </w:r>
      <w:r w:rsidR="00342D7E">
        <w:t> </w:t>
      </w:r>
      <w:r w:rsidR="00342D7E" w:rsidRPr="00342D7E">
        <w:t>zob</w:t>
      </w:r>
      <w:r w:rsidRPr="00342D7E">
        <w:t>owiązaniami nieuwzględnione</w:t>
      </w:r>
      <w:r w:rsidR="00342D7E" w:rsidRPr="00342D7E">
        <w:t xml:space="preserve"> w</w:t>
      </w:r>
      <w:r w:rsidR="00342D7E">
        <w:t> </w:t>
      </w:r>
      <w:r w:rsidR="00342D7E" w:rsidRPr="00342D7E">
        <w:t>inn</w:t>
      </w:r>
      <w:r w:rsidRPr="00342D7E">
        <w:t>ych pozycjach, takie jak koszty odsetkowe związane ze zobowiązaniami uwzględnionymi</w:t>
      </w:r>
      <w:r w:rsidR="00342D7E" w:rsidRPr="00342D7E">
        <w:t xml:space="preserve"> w</w:t>
      </w:r>
      <w:r w:rsidR="00342D7E">
        <w:t> </w:t>
      </w:r>
      <w:r w:rsidR="00342D7E" w:rsidRPr="00342D7E">
        <w:t>gru</w:t>
      </w:r>
      <w:r w:rsidRPr="00342D7E">
        <w:t>pach do zbycia sklasyfikowanych jako przeznaczone do sprzedaży, koszty</w:t>
      </w:r>
      <w:r w:rsidR="00342D7E" w:rsidRPr="00342D7E">
        <w:t xml:space="preserve"> z</w:t>
      </w:r>
      <w:r w:rsidR="00342D7E">
        <w:t> </w:t>
      </w:r>
      <w:r w:rsidR="00342D7E" w:rsidRPr="00342D7E">
        <w:t>tyt</w:t>
      </w:r>
      <w:r w:rsidRPr="00342D7E">
        <w:t>ułu zwiększenia wartości bilansowej rezerwy wskutek upływu czasu lub koszty odsetkowe netto</w:t>
      </w:r>
      <w:r w:rsidR="00342D7E" w:rsidRPr="00342D7E">
        <w:t xml:space="preserve"> z</w:t>
      </w:r>
      <w:r w:rsidR="00342D7E">
        <w:t> </w:t>
      </w:r>
      <w:r w:rsidR="00342D7E" w:rsidRPr="00342D7E">
        <w:t>tyt</w:t>
      </w:r>
      <w:r w:rsidRPr="00342D7E">
        <w:t>ułu zobowiązań netto</w:t>
      </w:r>
      <w:r w:rsidR="00342D7E" w:rsidRPr="00342D7E">
        <w:t xml:space="preserve"> z</w:t>
      </w:r>
      <w:r w:rsidR="00342D7E">
        <w:t> </w:t>
      </w:r>
      <w:r w:rsidR="00342D7E" w:rsidRPr="00342D7E">
        <w:t>tyt</w:t>
      </w:r>
      <w:r w:rsidRPr="00342D7E">
        <w:t xml:space="preserve">ułu zdefiniowanych świadczeń. </w:t>
      </w:r>
    </w:p>
    <w:p w:rsidR="00D35B0C" w:rsidRPr="00342D7E" w:rsidRDefault="00A834F1">
      <w:pPr>
        <w:pStyle w:val="Baseparagraphnumbered"/>
      </w:pPr>
      <w:r w:rsidRPr="00342D7E">
        <w:t>Zgodnie z MSSF</w:t>
      </w:r>
      <w:r w:rsidR="00342D7E" w:rsidRPr="00342D7E">
        <w:t xml:space="preserve"> i</w:t>
      </w:r>
      <w:r w:rsidR="00342D7E">
        <w:t> </w:t>
      </w:r>
      <w:r w:rsidR="00342D7E" w:rsidRPr="00342D7E">
        <w:t>jeż</w:t>
      </w:r>
      <w:r w:rsidRPr="00342D7E">
        <w:t>eli odpowiednie krajowe ogólnie przyjęte zasady rachunkowości nie stanowią inaczej, odsetki</w:t>
      </w:r>
      <w:r w:rsidR="00342D7E" w:rsidRPr="00342D7E">
        <w:t xml:space="preserve"> z</w:t>
      </w:r>
      <w:r w:rsidR="00342D7E">
        <w:t> </w:t>
      </w:r>
      <w:r w:rsidR="00342D7E" w:rsidRPr="00342D7E">
        <w:t>tyt</w:t>
      </w:r>
      <w:r w:rsidRPr="00342D7E">
        <w:t>ułu aktywów finansowych podlegających ujemnej efektywnej stopie procentowej zgłasza się</w:t>
      </w:r>
      <w:r w:rsidR="00342D7E" w:rsidRPr="00342D7E">
        <w:t xml:space="preserve"> w</w:t>
      </w:r>
      <w:r w:rsidR="00342D7E">
        <w:t> </w:t>
      </w:r>
      <w:r w:rsidR="00342D7E" w:rsidRPr="00342D7E">
        <w:t>poz</w:t>
      </w:r>
      <w:r w:rsidRPr="00342D7E">
        <w:t>ycji „Koszty odsetkowe</w:t>
      </w:r>
      <w:r w:rsidR="00342D7E" w:rsidRPr="00342D7E">
        <w:t xml:space="preserve"> z</w:t>
      </w:r>
      <w:r w:rsidR="00342D7E">
        <w:t> </w:t>
      </w:r>
      <w:r w:rsidR="00342D7E" w:rsidRPr="00342D7E">
        <w:t>tyt</w:t>
      </w:r>
      <w:r w:rsidRPr="00342D7E">
        <w:t>ułu aktywów”. Aktywa te</w:t>
      </w:r>
      <w:r w:rsidR="00342D7E" w:rsidRPr="00342D7E">
        <w:t xml:space="preserve"> i</w:t>
      </w:r>
      <w:r w:rsidR="00342D7E">
        <w:t> </w:t>
      </w:r>
      <w:r w:rsidR="00342D7E" w:rsidRPr="00342D7E">
        <w:t>ods</w:t>
      </w:r>
      <w:r w:rsidRPr="00342D7E">
        <w:t xml:space="preserve">etki od nich generują ujemną stopę zwrotu dla instytucji. </w:t>
      </w:r>
    </w:p>
    <w:p w:rsidR="00D35B0C" w:rsidRPr="00342D7E" w:rsidRDefault="00A834F1">
      <w:pPr>
        <w:pStyle w:val="Baseparagraphnumbered"/>
      </w:pPr>
      <w:r w:rsidRPr="00342D7E">
        <w:t>Przychody</w:t>
      </w:r>
      <w:r w:rsidR="00342D7E" w:rsidRPr="00342D7E">
        <w:t xml:space="preserve"> z</w:t>
      </w:r>
      <w:r w:rsidR="00342D7E">
        <w:t> </w:t>
      </w:r>
      <w:r w:rsidR="00342D7E" w:rsidRPr="00342D7E">
        <w:t>tyt</w:t>
      </w:r>
      <w:r w:rsidRPr="00342D7E">
        <w:t>ułu dywidend od instrumentów kapitałowych wycenianych według wartości godziwej przez wynik finansowy zgłasza się albo jako „przychody</w:t>
      </w:r>
      <w:r w:rsidR="00342D7E" w:rsidRPr="00342D7E">
        <w:t xml:space="preserve"> z</w:t>
      </w:r>
      <w:r w:rsidR="00342D7E">
        <w:t> </w:t>
      </w:r>
      <w:r w:rsidR="00342D7E" w:rsidRPr="00342D7E">
        <w:t>tyt</w:t>
      </w:r>
      <w:r w:rsidRPr="00342D7E">
        <w:t>ułu dywidend” oddzielnie od innych zysków</w:t>
      </w:r>
      <w:r w:rsidR="00342D7E" w:rsidRPr="00342D7E">
        <w:t xml:space="preserve"> i</w:t>
      </w:r>
      <w:r w:rsidR="00342D7E">
        <w:t> </w:t>
      </w:r>
      <w:r w:rsidR="00342D7E" w:rsidRPr="00342D7E">
        <w:t>str</w:t>
      </w:r>
      <w:r w:rsidRPr="00342D7E">
        <w:t>at</w:t>
      </w:r>
      <w:r w:rsidR="00342D7E" w:rsidRPr="00342D7E">
        <w:t xml:space="preserve"> z</w:t>
      </w:r>
      <w:r w:rsidR="00342D7E">
        <w:t> </w:t>
      </w:r>
      <w:r w:rsidR="00342D7E" w:rsidRPr="00342D7E">
        <w:t>tyt</w:t>
      </w:r>
      <w:r w:rsidRPr="00342D7E">
        <w:t>ułu tych kategorii instrumentów (jeżeli zastosowano cenę czystą), albo jako część zysków lub strat</w:t>
      </w:r>
      <w:r w:rsidR="00342D7E" w:rsidRPr="00342D7E">
        <w:t xml:space="preserve"> z</w:t>
      </w:r>
      <w:r w:rsidR="00342D7E">
        <w:t> </w:t>
      </w:r>
      <w:r w:rsidR="00342D7E" w:rsidRPr="00342D7E">
        <w:t>tyt</w:t>
      </w:r>
      <w:r w:rsidRPr="00342D7E">
        <w:t xml:space="preserve">ułu tych kategorii instrumentów (jeżeli zastosowano cenę brudną). </w:t>
      </w:r>
    </w:p>
    <w:p w:rsidR="00D35B0C" w:rsidRPr="00342D7E" w:rsidRDefault="00A834F1">
      <w:pPr>
        <w:pStyle w:val="Baseparagraphnumbered"/>
      </w:pPr>
      <w:r w:rsidRPr="00342D7E">
        <w:t>Przychody</w:t>
      </w:r>
      <w:r w:rsidR="00342D7E" w:rsidRPr="00342D7E">
        <w:t xml:space="preserve"> z</w:t>
      </w:r>
      <w:r w:rsidR="00342D7E">
        <w:t> </w:t>
      </w:r>
      <w:r w:rsidR="00342D7E" w:rsidRPr="00342D7E">
        <w:t>tyt</w:t>
      </w:r>
      <w:r w:rsidRPr="00342D7E">
        <w:t>ułu dywidend od instrumentów kapitałowych wycenianych według wartości godziwej przez inne całkowite dochody obejmują dywidendy związane</w:t>
      </w:r>
      <w:r w:rsidR="00342D7E" w:rsidRPr="00342D7E">
        <w:t xml:space="preserve"> z</w:t>
      </w:r>
      <w:r w:rsidR="00342D7E">
        <w:t> </w:t>
      </w:r>
      <w:r w:rsidR="00342D7E" w:rsidRPr="00342D7E">
        <w:t>ins</w:t>
      </w:r>
      <w:r w:rsidRPr="00342D7E">
        <w:t>trumentami, które zaprzestano ujmować</w:t>
      </w:r>
      <w:r w:rsidR="00342D7E" w:rsidRPr="00342D7E">
        <w:t xml:space="preserve"> w</w:t>
      </w:r>
      <w:r w:rsidR="00342D7E">
        <w:t> </w:t>
      </w:r>
      <w:r w:rsidR="00342D7E" w:rsidRPr="00342D7E">
        <w:t>tra</w:t>
      </w:r>
      <w:r w:rsidRPr="00342D7E">
        <w:t>kcie danego sprawozdawczego okresu odniesienia, oraz dywidendy związane</w:t>
      </w:r>
      <w:r w:rsidR="00342D7E" w:rsidRPr="00342D7E">
        <w:t xml:space="preserve"> z</w:t>
      </w:r>
      <w:r w:rsidR="00342D7E">
        <w:t> </w:t>
      </w:r>
      <w:r w:rsidR="00342D7E" w:rsidRPr="00342D7E">
        <w:t>ins</w:t>
      </w:r>
      <w:r w:rsidRPr="00342D7E">
        <w:t>trumentami utrzymywanymi na koniec sprawozdawczego okresu odniesienia.</w:t>
      </w:r>
    </w:p>
    <w:p w:rsidR="00D35B0C" w:rsidRPr="00342D7E" w:rsidRDefault="00A834F1">
      <w:pPr>
        <w:pStyle w:val="Baseparagraphnumbered"/>
      </w:pPr>
      <w:r w:rsidRPr="00342D7E">
        <w:t>Przychody</w:t>
      </w:r>
      <w:r w:rsidR="00342D7E" w:rsidRPr="00342D7E">
        <w:t xml:space="preserve"> z</w:t>
      </w:r>
      <w:r w:rsidR="00342D7E">
        <w:t> </w:t>
      </w:r>
      <w:r w:rsidR="00342D7E" w:rsidRPr="00342D7E">
        <w:t>tyt</w:t>
      </w:r>
      <w:r w:rsidRPr="00342D7E">
        <w:t>ułu dywidend</w:t>
      </w:r>
      <w:r w:rsidR="00342D7E" w:rsidRPr="00342D7E">
        <w:t xml:space="preserve"> z</w:t>
      </w:r>
      <w:r w:rsidR="00342D7E">
        <w:t> </w:t>
      </w:r>
      <w:r w:rsidR="00342D7E" w:rsidRPr="00342D7E">
        <w:t>inw</w:t>
      </w:r>
      <w:r w:rsidRPr="00342D7E">
        <w:t>estycji</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obejmują dywidendy</w:t>
      </w:r>
      <w:r w:rsidR="00342D7E" w:rsidRPr="00342D7E">
        <w:t xml:space="preserve"> z</w:t>
      </w:r>
      <w:r w:rsidR="00342D7E">
        <w:t> </w:t>
      </w:r>
      <w:r w:rsidR="00342D7E" w:rsidRPr="00342D7E">
        <w:t>tyc</w:t>
      </w:r>
      <w:r w:rsidRPr="00342D7E">
        <w:t>h inwestycji, jeżeli ujmuje się je przy użyciu metody innej niż metoda praw własności.</w:t>
      </w:r>
    </w:p>
    <w:p w:rsidR="00D35B0C" w:rsidRPr="00342D7E" w:rsidRDefault="00A834F1">
      <w:pPr>
        <w:pStyle w:val="Baseparagraphnumbered"/>
      </w:pPr>
      <w:r w:rsidRPr="00342D7E">
        <w:lastRenderedPageBreak/>
        <w:t>„Zyski lub (-) straty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przeznaczonych do obrotu, netto” obejmują zyski</w:t>
      </w:r>
      <w:r w:rsidR="00342D7E" w:rsidRPr="00342D7E">
        <w:t xml:space="preserve"> i</w:t>
      </w:r>
      <w:r w:rsidR="00342D7E">
        <w:t> </w:t>
      </w:r>
      <w:r w:rsidR="00342D7E" w:rsidRPr="00342D7E">
        <w:t>str</w:t>
      </w:r>
      <w:r w:rsidRPr="00342D7E">
        <w:t>aty przy ponownej wycenie</w:t>
      </w:r>
      <w:r w:rsidR="00342D7E" w:rsidRPr="00342D7E">
        <w:t xml:space="preserve"> i</w:t>
      </w:r>
      <w:r w:rsidR="00342D7E">
        <w:t> </w:t>
      </w:r>
      <w:r w:rsidR="00342D7E" w:rsidRPr="00342D7E">
        <w:t>zap</w:t>
      </w:r>
      <w:r w:rsidRPr="00342D7E">
        <w:t>rzestaniu ujmowania instrumentów finansowych zaklasyfikowanych jako przeznaczone do obrotu</w:t>
      </w:r>
      <w:r w:rsidR="00342D7E" w:rsidRPr="00342D7E">
        <w:t>. W</w:t>
      </w:r>
      <w:r w:rsidR="00342D7E">
        <w:t> </w:t>
      </w:r>
      <w:r w:rsidR="00342D7E" w:rsidRPr="00342D7E">
        <w:t>poz</w:t>
      </w:r>
      <w:r w:rsidRPr="00342D7E">
        <w:t>ycji tej uwzględnia się również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kredytowych instrumentów pochodnych wycenianych według wartości godziwej przez wynik finansowy wykorzystywanych do zarządzania ryzykiem kredytowym części lub całości instrumentu finansowego, który wyznaczono jako wyceniany według wartości godziwej przez wynik finansowy,</w:t>
      </w:r>
      <w:r w:rsidR="00342D7E" w:rsidRPr="00342D7E">
        <w:t xml:space="preserve"> a</w:t>
      </w:r>
      <w:r w:rsidR="00342D7E">
        <w:t> </w:t>
      </w:r>
      <w:r w:rsidR="00342D7E" w:rsidRPr="00342D7E">
        <w:t>tak</w:t>
      </w:r>
      <w:r w:rsidRPr="00342D7E">
        <w:t>że przychody</w:t>
      </w:r>
      <w:r w:rsidR="00342D7E" w:rsidRPr="00342D7E">
        <w:t xml:space="preserve"> z</w:t>
      </w:r>
      <w:r w:rsidR="00342D7E">
        <w:t> </w:t>
      </w:r>
      <w:r w:rsidR="00342D7E" w:rsidRPr="00342D7E">
        <w:t>tyt</w:t>
      </w:r>
      <w:r w:rsidRPr="00342D7E">
        <w:t>ułu dywidend oraz przychody</w:t>
      </w:r>
      <w:r w:rsidR="00342D7E" w:rsidRPr="00342D7E">
        <w:t xml:space="preserve"> i</w:t>
      </w:r>
      <w:r w:rsidR="00342D7E">
        <w:t> </w:t>
      </w:r>
      <w:r w:rsidR="00342D7E" w:rsidRPr="00342D7E">
        <w:t>kos</w:t>
      </w:r>
      <w:r w:rsidRPr="00342D7E">
        <w:t>zty odsetkowe</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przeznaczonych do obrotu,</w:t>
      </w:r>
      <w:r w:rsidR="00342D7E" w:rsidRPr="00342D7E">
        <w:t xml:space="preserve"> w</w:t>
      </w:r>
      <w:r w:rsidR="00342D7E">
        <w:t> </w:t>
      </w:r>
      <w:r w:rsidR="00342D7E" w:rsidRPr="00342D7E">
        <w:t>prz</w:t>
      </w:r>
      <w:r w:rsidRPr="00342D7E">
        <w:t xml:space="preserve">ypadku gdy zastosowano cenę brudną. </w:t>
      </w:r>
    </w:p>
    <w:p w:rsidR="00D35B0C" w:rsidRPr="00342D7E" w:rsidRDefault="00A834F1">
      <w:pPr>
        <w:pStyle w:val="Baseparagraphnumbered"/>
      </w:pPr>
      <w:r w:rsidRPr="00342D7E">
        <w:t>„Zyski lub straty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wycenianych według wartości godziwej przez wynik finansowy” obejmują również kwotę ujętą</w:t>
      </w:r>
      <w:r w:rsidR="00342D7E" w:rsidRPr="00342D7E">
        <w:t xml:space="preserve"> w</w:t>
      </w:r>
      <w:r w:rsidR="00342D7E">
        <w:t> </w:t>
      </w:r>
      <w:r w:rsidR="00342D7E" w:rsidRPr="00342D7E">
        <w:t>rac</w:t>
      </w:r>
      <w:r w:rsidRPr="00342D7E">
        <w:t>hunku zysków</w:t>
      </w:r>
      <w:r w:rsidR="00342D7E" w:rsidRPr="00342D7E">
        <w:t xml:space="preserve"> i</w:t>
      </w:r>
      <w:r w:rsidR="00342D7E">
        <w:t> </w:t>
      </w:r>
      <w:r w:rsidR="00342D7E" w:rsidRPr="00342D7E">
        <w:t>str</w:t>
      </w:r>
      <w:r w:rsidRPr="00342D7E">
        <w:t>at</w:t>
      </w:r>
      <w:r w:rsidR="00342D7E" w:rsidRPr="00342D7E">
        <w:t xml:space="preserve"> w</w:t>
      </w:r>
      <w:r w:rsidR="00342D7E">
        <w:t> </w:t>
      </w:r>
      <w:r w:rsidR="00342D7E" w:rsidRPr="00342D7E">
        <w:t>odn</w:t>
      </w:r>
      <w:r w:rsidRPr="00342D7E">
        <w:t>iesieniu do własnego ryzyka kredytowego związanego</w:t>
      </w:r>
      <w:r w:rsidR="00342D7E" w:rsidRPr="00342D7E">
        <w:t xml:space="preserve"> z</w:t>
      </w:r>
      <w:r w:rsidR="00342D7E">
        <w:t> </w:t>
      </w:r>
      <w:r w:rsidR="00342D7E" w:rsidRPr="00342D7E">
        <w:t>zob</w:t>
      </w:r>
      <w:r w:rsidRPr="00342D7E">
        <w:t>owiązaniami wyznaczonymi jako wyceniane według wartości godziwej,</w:t>
      </w:r>
      <w:r w:rsidR="00342D7E" w:rsidRPr="00342D7E">
        <w:t xml:space="preserve"> w</w:t>
      </w:r>
      <w:r w:rsidR="00342D7E">
        <w:t> </w:t>
      </w:r>
      <w:r w:rsidR="00342D7E" w:rsidRPr="00342D7E">
        <w:t>prz</w:t>
      </w:r>
      <w:r w:rsidRPr="00342D7E">
        <w:t>ypadku gdy ujęcie zmian własnego ryzyka kredytowego</w:t>
      </w:r>
      <w:r w:rsidR="00342D7E" w:rsidRPr="00342D7E">
        <w:t xml:space="preserve"> w</w:t>
      </w:r>
      <w:r w:rsidR="00342D7E">
        <w:t> </w:t>
      </w:r>
      <w:r w:rsidR="00342D7E" w:rsidRPr="00342D7E">
        <w:t>inn</w:t>
      </w:r>
      <w:r w:rsidRPr="00342D7E">
        <w:t>ych całkowitych dochodach prowadzi do powstania lub zwiększenia niedopasowania księgowego (MSSF 9 pkt</w:t>
      </w:r>
      <w:proofErr w:type="gramStart"/>
      <w:r w:rsidR="00342D7E" w:rsidRPr="00342D7E">
        <w:t> </w:t>
      </w:r>
      <w:r w:rsidRPr="00342D7E">
        <w:t>5.7.8). Pozycja</w:t>
      </w:r>
      <w:proofErr w:type="gramEnd"/>
      <w:r w:rsidRPr="00342D7E">
        <w:t xml:space="preserve"> ta obejmuje również zyski</w:t>
      </w:r>
      <w:r w:rsidR="00342D7E" w:rsidRPr="00342D7E">
        <w:t xml:space="preserve"> i</w:t>
      </w:r>
      <w:r w:rsidR="00342D7E">
        <w:t> </w:t>
      </w:r>
      <w:r w:rsidR="00342D7E" w:rsidRPr="00342D7E">
        <w:t>str</w:t>
      </w:r>
      <w:r w:rsidRPr="00342D7E">
        <w:t>aty na instrumentach zabezpieczanych, które wyznaczono jako wyceniane według wartości godziwej przez wynik finansowy,</w:t>
      </w:r>
      <w:r w:rsidR="00342D7E" w:rsidRPr="00342D7E">
        <w:t xml:space="preserve"> w</w:t>
      </w:r>
      <w:r w:rsidR="00342D7E">
        <w:t> </w:t>
      </w:r>
      <w:r w:rsidR="00342D7E" w:rsidRPr="00342D7E">
        <w:t>prz</w:t>
      </w:r>
      <w:r w:rsidRPr="00342D7E">
        <w:t>ypadku gdy wyznaczenia dokonano</w:t>
      </w:r>
      <w:r w:rsidR="00342D7E" w:rsidRPr="00342D7E">
        <w:t xml:space="preserve"> w</w:t>
      </w:r>
      <w:r w:rsidR="00342D7E">
        <w:t> </w:t>
      </w:r>
      <w:r w:rsidR="00342D7E" w:rsidRPr="00342D7E">
        <w:t>cel</w:t>
      </w:r>
      <w:r w:rsidRPr="00342D7E">
        <w:t>u zrządzania ryzykiem kredytowym, jak również przychody</w:t>
      </w:r>
      <w:r w:rsidR="00342D7E" w:rsidRPr="00342D7E">
        <w:t xml:space="preserve"> i</w:t>
      </w:r>
      <w:r w:rsidR="00342D7E">
        <w:t> </w:t>
      </w:r>
      <w:r w:rsidR="00342D7E" w:rsidRPr="00342D7E">
        <w:t>kos</w:t>
      </w:r>
      <w:r w:rsidRPr="00342D7E">
        <w:t>zty odsetkowe</w:t>
      </w:r>
      <w:r w:rsidR="00342D7E" w:rsidRPr="00342D7E">
        <w:t xml:space="preserve"> z</w:t>
      </w:r>
      <w:r w:rsidR="00342D7E">
        <w:t> </w:t>
      </w:r>
      <w:r w:rsidR="00342D7E" w:rsidRPr="00342D7E">
        <w:t>tyt</w:t>
      </w:r>
      <w:r w:rsidRPr="00342D7E">
        <w:t xml:space="preserve">ułu </w:t>
      </w:r>
      <w:proofErr w:type="gramStart"/>
      <w:r w:rsidRPr="00342D7E">
        <w:t>aktywów</w:t>
      </w:r>
      <w:proofErr w:type="gramEnd"/>
      <w:r w:rsidR="00342D7E" w:rsidRPr="00342D7E">
        <w:t xml:space="preserve"> i</w:t>
      </w:r>
      <w:r w:rsidR="00342D7E">
        <w:t> </w:t>
      </w:r>
      <w:r w:rsidR="00342D7E" w:rsidRPr="00342D7E">
        <w:t>zob</w:t>
      </w:r>
      <w:r w:rsidRPr="00342D7E">
        <w:t>owiązań finansowych wyznaczonych jako wyceniane według wartości godziwej przez wynik finansowy,</w:t>
      </w:r>
      <w:r w:rsidR="00342D7E" w:rsidRPr="00342D7E">
        <w:t xml:space="preserve"> w</w:t>
      </w:r>
      <w:r w:rsidR="00342D7E">
        <w:t> </w:t>
      </w:r>
      <w:r w:rsidR="00342D7E" w:rsidRPr="00342D7E">
        <w:t>prz</w:t>
      </w:r>
      <w:r w:rsidRPr="00342D7E">
        <w:t>ypadku gdy zastosowano cenę brudną.</w:t>
      </w:r>
    </w:p>
    <w:p w:rsidR="00D35B0C" w:rsidRPr="00342D7E" w:rsidRDefault="00A834F1">
      <w:pPr>
        <w:pStyle w:val="Baseparagraphnumbered"/>
      </w:pPr>
      <w:r w:rsidRPr="00342D7E">
        <w:t>„Zyski lub (-) straty</w:t>
      </w:r>
      <w:r w:rsidR="00342D7E" w:rsidRPr="00342D7E">
        <w:t xml:space="preserve"> z</w:t>
      </w:r>
      <w:r w:rsidR="00342D7E">
        <w:t> </w:t>
      </w:r>
      <w:r w:rsidR="00342D7E" w:rsidRPr="00342D7E">
        <w:t>tyt</w:t>
      </w:r>
      <w:r w:rsidRPr="00342D7E">
        <w:t>ułu zaprzestania ujmowania aktywów</w:t>
      </w:r>
      <w:r w:rsidR="00342D7E" w:rsidRPr="00342D7E">
        <w:t xml:space="preserve"> i</w:t>
      </w:r>
      <w:r w:rsidR="00342D7E">
        <w:t> </w:t>
      </w:r>
      <w:r w:rsidR="00342D7E" w:rsidRPr="00342D7E">
        <w:t>zob</w:t>
      </w:r>
      <w:r w:rsidRPr="00342D7E">
        <w:t>owiązań finansowych niewycenianych według wartości godziwej przez wynik finansowy” nie obejmują zysków</w:t>
      </w:r>
      <w:r w:rsidR="00342D7E" w:rsidRPr="00342D7E">
        <w:t xml:space="preserve"> z</w:t>
      </w:r>
      <w:r w:rsidR="00342D7E">
        <w:t> </w:t>
      </w:r>
      <w:r w:rsidR="00342D7E" w:rsidRPr="00342D7E">
        <w:t>ins</w:t>
      </w:r>
      <w:r w:rsidRPr="00342D7E">
        <w:t>trumentów kapitałowych, które jednostka sprawozdawcza postanowiła wyceniać według wartości godziwej przez inne całkowite dochody (MSSF 9 pkt</w:t>
      </w:r>
      <w:r w:rsidR="00342D7E" w:rsidRPr="00342D7E">
        <w:t> </w:t>
      </w:r>
      <w:r w:rsidRPr="00342D7E">
        <w:t>5.7.1 lit.</w:t>
      </w:r>
      <w:r w:rsidR="00342D7E" w:rsidRPr="00342D7E">
        <w:t> </w:t>
      </w:r>
      <w:r w:rsidRPr="00342D7E">
        <w:t>b)).</w:t>
      </w:r>
    </w:p>
    <w:p w:rsidR="00D35B0C" w:rsidRPr="00342D7E" w:rsidRDefault="00A834F1">
      <w:pPr>
        <w:pStyle w:val="Baseparagraphnumbered"/>
      </w:pPr>
      <w:r w:rsidRPr="00342D7E">
        <w:t>W przypadku gdy zmiana modelu działalności gospodarczej prowadzi do przekwalifikowania składnika aktywów finansowych do innego portfela księgowego, zysku lub straty</w:t>
      </w:r>
      <w:r w:rsidR="00342D7E" w:rsidRPr="00342D7E">
        <w:t xml:space="preserve"> z</w:t>
      </w:r>
      <w:r w:rsidR="00342D7E">
        <w:t> </w:t>
      </w:r>
      <w:r w:rsidR="00342D7E" w:rsidRPr="00342D7E">
        <w:t>teg</w:t>
      </w:r>
      <w:r w:rsidRPr="00342D7E">
        <w:t>o przeklasyfikowania zgłasza się</w:t>
      </w:r>
      <w:r w:rsidR="00342D7E" w:rsidRPr="00342D7E">
        <w:t xml:space="preserve"> w</w:t>
      </w:r>
      <w:r w:rsidR="00342D7E">
        <w:t> </w:t>
      </w:r>
      <w:r w:rsidR="00342D7E" w:rsidRPr="00342D7E">
        <w:t>odp</w:t>
      </w:r>
      <w:r w:rsidRPr="00342D7E">
        <w:t>owiednich wierszach portfela księgowego, do którego przeklasyfikowano dany składnik aktywów finansowych, zgodnie</w:t>
      </w:r>
      <w:r w:rsidR="00342D7E" w:rsidRPr="00342D7E">
        <w:t xml:space="preserve"> z</w:t>
      </w:r>
      <w:r w:rsidR="00342D7E">
        <w:t> </w:t>
      </w:r>
      <w:r w:rsidR="00342D7E" w:rsidRPr="00342D7E">
        <w:t>nas</w:t>
      </w:r>
      <w:r w:rsidRPr="00342D7E">
        <w:t xml:space="preserve">tępującymi zasadami: </w:t>
      </w:r>
    </w:p>
    <w:p w:rsidR="00D35B0C" w:rsidRPr="00342D7E" w:rsidRDefault="00A834F1" w:rsidP="00056B6F">
      <w:pPr>
        <w:numPr>
          <w:ilvl w:val="0"/>
          <w:numId w:val="35"/>
        </w:numPr>
        <w:jc w:val="both"/>
        <w:rPr>
          <w:rFonts w:ascii="Times New Roman" w:hAnsi="Times New Roman"/>
          <w:sz w:val="24"/>
          <w:szCs w:val="24"/>
        </w:rPr>
      </w:pPr>
      <w:proofErr w:type="gramStart"/>
      <w:r w:rsidRPr="00342D7E">
        <w:rPr>
          <w:rFonts w:ascii="Times New Roman" w:hAnsi="Times New Roman"/>
          <w:sz w:val="24"/>
          <w:szCs w:val="24"/>
        </w:rPr>
        <w:t>jeżeli</w:t>
      </w:r>
      <w:proofErr w:type="gramEnd"/>
      <w:r w:rsidRPr="00342D7E">
        <w:rPr>
          <w:rFonts w:ascii="Times New Roman" w:hAnsi="Times New Roman"/>
          <w:sz w:val="24"/>
          <w:szCs w:val="24"/>
        </w:rPr>
        <w:t xml:space="preserve"> składnik aktywów finansowych przeklasyfikowano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kat</w:t>
      </w:r>
      <w:r w:rsidRPr="00342D7E">
        <w:rPr>
          <w:rFonts w:ascii="Times New Roman" w:hAnsi="Times New Roman"/>
          <w:sz w:val="24"/>
          <w:szCs w:val="24"/>
        </w:rPr>
        <w:t>egorii składników wycenianych według kosztu zamortyzowanego do portfela księgowego wycenianego według wartości godziwej przez wynik finansowy (MSSF 9 pkt</w:t>
      </w:r>
      <w:r w:rsidR="00342D7E" w:rsidRPr="00342D7E">
        <w:rPr>
          <w:rFonts w:ascii="Times New Roman" w:hAnsi="Times New Roman"/>
          <w:sz w:val="24"/>
          <w:szCs w:val="24"/>
        </w:rPr>
        <w:t> </w:t>
      </w:r>
      <w:r w:rsidRPr="00342D7E">
        <w:rPr>
          <w:rFonts w:ascii="Times New Roman" w:hAnsi="Times New Roman"/>
          <w:sz w:val="24"/>
          <w:szCs w:val="24"/>
        </w:rPr>
        <w:t>5.6.2), zyski lub straty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eklasyfikowania zgłasza się, stosownie do przypadku,</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„Zyski lub (-) straty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aktywów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zob</w:t>
      </w:r>
      <w:r w:rsidRPr="00342D7E">
        <w:rPr>
          <w:rFonts w:ascii="Times New Roman" w:hAnsi="Times New Roman"/>
          <w:sz w:val="24"/>
          <w:szCs w:val="24"/>
        </w:rPr>
        <w:t>owiązań finansowych przeznaczonych do obrotu, netto” lub</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„Zyski lub (-) straty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aktywów finansowych nieprzeznaczonych do obrotu obowiązkowo wycenianych według wartości godziwej przez wynik finansowy, netto”;</w:t>
      </w:r>
    </w:p>
    <w:p w:rsidR="00D35B0C" w:rsidRPr="00342D7E" w:rsidRDefault="00A834F1" w:rsidP="00056B6F">
      <w:pPr>
        <w:numPr>
          <w:ilvl w:val="0"/>
          <w:numId w:val="35"/>
        </w:numPr>
        <w:jc w:val="both"/>
        <w:rPr>
          <w:rFonts w:ascii="Times New Roman" w:hAnsi="Times New Roman"/>
          <w:sz w:val="24"/>
          <w:szCs w:val="24"/>
        </w:rPr>
      </w:pPr>
      <w:proofErr w:type="gramStart"/>
      <w:r w:rsidRPr="00342D7E">
        <w:rPr>
          <w:rFonts w:ascii="Times New Roman" w:hAnsi="Times New Roman"/>
          <w:sz w:val="24"/>
          <w:szCs w:val="24"/>
        </w:rPr>
        <w:lastRenderedPageBreak/>
        <w:t>jeżeli</w:t>
      </w:r>
      <w:proofErr w:type="gramEnd"/>
      <w:r w:rsidRPr="00342D7E">
        <w:rPr>
          <w:rFonts w:ascii="Times New Roman" w:hAnsi="Times New Roman"/>
          <w:sz w:val="24"/>
          <w:szCs w:val="24"/>
        </w:rPr>
        <w:t xml:space="preserve"> składnik aktywów finansowych przeklasyfikowano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kat</w:t>
      </w:r>
      <w:r w:rsidRPr="00342D7E">
        <w:rPr>
          <w:rFonts w:ascii="Times New Roman" w:hAnsi="Times New Roman"/>
          <w:sz w:val="24"/>
          <w:szCs w:val="24"/>
        </w:rPr>
        <w:t>egorii składników wycenianych według wartości godziwej przez inne całkowite dochody do kategorii składników wycenianych według wartości godziwej przez wynik finansowy (MSSF 9 pkt</w:t>
      </w:r>
      <w:r w:rsidR="00342D7E" w:rsidRPr="00342D7E">
        <w:rPr>
          <w:rFonts w:ascii="Times New Roman" w:hAnsi="Times New Roman"/>
          <w:sz w:val="24"/>
          <w:szCs w:val="24"/>
        </w:rPr>
        <w:t> </w:t>
      </w:r>
      <w:r w:rsidRPr="00342D7E">
        <w:rPr>
          <w:rFonts w:ascii="Times New Roman" w:hAnsi="Times New Roman"/>
          <w:sz w:val="24"/>
          <w:szCs w:val="24"/>
        </w:rPr>
        <w:t>5.6.7), skumulowane zyski lub straty uprzednio ujęte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ych całkowitych dochodach przeklasyfikowane do wyniku finansowego zgłasza się, stosownie do przypadku,</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„Zyski lub (-) straty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aktywów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zob</w:t>
      </w:r>
      <w:r w:rsidRPr="00342D7E">
        <w:rPr>
          <w:rFonts w:ascii="Times New Roman" w:hAnsi="Times New Roman"/>
          <w:sz w:val="24"/>
          <w:szCs w:val="24"/>
        </w:rPr>
        <w:t>owiązań finansowych przeznaczonych do obrotu, netto” lub</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„Zyski lub (-) straty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aktywów finansowych nieprzeznaczonych do obrotu obowiązkowo wycenianych według wartości godziwej przez wynik finansowy, netto”.</w:t>
      </w:r>
    </w:p>
    <w:p w:rsidR="00D35B0C" w:rsidRPr="00342D7E" w:rsidRDefault="00A834F1">
      <w:pPr>
        <w:pStyle w:val="Baseparagraphnumbered"/>
      </w:pPr>
      <w:r w:rsidRPr="00342D7E">
        <w:t>„Zyski lub (-) straty</w:t>
      </w:r>
      <w:r w:rsidR="00342D7E" w:rsidRPr="00342D7E">
        <w:t xml:space="preserve"> z</w:t>
      </w:r>
      <w:r w:rsidR="00342D7E">
        <w:t> </w:t>
      </w:r>
      <w:r w:rsidR="00342D7E" w:rsidRPr="00342D7E">
        <w:t>tyt</w:t>
      </w:r>
      <w:r w:rsidRPr="00342D7E">
        <w:t>ułu rachunkowości zabezpieczeń, netto” obejmują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instrumentów zabezpieczających</w:t>
      </w:r>
      <w:r w:rsidR="00342D7E" w:rsidRPr="00342D7E">
        <w:t xml:space="preserve"> i</w:t>
      </w:r>
      <w:r w:rsidR="00342D7E">
        <w:t> </w:t>
      </w:r>
      <w:r w:rsidR="00342D7E" w:rsidRPr="00342D7E">
        <w:t>poz</w:t>
      </w:r>
      <w:r w:rsidRPr="00342D7E">
        <w:t>ycji zabezpieczanych,</w:t>
      </w:r>
      <w:r w:rsidR="00342D7E" w:rsidRPr="00342D7E">
        <w:t xml:space="preserve"> w</w:t>
      </w:r>
      <w:r w:rsidR="00342D7E">
        <w:t> </w:t>
      </w:r>
      <w:r w:rsidR="00342D7E" w:rsidRPr="00342D7E">
        <w:t>tym</w:t>
      </w:r>
      <w:r w:rsidRPr="00342D7E">
        <w:t xml:space="preserve"> zyski lub straty</w:t>
      </w:r>
      <w:r w:rsidR="00342D7E" w:rsidRPr="00342D7E">
        <w:t xml:space="preserve"> z</w:t>
      </w:r>
      <w:r w:rsidR="00342D7E">
        <w:t> </w:t>
      </w:r>
      <w:r w:rsidR="00342D7E" w:rsidRPr="00342D7E">
        <w:t>tyt</w:t>
      </w:r>
      <w:r w:rsidRPr="00342D7E">
        <w:t>ułu pozycji zabezpieczanych wycenianych według wartości godziwej przez inne całkowite dochody innych niż instrumenty kapitałowe,</w:t>
      </w:r>
      <w:r w:rsidR="00342D7E" w:rsidRPr="00342D7E">
        <w:t xml:space="preserve"> w</w:t>
      </w:r>
      <w:r w:rsidR="00342D7E">
        <w:t> </w:t>
      </w:r>
      <w:r w:rsidR="00342D7E" w:rsidRPr="00342D7E">
        <w:t>zab</w:t>
      </w:r>
      <w:r w:rsidRPr="00342D7E">
        <w:t>ezpieczeniu wartości godziwej zgodnie z MSSF 9 pkt</w:t>
      </w:r>
      <w:r w:rsidR="00342D7E" w:rsidRPr="00342D7E">
        <w:t> </w:t>
      </w:r>
      <w:r w:rsidRPr="00342D7E">
        <w:t>6.5.8. Pozycja ta obejmuje również nieefektywną część zmiany wartości godziwej instrumentów zabezpieczających</w:t>
      </w:r>
      <w:r w:rsidR="00342D7E" w:rsidRPr="00342D7E">
        <w:t xml:space="preserve"> w</w:t>
      </w:r>
      <w:r w:rsidR="00342D7E">
        <w:t> </w:t>
      </w:r>
      <w:r w:rsidR="00342D7E" w:rsidRPr="00342D7E">
        <w:t>zab</w:t>
      </w:r>
      <w:r w:rsidRPr="00342D7E">
        <w:t>ezpieczeniu przepływów pieniężnych. Przeklasyfikowanie rezerwy</w:t>
      </w:r>
      <w:r w:rsidR="00342D7E" w:rsidRPr="00342D7E">
        <w:t xml:space="preserve"> z</w:t>
      </w:r>
      <w:r w:rsidR="00342D7E">
        <w:t> </w:t>
      </w:r>
      <w:r w:rsidR="00342D7E" w:rsidRPr="00342D7E">
        <w:t>tyt</w:t>
      </w:r>
      <w:r w:rsidRPr="00342D7E">
        <w:t>ułu zabezpieczeń przepływów pieniężnych lub rezerwy</w:t>
      </w:r>
      <w:r w:rsidR="00342D7E" w:rsidRPr="00342D7E">
        <w:t xml:space="preserve"> z</w:t>
      </w:r>
      <w:r w:rsidR="00342D7E">
        <w:t> </w:t>
      </w:r>
      <w:r w:rsidR="00342D7E" w:rsidRPr="00342D7E">
        <w:t>tyt</w:t>
      </w:r>
      <w:r w:rsidRPr="00342D7E">
        <w:t>ułu zabezpieczeń inwestycji netto</w:t>
      </w:r>
      <w:r w:rsidR="00342D7E" w:rsidRPr="00342D7E">
        <w:t xml:space="preserve"> w</w:t>
      </w:r>
      <w:r w:rsidR="00342D7E">
        <w:t> </w:t>
      </w:r>
      <w:r w:rsidR="00342D7E" w:rsidRPr="00342D7E">
        <w:t>jed</w:t>
      </w:r>
      <w:r w:rsidRPr="00342D7E">
        <w:t>nostce działającej za granicą ujmuje się</w:t>
      </w:r>
      <w:r w:rsidR="00342D7E" w:rsidRPr="00342D7E">
        <w:t xml:space="preserve"> w</w:t>
      </w:r>
      <w:r w:rsidR="00342D7E">
        <w:t> </w:t>
      </w:r>
      <w:r w:rsidR="00342D7E" w:rsidRPr="00342D7E">
        <w:t>tyc</w:t>
      </w:r>
      <w:r w:rsidRPr="00342D7E">
        <w:t>h samych wierszach „Rachunku zysków</w:t>
      </w:r>
      <w:r w:rsidR="00342D7E" w:rsidRPr="00342D7E">
        <w:t xml:space="preserve"> i</w:t>
      </w:r>
      <w:r w:rsidR="00342D7E">
        <w:t> </w:t>
      </w:r>
      <w:r w:rsidR="00342D7E" w:rsidRPr="00342D7E">
        <w:t>str</w:t>
      </w:r>
      <w:r w:rsidRPr="00342D7E">
        <w:t>at” co pozycje, na które wpływ mają przepływy pieniężne związane</w:t>
      </w:r>
      <w:r w:rsidR="00342D7E" w:rsidRPr="00342D7E">
        <w:t xml:space="preserve"> z</w:t>
      </w:r>
      <w:r w:rsidR="00342D7E">
        <w:t> </w:t>
      </w:r>
      <w:r w:rsidR="00342D7E" w:rsidRPr="00342D7E">
        <w:t>poz</w:t>
      </w:r>
      <w:r w:rsidRPr="00342D7E">
        <w:t>ycjami zabezpieczonymi. „Zyski lub (-) straty</w:t>
      </w:r>
      <w:r w:rsidR="00342D7E" w:rsidRPr="00342D7E">
        <w:t xml:space="preserve"> z</w:t>
      </w:r>
      <w:r w:rsidR="00342D7E">
        <w:t> </w:t>
      </w:r>
      <w:r w:rsidR="00342D7E" w:rsidRPr="00342D7E">
        <w:t>tyt</w:t>
      </w:r>
      <w:r w:rsidRPr="00342D7E">
        <w:t>ułu rachunkowości zabezpieczeń, netto” obejmują również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zabezpieczeń inwestycji netto</w:t>
      </w:r>
      <w:r w:rsidR="00342D7E" w:rsidRPr="00342D7E">
        <w:t xml:space="preserve"> w</w:t>
      </w:r>
      <w:r w:rsidR="00342D7E">
        <w:t> </w:t>
      </w:r>
      <w:r w:rsidR="00342D7E" w:rsidRPr="00342D7E">
        <w:t>jed</w:t>
      </w:r>
      <w:r w:rsidRPr="00342D7E">
        <w:t>nostkach działających za granicą</w:t>
      </w:r>
      <w:r w:rsidR="00342D7E" w:rsidRPr="00342D7E">
        <w:t>. W</w:t>
      </w:r>
      <w:r w:rsidR="00342D7E">
        <w:t> </w:t>
      </w:r>
      <w:r w:rsidR="00342D7E" w:rsidRPr="00342D7E">
        <w:t>poz</w:t>
      </w:r>
      <w:r w:rsidRPr="00342D7E">
        <w:t>ycji tej uwzględnia się również zyski</w:t>
      </w:r>
      <w:r w:rsidR="00342D7E" w:rsidRPr="00342D7E">
        <w:t xml:space="preserve"> z</w:t>
      </w:r>
      <w:r w:rsidR="00342D7E">
        <w:t> </w:t>
      </w:r>
      <w:r w:rsidR="00342D7E" w:rsidRPr="00342D7E">
        <w:t>tyt</w:t>
      </w:r>
      <w:r w:rsidRPr="00342D7E">
        <w:t>ułu zabezpieczeń pozycji netto.</w:t>
      </w:r>
    </w:p>
    <w:p w:rsidR="00D35B0C" w:rsidRPr="00342D7E" w:rsidRDefault="00A834F1">
      <w:pPr>
        <w:pStyle w:val="Baseparagraphnumbered"/>
      </w:pPr>
      <w:r w:rsidRPr="00342D7E">
        <w:t xml:space="preserve"> „Zyski lub straty</w:t>
      </w:r>
      <w:r w:rsidR="00342D7E" w:rsidRPr="00342D7E">
        <w:t xml:space="preserve"> z</w:t>
      </w:r>
      <w:r w:rsidR="00342D7E">
        <w:t> </w:t>
      </w:r>
      <w:r w:rsidR="00342D7E" w:rsidRPr="00342D7E">
        <w:t>tyt</w:t>
      </w:r>
      <w:r w:rsidRPr="00342D7E">
        <w:t>ułu zaprzestania ujmowania aktywów niefinansowych” obejmują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zaprzestania ujmowania aktywów niefinansowych,</w:t>
      </w:r>
      <w:r w:rsidR="00342D7E" w:rsidRPr="00342D7E">
        <w:t xml:space="preserve"> z</w:t>
      </w:r>
      <w:r w:rsidR="00342D7E">
        <w:t> </w:t>
      </w:r>
      <w:r w:rsidR="00342D7E" w:rsidRPr="00342D7E">
        <w:t>wyj</w:t>
      </w:r>
      <w:r w:rsidRPr="00342D7E">
        <w:t>ątkiem przypadków, gdy składniki te zaklasyfikowano jako przeznaczone do sprzedaży lub jako inwestycje</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w:t>
      </w:r>
    </w:p>
    <w:p w:rsidR="00D35B0C" w:rsidRPr="00342D7E" w:rsidRDefault="00301A78">
      <w:pPr>
        <w:pStyle w:val="Baseparagraphnumbered"/>
        <w:numPr>
          <w:ilvl w:val="0"/>
          <w:numId w:val="0"/>
        </w:numPr>
        <w:ind w:left="786" w:hanging="360"/>
      </w:pPr>
      <w:r w:rsidRPr="00342D7E">
        <w:t>48i. „Wkłady pieniężne na rzecz funduszy na cele restrukturyzacji</w:t>
      </w:r>
      <w:r w:rsidR="00342D7E" w:rsidRPr="00342D7E">
        <w:t xml:space="preserve"> i</w:t>
      </w:r>
      <w:r w:rsidR="00342D7E">
        <w:t> </w:t>
      </w:r>
      <w:r w:rsidR="00342D7E" w:rsidRPr="00342D7E">
        <w:t>upo</w:t>
      </w:r>
      <w:r w:rsidRPr="00342D7E">
        <w:t>rządkowanej likwidacji oraz systemów gwarantowania depozytów” obejmują kwoty wkładów na rzecz funduszy na cele restrukturyzacji</w:t>
      </w:r>
      <w:r w:rsidR="00342D7E" w:rsidRPr="00342D7E">
        <w:t xml:space="preserve"> i</w:t>
      </w:r>
      <w:r w:rsidR="00342D7E">
        <w:t> </w:t>
      </w:r>
      <w:r w:rsidR="00342D7E" w:rsidRPr="00342D7E">
        <w:t>upo</w:t>
      </w:r>
      <w:r w:rsidRPr="00342D7E">
        <w:t>rządkowanej likwidacji oraz systemów gwarantowania depozytów, jeżeli są one wpłacane</w:t>
      </w:r>
      <w:r w:rsidR="00342D7E" w:rsidRPr="00342D7E">
        <w:t xml:space="preserve"> w</w:t>
      </w:r>
      <w:r w:rsidR="00342D7E">
        <w:t> </w:t>
      </w:r>
      <w:r w:rsidR="00342D7E" w:rsidRPr="00342D7E">
        <w:t>for</w:t>
      </w:r>
      <w:r w:rsidRPr="00342D7E">
        <w:t>mie gotówkowej. Gdy wkład wnoszony jest</w:t>
      </w:r>
      <w:r w:rsidR="00342D7E" w:rsidRPr="00342D7E">
        <w:t xml:space="preserve"> w</w:t>
      </w:r>
      <w:r w:rsidR="00342D7E">
        <w:t> </w:t>
      </w:r>
      <w:r w:rsidR="00342D7E" w:rsidRPr="00342D7E">
        <w:t>for</w:t>
      </w:r>
      <w:r w:rsidRPr="00342D7E">
        <w:t>mie zobowiązania do zapłaty, takie zobowiązanie do zapłaty uwzględnia się</w:t>
      </w:r>
      <w:r w:rsidR="00342D7E" w:rsidRPr="00342D7E">
        <w:t xml:space="preserve"> w</w:t>
      </w:r>
      <w:r w:rsidR="00342D7E">
        <w:t> </w:t>
      </w:r>
      <w:r w:rsidR="00342D7E" w:rsidRPr="00342D7E">
        <w:t>poz</w:t>
      </w:r>
      <w:r w:rsidRPr="00342D7E">
        <w:t>ycji „Rezerwy lub (-) odwrócenie rezerw”, jeżeli zobowiązanie do zapłaty powoduje powstanie zobowiązania zgodnie</w:t>
      </w:r>
      <w:r w:rsidR="00342D7E" w:rsidRPr="00342D7E">
        <w:t xml:space="preserve"> z</w:t>
      </w:r>
      <w:r w:rsidR="00342D7E">
        <w:t> </w:t>
      </w:r>
      <w:r w:rsidR="00342D7E" w:rsidRPr="00342D7E">
        <w:t>obo</w:t>
      </w:r>
      <w:r w:rsidRPr="00342D7E">
        <w:t>wiązującym standardem rachunkowości.</w:t>
      </w:r>
    </w:p>
    <w:p w:rsidR="00D35B0C" w:rsidRPr="00342D7E" w:rsidRDefault="00A834F1">
      <w:pPr>
        <w:pStyle w:val="Baseparagraphnumbered"/>
      </w:pPr>
      <w:r w:rsidRPr="00342D7E">
        <w:t>„Zyski lub (-) straty</w:t>
      </w:r>
      <w:r w:rsidR="00342D7E" w:rsidRPr="00342D7E">
        <w:t xml:space="preserve"> z</w:t>
      </w:r>
      <w:r w:rsidR="00342D7E">
        <w:t> </w:t>
      </w:r>
      <w:r w:rsidR="00342D7E" w:rsidRPr="00342D7E">
        <w:t>tyt</w:t>
      </w:r>
      <w:r w:rsidRPr="00342D7E">
        <w:t>ułu modyfikacji, netto” obejmują kwoty wynikające</w:t>
      </w:r>
      <w:r w:rsidR="00342D7E" w:rsidRPr="00342D7E">
        <w:t xml:space="preserve"> z</w:t>
      </w:r>
      <w:r w:rsidR="00342D7E">
        <w:t> </w:t>
      </w:r>
      <w:r w:rsidR="00342D7E" w:rsidRPr="00342D7E">
        <w:t>dos</w:t>
      </w:r>
      <w:r w:rsidRPr="00342D7E">
        <w:t>tosowania wartości bilansowej brutto aktywów finansowych</w:t>
      </w:r>
      <w:r w:rsidR="00342D7E" w:rsidRPr="00342D7E">
        <w:t xml:space="preserve"> w</w:t>
      </w:r>
      <w:r w:rsidR="00342D7E">
        <w:t> </w:t>
      </w:r>
      <w:r w:rsidR="00342D7E" w:rsidRPr="00342D7E">
        <w:t>cel</w:t>
      </w:r>
      <w:r w:rsidRPr="00342D7E">
        <w:t>u odzwierciedlenia renegocjowanych lub zmienionych przepływów pieniężnych wynikających</w:t>
      </w:r>
      <w:r w:rsidR="00342D7E" w:rsidRPr="00342D7E">
        <w:t xml:space="preserve"> z</w:t>
      </w:r>
      <w:r w:rsidR="00342D7E">
        <w:t> </w:t>
      </w:r>
      <w:r w:rsidR="00342D7E" w:rsidRPr="00342D7E">
        <w:t>umo</w:t>
      </w:r>
      <w:r w:rsidRPr="00342D7E">
        <w:t>wy (MSSF 9 pkt</w:t>
      </w:r>
      <w:r w:rsidR="00342D7E" w:rsidRPr="00342D7E">
        <w:t> </w:t>
      </w:r>
      <w:r w:rsidRPr="00342D7E">
        <w:t>5.4.3</w:t>
      </w:r>
      <w:r w:rsidR="00342D7E" w:rsidRPr="00342D7E">
        <w:t xml:space="preserve"> i</w:t>
      </w:r>
      <w:r w:rsidR="00342D7E">
        <w:t> </w:t>
      </w:r>
      <w:r w:rsidR="00342D7E" w:rsidRPr="00342D7E">
        <w:t>zał</w:t>
      </w:r>
      <w:r w:rsidRPr="00342D7E">
        <w:t>ącznik A). Zyski lub straty</w:t>
      </w:r>
      <w:r w:rsidR="00342D7E" w:rsidRPr="00342D7E">
        <w:t xml:space="preserve"> z</w:t>
      </w:r>
      <w:r w:rsidR="00342D7E">
        <w:t> </w:t>
      </w:r>
      <w:r w:rsidR="00342D7E" w:rsidRPr="00342D7E">
        <w:t>tyt</w:t>
      </w:r>
      <w:r w:rsidRPr="00342D7E">
        <w:t>ułu modyfikacji nie obejmują wpływu zmian na wysokość oczekiwanych strat kredytowych, które zgłasza się</w:t>
      </w:r>
      <w:r w:rsidR="00342D7E" w:rsidRPr="00342D7E">
        <w:t xml:space="preserve"> w</w:t>
      </w:r>
      <w:r w:rsidR="00342D7E">
        <w:t> </w:t>
      </w:r>
      <w:r w:rsidR="00342D7E" w:rsidRPr="00342D7E">
        <w:t>poz</w:t>
      </w:r>
      <w:r w:rsidRPr="00342D7E">
        <w:t xml:space="preserve">ycji „Utrata wartości lub (-) </w:t>
      </w:r>
      <w:r w:rsidRPr="00342D7E">
        <w:lastRenderedPageBreak/>
        <w:t>odwrócenie utraty wartości aktywów finansowych niewycenianych według wartości godziwej przez wynik finansowy”.</w:t>
      </w:r>
    </w:p>
    <w:p w:rsidR="00D35B0C" w:rsidRPr="00342D7E" w:rsidRDefault="00A834F1">
      <w:pPr>
        <w:pStyle w:val="Baseparagraphnumbered"/>
      </w:pPr>
      <w:r w:rsidRPr="00342D7E">
        <w:t>„Rezerwy lub (-) odwrócenie rezerw”. Udzielone zobowiązania</w:t>
      </w:r>
      <w:r w:rsidR="00342D7E" w:rsidRPr="00342D7E">
        <w:t xml:space="preserve"> i</w:t>
      </w:r>
      <w:r w:rsidR="00342D7E">
        <w:t> </w:t>
      </w:r>
      <w:r w:rsidR="00342D7E" w:rsidRPr="00342D7E">
        <w:t>gwa</w:t>
      </w:r>
      <w:r w:rsidRPr="00342D7E">
        <w:t>rancje” obejmują obciążenia netto w „Rachunku zysku</w:t>
      </w:r>
      <w:r w:rsidR="00342D7E" w:rsidRPr="00342D7E">
        <w:t xml:space="preserve"> i</w:t>
      </w:r>
      <w:r w:rsidR="00342D7E">
        <w:t> </w:t>
      </w:r>
      <w:r w:rsidR="00342D7E" w:rsidRPr="00342D7E">
        <w:t>str</w:t>
      </w:r>
      <w:r w:rsidRPr="00342D7E">
        <w:t>at”</w:t>
      </w:r>
      <w:r w:rsidR="00342D7E" w:rsidRPr="00342D7E">
        <w:t xml:space="preserve"> z</w:t>
      </w:r>
      <w:r w:rsidR="00342D7E">
        <w:t> </w:t>
      </w:r>
      <w:r w:rsidR="00342D7E" w:rsidRPr="00342D7E">
        <w:t>tyt</w:t>
      </w:r>
      <w:r w:rsidRPr="00342D7E">
        <w:t>ułu rezerw na wszystkie zobowiązania</w:t>
      </w:r>
      <w:r w:rsidR="00342D7E" w:rsidRPr="00342D7E">
        <w:t xml:space="preserve"> i</w:t>
      </w:r>
      <w:r w:rsidR="00342D7E">
        <w:t> </w:t>
      </w:r>
      <w:r w:rsidR="00342D7E" w:rsidRPr="00342D7E">
        <w:t>gwa</w:t>
      </w:r>
      <w:r w:rsidRPr="00342D7E">
        <w:t>rancje wchodzące</w:t>
      </w:r>
      <w:r w:rsidR="00342D7E" w:rsidRPr="00342D7E">
        <w:t xml:space="preserve"> w</w:t>
      </w:r>
      <w:r w:rsidR="00342D7E">
        <w:t> </w:t>
      </w:r>
      <w:r w:rsidR="00342D7E" w:rsidRPr="00342D7E">
        <w:t>zak</w:t>
      </w:r>
      <w:r w:rsidRPr="00342D7E">
        <w:t>res MSSF 9, MSR 37 lub MSSF 4 zgodnie</w:t>
      </w:r>
      <w:r w:rsidR="00342D7E" w:rsidRPr="00342D7E">
        <w:t xml:space="preserve"> z</w:t>
      </w:r>
      <w:r w:rsidR="00342D7E">
        <w:t> </w:t>
      </w:r>
      <w:r w:rsidR="00342D7E" w:rsidRPr="00342D7E">
        <w:t>pkt </w:t>
      </w:r>
      <w:r w:rsidRPr="00342D7E">
        <w:t>11 niniejszej części bądź przewidziane na podstawie krajowych ogólnie przyjętych zasad rachunkowości opartych na BAD. Zgodnie z MSSF każdą zmianę wartości godziwej zobowiązań</w:t>
      </w:r>
      <w:r w:rsidR="00342D7E" w:rsidRPr="00342D7E">
        <w:t xml:space="preserve"> i</w:t>
      </w:r>
      <w:r w:rsidR="00342D7E">
        <w:t> </w:t>
      </w:r>
      <w:r w:rsidR="00342D7E" w:rsidRPr="00342D7E">
        <w:t>gwa</w:t>
      </w:r>
      <w:r w:rsidRPr="00342D7E">
        <w:t>rancji finansowych wycenianych według wartości godziwej zgłasza się</w:t>
      </w:r>
      <w:r w:rsidR="00342D7E" w:rsidRPr="00342D7E">
        <w:t xml:space="preserve"> w</w:t>
      </w:r>
      <w:r w:rsidR="00342D7E">
        <w:t> </w:t>
      </w:r>
      <w:r w:rsidR="00342D7E" w:rsidRPr="00342D7E">
        <w:t>poz</w:t>
      </w:r>
      <w:r w:rsidRPr="00342D7E">
        <w:t>ycji „Zyski lub (-) straty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wycenianych według wartości godziwej przez wynik finansowy, netto”. Rezerwy obejmują zatem kwotę utraty wartości zobowiązań</w:t>
      </w:r>
      <w:r w:rsidR="00342D7E" w:rsidRPr="00342D7E">
        <w:t xml:space="preserve"> i</w:t>
      </w:r>
      <w:r w:rsidR="00342D7E">
        <w:t> </w:t>
      </w:r>
      <w:r w:rsidR="00342D7E" w:rsidRPr="00342D7E">
        <w:t>gwa</w:t>
      </w:r>
      <w:r w:rsidRPr="00342D7E">
        <w:t>rancji,</w:t>
      </w:r>
      <w:r w:rsidR="00342D7E" w:rsidRPr="00342D7E">
        <w:t xml:space="preserve"> w</w:t>
      </w:r>
      <w:r w:rsidR="00342D7E">
        <w:t> </w:t>
      </w:r>
      <w:r w:rsidR="00342D7E" w:rsidRPr="00342D7E">
        <w:t>prz</w:t>
      </w:r>
      <w:r w:rsidRPr="00342D7E">
        <w:t>ypadku których utratę wartości ustala się zgodnie z MSSF 9 lub</w:t>
      </w:r>
      <w:r w:rsidR="00342D7E" w:rsidRPr="00342D7E">
        <w:t xml:space="preserve"> w</w:t>
      </w:r>
      <w:r w:rsidR="00342D7E">
        <w:t> </w:t>
      </w:r>
      <w:r w:rsidR="00342D7E" w:rsidRPr="00342D7E">
        <w:t>prz</w:t>
      </w:r>
      <w:r w:rsidRPr="00342D7E">
        <w:t>ypadku których tworzenie rezerw</w:t>
      </w:r>
      <w:r w:rsidR="00342D7E" w:rsidRPr="00342D7E">
        <w:t xml:space="preserve"> z</w:t>
      </w:r>
      <w:r w:rsidR="00342D7E">
        <w:t> </w:t>
      </w:r>
      <w:r w:rsidR="00342D7E" w:rsidRPr="00342D7E">
        <w:t>ich</w:t>
      </w:r>
      <w:r w:rsidRPr="00342D7E">
        <w:t xml:space="preserve"> tytułu przebiega zgodnie z MSR 37 bądź też które traktuje się jako umowy ubezpieczeniowe zgodnie z MSSF 4.</w:t>
      </w:r>
    </w:p>
    <w:p w:rsidR="00D35B0C" w:rsidRPr="00342D7E" w:rsidRDefault="00A834F1">
      <w:pPr>
        <w:pStyle w:val="Baseparagraphnumbered"/>
      </w:pPr>
      <w:r w:rsidRPr="00342D7E">
        <w:t>Zgodnie z MSSF</w:t>
      </w:r>
      <w:r w:rsidR="00342D7E" w:rsidRPr="00342D7E">
        <w:t xml:space="preserve"> w</w:t>
      </w:r>
      <w:r w:rsidR="00342D7E">
        <w:t> </w:t>
      </w:r>
      <w:r w:rsidR="00342D7E" w:rsidRPr="00342D7E">
        <w:t>poz</w:t>
      </w:r>
      <w:r w:rsidRPr="00342D7E">
        <w:t>ycji „Utrata wartości lub (-) odwrócenie utraty wartości aktywów finansowych niewycenianych według wartości godziwej przez wynik finansowy” uwzględnia się wszystkie zyski lub straty</w:t>
      </w:r>
      <w:r w:rsidR="00342D7E" w:rsidRPr="00342D7E">
        <w:t xml:space="preserve"> z</w:t>
      </w:r>
      <w:r w:rsidR="00342D7E">
        <w:t> </w:t>
      </w:r>
      <w:r w:rsidR="00342D7E" w:rsidRPr="00342D7E">
        <w:t>tyt</w:t>
      </w:r>
      <w:r w:rsidRPr="00342D7E">
        <w:t>ułu utraty wartości instrumentów dłużnych wynikające</w:t>
      </w:r>
      <w:r w:rsidR="00342D7E" w:rsidRPr="00342D7E">
        <w:t xml:space="preserve"> z</w:t>
      </w:r>
      <w:r w:rsidR="00342D7E">
        <w:t> </w:t>
      </w:r>
      <w:r w:rsidR="00342D7E" w:rsidRPr="00342D7E">
        <w:t>zas</w:t>
      </w:r>
      <w:r w:rsidRPr="00342D7E">
        <w:t>tosowania przepisów dotyczących utraty wartości przewidzianych w MSR 9 pkt</w:t>
      </w:r>
      <w:r w:rsidR="00342D7E" w:rsidRPr="00342D7E">
        <w:t> </w:t>
      </w:r>
      <w:r w:rsidRPr="00342D7E">
        <w:t>5.5, niezależnie od tego, czy oczekiwane straty kredytowe zgodnie z MSSF 9 pkt</w:t>
      </w:r>
      <w:r w:rsidR="00342D7E" w:rsidRPr="00342D7E">
        <w:t> </w:t>
      </w:r>
      <w:r w:rsidRPr="00342D7E">
        <w:t>5.5 szacuje się</w:t>
      </w:r>
      <w:r w:rsidR="00342D7E" w:rsidRPr="00342D7E">
        <w:t xml:space="preserve"> w</w:t>
      </w:r>
      <w:r w:rsidR="00342D7E">
        <w:t> </w:t>
      </w:r>
      <w:r w:rsidR="00342D7E" w:rsidRPr="00342D7E">
        <w:t>per</w:t>
      </w:r>
      <w:r w:rsidRPr="00342D7E">
        <w:t>spektywie 12 miesięcy czy też</w:t>
      </w:r>
      <w:r w:rsidR="00342D7E" w:rsidRPr="00342D7E">
        <w:t xml:space="preserve"> w</w:t>
      </w:r>
      <w:r w:rsidR="00342D7E">
        <w:t> </w:t>
      </w:r>
      <w:r w:rsidR="00342D7E" w:rsidRPr="00342D7E">
        <w:t>cał</w:t>
      </w:r>
      <w:r w:rsidRPr="00342D7E">
        <w:t>ym okresie życia,</w:t>
      </w:r>
      <w:r w:rsidR="00342D7E" w:rsidRPr="00342D7E">
        <w:t xml:space="preserve"> w</w:t>
      </w:r>
      <w:r w:rsidR="00342D7E">
        <w:t> </w:t>
      </w:r>
      <w:r w:rsidR="00342D7E" w:rsidRPr="00342D7E">
        <w:t>tym</w:t>
      </w:r>
      <w:r w:rsidRPr="00342D7E">
        <w:t xml:space="preserve"> także zyski lub straty</w:t>
      </w:r>
      <w:r w:rsidR="00342D7E" w:rsidRPr="00342D7E">
        <w:t xml:space="preserve"> z</w:t>
      </w:r>
      <w:r w:rsidR="00342D7E">
        <w:t> </w:t>
      </w:r>
      <w:r w:rsidR="00342D7E" w:rsidRPr="00342D7E">
        <w:t>tyt</w:t>
      </w:r>
      <w:r w:rsidRPr="00342D7E">
        <w:t>ułu utraty wartości należności</w:t>
      </w:r>
      <w:r w:rsidR="00342D7E" w:rsidRPr="00342D7E">
        <w:t xml:space="preserve"> z</w:t>
      </w:r>
      <w:r w:rsidR="00342D7E">
        <w:t> </w:t>
      </w:r>
      <w:r w:rsidR="00342D7E" w:rsidRPr="00342D7E">
        <w:t>tyt</w:t>
      </w:r>
      <w:r w:rsidRPr="00342D7E">
        <w:t>ułu dostaw</w:t>
      </w:r>
      <w:r w:rsidR="00342D7E" w:rsidRPr="00342D7E">
        <w:t xml:space="preserve"> i</w:t>
      </w:r>
      <w:r w:rsidR="00342D7E">
        <w:t> </w:t>
      </w:r>
      <w:r w:rsidR="00342D7E" w:rsidRPr="00342D7E">
        <w:t>usł</w:t>
      </w:r>
      <w:r w:rsidRPr="00342D7E">
        <w:t>ug, aktywów</w:t>
      </w:r>
      <w:r w:rsidR="00342D7E" w:rsidRPr="00342D7E">
        <w:t xml:space="preserve"> z</w:t>
      </w:r>
      <w:r w:rsidR="00342D7E">
        <w:t> </w:t>
      </w:r>
      <w:r w:rsidR="00342D7E" w:rsidRPr="00342D7E">
        <w:t>tyt</w:t>
      </w:r>
      <w:r w:rsidRPr="00342D7E">
        <w:t>ułu umów oraz należności leasingowych (MSSF 9 pkt</w:t>
      </w:r>
      <w:r w:rsidR="00342D7E" w:rsidRPr="00342D7E">
        <w:t> </w:t>
      </w:r>
      <w:r w:rsidRPr="00342D7E">
        <w:t xml:space="preserve">5.5.15). </w:t>
      </w:r>
    </w:p>
    <w:p w:rsidR="00D35B0C" w:rsidRPr="00342D7E" w:rsidRDefault="00A834F1">
      <w:pPr>
        <w:pStyle w:val="Baseparagraphnumbered"/>
      </w:pPr>
      <w:r w:rsidRPr="00342D7E">
        <w:t>Zgodnie</w:t>
      </w:r>
      <w:r w:rsidR="00342D7E" w:rsidRPr="00342D7E">
        <w:t xml:space="preserve"> z</w:t>
      </w:r>
      <w:r w:rsidR="00342D7E">
        <w:t> </w:t>
      </w:r>
      <w:r w:rsidR="00342D7E" w:rsidRPr="00342D7E">
        <w:t>kra</w:t>
      </w:r>
      <w:r w:rsidRPr="00342D7E">
        <w:t>jowymi ogólnie przyjętymi zasadami rachunkowości opartymi na BAD</w:t>
      </w:r>
      <w:r w:rsidR="00342D7E" w:rsidRPr="00342D7E">
        <w:t xml:space="preserve"> w</w:t>
      </w:r>
      <w:r w:rsidR="00342D7E">
        <w:t> </w:t>
      </w:r>
      <w:r w:rsidR="00342D7E" w:rsidRPr="00342D7E">
        <w:t>poz</w:t>
      </w:r>
      <w:r w:rsidRPr="00342D7E">
        <w:t>ycji „Utrata wartości lub (-) odwrócenie utraty wartości aktywów finansowych niewycenianych według wartości godziwej przez wynik finansowy” uwzględnia się wszystkie odpisy aktualizujące</w:t>
      </w:r>
      <w:r w:rsidR="00342D7E" w:rsidRPr="00342D7E">
        <w:t xml:space="preserve"> i</w:t>
      </w:r>
      <w:r w:rsidR="00342D7E">
        <w:t> </w:t>
      </w:r>
      <w:r w:rsidR="00342D7E" w:rsidRPr="00342D7E">
        <w:t>odw</w:t>
      </w:r>
      <w:r w:rsidRPr="00342D7E">
        <w:t>rócenia odpisów aktualizujących wartość instrumentów finansowych wycenianych metodą ceny nabycia ze względu na zmianę wiarygodności kredytowej dłużnika lub emitenta, jak również –</w:t>
      </w:r>
      <w:r w:rsidR="00342D7E" w:rsidRPr="00342D7E">
        <w:t xml:space="preserve"> w</w:t>
      </w:r>
      <w:r w:rsidR="00342D7E">
        <w:t> </w:t>
      </w:r>
      <w:r w:rsidR="00342D7E" w:rsidRPr="00342D7E">
        <w:t>zal</w:t>
      </w:r>
      <w:r w:rsidRPr="00342D7E">
        <w:t>eżności od specyfikacji krajowych ogólnie przyjętych zasad rachunkowości – odpisy aktualizujące ze względu na utratę wartości instrumentów finansowych wycenianych według wartości godziwej ustalanej metodą praw własności oraz zgodnie</w:t>
      </w:r>
      <w:r w:rsidR="00342D7E" w:rsidRPr="00342D7E">
        <w:t xml:space="preserve"> z</w:t>
      </w:r>
      <w:r w:rsidR="00342D7E">
        <w:t> </w:t>
      </w:r>
      <w:r w:rsidR="00342D7E" w:rsidRPr="00342D7E">
        <w:t>inn</w:t>
      </w:r>
      <w:r w:rsidRPr="00342D7E">
        <w:t>ymi metodami wyceny,</w:t>
      </w:r>
      <w:r w:rsidR="00342D7E" w:rsidRPr="00342D7E">
        <w:t xml:space="preserve"> w</w:t>
      </w:r>
      <w:r w:rsidR="00342D7E">
        <w:t> </w:t>
      </w:r>
      <w:r w:rsidR="00342D7E" w:rsidRPr="00342D7E">
        <w:t>tym</w:t>
      </w:r>
      <w:r w:rsidRPr="00342D7E">
        <w:t xml:space="preserve"> LOCOM. </w:t>
      </w:r>
    </w:p>
    <w:p w:rsidR="00D35B0C" w:rsidRPr="00342D7E" w:rsidRDefault="00A834F1">
      <w:pPr>
        <w:pStyle w:val="Baseparagraphnumbered"/>
      </w:pPr>
      <w:r w:rsidRPr="00342D7E">
        <w:t xml:space="preserve"> „Utrata wartości lub (-) odwrócenie utraty wartości aktywów finansowych niewycenianych według wartości godziwej przez wynik finansowy” obejmuje również kwoty spisane – zgodnie</w:t>
      </w:r>
      <w:r w:rsidR="00342D7E" w:rsidRPr="00342D7E">
        <w:t xml:space="preserve"> z</w:t>
      </w:r>
      <w:r w:rsidR="00342D7E">
        <w:t> </w:t>
      </w:r>
      <w:r w:rsidR="00342D7E" w:rsidRPr="00342D7E">
        <w:t>def</w:t>
      </w:r>
      <w:r w:rsidRPr="00342D7E">
        <w:t>inicją</w:t>
      </w:r>
      <w:r w:rsidR="00342D7E" w:rsidRPr="00342D7E">
        <w:t xml:space="preserve"> w</w:t>
      </w:r>
      <w:r w:rsidR="00342D7E">
        <w:t> </w:t>
      </w:r>
      <w:r w:rsidR="00342D7E" w:rsidRPr="00342D7E">
        <w:t>pkt </w:t>
      </w:r>
      <w:r w:rsidRPr="00342D7E">
        <w:t>72, 74</w:t>
      </w:r>
      <w:r w:rsidR="00342D7E" w:rsidRPr="00342D7E">
        <w:t xml:space="preserve"> i</w:t>
      </w:r>
      <w:r w:rsidR="00342D7E">
        <w:t> </w:t>
      </w:r>
      <w:r w:rsidR="00342D7E" w:rsidRPr="00342D7E">
        <w:t>1</w:t>
      </w:r>
      <w:r w:rsidRPr="00342D7E">
        <w:t>65 lit.</w:t>
      </w:r>
      <w:r w:rsidR="00342D7E" w:rsidRPr="00342D7E">
        <w:t> </w:t>
      </w:r>
      <w:r w:rsidRPr="00342D7E">
        <w:t>b) niniejszej części</w:t>
      </w:r>
      <w:r w:rsidR="00342D7E" w:rsidRPr="00342D7E">
        <w:t xml:space="preserve"> w</w:t>
      </w:r>
      <w:r w:rsidR="00342D7E">
        <w:t> </w:t>
      </w:r>
      <w:r w:rsidR="00342D7E" w:rsidRPr="00342D7E">
        <w:t>nin</w:t>
      </w:r>
      <w:r w:rsidRPr="00342D7E">
        <w:t>iejszym załączniku – które przekraczają wysokość odpisu na straty na dzień spisania i są zatem ujmowane jako strata bezpośrednio</w:t>
      </w:r>
      <w:r w:rsidR="00342D7E" w:rsidRPr="00342D7E">
        <w:t xml:space="preserve"> w</w:t>
      </w:r>
      <w:r w:rsidR="00342D7E">
        <w:t> </w:t>
      </w:r>
      <w:r w:rsidR="00342D7E" w:rsidRPr="00342D7E">
        <w:t>rac</w:t>
      </w:r>
      <w:r w:rsidRPr="00342D7E">
        <w:t>hunku zysków</w:t>
      </w:r>
      <w:r w:rsidR="00342D7E" w:rsidRPr="00342D7E">
        <w:t xml:space="preserve"> i</w:t>
      </w:r>
      <w:r w:rsidR="00342D7E">
        <w:t> </w:t>
      </w:r>
      <w:r w:rsidR="00342D7E" w:rsidRPr="00342D7E">
        <w:t>str</w:t>
      </w:r>
      <w:r w:rsidRPr="00342D7E">
        <w:t>at, jak również odzyskania uprzednio spisanych kwot ujętych bezpośrednio</w:t>
      </w:r>
      <w:r w:rsidR="00342D7E" w:rsidRPr="00342D7E">
        <w:t xml:space="preserve"> w</w:t>
      </w:r>
      <w:r w:rsidR="00342D7E">
        <w:t> </w:t>
      </w:r>
      <w:r w:rsidR="00342D7E" w:rsidRPr="00342D7E">
        <w:t>rac</w:t>
      </w:r>
      <w:r w:rsidRPr="00342D7E">
        <w:t>hunku zysków</w:t>
      </w:r>
      <w:r w:rsidR="00342D7E" w:rsidRPr="00342D7E">
        <w:t xml:space="preserve"> i</w:t>
      </w:r>
      <w:r w:rsidR="00342D7E">
        <w:t> </w:t>
      </w:r>
      <w:r w:rsidR="00342D7E" w:rsidRPr="00342D7E">
        <w:t>str</w:t>
      </w:r>
      <w:r w:rsidRPr="00342D7E">
        <w:t xml:space="preserve">at. </w:t>
      </w:r>
    </w:p>
    <w:p w:rsidR="00D35B0C" w:rsidRPr="00342D7E" w:rsidRDefault="00A834F1">
      <w:pPr>
        <w:pStyle w:val="Baseparagraphnumbered"/>
      </w:pPr>
      <w:r w:rsidRPr="00342D7E">
        <w:t>Udział</w:t>
      </w:r>
      <w:r w:rsidR="00342D7E" w:rsidRPr="00342D7E">
        <w:t xml:space="preserve"> w</w:t>
      </w:r>
      <w:r w:rsidR="00342D7E">
        <w:t> </w:t>
      </w:r>
      <w:r w:rsidR="00342D7E" w:rsidRPr="00342D7E">
        <w:t>zys</w:t>
      </w:r>
      <w:r w:rsidRPr="00342D7E">
        <w:t>ku lub stracie jednostek zależnych, jednostek stowarzyszonych</w:t>
      </w:r>
      <w:r w:rsidR="00342D7E" w:rsidRPr="00342D7E">
        <w:t xml:space="preserve"> i</w:t>
      </w:r>
      <w:r w:rsidR="00342D7E">
        <w:t> </w:t>
      </w:r>
      <w:r w:rsidR="00342D7E" w:rsidRPr="00342D7E">
        <w:t>wsp</w:t>
      </w:r>
      <w:r w:rsidRPr="00342D7E">
        <w:t>ólnych przedsięwzięć ujętych zgodnie</w:t>
      </w:r>
      <w:r w:rsidR="00342D7E" w:rsidRPr="00342D7E">
        <w:t xml:space="preserve"> z</w:t>
      </w:r>
      <w:r w:rsidR="00342D7E">
        <w:t> </w:t>
      </w:r>
      <w:r w:rsidR="00342D7E" w:rsidRPr="00342D7E">
        <w:t>met</w:t>
      </w:r>
      <w:r w:rsidRPr="00342D7E">
        <w:t>odą praw własności</w:t>
      </w:r>
      <w:r w:rsidR="00342D7E" w:rsidRPr="00342D7E">
        <w:t xml:space="preserve"> w</w:t>
      </w:r>
      <w:r w:rsidR="00342D7E">
        <w:t> </w:t>
      </w:r>
      <w:r w:rsidR="00342D7E" w:rsidRPr="00342D7E">
        <w:t>reg</w:t>
      </w:r>
      <w:r w:rsidRPr="00342D7E">
        <w:t>ulacyjnym zakresie konsolidacji zgłasza się</w:t>
      </w:r>
      <w:r w:rsidR="00342D7E" w:rsidRPr="00342D7E">
        <w:t xml:space="preserve"> w</w:t>
      </w:r>
      <w:r w:rsidR="00342D7E">
        <w:t> </w:t>
      </w:r>
      <w:r w:rsidR="00342D7E" w:rsidRPr="00342D7E">
        <w:t>poz</w:t>
      </w:r>
      <w:r w:rsidRPr="00342D7E">
        <w:t>ycji „Udział</w:t>
      </w:r>
      <w:r w:rsidR="00342D7E" w:rsidRPr="00342D7E">
        <w:t xml:space="preserve"> w</w:t>
      </w:r>
      <w:r w:rsidR="00342D7E">
        <w:t> </w:t>
      </w:r>
      <w:r w:rsidR="00342D7E" w:rsidRPr="00342D7E">
        <w:t>zys</w:t>
      </w:r>
      <w:r w:rsidRPr="00342D7E">
        <w:t xml:space="preserve">ku </w:t>
      </w:r>
      <w:r w:rsidRPr="00342D7E">
        <w:lastRenderedPageBreak/>
        <w:t>lub (-) stracie</w:t>
      </w:r>
      <w:r w:rsidR="00342D7E" w:rsidRPr="00342D7E">
        <w:t xml:space="preserve"> z</w:t>
      </w:r>
      <w:r w:rsidR="00342D7E">
        <w:t> </w:t>
      </w:r>
      <w:r w:rsidR="00342D7E" w:rsidRPr="00342D7E">
        <w:t>inw</w:t>
      </w:r>
      <w:r w:rsidRPr="00342D7E">
        <w:t>estycji</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ujętych zgodnie</w:t>
      </w:r>
      <w:r w:rsidR="00342D7E" w:rsidRPr="00342D7E">
        <w:t xml:space="preserve"> z</w:t>
      </w:r>
      <w:r w:rsidR="00342D7E">
        <w:t> </w:t>
      </w:r>
      <w:r w:rsidR="00342D7E" w:rsidRPr="00342D7E">
        <w:t>met</w:t>
      </w:r>
      <w:r w:rsidRPr="00342D7E">
        <w:t>odą praw własności”. Zgodnie z MSR 28 pkt</w:t>
      </w:r>
      <w:r w:rsidR="00342D7E" w:rsidRPr="00342D7E">
        <w:t> </w:t>
      </w:r>
      <w:r w:rsidRPr="00342D7E">
        <w:t>10 wartość bilansową inwestycji pomniejsza się</w:t>
      </w:r>
      <w:r w:rsidR="00342D7E" w:rsidRPr="00342D7E">
        <w:t xml:space="preserve"> o</w:t>
      </w:r>
      <w:r w:rsidR="00342D7E">
        <w:t> </w:t>
      </w:r>
      <w:r w:rsidR="00342D7E" w:rsidRPr="00342D7E">
        <w:t>kwo</w:t>
      </w:r>
      <w:r w:rsidRPr="00342D7E">
        <w:t>tę dywidend wypłaconych przez te jednostki. Utratę wartość tych inwestycji zgłasza się</w:t>
      </w:r>
      <w:r w:rsidR="00342D7E" w:rsidRPr="00342D7E">
        <w:t xml:space="preserve"> w</w:t>
      </w:r>
      <w:r w:rsidR="00342D7E">
        <w:t> </w:t>
      </w:r>
      <w:r w:rsidR="00342D7E" w:rsidRPr="00342D7E">
        <w:t>poz</w:t>
      </w:r>
      <w:r w:rsidRPr="00342D7E">
        <w:t>ycji „(Utrata wartości lub (-) odwrócenie utraty wartości inwestycji</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Zyski lub straty</w:t>
      </w:r>
      <w:r w:rsidR="00342D7E" w:rsidRPr="00342D7E">
        <w:t xml:space="preserve"> z</w:t>
      </w:r>
      <w:r w:rsidR="00342D7E">
        <w:t> </w:t>
      </w:r>
      <w:r w:rsidR="00342D7E" w:rsidRPr="00342D7E">
        <w:t>tyt</w:t>
      </w:r>
      <w:r w:rsidRPr="00342D7E">
        <w:t>ułu zaprzestania ujmowania tych inwestycji zgłasza się zgodnie</w:t>
      </w:r>
      <w:r w:rsidR="00342D7E" w:rsidRPr="00342D7E">
        <w:t xml:space="preserve"> z</w:t>
      </w:r>
      <w:r w:rsidR="00342D7E">
        <w:t> </w:t>
      </w:r>
      <w:r w:rsidR="00342D7E" w:rsidRPr="00342D7E">
        <w:t>pkt </w:t>
      </w:r>
      <w:r w:rsidRPr="00342D7E">
        <w:t>55</w:t>
      </w:r>
      <w:r w:rsidR="00342D7E" w:rsidRPr="00342D7E">
        <w:t xml:space="preserve"> i</w:t>
      </w:r>
      <w:r w:rsidR="00342D7E">
        <w:t> </w:t>
      </w:r>
      <w:r w:rsidR="00342D7E" w:rsidRPr="00342D7E">
        <w:t>5</w:t>
      </w:r>
      <w:r w:rsidRPr="00342D7E">
        <w:t xml:space="preserve">6 niniejszej części. </w:t>
      </w:r>
    </w:p>
    <w:p w:rsidR="00D35B0C" w:rsidRPr="00342D7E" w:rsidRDefault="00A834F1">
      <w:pPr>
        <w:pStyle w:val="Baseparagraphnumbered"/>
      </w:pPr>
      <w:r w:rsidRPr="00342D7E">
        <w:t>„Zysk lub strata</w:t>
      </w:r>
      <w:r w:rsidR="00342D7E" w:rsidRPr="00342D7E">
        <w:t xml:space="preserve"> z</w:t>
      </w:r>
      <w:r w:rsidR="00342D7E">
        <w:t> </w:t>
      </w:r>
      <w:r w:rsidR="00342D7E" w:rsidRPr="00342D7E">
        <w:t>tyt</w:t>
      </w:r>
      <w:r w:rsidRPr="00342D7E">
        <w:t>ułu aktywów trwałych</w:t>
      </w:r>
      <w:r w:rsidR="00342D7E" w:rsidRPr="00342D7E">
        <w:t xml:space="preserve"> i</w:t>
      </w:r>
      <w:r w:rsidR="00342D7E">
        <w:t> </w:t>
      </w:r>
      <w:r w:rsidR="00342D7E" w:rsidRPr="00342D7E">
        <w:t>gru</w:t>
      </w:r>
      <w:r w:rsidRPr="00342D7E">
        <w:t>p do zbycia sklasyfikowanych jako przeznaczone do sprzedaży</w:t>
      </w:r>
      <w:r w:rsidR="00342D7E" w:rsidRPr="00342D7E">
        <w:t xml:space="preserve"> i</w:t>
      </w:r>
      <w:r w:rsidR="00342D7E">
        <w:t> </w:t>
      </w:r>
      <w:r w:rsidR="00342D7E" w:rsidRPr="00342D7E">
        <w:t>nie</w:t>
      </w:r>
      <w:r w:rsidRPr="00342D7E">
        <w:t>kwalifikujących się jako działalność zaniechana” obejmuje zysk lub stratę</w:t>
      </w:r>
      <w:r w:rsidR="00342D7E" w:rsidRPr="00342D7E">
        <w:t xml:space="preserve"> z</w:t>
      </w:r>
      <w:r w:rsidR="00342D7E">
        <w:t> </w:t>
      </w:r>
      <w:r w:rsidR="00342D7E" w:rsidRPr="00342D7E">
        <w:t>tyt</w:t>
      </w:r>
      <w:r w:rsidRPr="00342D7E">
        <w:t>ułu aktywów trwałych</w:t>
      </w:r>
      <w:r w:rsidR="00342D7E" w:rsidRPr="00342D7E">
        <w:t xml:space="preserve"> i</w:t>
      </w:r>
      <w:r w:rsidR="00342D7E">
        <w:t> </w:t>
      </w:r>
      <w:r w:rsidR="00342D7E" w:rsidRPr="00342D7E">
        <w:t>gru</w:t>
      </w:r>
      <w:r w:rsidRPr="00342D7E">
        <w:t>p do zbycia sklasyfikowanych jako przeznaczone do sprzedaży</w:t>
      </w:r>
      <w:r w:rsidR="00342D7E" w:rsidRPr="00342D7E">
        <w:t xml:space="preserve"> i</w:t>
      </w:r>
      <w:r w:rsidR="00342D7E">
        <w:t> </w:t>
      </w:r>
      <w:r w:rsidR="00342D7E" w:rsidRPr="00342D7E">
        <w:t>nie</w:t>
      </w:r>
      <w:r w:rsidRPr="00342D7E">
        <w:t>kwalifikujących się jako działalność zaniechana.</w:t>
      </w:r>
    </w:p>
    <w:p w:rsidR="00D35B0C" w:rsidRPr="00342D7E" w:rsidRDefault="00A834F1">
      <w:pPr>
        <w:pStyle w:val="Baseparagraphnumbered"/>
      </w:pPr>
      <w:r w:rsidRPr="00342D7E">
        <w:t>Zgodnie z MSSF zyski lub straty</w:t>
      </w:r>
      <w:r w:rsidR="00342D7E" w:rsidRPr="00342D7E">
        <w:t xml:space="preserve"> z</w:t>
      </w:r>
      <w:r w:rsidR="00342D7E">
        <w:t> </w:t>
      </w:r>
      <w:r w:rsidR="00342D7E" w:rsidRPr="00342D7E">
        <w:t>tyt</w:t>
      </w:r>
      <w:r w:rsidRPr="00342D7E">
        <w:t>ułu zaprzestania ujmowania inwestycji</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zgłasza się</w:t>
      </w:r>
      <w:r w:rsidR="00342D7E" w:rsidRPr="00342D7E">
        <w:t xml:space="preserve"> w</w:t>
      </w:r>
      <w:r w:rsidR="00342D7E">
        <w:t> </w:t>
      </w:r>
      <w:r w:rsidR="00342D7E" w:rsidRPr="00342D7E">
        <w:t>poz</w:t>
      </w:r>
      <w:r w:rsidRPr="00342D7E">
        <w:t>ycji „Zysk lub (-) strata przed opodatkowaniem</w:t>
      </w:r>
      <w:r w:rsidR="00342D7E" w:rsidRPr="00342D7E">
        <w:t xml:space="preserve"> z</w:t>
      </w:r>
      <w:r w:rsidR="00342D7E">
        <w:t> </w:t>
      </w:r>
      <w:r w:rsidR="00342D7E" w:rsidRPr="00342D7E">
        <w:t>tyt</w:t>
      </w:r>
      <w:r w:rsidRPr="00342D7E">
        <w:t>ułu działalności zaniechanej”, jeżeli zgodnie z MSSF 5 uznaje się je za działalność zaniechaną. Zgodnie</w:t>
      </w:r>
      <w:r w:rsidR="00342D7E" w:rsidRPr="00342D7E">
        <w:t xml:space="preserve"> z</w:t>
      </w:r>
      <w:r w:rsidR="00342D7E">
        <w:t> </w:t>
      </w:r>
      <w:r w:rsidR="00342D7E" w:rsidRPr="00342D7E">
        <w:t>kra</w:t>
      </w:r>
      <w:r w:rsidRPr="00342D7E">
        <w:t>jowymi ogólnie przyjętymi zasadami rachunkowości opartymi na BAD te zyski</w:t>
      </w:r>
      <w:r w:rsidR="00342D7E" w:rsidRPr="00342D7E">
        <w:t xml:space="preserve"> i</w:t>
      </w:r>
      <w:r w:rsidR="00342D7E">
        <w:t> </w:t>
      </w:r>
      <w:r w:rsidR="00342D7E" w:rsidRPr="00342D7E">
        <w:t>str</w:t>
      </w:r>
      <w:r w:rsidRPr="00342D7E">
        <w:t>aty zgłasza się</w:t>
      </w:r>
      <w:r w:rsidR="00342D7E" w:rsidRPr="00342D7E">
        <w:t xml:space="preserve"> w</w:t>
      </w:r>
      <w:r w:rsidR="00342D7E">
        <w:t> </w:t>
      </w:r>
      <w:r w:rsidR="00342D7E" w:rsidRPr="00342D7E">
        <w:t>poz</w:t>
      </w:r>
      <w:r w:rsidRPr="00342D7E">
        <w:t>ycji „Zyski lub (-) straty</w:t>
      </w:r>
      <w:r w:rsidR="00342D7E" w:rsidRPr="00342D7E">
        <w:t xml:space="preserve"> z</w:t>
      </w:r>
      <w:r w:rsidR="00342D7E">
        <w:t> </w:t>
      </w:r>
      <w:r w:rsidR="00342D7E" w:rsidRPr="00342D7E">
        <w:t>tyt</w:t>
      </w:r>
      <w:r w:rsidRPr="00342D7E">
        <w:t>ułu zaprzestania ujmowania inwestycji</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netto”.</w:t>
      </w:r>
    </w:p>
    <w:p w:rsidR="00D35B0C" w:rsidRPr="00342D7E" w:rsidRDefault="00A834F1">
      <w:pPr>
        <w:pStyle w:val="subtitlenumbered"/>
        <w:jc w:val="both"/>
      </w:pPr>
      <w:bookmarkStart w:id="18" w:name="_Toc31019120"/>
      <w:r w:rsidRPr="00342D7E">
        <w:t>Sprawozdanie</w:t>
      </w:r>
      <w:r w:rsidR="00342D7E" w:rsidRPr="00342D7E">
        <w:t xml:space="preserve"> z</w:t>
      </w:r>
      <w:r w:rsidR="00342D7E">
        <w:t> </w:t>
      </w:r>
      <w:r w:rsidR="00342D7E" w:rsidRPr="00342D7E">
        <w:t>cał</w:t>
      </w:r>
      <w:r w:rsidRPr="00342D7E">
        <w:t>kowitych dochodów (3)</w:t>
      </w:r>
      <w:bookmarkEnd w:id="18"/>
    </w:p>
    <w:p w:rsidR="00D35B0C" w:rsidRPr="00342D7E" w:rsidRDefault="00A834F1">
      <w:pPr>
        <w:pStyle w:val="Baseparagraphnumbered"/>
      </w:pPr>
      <w:r w:rsidRPr="00342D7E">
        <w:t>„Zyski lub (-) straty</w:t>
      </w:r>
      <w:r w:rsidR="00342D7E" w:rsidRPr="00342D7E">
        <w:t xml:space="preserve"> z</w:t>
      </w:r>
      <w:r w:rsidR="00342D7E">
        <w:t> </w:t>
      </w:r>
      <w:r w:rsidR="00342D7E" w:rsidRPr="00342D7E">
        <w:t>tyt</w:t>
      </w:r>
      <w:r w:rsidRPr="00342D7E">
        <w:t>ułu rachunkowości zabezpieczeń</w:t>
      </w:r>
      <w:r w:rsidR="00342D7E" w:rsidRPr="00342D7E">
        <w:t xml:space="preserve"> w</w:t>
      </w:r>
      <w:r w:rsidR="00342D7E">
        <w:t> </w:t>
      </w:r>
      <w:r w:rsidR="00342D7E" w:rsidRPr="00342D7E">
        <w:t>sto</w:t>
      </w:r>
      <w:r w:rsidRPr="00342D7E">
        <w:t>sunku do instrumentów kapitałowych wycenianych według wartości godziwej przez inne całkowite dochody” obejmują zmianę skumulowanej nieefektywności zabezpieczeń</w:t>
      </w:r>
      <w:r w:rsidR="00342D7E" w:rsidRPr="00342D7E">
        <w:t xml:space="preserve"> w</w:t>
      </w:r>
      <w:r w:rsidR="00342D7E">
        <w:t> </w:t>
      </w:r>
      <w:r w:rsidR="00342D7E" w:rsidRPr="00342D7E">
        <w:t>zab</w:t>
      </w:r>
      <w:r w:rsidRPr="00342D7E">
        <w:t>ezpieczeniach wartości godziwej,</w:t>
      </w:r>
      <w:r w:rsidR="00342D7E" w:rsidRPr="00342D7E">
        <w:t xml:space="preserve"> w</w:t>
      </w:r>
      <w:r w:rsidR="00342D7E">
        <w:t> </w:t>
      </w:r>
      <w:r w:rsidR="00342D7E" w:rsidRPr="00342D7E">
        <w:t>któ</w:t>
      </w:r>
      <w:r w:rsidRPr="00342D7E">
        <w:t>rych pozycja zabezpieczana jest instrumentem kapitałowym wycenianym według wartości godziwej przez inne całkowite dochody. Zmiana skumulowanej nieefektywności zabezpieczeń zgłaszana</w:t>
      </w:r>
      <w:r w:rsidR="00342D7E" w:rsidRPr="00342D7E">
        <w:t xml:space="preserve"> w</w:t>
      </w:r>
      <w:r w:rsidR="00342D7E">
        <w:t> </w:t>
      </w:r>
      <w:r w:rsidR="00342D7E" w:rsidRPr="00342D7E">
        <w:t>tym</w:t>
      </w:r>
      <w:r w:rsidRPr="00342D7E">
        <w:t xml:space="preserve"> wierszu stanowi różnicę między zmianami zmiany wartości godziwej instrumentu kapitałowego zgłaszanej</w:t>
      </w:r>
      <w:r w:rsidR="00342D7E" w:rsidRPr="00342D7E">
        <w:t xml:space="preserve"> w</w:t>
      </w:r>
      <w:r w:rsidR="00342D7E">
        <w:t> </w:t>
      </w:r>
      <w:r w:rsidR="00342D7E" w:rsidRPr="00342D7E">
        <w:t>poz</w:t>
      </w:r>
      <w:r w:rsidRPr="00342D7E">
        <w:t>ycji „Zmiany wartości godziwej instrumentów kapitałowych wycenianych według wartości godziwej przez inne całkowite dochody (pozycja zabezpieczana</w:t>
      </w:r>
      <w:proofErr w:type="gramStart"/>
      <w:r w:rsidRPr="00342D7E">
        <w:t>)”</w:t>
      </w:r>
      <w:r w:rsidR="00342D7E" w:rsidRPr="00342D7E">
        <w:t xml:space="preserve"> a</w:t>
      </w:r>
      <w:proofErr w:type="gramEnd"/>
      <w:r w:rsidR="00342D7E">
        <w:t> </w:t>
      </w:r>
      <w:r w:rsidR="00342D7E" w:rsidRPr="00342D7E">
        <w:t>zmi</w:t>
      </w:r>
      <w:r w:rsidRPr="00342D7E">
        <w:t>anami zmiany wartości godziwej zabezpieczającego instrumentu pochodnego zgłaszanej</w:t>
      </w:r>
      <w:r w:rsidR="00342D7E" w:rsidRPr="00342D7E">
        <w:t xml:space="preserve"> w</w:t>
      </w:r>
      <w:r w:rsidR="00342D7E">
        <w:t> </w:t>
      </w:r>
      <w:r w:rsidR="00342D7E" w:rsidRPr="00342D7E">
        <w:t>poz</w:t>
      </w:r>
      <w:r w:rsidRPr="00342D7E">
        <w:t>ycji „Zmiany wartości godziwej instrumentów kapitałowych wycenianych według wartości godziwej przez inne całkowite dochody (instrument zabezpieczający)”.</w:t>
      </w:r>
    </w:p>
    <w:p w:rsidR="00D35B0C" w:rsidRPr="00342D7E" w:rsidRDefault="00A834F1">
      <w:pPr>
        <w:pStyle w:val="Baseparagraphnumbered"/>
      </w:pPr>
      <w:r w:rsidRPr="00342D7E">
        <w:t xml:space="preserve"> „Zabezpieczenie inwestycji netto</w:t>
      </w:r>
      <w:r w:rsidR="00342D7E" w:rsidRPr="00342D7E">
        <w:t xml:space="preserve"> w</w:t>
      </w:r>
      <w:r w:rsidR="00342D7E">
        <w:t> </w:t>
      </w:r>
      <w:r w:rsidR="00342D7E" w:rsidRPr="00342D7E">
        <w:t>jed</w:t>
      </w:r>
      <w:r w:rsidRPr="00342D7E">
        <w:t>nostkach działających za granicą (efektywna część</w:t>
      </w:r>
      <w:proofErr w:type="gramStart"/>
      <w:r w:rsidRPr="00342D7E">
        <w:t>)” obejmuje</w:t>
      </w:r>
      <w:proofErr w:type="gramEnd"/>
      <w:r w:rsidRPr="00342D7E">
        <w:t xml:space="preserve"> zmianę skumulowanych rezerw</w:t>
      </w:r>
      <w:r w:rsidR="00342D7E" w:rsidRPr="00342D7E">
        <w:t xml:space="preserve"> z</w:t>
      </w:r>
      <w:r w:rsidR="00342D7E">
        <w:t> </w:t>
      </w:r>
      <w:r w:rsidR="00342D7E" w:rsidRPr="00342D7E">
        <w:t>tyt</w:t>
      </w:r>
      <w:r w:rsidRPr="00342D7E">
        <w:t>ułu przeliczenia waluty obcej dla efektywnej części zarówno bieżących, jak</w:t>
      </w:r>
      <w:r w:rsidR="00342D7E" w:rsidRPr="00342D7E">
        <w:t xml:space="preserve"> i</w:t>
      </w:r>
      <w:r w:rsidR="00342D7E">
        <w:t> </w:t>
      </w:r>
      <w:r w:rsidR="00342D7E" w:rsidRPr="00342D7E">
        <w:t>zak</w:t>
      </w:r>
      <w:r w:rsidRPr="00342D7E">
        <w:t>ończonych zabezpieczeń inwestycji netto</w:t>
      </w:r>
      <w:r w:rsidR="00342D7E" w:rsidRPr="00342D7E">
        <w:t xml:space="preserve"> w</w:t>
      </w:r>
      <w:r w:rsidR="00342D7E">
        <w:t> </w:t>
      </w:r>
      <w:r w:rsidR="00342D7E" w:rsidRPr="00342D7E">
        <w:t>jed</w:t>
      </w:r>
      <w:r w:rsidRPr="00342D7E">
        <w:t xml:space="preserve">nostkach działających za granicą. </w:t>
      </w:r>
    </w:p>
    <w:p w:rsidR="00D35B0C" w:rsidRPr="00342D7E" w:rsidRDefault="00A834F1">
      <w:pPr>
        <w:pStyle w:val="Baseparagraphnumbered"/>
      </w:pPr>
      <w:r w:rsidRPr="00342D7E">
        <w:t>W odniesieniu do zabezpieczeń inwestycji netto</w:t>
      </w:r>
      <w:r w:rsidR="00342D7E" w:rsidRPr="00342D7E">
        <w:t xml:space="preserve"> w</w:t>
      </w:r>
      <w:r w:rsidR="00342D7E">
        <w:t> </w:t>
      </w:r>
      <w:r w:rsidR="00342D7E" w:rsidRPr="00342D7E">
        <w:t>jed</w:t>
      </w:r>
      <w:r w:rsidRPr="00342D7E">
        <w:t>nostkach działających za granicą</w:t>
      </w:r>
      <w:r w:rsidR="00342D7E" w:rsidRPr="00342D7E">
        <w:t xml:space="preserve"> i</w:t>
      </w:r>
      <w:r w:rsidR="00342D7E">
        <w:t> </w:t>
      </w:r>
      <w:r w:rsidR="00342D7E" w:rsidRPr="00342D7E">
        <w:t>zab</w:t>
      </w:r>
      <w:r w:rsidRPr="00342D7E">
        <w:t>ezpieczeń przepływów pieniężnych odnośne kwoty zgłaszane</w:t>
      </w:r>
      <w:r w:rsidR="00342D7E" w:rsidRPr="00342D7E">
        <w:t xml:space="preserve"> </w:t>
      </w:r>
      <w:r w:rsidR="00342D7E" w:rsidRPr="00342D7E">
        <w:lastRenderedPageBreak/>
        <w:t>w</w:t>
      </w:r>
      <w:r w:rsidR="00342D7E">
        <w:t> </w:t>
      </w:r>
      <w:r w:rsidR="00342D7E" w:rsidRPr="00342D7E">
        <w:t>poz</w:t>
      </w:r>
      <w:r w:rsidRPr="00342D7E">
        <w:t>ycji „Przeniesione do zysku lub straty” obejmują kwoty przeniesione</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tym</w:t>
      </w:r>
      <w:r w:rsidRPr="00342D7E">
        <w:t xml:space="preserve">, że wystąpiły zabezpieczone przepływy, które wedle oczekiwań nie powinny już więcej wystąpić. </w:t>
      </w:r>
    </w:p>
    <w:p w:rsidR="00D35B0C" w:rsidRPr="00342D7E" w:rsidRDefault="00A834F1">
      <w:pPr>
        <w:pStyle w:val="Baseparagraphnumbered"/>
      </w:pPr>
      <w:r w:rsidRPr="00342D7E">
        <w:t>„Instrumenty zabezpieczające (elementy niewydzielone</w:t>
      </w:r>
      <w:proofErr w:type="gramStart"/>
      <w:r w:rsidRPr="00342D7E">
        <w:t>)” obejmują</w:t>
      </w:r>
      <w:proofErr w:type="gramEnd"/>
      <w:r w:rsidRPr="00342D7E">
        <w:t xml:space="preserve"> zmiany skumulowanych zmian wartości godziwej wszystkich poniższych elementów, których nie wskazano jako elementu zabezpieczającego: </w:t>
      </w:r>
    </w:p>
    <w:p w:rsidR="00D35B0C" w:rsidRPr="00342D7E" w:rsidRDefault="00A834F1" w:rsidP="00056B6F">
      <w:pPr>
        <w:pStyle w:val="Baseparagraphnumbered"/>
        <w:numPr>
          <w:ilvl w:val="0"/>
          <w:numId w:val="36"/>
        </w:numPr>
      </w:pPr>
      <w:proofErr w:type="gramStart"/>
      <w:r w:rsidRPr="00342D7E">
        <w:t>wartość</w:t>
      </w:r>
      <w:proofErr w:type="gramEnd"/>
      <w:r w:rsidRPr="00342D7E">
        <w:t xml:space="preserve"> czasowa opcji; </w:t>
      </w:r>
    </w:p>
    <w:p w:rsidR="00D35B0C" w:rsidRPr="00342D7E" w:rsidRDefault="00A834F1" w:rsidP="00056B6F">
      <w:pPr>
        <w:pStyle w:val="Baseparagraphnumbered"/>
        <w:numPr>
          <w:ilvl w:val="0"/>
          <w:numId w:val="36"/>
        </w:numPr>
      </w:pPr>
      <w:proofErr w:type="gramStart"/>
      <w:r w:rsidRPr="00342D7E">
        <w:t>elementy</w:t>
      </w:r>
      <w:proofErr w:type="gramEnd"/>
      <w:r w:rsidRPr="00342D7E">
        <w:t xml:space="preserve"> terminowe (forward) kontraktów terminowych typu forward; </w:t>
      </w:r>
    </w:p>
    <w:p w:rsidR="00D35B0C" w:rsidRPr="00342D7E" w:rsidRDefault="00A834F1" w:rsidP="00056B6F">
      <w:pPr>
        <w:pStyle w:val="Baseparagraphnumbered"/>
        <w:numPr>
          <w:ilvl w:val="0"/>
          <w:numId w:val="36"/>
        </w:numPr>
      </w:pPr>
      <w:proofErr w:type="gramStart"/>
      <w:r w:rsidRPr="00342D7E">
        <w:t>walutowy</w:t>
      </w:r>
      <w:proofErr w:type="gramEnd"/>
      <w:r w:rsidRPr="00342D7E">
        <w:t xml:space="preserve"> spread bazowy instrumentów finansowych. </w:t>
      </w:r>
    </w:p>
    <w:p w:rsidR="00D35B0C" w:rsidRPr="00342D7E" w:rsidRDefault="00A834F1">
      <w:pPr>
        <w:pStyle w:val="Baseparagraphnumbered"/>
      </w:pPr>
      <w:r w:rsidRPr="00342D7E">
        <w:t>W przypadku opcji kwoty przeklasyfikowane do zysku lub straty</w:t>
      </w:r>
      <w:r w:rsidR="00342D7E" w:rsidRPr="00342D7E">
        <w:t xml:space="preserve"> i</w:t>
      </w:r>
      <w:r w:rsidR="00342D7E">
        <w:t> </w:t>
      </w:r>
      <w:r w:rsidR="00342D7E" w:rsidRPr="00342D7E">
        <w:t>zgł</w:t>
      </w:r>
      <w:r w:rsidRPr="00342D7E">
        <w:t>oszone</w:t>
      </w:r>
      <w:r w:rsidR="00342D7E" w:rsidRPr="00342D7E">
        <w:t xml:space="preserve"> w</w:t>
      </w:r>
      <w:r w:rsidR="00342D7E">
        <w:t> </w:t>
      </w:r>
      <w:r w:rsidR="00342D7E" w:rsidRPr="00342D7E">
        <w:t>poz</w:t>
      </w:r>
      <w:r w:rsidRPr="00342D7E">
        <w:t>ycji „Przeniesione do zysku lub straty” obejmują przeklasyfikowania</w:t>
      </w:r>
      <w:r w:rsidR="00342D7E" w:rsidRPr="00342D7E">
        <w:t xml:space="preserve"> z</w:t>
      </w:r>
      <w:r w:rsidR="00342D7E">
        <w:t> </w:t>
      </w:r>
      <w:r w:rsidR="00342D7E" w:rsidRPr="00342D7E">
        <w:t>pow</w:t>
      </w:r>
      <w:r w:rsidRPr="00342D7E">
        <w:t>odu opcji, które zabezpieczają pozycję zabezpieczaną związaną</w:t>
      </w:r>
      <w:r w:rsidR="00342D7E" w:rsidRPr="00342D7E">
        <w:t xml:space="preserve"> z</w:t>
      </w:r>
      <w:r w:rsidR="00342D7E">
        <w:t> </w:t>
      </w:r>
      <w:r w:rsidR="00342D7E" w:rsidRPr="00342D7E">
        <w:t>tra</w:t>
      </w:r>
      <w:r w:rsidRPr="00342D7E">
        <w:t>nsakcją, oraz opcji, które zabezpieczają pozycję zabezpieczaną związaną</w:t>
      </w:r>
      <w:r w:rsidR="00342D7E" w:rsidRPr="00342D7E">
        <w:t xml:space="preserve"> z</w:t>
      </w:r>
      <w:r w:rsidR="00342D7E">
        <w:t> </w:t>
      </w:r>
      <w:r w:rsidR="00342D7E" w:rsidRPr="00342D7E">
        <w:t>okr</w:t>
      </w:r>
      <w:r w:rsidRPr="00342D7E">
        <w:t>esem.</w:t>
      </w:r>
    </w:p>
    <w:p w:rsidR="00D35B0C" w:rsidRPr="00342D7E" w:rsidRDefault="00A834F1">
      <w:pPr>
        <w:pStyle w:val="Baseparagraphnumbered"/>
      </w:pPr>
      <w:r w:rsidRPr="00342D7E">
        <w:t>„Instrumenty dłużne wyceniane według wartości godziwej przez inne całkowite dochody” obejmują zyski lub straty</w:t>
      </w:r>
      <w:r w:rsidR="00342D7E" w:rsidRPr="00342D7E">
        <w:t xml:space="preserve"> z</w:t>
      </w:r>
      <w:r w:rsidR="00342D7E">
        <w:t> </w:t>
      </w:r>
      <w:r w:rsidR="00342D7E" w:rsidRPr="00342D7E">
        <w:t>tyt</w:t>
      </w:r>
      <w:r w:rsidRPr="00342D7E">
        <w:t>ułu instrumentów dłużnych wycenianych według wartości godziwej przez inne całkowite dochody inne niż zyski lub straty</w:t>
      </w:r>
      <w:r w:rsidR="00342D7E" w:rsidRPr="00342D7E">
        <w:t xml:space="preserve"> z</w:t>
      </w:r>
      <w:r w:rsidR="00342D7E">
        <w:t> </w:t>
      </w:r>
      <w:r w:rsidR="00342D7E" w:rsidRPr="00342D7E">
        <w:t>tyt</w:t>
      </w:r>
      <w:r w:rsidRPr="00342D7E">
        <w:t>ułu utraty wartości oraz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różnic kursowych, które zgłasza się odpowiednio</w:t>
      </w:r>
      <w:r w:rsidR="00342D7E" w:rsidRPr="00342D7E">
        <w:t xml:space="preserve"> w</w:t>
      </w:r>
      <w:r w:rsidR="00342D7E">
        <w:t> </w:t>
      </w:r>
      <w:r w:rsidR="00342D7E" w:rsidRPr="00342D7E">
        <w:t>poz</w:t>
      </w:r>
      <w:r w:rsidRPr="00342D7E">
        <w:t>ycji „(Utrata wartości lub (-) odwrócenie utraty wartości aktywów finansowych niewycenianych według wartości godziwej przez wynik finansowy</w:t>
      </w:r>
      <w:proofErr w:type="gramStart"/>
      <w:r w:rsidRPr="00342D7E">
        <w:t>)” oraz</w:t>
      </w:r>
      <w:proofErr w:type="gramEnd"/>
      <w:r w:rsidRPr="00342D7E">
        <w:t xml:space="preserve"> „Różnice kursowe (zysk lub (-) strata), netto” we wzorze 2</w:t>
      </w:r>
      <w:r w:rsidR="00342D7E" w:rsidRPr="00342D7E">
        <w:t>. W</w:t>
      </w:r>
      <w:r w:rsidR="00342D7E">
        <w:t> </w:t>
      </w:r>
      <w:r w:rsidR="00342D7E" w:rsidRPr="00342D7E">
        <w:t>poz</w:t>
      </w:r>
      <w:r w:rsidRPr="00342D7E">
        <w:t>ycji „Przeniesione do zysku lub straty” uwzględnia się</w:t>
      </w:r>
      <w:r w:rsidR="00342D7E" w:rsidRPr="00342D7E">
        <w:t xml:space="preserve"> w</w:t>
      </w:r>
      <w:r w:rsidR="00342D7E">
        <w:t> </w:t>
      </w:r>
      <w:r w:rsidR="00342D7E" w:rsidRPr="00342D7E">
        <w:t>szc</w:t>
      </w:r>
      <w:r w:rsidRPr="00342D7E">
        <w:t>zególności przeniesienie do zysku lub straty ze względu na zaprzestanie ujmowania lub przeklasyfikowanie do kategorii składników wycenianych według wartości godziwej przez wynik finansowy.</w:t>
      </w:r>
    </w:p>
    <w:p w:rsidR="00D35B0C" w:rsidRPr="00342D7E" w:rsidRDefault="00A834F1">
      <w:pPr>
        <w:pStyle w:val="Baseparagraphnumbered"/>
      </w:pPr>
      <w:r w:rsidRPr="00342D7E">
        <w:t>W przypadku przeklasyfikowania składnika aktywów finansowych</w:t>
      </w:r>
      <w:r w:rsidR="00342D7E" w:rsidRPr="00342D7E">
        <w:t xml:space="preserve"> z</w:t>
      </w:r>
      <w:r w:rsidR="00342D7E">
        <w:t> </w:t>
      </w:r>
      <w:r w:rsidR="00342D7E" w:rsidRPr="00342D7E">
        <w:t>kat</w:t>
      </w:r>
      <w:r w:rsidRPr="00342D7E">
        <w:t>egorii składników wycenianych według kosztu zamortyzowanego do kategorii składników wycenianych według wartości godziwej przez inne całkowite dochody (MSSF 9 pkt</w:t>
      </w:r>
      <w:r w:rsidR="00342D7E" w:rsidRPr="00342D7E">
        <w:t> </w:t>
      </w:r>
      <w:r w:rsidRPr="00342D7E">
        <w:t>5.6.4) zyski</w:t>
      </w:r>
      <w:r w:rsidR="00342D7E" w:rsidRPr="00342D7E">
        <w:t xml:space="preserve"> i</w:t>
      </w:r>
      <w:r w:rsidR="00342D7E">
        <w:t> </w:t>
      </w:r>
      <w:r w:rsidR="00342D7E" w:rsidRPr="00342D7E">
        <w:t>str</w:t>
      </w:r>
      <w:r w:rsidRPr="00342D7E">
        <w:t>aty wynikające</w:t>
      </w:r>
      <w:r w:rsidR="00342D7E" w:rsidRPr="00342D7E">
        <w:t xml:space="preserve"> z</w:t>
      </w:r>
      <w:r w:rsidR="00342D7E">
        <w:t> </w:t>
      </w:r>
      <w:r w:rsidR="00342D7E" w:rsidRPr="00342D7E">
        <w:t>prz</w:t>
      </w:r>
      <w:r w:rsidRPr="00342D7E">
        <w:t>eklasyfikowania zgłasza się</w:t>
      </w:r>
      <w:r w:rsidR="00342D7E" w:rsidRPr="00342D7E">
        <w:t xml:space="preserve"> w</w:t>
      </w:r>
      <w:r w:rsidR="00342D7E">
        <w:t> </w:t>
      </w:r>
      <w:r w:rsidR="00342D7E" w:rsidRPr="00342D7E">
        <w:t>poz</w:t>
      </w:r>
      <w:r w:rsidRPr="00342D7E">
        <w:t>ycji „Instrumenty dłużne wyceniane według wartości godziwej przez inne całkowite dochody”.</w:t>
      </w:r>
    </w:p>
    <w:p w:rsidR="00D35B0C" w:rsidRPr="00342D7E" w:rsidRDefault="00A834F1">
      <w:pPr>
        <w:pStyle w:val="Baseparagraphnumbered"/>
      </w:pPr>
      <w:r w:rsidRPr="00342D7E">
        <w:t>W przypadku przeklasyfikowania składnika aktywów finansowych</w:t>
      </w:r>
      <w:r w:rsidR="00342D7E" w:rsidRPr="00342D7E">
        <w:t xml:space="preserve"> z</w:t>
      </w:r>
      <w:r w:rsidR="00342D7E">
        <w:t> </w:t>
      </w:r>
      <w:r w:rsidR="00342D7E" w:rsidRPr="00342D7E">
        <w:t>kat</w:t>
      </w:r>
      <w:r w:rsidRPr="00342D7E">
        <w:t>egorii składników wycenianych według wartości godziwej przez inne całkowite dochody do kategorii składników wycenianych według wartości godziwej przez wynik finansowy (MSSF 9 pkt</w:t>
      </w:r>
      <w:r w:rsidR="00342D7E" w:rsidRPr="00342D7E">
        <w:t> </w:t>
      </w:r>
      <w:r w:rsidRPr="00342D7E">
        <w:t>5.6.7) lub do kategorii składników wycenianych według kosztu zamortyzowanego (MSSF 9 pkt</w:t>
      </w:r>
      <w:r w:rsidR="00342D7E" w:rsidRPr="00342D7E">
        <w:t> </w:t>
      </w:r>
      <w:r w:rsidRPr="00342D7E">
        <w:t>5.6.5) skumulowane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prz</w:t>
      </w:r>
      <w:r w:rsidRPr="00342D7E">
        <w:t>eklasyfikowania uprzednio ujęte</w:t>
      </w:r>
      <w:r w:rsidR="00342D7E" w:rsidRPr="00342D7E">
        <w:t xml:space="preserve"> w</w:t>
      </w:r>
      <w:r w:rsidR="00342D7E">
        <w:t> </w:t>
      </w:r>
      <w:r w:rsidR="00342D7E" w:rsidRPr="00342D7E">
        <w:t>inn</w:t>
      </w:r>
      <w:r w:rsidRPr="00342D7E">
        <w:t>ych całkowitych dochodach zgłasza się odpowiednio</w:t>
      </w:r>
      <w:r w:rsidR="00342D7E" w:rsidRPr="00342D7E">
        <w:t xml:space="preserve"> w</w:t>
      </w:r>
      <w:r w:rsidR="00342D7E">
        <w:t> </w:t>
      </w:r>
      <w:r w:rsidR="00342D7E" w:rsidRPr="00342D7E">
        <w:t>poz</w:t>
      </w:r>
      <w:r w:rsidRPr="00342D7E">
        <w:t>ycji „Przeniesione do zysku lub straty” oraz</w:t>
      </w:r>
      <w:r w:rsidR="00342D7E" w:rsidRPr="00342D7E">
        <w:t xml:space="preserve"> w</w:t>
      </w:r>
      <w:r w:rsidR="00342D7E">
        <w:t> </w:t>
      </w:r>
      <w:r w:rsidR="00342D7E" w:rsidRPr="00342D7E">
        <w:t>poz</w:t>
      </w:r>
      <w:r w:rsidRPr="00342D7E">
        <w:t>ycji „Inne przeklasyfikowania”, korygując</w:t>
      </w:r>
      <w:r w:rsidR="00342D7E" w:rsidRPr="00342D7E">
        <w:t xml:space="preserve"> w</w:t>
      </w:r>
      <w:r w:rsidR="00342D7E">
        <w:t> </w:t>
      </w:r>
      <w:r w:rsidR="00342D7E" w:rsidRPr="00342D7E">
        <w:t>tym</w:t>
      </w:r>
      <w:r w:rsidRPr="00342D7E">
        <w:t xml:space="preserve"> drugim przypadku wartość bilansową składnika aktywów finansowych.</w:t>
      </w:r>
    </w:p>
    <w:p w:rsidR="00D35B0C" w:rsidRPr="00342D7E" w:rsidRDefault="00A834F1">
      <w:pPr>
        <w:pStyle w:val="Baseparagraphnumbered"/>
      </w:pPr>
      <w:r w:rsidRPr="00342D7E">
        <w:lastRenderedPageBreak/>
        <w:t>W odniesieniu do wszystkich innych składników innych całkowitych dochodów</w:t>
      </w:r>
      <w:r w:rsidR="00342D7E" w:rsidRPr="00342D7E">
        <w:t xml:space="preserve"> w</w:t>
      </w:r>
      <w:r w:rsidR="00342D7E">
        <w:t> </w:t>
      </w:r>
      <w:r w:rsidR="00342D7E" w:rsidRPr="00342D7E">
        <w:t>poz</w:t>
      </w:r>
      <w:r w:rsidRPr="00342D7E">
        <w:t>ycji „Inne przeklasyfikowania” uwzględnia się przeniesienia inne niż przeklasyfikowania</w:t>
      </w:r>
      <w:r w:rsidR="00342D7E" w:rsidRPr="00342D7E">
        <w:t xml:space="preserve"> z</w:t>
      </w:r>
      <w:r w:rsidR="00342D7E">
        <w:t> </w:t>
      </w:r>
      <w:r w:rsidR="00342D7E" w:rsidRPr="00342D7E">
        <w:t>inn</w:t>
      </w:r>
      <w:r w:rsidRPr="00342D7E">
        <w:t>ych całkowitych dochodów do zysku lub straty bądź też do początkowej wartości bilansowej pozycji zabezpieczanych</w:t>
      </w:r>
      <w:r w:rsidR="00342D7E" w:rsidRPr="00342D7E">
        <w:t xml:space="preserve"> w</w:t>
      </w:r>
      <w:r w:rsidR="00342D7E">
        <w:t> </w:t>
      </w:r>
      <w:r w:rsidR="00342D7E" w:rsidRPr="00342D7E">
        <w:t>prz</w:t>
      </w:r>
      <w:r w:rsidRPr="00342D7E">
        <w:t xml:space="preserve">ypadku zabezpieczeń przepływów pieniężnych. </w:t>
      </w:r>
    </w:p>
    <w:p w:rsidR="00D35B0C" w:rsidRPr="00342D7E" w:rsidRDefault="00A834F1">
      <w:pPr>
        <w:pStyle w:val="Baseparagraphnumbered"/>
      </w:pPr>
      <w:r w:rsidRPr="00342D7E">
        <w:t>Zgodnie z MSSF „Podatek dochodowy związany</w:t>
      </w:r>
      <w:r w:rsidR="00342D7E" w:rsidRPr="00342D7E">
        <w:t xml:space="preserve"> z</w:t>
      </w:r>
      <w:r w:rsidR="00342D7E">
        <w:t> </w:t>
      </w:r>
      <w:r w:rsidR="00342D7E" w:rsidRPr="00342D7E">
        <w:t>poz</w:t>
      </w:r>
      <w:r w:rsidRPr="00342D7E">
        <w:t>ycjami, które nie zostaną przeklasyfikowane” oraz „Podatek dochodowy związany</w:t>
      </w:r>
      <w:r w:rsidR="00342D7E" w:rsidRPr="00342D7E">
        <w:t xml:space="preserve"> z</w:t>
      </w:r>
      <w:r w:rsidR="00342D7E">
        <w:t> </w:t>
      </w:r>
      <w:r w:rsidR="00342D7E" w:rsidRPr="00342D7E">
        <w:t>poz</w:t>
      </w:r>
      <w:r w:rsidRPr="00342D7E">
        <w:t>ycjami, które można przeklasyfikować do zysku lub (-) straty” (MSR 1 pkt</w:t>
      </w:r>
      <w:r w:rsidR="00342D7E" w:rsidRPr="00342D7E">
        <w:t> </w:t>
      </w:r>
      <w:r w:rsidRPr="00342D7E">
        <w:t>91 lit.</w:t>
      </w:r>
      <w:r w:rsidR="00342D7E" w:rsidRPr="00342D7E">
        <w:t> </w:t>
      </w:r>
      <w:r w:rsidRPr="00342D7E">
        <w:t>b), WS6) zgłasza się jako odrębne pozycje.</w:t>
      </w:r>
    </w:p>
    <w:p w:rsidR="00D35B0C" w:rsidRPr="00342D7E" w:rsidRDefault="00A834F1">
      <w:pPr>
        <w:pStyle w:val="subtitlenumbered"/>
        <w:jc w:val="both"/>
      </w:pPr>
      <w:bookmarkStart w:id="19" w:name="_Toc31019121"/>
      <w:r w:rsidRPr="00342D7E">
        <w:t>Podział aktywów finansowych według instrumentów</w:t>
      </w:r>
      <w:r w:rsidR="00342D7E" w:rsidRPr="00342D7E">
        <w:t xml:space="preserve"> i</w:t>
      </w:r>
      <w:r w:rsidR="00342D7E">
        <w:t> </w:t>
      </w:r>
      <w:r w:rsidR="00342D7E" w:rsidRPr="00342D7E">
        <w:t>wed</w:t>
      </w:r>
      <w:r w:rsidRPr="00342D7E">
        <w:t>ług sektorów kontrahentów (4)</w:t>
      </w:r>
      <w:bookmarkEnd w:id="19"/>
    </w:p>
    <w:p w:rsidR="00D35B0C" w:rsidRPr="00342D7E" w:rsidRDefault="00A834F1">
      <w:pPr>
        <w:pStyle w:val="Baseparagraphnumbered"/>
      </w:pPr>
      <w:r w:rsidRPr="00342D7E">
        <w:t>Aktywa finansowe dzieli się według portfeli księgowych</w:t>
      </w:r>
      <w:r w:rsidR="00342D7E" w:rsidRPr="00342D7E">
        <w:t xml:space="preserve"> i</w:t>
      </w:r>
      <w:r w:rsidR="00342D7E">
        <w:t> </w:t>
      </w:r>
      <w:r w:rsidR="00342D7E" w:rsidRPr="00342D7E">
        <w:t>ins</w:t>
      </w:r>
      <w:r w:rsidRPr="00342D7E">
        <w:t>trumentów oraz –</w:t>
      </w:r>
      <w:r w:rsidR="00342D7E" w:rsidRPr="00342D7E">
        <w:t xml:space="preserve"> w</w:t>
      </w:r>
      <w:r w:rsidR="00342D7E">
        <w:t> </w:t>
      </w:r>
      <w:r w:rsidR="00342D7E" w:rsidRPr="00342D7E">
        <w:t>sto</w:t>
      </w:r>
      <w:r w:rsidRPr="00342D7E">
        <w:t>sownych przypadkach – według kontrahentów</w:t>
      </w:r>
      <w:r w:rsidR="00342D7E" w:rsidRPr="00342D7E">
        <w:t>. W</w:t>
      </w:r>
      <w:r w:rsidR="00342D7E">
        <w:t> </w:t>
      </w:r>
      <w:r w:rsidR="00342D7E" w:rsidRPr="00342D7E">
        <w:t>prz</w:t>
      </w:r>
      <w:r w:rsidRPr="00342D7E">
        <w:t>ypadku instrumentów dłużnych wycenianych według wartości godziwej przez inne całkowite dochody</w:t>
      </w:r>
      <w:r w:rsidR="00342D7E" w:rsidRPr="00342D7E">
        <w:t xml:space="preserve"> i</w:t>
      </w:r>
      <w:r w:rsidR="00342D7E">
        <w:t> </w:t>
      </w:r>
      <w:r w:rsidR="00342D7E" w:rsidRPr="00342D7E">
        <w:t>wed</w:t>
      </w:r>
      <w:r w:rsidRPr="00342D7E">
        <w:t>ług kosztu zamortyzowanego wartość bilansową brutto aktywów</w:t>
      </w:r>
      <w:r w:rsidR="00342D7E" w:rsidRPr="00342D7E">
        <w:t xml:space="preserve"> i</w:t>
      </w:r>
      <w:r w:rsidR="00342D7E">
        <w:t> </w:t>
      </w:r>
      <w:r w:rsidR="00342D7E" w:rsidRPr="00342D7E">
        <w:t>sku</w:t>
      </w:r>
      <w:r w:rsidRPr="00342D7E">
        <w:t>mulowaną utratę wartości zgłasza się</w:t>
      </w:r>
      <w:r w:rsidR="00342D7E" w:rsidRPr="00342D7E">
        <w:t xml:space="preserve"> w</w:t>
      </w:r>
      <w:r w:rsidR="00342D7E">
        <w:t> </w:t>
      </w:r>
      <w:r w:rsidR="00342D7E" w:rsidRPr="00342D7E">
        <w:t>pod</w:t>
      </w:r>
      <w:r w:rsidRPr="00342D7E">
        <w:t>ziale na fazy utraty wartości.</w:t>
      </w:r>
    </w:p>
    <w:p w:rsidR="00D35B0C" w:rsidRPr="00342D7E" w:rsidRDefault="00A834F1">
      <w:pPr>
        <w:pStyle w:val="Baseparagraphnumbered"/>
      </w:pPr>
      <w:r w:rsidRPr="00342D7E">
        <w:t>Instrumenty pochodne zgłaszane jako aktywa finansowe</w:t>
      </w:r>
      <w:r w:rsidR="00342D7E" w:rsidRPr="00342D7E">
        <w:t xml:space="preserve"> z</w:t>
      </w:r>
      <w:r w:rsidR="00342D7E">
        <w:t> </w:t>
      </w:r>
      <w:r w:rsidR="00342D7E" w:rsidRPr="00342D7E">
        <w:t>prz</w:t>
      </w:r>
      <w:r w:rsidRPr="00342D7E">
        <w:t>eznaczeniem do obrotu zgodnie</w:t>
      </w:r>
      <w:r w:rsidR="00342D7E" w:rsidRPr="00342D7E">
        <w:t xml:space="preserve"> z</w:t>
      </w:r>
      <w:r w:rsidR="00342D7E">
        <w:t> </w:t>
      </w:r>
      <w:r w:rsidR="00342D7E" w:rsidRPr="00342D7E">
        <w:t>ogó</w:t>
      </w:r>
      <w:r w:rsidRPr="00342D7E">
        <w:t>lnie przyjętymi zasadami rachunkowości opartymi na BAD obejmują instrumenty wyceniane według wartości godziwej, jak również instrumenty wyceniane według metod cen nabycia lub LOCOM.</w:t>
      </w:r>
    </w:p>
    <w:p w:rsidR="00D35B0C" w:rsidRPr="00342D7E" w:rsidRDefault="00A834F1">
      <w:pPr>
        <w:pStyle w:val="Baseparagraphnumbered"/>
      </w:pPr>
      <w:r w:rsidRPr="00342D7E">
        <w:t>Do celów załączników III i IV oraz niniejszego załącznika „skumulowane ujemne zmiany wartości godziwej</w:t>
      </w:r>
      <w:r w:rsidR="00342D7E" w:rsidRPr="00342D7E">
        <w:t xml:space="preserve"> z</w:t>
      </w:r>
      <w:r w:rsidR="00342D7E">
        <w:t> </w:t>
      </w:r>
      <w:r w:rsidR="00342D7E" w:rsidRPr="00342D7E">
        <w:t>pow</w:t>
      </w:r>
      <w:r w:rsidRPr="00342D7E">
        <w:t>odu ryzyka kredytowego” oznaczają –</w:t>
      </w:r>
      <w:r w:rsidR="00342D7E" w:rsidRPr="00342D7E">
        <w:t xml:space="preserve"> w</w:t>
      </w:r>
      <w:r w:rsidR="00342D7E">
        <w:t> </w:t>
      </w:r>
      <w:r w:rsidR="00342D7E" w:rsidRPr="00342D7E">
        <w:t>odn</w:t>
      </w:r>
      <w:r w:rsidRPr="00342D7E">
        <w:t>iesieniu do ekspozycji nieobsługiwanych – skumulowane zmiany wartości godziwej wynikające</w:t>
      </w:r>
      <w:r w:rsidR="00342D7E" w:rsidRPr="00342D7E">
        <w:t xml:space="preserve"> z</w:t>
      </w:r>
      <w:r w:rsidR="00342D7E">
        <w:t> </w:t>
      </w:r>
      <w:r w:rsidR="00342D7E" w:rsidRPr="00342D7E">
        <w:t>ryz</w:t>
      </w:r>
      <w:r w:rsidRPr="00342D7E">
        <w:t>yka kredytowego,</w:t>
      </w:r>
      <w:r w:rsidR="00342D7E" w:rsidRPr="00342D7E">
        <w:t xml:space="preserve"> w</w:t>
      </w:r>
      <w:r w:rsidR="00342D7E">
        <w:t> </w:t>
      </w:r>
      <w:r w:rsidR="00342D7E" w:rsidRPr="00342D7E">
        <w:t>prz</w:t>
      </w:r>
      <w:r w:rsidRPr="00342D7E">
        <w:t>ypadku gdy skumulowana zmiana netto ma wartość ujemną. Skumulowaną zmianę netto wartości godziwej</w:t>
      </w:r>
      <w:r w:rsidR="00342D7E" w:rsidRPr="00342D7E">
        <w:t xml:space="preserve"> z</w:t>
      </w:r>
      <w:r w:rsidR="00342D7E">
        <w:t> </w:t>
      </w:r>
      <w:r w:rsidR="00342D7E" w:rsidRPr="00342D7E">
        <w:t>pow</w:t>
      </w:r>
      <w:r w:rsidRPr="00342D7E">
        <w:t>odu ryzyka kredytowego oblicza się poprzez zsumowanie wszystkich ujemnych</w:t>
      </w:r>
      <w:r w:rsidR="00342D7E" w:rsidRPr="00342D7E">
        <w:t xml:space="preserve"> i</w:t>
      </w:r>
      <w:r w:rsidR="00342D7E">
        <w:t> </w:t>
      </w:r>
      <w:r w:rsidR="00342D7E" w:rsidRPr="00342D7E">
        <w:t>dod</w:t>
      </w:r>
      <w:r w:rsidRPr="00342D7E">
        <w:t>atnich zmian wartości godziwej wynikających</w:t>
      </w:r>
      <w:r w:rsidR="00342D7E" w:rsidRPr="00342D7E">
        <w:t xml:space="preserve"> z</w:t>
      </w:r>
      <w:r w:rsidR="00342D7E">
        <w:t> </w:t>
      </w:r>
      <w:r w:rsidR="00342D7E" w:rsidRPr="00342D7E">
        <w:t>ryz</w:t>
      </w:r>
      <w:r w:rsidRPr="00342D7E">
        <w:t>yka kredytowego, które miały miejsce od momentu ujęcia instrumentu dłużnego. Kwotę tę zgłasza się wyłącznie wówczas, gdy wynikiem zsumowania dodatnich</w:t>
      </w:r>
      <w:r w:rsidR="00342D7E" w:rsidRPr="00342D7E">
        <w:t xml:space="preserve"> i</w:t>
      </w:r>
      <w:r w:rsidR="00342D7E">
        <w:t> </w:t>
      </w:r>
      <w:r w:rsidR="00342D7E" w:rsidRPr="00342D7E">
        <w:t>uje</w:t>
      </w:r>
      <w:r w:rsidRPr="00342D7E">
        <w:t>mnych zmian wartości godziwej</w:t>
      </w:r>
      <w:r w:rsidR="00342D7E" w:rsidRPr="00342D7E">
        <w:t xml:space="preserve"> z</w:t>
      </w:r>
      <w:r w:rsidR="00342D7E">
        <w:t> </w:t>
      </w:r>
      <w:r w:rsidR="00342D7E" w:rsidRPr="00342D7E">
        <w:t>pow</w:t>
      </w:r>
      <w:r w:rsidRPr="00342D7E">
        <w:t>odu ryzyka kredytowego jest wartość ujemna. Wycenę instrumentów dłużnych przeprowadza się na poziomie pojedynczych instrumentów finansowych. Dla każdego instrumentu dłużnego „Skumulowane ujemne zmiany wartości godziwej</w:t>
      </w:r>
      <w:r w:rsidR="00342D7E" w:rsidRPr="00342D7E">
        <w:t xml:space="preserve"> z</w:t>
      </w:r>
      <w:r w:rsidR="00342D7E">
        <w:t> </w:t>
      </w:r>
      <w:r w:rsidR="00342D7E" w:rsidRPr="00342D7E">
        <w:t>pow</w:t>
      </w:r>
      <w:r w:rsidRPr="00342D7E">
        <w:t>odu ryzyka kredytowego” zgłasza się, dopóki nie zaprzestano ujmowania danego instrumentu.</w:t>
      </w:r>
    </w:p>
    <w:p w:rsidR="00D35B0C" w:rsidRPr="00342D7E" w:rsidRDefault="00A834F1">
      <w:pPr>
        <w:pStyle w:val="Baseparagraphnumbered"/>
      </w:pPr>
      <w:r w:rsidRPr="00342D7E">
        <w:t>Do celów załączników III i IV oraz niniejszego załącznika „skumulowana utrata wartości” oznacza:</w:t>
      </w:r>
    </w:p>
    <w:p w:rsidR="00D35B0C" w:rsidRPr="00342D7E" w:rsidRDefault="00A834F1" w:rsidP="00056B6F">
      <w:pPr>
        <w:numPr>
          <w:ilvl w:val="0"/>
          <w:numId w:val="3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w</w:t>
      </w:r>
      <w:proofErr w:type="gramEnd"/>
      <w:r w:rsidRPr="00342D7E">
        <w:rPr>
          <w:rFonts w:ascii="Times New Roman" w:hAnsi="Times New Roman"/>
          <w:sz w:val="24"/>
          <w:szCs w:val="24"/>
        </w:rPr>
        <w:t xml:space="preserve"> odniesieniu do instrumentów dłużnych wycenianych według kosztu zamortyzowanego lub według metody ceny nabycia – skumulowaną kwotę odpisów aktualizujących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utraty wartości – po odliczeniu wykorzystania</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odw</w:t>
      </w:r>
      <w:r w:rsidRPr="00342D7E">
        <w:rPr>
          <w:rFonts w:ascii="Times New Roman" w:hAnsi="Times New Roman"/>
          <w:sz w:val="24"/>
          <w:szCs w:val="24"/>
        </w:rPr>
        <w:t>róceń, które ujęto –</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sto</w:t>
      </w:r>
      <w:r w:rsidRPr="00342D7E">
        <w:rPr>
          <w:rFonts w:ascii="Times New Roman" w:hAnsi="Times New Roman"/>
          <w:sz w:val="24"/>
          <w:szCs w:val="24"/>
        </w:rPr>
        <w:t>sownych przypadkach –</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 xml:space="preserve">iesieniu do każdej fazy utraty wartości. Skumulowana utrata wartości zmniejsza wartość bilansową instrumentu dłużnego poprzez zastosowanie </w:t>
      </w:r>
      <w:r w:rsidRPr="00342D7E">
        <w:rPr>
          <w:rFonts w:ascii="Times New Roman" w:hAnsi="Times New Roman"/>
          <w:sz w:val="24"/>
          <w:szCs w:val="24"/>
        </w:rPr>
        <w:lastRenderedPageBreak/>
        <w:t>konta odpisów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utraty wartości zgodnie z MSSF</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kra</w:t>
      </w:r>
      <w:r w:rsidRPr="00342D7E">
        <w:rPr>
          <w:rFonts w:ascii="Times New Roman" w:hAnsi="Times New Roman"/>
          <w:sz w:val="24"/>
          <w:szCs w:val="24"/>
        </w:rPr>
        <w:t>jowymi ogólnie przyjętymi zasadami rachunkowości opartymi na BAD lub poprzez bezpośrednie redukcje, które nie stanowią zdarzenia prowadzącego do zaprzestania ujmowania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kra</w:t>
      </w:r>
      <w:r w:rsidRPr="00342D7E">
        <w:rPr>
          <w:rFonts w:ascii="Times New Roman" w:hAnsi="Times New Roman"/>
          <w:sz w:val="24"/>
          <w:szCs w:val="24"/>
        </w:rPr>
        <w:t xml:space="preserve">jowymi ogólnie przyjętymi zasadami rachunkowości opartymi na BAD; </w:t>
      </w:r>
    </w:p>
    <w:p w:rsidR="00D35B0C" w:rsidRPr="00342D7E" w:rsidRDefault="00A834F1" w:rsidP="00056B6F">
      <w:pPr>
        <w:numPr>
          <w:ilvl w:val="0"/>
          <w:numId w:val="3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w</w:t>
      </w:r>
      <w:proofErr w:type="gramEnd"/>
      <w:r w:rsidRPr="00342D7E">
        <w:rPr>
          <w:rFonts w:ascii="Times New Roman" w:hAnsi="Times New Roman"/>
          <w:sz w:val="24"/>
          <w:szCs w:val="24"/>
        </w:rPr>
        <w:t xml:space="preserve"> odniesieniu do instrumentów dłużnych wycenianych według wartości godziwej przez inne całkowite dochody zgodnie z MSSF – skumulowana utrata wartości stanowi sumę oczekiwanych strat kredytowych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ich</w:t>
      </w:r>
      <w:r w:rsidRPr="00342D7E">
        <w:rPr>
          <w:rFonts w:ascii="Times New Roman" w:hAnsi="Times New Roman"/>
          <w:sz w:val="24"/>
          <w:szCs w:val="24"/>
        </w:rPr>
        <w:t xml:space="preserve"> zmian uznanych jako zmniejszenie wartości godziwej danego instrumentu od momentu jego początkowego ujęcia; </w:t>
      </w:r>
    </w:p>
    <w:p w:rsidR="00D35B0C" w:rsidRPr="00342D7E" w:rsidRDefault="00A834F1" w:rsidP="00056B6F">
      <w:pPr>
        <w:numPr>
          <w:ilvl w:val="0"/>
          <w:numId w:val="3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w</w:t>
      </w:r>
      <w:proofErr w:type="gramEnd"/>
      <w:r w:rsidRPr="00342D7E">
        <w:rPr>
          <w:rFonts w:ascii="Times New Roman" w:hAnsi="Times New Roman"/>
          <w:sz w:val="24"/>
          <w:szCs w:val="24"/>
        </w:rPr>
        <w:t xml:space="preserve"> odniesieniu do instrumentów dłużnych wycenianych według wartości godziwej ustalanej metodą praw własności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kra</w:t>
      </w:r>
      <w:r w:rsidRPr="00342D7E">
        <w:rPr>
          <w:rFonts w:ascii="Times New Roman" w:hAnsi="Times New Roman"/>
          <w:sz w:val="24"/>
          <w:szCs w:val="24"/>
        </w:rPr>
        <w:t>jowymi ogólnie przyjętymi zasadami rachunkowości opartymi na BAD, podlegających utracie wartości – skumulowaną kwotę odpisów aktualizujących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utraty wartości, po odliczeniu wykorzystania</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odw</w:t>
      </w:r>
      <w:r w:rsidRPr="00342D7E">
        <w:rPr>
          <w:rFonts w:ascii="Times New Roman" w:hAnsi="Times New Roman"/>
          <w:sz w:val="24"/>
          <w:szCs w:val="24"/>
        </w:rPr>
        <w:t>róceń, które ujęto. Zmniejszenia wartości bilansowej dokonuje się albo poprzez wykorzystanie konta odpisów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utraty wartości, albo poprzez bezpośrednie redukcje, które nie stanowią zdarzenia prowadzącego do zaprzestania ujmowania.</w:t>
      </w:r>
    </w:p>
    <w:p w:rsidR="00D35B0C" w:rsidRPr="00342D7E" w:rsidRDefault="00A834F1">
      <w:pPr>
        <w:pStyle w:val="Baseparagraphnumbered"/>
      </w:pPr>
      <w:r w:rsidRPr="00342D7E">
        <w:t>Zgodnie z MSSF skumulowana utrata wartości obejmuje odpisy na oczekiwane straty kredytowe</w:t>
      </w:r>
      <w:r w:rsidR="00342D7E" w:rsidRPr="00342D7E">
        <w:t xml:space="preserve"> z</w:t>
      </w:r>
      <w:r w:rsidR="00342D7E">
        <w:t> </w:t>
      </w:r>
      <w:r w:rsidR="00342D7E" w:rsidRPr="00342D7E">
        <w:t>tyt</w:t>
      </w:r>
      <w:r w:rsidRPr="00342D7E">
        <w:t>ułu aktywów finansowych</w:t>
      </w:r>
      <w:r w:rsidR="00342D7E" w:rsidRPr="00342D7E">
        <w:t xml:space="preserve"> w</w:t>
      </w:r>
      <w:r w:rsidR="00342D7E">
        <w:t> </w:t>
      </w:r>
      <w:r w:rsidR="00342D7E" w:rsidRPr="00342D7E">
        <w:t>ram</w:t>
      </w:r>
      <w:r w:rsidRPr="00342D7E">
        <w:t>ach każdej</w:t>
      </w:r>
      <w:r w:rsidR="00342D7E" w:rsidRPr="00342D7E">
        <w:t xml:space="preserve"> z</w:t>
      </w:r>
      <w:r w:rsidR="00342D7E">
        <w:t> </w:t>
      </w:r>
      <w:r w:rsidR="00342D7E" w:rsidRPr="00342D7E">
        <w:t>faz</w:t>
      </w:r>
      <w:r w:rsidRPr="00342D7E">
        <w:t xml:space="preserve"> utraty wartości określonych w MSSF 9. Zgodnie</w:t>
      </w:r>
      <w:r w:rsidR="00342D7E" w:rsidRPr="00342D7E">
        <w:t xml:space="preserve"> z</w:t>
      </w:r>
      <w:r w:rsidR="00342D7E">
        <w:t> </w:t>
      </w:r>
      <w:r w:rsidR="00342D7E" w:rsidRPr="00342D7E">
        <w:t>kra</w:t>
      </w:r>
      <w:r w:rsidRPr="00342D7E">
        <w:t>jowymi ogólnie przyjętymi zasadami rachunkowości opartymi na BAD obejmuje ona indywidualne</w:t>
      </w:r>
      <w:r w:rsidR="00342D7E" w:rsidRPr="00342D7E">
        <w:t xml:space="preserve"> i</w:t>
      </w:r>
      <w:r w:rsidR="00342D7E">
        <w:t> </w:t>
      </w:r>
      <w:r w:rsidR="00342D7E" w:rsidRPr="00342D7E">
        <w:t>ogó</w:t>
      </w:r>
      <w:r w:rsidRPr="00342D7E">
        <w:t>lne odpisy</w:t>
      </w:r>
      <w:r w:rsidR="00342D7E" w:rsidRPr="00342D7E">
        <w:t xml:space="preserve"> z</w:t>
      </w:r>
      <w:r w:rsidR="00342D7E">
        <w:t> </w:t>
      </w:r>
      <w:r w:rsidR="00342D7E" w:rsidRPr="00342D7E">
        <w:t>tyt</w:t>
      </w:r>
      <w:r w:rsidRPr="00342D7E">
        <w:t>ułu ryzyka kredytowego, jak również ogólne odpisy</w:t>
      </w:r>
      <w:r w:rsidR="00342D7E" w:rsidRPr="00342D7E">
        <w:t xml:space="preserve"> z</w:t>
      </w:r>
      <w:r w:rsidR="00342D7E">
        <w:t> </w:t>
      </w:r>
      <w:r w:rsidR="00342D7E" w:rsidRPr="00342D7E">
        <w:t>tyt</w:t>
      </w:r>
      <w:r w:rsidRPr="00342D7E">
        <w:t>ułu ryzyka bankowego, jeżeli pomniejszają wartość bilansową instrumentów dłużnych. Skumulowana utrata obejmuje również spowodowane ryzykiem kredytowym korekty wartości aktywów finansowych na podstawie LOCOM.</w:t>
      </w:r>
    </w:p>
    <w:p w:rsidR="00D35B0C" w:rsidRPr="00342D7E" w:rsidRDefault="00A834F1">
      <w:pPr>
        <w:pStyle w:val="Baseparagraphnumbered"/>
      </w:pPr>
      <w:r w:rsidRPr="00342D7E">
        <w:t>„Skumulowane należności częściowo spisane” i „Skumulowane należności całkowicie spisane” obejmują, odpowiednio, skumulowaną częściową</w:t>
      </w:r>
      <w:r w:rsidR="00342D7E" w:rsidRPr="00342D7E">
        <w:t xml:space="preserve"> i</w:t>
      </w:r>
      <w:r w:rsidR="00342D7E">
        <w:t> </w:t>
      </w:r>
      <w:r w:rsidR="00342D7E" w:rsidRPr="00342D7E">
        <w:t>cał</w:t>
      </w:r>
      <w:r w:rsidRPr="00342D7E">
        <w:t>kowitą kwotę (na sprawozdawczy dzień odniesienia) kwoty głównej</w:t>
      </w:r>
      <w:r w:rsidR="00342D7E" w:rsidRPr="00342D7E">
        <w:t xml:space="preserve"> i</w:t>
      </w:r>
      <w:r w:rsidR="00342D7E">
        <w:t> </w:t>
      </w:r>
      <w:r w:rsidR="00342D7E" w:rsidRPr="00342D7E">
        <w:t>nal</w:t>
      </w:r>
      <w:r w:rsidRPr="00342D7E">
        <w:t>iczonych zaległych odsetek</w:t>
      </w:r>
      <w:r w:rsidR="00342D7E" w:rsidRPr="00342D7E">
        <w:t xml:space="preserve"> i</w:t>
      </w:r>
      <w:r w:rsidR="00342D7E">
        <w:t> </w:t>
      </w:r>
      <w:r w:rsidR="00342D7E" w:rsidRPr="00342D7E">
        <w:t>opł</w:t>
      </w:r>
      <w:r w:rsidRPr="00342D7E">
        <w:t>at</w:t>
      </w:r>
      <w:r w:rsidR="00342D7E" w:rsidRPr="00342D7E">
        <w:t xml:space="preserve"> z</w:t>
      </w:r>
      <w:r w:rsidR="00342D7E">
        <w:t> </w:t>
      </w:r>
      <w:r w:rsidR="00342D7E" w:rsidRPr="00342D7E">
        <w:t>tyt</w:t>
      </w:r>
      <w:r w:rsidRPr="00342D7E">
        <w:t>ułu każdego instrumentu dłużnego, którego do tej pory zaprzestano ujmować</w:t>
      </w:r>
      <w:r w:rsidR="00342D7E" w:rsidRPr="00342D7E">
        <w:t xml:space="preserve"> z</w:t>
      </w:r>
      <w:r w:rsidR="00342D7E">
        <w:t> </w:t>
      </w:r>
      <w:r w:rsidR="00342D7E" w:rsidRPr="00342D7E">
        <w:t>wyk</w:t>
      </w:r>
      <w:r w:rsidRPr="00342D7E">
        <w:t>orzystaniem którejkolwiek</w:t>
      </w:r>
      <w:r w:rsidR="00342D7E" w:rsidRPr="00342D7E">
        <w:t xml:space="preserve"> z</w:t>
      </w:r>
      <w:r w:rsidR="00342D7E">
        <w:t> </w:t>
      </w:r>
      <w:r w:rsidR="00342D7E" w:rsidRPr="00342D7E">
        <w:t>met</w:t>
      </w:r>
      <w:r w:rsidRPr="00342D7E">
        <w:t>od opisanych</w:t>
      </w:r>
      <w:r w:rsidR="00342D7E" w:rsidRPr="00342D7E">
        <w:t xml:space="preserve"> w</w:t>
      </w:r>
      <w:r w:rsidR="00342D7E">
        <w:t> </w:t>
      </w:r>
      <w:r w:rsidR="00342D7E" w:rsidRPr="00342D7E">
        <w:t>pkt </w:t>
      </w:r>
      <w:r w:rsidRPr="00342D7E">
        <w:t>74, ponieważ instytucja nie może zasadnie oczekiwać odzyskania przepływów pieniężnych wynikających</w:t>
      </w:r>
      <w:r w:rsidR="00342D7E" w:rsidRPr="00342D7E">
        <w:t xml:space="preserve"> z</w:t>
      </w:r>
      <w:r w:rsidR="00342D7E">
        <w:t> </w:t>
      </w:r>
      <w:r w:rsidR="00342D7E" w:rsidRPr="00342D7E">
        <w:t>umo</w:t>
      </w:r>
      <w:r w:rsidRPr="00342D7E">
        <w:t>wy. Kwoty te zgłasza się do momentu całkowitego wygaśnięcia wszystkich praw instytucji sprawozdającej (wskutek upływu terminu przedawnienia, umorzenia lub</w:t>
      </w:r>
      <w:r w:rsidR="00342D7E" w:rsidRPr="00342D7E">
        <w:t xml:space="preserve"> z</w:t>
      </w:r>
      <w:r w:rsidR="00342D7E">
        <w:t> </w:t>
      </w:r>
      <w:r w:rsidR="00342D7E" w:rsidRPr="00342D7E">
        <w:t>inn</w:t>
      </w:r>
      <w:r w:rsidRPr="00342D7E">
        <w:t>ych przyczyn) lub do momentu ich odzyskania</w:t>
      </w:r>
      <w:r w:rsidR="00342D7E" w:rsidRPr="00342D7E">
        <w:t>. W</w:t>
      </w:r>
      <w:r w:rsidR="00342D7E">
        <w:t> </w:t>
      </w:r>
      <w:r w:rsidR="00342D7E" w:rsidRPr="00342D7E">
        <w:t>zwi</w:t>
      </w:r>
      <w:r w:rsidRPr="00342D7E">
        <w:t>ązku</w:t>
      </w:r>
      <w:r w:rsidR="00342D7E" w:rsidRPr="00342D7E">
        <w:t xml:space="preserve"> z</w:t>
      </w:r>
      <w:r w:rsidR="00342D7E">
        <w:t> </w:t>
      </w:r>
      <w:r w:rsidR="00342D7E" w:rsidRPr="00342D7E">
        <w:t>tym w</w:t>
      </w:r>
      <w:r w:rsidR="00342D7E">
        <w:t> </w:t>
      </w:r>
      <w:r w:rsidR="00342D7E" w:rsidRPr="00342D7E">
        <w:t>prz</w:t>
      </w:r>
      <w:r w:rsidRPr="00342D7E">
        <w:t>ypadku nieodzyskania spisanych kwot podlegają one zgłoszeniu, gdy pozostają przedmiotem czynności egzekucyjnych.</w:t>
      </w:r>
    </w:p>
    <w:p w:rsidR="00D35B0C" w:rsidRPr="00342D7E" w:rsidRDefault="00A834F1">
      <w:pPr>
        <w:pStyle w:val="Baseparagraphnumbered"/>
      </w:pPr>
      <w:r w:rsidRPr="00342D7E">
        <w:t>Jeżeli instrument dłużny zostanie ostatecznie całkowicie spisany</w:t>
      </w:r>
      <w:r w:rsidR="00342D7E" w:rsidRPr="00342D7E">
        <w:t xml:space="preserve"> w</w:t>
      </w:r>
      <w:r w:rsidR="00342D7E">
        <w:t> </w:t>
      </w:r>
      <w:r w:rsidR="00342D7E" w:rsidRPr="00342D7E">
        <w:t>rez</w:t>
      </w:r>
      <w:r w:rsidRPr="00342D7E">
        <w:t>ultacie kolejnych skutecznych częściowych spisań, skumulowaną spisaną kwotę przeklasyfikuje się</w:t>
      </w:r>
      <w:r w:rsidR="00342D7E" w:rsidRPr="00342D7E">
        <w:t xml:space="preserve"> z</w:t>
      </w:r>
      <w:r w:rsidR="00342D7E">
        <w:t> </w:t>
      </w:r>
      <w:r w:rsidR="00342D7E" w:rsidRPr="00342D7E">
        <w:t>kol</w:t>
      </w:r>
      <w:r w:rsidRPr="00342D7E">
        <w:t xml:space="preserve">umny „Skumulowane należności częściowo spisane” do kolumny „Skumulowane należności całkowicie spisane”. </w:t>
      </w:r>
    </w:p>
    <w:p w:rsidR="00D35B0C" w:rsidRPr="00342D7E" w:rsidRDefault="00A834F1">
      <w:pPr>
        <w:pStyle w:val="Baseparagraphnumbered"/>
      </w:pPr>
      <w:r w:rsidRPr="00342D7E">
        <w:lastRenderedPageBreak/>
        <w:t>Spisania stanowią zdarzenie prowadzące do zaprzestania ujmowania</w:t>
      </w:r>
      <w:r w:rsidR="00342D7E" w:rsidRPr="00342D7E">
        <w:t xml:space="preserve"> i</w:t>
      </w:r>
      <w:r w:rsidR="00342D7E">
        <w:t> </w:t>
      </w:r>
      <w:r w:rsidR="00342D7E" w:rsidRPr="00342D7E">
        <w:t>dot</w:t>
      </w:r>
      <w:r w:rsidRPr="00342D7E">
        <w:t>yczą całego składnika aktywów finansowych lub jego części,</w:t>
      </w:r>
      <w:r w:rsidR="00342D7E" w:rsidRPr="00342D7E">
        <w:t xml:space="preserve"> w</w:t>
      </w:r>
      <w:r w:rsidR="00342D7E">
        <w:t> </w:t>
      </w:r>
      <w:r w:rsidR="00342D7E" w:rsidRPr="00342D7E">
        <w:t>tym</w:t>
      </w:r>
      <w:r w:rsidRPr="00342D7E">
        <w:t xml:space="preserve"> również wówczas, gdy modyfikacja składnika aktywów sprawia, że instytucja rezygnuje</w:t>
      </w:r>
      <w:r w:rsidR="00342D7E" w:rsidRPr="00342D7E">
        <w:t xml:space="preserve"> z</w:t>
      </w:r>
      <w:r w:rsidR="00342D7E">
        <w:t> </w:t>
      </w:r>
      <w:r w:rsidR="00342D7E" w:rsidRPr="00342D7E">
        <w:t>prz</w:t>
      </w:r>
      <w:r w:rsidRPr="00342D7E">
        <w:t>ysługującego jej prawa do otrzymywania przepływów pieniężnych</w:t>
      </w:r>
      <w:r w:rsidR="00342D7E" w:rsidRPr="00342D7E">
        <w:t xml:space="preserve"> z</w:t>
      </w:r>
      <w:r w:rsidR="00342D7E">
        <w:t> </w:t>
      </w:r>
      <w:r w:rsidR="00342D7E" w:rsidRPr="00342D7E">
        <w:t>czę</w:t>
      </w:r>
      <w:r w:rsidRPr="00342D7E">
        <w:t>ści lub całości tego składnika, jak dokładniej wyjaśniono</w:t>
      </w:r>
      <w:r w:rsidR="00342D7E" w:rsidRPr="00342D7E">
        <w:t xml:space="preserve"> w</w:t>
      </w:r>
      <w:r w:rsidR="00342D7E">
        <w:t> </w:t>
      </w:r>
      <w:r w:rsidR="00342D7E" w:rsidRPr="00342D7E">
        <w:t>pkt </w:t>
      </w:r>
      <w:r w:rsidRPr="00342D7E">
        <w:t>72. Spisania obejmują kwoty będące wynikiem zarówno zmniejszenia wartości bilansowej aktywów finansowych ujmowanego bezpośrednio</w:t>
      </w:r>
      <w:r w:rsidR="00342D7E" w:rsidRPr="00342D7E">
        <w:t xml:space="preserve"> w</w:t>
      </w:r>
      <w:r w:rsidR="00342D7E">
        <w:t> </w:t>
      </w:r>
      <w:r w:rsidR="00342D7E" w:rsidRPr="00342D7E">
        <w:t>rac</w:t>
      </w:r>
      <w:r w:rsidRPr="00342D7E">
        <w:t>hunku zysków</w:t>
      </w:r>
      <w:r w:rsidR="00342D7E" w:rsidRPr="00342D7E">
        <w:t xml:space="preserve"> i</w:t>
      </w:r>
      <w:r w:rsidR="00342D7E">
        <w:t> </w:t>
      </w:r>
      <w:r w:rsidR="00342D7E" w:rsidRPr="00342D7E">
        <w:t>str</w:t>
      </w:r>
      <w:r w:rsidRPr="00342D7E">
        <w:t>at, jak</w:t>
      </w:r>
      <w:r w:rsidR="00342D7E" w:rsidRPr="00342D7E">
        <w:t xml:space="preserve"> i</w:t>
      </w:r>
      <w:r w:rsidR="00342D7E">
        <w:t> </w:t>
      </w:r>
      <w:r w:rsidR="00342D7E" w:rsidRPr="00342D7E">
        <w:t>obn</w:t>
      </w:r>
      <w:r w:rsidRPr="00342D7E">
        <w:t>iżenia kwot na kontach odpisów</w:t>
      </w:r>
      <w:r w:rsidR="00342D7E" w:rsidRPr="00342D7E">
        <w:t xml:space="preserve"> z</w:t>
      </w:r>
      <w:r w:rsidR="00342D7E">
        <w:t> </w:t>
      </w:r>
      <w:r w:rsidR="00342D7E" w:rsidRPr="00342D7E">
        <w:t>tyt</w:t>
      </w:r>
      <w:r w:rsidRPr="00342D7E">
        <w:t>ułu utraty wartości</w:t>
      </w:r>
      <w:r w:rsidR="00342D7E" w:rsidRPr="00342D7E">
        <w:t xml:space="preserve"> z</w:t>
      </w:r>
      <w:r w:rsidR="00342D7E">
        <w:t> </w:t>
      </w:r>
      <w:r w:rsidR="00342D7E" w:rsidRPr="00342D7E">
        <w:t>uwa</w:t>
      </w:r>
      <w:r w:rsidRPr="00342D7E">
        <w:t>gi na straty kredytowe wpisane</w:t>
      </w:r>
      <w:r w:rsidR="00342D7E" w:rsidRPr="00342D7E">
        <w:t xml:space="preserve"> w</w:t>
      </w:r>
      <w:r w:rsidR="00342D7E">
        <w:t> </w:t>
      </w:r>
      <w:r w:rsidR="00342D7E" w:rsidRPr="00342D7E">
        <w:t>cię</w:t>
      </w:r>
      <w:r w:rsidRPr="00342D7E">
        <w:t xml:space="preserve">żar wartości bilansowej aktywów finansowych. </w:t>
      </w:r>
    </w:p>
    <w:p w:rsidR="00D35B0C" w:rsidRPr="00342D7E" w:rsidRDefault="00A834F1">
      <w:pPr>
        <w:pStyle w:val="Baseparagraphnumbered"/>
      </w:pPr>
      <w:r w:rsidRPr="00342D7E">
        <w:t>Kolumna „w tym: instrumenty charakteryzujące się niskim ryzykiem kredytowym” obejmuje instrumenty, które uznano za charakteryzujące się niskim ryzykiem kredytowym na dzień sprawozdawczy</w:t>
      </w:r>
      <w:r w:rsidR="00342D7E" w:rsidRPr="00342D7E">
        <w:t xml:space="preserve"> i</w:t>
      </w:r>
      <w:r w:rsidR="00342D7E">
        <w:t> </w:t>
      </w:r>
      <w:r w:rsidR="00342D7E" w:rsidRPr="00342D7E">
        <w:t>w</w:t>
      </w:r>
      <w:r w:rsidR="00342D7E">
        <w:t> </w:t>
      </w:r>
      <w:r w:rsidR="00342D7E" w:rsidRPr="00342D7E">
        <w:t>sto</w:t>
      </w:r>
      <w:r w:rsidRPr="00342D7E">
        <w:t>sunku do których instytucja zakłada, że ryzyko kredytowe nie uległo znacznemu zwiększeniu od początkowego ujęcia zgodnie z MSSF 9 pkt</w:t>
      </w:r>
      <w:r w:rsidR="00342D7E" w:rsidRPr="00342D7E">
        <w:t> </w:t>
      </w:r>
      <w:r w:rsidRPr="00342D7E">
        <w:t>5.5.10.</w:t>
      </w:r>
    </w:p>
    <w:p w:rsidR="00D35B0C" w:rsidRPr="00342D7E" w:rsidRDefault="00A834F1">
      <w:pPr>
        <w:pStyle w:val="Baseparagraphnumbered"/>
      </w:pPr>
      <w:r w:rsidRPr="00342D7E">
        <w:t>Należności</w:t>
      </w:r>
      <w:r w:rsidR="00342D7E" w:rsidRPr="00342D7E">
        <w:t xml:space="preserve"> z</w:t>
      </w:r>
      <w:r w:rsidR="00342D7E">
        <w:t> </w:t>
      </w:r>
      <w:r w:rsidR="00342D7E" w:rsidRPr="00342D7E">
        <w:t>tyt</w:t>
      </w:r>
      <w:r w:rsidRPr="00342D7E">
        <w:t>ułu dostaw</w:t>
      </w:r>
      <w:r w:rsidR="00342D7E" w:rsidRPr="00342D7E">
        <w:t xml:space="preserve"> i</w:t>
      </w:r>
      <w:r w:rsidR="00342D7E">
        <w:t> </w:t>
      </w:r>
      <w:r w:rsidR="00342D7E" w:rsidRPr="00342D7E">
        <w:t>usł</w:t>
      </w:r>
      <w:r w:rsidRPr="00342D7E">
        <w:t>ug</w:t>
      </w:r>
      <w:r w:rsidR="00342D7E" w:rsidRPr="00342D7E">
        <w:t xml:space="preserve"> w</w:t>
      </w:r>
      <w:r w:rsidR="00342D7E">
        <w:t> </w:t>
      </w:r>
      <w:r w:rsidR="00342D7E" w:rsidRPr="00342D7E">
        <w:t>roz</w:t>
      </w:r>
      <w:r w:rsidRPr="00342D7E">
        <w:t>umieniu MSR 1 pkt</w:t>
      </w:r>
      <w:r w:rsidR="00342D7E" w:rsidRPr="00342D7E">
        <w:t> </w:t>
      </w:r>
      <w:r w:rsidRPr="00342D7E">
        <w:t>54 lit.</w:t>
      </w:r>
      <w:r w:rsidR="00342D7E" w:rsidRPr="00342D7E">
        <w:t> </w:t>
      </w:r>
      <w:r w:rsidRPr="00342D7E">
        <w:t>h), aktywa</w:t>
      </w:r>
      <w:r w:rsidR="00342D7E" w:rsidRPr="00342D7E">
        <w:t xml:space="preserve"> z</w:t>
      </w:r>
      <w:r w:rsidR="00342D7E">
        <w:t> </w:t>
      </w:r>
      <w:r w:rsidR="00342D7E" w:rsidRPr="00342D7E">
        <w:t>tyt</w:t>
      </w:r>
      <w:r w:rsidRPr="00342D7E">
        <w:t>ułu umów oraz należności leasingowe, wobec których zastosowano uproszczone podejście,</w:t>
      </w:r>
      <w:r w:rsidR="00342D7E" w:rsidRPr="00342D7E">
        <w:t xml:space="preserve"> o</w:t>
      </w:r>
      <w:r w:rsidR="00342D7E">
        <w:t> </w:t>
      </w:r>
      <w:r w:rsidR="00342D7E" w:rsidRPr="00342D7E">
        <w:t>któ</w:t>
      </w:r>
      <w:r w:rsidRPr="00342D7E">
        <w:t>rym mowa w MSSF 9 pkt</w:t>
      </w:r>
      <w:r w:rsidR="00342D7E" w:rsidRPr="00342D7E">
        <w:t> </w:t>
      </w:r>
      <w:r w:rsidRPr="00342D7E">
        <w:t>5.5.15, do oszacowania odpisów na straty, zgłasza się</w:t>
      </w:r>
      <w:r w:rsidR="00342D7E" w:rsidRPr="00342D7E">
        <w:t xml:space="preserve"> w</w:t>
      </w:r>
      <w:r w:rsidR="00342D7E">
        <w:t> </w:t>
      </w:r>
      <w:r w:rsidR="00342D7E" w:rsidRPr="00342D7E">
        <w:t>poz</w:t>
      </w:r>
      <w:r w:rsidRPr="00342D7E">
        <w:t>ycji „kredyty</w:t>
      </w:r>
      <w:r w:rsidR="00342D7E" w:rsidRPr="00342D7E">
        <w:t xml:space="preserve"> i</w:t>
      </w:r>
      <w:r w:rsidR="00342D7E">
        <w:t> </w:t>
      </w:r>
      <w:r w:rsidR="00342D7E" w:rsidRPr="00342D7E">
        <w:t>zal</w:t>
      </w:r>
      <w:r w:rsidRPr="00342D7E">
        <w:t>iczki” we wzorze 4.4.1. Odnośny odpis na straty</w:t>
      </w:r>
      <w:r w:rsidR="00342D7E" w:rsidRPr="00342D7E">
        <w:t xml:space="preserve"> z</w:t>
      </w:r>
      <w:r w:rsidR="00342D7E">
        <w:t> </w:t>
      </w:r>
      <w:r w:rsidR="00342D7E" w:rsidRPr="00342D7E">
        <w:t>tyt</w:t>
      </w:r>
      <w:r w:rsidRPr="00342D7E">
        <w:t>ułu tych aktywów zgłasza się albo</w:t>
      </w:r>
      <w:r w:rsidR="00342D7E" w:rsidRPr="00342D7E">
        <w:t xml:space="preserve"> w</w:t>
      </w:r>
      <w:r w:rsidR="00342D7E">
        <w:t> </w:t>
      </w:r>
      <w:r w:rsidR="00342D7E" w:rsidRPr="00342D7E">
        <w:t>poz</w:t>
      </w:r>
      <w:r w:rsidRPr="00342D7E">
        <w:t>ycji „Skumulowana utrata wartości aktywów,</w:t>
      </w:r>
      <w:r w:rsidR="00342D7E" w:rsidRPr="00342D7E">
        <w:t xml:space="preserve"> w</w:t>
      </w:r>
      <w:r w:rsidR="00342D7E">
        <w:t> </w:t>
      </w:r>
      <w:r w:rsidR="00342D7E" w:rsidRPr="00342D7E">
        <w:t>prz</w:t>
      </w:r>
      <w:r w:rsidRPr="00342D7E">
        <w:t>ypadku których nastąpił znaczny wzrost ryzyka kredytowego od momentu ich początkowego ujęcia, lecz które nie są dotknięte utratą wartości ze względu na ryzyko kredytowe (faza</w:t>
      </w:r>
      <w:proofErr w:type="gramStart"/>
      <w:r w:rsidRPr="00342D7E">
        <w:t xml:space="preserve"> 2)”, albo</w:t>
      </w:r>
      <w:proofErr w:type="gramEnd"/>
      <w:r w:rsidR="00342D7E" w:rsidRPr="00342D7E">
        <w:t xml:space="preserve"> w</w:t>
      </w:r>
      <w:r w:rsidR="00342D7E">
        <w:t> </w:t>
      </w:r>
      <w:r w:rsidR="00342D7E" w:rsidRPr="00342D7E">
        <w:t>poz</w:t>
      </w:r>
      <w:r w:rsidRPr="00342D7E">
        <w:t>ycji „Skumulowana utrata wartości aktywów dotkniętych utratą wartości ze względu na ryzyko kredytowe (faza 3)”,</w:t>
      </w:r>
      <w:r w:rsidR="00342D7E" w:rsidRPr="00342D7E">
        <w:t xml:space="preserve"> w</w:t>
      </w:r>
      <w:r w:rsidR="00342D7E">
        <w:t> </w:t>
      </w:r>
      <w:r w:rsidR="00342D7E" w:rsidRPr="00342D7E">
        <w:t>zal</w:t>
      </w:r>
      <w:r w:rsidRPr="00342D7E">
        <w:t>eżności od tego, czy należności</w:t>
      </w:r>
      <w:r w:rsidR="00342D7E" w:rsidRPr="00342D7E">
        <w:t xml:space="preserve"> z</w:t>
      </w:r>
      <w:r w:rsidR="00342D7E">
        <w:t> </w:t>
      </w:r>
      <w:r w:rsidR="00342D7E" w:rsidRPr="00342D7E">
        <w:t>tyt</w:t>
      </w:r>
      <w:r w:rsidRPr="00342D7E">
        <w:t>ułu dostaw</w:t>
      </w:r>
      <w:r w:rsidR="00342D7E" w:rsidRPr="00342D7E">
        <w:t xml:space="preserve"> i</w:t>
      </w:r>
      <w:r w:rsidR="00342D7E">
        <w:t> </w:t>
      </w:r>
      <w:r w:rsidR="00342D7E" w:rsidRPr="00342D7E">
        <w:t>usł</w:t>
      </w:r>
      <w:r w:rsidRPr="00342D7E">
        <w:t>ug, aktywa</w:t>
      </w:r>
      <w:r w:rsidR="00342D7E" w:rsidRPr="00342D7E">
        <w:t xml:space="preserve"> z</w:t>
      </w:r>
      <w:r w:rsidR="00342D7E">
        <w:t> </w:t>
      </w:r>
      <w:r w:rsidR="00342D7E" w:rsidRPr="00342D7E">
        <w:t>tyt</w:t>
      </w:r>
      <w:r w:rsidRPr="00342D7E">
        <w:t>ułu umów lub należności leasingowe uznaje się za aktywa dotknięte utratą wartości ze względu na ryzyko kredytowe.</w:t>
      </w:r>
    </w:p>
    <w:p w:rsidR="00D35B0C" w:rsidRPr="00342D7E" w:rsidRDefault="00A834F1">
      <w:pPr>
        <w:pStyle w:val="Baseparagraphnumbered"/>
      </w:pPr>
      <w:r w:rsidRPr="00342D7E">
        <w:t>Zakupione lub utworzone aktywa finansowe dotknięte utratą wartości ze względu na ryzyko kredytowe</w:t>
      </w:r>
      <w:r w:rsidR="00342D7E" w:rsidRPr="00342D7E">
        <w:t xml:space="preserve"> w</w:t>
      </w:r>
      <w:r w:rsidR="00342D7E">
        <w:t> </w:t>
      </w:r>
      <w:r w:rsidR="00342D7E" w:rsidRPr="00342D7E">
        <w:t>mom</w:t>
      </w:r>
      <w:r w:rsidRPr="00342D7E">
        <w:t>encie początkowego ujęcia, jak określono w MSSF 9 załącznik A, zgłasza się osobno we wzorach 4.3.1</w:t>
      </w:r>
      <w:r w:rsidR="00342D7E" w:rsidRPr="00342D7E">
        <w:t xml:space="preserve"> </w:t>
      </w:r>
      <w:proofErr w:type="gramStart"/>
      <w:r w:rsidR="00342D7E" w:rsidRPr="00342D7E">
        <w:t>i</w:t>
      </w:r>
      <w:proofErr w:type="gramEnd"/>
      <w:r w:rsidR="00342D7E">
        <w:t> </w:t>
      </w:r>
      <w:r w:rsidR="00342D7E" w:rsidRPr="00342D7E">
        <w:t>4</w:t>
      </w:r>
      <w:r w:rsidRPr="00342D7E">
        <w:t>.4.1</w:t>
      </w:r>
      <w:r w:rsidR="00342D7E" w:rsidRPr="00342D7E">
        <w:t>. W</w:t>
      </w:r>
      <w:r w:rsidR="00342D7E">
        <w:t> </w:t>
      </w:r>
      <w:r w:rsidR="00342D7E" w:rsidRPr="00342D7E">
        <w:t>prz</w:t>
      </w:r>
      <w:r w:rsidRPr="00342D7E">
        <w:t>ypadku tych aktywów skumulowana utrata wartości obejmuje wyłącznie skumulowane zmiany oczekiwanych strat kredytowych</w:t>
      </w:r>
      <w:r w:rsidR="00342D7E" w:rsidRPr="00342D7E">
        <w:t xml:space="preserve"> w</w:t>
      </w:r>
      <w:r w:rsidR="00342D7E">
        <w:t> </w:t>
      </w:r>
      <w:r w:rsidR="00342D7E" w:rsidRPr="00342D7E">
        <w:t>cał</w:t>
      </w:r>
      <w:r w:rsidRPr="00342D7E">
        <w:t>ym okresie życia od początkowego ujęcia (MSSF 9 pkt</w:t>
      </w:r>
      <w:proofErr w:type="gramStart"/>
      <w:r w:rsidR="00342D7E" w:rsidRPr="00342D7E">
        <w:t> </w:t>
      </w:r>
      <w:r w:rsidRPr="00342D7E">
        <w:t>5.5.13). Odpowiadającą</w:t>
      </w:r>
      <w:proofErr w:type="gramEnd"/>
      <w:r w:rsidRPr="00342D7E">
        <w:t xml:space="preserve"> wartość bilansową brutto oraz skumulowaną utratę wartości</w:t>
      </w:r>
      <w:r w:rsidR="00342D7E" w:rsidRPr="00342D7E">
        <w:t xml:space="preserve"> w</w:t>
      </w:r>
      <w:r w:rsidR="00342D7E">
        <w:t> </w:t>
      </w:r>
      <w:r w:rsidR="00342D7E" w:rsidRPr="00342D7E">
        <w:t>odn</w:t>
      </w:r>
      <w:r w:rsidRPr="00342D7E">
        <w:t>iesieniu do tych aktywów zgłasza się</w:t>
      </w:r>
      <w:r w:rsidR="00342D7E" w:rsidRPr="00342D7E">
        <w:t xml:space="preserve"> w</w:t>
      </w:r>
      <w:r w:rsidR="00342D7E">
        <w:t> </w:t>
      </w:r>
      <w:r w:rsidR="00342D7E" w:rsidRPr="00342D7E">
        <w:t>poz</w:t>
      </w:r>
      <w:r w:rsidRPr="00342D7E">
        <w:t>ycji „Aktywa dotknięte utratą wartości ze względu na ryzyko kredytowe (faza 3)” przy początkowym ujęciu oraz tak długo, jak długo uznaje się je za aktywa dotknięte utratą wartości ze względu na ryzyko kredytowe zgodnie</w:t>
      </w:r>
      <w:r w:rsidR="00342D7E" w:rsidRPr="00342D7E">
        <w:t xml:space="preserve"> z</w:t>
      </w:r>
      <w:r w:rsidR="00342D7E">
        <w:t> </w:t>
      </w:r>
      <w:r w:rsidR="00342D7E" w:rsidRPr="00342D7E">
        <w:t>def</w:t>
      </w:r>
      <w:r w:rsidRPr="00342D7E">
        <w:t>inicją „aktywów dotkniętych utratą wartości ze względu na ryzyko kredytowe” przedstawioną w MSSF 9 załącznik A. Jeżeli po początkowym ujęciu takich aktywów nie uważa się już za aktywa dotknięte utratą wartości ze względu na ryzyko kredytowe, zgłasza się je</w:t>
      </w:r>
      <w:r w:rsidR="00342D7E" w:rsidRPr="00342D7E">
        <w:t xml:space="preserve"> w</w:t>
      </w:r>
      <w:r w:rsidR="00342D7E">
        <w:t> </w:t>
      </w:r>
      <w:r w:rsidR="00342D7E" w:rsidRPr="00342D7E">
        <w:t>poz</w:t>
      </w:r>
      <w:r w:rsidRPr="00342D7E">
        <w:t>ycji „Aktywa,</w:t>
      </w:r>
      <w:r w:rsidR="00342D7E" w:rsidRPr="00342D7E">
        <w:t xml:space="preserve"> w</w:t>
      </w:r>
      <w:r w:rsidR="00342D7E">
        <w:t> </w:t>
      </w:r>
      <w:r w:rsidR="00342D7E" w:rsidRPr="00342D7E">
        <w:t>prz</w:t>
      </w:r>
      <w:r w:rsidRPr="00342D7E">
        <w:t>ypadku których nastąpił znaczny wzrost ryzyka kredytowego od momentu ich początkowego ujęcia, lecz które nie są dotknięte utratą wartości ze względu na ryzyko kredytowe (faza 2)”.</w:t>
      </w:r>
    </w:p>
    <w:p w:rsidR="00D35B0C" w:rsidRPr="00342D7E" w:rsidRDefault="00A834F1">
      <w:pPr>
        <w:pStyle w:val="Baseparagraphnumbered"/>
        <w:ind w:left="785"/>
      </w:pPr>
      <w:r w:rsidRPr="00342D7E">
        <w:lastRenderedPageBreak/>
        <w:t xml:space="preserve">We wzorze 4.5 </w:t>
      </w:r>
      <w:proofErr w:type="gramStart"/>
      <w:r w:rsidRPr="00342D7E">
        <w:t>instytucje</w:t>
      </w:r>
      <w:proofErr w:type="gramEnd"/>
      <w:r w:rsidRPr="00342D7E">
        <w:t xml:space="preserve"> zgłaszają wartość bilansową „Kredytów</w:t>
      </w:r>
      <w:r w:rsidR="00342D7E" w:rsidRPr="00342D7E">
        <w:t xml:space="preserve"> i</w:t>
      </w:r>
      <w:r w:rsidR="00342D7E">
        <w:t> </w:t>
      </w:r>
      <w:r w:rsidR="00342D7E" w:rsidRPr="00342D7E">
        <w:t>zal</w:t>
      </w:r>
      <w:r w:rsidRPr="00342D7E">
        <w:t>iczek” i „Dłużnych papierów wartościowych”, które są objęte definicją „długu podporządkowanego” przedstawioną</w:t>
      </w:r>
      <w:r w:rsidR="00342D7E" w:rsidRPr="00342D7E">
        <w:t xml:space="preserve"> w</w:t>
      </w:r>
      <w:r w:rsidR="00342D7E">
        <w:t> </w:t>
      </w:r>
      <w:r w:rsidR="00342D7E" w:rsidRPr="00342D7E">
        <w:t>pkt </w:t>
      </w:r>
      <w:r w:rsidRPr="00342D7E">
        <w:t>100 niniejszej części.</w:t>
      </w:r>
    </w:p>
    <w:p w:rsidR="00D35B0C" w:rsidRPr="00342D7E" w:rsidRDefault="00A834F1">
      <w:pPr>
        <w:pStyle w:val="Baseparagraphnumbered"/>
      </w:pPr>
      <w:r w:rsidRPr="00342D7E">
        <w:t xml:space="preserve">We wzorze 4.8 </w:t>
      </w:r>
      <w:proofErr w:type="gramStart"/>
      <w:r w:rsidRPr="00342D7E">
        <w:t>informacje</w:t>
      </w:r>
      <w:proofErr w:type="gramEnd"/>
      <w:r w:rsidRPr="00342D7E">
        <w:t xml:space="preserve"> podlegające zgłoszeniu zależą od tego, czy aktywa finansowe niebędące instrumentami pochodnymi nieprzeznaczone do obrotu wyceniane według wartości godziwej przez kapitały mogą podlegać wymogom</w:t>
      </w:r>
      <w:r w:rsidR="00342D7E" w:rsidRPr="00342D7E">
        <w:t xml:space="preserve"> w</w:t>
      </w:r>
      <w:r w:rsidR="00342D7E">
        <w:t> </w:t>
      </w:r>
      <w:r w:rsidR="00342D7E" w:rsidRPr="00342D7E">
        <w:t>zak</w:t>
      </w:r>
      <w:r w:rsidRPr="00342D7E">
        <w:t>resie utraty wartości</w:t>
      </w:r>
      <w:r w:rsidR="00342D7E" w:rsidRPr="00342D7E">
        <w:t xml:space="preserve"> w</w:t>
      </w:r>
      <w:r w:rsidR="00342D7E">
        <w:t> </w:t>
      </w:r>
      <w:r w:rsidR="00342D7E" w:rsidRPr="00342D7E">
        <w:t>zas</w:t>
      </w:r>
      <w:r w:rsidRPr="00342D7E">
        <w:t>tosowaniu krajowych ogólnie przyjętych zasad rachunkowości opartych na BAD. Jeżeli te aktywa finansowe podlegają utracie wartości, instytucje zgłaszają</w:t>
      </w:r>
      <w:r w:rsidR="00342D7E" w:rsidRPr="00342D7E">
        <w:t xml:space="preserve"> w</w:t>
      </w:r>
      <w:r w:rsidR="00342D7E">
        <w:t> </w:t>
      </w:r>
      <w:r w:rsidR="00342D7E" w:rsidRPr="00342D7E">
        <w:t>tym</w:t>
      </w:r>
      <w:r w:rsidRPr="00342D7E">
        <w:t xml:space="preserve"> wzorze informacje dotyczące wartości bilansowej, wartości bilansowej brutto aktywów niedotkniętych utratą wartości,</w:t>
      </w:r>
      <w:r w:rsidR="00342D7E" w:rsidRPr="00342D7E">
        <w:t xml:space="preserve"> i</w:t>
      </w:r>
      <w:r w:rsidR="00342D7E">
        <w:t> </w:t>
      </w:r>
      <w:r w:rsidR="00342D7E" w:rsidRPr="00342D7E">
        <w:t>akt</w:t>
      </w:r>
      <w:r w:rsidRPr="00342D7E">
        <w:t>ywów dotkniętych utratą wartości, skumulowanej utraty wartości</w:t>
      </w:r>
      <w:r w:rsidR="00342D7E" w:rsidRPr="00342D7E">
        <w:t xml:space="preserve"> i</w:t>
      </w:r>
      <w:r w:rsidR="00342D7E">
        <w:t> </w:t>
      </w:r>
      <w:r w:rsidR="00342D7E" w:rsidRPr="00342D7E">
        <w:t>sku</w:t>
      </w:r>
      <w:r w:rsidRPr="00342D7E">
        <w:t>mulowanych spisań. Jeżeli wspomniane aktywa finansowe nie podlegają utracie wartości, instytucje zgłaszają skumulowane ujemne zmiany wartości godziwej</w:t>
      </w:r>
      <w:r w:rsidR="00342D7E" w:rsidRPr="00342D7E">
        <w:t xml:space="preserve"> z</w:t>
      </w:r>
      <w:r w:rsidR="00342D7E">
        <w:t> </w:t>
      </w:r>
      <w:r w:rsidR="00342D7E" w:rsidRPr="00342D7E">
        <w:t>pow</w:t>
      </w:r>
      <w:r w:rsidRPr="00342D7E">
        <w:t>odu ryzyka kredytowego</w:t>
      </w:r>
      <w:r w:rsidR="00342D7E" w:rsidRPr="00342D7E">
        <w:t xml:space="preserve"> w</w:t>
      </w:r>
      <w:r w:rsidR="00342D7E">
        <w:t> </w:t>
      </w:r>
      <w:r w:rsidR="00342D7E" w:rsidRPr="00342D7E">
        <w:t>odn</w:t>
      </w:r>
      <w:r w:rsidRPr="00342D7E">
        <w:t>iesieniu do ekspozycji nieobsługiwanych.</w:t>
      </w:r>
    </w:p>
    <w:p w:rsidR="00D35B0C" w:rsidRPr="00342D7E" w:rsidRDefault="00A834F1">
      <w:pPr>
        <w:pStyle w:val="Baseparagraphnumbered"/>
      </w:pPr>
      <w:r w:rsidRPr="00342D7E">
        <w:t xml:space="preserve">We wzorze 4.9 </w:t>
      </w:r>
      <w:proofErr w:type="gramStart"/>
      <w:r w:rsidRPr="00342D7E">
        <w:t>aktywa</w:t>
      </w:r>
      <w:proofErr w:type="gramEnd"/>
      <w:r w:rsidRPr="00342D7E">
        <w:t xml:space="preserve"> finansowe wyceniane według LOCOM</w:t>
      </w:r>
      <w:r w:rsidR="00342D7E" w:rsidRPr="00342D7E">
        <w:t xml:space="preserve"> w</w:t>
      </w:r>
      <w:r w:rsidR="00342D7E">
        <w:t> </w:t>
      </w:r>
      <w:r w:rsidR="00342D7E" w:rsidRPr="00342D7E">
        <w:t>try</w:t>
      </w:r>
      <w:r w:rsidRPr="00342D7E">
        <w:t>bie warunkowym oraz dotyczące ich korekty wartości ujmuje się odrębnie od innych aktywów finansowych wycenianych metodą ceny nabycia</w:t>
      </w:r>
      <w:r w:rsidR="00342D7E" w:rsidRPr="00342D7E">
        <w:t xml:space="preserve"> i</w:t>
      </w:r>
      <w:r w:rsidR="00342D7E">
        <w:t> </w:t>
      </w:r>
      <w:r w:rsidR="00342D7E" w:rsidRPr="00342D7E">
        <w:t>zwi</w:t>
      </w:r>
      <w:r w:rsidRPr="00342D7E">
        <w:t>ązanych</w:t>
      </w:r>
      <w:r w:rsidR="00342D7E" w:rsidRPr="00342D7E">
        <w:t xml:space="preserve"> z</w:t>
      </w:r>
      <w:r w:rsidR="00342D7E">
        <w:t> </w:t>
      </w:r>
      <w:r w:rsidR="00342D7E" w:rsidRPr="00342D7E">
        <w:t>nim</w:t>
      </w:r>
      <w:r w:rsidRPr="00342D7E">
        <w:t>i odpisów</w:t>
      </w:r>
      <w:r w:rsidR="00342D7E" w:rsidRPr="00342D7E">
        <w:t xml:space="preserve"> z</w:t>
      </w:r>
      <w:r w:rsidR="00342D7E">
        <w:t> </w:t>
      </w:r>
      <w:r w:rsidR="00342D7E" w:rsidRPr="00342D7E">
        <w:t>tyt</w:t>
      </w:r>
      <w:r w:rsidRPr="00342D7E">
        <w:t>ułu utraty wartości. Aktywa finansowe wyceniane metodą ceny nabycia,</w:t>
      </w:r>
      <w:r w:rsidR="00342D7E" w:rsidRPr="00342D7E">
        <w:t xml:space="preserve"> w</w:t>
      </w:r>
      <w:r w:rsidR="00342D7E">
        <w:t> </w:t>
      </w:r>
      <w:r w:rsidR="00342D7E" w:rsidRPr="00342D7E">
        <w:t>tym</w:t>
      </w:r>
      <w:r w:rsidRPr="00342D7E">
        <w:t xml:space="preserve"> aktywa finansowe wyceniane według LOCOM</w:t>
      </w:r>
      <w:r w:rsidR="00342D7E" w:rsidRPr="00342D7E">
        <w:t xml:space="preserve"> w</w:t>
      </w:r>
      <w:r w:rsidR="00342D7E">
        <w:t> </w:t>
      </w:r>
      <w:r w:rsidR="00342D7E" w:rsidRPr="00342D7E">
        <w:t>try</w:t>
      </w:r>
      <w:r w:rsidRPr="00342D7E">
        <w:t>bie warunkowym, zgłasza się jako aktywa niedotknięte utratą wartości, jeżeli nie wiążą się</w:t>
      </w:r>
      <w:r w:rsidR="00342D7E" w:rsidRPr="00342D7E">
        <w:t xml:space="preserve"> z</w:t>
      </w:r>
      <w:r w:rsidR="00342D7E">
        <w:t> </w:t>
      </w:r>
      <w:r w:rsidR="00342D7E" w:rsidRPr="00342D7E">
        <w:t>nim</w:t>
      </w:r>
      <w:r w:rsidRPr="00342D7E">
        <w:t>i korekty wartości lub odpisy</w:t>
      </w:r>
      <w:r w:rsidR="00342D7E" w:rsidRPr="00342D7E">
        <w:t xml:space="preserve"> z</w:t>
      </w:r>
      <w:r w:rsidR="00342D7E">
        <w:t> </w:t>
      </w:r>
      <w:r w:rsidR="00342D7E" w:rsidRPr="00342D7E">
        <w:t>tyt</w:t>
      </w:r>
      <w:r w:rsidRPr="00342D7E">
        <w:t>ułu utraty wartości, oraz jako aktywa dotknięte utratą wartości, jeżeli wiążą się</w:t>
      </w:r>
      <w:r w:rsidR="00342D7E" w:rsidRPr="00342D7E">
        <w:t xml:space="preserve"> z</w:t>
      </w:r>
      <w:r w:rsidR="00342D7E">
        <w:t> </w:t>
      </w:r>
      <w:r w:rsidR="00342D7E" w:rsidRPr="00342D7E">
        <w:t>nim</w:t>
      </w:r>
      <w:r w:rsidRPr="00342D7E">
        <w:t>i korekty wartości kwalifikujące się jako odpisy</w:t>
      </w:r>
      <w:r w:rsidR="00342D7E" w:rsidRPr="00342D7E">
        <w:t xml:space="preserve"> z</w:t>
      </w:r>
      <w:r w:rsidR="00342D7E">
        <w:t> </w:t>
      </w:r>
      <w:r w:rsidR="00342D7E" w:rsidRPr="00342D7E">
        <w:t>tyt</w:t>
      </w:r>
      <w:r w:rsidRPr="00342D7E">
        <w:t>ułu utraty wartości lub jeżeli wiążą się</w:t>
      </w:r>
      <w:r w:rsidR="00342D7E" w:rsidRPr="00342D7E">
        <w:t xml:space="preserve"> z</w:t>
      </w:r>
      <w:r w:rsidR="00342D7E">
        <w:t> </w:t>
      </w:r>
      <w:r w:rsidR="00342D7E" w:rsidRPr="00342D7E">
        <w:t>nim</w:t>
      </w:r>
      <w:r w:rsidRPr="00342D7E">
        <w:t>i odpisy</w:t>
      </w:r>
      <w:r w:rsidR="00342D7E" w:rsidRPr="00342D7E">
        <w:t xml:space="preserve"> z</w:t>
      </w:r>
      <w:r w:rsidR="00342D7E">
        <w:t> </w:t>
      </w:r>
      <w:r w:rsidR="00342D7E" w:rsidRPr="00342D7E">
        <w:t>tyt</w:t>
      </w:r>
      <w:r w:rsidRPr="00342D7E">
        <w:t>ułu utraty wartości. Korekty wartości kwalifikujące się jako odpisy</w:t>
      </w:r>
      <w:r w:rsidR="00342D7E" w:rsidRPr="00342D7E">
        <w:t xml:space="preserve"> z</w:t>
      </w:r>
      <w:r w:rsidR="00342D7E">
        <w:t> </w:t>
      </w:r>
      <w:r w:rsidR="00342D7E" w:rsidRPr="00342D7E">
        <w:t>tyt</w:t>
      </w:r>
      <w:r w:rsidRPr="00342D7E">
        <w:t>ułu utraty wartości to korekty wartości spowodowane ryzykiem kredytowym odzwierciedlające pogorszenie się wiarygodności kredytowej kontrahenta. Aktywów finansowych wycenianych według metody LOCOM</w:t>
      </w:r>
      <w:r w:rsidR="00342D7E" w:rsidRPr="00342D7E">
        <w:t xml:space="preserve"> w</w:t>
      </w:r>
      <w:r w:rsidR="00342D7E">
        <w:t> </w:t>
      </w:r>
      <w:r w:rsidR="00342D7E" w:rsidRPr="00342D7E">
        <w:t>try</w:t>
      </w:r>
      <w:r w:rsidRPr="00342D7E">
        <w:t>bie warunkowym, wobec których zastosowano korekty wartości spowodowane ryzykiem rynkowym odzwierciedlające wpływ zmian warunków rynkowych na wartość danego składnika aktywów, nie uznaje się za dotknięte utratą wartości. Skumulowane korekty wartości spowodowane ryzykiem kredytowym</w:t>
      </w:r>
      <w:r w:rsidR="00342D7E" w:rsidRPr="00342D7E">
        <w:t xml:space="preserve"> i</w:t>
      </w:r>
      <w:r w:rsidR="00342D7E">
        <w:t> </w:t>
      </w:r>
      <w:r w:rsidR="00342D7E" w:rsidRPr="00342D7E">
        <w:t>ryz</w:t>
      </w:r>
      <w:r w:rsidRPr="00342D7E">
        <w:t xml:space="preserve">ykiem rynkowym zgłasza się osobno. </w:t>
      </w:r>
    </w:p>
    <w:p w:rsidR="00D35B0C" w:rsidRPr="00342D7E" w:rsidRDefault="00A834F1">
      <w:pPr>
        <w:pStyle w:val="Baseparagraphnumbered"/>
      </w:pPr>
      <w:r w:rsidRPr="00342D7E">
        <w:t xml:space="preserve">We wzorze 4.10 </w:t>
      </w:r>
      <w:proofErr w:type="gramStart"/>
      <w:r w:rsidRPr="00342D7E">
        <w:t>aktywa</w:t>
      </w:r>
      <w:proofErr w:type="gramEnd"/>
      <w:r w:rsidRPr="00342D7E">
        <w:t xml:space="preserve"> wyceniane według LOCOM</w:t>
      </w:r>
      <w:r w:rsidR="00342D7E" w:rsidRPr="00342D7E">
        <w:t xml:space="preserve"> w</w:t>
      </w:r>
      <w:r w:rsidR="00342D7E">
        <w:t> </w:t>
      </w:r>
      <w:r w:rsidR="00342D7E" w:rsidRPr="00342D7E">
        <w:t>try</w:t>
      </w:r>
      <w:r w:rsidRPr="00342D7E">
        <w:t>bie bezwarunkowym, jak również związane</w:t>
      </w:r>
      <w:r w:rsidR="00342D7E" w:rsidRPr="00342D7E">
        <w:t xml:space="preserve"> z</w:t>
      </w:r>
      <w:r w:rsidR="00342D7E">
        <w:t> </w:t>
      </w:r>
      <w:r w:rsidR="00342D7E" w:rsidRPr="00342D7E">
        <w:t>nim</w:t>
      </w:r>
      <w:r w:rsidRPr="00342D7E">
        <w:t>i korekty wartości zgłasza się odrębnie od aktywów wycenianych według innych metod wyceny. Aktywa finansowe wyceniane według LOCOM</w:t>
      </w:r>
      <w:r w:rsidR="00342D7E" w:rsidRPr="00342D7E">
        <w:t xml:space="preserve"> w</w:t>
      </w:r>
      <w:r w:rsidR="00342D7E">
        <w:t> </w:t>
      </w:r>
      <w:r w:rsidR="00342D7E" w:rsidRPr="00342D7E">
        <w:t>try</w:t>
      </w:r>
      <w:r w:rsidRPr="00342D7E">
        <w:t>bie bezwarunkowym oraz aktywa finansowe wyceniane według innych metod wyceny zgłasza się jako aktywa dotknięte utratą wartości, jeżeli wiążą się</w:t>
      </w:r>
      <w:r w:rsidR="00342D7E" w:rsidRPr="00342D7E">
        <w:t xml:space="preserve"> z</w:t>
      </w:r>
      <w:r w:rsidR="00342D7E">
        <w:t> </w:t>
      </w:r>
      <w:r w:rsidR="00342D7E" w:rsidRPr="00342D7E">
        <w:t>nim</w:t>
      </w:r>
      <w:r w:rsidRPr="00342D7E">
        <w:t>i korekty wartości spowodowane ryzykiem kredytowym, jak określono</w:t>
      </w:r>
      <w:r w:rsidR="00342D7E" w:rsidRPr="00342D7E">
        <w:t xml:space="preserve"> w</w:t>
      </w:r>
      <w:r w:rsidR="00342D7E">
        <w:t> </w:t>
      </w:r>
      <w:r w:rsidR="00342D7E" w:rsidRPr="00342D7E">
        <w:t>pkt </w:t>
      </w:r>
      <w:r w:rsidRPr="00342D7E">
        <w:t>80, lub odpisy</w:t>
      </w:r>
      <w:r w:rsidR="00342D7E" w:rsidRPr="00342D7E">
        <w:t xml:space="preserve"> z</w:t>
      </w:r>
      <w:r w:rsidR="00342D7E">
        <w:t> </w:t>
      </w:r>
      <w:r w:rsidR="00342D7E" w:rsidRPr="00342D7E">
        <w:t>tyt</w:t>
      </w:r>
      <w:r w:rsidRPr="00342D7E">
        <w:t>ułu utraty wartości. Aktywów finansowych wycenianych według LOCOM</w:t>
      </w:r>
      <w:r w:rsidR="00342D7E" w:rsidRPr="00342D7E">
        <w:t xml:space="preserve"> w</w:t>
      </w:r>
      <w:r w:rsidR="00342D7E">
        <w:t> </w:t>
      </w:r>
      <w:r w:rsidR="00342D7E" w:rsidRPr="00342D7E">
        <w:t>try</w:t>
      </w:r>
      <w:r w:rsidRPr="00342D7E">
        <w:t>bie bezwarunkowym, wobec których zastosowano korekty wartości spowodowane ryzykiem rynkowym, jak określono</w:t>
      </w:r>
      <w:r w:rsidR="00342D7E" w:rsidRPr="00342D7E">
        <w:t xml:space="preserve"> w</w:t>
      </w:r>
      <w:r w:rsidR="00342D7E">
        <w:t> </w:t>
      </w:r>
      <w:r w:rsidR="00342D7E" w:rsidRPr="00342D7E">
        <w:t>pkt </w:t>
      </w:r>
      <w:r w:rsidRPr="00342D7E">
        <w:t>80, nie uznaje się za dotknięte utratą wartości. Skumulowane korekty wartości spowodowane ryzykiem kredytowym</w:t>
      </w:r>
      <w:r w:rsidR="00342D7E" w:rsidRPr="00342D7E">
        <w:t xml:space="preserve"> i</w:t>
      </w:r>
      <w:r w:rsidR="00342D7E">
        <w:t> </w:t>
      </w:r>
      <w:r w:rsidR="00342D7E" w:rsidRPr="00342D7E">
        <w:t>ryz</w:t>
      </w:r>
      <w:r w:rsidRPr="00342D7E">
        <w:t>ykiem rynkowym zgłasza się osobno.</w:t>
      </w:r>
    </w:p>
    <w:p w:rsidR="00D35B0C" w:rsidRPr="00342D7E" w:rsidRDefault="00A834F1">
      <w:pPr>
        <w:pStyle w:val="Baseparagraphnumbered"/>
      </w:pPr>
      <w:r w:rsidRPr="00342D7E">
        <w:lastRenderedPageBreak/>
        <w:t>Zgodnie</w:t>
      </w:r>
      <w:r w:rsidR="00342D7E" w:rsidRPr="00342D7E">
        <w:t xml:space="preserve"> z</w:t>
      </w:r>
      <w:r w:rsidR="00342D7E">
        <w:t> </w:t>
      </w:r>
      <w:r w:rsidR="00342D7E" w:rsidRPr="00342D7E">
        <w:t>kra</w:t>
      </w:r>
      <w:r w:rsidRPr="00342D7E">
        <w:t>jowymi ogólnie przyjętymi zasadami rachunkowości opartymi na BAD kwotę ogólnych odpisów aktualizujących</w:t>
      </w:r>
      <w:r w:rsidR="00342D7E" w:rsidRPr="00342D7E">
        <w:t xml:space="preserve"> z</w:t>
      </w:r>
      <w:r w:rsidR="00342D7E">
        <w:t> </w:t>
      </w:r>
      <w:r w:rsidR="00342D7E" w:rsidRPr="00342D7E">
        <w:t>tyt</w:t>
      </w:r>
      <w:r w:rsidRPr="00342D7E">
        <w:t>ułu ryzyka bankowego podlegającą zgłoszeniu</w:t>
      </w:r>
      <w:r w:rsidR="00342D7E" w:rsidRPr="00342D7E">
        <w:t xml:space="preserve"> w</w:t>
      </w:r>
      <w:r w:rsidR="00342D7E">
        <w:t> </w:t>
      </w:r>
      <w:r w:rsidR="00342D7E" w:rsidRPr="00342D7E">
        <w:t>odp</w:t>
      </w:r>
      <w:r w:rsidRPr="00342D7E">
        <w:t>owiednich wzorach stanowi wyłącznie ta część tych odpisów, która wpływa na wartość bilansową instrumentów dłużnych (art.</w:t>
      </w:r>
      <w:r w:rsidR="00342D7E" w:rsidRPr="00342D7E">
        <w:t> </w:t>
      </w:r>
      <w:r w:rsidRPr="00342D7E">
        <w:t>37 ust.</w:t>
      </w:r>
      <w:r w:rsidR="00342D7E" w:rsidRPr="00342D7E">
        <w:t> </w:t>
      </w:r>
      <w:r w:rsidRPr="00342D7E">
        <w:t>2 BAD).</w:t>
      </w:r>
    </w:p>
    <w:p w:rsidR="00D35B0C" w:rsidRPr="00342D7E" w:rsidRDefault="00A834F1">
      <w:pPr>
        <w:pStyle w:val="subtitlenumbered"/>
        <w:jc w:val="both"/>
      </w:pPr>
      <w:bookmarkStart w:id="20" w:name="_Toc31019122"/>
      <w:r w:rsidRPr="00342D7E">
        <w:t>Podział kredytów</w:t>
      </w:r>
      <w:r w:rsidR="00342D7E" w:rsidRPr="00342D7E">
        <w:t xml:space="preserve"> i</w:t>
      </w:r>
      <w:r w:rsidR="00342D7E">
        <w:t> </w:t>
      </w:r>
      <w:r w:rsidR="00342D7E" w:rsidRPr="00342D7E">
        <w:t>zal</w:t>
      </w:r>
      <w:r w:rsidRPr="00342D7E">
        <w:t>iczek nieprzeznaczonych do obrotu według produktów (5)</w:t>
      </w:r>
      <w:bookmarkEnd w:id="20"/>
    </w:p>
    <w:p w:rsidR="00D35B0C" w:rsidRPr="00342D7E" w:rsidRDefault="00A834F1">
      <w:pPr>
        <w:pStyle w:val="Baseparagraphnumbered"/>
      </w:pPr>
      <w:r w:rsidRPr="00342D7E">
        <w:t>Kredyty</w:t>
      </w:r>
      <w:r w:rsidR="00342D7E" w:rsidRPr="00342D7E">
        <w:t xml:space="preserve"> i</w:t>
      </w:r>
      <w:r w:rsidR="00342D7E">
        <w:t> </w:t>
      </w:r>
      <w:r w:rsidR="00342D7E" w:rsidRPr="00342D7E">
        <w:t>zal</w:t>
      </w:r>
      <w:r w:rsidRPr="00342D7E">
        <w:t>iczki inne niż przeznaczone do obrotu lub aktywa</w:t>
      </w:r>
      <w:r w:rsidR="00342D7E" w:rsidRPr="00342D7E">
        <w:t xml:space="preserve"> z</w:t>
      </w:r>
      <w:r w:rsidR="00342D7E">
        <w:t> </w:t>
      </w:r>
      <w:r w:rsidR="00342D7E" w:rsidRPr="00342D7E">
        <w:t>prz</w:t>
      </w:r>
      <w:r w:rsidRPr="00342D7E">
        <w:t>eznaczeniem do obrotu dzieli się według rodzaju produktów</w:t>
      </w:r>
      <w:r w:rsidR="00342D7E" w:rsidRPr="00342D7E">
        <w:t xml:space="preserve"> i</w:t>
      </w:r>
      <w:r w:rsidR="00342D7E">
        <w:t> </w:t>
      </w:r>
      <w:r w:rsidR="00342D7E" w:rsidRPr="00342D7E">
        <w:t>wed</w:t>
      </w:r>
      <w:r w:rsidRPr="00342D7E">
        <w:t>ług sektora kontrahenta</w:t>
      </w:r>
      <w:r w:rsidR="00342D7E" w:rsidRPr="00342D7E">
        <w:t xml:space="preserve"> w</w:t>
      </w:r>
      <w:r w:rsidR="00342D7E">
        <w:t> </w:t>
      </w:r>
      <w:r w:rsidR="00342D7E" w:rsidRPr="00342D7E">
        <w:t>odn</w:t>
      </w:r>
      <w:r w:rsidRPr="00342D7E">
        <w:t>iesieniu do wartości bilansowej oraz wyłącznie według rodzaju produktów</w:t>
      </w:r>
      <w:r w:rsidR="00342D7E" w:rsidRPr="00342D7E">
        <w:t xml:space="preserve"> w</w:t>
      </w:r>
      <w:r w:rsidR="00342D7E">
        <w:t> </w:t>
      </w:r>
      <w:r w:rsidR="00342D7E" w:rsidRPr="00342D7E">
        <w:t>odn</w:t>
      </w:r>
      <w:r w:rsidRPr="00342D7E">
        <w:t>iesieniu do wartości bilansowej brutto.</w:t>
      </w:r>
    </w:p>
    <w:p w:rsidR="00D35B0C" w:rsidRPr="00342D7E" w:rsidRDefault="00A834F1">
      <w:pPr>
        <w:pStyle w:val="Baseparagraphnumbered"/>
      </w:pPr>
      <w:r w:rsidRPr="00342D7E">
        <w:t>Salda płatne na żądanie sklasyfikowane jako „Kasa, środki</w:t>
      </w:r>
      <w:r w:rsidR="00342D7E" w:rsidRPr="00342D7E">
        <w:t xml:space="preserve"> w</w:t>
      </w:r>
      <w:r w:rsidR="00342D7E">
        <w:t> </w:t>
      </w:r>
      <w:r w:rsidR="00342D7E" w:rsidRPr="00342D7E">
        <w:t>ban</w:t>
      </w:r>
      <w:r w:rsidRPr="00342D7E">
        <w:t>kach centralnych</w:t>
      </w:r>
      <w:r w:rsidR="00342D7E" w:rsidRPr="00342D7E">
        <w:t xml:space="preserve"> i</w:t>
      </w:r>
      <w:r w:rsidR="00342D7E">
        <w:t> </w:t>
      </w:r>
      <w:r w:rsidR="00342D7E" w:rsidRPr="00342D7E">
        <w:t>inn</w:t>
      </w:r>
      <w:r w:rsidRPr="00342D7E">
        <w:t>e depozyty płatne na żądanie” również zgłasza się</w:t>
      </w:r>
      <w:r w:rsidR="00342D7E" w:rsidRPr="00342D7E">
        <w:t xml:space="preserve"> w</w:t>
      </w:r>
      <w:r w:rsidR="00342D7E">
        <w:t> </w:t>
      </w:r>
      <w:r w:rsidR="00342D7E" w:rsidRPr="00342D7E">
        <w:t>tym</w:t>
      </w:r>
      <w:r w:rsidRPr="00342D7E">
        <w:t xml:space="preserve"> wzorze niezależnie od sposobu ich wyceny. </w:t>
      </w:r>
    </w:p>
    <w:p w:rsidR="00D35B0C" w:rsidRPr="00342D7E" w:rsidRDefault="00A834F1">
      <w:pPr>
        <w:pStyle w:val="Baseparagraphnumbered"/>
      </w:pPr>
      <w:r w:rsidRPr="00342D7E">
        <w:t>Kredyty</w:t>
      </w:r>
      <w:r w:rsidR="00342D7E" w:rsidRPr="00342D7E">
        <w:t xml:space="preserve"> i</w:t>
      </w:r>
      <w:r w:rsidR="00342D7E">
        <w:t> </w:t>
      </w:r>
      <w:r w:rsidR="00342D7E" w:rsidRPr="00342D7E">
        <w:t>zal</w:t>
      </w:r>
      <w:r w:rsidRPr="00342D7E">
        <w:t xml:space="preserve">iczki przypisuje się do następujących produktów: </w:t>
      </w:r>
    </w:p>
    <w:p w:rsidR="00D35B0C" w:rsidRPr="00342D7E" w:rsidRDefault="00A834F1" w:rsidP="00056B6F">
      <w:pPr>
        <w:numPr>
          <w:ilvl w:val="0"/>
          <w:numId w:val="38"/>
        </w:numPr>
        <w:spacing w:before="120" w:after="120"/>
        <w:ind w:left="1134"/>
        <w:jc w:val="both"/>
        <w:rPr>
          <w:rFonts w:ascii="Times New Roman" w:hAnsi="Times New Roman"/>
          <w:sz w:val="24"/>
          <w:szCs w:val="24"/>
        </w:rPr>
      </w:pPr>
      <w:r w:rsidRPr="00342D7E">
        <w:rPr>
          <w:rFonts w:ascii="Times New Roman" w:hAnsi="Times New Roman"/>
          <w:sz w:val="24"/>
          <w:szCs w:val="24"/>
        </w:rPr>
        <w:t>pozycja „na żądanie (wezwanie)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w:t>
      </w:r>
      <w:r w:rsidR="00342D7E">
        <w:rPr>
          <w:rFonts w:ascii="Times New Roman" w:hAnsi="Times New Roman"/>
          <w:sz w:val="24"/>
          <w:szCs w:val="24"/>
        </w:rPr>
        <w:t> </w:t>
      </w:r>
      <w:r w:rsidR="00342D7E" w:rsidRPr="00342D7E">
        <w:rPr>
          <w:rFonts w:ascii="Times New Roman" w:hAnsi="Times New Roman"/>
          <w:sz w:val="24"/>
          <w:szCs w:val="24"/>
        </w:rPr>
        <w:t>kró</w:t>
      </w:r>
      <w:r w:rsidRPr="00342D7E">
        <w:rPr>
          <w:rFonts w:ascii="Times New Roman" w:hAnsi="Times New Roman"/>
          <w:sz w:val="24"/>
          <w:szCs w:val="24"/>
        </w:rPr>
        <w:t>tkim terminie (rachunek bieżący</w:t>
      </w:r>
      <w:proofErr w:type="gramStart"/>
      <w:r w:rsidRPr="00342D7E">
        <w:rPr>
          <w:rFonts w:ascii="Times New Roman" w:hAnsi="Times New Roman"/>
          <w:sz w:val="24"/>
          <w:szCs w:val="24"/>
        </w:rPr>
        <w:t>)” obejmuje</w:t>
      </w:r>
      <w:proofErr w:type="gramEnd"/>
      <w:r w:rsidRPr="00342D7E">
        <w:rPr>
          <w:rFonts w:ascii="Times New Roman" w:hAnsi="Times New Roman"/>
          <w:sz w:val="24"/>
          <w:szCs w:val="24"/>
        </w:rPr>
        <w:t xml:space="preserve"> salda płatne na żądanie (wezwanie),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kró</w:t>
      </w:r>
      <w:r w:rsidRPr="00342D7E">
        <w:rPr>
          <w:rFonts w:ascii="Times New Roman" w:hAnsi="Times New Roman"/>
          <w:sz w:val="24"/>
          <w:szCs w:val="24"/>
        </w:rPr>
        <w:t>tkim terminie (do końca dnia roboczego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dni</w:t>
      </w:r>
      <w:r w:rsidRPr="00342D7E">
        <w:rPr>
          <w:rFonts w:ascii="Times New Roman" w:hAnsi="Times New Roman"/>
          <w:sz w:val="24"/>
          <w:szCs w:val="24"/>
        </w:rPr>
        <w:t>u następującym po dniu,</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rym wystosowano wezwanie), rachunki bieżące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pod</w:t>
      </w:r>
      <w:r w:rsidRPr="00342D7E">
        <w:rPr>
          <w:rFonts w:ascii="Times New Roman" w:hAnsi="Times New Roman"/>
          <w:sz w:val="24"/>
          <w:szCs w:val="24"/>
        </w:rPr>
        <w:t>obne salda, które mogą obejmować kredyty będące depozytami O/N na rzecz kredytobiorcy (kredyty podlegające spłacie do końca dnia roboczego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dni</w:t>
      </w:r>
      <w:r w:rsidRPr="00342D7E">
        <w:rPr>
          <w:rFonts w:ascii="Times New Roman" w:hAnsi="Times New Roman"/>
          <w:sz w:val="24"/>
          <w:szCs w:val="24"/>
        </w:rPr>
        <w:t>u następującym po dniu,</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rym je udzielono), niezależnie od ich formy prawnej. Przedmiotowa pozycja obejmuje również „kredyty</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rac</w:t>
      </w:r>
      <w:r w:rsidRPr="00342D7E">
        <w:rPr>
          <w:rFonts w:ascii="Times New Roman" w:hAnsi="Times New Roman"/>
          <w:sz w:val="24"/>
          <w:szCs w:val="24"/>
        </w:rPr>
        <w:t>hunku bieżącym” będące saldami ujemnymi na saldach obrotów bieżących oraz obowiązkowe rezerwy utrzymywane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ban</w:t>
      </w:r>
      <w:r w:rsidRPr="00342D7E">
        <w:rPr>
          <w:rFonts w:ascii="Times New Roman" w:hAnsi="Times New Roman"/>
          <w:sz w:val="24"/>
          <w:szCs w:val="24"/>
        </w:rPr>
        <w:t>ku centralnym;</w:t>
      </w:r>
    </w:p>
    <w:p w:rsidR="00D35B0C" w:rsidRPr="00342D7E" w:rsidRDefault="00A834F1" w:rsidP="00056B6F">
      <w:pPr>
        <w:numPr>
          <w:ilvl w:val="0"/>
          <w:numId w:val="38"/>
        </w:numPr>
        <w:spacing w:before="120" w:after="120"/>
        <w:ind w:left="1134"/>
        <w:jc w:val="both"/>
        <w:rPr>
          <w:rFonts w:ascii="Times New Roman" w:hAnsi="Times New Roman"/>
          <w:sz w:val="24"/>
          <w:szCs w:val="24"/>
        </w:rPr>
      </w:pPr>
      <w:r w:rsidRPr="00342D7E">
        <w:rPr>
          <w:rFonts w:ascii="Times New Roman" w:hAnsi="Times New Roman"/>
          <w:sz w:val="24"/>
          <w:szCs w:val="24"/>
        </w:rPr>
        <w:t>„zadłużenie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kart kredytowych” obejmuje kredyty udzielone za pośrednictwem kart obciążeniowych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odr</w:t>
      </w:r>
      <w:r w:rsidRPr="00342D7E">
        <w:rPr>
          <w:rFonts w:ascii="Times New Roman" w:hAnsi="Times New Roman"/>
          <w:sz w:val="24"/>
          <w:szCs w:val="24"/>
        </w:rPr>
        <w:t>oczoną płatnością albo za pośrednictwem kart kredytowych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tab</w:t>
      </w:r>
      <w:r w:rsidRPr="00342D7E">
        <w:rPr>
          <w:rFonts w:ascii="Times New Roman" w:hAnsi="Times New Roman"/>
          <w:sz w:val="24"/>
          <w:szCs w:val="24"/>
        </w:rPr>
        <w:t>elą załącznika II część 2 do rozporządzenia EBC</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 xml:space="preserve">awie pozycji bilansowych; </w:t>
      </w:r>
    </w:p>
    <w:p w:rsidR="00D35B0C" w:rsidRPr="00342D7E" w:rsidRDefault="00A834F1" w:rsidP="00056B6F">
      <w:pPr>
        <w:numPr>
          <w:ilvl w:val="0"/>
          <w:numId w:val="38"/>
        </w:numPr>
        <w:spacing w:before="120" w:after="120"/>
        <w:ind w:left="1134"/>
        <w:jc w:val="both"/>
        <w:rPr>
          <w:rFonts w:ascii="Times New Roman" w:hAnsi="Times New Roman"/>
          <w:sz w:val="24"/>
          <w:szCs w:val="24"/>
        </w:rPr>
      </w:pPr>
      <w:r w:rsidRPr="00342D7E">
        <w:rPr>
          <w:rFonts w:ascii="Times New Roman" w:hAnsi="Times New Roman"/>
          <w:sz w:val="24"/>
          <w:szCs w:val="24"/>
        </w:rPr>
        <w:t>„należności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dostaw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ug” obejmują kredyty udzielone innym dłużnikom na podstawie weksli lub innych dokumentów przyznających prawo do otrzymania przychodów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tra</w:t>
      </w:r>
      <w:r w:rsidRPr="00342D7E">
        <w:rPr>
          <w:rFonts w:ascii="Times New Roman" w:hAnsi="Times New Roman"/>
          <w:sz w:val="24"/>
          <w:szCs w:val="24"/>
        </w:rPr>
        <w:t>nsakcji sprzedaży towarów lub</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świadczenia usług. Pozycja ta obejmuje wszystkie transakcje faktoringu</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pod</w:t>
      </w:r>
      <w:r w:rsidRPr="00342D7E">
        <w:rPr>
          <w:rFonts w:ascii="Times New Roman" w:hAnsi="Times New Roman"/>
          <w:sz w:val="24"/>
          <w:szCs w:val="24"/>
        </w:rPr>
        <w:t>obne transakcje, takie jak akcepty, bezpośredni zakup należności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dostaw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ug, forfaiting, dyskonto faktur, weksle, papiery komercyjne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e roszczenia,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ram</w:t>
      </w:r>
      <w:r w:rsidRPr="00342D7E">
        <w:rPr>
          <w:rFonts w:ascii="Times New Roman" w:hAnsi="Times New Roman"/>
          <w:sz w:val="24"/>
          <w:szCs w:val="24"/>
        </w:rPr>
        <w:t>ach których instytucja sprawozdająca kupuje należności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dostaw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ug (zarówno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reg</w:t>
      </w:r>
      <w:r w:rsidRPr="00342D7E">
        <w:rPr>
          <w:rFonts w:ascii="Times New Roman" w:hAnsi="Times New Roman"/>
          <w:sz w:val="24"/>
          <w:szCs w:val="24"/>
        </w:rPr>
        <w:t>resem, jak</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bez</w:t>
      </w:r>
      <w:r w:rsidRPr="00342D7E">
        <w:rPr>
          <w:rFonts w:ascii="Times New Roman" w:hAnsi="Times New Roman"/>
          <w:sz w:val="24"/>
          <w:szCs w:val="24"/>
        </w:rPr>
        <w:t xml:space="preserve"> regresu); </w:t>
      </w:r>
    </w:p>
    <w:p w:rsidR="00D35B0C" w:rsidRPr="00342D7E" w:rsidRDefault="00A834F1" w:rsidP="00056B6F">
      <w:pPr>
        <w:numPr>
          <w:ilvl w:val="0"/>
          <w:numId w:val="38"/>
        </w:numPr>
        <w:spacing w:before="120" w:after="120"/>
        <w:ind w:left="1134"/>
        <w:jc w:val="both"/>
        <w:rPr>
          <w:rFonts w:ascii="Times New Roman" w:hAnsi="Times New Roman"/>
          <w:sz w:val="24"/>
          <w:szCs w:val="24"/>
        </w:rPr>
      </w:pPr>
      <w:r w:rsidRPr="00342D7E">
        <w:rPr>
          <w:rFonts w:ascii="Times New Roman" w:hAnsi="Times New Roman"/>
          <w:sz w:val="24"/>
          <w:szCs w:val="24"/>
        </w:rPr>
        <w:t>„leasingi finansowe” obejmują wartość bilansową należności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leasingu finansowego. Zgodnie z MSSF „należności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leasingu finansowego” definiuje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tak</w:t>
      </w:r>
      <w:r w:rsidRPr="00342D7E">
        <w:rPr>
          <w:rFonts w:ascii="Times New Roman" w:hAnsi="Times New Roman"/>
          <w:sz w:val="24"/>
          <w:szCs w:val="24"/>
        </w:rPr>
        <w:t>i sam sposób jak w MSR 17;</w:t>
      </w:r>
    </w:p>
    <w:p w:rsidR="00D35B0C" w:rsidRPr="00342D7E" w:rsidRDefault="00A834F1" w:rsidP="00056B6F">
      <w:pPr>
        <w:numPr>
          <w:ilvl w:val="0"/>
          <w:numId w:val="38"/>
        </w:numPr>
        <w:spacing w:before="120" w:after="120"/>
        <w:ind w:left="1134"/>
        <w:jc w:val="both"/>
        <w:rPr>
          <w:rFonts w:ascii="Times New Roman" w:hAnsi="Times New Roman"/>
          <w:sz w:val="24"/>
          <w:szCs w:val="24"/>
        </w:rPr>
      </w:pPr>
      <w:r w:rsidRPr="00342D7E">
        <w:rPr>
          <w:rFonts w:ascii="Times New Roman" w:hAnsi="Times New Roman"/>
          <w:sz w:val="24"/>
          <w:szCs w:val="24"/>
        </w:rPr>
        <w:t>„kredyty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otr</w:t>
      </w:r>
      <w:r w:rsidRPr="00342D7E">
        <w:rPr>
          <w:rFonts w:ascii="Times New Roman" w:hAnsi="Times New Roman"/>
          <w:sz w:val="24"/>
          <w:szCs w:val="24"/>
        </w:rPr>
        <w:t>zymanym przyrzeczeniem odkupu” obejmują finansowanie przyznane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zam</w:t>
      </w:r>
      <w:r w:rsidRPr="00342D7E">
        <w:rPr>
          <w:rFonts w:ascii="Times New Roman" w:hAnsi="Times New Roman"/>
          <w:sz w:val="24"/>
          <w:szCs w:val="24"/>
        </w:rPr>
        <w:t>ian za papiery wartościowe lub złoto zakupione na mocy umów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udz</w:t>
      </w:r>
      <w:r w:rsidRPr="00342D7E">
        <w:rPr>
          <w:rFonts w:ascii="Times New Roman" w:hAnsi="Times New Roman"/>
          <w:sz w:val="24"/>
          <w:szCs w:val="24"/>
        </w:rPr>
        <w:t xml:space="preserve">ielonym przyrzeczeniem odkupu lub pożyczone na mocy </w:t>
      </w:r>
      <w:r w:rsidRPr="00342D7E">
        <w:rPr>
          <w:rFonts w:ascii="Times New Roman" w:hAnsi="Times New Roman"/>
          <w:sz w:val="24"/>
          <w:szCs w:val="24"/>
        </w:rPr>
        <w:lastRenderedPageBreak/>
        <w:t>umów pożyczki papierów wartościowych, jak określono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183</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1</w:t>
      </w:r>
      <w:r w:rsidRPr="00342D7E">
        <w:rPr>
          <w:rFonts w:ascii="Times New Roman" w:hAnsi="Times New Roman"/>
          <w:sz w:val="24"/>
          <w:szCs w:val="24"/>
        </w:rPr>
        <w:t>84 niniejszej części;</w:t>
      </w:r>
    </w:p>
    <w:p w:rsidR="00D35B0C" w:rsidRPr="00342D7E" w:rsidRDefault="00A834F1" w:rsidP="00056B6F">
      <w:pPr>
        <w:numPr>
          <w:ilvl w:val="0"/>
          <w:numId w:val="38"/>
        </w:numPr>
        <w:tabs>
          <w:tab w:val="left" w:pos="284"/>
          <w:tab w:val="left" w:pos="851"/>
        </w:tabs>
        <w:spacing w:before="120" w:after="120"/>
        <w:ind w:left="1134"/>
        <w:jc w:val="both"/>
        <w:rPr>
          <w:rFonts w:ascii="Times New Roman" w:hAnsi="Times New Roman"/>
          <w:sz w:val="24"/>
          <w:szCs w:val="24"/>
        </w:rPr>
      </w:pPr>
      <w:r w:rsidRPr="00342D7E">
        <w:rPr>
          <w:rFonts w:ascii="Times New Roman" w:hAnsi="Times New Roman"/>
          <w:sz w:val="24"/>
          <w:szCs w:val="24"/>
        </w:rPr>
        <w:t xml:space="preserve"> „inne kredyty terminowe” obejmują salda ujemne</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ust</w:t>
      </w:r>
      <w:r w:rsidRPr="00342D7E">
        <w:rPr>
          <w:rFonts w:ascii="Times New Roman" w:hAnsi="Times New Roman"/>
          <w:sz w:val="24"/>
          <w:szCs w:val="24"/>
        </w:rPr>
        <w:t>alonych umownie okresach zapadalności lub terminach nieuwzględnione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 xml:space="preserve">ych pozycjach; </w:t>
      </w:r>
    </w:p>
    <w:p w:rsidR="00D35B0C" w:rsidRPr="00342D7E" w:rsidRDefault="00A834F1" w:rsidP="00056B6F">
      <w:pPr>
        <w:numPr>
          <w:ilvl w:val="0"/>
          <w:numId w:val="38"/>
        </w:numPr>
        <w:tabs>
          <w:tab w:val="left" w:pos="284"/>
          <w:tab w:val="left" w:pos="851"/>
        </w:tabs>
        <w:spacing w:before="120" w:after="120"/>
        <w:ind w:left="1134"/>
        <w:jc w:val="both"/>
        <w:rPr>
          <w:rFonts w:ascii="Times New Roman" w:hAnsi="Times New Roman"/>
          <w:sz w:val="24"/>
          <w:szCs w:val="24"/>
        </w:rPr>
      </w:pPr>
      <w:r w:rsidRPr="00342D7E">
        <w:rPr>
          <w:rFonts w:ascii="Times New Roman" w:hAnsi="Times New Roman"/>
          <w:sz w:val="24"/>
          <w:szCs w:val="24"/>
        </w:rPr>
        <w:t>„zaliczki niebędące kredytami” obejmują zaliczki, które nie mogą zostać sklasyfikowane jako „kredyty”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tab</w:t>
      </w:r>
      <w:r w:rsidRPr="00342D7E">
        <w:rPr>
          <w:rFonts w:ascii="Times New Roman" w:hAnsi="Times New Roman"/>
          <w:sz w:val="24"/>
          <w:szCs w:val="24"/>
        </w:rPr>
        <w:t>elą załącznika II część 2 do rozporządzenia EBC</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awie pozycji bilansowych. Pozycja ta obejmuje m.in. należne kwoty brutto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pozycji przejściowych (takich jak środki przeznaczone na inwestycje, przelewy lub rozliczenia) oraz pozycji tranzytowych (takich jak czeki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e formy płatności przesłane do zrealizowania).</w:t>
      </w:r>
    </w:p>
    <w:p w:rsidR="00D35B0C" w:rsidRPr="00342D7E" w:rsidRDefault="00A834F1">
      <w:pPr>
        <w:pStyle w:val="Baseparagraphnumbered"/>
      </w:pPr>
      <w:r w:rsidRPr="00342D7E">
        <w:t>Kredyty</w:t>
      </w:r>
      <w:r w:rsidR="00342D7E" w:rsidRPr="00342D7E">
        <w:t xml:space="preserve"> i</w:t>
      </w:r>
      <w:r w:rsidR="00342D7E">
        <w:t> </w:t>
      </w:r>
      <w:r w:rsidR="00342D7E" w:rsidRPr="00342D7E">
        <w:t>zal</w:t>
      </w:r>
      <w:r w:rsidRPr="00342D7E">
        <w:t>iczki klasyfikuje się</w:t>
      </w:r>
      <w:r w:rsidR="00342D7E" w:rsidRPr="00342D7E">
        <w:t xml:space="preserve"> w</w:t>
      </w:r>
      <w:r w:rsidR="00342D7E">
        <w:t> </w:t>
      </w:r>
      <w:r w:rsidR="00342D7E" w:rsidRPr="00342D7E">
        <w:t>opa</w:t>
      </w:r>
      <w:r w:rsidRPr="00342D7E">
        <w:t>rciu</w:t>
      </w:r>
      <w:r w:rsidR="00342D7E" w:rsidRPr="00342D7E">
        <w:t xml:space="preserve"> o</w:t>
      </w:r>
      <w:r w:rsidR="00342D7E">
        <w:t> </w:t>
      </w:r>
      <w:r w:rsidR="00342D7E" w:rsidRPr="00342D7E">
        <w:t>otr</w:t>
      </w:r>
      <w:r w:rsidRPr="00342D7E">
        <w:t>zymane zabezpieczenie zgodnie</w:t>
      </w:r>
      <w:r w:rsidR="00342D7E" w:rsidRPr="00342D7E">
        <w:t xml:space="preserve"> z</w:t>
      </w:r>
      <w:r w:rsidR="00342D7E">
        <w:t> </w:t>
      </w:r>
      <w:r w:rsidR="00342D7E" w:rsidRPr="00342D7E">
        <w:t>pon</w:t>
      </w:r>
      <w:r w:rsidRPr="00342D7E">
        <w:t>iższym:</w:t>
      </w:r>
    </w:p>
    <w:p w:rsidR="00D35B0C" w:rsidRPr="00342D7E" w:rsidRDefault="00A834F1" w:rsidP="00056B6F">
      <w:pPr>
        <w:numPr>
          <w:ilvl w:val="0"/>
          <w:numId w:val="39"/>
        </w:numPr>
        <w:spacing w:before="120" w:after="120"/>
        <w:ind w:left="1134"/>
        <w:jc w:val="both"/>
        <w:rPr>
          <w:rFonts w:ascii="Times New Roman" w:hAnsi="Times New Roman"/>
          <w:sz w:val="24"/>
          <w:szCs w:val="24"/>
        </w:rPr>
      </w:pPr>
      <w:r w:rsidRPr="00342D7E">
        <w:rPr>
          <w:rFonts w:ascii="Times New Roman" w:hAnsi="Times New Roman"/>
          <w:sz w:val="24"/>
          <w:szCs w:val="24"/>
        </w:rPr>
        <w:t>„kredyty zabezpieczone nieruchomościami” obejmują kredyty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iczki formalnie zabezpieczone nieruchomościami mieszkalnymi lub komercyjnymi niezależnie od wartości współczynnika kredytu do jego zabezpieczenia (powszechnie zwanego „wskaźnikiem LTV” – ang. loan-to-value)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for</w:t>
      </w:r>
      <w:r w:rsidRPr="00342D7E">
        <w:rPr>
          <w:rFonts w:ascii="Times New Roman" w:hAnsi="Times New Roman"/>
          <w:sz w:val="24"/>
          <w:szCs w:val="24"/>
        </w:rPr>
        <w:t>my prawnej zabezpieczenia;</w:t>
      </w:r>
    </w:p>
    <w:p w:rsidR="00D35B0C" w:rsidRPr="00342D7E" w:rsidRDefault="00A834F1" w:rsidP="00056B6F">
      <w:pPr>
        <w:numPr>
          <w:ilvl w:val="0"/>
          <w:numId w:val="39"/>
        </w:numPr>
        <w:spacing w:before="120" w:after="120"/>
        <w:ind w:left="1134"/>
        <w:jc w:val="both"/>
        <w:rPr>
          <w:rFonts w:ascii="Times New Roman" w:hAnsi="Times New Roman"/>
          <w:sz w:val="24"/>
          <w:szCs w:val="24"/>
        </w:rPr>
      </w:pPr>
      <w:r w:rsidRPr="00342D7E">
        <w:rPr>
          <w:rFonts w:ascii="Times New Roman" w:hAnsi="Times New Roman"/>
          <w:sz w:val="24"/>
          <w:szCs w:val="24"/>
        </w:rPr>
        <w:t>„inne kredyty zabezpieczone” obejmują kredyty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iczki formalnie zabezpieczone zabezpieczeniem, niezależnie od wartości współczynnika kredytu do jego zabezpieczenia (powszechnie zwanego „wskaźnikiem LTV”)</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for</w:t>
      </w:r>
      <w:r w:rsidRPr="00342D7E">
        <w:rPr>
          <w:rFonts w:ascii="Times New Roman" w:hAnsi="Times New Roman"/>
          <w:sz w:val="24"/>
          <w:szCs w:val="24"/>
        </w:rPr>
        <w:t>my prawnej zabezpieczenia, inne niż „Kredyty zabezpieczone nieruchomościami”. Wspomniane zabezpieczenie obejmuje zastawy papierów wartościowych, środki pieniężne oraz inne zabezpieczenia niezależnie od formy prawnej zabezpieczenia.</w:t>
      </w:r>
    </w:p>
    <w:p w:rsidR="00D35B0C" w:rsidRPr="00342D7E" w:rsidRDefault="00A834F1">
      <w:pPr>
        <w:pStyle w:val="Baseparagraphnumbered"/>
      </w:pPr>
      <w:r w:rsidRPr="00342D7E">
        <w:t>Kredyty</w:t>
      </w:r>
      <w:r w:rsidR="00342D7E" w:rsidRPr="00342D7E">
        <w:t xml:space="preserve"> i</w:t>
      </w:r>
      <w:r w:rsidR="00342D7E">
        <w:t> </w:t>
      </w:r>
      <w:r w:rsidR="00342D7E" w:rsidRPr="00342D7E">
        <w:t>zal</w:t>
      </w:r>
      <w:r w:rsidRPr="00342D7E">
        <w:t>iczki klasyfikuje się</w:t>
      </w:r>
      <w:r w:rsidR="00342D7E" w:rsidRPr="00342D7E">
        <w:t xml:space="preserve"> w</w:t>
      </w:r>
      <w:r w:rsidR="00342D7E">
        <w:t> </w:t>
      </w:r>
      <w:r w:rsidR="00342D7E" w:rsidRPr="00342D7E">
        <w:t>opa</w:t>
      </w:r>
      <w:r w:rsidRPr="00342D7E">
        <w:t>rciu</w:t>
      </w:r>
      <w:r w:rsidR="00342D7E" w:rsidRPr="00342D7E">
        <w:t xml:space="preserve"> o</w:t>
      </w:r>
      <w:r w:rsidR="00342D7E">
        <w:t> </w:t>
      </w:r>
      <w:r w:rsidR="00342D7E" w:rsidRPr="00342D7E">
        <w:t>zab</w:t>
      </w:r>
      <w:r w:rsidRPr="00342D7E">
        <w:t>ezpieczenie niezależnie od przeznaczenia kredytu. Kredyty</w:t>
      </w:r>
      <w:r w:rsidR="00342D7E" w:rsidRPr="00342D7E">
        <w:t xml:space="preserve"> i</w:t>
      </w:r>
      <w:r w:rsidR="00342D7E">
        <w:t> </w:t>
      </w:r>
      <w:r w:rsidR="00342D7E" w:rsidRPr="00342D7E">
        <w:t>zal</w:t>
      </w:r>
      <w:r w:rsidRPr="00342D7E">
        <w:t>iczki zabezpieczone więcej niż jednym rodzajem zabezpieczenia klasyfikuje się jako zabezpieczone nieruchomościami,</w:t>
      </w:r>
      <w:r w:rsidR="00342D7E" w:rsidRPr="00342D7E">
        <w:t xml:space="preserve"> a</w:t>
      </w:r>
      <w:r w:rsidR="00342D7E">
        <w:t> </w:t>
      </w:r>
      <w:r w:rsidR="00342D7E" w:rsidRPr="00342D7E">
        <w:t>ich</w:t>
      </w:r>
      <w:r w:rsidRPr="00342D7E">
        <w:t xml:space="preserve"> wartość bilansową zgłasza</w:t>
      </w:r>
      <w:r w:rsidR="00342D7E" w:rsidRPr="00342D7E">
        <w:t xml:space="preserve"> w</w:t>
      </w:r>
      <w:r w:rsidR="00342D7E">
        <w:t> </w:t>
      </w:r>
      <w:r w:rsidR="00342D7E" w:rsidRPr="00342D7E">
        <w:t>poz</w:t>
      </w:r>
      <w:r w:rsidRPr="00342D7E">
        <w:t>ycji „Kredyty</w:t>
      </w:r>
      <w:r w:rsidR="00342D7E" w:rsidRPr="00342D7E">
        <w:t xml:space="preserve"> i</w:t>
      </w:r>
      <w:r w:rsidR="00342D7E">
        <w:t> </w:t>
      </w:r>
      <w:r w:rsidR="00342D7E" w:rsidRPr="00342D7E">
        <w:t>zal</w:t>
      </w:r>
      <w:r w:rsidRPr="00342D7E">
        <w:t>iczki zabezpieczone nieruchomościami”,</w:t>
      </w:r>
      <w:r w:rsidR="00342D7E" w:rsidRPr="00342D7E">
        <w:t xml:space="preserve"> w</w:t>
      </w:r>
      <w:r w:rsidR="00342D7E">
        <w:t> </w:t>
      </w:r>
      <w:r w:rsidR="00342D7E" w:rsidRPr="00342D7E">
        <w:t>prz</w:t>
      </w:r>
      <w:r w:rsidRPr="00342D7E">
        <w:t>ypadku gdy te kredyty</w:t>
      </w:r>
      <w:r w:rsidR="00342D7E" w:rsidRPr="00342D7E">
        <w:t xml:space="preserve"> i</w:t>
      </w:r>
      <w:r w:rsidR="00342D7E">
        <w:t> </w:t>
      </w:r>
      <w:r w:rsidR="00342D7E" w:rsidRPr="00342D7E">
        <w:t>zal</w:t>
      </w:r>
      <w:r w:rsidRPr="00342D7E">
        <w:t xml:space="preserve">iczki zabezpieczono nieruchomością, niezależnie od tego, czy zabezpieczono je również innym rodzajem zabezpieczenia. </w:t>
      </w:r>
    </w:p>
    <w:p w:rsidR="00D35B0C" w:rsidRPr="00342D7E" w:rsidRDefault="00A834F1">
      <w:pPr>
        <w:pStyle w:val="Baseparagraphnumbered"/>
      </w:pPr>
      <w:r w:rsidRPr="00342D7E">
        <w:t>Kredyty</w:t>
      </w:r>
      <w:r w:rsidR="00342D7E" w:rsidRPr="00342D7E">
        <w:t xml:space="preserve"> i</w:t>
      </w:r>
      <w:r w:rsidR="00342D7E">
        <w:t> </w:t>
      </w:r>
      <w:r w:rsidR="00342D7E" w:rsidRPr="00342D7E">
        <w:t>zal</w:t>
      </w:r>
      <w:r w:rsidRPr="00342D7E">
        <w:t>iczki klasyfikuje się</w:t>
      </w:r>
      <w:r w:rsidR="00342D7E" w:rsidRPr="00342D7E">
        <w:t xml:space="preserve"> w</w:t>
      </w:r>
      <w:r w:rsidR="00342D7E">
        <w:t> </w:t>
      </w:r>
      <w:r w:rsidR="00342D7E" w:rsidRPr="00342D7E">
        <w:t>opa</w:t>
      </w:r>
      <w:r w:rsidRPr="00342D7E">
        <w:t>rciu</w:t>
      </w:r>
      <w:r w:rsidR="00342D7E" w:rsidRPr="00342D7E">
        <w:t xml:space="preserve"> o</w:t>
      </w:r>
      <w:r w:rsidR="00342D7E">
        <w:t> </w:t>
      </w:r>
      <w:r w:rsidR="00342D7E" w:rsidRPr="00342D7E">
        <w:t>ich</w:t>
      </w:r>
      <w:r w:rsidRPr="00342D7E">
        <w:t xml:space="preserve"> przeznaczenie jako:</w:t>
      </w:r>
    </w:p>
    <w:p w:rsidR="00D35B0C" w:rsidRPr="00342D7E" w:rsidRDefault="00A834F1" w:rsidP="00056B6F">
      <w:pPr>
        <w:numPr>
          <w:ilvl w:val="0"/>
          <w:numId w:val="40"/>
        </w:numPr>
        <w:spacing w:before="120" w:after="120"/>
        <w:ind w:left="1134"/>
        <w:jc w:val="both"/>
        <w:rPr>
          <w:rFonts w:ascii="Times New Roman" w:hAnsi="Times New Roman"/>
          <w:sz w:val="24"/>
          <w:szCs w:val="24"/>
        </w:rPr>
      </w:pPr>
      <w:r w:rsidRPr="00342D7E">
        <w:rPr>
          <w:rFonts w:ascii="Times New Roman" w:hAnsi="Times New Roman"/>
          <w:sz w:val="24"/>
          <w:szCs w:val="24"/>
        </w:rPr>
        <w:t>„kredyt konsumpcyjny” obejmujący kredyty udzielane głównie na potrzeby konsumpcji końcowej towarów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ug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tab</w:t>
      </w:r>
      <w:r w:rsidRPr="00342D7E">
        <w:rPr>
          <w:rFonts w:ascii="Times New Roman" w:hAnsi="Times New Roman"/>
          <w:sz w:val="24"/>
          <w:szCs w:val="24"/>
        </w:rPr>
        <w:t>elą załącznika II część 2 do rozporządzenia EBC</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awie pozycji bilansowych;</w:t>
      </w:r>
    </w:p>
    <w:p w:rsidR="00D35B0C" w:rsidRPr="00342D7E" w:rsidRDefault="00A834F1" w:rsidP="00056B6F">
      <w:pPr>
        <w:numPr>
          <w:ilvl w:val="0"/>
          <w:numId w:val="40"/>
        </w:numPr>
        <w:spacing w:before="120" w:after="120"/>
        <w:ind w:left="1134"/>
        <w:jc w:val="both"/>
        <w:rPr>
          <w:rFonts w:ascii="Times New Roman" w:hAnsi="Times New Roman"/>
          <w:sz w:val="24"/>
          <w:szCs w:val="24"/>
        </w:rPr>
      </w:pPr>
      <w:r w:rsidRPr="00342D7E">
        <w:rPr>
          <w:rFonts w:ascii="Times New Roman" w:hAnsi="Times New Roman"/>
          <w:sz w:val="24"/>
          <w:szCs w:val="24"/>
        </w:rPr>
        <w:t>„kredyty na zakup nieruchomości mieszkalnej” obejmujące kredyty udzielane gospodarstwom domowym na inwestycję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nie</w:t>
      </w:r>
      <w:r w:rsidRPr="00342D7E">
        <w:rPr>
          <w:rFonts w:ascii="Times New Roman" w:hAnsi="Times New Roman"/>
          <w:sz w:val="24"/>
          <w:szCs w:val="24"/>
        </w:rPr>
        <w:t>ruchomości mieszkalne na własny użytek lub na wynajem,</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tym</w:t>
      </w:r>
      <w:r w:rsidRPr="00342D7E">
        <w:rPr>
          <w:rFonts w:ascii="Times New Roman" w:hAnsi="Times New Roman"/>
          <w:sz w:val="24"/>
          <w:szCs w:val="24"/>
        </w:rPr>
        <w:t xml:space="preserve"> na budowę</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rem</w:t>
      </w:r>
      <w:r w:rsidRPr="00342D7E">
        <w:rPr>
          <w:rFonts w:ascii="Times New Roman" w:hAnsi="Times New Roman"/>
          <w:sz w:val="24"/>
          <w:szCs w:val="24"/>
        </w:rPr>
        <w:t>onty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tab</w:t>
      </w:r>
      <w:r w:rsidRPr="00342D7E">
        <w:rPr>
          <w:rFonts w:ascii="Times New Roman" w:hAnsi="Times New Roman"/>
          <w:sz w:val="24"/>
          <w:szCs w:val="24"/>
        </w:rPr>
        <w:t>elą załącznika II część 2 do rozporządzenia EBC</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awie pozycji bilansowych.</w:t>
      </w:r>
    </w:p>
    <w:p w:rsidR="00D35B0C" w:rsidRPr="00342D7E" w:rsidRDefault="00A834F1">
      <w:pPr>
        <w:pStyle w:val="Baseparagraphnumbered"/>
      </w:pPr>
      <w:r w:rsidRPr="00342D7E">
        <w:t>Kredyty klasyfikuje się</w:t>
      </w:r>
      <w:r w:rsidR="00342D7E" w:rsidRPr="00342D7E">
        <w:t xml:space="preserve"> w</w:t>
      </w:r>
      <w:r w:rsidR="00342D7E">
        <w:t> </w:t>
      </w:r>
      <w:r w:rsidR="00342D7E" w:rsidRPr="00342D7E">
        <w:t>opa</w:t>
      </w:r>
      <w:r w:rsidRPr="00342D7E">
        <w:t>rciu</w:t>
      </w:r>
      <w:r w:rsidR="00342D7E" w:rsidRPr="00342D7E">
        <w:t xml:space="preserve"> o</w:t>
      </w:r>
      <w:r w:rsidR="00342D7E">
        <w:t> </w:t>
      </w:r>
      <w:r w:rsidR="00342D7E" w:rsidRPr="00342D7E">
        <w:t>moż</w:t>
      </w:r>
      <w:r w:rsidRPr="00342D7E">
        <w:t xml:space="preserve">liwy sposób ich odzyskania. „Kredyty na finansowanie projektów inwestycyjnych” obejmują kredyty, które mają </w:t>
      </w:r>
      <w:r w:rsidRPr="00342D7E">
        <w:lastRenderedPageBreak/>
        <w:t>cechy ekspozycji związanych</w:t>
      </w:r>
      <w:r w:rsidR="00342D7E" w:rsidRPr="00342D7E">
        <w:t xml:space="preserve"> z</w:t>
      </w:r>
      <w:r w:rsidR="00342D7E">
        <w:t> </w:t>
      </w:r>
      <w:r w:rsidR="00342D7E" w:rsidRPr="00342D7E">
        <w:t>kre</w:t>
      </w:r>
      <w:r w:rsidRPr="00342D7E">
        <w:t>dytowaniem specjalistycznym,</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art</w:t>
      </w:r>
      <w:r w:rsidRPr="00342D7E">
        <w:t>.</w:t>
      </w:r>
      <w:r w:rsidR="00342D7E" w:rsidRPr="00342D7E">
        <w:t> </w:t>
      </w:r>
      <w:r w:rsidRPr="00342D7E">
        <w:t>147 ust.</w:t>
      </w:r>
      <w:r w:rsidR="00342D7E" w:rsidRPr="00342D7E">
        <w:t> </w:t>
      </w:r>
      <w:r w:rsidRPr="00342D7E">
        <w:t>8 CRR.</w:t>
      </w:r>
    </w:p>
    <w:p w:rsidR="00D35B0C" w:rsidRPr="00342D7E" w:rsidRDefault="00A834F1" w:rsidP="00056B6F">
      <w:pPr>
        <w:pStyle w:val="subtitlenumbered"/>
        <w:keepNext/>
        <w:numPr>
          <w:ilvl w:val="0"/>
          <w:numId w:val="11"/>
        </w:numPr>
        <w:ind w:left="357" w:hanging="357"/>
        <w:jc w:val="both"/>
        <w:rPr>
          <w:kern w:val="32"/>
        </w:rPr>
      </w:pPr>
      <w:bookmarkStart w:id="21" w:name="_Toc31019123"/>
      <w:r w:rsidRPr="00342D7E">
        <w:t>Podział kredytów</w:t>
      </w:r>
      <w:r w:rsidR="00342D7E" w:rsidRPr="00342D7E">
        <w:t xml:space="preserve"> i</w:t>
      </w:r>
      <w:r w:rsidR="00342D7E">
        <w:t> </w:t>
      </w:r>
      <w:r w:rsidR="00342D7E" w:rsidRPr="00342D7E">
        <w:t>zal</w:t>
      </w:r>
      <w:r w:rsidRPr="00342D7E">
        <w:t>iczek nieprzeznaczonych do obrotu na rzecz przedsiębiorstw niefinansowych według kodów NACE (6)</w:t>
      </w:r>
      <w:bookmarkEnd w:id="21"/>
    </w:p>
    <w:p w:rsidR="00D35B0C" w:rsidRPr="00342D7E" w:rsidRDefault="00A834F1">
      <w:pPr>
        <w:pStyle w:val="Baseparagraphnumbered"/>
      </w:pPr>
      <w:r w:rsidRPr="00342D7E">
        <w:t>Wartość bilansową brutto kredytów</w:t>
      </w:r>
      <w:r w:rsidR="00342D7E" w:rsidRPr="00342D7E">
        <w:t xml:space="preserve"> i</w:t>
      </w:r>
      <w:r w:rsidR="00342D7E">
        <w:t> </w:t>
      </w:r>
      <w:r w:rsidR="00342D7E" w:rsidRPr="00342D7E">
        <w:t>zal</w:t>
      </w:r>
      <w:r w:rsidRPr="00342D7E">
        <w:t>iczek udzielonych na rzecz przedsiębiorstw niefinansowych innych niż kredyty</w:t>
      </w:r>
      <w:r w:rsidR="00342D7E" w:rsidRPr="00342D7E">
        <w:t xml:space="preserve"> i</w:t>
      </w:r>
      <w:r w:rsidR="00342D7E">
        <w:t> </w:t>
      </w:r>
      <w:r w:rsidR="00342D7E" w:rsidRPr="00342D7E">
        <w:t>zal</w:t>
      </w:r>
      <w:r w:rsidRPr="00342D7E">
        <w:t>iczki uwzględnione</w:t>
      </w:r>
      <w:r w:rsidR="00342D7E" w:rsidRPr="00342D7E">
        <w:t xml:space="preserve"> w</w:t>
      </w:r>
      <w:r w:rsidR="00342D7E">
        <w:t> </w:t>
      </w:r>
      <w:r w:rsidR="00342D7E" w:rsidRPr="00342D7E">
        <w:t>por</w:t>
      </w:r>
      <w:r w:rsidRPr="00342D7E">
        <w:t>tfelach aktywów przeznaczonych do obrotu lub aktywów</w:t>
      </w:r>
      <w:r w:rsidR="00342D7E" w:rsidRPr="00342D7E">
        <w:t xml:space="preserve"> z</w:t>
      </w:r>
      <w:r w:rsidR="00342D7E">
        <w:t> </w:t>
      </w:r>
      <w:r w:rsidR="00342D7E" w:rsidRPr="00342D7E">
        <w:t>prz</w:t>
      </w:r>
      <w:r w:rsidRPr="00342D7E">
        <w:t>eznaczeniem do obrotu klasyfikuje się według sektora działalności gospodarczej</w:t>
      </w:r>
      <w:r w:rsidR="00342D7E" w:rsidRPr="00342D7E">
        <w:t xml:space="preserve"> z</w:t>
      </w:r>
      <w:r w:rsidR="00342D7E">
        <w:t> </w:t>
      </w:r>
      <w:r w:rsidR="00342D7E" w:rsidRPr="00342D7E">
        <w:t>zas</w:t>
      </w:r>
      <w:r w:rsidRPr="00342D7E">
        <w:t>tosowaniem kodów NACE</w:t>
      </w:r>
      <w:r w:rsidR="00342D7E" w:rsidRPr="00342D7E">
        <w:t xml:space="preserve"> w</w:t>
      </w:r>
      <w:r w:rsidR="00342D7E">
        <w:t> </w:t>
      </w:r>
      <w:r w:rsidR="00342D7E" w:rsidRPr="00342D7E">
        <w:t>opa</w:t>
      </w:r>
      <w:r w:rsidRPr="00342D7E">
        <w:t>rciu</w:t>
      </w:r>
      <w:r w:rsidR="00342D7E" w:rsidRPr="00342D7E">
        <w:t xml:space="preserve"> o</w:t>
      </w:r>
      <w:r w:rsidR="00342D7E">
        <w:t> </w:t>
      </w:r>
      <w:r w:rsidR="00342D7E" w:rsidRPr="00342D7E">
        <w:t>głó</w:t>
      </w:r>
      <w:r w:rsidRPr="00342D7E">
        <w:t xml:space="preserve">wną działalność kontrahenta. </w:t>
      </w:r>
    </w:p>
    <w:p w:rsidR="00D35B0C" w:rsidRPr="00342D7E" w:rsidRDefault="00A834F1">
      <w:pPr>
        <w:pStyle w:val="Baseparagraphnumbered"/>
      </w:pPr>
      <w:r w:rsidRPr="00342D7E">
        <w:t>Ekspozycje utworzone wspólnie przez więcej niż jednego dłużnika klasyfikuje się zgodnie</w:t>
      </w:r>
      <w:r w:rsidR="00342D7E" w:rsidRPr="00342D7E">
        <w:t xml:space="preserve"> z</w:t>
      </w:r>
      <w:r w:rsidR="00342D7E">
        <w:t> </w:t>
      </w:r>
      <w:r w:rsidR="00342D7E" w:rsidRPr="00342D7E">
        <w:t>czę</w:t>
      </w:r>
      <w:r w:rsidRPr="00342D7E">
        <w:t xml:space="preserve">ścią 1 pkt 43 niniejszego załącznika. </w:t>
      </w:r>
    </w:p>
    <w:p w:rsidR="00D35B0C" w:rsidRPr="00342D7E" w:rsidRDefault="00A834F1">
      <w:pPr>
        <w:pStyle w:val="Baseparagraphnumbered"/>
      </w:pPr>
      <w:r w:rsidRPr="00342D7E">
        <w:t>Kody NACE zgłasza się na pierwszym poziomie dezagregacji (według „sekcji”). Instytucje zgłaszają kredyty</w:t>
      </w:r>
      <w:r w:rsidR="00342D7E" w:rsidRPr="00342D7E">
        <w:t xml:space="preserve"> i</w:t>
      </w:r>
      <w:r w:rsidR="00342D7E">
        <w:t> </w:t>
      </w:r>
      <w:r w:rsidR="00342D7E" w:rsidRPr="00342D7E">
        <w:t>zal</w:t>
      </w:r>
      <w:r w:rsidRPr="00342D7E">
        <w:t>iczki udzielone przedsiębiorstwom niefinansowym, które prowadzą działalność finansową lub ubezpieczeniową</w:t>
      </w:r>
      <w:r w:rsidR="00342D7E" w:rsidRPr="00342D7E">
        <w:t xml:space="preserve"> w</w:t>
      </w:r>
      <w:r w:rsidR="00342D7E">
        <w:t> </w:t>
      </w:r>
      <w:r w:rsidR="00342D7E" w:rsidRPr="00342D7E">
        <w:t>poz</w:t>
      </w:r>
      <w:r w:rsidRPr="00342D7E">
        <w:t>ycji „K – Działalność finansowa</w:t>
      </w:r>
      <w:r w:rsidR="00342D7E" w:rsidRPr="00342D7E">
        <w:t xml:space="preserve"> i</w:t>
      </w:r>
      <w:r w:rsidR="00342D7E">
        <w:t> </w:t>
      </w:r>
      <w:r w:rsidR="00342D7E" w:rsidRPr="00342D7E">
        <w:t>ube</w:t>
      </w:r>
      <w:r w:rsidRPr="00342D7E">
        <w:t>zpieczeniowa”.</w:t>
      </w:r>
    </w:p>
    <w:p w:rsidR="00D35B0C" w:rsidRPr="00342D7E" w:rsidRDefault="00A834F1">
      <w:pPr>
        <w:pStyle w:val="Baseparagraphnumbered"/>
      </w:pPr>
      <w:r w:rsidRPr="00342D7E">
        <w:t>Zgodnie z MSSF aktywa finansowe podlegające utracie wartości obejmują (i) aktywa finansowe wyceniane według kosztu zamortyzowanego oraz (ii) aktywa finansowe wyceniane według wartości godziwej przez inne całkowite dochody. Zgodnie</w:t>
      </w:r>
      <w:r w:rsidR="00342D7E" w:rsidRPr="00342D7E">
        <w:t xml:space="preserve"> z</w:t>
      </w:r>
      <w:r w:rsidR="00342D7E">
        <w:t> </w:t>
      </w:r>
      <w:r w:rsidR="00342D7E" w:rsidRPr="00342D7E">
        <w:t>kra</w:t>
      </w:r>
      <w:r w:rsidRPr="00342D7E">
        <w:t>jowymi ogólnie przyjętymi zasadami rachunkowości opartymi na BAD aktywa finansowe podlegające utracie wartości obejmują aktywa finansowe wyceniane według metody ceny nabycia,</w:t>
      </w:r>
      <w:r w:rsidR="00342D7E" w:rsidRPr="00342D7E">
        <w:t xml:space="preserve"> w</w:t>
      </w:r>
      <w:r w:rsidR="00342D7E">
        <w:t> </w:t>
      </w:r>
      <w:r w:rsidR="00342D7E" w:rsidRPr="00342D7E">
        <w:t>tym</w:t>
      </w:r>
      <w:r w:rsidRPr="00342D7E">
        <w:t xml:space="preserve"> według metody LOCOM</w:t>
      </w:r>
      <w:r w:rsidR="00342D7E" w:rsidRPr="00342D7E">
        <w:t>. W</w:t>
      </w:r>
      <w:r w:rsidR="00342D7E">
        <w:t> </w:t>
      </w:r>
      <w:r w:rsidR="00342D7E" w:rsidRPr="00342D7E">
        <w:t>zal</w:t>
      </w:r>
      <w:r w:rsidRPr="00342D7E">
        <w:t>eżności od specyfikacji zawartych</w:t>
      </w:r>
      <w:r w:rsidR="00342D7E" w:rsidRPr="00342D7E">
        <w:t xml:space="preserve"> w</w:t>
      </w:r>
      <w:r w:rsidR="00342D7E">
        <w:t> </w:t>
      </w:r>
      <w:r w:rsidR="00342D7E" w:rsidRPr="00342D7E">
        <w:t>kra</w:t>
      </w:r>
      <w:r w:rsidRPr="00342D7E">
        <w:t>jowych ogólnie przyjętych zasad rachunkowości mogą one obejmować (i) aktywa finansowe wyceniane według wartości godziwej przez kapitały oraz (ii) aktywa finansowe wyceniane według innych metod wyceny.</w:t>
      </w:r>
    </w:p>
    <w:p w:rsidR="00D35B0C" w:rsidRPr="00342D7E" w:rsidRDefault="00A834F1" w:rsidP="00056B6F">
      <w:pPr>
        <w:pStyle w:val="subtitlenumbered"/>
        <w:keepNext/>
        <w:numPr>
          <w:ilvl w:val="0"/>
          <w:numId w:val="11"/>
        </w:numPr>
        <w:ind w:left="357" w:hanging="357"/>
        <w:jc w:val="both"/>
        <w:rPr>
          <w:kern w:val="32"/>
        </w:rPr>
      </w:pPr>
      <w:bookmarkStart w:id="22" w:name="_Toc31019124"/>
      <w:r w:rsidRPr="00342D7E">
        <w:t>Aktywa finansowe podlegające utracie wartości, które są przeterminowane (7)</w:t>
      </w:r>
      <w:bookmarkEnd w:id="22"/>
    </w:p>
    <w:p w:rsidR="00D35B0C" w:rsidRPr="00342D7E" w:rsidRDefault="00A834F1">
      <w:pPr>
        <w:pStyle w:val="Baseparagraphnumbered"/>
      </w:pPr>
      <w:r w:rsidRPr="00342D7E">
        <w:t>Wartość bilansową instrumentów dłużnych, które są uwzględnione</w:t>
      </w:r>
      <w:r w:rsidR="00342D7E" w:rsidRPr="00342D7E">
        <w:t xml:space="preserve"> w</w:t>
      </w:r>
      <w:r w:rsidR="00342D7E">
        <w:t> </w:t>
      </w:r>
      <w:r w:rsidR="00342D7E" w:rsidRPr="00342D7E">
        <w:t>por</w:t>
      </w:r>
      <w:r w:rsidRPr="00342D7E">
        <w:t xml:space="preserve">tfelach księgowych podlegających utracie wartości, zgłasza się we wzorze 7.1 </w:t>
      </w:r>
      <w:proofErr w:type="gramStart"/>
      <w:r w:rsidRPr="00342D7E">
        <w:t>tylko</w:t>
      </w:r>
      <w:proofErr w:type="gramEnd"/>
      <w:r w:rsidRPr="00342D7E">
        <w:t xml:space="preserve"> wówczas, gdy są one przeterminowane. Instrumenty przeterminowane przypisuje się do odpowiednich klas przeterminowania</w:t>
      </w:r>
      <w:r w:rsidR="00342D7E" w:rsidRPr="00342D7E">
        <w:t xml:space="preserve"> w</w:t>
      </w:r>
      <w:r w:rsidR="00342D7E">
        <w:t> </w:t>
      </w:r>
      <w:r w:rsidR="00342D7E" w:rsidRPr="00342D7E">
        <w:t>opa</w:t>
      </w:r>
      <w:r w:rsidRPr="00342D7E">
        <w:t>rciu</w:t>
      </w:r>
      <w:r w:rsidR="00342D7E" w:rsidRPr="00342D7E">
        <w:t xml:space="preserve"> o</w:t>
      </w:r>
      <w:r w:rsidR="00342D7E">
        <w:t> </w:t>
      </w:r>
      <w:r w:rsidR="00342D7E" w:rsidRPr="00342D7E">
        <w:t>ich</w:t>
      </w:r>
      <w:r w:rsidRPr="00342D7E">
        <w:t xml:space="preserve"> indywidualną sytuację.</w:t>
      </w:r>
    </w:p>
    <w:p w:rsidR="00D35B0C" w:rsidRPr="00342D7E" w:rsidRDefault="00A834F1">
      <w:pPr>
        <w:pStyle w:val="Baseparagraphnumbered"/>
      </w:pPr>
      <w:r w:rsidRPr="00342D7E">
        <w:t>Portfele księgowe podlegające utracie wartości stanowią aktywa finansowe podlegające utracie wartości, zgodnie</w:t>
      </w:r>
      <w:r w:rsidR="00342D7E" w:rsidRPr="00342D7E">
        <w:t xml:space="preserve"> z</w:t>
      </w:r>
      <w:r w:rsidR="00342D7E">
        <w:t> </w:t>
      </w:r>
      <w:r w:rsidR="00342D7E" w:rsidRPr="00342D7E">
        <w:t>pkt </w:t>
      </w:r>
      <w:r w:rsidRPr="00342D7E">
        <w:t>93 niniejszej części.</w:t>
      </w:r>
    </w:p>
    <w:p w:rsidR="00D35B0C" w:rsidRPr="00342D7E" w:rsidRDefault="00A834F1">
      <w:pPr>
        <w:pStyle w:val="Baseparagraphnumbered"/>
      </w:pPr>
      <w:r w:rsidRPr="00342D7E">
        <w:t>Aktywa finansowe kwalifikują się jako przeterminowane, jeżeli jakakolwiek część kwoty głównej, odsetek lub opłat nie została zapłacona</w:t>
      </w:r>
      <w:r w:rsidR="00342D7E" w:rsidRPr="00342D7E">
        <w:t xml:space="preserve"> w</w:t>
      </w:r>
      <w:r w:rsidR="00342D7E">
        <w:t> </w:t>
      </w:r>
      <w:r w:rsidR="00342D7E" w:rsidRPr="00342D7E">
        <w:t>ter</w:t>
      </w:r>
      <w:r w:rsidRPr="00342D7E">
        <w:t>minie wymagalności. Ekspozycje przeterminowane zgłasza się</w:t>
      </w:r>
      <w:r w:rsidR="00342D7E" w:rsidRPr="00342D7E">
        <w:t xml:space="preserve"> w</w:t>
      </w:r>
      <w:r w:rsidR="00342D7E">
        <w:t> </w:t>
      </w:r>
      <w:r w:rsidR="00342D7E" w:rsidRPr="00342D7E">
        <w:t>ich</w:t>
      </w:r>
      <w:r w:rsidRPr="00342D7E">
        <w:t xml:space="preserve"> całej wartości bilansowej. Wartości bilansowe tych składników aktywów zgłasza się według faz utraty wartości lub statusu pod względem utraty wartości zgodnie</w:t>
      </w:r>
      <w:r w:rsidR="00342D7E" w:rsidRPr="00342D7E">
        <w:t xml:space="preserve"> z</w:t>
      </w:r>
      <w:r w:rsidR="00342D7E">
        <w:t> </w:t>
      </w:r>
      <w:r w:rsidR="00342D7E" w:rsidRPr="00342D7E">
        <w:t>obo</w:t>
      </w:r>
      <w:r w:rsidRPr="00342D7E">
        <w:t>wiązującymi standardami rachunkowości oraz</w:t>
      </w:r>
      <w:r w:rsidR="00342D7E" w:rsidRPr="00342D7E">
        <w:t xml:space="preserve"> w</w:t>
      </w:r>
      <w:r w:rsidR="00342D7E">
        <w:t> </w:t>
      </w:r>
      <w:r w:rsidR="00342D7E" w:rsidRPr="00342D7E">
        <w:t>pod</w:t>
      </w:r>
      <w:r w:rsidRPr="00342D7E">
        <w:t xml:space="preserve">ziale według liczby </w:t>
      </w:r>
      <w:r w:rsidRPr="00342D7E">
        <w:lastRenderedPageBreak/>
        <w:t>dni przeterminowania najstarszej przeterminowanej</w:t>
      </w:r>
      <w:r w:rsidR="00342D7E" w:rsidRPr="00342D7E">
        <w:t xml:space="preserve"> i</w:t>
      </w:r>
      <w:r w:rsidR="00342D7E">
        <w:t> </w:t>
      </w:r>
      <w:r w:rsidR="00342D7E" w:rsidRPr="00342D7E">
        <w:t>nie</w:t>
      </w:r>
      <w:r w:rsidRPr="00342D7E">
        <w:t xml:space="preserve">zapłaconej kwoty na sprawozdawczy dzień odniesienia. </w:t>
      </w:r>
    </w:p>
    <w:p w:rsidR="00D35B0C" w:rsidRPr="00342D7E" w:rsidRDefault="00A834F1" w:rsidP="00056B6F">
      <w:pPr>
        <w:pStyle w:val="subtitlenumbered"/>
        <w:numPr>
          <w:ilvl w:val="0"/>
          <w:numId w:val="11"/>
        </w:numPr>
        <w:jc w:val="both"/>
      </w:pPr>
      <w:bookmarkStart w:id="23" w:name="_Toc31019125"/>
      <w:r w:rsidRPr="00342D7E">
        <w:t>Podział zobowiązań finansowych (8)</w:t>
      </w:r>
      <w:bookmarkEnd w:id="23"/>
    </w:p>
    <w:p w:rsidR="00D35B0C" w:rsidRPr="00342D7E" w:rsidRDefault="00A834F1">
      <w:pPr>
        <w:pStyle w:val="Baseparagraphnumbered"/>
      </w:pPr>
      <w:r w:rsidRPr="00342D7E">
        <w:t>„Depozyty”</w:t>
      </w:r>
      <w:r w:rsidR="00342D7E" w:rsidRPr="00342D7E">
        <w:t xml:space="preserve"> i</w:t>
      </w:r>
      <w:r w:rsidR="00342D7E">
        <w:t> </w:t>
      </w:r>
      <w:r w:rsidR="00342D7E" w:rsidRPr="00342D7E">
        <w:t>pod</w:t>
      </w:r>
      <w:r w:rsidRPr="00342D7E">
        <w:t>ział według produktów definiuje się zgodnie</w:t>
      </w:r>
      <w:r w:rsidR="00342D7E" w:rsidRPr="00342D7E">
        <w:t xml:space="preserve"> z</w:t>
      </w:r>
      <w:r w:rsidR="00342D7E">
        <w:t> </w:t>
      </w:r>
      <w:r w:rsidR="00342D7E" w:rsidRPr="00342D7E">
        <w:t>tab</w:t>
      </w:r>
      <w:r w:rsidRPr="00342D7E">
        <w:t>elą załącznika II część 2 do rozporządzenia EBC</w:t>
      </w:r>
      <w:r w:rsidR="00342D7E" w:rsidRPr="00342D7E">
        <w:t xml:space="preserve"> w</w:t>
      </w:r>
      <w:r w:rsidR="00342D7E">
        <w:t> </w:t>
      </w:r>
      <w:r w:rsidR="00342D7E" w:rsidRPr="00342D7E">
        <w:t>spr</w:t>
      </w:r>
      <w:r w:rsidRPr="00342D7E">
        <w:t>awie pozycji bilansowych. Regulowane lokaty oszczędnościowe klasyfikuje się zgodnie</w:t>
      </w:r>
      <w:r w:rsidR="00342D7E" w:rsidRPr="00342D7E">
        <w:t xml:space="preserve"> z</w:t>
      </w:r>
      <w:r w:rsidR="00342D7E">
        <w:t> </w:t>
      </w:r>
      <w:r w:rsidR="00342D7E" w:rsidRPr="00342D7E">
        <w:t>roz</w:t>
      </w:r>
      <w:r w:rsidRPr="00342D7E">
        <w:t>porządzeniem EBC</w:t>
      </w:r>
      <w:r w:rsidR="00342D7E" w:rsidRPr="00342D7E">
        <w:t xml:space="preserve"> w</w:t>
      </w:r>
      <w:r w:rsidR="00342D7E">
        <w:t> </w:t>
      </w:r>
      <w:r w:rsidR="00342D7E" w:rsidRPr="00342D7E">
        <w:t>spr</w:t>
      </w:r>
      <w:r w:rsidRPr="00342D7E">
        <w:t>awie pozycji bilansowych oraz przyporządkowuje odpowiednim kontrahentom</w:t>
      </w:r>
      <w:r w:rsidR="00342D7E" w:rsidRPr="00342D7E">
        <w:t>. W</w:t>
      </w:r>
      <w:r w:rsidR="00342D7E">
        <w:t> </w:t>
      </w:r>
      <w:r w:rsidR="00342D7E" w:rsidRPr="00342D7E">
        <w:t>szc</w:t>
      </w:r>
      <w:r w:rsidRPr="00342D7E">
        <w:t>zególności nierozliczeniowe depozyty oszczędnościowe, które mimo że zgodnie</w:t>
      </w:r>
      <w:r w:rsidR="00342D7E" w:rsidRPr="00342D7E">
        <w:t xml:space="preserve"> z</w:t>
      </w:r>
      <w:r w:rsidR="00342D7E">
        <w:t> </w:t>
      </w:r>
      <w:r w:rsidR="00342D7E" w:rsidRPr="00342D7E">
        <w:t>pra</w:t>
      </w:r>
      <w:r w:rsidRPr="00342D7E">
        <w:t>wem mogą być realizowane na żądanie, to ich realizacja pociąga za sobą znaczące kary finansowe</w:t>
      </w:r>
      <w:r w:rsidR="00342D7E" w:rsidRPr="00342D7E">
        <w:t xml:space="preserve"> i</w:t>
      </w:r>
      <w:r w:rsidR="00342D7E">
        <w:t> </w:t>
      </w:r>
      <w:r w:rsidR="00342D7E" w:rsidRPr="00342D7E">
        <w:t>ogr</w:t>
      </w:r>
      <w:r w:rsidRPr="00342D7E">
        <w:t>aniczenia,</w:t>
      </w:r>
      <w:r w:rsidR="00342D7E" w:rsidRPr="00342D7E">
        <w:t xml:space="preserve"> i</w:t>
      </w:r>
      <w:r w:rsidR="00342D7E">
        <w:t> </w:t>
      </w:r>
      <w:r w:rsidR="00342D7E" w:rsidRPr="00342D7E">
        <w:t>któ</w:t>
      </w:r>
      <w:r w:rsidRPr="00342D7E">
        <w:t>rych cechy są bardzo podobne do cech charakteryzujących depozyty O/N, klasyfikuje się jako depozyty zwrotne za wypowiedzeniem.</w:t>
      </w:r>
    </w:p>
    <w:p w:rsidR="00D35B0C" w:rsidRPr="00342D7E" w:rsidRDefault="00A834F1">
      <w:pPr>
        <w:pStyle w:val="Baseparagraphnumbered"/>
      </w:pPr>
      <w:r w:rsidRPr="00342D7E">
        <w:t xml:space="preserve">„Wyemitowane dłużne papiery wartościowe” dezagreguje się na następujące rodzaje produktów: </w:t>
      </w:r>
    </w:p>
    <w:p w:rsidR="00D35B0C" w:rsidRPr="00342D7E" w:rsidRDefault="00A834F1" w:rsidP="00056B6F">
      <w:pPr>
        <w:numPr>
          <w:ilvl w:val="0"/>
          <w:numId w:val="41"/>
        </w:numPr>
        <w:spacing w:before="120" w:after="120"/>
        <w:ind w:left="1134"/>
        <w:jc w:val="both"/>
        <w:rPr>
          <w:rFonts w:ascii="Times New Roman" w:hAnsi="Times New Roman"/>
          <w:sz w:val="24"/>
          <w:szCs w:val="24"/>
        </w:rPr>
      </w:pPr>
      <w:r w:rsidRPr="00342D7E">
        <w:rPr>
          <w:rFonts w:ascii="Times New Roman" w:hAnsi="Times New Roman"/>
          <w:sz w:val="24"/>
          <w:szCs w:val="24"/>
        </w:rPr>
        <w:t>„certyfikaty depozytowe” są to papiery wartościowe dające ich posiadaczom możliwość podjęcia środków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rac</w:t>
      </w:r>
      <w:r w:rsidRPr="00342D7E">
        <w:rPr>
          <w:rFonts w:ascii="Times New Roman" w:hAnsi="Times New Roman"/>
          <w:sz w:val="24"/>
          <w:szCs w:val="24"/>
        </w:rPr>
        <w:t>hunku;</w:t>
      </w:r>
    </w:p>
    <w:p w:rsidR="00D35B0C" w:rsidRPr="00342D7E" w:rsidRDefault="00A834F1" w:rsidP="00056B6F">
      <w:pPr>
        <w:numPr>
          <w:ilvl w:val="0"/>
          <w:numId w:val="41"/>
        </w:numPr>
        <w:spacing w:before="120" w:after="120"/>
        <w:ind w:left="1134"/>
        <w:jc w:val="both"/>
        <w:rPr>
          <w:rFonts w:ascii="Times New Roman" w:hAnsi="Times New Roman"/>
          <w:sz w:val="24"/>
          <w:szCs w:val="24"/>
        </w:rPr>
      </w:pPr>
      <w:r w:rsidRPr="00342D7E">
        <w:rPr>
          <w:rFonts w:ascii="Times New Roman" w:hAnsi="Times New Roman"/>
          <w:sz w:val="24"/>
          <w:szCs w:val="24"/>
        </w:rPr>
        <w:t>„papiery wartościowe zabezpieczone aktywami” stanowią papiery wartościowe pochodzące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tra</w:t>
      </w:r>
      <w:r w:rsidRPr="00342D7E">
        <w:rPr>
          <w:rFonts w:ascii="Times New Roman" w:hAnsi="Times New Roman"/>
          <w:sz w:val="24"/>
          <w:szCs w:val="24"/>
        </w:rPr>
        <w:t>nsakcji sekurytyzacyjnych,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art</w:t>
      </w:r>
      <w:r w:rsidRPr="00342D7E">
        <w:rPr>
          <w:rFonts w:ascii="Times New Roman" w:hAnsi="Times New Roman"/>
          <w:sz w:val="24"/>
          <w:szCs w:val="24"/>
        </w:rPr>
        <w:t>.</w:t>
      </w:r>
      <w:r w:rsidR="00342D7E" w:rsidRPr="00342D7E">
        <w:rPr>
          <w:rFonts w:ascii="Times New Roman" w:hAnsi="Times New Roman"/>
          <w:sz w:val="24"/>
          <w:szCs w:val="24"/>
        </w:rPr>
        <w:t> </w:t>
      </w:r>
      <w:r w:rsidRPr="00342D7E">
        <w:rPr>
          <w:rFonts w:ascii="Times New Roman" w:hAnsi="Times New Roman"/>
          <w:sz w:val="24"/>
          <w:szCs w:val="24"/>
        </w:rPr>
        <w:t>4 ust.</w:t>
      </w:r>
      <w:r w:rsidR="00342D7E" w:rsidRPr="00342D7E">
        <w:rPr>
          <w:rFonts w:ascii="Times New Roman" w:hAnsi="Times New Roman"/>
          <w:sz w:val="24"/>
          <w:szCs w:val="24"/>
        </w:rPr>
        <w:t> </w:t>
      </w:r>
      <w:r w:rsidRPr="00342D7E">
        <w:rPr>
          <w:rFonts w:ascii="Times New Roman" w:hAnsi="Times New Roman"/>
          <w:sz w:val="24"/>
          <w:szCs w:val="24"/>
        </w:rPr>
        <w:t>1 pkt</w:t>
      </w:r>
      <w:r w:rsidR="00342D7E" w:rsidRPr="00342D7E">
        <w:rPr>
          <w:rFonts w:ascii="Times New Roman" w:hAnsi="Times New Roman"/>
          <w:sz w:val="24"/>
          <w:szCs w:val="24"/>
        </w:rPr>
        <w:t> </w:t>
      </w:r>
      <w:r w:rsidRPr="00342D7E">
        <w:rPr>
          <w:rFonts w:ascii="Times New Roman" w:hAnsi="Times New Roman"/>
          <w:sz w:val="24"/>
          <w:szCs w:val="24"/>
        </w:rPr>
        <w:t>61 CRR;</w:t>
      </w:r>
    </w:p>
    <w:p w:rsidR="00D35B0C" w:rsidRPr="00342D7E" w:rsidRDefault="00A834F1" w:rsidP="00056B6F">
      <w:pPr>
        <w:numPr>
          <w:ilvl w:val="0"/>
          <w:numId w:val="41"/>
        </w:numPr>
        <w:spacing w:before="120" w:after="120"/>
        <w:ind w:left="1134"/>
        <w:jc w:val="both"/>
        <w:rPr>
          <w:rFonts w:ascii="Times New Roman" w:hAnsi="Times New Roman"/>
          <w:sz w:val="24"/>
          <w:szCs w:val="24"/>
        </w:rPr>
      </w:pPr>
      <w:r w:rsidRPr="00342D7E">
        <w:rPr>
          <w:rFonts w:ascii="Times New Roman" w:hAnsi="Times New Roman"/>
          <w:sz w:val="24"/>
          <w:szCs w:val="24"/>
        </w:rPr>
        <w:t>„obligacje zabezpieczone”,</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rych mowa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art</w:t>
      </w:r>
      <w:r w:rsidRPr="00342D7E">
        <w:rPr>
          <w:rFonts w:ascii="Times New Roman" w:hAnsi="Times New Roman"/>
          <w:sz w:val="24"/>
          <w:szCs w:val="24"/>
        </w:rPr>
        <w:t>.</w:t>
      </w:r>
      <w:r w:rsidR="00342D7E" w:rsidRPr="00342D7E">
        <w:rPr>
          <w:rFonts w:ascii="Times New Roman" w:hAnsi="Times New Roman"/>
          <w:sz w:val="24"/>
          <w:szCs w:val="24"/>
        </w:rPr>
        <w:t> </w:t>
      </w:r>
      <w:r w:rsidRPr="00342D7E">
        <w:rPr>
          <w:rFonts w:ascii="Times New Roman" w:hAnsi="Times New Roman"/>
          <w:sz w:val="24"/>
          <w:szCs w:val="24"/>
        </w:rPr>
        <w:t>129 ust.</w:t>
      </w:r>
      <w:r w:rsidR="00342D7E" w:rsidRPr="00342D7E">
        <w:rPr>
          <w:rFonts w:ascii="Times New Roman" w:hAnsi="Times New Roman"/>
          <w:sz w:val="24"/>
          <w:szCs w:val="24"/>
        </w:rPr>
        <w:t> </w:t>
      </w:r>
      <w:r w:rsidRPr="00342D7E">
        <w:rPr>
          <w:rFonts w:ascii="Times New Roman" w:hAnsi="Times New Roman"/>
          <w:sz w:val="24"/>
          <w:szCs w:val="24"/>
        </w:rPr>
        <w:t>1 CRR;</w:t>
      </w:r>
    </w:p>
    <w:p w:rsidR="00D35B0C" w:rsidRPr="00342D7E" w:rsidRDefault="00A834F1" w:rsidP="00056B6F">
      <w:pPr>
        <w:numPr>
          <w:ilvl w:val="0"/>
          <w:numId w:val="41"/>
        </w:numPr>
        <w:spacing w:before="120" w:after="120"/>
        <w:ind w:left="1134"/>
        <w:jc w:val="both"/>
        <w:rPr>
          <w:rFonts w:ascii="Times New Roman" w:hAnsi="Times New Roman"/>
          <w:sz w:val="24"/>
          <w:szCs w:val="24"/>
        </w:rPr>
      </w:pPr>
      <w:r w:rsidRPr="00342D7E">
        <w:rPr>
          <w:rFonts w:ascii="Times New Roman" w:hAnsi="Times New Roman"/>
          <w:sz w:val="24"/>
          <w:szCs w:val="24"/>
        </w:rPr>
        <w:t>„kontrakty hybrydowe” obejmują kontrakty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wbu</w:t>
      </w:r>
      <w:r w:rsidRPr="00342D7E">
        <w:rPr>
          <w:rFonts w:ascii="Times New Roman" w:hAnsi="Times New Roman"/>
          <w:sz w:val="24"/>
          <w:szCs w:val="24"/>
        </w:rPr>
        <w:t>dowanymi instrumentami pochodnymi;</w:t>
      </w:r>
    </w:p>
    <w:p w:rsidR="00D35B0C" w:rsidRPr="00342D7E" w:rsidRDefault="00A834F1" w:rsidP="00056B6F">
      <w:pPr>
        <w:numPr>
          <w:ilvl w:val="0"/>
          <w:numId w:val="41"/>
        </w:numPr>
        <w:spacing w:before="120" w:after="120"/>
        <w:ind w:left="1134"/>
        <w:jc w:val="both"/>
        <w:rPr>
          <w:rFonts w:ascii="Times New Roman" w:hAnsi="Times New Roman"/>
          <w:sz w:val="24"/>
          <w:szCs w:val="24"/>
        </w:rPr>
      </w:pPr>
      <w:r w:rsidRPr="00342D7E">
        <w:rPr>
          <w:rFonts w:ascii="Times New Roman" w:hAnsi="Times New Roman"/>
          <w:sz w:val="24"/>
          <w:szCs w:val="24"/>
        </w:rPr>
        <w:t>„pozostałe wyemitowane dłużne papiery wartościowe” stanowią dłużne papiery wartościowe nieujęte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duktach,</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rych mowa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lit</w:t>
      </w:r>
      <w:r w:rsidRPr="00342D7E">
        <w:rPr>
          <w:rFonts w:ascii="Times New Roman" w:hAnsi="Times New Roman"/>
          <w:sz w:val="24"/>
          <w:szCs w:val="24"/>
        </w:rPr>
        <w:t>.</w:t>
      </w:r>
      <w:r w:rsidR="00342D7E" w:rsidRPr="00342D7E">
        <w:rPr>
          <w:rFonts w:ascii="Times New Roman" w:hAnsi="Times New Roman"/>
          <w:sz w:val="24"/>
          <w:szCs w:val="24"/>
        </w:rPr>
        <w:t> </w:t>
      </w:r>
      <w:r w:rsidRPr="00342D7E">
        <w:rPr>
          <w:rFonts w:ascii="Times New Roman" w:hAnsi="Times New Roman"/>
          <w:sz w:val="24"/>
          <w:szCs w:val="24"/>
        </w:rPr>
        <w:t>a</w:t>
      </w:r>
      <w:proofErr w:type="gramStart"/>
      <w:r w:rsidRPr="00342D7E">
        <w:rPr>
          <w:rFonts w:ascii="Times New Roman" w:hAnsi="Times New Roman"/>
          <w:sz w:val="24"/>
          <w:szCs w:val="24"/>
        </w:rPr>
        <w:t>)–d</w:t>
      </w:r>
      <w:proofErr w:type="gramEnd"/>
      <w:r w:rsidRPr="00342D7E">
        <w:rPr>
          <w:rFonts w:ascii="Times New Roman" w:hAnsi="Times New Roman"/>
          <w:sz w:val="24"/>
          <w:szCs w:val="24"/>
        </w:rPr>
        <w:t>),</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roz</w:t>
      </w:r>
      <w:r w:rsidRPr="00342D7E">
        <w:rPr>
          <w:rFonts w:ascii="Times New Roman" w:hAnsi="Times New Roman"/>
          <w:sz w:val="24"/>
          <w:szCs w:val="24"/>
        </w:rPr>
        <w:t>różnieniem na zamienne złożone instrumenty finansowe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ins</w:t>
      </w:r>
      <w:r w:rsidRPr="00342D7E">
        <w:rPr>
          <w:rFonts w:ascii="Times New Roman" w:hAnsi="Times New Roman"/>
          <w:sz w:val="24"/>
          <w:szCs w:val="24"/>
        </w:rPr>
        <w:t>trumenty niezamienne.</w:t>
      </w:r>
    </w:p>
    <w:p w:rsidR="00D35B0C" w:rsidRPr="00342D7E" w:rsidRDefault="00A834F1">
      <w:pPr>
        <w:pStyle w:val="Baseparagraphnumbered"/>
      </w:pPr>
      <w:r w:rsidRPr="00342D7E">
        <w:t>Wyemitowane „Podporządkowane zobowiązania finansowe” traktuje się</w:t>
      </w:r>
      <w:r w:rsidR="00342D7E" w:rsidRPr="00342D7E">
        <w:t xml:space="preserve"> w</w:t>
      </w:r>
      <w:r w:rsidR="00342D7E">
        <w:t> </w:t>
      </w:r>
      <w:r w:rsidR="00342D7E" w:rsidRPr="00342D7E">
        <w:t>tak</w:t>
      </w:r>
      <w:r w:rsidRPr="00342D7E">
        <w:t>i sam sposób jak inne zaciągnięte zobowiązania finansowe. Zobowiązania podporządkowane wyemitowane</w:t>
      </w:r>
      <w:r w:rsidR="00342D7E" w:rsidRPr="00342D7E">
        <w:t xml:space="preserve"> w</w:t>
      </w:r>
      <w:r w:rsidR="00342D7E">
        <w:t> </w:t>
      </w:r>
      <w:r w:rsidR="00342D7E" w:rsidRPr="00342D7E">
        <w:t>pos</w:t>
      </w:r>
      <w:r w:rsidRPr="00342D7E">
        <w:t>taci papierów wartościowych klasyfikuje się jako „Wyemitowane dłużne papiery wartościowe”,</w:t>
      </w:r>
      <w:r w:rsidR="00342D7E" w:rsidRPr="00342D7E">
        <w:t xml:space="preserve"> a</w:t>
      </w:r>
      <w:r w:rsidR="00342D7E">
        <w:t> </w:t>
      </w:r>
      <w:r w:rsidR="00342D7E" w:rsidRPr="00342D7E">
        <w:t>zob</w:t>
      </w:r>
      <w:r w:rsidRPr="00342D7E">
        <w:t>owiązania podporządkowane</w:t>
      </w:r>
      <w:r w:rsidR="00342D7E" w:rsidRPr="00342D7E">
        <w:t xml:space="preserve"> w</w:t>
      </w:r>
      <w:r w:rsidR="00342D7E">
        <w:t> </w:t>
      </w:r>
      <w:r w:rsidR="00342D7E" w:rsidRPr="00342D7E">
        <w:t>pos</w:t>
      </w:r>
      <w:r w:rsidRPr="00342D7E">
        <w:t>taci depozytów – jako „Depozyty”.</w:t>
      </w:r>
    </w:p>
    <w:p w:rsidR="00D35B0C" w:rsidRPr="00342D7E" w:rsidRDefault="00A834F1">
      <w:pPr>
        <w:pStyle w:val="Baseparagraphnumbered"/>
      </w:pPr>
      <w:r w:rsidRPr="00342D7E">
        <w:t xml:space="preserve">Wzór 8.2 </w:t>
      </w:r>
      <w:proofErr w:type="gramStart"/>
      <w:r w:rsidRPr="00342D7E">
        <w:t>obejmuje</w:t>
      </w:r>
      <w:proofErr w:type="gramEnd"/>
      <w:r w:rsidRPr="00342D7E">
        <w:t xml:space="preserve"> wartość bilansową „Depozytów” i „Wyemitowanych dłużnych papierów wartościowych”, które stanowią dług podporządkowany zgodnie</w:t>
      </w:r>
      <w:r w:rsidR="00342D7E" w:rsidRPr="00342D7E">
        <w:t xml:space="preserve"> z</w:t>
      </w:r>
      <w:r w:rsidR="00342D7E">
        <w:t> </w:t>
      </w:r>
      <w:r w:rsidR="00342D7E" w:rsidRPr="00342D7E">
        <w:t>tab</w:t>
      </w:r>
      <w:r w:rsidRPr="00342D7E">
        <w:t>elą załącznika II część 2 do rozporządzenia EBC</w:t>
      </w:r>
      <w:r w:rsidR="00342D7E" w:rsidRPr="00342D7E">
        <w:t xml:space="preserve"> w</w:t>
      </w:r>
      <w:r w:rsidR="00342D7E">
        <w:t> </w:t>
      </w:r>
      <w:r w:rsidR="00342D7E" w:rsidRPr="00342D7E">
        <w:t>spr</w:t>
      </w:r>
      <w:r w:rsidRPr="00342D7E">
        <w:t>awie pozycji bilansowych, sklasyfikowany według portfeli księgowych. „Podporządkowane instrumenty dłużne” umożliwiają dodatkowe roszczenie wobec emitenta, które może zostać zrealizowane dopiero po zaspokojeniu wszystkich roszczeń wyższej rangi.</w:t>
      </w:r>
    </w:p>
    <w:p w:rsidR="00D35B0C" w:rsidRPr="00342D7E" w:rsidRDefault="00A834F1">
      <w:pPr>
        <w:pStyle w:val="Baseparagraphnumbered"/>
      </w:pPr>
      <w:r w:rsidRPr="00342D7E">
        <w:t>„Skumulowane zmiany wartości godziwej</w:t>
      </w:r>
      <w:r w:rsidR="00342D7E" w:rsidRPr="00342D7E">
        <w:t xml:space="preserve"> z</w:t>
      </w:r>
      <w:r w:rsidR="00342D7E">
        <w:t> </w:t>
      </w:r>
      <w:r w:rsidR="00342D7E" w:rsidRPr="00342D7E">
        <w:t>pow</w:t>
      </w:r>
      <w:r w:rsidRPr="00342D7E">
        <w:t xml:space="preserve">odu zmian we własnym ryzyku kredytowym” obejmują wszystkie wspomniane skumulowane </w:t>
      </w:r>
      <w:r w:rsidRPr="00342D7E">
        <w:lastRenderedPageBreak/>
        <w:t>zmiany wartości godziwej, niezależnie od tego, czy ujęto je</w:t>
      </w:r>
      <w:r w:rsidR="00342D7E" w:rsidRPr="00342D7E">
        <w:t xml:space="preserve"> w</w:t>
      </w:r>
      <w:r w:rsidR="00342D7E">
        <w:t> </w:t>
      </w:r>
      <w:r w:rsidR="00342D7E" w:rsidRPr="00342D7E">
        <w:t>zys</w:t>
      </w:r>
      <w:r w:rsidRPr="00342D7E">
        <w:t>kach lub stratach, czy też</w:t>
      </w:r>
      <w:r w:rsidR="00342D7E" w:rsidRPr="00342D7E">
        <w:t xml:space="preserve"> w</w:t>
      </w:r>
      <w:r w:rsidR="00342D7E">
        <w:t> </w:t>
      </w:r>
      <w:r w:rsidR="00342D7E" w:rsidRPr="00342D7E">
        <w:t>inn</w:t>
      </w:r>
      <w:r w:rsidRPr="00342D7E">
        <w:t xml:space="preserve">ych całkowitych dochodach. </w:t>
      </w:r>
    </w:p>
    <w:p w:rsidR="00D35B0C" w:rsidRPr="00342D7E" w:rsidRDefault="00A834F1" w:rsidP="00056B6F">
      <w:pPr>
        <w:pStyle w:val="subtitlenumbered"/>
        <w:numPr>
          <w:ilvl w:val="0"/>
          <w:numId w:val="11"/>
        </w:numPr>
        <w:jc w:val="both"/>
      </w:pPr>
      <w:bookmarkStart w:id="24" w:name="_Toc31019126"/>
      <w:r w:rsidRPr="00342D7E">
        <w:t>Zobowiązania do udzielenia pożyczki, gwarancje finansowe</w:t>
      </w:r>
      <w:r w:rsidR="00342D7E" w:rsidRPr="00342D7E">
        <w:t xml:space="preserve"> i</w:t>
      </w:r>
      <w:r w:rsidR="00342D7E">
        <w:t> </w:t>
      </w:r>
      <w:r w:rsidR="00342D7E" w:rsidRPr="00342D7E">
        <w:t>inn</w:t>
      </w:r>
      <w:r w:rsidRPr="00342D7E">
        <w:t>e zobowiązania (9)</w:t>
      </w:r>
      <w:bookmarkEnd w:id="24"/>
    </w:p>
    <w:p w:rsidR="00D35B0C" w:rsidRPr="00342D7E" w:rsidRDefault="00A834F1">
      <w:pPr>
        <w:pStyle w:val="Baseparagraphnumbered"/>
      </w:pPr>
      <w:r w:rsidRPr="00342D7E">
        <w:t>Ekspozycje pozabilansowe obejmują pozycje pozabilansowe wymienione</w:t>
      </w:r>
      <w:r w:rsidR="00342D7E" w:rsidRPr="00342D7E">
        <w:t xml:space="preserve"> w</w:t>
      </w:r>
      <w:r w:rsidR="00342D7E">
        <w:t> </w:t>
      </w:r>
      <w:r w:rsidR="00342D7E" w:rsidRPr="00342D7E">
        <w:t>zał</w:t>
      </w:r>
      <w:r w:rsidRPr="00342D7E">
        <w:t>ączniku I do CRR. We wzorach 9.1, 9.1.1</w:t>
      </w:r>
      <w:r w:rsidR="00342D7E" w:rsidRPr="00342D7E">
        <w:t xml:space="preserve"> </w:t>
      </w:r>
      <w:proofErr w:type="gramStart"/>
      <w:r w:rsidR="00342D7E" w:rsidRPr="00342D7E">
        <w:t>i</w:t>
      </w:r>
      <w:proofErr w:type="gramEnd"/>
      <w:r w:rsidR="00342D7E">
        <w:t> </w:t>
      </w:r>
      <w:r w:rsidR="00342D7E" w:rsidRPr="00342D7E">
        <w:t>9</w:t>
      </w:r>
      <w:r w:rsidRPr="00342D7E">
        <w:t xml:space="preserve">.2 </w:t>
      </w:r>
      <w:proofErr w:type="gramStart"/>
      <w:r w:rsidRPr="00342D7E">
        <w:t>wszystkie</w:t>
      </w:r>
      <w:proofErr w:type="gramEnd"/>
      <w:r w:rsidRPr="00342D7E">
        <w:t xml:space="preserve"> ekspozycje pozabilansowe wymienione</w:t>
      </w:r>
      <w:r w:rsidR="00342D7E" w:rsidRPr="00342D7E">
        <w:t xml:space="preserve"> w</w:t>
      </w:r>
      <w:r w:rsidR="00342D7E">
        <w:t> </w:t>
      </w:r>
      <w:r w:rsidR="00342D7E" w:rsidRPr="00342D7E">
        <w:t>zał</w:t>
      </w:r>
      <w:r w:rsidRPr="00342D7E">
        <w:t>ączniku I do CRR dzieli się na zobowiązania do udzielenia pożyczki, gwarancje finansowe</w:t>
      </w:r>
      <w:r w:rsidR="00342D7E" w:rsidRPr="00342D7E">
        <w:t xml:space="preserve"> i</w:t>
      </w:r>
      <w:r w:rsidR="00342D7E">
        <w:t> </w:t>
      </w:r>
      <w:r w:rsidR="00342D7E" w:rsidRPr="00342D7E">
        <w:t>inn</w:t>
      </w:r>
      <w:r w:rsidRPr="00342D7E">
        <w:t>e zobowiązania.</w:t>
      </w:r>
    </w:p>
    <w:p w:rsidR="00D35B0C" w:rsidRPr="00342D7E" w:rsidRDefault="00A834F1">
      <w:pPr>
        <w:pStyle w:val="Baseparagraphnumbered"/>
      </w:pPr>
      <w:r w:rsidRPr="00342D7E">
        <w:t>Informacje na temat udzielonych</w:t>
      </w:r>
      <w:r w:rsidR="00342D7E" w:rsidRPr="00342D7E">
        <w:t xml:space="preserve"> i</w:t>
      </w:r>
      <w:r w:rsidR="00342D7E">
        <w:t> </w:t>
      </w:r>
      <w:r w:rsidR="00342D7E" w:rsidRPr="00342D7E">
        <w:t>otr</w:t>
      </w:r>
      <w:r w:rsidRPr="00342D7E">
        <w:t>zymanych zobowiązań do udzielenia pożyczki, gwarancji finansowych</w:t>
      </w:r>
      <w:r w:rsidR="00342D7E" w:rsidRPr="00342D7E">
        <w:t xml:space="preserve"> i</w:t>
      </w:r>
      <w:r w:rsidR="00342D7E">
        <w:t> </w:t>
      </w:r>
      <w:r w:rsidR="00342D7E" w:rsidRPr="00342D7E">
        <w:t>inn</w:t>
      </w:r>
      <w:r w:rsidRPr="00342D7E">
        <w:t>ych zobowiązań obejmują zarówno zobowiązania odwołalne, jak</w:t>
      </w:r>
      <w:r w:rsidR="00342D7E" w:rsidRPr="00342D7E">
        <w:t xml:space="preserve"> i</w:t>
      </w:r>
      <w:r w:rsidR="00342D7E">
        <w:t> </w:t>
      </w:r>
      <w:r w:rsidR="00342D7E" w:rsidRPr="00342D7E">
        <w:t>nie</w:t>
      </w:r>
      <w:r w:rsidRPr="00342D7E">
        <w:t xml:space="preserve">odwołalne. </w:t>
      </w:r>
    </w:p>
    <w:p w:rsidR="00D35B0C" w:rsidRPr="00342D7E" w:rsidRDefault="00A834F1">
      <w:pPr>
        <w:pStyle w:val="Baseparagraphnumbered"/>
      </w:pPr>
      <w:r w:rsidRPr="00342D7E">
        <w:t>Udzielone zobowiązania do udzielenia pożyczki, gwarancje finansowe</w:t>
      </w:r>
      <w:r w:rsidR="00342D7E" w:rsidRPr="00342D7E">
        <w:t xml:space="preserve"> i</w:t>
      </w:r>
      <w:r w:rsidR="00342D7E">
        <w:t> </w:t>
      </w:r>
      <w:r w:rsidR="00342D7E" w:rsidRPr="00342D7E">
        <w:t>inn</w:t>
      </w:r>
      <w:r w:rsidRPr="00342D7E">
        <w:t>e zobowiązania wymienione</w:t>
      </w:r>
      <w:r w:rsidR="00342D7E" w:rsidRPr="00342D7E">
        <w:t xml:space="preserve"> w</w:t>
      </w:r>
      <w:r w:rsidR="00342D7E">
        <w:t> </w:t>
      </w:r>
      <w:r w:rsidR="00342D7E" w:rsidRPr="00342D7E">
        <w:t>zał</w:t>
      </w:r>
      <w:r w:rsidRPr="00342D7E">
        <w:t>ączniku I do CRR mogą być instrumentami, które wchodzą</w:t>
      </w:r>
      <w:r w:rsidR="00342D7E" w:rsidRPr="00342D7E">
        <w:t xml:space="preserve"> w</w:t>
      </w:r>
      <w:r w:rsidR="00342D7E">
        <w:t> </w:t>
      </w:r>
      <w:r w:rsidR="00342D7E" w:rsidRPr="00342D7E">
        <w:t>zak</w:t>
      </w:r>
      <w:r w:rsidRPr="00342D7E">
        <w:t>res MSSF 9, jeżeli wycenia się je według wartości godziwej przez wynik finansowy lub jeżeli podlegają wymogom</w:t>
      </w:r>
      <w:r w:rsidR="00342D7E" w:rsidRPr="00342D7E">
        <w:t xml:space="preserve"> z</w:t>
      </w:r>
      <w:r w:rsidR="00342D7E">
        <w:t> </w:t>
      </w:r>
      <w:r w:rsidR="00342D7E" w:rsidRPr="00342D7E">
        <w:t>zak</w:t>
      </w:r>
      <w:r w:rsidRPr="00342D7E">
        <w:t>resu utraty wartości przewidzianym w MSSF 9, jak również instrumentami, które wchodzą</w:t>
      </w:r>
      <w:r w:rsidR="00342D7E" w:rsidRPr="00342D7E">
        <w:t xml:space="preserve"> w</w:t>
      </w:r>
      <w:r w:rsidR="00342D7E">
        <w:t> </w:t>
      </w:r>
      <w:r w:rsidR="00342D7E" w:rsidRPr="00342D7E">
        <w:t>zak</w:t>
      </w:r>
      <w:r w:rsidRPr="00342D7E">
        <w:t xml:space="preserve">res MSR 37 lub MSSF 4. </w:t>
      </w:r>
    </w:p>
    <w:p w:rsidR="00D35B0C" w:rsidRPr="00342D7E" w:rsidRDefault="00A834F1">
      <w:pPr>
        <w:pStyle w:val="Baseparagraphnumbered"/>
      </w:pPr>
      <w:r w:rsidRPr="00342D7E">
        <w:t>Zgodnie z MSSF udzielone zobowiązania do udzielenia pożyczki, gwarancje finansowe</w:t>
      </w:r>
      <w:r w:rsidR="00342D7E" w:rsidRPr="00342D7E">
        <w:t xml:space="preserve"> i</w:t>
      </w:r>
      <w:r w:rsidR="00342D7E">
        <w:t> </w:t>
      </w:r>
      <w:r w:rsidR="00342D7E" w:rsidRPr="00342D7E">
        <w:t>inn</w:t>
      </w:r>
      <w:r w:rsidRPr="00342D7E">
        <w:t xml:space="preserve">e zobowiązania zgłasza się we wzorze 9.1.1, </w:t>
      </w:r>
      <w:proofErr w:type="gramStart"/>
      <w:r w:rsidRPr="00342D7E">
        <w:t>jeżeli</w:t>
      </w:r>
      <w:proofErr w:type="gramEnd"/>
      <w:r w:rsidRPr="00342D7E">
        <w:t xml:space="preserve"> spełniony jest którykolwiek</w:t>
      </w:r>
      <w:r w:rsidR="00342D7E" w:rsidRPr="00342D7E">
        <w:t xml:space="preserve"> z</w:t>
      </w:r>
      <w:r w:rsidR="00342D7E">
        <w:t> </w:t>
      </w:r>
      <w:r w:rsidR="00342D7E" w:rsidRPr="00342D7E">
        <w:t>nas</w:t>
      </w:r>
      <w:r w:rsidRPr="00342D7E">
        <w:t>tępujących warunków:</w:t>
      </w:r>
    </w:p>
    <w:p w:rsidR="00D35B0C" w:rsidRPr="00342D7E" w:rsidRDefault="00A834F1" w:rsidP="00056B6F">
      <w:pPr>
        <w:pStyle w:val="Baseparagraphnumbered"/>
        <w:numPr>
          <w:ilvl w:val="0"/>
          <w:numId w:val="42"/>
        </w:numPr>
      </w:pPr>
      <w:proofErr w:type="gramStart"/>
      <w:r w:rsidRPr="00342D7E">
        <w:t>podlegają</w:t>
      </w:r>
      <w:proofErr w:type="gramEnd"/>
      <w:r w:rsidRPr="00342D7E">
        <w:t xml:space="preserve"> wymogom</w:t>
      </w:r>
      <w:r w:rsidR="00342D7E" w:rsidRPr="00342D7E">
        <w:t xml:space="preserve"> z</w:t>
      </w:r>
      <w:r w:rsidR="00342D7E">
        <w:t> </w:t>
      </w:r>
      <w:r w:rsidR="00342D7E" w:rsidRPr="00342D7E">
        <w:t>zak</w:t>
      </w:r>
      <w:r w:rsidRPr="00342D7E">
        <w:t>resu utraty wartości przewidzianym w MSSF 9;</w:t>
      </w:r>
    </w:p>
    <w:p w:rsidR="00D35B0C" w:rsidRPr="00342D7E" w:rsidRDefault="00A834F1" w:rsidP="00056B6F">
      <w:pPr>
        <w:pStyle w:val="Baseparagraphnumbered"/>
        <w:numPr>
          <w:ilvl w:val="0"/>
          <w:numId w:val="42"/>
        </w:numPr>
      </w:pPr>
      <w:proofErr w:type="gramStart"/>
      <w:r w:rsidRPr="00342D7E">
        <w:t>wyznaczono</w:t>
      </w:r>
      <w:proofErr w:type="gramEnd"/>
      <w:r w:rsidRPr="00342D7E">
        <w:t xml:space="preserve"> je jako wyceniane według wartości godziwej przez wynik finansowy zgodnie z MSSF 9;</w:t>
      </w:r>
    </w:p>
    <w:p w:rsidR="00D35B0C" w:rsidRPr="00342D7E" w:rsidRDefault="00A834F1" w:rsidP="00056B6F">
      <w:pPr>
        <w:pStyle w:val="Baseparagraphnumbered"/>
        <w:numPr>
          <w:ilvl w:val="0"/>
          <w:numId w:val="42"/>
        </w:numPr>
      </w:pPr>
      <w:proofErr w:type="gramStart"/>
      <w:r w:rsidRPr="00342D7E">
        <w:t>wchodzą</w:t>
      </w:r>
      <w:proofErr w:type="gramEnd"/>
      <w:r w:rsidR="00342D7E" w:rsidRPr="00342D7E">
        <w:t xml:space="preserve"> w</w:t>
      </w:r>
      <w:r w:rsidR="00342D7E">
        <w:t> </w:t>
      </w:r>
      <w:r w:rsidR="00342D7E" w:rsidRPr="00342D7E">
        <w:t>zak</w:t>
      </w:r>
      <w:r w:rsidRPr="00342D7E">
        <w:t xml:space="preserve">res MSR 37 lub MSSF 4. </w:t>
      </w:r>
    </w:p>
    <w:p w:rsidR="00D35B0C" w:rsidRPr="00342D7E" w:rsidRDefault="00A834F1">
      <w:pPr>
        <w:pStyle w:val="Baseparagraphnumbered"/>
      </w:pPr>
      <w:r w:rsidRPr="00342D7E">
        <w:t>Zobowiązania, które ujmuje się jako straty kredytowe</w:t>
      </w:r>
      <w:r w:rsidR="00342D7E" w:rsidRPr="00342D7E">
        <w:t xml:space="preserve"> z</w:t>
      </w:r>
      <w:r w:rsidR="00342D7E">
        <w:t> </w:t>
      </w:r>
      <w:r w:rsidR="00342D7E" w:rsidRPr="00342D7E">
        <w:t>tyt</w:t>
      </w:r>
      <w:r w:rsidRPr="00342D7E">
        <w:t>ułu udzielonych gwarancji finansowych</w:t>
      </w:r>
      <w:r w:rsidR="00342D7E" w:rsidRPr="00342D7E">
        <w:t xml:space="preserve"> i</w:t>
      </w:r>
      <w:r w:rsidR="00342D7E">
        <w:t> </w:t>
      </w:r>
      <w:r w:rsidR="00342D7E" w:rsidRPr="00342D7E">
        <w:t>zob</w:t>
      </w:r>
      <w:r w:rsidRPr="00342D7E">
        <w:t>owiązań,</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pkt </w:t>
      </w:r>
      <w:r w:rsidRPr="00342D7E">
        <w:t>105 lit.</w:t>
      </w:r>
      <w:r w:rsidR="00342D7E" w:rsidRPr="00342D7E">
        <w:t> </w:t>
      </w:r>
      <w:r w:rsidRPr="00342D7E">
        <w:t>a) i c) niniejszej części</w:t>
      </w:r>
      <w:r w:rsidR="00342D7E" w:rsidRPr="00342D7E">
        <w:t xml:space="preserve"> w</w:t>
      </w:r>
      <w:r w:rsidR="00342D7E">
        <w:t> </w:t>
      </w:r>
      <w:r w:rsidR="00342D7E" w:rsidRPr="00342D7E">
        <w:t>nin</w:t>
      </w:r>
      <w:r w:rsidRPr="00342D7E">
        <w:t>iejszym załączniku, zgłasza się jako rezerwy niezależnie od zastosowanych kryteriów wyceny.</w:t>
      </w:r>
    </w:p>
    <w:p w:rsidR="00D35B0C" w:rsidRPr="00342D7E" w:rsidRDefault="00A834F1">
      <w:pPr>
        <w:pStyle w:val="Baseparagraphnumbered"/>
      </w:pPr>
      <w:r w:rsidRPr="00342D7E">
        <w:t>Instytucje podlegające MSSF zgłaszają kwotę nominalną</w:t>
      </w:r>
      <w:r w:rsidR="00342D7E" w:rsidRPr="00342D7E">
        <w:t xml:space="preserve"> i</w:t>
      </w:r>
      <w:r w:rsidR="00342D7E">
        <w:t> </w:t>
      </w:r>
      <w:r w:rsidR="00342D7E" w:rsidRPr="00342D7E">
        <w:t>rez</w:t>
      </w:r>
      <w:r w:rsidRPr="00342D7E">
        <w:t>erwy dotyczące instrumentów, które podlegają wymogom</w:t>
      </w:r>
      <w:r w:rsidR="00342D7E" w:rsidRPr="00342D7E">
        <w:t xml:space="preserve"> z</w:t>
      </w:r>
      <w:r w:rsidR="00342D7E">
        <w:t> </w:t>
      </w:r>
      <w:r w:rsidR="00342D7E" w:rsidRPr="00342D7E">
        <w:t>zak</w:t>
      </w:r>
      <w:r w:rsidRPr="00342D7E">
        <w:t>resu utraty wartości przewidzianym w MSSF 9,</w:t>
      </w:r>
      <w:r w:rsidR="00342D7E" w:rsidRPr="00342D7E">
        <w:t xml:space="preserve"> w</w:t>
      </w:r>
      <w:r w:rsidR="00342D7E">
        <w:t> </w:t>
      </w:r>
      <w:r w:rsidR="00342D7E" w:rsidRPr="00342D7E">
        <w:t>tym</w:t>
      </w:r>
      <w:r w:rsidRPr="00342D7E">
        <w:t xml:space="preserve"> instrumentów wycenianych według kosztu początkowego pomniejszonego</w:t>
      </w:r>
      <w:r w:rsidR="00342D7E" w:rsidRPr="00342D7E">
        <w:t xml:space="preserve"> o</w:t>
      </w:r>
      <w:r w:rsidR="00342D7E">
        <w:t> </w:t>
      </w:r>
      <w:r w:rsidR="00342D7E" w:rsidRPr="00342D7E">
        <w:t>uję</w:t>
      </w:r>
      <w:r w:rsidRPr="00342D7E">
        <w:t>te skumulowane dochody,</w:t>
      </w:r>
      <w:r w:rsidR="00342D7E" w:rsidRPr="00342D7E">
        <w:t xml:space="preserve"> w</w:t>
      </w:r>
      <w:r w:rsidR="00342D7E">
        <w:t> </w:t>
      </w:r>
      <w:r w:rsidR="00342D7E" w:rsidRPr="00342D7E">
        <w:t>pod</w:t>
      </w:r>
      <w:r w:rsidRPr="00342D7E">
        <w:t xml:space="preserve">ziale na fazy utraty wartości. </w:t>
      </w:r>
    </w:p>
    <w:p w:rsidR="00D35B0C" w:rsidRPr="00342D7E" w:rsidRDefault="00A834F1">
      <w:pPr>
        <w:pStyle w:val="Baseparagraphnumbered"/>
      </w:pPr>
      <w:r w:rsidRPr="00342D7E">
        <w:t xml:space="preserve">We wzorze 9.1.1 </w:t>
      </w:r>
      <w:proofErr w:type="gramStart"/>
      <w:r w:rsidRPr="00342D7E">
        <w:t>zgłasza</w:t>
      </w:r>
      <w:proofErr w:type="gramEnd"/>
      <w:r w:rsidRPr="00342D7E">
        <w:t xml:space="preserve"> się wyłącznie nominalną kwotę zobowiązania, jeżeli instrument dłużny składa się zarówno</w:t>
      </w:r>
      <w:r w:rsidR="00342D7E" w:rsidRPr="00342D7E">
        <w:t xml:space="preserve"> z</w:t>
      </w:r>
      <w:r w:rsidR="00342D7E">
        <w:t> </w:t>
      </w:r>
      <w:r w:rsidR="00342D7E" w:rsidRPr="00342D7E">
        <w:t>ins</w:t>
      </w:r>
      <w:r w:rsidRPr="00342D7E">
        <w:t>trumentu ujętego</w:t>
      </w:r>
      <w:r w:rsidR="00342D7E" w:rsidRPr="00342D7E">
        <w:t xml:space="preserve"> w</w:t>
      </w:r>
      <w:r w:rsidR="00342D7E">
        <w:t> </w:t>
      </w:r>
      <w:r w:rsidR="00342D7E" w:rsidRPr="00342D7E">
        <w:t>bil</w:t>
      </w:r>
      <w:r w:rsidRPr="00342D7E">
        <w:t>ansie, jak</w:t>
      </w:r>
      <w:r w:rsidR="00342D7E" w:rsidRPr="00342D7E">
        <w:t xml:space="preserve"> i</w:t>
      </w:r>
      <w:r w:rsidR="00342D7E">
        <w:t> </w:t>
      </w:r>
      <w:r w:rsidR="00342D7E" w:rsidRPr="00342D7E">
        <w:t>skł</w:t>
      </w:r>
      <w:r w:rsidRPr="00342D7E">
        <w:t>adnika pozabilansowego. Jeżeli jednostka sprawozdająca nie jest</w:t>
      </w:r>
      <w:r w:rsidR="00342D7E" w:rsidRPr="00342D7E">
        <w:t xml:space="preserve"> w</w:t>
      </w:r>
      <w:r w:rsidR="00342D7E">
        <w:t> </w:t>
      </w:r>
      <w:r w:rsidR="00342D7E" w:rsidRPr="00342D7E">
        <w:t>sta</w:t>
      </w:r>
      <w:r w:rsidRPr="00342D7E">
        <w:t>nie osobno wykryć oczekiwanych strat kredytowych</w:t>
      </w:r>
      <w:r w:rsidR="00342D7E" w:rsidRPr="00342D7E">
        <w:t xml:space="preserve"> z</w:t>
      </w:r>
      <w:r w:rsidR="00342D7E">
        <w:t> </w:t>
      </w:r>
      <w:r w:rsidR="00342D7E" w:rsidRPr="00342D7E">
        <w:t>tyt</w:t>
      </w:r>
      <w:r w:rsidRPr="00342D7E">
        <w:t>ułu składników bilansowych</w:t>
      </w:r>
      <w:r w:rsidR="00342D7E" w:rsidRPr="00342D7E">
        <w:t xml:space="preserve"> i</w:t>
      </w:r>
      <w:r w:rsidR="00342D7E">
        <w:t> </w:t>
      </w:r>
      <w:r w:rsidR="00342D7E" w:rsidRPr="00342D7E">
        <w:t>poz</w:t>
      </w:r>
      <w:r w:rsidRPr="00342D7E">
        <w:t>abilansowych, oczekiwane straty kredytowe</w:t>
      </w:r>
      <w:r w:rsidR="00342D7E" w:rsidRPr="00342D7E">
        <w:t xml:space="preserve"> z</w:t>
      </w:r>
      <w:r w:rsidR="00342D7E">
        <w:t> </w:t>
      </w:r>
      <w:r w:rsidR="00342D7E" w:rsidRPr="00342D7E">
        <w:t>tyt</w:t>
      </w:r>
      <w:r w:rsidRPr="00342D7E">
        <w:t xml:space="preserve">ułu zobowiązania zgłasza się łącznie ze skumulowaną utratą wartości składnika </w:t>
      </w:r>
      <w:r w:rsidRPr="00342D7E">
        <w:lastRenderedPageBreak/>
        <w:t>bilansowego. Jeżeli łączne oczekiwane straty kredytowe przewyższają wartość bilansową brutto instrumentu dłużnego, pozostałe saldo oczekiwanych strat kredytowych zgłasza się jako rezerwę</w:t>
      </w:r>
      <w:r w:rsidR="00342D7E" w:rsidRPr="00342D7E">
        <w:t xml:space="preserve"> w</w:t>
      </w:r>
      <w:r w:rsidR="00342D7E">
        <w:t> </w:t>
      </w:r>
      <w:r w:rsidR="00342D7E" w:rsidRPr="00342D7E">
        <w:t>ram</w:t>
      </w:r>
      <w:r w:rsidRPr="00342D7E">
        <w:t>ach odpowiedniej fazy utraty wartości we wzorze 9.1.1 (MSSF 9 pkt</w:t>
      </w:r>
      <w:r w:rsidR="00342D7E" w:rsidRPr="00342D7E">
        <w:t> </w:t>
      </w:r>
      <w:r w:rsidRPr="00342D7E">
        <w:t>5.5.20 i MSSF 7 pkt B8E).</w:t>
      </w:r>
    </w:p>
    <w:p w:rsidR="00D35B0C" w:rsidRPr="00342D7E" w:rsidRDefault="005D7A1A">
      <w:pPr>
        <w:pStyle w:val="Baseparagraphnumbered"/>
      </w:pPr>
      <w:r w:rsidRPr="00342D7E">
        <w:t>Gwarancję finansową lub zobowiązanie do udzielenia pożyczki oprocentowanej poniżej rynkowej stopy procentowej, które wycenia się zgodnie z MSSF 9 pkt</w:t>
      </w:r>
      <w:r w:rsidR="00342D7E" w:rsidRPr="00342D7E">
        <w:t> </w:t>
      </w:r>
      <w:r w:rsidRPr="00342D7E">
        <w:t>4.2.1 lit.</w:t>
      </w:r>
      <w:r w:rsidR="00342D7E" w:rsidRPr="00342D7E">
        <w:t> </w:t>
      </w:r>
      <w:r w:rsidRPr="00342D7E">
        <w:t>d),</w:t>
      </w:r>
      <w:r w:rsidR="00342D7E" w:rsidRPr="00342D7E">
        <w:t xml:space="preserve"> i</w:t>
      </w:r>
      <w:r w:rsidR="00342D7E">
        <w:t> </w:t>
      </w:r>
      <w:r w:rsidR="00342D7E" w:rsidRPr="00342D7E">
        <w:t>dla</w:t>
      </w:r>
      <w:r w:rsidRPr="00342D7E">
        <w:t xml:space="preserve"> których odpis na straty</w:t>
      </w:r>
      <w:r w:rsidR="00342D7E" w:rsidRPr="00342D7E">
        <w:t xml:space="preserve"> z</w:t>
      </w:r>
      <w:r w:rsidR="00342D7E">
        <w:t> </w:t>
      </w:r>
      <w:r w:rsidR="00342D7E" w:rsidRPr="00342D7E">
        <w:t>ich</w:t>
      </w:r>
      <w:r w:rsidRPr="00342D7E">
        <w:t xml:space="preserve"> tytułu ustala się zgodnie z MSSF 9 pkt</w:t>
      </w:r>
      <w:r w:rsidR="00342D7E" w:rsidRPr="00342D7E">
        <w:t> </w:t>
      </w:r>
      <w:r w:rsidRPr="00342D7E">
        <w:t>5.5, zgłasza się</w:t>
      </w:r>
      <w:r w:rsidR="00342D7E" w:rsidRPr="00342D7E">
        <w:t xml:space="preserve"> w</w:t>
      </w:r>
      <w:r w:rsidR="00342D7E">
        <w:t> </w:t>
      </w:r>
      <w:r w:rsidR="00342D7E" w:rsidRPr="00342D7E">
        <w:t>ram</w:t>
      </w:r>
      <w:r w:rsidRPr="00342D7E">
        <w:t>ach odpowiedniej fazy utraty wartości.</w:t>
      </w:r>
    </w:p>
    <w:p w:rsidR="00D35B0C" w:rsidRPr="00342D7E" w:rsidRDefault="00A834F1">
      <w:pPr>
        <w:pStyle w:val="Baseparagraphnumbered"/>
      </w:pPr>
      <w:r w:rsidRPr="00342D7E">
        <w:t>Jeżeli zobowiązania do udzielenia pożyczki, gwarancje finansowe</w:t>
      </w:r>
      <w:r w:rsidR="00342D7E" w:rsidRPr="00342D7E">
        <w:t xml:space="preserve"> i</w:t>
      </w:r>
      <w:r w:rsidR="00342D7E">
        <w:t> </w:t>
      </w:r>
      <w:r w:rsidR="00342D7E" w:rsidRPr="00342D7E">
        <w:t>inn</w:t>
      </w:r>
      <w:r w:rsidRPr="00342D7E">
        <w:t>e zobowiązania wycenia się według wartości godziwej zgodnie z MSSF 9, instytucje zgłaszają we wzorze 9.1.1</w:t>
      </w:r>
      <w:r w:rsidR="00342D7E" w:rsidRPr="00342D7E">
        <w:t xml:space="preserve"> </w:t>
      </w:r>
      <w:proofErr w:type="gramStart"/>
      <w:r w:rsidR="00342D7E" w:rsidRPr="00342D7E">
        <w:t>w</w:t>
      </w:r>
      <w:proofErr w:type="gramEnd"/>
      <w:r w:rsidR="00342D7E">
        <w:t> </w:t>
      </w:r>
      <w:r w:rsidR="00342D7E" w:rsidRPr="00342D7E">
        <w:t>odp</w:t>
      </w:r>
      <w:r w:rsidRPr="00342D7E">
        <w:t>owiednich kolumnach kwotę nominalną tych gwarancji finansowych</w:t>
      </w:r>
      <w:r w:rsidR="00342D7E" w:rsidRPr="00342D7E">
        <w:t xml:space="preserve"> i</w:t>
      </w:r>
      <w:r w:rsidR="00342D7E">
        <w:t> </w:t>
      </w:r>
      <w:r w:rsidR="00342D7E" w:rsidRPr="00342D7E">
        <w:t>zob</w:t>
      </w:r>
      <w:r w:rsidRPr="00342D7E">
        <w:t>owiązań</w:t>
      </w:r>
      <w:r w:rsidR="00342D7E" w:rsidRPr="00342D7E">
        <w:t xml:space="preserve"> i</w:t>
      </w:r>
      <w:r w:rsidR="00342D7E">
        <w:t> </w:t>
      </w:r>
      <w:r w:rsidR="00342D7E" w:rsidRPr="00342D7E">
        <w:t>sku</w:t>
      </w:r>
      <w:r w:rsidRPr="00342D7E">
        <w:t>mulowane ujemne zmiany ich wartości godziwej</w:t>
      </w:r>
      <w:r w:rsidR="00342D7E" w:rsidRPr="00342D7E">
        <w:t xml:space="preserve"> z</w:t>
      </w:r>
      <w:r w:rsidR="00342D7E">
        <w:t> </w:t>
      </w:r>
      <w:r w:rsidR="00342D7E" w:rsidRPr="00342D7E">
        <w:t>pow</w:t>
      </w:r>
      <w:r w:rsidRPr="00342D7E">
        <w:t>odu ryzyka kredytowego. „Skumulowane ujemne zmiany wartości godziwej</w:t>
      </w:r>
      <w:r w:rsidR="00342D7E" w:rsidRPr="00342D7E">
        <w:t xml:space="preserve"> z</w:t>
      </w:r>
      <w:r w:rsidR="00342D7E">
        <w:t> </w:t>
      </w:r>
      <w:r w:rsidR="00342D7E" w:rsidRPr="00342D7E">
        <w:t>pow</w:t>
      </w:r>
      <w:r w:rsidRPr="00342D7E">
        <w:t>odu ryzyka kredytowego” zgłasza się, stosując kryteria określone</w:t>
      </w:r>
      <w:r w:rsidR="00342D7E" w:rsidRPr="00342D7E">
        <w:t xml:space="preserve"> w</w:t>
      </w:r>
      <w:r w:rsidR="00342D7E">
        <w:t> </w:t>
      </w:r>
      <w:r w:rsidR="00342D7E" w:rsidRPr="00342D7E">
        <w:t>pkt </w:t>
      </w:r>
      <w:r w:rsidRPr="00342D7E">
        <w:t>69 niniejszej części.</w:t>
      </w:r>
    </w:p>
    <w:p w:rsidR="00D35B0C" w:rsidRPr="00342D7E" w:rsidRDefault="00A834F1">
      <w:pPr>
        <w:pStyle w:val="Baseparagraphnumbered"/>
      </w:pPr>
      <w:r w:rsidRPr="00342D7E">
        <w:t>Kwotę nominalną innych zobowiązań lub gwarancji, które wchodzą</w:t>
      </w:r>
      <w:r w:rsidR="00342D7E" w:rsidRPr="00342D7E">
        <w:t xml:space="preserve"> w</w:t>
      </w:r>
      <w:r w:rsidR="00342D7E">
        <w:t> </w:t>
      </w:r>
      <w:r w:rsidR="00342D7E" w:rsidRPr="00342D7E">
        <w:t>zak</w:t>
      </w:r>
      <w:r w:rsidRPr="00342D7E">
        <w:t>res MSR 37 lub MSSF 4, oraz utworzone na nie rezerwy zgłasza się</w:t>
      </w:r>
      <w:r w:rsidR="00342D7E" w:rsidRPr="00342D7E">
        <w:t xml:space="preserve"> w</w:t>
      </w:r>
      <w:r w:rsidR="00342D7E">
        <w:t> </w:t>
      </w:r>
      <w:r w:rsidR="00342D7E" w:rsidRPr="00342D7E">
        <w:t>odp</w:t>
      </w:r>
      <w:r w:rsidRPr="00342D7E">
        <w:t>owiednich kolumnach.</w:t>
      </w:r>
    </w:p>
    <w:p w:rsidR="00D35B0C" w:rsidRPr="00342D7E" w:rsidRDefault="00A834F1">
      <w:pPr>
        <w:pStyle w:val="Baseparagraphnumbered"/>
      </w:pPr>
      <w:r w:rsidRPr="00342D7E">
        <w:t xml:space="preserve">Instytucje podlegające krajowym ogólnie przyjętym zasadom rachunkowości opartym na BAD zgłaszają we wzorze 9.1 </w:t>
      </w:r>
      <w:proofErr w:type="gramStart"/>
      <w:r w:rsidRPr="00342D7E">
        <w:t>nominalną</w:t>
      </w:r>
      <w:proofErr w:type="gramEnd"/>
      <w:r w:rsidRPr="00342D7E">
        <w:t xml:space="preserve"> kwotę zobowiązań</w:t>
      </w:r>
      <w:r w:rsidR="00342D7E" w:rsidRPr="00342D7E">
        <w:t xml:space="preserve"> i</w:t>
      </w:r>
      <w:r w:rsidR="00342D7E">
        <w:t> </w:t>
      </w:r>
      <w:r w:rsidR="00342D7E" w:rsidRPr="00342D7E">
        <w:t>gwa</w:t>
      </w:r>
      <w:r w:rsidRPr="00342D7E">
        <w:t>rancji finansowych,</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pkt </w:t>
      </w:r>
      <w:r w:rsidRPr="00342D7E">
        <w:t>102</w:t>
      </w:r>
      <w:r w:rsidR="00342D7E" w:rsidRPr="00342D7E">
        <w:t xml:space="preserve"> i</w:t>
      </w:r>
      <w:r w:rsidR="00342D7E">
        <w:t> </w:t>
      </w:r>
      <w:r w:rsidR="00342D7E" w:rsidRPr="00342D7E">
        <w:t>1</w:t>
      </w:r>
      <w:r w:rsidRPr="00342D7E">
        <w:t>03, jak również kwotę rezerw, które należy obowiązkowo utrzymywać</w:t>
      </w:r>
      <w:r w:rsidR="00342D7E" w:rsidRPr="00342D7E">
        <w:t xml:space="preserve"> z</w:t>
      </w:r>
      <w:r w:rsidR="00342D7E">
        <w:t> </w:t>
      </w:r>
      <w:r w:rsidR="00342D7E" w:rsidRPr="00342D7E">
        <w:t>tyt</w:t>
      </w:r>
      <w:r w:rsidRPr="00342D7E">
        <w:t>ułu tych ekspozycji pozabilansowych.</w:t>
      </w:r>
    </w:p>
    <w:p w:rsidR="00D35B0C" w:rsidRPr="00342D7E" w:rsidRDefault="00A834F1">
      <w:pPr>
        <w:pStyle w:val="Baseparagraphnumbered"/>
      </w:pPr>
      <w:r w:rsidRPr="00342D7E">
        <w:t>„Zobowiązania do udzielenia pożyczki” są uprawdopodobnionymi przyszłymi zobowiązaniami do udzielenia kredytu na ustalonych wcześniej warunkach,</w:t>
      </w:r>
      <w:r w:rsidR="00342D7E" w:rsidRPr="00342D7E">
        <w:t xml:space="preserve"> z</w:t>
      </w:r>
      <w:r w:rsidR="00342D7E">
        <w:t> </w:t>
      </w:r>
      <w:r w:rsidR="00342D7E" w:rsidRPr="00342D7E">
        <w:t>wyj</w:t>
      </w:r>
      <w:r w:rsidRPr="00342D7E">
        <w:t>ątkiem tych, które są instrumentami pochodnymi, ponieważ mogą być rozliczane netto</w:t>
      </w:r>
      <w:r w:rsidR="00342D7E" w:rsidRPr="00342D7E">
        <w:t xml:space="preserve"> w</w:t>
      </w:r>
      <w:r w:rsidR="00342D7E">
        <w:t> </w:t>
      </w:r>
      <w:r w:rsidR="00342D7E" w:rsidRPr="00342D7E">
        <w:t>śro</w:t>
      </w:r>
      <w:r w:rsidRPr="00342D7E">
        <w:t xml:space="preserve">dkach pieniężnych bądź poprzez dostarczenie lub wyemitowanie innego instrumentu finansowego. Jako „Zobowiązania do udzielenia pożyczki” klasyfikuje się następujące pozycje załącznika I do CRR: </w:t>
      </w:r>
    </w:p>
    <w:p w:rsidR="00D35B0C" w:rsidRPr="00342D7E" w:rsidRDefault="00A834F1" w:rsidP="00056B6F">
      <w:pPr>
        <w:pStyle w:val="Baseparagraphnumbered"/>
        <w:numPr>
          <w:ilvl w:val="0"/>
          <w:numId w:val="43"/>
        </w:numPr>
      </w:pPr>
      <w:r w:rsidRPr="00342D7E">
        <w:t>„depozyty terminowe typu forward”;</w:t>
      </w:r>
    </w:p>
    <w:p w:rsidR="00D35B0C" w:rsidRPr="00342D7E" w:rsidRDefault="00A834F1" w:rsidP="00056B6F">
      <w:pPr>
        <w:pStyle w:val="Baseparagraphnumbered"/>
        <w:numPr>
          <w:ilvl w:val="0"/>
          <w:numId w:val="43"/>
        </w:numPr>
      </w:pPr>
      <w:r w:rsidRPr="00342D7E">
        <w:t>„niewykorzystane zobowiązania kredytowe”, które obejmują zobowiązania do „udzielenia kredytu” lub „udzielenia akceptu” na ustalonych wcześniej warunkach.</w:t>
      </w:r>
    </w:p>
    <w:p w:rsidR="00D35B0C" w:rsidRPr="00342D7E" w:rsidRDefault="00A834F1">
      <w:pPr>
        <w:pStyle w:val="Baseparagraphnumbered"/>
      </w:pPr>
      <w:r w:rsidRPr="00342D7E">
        <w:t>„Gwarancje finansowe” są to umowy zobowiązujące ich wystawcę do dokonania określonych płatności rekompensujących posiadaczowi stratę, jaką poniesie</w:t>
      </w:r>
      <w:r w:rsidR="00342D7E" w:rsidRPr="00342D7E">
        <w:t xml:space="preserve"> z</w:t>
      </w:r>
      <w:r w:rsidR="00342D7E">
        <w:t> </w:t>
      </w:r>
      <w:r w:rsidR="00342D7E" w:rsidRPr="00342D7E">
        <w:t>pow</w:t>
      </w:r>
      <w:r w:rsidRPr="00342D7E">
        <w:t>odu niedokonania przez określonego dłużnika płatności</w:t>
      </w:r>
      <w:r w:rsidR="00342D7E" w:rsidRPr="00342D7E">
        <w:t xml:space="preserve"> w</w:t>
      </w:r>
      <w:r w:rsidR="00342D7E">
        <w:t> </w:t>
      </w:r>
      <w:r w:rsidR="00342D7E" w:rsidRPr="00342D7E">
        <w:t>ter</w:t>
      </w:r>
      <w:r w:rsidRPr="00342D7E">
        <w:t>minie zgodnie</w:t>
      </w:r>
      <w:r w:rsidR="00342D7E" w:rsidRPr="00342D7E">
        <w:t xml:space="preserve"> z</w:t>
      </w:r>
      <w:r w:rsidR="00342D7E">
        <w:t> </w:t>
      </w:r>
      <w:r w:rsidR="00342D7E" w:rsidRPr="00342D7E">
        <w:t>pie</w:t>
      </w:r>
      <w:r w:rsidRPr="00342D7E">
        <w:t>rwotnymi lub zmienionymi warunkami instrumentu dłużnego,</w:t>
      </w:r>
      <w:r w:rsidR="00342D7E" w:rsidRPr="00342D7E">
        <w:t xml:space="preserve"> w</w:t>
      </w:r>
      <w:r w:rsidR="00342D7E">
        <w:t> </w:t>
      </w:r>
      <w:r w:rsidR="00342D7E" w:rsidRPr="00342D7E">
        <w:t>tym</w:t>
      </w:r>
      <w:r w:rsidRPr="00342D7E">
        <w:t xml:space="preserve"> gwarancje udzielone</w:t>
      </w:r>
      <w:r w:rsidR="00342D7E" w:rsidRPr="00342D7E">
        <w:t xml:space="preserve"> w</w:t>
      </w:r>
      <w:r w:rsidR="00342D7E">
        <w:t> </w:t>
      </w:r>
      <w:r w:rsidR="00342D7E" w:rsidRPr="00342D7E">
        <w:t>sto</w:t>
      </w:r>
      <w:r w:rsidRPr="00342D7E">
        <w:t>sunku do innych gwarancji finansowych. Zgodnie z MSSF te umowy muszą spełniać kryteria definicji umów gwarancji finansowych zawartej w MSSF 9 pkt</w:t>
      </w:r>
      <w:r w:rsidR="00342D7E" w:rsidRPr="00342D7E">
        <w:t> </w:t>
      </w:r>
      <w:r w:rsidRPr="00342D7E">
        <w:t>2.1 lit.</w:t>
      </w:r>
      <w:r w:rsidR="00342D7E" w:rsidRPr="00342D7E">
        <w:t> </w:t>
      </w:r>
      <w:r w:rsidRPr="00342D7E">
        <w:t xml:space="preserve">e) i MSSF 4 pkt </w:t>
      </w:r>
      <w:r w:rsidRPr="00342D7E">
        <w:lastRenderedPageBreak/>
        <w:t xml:space="preserve">A. Jako „gwarancje finansowe” klasyfikuje się następujące pozycje załącznika I do CRR: </w:t>
      </w:r>
    </w:p>
    <w:p w:rsidR="00D35B0C" w:rsidRPr="00342D7E" w:rsidRDefault="00A834F1" w:rsidP="00056B6F">
      <w:pPr>
        <w:pStyle w:val="Baseparagraphnumbered"/>
        <w:numPr>
          <w:ilvl w:val="0"/>
          <w:numId w:val="44"/>
        </w:numPr>
      </w:pPr>
      <w:r w:rsidRPr="00342D7E">
        <w:t xml:space="preserve">„gwarancje mające charakter substytutu kredytu”; </w:t>
      </w:r>
    </w:p>
    <w:p w:rsidR="00D35B0C" w:rsidRPr="00342D7E" w:rsidRDefault="00A834F1" w:rsidP="00056B6F">
      <w:pPr>
        <w:pStyle w:val="Baseparagraphnumbered"/>
        <w:numPr>
          <w:ilvl w:val="0"/>
          <w:numId w:val="44"/>
        </w:numPr>
      </w:pPr>
      <w:r w:rsidRPr="00342D7E">
        <w:t>„kredytowe instrumenty pochodne”, które spełniają kryteria definicji gwarancji finansowej;</w:t>
      </w:r>
    </w:p>
    <w:p w:rsidR="00D35B0C" w:rsidRPr="00342D7E" w:rsidRDefault="00A834F1" w:rsidP="00056B6F">
      <w:pPr>
        <w:pStyle w:val="Baseparagraphnumbered"/>
        <w:numPr>
          <w:ilvl w:val="0"/>
          <w:numId w:val="44"/>
        </w:numPr>
      </w:pPr>
      <w:r w:rsidRPr="00342D7E">
        <w:t>„nieodwołalne akredytywy »standby« mające charakter substytutu kredytu”.</w:t>
      </w:r>
    </w:p>
    <w:p w:rsidR="00D35B0C" w:rsidRPr="00342D7E" w:rsidRDefault="00A834F1">
      <w:pPr>
        <w:pStyle w:val="Baseparagraphnumbered"/>
      </w:pPr>
      <w:r w:rsidRPr="00342D7E">
        <w:t>„Inne zobowiązania” obejmują następujące pozycje załącznika I do CRR:</w:t>
      </w:r>
      <w:r w:rsidR="00342D7E" w:rsidRPr="00342D7E">
        <w:t xml:space="preserve"> </w:t>
      </w:r>
    </w:p>
    <w:p w:rsidR="00D35B0C" w:rsidRPr="00342D7E" w:rsidRDefault="00A834F1" w:rsidP="00056B6F">
      <w:pPr>
        <w:pStyle w:val="Baseparagraphnumbered"/>
        <w:numPr>
          <w:ilvl w:val="0"/>
          <w:numId w:val="45"/>
        </w:numPr>
      </w:pPr>
      <w:r w:rsidRPr="00342D7E">
        <w:t>„niespłacona część częściowo opłaconych akcji</w:t>
      </w:r>
      <w:r w:rsidR="00342D7E" w:rsidRPr="00342D7E">
        <w:t xml:space="preserve"> i</w:t>
      </w:r>
      <w:r w:rsidR="00342D7E">
        <w:t> </w:t>
      </w:r>
      <w:r w:rsidR="00342D7E" w:rsidRPr="00342D7E">
        <w:t>pap</w:t>
      </w:r>
      <w:r w:rsidRPr="00342D7E">
        <w:t xml:space="preserve">ierów wartościowych”; </w:t>
      </w:r>
    </w:p>
    <w:p w:rsidR="00D35B0C" w:rsidRPr="00342D7E" w:rsidRDefault="00A834F1" w:rsidP="00056B6F">
      <w:pPr>
        <w:pStyle w:val="Baseparagraphnumbered"/>
        <w:numPr>
          <w:ilvl w:val="0"/>
          <w:numId w:val="45"/>
        </w:numPr>
      </w:pPr>
      <w:r w:rsidRPr="00342D7E">
        <w:t xml:space="preserve">„akredytywy dokumentowe otwarte lub potwierdzone”; </w:t>
      </w:r>
    </w:p>
    <w:p w:rsidR="00D35B0C" w:rsidRPr="00342D7E" w:rsidRDefault="00A834F1" w:rsidP="00056B6F">
      <w:pPr>
        <w:pStyle w:val="Baseparagraphnumbered"/>
        <w:numPr>
          <w:ilvl w:val="0"/>
          <w:numId w:val="45"/>
        </w:numPr>
      </w:pPr>
      <w:r w:rsidRPr="00342D7E">
        <w:t>„pozycje pozabilansowe związane</w:t>
      </w:r>
      <w:r w:rsidR="00342D7E" w:rsidRPr="00342D7E">
        <w:t xml:space="preserve"> z</w:t>
      </w:r>
      <w:r w:rsidR="00342D7E">
        <w:t> </w:t>
      </w:r>
      <w:r w:rsidR="00342D7E" w:rsidRPr="00342D7E">
        <w:t>fin</w:t>
      </w:r>
      <w:r w:rsidRPr="00342D7E">
        <w:t>ansowaniem handlu”;</w:t>
      </w:r>
    </w:p>
    <w:p w:rsidR="00D35B0C" w:rsidRPr="00342D7E" w:rsidRDefault="00A834F1" w:rsidP="00056B6F">
      <w:pPr>
        <w:pStyle w:val="Baseparagraphnumbered"/>
        <w:numPr>
          <w:ilvl w:val="0"/>
          <w:numId w:val="45"/>
        </w:numPr>
      </w:pPr>
      <w:r w:rsidRPr="00342D7E">
        <w:t>„akredytywy dokumentowe,</w:t>
      </w:r>
      <w:r w:rsidR="00342D7E" w:rsidRPr="00342D7E">
        <w:t xml:space="preserve"> w</w:t>
      </w:r>
      <w:r w:rsidR="00342D7E">
        <w:t> </w:t>
      </w:r>
      <w:r w:rsidR="00342D7E" w:rsidRPr="00342D7E">
        <w:t>prz</w:t>
      </w:r>
      <w:r w:rsidRPr="00342D7E">
        <w:t xml:space="preserve">ypadku których podstawowa wysyłka towaru stanowi zabezpieczenie akredytywy, oraz inne transakcje na warunkach samospłaty”; </w:t>
      </w:r>
    </w:p>
    <w:p w:rsidR="00D35B0C" w:rsidRPr="00342D7E" w:rsidRDefault="00A834F1" w:rsidP="00056B6F">
      <w:pPr>
        <w:pStyle w:val="Baseparagraphnumbered"/>
        <w:numPr>
          <w:ilvl w:val="0"/>
          <w:numId w:val="45"/>
        </w:numPr>
      </w:pPr>
      <w:r w:rsidRPr="00342D7E">
        <w:t>„gwarancje</w:t>
      </w:r>
      <w:r w:rsidR="00342D7E" w:rsidRPr="00342D7E">
        <w:t xml:space="preserve"> i</w:t>
      </w:r>
      <w:r w:rsidR="00342D7E">
        <w:t> </w:t>
      </w:r>
      <w:r w:rsidR="00342D7E" w:rsidRPr="00342D7E">
        <w:t>zab</w:t>
      </w:r>
      <w:r w:rsidRPr="00342D7E">
        <w:t>ezpieczenia” (w tym gwarancje przetargowe</w:t>
      </w:r>
      <w:r w:rsidR="00342D7E" w:rsidRPr="00342D7E">
        <w:t xml:space="preserve"> i</w:t>
      </w:r>
      <w:r w:rsidR="00342D7E">
        <w:t> </w:t>
      </w:r>
      <w:r w:rsidR="00342D7E" w:rsidRPr="00342D7E">
        <w:t>zab</w:t>
      </w:r>
      <w:r w:rsidRPr="00342D7E">
        <w:t>ezpieczenia należytego wykonania umowy) oraz „gwarancje niemające charakteru substytutu kredytu”;</w:t>
      </w:r>
    </w:p>
    <w:p w:rsidR="00D35B0C" w:rsidRPr="00342D7E" w:rsidRDefault="00A834F1" w:rsidP="00056B6F">
      <w:pPr>
        <w:pStyle w:val="Baseparagraphnumbered"/>
        <w:numPr>
          <w:ilvl w:val="0"/>
          <w:numId w:val="45"/>
        </w:numPr>
      </w:pPr>
      <w:r w:rsidRPr="00342D7E">
        <w:t>„gwarancje zapłaty za wysłane towary, gwarancje zapłaty cła</w:t>
      </w:r>
      <w:r w:rsidR="00342D7E" w:rsidRPr="00342D7E">
        <w:t xml:space="preserve"> i</w:t>
      </w:r>
      <w:r w:rsidR="00342D7E">
        <w:t> </w:t>
      </w:r>
      <w:r w:rsidR="00342D7E" w:rsidRPr="00342D7E">
        <w:t>gwa</w:t>
      </w:r>
      <w:r w:rsidRPr="00342D7E">
        <w:t>rancje zapłaty podatku”;</w:t>
      </w:r>
    </w:p>
    <w:p w:rsidR="00D35B0C" w:rsidRPr="00342D7E" w:rsidRDefault="00A834F1" w:rsidP="00056B6F">
      <w:pPr>
        <w:pStyle w:val="Baseparagraphnumbered"/>
        <w:numPr>
          <w:ilvl w:val="0"/>
          <w:numId w:val="45"/>
        </w:numPr>
      </w:pPr>
      <w:r w:rsidRPr="00342D7E">
        <w:t>„programy gwarancji emisji krótkoterminowych” (NIF) i „Odnawialne gwarancje emisji” (RUF);</w:t>
      </w:r>
    </w:p>
    <w:p w:rsidR="00D35B0C" w:rsidRPr="00342D7E" w:rsidRDefault="00A834F1" w:rsidP="00056B6F">
      <w:pPr>
        <w:pStyle w:val="Baseparagraphnumbered"/>
        <w:numPr>
          <w:ilvl w:val="0"/>
          <w:numId w:val="45"/>
        </w:numPr>
      </w:pPr>
      <w:r w:rsidRPr="00342D7E">
        <w:t>„niewykorzystane zobowiązania kredytowe”, które obejmują zobowiązania „udzielenia kredytu” lub „udzielenia akceptu”,</w:t>
      </w:r>
      <w:r w:rsidR="00342D7E" w:rsidRPr="00342D7E">
        <w:t xml:space="preserve"> w</w:t>
      </w:r>
      <w:r w:rsidR="00342D7E">
        <w:t> </w:t>
      </w:r>
      <w:r w:rsidR="00342D7E" w:rsidRPr="00342D7E">
        <w:t>prz</w:t>
      </w:r>
      <w:r w:rsidRPr="00342D7E">
        <w:t xml:space="preserve">ypadku gdy warunki nie zostały wcześniej ustalone; </w:t>
      </w:r>
    </w:p>
    <w:p w:rsidR="00D35B0C" w:rsidRPr="00342D7E" w:rsidRDefault="00A834F1" w:rsidP="00056B6F">
      <w:pPr>
        <w:pStyle w:val="Baseparagraphnumbered"/>
        <w:numPr>
          <w:ilvl w:val="0"/>
          <w:numId w:val="45"/>
        </w:numPr>
      </w:pPr>
      <w:r w:rsidRPr="00342D7E">
        <w:t>„niewykorzystane zobowiązania kredytowe”, które obejmują umowy „zakupu papierów wartościowych” lub „udzielenia gwarancji”;</w:t>
      </w:r>
    </w:p>
    <w:p w:rsidR="00D35B0C" w:rsidRPr="00342D7E" w:rsidRDefault="00A834F1" w:rsidP="00056B6F">
      <w:pPr>
        <w:pStyle w:val="Baseparagraphnumbered"/>
        <w:numPr>
          <w:ilvl w:val="0"/>
          <w:numId w:val="45"/>
        </w:numPr>
      </w:pPr>
      <w:r w:rsidRPr="00342D7E">
        <w:t>„niewykorzystane zobowiązania kredytowe dotyczące gwarancji przetargowych</w:t>
      </w:r>
      <w:r w:rsidR="00342D7E" w:rsidRPr="00342D7E">
        <w:t xml:space="preserve"> i</w:t>
      </w:r>
      <w:r w:rsidR="00342D7E">
        <w:t> </w:t>
      </w:r>
      <w:r w:rsidR="00342D7E" w:rsidRPr="00342D7E">
        <w:t>zab</w:t>
      </w:r>
      <w:r w:rsidRPr="00342D7E">
        <w:t>ezpieczenia należytego wykonania umowy”;</w:t>
      </w:r>
    </w:p>
    <w:p w:rsidR="00D35B0C" w:rsidRPr="00342D7E" w:rsidRDefault="00A834F1" w:rsidP="00056B6F">
      <w:pPr>
        <w:pStyle w:val="Baseparagraphnumbered"/>
        <w:numPr>
          <w:ilvl w:val="0"/>
          <w:numId w:val="45"/>
        </w:numPr>
      </w:pPr>
      <w:r w:rsidRPr="00342D7E">
        <w:t>„inne pozycje pozabilansowe”</w:t>
      </w:r>
      <w:r w:rsidR="00342D7E" w:rsidRPr="00342D7E">
        <w:t xml:space="preserve"> w</w:t>
      </w:r>
      <w:r w:rsidR="00342D7E">
        <w:t> </w:t>
      </w:r>
      <w:r w:rsidR="00342D7E" w:rsidRPr="00342D7E">
        <w:t>zał</w:t>
      </w:r>
      <w:r w:rsidRPr="00342D7E">
        <w:t>ączniku I do CRR.</w:t>
      </w:r>
    </w:p>
    <w:p w:rsidR="00D35B0C" w:rsidRPr="00342D7E" w:rsidRDefault="00A834F1">
      <w:pPr>
        <w:pStyle w:val="Baseparagraphnumbered"/>
      </w:pPr>
      <w:r w:rsidRPr="00342D7E">
        <w:t>Zgodnie z MSSF poniższe pozycje ujmuje się</w:t>
      </w:r>
      <w:r w:rsidR="00342D7E" w:rsidRPr="00342D7E">
        <w:t xml:space="preserve"> w</w:t>
      </w:r>
      <w:r w:rsidR="00342D7E">
        <w:t> </w:t>
      </w:r>
      <w:r w:rsidR="00342D7E" w:rsidRPr="00342D7E">
        <w:t>bil</w:t>
      </w:r>
      <w:r w:rsidRPr="00342D7E">
        <w:t>ansie</w:t>
      </w:r>
      <w:r w:rsidR="00342D7E" w:rsidRPr="00342D7E">
        <w:t xml:space="preserve"> i</w:t>
      </w:r>
      <w:r w:rsidR="00342D7E">
        <w:t> </w:t>
      </w:r>
      <w:r w:rsidR="00342D7E" w:rsidRPr="00342D7E">
        <w:t>w</w:t>
      </w:r>
      <w:r w:rsidR="00342D7E">
        <w:t> </w:t>
      </w:r>
      <w:r w:rsidR="00342D7E" w:rsidRPr="00342D7E">
        <w:t>zwi</w:t>
      </w:r>
      <w:r w:rsidRPr="00342D7E">
        <w:t>ązku</w:t>
      </w:r>
      <w:r w:rsidR="00342D7E" w:rsidRPr="00342D7E">
        <w:t xml:space="preserve"> z</w:t>
      </w:r>
      <w:r w:rsidR="00342D7E">
        <w:t> </w:t>
      </w:r>
      <w:r w:rsidR="00342D7E" w:rsidRPr="00342D7E">
        <w:t>tym</w:t>
      </w:r>
      <w:r w:rsidRPr="00342D7E">
        <w:t xml:space="preserve"> nie należy ich zgłaszać jako ekspozycji pozabilansowych:</w:t>
      </w:r>
    </w:p>
    <w:p w:rsidR="00D35B0C" w:rsidRPr="00342D7E" w:rsidRDefault="00A834F1" w:rsidP="00056B6F">
      <w:pPr>
        <w:pStyle w:val="Baseparagraphnumbered"/>
        <w:numPr>
          <w:ilvl w:val="0"/>
          <w:numId w:val="46"/>
        </w:numPr>
      </w:pPr>
      <w:r w:rsidRPr="00342D7E">
        <w:lastRenderedPageBreak/>
        <w:t>„kredytowe instrumenty pochodne”, które nie spełniają kryteriów definicji gwarancji finansowej, stanowią „instrumenty pochodne” zgodnie z MSSF 9;</w:t>
      </w:r>
    </w:p>
    <w:p w:rsidR="00D35B0C" w:rsidRPr="00342D7E" w:rsidRDefault="00A834F1" w:rsidP="00056B6F">
      <w:pPr>
        <w:pStyle w:val="Baseparagraphnumbered"/>
        <w:numPr>
          <w:ilvl w:val="0"/>
          <w:numId w:val="46"/>
        </w:numPr>
      </w:pPr>
      <w:r w:rsidRPr="00342D7E">
        <w:t xml:space="preserve"> „akcepty” stanowią zobowiązania instytucji do wypłacenia</w:t>
      </w:r>
      <w:r w:rsidR="00342D7E" w:rsidRPr="00342D7E">
        <w:t xml:space="preserve"> w</w:t>
      </w:r>
      <w:r w:rsidR="00342D7E">
        <w:t> </w:t>
      </w:r>
      <w:r w:rsidR="00342D7E" w:rsidRPr="00342D7E">
        <w:t>ter</w:t>
      </w:r>
      <w:r w:rsidRPr="00342D7E">
        <w:t>minie zapadalności wartości nominalnej weksla, zazwyczaj obejmującego sprzedaż towarów</w:t>
      </w:r>
      <w:r w:rsidR="00342D7E" w:rsidRPr="00342D7E">
        <w:t>. W</w:t>
      </w:r>
      <w:r w:rsidR="00342D7E">
        <w:t> </w:t>
      </w:r>
      <w:r w:rsidR="00342D7E" w:rsidRPr="00342D7E">
        <w:t>zwi</w:t>
      </w:r>
      <w:r w:rsidRPr="00342D7E">
        <w:t>ązku</w:t>
      </w:r>
      <w:r w:rsidR="00342D7E" w:rsidRPr="00342D7E">
        <w:t xml:space="preserve"> z</w:t>
      </w:r>
      <w:r w:rsidR="00342D7E">
        <w:t> </w:t>
      </w:r>
      <w:r w:rsidR="00342D7E" w:rsidRPr="00342D7E">
        <w:t>tym</w:t>
      </w:r>
      <w:r w:rsidRPr="00342D7E">
        <w:t xml:space="preserve"> klasyfikuje się je</w:t>
      </w:r>
      <w:r w:rsidR="00342D7E" w:rsidRPr="00342D7E">
        <w:t xml:space="preserve"> w</w:t>
      </w:r>
      <w:r w:rsidR="00342D7E">
        <w:t> </w:t>
      </w:r>
      <w:r w:rsidR="00342D7E" w:rsidRPr="00342D7E">
        <w:t>bil</w:t>
      </w:r>
      <w:r w:rsidRPr="00342D7E">
        <w:t>ansie jako „należności</w:t>
      </w:r>
      <w:r w:rsidR="00342D7E" w:rsidRPr="00342D7E">
        <w:t xml:space="preserve"> z</w:t>
      </w:r>
      <w:r w:rsidR="00342D7E">
        <w:t> </w:t>
      </w:r>
      <w:r w:rsidR="00342D7E" w:rsidRPr="00342D7E">
        <w:t>tyt</w:t>
      </w:r>
      <w:r w:rsidRPr="00342D7E">
        <w:t>ułu dostaw</w:t>
      </w:r>
      <w:r w:rsidR="00342D7E" w:rsidRPr="00342D7E">
        <w:t xml:space="preserve"> i</w:t>
      </w:r>
      <w:r w:rsidR="00342D7E">
        <w:t> </w:t>
      </w:r>
      <w:r w:rsidR="00342D7E" w:rsidRPr="00342D7E">
        <w:t>usł</w:t>
      </w:r>
      <w:r w:rsidRPr="00342D7E">
        <w:t>ug”;</w:t>
      </w:r>
    </w:p>
    <w:p w:rsidR="00D35B0C" w:rsidRPr="00342D7E" w:rsidRDefault="00A834F1" w:rsidP="00056B6F">
      <w:pPr>
        <w:pStyle w:val="Baseparagraphnumbered"/>
        <w:numPr>
          <w:ilvl w:val="0"/>
          <w:numId w:val="46"/>
        </w:numPr>
      </w:pPr>
      <w:r w:rsidRPr="00342D7E">
        <w:t>„poręczenia wekslowe”, które nie spełniają kryteriów zaprzestania ujmowania przewidzianych w MSSF 9;</w:t>
      </w:r>
    </w:p>
    <w:p w:rsidR="00D35B0C" w:rsidRPr="00342D7E" w:rsidRDefault="00A834F1" w:rsidP="00056B6F">
      <w:pPr>
        <w:pStyle w:val="Baseparagraphnumbered"/>
        <w:numPr>
          <w:ilvl w:val="0"/>
          <w:numId w:val="46"/>
        </w:numPr>
      </w:pPr>
      <w:r w:rsidRPr="00342D7E">
        <w:t>„transakcje</w:t>
      </w:r>
      <w:r w:rsidR="00342D7E" w:rsidRPr="00342D7E">
        <w:t xml:space="preserve"> z</w:t>
      </w:r>
      <w:r w:rsidR="00342D7E">
        <w:t> </w:t>
      </w:r>
      <w:r w:rsidR="00342D7E" w:rsidRPr="00342D7E">
        <w:t>pra</w:t>
      </w:r>
      <w:r w:rsidRPr="00342D7E">
        <w:t>wem regresu”, które nie spełniają kryteriów zaprzestania ujmowania przewidzianych w MSSF 9;</w:t>
      </w:r>
    </w:p>
    <w:p w:rsidR="00D35B0C" w:rsidRPr="00342D7E" w:rsidRDefault="00A834F1" w:rsidP="00056B6F">
      <w:pPr>
        <w:pStyle w:val="Baseparagraphnumbered"/>
        <w:numPr>
          <w:ilvl w:val="0"/>
          <w:numId w:val="46"/>
        </w:numPr>
      </w:pPr>
      <w:r w:rsidRPr="00342D7E">
        <w:t>„aktywa nabyte</w:t>
      </w:r>
      <w:r w:rsidR="00342D7E" w:rsidRPr="00342D7E">
        <w:t xml:space="preserve"> w</w:t>
      </w:r>
      <w:r w:rsidR="00342D7E">
        <w:t> </w:t>
      </w:r>
      <w:r w:rsidR="00342D7E" w:rsidRPr="00342D7E">
        <w:t>ram</w:t>
      </w:r>
      <w:r w:rsidRPr="00342D7E">
        <w:t>ach bezwarunkowych transakcji terminowych” stanowią „instrumenty pochodne” zgodnie z MSSF 9;</w:t>
      </w:r>
    </w:p>
    <w:p w:rsidR="00D35B0C" w:rsidRPr="00342D7E" w:rsidRDefault="00A834F1" w:rsidP="00056B6F">
      <w:pPr>
        <w:pStyle w:val="Baseparagraphnumbered"/>
        <w:numPr>
          <w:ilvl w:val="0"/>
          <w:numId w:val="46"/>
        </w:numPr>
      </w:pPr>
      <w:r w:rsidRPr="00342D7E">
        <w:t>„umowy sprzedaży aktywów</w:t>
      </w:r>
      <w:r w:rsidR="00342D7E" w:rsidRPr="00342D7E">
        <w:t xml:space="preserve"> z</w:t>
      </w:r>
      <w:r w:rsidR="00342D7E">
        <w:t> </w:t>
      </w:r>
      <w:r w:rsidR="00342D7E" w:rsidRPr="00342D7E">
        <w:t>prz</w:t>
      </w:r>
      <w:r w:rsidRPr="00342D7E">
        <w:t>yrzeczeniem odkupu</w:t>
      </w:r>
      <w:r w:rsidR="00342D7E" w:rsidRPr="00342D7E">
        <w:t xml:space="preserve"> w</w:t>
      </w:r>
      <w:r w:rsidR="00342D7E">
        <w:t> </w:t>
      </w:r>
      <w:r w:rsidR="00342D7E" w:rsidRPr="00342D7E">
        <w:t>roz</w:t>
      </w:r>
      <w:r w:rsidRPr="00342D7E">
        <w:t>umieniu art.</w:t>
      </w:r>
      <w:r w:rsidR="00342D7E" w:rsidRPr="00342D7E">
        <w:t> </w:t>
      </w:r>
      <w:r w:rsidRPr="00342D7E">
        <w:t>12 ust.</w:t>
      </w:r>
      <w:r w:rsidR="00342D7E" w:rsidRPr="00342D7E">
        <w:t> </w:t>
      </w:r>
      <w:r w:rsidRPr="00342D7E">
        <w:t>3</w:t>
      </w:r>
      <w:r w:rsidR="00342D7E" w:rsidRPr="00342D7E">
        <w:t xml:space="preserve"> i</w:t>
      </w:r>
      <w:r w:rsidR="00342D7E">
        <w:t> </w:t>
      </w:r>
      <w:r w:rsidR="00342D7E" w:rsidRPr="00342D7E">
        <w:t>5</w:t>
      </w:r>
      <w:r w:rsidRPr="00342D7E">
        <w:t xml:space="preserve"> dyrektywy 86/635/EWG”. Na mocy tego rodzaju umów jednostka przejmująca może, ale nie musi, zwrócić aktywa po wcześniej uzgodnionej cenie</w:t>
      </w:r>
      <w:r w:rsidR="00342D7E" w:rsidRPr="00342D7E">
        <w:t xml:space="preserve"> w</w:t>
      </w:r>
      <w:r w:rsidR="00342D7E">
        <w:t> </w:t>
      </w:r>
      <w:r w:rsidR="00342D7E" w:rsidRPr="00342D7E">
        <w:t>upr</w:t>
      </w:r>
      <w:r w:rsidRPr="00342D7E">
        <w:t>zednio wyznaczonym terminie lub</w:t>
      </w:r>
      <w:r w:rsidR="00342D7E" w:rsidRPr="00342D7E">
        <w:t xml:space="preserve"> w</w:t>
      </w:r>
      <w:r w:rsidR="00342D7E">
        <w:t> </w:t>
      </w:r>
      <w:r w:rsidR="00342D7E" w:rsidRPr="00342D7E">
        <w:t>ter</w:t>
      </w:r>
      <w:r w:rsidRPr="00342D7E">
        <w:t>minie, który zostanie wyznaczony</w:t>
      </w:r>
      <w:r w:rsidR="00342D7E" w:rsidRPr="00342D7E">
        <w:t xml:space="preserve"> w</w:t>
      </w:r>
      <w:r w:rsidR="00342D7E">
        <w:t> </w:t>
      </w:r>
      <w:r w:rsidR="00342D7E" w:rsidRPr="00342D7E">
        <w:t>prz</w:t>
      </w:r>
      <w:r w:rsidRPr="00342D7E">
        <w:t>yszłości. Dlatego też takie umowy spełniają kryteria definicji instrumentów pochodnych przedstawionej w MSSF 9 załącznik A.</w:t>
      </w:r>
    </w:p>
    <w:p w:rsidR="00D35B0C" w:rsidRPr="00342D7E" w:rsidRDefault="00A834F1">
      <w:pPr>
        <w:pStyle w:val="Baseparagraphnumbered"/>
      </w:pPr>
      <w:r w:rsidRPr="00342D7E">
        <w:t>W pozycji „w tym: nieobsługiwane” ujmuje się kwotę nominalną tych udzielonych zobowiązań do udzielenia pożyczki, gwarancji finansowych</w:t>
      </w:r>
      <w:r w:rsidR="00342D7E" w:rsidRPr="00342D7E">
        <w:t xml:space="preserve"> i</w:t>
      </w:r>
      <w:r w:rsidR="00342D7E">
        <w:t> </w:t>
      </w:r>
      <w:r w:rsidR="00342D7E" w:rsidRPr="00342D7E">
        <w:t>inn</w:t>
      </w:r>
      <w:r w:rsidRPr="00342D7E">
        <w:t>ych zobowiązań, które uznaje się za nieobsługiwane zgodnie</w:t>
      </w:r>
      <w:r w:rsidR="00342D7E" w:rsidRPr="00342D7E">
        <w:t xml:space="preserve"> z</w:t>
      </w:r>
      <w:r w:rsidR="00342D7E">
        <w:t> </w:t>
      </w:r>
      <w:r w:rsidR="00342D7E" w:rsidRPr="00342D7E">
        <w:t>pkt </w:t>
      </w:r>
      <w:r w:rsidRPr="00342D7E">
        <w:t>213–239 niniejszej części.</w:t>
      </w:r>
    </w:p>
    <w:p w:rsidR="00D35B0C" w:rsidRPr="00342D7E" w:rsidRDefault="00A834F1">
      <w:pPr>
        <w:pStyle w:val="Baseparagraphnumbered"/>
      </w:pPr>
      <w:r w:rsidRPr="00342D7E">
        <w:t>W odniesieniu do udzielonych gwarancji finansowych, zobowiązań do udzielenia pożyczki</w:t>
      </w:r>
      <w:r w:rsidR="00342D7E" w:rsidRPr="00342D7E">
        <w:t xml:space="preserve"> i</w:t>
      </w:r>
      <w:r w:rsidR="00342D7E">
        <w:t> </w:t>
      </w:r>
      <w:r w:rsidR="00342D7E" w:rsidRPr="00342D7E">
        <w:t>inn</w:t>
      </w:r>
      <w:r w:rsidRPr="00342D7E">
        <w:t>ych zobowiązań „Kwota nominalna” oznacza kwotę najlepiej odzwierciedlającą maksymalną ekspozycję instytucji na ryzyko kredytowe, nie uwzględniając żadnych ustanowionych zabezpieczeń lub innych instrumentów wsparcia jakości kredytowej</w:t>
      </w:r>
      <w:r w:rsidR="00342D7E" w:rsidRPr="00342D7E">
        <w:t>. W</w:t>
      </w:r>
      <w:r w:rsidR="00342D7E">
        <w:t> </w:t>
      </w:r>
      <w:r w:rsidR="00342D7E" w:rsidRPr="00342D7E">
        <w:t>szc</w:t>
      </w:r>
      <w:r w:rsidRPr="00342D7E">
        <w:t>zególności</w:t>
      </w:r>
      <w:r w:rsidR="00342D7E" w:rsidRPr="00342D7E">
        <w:t xml:space="preserve"> w</w:t>
      </w:r>
      <w:r w:rsidR="00342D7E">
        <w:t> </w:t>
      </w:r>
      <w:r w:rsidR="00342D7E" w:rsidRPr="00342D7E">
        <w:t>odn</w:t>
      </w:r>
      <w:r w:rsidRPr="00342D7E">
        <w:t>iesieniu do udzielonych gwarancji finansowych kwota nominalna oznacza maksymalną kwotę, którą jednostka musiałaby zapłacić</w:t>
      </w:r>
      <w:r w:rsidR="00342D7E" w:rsidRPr="00342D7E">
        <w:t xml:space="preserve"> w</w:t>
      </w:r>
      <w:r w:rsidR="00342D7E">
        <w:t> </w:t>
      </w:r>
      <w:r w:rsidR="00342D7E" w:rsidRPr="00342D7E">
        <w:t>prz</w:t>
      </w:r>
      <w:r w:rsidRPr="00342D7E">
        <w:t>ypadku konieczności wypłaty świadczenia</w:t>
      </w:r>
      <w:r w:rsidR="00342D7E" w:rsidRPr="00342D7E">
        <w:t xml:space="preserve"> z</w:t>
      </w:r>
      <w:r w:rsidR="00342D7E">
        <w:t> </w:t>
      </w:r>
      <w:r w:rsidR="00342D7E" w:rsidRPr="00342D7E">
        <w:t>tyt</w:t>
      </w:r>
      <w:r w:rsidRPr="00342D7E">
        <w:t>ułu gwarancji</w:t>
      </w:r>
      <w:r w:rsidR="00342D7E" w:rsidRPr="00342D7E">
        <w:t>. W</w:t>
      </w:r>
      <w:r w:rsidR="00342D7E">
        <w:t> </w:t>
      </w:r>
      <w:r w:rsidR="00342D7E" w:rsidRPr="00342D7E">
        <w:t>odn</w:t>
      </w:r>
      <w:r w:rsidRPr="00342D7E">
        <w:t>iesieniu do zobowiązań do udzielenia pożyczki kwota nominalna oznacza niewykorzystaną kwotę, którą instytucja zobowiązała się pożyczyć. Kwoty nominalne są to wartości ekspozycji przed zastosowaniem współczynników konwersji</w:t>
      </w:r>
      <w:r w:rsidR="00342D7E" w:rsidRPr="00342D7E">
        <w:t xml:space="preserve"> i</w:t>
      </w:r>
      <w:r w:rsidR="00342D7E">
        <w:t> </w:t>
      </w:r>
      <w:r w:rsidR="00342D7E" w:rsidRPr="00342D7E">
        <w:t>tec</w:t>
      </w:r>
      <w:r w:rsidRPr="00342D7E">
        <w:t>hnik ograniczania ryzyka kredytowego.</w:t>
      </w:r>
    </w:p>
    <w:p w:rsidR="00D35B0C" w:rsidRPr="00342D7E" w:rsidRDefault="00A834F1">
      <w:pPr>
        <w:pStyle w:val="Baseparagraphnumbered"/>
      </w:pPr>
      <w:r w:rsidRPr="00342D7E">
        <w:t>We wzorze 9.2,</w:t>
      </w:r>
      <w:r w:rsidR="00342D7E" w:rsidRPr="00342D7E">
        <w:t xml:space="preserve"> </w:t>
      </w:r>
      <w:proofErr w:type="gramStart"/>
      <w:r w:rsidR="00342D7E" w:rsidRPr="00342D7E">
        <w:t>w</w:t>
      </w:r>
      <w:proofErr w:type="gramEnd"/>
      <w:r w:rsidR="00342D7E">
        <w:t> </w:t>
      </w:r>
      <w:r w:rsidR="00342D7E" w:rsidRPr="00342D7E">
        <w:t>odn</w:t>
      </w:r>
      <w:r w:rsidRPr="00342D7E">
        <w:t>iesieniu do otrzymanych zobowiązań do udzielenia pożyczki, kwota nominalna oznacza całkowitą niewykorzystaną kwotę, którą kontrahent zobowiązał się pożyczyć instytucji</w:t>
      </w:r>
      <w:r w:rsidR="00342D7E" w:rsidRPr="00342D7E">
        <w:t>. W</w:t>
      </w:r>
      <w:r w:rsidR="00342D7E">
        <w:t> </w:t>
      </w:r>
      <w:r w:rsidR="00342D7E" w:rsidRPr="00342D7E">
        <w:t>odn</w:t>
      </w:r>
      <w:r w:rsidRPr="00342D7E">
        <w:t>iesieniu do innych otrzymanych zobowiązań kwota nominalna oznacza całkowitą kwotę, do której zobowiązała się druga strona transakcji</w:t>
      </w:r>
      <w:r w:rsidR="00342D7E" w:rsidRPr="00342D7E">
        <w:t>. W</w:t>
      </w:r>
      <w:r w:rsidR="00342D7E">
        <w:t> </w:t>
      </w:r>
      <w:r w:rsidR="00342D7E" w:rsidRPr="00342D7E">
        <w:t>odn</w:t>
      </w:r>
      <w:r w:rsidRPr="00342D7E">
        <w:t xml:space="preserve">iesieniu do otrzymanych gwarancji finansowych „maksymalna uznawalna kwota </w:t>
      </w:r>
      <w:r w:rsidRPr="00342D7E">
        <w:lastRenderedPageBreak/>
        <w:t>gwarancji” oznacza maksymalną kwotę, którą kontrahent musiałby zapłacić</w:t>
      </w:r>
      <w:r w:rsidR="00342D7E" w:rsidRPr="00342D7E">
        <w:t xml:space="preserve"> w</w:t>
      </w:r>
      <w:r w:rsidR="00342D7E">
        <w:t> </w:t>
      </w:r>
      <w:r w:rsidR="00342D7E" w:rsidRPr="00342D7E">
        <w:t>prz</w:t>
      </w:r>
      <w:r w:rsidRPr="00342D7E">
        <w:t>ypadku konieczności wypłaty świadczenia</w:t>
      </w:r>
      <w:r w:rsidR="00342D7E" w:rsidRPr="00342D7E">
        <w:t xml:space="preserve"> z</w:t>
      </w:r>
      <w:r w:rsidR="00342D7E">
        <w:t> </w:t>
      </w:r>
      <w:r w:rsidR="00342D7E" w:rsidRPr="00342D7E">
        <w:t>tyt</w:t>
      </w:r>
      <w:r w:rsidRPr="00342D7E">
        <w:t>ułu gwarancji. Jeżeli otrzymana gwarancja finansowa została wystawiona przez więcej niż jednego gwaranta, kwotę objętą gwarancją zgłasza się</w:t>
      </w:r>
      <w:r w:rsidR="00342D7E" w:rsidRPr="00342D7E">
        <w:t xml:space="preserve"> w</w:t>
      </w:r>
      <w:r w:rsidR="00342D7E">
        <w:t> </w:t>
      </w:r>
      <w:r w:rsidR="00342D7E" w:rsidRPr="00342D7E">
        <w:t>tym</w:t>
      </w:r>
      <w:r w:rsidRPr="00342D7E">
        <w:t xml:space="preserve"> wzorze tylko raz; kwotę objętą gwarancją przypisuje się gwarantowi, który ma większe znaczenie dla ograniczenia ryzyka kredytowego.</w:t>
      </w:r>
    </w:p>
    <w:p w:rsidR="00D35B0C" w:rsidRPr="00342D7E" w:rsidRDefault="00A834F1" w:rsidP="00056B6F">
      <w:pPr>
        <w:pStyle w:val="subtitlenumbered"/>
        <w:numPr>
          <w:ilvl w:val="0"/>
          <w:numId w:val="11"/>
        </w:numPr>
        <w:jc w:val="both"/>
      </w:pPr>
      <w:bookmarkStart w:id="25" w:name="_Toc31019127"/>
      <w:r w:rsidRPr="00342D7E">
        <w:t>Instrumenty pochodne</w:t>
      </w:r>
      <w:r w:rsidR="00342D7E" w:rsidRPr="00342D7E">
        <w:t xml:space="preserve"> i</w:t>
      </w:r>
      <w:r w:rsidR="00342D7E">
        <w:t> </w:t>
      </w:r>
      <w:r w:rsidR="00342D7E" w:rsidRPr="00342D7E">
        <w:t>rac</w:t>
      </w:r>
      <w:r w:rsidRPr="00342D7E">
        <w:t>hunkowość zabezpieczeń (10</w:t>
      </w:r>
      <w:r w:rsidR="00342D7E" w:rsidRPr="00342D7E">
        <w:t xml:space="preserve"> i</w:t>
      </w:r>
      <w:r w:rsidR="00342D7E">
        <w:t> </w:t>
      </w:r>
      <w:r w:rsidR="00342D7E" w:rsidRPr="00342D7E">
        <w:t>1</w:t>
      </w:r>
      <w:r w:rsidRPr="00342D7E">
        <w:t>1)</w:t>
      </w:r>
      <w:bookmarkEnd w:id="25"/>
    </w:p>
    <w:p w:rsidR="00D35B0C" w:rsidRPr="00342D7E" w:rsidRDefault="00A834F1">
      <w:pPr>
        <w:pStyle w:val="Baseparagraphnumbered"/>
      </w:pPr>
      <w:r w:rsidRPr="00342D7E">
        <w:t>Do celów wzorów 10</w:t>
      </w:r>
      <w:r w:rsidR="00342D7E" w:rsidRPr="00342D7E">
        <w:t xml:space="preserve"> i</w:t>
      </w:r>
      <w:r w:rsidR="00342D7E">
        <w:t> </w:t>
      </w:r>
      <w:r w:rsidR="00342D7E" w:rsidRPr="00342D7E">
        <w:t>1</w:t>
      </w:r>
      <w:r w:rsidRPr="00342D7E">
        <w:t>1 instrumenty pochodne uznaje się albo za zabezpieczające instrumenty pochodne, jeżeli wykorzystuje się je</w:t>
      </w:r>
      <w:r w:rsidR="00342D7E" w:rsidRPr="00342D7E">
        <w:t xml:space="preserve"> w</w:t>
      </w:r>
      <w:r w:rsidR="00342D7E">
        <w:t> </w:t>
      </w:r>
      <w:r w:rsidR="00342D7E" w:rsidRPr="00342D7E">
        <w:t>ram</w:t>
      </w:r>
      <w:r w:rsidRPr="00342D7E">
        <w:t>ach kwalifikującego się powiązania zabezpieczającego zgodnie MSSF lub mającymi zastosowanie krajowymi ogólnie przyjętymi zasadami rachunkowości opartymi na BAD, albo –</w:t>
      </w:r>
      <w:r w:rsidR="00342D7E" w:rsidRPr="00342D7E">
        <w:t xml:space="preserve"> w</w:t>
      </w:r>
      <w:r w:rsidR="00342D7E">
        <w:t> </w:t>
      </w:r>
      <w:r w:rsidR="00342D7E" w:rsidRPr="00342D7E">
        <w:t>poz</w:t>
      </w:r>
      <w:r w:rsidRPr="00342D7E">
        <w:t xml:space="preserve">ostałych przypadkach – za przeznaczone do obrotu. </w:t>
      </w:r>
    </w:p>
    <w:p w:rsidR="00D35B0C" w:rsidRPr="00342D7E" w:rsidRDefault="00A834F1">
      <w:pPr>
        <w:pStyle w:val="Baseparagraphnumbered"/>
      </w:pPr>
      <w:r w:rsidRPr="00342D7E">
        <w:t>Wartość bilansową</w:t>
      </w:r>
      <w:r w:rsidR="00342D7E" w:rsidRPr="00342D7E">
        <w:t xml:space="preserve"> i</w:t>
      </w:r>
      <w:r w:rsidR="00342D7E">
        <w:t> </w:t>
      </w:r>
      <w:r w:rsidR="00342D7E" w:rsidRPr="00342D7E">
        <w:t>kwo</w:t>
      </w:r>
      <w:r w:rsidRPr="00342D7E">
        <w:t>tę referencyjną instrumentów pochodnych przeznaczonych do obrotu,</w:t>
      </w:r>
      <w:r w:rsidR="00342D7E" w:rsidRPr="00342D7E">
        <w:t xml:space="preserve"> w</w:t>
      </w:r>
      <w:r w:rsidR="00342D7E">
        <w:t> </w:t>
      </w:r>
      <w:r w:rsidR="00342D7E" w:rsidRPr="00342D7E">
        <w:t>tym</w:t>
      </w:r>
      <w:r w:rsidRPr="00342D7E">
        <w:t xml:space="preserve"> zabezpieczeń ekonomicznych, oraz instrumentów pochodnych przeznaczonych do celów rachunkowości zabezpieczeń zgłasza się we wzorze 10</w:t>
      </w:r>
      <w:r w:rsidR="00342D7E" w:rsidRPr="00342D7E">
        <w:t xml:space="preserve"> i</w:t>
      </w:r>
      <w:r w:rsidR="00342D7E">
        <w:t> </w:t>
      </w:r>
      <w:r w:rsidR="00342D7E" w:rsidRPr="00342D7E">
        <w:t>1</w:t>
      </w:r>
      <w:r w:rsidRPr="00342D7E">
        <w:t>1</w:t>
      </w:r>
      <w:r w:rsidR="00342D7E" w:rsidRPr="00342D7E">
        <w:t xml:space="preserve"> w</w:t>
      </w:r>
      <w:r w:rsidR="00342D7E">
        <w:t> </w:t>
      </w:r>
      <w:r w:rsidR="00342D7E" w:rsidRPr="00342D7E">
        <w:t>pod</w:t>
      </w:r>
      <w:r w:rsidRPr="00342D7E">
        <w:t>ziale według rodzaju ryzyka bazowego, rodzaju rynku oraz rodzaju produktu. Instytucje zgłaszają instrumenty pochodne przeznaczone do celów rachunkowości zabezpieczeń również według rodzaju zabezpieczenia. Informacje na temat instrumentów zabezpieczających niebędących instrumentami pochodnymi zgłasza się osobno</w:t>
      </w:r>
      <w:r w:rsidR="00342D7E" w:rsidRPr="00342D7E">
        <w:t xml:space="preserve"> w</w:t>
      </w:r>
      <w:r w:rsidR="00342D7E">
        <w:t> </w:t>
      </w:r>
      <w:r w:rsidR="00342D7E" w:rsidRPr="00342D7E">
        <w:t>pod</w:t>
      </w:r>
      <w:r w:rsidRPr="00342D7E">
        <w:t>ziale na rodzaje zabezpieczeń.</w:t>
      </w:r>
    </w:p>
    <w:p w:rsidR="00D35B0C" w:rsidRPr="00342D7E" w:rsidRDefault="00A834F1">
      <w:pPr>
        <w:pStyle w:val="Baseparagraphnumbered"/>
      </w:pPr>
      <w:r w:rsidRPr="00342D7E">
        <w:t>Zgodnie</w:t>
      </w:r>
      <w:r w:rsidR="00342D7E" w:rsidRPr="00342D7E">
        <w:t xml:space="preserve"> z</w:t>
      </w:r>
      <w:r w:rsidR="00342D7E">
        <w:t> </w:t>
      </w:r>
      <w:r w:rsidR="00342D7E" w:rsidRPr="00342D7E">
        <w:t>odp</w:t>
      </w:r>
      <w:r w:rsidRPr="00342D7E">
        <w:t>owiednimi krajowymi ogólnie przyjętymi zasadami rachunkowości opartymi na BAD</w:t>
      </w:r>
      <w:r w:rsidR="00342D7E" w:rsidRPr="00342D7E">
        <w:t xml:space="preserve"> w</w:t>
      </w:r>
      <w:r w:rsidR="00342D7E">
        <w:t> </w:t>
      </w:r>
      <w:r w:rsidR="00342D7E" w:rsidRPr="00342D7E">
        <w:t>tyc</w:t>
      </w:r>
      <w:r w:rsidRPr="00342D7E">
        <w:t>h wzorach zgłasza się wszystkie instrumenty pochodne, niezależnie od tego, czy zgodnie</w:t>
      </w:r>
      <w:r w:rsidR="00342D7E" w:rsidRPr="00342D7E">
        <w:t xml:space="preserve"> z</w:t>
      </w:r>
      <w:r w:rsidR="00342D7E">
        <w:t> </w:t>
      </w:r>
      <w:r w:rsidR="00342D7E" w:rsidRPr="00342D7E">
        <w:t>odp</w:t>
      </w:r>
      <w:r w:rsidRPr="00342D7E">
        <w:t>owiednimi krajowymi ogólnie przyjętymi zasadami rachunkowości ujmuje się je</w:t>
      </w:r>
      <w:r w:rsidR="00342D7E" w:rsidRPr="00342D7E">
        <w:t xml:space="preserve"> w</w:t>
      </w:r>
      <w:r w:rsidR="00342D7E">
        <w:t> </w:t>
      </w:r>
      <w:r w:rsidR="00342D7E" w:rsidRPr="00342D7E">
        <w:t>bil</w:t>
      </w:r>
      <w:r w:rsidRPr="00342D7E">
        <w:t>ansie, czy też nie.</w:t>
      </w:r>
    </w:p>
    <w:p w:rsidR="00D35B0C" w:rsidRPr="00342D7E" w:rsidRDefault="00A834F1">
      <w:pPr>
        <w:pStyle w:val="Baseparagraphnumbered"/>
      </w:pPr>
      <w:r w:rsidRPr="00342D7E">
        <w:t>Podziału wartości bilansowej, wartości godziwej</w:t>
      </w:r>
      <w:r w:rsidR="00342D7E" w:rsidRPr="00342D7E">
        <w:t xml:space="preserve"> i</w:t>
      </w:r>
      <w:r w:rsidR="00342D7E">
        <w:t> </w:t>
      </w:r>
      <w:r w:rsidR="00342D7E" w:rsidRPr="00342D7E">
        <w:t>kwo</w:t>
      </w:r>
      <w:r w:rsidRPr="00342D7E">
        <w:t>ty referencyjnej instrumentów pochodnych przeznaczonych do obrotu</w:t>
      </w:r>
      <w:r w:rsidR="00342D7E" w:rsidRPr="00342D7E">
        <w:t xml:space="preserve"> i</w:t>
      </w:r>
      <w:r w:rsidR="00342D7E">
        <w:t> </w:t>
      </w:r>
      <w:r w:rsidR="00342D7E" w:rsidRPr="00342D7E">
        <w:t>zab</w:t>
      </w:r>
      <w:r w:rsidRPr="00342D7E">
        <w:t>ezpieczających instrumentów pochodnych według portfeli księgowych</w:t>
      </w:r>
      <w:r w:rsidR="00342D7E" w:rsidRPr="00342D7E">
        <w:t xml:space="preserve"> i</w:t>
      </w:r>
      <w:r w:rsidR="00342D7E">
        <w:t> </w:t>
      </w:r>
      <w:r w:rsidR="00342D7E" w:rsidRPr="00342D7E">
        <w:t>rod</w:t>
      </w:r>
      <w:r w:rsidRPr="00342D7E">
        <w:t>zajów zabezpieczeń dokonuje się</w:t>
      </w:r>
      <w:r w:rsidR="00342D7E" w:rsidRPr="00342D7E">
        <w:t xml:space="preserve"> z</w:t>
      </w:r>
      <w:r w:rsidR="00342D7E">
        <w:t> </w:t>
      </w:r>
      <w:r w:rsidR="00342D7E" w:rsidRPr="00342D7E">
        <w:t>uwz</w:t>
      </w:r>
      <w:r w:rsidRPr="00342D7E">
        <w:t>ględnieniem portfeli księgowych</w:t>
      </w:r>
      <w:r w:rsidR="00342D7E" w:rsidRPr="00342D7E">
        <w:t xml:space="preserve"> i</w:t>
      </w:r>
      <w:r w:rsidR="00342D7E">
        <w:t> </w:t>
      </w:r>
      <w:r w:rsidR="00342D7E" w:rsidRPr="00342D7E">
        <w:t>rod</w:t>
      </w:r>
      <w:r w:rsidRPr="00342D7E">
        <w:t>zajów zabezpieczeń, które mają zastosowanie w MSSF lub krajowych ogólnie przyjętych zasadach rachunkowości opartych na BAD,</w:t>
      </w:r>
      <w:r w:rsidR="00342D7E" w:rsidRPr="00342D7E">
        <w:t xml:space="preserve"> w</w:t>
      </w:r>
      <w:r w:rsidR="00342D7E">
        <w:t> </w:t>
      </w:r>
      <w:r w:rsidR="00342D7E" w:rsidRPr="00342D7E">
        <w:t>zal</w:t>
      </w:r>
      <w:r w:rsidRPr="00342D7E">
        <w:t xml:space="preserve">eżności od tego, które ramy mają zastosowanie do jednostki sprawozdającej. </w:t>
      </w:r>
    </w:p>
    <w:p w:rsidR="00D35B0C" w:rsidRPr="00342D7E" w:rsidRDefault="00A834F1">
      <w:pPr>
        <w:pStyle w:val="Baseparagraphnumbered"/>
      </w:pPr>
      <w:r w:rsidRPr="00342D7E">
        <w:t>Instrumenty pochodne przeznaczone do obrotu</w:t>
      </w:r>
      <w:r w:rsidR="00342D7E" w:rsidRPr="00342D7E">
        <w:t xml:space="preserve"> i</w:t>
      </w:r>
      <w:r w:rsidR="00342D7E">
        <w:t> </w:t>
      </w:r>
      <w:r w:rsidR="00342D7E" w:rsidRPr="00342D7E">
        <w:t>zab</w:t>
      </w:r>
      <w:r w:rsidRPr="00342D7E">
        <w:t>ezpieczające instrumenty pochodne, które zgodnie</w:t>
      </w:r>
      <w:r w:rsidR="00342D7E" w:rsidRPr="00342D7E">
        <w:t xml:space="preserve"> z</w:t>
      </w:r>
      <w:r w:rsidR="00342D7E">
        <w:t> </w:t>
      </w:r>
      <w:r w:rsidR="00342D7E" w:rsidRPr="00342D7E">
        <w:t>kra</w:t>
      </w:r>
      <w:r w:rsidRPr="00342D7E">
        <w:t>jowymi ogólnie przyjętymi zasadami rachunkowości opartymi na BAD wycenia się według ceny nabycia lub LOCOM, identyfikuje się oddzielnie.</w:t>
      </w:r>
    </w:p>
    <w:p w:rsidR="00D35B0C" w:rsidRPr="00342D7E" w:rsidRDefault="00A834F1">
      <w:pPr>
        <w:pStyle w:val="Baseparagraphnumbered"/>
      </w:pPr>
      <w:r w:rsidRPr="00342D7E">
        <w:t>We wzorze 11 ujmuje się instrumenty zabezpieczające oraz pozycje zabezpieczane, niezależnie od standardu rachunkowości użytego</w:t>
      </w:r>
      <w:r w:rsidR="00342D7E" w:rsidRPr="00342D7E">
        <w:t xml:space="preserve"> w</w:t>
      </w:r>
      <w:r w:rsidR="00342D7E">
        <w:t> </w:t>
      </w:r>
      <w:r w:rsidR="00342D7E" w:rsidRPr="00342D7E">
        <w:t>cel</w:t>
      </w:r>
      <w:r w:rsidRPr="00342D7E">
        <w:t>u ujęcia kwalifikującego się powiązania zabezpieczającego,</w:t>
      </w:r>
      <w:r w:rsidR="00342D7E" w:rsidRPr="00342D7E">
        <w:t xml:space="preserve"> w</w:t>
      </w:r>
      <w:r w:rsidR="00342D7E">
        <w:t> </w:t>
      </w:r>
      <w:r w:rsidR="00342D7E" w:rsidRPr="00342D7E">
        <w:t>tym</w:t>
      </w:r>
      <w:r w:rsidRPr="00342D7E">
        <w:t xml:space="preserve"> również</w:t>
      </w:r>
      <w:r w:rsidR="00342D7E" w:rsidRPr="00342D7E">
        <w:t xml:space="preserve"> w</w:t>
      </w:r>
      <w:r w:rsidR="00342D7E">
        <w:t> </w:t>
      </w:r>
      <w:r w:rsidR="00342D7E" w:rsidRPr="00342D7E">
        <w:t>prz</w:t>
      </w:r>
      <w:r w:rsidRPr="00342D7E">
        <w:t xml:space="preserve">ypadku, gdy to kwalifikujące się powiązanie zabezpieczające odnosi się do pozycji netto. Jeżeli instytucja postanowiła nadal stosować MSR 39 do </w:t>
      </w:r>
      <w:r w:rsidRPr="00342D7E">
        <w:lastRenderedPageBreak/>
        <w:t>celów rachunkowości zabezpieczeń (MSSF 9 pkt</w:t>
      </w:r>
      <w:r w:rsidR="00342D7E" w:rsidRPr="00342D7E">
        <w:t> </w:t>
      </w:r>
      <w:r w:rsidRPr="00342D7E">
        <w:t>7.2.21), odniesienia do rodzajów zabezpieczeń</w:t>
      </w:r>
      <w:r w:rsidR="00342D7E" w:rsidRPr="00342D7E">
        <w:t xml:space="preserve"> i</w:t>
      </w:r>
      <w:r w:rsidR="00342D7E">
        <w:t> </w:t>
      </w:r>
      <w:r w:rsidR="00342D7E" w:rsidRPr="00342D7E">
        <w:t>por</w:t>
      </w:r>
      <w:r w:rsidRPr="00342D7E">
        <w:t>tfeli księgowych oraz ich nazwy odczytuje się jako odpowiednie odniesienia</w:t>
      </w:r>
      <w:r w:rsidR="00342D7E" w:rsidRPr="00342D7E">
        <w:t xml:space="preserve"> i</w:t>
      </w:r>
      <w:r w:rsidR="00342D7E">
        <w:t> </w:t>
      </w:r>
      <w:r w:rsidR="00342D7E" w:rsidRPr="00342D7E">
        <w:t>naz</w:t>
      </w:r>
      <w:r w:rsidRPr="00342D7E">
        <w:t>wy w MSR 39 pkt</w:t>
      </w:r>
      <w:r w:rsidR="00342D7E" w:rsidRPr="00342D7E">
        <w:t> </w:t>
      </w:r>
      <w:r w:rsidRPr="00342D7E">
        <w:t>9: „Aktywa finansowe wyceniane według wartości godziwej przez inne całkowite dochody” odnoszą się do „Aktywów dostępnych do sprzedaży”, a „Aktywa wyceniane według kosztu zamortyzowanego” obejmują „Inwestycje utrzymywane do terminu wymagalności” oraz „Pożyczki</w:t>
      </w:r>
      <w:r w:rsidR="00342D7E" w:rsidRPr="00342D7E">
        <w:t xml:space="preserve"> i</w:t>
      </w:r>
      <w:r w:rsidR="00342D7E">
        <w:t> </w:t>
      </w:r>
      <w:r w:rsidR="00342D7E" w:rsidRPr="00342D7E">
        <w:t>nal</w:t>
      </w:r>
      <w:r w:rsidRPr="00342D7E">
        <w:t>eżności”.</w:t>
      </w:r>
    </w:p>
    <w:p w:rsidR="00D35B0C" w:rsidRPr="00342D7E" w:rsidRDefault="00A834F1">
      <w:pPr>
        <w:pStyle w:val="Baseparagraphnumbered"/>
      </w:pPr>
      <w:r w:rsidRPr="00342D7E">
        <w:t>Instrumenty pochodne stanowiące element instrumentów hybrydowych, które zostały oddzielone od umowy zasadniczej, zgłasza się we wzorach 10</w:t>
      </w:r>
      <w:r w:rsidR="00342D7E" w:rsidRPr="00342D7E">
        <w:t xml:space="preserve"> i</w:t>
      </w:r>
      <w:r w:rsidR="00342D7E">
        <w:t> </w:t>
      </w:r>
      <w:r w:rsidR="00342D7E" w:rsidRPr="00342D7E">
        <w:t>1</w:t>
      </w:r>
      <w:r w:rsidRPr="00342D7E">
        <w:t>1 zgodnie</w:t>
      </w:r>
      <w:r w:rsidR="00342D7E" w:rsidRPr="00342D7E">
        <w:t xml:space="preserve"> z</w:t>
      </w:r>
      <w:r w:rsidR="00342D7E">
        <w:t> </w:t>
      </w:r>
      <w:r w:rsidR="00342D7E" w:rsidRPr="00342D7E">
        <w:t>cha</w:t>
      </w:r>
      <w:r w:rsidRPr="00342D7E">
        <w:t>rakterem instrumentu pochodnego. We wspomnianych wzorach nie uwzględnia się kwoty umowy zasadniczej. Jeżeli jednak instrument hybrydowy jest wyceniany według wartości godziwej przez wynik finansowy, umowę zgłasza się jako całość,</w:t>
      </w:r>
      <w:r w:rsidR="00342D7E" w:rsidRPr="00342D7E">
        <w:t xml:space="preserve"> a</w:t>
      </w:r>
      <w:r w:rsidR="00342D7E">
        <w:t> </w:t>
      </w:r>
      <w:r w:rsidR="00342D7E" w:rsidRPr="00342D7E">
        <w:t>wbu</w:t>
      </w:r>
      <w:r w:rsidRPr="00342D7E">
        <w:t>dowanych instrumentów pochodnych nie zgłasza się we wzorach 10</w:t>
      </w:r>
      <w:r w:rsidR="00342D7E" w:rsidRPr="00342D7E">
        <w:t xml:space="preserve"> i</w:t>
      </w:r>
      <w:r w:rsidR="00342D7E">
        <w:t> </w:t>
      </w:r>
      <w:r w:rsidR="00342D7E" w:rsidRPr="00342D7E">
        <w:t>1</w:t>
      </w:r>
      <w:r w:rsidRPr="00342D7E">
        <w:t>1.</w:t>
      </w:r>
    </w:p>
    <w:p w:rsidR="00D35B0C" w:rsidRPr="00342D7E" w:rsidRDefault="00A834F1">
      <w:pPr>
        <w:pStyle w:val="Baseparagraphnumbered"/>
      </w:pPr>
      <w:r w:rsidRPr="00342D7E">
        <w:t>Zobowiązania uznawane za instrumenty pochodne (MSSF 9 pkt</w:t>
      </w:r>
      <w:r w:rsidR="00342D7E" w:rsidRPr="00342D7E">
        <w:t> </w:t>
      </w:r>
      <w:r w:rsidRPr="00342D7E">
        <w:t>2.3 lit.</w:t>
      </w:r>
      <w:r w:rsidR="00342D7E" w:rsidRPr="00342D7E">
        <w:t> </w:t>
      </w:r>
      <w:r w:rsidRPr="00342D7E">
        <w:t>b)) oraz kredytowe instrumenty pochodne, które nie spełniają kryteriów definicji gwarancji finansowej zawartej</w:t>
      </w:r>
      <w:r w:rsidR="00342D7E" w:rsidRPr="00342D7E">
        <w:t xml:space="preserve"> w</w:t>
      </w:r>
      <w:r w:rsidR="00342D7E">
        <w:t> </w:t>
      </w:r>
      <w:r w:rsidR="00342D7E" w:rsidRPr="00342D7E">
        <w:t>pkt </w:t>
      </w:r>
      <w:r w:rsidRPr="00342D7E">
        <w:t>114 niniejszej części</w:t>
      </w:r>
      <w:r w:rsidR="00342D7E" w:rsidRPr="00342D7E">
        <w:t xml:space="preserve"> w</w:t>
      </w:r>
      <w:r w:rsidR="00342D7E">
        <w:t> </w:t>
      </w:r>
      <w:r w:rsidR="00342D7E" w:rsidRPr="00342D7E">
        <w:t>nin</w:t>
      </w:r>
      <w:r w:rsidRPr="00342D7E">
        <w:t>iejszym załączniku, zgłasza się we wzorach 10</w:t>
      </w:r>
      <w:r w:rsidR="00342D7E" w:rsidRPr="00342D7E">
        <w:t xml:space="preserve"> i</w:t>
      </w:r>
      <w:r w:rsidR="00342D7E">
        <w:t> </w:t>
      </w:r>
      <w:r w:rsidR="00342D7E" w:rsidRPr="00342D7E">
        <w:t>1</w:t>
      </w:r>
      <w:r w:rsidRPr="00342D7E">
        <w:t>1</w:t>
      </w:r>
      <w:r w:rsidR="00342D7E" w:rsidRPr="00342D7E">
        <w:t xml:space="preserve"> z</w:t>
      </w:r>
      <w:r w:rsidR="00342D7E">
        <w:t> </w:t>
      </w:r>
      <w:r w:rsidR="00342D7E" w:rsidRPr="00342D7E">
        <w:t>zas</w:t>
      </w:r>
      <w:r w:rsidRPr="00342D7E">
        <w:t>tosowaniem tych samych podziałów jak</w:t>
      </w:r>
      <w:r w:rsidR="00342D7E" w:rsidRPr="00342D7E">
        <w:t xml:space="preserve"> w</w:t>
      </w:r>
      <w:r w:rsidR="00342D7E">
        <w:t> </w:t>
      </w:r>
      <w:r w:rsidR="00342D7E" w:rsidRPr="00342D7E">
        <w:t>prz</w:t>
      </w:r>
      <w:r w:rsidRPr="00342D7E">
        <w:t xml:space="preserve">ypadku innych instrumentów pochodnych, natomiast nie zgłasza się ich we wzorze 9. </w:t>
      </w:r>
    </w:p>
    <w:p w:rsidR="00D35B0C" w:rsidRPr="00342D7E" w:rsidRDefault="00A834F1">
      <w:pPr>
        <w:pStyle w:val="Baseparagraphnumbered"/>
      </w:pPr>
      <w:r w:rsidRPr="00342D7E">
        <w:t xml:space="preserve">Wartość bilansową aktywów finansowych niebędących instrumentami pochodnymi lub zobowiązań finansowych niebędących instrumentami pochodnymi, które ujmuje się jako instrument zabezpieczający zgodnie z MSSF lub odpowiednimi krajowymi ogólnie przyjętymi zasadami rachunkowości opartymi na BAD, zgłasza się osobno we wzorze 11.3. </w:t>
      </w:r>
    </w:p>
    <w:p w:rsidR="00D35B0C" w:rsidRPr="00342D7E" w:rsidRDefault="00A834F1">
      <w:pPr>
        <w:pStyle w:val="sub-subtitlenumbered"/>
        <w:keepNext/>
        <w:ind w:left="788" w:hanging="431"/>
        <w:jc w:val="both"/>
      </w:pPr>
      <w:bookmarkStart w:id="26" w:name="_Toc31019128"/>
      <w:r w:rsidRPr="00342D7E">
        <w:t>Klasyfikacja instrumentów pochodnych według rodzaju ryzyka</w:t>
      </w:r>
      <w:bookmarkEnd w:id="26"/>
    </w:p>
    <w:p w:rsidR="00D35B0C" w:rsidRPr="00342D7E" w:rsidRDefault="00A834F1">
      <w:pPr>
        <w:pStyle w:val="Baseparagraphnumbered"/>
      </w:pPr>
      <w:r w:rsidRPr="00342D7E">
        <w:t>Wszystkie instrumenty pochodne klasyfikuje się do jednej</w:t>
      </w:r>
      <w:r w:rsidR="00342D7E" w:rsidRPr="00342D7E">
        <w:t xml:space="preserve"> z</w:t>
      </w:r>
      <w:r w:rsidR="00342D7E">
        <w:t> </w:t>
      </w:r>
      <w:r w:rsidR="00342D7E" w:rsidRPr="00342D7E">
        <w:t>nas</w:t>
      </w:r>
      <w:r w:rsidRPr="00342D7E">
        <w:t>tępujących kategorii ryzyka:</w:t>
      </w:r>
    </w:p>
    <w:p w:rsidR="00D35B0C" w:rsidRPr="00342D7E" w:rsidRDefault="00A834F1" w:rsidP="00056B6F">
      <w:pPr>
        <w:numPr>
          <w:ilvl w:val="0"/>
          <w:numId w:val="4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ryzyko</w:t>
      </w:r>
      <w:proofErr w:type="gramEnd"/>
      <w:r w:rsidRPr="00342D7E">
        <w:rPr>
          <w:rFonts w:ascii="Times New Roman" w:hAnsi="Times New Roman"/>
          <w:sz w:val="24"/>
          <w:szCs w:val="24"/>
        </w:rPr>
        <w:t xml:space="preserve"> stopy procentowej: instrumenty pochodne stóp procentowych są to kontrakty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opr</w:t>
      </w:r>
      <w:r w:rsidRPr="00342D7E">
        <w:rPr>
          <w:rFonts w:ascii="Times New Roman" w:hAnsi="Times New Roman"/>
          <w:sz w:val="24"/>
          <w:szCs w:val="24"/>
        </w:rPr>
        <w:t>ocentowanym instrumentem finansowym, których przepływy pieniężne ustala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opa</w:t>
      </w:r>
      <w:r w:rsidRPr="00342D7E">
        <w:rPr>
          <w:rFonts w:ascii="Times New Roman" w:hAnsi="Times New Roman"/>
          <w:sz w:val="24"/>
          <w:szCs w:val="24"/>
        </w:rPr>
        <w:t>rciu</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ref</w:t>
      </w:r>
      <w:r w:rsidRPr="00342D7E">
        <w:rPr>
          <w:rFonts w:ascii="Times New Roman" w:hAnsi="Times New Roman"/>
          <w:sz w:val="24"/>
          <w:szCs w:val="24"/>
        </w:rPr>
        <w:t>erencyjne stopy procentowe lub inny kontrakt na stopę procentową, jak np. opcja na kontrakt terminowy typu future przeznaczony na zakup bonu skarbowego. Kategoria ta jest ograniczona do tych transakcji, których wszystkie składniki posiadają ekspozycję wyłącznie na stopę procentową jednej waluty. Tym samym</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kat</w:t>
      </w:r>
      <w:r w:rsidRPr="00342D7E">
        <w:rPr>
          <w:rFonts w:ascii="Times New Roman" w:hAnsi="Times New Roman"/>
          <w:sz w:val="24"/>
          <w:szCs w:val="24"/>
        </w:rPr>
        <w:t>egorii tej wyłączone są kontrakty zawierające element wymiany jednej lub większej liczby walut obcych, takich jak swapy walutowe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opc</w:t>
      </w:r>
      <w:r w:rsidRPr="00342D7E">
        <w:rPr>
          <w:rFonts w:ascii="Times New Roman" w:hAnsi="Times New Roman"/>
          <w:sz w:val="24"/>
          <w:szCs w:val="24"/>
        </w:rPr>
        <w:t>je walutowe, oraz inne kontrakty cechujące się głównie narażeniem na ryzyko walutowe, które należy zgłaszać jako kontrakty walutowe. Jedynym wyjątkiem jest sytuacja, gdy swapy walutowe wykorzystuje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ram</w:t>
      </w:r>
      <w:r w:rsidRPr="00342D7E">
        <w:rPr>
          <w:rFonts w:ascii="Times New Roman" w:hAnsi="Times New Roman"/>
          <w:sz w:val="24"/>
          <w:szCs w:val="24"/>
        </w:rPr>
        <w:t>ach zabezpieczania portfela przed ryzykiem stopy procentowej,</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rym to przypadku zgłasza się je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odp</w:t>
      </w:r>
      <w:r w:rsidRPr="00342D7E">
        <w:rPr>
          <w:rFonts w:ascii="Times New Roman" w:hAnsi="Times New Roman"/>
          <w:sz w:val="24"/>
          <w:szCs w:val="24"/>
        </w:rPr>
        <w:t xml:space="preserve">owiednich wierszach przewidzianych dla tych rodzajów zabezpieczeń. Kontrakty na stopę procentową obejmują kontrakty terminowe na stopę procentową, jednowalutowe swapy stopy procentowej, kontrakty terminowe na stopy procentowe, opcje na stopy </w:t>
      </w:r>
      <w:r w:rsidRPr="00342D7E">
        <w:rPr>
          <w:rFonts w:ascii="Times New Roman" w:hAnsi="Times New Roman"/>
          <w:sz w:val="24"/>
          <w:szCs w:val="24"/>
        </w:rPr>
        <w:lastRenderedPageBreak/>
        <w:t>procentowe (w tym opcje typu cap, floor, collar oraz corridor), swapy stopy procentowej oraz warranty oparte na stopach procentowych;</w:t>
      </w:r>
    </w:p>
    <w:p w:rsidR="00D35B0C" w:rsidRPr="00342D7E" w:rsidRDefault="00A834F1" w:rsidP="00056B6F">
      <w:pPr>
        <w:numPr>
          <w:ilvl w:val="0"/>
          <w:numId w:val="4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ryzyko</w:t>
      </w:r>
      <w:proofErr w:type="gramEnd"/>
      <w:r w:rsidRPr="00342D7E">
        <w:rPr>
          <w:rFonts w:ascii="Times New Roman" w:hAnsi="Times New Roman"/>
          <w:sz w:val="24"/>
          <w:szCs w:val="24"/>
        </w:rPr>
        <w:t xml:space="preserve">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inw</w:t>
      </w:r>
      <w:r w:rsidRPr="00342D7E">
        <w:rPr>
          <w:rFonts w:ascii="Times New Roman" w:hAnsi="Times New Roman"/>
          <w:sz w:val="24"/>
          <w:szCs w:val="24"/>
        </w:rPr>
        <w:t>estowaniem</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akc</w:t>
      </w:r>
      <w:r w:rsidRPr="00342D7E">
        <w:rPr>
          <w:rFonts w:ascii="Times New Roman" w:hAnsi="Times New Roman"/>
          <w:sz w:val="24"/>
          <w:szCs w:val="24"/>
        </w:rPr>
        <w:t>je: instrumenty pochodne na akcje są to kontrakty, których zwrot, lub część zwrotu, jest powiązany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cen</w:t>
      </w:r>
      <w:r w:rsidRPr="00342D7E">
        <w:rPr>
          <w:rFonts w:ascii="Times New Roman" w:hAnsi="Times New Roman"/>
          <w:sz w:val="24"/>
          <w:szCs w:val="24"/>
        </w:rPr>
        <w:t>ą danej akcji lub</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ind</w:t>
      </w:r>
      <w:r w:rsidRPr="00342D7E">
        <w:rPr>
          <w:rFonts w:ascii="Times New Roman" w:hAnsi="Times New Roman"/>
          <w:sz w:val="24"/>
          <w:szCs w:val="24"/>
        </w:rPr>
        <w:t>eksem cen akcji;</w:t>
      </w:r>
    </w:p>
    <w:p w:rsidR="00D35B0C" w:rsidRPr="00342D7E" w:rsidRDefault="00A834F1" w:rsidP="00056B6F">
      <w:pPr>
        <w:numPr>
          <w:ilvl w:val="0"/>
          <w:numId w:val="4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ryzyko</w:t>
      </w:r>
      <w:proofErr w:type="gramEnd"/>
      <w:r w:rsidRPr="00342D7E">
        <w:rPr>
          <w:rFonts w:ascii="Times New Roman" w:hAnsi="Times New Roman"/>
          <w:sz w:val="24"/>
          <w:szCs w:val="24"/>
        </w:rPr>
        <w:t xml:space="preserve">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kur</w:t>
      </w:r>
      <w:r w:rsidRPr="00342D7E">
        <w:rPr>
          <w:rFonts w:ascii="Times New Roman" w:hAnsi="Times New Roman"/>
          <w:sz w:val="24"/>
          <w:szCs w:val="24"/>
        </w:rPr>
        <w:t>sem walutowym</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zło</w:t>
      </w:r>
      <w:r w:rsidRPr="00342D7E">
        <w:rPr>
          <w:rFonts w:ascii="Times New Roman" w:hAnsi="Times New Roman"/>
          <w:sz w:val="24"/>
          <w:szCs w:val="24"/>
        </w:rPr>
        <w:t>tem: przedmiotowe instrumenty pochodne obejmują kontrakty zawierające element wymiany walut na rynku terminowym oraz ekspozycje na złoto. Dlatego też obejmują one bezwarunkowe zakupy terminowe, swapy walutowe (w tym swapy walutowo-procentowe), kontrakty walutowe typu future, opcje walutowe, swapy walutowe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war</w:t>
      </w:r>
      <w:r w:rsidRPr="00342D7E">
        <w:rPr>
          <w:rFonts w:ascii="Times New Roman" w:hAnsi="Times New Roman"/>
          <w:sz w:val="24"/>
          <w:szCs w:val="24"/>
        </w:rPr>
        <w:t>ranty walutowe. Walutowe instrumenty pochodne obejmują wszystkie transakcje wiążące się</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eks</w:t>
      </w:r>
      <w:r w:rsidRPr="00342D7E">
        <w:rPr>
          <w:rFonts w:ascii="Times New Roman" w:hAnsi="Times New Roman"/>
          <w:sz w:val="24"/>
          <w:szCs w:val="24"/>
        </w:rPr>
        <w:t>pozycją na więcej niż jedną walutę, zarówno na kursy wymiany, jak i na stopy procentowe,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wyj</w:t>
      </w:r>
      <w:r w:rsidRPr="00342D7E">
        <w:rPr>
          <w:rFonts w:ascii="Times New Roman" w:hAnsi="Times New Roman"/>
          <w:sz w:val="24"/>
          <w:szCs w:val="24"/>
        </w:rPr>
        <w:t>ątkiem przypadków gdy swapy walutowe są wykorzystywane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ram</w:t>
      </w:r>
      <w:r w:rsidRPr="00342D7E">
        <w:rPr>
          <w:rFonts w:ascii="Times New Roman" w:hAnsi="Times New Roman"/>
          <w:sz w:val="24"/>
          <w:szCs w:val="24"/>
        </w:rPr>
        <w:t>ach zabezpieczania portfela przed ryzykiem stopy procentowej. Umowy dotyczące złota obejmują wszystkie transakcje wiążące się</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eks</w:t>
      </w:r>
      <w:r w:rsidRPr="00342D7E">
        <w:rPr>
          <w:rFonts w:ascii="Times New Roman" w:hAnsi="Times New Roman"/>
          <w:sz w:val="24"/>
          <w:szCs w:val="24"/>
        </w:rPr>
        <w:t>pozycją na ten towar;</w:t>
      </w:r>
    </w:p>
    <w:p w:rsidR="00D35B0C" w:rsidRPr="00342D7E" w:rsidRDefault="00A834F1" w:rsidP="00056B6F">
      <w:pPr>
        <w:numPr>
          <w:ilvl w:val="0"/>
          <w:numId w:val="4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ryzyko</w:t>
      </w:r>
      <w:proofErr w:type="gramEnd"/>
      <w:r w:rsidRPr="00342D7E">
        <w:rPr>
          <w:rFonts w:ascii="Times New Roman" w:hAnsi="Times New Roman"/>
          <w:sz w:val="24"/>
          <w:szCs w:val="24"/>
        </w:rPr>
        <w:t xml:space="preserve"> kredytowe: kredytowe instrumenty pochodne są to kontrakty niespełniające kryteriów definicji gwarancji finansowych (MSSF 9 pkt</w:t>
      </w:r>
      <w:r w:rsidR="00342D7E" w:rsidRPr="00342D7E">
        <w:rPr>
          <w:rFonts w:ascii="Times New Roman" w:hAnsi="Times New Roman"/>
          <w:sz w:val="24"/>
          <w:szCs w:val="24"/>
        </w:rPr>
        <w:t> </w:t>
      </w:r>
      <w:r w:rsidRPr="00342D7E">
        <w:rPr>
          <w:rFonts w:ascii="Times New Roman" w:hAnsi="Times New Roman"/>
          <w:sz w:val="24"/>
          <w:szCs w:val="24"/>
        </w:rPr>
        <w:t>4.2.1 lit.</w:t>
      </w:r>
      <w:r w:rsidR="00342D7E" w:rsidRPr="00342D7E">
        <w:rPr>
          <w:rFonts w:ascii="Times New Roman" w:hAnsi="Times New Roman"/>
          <w:sz w:val="24"/>
          <w:szCs w:val="24"/>
        </w:rPr>
        <w:t> </w:t>
      </w:r>
      <w:r w:rsidRPr="00342D7E">
        <w:rPr>
          <w:rFonts w:ascii="Times New Roman" w:hAnsi="Times New Roman"/>
          <w:sz w:val="24"/>
          <w:szCs w:val="24"/>
        </w:rPr>
        <w:t>c)),</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ram</w:t>
      </w:r>
      <w:r w:rsidRPr="00342D7E">
        <w:rPr>
          <w:rFonts w:ascii="Times New Roman" w:hAnsi="Times New Roman"/>
          <w:sz w:val="24"/>
          <w:szCs w:val="24"/>
        </w:rPr>
        <w:t>ach których wypłata jest powiązana głównie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okr</w:t>
      </w:r>
      <w:r w:rsidRPr="00342D7E">
        <w:rPr>
          <w:rFonts w:ascii="Times New Roman" w:hAnsi="Times New Roman"/>
          <w:sz w:val="24"/>
          <w:szCs w:val="24"/>
        </w:rPr>
        <w:t>eśloną miarą wiarygodności kredytowej określonego kredytu odniesienia. Kontrakty określają wymianę płatności,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ram</w:t>
      </w:r>
      <w:r w:rsidRPr="00342D7E">
        <w:rPr>
          <w:rFonts w:ascii="Times New Roman" w:hAnsi="Times New Roman"/>
          <w:sz w:val="24"/>
          <w:szCs w:val="24"/>
        </w:rPr>
        <w:t>ach której wartość co najmniej jednego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dwó</w:t>
      </w:r>
      <w:r w:rsidRPr="00342D7E">
        <w:rPr>
          <w:rFonts w:ascii="Times New Roman" w:hAnsi="Times New Roman"/>
          <w:sz w:val="24"/>
          <w:szCs w:val="24"/>
        </w:rPr>
        <w:t>ch elementów transakcji ustala się na podstawie jakości spłaty kredytu referencyjnego. Wypłaty mogą zostać zainicjowane szeregiem zdarzeń,</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tym</w:t>
      </w:r>
      <w:r w:rsidRPr="00342D7E">
        <w:rPr>
          <w:rFonts w:ascii="Times New Roman" w:hAnsi="Times New Roman"/>
          <w:sz w:val="24"/>
          <w:szCs w:val="24"/>
        </w:rPr>
        <w:t xml:space="preserve"> niewykonaniem zobowiązania, obniżeniem oceny wiarygodności kredytowej lub przewidzianą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umo</w:t>
      </w:r>
      <w:r w:rsidRPr="00342D7E">
        <w:rPr>
          <w:rFonts w:ascii="Times New Roman" w:hAnsi="Times New Roman"/>
          <w:sz w:val="24"/>
          <w:szCs w:val="24"/>
        </w:rPr>
        <w:t>wie zmianą spreadu kredytowego referencyjnego składnika aktywów. Kredytowe instrumenty pochodne, które spełniają kryteria definicji gwarancji finansowej zawartej</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114 niniejszej części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nin</w:t>
      </w:r>
      <w:r w:rsidRPr="00342D7E">
        <w:rPr>
          <w:rFonts w:ascii="Times New Roman" w:hAnsi="Times New Roman"/>
          <w:sz w:val="24"/>
          <w:szCs w:val="24"/>
        </w:rPr>
        <w:t xml:space="preserve">iejszym załączniku, zgłasza się wyłącznie we wzorze 9; </w:t>
      </w:r>
    </w:p>
    <w:p w:rsidR="00D35B0C" w:rsidRPr="00342D7E" w:rsidRDefault="00A834F1" w:rsidP="00056B6F">
      <w:pPr>
        <w:numPr>
          <w:ilvl w:val="0"/>
          <w:numId w:val="4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ryzyko</w:t>
      </w:r>
      <w:proofErr w:type="gramEnd"/>
      <w:r w:rsidRPr="00342D7E">
        <w:rPr>
          <w:rFonts w:ascii="Times New Roman" w:hAnsi="Times New Roman"/>
          <w:sz w:val="24"/>
          <w:szCs w:val="24"/>
        </w:rPr>
        <w:t xml:space="preserve"> towarowe: przedmiotowe instrumenty pochodne są to kontrakty, których zwrot, lub część zwrotu, jest powiązany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cen</w:t>
      </w:r>
      <w:r w:rsidRPr="00342D7E">
        <w:rPr>
          <w:rFonts w:ascii="Times New Roman" w:hAnsi="Times New Roman"/>
          <w:sz w:val="24"/>
          <w:szCs w:val="24"/>
        </w:rPr>
        <w:t>ą lub</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ind</w:t>
      </w:r>
      <w:r w:rsidRPr="00342D7E">
        <w:rPr>
          <w:rFonts w:ascii="Times New Roman" w:hAnsi="Times New Roman"/>
          <w:sz w:val="24"/>
          <w:szCs w:val="24"/>
        </w:rPr>
        <w:t>eksem cen określonego towaru, takiego jak metal szlachetny (inny niż złoto), ropa naftowa, tarcica czy produkty rolne;</w:t>
      </w:r>
    </w:p>
    <w:p w:rsidR="00D35B0C" w:rsidRPr="00342D7E" w:rsidRDefault="00A834F1" w:rsidP="00056B6F">
      <w:pPr>
        <w:numPr>
          <w:ilvl w:val="0"/>
          <w:numId w:val="4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inne</w:t>
      </w:r>
      <w:proofErr w:type="gramEnd"/>
      <w:r w:rsidRPr="00342D7E">
        <w:rPr>
          <w:rFonts w:ascii="Times New Roman" w:hAnsi="Times New Roman"/>
          <w:sz w:val="24"/>
          <w:szCs w:val="24"/>
        </w:rPr>
        <w:t>: przedmiotowe instrumenty pochodne obejmują wszelkie inne kontrakty na instrumenty pochodne, które nie wiążą się</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eks</w:t>
      </w:r>
      <w:r w:rsidRPr="00342D7E">
        <w:rPr>
          <w:rFonts w:ascii="Times New Roman" w:hAnsi="Times New Roman"/>
          <w:sz w:val="24"/>
          <w:szCs w:val="24"/>
        </w:rPr>
        <w:t>pozycją na ryzyko walutowe, ryzyko stopy procentowej, ryzyko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inw</w:t>
      </w:r>
      <w:r w:rsidRPr="00342D7E">
        <w:rPr>
          <w:rFonts w:ascii="Times New Roman" w:hAnsi="Times New Roman"/>
          <w:sz w:val="24"/>
          <w:szCs w:val="24"/>
        </w:rPr>
        <w:t>estowaniem</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akc</w:t>
      </w:r>
      <w:r w:rsidRPr="00342D7E">
        <w:rPr>
          <w:rFonts w:ascii="Times New Roman" w:hAnsi="Times New Roman"/>
          <w:sz w:val="24"/>
          <w:szCs w:val="24"/>
        </w:rPr>
        <w:t>je, ryzyko towarowe lub ryzyko kredytowe, takie jak instrumenty pochodne odnoszące się do zmian klimatycznych lub ubezpieczeniowe instrumenty pochodne.</w:t>
      </w:r>
    </w:p>
    <w:p w:rsidR="00D35B0C" w:rsidRPr="00342D7E" w:rsidRDefault="00A834F1">
      <w:pPr>
        <w:pStyle w:val="Baseparagraphnumbered"/>
      </w:pPr>
      <w:r w:rsidRPr="00342D7E">
        <w:t>Jeżeli więcej niż jeden rodzaj ryzyka bazowego wywiera wpływ na dany instrument pochodny, instrument ten przypisuje się do najbardziej wrażliwego rodzaju ryzyka</w:t>
      </w:r>
      <w:r w:rsidR="00342D7E" w:rsidRPr="00342D7E">
        <w:t>. W</w:t>
      </w:r>
      <w:r w:rsidR="00342D7E">
        <w:t> </w:t>
      </w:r>
      <w:r w:rsidR="00342D7E" w:rsidRPr="00342D7E">
        <w:t>prz</w:t>
      </w:r>
      <w:r w:rsidRPr="00342D7E">
        <w:t>ypadku instrumentów pochodnych</w:t>
      </w:r>
      <w:r w:rsidR="00342D7E" w:rsidRPr="00342D7E">
        <w:t xml:space="preserve"> z</w:t>
      </w:r>
      <w:r w:rsidR="00342D7E">
        <w:t> </w:t>
      </w:r>
      <w:r w:rsidR="00342D7E" w:rsidRPr="00342D7E">
        <w:t>wie</w:t>
      </w:r>
      <w:r w:rsidRPr="00342D7E">
        <w:t>loma ekspozycjami</w:t>
      </w:r>
      <w:r w:rsidR="00342D7E" w:rsidRPr="00342D7E">
        <w:t xml:space="preserve"> w</w:t>
      </w:r>
      <w:r w:rsidR="00342D7E">
        <w:t> </w:t>
      </w:r>
      <w:r w:rsidR="00342D7E" w:rsidRPr="00342D7E">
        <w:t>raz</w:t>
      </w:r>
      <w:r w:rsidRPr="00342D7E">
        <w:t>ie braku pewności transakcje przypisuje się zgodnie</w:t>
      </w:r>
      <w:r w:rsidR="00342D7E" w:rsidRPr="00342D7E">
        <w:t xml:space="preserve"> z</w:t>
      </w:r>
      <w:r w:rsidR="00342D7E">
        <w:t> </w:t>
      </w:r>
      <w:r w:rsidR="00342D7E" w:rsidRPr="00342D7E">
        <w:t>nas</w:t>
      </w:r>
      <w:r w:rsidRPr="00342D7E">
        <w:t>tępującą hierarchią ważności:</w:t>
      </w:r>
    </w:p>
    <w:p w:rsidR="00D35B0C" w:rsidRPr="00342D7E" w:rsidRDefault="00A834F1" w:rsidP="00056B6F">
      <w:pPr>
        <w:numPr>
          <w:ilvl w:val="0"/>
          <w:numId w:val="48"/>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lastRenderedPageBreak/>
        <w:t>towary</w:t>
      </w:r>
      <w:proofErr w:type="gramEnd"/>
      <w:r w:rsidRPr="00342D7E">
        <w:rPr>
          <w:rFonts w:ascii="Times New Roman" w:hAnsi="Times New Roman"/>
          <w:sz w:val="24"/>
          <w:szCs w:val="24"/>
        </w:rPr>
        <w:t>:</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tej</w:t>
      </w:r>
      <w:r w:rsidRPr="00342D7E">
        <w:rPr>
          <w:rFonts w:ascii="Times New Roman" w:hAnsi="Times New Roman"/>
          <w:sz w:val="24"/>
          <w:szCs w:val="24"/>
        </w:rPr>
        <w:t xml:space="preserve"> kategorii zgłasza się wszystkie transakcje dotyczące instrumentów pochodnych związanych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eks</w:t>
      </w:r>
      <w:r w:rsidRPr="00342D7E">
        <w:rPr>
          <w:rFonts w:ascii="Times New Roman" w:hAnsi="Times New Roman"/>
          <w:sz w:val="24"/>
          <w:szCs w:val="24"/>
        </w:rPr>
        <w:t>pozycją towarową lub ekspozycją na indeks towarów, niezależnie od tego, czy wiążą się ze wspólną ekspozycją towarową oraz jakąkolwiek inną kategorią ryzyka, która może obejmować ryzyko walutowe, ryzyko stopy procentowej czy ryzyko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inw</w:t>
      </w:r>
      <w:r w:rsidRPr="00342D7E">
        <w:rPr>
          <w:rFonts w:ascii="Times New Roman" w:hAnsi="Times New Roman"/>
          <w:sz w:val="24"/>
          <w:szCs w:val="24"/>
        </w:rPr>
        <w:t>estowaniem</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akc</w:t>
      </w:r>
      <w:r w:rsidRPr="00342D7E">
        <w:rPr>
          <w:rFonts w:ascii="Times New Roman" w:hAnsi="Times New Roman"/>
          <w:sz w:val="24"/>
          <w:szCs w:val="24"/>
        </w:rPr>
        <w:t>je;</w:t>
      </w:r>
    </w:p>
    <w:p w:rsidR="00D35B0C" w:rsidRPr="00342D7E" w:rsidRDefault="00A834F1" w:rsidP="00056B6F">
      <w:pPr>
        <w:numPr>
          <w:ilvl w:val="0"/>
          <w:numId w:val="48"/>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akcje</w:t>
      </w:r>
      <w:proofErr w:type="gramEnd"/>
      <w:r w:rsidRPr="00342D7E">
        <w:rPr>
          <w:rFonts w:ascii="Times New Roman" w:hAnsi="Times New Roman"/>
          <w:sz w:val="24"/>
          <w:szCs w:val="24"/>
        </w:rPr>
        <w:t>:</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wyj</w:t>
      </w:r>
      <w:r w:rsidRPr="00342D7E">
        <w:rPr>
          <w:rFonts w:ascii="Times New Roman" w:hAnsi="Times New Roman"/>
          <w:sz w:val="24"/>
          <w:szCs w:val="24"/>
        </w:rPr>
        <w:t>ątkiem kontraktów charakteryzujących się wspólną ekspozycją towarową</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eks</w:t>
      </w:r>
      <w:r w:rsidRPr="00342D7E">
        <w:rPr>
          <w:rFonts w:ascii="Times New Roman" w:hAnsi="Times New Roman"/>
          <w:sz w:val="24"/>
          <w:szCs w:val="24"/>
        </w:rPr>
        <w:t>pozycją na akcje, które należy zgłaszać jako towary, wszystkie transakcje dotyczące instrumentów pochodnych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not</w:t>
      </w:r>
      <w:r w:rsidRPr="00342D7E">
        <w:rPr>
          <w:rFonts w:ascii="Times New Roman" w:hAnsi="Times New Roman"/>
          <w:sz w:val="24"/>
          <w:szCs w:val="24"/>
        </w:rPr>
        <w:t>owaniami akcji lub indeksów akcyjnych zgłasza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kat</w:t>
      </w:r>
      <w:r w:rsidRPr="00342D7E">
        <w:rPr>
          <w:rFonts w:ascii="Times New Roman" w:hAnsi="Times New Roman"/>
          <w:sz w:val="24"/>
          <w:szCs w:val="24"/>
        </w:rPr>
        <w:t>egorii akcji. Transakcje akcyjne charakteryzujące się ekspozycją na kursy walutowe lub stopy procentowe należy uwzględniać</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tej</w:t>
      </w:r>
      <w:r w:rsidRPr="00342D7E">
        <w:rPr>
          <w:rFonts w:ascii="Times New Roman" w:hAnsi="Times New Roman"/>
          <w:sz w:val="24"/>
          <w:szCs w:val="24"/>
        </w:rPr>
        <w:t xml:space="preserve"> kategorii; </w:t>
      </w:r>
    </w:p>
    <w:p w:rsidR="00D35B0C" w:rsidRPr="00342D7E" w:rsidRDefault="00A834F1" w:rsidP="00056B6F">
      <w:pPr>
        <w:numPr>
          <w:ilvl w:val="0"/>
          <w:numId w:val="48"/>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pozycje</w:t>
      </w:r>
      <w:proofErr w:type="gramEnd"/>
      <w:r w:rsidRPr="00342D7E">
        <w:rPr>
          <w:rFonts w:ascii="Times New Roman" w:hAnsi="Times New Roman"/>
          <w:sz w:val="24"/>
          <w:szCs w:val="24"/>
        </w:rPr>
        <w:t xml:space="preserve"> walutowe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zło</w:t>
      </w:r>
      <w:r w:rsidRPr="00342D7E">
        <w:rPr>
          <w:rFonts w:ascii="Times New Roman" w:hAnsi="Times New Roman"/>
          <w:sz w:val="24"/>
          <w:szCs w:val="24"/>
        </w:rPr>
        <w:t>cie: kategoria ta obejmuje wszystkie transakcje dotyczące instrumentów pochodnych (z wyłączeniem transakcji już zgłoszonych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kat</w:t>
      </w:r>
      <w:r w:rsidRPr="00342D7E">
        <w:rPr>
          <w:rFonts w:ascii="Times New Roman" w:hAnsi="Times New Roman"/>
          <w:sz w:val="24"/>
          <w:szCs w:val="24"/>
        </w:rPr>
        <w:t>egoriach towary lub akcje) charakteryzujące się ekspozycją na więcej niż jedną walutę, niezależnie od tego, czy dotyczą oprocentowanych instrumentów finansowych czy kursów walutowych,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wyj</w:t>
      </w:r>
      <w:r w:rsidRPr="00342D7E">
        <w:rPr>
          <w:rFonts w:ascii="Times New Roman" w:hAnsi="Times New Roman"/>
          <w:sz w:val="24"/>
          <w:szCs w:val="24"/>
        </w:rPr>
        <w:t>ątkiem przypadków gdy swapy walutowe są wykorzystywane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ram</w:t>
      </w:r>
      <w:r w:rsidRPr="00342D7E">
        <w:rPr>
          <w:rFonts w:ascii="Times New Roman" w:hAnsi="Times New Roman"/>
          <w:sz w:val="24"/>
          <w:szCs w:val="24"/>
        </w:rPr>
        <w:t>ach zabezpieczania portfela przed ryzykiem stopy procentowej.</w:t>
      </w:r>
    </w:p>
    <w:p w:rsidR="00D35B0C" w:rsidRPr="00342D7E" w:rsidRDefault="00A834F1">
      <w:pPr>
        <w:pStyle w:val="sub-subtitlenumbered"/>
        <w:jc w:val="both"/>
      </w:pPr>
      <w:bookmarkStart w:id="27" w:name="_Toc31019129"/>
      <w:r w:rsidRPr="00342D7E">
        <w:t>Kwoty podlegające zgłoszeniu</w:t>
      </w:r>
      <w:r w:rsidR="00342D7E" w:rsidRPr="00342D7E">
        <w:t xml:space="preserve"> w</w:t>
      </w:r>
      <w:r w:rsidR="00342D7E">
        <w:t> </w:t>
      </w:r>
      <w:r w:rsidR="00342D7E" w:rsidRPr="00342D7E">
        <w:t>odn</w:t>
      </w:r>
      <w:r w:rsidRPr="00342D7E">
        <w:t>iesieniu do instrumentów pochodnych</w:t>
      </w:r>
      <w:bookmarkEnd w:id="27"/>
    </w:p>
    <w:p w:rsidR="00D35B0C" w:rsidRPr="00342D7E" w:rsidRDefault="00A834F1">
      <w:pPr>
        <w:pStyle w:val="Baseparagraphnumbered"/>
      </w:pPr>
      <w:r w:rsidRPr="00342D7E">
        <w:t>Zgodnie z MSSF „wartością bilansową” dla wszystkich instrumentów pochodnych (zabezpieczających lub przeznaczonych do obrotu) jest wartość godziwa. Instrumenty pochodne</w:t>
      </w:r>
      <w:r w:rsidR="00342D7E" w:rsidRPr="00342D7E">
        <w:t xml:space="preserve"> o</w:t>
      </w:r>
      <w:r w:rsidR="00342D7E">
        <w:t> </w:t>
      </w:r>
      <w:r w:rsidR="00342D7E" w:rsidRPr="00342D7E">
        <w:t>dod</w:t>
      </w:r>
      <w:r w:rsidRPr="00342D7E">
        <w:t>atniej wartości godziwej (powyżej zera) są „aktywami finansowymi”,</w:t>
      </w:r>
      <w:r w:rsidR="00342D7E" w:rsidRPr="00342D7E">
        <w:t xml:space="preserve"> a</w:t>
      </w:r>
      <w:r w:rsidR="00342D7E">
        <w:t> </w:t>
      </w:r>
      <w:r w:rsidR="00342D7E" w:rsidRPr="00342D7E">
        <w:t>ins</w:t>
      </w:r>
      <w:r w:rsidRPr="00342D7E">
        <w:t>trumenty pochodne</w:t>
      </w:r>
      <w:r w:rsidR="00342D7E" w:rsidRPr="00342D7E">
        <w:t xml:space="preserve"> o</w:t>
      </w:r>
      <w:r w:rsidR="00342D7E">
        <w:t> </w:t>
      </w:r>
      <w:r w:rsidR="00342D7E" w:rsidRPr="00342D7E">
        <w:t>uje</w:t>
      </w:r>
      <w:r w:rsidRPr="00342D7E">
        <w:t>mnej wartości godziwej (poniżej zera) – „zobowiązaniami finansowymi”. „Wartość bilansową” zgłasza się oddzielnie dla instrumentów pochodnych</w:t>
      </w:r>
      <w:r w:rsidR="00342D7E" w:rsidRPr="00342D7E">
        <w:t xml:space="preserve"> o</w:t>
      </w:r>
      <w:r w:rsidR="00342D7E">
        <w:t> </w:t>
      </w:r>
      <w:r w:rsidR="00342D7E" w:rsidRPr="00342D7E">
        <w:t>dod</w:t>
      </w:r>
      <w:r w:rsidRPr="00342D7E">
        <w:t>atniej wartości godziwej („aktywów finansowych”)</w:t>
      </w:r>
      <w:r w:rsidR="00342D7E" w:rsidRPr="00342D7E">
        <w:t xml:space="preserve"> i</w:t>
      </w:r>
      <w:r w:rsidR="00342D7E">
        <w:t> </w:t>
      </w:r>
      <w:r w:rsidR="00342D7E" w:rsidRPr="00342D7E">
        <w:t>odd</w:t>
      </w:r>
      <w:r w:rsidRPr="00342D7E">
        <w:t>zielnie dla tych</w:t>
      </w:r>
      <w:r w:rsidR="00342D7E" w:rsidRPr="00342D7E">
        <w:t xml:space="preserve"> o</w:t>
      </w:r>
      <w:r w:rsidR="00342D7E">
        <w:t> </w:t>
      </w:r>
      <w:r w:rsidR="00342D7E" w:rsidRPr="00342D7E">
        <w:t>uje</w:t>
      </w:r>
      <w:r w:rsidRPr="00342D7E">
        <w:t>mnej wartości godziwej („zobowiązań finansowych”)</w:t>
      </w:r>
      <w:r w:rsidR="00342D7E" w:rsidRPr="00342D7E">
        <w:t>. W</w:t>
      </w:r>
      <w:r w:rsidR="00342D7E">
        <w:t> </w:t>
      </w:r>
      <w:r w:rsidR="00342D7E" w:rsidRPr="00342D7E">
        <w:t>mom</w:t>
      </w:r>
      <w:r w:rsidRPr="00342D7E">
        <w:t>encie początkowego ujęcia instrument pochodny klasyfikuje się jako „składnik aktywów finansowych” lub jako „zobowiązanie finansowe” zgodnie</w:t>
      </w:r>
      <w:r w:rsidR="00342D7E" w:rsidRPr="00342D7E">
        <w:t xml:space="preserve"> z</w:t>
      </w:r>
      <w:r w:rsidR="00342D7E">
        <w:t> </w:t>
      </w:r>
      <w:r w:rsidR="00342D7E" w:rsidRPr="00342D7E">
        <w:t>jeg</w:t>
      </w:r>
      <w:r w:rsidRPr="00342D7E">
        <w:t>o początkową wartością godziwą. Po początkowym ujęciu,</w:t>
      </w:r>
      <w:r w:rsidR="00342D7E" w:rsidRPr="00342D7E">
        <w:t xml:space="preserve"> w</w:t>
      </w:r>
      <w:r w:rsidR="00342D7E">
        <w:t> </w:t>
      </w:r>
      <w:r w:rsidR="00342D7E" w:rsidRPr="00342D7E">
        <w:t>mia</w:t>
      </w:r>
      <w:r w:rsidRPr="00342D7E">
        <w:t>rę zwiększania lub zmniejszania się wartości godziwej instrumentu pochodnego, warunki wymiany mogą stać się korzystne (i wówczas instrument pochodny klasyfikuje się jako „składnik aktywów finansowych”) albo niekorzystne dla instytucji (i wówczas instrument pochodny klasyfikuje się jako „zobowiązanie finansowe”). Wartość bilansową zabezpieczających instrumentów pochodnych stanowi ich cała wartość godziwa, wliczając w to,</w:t>
      </w:r>
      <w:r w:rsidR="00342D7E" w:rsidRPr="00342D7E">
        <w:t xml:space="preserve"> w</w:t>
      </w:r>
      <w:r w:rsidR="00342D7E">
        <w:t> </w:t>
      </w:r>
      <w:r w:rsidR="00342D7E" w:rsidRPr="00342D7E">
        <w:t>sto</w:t>
      </w:r>
      <w:r w:rsidRPr="00342D7E">
        <w:t>sownych przypadkach, elementy tej wartości godziwej, których nie określono jako zabezpieczających instrumentów pochodnych.</w:t>
      </w:r>
    </w:p>
    <w:p w:rsidR="00D35B0C" w:rsidRPr="00342D7E" w:rsidRDefault="00A834F1">
      <w:pPr>
        <w:pStyle w:val="Baseparagraphnumbered"/>
      </w:pPr>
      <w:r w:rsidRPr="00342D7E">
        <w:t>Oprócz wartości bilansowych zgodnie</w:t>
      </w:r>
      <w:r w:rsidR="00342D7E" w:rsidRPr="00342D7E">
        <w:t xml:space="preserve"> z</w:t>
      </w:r>
      <w:r w:rsidR="00342D7E">
        <w:t> </w:t>
      </w:r>
      <w:r w:rsidR="00342D7E" w:rsidRPr="00342D7E">
        <w:t>def</w:t>
      </w:r>
      <w:r w:rsidRPr="00342D7E">
        <w:t>inicją</w:t>
      </w:r>
      <w:r w:rsidR="00342D7E" w:rsidRPr="00342D7E">
        <w:t xml:space="preserve"> w</w:t>
      </w:r>
      <w:r w:rsidR="00342D7E">
        <w:t> </w:t>
      </w:r>
      <w:r w:rsidR="00342D7E" w:rsidRPr="00342D7E">
        <w:t>czę</w:t>
      </w:r>
      <w:r w:rsidRPr="00342D7E">
        <w:t>ści 1 pkt</w:t>
      </w:r>
      <w:r w:rsidR="00342D7E" w:rsidRPr="00342D7E">
        <w:t> </w:t>
      </w:r>
      <w:r w:rsidRPr="00342D7E">
        <w:t>27</w:t>
      </w:r>
      <w:r w:rsidR="00342D7E" w:rsidRPr="00342D7E">
        <w:t xml:space="preserve"> w</w:t>
      </w:r>
      <w:r w:rsidR="00342D7E">
        <w:t> </w:t>
      </w:r>
      <w:r w:rsidR="00342D7E" w:rsidRPr="00342D7E">
        <w:t>nin</w:t>
      </w:r>
      <w:r w:rsidRPr="00342D7E">
        <w:t>iejszym załączniku instytucje sprawozdające zgłaszają wartości godziwe zgodnie</w:t>
      </w:r>
      <w:r w:rsidR="00342D7E" w:rsidRPr="00342D7E">
        <w:t xml:space="preserve"> z</w:t>
      </w:r>
      <w:r w:rsidR="00342D7E">
        <w:t> </w:t>
      </w:r>
      <w:r w:rsidR="00342D7E" w:rsidRPr="00342D7E">
        <w:t>kra</w:t>
      </w:r>
      <w:r w:rsidRPr="00342D7E">
        <w:t>jowymi ogólnie przyjętymi zasadami rachunkowości opartymi na BAD</w:t>
      </w:r>
      <w:r w:rsidR="00342D7E" w:rsidRPr="00342D7E">
        <w:t xml:space="preserve"> w</w:t>
      </w:r>
      <w:r w:rsidR="00342D7E">
        <w:t> </w:t>
      </w:r>
      <w:r w:rsidR="00342D7E" w:rsidRPr="00342D7E">
        <w:t>odn</w:t>
      </w:r>
      <w:r w:rsidRPr="00342D7E">
        <w:t>iesieniu do wszystkich instrumentów pochodnych, bez względu na to, czy zgodnie</w:t>
      </w:r>
      <w:r w:rsidR="00342D7E" w:rsidRPr="00342D7E">
        <w:t xml:space="preserve"> z</w:t>
      </w:r>
      <w:r w:rsidR="00342D7E">
        <w:t> </w:t>
      </w:r>
      <w:r w:rsidR="00342D7E" w:rsidRPr="00342D7E">
        <w:t>kra</w:t>
      </w:r>
      <w:r w:rsidRPr="00342D7E">
        <w:t>jowymi ogólnie przyjętymi zasadami rachunkowości opartymi na BAD instrumenty te należy ujmować</w:t>
      </w:r>
      <w:r w:rsidR="00342D7E" w:rsidRPr="00342D7E">
        <w:t xml:space="preserve"> w</w:t>
      </w:r>
      <w:r w:rsidR="00342D7E">
        <w:t> </w:t>
      </w:r>
      <w:r w:rsidR="00342D7E" w:rsidRPr="00342D7E">
        <w:t>bil</w:t>
      </w:r>
      <w:r w:rsidRPr="00342D7E">
        <w:t>ansie czy też jako pozycje pozabilansowe.</w:t>
      </w:r>
    </w:p>
    <w:p w:rsidR="00D35B0C" w:rsidRPr="00342D7E" w:rsidRDefault="00A834F1">
      <w:pPr>
        <w:pStyle w:val="Baseparagraphnumbered"/>
        <w:ind w:left="851"/>
      </w:pPr>
      <w:r w:rsidRPr="00342D7E">
        <w:lastRenderedPageBreak/>
        <w:t>„Kwota referencyjna” oznacza kwotę nominalną brutto wszystkich zawartych transakcji, których jeszcze nie rozliczono na sprawozdawczy dzień odniesienia, niezależnie od tego, czy transakcje te prowadzą do ujęcia</w:t>
      </w:r>
      <w:r w:rsidR="00342D7E" w:rsidRPr="00342D7E">
        <w:t xml:space="preserve"> w</w:t>
      </w:r>
      <w:r w:rsidR="00342D7E">
        <w:t> </w:t>
      </w:r>
      <w:r w:rsidR="00342D7E" w:rsidRPr="00342D7E">
        <w:t>bil</w:t>
      </w:r>
      <w:r w:rsidRPr="00342D7E">
        <w:t>ansie ekspozycji</w:t>
      </w:r>
      <w:r w:rsidR="00342D7E" w:rsidRPr="00342D7E">
        <w:t xml:space="preserve"> z</w:t>
      </w:r>
      <w:r w:rsidR="00342D7E">
        <w:t> </w:t>
      </w:r>
      <w:r w:rsidR="00342D7E" w:rsidRPr="00342D7E">
        <w:t>tyt</w:t>
      </w:r>
      <w:r w:rsidRPr="00342D7E">
        <w:t>ułu instrumentów pochodnych. Przy ustalaniu kwoty referencyjnej bierze się pod uwagę</w:t>
      </w:r>
      <w:r w:rsidR="00342D7E" w:rsidRPr="00342D7E">
        <w:t xml:space="preserve"> w</w:t>
      </w:r>
      <w:r w:rsidR="00342D7E">
        <w:t> </w:t>
      </w:r>
      <w:r w:rsidR="00342D7E" w:rsidRPr="00342D7E">
        <w:t>szc</w:t>
      </w:r>
      <w:r w:rsidRPr="00342D7E">
        <w:t>zególności następujące elementy:</w:t>
      </w:r>
    </w:p>
    <w:p w:rsidR="00D35B0C" w:rsidRPr="00342D7E" w:rsidRDefault="00A834F1" w:rsidP="00056B6F">
      <w:pPr>
        <w:numPr>
          <w:ilvl w:val="0"/>
          <w:numId w:val="49"/>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w</w:t>
      </w:r>
      <w:proofErr w:type="gramEnd"/>
      <w:r w:rsidRPr="00342D7E">
        <w:rPr>
          <w:rFonts w:ascii="Times New Roman" w:hAnsi="Times New Roman"/>
          <w:sz w:val="24"/>
          <w:szCs w:val="24"/>
        </w:rPr>
        <w:t xml:space="preserve"> przypadku kontraktów</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zmi</w:t>
      </w:r>
      <w:r w:rsidRPr="00342D7E">
        <w:rPr>
          <w:rFonts w:ascii="Times New Roman" w:hAnsi="Times New Roman"/>
          <w:sz w:val="24"/>
          <w:szCs w:val="24"/>
        </w:rPr>
        <w:t>ennej nominalnej lub referencyjnej kwocie głównej podstawę sprawozdawczości stanowi kwota nominalna lub referencyjna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awozdawczym dniu odniesienia;</w:t>
      </w:r>
    </w:p>
    <w:p w:rsidR="00D35B0C" w:rsidRPr="00342D7E" w:rsidRDefault="00A834F1" w:rsidP="00056B6F">
      <w:pPr>
        <w:numPr>
          <w:ilvl w:val="0"/>
          <w:numId w:val="49"/>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wartość</w:t>
      </w:r>
      <w:proofErr w:type="gramEnd"/>
      <w:r w:rsidRPr="00342D7E">
        <w:rPr>
          <w:rFonts w:ascii="Times New Roman" w:hAnsi="Times New Roman"/>
          <w:sz w:val="24"/>
          <w:szCs w:val="24"/>
        </w:rPr>
        <w:t xml:space="preserve"> kwoty referencyjnej, którą należy zgłosić</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iesieniu do kontraktu na instrumenty pochodne ze składnikiem mnożnikowym, jest efektywną kwotą referencyjną kontraktu lub wartością nominalną kontraktu;</w:t>
      </w:r>
    </w:p>
    <w:p w:rsidR="00D35B0C" w:rsidRPr="00342D7E" w:rsidRDefault="00A834F1" w:rsidP="00056B6F">
      <w:pPr>
        <w:numPr>
          <w:ilvl w:val="0"/>
          <w:numId w:val="49"/>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swapy</w:t>
      </w:r>
      <w:proofErr w:type="gramEnd"/>
      <w:r w:rsidRPr="00342D7E">
        <w:rPr>
          <w:rFonts w:ascii="Times New Roman" w:hAnsi="Times New Roman"/>
          <w:sz w:val="24"/>
          <w:szCs w:val="24"/>
        </w:rPr>
        <w:t>: kwota referencyjna swapu odpowiada bazowej kwocie głównej,</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opa</w:t>
      </w:r>
      <w:r w:rsidRPr="00342D7E">
        <w:rPr>
          <w:rFonts w:ascii="Times New Roman" w:hAnsi="Times New Roman"/>
          <w:sz w:val="24"/>
          <w:szCs w:val="24"/>
        </w:rPr>
        <w:t>rciu</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rą ustalono kurs wymiany odsetek, kurs wymiany walut lub inne przychody lub wydatki;</w:t>
      </w:r>
    </w:p>
    <w:p w:rsidR="00D35B0C" w:rsidRPr="00342D7E" w:rsidRDefault="00A834F1" w:rsidP="00056B6F">
      <w:pPr>
        <w:numPr>
          <w:ilvl w:val="0"/>
          <w:numId w:val="49"/>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kontrakty</w:t>
      </w:r>
      <w:proofErr w:type="gramEnd"/>
      <w:r w:rsidRPr="00342D7E">
        <w:rPr>
          <w:rFonts w:ascii="Times New Roman" w:hAnsi="Times New Roman"/>
          <w:sz w:val="24"/>
          <w:szCs w:val="24"/>
        </w:rPr>
        <w:t xml:space="preserve">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akc</w:t>
      </w:r>
      <w:r w:rsidRPr="00342D7E">
        <w:rPr>
          <w:rFonts w:ascii="Times New Roman" w:hAnsi="Times New Roman"/>
          <w:sz w:val="24"/>
          <w:szCs w:val="24"/>
        </w:rPr>
        <w:t>jami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tow</w:t>
      </w:r>
      <w:r w:rsidRPr="00342D7E">
        <w:rPr>
          <w:rFonts w:ascii="Times New Roman" w:hAnsi="Times New Roman"/>
          <w:sz w:val="24"/>
          <w:szCs w:val="24"/>
        </w:rPr>
        <w:t>arami: kwota referencyjna, którą należy zgłosić</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iesieniu do kontraktu związanego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akc</w:t>
      </w:r>
      <w:r w:rsidRPr="00342D7E">
        <w:rPr>
          <w:rFonts w:ascii="Times New Roman" w:hAnsi="Times New Roman"/>
          <w:sz w:val="24"/>
          <w:szCs w:val="24"/>
        </w:rPr>
        <w:t>ją lub towarem, odpowiada ilości towaru lub akcji zakontraktowanej na zakup lub sprzedaż pomnożonej przez wynikającą</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umo</w:t>
      </w:r>
      <w:r w:rsidRPr="00342D7E">
        <w:rPr>
          <w:rFonts w:ascii="Times New Roman" w:hAnsi="Times New Roman"/>
          <w:sz w:val="24"/>
          <w:szCs w:val="24"/>
        </w:rPr>
        <w:t>wy cenę jednostki. Kwota referencyjna, którą należy zgłosić</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iesieniu do kontraktów towarowych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wie</w:t>
      </w:r>
      <w:r w:rsidRPr="00342D7E">
        <w:rPr>
          <w:rFonts w:ascii="Times New Roman" w:hAnsi="Times New Roman"/>
          <w:sz w:val="24"/>
          <w:szCs w:val="24"/>
        </w:rPr>
        <w:t>lokrotną wymianą kwoty głównej, jest to kwota umowna pomnożona przez liczbę pozostałych wymian kwoty głównej przewidzianych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umo</w:t>
      </w:r>
      <w:r w:rsidRPr="00342D7E">
        <w:rPr>
          <w:rFonts w:ascii="Times New Roman" w:hAnsi="Times New Roman"/>
          <w:sz w:val="24"/>
          <w:szCs w:val="24"/>
        </w:rPr>
        <w:t>wie;</w:t>
      </w:r>
    </w:p>
    <w:p w:rsidR="00D35B0C" w:rsidRPr="00342D7E" w:rsidRDefault="00A834F1" w:rsidP="00056B6F">
      <w:pPr>
        <w:numPr>
          <w:ilvl w:val="0"/>
          <w:numId w:val="49"/>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kredytowe</w:t>
      </w:r>
      <w:proofErr w:type="gramEnd"/>
      <w:r w:rsidRPr="00342D7E">
        <w:rPr>
          <w:rFonts w:ascii="Times New Roman" w:hAnsi="Times New Roman"/>
          <w:sz w:val="24"/>
          <w:szCs w:val="24"/>
        </w:rPr>
        <w:t xml:space="preserve"> instrumenty pochodne: kwota umowy, którą należy zgłosić</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 xml:space="preserve">iesieniu do kredytowych instrumentów pochodnych, odpowiada wartości nominalnej odpowiedniego kredytu referencyjnego; </w:t>
      </w:r>
    </w:p>
    <w:p w:rsidR="00D35B0C" w:rsidRPr="00342D7E" w:rsidRDefault="00A834F1" w:rsidP="00056B6F">
      <w:pPr>
        <w:numPr>
          <w:ilvl w:val="0"/>
          <w:numId w:val="49"/>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opcje</w:t>
      </w:r>
      <w:proofErr w:type="gramEnd"/>
      <w:r w:rsidRPr="00342D7E">
        <w:rPr>
          <w:rFonts w:ascii="Times New Roman" w:hAnsi="Times New Roman"/>
          <w:sz w:val="24"/>
          <w:szCs w:val="24"/>
        </w:rPr>
        <w:t xml:space="preserve"> binarne cechują się określoną wartością opcji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ter</w:t>
      </w:r>
      <w:r w:rsidRPr="00342D7E">
        <w:rPr>
          <w:rFonts w:ascii="Times New Roman" w:hAnsi="Times New Roman"/>
          <w:sz w:val="24"/>
          <w:szCs w:val="24"/>
        </w:rPr>
        <w:t>minie wygaśnięcia – wartość ta może odpowiadać kwocie pieniężnej albo liczbie kontraktów na instrument bazowy. Wartość nominalna opcji binarnych jest wyznaczoną</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gór</w:t>
      </w:r>
      <w:r w:rsidRPr="00342D7E">
        <w:rPr>
          <w:rFonts w:ascii="Times New Roman" w:hAnsi="Times New Roman"/>
          <w:sz w:val="24"/>
          <w:szCs w:val="24"/>
        </w:rPr>
        <w:t>y kwotą pieniężną albo wartością godziwą instrumentu bazowego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awozdawczym dniu odniesienia.</w:t>
      </w:r>
    </w:p>
    <w:p w:rsidR="00D35B0C" w:rsidRPr="00342D7E" w:rsidRDefault="00A834F1">
      <w:pPr>
        <w:pStyle w:val="Baseparagraphnumbered"/>
      </w:pPr>
      <w:r w:rsidRPr="00342D7E">
        <w:t>Kolumna „Kwota referencyjna” instrumentów pochodnych obejmuje</w:t>
      </w:r>
      <w:r w:rsidR="00342D7E" w:rsidRPr="00342D7E">
        <w:t xml:space="preserve"> w</w:t>
      </w:r>
      <w:r w:rsidR="00342D7E">
        <w:t> </w:t>
      </w:r>
      <w:r w:rsidR="00342D7E" w:rsidRPr="00342D7E">
        <w:t>odn</w:t>
      </w:r>
      <w:r w:rsidRPr="00342D7E">
        <w:t>iesieniu do każdej pozycji sumę kwot referencyjnych wszystkich kontraktów,</w:t>
      </w:r>
      <w:r w:rsidR="00342D7E" w:rsidRPr="00342D7E">
        <w:t xml:space="preserve"> w</w:t>
      </w:r>
      <w:r w:rsidR="00342D7E">
        <w:t> </w:t>
      </w:r>
      <w:r w:rsidR="00342D7E" w:rsidRPr="00342D7E">
        <w:t>ram</w:t>
      </w:r>
      <w:r w:rsidRPr="00342D7E">
        <w:t>ach których instytucja jest kontrahentem, niezależnie od tego, czy instrumenty pochodne są uznawane za aktywa czy za zobowiązania</w:t>
      </w:r>
      <w:r w:rsidR="00342D7E" w:rsidRPr="00342D7E">
        <w:t xml:space="preserve"> w</w:t>
      </w:r>
      <w:r w:rsidR="00342D7E">
        <w:t> </w:t>
      </w:r>
      <w:r w:rsidR="00342D7E" w:rsidRPr="00342D7E">
        <w:t>bil</w:t>
      </w:r>
      <w:r w:rsidRPr="00342D7E">
        <w:t>ansie czy też nie są</w:t>
      </w:r>
      <w:r w:rsidR="00342D7E" w:rsidRPr="00342D7E">
        <w:t xml:space="preserve"> w</w:t>
      </w:r>
      <w:r w:rsidR="00342D7E">
        <w:t> </w:t>
      </w:r>
      <w:r w:rsidR="00342D7E" w:rsidRPr="00342D7E">
        <w:t>nim</w:t>
      </w:r>
      <w:r w:rsidRPr="00342D7E">
        <w:t xml:space="preserve"> ujmowane. Zgłasza się wszystkie kwoty referencyjne, niezależnie od tego, czy wartość godziwa instrumentów pochodnych jest dodatnia, ujemna czy równa zeru. Kompensowanie kwot referencyjnych nie jest dozwolone.</w:t>
      </w:r>
    </w:p>
    <w:p w:rsidR="00D35B0C" w:rsidRPr="00342D7E" w:rsidRDefault="00A834F1">
      <w:pPr>
        <w:pStyle w:val="Baseparagraphnumbered"/>
      </w:pPr>
      <w:r w:rsidRPr="00342D7E">
        <w:t>„Kwotę referencyjną” zgłasza się</w:t>
      </w:r>
      <w:r w:rsidR="00342D7E" w:rsidRPr="00342D7E">
        <w:t xml:space="preserve"> w</w:t>
      </w:r>
      <w:r w:rsidR="00342D7E">
        <w:t> </w:t>
      </w:r>
      <w:r w:rsidR="00342D7E" w:rsidRPr="00342D7E">
        <w:t>kol</w:t>
      </w:r>
      <w:r w:rsidRPr="00342D7E">
        <w:t>umnie „Ogółem” oraz „w tym: sprzedane” dla pozycji: „Opcje będące przedmiotem obrotu poza rynkiem regulowanym”, „Opcje będące przedmiotem obrotu na rynku regulowanym”, „Kredyty”, „Towary” oraz „Inne”. Pozycja „w tym: sprzedane” obejmuje kwoty referencyjne (kurs wykonania) umów,</w:t>
      </w:r>
      <w:r w:rsidR="00342D7E" w:rsidRPr="00342D7E">
        <w:t xml:space="preserve"> w</w:t>
      </w:r>
      <w:r w:rsidR="00342D7E">
        <w:t> </w:t>
      </w:r>
      <w:r w:rsidR="00342D7E" w:rsidRPr="00342D7E">
        <w:t>ram</w:t>
      </w:r>
      <w:r w:rsidRPr="00342D7E">
        <w:t xml:space="preserve">ach których kontrahentom </w:t>
      </w:r>
      <w:r w:rsidRPr="00342D7E">
        <w:lastRenderedPageBreak/>
        <w:t>(posiadaczom opcji) instytucji (wystawcy opcji) przysługuje prawo do wykonania opcji,</w:t>
      </w:r>
      <w:r w:rsidR="00342D7E" w:rsidRPr="00342D7E">
        <w:t xml:space="preserve"> a</w:t>
      </w:r>
      <w:r w:rsidR="00342D7E">
        <w:t> </w:t>
      </w:r>
      <w:r w:rsidR="00342D7E" w:rsidRPr="00342D7E">
        <w:t>w</w:t>
      </w:r>
      <w:r w:rsidR="00342D7E">
        <w:t> </w:t>
      </w:r>
      <w:r w:rsidR="00342D7E" w:rsidRPr="00342D7E">
        <w:t>odn</w:t>
      </w:r>
      <w:r w:rsidRPr="00342D7E">
        <w:t>iesieniu do pozycji związanych</w:t>
      </w:r>
      <w:r w:rsidR="00342D7E" w:rsidRPr="00342D7E">
        <w:t xml:space="preserve"> z</w:t>
      </w:r>
      <w:r w:rsidR="00342D7E">
        <w:t> </w:t>
      </w:r>
      <w:r w:rsidR="00342D7E" w:rsidRPr="00342D7E">
        <w:t>ins</w:t>
      </w:r>
      <w:r w:rsidRPr="00342D7E">
        <w:t>trumentami pochodnymi ryzyka kredytowego – kwoty referencyjne umów, na mocy których instytucja (sprzedawca zabezpieczenia) dokonuje sprzedaży (przyznaje) zabezpieczenia swoim kontrahentom (nabywcom zabezpieczenia).</w:t>
      </w:r>
    </w:p>
    <w:p w:rsidR="00D35B0C" w:rsidRPr="00342D7E" w:rsidRDefault="00A834F1">
      <w:pPr>
        <w:pStyle w:val="Baseparagraphnumbered"/>
      </w:pPr>
      <w:r w:rsidRPr="00342D7E">
        <w:t>Transakcję przypisuje się do pozycji „Będące przedmiotem obrotu poza rynkiem regulowanym” lub „Będące przedmiotem obrotu na rynku regulowanym”</w:t>
      </w:r>
      <w:r w:rsidR="00342D7E" w:rsidRPr="00342D7E">
        <w:t xml:space="preserve"> w</w:t>
      </w:r>
      <w:r w:rsidR="00342D7E">
        <w:t> </w:t>
      </w:r>
      <w:r w:rsidR="00342D7E" w:rsidRPr="00342D7E">
        <w:t>opa</w:t>
      </w:r>
      <w:r w:rsidRPr="00342D7E">
        <w:t>rciu</w:t>
      </w:r>
      <w:r w:rsidR="00342D7E" w:rsidRPr="00342D7E">
        <w:t xml:space="preserve"> o</w:t>
      </w:r>
      <w:r w:rsidR="00342D7E">
        <w:t> </w:t>
      </w:r>
      <w:r w:rsidR="00342D7E" w:rsidRPr="00342D7E">
        <w:t>cha</w:t>
      </w:r>
      <w:r w:rsidRPr="00342D7E">
        <w:t>rakter rynku, na którym transakcja ma miejsce,</w:t>
      </w:r>
      <w:r w:rsidR="00342D7E" w:rsidRPr="00342D7E">
        <w:t xml:space="preserve"> a</w:t>
      </w:r>
      <w:r w:rsidR="00342D7E">
        <w:t> </w:t>
      </w:r>
      <w:r w:rsidR="00342D7E" w:rsidRPr="00342D7E">
        <w:t>nie w</w:t>
      </w:r>
      <w:r w:rsidR="00342D7E">
        <w:t> </w:t>
      </w:r>
      <w:r w:rsidR="00342D7E" w:rsidRPr="00342D7E">
        <w:t>opa</w:t>
      </w:r>
      <w:r w:rsidRPr="00342D7E">
        <w:t>rciu o to, czy</w:t>
      </w:r>
      <w:r w:rsidR="00342D7E" w:rsidRPr="00342D7E">
        <w:t xml:space="preserve"> w</w:t>
      </w:r>
      <w:r w:rsidR="00342D7E">
        <w:t> </w:t>
      </w:r>
      <w:r w:rsidR="00342D7E" w:rsidRPr="00342D7E">
        <w:t>sto</w:t>
      </w:r>
      <w:r w:rsidRPr="00342D7E">
        <w:t>sunku do danej transakcji istnieje bezwzględny obowiązek rozliczania. „Rynek regulowany” jest rynkiem regulowanym</w:t>
      </w:r>
      <w:r w:rsidR="00342D7E" w:rsidRPr="00342D7E">
        <w:t xml:space="preserve"> w</w:t>
      </w:r>
      <w:r w:rsidR="00342D7E">
        <w:t> </w:t>
      </w:r>
      <w:r w:rsidR="00342D7E" w:rsidRPr="00342D7E">
        <w:t>roz</w:t>
      </w:r>
      <w:r w:rsidRPr="00342D7E">
        <w:t>umieniu art.</w:t>
      </w:r>
      <w:r w:rsidR="00342D7E" w:rsidRPr="00342D7E">
        <w:t> </w:t>
      </w:r>
      <w:r w:rsidRPr="00342D7E">
        <w:t>4 ust.</w:t>
      </w:r>
      <w:r w:rsidR="00342D7E" w:rsidRPr="00342D7E">
        <w:t> </w:t>
      </w:r>
      <w:r w:rsidRPr="00342D7E">
        <w:t>1 pkt</w:t>
      </w:r>
      <w:r w:rsidR="00342D7E" w:rsidRPr="00342D7E">
        <w:t> </w:t>
      </w:r>
      <w:r w:rsidRPr="00342D7E">
        <w:t>92 CRR</w:t>
      </w:r>
      <w:r w:rsidR="00342D7E" w:rsidRPr="00342D7E">
        <w:t>. W</w:t>
      </w:r>
      <w:r w:rsidR="00342D7E">
        <w:t> </w:t>
      </w:r>
      <w:r w:rsidR="00342D7E" w:rsidRPr="00342D7E">
        <w:t>zwi</w:t>
      </w:r>
      <w:r w:rsidRPr="00342D7E">
        <w:t>ązku</w:t>
      </w:r>
      <w:r w:rsidR="00342D7E" w:rsidRPr="00342D7E">
        <w:t xml:space="preserve"> z</w:t>
      </w:r>
      <w:r w:rsidR="00342D7E">
        <w:t> </w:t>
      </w:r>
      <w:r w:rsidR="00342D7E" w:rsidRPr="00342D7E">
        <w:t>tym</w:t>
      </w:r>
      <w:r w:rsidRPr="00342D7E">
        <w:t>,</w:t>
      </w:r>
      <w:r w:rsidR="00342D7E" w:rsidRPr="00342D7E">
        <w:t xml:space="preserve"> w</w:t>
      </w:r>
      <w:r w:rsidR="00342D7E">
        <w:t> </w:t>
      </w:r>
      <w:r w:rsidR="00342D7E" w:rsidRPr="00342D7E">
        <w:t>prz</w:t>
      </w:r>
      <w:r w:rsidRPr="00342D7E">
        <w:t>ypadku gdy jednostka sprawozdająca zawiera kontrakt pochodny na rynku pozagiełdowym, na którym centralne rozliczanie jest obowiązkowe, klasyfikuje ten kontrakt pochodny jako „Będący przedmiotem obrotu poza rynkiem regulowanym”,</w:t>
      </w:r>
      <w:r w:rsidR="00342D7E" w:rsidRPr="00342D7E">
        <w:t xml:space="preserve"> a</w:t>
      </w:r>
      <w:r w:rsidR="00342D7E">
        <w:t> </w:t>
      </w:r>
      <w:r w:rsidR="00342D7E" w:rsidRPr="00342D7E">
        <w:t>nie</w:t>
      </w:r>
      <w:r w:rsidRPr="00342D7E">
        <w:t xml:space="preserve"> jako „Będący przedmiotem obrotu na rynku regulowanym”.</w:t>
      </w:r>
    </w:p>
    <w:p w:rsidR="00D35B0C" w:rsidRPr="00342D7E" w:rsidRDefault="00A834F1">
      <w:pPr>
        <w:pStyle w:val="sub-subtitlenumbered"/>
        <w:jc w:val="both"/>
      </w:pPr>
      <w:bookmarkStart w:id="28" w:name="_Toc31019130"/>
      <w:r w:rsidRPr="00342D7E">
        <w:t>Instrumenty pochodne sklasyfikowane jako „zabezpieczenia ekonomiczne”</w:t>
      </w:r>
      <w:bookmarkEnd w:id="28"/>
    </w:p>
    <w:p w:rsidR="00D35B0C" w:rsidRPr="00342D7E" w:rsidRDefault="00A834F1">
      <w:pPr>
        <w:pStyle w:val="Baseparagraphnumbered"/>
      </w:pPr>
      <w:r w:rsidRPr="00342D7E">
        <w:t>Instrumenty pochodne, które są utrzymywane</w:t>
      </w:r>
      <w:r w:rsidR="00342D7E" w:rsidRPr="00342D7E">
        <w:t xml:space="preserve"> w</w:t>
      </w:r>
      <w:r w:rsidR="00342D7E">
        <w:t> </w:t>
      </w:r>
      <w:r w:rsidR="00342D7E" w:rsidRPr="00342D7E">
        <w:t>cel</w:t>
      </w:r>
      <w:r w:rsidRPr="00342D7E">
        <w:t>ach zabezpieczenia, lecz które nie spełniają kryteriów pozwalających uznać ja za efektywne instrumenty zabezpieczające zgodnie z MSSF 9, MSR 39 (jeżeli MSR 39 jest stosowany do celów rachunkowości zabezpieczeń) lub standardami rachunkowości przewidzianymi</w:t>
      </w:r>
      <w:r w:rsidR="00342D7E" w:rsidRPr="00342D7E">
        <w:t xml:space="preserve"> w</w:t>
      </w:r>
      <w:r w:rsidR="00342D7E">
        <w:t> </w:t>
      </w:r>
      <w:r w:rsidR="00342D7E" w:rsidRPr="00342D7E">
        <w:t>kra</w:t>
      </w:r>
      <w:r w:rsidRPr="00342D7E">
        <w:t>jowych ogólnie przyjętych zasadach rachunkowości opartych na BAD, zgłasza się we wzorze 10 jako „zabezpieczenia ekonomiczne”. Powyższe stosuje się również do wszystkich poniższych instrumentów:</w:t>
      </w:r>
    </w:p>
    <w:p w:rsidR="00D35B0C" w:rsidRPr="00342D7E" w:rsidRDefault="00A834F1" w:rsidP="00056B6F">
      <w:pPr>
        <w:numPr>
          <w:ilvl w:val="0"/>
          <w:numId w:val="50"/>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instrumentów</w:t>
      </w:r>
      <w:proofErr w:type="gramEnd"/>
      <w:r w:rsidRPr="00342D7E">
        <w:rPr>
          <w:rFonts w:ascii="Times New Roman" w:hAnsi="Times New Roman"/>
          <w:sz w:val="24"/>
          <w:szCs w:val="24"/>
        </w:rPr>
        <w:t xml:space="preserve"> pochodnych zabezpieczających nienotowane instrumenty kapitałowe,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których cena nabycia może stanowić odpowiedni szacunek wartości godziwej;</w:t>
      </w:r>
    </w:p>
    <w:p w:rsidR="00D35B0C" w:rsidRPr="00342D7E" w:rsidRDefault="00A834F1" w:rsidP="00056B6F">
      <w:pPr>
        <w:numPr>
          <w:ilvl w:val="0"/>
          <w:numId w:val="50"/>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kredytowych</w:t>
      </w:r>
      <w:proofErr w:type="gramEnd"/>
      <w:r w:rsidRPr="00342D7E">
        <w:rPr>
          <w:rFonts w:ascii="Times New Roman" w:hAnsi="Times New Roman"/>
          <w:sz w:val="24"/>
          <w:szCs w:val="24"/>
        </w:rPr>
        <w:t xml:space="preserve"> instrumentów pochodnych wycenianych według wartości godziwej przez wynik finansowy wykorzystywanych do zarządzania ryzykiem kredytowym części lub całości instrumentu finansowego wyznaczonego jako wyceniany według wartości godziwej przez wynik finansowy przy początkowym ujęciu lub</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póź</w:t>
      </w:r>
      <w:r w:rsidRPr="00342D7E">
        <w:rPr>
          <w:rFonts w:ascii="Times New Roman" w:hAnsi="Times New Roman"/>
          <w:sz w:val="24"/>
          <w:szCs w:val="24"/>
        </w:rPr>
        <w:t>niejszym czasie bądź gdy nie jest on ujęty zgodnie z MSSF 9 pkt</w:t>
      </w:r>
      <w:r w:rsidR="00342D7E" w:rsidRPr="00342D7E">
        <w:rPr>
          <w:rFonts w:ascii="Times New Roman" w:hAnsi="Times New Roman"/>
          <w:sz w:val="24"/>
          <w:szCs w:val="24"/>
        </w:rPr>
        <w:t> </w:t>
      </w:r>
      <w:r w:rsidRPr="00342D7E">
        <w:rPr>
          <w:rFonts w:ascii="Times New Roman" w:hAnsi="Times New Roman"/>
          <w:sz w:val="24"/>
          <w:szCs w:val="24"/>
        </w:rPr>
        <w:t>6.7;</w:t>
      </w:r>
    </w:p>
    <w:p w:rsidR="00D35B0C" w:rsidRPr="00342D7E" w:rsidRDefault="00A834F1" w:rsidP="00056B6F">
      <w:pPr>
        <w:numPr>
          <w:ilvl w:val="0"/>
          <w:numId w:val="50"/>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instrumentów</w:t>
      </w:r>
      <w:proofErr w:type="gramEnd"/>
      <w:r w:rsidRPr="00342D7E">
        <w:rPr>
          <w:rFonts w:ascii="Times New Roman" w:hAnsi="Times New Roman"/>
          <w:sz w:val="24"/>
          <w:szCs w:val="24"/>
        </w:rPr>
        <w:t xml:space="preserve"> pochodnych, które sklasyfikowano jako „przeznaczone do obrotu” zgodnie z MSSF 9 załącznik A lub jako aktywa</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eznaczeniem do obrotu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kra</w:t>
      </w:r>
      <w:r w:rsidRPr="00342D7E">
        <w:rPr>
          <w:rFonts w:ascii="Times New Roman" w:hAnsi="Times New Roman"/>
          <w:sz w:val="24"/>
          <w:szCs w:val="24"/>
        </w:rPr>
        <w:t>jowymi ogólnie przyjętymi zasadami rachunkowości opartymi na BAD, lecz które nie wchodzą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skł</w:t>
      </w:r>
      <w:r w:rsidRPr="00342D7E">
        <w:rPr>
          <w:rFonts w:ascii="Times New Roman" w:hAnsi="Times New Roman"/>
          <w:sz w:val="24"/>
          <w:szCs w:val="24"/>
        </w:rPr>
        <w:t>ad portfela handlowego zdefiniowanego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art</w:t>
      </w:r>
      <w:r w:rsidRPr="00342D7E">
        <w:rPr>
          <w:rFonts w:ascii="Times New Roman" w:hAnsi="Times New Roman"/>
          <w:sz w:val="24"/>
          <w:szCs w:val="24"/>
        </w:rPr>
        <w:t>.</w:t>
      </w:r>
      <w:r w:rsidR="00342D7E" w:rsidRPr="00342D7E">
        <w:rPr>
          <w:rFonts w:ascii="Times New Roman" w:hAnsi="Times New Roman"/>
          <w:sz w:val="24"/>
          <w:szCs w:val="24"/>
        </w:rPr>
        <w:t> </w:t>
      </w:r>
      <w:r w:rsidRPr="00342D7E">
        <w:rPr>
          <w:rFonts w:ascii="Times New Roman" w:hAnsi="Times New Roman"/>
          <w:sz w:val="24"/>
          <w:szCs w:val="24"/>
        </w:rPr>
        <w:t>4 ust.</w:t>
      </w:r>
      <w:r w:rsidR="00342D7E" w:rsidRPr="00342D7E">
        <w:rPr>
          <w:rFonts w:ascii="Times New Roman" w:hAnsi="Times New Roman"/>
          <w:sz w:val="24"/>
          <w:szCs w:val="24"/>
        </w:rPr>
        <w:t> </w:t>
      </w:r>
      <w:r w:rsidRPr="00342D7E">
        <w:rPr>
          <w:rFonts w:ascii="Times New Roman" w:hAnsi="Times New Roman"/>
          <w:sz w:val="24"/>
          <w:szCs w:val="24"/>
        </w:rPr>
        <w:t>1 pkt</w:t>
      </w:r>
      <w:r w:rsidR="00342D7E" w:rsidRPr="00342D7E">
        <w:rPr>
          <w:rFonts w:ascii="Times New Roman" w:hAnsi="Times New Roman"/>
          <w:sz w:val="24"/>
          <w:szCs w:val="24"/>
        </w:rPr>
        <w:t> </w:t>
      </w:r>
      <w:r w:rsidRPr="00342D7E">
        <w:rPr>
          <w:rFonts w:ascii="Times New Roman" w:hAnsi="Times New Roman"/>
          <w:sz w:val="24"/>
          <w:szCs w:val="24"/>
        </w:rPr>
        <w:t xml:space="preserve">86 CRR. </w:t>
      </w:r>
    </w:p>
    <w:p w:rsidR="00D35B0C" w:rsidRPr="00342D7E" w:rsidRDefault="00A834F1">
      <w:pPr>
        <w:pStyle w:val="Baseparagraphnumbered"/>
      </w:pPr>
      <w:r w:rsidRPr="00342D7E">
        <w:t>„Zabezpieczenia ekonomiczne” nie obejmują instrumentów pochodnych przeznaczonych do przeprowadzania operacji giełdowych na rachunek własny.</w:t>
      </w:r>
    </w:p>
    <w:p w:rsidR="00D35B0C" w:rsidRPr="00342D7E" w:rsidRDefault="00A834F1">
      <w:pPr>
        <w:pStyle w:val="Baseparagraphnumbered"/>
      </w:pPr>
      <w:r w:rsidRPr="00342D7E">
        <w:lastRenderedPageBreak/>
        <w:t>Instrumenty pochodne, które spełniają kryteria definicji „zabezpieczeń ekonomicznych”, zgłasza się oddzielnie dla każdego rodzaju ryzyka we wzorze 10.</w:t>
      </w:r>
    </w:p>
    <w:p w:rsidR="00D35B0C" w:rsidRPr="00342D7E" w:rsidRDefault="00A834F1">
      <w:pPr>
        <w:pStyle w:val="Baseparagraphnumbered"/>
      </w:pPr>
      <w:r w:rsidRPr="00342D7E">
        <w:t>Kredytowe instrumenty pochodne wykorzystywane do zarządzania ryzykiem kredytowym części lub całości instrumentu finansowego wyznaczonego jako wyceniany według wartości godziwej przez wynik finansowy przy początkowym ujęciu lub</w:t>
      </w:r>
      <w:r w:rsidR="00342D7E" w:rsidRPr="00342D7E">
        <w:t xml:space="preserve"> w</w:t>
      </w:r>
      <w:r w:rsidR="00342D7E">
        <w:t> </w:t>
      </w:r>
      <w:r w:rsidR="00342D7E" w:rsidRPr="00342D7E">
        <w:t>póź</w:t>
      </w:r>
      <w:r w:rsidRPr="00342D7E">
        <w:t>niejszym czasie bądź gdy pozostaje on nieujęty zgodnie z MSSF 9 pkt</w:t>
      </w:r>
      <w:r w:rsidR="00342D7E" w:rsidRPr="00342D7E">
        <w:t> </w:t>
      </w:r>
      <w:r w:rsidRPr="00342D7E">
        <w:t>6.7, zgłasza się</w:t>
      </w:r>
      <w:r w:rsidR="00342D7E" w:rsidRPr="00342D7E">
        <w:t xml:space="preserve"> w</w:t>
      </w:r>
      <w:r w:rsidR="00342D7E">
        <w:t> </w:t>
      </w:r>
      <w:r w:rsidR="00342D7E" w:rsidRPr="00342D7E">
        <w:t>odp</w:t>
      </w:r>
      <w:r w:rsidRPr="00342D7E">
        <w:t>owiednim wierszu we wzorze 10</w:t>
      </w:r>
      <w:r w:rsidR="00342D7E" w:rsidRPr="00342D7E">
        <w:t xml:space="preserve"> w</w:t>
      </w:r>
      <w:r w:rsidR="00342D7E">
        <w:t> </w:t>
      </w:r>
      <w:r w:rsidR="00342D7E" w:rsidRPr="00342D7E">
        <w:t>ram</w:t>
      </w:r>
      <w:r w:rsidRPr="00342D7E">
        <w:t>ach pozycji „ryzyko kredytowe”. Inne zabezpieczenia ekonomiczne</w:t>
      </w:r>
      <w:r w:rsidR="00342D7E" w:rsidRPr="00342D7E">
        <w:t xml:space="preserve"> z</w:t>
      </w:r>
      <w:r w:rsidR="00342D7E">
        <w:t> </w:t>
      </w:r>
      <w:r w:rsidR="00342D7E" w:rsidRPr="00342D7E">
        <w:t>tyt</w:t>
      </w:r>
      <w:r w:rsidRPr="00342D7E">
        <w:t>ułu ryzyka kredytowego,</w:t>
      </w:r>
      <w:r w:rsidR="00342D7E" w:rsidRPr="00342D7E">
        <w:t xml:space="preserve"> w</w:t>
      </w:r>
      <w:r w:rsidR="00342D7E">
        <w:t> </w:t>
      </w:r>
      <w:r w:rsidR="00342D7E" w:rsidRPr="00342D7E">
        <w:t>sto</w:t>
      </w:r>
      <w:r w:rsidRPr="00342D7E">
        <w:t>sunku do których jednostka sprawozdająca nie stosuje MSSF 9 pkt</w:t>
      </w:r>
      <w:r w:rsidR="00342D7E" w:rsidRPr="00342D7E">
        <w:t> </w:t>
      </w:r>
      <w:r w:rsidRPr="00342D7E">
        <w:t>6.7, zgłasza się osobno.</w:t>
      </w:r>
    </w:p>
    <w:p w:rsidR="00D35B0C" w:rsidRPr="00342D7E" w:rsidRDefault="00A834F1">
      <w:pPr>
        <w:pStyle w:val="sub-subtitlenumbered"/>
        <w:jc w:val="both"/>
      </w:pPr>
      <w:bookmarkStart w:id="29" w:name="_Toc31019131"/>
      <w:r w:rsidRPr="00342D7E">
        <w:t>Podział instrumentów pochodnych według sektorów kontrahentów</w:t>
      </w:r>
      <w:bookmarkEnd w:id="29"/>
    </w:p>
    <w:p w:rsidR="00D35B0C" w:rsidRPr="00342D7E" w:rsidRDefault="00A834F1">
      <w:pPr>
        <w:pStyle w:val="Baseparagraphnumbered"/>
        <w:tabs>
          <w:tab w:val="left" w:pos="851"/>
        </w:tabs>
        <w:ind w:left="709"/>
      </w:pPr>
      <w:r w:rsidRPr="00342D7E">
        <w:t>Kontrahenci zgłaszają wartość bilansową oraz całkowitą kwotę referencyjną instrumentów pochodnych przeznaczonych do obrotu, jak również instrumentów pochodnych przeznaczonych do celów rachunkowości zabezpieczeń, które są przedmiotem obrotu na rynku pozagiełdowym,</w:t>
      </w:r>
      <w:r w:rsidR="00342D7E" w:rsidRPr="00342D7E">
        <w:t xml:space="preserve"> z</w:t>
      </w:r>
      <w:r w:rsidR="00342D7E">
        <w:t> </w:t>
      </w:r>
      <w:r w:rsidR="00342D7E" w:rsidRPr="00342D7E">
        <w:t>zas</w:t>
      </w:r>
      <w:r w:rsidRPr="00342D7E">
        <w:t xml:space="preserve">tosowaniem następujących kategorii kontrahentów: </w:t>
      </w:r>
    </w:p>
    <w:p w:rsidR="00D35B0C" w:rsidRPr="00342D7E" w:rsidRDefault="00A834F1" w:rsidP="00056B6F">
      <w:pPr>
        <w:numPr>
          <w:ilvl w:val="0"/>
          <w:numId w:val="51"/>
        </w:numPr>
        <w:spacing w:before="120" w:after="120"/>
        <w:ind w:left="1134"/>
        <w:jc w:val="both"/>
        <w:rPr>
          <w:rFonts w:ascii="Times New Roman" w:hAnsi="Times New Roman"/>
          <w:sz w:val="24"/>
          <w:szCs w:val="24"/>
        </w:rPr>
      </w:pPr>
      <w:r w:rsidRPr="00342D7E">
        <w:rPr>
          <w:rFonts w:ascii="Times New Roman" w:hAnsi="Times New Roman"/>
          <w:sz w:val="24"/>
          <w:szCs w:val="24"/>
        </w:rPr>
        <w:t xml:space="preserve">„instytucje kredytowe”; </w:t>
      </w:r>
    </w:p>
    <w:p w:rsidR="00D35B0C" w:rsidRPr="00342D7E" w:rsidRDefault="00A834F1" w:rsidP="00056B6F">
      <w:pPr>
        <w:numPr>
          <w:ilvl w:val="0"/>
          <w:numId w:val="51"/>
        </w:numPr>
        <w:spacing w:before="120" w:after="120"/>
        <w:ind w:left="1134"/>
        <w:jc w:val="both"/>
        <w:rPr>
          <w:rFonts w:ascii="Times New Roman" w:hAnsi="Times New Roman"/>
          <w:sz w:val="24"/>
          <w:szCs w:val="24"/>
        </w:rPr>
      </w:pPr>
      <w:r w:rsidRPr="00342D7E">
        <w:rPr>
          <w:rFonts w:ascii="Times New Roman" w:hAnsi="Times New Roman"/>
          <w:sz w:val="24"/>
          <w:szCs w:val="24"/>
        </w:rPr>
        <w:t xml:space="preserve">„inne instytucje finansowe”; </w:t>
      </w:r>
    </w:p>
    <w:p w:rsidR="00D35B0C" w:rsidRPr="00342D7E" w:rsidRDefault="00A834F1" w:rsidP="00056B6F">
      <w:pPr>
        <w:numPr>
          <w:ilvl w:val="0"/>
          <w:numId w:val="51"/>
        </w:numPr>
        <w:spacing w:before="120" w:after="120"/>
        <w:ind w:left="1134"/>
        <w:jc w:val="both"/>
        <w:rPr>
          <w:rFonts w:ascii="Times New Roman" w:hAnsi="Times New Roman"/>
          <w:sz w:val="24"/>
          <w:szCs w:val="24"/>
        </w:rPr>
      </w:pPr>
      <w:r w:rsidRPr="00342D7E">
        <w:rPr>
          <w:rFonts w:ascii="Times New Roman" w:hAnsi="Times New Roman"/>
          <w:sz w:val="24"/>
          <w:szCs w:val="24"/>
        </w:rPr>
        <w:t xml:space="preserve">„pozostałe” – kategoria ta obejmuje wszystkich innych kontrahentów. </w:t>
      </w:r>
    </w:p>
    <w:p w:rsidR="00D35B0C" w:rsidRPr="00342D7E" w:rsidRDefault="00A834F1">
      <w:pPr>
        <w:pStyle w:val="Baseparagraphnumbered"/>
        <w:tabs>
          <w:tab w:val="left" w:pos="851"/>
        </w:tabs>
        <w:ind w:left="709"/>
      </w:pPr>
      <w:r w:rsidRPr="00342D7E">
        <w:t>Wszystkie instrumenty pochodne będące przedmiotem obrotu poza rynkiem regulowanym, niezależnie od rodzaju ryzyka,</w:t>
      </w:r>
      <w:r w:rsidR="00342D7E" w:rsidRPr="00342D7E">
        <w:t xml:space="preserve"> z</w:t>
      </w:r>
      <w:r w:rsidR="00342D7E">
        <w:t> </w:t>
      </w:r>
      <w:r w:rsidR="00342D7E" w:rsidRPr="00342D7E">
        <w:t>któ</w:t>
      </w:r>
      <w:r w:rsidRPr="00342D7E">
        <w:t xml:space="preserve">rym są powiązane, dzieli się według tych kontrahentów. </w:t>
      </w:r>
    </w:p>
    <w:p w:rsidR="00D35B0C" w:rsidRPr="00342D7E" w:rsidRDefault="00A834F1">
      <w:pPr>
        <w:pStyle w:val="sub-subtitlenumbered"/>
        <w:jc w:val="both"/>
      </w:pPr>
      <w:bookmarkStart w:id="30" w:name="_Toc31019132"/>
      <w:r w:rsidRPr="00342D7E">
        <w:t>Rachunkowość zabezpieczeń na podstawie krajowych ogólnie przyjętych zasad rachunkowości (11.2):</w:t>
      </w:r>
      <w:bookmarkEnd w:id="30"/>
    </w:p>
    <w:p w:rsidR="00D35B0C" w:rsidRPr="00342D7E" w:rsidRDefault="00A834F1">
      <w:pPr>
        <w:pStyle w:val="Baseparagraphnumbered"/>
      </w:pPr>
      <w:r w:rsidRPr="00342D7E">
        <w:t>Jeżeli zgodnie</w:t>
      </w:r>
      <w:r w:rsidR="00342D7E" w:rsidRPr="00342D7E">
        <w:t xml:space="preserve"> z</w:t>
      </w:r>
      <w:r w:rsidR="00342D7E">
        <w:t> </w:t>
      </w:r>
      <w:r w:rsidR="00342D7E" w:rsidRPr="00342D7E">
        <w:t>kra</w:t>
      </w:r>
      <w:r w:rsidRPr="00342D7E">
        <w:t>jowymi ogólnie przyjętymi zasadami rachunkowości opartymi na BAD wymagane jest przypisanie zabezpieczających instrumentów pochodnych do poszczególnych kategorii zabezpieczeń, zabezpieczające instrumenty pochodne zgłasza się osobno dla każdej</w:t>
      </w:r>
      <w:r w:rsidR="00342D7E" w:rsidRPr="00342D7E">
        <w:t xml:space="preserve"> z</w:t>
      </w:r>
      <w:r w:rsidR="00342D7E">
        <w:t> </w:t>
      </w:r>
      <w:r w:rsidR="00342D7E" w:rsidRPr="00342D7E">
        <w:t>wła</w:t>
      </w:r>
      <w:r w:rsidRPr="00342D7E">
        <w:t>ściwych kategorii: „zabezpieczenia wartości godziwej”, „zabezpieczenia przepływów pieniężnych”, „zabezpieczenia ceny nabycia”, „zabezpieczenie inwestycji netto</w:t>
      </w:r>
      <w:r w:rsidR="00342D7E" w:rsidRPr="00342D7E">
        <w:t xml:space="preserve"> w</w:t>
      </w:r>
      <w:r w:rsidR="00342D7E">
        <w:t> </w:t>
      </w:r>
      <w:r w:rsidR="00342D7E" w:rsidRPr="00342D7E">
        <w:t>jed</w:t>
      </w:r>
      <w:r w:rsidRPr="00342D7E">
        <w:t>nostce działającej za granicą”, „zabezpieczenia wartości godziwej portfela przed ryzykiem stopy procentowej” oraz „zabezpieczenia przepływów pieniężnych portfela przed ryzykiem stopy procentowej”.</w:t>
      </w:r>
    </w:p>
    <w:p w:rsidR="00D35B0C" w:rsidRPr="00342D7E" w:rsidRDefault="00A834F1">
      <w:pPr>
        <w:pStyle w:val="Baseparagraphnumbered"/>
      </w:pPr>
      <w:r w:rsidRPr="00342D7E">
        <w:t>W stosownych przypadkach zgodnie</w:t>
      </w:r>
      <w:r w:rsidR="00342D7E" w:rsidRPr="00342D7E">
        <w:t xml:space="preserve"> z</w:t>
      </w:r>
      <w:r w:rsidR="00342D7E">
        <w:t> </w:t>
      </w:r>
      <w:r w:rsidR="00342D7E" w:rsidRPr="00342D7E">
        <w:t>kra</w:t>
      </w:r>
      <w:r w:rsidRPr="00342D7E">
        <w:t>jowymi ogólnie przyjętymi zasadami rachunkowości opartymi na BAD pozycja „Zabezpieczenia ceny nabycia” odnosi się do kategorii zabezpieczeń,</w:t>
      </w:r>
      <w:r w:rsidR="00342D7E" w:rsidRPr="00342D7E">
        <w:t xml:space="preserve"> w</w:t>
      </w:r>
      <w:r w:rsidR="00342D7E">
        <w:t> </w:t>
      </w:r>
      <w:r w:rsidR="00342D7E" w:rsidRPr="00342D7E">
        <w:t>ram</w:t>
      </w:r>
      <w:r w:rsidRPr="00342D7E">
        <w:t>ach której zabezpieczający instrument pochodny zasadniczo wycenia się według ceny nabycia.</w:t>
      </w:r>
    </w:p>
    <w:p w:rsidR="00D35B0C" w:rsidRPr="00342D7E" w:rsidRDefault="00A834F1">
      <w:pPr>
        <w:pStyle w:val="sub-subtitlenumbered"/>
        <w:jc w:val="both"/>
      </w:pPr>
      <w:bookmarkStart w:id="31" w:name="_Toc31019133"/>
      <w:r w:rsidRPr="00342D7E">
        <w:lastRenderedPageBreak/>
        <w:t>Kwota podlegająca zgłoszeniu</w:t>
      </w:r>
      <w:r w:rsidR="00342D7E" w:rsidRPr="00342D7E">
        <w:t xml:space="preserve"> w</w:t>
      </w:r>
      <w:r w:rsidR="00342D7E">
        <w:t> </w:t>
      </w:r>
      <w:r w:rsidR="00342D7E" w:rsidRPr="00342D7E">
        <w:t>odn</w:t>
      </w:r>
      <w:r w:rsidRPr="00342D7E">
        <w:t>iesieniu do instrumentów zabezpieczających niebędących instrumentami pochodnymi (11.3</w:t>
      </w:r>
      <w:r w:rsidR="00342D7E" w:rsidRPr="00342D7E">
        <w:t xml:space="preserve"> </w:t>
      </w:r>
      <w:proofErr w:type="gramStart"/>
      <w:r w:rsidR="00342D7E" w:rsidRPr="00342D7E">
        <w:t>i</w:t>
      </w:r>
      <w:proofErr w:type="gramEnd"/>
      <w:r w:rsidR="00342D7E">
        <w:t> </w:t>
      </w:r>
      <w:r w:rsidR="00342D7E" w:rsidRPr="00342D7E">
        <w:t>1</w:t>
      </w:r>
      <w:r w:rsidRPr="00342D7E">
        <w:t>1.3.1)</w:t>
      </w:r>
      <w:bookmarkEnd w:id="31"/>
    </w:p>
    <w:p w:rsidR="00D35B0C" w:rsidRPr="00342D7E" w:rsidRDefault="00A834F1">
      <w:pPr>
        <w:pStyle w:val="Baseparagraphnumbered"/>
      </w:pPr>
      <w:r w:rsidRPr="00342D7E">
        <w:t>W odniesieniu do instrumentów zabezpieczających niebędących instrumentami pochodnymi kwotą podlegającą zgłoszeniu jest ich wartość bilansowa ustalona zgodnie</w:t>
      </w:r>
      <w:r w:rsidR="00342D7E" w:rsidRPr="00342D7E">
        <w:t xml:space="preserve"> z</w:t>
      </w:r>
      <w:r w:rsidR="00342D7E">
        <w:t> </w:t>
      </w:r>
      <w:r w:rsidR="00342D7E" w:rsidRPr="00342D7E">
        <w:t>zas</w:t>
      </w:r>
      <w:r w:rsidRPr="00342D7E">
        <w:t>adami wyceny mającymi zastosowanie do portfeli księgowych, do których należą, na podstawie MSSF lub ogólnie przyjętych zasad rachunkowości opartych na BAD</w:t>
      </w:r>
      <w:r w:rsidR="00342D7E" w:rsidRPr="00342D7E">
        <w:t>. W</w:t>
      </w:r>
      <w:r w:rsidR="00342D7E">
        <w:t> </w:t>
      </w:r>
      <w:r w:rsidR="00342D7E" w:rsidRPr="00342D7E">
        <w:t>odn</w:t>
      </w:r>
      <w:r w:rsidRPr="00342D7E">
        <w:t>iesieniu do instrumentów zabezpieczających niebędących instrumentami pochodnymi nie zgłasza się „kwoty referencyjnej”.</w:t>
      </w:r>
    </w:p>
    <w:p w:rsidR="00D35B0C" w:rsidRPr="00342D7E" w:rsidRDefault="00A834F1">
      <w:pPr>
        <w:pStyle w:val="sub-subtitlenumbered"/>
        <w:jc w:val="both"/>
      </w:pPr>
      <w:bookmarkStart w:id="32" w:name="_Toc31019134"/>
      <w:r w:rsidRPr="00342D7E">
        <w:t>Pozycje zabezpieczane</w:t>
      </w:r>
      <w:r w:rsidR="00342D7E" w:rsidRPr="00342D7E">
        <w:t xml:space="preserve"> w</w:t>
      </w:r>
      <w:r w:rsidR="00342D7E">
        <w:t> </w:t>
      </w:r>
      <w:r w:rsidR="00342D7E" w:rsidRPr="00342D7E">
        <w:t>zab</w:t>
      </w:r>
      <w:r w:rsidRPr="00342D7E">
        <w:t>ezpieczeniach wartości godziwej (11.4)</w:t>
      </w:r>
      <w:bookmarkEnd w:id="32"/>
    </w:p>
    <w:p w:rsidR="00D35B0C" w:rsidRPr="00342D7E" w:rsidRDefault="00A834F1">
      <w:pPr>
        <w:pStyle w:val="Baseparagraphnumbered"/>
        <w:tabs>
          <w:tab w:val="left" w:pos="851"/>
        </w:tabs>
        <w:ind w:left="709"/>
      </w:pPr>
      <w:r w:rsidRPr="00342D7E">
        <w:t>Wartość bilansową pozycji zabezpieczanych</w:t>
      </w:r>
      <w:r w:rsidR="00342D7E" w:rsidRPr="00342D7E">
        <w:t xml:space="preserve"> w</w:t>
      </w:r>
      <w:r w:rsidR="00342D7E">
        <w:t> </w:t>
      </w:r>
      <w:r w:rsidR="00342D7E" w:rsidRPr="00342D7E">
        <w:t>zab</w:t>
      </w:r>
      <w:r w:rsidRPr="00342D7E">
        <w:t>ezpieczeniach wartości godziwej ujętych</w:t>
      </w:r>
      <w:r w:rsidR="00342D7E" w:rsidRPr="00342D7E">
        <w:t xml:space="preserve"> w</w:t>
      </w:r>
      <w:r w:rsidR="00342D7E">
        <w:t> </w:t>
      </w:r>
      <w:r w:rsidR="00342D7E" w:rsidRPr="00342D7E">
        <w:t>spr</w:t>
      </w:r>
      <w:r w:rsidRPr="00342D7E">
        <w:t>awozdaniu</w:t>
      </w:r>
      <w:r w:rsidR="00342D7E" w:rsidRPr="00342D7E">
        <w:t xml:space="preserve"> z</w:t>
      </w:r>
      <w:r w:rsidR="00342D7E">
        <w:t> </w:t>
      </w:r>
      <w:r w:rsidR="00342D7E" w:rsidRPr="00342D7E">
        <w:t>syt</w:t>
      </w:r>
      <w:r w:rsidRPr="00342D7E">
        <w:t>uacji finansowej prezentuje się</w:t>
      </w:r>
      <w:r w:rsidR="00342D7E" w:rsidRPr="00342D7E">
        <w:t xml:space="preserve"> w</w:t>
      </w:r>
      <w:r w:rsidR="00342D7E">
        <w:t> </w:t>
      </w:r>
      <w:r w:rsidR="00342D7E" w:rsidRPr="00342D7E">
        <w:t>pod</w:t>
      </w:r>
      <w:r w:rsidRPr="00342D7E">
        <w:t>ziale na portfele księgowe</w:t>
      </w:r>
      <w:r w:rsidR="00342D7E" w:rsidRPr="00342D7E">
        <w:t xml:space="preserve"> i</w:t>
      </w:r>
      <w:r w:rsidR="00342D7E">
        <w:t> </w:t>
      </w:r>
      <w:r w:rsidR="00342D7E" w:rsidRPr="00342D7E">
        <w:t>rod</w:t>
      </w:r>
      <w:r w:rsidRPr="00342D7E">
        <w:t>zaj zabezpieczanego ryzyka</w:t>
      </w:r>
      <w:r w:rsidR="00342D7E" w:rsidRPr="00342D7E">
        <w:t xml:space="preserve"> w</w:t>
      </w:r>
      <w:r w:rsidR="00342D7E">
        <w:t> </w:t>
      </w:r>
      <w:r w:rsidR="00342D7E" w:rsidRPr="00342D7E">
        <w:t>odn</w:t>
      </w:r>
      <w:r w:rsidRPr="00342D7E">
        <w:t>iesieniu do zabezpieczanych składników aktywów finansowych</w:t>
      </w:r>
      <w:r w:rsidR="00342D7E" w:rsidRPr="00342D7E">
        <w:t xml:space="preserve"> i</w:t>
      </w:r>
      <w:r w:rsidR="00342D7E">
        <w:t> </w:t>
      </w:r>
      <w:r w:rsidR="00342D7E" w:rsidRPr="00342D7E">
        <w:t>zab</w:t>
      </w:r>
      <w:r w:rsidRPr="00342D7E">
        <w:t>ezpieczanych zobowiązań finansowych. Jeżeli instrument finansowy jest zabezpieczany przed więcej niż jednym rodzajem ryzyka, zgłasza się go</w:t>
      </w:r>
      <w:r w:rsidR="00342D7E" w:rsidRPr="00342D7E">
        <w:t xml:space="preserve"> w</w:t>
      </w:r>
      <w:r w:rsidR="00342D7E">
        <w:t> </w:t>
      </w:r>
      <w:r w:rsidR="00342D7E" w:rsidRPr="00342D7E">
        <w:t>kat</w:t>
      </w:r>
      <w:r w:rsidRPr="00342D7E">
        <w:t>egorii rodzaju ryzyka,</w:t>
      </w:r>
      <w:r w:rsidR="00342D7E" w:rsidRPr="00342D7E">
        <w:t xml:space="preserve"> w</w:t>
      </w:r>
      <w:r w:rsidR="00342D7E">
        <w:t> </w:t>
      </w:r>
      <w:r w:rsidR="00342D7E" w:rsidRPr="00342D7E">
        <w:t>któ</w:t>
      </w:r>
      <w:r w:rsidRPr="00342D7E">
        <w:t>rej zgłoszeniu podlega instrument zabezpieczający zgodnie</w:t>
      </w:r>
      <w:r w:rsidR="00342D7E" w:rsidRPr="00342D7E">
        <w:t xml:space="preserve"> z</w:t>
      </w:r>
      <w:r w:rsidR="00342D7E">
        <w:t> </w:t>
      </w:r>
      <w:r w:rsidR="00342D7E" w:rsidRPr="00342D7E">
        <w:t>pkt </w:t>
      </w:r>
      <w:r w:rsidRPr="00342D7E">
        <w:t>129.</w:t>
      </w:r>
    </w:p>
    <w:p w:rsidR="00D35B0C" w:rsidRPr="00342D7E" w:rsidRDefault="00A834F1">
      <w:pPr>
        <w:pStyle w:val="Baseparagraphnumbered"/>
      </w:pPr>
      <w:r w:rsidRPr="00342D7E">
        <w:t>„Mikrozabezpieczenia” to zabezpieczenia inne niż zabezpieczanie portfela przed ryzykiem stopy procentowej zgodnie z MSR 39 pkt</w:t>
      </w:r>
      <w:r w:rsidR="00342D7E" w:rsidRPr="00342D7E">
        <w:t> </w:t>
      </w:r>
      <w:r w:rsidRPr="00342D7E">
        <w:t>89A. Mikrozabezpieczenia obejmują zabezpieczenia pozycji zerowych netto zgodnie z MSSF 9 pkt</w:t>
      </w:r>
      <w:r w:rsidR="00342D7E" w:rsidRPr="00342D7E">
        <w:t> </w:t>
      </w:r>
      <w:r w:rsidRPr="00342D7E">
        <w:t>6.6.6.</w:t>
      </w:r>
    </w:p>
    <w:p w:rsidR="00D35B0C" w:rsidRPr="00342D7E" w:rsidRDefault="00A834F1">
      <w:pPr>
        <w:pStyle w:val="Baseparagraphnumbered"/>
      </w:pPr>
      <w:r w:rsidRPr="00342D7E">
        <w:t>„Korekty zabezpieczenia</w:t>
      </w:r>
      <w:r w:rsidR="00342D7E" w:rsidRPr="00342D7E">
        <w:t xml:space="preserve"> z</w:t>
      </w:r>
      <w:r w:rsidR="00342D7E">
        <w:t> </w:t>
      </w:r>
      <w:r w:rsidR="00342D7E" w:rsidRPr="00342D7E">
        <w:t>tyt</w:t>
      </w:r>
      <w:r w:rsidRPr="00342D7E">
        <w:t>ułu mikrozabezpieczeń” obejmują wszystkie korekty zabezpieczenia dla wszystkich mikrozabezpieczeń, jak określono</w:t>
      </w:r>
      <w:r w:rsidR="00342D7E" w:rsidRPr="00342D7E">
        <w:t xml:space="preserve"> w</w:t>
      </w:r>
      <w:r w:rsidR="00342D7E">
        <w:t> </w:t>
      </w:r>
      <w:r w:rsidR="00342D7E" w:rsidRPr="00342D7E">
        <w:t>pkt </w:t>
      </w:r>
      <w:r w:rsidRPr="00342D7E">
        <w:t xml:space="preserve">147. </w:t>
      </w:r>
    </w:p>
    <w:p w:rsidR="00D35B0C" w:rsidRPr="00342D7E" w:rsidRDefault="00A834F1">
      <w:pPr>
        <w:pStyle w:val="Baseparagraphnumbered"/>
      </w:pPr>
      <w:r w:rsidRPr="00342D7E">
        <w:t xml:space="preserve"> „Korekty zabezpieczenia uwzględnione</w:t>
      </w:r>
      <w:r w:rsidR="00342D7E" w:rsidRPr="00342D7E">
        <w:t xml:space="preserve"> w</w:t>
      </w:r>
      <w:r w:rsidR="00342D7E">
        <w:t> </w:t>
      </w:r>
      <w:r w:rsidR="00342D7E" w:rsidRPr="00342D7E">
        <w:t>war</w:t>
      </w:r>
      <w:r w:rsidRPr="00342D7E">
        <w:t>tości bilansowej aktywów/zobowiązań” stanowią skumulowaną kwotę zysków</w:t>
      </w:r>
      <w:r w:rsidR="00342D7E" w:rsidRPr="00342D7E">
        <w:t xml:space="preserve"> i</w:t>
      </w:r>
      <w:r w:rsidR="00342D7E">
        <w:t> </w:t>
      </w:r>
      <w:r w:rsidR="00342D7E" w:rsidRPr="00342D7E">
        <w:t>str</w:t>
      </w:r>
      <w:r w:rsidRPr="00342D7E">
        <w:t>at</w:t>
      </w:r>
      <w:r w:rsidR="00342D7E" w:rsidRPr="00342D7E">
        <w:t xml:space="preserve"> z</w:t>
      </w:r>
      <w:r w:rsidR="00342D7E">
        <w:t> </w:t>
      </w:r>
      <w:r w:rsidR="00342D7E" w:rsidRPr="00342D7E">
        <w:t>tyt</w:t>
      </w:r>
      <w:r w:rsidRPr="00342D7E">
        <w:t>ułu pozycji zabezpieczanych,</w:t>
      </w:r>
      <w:r w:rsidR="00342D7E" w:rsidRPr="00342D7E">
        <w:t xml:space="preserve"> o</w:t>
      </w:r>
      <w:r w:rsidR="00342D7E">
        <w:t> </w:t>
      </w:r>
      <w:r w:rsidR="00342D7E" w:rsidRPr="00342D7E">
        <w:t>któ</w:t>
      </w:r>
      <w:r w:rsidRPr="00342D7E">
        <w:t>re skorygowano wartość bilansową tych pozycji</w:t>
      </w:r>
      <w:r w:rsidR="00342D7E" w:rsidRPr="00342D7E">
        <w:t xml:space="preserve"> i</w:t>
      </w:r>
      <w:r w:rsidR="00342D7E">
        <w:t> </w:t>
      </w:r>
      <w:r w:rsidR="00342D7E" w:rsidRPr="00342D7E">
        <w:t>któ</w:t>
      </w:r>
      <w:r w:rsidRPr="00342D7E">
        <w:t>re ujęto</w:t>
      </w:r>
      <w:r w:rsidR="00342D7E" w:rsidRPr="00342D7E">
        <w:t xml:space="preserve"> w</w:t>
      </w:r>
      <w:r w:rsidR="00342D7E">
        <w:t> </w:t>
      </w:r>
      <w:r w:rsidR="00342D7E" w:rsidRPr="00342D7E">
        <w:t>zys</w:t>
      </w:r>
      <w:r w:rsidRPr="00342D7E">
        <w:t>ku lub stracie. Korekty zabezpieczenia dla pozycji zabezpieczanych będących instrumentami kapitałowymi wycenianymi według wartości godziwej przez inne całkowite dochody zgłasza się we wzorze 1.3. Nie zgłasza się korekt zabezpieczenia dla nieujętych uprawdopodobnionych przyszłych zobowiązań lub ich części składowych.</w:t>
      </w:r>
    </w:p>
    <w:p w:rsidR="00D35B0C" w:rsidRPr="00342D7E" w:rsidRDefault="00A834F1">
      <w:pPr>
        <w:pStyle w:val="Baseparagraphnumbered"/>
      </w:pPr>
      <w:r w:rsidRPr="00342D7E">
        <w:t>„Pozostałe korekty</w:t>
      </w:r>
      <w:r w:rsidR="00342D7E" w:rsidRPr="00342D7E">
        <w:t xml:space="preserve"> z</w:t>
      </w:r>
      <w:r w:rsidR="00342D7E">
        <w:t> </w:t>
      </w:r>
      <w:r w:rsidR="00342D7E" w:rsidRPr="00342D7E">
        <w:t>tyt</w:t>
      </w:r>
      <w:r w:rsidRPr="00342D7E">
        <w:t>ułu zaniechanych mikrozabezpieczeń,</w:t>
      </w:r>
      <w:r w:rsidR="00342D7E" w:rsidRPr="00342D7E">
        <w:t xml:space="preserve"> w</w:t>
      </w:r>
      <w:r w:rsidR="00342D7E">
        <w:t> </w:t>
      </w:r>
      <w:r w:rsidR="00342D7E" w:rsidRPr="00342D7E">
        <w:t>tym</w:t>
      </w:r>
      <w:r w:rsidRPr="00342D7E">
        <w:t xml:space="preserve"> zabezpieczeń pozycji netto” obejmują te korekty zabezpieczenia, które – po ustaniu powiązania zabezpieczającego i na koniec procesu korekty pozycji zabezpieczanych</w:t>
      </w:r>
      <w:r w:rsidR="00342D7E" w:rsidRPr="00342D7E">
        <w:t xml:space="preserve"> o</w:t>
      </w:r>
      <w:r w:rsidR="00342D7E">
        <w:t> </w:t>
      </w:r>
      <w:r w:rsidR="00342D7E" w:rsidRPr="00342D7E">
        <w:t>zys</w:t>
      </w:r>
      <w:r w:rsidRPr="00342D7E">
        <w:t>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zabezpieczania – pozostają do zamortyzowania</w:t>
      </w:r>
      <w:r w:rsidR="00342D7E" w:rsidRPr="00342D7E">
        <w:t xml:space="preserve"> w</w:t>
      </w:r>
      <w:r w:rsidR="00342D7E">
        <w:t> </w:t>
      </w:r>
      <w:r w:rsidR="00342D7E" w:rsidRPr="00342D7E">
        <w:t>cię</w:t>
      </w:r>
      <w:r w:rsidRPr="00342D7E">
        <w:t>żar zysku lub straty za pośrednictwem przeliczonej efektywnej stopy procentowej dla pozycji zabezpieczanych wycenianych według kosztu zamortyzowanego lub</w:t>
      </w:r>
      <w:r w:rsidR="00342D7E" w:rsidRPr="00342D7E">
        <w:t xml:space="preserve"> w</w:t>
      </w:r>
      <w:r w:rsidR="00342D7E">
        <w:t> </w:t>
      </w:r>
      <w:r w:rsidR="00342D7E" w:rsidRPr="00342D7E">
        <w:t>cię</w:t>
      </w:r>
      <w:r w:rsidRPr="00342D7E">
        <w:t>żar kwoty, która stanowi uprzednio ujęte skumulowane zyski lub straty</w:t>
      </w:r>
      <w:r w:rsidR="00342D7E" w:rsidRPr="00342D7E">
        <w:t xml:space="preserve"> z</w:t>
      </w:r>
      <w:r w:rsidR="00342D7E">
        <w:t> </w:t>
      </w:r>
      <w:r w:rsidR="00342D7E" w:rsidRPr="00342D7E">
        <w:t>tyt</w:t>
      </w:r>
      <w:r w:rsidRPr="00342D7E">
        <w:t>ułu zabezpieczenia – dla zabezpieczanych składników aktywów wycenianych</w:t>
      </w:r>
      <w:r w:rsidR="00342D7E" w:rsidRPr="00342D7E">
        <w:t xml:space="preserve"> w</w:t>
      </w:r>
      <w:r w:rsidR="00342D7E">
        <w:t> </w:t>
      </w:r>
      <w:r w:rsidR="00342D7E" w:rsidRPr="00342D7E">
        <w:t>war</w:t>
      </w:r>
      <w:r w:rsidRPr="00342D7E">
        <w:t>tości godziwej przez inne całkowite dochody.</w:t>
      </w:r>
    </w:p>
    <w:p w:rsidR="00D35B0C" w:rsidRPr="00342D7E" w:rsidRDefault="00A834F1">
      <w:pPr>
        <w:pStyle w:val="Baseparagraphnumbered"/>
      </w:pPr>
      <w:r w:rsidRPr="00342D7E">
        <w:lastRenderedPageBreak/>
        <w:t>Jeżeli grupa aktywów finansowych lub zobowiązań finansowych,</w:t>
      </w:r>
      <w:r w:rsidR="00342D7E" w:rsidRPr="00342D7E">
        <w:t xml:space="preserve"> w</w:t>
      </w:r>
      <w:r w:rsidR="00342D7E">
        <w:t> </w:t>
      </w:r>
      <w:r w:rsidR="00342D7E" w:rsidRPr="00342D7E">
        <w:t>tym</w:t>
      </w:r>
      <w:r w:rsidRPr="00342D7E">
        <w:t xml:space="preserve"> grupa aktywów finansowych lub zobowiązań finansowych, które stanowią pozycję netto, kwalifikuje się jako pozycja zabezpieczana, aktywa finansowe</w:t>
      </w:r>
      <w:r w:rsidR="00342D7E" w:rsidRPr="00342D7E">
        <w:t xml:space="preserve"> i</w:t>
      </w:r>
      <w:r w:rsidR="00342D7E">
        <w:t> </w:t>
      </w:r>
      <w:r w:rsidR="00342D7E" w:rsidRPr="00342D7E">
        <w:t>zob</w:t>
      </w:r>
      <w:r w:rsidRPr="00342D7E">
        <w:t>owiązania finansowe składające się na tę grupę zgłasza się według ich wartości bilansowej</w:t>
      </w:r>
      <w:r w:rsidR="00342D7E" w:rsidRPr="00342D7E">
        <w:t xml:space="preserve"> w</w:t>
      </w:r>
      <w:r w:rsidR="00342D7E">
        <w:t> </w:t>
      </w:r>
      <w:r w:rsidR="00342D7E" w:rsidRPr="00342D7E">
        <w:t>uję</w:t>
      </w:r>
      <w:r w:rsidRPr="00342D7E">
        <w:t>ciu brutto, przed kompensowaniem między instrumentami</w:t>
      </w:r>
      <w:r w:rsidR="00342D7E" w:rsidRPr="00342D7E">
        <w:t xml:space="preserve"> w</w:t>
      </w:r>
      <w:r w:rsidR="00342D7E">
        <w:t> </w:t>
      </w:r>
      <w:r w:rsidR="00342D7E" w:rsidRPr="00342D7E">
        <w:t>ram</w:t>
      </w:r>
      <w:r w:rsidRPr="00342D7E">
        <w:t>ach grupy,</w:t>
      </w:r>
      <w:r w:rsidR="00342D7E" w:rsidRPr="00342D7E">
        <w:t xml:space="preserve"> w</w:t>
      </w:r>
      <w:r w:rsidR="00342D7E">
        <w:t> </w:t>
      </w:r>
      <w:r w:rsidR="00342D7E" w:rsidRPr="00342D7E">
        <w:t>poz</w:t>
      </w:r>
      <w:r w:rsidRPr="00342D7E">
        <w:t>ycji „Aktywa lub zobowiązania uwzględnione</w:t>
      </w:r>
      <w:r w:rsidR="00342D7E" w:rsidRPr="00342D7E">
        <w:t xml:space="preserve"> w</w:t>
      </w:r>
      <w:r w:rsidR="00342D7E">
        <w:t> </w:t>
      </w:r>
      <w:r w:rsidR="00342D7E" w:rsidRPr="00342D7E">
        <w:t>zab</w:t>
      </w:r>
      <w:r w:rsidRPr="00342D7E">
        <w:t>ezpieczeniu pozycji netto (przed kompensowaniem)”.</w:t>
      </w:r>
    </w:p>
    <w:p w:rsidR="00D35B0C" w:rsidRPr="00342D7E" w:rsidRDefault="00A834F1">
      <w:pPr>
        <w:pStyle w:val="Baseparagraphnumbered"/>
      </w:pPr>
      <w:r w:rsidRPr="00342D7E">
        <w:t>„Pozycje zabezpieczane</w:t>
      </w:r>
      <w:r w:rsidR="00342D7E" w:rsidRPr="00342D7E">
        <w:t xml:space="preserve"> w</w:t>
      </w:r>
      <w:r w:rsidR="00342D7E">
        <w:t> </w:t>
      </w:r>
      <w:r w:rsidR="00342D7E" w:rsidRPr="00342D7E">
        <w:t>zab</w:t>
      </w:r>
      <w:r w:rsidRPr="00342D7E">
        <w:t>ezpieczaniu portfela przed ryzykiem stopy procentowej” obejmują aktywa finansowe</w:t>
      </w:r>
      <w:r w:rsidR="00342D7E" w:rsidRPr="00342D7E">
        <w:t xml:space="preserve"> i</w:t>
      </w:r>
      <w:r w:rsidR="00342D7E">
        <w:t> </w:t>
      </w:r>
      <w:r w:rsidR="00342D7E" w:rsidRPr="00342D7E">
        <w:t>zob</w:t>
      </w:r>
      <w:r w:rsidRPr="00342D7E">
        <w:t>owiązania finansowe uwzględnione</w:t>
      </w:r>
      <w:r w:rsidR="00342D7E" w:rsidRPr="00342D7E">
        <w:t xml:space="preserve"> w</w:t>
      </w:r>
      <w:r w:rsidR="00342D7E">
        <w:t> </w:t>
      </w:r>
      <w:r w:rsidR="00342D7E" w:rsidRPr="00342D7E">
        <w:t>zab</w:t>
      </w:r>
      <w:r w:rsidRPr="00342D7E">
        <w:t>ezpieczeniu wartości godziwej ekspozycji na ryzyko stopy procentowej portfela aktywów finansowych</w:t>
      </w:r>
      <w:r w:rsidR="00342D7E" w:rsidRPr="00342D7E">
        <w:t xml:space="preserve"> i</w:t>
      </w:r>
      <w:r w:rsidR="00342D7E">
        <w:t> </w:t>
      </w:r>
      <w:r w:rsidR="00342D7E" w:rsidRPr="00342D7E">
        <w:t>zob</w:t>
      </w:r>
      <w:r w:rsidRPr="00342D7E">
        <w:t>owiązań finansowych. Te instrumenty finansowe zgłasza się według ich wartości bilansowej</w:t>
      </w:r>
      <w:r w:rsidR="00342D7E" w:rsidRPr="00342D7E">
        <w:t xml:space="preserve"> w</w:t>
      </w:r>
      <w:r w:rsidR="00342D7E">
        <w:t> </w:t>
      </w:r>
      <w:r w:rsidR="00342D7E" w:rsidRPr="00342D7E">
        <w:t>uję</w:t>
      </w:r>
      <w:r w:rsidRPr="00342D7E">
        <w:t>ciu brutto, przed kompensowaniem między instrumentami wchodzącymi</w:t>
      </w:r>
      <w:r w:rsidR="00342D7E" w:rsidRPr="00342D7E">
        <w:t xml:space="preserve"> w</w:t>
      </w:r>
      <w:r w:rsidR="00342D7E">
        <w:t> </w:t>
      </w:r>
      <w:r w:rsidR="00342D7E" w:rsidRPr="00342D7E">
        <w:t>skł</w:t>
      </w:r>
      <w:r w:rsidRPr="00342D7E">
        <w:t>ad portfela.</w:t>
      </w:r>
    </w:p>
    <w:p w:rsidR="00D35B0C" w:rsidRPr="00342D7E" w:rsidRDefault="00A834F1" w:rsidP="00056B6F">
      <w:pPr>
        <w:pStyle w:val="subtitlenumbered"/>
        <w:numPr>
          <w:ilvl w:val="0"/>
          <w:numId w:val="11"/>
        </w:numPr>
        <w:jc w:val="both"/>
        <w:rPr>
          <w:kern w:val="32"/>
        </w:rPr>
      </w:pPr>
      <w:bookmarkStart w:id="33" w:name="_Toc31019135"/>
      <w:r w:rsidRPr="00342D7E">
        <w:t>Zmiany</w:t>
      </w:r>
      <w:r w:rsidR="00342D7E" w:rsidRPr="00342D7E">
        <w:t xml:space="preserve"> w</w:t>
      </w:r>
      <w:r w:rsidR="00342D7E">
        <w:t> </w:t>
      </w:r>
      <w:r w:rsidR="00342D7E" w:rsidRPr="00342D7E">
        <w:t>odp</w:t>
      </w:r>
      <w:r w:rsidRPr="00342D7E">
        <w:t>isach aktualizujących</w:t>
      </w:r>
      <w:r w:rsidR="00342D7E" w:rsidRPr="00342D7E">
        <w:t xml:space="preserve"> z</w:t>
      </w:r>
      <w:r w:rsidR="00342D7E">
        <w:t> </w:t>
      </w:r>
      <w:r w:rsidR="00342D7E" w:rsidRPr="00342D7E">
        <w:t>tyt</w:t>
      </w:r>
      <w:r w:rsidRPr="00342D7E">
        <w:t>ułu strat kredytowych</w:t>
      </w:r>
      <w:r w:rsidR="00342D7E" w:rsidRPr="00342D7E">
        <w:t xml:space="preserve"> i</w:t>
      </w:r>
      <w:r w:rsidR="00342D7E">
        <w:t> </w:t>
      </w:r>
      <w:r w:rsidR="00342D7E" w:rsidRPr="00342D7E">
        <w:t>rez</w:t>
      </w:r>
      <w:r w:rsidRPr="00342D7E">
        <w:t>erwach na straty kredytowe (12)</w:t>
      </w:r>
      <w:bookmarkEnd w:id="33"/>
    </w:p>
    <w:p w:rsidR="00D35B0C" w:rsidRPr="00342D7E" w:rsidRDefault="00A834F1">
      <w:pPr>
        <w:pStyle w:val="sub-subtitlenumbered"/>
      </w:pPr>
      <w:bookmarkStart w:id="34" w:name="_Toc31019136"/>
      <w:r w:rsidRPr="00342D7E">
        <w:t>Zmiany</w:t>
      </w:r>
      <w:r w:rsidR="00342D7E" w:rsidRPr="00342D7E">
        <w:t xml:space="preserve"> w</w:t>
      </w:r>
      <w:r w:rsidR="00342D7E">
        <w:t> </w:t>
      </w:r>
      <w:r w:rsidR="00342D7E" w:rsidRPr="00342D7E">
        <w:t>odp</w:t>
      </w:r>
      <w:r w:rsidRPr="00342D7E">
        <w:t>isach aktualizujących</w:t>
      </w:r>
      <w:r w:rsidR="00342D7E" w:rsidRPr="00342D7E">
        <w:t xml:space="preserve"> z</w:t>
      </w:r>
      <w:r w:rsidR="00342D7E">
        <w:t> </w:t>
      </w:r>
      <w:r w:rsidR="00342D7E" w:rsidRPr="00342D7E">
        <w:t>tyt</w:t>
      </w:r>
      <w:r w:rsidRPr="00342D7E">
        <w:t>ułu strat kredytowych</w:t>
      </w:r>
      <w:r w:rsidR="00342D7E" w:rsidRPr="00342D7E">
        <w:t xml:space="preserve"> i</w:t>
      </w:r>
      <w:r w:rsidR="00342D7E">
        <w:t> </w:t>
      </w:r>
      <w:r w:rsidR="00342D7E" w:rsidRPr="00342D7E">
        <w:t>utr</w:t>
      </w:r>
      <w:r w:rsidRPr="00342D7E">
        <w:t>aty wartości instrumentów kapitałowych na podstawie krajowych ogólnie przyjętych zasad rachunkowości opartych na BAD (12.0)</w:t>
      </w:r>
      <w:bookmarkEnd w:id="34"/>
    </w:p>
    <w:p w:rsidR="00D35B0C" w:rsidRPr="00342D7E" w:rsidRDefault="00A834F1">
      <w:pPr>
        <w:pStyle w:val="Baseparagraphnumbered"/>
      </w:pPr>
      <w:r w:rsidRPr="00342D7E">
        <w:t xml:space="preserve">Wzór 12.0 </w:t>
      </w:r>
      <w:proofErr w:type="gramStart"/>
      <w:r w:rsidRPr="00342D7E">
        <w:t>zawiera</w:t>
      </w:r>
      <w:proofErr w:type="gramEnd"/>
      <w:r w:rsidRPr="00342D7E">
        <w:t xml:space="preserve"> uzgodnienie salda początkowego</w:t>
      </w:r>
      <w:r w:rsidR="00342D7E" w:rsidRPr="00342D7E">
        <w:t xml:space="preserve"> i</w:t>
      </w:r>
      <w:r w:rsidR="00342D7E">
        <w:t> </w:t>
      </w:r>
      <w:r w:rsidR="00342D7E" w:rsidRPr="00342D7E">
        <w:t>sal</w:t>
      </w:r>
      <w:r w:rsidRPr="00342D7E">
        <w:t>da końcowego konta odpisów</w:t>
      </w:r>
      <w:r w:rsidR="00342D7E" w:rsidRPr="00342D7E">
        <w:t xml:space="preserve"> z</w:t>
      </w:r>
      <w:r w:rsidR="00342D7E">
        <w:t> </w:t>
      </w:r>
      <w:r w:rsidR="00342D7E" w:rsidRPr="00342D7E">
        <w:t>tyt</w:t>
      </w:r>
      <w:r w:rsidRPr="00342D7E">
        <w:t xml:space="preserve">ułu utraty wartości dla aktywów finansowych wycenianych według metod cen nabycia, jak również dla aktywów finansowych wycenianych według innych metod wyceny lub wycenianych według wartości godziwej przez kapitały, jeżeli krajowe ogólnie przyjęte zasady rachunkowości oparte na BAD stanowią, że te składniki aktywów mają podlegać utracie wartości. Korekt wartości aktywów wycenianych według LOCOM nie zgłasza się we wzorze 12.0. </w:t>
      </w:r>
    </w:p>
    <w:p w:rsidR="00D35B0C" w:rsidRPr="00342D7E" w:rsidRDefault="00A834F1">
      <w:pPr>
        <w:pStyle w:val="Baseparagraphnumbered"/>
      </w:pPr>
      <w:r w:rsidRPr="00342D7E">
        <w:t>„Zwiększenia</w:t>
      </w:r>
      <w:r w:rsidR="00342D7E" w:rsidRPr="00342D7E">
        <w:t xml:space="preserve"> z</w:t>
      </w:r>
      <w:r w:rsidR="00342D7E">
        <w:t> </w:t>
      </w:r>
      <w:r w:rsidR="00342D7E" w:rsidRPr="00342D7E">
        <w:t>tyt</w:t>
      </w:r>
      <w:r w:rsidRPr="00342D7E">
        <w:t>ułu kwot odpisanych na poczet szacowanych strat kredytowych</w:t>
      </w:r>
      <w:r w:rsidR="00342D7E" w:rsidRPr="00342D7E">
        <w:t xml:space="preserve"> w</w:t>
      </w:r>
      <w:r w:rsidR="00342D7E">
        <w:t> </w:t>
      </w:r>
      <w:r w:rsidR="00342D7E" w:rsidRPr="00342D7E">
        <w:t>dan</w:t>
      </w:r>
      <w:r w:rsidRPr="00342D7E">
        <w:t>ym okresie” zgłasza się wówczas, gdy</w:t>
      </w:r>
      <w:r w:rsidR="00342D7E" w:rsidRPr="00342D7E">
        <w:t xml:space="preserve"> w</w:t>
      </w:r>
      <w:r w:rsidR="00342D7E">
        <w:t> </w:t>
      </w:r>
      <w:r w:rsidR="00342D7E" w:rsidRPr="00342D7E">
        <w:t>odn</w:t>
      </w:r>
      <w:r w:rsidRPr="00342D7E">
        <w:t>iesieniu do głównej kategorii aktywów lub kontrahenta szacowana utrata wartości za dany okres prowadzi do ujęcia kosztów netto, tj. gdy</w:t>
      </w:r>
      <w:r w:rsidR="00342D7E" w:rsidRPr="00342D7E">
        <w:t xml:space="preserve"> w</w:t>
      </w:r>
      <w:r w:rsidR="00342D7E">
        <w:t> </w:t>
      </w:r>
      <w:r w:rsidR="00342D7E" w:rsidRPr="00342D7E">
        <w:t>odn</w:t>
      </w:r>
      <w:r w:rsidRPr="00342D7E">
        <w:t>iesieniu do danej kategorii aktywów lub kontrahenta zwiększenia utraty wartości za dany okres przekraczają zmniejszenia. „Zmniejszenia</w:t>
      </w:r>
      <w:r w:rsidR="00342D7E" w:rsidRPr="00342D7E">
        <w:t xml:space="preserve"> z</w:t>
      </w:r>
      <w:r w:rsidR="00342D7E">
        <w:t> </w:t>
      </w:r>
      <w:r w:rsidR="00342D7E" w:rsidRPr="00342D7E">
        <w:t>tyt</w:t>
      </w:r>
      <w:r w:rsidRPr="00342D7E">
        <w:t>ułu kwot rozwiązanych</w:t>
      </w:r>
      <w:r w:rsidR="00342D7E" w:rsidRPr="00342D7E">
        <w:t xml:space="preserve"> z</w:t>
      </w:r>
      <w:r w:rsidR="00342D7E">
        <w:t> </w:t>
      </w:r>
      <w:r w:rsidR="00342D7E" w:rsidRPr="00342D7E">
        <w:t>tyt</w:t>
      </w:r>
      <w:r w:rsidRPr="00342D7E">
        <w:t>ułu szacowanych strat kredytowych</w:t>
      </w:r>
      <w:r w:rsidR="00342D7E" w:rsidRPr="00342D7E">
        <w:t xml:space="preserve"> w</w:t>
      </w:r>
      <w:r w:rsidR="00342D7E">
        <w:t> </w:t>
      </w:r>
      <w:r w:rsidR="00342D7E" w:rsidRPr="00342D7E">
        <w:t>dan</w:t>
      </w:r>
      <w:r w:rsidRPr="00342D7E">
        <w:t>ym okresie” zgłasza się wówczas, gdy</w:t>
      </w:r>
      <w:r w:rsidR="00342D7E" w:rsidRPr="00342D7E">
        <w:t xml:space="preserve"> w</w:t>
      </w:r>
      <w:r w:rsidR="00342D7E">
        <w:t> </w:t>
      </w:r>
      <w:r w:rsidR="00342D7E" w:rsidRPr="00342D7E">
        <w:t>odn</w:t>
      </w:r>
      <w:r w:rsidRPr="00342D7E">
        <w:t>iesieniu do głównej kategorii aktywów lub kontrahenta szacowana utrata wartości za dany okres prowadzi do ujęcia przychodów netto, tj. gdy</w:t>
      </w:r>
      <w:r w:rsidR="00342D7E" w:rsidRPr="00342D7E">
        <w:t xml:space="preserve"> w</w:t>
      </w:r>
      <w:r w:rsidR="00342D7E">
        <w:t> </w:t>
      </w:r>
      <w:r w:rsidR="00342D7E" w:rsidRPr="00342D7E">
        <w:t>odn</w:t>
      </w:r>
      <w:r w:rsidRPr="00342D7E">
        <w:t>iesieniu do danej kategorii aktywów lub kontrahenta zmniejszenia utraty wartości za dany okres przekraczają zwiększenia.</w:t>
      </w:r>
    </w:p>
    <w:p w:rsidR="00D35B0C" w:rsidRPr="00342D7E" w:rsidRDefault="00A834F1">
      <w:pPr>
        <w:pStyle w:val="Baseparagraphnumbered"/>
      </w:pPr>
      <w:r w:rsidRPr="00342D7E">
        <w:t>Zmiany kwot odpisów aktualizujących</w:t>
      </w:r>
      <w:r w:rsidR="00342D7E" w:rsidRPr="00342D7E">
        <w:t xml:space="preserve"> w</w:t>
      </w:r>
      <w:r w:rsidR="00342D7E">
        <w:t> </w:t>
      </w:r>
      <w:r w:rsidR="00342D7E" w:rsidRPr="00342D7E">
        <w:t>wyn</w:t>
      </w:r>
      <w:r w:rsidRPr="00342D7E">
        <w:t>iku spłaty</w:t>
      </w:r>
      <w:r w:rsidR="00342D7E" w:rsidRPr="00342D7E">
        <w:t xml:space="preserve"> i</w:t>
      </w:r>
      <w:r w:rsidR="00342D7E">
        <w:t> </w:t>
      </w:r>
      <w:r w:rsidR="00342D7E" w:rsidRPr="00342D7E">
        <w:t>zby</w:t>
      </w:r>
      <w:r w:rsidRPr="00342D7E">
        <w:t>cia aktywów finansowych zgłasza się</w:t>
      </w:r>
      <w:r w:rsidR="00342D7E" w:rsidRPr="00342D7E">
        <w:t xml:space="preserve"> w</w:t>
      </w:r>
      <w:r w:rsidR="00342D7E">
        <w:t> </w:t>
      </w:r>
      <w:r w:rsidR="00342D7E" w:rsidRPr="00342D7E">
        <w:t>poz</w:t>
      </w:r>
      <w:r w:rsidRPr="00342D7E">
        <w:t>ycji „Inne korekty”. Spisania zgłasza się zgodnie</w:t>
      </w:r>
      <w:r w:rsidR="00342D7E" w:rsidRPr="00342D7E">
        <w:t xml:space="preserve"> z</w:t>
      </w:r>
      <w:r w:rsidR="00342D7E">
        <w:t> </w:t>
      </w:r>
      <w:r w:rsidR="00342D7E" w:rsidRPr="00342D7E">
        <w:t>pkt </w:t>
      </w:r>
      <w:r w:rsidRPr="00342D7E">
        <w:t>72–74.</w:t>
      </w:r>
    </w:p>
    <w:p w:rsidR="00D35B0C" w:rsidRPr="00342D7E" w:rsidRDefault="00A834F1">
      <w:pPr>
        <w:pStyle w:val="sub-subtitlenumbered"/>
        <w:jc w:val="both"/>
      </w:pPr>
      <w:bookmarkStart w:id="35" w:name="_Toc31019137"/>
      <w:r w:rsidRPr="00342D7E">
        <w:t>Zmiany</w:t>
      </w:r>
      <w:r w:rsidR="00342D7E" w:rsidRPr="00342D7E">
        <w:t xml:space="preserve"> w</w:t>
      </w:r>
      <w:r w:rsidR="00342D7E">
        <w:t> </w:t>
      </w:r>
      <w:r w:rsidR="00342D7E" w:rsidRPr="00342D7E">
        <w:t>odp</w:t>
      </w:r>
      <w:r w:rsidRPr="00342D7E">
        <w:t>isach aktualizujących</w:t>
      </w:r>
      <w:r w:rsidR="00342D7E" w:rsidRPr="00342D7E">
        <w:t xml:space="preserve"> z</w:t>
      </w:r>
      <w:r w:rsidR="00342D7E">
        <w:t> </w:t>
      </w:r>
      <w:r w:rsidR="00342D7E" w:rsidRPr="00342D7E">
        <w:t>tyt</w:t>
      </w:r>
      <w:r w:rsidRPr="00342D7E">
        <w:t>ułu strat kredytowych</w:t>
      </w:r>
      <w:r w:rsidR="00342D7E" w:rsidRPr="00342D7E">
        <w:t xml:space="preserve"> i</w:t>
      </w:r>
      <w:r w:rsidR="00342D7E">
        <w:t> </w:t>
      </w:r>
      <w:r w:rsidR="00342D7E" w:rsidRPr="00342D7E">
        <w:t>rez</w:t>
      </w:r>
      <w:r w:rsidRPr="00342D7E">
        <w:t>erwach na straty kredytowe zgodnie z MSSF (12.1)</w:t>
      </w:r>
      <w:bookmarkEnd w:id="35"/>
    </w:p>
    <w:p w:rsidR="00D35B0C" w:rsidRPr="00342D7E" w:rsidRDefault="00A834F1">
      <w:pPr>
        <w:pStyle w:val="Baseparagraphnumbered"/>
        <w:rPr>
          <w:kern w:val="32"/>
        </w:rPr>
      </w:pPr>
      <w:r w:rsidRPr="00342D7E">
        <w:lastRenderedPageBreak/>
        <w:t xml:space="preserve">Wzór 12.1 </w:t>
      </w:r>
      <w:proofErr w:type="gramStart"/>
      <w:r w:rsidRPr="00342D7E">
        <w:t>zawiera</w:t>
      </w:r>
      <w:proofErr w:type="gramEnd"/>
      <w:r w:rsidRPr="00342D7E">
        <w:t xml:space="preserve"> uzgodnienie salda początkowego</w:t>
      </w:r>
      <w:r w:rsidR="00342D7E" w:rsidRPr="00342D7E">
        <w:t xml:space="preserve"> i</w:t>
      </w:r>
      <w:r w:rsidR="00342D7E">
        <w:t> </w:t>
      </w:r>
      <w:r w:rsidR="00342D7E" w:rsidRPr="00342D7E">
        <w:t>sal</w:t>
      </w:r>
      <w:r w:rsidRPr="00342D7E">
        <w:t>da końcowego konta odpisów</w:t>
      </w:r>
      <w:r w:rsidR="00342D7E" w:rsidRPr="00342D7E">
        <w:t xml:space="preserve"> z</w:t>
      </w:r>
      <w:r w:rsidR="00342D7E">
        <w:t> </w:t>
      </w:r>
      <w:r w:rsidR="00342D7E" w:rsidRPr="00342D7E">
        <w:t>tyt</w:t>
      </w:r>
      <w:r w:rsidRPr="00342D7E">
        <w:t>ułu utraty wartości dla aktywów finansowych wycenianych według kosztu zamortyzowanego oraz według wartości godziwej przez inne całkowite dochody</w:t>
      </w:r>
      <w:r w:rsidR="00342D7E" w:rsidRPr="00342D7E">
        <w:t xml:space="preserve"> w</w:t>
      </w:r>
      <w:r w:rsidR="00342D7E">
        <w:t> </w:t>
      </w:r>
      <w:r w:rsidR="00342D7E" w:rsidRPr="00342D7E">
        <w:t>pod</w:t>
      </w:r>
      <w:r w:rsidRPr="00342D7E">
        <w:t>ziale według faz utraty wartości, instrumentów</w:t>
      </w:r>
      <w:r w:rsidR="00342D7E" w:rsidRPr="00342D7E">
        <w:t xml:space="preserve"> i</w:t>
      </w:r>
      <w:r w:rsidR="00342D7E">
        <w:t> </w:t>
      </w:r>
      <w:r w:rsidR="00342D7E" w:rsidRPr="00342D7E">
        <w:t>kon</w:t>
      </w:r>
      <w:r w:rsidRPr="00342D7E">
        <w:t>trahentów.</w:t>
      </w:r>
      <w:r w:rsidR="00342D7E" w:rsidRPr="00342D7E">
        <w:t xml:space="preserve"> </w:t>
      </w:r>
    </w:p>
    <w:p w:rsidR="00D35B0C" w:rsidRPr="00342D7E" w:rsidRDefault="00A834F1">
      <w:pPr>
        <w:pStyle w:val="Baseparagraphnumbered"/>
        <w:rPr>
          <w:kern w:val="32"/>
        </w:rPr>
      </w:pPr>
      <w:r w:rsidRPr="00342D7E">
        <w:t>Rezerwy na ekspozycje pozabilansowe, które podlegają wymogom</w:t>
      </w:r>
      <w:r w:rsidR="00342D7E" w:rsidRPr="00342D7E">
        <w:t xml:space="preserve"> z</w:t>
      </w:r>
      <w:r w:rsidR="00342D7E">
        <w:t> </w:t>
      </w:r>
      <w:r w:rsidR="00342D7E" w:rsidRPr="00342D7E">
        <w:t>zak</w:t>
      </w:r>
      <w:r w:rsidRPr="00342D7E">
        <w:t>resu utraty wartości przewidzianym w MSSF 9, zgłasza się według faz utraty wartości. Odpisy</w:t>
      </w:r>
      <w:r w:rsidR="00342D7E" w:rsidRPr="00342D7E">
        <w:t xml:space="preserve"> z</w:t>
      </w:r>
      <w:r w:rsidR="00342D7E">
        <w:t> </w:t>
      </w:r>
      <w:r w:rsidR="00342D7E" w:rsidRPr="00342D7E">
        <w:t>tyt</w:t>
      </w:r>
      <w:r w:rsidRPr="00342D7E">
        <w:t>ułu utraty wartości zobowiązań do udzielenia pożyczki zgłasza się jako rezerwy tylko wówczas, gdy nie traktuje się ich łącznie</w:t>
      </w:r>
      <w:r w:rsidR="00342D7E" w:rsidRPr="00342D7E">
        <w:t xml:space="preserve"> z</w:t>
      </w:r>
      <w:r w:rsidR="00342D7E">
        <w:t> </w:t>
      </w:r>
      <w:r w:rsidR="00342D7E" w:rsidRPr="00342D7E">
        <w:t>odp</w:t>
      </w:r>
      <w:r w:rsidRPr="00342D7E">
        <w:t>isami</w:t>
      </w:r>
      <w:r w:rsidR="00342D7E" w:rsidRPr="00342D7E">
        <w:t xml:space="preserve"> z</w:t>
      </w:r>
      <w:r w:rsidR="00342D7E">
        <w:t> </w:t>
      </w:r>
      <w:r w:rsidR="00342D7E" w:rsidRPr="00342D7E">
        <w:t>tyt</w:t>
      </w:r>
      <w:r w:rsidRPr="00342D7E">
        <w:t>ułu utraty wartości aktywów bilansowych zgodnie z MSSF 9 pkt</w:t>
      </w:r>
      <w:r w:rsidR="00342D7E" w:rsidRPr="00342D7E">
        <w:t> </w:t>
      </w:r>
      <w:r w:rsidRPr="00342D7E">
        <w:t>7.B8E oraz pkt</w:t>
      </w:r>
      <w:r w:rsidR="00342D7E" w:rsidRPr="00342D7E">
        <w:t> </w:t>
      </w:r>
      <w:r w:rsidRPr="00342D7E">
        <w:t>108 niniejszej części. Zmiany stanu rezerw</w:t>
      </w:r>
      <w:r w:rsidR="00342D7E" w:rsidRPr="00342D7E">
        <w:t xml:space="preserve"> z</w:t>
      </w:r>
      <w:r w:rsidR="00342D7E">
        <w:t> </w:t>
      </w:r>
      <w:r w:rsidR="00342D7E" w:rsidRPr="00342D7E">
        <w:t>tyt</w:t>
      </w:r>
      <w:r w:rsidRPr="00342D7E">
        <w:t>ułu zobowiązań</w:t>
      </w:r>
      <w:r w:rsidR="00342D7E" w:rsidRPr="00342D7E">
        <w:t xml:space="preserve"> i</w:t>
      </w:r>
      <w:r w:rsidR="00342D7E">
        <w:t> </w:t>
      </w:r>
      <w:r w:rsidR="00342D7E" w:rsidRPr="00342D7E">
        <w:t>gwa</w:t>
      </w:r>
      <w:r w:rsidRPr="00342D7E">
        <w:t>rancji finansowych wycenianych zgodnie z MSR 37 oraz gwarancji finansowych traktowanych jako umowy ubezpieczenia zgodnie z MSSF 4 nie zgłasza się</w:t>
      </w:r>
      <w:r w:rsidR="00342D7E" w:rsidRPr="00342D7E">
        <w:t xml:space="preserve"> w</w:t>
      </w:r>
      <w:r w:rsidR="00342D7E">
        <w:t> </w:t>
      </w:r>
      <w:r w:rsidR="00342D7E" w:rsidRPr="00342D7E">
        <w:t>tym</w:t>
      </w:r>
      <w:r w:rsidRPr="00342D7E">
        <w:t xml:space="preserve"> wzorze, lecz we wzorze 43. Wynikających</w:t>
      </w:r>
      <w:r w:rsidR="00342D7E" w:rsidRPr="00342D7E">
        <w:t xml:space="preserve"> z</w:t>
      </w:r>
      <w:r w:rsidR="00342D7E">
        <w:t> </w:t>
      </w:r>
      <w:r w:rsidR="00342D7E" w:rsidRPr="00342D7E">
        <w:t>ryz</w:t>
      </w:r>
      <w:r w:rsidRPr="00342D7E">
        <w:t>yka kredytowego zmian wartości godziwej zobowiązań</w:t>
      </w:r>
      <w:r w:rsidR="00342D7E" w:rsidRPr="00342D7E">
        <w:t xml:space="preserve"> i</w:t>
      </w:r>
      <w:r w:rsidR="00342D7E">
        <w:t> </w:t>
      </w:r>
      <w:r w:rsidR="00342D7E" w:rsidRPr="00342D7E">
        <w:t>gwa</w:t>
      </w:r>
      <w:r w:rsidRPr="00342D7E">
        <w:t>rancji finansowych wycenianych według wartości godziwej przez wynik finansowy zgodnie z MSSF 9 nie zgłasza się</w:t>
      </w:r>
      <w:r w:rsidR="00342D7E" w:rsidRPr="00342D7E">
        <w:t xml:space="preserve"> w</w:t>
      </w:r>
      <w:r w:rsidR="00342D7E">
        <w:t> </w:t>
      </w:r>
      <w:r w:rsidR="00342D7E" w:rsidRPr="00342D7E">
        <w:t>tym</w:t>
      </w:r>
      <w:r w:rsidRPr="00342D7E">
        <w:t xml:space="preserve"> wzorze, lecz</w:t>
      </w:r>
      <w:r w:rsidR="00342D7E" w:rsidRPr="00342D7E">
        <w:t xml:space="preserve"> w</w:t>
      </w:r>
      <w:r w:rsidR="00342D7E">
        <w:t> </w:t>
      </w:r>
      <w:r w:rsidR="00342D7E" w:rsidRPr="00342D7E">
        <w:t>poz</w:t>
      </w:r>
      <w:r w:rsidRPr="00342D7E">
        <w:t>ycji „Zyski lub (-) straty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wyznaczonych jako wyceniane według wartości godziwej przez wynik finansowy, netto” zgodnie</w:t>
      </w:r>
      <w:r w:rsidR="00342D7E" w:rsidRPr="00342D7E">
        <w:t xml:space="preserve"> z</w:t>
      </w:r>
      <w:r w:rsidR="00342D7E">
        <w:t> </w:t>
      </w:r>
      <w:r w:rsidR="00342D7E" w:rsidRPr="00342D7E">
        <w:t>pkt </w:t>
      </w:r>
      <w:r w:rsidRPr="00342D7E">
        <w:t>50 niniejszej części.</w:t>
      </w:r>
    </w:p>
    <w:p w:rsidR="00D35B0C" w:rsidRPr="00342D7E" w:rsidRDefault="00A834F1">
      <w:pPr>
        <w:pStyle w:val="Baseparagraphnumbered"/>
        <w:rPr>
          <w:kern w:val="32"/>
        </w:rPr>
      </w:pPr>
      <w:r w:rsidRPr="00342D7E">
        <w:t>W pozycji „w tym: odpisy aktualizujące od aktywów wycenianych grupowo” oraz „w tym: odpisy aktualizujące od aktywów wycenianych indywidualnie” uwzględnia się zmiany skumulowanej kwoty odpisów</w:t>
      </w:r>
      <w:r w:rsidR="00342D7E" w:rsidRPr="00342D7E">
        <w:t xml:space="preserve"> z</w:t>
      </w:r>
      <w:r w:rsidR="00342D7E">
        <w:t> </w:t>
      </w:r>
      <w:r w:rsidR="00342D7E" w:rsidRPr="00342D7E">
        <w:t>tyt</w:t>
      </w:r>
      <w:r w:rsidRPr="00342D7E">
        <w:t>ułu utraty wartości</w:t>
      </w:r>
      <w:r w:rsidR="00342D7E" w:rsidRPr="00342D7E">
        <w:t xml:space="preserve"> w</w:t>
      </w:r>
      <w:r w:rsidR="00342D7E">
        <w:t> </w:t>
      </w:r>
      <w:r w:rsidR="00342D7E" w:rsidRPr="00342D7E">
        <w:t>odn</w:t>
      </w:r>
      <w:r w:rsidRPr="00342D7E">
        <w:t xml:space="preserve">iesieniu do aktywów finansowych, które wyceniono grupowo lub indywidualnie. </w:t>
      </w:r>
    </w:p>
    <w:p w:rsidR="00D35B0C" w:rsidRPr="00342D7E" w:rsidRDefault="00A834F1">
      <w:pPr>
        <w:pStyle w:val="Baseparagraphnumbered"/>
      </w:pPr>
      <w:r w:rsidRPr="00342D7E">
        <w:t>„Zwiększenia</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utw</w:t>
      </w:r>
      <w:r w:rsidRPr="00342D7E">
        <w:t>orzeniem</w:t>
      </w:r>
      <w:r w:rsidR="00342D7E" w:rsidRPr="00342D7E">
        <w:t xml:space="preserve"> i</w:t>
      </w:r>
      <w:r w:rsidR="00342D7E">
        <w:t> </w:t>
      </w:r>
      <w:r w:rsidR="00342D7E" w:rsidRPr="00342D7E">
        <w:t>nab</w:t>
      </w:r>
      <w:r w:rsidRPr="00342D7E">
        <w:t>yciem” obejmują kwotę zwiększeń oczekiwanych strat rozliczonych przy początkowym ujęciu utworzonych lub nabytych aktywów finansowych. To zwiększenie odpisu zgłasza się</w:t>
      </w:r>
      <w:r w:rsidR="00342D7E" w:rsidRPr="00342D7E">
        <w:t xml:space="preserve"> w</w:t>
      </w:r>
      <w:r w:rsidR="00342D7E">
        <w:t> </w:t>
      </w:r>
      <w:r w:rsidR="00342D7E" w:rsidRPr="00342D7E">
        <w:t>pie</w:t>
      </w:r>
      <w:r w:rsidRPr="00342D7E">
        <w:t>rwszym sprawozdawczym dniu odniesienia przypadającym po utworzeniu lub nabyciu tych aktywów finansowych. Zwiększenia lub zmniejszenia oczekiwanych strat</w:t>
      </w:r>
      <w:r w:rsidR="00342D7E" w:rsidRPr="00342D7E">
        <w:t xml:space="preserve"> z</w:t>
      </w:r>
      <w:r w:rsidR="00342D7E">
        <w:t> </w:t>
      </w:r>
      <w:r w:rsidR="00342D7E" w:rsidRPr="00342D7E">
        <w:t>tyt</w:t>
      </w:r>
      <w:r w:rsidRPr="00342D7E">
        <w:t>ułu tych aktywów finansowych po ich początkowym ujęciu zgłasza się</w:t>
      </w:r>
      <w:r w:rsidR="00342D7E" w:rsidRPr="00342D7E">
        <w:t xml:space="preserve"> w</w:t>
      </w:r>
      <w:r w:rsidR="00342D7E">
        <w:t> </w:t>
      </w:r>
      <w:r w:rsidR="00342D7E" w:rsidRPr="00342D7E">
        <w:t>inn</w:t>
      </w:r>
      <w:r w:rsidRPr="00342D7E">
        <w:t>ych kolumnach. Utworzone lub nabyte aktywa obejmują aktywa będące wynikiem wykorzystania udzielonych zobowiązań pozabilansowych.</w:t>
      </w:r>
    </w:p>
    <w:p w:rsidR="00D35B0C" w:rsidRPr="00342D7E" w:rsidRDefault="00A834F1">
      <w:pPr>
        <w:pStyle w:val="Baseparagraphnumbered"/>
      </w:pPr>
      <w:r w:rsidRPr="00342D7E">
        <w:t>„Zmniejszenia</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zap</w:t>
      </w:r>
      <w:r w:rsidRPr="00342D7E">
        <w:t>rzestaniem ujmowania” obejmują kwotę zmian odpisów</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akt</w:t>
      </w:r>
      <w:r w:rsidRPr="00342D7E">
        <w:t>ywami finansowymi, które</w:t>
      </w:r>
      <w:r w:rsidR="00342D7E" w:rsidRPr="00342D7E">
        <w:t xml:space="preserve"> w</w:t>
      </w:r>
      <w:r w:rsidR="00342D7E">
        <w:t> </w:t>
      </w:r>
      <w:r w:rsidR="00342D7E" w:rsidRPr="00342D7E">
        <w:t>cał</w:t>
      </w:r>
      <w:r w:rsidRPr="00342D7E">
        <w:t>ości zaprzestano ujmować</w:t>
      </w:r>
      <w:r w:rsidR="00342D7E" w:rsidRPr="00342D7E">
        <w:t xml:space="preserve"> w</w:t>
      </w:r>
      <w:r w:rsidR="00342D7E">
        <w:t> </w:t>
      </w:r>
      <w:r w:rsidR="00342D7E" w:rsidRPr="00342D7E">
        <w:t>spr</w:t>
      </w:r>
      <w:r w:rsidRPr="00342D7E">
        <w:t>awozdawczym okresie odniesienia ze względów innych niż spisania,</w:t>
      </w:r>
      <w:r w:rsidR="00342D7E" w:rsidRPr="00342D7E">
        <w:t xml:space="preserve"> w</w:t>
      </w:r>
      <w:r w:rsidR="00342D7E">
        <w:t> </w:t>
      </w:r>
      <w:r w:rsidR="00342D7E" w:rsidRPr="00342D7E">
        <w:t>tym</w:t>
      </w:r>
      <w:r w:rsidRPr="00342D7E">
        <w:t xml:space="preserve"> ze względu na przeniesienia na rzecz osób trzecich lub wygaśnięcie praw umownych</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cał</w:t>
      </w:r>
      <w:r w:rsidRPr="00342D7E">
        <w:t>kowitą spłatą, zbycie tych aktywów finansowych lub ich przeniesienie do innego portfela księgowego. Zmianę</w:t>
      </w:r>
      <w:r w:rsidR="00342D7E" w:rsidRPr="00342D7E">
        <w:t xml:space="preserve"> w</w:t>
      </w:r>
      <w:r w:rsidR="00342D7E">
        <w:t> </w:t>
      </w:r>
      <w:r w:rsidR="00342D7E" w:rsidRPr="00342D7E">
        <w:t>odp</w:t>
      </w:r>
      <w:r w:rsidRPr="00342D7E">
        <w:t>isach ujmuje się</w:t>
      </w:r>
      <w:r w:rsidR="00342D7E" w:rsidRPr="00342D7E">
        <w:t xml:space="preserve"> w</w:t>
      </w:r>
      <w:r w:rsidR="00342D7E">
        <w:t> </w:t>
      </w:r>
      <w:r w:rsidR="00342D7E" w:rsidRPr="00342D7E">
        <w:t>tej</w:t>
      </w:r>
      <w:r w:rsidRPr="00342D7E">
        <w:t xml:space="preserve"> kolumnie</w:t>
      </w:r>
      <w:r w:rsidR="00342D7E" w:rsidRPr="00342D7E">
        <w:t xml:space="preserve"> w</w:t>
      </w:r>
      <w:r w:rsidR="00342D7E">
        <w:t> </w:t>
      </w:r>
      <w:r w:rsidR="00342D7E" w:rsidRPr="00342D7E">
        <w:t>pie</w:t>
      </w:r>
      <w:r w:rsidRPr="00342D7E">
        <w:t>rwszym sprawozdawczym dniu odniesienia przypadającym po spłacie, zbyciu lub przeniesieniu</w:t>
      </w:r>
      <w:r w:rsidR="00342D7E" w:rsidRPr="00342D7E">
        <w:t>. W</w:t>
      </w:r>
      <w:r w:rsidR="00342D7E">
        <w:t> </w:t>
      </w:r>
      <w:r w:rsidR="00342D7E" w:rsidRPr="00342D7E">
        <w:t>prz</w:t>
      </w:r>
      <w:r w:rsidRPr="00342D7E">
        <w:t>ypadku ekspozycji pozabilansowych</w:t>
      </w:r>
      <w:r w:rsidR="00342D7E" w:rsidRPr="00342D7E">
        <w:t xml:space="preserve"> w</w:t>
      </w:r>
      <w:r w:rsidR="00342D7E">
        <w:t> </w:t>
      </w:r>
      <w:r w:rsidR="00342D7E" w:rsidRPr="00342D7E">
        <w:t>poz</w:t>
      </w:r>
      <w:r w:rsidRPr="00342D7E">
        <w:t>ycji tej uwzględnia się również zmniejszenia odpisów</w:t>
      </w:r>
      <w:r w:rsidR="00342D7E" w:rsidRPr="00342D7E">
        <w:t xml:space="preserve"> z</w:t>
      </w:r>
      <w:r w:rsidR="00342D7E">
        <w:t> </w:t>
      </w:r>
      <w:r w:rsidR="00342D7E" w:rsidRPr="00342D7E">
        <w:t>tyt</w:t>
      </w:r>
      <w:r w:rsidRPr="00342D7E">
        <w:t>ułu utraty wartości</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uję</w:t>
      </w:r>
      <w:r w:rsidRPr="00342D7E">
        <w:t>ciem pozycji pozabilansowej</w:t>
      </w:r>
      <w:r w:rsidR="00342D7E" w:rsidRPr="00342D7E">
        <w:t xml:space="preserve"> w</w:t>
      </w:r>
      <w:r w:rsidR="00342D7E">
        <w:t> </w:t>
      </w:r>
      <w:r w:rsidR="00342D7E" w:rsidRPr="00342D7E">
        <w:t>bil</w:t>
      </w:r>
      <w:r w:rsidRPr="00342D7E">
        <w:t>ansie jako składnika aktywów.</w:t>
      </w:r>
    </w:p>
    <w:p w:rsidR="00D35B0C" w:rsidRPr="00342D7E" w:rsidRDefault="00A834F1">
      <w:pPr>
        <w:pStyle w:val="Baseparagraphnumbered"/>
      </w:pPr>
      <w:r w:rsidRPr="00342D7E">
        <w:lastRenderedPageBreak/>
        <w:t>„Zmiany wynikające ze zmiany ryzyka kredytowego (netto</w:t>
      </w:r>
      <w:proofErr w:type="gramStart"/>
      <w:r w:rsidRPr="00342D7E">
        <w:t>)” obejmują</w:t>
      </w:r>
      <w:proofErr w:type="gramEnd"/>
      <w:r w:rsidRPr="00342D7E">
        <w:t xml:space="preserve"> kwotę netto zmian oczekiwanych strat na koniec sprawozdawczego okresu odniesienia ze względu na zwiększenie lub zmniejszenie ryzyka kredytowego od momentu początkowego ujęcia, niezależnie od tego, czy zmiany te spowodowały przeniesie składnika aktywów finansowych do innej fazy</w:t>
      </w:r>
      <w:r w:rsidR="00342D7E" w:rsidRPr="00342D7E">
        <w:t>. W</w:t>
      </w:r>
      <w:r w:rsidR="00342D7E">
        <w:t> </w:t>
      </w:r>
      <w:r w:rsidR="00342D7E" w:rsidRPr="00342D7E">
        <w:t>tej</w:t>
      </w:r>
      <w:r w:rsidRPr="00342D7E">
        <w:t xml:space="preserve"> kolumnie zgłasza się wpływ na kwotę odpisu ze względu na zwiększenie lub zmniejszenie kwoty aktywów finansowych</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nal</w:t>
      </w:r>
      <w:r w:rsidRPr="00342D7E">
        <w:t>iczonymi</w:t>
      </w:r>
      <w:r w:rsidR="00342D7E" w:rsidRPr="00342D7E">
        <w:t xml:space="preserve"> i</w:t>
      </w:r>
      <w:r w:rsidR="00342D7E">
        <w:t> </w:t>
      </w:r>
      <w:r w:rsidR="00342D7E" w:rsidRPr="00342D7E">
        <w:t>zap</w:t>
      </w:r>
      <w:r w:rsidRPr="00342D7E">
        <w:t>łaconymi przychodami odsetkowymi</w:t>
      </w:r>
      <w:r w:rsidR="00342D7E" w:rsidRPr="00342D7E">
        <w:t>. W</w:t>
      </w:r>
      <w:r w:rsidR="00342D7E">
        <w:t> </w:t>
      </w:r>
      <w:r w:rsidR="00342D7E" w:rsidRPr="00342D7E">
        <w:t>poz</w:t>
      </w:r>
      <w:r w:rsidRPr="00342D7E">
        <w:t>ycji tej uwzględnia się również wpływ upływu czasu na oczekiwane straty, obliczany zgodnie MSSF 9 pkt</w:t>
      </w:r>
      <w:r w:rsidR="00342D7E" w:rsidRPr="00342D7E">
        <w:t> </w:t>
      </w:r>
      <w:r w:rsidRPr="00342D7E">
        <w:t>5.4.1 lit.</w:t>
      </w:r>
      <w:r w:rsidR="00342D7E" w:rsidRPr="00342D7E">
        <w:t> </w:t>
      </w:r>
      <w:r w:rsidRPr="00342D7E">
        <w:t>a) i b</w:t>
      </w:r>
      <w:proofErr w:type="gramStart"/>
      <w:r w:rsidRPr="00342D7E">
        <w:t>). Zmiany</w:t>
      </w:r>
      <w:proofErr w:type="gramEnd"/>
      <w:r w:rsidRPr="00342D7E">
        <w:t xml:space="preserve"> szacunków</w:t>
      </w:r>
      <w:r w:rsidR="00342D7E" w:rsidRPr="00342D7E">
        <w:t xml:space="preserve"> z</w:t>
      </w:r>
      <w:r w:rsidR="00342D7E">
        <w:t> </w:t>
      </w:r>
      <w:r w:rsidR="00342D7E" w:rsidRPr="00342D7E">
        <w:t>pow</w:t>
      </w:r>
      <w:r w:rsidRPr="00342D7E">
        <w:t>odu aktualizacji lub przeglądu parametrów ryzyka oraz zmiany prognostycznych danych gospodarczych również zgłasza się</w:t>
      </w:r>
      <w:r w:rsidR="00342D7E" w:rsidRPr="00342D7E">
        <w:t xml:space="preserve"> w</w:t>
      </w:r>
      <w:r w:rsidR="00342D7E">
        <w:t> </w:t>
      </w:r>
      <w:r w:rsidR="00342D7E" w:rsidRPr="00342D7E">
        <w:t>tej</w:t>
      </w:r>
      <w:r w:rsidRPr="00342D7E">
        <w:t xml:space="preserve"> kolumnie. Zmiany oczekiwanych strat</w:t>
      </w:r>
      <w:r w:rsidR="00342D7E" w:rsidRPr="00342D7E">
        <w:t xml:space="preserve"> z</w:t>
      </w:r>
      <w:r w:rsidR="00342D7E">
        <w:t> </w:t>
      </w:r>
      <w:r w:rsidR="00342D7E" w:rsidRPr="00342D7E">
        <w:t>pow</w:t>
      </w:r>
      <w:r w:rsidRPr="00342D7E">
        <w:t>odu częściowej spłaty ekspozycji</w:t>
      </w:r>
      <w:r w:rsidR="00342D7E" w:rsidRPr="00342D7E">
        <w:t xml:space="preserve"> w</w:t>
      </w:r>
      <w:r w:rsidR="00342D7E">
        <w:t> </w:t>
      </w:r>
      <w:r w:rsidR="00342D7E" w:rsidRPr="00342D7E">
        <w:t>dro</w:t>
      </w:r>
      <w:r w:rsidRPr="00342D7E">
        <w:t>dze płatności ratalnych zgłasza się</w:t>
      </w:r>
      <w:r w:rsidR="00342D7E" w:rsidRPr="00342D7E">
        <w:t xml:space="preserve"> w</w:t>
      </w:r>
      <w:r w:rsidR="00342D7E">
        <w:t> </w:t>
      </w:r>
      <w:r w:rsidR="00342D7E" w:rsidRPr="00342D7E">
        <w:t>tej</w:t>
      </w:r>
      <w:r w:rsidRPr="00342D7E">
        <w:t xml:space="preserve"> kolumnie,</w:t>
      </w:r>
      <w:r w:rsidR="00342D7E" w:rsidRPr="00342D7E">
        <w:t xml:space="preserve"> z</w:t>
      </w:r>
      <w:r w:rsidR="00342D7E">
        <w:t> </w:t>
      </w:r>
      <w:r w:rsidR="00342D7E" w:rsidRPr="00342D7E">
        <w:t>wyj</w:t>
      </w:r>
      <w:r w:rsidRPr="00342D7E">
        <w:t>ątkiem ostatniej raty, którą zgłasza się</w:t>
      </w:r>
      <w:r w:rsidR="00342D7E" w:rsidRPr="00342D7E">
        <w:t xml:space="preserve"> w</w:t>
      </w:r>
      <w:r w:rsidR="00342D7E">
        <w:t> </w:t>
      </w:r>
      <w:r w:rsidR="00342D7E" w:rsidRPr="00342D7E">
        <w:t>kol</w:t>
      </w:r>
      <w:r w:rsidRPr="00342D7E">
        <w:t>umnie „Zmniejszenia</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zap</w:t>
      </w:r>
      <w:r w:rsidRPr="00342D7E">
        <w:t>rzestaniem ujmowania”.</w:t>
      </w:r>
    </w:p>
    <w:p w:rsidR="00D35B0C" w:rsidRPr="00342D7E" w:rsidRDefault="00A834F1">
      <w:pPr>
        <w:pStyle w:val="Baseparagraphnumbered"/>
      </w:pPr>
      <w:r w:rsidRPr="00342D7E">
        <w:t>Wszystkie zmiany oczekiwanych strat kredytowych</w:t>
      </w:r>
      <w:r w:rsidR="00342D7E" w:rsidRPr="00342D7E">
        <w:t xml:space="preserve"> z</w:t>
      </w:r>
      <w:r w:rsidR="00342D7E">
        <w:t> </w:t>
      </w:r>
      <w:r w:rsidR="00342D7E" w:rsidRPr="00342D7E">
        <w:t>tyt</w:t>
      </w:r>
      <w:r w:rsidRPr="00342D7E">
        <w:t>ułu ekspozycji odnawialnych zgłasza się</w:t>
      </w:r>
      <w:r w:rsidR="00342D7E" w:rsidRPr="00342D7E">
        <w:t xml:space="preserve"> w</w:t>
      </w:r>
      <w:r w:rsidR="00342D7E">
        <w:t> </w:t>
      </w:r>
      <w:r w:rsidR="00342D7E" w:rsidRPr="00342D7E">
        <w:t>poz</w:t>
      </w:r>
      <w:r w:rsidRPr="00342D7E">
        <w:t>ycji „Zmiany wynikające ze zmiany ryzyka kredytowego (netto</w:t>
      </w:r>
      <w:proofErr w:type="gramStart"/>
      <w:r w:rsidRPr="00342D7E">
        <w:t>)”,</w:t>
      </w:r>
      <w:r w:rsidR="00342D7E" w:rsidRPr="00342D7E">
        <w:t xml:space="preserve"> z</w:t>
      </w:r>
      <w:proofErr w:type="gramEnd"/>
      <w:r w:rsidR="00342D7E">
        <w:t> </w:t>
      </w:r>
      <w:r w:rsidR="00342D7E" w:rsidRPr="00342D7E">
        <w:t>wyj</w:t>
      </w:r>
      <w:r w:rsidRPr="00342D7E">
        <w:t>ątkiem tych zmian, które dotyczą spisań</w:t>
      </w:r>
      <w:r w:rsidR="00342D7E" w:rsidRPr="00342D7E">
        <w:t xml:space="preserve"> i</w:t>
      </w:r>
      <w:r w:rsidR="00342D7E">
        <w:t> </w:t>
      </w:r>
      <w:r w:rsidR="00342D7E" w:rsidRPr="00342D7E">
        <w:t>akt</w:t>
      </w:r>
      <w:r w:rsidRPr="00342D7E">
        <w:t>ualizacji stosowanej przez instytucję metody szacowania strat kredytowych. Ekspozycje odnawialne to ekspozycje,</w:t>
      </w:r>
      <w:r w:rsidR="00342D7E" w:rsidRPr="00342D7E">
        <w:t xml:space="preserve"> w</w:t>
      </w:r>
      <w:r w:rsidR="00342D7E">
        <w:t> </w:t>
      </w:r>
      <w:r w:rsidR="00342D7E" w:rsidRPr="00342D7E">
        <w:t>prz</w:t>
      </w:r>
      <w:r w:rsidRPr="00342D7E">
        <w:t>ypadku których salda należności od klientów mogą ulegać wahaniom</w:t>
      </w:r>
      <w:r w:rsidR="00342D7E" w:rsidRPr="00342D7E">
        <w:t xml:space="preserve"> w</w:t>
      </w:r>
      <w:r w:rsidR="00342D7E">
        <w:t> </w:t>
      </w:r>
      <w:r w:rsidR="00342D7E" w:rsidRPr="00342D7E">
        <w:t>zal</w:t>
      </w:r>
      <w:r w:rsidRPr="00342D7E">
        <w:t>eżności od ich decyzji co do zaciągania</w:t>
      </w:r>
      <w:r w:rsidR="00342D7E" w:rsidRPr="00342D7E">
        <w:t xml:space="preserve"> i</w:t>
      </w:r>
      <w:r w:rsidR="00342D7E">
        <w:t> </w:t>
      </w:r>
      <w:r w:rsidR="00342D7E" w:rsidRPr="00342D7E">
        <w:t>spł</w:t>
      </w:r>
      <w:r w:rsidRPr="00342D7E">
        <w:t>acania kredytu do wysokości limitu określonego przez instytucję.</w:t>
      </w:r>
    </w:p>
    <w:p w:rsidR="00D35B0C" w:rsidRPr="00342D7E" w:rsidRDefault="00A834F1">
      <w:pPr>
        <w:pStyle w:val="Baseparagraphnumbered"/>
      </w:pPr>
      <w:r w:rsidRPr="00342D7E">
        <w:t>„Zmiany wynikające</w:t>
      </w:r>
      <w:r w:rsidR="00342D7E" w:rsidRPr="00342D7E">
        <w:t xml:space="preserve"> z</w:t>
      </w:r>
      <w:r w:rsidR="00342D7E">
        <w:t> </w:t>
      </w:r>
      <w:r w:rsidR="00342D7E" w:rsidRPr="00342D7E">
        <w:t>akt</w:t>
      </w:r>
      <w:r w:rsidRPr="00342D7E">
        <w:t>ualizacji stosowanej przez instytucję metody dokonywania oszacowań (netto</w:t>
      </w:r>
      <w:proofErr w:type="gramStart"/>
      <w:r w:rsidRPr="00342D7E">
        <w:t>)” obejmują</w:t>
      </w:r>
      <w:proofErr w:type="gramEnd"/>
      <w:r w:rsidRPr="00342D7E">
        <w:t xml:space="preserve"> zmiany wynikające</w:t>
      </w:r>
      <w:r w:rsidR="00342D7E" w:rsidRPr="00342D7E">
        <w:t xml:space="preserve"> z</w:t>
      </w:r>
      <w:r w:rsidR="00342D7E">
        <w:t> </w:t>
      </w:r>
      <w:r w:rsidR="00342D7E" w:rsidRPr="00342D7E">
        <w:t>akt</w:t>
      </w:r>
      <w:r w:rsidRPr="00342D7E">
        <w:t>ualizacji stosowanej przez instytucję metody szacowania oczekiwanych strat</w:t>
      </w:r>
      <w:r w:rsidR="00342D7E" w:rsidRPr="00342D7E">
        <w:t xml:space="preserve"> z</w:t>
      </w:r>
      <w:r w:rsidR="00342D7E">
        <w:t> </w:t>
      </w:r>
      <w:r w:rsidR="00342D7E" w:rsidRPr="00342D7E">
        <w:t>pow</w:t>
      </w:r>
      <w:r w:rsidRPr="00342D7E">
        <w:t>odu zmian</w:t>
      </w:r>
      <w:r w:rsidR="00342D7E" w:rsidRPr="00342D7E">
        <w:t xml:space="preserve"> w</w:t>
      </w:r>
      <w:r w:rsidR="00342D7E">
        <w:t> </w:t>
      </w:r>
      <w:r w:rsidR="00342D7E" w:rsidRPr="00342D7E">
        <w:t>dot</w:t>
      </w:r>
      <w:r w:rsidRPr="00342D7E">
        <w:t>ychczasowych modelach lub ustanowienia nowych modeli stosowanych do szacowania utraty wartości. Aktualizacje metody uwzględniają również wpływ przyjęcia nowych standardów. Zmiany metody, które powodują przeklasyfikowanie składnika aktywów do innej fazy utraty wartości, uznaje się za zmianę modelu</w:t>
      </w:r>
      <w:r w:rsidR="00342D7E" w:rsidRPr="00342D7E">
        <w:t xml:space="preserve"> w</w:t>
      </w:r>
      <w:r w:rsidR="00342D7E">
        <w:t> </w:t>
      </w:r>
      <w:r w:rsidR="00342D7E" w:rsidRPr="00342D7E">
        <w:t>cał</w:t>
      </w:r>
      <w:r w:rsidRPr="00342D7E">
        <w:t>ości</w:t>
      </w:r>
      <w:r w:rsidR="00342D7E" w:rsidRPr="00342D7E">
        <w:t>. W</w:t>
      </w:r>
      <w:r w:rsidR="00342D7E">
        <w:t> </w:t>
      </w:r>
      <w:r w:rsidR="00342D7E" w:rsidRPr="00342D7E">
        <w:t>tej</w:t>
      </w:r>
      <w:r w:rsidRPr="00342D7E">
        <w:t xml:space="preserve"> kolumnie nie zgłasza się zmian szacunków</w:t>
      </w:r>
      <w:r w:rsidR="00342D7E" w:rsidRPr="00342D7E">
        <w:t xml:space="preserve"> z</w:t>
      </w:r>
      <w:r w:rsidR="00342D7E">
        <w:t> </w:t>
      </w:r>
      <w:r w:rsidR="00342D7E" w:rsidRPr="00342D7E">
        <w:t>pow</w:t>
      </w:r>
      <w:r w:rsidRPr="00342D7E">
        <w:t>odu aktualizacji lub przeglądu parametrów ryzyka oraz zmian prognostycznych danych gospodarczych.</w:t>
      </w:r>
    </w:p>
    <w:p w:rsidR="00D35B0C" w:rsidRPr="00342D7E" w:rsidRDefault="00A834F1">
      <w:pPr>
        <w:pStyle w:val="Baseparagraphnumbered"/>
      </w:pPr>
      <w:r w:rsidRPr="00342D7E">
        <w:t>Sposób zgłaszania zmian oczekiwanych strat związanych ze zmodyfikowanymi składnikami aktywów (MSSF 9 pkt</w:t>
      </w:r>
      <w:r w:rsidR="00342D7E" w:rsidRPr="00342D7E">
        <w:t> </w:t>
      </w:r>
      <w:r w:rsidRPr="00342D7E">
        <w:t>5.4.3</w:t>
      </w:r>
      <w:r w:rsidR="00342D7E" w:rsidRPr="00342D7E">
        <w:t xml:space="preserve"> i</w:t>
      </w:r>
      <w:r w:rsidR="00342D7E">
        <w:t> </w:t>
      </w:r>
      <w:r w:rsidR="00342D7E" w:rsidRPr="00342D7E">
        <w:t>zał</w:t>
      </w:r>
      <w:r w:rsidRPr="00342D7E">
        <w:t>ącznik A) uzależniony jest od charakteru modyfikacji zgodnie</w:t>
      </w:r>
      <w:r w:rsidR="00342D7E" w:rsidRPr="00342D7E">
        <w:t xml:space="preserve"> z</w:t>
      </w:r>
      <w:r w:rsidR="00342D7E">
        <w:t> </w:t>
      </w:r>
      <w:r w:rsidR="00342D7E" w:rsidRPr="00342D7E">
        <w:t>pon</w:t>
      </w:r>
      <w:r w:rsidRPr="00342D7E">
        <w:t xml:space="preserve">iższym: </w:t>
      </w:r>
    </w:p>
    <w:p w:rsidR="00D35B0C" w:rsidRPr="00342D7E" w:rsidRDefault="00A834F1" w:rsidP="00056B6F">
      <w:pPr>
        <w:numPr>
          <w:ilvl w:val="0"/>
          <w:numId w:val="52"/>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jeżeli</w:t>
      </w:r>
      <w:proofErr w:type="gramEnd"/>
      <w:r w:rsidRPr="00342D7E">
        <w:rPr>
          <w:rFonts w:ascii="Times New Roman" w:hAnsi="Times New Roman"/>
          <w:sz w:val="24"/>
          <w:szCs w:val="24"/>
        </w:rPr>
        <w:t xml:space="preserve"> modyfikacja prowadzi do częściowego lub całkowitego zaprzestania ujmowania składnika aktywów ze względu na spisania, jak określono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74, wpływ na oczekiwane straty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tego zaprzestania ujmowania zgłasza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„Zmniejszenie stanu konta odpisów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utraty wartości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zwi</w:t>
      </w:r>
      <w:r w:rsidRPr="00342D7E">
        <w:rPr>
          <w:rFonts w:ascii="Times New Roman" w:hAnsi="Times New Roman"/>
          <w:sz w:val="24"/>
          <w:szCs w:val="24"/>
        </w:rPr>
        <w:t>ązku ze spisaniem”,</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wsz</w:t>
      </w:r>
      <w:r w:rsidRPr="00342D7E">
        <w:rPr>
          <w:rFonts w:ascii="Times New Roman" w:hAnsi="Times New Roman"/>
          <w:sz w:val="24"/>
          <w:szCs w:val="24"/>
        </w:rPr>
        <w:t>elki inny wpływ modyfikacji na oczekiwane straty kredytowe –</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 xml:space="preserve">ych odpowiednich kolumnach; </w:t>
      </w:r>
    </w:p>
    <w:p w:rsidR="00D35B0C" w:rsidRPr="00342D7E" w:rsidRDefault="00A834F1" w:rsidP="00056B6F">
      <w:pPr>
        <w:numPr>
          <w:ilvl w:val="0"/>
          <w:numId w:val="52"/>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jeżeli</w:t>
      </w:r>
      <w:proofErr w:type="gramEnd"/>
      <w:r w:rsidRPr="00342D7E">
        <w:rPr>
          <w:rFonts w:ascii="Times New Roman" w:hAnsi="Times New Roman"/>
          <w:sz w:val="24"/>
          <w:szCs w:val="24"/>
        </w:rPr>
        <w:t xml:space="preserve"> modyfikacja prowadzi do całkowitego zaprzestania ujmowania składnika aktywów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yczyn innych niż spisanie, jak określono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 xml:space="preserve">74, </w:t>
      </w:r>
      <w:r w:rsidRPr="00342D7E">
        <w:rPr>
          <w:rFonts w:ascii="Times New Roman" w:hAnsi="Times New Roman"/>
          <w:sz w:val="24"/>
          <w:szCs w:val="24"/>
        </w:rPr>
        <w:lastRenderedPageBreak/>
        <w:t>oraz do zastąpienia go nowym składnikiem aktywów, wpływ modyfikacji na oczekiwane straty kredytowe zgłasza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„Zmiany wynikające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zap</w:t>
      </w:r>
      <w:r w:rsidRPr="00342D7E">
        <w:rPr>
          <w:rFonts w:ascii="Times New Roman" w:hAnsi="Times New Roman"/>
          <w:sz w:val="24"/>
          <w:szCs w:val="24"/>
        </w:rPr>
        <w:t>rzestania ujmowania”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zmian</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składnika aktywów, którego ujmowania zaprzestano, oraz</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„Zwiększenia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zwi</w:t>
      </w:r>
      <w:r w:rsidRPr="00342D7E">
        <w:rPr>
          <w:rFonts w:ascii="Times New Roman" w:hAnsi="Times New Roman"/>
          <w:sz w:val="24"/>
          <w:szCs w:val="24"/>
        </w:rPr>
        <w:t>ązku</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utw</w:t>
      </w:r>
      <w:r w:rsidRPr="00342D7E">
        <w:rPr>
          <w:rFonts w:ascii="Times New Roman" w:hAnsi="Times New Roman"/>
          <w:sz w:val="24"/>
          <w:szCs w:val="24"/>
        </w:rPr>
        <w:t>orzeniem</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nab</w:t>
      </w:r>
      <w:r w:rsidRPr="00342D7E">
        <w:rPr>
          <w:rFonts w:ascii="Times New Roman" w:hAnsi="Times New Roman"/>
          <w:sz w:val="24"/>
          <w:szCs w:val="24"/>
        </w:rPr>
        <w:t>yciem” –</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zmian</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nowo ujętego zmodyfikowanego składnika aktywów. Zaprzestanie ujmowania</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yczyn innych niż spisania obejmuje zaprzestanie ujmowania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 xml:space="preserve">ypadku, gdy warunki zmodyfikowanych składników aktywów uległy istotnym zmianom; </w:t>
      </w:r>
    </w:p>
    <w:p w:rsidR="00D35B0C" w:rsidRPr="00342D7E" w:rsidRDefault="00A834F1" w:rsidP="00056B6F">
      <w:pPr>
        <w:numPr>
          <w:ilvl w:val="0"/>
          <w:numId w:val="52"/>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jeżeli</w:t>
      </w:r>
      <w:proofErr w:type="gramEnd"/>
      <w:r w:rsidRPr="00342D7E">
        <w:rPr>
          <w:rFonts w:ascii="Times New Roman" w:hAnsi="Times New Roman"/>
          <w:sz w:val="24"/>
          <w:szCs w:val="24"/>
        </w:rPr>
        <w:t xml:space="preserve"> modyfikacja nie prowadzi do zaprzestania ujmowania zmodyfikowanego składnika aktywów</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cał</w:t>
      </w:r>
      <w:r w:rsidRPr="00342D7E">
        <w:rPr>
          <w:rFonts w:ascii="Times New Roman" w:hAnsi="Times New Roman"/>
          <w:sz w:val="24"/>
          <w:szCs w:val="24"/>
        </w:rPr>
        <w:t>ości lub części, jej wpływ na oczekiwane straty zgłasza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„Zmiany wynikające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mod</w:t>
      </w:r>
      <w:r w:rsidRPr="00342D7E">
        <w:rPr>
          <w:rFonts w:ascii="Times New Roman" w:hAnsi="Times New Roman"/>
          <w:sz w:val="24"/>
          <w:szCs w:val="24"/>
        </w:rPr>
        <w:t>yfikacji bez zaprzestania ujmowania”.</w:t>
      </w:r>
    </w:p>
    <w:p w:rsidR="00D35B0C" w:rsidRPr="00342D7E" w:rsidRDefault="00A834F1">
      <w:pPr>
        <w:pStyle w:val="Baseparagraphnumbered"/>
      </w:pPr>
      <w:r w:rsidRPr="00342D7E">
        <w:t>Spisania zgłasza się zgodnie</w:t>
      </w:r>
      <w:r w:rsidR="00342D7E" w:rsidRPr="00342D7E">
        <w:t xml:space="preserve"> z</w:t>
      </w:r>
      <w:r w:rsidR="00342D7E">
        <w:t> </w:t>
      </w:r>
      <w:r w:rsidR="00342D7E" w:rsidRPr="00342D7E">
        <w:t>pkt </w:t>
      </w:r>
      <w:r w:rsidRPr="00342D7E">
        <w:t>72–74 niniejszej części</w:t>
      </w:r>
      <w:r w:rsidR="00342D7E" w:rsidRPr="00342D7E">
        <w:t xml:space="preserve"> w</w:t>
      </w:r>
      <w:r w:rsidR="00342D7E">
        <w:t> </w:t>
      </w:r>
      <w:r w:rsidR="00342D7E" w:rsidRPr="00342D7E">
        <w:t>nin</w:t>
      </w:r>
      <w:r w:rsidRPr="00342D7E">
        <w:t>iejszym załączniku oraz zgodnie</w:t>
      </w:r>
      <w:r w:rsidR="00342D7E" w:rsidRPr="00342D7E">
        <w:t xml:space="preserve"> z</w:t>
      </w:r>
      <w:r w:rsidR="00342D7E">
        <w:t> </w:t>
      </w:r>
      <w:r w:rsidR="00342D7E" w:rsidRPr="00342D7E">
        <w:t>nas</w:t>
      </w:r>
      <w:r w:rsidRPr="00342D7E">
        <w:t xml:space="preserve">tępującymi zasadami: </w:t>
      </w:r>
    </w:p>
    <w:p w:rsidR="00D35B0C" w:rsidRPr="00342D7E" w:rsidRDefault="00A834F1" w:rsidP="00056B6F">
      <w:pPr>
        <w:numPr>
          <w:ilvl w:val="0"/>
          <w:numId w:val="53"/>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jeżeli</w:t>
      </w:r>
      <w:proofErr w:type="gramEnd"/>
      <w:r w:rsidRPr="00342D7E">
        <w:rPr>
          <w:rFonts w:ascii="Times New Roman" w:hAnsi="Times New Roman"/>
          <w:sz w:val="24"/>
          <w:szCs w:val="24"/>
        </w:rPr>
        <w:t xml:space="preserve"> instrument dłużny zaprzestano ujmować częściowo lub</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cał</w:t>
      </w:r>
      <w:r w:rsidRPr="00342D7E">
        <w:rPr>
          <w:rFonts w:ascii="Times New Roman" w:hAnsi="Times New Roman"/>
          <w:sz w:val="24"/>
          <w:szCs w:val="24"/>
        </w:rPr>
        <w:t>ości, ponieważ nie można zasadnie oczekiwać odzyskania należnych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jeg</w:t>
      </w:r>
      <w:r w:rsidRPr="00342D7E">
        <w:rPr>
          <w:rFonts w:ascii="Times New Roman" w:hAnsi="Times New Roman"/>
          <w:sz w:val="24"/>
          <w:szCs w:val="24"/>
        </w:rPr>
        <w:t>o tytułu kwot, zmniejszenie odpisu na straty zgłaszane ze względu na spisane kwoty zgłasza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„Zmniejszenie stanu konta odpisów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utraty wartości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zwi</w:t>
      </w:r>
      <w:r w:rsidRPr="00342D7E">
        <w:rPr>
          <w:rFonts w:ascii="Times New Roman" w:hAnsi="Times New Roman"/>
          <w:sz w:val="24"/>
          <w:szCs w:val="24"/>
        </w:rPr>
        <w:t>ązku ze spisaniem”;</w:t>
      </w:r>
    </w:p>
    <w:p w:rsidR="00D35B0C" w:rsidRPr="00342D7E" w:rsidRDefault="00A834F1" w:rsidP="00056B6F">
      <w:pPr>
        <w:numPr>
          <w:ilvl w:val="0"/>
          <w:numId w:val="53"/>
        </w:numPr>
        <w:spacing w:before="120" w:after="120"/>
        <w:ind w:left="1134"/>
        <w:jc w:val="both"/>
        <w:rPr>
          <w:rFonts w:ascii="Times New Roman" w:hAnsi="Times New Roman"/>
          <w:sz w:val="24"/>
          <w:szCs w:val="24"/>
        </w:rPr>
      </w:pPr>
      <w:r w:rsidRPr="00342D7E">
        <w:rPr>
          <w:rFonts w:ascii="Times New Roman" w:hAnsi="Times New Roman"/>
          <w:sz w:val="24"/>
          <w:szCs w:val="24"/>
        </w:rPr>
        <w:t>„kwoty spisane uwzględnione bezpośrednio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rac</w:t>
      </w:r>
      <w:r w:rsidRPr="00342D7E">
        <w:rPr>
          <w:rFonts w:ascii="Times New Roman" w:hAnsi="Times New Roman"/>
          <w:sz w:val="24"/>
          <w:szCs w:val="24"/>
        </w:rPr>
        <w:t>hunku zysków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str</w:t>
      </w:r>
      <w:r w:rsidRPr="00342D7E">
        <w:rPr>
          <w:rFonts w:ascii="Times New Roman" w:hAnsi="Times New Roman"/>
          <w:sz w:val="24"/>
          <w:szCs w:val="24"/>
        </w:rPr>
        <w:t>at” stanowią kwoty aktywów finansowych spisane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tra</w:t>
      </w:r>
      <w:r w:rsidRPr="00342D7E">
        <w:rPr>
          <w:rFonts w:ascii="Times New Roman" w:hAnsi="Times New Roman"/>
          <w:sz w:val="24"/>
          <w:szCs w:val="24"/>
        </w:rPr>
        <w:t>kcie sprawozdawczego okresu odniesienia, które przekraczają stan konta odpisów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utraty wartości dla danych składników aktywów finansowych na dzień zaprzestania ujmowania. Obejmują one wszystkie kwoty spisane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tra</w:t>
      </w:r>
      <w:r w:rsidRPr="00342D7E">
        <w:rPr>
          <w:rFonts w:ascii="Times New Roman" w:hAnsi="Times New Roman"/>
          <w:sz w:val="24"/>
          <w:szCs w:val="24"/>
        </w:rPr>
        <w:t>kcie sprawozdawczego okresu odniesienia,</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nie</w:t>
      </w:r>
      <w:r w:rsidRPr="00342D7E">
        <w:rPr>
          <w:rFonts w:ascii="Times New Roman" w:hAnsi="Times New Roman"/>
          <w:sz w:val="24"/>
          <w:szCs w:val="24"/>
        </w:rPr>
        <w:t xml:space="preserve"> tylko te, które nadal są przedmiotem czynności egzekucyjnych. </w:t>
      </w:r>
    </w:p>
    <w:p w:rsidR="00D35B0C" w:rsidRPr="00342D7E" w:rsidRDefault="00A834F1">
      <w:pPr>
        <w:pStyle w:val="Baseparagraphnumbered"/>
      </w:pPr>
      <w:r w:rsidRPr="00342D7E">
        <w:t>„Inne korekty” obejmują wszelkie kwoty niezgłoszone</w:t>
      </w:r>
      <w:r w:rsidR="00342D7E" w:rsidRPr="00342D7E">
        <w:t xml:space="preserve"> w</w:t>
      </w:r>
      <w:r w:rsidR="00342D7E">
        <w:t> </w:t>
      </w:r>
      <w:r w:rsidR="00342D7E" w:rsidRPr="00342D7E">
        <w:t>pop</w:t>
      </w:r>
      <w:r w:rsidRPr="00342D7E">
        <w:t>rzednich kolumnach,</w:t>
      </w:r>
      <w:r w:rsidR="00342D7E" w:rsidRPr="00342D7E">
        <w:t xml:space="preserve"> w</w:t>
      </w:r>
      <w:r w:rsidR="00342D7E">
        <w:t> </w:t>
      </w:r>
      <w:r w:rsidR="00342D7E" w:rsidRPr="00342D7E">
        <w:t>tym</w:t>
      </w:r>
      <w:r w:rsidRPr="00342D7E">
        <w:t xml:space="preserve"> korekty oczekiwanych strat kredytowych</w:t>
      </w:r>
      <w:r w:rsidR="00342D7E" w:rsidRPr="00342D7E">
        <w:t xml:space="preserve"> z</w:t>
      </w:r>
      <w:r w:rsidR="00342D7E">
        <w:t> </w:t>
      </w:r>
      <w:r w:rsidR="00342D7E" w:rsidRPr="00342D7E">
        <w:t>pow</w:t>
      </w:r>
      <w:r w:rsidRPr="00342D7E">
        <w:t>odu różnic kursowych, jeżeli jest to spójne ze zgłoszeniem wpływu transakcji walutowych we wzorze 2.</w:t>
      </w:r>
    </w:p>
    <w:p w:rsidR="00D35B0C" w:rsidRPr="00342D7E" w:rsidRDefault="00E7314A">
      <w:pPr>
        <w:pStyle w:val="Baseparagraphnumbered"/>
        <w:numPr>
          <w:ilvl w:val="0"/>
          <w:numId w:val="0"/>
        </w:numPr>
        <w:ind w:left="426"/>
      </w:pPr>
      <w:r w:rsidRPr="00342D7E">
        <w:t xml:space="preserve">166i. </w:t>
      </w:r>
      <w:r w:rsidRPr="00342D7E">
        <w:tab/>
        <w:t>„Zyski lub straty</w:t>
      </w:r>
      <w:r w:rsidR="00342D7E" w:rsidRPr="00342D7E">
        <w:t xml:space="preserve"> z</w:t>
      </w:r>
      <w:r w:rsidR="00342D7E">
        <w:t> </w:t>
      </w:r>
      <w:r w:rsidR="00342D7E" w:rsidRPr="00342D7E">
        <w:t>tyt</w:t>
      </w:r>
      <w:r w:rsidRPr="00342D7E">
        <w:t>ułu zaprzestania ujmowania instrumentów dłużnych” obejmują różnicę między wartością bilansową aktywów finansowych wycenianych</w:t>
      </w:r>
      <w:r w:rsidR="00342D7E" w:rsidRPr="00342D7E">
        <w:t xml:space="preserve"> w</w:t>
      </w:r>
      <w:r w:rsidR="00342D7E">
        <w:t> </w:t>
      </w:r>
      <w:r w:rsidR="00342D7E" w:rsidRPr="00342D7E">
        <w:t>dni</w:t>
      </w:r>
      <w:r w:rsidRPr="00342D7E">
        <w:t xml:space="preserve">u wyłączenia oraz otrzymanego wynagrodzenia. </w:t>
      </w:r>
    </w:p>
    <w:p w:rsidR="00D35B0C" w:rsidRPr="00342D7E" w:rsidRDefault="00A834F1">
      <w:pPr>
        <w:pStyle w:val="sub-subtitlenumbered"/>
        <w:jc w:val="both"/>
      </w:pPr>
      <w:bookmarkStart w:id="36" w:name="_Toc31019138"/>
      <w:r w:rsidRPr="00342D7E">
        <w:t>Przesunięcia między fazami utraty wartości (prezentacja</w:t>
      </w:r>
      <w:r w:rsidR="00342D7E" w:rsidRPr="00342D7E">
        <w:t xml:space="preserve"> w</w:t>
      </w:r>
      <w:r w:rsidR="00342D7E">
        <w:t> </w:t>
      </w:r>
      <w:r w:rsidR="00342D7E" w:rsidRPr="00342D7E">
        <w:t>uję</w:t>
      </w:r>
      <w:r w:rsidRPr="00342D7E">
        <w:t>ciu brutto) (12.2)</w:t>
      </w:r>
      <w:bookmarkEnd w:id="36"/>
    </w:p>
    <w:p w:rsidR="00D35B0C" w:rsidRPr="00342D7E" w:rsidRDefault="00A834F1">
      <w:pPr>
        <w:pStyle w:val="Baseparagraphnumbered"/>
      </w:pPr>
      <w:r w:rsidRPr="00342D7E">
        <w:t>W przypadku aktywów finansowych – wartość bilansową brutto,</w:t>
      </w:r>
      <w:r w:rsidR="00342D7E" w:rsidRPr="00342D7E">
        <w:t xml:space="preserve"> a</w:t>
      </w:r>
      <w:r w:rsidR="00342D7E">
        <w:t> </w:t>
      </w:r>
      <w:r w:rsidR="00342D7E" w:rsidRPr="00342D7E">
        <w:t>w</w:t>
      </w:r>
      <w:r w:rsidR="00342D7E">
        <w:t> </w:t>
      </w:r>
      <w:r w:rsidR="00342D7E" w:rsidRPr="00342D7E">
        <w:t>prz</w:t>
      </w:r>
      <w:r w:rsidRPr="00342D7E">
        <w:t>ypadku ekspozycji pozabilansowych, które podlegają wymogom</w:t>
      </w:r>
      <w:r w:rsidR="00342D7E" w:rsidRPr="00342D7E">
        <w:t xml:space="preserve"> z</w:t>
      </w:r>
      <w:r w:rsidR="00342D7E">
        <w:t> </w:t>
      </w:r>
      <w:r w:rsidR="00342D7E" w:rsidRPr="00342D7E">
        <w:t>zak</w:t>
      </w:r>
      <w:r w:rsidRPr="00342D7E">
        <w:t>resu utraty wartości przewidzianym w MSSF 9 – kwotę nominalną, którą przeniesiono między fazami utraty wartości</w:t>
      </w:r>
      <w:r w:rsidR="00342D7E" w:rsidRPr="00342D7E">
        <w:t xml:space="preserve"> w</w:t>
      </w:r>
      <w:r w:rsidR="00342D7E">
        <w:t> </w:t>
      </w:r>
      <w:r w:rsidR="00342D7E" w:rsidRPr="00342D7E">
        <w:t>tra</w:t>
      </w:r>
      <w:r w:rsidRPr="00342D7E">
        <w:t xml:space="preserve">kcie sprawozdawczego okresu odniesienia, zgłasza się we wzorze 12.2. </w:t>
      </w:r>
    </w:p>
    <w:p w:rsidR="00D35B0C" w:rsidRPr="00342D7E" w:rsidRDefault="00A834F1">
      <w:pPr>
        <w:pStyle w:val="Baseparagraphnumbered"/>
      </w:pPr>
      <w:r w:rsidRPr="00342D7E">
        <w:t>Zgłoszeniu podlega wyłącznie wartość bilansowa brutto lub kwota nominalna tych aktywów finansowych lub ekspozycji pozabilansowych, które na sprawozdawczy dzień odniesienia znajdują się</w:t>
      </w:r>
      <w:r w:rsidR="00342D7E" w:rsidRPr="00342D7E">
        <w:t xml:space="preserve"> w</w:t>
      </w:r>
      <w:r w:rsidR="00342D7E">
        <w:t> </w:t>
      </w:r>
      <w:r w:rsidR="00342D7E" w:rsidRPr="00342D7E">
        <w:t>inn</w:t>
      </w:r>
      <w:r w:rsidRPr="00342D7E">
        <w:t xml:space="preserve">ej fazie utraty wartości </w:t>
      </w:r>
      <w:r w:rsidRPr="00342D7E">
        <w:lastRenderedPageBreak/>
        <w:t>niż na początku roku obrotowego lub</w:t>
      </w:r>
      <w:r w:rsidR="00342D7E" w:rsidRPr="00342D7E">
        <w:t xml:space="preserve"> w</w:t>
      </w:r>
      <w:r w:rsidR="00342D7E">
        <w:t> </w:t>
      </w:r>
      <w:r w:rsidR="00342D7E" w:rsidRPr="00342D7E">
        <w:t>mom</w:t>
      </w:r>
      <w:r w:rsidRPr="00342D7E">
        <w:t>encie ich początkowego ujęcia</w:t>
      </w:r>
      <w:r w:rsidR="00342D7E" w:rsidRPr="00342D7E">
        <w:t>. W</w:t>
      </w:r>
      <w:r w:rsidR="00342D7E">
        <w:t> </w:t>
      </w:r>
      <w:r w:rsidR="00342D7E" w:rsidRPr="00342D7E">
        <w:t>odn</w:t>
      </w:r>
      <w:r w:rsidRPr="00342D7E">
        <w:t>iesieniu do ekspozycji bilansowych,</w:t>
      </w:r>
      <w:r w:rsidR="00342D7E" w:rsidRPr="00342D7E">
        <w:t xml:space="preserve"> w</w:t>
      </w:r>
      <w:r w:rsidR="00342D7E">
        <w:t> </w:t>
      </w:r>
      <w:r w:rsidR="00342D7E" w:rsidRPr="00342D7E">
        <w:t>prz</w:t>
      </w:r>
      <w:r w:rsidRPr="00342D7E">
        <w:t xml:space="preserve">ypadku których utrata wartości zgłoszona we wzorze 12.1 </w:t>
      </w:r>
      <w:proofErr w:type="gramStart"/>
      <w:r w:rsidRPr="00342D7E">
        <w:t>obejmuje</w:t>
      </w:r>
      <w:proofErr w:type="gramEnd"/>
      <w:r w:rsidRPr="00342D7E">
        <w:t xml:space="preserve"> komponent pozabilansowy (MSSF 9 pkt</w:t>
      </w:r>
      <w:r w:rsidR="00342D7E" w:rsidRPr="00342D7E">
        <w:t> </w:t>
      </w:r>
      <w:r w:rsidRPr="00342D7E">
        <w:t>5.5.20 i MSSF 7 pkt B8E), uwzględnia się zmianę fazy,</w:t>
      </w:r>
      <w:r w:rsidR="00342D7E" w:rsidRPr="00342D7E">
        <w:t xml:space="preserve"> w</w:t>
      </w:r>
      <w:r w:rsidR="00342D7E">
        <w:t> </w:t>
      </w:r>
      <w:r w:rsidR="00342D7E" w:rsidRPr="00342D7E">
        <w:t>któ</w:t>
      </w:r>
      <w:r w:rsidRPr="00342D7E">
        <w:t>rej znajduje się komponent bilansowy</w:t>
      </w:r>
      <w:r w:rsidR="00342D7E" w:rsidRPr="00342D7E">
        <w:t xml:space="preserve"> i</w:t>
      </w:r>
      <w:r w:rsidR="00342D7E">
        <w:t> </w:t>
      </w:r>
      <w:r w:rsidR="00342D7E" w:rsidRPr="00342D7E">
        <w:t>poz</w:t>
      </w:r>
      <w:r w:rsidRPr="00342D7E">
        <w:t>abilansowy.</w:t>
      </w:r>
    </w:p>
    <w:p w:rsidR="00D35B0C" w:rsidRPr="00342D7E" w:rsidRDefault="00A834F1">
      <w:pPr>
        <w:pStyle w:val="Baseparagraphnumbered"/>
      </w:pPr>
      <w:r w:rsidRPr="00342D7E">
        <w:t>Do celów zgłaszania przeniesień, które nastąpiły</w:t>
      </w:r>
      <w:r w:rsidR="00342D7E" w:rsidRPr="00342D7E">
        <w:t xml:space="preserve"> w</w:t>
      </w:r>
      <w:r w:rsidR="00342D7E">
        <w:t> </w:t>
      </w:r>
      <w:r w:rsidR="00342D7E" w:rsidRPr="00342D7E">
        <w:t>tra</w:t>
      </w:r>
      <w:r w:rsidRPr="00342D7E">
        <w:t>kcie roku obrotowego, aktywa finansowe lub ekspozycje pozabilansowe, które od początku danego roku obrotowego lub od momentu ich początkowego ujęcia wielokrotnie zmieniły fazy utraty wartości, zgłasza się jako przeniesione</w:t>
      </w:r>
      <w:r w:rsidR="00342D7E" w:rsidRPr="00342D7E">
        <w:t xml:space="preserve"> z</w:t>
      </w:r>
      <w:r w:rsidR="00342D7E">
        <w:t> </w:t>
      </w:r>
      <w:r w:rsidR="00342D7E" w:rsidRPr="00342D7E">
        <w:t>faz</w:t>
      </w:r>
      <w:r w:rsidRPr="00342D7E">
        <w:t>y utraty wartości,</w:t>
      </w:r>
      <w:r w:rsidR="00342D7E" w:rsidRPr="00342D7E">
        <w:t xml:space="preserve"> w</w:t>
      </w:r>
      <w:r w:rsidR="00342D7E">
        <w:t> </w:t>
      </w:r>
      <w:r w:rsidR="00342D7E" w:rsidRPr="00342D7E">
        <w:t>któ</w:t>
      </w:r>
      <w:r w:rsidRPr="00342D7E">
        <w:t>rej znajdowały się na początku roku obrotowego lub</w:t>
      </w:r>
      <w:r w:rsidR="00342D7E" w:rsidRPr="00342D7E">
        <w:t xml:space="preserve"> w</w:t>
      </w:r>
      <w:r w:rsidR="00342D7E">
        <w:t> </w:t>
      </w:r>
      <w:r w:rsidR="00342D7E" w:rsidRPr="00342D7E">
        <w:t>mom</w:t>
      </w:r>
      <w:r w:rsidRPr="00342D7E">
        <w:t>encie ich początkowego ujęcia, do fazy utraty wartości,</w:t>
      </w:r>
      <w:r w:rsidR="00342D7E" w:rsidRPr="00342D7E">
        <w:t xml:space="preserve"> w</w:t>
      </w:r>
      <w:r w:rsidR="00342D7E">
        <w:t> </w:t>
      </w:r>
      <w:r w:rsidR="00342D7E" w:rsidRPr="00342D7E">
        <w:t>któ</w:t>
      </w:r>
      <w:r w:rsidRPr="00342D7E">
        <w:t>rej są ujęte na sprawozdawczy dzień odniesienia.</w:t>
      </w:r>
    </w:p>
    <w:p w:rsidR="00D35B0C" w:rsidRPr="00342D7E" w:rsidRDefault="00A834F1">
      <w:pPr>
        <w:pStyle w:val="Baseparagraphnumbered"/>
      </w:pPr>
      <w:r w:rsidRPr="00342D7E">
        <w:t xml:space="preserve">Wartość bilansową brutto lub kwotę nominalną podlegającą zgłoszeniu we wzorze 12.2 </w:t>
      </w:r>
      <w:proofErr w:type="gramStart"/>
      <w:r w:rsidRPr="00342D7E">
        <w:t>stanowi</w:t>
      </w:r>
      <w:proofErr w:type="gramEnd"/>
      <w:r w:rsidRPr="00342D7E">
        <w:t xml:space="preserve"> wartość bilansowa brutto lub kwota nominalna według stanu na dzień sprawozdawczy, niezależnie od tego, czy kwota ta była wyższa lub niższa</w:t>
      </w:r>
      <w:r w:rsidR="00342D7E" w:rsidRPr="00342D7E">
        <w:t xml:space="preserve"> w</w:t>
      </w:r>
      <w:r w:rsidR="00342D7E">
        <w:t> </w:t>
      </w:r>
      <w:r w:rsidR="00342D7E" w:rsidRPr="00342D7E">
        <w:t>dni</w:t>
      </w:r>
      <w:r w:rsidRPr="00342D7E">
        <w:t>u przeniesienia.</w:t>
      </w:r>
    </w:p>
    <w:p w:rsidR="00D35B0C" w:rsidRPr="00342D7E" w:rsidRDefault="00A834F1">
      <w:pPr>
        <w:pStyle w:val="subtitlenumbered"/>
        <w:keepNext/>
        <w:ind w:left="357" w:hanging="357"/>
        <w:jc w:val="both"/>
      </w:pPr>
      <w:bookmarkStart w:id="37" w:name="_Toc31019139"/>
      <w:r w:rsidRPr="00342D7E">
        <w:t>Otrzymane zabezpieczenia</w:t>
      </w:r>
      <w:r w:rsidR="00342D7E" w:rsidRPr="00342D7E">
        <w:t xml:space="preserve"> i</w:t>
      </w:r>
      <w:r w:rsidR="00342D7E">
        <w:t> </w:t>
      </w:r>
      <w:r w:rsidR="00342D7E" w:rsidRPr="00342D7E">
        <w:t>gwa</w:t>
      </w:r>
      <w:r w:rsidRPr="00342D7E">
        <w:t>rancje (13)</w:t>
      </w:r>
      <w:bookmarkEnd w:id="37"/>
    </w:p>
    <w:p w:rsidR="00D35B0C" w:rsidRPr="00342D7E" w:rsidRDefault="00A834F1">
      <w:pPr>
        <w:pStyle w:val="sub-subtitlenumbered"/>
        <w:jc w:val="both"/>
      </w:pPr>
      <w:bookmarkStart w:id="38" w:name="_Toc31019140"/>
      <w:r w:rsidRPr="00342D7E">
        <w:t>Podział zabezpieczeń</w:t>
      </w:r>
      <w:r w:rsidR="00342D7E" w:rsidRPr="00342D7E">
        <w:t xml:space="preserve"> i</w:t>
      </w:r>
      <w:r w:rsidR="00342D7E">
        <w:t> </w:t>
      </w:r>
      <w:r w:rsidR="00342D7E" w:rsidRPr="00342D7E">
        <w:t>gwa</w:t>
      </w:r>
      <w:r w:rsidRPr="00342D7E">
        <w:t>rancji kredytów</w:t>
      </w:r>
      <w:r w:rsidR="00342D7E" w:rsidRPr="00342D7E">
        <w:t xml:space="preserve"> i</w:t>
      </w:r>
      <w:r w:rsidR="00342D7E">
        <w:t> </w:t>
      </w:r>
      <w:r w:rsidR="00342D7E" w:rsidRPr="00342D7E">
        <w:t>zal</w:t>
      </w:r>
      <w:r w:rsidRPr="00342D7E">
        <w:t>iczek innych niż przeznaczone do obrotu (13.1)</w:t>
      </w:r>
      <w:bookmarkEnd w:id="38"/>
    </w:p>
    <w:p w:rsidR="00D35B0C" w:rsidRPr="00342D7E" w:rsidRDefault="00A834F1">
      <w:pPr>
        <w:pStyle w:val="Baseparagraphnumbered"/>
        <w:tabs>
          <w:tab w:val="left" w:pos="851"/>
        </w:tabs>
        <w:ind w:left="709"/>
      </w:pPr>
      <w:r w:rsidRPr="00342D7E">
        <w:t>Zabezpieczenia</w:t>
      </w:r>
      <w:r w:rsidR="00342D7E" w:rsidRPr="00342D7E">
        <w:t xml:space="preserve"> i</w:t>
      </w:r>
      <w:r w:rsidR="00342D7E">
        <w:t> </w:t>
      </w:r>
      <w:r w:rsidR="00342D7E" w:rsidRPr="00342D7E">
        <w:t>gwa</w:t>
      </w:r>
      <w:r w:rsidRPr="00342D7E">
        <w:t>rancje służące zabezpieczeniu kredytów</w:t>
      </w:r>
      <w:r w:rsidR="00342D7E" w:rsidRPr="00342D7E">
        <w:t xml:space="preserve"> i</w:t>
      </w:r>
      <w:r w:rsidR="00342D7E">
        <w:t> </w:t>
      </w:r>
      <w:r w:rsidR="00342D7E" w:rsidRPr="00342D7E">
        <w:t>zal</w:t>
      </w:r>
      <w:r w:rsidRPr="00342D7E">
        <w:t>iczek, bez względu na ich formę prawną, zgłasza się według rodzaju zastawów: kredyty zabezpieczone nieruchomościami</w:t>
      </w:r>
      <w:r w:rsidR="00342D7E" w:rsidRPr="00342D7E">
        <w:t xml:space="preserve"> i</w:t>
      </w:r>
      <w:r w:rsidR="00342D7E">
        <w:t> </w:t>
      </w:r>
      <w:r w:rsidR="00342D7E" w:rsidRPr="00342D7E">
        <w:t>inn</w:t>
      </w:r>
      <w:r w:rsidRPr="00342D7E">
        <w:t>e kredyty zabezpieczone,</w:t>
      </w:r>
      <w:r w:rsidR="00342D7E" w:rsidRPr="00342D7E">
        <w:t xml:space="preserve"> a</w:t>
      </w:r>
      <w:r w:rsidR="00342D7E">
        <w:t> </w:t>
      </w:r>
      <w:r w:rsidR="00342D7E" w:rsidRPr="00342D7E">
        <w:t>tak</w:t>
      </w:r>
      <w:r w:rsidRPr="00342D7E">
        <w:t>że według otrzymanych gwarancji finansowych. Kredyty</w:t>
      </w:r>
      <w:r w:rsidR="00342D7E" w:rsidRPr="00342D7E">
        <w:t xml:space="preserve"> i</w:t>
      </w:r>
      <w:r w:rsidR="00342D7E">
        <w:t> </w:t>
      </w:r>
      <w:r w:rsidR="00342D7E" w:rsidRPr="00342D7E">
        <w:t>zal</w:t>
      </w:r>
      <w:r w:rsidRPr="00342D7E">
        <w:t>iczki dzieli się według kontrahentów</w:t>
      </w:r>
      <w:r w:rsidR="00342D7E" w:rsidRPr="00342D7E">
        <w:t xml:space="preserve"> i</w:t>
      </w:r>
      <w:r w:rsidR="00342D7E">
        <w:t> </w:t>
      </w:r>
      <w:r w:rsidR="00342D7E" w:rsidRPr="00342D7E">
        <w:t>prz</w:t>
      </w:r>
      <w:r w:rsidRPr="00342D7E">
        <w:t xml:space="preserve">eznaczenia. </w:t>
      </w:r>
    </w:p>
    <w:p w:rsidR="00D35B0C" w:rsidRPr="00342D7E" w:rsidRDefault="00A834F1">
      <w:pPr>
        <w:pStyle w:val="Baseparagraphnumbered"/>
        <w:tabs>
          <w:tab w:val="left" w:pos="851"/>
        </w:tabs>
        <w:ind w:left="709"/>
      </w:pPr>
      <w:r w:rsidRPr="00342D7E">
        <w:t xml:space="preserve">We wzorze 13.1 </w:t>
      </w:r>
      <w:proofErr w:type="gramStart"/>
      <w:r w:rsidRPr="00342D7E">
        <w:t>zgłasza</w:t>
      </w:r>
      <w:proofErr w:type="gramEnd"/>
      <w:r w:rsidRPr="00342D7E">
        <w:t xml:space="preserve"> się „maksymalną uznawalną kwotę zabezpieczenia lub gwarancji”. Suma kwot gwarancji finansowej lub zabezpieczenia przedstawiona</w:t>
      </w:r>
      <w:r w:rsidR="00342D7E" w:rsidRPr="00342D7E">
        <w:t xml:space="preserve"> w</w:t>
      </w:r>
      <w:r w:rsidR="00342D7E">
        <w:t> </w:t>
      </w:r>
      <w:r w:rsidR="00342D7E" w:rsidRPr="00342D7E">
        <w:t>pow</w:t>
      </w:r>
      <w:r w:rsidRPr="00342D7E">
        <w:t xml:space="preserve">iązanych kolumnach wzoru 13.1 </w:t>
      </w:r>
      <w:proofErr w:type="gramStart"/>
      <w:r w:rsidRPr="00342D7E">
        <w:t>nie</w:t>
      </w:r>
      <w:proofErr w:type="gramEnd"/>
      <w:r w:rsidRPr="00342D7E">
        <w:t xml:space="preserve"> może przekraczać wartości bilansowej powiązanego kredytu. </w:t>
      </w:r>
    </w:p>
    <w:p w:rsidR="00D35B0C" w:rsidRPr="00342D7E" w:rsidRDefault="00A834F1">
      <w:pPr>
        <w:pStyle w:val="Baseparagraphnumbered"/>
        <w:tabs>
          <w:tab w:val="left" w:pos="851"/>
        </w:tabs>
        <w:ind w:left="709"/>
      </w:pPr>
      <w:r w:rsidRPr="00342D7E">
        <w:t>Do celów przekazywania informacji dotyczących kredytów</w:t>
      </w:r>
      <w:r w:rsidR="00342D7E" w:rsidRPr="00342D7E">
        <w:t xml:space="preserve"> i</w:t>
      </w:r>
      <w:r w:rsidR="00342D7E">
        <w:t> </w:t>
      </w:r>
      <w:r w:rsidR="00342D7E" w:rsidRPr="00342D7E">
        <w:t>zal</w:t>
      </w:r>
      <w:r w:rsidRPr="00342D7E">
        <w:t>iczek według rodzaju zastawu stosuje się następujące definicje:</w:t>
      </w:r>
    </w:p>
    <w:p w:rsidR="00D35B0C" w:rsidRPr="00342D7E" w:rsidRDefault="00A834F1" w:rsidP="00056B6F">
      <w:pPr>
        <w:pStyle w:val="Text1"/>
        <w:numPr>
          <w:ilvl w:val="0"/>
          <w:numId w:val="54"/>
        </w:numPr>
        <w:ind w:left="1134"/>
      </w:pPr>
      <w:proofErr w:type="gramStart"/>
      <w:r w:rsidRPr="00342D7E">
        <w:t>w</w:t>
      </w:r>
      <w:proofErr w:type="gramEnd"/>
      <w:r w:rsidRPr="00342D7E">
        <w:t xml:space="preserve"> ramach pozycji „Kredyty zabezpieczone nieruchomościami” pozycja „Mieszkalne” obejmuje kredyty zabezpieczone nieruchomościami mieszkalnymi,</w:t>
      </w:r>
      <w:r w:rsidR="00342D7E" w:rsidRPr="00342D7E">
        <w:t xml:space="preserve"> a</w:t>
      </w:r>
      <w:r w:rsidR="00342D7E">
        <w:t> </w:t>
      </w:r>
      <w:r w:rsidR="00342D7E" w:rsidRPr="00342D7E">
        <w:t>poz</w:t>
      </w:r>
      <w:r w:rsidRPr="00342D7E">
        <w:t>ycja „Komercyjne” obejmuje kredyty zabezpieczone zastawem na nieruchomościach innych niż mieszkalne,</w:t>
      </w:r>
      <w:r w:rsidR="00342D7E" w:rsidRPr="00342D7E">
        <w:t xml:space="preserve"> w</w:t>
      </w:r>
      <w:r w:rsidR="00342D7E">
        <w:t> </w:t>
      </w:r>
      <w:r w:rsidR="00342D7E" w:rsidRPr="00342D7E">
        <w:t>tym</w:t>
      </w:r>
      <w:r w:rsidRPr="00342D7E">
        <w:t xml:space="preserve"> zabezpieczone na lokalach biurowych</w:t>
      </w:r>
      <w:r w:rsidR="00342D7E" w:rsidRPr="00342D7E">
        <w:t xml:space="preserve"> i</w:t>
      </w:r>
      <w:r w:rsidR="00342D7E">
        <w:t> </w:t>
      </w:r>
      <w:r w:rsidR="00342D7E" w:rsidRPr="00342D7E">
        <w:t>uży</w:t>
      </w:r>
      <w:r w:rsidRPr="00342D7E">
        <w:t>tkowych oraz innych rodzajach nieruchomości komercyjnych. Ustalenia, czy zabezpieczeniem</w:t>
      </w:r>
      <w:r w:rsidR="00342D7E" w:rsidRPr="00342D7E">
        <w:t xml:space="preserve"> w</w:t>
      </w:r>
      <w:r w:rsidR="00342D7E">
        <w:t> </w:t>
      </w:r>
      <w:r w:rsidR="00342D7E" w:rsidRPr="00342D7E">
        <w:t>for</w:t>
      </w:r>
      <w:r w:rsidRPr="00342D7E">
        <w:t>mie nieruchomości jest nieruchomość mieszkalna czy też komercyjna, dokonuje się zgodnie</w:t>
      </w:r>
      <w:r w:rsidR="00342D7E" w:rsidRPr="00342D7E">
        <w:t xml:space="preserve"> z</w:t>
      </w:r>
      <w:r w:rsidR="00342D7E">
        <w:t> </w:t>
      </w:r>
      <w:r w:rsidR="00342D7E" w:rsidRPr="00342D7E">
        <w:t>art</w:t>
      </w:r>
      <w:r w:rsidRPr="00342D7E">
        <w:t>.</w:t>
      </w:r>
      <w:r w:rsidR="00342D7E" w:rsidRPr="00342D7E">
        <w:t> </w:t>
      </w:r>
      <w:r w:rsidRPr="00342D7E">
        <w:t>4 ust.</w:t>
      </w:r>
      <w:r w:rsidR="00342D7E" w:rsidRPr="00342D7E">
        <w:t> </w:t>
      </w:r>
      <w:r w:rsidRPr="00342D7E">
        <w:t>1 pkt</w:t>
      </w:r>
      <w:r w:rsidR="00342D7E" w:rsidRPr="00342D7E">
        <w:t> </w:t>
      </w:r>
      <w:r w:rsidRPr="00342D7E">
        <w:t>75 CRR;</w:t>
      </w:r>
    </w:p>
    <w:p w:rsidR="00D35B0C" w:rsidRPr="00342D7E" w:rsidRDefault="00A834F1" w:rsidP="00056B6F">
      <w:pPr>
        <w:pStyle w:val="Text1"/>
        <w:numPr>
          <w:ilvl w:val="0"/>
          <w:numId w:val="54"/>
        </w:numPr>
        <w:ind w:left="1134"/>
      </w:pPr>
      <w:proofErr w:type="gramStart"/>
      <w:r w:rsidRPr="00342D7E">
        <w:t>w</w:t>
      </w:r>
      <w:proofErr w:type="gramEnd"/>
      <w:r w:rsidRPr="00342D7E">
        <w:t xml:space="preserve"> ramach pozycji „Inne kredyty zabezpieczone”:</w:t>
      </w:r>
    </w:p>
    <w:p w:rsidR="00D35B0C" w:rsidRPr="00342D7E" w:rsidRDefault="00A834F1" w:rsidP="00056B6F">
      <w:pPr>
        <w:numPr>
          <w:ilvl w:val="1"/>
          <w:numId w:val="18"/>
        </w:numPr>
        <w:spacing w:before="120" w:after="120"/>
        <w:ind w:left="1559" w:hanging="425"/>
        <w:jc w:val="both"/>
        <w:rPr>
          <w:rFonts w:ascii="Times New Roman" w:hAnsi="Times New Roman"/>
          <w:sz w:val="24"/>
          <w:szCs w:val="24"/>
        </w:rPr>
      </w:pPr>
      <w:r w:rsidRPr="00342D7E">
        <w:rPr>
          <w:rFonts w:ascii="Times New Roman" w:hAnsi="Times New Roman"/>
          <w:sz w:val="24"/>
          <w:szCs w:val="24"/>
        </w:rPr>
        <w:t>pozycja „Środki pieniężne, depozyty, (wyemitowane dłużne papiery wartościowe</w:t>
      </w:r>
      <w:proofErr w:type="gramStart"/>
      <w:r w:rsidRPr="00342D7E">
        <w:rPr>
          <w:rFonts w:ascii="Times New Roman" w:hAnsi="Times New Roman"/>
          <w:sz w:val="24"/>
          <w:szCs w:val="24"/>
        </w:rPr>
        <w:t>)” obejmuje</w:t>
      </w:r>
      <w:proofErr w:type="gramEnd"/>
      <w:r w:rsidRPr="00342D7E">
        <w:rPr>
          <w:rFonts w:ascii="Times New Roman" w:hAnsi="Times New Roman"/>
          <w:sz w:val="24"/>
          <w:szCs w:val="24"/>
        </w:rPr>
        <w:t>: a) depozyty</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ins</w:t>
      </w:r>
      <w:r w:rsidRPr="00342D7E">
        <w:rPr>
          <w:rFonts w:ascii="Times New Roman" w:hAnsi="Times New Roman"/>
          <w:sz w:val="24"/>
          <w:szCs w:val="24"/>
        </w:rPr>
        <w:t>tytucji sprawozdającej, oddane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zas</w:t>
      </w:r>
      <w:r w:rsidRPr="00342D7E">
        <w:rPr>
          <w:rFonts w:ascii="Times New Roman" w:hAnsi="Times New Roman"/>
          <w:sz w:val="24"/>
          <w:szCs w:val="24"/>
        </w:rPr>
        <w:t xml:space="preserve">taw jako zabezpieczenie kredytu; b) lub dłużne papiery </w:t>
      </w:r>
      <w:r w:rsidRPr="00342D7E">
        <w:rPr>
          <w:rFonts w:ascii="Times New Roman" w:hAnsi="Times New Roman"/>
          <w:sz w:val="24"/>
          <w:szCs w:val="24"/>
        </w:rPr>
        <w:lastRenderedPageBreak/>
        <w:t>wartościowe wyemitowane przez instytucję sprawozdającą, oddane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zas</w:t>
      </w:r>
      <w:r w:rsidRPr="00342D7E">
        <w:rPr>
          <w:rFonts w:ascii="Times New Roman" w:hAnsi="Times New Roman"/>
          <w:sz w:val="24"/>
          <w:szCs w:val="24"/>
        </w:rPr>
        <w:t>taw jako zabezpieczenie kredytu;</w:t>
      </w:r>
    </w:p>
    <w:p w:rsidR="00D35B0C" w:rsidRPr="00342D7E" w:rsidRDefault="00A54B83" w:rsidP="00056B6F">
      <w:pPr>
        <w:numPr>
          <w:ilvl w:val="1"/>
          <w:numId w:val="18"/>
        </w:numPr>
        <w:spacing w:before="120" w:after="120"/>
        <w:ind w:left="1559" w:hanging="425"/>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„Ruchomości” obejmuje zastawy zabezpieczeń rzeczowych innych niż nieruchomości oraz obejmuje samochody, samoloty, statki, wyposażenie przemysłowe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mec</w:t>
      </w:r>
      <w:r w:rsidRPr="00342D7E">
        <w:rPr>
          <w:rFonts w:ascii="Times New Roman" w:hAnsi="Times New Roman"/>
          <w:sz w:val="24"/>
          <w:szCs w:val="24"/>
        </w:rPr>
        <w:t>haniczne (maszyny, wyposażenie mechaniczne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tec</w:t>
      </w:r>
      <w:r w:rsidRPr="00342D7E">
        <w:rPr>
          <w:rFonts w:ascii="Times New Roman" w:hAnsi="Times New Roman"/>
          <w:sz w:val="24"/>
          <w:szCs w:val="24"/>
        </w:rPr>
        <w:t>hniczne), zapasy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dukty podstawowe (towary, wyroby gotowe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pół</w:t>
      </w:r>
      <w:r w:rsidRPr="00342D7E">
        <w:rPr>
          <w:rFonts w:ascii="Times New Roman" w:hAnsi="Times New Roman"/>
          <w:sz w:val="24"/>
          <w:szCs w:val="24"/>
        </w:rPr>
        <w:t>produkty, surowce) oraz inne rodzaje majątku ruchomego;</w:t>
      </w:r>
    </w:p>
    <w:p w:rsidR="00D35B0C" w:rsidRPr="00342D7E" w:rsidRDefault="00A54B83" w:rsidP="00056B6F">
      <w:pPr>
        <w:numPr>
          <w:ilvl w:val="1"/>
          <w:numId w:val="18"/>
        </w:numPr>
        <w:spacing w:before="120" w:after="120"/>
        <w:ind w:left="1559" w:hanging="425"/>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„Akcje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dłu</w:t>
      </w:r>
      <w:r w:rsidRPr="00342D7E">
        <w:rPr>
          <w:rFonts w:ascii="Times New Roman" w:hAnsi="Times New Roman"/>
          <w:sz w:val="24"/>
          <w:szCs w:val="24"/>
        </w:rPr>
        <w:t>żne papiery wartościowe” obejmuje zabezpieczenia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for</w:t>
      </w:r>
      <w:r w:rsidRPr="00342D7E">
        <w:rPr>
          <w:rFonts w:ascii="Times New Roman" w:hAnsi="Times New Roman"/>
          <w:sz w:val="24"/>
          <w:szCs w:val="24"/>
        </w:rPr>
        <w:t>mie instrumentów kapitałowych,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tym</w:t>
      </w:r>
      <w:r w:rsidRPr="00342D7E">
        <w:rPr>
          <w:rFonts w:ascii="Times New Roman" w:hAnsi="Times New Roman"/>
          <w:sz w:val="24"/>
          <w:szCs w:val="24"/>
        </w:rPr>
        <w:t xml:space="preserve"> inwestycje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jed</w:t>
      </w:r>
      <w:r w:rsidRPr="00342D7E">
        <w:rPr>
          <w:rFonts w:ascii="Times New Roman" w:hAnsi="Times New Roman"/>
          <w:sz w:val="24"/>
          <w:szCs w:val="24"/>
        </w:rPr>
        <w:t>nostkach zależnych, we wspólnych przedsięwzięciach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w:t>
      </w:r>
      <w:r w:rsidR="00342D7E">
        <w:rPr>
          <w:rFonts w:ascii="Times New Roman" w:hAnsi="Times New Roman"/>
          <w:sz w:val="24"/>
          <w:szCs w:val="24"/>
        </w:rPr>
        <w:t> </w:t>
      </w:r>
      <w:r w:rsidR="00342D7E" w:rsidRPr="00342D7E">
        <w:rPr>
          <w:rFonts w:ascii="Times New Roman" w:hAnsi="Times New Roman"/>
          <w:sz w:val="24"/>
          <w:szCs w:val="24"/>
        </w:rPr>
        <w:t>jed</w:t>
      </w:r>
      <w:r w:rsidRPr="00342D7E">
        <w:rPr>
          <w:rFonts w:ascii="Times New Roman" w:hAnsi="Times New Roman"/>
          <w:sz w:val="24"/>
          <w:szCs w:val="24"/>
        </w:rPr>
        <w:t>nostkach stowarzyszonych,</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tak</w:t>
      </w:r>
      <w:r w:rsidRPr="00342D7E">
        <w:rPr>
          <w:rFonts w:ascii="Times New Roman" w:hAnsi="Times New Roman"/>
          <w:sz w:val="24"/>
          <w:szCs w:val="24"/>
        </w:rPr>
        <w:t>że zabezpieczenia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for</w:t>
      </w:r>
      <w:r w:rsidRPr="00342D7E">
        <w:rPr>
          <w:rFonts w:ascii="Times New Roman" w:hAnsi="Times New Roman"/>
          <w:sz w:val="24"/>
          <w:szCs w:val="24"/>
        </w:rPr>
        <w:t>mie dłużnych papierów wartościowych wyemitowanych przez strony trzecie;</w:t>
      </w:r>
    </w:p>
    <w:p w:rsidR="00D35B0C" w:rsidRPr="00342D7E" w:rsidRDefault="00A834F1" w:rsidP="00056B6F">
      <w:pPr>
        <w:numPr>
          <w:ilvl w:val="1"/>
          <w:numId w:val="18"/>
        </w:numPr>
        <w:spacing w:before="120" w:after="120"/>
        <w:ind w:left="1559" w:hanging="425"/>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„Pozostałe” obejmuje zastawy na aktywach;</w:t>
      </w:r>
    </w:p>
    <w:p w:rsidR="00D35B0C" w:rsidRPr="00342D7E" w:rsidRDefault="00A834F1" w:rsidP="00056B6F">
      <w:pPr>
        <w:pStyle w:val="Text1"/>
        <w:numPr>
          <w:ilvl w:val="0"/>
          <w:numId w:val="54"/>
        </w:numPr>
        <w:ind w:left="1134"/>
      </w:pPr>
      <w:proofErr w:type="gramStart"/>
      <w:r w:rsidRPr="00342D7E">
        <w:t>pozycja</w:t>
      </w:r>
      <w:proofErr w:type="gramEnd"/>
      <w:r w:rsidRPr="00342D7E">
        <w:t xml:space="preserve"> „Otrzymane gwarancje finansowe” obejmuje umowy, które zgodnie</w:t>
      </w:r>
      <w:r w:rsidR="00342D7E" w:rsidRPr="00342D7E">
        <w:t xml:space="preserve"> z</w:t>
      </w:r>
      <w:r w:rsidR="00342D7E">
        <w:t> </w:t>
      </w:r>
      <w:r w:rsidR="00342D7E" w:rsidRPr="00342D7E">
        <w:t>pkt </w:t>
      </w:r>
      <w:r w:rsidRPr="00342D7E">
        <w:t>114 niniejszej części</w:t>
      </w:r>
      <w:r w:rsidR="00342D7E" w:rsidRPr="00342D7E">
        <w:t xml:space="preserve"> w</w:t>
      </w:r>
      <w:r w:rsidR="00342D7E">
        <w:t> </w:t>
      </w:r>
      <w:r w:rsidR="00342D7E" w:rsidRPr="00342D7E">
        <w:t>nin</w:t>
      </w:r>
      <w:r w:rsidRPr="00342D7E">
        <w:t>iejszym załączniku zobowiązują wystawcę do dokonania określonych płatności</w:t>
      </w:r>
      <w:r w:rsidR="00342D7E" w:rsidRPr="00342D7E">
        <w:t xml:space="preserve"> w</w:t>
      </w:r>
      <w:r w:rsidR="00342D7E">
        <w:t> </w:t>
      </w:r>
      <w:r w:rsidR="00342D7E" w:rsidRPr="00342D7E">
        <w:t>cel</w:t>
      </w:r>
      <w:r w:rsidRPr="00342D7E">
        <w:t>u zrekompensowania instytucji ponoszonej straty</w:t>
      </w:r>
      <w:r w:rsidR="00342D7E" w:rsidRPr="00342D7E">
        <w:t xml:space="preserve"> z</w:t>
      </w:r>
      <w:r w:rsidR="00342D7E">
        <w:t> </w:t>
      </w:r>
      <w:r w:rsidR="00342D7E" w:rsidRPr="00342D7E">
        <w:t>pow</w:t>
      </w:r>
      <w:r w:rsidRPr="00342D7E">
        <w:t>odu niedokonania przez określonego dłużnika płatności</w:t>
      </w:r>
      <w:r w:rsidR="00342D7E" w:rsidRPr="00342D7E">
        <w:t xml:space="preserve"> w</w:t>
      </w:r>
      <w:r w:rsidR="00342D7E">
        <w:t> </w:t>
      </w:r>
      <w:r w:rsidR="00342D7E" w:rsidRPr="00342D7E">
        <w:t>ter</w:t>
      </w:r>
      <w:r w:rsidRPr="00342D7E">
        <w:t>minie zgodnie</w:t>
      </w:r>
      <w:r w:rsidR="00342D7E" w:rsidRPr="00342D7E">
        <w:t xml:space="preserve"> z</w:t>
      </w:r>
      <w:r w:rsidR="00342D7E">
        <w:t> </w:t>
      </w:r>
      <w:r w:rsidR="00342D7E" w:rsidRPr="00342D7E">
        <w:t>pie</w:t>
      </w:r>
      <w:r w:rsidRPr="00342D7E">
        <w:t>rwotnymi lub zmienionymi warunkami instrumentu dłużnego.</w:t>
      </w:r>
    </w:p>
    <w:p w:rsidR="00D35B0C" w:rsidRPr="00342D7E" w:rsidRDefault="00A834F1">
      <w:pPr>
        <w:pStyle w:val="Baseparagraphnumbered"/>
      </w:pPr>
      <w:r w:rsidRPr="00342D7E">
        <w:t>W przypadku kredytów</w:t>
      </w:r>
      <w:r w:rsidR="00342D7E" w:rsidRPr="00342D7E">
        <w:t xml:space="preserve"> i</w:t>
      </w:r>
      <w:r w:rsidR="00342D7E">
        <w:t> </w:t>
      </w:r>
      <w:r w:rsidR="00342D7E" w:rsidRPr="00342D7E">
        <w:t>zal</w:t>
      </w:r>
      <w:r w:rsidRPr="00342D7E">
        <w:t>iczek zabezpieczonych jednocześnie kilkoma rodzajami zabezpieczenia lub gwarancji kwotę „Maksymalnego uznawalnego zabezpieczenia/gwarancji” przypisuje się zgodnie</w:t>
      </w:r>
      <w:r w:rsidR="00342D7E" w:rsidRPr="00342D7E">
        <w:t xml:space="preserve"> z</w:t>
      </w:r>
      <w:r w:rsidR="00342D7E">
        <w:t> </w:t>
      </w:r>
      <w:r w:rsidR="00342D7E" w:rsidRPr="00342D7E">
        <w:t>jak</w:t>
      </w:r>
      <w:r w:rsidRPr="00342D7E">
        <w:t>ością takiego zabezpieczenia lub gwarancji, począwszy od tych</w:t>
      </w:r>
      <w:r w:rsidR="00342D7E" w:rsidRPr="00342D7E">
        <w:t xml:space="preserve"> o</w:t>
      </w:r>
      <w:r w:rsidR="00342D7E">
        <w:t> </w:t>
      </w:r>
      <w:r w:rsidR="00342D7E" w:rsidRPr="00342D7E">
        <w:t>naj</w:t>
      </w:r>
      <w:r w:rsidRPr="00342D7E">
        <w:t>wyższej jakości</w:t>
      </w:r>
      <w:r w:rsidR="00342D7E" w:rsidRPr="00342D7E">
        <w:t>. W</w:t>
      </w:r>
      <w:r w:rsidR="00342D7E">
        <w:t> </w:t>
      </w:r>
      <w:r w:rsidR="00342D7E" w:rsidRPr="00342D7E">
        <w:t>odn</w:t>
      </w:r>
      <w:r w:rsidRPr="00342D7E">
        <w:t>iesieniu do kredytów zabezpieczonych nieruchomościami zabezpieczenie</w:t>
      </w:r>
      <w:r w:rsidR="00342D7E" w:rsidRPr="00342D7E">
        <w:t xml:space="preserve"> w</w:t>
      </w:r>
      <w:r w:rsidR="00342D7E">
        <w:t> </w:t>
      </w:r>
      <w:r w:rsidR="00342D7E" w:rsidRPr="00342D7E">
        <w:t>for</w:t>
      </w:r>
      <w:r w:rsidRPr="00342D7E">
        <w:t>mie nieruchomości zawsze zgłasza się</w:t>
      </w:r>
      <w:r w:rsidR="00342D7E" w:rsidRPr="00342D7E">
        <w:t xml:space="preserve"> w</w:t>
      </w:r>
      <w:r w:rsidR="00342D7E">
        <w:t> </w:t>
      </w:r>
      <w:r w:rsidR="00342D7E" w:rsidRPr="00342D7E">
        <w:t>pie</w:t>
      </w:r>
      <w:r w:rsidRPr="00342D7E">
        <w:t>rwszej kolejności niezależnie od jego jakości</w:t>
      </w:r>
      <w:r w:rsidR="00342D7E" w:rsidRPr="00342D7E">
        <w:t xml:space="preserve"> w</w:t>
      </w:r>
      <w:r w:rsidR="00342D7E">
        <w:t> </w:t>
      </w:r>
      <w:r w:rsidR="00342D7E" w:rsidRPr="00342D7E">
        <w:t>por</w:t>
      </w:r>
      <w:r w:rsidRPr="00342D7E">
        <w:t>ównaniu</w:t>
      </w:r>
      <w:r w:rsidR="00342D7E" w:rsidRPr="00342D7E">
        <w:t xml:space="preserve"> z</w:t>
      </w:r>
      <w:r w:rsidR="00342D7E">
        <w:t> </w:t>
      </w:r>
      <w:r w:rsidR="00342D7E" w:rsidRPr="00342D7E">
        <w:t>inn</w:t>
      </w:r>
      <w:r w:rsidRPr="00342D7E">
        <w:t>ymi zabezpieczeniami</w:t>
      </w:r>
      <w:r w:rsidR="00342D7E" w:rsidRPr="00342D7E">
        <w:t>. W</w:t>
      </w:r>
      <w:r w:rsidR="00342D7E">
        <w:t> </w:t>
      </w:r>
      <w:r w:rsidR="00342D7E" w:rsidRPr="00342D7E">
        <w:t>prz</w:t>
      </w:r>
      <w:r w:rsidRPr="00342D7E">
        <w:t>ypadku gdy kwota</w:t>
      </w:r>
      <w:r w:rsidR="00342D7E" w:rsidRPr="00342D7E">
        <w:t xml:space="preserve"> z</w:t>
      </w:r>
      <w:r w:rsidR="00342D7E">
        <w:t> </w:t>
      </w:r>
      <w:r w:rsidR="00342D7E" w:rsidRPr="00342D7E">
        <w:t>poz</w:t>
      </w:r>
      <w:r w:rsidRPr="00342D7E">
        <w:t>ycji „Maksymalne uznawalne zabezpieczenie/gwarancja” przekracza wartość zabezpieczenia</w:t>
      </w:r>
      <w:r w:rsidR="00342D7E" w:rsidRPr="00342D7E">
        <w:t xml:space="preserve"> w</w:t>
      </w:r>
      <w:r w:rsidR="00342D7E">
        <w:t> </w:t>
      </w:r>
      <w:r w:rsidR="00342D7E" w:rsidRPr="00342D7E">
        <w:t>for</w:t>
      </w:r>
      <w:r w:rsidRPr="00342D7E">
        <w:t>mie nieruchomości, nadwyżkę tej kwoty przypisuje się do innych rodzajów zabezpieczeń</w:t>
      </w:r>
      <w:r w:rsidR="00342D7E" w:rsidRPr="00342D7E">
        <w:t xml:space="preserve"> i</w:t>
      </w:r>
      <w:r w:rsidR="00342D7E">
        <w:t> </w:t>
      </w:r>
      <w:r w:rsidR="00342D7E" w:rsidRPr="00342D7E">
        <w:t>gwa</w:t>
      </w:r>
      <w:r w:rsidRPr="00342D7E">
        <w:t xml:space="preserve">rancji według ich jakości, począwszy od tych najwyższej jakości. </w:t>
      </w:r>
    </w:p>
    <w:p w:rsidR="00D35B0C" w:rsidRPr="00342D7E" w:rsidRDefault="00A834F1">
      <w:pPr>
        <w:pStyle w:val="sub-subtitlenumbered"/>
        <w:jc w:val="both"/>
      </w:pPr>
      <w:bookmarkStart w:id="39" w:name="_Toc31019141"/>
      <w:r w:rsidRPr="00342D7E">
        <w:t>Zabezpieczenie uzyskane poprzez wejście</w:t>
      </w:r>
      <w:r w:rsidR="00342D7E" w:rsidRPr="00342D7E">
        <w:t xml:space="preserve"> w</w:t>
      </w:r>
      <w:r w:rsidR="00342D7E">
        <w:t> </w:t>
      </w:r>
      <w:r w:rsidR="00342D7E" w:rsidRPr="00342D7E">
        <w:t>pos</w:t>
      </w:r>
      <w:r w:rsidRPr="00342D7E">
        <w:t>iadanie</w:t>
      </w:r>
      <w:r w:rsidR="00342D7E" w:rsidRPr="00342D7E">
        <w:t xml:space="preserve"> w</w:t>
      </w:r>
      <w:r w:rsidR="00342D7E">
        <w:t> </w:t>
      </w:r>
      <w:r w:rsidR="00342D7E" w:rsidRPr="00342D7E">
        <w:t>dan</w:t>
      </w:r>
      <w:r w:rsidRPr="00342D7E">
        <w:t>ym okresie (będące</w:t>
      </w:r>
      <w:r w:rsidR="00342D7E" w:rsidRPr="00342D7E">
        <w:t xml:space="preserve"> w</w:t>
      </w:r>
      <w:r w:rsidR="00342D7E">
        <w:t> </w:t>
      </w:r>
      <w:r w:rsidR="00342D7E" w:rsidRPr="00342D7E">
        <w:t>pos</w:t>
      </w:r>
      <w:r w:rsidRPr="00342D7E">
        <w:t>iadaniu na dzień sprawozdawczy) (13.2.1)</w:t>
      </w:r>
      <w:bookmarkEnd w:id="39"/>
    </w:p>
    <w:p w:rsidR="00D35B0C" w:rsidRPr="00342D7E" w:rsidRDefault="00A834F1">
      <w:pPr>
        <w:pStyle w:val="Baseparagraphnumbered"/>
        <w:tabs>
          <w:tab w:val="left" w:pos="851"/>
        </w:tabs>
        <w:ind w:left="709"/>
      </w:pPr>
      <w:r w:rsidRPr="00342D7E">
        <w:t>Przedmiotowy wzór stosuje się do zgłaszania informacji na temat zabezpieczenia, które uzyskano pomiędzy początkiem</w:t>
      </w:r>
      <w:r w:rsidR="00342D7E" w:rsidRPr="00342D7E">
        <w:t xml:space="preserve"> i</w:t>
      </w:r>
      <w:r w:rsidR="00342D7E">
        <w:t> </w:t>
      </w:r>
      <w:r w:rsidR="00342D7E" w:rsidRPr="00342D7E">
        <w:t>koń</w:t>
      </w:r>
      <w:r w:rsidRPr="00342D7E">
        <w:t>cem danego okresu odniesienia,</w:t>
      </w:r>
      <w:r w:rsidR="00342D7E" w:rsidRPr="00342D7E">
        <w:t xml:space="preserve"> i</w:t>
      </w:r>
      <w:r w:rsidR="00342D7E">
        <w:t> </w:t>
      </w:r>
      <w:r w:rsidR="00342D7E" w:rsidRPr="00342D7E">
        <w:t>któ</w:t>
      </w:r>
      <w:r w:rsidRPr="00342D7E">
        <w:t>re pozostaje ujęte</w:t>
      </w:r>
      <w:r w:rsidR="00342D7E" w:rsidRPr="00342D7E">
        <w:t xml:space="preserve"> w</w:t>
      </w:r>
      <w:r w:rsidR="00342D7E">
        <w:t> </w:t>
      </w:r>
      <w:r w:rsidR="00342D7E" w:rsidRPr="00342D7E">
        <w:t>bil</w:t>
      </w:r>
      <w:r w:rsidRPr="00342D7E">
        <w:t>ansie</w:t>
      </w:r>
      <w:r w:rsidR="00342D7E" w:rsidRPr="00342D7E">
        <w:t xml:space="preserve"> w</w:t>
      </w:r>
      <w:r w:rsidR="00342D7E">
        <w:t> </w:t>
      </w:r>
      <w:r w:rsidR="00342D7E" w:rsidRPr="00342D7E">
        <w:t>spr</w:t>
      </w:r>
      <w:r w:rsidRPr="00342D7E">
        <w:t>awozdawczym dniu odniesienia. Zabezpieczenie uzyskane poprzez wejście</w:t>
      </w:r>
      <w:r w:rsidR="00342D7E" w:rsidRPr="00342D7E">
        <w:t xml:space="preserve"> w</w:t>
      </w:r>
      <w:r w:rsidR="00342D7E">
        <w:t> </w:t>
      </w:r>
      <w:r w:rsidR="00342D7E" w:rsidRPr="00342D7E">
        <w:t>pos</w:t>
      </w:r>
      <w:r w:rsidRPr="00342D7E">
        <w:t>iadanie obejmuje aktywa, których dłużnik nie oddał</w:t>
      </w:r>
      <w:r w:rsidR="00342D7E" w:rsidRPr="00342D7E">
        <w:t xml:space="preserve"> w</w:t>
      </w:r>
      <w:r w:rsidR="00342D7E">
        <w:t> </w:t>
      </w:r>
      <w:r w:rsidR="00342D7E" w:rsidRPr="00342D7E">
        <w:t>zas</w:t>
      </w:r>
      <w:r w:rsidRPr="00342D7E">
        <w:t>taw jako zabezpieczenie, lecz które uzyskano</w:t>
      </w:r>
      <w:r w:rsidR="00342D7E" w:rsidRPr="00342D7E">
        <w:t xml:space="preserve"> w</w:t>
      </w:r>
      <w:r w:rsidR="00342D7E">
        <w:t> </w:t>
      </w:r>
      <w:r w:rsidR="00342D7E" w:rsidRPr="00342D7E">
        <w:t>zam</w:t>
      </w:r>
      <w:r w:rsidRPr="00342D7E">
        <w:t>ian za umorzenie długu, czy to na zasadzie dobrowolności, czy też</w:t>
      </w:r>
      <w:r w:rsidR="00342D7E" w:rsidRPr="00342D7E">
        <w:t xml:space="preserve"> w</w:t>
      </w:r>
      <w:r w:rsidR="00342D7E">
        <w:t> </w:t>
      </w:r>
      <w:r w:rsidR="00342D7E" w:rsidRPr="00342D7E">
        <w:t>ram</w:t>
      </w:r>
      <w:r w:rsidRPr="00342D7E">
        <w:t>ach postępowania sądowego. Rodzajami zabezpieczeń są zabezpieczenia,</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pkt </w:t>
      </w:r>
      <w:r w:rsidRPr="00342D7E">
        <w:t>173,</w:t>
      </w:r>
      <w:r w:rsidR="00342D7E" w:rsidRPr="00342D7E">
        <w:t xml:space="preserve"> z</w:t>
      </w:r>
      <w:r w:rsidR="00342D7E">
        <w:t> </w:t>
      </w:r>
      <w:r w:rsidR="00342D7E" w:rsidRPr="00342D7E">
        <w:t>wyj</w:t>
      </w:r>
      <w:r w:rsidRPr="00342D7E">
        <w:t>ątkiem zabezpieczeń,</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lit</w:t>
      </w:r>
      <w:r w:rsidRPr="00342D7E">
        <w:t>.</w:t>
      </w:r>
      <w:r w:rsidR="00342D7E" w:rsidRPr="00342D7E">
        <w:t> </w:t>
      </w:r>
      <w:r w:rsidRPr="00342D7E">
        <w:t>b) ppkt (i) wspomnianego punktu.</w:t>
      </w:r>
    </w:p>
    <w:p w:rsidR="00D35B0C" w:rsidRPr="00342D7E" w:rsidRDefault="00A54B83">
      <w:pPr>
        <w:pStyle w:val="Baseparagraphnumbered"/>
        <w:numPr>
          <w:ilvl w:val="0"/>
          <w:numId w:val="0"/>
        </w:numPr>
        <w:tabs>
          <w:tab w:val="left" w:pos="851"/>
        </w:tabs>
        <w:ind w:left="786" w:hanging="360"/>
      </w:pPr>
      <w:r w:rsidRPr="00342D7E">
        <w:lastRenderedPageBreak/>
        <w:t>175i.</w:t>
      </w:r>
      <w:r w:rsidRPr="00342D7E">
        <w:tab/>
        <w:t>Pozycja „Wartość</w:t>
      </w:r>
      <w:r w:rsidR="00342D7E" w:rsidRPr="00342D7E">
        <w:t xml:space="preserve"> w</w:t>
      </w:r>
      <w:r w:rsidR="00342D7E">
        <w:t> </w:t>
      </w:r>
      <w:r w:rsidR="00342D7E" w:rsidRPr="00342D7E">
        <w:t>mom</w:t>
      </w:r>
      <w:r w:rsidRPr="00342D7E">
        <w:t>encie początkowego ujęcia” oznacza wartość bilansową brutto zabezpieczenia uzyskanego poprzez wejście</w:t>
      </w:r>
      <w:r w:rsidR="00342D7E" w:rsidRPr="00342D7E">
        <w:t xml:space="preserve"> w</w:t>
      </w:r>
      <w:r w:rsidR="00342D7E">
        <w:t> </w:t>
      </w:r>
      <w:r w:rsidR="00342D7E" w:rsidRPr="00342D7E">
        <w:t>pos</w:t>
      </w:r>
      <w:r w:rsidRPr="00342D7E">
        <w:t>iadanie</w:t>
      </w:r>
      <w:r w:rsidR="00342D7E" w:rsidRPr="00342D7E">
        <w:t xml:space="preserve"> w</w:t>
      </w:r>
      <w:r w:rsidR="00342D7E">
        <w:t> </w:t>
      </w:r>
      <w:r w:rsidR="00342D7E" w:rsidRPr="00342D7E">
        <w:t>mom</w:t>
      </w:r>
      <w:r w:rsidRPr="00342D7E">
        <w:t>encie początkowego ujęcia</w:t>
      </w:r>
      <w:r w:rsidR="00342D7E" w:rsidRPr="00342D7E">
        <w:t xml:space="preserve"> w</w:t>
      </w:r>
      <w:r w:rsidR="00342D7E">
        <w:t> </w:t>
      </w:r>
      <w:r w:rsidR="00342D7E" w:rsidRPr="00342D7E">
        <w:t>bil</w:t>
      </w:r>
      <w:r w:rsidRPr="00342D7E">
        <w:t>ansie instytucji sprawozdającej.</w:t>
      </w:r>
    </w:p>
    <w:p w:rsidR="00D35B0C" w:rsidRPr="00342D7E" w:rsidRDefault="00A54B83">
      <w:pPr>
        <w:pStyle w:val="Baseparagraphnumbered"/>
        <w:numPr>
          <w:ilvl w:val="0"/>
          <w:numId w:val="0"/>
        </w:numPr>
        <w:tabs>
          <w:tab w:val="left" w:pos="851"/>
        </w:tabs>
        <w:ind w:left="786" w:hanging="360"/>
      </w:pPr>
      <w:r w:rsidRPr="00342D7E">
        <w:t>175ii.</w:t>
      </w:r>
      <w:r w:rsidRPr="00342D7E">
        <w:tab/>
        <w:t>Pozycja „Skumulowane ujemne zmiany” oznacza różnicę, na poziomie poszczególnych zabezpieczeń, między wartością</w:t>
      </w:r>
      <w:r w:rsidR="00342D7E" w:rsidRPr="00342D7E">
        <w:t xml:space="preserve"> w</w:t>
      </w:r>
      <w:r w:rsidR="00342D7E">
        <w:t> </w:t>
      </w:r>
      <w:r w:rsidR="00342D7E" w:rsidRPr="00342D7E">
        <w:t>mom</w:t>
      </w:r>
      <w:r w:rsidRPr="00342D7E">
        <w:t>encie początkowego ujęcia zabezpieczenia</w:t>
      </w:r>
      <w:r w:rsidR="00342D7E" w:rsidRPr="00342D7E">
        <w:t xml:space="preserve"> a</w:t>
      </w:r>
      <w:r w:rsidR="00342D7E">
        <w:t> </w:t>
      </w:r>
      <w:r w:rsidR="00342D7E" w:rsidRPr="00342D7E">
        <w:t>war</w:t>
      </w:r>
      <w:r w:rsidRPr="00342D7E">
        <w:t>tością bilansową</w:t>
      </w:r>
      <w:r w:rsidR="00342D7E" w:rsidRPr="00342D7E">
        <w:t xml:space="preserve"> w</w:t>
      </w:r>
      <w:r w:rsidR="00342D7E">
        <w:t> </w:t>
      </w:r>
      <w:r w:rsidR="00342D7E" w:rsidRPr="00342D7E">
        <w:t>spr</w:t>
      </w:r>
      <w:r w:rsidRPr="00342D7E">
        <w:t>awozdawczym dniu odniesienia, jeżeli ta różnica jest ujemna.</w:t>
      </w:r>
    </w:p>
    <w:p w:rsidR="00D35B0C" w:rsidRPr="00342D7E" w:rsidRDefault="00A834F1">
      <w:pPr>
        <w:pStyle w:val="sub-subtitlenumbered"/>
        <w:jc w:val="both"/>
      </w:pPr>
      <w:bookmarkStart w:id="40" w:name="_Toc31019142"/>
      <w:r w:rsidRPr="00342D7E">
        <w:t>Skumulowane zabezpieczenie uzyskane poprzez wejście</w:t>
      </w:r>
      <w:r w:rsidR="00342D7E" w:rsidRPr="00342D7E">
        <w:t xml:space="preserve"> w</w:t>
      </w:r>
      <w:r w:rsidR="00342D7E">
        <w:t> </w:t>
      </w:r>
      <w:r w:rsidR="00342D7E" w:rsidRPr="00342D7E">
        <w:t>pos</w:t>
      </w:r>
      <w:r w:rsidRPr="00342D7E">
        <w:t>iadanie (13.3.1)</w:t>
      </w:r>
      <w:bookmarkEnd w:id="40"/>
    </w:p>
    <w:p w:rsidR="00D35B0C" w:rsidRPr="00342D7E" w:rsidRDefault="00A54B83">
      <w:pPr>
        <w:pStyle w:val="Baseparagraphnumbered"/>
        <w:tabs>
          <w:tab w:val="left" w:pos="851"/>
        </w:tabs>
        <w:ind w:left="709"/>
      </w:pPr>
      <w:r w:rsidRPr="00342D7E">
        <w:t>Zabezpieczenie uzyskane poprzez wejście</w:t>
      </w:r>
      <w:r w:rsidR="00342D7E" w:rsidRPr="00342D7E">
        <w:t xml:space="preserve"> w</w:t>
      </w:r>
      <w:r w:rsidR="00342D7E">
        <w:t> </w:t>
      </w:r>
      <w:r w:rsidR="00342D7E" w:rsidRPr="00342D7E">
        <w:t>pos</w:t>
      </w:r>
      <w:r w:rsidRPr="00342D7E">
        <w:t>iadanie, które pozostaje ujęte</w:t>
      </w:r>
      <w:r w:rsidR="00342D7E" w:rsidRPr="00342D7E">
        <w:t xml:space="preserve"> w</w:t>
      </w:r>
      <w:r w:rsidR="00342D7E">
        <w:t> </w:t>
      </w:r>
      <w:r w:rsidR="00342D7E" w:rsidRPr="00342D7E">
        <w:t>bil</w:t>
      </w:r>
      <w:r w:rsidRPr="00342D7E">
        <w:t>ansie</w:t>
      </w:r>
      <w:r w:rsidR="00342D7E" w:rsidRPr="00342D7E">
        <w:t xml:space="preserve"> w</w:t>
      </w:r>
      <w:r w:rsidR="00342D7E">
        <w:t> </w:t>
      </w:r>
      <w:r w:rsidR="00342D7E" w:rsidRPr="00342D7E">
        <w:t>spr</w:t>
      </w:r>
      <w:r w:rsidRPr="00342D7E">
        <w:t>awozdawczym dniu odniesienia, niezależnie od czasu,</w:t>
      </w:r>
      <w:r w:rsidR="00342D7E" w:rsidRPr="00342D7E">
        <w:t xml:space="preserve"> w</w:t>
      </w:r>
      <w:r w:rsidR="00342D7E">
        <w:t> </w:t>
      </w:r>
      <w:r w:rsidR="00342D7E" w:rsidRPr="00342D7E">
        <w:t>któ</w:t>
      </w:r>
      <w:r w:rsidRPr="00342D7E">
        <w:t>rym zostało ono uzyskane, zgłasza się we wzorze 13.3.1. Uwzględnia się zarówno zabezpieczenia uzyskane poprzez wejście</w:t>
      </w:r>
      <w:r w:rsidR="00342D7E" w:rsidRPr="00342D7E">
        <w:t xml:space="preserve"> w</w:t>
      </w:r>
      <w:r w:rsidR="00342D7E">
        <w:t> </w:t>
      </w:r>
      <w:r w:rsidR="00342D7E" w:rsidRPr="00342D7E">
        <w:t>pos</w:t>
      </w:r>
      <w:r w:rsidRPr="00342D7E">
        <w:t>iadanie, sklasyfikowane jako „rzeczowe aktywa trwałe” oraz inne zabezpieczenia uzyskane poprzez wejście</w:t>
      </w:r>
      <w:r w:rsidR="00342D7E" w:rsidRPr="00342D7E">
        <w:t xml:space="preserve"> w</w:t>
      </w:r>
      <w:r w:rsidR="00342D7E">
        <w:t> </w:t>
      </w:r>
      <w:r w:rsidR="00342D7E" w:rsidRPr="00342D7E">
        <w:t>pos</w:t>
      </w:r>
      <w:r w:rsidRPr="00342D7E">
        <w:t>iadanie. Zabezpieczenie uzyskane poprzez wejście</w:t>
      </w:r>
      <w:r w:rsidR="00342D7E" w:rsidRPr="00342D7E">
        <w:t xml:space="preserve"> w</w:t>
      </w:r>
      <w:r w:rsidR="00342D7E">
        <w:t> </w:t>
      </w:r>
      <w:r w:rsidR="00342D7E" w:rsidRPr="00342D7E">
        <w:t>pos</w:t>
      </w:r>
      <w:r w:rsidRPr="00342D7E">
        <w:t>iadanie obejmuje aktywa, których dłużnik nie oddał</w:t>
      </w:r>
      <w:r w:rsidR="00342D7E" w:rsidRPr="00342D7E">
        <w:t xml:space="preserve"> w</w:t>
      </w:r>
      <w:r w:rsidR="00342D7E">
        <w:t> </w:t>
      </w:r>
      <w:r w:rsidR="00342D7E" w:rsidRPr="00342D7E">
        <w:t>zas</w:t>
      </w:r>
      <w:r w:rsidRPr="00342D7E">
        <w:t>taw jako zabezpieczenie, lecz które uzyskano</w:t>
      </w:r>
      <w:r w:rsidR="00342D7E" w:rsidRPr="00342D7E">
        <w:t xml:space="preserve"> w</w:t>
      </w:r>
      <w:r w:rsidR="00342D7E">
        <w:t> </w:t>
      </w:r>
      <w:r w:rsidR="00342D7E" w:rsidRPr="00342D7E">
        <w:t>zam</w:t>
      </w:r>
      <w:r w:rsidRPr="00342D7E">
        <w:t>ian za umorzenie długu, czy to na zasadzie dobrowolności, czy też</w:t>
      </w:r>
      <w:r w:rsidR="00342D7E" w:rsidRPr="00342D7E">
        <w:t xml:space="preserve"> w</w:t>
      </w:r>
      <w:r w:rsidR="00342D7E">
        <w:t> </w:t>
      </w:r>
      <w:r w:rsidR="00342D7E" w:rsidRPr="00342D7E">
        <w:t>ram</w:t>
      </w:r>
      <w:r w:rsidRPr="00342D7E">
        <w:t>ach postępowania sądowego.</w:t>
      </w:r>
    </w:p>
    <w:p w:rsidR="00D35B0C" w:rsidRPr="00342D7E" w:rsidRDefault="00A834F1" w:rsidP="00056B6F">
      <w:pPr>
        <w:pStyle w:val="subtitlenumbered"/>
        <w:keepNext/>
        <w:numPr>
          <w:ilvl w:val="0"/>
          <w:numId w:val="11"/>
        </w:numPr>
        <w:ind w:left="357" w:hanging="357"/>
        <w:jc w:val="both"/>
        <w:rPr>
          <w:kern w:val="32"/>
        </w:rPr>
      </w:pPr>
      <w:bookmarkStart w:id="41" w:name="_Toc31019143"/>
      <w:r w:rsidRPr="00342D7E">
        <w:t>Hierarchia wartości godziwej: Instrumenty finansowe według wartości godziwej (14)</w:t>
      </w:r>
      <w:bookmarkEnd w:id="41"/>
    </w:p>
    <w:p w:rsidR="00D35B0C" w:rsidRPr="00342D7E" w:rsidRDefault="00A834F1">
      <w:pPr>
        <w:pStyle w:val="Baseparagraphnumbered"/>
        <w:tabs>
          <w:tab w:val="left" w:pos="851"/>
        </w:tabs>
        <w:ind w:left="709"/>
      </w:pPr>
      <w:r w:rsidRPr="00342D7E">
        <w:t>Instytucje zgłaszają wartość instrumentów finansowych wycenianych według wartości godziwej zgodnie</w:t>
      </w:r>
      <w:r w:rsidR="00342D7E" w:rsidRPr="00342D7E">
        <w:t xml:space="preserve"> z</w:t>
      </w:r>
      <w:r w:rsidR="00342D7E">
        <w:t> </w:t>
      </w:r>
      <w:r w:rsidR="00342D7E" w:rsidRPr="00342D7E">
        <w:t>hie</w:t>
      </w:r>
      <w:r w:rsidRPr="00342D7E">
        <w:t>rarchią przedstawioną w MSSF 13 pkt</w:t>
      </w:r>
      <w:r w:rsidR="00342D7E" w:rsidRPr="00342D7E">
        <w:t> </w:t>
      </w:r>
      <w:r w:rsidRPr="00342D7E">
        <w:t>72. Jeżeli krajowe ogólnie przyjęte zasady rachunkowości oparte na BAD przewidują wymóg alokacji aktywów wycenianych według wartości godziwej do różnych poziomów wartości godziwej, instytucje stosujące krajowe ogólnie przyjęte zasady rachunkowości zgłaszają również informacje przewidziane</w:t>
      </w:r>
      <w:r w:rsidR="00342D7E" w:rsidRPr="00342D7E">
        <w:t xml:space="preserve"> w</w:t>
      </w:r>
      <w:r w:rsidR="00342D7E">
        <w:t> </w:t>
      </w:r>
      <w:r w:rsidR="00342D7E" w:rsidRPr="00342D7E">
        <w:t>tym</w:t>
      </w:r>
      <w:r w:rsidRPr="00342D7E">
        <w:t xml:space="preserve"> wzorze.</w:t>
      </w:r>
    </w:p>
    <w:p w:rsidR="00D35B0C" w:rsidRPr="00342D7E" w:rsidRDefault="00A834F1">
      <w:pPr>
        <w:pStyle w:val="Baseparagraphnumbered"/>
        <w:ind w:left="709" w:hanging="283"/>
      </w:pPr>
      <w:r w:rsidRPr="00342D7E">
        <w:t>„Zmiana wartości godziwej za dany okres” obejmuje zyski lub straty</w:t>
      </w:r>
      <w:r w:rsidR="00342D7E" w:rsidRPr="00342D7E">
        <w:t xml:space="preserve"> z</w:t>
      </w:r>
      <w:r w:rsidR="00342D7E">
        <w:t> </w:t>
      </w:r>
      <w:r w:rsidR="00342D7E" w:rsidRPr="00342D7E">
        <w:t>tyt</w:t>
      </w:r>
      <w:r w:rsidRPr="00342D7E">
        <w:t>ułu przeprowadzonych</w:t>
      </w:r>
      <w:r w:rsidR="00342D7E" w:rsidRPr="00342D7E">
        <w:t xml:space="preserve"> w</w:t>
      </w:r>
      <w:r w:rsidR="00342D7E">
        <w:t> </w:t>
      </w:r>
      <w:r w:rsidR="00342D7E" w:rsidRPr="00342D7E">
        <w:t>dan</w:t>
      </w:r>
      <w:r w:rsidRPr="00342D7E">
        <w:t>ym okresie aktualizacji wyceny – stosownie do przypadku zgodnie z MSSF 9, MSSF 13 lub krajowymi ogólnie przyjętymi zasadami rachunkowości – instrumentów, które nadal istnieją na dzień sprawozdawczy. Te zyski</w:t>
      </w:r>
      <w:r w:rsidR="00342D7E" w:rsidRPr="00342D7E">
        <w:t xml:space="preserve"> i</w:t>
      </w:r>
      <w:r w:rsidR="00342D7E">
        <w:t> </w:t>
      </w:r>
      <w:r w:rsidR="00342D7E" w:rsidRPr="00342D7E">
        <w:t>str</w:t>
      </w:r>
      <w:r w:rsidRPr="00342D7E">
        <w:t>aty zgłasza się</w:t>
      </w:r>
      <w:r w:rsidR="00342D7E" w:rsidRPr="00342D7E">
        <w:t xml:space="preserve"> w</w:t>
      </w:r>
      <w:r w:rsidR="00342D7E">
        <w:t> </w:t>
      </w:r>
      <w:r w:rsidR="00342D7E" w:rsidRPr="00342D7E">
        <w:t>pos</w:t>
      </w:r>
      <w:r w:rsidRPr="00342D7E">
        <w:t>taci,</w:t>
      </w:r>
      <w:r w:rsidR="00342D7E" w:rsidRPr="00342D7E">
        <w:t xml:space="preserve"> w</w:t>
      </w:r>
      <w:r w:rsidR="00342D7E">
        <w:t> </w:t>
      </w:r>
      <w:r w:rsidR="00342D7E" w:rsidRPr="00342D7E">
        <w:t>jak</w:t>
      </w:r>
      <w:r w:rsidRPr="00342D7E">
        <w:t>iej ujmuje się je</w:t>
      </w:r>
      <w:r w:rsidR="00342D7E" w:rsidRPr="00342D7E">
        <w:t xml:space="preserve"> w</w:t>
      </w:r>
      <w:r w:rsidR="00342D7E">
        <w:t> </w:t>
      </w:r>
      <w:r w:rsidR="00342D7E" w:rsidRPr="00342D7E">
        <w:t>rac</w:t>
      </w:r>
      <w:r w:rsidRPr="00342D7E">
        <w:t>hunku zysków</w:t>
      </w:r>
      <w:r w:rsidR="00342D7E" w:rsidRPr="00342D7E">
        <w:t xml:space="preserve"> i</w:t>
      </w:r>
      <w:r w:rsidR="00342D7E">
        <w:t> </w:t>
      </w:r>
      <w:r w:rsidR="00342D7E" w:rsidRPr="00342D7E">
        <w:t>str</w:t>
      </w:r>
      <w:r w:rsidRPr="00342D7E">
        <w:t>at lub,</w:t>
      </w:r>
      <w:r w:rsidR="00342D7E" w:rsidRPr="00342D7E">
        <w:t xml:space="preserve"> w</w:t>
      </w:r>
      <w:r w:rsidR="00342D7E">
        <w:t> </w:t>
      </w:r>
      <w:r w:rsidR="00342D7E" w:rsidRPr="00342D7E">
        <w:t>sto</w:t>
      </w:r>
      <w:r w:rsidRPr="00342D7E">
        <w:t>sownych przypadkach,</w:t>
      </w:r>
      <w:r w:rsidR="00342D7E" w:rsidRPr="00342D7E">
        <w:t xml:space="preserve"> w</w:t>
      </w:r>
      <w:r w:rsidR="00342D7E">
        <w:t> </w:t>
      </w:r>
      <w:r w:rsidR="00342D7E" w:rsidRPr="00342D7E">
        <w:t>spr</w:t>
      </w:r>
      <w:r w:rsidRPr="00342D7E">
        <w:t>awozdaniu</w:t>
      </w:r>
      <w:r w:rsidR="00342D7E" w:rsidRPr="00342D7E">
        <w:t xml:space="preserve"> z</w:t>
      </w:r>
      <w:r w:rsidR="00342D7E">
        <w:t> </w:t>
      </w:r>
      <w:r w:rsidR="00342D7E" w:rsidRPr="00342D7E">
        <w:t>cał</w:t>
      </w:r>
      <w:r w:rsidRPr="00342D7E">
        <w:t>kowitych dochodów; tym samym zgłaszane kwoty są kwotami przed opodatkowaniem.</w:t>
      </w:r>
    </w:p>
    <w:p w:rsidR="00D35B0C" w:rsidRPr="00342D7E" w:rsidRDefault="00A834F1">
      <w:pPr>
        <w:pStyle w:val="Baseparagraphnumbered"/>
        <w:tabs>
          <w:tab w:val="left" w:pos="851"/>
        </w:tabs>
        <w:ind w:left="709"/>
      </w:pPr>
      <w:r w:rsidRPr="00342D7E">
        <w:t>„Skumulowana zmiana wartości godziwej przed opodatkowaniem” obejmuje kwotę zysków lub strat</w:t>
      </w:r>
      <w:r w:rsidR="00342D7E" w:rsidRPr="00342D7E">
        <w:t xml:space="preserve"> z</w:t>
      </w:r>
      <w:r w:rsidR="00342D7E">
        <w:t> </w:t>
      </w:r>
      <w:r w:rsidR="00342D7E" w:rsidRPr="00342D7E">
        <w:t>tyt</w:t>
      </w:r>
      <w:r w:rsidRPr="00342D7E">
        <w:t>ułu aktualizacji wyceny instrumentów skumulowaną od dnia początkowego ujęcia do sprawozdawczego dnia odniesienia.</w:t>
      </w:r>
    </w:p>
    <w:p w:rsidR="00D35B0C" w:rsidRPr="00342D7E" w:rsidRDefault="00A834F1" w:rsidP="00056B6F">
      <w:pPr>
        <w:pStyle w:val="subtitlenumbered"/>
        <w:numPr>
          <w:ilvl w:val="0"/>
          <w:numId w:val="11"/>
        </w:numPr>
        <w:jc w:val="both"/>
        <w:rPr>
          <w:kern w:val="32"/>
        </w:rPr>
      </w:pPr>
      <w:bookmarkStart w:id="42" w:name="_Toc31019144"/>
      <w:r w:rsidRPr="00342D7E">
        <w:t>Zaprzestanie ujmowania</w:t>
      </w:r>
      <w:r w:rsidR="00342D7E" w:rsidRPr="00342D7E">
        <w:t xml:space="preserve"> i</w:t>
      </w:r>
      <w:r w:rsidR="00342D7E">
        <w:t> </w:t>
      </w:r>
      <w:r w:rsidR="00342D7E" w:rsidRPr="00342D7E">
        <w:t>zob</w:t>
      </w:r>
      <w:r w:rsidRPr="00342D7E">
        <w:t>owiązania finansowe związane</w:t>
      </w:r>
      <w:r w:rsidR="00342D7E" w:rsidRPr="00342D7E">
        <w:t xml:space="preserve"> z</w:t>
      </w:r>
      <w:r w:rsidR="00342D7E">
        <w:t> </w:t>
      </w:r>
      <w:r w:rsidR="00342D7E" w:rsidRPr="00342D7E">
        <w:t>prz</w:t>
      </w:r>
      <w:r w:rsidRPr="00342D7E">
        <w:t>eniesionymi aktywami finansowymi (15)</w:t>
      </w:r>
      <w:bookmarkEnd w:id="42"/>
    </w:p>
    <w:p w:rsidR="00D35B0C" w:rsidRPr="00342D7E" w:rsidRDefault="00A834F1">
      <w:pPr>
        <w:pStyle w:val="Baseparagraphnumbered"/>
        <w:tabs>
          <w:tab w:val="left" w:pos="851"/>
        </w:tabs>
        <w:ind w:left="709"/>
      </w:pPr>
      <w:r w:rsidRPr="00342D7E">
        <w:t xml:space="preserve">We wzorze 15 uwzględnia się informacje na temat przeniesionych aktywów finansowych, których część lub całość nie kwalifikuje się do tego, by </w:t>
      </w:r>
      <w:r w:rsidRPr="00342D7E">
        <w:lastRenderedPageBreak/>
        <w:t>zaprzestano ich uznawania, oraz na temat aktywów finansowych, których uznawania zaprzestano</w:t>
      </w:r>
      <w:r w:rsidR="00342D7E" w:rsidRPr="00342D7E">
        <w:t xml:space="preserve"> w</w:t>
      </w:r>
      <w:r w:rsidR="00342D7E">
        <w:t> </w:t>
      </w:r>
      <w:r w:rsidR="00342D7E" w:rsidRPr="00342D7E">
        <w:t>cał</w:t>
      </w:r>
      <w:r w:rsidRPr="00342D7E">
        <w:t>ości,</w:t>
      </w:r>
      <w:r w:rsidR="00342D7E" w:rsidRPr="00342D7E">
        <w:t xml:space="preserve"> w</w:t>
      </w:r>
      <w:r w:rsidR="00342D7E">
        <w:t> </w:t>
      </w:r>
      <w:r w:rsidR="00342D7E" w:rsidRPr="00342D7E">
        <w:t>odn</w:t>
      </w:r>
      <w:r w:rsidRPr="00342D7E">
        <w:t xml:space="preserve">iesieniu do których instytucja zachowuje prawa obsługi. </w:t>
      </w:r>
    </w:p>
    <w:p w:rsidR="00D35B0C" w:rsidRPr="00342D7E" w:rsidRDefault="00A834F1">
      <w:pPr>
        <w:pStyle w:val="Baseparagraphnumbered"/>
        <w:tabs>
          <w:tab w:val="left" w:pos="851"/>
        </w:tabs>
        <w:ind w:left="709"/>
      </w:pPr>
      <w:r w:rsidRPr="00342D7E">
        <w:t>Powiązane zobowiązania zgłasza się zgodnie</w:t>
      </w:r>
      <w:r w:rsidR="00342D7E" w:rsidRPr="00342D7E">
        <w:t xml:space="preserve"> z</w:t>
      </w:r>
      <w:r w:rsidR="00342D7E">
        <w:t> </w:t>
      </w:r>
      <w:r w:rsidR="00342D7E" w:rsidRPr="00342D7E">
        <w:t>por</w:t>
      </w:r>
      <w:r w:rsidRPr="00342D7E">
        <w:t>tfelem, do którego włączono powiązane przeniesione aktywa finansowe po stronie aktywów, nie zaś zgodnie</w:t>
      </w:r>
      <w:r w:rsidR="00342D7E" w:rsidRPr="00342D7E">
        <w:t xml:space="preserve"> z</w:t>
      </w:r>
      <w:r w:rsidR="00342D7E">
        <w:t> </w:t>
      </w:r>
      <w:r w:rsidR="00342D7E" w:rsidRPr="00342D7E">
        <w:t>por</w:t>
      </w:r>
      <w:r w:rsidRPr="00342D7E">
        <w:t xml:space="preserve">tfelem, do którego zostały one włączone po stronie zobowiązań. </w:t>
      </w:r>
    </w:p>
    <w:p w:rsidR="00D35B0C" w:rsidRPr="00342D7E" w:rsidRDefault="00A834F1">
      <w:pPr>
        <w:pStyle w:val="Baseparagraphnumbered"/>
      </w:pPr>
      <w:r w:rsidRPr="00342D7E">
        <w:t>Kolumna „Kwoty, które zaprzestano ujmować do celów kapitałowych” obejmuje wartość bilansową aktywów finansowych, które ujęto do celów rachunkowych, ale zaprzestano ujmować do celów ostrożnościowych, ponieważ instytucja traktuje je jako pozycje sekurytyzacyjne do celów kapitałowych zgodnie</w:t>
      </w:r>
      <w:r w:rsidR="00342D7E" w:rsidRPr="00342D7E">
        <w:t xml:space="preserve"> z</w:t>
      </w:r>
      <w:r w:rsidR="00342D7E">
        <w:t> </w:t>
      </w:r>
      <w:r w:rsidR="00342D7E" w:rsidRPr="00342D7E">
        <w:t>art</w:t>
      </w:r>
      <w:r w:rsidRPr="00342D7E">
        <w:t>.</w:t>
      </w:r>
      <w:r w:rsidR="00342D7E" w:rsidRPr="00342D7E">
        <w:t> </w:t>
      </w:r>
      <w:r w:rsidRPr="00342D7E">
        <w:t>109, 243</w:t>
      </w:r>
      <w:r w:rsidR="00342D7E" w:rsidRPr="00342D7E">
        <w:t xml:space="preserve"> i</w:t>
      </w:r>
      <w:r w:rsidR="00342D7E">
        <w:t> </w:t>
      </w:r>
      <w:r w:rsidR="00342D7E" w:rsidRPr="00342D7E">
        <w:t>2</w:t>
      </w:r>
      <w:r w:rsidRPr="00342D7E">
        <w:t xml:space="preserve">44 CRR. </w:t>
      </w:r>
    </w:p>
    <w:p w:rsidR="00D35B0C" w:rsidRPr="00342D7E" w:rsidRDefault="00A834F1">
      <w:pPr>
        <w:pStyle w:val="Baseparagraphnumbered"/>
      </w:pPr>
      <w:r w:rsidRPr="00342D7E">
        <w:t>„Umowy</w:t>
      </w:r>
      <w:r w:rsidR="00342D7E" w:rsidRPr="00342D7E">
        <w:t xml:space="preserve"> z</w:t>
      </w:r>
      <w:r w:rsidR="00342D7E">
        <w:t> </w:t>
      </w:r>
      <w:r w:rsidR="00342D7E" w:rsidRPr="00342D7E">
        <w:t>udz</w:t>
      </w:r>
      <w:r w:rsidRPr="00342D7E">
        <w:t>ielonym przyrzeczeniem odkupu” („repo”) są to transakcje,</w:t>
      </w:r>
      <w:r w:rsidR="00342D7E" w:rsidRPr="00342D7E">
        <w:t xml:space="preserve"> w</w:t>
      </w:r>
      <w:r w:rsidR="00342D7E">
        <w:t> </w:t>
      </w:r>
      <w:r w:rsidR="00342D7E" w:rsidRPr="00342D7E">
        <w:t>ram</w:t>
      </w:r>
      <w:r w:rsidRPr="00342D7E">
        <w:t>ach których instytucja otrzymuje gotówkę</w:t>
      </w:r>
      <w:r w:rsidR="00342D7E" w:rsidRPr="00342D7E">
        <w:t xml:space="preserve"> w</w:t>
      </w:r>
      <w:r w:rsidR="00342D7E">
        <w:t> </w:t>
      </w:r>
      <w:r w:rsidR="00342D7E" w:rsidRPr="00342D7E">
        <w:t>zam</w:t>
      </w:r>
      <w:r w:rsidRPr="00342D7E">
        <w:t>ian za aktywa finansowe sprzedane po ustalonej cenie, zobowiązując się do odkupienia tych samych (lub identycznych) aktywów po ustalonej cenie</w:t>
      </w:r>
      <w:r w:rsidR="00342D7E" w:rsidRPr="00342D7E">
        <w:t xml:space="preserve"> w</w:t>
      </w:r>
      <w:r w:rsidR="00342D7E">
        <w:t> </w:t>
      </w:r>
      <w:r w:rsidR="00342D7E" w:rsidRPr="00342D7E">
        <w:t>ust</w:t>
      </w:r>
      <w:r w:rsidRPr="00342D7E">
        <w:t>alonym przyszłym terminie. Za „Umowy</w:t>
      </w:r>
      <w:r w:rsidR="00342D7E" w:rsidRPr="00342D7E">
        <w:t xml:space="preserve"> z</w:t>
      </w:r>
      <w:r w:rsidR="00342D7E">
        <w:t> </w:t>
      </w:r>
      <w:r w:rsidR="00342D7E" w:rsidRPr="00342D7E">
        <w:t>udz</w:t>
      </w:r>
      <w:r w:rsidRPr="00342D7E">
        <w:t>ielonym przyrzeczeniem odkupu” („repo”) uznawane są również transakcje związane</w:t>
      </w:r>
      <w:r w:rsidR="00342D7E" w:rsidRPr="00342D7E">
        <w:t xml:space="preserve"> z</w:t>
      </w:r>
      <w:r w:rsidR="00342D7E">
        <w:t> </w:t>
      </w:r>
      <w:r w:rsidR="00342D7E" w:rsidRPr="00342D7E">
        <w:t>tym</w:t>
      </w:r>
      <w:r w:rsidRPr="00342D7E">
        <w:t>czasowym przeniesieniem złota pod zabezpieczenie gotówkowe. Kwoty otrzymane przez instytucję</w:t>
      </w:r>
      <w:r w:rsidR="00342D7E" w:rsidRPr="00342D7E">
        <w:t xml:space="preserve"> w</w:t>
      </w:r>
      <w:r w:rsidR="00342D7E">
        <w:t> </w:t>
      </w:r>
      <w:r w:rsidR="00342D7E" w:rsidRPr="00342D7E">
        <w:t>zam</w:t>
      </w:r>
      <w:r w:rsidRPr="00342D7E">
        <w:t>ian za aktywa finansowe przeniesione na osobę trzecią („tymczasową jednostkę przejmującą”) klasyfikuje się jako „umowy</w:t>
      </w:r>
      <w:r w:rsidR="00342D7E" w:rsidRPr="00342D7E">
        <w:t xml:space="preserve"> z</w:t>
      </w:r>
      <w:r w:rsidR="00342D7E">
        <w:t> </w:t>
      </w:r>
      <w:r w:rsidR="00342D7E" w:rsidRPr="00342D7E">
        <w:t>udz</w:t>
      </w:r>
      <w:r w:rsidRPr="00342D7E">
        <w:t>ielonym przyrzeczeniem odkupu”,</w:t>
      </w:r>
      <w:r w:rsidR="00342D7E" w:rsidRPr="00342D7E">
        <w:t xml:space="preserve"> o</w:t>
      </w:r>
      <w:r w:rsidR="00342D7E">
        <w:t> </w:t>
      </w:r>
      <w:r w:rsidR="00342D7E" w:rsidRPr="00342D7E">
        <w:t>ile</w:t>
      </w:r>
      <w:r w:rsidRPr="00342D7E">
        <w:t xml:space="preserve"> ustanowiono zobowiązanie do przeprowadzania transakcji odwrotnej,</w:t>
      </w:r>
      <w:r w:rsidR="00342D7E" w:rsidRPr="00342D7E">
        <w:t xml:space="preserve"> a</w:t>
      </w:r>
      <w:r w:rsidR="00342D7E">
        <w:t> </w:t>
      </w:r>
      <w:r w:rsidR="00342D7E" w:rsidRPr="00342D7E">
        <w:t>nie</w:t>
      </w:r>
      <w:r w:rsidRPr="00342D7E">
        <w:t xml:space="preserve"> tylko uwzględniono taką opcję. Umowy</w:t>
      </w:r>
      <w:r w:rsidR="00342D7E" w:rsidRPr="00342D7E">
        <w:t xml:space="preserve"> z</w:t>
      </w:r>
      <w:r w:rsidR="00342D7E">
        <w:t> </w:t>
      </w:r>
      <w:r w:rsidR="00342D7E" w:rsidRPr="00342D7E">
        <w:t>udz</w:t>
      </w:r>
      <w:r w:rsidRPr="00342D7E">
        <w:t>ielonym przyrzeczeniem odkupu obejmują również operacje typu repo, które mogą obejmować:</w:t>
      </w:r>
    </w:p>
    <w:p w:rsidR="00D35B0C" w:rsidRPr="00342D7E" w:rsidRDefault="00C03A57" w:rsidP="00056B6F">
      <w:pPr>
        <w:numPr>
          <w:ilvl w:val="0"/>
          <w:numId w:val="55"/>
        </w:numPr>
        <w:ind w:left="1134"/>
        <w:jc w:val="both"/>
        <w:rPr>
          <w:rFonts w:ascii="Times New Roman" w:hAnsi="Times New Roman"/>
          <w:sz w:val="24"/>
          <w:szCs w:val="24"/>
        </w:rPr>
      </w:pPr>
      <w:proofErr w:type="gramStart"/>
      <w:r w:rsidRPr="00342D7E">
        <w:rPr>
          <w:rFonts w:ascii="Times New Roman" w:hAnsi="Times New Roman"/>
          <w:sz w:val="24"/>
          <w:szCs w:val="24"/>
        </w:rPr>
        <w:t>kwoty</w:t>
      </w:r>
      <w:proofErr w:type="gramEnd"/>
      <w:r w:rsidRPr="00342D7E">
        <w:rPr>
          <w:rFonts w:ascii="Times New Roman" w:hAnsi="Times New Roman"/>
          <w:sz w:val="24"/>
          <w:szCs w:val="24"/>
        </w:rPr>
        <w:t xml:space="preserve"> otrzymane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zam</w:t>
      </w:r>
      <w:r w:rsidRPr="00342D7E">
        <w:rPr>
          <w:rFonts w:ascii="Times New Roman" w:hAnsi="Times New Roman"/>
          <w:sz w:val="24"/>
          <w:szCs w:val="24"/>
        </w:rPr>
        <w:t>ian za papiery wartościowe tymczasowo przeniesione na osobę trzecią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pos</w:t>
      </w:r>
      <w:r w:rsidRPr="00342D7E">
        <w:rPr>
          <w:rFonts w:ascii="Times New Roman" w:hAnsi="Times New Roman"/>
          <w:sz w:val="24"/>
          <w:szCs w:val="24"/>
        </w:rPr>
        <w:t>taci pożyczek papierów wartościowych udzielanych pod zastaw gotówki;</w:t>
      </w:r>
    </w:p>
    <w:p w:rsidR="00D35B0C" w:rsidRPr="00342D7E" w:rsidRDefault="00C03A57" w:rsidP="00056B6F">
      <w:pPr>
        <w:numPr>
          <w:ilvl w:val="0"/>
          <w:numId w:val="55"/>
        </w:numPr>
        <w:ind w:left="1134"/>
        <w:jc w:val="both"/>
        <w:rPr>
          <w:rFonts w:ascii="Times New Roman" w:hAnsi="Times New Roman"/>
          <w:sz w:val="24"/>
          <w:szCs w:val="24"/>
        </w:rPr>
      </w:pPr>
      <w:proofErr w:type="gramStart"/>
      <w:r w:rsidRPr="00342D7E">
        <w:rPr>
          <w:rFonts w:ascii="Times New Roman" w:hAnsi="Times New Roman"/>
          <w:sz w:val="24"/>
          <w:szCs w:val="24"/>
        </w:rPr>
        <w:t>kwoty</w:t>
      </w:r>
      <w:proofErr w:type="gramEnd"/>
      <w:r w:rsidRPr="00342D7E">
        <w:rPr>
          <w:rFonts w:ascii="Times New Roman" w:hAnsi="Times New Roman"/>
          <w:sz w:val="24"/>
          <w:szCs w:val="24"/>
        </w:rPr>
        <w:t xml:space="preserve"> otrzymane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zam</w:t>
      </w:r>
      <w:r w:rsidRPr="00342D7E">
        <w:rPr>
          <w:rFonts w:ascii="Times New Roman" w:hAnsi="Times New Roman"/>
          <w:sz w:val="24"/>
          <w:szCs w:val="24"/>
        </w:rPr>
        <w:t>ian za papiery wartościowe tymczasowo przeniesione na osobę trzecią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pos</w:t>
      </w:r>
      <w:r w:rsidRPr="00342D7E">
        <w:rPr>
          <w:rFonts w:ascii="Times New Roman" w:hAnsi="Times New Roman"/>
          <w:sz w:val="24"/>
          <w:szCs w:val="24"/>
        </w:rPr>
        <w:t>taci umów sprzedaży/odkupu.</w:t>
      </w:r>
    </w:p>
    <w:p w:rsidR="00D35B0C" w:rsidRPr="00342D7E" w:rsidRDefault="00A834F1">
      <w:pPr>
        <w:pStyle w:val="Baseparagraphnumbered"/>
        <w:tabs>
          <w:tab w:val="left" w:pos="851"/>
        </w:tabs>
        <w:ind w:left="709"/>
      </w:pPr>
      <w:r w:rsidRPr="00342D7E">
        <w:t>„Umowy</w:t>
      </w:r>
      <w:r w:rsidR="00342D7E" w:rsidRPr="00342D7E">
        <w:t xml:space="preserve"> z</w:t>
      </w:r>
      <w:r w:rsidR="00342D7E">
        <w:t> </w:t>
      </w:r>
      <w:r w:rsidR="00342D7E" w:rsidRPr="00342D7E">
        <w:t>udz</w:t>
      </w:r>
      <w:r w:rsidRPr="00342D7E">
        <w:t>ielonym przyrzeczeniem odkupu” („repo”) i „kredyty</w:t>
      </w:r>
      <w:r w:rsidR="00342D7E" w:rsidRPr="00342D7E">
        <w:t xml:space="preserve"> z</w:t>
      </w:r>
      <w:r w:rsidR="00342D7E">
        <w:t> </w:t>
      </w:r>
      <w:r w:rsidR="00342D7E" w:rsidRPr="00342D7E">
        <w:t>otr</w:t>
      </w:r>
      <w:r w:rsidRPr="00342D7E">
        <w:t>zymanym przyrzeczeniem odkupu” („umowy</w:t>
      </w:r>
      <w:r w:rsidR="00342D7E" w:rsidRPr="00342D7E">
        <w:t xml:space="preserve"> z</w:t>
      </w:r>
      <w:r w:rsidR="00342D7E">
        <w:t> </w:t>
      </w:r>
      <w:r w:rsidR="00342D7E" w:rsidRPr="00342D7E">
        <w:t>otr</w:t>
      </w:r>
      <w:r w:rsidRPr="00342D7E">
        <w:t xml:space="preserve">zymanym przyrzeczeniem odkupu”) obejmują gotówkę otrzymaną lub pożyczoną przez instytucję. </w:t>
      </w:r>
    </w:p>
    <w:p w:rsidR="00D35B0C" w:rsidRPr="00342D7E" w:rsidRDefault="00A834F1">
      <w:pPr>
        <w:pStyle w:val="Baseparagraphnumbered"/>
        <w:tabs>
          <w:tab w:val="left" w:pos="851"/>
        </w:tabs>
        <w:ind w:left="709"/>
      </w:pPr>
      <w:r w:rsidRPr="00342D7E">
        <w:t>W ramach transakcji sekurytyzacyjnej</w:t>
      </w:r>
      <w:r w:rsidR="00342D7E" w:rsidRPr="00342D7E">
        <w:t xml:space="preserve"> w</w:t>
      </w:r>
      <w:r w:rsidR="00342D7E">
        <w:t> </w:t>
      </w:r>
      <w:r w:rsidR="00342D7E" w:rsidRPr="00342D7E">
        <w:t>prz</w:t>
      </w:r>
      <w:r w:rsidRPr="00342D7E">
        <w:t>ypadku zaprzestania ujmowania przeniesionych aktywów finansowych instytucje zgłaszają zyski (straty)</w:t>
      </w:r>
      <w:r w:rsidR="00342D7E" w:rsidRPr="00342D7E">
        <w:t xml:space="preserve"> z</w:t>
      </w:r>
      <w:r w:rsidR="00342D7E">
        <w:t> </w:t>
      </w:r>
      <w:r w:rsidR="00342D7E" w:rsidRPr="00342D7E">
        <w:t>tyt</w:t>
      </w:r>
      <w:r w:rsidRPr="00342D7E">
        <w:t>ułu pozycji</w:t>
      </w:r>
      <w:r w:rsidR="00342D7E" w:rsidRPr="00342D7E">
        <w:t xml:space="preserve"> w</w:t>
      </w:r>
      <w:r w:rsidR="00342D7E">
        <w:t> </w:t>
      </w:r>
      <w:r w:rsidR="00342D7E" w:rsidRPr="00342D7E">
        <w:t>rac</w:t>
      </w:r>
      <w:r w:rsidRPr="00342D7E">
        <w:t>hunku zysków</w:t>
      </w:r>
      <w:r w:rsidR="00342D7E" w:rsidRPr="00342D7E">
        <w:t xml:space="preserve"> i</w:t>
      </w:r>
      <w:r w:rsidR="00342D7E">
        <w:t> </w:t>
      </w:r>
      <w:r w:rsidR="00342D7E" w:rsidRPr="00342D7E">
        <w:t>str</w:t>
      </w:r>
      <w:r w:rsidRPr="00342D7E">
        <w:t>at odpowiadających „portfelom księgowym”,</w:t>
      </w:r>
      <w:r w:rsidR="00342D7E" w:rsidRPr="00342D7E">
        <w:t xml:space="preserve"> w</w:t>
      </w:r>
      <w:r w:rsidR="00342D7E">
        <w:t> </w:t>
      </w:r>
      <w:r w:rsidR="00342D7E" w:rsidRPr="00342D7E">
        <w:t>któ</w:t>
      </w:r>
      <w:r w:rsidRPr="00342D7E">
        <w:t>rych aktywa finansowe zostały uwzględnione przed zaprzestaniem ich ujmowania.</w:t>
      </w:r>
    </w:p>
    <w:p w:rsidR="00D35B0C" w:rsidRPr="00342D7E" w:rsidRDefault="00A834F1" w:rsidP="00056B6F">
      <w:pPr>
        <w:pStyle w:val="subtitlenumbered"/>
        <w:keepNext/>
        <w:numPr>
          <w:ilvl w:val="0"/>
          <w:numId w:val="11"/>
        </w:numPr>
        <w:ind w:left="357" w:hanging="357"/>
        <w:jc w:val="both"/>
      </w:pPr>
      <w:bookmarkStart w:id="43" w:name="_Toc31019145"/>
      <w:r w:rsidRPr="00342D7E">
        <w:t>Podział wybranych pozycji</w:t>
      </w:r>
      <w:r w:rsidR="00342D7E" w:rsidRPr="00342D7E">
        <w:t xml:space="preserve"> w</w:t>
      </w:r>
      <w:r w:rsidR="00342D7E">
        <w:t> </w:t>
      </w:r>
      <w:r w:rsidR="00342D7E" w:rsidRPr="00342D7E">
        <w:t>rac</w:t>
      </w:r>
      <w:r w:rsidRPr="00342D7E">
        <w:t>hunku zysków</w:t>
      </w:r>
      <w:r w:rsidR="00342D7E" w:rsidRPr="00342D7E">
        <w:t xml:space="preserve"> i</w:t>
      </w:r>
      <w:r w:rsidR="00342D7E">
        <w:t> </w:t>
      </w:r>
      <w:r w:rsidR="00342D7E" w:rsidRPr="00342D7E">
        <w:t>str</w:t>
      </w:r>
      <w:r w:rsidRPr="00342D7E">
        <w:t>at (16)</w:t>
      </w:r>
      <w:bookmarkEnd w:id="43"/>
    </w:p>
    <w:p w:rsidR="00D35B0C" w:rsidRPr="00342D7E" w:rsidRDefault="00A834F1">
      <w:pPr>
        <w:pStyle w:val="Baseparagraphnumbered"/>
        <w:tabs>
          <w:tab w:val="left" w:pos="851"/>
        </w:tabs>
        <w:ind w:left="709"/>
      </w:pPr>
      <w:r w:rsidRPr="00342D7E">
        <w:t>W odniesieniu do wybranych pozycji rachunku zysków</w:t>
      </w:r>
      <w:r w:rsidR="00342D7E" w:rsidRPr="00342D7E">
        <w:t xml:space="preserve"> i</w:t>
      </w:r>
      <w:r w:rsidR="00342D7E">
        <w:t> </w:t>
      </w:r>
      <w:r w:rsidR="00342D7E" w:rsidRPr="00342D7E">
        <w:t>str</w:t>
      </w:r>
      <w:r w:rsidRPr="00342D7E">
        <w:t>at zgłasza się dalsze podziały zysków (lub przychodów)</w:t>
      </w:r>
      <w:r w:rsidR="00342D7E" w:rsidRPr="00342D7E">
        <w:t xml:space="preserve"> i</w:t>
      </w:r>
      <w:r w:rsidR="00342D7E">
        <w:t> </w:t>
      </w:r>
      <w:r w:rsidR="00342D7E" w:rsidRPr="00342D7E">
        <w:t>str</w:t>
      </w:r>
      <w:r w:rsidRPr="00342D7E">
        <w:t xml:space="preserve">at (lub kosztów). </w:t>
      </w:r>
    </w:p>
    <w:p w:rsidR="00D35B0C" w:rsidRPr="00342D7E" w:rsidRDefault="00A834F1">
      <w:pPr>
        <w:pStyle w:val="sub-subtitlenumbered"/>
        <w:jc w:val="both"/>
      </w:pPr>
      <w:bookmarkStart w:id="44" w:name="_Toc31019146"/>
      <w:r w:rsidRPr="00342D7E">
        <w:lastRenderedPageBreak/>
        <w:t>Przychody</w:t>
      </w:r>
      <w:r w:rsidR="00342D7E" w:rsidRPr="00342D7E">
        <w:t xml:space="preserve"> i</w:t>
      </w:r>
      <w:r w:rsidR="00342D7E">
        <w:t> </w:t>
      </w:r>
      <w:r w:rsidR="00342D7E" w:rsidRPr="00342D7E">
        <w:t>kos</w:t>
      </w:r>
      <w:r w:rsidRPr="00342D7E">
        <w:t>zty odsetkowe według instrumentów</w:t>
      </w:r>
      <w:r w:rsidR="00342D7E" w:rsidRPr="00342D7E">
        <w:t xml:space="preserve"> i</w:t>
      </w:r>
      <w:r w:rsidR="00342D7E">
        <w:t> </w:t>
      </w:r>
      <w:r w:rsidR="00342D7E" w:rsidRPr="00342D7E">
        <w:t>sek</w:t>
      </w:r>
      <w:r w:rsidRPr="00342D7E">
        <w:t>torów kontrahentów (16.1)</w:t>
      </w:r>
      <w:bookmarkEnd w:id="44"/>
    </w:p>
    <w:p w:rsidR="00D35B0C" w:rsidRPr="00342D7E" w:rsidRDefault="00A834F1">
      <w:pPr>
        <w:pStyle w:val="Baseparagraphnumbered"/>
        <w:tabs>
          <w:tab w:val="left" w:pos="851"/>
        </w:tabs>
        <w:ind w:left="709" w:hanging="283"/>
      </w:pPr>
      <w:r w:rsidRPr="00342D7E">
        <w:t>Przychody odsetkowe dzieli się według dwóch poniższych kategorii:</w:t>
      </w:r>
    </w:p>
    <w:p w:rsidR="00D35B0C" w:rsidRPr="00342D7E" w:rsidRDefault="00A834F1" w:rsidP="00056B6F">
      <w:pPr>
        <w:numPr>
          <w:ilvl w:val="0"/>
          <w:numId w:val="56"/>
        </w:numPr>
        <w:ind w:left="1134"/>
        <w:jc w:val="both"/>
        <w:rPr>
          <w:rFonts w:ascii="Times New Roman" w:hAnsi="Times New Roman"/>
          <w:sz w:val="24"/>
          <w:szCs w:val="24"/>
        </w:rPr>
      </w:pPr>
      <w:proofErr w:type="gramStart"/>
      <w:r w:rsidRPr="00342D7E">
        <w:rPr>
          <w:rFonts w:ascii="Times New Roman" w:hAnsi="Times New Roman"/>
          <w:sz w:val="24"/>
          <w:szCs w:val="24"/>
        </w:rPr>
        <w:t>przychody</w:t>
      </w:r>
      <w:proofErr w:type="gramEnd"/>
      <w:r w:rsidRPr="00342D7E">
        <w:rPr>
          <w:rFonts w:ascii="Times New Roman" w:hAnsi="Times New Roman"/>
          <w:sz w:val="24"/>
          <w:szCs w:val="24"/>
        </w:rPr>
        <w:t xml:space="preserve"> odsetkowe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aktywów finansowych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ych aktywów;</w:t>
      </w:r>
    </w:p>
    <w:p w:rsidR="00D35B0C" w:rsidRPr="00342D7E" w:rsidRDefault="00A834F1" w:rsidP="00056B6F">
      <w:pPr>
        <w:numPr>
          <w:ilvl w:val="0"/>
          <w:numId w:val="56"/>
        </w:numPr>
        <w:ind w:left="1134"/>
        <w:jc w:val="both"/>
        <w:rPr>
          <w:rFonts w:ascii="Times New Roman" w:hAnsi="Times New Roman"/>
          <w:sz w:val="24"/>
          <w:szCs w:val="24"/>
        </w:rPr>
      </w:pPr>
      <w:proofErr w:type="gramStart"/>
      <w:r w:rsidRPr="00342D7E">
        <w:rPr>
          <w:rFonts w:ascii="Times New Roman" w:hAnsi="Times New Roman"/>
          <w:sz w:val="24"/>
          <w:szCs w:val="24"/>
        </w:rPr>
        <w:t>przychody</w:t>
      </w:r>
      <w:proofErr w:type="gramEnd"/>
      <w:r w:rsidRPr="00342D7E">
        <w:rPr>
          <w:rFonts w:ascii="Times New Roman" w:hAnsi="Times New Roman"/>
          <w:sz w:val="24"/>
          <w:szCs w:val="24"/>
        </w:rPr>
        <w:t xml:space="preserve"> odsetkowe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zobowiązań finansowych podlegających ujemnej efektywnej stopie procentowej.</w:t>
      </w:r>
    </w:p>
    <w:p w:rsidR="00D35B0C" w:rsidRPr="00342D7E" w:rsidRDefault="00A834F1">
      <w:pPr>
        <w:pStyle w:val="Baseparagraphnumbered"/>
        <w:tabs>
          <w:tab w:val="left" w:pos="851"/>
        </w:tabs>
        <w:ind w:left="709"/>
      </w:pPr>
      <w:r w:rsidRPr="00342D7E">
        <w:t>Koszty odsetkowe dzieli się według dwóch poniższych kategorii:</w:t>
      </w:r>
    </w:p>
    <w:p w:rsidR="00D35B0C" w:rsidRPr="00342D7E" w:rsidRDefault="00A834F1" w:rsidP="00056B6F">
      <w:pPr>
        <w:numPr>
          <w:ilvl w:val="0"/>
          <w:numId w:val="57"/>
        </w:numPr>
        <w:ind w:left="1134"/>
        <w:jc w:val="both"/>
        <w:rPr>
          <w:rFonts w:ascii="Times New Roman" w:hAnsi="Times New Roman"/>
          <w:sz w:val="24"/>
          <w:szCs w:val="24"/>
        </w:rPr>
      </w:pPr>
      <w:proofErr w:type="gramStart"/>
      <w:r w:rsidRPr="00342D7E">
        <w:rPr>
          <w:rFonts w:ascii="Times New Roman" w:hAnsi="Times New Roman"/>
          <w:sz w:val="24"/>
          <w:szCs w:val="24"/>
        </w:rPr>
        <w:t>koszty</w:t>
      </w:r>
      <w:proofErr w:type="gramEnd"/>
      <w:r w:rsidRPr="00342D7E">
        <w:rPr>
          <w:rFonts w:ascii="Times New Roman" w:hAnsi="Times New Roman"/>
          <w:sz w:val="24"/>
          <w:szCs w:val="24"/>
        </w:rPr>
        <w:t xml:space="preserve"> odsetkowe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zobowiązań finansowych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ych zobowiązań;</w:t>
      </w:r>
    </w:p>
    <w:p w:rsidR="00D35B0C" w:rsidRPr="00342D7E" w:rsidRDefault="00A834F1" w:rsidP="00056B6F">
      <w:pPr>
        <w:numPr>
          <w:ilvl w:val="0"/>
          <w:numId w:val="57"/>
        </w:numPr>
        <w:ind w:left="1134"/>
        <w:jc w:val="both"/>
        <w:rPr>
          <w:rFonts w:ascii="Times New Roman" w:hAnsi="Times New Roman"/>
          <w:sz w:val="24"/>
          <w:szCs w:val="24"/>
        </w:rPr>
      </w:pPr>
      <w:proofErr w:type="gramStart"/>
      <w:r w:rsidRPr="00342D7E">
        <w:rPr>
          <w:rFonts w:ascii="Times New Roman" w:hAnsi="Times New Roman"/>
          <w:sz w:val="24"/>
          <w:szCs w:val="24"/>
        </w:rPr>
        <w:t>koszty</w:t>
      </w:r>
      <w:proofErr w:type="gramEnd"/>
      <w:r w:rsidRPr="00342D7E">
        <w:rPr>
          <w:rFonts w:ascii="Times New Roman" w:hAnsi="Times New Roman"/>
          <w:sz w:val="24"/>
          <w:szCs w:val="24"/>
        </w:rPr>
        <w:t xml:space="preserve"> odsetkowe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aktywów finansowych podlegających ujemnej efektywnej stopie procentowej.</w:t>
      </w:r>
    </w:p>
    <w:p w:rsidR="00D35B0C" w:rsidRPr="00342D7E" w:rsidRDefault="00A834F1">
      <w:pPr>
        <w:pStyle w:val="Baseparagraphnumbered"/>
        <w:tabs>
          <w:tab w:val="left" w:pos="851"/>
        </w:tabs>
        <w:ind w:left="709" w:hanging="283"/>
      </w:pPr>
      <w:r w:rsidRPr="00342D7E">
        <w:t>Przychody odsetkowe</w:t>
      </w:r>
      <w:r w:rsidR="00342D7E" w:rsidRPr="00342D7E">
        <w:t xml:space="preserve"> z</w:t>
      </w:r>
      <w:r w:rsidR="00342D7E">
        <w:t> </w:t>
      </w:r>
      <w:r w:rsidR="00342D7E" w:rsidRPr="00342D7E">
        <w:t>tyt</w:t>
      </w:r>
      <w:r w:rsidRPr="00342D7E">
        <w:t>ułu aktywów finansowych</w:t>
      </w:r>
      <w:r w:rsidR="00342D7E" w:rsidRPr="00342D7E">
        <w:t xml:space="preserve"> i</w:t>
      </w:r>
      <w:r w:rsidR="00342D7E">
        <w:t> </w:t>
      </w:r>
      <w:r w:rsidR="00342D7E" w:rsidRPr="00342D7E">
        <w:t>zob</w:t>
      </w:r>
      <w:r w:rsidRPr="00342D7E">
        <w:t>owiązań finansowych podlegających ujemnej efektywnej stopie procentowej obejmują przychody odsetkowe</w:t>
      </w:r>
      <w:r w:rsidR="00342D7E" w:rsidRPr="00342D7E">
        <w:t xml:space="preserve"> z</w:t>
      </w:r>
      <w:r w:rsidR="00342D7E">
        <w:t> </w:t>
      </w:r>
      <w:r w:rsidR="00342D7E" w:rsidRPr="00342D7E">
        <w:t>tyt</w:t>
      </w:r>
      <w:r w:rsidRPr="00342D7E">
        <w:t>ułu instrumentów pochodnych przeznaczonych do obrotu, dłużnych papierów wartościowych oraz kredytów</w:t>
      </w:r>
      <w:r w:rsidR="00342D7E" w:rsidRPr="00342D7E">
        <w:t xml:space="preserve"> i</w:t>
      </w:r>
      <w:r w:rsidR="00342D7E">
        <w:t> </w:t>
      </w:r>
      <w:r w:rsidR="00342D7E" w:rsidRPr="00342D7E">
        <w:t>zal</w:t>
      </w:r>
      <w:r w:rsidRPr="00342D7E">
        <w:t>iczek,</w:t>
      </w:r>
      <w:r w:rsidR="00342D7E" w:rsidRPr="00342D7E">
        <w:t xml:space="preserve"> a</w:t>
      </w:r>
      <w:r w:rsidR="00342D7E">
        <w:t> </w:t>
      </w:r>
      <w:r w:rsidR="00342D7E" w:rsidRPr="00342D7E">
        <w:t>tak</w:t>
      </w:r>
      <w:r w:rsidRPr="00342D7E">
        <w:t>że</w:t>
      </w:r>
      <w:r w:rsidR="00342D7E" w:rsidRPr="00342D7E">
        <w:t xml:space="preserve"> z</w:t>
      </w:r>
      <w:r w:rsidR="00342D7E">
        <w:t> </w:t>
      </w:r>
      <w:r w:rsidR="00342D7E" w:rsidRPr="00342D7E">
        <w:t>tyt</w:t>
      </w:r>
      <w:r w:rsidRPr="00342D7E">
        <w:t xml:space="preserve">ułu depozytów, wyemitowanych dłużnych papierów wartościowych oraz innych zobowiązań finansowych podlegających ujemnej efektywnej stopie procentowej. </w:t>
      </w:r>
    </w:p>
    <w:p w:rsidR="00D35B0C" w:rsidRPr="00342D7E" w:rsidRDefault="00A834F1">
      <w:pPr>
        <w:pStyle w:val="Baseparagraphnumbered"/>
        <w:tabs>
          <w:tab w:val="left" w:pos="851"/>
        </w:tabs>
        <w:ind w:left="709"/>
      </w:pPr>
      <w:r w:rsidRPr="00342D7E">
        <w:t>Koszty odsetkowe</w:t>
      </w:r>
      <w:r w:rsidR="00342D7E" w:rsidRPr="00342D7E">
        <w:t xml:space="preserve"> z</w:t>
      </w:r>
      <w:r w:rsidR="00342D7E">
        <w:t> </w:t>
      </w:r>
      <w:r w:rsidR="00342D7E" w:rsidRPr="00342D7E">
        <w:t>tyt</w:t>
      </w:r>
      <w:r w:rsidRPr="00342D7E">
        <w:t>ułu zobowiązań finansowych</w:t>
      </w:r>
      <w:r w:rsidR="00342D7E" w:rsidRPr="00342D7E">
        <w:t xml:space="preserve"> i</w:t>
      </w:r>
      <w:r w:rsidR="00342D7E">
        <w:t> </w:t>
      </w:r>
      <w:r w:rsidR="00342D7E" w:rsidRPr="00342D7E">
        <w:t>akt</w:t>
      </w:r>
      <w:r w:rsidRPr="00342D7E">
        <w:t>ywów finansowych podlegających ujemnej efektywnej stopie procentowej obejmują koszty odsetkowe</w:t>
      </w:r>
      <w:r w:rsidR="00342D7E" w:rsidRPr="00342D7E">
        <w:t xml:space="preserve"> z</w:t>
      </w:r>
      <w:r w:rsidR="00342D7E">
        <w:t> </w:t>
      </w:r>
      <w:r w:rsidR="00342D7E" w:rsidRPr="00342D7E">
        <w:t>tyt</w:t>
      </w:r>
      <w:r w:rsidRPr="00342D7E">
        <w:t>ułu instrumentów pochodnych przeznaczonych do obrotu, depozytów, wyemitowanych dłużnych papierów wartościowych oraz innych zobowiązań finansowych,</w:t>
      </w:r>
      <w:r w:rsidR="00342D7E" w:rsidRPr="00342D7E">
        <w:t xml:space="preserve"> a</w:t>
      </w:r>
      <w:r w:rsidR="00342D7E">
        <w:t> </w:t>
      </w:r>
      <w:r w:rsidR="00342D7E" w:rsidRPr="00342D7E">
        <w:t>tak</w:t>
      </w:r>
      <w:r w:rsidRPr="00342D7E">
        <w:t>że</w:t>
      </w:r>
      <w:r w:rsidR="00342D7E" w:rsidRPr="00342D7E">
        <w:t xml:space="preserve"> z</w:t>
      </w:r>
      <w:r w:rsidR="00342D7E">
        <w:t> </w:t>
      </w:r>
      <w:r w:rsidR="00342D7E" w:rsidRPr="00342D7E">
        <w:t>tyt</w:t>
      </w:r>
      <w:r w:rsidRPr="00342D7E">
        <w:t>ułu dłużnych papierów wartościowych oraz kredytów</w:t>
      </w:r>
      <w:r w:rsidR="00342D7E" w:rsidRPr="00342D7E">
        <w:t xml:space="preserve"> i</w:t>
      </w:r>
      <w:r w:rsidR="00342D7E">
        <w:t> </w:t>
      </w:r>
      <w:r w:rsidR="00342D7E" w:rsidRPr="00342D7E">
        <w:t>zal</w:t>
      </w:r>
      <w:r w:rsidRPr="00342D7E">
        <w:t xml:space="preserve">iczek podlegających ujemnej efektywnej stopie procentowej. </w:t>
      </w:r>
    </w:p>
    <w:p w:rsidR="00D35B0C" w:rsidRPr="00342D7E" w:rsidRDefault="00A834F1">
      <w:pPr>
        <w:pStyle w:val="Baseparagraphnumbered"/>
        <w:tabs>
          <w:tab w:val="left" w:pos="851"/>
        </w:tabs>
        <w:ind w:left="709"/>
      </w:pPr>
      <w:r w:rsidRPr="00342D7E">
        <w:t xml:space="preserve">Na potrzeby wzoru 16.1 </w:t>
      </w:r>
      <w:proofErr w:type="gramStart"/>
      <w:r w:rsidRPr="00342D7E">
        <w:t>pozycje</w:t>
      </w:r>
      <w:proofErr w:type="gramEnd"/>
      <w:r w:rsidRPr="00342D7E">
        <w:t xml:space="preserve"> krótkie są uwzględniane</w:t>
      </w:r>
      <w:r w:rsidR="00342D7E" w:rsidRPr="00342D7E">
        <w:t xml:space="preserve"> w</w:t>
      </w:r>
      <w:r w:rsidR="00342D7E">
        <w:t> </w:t>
      </w:r>
      <w:r w:rsidR="00342D7E" w:rsidRPr="00342D7E">
        <w:t>ram</w:t>
      </w:r>
      <w:r w:rsidRPr="00342D7E">
        <w:t>ach innych zobowiązań finansowych. Pod uwagę bierze się wszystkie instrumenty uwzględnione</w:t>
      </w:r>
      <w:r w:rsidR="00342D7E" w:rsidRPr="00342D7E">
        <w:t xml:space="preserve"> w</w:t>
      </w:r>
      <w:r w:rsidR="00342D7E">
        <w:t> </w:t>
      </w:r>
      <w:r w:rsidR="00342D7E" w:rsidRPr="00342D7E">
        <w:t>pos</w:t>
      </w:r>
      <w:r w:rsidRPr="00342D7E">
        <w:t>zczególnych portfelach,</w:t>
      </w:r>
      <w:r w:rsidR="00342D7E" w:rsidRPr="00342D7E">
        <w:t xml:space="preserve"> z</w:t>
      </w:r>
      <w:r w:rsidR="00342D7E">
        <w:t> </w:t>
      </w:r>
      <w:r w:rsidR="00342D7E" w:rsidRPr="00342D7E">
        <w:t>wyj</w:t>
      </w:r>
      <w:r w:rsidRPr="00342D7E">
        <w:t>ątkiem instrumentów uwzględnionych</w:t>
      </w:r>
      <w:r w:rsidR="00342D7E" w:rsidRPr="00342D7E">
        <w:t xml:space="preserve"> w</w:t>
      </w:r>
      <w:r w:rsidR="00342D7E">
        <w:t> </w:t>
      </w:r>
      <w:r w:rsidR="00342D7E" w:rsidRPr="00342D7E">
        <w:t>poz</w:t>
      </w:r>
      <w:r w:rsidRPr="00342D7E">
        <w:t xml:space="preserve">ycjach „Instrumenty pochodne – rachunkowość zabezpieczeń”, które nie są wykorzystywane do zabezpieczania ryzyka stopy procentowej. </w:t>
      </w:r>
    </w:p>
    <w:p w:rsidR="00D35B0C" w:rsidRPr="00342D7E" w:rsidRDefault="00A834F1">
      <w:pPr>
        <w:pStyle w:val="Baseparagraphnumbered"/>
        <w:tabs>
          <w:tab w:val="left" w:pos="851"/>
        </w:tabs>
        <w:ind w:left="709"/>
      </w:pPr>
      <w:r w:rsidRPr="00342D7E">
        <w:t>W pozycji „Instrumenty pochodne – rachunkowość zabezpieczeń, ryzyko stopy procentowej” uwzględnia się przychody</w:t>
      </w:r>
      <w:r w:rsidR="00342D7E" w:rsidRPr="00342D7E">
        <w:t xml:space="preserve"> i</w:t>
      </w:r>
      <w:r w:rsidR="00342D7E">
        <w:t> </w:t>
      </w:r>
      <w:r w:rsidR="00342D7E" w:rsidRPr="00342D7E">
        <w:t>kos</w:t>
      </w:r>
      <w:r w:rsidRPr="00342D7E">
        <w:t>zty odsetkowe</w:t>
      </w:r>
      <w:r w:rsidR="00342D7E" w:rsidRPr="00342D7E">
        <w:t xml:space="preserve"> z</w:t>
      </w:r>
      <w:r w:rsidR="00342D7E">
        <w:t> </w:t>
      </w:r>
      <w:r w:rsidR="00342D7E" w:rsidRPr="00342D7E">
        <w:t>tyt</w:t>
      </w:r>
      <w:r w:rsidRPr="00342D7E">
        <w:t>ułu instrumentów zabezpieczających,</w:t>
      </w:r>
      <w:r w:rsidR="00342D7E" w:rsidRPr="00342D7E">
        <w:t xml:space="preserve"> w</w:t>
      </w:r>
      <w:r w:rsidR="00342D7E">
        <w:t> </w:t>
      </w:r>
      <w:r w:rsidR="00342D7E" w:rsidRPr="00342D7E">
        <w:t>prz</w:t>
      </w:r>
      <w:r w:rsidRPr="00342D7E">
        <w:t>ypadku gdy pozycje zabezpieczane generują odsetki.</w:t>
      </w:r>
      <w:r w:rsidR="00342D7E" w:rsidRPr="00342D7E">
        <w:t xml:space="preserve"> </w:t>
      </w:r>
    </w:p>
    <w:p w:rsidR="00D35B0C" w:rsidRPr="00342D7E" w:rsidRDefault="00A834F1">
      <w:pPr>
        <w:pStyle w:val="Baseparagraphnumbered"/>
        <w:tabs>
          <w:tab w:val="left" w:pos="851"/>
        </w:tabs>
        <w:ind w:left="709"/>
      </w:pPr>
      <w:r w:rsidRPr="00342D7E">
        <w:t>Jeżeli stosowana jest cena czysta, odsetki od instrumentów pochodnych przeznaczonych do obrotu obejmują kwoty związane</w:t>
      </w:r>
      <w:r w:rsidR="00342D7E" w:rsidRPr="00342D7E">
        <w:t xml:space="preserve"> z</w:t>
      </w:r>
      <w:r w:rsidR="00342D7E">
        <w:t> </w:t>
      </w:r>
      <w:r w:rsidR="00342D7E" w:rsidRPr="00342D7E">
        <w:t>tym</w:t>
      </w:r>
      <w:r w:rsidRPr="00342D7E">
        <w:t>i instrumentami pochodnymi przeznaczonymi do obrotu, które kwalifikują się jako „zabezpieczenia ekonomiczne”, uwzględnione jako przychody lub koszty odsetkowe</w:t>
      </w:r>
      <w:r w:rsidR="00342D7E" w:rsidRPr="00342D7E">
        <w:t xml:space="preserve"> w</w:t>
      </w:r>
      <w:r w:rsidR="00342D7E">
        <w:t> </w:t>
      </w:r>
      <w:r w:rsidR="00342D7E" w:rsidRPr="00342D7E">
        <w:t>cel</w:t>
      </w:r>
      <w:r w:rsidRPr="00342D7E">
        <w:t>u skorygowania przychodów</w:t>
      </w:r>
      <w:r w:rsidR="00342D7E" w:rsidRPr="00342D7E">
        <w:t xml:space="preserve"> i</w:t>
      </w:r>
      <w:r w:rsidR="00342D7E">
        <w:t> </w:t>
      </w:r>
      <w:r w:rsidR="00342D7E" w:rsidRPr="00342D7E">
        <w:t>kos</w:t>
      </w:r>
      <w:r w:rsidRPr="00342D7E">
        <w:t>ztów generowanych przez zabezpieczane instrumenty finansowe</w:t>
      </w:r>
      <w:r w:rsidR="00342D7E" w:rsidRPr="00342D7E">
        <w:t xml:space="preserve"> z</w:t>
      </w:r>
      <w:r w:rsidR="00342D7E">
        <w:t> </w:t>
      </w:r>
      <w:r w:rsidR="00342D7E" w:rsidRPr="00342D7E">
        <w:t>eko</w:t>
      </w:r>
      <w:r w:rsidRPr="00342D7E">
        <w:t>nomicznego, ale nie</w:t>
      </w:r>
      <w:r w:rsidR="00342D7E" w:rsidRPr="00342D7E">
        <w:t xml:space="preserve"> z</w:t>
      </w:r>
      <w:r w:rsidR="00342D7E">
        <w:t> </w:t>
      </w:r>
      <w:r w:rsidR="00342D7E" w:rsidRPr="00342D7E">
        <w:t>ksi</w:t>
      </w:r>
      <w:r w:rsidRPr="00342D7E">
        <w:t>ęgowego punktu widzenia</w:t>
      </w:r>
      <w:r w:rsidR="00342D7E" w:rsidRPr="00342D7E">
        <w:t>. W</w:t>
      </w:r>
      <w:r w:rsidR="00342D7E">
        <w:t> </w:t>
      </w:r>
      <w:r w:rsidR="00342D7E" w:rsidRPr="00342D7E">
        <w:t>tak</w:t>
      </w:r>
      <w:r w:rsidRPr="00342D7E">
        <w:t>im przypadku przychody odsetkowe</w:t>
      </w:r>
      <w:r w:rsidR="00342D7E" w:rsidRPr="00342D7E">
        <w:t xml:space="preserve"> z</w:t>
      </w:r>
      <w:r w:rsidR="00342D7E">
        <w:t> </w:t>
      </w:r>
      <w:r w:rsidR="00342D7E" w:rsidRPr="00342D7E">
        <w:t>tyt</w:t>
      </w:r>
      <w:r w:rsidRPr="00342D7E">
        <w:t xml:space="preserve">ułu </w:t>
      </w:r>
      <w:r w:rsidRPr="00342D7E">
        <w:lastRenderedPageBreak/>
        <w:t>instrumentów pochodnych stanowiących zabezpieczenie ekonomiczne zgłasza się osobno</w:t>
      </w:r>
      <w:r w:rsidR="00342D7E" w:rsidRPr="00342D7E">
        <w:t xml:space="preserve"> w</w:t>
      </w:r>
      <w:r w:rsidR="00342D7E">
        <w:t> </w:t>
      </w:r>
      <w:r w:rsidR="00342D7E" w:rsidRPr="00342D7E">
        <w:t>ram</w:t>
      </w:r>
      <w:r w:rsidRPr="00342D7E">
        <w:t>ach przychodów odsetkowych</w:t>
      </w:r>
      <w:r w:rsidR="00342D7E" w:rsidRPr="00342D7E">
        <w:t xml:space="preserve"> z</w:t>
      </w:r>
      <w:r w:rsidR="00342D7E">
        <w:t> </w:t>
      </w:r>
      <w:r w:rsidR="00342D7E" w:rsidRPr="00342D7E">
        <w:t>tyt</w:t>
      </w:r>
      <w:r w:rsidRPr="00342D7E">
        <w:t>ułu instrumentów pochodnych przeznaczonych do obrotu. Opłaty przypisane do poszczególnych okresów</w:t>
      </w:r>
      <w:r w:rsidR="00342D7E" w:rsidRPr="00342D7E">
        <w:t xml:space="preserve"> i</w:t>
      </w:r>
      <w:r w:rsidR="00342D7E">
        <w:t> </w:t>
      </w:r>
      <w:r w:rsidR="00342D7E" w:rsidRPr="00342D7E">
        <w:t>pła</w:t>
      </w:r>
      <w:r w:rsidRPr="00342D7E">
        <w:t>tności wyrównawcze</w:t>
      </w:r>
      <w:r w:rsidR="00342D7E" w:rsidRPr="00342D7E">
        <w:t xml:space="preserve"> w</w:t>
      </w:r>
      <w:r w:rsidR="00342D7E">
        <w:t> </w:t>
      </w:r>
      <w:r w:rsidR="00342D7E" w:rsidRPr="00342D7E">
        <w:t>odn</w:t>
      </w:r>
      <w:r w:rsidRPr="00342D7E">
        <w:t>iesieniu do kredytowych instrumentów pochodnych wycenianych według wartości godziwej</w:t>
      </w:r>
      <w:r w:rsidR="00342D7E" w:rsidRPr="00342D7E">
        <w:t xml:space="preserve"> i</w:t>
      </w:r>
      <w:r w:rsidR="00342D7E">
        <w:t> </w:t>
      </w:r>
      <w:r w:rsidR="00342D7E" w:rsidRPr="00342D7E">
        <w:t>wyk</w:t>
      </w:r>
      <w:r w:rsidRPr="00342D7E">
        <w:t>orzystywanych do zarządzania ryzykiem kredytowym całości lub części instrumentu finansowego, który przy tej okazji wyznaczono jako wyceniany według wartości godziwej, również zgłasza się</w:t>
      </w:r>
      <w:r w:rsidR="00342D7E" w:rsidRPr="00342D7E">
        <w:t xml:space="preserve"> w</w:t>
      </w:r>
      <w:r w:rsidR="00342D7E">
        <w:t> </w:t>
      </w:r>
      <w:r w:rsidR="00342D7E" w:rsidRPr="00342D7E">
        <w:t>ram</w:t>
      </w:r>
      <w:r w:rsidRPr="00342D7E">
        <w:t>ach przychodów odsetkowych</w:t>
      </w:r>
      <w:r w:rsidR="00342D7E" w:rsidRPr="00342D7E">
        <w:t xml:space="preserve"> z</w:t>
      </w:r>
      <w:r w:rsidR="00342D7E">
        <w:t> </w:t>
      </w:r>
      <w:r w:rsidR="00342D7E" w:rsidRPr="00342D7E">
        <w:t>tyt</w:t>
      </w:r>
      <w:r w:rsidRPr="00342D7E">
        <w:t>ułu instrumentów pochodnych przeznaczonych do obrotu.</w:t>
      </w:r>
    </w:p>
    <w:p w:rsidR="00D35B0C" w:rsidRPr="00342D7E" w:rsidRDefault="00A834F1">
      <w:pPr>
        <w:pStyle w:val="Baseparagraphnumbered"/>
        <w:tabs>
          <w:tab w:val="left" w:pos="851"/>
        </w:tabs>
        <w:ind w:left="709"/>
      </w:pPr>
      <w:r w:rsidRPr="00342D7E">
        <w:t>Zgodnie z MSSF „w tym: przychody odsetkowe</w:t>
      </w:r>
      <w:r w:rsidR="00342D7E" w:rsidRPr="00342D7E">
        <w:t xml:space="preserve"> z</w:t>
      </w:r>
      <w:r w:rsidR="00342D7E">
        <w:t> </w:t>
      </w:r>
      <w:r w:rsidR="00342D7E" w:rsidRPr="00342D7E">
        <w:t>akt</w:t>
      </w:r>
      <w:r w:rsidRPr="00342D7E">
        <w:t>ywów finansowych dotkniętych utratą wartości ze względu na ryzyko kredytowe” oznaczają przychody odsetkowe</w:t>
      </w:r>
      <w:r w:rsidR="00342D7E" w:rsidRPr="00342D7E">
        <w:t xml:space="preserve"> z</w:t>
      </w:r>
      <w:r w:rsidR="00342D7E">
        <w:t> </w:t>
      </w:r>
      <w:r w:rsidR="00342D7E" w:rsidRPr="00342D7E">
        <w:t>tyt</w:t>
      </w:r>
      <w:r w:rsidRPr="00342D7E">
        <w:t>ułu aktywów finansowych dotkniętych utratą wartości ze względu na ryzyko kredytowe,</w:t>
      </w:r>
      <w:r w:rsidR="00342D7E" w:rsidRPr="00342D7E">
        <w:t xml:space="preserve"> w</w:t>
      </w:r>
      <w:r w:rsidR="00342D7E">
        <w:t> </w:t>
      </w:r>
      <w:r w:rsidR="00342D7E" w:rsidRPr="00342D7E">
        <w:t>tym</w:t>
      </w:r>
      <w:r w:rsidRPr="00342D7E">
        <w:t xml:space="preserve"> zakupionych lub utworzonych aktywów finansowych dotkniętych utratą wartości ze względu na ryzyko kredytowe. Zgodnie</w:t>
      </w:r>
      <w:r w:rsidR="00342D7E" w:rsidRPr="00342D7E">
        <w:t xml:space="preserve"> z</w:t>
      </w:r>
      <w:r w:rsidR="00342D7E">
        <w:t> </w:t>
      </w:r>
      <w:r w:rsidR="00342D7E" w:rsidRPr="00342D7E">
        <w:t>kra</w:t>
      </w:r>
      <w:r w:rsidRPr="00342D7E">
        <w:t>jowymi ogólnie przyjętymi zasadami rachunkowości opartymi na BAD obejmuje ona przychody odsetkowe</w:t>
      </w:r>
      <w:r w:rsidR="00342D7E" w:rsidRPr="00342D7E">
        <w:t xml:space="preserve"> z</w:t>
      </w:r>
      <w:r w:rsidR="00342D7E">
        <w:t> </w:t>
      </w:r>
      <w:r w:rsidR="00342D7E" w:rsidRPr="00342D7E">
        <w:t>tyt</w:t>
      </w:r>
      <w:r w:rsidRPr="00342D7E">
        <w:t>ułu aktywów dotkniętych utratą wartości objętych indywidualnymi odpisami aktualizującymi</w:t>
      </w:r>
      <w:r w:rsidR="00342D7E" w:rsidRPr="00342D7E">
        <w:t xml:space="preserve"> z</w:t>
      </w:r>
      <w:r w:rsidR="00342D7E">
        <w:t> </w:t>
      </w:r>
      <w:r w:rsidR="00342D7E" w:rsidRPr="00342D7E">
        <w:t>tyt</w:t>
      </w:r>
      <w:r w:rsidRPr="00342D7E">
        <w:t>ułu utraty wartości</w:t>
      </w:r>
      <w:r w:rsidR="00342D7E" w:rsidRPr="00342D7E">
        <w:t xml:space="preserve"> z</w:t>
      </w:r>
      <w:r w:rsidR="00342D7E">
        <w:t> </w:t>
      </w:r>
      <w:r w:rsidR="00342D7E" w:rsidRPr="00342D7E">
        <w:t>tyt</w:t>
      </w:r>
      <w:r w:rsidRPr="00342D7E">
        <w:t>ułu ryzyka kredytowego.</w:t>
      </w:r>
    </w:p>
    <w:p w:rsidR="00D35B0C" w:rsidRPr="00342D7E" w:rsidRDefault="00A54B83">
      <w:pPr>
        <w:pStyle w:val="Baseparagraphnumbered"/>
        <w:numPr>
          <w:ilvl w:val="0"/>
          <w:numId w:val="0"/>
        </w:numPr>
        <w:ind w:left="782" w:hanging="357"/>
      </w:pPr>
      <w:r w:rsidRPr="00342D7E">
        <w:t>194i.</w:t>
      </w:r>
      <w:r w:rsidRPr="00342D7E">
        <w:tab/>
        <w:t>„</w:t>
      </w:r>
      <w:proofErr w:type="gramStart"/>
      <w:r w:rsidRPr="00342D7E">
        <w:t>w</w:t>
      </w:r>
      <w:proofErr w:type="gramEnd"/>
      <w:r w:rsidRPr="00342D7E">
        <w:t xml:space="preserve"> tym: kredyt konsumpcyjny” oraz „w tym: kredyty na zakup nieruchomości mieszkalnej” odzwierciedlają przychody</w:t>
      </w:r>
      <w:r w:rsidR="00342D7E" w:rsidRPr="00342D7E">
        <w:t xml:space="preserve"> i</w:t>
      </w:r>
      <w:r w:rsidR="00342D7E">
        <w:t> </w:t>
      </w:r>
      <w:r w:rsidR="00342D7E" w:rsidRPr="00342D7E">
        <w:t>kos</w:t>
      </w:r>
      <w:r w:rsidRPr="00342D7E">
        <w:t>zty</w:t>
      </w:r>
      <w:r w:rsidR="00342D7E" w:rsidRPr="00342D7E">
        <w:t xml:space="preserve"> z</w:t>
      </w:r>
      <w:r w:rsidR="00342D7E">
        <w:t> </w:t>
      </w:r>
      <w:r w:rsidR="00342D7E" w:rsidRPr="00342D7E">
        <w:t>tyt</w:t>
      </w:r>
      <w:r w:rsidRPr="00342D7E">
        <w:t>ułu kredytów</w:t>
      </w:r>
      <w:r w:rsidR="00342D7E" w:rsidRPr="00342D7E">
        <w:t xml:space="preserve"> i</w:t>
      </w:r>
      <w:r w:rsidR="00342D7E">
        <w:t> </w:t>
      </w:r>
      <w:r w:rsidR="00342D7E" w:rsidRPr="00342D7E">
        <w:t>zal</w:t>
      </w:r>
      <w:r w:rsidRPr="00342D7E">
        <w:t>iczek, jak opisano</w:t>
      </w:r>
      <w:r w:rsidR="00342D7E" w:rsidRPr="00342D7E">
        <w:t xml:space="preserve"> w</w:t>
      </w:r>
      <w:r w:rsidR="00342D7E">
        <w:t> </w:t>
      </w:r>
      <w:r w:rsidR="00342D7E" w:rsidRPr="00342D7E">
        <w:t>pkt </w:t>
      </w:r>
      <w:r w:rsidRPr="00342D7E">
        <w:t>88 niniejszej części.</w:t>
      </w:r>
    </w:p>
    <w:p w:rsidR="00D35B0C" w:rsidRPr="00342D7E" w:rsidRDefault="00A54B83">
      <w:pPr>
        <w:pStyle w:val="Baseparagraphnumbered"/>
        <w:numPr>
          <w:ilvl w:val="0"/>
          <w:numId w:val="0"/>
        </w:numPr>
        <w:ind w:left="782" w:hanging="357"/>
      </w:pPr>
      <w:r w:rsidRPr="00342D7E">
        <w:t>194ii.</w:t>
      </w:r>
      <w:r w:rsidRPr="00342D7E">
        <w:tab/>
        <w:t>„</w:t>
      </w:r>
      <w:proofErr w:type="gramStart"/>
      <w:r w:rsidRPr="00342D7E">
        <w:t>w</w:t>
      </w:r>
      <w:proofErr w:type="gramEnd"/>
      <w:r w:rsidRPr="00342D7E">
        <w:t xml:space="preserve"> tym: odsetki od leasingów” odzwierciedlają odpowiednio przychody odsetkowe leasingodawcy</w:t>
      </w:r>
      <w:r w:rsidR="00342D7E" w:rsidRPr="00342D7E">
        <w:t xml:space="preserve"> z</w:t>
      </w:r>
      <w:r w:rsidR="00342D7E">
        <w:t> </w:t>
      </w:r>
      <w:r w:rsidR="00342D7E" w:rsidRPr="00342D7E">
        <w:t>tyt</w:t>
      </w:r>
      <w:r w:rsidRPr="00342D7E">
        <w:t>ułu należności leasingowych (leasingi finansowe) oraz koszty odsetkowe leasingobiorcy</w:t>
      </w:r>
      <w:r w:rsidR="00342D7E" w:rsidRPr="00342D7E">
        <w:t xml:space="preserve"> z</w:t>
      </w:r>
      <w:r w:rsidR="00342D7E">
        <w:t> </w:t>
      </w:r>
      <w:r w:rsidR="00342D7E" w:rsidRPr="00342D7E">
        <w:t>tyt</w:t>
      </w:r>
      <w:r w:rsidRPr="00342D7E">
        <w:t>ułu zobowiązań</w:t>
      </w:r>
      <w:r w:rsidR="00342D7E" w:rsidRPr="00342D7E">
        <w:t xml:space="preserve"> z</w:t>
      </w:r>
      <w:r w:rsidR="00342D7E">
        <w:t> </w:t>
      </w:r>
      <w:r w:rsidR="00342D7E" w:rsidRPr="00342D7E">
        <w:t>tyt</w:t>
      </w:r>
      <w:r w:rsidRPr="00342D7E">
        <w:t>ułu leasingu.</w:t>
      </w:r>
    </w:p>
    <w:p w:rsidR="00D35B0C" w:rsidRPr="00342D7E" w:rsidRDefault="00A834F1">
      <w:pPr>
        <w:pStyle w:val="sub-subtitlenumbered"/>
        <w:jc w:val="both"/>
      </w:pPr>
      <w:bookmarkStart w:id="45" w:name="_Toc31019147"/>
      <w:r w:rsidRPr="00342D7E">
        <w:t>Zyski lub straty</w:t>
      </w:r>
      <w:r w:rsidR="00342D7E" w:rsidRPr="00342D7E">
        <w:t xml:space="preserve"> z</w:t>
      </w:r>
      <w:r w:rsidR="00342D7E">
        <w:t> </w:t>
      </w:r>
      <w:r w:rsidR="00342D7E" w:rsidRPr="00342D7E">
        <w:t>tyt</w:t>
      </w:r>
      <w:r w:rsidRPr="00342D7E">
        <w:t>ułu zaprzestania ujmowania aktywów</w:t>
      </w:r>
      <w:r w:rsidR="00342D7E" w:rsidRPr="00342D7E">
        <w:t xml:space="preserve"> i</w:t>
      </w:r>
      <w:r w:rsidR="00342D7E">
        <w:t> </w:t>
      </w:r>
      <w:r w:rsidR="00342D7E" w:rsidRPr="00342D7E">
        <w:t>zob</w:t>
      </w:r>
      <w:r w:rsidRPr="00342D7E">
        <w:t>owiązań finansowych niewycenianych według wartości godziwej przez wynik finansowy według instrumentów (16.2)</w:t>
      </w:r>
      <w:bookmarkEnd w:id="45"/>
    </w:p>
    <w:p w:rsidR="00D35B0C" w:rsidRPr="00342D7E" w:rsidRDefault="00A834F1">
      <w:pPr>
        <w:pStyle w:val="Baseparagraphnumbered"/>
        <w:tabs>
          <w:tab w:val="left" w:pos="851"/>
        </w:tabs>
        <w:ind w:left="709"/>
      </w:pPr>
      <w:r w:rsidRPr="00342D7E">
        <w:t>Zyski lub straty</w:t>
      </w:r>
      <w:r w:rsidR="00342D7E" w:rsidRPr="00342D7E">
        <w:t xml:space="preserve"> z</w:t>
      </w:r>
      <w:r w:rsidR="00342D7E">
        <w:t> </w:t>
      </w:r>
      <w:r w:rsidR="00342D7E" w:rsidRPr="00342D7E">
        <w:t>tyt</w:t>
      </w:r>
      <w:r w:rsidRPr="00342D7E">
        <w:t>ułu zaprzestania ujmowania aktywów</w:t>
      </w:r>
      <w:r w:rsidR="00342D7E" w:rsidRPr="00342D7E">
        <w:t xml:space="preserve"> i</w:t>
      </w:r>
      <w:r w:rsidR="00342D7E">
        <w:t> </w:t>
      </w:r>
      <w:r w:rsidR="00342D7E" w:rsidRPr="00342D7E">
        <w:t>zob</w:t>
      </w:r>
      <w:r w:rsidRPr="00342D7E">
        <w:t>owiązań finansowych niewycenianych według wartości godziwej przez wynik finansowy dzieli się według rodzajów instrumentów finansowych</w:t>
      </w:r>
      <w:r w:rsidR="00342D7E" w:rsidRPr="00342D7E">
        <w:t xml:space="preserve"> i</w:t>
      </w:r>
      <w:r w:rsidR="00342D7E">
        <w:t> </w:t>
      </w:r>
      <w:r w:rsidR="00342D7E" w:rsidRPr="00342D7E">
        <w:t>wed</w:t>
      </w:r>
      <w:r w:rsidRPr="00342D7E">
        <w:t>ług portfeli księgowych</w:t>
      </w:r>
      <w:r w:rsidR="00342D7E" w:rsidRPr="00342D7E">
        <w:t>. W</w:t>
      </w:r>
      <w:r w:rsidR="00342D7E">
        <w:t> </w:t>
      </w:r>
      <w:r w:rsidR="00342D7E" w:rsidRPr="00342D7E">
        <w:t>odn</w:t>
      </w:r>
      <w:r w:rsidRPr="00342D7E">
        <w:t>iesieniu do każdej pozycji zgłasza się zrealizowane zyski lub straty netto</w:t>
      </w:r>
      <w:r w:rsidR="00342D7E" w:rsidRPr="00342D7E">
        <w:t xml:space="preserve"> z</w:t>
      </w:r>
      <w:r w:rsidR="00342D7E">
        <w:t> </w:t>
      </w:r>
      <w:r w:rsidR="00342D7E" w:rsidRPr="00342D7E">
        <w:t>tyt</w:t>
      </w:r>
      <w:r w:rsidRPr="00342D7E">
        <w:t>ułu transakcji, której ujmowania zaprzestano. Kwota netto odpowiada różnicy między zrealizowanymi zyskami</w:t>
      </w:r>
      <w:r w:rsidR="00342D7E" w:rsidRPr="00342D7E">
        <w:t xml:space="preserve"> a</w:t>
      </w:r>
      <w:r w:rsidR="00342D7E">
        <w:t> </w:t>
      </w:r>
      <w:r w:rsidR="00342D7E" w:rsidRPr="00342D7E">
        <w:t>zre</w:t>
      </w:r>
      <w:r w:rsidRPr="00342D7E">
        <w:t>alizowanymi stratami.</w:t>
      </w:r>
    </w:p>
    <w:p w:rsidR="00D35B0C" w:rsidRPr="00342D7E" w:rsidRDefault="00A834F1">
      <w:pPr>
        <w:pStyle w:val="Baseparagraphnumbered"/>
        <w:tabs>
          <w:tab w:val="left" w:pos="851"/>
        </w:tabs>
        <w:ind w:left="709"/>
      </w:pPr>
      <w:r w:rsidRPr="00342D7E">
        <w:t xml:space="preserve">Wzór 16.2 </w:t>
      </w:r>
      <w:proofErr w:type="gramStart"/>
      <w:r w:rsidRPr="00342D7E">
        <w:t>stosuje</w:t>
      </w:r>
      <w:proofErr w:type="gramEnd"/>
      <w:r w:rsidRPr="00342D7E">
        <w:t xml:space="preserve"> się zgodnie z MSSF do aktywów</w:t>
      </w:r>
      <w:r w:rsidR="00342D7E" w:rsidRPr="00342D7E">
        <w:t xml:space="preserve"> i</w:t>
      </w:r>
      <w:r w:rsidR="00342D7E">
        <w:t> </w:t>
      </w:r>
      <w:r w:rsidR="00342D7E" w:rsidRPr="00342D7E">
        <w:t>zob</w:t>
      </w:r>
      <w:r w:rsidRPr="00342D7E">
        <w:t>owiązań finansowych wycenianych według kosztu zamortyzowanego oraz instrumentów dłużnych wycenianych według wartości godziwej przez inne całkowite dochody. Zgodnie</w:t>
      </w:r>
      <w:r w:rsidR="00342D7E" w:rsidRPr="00342D7E">
        <w:t xml:space="preserve"> z</w:t>
      </w:r>
      <w:r w:rsidR="00342D7E">
        <w:t> </w:t>
      </w:r>
      <w:r w:rsidR="00342D7E" w:rsidRPr="00342D7E">
        <w:t>kra</w:t>
      </w:r>
      <w:r w:rsidRPr="00342D7E">
        <w:t xml:space="preserve">jowymi ogólnie przyjętymi zasadami rachunkowości opartymi na BAD wzór 16.2 </w:t>
      </w:r>
      <w:proofErr w:type="gramStart"/>
      <w:r w:rsidRPr="00342D7E">
        <w:t>stosuje</w:t>
      </w:r>
      <w:proofErr w:type="gramEnd"/>
      <w:r w:rsidRPr="00342D7E">
        <w:t xml:space="preserve"> się do aktywów finansowych wycenianych według metody ceny nabycia, według wartości godziwej przez kapitały oraz według innych metod wyceny, takich jak wycena według LOCOM</w:t>
      </w:r>
      <w:r w:rsidR="00342D7E" w:rsidRPr="00342D7E">
        <w:t>. W</w:t>
      </w:r>
      <w:r w:rsidR="00342D7E">
        <w:t> </w:t>
      </w:r>
      <w:r w:rsidR="00342D7E" w:rsidRPr="00342D7E">
        <w:t>tym</w:t>
      </w:r>
      <w:r w:rsidRPr="00342D7E">
        <w:t xml:space="preserve"> wzorze nie zgłasza się zysków lub strat</w:t>
      </w:r>
      <w:r w:rsidR="00342D7E" w:rsidRPr="00342D7E">
        <w:t xml:space="preserve"> z</w:t>
      </w:r>
      <w:r w:rsidR="00342D7E">
        <w:t> </w:t>
      </w:r>
      <w:r w:rsidR="00342D7E" w:rsidRPr="00342D7E">
        <w:t>tyt</w:t>
      </w:r>
      <w:r w:rsidRPr="00342D7E">
        <w:t>ułu instrumentów finansowych zaklasyfikowanych jako „z przeznaczeniem do obrotu” zgodnie</w:t>
      </w:r>
      <w:r w:rsidR="00342D7E" w:rsidRPr="00342D7E">
        <w:t xml:space="preserve"> z</w:t>
      </w:r>
      <w:r w:rsidR="00342D7E">
        <w:t> </w:t>
      </w:r>
      <w:r w:rsidR="00342D7E" w:rsidRPr="00342D7E">
        <w:t>odp</w:t>
      </w:r>
      <w:r w:rsidRPr="00342D7E">
        <w:t xml:space="preserve">owiednimi krajowymi ogólnie </w:t>
      </w:r>
      <w:r w:rsidRPr="00342D7E">
        <w:lastRenderedPageBreak/>
        <w:t>przyjętymi zasadami rachunkowości opartymi na BAD, niezależnie od zasad wyceny mających zastosowanie do tych instrumentów.</w:t>
      </w:r>
    </w:p>
    <w:p w:rsidR="00D35B0C" w:rsidRPr="00342D7E" w:rsidRDefault="00A834F1">
      <w:pPr>
        <w:pStyle w:val="sub-subtitlenumbered"/>
      </w:pPr>
      <w:bookmarkStart w:id="46" w:name="_Toc31019148"/>
      <w:r w:rsidRPr="00342D7E">
        <w:t>Zyski lub straty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przeznaczonych do obrotu oraz aktywów</w:t>
      </w:r>
      <w:r w:rsidR="00342D7E" w:rsidRPr="00342D7E">
        <w:t xml:space="preserve"> i</w:t>
      </w:r>
      <w:r w:rsidR="00342D7E">
        <w:t> </w:t>
      </w:r>
      <w:r w:rsidR="00342D7E" w:rsidRPr="00342D7E">
        <w:t>zob</w:t>
      </w:r>
      <w:r w:rsidRPr="00342D7E">
        <w:t>owiązań finansowych</w:t>
      </w:r>
      <w:r w:rsidR="00342D7E" w:rsidRPr="00342D7E">
        <w:t xml:space="preserve"> z</w:t>
      </w:r>
      <w:r w:rsidR="00342D7E">
        <w:t> </w:t>
      </w:r>
      <w:r w:rsidR="00342D7E" w:rsidRPr="00342D7E">
        <w:t>prz</w:t>
      </w:r>
      <w:r w:rsidRPr="00342D7E">
        <w:t>eznaczeniem do obrotu według instrumentu (16.3)</w:t>
      </w:r>
      <w:bookmarkEnd w:id="46"/>
    </w:p>
    <w:p w:rsidR="00D35B0C" w:rsidRPr="00342D7E" w:rsidRDefault="00A834F1">
      <w:pPr>
        <w:pStyle w:val="Baseparagraphnumbered"/>
        <w:tabs>
          <w:tab w:val="left" w:pos="851"/>
        </w:tabs>
        <w:ind w:left="709"/>
      </w:pPr>
      <w:r w:rsidRPr="00342D7E">
        <w:t>Zyski lub straty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przeznaczonych do obrotu zgłasza się według rodzajów instrumentów; każda pozycja podziału odpowiada zrealizowanej</w:t>
      </w:r>
      <w:r w:rsidR="00342D7E" w:rsidRPr="00342D7E">
        <w:t xml:space="preserve"> i</w:t>
      </w:r>
      <w:r w:rsidR="00342D7E">
        <w:t> </w:t>
      </w:r>
      <w:r w:rsidR="00342D7E" w:rsidRPr="00342D7E">
        <w:t>nie</w:t>
      </w:r>
      <w:r w:rsidRPr="00342D7E">
        <w:t>zrealizowanej kwocie netto (zyski pomniejszone</w:t>
      </w:r>
      <w:r w:rsidR="00342D7E" w:rsidRPr="00342D7E">
        <w:t xml:space="preserve"> o</w:t>
      </w:r>
      <w:r w:rsidR="00342D7E">
        <w:t> </w:t>
      </w:r>
      <w:r w:rsidR="00342D7E" w:rsidRPr="00342D7E">
        <w:t>str</w:t>
      </w:r>
      <w:r w:rsidRPr="00342D7E">
        <w:t>aty) instrumentu finansowego.</w:t>
      </w:r>
    </w:p>
    <w:p w:rsidR="00D35B0C" w:rsidRPr="00342D7E" w:rsidRDefault="00A834F1">
      <w:pPr>
        <w:pStyle w:val="Baseparagraphnumbered"/>
      </w:pPr>
      <w:r w:rsidRPr="00342D7E">
        <w:t>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transakcji walutowych na rynku kasowym,</w:t>
      </w:r>
      <w:r w:rsidR="00342D7E" w:rsidRPr="00342D7E">
        <w:t xml:space="preserve"> z</w:t>
      </w:r>
      <w:r w:rsidR="00342D7E">
        <w:t> </w:t>
      </w:r>
      <w:r w:rsidR="00342D7E" w:rsidRPr="00342D7E">
        <w:t>wył</w:t>
      </w:r>
      <w:r w:rsidRPr="00342D7E">
        <w:t>ączeniem wymiany zagranicznych banknotów</w:t>
      </w:r>
      <w:r w:rsidR="00342D7E" w:rsidRPr="00342D7E">
        <w:t xml:space="preserve"> i</w:t>
      </w:r>
      <w:r w:rsidR="00342D7E">
        <w:t> </w:t>
      </w:r>
      <w:r w:rsidR="00342D7E" w:rsidRPr="00342D7E">
        <w:t>mon</w:t>
      </w:r>
      <w:r w:rsidRPr="00342D7E">
        <w:t>et, uwzględnia się jako zyski</w:t>
      </w:r>
      <w:r w:rsidR="00342D7E" w:rsidRPr="00342D7E">
        <w:t xml:space="preserve"> i</w:t>
      </w:r>
      <w:r w:rsidR="00342D7E">
        <w:t> </w:t>
      </w:r>
      <w:r w:rsidR="00342D7E" w:rsidRPr="00342D7E">
        <w:t>str</w:t>
      </w:r>
      <w:r w:rsidRPr="00342D7E">
        <w:t>aty handlowe. Zysków lub strat</w:t>
      </w:r>
      <w:r w:rsidR="00342D7E" w:rsidRPr="00342D7E">
        <w:t xml:space="preserve"> z</w:t>
      </w:r>
      <w:r w:rsidR="00342D7E">
        <w:t> </w:t>
      </w:r>
      <w:r w:rsidR="00342D7E" w:rsidRPr="00342D7E">
        <w:t>tyt</w:t>
      </w:r>
      <w:r w:rsidRPr="00342D7E">
        <w:t>ułu obrotu metalami szlachetnymi lub zaprzestania ujmowania</w:t>
      </w:r>
      <w:r w:rsidR="00342D7E" w:rsidRPr="00342D7E">
        <w:t xml:space="preserve"> i</w:t>
      </w:r>
      <w:r w:rsidR="00342D7E">
        <w:t> </w:t>
      </w:r>
      <w:r w:rsidR="00342D7E" w:rsidRPr="00342D7E">
        <w:t>pon</w:t>
      </w:r>
      <w:r w:rsidRPr="00342D7E">
        <w:t>ownej wyceny nie uwzględnia się</w:t>
      </w:r>
      <w:r w:rsidR="00342D7E" w:rsidRPr="00342D7E">
        <w:t xml:space="preserve"> w</w:t>
      </w:r>
      <w:r w:rsidR="00342D7E">
        <w:t> </w:t>
      </w:r>
      <w:r w:rsidR="00342D7E" w:rsidRPr="00342D7E">
        <w:t>zys</w:t>
      </w:r>
      <w:r w:rsidRPr="00342D7E">
        <w:t>kach</w:t>
      </w:r>
      <w:r w:rsidR="00342D7E" w:rsidRPr="00342D7E">
        <w:t xml:space="preserve"> i</w:t>
      </w:r>
      <w:r w:rsidR="00342D7E">
        <w:t> </w:t>
      </w:r>
      <w:r w:rsidR="00342D7E" w:rsidRPr="00342D7E">
        <w:t>str</w:t>
      </w:r>
      <w:r w:rsidRPr="00342D7E">
        <w:t>atach handlowych, lecz</w:t>
      </w:r>
      <w:r w:rsidR="00342D7E" w:rsidRPr="00342D7E">
        <w:t xml:space="preserve"> w</w:t>
      </w:r>
      <w:r w:rsidR="00342D7E">
        <w:t> </w:t>
      </w:r>
      <w:r w:rsidR="00342D7E" w:rsidRPr="00342D7E">
        <w:t>poz</w:t>
      </w:r>
      <w:r w:rsidRPr="00342D7E">
        <w:t>ycji „Inne przychody operacyjne” lub „Inne koszty operacyjne” zgodnie</w:t>
      </w:r>
      <w:r w:rsidR="00342D7E" w:rsidRPr="00342D7E">
        <w:t xml:space="preserve"> z</w:t>
      </w:r>
      <w:r w:rsidR="00342D7E">
        <w:t> </w:t>
      </w:r>
      <w:r w:rsidR="00342D7E" w:rsidRPr="00342D7E">
        <w:t>pkt </w:t>
      </w:r>
      <w:r w:rsidRPr="00342D7E">
        <w:t>316 niniejszej części.</w:t>
      </w:r>
    </w:p>
    <w:p w:rsidR="00D35B0C" w:rsidRPr="00342D7E" w:rsidRDefault="00A834F1">
      <w:pPr>
        <w:pStyle w:val="Baseparagraphnumbered"/>
      </w:pPr>
      <w:r w:rsidRPr="00342D7E">
        <w:t>W pozycji „w tym: zabezpieczenia ekonomiczne</w:t>
      </w:r>
      <w:r w:rsidR="00342D7E" w:rsidRPr="00342D7E">
        <w:t xml:space="preserve"> z</w:t>
      </w:r>
      <w:r w:rsidR="00342D7E">
        <w:t> </w:t>
      </w:r>
      <w:r w:rsidR="00342D7E" w:rsidRPr="00342D7E">
        <w:t>wyk</w:t>
      </w:r>
      <w:r w:rsidRPr="00342D7E">
        <w:t>orzystaniem opcji wyceny według wartości godziwej” uwzględnia się wyłącznie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kredytowych instrumentów pochodnych wycenianych według wartości godziwej przez wynik finansowy</w:t>
      </w:r>
      <w:r w:rsidR="00342D7E" w:rsidRPr="00342D7E">
        <w:t xml:space="preserve"> i</w:t>
      </w:r>
      <w:r w:rsidR="00342D7E">
        <w:t> </w:t>
      </w:r>
      <w:r w:rsidR="00342D7E" w:rsidRPr="00342D7E">
        <w:t>wyk</w:t>
      </w:r>
      <w:r w:rsidRPr="00342D7E">
        <w:t>orzystywanych do zarządzania ryzykiem kredytowym całości lub części instrumentu finansowego, który przy tej okazji wyznaczono jako wyceniany według wartości godziwej przez wynik finansowy zgodnie z MSSF 9 pkt</w:t>
      </w:r>
      <w:r w:rsidR="00342D7E" w:rsidRPr="00342D7E">
        <w:t> </w:t>
      </w:r>
      <w:r w:rsidRPr="00342D7E">
        <w:t>6.7. Zyski lub straty</w:t>
      </w:r>
      <w:r w:rsidR="00342D7E" w:rsidRPr="00342D7E">
        <w:t xml:space="preserve"> z</w:t>
      </w:r>
      <w:r w:rsidR="00342D7E">
        <w:t> </w:t>
      </w:r>
      <w:r w:rsidR="00342D7E" w:rsidRPr="00342D7E">
        <w:t>tyt</w:t>
      </w:r>
      <w:r w:rsidRPr="00342D7E">
        <w:t>ułu przeklasyfikowania aktywów finansowych</w:t>
      </w:r>
      <w:r w:rsidR="00342D7E" w:rsidRPr="00342D7E">
        <w:t xml:space="preserve"> z</w:t>
      </w:r>
      <w:r w:rsidR="00342D7E">
        <w:t> </w:t>
      </w:r>
      <w:r w:rsidR="00342D7E" w:rsidRPr="00342D7E">
        <w:t>por</w:t>
      </w:r>
      <w:r w:rsidRPr="00342D7E">
        <w:t>tfela księgowego wycenianego według kosztu zamortyzowanego do portfela księgowego wycenianego według wartości godziwej przez wynik finansowy lub do portfela aktywów przeznaczonych do obrotu (MSSF 9 pkt</w:t>
      </w:r>
      <w:r w:rsidR="00342D7E" w:rsidRPr="00342D7E">
        <w:t> </w:t>
      </w:r>
      <w:r w:rsidRPr="00342D7E">
        <w:t>5.6.2) zgłasza się</w:t>
      </w:r>
      <w:r w:rsidR="00342D7E" w:rsidRPr="00342D7E">
        <w:t xml:space="preserve"> w</w:t>
      </w:r>
      <w:r w:rsidR="00342D7E">
        <w:t> </w:t>
      </w:r>
      <w:r w:rsidR="00342D7E" w:rsidRPr="00342D7E">
        <w:t>poz</w:t>
      </w:r>
      <w:r w:rsidRPr="00342D7E">
        <w:t>ycji: „w tym: zyski</w:t>
      </w:r>
      <w:r w:rsidR="00342D7E" w:rsidRPr="00342D7E">
        <w:t xml:space="preserve"> </w:t>
      </w:r>
      <w:proofErr w:type="gramStart"/>
      <w:r w:rsidR="00342D7E" w:rsidRPr="00342D7E">
        <w:t>i</w:t>
      </w:r>
      <w:proofErr w:type="gramEnd"/>
      <w:r w:rsidR="00342D7E">
        <w:t> </w:t>
      </w:r>
      <w:r w:rsidR="00342D7E" w:rsidRPr="00342D7E">
        <w:t>str</w:t>
      </w:r>
      <w:r w:rsidRPr="00342D7E">
        <w:t>aty</w:t>
      </w:r>
      <w:r w:rsidR="00342D7E" w:rsidRPr="00342D7E">
        <w:t xml:space="preserve"> z</w:t>
      </w:r>
      <w:r w:rsidR="00342D7E">
        <w:t> </w:t>
      </w:r>
      <w:r w:rsidR="00342D7E" w:rsidRPr="00342D7E">
        <w:t>tyt</w:t>
      </w:r>
      <w:r w:rsidRPr="00342D7E">
        <w:t>ułu przeklasyfikowania aktywów według kosztu zamortyzowanego”.</w:t>
      </w:r>
    </w:p>
    <w:p w:rsidR="00D35B0C" w:rsidRPr="00342D7E" w:rsidRDefault="00A834F1">
      <w:pPr>
        <w:pStyle w:val="sub-subtitlenumbered"/>
      </w:pPr>
      <w:bookmarkStart w:id="47" w:name="_Toc31019149"/>
      <w:r w:rsidRPr="00342D7E">
        <w:t>Zyski lub straty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przeznaczonych do obrotu oraz aktywów</w:t>
      </w:r>
      <w:r w:rsidR="00342D7E" w:rsidRPr="00342D7E">
        <w:t xml:space="preserve"> i</w:t>
      </w:r>
      <w:r w:rsidR="00342D7E">
        <w:t> </w:t>
      </w:r>
      <w:r w:rsidR="00342D7E" w:rsidRPr="00342D7E">
        <w:t>zob</w:t>
      </w:r>
      <w:r w:rsidRPr="00342D7E">
        <w:t>owiązań finansowych</w:t>
      </w:r>
      <w:r w:rsidR="00342D7E" w:rsidRPr="00342D7E">
        <w:t xml:space="preserve"> z</w:t>
      </w:r>
      <w:r w:rsidR="00342D7E">
        <w:t> </w:t>
      </w:r>
      <w:r w:rsidR="00342D7E" w:rsidRPr="00342D7E">
        <w:t>prz</w:t>
      </w:r>
      <w:r w:rsidRPr="00342D7E">
        <w:t>eznaczeniem do obrotu według ryzyka (16.4)</w:t>
      </w:r>
      <w:bookmarkEnd w:id="47"/>
    </w:p>
    <w:p w:rsidR="00D35B0C" w:rsidRPr="00342D7E" w:rsidRDefault="00A834F1">
      <w:pPr>
        <w:pStyle w:val="Baseparagraphnumbered"/>
        <w:tabs>
          <w:tab w:val="left" w:pos="851"/>
        </w:tabs>
        <w:ind w:left="709"/>
      </w:pPr>
      <w:r w:rsidRPr="00342D7E">
        <w:t>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przeznaczonych do obrotu dzieli się również według rodzaju ryzyka. Każda pozycja podziału odpowiada zrealizowanej</w:t>
      </w:r>
      <w:r w:rsidR="00342D7E" w:rsidRPr="00342D7E">
        <w:t xml:space="preserve"> i</w:t>
      </w:r>
      <w:r w:rsidR="00342D7E">
        <w:t> </w:t>
      </w:r>
      <w:r w:rsidR="00342D7E" w:rsidRPr="00342D7E">
        <w:t>nie</w:t>
      </w:r>
      <w:r w:rsidRPr="00342D7E">
        <w:t>zrealizowanej kwocie netto (zyski pomniejszone</w:t>
      </w:r>
      <w:r w:rsidR="00342D7E" w:rsidRPr="00342D7E">
        <w:t xml:space="preserve"> o</w:t>
      </w:r>
      <w:r w:rsidR="00342D7E">
        <w:t> </w:t>
      </w:r>
      <w:r w:rsidR="00342D7E" w:rsidRPr="00342D7E">
        <w:t>str</w:t>
      </w:r>
      <w:r w:rsidRPr="00342D7E">
        <w:t>aty) ryzyka bazowego (stopa procentowa, akcje, wymiana walut, kredyty, towary</w:t>
      </w:r>
      <w:r w:rsidR="00342D7E" w:rsidRPr="00342D7E">
        <w:t xml:space="preserve"> i</w:t>
      </w:r>
      <w:r w:rsidR="00342D7E">
        <w:t> </w:t>
      </w:r>
      <w:r w:rsidR="00342D7E" w:rsidRPr="00342D7E">
        <w:t>inn</w:t>
      </w:r>
      <w:r w:rsidRPr="00342D7E">
        <w:t>e) powiązanego</w:t>
      </w:r>
      <w:r w:rsidR="00342D7E" w:rsidRPr="00342D7E">
        <w:t xml:space="preserve"> z</w:t>
      </w:r>
      <w:r w:rsidR="00342D7E">
        <w:t> </w:t>
      </w:r>
      <w:r w:rsidR="00342D7E" w:rsidRPr="00342D7E">
        <w:t>eks</w:t>
      </w:r>
      <w:r w:rsidRPr="00342D7E">
        <w:t>pozycją, uwzględniając powiązane instrumenty pochodne.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różnic kursowych uwzględnia się</w:t>
      </w:r>
      <w:r w:rsidR="00342D7E" w:rsidRPr="00342D7E">
        <w:t xml:space="preserve"> w</w:t>
      </w:r>
      <w:r w:rsidR="00342D7E">
        <w:t> </w:t>
      </w:r>
      <w:r w:rsidR="00342D7E" w:rsidRPr="00342D7E">
        <w:t>poz</w:t>
      </w:r>
      <w:r w:rsidRPr="00342D7E">
        <w:t>ycji,</w:t>
      </w:r>
      <w:r w:rsidR="00342D7E" w:rsidRPr="00342D7E">
        <w:t xml:space="preserve"> w</w:t>
      </w:r>
      <w:r w:rsidR="00342D7E">
        <w:t> </w:t>
      </w:r>
      <w:r w:rsidR="00342D7E" w:rsidRPr="00342D7E">
        <w:t>któ</w:t>
      </w:r>
      <w:r w:rsidRPr="00342D7E">
        <w:t>rej uwzględniono pozostałe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zamienionego instrumentu.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aktywów finansowych</w:t>
      </w:r>
      <w:r w:rsidR="00342D7E" w:rsidRPr="00342D7E">
        <w:t xml:space="preserve"> i</w:t>
      </w:r>
      <w:r w:rsidR="00342D7E">
        <w:t> </w:t>
      </w:r>
      <w:r w:rsidR="00342D7E" w:rsidRPr="00342D7E">
        <w:t>zob</w:t>
      </w:r>
      <w:r w:rsidRPr="00342D7E">
        <w:t>owiązań finansowych innych niż instrumenty pochodne uwzględnia się</w:t>
      </w:r>
      <w:r w:rsidR="00342D7E" w:rsidRPr="00342D7E">
        <w:t xml:space="preserve"> w</w:t>
      </w:r>
      <w:r w:rsidR="00342D7E">
        <w:t> </w:t>
      </w:r>
      <w:r w:rsidR="00342D7E" w:rsidRPr="00342D7E">
        <w:t>kat</w:t>
      </w:r>
      <w:r w:rsidRPr="00342D7E">
        <w:t>egoriach ryzyka</w:t>
      </w:r>
      <w:r w:rsidR="00342D7E" w:rsidRPr="00342D7E">
        <w:t xml:space="preserve"> w</w:t>
      </w:r>
      <w:r w:rsidR="00342D7E">
        <w:t> </w:t>
      </w:r>
      <w:r w:rsidR="00342D7E" w:rsidRPr="00342D7E">
        <w:t>nas</w:t>
      </w:r>
      <w:r w:rsidRPr="00342D7E">
        <w:t>tępujący sposób:</w:t>
      </w:r>
    </w:p>
    <w:p w:rsidR="00D35B0C" w:rsidRPr="00342D7E" w:rsidRDefault="00A834F1" w:rsidP="00056B6F">
      <w:pPr>
        <w:numPr>
          <w:ilvl w:val="0"/>
          <w:numId w:val="58"/>
        </w:numPr>
        <w:ind w:left="1134"/>
        <w:jc w:val="both"/>
        <w:rPr>
          <w:rFonts w:ascii="Times New Roman" w:hAnsi="Times New Roman"/>
          <w:sz w:val="24"/>
          <w:szCs w:val="24"/>
        </w:rPr>
      </w:pPr>
      <w:proofErr w:type="gramStart"/>
      <w:r w:rsidRPr="00342D7E">
        <w:rPr>
          <w:rFonts w:ascii="Times New Roman" w:hAnsi="Times New Roman"/>
          <w:sz w:val="24"/>
          <w:szCs w:val="24"/>
        </w:rPr>
        <w:t>ryzyko</w:t>
      </w:r>
      <w:proofErr w:type="gramEnd"/>
      <w:r w:rsidRPr="00342D7E">
        <w:rPr>
          <w:rFonts w:ascii="Times New Roman" w:hAnsi="Times New Roman"/>
          <w:sz w:val="24"/>
          <w:szCs w:val="24"/>
        </w:rPr>
        <w:t xml:space="preserve"> stopy procentowej: obejmujące obrót kredytami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iczkami, depozytami oraz dłużnymi papierami wartościowymi (posiadanymi lub emitowanymi);</w:t>
      </w:r>
    </w:p>
    <w:p w:rsidR="00D35B0C" w:rsidRPr="00342D7E" w:rsidRDefault="00A834F1" w:rsidP="00056B6F">
      <w:pPr>
        <w:numPr>
          <w:ilvl w:val="0"/>
          <w:numId w:val="58"/>
        </w:numPr>
        <w:ind w:left="1134"/>
        <w:jc w:val="both"/>
        <w:rPr>
          <w:rFonts w:ascii="Times New Roman" w:hAnsi="Times New Roman"/>
          <w:sz w:val="24"/>
          <w:szCs w:val="24"/>
        </w:rPr>
      </w:pPr>
      <w:proofErr w:type="gramStart"/>
      <w:r w:rsidRPr="00342D7E">
        <w:rPr>
          <w:rFonts w:ascii="Times New Roman" w:hAnsi="Times New Roman"/>
          <w:sz w:val="24"/>
          <w:szCs w:val="24"/>
        </w:rPr>
        <w:lastRenderedPageBreak/>
        <w:t>ryzyko</w:t>
      </w:r>
      <w:proofErr w:type="gramEnd"/>
      <w:r w:rsidRPr="00342D7E">
        <w:rPr>
          <w:rFonts w:ascii="Times New Roman" w:hAnsi="Times New Roman"/>
          <w:sz w:val="24"/>
          <w:szCs w:val="24"/>
        </w:rPr>
        <w:t xml:space="preserve">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inw</w:t>
      </w:r>
      <w:r w:rsidRPr="00342D7E">
        <w:rPr>
          <w:rFonts w:ascii="Times New Roman" w:hAnsi="Times New Roman"/>
          <w:sz w:val="24"/>
          <w:szCs w:val="24"/>
        </w:rPr>
        <w:t>estowaniem</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akc</w:t>
      </w:r>
      <w:r w:rsidRPr="00342D7E">
        <w:rPr>
          <w:rFonts w:ascii="Times New Roman" w:hAnsi="Times New Roman"/>
          <w:sz w:val="24"/>
          <w:szCs w:val="24"/>
        </w:rPr>
        <w:t>je: obejmujące obrót udziałami, jednostkami UCITS oraz innymi instrumentami udziałowymi;</w:t>
      </w:r>
    </w:p>
    <w:p w:rsidR="00D35B0C" w:rsidRPr="00342D7E" w:rsidRDefault="00A834F1" w:rsidP="00056B6F">
      <w:pPr>
        <w:numPr>
          <w:ilvl w:val="0"/>
          <w:numId w:val="58"/>
        </w:numPr>
        <w:ind w:left="1134"/>
        <w:jc w:val="both"/>
        <w:rPr>
          <w:rFonts w:ascii="Times New Roman" w:hAnsi="Times New Roman"/>
          <w:sz w:val="24"/>
          <w:szCs w:val="24"/>
        </w:rPr>
      </w:pPr>
      <w:proofErr w:type="gramStart"/>
      <w:r w:rsidRPr="00342D7E">
        <w:rPr>
          <w:rFonts w:ascii="Times New Roman" w:hAnsi="Times New Roman"/>
          <w:sz w:val="24"/>
          <w:szCs w:val="24"/>
        </w:rPr>
        <w:t>ryzyko</w:t>
      </w:r>
      <w:proofErr w:type="gramEnd"/>
      <w:r w:rsidRPr="00342D7E">
        <w:rPr>
          <w:rFonts w:ascii="Times New Roman" w:hAnsi="Times New Roman"/>
          <w:sz w:val="24"/>
          <w:szCs w:val="24"/>
        </w:rPr>
        <w:t xml:space="preserve">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kur</w:t>
      </w:r>
      <w:r w:rsidRPr="00342D7E">
        <w:rPr>
          <w:rFonts w:ascii="Times New Roman" w:hAnsi="Times New Roman"/>
          <w:sz w:val="24"/>
          <w:szCs w:val="24"/>
        </w:rPr>
        <w:t>sem walutowym: obejmujące wyłącznie obrót walutami;</w:t>
      </w:r>
    </w:p>
    <w:p w:rsidR="00D35B0C" w:rsidRPr="00342D7E" w:rsidRDefault="00A834F1" w:rsidP="00056B6F">
      <w:pPr>
        <w:numPr>
          <w:ilvl w:val="0"/>
          <w:numId w:val="58"/>
        </w:numPr>
        <w:ind w:left="1134"/>
        <w:jc w:val="both"/>
        <w:rPr>
          <w:rFonts w:ascii="Times New Roman" w:hAnsi="Times New Roman"/>
          <w:sz w:val="24"/>
          <w:szCs w:val="24"/>
        </w:rPr>
      </w:pPr>
      <w:proofErr w:type="gramStart"/>
      <w:r w:rsidRPr="00342D7E">
        <w:rPr>
          <w:rFonts w:ascii="Times New Roman" w:hAnsi="Times New Roman"/>
          <w:sz w:val="24"/>
          <w:szCs w:val="24"/>
        </w:rPr>
        <w:t>ryzyko</w:t>
      </w:r>
      <w:proofErr w:type="gramEnd"/>
      <w:r w:rsidRPr="00342D7E">
        <w:rPr>
          <w:rFonts w:ascii="Times New Roman" w:hAnsi="Times New Roman"/>
          <w:sz w:val="24"/>
          <w:szCs w:val="24"/>
        </w:rPr>
        <w:t xml:space="preserve"> kredytowe: obejmujące obrót obligacjami powiązanymi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ryz</w:t>
      </w:r>
      <w:r w:rsidRPr="00342D7E">
        <w:rPr>
          <w:rFonts w:ascii="Times New Roman" w:hAnsi="Times New Roman"/>
          <w:sz w:val="24"/>
          <w:szCs w:val="24"/>
        </w:rPr>
        <w:t>ykiem kredytowym;</w:t>
      </w:r>
    </w:p>
    <w:p w:rsidR="00D35B0C" w:rsidRPr="00342D7E" w:rsidRDefault="00A834F1" w:rsidP="00056B6F">
      <w:pPr>
        <w:numPr>
          <w:ilvl w:val="0"/>
          <w:numId w:val="58"/>
        </w:numPr>
        <w:ind w:left="1134"/>
        <w:jc w:val="both"/>
        <w:rPr>
          <w:rFonts w:ascii="Times New Roman" w:hAnsi="Times New Roman"/>
          <w:sz w:val="24"/>
          <w:szCs w:val="24"/>
        </w:rPr>
      </w:pPr>
      <w:proofErr w:type="gramStart"/>
      <w:r w:rsidRPr="00342D7E">
        <w:rPr>
          <w:rFonts w:ascii="Times New Roman" w:hAnsi="Times New Roman"/>
          <w:sz w:val="24"/>
          <w:szCs w:val="24"/>
        </w:rPr>
        <w:t>ryzyko</w:t>
      </w:r>
      <w:proofErr w:type="gramEnd"/>
      <w:r w:rsidRPr="00342D7E">
        <w:rPr>
          <w:rFonts w:ascii="Times New Roman" w:hAnsi="Times New Roman"/>
          <w:sz w:val="24"/>
          <w:szCs w:val="24"/>
        </w:rPr>
        <w:t xml:space="preserve"> towarowe: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tej uwzględnia się wyłącznie instrumenty pochodne, ponieważ zyski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str</w:t>
      </w:r>
      <w:r w:rsidRPr="00342D7E">
        <w:rPr>
          <w:rFonts w:ascii="Times New Roman" w:hAnsi="Times New Roman"/>
          <w:sz w:val="24"/>
          <w:szCs w:val="24"/>
        </w:rPr>
        <w:t>aty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towarów utrzymywanych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eznaczeniem do obrotu zgłasza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„Inne przychody operacyjne” lub „Inne koszty operacyjne”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316 niniejszej części;</w:t>
      </w:r>
    </w:p>
    <w:p w:rsidR="00D35B0C" w:rsidRPr="00342D7E" w:rsidRDefault="00A834F1" w:rsidP="00056B6F">
      <w:pPr>
        <w:numPr>
          <w:ilvl w:val="0"/>
          <w:numId w:val="58"/>
        </w:numPr>
        <w:ind w:left="1134"/>
        <w:jc w:val="both"/>
        <w:rPr>
          <w:rFonts w:ascii="Times New Roman" w:hAnsi="Times New Roman"/>
          <w:sz w:val="24"/>
          <w:szCs w:val="24"/>
        </w:rPr>
      </w:pPr>
      <w:proofErr w:type="gramStart"/>
      <w:r w:rsidRPr="00342D7E">
        <w:rPr>
          <w:rFonts w:ascii="Times New Roman" w:hAnsi="Times New Roman"/>
          <w:sz w:val="24"/>
          <w:szCs w:val="24"/>
        </w:rPr>
        <w:t>inne</w:t>
      </w:r>
      <w:proofErr w:type="gramEnd"/>
      <w:r w:rsidRPr="00342D7E">
        <w:rPr>
          <w:rFonts w:ascii="Times New Roman" w:hAnsi="Times New Roman"/>
          <w:sz w:val="24"/>
          <w:szCs w:val="24"/>
        </w:rPr>
        <w:t>: obejmuje obrót instrumentami finansowymi, których nie można sklasyfikować</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ram</w:t>
      </w:r>
      <w:r w:rsidRPr="00342D7E">
        <w:rPr>
          <w:rFonts w:ascii="Times New Roman" w:hAnsi="Times New Roman"/>
          <w:sz w:val="24"/>
          <w:szCs w:val="24"/>
        </w:rPr>
        <w:t>ach pozostałych podziałów.</w:t>
      </w:r>
    </w:p>
    <w:p w:rsidR="00D35B0C" w:rsidRPr="00342D7E" w:rsidRDefault="00A834F1">
      <w:pPr>
        <w:pStyle w:val="sub-subtitlenumbered"/>
        <w:jc w:val="both"/>
      </w:pPr>
      <w:bookmarkStart w:id="48" w:name="_Toc31019150"/>
      <w:r w:rsidRPr="00342D7E">
        <w:t>Zyski lub straty</w:t>
      </w:r>
      <w:r w:rsidR="00342D7E" w:rsidRPr="00342D7E">
        <w:t xml:space="preserve"> z</w:t>
      </w:r>
      <w:r w:rsidR="00342D7E">
        <w:t> </w:t>
      </w:r>
      <w:r w:rsidR="00342D7E" w:rsidRPr="00342D7E">
        <w:t>tyt</w:t>
      </w:r>
      <w:r w:rsidRPr="00342D7E">
        <w:t>ułu aktywów finansowych nieprzeznaczonych do obrotu wycenianych obowiązkowo według wartości godziwej przez wynik finansowy według instrumentów (16.4.1)</w:t>
      </w:r>
      <w:bookmarkEnd w:id="48"/>
    </w:p>
    <w:p w:rsidR="00D35B0C" w:rsidRPr="00342D7E" w:rsidRDefault="00A834F1">
      <w:pPr>
        <w:pStyle w:val="Baseparagraphnumbered"/>
        <w:tabs>
          <w:tab w:val="left" w:pos="851"/>
        </w:tabs>
        <w:ind w:left="709"/>
      </w:pPr>
      <w:r w:rsidRPr="00342D7E">
        <w:t>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aktywów finansowych nieprzeznaczonych do obrotu wycenianych obowiązkowo według wartości godziwej przez wynik finansowy dzieli się według rodzajów instrumentów. Każda pozycja podziału odpowiada zrealizowanej</w:t>
      </w:r>
      <w:r w:rsidR="00342D7E" w:rsidRPr="00342D7E">
        <w:t xml:space="preserve"> i</w:t>
      </w:r>
      <w:r w:rsidR="00342D7E">
        <w:t> </w:t>
      </w:r>
      <w:r w:rsidR="00342D7E" w:rsidRPr="00342D7E">
        <w:t>nie</w:t>
      </w:r>
      <w:r w:rsidRPr="00342D7E">
        <w:t>zrealizowanej kwocie netto (zyski pomniejszone</w:t>
      </w:r>
      <w:r w:rsidR="00342D7E" w:rsidRPr="00342D7E">
        <w:t xml:space="preserve"> o</w:t>
      </w:r>
      <w:r w:rsidR="00342D7E">
        <w:t> </w:t>
      </w:r>
      <w:r w:rsidR="00342D7E" w:rsidRPr="00342D7E">
        <w:t>str</w:t>
      </w:r>
      <w:r w:rsidRPr="00342D7E">
        <w:t>aty) instrumentu finansowego.</w:t>
      </w:r>
    </w:p>
    <w:p w:rsidR="00D35B0C" w:rsidRPr="00342D7E" w:rsidRDefault="00A834F1">
      <w:pPr>
        <w:pStyle w:val="Baseparagraphnumbered"/>
        <w:tabs>
          <w:tab w:val="left" w:pos="567"/>
        </w:tabs>
      </w:pPr>
      <w:r w:rsidRPr="00342D7E">
        <w:t>Zyski lub straty</w:t>
      </w:r>
      <w:r w:rsidR="00342D7E" w:rsidRPr="00342D7E">
        <w:t xml:space="preserve"> z</w:t>
      </w:r>
      <w:r w:rsidR="00342D7E">
        <w:t> </w:t>
      </w:r>
      <w:r w:rsidR="00342D7E" w:rsidRPr="00342D7E">
        <w:t>tyt</w:t>
      </w:r>
      <w:r w:rsidRPr="00342D7E">
        <w:t>ułu przeklasyfikowania aktywów finansowych</w:t>
      </w:r>
      <w:r w:rsidR="00342D7E" w:rsidRPr="00342D7E">
        <w:t xml:space="preserve"> z</w:t>
      </w:r>
      <w:r w:rsidR="00342D7E">
        <w:t> </w:t>
      </w:r>
      <w:r w:rsidR="00342D7E" w:rsidRPr="00342D7E">
        <w:t>por</w:t>
      </w:r>
      <w:r w:rsidRPr="00342D7E">
        <w:t>tfela księgowego wycenianego według kosztu zamortyzowanego do portfela księgowego skupiającego aktywa finansowe nieprzeznaczone do obrotu wyceniane obowiązkowo według wartości godziwej przez wynik finansowy (MSSF 9 pkt</w:t>
      </w:r>
      <w:r w:rsidR="00342D7E" w:rsidRPr="00342D7E">
        <w:t> </w:t>
      </w:r>
      <w:r w:rsidRPr="00342D7E">
        <w:t>5.6.2) zgłasza się</w:t>
      </w:r>
      <w:r w:rsidR="00342D7E" w:rsidRPr="00342D7E">
        <w:t xml:space="preserve"> w</w:t>
      </w:r>
      <w:r w:rsidR="00342D7E">
        <w:t> </w:t>
      </w:r>
      <w:r w:rsidR="00342D7E" w:rsidRPr="00342D7E">
        <w:t>poz</w:t>
      </w:r>
      <w:r w:rsidRPr="00342D7E">
        <w:t>ycji: „w tym: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przeklasyfikowania aktywów według kosztu zamortyzowanego”.</w:t>
      </w:r>
    </w:p>
    <w:p w:rsidR="00D35B0C" w:rsidRPr="00342D7E" w:rsidRDefault="00A834F1">
      <w:pPr>
        <w:pStyle w:val="sub-subtitlenumbered"/>
        <w:jc w:val="both"/>
      </w:pPr>
      <w:bookmarkStart w:id="49" w:name="_Toc31019151"/>
      <w:r w:rsidRPr="00342D7E">
        <w:t>Zyski lub straty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wycenianych według wartości godziwej przez wynik finansowy według instrumentów (16.5)</w:t>
      </w:r>
      <w:bookmarkEnd w:id="49"/>
    </w:p>
    <w:p w:rsidR="00D35B0C" w:rsidRPr="00342D7E" w:rsidRDefault="00A834F1">
      <w:pPr>
        <w:pStyle w:val="Baseparagraphnumbered"/>
        <w:tabs>
          <w:tab w:val="left" w:pos="851"/>
        </w:tabs>
        <w:ind w:left="709"/>
      </w:pPr>
      <w:r w:rsidRPr="00342D7E">
        <w:t>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wycenianych według wartości godziwej przez wynik finansowy dzieli się według rodzajów instrumentów. Instytucje zgłaszają zrealizowane</w:t>
      </w:r>
      <w:r w:rsidR="00342D7E" w:rsidRPr="00342D7E">
        <w:t xml:space="preserve"> i</w:t>
      </w:r>
      <w:r w:rsidR="00342D7E">
        <w:t> </w:t>
      </w:r>
      <w:r w:rsidR="00342D7E" w:rsidRPr="00342D7E">
        <w:t>nie</w:t>
      </w:r>
      <w:r w:rsidRPr="00342D7E">
        <w:t>zrealizowane zyski lub straty netto, jak również kwotę odpowiadającą zmianie wartości godziwej zobowiązań finansowych</w:t>
      </w:r>
      <w:r w:rsidR="00342D7E" w:rsidRPr="00342D7E">
        <w:t xml:space="preserve"> w</w:t>
      </w:r>
      <w:r w:rsidR="00342D7E">
        <w:t> </w:t>
      </w:r>
      <w:r w:rsidR="00342D7E" w:rsidRPr="00342D7E">
        <w:t>dan</w:t>
      </w:r>
      <w:r w:rsidRPr="00342D7E">
        <w:t>ym okresie</w:t>
      </w:r>
      <w:r w:rsidR="00342D7E" w:rsidRPr="00342D7E">
        <w:t xml:space="preserve"> z</w:t>
      </w:r>
      <w:r w:rsidR="00342D7E">
        <w:t> </w:t>
      </w:r>
      <w:r w:rsidR="00342D7E" w:rsidRPr="00342D7E">
        <w:t>pow</w:t>
      </w:r>
      <w:r w:rsidRPr="00342D7E">
        <w:t>odu zmiany ryzyka kredytowego (własne ryzyko kredytowe kredytobiorcy lub emitenta),</w:t>
      </w:r>
      <w:r w:rsidR="00342D7E" w:rsidRPr="00342D7E">
        <w:t xml:space="preserve"> w</w:t>
      </w:r>
      <w:r w:rsidR="00342D7E">
        <w:t> </w:t>
      </w:r>
      <w:r w:rsidR="00342D7E" w:rsidRPr="00342D7E">
        <w:t>prz</w:t>
      </w:r>
      <w:r w:rsidRPr="00342D7E">
        <w:t>ypadku gdy własnego ryzyka kredytowego nie zgłoszono</w:t>
      </w:r>
      <w:r w:rsidR="00342D7E" w:rsidRPr="00342D7E">
        <w:t xml:space="preserve"> w</w:t>
      </w:r>
      <w:r w:rsidR="00342D7E">
        <w:t> </w:t>
      </w:r>
      <w:r w:rsidR="00342D7E" w:rsidRPr="00342D7E">
        <w:t>ram</w:t>
      </w:r>
      <w:r w:rsidRPr="00342D7E">
        <w:t>ach innych całkowitych dochodów.</w:t>
      </w:r>
    </w:p>
    <w:p w:rsidR="00D35B0C" w:rsidRPr="00342D7E" w:rsidRDefault="00A834F1">
      <w:pPr>
        <w:pStyle w:val="Baseparagraphnumbered"/>
      </w:pPr>
      <w:r w:rsidRPr="00342D7E">
        <w:t xml:space="preserve">Jeżeli kredytowy instrument pochodny wyceniany według wartości godziwej jest wykorzystywany do zarządzania ryzykiem kredytowym całości lub części instrumentu finansowego, który przy tej okazji wyznaczono jako </w:t>
      </w:r>
      <w:r w:rsidRPr="00342D7E">
        <w:lastRenderedPageBreak/>
        <w:t>wyceniany według wartości godziwej przez wynik finansowy, zyski lub straty</w:t>
      </w:r>
      <w:r w:rsidR="00342D7E" w:rsidRPr="00342D7E">
        <w:t xml:space="preserve"> z</w:t>
      </w:r>
      <w:r w:rsidR="00342D7E">
        <w:t> </w:t>
      </w:r>
      <w:r w:rsidR="00342D7E" w:rsidRPr="00342D7E">
        <w:t>tyt</w:t>
      </w:r>
      <w:r w:rsidRPr="00342D7E">
        <w:t>ułu instrumentu finansowego</w:t>
      </w:r>
      <w:r w:rsidR="00342D7E" w:rsidRPr="00342D7E">
        <w:t xml:space="preserve"> w</w:t>
      </w:r>
      <w:r w:rsidR="00342D7E">
        <w:t> </w:t>
      </w:r>
      <w:r w:rsidR="00342D7E" w:rsidRPr="00342D7E">
        <w:t>mom</w:t>
      </w:r>
      <w:r w:rsidRPr="00342D7E">
        <w:t>encie tego wyznaczenia zgłasza się</w:t>
      </w:r>
      <w:r w:rsidR="00342D7E" w:rsidRPr="00342D7E">
        <w:t xml:space="preserve"> w</w:t>
      </w:r>
      <w:r w:rsidR="00342D7E">
        <w:t> </w:t>
      </w:r>
      <w:r w:rsidR="00342D7E" w:rsidRPr="00342D7E">
        <w:t>poz</w:t>
      </w:r>
      <w:r w:rsidRPr="00342D7E">
        <w:t>ycji „w tym: zyski lub (-) straty</w:t>
      </w:r>
      <w:r w:rsidR="00342D7E" w:rsidRPr="00342D7E">
        <w:t xml:space="preserve"> w</w:t>
      </w:r>
      <w:r w:rsidR="00342D7E">
        <w:t> </w:t>
      </w:r>
      <w:r w:rsidR="00342D7E" w:rsidRPr="00342D7E">
        <w:t>mom</w:t>
      </w:r>
      <w:r w:rsidRPr="00342D7E">
        <w:t>encie wyznaczenia aktywów</w:t>
      </w:r>
      <w:r w:rsidR="00342D7E" w:rsidRPr="00342D7E">
        <w:t xml:space="preserve"> i</w:t>
      </w:r>
      <w:r w:rsidR="00342D7E">
        <w:t> </w:t>
      </w:r>
      <w:r w:rsidR="00342D7E" w:rsidRPr="00342D7E">
        <w:t>zob</w:t>
      </w:r>
      <w:r w:rsidRPr="00342D7E">
        <w:t>owiązań finansowych jako wyceniane według wartości godziwej przez wynik finansowy do celów zabezpieczenia, netto”. Późniejsze zyski lub straty</w:t>
      </w:r>
      <w:r w:rsidR="00342D7E" w:rsidRPr="00342D7E">
        <w:t xml:space="preserve"> z</w:t>
      </w:r>
      <w:r w:rsidR="00342D7E">
        <w:t> </w:t>
      </w:r>
      <w:r w:rsidR="00342D7E" w:rsidRPr="00342D7E">
        <w:t>tyt</w:t>
      </w:r>
      <w:r w:rsidRPr="00342D7E">
        <w:t>ułu zmian wartości godziwej tych instrumentów finansowych zgłasza się</w:t>
      </w:r>
      <w:r w:rsidR="00342D7E" w:rsidRPr="00342D7E">
        <w:t xml:space="preserve"> w</w:t>
      </w:r>
      <w:r w:rsidR="00342D7E">
        <w:t> </w:t>
      </w:r>
      <w:r w:rsidR="00342D7E" w:rsidRPr="00342D7E">
        <w:t>poz</w:t>
      </w:r>
      <w:r w:rsidRPr="00342D7E">
        <w:t>ycji „w tym: zyski lub (-) straty po wyznaczeniu aktywów</w:t>
      </w:r>
      <w:r w:rsidR="00342D7E" w:rsidRPr="00342D7E">
        <w:t xml:space="preserve"> i</w:t>
      </w:r>
      <w:r w:rsidR="00342D7E">
        <w:t> </w:t>
      </w:r>
      <w:r w:rsidR="00342D7E" w:rsidRPr="00342D7E">
        <w:t>zob</w:t>
      </w:r>
      <w:r w:rsidRPr="00342D7E">
        <w:t>owiązań finansowych jako wyceniane według wartości godziwej przez wynik finansowy do celów zabezpieczenia, netto”.</w:t>
      </w:r>
    </w:p>
    <w:p w:rsidR="00D35B0C" w:rsidRPr="00342D7E" w:rsidRDefault="00A834F1">
      <w:pPr>
        <w:pStyle w:val="sub-subtitlenumbered"/>
        <w:jc w:val="both"/>
      </w:pPr>
      <w:bookmarkStart w:id="50" w:name="_Toc31019152"/>
      <w:r w:rsidRPr="00342D7E">
        <w:t>Zyski lub straty</w:t>
      </w:r>
      <w:r w:rsidR="00342D7E" w:rsidRPr="00342D7E">
        <w:t xml:space="preserve"> z</w:t>
      </w:r>
      <w:r w:rsidR="00342D7E">
        <w:t> </w:t>
      </w:r>
      <w:r w:rsidR="00342D7E" w:rsidRPr="00342D7E">
        <w:t>tyt</w:t>
      </w:r>
      <w:r w:rsidRPr="00342D7E">
        <w:t>ułu rachunkowości zabezpieczeń (16.6)</w:t>
      </w:r>
      <w:bookmarkEnd w:id="50"/>
    </w:p>
    <w:p w:rsidR="00D35B0C" w:rsidRPr="00342D7E" w:rsidRDefault="00A834F1">
      <w:pPr>
        <w:pStyle w:val="Baseparagraphnumbered"/>
      </w:pPr>
      <w:r w:rsidRPr="00342D7E">
        <w:t>Wszystkie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rachunkowości zabezpieczeń,</w:t>
      </w:r>
      <w:r w:rsidR="00342D7E" w:rsidRPr="00342D7E">
        <w:t xml:space="preserve"> z</w:t>
      </w:r>
      <w:r w:rsidR="00342D7E">
        <w:t> </w:t>
      </w:r>
      <w:r w:rsidR="00342D7E" w:rsidRPr="00342D7E">
        <w:t>wyj</w:t>
      </w:r>
      <w:r w:rsidRPr="00342D7E">
        <w:t>ątkiem przychodów lub kosztów odsetkowych</w:t>
      </w:r>
      <w:r w:rsidR="00342D7E" w:rsidRPr="00342D7E">
        <w:t xml:space="preserve"> w</w:t>
      </w:r>
      <w:r w:rsidR="00342D7E">
        <w:t> </w:t>
      </w:r>
      <w:r w:rsidR="00342D7E" w:rsidRPr="00342D7E">
        <w:t>prz</w:t>
      </w:r>
      <w:r w:rsidRPr="00342D7E">
        <w:t>ypadku zastosowania ceny czystej, dzieli się według rodzaju rachunkowości zabezpieczeń: zabezpieczenie wartości godziwej, zabezpieczenie przepływów pieniężnych oraz zabezpieczenie inwestycji netto</w:t>
      </w:r>
      <w:r w:rsidR="00342D7E" w:rsidRPr="00342D7E">
        <w:t xml:space="preserve"> w</w:t>
      </w:r>
      <w:r w:rsidR="00342D7E">
        <w:t> </w:t>
      </w:r>
      <w:r w:rsidR="00342D7E" w:rsidRPr="00342D7E">
        <w:t>jed</w:t>
      </w:r>
      <w:r w:rsidRPr="00342D7E">
        <w:t>nostkach działających za granicą. Zyski</w:t>
      </w:r>
      <w:r w:rsidR="00342D7E" w:rsidRPr="00342D7E">
        <w:t xml:space="preserve"> i</w:t>
      </w:r>
      <w:r w:rsidR="00342D7E">
        <w:t> </w:t>
      </w:r>
      <w:r w:rsidR="00342D7E" w:rsidRPr="00342D7E">
        <w:t>str</w:t>
      </w:r>
      <w:r w:rsidRPr="00342D7E">
        <w:t>aty związane</w:t>
      </w:r>
      <w:r w:rsidR="00342D7E" w:rsidRPr="00342D7E">
        <w:t xml:space="preserve"> z</w:t>
      </w:r>
      <w:r w:rsidR="00342D7E">
        <w:t> </w:t>
      </w:r>
      <w:r w:rsidR="00342D7E" w:rsidRPr="00342D7E">
        <w:t>zab</w:t>
      </w:r>
      <w:r w:rsidRPr="00342D7E">
        <w:t>ezpieczeniem wartości godziwej dzieli się na instrument zabezpieczający</w:t>
      </w:r>
      <w:r w:rsidR="00342D7E" w:rsidRPr="00342D7E">
        <w:t xml:space="preserve"> i</w:t>
      </w:r>
      <w:r w:rsidR="00342D7E">
        <w:t> </w:t>
      </w:r>
      <w:r w:rsidR="00342D7E" w:rsidRPr="00342D7E">
        <w:t>poz</w:t>
      </w:r>
      <w:r w:rsidRPr="00342D7E">
        <w:t>ycję zabezpieczaną.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instrumentów zabezpieczających nie obejmują zysków</w:t>
      </w:r>
      <w:r w:rsidR="00342D7E" w:rsidRPr="00342D7E">
        <w:t xml:space="preserve"> i</w:t>
      </w:r>
      <w:r w:rsidR="00342D7E">
        <w:t> </w:t>
      </w:r>
      <w:r w:rsidR="00342D7E" w:rsidRPr="00342D7E">
        <w:t>str</w:t>
      </w:r>
      <w:r w:rsidRPr="00342D7E">
        <w:t>at związanych</w:t>
      </w:r>
      <w:r w:rsidR="00342D7E" w:rsidRPr="00342D7E">
        <w:t xml:space="preserve"> z</w:t>
      </w:r>
      <w:r w:rsidR="00342D7E">
        <w:t> </w:t>
      </w:r>
      <w:r w:rsidR="00342D7E" w:rsidRPr="00342D7E">
        <w:t>ele</w:t>
      </w:r>
      <w:r w:rsidRPr="00342D7E">
        <w:t>mentami instrumentów zabezpieczających, których nie wyznaczono jako instrumenty zabezpieczające zgodnie z MSSF 9 pkt</w:t>
      </w:r>
      <w:r w:rsidR="00342D7E" w:rsidRPr="00342D7E">
        <w:t> </w:t>
      </w:r>
      <w:r w:rsidRPr="00342D7E">
        <w:t>6.2.4. Te niewyznaczone instrumenty zabezpieczające zgłasza się zgodnie</w:t>
      </w:r>
      <w:r w:rsidR="00342D7E" w:rsidRPr="00342D7E">
        <w:t xml:space="preserve"> z</w:t>
      </w:r>
      <w:r w:rsidR="00342D7E">
        <w:t> </w:t>
      </w:r>
      <w:r w:rsidR="00342D7E" w:rsidRPr="00342D7E">
        <w:t>pkt </w:t>
      </w:r>
      <w:r w:rsidRPr="00342D7E">
        <w:t>60 niniejszej części.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rachunkowości zabezpieczeń obejmują również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 xml:space="preserve">ułu zabezpieczeń grupy pozycji obejmującej kompensujące się pozycje ryzyka (zabezpieczenia pozycji netto). </w:t>
      </w:r>
    </w:p>
    <w:p w:rsidR="00D35B0C" w:rsidRPr="00342D7E" w:rsidRDefault="00A834F1">
      <w:pPr>
        <w:pStyle w:val="Baseparagraphnumbered"/>
      </w:pPr>
      <w:r w:rsidRPr="00342D7E">
        <w:t>W pozycji „Zmiany wartości godziwej pozycji zabezpieczanej wynikające</w:t>
      </w:r>
      <w:r w:rsidR="00342D7E" w:rsidRPr="00342D7E">
        <w:t xml:space="preserve"> z</w:t>
      </w:r>
      <w:r w:rsidR="00342D7E">
        <w:t> </w:t>
      </w:r>
      <w:r w:rsidR="00342D7E" w:rsidRPr="00342D7E">
        <w:t>zab</w:t>
      </w:r>
      <w:r w:rsidRPr="00342D7E">
        <w:t>ezpieczonego ryzyka” uwzględnia się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pozycji zabezpieczanych,</w:t>
      </w:r>
      <w:r w:rsidR="00342D7E" w:rsidRPr="00342D7E">
        <w:t xml:space="preserve"> w</w:t>
      </w:r>
      <w:r w:rsidR="00342D7E">
        <w:t> </w:t>
      </w:r>
      <w:r w:rsidR="00342D7E" w:rsidRPr="00342D7E">
        <w:t>prz</w:t>
      </w:r>
      <w:r w:rsidRPr="00342D7E">
        <w:t>ypadku gdy pozycje te są instrumentami dłużnymi wycenianymi według wartości godziwej przez inne całkowite dochody zgodnie z MSSF 9 pkt</w:t>
      </w:r>
      <w:r w:rsidR="00342D7E" w:rsidRPr="00342D7E">
        <w:t> </w:t>
      </w:r>
      <w:r w:rsidRPr="00342D7E">
        <w:t>4.1.2A (MSSF 9 pkt</w:t>
      </w:r>
      <w:r w:rsidR="00342D7E" w:rsidRPr="00342D7E">
        <w:t> </w:t>
      </w:r>
      <w:r w:rsidRPr="00342D7E">
        <w:t>6.5.8).</w:t>
      </w:r>
    </w:p>
    <w:p w:rsidR="00D35B0C" w:rsidRPr="00342D7E" w:rsidRDefault="00A834F1">
      <w:pPr>
        <w:pStyle w:val="Baseparagraphnumbered"/>
      </w:pPr>
      <w:r w:rsidRPr="00342D7E">
        <w:t>Zgodnie</w:t>
      </w:r>
      <w:r w:rsidR="00342D7E" w:rsidRPr="00342D7E">
        <w:t xml:space="preserve"> z</w:t>
      </w:r>
      <w:r w:rsidR="00342D7E">
        <w:t> </w:t>
      </w:r>
      <w:r w:rsidR="00342D7E" w:rsidRPr="00342D7E">
        <w:t>kra</w:t>
      </w:r>
      <w:r w:rsidRPr="00342D7E">
        <w:t>jowymi ogólnie przyjętymi zasadami rachunkowości opartymi na BAD zgłoszenia podziału według rodzaju zabezpieczeń przewidzianego</w:t>
      </w:r>
      <w:r w:rsidR="00342D7E" w:rsidRPr="00342D7E">
        <w:t xml:space="preserve"> w</w:t>
      </w:r>
      <w:r w:rsidR="00342D7E">
        <w:t> </w:t>
      </w:r>
      <w:r w:rsidR="00342D7E" w:rsidRPr="00342D7E">
        <w:t>tym</w:t>
      </w:r>
      <w:r w:rsidRPr="00342D7E">
        <w:t xml:space="preserve"> wzorze dokonuje się,</w:t>
      </w:r>
      <w:r w:rsidR="00342D7E" w:rsidRPr="00342D7E">
        <w:t xml:space="preserve"> o</w:t>
      </w:r>
      <w:r w:rsidR="00342D7E">
        <w:t> </w:t>
      </w:r>
      <w:r w:rsidR="00342D7E" w:rsidRPr="00342D7E">
        <w:t>ile</w:t>
      </w:r>
      <w:r w:rsidRPr="00342D7E">
        <w:t xml:space="preserve"> podział ten jest zgodny</w:t>
      </w:r>
      <w:r w:rsidR="00342D7E" w:rsidRPr="00342D7E">
        <w:t xml:space="preserve"> z</w:t>
      </w:r>
      <w:r w:rsidR="00342D7E">
        <w:t> </w:t>
      </w:r>
      <w:r w:rsidR="00342D7E" w:rsidRPr="00342D7E">
        <w:t>obo</w:t>
      </w:r>
      <w:r w:rsidRPr="00342D7E">
        <w:t>wiązującymi wymogami</w:t>
      </w:r>
      <w:r w:rsidR="00342D7E" w:rsidRPr="00342D7E">
        <w:t xml:space="preserve"> w</w:t>
      </w:r>
      <w:r w:rsidR="00342D7E">
        <w:t> </w:t>
      </w:r>
      <w:r w:rsidR="00342D7E" w:rsidRPr="00342D7E">
        <w:t>zak</w:t>
      </w:r>
      <w:r w:rsidRPr="00342D7E">
        <w:t>resie rachunkowości.</w:t>
      </w:r>
    </w:p>
    <w:p w:rsidR="00D35B0C" w:rsidRPr="00342D7E" w:rsidRDefault="00A834F1">
      <w:pPr>
        <w:pStyle w:val="sub-subtitlenumbered"/>
        <w:jc w:val="both"/>
      </w:pPr>
      <w:bookmarkStart w:id="51" w:name="_Toc31019153"/>
      <w:r w:rsidRPr="00342D7E">
        <w:t>Utrata wartości</w:t>
      </w:r>
      <w:r w:rsidR="00342D7E" w:rsidRPr="00342D7E">
        <w:t xml:space="preserve"> z</w:t>
      </w:r>
      <w:r w:rsidR="00342D7E">
        <w:t> </w:t>
      </w:r>
      <w:r w:rsidR="00342D7E" w:rsidRPr="00342D7E">
        <w:t>tyt</w:t>
      </w:r>
      <w:r w:rsidRPr="00342D7E">
        <w:t>ułu aktywów niefinansowych (16.7)</w:t>
      </w:r>
      <w:bookmarkEnd w:id="51"/>
    </w:p>
    <w:p w:rsidR="00D35B0C" w:rsidRPr="00342D7E" w:rsidRDefault="00A834F1">
      <w:pPr>
        <w:pStyle w:val="Baseparagraphnumbered"/>
        <w:tabs>
          <w:tab w:val="left" w:pos="851"/>
        </w:tabs>
        <w:ind w:left="709"/>
      </w:pPr>
      <w:r w:rsidRPr="00342D7E">
        <w:t>„Zwiększenia” zgłasza się wówczas, gdy</w:t>
      </w:r>
      <w:r w:rsidR="00342D7E" w:rsidRPr="00342D7E">
        <w:t xml:space="preserve"> w</w:t>
      </w:r>
      <w:r w:rsidR="00342D7E">
        <w:t> </w:t>
      </w:r>
      <w:r w:rsidR="00342D7E" w:rsidRPr="00342D7E">
        <w:t>odn</w:t>
      </w:r>
      <w:r w:rsidRPr="00342D7E">
        <w:t>iesieniu do portfela księgowego lub głównej kategorii aktywów szacowana utrata wartości za dany okres prowadzi do ujęcia kosztów netto. „Odwrócenia” zgłasza się wówczas, gdy</w:t>
      </w:r>
      <w:r w:rsidR="00342D7E" w:rsidRPr="00342D7E">
        <w:t xml:space="preserve"> w</w:t>
      </w:r>
      <w:r w:rsidR="00342D7E">
        <w:t> </w:t>
      </w:r>
      <w:r w:rsidR="00342D7E" w:rsidRPr="00342D7E">
        <w:t>odn</w:t>
      </w:r>
      <w:r w:rsidRPr="00342D7E">
        <w:t>iesieniu do portfela księgowego lub głównej kategorii aktywów szacowana utrata wartości za dany okres prowadzi do ujęcia przychodów netto.</w:t>
      </w:r>
    </w:p>
    <w:p w:rsidR="00D35B0C" w:rsidRPr="00342D7E" w:rsidRDefault="0062156F">
      <w:pPr>
        <w:pStyle w:val="sub-subtitlenumbered"/>
        <w:jc w:val="both"/>
      </w:pPr>
      <w:bookmarkStart w:id="52" w:name="_Toc31019154"/>
      <w:r w:rsidRPr="00342D7E">
        <w:t>Pozostałe koszty administracyjne (16.8)</w:t>
      </w:r>
      <w:bookmarkEnd w:id="52"/>
    </w:p>
    <w:p w:rsidR="00D35B0C" w:rsidRPr="00342D7E" w:rsidRDefault="0062156F">
      <w:pPr>
        <w:pStyle w:val="Baseparagraphnumbered"/>
        <w:numPr>
          <w:ilvl w:val="0"/>
          <w:numId w:val="0"/>
        </w:numPr>
        <w:ind w:left="782" w:hanging="357"/>
      </w:pPr>
      <w:r w:rsidRPr="00342D7E">
        <w:t>208i.</w:t>
      </w:r>
      <w:r w:rsidRPr="00342D7E">
        <w:tab/>
        <w:t>Pozycja „Koszty informatyczne” oznacza koszty poniesione</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rea</w:t>
      </w:r>
      <w:r w:rsidRPr="00342D7E">
        <w:t>lizacją wspomaganych przez systemy IT procesów biznesowych, usług aplikacji oraz rozwiązań</w:t>
      </w:r>
      <w:r w:rsidR="00342D7E" w:rsidRPr="00342D7E">
        <w:t xml:space="preserve"> z</w:t>
      </w:r>
      <w:r w:rsidR="00342D7E">
        <w:t> </w:t>
      </w:r>
      <w:r w:rsidR="00342D7E" w:rsidRPr="00342D7E">
        <w:t>zak</w:t>
      </w:r>
      <w:r w:rsidRPr="00342D7E">
        <w:t>resu infrastruktury</w:t>
      </w:r>
      <w:r w:rsidR="00342D7E" w:rsidRPr="00342D7E">
        <w:t xml:space="preserve"> w</w:t>
      </w:r>
      <w:r w:rsidR="00342D7E">
        <w:t> </w:t>
      </w:r>
      <w:r w:rsidR="00342D7E" w:rsidRPr="00342D7E">
        <w:t>cel</w:t>
      </w:r>
      <w:r w:rsidRPr="00342D7E">
        <w:t>u osiągnięcia wyników biznesowych,</w:t>
      </w:r>
      <w:r w:rsidR="00342D7E" w:rsidRPr="00342D7E">
        <w:t xml:space="preserve"> w</w:t>
      </w:r>
      <w:r w:rsidR="00342D7E">
        <w:t> </w:t>
      </w:r>
      <w:r w:rsidR="00342D7E" w:rsidRPr="00342D7E">
        <w:t>tym</w:t>
      </w:r>
      <w:r w:rsidRPr="00342D7E">
        <w:t xml:space="preserve"> koszty związane</w:t>
      </w:r>
      <w:r w:rsidR="00342D7E" w:rsidRPr="00342D7E">
        <w:t xml:space="preserve"> z</w:t>
      </w:r>
      <w:r w:rsidR="00342D7E">
        <w:t> </w:t>
      </w:r>
      <w:r w:rsidR="00342D7E" w:rsidRPr="00342D7E">
        <w:t>utw</w:t>
      </w:r>
      <w:r w:rsidRPr="00342D7E">
        <w:t>orzeniem</w:t>
      </w:r>
      <w:r w:rsidR="00342D7E" w:rsidRPr="00342D7E">
        <w:t xml:space="preserve"> i</w:t>
      </w:r>
      <w:r w:rsidR="00342D7E">
        <w:t> </w:t>
      </w:r>
      <w:r w:rsidR="00342D7E" w:rsidRPr="00342D7E">
        <w:t>utr</w:t>
      </w:r>
      <w:r w:rsidRPr="00342D7E">
        <w:t xml:space="preserve">zymaniem systemów </w:t>
      </w:r>
      <w:r w:rsidRPr="00342D7E">
        <w:lastRenderedPageBreak/>
        <w:t>IT,</w:t>
      </w:r>
      <w:r w:rsidR="00342D7E" w:rsidRPr="00342D7E">
        <w:t xml:space="preserve"> z</w:t>
      </w:r>
      <w:r w:rsidR="00342D7E">
        <w:t> </w:t>
      </w:r>
      <w:r w:rsidR="00342D7E" w:rsidRPr="00342D7E">
        <w:t>wył</w:t>
      </w:r>
      <w:r w:rsidRPr="00342D7E">
        <w:t>ączeniem wynagrodzenia informatyków zatrudnionych przez instytucję, które to wynagrodzenia zgłasza się</w:t>
      </w:r>
      <w:r w:rsidR="00342D7E" w:rsidRPr="00342D7E">
        <w:t xml:space="preserve"> w</w:t>
      </w:r>
      <w:r w:rsidR="00342D7E">
        <w:t> </w:t>
      </w:r>
      <w:r w:rsidR="00342D7E" w:rsidRPr="00342D7E">
        <w:t>poz</w:t>
      </w:r>
      <w:r w:rsidRPr="00342D7E">
        <w:t>ycji „koszty personelu”.</w:t>
      </w:r>
    </w:p>
    <w:p w:rsidR="00D35B0C" w:rsidRPr="00342D7E" w:rsidRDefault="0062156F">
      <w:pPr>
        <w:pStyle w:val="Baseparagraphnumbered"/>
        <w:numPr>
          <w:ilvl w:val="0"/>
          <w:numId w:val="0"/>
        </w:numPr>
        <w:ind w:left="782" w:hanging="357"/>
      </w:pPr>
      <w:r w:rsidRPr="00342D7E">
        <w:t>208ii.</w:t>
      </w:r>
      <w:r w:rsidRPr="00342D7E">
        <w:tab/>
        <w:t>Wśród kosztów informatycznych „Outsourcing usług informatycznych” oznacza koszty IT związane</w:t>
      </w:r>
      <w:r w:rsidR="00342D7E" w:rsidRPr="00342D7E">
        <w:t xml:space="preserve"> z</w:t>
      </w:r>
      <w:r w:rsidR="00342D7E">
        <w:t> </w:t>
      </w:r>
      <w:r w:rsidR="00342D7E" w:rsidRPr="00342D7E">
        <w:t>kor</w:t>
      </w:r>
      <w:r w:rsidRPr="00342D7E">
        <w:t>zystaniem</w:t>
      </w:r>
      <w:r w:rsidR="00342D7E" w:rsidRPr="00342D7E">
        <w:t xml:space="preserve"> z</w:t>
      </w:r>
      <w:r w:rsidR="00342D7E">
        <w:t> </w:t>
      </w:r>
      <w:r w:rsidR="00342D7E" w:rsidRPr="00342D7E">
        <w:t>usł</w:t>
      </w:r>
      <w:r w:rsidRPr="00342D7E">
        <w:t>ugodawców zewnętrznych. Pozycja ta nie obejmuje kosztów związanych z (i) typowymi usługami najmu pracowników (pracownikami zatrudnionymi za pośrednictwem agencji zatrudnienia),</w:t>
      </w:r>
      <w:r w:rsidR="00342D7E" w:rsidRPr="00342D7E">
        <w:t xml:space="preserve"> o</w:t>
      </w:r>
      <w:r w:rsidR="00342D7E">
        <w:t> </w:t>
      </w:r>
      <w:r w:rsidR="00342D7E" w:rsidRPr="00342D7E">
        <w:t>ile</w:t>
      </w:r>
      <w:r w:rsidRPr="00342D7E">
        <w:t xml:space="preserve"> instytucja zatrudnia po prostu tymczasowo personel</w:t>
      </w:r>
      <w:r w:rsidR="00342D7E" w:rsidRPr="00342D7E">
        <w:t xml:space="preserve"> i</w:t>
      </w:r>
      <w:r w:rsidR="00342D7E">
        <w:t> </w:t>
      </w:r>
      <w:r w:rsidR="00342D7E" w:rsidRPr="00342D7E">
        <w:t>spr</w:t>
      </w:r>
      <w:r w:rsidRPr="00342D7E">
        <w:t>awuje pełną kontrolę nad świadczonymi usługami oraz z (ii) wyłącznie standaryzowanymi umowami</w:t>
      </w:r>
      <w:r w:rsidR="00342D7E" w:rsidRPr="00342D7E">
        <w:t xml:space="preserve"> o</w:t>
      </w:r>
      <w:r w:rsidR="00342D7E">
        <w:t> </w:t>
      </w:r>
      <w:r w:rsidR="00342D7E" w:rsidRPr="00342D7E">
        <w:t>utr</w:t>
      </w:r>
      <w:r w:rsidRPr="00342D7E">
        <w:t>zymanie sprzętu/oprogramowania operacyjnego</w:t>
      </w:r>
      <w:r w:rsidR="00342D7E" w:rsidRPr="00342D7E">
        <w:t xml:space="preserve"> w</w:t>
      </w:r>
      <w:r w:rsidR="00342D7E">
        <w:t> </w:t>
      </w:r>
      <w:r w:rsidR="00342D7E" w:rsidRPr="00342D7E">
        <w:t>odn</w:t>
      </w:r>
      <w:r w:rsidRPr="00342D7E">
        <w:t>iesieniu do wyłącznie nabytych aktywów.</w:t>
      </w:r>
    </w:p>
    <w:p w:rsidR="00D35B0C" w:rsidRPr="00342D7E" w:rsidRDefault="0062156F">
      <w:pPr>
        <w:pStyle w:val="Baseparagraphnumbered"/>
        <w:numPr>
          <w:ilvl w:val="0"/>
          <w:numId w:val="0"/>
        </w:numPr>
        <w:ind w:left="782" w:hanging="357"/>
      </w:pPr>
      <w:r w:rsidRPr="00342D7E">
        <w:t>208iii.</w:t>
      </w:r>
      <w:r w:rsidRPr="00342D7E">
        <w:tab/>
        <w:t>Pozycja „Podatki</w:t>
      </w:r>
      <w:r w:rsidR="00342D7E" w:rsidRPr="00342D7E">
        <w:t xml:space="preserve"> i</w:t>
      </w:r>
      <w:r w:rsidR="00342D7E">
        <w:t> </w:t>
      </w:r>
      <w:r w:rsidR="00342D7E" w:rsidRPr="00342D7E">
        <w:t>cła</w:t>
      </w:r>
      <w:r w:rsidRPr="00342D7E">
        <w:t xml:space="preserve"> (inne</w:t>
      </w:r>
      <w:proofErr w:type="gramStart"/>
      <w:r w:rsidRPr="00342D7E">
        <w:t>)” obejmuje</w:t>
      </w:r>
      <w:proofErr w:type="gramEnd"/>
      <w:r w:rsidRPr="00342D7E">
        <w:t xml:space="preserve"> podatki</w:t>
      </w:r>
      <w:r w:rsidR="00342D7E" w:rsidRPr="00342D7E">
        <w:t xml:space="preserve"> i</w:t>
      </w:r>
      <w:r w:rsidR="00342D7E">
        <w:t> </w:t>
      </w:r>
      <w:r w:rsidR="00342D7E" w:rsidRPr="00342D7E">
        <w:t>cła</w:t>
      </w:r>
      <w:r w:rsidRPr="00342D7E">
        <w:t xml:space="preserve"> inne niż (i) podatki związane</w:t>
      </w:r>
      <w:r w:rsidR="00342D7E" w:rsidRPr="00342D7E">
        <w:t xml:space="preserve"> z</w:t>
      </w:r>
      <w:r w:rsidR="00342D7E">
        <w:t> </w:t>
      </w:r>
      <w:r w:rsidR="00342D7E" w:rsidRPr="00342D7E">
        <w:t>zys</w:t>
      </w:r>
      <w:r w:rsidRPr="00342D7E">
        <w:t>kiem lub stratą oraz (ii) podatki</w:t>
      </w:r>
      <w:r w:rsidR="00342D7E" w:rsidRPr="00342D7E">
        <w:t xml:space="preserve"> i</w:t>
      </w:r>
      <w:r w:rsidR="00342D7E">
        <w:t> </w:t>
      </w:r>
      <w:r w:rsidR="00342D7E" w:rsidRPr="00342D7E">
        <w:t>cła z</w:t>
      </w:r>
      <w:r w:rsidR="00342D7E">
        <w:t> </w:t>
      </w:r>
      <w:r w:rsidR="00342D7E" w:rsidRPr="00342D7E">
        <w:t>tyt</w:t>
      </w:r>
      <w:r w:rsidRPr="00342D7E">
        <w:t>ułu działalności zaniechanej. Pozycja ta obejmuje podatki</w:t>
      </w:r>
      <w:r w:rsidR="00342D7E" w:rsidRPr="00342D7E">
        <w:t xml:space="preserve"> i</w:t>
      </w:r>
      <w:r w:rsidR="00342D7E">
        <w:t> </w:t>
      </w:r>
      <w:r w:rsidR="00342D7E" w:rsidRPr="00342D7E">
        <w:t>cła</w:t>
      </w:r>
      <w:r w:rsidRPr="00342D7E">
        <w:t>, takie jak podatki nałożone na towary</w:t>
      </w:r>
      <w:r w:rsidR="00342D7E" w:rsidRPr="00342D7E">
        <w:t xml:space="preserve"> i</w:t>
      </w:r>
      <w:r w:rsidR="00342D7E">
        <w:t> </w:t>
      </w:r>
      <w:r w:rsidR="00342D7E" w:rsidRPr="00342D7E">
        <w:t>usł</w:t>
      </w:r>
      <w:r w:rsidRPr="00342D7E">
        <w:t>ugi oraz cła płacone przez instytucję.</w:t>
      </w:r>
    </w:p>
    <w:p w:rsidR="00D35B0C" w:rsidRPr="00342D7E" w:rsidRDefault="0062156F">
      <w:pPr>
        <w:pStyle w:val="Baseparagraphnumbered"/>
        <w:numPr>
          <w:ilvl w:val="0"/>
          <w:numId w:val="0"/>
        </w:numPr>
        <w:ind w:left="782" w:hanging="357"/>
      </w:pPr>
      <w:r w:rsidRPr="00342D7E">
        <w:t>208iv.</w:t>
      </w:r>
      <w:r w:rsidRPr="00342D7E">
        <w:tab/>
        <w:t>Pozycja „Usługi doradcze</w:t>
      </w:r>
      <w:r w:rsidR="00342D7E" w:rsidRPr="00342D7E">
        <w:t xml:space="preserve"> i</w:t>
      </w:r>
      <w:r w:rsidR="00342D7E">
        <w:t> </w:t>
      </w:r>
      <w:r w:rsidR="00342D7E" w:rsidRPr="00342D7E">
        <w:t>pro</w:t>
      </w:r>
      <w:r w:rsidRPr="00342D7E">
        <w:t>fesjonalne” oznacza koszty poniesione</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uzy</w:t>
      </w:r>
      <w:r w:rsidRPr="00342D7E">
        <w:t>skaniem porad eksperckich lub strategicznych.</w:t>
      </w:r>
    </w:p>
    <w:p w:rsidR="00D35B0C" w:rsidRPr="00342D7E" w:rsidRDefault="0062156F">
      <w:pPr>
        <w:pStyle w:val="Baseparagraphnumbered"/>
        <w:numPr>
          <w:ilvl w:val="0"/>
          <w:numId w:val="0"/>
        </w:numPr>
        <w:ind w:left="782" w:hanging="357"/>
      </w:pPr>
      <w:r w:rsidRPr="00342D7E">
        <w:t>208v.</w:t>
      </w:r>
      <w:r w:rsidRPr="00342D7E">
        <w:tab/>
        <w:t>Pozycja „Reklama, marketing</w:t>
      </w:r>
      <w:r w:rsidR="00342D7E" w:rsidRPr="00342D7E">
        <w:t xml:space="preserve"> i</w:t>
      </w:r>
      <w:r w:rsidR="00342D7E">
        <w:t> </w:t>
      </w:r>
      <w:r w:rsidR="00342D7E" w:rsidRPr="00342D7E">
        <w:t>kom</w:t>
      </w:r>
      <w:r w:rsidRPr="00342D7E">
        <w:t>unikacja” obejmuje koszty związane</w:t>
      </w:r>
      <w:r w:rsidR="00342D7E" w:rsidRPr="00342D7E">
        <w:t xml:space="preserve"> z</w:t>
      </w:r>
      <w:r w:rsidR="00342D7E">
        <w:t> </w:t>
      </w:r>
      <w:r w:rsidR="00342D7E" w:rsidRPr="00342D7E">
        <w:t>dzi</w:t>
      </w:r>
      <w:r w:rsidRPr="00342D7E">
        <w:t>ałaniami marketingowymi</w:t>
      </w:r>
      <w:r w:rsidR="00342D7E" w:rsidRPr="00342D7E">
        <w:t xml:space="preserve"> i</w:t>
      </w:r>
      <w:r w:rsidR="00342D7E">
        <w:t> </w:t>
      </w:r>
      <w:r w:rsidR="00342D7E" w:rsidRPr="00342D7E">
        <w:t>inf</w:t>
      </w:r>
      <w:r w:rsidRPr="00342D7E">
        <w:t>ormacyjnymi, takimi jak reklama, marketing bezpośredni lub internetowy,</w:t>
      </w:r>
      <w:r w:rsidR="00342D7E" w:rsidRPr="00342D7E">
        <w:t xml:space="preserve"> i</w:t>
      </w:r>
      <w:r w:rsidR="00342D7E">
        <w:t> </w:t>
      </w:r>
      <w:r w:rsidR="00342D7E" w:rsidRPr="00342D7E">
        <w:t>wyd</w:t>
      </w:r>
      <w:r w:rsidRPr="00342D7E">
        <w:t>arzeniami.</w:t>
      </w:r>
    </w:p>
    <w:p w:rsidR="00D35B0C" w:rsidRPr="00342D7E" w:rsidRDefault="0062156F">
      <w:pPr>
        <w:pStyle w:val="Baseparagraphnumbered"/>
        <w:numPr>
          <w:ilvl w:val="0"/>
          <w:numId w:val="0"/>
        </w:numPr>
        <w:ind w:left="782" w:hanging="357"/>
      </w:pPr>
      <w:r w:rsidRPr="00342D7E">
        <w:t>208vi.</w:t>
      </w:r>
      <w:r w:rsidRPr="00342D7E">
        <w:tab/>
        <w:t>Pozycja „Koszty związane</w:t>
      </w:r>
      <w:r w:rsidR="00342D7E" w:rsidRPr="00342D7E">
        <w:t xml:space="preserve"> z</w:t>
      </w:r>
      <w:r w:rsidR="00342D7E">
        <w:t> </w:t>
      </w:r>
      <w:r w:rsidR="00342D7E" w:rsidRPr="00342D7E">
        <w:t>ryz</w:t>
      </w:r>
      <w:r w:rsidRPr="00342D7E">
        <w:t>ykiem kredytowym” oznacza koszty administracyjne</w:t>
      </w:r>
      <w:r w:rsidR="00342D7E" w:rsidRPr="00342D7E">
        <w:t xml:space="preserve"> w</w:t>
      </w:r>
      <w:r w:rsidR="00342D7E">
        <w:t> </w:t>
      </w:r>
      <w:r w:rsidR="00342D7E" w:rsidRPr="00342D7E">
        <w:t>kon</w:t>
      </w:r>
      <w:r w:rsidRPr="00342D7E">
        <w:t>tekście zdarzeń kredytowych, takie jak koszty poniesione</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obe</w:t>
      </w:r>
      <w:r w:rsidRPr="00342D7E">
        <w:t>jmowaniem</w:t>
      </w:r>
      <w:r w:rsidR="00342D7E" w:rsidRPr="00342D7E">
        <w:t xml:space="preserve"> w</w:t>
      </w:r>
      <w:r w:rsidR="00342D7E">
        <w:t> </w:t>
      </w:r>
      <w:r w:rsidR="00342D7E" w:rsidRPr="00342D7E">
        <w:t>pos</w:t>
      </w:r>
      <w:r w:rsidRPr="00342D7E">
        <w:t>iadanie zabezpieczenia lub postępowaniami sądowymi.</w:t>
      </w:r>
    </w:p>
    <w:p w:rsidR="00D35B0C" w:rsidRPr="00342D7E" w:rsidRDefault="0062156F">
      <w:pPr>
        <w:pStyle w:val="Baseparagraphnumbered"/>
        <w:numPr>
          <w:ilvl w:val="0"/>
          <w:numId w:val="0"/>
        </w:numPr>
        <w:ind w:left="782" w:hanging="357"/>
      </w:pPr>
      <w:r w:rsidRPr="00342D7E">
        <w:t>208vii.</w:t>
      </w:r>
      <w:r w:rsidRPr="00342D7E">
        <w:tab/>
        <w:t>Pozycja „Koszty postępowania sądowego nieobjęte rezerwami” oznacza koszty postępowania sądowego niezwiązane</w:t>
      </w:r>
      <w:r w:rsidR="00342D7E" w:rsidRPr="00342D7E">
        <w:t xml:space="preserve"> z</w:t>
      </w:r>
      <w:r w:rsidR="00342D7E">
        <w:t> </w:t>
      </w:r>
      <w:r w:rsidR="00342D7E" w:rsidRPr="00342D7E">
        <w:t>ryz</w:t>
      </w:r>
      <w:r w:rsidRPr="00342D7E">
        <w:t>ykiem kredytowym, które nie zostały objęte powiązaną rezerwą.</w:t>
      </w:r>
    </w:p>
    <w:p w:rsidR="00D35B0C" w:rsidRPr="00342D7E" w:rsidRDefault="0062156F">
      <w:pPr>
        <w:pStyle w:val="Baseparagraphnumbered"/>
        <w:numPr>
          <w:ilvl w:val="0"/>
          <w:numId w:val="0"/>
        </w:numPr>
        <w:ind w:left="782" w:hanging="357"/>
      </w:pPr>
      <w:r w:rsidRPr="00342D7E">
        <w:t>208viii.</w:t>
      </w:r>
      <w:r w:rsidRPr="00342D7E">
        <w:tab/>
        <w:t>Pozycja „Koszty związane</w:t>
      </w:r>
      <w:r w:rsidR="00342D7E" w:rsidRPr="00342D7E">
        <w:t xml:space="preserve"> z</w:t>
      </w:r>
      <w:r w:rsidR="00342D7E">
        <w:t> </w:t>
      </w:r>
      <w:r w:rsidR="00342D7E" w:rsidRPr="00342D7E">
        <w:t>nie</w:t>
      </w:r>
      <w:r w:rsidRPr="00342D7E">
        <w:t>ruchomościami” oznacza koszty napraw</w:t>
      </w:r>
      <w:r w:rsidR="00342D7E" w:rsidRPr="00342D7E">
        <w:t xml:space="preserve"> i</w:t>
      </w:r>
      <w:r w:rsidR="00342D7E">
        <w:t> </w:t>
      </w:r>
      <w:r w:rsidR="00342D7E" w:rsidRPr="00342D7E">
        <w:t>kon</w:t>
      </w:r>
      <w:r w:rsidRPr="00342D7E">
        <w:t xml:space="preserve">serwacji, które nie przyczyniają się do poprawy użytkowania lub nie wydłużają okresu użytkowania nieruchomości, jak też koszty opłat komunalnych (woda, energia elektryczna oraz ogrzewanie). </w:t>
      </w:r>
    </w:p>
    <w:p w:rsidR="00D35B0C" w:rsidRPr="00342D7E" w:rsidRDefault="0062156F">
      <w:pPr>
        <w:pStyle w:val="Baseparagraphnumbered"/>
        <w:numPr>
          <w:ilvl w:val="0"/>
          <w:numId w:val="0"/>
        </w:numPr>
        <w:ind w:left="782" w:hanging="357"/>
      </w:pPr>
      <w:r w:rsidRPr="00342D7E">
        <w:t>208ix.</w:t>
      </w:r>
      <w:r w:rsidRPr="00342D7E">
        <w:tab/>
        <w:t>Zgodnie z MSSF pozycja „Koszty leasingu” obejmuje koszty leasingobiorcy</w:t>
      </w:r>
      <w:r w:rsidR="00342D7E" w:rsidRPr="00342D7E">
        <w:t xml:space="preserve"> z</w:t>
      </w:r>
      <w:r w:rsidR="00342D7E">
        <w:t> </w:t>
      </w:r>
      <w:r w:rsidR="00342D7E" w:rsidRPr="00342D7E">
        <w:t>tyt</w:t>
      </w:r>
      <w:r w:rsidRPr="00342D7E">
        <w:t>ułu leasingów krótkoterminowych oraz leasingów aktywów</w:t>
      </w:r>
      <w:r w:rsidR="00342D7E" w:rsidRPr="00342D7E">
        <w:t xml:space="preserve"> o</w:t>
      </w:r>
      <w:r w:rsidR="00342D7E">
        <w:t> </w:t>
      </w:r>
      <w:r w:rsidR="00342D7E" w:rsidRPr="00342D7E">
        <w:t>nis</w:t>
      </w:r>
      <w:r w:rsidRPr="00342D7E">
        <w:t>kiej wartości,</w:t>
      </w:r>
      <w:r w:rsidR="00342D7E" w:rsidRPr="00342D7E">
        <w:t xml:space="preserve"> o</w:t>
      </w:r>
      <w:r w:rsidR="00342D7E">
        <w:t> </w:t>
      </w:r>
      <w:r w:rsidR="00342D7E" w:rsidRPr="00342D7E">
        <w:t>któ</w:t>
      </w:r>
      <w:r w:rsidRPr="00342D7E">
        <w:t>rych mowa w MSSF 16 pkt</w:t>
      </w:r>
      <w:r w:rsidR="00342D7E" w:rsidRPr="00342D7E">
        <w:t> </w:t>
      </w:r>
      <w:r w:rsidRPr="00342D7E">
        <w:t>5</w:t>
      </w:r>
      <w:r w:rsidR="00342D7E" w:rsidRPr="00342D7E">
        <w:t xml:space="preserve"> i</w:t>
      </w:r>
      <w:r w:rsidR="00342D7E">
        <w:t> </w:t>
      </w:r>
      <w:r w:rsidR="00342D7E" w:rsidRPr="00342D7E">
        <w:t>6</w:t>
      </w:r>
      <w:r w:rsidRPr="00342D7E">
        <w:t>. Zgodnie</w:t>
      </w:r>
      <w:r w:rsidR="00342D7E" w:rsidRPr="00342D7E">
        <w:t xml:space="preserve"> z</w:t>
      </w:r>
      <w:r w:rsidR="00342D7E">
        <w:t> </w:t>
      </w:r>
      <w:r w:rsidR="00342D7E" w:rsidRPr="00342D7E">
        <w:t>kra</w:t>
      </w:r>
      <w:r w:rsidRPr="00342D7E">
        <w:t>jowymi ogólnie przyjętymi zasadami rachunkowości koszty leasingu obejmują koszty leasingobiorcy</w:t>
      </w:r>
      <w:r w:rsidR="00342D7E" w:rsidRPr="00342D7E">
        <w:t xml:space="preserve"> w</w:t>
      </w:r>
      <w:r w:rsidR="00342D7E">
        <w:t> </w:t>
      </w:r>
      <w:r w:rsidR="00342D7E" w:rsidRPr="00342D7E">
        <w:t>prz</w:t>
      </w:r>
      <w:r w:rsidRPr="00342D7E">
        <w:t>ypadkach, gdy standard rachunkowości przewiduje traktowanie opłat leasingowych jako kosztów.</w:t>
      </w:r>
    </w:p>
    <w:p w:rsidR="00D35B0C" w:rsidRPr="00342D7E" w:rsidRDefault="0062156F">
      <w:pPr>
        <w:pStyle w:val="Baseparagraphnumbered"/>
        <w:numPr>
          <w:ilvl w:val="0"/>
          <w:numId w:val="0"/>
        </w:numPr>
        <w:ind w:left="782" w:hanging="357"/>
      </w:pPr>
      <w:r w:rsidRPr="00342D7E">
        <w:t>208x.</w:t>
      </w:r>
      <w:r w:rsidRPr="00342D7E">
        <w:tab/>
        <w:t>Pozycja „Pozostałe koszty administracyjne – Inne” obejmuje wszystkie pozostałe składniki „pozostałych kosztów administracyjnych”, takie jak usługi administracyjne</w:t>
      </w:r>
      <w:r w:rsidR="00342D7E" w:rsidRPr="00342D7E">
        <w:t xml:space="preserve"> i</w:t>
      </w:r>
      <w:r w:rsidR="00342D7E">
        <w:t> </w:t>
      </w:r>
      <w:r w:rsidR="00342D7E" w:rsidRPr="00342D7E">
        <w:t>log</w:t>
      </w:r>
      <w:r w:rsidRPr="00342D7E">
        <w:t>istyczne, koszty wysyłki oraz transport dokumentów, usługi nadzoru</w:t>
      </w:r>
      <w:r w:rsidR="00342D7E" w:rsidRPr="00342D7E">
        <w:t xml:space="preserve"> i</w:t>
      </w:r>
      <w:r w:rsidR="00342D7E">
        <w:t> </w:t>
      </w:r>
      <w:r w:rsidR="00342D7E" w:rsidRPr="00342D7E">
        <w:t>zap</w:t>
      </w:r>
      <w:r w:rsidRPr="00342D7E">
        <w:t>ewnienia bezpieczeństwa, usługi liczenia pieniędzy oraz transport. Wkładów pieniężnych na rzecz funduszy na cele restrukturyzacji</w:t>
      </w:r>
      <w:r w:rsidR="00342D7E" w:rsidRPr="00342D7E">
        <w:t xml:space="preserve"> </w:t>
      </w:r>
      <w:r w:rsidR="00342D7E" w:rsidRPr="00342D7E">
        <w:lastRenderedPageBreak/>
        <w:t>i</w:t>
      </w:r>
      <w:r w:rsidR="00342D7E">
        <w:t> </w:t>
      </w:r>
      <w:r w:rsidR="00342D7E" w:rsidRPr="00342D7E">
        <w:t>upo</w:t>
      </w:r>
      <w:r w:rsidRPr="00342D7E">
        <w:t>rządkowanej likwidacji oraz systemów gwarantowania depozytów nie zgłasza się</w:t>
      </w:r>
      <w:r w:rsidR="00342D7E" w:rsidRPr="00342D7E">
        <w:t xml:space="preserve"> w</w:t>
      </w:r>
      <w:r w:rsidR="00342D7E">
        <w:t> </w:t>
      </w:r>
      <w:r w:rsidR="00342D7E" w:rsidRPr="00342D7E">
        <w:t>tej</w:t>
      </w:r>
      <w:r w:rsidRPr="00342D7E">
        <w:t xml:space="preserve"> kategorii, ponieważ zgłasza się je</w:t>
      </w:r>
      <w:r w:rsidR="00342D7E" w:rsidRPr="00342D7E">
        <w:t xml:space="preserve"> w</w:t>
      </w:r>
      <w:r w:rsidR="00342D7E">
        <w:t> </w:t>
      </w:r>
      <w:r w:rsidR="00342D7E" w:rsidRPr="00342D7E">
        <w:t>odd</w:t>
      </w:r>
      <w:r w:rsidRPr="00342D7E">
        <w:t>zielnym wierszu we wzorze 2.</w:t>
      </w:r>
    </w:p>
    <w:p w:rsidR="00D35B0C" w:rsidRPr="00342D7E" w:rsidRDefault="00A834F1" w:rsidP="00056B6F">
      <w:pPr>
        <w:pStyle w:val="subtitlenumbered"/>
        <w:numPr>
          <w:ilvl w:val="0"/>
          <w:numId w:val="11"/>
        </w:numPr>
        <w:jc w:val="both"/>
      </w:pPr>
      <w:bookmarkStart w:id="53" w:name="_Toc31019155"/>
      <w:r w:rsidRPr="00342D7E">
        <w:t>Uzgodnienie rachunkowego zakresu konsolidacji</w:t>
      </w:r>
      <w:r w:rsidR="00342D7E" w:rsidRPr="00342D7E">
        <w:t xml:space="preserve"> i</w:t>
      </w:r>
      <w:r w:rsidR="00342D7E">
        <w:t> </w:t>
      </w:r>
      <w:r w:rsidR="00342D7E" w:rsidRPr="00342D7E">
        <w:t>zak</w:t>
      </w:r>
      <w:r w:rsidRPr="00342D7E">
        <w:t>resu konsolidacji na podstawie CRR (17)</w:t>
      </w:r>
      <w:bookmarkEnd w:id="53"/>
    </w:p>
    <w:p w:rsidR="00D35B0C" w:rsidRPr="00342D7E" w:rsidRDefault="00A834F1">
      <w:pPr>
        <w:pStyle w:val="Baseparagraphnumbered"/>
        <w:tabs>
          <w:tab w:val="left" w:pos="851"/>
        </w:tabs>
        <w:ind w:left="709"/>
      </w:pPr>
      <w:r w:rsidRPr="00342D7E">
        <w:t>Pozycja „Rachunkowy zakres konsolidacji” obejmuje wartość bilansową aktywów, zobowiązań</w:t>
      </w:r>
      <w:r w:rsidR="00342D7E" w:rsidRPr="00342D7E">
        <w:t xml:space="preserve"> i</w:t>
      </w:r>
      <w:r w:rsidR="00342D7E">
        <w:t> </w:t>
      </w:r>
      <w:r w:rsidR="00342D7E" w:rsidRPr="00342D7E">
        <w:t>kap</w:t>
      </w:r>
      <w:r w:rsidRPr="00342D7E">
        <w:t>itału własnego, jak również kwoty nominalne ekspozycji pozabilansowych przygotowane</w:t>
      </w:r>
      <w:r w:rsidR="00342D7E" w:rsidRPr="00342D7E">
        <w:t xml:space="preserve"> z</w:t>
      </w:r>
      <w:r w:rsidR="00342D7E">
        <w:t> </w:t>
      </w:r>
      <w:r w:rsidR="00342D7E" w:rsidRPr="00342D7E">
        <w:t>zas</w:t>
      </w:r>
      <w:r w:rsidRPr="00342D7E">
        <w:t>tosowaniem rachunkowego zakresu konsolidacji; oznacza to, że zakresem konsolidacji objęte są jednostki zależne, które są zakładami ubezpieczeń</w:t>
      </w:r>
      <w:r w:rsidR="00342D7E" w:rsidRPr="00342D7E">
        <w:t xml:space="preserve"> i</w:t>
      </w:r>
      <w:r w:rsidR="00342D7E">
        <w:t> </w:t>
      </w:r>
      <w:r w:rsidR="00342D7E" w:rsidRPr="00342D7E">
        <w:t>prz</w:t>
      </w:r>
      <w:r w:rsidRPr="00342D7E">
        <w:t>edsiębiorstwami niefinansowymi. Instytucje uwzględniają jednostki zależne, wspólne przedsięwzięcia</w:t>
      </w:r>
      <w:r w:rsidR="00342D7E" w:rsidRPr="00342D7E">
        <w:t xml:space="preserve"> i</w:t>
      </w:r>
      <w:r w:rsidR="00342D7E">
        <w:t> </w:t>
      </w:r>
      <w:r w:rsidR="00342D7E" w:rsidRPr="00342D7E">
        <w:t>jed</w:t>
      </w:r>
      <w:r w:rsidRPr="00342D7E">
        <w:t>nostki stowarzyszone, stosując tę samą metodę jak</w:t>
      </w:r>
      <w:r w:rsidR="00342D7E" w:rsidRPr="00342D7E">
        <w:t xml:space="preserve"> w</w:t>
      </w:r>
      <w:r w:rsidR="00342D7E">
        <w:t> </w:t>
      </w:r>
      <w:r w:rsidR="00342D7E" w:rsidRPr="00342D7E">
        <w:t>swo</w:t>
      </w:r>
      <w:r w:rsidRPr="00342D7E">
        <w:t>im sprawozdaniu finansowym.</w:t>
      </w:r>
    </w:p>
    <w:p w:rsidR="00D35B0C" w:rsidRPr="00342D7E" w:rsidRDefault="00A834F1">
      <w:pPr>
        <w:pStyle w:val="Baseparagraphnumbered"/>
        <w:tabs>
          <w:tab w:val="left" w:pos="851"/>
        </w:tabs>
        <w:ind w:left="709"/>
      </w:pPr>
      <w:r w:rsidRPr="00342D7E">
        <w:t>W przedmiotowym wzorze pozycja „Inwestycje</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nie obejmuje jednostek zależnych, ponieważ zgodnie</w:t>
      </w:r>
      <w:r w:rsidR="00342D7E" w:rsidRPr="00342D7E">
        <w:t xml:space="preserve"> z</w:t>
      </w:r>
      <w:r w:rsidR="00342D7E">
        <w:t> </w:t>
      </w:r>
      <w:r w:rsidR="00342D7E" w:rsidRPr="00342D7E">
        <w:t>rac</w:t>
      </w:r>
      <w:r w:rsidRPr="00342D7E">
        <w:t>hunkowym zakresem konsolidacji wszystkie jednostki zależne są</w:t>
      </w:r>
      <w:r w:rsidR="00342D7E" w:rsidRPr="00342D7E">
        <w:t xml:space="preserve"> w</w:t>
      </w:r>
      <w:r w:rsidR="00342D7E">
        <w:t> </w:t>
      </w:r>
      <w:r w:rsidR="00342D7E" w:rsidRPr="00342D7E">
        <w:t>peł</w:t>
      </w:r>
      <w:r w:rsidRPr="00342D7E">
        <w:t xml:space="preserve">ni skonsolidowane. </w:t>
      </w:r>
    </w:p>
    <w:p w:rsidR="00D35B0C" w:rsidRPr="00342D7E" w:rsidRDefault="00A834F1">
      <w:pPr>
        <w:pStyle w:val="Baseparagraphnumbered"/>
        <w:tabs>
          <w:tab w:val="left" w:pos="851"/>
        </w:tabs>
        <w:ind w:left="709"/>
      </w:pPr>
      <w:r w:rsidRPr="00342D7E">
        <w:t>„Aktywa objęte umowami reasekuracji</w:t>
      </w:r>
      <w:r w:rsidR="00342D7E" w:rsidRPr="00342D7E">
        <w:t xml:space="preserve"> i</w:t>
      </w:r>
      <w:r w:rsidR="00342D7E">
        <w:t> </w:t>
      </w:r>
      <w:r w:rsidR="00342D7E" w:rsidRPr="00342D7E">
        <w:t>ube</w:t>
      </w:r>
      <w:r w:rsidRPr="00342D7E">
        <w:t>zpieczenia” obejmują aktywa scedowane</w:t>
      </w:r>
      <w:r w:rsidR="00342D7E" w:rsidRPr="00342D7E">
        <w:t xml:space="preserve"> w</w:t>
      </w:r>
      <w:r w:rsidR="00342D7E">
        <w:t> </w:t>
      </w:r>
      <w:r w:rsidR="00342D7E" w:rsidRPr="00342D7E">
        <w:t>ram</w:t>
      </w:r>
      <w:r w:rsidRPr="00342D7E">
        <w:t>ach umowy reasekuracji, jak również ewentualne aktywa związane ze sporządzonymi umowami ubezpieczenia</w:t>
      </w:r>
      <w:r w:rsidR="00342D7E" w:rsidRPr="00342D7E">
        <w:t xml:space="preserve"> i</w:t>
      </w:r>
      <w:r w:rsidR="00342D7E">
        <w:t> </w:t>
      </w:r>
      <w:r w:rsidR="00342D7E" w:rsidRPr="00342D7E">
        <w:t>rea</w:t>
      </w:r>
      <w:r w:rsidRPr="00342D7E">
        <w:t>sekuracji.</w:t>
      </w:r>
    </w:p>
    <w:p w:rsidR="00D35B0C" w:rsidRPr="00342D7E" w:rsidRDefault="00A834F1">
      <w:pPr>
        <w:pStyle w:val="Baseparagraphnumbered"/>
        <w:tabs>
          <w:tab w:val="left" w:pos="851"/>
        </w:tabs>
        <w:ind w:left="709"/>
      </w:pPr>
      <w:r w:rsidRPr="00342D7E">
        <w:t>„Zobowiązania objęte umowami ubezpieczenia</w:t>
      </w:r>
      <w:r w:rsidR="00342D7E" w:rsidRPr="00342D7E">
        <w:t xml:space="preserve"> i</w:t>
      </w:r>
      <w:r w:rsidR="00342D7E">
        <w:t> </w:t>
      </w:r>
      <w:r w:rsidR="00342D7E" w:rsidRPr="00342D7E">
        <w:t>rea</w:t>
      </w:r>
      <w:r w:rsidRPr="00342D7E">
        <w:t>sekuracji” obejmują zobowiązania objęte sporządzonymi umowami ubezpieczenia</w:t>
      </w:r>
      <w:r w:rsidR="00342D7E" w:rsidRPr="00342D7E">
        <w:t xml:space="preserve"> i</w:t>
      </w:r>
      <w:r w:rsidR="00342D7E">
        <w:t> </w:t>
      </w:r>
      <w:r w:rsidR="00342D7E" w:rsidRPr="00342D7E">
        <w:t>rea</w:t>
      </w:r>
      <w:r w:rsidRPr="00342D7E">
        <w:t>sekuracji.</w:t>
      </w:r>
    </w:p>
    <w:p w:rsidR="00D35B0C" w:rsidRPr="00342D7E" w:rsidRDefault="00A834F1">
      <w:pPr>
        <w:pStyle w:val="subtitlenumbered"/>
        <w:jc w:val="both"/>
      </w:pPr>
      <w:bookmarkStart w:id="54" w:name="_Toc31019156"/>
      <w:r w:rsidRPr="00342D7E">
        <w:t>Ekspozycje nieobsługiwane (18)</w:t>
      </w:r>
      <w:bookmarkEnd w:id="54"/>
    </w:p>
    <w:p w:rsidR="00D35B0C" w:rsidRPr="00342D7E" w:rsidRDefault="0062156F">
      <w:pPr>
        <w:pStyle w:val="sub-subtitlenumbered"/>
        <w:jc w:val="both"/>
      </w:pPr>
      <w:bookmarkStart w:id="55" w:name="_Toc31019157"/>
      <w:r w:rsidRPr="00342D7E">
        <w:t>Informacje na temat ekspozycji obsługiwanych</w:t>
      </w:r>
      <w:r w:rsidR="00342D7E" w:rsidRPr="00342D7E">
        <w:t xml:space="preserve"> i</w:t>
      </w:r>
      <w:r w:rsidR="00342D7E">
        <w:t> </w:t>
      </w:r>
      <w:r w:rsidR="00342D7E" w:rsidRPr="00342D7E">
        <w:t>nie</w:t>
      </w:r>
      <w:r w:rsidRPr="00342D7E">
        <w:t>obsługiwanych (18.0)</w:t>
      </w:r>
      <w:bookmarkEnd w:id="55"/>
    </w:p>
    <w:p w:rsidR="00D35B0C" w:rsidRPr="00342D7E" w:rsidRDefault="00A834F1">
      <w:pPr>
        <w:pStyle w:val="Baseparagraphnumbered"/>
        <w:tabs>
          <w:tab w:val="left" w:pos="851"/>
        </w:tabs>
        <w:ind w:left="709"/>
      </w:pPr>
      <w:r w:rsidRPr="00342D7E">
        <w:t>Do celów wzoru 18 za ekspozycje nieobsługiwane uznaje się ekspozycje, które spełniają którykolwiek</w:t>
      </w:r>
      <w:r w:rsidR="00342D7E" w:rsidRPr="00342D7E">
        <w:t xml:space="preserve"> z</w:t>
      </w:r>
      <w:r w:rsidR="00342D7E">
        <w:t> </w:t>
      </w:r>
      <w:r w:rsidR="00342D7E" w:rsidRPr="00342D7E">
        <w:t>pon</w:t>
      </w:r>
      <w:r w:rsidRPr="00342D7E">
        <w:t>iższych kryteriów:</w:t>
      </w:r>
    </w:p>
    <w:p w:rsidR="00D35B0C" w:rsidRPr="00342D7E" w:rsidRDefault="00A834F1" w:rsidP="00056B6F">
      <w:pPr>
        <w:numPr>
          <w:ilvl w:val="0"/>
          <w:numId w:val="59"/>
        </w:numPr>
        <w:ind w:left="1134"/>
        <w:jc w:val="both"/>
        <w:rPr>
          <w:rFonts w:ascii="Times New Roman" w:hAnsi="Times New Roman"/>
          <w:sz w:val="24"/>
          <w:szCs w:val="24"/>
        </w:rPr>
      </w:pPr>
      <w:proofErr w:type="gramStart"/>
      <w:r w:rsidRPr="00342D7E">
        <w:rPr>
          <w:rFonts w:ascii="Times New Roman" w:hAnsi="Times New Roman"/>
          <w:sz w:val="24"/>
          <w:szCs w:val="24"/>
        </w:rPr>
        <w:t>przeterminowanie</w:t>
      </w:r>
      <w:proofErr w:type="gramEnd"/>
      <w:r w:rsidRPr="00342D7E">
        <w:rPr>
          <w:rFonts w:ascii="Times New Roman" w:hAnsi="Times New Roman"/>
          <w:sz w:val="24"/>
          <w:szCs w:val="24"/>
        </w:rPr>
        <w:t xml:space="preserve"> istotnych ekspozycji</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pon</w:t>
      </w:r>
      <w:r w:rsidRPr="00342D7E">
        <w:rPr>
          <w:rFonts w:ascii="Times New Roman" w:hAnsi="Times New Roman"/>
          <w:sz w:val="24"/>
          <w:szCs w:val="24"/>
        </w:rPr>
        <w:t xml:space="preserve">ad 90 dni; </w:t>
      </w:r>
    </w:p>
    <w:p w:rsidR="00D35B0C" w:rsidRPr="00342D7E" w:rsidRDefault="00A834F1" w:rsidP="00056B6F">
      <w:pPr>
        <w:numPr>
          <w:ilvl w:val="0"/>
          <w:numId w:val="59"/>
        </w:numPr>
        <w:ind w:left="1134"/>
        <w:jc w:val="both"/>
        <w:rPr>
          <w:rFonts w:ascii="Times New Roman" w:hAnsi="Times New Roman"/>
          <w:sz w:val="24"/>
          <w:szCs w:val="24"/>
        </w:rPr>
      </w:pPr>
      <w:proofErr w:type="gramStart"/>
      <w:r w:rsidRPr="00342D7E">
        <w:rPr>
          <w:rFonts w:ascii="Times New Roman" w:hAnsi="Times New Roman"/>
          <w:sz w:val="24"/>
          <w:szCs w:val="24"/>
        </w:rPr>
        <w:t>małe</w:t>
      </w:r>
      <w:proofErr w:type="gramEnd"/>
      <w:r w:rsidRPr="00342D7E">
        <w:rPr>
          <w:rFonts w:ascii="Times New Roman" w:hAnsi="Times New Roman"/>
          <w:sz w:val="24"/>
          <w:szCs w:val="24"/>
        </w:rPr>
        <w:t xml:space="preserve"> prawdopodobieństwo wywiązania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cał</w:t>
      </w:r>
      <w:r w:rsidRPr="00342D7E">
        <w:rPr>
          <w:rFonts w:ascii="Times New Roman" w:hAnsi="Times New Roman"/>
          <w:sz w:val="24"/>
          <w:szCs w:val="24"/>
        </w:rPr>
        <w:t xml:space="preserve">ości przez dłużnika ze swoich zobowiązań kredytowych bez konieczności realizacji zabezpieczenia, niezależnie od istnienia przeterminowanych kwot lub liczby dni przeterminowania. </w:t>
      </w:r>
    </w:p>
    <w:p w:rsidR="00D35B0C" w:rsidRPr="00342D7E" w:rsidRDefault="00A834F1">
      <w:pPr>
        <w:pStyle w:val="Baseparagraphnumbered"/>
        <w:tabs>
          <w:tab w:val="left" w:pos="851"/>
        </w:tabs>
        <w:ind w:left="709"/>
      </w:pPr>
      <w:r w:rsidRPr="00342D7E">
        <w:t>Takie sklasyfikowanie ekspozycji jako nieobsługiwanej obowiązuje niezależnie od sklasyfikowania ekspozycji jako ekspozycji, której dotyczy niewykonanie zobowiązania, do celów regulacyjnych zgodnie</w:t>
      </w:r>
      <w:r w:rsidR="00342D7E" w:rsidRPr="00342D7E">
        <w:t xml:space="preserve"> z</w:t>
      </w:r>
      <w:r w:rsidR="00342D7E">
        <w:t> </w:t>
      </w:r>
      <w:r w:rsidR="00342D7E" w:rsidRPr="00342D7E">
        <w:t>art</w:t>
      </w:r>
      <w:r w:rsidRPr="00342D7E">
        <w:t>.</w:t>
      </w:r>
      <w:r w:rsidR="00342D7E" w:rsidRPr="00342D7E">
        <w:t> </w:t>
      </w:r>
      <w:r w:rsidRPr="00342D7E">
        <w:t>178 CRR lub jako ekspozycji dotkniętej utratą wartości do celów rachunkowości zgodnie</w:t>
      </w:r>
      <w:r w:rsidR="00342D7E" w:rsidRPr="00342D7E">
        <w:t xml:space="preserve"> z</w:t>
      </w:r>
      <w:r w:rsidR="00342D7E">
        <w:t> </w:t>
      </w:r>
      <w:r w:rsidR="00342D7E" w:rsidRPr="00342D7E">
        <w:t>maj</w:t>
      </w:r>
      <w:r w:rsidRPr="00342D7E">
        <w:t xml:space="preserve">ącymi zastosowanie standardami rachunkowości. </w:t>
      </w:r>
    </w:p>
    <w:p w:rsidR="00D35B0C" w:rsidRPr="00342D7E" w:rsidRDefault="00A834F1">
      <w:pPr>
        <w:pStyle w:val="Baseparagraphnumbered"/>
        <w:tabs>
          <w:tab w:val="left" w:pos="851"/>
        </w:tabs>
        <w:ind w:left="709"/>
      </w:pPr>
      <w:r w:rsidRPr="00342D7E">
        <w:t>Ekspozycje,</w:t>
      </w:r>
      <w:r w:rsidR="00342D7E" w:rsidRPr="00342D7E">
        <w:t xml:space="preserve"> w</w:t>
      </w:r>
      <w:r w:rsidR="00342D7E">
        <w:t> </w:t>
      </w:r>
      <w:r w:rsidR="00342D7E" w:rsidRPr="00342D7E">
        <w:t>odn</w:t>
      </w:r>
      <w:r w:rsidRPr="00342D7E">
        <w:t>iesieniu do których uznaje się, że miało miejsce niewykonanie zobowiązania zgodnie</w:t>
      </w:r>
      <w:r w:rsidR="00342D7E" w:rsidRPr="00342D7E">
        <w:t xml:space="preserve"> z</w:t>
      </w:r>
      <w:r w:rsidR="00342D7E">
        <w:t> </w:t>
      </w:r>
      <w:r w:rsidR="00342D7E" w:rsidRPr="00342D7E">
        <w:t>art</w:t>
      </w:r>
      <w:r w:rsidRPr="00342D7E">
        <w:t>.</w:t>
      </w:r>
      <w:r w:rsidR="00342D7E" w:rsidRPr="00342D7E">
        <w:t> </w:t>
      </w:r>
      <w:r w:rsidRPr="00342D7E">
        <w:t>178 CRR, oraz ekspozycje,</w:t>
      </w:r>
      <w:r w:rsidR="00342D7E" w:rsidRPr="00342D7E">
        <w:t xml:space="preserve"> w</w:t>
      </w:r>
      <w:r w:rsidR="00342D7E">
        <w:t> </w:t>
      </w:r>
      <w:r w:rsidR="00342D7E" w:rsidRPr="00342D7E">
        <w:t>odn</w:t>
      </w:r>
      <w:r w:rsidRPr="00342D7E">
        <w:t>iesieniu do których stwierdzono utratę wartości zgodnie</w:t>
      </w:r>
      <w:r w:rsidR="00342D7E" w:rsidRPr="00342D7E">
        <w:t xml:space="preserve"> z</w:t>
      </w:r>
      <w:r w:rsidR="00342D7E">
        <w:t> </w:t>
      </w:r>
      <w:r w:rsidR="00342D7E" w:rsidRPr="00342D7E">
        <w:t>maj</w:t>
      </w:r>
      <w:r w:rsidRPr="00342D7E">
        <w:t xml:space="preserve">ącymi </w:t>
      </w:r>
      <w:r w:rsidRPr="00342D7E">
        <w:lastRenderedPageBreak/>
        <w:t>zastosowanie standardami rachunkowości, zawsze uznaje się za ekspozycje nieobsługiwane. Zgodnie z MSSF do celów wzoru 18 ekspozycje dotknięte utratą wartości to ekspozycje, które uznano za dotknięte utratą wartości ze względu na ryzyko kredytowe (faza 3),</w:t>
      </w:r>
      <w:r w:rsidR="00342D7E" w:rsidRPr="00342D7E">
        <w:t xml:space="preserve"> w</w:t>
      </w:r>
      <w:r w:rsidR="00342D7E">
        <w:t> </w:t>
      </w:r>
      <w:r w:rsidR="00342D7E" w:rsidRPr="00342D7E">
        <w:t>tym</w:t>
      </w:r>
      <w:r w:rsidRPr="00342D7E">
        <w:t xml:space="preserve"> zakupione lub utworzone aktywa dotknięte utratą wartości ze względu na ryzyko kredytowe zgłoszone</w:t>
      </w:r>
      <w:r w:rsidR="00342D7E" w:rsidRPr="00342D7E">
        <w:t xml:space="preserve"> w</w:t>
      </w:r>
      <w:r w:rsidR="00342D7E">
        <w:t> </w:t>
      </w:r>
      <w:r w:rsidR="00342D7E" w:rsidRPr="00342D7E">
        <w:t>tej</w:t>
      </w:r>
      <w:r w:rsidRPr="00342D7E">
        <w:t xml:space="preserve"> fazie zgodnie</w:t>
      </w:r>
      <w:r w:rsidR="00342D7E" w:rsidRPr="00342D7E">
        <w:t xml:space="preserve"> z</w:t>
      </w:r>
      <w:r w:rsidR="00342D7E">
        <w:t> </w:t>
      </w:r>
      <w:r w:rsidR="00342D7E" w:rsidRPr="00342D7E">
        <w:t>pkt </w:t>
      </w:r>
      <w:r w:rsidRPr="00342D7E">
        <w:t>77 niniejszej części. Ekspozycje znajdujące się</w:t>
      </w:r>
      <w:r w:rsidR="00342D7E" w:rsidRPr="00342D7E">
        <w:t xml:space="preserve"> w</w:t>
      </w:r>
      <w:r w:rsidR="00342D7E">
        <w:t> </w:t>
      </w:r>
      <w:r w:rsidR="00342D7E" w:rsidRPr="00342D7E">
        <w:t>faz</w:t>
      </w:r>
      <w:r w:rsidRPr="00342D7E">
        <w:t xml:space="preserve">ach utraty wartości innych niż faza 3 uznaje się za nieobsługiwane, jeżeli spełniają kryteria pozwalające uznać je za nieobsługiwane. </w:t>
      </w:r>
    </w:p>
    <w:p w:rsidR="00D35B0C" w:rsidRPr="00342D7E" w:rsidRDefault="00A834F1">
      <w:pPr>
        <w:pStyle w:val="Baseparagraphnumbered"/>
        <w:tabs>
          <w:tab w:val="left" w:pos="851"/>
        </w:tabs>
        <w:ind w:left="709"/>
      </w:pPr>
      <w:r w:rsidRPr="00342D7E">
        <w:t>Ekspozycje klasyfikuje się</w:t>
      </w:r>
      <w:r w:rsidR="00342D7E" w:rsidRPr="00342D7E">
        <w:t xml:space="preserve"> w</w:t>
      </w:r>
      <w:r w:rsidR="00342D7E">
        <w:t> </w:t>
      </w:r>
      <w:r w:rsidR="00342D7E" w:rsidRPr="00342D7E">
        <w:t>odn</w:t>
      </w:r>
      <w:r w:rsidRPr="00342D7E">
        <w:t>iesieniu do ich pełnej kwoty</w:t>
      </w:r>
      <w:r w:rsidR="00342D7E" w:rsidRPr="00342D7E">
        <w:t xml:space="preserve"> i</w:t>
      </w:r>
      <w:r w:rsidR="00342D7E">
        <w:t> </w:t>
      </w:r>
      <w:r w:rsidR="00342D7E" w:rsidRPr="00342D7E">
        <w:t>nie</w:t>
      </w:r>
      <w:r w:rsidRPr="00342D7E">
        <w:t xml:space="preserve"> uwzględniając zabezpieczenia. Istotność ocenia się zgodnie</w:t>
      </w:r>
      <w:r w:rsidR="00342D7E" w:rsidRPr="00342D7E">
        <w:t xml:space="preserve"> z</w:t>
      </w:r>
      <w:r w:rsidR="00342D7E">
        <w:t> </w:t>
      </w:r>
      <w:r w:rsidR="00342D7E" w:rsidRPr="00342D7E">
        <w:t>art</w:t>
      </w:r>
      <w:r w:rsidRPr="00342D7E">
        <w:t>.</w:t>
      </w:r>
      <w:r w:rsidR="00342D7E" w:rsidRPr="00342D7E">
        <w:t> </w:t>
      </w:r>
      <w:r w:rsidRPr="00342D7E">
        <w:t xml:space="preserve">178 CRR. </w:t>
      </w:r>
    </w:p>
    <w:p w:rsidR="00D35B0C" w:rsidRPr="00342D7E" w:rsidRDefault="00A834F1">
      <w:pPr>
        <w:pStyle w:val="Baseparagraphnumbered"/>
        <w:tabs>
          <w:tab w:val="left" w:pos="851"/>
        </w:tabs>
        <w:ind w:left="709"/>
      </w:pPr>
      <w:r w:rsidRPr="00342D7E">
        <w:t>Do celów wzoru 18 „ekspozycje” obejmują wszystkie instrumenty dłużne (dłużne papiery wartościowe oraz kredyty</w:t>
      </w:r>
      <w:r w:rsidR="00342D7E" w:rsidRPr="00342D7E">
        <w:t xml:space="preserve"> i</w:t>
      </w:r>
      <w:r w:rsidR="00342D7E">
        <w:t> </w:t>
      </w:r>
      <w:r w:rsidR="00342D7E" w:rsidRPr="00342D7E">
        <w:t>zal</w:t>
      </w:r>
      <w:r w:rsidRPr="00342D7E">
        <w:t>iczki,</w:t>
      </w:r>
      <w:r w:rsidR="00342D7E" w:rsidRPr="00342D7E">
        <w:t xml:space="preserve"> w</w:t>
      </w:r>
      <w:r w:rsidR="00342D7E">
        <w:t> </w:t>
      </w:r>
      <w:r w:rsidR="00342D7E" w:rsidRPr="00342D7E">
        <w:t>tym</w:t>
      </w:r>
      <w:r w:rsidRPr="00342D7E">
        <w:t xml:space="preserve"> środki</w:t>
      </w:r>
      <w:r w:rsidR="00342D7E" w:rsidRPr="00342D7E">
        <w:t xml:space="preserve"> w</w:t>
      </w:r>
      <w:r w:rsidR="00342D7E">
        <w:t> </w:t>
      </w:r>
      <w:r w:rsidR="00342D7E" w:rsidRPr="00342D7E">
        <w:t>ban</w:t>
      </w:r>
      <w:r w:rsidRPr="00342D7E">
        <w:t>kach centralnych</w:t>
      </w:r>
      <w:r w:rsidR="00342D7E" w:rsidRPr="00342D7E">
        <w:t xml:space="preserve"> i</w:t>
      </w:r>
      <w:r w:rsidR="00342D7E">
        <w:t> </w:t>
      </w:r>
      <w:r w:rsidR="00342D7E" w:rsidRPr="00342D7E">
        <w:t>inn</w:t>
      </w:r>
      <w:r w:rsidRPr="00342D7E">
        <w:t>e depozyty płatne na żądanie)</w:t>
      </w:r>
      <w:r w:rsidR="00342D7E" w:rsidRPr="00342D7E">
        <w:t xml:space="preserve"> i</w:t>
      </w:r>
      <w:r w:rsidR="00342D7E">
        <w:t> </w:t>
      </w:r>
      <w:r w:rsidR="00342D7E" w:rsidRPr="00342D7E">
        <w:t>eks</w:t>
      </w:r>
      <w:r w:rsidRPr="00342D7E">
        <w:t>pozycje pozabilansowe,</w:t>
      </w:r>
      <w:r w:rsidR="00342D7E" w:rsidRPr="00342D7E">
        <w:t xml:space="preserve"> z</w:t>
      </w:r>
      <w:r w:rsidR="00342D7E">
        <w:t> </w:t>
      </w:r>
      <w:r w:rsidR="00342D7E" w:rsidRPr="00342D7E">
        <w:t>wyj</w:t>
      </w:r>
      <w:r w:rsidRPr="00342D7E">
        <w:t xml:space="preserve">ątkiem przeznaczonych do obrotu. </w:t>
      </w:r>
    </w:p>
    <w:p w:rsidR="00D35B0C" w:rsidRPr="00342D7E" w:rsidRDefault="00A834F1">
      <w:pPr>
        <w:pStyle w:val="Baseparagraphnumbered"/>
        <w:tabs>
          <w:tab w:val="left" w:pos="851"/>
        </w:tabs>
        <w:ind w:left="709"/>
      </w:pPr>
      <w:r w:rsidRPr="00342D7E">
        <w:t>Instrumenty dłużne ujmuje się</w:t>
      </w:r>
      <w:r w:rsidR="00342D7E" w:rsidRPr="00342D7E">
        <w:t xml:space="preserve"> w</w:t>
      </w:r>
      <w:r w:rsidR="00342D7E">
        <w:t> </w:t>
      </w:r>
      <w:r w:rsidR="00342D7E" w:rsidRPr="00342D7E">
        <w:t>nas</w:t>
      </w:r>
      <w:r w:rsidRPr="00342D7E">
        <w:t>tępujących portfelach księgowych: a) instrumenty dłużne wyceniane według ceny nabycia lub kosztu zamortyzowanego; b) instrumenty dłużne wyceniane według wartości godziwej przez inne całkowite dochody lub według wartości godziwej przez kapitały podlegające utracie wartości; oraz c) instrumenty dłużne wyceniane według LOCOM</w:t>
      </w:r>
      <w:r w:rsidR="00342D7E" w:rsidRPr="00342D7E">
        <w:t xml:space="preserve"> w</w:t>
      </w:r>
      <w:r w:rsidR="00342D7E">
        <w:t> </w:t>
      </w:r>
      <w:r w:rsidR="00342D7E" w:rsidRPr="00342D7E">
        <w:t>try</w:t>
      </w:r>
      <w:r w:rsidRPr="00342D7E">
        <w:t>bie bezwarunkowym lub według wartości godziwej przez wynik finansowy lub według wartości godziwej przez kapitały niepodlegające utracie wartości, zgodnie</w:t>
      </w:r>
      <w:r w:rsidR="00342D7E" w:rsidRPr="00342D7E">
        <w:t xml:space="preserve"> z</w:t>
      </w:r>
      <w:r w:rsidR="00342D7E">
        <w:t> </w:t>
      </w:r>
      <w:r w:rsidR="00342D7E" w:rsidRPr="00342D7E">
        <w:t>kry</w:t>
      </w:r>
      <w:r w:rsidRPr="00342D7E">
        <w:t>teriami określonymi</w:t>
      </w:r>
      <w:r w:rsidR="00342D7E" w:rsidRPr="00342D7E">
        <w:t xml:space="preserve"> w</w:t>
      </w:r>
      <w:r w:rsidR="00342D7E">
        <w:t> </w:t>
      </w:r>
      <w:r w:rsidR="00342D7E" w:rsidRPr="00342D7E">
        <w:t>pkt </w:t>
      </w:r>
      <w:r w:rsidRPr="00342D7E">
        <w:t xml:space="preserve">233 niniejszej części. Każdą kategorię dzieli się według instrumentów oraz według kontrahentów. </w:t>
      </w:r>
    </w:p>
    <w:p w:rsidR="00D35B0C" w:rsidRPr="00342D7E" w:rsidRDefault="00A834F1">
      <w:pPr>
        <w:pStyle w:val="Baseparagraphnumbered"/>
        <w:tabs>
          <w:tab w:val="left" w:pos="851"/>
        </w:tabs>
        <w:ind w:left="709"/>
      </w:pPr>
      <w:r w:rsidRPr="00342D7E">
        <w:t>Zgodnie z MSSF</w:t>
      </w:r>
      <w:r w:rsidR="00342D7E" w:rsidRPr="00342D7E">
        <w:t xml:space="preserve"> i</w:t>
      </w:r>
      <w:r w:rsidR="00342D7E">
        <w:t> </w:t>
      </w:r>
      <w:r w:rsidR="00342D7E" w:rsidRPr="00342D7E">
        <w:t>odp</w:t>
      </w:r>
      <w:r w:rsidRPr="00342D7E">
        <w:t>owiednimi krajowymi ogólnie przyjętymi zasadami rachunkowości opartymi na BAD ekspozycje pozabilansowe obejmują następujące odwołalne</w:t>
      </w:r>
      <w:r w:rsidR="00342D7E" w:rsidRPr="00342D7E">
        <w:t xml:space="preserve"> i</w:t>
      </w:r>
      <w:r w:rsidR="00342D7E">
        <w:t> </w:t>
      </w:r>
      <w:r w:rsidR="00342D7E" w:rsidRPr="00342D7E">
        <w:t>nie</w:t>
      </w:r>
      <w:r w:rsidRPr="00342D7E">
        <w:t xml:space="preserve">odwołalne pozycje: </w:t>
      </w:r>
    </w:p>
    <w:p w:rsidR="00D35B0C" w:rsidRPr="00342D7E" w:rsidRDefault="00A834F1" w:rsidP="00056B6F">
      <w:pPr>
        <w:pStyle w:val="Text1"/>
        <w:numPr>
          <w:ilvl w:val="1"/>
          <w:numId w:val="60"/>
        </w:numPr>
        <w:ind w:left="1134"/>
      </w:pPr>
      <w:proofErr w:type="gramStart"/>
      <w:r w:rsidRPr="00342D7E">
        <w:t>udzielone</w:t>
      </w:r>
      <w:proofErr w:type="gramEnd"/>
      <w:r w:rsidRPr="00342D7E">
        <w:t xml:space="preserve"> zobowiązania do udzielenia pożyczki;</w:t>
      </w:r>
    </w:p>
    <w:p w:rsidR="00D35B0C" w:rsidRPr="00342D7E" w:rsidRDefault="00A834F1" w:rsidP="00056B6F">
      <w:pPr>
        <w:pStyle w:val="Text1"/>
        <w:numPr>
          <w:ilvl w:val="1"/>
          <w:numId w:val="60"/>
        </w:numPr>
        <w:ind w:left="1134"/>
      </w:pPr>
      <w:proofErr w:type="gramStart"/>
      <w:r w:rsidRPr="00342D7E">
        <w:t>udzielone</w:t>
      </w:r>
      <w:proofErr w:type="gramEnd"/>
      <w:r w:rsidRPr="00342D7E">
        <w:t xml:space="preserve"> gwarancje finansowe;</w:t>
      </w:r>
    </w:p>
    <w:p w:rsidR="00D35B0C" w:rsidRPr="00342D7E" w:rsidRDefault="00A834F1" w:rsidP="00056B6F">
      <w:pPr>
        <w:pStyle w:val="Text1"/>
        <w:numPr>
          <w:ilvl w:val="1"/>
          <w:numId w:val="60"/>
        </w:numPr>
        <w:ind w:left="1134"/>
      </w:pPr>
      <w:proofErr w:type="gramStart"/>
      <w:r w:rsidRPr="00342D7E">
        <w:t>inne</w:t>
      </w:r>
      <w:proofErr w:type="gramEnd"/>
      <w:r w:rsidRPr="00342D7E">
        <w:t xml:space="preserve"> udzielone zobowiązania.</w:t>
      </w:r>
    </w:p>
    <w:p w:rsidR="00D35B0C" w:rsidRPr="00342D7E" w:rsidRDefault="00A834F1">
      <w:pPr>
        <w:pStyle w:val="Baseparagraphnumbered"/>
      </w:pPr>
      <w:r w:rsidRPr="00342D7E">
        <w:t xml:space="preserve">Instrumenty dłużne sklasyfikowane jako przeznaczone do sprzedaży zgodnie z MSSF 5 zgłasza się osobno. </w:t>
      </w:r>
    </w:p>
    <w:p w:rsidR="00D35B0C" w:rsidRPr="00342D7E" w:rsidRDefault="00A834F1">
      <w:pPr>
        <w:pStyle w:val="Baseparagraphnumbered"/>
      </w:pPr>
      <w:r w:rsidRPr="00342D7E">
        <w:t>W odniesieniu do instrumentów dłużnych we wzorze 18 zgłasza się „wartość bilansową brutto” zgodnie</w:t>
      </w:r>
      <w:r w:rsidR="00342D7E" w:rsidRPr="00342D7E">
        <w:t xml:space="preserve"> z</w:t>
      </w:r>
      <w:r w:rsidR="00342D7E">
        <w:t> </w:t>
      </w:r>
      <w:r w:rsidR="00342D7E" w:rsidRPr="00342D7E">
        <w:t>def</w:t>
      </w:r>
      <w:r w:rsidRPr="00342D7E">
        <w:t>inicją przedstawioną</w:t>
      </w:r>
      <w:r w:rsidR="00342D7E" w:rsidRPr="00342D7E">
        <w:t xml:space="preserve"> w</w:t>
      </w:r>
      <w:r w:rsidR="00342D7E">
        <w:t> </w:t>
      </w:r>
      <w:r w:rsidR="00342D7E" w:rsidRPr="00342D7E">
        <w:t>czę</w:t>
      </w:r>
      <w:r w:rsidRPr="00342D7E">
        <w:t>ści 1 pkt</w:t>
      </w:r>
      <w:r w:rsidR="00342D7E" w:rsidRPr="00342D7E">
        <w:t> </w:t>
      </w:r>
      <w:r w:rsidRPr="00342D7E">
        <w:t>34 niniejszego załącznika</w:t>
      </w:r>
      <w:r w:rsidR="00342D7E" w:rsidRPr="00342D7E">
        <w:t>. W</w:t>
      </w:r>
      <w:r w:rsidR="00342D7E">
        <w:t> </w:t>
      </w:r>
      <w:r w:rsidR="00342D7E" w:rsidRPr="00342D7E">
        <w:t>odn</w:t>
      </w:r>
      <w:r w:rsidRPr="00342D7E">
        <w:t>iesieniu do ekspozycji pozabilansowych zgłasza się kwotę nominalną, jak określono</w:t>
      </w:r>
      <w:r w:rsidR="00342D7E" w:rsidRPr="00342D7E">
        <w:t xml:space="preserve"> w</w:t>
      </w:r>
      <w:r w:rsidR="00342D7E">
        <w:t> </w:t>
      </w:r>
      <w:r w:rsidR="00342D7E" w:rsidRPr="00342D7E">
        <w:t>pkt </w:t>
      </w:r>
      <w:r w:rsidRPr="00342D7E">
        <w:t>118 niniejszego załącznika.</w:t>
      </w:r>
    </w:p>
    <w:p w:rsidR="00D35B0C" w:rsidRPr="00342D7E" w:rsidRDefault="00A834F1">
      <w:pPr>
        <w:pStyle w:val="Baseparagraphnumbered"/>
        <w:ind w:hanging="426"/>
      </w:pPr>
      <w:r w:rsidRPr="00342D7E">
        <w:t>Do celów wzoru 18 ekspozycja jest „przeterminowana”, jeżeli spełnia kryteria określone</w:t>
      </w:r>
      <w:r w:rsidR="00342D7E" w:rsidRPr="00342D7E">
        <w:t xml:space="preserve"> w</w:t>
      </w:r>
      <w:r w:rsidR="00342D7E">
        <w:t> </w:t>
      </w:r>
      <w:r w:rsidR="00342D7E" w:rsidRPr="00342D7E">
        <w:t>pkt </w:t>
      </w:r>
      <w:r w:rsidRPr="00342D7E">
        <w:t xml:space="preserve">96 niniejszej części. </w:t>
      </w:r>
    </w:p>
    <w:p w:rsidR="00D35B0C" w:rsidRPr="00342D7E" w:rsidRDefault="00A834F1">
      <w:pPr>
        <w:pStyle w:val="Baseparagraphnumbered"/>
        <w:tabs>
          <w:tab w:val="left" w:pos="851"/>
        </w:tabs>
        <w:ind w:left="709"/>
      </w:pPr>
      <w:r w:rsidRPr="00342D7E">
        <w:t>Do celów wzoru 18 „dłużnik” oznacza dłużnika</w:t>
      </w:r>
      <w:r w:rsidR="00342D7E" w:rsidRPr="00342D7E">
        <w:t xml:space="preserve"> w</w:t>
      </w:r>
      <w:r w:rsidR="00342D7E">
        <w:t> </w:t>
      </w:r>
      <w:r w:rsidR="00342D7E" w:rsidRPr="00342D7E">
        <w:t>roz</w:t>
      </w:r>
      <w:r w:rsidRPr="00342D7E">
        <w:t>umieniu art.</w:t>
      </w:r>
      <w:r w:rsidR="00342D7E" w:rsidRPr="00342D7E">
        <w:t> </w:t>
      </w:r>
      <w:r w:rsidRPr="00342D7E">
        <w:t>178 CRR.</w:t>
      </w:r>
    </w:p>
    <w:p w:rsidR="00D35B0C" w:rsidRPr="00342D7E" w:rsidRDefault="00A834F1">
      <w:pPr>
        <w:pStyle w:val="Baseparagraphnumbered"/>
        <w:tabs>
          <w:tab w:val="left" w:pos="851"/>
        </w:tabs>
        <w:ind w:left="709"/>
      </w:pPr>
      <w:r w:rsidRPr="00342D7E">
        <w:t>Zobowiązanie uznaje się za ekspozycję nieobsługiwaną</w:t>
      </w:r>
      <w:r w:rsidR="00342D7E" w:rsidRPr="00342D7E">
        <w:t xml:space="preserve"> w</w:t>
      </w:r>
      <w:r w:rsidR="00342D7E">
        <w:t> </w:t>
      </w:r>
      <w:r w:rsidR="00342D7E" w:rsidRPr="00342D7E">
        <w:t>jej</w:t>
      </w:r>
      <w:r w:rsidRPr="00342D7E">
        <w:t xml:space="preserve"> kwocie nominalnej, jeżeli jej wykorzystanie lub uruchomienie</w:t>
      </w:r>
      <w:r w:rsidR="00342D7E" w:rsidRPr="00342D7E">
        <w:t xml:space="preserve"> w</w:t>
      </w:r>
      <w:r w:rsidR="00342D7E">
        <w:t> </w:t>
      </w:r>
      <w:r w:rsidR="00342D7E" w:rsidRPr="00342D7E">
        <w:t>inn</w:t>
      </w:r>
      <w:r w:rsidRPr="00342D7E">
        <w:t xml:space="preserve">y sposób </w:t>
      </w:r>
      <w:r w:rsidRPr="00342D7E">
        <w:lastRenderedPageBreak/>
        <w:t>doprowadziłoby do powstania ekspozycji,</w:t>
      </w:r>
      <w:r w:rsidR="00342D7E" w:rsidRPr="00342D7E">
        <w:t xml:space="preserve"> w</w:t>
      </w:r>
      <w:r w:rsidR="00342D7E">
        <w:t> </w:t>
      </w:r>
      <w:r w:rsidR="00342D7E" w:rsidRPr="00342D7E">
        <w:t>prz</w:t>
      </w:r>
      <w:r w:rsidRPr="00342D7E">
        <w:t>ypadku których istniałoby ryzyko, że nie zostaną spłacone</w:t>
      </w:r>
      <w:r w:rsidR="00342D7E" w:rsidRPr="00342D7E">
        <w:t xml:space="preserve"> w</w:t>
      </w:r>
      <w:r w:rsidR="00342D7E">
        <w:t> </w:t>
      </w:r>
      <w:r w:rsidR="00342D7E" w:rsidRPr="00342D7E">
        <w:t>peł</w:t>
      </w:r>
      <w:r w:rsidRPr="00342D7E">
        <w:t xml:space="preserve">ni bez konieczności realizacji zabezpieczenia. </w:t>
      </w:r>
    </w:p>
    <w:p w:rsidR="00D35B0C" w:rsidRPr="00342D7E" w:rsidRDefault="00A834F1">
      <w:pPr>
        <w:pStyle w:val="Baseparagraphnumbered"/>
        <w:tabs>
          <w:tab w:val="left" w:pos="851"/>
        </w:tabs>
        <w:ind w:left="709"/>
      </w:pPr>
      <w:r w:rsidRPr="00342D7E">
        <w:t>Udzielone gwarancje finansowe uznaje się za ekspozycje nieobsługiwane</w:t>
      </w:r>
      <w:r w:rsidR="00342D7E" w:rsidRPr="00342D7E">
        <w:t xml:space="preserve"> w</w:t>
      </w:r>
      <w:r w:rsidR="00342D7E">
        <w:t> </w:t>
      </w:r>
      <w:r w:rsidR="00342D7E" w:rsidRPr="00342D7E">
        <w:t>ich</w:t>
      </w:r>
      <w:r w:rsidRPr="00342D7E">
        <w:t xml:space="preserve"> kwocie nominalnej, jeżeli istnieje ryzyko wezwania przez stronę korzystającą</w:t>
      </w:r>
      <w:r w:rsidR="00342D7E" w:rsidRPr="00342D7E">
        <w:t xml:space="preserve"> z</w:t>
      </w:r>
      <w:r w:rsidR="00342D7E">
        <w:t> </w:t>
      </w:r>
      <w:r w:rsidR="00342D7E" w:rsidRPr="00342D7E">
        <w:t>gwa</w:t>
      </w:r>
      <w:r w:rsidRPr="00342D7E">
        <w:t>rancji do wykonania danej gwarancji finansowej,</w:t>
      </w:r>
      <w:r w:rsidR="00342D7E" w:rsidRPr="00342D7E">
        <w:t xml:space="preserve"> w</w:t>
      </w:r>
      <w:r w:rsidR="00342D7E">
        <w:t> </w:t>
      </w:r>
      <w:r w:rsidR="00342D7E" w:rsidRPr="00342D7E">
        <w:t>tym w</w:t>
      </w:r>
      <w:r w:rsidR="00342D7E">
        <w:t> </w:t>
      </w:r>
      <w:r w:rsidR="00342D7E" w:rsidRPr="00342D7E">
        <w:t>szc</w:t>
      </w:r>
      <w:r w:rsidRPr="00342D7E">
        <w:t>zególności</w:t>
      </w:r>
      <w:r w:rsidR="00342D7E" w:rsidRPr="00342D7E">
        <w:t xml:space="preserve"> w</w:t>
      </w:r>
      <w:r w:rsidR="00342D7E">
        <w:t> </w:t>
      </w:r>
      <w:r w:rsidR="00342D7E" w:rsidRPr="00342D7E">
        <w:t>prz</w:t>
      </w:r>
      <w:r w:rsidRPr="00342D7E">
        <w:t>ypadku, gdy ekspozycja gwarantowana spełnia kryteria uznania jej za nieobsługiwaną,</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pkt </w:t>
      </w:r>
      <w:r w:rsidRPr="00342D7E">
        <w:t>213. Jeżeli stronie korzystającej</w:t>
      </w:r>
      <w:r w:rsidR="00342D7E" w:rsidRPr="00342D7E">
        <w:t xml:space="preserve"> z</w:t>
      </w:r>
      <w:r w:rsidR="00342D7E">
        <w:t> </w:t>
      </w:r>
      <w:r w:rsidR="00342D7E" w:rsidRPr="00342D7E">
        <w:t>gwa</w:t>
      </w:r>
      <w:r w:rsidRPr="00342D7E">
        <w:t>rancji nie wypłacono</w:t>
      </w:r>
      <w:r w:rsidR="00342D7E" w:rsidRPr="00342D7E">
        <w:t xml:space="preserve"> w</w:t>
      </w:r>
      <w:r w:rsidR="00342D7E">
        <w:t> </w:t>
      </w:r>
      <w:r w:rsidR="00342D7E" w:rsidRPr="00342D7E">
        <w:t>ter</w:t>
      </w:r>
      <w:r w:rsidRPr="00342D7E">
        <w:t>minie wymagalności świadczenia wynikającego</w:t>
      </w:r>
      <w:r w:rsidR="00342D7E" w:rsidRPr="00342D7E">
        <w:t xml:space="preserve"> z</w:t>
      </w:r>
      <w:r w:rsidR="00342D7E">
        <w:t> </w:t>
      </w:r>
      <w:r w:rsidR="00342D7E" w:rsidRPr="00342D7E">
        <w:t>umo</w:t>
      </w:r>
      <w:r w:rsidRPr="00342D7E">
        <w:t>wy gwarancji finansowej, instytucja sprawozdająca ocenia, czy wynikająca stąd wierzytelność spełnia kryteria uznania jej za nieobsługiwaną.</w:t>
      </w:r>
    </w:p>
    <w:p w:rsidR="00D35B0C" w:rsidRPr="00342D7E" w:rsidRDefault="00A834F1">
      <w:pPr>
        <w:pStyle w:val="Baseparagraphnumbered"/>
        <w:tabs>
          <w:tab w:val="left" w:pos="851"/>
        </w:tabs>
        <w:ind w:left="709"/>
      </w:pPr>
      <w:r w:rsidRPr="00342D7E">
        <w:t>Ekspozycje uznane za nieobsługiwane zgodnie</w:t>
      </w:r>
      <w:r w:rsidR="00342D7E" w:rsidRPr="00342D7E">
        <w:t xml:space="preserve"> z</w:t>
      </w:r>
      <w:r w:rsidR="00342D7E">
        <w:t> </w:t>
      </w:r>
      <w:r w:rsidR="00342D7E" w:rsidRPr="00342D7E">
        <w:t>pkt </w:t>
      </w:r>
      <w:r w:rsidRPr="00342D7E">
        <w:t>213 klasyfikuje się jako nieobsługiwane na zasadzie indywidualnej („w oparciu</w:t>
      </w:r>
      <w:r w:rsidR="00342D7E" w:rsidRPr="00342D7E">
        <w:t xml:space="preserve"> o</w:t>
      </w:r>
      <w:r w:rsidR="00342D7E">
        <w:t> </w:t>
      </w:r>
      <w:r w:rsidR="00342D7E" w:rsidRPr="00342D7E">
        <w:t>tra</w:t>
      </w:r>
      <w:r w:rsidRPr="00342D7E">
        <w:t>nsakcję”) lub jako nieobsługiwane</w:t>
      </w:r>
      <w:r w:rsidR="00342D7E" w:rsidRPr="00342D7E">
        <w:t xml:space="preserve"> w</w:t>
      </w:r>
      <w:r w:rsidR="00342D7E">
        <w:t> </w:t>
      </w:r>
      <w:r w:rsidR="00342D7E" w:rsidRPr="00342D7E">
        <w:t>odn</w:t>
      </w:r>
      <w:r w:rsidRPr="00342D7E">
        <w:t>iesieniu do ogólnej ekspozycji wobec danego dłużnika („w oparciu</w:t>
      </w:r>
      <w:r w:rsidR="00342D7E" w:rsidRPr="00342D7E">
        <w:t xml:space="preserve"> o</w:t>
      </w:r>
      <w:r w:rsidR="00342D7E">
        <w:t> </w:t>
      </w:r>
      <w:r w:rsidR="00342D7E" w:rsidRPr="00342D7E">
        <w:t>dłu</w:t>
      </w:r>
      <w:r w:rsidRPr="00342D7E">
        <w:t>żnika”). Przy klasyfikacji ekspozycji nieobsługiwanych na zasadzie indywidualnej lub wobec danego dłużnika</w:t>
      </w:r>
      <w:r w:rsidR="00342D7E" w:rsidRPr="00342D7E">
        <w:t xml:space="preserve"> w</w:t>
      </w:r>
      <w:r w:rsidR="00342D7E">
        <w:t> </w:t>
      </w:r>
      <w:r w:rsidR="00342D7E" w:rsidRPr="00342D7E">
        <w:t>odn</w:t>
      </w:r>
      <w:r w:rsidRPr="00342D7E">
        <w:t xml:space="preserve">iesieniu do poszczególnych rodzajów ekspozycji nieobsługiwanych stosuje się następujące rodzaje klasyfikacji: </w:t>
      </w:r>
    </w:p>
    <w:p w:rsidR="00D35B0C" w:rsidRPr="00342D7E" w:rsidRDefault="00A834F1" w:rsidP="00056B6F">
      <w:pPr>
        <w:pStyle w:val="Text1"/>
        <w:numPr>
          <w:ilvl w:val="2"/>
          <w:numId w:val="61"/>
        </w:numPr>
        <w:ind w:left="1134"/>
      </w:pPr>
      <w:proofErr w:type="gramStart"/>
      <w:r w:rsidRPr="00342D7E">
        <w:t>w</w:t>
      </w:r>
      <w:proofErr w:type="gramEnd"/>
      <w:r w:rsidRPr="00342D7E">
        <w:t xml:space="preserve"> przypadku ekspozycji nieobsługiwanych sklasyfikowanych zgodnie</w:t>
      </w:r>
      <w:r w:rsidR="00342D7E" w:rsidRPr="00342D7E">
        <w:t xml:space="preserve"> z</w:t>
      </w:r>
      <w:r w:rsidR="00342D7E">
        <w:t> </w:t>
      </w:r>
      <w:r w:rsidR="00342D7E" w:rsidRPr="00342D7E">
        <w:t>art</w:t>
      </w:r>
      <w:r w:rsidRPr="00342D7E">
        <w:t>.</w:t>
      </w:r>
      <w:r w:rsidR="00342D7E" w:rsidRPr="00342D7E">
        <w:t> </w:t>
      </w:r>
      <w:r w:rsidRPr="00342D7E">
        <w:t xml:space="preserve">178 CRR jako ekspozycje, których dotyczy niewykonanie zobowiązania, stosuje się klasyfikację określoną we wspomnianym artykule; </w:t>
      </w:r>
    </w:p>
    <w:p w:rsidR="00D35B0C" w:rsidRPr="00342D7E" w:rsidRDefault="00A834F1" w:rsidP="00056B6F">
      <w:pPr>
        <w:pStyle w:val="Text1"/>
        <w:numPr>
          <w:ilvl w:val="2"/>
          <w:numId w:val="61"/>
        </w:numPr>
        <w:ind w:left="1134"/>
      </w:pPr>
      <w:proofErr w:type="gramStart"/>
      <w:r w:rsidRPr="00342D7E">
        <w:t>w</w:t>
      </w:r>
      <w:proofErr w:type="gramEnd"/>
      <w:r w:rsidRPr="00342D7E">
        <w:t xml:space="preserve"> przypadku ekspozycji sklasyfikowanych zgodnie</w:t>
      </w:r>
      <w:r w:rsidR="00342D7E" w:rsidRPr="00342D7E">
        <w:t xml:space="preserve"> z</w:t>
      </w:r>
      <w:r w:rsidR="00342D7E">
        <w:t> </w:t>
      </w:r>
      <w:r w:rsidR="00342D7E" w:rsidRPr="00342D7E">
        <w:t>maj</w:t>
      </w:r>
      <w:r w:rsidRPr="00342D7E">
        <w:t>ącymi zastosowanie standardami rachunkowości jako nieobsługiwane</w:t>
      </w:r>
      <w:r w:rsidR="00342D7E" w:rsidRPr="00342D7E">
        <w:t xml:space="preserve"> z</w:t>
      </w:r>
      <w:r w:rsidR="00342D7E">
        <w:t> </w:t>
      </w:r>
      <w:r w:rsidR="00342D7E" w:rsidRPr="00342D7E">
        <w:t>pow</w:t>
      </w:r>
      <w:r w:rsidRPr="00342D7E">
        <w:t>odu utraty wartości stosuje się kryteria dotyczące ujmowania utraty wartości określone</w:t>
      </w:r>
      <w:r w:rsidR="00342D7E" w:rsidRPr="00342D7E">
        <w:t xml:space="preserve"> w</w:t>
      </w:r>
      <w:r w:rsidR="00342D7E">
        <w:t> </w:t>
      </w:r>
      <w:r w:rsidR="00342D7E" w:rsidRPr="00342D7E">
        <w:t>maj</w:t>
      </w:r>
      <w:r w:rsidRPr="00342D7E">
        <w:t>ących zastosowanie standardach rachunkowości;</w:t>
      </w:r>
    </w:p>
    <w:p w:rsidR="00D35B0C" w:rsidRPr="00342D7E" w:rsidRDefault="00A834F1" w:rsidP="00056B6F">
      <w:pPr>
        <w:pStyle w:val="Text1"/>
        <w:numPr>
          <w:ilvl w:val="2"/>
          <w:numId w:val="61"/>
        </w:numPr>
        <w:ind w:left="1134"/>
      </w:pPr>
      <w:proofErr w:type="gramStart"/>
      <w:r w:rsidRPr="00342D7E">
        <w:t>w</w:t>
      </w:r>
      <w:proofErr w:type="gramEnd"/>
      <w:r w:rsidRPr="00342D7E">
        <w:t xml:space="preserve"> przypadku ekspozycji nieobsługiwanych niesklasyfikowanych jako ekspozycje, których dotyczy niewykonanie zobowiązania, ani ekspozycje dotknięte utratą wartości, stosowane są przepisy art.</w:t>
      </w:r>
      <w:r w:rsidR="00342D7E" w:rsidRPr="00342D7E">
        <w:t> </w:t>
      </w:r>
      <w:r w:rsidRPr="00342D7E">
        <w:t xml:space="preserve">178 CRR dotyczące ekspozycji, których dotyczy niewykonanie zobowiązania. </w:t>
      </w:r>
    </w:p>
    <w:p w:rsidR="00D35B0C" w:rsidRPr="00342D7E" w:rsidRDefault="00A834F1">
      <w:pPr>
        <w:pStyle w:val="Baseparagraphnumbered"/>
        <w:tabs>
          <w:tab w:val="left" w:pos="851"/>
        </w:tabs>
        <w:ind w:left="709"/>
      </w:pPr>
      <w:r w:rsidRPr="00342D7E">
        <w:t>Jeżeli dana instytucja posiada ekspozycje bilansowe wobec dłużnika, które są przeterminowane</w:t>
      </w:r>
      <w:r w:rsidR="00342D7E" w:rsidRPr="00342D7E">
        <w:t xml:space="preserve"> o</w:t>
      </w:r>
      <w:r w:rsidR="00342D7E">
        <w:t> </w:t>
      </w:r>
      <w:r w:rsidR="00342D7E" w:rsidRPr="00342D7E">
        <w:t>pon</w:t>
      </w:r>
      <w:r w:rsidRPr="00342D7E">
        <w:t>ad 90 dni,</w:t>
      </w:r>
      <w:r w:rsidR="00342D7E" w:rsidRPr="00342D7E">
        <w:t xml:space="preserve"> a</w:t>
      </w:r>
      <w:r w:rsidR="00342D7E">
        <w:t> </w:t>
      </w:r>
      <w:r w:rsidR="00342D7E" w:rsidRPr="00342D7E">
        <w:t>war</w:t>
      </w:r>
      <w:r w:rsidRPr="00342D7E">
        <w:t>tość bilansowa ekspozycji przeterminowanych brutto stanowi ponad 20</w:t>
      </w:r>
      <w:r w:rsidR="00342D7E" w:rsidRPr="00342D7E">
        <w:t> </w:t>
      </w:r>
      <w:r w:rsidRPr="00342D7E">
        <w:t>% wartości bilansowej brutto wszystkich ekspozycji bilansowych wobec tego dłużnika, wszystkie bilansowe</w:t>
      </w:r>
      <w:r w:rsidR="00342D7E" w:rsidRPr="00342D7E">
        <w:t xml:space="preserve"> i</w:t>
      </w:r>
      <w:r w:rsidR="00342D7E">
        <w:t> </w:t>
      </w:r>
      <w:r w:rsidR="00342D7E" w:rsidRPr="00342D7E">
        <w:t>poz</w:t>
      </w:r>
      <w:r w:rsidRPr="00342D7E">
        <w:t>abilansowe ekspozycje wobec tego dłużnika uznaje się za nieobsługiwane. Jeżeli dłużnik należy do grupy, ocenia się potrzebę uznania za nieobsługiwane również ekspozycji wobec innych podmiotów należących do tej grupy, jeżeli ekspozycje te nie zostały już uznane za ekspozycje dotknięte utratą wartości lub za ekspozycje, których dotyczy niewykonanie zobowiązania, zgodnie</w:t>
      </w:r>
      <w:r w:rsidR="00342D7E" w:rsidRPr="00342D7E">
        <w:t xml:space="preserve"> z</w:t>
      </w:r>
      <w:r w:rsidR="00342D7E">
        <w:t> </w:t>
      </w:r>
      <w:r w:rsidR="00342D7E" w:rsidRPr="00342D7E">
        <w:t>art</w:t>
      </w:r>
      <w:r w:rsidRPr="00342D7E">
        <w:t>.</w:t>
      </w:r>
      <w:r w:rsidR="00342D7E" w:rsidRPr="00342D7E">
        <w:t> </w:t>
      </w:r>
      <w:r w:rsidRPr="00342D7E">
        <w:t>178 CRR,</w:t>
      </w:r>
      <w:r w:rsidR="00342D7E" w:rsidRPr="00342D7E">
        <w:t xml:space="preserve"> z</w:t>
      </w:r>
      <w:r w:rsidR="00342D7E">
        <w:t> </w:t>
      </w:r>
      <w:r w:rsidR="00342D7E" w:rsidRPr="00342D7E">
        <w:t>wyj</w:t>
      </w:r>
      <w:r w:rsidRPr="00342D7E">
        <w:t>ątkiem ekspozycji będących przedmiotem odrębnych sporów niezwiązanych</w:t>
      </w:r>
      <w:r w:rsidR="00342D7E" w:rsidRPr="00342D7E">
        <w:t xml:space="preserve"> z</w:t>
      </w:r>
      <w:r w:rsidR="00342D7E">
        <w:t> </w:t>
      </w:r>
      <w:r w:rsidR="00342D7E" w:rsidRPr="00342D7E">
        <w:t>wyp</w:t>
      </w:r>
      <w:r w:rsidRPr="00342D7E">
        <w:t xml:space="preserve">łacalnością kontrahenta. </w:t>
      </w:r>
    </w:p>
    <w:p w:rsidR="00D35B0C" w:rsidRPr="00342D7E" w:rsidRDefault="00A834F1">
      <w:pPr>
        <w:pStyle w:val="Baseparagraphnumbered"/>
      </w:pPr>
      <w:r w:rsidRPr="00342D7E">
        <w:t>Uznaje się, że ekspozycje przestały być nieobsługiwane, jeżeli wszystkie poniższe warunki są spełnione:</w:t>
      </w:r>
    </w:p>
    <w:p w:rsidR="00D35B0C" w:rsidRPr="00342D7E" w:rsidRDefault="00A834F1" w:rsidP="00056B6F">
      <w:pPr>
        <w:pStyle w:val="Text1"/>
        <w:numPr>
          <w:ilvl w:val="1"/>
          <w:numId w:val="62"/>
        </w:numPr>
        <w:tabs>
          <w:tab w:val="left" w:pos="1276"/>
        </w:tabs>
        <w:ind w:left="1134"/>
      </w:pPr>
      <w:proofErr w:type="gramStart"/>
      <w:r w:rsidRPr="00342D7E">
        <w:lastRenderedPageBreak/>
        <w:t>ekspozycje</w:t>
      </w:r>
      <w:proofErr w:type="gramEnd"/>
      <w:r w:rsidRPr="00342D7E">
        <w:t xml:space="preserve"> spełniają stosowane przez instytucję sprawozdającą warunki zaprzestania klasyfikacji jako ekspozycje dotknięte utratą wartości lub ekspozycje, których dotyczy niewykonanie zobowiązania, zgodnie z – odpowiednio – mającymi zastosowanie standardami rachunkowości lub art.</w:t>
      </w:r>
      <w:r w:rsidR="00342D7E" w:rsidRPr="00342D7E">
        <w:t> </w:t>
      </w:r>
      <w:r w:rsidRPr="00342D7E">
        <w:t>178 CRR;</w:t>
      </w:r>
    </w:p>
    <w:p w:rsidR="00D35B0C" w:rsidRPr="00342D7E" w:rsidRDefault="00A834F1" w:rsidP="00056B6F">
      <w:pPr>
        <w:pStyle w:val="Text1"/>
        <w:numPr>
          <w:ilvl w:val="1"/>
          <w:numId w:val="62"/>
        </w:numPr>
        <w:tabs>
          <w:tab w:val="left" w:pos="1276"/>
        </w:tabs>
        <w:ind w:left="1134"/>
      </w:pPr>
      <w:proofErr w:type="gramStart"/>
      <w:r w:rsidRPr="00342D7E">
        <w:t>sytuacja</w:t>
      </w:r>
      <w:proofErr w:type="gramEnd"/>
      <w:r w:rsidRPr="00342D7E">
        <w:t xml:space="preserve"> dłużnika poprawiła się</w:t>
      </w:r>
      <w:r w:rsidR="00342D7E" w:rsidRPr="00342D7E">
        <w:t xml:space="preserve"> w</w:t>
      </w:r>
      <w:r w:rsidR="00342D7E">
        <w:t> </w:t>
      </w:r>
      <w:r w:rsidR="00342D7E" w:rsidRPr="00342D7E">
        <w:t>tak</w:t>
      </w:r>
      <w:r w:rsidRPr="00342D7E">
        <w:t>im stopniu, że pełna spłata, zgodnie</w:t>
      </w:r>
      <w:r w:rsidR="00342D7E" w:rsidRPr="00342D7E">
        <w:t xml:space="preserve"> z</w:t>
      </w:r>
      <w:r w:rsidR="00342D7E">
        <w:t> </w:t>
      </w:r>
      <w:r w:rsidR="00342D7E" w:rsidRPr="00342D7E">
        <w:t>pie</w:t>
      </w:r>
      <w:r w:rsidRPr="00342D7E">
        <w:t>rwotnymi albo zmienionymi warunkami, zostanie prawdopodobnie dokonana;</w:t>
      </w:r>
    </w:p>
    <w:p w:rsidR="00D35B0C" w:rsidRPr="00342D7E" w:rsidRDefault="00A834F1" w:rsidP="00056B6F">
      <w:pPr>
        <w:pStyle w:val="Text1"/>
        <w:numPr>
          <w:ilvl w:val="1"/>
          <w:numId w:val="62"/>
        </w:numPr>
        <w:tabs>
          <w:tab w:val="left" w:pos="1276"/>
        </w:tabs>
        <w:ind w:left="1134"/>
      </w:pPr>
      <w:proofErr w:type="gramStart"/>
      <w:r w:rsidRPr="00342D7E">
        <w:t>dłużnik</w:t>
      </w:r>
      <w:proofErr w:type="gramEnd"/>
      <w:r w:rsidRPr="00342D7E">
        <w:t xml:space="preserve"> nie posiada żadnych kwot przeterminowanych</w:t>
      </w:r>
      <w:r w:rsidR="00342D7E" w:rsidRPr="00342D7E">
        <w:t xml:space="preserve"> o</w:t>
      </w:r>
      <w:r w:rsidR="00342D7E">
        <w:t> </w:t>
      </w:r>
      <w:r w:rsidR="00342D7E" w:rsidRPr="00342D7E">
        <w:t>pon</w:t>
      </w:r>
      <w:r w:rsidRPr="00342D7E">
        <w:t xml:space="preserve">ad 90 dni. </w:t>
      </w:r>
    </w:p>
    <w:p w:rsidR="00D35B0C" w:rsidRPr="00342D7E" w:rsidRDefault="00A834F1">
      <w:pPr>
        <w:pStyle w:val="Baseparagraphnumbered"/>
      </w:pPr>
      <w:r w:rsidRPr="00342D7E">
        <w:t>Jeżeli warunki określone</w:t>
      </w:r>
      <w:r w:rsidR="00342D7E" w:rsidRPr="00342D7E">
        <w:t xml:space="preserve"> w</w:t>
      </w:r>
      <w:r w:rsidR="00342D7E">
        <w:t> </w:t>
      </w:r>
      <w:r w:rsidR="00342D7E" w:rsidRPr="00342D7E">
        <w:t>pkt </w:t>
      </w:r>
      <w:r w:rsidRPr="00342D7E">
        <w:t>228 lit.</w:t>
      </w:r>
      <w:r w:rsidR="00342D7E" w:rsidRPr="00342D7E">
        <w:t> </w:t>
      </w:r>
      <w:r w:rsidRPr="00342D7E">
        <w:t>a), b) i c) nie są spełnione, daną ekspozycję nadal klasyfikuje się jako nieobsługiwaną, nawet jeśli ekspozycja ta spełnia już stosowane przez instytucję sprawozdającą warunki zaprzestania klasyfikacji jako ekspozycja dotknięta utratą wartości lub ekspozycja, której dotyczy niewykonanie zobowiązania, zgodnie z – odpowiednio – mającymi zastosowanie standardami rachunkowości lub art.</w:t>
      </w:r>
      <w:r w:rsidR="00342D7E" w:rsidRPr="00342D7E">
        <w:t> </w:t>
      </w:r>
      <w:r w:rsidRPr="00342D7E">
        <w:t xml:space="preserve">178 CRR. </w:t>
      </w:r>
    </w:p>
    <w:p w:rsidR="00D35B0C" w:rsidRPr="00342D7E" w:rsidRDefault="00A834F1">
      <w:pPr>
        <w:pStyle w:val="Baseparagraphnumbered"/>
      </w:pPr>
      <w:r w:rsidRPr="00342D7E">
        <w:t>Klasyfikacja ekspozycji nieobsługiwanej jako składnik aktywów trwałych przeznaczony do sprzedaży zgodnie z MSSF 5 nie prowadzi do zaprzestania jej klasyfikacji jako ekspozycja nieobsługiwana.</w:t>
      </w:r>
    </w:p>
    <w:p w:rsidR="00D35B0C" w:rsidRPr="00342D7E" w:rsidRDefault="00A834F1">
      <w:pPr>
        <w:pStyle w:val="Baseparagraphnumbered"/>
        <w:tabs>
          <w:tab w:val="left" w:pos="851"/>
        </w:tabs>
        <w:ind w:left="709"/>
      </w:pPr>
      <w:r w:rsidRPr="00342D7E">
        <w:t>Objęcie ekspozycji nieobsługiwanej działaniami restrukturyzacyjnymi nie pozbawia tej ekspozycji statusu ekspozycji nieobsługiwanej. Jeżeli ekspozycje mają status ekspozycji nieobsługiwanych objętych działaniami restrukturyzacyjnymi, jak określono</w:t>
      </w:r>
      <w:r w:rsidR="00342D7E" w:rsidRPr="00342D7E">
        <w:t xml:space="preserve"> w</w:t>
      </w:r>
      <w:r w:rsidR="00342D7E">
        <w:t> </w:t>
      </w:r>
      <w:r w:rsidR="00342D7E" w:rsidRPr="00342D7E">
        <w:t>pkt </w:t>
      </w:r>
      <w:r w:rsidRPr="00342D7E">
        <w:t>262, uznaje się, że ekspozycje te przestały być nieobsługiwane, pod warunkiem że wszystkie poniższe warunki są spełnione:</w:t>
      </w:r>
    </w:p>
    <w:p w:rsidR="00D35B0C" w:rsidRPr="00342D7E" w:rsidRDefault="00A834F1" w:rsidP="00056B6F">
      <w:pPr>
        <w:pStyle w:val="Text1"/>
        <w:numPr>
          <w:ilvl w:val="0"/>
          <w:numId w:val="63"/>
        </w:numPr>
        <w:ind w:left="1134"/>
      </w:pPr>
      <w:proofErr w:type="gramStart"/>
      <w:r w:rsidRPr="00342D7E">
        <w:t>instytucja</w:t>
      </w:r>
      <w:proofErr w:type="gramEnd"/>
      <w:r w:rsidRPr="00342D7E">
        <w:t xml:space="preserve"> sprawozdająca nie uznaje ekspozycji za dotknięte utratą wartości lub za ekspozycje, których dotyczy niewykonanie zobowiązania, zgodnie z – odpowiednio – mającymi zastosowanie standardami rachunkowości lub art.</w:t>
      </w:r>
      <w:r w:rsidR="00342D7E" w:rsidRPr="00342D7E">
        <w:t> </w:t>
      </w:r>
      <w:r w:rsidRPr="00342D7E">
        <w:t xml:space="preserve">178 CRR; </w:t>
      </w:r>
    </w:p>
    <w:p w:rsidR="00D35B0C" w:rsidRPr="00342D7E" w:rsidRDefault="0094598C" w:rsidP="00056B6F">
      <w:pPr>
        <w:pStyle w:val="Text1"/>
        <w:numPr>
          <w:ilvl w:val="0"/>
          <w:numId w:val="63"/>
        </w:numPr>
        <w:ind w:left="1134"/>
      </w:pPr>
      <w:proofErr w:type="gramStart"/>
      <w:r w:rsidRPr="00342D7E">
        <w:t>upłynął</w:t>
      </w:r>
      <w:proofErr w:type="gramEnd"/>
      <w:r w:rsidRPr="00342D7E">
        <w:t xml:space="preserve"> co najmniej rok od daty objęcia ekspozycji działaniami restrukturyzacyjnymi lub od daty zaklasyfikowania ekspozycji jako nieobsługiwanych,</w:t>
      </w:r>
      <w:r w:rsidR="00342D7E" w:rsidRPr="00342D7E">
        <w:t xml:space="preserve"> w</w:t>
      </w:r>
      <w:r w:rsidR="00342D7E">
        <w:t> </w:t>
      </w:r>
      <w:r w:rsidR="00342D7E" w:rsidRPr="00342D7E">
        <w:t>zal</w:t>
      </w:r>
      <w:r w:rsidRPr="00342D7E">
        <w:t>eżności od tego, która</w:t>
      </w:r>
      <w:r w:rsidR="00342D7E" w:rsidRPr="00342D7E">
        <w:t xml:space="preserve"> z</w:t>
      </w:r>
      <w:r w:rsidR="00342D7E">
        <w:t> </w:t>
      </w:r>
      <w:r w:rsidR="00342D7E" w:rsidRPr="00342D7E">
        <w:t>tyc</w:t>
      </w:r>
      <w:r w:rsidRPr="00342D7E">
        <w:t>h dat przypada później;</w:t>
      </w:r>
    </w:p>
    <w:p w:rsidR="00D35B0C" w:rsidRPr="00342D7E" w:rsidRDefault="00A834F1" w:rsidP="00056B6F">
      <w:pPr>
        <w:pStyle w:val="Text1"/>
        <w:numPr>
          <w:ilvl w:val="0"/>
          <w:numId w:val="63"/>
        </w:numPr>
        <w:ind w:left="1134"/>
      </w:pPr>
      <w:proofErr w:type="gramStart"/>
      <w:r w:rsidRPr="00342D7E">
        <w:t>po</w:t>
      </w:r>
      <w:proofErr w:type="gramEnd"/>
      <w:r w:rsidRPr="00342D7E">
        <w:t xml:space="preserve"> podjęciu działań restrukturyzacyjnych nie pozostały żadne kwoty przeterminowane ani nie istnieją obawy co do pełnej spłaty ekspozycji zgodnie</w:t>
      </w:r>
      <w:r w:rsidR="00342D7E" w:rsidRPr="00342D7E">
        <w:t xml:space="preserve"> z</w:t>
      </w:r>
      <w:r w:rsidR="00342D7E">
        <w:t> </w:t>
      </w:r>
      <w:r w:rsidR="00342D7E" w:rsidRPr="00342D7E">
        <w:t>war</w:t>
      </w:r>
      <w:r w:rsidRPr="00342D7E">
        <w:t>unkami mającymi zastosowanie po restrukturyzacji. Brak obaw co do pełnej spłaty ekspozycji stwierdza się po analizie sytuacji finansowej dłużnika przez instytucję. Brak obaw można stwierdzić, jeżeli dłużnik uiścił –</w:t>
      </w:r>
      <w:r w:rsidR="00342D7E" w:rsidRPr="00342D7E">
        <w:t xml:space="preserve"> w</w:t>
      </w:r>
      <w:r w:rsidR="00342D7E">
        <w:t> </w:t>
      </w:r>
      <w:r w:rsidR="00342D7E" w:rsidRPr="00342D7E">
        <w:t>dro</w:t>
      </w:r>
      <w:r w:rsidRPr="00342D7E">
        <w:t>dze regularnych płatności zgodnie</w:t>
      </w:r>
      <w:r w:rsidR="00342D7E" w:rsidRPr="00342D7E">
        <w:t xml:space="preserve"> z</w:t>
      </w:r>
      <w:r w:rsidR="00342D7E">
        <w:t> </w:t>
      </w:r>
      <w:r w:rsidR="00342D7E" w:rsidRPr="00342D7E">
        <w:t>war</w:t>
      </w:r>
      <w:r w:rsidRPr="00342D7E">
        <w:t>unkami mającymi zastosowanie po restrukturyzacji – kwotę równą kwocie uprzednio przeterminowanej (w przypadku istnienia kwot przeterminowanych) lub kwocie odpisanej (w przypadku braku kwot przeterminowanych)</w:t>
      </w:r>
      <w:r w:rsidR="00342D7E" w:rsidRPr="00342D7E">
        <w:t xml:space="preserve"> w</w:t>
      </w:r>
      <w:r w:rsidR="00342D7E">
        <w:t> </w:t>
      </w:r>
      <w:r w:rsidR="00342D7E" w:rsidRPr="00342D7E">
        <w:t>ram</w:t>
      </w:r>
      <w:r w:rsidRPr="00342D7E">
        <w:t>ach działań restrukturyzacyjnych lub jeżeli dłużnik</w:t>
      </w:r>
      <w:r w:rsidR="00342D7E" w:rsidRPr="00342D7E">
        <w:t xml:space="preserve"> w</w:t>
      </w:r>
      <w:r w:rsidR="00342D7E">
        <w:t> </w:t>
      </w:r>
      <w:r w:rsidR="00342D7E" w:rsidRPr="00342D7E">
        <w:t>inn</w:t>
      </w:r>
      <w:r w:rsidRPr="00342D7E">
        <w:t xml:space="preserve">y sposób wykazał swoją zdolność do spełnienia warunków mających zastosowanie po restrukturyzacji. </w:t>
      </w:r>
    </w:p>
    <w:p w:rsidR="00D35B0C" w:rsidRPr="00342D7E" w:rsidRDefault="00A834F1">
      <w:pPr>
        <w:pStyle w:val="Text1"/>
        <w:ind w:left="709" w:firstLine="1"/>
      </w:pPr>
      <w:r w:rsidRPr="00342D7E">
        <w:lastRenderedPageBreak/>
        <w:t>Powyższe szczególne warunki,</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lit</w:t>
      </w:r>
      <w:r w:rsidRPr="00342D7E">
        <w:t>.</w:t>
      </w:r>
      <w:r w:rsidR="00342D7E" w:rsidRPr="00342D7E">
        <w:t> </w:t>
      </w:r>
      <w:r w:rsidRPr="00342D7E">
        <w:t>a), b) i c), mają zastosowanie</w:t>
      </w:r>
      <w:r w:rsidR="00342D7E" w:rsidRPr="00342D7E">
        <w:t xml:space="preserve"> w</w:t>
      </w:r>
      <w:r w:rsidR="00342D7E">
        <w:t> </w:t>
      </w:r>
      <w:r w:rsidR="00342D7E" w:rsidRPr="00342D7E">
        <w:t>uzu</w:t>
      </w:r>
      <w:r w:rsidRPr="00342D7E">
        <w:t>pełnieniu do stosowanych przez instytucje sprawozdające kryteriów dotyczących ekspozycji dotkniętych utratą wartości lub ekspozycji, których dotyczy niewykonanie zobowiązania, zgodnie z – odpowiednio – mającymi zastosowanie standardami rachunkowości lub art.</w:t>
      </w:r>
      <w:r w:rsidR="00342D7E" w:rsidRPr="00342D7E">
        <w:t> </w:t>
      </w:r>
      <w:r w:rsidRPr="00342D7E">
        <w:t>178 CRR.</w:t>
      </w:r>
    </w:p>
    <w:p w:rsidR="00D35B0C" w:rsidRPr="00342D7E" w:rsidRDefault="00A834F1">
      <w:pPr>
        <w:pStyle w:val="Baseparagraphnumbered"/>
        <w:tabs>
          <w:tab w:val="left" w:pos="851"/>
        </w:tabs>
        <w:ind w:left="709"/>
      </w:pPr>
      <w:r w:rsidRPr="00342D7E">
        <w:t>Jeżeli warunki,</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pkt </w:t>
      </w:r>
      <w:r w:rsidRPr="00342D7E">
        <w:t>231 niniejszej części</w:t>
      </w:r>
      <w:r w:rsidR="00342D7E" w:rsidRPr="00342D7E">
        <w:t xml:space="preserve"> w</w:t>
      </w:r>
      <w:r w:rsidR="00342D7E">
        <w:t> </w:t>
      </w:r>
      <w:r w:rsidR="00342D7E" w:rsidRPr="00342D7E">
        <w:t>nin</w:t>
      </w:r>
      <w:r w:rsidRPr="00342D7E">
        <w:t>iejszym załączniku, nie są spełnione na koniec okresu jednego roku,</w:t>
      </w:r>
      <w:r w:rsidR="00342D7E" w:rsidRPr="00342D7E">
        <w:t xml:space="preserve"> o</w:t>
      </w:r>
      <w:r w:rsidR="00342D7E">
        <w:t> </w:t>
      </w:r>
      <w:r w:rsidR="00342D7E" w:rsidRPr="00342D7E">
        <w:t>któ</w:t>
      </w:r>
      <w:r w:rsidRPr="00342D7E">
        <w:t>rym mowa</w:t>
      </w:r>
      <w:r w:rsidR="00342D7E" w:rsidRPr="00342D7E">
        <w:t xml:space="preserve"> w</w:t>
      </w:r>
      <w:r w:rsidR="00342D7E">
        <w:t> </w:t>
      </w:r>
      <w:r w:rsidR="00342D7E" w:rsidRPr="00342D7E">
        <w:t>lit</w:t>
      </w:r>
      <w:r w:rsidRPr="00342D7E">
        <w:t>.</w:t>
      </w:r>
      <w:r w:rsidR="00342D7E" w:rsidRPr="00342D7E">
        <w:t> </w:t>
      </w:r>
      <w:r w:rsidRPr="00342D7E">
        <w:t>b) niniejszego punktu, do czasu spełnienia wszystkich warunków ekspozycję nadal uznaje się za nieobsługiwaną ekspozycję restrukturyzowaną. Spełnianie warunków ocenia się co najmniej raz na kwartał.</w:t>
      </w:r>
    </w:p>
    <w:p w:rsidR="00D35B0C" w:rsidRPr="00342D7E" w:rsidRDefault="00A834F1">
      <w:pPr>
        <w:pStyle w:val="Baseparagraphnumbered"/>
      </w:pPr>
      <w:r w:rsidRPr="00342D7E">
        <w:t>Portfele księgowe przewidziane w MSSF, które wymieniono</w:t>
      </w:r>
      <w:r w:rsidR="00342D7E" w:rsidRPr="00342D7E">
        <w:t xml:space="preserve"> w</w:t>
      </w:r>
      <w:r w:rsidR="00342D7E">
        <w:t> </w:t>
      </w:r>
      <w:r w:rsidR="00342D7E" w:rsidRPr="00342D7E">
        <w:t>czę</w:t>
      </w:r>
      <w:r w:rsidRPr="00342D7E">
        <w:t>ści 1 pkt</w:t>
      </w:r>
      <w:r w:rsidR="00342D7E" w:rsidRPr="00342D7E">
        <w:t> </w:t>
      </w:r>
      <w:r w:rsidRPr="00342D7E">
        <w:t>15 niniejszego załącznika, oraz przewidziane</w:t>
      </w:r>
      <w:r w:rsidR="00342D7E" w:rsidRPr="00342D7E">
        <w:t xml:space="preserve"> w</w:t>
      </w:r>
      <w:r w:rsidR="00342D7E">
        <w:t> </w:t>
      </w:r>
      <w:r w:rsidR="00342D7E" w:rsidRPr="00342D7E">
        <w:t>odp</w:t>
      </w:r>
      <w:r w:rsidRPr="00342D7E">
        <w:t>owiednich krajowych ogólnie przyjętych zasadach rachunkowości opartych na BAD, które wymieniono</w:t>
      </w:r>
      <w:r w:rsidR="00342D7E" w:rsidRPr="00342D7E">
        <w:t xml:space="preserve"> w</w:t>
      </w:r>
      <w:r w:rsidR="00342D7E">
        <w:t> </w:t>
      </w:r>
      <w:r w:rsidR="00342D7E" w:rsidRPr="00342D7E">
        <w:t>czę</w:t>
      </w:r>
      <w:r w:rsidRPr="00342D7E">
        <w:t>ści 1 pkt</w:t>
      </w:r>
      <w:r w:rsidR="00342D7E" w:rsidRPr="00342D7E">
        <w:t> </w:t>
      </w:r>
      <w:r w:rsidRPr="00342D7E">
        <w:t>16 niniejszego załącznika, zgłasza się we wzorze 18</w:t>
      </w:r>
      <w:r w:rsidR="00342D7E" w:rsidRPr="00342D7E">
        <w:t xml:space="preserve"> w</w:t>
      </w:r>
      <w:r w:rsidR="00342D7E">
        <w:t> </w:t>
      </w:r>
      <w:r w:rsidR="00342D7E" w:rsidRPr="00342D7E">
        <w:t>nas</w:t>
      </w:r>
      <w:r w:rsidRPr="00342D7E">
        <w:t xml:space="preserve">tępujący sposób: </w:t>
      </w:r>
    </w:p>
    <w:p w:rsidR="00D35B0C" w:rsidRPr="00342D7E" w:rsidRDefault="00A834F1">
      <w:pPr>
        <w:pStyle w:val="Baseparagraphnumbered"/>
        <w:numPr>
          <w:ilvl w:val="0"/>
          <w:numId w:val="0"/>
        </w:numPr>
        <w:ind w:left="1134" w:hanging="425"/>
      </w:pPr>
      <w:r w:rsidRPr="00342D7E">
        <w:t>a</w:t>
      </w:r>
      <w:proofErr w:type="gramStart"/>
      <w:r w:rsidRPr="00342D7E">
        <w:t>)</w:t>
      </w:r>
      <w:r w:rsidRPr="00342D7E">
        <w:tab/>
        <w:t>„instrumenty</w:t>
      </w:r>
      <w:proofErr w:type="gramEnd"/>
      <w:r w:rsidRPr="00342D7E">
        <w:t xml:space="preserve"> dłużne wyceniane według ceny nabycia lub kosztu zamortyzowanego” obejmują instrumenty dłużne ujęte</w:t>
      </w:r>
      <w:r w:rsidR="00342D7E" w:rsidRPr="00342D7E">
        <w:t xml:space="preserve"> w</w:t>
      </w:r>
      <w:r w:rsidR="00342D7E">
        <w:t> </w:t>
      </w:r>
      <w:r w:rsidR="00342D7E" w:rsidRPr="00342D7E">
        <w:t>któ</w:t>
      </w:r>
      <w:r w:rsidRPr="00342D7E">
        <w:t>rejkolwiek</w:t>
      </w:r>
      <w:r w:rsidR="00342D7E" w:rsidRPr="00342D7E">
        <w:t xml:space="preserve"> z</w:t>
      </w:r>
      <w:r w:rsidR="00342D7E">
        <w:t> </w:t>
      </w:r>
      <w:r w:rsidR="00342D7E" w:rsidRPr="00342D7E">
        <w:t>pon</w:t>
      </w:r>
      <w:r w:rsidRPr="00342D7E">
        <w:t>iższych pozycji:</w:t>
      </w:r>
    </w:p>
    <w:p w:rsidR="00D35B0C" w:rsidRPr="00342D7E" w:rsidRDefault="00A834F1">
      <w:pPr>
        <w:pStyle w:val="Baseparagraphnumbered"/>
        <w:numPr>
          <w:ilvl w:val="0"/>
          <w:numId w:val="0"/>
        </w:numPr>
        <w:ind w:left="1440"/>
      </w:pPr>
      <w:r w:rsidRPr="00342D7E">
        <w:t>(i) „aktywa finansowe wyceniane według kosztu zamortyzowanego” (MSSF);</w:t>
      </w:r>
    </w:p>
    <w:p w:rsidR="00D35B0C" w:rsidRPr="00342D7E" w:rsidRDefault="00A834F1">
      <w:pPr>
        <w:pStyle w:val="Baseparagraphnumbered"/>
        <w:numPr>
          <w:ilvl w:val="0"/>
          <w:numId w:val="0"/>
        </w:numPr>
        <w:ind w:left="1440"/>
      </w:pPr>
      <w:r w:rsidRPr="00342D7E">
        <w:t>(ii) „aktywa finansowe niebędące instrumentami pochodnymi nieprzeznaczone do obrotu wyceniane metodą ceny nabycia”,</w:t>
      </w:r>
      <w:r w:rsidR="00342D7E" w:rsidRPr="00342D7E">
        <w:t xml:space="preserve"> w</w:t>
      </w:r>
      <w:r w:rsidR="00342D7E">
        <w:t> </w:t>
      </w:r>
      <w:r w:rsidR="00342D7E" w:rsidRPr="00342D7E">
        <w:t>tym</w:t>
      </w:r>
      <w:r w:rsidRPr="00342D7E">
        <w:t xml:space="preserve"> instrumenty dłużne wyceniane według LOCOM</w:t>
      </w:r>
      <w:r w:rsidR="00342D7E" w:rsidRPr="00342D7E">
        <w:t xml:space="preserve"> w</w:t>
      </w:r>
      <w:r w:rsidR="00342D7E">
        <w:t> </w:t>
      </w:r>
      <w:r w:rsidR="00342D7E" w:rsidRPr="00342D7E">
        <w:t>try</w:t>
      </w:r>
      <w:r w:rsidRPr="00342D7E">
        <w:t>bie warunkowym (krajowe ogólnie przyjęte zasady rachunkowości oparte na BAD);</w:t>
      </w:r>
    </w:p>
    <w:p w:rsidR="00D35B0C" w:rsidRPr="00342D7E" w:rsidRDefault="00A834F1">
      <w:pPr>
        <w:pStyle w:val="Baseparagraphnumbered"/>
        <w:numPr>
          <w:ilvl w:val="0"/>
          <w:numId w:val="0"/>
        </w:numPr>
        <w:ind w:left="1440"/>
      </w:pPr>
      <w:r w:rsidRPr="00342D7E">
        <w:t>(iii) „inne aktywa finansowe niebędące instrumentami pochodnymi nieprzeznaczone do obrotu”</w:t>
      </w:r>
      <w:r w:rsidR="00342D7E" w:rsidRPr="00342D7E">
        <w:t xml:space="preserve"> z</w:t>
      </w:r>
      <w:r w:rsidR="00342D7E">
        <w:t> </w:t>
      </w:r>
      <w:r w:rsidR="00342D7E" w:rsidRPr="00342D7E">
        <w:t>wyj</w:t>
      </w:r>
      <w:r w:rsidRPr="00342D7E">
        <w:t>ątkiem instrumentów dłużnych wycenianych według LOCOM</w:t>
      </w:r>
      <w:r w:rsidR="00342D7E" w:rsidRPr="00342D7E">
        <w:t xml:space="preserve"> w</w:t>
      </w:r>
      <w:r w:rsidR="00342D7E">
        <w:t> </w:t>
      </w:r>
      <w:r w:rsidR="00342D7E" w:rsidRPr="00342D7E">
        <w:t>try</w:t>
      </w:r>
      <w:r w:rsidRPr="00342D7E">
        <w:t xml:space="preserve">bie bezwarunkowym (krajowe ogólnie przyjęte zasady rachunkowości oparte na BAD); </w:t>
      </w:r>
    </w:p>
    <w:p w:rsidR="00D35B0C" w:rsidRPr="00342D7E" w:rsidRDefault="00A834F1">
      <w:pPr>
        <w:pStyle w:val="Baseparagraphnumbered"/>
        <w:numPr>
          <w:ilvl w:val="0"/>
          <w:numId w:val="0"/>
        </w:numPr>
        <w:ind w:left="1134" w:hanging="425"/>
      </w:pPr>
      <w:proofErr w:type="gramStart"/>
      <w:r w:rsidRPr="00342D7E">
        <w:t>b</w:t>
      </w:r>
      <w:proofErr w:type="gramEnd"/>
      <w:r w:rsidRPr="00342D7E">
        <w:t>) „instrumenty dłużne wyceniane według wartości godziwej przez inne całkowite dochody lub według wartości godziwej przez kapitały podlegające utracie wartości” obejmują instrumenty dłużne ujęte</w:t>
      </w:r>
      <w:r w:rsidR="00342D7E" w:rsidRPr="00342D7E">
        <w:t xml:space="preserve"> w</w:t>
      </w:r>
      <w:r w:rsidR="00342D7E">
        <w:t> </w:t>
      </w:r>
      <w:r w:rsidR="00342D7E" w:rsidRPr="00342D7E">
        <w:t>któ</w:t>
      </w:r>
      <w:r w:rsidRPr="00342D7E">
        <w:t>rejkolwiek</w:t>
      </w:r>
      <w:r w:rsidR="00342D7E" w:rsidRPr="00342D7E">
        <w:t xml:space="preserve"> z</w:t>
      </w:r>
      <w:r w:rsidR="00342D7E">
        <w:t> </w:t>
      </w:r>
      <w:r w:rsidR="00342D7E" w:rsidRPr="00342D7E">
        <w:t>pon</w:t>
      </w:r>
      <w:r w:rsidRPr="00342D7E">
        <w:t>iższych pozycji:</w:t>
      </w:r>
    </w:p>
    <w:p w:rsidR="00D35B0C" w:rsidRPr="00342D7E" w:rsidRDefault="00A834F1">
      <w:pPr>
        <w:pStyle w:val="Baseparagraphnumbered"/>
        <w:numPr>
          <w:ilvl w:val="0"/>
          <w:numId w:val="0"/>
        </w:numPr>
        <w:ind w:left="1440"/>
      </w:pPr>
      <w:r w:rsidRPr="00342D7E">
        <w:t>(i) „aktywa finansowe wyceniane według wartości godziwej przez inne całkowite dochody” (MSSF);</w:t>
      </w:r>
    </w:p>
    <w:p w:rsidR="00D35B0C" w:rsidRPr="00342D7E" w:rsidRDefault="00A834F1">
      <w:pPr>
        <w:pStyle w:val="Baseparagraphnumbered"/>
        <w:numPr>
          <w:ilvl w:val="0"/>
          <w:numId w:val="0"/>
        </w:numPr>
        <w:ind w:left="1440"/>
      </w:pPr>
      <w:r w:rsidRPr="00342D7E">
        <w:t>(ii) „aktywa finansowe niebędące instrumentami pochodnymi nieprzeznaczone do obrotu wyceniane według wartości godziwej przez kapitały”, jeżeli instrumenty</w:t>
      </w:r>
      <w:r w:rsidR="00342D7E" w:rsidRPr="00342D7E">
        <w:t xml:space="preserve"> z</w:t>
      </w:r>
      <w:r w:rsidR="00342D7E">
        <w:t> </w:t>
      </w:r>
      <w:r w:rsidR="00342D7E" w:rsidRPr="00342D7E">
        <w:t>tej</w:t>
      </w:r>
      <w:r w:rsidRPr="00342D7E">
        <w:t xml:space="preserve"> kategorii wyceny mogą podlegać utracie wartości zgodnie</w:t>
      </w:r>
      <w:r w:rsidR="00342D7E" w:rsidRPr="00342D7E">
        <w:t xml:space="preserve"> z</w:t>
      </w:r>
      <w:r w:rsidR="00342D7E">
        <w:t> </w:t>
      </w:r>
      <w:r w:rsidR="00342D7E" w:rsidRPr="00342D7E">
        <w:t>maj</w:t>
      </w:r>
      <w:r w:rsidRPr="00342D7E">
        <w:t>ącymi zastosowanie standardami rachunkowości na podstawie krajowych ogólnie przyjętych zasad rachunkowości opartych na BAD;</w:t>
      </w:r>
    </w:p>
    <w:p w:rsidR="00D35B0C" w:rsidRPr="00342D7E" w:rsidRDefault="00A834F1">
      <w:pPr>
        <w:pStyle w:val="Baseparagraphnumbered"/>
        <w:numPr>
          <w:ilvl w:val="0"/>
          <w:numId w:val="0"/>
        </w:numPr>
        <w:ind w:left="1134" w:hanging="425"/>
      </w:pPr>
      <w:proofErr w:type="gramStart"/>
      <w:r w:rsidRPr="00342D7E">
        <w:lastRenderedPageBreak/>
        <w:t>c</w:t>
      </w:r>
      <w:proofErr w:type="gramEnd"/>
      <w:r w:rsidRPr="00342D7E">
        <w:t>) „instrumenty dłużne wyceniane według LOCOM</w:t>
      </w:r>
      <w:r w:rsidR="00342D7E" w:rsidRPr="00342D7E">
        <w:t xml:space="preserve"> w</w:t>
      </w:r>
      <w:r w:rsidR="00342D7E">
        <w:t> </w:t>
      </w:r>
      <w:r w:rsidR="00342D7E" w:rsidRPr="00342D7E">
        <w:t>try</w:t>
      </w:r>
      <w:r w:rsidRPr="00342D7E">
        <w:t>bie bezwarunkowym lub według wartości godziwej przez wynik finansowy lub według wartości godziwej przez kapitały niepodlegające utracie wartości” obejmują instrumenty dłużne ujęte</w:t>
      </w:r>
      <w:r w:rsidR="00342D7E" w:rsidRPr="00342D7E">
        <w:t xml:space="preserve"> w</w:t>
      </w:r>
      <w:r w:rsidR="00342D7E">
        <w:t> </w:t>
      </w:r>
      <w:r w:rsidR="00342D7E" w:rsidRPr="00342D7E">
        <w:t>któ</w:t>
      </w:r>
      <w:r w:rsidRPr="00342D7E">
        <w:t>rejkolwiek</w:t>
      </w:r>
      <w:r w:rsidR="00342D7E" w:rsidRPr="00342D7E">
        <w:t xml:space="preserve"> z</w:t>
      </w:r>
      <w:r w:rsidR="00342D7E">
        <w:t> </w:t>
      </w:r>
      <w:r w:rsidR="00342D7E" w:rsidRPr="00342D7E">
        <w:t>pon</w:t>
      </w:r>
      <w:r w:rsidRPr="00342D7E">
        <w:t>iższych pozycji:</w:t>
      </w:r>
    </w:p>
    <w:p w:rsidR="00D35B0C" w:rsidRPr="00342D7E" w:rsidRDefault="00A834F1">
      <w:pPr>
        <w:pStyle w:val="Baseparagraphnumbered"/>
        <w:numPr>
          <w:ilvl w:val="0"/>
          <w:numId w:val="0"/>
        </w:numPr>
        <w:ind w:left="1418"/>
      </w:pPr>
      <w:r w:rsidRPr="00342D7E">
        <w:t>(i) „aktywa finansowe nieprzeznaczone do obrotu wyceniane obowiązkowo według wartości godziwej przez wynik finansowy” (MSSF);</w:t>
      </w:r>
    </w:p>
    <w:p w:rsidR="00D35B0C" w:rsidRPr="00342D7E" w:rsidRDefault="00A834F1">
      <w:pPr>
        <w:pStyle w:val="Baseparagraphnumbered"/>
        <w:numPr>
          <w:ilvl w:val="0"/>
          <w:numId w:val="0"/>
        </w:numPr>
        <w:ind w:left="1418"/>
      </w:pPr>
      <w:r w:rsidRPr="00342D7E">
        <w:t>(ii) „aktywa finansowe wyceniane według wartości godziwej przez wynik finansowy”; (MSSF);</w:t>
      </w:r>
    </w:p>
    <w:p w:rsidR="00D35B0C" w:rsidRPr="00342D7E" w:rsidRDefault="00A834F1">
      <w:pPr>
        <w:pStyle w:val="Baseparagraphnumbered"/>
        <w:numPr>
          <w:ilvl w:val="0"/>
          <w:numId w:val="0"/>
        </w:numPr>
        <w:ind w:left="1418"/>
      </w:pPr>
      <w:r w:rsidRPr="00342D7E">
        <w:t>(iii) „aktywa finansowe niebędące instrumentami pochodnymi nieprzeznaczone do obrotu wyceniane według wartości godziwej przez wynik finansowy” (krajowe ogólnie przyjęte zasady rachunkowości oparte na BAD);</w:t>
      </w:r>
    </w:p>
    <w:p w:rsidR="00D35B0C" w:rsidRPr="00342D7E" w:rsidRDefault="00A834F1">
      <w:pPr>
        <w:pStyle w:val="Baseparagraphnumbered"/>
        <w:numPr>
          <w:ilvl w:val="0"/>
          <w:numId w:val="0"/>
        </w:numPr>
        <w:ind w:left="1418"/>
      </w:pPr>
      <w:r w:rsidRPr="00342D7E">
        <w:t>(iv) „inne aktywa finansowe niebędące instrumentami pochodnymi nieprzeznaczone do obrotu”, jeżeli instrumenty dłużne wycenia się według LOCOM</w:t>
      </w:r>
      <w:r w:rsidR="00342D7E" w:rsidRPr="00342D7E">
        <w:t xml:space="preserve"> w</w:t>
      </w:r>
      <w:r w:rsidR="00342D7E">
        <w:t> </w:t>
      </w:r>
      <w:r w:rsidR="00342D7E" w:rsidRPr="00342D7E">
        <w:t>try</w:t>
      </w:r>
      <w:r w:rsidRPr="00342D7E">
        <w:t>bie bezwarunkowym (krajowe ogólnie przyjęte zasady rachunkowości oparte na BAD);</w:t>
      </w:r>
    </w:p>
    <w:p w:rsidR="00D35B0C" w:rsidRPr="00342D7E" w:rsidRDefault="00A834F1">
      <w:pPr>
        <w:pStyle w:val="Baseparagraphnumbered"/>
        <w:numPr>
          <w:ilvl w:val="0"/>
          <w:numId w:val="0"/>
        </w:numPr>
        <w:ind w:left="1418"/>
      </w:pPr>
      <w:r w:rsidRPr="00342D7E">
        <w:t>(v) „aktywa finansowe niebędące instrumentami pochodnymi nieprzeznaczone do obrotu wyceniane według wartości godziwej przez kapitały”, jeżeli instrumenty dłużne</w:t>
      </w:r>
      <w:r w:rsidR="00342D7E" w:rsidRPr="00342D7E">
        <w:t xml:space="preserve"> z</w:t>
      </w:r>
      <w:r w:rsidR="00342D7E">
        <w:t> </w:t>
      </w:r>
      <w:r w:rsidR="00342D7E" w:rsidRPr="00342D7E">
        <w:t>tej</w:t>
      </w:r>
      <w:r w:rsidRPr="00342D7E">
        <w:t xml:space="preserve"> kategorii wyceny nie podlegają utracie wartości zgodnie</w:t>
      </w:r>
      <w:r w:rsidR="00342D7E" w:rsidRPr="00342D7E">
        <w:t xml:space="preserve"> z</w:t>
      </w:r>
      <w:r w:rsidR="00342D7E">
        <w:t> </w:t>
      </w:r>
      <w:r w:rsidR="00342D7E" w:rsidRPr="00342D7E">
        <w:t>maj</w:t>
      </w:r>
      <w:r w:rsidRPr="00342D7E">
        <w:t>ącymi zastosowanie standardami rachunkowości na podstawie krajowych ogólnie przyjętych zasad rachunkowości opartych na BAD.</w:t>
      </w:r>
    </w:p>
    <w:p w:rsidR="00D35B0C" w:rsidRPr="00342D7E" w:rsidRDefault="00A834F1">
      <w:pPr>
        <w:pStyle w:val="Baseparagraphnumbered"/>
        <w:tabs>
          <w:tab w:val="left" w:pos="851"/>
        </w:tabs>
        <w:ind w:left="709"/>
      </w:pPr>
      <w:r w:rsidRPr="00342D7E">
        <w:t>Jeżeli MSSF lub odpowiednie krajowe ogólnie przyjęte zasady rachunkowości oparte na BAD przewidują wyznaczenie zobowiązań jako wycenianych według wartości godziwej przez wynik finansowy, wartość bilansową każdego składnika aktywów wynikającą</w:t>
      </w:r>
      <w:r w:rsidR="00342D7E" w:rsidRPr="00342D7E">
        <w:t xml:space="preserve"> z</w:t>
      </w:r>
      <w:r w:rsidR="00342D7E">
        <w:t> </w:t>
      </w:r>
      <w:r w:rsidR="00342D7E" w:rsidRPr="00342D7E">
        <w:t>tak</w:t>
      </w:r>
      <w:r w:rsidRPr="00342D7E">
        <w:t>iego wyznaczenia</w:t>
      </w:r>
      <w:r w:rsidR="00342D7E" w:rsidRPr="00342D7E">
        <w:t xml:space="preserve"> i</w:t>
      </w:r>
      <w:r w:rsidR="00342D7E">
        <w:t> </w:t>
      </w:r>
      <w:r w:rsidR="00342D7E" w:rsidRPr="00342D7E">
        <w:t>wyc</w:t>
      </w:r>
      <w:r w:rsidRPr="00342D7E">
        <w:t>eny według wartości godziwej zgłasza się</w:t>
      </w:r>
      <w:r w:rsidR="00342D7E" w:rsidRPr="00342D7E">
        <w:t xml:space="preserve"> w</w:t>
      </w:r>
      <w:r w:rsidR="00342D7E">
        <w:t> </w:t>
      </w:r>
      <w:r w:rsidR="00342D7E" w:rsidRPr="00342D7E">
        <w:t>poz</w:t>
      </w:r>
      <w:r w:rsidRPr="00342D7E">
        <w:t>ycji „Aktywa finansowe wyceniane według wartości godziwej przez wynik finansowy” (MSSF) lub</w:t>
      </w:r>
      <w:r w:rsidR="00342D7E" w:rsidRPr="00342D7E">
        <w:t xml:space="preserve"> w</w:t>
      </w:r>
      <w:r w:rsidR="00342D7E">
        <w:t> </w:t>
      </w:r>
      <w:r w:rsidR="00342D7E" w:rsidRPr="00342D7E">
        <w:t>poz</w:t>
      </w:r>
      <w:r w:rsidRPr="00342D7E">
        <w:t>ycji „Aktywa finansowe niebędące instrumentami pochodnymi nieprzeznaczone do obrotu wyceniane według wartości godziwej przez wynik finansowy” (krajowe ogólnie przyjęte zasady rachunkowości oparte na BAD). Wartości bilansowej jakiegokolwiek zobowiązania wynikającej</w:t>
      </w:r>
      <w:r w:rsidR="00342D7E" w:rsidRPr="00342D7E">
        <w:t xml:space="preserve"> z</w:t>
      </w:r>
      <w:r w:rsidR="00342D7E">
        <w:t> </w:t>
      </w:r>
      <w:r w:rsidR="00342D7E" w:rsidRPr="00342D7E">
        <w:t>tak</w:t>
      </w:r>
      <w:r w:rsidRPr="00342D7E">
        <w:t>iego wyznaczenia nie zgłasza się we wzorze 18. Kwotę referencyjną wszystkich zobowiązań wyznaczonych jako wyceniane według wartości godziwej przez wynik finansowy zgłasza się we wzorze 9.</w:t>
      </w:r>
    </w:p>
    <w:p w:rsidR="00D35B0C" w:rsidRPr="00342D7E" w:rsidRDefault="0062156F">
      <w:pPr>
        <w:pStyle w:val="Baseparagraphnumbered"/>
        <w:numPr>
          <w:ilvl w:val="0"/>
          <w:numId w:val="0"/>
        </w:numPr>
        <w:tabs>
          <w:tab w:val="left" w:pos="851"/>
        </w:tabs>
        <w:ind w:left="709" w:hanging="357"/>
      </w:pPr>
      <w:r w:rsidRPr="00342D7E">
        <w:t>234i. Następujące ekspozycje przedstawia się</w:t>
      </w:r>
      <w:r w:rsidR="00342D7E" w:rsidRPr="00342D7E">
        <w:t xml:space="preserve"> w</w:t>
      </w:r>
      <w:r w:rsidR="00342D7E">
        <w:t> </w:t>
      </w:r>
      <w:r w:rsidR="00342D7E" w:rsidRPr="00342D7E">
        <w:t>odr</w:t>
      </w:r>
      <w:r w:rsidRPr="00342D7E">
        <w:t>ębnych wierszach:</w:t>
      </w:r>
    </w:p>
    <w:p w:rsidR="00D35B0C" w:rsidRPr="00342D7E" w:rsidRDefault="0062156F" w:rsidP="00056B6F">
      <w:pPr>
        <w:pStyle w:val="Text1"/>
        <w:numPr>
          <w:ilvl w:val="0"/>
          <w:numId w:val="64"/>
        </w:numPr>
        <w:ind w:left="1134"/>
      </w:pPr>
      <w:proofErr w:type="gramStart"/>
      <w:r w:rsidRPr="00342D7E">
        <w:t>kredyty</w:t>
      </w:r>
      <w:proofErr w:type="gramEnd"/>
      <w:r w:rsidRPr="00342D7E">
        <w:t xml:space="preserve"> zabezpieczone nieruchomościami, jak określono</w:t>
      </w:r>
      <w:r w:rsidR="00342D7E" w:rsidRPr="00342D7E">
        <w:t xml:space="preserve"> w</w:t>
      </w:r>
      <w:r w:rsidR="00342D7E">
        <w:t> </w:t>
      </w:r>
      <w:r w:rsidR="00342D7E" w:rsidRPr="00342D7E">
        <w:t>pkt </w:t>
      </w:r>
      <w:r w:rsidRPr="00342D7E">
        <w:t>86 lit.</w:t>
      </w:r>
      <w:r w:rsidR="00342D7E" w:rsidRPr="00342D7E">
        <w:t> </w:t>
      </w:r>
      <w:r w:rsidRPr="00342D7E">
        <w:t xml:space="preserve">a) oraz 87 niniejszej części; </w:t>
      </w:r>
    </w:p>
    <w:p w:rsidR="00D35B0C" w:rsidRPr="00342D7E" w:rsidRDefault="0062156F" w:rsidP="00056B6F">
      <w:pPr>
        <w:pStyle w:val="Text1"/>
        <w:numPr>
          <w:ilvl w:val="0"/>
          <w:numId w:val="64"/>
        </w:numPr>
        <w:ind w:left="1134"/>
      </w:pPr>
      <w:proofErr w:type="gramStart"/>
      <w:r w:rsidRPr="00342D7E">
        <w:t>kredyt</w:t>
      </w:r>
      <w:proofErr w:type="gramEnd"/>
      <w:r w:rsidRPr="00342D7E">
        <w:t xml:space="preserve"> konsumpcyjny, jak określono</w:t>
      </w:r>
      <w:r w:rsidR="00342D7E" w:rsidRPr="00342D7E">
        <w:t xml:space="preserve"> w</w:t>
      </w:r>
      <w:r w:rsidR="00342D7E">
        <w:t> </w:t>
      </w:r>
      <w:r w:rsidR="00342D7E" w:rsidRPr="00342D7E">
        <w:t>pkt </w:t>
      </w:r>
      <w:r w:rsidRPr="00342D7E">
        <w:t>88 lit.</w:t>
      </w:r>
      <w:r w:rsidR="00342D7E" w:rsidRPr="00342D7E">
        <w:t> </w:t>
      </w:r>
      <w:r w:rsidRPr="00342D7E">
        <w:t>a) niniejszej części.</w:t>
      </w:r>
    </w:p>
    <w:p w:rsidR="00D35B0C" w:rsidRPr="00342D7E" w:rsidRDefault="00A834F1">
      <w:pPr>
        <w:pStyle w:val="Baseparagraphnumbered"/>
        <w:tabs>
          <w:tab w:val="left" w:pos="851"/>
        </w:tabs>
        <w:ind w:left="709"/>
      </w:pPr>
      <w:r w:rsidRPr="00342D7E">
        <w:lastRenderedPageBreak/>
        <w:t>Ekspozycje przeterminowane zgłasza się oddzielnie</w:t>
      </w:r>
      <w:r w:rsidR="00342D7E" w:rsidRPr="00342D7E">
        <w:t xml:space="preserve"> w</w:t>
      </w:r>
      <w:r w:rsidR="00342D7E">
        <w:t> </w:t>
      </w:r>
      <w:r w:rsidR="00342D7E" w:rsidRPr="00342D7E">
        <w:t>kat</w:t>
      </w:r>
      <w:r w:rsidRPr="00342D7E">
        <w:t>egoriach ekspozycji obsługiwanych</w:t>
      </w:r>
      <w:r w:rsidR="00342D7E" w:rsidRPr="00342D7E">
        <w:t xml:space="preserve"> i</w:t>
      </w:r>
      <w:r w:rsidR="00342D7E">
        <w:t> </w:t>
      </w:r>
      <w:r w:rsidR="00342D7E" w:rsidRPr="00342D7E">
        <w:t>eks</w:t>
      </w:r>
      <w:r w:rsidRPr="00342D7E">
        <w:t>pozycji nieobsługiwanych</w:t>
      </w:r>
      <w:r w:rsidR="00342D7E" w:rsidRPr="00342D7E">
        <w:t xml:space="preserve"> w</w:t>
      </w:r>
      <w:r w:rsidR="00342D7E">
        <w:t> </w:t>
      </w:r>
      <w:r w:rsidR="00342D7E" w:rsidRPr="00342D7E">
        <w:t>ich</w:t>
      </w:r>
      <w:r w:rsidRPr="00342D7E">
        <w:t xml:space="preserve"> pełnej kwocie, jak określono</w:t>
      </w:r>
      <w:r w:rsidR="00342D7E" w:rsidRPr="00342D7E">
        <w:t xml:space="preserve"> w</w:t>
      </w:r>
      <w:r w:rsidR="00342D7E">
        <w:t> </w:t>
      </w:r>
      <w:r w:rsidR="00342D7E" w:rsidRPr="00342D7E">
        <w:t>pkt </w:t>
      </w:r>
      <w:r w:rsidRPr="00342D7E">
        <w:t>96 niniejszej części. Ekspozycje przeterminowane</w:t>
      </w:r>
      <w:r w:rsidR="00342D7E" w:rsidRPr="00342D7E">
        <w:t xml:space="preserve"> o</w:t>
      </w:r>
      <w:r w:rsidR="00342D7E">
        <w:t> </w:t>
      </w:r>
      <w:r w:rsidR="00342D7E" w:rsidRPr="00342D7E">
        <w:t>pon</w:t>
      </w:r>
      <w:r w:rsidRPr="00342D7E">
        <w:t>ad 90 dni, które nie są jednak istotne</w:t>
      </w:r>
      <w:r w:rsidR="00342D7E" w:rsidRPr="00342D7E">
        <w:t xml:space="preserve"> w</w:t>
      </w:r>
      <w:r w:rsidR="00342D7E">
        <w:t> </w:t>
      </w:r>
      <w:r w:rsidR="00342D7E" w:rsidRPr="00342D7E">
        <w:t>roz</w:t>
      </w:r>
      <w:r w:rsidRPr="00342D7E">
        <w:t>umieniu art.</w:t>
      </w:r>
      <w:r w:rsidR="00342D7E" w:rsidRPr="00342D7E">
        <w:t> </w:t>
      </w:r>
      <w:r w:rsidRPr="00342D7E">
        <w:t>178 CRR, zgłasza się</w:t>
      </w:r>
      <w:r w:rsidR="00342D7E" w:rsidRPr="00342D7E">
        <w:t xml:space="preserve"> w</w:t>
      </w:r>
      <w:r w:rsidR="00342D7E">
        <w:t> </w:t>
      </w:r>
      <w:r w:rsidR="00342D7E" w:rsidRPr="00342D7E">
        <w:t>ram</w:t>
      </w:r>
      <w:r w:rsidRPr="00342D7E">
        <w:t>ach ekspozycji obsługiwanych</w:t>
      </w:r>
      <w:r w:rsidR="00342D7E" w:rsidRPr="00342D7E">
        <w:t xml:space="preserve"> w</w:t>
      </w:r>
      <w:r w:rsidR="00342D7E">
        <w:t> </w:t>
      </w:r>
      <w:r w:rsidR="00342D7E" w:rsidRPr="00342D7E">
        <w:t>poz</w:t>
      </w:r>
      <w:r w:rsidRPr="00342D7E">
        <w:t>ycji „Przeterminowane &gt; 30 dni &lt;= 90 dni”.</w:t>
      </w:r>
    </w:p>
    <w:p w:rsidR="00D35B0C" w:rsidRPr="00342D7E" w:rsidRDefault="00A834F1">
      <w:pPr>
        <w:pStyle w:val="Baseparagraphnumbered"/>
        <w:tabs>
          <w:tab w:val="left" w:pos="851"/>
        </w:tabs>
        <w:ind w:left="709"/>
      </w:pPr>
      <w:r w:rsidRPr="00342D7E">
        <w:t>Ekspozycje nieobsługiwane zgłasza się</w:t>
      </w:r>
      <w:r w:rsidR="00342D7E" w:rsidRPr="00342D7E">
        <w:t xml:space="preserve"> w</w:t>
      </w:r>
      <w:r w:rsidR="00342D7E">
        <w:t> </w:t>
      </w:r>
      <w:r w:rsidR="00342D7E" w:rsidRPr="00342D7E">
        <w:t>pod</w:t>
      </w:r>
      <w:r w:rsidRPr="00342D7E">
        <w:t>ziale na przedziały okresu przeterminowania. Ekspozycje nieprzeterminowane lub przeterminowane</w:t>
      </w:r>
      <w:r w:rsidR="00342D7E" w:rsidRPr="00342D7E">
        <w:t xml:space="preserve"> o</w:t>
      </w:r>
      <w:r w:rsidR="00342D7E">
        <w:t> </w:t>
      </w:r>
      <w:r w:rsidR="00342D7E" w:rsidRPr="00342D7E">
        <w:t>9</w:t>
      </w:r>
      <w:r w:rsidRPr="00342D7E">
        <w:t>0 dni lub mniej, uznane jednak za ekspozycje nieobsługiwane ze względu na prawdopodobieństwo niepełnej spłaty, zgłasza się</w:t>
      </w:r>
      <w:r w:rsidR="00342D7E" w:rsidRPr="00342D7E">
        <w:t xml:space="preserve"> w</w:t>
      </w:r>
      <w:r w:rsidR="00342D7E">
        <w:t> </w:t>
      </w:r>
      <w:r w:rsidR="00342D7E" w:rsidRPr="00342D7E">
        <w:t>odr</w:t>
      </w:r>
      <w:r w:rsidRPr="00342D7E">
        <w:t>ębnej kolumnie. Ekspozycje wykazujące zarówno kwoty przeterminowane, jak</w:t>
      </w:r>
      <w:r w:rsidR="00342D7E" w:rsidRPr="00342D7E">
        <w:t xml:space="preserve"> i</w:t>
      </w:r>
      <w:r w:rsidR="00342D7E">
        <w:t> </w:t>
      </w:r>
      <w:r w:rsidR="00342D7E" w:rsidRPr="00342D7E">
        <w:t>pra</w:t>
      </w:r>
      <w:r w:rsidRPr="00342D7E">
        <w:t>wdopodobieństwo niepełnej spłaty klasyfikuje się do przedziałów okresu przeterminowania</w:t>
      </w:r>
      <w:r w:rsidR="00342D7E" w:rsidRPr="00342D7E">
        <w:t xml:space="preserve"> w</w:t>
      </w:r>
      <w:r w:rsidR="00342D7E">
        <w:t> </w:t>
      </w:r>
      <w:r w:rsidR="00342D7E" w:rsidRPr="00342D7E">
        <w:t>zal</w:t>
      </w:r>
      <w:r w:rsidRPr="00342D7E">
        <w:t xml:space="preserve">eżności od liczby dni ich przeterminowania. </w:t>
      </w:r>
    </w:p>
    <w:p w:rsidR="00D35B0C" w:rsidRPr="00342D7E" w:rsidRDefault="00A834F1">
      <w:pPr>
        <w:pStyle w:val="Baseparagraphnumbered"/>
        <w:tabs>
          <w:tab w:val="left" w:pos="851"/>
        </w:tabs>
        <w:ind w:left="709"/>
      </w:pPr>
      <w:r w:rsidRPr="00342D7E">
        <w:t>Następujące ekspozycje zgłasza się</w:t>
      </w:r>
      <w:r w:rsidR="00342D7E" w:rsidRPr="00342D7E">
        <w:t xml:space="preserve"> w</w:t>
      </w:r>
      <w:r w:rsidR="00342D7E">
        <w:t> </w:t>
      </w:r>
      <w:r w:rsidR="00342D7E" w:rsidRPr="00342D7E">
        <w:t>odr</w:t>
      </w:r>
      <w:r w:rsidRPr="00342D7E">
        <w:t>ębnych kolumnach:</w:t>
      </w:r>
    </w:p>
    <w:p w:rsidR="00D35B0C" w:rsidRPr="00342D7E" w:rsidRDefault="00A834F1" w:rsidP="00056B6F">
      <w:pPr>
        <w:pStyle w:val="Text1"/>
        <w:numPr>
          <w:ilvl w:val="0"/>
          <w:numId w:val="65"/>
        </w:numPr>
        <w:ind w:left="1134"/>
      </w:pPr>
      <w:proofErr w:type="gramStart"/>
      <w:r w:rsidRPr="00342D7E">
        <w:t>ekspozycje</w:t>
      </w:r>
      <w:proofErr w:type="gramEnd"/>
      <w:r w:rsidRPr="00342D7E">
        <w:t>, które uznaje się za dotknięte utratą wartości zgodnie</w:t>
      </w:r>
      <w:r w:rsidR="00342D7E" w:rsidRPr="00342D7E">
        <w:t xml:space="preserve"> z</w:t>
      </w:r>
      <w:r w:rsidR="00342D7E">
        <w:t> </w:t>
      </w:r>
      <w:r w:rsidR="00342D7E" w:rsidRPr="00342D7E">
        <w:t>maj</w:t>
      </w:r>
      <w:r w:rsidRPr="00342D7E">
        <w:t>ącymi zastosowanie standardami rachunkowości; zgodnie z MSSF zgłasza się kwotę aktywów dotkniętych utratą wartości ze względu na ryzyko kredytowe (faza 3),</w:t>
      </w:r>
      <w:r w:rsidR="00342D7E" w:rsidRPr="00342D7E">
        <w:t xml:space="preserve"> w</w:t>
      </w:r>
      <w:r w:rsidR="00342D7E">
        <w:t> </w:t>
      </w:r>
      <w:r w:rsidR="00342D7E" w:rsidRPr="00342D7E">
        <w:t>tym</w:t>
      </w:r>
      <w:r w:rsidRPr="00342D7E">
        <w:t xml:space="preserve"> zakupionych lub utworzonych aktywów dotkniętych utratą wartości ze względu na ryzyko kredytowe; zgodnie</w:t>
      </w:r>
      <w:r w:rsidR="00342D7E" w:rsidRPr="00342D7E">
        <w:t xml:space="preserve"> z</w:t>
      </w:r>
      <w:r w:rsidR="00342D7E">
        <w:t> </w:t>
      </w:r>
      <w:r w:rsidR="00342D7E" w:rsidRPr="00342D7E">
        <w:t>kra</w:t>
      </w:r>
      <w:r w:rsidRPr="00342D7E">
        <w:t>jowymi ogólnie przyjętymi zasadami rachunkowości zgłasza się kwotę aktywów dotkniętych utratą wartości;</w:t>
      </w:r>
    </w:p>
    <w:p w:rsidR="00D35B0C" w:rsidRPr="00342D7E" w:rsidRDefault="00A834F1" w:rsidP="00056B6F">
      <w:pPr>
        <w:pStyle w:val="Text1"/>
        <w:numPr>
          <w:ilvl w:val="0"/>
          <w:numId w:val="65"/>
        </w:numPr>
        <w:ind w:left="1134"/>
      </w:pPr>
      <w:proofErr w:type="gramStart"/>
      <w:r w:rsidRPr="00342D7E">
        <w:t>ekspozycje</w:t>
      </w:r>
      <w:proofErr w:type="gramEnd"/>
      <w:r w:rsidRPr="00342D7E">
        <w:t>,</w:t>
      </w:r>
      <w:r w:rsidR="00342D7E" w:rsidRPr="00342D7E">
        <w:t xml:space="preserve"> w</w:t>
      </w:r>
      <w:r w:rsidR="00342D7E">
        <w:t> </w:t>
      </w:r>
      <w:r w:rsidR="00342D7E" w:rsidRPr="00342D7E">
        <w:t>odn</w:t>
      </w:r>
      <w:r w:rsidRPr="00342D7E">
        <w:t>iesieniu do których uznaje się, że miało miejsce niewykonanie zobowiązania zgodnie</w:t>
      </w:r>
      <w:r w:rsidR="00342D7E" w:rsidRPr="00342D7E">
        <w:t xml:space="preserve"> z</w:t>
      </w:r>
      <w:r w:rsidR="00342D7E">
        <w:t> </w:t>
      </w:r>
      <w:r w:rsidR="00342D7E" w:rsidRPr="00342D7E">
        <w:t>art</w:t>
      </w:r>
      <w:r w:rsidRPr="00342D7E">
        <w:t>.</w:t>
      </w:r>
      <w:r w:rsidR="00342D7E" w:rsidRPr="00342D7E">
        <w:t> </w:t>
      </w:r>
      <w:r w:rsidRPr="00342D7E">
        <w:t xml:space="preserve">178 CRR; </w:t>
      </w:r>
    </w:p>
    <w:p w:rsidR="00D35B0C" w:rsidRPr="00342D7E" w:rsidRDefault="0062156F" w:rsidP="00056B6F">
      <w:pPr>
        <w:pStyle w:val="Text1"/>
        <w:numPr>
          <w:ilvl w:val="0"/>
          <w:numId w:val="65"/>
        </w:numPr>
        <w:ind w:left="1134"/>
      </w:pPr>
      <w:proofErr w:type="gramStart"/>
      <w:r w:rsidRPr="00342D7E">
        <w:t>zgodnie</w:t>
      </w:r>
      <w:proofErr w:type="gramEnd"/>
      <w:r w:rsidRPr="00342D7E">
        <w:t xml:space="preserve"> z MSSF aktywa,</w:t>
      </w:r>
      <w:r w:rsidR="00342D7E" w:rsidRPr="00342D7E">
        <w:t xml:space="preserve"> w</w:t>
      </w:r>
      <w:r w:rsidR="00342D7E">
        <w:t> </w:t>
      </w:r>
      <w:r w:rsidR="00342D7E" w:rsidRPr="00342D7E">
        <w:t>prz</w:t>
      </w:r>
      <w:r w:rsidRPr="00342D7E">
        <w:t>ypadku których nastąpił znaczny wzrost ryzyka kredytowego od momentu ich początkowego ujęcia, lecz które nie są dotknięte utratą wartości ze względu na ryzyko kredytowe (faza 2),</w:t>
      </w:r>
      <w:r w:rsidR="00342D7E" w:rsidRPr="00342D7E">
        <w:t xml:space="preserve"> w</w:t>
      </w:r>
      <w:r w:rsidR="00342D7E">
        <w:t> </w:t>
      </w:r>
      <w:r w:rsidR="00342D7E" w:rsidRPr="00342D7E">
        <w:t>tym</w:t>
      </w:r>
      <w:r w:rsidRPr="00342D7E">
        <w:t xml:space="preserve"> zakupione lub utworzone aktywa finansowe, które nie spełniają już definicji aktywów „dotkniętych utratą wartości ze względu na ryzyko kredytowe” po ich początkowym ujęciu;</w:t>
      </w:r>
    </w:p>
    <w:p w:rsidR="00D35B0C" w:rsidRPr="00342D7E" w:rsidRDefault="0062156F" w:rsidP="00056B6F">
      <w:pPr>
        <w:pStyle w:val="Text1"/>
        <w:numPr>
          <w:ilvl w:val="0"/>
          <w:numId w:val="65"/>
        </w:numPr>
        <w:ind w:left="1134"/>
      </w:pPr>
      <w:proofErr w:type="gramStart"/>
      <w:r w:rsidRPr="00342D7E">
        <w:t>zgodnie</w:t>
      </w:r>
      <w:proofErr w:type="gramEnd"/>
      <w:r w:rsidRPr="00342D7E">
        <w:t xml:space="preserve"> z MSSF,</w:t>
      </w:r>
      <w:r w:rsidR="00342D7E" w:rsidRPr="00342D7E">
        <w:t xml:space="preserve"> w</w:t>
      </w:r>
      <w:r w:rsidR="00342D7E">
        <w:t> </w:t>
      </w:r>
      <w:r w:rsidR="00342D7E" w:rsidRPr="00342D7E">
        <w:t>odn</w:t>
      </w:r>
      <w:r w:rsidRPr="00342D7E">
        <w:t>iesieniu do ekspozycji obsługiwanych, aktywa,</w:t>
      </w:r>
      <w:r w:rsidR="00342D7E" w:rsidRPr="00342D7E">
        <w:t xml:space="preserve"> w</w:t>
      </w:r>
      <w:r w:rsidR="00342D7E">
        <w:t> </w:t>
      </w:r>
      <w:r w:rsidR="00342D7E" w:rsidRPr="00342D7E">
        <w:t>prz</w:t>
      </w:r>
      <w:r w:rsidRPr="00342D7E">
        <w:t>ypadku których nie nastąpił znaczny wzrost ryzyka kredytowego od momentu ich początkowego ujęcia (faza 1).</w:t>
      </w:r>
    </w:p>
    <w:p w:rsidR="00D35B0C" w:rsidRPr="00342D7E" w:rsidRDefault="00A834F1">
      <w:pPr>
        <w:pStyle w:val="Baseparagraphnumbered"/>
        <w:tabs>
          <w:tab w:val="left" w:pos="851"/>
        </w:tabs>
        <w:ind w:left="709"/>
      </w:pPr>
      <w:r w:rsidRPr="00342D7E">
        <w:t>Skumulowaną utratę wartości, skumulowane ujemne zmiany wartości godziwej</w:t>
      </w:r>
      <w:r w:rsidR="00342D7E" w:rsidRPr="00342D7E">
        <w:t xml:space="preserve"> z</w:t>
      </w:r>
      <w:r w:rsidR="00342D7E">
        <w:t> </w:t>
      </w:r>
      <w:r w:rsidR="00342D7E" w:rsidRPr="00342D7E">
        <w:t>pow</w:t>
      </w:r>
      <w:r w:rsidRPr="00342D7E">
        <w:t>odu ryzyka kredytowego</w:t>
      </w:r>
      <w:r w:rsidR="00342D7E" w:rsidRPr="00342D7E">
        <w:t xml:space="preserve"> i</w:t>
      </w:r>
      <w:r w:rsidR="00342D7E">
        <w:t> </w:t>
      </w:r>
      <w:r w:rsidR="00342D7E" w:rsidRPr="00342D7E">
        <w:t>rez</w:t>
      </w:r>
      <w:r w:rsidRPr="00342D7E">
        <w:t>erwy zgłasza się zgodnie</w:t>
      </w:r>
      <w:r w:rsidR="00342D7E" w:rsidRPr="00342D7E">
        <w:t xml:space="preserve"> z</w:t>
      </w:r>
      <w:r w:rsidR="00342D7E">
        <w:t> </w:t>
      </w:r>
      <w:r w:rsidR="00342D7E" w:rsidRPr="00342D7E">
        <w:t>pkt </w:t>
      </w:r>
      <w:r w:rsidRPr="00342D7E">
        <w:t>11, 69–71, 106</w:t>
      </w:r>
      <w:r w:rsidR="00342D7E" w:rsidRPr="00342D7E">
        <w:t xml:space="preserve"> i</w:t>
      </w:r>
      <w:r w:rsidR="00342D7E">
        <w:t> </w:t>
      </w:r>
      <w:r w:rsidR="00342D7E" w:rsidRPr="00342D7E">
        <w:t>1</w:t>
      </w:r>
      <w:r w:rsidRPr="00342D7E">
        <w:t xml:space="preserve">10 niniejszej części. </w:t>
      </w:r>
    </w:p>
    <w:p w:rsidR="00D35B0C" w:rsidRPr="00342D7E" w:rsidRDefault="00A834F1">
      <w:pPr>
        <w:pStyle w:val="Baseparagraphnumbered"/>
        <w:tabs>
          <w:tab w:val="left" w:pos="851"/>
        </w:tabs>
        <w:ind w:left="709"/>
      </w:pPr>
      <w:r w:rsidRPr="00342D7E">
        <w:t>Odrębnie zgłasza się informacje</w:t>
      </w:r>
      <w:r w:rsidR="00342D7E" w:rsidRPr="00342D7E">
        <w:t xml:space="preserve"> o</w:t>
      </w:r>
      <w:r w:rsidR="00342D7E">
        <w:t> </w:t>
      </w:r>
      <w:r w:rsidR="00342D7E" w:rsidRPr="00342D7E">
        <w:t>zab</w:t>
      </w:r>
      <w:r w:rsidRPr="00342D7E">
        <w:t>ezpieczeniach posiadanych</w:t>
      </w:r>
      <w:r w:rsidR="00342D7E" w:rsidRPr="00342D7E">
        <w:t xml:space="preserve"> i</w:t>
      </w:r>
      <w:r w:rsidR="00342D7E">
        <w:t> </w:t>
      </w:r>
      <w:r w:rsidR="00342D7E" w:rsidRPr="00342D7E">
        <w:t>gwa</w:t>
      </w:r>
      <w:r w:rsidRPr="00342D7E">
        <w:t>rancjach otrzymanych</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eks</w:t>
      </w:r>
      <w:r w:rsidRPr="00342D7E">
        <w:t>pozycjami obsługiwanymi</w:t>
      </w:r>
      <w:r w:rsidR="00342D7E" w:rsidRPr="00342D7E">
        <w:t xml:space="preserve"> i</w:t>
      </w:r>
      <w:r w:rsidR="00342D7E">
        <w:t> </w:t>
      </w:r>
      <w:r w:rsidR="00342D7E" w:rsidRPr="00342D7E">
        <w:t>nie</w:t>
      </w:r>
      <w:r w:rsidRPr="00342D7E">
        <w:t>obsługiwanymi. Kwoty zgłaszane</w:t>
      </w:r>
      <w:r w:rsidR="00342D7E" w:rsidRPr="00342D7E">
        <w:t xml:space="preserve"> w</w:t>
      </w:r>
      <w:r w:rsidR="00342D7E">
        <w:t> </w:t>
      </w:r>
      <w:r w:rsidR="00342D7E" w:rsidRPr="00342D7E">
        <w:t>odn</w:t>
      </w:r>
      <w:r w:rsidRPr="00342D7E">
        <w:t>iesieniu do otrzymanych zabezpieczeń</w:t>
      </w:r>
      <w:r w:rsidR="00342D7E" w:rsidRPr="00342D7E">
        <w:t xml:space="preserve"> i</w:t>
      </w:r>
      <w:r w:rsidR="00342D7E">
        <w:t> </w:t>
      </w:r>
      <w:r w:rsidR="00342D7E" w:rsidRPr="00342D7E">
        <w:t>otr</w:t>
      </w:r>
      <w:r w:rsidRPr="00342D7E">
        <w:t>zymanych gwarancji oblicza się zgodnie</w:t>
      </w:r>
      <w:r w:rsidR="00342D7E" w:rsidRPr="00342D7E">
        <w:t xml:space="preserve"> z</w:t>
      </w:r>
      <w:r w:rsidR="00342D7E">
        <w:t> </w:t>
      </w:r>
      <w:r w:rsidR="00342D7E" w:rsidRPr="00342D7E">
        <w:t>pkt </w:t>
      </w:r>
      <w:r w:rsidRPr="00342D7E">
        <w:t>172</w:t>
      </w:r>
      <w:r w:rsidR="00342D7E" w:rsidRPr="00342D7E">
        <w:t xml:space="preserve"> i</w:t>
      </w:r>
      <w:r w:rsidR="00342D7E">
        <w:t> </w:t>
      </w:r>
      <w:r w:rsidR="00342D7E" w:rsidRPr="00342D7E">
        <w:t>1</w:t>
      </w:r>
      <w:r w:rsidRPr="00342D7E">
        <w:t>74 niniejszej części. Suma kwot zgłoszonych</w:t>
      </w:r>
      <w:r w:rsidR="00342D7E" w:rsidRPr="00342D7E">
        <w:t xml:space="preserve"> w</w:t>
      </w:r>
      <w:r w:rsidR="00342D7E">
        <w:t> </w:t>
      </w:r>
      <w:r w:rsidR="00342D7E" w:rsidRPr="00342D7E">
        <w:t>odn</w:t>
      </w:r>
      <w:r w:rsidRPr="00342D7E">
        <w:t>iesieniu do zabezpieczeń</w:t>
      </w:r>
      <w:r w:rsidR="00342D7E" w:rsidRPr="00342D7E">
        <w:t xml:space="preserve"> i</w:t>
      </w:r>
      <w:r w:rsidR="00342D7E">
        <w:t> </w:t>
      </w:r>
      <w:r w:rsidR="00342D7E" w:rsidRPr="00342D7E">
        <w:t>gwa</w:t>
      </w:r>
      <w:r w:rsidRPr="00342D7E">
        <w:t>rancji razem jest ograniczona do wartości bilansowej lub kwoty nominalnej po odliczeniu rezerw</w:t>
      </w:r>
      <w:r w:rsidR="00342D7E" w:rsidRPr="00342D7E">
        <w:t xml:space="preserve"> z</w:t>
      </w:r>
      <w:r w:rsidR="00342D7E">
        <w:t> </w:t>
      </w:r>
      <w:r w:rsidR="00342D7E" w:rsidRPr="00342D7E">
        <w:t>tyt</w:t>
      </w:r>
      <w:r w:rsidRPr="00342D7E">
        <w:t>ułu ekspozycji powiązanej.</w:t>
      </w:r>
    </w:p>
    <w:p w:rsidR="00D35B0C" w:rsidRPr="00342D7E" w:rsidRDefault="0062156F">
      <w:pPr>
        <w:pStyle w:val="sub-subtitlenumbered"/>
        <w:jc w:val="both"/>
      </w:pPr>
      <w:bookmarkStart w:id="56" w:name="_Toc31019158"/>
      <w:r w:rsidRPr="00342D7E">
        <w:lastRenderedPageBreak/>
        <w:t>Wpływy</w:t>
      </w:r>
      <w:r w:rsidR="00342D7E" w:rsidRPr="00342D7E">
        <w:t xml:space="preserve"> i</w:t>
      </w:r>
      <w:r w:rsidR="00342D7E">
        <w:t> </w:t>
      </w:r>
      <w:r w:rsidR="00342D7E" w:rsidRPr="00342D7E">
        <w:t>wyp</w:t>
      </w:r>
      <w:r w:rsidRPr="00342D7E">
        <w:t>ływy</w:t>
      </w:r>
      <w:r w:rsidR="00342D7E" w:rsidRPr="00342D7E">
        <w:t xml:space="preserve"> z</w:t>
      </w:r>
      <w:r w:rsidR="00342D7E">
        <w:t> </w:t>
      </w:r>
      <w:r w:rsidR="00342D7E" w:rsidRPr="00342D7E">
        <w:t>tyt</w:t>
      </w:r>
      <w:r w:rsidRPr="00342D7E">
        <w:t>ułu ekspozycji nieobsługiwanych – kredyty</w:t>
      </w:r>
      <w:r w:rsidR="00342D7E" w:rsidRPr="00342D7E">
        <w:t xml:space="preserve"> i</w:t>
      </w:r>
      <w:r w:rsidR="00342D7E">
        <w:t> </w:t>
      </w:r>
      <w:r w:rsidR="00342D7E" w:rsidRPr="00342D7E">
        <w:t>zal</w:t>
      </w:r>
      <w:r w:rsidRPr="00342D7E">
        <w:t>iczki według sektorów kontrahentów (18.1)</w:t>
      </w:r>
      <w:bookmarkEnd w:id="56"/>
    </w:p>
    <w:p w:rsidR="00D35B0C" w:rsidRPr="00342D7E" w:rsidRDefault="0062156F">
      <w:pPr>
        <w:pStyle w:val="Baseparagraphnumbered"/>
        <w:numPr>
          <w:ilvl w:val="0"/>
          <w:numId w:val="0"/>
        </w:numPr>
        <w:tabs>
          <w:tab w:val="left" w:pos="851"/>
        </w:tabs>
        <w:ind w:left="709" w:hanging="357"/>
      </w:pPr>
      <w:r w:rsidRPr="00342D7E">
        <w:t xml:space="preserve">239i. Wzór 18.1 </w:t>
      </w:r>
      <w:proofErr w:type="gramStart"/>
      <w:r w:rsidRPr="00342D7E">
        <w:t>przedstawia</w:t>
      </w:r>
      <w:proofErr w:type="gramEnd"/>
      <w:r w:rsidRPr="00342D7E">
        <w:t xml:space="preserve"> wpływy</w:t>
      </w:r>
      <w:r w:rsidR="00342D7E" w:rsidRPr="00342D7E">
        <w:t xml:space="preserve"> i</w:t>
      </w:r>
      <w:r w:rsidR="00342D7E">
        <w:t> </w:t>
      </w:r>
      <w:r w:rsidR="00342D7E" w:rsidRPr="00342D7E">
        <w:t>wyp</w:t>
      </w:r>
      <w:r w:rsidRPr="00342D7E">
        <w:t>ływy</w:t>
      </w:r>
      <w:r w:rsidR="00342D7E" w:rsidRPr="00342D7E">
        <w:t xml:space="preserve"> z</w:t>
      </w:r>
      <w:r w:rsidR="00342D7E">
        <w:t> </w:t>
      </w:r>
      <w:r w:rsidR="00342D7E" w:rsidRPr="00342D7E">
        <w:t>tyt</w:t>
      </w:r>
      <w:r w:rsidRPr="00342D7E">
        <w:t>ułu kredytów</w:t>
      </w:r>
      <w:r w:rsidR="00342D7E" w:rsidRPr="00342D7E">
        <w:t xml:space="preserve"> i</w:t>
      </w:r>
      <w:r w:rsidR="00342D7E">
        <w:t> </w:t>
      </w:r>
      <w:r w:rsidR="00342D7E" w:rsidRPr="00342D7E">
        <w:t>zal</w:t>
      </w:r>
      <w:r w:rsidRPr="00342D7E">
        <w:t>iczek,</w:t>
      </w:r>
      <w:r w:rsidR="00342D7E" w:rsidRPr="00342D7E">
        <w:t xml:space="preserve"> z</w:t>
      </w:r>
      <w:r w:rsidR="00342D7E">
        <w:t> </w:t>
      </w:r>
      <w:r w:rsidR="00342D7E" w:rsidRPr="00342D7E">
        <w:t>wył</w:t>
      </w:r>
      <w:r w:rsidRPr="00342D7E">
        <w:t>ączeniem kredytów</w:t>
      </w:r>
      <w:r w:rsidR="00342D7E" w:rsidRPr="00342D7E">
        <w:t xml:space="preserve"> i</w:t>
      </w:r>
      <w:r w:rsidR="00342D7E">
        <w:t> </w:t>
      </w:r>
      <w:r w:rsidR="00342D7E" w:rsidRPr="00342D7E">
        <w:t>zal</w:t>
      </w:r>
      <w:r w:rsidRPr="00342D7E">
        <w:t>iczek zaklasyfikowanych jako aktywa finansowe przeznaczone do obrotu lub</w:t>
      </w:r>
      <w:r w:rsidR="00342D7E" w:rsidRPr="00342D7E">
        <w:t xml:space="preserve"> z</w:t>
      </w:r>
      <w:r w:rsidR="00342D7E">
        <w:t> </w:t>
      </w:r>
      <w:r w:rsidR="00342D7E" w:rsidRPr="00342D7E">
        <w:t>prz</w:t>
      </w:r>
      <w:r w:rsidRPr="00342D7E">
        <w:t>eznaczeniem do obrotu, które zaklasyfikowano jako należące lub nienależące do kategorii ekspozycji nieobsługiwanych, jak określono</w:t>
      </w:r>
      <w:r w:rsidR="00342D7E" w:rsidRPr="00342D7E">
        <w:t xml:space="preserve"> w</w:t>
      </w:r>
      <w:r w:rsidR="00342D7E">
        <w:t> </w:t>
      </w:r>
      <w:r w:rsidR="00342D7E" w:rsidRPr="00342D7E">
        <w:t>pkt </w:t>
      </w:r>
      <w:r w:rsidRPr="00342D7E">
        <w:t>213–239 lub</w:t>
      </w:r>
      <w:r w:rsidR="00342D7E" w:rsidRPr="00342D7E">
        <w:t> </w:t>
      </w:r>
      <w:r w:rsidRPr="00342D7E">
        <w:t>260 niniejszej części. Wpływy</w:t>
      </w:r>
      <w:r w:rsidR="00342D7E" w:rsidRPr="00342D7E">
        <w:t xml:space="preserve"> i</w:t>
      </w:r>
      <w:r w:rsidR="00342D7E">
        <w:t> </w:t>
      </w:r>
      <w:r w:rsidR="00342D7E" w:rsidRPr="00342D7E">
        <w:t>wyp</w:t>
      </w:r>
      <w:r w:rsidRPr="00342D7E">
        <w:t>ływy</w:t>
      </w:r>
      <w:r w:rsidR="00342D7E" w:rsidRPr="00342D7E">
        <w:t xml:space="preserve"> z</w:t>
      </w:r>
      <w:r w:rsidR="00342D7E">
        <w:t> </w:t>
      </w:r>
      <w:r w:rsidR="00342D7E" w:rsidRPr="00342D7E">
        <w:t>tyt</w:t>
      </w:r>
      <w:r w:rsidRPr="00342D7E">
        <w:t>ułu kredytów</w:t>
      </w:r>
      <w:r w:rsidR="00342D7E" w:rsidRPr="00342D7E">
        <w:t xml:space="preserve"> i</w:t>
      </w:r>
      <w:r w:rsidR="00342D7E">
        <w:t> </w:t>
      </w:r>
      <w:r w:rsidR="00342D7E" w:rsidRPr="00342D7E">
        <w:t>zal</w:t>
      </w:r>
      <w:r w:rsidRPr="00342D7E">
        <w:t>iczek nieobsługiwanych dzieli się według sektorów kontrahentów.</w:t>
      </w:r>
    </w:p>
    <w:p w:rsidR="00D35B0C" w:rsidRPr="00342D7E" w:rsidRDefault="0062156F">
      <w:pPr>
        <w:pStyle w:val="Baseparagraphnumbered"/>
        <w:numPr>
          <w:ilvl w:val="0"/>
          <w:numId w:val="0"/>
        </w:numPr>
        <w:tabs>
          <w:tab w:val="left" w:pos="851"/>
        </w:tabs>
        <w:ind w:left="709" w:hanging="357"/>
      </w:pPr>
      <w:r w:rsidRPr="00342D7E">
        <w:t>239ii. Wpływy do kategorii ekspozycji nieobsługiwanych zgłasza się narastająco od początku roku obrotowego. Wpływ odzwierciedla wartość bilansową brutto ekspozycji, które stały się ekspozycjami nieobsługiwanymi, jak określono</w:t>
      </w:r>
      <w:r w:rsidR="00342D7E" w:rsidRPr="00342D7E">
        <w:t xml:space="preserve"> w</w:t>
      </w:r>
      <w:r w:rsidR="00342D7E">
        <w:t> </w:t>
      </w:r>
      <w:r w:rsidR="00342D7E" w:rsidRPr="00342D7E">
        <w:t>pkt </w:t>
      </w:r>
      <w:r w:rsidRPr="00342D7E">
        <w:t>213–239 lub</w:t>
      </w:r>
      <w:r w:rsidR="00342D7E" w:rsidRPr="00342D7E">
        <w:t> </w:t>
      </w:r>
      <w:r w:rsidRPr="00342D7E">
        <w:t>260 niniejszej części</w:t>
      </w:r>
      <w:r w:rsidR="00342D7E" w:rsidRPr="00342D7E">
        <w:t xml:space="preserve"> w</w:t>
      </w:r>
      <w:r w:rsidR="00342D7E">
        <w:t> </w:t>
      </w:r>
      <w:r w:rsidR="00342D7E" w:rsidRPr="00342D7E">
        <w:t>tym</w:t>
      </w:r>
      <w:r w:rsidRPr="00342D7E">
        <w:t xml:space="preserve"> okresie,</w:t>
      </w:r>
      <w:r w:rsidR="00342D7E" w:rsidRPr="00342D7E">
        <w:t xml:space="preserve"> w</w:t>
      </w:r>
      <w:r w:rsidR="00342D7E">
        <w:t> </w:t>
      </w:r>
      <w:r w:rsidR="00342D7E" w:rsidRPr="00342D7E">
        <w:t>tym</w:t>
      </w:r>
      <w:r w:rsidRPr="00342D7E">
        <w:t xml:space="preserve"> zakupionych ekspozycji nieobsługiwanych. Jako wpływ zgłasza się również zwiększenie wartości bilansowej brutto ekspozycji nieobsługiwanej</w:t>
      </w:r>
      <w:r w:rsidR="00342D7E" w:rsidRPr="00342D7E">
        <w:t xml:space="preserve"> z</w:t>
      </w:r>
      <w:r w:rsidR="00342D7E">
        <w:t> </w:t>
      </w:r>
      <w:r w:rsidR="00342D7E" w:rsidRPr="00342D7E">
        <w:t>pow</w:t>
      </w:r>
      <w:r w:rsidRPr="00342D7E">
        <w:t>odu naliczonych odsetek lub wzrostu skumulowanych ujemnych zmian wartości godziwej</w:t>
      </w:r>
      <w:r w:rsidR="00342D7E" w:rsidRPr="00342D7E">
        <w:t xml:space="preserve"> z</w:t>
      </w:r>
      <w:r w:rsidR="00342D7E">
        <w:t> </w:t>
      </w:r>
      <w:r w:rsidR="00342D7E" w:rsidRPr="00342D7E">
        <w:t>pow</w:t>
      </w:r>
      <w:r w:rsidRPr="00342D7E">
        <w:t>odu ryzyka kredytowego.</w:t>
      </w:r>
    </w:p>
    <w:p w:rsidR="00D35B0C" w:rsidRPr="00342D7E" w:rsidRDefault="0062156F">
      <w:pPr>
        <w:pStyle w:val="Baseparagraphnumbered"/>
        <w:numPr>
          <w:ilvl w:val="0"/>
          <w:numId w:val="0"/>
        </w:numPr>
        <w:tabs>
          <w:tab w:val="left" w:pos="851"/>
        </w:tabs>
        <w:ind w:left="709" w:hanging="357"/>
      </w:pPr>
      <w:r w:rsidRPr="00342D7E">
        <w:t>239iii.</w:t>
      </w:r>
      <w:r w:rsidRPr="00342D7E">
        <w:tab/>
        <w:t>W przypadku ekspozycji, która</w:t>
      </w:r>
      <w:r w:rsidR="00342D7E" w:rsidRPr="00342D7E">
        <w:t xml:space="preserve"> w</w:t>
      </w:r>
      <w:r w:rsidR="00342D7E">
        <w:t> </w:t>
      </w:r>
      <w:r w:rsidR="00342D7E" w:rsidRPr="00342D7E">
        <w:t>tra</w:t>
      </w:r>
      <w:r w:rsidRPr="00342D7E">
        <w:t>kcie tego okresu ulegała wielokrotnie przeklasyfikowaniu</w:t>
      </w:r>
      <w:r w:rsidR="00342D7E" w:rsidRPr="00342D7E">
        <w:t xml:space="preserve"> z</w:t>
      </w:r>
      <w:r w:rsidR="00342D7E">
        <w:t> </w:t>
      </w:r>
      <w:r w:rsidR="00342D7E" w:rsidRPr="00342D7E">
        <w:t>nie</w:t>
      </w:r>
      <w:r w:rsidRPr="00342D7E">
        <w:t>obsługiwanej na obsługiwaną lub odwrotnie, kwotę wpływów</w:t>
      </w:r>
      <w:r w:rsidR="00342D7E" w:rsidRPr="00342D7E">
        <w:t xml:space="preserve"> i</w:t>
      </w:r>
      <w:r w:rsidR="00342D7E">
        <w:t> </w:t>
      </w:r>
      <w:r w:rsidR="00342D7E" w:rsidRPr="00342D7E">
        <w:t>wyp</w:t>
      </w:r>
      <w:r w:rsidRPr="00342D7E">
        <w:t>ływów zgłasza się na podstawie porównania między statusem ekspozycji (obsługiwana lub nieobsługiwana) na początku roku obrotowego lub</w:t>
      </w:r>
      <w:r w:rsidR="00342D7E" w:rsidRPr="00342D7E">
        <w:t xml:space="preserve"> w</w:t>
      </w:r>
      <w:r w:rsidR="00342D7E">
        <w:t> </w:t>
      </w:r>
      <w:r w:rsidR="00342D7E" w:rsidRPr="00342D7E">
        <w:t>mom</w:t>
      </w:r>
      <w:r w:rsidRPr="00342D7E">
        <w:t>encie początkowego ujęcia oraz jej statusem na sprawozdawczy dzień odniesienia.</w:t>
      </w:r>
    </w:p>
    <w:p w:rsidR="00D35B0C" w:rsidRPr="00342D7E" w:rsidRDefault="0062156F">
      <w:pPr>
        <w:pStyle w:val="Baseparagraphnumbered"/>
        <w:numPr>
          <w:ilvl w:val="0"/>
          <w:numId w:val="0"/>
        </w:numPr>
        <w:tabs>
          <w:tab w:val="left" w:pos="851"/>
        </w:tabs>
        <w:ind w:left="709" w:hanging="357"/>
      </w:pPr>
      <w:r w:rsidRPr="00342D7E">
        <w:t>239iv.</w:t>
      </w:r>
      <w:r w:rsidRPr="00342D7E">
        <w:tab/>
        <w:t>Wypływy</w:t>
      </w:r>
      <w:r w:rsidR="00342D7E" w:rsidRPr="00342D7E">
        <w:t xml:space="preserve"> z</w:t>
      </w:r>
      <w:r w:rsidR="00342D7E">
        <w:t> </w:t>
      </w:r>
      <w:r w:rsidR="00342D7E" w:rsidRPr="00342D7E">
        <w:t>kat</w:t>
      </w:r>
      <w:r w:rsidRPr="00342D7E">
        <w:t>egorii ekspozycji nieobsługiwanych zgłasza się narastająco od początku roku obrotowego. Wypływ odzwierciedla sumę wartości bilansowej brutto ekspozycji, które przestały być nieobsługiwanymi</w:t>
      </w:r>
      <w:r w:rsidR="00342D7E" w:rsidRPr="00342D7E">
        <w:t xml:space="preserve"> w</w:t>
      </w:r>
      <w:r w:rsidR="00342D7E">
        <w:t> </w:t>
      </w:r>
      <w:r w:rsidR="00342D7E" w:rsidRPr="00342D7E">
        <w:t>dan</w:t>
      </w:r>
      <w:r w:rsidRPr="00342D7E">
        <w:t>ym okresie,</w:t>
      </w:r>
      <w:r w:rsidR="00342D7E" w:rsidRPr="00342D7E">
        <w:t xml:space="preserve"> a</w:t>
      </w:r>
      <w:r w:rsidR="00342D7E">
        <w:t> </w:t>
      </w:r>
      <w:r w:rsidR="00342D7E" w:rsidRPr="00342D7E">
        <w:t>w</w:t>
      </w:r>
      <w:r w:rsidR="00342D7E">
        <w:t> </w:t>
      </w:r>
      <w:r w:rsidR="00342D7E" w:rsidRPr="00342D7E">
        <w:t>sto</w:t>
      </w:r>
      <w:r w:rsidRPr="00342D7E">
        <w:t>sownych przypadkach, obejmuje kwotę spisań dokonanych</w:t>
      </w:r>
      <w:r w:rsidR="00342D7E" w:rsidRPr="00342D7E">
        <w:t xml:space="preserve"> w</w:t>
      </w:r>
      <w:r w:rsidR="00342D7E">
        <w:t> </w:t>
      </w:r>
      <w:r w:rsidR="00342D7E" w:rsidRPr="00342D7E">
        <w:t>kon</w:t>
      </w:r>
      <w:r w:rsidRPr="00342D7E">
        <w:t>tekście częściowego lub pełnego zaprzestania ujmowania ekspozycji. Jako wypływ zgłasza się również zmniejszenie wartości bilansowej brutto ekspozycji nieobsługiwanej</w:t>
      </w:r>
      <w:r w:rsidR="00342D7E" w:rsidRPr="00342D7E">
        <w:t xml:space="preserve"> z</w:t>
      </w:r>
      <w:r w:rsidR="00342D7E">
        <w:t> </w:t>
      </w:r>
      <w:r w:rsidR="00342D7E" w:rsidRPr="00342D7E">
        <w:t>pow</w:t>
      </w:r>
      <w:r w:rsidRPr="00342D7E">
        <w:t>odu zapłaconych odsetek lub zmniejszenie skumulowanych ujemnych zmian wartości godziwej</w:t>
      </w:r>
      <w:r w:rsidR="00342D7E" w:rsidRPr="00342D7E">
        <w:t xml:space="preserve"> z</w:t>
      </w:r>
      <w:r w:rsidR="00342D7E">
        <w:t> </w:t>
      </w:r>
      <w:r w:rsidR="00342D7E" w:rsidRPr="00342D7E">
        <w:t>pow</w:t>
      </w:r>
      <w:r w:rsidRPr="00342D7E">
        <w:t>odu ryzyka kredytowego.</w:t>
      </w:r>
    </w:p>
    <w:p w:rsidR="00D35B0C" w:rsidRPr="00342D7E" w:rsidRDefault="0062156F">
      <w:pPr>
        <w:pStyle w:val="Baseparagraphnumbered"/>
        <w:numPr>
          <w:ilvl w:val="0"/>
          <w:numId w:val="0"/>
        </w:numPr>
        <w:tabs>
          <w:tab w:val="left" w:pos="851"/>
        </w:tabs>
        <w:ind w:left="709" w:hanging="357"/>
      </w:pPr>
      <w:r w:rsidRPr="00342D7E">
        <w:t>239v. Wypływ zgłasza się</w:t>
      </w:r>
      <w:r w:rsidR="00342D7E" w:rsidRPr="00342D7E">
        <w:t xml:space="preserve"> w</w:t>
      </w:r>
      <w:r w:rsidR="00342D7E">
        <w:t> </w:t>
      </w:r>
      <w:r w:rsidR="00342D7E" w:rsidRPr="00342D7E">
        <w:t>nas</w:t>
      </w:r>
      <w:r w:rsidRPr="00342D7E">
        <w:t>tępujących przypadkach:</w:t>
      </w:r>
    </w:p>
    <w:p w:rsidR="00D35B0C" w:rsidRPr="00342D7E" w:rsidRDefault="00E64E18" w:rsidP="00056B6F">
      <w:pPr>
        <w:pStyle w:val="Text1"/>
        <w:numPr>
          <w:ilvl w:val="0"/>
          <w:numId w:val="66"/>
        </w:numPr>
        <w:ind w:left="1134"/>
      </w:pPr>
      <w:proofErr w:type="gramStart"/>
      <w:r w:rsidRPr="00342D7E">
        <w:t>ekspozycja</w:t>
      </w:r>
      <w:proofErr w:type="gramEnd"/>
      <w:r w:rsidRPr="00342D7E">
        <w:t xml:space="preserve"> nieobsługiwana spełnia kryteria dotyczące zaprzestania klasyfikowania jej jako nieobsługiwanej, jak określono</w:t>
      </w:r>
      <w:r w:rsidR="00342D7E" w:rsidRPr="00342D7E">
        <w:t xml:space="preserve"> w</w:t>
      </w:r>
      <w:r w:rsidR="00342D7E">
        <w:t> </w:t>
      </w:r>
      <w:r w:rsidR="00342D7E" w:rsidRPr="00342D7E">
        <w:t>pkt </w:t>
      </w:r>
      <w:r w:rsidRPr="00342D7E">
        <w:t>228–232 niniejszej części,</w:t>
      </w:r>
      <w:r w:rsidR="00342D7E" w:rsidRPr="00342D7E">
        <w:t xml:space="preserve"> i</w:t>
      </w:r>
      <w:r w:rsidR="00342D7E">
        <w:t> </w:t>
      </w:r>
      <w:r w:rsidR="00342D7E" w:rsidRPr="00342D7E">
        <w:t>jes</w:t>
      </w:r>
      <w:r w:rsidRPr="00342D7E">
        <w:t>t przeklasyfikowywana jako obsługiwana nierestrukturyzowana lub obsługiwana restrukturyzowana;</w:t>
      </w:r>
    </w:p>
    <w:p w:rsidR="00D35B0C" w:rsidRPr="00342D7E" w:rsidRDefault="00E64E18" w:rsidP="00056B6F">
      <w:pPr>
        <w:pStyle w:val="Text1"/>
        <w:numPr>
          <w:ilvl w:val="0"/>
          <w:numId w:val="66"/>
        </w:numPr>
        <w:ind w:left="1134"/>
      </w:pPr>
      <w:proofErr w:type="gramStart"/>
      <w:r w:rsidRPr="00342D7E">
        <w:t>ekspozycja</w:t>
      </w:r>
      <w:proofErr w:type="gramEnd"/>
      <w:r w:rsidRPr="00342D7E">
        <w:t xml:space="preserve"> nieobsługiwana jest częściowo lub całkowicie spłacona;</w:t>
      </w:r>
      <w:r w:rsidR="00342D7E" w:rsidRPr="00342D7E">
        <w:t xml:space="preserve"> w</w:t>
      </w:r>
      <w:r w:rsidR="00342D7E">
        <w:t> </w:t>
      </w:r>
      <w:r w:rsidR="00342D7E" w:rsidRPr="00342D7E">
        <w:t>prz</w:t>
      </w:r>
      <w:r w:rsidRPr="00342D7E">
        <w:t>ypadku częściowej spłaty jako wypływ klasyfikuje się tylko kwotę spłaconą;</w:t>
      </w:r>
    </w:p>
    <w:p w:rsidR="00D35B0C" w:rsidRPr="00342D7E" w:rsidRDefault="00E64E18" w:rsidP="00056B6F">
      <w:pPr>
        <w:pStyle w:val="Text1"/>
        <w:numPr>
          <w:ilvl w:val="0"/>
          <w:numId w:val="66"/>
        </w:numPr>
        <w:ind w:left="1134"/>
      </w:pPr>
      <w:proofErr w:type="gramStart"/>
      <w:r w:rsidRPr="00342D7E">
        <w:t>zabezpieczenie</w:t>
      </w:r>
      <w:proofErr w:type="gramEnd"/>
      <w:r w:rsidRPr="00342D7E">
        <w:t xml:space="preserve"> jest likwidowane,</w:t>
      </w:r>
      <w:r w:rsidR="00342D7E" w:rsidRPr="00342D7E">
        <w:t xml:space="preserve"> w</w:t>
      </w:r>
      <w:r w:rsidR="00342D7E">
        <w:t> </w:t>
      </w:r>
      <w:r w:rsidR="00342D7E" w:rsidRPr="00342D7E">
        <w:t>tym</w:t>
      </w:r>
      <w:r w:rsidRPr="00342D7E">
        <w:t xml:space="preserve"> wypływy</w:t>
      </w:r>
      <w:r w:rsidR="00342D7E" w:rsidRPr="00342D7E">
        <w:t xml:space="preserve"> z</w:t>
      </w:r>
      <w:r w:rsidR="00342D7E">
        <w:t> </w:t>
      </w:r>
      <w:r w:rsidR="00342D7E" w:rsidRPr="00342D7E">
        <w:t>pow</w:t>
      </w:r>
      <w:r w:rsidRPr="00342D7E">
        <w:t>odu innej likwidacji lub procedur prawnych, takich jak likwidacja aktywów innych niż zabezpieczenia uzyskane</w:t>
      </w:r>
      <w:r w:rsidR="00342D7E" w:rsidRPr="00342D7E">
        <w:t xml:space="preserve"> w</w:t>
      </w:r>
      <w:r w:rsidR="00342D7E">
        <w:t> </w:t>
      </w:r>
      <w:r w:rsidR="00342D7E" w:rsidRPr="00342D7E">
        <w:t>wyn</w:t>
      </w:r>
      <w:r w:rsidRPr="00342D7E">
        <w:t>iku procedur prawnych oraz dobrowolna sprzedaż zabezpieczenia;</w:t>
      </w:r>
    </w:p>
    <w:p w:rsidR="00D35B0C" w:rsidRPr="00342D7E" w:rsidRDefault="00E64E18" w:rsidP="00056B6F">
      <w:pPr>
        <w:pStyle w:val="Text1"/>
        <w:numPr>
          <w:ilvl w:val="0"/>
          <w:numId w:val="66"/>
        </w:numPr>
        <w:ind w:left="1134"/>
      </w:pPr>
      <w:proofErr w:type="gramStart"/>
      <w:r w:rsidRPr="00342D7E">
        <w:lastRenderedPageBreak/>
        <w:t>instytucja</w:t>
      </w:r>
      <w:proofErr w:type="gramEnd"/>
      <w:r w:rsidRPr="00342D7E">
        <w:t xml:space="preserve"> obejmuje</w:t>
      </w:r>
      <w:r w:rsidR="00342D7E" w:rsidRPr="00342D7E">
        <w:t xml:space="preserve"> w</w:t>
      </w:r>
      <w:r w:rsidR="00342D7E">
        <w:t> </w:t>
      </w:r>
      <w:r w:rsidR="00342D7E" w:rsidRPr="00342D7E">
        <w:t>pos</w:t>
      </w:r>
      <w:r w:rsidRPr="00342D7E">
        <w:t>iadanie zabezpieczenie,</w:t>
      </w:r>
      <w:r w:rsidR="00342D7E" w:rsidRPr="00342D7E">
        <w:t xml:space="preserve"> o</w:t>
      </w:r>
      <w:r w:rsidR="00342D7E">
        <w:t> </w:t>
      </w:r>
      <w:r w:rsidR="00342D7E" w:rsidRPr="00342D7E">
        <w:t>któ</w:t>
      </w:r>
      <w:r w:rsidRPr="00342D7E">
        <w:t>rym mowa</w:t>
      </w:r>
      <w:r w:rsidR="00342D7E" w:rsidRPr="00342D7E">
        <w:t xml:space="preserve"> w</w:t>
      </w:r>
      <w:r w:rsidR="00342D7E">
        <w:t> </w:t>
      </w:r>
      <w:r w:rsidR="00342D7E" w:rsidRPr="00342D7E">
        <w:t>ust</w:t>
      </w:r>
      <w:r w:rsidRPr="00342D7E">
        <w:t>.</w:t>
      </w:r>
      <w:r w:rsidR="00342D7E" w:rsidRPr="00342D7E">
        <w:t> </w:t>
      </w:r>
      <w:r w:rsidRPr="00342D7E">
        <w:t>175 niniejszej części,</w:t>
      </w:r>
      <w:r w:rsidR="00342D7E" w:rsidRPr="00342D7E">
        <w:t xml:space="preserve"> w</w:t>
      </w:r>
      <w:r w:rsidR="00342D7E">
        <w:t> </w:t>
      </w:r>
      <w:r w:rsidR="00342D7E" w:rsidRPr="00342D7E">
        <w:t>tym w</w:t>
      </w:r>
      <w:r w:rsidR="00342D7E">
        <w:t> </w:t>
      </w:r>
      <w:r w:rsidR="00342D7E" w:rsidRPr="00342D7E">
        <w:t>prz</w:t>
      </w:r>
      <w:r w:rsidRPr="00342D7E">
        <w:t>ypadkach zamiany długu na aktywa, dobrowolnego wykupu</w:t>
      </w:r>
      <w:r w:rsidR="00342D7E" w:rsidRPr="00342D7E">
        <w:t xml:space="preserve"> i</w:t>
      </w:r>
      <w:r w:rsidR="00342D7E">
        <w:t> </w:t>
      </w:r>
      <w:r w:rsidR="00342D7E" w:rsidRPr="00342D7E">
        <w:t>zam</w:t>
      </w:r>
      <w:r w:rsidRPr="00342D7E">
        <w:t>iany długu na kapitał własny;</w:t>
      </w:r>
    </w:p>
    <w:p w:rsidR="00D35B0C" w:rsidRPr="00342D7E" w:rsidRDefault="00E64E18" w:rsidP="00056B6F">
      <w:pPr>
        <w:pStyle w:val="Text1"/>
        <w:numPr>
          <w:ilvl w:val="0"/>
          <w:numId w:val="66"/>
        </w:numPr>
        <w:ind w:left="1134"/>
      </w:pPr>
      <w:proofErr w:type="gramStart"/>
      <w:r w:rsidRPr="00342D7E">
        <w:t>ekspozycja</w:t>
      </w:r>
      <w:proofErr w:type="gramEnd"/>
      <w:r w:rsidRPr="00342D7E">
        <w:t xml:space="preserve"> nieobsługiwana została sprzedana;</w:t>
      </w:r>
    </w:p>
    <w:p w:rsidR="00D35B0C" w:rsidRPr="00342D7E" w:rsidRDefault="00E64E18" w:rsidP="00056B6F">
      <w:pPr>
        <w:pStyle w:val="Text1"/>
        <w:numPr>
          <w:ilvl w:val="0"/>
          <w:numId w:val="66"/>
        </w:numPr>
        <w:ind w:left="1134"/>
      </w:pPr>
      <w:proofErr w:type="gramStart"/>
      <w:r w:rsidRPr="00342D7E">
        <w:t>ryzyko</w:t>
      </w:r>
      <w:proofErr w:type="gramEnd"/>
      <w:r w:rsidRPr="00342D7E">
        <w:t xml:space="preserve"> dotyczące ekspozycji nieobsługiwanej jest przenoszone,</w:t>
      </w:r>
      <w:r w:rsidR="00342D7E" w:rsidRPr="00342D7E">
        <w:t xml:space="preserve"> a</w:t>
      </w:r>
      <w:r w:rsidR="00342D7E">
        <w:t> </w:t>
      </w:r>
      <w:r w:rsidR="00342D7E" w:rsidRPr="00342D7E">
        <w:t>eks</w:t>
      </w:r>
      <w:r w:rsidRPr="00342D7E">
        <w:t xml:space="preserve">pozycja spełnia kryteria umożliwiające zaprzestanie jej ujmowania; </w:t>
      </w:r>
    </w:p>
    <w:p w:rsidR="00D35B0C" w:rsidRPr="00342D7E" w:rsidRDefault="00E64E18" w:rsidP="00056B6F">
      <w:pPr>
        <w:pStyle w:val="Text1"/>
        <w:numPr>
          <w:ilvl w:val="0"/>
          <w:numId w:val="66"/>
        </w:numPr>
        <w:ind w:left="1134"/>
      </w:pPr>
      <w:proofErr w:type="gramStart"/>
      <w:r w:rsidRPr="00342D7E">
        <w:t>ekspozycja</w:t>
      </w:r>
      <w:proofErr w:type="gramEnd"/>
      <w:r w:rsidRPr="00342D7E">
        <w:t xml:space="preserve"> nieobsługiwana jest częściowo lub całkowicie spisana;</w:t>
      </w:r>
      <w:r w:rsidR="00342D7E" w:rsidRPr="00342D7E">
        <w:t xml:space="preserve"> w</w:t>
      </w:r>
      <w:r w:rsidR="00342D7E">
        <w:t> </w:t>
      </w:r>
      <w:r w:rsidR="00342D7E" w:rsidRPr="00342D7E">
        <w:t>prz</w:t>
      </w:r>
      <w:r w:rsidRPr="00342D7E">
        <w:t>ypadku częściowego spisania jako wypływ klasyfikuje się tylko kwotę spisaną;</w:t>
      </w:r>
    </w:p>
    <w:p w:rsidR="00D35B0C" w:rsidRPr="00342D7E" w:rsidRDefault="00E64E18" w:rsidP="00056B6F">
      <w:pPr>
        <w:pStyle w:val="Text1"/>
        <w:numPr>
          <w:ilvl w:val="0"/>
          <w:numId w:val="66"/>
        </w:numPr>
        <w:ind w:left="1134"/>
      </w:pPr>
      <w:proofErr w:type="gramStart"/>
      <w:r w:rsidRPr="00342D7E">
        <w:t>ekspozycja</w:t>
      </w:r>
      <w:proofErr w:type="gramEnd"/>
      <w:r w:rsidRPr="00342D7E">
        <w:t xml:space="preserve"> nieobsługiwana lub części ekspozycji nieobsługiwanej przestają być nieobsługiwane</w:t>
      </w:r>
      <w:r w:rsidR="00342D7E" w:rsidRPr="00342D7E">
        <w:t xml:space="preserve"> z</w:t>
      </w:r>
      <w:r w:rsidR="00342D7E">
        <w:t> </w:t>
      </w:r>
      <w:r w:rsidR="00342D7E" w:rsidRPr="00342D7E">
        <w:t>inn</w:t>
      </w:r>
      <w:r w:rsidRPr="00342D7E">
        <w:t>ych powodów.</w:t>
      </w:r>
    </w:p>
    <w:p w:rsidR="00D35B0C" w:rsidRPr="00342D7E" w:rsidRDefault="0062156F">
      <w:pPr>
        <w:pStyle w:val="Baseparagraphnumbered"/>
        <w:numPr>
          <w:ilvl w:val="0"/>
          <w:numId w:val="0"/>
        </w:numPr>
        <w:tabs>
          <w:tab w:val="left" w:pos="851"/>
        </w:tabs>
        <w:ind w:left="709" w:hanging="357"/>
      </w:pPr>
      <w:r w:rsidRPr="00342D7E">
        <w:t>239vi.</w:t>
      </w:r>
      <w:r w:rsidRPr="00342D7E">
        <w:tab/>
        <w:t>Przeklasyfikowania ekspozycji nieobsługiwanej</w:t>
      </w:r>
      <w:r w:rsidR="00342D7E" w:rsidRPr="00342D7E">
        <w:t xml:space="preserve"> z</w:t>
      </w:r>
      <w:r w:rsidR="00342D7E">
        <w:t> </w:t>
      </w:r>
      <w:r w:rsidR="00342D7E" w:rsidRPr="00342D7E">
        <w:t>jed</w:t>
      </w:r>
      <w:r w:rsidRPr="00342D7E">
        <w:t>nego portfela księgowego do innego nie zgłasza się ani jako wpływu, ani jako wypływu</w:t>
      </w:r>
      <w:r w:rsidR="00342D7E" w:rsidRPr="00342D7E">
        <w:t>. W</w:t>
      </w:r>
      <w:r w:rsidR="00342D7E">
        <w:t> </w:t>
      </w:r>
      <w:r w:rsidR="00342D7E" w:rsidRPr="00342D7E">
        <w:t>dro</w:t>
      </w:r>
      <w:r w:rsidRPr="00342D7E">
        <w:t>dze wyjątku przeklasyfikowanie ekspozycji nieobsługiwanej</w:t>
      </w:r>
      <w:r w:rsidR="00342D7E" w:rsidRPr="00342D7E">
        <w:t xml:space="preserve"> z</w:t>
      </w:r>
      <w:r w:rsidR="00342D7E">
        <w:t> </w:t>
      </w:r>
      <w:r w:rsidR="00342D7E" w:rsidRPr="00342D7E">
        <w:t>jak</w:t>
      </w:r>
      <w:r w:rsidRPr="00342D7E">
        <w:t>iegokolwiek portfela księgowego do kategorii „przeznaczone do sprzedaży” zgłasza się jako wypływ</w:t>
      </w:r>
      <w:r w:rsidR="00342D7E" w:rsidRPr="00342D7E">
        <w:t xml:space="preserve"> z</w:t>
      </w:r>
      <w:r w:rsidR="00342D7E">
        <w:t> </w:t>
      </w:r>
      <w:r w:rsidR="00342D7E" w:rsidRPr="00342D7E">
        <w:t>ory</w:t>
      </w:r>
      <w:r w:rsidRPr="00342D7E">
        <w:t>ginalnego portfela księgowego oraz wpływ do kategorii „przeznaczone do sprzedaży”.</w:t>
      </w:r>
    </w:p>
    <w:p w:rsidR="00D35B0C" w:rsidRPr="00342D7E" w:rsidRDefault="0062156F">
      <w:pPr>
        <w:pStyle w:val="Baseparagraphnumbered"/>
        <w:numPr>
          <w:ilvl w:val="0"/>
          <w:numId w:val="0"/>
        </w:numPr>
        <w:tabs>
          <w:tab w:val="left" w:pos="851"/>
        </w:tabs>
        <w:ind w:left="709" w:hanging="357"/>
      </w:pPr>
      <w:r w:rsidRPr="00342D7E">
        <w:t>239vii.</w:t>
      </w:r>
      <w:r w:rsidRPr="00342D7E">
        <w:tab/>
        <w:t>Następujące ekspozycje przedstawia się</w:t>
      </w:r>
      <w:r w:rsidR="00342D7E" w:rsidRPr="00342D7E">
        <w:t xml:space="preserve"> w</w:t>
      </w:r>
      <w:r w:rsidR="00342D7E">
        <w:t> </w:t>
      </w:r>
      <w:r w:rsidR="00342D7E" w:rsidRPr="00342D7E">
        <w:t>odr</w:t>
      </w:r>
      <w:r w:rsidRPr="00342D7E">
        <w:t>ębnych wierszach:</w:t>
      </w:r>
    </w:p>
    <w:p w:rsidR="00D35B0C" w:rsidRPr="00342D7E" w:rsidRDefault="00E64E18" w:rsidP="00056B6F">
      <w:pPr>
        <w:pStyle w:val="Baseparagraphnumbered"/>
        <w:numPr>
          <w:ilvl w:val="0"/>
          <w:numId w:val="67"/>
        </w:numPr>
        <w:tabs>
          <w:tab w:val="left" w:pos="851"/>
        </w:tabs>
        <w:ind w:left="1134"/>
      </w:pPr>
      <w:proofErr w:type="gramStart"/>
      <w:r w:rsidRPr="00342D7E">
        <w:t>kredyty</w:t>
      </w:r>
      <w:proofErr w:type="gramEnd"/>
      <w:r w:rsidRPr="00342D7E">
        <w:t xml:space="preserve"> na zakup nieruchomości komercyjnych, jak określono</w:t>
      </w:r>
      <w:r w:rsidR="00342D7E" w:rsidRPr="00342D7E">
        <w:t xml:space="preserve"> w</w:t>
      </w:r>
      <w:r w:rsidR="00342D7E">
        <w:t> </w:t>
      </w:r>
      <w:r w:rsidR="00342D7E" w:rsidRPr="00342D7E">
        <w:t>pkt </w:t>
      </w:r>
      <w:r w:rsidRPr="00342D7E">
        <w:t>239ix,</w:t>
      </w:r>
      <w:r w:rsidR="00342D7E" w:rsidRPr="00342D7E">
        <w:t xml:space="preserve"> w</w:t>
      </w:r>
      <w:r w:rsidR="00342D7E">
        <w:t> </w:t>
      </w:r>
      <w:r w:rsidR="00342D7E" w:rsidRPr="00342D7E">
        <w:t>pod</w:t>
      </w:r>
      <w:r w:rsidRPr="00342D7E">
        <w:t>ziale na kredyty na zakup nieruchomości komercyjnych dla MŚP oraz kredyty na zakup nieruchomości komercyjnych dla przedsiębiorstw niefinansowych innych niż MŚP;</w:t>
      </w:r>
    </w:p>
    <w:p w:rsidR="00D35B0C" w:rsidRPr="00342D7E" w:rsidRDefault="00E64E18" w:rsidP="00056B6F">
      <w:pPr>
        <w:pStyle w:val="Baseparagraphnumbered"/>
        <w:numPr>
          <w:ilvl w:val="0"/>
          <w:numId w:val="67"/>
        </w:numPr>
        <w:tabs>
          <w:tab w:val="left" w:pos="851"/>
        </w:tabs>
        <w:ind w:left="1134"/>
      </w:pPr>
      <w:proofErr w:type="gramStart"/>
      <w:r w:rsidRPr="00342D7E">
        <w:t>kredyty</w:t>
      </w:r>
      <w:proofErr w:type="gramEnd"/>
      <w:r w:rsidRPr="00342D7E">
        <w:t xml:space="preserve"> zabezpieczone nieruchomościami, jak określono</w:t>
      </w:r>
      <w:r w:rsidR="00342D7E" w:rsidRPr="00342D7E">
        <w:t xml:space="preserve"> w</w:t>
      </w:r>
      <w:r w:rsidR="00342D7E">
        <w:t> </w:t>
      </w:r>
      <w:r w:rsidR="00342D7E" w:rsidRPr="00342D7E">
        <w:t>pkt </w:t>
      </w:r>
      <w:r w:rsidRPr="00342D7E">
        <w:t>86 lit.</w:t>
      </w:r>
      <w:r w:rsidR="00342D7E" w:rsidRPr="00342D7E">
        <w:t> </w:t>
      </w:r>
      <w:r w:rsidRPr="00342D7E">
        <w:t xml:space="preserve">a) oraz 87 niniejszej części; </w:t>
      </w:r>
    </w:p>
    <w:p w:rsidR="00D35B0C" w:rsidRPr="00342D7E" w:rsidRDefault="00E64E18" w:rsidP="00056B6F">
      <w:pPr>
        <w:pStyle w:val="Baseparagraphnumbered"/>
        <w:numPr>
          <w:ilvl w:val="0"/>
          <w:numId w:val="67"/>
        </w:numPr>
        <w:tabs>
          <w:tab w:val="left" w:pos="851"/>
        </w:tabs>
        <w:ind w:left="1134"/>
      </w:pPr>
      <w:proofErr w:type="gramStart"/>
      <w:r w:rsidRPr="00342D7E">
        <w:t>kredyt</w:t>
      </w:r>
      <w:proofErr w:type="gramEnd"/>
      <w:r w:rsidRPr="00342D7E">
        <w:t xml:space="preserve"> konsumpcyjny, jak określono</w:t>
      </w:r>
      <w:r w:rsidR="00342D7E" w:rsidRPr="00342D7E">
        <w:t xml:space="preserve"> w</w:t>
      </w:r>
      <w:r w:rsidR="00342D7E">
        <w:t> </w:t>
      </w:r>
      <w:r w:rsidR="00342D7E" w:rsidRPr="00342D7E">
        <w:t>pkt </w:t>
      </w:r>
      <w:r w:rsidRPr="00342D7E">
        <w:t>88 lit.</w:t>
      </w:r>
      <w:r w:rsidR="00342D7E" w:rsidRPr="00342D7E">
        <w:t> </w:t>
      </w:r>
      <w:r w:rsidRPr="00342D7E">
        <w:t>a) niniejszej części.</w:t>
      </w:r>
    </w:p>
    <w:p w:rsidR="00D35B0C" w:rsidRPr="00342D7E" w:rsidRDefault="0062156F">
      <w:pPr>
        <w:pStyle w:val="sub-subtitlenumbered"/>
        <w:jc w:val="both"/>
      </w:pPr>
      <w:bookmarkStart w:id="57" w:name="_Toc31019159"/>
      <w:r w:rsidRPr="00342D7E">
        <w:t>Kredyty na zakup nieruchomości komercyjnych oraz dodatkowe informacje dotyczące kredytów zabezpieczonych nieruchomościami (18.2)</w:t>
      </w:r>
      <w:bookmarkEnd w:id="57"/>
    </w:p>
    <w:p w:rsidR="00D35B0C" w:rsidRPr="00342D7E" w:rsidRDefault="0062156F">
      <w:pPr>
        <w:pStyle w:val="Baseparagraphnumbered"/>
        <w:numPr>
          <w:ilvl w:val="0"/>
          <w:numId w:val="0"/>
        </w:numPr>
        <w:tabs>
          <w:tab w:val="left" w:pos="851"/>
        </w:tabs>
        <w:ind w:left="709" w:hanging="357"/>
      </w:pPr>
      <w:r w:rsidRPr="00342D7E">
        <w:t>239viii.</w:t>
      </w:r>
      <w:r w:rsidRPr="00342D7E">
        <w:tab/>
        <w:t xml:space="preserve">Wzór 18.2 </w:t>
      </w:r>
      <w:proofErr w:type="gramStart"/>
      <w:r w:rsidRPr="00342D7E">
        <w:t>przedstawia</w:t>
      </w:r>
      <w:proofErr w:type="gramEnd"/>
      <w:r w:rsidRPr="00342D7E">
        <w:t xml:space="preserve"> informacje dotyczące kredytów na zakup nieruchomości komercyjnych dla przedsiębiorstw niefinansowych oraz kredytów zabezpieczonych nieruchomościami komercyjnymi lub mieszkalnymi odpowiednio dla przedsiębiorstw niefinansowych oraz gospodarstw domowych</w:t>
      </w:r>
      <w:r w:rsidR="00342D7E" w:rsidRPr="00342D7E">
        <w:t xml:space="preserve"> w</w:t>
      </w:r>
      <w:r w:rsidR="00342D7E">
        <w:t> </w:t>
      </w:r>
      <w:r w:rsidR="00342D7E" w:rsidRPr="00342D7E">
        <w:t>pod</w:t>
      </w:r>
      <w:r w:rsidRPr="00342D7E">
        <w:t>ziale na współczynnik pokrycia należności zabezpieczeniem (wskaźnik LTV). Kredyty</w:t>
      </w:r>
      <w:r w:rsidR="00342D7E" w:rsidRPr="00342D7E">
        <w:t xml:space="preserve"> i</w:t>
      </w:r>
      <w:r w:rsidR="00342D7E">
        <w:t> </w:t>
      </w:r>
      <w:r w:rsidR="00342D7E" w:rsidRPr="00342D7E">
        <w:t>zal</w:t>
      </w:r>
      <w:r w:rsidRPr="00342D7E">
        <w:t>iczki zaklasyfikowane jako „przeznaczone do obrotu”, „aktywa finansowe</w:t>
      </w:r>
      <w:r w:rsidR="00342D7E" w:rsidRPr="00342D7E">
        <w:t xml:space="preserve"> z</w:t>
      </w:r>
      <w:r w:rsidR="00342D7E">
        <w:t> </w:t>
      </w:r>
      <w:r w:rsidR="00342D7E" w:rsidRPr="00342D7E">
        <w:t>prz</w:t>
      </w:r>
      <w:r w:rsidRPr="00342D7E">
        <w:t>eznaczeniem do obrotu” i „instrumenty dłużne przeznaczone do sprzedaży” zostają wyłączone.</w:t>
      </w:r>
    </w:p>
    <w:p w:rsidR="00D35B0C" w:rsidRPr="00342D7E" w:rsidRDefault="0062156F">
      <w:pPr>
        <w:pStyle w:val="Baseparagraphnumbered"/>
        <w:numPr>
          <w:ilvl w:val="0"/>
          <w:numId w:val="0"/>
        </w:numPr>
        <w:tabs>
          <w:tab w:val="left" w:pos="851"/>
        </w:tabs>
        <w:ind w:left="709" w:hanging="357"/>
      </w:pPr>
      <w:r w:rsidRPr="00342D7E">
        <w:lastRenderedPageBreak/>
        <w:t>239ix.</w:t>
      </w:r>
      <w:r w:rsidRPr="00342D7E">
        <w:tab/>
        <w:t>„Kredyty na zakup nieruchomości komercyjnych” obejmują ekspozycje określone</w:t>
      </w:r>
      <w:r w:rsidR="00342D7E" w:rsidRPr="00342D7E">
        <w:t xml:space="preserve"> w</w:t>
      </w:r>
      <w:r w:rsidR="00342D7E">
        <w:t> </w:t>
      </w:r>
      <w:r w:rsidR="00342D7E" w:rsidRPr="00342D7E">
        <w:t>sek</w:t>
      </w:r>
      <w:r w:rsidRPr="00342D7E">
        <w:t>cji 2 rozdział 1 pkt</w:t>
      </w:r>
      <w:r w:rsidR="00342D7E" w:rsidRPr="00342D7E">
        <w:t> </w:t>
      </w:r>
      <w:r w:rsidRPr="00342D7E">
        <w:t>1 Zalecenia ERRS</w:t>
      </w:r>
      <w:r w:rsidR="00342D7E" w:rsidRPr="00342D7E">
        <w:t xml:space="preserve"> w</w:t>
      </w:r>
      <w:r w:rsidR="00342D7E">
        <w:t> </w:t>
      </w:r>
      <w:r w:rsidR="00342D7E" w:rsidRPr="00342D7E">
        <w:t>spr</w:t>
      </w:r>
      <w:r w:rsidRPr="00342D7E">
        <w:t>awie uzupełniania luk</w:t>
      </w:r>
      <w:r w:rsidR="00342D7E" w:rsidRPr="00342D7E">
        <w:t xml:space="preserve"> w</w:t>
      </w:r>
      <w:r w:rsidR="00342D7E">
        <w:t> </w:t>
      </w:r>
      <w:r w:rsidR="00342D7E" w:rsidRPr="00342D7E">
        <w:t>dan</w:t>
      </w:r>
      <w:r w:rsidRPr="00342D7E">
        <w:t>ych dotyczących sektora nieruchomości</w:t>
      </w:r>
      <w:r w:rsidRPr="00342D7E">
        <w:rPr>
          <w:rStyle w:val="FootnoteReference"/>
        </w:rPr>
        <w:footnoteReference w:id="9"/>
      </w:r>
      <w:r w:rsidRPr="00342D7E">
        <w:t>.</w:t>
      </w:r>
    </w:p>
    <w:p w:rsidR="00D35B0C" w:rsidRPr="00342D7E" w:rsidRDefault="0062156F">
      <w:pPr>
        <w:pStyle w:val="Baseparagraphnumbered"/>
        <w:numPr>
          <w:ilvl w:val="0"/>
          <w:numId w:val="0"/>
        </w:numPr>
        <w:tabs>
          <w:tab w:val="left" w:pos="851"/>
        </w:tabs>
        <w:ind w:left="709" w:hanging="357"/>
      </w:pPr>
      <w:r w:rsidRPr="00342D7E">
        <w:t>239x.</w:t>
      </w:r>
      <w:r w:rsidRPr="00342D7E">
        <w:tab/>
        <w:t>Wskaźnik LTV oblicza się zgodnie</w:t>
      </w:r>
      <w:r w:rsidR="00342D7E" w:rsidRPr="00342D7E">
        <w:t xml:space="preserve"> z</w:t>
      </w:r>
      <w:r w:rsidR="00342D7E">
        <w:t> </w:t>
      </w:r>
      <w:r w:rsidR="00342D7E" w:rsidRPr="00342D7E">
        <w:t>met</w:t>
      </w:r>
      <w:r w:rsidRPr="00342D7E">
        <w:t>odą obliczania „bieżącego współczynnika pokrycia należności zabezpieczeniem” (LTV–C) określonego</w:t>
      </w:r>
      <w:r w:rsidR="00342D7E" w:rsidRPr="00342D7E">
        <w:t xml:space="preserve"> w</w:t>
      </w:r>
      <w:r w:rsidR="00342D7E">
        <w:t> </w:t>
      </w:r>
      <w:r w:rsidR="00342D7E" w:rsidRPr="00342D7E">
        <w:t>sek</w:t>
      </w:r>
      <w:r w:rsidRPr="00342D7E">
        <w:t>cji 2 rozdział 1 pkt</w:t>
      </w:r>
      <w:r w:rsidR="00342D7E" w:rsidRPr="00342D7E">
        <w:t> </w:t>
      </w:r>
      <w:r w:rsidRPr="00342D7E">
        <w:t>1 zalecenia ERRS</w:t>
      </w:r>
      <w:r w:rsidR="00342D7E" w:rsidRPr="00342D7E">
        <w:t xml:space="preserve"> w</w:t>
      </w:r>
      <w:r w:rsidR="00342D7E">
        <w:t> </w:t>
      </w:r>
      <w:r w:rsidR="00342D7E" w:rsidRPr="00342D7E">
        <w:t>spr</w:t>
      </w:r>
      <w:r w:rsidRPr="00342D7E">
        <w:t>awie uzupełniania luk</w:t>
      </w:r>
      <w:r w:rsidR="00342D7E" w:rsidRPr="00342D7E">
        <w:t xml:space="preserve"> w</w:t>
      </w:r>
      <w:r w:rsidR="00342D7E">
        <w:t> </w:t>
      </w:r>
      <w:r w:rsidR="00342D7E" w:rsidRPr="00342D7E">
        <w:t>dan</w:t>
      </w:r>
      <w:r w:rsidRPr="00342D7E">
        <w:t>ych dotyczących sektora nieruchomości.</w:t>
      </w:r>
    </w:p>
    <w:p w:rsidR="00D35B0C" w:rsidRPr="00342D7E" w:rsidRDefault="002B13B4">
      <w:pPr>
        <w:pStyle w:val="Baseparagraphnumbered"/>
        <w:numPr>
          <w:ilvl w:val="0"/>
          <w:numId w:val="0"/>
        </w:numPr>
        <w:tabs>
          <w:tab w:val="left" w:pos="851"/>
        </w:tabs>
        <w:ind w:left="709" w:hanging="357"/>
      </w:pPr>
      <w:r w:rsidRPr="00342D7E">
        <w:t>239xi.</w:t>
      </w:r>
      <w:r w:rsidRPr="00342D7E">
        <w:tab/>
        <w:t>Informacje dotyczące otrzymanych zabezpieczeń</w:t>
      </w:r>
      <w:r w:rsidR="00342D7E" w:rsidRPr="00342D7E">
        <w:t xml:space="preserve"> i</w:t>
      </w:r>
      <w:r w:rsidR="00342D7E">
        <w:t> </w:t>
      </w:r>
      <w:r w:rsidR="00342D7E" w:rsidRPr="00342D7E">
        <w:t>gwa</w:t>
      </w:r>
      <w:r w:rsidRPr="00342D7E">
        <w:t>rancji finansowych</w:t>
      </w:r>
      <w:r w:rsidR="00342D7E" w:rsidRPr="00342D7E">
        <w:t xml:space="preserve"> w</w:t>
      </w:r>
      <w:r w:rsidR="00342D7E">
        <w:t> </w:t>
      </w:r>
      <w:r w:rsidR="00342D7E" w:rsidRPr="00342D7E">
        <w:t>odn</w:t>
      </w:r>
      <w:r w:rsidRPr="00342D7E">
        <w:t>iesieniu do kredytów zgłasza się zgodnie</w:t>
      </w:r>
      <w:r w:rsidR="00342D7E" w:rsidRPr="00342D7E">
        <w:t xml:space="preserve"> z</w:t>
      </w:r>
      <w:r w:rsidR="00342D7E">
        <w:t> </w:t>
      </w:r>
      <w:r w:rsidR="00342D7E" w:rsidRPr="00342D7E">
        <w:t>pkt </w:t>
      </w:r>
      <w:r w:rsidRPr="00342D7E">
        <w:t>239 niniejszej części</w:t>
      </w:r>
      <w:r w:rsidR="00342D7E" w:rsidRPr="00342D7E">
        <w:t>. W</w:t>
      </w:r>
      <w:r w:rsidR="00342D7E">
        <w:t> </w:t>
      </w:r>
      <w:r w:rsidR="00342D7E" w:rsidRPr="00342D7E">
        <w:t>rez</w:t>
      </w:r>
      <w:r w:rsidRPr="00342D7E">
        <w:t>ultacie suma kwot zgłoszonych</w:t>
      </w:r>
      <w:r w:rsidR="00342D7E" w:rsidRPr="00342D7E">
        <w:t xml:space="preserve"> w</w:t>
      </w:r>
      <w:r w:rsidR="00342D7E">
        <w:t> </w:t>
      </w:r>
      <w:r w:rsidR="00342D7E" w:rsidRPr="00342D7E">
        <w:t>odn</w:t>
      </w:r>
      <w:r w:rsidRPr="00342D7E">
        <w:t>iesieniu do zabezpieczeń</w:t>
      </w:r>
      <w:r w:rsidR="00342D7E" w:rsidRPr="00342D7E">
        <w:t xml:space="preserve"> i</w:t>
      </w:r>
      <w:r w:rsidR="00342D7E">
        <w:t> </w:t>
      </w:r>
      <w:r w:rsidR="00342D7E" w:rsidRPr="00342D7E">
        <w:t>gwa</w:t>
      </w:r>
      <w:r w:rsidRPr="00342D7E">
        <w:t>rancji razem jest ograniczona do wartości bilansowej powiązanej ekspozycji.</w:t>
      </w:r>
    </w:p>
    <w:p w:rsidR="00D35B0C" w:rsidRPr="00342D7E" w:rsidRDefault="00A834F1">
      <w:pPr>
        <w:pStyle w:val="subtitlenumbered"/>
        <w:jc w:val="both"/>
      </w:pPr>
      <w:bookmarkStart w:id="58" w:name="_Toc31019160"/>
      <w:r w:rsidRPr="00342D7E">
        <w:t>Ekspozycje restrukturyzowane (19)</w:t>
      </w:r>
      <w:bookmarkEnd w:id="58"/>
    </w:p>
    <w:p w:rsidR="00D35B0C" w:rsidRPr="00342D7E" w:rsidRDefault="00A834F1">
      <w:pPr>
        <w:pStyle w:val="Baseparagraphnumbered"/>
        <w:tabs>
          <w:tab w:val="left" w:pos="851"/>
        </w:tabs>
        <w:ind w:left="709"/>
      </w:pPr>
      <w:r w:rsidRPr="00342D7E">
        <w:t>Do celów wzoru 19 ekspozycje restrukturyzowane są umowami dłużnymi,</w:t>
      </w:r>
      <w:r w:rsidR="00342D7E" w:rsidRPr="00342D7E">
        <w:t xml:space="preserve"> w</w:t>
      </w:r>
      <w:r w:rsidR="00342D7E">
        <w:t> </w:t>
      </w:r>
      <w:r w:rsidR="00342D7E" w:rsidRPr="00342D7E">
        <w:t>odn</w:t>
      </w:r>
      <w:r w:rsidRPr="00342D7E">
        <w:t>iesieniu do których podjęto działania restrukturyzacyjne. Działania restrukturyzacyjne obejmują ugody</w:t>
      </w:r>
      <w:r w:rsidR="00342D7E" w:rsidRPr="00342D7E">
        <w:t xml:space="preserve"> z</w:t>
      </w:r>
      <w:r w:rsidR="00342D7E">
        <w:t> </w:t>
      </w:r>
      <w:r w:rsidR="00342D7E" w:rsidRPr="00342D7E">
        <w:t>dłu</w:t>
      </w:r>
      <w:r w:rsidRPr="00342D7E">
        <w:t>żnikiem, który doświadcza lub wkrótce zacznie doświadczać trudności</w:t>
      </w:r>
      <w:r w:rsidR="00342D7E" w:rsidRPr="00342D7E">
        <w:t xml:space="preserve"> z</w:t>
      </w:r>
      <w:r w:rsidR="00342D7E">
        <w:t> </w:t>
      </w:r>
      <w:r w:rsidR="00342D7E" w:rsidRPr="00342D7E">
        <w:t>wyw</w:t>
      </w:r>
      <w:r w:rsidRPr="00342D7E">
        <w:t>iązywaniem się ze swoich zobowiązań finansowych („trudności finansowe”).</w:t>
      </w:r>
    </w:p>
    <w:p w:rsidR="00D35B0C" w:rsidRPr="00342D7E" w:rsidRDefault="00A834F1">
      <w:pPr>
        <w:pStyle w:val="Baseparagraphnumbered"/>
        <w:tabs>
          <w:tab w:val="left" w:pos="851"/>
        </w:tabs>
        <w:ind w:left="709"/>
      </w:pPr>
      <w:r w:rsidRPr="00342D7E">
        <w:t>Do celów wzoru 19 ugoda może wiązać się ze stratą dla kredytodawcy</w:t>
      </w:r>
      <w:r w:rsidR="00342D7E" w:rsidRPr="00342D7E">
        <w:t xml:space="preserve"> i</w:t>
      </w:r>
      <w:r w:rsidR="00342D7E">
        <w:t> </w:t>
      </w:r>
      <w:r w:rsidR="00342D7E" w:rsidRPr="00342D7E">
        <w:t>dot</w:t>
      </w:r>
      <w:r w:rsidRPr="00342D7E">
        <w:t>yczy jednego</w:t>
      </w:r>
      <w:r w:rsidR="00342D7E" w:rsidRPr="00342D7E">
        <w:t xml:space="preserve"> z</w:t>
      </w:r>
      <w:r w:rsidR="00342D7E">
        <w:t> </w:t>
      </w:r>
      <w:r w:rsidR="00342D7E" w:rsidRPr="00342D7E">
        <w:t>pon</w:t>
      </w:r>
      <w:r w:rsidRPr="00342D7E">
        <w:t>iższych działań:</w:t>
      </w:r>
    </w:p>
    <w:p w:rsidR="00D35B0C" w:rsidRPr="00342D7E" w:rsidRDefault="00A834F1" w:rsidP="00056B6F">
      <w:pPr>
        <w:pStyle w:val="Text1"/>
        <w:numPr>
          <w:ilvl w:val="1"/>
          <w:numId w:val="68"/>
        </w:numPr>
        <w:ind w:left="1134"/>
      </w:pPr>
      <w:proofErr w:type="gramStart"/>
      <w:r w:rsidRPr="00342D7E">
        <w:t>zmiany</w:t>
      </w:r>
      <w:proofErr w:type="gramEnd"/>
      <w:r w:rsidRPr="00342D7E">
        <w:t xml:space="preserve"> warunków umowy,</w:t>
      </w:r>
      <w:r w:rsidR="00342D7E" w:rsidRPr="00342D7E">
        <w:t xml:space="preserve"> z</w:t>
      </w:r>
      <w:r w:rsidR="00342D7E">
        <w:t> </w:t>
      </w:r>
      <w:r w:rsidR="00342D7E" w:rsidRPr="00342D7E">
        <w:t>któ</w:t>
      </w:r>
      <w:r w:rsidRPr="00342D7E">
        <w:t>rych – jak się uznaje – dłużnik nie może się wywiązać</w:t>
      </w:r>
      <w:r w:rsidR="00342D7E" w:rsidRPr="00342D7E">
        <w:t xml:space="preserve"> z</w:t>
      </w:r>
      <w:r w:rsidR="00342D7E">
        <w:t> </w:t>
      </w:r>
      <w:r w:rsidR="00342D7E" w:rsidRPr="00342D7E">
        <w:t>pow</w:t>
      </w:r>
      <w:r w:rsidRPr="00342D7E">
        <w:t>odu swoich trudności finansowych („dług zagrożony”), prowadzących do niedostatecznej zdolności do obsługi długu,</w:t>
      </w:r>
      <w:r w:rsidR="00342D7E" w:rsidRPr="00342D7E">
        <w:t xml:space="preserve"> a</w:t>
      </w:r>
      <w:r w:rsidR="00342D7E">
        <w:t> </w:t>
      </w:r>
      <w:r w:rsidR="00342D7E" w:rsidRPr="00342D7E">
        <w:t>któ</w:t>
      </w:r>
      <w:r w:rsidRPr="00342D7E">
        <w:t>ra to zmiana nie miałaby miejsca, jeżeli dłużnik nie doświadczałby trudności finansowych;</w:t>
      </w:r>
    </w:p>
    <w:p w:rsidR="00D35B0C" w:rsidRPr="00342D7E" w:rsidRDefault="00A834F1" w:rsidP="00056B6F">
      <w:pPr>
        <w:pStyle w:val="Text1"/>
        <w:numPr>
          <w:ilvl w:val="1"/>
          <w:numId w:val="68"/>
        </w:numPr>
        <w:ind w:left="1134"/>
      </w:pPr>
      <w:proofErr w:type="gramStart"/>
      <w:r w:rsidRPr="00342D7E">
        <w:t>całkowitego</w:t>
      </w:r>
      <w:proofErr w:type="gramEnd"/>
      <w:r w:rsidRPr="00342D7E">
        <w:t xml:space="preserve"> lub częściowego refinansowania zagrożonej umowy dłużnej, którego by nie przyznano, gdyby dłużnik nie doświadczał trudności finansowych.</w:t>
      </w:r>
    </w:p>
    <w:p w:rsidR="00D35B0C" w:rsidRPr="00342D7E" w:rsidRDefault="00A834F1">
      <w:pPr>
        <w:pStyle w:val="Baseparagraphnumbered"/>
        <w:tabs>
          <w:tab w:val="left" w:pos="851"/>
        </w:tabs>
        <w:ind w:left="709"/>
      </w:pPr>
      <w:r w:rsidRPr="00342D7E">
        <w:t>Dowody świadczące</w:t>
      </w:r>
      <w:r w:rsidR="00342D7E" w:rsidRPr="00342D7E">
        <w:t xml:space="preserve"> o</w:t>
      </w:r>
      <w:r w:rsidR="00342D7E">
        <w:t> </w:t>
      </w:r>
      <w:r w:rsidR="00342D7E" w:rsidRPr="00342D7E">
        <w:t>ugo</w:t>
      </w:r>
      <w:r w:rsidRPr="00342D7E">
        <w:t>dzie obejmują przynajmniej którąkolwiek</w:t>
      </w:r>
      <w:r w:rsidR="00342D7E" w:rsidRPr="00342D7E">
        <w:t xml:space="preserve"> z</w:t>
      </w:r>
      <w:r w:rsidR="00342D7E">
        <w:t> </w:t>
      </w:r>
      <w:r w:rsidR="00342D7E" w:rsidRPr="00342D7E">
        <w:t>pon</w:t>
      </w:r>
      <w:r w:rsidRPr="00342D7E">
        <w:t>iższych pozycji:</w:t>
      </w:r>
    </w:p>
    <w:p w:rsidR="00D35B0C" w:rsidRPr="00342D7E" w:rsidRDefault="00A834F1" w:rsidP="00056B6F">
      <w:pPr>
        <w:pStyle w:val="Text1"/>
        <w:numPr>
          <w:ilvl w:val="0"/>
          <w:numId w:val="69"/>
        </w:numPr>
        <w:ind w:left="1134"/>
      </w:pPr>
      <w:proofErr w:type="gramStart"/>
      <w:r w:rsidRPr="00342D7E">
        <w:t>zmianę</w:t>
      </w:r>
      <w:proofErr w:type="gramEnd"/>
      <w:r w:rsidRPr="00342D7E">
        <w:t xml:space="preserve"> dotychczasowych warunków umowy na korzyść dłużnika;</w:t>
      </w:r>
    </w:p>
    <w:p w:rsidR="00D35B0C" w:rsidRPr="00342D7E" w:rsidRDefault="00A834F1" w:rsidP="00056B6F">
      <w:pPr>
        <w:pStyle w:val="Text1"/>
        <w:numPr>
          <w:ilvl w:val="0"/>
          <w:numId w:val="69"/>
        </w:numPr>
        <w:ind w:left="1134"/>
      </w:pPr>
      <w:proofErr w:type="gramStart"/>
      <w:r w:rsidRPr="00342D7E">
        <w:t>zawarcie</w:t>
      </w:r>
      <w:proofErr w:type="gramEnd"/>
      <w:r w:rsidR="00342D7E" w:rsidRPr="00342D7E">
        <w:t xml:space="preserve"> w</w:t>
      </w:r>
      <w:r w:rsidR="00342D7E">
        <w:t> </w:t>
      </w:r>
      <w:r w:rsidR="00342D7E" w:rsidRPr="00342D7E">
        <w:t>zmi</w:t>
      </w:r>
      <w:r w:rsidRPr="00342D7E">
        <w:t>enionej umowie bardziej korzystnych warunków niż warunki, które uzyskaliby od tej samej instytucji</w:t>
      </w:r>
      <w:r w:rsidR="00342D7E" w:rsidRPr="00342D7E">
        <w:t xml:space="preserve"> w</w:t>
      </w:r>
      <w:r w:rsidR="00342D7E">
        <w:t> </w:t>
      </w:r>
      <w:r w:rsidR="00342D7E" w:rsidRPr="00342D7E">
        <w:t>cza</w:t>
      </w:r>
      <w:r w:rsidRPr="00342D7E">
        <w:t>sie zawarcia tych bardziej korzystnych warunków inni dłużnicy</w:t>
      </w:r>
      <w:r w:rsidR="00342D7E" w:rsidRPr="00342D7E">
        <w:t xml:space="preserve"> o</w:t>
      </w:r>
      <w:r w:rsidR="00342D7E">
        <w:t> </w:t>
      </w:r>
      <w:r w:rsidR="00342D7E" w:rsidRPr="00342D7E">
        <w:t>pod</w:t>
      </w:r>
      <w:r w:rsidRPr="00342D7E">
        <w:t xml:space="preserve">obnym profilu ryzyka. </w:t>
      </w:r>
    </w:p>
    <w:p w:rsidR="00D35B0C" w:rsidRPr="00342D7E" w:rsidRDefault="00A834F1">
      <w:pPr>
        <w:pStyle w:val="Baseparagraphnumbered"/>
        <w:tabs>
          <w:tab w:val="left" w:pos="851"/>
        </w:tabs>
        <w:ind w:left="709"/>
      </w:pPr>
      <w:r w:rsidRPr="00342D7E">
        <w:t>Skorzystanie</w:t>
      </w:r>
      <w:r w:rsidR="00342D7E" w:rsidRPr="00342D7E">
        <w:t xml:space="preserve"> z</w:t>
      </w:r>
      <w:r w:rsidR="00342D7E">
        <w:t> </w:t>
      </w:r>
      <w:r w:rsidR="00342D7E" w:rsidRPr="00342D7E">
        <w:t>kla</w:t>
      </w:r>
      <w:r w:rsidRPr="00342D7E">
        <w:t>uzul, które – jeśli dłużnik korzysta</w:t>
      </w:r>
      <w:r w:rsidR="00342D7E" w:rsidRPr="00342D7E">
        <w:t xml:space="preserve"> z</w:t>
      </w:r>
      <w:r w:rsidR="00342D7E">
        <w:t> </w:t>
      </w:r>
      <w:r w:rsidR="00342D7E" w:rsidRPr="00342D7E">
        <w:t>nic</w:t>
      </w:r>
      <w:r w:rsidRPr="00342D7E">
        <w:t xml:space="preserve">h według swojego uznania – umożliwiają mu zmianę warunków umowy („wbudowane klauzule </w:t>
      </w:r>
      <w:r w:rsidRPr="00342D7E">
        <w:lastRenderedPageBreak/>
        <w:t>restrukturyzacyjne”), uznaje się za ugodę, jeżeli instytucja zezwala na skorzystanie</w:t>
      </w:r>
      <w:r w:rsidR="00342D7E" w:rsidRPr="00342D7E">
        <w:t xml:space="preserve"> z</w:t>
      </w:r>
      <w:r w:rsidR="00342D7E">
        <w:t> </w:t>
      </w:r>
      <w:r w:rsidR="00342D7E" w:rsidRPr="00342D7E">
        <w:t>tyc</w:t>
      </w:r>
      <w:r w:rsidRPr="00342D7E">
        <w:t>h klauzul</w:t>
      </w:r>
      <w:r w:rsidR="00342D7E" w:rsidRPr="00342D7E">
        <w:t xml:space="preserve"> i</w:t>
      </w:r>
      <w:r w:rsidR="00342D7E">
        <w:t> </w:t>
      </w:r>
      <w:r w:rsidR="00342D7E" w:rsidRPr="00342D7E">
        <w:t>stw</w:t>
      </w:r>
      <w:r w:rsidRPr="00342D7E">
        <w:t xml:space="preserve">ierdza, że dłużnik doświadcza trudności finansowych. </w:t>
      </w:r>
    </w:p>
    <w:p w:rsidR="00D35B0C" w:rsidRPr="00342D7E" w:rsidRDefault="00A834F1">
      <w:pPr>
        <w:pStyle w:val="Baseparagraphnumbered"/>
        <w:tabs>
          <w:tab w:val="left" w:pos="851"/>
        </w:tabs>
        <w:ind w:left="709"/>
      </w:pPr>
      <w:r w:rsidRPr="00342D7E">
        <w:t>Do celów załączników III i IV oraz niniejszego załącznika „refinansowanie” oznacza korzystanie</w:t>
      </w:r>
      <w:r w:rsidR="00342D7E" w:rsidRPr="00342D7E">
        <w:t xml:space="preserve"> z</w:t>
      </w:r>
      <w:r w:rsidR="00342D7E">
        <w:t> </w:t>
      </w:r>
      <w:r w:rsidR="00342D7E" w:rsidRPr="00342D7E">
        <w:t>umó</w:t>
      </w:r>
      <w:r w:rsidRPr="00342D7E">
        <w:t>w dłużnych</w:t>
      </w:r>
      <w:r w:rsidR="00342D7E" w:rsidRPr="00342D7E">
        <w:t xml:space="preserve"> w</w:t>
      </w:r>
      <w:r w:rsidR="00342D7E">
        <w:t> </w:t>
      </w:r>
      <w:r w:rsidR="00342D7E" w:rsidRPr="00342D7E">
        <w:t>cel</w:t>
      </w:r>
      <w:r w:rsidRPr="00342D7E">
        <w:t>u zapewnienia całkowitej lub częściowej spłaty innych umów dłużnych,</w:t>
      </w:r>
      <w:r w:rsidR="00342D7E" w:rsidRPr="00342D7E">
        <w:t xml:space="preserve"> z</w:t>
      </w:r>
      <w:r w:rsidR="00342D7E">
        <w:t> </w:t>
      </w:r>
      <w:r w:rsidR="00342D7E" w:rsidRPr="00342D7E">
        <w:t>któ</w:t>
      </w:r>
      <w:r w:rsidRPr="00342D7E">
        <w:t>rych warunków dłużnik nie jest</w:t>
      </w:r>
      <w:r w:rsidR="00342D7E" w:rsidRPr="00342D7E">
        <w:t xml:space="preserve"> w</w:t>
      </w:r>
      <w:r w:rsidR="00342D7E">
        <w:t> </w:t>
      </w:r>
      <w:r w:rsidR="00342D7E" w:rsidRPr="00342D7E">
        <w:t>sta</w:t>
      </w:r>
      <w:r w:rsidRPr="00342D7E">
        <w:t xml:space="preserve">nie się wywiązać. </w:t>
      </w:r>
    </w:p>
    <w:p w:rsidR="00D35B0C" w:rsidRPr="00342D7E" w:rsidRDefault="00A834F1">
      <w:pPr>
        <w:pStyle w:val="Baseparagraphnumbered"/>
        <w:tabs>
          <w:tab w:val="left" w:pos="851"/>
        </w:tabs>
        <w:ind w:left="709"/>
      </w:pPr>
      <w:r w:rsidRPr="00342D7E">
        <w:t xml:space="preserve">Do celów wzoru 19 „dłużnik” obejmuje wszystkie podmioty prawne należące do tej samej grupy co dłużnik, które są objęte rachunkowym zakresem konsolidacji, oraz osoby fizyczne, które kontrolują tę grupę. </w:t>
      </w:r>
    </w:p>
    <w:p w:rsidR="00D35B0C" w:rsidRPr="00342D7E" w:rsidRDefault="00A834F1">
      <w:pPr>
        <w:pStyle w:val="Baseparagraphnumbered"/>
        <w:tabs>
          <w:tab w:val="left" w:pos="851"/>
        </w:tabs>
        <w:ind w:left="709"/>
      </w:pPr>
      <w:r w:rsidRPr="00342D7E">
        <w:t>Do celów wzoru 19 „dług” obejmuje kredyty</w:t>
      </w:r>
      <w:r w:rsidR="00342D7E" w:rsidRPr="00342D7E">
        <w:t xml:space="preserve"> i</w:t>
      </w:r>
      <w:r w:rsidR="00342D7E">
        <w:t> </w:t>
      </w:r>
      <w:r w:rsidR="00342D7E" w:rsidRPr="00342D7E">
        <w:t>zal</w:t>
      </w:r>
      <w:r w:rsidRPr="00342D7E">
        <w:t>iczki (w tym również środki</w:t>
      </w:r>
      <w:r w:rsidR="00342D7E" w:rsidRPr="00342D7E">
        <w:t xml:space="preserve"> w</w:t>
      </w:r>
      <w:r w:rsidR="00342D7E">
        <w:t> </w:t>
      </w:r>
      <w:r w:rsidR="00342D7E" w:rsidRPr="00342D7E">
        <w:t>ban</w:t>
      </w:r>
      <w:r w:rsidRPr="00342D7E">
        <w:t>kach centralnych</w:t>
      </w:r>
      <w:r w:rsidR="00342D7E" w:rsidRPr="00342D7E">
        <w:t xml:space="preserve"> i</w:t>
      </w:r>
      <w:r w:rsidR="00342D7E">
        <w:t> </w:t>
      </w:r>
      <w:r w:rsidR="00342D7E" w:rsidRPr="00342D7E">
        <w:t>inn</w:t>
      </w:r>
      <w:r w:rsidRPr="00342D7E">
        <w:t>e depozyty płatne na żądanie), dłużne papiery wartościowe oraz odwołalne</w:t>
      </w:r>
      <w:r w:rsidR="00342D7E" w:rsidRPr="00342D7E">
        <w:t xml:space="preserve"> i</w:t>
      </w:r>
      <w:r w:rsidR="00342D7E">
        <w:t> </w:t>
      </w:r>
      <w:r w:rsidR="00342D7E" w:rsidRPr="00342D7E">
        <w:t>nie</w:t>
      </w:r>
      <w:r w:rsidRPr="00342D7E">
        <w:t>odwołalne udzielone zobowiązania do udzielenia pożyczki,</w:t>
      </w:r>
      <w:r w:rsidR="00342D7E" w:rsidRPr="00342D7E">
        <w:t xml:space="preserve"> w</w:t>
      </w:r>
      <w:r w:rsidR="00342D7E">
        <w:t> </w:t>
      </w:r>
      <w:r w:rsidR="00342D7E" w:rsidRPr="00342D7E">
        <w:t>tym</w:t>
      </w:r>
      <w:r w:rsidRPr="00342D7E">
        <w:t xml:space="preserve"> te zobowiązania do udzielenia pożyczki, które wyznaczono jako wyceniane według wartości godziwej przez wynik finansowy, które są aktywami na dzień sprawozdawczy. Z „długu” wyłączone są ekspozycje przeznaczone do obrotu. </w:t>
      </w:r>
    </w:p>
    <w:p w:rsidR="00D35B0C" w:rsidRPr="00342D7E" w:rsidRDefault="00A834F1">
      <w:pPr>
        <w:pStyle w:val="Baseparagraphnumbered"/>
        <w:tabs>
          <w:tab w:val="left" w:pos="851"/>
        </w:tabs>
        <w:ind w:left="709"/>
      </w:pPr>
      <w:r w:rsidRPr="00342D7E">
        <w:t>„Dług” obejmuje również kredyty</w:t>
      </w:r>
      <w:r w:rsidR="00342D7E" w:rsidRPr="00342D7E">
        <w:t xml:space="preserve"> i</w:t>
      </w:r>
      <w:r w:rsidR="00342D7E">
        <w:t> </w:t>
      </w:r>
      <w:r w:rsidR="00342D7E" w:rsidRPr="00342D7E">
        <w:t>zal</w:t>
      </w:r>
      <w:r w:rsidRPr="00342D7E">
        <w:t>iczki oraz dłużne papiery wartościowe sklasyfikowane jako aktywa trwałe,</w:t>
      </w:r>
      <w:r w:rsidR="00342D7E" w:rsidRPr="00342D7E">
        <w:t xml:space="preserve"> a</w:t>
      </w:r>
      <w:r w:rsidR="00342D7E">
        <w:t> </w:t>
      </w:r>
      <w:r w:rsidR="00342D7E" w:rsidRPr="00342D7E">
        <w:t>tak</w:t>
      </w:r>
      <w:r w:rsidRPr="00342D7E">
        <w:t>że grupy do zbycia sklasyfikowane jako przeznaczone do sprzedaży zgodnie z MSSF 5.</w:t>
      </w:r>
    </w:p>
    <w:p w:rsidR="00D35B0C" w:rsidRPr="00342D7E" w:rsidRDefault="00A834F1">
      <w:pPr>
        <w:pStyle w:val="Baseparagraphnumbered"/>
        <w:tabs>
          <w:tab w:val="left" w:pos="851"/>
        </w:tabs>
        <w:ind w:left="709"/>
      </w:pPr>
      <w:r w:rsidRPr="00342D7E">
        <w:t>Do celów wzoru 19 „ekspozycja” oznacza to samo co „dług”</w:t>
      </w:r>
      <w:r w:rsidR="00342D7E" w:rsidRPr="00342D7E">
        <w:t xml:space="preserve"> w</w:t>
      </w:r>
      <w:r w:rsidR="00342D7E">
        <w:t> </w:t>
      </w:r>
      <w:r w:rsidR="00342D7E" w:rsidRPr="00342D7E">
        <w:t>pkt </w:t>
      </w:r>
      <w:r w:rsidRPr="00342D7E">
        <w:t>246</w:t>
      </w:r>
      <w:r w:rsidR="00342D7E" w:rsidRPr="00342D7E">
        <w:t xml:space="preserve"> i</w:t>
      </w:r>
      <w:r w:rsidR="00342D7E">
        <w:t> </w:t>
      </w:r>
      <w:r w:rsidR="00342D7E" w:rsidRPr="00342D7E">
        <w:t>2</w:t>
      </w:r>
      <w:r w:rsidRPr="00342D7E">
        <w:t xml:space="preserve">47 niniejszej części. </w:t>
      </w:r>
    </w:p>
    <w:p w:rsidR="00D35B0C" w:rsidRPr="00342D7E" w:rsidRDefault="00A834F1">
      <w:pPr>
        <w:pStyle w:val="Baseparagraphnumbered"/>
        <w:tabs>
          <w:tab w:val="left" w:pos="851"/>
        </w:tabs>
        <w:ind w:left="709"/>
      </w:pPr>
      <w:r w:rsidRPr="00342D7E">
        <w:t>Portfele księgowe przewidziane w MSSF</w:t>
      </w:r>
      <w:r w:rsidR="00342D7E" w:rsidRPr="00342D7E">
        <w:t xml:space="preserve"> i</w:t>
      </w:r>
      <w:r w:rsidR="00342D7E">
        <w:t> </w:t>
      </w:r>
      <w:r w:rsidR="00342D7E" w:rsidRPr="00342D7E">
        <w:t>wym</w:t>
      </w:r>
      <w:r w:rsidRPr="00342D7E">
        <w:t>ienione</w:t>
      </w:r>
      <w:r w:rsidR="00342D7E" w:rsidRPr="00342D7E">
        <w:t xml:space="preserve"> w</w:t>
      </w:r>
      <w:r w:rsidR="00342D7E">
        <w:t> </w:t>
      </w:r>
      <w:r w:rsidR="00342D7E" w:rsidRPr="00342D7E">
        <w:t>czę</w:t>
      </w:r>
      <w:r w:rsidRPr="00342D7E">
        <w:t>ści 1 pkt</w:t>
      </w:r>
      <w:r w:rsidR="00342D7E" w:rsidRPr="00342D7E">
        <w:t> </w:t>
      </w:r>
      <w:r w:rsidRPr="00342D7E">
        <w:t>15 niniejszego załącznika oraz przewidziane</w:t>
      </w:r>
      <w:r w:rsidR="00342D7E" w:rsidRPr="00342D7E">
        <w:t xml:space="preserve"> w</w:t>
      </w:r>
      <w:r w:rsidR="00342D7E">
        <w:t> </w:t>
      </w:r>
      <w:r w:rsidR="00342D7E" w:rsidRPr="00342D7E">
        <w:t>odp</w:t>
      </w:r>
      <w:r w:rsidRPr="00342D7E">
        <w:t>owiednich krajowych ogólnie przyjętych zasadach rachunkowości opartych na BAD</w:t>
      </w:r>
      <w:r w:rsidR="00342D7E" w:rsidRPr="00342D7E">
        <w:t xml:space="preserve"> i</w:t>
      </w:r>
      <w:r w:rsidR="00342D7E">
        <w:t> </w:t>
      </w:r>
      <w:r w:rsidR="00342D7E" w:rsidRPr="00342D7E">
        <w:t>wym</w:t>
      </w:r>
      <w:r w:rsidRPr="00342D7E">
        <w:t>ienione</w:t>
      </w:r>
      <w:r w:rsidR="00342D7E" w:rsidRPr="00342D7E">
        <w:t xml:space="preserve"> w</w:t>
      </w:r>
      <w:r w:rsidR="00342D7E">
        <w:t> </w:t>
      </w:r>
      <w:r w:rsidR="00342D7E" w:rsidRPr="00342D7E">
        <w:t>czę</w:t>
      </w:r>
      <w:r w:rsidRPr="00342D7E">
        <w:t>ści 1 pkt</w:t>
      </w:r>
      <w:r w:rsidR="00342D7E" w:rsidRPr="00342D7E">
        <w:t> </w:t>
      </w:r>
      <w:r w:rsidRPr="00342D7E">
        <w:t>16 niniejszego załącznika zgłasza się we wzorze 19</w:t>
      </w:r>
      <w:r w:rsidR="00342D7E" w:rsidRPr="00342D7E">
        <w:t xml:space="preserve"> w</w:t>
      </w:r>
      <w:r w:rsidR="00342D7E">
        <w:t> </w:t>
      </w:r>
      <w:r w:rsidR="00342D7E" w:rsidRPr="00342D7E">
        <w:t>spo</w:t>
      </w:r>
      <w:r w:rsidRPr="00342D7E">
        <w:t>sób określony</w:t>
      </w:r>
      <w:r w:rsidR="00342D7E" w:rsidRPr="00342D7E">
        <w:t xml:space="preserve"> w</w:t>
      </w:r>
      <w:r w:rsidR="00342D7E">
        <w:t> </w:t>
      </w:r>
      <w:r w:rsidR="00342D7E" w:rsidRPr="00342D7E">
        <w:t>pkt </w:t>
      </w:r>
      <w:r w:rsidRPr="00342D7E">
        <w:t xml:space="preserve">233 niniejszej części. </w:t>
      </w:r>
    </w:p>
    <w:p w:rsidR="00D35B0C" w:rsidRPr="00342D7E" w:rsidRDefault="00A834F1">
      <w:pPr>
        <w:pStyle w:val="Baseparagraphnumbered"/>
        <w:tabs>
          <w:tab w:val="left" w:pos="851"/>
        </w:tabs>
        <w:ind w:left="709"/>
      </w:pPr>
      <w:r w:rsidRPr="00342D7E">
        <w:t>Do celów wzoru 19 „instytucja” oznacza instytucję, która zastosowała działania restrukturyzacyjne.</w:t>
      </w:r>
    </w:p>
    <w:p w:rsidR="00D35B0C" w:rsidRPr="00342D7E" w:rsidRDefault="00A834F1">
      <w:pPr>
        <w:pStyle w:val="Baseparagraphnumbered"/>
        <w:tabs>
          <w:tab w:val="left" w:pos="851"/>
        </w:tabs>
        <w:ind w:left="709"/>
      </w:pPr>
      <w:r w:rsidRPr="00342D7E">
        <w:t>W odniesieniu do „długu” we wzorze 19 „wartość bilansową brutto” zgłasza się zgodnie</w:t>
      </w:r>
      <w:r w:rsidR="00342D7E" w:rsidRPr="00342D7E">
        <w:t xml:space="preserve"> z</w:t>
      </w:r>
      <w:r w:rsidR="00342D7E">
        <w:t> </w:t>
      </w:r>
      <w:r w:rsidR="00342D7E" w:rsidRPr="00342D7E">
        <w:t>czę</w:t>
      </w:r>
      <w:r w:rsidRPr="00342D7E">
        <w:t>ścią 1 pkt</w:t>
      </w:r>
      <w:r w:rsidR="00342D7E" w:rsidRPr="00342D7E">
        <w:t> </w:t>
      </w:r>
      <w:r w:rsidRPr="00342D7E">
        <w:t>34 niniejszego załącznika</w:t>
      </w:r>
      <w:r w:rsidR="00342D7E" w:rsidRPr="00342D7E">
        <w:t>. W</w:t>
      </w:r>
      <w:r w:rsidR="00342D7E">
        <w:t> </w:t>
      </w:r>
      <w:r w:rsidR="00342D7E" w:rsidRPr="00342D7E">
        <w:t>odn</w:t>
      </w:r>
      <w:r w:rsidRPr="00342D7E">
        <w:t>iesieniu do udzielonych zobowiązań do udzielenia pożyczki będących ekspozycjami pozabilansowymi zgłasza się kwotę nominalną, jak określono</w:t>
      </w:r>
      <w:r w:rsidR="00342D7E" w:rsidRPr="00342D7E">
        <w:t xml:space="preserve"> w</w:t>
      </w:r>
      <w:r w:rsidR="00342D7E">
        <w:t> </w:t>
      </w:r>
      <w:r w:rsidR="00342D7E" w:rsidRPr="00342D7E">
        <w:t>pkt </w:t>
      </w:r>
      <w:r w:rsidRPr="00342D7E">
        <w:t>118 niniejszej części</w:t>
      </w:r>
      <w:r w:rsidR="00342D7E" w:rsidRPr="00342D7E">
        <w:t xml:space="preserve"> w</w:t>
      </w:r>
      <w:r w:rsidR="00342D7E">
        <w:t> </w:t>
      </w:r>
      <w:r w:rsidR="00342D7E" w:rsidRPr="00342D7E">
        <w:t>nin</w:t>
      </w:r>
      <w:r w:rsidRPr="00342D7E">
        <w:t>iejszym załączniku.</w:t>
      </w:r>
    </w:p>
    <w:p w:rsidR="00D35B0C" w:rsidRPr="00342D7E" w:rsidRDefault="00A834F1">
      <w:pPr>
        <w:pStyle w:val="Baseparagraphnumbered"/>
        <w:tabs>
          <w:tab w:val="left" w:pos="851"/>
        </w:tabs>
        <w:ind w:left="709"/>
      </w:pPr>
      <w:r w:rsidRPr="00342D7E">
        <w:t>Jeżeli zawarto ugodę, ekspozycje uznaje się za restrukturyzowane, niezależnie od istnienia przeterminowanych kwot lub klasyfikacji ekspozycji jako ekspozycji dotkniętych utratą wartości zgodnie</w:t>
      </w:r>
      <w:r w:rsidR="00342D7E" w:rsidRPr="00342D7E">
        <w:t xml:space="preserve"> z</w:t>
      </w:r>
      <w:r w:rsidR="00342D7E">
        <w:t> </w:t>
      </w:r>
      <w:r w:rsidR="00342D7E" w:rsidRPr="00342D7E">
        <w:t>maj</w:t>
      </w:r>
      <w:r w:rsidRPr="00342D7E">
        <w:t>ącymi zastosowanie standardami rachunkowości lub jako ekspozycji, których dotyczy niewykonanie zobowiązania zgodnie</w:t>
      </w:r>
      <w:r w:rsidR="00342D7E" w:rsidRPr="00342D7E">
        <w:t xml:space="preserve"> z</w:t>
      </w:r>
      <w:r w:rsidR="00342D7E">
        <w:t> </w:t>
      </w:r>
      <w:r w:rsidR="00342D7E" w:rsidRPr="00342D7E">
        <w:t>art</w:t>
      </w:r>
      <w:r w:rsidRPr="00342D7E">
        <w:t>.</w:t>
      </w:r>
      <w:r w:rsidR="00342D7E" w:rsidRPr="00342D7E">
        <w:t> </w:t>
      </w:r>
      <w:r w:rsidRPr="00342D7E">
        <w:t>178 CRR. Ekspozycji nie uznaje się za restrukturyzowane, jeżeli dłużnik nie doświadcza trudności finansowych. Zgodnie z MSSF zmodyfikowane aktywa finansowe (MSSF 9 pkt</w:t>
      </w:r>
      <w:r w:rsidR="00342D7E" w:rsidRPr="00342D7E">
        <w:t> </w:t>
      </w:r>
      <w:r w:rsidRPr="00342D7E">
        <w:t>5.4.3</w:t>
      </w:r>
      <w:r w:rsidR="00342D7E" w:rsidRPr="00342D7E">
        <w:t xml:space="preserve"> </w:t>
      </w:r>
      <w:r w:rsidR="00342D7E" w:rsidRPr="00342D7E">
        <w:lastRenderedPageBreak/>
        <w:t>i</w:t>
      </w:r>
      <w:r w:rsidR="00342D7E">
        <w:t> </w:t>
      </w:r>
      <w:r w:rsidR="00342D7E" w:rsidRPr="00342D7E">
        <w:t>zał</w:t>
      </w:r>
      <w:r w:rsidRPr="00342D7E">
        <w:t>ącznik A) traktuje się jako restrukturyzowane</w:t>
      </w:r>
      <w:r w:rsidR="00342D7E" w:rsidRPr="00342D7E">
        <w:t xml:space="preserve"> w</w:t>
      </w:r>
      <w:r w:rsidR="00342D7E">
        <w:t> </w:t>
      </w:r>
      <w:r w:rsidR="00342D7E" w:rsidRPr="00342D7E">
        <w:t>prz</w:t>
      </w:r>
      <w:r w:rsidRPr="00342D7E">
        <w:t>ypadkach zawarcia ugody zdefiniowanej</w:t>
      </w:r>
      <w:r w:rsidR="00342D7E" w:rsidRPr="00342D7E">
        <w:t xml:space="preserve"> w</w:t>
      </w:r>
      <w:r w:rsidR="00342D7E">
        <w:t> </w:t>
      </w:r>
      <w:r w:rsidR="00342D7E" w:rsidRPr="00342D7E">
        <w:t>pkt </w:t>
      </w:r>
      <w:r w:rsidRPr="00342D7E">
        <w:t>240</w:t>
      </w:r>
      <w:r w:rsidR="00342D7E" w:rsidRPr="00342D7E">
        <w:t xml:space="preserve"> i</w:t>
      </w:r>
      <w:r w:rsidR="00342D7E">
        <w:t> </w:t>
      </w:r>
      <w:r w:rsidR="00342D7E" w:rsidRPr="00342D7E">
        <w:t>2</w:t>
      </w:r>
      <w:r w:rsidRPr="00342D7E">
        <w:t>41 niniejszej części</w:t>
      </w:r>
      <w:r w:rsidR="00342D7E" w:rsidRPr="00342D7E">
        <w:t xml:space="preserve"> w</w:t>
      </w:r>
      <w:r w:rsidR="00342D7E">
        <w:t> </w:t>
      </w:r>
      <w:r w:rsidR="00342D7E" w:rsidRPr="00342D7E">
        <w:t>nin</w:t>
      </w:r>
      <w:r w:rsidRPr="00342D7E">
        <w:t>iejszym załączniku, niezależnie od wpływu modyfikacji na zmianę ryzyka kredytowego składnika aktywów finansowych od momentu początkowego ujęcia. Za działania restrukturyzacyjne uznaje się którekolwiek</w:t>
      </w:r>
      <w:r w:rsidR="00342D7E" w:rsidRPr="00342D7E">
        <w:t xml:space="preserve"> z</w:t>
      </w:r>
      <w:r w:rsidR="00342D7E">
        <w:t> </w:t>
      </w:r>
      <w:r w:rsidR="00342D7E" w:rsidRPr="00342D7E">
        <w:t>pon</w:t>
      </w:r>
      <w:r w:rsidRPr="00342D7E">
        <w:t>iższych środków:</w:t>
      </w:r>
    </w:p>
    <w:p w:rsidR="00D35B0C" w:rsidRPr="00342D7E" w:rsidRDefault="00A834F1" w:rsidP="00056B6F">
      <w:pPr>
        <w:pStyle w:val="Text1"/>
        <w:numPr>
          <w:ilvl w:val="1"/>
          <w:numId w:val="70"/>
        </w:numPr>
        <w:ind w:left="1134"/>
      </w:pPr>
      <w:proofErr w:type="gramStart"/>
      <w:r w:rsidRPr="00342D7E">
        <w:t>zmianę</w:t>
      </w:r>
      <w:proofErr w:type="gramEnd"/>
      <w:r w:rsidRPr="00342D7E">
        <w:t xml:space="preserve"> umowy, która została sklasyfikowana jako nieobsługiwana przed tą zmianą, lub która zostałaby sklasyfikowana jako nieobsługiwana, jeżeli nie zostałaby zmieniona;</w:t>
      </w:r>
    </w:p>
    <w:p w:rsidR="00D35B0C" w:rsidRPr="00342D7E" w:rsidRDefault="00A834F1" w:rsidP="00056B6F">
      <w:pPr>
        <w:pStyle w:val="Text1"/>
        <w:numPr>
          <w:ilvl w:val="1"/>
          <w:numId w:val="70"/>
        </w:numPr>
        <w:ind w:left="1134"/>
      </w:pPr>
      <w:proofErr w:type="gramStart"/>
      <w:r w:rsidRPr="00342D7E">
        <w:t>zmianę</w:t>
      </w:r>
      <w:proofErr w:type="gramEnd"/>
      <w:r w:rsidRPr="00342D7E">
        <w:t xml:space="preserve"> umowy obejmującą całkowite lub częściowe umorzenie długu</w:t>
      </w:r>
      <w:r w:rsidR="00342D7E" w:rsidRPr="00342D7E">
        <w:t xml:space="preserve"> w</w:t>
      </w:r>
      <w:r w:rsidR="00342D7E">
        <w:t> </w:t>
      </w:r>
      <w:r w:rsidR="00342D7E" w:rsidRPr="00342D7E">
        <w:t>dro</w:t>
      </w:r>
      <w:r w:rsidRPr="00342D7E">
        <w:t>dze spisania;</w:t>
      </w:r>
    </w:p>
    <w:p w:rsidR="00D35B0C" w:rsidRPr="00342D7E" w:rsidRDefault="00A834F1" w:rsidP="00056B6F">
      <w:pPr>
        <w:pStyle w:val="Text1"/>
        <w:numPr>
          <w:ilvl w:val="1"/>
          <w:numId w:val="70"/>
        </w:numPr>
        <w:ind w:left="1134"/>
      </w:pPr>
      <w:proofErr w:type="gramStart"/>
      <w:r w:rsidRPr="00342D7E">
        <w:t>zezwolenie</w:t>
      </w:r>
      <w:proofErr w:type="gramEnd"/>
      <w:r w:rsidRPr="00342D7E">
        <w:t xml:space="preserve"> instytucji na skorzystanie</w:t>
      </w:r>
      <w:r w:rsidR="00342D7E" w:rsidRPr="00342D7E">
        <w:t xml:space="preserve"> z</w:t>
      </w:r>
      <w:r w:rsidR="00342D7E">
        <w:t> </w:t>
      </w:r>
      <w:r w:rsidR="00342D7E" w:rsidRPr="00342D7E">
        <w:t>wbu</w:t>
      </w:r>
      <w:r w:rsidRPr="00342D7E">
        <w:t>dowanych klauzuli restrukturyzacyjnych</w:t>
      </w:r>
      <w:r w:rsidR="00342D7E" w:rsidRPr="00342D7E">
        <w:t xml:space="preserve"> w</w:t>
      </w:r>
      <w:r w:rsidR="00342D7E">
        <w:t> </w:t>
      </w:r>
      <w:r w:rsidR="00342D7E" w:rsidRPr="00342D7E">
        <w:t>odn</w:t>
      </w:r>
      <w:r w:rsidRPr="00342D7E">
        <w:t>iesieniu do dłużnika zagrożonego niewywiązaniem się</w:t>
      </w:r>
      <w:r w:rsidR="00342D7E" w:rsidRPr="00342D7E">
        <w:t xml:space="preserve"> z</w:t>
      </w:r>
      <w:r w:rsidR="00342D7E">
        <w:t> </w:t>
      </w:r>
      <w:r w:rsidR="00342D7E" w:rsidRPr="00342D7E">
        <w:t>zob</w:t>
      </w:r>
      <w:r w:rsidRPr="00342D7E">
        <w:t>owiązania lub który zostałby uznany za zagrożonego niewywiązaniem się</w:t>
      </w:r>
      <w:r w:rsidR="00342D7E" w:rsidRPr="00342D7E">
        <w:t xml:space="preserve"> z</w:t>
      </w:r>
      <w:r w:rsidR="00342D7E">
        <w:t> </w:t>
      </w:r>
      <w:r w:rsidR="00342D7E" w:rsidRPr="00342D7E">
        <w:t>zob</w:t>
      </w:r>
      <w:r w:rsidRPr="00342D7E">
        <w:t>owiązania</w:t>
      </w:r>
      <w:r w:rsidR="00342D7E" w:rsidRPr="00342D7E">
        <w:t xml:space="preserve"> w</w:t>
      </w:r>
      <w:r w:rsidR="00342D7E">
        <w:t> </w:t>
      </w:r>
      <w:r w:rsidR="00342D7E" w:rsidRPr="00342D7E">
        <w:t>prz</w:t>
      </w:r>
      <w:r w:rsidRPr="00342D7E">
        <w:t>ypadku nieskorzystania</w:t>
      </w:r>
      <w:r w:rsidR="00342D7E" w:rsidRPr="00342D7E">
        <w:t xml:space="preserve"> z</w:t>
      </w:r>
      <w:r w:rsidR="00342D7E">
        <w:t> </w:t>
      </w:r>
      <w:r w:rsidR="00342D7E" w:rsidRPr="00342D7E">
        <w:t>tyc</w:t>
      </w:r>
      <w:r w:rsidRPr="00342D7E">
        <w:t>h klauzuli;</w:t>
      </w:r>
    </w:p>
    <w:p w:rsidR="00D35B0C" w:rsidRPr="00342D7E" w:rsidRDefault="00A834F1" w:rsidP="00056B6F">
      <w:pPr>
        <w:pStyle w:val="Text1"/>
        <w:numPr>
          <w:ilvl w:val="1"/>
          <w:numId w:val="70"/>
        </w:numPr>
        <w:ind w:left="1134"/>
      </w:pPr>
      <w:proofErr w:type="gramStart"/>
      <w:r w:rsidRPr="00342D7E">
        <w:t>dokonanie</w:t>
      </w:r>
      <w:proofErr w:type="gramEnd"/>
      <w:r w:rsidRPr="00342D7E">
        <w:t xml:space="preserve"> przez dłużnika –</w:t>
      </w:r>
      <w:r w:rsidR="00342D7E" w:rsidRPr="00342D7E">
        <w:t xml:space="preserve"> w</w:t>
      </w:r>
      <w:r w:rsidR="00342D7E">
        <w:t> </w:t>
      </w:r>
      <w:r w:rsidR="00342D7E" w:rsidRPr="00342D7E">
        <w:t>mom</w:t>
      </w:r>
      <w:r w:rsidRPr="00342D7E">
        <w:t>encie zawarcia ugody dotyczącej przyznania mu przez instytucję dodatkowego długu lub blisko tego momentu – spłaty kwoty głównej lub odsetek od innej umowy zawartej</w:t>
      </w:r>
      <w:r w:rsidR="00342D7E" w:rsidRPr="00342D7E">
        <w:t xml:space="preserve"> z</w:t>
      </w:r>
      <w:r w:rsidR="00342D7E">
        <w:t> </w:t>
      </w:r>
      <w:r w:rsidR="00342D7E" w:rsidRPr="00342D7E">
        <w:t>ins</w:t>
      </w:r>
      <w:r w:rsidRPr="00342D7E">
        <w:t>tytucją, która to umowa była nieobsługiwana lub –</w:t>
      </w:r>
      <w:r w:rsidR="00342D7E" w:rsidRPr="00342D7E">
        <w:t xml:space="preserve"> w</w:t>
      </w:r>
      <w:r w:rsidR="00342D7E">
        <w:t> </w:t>
      </w:r>
      <w:r w:rsidR="00342D7E" w:rsidRPr="00342D7E">
        <w:t>prz</w:t>
      </w:r>
      <w:r w:rsidRPr="00342D7E">
        <w:t>ypadku brak refinansowania – zostałaby sklasyfikowana jako nieobsługiwana.</w:t>
      </w:r>
    </w:p>
    <w:p w:rsidR="00D35B0C" w:rsidRPr="00342D7E" w:rsidRDefault="00A834F1">
      <w:pPr>
        <w:pStyle w:val="Baseparagraphnumbered"/>
        <w:tabs>
          <w:tab w:val="left" w:pos="851"/>
        </w:tabs>
        <w:ind w:left="709"/>
      </w:pPr>
      <w:r w:rsidRPr="00342D7E">
        <w:t>Zmianę prowadzącą do spłat dokonanych dzięki realizacji zabezpieczenia uznaje się za działanie restrukturyzacyjne, jeżeli zmiana taka stanowi przedmiot ugody.</w:t>
      </w:r>
    </w:p>
    <w:p w:rsidR="00D35B0C" w:rsidRPr="00342D7E" w:rsidRDefault="00A834F1">
      <w:pPr>
        <w:pStyle w:val="Baseparagraphnumbered"/>
        <w:tabs>
          <w:tab w:val="left" w:pos="851"/>
        </w:tabs>
        <w:ind w:left="709"/>
      </w:pPr>
      <w:r w:rsidRPr="00342D7E">
        <w:t>W każdym</w:t>
      </w:r>
      <w:r w:rsidR="00342D7E" w:rsidRPr="00342D7E">
        <w:t xml:space="preserve"> z</w:t>
      </w:r>
      <w:r w:rsidR="00342D7E">
        <w:t> </w:t>
      </w:r>
      <w:r w:rsidR="00342D7E" w:rsidRPr="00342D7E">
        <w:t>pon</w:t>
      </w:r>
      <w:r w:rsidRPr="00342D7E">
        <w:t>iższych przypadków istnieje domniemanie (o ile nie udowodniono inaczej), że restrukturyzacja miała miejsce:</w:t>
      </w:r>
    </w:p>
    <w:p w:rsidR="00D35B0C" w:rsidRPr="00342D7E" w:rsidRDefault="00A834F1" w:rsidP="00056B6F">
      <w:pPr>
        <w:pStyle w:val="Text1"/>
        <w:numPr>
          <w:ilvl w:val="0"/>
          <w:numId w:val="71"/>
        </w:numPr>
        <w:ind w:left="1134"/>
      </w:pPr>
      <w:proofErr w:type="gramStart"/>
      <w:r w:rsidRPr="00342D7E">
        <w:t>zmieniona</w:t>
      </w:r>
      <w:proofErr w:type="gramEnd"/>
      <w:r w:rsidRPr="00342D7E">
        <w:t xml:space="preserve"> umowa była</w:t>
      </w:r>
      <w:r w:rsidR="00342D7E" w:rsidRPr="00342D7E">
        <w:t xml:space="preserve"> w</w:t>
      </w:r>
      <w:r w:rsidR="00342D7E">
        <w:t> </w:t>
      </w:r>
      <w:r w:rsidR="00342D7E" w:rsidRPr="00342D7E">
        <w:t>cał</w:t>
      </w:r>
      <w:r w:rsidRPr="00342D7E">
        <w:t>ości lub częściowo przeterminowana</w:t>
      </w:r>
      <w:r w:rsidR="00342D7E" w:rsidRPr="00342D7E">
        <w:t xml:space="preserve"> o</w:t>
      </w:r>
      <w:r w:rsidR="00342D7E">
        <w:t> </w:t>
      </w:r>
      <w:r w:rsidR="00342D7E" w:rsidRPr="00342D7E">
        <w:t>pon</w:t>
      </w:r>
      <w:r w:rsidRPr="00342D7E">
        <w:t>ad 30 dni (nie będąc jednak nieobsługiwaną) co najmniej raz</w:t>
      </w:r>
      <w:r w:rsidR="00342D7E" w:rsidRPr="00342D7E">
        <w:t xml:space="preserve"> w</w:t>
      </w:r>
      <w:r w:rsidR="00342D7E">
        <w:t> </w:t>
      </w:r>
      <w:r w:rsidR="00342D7E" w:rsidRPr="00342D7E">
        <w:t>cią</w:t>
      </w:r>
      <w:r w:rsidRPr="00342D7E">
        <w:t>gu trzymiesięcznego okresu przed jej zmianą lub byłaby przeterminowana</w:t>
      </w:r>
      <w:r w:rsidR="00342D7E" w:rsidRPr="00342D7E">
        <w:t xml:space="preserve"> o</w:t>
      </w:r>
      <w:r w:rsidR="00342D7E">
        <w:t> </w:t>
      </w:r>
      <w:r w:rsidR="00342D7E" w:rsidRPr="00342D7E">
        <w:t>pon</w:t>
      </w:r>
      <w:r w:rsidRPr="00342D7E">
        <w:t>ad 30 dni,</w:t>
      </w:r>
      <w:r w:rsidR="00342D7E" w:rsidRPr="00342D7E">
        <w:t xml:space="preserve"> w</w:t>
      </w:r>
      <w:r w:rsidR="00342D7E">
        <w:t> </w:t>
      </w:r>
      <w:r w:rsidR="00342D7E" w:rsidRPr="00342D7E">
        <w:t>cał</w:t>
      </w:r>
      <w:r w:rsidRPr="00342D7E">
        <w:t xml:space="preserve">ości lub częściowo, bez tej zmiany; </w:t>
      </w:r>
    </w:p>
    <w:p w:rsidR="00D35B0C" w:rsidRPr="00342D7E" w:rsidRDefault="00A834F1" w:rsidP="00056B6F">
      <w:pPr>
        <w:pStyle w:val="Text1"/>
        <w:numPr>
          <w:ilvl w:val="0"/>
          <w:numId w:val="71"/>
        </w:numPr>
        <w:ind w:left="1134"/>
      </w:pPr>
      <w:proofErr w:type="gramStart"/>
      <w:r w:rsidRPr="00342D7E">
        <w:t>w</w:t>
      </w:r>
      <w:proofErr w:type="gramEnd"/>
      <w:r w:rsidRPr="00342D7E">
        <w:t xml:space="preserve"> momencie zawarcia</w:t>
      </w:r>
      <w:r w:rsidR="00342D7E" w:rsidRPr="00342D7E">
        <w:t xml:space="preserve"> z</w:t>
      </w:r>
      <w:r w:rsidR="00342D7E">
        <w:t> </w:t>
      </w:r>
      <w:r w:rsidR="00342D7E" w:rsidRPr="00342D7E">
        <w:t>ins</w:t>
      </w:r>
      <w:r w:rsidRPr="00342D7E">
        <w:t>tytucją ugody dotyczącej przyznania dodatkowego długu przez instytucję lub blisko tego momentu, dłużnik dokonał spłaty kwoty głównej lub odsetek od innej umowy zawartej z tą instytucją, która to umowa była</w:t>
      </w:r>
      <w:r w:rsidR="00342D7E" w:rsidRPr="00342D7E">
        <w:t xml:space="preserve"> w</w:t>
      </w:r>
      <w:r w:rsidR="00342D7E">
        <w:t> </w:t>
      </w:r>
      <w:r w:rsidR="00342D7E" w:rsidRPr="00342D7E">
        <w:t>cał</w:t>
      </w:r>
      <w:r w:rsidRPr="00342D7E">
        <w:t>ości lub częściowo przeterminowana</w:t>
      </w:r>
      <w:r w:rsidR="00342D7E" w:rsidRPr="00342D7E">
        <w:t xml:space="preserve"> o</w:t>
      </w:r>
      <w:r w:rsidR="00342D7E">
        <w:t> </w:t>
      </w:r>
      <w:r w:rsidR="00342D7E" w:rsidRPr="00342D7E">
        <w:t>3</w:t>
      </w:r>
      <w:r w:rsidRPr="00342D7E">
        <w:t>0 dni co najmniej raz podczas trzymiesięcznego okresu poprzedzającego jej refinansowanie;</w:t>
      </w:r>
    </w:p>
    <w:p w:rsidR="00D35B0C" w:rsidRPr="00342D7E" w:rsidRDefault="00A834F1" w:rsidP="00056B6F">
      <w:pPr>
        <w:pStyle w:val="Text1"/>
        <w:numPr>
          <w:ilvl w:val="0"/>
          <w:numId w:val="71"/>
        </w:numPr>
        <w:ind w:left="1134"/>
      </w:pPr>
      <w:proofErr w:type="gramStart"/>
      <w:r w:rsidRPr="00342D7E">
        <w:t>instytucja</w:t>
      </w:r>
      <w:proofErr w:type="gramEnd"/>
      <w:r w:rsidRPr="00342D7E">
        <w:t xml:space="preserve"> zezwala na korzystanie</w:t>
      </w:r>
      <w:r w:rsidR="00342D7E" w:rsidRPr="00342D7E">
        <w:t xml:space="preserve"> z</w:t>
      </w:r>
      <w:r w:rsidR="00342D7E">
        <w:t> </w:t>
      </w:r>
      <w:r w:rsidR="00342D7E" w:rsidRPr="00342D7E">
        <w:t>wbu</w:t>
      </w:r>
      <w:r w:rsidRPr="00342D7E">
        <w:t>dowanych klauzul restrukturyzacyjnych</w:t>
      </w:r>
      <w:r w:rsidR="00342D7E" w:rsidRPr="00342D7E">
        <w:t xml:space="preserve"> w</w:t>
      </w:r>
      <w:r w:rsidR="00342D7E">
        <w:t> </w:t>
      </w:r>
      <w:r w:rsidR="00342D7E" w:rsidRPr="00342D7E">
        <w:t>odn</w:t>
      </w:r>
      <w:r w:rsidRPr="00342D7E">
        <w:t>iesieniu do dłużników będących stroną umowy przeterminowanej</w:t>
      </w:r>
      <w:r w:rsidR="00342D7E" w:rsidRPr="00342D7E">
        <w:t xml:space="preserve"> o</w:t>
      </w:r>
      <w:r w:rsidR="00342D7E">
        <w:t> </w:t>
      </w:r>
      <w:r w:rsidR="00342D7E" w:rsidRPr="00342D7E">
        <w:t>3</w:t>
      </w:r>
      <w:r w:rsidRPr="00342D7E">
        <w:t>0 dni lub dłużników będących stroną umowy, która byłaby przeterminowana</w:t>
      </w:r>
      <w:r w:rsidR="00342D7E" w:rsidRPr="00342D7E">
        <w:t xml:space="preserve"> o</w:t>
      </w:r>
      <w:r w:rsidR="00342D7E">
        <w:t> </w:t>
      </w:r>
      <w:r w:rsidR="00342D7E" w:rsidRPr="00342D7E">
        <w:t>3</w:t>
      </w:r>
      <w:r w:rsidRPr="00342D7E">
        <w:t>0 dni, gdyby nie skorzystano</w:t>
      </w:r>
      <w:r w:rsidR="00342D7E" w:rsidRPr="00342D7E">
        <w:t xml:space="preserve"> z</w:t>
      </w:r>
      <w:r w:rsidR="00342D7E">
        <w:t> </w:t>
      </w:r>
      <w:r w:rsidR="00342D7E" w:rsidRPr="00342D7E">
        <w:t>tyc</w:t>
      </w:r>
      <w:r w:rsidRPr="00342D7E">
        <w:t>h klauzul.</w:t>
      </w:r>
    </w:p>
    <w:p w:rsidR="00D35B0C" w:rsidRPr="00342D7E" w:rsidRDefault="004F1742">
      <w:pPr>
        <w:pStyle w:val="Baseparagraphnumbered"/>
        <w:tabs>
          <w:tab w:val="left" w:pos="851"/>
        </w:tabs>
        <w:ind w:left="709"/>
      </w:pPr>
      <w:r w:rsidRPr="00342D7E">
        <w:t>Trudności finansowe ocenia się na poziomie dłużnika zgodnie</w:t>
      </w:r>
      <w:r w:rsidR="00342D7E" w:rsidRPr="00342D7E">
        <w:t xml:space="preserve"> z</w:t>
      </w:r>
      <w:r w:rsidR="00342D7E">
        <w:t> </w:t>
      </w:r>
      <w:r w:rsidR="00342D7E" w:rsidRPr="00342D7E">
        <w:t>pkt </w:t>
      </w:r>
      <w:r w:rsidRPr="00342D7E">
        <w:t>245. Jedynie ekspozycje, względem których podjęto działania restrukturyzacyjne, określa się jako ekspozycje restrukturyzowane.</w:t>
      </w:r>
    </w:p>
    <w:p w:rsidR="00D35B0C" w:rsidRPr="00342D7E" w:rsidRDefault="00A834F1">
      <w:pPr>
        <w:pStyle w:val="Baseparagraphnumbered"/>
        <w:tabs>
          <w:tab w:val="left" w:pos="851"/>
        </w:tabs>
        <w:ind w:left="709"/>
      </w:pPr>
      <w:r w:rsidRPr="00342D7E">
        <w:lastRenderedPageBreak/>
        <w:t>Ekspozycje restrukturyzowane uwzględnia się</w:t>
      </w:r>
      <w:r w:rsidR="00342D7E" w:rsidRPr="00342D7E">
        <w:t xml:space="preserve"> w</w:t>
      </w:r>
      <w:r w:rsidR="00342D7E">
        <w:t> </w:t>
      </w:r>
      <w:r w:rsidR="00342D7E" w:rsidRPr="00342D7E">
        <w:t>kat</w:t>
      </w:r>
      <w:r w:rsidRPr="00342D7E">
        <w:t>egorii ekspozycji nieobsługiwanych lub</w:t>
      </w:r>
      <w:r w:rsidR="00342D7E" w:rsidRPr="00342D7E">
        <w:t xml:space="preserve"> w</w:t>
      </w:r>
      <w:r w:rsidR="00342D7E">
        <w:t> </w:t>
      </w:r>
      <w:r w:rsidR="00342D7E" w:rsidRPr="00342D7E">
        <w:t>kat</w:t>
      </w:r>
      <w:r w:rsidRPr="00342D7E">
        <w:t>egorii ekspozycji obsługiwanych zgodnie</w:t>
      </w:r>
      <w:r w:rsidR="00342D7E" w:rsidRPr="00342D7E">
        <w:t xml:space="preserve"> z</w:t>
      </w:r>
      <w:r w:rsidR="00342D7E">
        <w:t> </w:t>
      </w:r>
      <w:r w:rsidR="00342D7E" w:rsidRPr="00342D7E">
        <w:t>pkt </w:t>
      </w:r>
      <w:r w:rsidRPr="00342D7E">
        <w:t>213–239</w:t>
      </w:r>
      <w:r w:rsidR="00342D7E" w:rsidRPr="00342D7E">
        <w:t xml:space="preserve"> i</w:t>
      </w:r>
      <w:r w:rsidR="00342D7E">
        <w:t> </w:t>
      </w:r>
      <w:r w:rsidR="00342D7E" w:rsidRPr="00342D7E">
        <w:t>2</w:t>
      </w:r>
      <w:r w:rsidRPr="00342D7E">
        <w:t>60 niniejszej części. Klasyfikacji ekspozycji jako ekspozycji restrukturyzowanej zaprzestaje się, jeżeli spełnione są wszystkie poniższe warunki:</w:t>
      </w:r>
    </w:p>
    <w:p w:rsidR="00D35B0C" w:rsidRPr="00342D7E" w:rsidRDefault="00A834F1" w:rsidP="00056B6F">
      <w:pPr>
        <w:pStyle w:val="Text1"/>
        <w:numPr>
          <w:ilvl w:val="0"/>
          <w:numId w:val="72"/>
        </w:numPr>
        <w:ind w:left="1134"/>
      </w:pPr>
      <w:proofErr w:type="gramStart"/>
      <w:r w:rsidRPr="00342D7E">
        <w:t>ekspozycję</w:t>
      </w:r>
      <w:proofErr w:type="gramEnd"/>
      <w:r w:rsidRPr="00342D7E">
        <w:t xml:space="preserve"> restrukturyzowaną uznaje się za obsługiwaną,</w:t>
      </w:r>
      <w:r w:rsidR="00342D7E" w:rsidRPr="00342D7E">
        <w:t xml:space="preserve"> w</w:t>
      </w:r>
      <w:r w:rsidR="00342D7E">
        <w:t> </w:t>
      </w:r>
      <w:r w:rsidR="00342D7E" w:rsidRPr="00342D7E">
        <w:t>tym w</w:t>
      </w:r>
      <w:r w:rsidR="00342D7E">
        <w:t> </w:t>
      </w:r>
      <w:r w:rsidR="00342D7E" w:rsidRPr="00342D7E">
        <w:t>prz</w:t>
      </w:r>
      <w:r w:rsidRPr="00342D7E">
        <w:t>ypadku gdy ekspozycję tę usunięto</w:t>
      </w:r>
      <w:r w:rsidR="00342D7E" w:rsidRPr="00342D7E">
        <w:t xml:space="preserve"> z</w:t>
      </w:r>
      <w:r w:rsidR="00342D7E">
        <w:t> </w:t>
      </w:r>
      <w:r w:rsidR="00342D7E" w:rsidRPr="00342D7E">
        <w:t>kat</w:t>
      </w:r>
      <w:r w:rsidRPr="00342D7E">
        <w:t>egorii ekspozycji nieobsługiwanych po dokonaniu analizy sytuacji finansowej dłużnika, która wykazała, że ekspozycja ta nie spełnia już warunków uznania jej za nieobsługiwaną;</w:t>
      </w:r>
    </w:p>
    <w:p w:rsidR="00D35B0C" w:rsidRPr="00342D7E" w:rsidRDefault="00A834F1" w:rsidP="00056B6F">
      <w:pPr>
        <w:pStyle w:val="Text1"/>
        <w:numPr>
          <w:ilvl w:val="0"/>
          <w:numId w:val="72"/>
        </w:numPr>
        <w:ind w:left="1134"/>
      </w:pPr>
      <w:proofErr w:type="gramStart"/>
      <w:r w:rsidRPr="00342D7E">
        <w:t>od</w:t>
      </w:r>
      <w:proofErr w:type="gramEnd"/>
      <w:r w:rsidRPr="00342D7E">
        <w:t xml:space="preserve"> daty uznania ekspozycji restrukturyzowanej za obsługiwaną upłynął co najmniej dwuletni okres („okres warunkowy”);</w:t>
      </w:r>
    </w:p>
    <w:p w:rsidR="00D35B0C" w:rsidRPr="00342D7E" w:rsidRDefault="00A834F1" w:rsidP="00056B6F">
      <w:pPr>
        <w:pStyle w:val="Text1"/>
        <w:numPr>
          <w:ilvl w:val="0"/>
          <w:numId w:val="72"/>
        </w:numPr>
        <w:ind w:left="1134"/>
      </w:pPr>
      <w:proofErr w:type="gramStart"/>
      <w:r w:rsidRPr="00342D7E">
        <w:t>przez</w:t>
      </w:r>
      <w:proofErr w:type="gramEnd"/>
      <w:r w:rsidRPr="00342D7E">
        <w:t xml:space="preserve"> co najmniej połowę okresu warunkowego dokonywane były regularne płatności</w:t>
      </w:r>
      <w:r w:rsidR="00342D7E" w:rsidRPr="00342D7E">
        <w:t xml:space="preserve"> w</w:t>
      </w:r>
      <w:r w:rsidR="00342D7E">
        <w:t> </w:t>
      </w:r>
      <w:r w:rsidR="00342D7E" w:rsidRPr="00342D7E">
        <w:t>wyż</w:t>
      </w:r>
      <w:r w:rsidRPr="00342D7E">
        <w:t>szej niż nieznaczna łącznej kwocie</w:t>
      </w:r>
      <w:r w:rsidR="00342D7E" w:rsidRPr="00342D7E">
        <w:t xml:space="preserve"> z</w:t>
      </w:r>
      <w:r w:rsidR="00342D7E">
        <w:t> </w:t>
      </w:r>
      <w:r w:rsidR="00342D7E" w:rsidRPr="00342D7E">
        <w:t>tyt</w:t>
      </w:r>
      <w:r w:rsidRPr="00342D7E">
        <w:t xml:space="preserve">ułu odsetek lub kwoty głównej; </w:t>
      </w:r>
    </w:p>
    <w:p w:rsidR="00D35B0C" w:rsidRPr="00342D7E" w:rsidRDefault="00A834F1" w:rsidP="00056B6F">
      <w:pPr>
        <w:pStyle w:val="Text1"/>
        <w:numPr>
          <w:ilvl w:val="0"/>
          <w:numId w:val="72"/>
        </w:numPr>
        <w:ind w:left="1134"/>
      </w:pPr>
      <w:proofErr w:type="gramStart"/>
      <w:r w:rsidRPr="00342D7E">
        <w:t>na</w:t>
      </w:r>
      <w:proofErr w:type="gramEnd"/>
      <w:r w:rsidRPr="00342D7E">
        <w:t xml:space="preserve"> koniec okresu warunkowego żadna</w:t>
      </w:r>
      <w:r w:rsidR="00342D7E" w:rsidRPr="00342D7E">
        <w:t xml:space="preserve"> z</w:t>
      </w:r>
      <w:r w:rsidR="00342D7E">
        <w:t> </w:t>
      </w:r>
      <w:r w:rsidR="00342D7E" w:rsidRPr="00342D7E">
        <w:t>eks</w:t>
      </w:r>
      <w:r w:rsidRPr="00342D7E">
        <w:t>pozycji wobec dłużnika nie była przeterminowana</w:t>
      </w:r>
      <w:r w:rsidR="00342D7E" w:rsidRPr="00342D7E">
        <w:t xml:space="preserve"> o</w:t>
      </w:r>
      <w:r w:rsidR="00342D7E">
        <w:t> </w:t>
      </w:r>
      <w:r w:rsidR="00342D7E" w:rsidRPr="00342D7E">
        <w:t>pon</w:t>
      </w:r>
      <w:r w:rsidRPr="00342D7E">
        <w:t xml:space="preserve">ad 30 dni. </w:t>
      </w:r>
    </w:p>
    <w:p w:rsidR="00D35B0C" w:rsidRPr="00342D7E" w:rsidRDefault="00A834F1">
      <w:pPr>
        <w:pStyle w:val="Baseparagraphnumbered"/>
        <w:tabs>
          <w:tab w:val="left" w:pos="851"/>
        </w:tabs>
        <w:ind w:left="709"/>
      </w:pPr>
      <w:r w:rsidRPr="00342D7E">
        <w:t>Jeżeli warunki,</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pkt </w:t>
      </w:r>
      <w:r w:rsidRPr="00342D7E">
        <w:t>256, nie są spełnione na koniec okresu warunkowego, do czasu spełnienia wszystkich warunków ekspozycję nadal uznaje się za obsługiwaną ekspozycję restrukturyzowaną</w:t>
      </w:r>
      <w:r w:rsidR="00342D7E" w:rsidRPr="00342D7E">
        <w:t xml:space="preserve"> w</w:t>
      </w:r>
      <w:r w:rsidR="00342D7E">
        <w:t> </w:t>
      </w:r>
      <w:r w:rsidR="00342D7E" w:rsidRPr="00342D7E">
        <w:t>okr</w:t>
      </w:r>
      <w:r w:rsidRPr="00342D7E">
        <w:t xml:space="preserve">esie warunkowym. Spełnianie warunków ocenia się co najmniej raz na kwartał. </w:t>
      </w:r>
    </w:p>
    <w:p w:rsidR="00D35B0C" w:rsidRPr="00342D7E" w:rsidRDefault="00A834F1">
      <w:pPr>
        <w:pStyle w:val="Baseparagraphnumbered"/>
        <w:tabs>
          <w:tab w:val="left" w:pos="851"/>
        </w:tabs>
        <w:ind w:left="709"/>
      </w:pPr>
      <w:r w:rsidRPr="00342D7E">
        <w:t>Ekspozycje restrukturyzowane sklasyfikowane jako aktywa trwałe przeznaczone do sprzedaży zgodnie z MSSF 5 nadal klasyfikuje się jako ekspozycje restrukturyzowane.</w:t>
      </w:r>
    </w:p>
    <w:p w:rsidR="00D35B0C" w:rsidRPr="00342D7E" w:rsidRDefault="00A834F1">
      <w:pPr>
        <w:pStyle w:val="Baseparagraphnumbered"/>
        <w:tabs>
          <w:tab w:val="left" w:pos="851"/>
        </w:tabs>
        <w:ind w:left="709"/>
      </w:pPr>
      <w:r w:rsidRPr="00342D7E">
        <w:t>Ekspozycja restrukturyzowana może być uznana za ekspozycję obsługiwaną od daty podjęcia działań restrukturyzacyjnych, jeżeli spełnione są oba poniższe warunki:</w:t>
      </w:r>
    </w:p>
    <w:p w:rsidR="00D35B0C" w:rsidRPr="00342D7E" w:rsidRDefault="00A834F1" w:rsidP="00056B6F">
      <w:pPr>
        <w:pStyle w:val="Text1"/>
        <w:numPr>
          <w:ilvl w:val="0"/>
          <w:numId w:val="73"/>
        </w:numPr>
        <w:ind w:left="1134"/>
      </w:pPr>
      <w:proofErr w:type="gramStart"/>
      <w:r w:rsidRPr="00342D7E">
        <w:t>przedłużenie</w:t>
      </w:r>
      <w:proofErr w:type="gramEnd"/>
      <w:r w:rsidRPr="00342D7E">
        <w:t xml:space="preserve"> okresu ekspozycji nie doprowadziło do uznania jej za nieobsługiwaną;</w:t>
      </w:r>
    </w:p>
    <w:p w:rsidR="00D35B0C" w:rsidRPr="00342D7E" w:rsidRDefault="00A834F1" w:rsidP="00056B6F">
      <w:pPr>
        <w:pStyle w:val="Text1"/>
        <w:numPr>
          <w:ilvl w:val="0"/>
          <w:numId w:val="73"/>
        </w:numPr>
        <w:ind w:left="1134"/>
      </w:pPr>
      <w:proofErr w:type="gramStart"/>
      <w:r w:rsidRPr="00342D7E">
        <w:t>na</w:t>
      </w:r>
      <w:proofErr w:type="gramEnd"/>
      <w:r w:rsidRPr="00342D7E">
        <w:t xml:space="preserve"> dzień podjęcia działań restrukturyzacyjnych ekspozycja nie została uznana za nieobsługiwaną. </w:t>
      </w:r>
    </w:p>
    <w:p w:rsidR="00D35B0C" w:rsidRPr="00342D7E" w:rsidRDefault="00A834F1">
      <w:pPr>
        <w:pStyle w:val="Baseparagraphnumbered"/>
        <w:tabs>
          <w:tab w:val="left" w:pos="851"/>
        </w:tabs>
        <w:ind w:left="709"/>
      </w:pPr>
      <w:r w:rsidRPr="00342D7E">
        <w:t>Jeżeli dodatkowe działania restrukturyzacyjne są podejmowane</w:t>
      </w:r>
      <w:r w:rsidR="00342D7E" w:rsidRPr="00342D7E">
        <w:t xml:space="preserve"> w</w:t>
      </w:r>
      <w:r w:rsidR="00342D7E">
        <w:t> </w:t>
      </w:r>
      <w:r w:rsidR="00342D7E" w:rsidRPr="00342D7E">
        <w:t>odn</w:t>
      </w:r>
      <w:r w:rsidRPr="00342D7E">
        <w:t>iesieniu do obsługiwanej ekspozycji restrukturyzowanej</w:t>
      </w:r>
      <w:r w:rsidR="00342D7E" w:rsidRPr="00342D7E">
        <w:t xml:space="preserve"> w</w:t>
      </w:r>
      <w:r w:rsidR="00342D7E">
        <w:t> </w:t>
      </w:r>
      <w:r w:rsidR="00342D7E" w:rsidRPr="00342D7E">
        <w:t>okr</w:t>
      </w:r>
      <w:r w:rsidRPr="00342D7E">
        <w:t>esie warunkowym, która została usunięta</w:t>
      </w:r>
      <w:r w:rsidR="00342D7E" w:rsidRPr="00342D7E">
        <w:t xml:space="preserve"> z</w:t>
      </w:r>
      <w:r w:rsidR="00342D7E">
        <w:t> </w:t>
      </w:r>
      <w:r w:rsidR="00342D7E" w:rsidRPr="00342D7E">
        <w:t>kat</w:t>
      </w:r>
      <w:r w:rsidRPr="00342D7E">
        <w:t>egorii ekspozycji nieobsługiwanych, lub ekspozycja restrukturyzowana</w:t>
      </w:r>
      <w:r w:rsidR="00342D7E" w:rsidRPr="00342D7E">
        <w:t xml:space="preserve"> w</w:t>
      </w:r>
      <w:r w:rsidR="00342D7E">
        <w:t> </w:t>
      </w:r>
      <w:r w:rsidR="00342D7E" w:rsidRPr="00342D7E">
        <w:t>okr</w:t>
      </w:r>
      <w:r w:rsidRPr="00342D7E">
        <w:t>esie warunkowym przeklasyfikowana</w:t>
      </w:r>
      <w:r w:rsidR="00342D7E" w:rsidRPr="00342D7E">
        <w:t xml:space="preserve"> z</w:t>
      </w:r>
      <w:r w:rsidR="00342D7E">
        <w:t> </w:t>
      </w:r>
      <w:r w:rsidR="00342D7E" w:rsidRPr="00342D7E">
        <w:t>kat</w:t>
      </w:r>
      <w:r w:rsidRPr="00342D7E">
        <w:t>egorii ekspozycji nieobsługiwanych ulega przeterminowaniu</w:t>
      </w:r>
      <w:r w:rsidR="00342D7E" w:rsidRPr="00342D7E">
        <w:t xml:space="preserve"> o</w:t>
      </w:r>
      <w:r w:rsidR="00342D7E">
        <w:t> </w:t>
      </w:r>
      <w:r w:rsidR="00342D7E" w:rsidRPr="00342D7E">
        <w:t>pon</w:t>
      </w:r>
      <w:r w:rsidRPr="00342D7E">
        <w:t xml:space="preserve">ad 30 dni, ekspozycję tę klasyfikuje się jako nieobsługiwaną. </w:t>
      </w:r>
    </w:p>
    <w:p w:rsidR="00D35B0C" w:rsidRPr="00342D7E" w:rsidRDefault="00A834F1">
      <w:pPr>
        <w:pStyle w:val="Baseparagraphnumbered"/>
        <w:tabs>
          <w:tab w:val="left" w:pos="851"/>
        </w:tabs>
        <w:ind w:left="709"/>
      </w:pPr>
      <w:r w:rsidRPr="00342D7E">
        <w:t>„Ekspozycje obsługiwane objęte działaniami restrukturyzacyjnymi” (obsługiwane ekspozycje restrukturyzowane) obejmują ekspozycje restrukturyzowane, które nie spełniają kryteriów uznania ich za nieobsługiwane, i są uwzględniane</w:t>
      </w:r>
      <w:r w:rsidR="00342D7E" w:rsidRPr="00342D7E">
        <w:t xml:space="preserve"> w</w:t>
      </w:r>
      <w:r w:rsidR="00342D7E">
        <w:t> </w:t>
      </w:r>
      <w:r w:rsidR="00342D7E" w:rsidRPr="00342D7E">
        <w:t>kat</w:t>
      </w:r>
      <w:r w:rsidRPr="00342D7E">
        <w:t>egorii ekspozycji obsługiwanych. Obsługiwane ekspozycje restrukturyzowane uznaje się za ekspozycje</w:t>
      </w:r>
      <w:r w:rsidR="00342D7E" w:rsidRPr="00342D7E">
        <w:t xml:space="preserve"> w</w:t>
      </w:r>
      <w:r w:rsidR="00342D7E">
        <w:t> </w:t>
      </w:r>
      <w:r w:rsidR="00342D7E" w:rsidRPr="00342D7E">
        <w:t>okr</w:t>
      </w:r>
      <w:r w:rsidRPr="00342D7E">
        <w:t xml:space="preserve">esie </w:t>
      </w:r>
      <w:r w:rsidRPr="00342D7E">
        <w:lastRenderedPageBreak/>
        <w:t>warunkowym do czasu spełnienia kryteriów określonych</w:t>
      </w:r>
      <w:r w:rsidR="00342D7E" w:rsidRPr="00342D7E">
        <w:t xml:space="preserve"> w</w:t>
      </w:r>
      <w:r w:rsidR="00342D7E">
        <w:t> </w:t>
      </w:r>
      <w:r w:rsidR="00342D7E" w:rsidRPr="00342D7E">
        <w:t>pkt </w:t>
      </w:r>
      <w:r w:rsidRPr="00342D7E">
        <w:t>256</w:t>
      </w:r>
      <w:r w:rsidR="00342D7E" w:rsidRPr="00342D7E">
        <w:t xml:space="preserve"> i</w:t>
      </w:r>
      <w:r w:rsidR="00342D7E">
        <w:t> </w:t>
      </w:r>
      <w:r w:rsidR="00342D7E" w:rsidRPr="00342D7E">
        <w:t>2</w:t>
      </w:r>
      <w:r w:rsidRPr="00342D7E">
        <w:t>59 niniejszej części. Obsługiwane ekspozycje restrukturyzowane</w:t>
      </w:r>
      <w:r w:rsidR="00342D7E" w:rsidRPr="00342D7E">
        <w:t xml:space="preserve"> w</w:t>
      </w:r>
      <w:r w:rsidR="00342D7E">
        <w:t> </w:t>
      </w:r>
      <w:r w:rsidR="00342D7E" w:rsidRPr="00342D7E">
        <w:t>okr</w:t>
      </w:r>
      <w:r w:rsidRPr="00342D7E">
        <w:t>esie warunkowym, które zostały usunięte</w:t>
      </w:r>
      <w:r w:rsidR="00342D7E" w:rsidRPr="00342D7E">
        <w:t xml:space="preserve"> z</w:t>
      </w:r>
      <w:r w:rsidR="00342D7E">
        <w:t> </w:t>
      </w:r>
      <w:r w:rsidR="00342D7E" w:rsidRPr="00342D7E">
        <w:t>kat</w:t>
      </w:r>
      <w:r w:rsidRPr="00342D7E">
        <w:t>egorii ekspozycji nieobsługiwanych, zgłasza się odrębnie</w:t>
      </w:r>
      <w:r w:rsidR="00342D7E" w:rsidRPr="00342D7E">
        <w:t xml:space="preserve"> w</w:t>
      </w:r>
      <w:r w:rsidR="00342D7E">
        <w:t> </w:t>
      </w:r>
      <w:r w:rsidR="00342D7E" w:rsidRPr="00342D7E">
        <w:t>ram</w:t>
      </w:r>
      <w:r w:rsidRPr="00342D7E">
        <w:t>ach ekspozycji obsługiwanych objętych działaniami restrukturyzacyjnymi</w:t>
      </w:r>
      <w:r w:rsidR="00342D7E" w:rsidRPr="00342D7E">
        <w:t xml:space="preserve"> w</w:t>
      </w:r>
      <w:r w:rsidR="00342D7E">
        <w:t> </w:t>
      </w:r>
      <w:r w:rsidR="00342D7E" w:rsidRPr="00342D7E">
        <w:t>kol</w:t>
      </w:r>
      <w:r w:rsidRPr="00342D7E">
        <w:t>umnie „w tym: obsługiwane ekspozycje restrukturyzowane</w:t>
      </w:r>
      <w:r w:rsidR="00342D7E" w:rsidRPr="00342D7E">
        <w:t xml:space="preserve"> w</w:t>
      </w:r>
      <w:r w:rsidR="00342D7E">
        <w:t> </w:t>
      </w:r>
      <w:r w:rsidR="00342D7E" w:rsidRPr="00342D7E">
        <w:t>okr</w:t>
      </w:r>
      <w:r w:rsidRPr="00342D7E">
        <w:t>esie warunkowym przeklasyfikowane</w:t>
      </w:r>
      <w:r w:rsidR="00342D7E" w:rsidRPr="00342D7E">
        <w:t xml:space="preserve"> z</w:t>
      </w:r>
      <w:r w:rsidR="00342D7E">
        <w:t> </w:t>
      </w:r>
      <w:r w:rsidR="00342D7E" w:rsidRPr="00342D7E">
        <w:t>kat</w:t>
      </w:r>
      <w:r w:rsidRPr="00342D7E">
        <w:t xml:space="preserve">egorii ekspozycji nieobsługiwanych”. </w:t>
      </w:r>
    </w:p>
    <w:p w:rsidR="00D35B0C" w:rsidRPr="00342D7E" w:rsidRDefault="00A834F1">
      <w:pPr>
        <w:pStyle w:val="Baseparagraphnumbered"/>
        <w:tabs>
          <w:tab w:val="left" w:pos="851"/>
        </w:tabs>
        <w:ind w:left="709"/>
      </w:pPr>
      <w:r w:rsidRPr="00342D7E">
        <w:t>„Ekspozycje nieobsługiwane objęte działaniami restrukturyzacyjnymi” (nieobsługiwane ekspozycje restrukturyzowane) obejmują ekspozycje restrukturyzowane, które spełniają kryteria uznania ich za nieobsługiwane,</w:t>
      </w:r>
      <w:r w:rsidR="00342D7E" w:rsidRPr="00342D7E">
        <w:t xml:space="preserve"> i</w:t>
      </w:r>
      <w:r w:rsidR="00342D7E">
        <w:t> </w:t>
      </w:r>
      <w:r w:rsidR="00342D7E" w:rsidRPr="00342D7E">
        <w:t>któ</w:t>
      </w:r>
      <w:r w:rsidRPr="00342D7E">
        <w:t>re są uwzględniane</w:t>
      </w:r>
      <w:r w:rsidR="00342D7E" w:rsidRPr="00342D7E">
        <w:t xml:space="preserve"> w</w:t>
      </w:r>
      <w:r w:rsidR="00342D7E">
        <w:t> </w:t>
      </w:r>
      <w:r w:rsidR="00342D7E" w:rsidRPr="00342D7E">
        <w:t>kat</w:t>
      </w:r>
      <w:r w:rsidRPr="00342D7E">
        <w:t xml:space="preserve">egorii ekspozycji nieobsługiwanych. Te nieobsługiwane ekspozycje restrukturyzowane obejmują: </w:t>
      </w:r>
    </w:p>
    <w:p w:rsidR="00D35B0C" w:rsidRPr="00342D7E" w:rsidRDefault="00A834F1" w:rsidP="00056B6F">
      <w:pPr>
        <w:pStyle w:val="Text1"/>
        <w:numPr>
          <w:ilvl w:val="0"/>
          <w:numId w:val="74"/>
        </w:numPr>
        <w:ind w:left="1134"/>
      </w:pPr>
      <w:proofErr w:type="gramStart"/>
      <w:r w:rsidRPr="00342D7E">
        <w:t>ekspozycje</w:t>
      </w:r>
      <w:proofErr w:type="gramEnd"/>
      <w:r w:rsidRPr="00342D7E">
        <w:t>, które zostały sklasyfikowane jako nieobsługiwane</w:t>
      </w:r>
      <w:r w:rsidR="00342D7E" w:rsidRPr="00342D7E">
        <w:t xml:space="preserve"> z</w:t>
      </w:r>
      <w:r w:rsidR="00342D7E">
        <w:t> </w:t>
      </w:r>
      <w:r w:rsidR="00342D7E" w:rsidRPr="00342D7E">
        <w:t>pow</w:t>
      </w:r>
      <w:r w:rsidRPr="00342D7E">
        <w:t xml:space="preserve">odu podjęcia działań restrukturyzacyjnych; </w:t>
      </w:r>
    </w:p>
    <w:p w:rsidR="00D35B0C" w:rsidRPr="00342D7E" w:rsidRDefault="00A834F1" w:rsidP="00056B6F">
      <w:pPr>
        <w:pStyle w:val="Text1"/>
        <w:numPr>
          <w:ilvl w:val="0"/>
          <w:numId w:val="74"/>
        </w:numPr>
        <w:ind w:left="1134"/>
      </w:pPr>
      <w:proofErr w:type="gramStart"/>
      <w:r w:rsidRPr="00342D7E">
        <w:t>ekspozycje</w:t>
      </w:r>
      <w:proofErr w:type="gramEnd"/>
      <w:r w:rsidRPr="00342D7E">
        <w:t>, które zostały sklasyfikowane jako nieobsługiwane przed podjęciem działań restrukturyzacyjnych;</w:t>
      </w:r>
      <w:r w:rsidR="00342D7E" w:rsidRPr="00342D7E">
        <w:t xml:space="preserve"> </w:t>
      </w:r>
    </w:p>
    <w:p w:rsidR="00D35B0C" w:rsidRPr="00342D7E" w:rsidRDefault="00A834F1" w:rsidP="00056B6F">
      <w:pPr>
        <w:pStyle w:val="Text1"/>
        <w:numPr>
          <w:ilvl w:val="0"/>
          <w:numId w:val="74"/>
        </w:numPr>
        <w:ind w:left="1134"/>
      </w:pPr>
      <w:proofErr w:type="gramStart"/>
      <w:r w:rsidRPr="00342D7E">
        <w:t>ekspozycje</w:t>
      </w:r>
      <w:proofErr w:type="gramEnd"/>
      <w:r w:rsidRPr="00342D7E">
        <w:t xml:space="preserve"> restrukturyzowane, które zostały usunięte</w:t>
      </w:r>
      <w:r w:rsidR="00342D7E" w:rsidRPr="00342D7E">
        <w:t xml:space="preserve"> z</w:t>
      </w:r>
      <w:r w:rsidR="00342D7E">
        <w:t> </w:t>
      </w:r>
      <w:r w:rsidR="00342D7E" w:rsidRPr="00342D7E">
        <w:t>kat</w:t>
      </w:r>
      <w:r w:rsidRPr="00342D7E">
        <w:t>egorii ekspozycji obsługiwanych,</w:t>
      </w:r>
      <w:r w:rsidR="00342D7E" w:rsidRPr="00342D7E">
        <w:t xml:space="preserve"> w</w:t>
      </w:r>
      <w:r w:rsidR="00342D7E">
        <w:t> </w:t>
      </w:r>
      <w:r w:rsidR="00342D7E" w:rsidRPr="00342D7E">
        <w:t>tym</w:t>
      </w:r>
      <w:r w:rsidRPr="00342D7E">
        <w:t xml:space="preserve"> ekspozycje usunięte</w:t>
      </w:r>
      <w:r w:rsidR="00342D7E" w:rsidRPr="00342D7E">
        <w:t xml:space="preserve"> w</w:t>
      </w:r>
      <w:r w:rsidR="00342D7E">
        <w:t> </w:t>
      </w:r>
      <w:r w:rsidR="00342D7E" w:rsidRPr="00342D7E">
        <w:t>wyn</w:t>
      </w:r>
      <w:r w:rsidRPr="00342D7E">
        <w:t>iku zastosowania pkt</w:t>
      </w:r>
      <w:r w:rsidR="00342D7E" w:rsidRPr="00342D7E">
        <w:t> </w:t>
      </w:r>
      <w:r w:rsidRPr="00342D7E">
        <w:t xml:space="preserve">260. </w:t>
      </w:r>
    </w:p>
    <w:p w:rsidR="00D35B0C" w:rsidRPr="00342D7E" w:rsidRDefault="00A834F1">
      <w:pPr>
        <w:pStyle w:val="Baseparagraphnumbered"/>
        <w:tabs>
          <w:tab w:val="left" w:pos="851"/>
        </w:tabs>
        <w:ind w:left="709"/>
      </w:pPr>
      <w:r w:rsidRPr="00342D7E">
        <w:t>Jeżeli zakres działań restrukturyzacyjnych rozszerzono na ekspozycje, które były nieobsługiwane przed objęciem ich tymi działaniami, kwotę tych ekspozycji restrukturyzowanych zgłasza się odrębnie</w:t>
      </w:r>
      <w:r w:rsidR="00342D7E" w:rsidRPr="00342D7E">
        <w:t xml:space="preserve"> w</w:t>
      </w:r>
      <w:r w:rsidR="00342D7E">
        <w:t> </w:t>
      </w:r>
      <w:r w:rsidR="00342D7E" w:rsidRPr="00342D7E">
        <w:t>kol</w:t>
      </w:r>
      <w:r w:rsidRPr="00342D7E">
        <w:t>umnie „w tym: restrukturyzacja ekspozycji uznanych za nieobsługiwane przed restrukturyzacją”.</w:t>
      </w:r>
    </w:p>
    <w:p w:rsidR="00D35B0C" w:rsidRPr="00342D7E" w:rsidRDefault="00A834F1">
      <w:pPr>
        <w:pStyle w:val="Baseparagraphnumbered"/>
        <w:tabs>
          <w:tab w:val="left" w:pos="851"/>
        </w:tabs>
        <w:ind w:left="709"/>
      </w:pPr>
      <w:r w:rsidRPr="00342D7E">
        <w:t>Następujące ekspozycje nieobsługiwane objęte działaniami restrukturyzacyjnymi zgłasza się</w:t>
      </w:r>
      <w:r w:rsidR="00342D7E" w:rsidRPr="00342D7E">
        <w:t xml:space="preserve"> w</w:t>
      </w:r>
      <w:r w:rsidR="00342D7E">
        <w:t> </w:t>
      </w:r>
      <w:r w:rsidR="00342D7E" w:rsidRPr="00342D7E">
        <w:t>odr</w:t>
      </w:r>
      <w:r w:rsidRPr="00342D7E">
        <w:t>ębnych kolumnach:</w:t>
      </w:r>
    </w:p>
    <w:p w:rsidR="00D35B0C" w:rsidRPr="00342D7E" w:rsidRDefault="00A834F1" w:rsidP="00056B6F">
      <w:pPr>
        <w:pStyle w:val="Text1"/>
        <w:numPr>
          <w:ilvl w:val="0"/>
          <w:numId w:val="75"/>
        </w:numPr>
        <w:ind w:left="1134"/>
      </w:pPr>
      <w:proofErr w:type="gramStart"/>
      <w:r w:rsidRPr="00342D7E">
        <w:t>ekspozycje</w:t>
      </w:r>
      <w:proofErr w:type="gramEnd"/>
      <w:r w:rsidRPr="00342D7E">
        <w:t>, które uznaje się za dotknięte utratą wartości zgodnie</w:t>
      </w:r>
      <w:r w:rsidR="00342D7E" w:rsidRPr="00342D7E">
        <w:t xml:space="preserve"> z</w:t>
      </w:r>
      <w:r w:rsidR="00342D7E">
        <w:t> </w:t>
      </w:r>
      <w:r w:rsidR="00342D7E" w:rsidRPr="00342D7E">
        <w:t>maj</w:t>
      </w:r>
      <w:r w:rsidRPr="00342D7E">
        <w:t>ącymi zastosowanie standardami rachunkowości. Zgodnie z MSSF</w:t>
      </w:r>
      <w:r w:rsidR="00342D7E" w:rsidRPr="00342D7E">
        <w:t xml:space="preserve"> w</w:t>
      </w:r>
      <w:r w:rsidR="00342D7E">
        <w:t> </w:t>
      </w:r>
      <w:r w:rsidR="00342D7E" w:rsidRPr="00342D7E">
        <w:t>kol</w:t>
      </w:r>
      <w:r w:rsidRPr="00342D7E">
        <w:t>umnie tej zgłasza się kwotę aktywów dotkniętych utratą wartości ze względu na ryzyko kredytowe (faza 3),</w:t>
      </w:r>
      <w:r w:rsidR="00342D7E" w:rsidRPr="00342D7E">
        <w:t xml:space="preserve"> w</w:t>
      </w:r>
      <w:r w:rsidR="00342D7E">
        <w:t> </w:t>
      </w:r>
      <w:r w:rsidR="00342D7E" w:rsidRPr="00342D7E">
        <w:t>tym</w:t>
      </w:r>
      <w:r w:rsidRPr="00342D7E">
        <w:t xml:space="preserve"> zakupionych lub utworzonych aktywów dotkniętych utratą wartości ze względu na ryzyko kredytowe zgłoszonych</w:t>
      </w:r>
      <w:r w:rsidR="00342D7E" w:rsidRPr="00342D7E">
        <w:t xml:space="preserve"> w</w:t>
      </w:r>
      <w:r w:rsidR="00342D7E">
        <w:t> </w:t>
      </w:r>
      <w:r w:rsidR="00342D7E" w:rsidRPr="00342D7E">
        <w:t>tej</w:t>
      </w:r>
      <w:r w:rsidRPr="00342D7E">
        <w:t xml:space="preserve"> fazie zgodnie</w:t>
      </w:r>
      <w:r w:rsidR="00342D7E" w:rsidRPr="00342D7E">
        <w:t xml:space="preserve"> z</w:t>
      </w:r>
      <w:r w:rsidR="00342D7E">
        <w:t> </w:t>
      </w:r>
      <w:r w:rsidR="00342D7E" w:rsidRPr="00342D7E">
        <w:t>pkt </w:t>
      </w:r>
      <w:r w:rsidRPr="00342D7E">
        <w:t>77 niniejszej części;</w:t>
      </w:r>
    </w:p>
    <w:p w:rsidR="00D35B0C" w:rsidRPr="00342D7E" w:rsidRDefault="00A834F1" w:rsidP="00056B6F">
      <w:pPr>
        <w:pStyle w:val="Text1"/>
        <w:numPr>
          <w:ilvl w:val="0"/>
          <w:numId w:val="75"/>
        </w:numPr>
        <w:ind w:left="1134"/>
      </w:pPr>
      <w:proofErr w:type="gramStart"/>
      <w:r w:rsidRPr="00342D7E">
        <w:t>ekspozycje</w:t>
      </w:r>
      <w:proofErr w:type="gramEnd"/>
      <w:r w:rsidRPr="00342D7E">
        <w:t>,</w:t>
      </w:r>
      <w:r w:rsidR="00342D7E" w:rsidRPr="00342D7E">
        <w:t xml:space="preserve"> w</w:t>
      </w:r>
      <w:r w:rsidR="00342D7E">
        <w:t> </w:t>
      </w:r>
      <w:r w:rsidR="00342D7E" w:rsidRPr="00342D7E">
        <w:t>odn</w:t>
      </w:r>
      <w:r w:rsidRPr="00342D7E">
        <w:t>iesieniu do których uznaje się, że miało miejsce niewykonanie zobowiązania zgodnie</w:t>
      </w:r>
      <w:r w:rsidR="00342D7E" w:rsidRPr="00342D7E">
        <w:t xml:space="preserve"> z</w:t>
      </w:r>
      <w:r w:rsidR="00342D7E">
        <w:t> </w:t>
      </w:r>
      <w:r w:rsidR="00342D7E" w:rsidRPr="00342D7E">
        <w:t>art</w:t>
      </w:r>
      <w:r w:rsidRPr="00342D7E">
        <w:t>.</w:t>
      </w:r>
      <w:r w:rsidR="00342D7E" w:rsidRPr="00342D7E">
        <w:t> </w:t>
      </w:r>
      <w:r w:rsidRPr="00342D7E">
        <w:t>178 CRR.</w:t>
      </w:r>
    </w:p>
    <w:p w:rsidR="00D35B0C" w:rsidRPr="00342D7E" w:rsidRDefault="00A834F1">
      <w:pPr>
        <w:pStyle w:val="Baseparagraphnumbered"/>
        <w:tabs>
          <w:tab w:val="left" w:pos="851"/>
        </w:tabs>
        <w:ind w:left="709"/>
      </w:pPr>
      <w:r w:rsidRPr="00342D7E">
        <w:t>Kolumna „Refinansowanie” obejmuje wartość bilansową brutto nowej umowy („dług refinansujący”) przyznaną</w:t>
      </w:r>
      <w:r w:rsidR="00342D7E" w:rsidRPr="00342D7E">
        <w:t xml:space="preserve"> w</w:t>
      </w:r>
      <w:r w:rsidR="00342D7E">
        <w:t> </w:t>
      </w:r>
      <w:r w:rsidR="00342D7E" w:rsidRPr="00342D7E">
        <w:t>ram</w:t>
      </w:r>
      <w:r w:rsidRPr="00342D7E">
        <w:t>ach transakcji refinansowania, która kwalifikuje się jako działanie restrukturyzacyjne,</w:t>
      </w:r>
      <w:r w:rsidR="00342D7E" w:rsidRPr="00342D7E">
        <w:t xml:space="preserve"> a</w:t>
      </w:r>
      <w:r w:rsidR="00342D7E">
        <w:t> </w:t>
      </w:r>
      <w:r w:rsidR="00342D7E" w:rsidRPr="00342D7E">
        <w:t>tak</w:t>
      </w:r>
      <w:r w:rsidRPr="00342D7E">
        <w:t xml:space="preserve">że wartość bilansową brutto starej spłaconej umowy, która jest nadal należna. </w:t>
      </w:r>
    </w:p>
    <w:p w:rsidR="00D35B0C" w:rsidRPr="00342D7E" w:rsidRDefault="00A834F1">
      <w:pPr>
        <w:pStyle w:val="Baseparagraphnumbered"/>
        <w:tabs>
          <w:tab w:val="left" w:pos="851"/>
        </w:tabs>
        <w:ind w:left="709"/>
      </w:pPr>
      <w:r w:rsidRPr="00342D7E">
        <w:t>Ekspozycje restrukturyzowane, których dotyczą jednocześnie zmiany warunków</w:t>
      </w:r>
      <w:r w:rsidR="00342D7E" w:rsidRPr="00342D7E">
        <w:t xml:space="preserve"> i</w:t>
      </w:r>
      <w:r w:rsidR="00342D7E">
        <w:t> </w:t>
      </w:r>
      <w:r w:rsidR="00342D7E" w:rsidRPr="00342D7E">
        <w:t>ref</w:t>
      </w:r>
      <w:r w:rsidRPr="00342D7E">
        <w:t>inansowanie, zgłasza się</w:t>
      </w:r>
      <w:r w:rsidR="00342D7E" w:rsidRPr="00342D7E">
        <w:t xml:space="preserve"> w</w:t>
      </w:r>
      <w:r w:rsidR="00342D7E">
        <w:t> </w:t>
      </w:r>
      <w:r w:rsidR="00342D7E" w:rsidRPr="00342D7E">
        <w:t>kol</w:t>
      </w:r>
      <w:r w:rsidRPr="00342D7E">
        <w:t>umnie „Instrumenty, których warunki zostały zmienione” lub</w:t>
      </w:r>
      <w:r w:rsidR="00342D7E" w:rsidRPr="00342D7E">
        <w:t xml:space="preserve"> w</w:t>
      </w:r>
      <w:r w:rsidR="00342D7E">
        <w:t> </w:t>
      </w:r>
      <w:r w:rsidR="00342D7E" w:rsidRPr="00342D7E">
        <w:t>kol</w:t>
      </w:r>
      <w:r w:rsidRPr="00342D7E">
        <w:t>umnie „Refinansowanie”</w:t>
      </w:r>
      <w:r w:rsidR="00342D7E" w:rsidRPr="00342D7E">
        <w:t xml:space="preserve"> w</w:t>
      </w:r>
      <w:r w:rsidR="00342D7E">
        <w:t> </w:t>
      </w:r>
      <w:r w:rsidR="00342D7E" w:rsidRPr="00342D7E">
        <w:t>zal</w:t>
      </w:r>
      <w:r w:rsidRPr="00342D7E">
        <w:t>eżności od tego, który</w:t>
      </w:r>
      <w:r w:rsidR="00342D7E" w:rsidRPr="00342D7E">
        <w:t xml:space="preserve"> z</w:t>
      </w:r>
      <w:r w:rsidR="00342D7E">
        <w:t> </w:t>
      </w:r>
      <w:r w:rsidR="00342D7E" w:rsidRPr="00342D7E">
        <w:t>tyc</w:t>
      </w:r>
      <w:r w:rsidRPr="00342D7E">
        <w:t>h środków ma największy wpływ na przepływy pieniężne. Refinansowanie przez grupę banków zgłasza się</w:t>
      </w:r>
      <w:r w:rsidR="00342D7E" w:rsidRPr="00342D7E">
        <w:t xml:space="preserve"> w</w:t>
      </w:r>
      <w:r w:rsidR="00342D7E">
        <w:t> </w:t>
      </w:r>
      <w:r w:rsidR="00342D7E" w:rsidRPr="00342D7E">
        <w:t>kol</w:t>
      </w:r>
      <w:r w:rsidRPr="00342D7E">
        <w:t>umnie „Refinansowanie”</w:t>
      </w:r>
      <w:r w:rsidR="00342D7E" w:rsidRPr="00342D7E">
        <w:t xml:space="preserve"> </w:t>
      </w:r>
      <w:r w:rsidR="00342D7E" w:rsidRPr="00342D7E">
        <w:lastRenderedPageBreak/>
        <w:t>w</w:t>
      </w:r>
      <w:r w:rsidR="00342D7E">
        <w:t> </w:t>
      </w:r>
      <w:r w:rsidR="00342D7E" w:rsidRPr="00342D7E">
        <w:t>peł</w:t>
      </w:r>
      <w:r w:rsidRPr="00342D7E">
        <w:t>nej kwocie długu refinansującego przyznanego przez instytucję sprawozdającą lub długu refinansowanego jeszcze niespłaconego</w:t>
      </w:r>
      <w:r w:rsidR="00342D7E" w:rsidRPr="00342D7E">
        <w:t xml:space="preserve"> u</w:t>
      </w:r>
      <w:r w:rsidR="00342D7E">
        <w:t> </w:t>
      </w:r>
      <w:r w:rsidR="00342D7E" w:rsidRPr="00342D7E">
        <w:t>ins</w:t>
      </w:r>
      <w:r w:rsidRPr="00342D7E">
        <w:t>tytucji sprawozdającej. Przekształcenie kilku długów</w:t>
      </w:r>
      <w:r w:rsidR="00342D7E" w:rsidRPr="00342D7E">
        <w:t xml:space="preserve"> w</w:t>
      </w:r>
      <w:r w:rsidR="00342D7E">
        <w:t> </w:t>
      </w:r>
      <w:r w:rsidR="00342D7E" w:rsidRPr="00342D7E">
        <w:t>now</w:t>
      </w:r>
      <w:r w:rsidRPr="00342D7E">
        <w:t>y dług zgłasza się jako zmianę, chyba że miała również miejsce transakcja refinansowania, która ma większy wpływ na przepływy pieniężne. Jeżeli restrukturyzacja</w:t>
      </w:r>
      <w:r w:rsidR="00342D7E" w:rsidRPr="00342D7E">
        <w:t xml:space="preserve"> w</w:t>
      </w:r>
      <w:r w:rsidR="00342D7E">
        <w:t> </w:t>
      </w:r>
      <w:r w:rsidR="00342D7E" w:rsidRPr="00342D7E">
        <w:t>dro</w:t>
      </w:r>
      <w:r w:rsidRPr="00342D7E">
        <w:t>dze zmiany warunków ekspozycji zagrożonej prowadzi do zaprzestania ujmowania tej ekspozycji</w:t>
      </w:r>
      <w:r w:rsidR="00342D7E" w:rsidRPr="00342D7E">
        <w:t xml:space="preserve"> i</w:t>
      </w:r>
      <w:r w:rsidR="00342D7E">
        <w:t> </w:t>
      </w:r>
      <w:r w:rsidR="00342D7E" w:rsidRPr="00342D7E">
        <w:t>uję</w:t>
      </w:r>
      <w:r w:rsidRPr="00342D7E">
        <w:t>cia nowej ekspozycji, tę nową ekspozycję uznaje się za dług restrukturyzowany.</w:t>
      </w:r>
    </w:p>
    <w:p w:rsidR="00D35B0C" w:rsidRPr="00342D7E" w:rsidRDefault="004F1742">
      <w:pPr>
        <w:pStyle w:val="Baseparagraphnumbered"/>
        <w:tabs>
          <w:tab w:val="left" w:pos="851"/>
        </w:tabs>
        <w:ind w:left="709"/>
      </w:pPr>
      <w:r w:rsidRPr="00342D7E">
        <w:t>Skumulowaną utratę wartości, skumulowane ujemne zmiany wartości godziwej</w:t>
      </w:r>
      <w:r w:rsidR="00342D7E" w:rsidRPr="00342D7E">
        <w:t xml:space="preserve"> z</w:t>
      </w:r>
      <w:r w:rsidR="00342D7E">
        <w:t> </w:t>
      </w:r>
      <w:r w:rsidR="00342D7E" w:rsidRPr="00342D7E">
        <w:t>pow</w:t>
      </w:r>
      <w:r w:rsidRPr="00342D7E">
        <w:t>odu ryzyka kredytowego</w:t>
      </w:r>
      <w:r w:rsidR="00342D7E" w:rsidRPr="00342D7E">
        <w:t xml:space="preserve"> i</w:t>
      </w:r>
      <w:r w:rsidR="00342D7E">
        <w:t> </w:t>
      </w:r>
      <w:r w:rsidR="00342D7E" w:rsidRPr="00342D7E">
        <w:t>rez</w:t>
      </w:r>
      <w:r w:rsidRPr="00342D7E">
        <w:t>erwy zgłasza się zgodnie</w:t>
      </w:r>
      <w:r w:rsidR="00342D7E" w:rsidRPr="00342D7E">
        <w:t xml:space="preserve"> z</w:t>
      </w:r>
      <w:r w:rsidR="00342D7E">
        <w:t> </w:t>
      </w:r>
      <w:r w:rsidR="00342D7E" w:rsidRPr="00342D7E">
        <w:t>pkt </w:t>
      </w:r>
      <w:r w:rsidRPr="00342D7E">
        <w:t>11, 69–71, 106</w:t>
      </w:r>
      <w:r w:rsidR="00342D7E" w:rsidRPr="00342D7E">
        <w:t xml:space="preserve"> i</w:t>
      </w:r>
      <w:r w:rsidR="00342D7E">
        <w:t> </w:t>
      </w:r>
      <w:r w:rsidR="00342D7E" w:rsidRPr="00342D7E">
        <w:t>1</w:t>
      </w:r>
      <w:r w:rsidRPr="00342D7E">
        <w:t>10 niniejszej części.</w:t>
      </w:r>
      <w:r w:rsidR="00342D7E" w:rsidRPr="00342D7E">
        <w:t xml:space="preserve"> </w:t>
      </w:r>
    </w:p>
    <w:p w:rsidR="00D35B0C" w:rsidRPr="00342D7E" w:rsidRDefault="00A834F1">
      <w:pPr>
        <w:pStyle w:val="Baseparagraphnumbered"/>
        <w:tabs>
          <w:tab w:val="left" w:pos="851"/>
        </w:tabs>
        <w:ind w:left="709"/>
      </w:pPr>
      <w:r w:rsidRPr="00342D7E">
        <w:t>Zabezpieczenia</w:t>
      </w:r>
      <w:r w:rsidR="00342D7E" w:rsidRPr="00342D7E">
        <w:t xml:space="preserve"> i</w:t>
      </w:r>
      <w:r w:rsidR="00342D7E">
        <w:t> </w:t>
      </w:r>
      <w:r w:rsidR="00342D7E" w:rsidRPr="00342D7E">
        <w:t>gwa</w:t>
      </w:r>
      <w:r w:rsidRPr="00342D7E">
        <w:t>rancje otrzymane</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eks</w:t>
      </w:r>
      <w:r w:rsidRPr="00342D7E">
        <w:t>pozycjami objętymi działaniami restrukturyzacyjnymi zgłasza się</w:t>
      </w:r>
      <w:r w:rsidR="00342D7E" w:rsidRPr="00342D7E">
        <w:t xml:space="preserve"> w</w:t>
      </w:r>
      <w:r w:rsidR="00342D7E">
        <w:t> </w:t>
      </w:r>
      <w:r w:rsidR="00342D7E" w:rsidRPr="00342D7E">
        <w:t>odn</w:t>
      </w:r>
      <w:r w:rsidRPr="00342D7E">
        <w:t>iesieniu do wszystkich ekspozycji objętych tymi działaniami, niezależnie od tego, czy mają one status ekspozycji obsługiwanych czy nieobsługiwanych. Ponadto odrębnie wykazuje się zabezpieczenia</w:t>
      </w:r>
      <w:r w:rsidR="00342D7E" w:rsidRPr="00342D7E">
        <w:t xml:space="preserve"> i</w:t>
      </w:r>
      <w:r w:rsidR="00342D7E">
        <w:t> </w:t>
      </w:r>
      <w:r w:rsidR="00342D7E" w:rsidRPr="00342D7E">
        <w:t>gwa</w:t>
      </w:r>
      <w:r w:rsidRPr="00342D7E">
        <w:t>rancje finansowe otrzymane</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eks</w:t>
      </w:r>
      <w:r w:rsidRPr="00342D7E">
        <w:t>pozycjami nieobsługiwanymi objętymi działaniami restrukturyzacyjnymi. Kwoty zgłaszane</w:t>
      </w:r>
      <w:r w:rsidR="00342D7E" w:rsidRPr="00342D7E">
        <w:t xml:space="preserve"> w</w:t>
      </w:r>
      <w:r w:rsidR="00342D7E">
        <w:t> </w:t>
      </w:r>
      <w:r w:rsidR="00342D7E" w:rsidRPr="00342D7E">
        <w:t>odn</w:t>
      </w:r>
      <w:r w:rsidRPr="00342D7E">
        <w:t>iesieniu do otrzymanych zabezpieczeń</w:t>
      </w:r>
      <w:r w:rsidR="00342D7E" w:rsidRPr="00342D7E">
        <w:t xml:space="preserve"> i</w:t>
      </w:r>
      <w:r w:rsidR="00342D7E">
        <w:t> </w:t>
      </w:r>
      <w:r w:rsidR="00342D7E" w:rsidRPr="00342D7E">
        <w:t>otr</w:t>
      </w:r>
      <w:r w:rsidRPr="00342D7E">
        <w:t>zymanych gwarancji oblicza się zgodnie</w:t>
      </w:r>
      <w:r w:rsidR="00342D7E" w:rsidRPr="00342D7E">
        <w:t xml:space="preserve"> z</w:t>
      </w:r>
      <w:r w:rsidR="00342D7E">
        <w:t> </w:t>
      </w:r>
      <w:r w:rsidR="00342D7E" w:rsidRPr="00342D7E">
        <w:t>pkt </w:t>
      </w:r>
      <w:r w:rsidRPr="00342D7E">
        <w:t>172</w:t>
      </w:r>
      <w:r w:rsidR="00342D7E" w:rsidRPr="00342D7E">
        <w:t xml:space="preserve"> i</w:t>
      </w:r>
      <w:r w:rsidR="00342D7E">
        <w:t> </w:t>
      </w:r>
      <w:r w:rsidR="00342D7E" w:rsidRPr="00342D7E">
        <w:t>1</w:t>
      </w:r>
      <w:r w:rsidRPr="00342D7E">
        <w:t>74 niniejszej części. Suma kwot zgłoszonych</w:t>
      </w:r>
      <w:r w:rsidR="00342D7E" w:rsidRPr="00342D7E">
        <w:t xml:space="preserve"> w</w:t>
      </w:r>
      <w:r w:rsidR="00342D7E">
        <w:t> </w:t>
      </w:r>
      <w:r w:rsidR="00342D7E" w:rsidRPr="00342D7E">
        <w:t>odn</w:t>
      </w:r>
      <w:r w:rsidRPr="00342D7E">
        <w:t>iesieniu do zabezpieczeń</w:t>
      </w:r>
      <w:r w:rsidR="00342D7E" w:rsidRPr="00342D7E">
        <w:t xml:space="preserve"> i</w:t>
      </w:r>
      <w:r w:rsidR="00342D7E">
        <w:t> </w:t>
      </w:r>
      <w:r w:rsidR="00342D7E" w:rsidRPr="00342D7E">
        <w:t>gwa</w:t>
      </w:r>
      <w:r w:rsidRPr="00342D7E">
        <w:t>rancji razem jest ograniczona do wartości bilansowej powiązanej ekspozycji bilansowej lub kwoty nominalnej, po odliczeniu rezerw</w:t>
      </w:r>
      <w:r w:rsidR="00342D7E" w:rsidRPr="00342D7E">
        <w:t xml:space="preserve"> z</w:t>
      </w:r>
      <w:r w:rsidR="00342D7E">
        <w:t> </w:t>
      </w:r>
      <w:r w:rsidR="00342D7E" w:rsidRPr="00342D7E">
        <w:t>tyt</w:t>
      </w:r>
      <w:r w:rsidRPr="00342D7E">
        <w:t>ułu powiązanej ekspozycji pozabilansowej.</w:t>
      </w:r>
    </w:p>
    <w:p w:rsidR="00D35B0C" w:rsidRPr="00342D7E" w:rsidRDefault="00A834F1">
      <w:pPr>
        <w:pStyle w:val="subtitlenumbered"/>
        <w:jc w:val="both"/>
      </w:pPr>
      <w:bookmarkStart w:id="59" w:name="_Toc31019161"/>
      <w:r w:rsidRPr="00342D7E">
        <w:t>Podział pod względem geograficznym (20)</w:t>
      </w:r>
      <w:bookmarkEnd w:id="59"/>
    </w:p>
    <w:p w:rsidR="00D35B0C" w:rsidRPr="00342D7E" w:rsidRDefault="00A834F1">
      <w:pPr>
        <w:pStyle w:val="Baseparagraphnumbered"/>
      </w:pPr>
      <w:r w:rsidRPr="00342D7E">
        <w:t>Instytucja korzysta ze wzoru 20</w:t>
      </w:r>
      <w:r w:rsidR="00342D7E" w:rsidRPr="00342D7E">
        <w:t xml:space="preserve"> w</w:t>
      </w:r>
      <w:r w:rsidR="00342D7E">
        <w:t> </w:t>
      </w:r>
      <w:r w:rsidR="00342D7E" w:rsidRPr="00342D7E">
        <w:t>prz</w:t>
      </w:r>
      <w:r w:rsidRPr="00342D7E">
        <w:t>ypadku przekroczenia progu opisanego</w:t>
      </w:r>
      <w:r w:rsidR="00342D7E" w:rsidRPr="00342D7E">
        <w:t xml:space="preserve"> w</w:t>
      </w:r>
      <w:r w:rsidR="00342D7E">
        <w:t> </w:t>
      </w:r>
      <w:r w:rsidR="00342D7E" w:rsidRPr="00342D7E">
        <w:t>art</w:t>
      </w:r>
      <w:r w:rsidRPr="00342D7E">
        <w:t>.</w:t>
      </w:r>
      <w:r w:rsidR="00342D7E" w:rsidRPr="00342D7E">
        <w:t> </w:t>
      </w:r>
      <w:r w:rsidRPr="00342D7E">
        <w:t>5 lit.</w:t>
      </w:r>
      <w:r w:rsidR="00342D7E" w:rsidRPr="00342D7E">
        <w:t> </w:t>
      </w:r>
      <w:r w:rsidRPr="00342D7E">
        <w:t>a) pkt</w:t>
      </w:r>
      <w:r w:rsidR="00342D7E" w:rsidRPr="00342D7E">
        <w:t> </w:t>
      </w:r>
      <w:r w:rsidRPr="00342D7E">
        <w:t xml:space="preserve">4 niniejszego rozporządzenia. </w:t>
      </w:r>
    </w:p>
    <w:p w:rsidR="00D35B0C" w:rsidRPr="00342D7E" w:rsidRDefault="00A834F1">
      <w:pPr>
        <w:pStyle w:val="sub-subtitlenumbered"/>
        <w:jc w:val="both"/>
      </w:pPr>
      <w:bookmarkStart w:id="60" w:name="_Toc31019162"/>
      <w:r w:rsidRPr="00342D7E">
        <w:t>Podział pod względem geograficznym według miejsca wykonywania działalności (20.1–20.3)</w:t>
      </w:r>
      <w:bookmarkEnd w:id="60"/>
    </w:p>
    <w:p w:rsidR="00D35B0C" w:rsidRPr="00342D7E" w:rsidRDefault="00A834F1">
      <w:pPr>
        <w:pStyle w:val="Baseparagraphnumbered"/>
      </w:pPr>
      <w:r w:rsidRPr="00342D7E">
        <w:t xml:space="preserve">W podziale działalności pod względem geograficznym według miejsca wykonywania działalności we wzorach 20.1–20.3 </w:t>
      </w:r>
      <w:proofErr w:type="gramStart"/>
      <w:r w:rsidRPr="00342D7E">
        <w:t>dokonuje</w:t>
      </w:r>
      <w:proofErr w:type="gramEnd"/>
      <w:r w:rsidRPr="00342D7E">
        <w:t xml:space="preserve"> się rozróżnienia między „działalnością krajową” a „działalnością zagraniczną”. Do celów niniejszej części „miejsce wykonywania działalności” oznacza jurysdykcję,</w:t>
      </w:r>
      <w:r w:rsidR="00342D7E" w:rsidRPr="00342D7E">
        <w:t xml:space="preserve"> w</w:t>
      </w:r>
      <w:r w:rsidR="00342D7E">
        <w:t> </w:t>
      </w:r>
      <w:r w:rsidR="00342D7E" w:rsidRPr="00342D7E">
        <w:t>któ</w:t>
      </w:r>
      <w:r w:rsidRPr="00342D7E">
        <w:t>rej zarejestrowano podmiot prawny, który ujął odpowiedni składnik aktywów lub zobowiązanie</w:t>
      </w:r>
      <w:r w:rsidR="00342D7E" w:rsidRPr="00342D7E">
        <w:t>. W</w:t>
      </w:r>
      <w:r w:rsidR="00342D7E">
        <w:t> </w:t>
      </w:r>
      <w:r w:rsidR="00342D7E" w:rsidRPr="00342D7E">
        <w:t>prz</w:t>
      </w:r>
      <w:r w:rsidRPr="00342D7E">
        <w:t>ypadku oddziałów pozycja ta odnosi się do jurysdykcji ich siedziby. „Działalność krajowa” obejmuje działalność ujmowaną</w:t>
      </w:r>
      <w:r w:rsidR="00342D7E" w:rsidRPr="00342D7E">
        <w:t xml:space="preserve"> w</w:t>
      </w:r>
      <w:r w:rsidR="00342D7E">
        <w:t> </w:t>
      </w:r>
      <w:r w:rsidR="00342D7E" w:rsidRPr="00342D7E">
        <w:t>pań</w:t>
      </w:r>
      <w:r w:rsidRPr="00342D7E">
        <w:t>stwie członkowskim,</w:t>
      </w:r>
      <w:r w:rsidR="00342D7E" w:rsidRPr="00342D7E">
        <w:t xml:space="preserve"> w</w:t>
      </w:r>
      <w:r w:rsidR="00342D7E">
        <w:t> </w:t>
      </w:r>
      <w:r w:rsidR="00342D7E" w:rsidRPr="00342D7E">
        <w:t>któ</w:t>
      </w:r>
      <w:r w:rsidRPr="00342D7E">
        <w:t>rym mieści się instytucja sprawozdająca.</w:t>
      </w:r>
    </w:p>
    <w:p w:rsidR="00D35B0C" w:rsidRPr="00342D7E" w:rsidRDefault="00A834F1">
      <w:pPr>
        <w:pStyle w:val="sub-subtitlenumbered"/>
        <w:jc w:val="both"/>
      </w:pPr>
      <w:bookmarkStart w:id="61" w:name="_Toc31019163"/>
      <w:r w:rsidRPr="00342D7E">
        <w:t>Podział pod względem geograficznym według siedziby kontrahenta (20.4-20.7)</w:t>
      </w:r>
      <w:bookmarkEnd w:id="61"/>
    </w:p>
    <w:p w:rsidR="00D35B0C" w:rsidRPr="00342D7E" w:rsidRDefault="00A834F1">
      <w:pPr>
        <w:pStyle w:val="Baseparagraphnumbered"/>
      </w:pPr>
      <w:r w:rsidRPr="00342D7E">
        <w:t xml:space="preserve">Wzory 20.4–20.7 </w:t>
      </w:r>
      <w:proofErr w:type="gramStart"/>
      <w:r w:rsidRPr="00342D7E">
        <w:t>zawierają</w:t>
      </w:r>
      <w:proofErr w:type="gramEnd"/>
      <w:r w:rsidRPr="00342D7E">
        <w:t xml:space="preserve"> informacje dotyczące „poszczególnych państw”</w:t>
      </w:r>
      <w:r w:rsidR="00342D7E" w:rsidRPr="00342D7E">
        <w:t xml:space="preserve"> z</w:t>
      </w:r>
      <w:r w:rsidR="00342D7E">
        <w:t> </w:t>
      </w:r>
      <w:r w:rsidR="00342D7E" w:rsidRPr="00342D7E">
        <w:t>pod</w:t>
      </w:r>
      <w:r w:rsidRPr="00342D7E">
        <w:t>ziałem według siedziby bezpośredniego kontrahenta, jak określono</w:t>
      </w:r>
      <w:r w:rsidR="00342D7E" w:rsidRPr="00342D7E">
        <w:t xml:space="preserve"> w</w:t>
      </w:r>
      <w:r w:rsidR="00342D7E">
        <w:t> </w:t>
      </w:r>
      <w:r w:rsidR="00342D7E" w:rsidRPr="00342D7E">
        <w:t>czę</w:t>
      </w:r>
      <w:r w:rsidRPr="00342D7E">
        <w:t>ści 1 pkt</w:t>
      </w:r>
      <w:r w:rsidR="00342D7E" w:rsidRPr="00342D7E">
        <w:t> </w:t>
      </w:r>
      <w:r w:rsidRPr="00342D7E">
        <w:t>43 niniejszego załącznika. Przedstawiony podział obejmuje ekspozycje lub zobowiązania wobec rezydentów</w:t>
      </w:r>
      <w:r w:rsidR="00342D7E" w:rsidRPr="00342D7E">
        <w:t xml:space="preserve"> w</w:t>
      </w:r>
      <w:r w:rsidR="00342D7E">
        <w:t> </w:t>
      </w:r>
      <w:r w:rsidR="00342D7E" w:rsidRPr="00342D7E">
        <w:t>każ</w:t>
      </w:r>
      <w:r w:rsidRPr="00342D7E">
        <w:t>dym państwie obcym,</w:t>
      </w:r>
      <w:r w:rsidR="00342D7E" w:rsidRPr="00342D7E">
        <w:t xml:space="preserve"> w</w:t>
      </w:r>
      <w:r w:rsidR="00342D7E">
        <w:t> </w:t>
      </w:r>
      <w:r w:rsidR="00342D7E" w:rsidRPr="00342D7E">
        <w:t>któ</w:t>
      </w:r>
      <w:r w:rsidRPr="00342D7E">
        <w:t xml:space="preserve">rym instytucja posiada ekspozycje. Ekspozycji lub zobowiązań </w:t>
      </w:r>
      <w:r w:rsidRPr="00342D7E">
        <w:lastRenderedPageBreak/>
        <w:t>wobec organizacji międzynarodowych</w:t>
      </w:r>
      <w:r w:rsidR="00342D7E" w:rsidRPr="00342D7E">
        <w:t xml:space="preserve"> i</w:t>
      </w:r>
      <w:r w:rsidR="00342D7E">
        <w:t> </w:t>
      </w:r>
      <w:r w:rsidR="00342D7E" w:rsidRPr="00342D7E">
        <w:t>wie</w:t>
      </w:r>
      <w:r w:rsidRPr="00342D7E">
        <w:t>lostronnych banków rozwoju nie przypisuje się do państwa siedziby instytucji, tylko do obszaru geograficznego „Inne państwa”.</w:t>
      </w:r>
    </w:p>
    <w:p w:rsidR="00D35B0C" w:rsidRPr="00342D7E" w:rsidRDefault="00A834F1">
      <w:pPr>
        <w:pStyle w:val="Baseparagraphnumbered"/>
      </w:pPr>
      <w:r w:rsidRPr="00342D7E">
        <w:t>„Instrumenty pochodne” obejmują zarówno instrumenty pochodne przeznaczone do obrotu,</w:t>
      </w:r>
      <w:r w:rsidR="00342D7E" w:rsidRPr="00342D7E">
        <w:t xml:space="preserve"> w</w:t>
      </w:r>
      <w:r w:rsidR="00342D7E">
        <w:t> </w:t>
      </w:r>
      <w:r w:rsidR="00342D7E" w:rsidRPr="00342D7E">
        <w:t>tym</w:t>
      </w:r>
      <w:r w:rsidRPr="00342D7E">
        <w:t xml:space="preserve"> zabezpieczenia ekonomiczne, jak</w:t>
      </w:r>
      <w:r w:rsidR="00342D7E" w:rsidRPr="00342D7E">
        <w:t xml:space="preserve"> i</w:t>
      </w:r>
      <w:r w:rsidR="00342D7E">
        <w:t> </w:t>
      </w:r>
      <w:r w:rsidR="00342D7E" w:rsidRPr="00342D7E">
        <w:t>zab</w:t>
      </w:r>
      <w:r w:rsidRPr="00342D7E">
        <w:t>ezpieczające instrumenty pochodne zgodnie z MSSF</w:t>
      </w:r>
      <w:r w:rsidR="00342D7E" w:rsidRPr="00342D7E">
        <w:t xml:space="preserve"> i</w:t>
      </w:r>
      <w:r w:rsidR="00342D7E">
        <w:t> </w:t>
      </w:r>
      <w:r w:rsidR="00342D7E" w:rsidRPr="00342D7E">
        <w:t>zgo</w:t>
      </w:r>
      <w:r w:rsidRPr="00342D7E">
        <w:t>dnie</w:t>
      </w:r>
      <w:r w:rsidR="00342D7E" w:rsidRPr="00342D7E">
        <w:t xml:space="preserve"> z</w:t>
      </w:r>
      <w:r w:rsidR="00342D7E">
        <w:t> </w:t>
      </w:r>
      <w:r w:rsidR="00342D7E" w:rsidRPr="00342D7E">
        <w:t>kra</w:t>
      </w:r>
      <w:r w:rsidRPr="00342D7E">
        <w:t>jowymi ogólnie przyjętymi zasadami rachunkowości, zgłaszane we wzorach 10</w:t>
      </w:r>
      <w:r w:rsidR="00342D7E" w:rsidRPr="00342D7E">
        <w:t xml:space="preserve"> i</w:t>
      </w:r>
      <w:r w:rsidR="00342D7E">
        <w:t> </w:t>
      </w:r>
      <w:r w:rsidR="00342D7E" w:rsidRPr="00342D7E">
        <w:t>1</w:t>
      </w:r>
      <w:r w:rsidRPr="00342D7E">
        <w:t xml:space="preserve">1. </w:t>
      </w:r>
    </w:p>
    <w:p w:rsidR="00D35B0C" w:rsidRPr="00342D7E" w:rsidRDefault="00A834F1">
      <w:pPr>
        <w:pStyle w:val="Baseparagraphnumbered"/>
      </w:pPr>
      <w:r w:rsidRPr="00342D7E">
        <w:t>Aktywa przeznaczone do obrotu zgodnie z MSSF</w:t>
      </w:r>
      <w:r w:rsidR="00342D7E" w:rsidRPr="00342D7E">
        <w:t xml:space="preserve"> i</w:t>
      </w:r>
      <w:r w:rsidR="00342D7E">
        <w:t> </w:t>
      </w:r>
      <w:r w:rsidR="00342D7E" w:rsidRPr="00342D7E">
        <w:t>akt</w:t>
      </w:r>
      <w:r w:rsidRPr="00342D7E">
        <w:t>ywa</w:t>
      </w:r>
      <w:r w:rsidR="00342D7E" w:rsidRPr="00342D7E">
        <w:t xml:space="preserve"> z</w:t>
      </w:r>
      <w:r w:rsidR="00342D7E">
        <w:t> </w:t>
      </w:r>
      <w:r w:rsidR="00342D7E" w:rsidRPr="00342D7E">
        <w:t>prz</w:t>
      </w:r>
      <w:r w:rsidRPr="00342D7E">
        <w:t>eznaczeniem do obrotu zgodnie</w:t>
      </w:r>
      <w:r w:rsidR="00342D7E" w:rsidRPr="00342D7E">
        <w:t xml:space="preserve"> z</w:t>
      </w:r>
      <w:r w:rsidR="00342D7E">
        <w:t> </w:t>
      </w:r>
      <w:r w:rsidR="00342D7E" w:rsidRPr="00342D7E">
        <w:t>kra</w:t>
      </w:r>
      <w:r w:rsidRPr="00342D7E">
        <w:t>jowymi ogólnie przyjętymi zasadami rachunkowości zgłasza się odrębnie. Aktywa finansowe podlegające utracie wartości mają takie samo znaczenie jak</w:t>
      </w:r>
      <w:r w:rsidR="00342D7E" w:rsidRPr="00342D7E">
        <w:t xml:space="preserve"> w</w:t>
      </w:r>
      <w:r w:rsidR="00342D7E">
        <w:t> </w:t>
      </w:r>
      <w:r w:rsidR="00342D7E" w:rsidRPr="00342D7E">
        <w:t>pkt </w:t>
      </w:r>
      <w:r w:rsidRPr="00342D7E">
        <w:t>93 niniejszej części. Aktywa wyceniane według LOCOM,</w:t>
      </w:r>
      <w:r w:rsidR="00342D7E" w:rsidRPr="00342D7E">
        <w:t xml:space="preserve"> z</w:t>
      </w:r>
      <w:r w:rsidR="00342D7E">
        <w:t> </w:t>
      </w:r>
      <w:r w:rsidR="00342D7E" w:rsidRPr="00342D7E">
        <w:t>któ</w:t>
      </w:r>
      <w:r w:rsidRPr="00342D7E">
        <w:t>rymi wiążą się korekty wartości spowodowane ryzykiem kredytowym, uznaje się za dotknięte utratą wartości.</w:t>
      </w:r>
    </w:p>
    <w:p w:rsidR="00D35B0C" w:rsidRPr="00342D7E" w:rsidRDefault="00A834F1">
      <w:pPr>
        <w:pStyle w:val="Baseparagraphnumbered"/>
      </w:pPr>
      <w:r w:rsidRPr="00342D7E">
        <w:t>We wzorach 20.4</w:t>
      </w:r>
      <w:r w:rsidR="00342D7E" w:rsidRPr="00342D7E">
        <w:t xml:space="preserve"> </w:t>
      </w:r>
      <w:proofErr w:type="gramStart"/>
      <w:r w:rsidR="00342D7E" w:rsidRPr="00342D7E">
        <w:t>i</w:t>
      </w:r>
      <w:proofErr w:type="gramEnd"/>
      <w:r w:rsidR="00342D7E">
        <w:t> </w:t>
      </w:r>
      <w:r w:rsidR="00342D7E" w:rsidRPr="00342D7E">
        <w:t>2</w:t>
      </w:r>
      <w:r w:rsidRPr="00342D7E">
        <w:t>0.7 „Skumulowaną utratę wartości” oraz „Skumulowane ujemne zmiany wartości godziwej</w:t>
      </w:r>
      <w:r w:rsidR="00342D7E" w:rsidRPr="00342D7E">
        <w:t xml:space="preserve"> z</w:t>
      </w:r>
      <w:r w:rsidR="00342D7E">
        <w:t> </w:t>
      </w:r>
      <w:r w:rsidR="00342D7E" w:rsidRPr="00342D7E">
        <w:t>pow</w:t>
      </w:r>
      <w:r w:rsidRPr="00342D7E">
        <w:t>odu ryzyka kredytowego</w:t>
      </w:r>
      <w:r w:rsidR="00342D7E" w:rsidRPr="00342D7E">
        <w:t xml:space="preserve"> z</w:t>
      </w:r>
      <w:r w:rsidR="00342D7E">
        <w:t> </w:t>
      </w:r>
      <w:r w:rsidR="00342D7E" w:rsidRPr="00342D7E">
        <w:t>tyt</w:t>
      </w:r>
      <w:r w:rsidRPr="00342D7E">
        <w:t>ułu ekspozycji nieobsługiwanych” zgłasza się zgodnie</w:t>
      </w:r>
      <w:r w:rsidR="00342D7E" w:rsidRPr="00342D7E">
        <w:t xml:space="preserve"> z</w:t>
      </w:r>
      <w:r w:rsidR="00342D7E">
        <w:t> </w:t>
      </w:r>
      <w:r w:rsidR="00342D7E" w:rsidRPr="00342D7E">
        <w:t>pkt </w:t>
      </w:r>
      <w:r w:rsidRPr="00342D7E">
        <w:t>69–71 niniejszej części.</w:t>
      </w:r>
    </w:p>
    <w:p w:rsidR="00D35B0C" w:rsidRPr="00342D7E" w:rsidRDefault="00A834F1">
      <w:pPr>
        <w:pStyle w:val="Baseparagraphnumbered"/>
      </w:pPr>
      <w:r w:rsidRPr="00342D7E">
        <w:t xml:space="preserve">W odniesieniu do instrumentów dłużnych we wzorze 20.4 </w:t>
      </w:r>
      <w:proofErr w:type="gramStart"/>
      <w:r w:rsidRPr="00342D7E">
        <w:t>zgłasza</w:t>
      </w:r>
      <w:proofErr w:type="gramEnd"/>
      <w:r w:rsidRPr="00342D7E">
        <w:t xml:space="preserve"> się „wartość bilansową brutto” ustaloną zgodnie</w:t>
      </w:r>
      <w:r w:rsidR="00342D7E" w:rsidRPr="00342D7E">
        <w:t xml:space="preserve"> z</w:t>
      </w:r>
      <w:r w:rsidR="00342D7E">
        <w:t> </w:t>
      </w:r>
      <w:r w:rsidR="00342D7E" w:rsidRPr="00342D7E">
        <w:t>czę</w:t>
      </w:r>
      <w:r w:rsidRPr="00342D7E">
        <w:t>ścią 1 pkt</w:t>
      </w:r>
      <w:r w:rsidR="00342D7E" w:rsidRPr="00342D7E">
        <w:t> </w:t>
      </w:r>
      <w:r w:rsidRPr="00342D7E">
        <w:t>34 niniejszego załącznika</w:t>
      </w:r>
      <w:r w:rsidR="00342D7E" w:rsidRPr="00342D7E">
        <w:t>. W</w:t>
      </w:r>
      <w:r w:rsidR="00342D7E">
        <w:t> </w:t>
      </w:r>
      <w:r w:rsidR="00342D7E" w:rsidRPr="00342D7E">
        <w:t>odn</w:t>
      </w:r>
      <w:r w:rsidRPr="00342D7E">
        <w:t>iesieniu do instrumentów pochodnych</w:t>
      </w:r>
      <w:r w:rsidR="00342D7E" w:rsidRPr="00342D7E">
        <w:t xml:space="preserve"> i</w:t>
      </w:r>
      <w:r w:rsidR="00342D7E">
        <w:t> </w:t>
      </w:r>
      <w:r w:rsidR="00342D7E" w:rsidRPr="00342D7E">
        <w:t>ins</w:t>
      </w:r>
      <w:r w:rsidRPr="00342D7E">
        <w:t>trumentów udziałowych kwota, którą należy zgłosić, odpowiada wartości bilansowej</w:t>
      </w:r>
      <w:r w:rsidR="00342D7E" w:rsidRPr="00342D7E">
        <w:t>. W</w:t>
      </w:r>
      <w:r w:rsidR="00342D7E">
        <w:t> </w:t>
      </w:r>
      <w:r w:rsidR="00342D7E" w:rsidRPr="00342D7E">
        <w:t>kol</w:t>
      </w:r>
      <w:r w:rsidRPr="00342D7E">
        <w:t>umnie „W tym: nieobsługiwane” zgłasza się instrumenty dłużne</w:t>
      </w:r>
      <w:r w:rsidR="00342D7E" w:rsidRPr="00342D7E">
        <w:t xml:space="preserve"> w</w:t>
      </w:r>
      <w:r w:rsidR="00342D7E">
        <w:t> </w:t>
      </w:r>
      <w:r w:rsidR="00342D7E" w:rsidRPr="00342D7E">
        <w:t>spo</w:t>
      </w:r>
      <w:r w:rsidRPr="00342D7E">
        <w:t>sób określony</w:t>
      </w:r>
      <w:r w:rsidR="00342D7E" w:rsidRPr="00342D7E">
        <w:t xml:space="preserve"> w</w:t>
      </w:r>
      <w:r w:rsidR="00342D7E">
        <w:t> </w:t>
      </w:r>
      <w:r w:rsidR="00342D7E" w:rsidRPr="00342D7E">
        <w:t>pkt </w:t>
      </w:r>
      <w:r w:rsidRPr="00342D7E">
        <w:t>213–239 lub</w:t>
      </w:r>
      <w:r w:rsidR="00342D7E" w:rsidRPr="00342D7E">
        <w:t> </w:t>
      </w:r>
      <w:r w:rsidRPr="00342D7E">
        <w:t>260 niniejszej części. Restrukturyzowane zadłużenie obejmuje wszystkie umowy „dłużne” na potrzeby wzoru 19, które są objęte zakresem działań restrukturyzacyjnych zdefiniowanych</w:t>
      </w:r>
      <w:r w:rsidR="00342D7E" w:rsidRPr="00342D7E">
        <w:t xml:space="preserve"> w</w:t>
      </w:r>
      <w:r w:rsidR="00342D7E">
        <w:t> </w:t>
      </w:r>
      <w:r w:rsidR="00342D7E" w:rsidRPr="00342D7E">
        <w:t>pkt </w:t>
      </w:r>
      <w:r w:rsidRPr="00342D7E">
        <w:t xml:space="preserve">240–268 niniejszej części. </w:t>
      </w:r>
    </w:p>
    <w:p w:rsidR="00D35B0C" w:rsidRPr="00342D7E" w:rsidRDefault="00A834F1">
      <w:pPr>
        <w:pStyle w:val="Baseparagraphnumbered"/>
      </w:pPr>
      <w:r w:rsidRPr="00342D7E">
        <w:t>We wzorze 20.5</w:t>
      </w:r>
      <w:r w:rsidR="00342D7E" w:rsidRPr="00342D7E">
        <w:t xml:space="preserve"> </w:t>
      </w:r>
      <w:proofErr w:type="gramStart"/>
      <w:r w:rsidR="00342D7E" w:rsidRPr="00342D7E">
        <w:t>w</w:t>
      </w:r>
      <w:proofErr w:type="gramEnd"/>
      <w:r w:rsidR="00342D7E">
        <w:t> </w:t>
      </w:r>
      <w:r w:rsidR="00342D7E" w:rsidRPr="00342D7E">
        <w:t>poz</w:t>
      </w:r>
      <w:r w:rsidRPr="00342D7E">
        <w:t>ycji „Rezerwy na udzielone zobowiązania</w:t>
      </w:r>
      <w:r w:rsidR="00342D7E" w:rsidRPr="00342D7E">
        <w:t xml:space="preserve"> i</w:t>
      </w:r>
      <w:r w:rsidR="00342D7E">
        <w:t> </w:t>
      </w:r>
      <w:r w:rsidR="00342D7E" w:rsidRPr="00342D7E">
        <w:t>gwa</w:t>
      </w:r>
      <w:r w:rsidRPr="00342D7E">
        <w:t>rancje” uwzględnia się rezerwy wyceniane zgodnie z MSR 37, straty kredytowe</w:t>
      </w:r>
      <w:r w:rsidR="00342D7E" w:rsidRPr="00342D7E">
        <w:t xml:space="preserve"> z</w:t>
      </w:r>
      <w:r w:rsidR="00342D7E">
        <w:t> </w:t>
      </w:r>
      <w:r w:rsidR="00342D7E" w:rsidRPr="00342D7E">
        <w:t>tyt</w:t>
      </w:r>
      <w:r w:rsidRPr="00342D7E">
        <w:t>ułu gwarancji finansowych traktowanych jako umowy ubezpieczenia na podstawie MSSF 4 oraz rezerwy na zobowiązania do udzielenia pożyczki</w:t>
      </w:r>
      <w:r w:rsidR="00342D7E" w:rsidRPr="00342D7E">
        <w:t xml:space="preserve"> i</w:t>
      </w:r>
      <w:r w:rsidR="00342D7E">
        <w:t> </w:t>
      </w:r>
      <w:r w:rsidR="00342D7E" w:rsidRPr="00342D7E">
        <w:t>gwa</w:t>
      </w:r>
      <w:r w:rsidRPr="00342D7E">
        <w:t>rancje finansowe zgodnie</w:t>
      </w:r>
      <w:r w:rsidR="00342D7E" w:rsidRPr="00342D7E">
        <w:t xml:space="preserve"> z</w:t>
      </w:r>
      <w:r w:rsidR="00342D7E">
        <w:t> </w:t>
      </w:r>
      <w:r w:rsidR="00342D7E" w:rsidRPr="00342D7E">
        <w:t>wym</w:t>
      </w:r>
      <w:r w:rsidRPr="00342D7E">
        <w:t>ogami</w:t>
      </w:r>
      <w:r w:rsidR="00342D7E" w:rsidRPr="00342D7E">
        <w:t xml:space="preserve"> z</w:t>
      </w:r>
      <w:r w:rsidR="00342D7E">
        <w:t> </w:t>
      </w:r>
      <w:r w:rsidR="00342D7E" w:rsidRPr="00342D7E">
        <w:t>zak</w:t>
      </w:r>
      <w:r w:rsidRPr="00342D7E">
        <w:t>resu utraty wartości przewidzianymi w MSSF 9,</w:t>
      </w:r>
      <w:r w:rsidR="00342D7E" w:rsidRPr="00342D7E">
        <w:t xml:space="preserve"> a</w:t>
      </w:r>
      <w:r w:rsidR="00342D7E">
        <w:t> </w:t>
      </w:r>
      <w:r w:rsidR="00342D7E" w:rsidRPr="00342D7E">
        <w:t>tak</w:t>
      </w:r>
      <w:r w:rsidRPr="00342D7E">
        <w:t>że rezerwy na zobowiązania</w:t>
      </w:r>
      <w:r w:rsidR="00342D7E" w:rsidRPr="00342D7E">
        <w:t xml:space="preserve"> i</w:t>
      </w:r>
      <w:r w:rsidR="00342D7E">
        <w:t> </w:t>
      </w:r>
      <w:r w:rsidR="00342D7E" w:rsidRPr="00342D7E">
        <w:t>gwa</w:t>
      </w:r>
      <w:r w:rsidRPr="00342D7E">
        <w:t>rancje na podstawie krajowych ogólnie przyjętych zasad rachunkowości opartych na BAD zgodnie</w:t>
      </w:r>
      <w:r w:rsidR="00342D7E" w:rsidRPr="00342D7E">
        <w:t xml:space="preserve"> z</w:t>
      </w:r>
      <w:r w:rsidR="00342D7E">
        <w:t> </w:t>
      </w:r>
      <w:r w:rsidR="00342D7E" w:rsidRPr="00342D7E">
        <w:t>pkt </w:t>
      </w:r>
      <w:r w:rsidRPr="00342D7E">
        <w:t>11 niniejszej części.</w:t>
      </w:r>
    </w:p>
    <w:p w:rsidR="00D35B0C" w:rsidRPr="00342D7E" w:rsidRDefault="00A834F1">
      <w:pPr>
        <w:pStyle w:val="Baseparagraphnumbered"/>
      </w:pPr>
      <w:r w:rsidRPr="00342D7E">
        <w:t xml:space="preserve">We wzorze 20.7 </w:t>
      </w:r>
      <w:proofErr w:type="gramStart"/>
      <w:r w:rsidRPr="00342D7E">
        <w:t>kredyty</w:t>
      </w:r>
      <w:proofErr w:type="gramEnd"/>
      <w:r w:rsidR="00342D7E" w:rsidRPr="00342D7E">
        <w:t xml:space="preserve"> i</w:t>
      </w:r>
      <w:r w:rsidR="00342D7E">
        <w:t> </w:t>
      </w:r>
      <w:r w:rsidR="00342D7E" w:rsidRPr="00342D7E">
        <w:t>zal</w:t>
      </w:r>
      <w:r w:rsidRPr="00342D7E">
        <w:t>iczki nieprzeznaczone do obrotu zgłasza się</w:t>
      </w:r>
      <w:r w:rsidR="00342D7E" w:rsidRPr="00342D7E">
        <w:t xml:space="preserve"> z</w:t>
      </w:r>
      <w:r w:rsidR="00342D7E">
        <w:t> </w:t>
      </w:r>
      <w:r w:rsidR="00342D7E" w:rsidRPr="00342D7E">
        <w:t>zas</w:t>
      </w:r>
      <w:r w:rsidRPr="00342D7E">
        <w:t>tosowaniem klasyfikacji zgodnie</w:t>
      </w:r>
      <w:r w:rsidR="00342D7E" w:rsidRPr="00342D7E">
        <w:t xml:space="preserve"> z</w:t>
      </w:r>
      <w:r w:rsidR="00342D7E">
        <w:t> </w:t>
      </w:r>
      <w:r w:rsidR="00342D7E" w:rsidRPr="00342D7E">
        <w:t>kod</w:t>
      </w:r>
      <w:r w:rsidRPr="00342D7E">
        <w:t>ami NACE według „poszczególnych państw”. Kody NACE zgłasza się na pierwszym poziomie dezagregacji (według „sekcji”). Kredyty</w:t>
      </w:r>
      <w:r w:rsidR="00342D7E" w:rsidRPr="00342D7E">
        <w:t xml:space="preserve"> i</w:t>
      </w:r>
      <w:r w:rsidR="00342D7E">
        <w:t> </w:t>
      </w:r>
      <w:r w:rsidR="00342D7E" w:rsidRPr="00342D7E">
        <w:t>zal</w:t>
      </w:r>
      <w:r w:rsidRPr="00342D7E">
        <w:t>iczki podlegające utracie wartości odnoszą się do tych samych portfeli,</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pkt </w:t>
      </w:r>
      <w:r w:rsidRPr="00342D7E">
        <w:t>93 niniejszej części.</w:t>
      </w:r>
    </w:p>
    <w:p w:rsidR="00D35B0C" w:rsidRPr="00342D7E" w:rsidRDefault="00A834F1">
      <w:pPr>
        <w:pStyle w:val="subtitlenumbered"/>
        <w:jc w:val="both"/>
      </w:pPr>
      <w:bookmarkStart w:id="62" w:name="_Toc31019164"/>
      <w:r w:rsidRPr="00342D7E">
        <w:lastRenderedPageBreak/>
        <w:t>Nieruchomości inwestycyjne</w:t>
      </w:r>
      <w:r w:rsidR="00342D7E" w:rsidRPr="00342D7E">
        <w:t xml:space="preserve"> i</w:t>
      </w:r>
      <w:r w:rsidR="00342D7E">
        <w:t> </w:t>
      </w:r>
      <w:r w:rsidR="00342D7E" w:rsidRPr="00342D7E">
        <w:t>rze</w:t>
      </w:r>
      <w:r w:rsidRPr="00342D7E">
        <w:t>czowe aktywa trwałe oraz wartości niematerialne</w:t>
      </w:r>
      <w:r w:rsidR="00342D7E" w:rsidRPr="00342D7E">
        <w:t xml:space="preserve"> i</w:t>
      </w:r>
      <w:r w:rsidR="00342D7E">
        <w:t> </w:t>
      </w:r>
      <w:r w:rsidR="00342D7E" w:rsidRPr="00342D7E">
        <w:t>pra</w:t>
      </w:r>
      <w:r w:rsidRPr="00342D7E">
        <w:t>wne: aktywa podlegające leasingowi operacyjnemu (21)</w:t>
      </w:r>
      <w:bookmarkEnd w:id="62"/>
    </w:p>
    <w:p w:rsidR="00D35B0C" w:rsidRPr="00342D7E" w:rsidRDefault="00A834F1">
      <w:pPr>
        <w:pStyle w:val="Baseparagraphnumbered"/>
      </w:pPr>
      <w:r w:rsidRPr="00342D7E">
        <w:t>Do celów obliczania wartości progu,</w:t>
      </w:r>
      <w:r w:rsidR="00342D7E" w:rsidRPr="00342D7E">
        <w:t xml:space="preserve"> o</w:t>
      </w:r>
      <w:r w:rsidR="00342D7E">
        <w:t> </w:t>
      </w:r>
      <w:r w:rsidR="00342D7E" w:rsidRPr="00342D7E">
        <w:t>któ</w:t>
      </w:r>
      <w:r w:rsidRPr="00342D7E">
        <w:t>rym mowa</w:t>
      </w:r>
      <w:r w:rsidR="00342D7E" w:rsidRPr="00342D7E">
        <w:t xml:space="preserve"> w</w:t>
      </w:r>
      <w:r w:rsidR="00342D7E">
        <w:t> </w:t>
      </w:r>
      <w:r w:rsidR="00342D7E" w:rsidRPr="00342D7E">
        <w:t>art</w:t>
      </w:r>
      <w:r w:rsidRPr="00342D7E">
        <w:t>.</w:t>
      </w:r>
      <w:r w:rsidR="00342D7E" w:rsidRPr="00342D7E">
        <w:t> </w:t>
      </w:r>
      <w:r w:rsidRPr="00342D7E">
        <w:t>9 lit.</w:t>
      </w:r>
      <w:r w:rsidR="00342D7E" w:rsidRPr="00342D7E">
        <w:t> </w:t>
      </w:r>
      <w:r w:rsidRPr="00342D7E">
        <w:t>e) niniejszego rozporządzenia, nieruchomości inwestycyjne</w:t>
      </w:r>
      <w:r w:rsidR="00342D7E" w:rsidRPr="00342D7E">
        <w:t xml:space="preserve"> i</w:t>
      </w:r>
      <w:r w:rsidR="00342D7E">
        <w:t> </w:t>
      </w:r>
      <w:r w:rsidR="00342D7E" w:rsidRPr="00342D7E">
        <w:t>rze</w:t>
      </w:r>
      <w:r w:rsidRPr="00342D7E">
        <w:t>czowe aktywa trwałe, które zostały oddane</w:t>
      </w:r>
      <w:r w:rsidR="00342D7E" w:rsidRPr="00342D7E">
        <w:t xml:space="preserve"> w</w:t>
      </w:r>
      <w:r w:rsidR="00342D7E">
        <w:t> </w:t>
      </w:r>
      <w:r w:rsidR="00342D7E" w:rsidRPr="00342D7E">
        <w:t>lea</w:t>
      </w:r>
      <w:r w:rsidRPr="00342D7E">
        <w:t>sing osobom trzecim przez instytucję (leasingodawcę)</w:t>
      </w:r>
      <w:r w:rsidR="00342D7E" w:rsidRPr="00342D7E">
        <w:t xml:space="preserve"> w</w:t>
      </w:r>
      <w:r w:rsidR="00342D7E">
        <w:t> </w:t>
      </w:r>
      <w:r w:rsidR="00342D7E" w:rsidRPr="00342D7E">
        <w:t>ram</w:t>
      </w:r>
      <w:r w:rsidRPr="00342D7E">
        <w:t>ach umów, które kwalifikują się jako umowy leasingu operacyjnego zgodnie</w:t>
      </w:r>
      <w:r w:rsidR="00342D7E" w:rsidRPr="00342D7E">
        <w:t xml:space="preserve"> z</w:t>
      </w:r>
      <w:r w:rsidR="00342D7E">
        <w:t> </w:t>
      </w:r>
      <w:r w:rsidR="00342D7E" w:rsidRPr="00342D7E">
        <w:t>maj</w:t>
      </w:r>
      <w:r w:rsidRPr="00342D7E">
        <w:t>ącymi zastosowanie standardami rachunkowości, dzieli się przez łączną kwotę nieruchomości inwestycyjnych</w:t>
      </w:r>
      <w:r w:rsidR="00342D7E" w:rsidRPr="00342D7E">
        <w:t xml:space="preserve"> i</w:t>
      </w:r>
      <w:r w:rsidR="00342D7E">
        <w:t> </w:t>
      </w:r>
      <w:r w:rsidR="00342D7E" w:rsidRPr="00342D7E">
        <w:t>rze</w:t>
      </w:r>
      <w:r w:rsidRPr="00342D7E">
        <w:t>czowych aktywów trwałych.</w:t>
      </w:r>
    </w:p>
    <w:p w:rsidR="00D35B0C" w:rsidRPr="00342D7E" w:rsidRDefault="00A834F1">
      <w:pPr>
        <w:pStyle w:val="Baseparagraphnumbered"/>
      </w:pPr>
      <w:r w:rsidRPr="00342D7E">
        <w:t>Zgodnie z MSSF aktywa, które instytucja (leasingodawca) oddała</w:t>
      </w:r>
      <w:r w:rsidR="00342D7E" w:rsidRPr="00342D7E">
        <w:t xml:space="preserve"> w</w:t>
      </w:r>
      <w:r w:rsidR="00342D7E">
        <w:t> </w:t>
      </w:r>
      <w:r w:rsidR="00342D7E" w:rsidRPr="00342D7E">
        <w:t>lea</w:t>
      </w:r>
      <w:r w:rsidRPr="00342D7E">
        <w:t>sing osobom trzecim</w:t>
      </w:r>
      <w:r w:rsidR="00342D7E" w:rsidRPr="00342D7E">
        <w:t xml:space="preserve"> w</w:t>
      </w:r>
      <w:r w:rsidR="00342D7E">
        <w:t> </w:t>
      </w:r>
      <w:r w:rsidR="00342D7E" w:rsidRPr="00342D7E">
        <w:t>ram</w:t>
      </w:r>
      <w:r w:rsidRPr="00342D7E">
        <w:t>ach umów leasingu operacyjnego, dzieli się według metody wyceny.</w:t>
      </w:r>
    </w:p>
    <w:p w:rsidR="00D35B0C" w:rsidRPr="00342D7E" w:rsidRDefault="00A834F1">
      <w:pPr>
        <w:pStyle w:val="subtitlenumbered"/>
        <w:jc w:val="both"/>
      </w:pPr>
      <w:bookmarkStart w:id="63" w:name="_Toc31019165"/>
      <w:r w:rsidRPr="00342D7E">
        <w:t>Zarządzanie aktywami, usługi przechowywania</w:t>
      </w:r>
      <w:r w:rsidR="00342D7E" w:rsidRPr="00342D7E">
        <w:t xml:space="preserve"> i</w:t>
      </w:r>
      <w:r w:rsidR="00342D7E">
        <w:t> </w:t>
      </w:r>
      <w:r w:rsidR="00342D7E" w:rsidRPr="00342D7E">
        <w:t>inn</w:t>
      </w:r>
      <w:r w:rsidRPr="00342D7E">
        <w:t>e usługi (22)</w:t>
      </w:r>
      <w:bookmarkEnd w:id="63"/>
    </w:p>
    <w:p w:rsidR="00D35B0C" w:rsidRPr="00342D7E" w:rsidRDefault="00A834F1">
      <w:pPr>
        <w:pStyle w:val="Baseparagraphnumbered"/>
      </w:pPr>
      <w:r w:rsidRPr="00342D7E">
        <w:t>Do celów obliczania wartości progu,</w:t>
      </w:r>
      <w:r w:rsidR="00342D7E" w:rsidRPr="00342D7E">
        <w:t xml:space="preserve"> o</w:t>
      </w:r>
      <w:r w:rsidR="00342D7E">
        <w:t> </w:t>
      </w:r>
      <w:r w:rsidR="00342D7E" w:rsidRPr="00342D7E">
        <w:t>któ</w:t>
      </w:r>
      <w:r w:rsidRPr="00342D7E">
        <w:t>rym mowa</w:t>
      </w:r>
      <w:r w:rsidR="00342D7E" w:rsidRPr="00342D7E">
        <w:t xml:space="preserve"> w</w:t>
      </w:r>
      <w:r w:rsidR="00342D7E">
        <w:t> </w:t>
      </w:r>
      <w:r w:rsidR="00342D7E" w:rsidRPr="00342D7E">
        <w:t>art</w:t>
      </w:r>
      <w:r w:rsidRPr="00342D7E">
        <w:t>.</w:t>
      </w:r>
      <w:r w:rsidR="00342D7E" w:rsidRPr="00342D7E">
        <w:t> </w:t>
      </w:r>
      <w:r w:rsidRPr="00342D7E">
        <w:t>9 lit.</w:t>
      </w:r>
      <w:r w:rsidR="00342D7E" w:rsidRPr="00342D7E">
        <w:t> </w:t>
      </w:r>
      <w:r w:rsidRPr="00342D7E">
        <w:t>f) niniejszego rozporządzenia, kwota „przychodów</w:t>
      </w:r>
      <w:r w:rsidR="00342D7E" w:rsidRPr="00342D7E">
        <w:t xml:space="preserve"> z</w:t>
      </w:r>
      <w:r w:rsidR="00342D7E">
        <w:t> </w:t>
      </w:r>
      <w:r w:rsidR="00342D7E" w:rsidRPr="00342D7E">
        <w:t>tyt</w:t>
      </w:r>
      <w:r w:rsidRPr="00342D7E">
        <w:t>ułu opłat</w:t>
      </w:r>
      <w:r w:rsidR="00342D7E" w:rsidRPr="00342D7E">
        <w:t xml:space="preserve"> i</w:t>
      </w:r>
      <w:r w:rsidR="00342D7E">
        <w:t> </w:t>
      </w:r>
      <w:r w:rsidR="00342D7E" w:rsidRPr="00342D7E">
        <w:t>pro</w:t>
      </w:r>
      <w:r w:rsidRPr="00342D7E">
        <w:t>wizji netto” odpowiada bezwzględnej wartości różnicy między „przychodami</w:t>
      </w:r>
      <w:r w:rsidR="00342D7E" w:rsidRPr="00342D7E">
        <w:t xml:space="preserve"> z</w:t>
      </w:r>
      <w:r w:rsidR="00342D7E">
        <w:t> </w:t>
      </w:r>
      <w:r w:rsidR="00342D7E" w:rsidRPr="00342D7E">
        <w:t>tyt</w:t>
      </w:r>
      <w:r w:rsidRPr="00342D7E">
        <w:t>ułu opłat</w:t>
      </w:r>
      <w:r w:rsidR="00342D7E" w:rsidRPr="00342D7E">
        <w:t xml:space="preserve"> i</w:t>
      </w:r>
      <w:r w:rsidR="00342D7E">
        <w:t> </w:t>
      </w:r>
      <w:r w:rsidR="00342D7E" w:rsidRPr="00342D7E">
        <w:t>pro</w:t>
      </w:r>
      <w:r w:rsidRPr="00342D7E">
        <w:t>wizji” a „kosztami</w:t>
      </w:r>
      <w:r w:rsidR="00342D7E" w:rsidRPr="00342D7E">
        <w:t xml:space="preserve"> z</w:t>
      </w:r>
      <w:r w:rsidR="00342D7E">
        <w:t> </w:t>
      </w:r>
      <w:r w:rsidR="00342D7E" w:rsidRPr="00342D7E">
        <w:t>tyt</w:t>
      </w:r>
      <w:r w:rsidRPr="00342D7E">
        <w:t>ułu opłat</w:t>
      </w:r>
      <w:r w:rsidR="00342D7E" w:rsidRPr="00342D7E">
        <w:t xml:space="preserve"> i</w:t>
      </w:r>
      <w:r w:rsidR="00342D7E">
        <w:t> </w:t>
      </w:r>
      <w:r w:rsidR="00342D7E" w:rsidRPr="00342D7E">
        <w:t>pro</w:t>
      </w:r>
      <w:r w:rsidRPr="00342D7E">
        <w:t>wizji”. Do tych samych celów kwota „odsetek netto” odpowiada bezwzględnej wartości różnicy między „przychodami odsetkowymi” a „kosztami odsetkowymi”.</w:t>
      </w:r>
    </w:p>
    <w:p w:rsidR="00D35B0C" w:rsidRPr="00342D7E" w:rsidRDefault="00A834F1">
      <w:pPr>
        <w:pStyle w:val="sub-subtitlenumbered"/>
        <w:jc w:val="both"/>
      </w:pPr>
      <w:bookmarkStart w:id="64" w:name="_Toc31019166"/>
      <w:r w:rsidRPr="00342D7E">
        <w:t>Przychody</w:t>
      </w:r>
      <w:r w:rsidR="00342D7E" w:rsidRPr="00342D7E">
        <w:t xml:space="preserve"> i</w:t>
      </w:r>
      <w:r w:rsidR="00342D7E">
        <w:t> </w:t>
      </w:r>
      <w:r w:rsidR="00342D7E" w:rsidRPr="00342D7E">
        <w:t>kos</w:t>
      </w:r>
      <w:r w:rsidRPr="00342D7E">
        <w:t>zty</w:t>
      </w:r>
      <w:r w:rsidR="00342D7E" w:rsidRPr="00342D7E">
        <w:t xml:space="preserve"> z</w:t>
      </w:r>
      <w:r w:rsidR="00342D7E">
        <w:t> </w:t>
      </w:r>
      <w:r w:rsidR="00342D7E" w:rsidRPr="00342D7E">
        <w:t>tyt</w:t>
      </w:r>
      <w:r w:rsidRPr="00342D7E">
        <w:t>ułu opłat</w:t>
      </w:r>
      <w:r w:rsidR="00342D7E" w:rsidRPr="00342D7E">
        <w:t xml:space="preserve"> i</w:t>
      </w:r>
      <w:r w:rsidR="00342D7E">
        <w:t> </w:t>
      </w:r>
      <w:r w:rsidR="00342D7E" w:rsidRPr="00342D7E">
        <w:t>pro</w:t>
      </w:r>
      <w:r w:rsidRPr="00342D7E">
        <w:t>wizji według działalności (22.1)</w:t>
      </w:r>
      <w:bookmarkEnd w:id="64"/>
    </w:p>
    <w:p w:rsidR="00D35B0C" w:rsidRPr="00342D7E" w:rsidRDefault="00A834F1">
      <w:pPr>
        <w:pStyle w:val="Baseparagraphnumbered"/>
      </w:pPr>
      <w:r w:rsidRPr="00342D7E">
        <w:t>Przychody</w:t>
      </w:r>
      <w:r w:rsidR="00342D7E" w:rsidRPr="00342D7E">
        <w:t xml:space="preserve"> i</w:t>
      </w:r>
      <w:r w:rsidR="00342D7E">
        <w:t> </w:t>
      </w:r>
      <w:r w:rsidR="00342D7E" w:rsidRPr="00342D7E">
        <w:t>kos</w:t>
      </w:r>
      <w:r w:rsidRPr="00342D7E">
        <w:t>zty</w:t>
      </w:r>
      <w:r w:rsidR="00342D7E" w:rsidRPr="00342D7E">
        <w:t xml:space="preserve"> z</w:t>
      </w:r>
      <w:r w:rsidR="00342D7E">
        <w:t> </w:t>
      </w:r>
      <w:r w:rsidR="00342D7E" w:rsidRPr="00342D7E">
        <w:t>tyt</w:t>
      </w:r>
      <w:r w:rsidRPr="00342D7E">
        <w:t>ułu opłat</w:t>
      </w:r>
      <w:r w:rsidR="00342D7E" w:rsidRPr="00342D7E">
        <w:t xml:space="preserve"> i</w:t>
      </w:r>
      <w:r w:rsidR="00342D7E">
        <w:t> </w:t>
      </w:r>
      <w:r w:rsidR="00342D7E" w:rsidRPr="00342D7E">
        <w:t>pro</w:t>
      </w:r>
      <w:r w:rsidRPr="00342D7E">
        <w:t>wizji zgłasza się według rodzaju działalności. Zgodnie z MSSF</w:t>
      </w:r>
      <w:r w:rsidR="00342D7E" w:rsidRPr="00342D7E">
        <w:t xml:space="preserve"> w</w:t>
      </w:r>
      <w:r w:rsidR="00342D7E">
        <w:t> </w:t>
      </w:r>
      <w:r w:rsidR="00342D7E" w:rsidRPr="00342D7E">
        <w:t>tym</w:t>
      </w:r>
      <w:r w:rsidRPr="00342D7E">
        <w:t xml:space="preserve"> wzorze uwzględnia się przychody</w:t>
      </w:r>
      <w:r w:rsidR="00342D7E" w:rsidRPr="00342D7E">
        <w:t xml:space="preserve"> i</w:t>
      </w:r>
      <w:r w:rsidR="00342D7E">
        <w:t> </w:t>
      </w:r>
      <w:r w:rsidR="00342D7E" w:rsidRPr="00342D7E">
        <w:t>kos</w:t>
      </w:r>
      <w:r w:rsidRPr="00342D7E">
        <w:t>zty</w:t>
      </w:r>
      <w:r w:rsidR="00342D7E" w:rsidRPr="00342D7E">
        <w:t xml:space="preserve"> z</w:t>
      </w:r>
      <w:r w:rsidR="00342D7E">
        <w:t> </w:t>
      </w:r>
      <w:r w:rsidR="00342D7E" w:rsidRPr="00342D7E">
        <w:t>tyt</w:t>
      </w:r>
      <w:r w:rsidRPr="00342D7E">
        <w:t>ułu opłat</w:t>
      </w:r>
      <w:r w:rsidR="00342D7E" w:rsidRPr="00342D7E">
        <w:t xml:space="preserve"> i</w:t>
      </w:r>
      <w:r w:rsidR="00342D7E">
        <w:t> </w:t>
      </w:r>
      <w:r w:rsidR="00342D7E" w:rsidRPr="00342D7E">
        <w:t>pro</w:t>
      </w:r>
      <w:r w:rsidRPr="00342D7E">
        <w:t xml:space="preserve">wizji inne niż obie poniższe pozycje: </w:t>
      </w:r>
    </w:p>
    <w:p w:rsidR="00D35B0C" w:rsidRPr="00342D7E" w:rsidRDefault="00A834F1" w:rsidP="00056B6F">
      <w:pPr>
        <w:numPr>
          <w:ilvl w:val="0"/>
          <w:numId w:val="76"/>
        </w:numPr>
        <w:spacing w:before="120" w:after="120"/>
        <w:jc w:val="both"/>
        <w:rPr>
          <w:rFonts w:ascii="Times New Roman" w:hAnsi="Times New Roman"/>
          <w:sz w:val="24"/>
          <w:szCs w:val="24"/>
        </w:rPr>
      </w:pPr>
      <w:proofErr w:type="gramStart"/>
      <w:r w:rsidRPr="00342D7E">
        <w:rPr>
          <w:rFonts w:ascii="Times New Roman" w:hAnsi="Times New Roman"/>
          <w:sz w:val="24"/>
          <w:szCs w:val="24"/>
        </w:rPr>
        <w:t>kwoty</w:t>
      </w:r>
      <w:proofErr w:type="gramEnd"/>
      <w:r w:rsidRPr="00342D7E">
        <w:rPr>
          <w:rFonts w:ascii="Times New Roman" w:hAnsi="Times New Roman"/>
          <w:sz w:val="24"/>
          <w:szCs w:val="24"/>
        </w:rPr>
        <w:t xml:space="preserve"> uwzględniane przy obliczaniu efektywnych odsetek od instrumentów finansowych (MSSF 7 pkt</w:t>
      </w:r>
      <w:r w:rsidR="00342D7E" w:rsidRPr="00342D7E">
        <w:rPr>
          <w:rFonts w:ascii="Times New Roman" w:hAnsi="Times New Roman"/>
          <w:sz w:val="24"/>
          <w:szCs w:val="24"/>
        </w:rPr>
        <w:t> </w:t>
      </w:r>
      <w:r w:rsidRPr="00342D7E">
        <w:rPr>
          <w:rFonts w:ascii="Times New Roman" w:hAnsi="Times New Roman"/>
          <w:sz w:val="24"/>
          <w:szCs w:val="24"/>
        </w:rPr>
        <w:t>20 lit.</w:t>
      </w:r>
      <w:r w:rsidR="00342D7E" w:rsidRPr="00342D7E">
        <w:rPr>
          <w:rFonts w:ascii="Times New Roman" w:hAnsi="Times New Roman"/>
          <w:sz w:val="24"/>
          <w:szCs w:val="24"/>
        </w:rPr>
        <w:t> </w:t>
      </w:r>
      <w:r w:rsidRPr="00342D7E">
        <w:rPr>
          <w:rFonts w:ascii="Times New Roman" w:hAnsi="Times New Roman"/>
          <w:sz w:val="24"/>
          <w:szCs w:val="24"/>
        </w:rPr>
        <w:t xml:space="preserve">c)); </w:t>
      </w:r>
    </w:p>
    <w:p w:rsidR="00D35B0C" w:rsidRPr="00342D7E" w:rsidRDefault="00A834F1" w:rsidP="00056B6F">
      <w:pPr>
        <w:numPr>
          <w:ilvl w:val="0"/>
          <w:numId w:val="76"/>
        </w:numPr>
        <w:spacing w:before="120" w:after="120"/>
        <w:jc w:val="both"/>
        <w:rPr>
          <w:rFonts w:ascii="Times New Roman" w:hAnsi="Times New Roman"/>
          <w:sz w:val="24"/>
          <w:szCs w:val="24"/>
        </w:rPr>
      </w:pPr>
      <w:proofErr w:type="gramStart"/>
      <w:r w:rsidRPr="00342D7E">
        <w:rPr>
          <w:rFonts w:ascii="Times New Roman" w:hAnsi="Times New Roman"/>
          <w:sz w:val="24"/>
          <w:szCs w:val="24"/>
        </w:rPr>
        <w:t>kwoty</w:t>
      </w:r>
      <w:proofErr w:type="gramEnd"/>
      <w:r w:rsidRPr="00342D7E">
        <w:rPr>
          <w:rFonts w:ascii="Times New Roman" w:hAnsi="Times New Roman"/>
          <w:sz w:val="24"/>
          <w:szCs w:val="24"/>
        </w:rPr>
        <w:t xml:space="preserve"> wynikające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ins</w:t>
      </w:r>
      <w:r w:rsidRPr="00342D7E">
        <w:rPr>
          <w:rFonts w:ascii="Times New Roman" w:hAnsi="Times New Roman"/>
          <w:sz w:val="24"/>
          <w:szCs w:val="24"/>
        </w:rPr>
        <w:t>trumentów finansowych wycenianych według wartości godziwej przez wynik finansowy (MSSF 7 pkt</w:t>
      </w:r>
      <w:r w:rsidR="00342D7E" w:rsidRPr="00342D7E">
        <w:rPr>
          <w:rFonts w:ascii="Times New Roman" w:hAnsi="Times New Roman"/>
          <w:sz w:val="24"/>
          <w:szCs w:val="24"/>
        </w:rPr>
        <w:t> </w:t>
      </w:r>
      <w:r w:rsidRPr="00342D7E">
        <w:rPr>
          <w:rFonts w:ascii="Times New Roman" w:hAnsi="Times New Roman"/>
          <w:sz w:val="24"/>
          <w:szCs w:val="24"/>
        </w:rPr>
        <w:t>20 lit.</w:t>
      </w:r>
      <w:r w:rsidR="00342D7E" w:rsidRPr="00342D7E">
        <w:rPr>
          <w:rFonts w:ascii="Times New Roman" w:hAnsi="Times New Roman"/>
          <w:sz w:val="24"/>
          <w:szCs w:val="24"/>
        </w:rPr>
        <w:t> </w:t>
      </w:r>
      <w:r w:rsidRPr="00342D7E">
        <w:rPr>
          <w:rFonts w:ascii="Times New Roman" w:hAnsi="Times New Roman"/>
          <w:sz w:val="24"/>
          <w:szCs w:val="24"/>
        </w:rPr>
        <w:t xml:space="preserve">c) ppkt (i)). </w:t>
      </w:r>
    </w:p>
    <w:p w:rsidR="00D35B0C" w:rsidRPr="00342D7E" w:rsidRDefault="00A834F1">
      <w:pPr>
        <w:pStyle w:val="Baseparagraphnumbered"/>
      </w:pPr>
      <w:r w:rsidRPr="00342D7E">
        <w:t>Koszty transakcji bezpośrednio związane</w:t>
      </w:r>
      <w:r w:rsidR="00342D7E" w:rsidRPr="00342D7E">
        <w:t xml:space="preserve"> z</w:t>
      </w:r>
      <w:r w:rsidR="00342D7E">
        <w:t> </w:t>
      </w:r>
      <w:r w:rsidR="00342D7E" w:rsidRPr="00342D7E">
        <w:t>nab</w:t>
      </w:r>
      <w:r w:rsidRPr="00342D7E">
        <w:t>yciem lub emisją instrumentów finansowych niewycenianych według wartości godziwej przez wynik finansowy nie są uwzględniane. Te koszty transakcji stanowią składnik początkowej wartości nabycia/emisji tych instrumentów</w:t>
      </w:r>
      <w:r w:rsidR="00342D7E" w:rsidRPr="00342D7E">
        <w:t xml:space="preserve"> i</w:t>
      </w:r>
      <w:r w:rsidR="00342D7E">
        <w:t> </w:t>
      </w:r>
      <w:r w:rsidR="00342D7E" w:rsidRPr="00342D7E">
        <w:t>pod</w:t>
      </w:r>
      <w:r w:rsidRPr="00342D7E">
        <w:t>legają amortyzacji</w:t>
      </w:r>
      <w:r w:rsidR="00342D7E" w:rsidRPr="00342D7E">
        <w:t xml:space="preserve"> w</w:t>
      </w:r>
      <w:r w:rsidR="00342D7E">
        <w:t> </w:t>
      </w:r>
      <w:r w:rsidR="00342D7E" w:rsidRPr="00342D7E">
        <w:t>zys</w:t>
      </w:r>
      <w:r w:rsidRPr="00342D7E">
        <w:t>kach lub stratach przez cały czas pozostały do ich wykupu</w:t>
      </w:r>
      <w:r w:rsidR="00342D7E" w:rsidRPr="00342D7E">
        <w:t xml:space="preserve"> z</w:t>
      </w:r>
      <w:r w:rsidR="00342D7E">
        <w:t> </w:t>
      </w:r>
      <w:r w:rsidR="00342D7E" w:rsidRPr="00342D7E">
        <w:t>zas</w:t>
      </w:r>
      <w:r w:rsidRPr="00342D7E">
        <w:t>tosowaniem metody efektywnej stopy procentowej (zob. MSSF 9 pkt</w:t>
      </w:r>
      <w:r w:rsidR="00342D7E" w:rsidRPr="00342D7E">
        <w:t> </w:t>
      </w:r>
      <w:r w:rsidRPr="00342D7E">
        <w:t>5.1.1).</w:t>
      </w:r>
    </w:p>
    <w:p w:rsidR="00D35B0C" w:rsidRPr="00342D7E" w:rsidRDefault="00A834F1">
      <w:pPr>
        <w:pStyle w:val="Baseparagraphnumbered"/>
      </w:pPr>
      <w:r w:rsidRPr="00342D7E">
        <w:t>Zgodnie z MSSF koszty transakcji bezpośrednio związane</w:t>
      </w:r>
      <w:r w:rsidR="00342D7E" w:rsidRPr="00342D7E">
        <w:t xml:space="preserve"> z</w:t>
      </w:r>
      <w:r w:rsidR="00342D7E">
        <w:t> </w:t>
      </w:r>
      <w:r w:rsidR="00342D7E" w:rsidRPr="00342D7E">
        <w:t>nab</w:t>
      </w:r>
      <w:r w:rsidRPr="00342D7E">
        <w:t>yciem lub emisją instrumentów finansowych wycenianych według wartości godziwej przez wynik finansowy uwzględnia się jako część pozycji „Zyski lub straty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przeznaczonych do obrotu, netto”, „Zyski lub straty</w:t>
      </w:r>
      <w:r w:rsidR="00342D7E" w:rsidRPr="00342D7E">
        <w:t xml:space="preserve"> z</w:t>
      </w:r>
      <w:r w:rsidR="00342D7E">
        <w:t> </w:t>
      </w:r>
      <w:r w:rsidR="00342D7E" w:rsidRPr="00342D7E">
        <w:t>tyt</w:t>
      </w:r>
      <w:r w:rsidRPr="00342D7E">
        <w:t>ułu aktywów finansowych nieprzeznaczonych do obrotu wycenianych obowiązkowo według wartości godziwej przez wynik finansowy, netto” i „Zyski lub straty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 xml:space="preserve">owiązań </w:t>
      </w:r>
      <w:r w:rsidRPr="00342D7E">
        <w:lastRenderedPageBreak/>
        <w:t>finansowych wycenianych według wartości godziwej przez wynik finansowy, netto”,</w:t>
      </w:r>
      <w:r w:rsidR="00342D7E" w:rsidRPr="00342D7E">
        <w:t xml:space="preserve"> w</w:t>
      </w:r>
      <w:r w:rsidR="00342D7E">
        <w:t> </w:t>
      </w:r>
      <w:r w:rsidR="00342D7E" w:rsidRPr="00342D7E">
        <w:t>zal</w:t>
      </w:r>
      <w:r w:rsidRPr="00342D7E">
        <w:t>eżności od portfela księgowego, do którego zaklasyfikowano te koszty transakcji. Te koszty transakcji nie są częścią początkowej wartości nabycia lub emisji tych instrumentów</w:t>
      </w:r>
      <w:r w:rsidR="00342D7E" w:rsidRPr="00342D7E">
        <w:t xml:space="preserve"> i</w:t>
      </w:r>
      <w:r w:rsidR="00342D7E">
        <w:t> </w:t>
      </w:r>
      <w:r w:rsidR="00342D7E" w:rsidRPr="00342D7E">
        <w:t>pod</w:t>
      </w:r>
      <w:r w:rsidRPr="00342D7E">
        <w:t>legają natychmiastowemu ujęciu</w:t>
      </w:r>
      <w:r w:rsidR="00342D7E" w:rsidRPr="00342D7E">
        <w:t xml:space="preserve"> w</w:t>
      </w:r>
      <w:r w:rsidR="00342D7E">
        <w:t> </w:t>
      </w:r>
      <w:r w:rsidR="00342D7E" w:rsidRPr="00342D7E">
        <w:t>rac</w:t>
      </w:r>
      <w:r w:rsidRPr="00342D7E">
        <w:t>hunku zysków</w:t>
      </w:r>
      <w:r w:rsidR="00342D7E" w:rsidRPr="00342D7E">
        <w:t xml:space="preserve"> i</w:t>
      </w:r>
      <w:r w:rsidR="00342D7E">
        <w:t> </w:t>
      </w:r>
      <w:r w:rsidR="00342D7E" w:rsidRPr="00342D7E">
        <w:t>str</w:t>
      </w:r>
      <w:r w:rsidRPr="00342D7E">
        <w:t>at.</w:t>
      </w:r>
    </w:p>
    <w:p w:rsidR="00D35B0C" w:rsidRPr="00342D7E" w:rsidRDefault="00A834F1">
      <w:pPr>
        <w:pStyle w:val="Baseparagraphnumbered"/>
      </w:pPr>
      <w:r w:rsidRPr="00342D7E">
        <w:t>Instytucje zgłaszają przychody</w:t>
      </w:r>
      <w:r w:rsidR="00342D7E" w:rsidRPr="00342D7E">
        <w:t xml:space="preserve"> i</w:t>
      </w:r>
      <w:r w:rsidR="00342D7E">
        <w:t> </w:t>
      </w:r>
      <w:r w:rsidR="00342D7E" w:rsidRPr="00342D7E">
        <w:t>kos</w:t>
      </w:r>
      <w:r w:rsidRPr="00342D7E">
        <w:t>zty</w:t>
      </w:r>
      <w:r w:rsidR="00342D7E" w:rsidRPr="00342D7E">
        <w:t xml:space="preserve"> z</w:t>
      </w:r>
      <w:r w:rsidR="00342D7E">
        <w:t> </w:t>
      </w:r>
      <w:r w:rsidR="00342D7E" w:rsidRPr="00342D7E">
        <w:t>tyt</w:t>
      </w:r>
      <w:r w:rsidRPr="00342D7E">
        <w:t>ułu opłat</w:t>
      </w:r>
      <w:r w:rsidR="00342D7E" w:rsidRPr="00342D7E">
        <w:t xml:space="preserve"> i</w:t>
      </w:r>
      <w:r w:rsidR="00342D7E">
        <w:t> </w:t>
      </w:r>
      <w:r w:rsidR="00342D7E" w:rsidRPr="00342D7E">
        <w:t>pro</w:t>
      </w:r>
      <w:r w:rsidRPr="00342D7E">
        <w:t>wizji zgodnie</w:t>
      </w:r>
      <w:r w:rsidR="00342D7E" w:rsidRPr="00342D7E">
        <w:t xml:space="preserve"> z</w:t>
      </w:r>
      <w:r w:rsidR="00342D7E">
        <w:t> </w:t>
      </w:r>
      <w:r w:rsidR="00342D7E" w:rsidRPr="00342D7E">
        <w:t>nas</w:t>
      </w:r>
      <w:r w:rsidRPr="00342D7E">
        <w:t xml:space="preserve">tępującymi kryteriami: </w:t>
      </w:r>
    </w:p>
    <w:p w:rsidR="00D35B0C" w:rsidRPr="00342D7E" w:rsidRDefault="00A834F1"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„Papiery wartościowe. Emisje” obejmują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wizje otrzymane za zaangażowanie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two</w:t>
      </w:r>
      <w:r w:rsidRPr="00342D7E">
        <w:rPr>
          <w:rFonts w:ascii="Times New Roman" w:hAnsi="Times New Roman"/>
          <w:sz w:val="24"/>
          <w:szCs w:val="24"/>
        </w:rPr>
        <w:t>rzenie lub emisję papierów wartościowych, które nie zostały utworzone ani wyemitowane przez instytucję;</w:t>
      </w:r>
    </w:p>
    <w:p w:rsidR="00D35B0C" w:rsidRPr="00342D7E" w:rsidRDefault="00A834F1"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„Papiery wartościowe. Polecenia przelewów” obejmują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przyjęcia, przekazania</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wyk</w:t>
      </w:r>
      <w:r w:rsidRPr="00342D7E">
        <w:rPr>
          <w:rFonts w:ascii="Times New Roman" w:hAnsi="Times New Roman"/>
          <w:sz w:val="24"/>
          <w:szCs w:val="24"/>
        </w:rPr>
        <w:t>onania zleceń kupna lub sprzedaży papierów wartościowych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imi</w:t>
      </w:r>
      <w:r w:rsidRPr="00342D7E">
        <w:rPr>
          <w:rFonts w:ascii="Times New Roman" w:hAnsi="Times New Roman"/>
          <w:sz w:val="24"/>
          <w:szCs w:val="24"/>
        </w:rPr>
        <w:t>eniu klientów;</w:t>
      </w:r>
    </w:p>
    <w:p w:rsidR="00D35B0C" w:rsidRPr="00342D7E" w:rsidRDefault="00A834F1"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„Papiery wartościowe. Inne przychody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iesieniu do papierów wartościowych” obejmują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wizje wygenerowane przez instytucję świadczącą inne usługi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pap</w:t>
      </w:r>
      <w:r w:rsidRPr="00342D7E">
        <w:rPr>
          <w:rFonts w:ascii="Times New Roman" w:hAnsi="Times New Roman"/>
          <w:sz w:val="24"/>
          <w:szCs w:val="24"/>
        </w:rPr>
        <w:t>ierami wartościowymi, które nie zostały utworzone ani wyemitowane przez tę instytucję;</w:t>
      </w:r>
    </w:p>
    <w:p w:rsidR="00D35B0C" w:rsidRPr="00342D7E" w:rsidRDefault="00A137C6" w:rsidP="00056B6F">
      <w:pPr>
        <w:numPr>
          <w:ilvl w:val="0"/>
          <w:numId w:val="77"/>
        </w:numPr>
        <w:spacing w:before="120" w:after="120"/>
        <w:ind w:left="1276"/>
        <w:jc w:val="both"/>
        <w:rPr>
          <w:rFonts w:ascii="Times New Roman" w:hAnsi="Times New Roman"/>
          <w:sz w:val="24"/>
          <w:szCs w:val="24"/>
        </w:rPr>
      </w:pPr>
      <w:proofErr w:type="gramStart"/>
      <w:r w:rsidRPr="00342D7E">
        <w:rPr>
          <w:rFonts w:ascii="Times New Roman" w:hAnsi="Times New Roman"/>
          <w:sz w:val="24"/>
          <w:szCs w:val="24"/>
        </w:rPr>
        <w:t>w</w:t>
      </w:r>
      <w:proofErr w:type="gramEnd"/>
      <w:r w:rsidR="00BA0DE3" w:rsidRPr="00342D7E">
        <w:rPr>
          <w:rFonts w:ascii="Times New Roman" w:hAnsi="Times New Roman"/>
          <w:sz w:val="24"/>
          <w:szCs w:val="24"/>
        </w:rPr>
        <w:t xml:space="preserve"> ramach kosztów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00BA0DE3"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00BA0DE3" w:rsidRPr="00342D7E">
        <w:rPr>
          <w:rFonts w:ascii="Times New Roman" w:hAnsi="Times New Roman"/>
          <w:sz w:val="24"/>
          <w:szCs w:val="24"/>
        </w:rPr>
        <w:t>wizji „papiery wartościowe” obejmują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00BA0DE3" w:rsidRPr="00342D7E">
        <w:rPr>
          <w:rFonts w:ascii="Times New Roman" w:hAnsi="Times New Roman"/>
          <w:sz w:val="24"/>
          <w:szCs w:val="24"/>
        </w:rPr>
        <w:t>wizje pobierane od instytucji,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00BA0DE3" w:rsidRPr="00342D7E">
        <w:rPr>
          <w:rFonts w:ascii="Times New Roman" w:hAnsi="Times New Roman"/>
          <w:sz w:val="24"/>
          <w:szCs w:val="24"/>
        </w:rPr>
        <w:t>ypadku gdy korzysta ona</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usł</w:t>
      </w:r>
      <w:r w:rsidR="00BA0DE3" w:rsidRPr="00342D7E">
        <w:rPr>
          <w:rFonts w:ascii="Times New Roman" w:hAnsi="Times New Roman"/>
          <w:sz w:val="24"/>
          <w:szCs w:val="24"/>
        </w:rPr>
        <w:t>ug związanych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pap</w:t>
      </w:r>
      <w:r w:rsidR="00BA0DE3" w:rsidRPr="00342D7E">
        <w:rPr>
          <w:rFonts w:ascii="Times New Roman" w:hAnsi="Times New Roman"/>
          <w:sz w:val="24"/>
          <w:szCs w:val="24"/>
        </w:rPr>
        <w:t>ierami wartościowymi, niezależnie od tego, czy zostały one utworzone lub wyemitowane przez tę instytucję;</w:t>
      </w:r>
    </w:p>
    <w:p w:rsidR="00D35B0C" w:rsidRPr="00342D7E" w:rsidRDefault="00BA0DE3"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„Finansowanie przedsiębiorstw. Doradztwo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zak</w:t>
      </w:r>
      <w:r w:rsidRPr="00342D7E">
        <w:rPr>
          <w:rFonts w:ascii="Times New Roman" w:hAnsi="Times New Roman"/>
          <w:sz w:val="24"/>
          <w:szCs w:val="24"/>
        </w:rPr>
        <w:t>resie połączeń</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ejęć” obejmuje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usług doradczych towarzyszących połączeniom klientów korporacyjnych oraz działaniom związanym</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ejęciami;</w:t>
      </w:r>
    </w:p>
    <w:p w:rsidR="00D35B0C" w:rsidRPr="00342D7E" w:rsidRDefault="00BA0DE3"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„Finansowanie przedsiębiorstw. Usługi skarbowe” obejmują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wizje za usługi finansowania przedsiębiorstw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dor</w:t>
      </w:r>
      <w:r w:rsidRPr="00342D7E">
        <w:rPr>
          <w:rFonts w:ascii="Times New Roman" w:hAnsi="Times New Roman"/>
          <w:sz w:val="24"/>
          <w:szCs w:val="24"/>
        </w:rPr>
        <w:t>adztwem</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zak</w:t>
      </w:r>
      <w:r w:rsidRPr="00342D7E">
        <w:rPr>
          <w:rFonts w:ascii="Times New Roman" w:hAnsi="Times New Roman"/>
          <w:sz w:val="24"/>
          <w:szCs w:val="24"/>
        </w:rPr>
        <w:t>resie rynku kapitałowego na rzecz klientów korporacyjnych;</w:t>
      </w:r>
    </w:p>
    <w:p w:rsidR="00D35B0C" w:rsidRPr="00342D7E" w:rsidRDefault="00BA0DE3"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„Finansowanie przedsiębiorstw. Inne przychody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iesieniu do działalności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zak</w:t>
      </w:r>
      <w:r w:rsidRPr="00342D7E">
        <w:rPr>
          <w:rFonts w:ascii="Times New Roman" w:hAnsi="Times New Roman"/>
          <w:sz w:val="24"/>
          <w:szCs w:val="24"/>
        </w:rPr>
        <w:t>resu finansowania przedsiębiorstw” obejmują wszystkie inne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wizje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fin</w:t>
      </w:r>
      <w:r w:rsidRPr="00342D7E">
        <w:rPr>
          <w:rFonts w:ascii="Times New Roman" w:hAnsi="Times New Roman"/>
          <w:sz w:val="24"/>
          <w:szCs w:val="24"/>
        </w:rPr>
        <w:t>ansowaniem przedsiębiorstw;</w:t>
      </w:r>
    </w:p>
    <w:p w:rsidR="00D35B0C" w:rsidRPr="00342D7E" w:rsidRDefault="00BA0DE3"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„Odpłatne doradztwo” obejmuje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wizje pobierane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zwi</w:t>
      </w:r>
      <w:r w:rsidRPr="00342D7E">
        <w:rPr>
          <w:rFonts w:ascii="Times New Roman" w:hAnsi="Times New Roman"/>
          <w:sz w:val="24"/>
          <w:szCs w:val="24"/>
        </w:rPr>
        <w:t>ązku</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ugami doradczymi na rzecz klientów, które nie są bezpośrednio powiązane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zar</w:t>
      </w:r>
      <w:r w:rsidRPr="00342D7E">
        <w:rPr>
          <w:rFonts w:ascii="Times New Roman" w:hAnsi="Times New Roman"/>
          <w:sz w:val="24"/>
          <w:szCs w:val="24"/>
        </w:rPr>
        <w:t>ządzaniem aktywami, takie jak opłaty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ban</w:t>
      </w:r>
      <w:r w:rsidRPr="00342D7E">
        <w:rPr>
          <w:rFonts w:ascii="Times New Roman" w:hAnsi="Times New Roman"/>
          <w:sz w:val="24"/>
          <w:szCs w:val="24"/>
        </w:rPr>
        <w:t>kowością prywatną. Nie uwzględnia się tu opłat</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doradztwa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dzi</w:t>
      </w:r>
      <w:r w:rsidRPr="00342D7E">
        <w:rPr>
          <w:rFonts w:ascii="Times New Roman" w:hAnsi="Times New Roman"/>
          <w:sz w:val="24"/>
          <w:szCs w:val="24"/>
        </w:rPr>
        <w:t>edzinie połączeń</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ejęć, które uwzględnia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ycji „Finansowanie przedsiębiorstw. Doradztwo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dzi</w:t>
      </w:r>
      <w:r w:rsidRPr="00342D7E">
        <w:rPr>
          <w:rFonts w:ascii="Times New Roman" w:hAnsi="Times New Roman"/>
          <w:sz w:val="24"/>
          <w:szCs w:val="24"/>
        </w:rPr>
        <w:t>edzinie połączeń</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ejęć”;</w:t>
      </w:r>
    </w:p>
    <w:p w:rsidR="00D35B0C" w:rsidRPr="00342D7E" w:rsidRDefault="00A834F1"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„Usługi rozliczeniowe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roz</w:t>
      </w:r>
      <w:r w:rsidRPr="00342D7E">
        <w:rPr>
          <w:rFonts w:ascii="Times New Roman" w:hAnsi="Times New Roman"/>
          <w:sz w:val="24"/>
          <w:szCs w:val="24"/>
        </w:rPr>
        <w:t>rachunkowe” obejmują przychody (koszty)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 xml:space="preserve">wizji wygenerowane przez instytucję (pobierane od </w:t>
      </w:r>
      <w:r w:rsidRPr="00342D7E">
        <w:rPr>
          <w:rFonts w:ascii="Times New Roman" w:hAnsi="Times New Roman"/>
          <w:sz w:val="24"/>
          <w:szCs w:val="24"/>
        </w:rPr>
        <w:lastRenderedPageBreak/>
        <w:t>instytucji), jeżeli instytucja ta uczestniczy</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sys</w:t>
      </w:r>
      <w:r w:rsidRPr="00342D7E">
        <w:rPr>
          <w:rFonts w:ascii="Times New Roman" w:hAnsi="Times New Roman"/>
          <w:sz w:val="24"/>
          <w:szCs w:val="24"/>
        </w:rPr>
        <w:t>temach rozliczeń</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roz</w:t>
      </w:r>
      <w:r w:rsidRPr="00342D7E">
        <w:rPr>
          <w:rFonts w:ascii="Times New Roman" w:hAnsi="Times New Roman"/>
          <w:sz w:val="24"/>
          <w:szCs w:val="24"/>
        </w:rPr>
        <w:t>rachunków kontrahenta;</w:t>
      </w:r>
    </w:p>
    <w:p w:rsidR="00D35B0C" w:rsidRPr="00342D7E" w:rsidRDefault="00A834F1"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„Zarządzanie aktywami”, „Usługi przechowywania”, „Centralna obsługa administracyjna przedsiębiorstw zbiorowego inwestowania” i „Transakcje powiernicze” obejmują przychody (koszty)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 wygenerowane przez instytucję (lub pobierane od instytucji), która świadczy te usługi;</w:t>
      </w:r>
    </w:p>
    <w:p w:rsidR="00D35B0C" w:rsidRPr="00342D7E" w:rsidRDefault="00BA0DE3"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„Usługi płatnicze” obejmują przychody (koszty)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 wygenerowane przez instytucję (lub pobierane od instytucji), która świadczy usługi płatnicze (korzysta</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ug płatniczych),</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rych mowa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zał</w:t>
      </w:r>
      <w:r w:rsidRPr="00342D7E">
        <w:rPr>
          <w:rFonts w:ascii="Times New Roman" w:hAnsi="Times New Roman"/>
          <w:sz w:val="24"/>
          <w:szCs w:val="24"/>
        </w:rPr>
        <w:t>ączniku I do dyrektywy Parlamentu Europejskiego</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Rad</w:t>
      </w:r>
      <w:r w:rsidRPr="00342D7E">
        <w:rPr>
          <w:rFonts w:ascii="Times New Roman" w:hAnsi="Times New Roman"/>
          <w:sz w:val="24"/>
          <w:szCs w:val="24"/>
        </w:rPr>
        <w:t>y (UE) 2015/2366</w:t>
      </w:r>
      <w:r w:rsidRPr="00342D7E">
        <w:rPr>
          <w:rStyle w:val="FootnoteReference"/>
          <w:rFonts w:ascii="Times New Roman" w:hAnsi="Times New Roman"/>
          <w:sz w:val="24"/>
          <w:szCs w:val="24"/>
        </w:rPr>
        <w:footnoteReference w:id="10"/>
      </w:r>
      <w:r w:rsidRPr="00342D7E">
        <w:rPr>
          <w:rFonts w:ascii="Times New Roman" w:hAnsi="Times New Roman"/>
          <w:sz w:val="24"/>
          <w:szCs w:val="24"/>
        </w:rPr>
        <w:t>. Informacje dotyczące przychodu</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 zgłasza się oddzielnie dla rachunków bieżących, kart kredytowych, kart debetowych oraz innych płatności kartą, poleceń przelewów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ych zleceń płatniczych, jak również pozostałych przychodów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 związanych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ugami płatniczymi. „Inne przychody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iesieniu do usług płatniczych” obejmują opłaty za korzystanie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sie</w:t>
      </w:r>
      <w:r w:rsidRPr="00342D7E">
        <w:rPr>
          <w:rFonts w:ascii="Times New Roman" w:hAnsi="Times New Roman"/>
          <w:sz w:val="24"/>
          <w:szCs w:val="24"/>
        </w:rPr>
        <w:t>ci bankomatów instytucji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wyk</w:t>
      </w:r>
      <w:r w:rsidRPr="00342D7E">
        <w:rPr>
          <w:rFonts w:ascii="Times New Roman" w:hAnsi="Times New Roman"/>
          <w:sz w:val="24"/>
          <w:szCs w:val="24"/>
        </w:rPr>
        <w:t>orzystaniem kart niewydanych przez tę instytucję. Informacje dotyczące kosztów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 związanych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kar</w:t>
      </w:r>
      <w:r w:rsidRPr="00342D7E">
        <w:rPr>
          <w:rFonts w:ascii="Times New Roman" w:hAnsi="Times New Roman"/>
          <w:sz w:val="24"/>
          <w:szCs w:val="24"/>
        </w:rPr>
        <w:t>tami kredytowymi, debetowymi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ymi zgłasza się oddzielnie;</w:t>
      </w:r>
    </w:p>
    <w:p w:rsidR="00D35B0C" w:rsidRPr="00342D7E" w:rsidRDefault="00BA0DE3"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„Zasoby klientów podzielone, ale niezarządzane (według rodzajów produktów</w:t>
      </w:r>
      <w:proofErr w:type="gramStart"/>
      <w:r w:rsidRPr="00342D7E">
        <w:rPr>
          <w:rFonts w:ascii="Times New Roman" w:hAnsi="Times New Roman"/>
          <w:sz w:val="24"/>
          <w:szCs w:val="24"/>
        </w:rPr>
        <w:t>)” obejmują</w:t>
      </w:r>
      <w:proofErr w:type="gramEnd"/>
      <w:r w:rsidRPr="00342D7E">
        <w:rPr>
          <w:rFonts w:ascii="Times New Roman" w:hAnsi="Times New Roman"/>
          <w:sz w:val="24"/>
          <w:szCs w:val="24"/>
        </w:rPr>
        <w:t xml:space="preserve"> przychody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dystrybucji produktów wyemitowanych przez podmioty spoza grupy objętej konsolidacją ostrożnościową wśród jej aktualnych klientów. Informację tę zgłasza się według rodzajów produktów;</w:t>
      </w:r>
    </w:p>
    <w:p w:rsidR="00D35B0C" w:rsidRPr="00342D7E" w:rsidRDefault="00BA0DE3"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W ramach kosztów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 „Dystrybucja produktów przez podmioty zewnętrzne” obejmuje koszty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dystrybucji produktów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usł</w:t>
      </w:r>
      <w:r w:rsidRPr="00342D7E">
        <w:rPr>
          <w:rFonts w:ascii="Times New Roman" w:hAnsi="Times New Roman"/>
          <w:sz w:val="24"/>
          <w:szCs w:val="24"/>
        </w:rPr>
        <w:t>ug instytucji poprzez sieć agentów zewnętrznych/ na podstawie umowy</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dys</w:t>
      </w:r>
      <w:r w:rsidRPr="00342D7E">
        <w:rPr>
          <w:rFonts w:ascii="Times New Roman" w:hAnsi="Times New Roman"/>
          <w:sz w:val="24"/>
          <w:szCs w:val="24"/>
        </w:rPr>
        <w:t>trybucję zawartej</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dos</w:t>
      </w:r>
      <w:r w:rsidRPr="00342D7E">
        <w:rPr>
          <w:rFonts w:ascii="Times New Roman" w:hAnsi="Times New Roman"/>
          <w:sz w:val="24"/>
          <w:szCs w:val="24"/>
        </w:rPr>
        <w:t>tawcami zewnętrznymi,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tym</w:t>
      </w:r>
      <w:r w:rsidRPr="00342D7E">
        <w:rPr>
          <w:rFonts w:ascii="Times New Roman" w:hAnsi="Times New Roman"/>
          <w:sz w:val="24"/>
          <w:szCs w:val="24"/>
        </w:rPr>
        <w:t xml:space="preserve"> brokerami kredytów hipotecznych, internetowymi platformami kredytowymi lub aplikacjami Fintech;</w:t>
      </w:r>
    </w:p>
    <w:p w:rsidR="00D35B0C" w:rsidRPr="00342D7E" w:rsidRDefault="00A834F1"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„Finansowanie zintegrowane” obejmuje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wizje otrzymane za zaangażowanie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two</w:t>
      </w:r>
      <w:r w:rsidRPr="00342D7E">
        <w:rPr>
          <w:rFonts w:ascii="Times New Roman" w:hAnsi="Times New Roman"/>
          <w:sz w:val="24"/>
          <w:szCs w:val="24"/>
        </w:rPr>
        <w:t xml:space="preserve">rzenie lub emisję instrumentów finansowych innych niż papiery wartościowe tworzone lub emitowane przez instytucję; </w:t>
      </w:r>
    </w:p>
    <w:p w:rsidR="00D35B0C" w:rsidRPr="00342D7E" w:rsidRDefault="00BA0DE3"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Opłaty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„Działalności związanej</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obs</w:t>
      </w:r>
      <w:r w:rsidRPr="00342D7E">
        <w:rPr>
          <w:rFonts w:ascii="Times New Roman" w:hAnsi="Times New Roman"/>
          <w:sz w:val="24"/>
          <w:szCs w:val="24"/>
        </w:rPr>
        <w:t>ługą zadłużenia” obejmują, po stronie przychodów, przychody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 wygenerowane przez instytucję świadczącą usługi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zak</w:t>
      </w:r>
      <w:r w:rsidRPr="00342D7E">
        <w:rPr>
          <w:rFonts w:ascii="Times New Roman" w:hAnsi="Times New Roman"/>
          <w:sz w:val="24"/>
          <w:szCs w:val="24"/>
        </w:rPr>
        <w:t>resie obsługi zadłużenia, a po stronie kosztów – koszty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 pobierane od instytucji przez podmioty świadczące usługi obsługi zadłużenia;</w:t>
      </w:r>
    </w:p>
    <w:p w:rsidR="00D35B0C" w:rsidRPr="00342D7E" w:rsidRDefault="00A834F1"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lastRenderedPageBreak/>
        <w:t>„Udzielone zobowiązania do udzielenia pożyczki” oraz „Udzielone gwarancje finansowe” obejmują kwotę, ujętą jako przychody za dany okres, amortyzacji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tych działań wstępnie ujętych jako „inne zobowiązania”;</w:t>
      </w:r>
    </w:p>
    <w:p w:rsidR="00D35B0C" w:rsidRPr="00342D7E" w:rsidRDefault="00A834F1"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„Otrzymane zobowiązania do udzielenia pożyczki” i „Otrzymane gwarancje finansowe” obejmują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wizje ujęte jako koszty przez instytucję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tra</w:t>
      </w:r>
      <w:r w:rsidRPr="00342D7E">
        <w:rPr>
          <w:rFonts w:ascii="Times New Roman" w:hAnsi="Times New Roman"/>
          <w:sz w:val="24"/>
          <w:szCs w:val="24"/>
        </w:rPr>
        <w:t>kcie danego okresu</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kon</w:t>
      </w:r>
      <w:r w:rsidRPr="00342D7E">
        <w:rPr>
          <w:rFonts w:ascii="Times New Roman" w:hAnsi="Times New Roman"/>
          <w:sz w:val="24"/>
          <w:szCs w:val="24"/>
        </w:rPr>
        <w:t xml:space="preserve">sekwencji uiszczenia opłaty na rzecz kontrahenta, który zobowiązał się do udzielenia pożyczki lub udzielił gwarancji finansowej pierwotnie ujętej jako „inne aktywa”; </w:t>
      </w:r>
    </w:p>
    <w:p w:rsidR="00D35B0C" w:rsidRPr="00342D7E" w:rsidRDefault="00BA0DE3"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W pozycji „udzielone kredyty” zgłasza się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wizje, które są pobierane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cesie udzielania kredytów, ale nie są uwzględniane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wyl</w:t>
      </w:r>
      <w:r w:rsidRPr="00342D7E">
        <w:rPr>
          <w:rFonts w:ascii="Times New Roman" w:hAnsi="Times New Roman"/>
          <w:sz w:val="24"/>
          <w:szCs w:val="24"/>
        </w:rPr>
        <w:t>iczeniach efektywnej stopy procentowej;</w:t>
      </w:r>
    </w:p>
    <w:p w:rsidR="00D35B0C" w:rsidRPr="00342D7E" w:rsidRDefault="00BA0DE3"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„Transakcje walutowe” obejmuje przychody (koszty)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iesieniu do usług walutowych (w tym wymiany zagranicznych banknotów lub monet, opłat</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czeków</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wal</w:t>
      </w:r>
      <w:r w:rsidRPr="00342D7E">
        <w:rPr>
          <w:rFonts w:ascii="Times New Roman" w:hAnsi="Times New Roman"/>
          <w:sz w:val="24"/>
          <w:szCs w:val="24"/>
        </w:rPr>
        <w:t>ucie obcej, różnicy pomiędzy kursem sprzedaży</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kur</w:t>
      </w:r>
      <w:r w:rsidRPr="00342D7E">
        <w:rPr>
          <w:rFonts w:ascii="Times New Roman" w:hAnsi="Times New Roman"/>
          <w:sz w:val="24"/>
          <w:szCs w:val="24"/>
        </w:rPr>
        <w:t>sem kupna) oraz przychodów/kosztów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 związanych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tra</w:t>
      </w:r>
      <w:r w:rsidRPr="00342D7E">
        <w:rPr>
          <w:rFonts w:ascii="Times New Roman" w:hAnsi="Times New Roman"/>
          <w:sz w:val="24"/>
          <w:szCs w:val="24"/>
        </w:rPr>
        <w:t>nsakcjami międzynarodowymi</w:t>
      </w:r>
      <w:r w:rsidR="00342D7E" w:rsidRPr="00342D7E">
        <w:rPr>
          <w:rFonts w:ascii="Times New Roman" w:hAnsi="Times New Roman"/>
          <w:sz w:val="24"/>
          <w:szCs w:val="24"/>
        </w:rPr>
        <w:t>.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gdy przychody (koszty) wynikające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tra</w:t>
      </w:r>
      <w:r w:rsidRPr="00342D7E">
        <w:rPr>
          <w:rFonts w:ascii="Times New Roman" w:hAnsi="Times New Roman"/>
          <w:sz w:val="24"/>
          <w:szCs w:val="24"/>
        </w:rPr>
        <w:t>nsakcji walutowych mogą być oddzielone od pozostałych przychodów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 związanych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kar</w:t>
      </w:r>
      <w:r w:rsidRPr="00342D7E">
        <w:rPr>
          <w:rFonts w:ascii="Times New Roman" w:hAnsi="Times New Roman"/>
          <w:sz w:val="24"/>
          <w:szCs w:val="24"/>
        </w:rPr>
        <w:t>tami kredytowymi/debetowymi, pozycja ta obejmuje również opłaty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wizje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wym</w:t>
      </w:r>
      <w:r w:rsidRPr="00342D7E">
        <w:rPr>
          <w:rFonts w:ascii="Times New Roman" w:hAnsi="Times New Roman"/>
          <w:sz w:val="24"/>
          <w:szCs w:val="24"/>
        </w:rPr>
        <w:t>ianą walut generowane za pomocą kart kredytowych lub debetowych;</w:t>
      </w:r>
    </w:p>
    <w:p w:rsidR="00D35B0C" w:rsidRPr="00342D7E" w:rsidRDefault="00BA0DE3"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„Towary” obejmują przychody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dzi</w:t>
      </w:r>
      <w:r w:rsidRPr="00342D7E">
        <w:rPr>
          <w:rFonts w:ascii="Times New Roman" w:hAnsi="Times New Roman"/>
          <w:sz w:val="24"/>
          <w:szCs w:val="24"/>
        </w:rPr>
        <w:t>ałalnością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zak</w:t>
      </w:r>
      <w:r w:rsidRPr="00342D7E">
        <w:rPr>
          <w:rFonts w:ascii="Times New Roman" w:hAnsi="Times New Roman"/>
          <w:sz w:val="24"/>
          <w:szCs w:val="24"/>
        </w:rPr>
        <w:t>resie towarów,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wyj</w:t>
      </w:r>
      <w:r w:rsidRPr="00342D7E">
        <w:rPr>
          <w:rFonts w:ascii="Times New Roman" w:hAnsi="Times New Roman"/>
          <w:sz w:val="24"/>
          <w:szCs w:val="24"/>
        </w:rPr>
        <w:t>ątkiem przychodów związanych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obr</w:t>
      </w:r>
      <w:r w:rsidRPr="00342D7E">
        <w:rPr>
          <w:rFonts w:ascii="Times New Roman" w:hAnsi="Times New Roman"/>
          <w:sz w:val="24"/>
          <w:szCs w:val="24"/>
        </w:rPr>
        <w:t>otem towarami, które zgłasza się jako inne przychody operacyjne;</w:t>
      </w:r>
    </w:p>
    <w:p w:rsidR="00D35B0C" w:rsidRPr="00342D7E" w:rsidRDefault="00A834F1" w:rsidP="00056B6F">
      <w:pPr>
        <w:numPr>
          <w:ilvl w:val="0"/>
          <w:numId w:val="77"/>
        </w:numPr>
        <w:spacing w:before="120" w:after="120"/>
        <w:ind w:left="1276"/>
        <w:jc w:val="both"/>
        <w:rPr>
          <w:rFonts w:ascii="Times New Roman" w:hAnsi="Times New Roman"/>
          <w:sz w:val="24"/>
          <w:szCs w:val="24"/>
        </w:rPr>
      </w:pPr>
      <w:r w:rsidRPr="00342D7E">
        <w:rPr>
          <w:rFonts w:ascii="Times New Roman" w:hAnsi="Times New Roman"/>
          <w:sz w:val="24"/>
          <w:szCs w:val="24"/>
        </w:rPr>
        <w:t>„Inne przychody (koszty)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 obejmują przychody (koszty)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wizji wygenerowane przez instytucję (lub pobierane od instytucji), które nie mogą być przypisane do żadnych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ostałych wymienionych pozycji.</w:t>
      </w:r>
    </w:p>
    <w:p w:rsidR="00D35B0C" w:rsidRPr="00342D7E" w:rsidRDefault="00A834F1">
      <w:pPr>
        <w:pStyle w:val="sub-subtitlenumbered"/>
        <w:jc w:val="both"/>
      </w:pPr>
      <w:bookmarkStart w:id="65" w:name="_Toc31019167"/>
      <w:r w:rsidRPr="00342D7E">
        <w:t>Aktywa zaangażowane</w:t>
      </w:r>
      <w:r w:rsidR="00342D7E" w:rsidRPr="00342D7E">
        <w:t xml:space="preserve"> w</w:t>
      </w:r>
      <w:r w:rsidR="00342D7E">
        <w:t> </w:t>
      </w:r>
      <w:r w:rsidR="00342D7E" w:rsidRPr="00342D7E">
        <w:t>świ</w:t>
      </w:r>
      <w:r w:rsidRPr="00342D7E">
        <w:t>adczone usługi (22.2)</w:t>
      </w:r>
      <w:bookmarkEnd w:id="65"/>
    </w:p>
    <w:p w:rsidR="00D35B0C" w:rsidRPr="00342D7E" w:rsidRDefault="00A834F1">
      <w:pPr>
        <w:pStyle w:val="Baseparagraphnumbered"/>
      </w:pPr>
      <w:r w:rsidRPr="00342D7E">
        <w:t>Działalność związaną</w:t>
      </w:r>
      <w:r w:rsidR="00342D7E" w:rsidRPr="00342D7E">
        <w:t xml:space="preserve"> z</w:t>
      </w:r>
      <w:r w:rsidR="00342D7E">
        <w:t> </w:t>
      </w:r>
      <w:r w:rsidR="00342D7E" w:rsidRPr="00342D7E">
        <w:t>zar</w:t>
      </w:r>
      <w:r w:rsidRPr="00342D7E">
        <w:t>ządzaniem aktywami, świadczeniem usług przechowywania oraz świadczeniem innych usług przez instytucję zgłasza się, korzystając</w:t>
      </w:r>
      <w:r w:rsidR="00342D7E" w:rsidRPr="00342D7E">
        <w:t xml:space="preserve"> z</w:t>
      </w:r>
      <w:r w:rsidR="00342D7E">
        <w:t> </w:t>
      </w:r>
      <w:r w:rsidR="00342D7E" w:rsidRPr="00342D7E">
        <w:t>nas</w:t>
      </w:r>
      <w:r w:rsidRPr="00342D7E">
        <w:t>tępujących definicji:</w:t>
      </w:r>
    </w:p>
    <w:p w:rsidR="00D35B0C" w:rsidRPr="00342D7E" w:rsidRDefault="00A834F1" w:rsidP="00056B6F">
      <w:pPr>
        <w:numPr>
          <w:ilvl w:val="0"/>
          <w:numId w:val="78"/>
        </w:numPr>
        <w:spacing w:before="120" w:after="120"/>
        <w:ind w:left="1134"/>
        <w:jc w:val="both"/>
        <w:rPr>
          <w:rFonts w:ascii="Times New Roman" w:hAnsi="Times New Roman"/>
          <w:sz w:val="24"/>
          <w:szCs w:val="24"/>
        </w:rPr>
      </w:pPr>
      <w:r w:rsidRPr="00342D7E">
        <w:rPr>
          <w:rFonts w:ascii="Times New Roman" w:hAnsi="Times New Roman"/>
          <w:sz w:val="24"/>
          <w:szCs w:val="24"/>
        </w:rPr>
        <w:t>„Zarządzanie aktywami” dotyczy aktywów należących bezpośrednio do klientów,</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 xml:space="preserve">iesieniu do których instytucja zapewnia usługi zarządzania. „Zarządzanie aktywami” zgłasza się według rodzaju klienta: przedsiębiorstwa zbiorowego inwestowania, fundusze emerytalne, portfele klientów zarządzane na zasadzie uznaniowości oraz inne instrumenty inwestycyjne; </w:t>
      </w:r>
    </w:p>
    <w:p w:rsidR="00D35B0C" w:rsidRPr="00342D7E" w:rsidRDefault="00A834F1" w:rsidP="00056B6F">
      <w:pPr>
        <w:numPr>
          <w:ilvl w:val="0"/>
          <w:numId w:val="78"/>
        </w:numPr>
        <w:spacing w:before="120" w:after="120"/>
        <w:ind w:left="1134"/>
        <w:jc w:val="both"/>
        <w:rPr>
          <w:rFonts w:ascii="Times New Roman" w:hAnsi="Times New Roman"/>
          <w:sz w:val="24"/>
          <w:szCs w:val="24"/>
        </w:rPr>
      </w:pPr>
      <w:r w:rsidRPr="00342D7E">
        <w:rPr>
          <w:rFonts w:ascii="Times New Roman" w:hAnsi="Times New Roman"/>
          <w:sz w:val="24"/>
          <w:szCs w:val="24"/>
        </w:rPr>
        <w:t>„Przechowywane aktywa” dotyczą świadczonych przez instytucję usług</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zak</w:t>
      </w:r>
      <w:r w:rsidRPr="00342D7E">
        <w:rPr>
          <w:rFonts w:ascii="Times New Roman" w:hAnsi="Times New Roman"/>
          <w:sz w:val="24"/>
          <w:szCs w:val="24"/>
        </w:rPr>
        <w:t>resie przechowywania instrumentów finansowych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adm</w:t>
      </w:r>
      <w:r w:rsidRPr="00342D7E">
        <w:rPr>
          <w:rFonts w:ascii="Times New Roman" w:hAnsi="Times New Roman"/>
          <w:sz w:val="24"/>
          <w:szCs w:val="24"/>
        </w:rPr>
        <w:t xml:space="preserve">inistrowania nimi na rachunek klientów oraz </w:t>
      </w:r>
      <w:r w:rsidRPr="00342D7E">
        <w:rPr>
          <w:rFonts w:ascii="Times New Roman" w:hAnsi="Times New Roman"/>
          <w:iCs/>
          <w:sz w:val="24"/>
          <w:szCs w:val="24"/>
        </w:rPr>
        <w:t>usług pokrewnych do usług powierniczych, takich jak zarządzanie gotówką</w:t>
      </w:r>
      <w:r w:rsidR="00342D7E" w:rsidRPr="00342D7E">
        <w:rPr>
          <w:rFonts w:ascii="Times New Roman" w:hAnsi="Times New Roman"/>
          <w:iCs/>
          <w:sz w:val="24"/>
          <w:szCs w:val="24"/>
        </w:rPr>
        <w:t xml:space="preserve"> i</w:t>
      </w:r>
      <w:r w:rsidR="00342D7E">
        <w:rPr>
          <w:rFonts w:ascii="Times New Roman" w:hAnsi="Times New Roman"/>
          <w:iCs/>
          <w:sz w:val="24"/>
          <w:szCs w:val="24"/>
        </w:rPr>
        <w:t> </w:t>
      </w:r>
      <w:r w:rsidR="00342D7E" w:rsidRPr="00342D7E">
        <w:rPr>
          <w:rFonts w:ascii="Times New Roman" w:hAnsi="Times New Roman"/>
          <w:iCs/>
          <w:sz w:val="24"/>
          <w:szCs w:val="24"/>
        </w:rPr>
        <w:t>zab</w:t>
      </w:r>
      <w:r w:rsidRPr="00342D7E">
        <w:rPr>
          <w:rFonts w:ascii="Times New Roman" w:hAnsi="Times New Roman"/>
          <w:iCs/>
          <w:sz w:val="24"/>
          <w:szCs w:val="24"/>
        </w:rPr>
        <w:t>ezpieczeniem.</w:t>
      </w:r>
      <w:r w:rsidRPr="00342D7E">
        <w:rPr>
          <w:rFonts w:ascii="Times New Roman" w:hAnsi="Times New Roman"/>
          <w:sz w:val="24"/>
          <w:szCs w:val="24"/>
        </w:rPr>
        <w:t xml:space="preserve"> „Przechowywane </w:t>
      </w:r>
      <w:r w:rsidRPr="00342D7E">
        <w:rPr>
          <w:rFonts w:ascii="Times New Roman" w:hAnsi="Times New Roman"/>
          <w:sz w:val="24"/>
          <w:szCs w:val="24"/>
        </w:rPr>
        <w:lastRenderedPageBreak/>
        <w:t>aktywa” zgłasza się według rodzajów klientów, których aktywa instytucja przechowuje, dokonując rozróżnienia między przedsiębiorstwami zbiorowego inwestowania</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ymi klientami. Pozycja „w tym: powierzone innym jednostkom” dotyczy kwoty aktywów uwzględnionych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echowywanych aktywach, których efektywne przechowywanie instytucja powierzyła innym podmiotom;</w:t>
      </w:r>
    </w:p>
    <w:p w:rsidR="00D35B0C" w:rsidRPr="00342D7E" w:rsidRDefault="00A834F1" w:rsidP="00056B6F">
      <w:pPr>
        <w:numPr>
          <w:ilvl w:val="0"/>
          <w:numId w:val="78"/>
        </w:numPr>
        <w:spacing w:before="120" w:after="120"/>
        <w:ind w:left="1134"/>
        <w:jc w:val="both"/>
        <w:rPr>
          <w:rFonts w:ascii="Times New Roman" w:hAnsi="Times New Roman"/>
          <w:sz w:val="24"/>
          <w:szCs w:val="24"/>
        </w:rPr>
      </w:pPr>
      <w:r w:rsidRPr="00342D7E">
        <w:rPr>
          <w:rFonts w:ascii="Times New Roman" w:hAnsi="Times New Roman"/>
          <w:sz w:val="24"/>
          <w:szCs w:val="24"/>
        </w:rPr>
        <w:t>„Centralna obsługa administracyjna zbiorowego inwestowania” dotyczy usług administracyjnych świadczonych przez instytucję na rzecz przedsiębiorstw zbiorowego inwestowania. Usługi te obejmują m.in. świadczenie usług agenta transferowego, sporządzanie dokumentów księgowych, przygotowywanie prospektu emisyjnego, raportów finansowych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wsz</w:t>
      </w:r>
      <w:r w:rsidRPr="00342D7E">
        <w:rPr>
          <w:rFonts w:ascii="Times New Roman" w:hAnsi="Times New Roman"/>
          <w:sz w:val="24"/>
          <w:szCs w:val="24"/>
        </w:rPr>
        <w:t>ystkich innych dokumentów przeznaczonych dla inwestorów, prowadzenie korespondencji poprzez rozpowszechnianie raportów finansowych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wsz</w:t>
      </w:r>
      <w:r w:rsidRPr="00342D7E">
        <w:rPr>
          <w:rFonts w:ascii="Times New Roman" w:hAnsi="Times New Roman"/>
          <w:sz w:val="24"/>
          <w:szCs w:val="24"/>
        </w:rPr>
        <w:t>ystkich innych dokumentów przeznaczonych dla inwestorów, dokonywanie emisji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wyk</w:t>
      </w:r>
      <w:r w:rsidRPr="00342D7E">
        <w:rPr>
          <w:rFonts w:ascii="Times New Roman" w:hAnsi="Times New Roman"/>
          <w:sz w:val="24"/>
          <w:szCs w:val="24"/>
        </w:rPr>
        <w:t>upów oraz prowadzenie rejestru inwestorów,</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tak</w:t>
      </w:r>
      <w:r w:rsidRPr="00342D7E">
        <w:rPr>
          <w:rFonts w:ascii="Times New Roman" w:hAnsi="Times New Roman"/>
          <w:sz w:val="24"/>
          <w:szCs w:val="24"/>
        </w:rPr>
        <w:t>że obliczanie wartości aktywów netto;</w:t>
      </w:r>
      <w:r w:rsidRPr="00342D7E">
        <w:rPr>
          <w:sz w:val="24"/>
          <w:szCs w:val="24"/>
        </w:rPr>
        <w:t xml:space="preserve"> </w:t>
      </w:r>
    </w:p>
    <w:p w:rsidR="00D35B0C" w:rsidRPr="00342D7E" w:rsidRDefault="00A834F1" w:rsidP="00056B6F">
      <w:pPr>
        <w:numPr>
          <w:ilvl w:val="0"/>
          <w:numId w:val="78"/>
        </w:numPr>
        <w:spacing w:before="120" w:after="120"/>
        <w:ind w:left="1134"/>
        <w:jc w:val="both"/>
        <w:rPr>
          <w:rFonts w:ascii="Times New Roman" w:hAnsi="Times New Roman"/>
          <w:sz w:val="24"/>
          <w:szCs w:val="24"/>
        </w:rPr>
      </w:pPr>
      <w:r w:rsidRPr="00342D7E">
        <w:rPr>
          <w:rFonts w:ascii="Times New Roman" w:hAnsi="Times New Roman"/>
          <w:sz w:val="24"/>
          <w:szCs w:val="24"/>
        </w:rPr>
        <w:t xml:space="preserve"> „Transakcje powiernicze” dotyczą działań,</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ram</w:t>
      </w:r>
      <w:r w:rsidRPr="00342D7E">
        <w:rPr>
          <w:rFonts w:ascii="Times New Roman" w:hAnsi="Times New Roman"/>
          <w:sz w:val="24"/>
          <w:szCs w:val="24"/>
        </w:rPr>
        <w:t>ach których instytucja występuje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swo</w:t>
      </w:r>
      <w:r w:rsidRPr="00342D7E">
        <w:rPr>
          <w:rFonts w:ascii="Times New Roman" w:hAnsi="Times New Roman"/>
          <w:sz w:val="24"/>
          <w:szCs w:val="24"/>
        </w:rPr>
        <w:t>im własnym imieniu, działając jednak na rachunek</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ryz</w:t>
      </w:r>
      <w:r w:rsidRPr="00342D7E">
        <w:rPr>
          <w:rFonts w:ascii="Times New Roman" w:hAnsi="Times New Roman"/>
          <w:sz w:val="24"/>
          <w:szCs w:val="24"/>
        </w:rPr>
        <w:t>yko swoich klientów</w:t>
      </w:r>
      <w:r w:rsidR="00342D7E" w:rsidRPr="00342D7E">
        <w:rPr>
          <w:rFonts w:ascii="Times New Roman" w:hAnsi="Times New Roman"/>
          <w:sz w:val="24"/>
          <w:szCs w:val="24"/>
        </w:rPr>
        <w:t>. W</w:t>
      </w:r>
      <w:r w:rsidR="00342D7E">
        <w:rPr>
          <w:rFonts w:ascii="Times New Roman" w:hAnsi="Times New Roman"/>
          <w:sz w:val="24"/>
          <w:szCs w:val="24"/>
        </w:rPr>
        <w:t> </w:t>
      </w:r>
      <w:r w:rsidR="00342D7E" w:rsidRPr="00342D7E">
        <w:rPr>
          <w:rFonts w:ascii="Times New Roman" w:hAnsi="Times New Roman"/>
          <w:sz w:val="24"/>
          <w:szCs w:val="24"/>
        </w:rPr>
        <w:t>ram</w:t>
      </w:r>
      <w:r w:rsidRPr="00342D7E">
        <w:rPr>
          <w:rFonts w:ascii="Times New Roman" w:hAnsi="Times New Roman"/>
          <w:sz w:val="24"/>
          <w:szCs w:val="24"/>
        </w:rPr>
        <w:t>ach transakcji powierniczych instytucja często świadczy usługi takie jak usługi zarządzania powierzonymi aktywami na rzecz jednostki strukturyzowanej lub usługi zarządzania portfelami na zasadzie uznaniowości. Wszystkie transakcje powiernicze zgłasza się wyłącznie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tej</w:t>
      </w:r>
      <w:r w:rsidRPr="00342D7E">
        <w:rPr>
          <w:rFonts w:ascii="Times New Roman" w:hAnsi="Times New Roman"/>
          <w:sz w:val="24"/>
          <w:szCs w:val="24"/>
        </w:rPr>
        <w:t xml:space="preserve"> pozycji, niezależnie od tego, czy instytucja świadczy inne usługi;</w:t>
      </w:r>
    </w:p>
    <w:p w:rsidR="00D35B0C" w:rsidRPr="00342D7E" w:rsidRDefault="00A834F1" w:rsidP="00056B6F">
      <w:pPr>
        <w:numPr>
          <w:ilvl w:val="0"/>
          <w:numId w:val="78"/>
        </w:numPr>
        <w:spacing w:before="120" w:after="120"/>
        <w:ind w:left="1134"/>
        <w:jc w:val="both"/>
        <w:rPr>
          <w:rFonts w:ascii="Times New Roman" w:hAnsi="Times New Roman"/>
          <w:sz w:val="24"/>
          <w:szCs w:val="24"/>
        </w:rPr>
      </w:pPr>
      <w:r w:rsidRPr="00342D7E">
        <w:rPr>
          <w:rFonts w:ascii="Times New Roman" w:hAnsi="Times New Roman"/>
          <w:sz w:val="24"/>
          <w:szCs w:val="24"/>
        </w:rPr>
        <w:t>„Usługi płatnicze” dotyczą usług płatniczych wymienionych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zał</w:t>
      </w:r>
      <w:r w:rsidRPr="00342D7E">
        <w:rPr>
          <w:rFonts w:ascii="Times New Roman" w:hAnsi="Times New Roman"/>
          <w:sz w:val="24"/>
          <w:szCs w:val="24"/>
        </w:rPr>
        <w:t>ączniku I do dyrektywy (UE) 2015/2366;</w:t>
      </w:r>
    </w:p>
    <w:p w:rsidR="00D35B0C" w:rsidRPr="00342D7E" w:rsidRDefault="00A834F1" w:rsidP="00056B6F">
      <w:pPr>
        <w:numPr>
          <w:ilvl w:val="0"/>
          <w:numId w:val="78"/>
        </w:numPr>
        <w:spacing w:before="120" w:after="120"/>
        <w:ind w:left="1134"/>
        <w:jc w:val="both"/>
        <w:rPr>
          <w:rFonts w:ascii="Times New Roman" w:hAnsi="Times New Roman"/>
          <w:sz w:val="24"/>
          <w:szCs w:val="24"/>
        </w:rPr>
      </w:pPr>
      <w:r w:rsidRPr="00342D7E">
        <w:rPr>
          <w:rFonts w:ascii="Times New Roman" w:hAnsi="Times New Roman"/>
          <w:sz w:val="24"/>
          <w:szCs w:val="24"/>
        </w:rPr>
        <w:t>„Zasoby klientów podzielone, ale niezarządzane” dotyczą produktów wyemitowanych przez podmioty spoza grupy objętej konsolidacją ostrożnościową, których dystrybucję instytucja przeprowadziła wśród swoich aktualnych klientów. Pozycję tę zgłasza się według rodzajów produktów;</w:t>
      </w:r>
    </w:p>
    <w:p w:rsidR="00D35B0C" w:rsidRPr="00342D7E" w:rsidRDefault="00A834F1" w:rsidP="00056B6F">
      <w:pPr>
        <w:numPr>
          <w:ilvl w:val="0"/>
          <w:numId w:val="78"/>
        </w:numPr>
        <w:spacing w:before="120" w:after="120"/>
        <w:ind w:left="1134"/>
        <w:jc w:val="both"/>
        <w:rPr>
          <w:rFonts w:ascii="Times New Roman" w:hAnsi="Times New Roman"/>
          <w:sz w:val="24"/>
          <w:szCs w:val="24"/>
        </w:rPr>
      </w:pPr>
      <w:r w:rsidRPr="00342D7E">
        <w:rPr>
          <w:rFonts w:ascii="Times New Roman" w:hAnsi="Times New Roman"/>
          <w:sz w:val="24"/>
          <w:szCs w:val="24"/>
        </w:rPr>
        <w:t>„Kwota aktywów zaangażowanych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świ</w:t>
      </w:r>
      <w:r w:rsidRPr="00342D7E">
        <w:rPr>
          <w:rFonts w:ascii="Times New Roman" w:hAnsi="Times New Roman"/>
          <w:sz w:val="24"/>
          <w:szCs w:val="24"/>
        </w:rPr>
        <w:t>adczone usługi” obejmuje kwotę aktywów,</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iesieniu do której instytucja podejmuje działania,</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zas</w:t>
      </w:r>
      <w:r w:rsidRPr="00342D7E">
        <w:rPr>
          <w:rFonts w:ascii="Times New Roman" w:hAnsi="Times New Roman"/>
          <w:sz w:val="24"/>
          <w:szCs w:val="24"/>
        </w:rPr>
        <w:t>tosowaniem wartości godziwej. Jeżeli wartość godziwa nie jest dostępna, można skorzystać</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ych podstaw wyceny,</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tym</w:t>
      </w:r>
      <w:r w:rsidRPr="00342D7E">
        <w:rPr>
          <w:rFonts w:ascii="Times New Roman" w:hAnsi="Times New Roman"/>
          <w:sz w:val="24"/>
          <w:szCs w:val="24"/>
        </w:rPr>
        <w:t xml:space="preserve"> wartości nominalnej. Jeżeli instytucja świadczy usługi na rzecz podmiotów takich jak przedsiębiorstwa zbiorowego inwestowania lub fundusze emerytalne, przedmiotowe aktywa można wykazać według wartości, po której podmioty te ujmują aktywa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swo</w:t>
      </w:r>
      <w:r w:rsidRPr="00342D7E">
        <w:rPr>
          <w:rFonts w:ascii="Times New Roman" w:hAnsi="Times New Roman"/>
          <w:sz w:val="24"/>
          <w:szCs w:val="24"/>
        </w:rPr>
        <w:t>im bilansie. Zgłoszone kwoty obejmują,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sto</w:t>
      </w:r>
      <w:r w:rsidRPr="00342D7E">
        <w:rPr>
          <w:rFonts w:ascii="Times New Roman" w:hAnsi="Times New Roman"/>
          <w:sz w:val="24"/>
          <w:szCs w:val="24"/>
        </w:rPr>
        <w:t>sownych przypadkach, odsetki naliczone.</w:t>
      </w:r>
    </w:p>
    <w:p w:rsidR="00D35B0C" w:rsidRPr="00342D7E" w:rsidRDefault="00A834F1">
      <w:pPr>
        <w:pStyle w:val="subtitlenumbered"/>
        <w:jc w:val="both"/>
      </w:pPr>
      <w:bookmarkStart w:id="66" w:name="_Toc31019168"/>
      <w:r w:rsidRPr="00342D7E">
        <w:t>Udziały</w:t>
      </w:r>
      <w:r w:rsidR="00342D7E" w:rsidRPr="00342D7E">
        <w:t xml:space="preserve"> w</w:t>
      </w:r>
      <w:r w:rsidR="00342D7E">
        <w:t> </w:t>
      </w:r>
      <w:r w:rsidR="00342D7E" w:rsidRPr="00342D7E">
        <w:t>jed</w:t>
      </w:r>
      <w:r w:rsidRPr="00342D7E">
        <w:t>nostkach strukturyzowanych niepodlegających konsolidacji (30)</w:t>
      </w:r>
      <w:bookmarkEnd w:id="66"/>
    </w:p>
    <w:p w:rsidR="00D35B0C" w:rsidRPr="00342D7E" w:rsidRDefault="00A834F1">
      <w:pPr>
        <w:pStyle w:val="Baseparagraphnumbered"/>
      </w:pPr>
      <w:r w:rsidRPr="00342D7E">
        <w:t>Do celów załączników III i IV oraz niniejszego załącznika „wykorzystana pomoc na utrzymanie płynności finansowej” oznacza sumę wartości bilansowej kredytu</w:t>
      </w:r>
      <w:r w:rsidR="00342D7E" w:rsidRPr="00342D7E">
        <w:t xml:space="preserve"> i</w:t>
      </w:r>
      <w:r w:rsidR="00342D7E">
        <w:t> </w:t>
      </w:r>
      <w:r w:rsidR="00342D7E" w:rsidRPr="00342D7E">
        <w:t>zal</w:t>
      </w:r>
      <w:r w:rsidRPr="00342D7E">
        <w:t xml:space="preserve">iczek udzielonych jednostkom strukturyzowanym niepodlegającym konsolidacji oraz wartości bilansowej </w:t>
      </w:r>
      <w:r w:rsidRPr="00342D7E">
        <w:lastRenderedPageBreak/>
        <w:t>posiadanych dłużnych papierów wartościowych, które zostały wyemitowane przez jednostki strukturyzowane niepodlegające konsolidacji.</w:t>
      </w:r>
    </w:p>
    <w:p w:rsidR="00D35B0C" w:rsidRPr="00342D7E" w:rsidRDefault="00A834F1">
      <w:pPr>
        <w:pStyle w:val="Baseparagraphnumbered"/>
      </w:pPr>
      <w:r w:rsidRPr="00342D7E">
        <w:t>„Straty poniesione przez instytucję sprawozdającą</w:t>
      </w:r>
      <w:r w:rsidR="00342D7E" w:rsidRPr="00342D7E">
        <w:t xml:space="preserve"> w</w:t>
      </w:r>
      <w:r w:rsidR="00342D7E">
        <w:t> </w:t>
      </w:r>
      <w:r w:rsidR="00342D7E" w:rsidRPr="00342D7E">
        <w:t>bie</w:t>
      </w:r>
      <w:r w:rsidRPr="00342D7E">
        <w:t>żącym okresie” obejmują straty</w:t>
      </w:r>
      <w:r w:rsidR="00342D7E" w:rsidRPr="00342D7E">
        <w:t xml:space="preserve"> z</w:t>
      </w:r>
      <w:r w:rsidR="00342D7E">
        <w:t> </w:t>
      </w:r>
      <w:r w:rsidR="00342D7E" w:rsidRPr="00342D7E">
        <w:t>tyt</w:t>
      </w:r>
      <w:r w:rsidRPr="00342D7E">
        <w:t>ułu utraty wartości oraz wszelkie inne straty poniesione</w:t>
      </w:r>
      <w:r w:rsidR="00342D7E" w:rsidRPr="00342D7E">
        <w:t xml:space="preserve"> w</w:t>
      </w:r>
      <w:r w:rsidR="00342D7E">
        <w:t> </w:t>
      </w:r>
      <w:r w:rsidR="00342D7E" w:rsidRPr="00342D7E">
        <w:t>okr</w:t>
      </w:r>
      <w:r w:rsidRPr="00342D7E">
        <w:t>esie sprawozdawczym przez instytucję sprawozdającą</w:t>
      </w:r>
      <w:r w:rsidR="00342D7E" w:rsidRPr="00342D7E">
        <w:t xml:space="preserve"> i</w:t>
      </w:r>
      <w:r w:rsidR="00342D7E">
        <w:t> </w:t>
      </w:r>
      <w:r w:rsidR="00342D7E" w:rsidRPr="00342D7E">
        <w:t>dot</w:t>
      </w:r>
      <w:r w:rsidRPr="00342D7E">
        <w:t>yczą udziałów instytucji sprawozdającej</w:t>
      </w:r>
      <w:r w:rsidR="00342D7E" w:rsidRPr="00342D7E">
        <w:t xml:space="preserve"> w</w:t>
      </w:r>
      <w:r w:rsidR="00342D7E">
        <w:t> </w:t>
      </w:r>
      <w:r w:rsidR="00342D7E" w:rsidRPr="00342D7E">
        <w:t>jed</w:t>
      </w:r>
      <w:r w:rsidRPr="00342D7E">
        <w:t>nostkach strukturyzowanych niepodlegających konsolidacji.</w:t>
      </w:r>
    </w:p>
    <w:p w:rsidR="00D35B0C" w:rsidRPr="00342D7E" w:rsidRDefault="00A834F1" w:rsidP="00056B6F">
      <w:pPr>
        <w:pStyle w:val="subtitlenumbered"/>
        <w:numPr>
          <w:ilvl w:val="0"/>
          <w:numId w:val="11"/>
        </w:numPr>
        <w:jc w:val="both"/>
      </w:pPr>
      <w:bookmarkStart w:id="67" w:name="_Toc31019169"/>
      <w:r w:rsidRPr="00342D7E">
        <w:t>Jednostki powiązane (31)</w:t>
      </w:r>
      <w:bookmarkEnd w:id="67"/>
    </w:p>
    <w:p w:rsidR="00D35B0C" w:rsidRPr="00342D7E" w:rsidRDefault="00A834F1">
      <w:pPr>
        <w:pStyle w:val="Baseparagraphnumbered"/>
      </w:pPr>
      <w:r w:rsidRPr="00342D7E">
        <w:t>Instytucje zgłaszają kwoty lub transakcje związane</w:t>
      </w:r>
      <w:r w:rsidR="00342D7E" w:rsidRPr="00342D7E">
        <w:t xml:space="preserve"> z</w:t>
      </w:r>
      <w:r w:rsidR="00342D7E">
        <w:t> </w:t>
      </w:r>
      <w:r w:rsidR="00342D7E" w:rsidRPr="00342D7E">
        <w:t>eks</w:t>
      </w:r>
      <w:r w:rsidRPr="00342D7E">
        <w:t>pozycjami bilansowymi</w:t>
      </w:r>
      <w:r w:rsidR="00342D7E" w:rsidRPr="00342D7E">
        <w:t xml:space="preserve"> i</w:t>
      </w:r>
      <w:r w:rsidR="00342D7E">
        <w:t> </w:t>
      </w:r>
      <w:r w:rsidR="00342D7E" w:rsidRPr="00342D7E">
        <w:t>poz</w:t>
      </w:r>
      <w:r w:rsidRPr="00342D7E">
        <w:t>abilansowymi,</w:t>
      </w:r>
      <w:r w:rsidR="00342D7E" w:rsidRPr="00342D7E">
        <w:t xml:space="preserve"> w</w:t>
      </w:r>
      <w:r w:rsidR="00342D7E">
        <w:t> </w:t>
      </w:r>
      <w:r w:rsidR="00342D7E" w:rsidRPr="00342D7E">
        <w:t>prz</w:t>
      </w:r>
      <w:r w:rsidRPr="00342D7E">
        <w:t xml:space="preserve">ypadku których kontrahent jest jednostką powiązaną zgodnie z MSR 24. </w:t>
      </w:r>
    </w:p>
    <w:p w:rsidR="00D35B0C" w:rsidRPr="00342D7E" w:rsidRDefault="00A834F1">
      <w:pPr>
        <w:pStyle w:val="Baseparagraphnumbered"/>
      </w:pPr>
      <w:r w:rsidRPr="00342D7E">
        <w:t>Transakcje wewnątrzgrupowe</w:t>
      </w:r>
      <w:r w:rsidR="00342D7E" w:rsidRPr="00342D7E">
        <w:t xml:space="preserve"> i</w:t>
      </w:r>
      <w:r w:rsidR="00342D7E">
        <w:t> </w:t>
      </w:r>
      <w:r w:rsidR="00342D7E" w:rsidRPr="00342D7E">
        <w:t>sal</w:t>
      </w:r>
      <w:r w:rsidRPr="00342D7E">
        <w:t>da należności wewnątrz grupy objętej konsolidacją ostrożnościową podlegają eliminacji</w:t>
      </w:r>
      <w:r w:rsidR="00342D7E" w:rsidRPr="00342D7E">
        <w:t>. W</w:t>
      </w:r>
      <w:r w:rsidR="00342D7E">
        <w:t> </w:t>
      </w:r>
      <w:r w:rsidR="00342D7E" w:rsidRPr="00342D7E">
        <w:t>poz</w:t>
      </w:r>
      <w:r w:rsidRPr="00342D7E">
        <w:t>ycji „Jednostki zależne</w:t>
      </w:r>
      <w:r w:rsidR="00342D7E" w:rsidRPr="00342D7E">
        <w:t xml:space="preserve"> i</w:t>
      </w:r>
      <w:r w:rsidR="00342D7E">
        <w:t> </w:t>
      </w:r>
      <w:r w:rsidR="00342D7E" w:rsidRPr="00342D7E">
        <w:t>inn</w:t>
      </w:r>
      <w:r w:rsidRPr="00342D7E">
        <w:t>e jednostki</w:t>
      </w:r>
      <w:r w:rsidR="00342D7E" w:rsidRPr="00342D7E">
        <w:t xml:space="preserve"> z</w:t>
      </w:r>
      <w:r w:rsidR="00342D7E">
        <w:t> </w:t>
      </w:r>
      <w:r w:rsidR="00342D7E" w:rsidRPr="00342D7E">
        <w:t>tej</w:t>
      </w:r>
      <w:r w:rsidRPr="00342D7E">
        <w:t xml:space="preserve"> samej grupy” instytucje uwzględniają salda</w:t>
      </w:r>
      <w:r w:rsidR="00342D7E" w:rsidRPr="00342D7E">
        <w:t xml:space="preserve"> i</w:t>
      </w:r>
      <w:r w:rsidR="00342D7E">
        <w:t> </w:t>
      </w:r>
      <w:r w:rsidR="00342D7E" w:rsidRPr="00342D7E">
        <w:t>tra</w:t>
      </w:r>
      <w:r w:rsidRPr="00342D7E">
        <w:t>nsakcje</w:t>
      </w:r>
      <w:r w:rsidR="00342D7E" w:rsidRPr="00342D7E">
        <w:t xml:space="preserve"> z</w:t>
      </w:r>
      <w:r w:rsidR="00342D7E">
        <w:t> </w:t>
      </w:r>
      <w:r w:rsidR="00342D7E" w:rsidRPr="00342D7E">
        <w:t>jed</w:t>
      </w:r>
      <w:r w:rsidRPr="00342D7E">
        <w:t>nostkami zależnymi, które nie zostały wyeliminowane, ponieważ jednostki zależne nie są</w:t>
      </w:r>
      <w:r w:rsidR="00342D7E" w:rsidRPr="00342D7E">
        <w:t xml:space="preserve"> w</w:t>
      </w:r>
      <w:r w:rsidR="00342D7E">
        <w:t> </w:t>
      </w:r>
      <w:r w:rsidR="00342D7E" w:rsidRPr="00342D7E">
        <w:t>peł</w:t>
      </w:r>
      <w:r w:rsidRPr="00342D7E">
        <w:t>ni skonsolidowane</w:t>
      </w:r>
      <w:r w:rsidR="00342D7E" w:rsidRPr="00342D7E">
        <w:t xml:space="preserve"> w</w:t>
      </w:r>
      <w:r w:rsidR="00342D7E">
        <w:t> </w:t>
      </w:r>
      <w:r w:rsidR="00342D7E" w:rsidRPr="00342D7E">
        <w:t>ram</w:t>
      </w:r>
      <w:r w:rsidRPr="00342D7E">
        <w:t>ach zakresu konsolidacji ostrożnościowej albo ponieważ, zgodnie</w:t>
      </w:r>
      <w:r w:rsidR="00342D7E" w:rsidRPr="00342D7E">
        <w:t xml:space="preserve"> z</w:t>
      </w:r>
      <w:r w:rsidR="00342D7E">
        <w:t> </w:t>
      </w:r>
      <w:r w:rsidR="00342D7E" w:rsidRPr="00342D7E">
        <w:t>art</w:t>
      </w:r>
      <w:r w:rsidRPr="00342D7E">
        <w:t>.</w:t>
      </w:r>
      <w:r w:rsidR="00342D7E" w:rsidRPr="00342D7E">
        <w:t> </w:t>
      </w:r>
      <w:r w:rsidRPr="00342D7E">
        <w:t>19 CRR, jednostki zależne są wyłączone</w:t>
      </w:r>
      <w:r w:rsidR="00342D7E" w:rsidRPr="00342D7E">
        <w:t xml:space="preserve"> z</w:t>
      </w:r>
      <w:r w:rsidR="00342D7E">
        <w:t> </w:t>
      </w:r>
      <w:r w:rsidR="00342D7E" w:rsidRPr="00342D7E">
        <w:t>zak</w:t>
      </w:r>
      <w:r w:rsidRPr="00342D7E">
        <w:t>resu konsolidacji ostrożnościowej ze względu na fakt, że są nieistotne, bądź też,</w:t>
      </w:r>
      <w:r w:rsidR="00342D7E" w:rsidRPr="00342D7E">
        <w:t xml:space="preserve"> w</w:t>
      </w:r>
      <w:r w:rsidR="00342D7E">
        <w:t> </w:t>
      </w:r>
      <w:r w:rsidR="00342D7E" w:rsidRPr="00342D7E">
        <w:t>prz</w:t>
      </w:r>
      <w:r w:rsidRPr="00342D7E">
        <w:t>ypadku instytucji będących częścią większej grupy,</w:t>
      </w:r>
      <w:r w:rsidR="00342D7E" w:rsidRPr="00342D7E">
        <w:t xml:space="preserve"> z</w:t>
      </w:r>
      <w:r w:rsidR="00342D7E">
        <w:t> </w:t>
      </w:r>
      <w:r w:rsidR="00342D7E" w:rsidRPr="00342D7E">
        <w:t>uwa</w:t>
      </w:r>
      <w:r w:rsidRPr="00342D7E">
        <w:t>gi na fakt, że jednostki zależne są jednostkami zależnymi</w:t>
      </w:r>
      <w:r w:rsidR="00342D7E" w:rsidRPr="00342D7E">
        <w:t xml:space="preserve"> w</w:t>
      </w:r>
      <w:r w:rsidR="00342D7E">
        <w:t> </w:t>
      </w:r>
      <w:r w:rsidR="00342D7E" w:rsidRPr="00342D7E">
        <w:t>sto</w:t>
      </w:r>
      <w:r w:rsidRPr="00342D7E">
        <w:t>sunku do jednostki dominującej najwyższego szczebla,</w:t>
      </w:r>
      <w:r w:rsidR="00342D7E" w:rsidRPr="00342D7E">
        <w:t xml:space="preserve"> a</w:t>
      </w:r>
      <w:r w:rsidR="00342D7E">
        <w:t> </w:t>
      </w:r>
      <w:r w:rsidR="00342D7E" w:rsidRPr="00342D7E">
        <w:t>nie w</w:t>
      </w:r>
      <w:r w:rsidR="00342D7E">
        <w:t> </w:t>
      </w:r>
      <w:r w:rsidR="00342D7E" w:rsidRPr="00342D7E">
        <w:t>sto</w:t>
      </w:r>
      <w:r w:rsidRPr="00342D7E">
        <w:t>sunku do instytucji</w:t>
      </w:r>
      <w:r w:rsidR="00342D7E" w:rsidRPr="00342D7E">
        <w:t>. W</w:t>
      </w:r>
      <w:r w:rsidR="00342D7E">
        <w:t> </w:t>
      </w:r>
      <w:r w:rsidR="00342D7E" w:rsidRPr="00342D7E">
        <w:t>poz</w:t>
      </w:r>
      <w:r w:rsidRPr="00342D7E">
        <w:t>ycji „Jednostki stowarzyszone</w:t>
      </w:r>
      <w:r w:rsidR="00342D7E" w:rsidRPr="00342D7E">
        <w:t xml:space="preserve"> i</w:t>
      </w:r>
      <w:r w:rsidR="00342D7E">
        <w:t> </w:t>
      </w:r>
      <w:r w:rsidR="00342D7E" w:rsidRPr="00342D7E">
        <w:t>wsp</w:t>
      </w:r>
      <w:r w:rsidRPr="00342D7E">
        <w:t>ólne przedsięwzięcia” instytucje uwzględniają części sald</w:t>
      </w:r>
      <w:r w:rsidR="00342D7E" w:rsidRPr="00342D7E">
        <w:t xml:space="preserve"> i</w:t>
      </w:r>
      <w:r w:rsidR="00342D7E">
        <w:t> </w:t>
      </w:r>
      <w:r w:rsidR="00342D7E" w:rsidRPr="00342D7E">
        <w:t>tra</w:t>
      </w:r>
      <w:r w:rsidRPr="00342D7E">
        <w:t>nsakcji ze wspólnymi przedsięwzięciami</w:t>
      </w:r>
      <w:r w:rsidR="00342D7E" w:rsidRPr="00342D7E">
        <w:t xml:space="preserve"> i</w:t>
      </w:r>
      <w:r w:rsidR="00342D7E">
        <w:t> </w:t>
      </w:r>
      <w:r w:rsidR="00342D7E" w:rsidRPr="00342D7E">
        <w:t>jed</w:t>
      </w:r>
      <w:r w:rsidRPr="00342D7E">
        <w:t>nostkami stowarzyszonymi grupy, do której należy jednostka, które nie zostały wyeliminowane po przeprowadzeniu konsolidacji proporcjonalnej.</w:t>
      </w:r>
    </w:p>
    <w:p w:rsidR="00D35B0C" w:rsidRPr="00342D7E" w:rsidRDefault="00A834F1">
      <w:pPr>
        <w:pStyle w:val="sub-subtitlenumbered"/>
        <w:jc w:val="both"/>
      </w:pPr>
      <w:bookmarkStart w:id="68" w:name="_Toc31019170"/>
      <w:r w:rsidRPr="00342D7E">
        <w:t>Jednostki powiązane: kwoty przypadające do zapłaty</w:t>
      </w:r>
      <w:r w:rsidR="00342D7E" w:rsidRPr="00342D7E">
        <w:t xml:space="preserve"> i</w:t>
      </w:r>
      <w:r w:rsidR="00342D7E">
        <w:t> </w:t>
      </w:r>
      <w:r w:rsidR="00342D7E" w:rsidRPr="00342D7E">
        <w:t>kwo</w:t>
      </w:r>
      <w:r w:rsidRPr="00342D7E">
        <w:t>ty należne (31.1)</w:t>
      </w:r>
      <w:bookmarkEnd w:id="68"/>
    </w:p>
    <w:p w:rsidR="00D35B0C" w:rsidRPr="00342D7E" w:rsidRDefault="00A834F1">
      <w:pPr>
        <w:pStyle w:val="Baseparagraphnumbered"/>
      </w:pPr>
      <w:r w:rsidRPr="00342D7E">
        <w:t>W przypadku „Otrzymanych zobowiązań do udzielenia pożyczki, gwarancji finansowych</w:t>
      </w:r>
      <w:r w:rsidR="00342D7E" w:rsidRPr="00342D7E">
        <w:t xml:space="preserve"> i</w:t>
      </w:r>
      <w:r w:rsidR="00342D7E">
        <w:t> </w:t>
      </w:r>
      <w:r w:rsidR="00342D7E" w:rsidRPr="00342D7E">
        <w:t>inn</w:t>
      </w:r>
      <w:r w:rsidRPr="00342D7E">
        <w:t>ych zobowiązań” kwoty, które należy zgłosić, odpowiadają sumie „kwoty nominalnej” otrzymanych zobowiązań do udzielenia pożyczki</w:t>
      </w:r>
      <w:r w:rsidR="00342D7E" w:rsidRPr="00342D7E">
        <w:t xml:space="preserve"> i</w:t>
      </w:r>
      <w:r w:rsidR="00342D7E">
        <w:t> </w:t>
      </w:r>
      <w:r w:rsidR="00342D7E" w:rsidRPr="00342D7E">
        <w:t>inn</w:t>
      </w:r>
      <w:r w:rsidRPr="00342D7E">
        <w:t>ych zobowiązań oraz „maksymalnej uznawalnej kwocie gwarancji” otrzymanych gwarancji finansowych, jak określono</w:t>
      </w:r>
      <w:r w:rsidR="00342D7E" w:rsidRPr="00342D7E">
        <w:t xml:space="preserve"> w</w:t>
      </w:r>
      <w:r w:rsidR="00342D7E">
        <w:t> </w:t>
      </w:r>
      <w:r w:rsidR="00342D7E" w:rsidRPr="00342D7E">
        <w:t>pkt </w:t>
      </w:r>
      <w:r w:rsidRPr="00342D7E">
        <w:t>119.</w:t>
      </w:r>
    </w:p>
    <w:p w:rsidR="00D35B0C" w:rsidRPr="00342D7E" w:rsidRDefault="00A834F1">
      <w:pPr>
        <w:pStyle w:val="Baseparagraphnumbered"/>
      </w:pPr>
      <w:r w:rsidRPr="00342D7E">
        <w:t>„Skumulowaną utratę wartości</w:t>
      </w:r>
      <w:r w:rsidR="00342D7E" w:rsidRPr="00342D7E">
        <w:t xml:space="preserve"> i</w:t>
      </w:r>
      <w:r w:rsidR="00342D7E">
        <w:t> </w:t>
      </w:r>
      <w:r w:rsidR="00342D7E" w:rsidRPr="00342D7E">
        <w:t>sku</w:t>
      </w:r>
      <w:r w:rsidRPr="00342D7E">
        <w:t>mulowane ujemne zmiany wartości godziwej</w:t>
      </w:r>
      <w:r w:rsidR="00342D7E" w:rsidRPr="00342D7E">
        <w:t xml:space="preserve"> z</w:t>
      </w:r>
      <w:r w:rsidR="00342D7E">
        <w:t> </w:t>
      </w:r>
      <w:r w:rsidR="00342D7E" w:rsidRPr="00342D7E">
        <w:t>pow</w:t>
      </w:r>
      <w:r w:rsidRPr="00342D7E">
        <w:t>odu ryzyka kredytowego</w:t>
      </w:r>
      <w:r w:rsidR="00342D7E" w:rsidRPr="00342D7E">
        <w:t xml:space="preserve"> z</w:t>
      </w:r>
      <w:r w:rsidR="00342D7E">
        <w:t> </w:t>
      </w:r>
      <w:r w:rsidR="00342D7E" w:rsidRPr="00342D7E">
        <w:t>tyt</w:t>
      </w:r>
      <w:r w:rsidRPr="00342D7E">
        <w:t>ułu ekspozycji nieobsługiwanych” ustalone</w:t>
      </w:r>
      <w:r w:rsidR="00342D7E" w:rsidRPr="00342D7E">
        <w:t xml:space="preserve"> w</w:t>
      </w:r>
      <w:r w:rsidR="00342D7E">
        <w:t> </w:t>
      </w:r>
      <w:r w:rsidR="00342D7E" w:rsidRPr="00342D7E">
        <w:t>spo</w:t>
      </w:r>
      <w:r w:rsidRPr="00342D7E">
        <w:t>sób określony</w:t>
      </w:r>
      <w:r w:rsidR="00342D7E" w:rsidRPr="00342D7E">
        <w:t xml:space="preserve"> w</w:t>
      </w:r>
      <w:r w:rsidR="00342D7E">
        <w:t> </w:t>
      </w:r>
      <w:r w:rsidR="00342D7E" w:rsidRPr="00342D7E">
        <w:t>pkt </w:t>
      </w:r>
      <w:r w:rsidRPr="00342D7E">
        <w:t>69–71 niniejszej części zgłasza się wyłącznie</w:t>
      </w:r>
      <w:r w:rsidR="00342D7E" w:rsidRPr="00342D7E">
        <w:t xml:space="preserve"> w</w:t>
      </w:r>
      <w:r w:rsidR="00342D7E">
        <w:t> </w:t>
      </w:r>
      <w:r w:rsidR="00342D7E" w:rsidRPr="00342D7E">
        <w:t>odn</w:t>
      </w:r>
      <w:r w:rsidRPr="00342D7E">
        <w:t>iesieniu do ekspozycji nieobsługiwanych. „Rezerwy na nieobsługiwane ekspozycje pozabilansowe” obejmują rezerwy zgodnie</w:t>
      </w:r>
      <w:r w:rsidR="00342D7E" w:rsidRPr="00342D7E">
        <w:t xml:space="preserve"> z</w:t>
      </w:r>
      <w:r w:rsidR="00342D7E">
        <w:t> </w:t>
      </w:r>
      <w:r w:rsidR="00342D7E" w:rsidRPr="00342D7E">
        <w:t>pkt </w:t>
      </w:r>
      <w:r w:rsidRPr="00342D7E">
        <w:t>11, 106</w:t>
      </w:r>
      <w:r w:rsidR="00342D7E" w:rsidRPr="00342D7E">
        <w:t xml:space="preserve"> i</w:t>
      </w:r>
      <w:r w:rsidR="00342D7E">
        <w:t> </w:t>
      </w:r>
      <w:r w:rsidR="00342D7E" w:rsidRPr="00342D7E">
        <w:t>1</w:t>
      </w:r>
      <w:r w:rsidRPr="00342D7E">
        <w:t>11 niniejszej części</w:t>
      </w:r>
      <w:r w:rsidR="00342D7E" w:rsidRPr="00342D7E">
        <w:t xml:space="preserve"> w</w:t>
      </w:r>
      <w:r w:rsidR="00342D7E">
        <w:t> </w:t>
      </w:r>
      <w:r w:rsidR="00342D7E" w:rsidRPr="00342D7E">
        <w:t>odn</w:t>
      </w:r>
      <w:r w:rsidRPr="00342D7E">
        <w:t>iesieniu do ekspozycji, które są nieobsługiwane, jak określono zgodnie</w:t>
      </w:r>
      <w:r w:rsidR="00342D7E" w:rsidRPr="00342D7E">
        <w:t xml:space="preserve"> z</w:t>
      </w:r>
      <w:r w:rsidR="00342D7E">
        <w:t> </w:t>
      </w:r>
      <w:r w:rsidR="00342D7E" w:rsidRPr="00342D7E">
        <w:t>pkt </w:t>
      </w:r>
      <w:r w:rsidRPr="00342D7E">
        <w:t>213–239 niniejszej części.</w:t>
      </w:r>
    </w:p>
    <w:p w:rsidR="00D35B0C" w:rsidRPr="00342D7E" w:rsidRDefault="00A834F1">
      <w:pPr>
        <w:pStyle w:val="sub-subtitlenumbered"/>
        <w:jc w:val="both"/>
      </w:pPr>
      <w:bookmarkStart w:id="69" w:name="_Toc31019171"/>
      <w:r w:rsidRPr="00342D7E">
        <w:t>Jednostki powiązane: koszty</w:t>
      </w:r>
      <w:r w:rsidR="00342D7E" w:rsidRPr="00342D7E">
        <w:t xml:space="preserve"> i</w:t>
      </w:r>
      <w:r w:rsidR="00342D7E">
        <w:t> </w:t>
      </w:r>
      <w:r w:rsidR="00342D7E" w:rsidRPr="00342D7E">
        <w:t>prz</w:t>
      </w:r>
      <w:r w:rsidRPr="00342D7E">
        <w:t>ychody generowane przez transakcje z (31.2)</w:t>
      </w:r>
      <w:bookmarkEnd w:id="69"/>
    </w:p>
    <w:p w:rsidR="00D35B0C" w:rsidRPr="00342D7E" w:rsidRDefault="00A834F1">
      <w:pPr>
        <w:pStyle w:val="Baseparagraphnumbered"/>
      </w:pPr>
      <w:r w:rsidRPr="00342D7E">
        <w:lastRenderedPageBreak/>
        <w:t>„Zyski lub straty</w:t>
      </w:r>
      <w:r w:rsidR="00342D7E" w:rsidRPr="00342D7E">
        <w:t xml:space="preserve"> z</w:t>
      </w:r>
      <w:r w:rsidR="00342D7E">
        <w:t> </w:t>
      </w:r>
      <w:r w:rsidR="00342D7E" w:rsidRPr="00342D7E">
        <w:t>tyt</w:t>
      </w:r>
      <w:r w:rsidRPr="00342D7E">
        <w:t>ułu zaprzestania ujmowania aktywów innych niż finansowe” obejmują wszystkie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zaprzestania ujmowania aktywów niefinansowych wygenerowane przez transakcje</w:t>
      </w:r>
      <w:r w:rsidR="00342D7E" w:rsidRPr="00342D7E">
        <w:t xml:space="preserve"> z</w:t>
      </w:r>
      <w:r w:rsidR="00342D7E">
        <w:t> </w:t>
      </w:r>
      <w:r w:rsidR="00342D7E" w:rsidRPr="00342D7E">
        <w:t>jed</w:t>
      </w:r>
      <w:r w:rsidRPr="00342D7E">
        <w:t>nostkami powiązanymi. Pozycja ta obejmuje zyski</w:t>
      </w:r>
      <w:r w:rsidR="00342D7E" w:rsidRPr="00342D7E">
        <w:t xml:space="preserve"> i</w:t>
      </w:r>
      <w:r w:rsidR="00342D7E">
        <w:t> </w:t>
      </w:r>
      <w:r w:rsidR="00342D7E" w:rsidRPr="00342D7E">
        <w:t>str</w:t>
      </w:r>
      <w:r w:rsidRPr="00342D7E">
        <w:t>aty</w:t>
      </w:r>
      <w:r w:rsidR="00342D7E" w:rsidRPr="00342D7E">
        <w:t xml:space="preserve"> z</w:t>
      </w:r>
      <w:r w:rsidR="00342D7E">
        <w:t> </w:t>
      </w:r>
      <w:r w:rsidR="00342D7E" w:rsidRPr="00342D7E">
        <w:t>tyt</w:t>
      </w:r>
      <w:r w:rsidRPr="00342D7E">
        <w:t>ułu zaprzestania ujmowania aktywów niefinansowych, wygenerowane przez transakcje</w:t>
      </w:r>
      <w:r w:rsidR="00342D7E" w:rsidRPr="00342D7E">
        <w:t xml:space="preserve"> z</w:t>
      </w:r>
      <w:r w:rsidR="00342D7E">
        <w:t> </w:t>
      </w:r>
      <w:r w:rsidR="00342D7E" w:rsidRPr="00342D7E">
        <w:t>jed</w:t>
      </w:r>
      <w:r w:rsidRPr="00342D7E">
        <w:t>nostkami powiązanymi</w:t>
      </w:r>
      <w:r w:rsidR="00342D7E" w:rsidRPr="00342D7E">
        <w:t xml:space="preserve"> i</w:t>
      </w:r>
      <w:r w:rsidR="00342D7E">
        <w:t> </w:t>
      </w:r>
      <w:r w:rsidR="00342D7E" w:rsidRPr="00342D7E">
        <w:t>sta</w:t>
      </w:r>
      <w:r w:rsidRPr="00342D7E">
        <w:t>nowiące element którejkolwiek</w:t>
      </w:r>
      <w:r w:rsidR="00342D7E" w:rsidRPr="00342D7E">
        <w:t xml:space="preserve"> z</w:t>
      </w:r>
      <w:r w:rsidR="00342D7E">
        <w:t> </w:t>
      </w:r>
      <w:r w:rsidR="00342D7E" w:rsidRPr="00342D7E">
        <w:t>nas</w:t>
      </w:r>
      <w:r w:rsidRPr="00342D7E">
        <w:t>tępujących pozycji „Rachunku zysków</w:t>
      </w:r>
      <w:r w:rsidR="00342D7E" w:rsidRPr="00342D7E">
        <w:t xml:space="preserve"> i</w:t>
      </w:r>
      <w:r w:rsidR="00342D7E">
        <w:t> </w:t>
      </w:r>
      <w:r w:rsidR="00342D7E" w:rsidRPr="00342D7E">
        <w:t>str</w:t>
      </w:r>
      <w:r w:rsidRPr="00342D7E">
        <w:t xml:space="preserve">at”: </w:t>
      </w:r>
    </w:p>
    <w:p w:rsidR="00D35B0C" w:rsidRPr="00342D7E" w:rsidRDefault="00A834F1" w:rsidP="00056B6F">
      <w:pPr>
        <w:numPr>
          <w:ilvl w:val="0"/>
          <w:numId w:val="79"/>
        </w:numPr>
        <w:spacing w:before="120" w:after="120"/>
        <w:ind w:left="1134"/>
        <w:jc w:val="both"/>
        <w:rPr>
          <w:rFonts w:ascii="Times New Roman" w:hAnsi="Times New Roman"/>
          <w:sz w:val="24"/>
          <w:szCs w:val="24"/>
        </w:rPr>
      </w:pPr>
      <w:r w:rsidRPr="00342D7E">
        <w:rPr>
          <w:rFonts w:ascii="Times New Roman" w:hAnsi="Times New Roman"/>
          <w:sz w:val="24"/>
          <w:szCs w:val="24"/>
        </w:rPr>
        <w:t>„zyski lub straty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zaprzestania ujmowania inwestycji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jed</w:t>
      </w:r>
      <w:r w:rsidRPr="00342D7E">
        <w:rPr>
          <w:rFonts w:ascii="Times New Roman" w:hAnsi="Times New Roman"/>
          <w:sz w:val="24"/>
          <w:szCs w:val="24"/>
        </w:rPr>
        <w:t>nostkach zależnych, we wspólnych przedsięwzięciach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w:t>
      </w:r>
      <w:r w:rsidR="00342D7E">
        <w:rPr>
          <w:rFonts w:ascii="Times New Roman" w:hAnsi="Times New Roman"/>
          <w:sz w:val="24"/>
          <w:szCs w:val="24"/>
        </w:rPr>
        <w:t> </w:t>
      </w:r>
      <w:r w:rsidR="00342D7E" w:rsidRPr="00342D7E">
        <w:rPr>
          <w:rFonts w:ascii="Times New Roman" w:hAnsi="Times New Roman"/>
          <w:sz w:val="24"/>
          <w:szCs w:val="24"/>
        </w:rPr>
        <w:t>jed</w:t>
      </w:r>
      <w:r w:rsidRPr="00342D7E">
        <w:rPr>
          <w:rFonts w:ascii="Times New Roman" w:hAnsi="Times New Roman"/>
          <w:sz w:val="24"/>
          <w:szCs w:val="24"/>
        </w:rPr>
        <w:t>nostkach stowarzyszonych”,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sprawozdawczości na podstawie krajowych ogólnie przyjętych zasad rachunkowości opartych na BAD;</w:t>
      </w:r>
    </w:p>
    <w:p w:rsidR="00D35B0C" w:rsidRPr="00342D7E" w:rsidRDefault="00A834F1" w:rsidP="00056B6F">
      <w:pPr>
        <w:numPr>
          <w:ilvl w:val="0"/>
          <w:numId w:val="79"/>
        </w:numPr>
        <w:spacing w:before="120" w:after="120"/>
        <w:ind w:left="1134"/>
        <w:jc w:val="both"/>
        <w:rPr>
          <w:rFonts w:ascii="Times New Roman" w:hAnsi="Times New Roman"/>
          <w:sz w:val="24"/>
          <w:szCs w:val="24"/>
        </w:rPr>
      </w:pPr>
      <w:r w:rsidRPr="00342D7E">
        <w:rPr>
          <w:rFonts w:ascii="Times New Roman" w:hAnsi="Times New Roman"/>
          <w:sz w:val="24"/>
          <w:szCs w:val="24"/>
        </w:rPr>
        <w:t>„zyski lub straty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 xml:space="preserve">ułu zaprzestania ujmowania aktywów niefinansowych”; </w:t>
      </w:r>
    </w:p>
    <w:p w:rsidR="00D35B0C" w:rsidRPr="00342D7E" w:rsidRDefault="00A834F1" w:rsidP="00056B6F">
      <w:pPr>
        <w:numPr>
          <w:ilvl w:val="0"/>
          <w:numId w:val="79"/>
        </w:numPr>
        <w:spacing w:before="120" w:after="120"/>
        <w:ind w:left="1134"/>
        <w:jc w:val="both"/>
        <w:rPr>
          <w:rFonts w:ascii="Times New Roman" w:hAnsi="Times New Roman"/>
          <w:sz w:val="24"/>
          <w:szCs w:val="24"/>
        </w:rPr>
      </w:pPr>
      <w:r w:rsidRPr="00342D7E">
        <w:rPr>
          <w:rFonts w:ascii="Times New Roman" w:hAnsi="Times New Roman"/>
          <w:sz w:val="24"/>
          <w:szCs w:val="24"/>
        </w:rPr>
        <w:t>„zysk lub strata</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aktywów trwałych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gru</w:t>
      </w:r>
      <w:r w:rsidRPr="00342D7E">
        <w:rPr>
          <w:rFonts w:ascii="Times New Roman" w:hAnsi="Times New Roman"/>
          <w:sz w:val="24"/>
          <w:szCs w:val="24"/>
        </w:rPr>
        <w:t xml:space="preserve">p do zbycia sklasyfikowanych jako przeznaczone do sprzedaży niekwalifikujących się jako działalność zaniechana”; </w:t>
      </w:r>
    </w:p>
    <w:p w:rsidR="00D35B0C" w:rsidRPr="00342D7E" w:rsidRDefault="00A834F1" w:rsidP="00056B6F">
      <w:pPr>
        <w:numPr>
          <w:ilvl w:val="0"/>
          <w:numId w:val="79"/>
        </w:numPr>
        <w:spacing w:before="120" w:after="120"/>
        <w:ind w:left="1134"/>
        <w:jc w:val="both"/>
        <w:rPr>
          <w:rFonts w:ascii="Times New Roman" w:hAnsi="Times New Roman"/>
          <w:sz w:val="24"/>
          <w:szCs w:val="24"/>
        </w:rPr>
      </w:pPr>
      <w:r w:rsidRPr="00342D7E">
        <w:rPr>
          <w:rFonts w:ascii="Times New Roman" w:hAnsi="Times New Roman"/>
          <w:sz w:val="24"/>
          <w:szCs w:val="24"/>
        </w:rPr>
        <w:t>„zysk lub strata po opodatkowaniu</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działalności zaniechanej”.</w:t>
      </w:r>
    </w:p>
    <w:p w:rsidR="00D35B0C" w:rsidRPr="00342D7E" w:rsidRDefault="00A834F1">
      <w:pPr>
        <w:pStyle w:val="Baseparagraphnumbered"/>
      </w:pPr>
      <w:r w:rsidRPr="00342D7E">
        <w:t>„Utrata wartości lub (-) odwrócenie utraty wartości</w:t>
      </w:r>
      <w:r w:rsidR="00342D7E" w:rsidRPr="00342D7E">
        <w:t xml:space="preserve"> z</w:t>
      </w:r>
      <w:r w:rsidR="00342D7E">
        <w:t> </w:t>
      </w:r>
      <w:r w:rsidR="00342D7E" w:rsidRPr="00342D7E">
        <w:t>tyt</w:t>
      </w:r>
      <w:r w:rsidRPr="00342D7E">
        <w:t>ułu ekspozycji nieobsługiwanych” obejmuje odpisy aktualizujące</w:t>
      </w:r>
      <w:r w:rsidR="00342D7E" w:rsidRPr="00342D7E">
        <w:t xml:space="preserve"> z</w:t>
      </w:r>
      <w:r w:rsidR="00342D7E">
        <w:t> </w:t>
      </w:r>
      <w:r w:rsidR="00342D7E" w:rsidRPr="00342D7E">
        <w:t>tyt</w:t>
      </w:r>
      <w:r w:rsidRPr="00342D7E">
        <w:t>ułu utraty wartości określone</w:t>
      </w:r>
      <w:r w:rsidR="00342D7E" w:rsidRPr="00342D7E">
        <w:t xml:space="preserve"> w</w:t>
      </w:r>
      <w:r w:rsidR="00342D7E">
        <w:t> </w:t>
      </w:r>
      <w:r w:rsidR="00342D7E" w:rsidRPr="00342D7E">
        <w:t>pkt </w:t>
      </w:r>
      <w:r w:rsidRPr="00342D7E">
        <w:t>51–53 niniejszej części</w:t>
      </w:r>
      <w:r w:rsidR="00342D7E" w:rsidRPr="00342D7E">
        <w:t xml:space="preserve"> w</w:t>
      </w:r>
      <w:r w:rsidR="00342D7E">
        <w:t> </w:t>
      </w:r>
      <w:r w:rsidR="00342D7E" w:rsidRPr="00342D7E">
        <w:t>odn</w:t>
      </w:r>
      <w:r w:rsidRPr="00342D7E">
        <w:t>iesieniu do ekspozycji, które są nieobsługiwane zgodnie</w:t>
      </w:r>
      <w:r w:rsidR="00342D7E" w:rsidRPr="00342D7E">
        <w:t xml:space="preserve"> z</w:t>
      </w:r>
      <w:r w:rsidR="00342D7E">
        <w:t> </w:t>
      </w:r>
      <w:r w:rsidR="00342D7E" w:rsidRPr="00342D7E">
        <w:t>pkt </w:t>
      </w:r>
      <w:r w:rsidRPr="00342D7E">
        <w:t>213–239 niniejszej części. „Rezerwy lub (-) odwrócenie rezerw</w:t>
      </w:r>
      <w:r w:rsidR="00342D7E" w:rsidRPr="00342D7E">
        <w:t xml:space="preserve"> z</w:t>
      </w:r>
      <w:r w:rsidR="00342D7E">
        <w:t> </w:t>
      </w:r>
      <w:r w:rsidR="00342D7E" w:rsidRPr="00342D7E">
        <w:t>tyt</w:t>
      </w:r>
      <w:r w:rsidRPr="00342D7E">
        <w:t>ułu ekspozycji nieobsługiwanych” obejmują rezerwy określone</w:t>
      </w:r>
      <w:r w:rsidR="00342D7E" w:rsidRPr="00342D7E">
        <w:t xml:space="preserve"> w</w:t>
      </w:r>
      <w:r w:rsidR="00342D7E">
        <w:t> </w:t>
      </w:r>
      <w:r w:rsidR="00342D7E" w:rsidRPr="00342D7E">
        <w:t>pkt </w:t>
      </w:r>
      <w:r w:rsidRPr="00342D7E">
        <w:t>50 niniejszej części</w:t>
      </w:r>
      <w:r w:rsidR="00342D7E" w:rsidRPr="00342D7E">
        <w:t xml:space="preserve"> w</w:t>
      </w:r>
      <w:r w:rsidR="00342D7E">
        <w:t> </w:t>
      </w:r>
      <w:r w:rsidR="00342D7E" w:rsidRPr="00342D7E">
        <w:t>odn</w:t>
      </w:r>
      <w:r w:rsidRPr="00342D7E">
        <w:t>iesieniu do ekspozycji pozabilansowych, które są nieobsługiwane, jak określono</w:t>
      </w:r>
      <w:r w:rsidR="00342D7E" w:rsidRPr="00342D7E">
        <w:t xml:space="preserve"> w</w:t>
      </w:r>
      <w:r w:rsidR="00342D7E">
        <w:t> </w:t>
      </w:r>
      <w:r w:rsidR="00342D7E" w:rsidRPr="00342D7E">
        <w:t>pkt </w:t>
      </w:r>
      <w:r w:rsidRPr="00342D7E">
        <w:t xml:space="preserve">213–239 niniejszej części. </w:t>
      </w:r>
    </w:p>
    <w:p w:rsidR="00D35B0C" w:rsidRPr="00342D7E" w:rsidRDefault="00A834F1">
      <w:pPr>
        <w:pStyle w:val="subtitlenumbered"/>
        <w:keepNext/>
        <w:ind w:left="357" w:hanging="357"/>
        <w:jc w:val="both"/>
      </w:pPr>
      <w:bookmarkStart w:id="70" w:name="_Toc31019172"/>
      <w:r w:rsidRPr="00342D7E">
        <w:t>Struktura grupy (40)</w:t>
      </w:r>
      <w:bookmarkEnd w:id="70"/>
    </w:p>
    <w:p w:rsidR="00D35B0C" w:rsidRPr="00342D7E" w:rsidRDefault="00A834F1">
      <w:pPr>
        <w:pStyle w:val="Baseparagraphnumbered"/>
      </w:pPr>
      <w:r w:rsidRPr="00342D7E">
        <w:t>Instytucje przedkładają szczegółowe informacje według stanu na dzień sprawozdawczy dotyczące jednostek zależnych, wspólnych przedsięwzięć</w:t>
      </w:r>
      <w:r w:rsidR="00342D7E" w:rsidRPr="00342D7E">
        <w:t xml:space="preserve"> i</w:t>
      </w:r>
      <w:r w:rsidR="00342D7E">
        <w:t> </w:t>
      </w:r>
      <w:r w:rsidR="00342D7E" w:rsidRPr="00342D7E">
        <w:t>jed</w:t>
      </w:r>
      <w:r w:rsidRPr="00342D7E">
        <w:t>nostek stowarzyszonych</w:t>
      </w:r>
      <w:r w:rsidR="00342D7E" w:rsidRPr="00342D7E">
        <w:t xml:space="preserve"> w</w:t>
      </w:r>
      <w:r w:rsidR="00342D7E">
        <w:t> </w:t>
      </w:r>
      <w:r w:rsidR="00342D7E" w:rsidRPr="00342D7E">
        <w:t>peł</w:t>
      </w:r>
      <w:r w:rsidRPr="00342D7E">
        <w:t>ni lub proporcjonalnie skonsolidowanych</w:t>
      </w:r>
      <w:r w:rsidR="00342D7E" w:rsidRPr="00342D7E">
        <w:t xml:space="preserve"> w</w:t>
      </w:r>
      <w:r w:rsidR="00342D7E">
        <w:t> </w:t>
      </w:r>
      <w:r w:rsidR="00342D7E" w:rsidRPr="00342D7E">
        <w:t>ram</w:t>
      </w:r>
      <w:r w:rsidRPr="00342D7E">
        <w:t>ach rachunkowego zakresu konsolidacji, jak również jednostek zgłaszanych</w:t>
      </w:r>
      <w:r w:rsidR="00342D7E" w:rsidRPr="00342D7E">
        <w:t xml:space="preserve"> w</w:t>
      </w:r>
      <w:r w:rsidR="00342D7E">
        <w:t> </w:t>
      </w:r>
      <w:r w:rsidR="00342D7E" w:rsidRPr="00342D7E">
        <w:t>poz</w:t>
      </w:r>
      <w:r w:rsidRPr="00342D7E">
        <w:t>ycji „Inwestycje</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zgodnie</w:t>
      </w:r>
      <w:r w:rsidR="00342D7E" w:rsidRPr="00342D7E">
        <w:t xml:space="preserve"> z</w:t>
      </w:r>
      <w:r w:rsidR="00342D7E">
        <w:t> </w:t>
      </w:r>
      <w:r w:rsidR="00342D7E" w:rsidRPr="00342D7E">
        <w:t>pkt </w:t>
      </w:r>
      <w:r w:rsidRPr="00342D7E">
        <w:t>4 niniejszej części,</w:t>
      </w:r>
      <w:r w:rsidR="00342D7E" w:rsidRPr="00342D7E">
        <w:t xml:space="preserve"> w</w:t>
      </w:r>
      <w:r w:rsidR="00342D7E">
        <w:t> </w:t>
      </w:r>
      <w:r w:rsidR="00342D7E" w:rsidRPr="00342D7E">
        <w:t>tym</w:t>
      </w:r>
      <w:r w:rsidRPr="00342D7E">
        <w:t xml:space="preserve"> jednostek,</w:t>
      </w:r>
      <w:r w:rsidR="00342D7E" w:rsidRPr="00342D7E">
        <w:t xml:space="preserve"> w</w:t>
      </w:r>
      <w:r w:rsidR="00342D7E">
        <w:t> </w:t>
      </w:r>
      <w:r w:rsidR="00342D7E" w:rsidRPr="00342D7E">
        <w:t>któ</w:t>
      </w:r>
      <w:r w:rsidRPr="00342D7E">
        <w:t xml:space="preserve">rych inwestycje są przeznaczone do sprzedaży zgodnie z MSSF 5. Zgłasza się wszystkie jednostki niezależnie od rodzaju prowadzonej przez nie działalności. </w:t>
      </w:r>
    </w:p>
    <w:p w:rsidR="00D35B0C" w:rsidRPr="00342D7E" w:rsidRDefault="00A834F1">
      <w:pPr>
        <w:pStyle w:val="Baseparagraphnumbered"/>
      </w:pPr>
      <w:r w:rsidRPr="00342D7E">
        <w:t>Z tego wzoru wyłączone są instrumenty kapitałowe, które nie spełniają kryteriów klasyfikacji jako inwestycje</w:t>
      </w:r>
      <w:r w:rsidR="00342D7E" w:rsidRPr="00342D7E">
        <w:t xml:space="preserve"> w</w:t>
      </w:r>
      <w:r w:rsidR="00342D7E">
        <w:t> </w:t>
      </w:r>
      <w:r w:rsidR="00342D7E" w:rsidRPr="00342D7E">
        <w:t>jed</w:t>
      </w:r>
      <w:r w:rsidRPr="00342D7E">
        <w:t>nostkach zależnych, we wspólnych przedsięwzięciach</w:t>
      </w:r>
      <w:r w:rsidR="00342D7E" w:rsidRPr="00342D7E">
        <w:t xml:space="preserve"> i</w:t>
      </w:r>
      <w:r w:rsidR="00342D7E">
        <w:t> </w:t>
      </w:r>
      <w:r w:rsidR="00342D7E" w:rsidRPr="00342D7E">
        <w:t>w</w:t>
      </w:r>
      <w:r w:rsidR="00342D7E">
        <w:t> </w:t>
      </w:r>
      <w:r w:rsidR="00342D7E" w:rsidRPr="00342D7E">
        <w:t>jed</w:t>
      </w:r>
      <w:r w:rsidRPr="00342D7E">
        <w:t>nostkach stowarzyszonych oraz</w:t>
      </w:r>
      <w:r w:rsidR="00342D7E" w:rsidRPr="00342D7E">
        <w:t xml:space="preserve"> w</w:t>
      </w:r>
      <w:r w:rsidR="00342D7E">
        <w:t> </w:t>
      </w:r>
      <w:r w:rsidR="00342D7E" w:rsidRPr="00342D7E">
        <w:t>akc</w:t>
      </w:r>
      <w:r w:rsidRPr="00342D7E">
        <w:t>je własne instytucji sprawozdającej („akcje własne”).</w:t>
      </w:r>
    </w:p>
    <w:p w:rsidR="00D35B0C" w:rsidRPr="00342D7E" w:rsidRDefault="00A834F1">
      <w:pPr>
        <w:pStyle w:val="sub-subtitlenumbered"/>
        <w:jc w:val="both"/>
      </w:pPr>
      <w:bookmarkStart w:id="71" w:name="_Toc31019173"/>
      <w:r w:rsidRPr="00342D7E">
        <w:t>Struktura grupy: „poszczególne podmioty” (40.1)</w:t>
      </w:r>
      <w:bookmarkEnd w:id="71"/>
    </w:p>
    <w:p w:rsidR="00D35B0C" w:rsidRPr="00342D7E" w:rsidRDefault="00A834F1">
      <w:pPr>
        <w:pStyle w:val="Baseparagraphnumbered"/>
      </w:pPr>
      <w:r w:rsidRPr="00342D7E">
        <w:t>Następujące informacje zgłasza się dla poszczególnych podmiotów</w:t>
      </w:r>
      <w:r w:rsidR="00342D7E" w:rsidRPr="00342D7E">
        <w:t xml:space="preserve"> z</w:t>
      </w:r>
      <w:r w:rsidR="00342D7E">
        <w:t> </w:t>
      </w:r>
      <w:r w:rsidR="00342D7E" w:rsidRPr="00342D7E">
        <w:t>oso</w:t>
      </w:r>
      <w:r w:rsidRPr="00342D7E">
        <w:t>bna oraz następujące wymogi stosuje się do celów załączników III i IV oraz niniejszego załącznika:</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lastRenderedPageBreak/>
        <w:t>„kod LEI” obejmuje kod LEI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Jeżeli dla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istnieje kod LEI, kod ten podlega zgłoszeniu;</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„kod jednostki” obejmuje kod identyfikacyjny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Kod jednostki stanowi identyfikator wiersza</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jes</w:t>
      </w:r>
      <w:r w:rsidRPr="00342D7E">
        <w:rPr>
          <w:rFonts w:ascii="Times New Roman" w:hAnsi="Times New Roman"/>
          <w:sz w:val="24"/>
          <w:szCs w:val="24"/>
        </w:rPr>
        <w:t>t niepowtarzalny dla każdego wiersza we wzorze 40.1;</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„nazwa podmiotu” obejmuje nazwę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„data wejścia” oznacza dzień,</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rym jednostka,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weszła w „zakres grupy”;</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„kapitał podstawowy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oznacza całkowitą kwotę kapitału wyemitowanego przez jednostkę,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według stanu na sprawozdawczy dzień odniesienia;</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 xml:space="preserve"> „kapitał własny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„Aktywa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razem” oraz „Zysk lub (-) strata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obejmują kwoty tych pozycji przedstawione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ost</w:t>
      </w:r>
      <w:r w:rsidRPr="00342D7E">
        <w:rPr>
          <w:rFonts w:ascii="Times New Roman" w:hAnsi="Times New Roman"/>
          <w:sz w:val="24"/>
          <w:szCs w:val="24"/>
        </w:rPr>
        <w:t>atnim sprawozdaniu finansowym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„siedziba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oznacza kraj siedziby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 xml:space="preserve">rej dokonano inwestycji; </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„sektor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oznacza sektor kontrahenta,</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rym mowa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czę</w:t>
      </w:r>
      <w:r w:rsidRPr="00342D7E">
        <w:rPr>
          <w:rFonts w:ascii="Times New Roman" w:hAnsi="Times New Roman"/>
          <w:sz w:val="24"/>
          <w:szCs w:val="24"/>
        </w:rPr>
        <w:t>ści 1 pkt</w:t>
      </w:r>
      <w:r w:rsidR="00342D7E" w:rsidRPr="00342D7E">
        <w:rPr>
          <w:rFonts w:ascii="Times New Roman" w:hAnsi="Times New Roman"/>
          <w:sz w:val="24"/>
          <w:szCs w:val="24"/>
        </w:rPr>
        <w:t> </w:t>
      </w:r>
      <w:r w:rsidRPr="00342D7E">
        <w:rPr>
          <w:rFonts w:ascii="Times New Roman" w:hAnsi="Times New Roman"/>
          <w:sz w:val="24"/>
          <w:szCs w:val="24"/>
        </w:rPr>
        <w:t>42 niniejszego załącznika;</w:t>
      </w:r>
    </w:p>
    <w:p w:rsidR="00D35B0C" w:rsidRPr="00342D7E" w:rsidRDefault="00C57C7C"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„kod NACE” przedstawia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opa</w:t>
      </w:r>
      <w:r w:rsidRPr="00342D7E">
        <w:rPr>
          <w:rFonts w:ascii="Times New Roman" w:hAnsi="Times New Roman"/>
          <w:sz w:val="24"/>
          <w:szCs w:val="24"/>
        </w:rPr>
        <w:t>rciu</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pod</w:t>
      </w:r>
      <w:r w:rsidRPr="00342D7E">
        <w:rPr>
          <w:rFonts w:ascii="Times New Roman" w:hAnsi="Times New Roman"/>
          <w:sz w:val="24"/>
          <w:szCs w:val="24"/>
        </w:rPr>
        <w:t>stawową działalność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w:t>
      </w:r>
      <w:r w:rsidR="00342D7E" w:rsidRPr="00342D7E">
        <w:rPr>
          <w:rFonts w:ascii="Times New Roman" w:hAnsi="Times New Roman"/>
          <w:sz w:val="24"/>
          <w:szCs w:val="24"/>
        </w:rPr>
        <w:t>.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przedsiębiorstw niefinansowych kody NACE zgłasza się na pierwszym poziomie dezagregacji (według „sekcji”)</w:t>
      </w:r>
      <w:r w:rsidR="00342D7E" w:rsidRPr="00342D7E">
        <w:rPr>
          <w:rFonts w:ascii="Times New Roman" w:hAnsi="Times New Roman"/>
          <w:sz w:val="24"/>
          <w:szCs w:val="24"/>
        </w:rPr>
        <w:t>.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instytucji finansowych kody NACE zgłasza się na drugim poziomie szczegółowości (według „działu”);</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„skumulowane udziały</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kap</w:t>
      </w:r>
      <w:r w:rsidRPr="00342D7E">
        <w:rPr>
          <w:rFonts w:ascii="Times New Roman" w:hAnsi="Times New Roman"/>
          <w:sz w:val="24"/>
          <w:szCs w:val="24"/>
        </w:rPr>
        <w:t>itale własnym</w:t>
      </w:r>
      <w:proofErr w:type="gramStart"/>
      <w:r w:rsidRPr="00342D7E">
        <w:rPr>
          <w:rFonts w:ascii="Times New Roman" w:hAnsi="Times New Roman"/>
          <w:sz w:val="24"/>
          <w:szCs w:val="24"/>
        </w:rPr>
        <w:t xml:space="preserve"> (%)” odpowiadają</w:t>
      </w:r>
      <w:proofErr w:type="gramEnd"/>
      <w:r w:rsidRPr="00342D7E">
        <w:rPr>
          <w:rFonts w:ascii="Times New Roman" w:hAnsi="Times New Roman"/>
          <w:sz w:val="24"/>
          <w:szCs w:val="24"/>
        </w:rPr>
        <w:t xml:space="preserve"> odsetkowi instrumentów właścicielskich posiadanych przez instytucję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awozdawczym dniu odniesienia;</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„prawa głosu</w:t>
      </w:r>
      <w:proofErr w:type="gramStart"/>
      <w:r w:rsidRPr="00342D7E">
        <w:rPr>
          <w:rFonts w:ascii="Times New Roman" w:hAnsi="Times New Roman"/>
          <w:sz w:val="24"/>
          <w:szCs w:val="24"/>
        </w:rPr>
        <w:t xml:space="preserve"> (%)” oznaczają</w:t>
      </w:r>
      <w:proofErr w:type="gramEnd"/>
      <w:r w:rsidRPr="00342D7E">
        <w:rPr>
          <w:rFonts w:ascii="Times New Roman" w:hAnsi="Times New Roman"/>
          <w:sz w:val="24"/>
          <w:szCs w:val="24"/>
        </w:rPr>
        <w:t xml:space="preserve"> odsetek praw głosu powiązanych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ins</w:t>
      </w:r>
      <w:r w:rsidRPr="00342D7E">
        <w:rPr>
          <w:rFonts w:ascii="Times New Roman" w:hAnsi="Times New Roman"/>
          <w:sz w:val="24"/>
          <w:szCs w:val="24"/>
        </w:rPr>
        <w:t>trumentami właścicielskimi posiadanymi przez instytucję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awozdawczym dniu odniesienia;</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„struktura grupy (powiązania</w:t>
      </w:r>
      <w:proofErr w:type="gramStart"/>
      <w:r w:rsidRPr="00342D7E">
        <w:rPr>
          <w:rFonts w:ascii="Times New Roman" w:hAnsi="Times New Roman"/>
          <w:sz w:val="24"/>
          <w:szCs w:val="24"/>
        </w:rPr>
        <w:t>)” oznacza</w:t>
      </w:r>
      <w:proofErr w:type="gramEnd"/>
      <w:r w:rsidRPr="00342D7E">
        <w:rPr>
          <w:rFonts w:ascii="Times New Roman" w:hAnsi="Times New Roman"/>
          <w:sz w:val="24"/>
          <w:szCs w:val="24"/>
        </w:rPr>
        <w:t xml:space="preserve"> powiązania między jednostką dominującą najwyższego poziomu</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jed</w:t>
      </w:r>
      <w:r w:rsidRPr="00342D7E">
        <w:rPr>
          <w:rFonts w:ascii="Times New Roman" w:hAnsi="Times New Roman"/>
          <w:sz w:val="24"/>
          <w:szCs w:val="24"/>
        </w:rPr>
        <w:t>nostką,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(jednostką dominującą lub jednostką sprawującą wspólną kontrolę nad instytucją sprawozdającą, jednostką zależną, wspólnym przedsięwzięciem lub jednostką stowarzyszoną);</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„podejście księgowe (grupa rachunkowa</w:t>
      </w:r>
      <w:proofErr w:type="gramStart"/>
      <w:r w:rsidRPr="00342D7E">
        <w:rPr>
          <w:rFonts w:ascii="Times New Roman" w:hAnsi="Times New Roman"/>
          <w:sz w:val="24"/>
          <w:szCs w:val="24"/>
        </w:rPr>
        <w:t>)” wskazuje</w:t>
      </w:r>
      <w:proofErr w:type="gramEnd"/>
      <w:r w:rsidRPr="00342D7E">
        <w:rPr>
          <w:rFonts w:ascii="Times New Roman" w:hAnsi="Times New Roman"/>
          <w:sz w:val="24"/>
          <w:szCs w:val="24"/>
        </w:rPr>
        <w:t xml:space="preserve"> powiązania między podejściem księgowym wraz</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rac</w:t>
      </w:r>
      <w:r w:rsidRPr="00342D7E">
        <w:rPr>
          <w:rFonts w:ascii="Times New Roman" w:hAnsi="Times New Roman"/>
          <w:sz w:val="24"/>
          <w:szCs w:val="24"/>
        </w:rPr>
        <w:t>hunkowym zakresem konsolidacji (pełna konsolidacja, konsolidacja proporcjonalna, metoda praw własności lub inna);</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„podejście księgowe (grupa CRR</w:t>
      </w:r>
      <w:proofErr w:type="gramStart"/>
      <w:r w:rsidRPr="00342D7E">
        <w:rPr>
          <w:rFonts w:ascii="Times New Roman" w:hAnsi="Times New Roman"/>
          <w:sz w:val="24"/>
          <w:szCs w:val="24"/>
        </w:rPr>
        <w:t>)” wskazuje</w:t>
      </w:r>
      <w:proofErr w:type="gramEnd"/>
      <w:r w:rsidRPr="00342D7E">
        <w:rPr>
          <w:rFonts w:ascii="Times New Roman" w:hAnsi="Times New Roman"/>
          <w:sz w:val="24"/>
          <w:szCs w:val="24"/>
        </w:rPr>
        <w:t xml:space="preserve"> powiązania między podejściem księgowym</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zak</w:t>
      </w:r>
      <w:r w:rsidRPr="00342D7E">
        <w:rPr>
          <w:rFonts w:ascii="Times New Roman" w:hAnsi="Times New Roman"/>
          <w:sz w:val="24"/>
          <w:szCs w:val="24"/>
        </w:rPr>
        <w:t xml:space="preserve">resem konsolidacji na podstawie CRR (pełna </w:t>
      </w:r>
      <w:r w:rsidRPr="00342D7E">
        <w:rPr>
          <w:rFonts w:ascii="Times New Roman" w:hAnsi="Times New Roman"/>
          <w:sz w:val="24"/>
          <w:szCs w:val="24"/>
        </w:rPr>
        <w:lastRenderedPageBreak/>
        <w:t>konsolidacja, konsolidacja proporcjonalna, metoda praw własności lub inna);</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„wartość bilansowa” oznacza kwoty zgłoszone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bil</w:t>
      </w:r>
      <w:r w:rsidRPr="00342D7E">
        <w:rPr>
          <w:rFonts w:ascii="Times New Roman" w:hAnsi="Times New Roman"/>
          <w:sz w:val="24"/>
          <w:szCs w:val="24"/>
        </w:rPr>
        <w:t>ansie instytucji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iesieniu do jednostek,</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rych dokonano inwestycji, które nie zostały skonsolidowane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peł</w:t>
      </w:r>
      <w:r w:rsidRPr="00342D7E">
        <w:rPr>
          <w:rFonts w:ascii="Times New Roman" w:hAnsi="Times New Roman"/>
          <w:sz w:val="24"/>
          <w:szCs w:val="24"/>
        </w:rPr>
        <w:t>ni ani częściowo;</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„cena przejęcia” oznacza kwotę zapłaconą przez inwestorów;</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„powiązanie wartości firmy</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jed</w:t>
      </w:r>
      <w:r w:rsidRPr="00342D7E">
        <w:rPr>
          <w:rFonts w:ascii="Times New Roman" w:hAnsi="Times New Roman"/>
          <w:sz w:val="24"/>
          <w:szCs w:val="24"/>
        </w:rPr>
        <w:t>nostką,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 oznacza kwotę wartości firmy zgłoszoną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sko</w:t>
      </w:r>
      <w:r w:rsidRPr="00342D7E">
        <w:rPr>
          <w:rFonts w:ascii="Times New Roman" w:hAnsi="Times New Roman"/>
          <w:sz w:val="24"/>
          <w:szCs w:val="24"/>
        </w:rPr>
        <w:t>nsolidowanym bilansie instytucji sprawozdającej</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iesieniu do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dokonano inwestycji,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ycjach „wartość firmy” lub „inwestycje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jed</w:t>
      </w:r>
      <w:r w:rsidRPr="00342D7E">
        <w:rPr>
          <w:rFonts w:ascii="Times New Roman" w:hAnsi="Times New Roman"/>
          <w:sz w:val="24"/>
          <w:szCs w:val="24"/>
        </w:rPr>
        <w:t>nostkach zależnych, we wspólnych przedsięwzięciach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w:t>
      </w:r>
      <w:r w:rsidR="00342D7E">
        <w:rPr>
          <w:rFonts w:ascii="Times New Roman" w:hAnsi="Times New Roman"/>
          <w:sz w:val="24"/>
          <w:szCs w:val="24"/>
        </w:rPr>
        <w:t> </w:t>
      </w:r>
      <w:r w:rsidR="00342D7E" w:rsidRPr="00342D7E">
        <w:rPr>
          <w:rFonts w:ascii="Times New Roman" w:hAnsi="Times New Roman"/>
          <w:sz w:val="24"/>
          <w:szCs w:val="24"/>
        </w:rPr>
        <w:t>jed</w:t>
      </w:r>
      <w:r w:rsidRPr="00342D7E">
        <w:rPr>
          <w:rFonts w:ascii="Times New Roman" w:hAnsi="Times New Roman"/>
          <w:sz w:val="24"/>
          <w:szCs w:val="24"/>
        </w:rPr>
        <w:t>nostkach stowarzyszonych”;</w:t>
      </w:r>
    </w:p>
    <w:p w:rsidR="00D35B0C" w:rsidRPr="00342D7E" w:rsidRDefault="00A834F1" w:rsidP="00056B6F">
      <w:pPr>
        <w:numPr>
          <w:ilvl w:val="0"/>
          <w:numId w:val="80"/>
        </w:numPr>
        <w:spacing w:before="120" w:after="120"/>
        <w:ind w:left="1134"/>
        <w:jc w:val="both"/>
        <w:rPr>
          <w:rFonts w:ascii="Times New Roman" w:hAnsi="Times New Roman"/>
          <w:sz w:val="24"/>
          <w:szCs w:val="24"/>
        </w:rPr>
      </w:pPr>
      <w:r w:rsidRPr="00342D7E">
        <w:rPr>
          <w:rFonts w:ascii="Times New Roman" w:hAnsi="Times New Roman"/>
          <w:sz w:val="24"/>
          <w:szCs w:val="24"/>
        </w:rPr>
        <w:t>„wartość godziwa inwestycji,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odn</w:t>
      </w:r>
      <w:r w:rsidRPr="00342D7E">
        <w:rPr>
          <w:rFonts w:ascii="Times New Roman" w:hAnsi="Times New Roman"/>
          <w:sz w:val="24"/>
          <w:szCs w:val="24"/>
        </w:rPr>
        <w:t>iesieniu do których istnieją opublikowane notowania cen” oznacza cenę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spr</w:t>
      </w:r>
      <w:r w:rsidRPr="00342D7E">
        <w:rPr>
          <w:rFonts w:ascii="Times New Roman" w:hAnsi="Times New Roman"/>
          <w:sz w:val="24"/>
          <w:szCs w:val="24"/>
        </w:rPr>
        <w:t>awozdawczym dniu odniesienia; przedstawia się ją wyłącznie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gdy instrumenty są notowane.</w:t>
      </w:r>
    </w:p>
    <w:p w:rsidR="00D35B0C" w:rsidRPr="00342D7E" w:rsidRDefault="00A834F1">
      <w:pPr>
        <w:pStyle w:val="sub-subtitlenumbered"/>
        <w:keepNext/>
        <w:ind w:left="788" w:hanging="431"/>
        <w:jc w:val="both"/>
      </w:pPr>
      <w:bookmarkStart w:id="72" w:name="_Toc31019174"/>
      <w:r w:rsidRPr="00342D7E">
        <w:t>Struktura grupy: „poszczególne instrumenty” (40.2)</w:t>
      </w:r>
      <w:bookmarkEnd w:id="72"/>
    </w:p>
    <w:p w:rsidR="00D35B0C" w:rsidRPr="00342D7E" w:rsidRDefault="00A834F1">
      <w:pPr>
        <w:pStyle w:val="Baseparagraphnumbered"/>
      </w:pPr>
      <w:r w:rsidRPr="00342D7E">
        <w:t>Następujące informacje zgłasza się dla poszczególnych instrumentów</w:t>
      </w:r>
      <w:r w:rsidR="00342D7E" w:rsidRPr="00342D7E">
        <w:t xml:space="preserve"> z</w:t>
      </w:r>
      <w:r w:rsidR="00342D7E">
        <w:t> </w:t>
      </w:r>
      <w:r w:rsidR="00342D7E" w:rsidRPr="00342D7E">
        <w:t>oso</w:t>
      </w:r>
      <w:r w:rsidRPr="00342D7E">
        <w:t>bna:</w:t>
      </w:r>
    </w:p>
    <w:p w:rsidR="00D35B0C" w:rsidRPr="00342D7E" w:rsidRDefault="00A834F1" w:rsidP="00056B6F">
      <w:pPr>
        <w:numPr>
          <w:ilvl w:val="0"/>
          <w:numId w:val="81"/>
        </w:numPr>
        <w:spacing w:before="120" w:after="120"/>
        <w:ind w:left="1134"/>
        <w:jc w:val="both"/>
        <w:rPr>
          <w:rFonts w:ascii="Times New Roman" w:hAnsi="Times New Roman"/>
          <w:sz w:val="24"/>
          <w:szCs w:val="24"/>
        </w:rPr>
      </w:pPr>
      <w:r w:rsidRPr="00342D7E">
        <w:rPr>
          <w:rFonts w:ascii="Times New Roman" w:hAnsi="Times New Roman"/>
          <w:sz w:val="24"/>
          <w:szCs w:val="24"/>
        </w:rPr>
        <w:t>„Kod papieru wartościowego” obejmuje kod ISIN papieru wartościowego</w:t>
      </w:r>
      <w:r w:rsidR="00342D7E" w:rsidRPr="00342D7E">
        <w:rPr>
          <w:rFonts w:ascii="Times New Roman" w:hAnsi="Times New Roman"/>
          <w:sz w:val="24"/>
          <w:szCs w:val="24"/>
        </w:rPr>
        <w:t>.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ypadku papierów wartościowych, którym nie przypisano kodu ISIN, kod papieru wartościowego oznacza inny kod pozwalający jednoznacznie zidentyfikować dany papier wartościowy. „Kod papieru wartościowego” i „Kod jednostki dominującej” stanowią zbiorczy identyfikator wiersza</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łąc</w:t>
      </w:r>
      <w:r w:rsidRPr="00342D7E">
        <w:rPr>
          <w:rFonts w:ascii="Times New Roman" w:hAnsi="Times New Roman"/>
          <w:sz w:val="24"/>
          <w:szCs w:val="24"/>
        </w:rPr>
        <w:t>znie są niepowtarzalne dla każdego wiersza we wzorze 40.2.</w:t>
      </w:r>
    </w:p>
    <w:p w:rsidR="00D35B0C" w:rsidRPr="00342D7E" w:rsidRDefault="00A834F1" w:rsidP="00056B6F">
      <w:pPr>
        <w:numPr>
          <w:ilvl w:val="0"/>
          <w:numId w:val="81"/>
        </w:numPr>
        <w:spacing w:before="120" w:after="120"/>
        <w:ind w:left="1134"/>
        <w:jc w:val="both"/>
        <w:rPr>
          <w:rFonts w:ascii="Times New Roman" w:hAnsi="Times New Roman"/>
          <w:sz w:val="24"/>
          <w:szCs w:val="24"/>
        </w:rPr>
      </w:pPr>
      <w:r w:rsidRPr="00342D7E">
        <w:rPr>
          <w:rFonts w:ascii="Times New Roman" w:hAnsi="Times New Roman"/>
          <w:sz w:val="24"/>
          <w:szCs w:val="24"/>
        </w:rPr>
        <w:t>„Kod jednostki dominującej” oznacza kod identyfikacyjny jednostki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ram</w:t>
      </w:r>
      <w:r w:rsidRPr="00342D7E">
        <w:rPr>
          <w:rFonts w:ascii="Times New Roman" w:hAnsi="Times New Roman"/>
          <w:sz w:val="24"/>
          <w:szCs w:val="24"/>
        </w:rPr>
        <w:t>ach grupy, która jest posiadaczem inwestycji; „kod LEI jednostki dominującej” obejmuje kod LEI jednostki dominującej posiadającej dany papier wartościowy. Jeżeli dla jednostki dominującej istnieje kod LEI, kod ten podlega zgłoszeniu.</w:t>
      </w:r>
    </w:p>
    <w:p w:rsidR="00D35B0C" w:rsidRPr="00342D7E" w:rsidRDefault="00A834F1" w:rsidP="00056B6F">
      <w:pPr>
        <w:numPr>
          <w:ilvl w:val="0"/>
          <w:numId w:val="81"/>
        </w:numPr>
        <w:spacing w:before="120" w:after="120"/>
        <w:ind w:left="1134"/>
        <w:jc w:val="both"/>
        <w:rPr>
          <w:rFonts w:ascii="Times New Roman" w:hAnsi="Times New Roman"/>
          <w:sz w:val="24"/>
          <w:szCs w:val="24"/>
        </w:rPr>
      </w:pPr>
      <w:r w:rsidRPr="00342D7E">
        <w:rPr>
          <w:rFonts w:ascii="Times New Roman" w:hAnsi="Times New Roman"/>
          <w:sz w:val="24"/>
          <w:szCs w:val="24"/>
        </w:rPr>
        <w:t xml:space="preserve"> „Kod jednostki”, „Skumulowane udziały</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kap</w:t>
      </w:r>
      <w:r w:rsidRPr="00342D7E">
        <w:rPr>
          <w:rFonts w:ascii="Times New Roman" w:hAnsi="Times New Roman"/>
          <w:sz w:val="24"/>
          <w:szCs w:val="24"/>
        </w:rPr>
        <w:t>itale własnym</w:t>
      </w:r>
      <w:proofErr w:type="gramStart"/>
      <w:r w:rsidRPr="00342D7E">
        <w:rPr>
          <w:rFonts w:ascii="Times New Roman" w:hAnsi="Times New Roman"/>
          <w:sz w:val="24"/>
          <w:szCs w:val="24"/>
        </w:rPr>
        <w:t xml:space="preserve"> (%)”, „Wartość</w:t>
      </w:r>
      <w:proofErr w:type="gramEnd"/>
      <w:r w:rsidRPr="00342D7E">
        <w:rPr>
          <w:rFonts w:ascii="Times New Roman" w:hAnsi="Times New Roman"/>
          <w:sz w:val="24"/>
          <w:szCs w:val="24"/>
        </w:rPr>
        <w:t xml:space="preserve"> bilansowa” oraz „Cena przejęcia” zostały zdefiniowane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296 niniejszej części. Kwoty te powinny odpowiadać wartości papierów wartościowych posiadanych przez powiązaną jednostkę dominującą.</w:t>
      </w:r>
    </w:p>
    <w:p w:rsidR="00D35B0C" w:rsidRPr="00342D7E" w:rsidRDefault="00A834F1" w:rsidP="00056B6F">
      <w:pPr>
        <w:pStyle w:val="subtitlenumbered"/>
        <w:numPr>
          <w:ilvl w:val="0"/>
          <w:numId w:val="11"/>
        </w:numPr>
        <w:jc w:val="both"/>
      </w:pPr>
      <w:bookmarkStart w:id="73" w:name="_Toc31019175"/>
      <w:r w:rsidRPr="00342D7E">
        <w:t>Wartość godziwa (41)</w:t>
      </w:r>
      <w:bookmarkEnd w:id="73"/>
    </w:p>
    <w:p w:rsidR="00D35B0C" w:rsidRPr="00342D7E" w:rsidRDefault="00A834F1">
      <w:pPr>
        <w:pStyle w:val="sub-subtitlenumbered"/>
        <w:jc w:val="both"/>
      </w:pPr>
      <w:bookmarkStart w:id="74" w:name="_Toc31019176"/>
      <w:r w:rsidRPr="00342D7E">
        <w:t>Hierarchia wartości godziwej: instrumenty finansowe według kosztu zamortyzowanego (41.1)</w:t>
      </w:r>
      <w:bookmarkEnd w:id="74"/>
      <w:r w:rsidRPr="00342D7E">
        <w:t xml:space="preserve"> </w:t>
      </w:r>
    </w:p>
    <w:p w:rsidR="00D35B0C" w:rsidRPr="00342D7E" w:rsidRDefault="00A834F1">
      <w:pPr>
        <w:pStyle w:val="Baseparagraphnumbered"/>
      </w:pPr>
      <w:r w:rsidRPr="00342D7E">
        <w:t>W przedmiotowym wzorze zgłasza się informacje dotyczące wartości godziwej instrumentów finansowych wycenianych według kosztu zamortyzowanego zgodnie</w:t>
      </w:r>
      <w:r w:rsidR="00342D7E" w:rsidRPr="00342D7E">
        <w:t xml:space="preserve"> z</w:t>
      </w:r>
      <w:r w:rsidR="00342D7E">
        <w:t> </w:t>
      </w:r>
      <w:r w:rsidR="00342D7E" w:rsidRPr="00342D7E">
        <w:t>hie</w:t>
      </w:r>
      <w:r w:rsidRPr="00342D7E">
        <w:t>rarchią przedstawioną w MSSF 13 pkt</w:t>
      </w:r>
      <w:r w:rsidR="00342D7E" w:rsidRPr="00342D7E">
        <w:t> </w:t>
      </w:r>
      <w:r w:rsidRPr="00342D7E">
        <w:t>72, 76, 81</w:t>
      </w:r>
      <w:r w:rsidR="00342D7E" w:rsidRPr="00342D7E">
        <w:t xml:space="preserve"> i</w:t>
      </w:r>
      <w:r w:rsidR="00342D7E">
        <w:t> </w:t>
      </w:r>
      <w:r w:rsidR="00342D7E" w:rsidRPr="00342D7E">
        <w:t>8</w:t>
      </w:r>
      <w:r w:rsidRPr="00342D7E">
        <w:t xml:space="preserve">6. Jeżeli krajowe ogólnie przyjęte zasady rachunkowości oparte na BAD przewidują również wymóg alokacji aktywów wycenianych według wartości godziwej do różnych poziomów wartości godziwej, instytucje stosujące </w:t>
      </w:r>
      <w:r w:rsidRPr="00342D7E">
        <w:lastRenderedPageBreak/>
        <w:t>krajowe ogólnie przyjęte zasady rachunkowości zgłaszają również informacje przewidziane</w:t>
      </w:r>
      <w:r w:rsidR="00342D7E" w:rsidRPr="00342D7E">
        <w:t xml:space="preserve"> w</w:t>
      </w:r>
      <w:r w:rsidR="00342D7E">
        <w:t> </w:t>
      </w:r>
      <w:r w:rsidR="00342D7E" w:rsidRPr="00342D7E">
        <w:t>tym</w:t>
      </w:r>
      <w:r w:rsidRPr="00342D7E">
        <w:t xml:space="preserve"> wzorze.</w:t>
      </w:r>
    </w:p>
    <w:p w:rsidR="00D35B0C" w:rsidRPr="00342D7E" w:rsidRDefault="00A834F1">
      <w:pPr>
        <w:pStyle w:val="sub-subtitlenumbered"/>
        <w:jc w:val="both"/>
      </w:pPr>
      <w:bookmarkStart w:id="75" w:name="_Toc31019177"/>
      <w:r w:rsidRPr="00342D7E">
        <w:t>Stosowanie opcji wyceny według wartości godziwej (41.2)</w:t>
      </w:r>
      <w:bookmarkEnd w:id="75"/>
    </w:p>
    <w:p w:rsidR="00D35B0C" w:rsidRPr="00342D7E" w:rsidRDefault="00A834F1">
      <w:pPr>
        <w:pStyle w:val="Baseparagraphnumbered"/>
      </w:pPr>
      <w:r w:rsidRPr="00342D7E">
        <w:t>W przedmiotowym wzorze zgłasza się informacje na temat stosowania opcji wyceny według wartości godziwej</w:t>
      </w:r>
      <w:r w:rsidR="00342D7E" w:rsidRPr="00342D7E">
        <w:t xml:space="preserve"> w</w:t>
      </w:r>
      <w:r w:rsidR="00342D7E">
        <w:t> </w:t>
      </w:r>
      <w:r w:rsidR="00342D7E" w:rsidRPr="00342D7E">
        <w:t>odn</w:t>
      </w:r>
      <w:r w:rsidRPr="00342D7E">
        <w:t>iesieniu do aktywów finansowych</w:t>
      </w:r>
      <w:r w:rsidR="00342D7E" w:rsidRPr="00342D7E">
        <w:t xml:space="preserve"> i</w:t>
      </w:r>
      <w:r w:rsidR="00342D7E">
        <w:t> </w:t>
      </w:r>
      <w:r w:rsidR="00342D7E" w:rsidRPr="00342D7E">
        <w:t>zob</w:t>
      </w:r>
      <w:r w:rsidRPr="00342D7E">
        <w:t xml:space="preserve">owiązań finansowych wycenianych według wartości godziwej przez wynik finansowy. </w:t>
      </w:r>
    </w:p>
    <w:p w:rsidR="00D35B0C" w:rsidRPr="00342D7E" w:rsidRDefault="00A834F1">
      <w:pPr>
        <w:pStyle w:val="Baseparagraphnumbered"/>
      </w:pPr>
      <w:r w:rsidRPr="00342D7E">
        <w:t>Pozycja „Kontrakty hybrydowe” obejmuje –</w:t>
      </w:r>
      <w:r w:rsidR="00342D7E" w:rsidRPr="00342D7E">
        <w:t xml:space="preserve"> w</w:t>
      </w:r>
      <w:r w:rsidR="00342D7E">
        <w:t> </w:t>
      </w:r>
      <w:r w:rsidR="00342D7E" w:rsidRPr="00342D7E">
        <w:t>odn</w:t>
      </w:r>
      <w:r w:rsidRPr="00342D7E">
        <w:t>iesieniu do zobowiązań – wartość bilansową hybrydowych instrumentów finansowych sklasyfikowanych</w:t>
      </w:r>
      <w:r w:rsidR="00342D7E" w:rsidRPr="00342D7E">
        <w:t xml:space="preserve"> w</w:t>
      </w:r>
      <w:r w:rsidR="00342D7E">
        <w:t> </w:t>
      </w:r>
      <w:r w:rsidR="00342D7E" w:rsidRPr="00342D7E">
        <w:t>cał</w:t>
      </w:r>
      <w:r w:rsidRPr="00342D7E">
        <w:t>ości</w:t>
      </w:r>
      <w:r w:rsidR="00342D7E" w:rsidRPr="00342D7E">
        <w:t xml:space="preserve"> w</w:t>
      </w:r>
      <w:r w:rsidR="00342D7E">
        <w:t> </w:t>
      </w:r>
      <w:r w:rsidR="00342D7E" w:rsidRPr="00342D7E">
        <w:t>por</w:t>
      </w:r>
      <w:r w:rsidRPr="00342D7E">
        <w:t>tfelu księgowym zobowiązań finansowych wyznaczonych jako wyceniane według wartości godziwej przez wynik finansowy. Pozycja ta uwzględnia zatem</w:t>
      </w:r>
      <w:r w:rsidR="00342D7E" w:rsidRPr="00342D7E">
        <w:t xml:space="preserve"> w</w:t>
      </w:r>
      <w:r w:rsidR="00342D7E">
        <w:t> </w:t>
      </w:r>
      <w:r w:rsidR="00342D7E" w:rsidRPr="00342D7E">
        <w:t>cał</w:t>
      </w:r>
      <w:r w:rsidRPr="00342D7E">
        <w:t>ości wartość nierozdzielonych instrumentów hybrydowych.</w:t>
      </w:r>
    </w:p>
    <w:p w:rsidR="00D35B0C" w:rsidRPr="00342D7E" w:rsidRDefault="00A834F1">
      <w:pPr>
        <w:pStyle w:val="Baseparagraphnumbered"/>
      </w:pPr>
      <w:r w:rsidRPr="00342D7E">
        <w:t>W pozycji „Zarządzanie pod kątem ryzyka kredytowego” uwzględnia się wartość bilansową instrumentów, które wyznaczono jako wyceniane według wartości godziwej przez wynik finansowy przy okazji ich zabezpieczenia przed ryzykiem kredytowym za pomocą kredytowych instrumentów pochodnych wycenianych według wartości godziwej przez wynik finansowy zgodnie z MSSF 9 pkt</w:t>
      </w:r>
      <w:r w:rsidR="00342D7E" w:rsidRPr="00342D7E">
        <w:t> </w:t>
      </w:r>
      <w:r w:rsidRPr="00342D7E">
        <w:t xml:space="preserve">6.7. </w:t>
      </w:r>
    </w:p>
    <w:p w:rsidR="00D35B0C" w:rsidRPr="00342D7E" w:rsidRDefault="00A834F1">
      <w:pPr>
        <w:pStyle w:val="subtitlenumbered"/>
        <w:jc w:val="both"/>
      </w:pPr>
      <w:bookmarkStart w:id="76" w:name="_Toc31019178"/>
      <w:r w:rsidRPr="00342D7E">
        <w:t>Nieruchomości inwestycyjne</w:t>
      </w:r>
      <w:r w:rsidR="00342D7E" w:rsidRPr="00342D7E">
        <w:t xml:space="preserve"> i</w:t>
      </w:r>
      <w:r w:rsidR="00342D7E">
        <w:t> </w:t>
      </w:r>
      <w:r w:rsidR="00342D7E" w:rsidRPr="00342D7E">
        <w:t>rze</w:t>
      </w:r>
      <w:r w:rsidRPr="00342D7E">
        <w:t>czowe aktywa trwałe oraz wartości niematerialne</w:t>
      </w:r>
      <w:r w:rsidR="00342D7E" w:rsidRPr="00342D7E">
        <w:t xml:space="preserve"> i</w:t>
      </w:r>
      <w:r w:rsidR="00342D7E">
        <w:t> </w:t>
      </w:r>
      <w:r w:rsidR="00342D7E" w:rsidRPr="00342D7E">
        <w:t>pra</w:t>
      </w:r>
      <w:r w:rsidRPr="00342D7E">
        <w:t>wne: wartość bilansowa według metody wyceny (42)</w:t>
      </w:r>
      <w:bookmarkEnd w:id="76"/>
    </w:p>
    <w:p w:rsidR="00D35B0C" w:rsidRPr="00342D7E" w:rsidRDefault="00A834F1">
      <w:pPr>
        <w:pStyle w:val="Baseparagraphnumbered"/>
      </w:pPr>
      <w:r w:rsidRPr="00342D7E">
        <w:t xml:space="preserve"> „Rzeczowe aktywa trwałe”, „Nieruchomości inwestycyjne” oraz „Inne wartości niematerialne</w:t>
      </w:r>
      <w:r w:rsidR="00342D7E" w:rsidRPr="00342D7E">
        <w:t xml:space="preserve"> i</w:t>
      </w:r>
      <w:r w:rsidR="00342D7E">
        <w:t> </w:t>
      </w:r>
      <w:r w:rsidR="00342D7E" w:rsidRPr="00342D7E">
        <w:t>pra</w:t>
      </w:r>
      <w:r w:rsidRPr="00342D7E">
        <w:t>wne” zgłasza się zgodnie</w:t>
      </w:r>
      <w:r w:rsidR="00342D7E" w:rsidRPr="00342D7E">
        <w:t xml:space="preserve"> z</w:t>
      </w:r>
      <w:r w:rsidR="00342D7E">
        <w:t> </w:t>
      </w:r>
      <w:r w:rsidR="00342D7E" w:rsidRPr="00342D7E">
        <w:t>kry</w:t>
      </w:r>
      <w:r w:rsidRPr="00342D7E">
        <w:t>teriami stosowanymi przy dokonywaniu ich wyceny.</w:t>
      </w:r>
    </w:p>
    <w:p w:rsidR="00D35B0C" w:rsidRPr="00342D7E" w:rsidRDefault="00A834F1">
      <w:pPr>
        <w:pStyle w:val="Baseparagraphnumbered"/>
      </w:pPr>
      <w:r w:rsidRPr="00342D7E">
        <w:t>„Inne wartości niematerialne</w:t>
      </w:r>
      <w:r w:rsidR="00342D7E" w:rsidRPr="00342D7E">
        <w:t xml:space="preserve"> i</w:t>
      </w:r>
      <w:r w:rsidR="00342D7E">
        <w:t> </w:t>
      </w:r>
      <w:r w:rsidR="00342D7E" w:rsidRPr="00342D7E">
        <w:t>pra</w:t>
      </w:r>
      <w:r w:rsidRPr="00342D7E">
        <w:t>wne” obejmują wszystkie wartości niematerialne</w:t>
      </w:r>
      <w:r w:rsidR="00342D7E" w:rsidRPr="00342D7E">
        <w:t xml:space="preserve"> i</w:t>
      </w:r>
      <w:r w:rsidR="00342D7E">
        <w:t> </w:t>
      </w:r>
      <w:r w:rsidR="00342D7E" w:rsidRPr="00342D7E">
        <w:t>pra</w:t>
      </w:r>
      <w:r w:rsidRPr="00342D7E">
        <w:t>wne inne niż wartość firmy.</w:t>
      </w:r>
    </w:p>
    <w:p w:rsidR="00D35B0C" w:rsidRPr="00342D7E" w:rsidRDefault="00AA61E7">
      <w:pPr>
        <w:pStyle w:val="Baseparagraphnumbered"/>
        <w:numPr>
          <w:ilvl w:val="0"/>
          <w:numId w:val="0"/>
        </w:numPr>
        <w:ind w:left="786" w:hanging="360"/>
      </w:pPr>
      <w:r w:rsidRPr="00342D7E">
        <w:t>303i.</w:t>
      </w:r>
      <w:r w:rsidRPr="00342D7E">
        <w:tab/>
        <w:t>W przypadku gdy instytucja pełni rolę leasingobiorcy, przekazuje ona oddzielne informacje dotyczące aktywów leasingowych (aktywa</w:t>
      </w:r>
      <w:r w:rsidR="00342D7E" w:rsidRPr="00342D7E">
        <w:t xml:space="preserve"> z</w:t>
      </w:r>
      <w:r w:rsidR="00342D7E">
        <w:t> </w:t>
      </w:r>
      <w:r w:rsidR="00342D7E" w:rsidRPr="00342D7E">
        <w:t>tyt</w:t>
      </w:r>
      <w:r w:rsidRPr="00342D7E">
        <w:t>ułu prawa do użytkowania).</w:t>
      </w:r>
    </w:p>
    <w:p w:rsidR="00D35B0C" w:rsidRPr="00342D7E" w:rsidRDefault="00A834F1" w:rsidP="00056B6F">
      <w:pPr>
        <w:pStyle w:val="subtitlenumbered"/>
        <w:numPr>
          <w:ilvl w:val="0"/>
          <w:numId w:val="11"/>
        </w:numPr>
        <w:jc w:val="both"/>
      </w:pPr>
      <w:bookmarkStart w:id="77" w:name="_Toc31019179"/>
      <w:r w:rsidRPr="00342D7E">
        <w:t>Rezerwy (43)</w:t>
      </w:r>
      <w:bookmarkEnd w:id="77"/>
    </w:p>
    <w:p w:rsidR="00D35B0C" w:rsidRPr="00342D7E" w:rsidRDefault="00A834F1">
      <w:pPr>
        <w:pStyle w:val="Baseparagraphnumbered"/>
      </w:pPr>
      <w:r w:rsidRPr="00342D7E">
        <w:t>Przedmiotowy wzór obejmuje uzgodnienie wartości bilansowej pozycji „Rezerwy” na początku i na koniec danego okresu według charakteru zmian,</w:t>
      </w:r>
      <w:r w:rsidR="00342D7E" w:rsidRPr="00342D7E">
        <w:t xml:space="preserve"> z</w:t>
      </w:r>
      <w:r w:rsidR="00342D7E">
        <w:t> </w:t>
      </w:r>
      <w:r w:rsidR="00342D7E" w:rsidRPr="00342D7E">
        <w:t>wyj</w:t>
      </w:r>
      <w:r w:rsidRPr="00342D7E">
        <w:t>ątkiem rezerw wycenianych zgodnie z MSSF 9, które zgłasza się we wzorze 12.</w:t>
      </w:r>
    </w:p>
    <w:p w:rsidR="00D35B0C" w:rsidRPr="00342D7E" w:rsidRDefault="00A834F1">
      <w:pPr>
        <w:pStyle w:val="Baseparagraphnumbered"/>
      </w:pPr>
      <w:r w:rsidRPr="00342D7E">
        <w:t>W pozycji „Inne udzielone zobowiązania</w:t>
      </w:r>
      <w:r w:rsidR="00342D7E" w:rsidRPr="00342D7E">
        <w:t xml:space="preserve"> i</w:t>
      </w:r>
      <w:r w:rsidR="00342D7E">
        <w:t> </w:t>
      </w:r>
      <w:r w:rsidR="00342D7E" w:rsidRPr="00342D7E">
        <w:t>gwa</w:t>
      </w:r>
      <w:r w:rsidRPr="00342D7E">
        <w:t>rancje wyceniane zgodnie z MSR 37</w:t>
      </w:r>
      <w:r w:rsidR="00342D7E" w:rsidRPr="00342D7E">
        <w:t xml:space="preserve"> i</w:t>
      </w:r>
      <w:r w:rsidR="00342D7E">
        <w:t> </w:t>
      </w:r>
      <w:r w:rsidR="00342D7E" w:rsidRPr="00342D7E">
        <w:t>udz</w:t>
      </w:r>
      <w:r w:rsidRPr="00342D7E">
        <w:t>ielone gwarancje wyceniane zgodnie z MSSF 4” uwzględnia się rezerwy wyceniane zgodnie z MSR 37 oraz straty kredytowe</w:t>
      </w:r>
      <w:r w:rsidR="00342D7E" w:rsidRPr="00342D7E">
        <w:t xml:space="preserve"> z</w:t>
      </w:r>
      <w:r w:rsidR="00342D7E">
        <w:t> </w:t>
      </w:r>
      <w:r w:rsidR="00342D7E" w:rsidRPr="00342D7E">
        <w:t>tyt</w:t>
      </w:r>
      <w:r w:rsidRPr="00342D7E">
        <w:t xml:space="preserve">ułu gwarancji finansowych traktowanych jako umowy ubezpieczenia na podstawie MSSF 4. </w:t>
      </w:r>
    </w:p>
    <w:p w:rsidR="00D35B0C" w:rsidRPr="00342D7E" w:rsidRDefault="00A834F1" w:rsidP="00056B6F">
      <w:pPr>
        <w:pStyle w:val="subtitlenumbered"/>
        <w:numPr>
          <w:ilvl w:val="0"/>
          <w:numId w:val="11"/>
        </w:numPr>
        <w:jc w:val="both"/>
      </w:pPr>
      <w:bookmarkStart w:id="78" w:name="_Toc31019180"/>
      <w:r w:rsidRPr="00342D7E">
        <w:lastRenderedPageBreak/>
        <w:t>Programy</w:t>
      </w:r>
      <w:r w:rsidR="00342D7E" w:rsidRPr="00342D7E">
        <w:t xml:space="preserve"> o</w:t>
      </w:r>
      <w:r w:rsidR="00342D7E">
        <w:t> </w:t>
      </w:r>
      <w:r w:rsidR="00342D7E" w:rsidRPr="00342D7E">
        <w:t>zde</w:t>
      </w:r>
      <w:r w:rsidRPr="00342D7E">
        <w:t>finiowanym świadczeniu</w:t>
      </w:r>
      <w:r w:rsidR="00342D7E" w:rsidRPr="00342D7E">
        <w:t xml:space="preserve"> i</w:t>
      </w:r>
      <w:r w:rsidR="00342D7E">
        <w:t> </w:t>
      </w:r>
      <w:r w:rsidR="00342D7E" w:rsidRPr="00342D7E">
        <w:t>świ</w:t>
      </w:r>
      <w:r w:rsidRPr="00342D7E">
        <w:t>adczenia pracownicze (44)</w:t>
      </w:r>
      <w:bookmarkEnd w:id="78"/>
    </w:p>
    <w:p w:rsidR="00D35B0C" w:rsidRPr="00342D7E" w:rsidRDefault="00A834F1">
      <w:pPr>
        <w:pStyle w:val="Baseparagraphnumbered"/>
      </w:pPr>
      <w:r w:rsidRPr="00342D7E">
        <w:t>W przedmiotowych wzorach uwzględnia się skumulowane informacje na temat wszystkich programów instytucji</w:t>
      </w:r>
      <w:r w:rsidR="00342D7E" w:rsidRPr="00342D7E">
        <w:t xml:space="preserve"> o</w:t>
      </w:r>
      <w:r w:rsidR="00342D7E">
        <w:t> </w:t>
      </w:r>
      <w:r w:rsidR="00342D7E" w:rsidRPr="00342D7E">
        <w:t>zde</w:t>
      </w:r>
      <w:r w:rsidRPr="00342D7E">
        <w:t>finiowanym świadczeniu</w:t>
      </w:r>
      <w:r w:rsidR="00342D7E" w:rsidRPr="00342D7E">
        <w:t>. W</w:t>
      </w:r>
      <w:r w:rsidR="00342D7E">
        <w:t> </w:t>
      </w:r>
      <w:r w:rsidR="00342D7E" w:rsidRPr="00342D7E">
        <w:t>prz</w:t>
      </w:r>
      <w:r w:rsidRPr="00342D7E">
        <w:t>ypadku istnienia więcej niż jednego programu</w:t>
      </w:r>
      <w:r w:rsidR="00342D7E" w:rsidRPr="00342D7E">
        <w:t xml:space="preserve"> o</w:t>
      </w:r>
      <w:r w:rsidR="00342D7E">
        <w:t> </w:t>
      </w:r>
      <w:r w:rsidR="00342D7E" w:rsidRPr="00342D7E">
        <w:t>zde</w:t>
      </w:r>
      <w:r w:rsidRPr="00342D7E">
        <w:t>finiowanym świadczeniu zgłasza się zagregowaną kwotę wszystkich tych programów.</w:t>
      </w:r>
    </w:p>
    <w:p w:rsidR="00D35B0C" w:rsidRPr="00342D7E" w:rsidRDefault="00A834F1">
      <w:pPr>
        <w:pStyle w:val="sub-subtitlenumbered"/>
        <w:keepNext/>
        <w:ind w:left="788" w:hanging="431"/>
        <w:jc w:val="both"/>
      </w:pPr>
      <w:bookmarkStart w:id="79" w:name="_Toc31019181"/>
      <w:r w:rsidRPr="00342D7E">
        <w:t>Składniki aktywów</w:t>
      </w:r>
      <w:r w:rsidR="00342D7E" w:rsidRPr="00342D7E">
        <w:t xml:space="preserve"> i</w:t>
      </w:r>
      <w:r w:rsidR="00342D7E">
        <w:t> </w:t>
      </w:r>
      <w:r w:rsidR="00342D7E" w:rsidRPr="00342D7E">
        <w:t>zob</w:t>
      </w:r>
      <w:r w:rsidRPr="00342D7E">
        <w:t>owiązań netto programu</w:t>
      </w:r>
      <w:r w:rsidR="00342D7E" w:rsidRPr="00342D7E">
        <w:t xml:space="preserve"> o</w:t>
      </w:r>
      <w:r w:rsidR="00342D7E">
        <w:t> </w:t>
      </w:r>
      <w:r w:rsidR="00342D7E" w:rsidRPr="00342D7E">
        <w:t>zde</w:t>
      </w:r>
      <w:r w:rsidRPr="00342D7E">
        <w:t>finiowanym świadczeniu (44.1)</w:t>
      </w:r>
      <w:bookmarkEnd w:id="79"/>
    </w:p>
    <w:p w:rsidR="00D35B0C" w:rsidRPr="00342D7E" w:rsidRDefault="001A1272">
      <w:pPr>
        <w:pStyle w:val="Baseparagraphnumbered"/>
      </w:pPr>
      <w:r w:rsidRPr="00342D7E">
        <w:t>Wzór dotyczący składników aktywów</w:t>
      </w:r>
      <w:r w:rsidR="00342D7E" w:rsidRPr="00342D7E">
        <w:t xml:space="preserve"> i</w:t>
      </w:r>
      <w:r w:rsidR="00342D7E">
        <w:t> </w:t>
      </w:r>
      <w:r w:rsidR="00342D7E" w:rsidRPr="00342D7E">
        <w:t>zob</w:t>
      </w:r>
      <w:r w:rsidRPr="00342D7E">
        <w:t>owiązań netto programu</w:t>
      </w:r>
      <w:r w:rsidR="00342D7E" w:rsidRPr="00342D7E">
        <w:t xml:space="preserve"> o</w:t>
      </w:r>
      <w:r w:rsidR="00342D7E">
        <w:t> </w:t>
      </w:r>
      <w:r w:rsidR="00342D7E" w:rsidRPr="00342D7E">
        <w:t>zde</w:t>
      </w:r>
      <w:r w:rsidRPr="00342D7E">
        <w:t>finiowanym świadczeniu przedstawia uzgodnienie skumulowanej wartości bieżącej wszystkich zobowiązań (aktywów) netto programu</w:t>
      </w:r>
      <w:r w:rsidR="00342D7E" w:rsidRPr="00342D7E">
        <w:t xml:space="preserve"> o</w:t>
      </w:r>
      <w:r w:rsidR="00342D7E">
        <w:t> </w:t>
      </w:r>
      <w:r w:rsidR="00342D7E" w:rsidRPr="00342D7E">
        <w:t>zde</w:t>
      </w:r>
      <w:r w:rsidRPr="00342D7E">
        <w:t>finiowanym świadczeniu,</w:t>
      </w:r>
      <w:r w:rsidR="00342D7E" w:rsidRPr="00342D7E">
        <w:t xml:space="preserve"> a</w:t>
      </w:r>
      <w:r w:rsidR="00342D7E">
        <w:t> </w:t>
      </w:r>
      <w:r w:rsidR="00342D7E" w:rsidRPr="00342D7E">
        <w:t>tak</w:t>
      </w:r>
      <w:r w:rsidRPr="00342D7E">
        <w:t>że praw do rekompensaty (MSR 19 pkt</w:t>
      </w:r>
      <w:r w:rsidR="00342D7E" w:rsidRPr="00342D7E">
        <w:t> </w:t>
      </w:r>
      <w:r w:rsidRPr="00342D7E">
        <w:t>140 lit.</w:t>
      </w:r>
      <w:r w:rsidR="00342D7E" w:rsidRPr="00342D7E">
        <w:t> </w:t>
      </w:r>
      <w:r w:rsidRPr="00342D7E">
        <w:t>a), b)).</w:t>
      </w:r>
    </w:p>
    <w:p w:rsidR="00D35B0C" w:rsidRPr="00342D7E" w:rsidRDefault="00A834F1">
      <w:pPr>
        <w:pStyle w:val="Baseparagraphnumbered"/>
      </w:pPr>
      <w:r w:rsidRPr="00342D7E">
        <w:t>„Aktywa netto programu</w:t>
      </w:r>
      <w:r w:rsidR="00342D7E" w:rsidRPr="00342D7E">
        <w:t xml:space="preserve"> o</w:t>
      </w:r>
      <w:r w:rsidR="00342D7E">
        <w:t> </w:t>
      </w:r>
      <w:r w:rsidR="00342D7E" w:rsidRPr="00342D7E">
        <w:t>zde</w:t>
      </w:r>
      <w:r w:rsidRPr="00342D7E">
        <w:t>finiowanym świadczeniu” obejmują,</w:t>
      </w:r>
      <w:r w:rsidR="00342D7E" w:rsidRPr="00342D7E">
        <w:t xml:space="preserve"> w</w:t>
      </w:r>
      <w:r w:rsidR="00342D7E">
        <w:t> </w:t>
      </w:r>
      <w:r w:rsidR="00342D7E" w:rsidRPr="00342D7E">
        <w:t>prz</w:t>
      </w:r>
      <w:r w:rsidRPr="00342D7E">
        <w:t>ypadku wystąpienia nadwyżki, kwoty nadwyżki, które ujmuje się</w:t>
      </w:r>
      <w:r w:rsidR="00342D7E" w:rsidRPr="00342D7E">
        <w:t xml:space="preserve"> w</w:t>
      </w:r>
      <w:r w:rsidR="00342D7E">
        <w:t> </w:t>
      </w:r>
      <w:r w:rsidR="00342D7E" w:rsidRPr="00342D7E">
        <w:t>bil</w:t>
      </w:r>
      <w:r w:rsidRPr="00342D7E">
        <w:t>ansie, ponieważ nie wpływają na nie limity ustanowione w MSR 19 pkt</w:t>
      </w:r>
      <w:r w:rsidR="00342D7E" w:rsidRPr="00342D7E">
        <w:t> </w:t>
      </w:r>
      <w:r w:rsidRPr="00342D7E">
        <w:t>63. Kwotę tej pozycji</w:t>
      </w:r>
      <w:r w:rsidR="00342D7E" w:rsidRPr="00342D7E">
        <w:t xml:space="preserve"> i</w:t>
      </w:r>
      <w:r w:rsidR="00342D7E">
        <w:t> </w:t>
      </w:r>
      <w:r w:rsidR="00342D7E" w:rsidRPr="00342D7E">
        <w:t>kwo</w:t>
      </w:r>
      <w:r w:rsidRPr="00342D7E">
        <w:t>tę ujętą</w:t>
      </w:r>
      <w:r w:rsidR="00342D7E" w:rsidRPr="00342D7E">
        <w:t xml:space="preserve"> w</w:t>
      </w:r>
      <w:r w:rsidR="00342D7E">
        <w:t> </w:t>
      </w:r>
      <w:r w:rsidR="00342D7E" w:rsidRPr="00342D7E">
        <w:t>poz</w:t>
      </w:r>
      <w:r w:rsidRPr="00342D7E">
        <w:t>ycji uzupełniającej „Wartość godziwa wszelkiego prawa do rekompensaty ujętego jako składnik aktywów” uwzględnia się</w:t>
      </w:r>
      <w:r w:rsidR="00342D7E" w:rsidRPr="00342D7E">
        <w:t xml:space="preserve"> w</w:t>
      </w:r>
      <w:r w:rsidR="00342D7E">
        <w:t> </w:t>
      </w:r>
      <w:r w:rsidR="00342D7E" w:rsidRPr="00342D7E">
        <w:t>poz</w:t>
      </w:r>
      <w:r w:rsidRPr="00342D7E">
        <w:t>ycji „Inne aktywa”</w:t>
      </w:r>
      <w:r w:rsidR="00342D7E" w:rsidRPr="00342D7E">
        <w:t xml:space="preserve"> w</w:t>
      </w:r>
      <w:r w:rsidR="00342D7E">
        <w:t> </w:t>
      </w:r>
      <w:r w:rsidR="00342D7E" w:rsidRPr="00342D7E">
        <w:t>bil</w:t>
      </w:r>
      <w:r w:rsidRPr="00342D7E">
        <w:t xml:space="preserve">ansie. </w:t>
      </w:r>
    </w:p>
    <w:p w:rsidR="00D35B0C" w:rsidRPr="00342D7E" w:rsidRDefault="00A834F1">
      <w:pPr>
        <w:pStyle w:val="sub-subtitlenumbered"/>
        <w:jc w:val="both"/>
      </w:pPr>
      <w:bookmarkStart w:id="80" w:name="_Toc31019182"/>
      <w:r w:rsidRPr="00342D7E">
        <w:t>Zmiany</w:t>
      </w:r>
      <w:r w:rsidR="00342D7E" w:rsidRPr="00342D7E">
        <w:t xml:space="preserve"> w</w:t>
      </w:r>
      <w:r w:rsidR="00342D7E">
        <w:t> </w:t>
      </w:r>
      <w:r w:rsidR="00342D7E" w:rsidRPr="00342D7E">
        <w:t>zob</w:t>
      </w:r>
      <w:r w:rsidRPr="00342D7E">
        <w:t>owiązaniach</w:t>
      </w:r>
      <w:r w:rsidR="00342D7E" w:rsidRPr="00342D7E">
        <w:t xml:space="preserve"> z</w:t>
      </w:r>
      <w:r w:rsidR="00342D7E">
        <w:t> </w:t>
      </w:r>
      <w:r w:rsidR="00342D7E" w:rsidRPr="00342D7E">
        <w:t>tyt</w:t>
      </w:r>
      <w:r w:rsidRPr="00342D7E">
        <w:t>ułu zdefiniowanych świadczeń (44.2)</w:t>
      </w:r>
      <w:bookmarkEnd w:id="80"/>
    </w:p>
    <w:p w:rsidR="00D35B0C" w:rsidRPr="00342D7E" w:rsidRDefault="001A1272">
      <w:pPr>
        <w:pStyle w:val="Baseparagraphnumbered"/>
      </w:pPr>
      <w:r w:rsidRPr="00342D7E">
        <w:t>Wzór dotyczący zmian</w:t>
      </w:r>
      <w:r w:rsidR="00342D7E" w:rsidRPr="00342D7E">
        <w:t xml:space="preserve"> w</w:t>
      </w:r>
      <w:r w:rsidR="00342D7E">
        <w:t> </w:t>
      </w:r>
      <w:r w:rsidR="00342D7E" w:rsidRPr="00342D7E">
        <w:t>zob</w:t>
      </w:r>
      <w:r w:rsidRPr="00342D7E">
        <w:t>owiązaniach</w:t>
      </w:r>
      <w:r w:rsidR="00342D7E" w:rsidRPr="00342D7E">
        <w:t xml:space="preserve"> z</w:t>
      </w:r>
      <w:r w:rsidR="00342D7E">
        <w:t> </w:t>
      </w:r>
      <w:r w:rsidR="00342D7E" w:rsidRPr="00342D7E">
        <w:t>tyt</w:t>
      </w:r>
      <w:r w:rsidRPr="00342D7E">
        <w:t>ułu zdefiniowanych świadczeń przedstawia uzgodnienie salda początkowego</w:t>
      </w:r>
      <w:r w:rsidR="00342D7E" w:rsidRPr="00342D7E">
        <w:t xml:space="preserve"> i</w:t>
      </w:r>
      <w:r w:rsidR="00342D7E">
        <w:t> </w:t>
      </w:r>
      <w:r w:rsidR="00342D7E" w:rsidRPr="00342D7E">
        <w:t>sal</w:t>
      </w:r>
      <w:r w:rsidRPr="00342D7E">
        <w:t>da końcowego skumulowanej wartości bieżącej wszystkich zobowiązań instytucji</w:t>
      </w:r>
      <w:r w:rsidR="00342D7E" w:rsidRPr="00342D7E">
        <w:t xml:space="preserve"> z</w:t>
      </w:r>
      <w:r w:rsidR="00342D7E">
        <w:t> </w:t>
      </w:r>
      <w:r w:rsidR="00342D7E" w:rsidRPr="00342D7E">
        <w:t>tyt</w:t>
      </w:r>
      <w:r w:rsidRPr="00342D7E">
        <w:t>ułu zdefiniowanych świadczeń. Wpływ różnych składników wymienionych w MSR 19 pkt</w:t>
      </w:r>
      <w:r w:rsidR="00342D7E" w:rsidRPr="00342D7E">
        <w:t> </w:t>
      </w:r>
      <w:r w:rsidRPr="00342D7E">
        <w:t>141</w:t>
      </w:r>
      <w:r w:rsidR="00342D7E" w:rsidRPr="00342D7E">
        <w:t xml:space="preserve"> w</w:t>
      </w:r>
      <w:r w:rsidR="00342D7E">
        <w:t> </w:t>
      </w:r>
      <w:r w:rsidR="00342D7E" w:rsidRPr="00342D7E">
        <w:t>dan</w:t>
      </w:r>
      <w:r w:rsidRPr="00342D7E">
        <w:t>ym okresie przedstawia się oddzielnie.</w:t>
      </w:r>
    </w:p>
    <w:p w:rsidR="00D35B0C" w:rsidRPr="00342D7E" w:rsidRDefault="00A834F1">
      <w:pPr>
        <w:pStyle w:val="Baseparagraphnumbered"/>
      </w:pPr>
      <w:r w:rsidRPr="00342D7E">
        <w:t>Kwota pozycji „Saldo końcowe (wartość bieżąca</w:t>
      </w:r>
      <w:proofErr w:type="gramStart"/>
      <w:r w:rsidRPr="00342D7E">
        <w:t>)” we</w:t>
      </w:r>
      <w:proofErr w:type="gramEnd"/>
      <w:r w:rsidRPr="00342D7E">
        <w:t xml:space="preserve"> wzorze dotyczącym zmian</w:t>
      </w:r>
      <w:r w:rsidR="00342D7E" w:rsidRPr="00342D7E">
        <w:t xml:space="preserve"> w</w:t>
      </w:r>
      <w:r w:rsidR="00342D7E">
        <w:t> </w:t>
      </w:r>
      <w:r w:rsidR="00342D7E" w:rsidRPr="00342D7E">
        <w:t>zob</w:t>
      </w:r>
      <w:r w:rsidRPr="00342D7E">
        <w:t>owiązaniach</w:t>
      </w:r>
      <w:r w:rsidR="00342D7E" w:rsidRPr="00342D7E">
        <w:t xml:space="preserve"> z</w:t>
      </w:r>
      <w:r w:rsidR="00342D7E">
        <w:t> </w:t>
      </w:r>
      <w:r w:rsidR="00342D7E" w:rsidRPr="00342D7E">
        <w:t>tyt</w:t>
      </w:r>
      <w:r w:rsidRPr="00342D7E">
        <w:t>ułu zdefiniowanych świadczeń odpowiada „Wartości bieżącej zobowiązań</w:t>
      </w:r>
      <w:r w:rsidR="00342D7E" w:rsidRPr="00342D7E">
        <w:t xml:space="preserve"> z</w:t>
      </w:r>
      <w:r w:rsidR="00342D7E">
        <w:t> </w:t>
      </w:r>
      <w:r w:rsidR="00342D7E" w:rsidRPr="00342D7E">
        <w:t>tyt</w:t>
      </w:r>
      <w:r w:rsidRPr="00342D7E">
        <w:t>ułu zdefiniowanych świadczeń”.</w:t>
      </w:r>
    </w:p>
    <w:p w:rsidR="00D35B0C" w:rsidRPr="00342D7E" w:rsidRDefault="00A0154C">
      <w:pPr>
        <w:pStyle w:val="sub-subtitlenumbered"/>
        <w:jc w:val="both"/>
      </w:pPr>
      <w:bookmarkStart w:id="81" w:name="_Toc31019183"/>
      <w:r w:rsidRPr="00342D7E">
        <w:t>Koszty personelu według rodzaju świadczeń (44.3)</w:t>
      </w:r>
      <w:bookmarkEnd w:id="81"/>
    </w:p>
    <w:p w:rsidR="00D35B0C" w:rsidRPr="00342D7E" w:rsidRDefault="00A834F1">
      <w:pPr>
        <w:pStyle w:val="Baseparagraphnumbered"/>
      </w:pPr>
      <w:r w:rsidRPr="00342D7E">
        <w:t xml:space="preserve">Do celów zgłaszania kosztów personelu według rodzaju świadczeń stosuje się następujące definicje: </w:t>
      </w:r>
    </w:p>
    <w:p w:rsidR="00D35B0C" w:rsidRPr="00342D7E" w:rsidRDefault="00A834F1" w:rsidP="00056B6F">
      <w:pPr>
        <w:numPr>
          <w:ilvl w:val="0"/>
          <w:numId w:val="82"/>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„Emerytura</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pod</w:t>
      </w:r>
      <w:r w:rsidRPr="00342D7E">
        <w:rPr>
          <w:rFonts w:ascii="Times New Roman" w:hAnsi="Times New Roman"/>
          <w:sz w:val="24"/>
          <w:szCs w:val="24"/>
        </w:rPr>
        <w:t>obne koszty” obejmuje kwotę ujętą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 jako koszty personelu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wsz</w:t>
      </w:r>
      <w:r w:rsidRPr="00342D7E">
        <w:rPr>
          <w:rFonts w:ascii="Times New Roman" w:hAnsi="Times New Roman"/>
          <w:sz w:val="24"/>
          <w:szCs w:val="24"/>
        </w:rPr>
        <w:t>elkimi zobowiązaniami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świadczeń po okresie zatrudnienia (zarówno programy</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zde</w:t>
      </w:r>
      <w:r w:rsidRPr="00342D7E">
        <w:rPr>
          <w:rFonts w:ascii="Times New Roman" w:hAnsi="Times New Roman"/>
          <w:sz w:val="24"/>
          <w:szCs w:val="24"/>
        </w:rPr>
        <w:t>finiowanej składce, jak</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pro</w:t>
      </w:r>
      <w:r w:rsidRPr="00342D7E">
        <w:rPr>
          <w:rFonts w:ascii="Times New Roman" w:hAnsi="Times New Roman"/>
          <w:sz w:val="24"/>
          <w:szCs w:val="24"/>
        </w:rPr>
        <w:t>gramy</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zde</w:t>
      </w:r>
      <w:r w:rsidRPr="00342D7E">
        <w:rPr>
          <w:rFonts w:ascii="Times New Roman" w:hAnsi="Times New Roman"/>
          <w:sz w:val="24"/>
          <w:szCs w:val="24"/>
        </w:rPr>
        <w:t>finiowanym świadczeniu),</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tym</w:t>
      </w:r>
      <w:r w:rsidRPr="00342D7E">
        <w:rPr>
          <w:rFonts w:ascii="Times New Roman" w:hAnsi="Times New Roman"/>
          <w:sz w:val="24"/>
          <w:szCs w:val="24"/>
        </w:rPr>
        <w:t xml:space="preserve"> składki po okresie zatrudnienia na rzecz funduszy zabezpieczenia społecznego (funduszy emerytalno-rentowych) prowadzonych przez rząd lub instytucje zabezpieczenia społecznego; </w:t>
      </w:r>
    </w:p>
    <w:p w:rsidR="00D35B0C" w:rsidRPr="00342D7E" w:rsidRDefault="00A834F1" w:rsidP="00056B6F">
      <w:pPr>
        <w:numPr>
          <w:ilvl w:val="0"/>
          <w:numId w:val="82"/>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„Płatności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for</w:t>
      </w:r>
      <w:r w:rsidRPr="00342D7E">
        <w:rPr>
          <w:rFonts w:ascii="Times New Roman" w:hAnsi="Times New Roman"/>
          <w:sz w:val="24"/>
          <w:szCs w:val="24"/>
        </w:rPr>
        <w:t>mie akcji” obejmuje kwotę ujętą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okr</w:t>
      </w:r>
      <w:r w:rsidRPr="00342D7E">
        <w:rPr>
          <w:rFonts w:ascii="Times New Roman" w:hAnsi="Times New Roman"/>
          <w:sz w:val="24"/>
          <w:szCs w:val="24"/>
        </w:rPr>
        <w:t>esie odniesienia jako koszty personelu związane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pła</w:t>
      </w:r>
      <w:r w:rsidRPr="00342D7E">
        <w:rPr>
          <w:rFonts w:ascii="Times New Roman" w:hAnsi="Times New Roman"/>
          <w:sz w:val="24"/>
          <w:szCs w:val="24"/>
        </w:rPr>
        <w:t>tnościami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for</w:t>
      </w:r>
      <w:r w:rsidRPr="00342D7E">
        <w:rPr>
          <w:rFonts w:ascii="Times New Roman" w:hAnsi="Times New Roman"/>
          <w:sz w:val="24"/>
          <w:szCs w:val="24"/>
        </w:rPr>
        <w:t>mie akcji;</w:t>
      </w:r>
    </w:p>
    <w:p w:rsidR="00D35B0C" w:rsidRPr="00342D7E" w:rsidRDefault="00A0154C" w:rsidP="00056B6F">
      <w:pPr>
        <w:numPr>
          <w:ilvl w:val="0"/>
          <w:numId w:val="82"/>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lastRenderedPageBreak/>
        <w:t>pozycja</w:t>
      </w:r>
      <w:proofErr w:type="gramEnd"/>
      <w:r w:rsidRPr="00342D7E">
        <w:rPr>
          <w:rFonts w:ascii="Times New Roman" w:hAnsi="Times New Roman"/>
          <w:sz w:val="24"/>
          <w:szCs w:val="24"/>
        </w:rPr>
        <w:t xml:space="preserve"> „Wynagrodzenia” obejmuje wynagrodzenie pracowników instytucji za pracę lub usługi, ale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wył</w:t>
      </w:r>
      <w:r w:rsidRPr="00342D7E">
        <w:rPr>
          <w:rFonts w:ascii="Times New Roman" w:hAnsi="Times New Roman"/>
          <w:sz w:val="24"/>
          <w:szCs w:val="24"/>
        </w:rPr>
        <w:t>ączeniem odpraw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wyn</w:t>
      </w:r>
      <w:r w:rsidRPr="00342D7E">
        <w:rPr>
          <w:rFonts w:ascii="Times New Roman" w:hAnsi="Times New Roman"/>
          <w:sz w:val="24"/>
          <w:szCs w:val="24"/>
        </w:rPr>
        <w:t>agrodzeń</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for</w:t>
      </w:r>
      <w:r w:rsidRPr="00342D7E">
        <w:rPr>
          <w:rFonts w:ascii="Times New Roman" w:hAnsi="Times New Roman"/>
          <w:sz w:val="24"/>
          <w:szCs w:val="24"/>
        </w:rPr>
        <w:t>mie akcji, które zgłasza się</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odd</w:t>
      </w:r>
      <w:r w:rsidRPr="00342D7E">
        <w:rPr>
          <w:rFonts w:ascii="Times New Roman" w:hAnsi="Times New Roman"/>
          <w:sz w:val="24"/>
          <w:szCs w:val="24"/>
        </w:rPr>
        <w:t>zielnych pozycjach;</w:t>
      </w:r>
    </w:p>
    <w:p w:rsidR="00D35B0C" w:rsidRPr="00342D7E" w:rsidRDefault="00A0154C" w:rsidP="00056B6F">
      <w:pPr>
        <w:numPr>
          <w:ilvl w:val="0"/>
          <w:numId w:val="82"/>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„Składki na zabezpieczenie społeczne” obejmuje składki na rzecz funduszy zabezpieczenia społecznego, kwoty płacone podmiotom rządowym lub instytucjom zabezpieczenia społecznego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cel</w:t>
      </w:r>
      <w:r w:rsidRPr="00342D7E">
        <w:rPr>
          <w:rFonts w:ascii="Times New Roman" w:hAnsi="Times New Roman"/>
          <w:sz w:val="24"/>
          <w:szCs w:val="24"/>
        </w:rPr>
        <w:t>u otrzymania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yszłości świadczeń</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zab</w:t>
      </w:r>
      <w:r w:rsidRPr="00342D7E">
        <w:rPr>
          <w:rFonts w:ascii="Times New Roman" w:hAnsi="Times New Roman"/>
          <w:sz w:val="24"/>
          <w:szCs w:val="24"/>
        </w:rPr>
        <w:t>ezpieczenia społecznego, ale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wył</w:t>
      </w:r>
      <w:r w:rsidRPr="00342D7E">
        <w:rPr>
          <w:rFonts w:ascii="Times New Roman" w:hAnsi="Times New Roman"/>
          <w:sz w:val="24"/>
          <w:szCs w:val="24"/>
        </w:rPr>
        <w:t>ączeniem składek po okresie zatrudnienia na rzecz funduszy zabezpieczenia społecznego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zak</w:t>
      </w:r>
      <w:r w:rsidRPr="00342D7E">
        <w:rPr>
          <w:rFonts w:ascii="Times New Roman" w:hAnsi="Times New Roman"/>
          <w:sz w:val="24"/>
          <w:szCs w:val="24"/>
        </w:rPr>
        <w:t>resie składek emerytalnych (składki na fundusze emerytalne);</w:t>
      </w:r>
    </w:p>
    <w:p w:rsidR="00D35B0C" w:rsidRPr="00342D7E" w:rsidRDefault="00A0154C" w:rsidP="00056B6F">
      <w:pPr>
        <w:numPr>
          <w:ilvl w:val="0"/>
          <w:numId w:val="82"/>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„Odprawy” oznacza płatności odnoszące się do wcześniejszego rozwiązania umowy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obe</w:t>
      </w:r>
      <w:r w:rsidRPr="00342D7E">
        <w:rPr>
          <w:rFonts w:ascii="Times New Roman" w:hAnsi="Times New Roman"/>
          <w:sz w:val="24"/>
          <w:szCs w:val="24"/>
        </w:rPr>
        <w:t>jmuje świadczenia</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rozwiązania stosunku pracy, jak określono w MSR 19.8;</w:t>
      </w:r>
    </w:p>
    <w:p w:rsidR="00D35B0C" w:rsidRPr="00342D7E" w:rsidRDefault="00A0154C" w:rsidP="00056B6F">
      <w:pPr>
        <w:numPr>
          <w:ilvl w:val="0"/>
          <w:numId w:val="82"/>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„Inne rodzaje kosztów personelu” obejmują koszty personelu, których nie można przypisać do żadnej</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yższych kategorii.</w:t>
      </w:r>
    </w:p>
    <w:p w:rsidR="00D35B0C" w:rsidRPr="00342D7E" w:rsidRDefault="00A0154C">
      <w:pPr>
        <w:pStyle w:val="sub-subtitlenumbered"/>
        <w:jc w:val="both"/>
      </w:pPr>
      <w:bookmarkStart w:id="82" w:name="_Toc31019184"/>
      <w:r w:rsidRPr="00342D7E">
        <w:t>Koszty personelu według kategorii wynagrodzenia</w:t>
      </w:r>
      <w:r w:rsidR="00342D7E" w:rsidRPr="00342D7E">
        <w:t xml:space="preserve"> i</w:t>
      </w:r>
      <w:r w:rsidR="00342D7E">
        <w:t> </w:t>
      </w:r>
      <w:r w:rsidR="00342D7E" w:rsidRPr="00342D7E">
        <w:t>kat</w:t>
      </w:r>
      <w:r w:rsidRPr="00342D7E">
        <w:t>egorii personelu (44.4)</w:t>
      </w:r>
      <w:bookmarkEnd w:id="82"/>
    </w:p>
    <w:p w:rsidR="00D35B0C" w:rsidRPr="00342D7E" w:rsidRDefault="000413CD">
      <w:pPr>
        <w:pStyle w:val="Baseparagraphnumbered"/>
        <w:numPr>
          <w:ilvl w:val="0"/>
          <w:numId w:val="0"/>
        </w:numPr>
        <w:ind w:left="786" w:hanging="360"/>
      </w:pPr>
      <w:r w:rsidRPr="00342D7E">
        <w:t>311i.</w:t>
      </w:r>
      <w:r w:rsidRPr="00342D7E">
        <w:tab/>
        <w:t>Do celów zgłaszania kosztów personelu według kategorii wynagrodzenia</w:t>
      </w:r>
      <w:r w:rsidR="00342D7E" w:rsidRPr="00342D7E">
        <w:t xml:space="preserve"> i</w:t>
      </w:r>
      <w:r w:rsidR="00342D7E">
        <w:t> </w:t>
      </w:r>
      <w:r w:rsidR="00342D7E" w:rsidRPr="00342D7E">
        <w:t>kat</w:t>
      </w:r>
      <w:r w:rsidRPr="00342D7E">
        <w:t xml:space="preserve">egorii personelu stosuje się następujące definicje: </w:t>
      </w:r>
    </w:p>
    <w:p w:rsidR="00D35B0C" w:rsidRPr="00342D7E" w:rsidRDefault="00A0154C" w:rsidP="00056B6F">
      <w:pPr>
        <w:numPr>
          <w:ilvl w:val="0"/>
          <w:numId w:val="83"/>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pozycje</w:t>
      </w:r>
      <w:proofErr w:type="gramEnd"/>
      <w:r w:rsidRPr="00342D7E">
        <w:rPr>
          <w:rFonts w:ascii="Times New Roman" w:hAnsi="Times New Roman"/>
          <w:sz w:val="24"/>
          <w:szCs w:val="24"/>
        </w:rPr>
        <w:t xml:space="preserve"> „wynagrodzenie stałe”, „wynagrodzenie zmienne”, „zidentyfikowani pracownicy” i „organ zarządzający pełniący funkcję zarządczą” mają to samo znaczenie co określone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Wyt</w:t>
      </w:r>
      <w:r w:rsidRPr="00342D7E">
        <w:rPr>
          <w:rFonts w:ascii="Times New Roman" w:hAnsi="Times New Roman"/>
          <w:sz w:val="24"/>
          <w:szCs w:val="24"/>
        </w:rPr>
        <w:t>ycznych EUNB „dotyczących prawidłowej polityki wynagrodzeń,</w:t>
      </w:r>
      <w:r w:rsidR="00342D7E" w:rsidRPr="00342D7E">
        <w:rPr>
          <w:rFonts w:ascii="Times New Roman" w:hAnsi="Times New Roman"/>
          <w:sz w:val="24"/>
          <w:szCs w:val="24"/>
        </w:rPr>
        <w:t xml:space="preserve"> o</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rej mowa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art</w:t>
      </w:r>
      <w:r w:rsidRPr="00342D7E">
        <w:rPr>
          <w:rFonts w:ascii="Times New Roman" w:hAnsi="Times New Roman"/>
          <w:sz w:val="24"/>
          <w:szCs w:val="24"/>
        </w:rPr>
        <w:t>.</w:t>
      </w:r>
      <w:r w:rsidR="00342D7E" w:rsidRPr="00342D7E">
        <w:rPr>
          <w:rFonts w:ascii="Times New Roman" w:hAnsi="Times New Roman"/>
          <w:sz w:val="24"/>
          <w:szCs w:val="24"/>
        </w:rPr>
        <w:t> </w:t>
      </w:r>
      <w:r w:rsidRPr="00342D7E">
        <w:rPr>
          <w:rFonts w:ascii="Times New Roman" w:hAnsi="Times New Roman"/>
          <w:sz w:val="24"/>
          <w:szCs w:val="24"/>
        </w:rPr>
        <w:t>74 ust.</w:t>
      </w:r>
      <w:r w:rsidR="00342D7E" w:rsidRPr="00342D7E">
        <w:rPr>
          <w:rFonts w:ascii="Times New Roman" w:hAnsi="Times New Roman"/>
          <w:sz w:val="24"/>
          <w:szCs w:val="24"/>
        </w:rPr>
        <w:t> </w:t>
      </w:r>
      <w:r w:rsidRPr="00342D7E">
        <w:rPr>
          <w:rFonts w:ascii="Times New Roman" w:hAnsi="Times New Roman"/>
          <w:sz w:val="24"/>
          <w:szCs w:val="24"/>
        </w:rPr>
        <w:t>3</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art</w:t>
      </w:r>
      <w:r w:rsidRPr="00342D7E">
        <w:rPr>
          <w:rFonts w:ascii="Times New Roman" w:hAnsi="Times New Roman"/>
          <w:sz w:val="24"/>
          <w:szCs w:val="24"/>
        </w:rPr>
        <w:t>.</w:t>
      </w:r>
      <w:r w:rsidR="00342D7E" w:rsidRPr="00342D7E">
        <w:rPr>
          <w:rFonts w:ascii="Times New Roman" w:hAnsi="Times New Roman"/>
          <w:sz w:val="24"/>
          <w:szCs w:val="24"/>
        </w:rPr>
        <w:t> </w:t>
      </w:r>
      <w:r w:rsidRPr="00342D7E">
        <w:rPr>
          <w:rFonts w:ascii="Times New Roman" w:hAnsi="Times New Roman"/>
          <w:sz w:val="24"/>
          <w:szCs w:val="24"/>
        </w:rPr>
        <w:t>75 ust.</w:t>
      </w:r>
      <w:r w:rsidR="00342D7E" w:rsidRPr="00342D7E">
        <w:rPr>
          <w:rFonts w:ascii="Times New Roman" w:hAnsi="Times New Roman"/>
          <w:sz w:val="24"/>
          <w:szCs w:val="24"/>
        </w:rPr>
        <w:t> </w:t>
      </w:r>
      <w:r w:rsidRPr="00342D7E">
        <w:rPr>
          <w:rFonts w:ascii="Times New Roman" w:hAnsi="Times New Roman"/>
          <w:sz w:val="24"/>
          <w:szCs w:val="24"/>
        </w:rPr>
        <w:t>2 dyrektywy 2013/36/UE,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uja</w:t>
      </w:r>
      <w:r w:rsidRPr="00342D7E">
        <w:rPr>
          <w:rFonts w:ascii="Times New Roman" w:hAnsi="Times New Roman"/>
          <w:sz w:val="24"/>
          <w:szCs w:val="24"/>
        </w:rPr>
        <w:t>wniania informacji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art</w:t>
      </w:r>
      <w:r w:rsidRPr="00342D7E">
        <w:rPr>
          <w:rFonts w:ascii="Times New Roman" w:hAnsi="Times New Roman"/>
          <w:sz w:val="24"/>
          <w:szCs w:val="24"/>
        </w:rPr>
        <w:t>.</w:t>
      </w:r>
      <w:r w:rsidR="00342D7E" w:rsidRPr="00342D7E">
        <w:rPr>
          <w:rFonts w:ascii="Times New Roman" w:hAnsi="Times New Roman"/>
          <w:sz w:val="24"/>
          <w:szCs w:val="24"/>
        </w:rPr>
        <w:t> </w:t>
      </w:r>
      <w:r w:rsidRPr="00342D7E">
        <w:rPr>
          <w:rFonts w:ascii="Times New Roman" w:hAnsi="Times New Roman"/>
          <w:sz w:val="24"/>
          <w:szCs w:val="24"/>
        </w:rPr>
        <w:t>450 rozporządzenia (UE) nr</w:t>
      </w:r>
      <w:r w:rsidR="00342D7E" w:rsidRPr="00342D7E">
        <w:rPr>
          <w:rFonts w:ascii="Times New Roman" w:hAnsi="Times New Roman"/>
          <w:sz w:val="24"/>
          <w:szCs w:val="24"/>
        </w:rPr>
        <w:t> </w:t>
      </w:r>
      <w:r w:rsidRPr="00342D7E">
        <w:rPr>
          <w:rFonts w:ascii="Times New Roman" w:hAnsi="Times New Roman"/>
          <w:sz w:val="24"/>
          <w:szCs w:val="24"/>
        </w:rPr>
        <w:t>575/2013” (EBA/GL/2015/22);</w:t>
      </w:r>
    </w:p>
    <w:p w:rsidR="00D35B0C" w:rsidRPr="00342D7E" w:rsidRDefault="00A0154C" w:rsidP="00056B6F">
      <w:pPr>
        <w:numPr>
          <w:ilvl w:val="0"/>
          <w:numId w:val="83"/>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pozycje</w:t>
      </w:r>
      <w:proofErr w:type="gramEnd"/>
      <w:r w:rsidRPr="00342D7E">
        <w:rPr>
          <w:rFonts w:ascii="Times New Roman" w:hAnsi="Times New Roman"/>
          <w:sz w:val="24"/>
          <w:szCs w:val="24"/>
        </w:rPr>
        <w:t xml:space="preserve"> „organ zarządzający”, „organ zarządzający pełniący funkcję nadzorczą” oraz „kadra kierownicza wyższego szczebla” obejmują pracowników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def</w:t>
      </w:r>
      <w:r w:rsidRPr="00342D7E">
        <w:rPr>
          <w:rFonts w:ascii="Times New Roman" w:hAnsi="Times New Roman"/>
          <w:sz w:val="24"/>
          <w:szCs w:val="24"/>
        </w:rPr>
        <w:t>inicją</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art</w:t>
      </w:r>
      <w:r w:rsidRPr="00342D7E">
        <w:rPr>
          <w:rFonts w:ascii="Times New Roman" w:hAnsi="Times New Roman"/>
          <w:sz w:val="24"/>
          <w:szCs w:val="24"/>
        </w:rPr>
        <w:t>.</w:t>
      </w:r>
      <w:r w:rsidR="00342D7E" w:rsidRPr="00342D7E">
        <w:rPr>
          <w:rFonts w:ascii="Times New Roman" w:hAnsi="Times New Roman"/>
          <w:sz w:val="24"/>
          <w:szCs w:val="24"/>
        </w:rPr>
        <w:t> </w:t>
      </w:r>
      <w:r w:rsidRPr="00342D7E">
        <w:rPr>
          <w:rFonts w:ascii="Times New Roman" w:hAnsi="Times New Roman"/>
          <w:sz w:val="24"/>
          <w:szCs w:val="24"/>
        </w:rPr>
        <w:t>3 ust.</w:t>
      </w:r>
      <w:r w:rsidR="00342D7E" w:rsidRPr="00342D7E">
        <w:rPr>
          <w:rFonts w:ascii="Times New Roman" w:hAnsi="Times New Roman"/>
          <w:sz w:val="24"/>
          <w:szCs w:val="24"/>
        </w:rPr>
        <w:t> </w:t>
      </w:r>
      <w:r w:rsidRPr="00342D7E">
        <w:rPr>
          <w:rFonts w:ascii="Times New Roman" w:hAnsi="Times New Roman"/>
          <w:sz w:val="24"/>
          <w:szCs w:val="24"/>
        </w:rPr>
        <w:t>1 pkt</w:t>
      </w:r>
      <w:r w:rsidR="00342D7E" w:rsidRPr="00342D7E">
        <w:rPr>
          <w:rFonts w:ascii="Times New Roman" w:hAnsi="Times New Roman"/>
          <w:sz w:val="24"/>
          <w:szCs w:val="24"/>
        </w:rPr>
        <w:t> </w:t>
      </w:r>
      <w:r w:rsidRPr="00342D7E">
        <w:rPr>
          <w:rFonts w:ascii="Times New Roman" w:hAnsi="Times New Roman"/>
          <w:sz w:val="24"/>
          <w:szCs w:val="24"/>
        </w:rPr>
        <w:t>7, 8</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9</w:t>
      </w:r>
      <w:r w:rsidRPr="00342D7E">
        <w:rPr>
          <w:rFonts w:ascii="Times New Roman" w:hAnsi="Times New Roman"/>
          <w:sz w:val="24"/>
          <w:szCs w:val="24"/>
        </w:rPr>
        <w:t xml:space="preserve"> CRD.</w:t>
      </w:r>
    </w:p>
    <w:p w:rsidR="00D35B0C" w:rsidRPr="00342D7E" w:rsidRDefault="00A0154C">
      <w:pPr>
        <w:pStyle w:val="Baseparagraphnumbered"/>
        <w:numPr>
          <w:ilvl w:val="0"/>
          <w:numId w:val="0"/>
        </w:numPr>
        <w:ind w:left="786" w:hanging="360"/>
      </w:pPr>
      <w:r w:rsidRPr="00342D7E">
        <w:t xml:space="preserve">311ii. </w:t>
      </w:r>
      <w:r w:rsidRPr="00342D7E">
        <w:tab/>
        <w:t>Pozycja „liczba pracowników” obejmuje liczbę pracowników</w:t>
      </w:r>
      <w:r w:rsidR="00342D7E" w:rsidRPr="00342D7E">
        <w:t xml:space="preserve"> w</w:t>
      </w:r>
      <w:r w:rsidR="00342D7E">
        <w:t> </w:t>
      </w:r>
      <w:r w:rsidR="00342D7E" w:rsidRPr="00342D7E">
        <w:t>spr</w:t>
      </w:r>
      <w:r w:rsidRPr="00342D7E">
        <w:t>awozdawczym dniu odniesienia, wyrażoną</w:t>
      </w:r>
      <w:r w:rsidR="00342D7E" w:rsidRPr="00342D7E">
        <w:t xml:space="preserve"> w</w:t>
      </w:r>
      <w:r w:rsidR="00342D7E">
        <w:t> </w:t>
      </w:r>
      <w:r w:rsidR="00342D7E" w:rsidRPr="00342D7E">
        <w:t>ekw</w:t>
      </w:r>
      <w:r w:rsidRPr="00342D7E">
        <w:t>iwalencie pełnego czasu pracy (EPC) wraz</w:t>
      </w:r>
      <w:r w:rsidR="00342D7E" w:rsidRPr="00342D7E">
        <w:t xml:space="preserve"> z</w:t>
      </w:r>
      <w:r w:rsidR="00342D7E">
        <w:t> </w:t>
      </w:r>
      <w:r w:rsidR="00342D7E" w:rsidRPr="00342D7E">
        <w:t>lic</w:t>
      </w:r>
      <w:r w:rsidRPr="00342D7E">
        <w:t>zbą członków organu zarządzającego wyrażoną jako wielkość zatrudnienia</w:t>
      </w:r>
      <w:r w:rsidR="00342D7E" w:rsidRPr="00342D7E">
        <w:t xml:space="preserve"> w</w:t>
      </w:r>
      <w:r w:rsidR="00342D7E">
        <w:t> </w:t>
      </w:r>
      <w:r w:rsidR="00342D7E" w:rsidRPr="00342D7E">
        <w:t>odn</w:t>
      </w:r>
      <w:r w:rsidRPr="00342D7E">
        <w:t>iesieniu do zakresu konsolidacji ostrożnościowej (CRR). Spośród nich liczbę zidentyfikowanych pracowników oraz liczbę przedstawicieli</w:t>
      </w:r>
      <w:r w:rsidR="00342D7E" w:rsidRPr="00342D7E">
        <w:t xml:space="preserve"> w</w:t>
      </w:r>
      <w:r w:rsidR="00342D7E">
        <w:t> </w:t>
      </w:r>
      <w:r w:rsidR="00342D7E" w:rsidRPr="00342D7E">
        <w:t>org</w:t>
      </w:r>
      <w:r w:rsidRPr="00342D7E">
        <w:t>anie zarządzającym pełniącym funkcję zarządczą oraz</w:t>
      </w:r>
      <w:r w:rsidR="00342D7E" w:rsidRPr="00342D7E">
        <w:t xml:space="preserve"> w</w:t>
      </w:r>
      <w:r w:rsidR="00342D7E">
        <w:t> </w:t>
      </w:r>
      <w:r w:rsidR="00342D7E" w:rsidRPr="00342D7E">
        <w:t>kad</w:t>
      </w:r>
      <w:r w:rsidRPr="00342D7E">
        <w:t>rze kierowniczej wyższego szczebla,</w:t>
      </w:r>
      <w:r w:rsidR="00342D7E" w:rsidRPr="00342D7E">
        <w:t xml:space="preserve"> a</w:t>
      </w:r>
      <w:r w:rsidR="00342D7E">
        <w:t> </w:t>
      </w:r>
      <w:r w:rsidR="00342D7E" w:rsidRPr="00342D7E">
        <w:t>tak</w:t>
      </w:r>
      <w:r w:rsidRPr="00342D7E">
        <w:t>że liczbę przedstawicieli</w:t>
      </w:r>
      <w:r w:rsidR="00342D7E" w:rsidRPr="00342D7E">
        <w:t xml:space="preserve"> w</w:t>
      </w:r>
      <w:r w:rsidR="00342D7E">
        <w:t> </w:t>
      </w:r>
      <w:r w:rsidR="00342D7E" w:rsidRPr="00342D7E">
        <w:t>org</w:t>
      </w:r>
      <w:r w:rsidRPr="00342D7E">
        <w:t>anie zarządzającym pełniącym funkcję nadzorczą zgłasza się oddzielnie.</w:t>
      </w:r>
    </w:p>
    <w:p w:rsidR="00D35B0C" w:rsidRPr="00342D7E" w:rsidRDefault="00A834F1" w:rsidP="00056B6F">
      <w:pPr>
        <w:pStyle w:val="subtitlenumbered"/>
        <w:numPr>
          <w:ilvl w:val="0"/>
          <w:numId w:val="11"/>
        </w:numPr>
        <w:jc w:val="both"/>
      </w:pPr>
      <w:bookmarkStart w:id="83" w:name="_Toc31019185"/>
      <w:r w:rsidRPr="00342D7E">
        <w:t>Podział wybranych pozycji</w:t>
      </w:r>
      <w:r w:rsidR="00342D7E" w:rsidRPr="00342D7E">
        <w:t xml:space="preserve"> w</w:t>
      </w:r>
      <w:r w:rsidR="00342D7E">
        <w:t> </w:t>
      </w:r>
      <w:r w:rsidR="00342D7E" w:rsidRPr="00342D7E">
        <w:t>rac</w:t>
      </w:r>
      <w:r w:rsidRPr="00342D7E">
        <w:t>hunku zysków</w:t>
      </w:r>
      <w:r w:rsidR="00342D7E" w:rsidRPr="00342D7E">
        <w:t xml:space="preserve"> i</w:t>
      </w:r>
      <w:r w:rsidR="00342D7E">
        <w:t> </w:t>
      </w:r>
      <w:r w:rsidR="00342D7E" w:rsidRPr="00342D7E">
        <w:t>str</w:t>
      </w:r>
      <w:r w:rsidRPr="00342D7E">
        <w:t>at (45)</w:t>
      </w:r>
      <w:bookmarkEnd w:id="83"/>
    </w:p>
    <w:p w:rsidR="00D35B0C" w:rsidRPr="00342D7E" w:rsidRDefault="00A834F1">
      <w:pPr>
        <w:pStyle w:val="sub-subtitlenumbered"/>
        <w:jc w:val="both"/>
      </w:pPr>
      <w:bookmarkStart w:id="84" w:name="_Toc31019186"/>
      <w:r w:rsidRPr="00342D7E">
        <w:t>Zyski lub straty</w:t>
      </w:r>
      <w:r w:rsidR="00342D7E" w:rsidRPr="00342D7E">
        <w:t xml:space="preserve"> z</w:t>
      </w:r>
      <w:r w:rsidR="00342D7E">
        <w:t> </w:t>
      </w:r>
      <w:r w:rsidR="00342D7E" w:rsidRPr="00342D7E">
        <w:t>tyt</w:t>
      </w:r>
      <w:r w:rsidRPr="00342D7E">
        <w:t>ułu aktywów</w:t>
      </w:r>
      <w:r w:rsidR="00342D7E" w:rsidRPr="00342D7E">
        <w:t xml:space="preserve"> i</w:t>
      </w:r>
      <w:r w:rsidR="00342D7E">
        <w:t> </w:t>
      </w:r>
      <w:r w:rsidR="00342D7E" w:rsidRPr="00342D7E">
        <w:t>zob</w:t>
      </w:r>
      <w:r w:rsidRPr="00342D7E">
        <w:t>owiązań finansowych wycenianych według wartości godziwej przez wynik finansowy według portfela księgowego (45.1)</w:t>
      </w:r>
      <w:bookmarkEnd w:id="84"/>
    </w:p>
    <w:p w:rsidR="00D35B0C" w:rsidRPr="00342D7E" w:rsidRDefault="00A834F1">
      <w:pPr>
        <w:pStyle w:val="Baseparagraphnumbered"/>
      </w:pPr>
      <w:r w:rsidRPr="00342D7E">
        <w:t>„Zobowiązania finansowe wyceniane według wartości godziwej przez wynik finansowy” obejmują wyłącznie zyski</w:t>
      </w:r>
      <w:r w:rsidR="00342D7E" w:rsidRPr="00342D7E">
        <w:t xml:space="preserve"> i</w:t>
      </w:r>
      <w:r w:rsidR="00342D7E">
        <w:t> </w:t>
      </w:r>
      <w:r w:rsidR="00342D7E" w:rsidRPr="00342D7E">
        <w:t>str</w:t>
      </w:r>
      <w:r w:rsidRPr="00342D7E">
        <w:t xml:space="preserve">aty wynikające ze zmiany własnego ryzyka kredytowego emitentów zobowiązań wyznaczonych jako </w:t>
      </w:r>
      <w:r w:rsidRPr="00342D7E">
        <w:lastRenderedPageBreak/>
        <w:t>wyceniane według wartości godziwej przez wynik finansowy,</w:t>
      </w:r>
      <w:r w:rsidR="00342D7E" w:rsidRPr="00342D7E">
        <w:t xml:space="preserve"> w</w:t>
      </w:r>
      <w:r w:rsidR="00342D7E">
        <w:t> </w:t>
      </w:r>
      <w:r w:rsidR="00342D7E" w:rsidRPr="00342D7E">
        <w:t>prz</w:t>
      </w:r>
      <w:r w:rsidRPr="00342D7E">
        <w:t>ypadku gdy instytucja sprawozdająca postanowiła ujmować je</w:t>
      </w:r>
      <w:r w:rsidR="00342D7E" w:rsidRPr="00342D7E">
        <w:t xml:space="preserve"> w</w:t>
      </w:r>
      <w:r w:rsidR="00342D7E">
        <w:t> </w:t>
      </w:r>
      <w:r w:rsidR="00342D7E" w:rsidRPr="00342D7E">
        <w:t>wyn</w:t>
      </w:r>
      <w:r w:rsidRPr="00342D7E">
        <w:t>iku finansowym, ponieważ ujęcie ich</w:t>
      </w:r>
      <w:r w:rsidR="00342D7E" w:rsidRPr="00342D7E">
        <w:t xml:space="preserve"> w</w:t>
      </w:r>
      <w:r w:rsidR="00342D7E">
        <w:t> </w:t>
      </w:r>
      <w:r w:rsidR="00342D7E" w:rsidRPr="00342D7E">
        <w:t>inn</w:t>
      </w:r>
      <w:r w:rsidRPr="00342D7E">
        <w:t>ych całkowitych dochodach doprowadziłoby do powstania lub zwiększenia niedopasowania księgowego.</w:t>
      </w:r>
    </w:p>
    <w:p w:rsidR="00D35B0C" w:rsidRPr="00342D7E" w:rsidRDefault="00A834F1">
      <w:pPr>
        <w:pStyle w:val="sub-subtitlenumbered"/>
        <w:jc w:val="both"/>
      </w:pPr>
      <w:bookmarkStart w:id="85" w:name="_Toc31019187"/>
      <w:r w:rsidRPr="00342D7E">
        <w:t>Zyski lub straty</w:t>
      </w:r>
      <w:r w:rsidR="00342D7E" w:rsidRPr="00342D7E">
        <w:t xml:space="preserve"> z</w:t>
      </w:r>
      <w:r w:rsidR="00342D7E">
        <w:t> </w:t>
      </w:r>
      <w:r w:rsidR="00342D7E" w:rsidRPr="00342D7E">
        <w:t>tyt</w:t>
      </w:r>
      <w:r w:rsidRPr="00342D7E">
        <w:t>ułu zaprzestania ujmowania aktywów niefinansowych (45.2)</w:t>
      </w:r>
      <w:bookmarkEnd w:id="85"/>
    </w:p>
    <w:p w:rsidR="00D35B0C" w:rsidRPr="00342D7E" w:rsidRDefault="00A834F1">
      <w:pPr>
        <w:pStyle w:val="Baseparagraphnumbered"/>
      </w:pPr>
      <w:r w:rsidRPr="00342D7E">
        <w:t>„Zyski lub straty</w:t>
      </w:r>
      <w:r w:rsidR="00342D7E" w:rsidRPr="00342D7E">
        <w:t xml:space="preserve"> z</w:t>
      </w:r>
      <w:r w:rsidR="00342D7E">
        <w:t> </w:t>
      </w:r>
      <w:r w:rsidR="00342D7E" w:rsidRPr="00342D7E">
        <w:t>tyt</w:t>
      </w:r>
      <w:r w:rsidRPr="00342D7E">
        <w:t>ułu zaprzestania ujmowania aktywów niefinansowych” dzieli się według rodzajów aktywów. Każda pozycja zawiera zyski lub straty na aktywach, które zaprzestano ujmować</w:t>
      </w:r>
      <w:r w:rsidR="00342D7E" w:rsidRPr="00342D7E">
        <w:t>. W</w:t>
      </w:r>
      <w:r w:rsidR="00342D7E">
        <w:t> </w:t>
      </w:r>
      <w:r w:rsidR="00342D7E" w:rsidRPr="00342D7E">
        <w:t>poz</w:t>
      </w:r>
      <w:r w:rsidRPr="00342D7E">
        <w:t>ycji „Inne aktywa” uwzględnia się rzeczowe aktywa trwałe, wartości niematerialne</w:t>
      </w:r>
      <w:r w:rsidR="00342D7E" w:rsidRPr="00342D7E">
        <w:t xml:space="preserve"> i</w:t>
      </w:r>
      <w:r w:rsidR="00342D7E">
        <w:t> </w:t>
      </w:r>
      <w:r w:rsidR="00342D7E" w:rsidRPr="00342D7E">
        <w:t>pra</w:t>
      </w:r>
      <w:r w:rsidRPr="00342D7E">
        <w:t>wne oraz inwestycje, których nie zgłoszono</w:t>
      </w:r>
      <w:r w:rsidR="00342D7E" w:rsidRPr="00342D7E">
        <w:t xml:space="preserve"> w</w:t>
      </w:r>
      <w:r w:rsidR="00342D7E">
        <w:t> </w:t>
      </w:r>
      <w:r w:rsidR="00342D7E" w:rsidRPr="00342D7E">
        <w:t>inn</w:t>
      </w:r>
      <w:r w:rsidRPr="00342D7E">
        <w:t>ym miejscu.</w:t>
      </w:r>
    </w:p>
    <w:p w:rsidR="00D35B0C" w:rsidRPr="00342D7E" w:rsidRDefault="00A834F1">
      <w:pPr>
        <w:pStyle w:val="sub-subtitlenumbered"/>
        <w:jc w:val="both"/>
      </w:pPr>
      <w:bookmarkStart w:id="86" w:name="_Toc31019188"/>
      <w:r w:rsidRPr="00342D7E">
        <w:t>Inne przychody</w:t>
      </w:r>
      <w:r w:rsidR="00342D7E" w:rsidRPr="00342D7E">
        <w:t xml:space="preserve"> i</w:t>
      </w:r>
      <w:r w:rsidR="00342D7E">
        <w:t> </w:t>
      </w:r>
      <w:r w:rsidR="00342D7E" w:rsidRPr="00342D7E">
        <w:t>kos</w:t>
      </w:r>
      <w:r w:rsidRPr="00342D7E">
        <w:t>zty operacyjne (45.3)</w:t>
      </w:r>
      <w:bookmarkEnd w:id="86"/>
    </w:p>
    <w:p w:rsidR="00D35B0C" w:rsidRPr="00342D7E" w:rsidRDefault="00A834F1">
      <w:pPr>
        <w:pStyle w:val="Baseparagraphnumbered"/>
      </w:pPr>
      <w:r w:rsidRPr="00342D7E">
        <w:t>Inne przychody</w:t>
      </w:r>
      <w:r w:rsidR="00342D7E" w:rsidRPr="00342D7E">
        <w:t xml:space="preserve"> i</w:t>
      </w:r>
      <w:r w:rsidR="00342D7E">
        <w:t> </w:t>
      </w:r>
      <w:r w:rsidR="00342D7E" w:rsidRPr="00342D7E">
        <w:t>kos</w:t>
      </w:r>
      <w:r w:rsidRPr="00342D7E">
        <w:t>zty operacyjne dzieli się na następujące pozycje: korekty wartości godziwej nieruchomości inwestycyjnych</w:t>
      </w:r>
      <w:r w:rsidR="00342D7E" w:rsidRPr="00342D7E">
        <w:t xml:space="preserve"> i</w:t>
      </w:r>
      <w:r w:rsidR="00342D7E">
        <w:t> </w:t>
      </w:r>
      <w:r w:rsidR="00342D7E" w:rsidRPr="00342D7E">
        <w:t>rze</w:t>
      </w:r>
      <w:r w:rsidRPr="00342D7E">
        <w:t>czowych aktywów trwałych wycenianych według modelu wartości godziwej; przychody</w:t>
      </w:r>
      <w:r w:rsidR="00342D7E" w:rsidRPr="00342D7E">
        <w:t xml:space="preserve"> z</w:t>
      </w:r>
      <w:r w:rsidR="00342D7E">
        <w:t> </w:t>
      </w:r>
      <w:r w:rsidR="00342D7E" w:rsidRPr="00342D7E">
        <w:t>naj</w:t>
      </w:r>
      <w:r w:rsidRPr="00342D7E">
        <w:t>mu</w:t>
      </w:r>
      <w:r w:rsidR="00342D7E" w:rsidRPr="00342D7E">
        <w:t xml:space="preserve"> i</w:t>
      </w:r>
      <w:r w:rsidR="00342D7E">
        <w:t> </w:t>
      </w:r>
      <w:r w:rsidR="00342D7E" w:rsidRPr="00342D7E">
        <w:t>bez</w:t>
      </w:r>
      <w:r w:rsidRPr="00342D7E">
        <w:t>pośrednie koszty operacyjne związane</w:t>
      </w:r>
      <w:r w:rsidR="00342D7E" w:rsidRPr="00342D7E">
        <w:t xml:space="preserve"> z</w:t>
      </w:r>
      <w:r w:rsidR="00342D7E">
        <w:t> </w:t>
      </w:r>
      <w:r w:rsidR="00342D7E" w:rsidRPr="00342D7E">
        <w:t>nie</w:t>
      </w:r>
      <w:r w:rsidRPr="00342D7E">
        <w:t>ruchomością inwestycyjną; przychody</w:t>
      </w:r>
      <w:r w:rsidR="00342D7E" w:rsidRPr="00342D7E">
        <w:t xml:space="preserve"> i</w:t>
      </w:r>
      <w:r w:rsidR="00342D7E">
        <w:t> </w:t>
      </w:r>
      <w:r w:rsidR="00342D7E" w:rsidRPr="00342D7E">
        <w:t>kos</w:t>
      </w:r>
      <w:r w:rsidRPr="00342D7E">
        <w:t>zty</w:t>
      </w:r>
      <w:r w:rsidR="00342D7E" w:rsidRPr="00342D7E">
        <w:t xml:space="preserve"> z</w:t>
      </w:r>
      <w:r w:rsidR="00342D7E">
        <w:t> </w:t>
      </w:r>
      <w:r w:rsidR="00342D7E" w:rsidRPr="00342D7E">
        <w:t>tyt</w:t>
      </w:r>
      <w:r w:rsidRPr="00342D7E">
        <w:t>ułu leasingu operacyjnego inne niż przychody</w:t>
      </w:r>
      <w:r w:rsidR="00342D7E" w:rsidRPr="00342D7E">
        <w:t xml:space="preserve"> i</w:t>
      </w:r>
      <w:r w:rsidR="00342D7E">
        <w:t> </w:t>
      </w:r>
      <w:r w:rsidR="00342D7E" w:rsidRPr="00342D7E">
        <w:t>kos</w:t>
      </w:r>
      <w:r w:rsidRPr="00342D7E">
        <w:t>zty związane</w:t>
      </w:r>
      <w:r w:rsidR="00342D7E" w:rsidRPr="00342D7E">
        <w:t xml:space="preserve"> z</w:t>
      </w:r>
      <w:r w:rsidR="00342D7E">
        <w:t> </w:t>
      </w:r>
      <w:r w:rsidR="00342D7E" w:rsidRPr="00342D7E">
        <w:t>nie</w:t>
      </w:r>
      <w:r w:rsidRPr="00342D7E">
        <w:t>ruchomością inwestycyjną oraz pozostałe przychody</w:t>
      </w:r>
      <w:r w:rsidR="00342D7E" w:rsidRPr="00342D7E">
        <w:t xml:space="preserve"> i</w:t>
      </w:r>
      <w:r w:rsidR="00342D7E">
        <w:t> </w:t>
      </w:r>
      <w:r w:rsidR="00342D7E" w:rsidRPr="00342D7E">
        <w:t>kos</w:t>
      </w:r>
      <w:r w:rsidRPr="00342D7E">
        <w:t xml:space="preserve">zty operacyjne. </w:t>
      </w:r>
    </w:p>
    <w:p w:rsidR="00D35B0C" w:rsidRPr="00342D7E" w:rsidRDefault="00A834F1">
      <w:pPr>
        <w:pStyle w:val="Baseparagraphnumbered"/>
      </w:pPr>
      <w:r w:rsidRPr="00342D7E">
        <w:t>„Leasingi operacyjne inne niż nieruchomości inwestycyjne” obejmują,</w:t>
      </w:r>
      <w:r w:rsidR="00342D7E" w:rsidRPr="00342D7E">
        <w:t xml:space="preserve"> w</w:t>
      </w:r>
      <w:r w:rsidR="00342D7E">
        <w:t> </w:t>
      </w:r>
      <w:r w:rsidR="00342D7E" w:rsidRPr="00342D7E">
        <w:t>kol</w:t>
      </w:r>
      <w:r w:rsidRPr="00342D7E">
        <w:t>umnie „przychody” osiągnięty zysk,</w:t>
      </w:r>
      <w:r w:rsidR="00342D7E" w:rsidRPr="00342D7E">
        <w:t xml:space="preserve"> a</w:t>
      </w:r>
      <w:r w:rsidR="00342D7E">
        <w:t> </w:t>
      </w:r>
      <w:r w:rsidR="00342D7E" w:rsidRPr="00342D7E">
        <w:t>w</w:t>
      </w:r>
      <w:r w:rsidR="00342D7E">
        <w:t> </w:t>
      </w:r>
      <w:r w:rsidR="00342D7E" w:rsidRPr="00342D7E">
        <w:t>kol</w:t>
      </w:r>
      <w:r w:rsidRPr="00342D7E">
        <w:t>umnie „koszty” – koszty poniesione przez instytucję jako leasingodawcę</w:t>
      </w:r>
      <w:r w:rsidR="00342D7E" w:rsidRPr="00342D7E">
        <w:t xml:space="preserve"> w</w:t>
      </w:r>
      <w:r w:rsidR="00342D7E">
        <w:t> </w:t>
      </w:r>
      <w:r w:rsidR="00342D7E" w:rsidRPr="00342D7E">
        <w:t>ram</w:t>
      </w:r>
      <w:r w:rsidRPr="00342D7E">
        <w:t>ach działań</w:t>
      </w:r>
      <w:r w:rsidR="00342D7E" w:rsidRPr="00342D7E">
        <w:t xml:space="preserve"> w</w:t>
      </w:r>
      <w:r w:rsidR="00342D7E">
        <w:t> </w:t>
      </w:r>
      <w:r w:rsidR="00342D7E" w:rsidRPr="00342D7E">
        <w:t>zak</w:t>
      </w:r>
      <w:r w:rsidRPr="00342D7E">
        <w:t>resie leasingu operacyjnego innych niż te,</w:t>
      </w:r>
      <w:r w:rsidR="00342D7E" w:rsidRPr="00342D7E">
        <w:t xml:space="preserve"> w</w:t>
      </w:r>
      <w:r w:rsidR="00342D7E">
        <w:t> </w:t>
      </w:r>
      <w:r w:rsidR="00342D7E" w:rsidRPr="00342D7E">
        <w:t>któ</w:t>
      </w:r>
      <w:r w:rsidRPr="00342D7E">
        <w:t>rych aktywa klasyfikuje się jako nieruchomości inwestycyjne. Koszty ponoszone przez instytucję jako leasingobiorcę uwzględnia się</w:t>
      </w:r>
      <w:r w:rsidR="00342D7E" w:rsidRPr="00342D7E">
        <w:t xml:space="preserve"> w</w:t>
      </w:r>
      <w:r w:rsidR="00342D7E">
        <w:t> </w:t>
      </w:r>
      <w:r w:rsidR="00342D7E" w:rsidRPr="00342D7E">
        <w:t>poz</w:t>
      </w:r>
      <w:r w:rsidRPr="00342D7E">
        <w:t>ycji „Pozostałe koszty administracyjne”.</w:t>
      </w:r>
    </w:p>
    <w:p w:rsidR="00D35B0C" w:rsidRPr="00342D7E" w:rsidRDefault="00A834F1">
      <w:pPr>
        <w:pStyle w:val="Baseparagraphnumbered"/>
      </w:pPr>
      <w:r w:rsidRPr="00342D7E">
        <w:t>Zyski lub straty</w:t>
      </w:r>
      <w:r w:rsidR="00342D7E" w:rsidRPr="00342D7E">
        <w:t xml:space="preserve"> z</w:t>
      </w:r>
      <w:r w:rsidR="00342D7E">
        <w:t> </w:t>
      </w:r>
      <w:r w:rsidR="00342D7E" w:rsidRPr="00342D7E">
        <w:t>tyt</w:t>
      </w:r>
      <w:r w:rsidRPr="00342D7E">
        <w:t>ułu zaprzestania ujmowania</w:t>
      </w:r>
      <w:r w:rsidR="00342D7E" w:rsidRPr="00342D7E">
        <w:t xml:space="preserve"> i</w:t>
      </w:r>
      <w:r w:rsidR="00342D7E">
        <w:t> </w:t>
      </w:r>
      <w:r w:rsidR="00342D7E" w:rsidRPr="00342D7E">
        <w:t>akt</w:t>
      </w:r>
      <w:r w:rsidRPr="00342D7E">
        <w:t>ualizacji wyceny portfeli złota, innych metali szlachetnych</w:t>
      </w:r>
      <w:r w:rsidR="00342D7E" w:rsidRPr="00342D7E">
        <w:t xml:space="preserve"> i</w:t>
      </w:r>
      <w:r w:rsidR="00342D7E">
        <w:t> </w:t>
      </w:r>
      <w:r w:rsidR="00342D7E" w:rsidRPr="00342D7E">
        <w:t>inn</w:t>
      </w:r>
      <w:r w:rsidRPr="00342D7E">
        <w:t>ych towarów wycenianych według wartości godziwej, pomniejszonej</w:t>
      </w:r>
      <w:r w:rsidR="00342D7E" w:rsidRPr="00342D7E">
        <w:t xml:space="preserve"> o</w:t>
      </w:r>
      <w:r w:rsidR="00342D7E">
        <w:t> </w:t>
      </w:r>
      <w:r w:rsidR="00342D7E" w:rsidRPr="00342D7E">
        <w:t>kos</w:t>
      </w:r>
      <w:r w:rsidRPr="00342D7E">
        <w:t>zty sprzedaży, zgłasza się</w:t>
      </w:r>
      <w:r w:rsidR="00342D7E" w:rsidRPr="00342D7E">
        <w:t xml:space="preserve"> w</w:t>
      </w:r>
      <w:r w:rsidR="00342D7E">
        <w:t> </w:t>
      </w:r>
      <w:r w:rsidR="00342D7E" w:rsidRPr="00342D7E">
        <w:t>poz</w:t>
      </w:r>
      <w:r w:rsidRPr="00342D7E">
        <w:t>ycjach uwzględnionych</w:t>
      </w:r>
      <w:r w:rsidR="00342D7E" w:rsidRPr="00342D7E">
        <w:t xml:space="preserve"> w</w:t>
      </w:r>
      <w:r w:rsidR="00342D7E">
        <w:t> </w:t>
      </w:r>
      <w:r w:rsidR="00342D7E" w:rsidRPr="00342D7E">
        <w:t>sek</w:t>
      </w:r>
      <w:r w:rsidRPr="00342D7E">
        <w:t>cji „Pozostałe przychody operacyjne. Inne” lub „Pozostałe koszty operacyjne. Inne”.</w:t>
      </w:r>
    </w:p>
    <w:p w:rsidR="00D35B0C" w:rsidRPr="00342D7E" w:rsidRDefault="00A834F1">
      <w:pPr>
        <w:pStyle w:val="subtitlenumbered"/>
        <w:jc w:val="both"/>
      </w:pPr>
      <w:bookmarkStart w:id="87" w:name="_Toc31019189"/>
      <w:r w:rsidRPr="00342D7E">
        <w:t>Sprawozdanie ze zmian</w:t>
      </w:r>
      <w:r w:rsidR="00342D7E" w:rsidRPr="00342D7E">
        <w:t xml:space="preserve"> w</w:t>
      </w:r>
      <w:r w:rsidR="00342D7E">
        <w:t> </w:t>
      </w:r>
      <w:r w:rsidR="00342D7E" w:rsidRPr="00342D7E">
        <w:t>kap</w:t>
      </w:r>
      <w:r w:rsidRPr="00342D7E">
        <w:t>itale własnym (46)</w:t>
      </w:r>
      <w:bookmarkEnd w:id="87"/>
    </w:p>
    <w:p w:rsidR="00D35B0C" w:rsidRPr="00342D7E" w:rsidRDefault="00A834F1">
      <w:pPr>
        <w:pStyle w:val="Baseparagraphnumbered"/>
      </w:pPr>
      <w:r w:rsidRPr="00342D7E">
        <w:t>W sprawozdaniu ze zmian</w:t>
      </w:r>
      <w:r w:rsidR="00342D7E" w:rsidRPr="00342D7E">
        <w:t xml:space="preserve"> w</w:t>
      </w:r>
      <w:r w:rsidR="00342D7E">
        <w:t> </w:t>
      </w:r>
      <w:r w:rsidR="00342D7E" w:rsidRPr="00342D7E">
        <w:t>kap</w:t>
      </w:r>
      <w:r w:rsidRPr="00342D7E">
        <w:t>itale własnym ujawnia się uzgodnienie między wartością bilansową na początku okresu (saldo początkowe) i na koniec okresu (saldo końcowe)</w:t>
      </w:r>
      <w:r w:rsidR="00342D7E" w:rsidRPr="00342D7E">
        <w:t xml:space="preserve"> w</w:t>
      </w:r>
      <w:r w:rsidR="00342D7E">
        <w:t> </w:t>
      </w:r>
      <w:r w:rsidR="00342D7E" w:rsidRPr="00342D7E">
        <w:t>odn</w:t>
      </w:r>
      <w:r w:rsidRPr="00342D7E">
        <w:t>iesieniu do każdego składnika kapitału własnego.</w:t>
      </w:r>
    </w:p>
    <w:p w:rsidR="00D35B0C" w:rsidRPr="00342D7E" w:rsidRDefault="00A834F1">
      <w:pPr>
        <w:pStyle w:val="Baseparagraphnumbered"/>
        <w:rPr>
          <w:caps/>
        </w:rPr>
      </w:pPr>
      <w:r w:rsidRPr="00342D7E">
        <w:t>W pozycji „Transfery między składnikami kapitału własnego” uwzględnia się wszystkie kwoty przeniesione</w:t>
      </w:r>
      <w:r w:rsidR="00342D7E" w:rsidRPr="00342D7E">
        <w:t xml:space="preserve"> w</w:t>
      </w:r>
      <w:r w:rsidR="00342D7E">
        <w:t> </w:t>
      </w:r>
      <w:r w:rsidR="00342D7E" w:rsidRPr="00342D7E">
        <w:t>ram</w:t>
      </w:r>
      <w:r w:rsidRPr="00342D7E">
        <w:t>ach kapitału własnego,</w:t>
      </w:r>
      <w:r w:rsidR="00342D7E" w:rsidRPr="00342D7E">
        <w:t xml:space="preserve"> w</w:t>
      </w:r>
      <w:r w:rsidR="00342D7E">
        <w:t> </w:t>
      </w:r>
      <w:r w:rsidR="00342D7E" w:rsidRPr="00342D7E">
        <w:t>tym</w:t>
      </w:r>
      <w:r w:rsidRPr="00342D7E">
        <w:t xml:space="preserve"> zarówno zyski</w:t>
      </w:r>
      <w:r w:rsidR="00342D7E" w:rsidRPr="00342D7E">
        <w:t xml:space="preserve"> i</w:t>
      </w:r>
      <w:r w:rsidR="00342D7E">
        <w:t> </w:t>
      </w:r>
      <w:r w:rsidR="00342D7E" w:rsidRPr="00342D7E">
        <w:t>str</w:t>
      </w:r>
      <w:r w:rsidRPr="00342D7E">
        <w:t>aty spowodowane własnym ryzykiem kredytowym związanym ze zobowiązaniami wyznaczonymi jako wyceniane według wartości godziwej przez wynik finansowy, jak również skumulowane zmiany wartości godziwej instrumentów kapitałowych wycenianych według wartości godziwej przez inne całkowite dochody, które przenosi się do pozostałych składników kapitału własnego</w:t>
      </w:r>
      <w:r w:rsidR="00342D7E" w:rsidRPr="00342D7E">
        <w:t xml:space="preserve"> w</w:t>
      </w:r>
      <w:r w:rsidR="00342D7E">
        <w:t> </w:t>
      </w:r>
      <w:r w:rsidR="00342D7E" w:rsidRPr="00342D7E">
        <w:t>mom</w:t>
      </w:r>
      <w:r w:rsidRPr="00342D7E">
        <w:t xml:space="preserve">encie zaprzestania ich ujmowania. </w:t>
      </w:r>
    </w:p>
    <w:p w:rsidR="00D35B0C" w:rsidRPr="00342D7E" w:rsidRDefault="004C5086">
      <w:pPr>
        <w:pStyle w:val="subtitlenumbered"/>
        <w:jc w:val="both"/>
      </w:pPr>
      <w:bookmarkStart w:id="88" w:name="_Toc31019190"/>
      <w:r w:rsidRPr="00342D7E">
        <w:lastRenderedPageBreak/>
        <w:t>KREDYTY I ZALICZKI: INFORMACJE DODATKOWE (23)</w:t>
      </w:r>
      <w:bookmarkEnd w:id="88"/>
    </w:p>
    <w:p w:rsidR="00D35B0C" w:rsidRPr="00342D7E" w:rsidRDefault="004C5086">
      <w:pPr>
        <w:pStyle w:val="Baseparagraphnumbered"/>
      </w:pPr>
      <w:r w:rsidRPr="00342D7E">
        <w:t>Wzór 23 przedstawia dodatkowe informacje dotyczące kredytów</w:t>
      </w:r>
      <w:r w:rsidR="00342D7E" w:rsidRPr="00342D7E">
        <w:t xml:space="preserve"> i</w:t>
      </w:r>
      <w:r w:rsidR="00342D7E">
        <w:t> </w:t>
      </w:r>
      <w:r w:rsidR="00342D7E" w:rsidRPr="00342D7E">
        <w:t>zal</w:t>
      </w:r>
      <w:r w:rsidRPr="00342D7E">
        <w:t>iczek,</w:t>
      </w:r>
      <w:r w:rsidR="00342D7E" w:rsidRPr="00342D7E">
        <w:t xml:space="preserve"> w</w:t>
      </w:r>
      <w:r w:rsidR="00342D7E">
        <w:t> </w:t>
      </w:r>
      <w:r w:rsidR="00342D7E" w:rsidRPr="00342D7E">
        <w:t>wył</w:t>
      </w:r>
      <w:r w:rsidRPr="00342D7E">
        <w:t>ączeniem kredytów</w:t>
      </w:r>
      <w:r w:rsidR="00342D7E" w:rsidRPr="00342D7E">
        <w:t xml:space="preserve"> i</w:t>
      </w:r>
      <w:r w:rsidR="00342D7E">
        <w:t> </w:t>
      </w:r>
      <w:r w:rsidR="00342D7E" w:rsidRPr="00342D7E">
        <w:t>zal</w:t>
      </w:r>
      <w:r w:rsidRPr="00342D7E">
        <w:t>iczek zaklasyfikowanych jako przeznaczone do obrotu, aktywa finansowe</w:t>
      </w:r>
      <w:r w:rsidR="00342D7E" w:rsidRPr="00342D7E">
        <w:t xml:space="preserve"> z</w:t>
      </w:r>
      <w:r w:rsidR="00342D7E">
        <w:t> </w:t>
      </w:r>
      <w:r w:rsidR="00342D7E" w:rsidRPr="00342D7E">
        <w:t>prz</w:t>
      </w:r>
      <w:r w:rsidRPr="00342D7E">
        <w:t>eznaczeniem do obrotu</w:t>
      </w:r>
      <w:r w:rsidR="00342D7E" w:rsidRPr="00342D7E">
        <w:t xml:space="preserve"> i</w:t>
      </w:r>
      <w:r w:rsidR="00342D7E">
        <w:t> </w:t>
      </w:r>
      <w:r w:rsidR="00342D7E" w:rsidRPr="00342D7E">
        <w:t>ins</w:t>
      </w:r>
      <w:r w:rsidRPr="00342D7E">
        <w:t xml:space="preserve">trumenty dłużne przeznaczone do sprzedaży. </w:t>
      </w:r>
    </w:p>
    <w:p w:rsidR="00D35B0C" w:rsidRPr="00342D7E" w:rsidRDefault="004C5086">
      <w:pPr>
        <w:pStyle w:val="Baseparagraphnumbered"/>
      </w:pPr>
      <w:r w:rsidRPr="00342D7E">
        <w:t>Do celów określenia „liczby instrumentów” instrument należy rozumieć jako produkt bankowy</w:t>
      </w:r>
      <w:r w:rsidR="00342D7E" w:rsidRPr="00342D7E">
        <w:t xml:space="preserve"> z</w:t>
      </w:r>
      <w:r w:rsidR="00342D7E">
        <w:t> </w:t>
      </w:r>
      <w:r w:rsidR="00342D7E" w:rsidRPr="00342D7E">
        <w:t>poz</w:t>
      </w:r>
      <w:r w:rsidRPr="00342D7E">
        <w:t>ostającą kwotą należności oraz,</w:t>
      </w:r>
      <w:r w:rsidR="00342D7E" w:rsidRPr="00342D7E">
        <w:t xml:space="preserve"> w</w:t>
      </w:r>
      <w:r w:rsidR="00342D7E">
        <w:t> </w:t>
      </w:r>
      <w:r w:rsidR="00342D7E" w:rsidRPr="00342D7E">
        <w:t>sto</w:t>
      </w:r>
      <w:r w:rsidRPr="00342D7E">
        <w:t>sownych przypadkach, limitem kredytowym, zwykle powiązanym</w:t>
      </w:r>
      <w:r w:rsidR="00342D7E" w:rsidRPr="00342D7E">
        <w:t xml:space="preserve"> z</w:t>
      </w:r>
      <w:r w:rsidR="00342D7E">
        <w:t> </w:t>
      </w:r>
      <w:r w:rsidR="00342D7E" w:rsidRPr="00342D7E">
        <w:t>rac</w:t>
      </w:r>
      <w:r w:rsidRPr="00342D7E">
        <w:t>hunkiem. Ekspozycja wobec określonego kontrahenta może składać się</w:t>
      </w:r>
      <w:r w:rsidR="00342D7E" w:rsidRPr="00342D7E">
        <w:t xml:space="preserve"> z</w:t>
      </w:r>
      <w:r w:rsidR="00342D7E">
        <w:t> </w:t>
      </w:r>
      <w:r w:rsidR="00342D7E" w:rsidRPr="00342D7E">
        <w:t>kil</w:t>
      </w:r>
      <w:r w:rsidRPr="00342D7E">
        <w:t>ku instrumentów. Liczbę instrumentów określa się na podstawie sposobu,</w:t>
      </w:r>
      <w:r w:rsidR="00342D7E" w:rsidRPr="00342D7E">
        <w:t xml:space="preserve"> w</w:t>
      </w:r>
      <w:r w:rsidR="00342D7E">
        <w:t> </w:t>
      </w:r>
      <w:r w:rsidR="00342D7E" w:rsidRPr="00342D7E">
        <w:t>jak</w:t>
      </w:r>
      <w:r w:rsidRPr="00342D7E">
        <w:t>i instytucja zarządza ekspozycją. Liczbę instrumentów wskazuje się oddzielnie dla ekspozycji „na etapie przedsądowym” oraz ekspozycji „na etapie postępowania sądowego”, jak określono</w:t>
      </w:r>
      <w:r w:rsidR="00342D7E" w:rsidRPr="00342D7E">
        <w:t xml:space="preserve"> w</w:t>
      </w:r>
      <w:r w:rsidR="00342D7E">
        <w:t> </w:t>
      </w:r>
      <w:r w:rsidR="00342D7E" w:rsidRPr="00342D7E">
        <w:t>pkt </w:t>
      </w:r>
      <w:r w:rsidRPr="00342D7E">
        <w:t>321</w:t>
      </w:r>
      <w:r w:rsidR="00342D7E" w:rsidRPr="00342D7E">
        <w:t xml:space="preserve"> i</w:t>
      </w:r>
      <w:r w:rsidR="00342D7E">
        <w:t> </w:t>
      </w:r>
      <w:r w:rsidR="00342D7E" w:rsidRPr="00342D7E">
        <w:t>3</w:t>
      </w:r>
      <w:r w:rsidRPr="00342D7E">
        <w:t>22 niniejszej części.</w:t>
      </w:r>
    </w:p>
    <w:p w:rsidR="00D35B0C" w:rsidRPr="00342D7E" w:rsidRDefault="004C5086">
      <w:pPr>
        <w:pStyle w:val="Baseparagraphnumbered"/>
      </w:pPr>
      <w:r w:rsidRPr="00342D7E">
        <w:t>Ekspozycja powinna posiadać status „na etapie przedsądowym”</w:t>
      </w:r>
      <w:r w:rsidR="00342D7E" w:rsidRPr="00342D7E">
        <w:t xml:space="preserve"> w</w:t>
      </w:r>
      <w:r w:rsidR="00342D7E">
        <w:t> </w:t>
      </w:r>
      <w:r w:rsidR="00342D7E" w:rsidRPr="00342D7E">
        <w:t>prz</w:t>
      </w:r>
      <w:r w:rsidRPr="00342D7E">
        <w:t>ypadku, gdy dłużnik został formalnie poinformowany, że</w:t>
      </w:r>
      <w:r w:rsidR="00342D7E" w:rsidRPr="00342D7E">
        <w:t xml:space="preserve"> w</w:t>
      </w:r>
      <w:r w:rsidR="00342D7E">
        <w:t> </w:t>
      </w:r>
      <w:r w:rsidR="00342D7E" w:rsidRPr="00342D7E">
        <w:t>okr</w:t>
      </w:r>
      <w:r w:rsidRPr="00342D7E">
        <w:t>eślonym czasie instytucja podejmie przeciwko niemu kroki prawne, jeżeli nie zostaną spełnione określone obowiązki wynikające</w:t>
      </w:r>
      <w:r w:rsidR="00342D7E" w:rsidRPr="00342D7E">
        <w:t xml:space="preserve"> z</w:t>
      </w:r>
      <w:r w:rsidR="00342D7E">
        <w:t> </w:t>
      </w:r>
      <w:r w:rsidR="00342D7E" w:rsidRPr="00342D7E">
        <w:t>umo</w:t>
      </w:r>
      <w:r w:rsidRPr="00342D7E">
        <w:t>wy lub inne obowiązki</w:t>
      </w:r>
      <w:r w:rsidR="00342D7E" w:rsidRPr="00342D7E">
        <w:t xml:space="preserve"> w</w:t>
      </w:r>
      <w:r w:rsidR="00342D7E">
        <w:t> </w:t>
      </w:r>
      <w:r w:rsidR="00342D7E" w:rsidRPr="00342D7E">
        <w:t>zak</w:t>
      </w:r>
      <w:r w:rsidRPr="00342D7E">
        <w:t>resie płatności. Obejmuje to również przypadki,</w:t>
      </w:r>
      <w:r w:rsidR="00342D7E" w:rsidRPr="00342D7E">
        <w:t xml:space="preserve"> w</w:t>
      </w:r>
      <w:r w:rsidR="00342D7E">
        <w:t> </w:t>
      </w:r>
      <w:r w:rsidR="00342D7E" w:rsidRPr="00342D7E">
        <w:t>któ</w:t>
      </w:r>
      <w:r w:rsidRPr="00342D7E">
        <w:t>rych instytucja sprawozdająca wypowiedziała umowę, ponieważ dłużnik formalnie złamał jej warunki</w:t>
      </w:r>
      <w:r w:rsidR="00342D7E" w:rsidRPr="00342D7E">
        <w:t xml:space="preserve"> i</w:t>
      </w:r>
      <w:r w:rsidR="00342D7E">
        <w:t> </w:t>
      </w:r>
      <w:r w:rsidR="00342D7E" w:rsidRPr="00342D7E">
        <w:t>zos</w:t>
      </w:r>
      <w:r w:rsidRPr="00342D7E">
        <w:t>tał</w:t>
      </w:r>
      <w:r w:rsidR="00342D7E" w:rsidRPr="00342D7E">
        <w:t xml:space="preserve"> o</w:t>
      </w:r>
      <w:r w:rsidR="00342D7E">
        <w:t> </w:t>
      </w:r>
      <w:r w:rsidR="00342D7E" w:rsidRPr="00342D7E">
        <w:t>tym</w:t>
      </w:r>
      <w:r w:rsidRPr="00342D7E">
        <w:t xml:space="preserve"> odpowiednio poinformowany, ale instytucja nie podjęła jeszcze względem niego żadnych działań prawnych. Ekspozycje sklasyfikowane jako „na etapie przedsądowym” mogą być wyłączone</w:t>
      </w:r>
      <w:r w:rsidR="00342D7E" w:rsidRPr="00342D7E">
        <w:t xml:space="preserve"> z</w:t>
      </w:r>
      <w:r w:rsidR="00342D7E">
        <w:t> </w:t>
      </w:r>
      <w:r w:rsidR="00342D7E" w:rsidRPr="00342D7E">
        <w:t>tej</w:t>
      </w:r>
      <w:r w:rsidRPr="00342D7E">
        <w:t xml:space="preserve"> klasyfikacji, jeżeli nastąpi spłata zaległych kwot lub jeżeli znajdą się „na etapie postępowania sądowego”, jak określono</w:t>
      </w:r>
      <w:r w:rsidR="00342D7E" w:rsidRPr="00342D7E">
        <w:t xml:space="preserve"> w</w:t>
      </w:r>
      <w:r w:rsidR="00342D7E">
        <w:t> </w:t>
      </w:r>
      <w:r w:rsidR="00342D7E" w:rsidRPr="00342D7E">
        <w:t>kol</w:t>
      </w:r>
      <w:r w:rsidRPr="00342D7E">
        <w:t>ejnym punkcie.</w:t>
      </w:r>
    </w:p>
    <w:p w:rsidR="00D35B0C" w:rsidRPr="00342D7E" w:rsidRDefault="004C5086">
      <w:pPr>
        <w:pStyle w:val="Baseparagraphnumbered"/>
      </w:pPr>
      <w:r w:rsidRPr="00342D7E">
        <w:t>Ekspozycja znajduje się „na etapie postępowania sądowego”</w:t>
      </w:r>
      <w:r w:rsidR="00342D7E" w:rsidRPr="00342D7E">
        <w:t xml:space="preserve"> w</w:t>
      </w:r>
      <w:r w:rsidR="00342D7E">
        <w:t> </w:t>
      </w:r>
      <w:r w:rsidR="00342D7E" w:rsidRPr="00342D7E">
        <w:t>prz</w:t>
      </w:r>
      <w:r w:rsidRPr="00342D7E">
        <w:t>ypadku, gdy formalnie podjęto kroki prawne przeciwko dłużnikowi. Obejmuje to przypadki,</w:t>
      </w:r>
      <w:r w:rsidR="00342D7E" w:rsidRPr="00342D7E">
        <w:t xml:space="preserve"> w</w:t>
      </w:r>
      <w:r w:rsidR="00342D7E">
        <w:t> </w:t>
      </w:r>
      <w:r w:rsidR="00342D7E" w:rsidRPr="00342D7E">
        <w:t>któ</w:t>
      </w:r>
      <w:r w:rsidRPr="00342D7E">
        <w:t>rych sąd potwierdził, że miało miejsce formalne postępowanie sądowe lub system sądownictwa poinformowano</w:t>
      </w:r>
      <w:r w:rsidR="00342D7E" w:rsidRPr="00342D7E">
        <w:t xml:space="preserve"> o</w:t>
      </w:r>
      <w:r w:rsidR="00342D7E">
        <w:t> </w:t>
      </w:r>
      <w:r w:rsidR="00342D7E" w:rsidRPr="00342D7E">
        <w:t>zam</w:t>
      </w:r>
      <w:r w:rsidRPr="00342D7E">
        <w:t xml:space="preserve">iarze wszczęcia postępowania sądowego. </w:t>
      </w:r>
    </w:p>
    <w:p w:rsidR="00D35B0C" w:rsidRPr="00342D7E" w:rsidRDefault="004C5086">
      <w:pPr>
        <w:pStyle w:val="Baseparagraphnumbered"/>
      </w:pPr>
      <w:r w:rsidRPr="00342D7E">
        <w:t>Pozycja „Niezabezpieczone kredyty</w:t>
      </w:r>
      <w:r w:rsidR="00342D7E" w:rsidRPr="00342D7E">
        <w:t xml:space="preserve"> i</w:t>
      </w:r>
      <w:r w:rsidR="00342D7E">
        <w:t> </w:t>
      </w:r>
      <w:r w:rsidR="00342D7E" w:rsidRPr="00342D7E">
        <w:t>zal</w:t>
      </w:r>
      <w:r w:rsidRPr="00342D7E">
        <w:t>iczki nieobjęte gwarancjami” odnosi się do ekspozycji,</w:t>
      </w:r>
      <w:r w:rsidR="00342D7E" w:rsidRPr="00342D7E">
        <w:t xml:space="preserve"> w</w:t>
      </w:r>
      <w:r w:rsidR="00342D7E">
        <w:t> </w:t>
      </w:r>
      <w:r w:rsidR="00342D7E" w:rsidRPr="00342D7E">
        <w:t>prz</w:t>
      </w:r>
      <w:r w:rsidRPr="00342D7E">
        <w:t>ypadku których nie ustanowiono zabezpieczenia ani nie otrzymano gwarancji finansowych; nie uwzględnia się niezabezpieczonej części ekspozycji częściowo zabezpieczonej lub częściowo gwarantowanej.</w:t>
      </w:r>
    </w:p>
    <w:p w:rsidR="00D35B0C" w:rsidRPr="00342D7E" w:rsidRDefault="004C5086">
      <w:pPr>
        <w:pStyle w:val="Baseparagraphnumbered"/>
      </w:pPr>
      <w:r w:rsidRPr="00342D7E">
        <w:t>Kredyty</w:t>
      </w:r>
      <w:r w:rsidR="00342D7E" w:rsidRPr="00342D7E">
        <w:t xml:space="preserve"> i</w:t>
      </w:r>
      <w:r w:rsidR="00342D7E">
        <w:t> </w:t>
      </w:r>
      <w:r w:rsidR="00342D7E" w:rsidRPr="00342D7E">
        <w:t>zal</w:t>
      </w:r>
      <w:r w:rsidRPr="00342D7E">
        <w:t>iczki</w:t>
      </w:r>
      <w:r w:rsidR="00342D7E" w:rsidRPr="00342D7E">
        <w:t xml:space="preserve"> o</w:t>
      </w:r>
      <w:r w:rsidR="00342D7E">
        <w:t> </w:t>
      </w:r>
      <w:r w:rsidR="00342D7E" w:rsidRPr="00342D7E">
        <w:t>sku</w:t>
      </w:r>
      <w:r w:rsidRPr="00342D7E">
        <w:t>mulowanym wskaźniku pokrycia wynoszącym ponad 90</w:t>
      </w:r>
      <w:r w:rsidR="00342D7E" w:rsidRPr="00342D7E">
        <w:t> </w:t>
      </w:r>
      <w:r w:rsidRPr="00342D7E">
        <w:t>% zgłasza się oddzielnie</w:t>
      </w:r>
      <w:r w:rsidR="00342D7E" w:rsidRPr="00342D7E">
        <w:t>. W</w:t>
      </w:r>
      <w:r w:rsidR="00342D7E">
        <w:t> </w:t>
      </w:r>
      <w:r w:rsidR="00342D7E" w:rsidRPr="00342D7E">
        <w:t>tym</w:t>
      </w:r>
      <w:r w:rsidRPr="00342D7E">
        <w:t xml:space="preserve"> celu „skumulowany wskaźnik pokrycia” oznacza stosunek skumulowanej utraty wartości, odpowiednio skumulowanych ujemnych zmian wartości godziwej</w:t>
      </w:r>
      <w:r w:rsidR="00342D7E" w:rsidRPr="00342D7E">
        <w:t xml:space="preserve"> z</w:t>
      </w:r>
      <w:r w:rsidR="00342D7E">
        <w:t> </w:t>
      </w:r>
      <w:r w:rsidR="00342D7E" w:rsidRPr="00342D7E">
        <w:t>pow</w:t>
      </w:r>
      <w:r w:rsidRPr="00342D7E">
        <w:t>odu ryzyka kredytowego związanego</w:t>
      </w:r>
      <w:r w:rsidR="00342D7E" w:rsidRPr="00342D7E">
        <w:t xml:space="preserve"> z</w:t>
      </w:r>
      <w:r w:rsidR="00342D7E">
        <w:t> </w:t>
      </w:r>
      <w:r w:rsidR="00342D7E" w:rsidRPr="00342D7E">
        <w:t>kre</w:t>
      </w:r>
      <w:r w:rsidRPr="00342D7E">
        <w:t>dytem lub zaliczką (w liczniku) do wartości bilansowej brutto tego kredytu lub zaliczki (w mianowniku).</w:t>
      </w:r>
    </w:p>
    <w:p w:rsidR="00D35B0C" w:rsidRPr="00342D7E" w:rsidRDefault="004C5086">
      <w:pPr>
        <w:pStyle w:val="Baseparagraphnumbered"/>
      </w:pPr>
      <w:r w:rsidRPr="00342D7E">
        <w:t>Kredyty zabezpieczone nieruchomościami, jak określono</w:t>
      </w:r>
      <w:r w:rsidR="00342D7E" w:rsidRPr="00342D7E">
        <w:t xml:space="preserve"> w</w:t>
      </w:r>
      <w:r w:rsidR="00342D7E">
        <w:t> </w:t>
      </w:r>
      <w:r w:rsidR="00342D7E" w:rsidRPr="00342D7E">
        <w:t>pkt </w:t>
      </w:r>
      <w:r w:rsidRPr="00342D7E">
        <w:t>86 lit.</w:t>
      </w:r>
      <w:r w:rsidR="00342D7E" w:rsidRPr="00342D7E">
        <w:t> </w:t>
      </w:r>
      <w:r w:rsidRPr="00342D7E">
        <w:t>a) oraz 87 niniejszej części,</w:t>
      </w:r>
      <w:r w:rsidR="00342D7E" w:rsidRPr="00342D7E">
        <w:t xml:space="preserve"> a</w:t>
      </w:r>
      <w:r w:rsidR="00342D7E">
        <w:t> </w:t>
      </w:r>
      <w:r w:rsidR="00342D7E" w:rsidRPr="00342D7E">
        <w:t>tak</w:t>
      </w:r>
      <w:r w:rsidRPr="00342D7E">
        <w:t>że kredyty na zakup nieruchomości komercyjnych, jak określono</w:t>
      </w:r>
      <w:r w:rsidR="00342D7E" w:rsidRPr="00342D7E">
        <w:t xml:space="preserve"> w</w:t>
      </w:r>
      <w:r w:rsidR="00342D7E">
        <w:t> </w:t>
      </w:r>
      <w:r w:rsidR="00342D7E" w:rsidRPr="00342D7E">
        <w:t>pkt </w:t>
      </w:r>
      <w:r w:rsidRPr="00342D7E">
        <w:t>239ix niniejszej części, zgłasza się</w:t>
      </w:r>
      <w:r w:rsidR="00342D7E" w:rsidRPr="00342D7E">
        <w:t xml:space="preserve"> </w:t>
      </w:r>
      <w:r w:rsidR="00342D7E" w:rsidRPr="00342D7E">
        <w:lastRenderedPageBreak/>
        <w:t>w</w:t>
      </w:r>
      <w:r w:rsidR="00342D7E">
        <w:t> </w:t>
      </w:r>
      <w:r w:rsidR="00342D7E" w:rsidRPr="00342D7E">
        <w:t>wed</w:t>
      </w:r>
      <w:r w:rsidRPr="00342D7E">
        <w:t>ług wskaźnika określającego stosunek kwoty kredytu do wartości jego zabezpieczenia (wskaźnik LTV), jak określono</w:t>
      </w:r>
      <w:r w:rsidR="00342D7E" w:rsidRPr="00342D7E">
        <w:t xml:space="preserve"> w</w:t>
      </w:r>
      <w:r w:rsidR="00342D7E">
        <w:t> </w:t>
      </w:r>
      <w:r w:rsidR="00342D7E" w:rsidRPr="00342D7E">
        <w:t>pkt </w:t>
      </w:r>
      <w:r w:rsidRPr="00342D7E">
        <w:t>239x niniejszej części.</w:t>
      </w:r>
    </w:p>
    <w:p w:rsidR="00D35B0C" w:rsidRPr="00342D7E" w:rsidRDefault="004C5086">
      <w:pPr>
        <w:pStyle w:val="Baseparagraphnumbered"/>
      </w:pPr>
      <w:r w:rsidRPr="00342D7E">
        <w:t>Informacje dotyczące ustanowionych zabezpieczeń</w:t>
      </w:r>
      <w:r w:rsidR="00342D7E" w:rsidRPr="00342D7E">
        <w:t xml:space="preserve"> i</w:t>
      </w:r>
      <w:r w:rsidR="00342D7E">
        <w:t> </w:t>
      </w:r>
      <w:r w:rsidR="00342D7E" w:rsidRPr="00342D7E">
        <w:t>gwa</w:t>
      </w:r>
      <w:r w:rsidRPr="00342D7E">
        <w:t>rancji otrzymanych</w:t>
      </w:r>
      <w:r w:rsidR="00342D7E" w:rsidRPr="00342D7E">
        <w:t xml:space="preserve"> w</w:t>
      </w:r>
      <w:r w:rsidR="00342D7E">
        <w:t> </w:t>
      </w:r>
      <w:r w:rsidR="00342D7E" w:rsidRPr="00342D7E">
        <w:t>odn</w:t>
      </w:r>
      <w:r w:rsidRPr="00342D7E">
        <w:t>iesieniu do kredytów</w:t>
      </w:r>
      <w:r w:rsidR="00342D7E" w:rsidRPr="00342D7E">
        <w:t xml:space="preserve"> i</w:t>
      </w:r>
      <w:r w:rsidR="00342D7E">
        <w:t> </w:t>
      </w:r>
      <w:r w:rsidR="00342D7E" w:rsidRPr="00342D7E">
        <w:t>zal</w:t>
      </w:r>
      <w:r w:rsidRPr="00342D7E">
        <w:t>iczek zgłasza się zgodnie</w:t>
      </w:r>
      <w:r w:rsidR="00342D7E" w:rsidRPr="00342D7E">
        <w:t xml:space="preserve"> z</w:t>
      </w:r>
      <w:r w:rsidR="00342D7E">
        <w:t> </w:t>
      </w:r>
      <w:r w:rsidR="00342D7E" w:rsidRPr="00342D7E">
        <w:t>pkt </w:t>
      </w:r>
      <w:r w:rsidRPr="00342D7E">
        <w:t>239 niniejszej części</w:t>
      </w:r>
      <w:r w:rsidR="00342D7E" w:rsidRPr="00342D7E">
        <w:t>. W</w:t>
      </w:r>
      <w:r w:rsidR="00342D7E">
        <w:t> </w:t>
      </w:r>
      <w:r w:rsidR="00342D7E" w:rsidRPr="00342D7E">
        <w:t>rez</w:t>
      </w:r>
      <w:r w:rsidRPr="00342D7E">
        <w:t>ultacie suma kwot zgłoszonych</w:t>
      </w:r>
      <w:r w:rsidR="00342D7E" w:rsidRPr="00342D7E">
        <w:t xml:space="preserve"> w</w:t>
      </w:r>
      <w:r w:rsidR="00342D7E">
        <w:t> </w:t>
      </w:r>
      <w:r w:rsidR="00342D7E" w:rsidRPr="00342D7E">
        <w:t>odn</w:t>
      </w:r>
      <w:r w:rsidRPr="00342D7E">
        <w:t>iesieniu do zabezpieczeń</w:t>
      </w:r>
      <w:r w:rsidR="00342D7E" w:rsidRPr="00342D7E">
        <w:t xml:space="preserve"> i</w:t>
      </w:r>
      <w:r w:rsidR="00342D7E">
        <w:t> </w:t>
      </w:r>
      <w:r w:rsidR="00342D7E" w:rsidRPr="00342D7E">
        <w:t>gwa</w:t>
      </w:r>
      <w:r w:rsidRPr="00342D7E">
        <w:t>rancji razem jest ograniczona do wartości bilansowej powiązanej ekspozycji. Ponadto oddzielnie zgłasza się nieruchomości oddane</w:t>
      </w:r>
      <w:r w:rsidR="00342D7E" w:rsidRPr="00342D7E">
        <w:t xml:space="preserve"> w</w:t>
      </w:r>
      <w:r w:rsidR="00342D7E">
        <w:t> </w:t>
      </w:r>
      <w:r w:rsidR="00342D7E" w:rsidRPr="00342D7E">
        <w:t>zas</w:t>
      </w:r>
      <w:r w:rsidRPr="00342D7E">
        <w:t>taw jako zabezpieczenie.</w:t>
      </w:r>
    </w:p>
    <w:p w:rsidR="00D35B0C" w:rsidRPr="00342D7E" w:rsidRDefault="004C5086">
      <w:pPr>
        <w:pStyle w:val="Baseparagraphnumbered"/>
      </w:pPr>
      <w:r w:rsidRPr="00342D7E">
        <w:t>W drodze odstępstwa od poprzedniego punktu pozycja „zabezpieczenie otrzymane</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kre</w:t>
      </w:r>
      <w:r w:rsidRPr="00342D7E">
        <w:t>dytami</w:t>
      </w:r>
      <w:r w:rsidR="00342D7E" w:rsidRPr="00342D7E">
        <w:t xml:space="preserve"> i</w:t>
      </w:r>
      <w:r w:rsidR="00342D7E">
        <w:t> </w:t>
      </w:r>
      <w:r w:rsidR="00342D7E" w:rsidRPr="00342D7E">
        <w:t>zal</w:t>
      </w:r>
      <w:r w:rsidRPr="00342D7E">
        <w:t>iczkami – pełna wartość” odzwierciedla pełną kwotę otrzymanego zabezpieczenia bez limitu odpowiadającego wartości bilansowej powiązanej ekspozycji.</w:t>
      </w:r>
    </w:p>
    <w:p w:rsidR="00D35B0C" w:rsidRPr="00342D7E" w:rsidRDefault="004C5086">
      <w:pPr>
        <w:pStyle w:val="subtitlenumbered"/>
        <w:jc w:val="both"/>
      </w:pPr>
      <w:bookmarkStart w:id="89" w:name="_Toc31019191"/>
      <w:r w:rsidRPr="00342D7E">
        <w:t>KREDYTY I ZALICZKI: PRZEPŁYWY Z TYTUŁU EKSPOZYCJI NIEOBSŁUGIWANYCH, UTRATY WARTOŚCI ORAZ SPISAŃ OD KOŃCA OSTATNIEGO ROKU OBROTOWEGO (24)</w:t>
      </w:r>
      <w:bookmarkEnd w:id="89"/>
    </w:p>
    <w:p w:rsidR="00D35B0C" w:rsidRPr="00342D7E" w:rsidRDefault="004C5086">
      <w:pPr>
        <w:pStyle w:val="sub-subtitlenumbered"/>
        <w:jc w:val="both"/>
      </w:pPr>
      <w:bookmarkStart w:id="90" w:name="_Toc31019192"/>
      <w:r w:rsidRPr="00342D7E">
        <w:t>Kredyty</w:t>
      </w:r>
      <w:r w:rsidR="00342D7E" w:rsidRPr="00342D7E">
        <w:t xml:space="preserve"> i</w:t>
      </w:r>
      <w:r w:rsidR="00342D7E">
        <w:t> </w:t>
      </w:r>
      <w:r w:rsidR="00342D7E" w:rsidRPr="00342D7E">
        <w:t>zal</w:t>
      </w:r>
      <w:r w:rsidRPr="00342D7E">
        <w:t>iczki: Wpływy</w:t>
      </w:r>
      <w:r w:rsidR="00342D7E" w:rsidRPr="00342D7E">
        <w:t xml:space="preserve"> i</w:t>
      </w:r>
      <w:r w:rsidR="00342D7E">
        <w:t> </w:t>
      </w:r>
      <w:r w:rsidR="00342D7E" w:rsidRPr="00342D7E">
        <w:t>wyp</w:t>
      </w:r>
      <w:r w:rsidRPr="00342D7E">
        <w:t>ływy</w:t>
      </w:r>
      <w:r w:rsidR="00342D7E" w:rsidRPr="00342D7E">
        <w:t xml:space="preserve"> z</w:t>
      </w:r>
      <w:r w:rsidR="00342D7E">
        <w:t> </w:t>
      </w:r>
      <w:r w:rsidR="00342D7E" w:rsidRPr="00342D7E">
        <w:t>tyt</w:t>
      </w:r>
      <w:r w:rsidRPr="00342D7E">
        <w:t>ułu ekspozycji nieobsługiwanych (24.1)</w:t>
      </w:r>
      <w:bookmarkEnd w:id="90"/>
    </w:p>
    <w:p w:rsidR="00D35B0C" w:rsidRPr="00342D7E" w:rsidRDefault="004C5086">
      <w:pPr>
        <w:pStyle w:val="Baseparagraphnumbered"/>
      </w:pPr>
      <w:r w:rsidRPr="00342D7E">
        <w:t xml:space="preserve">Wzór 24.1 </w:t>
      </w:r>
      <w:proofErr w:type="gramStart"/>
      <w:r w:rsidRPr="00342D7E">
        <w:t>zawiera</w:t>
      </w:r>
      <w:proofErr w:type="gramEnd"/>
      <w:r w:rsidRPr="00342D7E">
        <w:t xml:space="preserve"> uzgodnienie salda początkowego</w:t>
      </w:r>
      <w:r w:rsidR="00342D7E" w:rsidRPr="00342D7E">
        <w:t xml:space="preserve"> i</w:t>
      </w:r>
      <w:r w:rsidR="00342D7E">
        <w:t> </w:t>
      </w:r>
      <w:r w:rsidR="00342D7E" w:rsidRPr="00342D7E">
        <w:t>sal</w:t>
      </w:r>
      <w:r w:rsidRPr="00342D7E">
        <w:t>da końcowego posiadanych kredytów</w:t>
      </w:r>
      <w:r w:rsidR="00342D7E" w:rsidRPr="00342D7E">
        <w:t xml:space="preserve"> i</w:t>
      </w:r>
      <w:r w:rsidR="00342D7E">
        <w:t> </w:t>
      </w:r>
      <w:r w:rsidR="00342D7E" w:rsidRPr="00342D7E">
        <w:t>zal</w:t>
      </w:r>
      <w:r w:rsidRPr="00342D7E">
        <w:t>iczek,</w:t>
      </w:r>
      <w:r w:rsidR="00342D7E" w:rsidRPr="00342D7E">
        <w:t xml:space="preserve"> z</w:t>
      </w:r>
      <w:r w:rsidR="00342D7E">
        <w:t> </w:t>
      </w:r>
      <w:r w:rsidR="00342D7E" w:rsidRPr="00342D7E">
        <w:t>wył</w:t>
      </w:r>
      <w:r w:rsidRPr="00342D7E">
        <w:t>ączeniem kredytów</w:t>
      </w:r>
      <w:r w:rsidR="00342D7E" w:rsidRPr="00342D7E">
        <w:t xml:space="preserve"> i</w:t>
      </w:r>
      <w:r w:rsidR="00342D7E">
        <w:t> </w:t>
      </w:r>
      <w:r w:rsidR="00342D7E" w:rsidRPr="00342D7E">
        <w:t>zal</w:t>
      </w:r>
      <w:r w:rsidRPr="00342D7E">
        <w:t>iczek sklasyfikowanych jako aktywa finansowe przeznaczone do obrotu,</w:t>
      </w:r>
      <w:r w:rsidR="00342D7E" w:rsidRPr="00342D7E">
        <w:t xml:space="preserve"> z</w:t>
      </w:r>
      <w:r w:rsidR="00342D7E">
        <w:t> </w:t>
      </w:r>
      <w:r w:rsidR="00342D7E" w:rsidRPr="00342D7E">
        <w:t>prz</w:t>
      </w:r>
      <w:r w:rsidRPr="00342D7E">
        <w:t>eznaczeniem do obrotu lub przeznaczone do sprzedaży, które sklasyfikowano jako nieobsługiwane zgodnie</w:t>
      </w:r>
      <w:r w:rsidR="00342D7E" w:rsidRPr="00342D7E">
        <w:t xml:space="preserve"> z</w:t>
      </w:r>
      <w:r w:rsidR="00342D7E">
        <w:t> </w:t>
      </w:r>
      <w:r w:rsidR="00342D7E" w:rsidRPr="00342D7E">
        <w:t>pkt </w:t>
      </w:r>
      <w:r w:rsidRPr="00342D7E">
        <w:t>213–239 lub</w:t>
      </w:r>
      <w:r w:rsidR="00342D7E" w:rsidRPr="00342D7E">
        <w:t> </w:t>
      </w:r>
      <w:r w:rsidRPr="00342D7E">
        <w:t>260 niniejszej części</w:t>
      </w:r>
      <w:r w:rsidR="00342D7E" w:rsidRPr="00342D7E">
        <w:t xml:space="preserve"> i</w:t>
      </w:r>
      <w:r w:rsidR="00342D7E">
        <w:t> </w:t>
      </w:r>
      <w:r w:rsidR="00342D7E" w:rsidRPr="00342D7E">
        <w:t>zgł</w:t>
      </w:r>
      <w:r w:rsidRPr="00342D7E">
        <w:t>oszono we wzorze 18. Wpływy</w:t>
      </w:r>
      <w:r w:rsidR="00342D7E" w:rsidRPr="00342D7E">
        <w:t xml:space="preserve"> i</w:t>
      </w:r>
      <w:r w:rsidR="00342D7E">
        <w:t> </w:t>
      </w:r>
      <w:r w:rsidR="00342D7E" w:rsidRPr="00342D7E">
        <w:t>wyp</w:t>
      </w:r>
      <w:r w:rsidRPr="00342D7E">
        <w:t>ływy</w:t>
      </w:r>
      <w:r w:rsidR="00342D7E" w:rsidRPr="00342D7E">
        <w:t xml:space="preserve"> z</w:t>
      </w:r>
      <w:r w:rsidR="00342D7E">
        <w:t> </w:t>
      </w:r>
      <w:r w:rsidR="00342D7E" w:rsidRPr="00342D7E">
        <w:t>tyt</w:t>
      </w:r>
      <w:r w:rsidRPr="00342D7E">
        <w:t>ułu kredytów</w:t>
      </w:r>
      <w:r w:rsidR="00342D7E" w:rsidRPr="00342D7E">
        <w:t xml:space="preserve"> i</w:t>
      </w:r>
      <w:r w:rsidR="00342D7E">
        <w:t> </w:t>
      </w:r>
      <w:r w:rsidR="00342D7E" w:rsidRPr="00342D7E">
        <w:t>zal</w:t>
      </w:r>
      <w:r w:rsidRPr="00342D7E">
        <w:t>iczek nieobsługiwanych dzieli się według rodzaju wpływu lub wypływu.</w:t>
      </w:r>
    </w:p>
    <w:p w:rsidR="00D35B0C" w:rsidRPr="00342D7E" w:rsidRDefault="004C5086">
      <w:pPr>
        <w:pStyle w:val="Baseparagraphnumbered"/>
      </w:pPr>
      <w:r w:rsidRPr="00342D7E">
        <w:t>Wpływy do kategorii ekspozycji nieobsługiwanych zgłasza się zgodnie</w:t>
      </w:r>
      <w:r w:rsidR="00342D7E" w:rsidRPr="00342D7E">
        <w:t xml:space="preserve"> z</w:t>
      </w:r>
      <w:r w:rsidR="00342D7E">
        <w:t> </w:t>
      </w:r>
      <w:r w:rsidR="00342D7E" w:rsidRPr="00342D7E">
        <w:t>pkt </w:t>
      </w:r>
      <w:r w:rsidRPr="00342D7E">
        <w:t>239ii–239iii oraz 239vi niniejszej części,</w:t>
      </w:r>
      <w:r w:rsidR="00342D7E" w:rsidRPr="00342D7E">
        <w:t xml:space="preserve"> z</w:t>
      </w:r>
      <w:r w:rsidR="00342D7E">
        <w:t> </w:t>
      </w:r>
      <w:r w:rsidR="00342D7E" w:rsidRPr="00342D7E">
        <w:t>wyj</w:t>
      </w:r>
      <w:r w:rsidRPr="00342D7E">
        <w:t>ątkiem wpływów do kategorii „przeznaczone do sprzedaży”, które nie są objęte zakresem niniejszego wzoru. Wpływy dzieli się według rodzaju (źródła) wpływu</w:t>
      </w:r>
      <w:r w:rsidR="00342D7E" w:rsidRPr="00342D7E">
        <w:t>. W</w:t>
      </w:r>
      <w:r w:rsidR="00342D7E">
        <w:t> </w:t>
      </w:r>
      <w:r w:rsidR="00342D7E" w:rsidRPr="00342D7E">
        <w:t>tym</w:t>
      </w:r>
      <w:r w:rsidRPr="00342D7E">
        <w:t xml:space="preserve"> kontekście:</w:t>
      </w:r>
    </w:p>
    <w:p w:rsidR="00D35B0C" w:rsidRPr="00342D7E" w:rsidRDefault="004C5086" w:rsidP="00056B6F">
      <w:pPr>
        <w:numPr>
          <w:ilvl w:val="0"/>
          <w:numId w:val="84"/>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„Wpływ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odsetek naliczonych” stanowi odsetki naliczone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sto</w:t>
      </w:r>
      <w:r w:rsidRPr="00342D7E">
        <w:rPr>
          <w:rFonts w:ascii="Times New Roman" w:hAnsi="Times New Roman"/>
          <w:sz w:val="24"/>
          <w:szCs w:val="24"/>
        </w:rPr>
        <w:t>sunku do kredytów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iczek nieobsługiwanych, których nie uwzględniono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żad</w:t>
      </w:r>
      <w:r w:rsidRPr="00342D7E">
        <w:rPr>
          <w:rFonts w:ascii="Times New Roman" w:hAnsi="Times New Roman"/>
          <w:sz w:val="24"/>
          <w:szCs w:val="24"/>
        </w:rPr>
        <w:t>nej innej kategorii podziału według rodzaju (źródła);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tym</w:t>
      </w:r>
      <w:r w:rsidRPr="00342D7E">
        <w:rPr>
          <w:rFonts w:ascii="Times New Roman" w:hAnsi="Times New Roman"/>
          <w:sz w:val="24"/>
          <w:szCs w:val="24"/>
        </w:rPr>
        <w:t xml:space="preserve"> względzie wpływ ten obejmuje odsetki naliczone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sto</w:t>
      </w:r>
      <w:r w:rsidRPr="00342D7E">
        <w:rPr>
          <w:rFonts w:ascii="Times New Roman" w:hAnsi="Times New Roman"/>
          <w:sz w:val="24"/>
          <w:szCs w:val="24"/>
        </w:rPr>
        <w:t>sunku do kredytów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iczek nieobsługiwanych, które sklasyfikowano jako nieobsługiwane na koniec poprzedniego roku obrotowego,</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 były od tego czasu stale klasyfikowane jako takie; odsetki naliczone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sto</w:t>
      </w:r>
      <w:r w:rsidRPr="00342D7E">
        <w:rPr>
          <w:rFonts w:ascii="Times New Roman" w:hAnsi="Times New Roman"/>
          <w:sz w:val="24"/>
          <w:szCs w:val="24"/>
        </w:rPr>
        <w:t>sunku do ekspozycji, które sklasyfikowano jako nieobsługiwane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213–239 lub</w:t>
      </w:r>
      <w:r w:rsidR="00342D7E" w:rsidRPr="00342D7E">
        <w:rPr>
          <w:rFonts w:ascii="Times New Roman" w:hAnsi="Times New Roman"/>
          <w:sz w:val="24"/>
          <w:szCs w:val="24"/>
        </w:rPr>
        <w:t> </w:t>
      </w:r>
      <w:r w:rsidRPr="00342D7E">
        <w:rPr>
          <w:rFonts w:ascii="Times New Roman" w:hAnsi="Times New Roman"/>
          <w:sz w:val="24"/>
          <w:szCs w:val="24"/>
        </w:rPr>
        <w:t>260 niniejszej części tylko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 zgłasza się wraz</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sam</w:t>
      </w:r>
      <w:r w:rsidRPr="00342D7E">
        <w:rPr>
          <w:rFonts w:ascii="Times New Roman" w:hAnsi="Times New Roman"/>
          <w:sz w:val="24"/>
          <w:szCs w:val="24"/>
        </w:rPr>
        <w:t>ym wpływem</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kat</w:t>
      </w:r>
      <w:r w:rsidRPr="00342D7E">
        <w:rPr>
          <w:rFonts w:ascii="Times New Roman" w:hAnsi="Times New Roman"/>
          <w:sz w:val="24"/>
          <w:szCs w:val="24"/>
        </w:rPr>
        <w:t xml:space="preserve">egorii odpowiedniego rodzaju (źródła); </w:t>
      </w:r>
    </w:p>
    <w:p w:rsidR="00D35B0C" w:rsidRPr="00342D7E" w:rsidRDefault="004C5086" w:rsidP="00056B6F">
      <w:pPr>
        <w:numPr>
          <w:ilvl w:val="0"/>
          <w:numId w:val="84"/>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„w tym: ekspozycje przeklasyfikowane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kat</w:t>
      </w:r>
      <w:r w:rsidRPr="00342D7E">
        <w:rPr>
          <w:rFonts w:ascii="Times New Roman" w:hAnsi="Times New Roman"/>
          <w:sz w:val="24"/>
          <w:szCs w:val="24"/>
        </w:rPr>
        <w:t>egorii obsługiwanych ekspozycji restrukturyzowanych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okr</w:t>
      </w:r>
      <w:r w:rsidRPr="00342D7E">
        <w:rPr>
          <w:rFonts w:ascii="Times New Roman" w:hAnsi="Times New Roman"/>
          <w:sz w:val="24"/>
          <w:szCs w:val="24"/>
        </w:rPr>
        <w:t>esie warunkowym uprzednio przeklasyfikowane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kat</w:t>
      </w:r>
      <w:r w:rsidRPr="00342D7E">
        <w:rPr>
          <w:rFonts w:ascii="Times New Roman" w:hAnsi="Times New Roman"/>
          <w:sz w:val="24"/>
          <w:szCs w:val="24"/>
        </w:rPr>
        <w:t>egorii ekspozycji nieobsługiwanych” obejmują „obsługiwane ekspozycje restrukturyzowane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okr</w:t>
      </w:r>
      <w:r w:rsidRPr="00342D7E">
        <w:rPr>
          <w:rFonts w:ascii="Times New Roman" w:hAnsi="Times New Roman"/>
          <w:sz w:val="24"/>
          <w:szCs w:val="24"/>
        </w:rPr>
        <w:t xml:space="preserve">esie warunkowym </w:t>
      </w:r>
      <w:r w:rsidRPr="00342D7E">
        <w:rPr>
          <w:rFonts w:ascii="Times New Roman" w:hAnsi="Times New Roman"/>
          <w:sz w:val="24"/>
          <w:szCs w:val="24"/>
        </w:rPr>
        <w:lastRenderedPageBreak/>
        <w:t>przeklasyfikowane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kat</w:t>
      </w:r>
      <w:r w:rsidRPr="00342D7E">
        <w:rPr>
          <w:rFonts w:ascii="Times New Roman" w:hAnsi="Times New Roman"/>
          <w:sz w:val="24"/>
          <w:szCs w:val="24"/>
        </w:rPr>
        <w:t>egorii ekspozycji nieobsługiwanych”, jak określono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261 niniejszej części, które zostały ponownie przeklasyfikowane jako nieobsługiwane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213–239 lub</w:t>
      </w:r>
      <w:r w:rsidR="00342D7E" w:rsidRPr="00342D7E">
        <w:rPr>
          <w:rFonts w:ascii="Times New Roman" w:hAnsi="Times New Roman"/>
          <w:sz w:val="24"/>
          <w:szCs w:val="24"/>
        </w:rPr>
        <w:t> </w:t>
      </w:r>
      <w:r w:rsidRPr="00342D7E">
        <w:rPr>
          <w:rFonts w:ascii="Times New Roman" w:hAnsi="Times New Roman"/>
          <w:sz w:val="24"/>
          <w:szCs w:val="24"/>
        </w:rPr>
        <w:t>260 niniejszej części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w:t>
      </w:r>
    </w:p>
    <w:p w:rsidR="00D35B0C" w:rsidRPr="00342D7E" w:rsidRDefault="004C5086" w:rsidP="00056B6F">
      <w:pPr>
        <w:numPr>
          <w:ilvl w:val="0"/>
          <w:numId w:val="84"/>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„Wpływ</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inn</w:t>
      </w:r>
      <w:r w:rsidRPr="00342D7E">
        <w:rPr>
          <w:rFonts w:ascii="Times New Roman" w:hAnsi="Times New Roman"/>
          <w:sz w:val="24"/>
          <w:szCs w:val="24"/>
        </w:rPr>
        <w:t>ych powodów” obejmuje wpływy, które nie mogą być powiązane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żad</w:t>
      </w:r>
      <w:r w:rsidRPr="00342D7E">
        <w:rPr>
          <w:rFonts w:ascii="Times New Roman" w:hAnsi="Times New Roman"/>
          <w:sz w:val="24"/>
          <w:szCs w:val="24"/>
        </w:rPr>
        <w:t>nym</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poz</w:t>
      </w:r>
      <w:r w:rsidRPr="00342D7E">
        <w:rPr>
          <w:rFonts w:ascii="Times New Roman" w:hAnsi="Times New Roman"/>
          <w:sz w:val="24"/>
          <w:szCs w:val="24"/>
        </w:rPr>
        <w:t>ostałych określonych źródeł wpływów,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obe</w:t>
      </w:r>
      <w:r w:rsidRPr="00342D7E">
        <w:rPr>
          <w:rFonts w:ascii="Times New Roman" w:hAnsi="Times New Roman"/>
          <w:sz w:val="24"/>
          <w:szCs w:val="24"/>
        </w:rPr>
        <w:t>jmuje między innymi zwiększenie wartości bilansowej brutto ekspozycji nieobsługiwanych wynikające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dod</w:t>
      </w:r>
      <w:r w:rsidRPr="00342D7E">
        <w:rPr>
          <w:rFonts w:ascii="Times New Roman" w:hAnsi="Times New Roman"/>
          <w:sz w:val="24"/>
          <w:szCs w:val="24"/>
        </w:rPr>
        <w:t>atkowych kwot wypłaconych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 kapitalizacji zaległych płatności,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tym</w:t>
      </w:r>
      <w:r w:rsidRPr="00342D7E">
        <w:rPr>
          <w:rFonts w:ascii="Times New Roman" w:hAnsi="Times New Roman"/>
          <w:sz w:val="24"/>
          <w:szCs w:val="24"/>
        </w:rPr>
        <w:t xml:space="preserve"> skapitalizowanych opłat</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kos</w:t>
      </w:r>
      <w:r w:rsidRPr="00342D7E">
        <w:rPr>
          <w:rFonts w:ascii="Times New Roman" w:hAnsi="Times New Roman"/>
          <w:sz w:val="24"/>
          <w:szCs w:val="24"/>
        </w:rPr>
        <w:t>ztów oraz zmian</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kur</w:t>
      </w:r>
      <w:r w:rsidRPr="00342D7E">
        <w:rPr>
          <w:rFonts w:ascii="Times New Roman" w:hAnsi="Times New Roman"/>
          <w:sz w:val="24"/>
          <w:szCs w:val="24"/>
        </w:rPr>
        <w:t>sach wymiany związanych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kre</w:t>
      </w:r>
      <w:r w:rsidRPr="00342D7E">
        <w:rPr>
          <w:rFonts w:ascii="Times New Roman" w:hAnsi="Times New Roman"/>
          <w:sz w:val="24"/>
          <w:szCs w:val="24"/>
        </w:rPr>
        <w:t>dytami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iczkami nieobsługiwanymi, które sklasyfikowano jako nieobsługiwane na koniec poprzedniego roku obrotowego</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 były od tego czasu stale klasyfikowane jako takie.</w:t>
      </w:r>
    </w:p>
    <w:p w:rsidR="00D35B0C" w:rsidRPr="00342D7E" w:rsidRDefault="004C5086">
      <w:pPr>
        <w:pStyle w:val="Baseparagraphnumbered"/>
      </w:pPr>
      <w:r w:rsidRPr="00342D7E">
        <w:t>Następujące ekspozycje zgłasza się</w:t>
      </w:r>
      <w:r w:rsidR="00342D7E" w:rsidRPr="00342D7E">
        <w:t xml:space="preserve"> w</w:t>
      </w:r>
      <w:r w:rsidR="00342D7E">
        <w:t> </w:t>
      </w:r>
      <w:r w:rsidR="00342D7E" w:rsidRPr="00342D7E">
        <w:t>odr</w:t>
      </w:r>
      <w:r w:rsidRPr="00342D7E">
        <w:t>ębnych wierszach:</w:t>
      </w:r>
    </w:p>
    <w:p w:rsidR="00D35B0C" w:rsidRPr="00342D7E" w:rsidRDefault="004C5086" w:rsidP="00056B6F">
      <w:pPr>
        <w:numPr>
          <w:ilvl w:val="0"/>
          <w:numId w:val="85"/>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„Wpływ mający miejsce więcej niż jeden raz” obejmuje kredyty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iczki, które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tra</w:t>
      </w:r>
      <w:r w:rsidRPr="00342D7E">
        <w:rPr>
          <w:rFonts w:ascii="Times New Roman" w:hAnsi="Times New Roman"/>
          <w:sz w:val="24"/>
          <w:szCs w:val="24"/>
        </w:rPr>
        <w:t>kcie okresu wielokrotnie przeklasyfikowano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obs</w:t>
      </w:r>
      <w:r w:rsidRPr="00342D7E">
        <w:rPr>
          <w:rFonts w:ascii="Times New Roman" w:hAnsi="Times New Roman"/>
          <w:sz w:val="24"/>
          <w:szCs w:val="24"/>
        </w:rPr>
        <w:t>ługiwanych na nieobsługiwane lub odwrotnie;</w:t>
      </w:r>
    </w:p>
    <w:p w:rsidR="00D35B0C" w:rsidRPr="00342D7E" w:rsidRDefault="004C5086" w:rsidP="00056B6F">
      <w:pPr>
        <w:numPr>
          <w:ilvl w:val="0"/>
          <w:numId w:val="85"/>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pozycja</w:t>
      </w:r>
      <w:proofErr w:type="gramEnd"/>
      <w:r w:rsidRPr="00342D7E">
        <w:rPr>
          <w:rFonts w:ascii="Times New Roman" w:hAnsi="Times New Roman"/>
          <w:sz w:val="24"/>
          <w:szCs w:val="24"/>
        </w:rPr>
        <w:t xml:space="preserve"> „Wpływ ekspozycji udzielonych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cią</w:t>
      </w:r>
      <w:r w:rsidRPr="00342D7E">
        <w:rPr>
          <w:rFonts w:ascii="Times New Roman" w:hAnsi="Times New Roman"/>
          <w:sz w:val="24"/>
          <w:szCs w:val="24"/>
        </w:rPr>
        <w:t>gu ostatnich 24 miesięcy” przedstawia kredyty</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iczki, które przyznano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cią</w:t>
      </w:r>
      <w:r w:rsidRPr="00342D7E">
        <w:rPr>
          <w:rFonts w:ascii="Times New Roman" w:hAnsi="Times New Roman"/>
          <w:sz w:val="24"/>
          <w:szCs w:val="24"/>
        </w:rPr>
        <w:t>gu 24 miesięcy poprzedzających sprawozdawczy dzień odniesienia</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 sklasyfikowano jako nieobsługiwane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213–239 lub</w:t>
      </w:r>
      <w:r w:rsidR="00342D7E" w:rsidRPr="00342D7E">
        <w:rPr>
          <w:rFonts w:ascii="Times New Roman" w:hAnsi="Times New Roman"/>
          <w:sz w:val="24"/>
          <w:szCs w:val="24"/>
        </w:rPr>
        <w:t> </w:t>
      </w:r>
      <w:r w:rsidRPr="00342D7E">
        <w:rPr>
          <w:rFonts w:ascii="Times New Roman" w:hAnsi="Times New Roman"/>
          <w:sz w:val="24"/>
          <w:szCs w:val="24"/>
        </w:rPr>
        <w:t>260 niniejszej części. Spośród tych ekspozycji ekspozycje, które udzielono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 zgłasza się dodatkowo oddzielnie.</w:t>
      </w:r>
    </w:p>
    <w:p w:rsidR="00D35B0C" w:rsidRPr="00342D7E" w:rsidRDefault="004C5086">
      <w:pPr>
        <w:pStyle w:val="Baseparagraphnumbered"/>
      </w:pPr>
      <w:r w:rsidRPr="00342D7E">
        <w:t>Wypływy</w:t>
      </w:r>
      <w:r w:rsidR="00342D7E" w:rsidRPr="00342D7E">
        <w:t xml:space="preserve"> z</w:t>
      </w:r>
      <w:r w:rsidR="00342D7E">
        <w:t> </w:t>
      </w:r>
      <w:r w:rsidR="00342D7E" w:rsidRPr="00342D7E">
        <w:t>kat</w:t>
      </w:r>
      <w:r w:rsidRPr="00342D7E">
        <w:t>egorii ekspozycji nieobsługiwanych zgłasza się zgodnie</w:t>
      </w:r>
      <w:r w:rsidR="00342D7E" w:rsidRPr="00342D7E">
        <w:t xml:space="preserve"> z</w:t>
      </w:r>
      <w:r w:rsidR="00342D7E">
        <w:t> </w:t>
      </w:r>
      <w:r w:rsidR="00342D7E" w:rsidRPr="00342D7E">
        <w:t>pkt </w:t>
      </w:r>
      <w:r w:rsidRPr="00342D7E">
        <w:t>239iii–239vi niniejszej części</w:t>
      </w:r>
      <w:r w:rsidR="00342D7E" w:rsidRPr="00342D7E">
        <w:t xml:space="preserve"> i</w:t>
      </w:r>
      <w:r w:rsidR="00342D7E">
        <w:t> </w:t>
      </w:r>
      <w:r w:rsidR="00342D7E" w:rsidRPr="00342D7E">
        <w:t>dzi</w:t>
      </w:r>
      <w:r w:rsidRPr="00342D7E">
        <w:t>eli się według rodzaju (przyczyny) wypływu</w:t>
      </w:r>
      <w:r w:rsidR="00342D7E" w:rsidRPr="00342D7E">
        <w:t>. W</w:t>
      </w:r>
      <w:r w:rsidR="00342D7E">
        <w:t> </w:t>
      </w:r>
      <w:r w:rsidR="00342D7E" w:rsidRPr="00342D7E">
        <w:t>tym</w:t>
      </w:r>
      <w:r w:rsidRPr="00342D7E">
        <w:t xml:space="preserve"> kontekście „wypływ</w:t>
      </w:r>
      <w:r w:rsidR="00342D7E" w:rsidRPr="00342D7E">
        <w:t xml:space="preserve"> z</w:t>
      </w:r>
      <w:r w:rsidR="00342D7E">
        <w:t> </w:t>
      </w:r>
      <w:r w:rsidR="00342D7E" w:rsidRPr="00342D7E">
        <w:t>pow</w:t>
      </w:r>
      <w:r w:rsidRPr="00342D7E">
        <w:t>odu spisań” odzwierciedla kwotę spisań dokonanych</w:t>
      </w:r>
      <w:r w:rsidR="00342D7E" w:rsidRPr="00342D7E">
        <w:t xml:space="preserve"> w</w:t>
      </w:r>
      <w:r w:rsidR="00342D7E">
        <w:t> </w:t>
      </w:r>
      <w:r w:rsidR="00342D7E" w:rsidRPr="00342D7E">
        <w:t>dan</w:t>
      </w:r>
      <w:r w:rsidRPr="00342D7E">
        <w:t>ym okresie, które nie mogą być powiązane</w:t>
      </w:r>
      <w:r w:rsidR="00342D7E" w:rsidRPr="00342D7E">
        <w:t xml:space="preserve"> z</w:t>
      </w:r>
      <w:r w:rsidR="00342D7E">
        <w:t> </w:t>
      </w:r>
      <w:r w:rsidR="00342D7E" w:rsidRPr="00342D7E">
        <w:t>żad</w:t>
      </w:r>
      <w:r w:rsidRPr="00342D7E">
        <w:t>nym</w:t>
      </w:r>
      <w:r w:rsidR="00342D7E" w:rsidRPr="00342D7E">
        <w:t xml:space="preserve"> z</w:t>
      </w:r>
      <w:r w:rsidR="00342D7E">
        <w:t> </w:t>
      </w:r>
      <w:r w:rsidR="00342D7E" w:rsidRPr="00342D7E">
        <w:t>inn</w:t>
      </w:r>
      <w:r w:rsidRPr="00342D7E">
        <w:t>ych określonych rodzajów wypływów</w:t>
      </w:r>
      <w:r w:rsidR="00342D7E" w:rsidRPr="00342D7E">
        <w:t xml:space="preserve"> i</w:t>
      </w:r>
      <w:r w:rsidR="00342D7E">
        <w:t> </w:t>
      </w:r>
      <w:r w:rsidR="00342D7E" w:rsidRPr="00342D7E">
        <w:t>obe</w:t>
      </w:r>
      <w:r w:rsidRPr="00342D7E">
        <w:t>jmują również spisania powiązane</w:t>
      </w:r>
      <w:r w:rsidR="00342D7E" w:rsidRPr="00342D7E">
        <w:t xml:space="preserve"> z</w:t>
      </w:r>
      <w:r w:rsidR="00342D7E">
        <w:t> </w:t>
      </w:r>
      <w:r w:rsidR="00342D7E" w:rsidRPr="00342D7E">
        <w:t>cał</w:t>
      </w:r>
      <w:r w:rsidRPr="00342D7E">
        <w:t>kowitym wygaśnięciem wszystkich praw instytucji sprawozdającej wskutek upływu terminu przedawnienia, umorzenia lub innych przyczyn, które miały miejsce</w:t>
      </w:r>
      <w:r w:rsidR="00342D7E" w:rsidRPr="00342D7E">
        <w:t xml:space="preserve"> w</w:t>
      </w:r>
      <w:r w:rsidR="00342D7E">
        <w:t> </w:t>
      </w:r>
      <w:r w:rsidR="00342D7E" w:rsidRPr="00342D7E">
        <w:t>dan</w:t>
      </w:r>
      <w:r w:rsidRPr="00342D7E">
        <w:t>ym okresie.</w:t>
      </w:r>
    </w:p>
    <w:p w:rsidR="00D35B0C" w:rsidRPr="00342D7E" w:rsidRDefault="004C5086">
      <w:pPr>
        <w:pStyle w:val="Baseparagraphnumbered"/>
      </w:pPr>
      <w:r w:rsidRPr="00342D7E">
        <w:t>W tych przypadkach, gdy częściowo zaprzestano ujmowania ekspozycji,</w:t>
      </w:r>
      <w:r w:rsidR="00342D7E" w:rsidRPr="00342D7E">
        <w:t xml:space="preserve"> a</w:t>
      </w:r>
      <w:r w:rsidR="00342D7E">
        <w:t> </w:t>
      </w:r>
      <w:r w:rsidR="00342D7E" w:rsidRPr="00342D7E">
        <w:t>poz</w:t>
      </w:r>
      <w:r w:rsidRPr="00342D7E">
        <w:t>ostała część została przeklasyfikowana jako obsługiwana, wypływ odnoszący się do przeklasyfikowania</w:t>
      </w:r>
      <w:r w:rsidR="00342D7E" w:rsidRPr="00342D7E">
        <w:t xml:space="preserve"> i</w:t>
      </w:r>
      <w:r w:rsidR="00342D7E">
        <w:t> </w:t>
      </w:r>
      <w:r w:rsidR="00342D7E" w:rsidRPr="00342D7E">
        <w:t>wyp</w:t>
      </w:r>
      <w:r w:rsidRPr="00342D7E">
        <w:t>ływ odnoszący się do zaprzestania ujmowania zgłasza się jako oddzielne wypływy</w:t>
      </w:r>
      <w:r w:rsidR="00342D7E" w:rsidRPr="00342D7E">
        <w:t>. W</w:t>
      </w:r>
      <w:r w:rsidR="00342D7E">
        <w:t> </w:t>
      </w:r>
      <w:r w:rsidR="00342D7E" w:rsidRPr="00342D7E">
        <w:t>prz</w:t>
      </w:r>
      <w:r w:rsidRPr="00342D7E">
        <w:t>ypadku wypływów</w:t>
      </w:r>
      <w:r w:rsidR="00342D7E" w:rsidRPr="00342D7E">
        <w:t xml:space="preserve"> z</w:t>
      </w:r>
      <w:r w:rsidR="00342D7E">
        <w:t> </w:t>
      </w:r>
      <w:r w:rsidR="00342D7E" w:rsidRPr="00342D7E">
        <w:t>pow</w:t>
      </w:r>
      <w:r w:rsidRPr="00342D7E">
        <w:t>odu likwidacji zabezpieczeń, sprzedaży ekspozycji, przeniesień ryzyka</w:t>
      </w:r>
      <w:r w:rsidR="00342D7E" w:rsidRPr="00342D7E">
        <w:t xml:space="preserve"> i</w:t>
      </w:r>
      <w:r w:rsidR="00342D7E">
        <w:t> </w:t>
      </w:r>
      <w:r w:rsidR="00342D7E" w:rsidRPr="00342D7E">
        <w:t>wej</w:t>
      </w:r>
      <w:r w:rsidRPr="00342D7E">
        <w:t>ścia</w:t>
      </w:r>
      <w:r w:rsidR="00342D7E" w:rsidRPr="00342D7E">
        <w:t xml:space="preserve"> w</w:t>
      </w:r>
      <w:r w:rsidR="00342D7E">
        <w:t> </w:t>
      </w:r>
      <w:r w:rsidR="00342D7E" w:rsidRPr="00342D7E">
        <w:t>pos</w:t>
      </w:r>
      <w:r w:rsidRPr="00342D7E">
        <w:t>iadanie zabezpieczenia, zgłasza się uzyskane skumulowane odzyskane kwoty netto. Jeżeli spisania dokonano</w:t>
      </w:r>
      <w:r w:rsidR="00342D7E" w:rsidRPr="00342D7E">
        <w:t xml:space="preserve"> w</w:t>
      </w:r>
      <w:r w:rsidR="00342D7E">
        <w:t> </w:t>
      </w:r>
      <w:r w:rsidR="00342D7E" w:rsidRPr="00342D7E">
        <w:t>mom</w:t>
      </w:r>
      <w:r w:rsidRPr="00342D7E">
        <w:t>encie likwidacji zabezpieczeń, sprzedaży ekspozycji, przeniesień ryzyka</w:t>
      </w:r>
      <w:r w:rsidR="00342D7E" w:rsidRPr="00342D7E">
        <w:t xml:space="preserve"> i</w:t>
      </w:r>
      <w:r w:rsidR="00342D7E">
        <w:t> </w:t>
      </w:r>
      <w:r w:rsidR="00342D7E" w:rsidRPr="00342D7E">
        <w:t>wej</w:t>
      </w:r>
      <w:r w:rsidRPr="00342D7E">
        <w:t>ścia</w:t>
      </w:r>
      <w:r w:rsidR="00342D7E" w:rsidRPr="00342D7E">
        <w:t xml:space="preserve"> w</w:t>
      </w:r>
      <w:r w:rsidR="00342D7E">
        <w:t> </w:t>
      </w:r>
      <w:r w:rsidR="00342D7E" w:rsidRPr="00342D7E">
        <w:t>pos</w:t>
      </w:r>
      <w:r w:rsidRPr="00342D7E">
        <w:t>iadanie zabezpieczenia, kwotę tę zgłasza się jako część powiązanego rodzaju wypływu.</w:t>
      </w:r>
    </w:p>
    <w:p w:rsidR="00D35B0C" w:rsidRPr="00342D7E" w:rsidRDefault="004C5086">
      <w:pPr>
        <w:pStyle w:val="Baseparagraphnumbered"/>
      </w:pPr>
      <w:r w:rsidRPr="00342D7E">
        <w:t>„Skumulowane odzyskane kwoty netto” oznaczają (i) odzyskaną kwotę środków pieniężnych lub ich ekwiwalentów pomniejszoną</w:t>
      </w:r>
      <w:r w:rsidR="00342D7E" w:rsidRPr="00342D7E">
        <w:t xml:space="preserve"> o</w:t>
      </w:r>
      <w:r w:rsidR="00342D7E">
        <w:t> </w:t>
      </w:r>
      <w:r w:rsidR="00342D7E" w:rsidRPr="00342D7E">
        <w:t>pow</w:t>
      </w:r>
      <w:r w:rsidRPr="00342D7E">
        <w:t>iązane koszty, odpowiednio</w:t>
      </w:r>
      <w:r w:rsidR="00342D7E" w:rsidRPr="00342D7E">
        <w:t xml:space="preserve"> w</w:t>
      </w:r>
      <w:r w:rsidR="00342D7E">
        <w:t> </w:t>
      </w:r>
      <w:r w:rsidR="00342D7E" w:rsidRPr="00342D7E">
        <w:t>kon</w:t>
      </w:r>
      <w:r w:rsidRPr="00342D7E">
        <w:t>tekście likwidacji zabezpieczenia, sprzedaży ekspozycji</w:t>
      </w:r>
      <w:r w:rsidR="00342D7E" w:rsidRPr="00342D7E">
        <w:t xml:space="preserve"> i</w:t>
      </w:r>
      <w:r w:rsidR="00342D7E">
        <w:t> </w:t>
      </w:r>
      <w:r w:rsidR="00342D7E" w:rsidRPr="00342D7E">
        <w:t>prz</w:t>
      </w:r>
      <w:r w:rsidRPr="00342D7E">
        <w:t>eniesień ryzyka, (ii) wartość</w:t>
      </w:r>
      <w:r w:rsidR="00342D7E" w:rsidRPr="00342D7E">
        <w:t xml:space="preserve"> w</w:t>
      </w:r>
      <w:r w:rsidR="00342D7E">
        <w:t> </w:t>
      </w:r>
      <w:r w:rsidR="00342D7E" w:rsidRPr="00342D7E">
        <w:t>mom</w:t>
      </w:r>
      <w:r w:rsidRPr="00342D7E">
        <w:t xml:space="preserve">encie początkowego </w:t>
      </w:r>
      <w:r w:rsidRPr="00342D7E">
        <w:lastRenderedPageBreak/>
        <w:t>ujęcia, jak określono</w:t>
      </w:r>
      <w:r w:rsidR="00342D7E" w:rsidRPr="00342D7E">
        <w:t xml:space="preserve"> w</w:t>
      </w:r>
      <w:r w:rsidR="00342D7E">
        <w:t> </w:t>
      </w:r>
      <w:r w:rsidR="00342D7E" w:rsidRPr="00342D7E">
        <w:t>pkt </w:t>
      </w:r>
      <w:r w:rsidRPr="00342D7E">
        <w:t>175i niniejszej części, zabezpieczenia uzyskanego</w:t>
      </w:r>
      <w:r w:rsidR="00342D7E" w:rsidRPr="00342D7E">
        <w:t xml:space="preserve"> w</w:t>
      </w:r>
      <w:r w:rsidR="00342D7E">
        <w:t> </w:t>
      </w:r>
      <w:r w:rsidR="00342D7E" w:rsidRPr="00342D7E">
        <w:t>kon</w:t>
      </w:r>
      <w:r w:rsidRPr="00342D7E">
        <w:t>tekście wypływów</w:t>
      </w:r>
      <w:r w:rsidR="00342D7E" w:rsidRPr="00342D7E">
        <w:t xml:space="preserve"> z</w:t>
      </w:r>
      <w:r w:rsidR="00342D7E">
        <w:t> </w:t>
      </w:r>
      <w:r w:rsidR="00342D7E" w:rsidRPr="00342D7E">
        <w:t>pow</w:t>
      </w:r>
      <w:r w:rsidRPr="00342D7E">
        <w:t>odu wejścia</w:t>
      </w:r>
      <w:r w:rsidR="00342D7E" w:rsidRPr="00342D7E">
        <w:t xml:space="preserve"> w</w:t>
      </w:r>
      <w:r w:rsidR="00342D7E">
        <w:t> </w:t>
      </w:r>
      <w:r w:rsidR="00342D7E" w:rsidRPr="00342D7E">
        <w:t>pos</w:t>
      </w:r>
      <w:r w:rsidRPr="00342D7E">
        <w:t>iadanie zabezpieczenia.</w:t>
      </w:r>
    </w:p>
    <w:p w:rsidR="00D35B0C" w:rsidRPr="00342D7E" w:rsidRDefault="004C5086">
      <w:pPr>
        <w:pStyle w:val="Baseparagraphnumbered"/>
      </w:pPr>
      <w:r w:rsidRPr="00342D7E">
        <w:t>Wypływ dotyczący kredytów</w:t>
      </w:r>
      <w:r w:rsidR="00342D7E" w:rsidRPr="00342D7E">
        <w:t xml:space="preserve"> i</w:t>
      </w:r>
      <w:r w:rsidR="00342D7E">
        <w:t> </w:t>
      </w:r>
      <w:r w:rsidR="00342D7E" w:rsidRPr="00342D7E">
        <w:t>zal</w:t>
      </w:r>
      <w:r w:rsidRPr="00342D7E">
        <w:t>iczek, które stały się nieobsługiwane</w:t>
      </w:r>
      <w:r w:rsidR="00342D7E" w:rsidRPr="00342D7E">
        <w:t xml:space="preserve"> w</w:t>
      </w:r>
      <w:r w:rsidR="00342D7E">
        <w:t> </w:t>
      </w:r>
      <w:r w:rsidR="00342D7E" w:rsidRPr="00342D7E">
        <w:t>dan</w:t>
      </w:r>
      <w:r w:rsidRPr="00342D7E">
        <w:t>ym okresie</w:t>
      </w:r>
      <w:r w:rsidR="00342D7E" w:rsidRPr="00342D7E">
        <w:t xml:space="preserve"> i</w:t>
      </w:r>
      <w:r w:rsidR="00342D7E">
        <w:t> </w:t>
      </w:r>
      <w:r w:rsidR="00342D7E" w:rsidRPr="00342D7E">
        <w:t>póź</w:t>
      </w:r>
      <w:r w:rsidRPr="00342D7E">
        <w:t>niej przestały spełniać kryteria klasyfikacji jako nieobsługiwane, zgłasza się oddzielnie.</w:t>
      </w:r>
    </w:p>
    <w:p w:rsidR="00D35B0C" w:rsidRPr="00342D7E" w:rsidRDefault="004C5086">
      <w:pPr>
        <w:pStyle w:val="sub-subtitlenumbered"/>
        <w:jc w:val="both"/>
      </w:pPr>
      <w:bookmarkStart w:id="91" w:name="_Toc31019193"/>
      <w:r w:rsidRPr="00342D7E">
        <w:t>Kredyty</w:t>
      </w:r>
      <w:r w:rsidR="00342D7E" w:rsidRPr="00342D7E">
        <w:t xml:space="preserve"> i</w:t>
      </w:r>
      <w:r w:rsidR="00342D7E">
        <w:t> </w:t>
      </w:r>
      <w:r w:rsidR="00342D7E" w:rsidRPr="00342D7E">
        <w:t>zal</w:t>
      </w:r>
      <w:r w:rsidRPr="00342D7E">
        <w:t>iczki: Przepływ utraty wartości</w:t>
      </w:r>
      <w:r w:rsidR="00342D7E" w:rsidRPr="00342D7E">
        <w:t xml:space="preserve"> i</w:t>
      </w:r>
      <w:r w:rsidR="00342D7E">
        <w:t> </w:t>
      </w:r>
      <w:r w:rsidR="00342D7E" w:rsidRPr="00342D7E">
        <w:t>sku</w:t>
      </w:r>
      <w:r w:rsidRPr="00342D7E">
        <w:t>mulowanych ujemnych zmian wartości godziwej</w:t>
      </w:r>
      <w:r w:rsidR="00342D7E" w:rsidRPr="00342D7E">
        <w:t xml:space="preserve"> z</w:t>
      </w:r>
      <w:r w:rsidR="00342D7E">
        <w:t> </w:t>
      </w:r>
      <w:r w:rsidR="00342D7E" w:rsidRPr="00342D7E">
        <w:t>pow</w:t>
      </w:r>
      <w:r w:rsidRPr="00342D7E">
        <w:t>odu ryzyka kredytowego</w:t>
      </w:r>
      <w:r w:rsidR="00342D7E" w:rsidRPr="00342D7E">
        <w:t xml:space="preserve"> z</w:t>
      </w:r>
      <w:r w:rsidR="00342D7E">
        <w:t> </w:t>
      </w:r>
      <w:r w:rsidR="00342D7E" w:rsidRPr="00342D7E">
        <w:t>tyt</w:t>
      </w:r>
      <w:r w:rsidRPr="00342D7E">
        <w:t>ułu ekspozycji nieobsługiwanych (24.2)</w:t>
      </w:r>
      <w:bookmarkEnd w:id="91"/>
    </w:p>
    <w:p w:rsidR="00D35B0C" w:rsidRPr="00342D7E" w:rsidRDefault="004C5086" w:rsidP="00056B6F">
      <w:pPr>
        <w:pStyle w:val="Baseparagraphnumbered"/>
        <w:numPr>
          <w:ilvl w:val="0"/>
          <w:numId w:val="22"/>
        </w:numPr>
      </w:pPr>
      <w:r w:rsidRPr="00342D7E">
        <w:t xml:space="preserve">Wzór 24.2 </w:t>
      </w:r>
      <w:proofErr w:type="gramStart"/>
      <w:r w:rsidRPr="00342D7E">
        <w:t>zawiera</w:t>
      </w:r>
      <w:proofErr w:type="gramEnd"/>
      <w:r w:rsidRPr="00342D7E">
        <w:t xml:space="preserve"> uzgodnienie salda początkowego</w:t>
      </w:r>
      <w:r w:rsidR="00342D7E" w:rsidRPr="00342D7E">
        <w:t xml:space="preserve"> i</w:t>
      </w:r>
      <w:r w:rsidR="00342D7E">
        <w:t> </w:t>
      </w:r>
      <w:r w:rsidR="00342D7E" w:rsidRPr="00342D7E">
        <w:t>sal</w:t>
      </w:r>
      <w:r w:rsidRPr="00342D7E">
        <w:t>da końcowego kont odpisów</w:t>
      </w:r>
      <w:r w:rsidR="00342D7E" w:rsidRPr="00342D7E">
        <w:t xml:space="preserve"> z</w:t>
      </w:r>
      <w:r w:rsidR="00342D7E">
        <w:t> </w:t>
      </w:r>
      <w:r w:rsidR="00342D7E" w:rsidRPr="00342D7E">
        <w:t>tyt</w:t>
      </w:r>
      <w:r w:rsidRPr="00342D7E">
        <w:t>ułu utraty wartości oraz stanu skumulowanych ujemnych zmian wartości godziwej</w:t>
      </w:r>
      <w:r w:rsidR="00342D7E" w:rsidRPr="00342D7E">
        <w:t xml:space="preserve"> z</w:t>
      </w:r>
      <w:r w:rsidR="00342D7E">
        <w:t> </w:t>
      </w:r>
      <w:r w:rsidR="00342D7E" w:rsidRPr="00342D7E">
        <w:t>pow</w:t>
      </w:r>
      <w:r w:rsidRPr="00342D7E">
        <w:t>odu ryzyka kredytowego</w:t>
      </w:r>
      <w:r w:rsidR="00342D7E" w:rsidRPr="00342D7E">
        <w:t xml:space="preserve"> z</w:t>
      </w:r>
      <w:r w:rsidR="00342D7E">
        <w:t> </w:t>
      </w:r>
      <w:r w:rsidR="00342D7E" w:rsidRPr="00342D7E">
        <w:t>tyt</w:t>
      </w:r>
      <w:r w:rsidRPr="00342D7E">
        <w:t>ułu pożyczek</w:t>
      </w:r>
      <w:r w:rsidR="00342D7E" w:rsidRPr="00342D7E">
        <w:t xml:space="preserve"> i</w:t>
      </w:r>
      <w:r w:rsidR="00342D7E">
        <w:t> </w:t>
      </w:r>
      <w:r w:rsidR="00342D7E" w:rsidRPr="00342D7E">
        <w:t>zal</w:t>
      </w:r>
      <w:r w:rsidRPr="00342D7E">
        <w:t>iczek, które są lub były zaklasyfikowane jako nieobsługiwane zgodnie</w:t>
      </w:r>
      <w:r w:rsidR="00342D7E" w:rsidRPr="00342D7E">
        <w:t xml:space="preserve"> z</w:t>
      </w:r>
      <w:r w:rsidR="00342D7E">
        <w:t> </w:t>
      </w:r>
      <w:r w:rsidR="00342D7E" w:rsidRPr="00342D7E">
        <w:t>pkt </w:t>
      </w:r>
      <w:r w:rsidRPr="00342D7E">
        <w:t>213–239 lub</w:t>
      </w:r>
      <w:r w:rsidR="00342D7E" w:rsidRPr="00342D7E">
        <w:t> </w:t>
      </w:r>
      <w:r w:rsidRPr="00342D7E">
        <w:t>260 niniejszej części.</w:t>
      </w:r>
    </w:p>
    <w:p w:rsidR="00D35B0C" w:rsidRPr="00342D7E" w:rsidRDefault="004C5086">
      <w:pPr>
        <w:pStyle w:val="Baseparagraphnumbered"/>
      </w:pPr>
      <w:r w:rsidRPr="00342D7E">
        <w:t>„Zwiększenia</w:t>
      </w:r>
      <w:r w:rsidR="00342D7E" w:rsidRPr="00342D7E">
        <w:t xml:space="preserve"> w</w:t>
      </w:r>
      <w:r w:rsidR="00342D7E">
        <w:t> </w:t>
      </w:r>
      <w:r w:rsidR="00342D7E" w:rsidRPr="00342D7E">
        <w:t>dan</w:t>
      </w:r>
      <w:r w:rsidRPr="00342D7E">
        <w:t>ym okresie obejmują”:</w:t>
      </w:r>
    </w:p>
    <w:p w:rsidR="00D35B0C" w:rsidRPr="00342D7E" w:rsidRDefault="004C5086" w:rsidP="00056B6F">
      <w:pPr>
        <w:numPr>
          <w:ilvl w:val="0"/>
          <w:numId w:val="86"/>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stan</w:t>
      </w:r>
      <w:proofErr w:type="gramEnd"/>
      <w:r w:rsidRPr="00342D7E">
        <w:rPr>
          <w:rFonts w:ascii="Times New Roman" w:hAnsi="Times New Roman"/>
          <w:sz w:val="24"/>
          <w:szCs w:val="24"/>
        </w:rPr>
        <w:t>, na sprawozdawczy dzień odniesienia, skumulowanej utraty wartości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sku</w:t>
      </w:r>
      <w:r w:rsidRPr="00342D7E">
        <w:rPr>
          <w:rFonts w:ascii="Times New Roman" w:hAnsi="Times New Roman"/>
          <w:sz w:val="24"/>
          <w:szCs w:val="24"/>
        </w:rPr>
        <w:t>mulowanych ujemnych zmian wartości godziwej</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ryzyka kredytowego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pożyczek</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iczek, które stały się nieobsługiwane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 i są wciąż klasyfikowane jako nieobsługiwane na sprawozdawczy dzień odniesienia;</w:t>
      </w:r>
    </w:p>
    <w:p w:rsidR="00D35B0C" w:rsidRPr="00342D7E" w:rsidRDefault="004C5086" w:rsidP="00056B6F">
      <w:pPr>
        <w:numPr>
          <w:ilvl w:val="0"/>
          <w:numId w:val="86"/>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stan</w:t>
      </w:r>
      <w:proofErr w:type="gramEnd"/>
      <w:r w:rsidRPr="00342D7E">
        <w:rPr>
          <w:rFonts w:ascii="Times New Roman" w:hAnsi="Times New Roman"/>
          <w:sz w:val="24"/>
          <w:szCs w:val="24"/>
        </w:rPr>
        <w:t>, na dzień zaprzestania ujmowania, skumulowanej utraty wartości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sku</w:t>
      </w:r>
      <w:r w:rsidRPr="00342D7E">
        <w:rPr>
          <w:rFonts w:ascii="Times New Roman" w:hAnsi="Times New Roman"/>
          <w:sz w:val="24"/>
          <w:szCs w:val="24"/>
        </w:rPr>
        <w:t>mulowanych ujemnych zmian wartości godziwej</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ryzyka kredytowego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pożyczek</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iczek, które stały się nieobsługiwane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 zaprzestano ujmować</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 oraz</w:t>
      </w:r>
    </w:p>
    <w:p w:rsidR="00D35B0C" w:rsidRPr="00342D7E" w:rsidRDefault="004C5086" w:rsidP="00056B6F">
      <w:pPr>
        <w:numPr>
          <w:ilvl w:val="0"/>
          <w:numId w:val="86"/>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zwiększenie</w:t>
      </w:r>
      <w:proofErr w:type="gramEnd"/>
      <w:r w:rsidRPr="00342D7E">
        <w:rPr>
          <w:rFonts w:ascii="Times New Roman" w:hAnsi="Times New Roman"/>
          <w:sz w:val="24"/>
          <w:szCs w:val="24"/>
        </w:rPr>
        <w:t xml:space="preserve"> skumulowanej utraty wartości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sku</w:t>
      </w:r>
      <w:r w:rsidRPr="00342D7E">
        <w:rPr>
          <w:rFonts w:ascii="Times New Roman" w:hAnsi="Times New Roman"/>
          <w:sz w:val="24"/>
          <w:szCs w:val="24"/>
        </w:rPr>
        <w:t>mulowanych ujemnych zmian wartości godziwej</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ryzyka kredytowego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pożyczek</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iczek, które sklasyfikowano jako nieobsługiwane na koniec poprzedniego roku obrotowego</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 są wciąż klasyfikowane jako takie na sprawozdawczy dzień odniesienia albo które zaprzestano ujmować</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w:t>
      </w:r>
    </w:p>
    <w:p w:rsidR="00D35B0C" w:rsidRPr="00342D7E" w:rsidRDefault="004C5086">
      <w:pPr>
        <w:pStyle w:val="Baseparagraphnumbered"/>
      </w:pPr>
      <w:r w:rsidRPr="00342D7E">
        <w:t>Część zwiększenia wynikającego</w:t>
      </w:r>
      <w:r w:rsidR="00342D7E" w:rsidRPr="00342D7E">
        <w:t xml:space="preserve"> z</w:t>
      </w:r>
      <w:r w:rsidR="00342D7E">
        <w:t> </w:t>
      </w:r>
      <w:r w:rsidR="00342D7E" w:rsidRPr="00342D7E">
        <w:t>utr</w:t>
      </w:r>
      <w:r w:rsidRPr="00342D7E">
        <w:t>aty wartości oraz skumulowanych ujemnych zmian wartości godziwej</w:t>
      </w:r>
      <w:r w:rsidR="00342D7E" w:rsidRPr="00342D7E">
        <w:t xml:space="preserve"> w</w:t>
      </w:r>
      <w:r w:rsidR="00342D7E">
        <w:t> </w:t>
      </w:r>
      <w:r w:rsidR="00342D7E" w:rsidRPr="00342D7E">
        <w:t>odn</w:t>
      </w:r>
      <w:r w:rsidRPr="00342D7E">
        <w:t>iesieniu do odsetek naliczonych zgłasza się ponadto oddzielnie.</w:t>
      </w:r>
    </w:p>
    <w:p w:rsidR="00D35B0C" w:rsidRPr="00342D7E" w:rsidRDefault="004C5086">
      <w:pPr>
        <w:pStyle w:val="Baseparagraphnumbered"/>
      </w:pPr>
      <w:r w:rsidRPr="00342D7E">
        <w:t>„Zmniejszenia</w:t>
      </w:r>
      <w:r w:rsidR="00342D7E" w:rsidRPr="00342D7E">
        <w:t xml:space="preserve"> w</w:t>
      </w:r>
      <w:r w:rsidR="00342D7E">
        <w:t> </w:t>
      </w:r>
      <w:r w:rsidR="00342D7E" w:rsidRPr="00342D7E">
        <w:t>dan</w:t>
      </w:r>
      <w:r w:rsidRPr="00342D7E">
        <w:t>ym okresie” obejmują:</w:t>
      </w:r>
    </w:p>
    <w:p w:rsidR="00D35B0C" w:rsidRPr="00342D7E" w:rsidRDefault="004C5086" w:rsidP="00056B6F">
      <w:pPr>
        <w:numPr>
          <w:ilvl w:val="0"/>
          <w:numId w:val="8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stan</w:t>
      </w:r>
      <w:proofErr w:type="gramEnd"/>
      <w:r w:rsidRPr="00342D7E">
        <w:rPr>
          <w:rFonts w:ascii="Times New Roman" w:hAnsi="Times New Roman"/>
          <w:sz w:val="24"/>
          <w:szCs w:val="24"/>
        </w:rPr>
        <w:t>, na dzień zaprzestania ujmowania, skumulowanej utraty wartości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sku</w:t>
      </w:r>
      <w:r w:rsidRPr="00342D7E">
        <w:rPr>
          <w:rFonts w:ascii="Times New Roman" w:hAnsi="Times New Roman"/>
          <w:sz w:val="24"/>
          <w:szCs w:val="24"/>
        </w:rPr>
        <w:t>mulowanych ujemnych zmian wartości godziwej</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ryzyka kredytowego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pożyczek</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iczek, które przestały być nieobsługiwane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opu</w:t>
      </w:r>
      <w:r w:rsidRPr="00342D7E">
        <w:rPr>
          <w:rFonts w:ascii="Times New Roman" w:hAnsi="Times New Roman"/>
          <w:sz w:val="24"/>
          <w:szCs w:val="24"/>
        </w:rPr>
        <w:t>ściły portfel instytucji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w:t>
      </w:r>
    </w:p>
    <w:p w:rsidR="00D35B0C" w:rsidRPr="00342D7E" w:rsidRDefault="004C5086" w:rsidP="00056B6F">
      <w:pPr>
        <w:numPr>
          <w:ilvl w:val="0"/>
          <w:numId w:val="8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stan</w:t>
      </w:r>
      <w:proofErr w:type="gramEnd"/>
      <w:r w:rsidRPr="00342D7E">
        <w:rPr>
          <w:rFonts w:ascii="Times New Roman" w:hAnsi="Times New Roman"/>
          <w:sz w:val="24"/>
          <w:szCs w:val="24"/>
        </w:rPr>
        <w:t>, na dzień odniesienia, skumulowanej utraty wartości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sku</w:t>
      </w:r>
      <w:r w:rsidRPr="00342D7E">
        <w:rPr>
          <w:rFonts w:ascii="Times New Roman" w:hAnsi="Times New Roman"/>
          <w:sz w:val="24"/>
          <w:szCs w:val="24"/>
        </w:rPr>
        <w:t>mulowanych ujemnych zmian wartości godziwej</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ryzyka kredytowego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pożyczek</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iczek, które przestały być nieobsługiwane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 xml:space="preserve">ym okresie i </w:t>
      </w:r>
      <w:r w:rsidRPr="00342D7E">
        <w:rPr>
          <w:rFonts w:ascii="Times New Roman" w:hAnsi="Times New Roman"/>
          <w:sz w:val="24"/>
          <w:szCs w:val="24"/>
        </w:rPr>
        <w:lastRenderedPageBreak/>
        <w:t>na sprawozdawczy dzień odniesienia nie są już klasyfikowane jako nieobsługiwane;</w:t>
      </w:r>
    </w:p>
    <w:p w:rsidR="00D35B0C" w:rsidRPr="00342D7E" w:rsidRDefault="004C5086" w:rsidP="00056B6F">
      <w:pPr>
        <w:numPr>
          <w:ilvl w:val="0"/>
          <w:numId w:val="8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stan</w:t>
      </w:r>
      <w:proofErr w:type="gramEnd"/>
      <w:r w:rsidRPr="00342D7E">
        <w:rPr>
          <w:rFonts w:ascii="Times New Roman" w:hAnsi="Times New Roman"/>
          <w:sz w:val="24"/>
          <w:szCs w:val="24"/>
        </w:rPr>
        <w:t>, na sprawozdawczy dzień odniesienia, skumulowanej utraty wartości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sku</w:t>
      </w:r>
      <w:r w:rsidRPr="00342D7E">
        <w:rPr>
          <w:rFonts w:ascii="Times New Roman" w:hAnsi="Times New Roman"/>
          <w:sz w:val="24"/>
          <w:szCs w:val="24"/>
        </w:rPr>
        <w:t>mulowanych ujemnych zmian wartości godziwej</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ryzyka kredytowego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pożyczek</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iczek, które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 xml:space="preserve">ym okresie przeklasyfikowano jako „przeznaczone do sprzedaży”; oraz </w:t>
      </w:r>
    </w:p>
    <w:p w:rsidR="00D35B0C" w:rsidRPr="00342D7E" w:rsidRDefault="004C5086" w:rsidP="00056B6F">
      <w:pPr>
        <w:numPr>
          <w:ilvl w:val="0"/>
          <w:numId w:val="87"/>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zmniejszenie</w:t>
      </w:r>
      <w:proofErr w:type="gramEnd"/>
      <w:r w:rsidRPr="00342D7E">
        <w:rPr>
          <w:rFonts w:ascii="Times New Roman" w:hAnsi="Times New Roman"/>
          <w:sz w:val="24"/>
          <w:szCs w:val="24"/>
        </w:rPr>
        <w:t xml:space="preserve"> skumulowanej utraty wartości</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sku</w:t>
      </w:r>
      <w:r w:rsidRPr="00342D7E">
        <w:rPr>
          <w:rFonts w:ascii="Times New Roman" w:hAnsi="Times New Roman"/>
          <w:sz w:val="24"/>
          <w:szCs w:val="24"/>
        </w:rPr>
        <w:t>mulowanych ujemnych zmian wartości godziwej</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ryzyka kredytowego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tyt</w:t>
      </w:r>
      <w:r w:rsidRPr="00342D7E">
        <w:rPr>
          <w:rFonts w:ascii="Times New Roman" w:hAnsi="Times New Roman"/>
          <w:sz w:val="24"/>
          <w:szCs w:val="24"/>
        </w:rPr>
        <w:t>ułu pożyczek</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iczek, które sklasyfikowano jako nieobsługiwane na koniec poprzedniego roku obrotowego</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 na sprawozdawczy dzień odniesienia są wciąż klasyfikowane jako takie.</w:t>
      </w:r>
    </w:p>
    <w:p w:rsidR="00D35B0C" w:rsidRPr="00342D7E" w:rsidRDefault="004C5086">
      <w:pPr>
        <w:pStyle w:val="Baseparagraphnumbered"/>
      </w:pPr>
      <w:r w:rsidRPr="00342D7E">
        <w:t>Następujące pozycje zgłasza się oddzielnie:</w:t>
      </w:r>
    </w:p>
    <w:p w:rsidR="00D35B0C" w:rsidRPr="00342D7E" w:rsidRDefault="00BA4E5D" w:rsidP="00056B6F">
      <w:pPr>
        <w:numPr>
          <w:ilvl w:val="0"/>
          <w:numId w:val="88"/>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zmniejszenie</w:t>
      </w:r>
      <w:proofErr w:type="gramEnd"/>
      <w:r w:rsidRPr="00342D7E">
        <w:rPr>
          <w:rFonts w:ascii="Times New Roman" w:hAnsi="Times New Roman"/>
          <w:sz w:val="24"/>
          <w:szCs w:val="24"/>
        </w:rPr>
        <w:t xml:space="preserve"> wynikające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odw</w:t>
      </w:r>
      <w:r w:rsidRPr="00342D7E">
        <w:rPr>
          <w:rFonts w:ascii="Times New Roman" w:hAnsi="Times New Roman"/>
          <w:sz w:val="24"/>
          <w:szCs w:val="24"/>
        </w:rPr>
        <w:t>rócenia odpisów aktualizujących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odw</w:t>
      </w:r>
      <w:r w:rsidRPr="00342D7E">
        <w:rPr>
          <w:rFonts w:ascii="Times New Roman" w:hAnsi="Times New Roman"/>
          <w:sz w:val="24"/>
          <w:szCs w:val="24"/>
        </w:rPr>
        <w:t>rócenia ujemnych zmian wartości godziwej</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pow</w:t>
      </w:r>
      <w:r w:rsidRPr="00342D7E">
        <w:rPr>
          <w:rFonts w:ascii="Times New Roman" w:hAnsi="Times New Roman"/>
          <w:sz w:val="24"/>
          <w:szCs w:val="24"/>
        </w:rPr>
        <w:t>odu ryzyka kredytowego;</w:t>
      </w:r>
    </w:p>
    <w:p w:rsidR="00D35B0C" w:rsidRPr="00342D7E" w:rsidRDefault="00BA4E5D" w:rsidP="00056B6F">
      <w:pPr>
        <w:numPr>
          <w:ilvl w:val="0"/>
          <w:numId w:val="88"/>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zmniejszenie</w:t>
      </w:r>
      <w:proofErr w:type="gramEnd"/>
      <w:r w:rsidRPr="00342D7E">
        <w:rPr>
          <w:rFonts w:ascii="Times New Roman" w:hAnsi="Times New Roman"/>
          <w:sz w:val="24"/>
          <w:szCs w:val="24"/>
        </w:rPr>
        <w:t xml:space="preserve"> wynikające z „likwidacji” dyskonta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kon</w:t>
      </w:r>
      <w:r w:rsidRPr="00342D7E">
        <w:rPr>
          <w:rFonts w:ascii="Times New Roman" w:hAnsi="Times New Roman"/>
          <w:sz w:val="24"/>
          <w:szCs w:val="24"/>
        </w:rPr>
        <w:t>tekście stosowania skutecznej metody księgowania stopy procentowej.</w:t>
      </w:r>
    </w:p>
    <w:p w:rsidR="00D35B0C" w:rsidRPr="00342D7E" w:rsidRDefault="004C5086">
      <w:pPr>
        <w:pStyle w:val="sub-subtitlenumbered"/>
        <w:jc w:val="both"/>
      </w:pPr>
      <w:bookmarkStart w:id="92" w:name="_Toc31019194"/>
      <w:r w:rsidRPr="00342D7E">
        <w:t>Kredyty</w:t>
      </w:r>
      <w:r w:rsidR="00342D7E" w:rsidRPr="00342D7E">
        <w:t xml:space="preserve"> i</w:t>
      </w:r>
      <w:r w:rsidR="00342D7E">
        <w:t> </w:t>
      </w:r>
      <w:r w:rsidR="00342D7E" w:rsidRPr="00342D7E">
        <w:t>zal</w:t>
      </w:r>
      <w:r w:rsidRPr="00342D7E">
        <w:t>iczki: Spisania ekspozycji nieobsługiwanych</w:t>
      </w:r>
      <w:r w:rsidR="00342D7E" w:rsidRPr="00342D7E">
        <w:t xml:space="preserve"> w</w:t>
      </w:r>
      <w:r w:rsidR="00342D7E">
        <w:t> </w:t>
      </w:r>
      <w:r w:rsidR="00342D7E" w:rsidRPr="00342D7E">
        <w:t>dan</w:t>
      </w:r>
      <w:r w:rsidRPr="00342D7E">
        <w:t>ym okresie (24.3)</w:t>
      </w:r>
      <w:bookmarkEnd w:id="92"/>
    </w:p>
    <w:p w:rsidR="00D35B0C" w:rsidRPr="00342D7E" w:rsidRDefault="004C5086">
      <w:pPr>
        <w:pStyle w:val="Baseparagraphnumbered"/>
      </w:pPr>
      <w:r w:rsidRPr="00342D7E">
        <w:t xml:space="preserve">Wzór 24.3 </w:t>
      </w:r>
      <w:proofErr w:type="gramStart"/>
      <w:r w:rsidRPr="00342D7E">
        <w:t>stosuje</w:t>
      </w:r>
      <w:proofErr w:type="gramEnd"/>
      <w:r w:rsidRPr="00342D7E">
        <w:t xml:space="preserve"> się do zgłaszania spisań, jak określono</w:t>
      </w:r>
      <w:r w:rsidR="00342D7E" w:rsidRPr="00342D7E">
        <w:t xml:space="preserve"> w</w:t>
      </w:r>
      <w:r w:rsidR="00342D7E">
        <w:t> </w:t>
      </w:r>
      <w:r w:rsidR="00342D7E" w:rsidRPr="00342D7E">
        <w:t>pkt </w:t>
      </w:r>
      <w:r w:rsidRPr="00342D7E">
        <w:t>74 niniejszej części,</w:t>
      </w:r>
      <w:r w:rsidR="00342D7E" w:rsidRPr="00342D7E">
        <w:t xml:space="preserve"> w</w:t>
      </w:r>
      <w:r w:rsidR="00342D7E">
        <w:t> </w:t>
      </w:r>
      <w:r w:rsidR="00342D7E" w:rsidRPr="00342D7E">
        <w:t>zak</w:t>
      </w:r>
      <w:r w:rsidRPr="00342D7E">
        <w:t>resie,</w:t>
      </w:r>
      <w:r w:rsidR="00342D7E" w:rsidRPr="00342D7E">
        <w:t xml:space="preserve"> w</w:t>
      </w:r>
      <w:r w:rsidR="00342D7E">
        <w:t> </w:t>
      </w:r>
      <w:r w:rsidR="00342D7E" w:rsidRPr="00342D7E">
        <w:t>jak</w:t>
      </w:r>
      <w:r w:rsidRPr="00342D7E">
        <w:t>im (i) dokonano ich</w:t>
      </w:r>
      <w:r w:rsidR="00342D7E" w:rsidRPr="00342D7E">
        <w:t xml:space="preserve"> w</w:t>
      </w:r>
      <w:r w:rsidR="00342D7E">
        <w:t> </w:t>
      </w:r>
      <w:r w:rsidR="00342D7E" w:rsidRPr="00342D7E">
        <w:t>dan</w:t>
      </w:r>
      <w:r w:rsidRPr="00342D7E">
        <w:t>ym okresie (wpływy) oraz (ii) odnoszą się one do kredytów</w:t>
      </w:r>
      <w:r w:rsidR="00342D7E" w:rsidRPr="00342D7E">
        <w:t xml:space="preserve"> i</w:t>
      </w:r>
      <w:r w:rsidR="00342D7E">
        <w:t> </w:t>
      </w:r>
      <w:r w:rsidR="00342D7E" w:rsidRPr="00342D7E">
        <w:t>zal</w:t>
      </w:r>
      <w:r w:rsidRPr="00342D7E">
        <w:t>iczek sklasyfikowanych jako nieobsługiwane zgodnie</w:t>
      </w:r>
      <w:r w:rsidR="00342D7E" w:rsidRPr="00342D7E">
        <w:t xml:space="preserve"> z</w:t>
      </w:r>
      <w:r w:rsidR="00342D7E">
        <w:t> </w:t>
      </w:r>
      <w:r w:rsidR="00342D7E" w:rsidRPr="00342D7E">
        <w:t>pkt </w:t>
      </w:r>
      <w:r w:rsidRPr="00342D7E">
        <w:t>213–239 lub</w:t>
      </w:r>
      <w:r w:rsidR="00342D7E" w:rsidRPr="00342D7E">
        <w:t> </w:t>
      </w:r>
      <w:r w:rsidRPr="00342D7E">
        <w:t>260 niniejszej części</w:t>
      </w:r>
      <w:r w:rsidR="00342D7E" w:rsidRPr="00342D7E">
        <w:t xml:space="preserve"> w</w:t>
      </w:r>
      <w:r w:rsidR="00342D7E">
        <w:t> </w:t>
      </w:r>
      <w:r w:rsidR="00342D7E" w:rsidRPr="00342D7E">
        <w:t>dan</w:t>
      </w:r>
      <w:r w:rsidRPr="00342D7E">
        <w:t>ym okresie,</w:t>
      </w:r>
      <w:r w:rsidR="00342D7E" w:rsidRPr="00342D7E">
        <w:t xml:space="preserve"> z</w:t>
      </w:r>
      <w:r w:rsidR="00342D7E">
        <w:t> </w:t>
      </w:r>
      <w:r w:rsidR="00342D7E" w:rsidRPr="00342D7E">
        <w:t>wył</w:t>
      </w:r>
      <w:r w:rsidRPr="00342D7E">
        <w:t>ączeniem kredytów</w:t>
      </w:r>
      <w:r w:rsidR="00342D7E" w:rsidRPr="00342D7E">
        <w:t xml:space="preserve"> i</w:t>
      </w:r>
      <w:r w:rsidR="00342D7E">
        <w:t> </w:t>
      </w:r>
      <w:r w:rsidR="00342D7E" w:rsidRPr="00342D7E">
        <w:t>zal</w:t>
      </w:r>
      <w:r w:rsidRPr="00342D7E">
        <w:t>iczek sklasyfikowanych jako przeznaczone do obrotu, aktywa finansowe</w:t>
      </w:r>
      <w:r w:rsidR="00342D7E" w:rsidRPr="00342D7E">
        <w:t xml:space="preserve"> z</w:t>
      </w:r>
      <w:r w:rsidR="00342D7E">
        <w:t> </w:t>
      </w:r>
      <w:r w:rsidR="00342D7E" w:rsidRPr="00342D7E">
        <w:t>prz</w:t>
      </w:r>
      <w:r w:rsidRPr="00342D7E">
        <w:t>eznaczeniem do obrotu lub przeznaczone do sprzedaży. Zgłasza się spisania zarówno częściowe, jak</w:t>
      </w:r>
      <w:r w:rsidR="00342D7E" w:rsidRPr="00342D7E">
        <w:t xml:space="preserve"> i</w:t>
      </w:r>
      <w:r w:rsidR="00342D7E">
        <w:t> </w:t>
      </w:r>
      <w:r w:rsidR="00342D7E" w:rsidRPr="00342D7E">
        <w:t>cał</w:t>
      </w:r>
      <w:r w:rsidRPr="00342D7E">
        <w:t>kowite. Spośród tych spisań zgłasza się oddzielnie te, które związane są</w:t>
      </w:r>
      <w:r w:rsidR="00342D7E" w:rsidRPr="00342D7E">
        <w:t xml:space="preserve"> z</w:t>
      </w:r>
      <w:r w:rsidR="00342D7E">
        <w:t> </w:t>
      </w:r>
      <w:r w:rsidR="00342D7E" w:rsidRPr="00342D7E">
        <w:t>utr</w:t>
      </w:r>
      <w:r w:rsidRPr="00342D7E">
        <w:t>atą prawa do legalnego odzyskania ekspozycji lub jej części.</w:t>
      </w:r>
    </w:p>
    <w:p w:rsidR="00D35B0C" w:rsidRPr="00342D7E" w:rsidRDefault="004C5086">
      <w:pPr>
        <w:pStyle w:val="subtitlenumbered"/>
        <w:jc w:val="both"/>
      </w:pPr>
      <w:bookmarkStart w:id="93" w:name="_Toc31019195"/>
      <w:r w:rsidRPr="00342D7E">
        <w:t>ZABEZPIECZENIE UZYSKANE POPRZEZ WEJŚCIE W POSIADANIE I W DRODZE POSTĘPOWAŃ EGZEKUCYJNYCH (25)</w:t>
      </w:r>
      <w:bookmarkEnd w:id="93"/>
    </w:p>
    <w:p w:rsidR="00D35B0C" w:rsidRPr="00342D7E" w:rsidRDefault="004C5086">
      <w:pPr>
        <w:pStyle w:val="Baseparagraphnumbered"/>
      </w:pPr>
      <w:r w:rsidRPr="00342D7E">
        <w:t>„Zabezpieczenie uzyskane poprzez wejście</w:t>
      </w:r>
      <w:r w:rsidR="00342D7E" w:rsidRPr="00342D7E">
        <w:t xml:space="preserve"> w</w:t>
      </w:r>
      <w:r w:rsidR="00342D7E">
        <w:t> </w:t>
      </w:r>
      <w:r w:rsidR="00342D7E" w:rsidRPr="00342D7E">
        <w:t>pos</w:t>
      </w:r>
      <w:r w:rsidRPr="00342D7E">
        <w:t>iadanie” obejmuje zarówno aktywa, które dłużnik oddał</w:t>
      </w:r>
      <w:r w:rsidR="00342D7E" w:rsidRPr="00342D7E">
        <w:t xml:space="preserve"> w</w:t>
      </w:r>
      <w:r w:rsidR="00342D7E">
        <w:t> </w:t>
      </w:r>
      <w:r w:rsidR="00342D7E" w:rsidRPr="00342D7E">
        <w:t>zas</w:t>
      </w:r>
      <w:r w:rsidRPr="00342D7E">
        <w:t>taw jako zabezpieczenie, jak też aktywa, których dłużnik nie oddał</w:t>
      </w:r>
      <w:r w:rsidR="00342D7E" w:rsidRPr="00342D7E">
        <w:t xml:space="preserve"> w</w:t>
      </w:r>
      <w:r w:rsidR="00342D7E">
        <w:t> </w:t>
      </w:r>
      <w:r w:rsidR="00342D7E" w:rsidRPr="00342D7E">
        <w:t>zas</w:t>
      </w:r>
      <w:r w:rsidRPr="00342D7E">
        <w:t>taw jako zabezpieczenia, natomiast uzyskano je</w:t>
      </w:r>
      <w:r w:rsidR="00342D7E" w:rsidRPr="00342D7E">
        <w:t xml:space="preserve"> w</w:t>
      </w:r>
      <w:r w:rsidR="00342D7E">
        <w:t> </w:t>
      </w:r>
      <w:r w:rsidR="00342D7E" w:rsidRPr="00342D7E">
        <w:t>zam</w:t>
      </w:r>
      <w:r w:rsidRPr="00342D7E">
        <w:t>ian za umorzenie długu, czy to na podstawie dobrowolnej, czy też</w:t>
      </w:r>
      <w:r w:rsidR="00342D7E" w:rsidRPr="00342D7E">
        <w:t xml:space="preserve"> w</w:t>
      </w:r>
      <w:r w:rsidR="00342D7E">
        <w:t> </w:t>
      </w:r>
      <w:r w:rsidR="00342D7E" w:rsidRPr="00342D7E">
        <w:t>ram</w:t>
      </w:r>
      <w:r w:rsidRPr="00342D7E">
        <w:t>ach postępowania sądowego.</w:t>
      </w:r>
    </w:p>
    <w:p w:rsidR="00D35B0C" w:rsidRPr="00342D7E" w:rsidRDefault="004C5086">
      <w:pPr>
        <w:pStyle w:val="sub-subtitlenumbered"/>
        <w:jc w:val="both"/>
      </w:pPr>
      <w:bookmarkStart w:id="94" w:name="_Toc31019196"/>
      <w:r w:rsidRPr="00342D7E">
        <w:t>Zabezpieczenie uzyskane poprzez wejście</w:t>
      </w:r>
      <w:r w:rsidR="00342D7E" w:rsidRPr="00342D7E">
        <w:t xml:space="preserve"> w</w:t>
      </w:r>
      <w:r w:rsidR="00342D7E">
        <w:t> </w:t>
      </w:r>
      <w:r w:rsidR="00342D7E" w:rsidRPr="00342D7E">
        <w:t>pos</w:t>
      </w:r>
      <w:r w:rsidRPr="00342D7E">
        <w:t>iadanie inne niż zabezpieczenie sklasyfikowane jako rzeczowe aktywa trwałe: wpływy</w:t>
      </w:r>
      <w:r w:rsidR="00342D7E" w:rsidRPr="00342D7E">
        <w:t xml:space="preserve"> i</w:t>
      </w:r>
      <w:r w:rsidR="00342D7E">
        <w:t> </w:t>
      </w:r>
      <w:r w:rsidR="00342D7E" w:rsidRPr="00342D7E">
        <w:t>wyp</w:t>
      </w:r>
      <w:r w:rsidRPr="00342D7E">
        <w:t>ływy (25.1)</w:t>
      </w:r>
      <w:bookmarkEnd w:id="94"/>
    </w:p>
    <w:p w:rsidR="00D35B0C" w:rsidRPr="00342D7E" w:rsidRDefault="004C5086">
      <w:pPr>
        <w:pStyle w:val="Baseparagraphnumbered"/>
      </w:pPr>
      <w:r w:rsidRPr="00342D7E">
        <w:t xml:space="preserve">Formularz 25.1 </w:t>
      </w:r>
      <w:proofErr w:type="gramStart"/>
      <w:r w:rsidRPr="00342D7E">
        <w:t>stosuje</w:t>
      </w:r>
      <w:proofErr w:type="gramEnd"/>
      <w:r w:rsidRPr="00342D7E">
        <w:t xml:space="preserve"> się</w:t>
      </w:r>
      <w:r w:rsidR="00342D7E" w:rsidRPr="00342D7E">
        <w:t xml:space="preserve"> w</w:t>
      </w:r>
      <w:r w:rsidR="00342D7E">
        <w:t> </w:t>
      </w:r>
      <w:r w:rsidR="00342D7E" w:rsidRPr="00342D7E">
        <w:t>cel</w:t>
      </w:r>
      <w:r w:rsidRPr="00342D7E">
        <w:t>u przedstawienia uzgodnienia salda początkowego, na początku roku obrotowego, oraz salda końcowego stanu zabezpieczeń uzyskanych poprzez wejście</w:t>
      </w:r>
      <w:r w:rsidR="00342D7E" w:rsidRPr="00342D7E">
        <w:t xml:space="preserve"> w</w:t>
      </w:r>
      <w:r w:rsidR="00342D7E">
        <w:t> </w:t>
      </w:r>
      <w:r w:rsidR="00342D7E" w:rsidRPr="00342D7E">
        <w:t>pos</w:t>
      </w:r>
      <w:r w:rsidRPr="00342D7E">
        <w:t xml:space="preserve">iadanie, innych niż zabezpieczenia sklasyfikowane jako rzeczowe aktywa trwałe. Ponadto wzór ten przedstawia informacje dotyczące powiązanego „zmniejszenia salda </w:t>
      </w:r>
      <w:r w:rsidRPr="00342D7E">
        <w:lastRenderedPageBreak/>
        <w:t>zadłużenia” oraz wartości zabezpieczenia uzyskanego poprzez wejście</w:t>
      </w:r>
      <w:r w:rsidR="00342D7E" w:rsidRPr="00342D7E">
        <w:t xml:space="preserve"> w</w:t>
      </w:r>
      <w:r w:rsidR="00342D7E">
        <w:t> </w:t>
      </w:r>
      <w:r w:rsidR="00342D7E" w:rsidRPr="00342D7E">
        <w:t>pos</w:t>
      </w:r>
      <w:r w:rsidRPr="00342D7E">
        <w:t>iadanie</w:t>
      </w:r>
      <w:r w:rsidR="00342D7E" w:rsidRPr="00342D7E">
        <w:t xml:space="preserve"> w</w:t>
      </w:r>
      <w:r w:rsidR="00342D7E">
        <w:t> </w:t>
      </w:r>
      <w:r w:rsidR="00342D7E" w:rsidRPr="00342D7E">
        <w:t>mom</w:t>
      </w:r>
      <w:r w:rsidRPr="00342D7E">
        <w:t>encie jego początkowego ujęcia.</w:t>
      </w:r>
    </w:p>
    <w:p w:rsidR="00D35B0C" w:rsidRPr="00342D7E" w:rsidRDefault="004C5086">
      <w:pPr>
        <w:pStyle w:val="Baseparagraphnumbered"/>
      </w:pPr>
      <w:r w:rsidRPr="00342D7E">
        <w:t>Pozycja „Zmniejszenie salda zadłużenia” oznacza wartość bilansową brutto ekspozycji, którą zaprzestano ujmować</w:t>
      </w:r>
      <w:r w:rsidR="00342D7E" w:rsidRPr="00342D7E">
        <w:t xml:space="preserve"> w</w:t>
      </w:r>
      <w:r w:rsidR="00342D7E">
        <w:t> </w:t>
      </w:r>
      <w:r w:rsidR="00342D7E" w:rsidRPr="00342D7E">
        <w:t>bil</w:t>
      </w:r>
      <w:r w:rsidRPr="00342D7E">
        <w:t>ansie</w:t>
      </w:r>
      <w:r w:rsidR="00342D7E" w:rsidRPr="00342D7E">
        <w:t xml:space="preserve"> w</w:t>
      </w:r>
      <w:r w:rsidR="00342D7E">
        <w:t> </w:t>
      </w:r>
      <w:r w:rsidR="00342D7E" w:rsidRPr="00342D7E">
        <w:t>zam</w:t>
      </w:r>
      <w:r w:rsidRPr="00342D7E">
        <w:t>ian za zabezpieczenie uzyskane poprzez wejście</w:t>
      </w:r>
      <w:r w:rsidR="00342D7E" w:rsidRPr="00342D7E">
        <w:t xml:space="preserve"> w</w:t>
      </w:r>
      <w:r w:rsidR="00342D7E">
        <w:t> </w:t>
      </w:r>
      <w:r w:rsidR="00342D7E" w:rsidRPr="00342D7E">
        <w:t>pos</w:t>
      </w:r>
      <w:r w:rsidRPr="00342D7E">
        <w:t>iadanie, dokładnie</w:t>
      </w:r>
      <w:r w:rsidR="00342D7E" w:rsidRPr="00342D7E">
        <w:t xml:space="preserve"> w</w:t>
      </w:r>
      <w:r w:rsidR="00342D7E">
        <w:t> </w:t>
      </w:r>
      <w:r w:rsidR="00342D7E" w:rsidRPr="00342D7E">
        <w:t>mom</w:t>
      </w:r>
      <w:r w:rsidRPr="00342D7E">
        <w:t>encie wymiany, oraz powiązaną utratę wartości</w:t>
      </w:r>
      <w:r w:rsidR="00342D7E" w:rsidRPr="00342D7E">
        <w:t xml:space="preserve"> i</w:t>
      </w:r>
      <w:r w:rsidR="00342D7E">
        <w:t> </w:t>
      </w:r>
      <w:r w:rsidR="00342D7E" w:rsidRPr="00342D7E">
        <w:t>uje</w:t>
      </w:r>
      <w:r w:rsidRPr="00342D7E">
        <w:t>mne zmiany wartości godziwej</w:t>
      </w:r>
      <w:r w:rsidR="00342D7E" w:rsidRPr="00342D7E">
        <w:t xml:space="preserve"> z</w:t>
      </w:r>
      <w:r w:rsidR="00342D7E">
        <w:t> </w:t>
      </w:r>
      <w:r w:rsidR="00342D7E" w:rsidRPr="00342D7E">
        <w:t>pow</w:t>
      </w:r>
      <w:r w:rsidRPr="00342D7E">
        <w:t>odu ryzyka kredytowego skumulowane na ten moment. Jeżeli</w:t>
      </w:r>
      <w:r w:rsidR="00342D7E" w:rsidRPr="00342D7E">
        <w:t xml:space="preserve"> w</w:t>
      </w:r>
      <w:r w:rsidR="00342D7E">
        <w:t> </w:t>
      </w:r>
      <w:r w:rsidR="00342D7E" w:rsidRPr="00342D7E">
        <w:t>mom</w:t>
      </w:r>
      <w:r w:rsidRPr="00342D7E">
        <w:t>encie wymiany dokonano spisania, kwotę tę uznaje się również za część zmniejszenia salda zadłużenia. Nie zgłasza się przypadków zaprzestania ujmowania</w:t>
      </w:r>
      <w:r w:rsidR="00342D7E" w:rsidRPr="00342D7E">
        <w:t xml:space="preserve"> w</w:t>
      </w:r>
      <w:r w:rsidR="00342D7E">
        <w:t> </w:t>
      </w:r>
      <w:r w:rsidR="00342D7E" w:rsidRPr="00342D7E">
        <w:t>bil</w:t>
      </w:r>
      <w:r w:rsidRPr="00342D7E">
        <w:t>ansie wynikających</w:t>
      </w:r>
      <w:r w:rsidR="00342D7E" w:rsidRPr="00342D7E">
        <w:t xml:space="preserve"> z</w:t>
      </w:r>
      <w:r w:rsidR="00342D7E">
        <w:t> </w:t>
      </w:r>
      <w:r w:rsidR="00342D7E" w:rsidRPr="00342D7E">
        <w:t>inn</w:t>
      </w:r>
      <w:r w:rsidRPr="00342D7E">
        <w:t>ych przyczyn, takich jak przepływy pieniężne.</w:t>
      </w:r>
    </w:p>
    <w:p w:rsidR="00D35B0C" w:rsidRPr="00342D7E" w:rsidRDefault="004C5086">
      <w:pPr>
        <w:pStyle w:val="Baseparagraphnumbered"/>
      </w:pPr>
      <w:r w:rsidRPr="00342D7E">
        <w:t>„Wartość</w:t>
      </w:r>
      <w:r w:rsidR="00342D7E" w:rsidRPr="00342D7E">
        <w:t xml:space="preserve"> w</w:t>
      </w:r>
      <w:r w:rsidR="00342D7E">
        <w:t> </w:t>
      </w:r>
      <w:r w:rsidR="00342D7E" w:rsidRPr="00342D7E">
        <w:t>mom</w:t>
      </w:r>
      <w:r w:rsidRPr="00342D7E">
        <w:t>encie początkowego ujęcia” ma takie samo znaczenie jak</w:t>
      </w:r>
      <w:r w:rsidR="00342D7E" w:rsidRPr="00342D7E">
        <w:t xml:space="preserve"> w</w:t>
      </w:r>
      <w:r w:rsidR="00342D7E">
        <w:t> </w:t>
      </w:r>
      <w:r w:rsidR="00342D7E" w:rsidRPr="00342D7E">
        <w:t>pkt </w:t>
      </w:r>
      <w:r w:rsidRPr="00342D7E">
        <w:t>175i niniejszej części.</w:t>
      </w:r>
    </w:p>
    <w:p w:rsidR="00D35B0C" w:rsidRPr="00342D7E" w:rsidRDefault="004C5086">
      <w:pPr>
        <w:pStyle w:val="Baseparagraphnumbered"/>
      </w:pPr>
      <w:r w:rsidRPr="00342D7E">
        <w:t>W odniesieniu do „wpływów</w:t>
      </w:r>
      <w:r w:rsidR="00342D7E" w:rsidRPr="00342D7E">
        <w:t xml:space="preserve"> w</w:t>
      </w:r>
      <w:r w:rsidR="00342D7E">
        <w:t> </w:t>
      </w:r>
      <w:r w:rsidR="00342D7E" w:rsidRPr="00342D7E">
        <w:t>dan</w:t>
      </w:r>
      <w:r w:rsidRPr="00342D7E">
        <w:t>ym okresie”:</w:t>
      </w:r>
    </w:p>
    <w:p w:rsidR="00D35B0C" w:rsidRPr="00342D7E" w:rsidRDefault="00BD4FCE">
      <w:pPr>
        <w:pStyle w:val="Baseparagraphnumbered"/>
        <w:numPr>
          <w:ilvl w:val="0"/>
          <w:numId w:val="0"/>
        </w:numPr>
        <w:ind w:left="1418" w:hanging="632"/>
      </w:pPr>
      <w:r w:rsidRPr="00342D7E">
        <w:t>a</w:t>
      </w:r>
      <w:proofErr w:type="gramStart"/>
      <w:r w:rsidRPr="00342D7E">
        <w:t>)</w:t>
      </w:r>
      <w:r w:rsidRPr="00342D7E">
        <w:tab/>
        <w:t>zabezpieczenie</w:t>
      </w:r>
      <w:proofErr w:type="gramEnd"/>
      <w:r w:rsidRPr="00342D7E">
        <w:t xml:space="preserve"> uzyskane poprzez wejście</w:t>
      </w:r>
      <w:r w:rsidR="00342D7E" w:rsidRPr="00342D7E">
        <w:t xml:space="preserve"> w</w:t>
      </w:r>
      <w:r w:rsidR="00342D7E">
        <w:t> </w:t>
      </w:r>
      <w:r w:rsidR="00342D7E" w:rsidRPr="00342D7E">
        <w:t>pos</w:t>
      </w:r>
      <w:r w:rsidRPr="00342D7E">
        <w:t>iadanie obejmuje: (i) nowe zabezpieczenie uzyskane poprzez wejście</w:t>
      </w:r>
      <w:r w:rsidR="00342D7E" w:rsidRPr="00342D7E">
        <w:t xml:space="preserve"> w</w:t>
      </w:r>
      <w:r w:rsidR="00342D7E">
        <w:t> </w:t>
      </w:r>
      <w:r w:rsidR="00342D7E" w:rsidRPr="00342D7E">
        <w:t>pos</w:t>
      </w:r>
      <w:r w:rsidRPr="00342D7E">
        <w:t>iadanie</w:t>
      </w:r>
      <w:r w:rsidR="00342D7E" w:rsidRPr="00342D7E">
        <w:t xml:space="preserve"> w</w:t>
      </w:r>
      <w:r w:rsidR="00342D7E">
        <w:t> </w:t>
      </w:r>
      <w:r w:rsidR="00342D7E" w:rsidRPr="00342D7E">
        <w:t>dan</w:t>
      </w:r>
      <w:r w:rsidRPr="00342D7E">
        <w:t>ym okresie (od początku roku obrotowego), niezależnie od tego, czy zabezpieczenie to jest nadal ujmowane</w:t>
      </w:r>
      <w:r w:rsidR="00342D7E" w:rsidRPr="00342D7E">
        <w:t xml:space="preserve"> w</w:t>
      </w:r>
      <w:r w:rsidR="00342D7E">
        <w:t> </w:t>
      </w:r>
      <w:r w:rsidR="00342D7E" w:rsidRPr="00342D7E">
        <w:t>bil</w:t>
      </w:r>
      <w:r w:rsidRPr="00342D7E">
        <w:t>ansie instytucji (utrzymywane) na sprawozdawczy dzień odniesienia, czy nie, i (ii) dodatnie zmiany</w:t>
      </w:r>
      <w:r w:rsidR="00342D7E" w:rsidRPr="00342D7E">
        <w:t xml:space="preserve"> w</w:t>
      </w:r>
      <w:r w:rsidR="00342D7E">
        <w:t> </w:t>
      </w:r>
      <w:r w:rsidR="00342D7E" w:rsidRPr="00342D7E">
        <w:t>wyc</w:t>
      </w:r>
      <w:r w:rsidRPr="00342D7E">
        <w:t>enie zabezpieczenia</w:t>
      </w:r>
      <w:r w:rsidR="00342D7E" w:rsidRPr="00342D7E">
        <w:t xml:space="preserve"> w</w:t>
      </w:r>
      <w:r w:rsidR="00342D7E">
        <w:t> </w:t>
      </w:r>
      <w:r w:rsidR="00342D7E" w:rsidRPr="00342D7E">
        <w:t>dan</w:t>
      </w:r>
      <w:r w:rsidRPr="00342D7E">
        <w:t>ym okresie wynikające</w:t>
      </w:r>
      <w:r w:rsidR="00342D7E" w:rsidRPr="00342D7E">
        <w:t xml:space="preserve"> z</w:t>
      </w:r>
      <w:r w:rsidR="00342D7E">
        <w:t> </w:t>
      </w:r>
      <w:r w:rsidR="00342D7E" w:rsidRPr="00342D7E">
        <w:t>róż</w:t>
      </w:r>
      <w:r w:rsidRPr="00342D7E">
        <w:t>nych przyczyn (takich jak dodatnie zmiany</w:t>
      </w:r>
      <w:r w:rsidR="00342D7E" w:rsidRPr="00342D7E">
        <w:t xml:space="preserve"> w</w:t>
      </w:r>
      <w:r w:rsidR="00342D7E">
        <w:t> </w:t>
      </w:r>
      <w:r w:rsidR="00342D7E" w:rsidRPr="00342D7E">
        <w:t>war</w:t>
      </w:r>
      <w:r w:rsidRPr="00342D7E">
        <w:t>tości godziwej, aprecjacja, odwrócenie utraty wartości, zmiany zasad rachunkowości). Tego typu wpływy zgłasza się dodatkowo oddzielnie.</w:t>
      </w:r>
    </w:p>
    <w:p w:rsidR="00D35B0C" w:rsidRPr="00342D7E" w:rsidRDefault="00CC4CFA">
      <w:pPr>
        <w:pStyle w:val="Baseparagraphnumbered"/>
        <w:numPr>
          <w:ilvl w:val="0"/>
          <w:numId w:val="0"/>
        </w:numPr>
        <w:ind w:left="1418" w:hanging="632"/>
      </w:pPr>
      <w:r w:rsidRPr="00342D7E">
        <w:t>b</w:t>
      </w:r>
      <w:proofErr w:type="gramStart"/>
      <w:r w:rsidRPr="00342D7E">
        <w:t>)</w:t>
      </w:r>
      <w:r w:rsidRPr="00342D7E">
        <w:tab/>
        <w:t>„zmniejszenie</w:t>
      </w:r>
      <w:proofErr w:type="gramEnd"/>
      <w:r w:rsidRPr="00342D7E">
        <w:t xml:space="preserve"> salda zadłużenia” odzwierciedla zmniejszenie salda zadłużenia</w:t>
      </w:r>
      <w:r w:rsidR="00342D7E" w:rsidRPr="00342D7E">
        <w:t xml:space="preserve"> z</w:t>
      </w:r>
      <w:r w:rsidR="00342D7E">
        <w:t> </w:t>
      </w:r>
      <w:r w:rsidR="00342D7E" w:rsidRPr="00342D7E">
        <w:t>tyt</w:t>
      </w:r>
      <w:r w:rsidRPr="00342D7E">
        <w:t>ułu ekspozycji, którą wyłączono</w:t>
      </w:r>
      <w:r w:rsidR="00342D7E" w:rsidRPr="00342D7E">
        <w:t xml:space="preserve"> z</w:t>
      </w:r>
      <w:r w:rsidR="00342D7E">
        <w:t> </w:t>
      </w:r>
      <w:r w:rsidR="00342D7E" w:rsidRPr="00342D7E">
        <w:t>bil</w:t>
      </w:r>
      <w:r w:rsidRPr="00342D7E">
        <w:t>ansu</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zab</w:t>
      </w:r>
      <w:r w:rsidRPr="00342D7E">
        <w:t>ezpieczeniem, które uzyskano</w:t>
      </w:r>
      <w:r w:rsidR="00342D7E" w:rsidRPr="00342D7E">
        <w:t xml:space="preserve"> w</w:t>
      </w:r>
      <w:r w:rsidR="00342D7E">
        <w:t> </w:t>
      </w:r>
      <w:r w:rsidR="00342D7E" w:rsidRPr="00342D7E">
        <w:t>dan</w:t>
      </w:r>
      <w:r w:rsidRPr="00342D7E">
        <w:t xml:space="preserve">ym okresie. </w:t>
      </w:r>
    </w:p>
    <w:p w:rsidR="00D35B0C" w:rsidRPr="00342D7E" w:rsidRDefault="00CC4CFA">
      <w:pPr>
        <w:pStyle w:val="Baseparagraphnumbered"/>
      </w:pPr>
      <w:r w:rsidRPr="00342D7E">
        <w:t>W odniesieniu do „wypływów</w:t>
      </w:r>
      <w:r w:rsidR="00342D7E" w:rsidRPr="00342D7E">
        <w:t xml:space="preserve"> w</w:t>
      </w:r>
      <w:r w:rsidR="00342D7E">
        <w:t> </w:t>
      </w:r>
      <w:r w:rsidR="00342D7E" w:rsidRPr="00342D7E">
        <w:t>dan</w:t>
      </w:r>
      <w:r w:rsidRPr="00342D7E">
        <w:t>ym okresie”:</w:t>
      </w:r>
    </w:p>
    <w:p w:rsidR="00D35B0C" w:rsidRPr="00342D7E" w:rsidRDefault="00E71640">
      <w:pPr>
        <w:pStyle w:val="Baseparagraphnumbered"/>
        <w:numPr>
          <w:ilvl w:val="0"/>
          <w:numId w:val="0"/>
        </w:numPr>
        <w:ind w:left="1418" w:hanging="632"/>
      </w:pPr>
      <w:r w:rsidRPr="00342D7E">
        <w:t>a</w:t>
      </w:r>
      <w:proofErr w:type="gramStart"/>
      <w:r w:rsidRPr="00342D7E">
        <w:t>)</w:t>
      </w:r>
      <w:r w:rsidRPr="00342D7E">
        <w:tab/>
        <w:t>zabezpieczenie</w:t>
      </w:r>
      <w:proofErr w:type="gramEnd"/>
      <w:r w:rsidRPr="00342D7E">
        <w:t xml:space="preserve"> uzyskane poprzez wejście</w:t>
      </w:r>
      <w:r w:rsidR="00342D7E" w:rsidRPr="00342D7E">
        <w:t xml:space="preserve"> w</w:t>
      </w:r>
      <w:r w:rsidR="00342D7E">
        <w:t> </w:t>
      </w:r>
      <w:r w:rsidR="00342D7E" w:rsidRPr="00342D7E">
        <w:t>pos</w:t>
      </w:r>
      <w:r w:rsidRPr="00342D7E">
        <w:t>iadanie obejmuje: (i) zabezpieczenie sprzedane za gotówkę</w:t>
      </w:r>
      <w:r w:rsidR="00342D7E" w:rsidRPr="00342D7E">
        <w:t xml:space="preserve"> w</w:t>
      </w:r>
      <w:r w:rsidR="00342D7E">
        <w:t> </w:t>
      </w:r>
      <w:r w:rsidR="00342D7E" w:rsidRPr="00342D7E">
        <w:t>dan</w:t>
      </w:r>
      <w:r w:rsidRPr="00342D7E">
        <w:t>ym okresie; (ii) zabezpieczenie sprzedane</w:t>
      </w:r>
      <w:r w:rsidR="00342D7E" w:rsidRPr="00342D7E">
        <w:t xml:space="preserve"> z</w:t>
      </w:r>
      <w:r w:rsidR="00342D7E">
        <w:t> </w:t>
      </w:r>
      <w:r w:rsidR="00342D7E" w:rsidRPr="00342D7E">
        <w:t>zas</w:t>
      </w:r>
      <w:r w:rsidRPr="00342D7E">
        <w:t>tąpieniem przez instrumenty finansowe</w:t>
      </w:r>
      <w:r w:rsidR="00342D7E" w:rsidRPr="00342D7E">
        <w:t xml:space="preserve"> w</w:t>
      </w:r>
      <w:r w:rsidR="00342D7E">
        <w:t> </w:t>
      </w:r>
      <w:r w:rsidR="00342D7E" w:rsidRPr="00342D7E">
        <w:t>dan</w:t>
      </w:r>
      <w:r w:rsidRPr="00342D7E">
        <w:t>ym okresie; oraz (iii) ujemne zmiany</w:t>
      </w:r>
      <w:r w:rsidR="00342D7E" w:rsidRPr="00342D7E">
        <w:t xml:space="preserve"> w</w:t>
      </w:r>
      <w:r w:rsidR="00342D7E">
        <w:t> </w:t>
      </w:r>
      <w:r w:rsidR="00342D7E" w:rsidRPr="00342D7E">
        <w:t>wyc</w:t>
      </w:r>
      <w:r w:rsidRPr="00342D7E">
        <w:t>enie zabezpieczenia</w:t>
      </w:r>
      <w:r w:rsidR="00342D7E" w:rsidRPr="00342D7E">
        <w:t xml:space="preserve"> w</w:t>
      </w:r>
      <w:r w:rsidR="00342D7E">
        <w:t> </w:t>
      </w:r>
      <w:r w:rsidR="00342D7E" w:rsidRPr="00342D7E">
        <w:t>dan</w:t>
      </w:r>
      <w:r w:rsidRPr="00342D7E">
        <w:t>ym okresie wynikające</w:t>
      </w:r>
      <w:r w:rsidR="00342D7E" w:rsidRPr="00342D7E">
        <w:t xml:space="preserve"> z</w:t>
      </w:r>
      <w:r w:rsidR="00342D7E">
        <w:t> </w:t>
      </w:r>
      <w:r w:rsidR="00342D7E" w:rsidRPr="00342D7E">
        <w:t>róż</w:t>
      </w:r>
      <w:r w:rsidRPr="00342D7E">
        <w:t>nych przyczyn (takich jak ujemne zmiany wartości godziwej, amortyzacja, utrata wartości, spisanie, zmiany</w:t>
      </w:r>
      <w:r w:rsidR="00342D7E" w:rsidRPr="00342D7E">
        <w:t xml:space="preserve"> w</w:t>
      </w:r>
      <w:r w:rsidR="00342D7E">
        <w:t> </w:t>
      </w:r>
      <w:r w:rsidR="00342D7E" w:rsidRPr="00342D7E">
        <w:t>zas</w:t>
      </w:r>
      <w:r w:rsidRPr="00342D7E">
        <w:t>adach rachunkowości). Tego typu wypływy zgłasza się oddzielnie</w:t>
      </w:r>
      <w:r w:rsidR="00342D7E" w:rsidRPr="00342D7E">
        <w:t>. W</w:t>
      </w:r>
      <w:r w:rsidR="00342D7E">
        <w:t> </w:t>
      </w:r>
      <w:r w:rsidR="00342D7E" w:rsidRPr="00342D7E">
        <w:t>prz</w:t>
      </w:r>
      <w:r w:rsidRPr="00342D7E">
        <w:t>ypadkach, gdy zaprzestano ujmowania zabezpieczenia</w:t>
      </w:r>
      <w:r w:rsidR="00342D7E" w:rsidRPr="00342D7E">
        <w:t xml:space="preserve"> w</w:t>
      </w:r>
      <w:r w:rsidR="00342D7E">
        <w:t> </w:t>
      </w:r>
      <w:r w:rsidR="00342D7E" w:rsidRPr="00342D7E">
        <w:t>bil</w:t>
      </w:r>
      <w:r w:rsidRPr="00342D7E">
        <w:t>ansie</w:t>
      </w:r>
      <w:r w:rsidR="00342D7E" w:rsidRPr="00342D7E">
        <w:t xml:space="preserve"> w</w:t>
      </w:r>
      <w:r w:rsidR="00342D7E">
        <w:t> </w:t>
      </w:r>
      <w:r w:rsidR="00342D7E" w:rsidRPr="00342D7E">
        <w:t>zam</w:t>
      </w:r>
      <w:r w:rsidRPr="00342D7E">
        <w:t>ian za zarówno gotówkę, jak</w:t>
      </w:r>
      <w:r w:rsidR="00342D7E" w:rsidRPr="00342D7E">
        <w:t xml:space="preserve"> i</w:t>
      </w:r>
      <w:r w:rsidR="00342D7E">
        <w:t> </w:t>
      </w:r>
      <w:r w:rsidR="00342D7E" w:rsidRPr="00342D7E">
        <w:t>ins</w:t>
      </w:r>
      <w:r w:rsidRPr="00342D7E">
        <w:t>trumenty finansowe, odpowiednie kwoty dzieli się</w:t>
      </w:r>
      <w:r w:rsidR="00342D7E" w:rsidRPr="00342D7E">
        <w:t xml:space="preserve"> i</w:t>
      </w:r>
      <w:r w:rsidR="00342D7E">
        <w:t> </w:t>
      </w:r>
      <w:r w:rsidR="00342D7E" w:rsidRPr="00342D7E">
        <w:t>prz</w:t>
      </w:r>
      <w:r w:rsidRPr="00342D7E">
        <w:t>ypisuje do dwóch rodzajów wypływu. Pozycja „Zabezpieczenie sprzedane</w:t>
      </w:r>
      <w:r w:rsidR="00342D7E" w:rsidRPr="00342D7E">
        <w:t xml:space="preserve"> z</w:t>
      </w:r>
      <w:r w:rsidR="00342D7E">
        <w:t> </w:t>
      </w:r>
      <w:r w:rsidR="00342D7E" w:rsidRPr="00342D7E">
        <w:t>zas</w:t>
      </w:r>
      <w:r w:rsidRPr="00342D7E">
        <w:t>tąpieniem przez instrumenty finansowe” opisuje przypadki, gdy zabezpieczenie jest sprzedawane kontrahentowi,</w:t>
      </w:r>
      <w:r w:rsidR="00342D7E" w:rsidRPr="00342D7E">
        <w:t xml:space="preserve"> a</w:t>
      </w:r>
      <w:r w:rsidR="00342D7E">
        <w:t> </w:t>
      </w:r>
      <w:r w:rsidR="00342D7E" w:rsidRPr="00342D7E">
        <w:t>nab</w:t>
      </w:r>
      <w:r w:rsidRPr="00342D7E">
        <w:t xml:space="preserve">ycie przez tego kontrahenta jest finansowane przez instytucję sprawozdającą. </w:t>
      </w:r>
    </w:p>
    <w:p w:rsidR="00D35B0C" w:rsidRPr="00342D7E" w:rsidRDefault="00E71640">
      <w:pPr>
        <w:pStyle w:val="Baseparagraphnumbered"/>
        <w:numPr>
          <w:ilvl w:val="0"/>
          <w:numId w:val="0"/>
        </w:numPr>
        <w:ind w:left="1418" w:hanging="632"/>
      </w:pPr>
      <w:r w:rsidRPr="00342D7E">
        <w:lastRenderedPageBreak/>
        <w:t>b</w:t>
      </w:r>
      <w:proofErr w:type="gramStart"/>
      <w:r w:rsidRPr="00342D7E">
        <w:t>)</w:t>
      </w:r>
      <w:r w:rsidRPr="00342D7E">
        <w:tab/>
        <w:t>„zmniejszenie</w:t>
      </w:r>
      <w:proofErr w:type="gramEnd"/>
      <w:r w:rsidRPr="00342D7E">
        <w:t xml:space="preserve"> salda zadłużenia” odzwierciedla zmniejszenie salda zadłużenia</w:t>
      </w:r>
      <w:r w:rsidR="00342D7E" w:rsidRPr="00342D7E">
        <w:t xml:space="preserve"> z</w:t>
      </w:r>
      <w:r w:rsidR="00342D7E">
        <w:t> </w:t>
      </w:r>
      <w:r w:rsidR="00342D7E" w:rsidRPr="00342D7E">
        <w:t>tyt</w:t>
      </w:r>
      <w:r w:rsidRPr="00342D7E">
        <w:t>ułu ekspozycji</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prz</w:t>
      </w:r>
      <w:r w:rsidRPr="00342D7E">
        <w:t>ypadkami,</w:t>
      </w:r>
      <w:r w:rsidR="00342D7E" w:rsidRPr="00342D7E">
        <w:t xml:space="preserve"> w</w:t>
      </w:r>
      <w:r w:rsidR="00342D7E">
        <w:t> </w:t>
      </w:r>
      <w:r w:rsidR="00342D7E" w:rsidRPr="00342D7E">
        <w:t>któ</w:t>
      </w:r>
      <w:r w:rsidRPr="00342D7E">
        <w:t>rych zabezpieczenie sprzedano za gotówkę lub zastąpiono instrumentami finansowymi</w:t>
      </w:r>
      <w:r w:rsidR="00342D7E" w:rsidRPr="00342D7E">
        <w:t xml:space="preserve"> w</w:t>
      </w:r>
      <w:r w:rsidR="00342D7E">
        <w:t> </w:t>
      </w:r>
      <w:r w:rsidR="00342D7E" w:rsidRPr="00342D7E">
        <w:t>dan</w:t>
      </w:r>
      <w:r w:rsidRPr="00342D7E">
        <w:t xml:space="preserve">ym okresie. </w:t>
      </w:r>
    </w:p>
    <w:p w:rsidR="00D35B0C" w:rsidRPr="00342D7E" w:rsidRDefault="004C5086">
      <w:pPr>
        <w:pStyle w:val="Baseparagraphnumbered"/>
      </w:pPr>
      <w:r w:rsidRPr="00342D7E">
        <w:t>W przypadku sprzedaży zabezpieczenia za gotówkę „Wypływ,</w:t>
      </w:r>
      <w:r w:rsidR="00342D7E" w:rsidRPr="00342D7E">
        <w:t xml:space="preserve"> w</w:t>
      </w:r>
      <w:r w:rsidR="00342D7E">
        <w:t> </w:t>
      </w:r>
      <w:r w:rsidR="00342D7E" w:rsidRPr="00342D7E">
        <w:t>zwi</w:t>
      </w:r>
      <w:r w:rsidRPr="00342D7E">
        <w:t>ązku</w:t>
      </w:r>
      <w:r w:rsidR="00342D7E" w:rsidRPr="00342D7E">
        <w:t xml:space="preserve"> z</w:t>
      </w:r>
      <w:r w:rsidR="00342D7E">
        <w:t> </w:t>
      </w:r>
      <w:r w:rsidR="00342D7E" w:rsidRPr="00342D7E">
        <w:t>któ</w:t>
      </w:r>
      <w:r w:rsidRPr="00342D7E">
        <w:t>rym pobrano środki pieniężne” jest równy sumie pozycji „Pobrane środki pieniężne po odliczeniu kosztów” i „Zyski/(-) straty ze sprzedaży zabezpieczenia uzyskanego poprzez wejście</w:t>
      </w:r>
      <w:r w:rsidR="00342D7E" w:rsidRPr="00342D7E">
        <w:t xml:space="preserve"> w</w:t>
      </w:r>
      <w:r w:rsidR="00342D7E">
        <w:t> </w:t>
      </w:r>
      <w:r w:rsidR="00342D7E" w:rsidRPr="00342D7E">
        <w:t>pos</w:t>
      </w:r>
      <w:r w:rsidRPr="00342D7E">
        <w:t>iadanie”. Pozycja „Pobrane środki pieniężne po odliczeniu kosztów” oznacza kwotę otrzymanych środków pieniężnych pomniejszoną</w:t>
      </w:r>
      <w:r w:rsidR="00342D7E" w:rsidRPr="00342D7E">
        <w:t xml:space="preserve"> o</w:t>
      </w:r>
      <w:r w:rsidR="00342D7E">
        <w:t> </w:t>
      </w:r>
      <w:r w:rsidR="00342D7E" w:rsidRPr="00342D7E">
        <w:t>kos</w:t>
      </w:r>
      <w:r w:rsidRPr="00342D7E">
        <w:t>zty transakcyjne, takie jak opłaty</w:t>
      </w:r>
      <w:r w:rsidR="00342D7E" w:rsidRPr="00342D7E">
        <w:t xml:space="preserve"> i</w:t>
      </w:r>
      <w:r w:rsidR="00342D7E">
        <w:t> </w:t>
      </w:r>
      <w:r w:rsidR="00342D7E" w:rsidRPr="00342D7E">
        <w:t>pro</w:t>
      </w:r>
      <w:r w:rsidRPr="00342D7E">
        <w:t>wizje płacone na rzecz agentów, podatki</w:t>
      </w:r>
      <w:r w:rsidR="00342D7E" w:rsidRPr="00342D7E">
        <w:t xml:space="preserve"> i</w:t>
      </w:r>
      <w:r w:rsidR="00342D7E">
        <w:t> </w:t>
      </w:r>
      <w:r w:rsidR="00342D7E" w:rsidRPr="00342D7E">
        <w:t>cła</w:t>
      </w:r>
      <w:r w:rsidRPr="00342D7E">
        <w:t>. „Zyski/(-) straty ze sprzedaży zabezpieczenia uzyskanego poprzez wejście</w:t>
      </w:r>
      <w:r w:rsidR="00342D7E" w:rsidRPr="00342D7E">
        <w:t xml:space="preserve"> w</w:t>
      </w:r>
      <w:r w:rsidR="00342D7E">
        <w:t> </w:t>
      </w:r>
      <w:r w:rsidR="00342D7E" w:rsidRPr="00342D7E">
        <w:t>pos</w:t>
      </w:r>
      <w:r w:rsidRPr="00342D7E">
        <w:t>iadanie” oznaczają różnicę pomiędzy wartością bilansową zabezpieczenia mierzoną</w:t>
      </w:r>
      <w:r w:rsidR="00342D7E" w:rsidRPr="00342D7E">
        <w:t xml:space="preserve"> w</w:t>
      </w:r>
      <w:r w:rsidR="00342D7E">
        <w:t> </w:t>
      </w:r>
      <w:r w:rsidR="00342D7E" w:rsidRPr="00342D7E">
        <w:t>dni</w:t>
      </w:r>
      <w:r w:rsidRPr="00342D7E">
        <w:t>u wyłączenia</w:t>
      </w:r>
      <w:r w:rsidR="00342D7E" w:rsidRPr="00342D7E">
        <w:t xml:space="preserve"> a</w:t>
      </w:r>
      <w:r w:rsidR="00342D7E">
        <w:t> </w:t>
      </w:r>
      <w:r w:rsidR="00342D7E" w:rsidRPr="00342D7E">
        <w:t>kwo</w:t>
      </w:r>
      <w:r w:rsidRPr="00342D7E">
        <w:t>tą otrzymanych środków pieniężnych pomniejszoną</w:t>
      </w:r>
      <w:r w:rsidR="00342D7E" w:rsidRPr="00342D7E">
        <w:t xml:space="preserve"> o</w:t>
      </w:r>
      <w:r w:rsidR="00342D7E">
        <w:t> </w:t>
      </w:r>
      <w:r w:rsidR="00342D7E" w:rsidRPr="00342D7E">
        <w:t>kos</w:t>
      </w:r>
      <w:r w:rsidRPr="00342D7E">
        <w:t>zty transakcyjne</w:t>
      </w:r>
      <w:r w:rsidR="00342D7E" w:rsidRPr="00342D7E">
        <w:t>. W</w:t>
      </w:r>
      <w:r w:rsidR="00342D7E">
        <w:t> </w:t>
      </w:r>
      <w:r w:rsidR="00342D7E" w:rsidRPr="00342D7E">
        <w:t>prz</w:t>
      </w:r>
      <w:r w:rsidRPr="00342D7E">
        <w:t>ypadku zastąpienia zabezpieczenia instrumentami finansowymi, jak opisano</w:t>
      </w:r>
      <w:r w:rsidR="00342D7E" w:rsidRPr="00342D7E">
        <w:t xml:space="preserve"> w</w:t>
      </w:r>
      <w:r w:rsidR="00342D7E">
        <w:t> </w:t>
      </w:r>
      <w:r w:rsidR="00342D7E" w:rsidRPr="00342D7E">
        <w:t>pkt </w:t>
      </w:r>
      <w:r w:rsidRPr="00342D7E">
        <w:t>346 niniejszej części, zgłasza się wartość bilansową przyznanego finansowania.</w:t>
      </w:r>
    </w:p>
    <w:p w:rsidR="00D35B0C" w:rsidRPr="00342D7E" w:rsidRDefault="004C5086">
      <w:pPr>
        <w:pStyle w:val="Baseparagraphnumbered"/>
      </w:pPr>
      <w:r w:rsidRPr="00342D7E">
        <w:t>Zabezpieczenie uzyskane poprzez wejście</w:t>
      </w:r>
      <w:r w:rsidR="00342D7E" w:rsidRPr="00342D7E">
        <w:t xml:space="preserve"> w</w:t>
      </w:r>
      <w:r w:rsidR="00342D7E">
        <w:t> </w:t>
      </w:r>
      <w:r w:rsidR="00342D7E" w:rsidRPr="00342D7E">
        <w:t>pos</w:t>
      </w:r>
      <w:r w:rsidRPr="00342D7E">
        <w:t>iadanie zgłasza się</w:t>
      </w:r>
      <w:r w:rsidR="00342D7E" w:rsidRPr="00342D7E">
        <w:t xml:space="preserve"> w</w:t>
      </w:r>
      <w:r w:rsidR="00342D7E">
        <w:t> </w:t>
      </w:r>
      <w:r w:rsidR="00342D7E" w:rsidRPr="00342D7E">
        <w:t>pod</w:t>
      </w:r>
      <w:r w:rsidRPr="00342D7E">
        <w:t>ziale na „okres posiadania” zabezpieczenia, tj.</w:t>
      </w:r>
      <w:r w:rsidR="00342D7E" w:rsidRPr="00342D7E">
        <w:t xml:space="preserve"> w</w:t>
      </w:r>
      <w:r w:rsidR="00342D7E">
        <w:t> </w:t>
      </w:r>
      <w:r w:rsidR="00342D7E" w:rsidRPr="00342D7E">
        <w:t>opa</w:t>
      </w:r>
      <w:r w:rsidRPr="00342D7E">
        <w:t>rciu</w:t>
      </w:r>
      <w:r w:rsidR="00342D7E" w:rsidRPr="00342D7E">
        <w:t xml:space="preserve"> o</w:t>
      </w:r>
      <w:r w:rsidR="00342D7E">
        <w:t> </w:t>
      </w:r>
      <w:r w:rsidR="00342D7E" w:rsidRPr="00342D7E">
        <w:t>okr</w:t>
      </w:r>
      <w:r w:rsidRPr="00342D7E">
        <w:t>es, przez jaki zabezpieczenie ujmowane jest</w:t>
      </w:r>
      <w:r w:rsidR="00342D7E" w:rsidRPr="00342D7E">
        <w:t xml:space="preserve"> w</w:t>
      </w:r>
      <w:r w:rsidR="00342D7E">
        <w:t> </w:t>
      </w:r>
      <w:r w:rsidR="00342D7E" w:rsidRPr="00342D7E">
        <w:t>bil</w:t>
      </w:r>
      <w:r w:rsidRPr="00342D7E">
        <w:t>ansie instytucji.</w:t>
      </w:r>
    </w:p>
    <w:p w:rsidR="00D35B0C" w:rsidRPr="00342D7E" w:rsidRDefault="004C5086">
      <w:pPr>
        <w:pStyle w:val="Baseparagraphnumbered"/>
      </w:pPr>
      <w:r w:rsidRPr="00342D7E">
        <w:t>W kontekście przedstawiania uzyskanego zabezpieczenia</w:t>
      </w:r>
      <w:r w:rsidR="00342D7E" w:rsidRPr="00342D7E">
        <w:t xml:space="preserve"> w</w:t>
      </w:r>
      <w:r w:rsidR="00342D7E">
        <w:t> </w:t>
      </w:r>
      <w:r w:rsidR="00342D7E" w:rsidRPr="00342D7E">
        <w:t>pod</w:t>
      </w:r>
      <w:r w:rsidRPr="00342D7E">
        <w:t>ziale na okres posiadania „wiekowania” zabezpieczenia</w:t>
      </w:r>
      <w:r w:rsidR="00342D7E" w:rsidRPr="00342D7E">
        <w:t xml:space="preserve"> w</w:t>
      </w:r>
      <w:r w:rsidR="00342D7E">
        <w:t> </w:t>
      </w:r>
      <w:r w:rsidR="00342D7E" w:rsidRPr="00342D7E">
        <w:t>bil</w:t>
      </w:r>
      <w:r w:rsidRPr="00342D7E">
        <w:t xml:space="preserve">ansie, tj. migracji między wcześniej zdefiniowanymi klasami zapadalności, nie zgłasza się ani jako wpływu, ani jako wypływu. </w:t>
      </w:r>
    </w:p>
    <w:p w:rsidR="00D35B0C" w:rsidRPr="00342D7E" w:rsidRDefault="004C5086">
      <w:pPr>
        <w:pStyle w:val="sub-subtitlenumbered"/>
        <w:jc w:val="both"/>
      </w:pPr>
      <w:bookmarkStart w:id="95" w:name="_Toc31019197"/>
      <w:r w:rsidRPr="00342D7E">
        <w:t>Zabezpieczenie uzyskane poprzez wejście</w:t>
      </w:r>
      <w:r w:rsidR="00342D7E" w:rsidRPr="00342D7E">
        <w:t xml:space="preserve"> w</w:t>
      </w:r>
      <w:r w:rsidR="00342D7E">
        <w:t> </w:t>
      </w:r>
      <w:r w:rsidR="00342D7E" w:rsidRPr="00342D7E">
        <w:t>pos</w:t>
      </w:r>
      <w:r w:rsidRPr="00342D7E">
        <w:t>iadanie inne niż zabezpieczenie sklasyfikowane jako rzeczowe aktywa trwałe – Rodzaj uzyskanego zabezpieczenia (25.2)</w:t>
      </w:r>
      <w:bookmarkEnd w:id="95"/>
    </w:p>
    <w:p w:rsidR="00D35B0C" w:rsidRPr="00342D7E" w:rsidRDefault="004C5086">
      <w:pPr>
        <w:pStyle w:val="Baseparagraphnumbered"/>
      </w:pPr>
      <w:r w:rsidRPr="00342D7E">
        <w:t xml:space="preserve">Wzór 25.2 </w:t>
      </w:r>
      <w:proofErr w:type="gramStart"/>
      <w:r w:rsidRPr="00342D7E">
        <w:t>zawiera</w:t>
      </w:r>
      <w:proofErr w:type="gramEnd"/>
      <w:r w:rsidRPr="00342D7E">
        <w:t xml:space="preserve"> podział zabezpieczeń uzyskanych poprzez wejście</w:t>
      </w:r>
      <w:r w:rsidR="00342D7E" w:rsidRPr="00342D7E">
        <w:t xml:space="preserve"> w</w:t>
      </w:r>
      <w:r w:rsidR="00342D7E">
        <w:t> </w:t>
      </w:r>
      <w:r w:rsidR="00342D7E" w:rsidRPr="00342D7E">
        <w:t>pos</w:t>
      </w:r>
      <w:r w:rsidRPr="00342D7E">
        <w:t>iadanie, jak określono</w:t>
      </w:r>
      <w:r w:rsidR="00342D7E" w:rsidRPr="00342D7E">
        <w:t xml:space="preserve"> w</w:t>
      </w:r>
      <w:r w:rsidR="00342D7E">
        <w:t> </w:t>
      </w:r>
      <w:r w:rsidR="00342D7E" w:rsidRPr="00342D7E">
        <w:t>pkt </w:t>
      </w:r>
      <w:r w:rsidRPr="00342D7E">
        <w:t>341 niniejszej części,</w:t>
      </w:r>
      <w:r w:rsidR="00342D7E" w:rsidRPr="00342D7E">
        <w:t xml:space="preserve"> w</w:t>
      </w:r>
      <w:r w:rsidR="00342D7E">
        <w:t> </w:t>
      </w:r>
      <w:r w:rsidR="00342D7E" w:rsidRPr="00342D7E">
        <w:t>pod</w:t>
      </w:r>
      <w:r w:rsidRPr="00342D7E">
        <w:t>ziale na rodzaj uzyskanego zabezpieczenia. Wzór odzwierciedla zabezpieczenie ujęte</w:t>
      </w:r>
      <w:r w:rsidR="00342D7E" w:rsidRPr="00342D7E">
        <w:t xml:space="preserve"> w</w:t>
      </w:r>
      <w:r w:rsidR="00342D7E">
        <w:t> </w:t>
      </w:r>
      <w:r w:rsidR="00342D7E" w:rsidRPr="00342D7E">
        <w:t>bil</w:t>
      </w:r>
      <w:r w:rsidRPr="00342D7E">
        <w:t>ansie</w:t>
      </w:r>
      <w:r w:rsidR="00342D7E" w:rsidRPr="00342D7E">
        <w:t xml:space="preserve"> w</w:t>
      </w:r>
      <w:r w:rsidR="00342D7E">
        <w:t> </w:t>
      </w:r>
      <w:r w:rsidR="00342D7E" w:rsidRPr="00342D7E">
        <w:t>spr</w:t>
      </w:r>
      <w:r w:rsidRPr="00342D7E">
        <w:t>awozdawczym dniu odniesienia, niezależnie od momentu,</w:t>
      </w:r>
      <w:r w:rsidR="00342D7E" w:rsidRPr="00342D7E">
        <w:t xml:space="preserve"> w</w:t>
      </w:r>
      <w:r w:rsidR="00342D7E">
        <w:t> </w:t>
      </w:r>
      <w:r w:rsidR="00342D7E" w:rsidRPr="00342D7E">
        <w:t>któ</w:t>
      </w:r>
      <w:r w:rsidRPr="00342D7E">
        <w:t>rym je uzyskano. Ponadto wzór przedstawia informacje dotyczące powiązanego „zmniejszenia salda zadłużenia” oraz „wartości</w:t>
      </w:r>
      <w:r w:rsidR="00342D7E" w:rsidRPr="00342D7E">
        <w:t xml:space="preserve"> w</w:t>
      </w:r>
      <w:r w:rsidR="00342D7E">
        <w:t> </w:t>
      </w:r>
      <w:r w:rsidR="00342D7E" w:rsidRPr="00342D7E">
        <w:t>mom</w:t>
      </w:r>
      <w:r w:rsidRPr="00342D7E">
        <w:t>encie początkowego ujęcia”, jak określono</w:t>
      </w:r>
      <w:r w:rsidR="00342D7E" w:rsidRPr="00342D7E">
        <w:t xml:space="preserve"> w</w:t>
      </w:r>
      <w:r w:rsidR="00342D7E">
        <w:t> </w:t>
      </w:r>
      <w:r w:rsidR="00342D7E" w:rsidRPr="00342D7E">
        <w:t>pkt </w:t>
      </w:r>
      <w:r w:rsidRPr="00342D7E">
        <w:t>343</w:t>
      </w:r>
      <w:r w:rsidR="00342D7E" w:rsidRPr="00342D7E">
        <w:t xml:space="preserve"> i</w:t>
      </w:r>
      <w:r w:rsidR="00342D7E">
        <w:t> </w:t>
      </w:r>
      <w:r w:rsidR="00342D7E" w:rsidRPr="00342D7E">
        <w:t>3</w:t>
      </w:r>
      <w:r w:rsidRPr="00342D7E">
        <w:t>44 niniejszej części, oraz liczbę zabezpieczeń uzyskanych poprzez wejście</w:t>
      </w:r>
      <w:r w:rsidR="00342D7E" w:rsidRPr="00342D7E">
        <w:t xml:space="preserve"> w</w:t>
      </w:r>
      <w:r w:rsidR="00342D7E">
        <w:t> </w:t>
      </w:r>
      <w:r w:rsidR="00342D7E" w:rsidRPr="00342D7E">
        <w:t>pos</w:t>
      </w:r>
      <w:r w:rsidRPr="00342D7E">
        <w:t>iadanie</w:t>
      </w:r>
      <w:r w:rsidR="00342D7E" w:rsidRPr="00342D7E">
        <w:t xml:space="preserve"> i</w:t>
      </w:r>
      <w:r w:rsidR="00342D7E">
        <w:t> </w:t>
      </w:r>
      <w:r w:rsidR="00342D7E" w:rsidRPr="00342D7E">
        <w:t>uję</w:t>
      </w:r>
      <w:r w:rsidRPr="00342D7E">
        <w:t>tych</w:t>
      </w:r>
      <w:r w:rsidR="00342D7E" w:rsidRPr="00342D7E">
        <w:t xml:space="preserve"> w</w:t>
      </w:r>
      <w:r w:rsidR="00342D7E">
        <w:t> </w:t>
      </w:r>
      <w:r w:rsidR="00342D7E" w:rsidRPr="00342D7E">
        <w:t>bil</w:t>
      </w:r>
      <w:r w:rsidRPr="00342D7E">
        <w:t>ansie</w:t>
      </w:r>
      <w:r w:rsidR="00342D7E" w:rsidRPr="00342D7E">
        <w:t xml:space="preserve"> w</w:t>
      </w:r>
      <w:r w:rsidR="00342D7E">
        <w:t> </w:t>
      </w:r>
      <w:r w:rsidR="00342D7E" w:rsidRPr="00342D7E">
        <w:t>spr</w:t>
      </w:r>
      <w:r w:rsidRPr="00342D7E">
        <w:t>awozdawczym dniu odniesienia.</w:t>
      </w:r>
    </w:p>
    <w:p w:rsidR="00D35B0C" w:rsidRPr="00342D7E" w:rsidRDefault="004C5086">
      <w:pPr>
        <w:pStyle w:val="Baseparagraphnumbered"/>
      </w:pPr>
      <w:r w:rsidRPr="00342D7E">
        <w:t>Rodzajem zabezpieczenia są zabezpieczenia,</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pkt </w:t>
      </w:r>
      <w:r w:rsidRPr="00342D7E">
        <w:t>173 niniejszej części,</w:t>
      </w:r>
      <w:r w:rsidR="00342D7E" w:rsidRPr="00342D7E">
        <w:t xml:space="preserve"> z</w:t>
      </w:r>
      <w:r w:rsidR="00342D7E">
        <w:t> </w:t>
      </w:r>
      <w:r w:rsidR="00342D7E" w:rsidRPr="00342D7E">
        <w:t>wyj</w:t>
      </w:r>
      <w:r w:rsidRPr="00342D7E">
        <w:t>ątkiem tych zabezpieczeń,</w:t>
      </w:r>
      <w:r w:rsidR="00342D7E" w:rsidRPr="00342D7E">
        <w:t xml:space="preserve"> o</w:t>
      </w:r>
      <w:r w:rsidR="00342D7E">
        <w:t> </w:t>
      </w:r>
      <w:r w:rsidR="00342D7E" w:rsidRPr="00342D7E">
        <w:t>któ</w:t>
      </w:r>
      <w:r w:rsidRPr="00342D7E">
        <w:t>rych mowa</w:t>
      </w:r>
      <w:r w:rsidR="00342D7E" w:rsidRPr="00342D7E">
        <w:t xml:space="preserve"> w</w:t>
      </w:r>
      <w:r w:rsidR="00342D7E">
        <w:t> </w:t>
      </w:r>
      <w:r w:rsidR="00342D7E" w:rsidRPr="00342D7E">
        <w:t>lit</w:t>
      </w:r>
      <w:r w:rsidRPr="00342D7E">
        <w:t>.</w:t>
      </w:r>
      <w:r w:rsidR="00342D7E" w:rsidRPr="00342D7E">
        <w:t> </w:t>
      </w:r>
      <w:r w:rsidRPr="00342D7E">
        <w:t>b) ppkt (i) wspomnianego punktu.</w:t>
      </w:r>
    </w:p>
    <w:p w:rsidR="00D35B0C" w:rsidRPr="00342D7E" w:rsidRDefault="004C5086">
      <w:pPr>
        <w:pStyle w:val="Baseparagraphnumbered"/>
      </w:pPr>
      <w:r w:rsidRPr="00342D7E">
        <w:t>W odniesieniu do zabezpieczenia</w:t>
      </w:r>
      <w:r w:rsidR="00342D7E" w:rsidRPr="00342D7E">
        <w:t xml:space="preserve"> w</w:t>
      </w:r>
      <w:r w:rsidR="00342D7E">
        <w:t> </w:t>
      </w:r>
      <w:r w:rsidR="00342D7E" w:rsidRPr="00342D7E">
        <w:t>for</w:t>
      </w:r>
      <w:r w:rsidRPr="00342D7E">
        <w:t>mie nieruchomości następujące informacje zgłasza się</w:t>
      </w:r>
      <w:r w:rsidR="00342D7E" w:rsidRPr="00342D7E">
        <w:t xml:space="preserve"> w</w:t>
      </w:r>
      <w:r w:rsidR="00342D7E">
        <w:t> </w:t>
      </w:r>
      <w:r w:rsidR="00342D7E" w:rsidRPr="00342D7E">
        <w:t>odr</w:t>
      </w:r>
      <w:r w:rsidRPr="00342D7E">
        <w:t>ębnych wierszach:</w:t>
      </w:r>
    </w:p>
    <w:p w:rsidR="00D35B0C" w:rsidRPr="00342D7E" w:rsidRDefault="00BA4E5D" w:rsidP="00056B6F">
      <w:pPr>
        <w:numPr>
          <w:ilvl w:val="0"/>
          <w:numId w:val="89"/>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nieruchomość</w:t>
      </w:r>
      <w:proofErr w:type="gramEnd"/>
      <w:r w:rsidRPr="00342D7E">
        <w:rPr>
          <w:rFonts w:ascii="Times New Roman" w:hAnsi="Times New Roman"/>
          <w:sz w:val="24"/>
          <w:szCs w:val="24"/>
        </w:rPr>
        <w:t>, która jest</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bud</w:t>
      </w:r>
      <w:r w:rsidRPr="00342D7E">
        <w:rPr>
          <w:rFonts w:ascii="Times New Roman" w:hAnsi="Times New Roman"/>
          <w:sz w:val="24"/>
          <w:szCs w:val="24"/>
        </w:rPr>
        <w:t>owie lub</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tra</w:t>
      </w:r>
      <w:r w:rsidRPr="00342D7E">
        <w:rPr>
          <w:rFonts w:ascii="Times New Roman" w:hAnsi="Times New Roman"/>
          <w:sz w:val="24"/>
          <w:szCs w:val="24"/>
        </w:rPr>
        <w:t>kcie zagospodarowania;</w:t>
      </w:r>
    </w:p>
    <w:p w:rsidR="00D35B0C" w:rsidRPr="00342D7E" w:rsidRDefault="00BA4E5D" w:rsidP="00056B6F">
      <w:pPr>
        <w:numPr>
          <w:ilvl w:val="0"/>
          <w:numId w:val="89"/>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lastRenderedPageBreak/>
        <w:t>w</w:t>
      </w:r>
      <w:proofErr w:type="gramEnd"/>
      <w:r w:rsidRPr="00342D7E">
        <w:rPr>
          <w:rFonts w:ascii="Times New Roman" w:hAnsi="Times New Roman"/>
          <w:sz w:val="24"/>
          <w:szCs w:val="24"/>
        </w:rPr>
        <w:t xml:space="preserve"> odniesieniu do nieruchomości komercyjnej – zabezpieczenie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pos</w:t>
      </w:r>
      <w:r w:rsidRPr="00342D7E">
        <w:rPr>
          <w:rFonts w:ascii="Times New Roman" w:hAnsi="Times New Roman"/>
          <w:sz w:val="24"/>
          <w:szCs w:val="24"/>
        </w:rPr>
        <w:t>taci gruntów związanych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edsiębiorstwami prowadzącymi działalność</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zak</w:t>
      </w:r>
      <w:r w:rsidRPr="00342D7E">
        <w:rPr>
          <w:rFonts w:ascii="Times New Roman" w:hAnsi="Times New Roman"/>
          <w:sz w:val="24"/>
          <w:szCs w:val="24"/>
        </w:rPr>
        <w:t>resu nieruchomości komercyjnych,</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wył</w:t>
      </w:r>
      <w:r w:rsidRPr="00342D7E">
        <w:rPr>
          <w:rFonts w:ascii="Times New Roman" w:hAnsi="Times New Roman"/>
          <w:sz w:val="24"/>
          <w:szCs w:val="24"/>
        </w:rPr>
        <w:t>ączeniem gruntów rolnych. Informacje dotyczące gruntów objętych</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nie</w:t>
      </w:r>
      <w:r w:rsidRPr="00342D7E">
        <w:rPr>
          <w:rFonts w:ascii="Times New Roman" w:hAnsi="Times New Roman"/>
          <w:sz w:val="24"/>
          <w:szCs w:val="24"/>
        </w:rPr>
        <w:t>objętych pozwoleniem na budowę zgłasza się dodatkowo oddzielne.</w:t>
      </w:r>
    </w:p>
    <w:p w:rsidR="00D35B0C" w:rsidRPr="00342D7E" w:rsidRDefault="004C5086">
      <w:pPr>
        <w:pStyle w:val="sub-subtitlenumbered"/>
        <w:jc w:val="both"/>
      </w:pPr>
      <w:bookmarkStart w:id="96" w:name="_Toc31019198"/>
      <w:r w:rsidRPr="00342D7E">
        <w:t>Zabezpieczenie uzyskane poprzez wejście</w:t>
      </w:r>
      <w:r w:rsidR="00342D7E" w:rsidRPr="00342D7E">
        <w:t xml:space="preserve"> w</w:t>
      </w:r>
      <w:r w:rsidR="00342D7E">
        <w:t> </w:t>
      </w:r>
      <w:r w:rsidR="00342D7E" w:rsidRPr="00342D7E">
        <w:t>pos</w:t>
      </w:r>
      <w:r w:rsidRPr="00342D7E">
        <w:t>iadanie sklasyfikowane jako rzeczowe aktywa trwałe (25.3)</w:t>
      </w:r>
      <w:bookmarkEnd w:id="96"/>
    </w:p>
    <w:p w:rsidR="00D35B0C" w:rsidRPr="00342D7E" w:rsidRDefault="004C5086">
      <w:pPr>
        <w:pStyle w:val="Baseparagraphnumbered"/>
      </w:pPr>
      <w:r w:rsidRPr="00342D7E">
        <w:t xml:space="preserve">We wzorze 25.3 </w:t>
      </w:r>
      <w:proofErr w:type="gramStart"/>
      <w:r w:rsidRPr="00342D7E">
        <w:t>zgłasza</w:t>
      </w:r>
      <w:proofErr w:type="gramEnd"/>
      <w:r w:rsidRPr="00342D7E">
        <w:t xml:space="preserve"> się informacje dotyczące zabezpieczenia uzyskanego poprzez wejście</w:t>
      </w:r>
      <w:r w:rsidR="00342D7E" w:rsidRPr="00342D7E">
        <w:t xml:space="preserve"> w</w:t>
      </w:r>
      <w:r w:rsidR="00342D7E">
        <w:t> </w:t>
      </w:r>
      <w:r w:rsidR="00342D7E" w:rsidRPr="00342D7E">
        <w:t>pos</w:t>
      </w:r>
      <w:r w:rsidRPr="00342D7E">
        <w:t>iadanie sklasyfikowanego jako rzeczowe aktywa trwałe. Ponadto wzór przedstawia informacje dotyczące powiązanego „zmniejszenia salda zadłużenia” oraz „wartości</w:t>
      </w:r>
      <w:r w:rsidR="00342D7E" w:rsidRPr="00342D7E">
        <w:t xml:space="preserve"> w</w:t>
      </w:r>
      <w:r w:rsidR="00342D7E">
        <w:t> </w:t>
      </w:r>
      <w:r w:rsidR="00342D7E" w:rsidRPr="00342D7E">
        <w:t>mom</w:t>
      </w:r>
      <w:r w:rsidRPr="00342D7E">
        <w:t>encie początkowego ujęcia”, jak określono</w:t>
      </w:r>
      <w:r w:rsidR="00342D7E" w:rsidRPr="00342D7E">
        <w:t xml:space="preserve"> w</w:t>
      </w:r>
      <w:r w:rsidR="00342D7E">
        <w:t> </w:t>
      </w:r>
      <w:r w:rsidR="00342D7E" w:rsidRPr="00342D7E">
        <w:t>pkt </w:t>
      </w:r>
      <w:r w:rsidRPr="00342D7E">
        <w:t>343</w:t>
      </w:r>
      <w:r w:rsidR="00342D7E" w:rsidRPr="00342D7E">
        <w:t xml:space="preserve"> i</w:t>
      </w:r>
      <w:r w:rsidR="00342D7E">
        <w:t> </w:t>
      </w:r>
      <w:r w:rsidR="00342D7E" w:rsidRPr="00342D7E">
        <w:t>3</w:t>
      </w:r>
      <w:r w:rsidRPr="00342D7E">
        <w:t xml:space="preserve">44 niniejszej części. </w:t>
      </w:r>
    </w:p>
    <w:p w:rsidR="00D35B0C" w:rsidRPr="00342D7E" w:rsidRDefault="004C5086">
      <w:pPr>
        <w:pStyle w:val="Baseparagraphnumbered"/>
      </w:pPr>
      <w:r w:rsidRPr="00342D7E">
        <w:t>Podaje się informacje dotyczące zabezpieczenia na sprawozdawczy dzień odniesienia, niezależnie od tego, kiedy je uzyskano, oraz wpływów wynikających</w:t>
      </w:r>
      <w:r w:rsidR="00342D7E" w:rsidRPr="00342D7E">
        <w:t xml:space="preserve"> z</w:t>
      </w:r>
      <w:r w:rsidR="00342D7E">
        <w:t> </w:t>
      </w:r>
      <w:r w:rsidR="00342D7E" w:rsidRPr="00342D7E">
        <w:t>now</w:t>
      </w:r>
      <w:r w:rsidRPr="00342D7E">
        <w:t>ego zabezpieczenia, które uzyskano poprzez wejście</w:t>
      </w:r>
      <w:r w:rsidR="00342D7E" w:rsidRPr="00342D7E">
        <w:t xml:space="preserve"> w</w:t>
      </w:r>
      <w:r w:rsidR="00342D7E">
        <w:t> </w:t>
      </w:r>
      <w:r w:rsidR="00342D7E" w:rsidRPr="00342D7E">
        <w:t>pos</w:t>
      </w:r>
      <w:r w:rsidRPr="00342D7E">
        <w:t>iadanie</w:t>
      </w:r>
      <w:r w:rsidR="00342D7E" w:rsidRPr="00342D7E">
        <w:t xml:space="preserve"> w</w:t>
      </w:r>
      <w:r w:rsidR="00342D7E">
        <w:t> </w:t>
      </w:r>
      <w:r w:rsidR="00342D7E" w:rsidRPr="00342D7E">
        <w:t>okr</w:t>
      </w:r>
      <w:r w:rsidRPr="00342D7E">
        <w:t>esie między początkiem</w:t>
      </w:r>
      <w:r w:rsidR="00342D7E" w:rsidRPr="00342D7E">
        <w:t xml:space="preserve"> a</w:t>
      </w:r>
      <w:r w:rsidR="00342D7E">
        <w:t> </w:t>
      </w:r>
      <w:r w:rsidR="00342D7E" w:rsidRPr="00342D7E">
        <w:t>koń</w:t>
      </w:r>
      <w:r w:rsidRPr="00342D7E">
        <w:t>cem okresu odniesienia</w:t>
      </w:r>
      <w:r w:rsidR="00342D7E" w:rsidRPr="00342D7E">
        <w:t xml:space="preserve"> i</w:t>
      </w:r>
      <w:r w:rsidR="00342D7E">
        <w:t> </w:t>
      </w:r>
      <w:r w:rsidR="00342D7E" w:rsidRPr="00342D7E">
        <w:t>któ</w:t>
      </w:r>
      <w:r w:rsidRPr="00342D7E">
        <w:t>re jest nadal ujmowane</w:t>
      </w:r>
      <w:r w:rsidR="00342D7E" w:rsidRPr="00342D7E">
        <w:t xml:space="preserve"> w</w:t>
      </w:r>
      <w:r w:rsidR="00342D7E">
        <w:t> </w:t>
      </w:r>
      <w:r w:rsidR="00342D7E" w:rsidRPr="00342D7E">
        <w:t>bil</w:t>
      </w:r>
      <w:r w:rsidRPr="00342D7E">
        <w:t>ansie</w:t>
      </w:r>
      <w:r w:rsidR="00342D7E" w:rsidRPr="00342D7E">
        <w:t xml:space="preserve"> w</w:t>
      </w:r>
      <w:r w:rsidR="00342D7E">
        <w:t> </w:t>
      </w:r>
      <w:r w:rsidR="00342D7E" w:rsidRPr="00342D7E">
        <w:t>spr</w:t>
      </w:r>
      <w:r w:rsidRPr="00342D7E">
        <w:t>awozdawczym dniu odniesienia</w:t>
      </w:r>
      <w:r w:rsidR="00342D7E" w:rsidRPr="00342D7E">
        <w:t>. W</w:t>
      </w:r>
      <w:r w:rsidR="00342D7E">
        <w:t> </w:t>
      </w:r>
      <w:r w:rsidR="00342D7E" w:rsidRPr="00342D7E">
        <w:t>odn</w:t>
      </w:r>
      <w:r w:rsidRPr="00342D7E">
        <w:t>iesieniu do „zmniejszenia salda zadłużenia” pozycja „razem” odzwierciedla zmniejszenie salda zadłużenia związane</w:t>
      </w:r>
      <w:r w:rsidR="00342D7E" w:rsidRPr="00342D7E">
        <w:t xml:space="preserve"> z</w:t>
      </w:r>
      <w:r w:rsidR="00342D7E">
        <w:t> </w:t>
      </w:r>
      <w:r w:rsidR="00342D7E" w:rsidRPr="00342D7E">
        <w:t>zab</w:t>
      </w:r>
      <w:r w:rsidRPr="00342D7E">
        <w:t>ezpieczeniem na sprawozdawczy dzień odniesienia, a „wpływy</w:t>
      </w:r>
      <w:r w:rsidR="00342D7E" w:rsidRPr="00342D7E">
        <w:t xml:space="preserve"> z</w:t>
      </w:r>
      <w:r w:rsidR="00342D7E">
        <w:t> </w:t>
      </w:r>
      <w:r w:rsidR="00342D7E" w:rsidRPr="00342D7E">
        <w:t>pow</w:t>
      </w:r>
      <w:r w:rsidRPr="00342D7E">
        <w:t>odu nowego zabezpieczenia uzyskanego poprzez wejście</w:t>
      </w:r>
      <w:r w:rsidR="00342D7E" w:rsidRPr="00342D7E">
        <w:t xml:space="preserve"> w</w:t>
      </w:r>
      <w:r w:rsidR="00342D7E">
        <w:t> </w:t>
      </w:r>
      <w:r w:rsidR="00342D7E" w:rsidRPr="00342D7E">
        <w:t>pos</w:t>
      </w:r>
      <w:r w:rsidRPr="00342D7E">
        <w:t>iadanie” odzwierciedlają zmniejszenie salda zadłużenia związane</w:t>
      </w:r>
      <w:r w:rsidR="00342D7E" w:rsidRPr="00342D7E">
        <w:t xml:space="preserve"> z</w:t>
      </w:r>
      <w:r w:rsidR="00342D7E">
        <w:t> </w:t>
      </w:r>
      <w:r w:rsidR="00342D7E" w:rsidRPr="00342D7E">
        <w:t>zab</w:t>
      </w:r>
      <w:r w:rsidRPr="00342D7E">
        <w:t>ezpieczeniem, które uzyskano</w:t>
      </w:r>
      <w:r w:rsidR="00342D7E" w:rsidRPr="00342D7E">
        <w:t xml:space="preserve"> w</w:t>
      </w:r>
      <w:r w:rsidR="00342D7E">
        <w:t> </w:t>
      </w:r>
      <w:r w:rsidR="00342D7E" w:rsidRPr="00342D7E">
        <w:t>tra</w:t>
      </w:r>
      <w:r w:rsidRPr="00342D7E">
        <w:t>kcie danego okresu.</w:t>
      </w:r>
    </w:p>
    <w:p w:rsidR="00D35B0C" w:rsidRPr="00342D7E" w:rsidRDefault="004C5086">
      <w:pPr>
        <w:pStyle w:val="subtitlenumbered"/>
        <w:jc w:val="both"/>
      </w:pPr>
      <w:bookmarkStart w:id="97" w:name="_Toc31019199"/>
      <w:r w:rsidRPr="00342D7E">
        <w:t>ZARZĄDZANIE DZIAŁANIAMI RESTRUKTURYZACYJNYMI I JAKOŚĆ DZIAŁAŃ RESTRUKTURYZACYJNYCH (26)</w:t>
      </w:r>
      <w:bookmarkEnd w:id="97"/>
    </w:p>
    <w:p w:rsidR="00D35B0C" w:rsidRPr="00342D7E" w:rsidRDefault="004C5086">
      <w:pPr>
        <w:pStyle w:val="Baseparagraphnumbered"/>
      </w:pPr>
      <w:r w:rsidRPr="00342D7E">
        <w:t>Wzór 26 zawiera szczegółowe informacje dotyczące kredytów</w:t>
      </w:r>
      <w:r w:rsidR="00342D7E" w:rsidRPr="00342D7E">
        <w:t xml:space="preserve"> i</w:t>
      </w:r>
      <w:r w:rsidR="00342D7E">
        <w:t> </w:t>
      </w:r>
      <w:r w:rsidR="00342D7E" w:rsidRPr="00342D7E">
        <w:t>zal</w:t>
      </w:r>
      <w:r w:rsidRPr="00342D7E">
        <w:t>iczek sklasyfikowanych jako restrukturyzowane zgodnie</w:t>
      </w:r>
      <w:r w:rsidR="00342D7E" w:rsidRPr="00342D7E">
        <w:t xml:space="preserve"> z</w:t>
      </w:r>
      <w:r w:rsidR="00342D7E">
        <w:t> </w:t>
      </w:r>
      <w:r w:rsidR="00342D7E" w:rsidRPr="00342D7E">
        <w:t>pkt </w:t>
      </w:r>
      <w:r w:rsidRPr="00342D7E">
        <w:t>240–268 niniejszej części,</w:t>
      </w:r>
      <w:r w:rsidR="00342D7E" w:rsidRPr="00342D7E">
        <w:t xml:space="preserve"> z</w:t>
      </w:r>
      <w:r w:rsidR="00342D7E">
        <w:t> </w:t>
      </w:r>
      <w:r w:rsidR="00342D7E" w:rsidRPr="00342D7E">
        <w:t>wył</w:t>
      </w:r>
      <w:r w:rsidRPr="00342D7E">
        <w:t>ączeniem instrumentów sklasyfikowanych jako „przeznaczone do sprzedaży”. Ekspozycje restrukturyzowane odnoszące się do zmiany dotychczasowych warunków albo całkowitego lub częściowego refinansowania umowy dotyczącej długu zagrożonego, jak określono</w:t>
      </w:r>
      <w:r w:rsidR="00342D7E" w:rsidRPr="00342D7E">
        <w:t xml:space="preserve"> w</w:t>
      </w:r>
      <w:r w:rsidR="00342D7E">
        <w:t> </w:t>
      </w:r>
      <w:r w:rsidR="00342D7E" w:rsidRPr="00342D7E">
        <w:t>pkt </w:t>
      </w:r>
      <w:r w:rsidRPr="00342D7E">
        <w:t>241 niniejszej części, dzieli się na bardziej szczegółowe rodzaje działań restrukturyzacyjnych.</w:t>
      </w:r>
    </w:p>
    <w:p w:rsidR="00D35B0C" w:rsidRPr="00342D7E" w:rsidRDefault="004C5086">
      <w:pPr>
        <w:pStyle w:val="Baseparagraphnumbered"/>
      </w:pPr>
      <w:r w:rsidRPr="00342D7E">
        <w:t>„Liczbę instrumentów” określa się zgodnie</w:t>
      </w:r>
      <w:r w:rsidR="00342D7E" w:rsidRPr="00342D7E">
        <w:t xml:space="preserve"> z</w:t>
      </w:r>
      <w:r w:rsidR="00342D7E">
        <w:t> </w:t>
      </w:r>
      <w:r w:rsidR="00342D7E" w:rsidRPr="00342D7E">
        <w:t>pkt </w:t>
      </w:r>
      <w:r w:rsidRPr="00342D7E">
        <w:t>320 niniejszej części.</w:t>
      </w:r>
    </w:p>
    <w:p w:rsidR="00D35B0C" w:rsidRPr="00342D7E" w:rsidRDefault="004C5086">
      <w:pPr>
        <w:pStyle w:val="Baseparagraphnumbered"/>
      </w:pPr>
      <w:r w:rsidRPr="00342D7E">
        <w:t>Wartość bilansową brutto ekspozycji objętych działaniami restrukturyzacyjnymi przypisuje się do kategorii odzwierciedlającej rodzaj działania restrukturyzacyjnego</w:t>
      </w:r>
      <w:r w:rsidR="00342D7E" w:rsidRPr="00342D7E">
        <w:t>. W</w:t>
      </w:r>
      <w:r w:rsidR="00342D7E">
        <w:t> </w:t>
      </w:r>
      <w:r w:rsidR="00342D7E" w:rsidRPr="00342D7E">
        <w:t>prz</w:t>
      </w:r>
      <w:r w:rsidRPr="00342D7E">
        <w:t>ypadku gdy względem ekspozycji zastosowano różne działania restrukturyzacyjne, wartość bilansową brutto ekspozycji objętych działaniami restrukturyzacyjnymi przypisuje się do najbardziej odpowiedniego rodzaju działania restrukturyzacyjnego. Najbardziej odpowiedni rodzaj działania restrukturyzacyjnego identyfikuje się</w:t>
      </w:r>
      <w:r w:rsidR="00342D7E" w:rsidRPr="00342D7E">
        <w:t xml:space="preserve"> w</w:t>
      </w:r>
      <w:r w:rsidR="00342D7E">
        <w:t> </w:t>
      </w:r>
      <w:r w:rsidR="00342D7E" w:rsidRPr="00342D7E">
        <w:t>opa</w:t>
      </w:r>
      <w:r w:rsidRPr="00342D7E">
        <w:t>rciu</w:t>
      </w:r>
      <w:r w:rsidR="00342D7E" w:rsidRPr="00342D7E">
        <w:t xml:space="preserve"> o</w:t>
      </w:r>
      <w:r w:rsidR="00342D7E">
        <w:t> </w:t>
      </w:r>
      <w:r w:rsidR="00342D7E" w:rsidRPr="00342D7E">
        <w:t>rod</w:t>
      </w:r>
      <w:r w:rsidRPr="00342D7E">
        <w:t>zaj działania restrukturyzacyjnego, które ma największy wpływ na wartość bieżącą netto ekspozycji restrukturyzowanej lub</w:t>
      </w:r>
      <w:r w:rsidR="00342D7E" w:rsidRPr="00342D7E">
        <w:t xml:space="preserve"> z</w:t>
      </w:r>
      <w:r w:rsidR="00342D7E">
        <w:t> </w:t>
      </w:r>
      <w:r w:rsidR="00342D7E" w:rsidRPr="00342D7E">
        <w:t>wyk</w:t>
      </w:r>
      <w:r w:rsidRPr="00342D7E">
        <w:t>orzystaniem innych metod uznanych za stosowne.</w:t>
      </w:r>
    </w:p>
    <w:p w:rsidR="00D35B0C" w:rsidRPr="00342D7E" w:rsidRDefault="00E506E6">
      <w:pPr>
        <w:pStyle w:val="Baseparagraphnumbered"/>
      </w:pPr>
      <w:r w:rsidRPr="00342D7E">
        <w:lastRenderedPageBreak/>
        <w:t>Istnieją następujące rodzaje działań restrukturyzacyjnych:</w:t>
      </w:r>
    </w:p>
    <w:p w:rsidR="00D35B0C" w:rsidRPr="00342D7E" w:rsidRDefault="00BA4E5D" w:rsidP="00A47F48">
      <w:pPr>
        <w:numPr>
          <w:ilvl w:val="0"/>
          <w:numId w:val="90"/>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okres</w:t>
      </w:r>
      <w:proofErr w:type="gramEnd"/>
      <w:r w:rsidRPr="00342D7E">
        <w:rPr>
          <w:rFonts w:ascii="Times New Roman" w:hAnsi="Times New Roman"/>
          <w:sz w:val="24"/>
          <w:szCs w:val="24"/>
        </w:rPr>
        <w:t xml:space="preserve"> karencji/moratorium na spłatę zadłużenia: tymczasowe zawieszenie zobowiązań</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prz</w:t>
      </w:r>
      <w:r w:rsidRPr="00342D7E">
        <w:rPr>
          <w:rFonts w:ascii="Times New Roman" w:hAnsi="Times New Roman"/>
          <w:sz w:val="24"/>
          <w:szCs w:val="24"/>
        </w:rPr>
        <w:t>edmiocie spłaty kwoty głównej lub odsetek, przy czym spłata ma być wznowiona</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póź</w:t>
      </w:r>
      <w:r w:rsidRPr="00342D7E">
        <w:rPr>
          <w:rFonts w:ascii="Times New Roman" w:hAnsi="Times New Roman"/>
          <w:sz w:val="24"/>
          <w:szCs w:val="24"/>
        </w:rPr>
        <w:t>niejszym czasie;</w:t>
      </w:r>
    </w:p>
    <w:p w:rsidR="00D35B0C" w:rsidRPr="00342D7E" w:rsidRDefault="00BA4E5D" w:rsidP="00A47F48">
      <w:pPr>
        <w:numPr>
          <w:ilvl w:val="0"/>
          <w:numId w:val="90"/>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obniżenie</w:t>
      </w:r>
      <w:proofErr w:type="gramEnd"/>
      <w:r w:rsidRPr="00342D7E">
        <w:rPr>
          <w:rFonts w:ascii="Times New Roman" w:hAnsi="Times New Roman"/>
          <w:sz w:val="24"/>
          <w:szCs w:val="24"/>
        </w:rPr>
        <w:t xml:space="preserve"> stopy procentowej: stałe lub tymczasowe obniżenie stopy procentowej (stałej lub zmiennej) do poziomu uczciwej</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zró</w:t>
      </w:r>
      <w:r w:rsidRPr="00342D7E">
        <w:rPr>
          <w:rFonts w:ascii="Times New Roman" w:hAnsi="Times New Roman"/>
          <w:sz w:val="24"/>
          <w:szCs w:val="24"/>
        </w:rPr>
        <w:t>wnoważonej stopy;</w:t>
      </w:r>
    </w:p>
    <w:p w:rsidR="00D35B0C" w:rsidRPr="00342D7E" w:rsidRDefault="00BA4E5D" w:rsidP="00A47F48">
      <w:pPr>
        <w:numPr>
          <w:ilvl w:val="0"/>
          <w:numId w:val="90"/>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przedłużenie</w:t>
      </w:r>
      <w:proofErr w:type="gramEnd"/>
      <w:r w:rsidRPr="00342D7E">
        <w:rPr>
          <w:rFonts w:ascii="Times New Roman" w:hAnsi="Times New Roman"/>
          <w:sz w:val="24"/>
          <w:szCs w:val="24"/>
        </w:rPr>
        <w:t xml:space="preserve"> terminu zapadalności: przedłużenie terminu zapadalności ekspozycji powodujące ograniczenie wysokości rat poprzez rozłożenie spłat na dłuższy okres;</w:t>
      </w:r>
    </w:p>
    <w:p w:rsidR="00D35B0C" w:rsidRPr="00342D7E" w:rsidRDefault="00BA4E5D" w:rsidP="00A47F48">
      <w:pPr>
        <w:numPr>
          <w:ilvl w:val="0"/>
          <w:numId w:val="90"/>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zmiana</w:t>
      </w:r>
      <w:proofErr w:type="gramEnd"/>
      <w:r w:rsidRPr="00342D7E">
        <w:rPr>
          <w:rFonts w:ascii="Times New Roman" w:hAnsi="Times New Roman"/>
          <w:sz w:val="24"/>
          <w:szCs w:val="24"/>
        </w:rPr>
        <w:t xml:space="preserve"> harmonogramu płatności: dostosowanie wynikającego</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umo</w:t>
      </w:r>
      <w:r w:rsidRPr="00342D7E">
        <w:rPr>
          <w:rFonts w:ascii="Times New Roman" w:hAnsi="Times New Roman"/>
          <w:sz w:val="24"/>
          <w:szCs w:val="24"/>
        </w:rPr>
        <w:t>wy harmonogramu spłat ze zmianą wysokości rat lub bez takiej zmiany, inne niż okres karencji/moratorium na spłatę zadłużenia, przedłużenie terminu zapadalności oraz umorzenie długu. Kategoria ta obejmuje m.in. kapitalizację zaległości finansowych lub narosłych zaległości odsetkowych do kapitału pozostałego do spłaty celem umożliwienia spłaty na podstawie zrównoważonego skorygowanego harmonogramu; obniżenie kwoty rat spłaty kwoty głównej</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okr</w:t>
      </w:r>
      <w:r w:rsidRPr="00342D7E">
        <w:rPr>
          <w:rFonts w:ascii="Times New Roman" w:hAnsi="Times New Roman"/>
          <w:sz w:val="24"/>
          <w:szCs w:val="24"/>
        </w:rPr>
        <w:t>eślonym okresie niezależnie od tego, czy odsetki pozostają do spłaty</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cał</w:t>
      </w:r>
      <w:r w:rsidRPr="00342D7E">
        <w:rPr>
          <w:rFonts w:ascii="Times New Roman" w:hAnsi="Times New Roman"/>
          <w:sz w:val="24"/>
          <w:szCs w:val="24"/>
        </w:rPr>
        <w:t>ości lub czy podlegają one kapitalizacji lub przepadkowi;</w:t>
      </w:r>
    </w:p>
    <w:p w:rsidR="00D35B0C" w:rsidRPr="00342D7E" w:rsidRDefault="00BA4E5D" w:rsidP="00A47F48">
      <w:pPr>
        <w:numPr>
          <w:ilvl w:val="0"/>
          <w:numId w:val="90"/>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umorzenie</w:t>
      </w:r>
      <w:proofErr w:type="gramEnd"/>
      <w:r w:rsidRPr="00342D7E">
        <w:rPr>
          <w:rFonts w:ascii="Times New Roman" w:hAnsi="Times New Roman"/>
          <w:sz w:val="24"/>
          <w:szCs w:val="24"/>
        </w:rPr>
        <w:t xml:space="preserve"> długu: częściowe umorzenie ekspozycji przez instytucję sprawozdającą</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uwa</w:t>
      </w:r>
      <w:r w:rsidRPr="00342D7E">
        <w:rPr>
          <w:rFonts w:ascii="Times New Roman" w:hAnsi="Times New Roman"/>
          <w:sz w:val="24"/>
          <w:szCs w:val="24"/>
        </w:rPr>
        <w:t>gi na utratę prawa do jej legalnego odzyskania;</w:t>
      </w:r>
    </w:p>
    <w:p w:rsidR="00D35B0C" w:rsidRPr="00342D7E" w:rsidRDefault="00BA4E5D" w:rsidP="00A47F48">
      <w:pPr>
        <w:numPr>
          <w:ilvl w:val="0"/>
          <w:numId w:val="90"/>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zamiana</w:t>
      </w:r>
      <w:proofErr w:type="gramEnd"/>
      <w:r w:rsidRPr="00342D7E">
        <w:rPr>
          <w:rFonts w:ascii="Times New Roman" w:hAnsi="Times New Roman"/>
          <w:sz w:val="24"/>
          <w:szCs w:val="24"/>
        </w:rPr>
        <w:t xml:space="preserve"> długu na aktywa: częściowe zastąpienie ekspozycji</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for</w:t>
      </w:r>
      <w:r w:rsidRPr="00342D7E">
        <w:rPr>
          <w:rFonts w:ascii="Times New Roman" w:hAnsi="Times New Roman"/>
          <w:sz w:val="24"/>
          <w:szCs w:val="24"/>
        </w:rPr>
        <w:t>mie instrumentów dłużnych aktywami lub akcjami;</w:t>
      </w:r>
    </w:p>
    <w:p w:rsidR="00D35B0C" w:rsidRPr="00342D7E" w:rsidRDefault="00BA4E5D" w:rsidP="00A47F48">
      <w:pPr>
        <w:numPr>
          <w:ilvl w:val="0"/>
          <w:numId w:val="90"/>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inne</w:t>
      </w:r>
      <w:proofErr w:type="gramEnd"/>
      <w:r w:rsidRPr="00342D7E">
        <w:rPr>
          <w:rFonts w:ascii="Times New Roman" w:hAnsi="Times New Roman"/>
          <w:sz w:val="24"/>
          <w:szCs w:val="24"/>
        </w:rPr>
        <w:t xml:space="preserve"> działania restrukturyzacyjne,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tym</w:t>
      </w:r>
      <w:r w:rsidRPr="00342D7E">
        <w:rPr>
          <w:rFonts w:ascii="Times New Roman" w:hAnsi="Times New Roman"/>
          <w:sz w:val="24"/>
          <w:szCs w:val="24"/>
        </w:rPr>
        <w:t xml:space="preserve"> m.in. całkowite lub częściowe refinansowanie umowy dotyczącej zagrożonego długu.</w:t>
      </w:r>
    </w:p>
    <w:p w:rsidR="00D35B0C" w:rsidRPr="00342D7E" w:rsidRDefault="004C5086">
      <w:pPr>
        <w:pStyle w:val="Baseparagraphnumbered"/>
      </w:pPr>
      <w:r w:rsidRPr="00342D7E">
        <w:t>W przypadkach gdy działanie restrukturyzacyjne ma wpływ na wartość bilansową brutto ekspozycji, zgłasza się wartość bilansową brutto na sprawozdawczy dzień odniesienia, tj. po zastosowaniu działania restrukturyzacyjnego</w:t>
      </w:r>
      <w:r w:rsidR="00342D7E" w:rsidRPr="00342D7E">
        <w:t>. W</w:t>
      </w:r>
      <w:r w:rsidR="00342D7E">
        <w:t> </w:t>
      </w:r>
      <w:r w:rsidR="00342D7E" w:rsidRPr="00342D7E">
        <w:t>prz</w:t>
      </w:r>
      <w:r w:rsidRPr="00342D7E">
        <w:t>ypadku refinansowania zgłasza się wartość bilansową brutto nowo przyznanej umowy („dług refinansujący”), która kwalifikuje się jako działanie restrukturyzacyjne,</w:t>
      </w:r>
      <w:r w:rsidR="00342D7E" w:rsidRPr="00342D7E">
        <w:t xml:space="preserve"> a</w:t>
      </w:r>
      <w:r w:rsidR="00342D7E">
        <w:t> </w:t>
      </w:r>
      <w:r w:rsidR="00342D7E" w:rsidRPr="00342D7E">
        <w:t>tak</w:t>
      </w:r>
      <w:r w:rsidRPr="00342D7E">
        <w:t xml:space="preserve">że wartość bilansową brutto starej spłaconej umowy, która jest nadal należna. </w:t>
      </w:r>
    </w:p>
    <w:p w:rsidR="00D35B0C" w:rsidRPr="00342D7E" w:rsidRDefault="004C5086">
      <w:pPr>
        <w:pStyle w:val="Baseparagraphnumbered"/>
      </w:pPr>
      <w:r w:rsidRPr="00342D7E">
        <w:t>Następujące pozycje zgłasza się</w:t>
      </w:r>
      <w:r w:rsidR="00342D7E" w:rsidRPr="00342D7E">
        <w:t xml:space="preserve"> w</w:t>
      </w:r>
      <w:r w:rsidR="00342D7E">
        <w:t> </w:t>
      </w:r>
      <w:r w:rsidR="00342D7E" w:rsidRPr="00342D7E">
        <w:t>odr</w:t>
      </w:r>
      <w:r w:rsidRPr="00342D7E">
        <w:t>ębnych wierszach:</w:t>
      </w:r>
    </w:p>
    <w:p w:rsidR="00D35B0C" w:rsidRPr="00342D7E" w:rsidRDefault="004C5086" w:rsidP="00056B6F">
      <w:pPr>
        <w:numPr>
          <w:ilvl w:val="0"/>
          <w:numId w:val="20"/>
        </w:numPr>
        <w:spacing w:before="120" w:after="120"/>
        <w:ind w:left="1134" w:hanging="426"/>
        <w:jc w:val="both"/>
        <w:rPr>
          <w:rFonts w:ascii="Times New Roman" w:hAnsi="Times New Roman"/>
          <w:sz w:val="24"/>
          <w:szCs w:val="24"/>
        </w:rPr>
      </w:pPr>
      <w:r w:rsidRPr="00342D7E">
        <w:rPr>
          <w:rFonts w:ascii="Times New Roman" w:hAnsi="Times New Roman"/>
          <w:sz w:val="24"/>
          <w:szCs w:val="24"/>
        </w:rPr>
        <w:t>Instrumenty, które podlegały działaniom restrukturyzacyjnym</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róż</w:t>
      </w:r>
      <w:r w:rsidRPr="00342D7E">
        <w:rPr>
          <w:rFonts w:ascii="Times New Roman" w:hAnsi="Times New Roman"/>
          <w:sz w:val="24"/>
          <w:szCs w:val="24"/>
        </w:rPr>
        <w:t>nych momentach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cza</w:t>
      </w:r>
      <w:r w:rsidRPr="00342D7E">
        <w:rPr>
          <w:rFonts w:ascii="Times New Roman" w:hAnsi="Times New Roman"/>
          <w:sz w:val="24"/>
          <w:szCs w:val="24"/>
        </w:rPr>
        <w:t>sie, gdzie:</w:t>
      </w:r>
    </w:p>
    <w:p w:rsidR="00D35B0C" w:rsidRPr="00342D7E" w:rsidRDefault="004C5086">
      <w:pPr>
        <w:spacing w:before="120" w:after="120"/>
        <w:ind w:left="1491" w:hanging="357"/>
        <w:jc w:val="both"/>
        <w:rPr>
          <w:rFonts w:ascii="Times New Roman" w:hAnsi="Times New Roman"/>
          <w:sz w:val="24"/>
          <w:szCs w:val="24"/>
        </w:rPr>
      </w:pPr>
      <w:r w:rsidRPr="00342D7E">
        <w:rPr>
          <w:rFonts w:ascii="Times New Roman" w:hAnsi="Times New Roman"/>
          <w:sz w:val="24"/>
          <w:szCs w:val="24"/>
        </w:rPr>
        <w:t>(i</w:t>
      </w:r>
      <w:proofErr w:type="gramStart"/>
      <w:r w:rsidRPr="00342D7E">
        <w:rPr>
          <w:rFonts w:ascii="Times New Roman" w:hAnsi="Times New Roman"/>
          <w:sz w:val="24"/>
          <w:szCs w:val="24"/>
        </w:rPr>
        <w:t>)</w:t>
      </w:r>
      <w:r w:rsidRPr="00342D7E">
        <w:rPr>
          <w:rFonts w:ascii="Times New Roman" w:hAnsi="Times New Roman"/>
          <w:sz w:val="24"/>
          <w:szCs w:val="24"/>
        </w:rPr>
        <w:tab/>
        <w:t>Kredyty</w:t>
      </w:r>
      <w:proofErr w:type="gramEnd"/>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iczki, które zostały zrestrukturyzowane „dwukrotnie” lub „więcej niż dwa razy” oznaczają ekspozycje sklasyfikowane jako restrukturyzowane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 xml:space="preserve">240–268 niniejszej części na sprawozdawczy dzień odniesienia, względem których zastosowano działania restrukturyzacyjne, odpowiednio, dwukrotnie lub więcej niż dwa razy. Obejmuje to m.in. ekspozycje pierwotnie restrukturyzowane, które przestały mieć status restrukturyzowanych (ekspozycje </w:t>
      </w:r>
      <w:r w:rsidRPr="00342D7E">
        <w:rPr>
          <w:rFonts w:ascii="Times New Roman" w:hAnsi="Times New Roman"/>
          <w:sz w:val="24"/>
          <w:szCs w:val="24"/>
        </w:rPr>
        <w:lastRenderedPageBreak/>
        <w:t>restrukturyzowane, które uległy poprawie), ale które objęto następnie nowymi działaniami restrukturyzacyjnymi;</w:t>
      </w:r>
    </w:p>
    <w:p w:rsidR="00D35B0C" w:rsidRPr="00342D7E" w:rsidRDefault="004C5086">
      <w:pPr>
        <w:spacing w:before="120" w:after="120"/>
        <w:ind w:left="1491" w:hanging="357"/>
        <w:jc w:val="both"/>
        <w:rPr>
          <w:rFonts w:ascii="Times New Roman" w:hAnsi="Times New Roman"/>
          <w:sz w:val="24"/>
          <w:szCs w:val="24"/>
        </w:rPr>
      </w:pPr>
      <w:r w:rsidRPr="00342D7E">
        <w:rPr>
          <w:rFonts w:ascii="Times New Roman" w:hAnsi="Times New Roman"/>
          <w:sz w:val="24"/>
          <w:szCs w:val="24"/>
        </w:rPr>
        <w:t>(ii</w:t>
      </w:r>
      <w:proofErr w:type="gramStart"/>
      <w:r w:rsidRPr="00342D7E">
        <w:rPr>
          <w:rFonts w:ascii="Times New Roman" w:hAnsi="Times New Roman"/>
          <w:sz w:val="24"/>
          <w:szCs w:val="24"/>
        </w:rPr>
        <w:t>)</w:t>
      </w:r>
      <w:r w:rsidRPr="00342D7E">
        <w:rPr>
          <w:rFonts w:ascii="Times New Roman" w:hAnsi="Times New Roman"/>
          <w:sz w:val="24"/>
          <w:szCs w:val="24"/>
        </w:rPr>
        <w:tab/>
        <w:t>„Kredyty</w:t>
      </w:r>
      <w:proofErr w:type="gramEnd"/>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iczki, wobec których podjęto dodatkowe, do już istniejących, działania restrukturyzacyjne” oznaczają ekspozycje restrukturyzowane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okr</w:t>
      </w:r>
      <w:r w:rsidRPr="00342D7E">
        <w:rPr>
          <w:rFonts w:ascii="Times New Roman" w:hAnsi="Times New Roman"/>
          <w:sz w:val="24"/>
          <w:szCs w:val="24"/>
        </w:rPr>
        <w:t>esie warunkowym, względem których zastosowano działania restrukturyzacyjne dodatkowo do działań restrukturyzacyjnych, którymi objęto je wcześniej,</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któ</w:t>
      </w:r>
      <w:r w:rsidRPr="00342D7E">
        <w:rPr>
          <w:rFonts w:ascii="Times New Roman" w:hAnsi="Times New Roman"/>
          <w:sz w:val="24"/>
          <w:szCs w:val="24"/>
        </w:rPr>
        <w:t>re nie uległy</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mię</w:t>
      </w:r>
      <w:r w:rsidRPr="00342D7E">
        <w:rPr>
          <w:rFonts w:ascii="Times New Roman" w:hAnsi="Times New Roman"/>
          <w:sz w:val="24"/>
          <w:szCs w:val="24"/>
        </w:rPr>
        <w:t>dzyczasie poprawie.</w:t>
      </w:r>
    </w:p>
    <w:p w:rsidR="00D35B0C" w:rsidRPr="00342D7E" w:rsidRDefault="004C5086" w:rsidP="00056B6F">
      <w:pPr>
        <w:numPr>
          <w:ilvl w:val="0"/>
          <w:numId w:val="20"/>
        </w:numPr>
        <w:spacing w:before="120" w:after="120"/>
        <w:ind w:left="1134" w:hanging="426"/>
        <w:jc w:val="both"/>
        <w:rPr>
          <w:rFonts w:ascii="Times New Roman" w:hAnsi="Times New Roman"/>
          <w:sz w:val="24"/>
          <w:szCs w:val="24"/>
        </w:rPr>
      </w:pPr>
      <w:r w:rsidRPr="00342D7E">
        <w:rPr>
          <w:rFonts w:ascii="Times New Roman" w:hAnsi="Times New Roman"/>
          <w:sz w:val="24"/>
          <w:szCs w:val="24"/>
        </w:rPr>
        <w:t>Nieobsługiwane ekspozycje restrukturyzowane, które nie spełniały kryteriów reklasyfikacji</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kat</w:t>
      </w:r>
      <w:r w:rsidRPr="00342D7E">
        <w:rPr>
          <w:rFonts w:ascii="Times New Roman" w:hAnsi="Times New Roman"/>
          <w:sz w:val="24"/>
          <w:szCs w:val="24"/>
        </w:rPr>
        <w:t>egorii ekspozycji nieobsługiwanych. Obejmuje to nieobsługiwane ekspozycje restrukturyzowane, które na koniec okresu warunkowego wynoszącego 1 rok, określonego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231 lit.</w:t>
      </w:r>
      <w:r w:rsidR="00342D7E" w:rsidRPr="00342D7E">
        <w:rPr>
          <w:rFonts w:ascii="Times New Roman" w:hAnsi="Times New Roman"/>
          <w:sz w:val="24"/>
          <w:szCs w:val="24"/>
        </w:rPr>
        <w:t> </w:t>
      </w:r>
      <w:r w:rsidRPr="00342D7E">
        <w:rPr>
          <w:rFonts w:ascii="Times New Roman" w:hAnsi="Times New Roman"/>
          <w:sz w:val="24"/>
          <w:szCs w:val="24"/>
        </w:rPr>
        <w:t>b) niniejszej części, nie spełniały kryteriów koniecznych do tego, by zaprzestać traktowania ich jako nieobsługiwane, jak opisano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232 niniejszej części.</w:t>
      </w:r>
    </w:p>
    <w:p w:rsidR="00D35B0C" w:rsidRPr="00342D7E" w:rsidRDefault="004C5086">
      <w:pPr>
        <w:pStyle w:val="Baseparagraphnumbered"/>
      </w:pPr>
      <w:r w:rsidRPr="00342D7E">
        <w:t>Ekspozycje, które objęto działaniami restrukturyzacyjnymi od końca ostatniego roku obrotowego, zgłasza się</w:t>
      </w:r>
      <w:r w:rsidR="00342D7E" w:rsidRPr="00342D7E">
        <w:t xml:space="preserve"> w</w:t>
      </w:r>
      <w:r w:rsidR="00342D7E">
        <w:t> </w:t>
      </w:r>
      <w:r w:rsidR="00342D7E" w:rsidRPr="00342D7E">
        <w:t>odd</w:t>
      </w:r>
      <w:r w:rsidRPr="00342D7E">
        <w:t>zielnych kolumnach.</w:t>
      </w:r>
    </w:p>
    <w:p w:rsidR="00D35B0C" w:rsidRPr="00342D7E" w:rsidRDefault="004C5086">
      <w:pPr>
        <w:pStyle w:val="subtitlenumbered"/>
        <w:jc w:val="both"/>
      </w:pPr>
      <w:bookmarkStart w:id="98" w:name="_Toc31019200"/>
      <w:r w:rsidRPr="00342D7E">
        <w:t>KREDYTY I ZALICZKI: ŚREDNI CZAS TRWANIA I ŚREDNI OKRES ODZYSKANIA ŚRODKÓW (47)</w:t>
      </w:r>
      <w:bookmarkEnd w:id="98"/>
    </w:p>
    <w:p w:rsidR="00D35B0C" w:rsidRPr="00342D7E" w:rsidRDefault="004C5086">
      <w:pPr>
        <w:pStyle w:val="Baseparagraphnumbered"/>
      </w:pPr>
      <w:r w:rsidRPr="00342D7E">
        <w:t>Informacje przedstawione we wzorze 47 odnoszą się do kredytów</w:t>
      </w:r>
      <w:r w:rsidR="00342D7E" w:rsidRPr="00342D7E">
        <w:t xml:space="preserve"> i</w:t>
      </w:r>
      <w:r w:rsidR="00342D7E">
        <w:t> </w:t>
      </w:r>
      <w:r w:rsidR="00342D7E" w:rsidRPr="00342D7E">
        <w:t>zal</w:t>
      </w:r>
      <w:r w:rsidRPr="00342D7E">
        <w:t>iczek,</w:t>
      </w:r>
      <w:r w:rsidR="00342D7E" w:rsidRPr="00342D7E">
        <w:t xml:space="preserve"> z</w:t>
      </w:r>
      <w:r w:rsidR="00342D7E">
        <w:t> </w:t>
      </w:r>
      <w:r w:rsidR="00342D7E" w:rsidRPr="00342D7E">
        <w:t>wył</w:t>
      </w:r>
      <w:r w:rsidRPr="00342D7E">
        <w:t>ączeniem kredytów</w:t>
      </w:r>
      <w:r w:rsidR="00342D7E" w:rsidRPr="00342D7E">
        <w:t xml:space="preserve"> i</w:t>
      </w:r>
      <w:r w:rsidR="00342D7E">
        <w:t> </w:t>
      </w:r>
      <w:r w:rsidR="00342D7E" w:rsidRPr="00342D7E">
        <w:t>zal</w:t>
      </w:r>
      <w:r w:rsidRPr="00342D7E">
        <w:t>iczek zaklasyfikowanych jako przeznaczone do obrotu, aktywa finansowe</w:t>
      </w:r>
      <w:r w:rsidR="00342D7E" w:rsidRPr="00342D7E">
        <w:t xml:space="preserve"> z</w:t>
      </w:r>
      <w:r w:rsidR="00342D7E">
        <w:t> </w:t>
      </w:r>
      <w:r w:rsidR="00342D7E" w:rsidRPr="00342D7E">
        <w:t>prz</w:t>
      </w:r>
      <w:r w:rsidRPr="00342D7E">
        <w:t>eznaczeniem do obrotu lub przeznaczone do sprzedaży.</w:t>
      </w:r>
    </w:p>
    <w:p w:rsidR="00D35B0C" w:rsidRPr="00342D7E" w:rsidRDefault="004C5086">
      <w:pPr>
        <w:pStyle w:val="Baseparagraphnumbered"/>
      </w:pPr>
      <w:r w:rsidRPr="00342D7E">
        <w:t>„Średni ważony okres od daty uznania za przeterminowane (w latach</w:t>
      </w:r>
      <w:proofErr w:type="gramStart"/>
      <w:r w:rsidRPr="00342D7E">
        <w:t>)” oblicza</w:t>
      </w:r>
      <w:proofErr w:type="gramEnd"/>
      <w:r w:rsidRPr="00342D7E">
        <w:t xml:space="preserve"> się jako średnią ważoną liczby dni przeterminowania ekspozycji sklasyfikowanych jako nieobsługiwane zgodnie</w:t>
      </w:r>
      <w:r w:rsidR="00342D7E" w:rsidRPr="00342D7E">
        <w:t xml:space="preserve"> z</w:t>
      </w:r>
      <w:r w:rsidR="00342D7E">
        <w:t> </w:t>
      </w:r>
      <w:r w:rsidR="00342D7E" w:rsidRPr="00342D7E">
        <w:t>pkt </w:t>
      </w:r>
      <w:r w:rsidRPr="00342D7E">
        <w:t>213–239 lub</w:t>
      </w:r>
      <w:r w:rsidR="00342D7E" w:rsidRPr="00342D7E">
        <w:t> </w:t>
      </w:r>
      <w:r w:rsidRPr="00342D7E">
        <w:t>260 niniejszej części na sprawozdawczy dzień odniesienia</w:t>
      </w:r>
      <w:r w:rsidR="00342D7E" w:rsidRPr="00342D7E">
        <w:t>. W</w:t>
      </w:r>
      <w:r w:rsidR="00342D7E">
        <w:t> </w:t>
      </w:r>
      <w:r w:rsidR="00342D7E" w:rsidRPr="00342D7E">
        <w:t>kal</w:t>
      </w:r>
      <w:r w:rsidRPr="00342D7E">
        <w:t>kulacji tej ekspozycje nieobsługiwane, które nie są przeterminowane, uznaje się za przeterminowane</w:t>
      </w:r>
      <w:r w:rsidR="00342D7E" w:rsidRPr="00342D7E">
        <w:t xml:space="preserve"> o</w:t>
      </w:r>
      <w:r w:rsidR="00342D7E">
        <w:t> </w:t>
      </w:r>
      <w:r w:rsidR="00342D7E" w:rsidRPr="00342D7E">
        <w:t>zer</w:t>
      </w:r>
      <w:r w:rsidRPr="00342D7E">
        <w:t>o dni. Ekspozycje ważone są wartością bilansową brutto mierzoną na sprawozdawczy dzień odniesienia. Średni ważony okres od daty uznania za przeterminowane wyraża się</w:t>
      </w:r>
      <w:r w:rsidR="00342D7E" w:rsidRPr="00342D7E">
        <w:t xml:space="preserve"> w</w:t>
      </w:r>
      <w:r w:rsidR="00342D7E">
        <w:t> </w:t>
      </w:r>
      <w:r w:rsidR="00342D7E" w:rsidRPr="00342D7E">
        <w:t>lat</w:t>
      </w:r>
      <w:r w:rsidRPr="00342D7E">
        <w:t>ach (w zaokrągleniu do części dziesiętnych).</w:t>
      </w:r>
    </w:p>
    <w:p w:rsidR="00D35B0C" w:rsidRPr="00342D7E" w:rsidRDefault="004C5086">
      <w:pPr>
        <w:pStyle w:val="Baseparagraphnumbered"/>
      </w:pPr>
      <w:r w:rsidRPr="00342D7E">
        <w:t>Zgłasza się następujące informacje dotyczące wyników postępowań sądowych</w:t>
      </w:r>
      <w:r w:rsidR="00342D7E" w:rsidRPr="00342D7E">
        <w:t xml:space="preserve"> w</w:t>
      </w:r>
      <w:r w:rsidR="00342D7E">
        <w:t> </w:t>
      </w:r>
      <w:r w:rsidR="00342D7E" w:rsidRPr="00342D7E">
        <w:t>odn</w:t>
      </w:r>
      <w:r w:rsidRPr="00342D7E">
        <w:t>iesieniu do nieobsługiwanych kredytów</w:t>
      </w:r>
      <w:r w:rsidR="00342D7E" w:rsidRPr="00342D7E">
        <w:t xml:space="preserve"> i</w:t>
      </w:r>
      <w:r w:rsidR="00342D7E">
        <w:t> </w:t>
      </w:r>
      <w:r w:rsidR="00342D7E" w:rsidRPr="00342D7E">
        <w:t>zal</w:t>
      </w:r>
      <w:r w:rsidRPr="00342D7E">
        <w:t>iczek udzielonych</w:t>
      </w:r>
      <w:r w:rsidR="00342D7E" w:rsidRPr="00342D7E">
        <w:t xml:space="preserve"> w</w:t>
      </w:r>
      <w:r w:rsidR="00342D7E">
        <w:t> </w:t>
      </w:r>
      <w:r w:rsidR="00342D7E" w:rsidRPr="00342D7E">
        <w:t>dan</w:t>
      </w:r>
      <w:r w:rsidRPr="00342D7E">
        <w:t>ym okresie:</w:t>
      </w:r>
    </w:p>
    <w:p w:rsidR="00D35B0C" w:rsidRPr="00342D7E" w:rsidRDefault="004C5086" w:rsidP="00A47F48">
      <w:pPr>
        <w:numPr>
          <w:ilvl w:val="0"/>
          <w:numId w:val="91"/>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skumulowane</w:t>
      </w:r>
      <w:proofErr w:type="gramEnd"/>
      <w:r w:rsidRPr="00342D7E">
        <w:rPr>
          <w:rFonts w:ascii="Times New Roman" w:hAnsi="Times New Roman"/>
          <w:sz w:val="24"/>
          <w:szCs w:val="24"/>
        </w:rPr>
        <w:t xml:space="preserve"> odzyskane kwoty netto: Niniejsza pozycja obejmuje środki odzyskane</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wyn</w:t>
      </w:r>
      <w:r w:rsidRPr="00342D7E">
        <w:rPr>
          <w:rFonts w:ascii="Times New Roman" w:hAnsi="Times New Roman"/>
          <w:sz w:val="24"/>
          <w:szCs w:val="24"/>
        </w:rPr>
        <w:t>iku postępowań sądowych. Nie uwzględnia się kwot odzyskanych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wyn</w:t>
      </w:r>
      <w:r w:rsidRPr="00342D7E">
        <w:rPr>
          <w:rFonts w:ascii="Times New Roman" w:hAnsi="Times New Roman"/>
          <w:sz w:val="24"/>
          <w:szCs w:val="24"/>
        </w:rPr>
        <w:t>iku dobrowolnych ugód;</w:t>
      </w:r>
    </w:p>
    <w:p w:rsidR="00D35B0C" w:rsidRPr="00342D7E" w:rsidRDefault="004C5086" w:rsidP="00A47F48">
      <w:pPr>
        <w:numPr>
          <w:ilvl w:val="0"/>
          <w:numId w:val="91"/>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t>obniżenie</w:t>
      </w:r>
      <w:proofErr w:type="gramEnd"/>
      <w:r w:rsidRPr="00342D7E">
        <w:rPr>
          <w:rFonts w:ascii="Times New Roman" w:hAnsi="Times New Roman"/>
          <w:sz w:val="24"/>
          <w:szCs w:val="24"/>
        </w:rPr>
        <w:t xml:space="preserve"> wartości bilansowej brutto: Pozycja ta obejmuje wartość bilansową brutto kredytów</w:t>
      </w:r>
      <w:r w:rsidR="00342D7E" w:rsidRPr="00342D7E">
        <w:rPr>
          <w:rFonts w:ascii="Times New Roman" w:hAnsi="Times New Roman"/>
          <w:sz w:val="24"/>
          <w:szCs w:val="24"/>
        </w:rPr>
        <w:t xml:space="preserve"> i</w:t>
      </w:r>
      <w:r w:rsidR="00342D7E">
        <w:rPr>
          <w:rFonts w:ascii="Times New Roman" w:hAnsi="Times New Roman"/>
          <w:sz w:val="24"/>
          <w:szCs w:val="24"/>
        </w:rPr>
        <w:t> </w:t>
      </w:r>
      <w:r w:rsidR="00342D7E" w:rsidRPr="00342D7E">
        <w:rPr>
          <w:rFonts w:ascii="Times New Roman" w:hAnsi="Times New Roman"/>
          <w:sz w:val="24"/>
          <w:szCs w:val="24"/>
        </w:rPr>
        <w:t>zal</w:t>
      </w:r>
      <w:r w:rsidRPr="00342D7E">
        <w:rPr>
          <w:rFonts w:ascii="Times New Roman" w:hAnsi="Times New Roman"/>
          <w:sz w:val="24"/>
          <w:szCs w:val="24"/>
        </w:rPr>
        <w:t>iczek nieobsługiwanych, których ujmowania zaprzestano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odp</w:t>
      </w:r>
      <w:r w:rsidRPr="00342D7E">
        <w:rPr>
          <w:rFonts w:ascii="Times New Roman" w:hAnsi="Times New Roman"/>
          <w:sz w:val="24"/>
          <w:szCs w:val="24"/>
        </w:rPr>
        <w:t>owiedzi na zakończenie postępowania sądowego. Obejmuje to powiązane spisania;</w:t>
      </w:r>
    </w:p>
    <w:p w:rsidR="00D35B0C" w:rsidRPr="00342D7E" w:rsidRDefault="004C5086" w:rsidP="00A47F48">
      <w:pPr>
        <w:numPr>
          <w:ilvl w:val="0"/>
          <w:numId w:val="91"/>
        </w:numPr>
        <w:spacing w:before="120" w:after="120"/>
        <w:ind w:left="1134"/>
        <w:jc w:val="both"/>
        <w:rPr>
          <w:rFonts w:ascii="Times New Roman" w:hAnsi="Times New Roman"/>
          <w:sz w:val="24"/>
          <w:szCs w:val="24"/>
        </w:rPr>
      </w:pPr>
      <w:proofErr w:type="gramStart"/>
      <w:r w:rsidRPr="00342D7E">
        <w:rPr>
          <w:rFonts w:ascii="Times New Roman" w:hAnsi="Times New Roman"/>
          <w:sz w:val="24"/>
          <w:szCs w:val="24"/>
        </w:rPr>
        <w:lastRenderedPageBreak/>
        <w:t>średni</w:t>
      </w:r>
      <w:proofErr w:type="gramEnd"/>
      <w:r w:rsidRPr="00342D7E">
        <w:rPr>
          <w:rFonts w:ascii="Times New Roman" w:hAnsi="Times New Roman"/>
          <w:sz w:val="24"/>
          <w:szCs w:val="24"/>
        </w:rPr>
        <w:t xml:space="preserve"> czas trwania postępowań sądowych</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dan</w:t>
      </w:r>
      <w:r w:rsidRPr="00342D7E">
        <w:rPr>
          <w:rFonts w:ascii="Times New Roman" w:hAnsi="Times New Roman"/>
          <w:sz w:val="24"/>
          <w:szCs w:val="24"/>
        </w:rPr>
        <w:t>ym okresie: obliczany jest jako średni czas, który upłynął między dniem klasyfikacji instrumentu jako „na etapie postępowania sądowego” zgodnie</w:t>
      </w:r>
      <w:r w:rsidR="00342D7E" w:rsidRPr="00342D7E">
        <w:rPr>
          <w:rFonts w:ascii="Times New Roman" w:hAnsi="Times New Roman"/>
          <w:sz w:val="24"/>
          <w:szCs w:val="24"/>
        </w:rPr>
        <w:t xml:space="preserve"> z</w:t>
      </w:r>
      <w:r w:rsidR="00342D7E">
        <w:rPr>
          <w:rFonts w:ascii="Times New Roman" w:hAnsi="Times New Roman"/>
          <w:sz w:val="24"/>
          <w:szCs w:val="24"/>
        </w:rPr>
        <w:t> </w:t>
      </w:r>
      <w:r w:rsidR="00342D7E" w:rsidRPr="00342D7E">
        <w:rPr>
          <w:rFonts w:ascii="Times New Roman" w:hAnsi="Times New Roman"/>
          <w:sz w:val="24"/>
          <w:szCs w:val="24"/>
        </w:rPr>
        <w:t>pkt </w:t>
      </w:r>
      <w:r w:rsidRPr="00342D7E">
        <w:rPr>
          <w:rFonts w:ascii="Times New Roman" w:hAnsi="Times New Roman"/>
          <w:sz w:val="24"/>
          <w:szCs w:val="24"/>
        </w:rPr>
        <w:t>322 niniejszej części</w:t>
      </w:r>
      <w:r w:rsidR="00342D7E" w:rsidRPr="00342D7E">
        <w:rPr>
          <w:rFonts w:ascii="Times New Roman" w:hAnsi="Times New Roman"/>
          <w:sz w:val="24"/>
          <w:szCs w:val="24"/>
        </w:rPr>
        <w:t xml:space="preserve"> a</w:t>
      </w:r>
      <w:r w:rsidR="00342D7E">
        <w:rPr>
          <w:rFonts w:ascii="Times New Roman" w:hAnsi="Times New Roman"/>
          <w:sz w:val="24"/>
          <w:szCs w:val="24"/>
        </w:rPr>
        <w:t> </w:t>
      </w:r>
      <w:r w:rsidR="00342D7E" w:rsidRPr="00342D7E">
        <w:rPr>
          <w:rFonts w:ascii="Times New Roman" w:hAnsi="Times New Roman"/>
          <w:sz w:val="24"/>
          <w:szCs w:val="24"/>
        </w:rPr>
        <w:t>dni</w:t>
      </w:r>
      <w:r w:rsidRPr="00342D7E">
        <w:rPr>
          <w:rFonts w:ascii="Times New Roman" w:hAnsi="Times New Roman"/>
          <w:sz w:val="24"/>
          <w:szCs w:val="24"/>
        </w:rPr>
        <w:t>em zakończenia postępowania sądowego; podaje się go</w:t>
      </w:r>
      <w:r w:rsidR="00342D7E" w:rsidRPr="00342D7E">
        <w:rPr>
          <w:rFonts w:ascii="Times New Roman" w:hAnsi="Times New Roman"/>
          <w:sz w:val="24"/>
          <w:szCs w:val="24"/>
        </w:rPr>
        <w:t xml:space="preserve"> w</w:t>
      </w:r>
      <w:r w:rsidR="00342D7E">
        <w:rPr>
          <w:rFonts w:ascii="Times New Roman" w:hAnsi="Times New Roman"/>
          <w:sz w:val="24"/>
          <w:szCs w:val="24"/>
        </w:rPr>
        <w:t> </w:t>
      </w:r>
      <w:r w:rsidR="00342D7E" w:rsidRPr="00342D7E">
        <w:rPr>
          <w:rFonts w:ascii="Times New Roman" w:hAnsi="Times New Roman"/>
          <w:sz w:val="24"/>
          <w:szCs w:val="24"/>
        </w:rPr>
        <w:t>lat</w:t>
      </w:r>
      <w:r w:rsidRPr="00342D7E">
        <w:rPr>
          <w:rFonts w:ascii="Times New Roman" w:hAnsi="Times New Roman"/>
          <w:sz w:val="24"/>
          <w:szCs w:val="24"/>
        </w:rPr>
        <w:t>ach (w zaokrągleniu do części dziesiętnych).</w:t>
      </w:r>
    </w:p>
    <w:p w:rsidR="00D35B0C" w:rsidRPr="00342D7E" w:rsidRDefault="00D35B0C">
      <w:pPr>
        <w:jc w:val="center"/>
        <w:rPr>
          <w:rFonts w:ascii="Times New Roman" w:hAnsi="Times New Roman"/>
          <w:b/>
          <w:sz w:val="24"/>
          <w:szCs w:val="24"/>
        </w:rPr>
      </w:pPr>
    </w:p>
    <w:p w:rsidR="00D35B0C" w:rsidRPr="00342D7E" w:rsidRDefault="00A834F1">
      <w:pPr>
        <w:jc w:val="center"/>
        <w:rPr>
          <w:rFonts w:ascii="Times New Roman" w:hAnsi="Times New Roman"/>
          <w:b/>
          <w:sz w:val="24"/>
          <w:szCs w:val="24"/>
        </w:rPr>
      </w:pPr>
      <w:r w:rsidRPr="00342D7E">
        <w:rPr>
          <w:rFonts w:ascii="Times New Roman" w:hAnsi="Times New Roman"/>
          <w:b/>
          <w:sz w:val="24"/>
          <w:szCs w:val="24"/>
        </w:rPr>
        <w:t>CZĘŚĆ 3</w:t>
      </w:r>
    </w:p>
    <w:p w:rsidR="00D35B0C" w:rsidRPr="00342D7E" w:rsidRDefault="00A834F1">
      <w:pPr>
        <w:pStyle w:val="Heading1"/>
      </w:pPr>
      <w:bookmarkStart w:id="99" w:name="_Toc31019201"/>
      <w:r w:rsidRPr="00342D7E">
        <w:t>Przyporządkowanie kategorii ekspozycji</w:t>
      </w:r>
      <w:r w:rsidR="00342D7E" w:rsidRPr="00342D7E">
        <w:t xml:space="preserve"> i</w:t>
      </w:r>
      <w:r w:rsidR="00342D7E">
        <w:t> </w:t>
      </w:r>
      <w:r w:rsidR="00342D7E" w:rsidRPr="00342D7E">
        <w:t>sek</w:t>
      </w:r>
      <w:r w:rsidRPr="00342D7E">
        <w:t>torów kontrahentów</w:t>
      </w:r>
      <w:bookmarkEnd w:id="99"/>
    </w:p>
    <w:p w:rsidR="00D35B0C" w:rsidRPr="00342D7E" w:rsidRDefault="00D35B0C">
      <w:pPr>
        <w:rPr>
          <w:sz w:val="24"/>
          <w:szCs w:val="24"/>
        </w:rPr>
      </w:pPr>
    </w:p>
    <w:p w:rsidR="00D35B0C" w:rsidRPr="00342D7E" w:rsidRDefault="00A834F1" w:rsidP="00056B6F">
      <w:pPr>
        <w:pStyle w:val="Baseparagraphnumbered"/>
        <w:numPr>
          <w:ilvl w:val="0"/>
          <w:numId w:val="16"/>
        </w:numPr>
      </w:pPr>
      <w:r w:rsidRPr="00342D7E">
        <w:t>W tabelach 2</w:t>
      </w:r>
      <w:r w:rsidR="00342D7E" w:rsidRPr="00342D7E">
        <w:t xml:space="preserve"> i</w:t>
      </w:r>
      <w:r w:rsidR="00342D7E">
        <w:t> </w:t>
      </w:r>
      <w:r w:rsidR="00342D7E" w:rsidRPr="00342D7E">
        <w:t>3</w:t>
      </w:r>
      <w:r w:rsidRPr="00342D7E">
        <w:t xml:space="preserve"> przyporządkowuje się kategorie ekspozycji wykorzystywane przy obliczaniu wymogów kapitałowych zgodnie z CRR do sektorów kontrahentów stosowanych</w:t>
      </w:r>
      <w:r w:rsidR="00342D7E" w:rsidRPr="00342D7E">
        <w:t xml:space="preserve"> w</w:t>
      </w:r>
      <w:r w:rsidR="00342D7E">
        <w:t> </w:t>
      </w:r>
      <w:r w:rsidR="00342D7E" w:rsidRPr="00342D7E">
        <w:t>tab</w:t>
      </w:r>
      <w:r w:rsidRPr="00342D7E">
        <w:t>elach FINREP.</w:t>
      </w:r>
    </w:p>
    <w:p w:rsidR="00D35B0C" w:rsidRPr="00342D7E" w:rsidRDefault="00A834F1">
      <w:pPr>
        <w:jc w:val="center"/>
        <w:rPr>
          <w:rFonts w:ascii="Times New Roman" w:hAnsi="Times New Roman"/>
          <w:bCs/>
          <w:i/>
          <w:sz w:val="24"/>
          <w:szCs w:val="24"/>
        </w:rPr>
      </w:pPr>
      <w:r w:rsidRPr="00342D7E">
        <w:rPr>
          <w:rFonts w:ascii="Times New Roman" w:hAnsi="Times New Roman"/>
          <w:bCs/>
          <w:i/>
          <w:sz w:val="24"/>
          <w:szCs w:val="24"/>
        </w:rPr>
        <w:t>Tabela 2 Metoda standardowa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D35B0C" w:rsidRPr="00342D7E" w:rsidTr="009569C7">
        <w:trPr>
          <w:tblHeader/>
        </w:trPr>
        <w:tc>
          <w:tcPr>
            <w:tcW w:w="3168" w:type="dxa"/>
            <w:vAlign w:val="center"/>
          </w:tcPr>
          <w:p w:rsidR="00D35B0C" w:rsidRPr="00342D7E" w:rsidRDefault="00A834F1">
            <w:pPr>
              <w:spacing w:before="60" w:after="60"/>
              <w:jc w:val="center"/>
              <w:rPr>
                <w:rFonts w:ascii="Times New Roman" w:hAnsi="Times New Roman"/>
                <w:b/>
                <w:bCs/>
                <w:i/>
                <w:iCs/>
                <w:sz w:val="20"/>
              </w:rPr>
            </w:pPr>
            <w:r w:rsidRPr="00342D7E">
              <w:rPr>
                <w:rFonts w:ascii="Times New Roman" w:hAnsi="Times New Roman"/>
                <w:b/>
                <w:bCs/>
                <w:i/>
                <w:iCs/>
                <w:sz w:val="20"/>
              </w:rPr>
              <w:t>Kategorie ekspozycji wg metody standardowej (art.</w:t>
            </w:r>
            <w:r w:rsidR="00342D7E" w:rsidRPr="00342D7E">
              <w:rPr>
                <w:rFonts w:ascii="Times New Roman" w:hAnsi="Times New Roman"/>
                <w:b/>
                <w:bCs/>
                <w:i/>
                <w:iCs/>
                <w:sz w:val="20"/>
              </w:rPr>
              <w:t> </w:t>
            </w:r>
            <w:r w:rsidRPr="00342D7E">
              <w:rPr>
                <w:rFonts w:ascii="Times New Roman" w:hAnsi="Times New Roman"/>
                <w:b/>
                <w:bCs/>
                <w:i/>
                <w:iCs/>
                <w:sz w:val="20"/>
              </w:rPr>
              <w:t>112 CRR)</w:t>
            </w:r>
          </w:p>
        </w:tc>
        <w:tc>
          <w:tcPr>
            <w:tcW w:w="3060" w:type="dxa"/>
            <w:vAlign w:val="center"/>
          </w:tcPr>
          <w:p w:rsidR="00D35B0C" w:rsidRPr="00342D7E" w:rsidRDefault="00A834F1">
            <w:pPr>
              <w:spacing w:before="60" w:after="60"/>
              <w:jc w:val="center"/>
              <w:rPr>
                <w:rFonts w:ascii="Times New Roman" w:hAnsi="Times New Roman"/>
                <w:b/>
                <w:bCs/>
                <w:i/>
                <w:iCs/>
                <w:sz w:val="20"/>
              </w:rPr>
            </w:pPr>
            <w:r w:rsidRPr="00342D7E">
              <w:rPr>
                <w:rFonts w:ascii="Times New Roman" w:hAnsi="Times New Roman"/>
                <w:b/>
                <w:bCs/>
                <w:i/>
                <w:iCs/>
                <w:sz w:val="20"/>
              </w:rPr>
              <w:t>Sektory kontrahentów w FINREP</w:t>
            </w:r>
          </w:p>
        </w:tc>
        <w:tc>
          <w:tcPr>
            <w:tcW w:w="3240" w:type="dxa"/>
            <w:vAlign w:val="center"/>
          </w:tcPr>
          <w:p w:rsidR="00D35B0C" w:rsidRPr="00342D7E" w:rsidRDefault="00A834F1">
            <w:pPr>
              <w:spacing w:before="60" w:after="60"/>
              <w:jc w:val="center"/>
              <w:rPr>
                <w:rFonts w:ascii="Times New Roman" w:hAnsi="Times New Roman"/>
                <w:b/>
                <w:bCs/>
                <w:i/>
                <w:iCs/>
                <w:sz w:val="20"/>
              </w:rPr>
            </w:pPr>
            <w:r w:rsidRPr="00342D7E">
              <w:rPr>
                <w:rFonts w:ascii="Times New Roman" w:hAnsi="Times New Roman"/>
                <w:b/>
                <w:bCs/>
                <w:i/>
                <w:iCs/>
                <w:sz w:val="20"/>
              </w:rPr>
              <w:t>Uwagi</w:t>
            </w:r>
          </w:p>
        </w:tc>
      </w:tr>
      <w:tr w:rsidR="00D35B0C" w:rsidRPr="00342D7E" w:rsidTr="009569C7">
        <w:trPr>
          <w:cantSplit/>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a</w:t>
            </w:r>
            <w:proofErr w:type="gramEnd"/>
            <w:r w:rsidRPr="00342D7E">
              <w:rPr>
                <w:rFonts w:ascii="Times New Roman" w:hAnsi="Times New Roman"/>
                <w:sz w:val="18"/>
                <w:szCs w:val="18"/>
              </w:rPr>
              <w:t>) Ekspozycje wobec rządów centralnych lub banków centralnych</w:t>
            </w:r>
          </w:p>
        </w:tc>
        <w:tc>
          <w:tcPr>
            <w:tcW w:w="3060" w:type="dxa"/>
            <w:tcBorders>
              <w:bottom w:val="nil"/>
            </w:tcBorders>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1) Banki centralne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w:t>
            </w:r>
          </w:p>
        </w:tc>
        <w:tc>
          <w:tcPr>
            <w:tcW w:w="3240" w:type="dxa"/>
            <w:tcBorders>
              <w:bottom w:val="nil"/>
            </w:tcBorders>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rPr>
          <w:cantSplit/>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b</w:t>
            </w:r>
            <w:proofErr w:type="gramEnd"/>
            <w:r w:rsidRPr="00342D7E">
              <w:rPr>
                <w:rFonts w:ascii="Times New Roman" w:hAnsi="Times New Roman"/>
                <w:sz w:val="18"/>
                <w:szCs w:val="18"/>
              </w:rPr>
              <w:t>) Ekspozycje wobec samorządów regionalnych lub władz lokalnych</w:t>
            </w:r>
          </w:p>
        </w:tc>
        <w:tc>
          <w:tcPr>
            <w:tcW w:w="3060" w:type="dxa"/>
            <w:tcBorders>
              <w:bottom w:val="nil"/>
            </w:tcBorders>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w:t>
            </w:r>
          </w:p>
        </w:tc>
        <w:tc>
          <w:tcPr>
            <w:tcW w:w="3240" w:type="dxa"/>
            <w:tcBorders>
              <w:bottom w:val="nil"/>
            </w:tcBorders>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rPr>
          <w:cantSplit/>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c</w:t>
            </w:r>
            <w:proofErr w:type="gramEnd"/>
            <w:r w:rsidRPr="00342D7E">
              <w:rPr>
                <w:rFonts w:ascii="Times New Roman" w:hAnsi="Times New Roman"/>
                <w:sz w:val="18"/>
                <w:szCs w:val="18"/>
              </w:rPr>
              <w:t>) Ekspozycje wobec podmiotów sektora publicznego</w:t>
            </w:r>
          </w:p>
        </w:tc>
        <w:tc>
          <w:tcPr>
            <w:tcW w:w="3060" w:type="dxa"/>
            <w:tcBorders>
              <w:bottom w:val="nil"/>
            </w:tcBorders>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 xml:space="preserve">orządowych </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3) Instytucje kredytowe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5) Przedsiębiorstwa niefinansowe</w:t>
            </w:r>
          </w:p>
          <w:p w:rsidR="00D35B0C" w:rsidRPr="00342D7E" w:rsidRDefault="00D35B0C">
            <w:pPr>
              <w:spacing w:before="60" w:after="60"/>
              <w:rPr>
                <w:rFonts w:ascii="Times New Roman" w:hAnsi="Times New Roman"/>
                <w:sz w:val="18"/>
                <w:szCs w:val="18"/>
              </w:rPr>
            </w:pPr>
          </w:p>
        </w:tc>
        <w:tc>
          <w:tcPr>
            <w:tcW w:w="3240" w:type="dxa"/>
            <w:tcBorders>
              <w:bottom w:val="nil"/>
            </w:tcBorders>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rPr>
          <w:cantSplit/>
          <w:trHeight w:val="147"/>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d</w:t>
            </w:r>
            <w:proofErr w:type="gramEnd"/>
            <w:r w:rsidRPr="00342D7E">
              <w:rPr>
                <w:rFonts w:ascii="Times New Roman" w:hAnsi="Times New Roman"/>
                <w:sz w:val="18"/>
                <w:szCs w:val="18"/>
              </w:rPr>
              <w:t>) Ekspozycje wobec wielostronnych banków rozwoju</w:t>
            </w:r>
          </w:p>
        </w:tc>
        <w:tc>
          <w:tcPr>
            <w:tcW w:w="306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3) Instytucje kredytowe</w:t>
            </w: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rPr>
          <w:cantSplit/>
          <w:trHeight w:val="70"/>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e</w:t>
            </w:r>
            <w:proofErr w:type="gramEnd"/>
            <w:r w:rsidRPr="00342D7E">
              <w:rPr>
                <w:rFonts w:ascii="Times New Roman" w:hAnsi="Times New Roman"/>
                <w:sz w:val="18"/>
                <w:szCs w:val="18"/>
              </w:rPr>
              <w:t>) Ekspozycje wobec organizacji międzynarodowych</w:t>
            </w:r>
          </w:p>
        </w:tc>
        <w:tc>
          <w:tcPr>
            <w:tcW w:w="306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w:t>
            </w: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rPr>
          <w:cantSplit/>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f</w:t>
            </w:r>
            <w:proofErr w:type="gramEnd"/>
            <w:r w:rsidRPr="00342D7E">
              <w:rPr>
                <w:rFonts w:ascii="Times New Roman" w:hAnsi="Times New Roman"/>
                <w:sz w:val="18"/>
                <w:szCs w:val="18"/>
              </w:rPr>
              <w:t>) Ekspozycje wobec instytucji</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(tj. ekspozycje wobec instytucji kredytowych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fir</w:t>
            </w:r>
            <w:r w:rsidRPr="00342D7E">
              <w:rPr>
                <w:rFonts w:ascii="Times New Roman" w:hAnsi="Times New Roman"/>
                <w:sz w:val="18"/>
                <w:szCs w:val="18"/>
              </w:rPr>
              <w:t>m inwestycyjnych)</w:t>
            </w:r>
          </w:p>
        </w:tc>
        <w:tc>
          <w:tcPr>
            <w:tcW w:w="306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3) Instytucje kredytowe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4) Inne instytucje finansowe</w:t>
            </w: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g</w:t>
            </w:r>
            <w:proofErr w:type="gramEnd"/>
            <w:r w:rsidRPr="00342D7E">
              <w:rPr>
                <w:rFonts w:ascii="Times New Roman" w:hAnsi="Times New Roman"/>
                <w:sz w:val="18"/>
                <w:szCs w:val="18"/>
              </w:rPr>
              <w:t>) Ekspozycje wobec przedsiębiorstw</w:t>
            </w:r>
          </w:p>
        </w:tc>
        <w:tc>
          <w:tcPr>
            <w:tcW w:w="3060" w:type="dxa"/>
            <w:vAlign w:val="center"/>
          </w:tcPr>
          <w:p w:rsidR="00D35B0C" w:rsidRPr="00342D7E" w:rsidRDefault="00C93712">
            <w:pPr>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 xml:space="preserve">5) Przedsiębiorstwa niefinansowe </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lastRenderedPageBreak/>
              <w:t>6) Gospodarstwa domowe</w:t>
            </w: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lastRenderedPageBreak/>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h</w:t>
            </w:r>
            <w:proofErr w:type="gramEnd"/>
            <w:r w:rsidRPr="00342D7E">
              <w:rPr>
                <w:rFonts w:ascii="Times New Roman" w:hAnsi="Times New Roman"/>
                <w:sz w:val="18"/>
                <w:szCs w:val="18"/>
              </w:rPr>
              <w:t>) Ekspozycje detaliczne</w:t>
            </w:r>
          </w:p>
        </w:tc>
        <w:tc>
          <w:tcPr>
            <w:tcW w:w="306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5) Przedsiębiorstwa niefinansowe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6) Gospodarstwa domowe</w:t>
            </w: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rPr>
          <w:cantSplit/>
          <w:trHeight w:val="134"/>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i</w:t>
            </w:r>
            <w:proofErr w:type="gramEnd"/>
            <w:r w:rsidRPr="00342D7E">
              <w:rPr>
                <w:rFonts w:ascii="Times New Roman" w:hAnsi="Times New Roman"/>
                <w:sz w:val="18"/>
                <w:szCs w:val="18"/>
              </w:rPr>
              <w:t>) Ekspozycje zabezpieczone hipotekami na nieruchomościach</w:t>
            </w:r>
          </w:p>
        </w:tc>
        <w:tc>
          <w:tcPr>
            <w:tcW w:w="306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3) Instytucje kredytowe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5) Przedsiębiorstwa niefinansowe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 xml:space="preserve"> 6) Gospodarstwa domowe</w:t>
            </w: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rPr>
          <w:cantSplit/>
          <w:trHeight w:val="69"/>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j</w:t>
            </w:r>
            <w:proofErr w:type="gramEnd"/>
            <w:r w:rsidRPr="00342D7E">
              <w:rPr>
                <w:rFonts w:ascii="Times New Roman" w:hAnsi="Times New Roman"/>
                <w:sz w:val="18"/>
                <w:szCs w:val="18"/>
              </w:rPr>
              <w:t>) Ekspozycje, których dotyczy niewykonanie zobowiązania</w:t>
            </w:r>
          </w:p>
        </w:tc>
        <w:tc>
          <w:tcPr>
            <w:tcW w:w="306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1) Banki centralne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3) Instytucje kredytowe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5) Przedsiębiorstwa niefinansowe</w:t>
            </w:r>
          </w:p>
          <w:p w:rsidR="00D35B0C" w:rsidRPr="00342D7E" w:rsidRDefault="00A834F1" w:rsidP="00342D7E">
            <w:pPr>
              <w:spacing w:before="60" w:after="60"/>
              <w:rPr>
                <w:rFonts w:ascii="Times New Roman" w:hAnsi="Times New Roman"/>
                <w:sz w:val="18"/>
                <w:szCs w:val="18"/>
              </w:rPr>
            </w:pPr>
            <w:r w:rsidRPr="00342D7E">
              <w:rPr>
                <w:rFonts w:ascii="Times New Roman" w:hAnsi="Times New Roman"/>
                <w:sz w:val="18"/>
                <w:szCs w:val="18"/>
              </w:rPr>
              <w:t xml:space="preserve">6) Gospodarstwa domowe </w:t>
            </w: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rPr>
          <w:cantSplit/>
          <w:trHeight w:val="89"/>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ja</w:t>
            </w:r>
            <w:proofErr w:type="gramEnd"/>
            <w:r w:rsidRPr="00342D7E">
              <w:rPr>
                <w:rFonts w:ascii="Times New Roman" w:hAnsi="Times New Roman"/>
                <w:sz w:val="18"/>
                <w:szCs w:val="18"/>
              </w:rPr>
              <w:t>) Ekspozycje związane ze szczególnie wysokim ryzykiem</w:t>
            </w:r>
          </w:p>
        </w:tc>
        <w:tc>
          <w:tcPr>
            <w:tcW w:w="306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1) Banki centralne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3) Instytucje kredytowe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5) Przedsiębiorstwa niefinansowe</w:t>
            </w:r>
          </w:p>
          <w:p w:rsidR="00D35B0C" w:rsidRPr="00342D7E" w:rsidRDefault="00A834F1" w:rsidP="00342D7E">
            <w:pPr>
              <w:spacing w:before="60" w:after="60"/>
              <w:rPr>
                <w:rFonts w:ascii="Times New Roman" w:hAnsi="Times New Roman"/>
                <w:sz w:val="18"/>
                <w:szCs w:val="18"/>
              </w:rPr>
            </w:pPr>
            <w:r w:rsidRPr="00342D7E">
              <w:rPr>
                <w:rFonts w:ascii="Times New Roman" w:hAnsi="Times New Roman"/>
                <w:sz w:val="18"/>
                <w:szCs w:val="18"/>
              </w:rPr>
              <w:t xml:space="preserve">6) Gospodarstwa domowe </w:t>
            </w: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rPr>
          <w:cantSplit/>
          <w:trHeight w:val="89"/>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k</w:t>
            </w:r>
            <w:proofErr w:type="gramEnd"/>
            <w:r w:rsidRPr="00342D7E">
              <w:rPr>
                <w:rFonts w:ascii="Times New Roman" w:hAnsi="Times New Roman"/>
                <w:sz w:val="18"/>
                <w:szCs w:val="18"/>
              </w:rPr>
              <w:t>) Ekspozycje</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pos</w:t>
            </w:r>
            <w:r w:rsidRPr="00342D7E">
              <w:rPr>
                <w:rFonts w:ascii="Times New Roman" w:hAnsi="Times New Roman"/>
                <w:sz w:val="18"/>
                <w:szCs w:val="18"/>
              </w:rPr>
              <w:t>taci obligacji zabezpieczonych</w:t>
            </w:r>
          </w:p>
        </w:tc>
        <w:tc>
          <w:tcPr>
            <w:tcW w:w="306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3) Instytucje kredytowe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5) Przedsiębiorstwa niefinansowe</w:t>
            </w: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rPr>
          <w:cantSplit/>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l</w:t>
            </w:r>
            <w:proofErr w:type="gramEnd"/>
            <w:r w:rsidRPr="00342D7E">
              <w:rPr>
                <w:rFonts w:ascii="Times New Roman" w:hAnsi="Times New Roman"/>
                <w:sz w:val="18"/>
                <w:szCs w:val="18"/>
              </w:rPr>
              <w:t>) Pozycje sekurytyzacyjne</w:t>
            </w:r>
          </w:p>
        </w:tc>
        <w:tc>
          <w:tcPr>
            <w:tcW w:w="306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3) Instytucje kredytowe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5) Przedsiębiorstwa niefinansowe</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 xml:space="preserve">6) Gospodarstwa domowe </w:t>
            </w: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pod</w:t>
            </w:r>
            <w:r w:rsidRPr="00342D7E">
              <w:rPr>
                <w:rFonts w:ascii="Times New Roman" w:hAnsi="Times New Roman"/>
                <w:sz w:val="18"/>
                <w:szCs w:val="18"/>
              </w:rPr>
              <w:t>stawowym ryzykiem sekurytyzacji. Jeżeli w FINREP pozycje sekurytyzowane są</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dal</w:t>
            </w:r>
            <w:r w:rsidRPr="00342D7E">
              <w:rPr>
                <w:rFonts w:ascii="Times New Roman" w:hAnsi="Times New Roman"/>
                <w:sz w:val="18"/>
                <w:szCs w:val="18"/>
              </w:rPr>
              <w:t>szym ciągu ujmowane</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bil</w:t>
            </w:r>
            <w:r w:rsidRPr="00342D7E">
              <w:rPr>
                <w:rFonts w:ascii="Times New Roman" w:hAnsi="Times New Roman"/>
                <w:sz w:val="18"/>
                <w:szCs w:val="18"/>
              </w:rPr>
              <w:t>ansie, sektory kontrahentów odpowiadają sektorom bezpośrednich kontrahentów tych pozycji.</w:t>
            </w:r>
          </w:p>
        </w:tc>
      </w:tr>
      <w:tr w:rsidR="00D35B0C" w:rsidRPr="00342D7E" w:rsidTr="009569C7">
        <w:trPr>
          <w:cantSplit/>
          <w:trHeight w:val="267"/>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m</w:t>
            </w:r>
            <w:proofErr w:type="gramEnd"/>
            <w:r w:rsidRPr="00342D7E">
              <w:rPr>
                <w:rFonts w:ascii="Times New Roman" w:hAnsi="Times New Roman"/>
                <w:sz w:val="18"/>
                <w:szCs w:val="18"/>
              </w:rPr>
              <w:t>) Ekspozycje wobec instytucji</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prz</w:t>
            </w:r>
            <w:r w:rsidRPr="00342D7E">
              <w:rPr>
                <w:rFonts w:ascii="Times New Roman" w:hAnsi="Times New Roman"/>
                <w:sz w:val="18"/>
                <w:szCs w:val="18"/>
              </w:rPr>
              <w:t>edsiębiorstw posiadających krótkoterminową ocenę kredytową</w:t>
            </w:r>
          </w:p>
        </w:tc>
        <w:tc>
          <w:tcPr>
            <w:tcW w:w="306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3) Instytucje kredytowe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5) Przedsiębiorstwa niefinansowe</w:t>
            </w: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rPr>
          <w:cantSplit/>
          <w:trHeight w:val="263"/>
        </w:trPr>
        <w:tc>
          <w:tcPr>
            <w:tcW w:w="3168"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n</w:t>
            </w:r>
            <w:proofErr w:type="gramEnd"/>
            <w:r w:rsidRPr="00342D7E">
              <w:rPr>
                <w:rFonts w:ascii="Times New Roman" w:hAnsi="Times New Roman"/>
                <w:sz w:val="18"/>
                <w:szCs w:val="18"/>
              </w:rPr>
              <w:t>) Ekspozycje wobec przedsiębiorstw zbiorowego inwestowania</w:t>
            </w:r>
          </w:p>
        </w:tc>
        <w:tc>
          <w:tcPr>
            <w:tcW w:w="306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Instrumenty udziałowe</w:t>
            </w:r>
          </w:p>
          <w:p w:rsidR="00D35B0C" w:rsidRPr="00342D7E" w:rsidRDefault="00D35B0C">
            <w:pPr>
              <w:spacing w:before="60" w:after="60"/>
              <w:rPr>
                <w:rFonts w:ascii="Times New Roman" w:hAnsi="Times New Roman"/>
                <w:sz w:val="18"/>
                <w:szCs w:val="18"/>
              </w:rPr>
            </w:pPr>
          </w:p>
        </w:tc>
        <w:tc>
          <w:tcPr>
            <w:tcW w:w="3240"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Inwestycje</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prz</w:t>
            </w:r>
            <w:r w:rsidRPr="00342D7E">
              <w:rPr>
                <w:rFonts w:ascii="Times New Roman" w:hAnsi="Times New Roman"/>
                <w:sz w:val="18"/>
                <w:szCs w:val="18"/>
              </w:rPr>
              <w:t>edsiębiorstwa zbiorowego inwestowania klasyfikuje się jako instrumenty udziałowe w FINREP, niezależnie od tego, czy przepisy CRR dopuszczają możliwość przeprowadzenia pełnego przeglądu.</w:t>
            </w:r>
          </w:p>
        </w:tc>
      </w:tr>
      <w:tr w:rsidR="00D35B0C" w:rsidRPr="00342D7E"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D35B0C" w:rsidRPr="00342D7E" w:rsidRDefault="00490B4E">
            <w:pPr>
              <w:spacing w:before="60" w:after="60"/>
              <w:rPr>
                <w:rFonts w:ascii="Times New Roman" w:hAnsi="Times New Roman"/>
                <w:sz w:val="18"/>
                <w:szCs w:val="18"/>
              </w:rPr>
            </w:pPr>
            <w:r>
              <w:rPr>
                <w:rFonts w:ascii="Times New Roman" w:hAnsi="Times New Roman"/>
                <w:sz w:val="18"/>
                <w:szCs w:val="18"/>
              </w:rPr>
              <w:br w:type="page"/>
            </w:r>
            <w:proofErr w:type="gramStart"/>
            <w:r w:rsidR="00A834F1" w:rsidRPr="00342D7E">
              <w:rPr>
                <w:rFonts w:ascii="Times New Roman" w:hAnsi="Times New Roman"/>
                <w:sz w:val="18"/>
                <w:szCs w:val="18"/>
              </w:rPr>
              <w:t>o</w:t>
            </w:r>
            <w:proofErr w:type="gramEnd"/>
            <w:r w:rsidR="00A834F1" w:rsidRPr="00342D7E">
              <w:rPr>
                <w:rFonts w:ascii="Times New Roman" w:hAnsi="Times New Roman"/>
                <w:sz w:val="18"/>
                <w:szCs w:val="18"/>
              </w:rPr>
              <w:t>) Ekspozycje kapitałowe</w:t>
            </w:r>
          </w:p>
        </w:tc>
        <w:tc>
          <w:tcPr>
            <w:tcW w:w="3060" w:type="dxa"/>
            <w:tcBorders>
              <w:top w:val="single" w:sz="4" w:space="0" w:color="auto"/>
              <w:left w:val="single" w:sz="4" w:space="0" w:color="auto"/>
              <w:bottom w:val="single" w:sz="4" w:space="0" w:color="auto"/>
              <w:right w:val="single" w:sz="4" w:space="0" w:color="auto"/>
            </w:tcBorders>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Instrumenty udziałowe</w:t>
            </w:r>
          </w:p>
        </w:tc>
        <w:tc>
          <w:tcPr>
            <w:tcW w:w="3240" w:type="dxa"/>
            <w:tcBorders>
              <w:top w:val="single" w:sz="4" w:space="0" w:color="auto"/>
              <w:left w:val="single" w:sz="4" w:space="0" w:color="auto"/>
              <w:bottom w:val="single" w:sz="4" w:space="0" w:color="auto"/>
              <w:right w:val="single" w:sz="4" w:space="0" w:color="auto"/>
            </w:tcBorders>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W FINREP akcje wydziela się jako instrumenty</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ram</w:t>
            </w:r>
            <w:r w:rsidRPr="00342D7E">
              <w:rPr>
                <w:rFonts w:ascii="Times New Roman" w:hAnsi="Times New Roman"/>
                <w:sz w:val="18"/>
                <w:szCs w:val="18"/>
              </w:rPr>
              <w:t>ach różnych kategorii aktywów finansowych.</w:t>
            </w:r>
          </w:p>
        </w:tc>
      </w:tr>
      <w:tr w:rsidR="00D35B0C" w:rsidRPr="00342D7E"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lastRenderedPageBreak/>
              <w:t>p</w:t>
            </w:r>
            <w:proofErr w:type="gramEnd"/>
            <w:r w:rsidRPr="00342D7E">
              <w:rPr>
                <w:rFonts w:ascii="Times New Roman" w:hAnsi="Times New Roman"/>
                <w:sz w:val="18"/>
                <w:szCs w:val="18"/>
              </w:rPr>
              <w:t>) Inne pozycje</w:t>
            </w:r>
          </w:p>
        </w:tc>
        <w:tc>
          <w:tcPr>
            <w:tcW w:w="3060" w:type="dxa"/>
            <w:tcBorders>
              <w:top w:val="single" w:sz="4" w:space="0" w:color="auto"/>
              <w:left w:val="single" w:sz="4" w:space="0" w:color="auto"/>
              <w:bottom w:val="single" w:sz="4" w:space="0" w:color="auto"/>
              <w:right w:val="single" w:sz="4" w:space="0" w:color="auto"/>
            </w:tcBorders>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Różne pozycje</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bil</w:t>
            </w:r>
            <w:r w:rsidRPr="00342D7E">
              <w:rPr>
                <w:rFonts w:ascii="Times New Roman" w:hAnsi="Times New Roman"/>
                <w:sz w:val="18"/>
                <w:szCs w:val="18"/>
              </w:rPr>
              <w:t>ansie</w:t>
            </w:r>
          </w:p>
        </w:tc>
        <w:tc>
          <w:tcPr>
            <w:tcW w:w="3240" w:type="dxa"/>
            <w:tcBorders>
              <w:top w:val="single" w:sz="4" w:space="0" w:color="auto"/>
              <w:left w:val="single" w:sz="4" w:space="0" w:color="auto"/>
              <w:bottom w:val="single" w:sz="4" w:space="0" w:color="auto"/>
              <w:right w:val="single" w:sz="4" w:space="0" w:color="auto"/>
            </w:tcBorders>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W FINREP inne pozycje mogą zostać uwzględnione</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ram</w:t>
            </w:r>
            <w:r w:rsidRPr="00342D7E">
              <w:rPr>
                <w:rFonts w:ascii="Times New Roman" w:hAnsi="Times New Roman"/>
                <w:sz w:val="18"/>
                <w:szCs w:val="18"/>
              </w:rPr>
              <w:t>ach różnych kategorii aktywów.</w:t>
            </w:r>
          </w:p>
        </w:tc>
      </w:tr>
    </w:tbl>
    <w:p w:rsidR="00D35B0C" w:rsidRPr="00342D7E" w:rsidRDefault="00D35B0C">
      <w:pPr>
        <w:pStyle w:val="Baseparagraphnumbered"/>
        <w:numPr>
          <w:ilvl w:val="0"/>
          <w:numId w:val="0"/>
        </w:numPr>
        <w:spacing w:after="0"/>
        <w:ind w:left="782"/>
      </w:pPr>
    </w:p>
    <w:p w:rsidR="00D35B0C" w:rsidRPr="00342D7E" w:rsidRDefault="00A834F1">
      <w:pPr>
        <w:keepNext/>
        <w:jc w:val="center"/>
        <w:rPr>
          <w:rFonts w:ascii="Times New Roman" w:hAnsi="Times New Roman"/>
          <w:bCs/>
          <w:i/>
          <w:sz w:val="24"/>
          <w:szCs w:val="24"/>
        </w:rPr>
      </w:pPr>
      <w:r w:rsidRPr="00342D7E">
        <w:rPr>
          <w:rFonts w:ascii="Times New Roman" w:hAnsi="Times New Roman"/>
          <w:bCs/>
          <w:i/>
          <w:sz w:val="24"/>
          <w:szCs w:val="24"/>
        </w:rPr>
        <w:t>Tabela 3 Metoda wewnętrznych ratingów</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D35B0C" w:rsidRPr="00342D7E" w:rsidTr="009569C7">
        <w:trPr>
          <w:tblHeader/>
        </w:trPr>
        <w:tc>
          <w:tcPr>
            <w:tcW w:w="3055" w:type="dxa"/>
            <w:vAlign w:val="center"/>
          </w:tcPr>
          <w:p w:rsidR="00D35B0C" w:rsidRPr="00342D7E" w:rsidRDefault="00A834F1">
            <w:pPr>
              <w:keepNext/>
              <w:spacing w:before="60" w:after="60"/>
              <w:jc w:val="center"/>
              <w:rPr>
                <w:rFonts w:ascii="Times New Roman" w:hAnsi="Times New Roman"/>
                <w:b/>
                <w:bCs/>
                <w:i/>
                <w:iCs/>
                <w:sz w:val="20"/>
              </w:rPr>
            </w:pPr>
            <w:r w:rsidRPr="00342D7E">
              <w:rPr>
                <w:rFonts w:ascii="Times New Roman" w:hAnsi="Times New Roman"/>
                <w:b/>
                <w:bCs/>
                <w:i/>
                <w:iCs/>
                <w:sz w:val="20"/>
              </w:rPr>
              <w:t>Kategorie ekspozycji wg metody IRB</w:t>
            </w:r>
          </w:p>
          <w:p w:rsidR="00D35B0C" w:rsidRPr="00342D7E" w:rsidRDefault="00A834F1">
            <w:pPr>
              <w:keepNext/>
              <w:spacing w:before="60" w:after="60"/>
              <w:jc w:val="center"/>
              <w:rPr>
                <w:rFonts w:ascii="Times New Roman" w:hAnsi="Times New Roman"/>
                <w:b/>
                <w:bCs/>
                <w:i/>
                <w:iCs/>
                <w:sz w:val="20"/>
              </w:rPr>
            </w:pPr>
            <w:r w:rsidRPr="00342D7E">
              <w:rPr>
                <w:rFonts w:ascii="Times New Roman" w:hAnsi="Times New Roman"/>
                <w:b/>
                <w:bCs/>
                <w:i/>
                <w:iCs/>
                <w:sz w:val="20"/>
              </w:rPr>
              <w:t>(art.</w:t>
            </w:r>
            <w:r w:rsidR="00342D7E" w:rsidRPr="00342D7E">
              <w:rPr>
                <w:rFonts w:ascii="Times New Roman" w:hAnsi="Times New Roman"/>
                <w:b/>
                <w:bCs/>
                <w:i/>
                <w:iCs/>
                <w:sz w:val="20"/>
              </w:rPr>
              <w:t> </w:t>
            </w:r>
            <w:r w:rsidRPr="00342D7E">
              <w:rPr>
                <w:rFonts w:ascii="Times New Roman" w:hAnsi="Times New Roman"/>
                <w:b/>
                <w:bCs/>
                <w:i/>
                <w:iCs/>
                <w:sz w:val="20"/>
              </w:rPr>
              <w:t>147 CRR)</w:t>
            </w:r>
          </w:p>
        </w:tc>
        <w:tc>
          <w:tcPr>
            <w:tcW w:w="3055" w:type="dxa"/>
            <w:vAlign w:val="center"/>
          </w:tcPr>
          <w:p w:rsidR="00D35B0C" w:rsidRPr="00342D7E" w:rsidRDefault="00A834F1">
            <w:pPr>
              <w:keepNext/>
              <w:spacing w:before="60" w:after="60"/>
              <w:jc w:val="center"/>
              <w:rPr>
                <w:rFonts w:ascii="Times New Roman" w:hAnsi="Times New Roman"/>
                <w:b/>
                <w:bCs/>
                <w:i/>
                <w:iCs/>
                <w:sz w:val="20"/>
              </w:rPr>
            </w:pPr>
            <w:r w:rsidRPr="00342D7E">
              <w:rPr>
                <w:rFonts w:ascii="Times New Roman" w:hAnsi="Times New Roman"/>
                <w:b/>
                <w:bCs/>
                <w:i/>
                <w:iCs/>
                <w:sz w:val="20"/>
              </w:rPr>
              <w:t>Sektory kontrahentów w FINREP</w:t>
            </w:r>
          </w:p>
        </w:tc>
        <w:tc>
          <w:tcPr>
            <w:tcW w:w="3212" w:type="dxa"/>
            <w:vAlign w:val="center"/>
          </w:tcPr>
          <w:p w:rsidR="00D35B0C" w:rsidRPr="00342D7E" w:rsidRDefault="00A834F1">
            <w:pPr>
              <w:keepNext/>
              <w:spacing w:before="60" w:after="60"/>
              <w:jc w:val="center"/>
              <w:rPr>
                <w:rFonts w:ascii="Times New Roman" w:hAnsi="Times New Roman"/>
                <w:b/>
                <w:bCs/>
                <w:i/>
                <w:iCs/>
                <w:sz w:val="20"/>
              </w:rPr>
            </w:pPr>
            <w:r w:rsidRPr="00342D7E">
              <w:rPr>
                <w:rFonts w:ascii="Times New Roman" w:hAnsi="Times New Roman"/>
                <w:b/>
                <w:bCs/>
                <w:i/>
                <w:iCs/>
                <w:sz w:val="20"/>
              </w:rPr>
              <w:t>Uwagi</w:t>
            </w:r>
          </w:p>
        </w:tc>
      </w:tr>
      <w:tr w:rsidR="00D35B0C" w:rsidRPr="00342D7E" w:rsidTr="009569C7">
        <w:trPr>
          <w:cantSplit/>
          <w:trHeight w:val="438"/>
        </w:trPr>
        <w:tc>
          <w:tcPr>
            <w:tcW w:w="3055" w:type="dxa"/>
            <w:vAlign w:val="center"/>
          </w:tcPr>
          <w:p w:rsidR="00D35B0C" w:rsidRPr="00342D7E" w:rsidRDefault="00A834F1">
            <w:pPr>
              <w:keepNext/>
              <w:spacing w:before="60" w:after="60"/>
              <w:rPr>
                <w:rFonts w:ascii="Times New Roman" w:hAnsi="Times New Roman"/>
                <w:sz w:val="18"/>
                <w:szCs w:val="18"/>
              </w:rPr>
            </w:pPr>
            <w:proofErr w:type="gramStart"/>
            <w:r w:rsidRPr="00342D7E">
              <w:rPr>
                <w:rFonts w:ascii="Times New Roman" w:hAnsi="Times New Roman"/>
                <w:sz w:val="18"/>
                <w:szCs w:val="18"/>
              </w:rPr>
              <w:t>a</w:t>
            </w:r>
            <w:proofErr w:type="gramEnd"/>
            <w:r w:rsidRPr="00342D7E">
              <w:rPr>
                <w:rFonts w:ascii="Times New Roman" w:hAnsi="Times New Roman"/>
                <w:sz w:val="18"/>
                <w:szCs w:val="18"/>
              </w:rPr>
              <w:t>) Ekspozycje wobec rządów centralnych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ban</w:t>
            </w:r>
            <w:r w:rsidRPr="00342D7E">
              <w:rPr>
                <w:rFonts w:ascii="Times New Roman" w:hAnsi="Times New Roman"/>
                <w:sz w:val="18"/>
                <w:szCs w:val="18"/>
              </w:rPr>
              <w:t>ków centralnych</w:t>
            </w:r>
          </w:p>
        </w:tc>
        <w:tc>
          <w:tcPr>
            <w:tcW w:w="3055" w:type="dxa"/>
            <w:vAlign w:val="center"/>
          </w:tcPr>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1) Banki centralne</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3) Instytucje kredytowe</w:t>
            </w:r>
          </w:p>
        </w:tc>
        <w:tc>
          <w:tcPr>
            <w:tcW w:w="3212" w:type="dxa"/>
            <w:vAlign w:val="center"/>
          </w:tcPr>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 xml:space="preserve">rakterem bezpośredniego kontrahenta. </w:t>
            </w:r>
          </w:p>
        </w:tc>
      </w:tr>
      <w:tr w:rsidR="00D35B0C" w:rsidRPr="00342D7E" w:rsidTr="009569C7">
        <w:trPr>
          <w:cantSplit/>
        </w:trPr>
        <w:tc>
          <w:tcPr>
            <w:tcW w:w="3055" w:type="dxa"/>
            <w:vAlign w:val="center"/>
          </w:tcPr>
          <w:p w:rsidR="00D35B0C" w:rsidRPr="00342D7E" w:rsidRDefault="00A834F1">
            <w:pPr>
              <w:keepNext/>
              <w:spacing w:before="60" w:after="60"/>
              <w:rPr>
                <w:rFonts w:ascii="Times New Roman" w:hAnsi="Times New Roman"/>
                <w:sz w:val="18"/>
                <w:szCs w:val="18"/>
              </w:rPr>
            </w:pPr>
            <w:proofErr w:type="gramStart"/>
            <w:r w:rsidRPr="00342D7E">
              <w:rPr>
                <w:rFonts w:ascii="Times New Roman" w:hAnsi="Times New Roman"/>
                <w:sz w:val="18"/>
                <w:szCs w:val="18"/>
              </w:rPr>
              <w:t>b</w:t>
            </w:r>
            <w:proofErr w:type="gramEnd"/>
            <w:r w:rsidRPr="00342D7E">
              <w:rPr>
                <w:rFonts w:ascii="Times New Roman" w:hAnsi="Times New Roman"/>
                <w:sz w:val="18"/>
                <w:szCs w:val="18"/>
              </w:rPr>
              <w:t>) Ekspozycje wobec instytucji</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(tj. ekspozycje wobec instytucji kredytowych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fir</w:t>
            </w:r>
            <w:r w:rsidRPr="00342D7E">
              <w:rPr>
                <w:rFonts w:ascii="Times New Roman" w:hAnsi="Times New Roman"/>
                <w:sz w:val="18"/>
                <w:szCs w:val="18"/>
              </w:rPr>
              <w:t>m inwestycyjnych,</w:t>
            </w:r>
            <w:r w:rsidR="00342D7E" w:rsidRPr="00342D7E">
              <w:rPr>
                <w:rFonts w:ascii="Times New Roman" w:hAnsi="Times New Roman"/>
                <w:sz w:val="18"/>
                <w:szCs w:val="18"/>
              </w:rPr>
              <w:t xml:space="preserve"> a</w:t>
            </w:r>
            <w:r w:rsidR="00342D7E">
              <w:rPr>
                <w:rFonts w:ascii="Times New Roman" w:hAnsi="Times New Roman"/>
                <w:sz w:val="18"/>
                <w:szCs w:val="18"/>
              </w:rPr>
              <w:t> </w:t>
            </w:r>
            <w:r w:rsidR="00342D7E" w:rsidRPr="00342D7E">
              <w:rPr>
                <w:rFonts w:ascii="Times New Roman" w:hAnsi="Times New Roman"/>
                <w:sz w:val="18"/>
                <w:szCs w:val="18"/>
              </w:rPr>
              <w:t>tak</w:t>
            </w:r>
            <w:r w:rsidRPr="00342D7E">
              <w:rPr>
                <w:rFonts w:ascii="Times New Roman" w:hAnsi="Times New Roman"/>
                <w:sz w:val="18"/>
                <w:szCs w:val="18"/>
              </w:rPr>
              <w:t>że</w:t>
            </w:r>
            <w:r w:rsidRPr="00342D7E">
              <w:rPr>
                <w:rFonts w:ascii="Times New Roman" w:hAnsi="Times New Roman"/>
                <w:i/>
                <w:iCs/>
                <w:sz w:val="18"/>
                <w:szCs w:val="18"/>
              </w:rPr>
              <w:t xml:space="preserve"> </w:t>
            </w:r>
            <w:r w:rsidRPr="00342D7E">
              <w:rPr>
                <w:rFonts w:ascii="Times New Roman" w:hAnsi="Times New Roman"/>
                <w:sz w:val="18"/>
                <w:szCs w:val="18"/>
              </w:rPr>
              <w:t>wobec niektórych podmiotów sektora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 oraz banków wielostronnych)</w:t>
            </w:r>
          </w:p>
        </w:tc>
        <w:tc>
          <w:tcPr>
            <w:tcW w:w="3055" w:type="dxa"/>
            <w:vAlign w:val="center"/>
          </w:tcPr>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 xml:space="preserve">orządowych </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3) Instytucje kredytowe</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4) Inne instytucje finansowe</w:t>
            </w:r>
          </w:p>
        </w:tc>
        <w:tc>
          <w:tcPr>
            <w:tcW w:w="3212" w:type="dxa"/>
            <w:vAlign w:val="center"/>
          </w:tcPr>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c>
          <w:tcPr>
            <w:tcW w:w="3055" w:type="dxa"/>
            <w:vAlign w:val="center"/>
          </w:tcPr>
          <w:p w:rsidR="00D35B0C" w:rsidRPr="00342D7E" w:rsidRDefault="00A834F1">
            <w:pPr>
              <w:keepNext/>
              <w:spacing w:before="60" w:after="60"/>
              <w:rPr>
                <w:rFonts w:ascii="Times New Roman" w:hAnsi="Times New Roman"/>
                <w:sz w:val="18"/>
                <w:szCs w:val="18"/>
              </w:rPr>
            </w:pPr>
            <w:proofErr w:type="gramStart"/>
            <w:r w:rsidRPr="00342D7E">
              <w:rPr>
                <w:rFonts w:ascii="Times New Roman" w:hAnsi="Times New Roman"/>
                <w:sz w:val="18"/>
                <w:szCs w:val="18"/>
              </w:rPr>
              <w:t>c</w:t>
            </w:r>
            <w:proofErr w:type="gramEnd"/>
            <w:r w:rsidRPr="00342D7E">
              <w:rPr>
                <w:rFonts w:ascii="Times New Roman" w:hAnsi="Times New Roman"/>
                <w:sz w:val="18"/>
                <w:szCs w:val="18"/>
              </w:rPr>
              <w:t>) Ekspozycje wobec przedsiębiorstw</w:t>
            </w:r>
          </w:p>
        </w:tc>
        <w:tc>
          <w:tcPr>
            <w:tcW w:w="3055" w:type="dxa"/>
            <w:vAlign w:val="center"/>
          </w:tcPr>
          <w:p w:rsidR="00D35B0C" w:rsidRPr="00342D7E" w:rsidRDefault="00C93712">
            <w:pPr>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5) Przedsiębiorstwa niefinansowe</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6) Gospodarstwa domowe</w:t>
            </w:r>
          </w:p>
        </w:tc>
        <w:tc>
          <w:tcPr>
            <w:tcW w:w="3212" w:type="dxa"/>
            <w:vAlign w:val="center"/>
          </w:tcPr>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c>
          <w:tcPr>
            <w:tcW w:w="3055" w:type="dxa"/>
            <w:vAlign w:val="center"/>
          </w:tcPr>
          <w:p w:rsidR="00D35B0C" w:rsidRPr="00342D7E" w:rsidRDefault="00A834F1">
            <w:pPr>
              <w:keepNext/>
              <w:spacing w:before="60" w:after="60"/>
              <w:rPr>
                <w:rFonts w:ascii="Times New Roman" w:hAnsi="Times New Roman"/>
                <w:sz w:val="18"/>
                <w:szCs w:val="18"/>
              </w:rPr>
            </w:pPr>
            <w:proofErr w:type="gramStart"/>
            <w:r w:rsidRPr="00342D7E">
              <w:rPr>
                <w:rFonts w:ascii="Times New Roman" w:hAnsi="Times New Roman"/>
                <w:sz w:val="18"/>
                <w:szCs w:val="18"/>
              </w:rPr>
              <w:t>d</w:t>
            </w:r>
            <w:proofErr w:type="gramEnd"/>
            <w:r w:rsidRPr="00342D7E">
              <w:rPr>
                <w:rFonts w:ascii="Times New Roman" w:hAnsi="Times New Roman"/>
                <w:sz w:val="18"/>
                <w:szCs w:val="18"/>
              </w:rPr>
              <w:t>) Ekspozycje detaliczne</w:t>
            </w:r>
          </w:p>
        </w:tc>
        <w:tc>
          <w:tcPr>
            <w:tcW w:w="3055" w:type="dxa"/>
            <w:vAlign w:val="center"/>
          </w:tcPr>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5) Przedsiębiorstwa niefinansowe</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6) Gospodarstwa domowe</w:t>
            </w:r>
          </w:p>
        </w:tc>
        <w:tc>
          <w:tcPr>
            <w:tcW w:w="3212" w:type="dxa"/>
            <w:vAlign w:val="center"/>
          </w:tcPr>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cha</w:t>
            </w:r>
            <w:r w:rsidRPr="00342D7E">
              <w:rPr>
                <w:rFonts w:ascii="Times New Roman" w:hAnsi="Times New Roman"/>
                <w:sz w:val="18"/>
                <w:szCs w:val="18"/>
              </w:rPr>
              <w:t>rakterem bezpośredniego kontrahenta.</w:t>
            </w:r>
          </w:p>
        </w:tc>
      </w:tr>
      <w:tr w:rsidR="00D35B0C" w:rsidRPr="00342D7E" w:rsidTr="009569C7">
        <w:tc>
          <w:tcPr>
            <w:tcW w:w="3055" w:type="dxa"/>
            <w:vAlign w:val="center"/>
          </w:tcPr>
          <w:p w:rsidR="00D35B0C" w:rsidRPr="00342D7E" w:rsidRDefault="00A834F1">
            <w:pPr>
              <w:keepNext/>
              <w:spacing w:before="60" w:after="60"/>
              <w:rPr>
                <w:rFonts w:ascii="Times New Roman" w:hAnsi="Times New Roman"/>
                <w:sz w:val="18"/>
                <w:szCs w:val="18"/>
              </w:rPr>
            </w:pPr>
            <w:proofErr w:type="gramStart"/>
            <w:r w:rsidRPr="00342D7E">
              <w:rPr>
                <w:rFonts w:ascii="Times New Roman" w:hAnsi="Times New Roman"/>
                <w:sz w:val="18"/>
                <w:szCs w:val="18"/>
              </w:rPr>
              <w:t>e</w:t>
            </w:r>
            <w:proofErr w:type="gramEnd"/>
            <w:r w:rsidRPr="00342D7E">
              <w:rPr>
                <w:rFonts w:ascii="Times New Roman" w:hAnsi="Times New Roman"/>
                <w:sz w:val="18"/>
                <w:szCs w:val="18"/>
              </w:rPr>
              <w:t>) Ekspozycje kapitałowe</w:t>
            </w:r>
          </w:p>
        </w:tc>
        <w:tc>
          <w:tcPr>
            <w:tcW w:w="3055" w:type="dxa"/>
            <w:vAlign w:val="center"/>
          </w:tcPr>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Instrumenty udziałowe</w:t>
            </w:r>
          </w:p>
        </w:tc>
        <w:tc>
          <w:tcPr>
            <w:tcW w:w="3212" w:type="dxa"/>
            <w:vAlign w:val="center"/>
          </w:tcPr>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W FINREP akcje wydziela się jako instrumenty</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ram</w:t>
            </w:r>
            <w:r w:rsidRPr="00342D7E">
              <w:rPr>
                <w:rFonts w:ascii="Times New Roman" w:hAnsi="Times New Roman"/>
                <w:sz w:val="18"/>
                <w:szCs w:val="18"/>
              </w:rPr>
              <w:t xml:space="preserve">ach różnych kategorii aktywów finansowych. </w:t>
            </w:r>
          </w:p>
        </w:tc>
      </w:tr>
      <w:tr w:rsidR="00D35B0C" w:rsidRPr="00342D7E" w:rsidTr="009569C7">
        <w:trPr>
          <w:cantSplit/>
        </w:trPr>
        <w:tc>
          <w:tcPr>
            <w:tcW w:w="3055" w:type="dxa"/>
            <w:vAlign w:val="center"/>
          </w:tcPr>
          <w:p w:rsidR="00D35B0C" w:rsidRPr="00342D7E" w:rsidRDefault="00A834F1">
            <w:pPr>
              <w:keepNext/>
              <w:spacing w:before="60" w:after="60"/>
              <w:rPr>
                <w:rFonts w:ascii="Times New Roman" w:hAnsi="Times New Roman"/>
                <w:sz w:val="18"/>
                <w:szCs w:val="18"/>
              </w:rPr>
            </w:pPr>
            <w:proofErr w:type="gramStart"/>
            <w:r w:rsidRPr="00342D7E">
              <w:rPr>
                <w:rFonts w:ascii="Times New Roman" w:hAnsi="Times New Roman"/>
                <w:sz w:val="18"/>
                <w:szCs w:val="18"/>
              </w:rPr>
              <w:t>f</w:t>
            </w:r>
            <w:proofErr w:type="gramEnd"/>
            <w:r w:rsidRPr="00342D7E">
              <w:rPr>
                <w:rFonts w:ascii="Times New Roman" w:hAnsi="Times New Roman"/>
                <w:sz w:val="18"/>
                <w:szCs w:val="18"/>
              </w:rPr>
              <w:t>) Pozycje sekurytyzacyjne</w:t>
            </w:r>
          </w:p>
        </w:tc>
        <w:tc>
          <w:tcPr>
            <w:tcW w:w="3055" w:type="dxa"/>
            <w:vAlign w:val="center"/>
          </w:tcPr>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2) Sektor instytucji rządowych</w:t>
            </w:r>
            <w:r w:rsidR="00342D7E" w:rsidRPr="00342D7E">
              <w:rPr>
                <w:rFonts w:ascii="Times New Roman" w:hAnsi="Times New Roman"/>
                <w:sz w:val="18"/>
                <w:szCs w:val="18"/>
              </w:rPr>
              <w:t xml:space="preserve"> i</w:t>
            </w:r>
            <w:r w:rsidR="00342D7E">
              <w:rPr>
                <w:rFonts w:ascii="Times New Roman" w:hAnsi="Times New Roman"/>
                <w:sz w:val="18"/>
                <w:szCs w:val="18"/>
              </w:rPr>
              <w:t> </w:t>
            </w:r>
            <w:r w:rsidR="00342D7E" w:rsidRPr="00342D7E">
              <w:rPr>
                <w:rFonts w:ascii="Times New Roman" w:hAnsi="Times New Roman"/>
                <w:sz w:val="18"/>
                <w:szCs w:val="18"/>
              </w:rPr>
              <w:t>sam</w:t>
            </w:r>
            <w:r w:rsidRPr="00342D7E">
              <w:rPr>
                <w:rFonts w:ascii="Times New Roman" w:hAnsi="Times New Roman"/>
                <w:sz w:val="18"/>
                <w:szCs w:val="18"/>
              </w:rPr>
              <w:t>orządowych</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3) Instytucje kredytowe</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4) Inne instytucje finansowe</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5) Przedsiębiorstwa niefinansowe</w:t>
            </w:r>
          </w:p>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 xml:space="preserve">6) Gospodarstwa domowe </w:t>
            </w:r>
          </w:p>
          <w:p w:rsidR="00D35B0C" w:rsidRPr="00342D7E" w:rsidRDefault="00D35B0C">
            <w:pPr>
              <w:keepNext/>
              <w:spacing w:before="60" w:after="60"/>
              <w:rPr>
                <w:rFonts w:ascii="Times New Roman" w:hAnsi="Times New Roman"/>
                <w:sz w:val="18"/>
                <w:szCs w:val="18"/>
              </w:rPr>
            </w:pPr>
          </w:p>
        </w:tc>
        <w:tc>
          <w:tcPr>
            <w:tcW w:w="3212" w:type="dxa"/>
            <w:vAlign w:val="center"/>
          </w:tcPr>
          <w:p w:rsidR="00D35B0C" w:rsidRPr="00342D7E" w:rsidRDefault="00A834F1">
            <w:pPr>
              <w:keepNext/>
              <w:spacing w:before="60" w:after="60"/>
              <w:rPr>
                <w:rFonts w:ascii="Times New Roman" w:hAnsi="Times New Roman"/>
                <w:sz w:val="18"/>
                <w:szCs w:val="18"/>
              </w:rPr>
            </w:pPr>
            <w:r w:rsidRPr="00342D7E">
              <w:rPr>
                <w:rFonts w:ascii="Times New Roman" w:hAnsi="Times New Roman"/>
                <w:sz w:val="18"/>
                <w:szCs w:val="18"/>
              </w:rPr>
              <w:t>Przedmiotowe ekspozycje przypisuje się do sektorów kontrahentów FINREP zgodnie</w:t>
            </w:r>
            <w:r w:rsidR="00342D7E" w:rsidRPr="00342D7E">
              <w:rPr>
                <w:rFonts w:ascii="Times New Roman" w:hAnsi="Times New Roman"/>
                <w:sz w:val="18"/>
                <w:szCs w:val="18"/>
              </w:rPr>
              <w:t xml:space="preserve"> z</w:t>
            </w:r>
            <w:r w:rsidR="00342D7E">
              <w:rPr>
                <w:rFonts w:ascii="Times New Roman" w:hAnsi="Times New Roman"/>
                <w:sz w:val="18"/>
                <w:szCs w:val="18"/>
              </w:rPr>
              <w:t> </w:t>
            </w:r>
            <w:r w:rsidR="00342D7E" w:rsidRPr="00342D7E">
              <w:rPr>
                <w:rFonts w:ascii="Times New Roman" w:hAnsi="Times New Roman"/>
                <w:sz w:val="18"/>
                <w:szCs w:val="18"/>
              </w:rPr>
              <w:t>pod</w:t>
            </w:r>
            <w:r w:rsidRPr="00342D7E">
              <w:rPr>
                <w:rFonts w:ascii="Times New Roman" w:hAnsi="Times New Roman"/>
                <w:sz w:val="18"/>
                <w:szCs w:val="18"/>
              </w:rPr>
              <w:t>stawowym ryzykiem pozycji sekurytyzacyjnych. Jeżeli w FINREP pozycje sekurytyzowane są</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dal</w:t>
            </w:r>
            <w:r w:rsidRPr="00342D7E">
              <w:rPr>
                <w:rFonts w:ascii="Times New Roman" w:hAnsi="Times New Roman"/>
                <w:sz w:val="18"/>
                <w:szCs w:val="18"/>
              </w:rPr>
              <w:t>szym ciągu ujmowane</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bil</w:t>
            </w:r>
            <w:r w:rsidRPr="00342D7E">
              <w:rPr>
                <w:rFonts w:ascii="Times New Roman" w:hAnsi="Times New Roman"/>
                <w:sz w:val="18"/>
                <w:szCs w:val="18"/>
              </w:rPr>
              <w:t>ansie, sektory kontrahentów odpowiadają sektorom bezpośrednich kontrahentów tych pozycji.</w:t>
            </w:r>
          </w:p>
        </w:tc>
      </w:tr>
      <w:tr w:rsidR="00D35B0C" w:rsidRPr="00342D7E" w:rsidTr="009569C7">
        <w:trPr>
          <w:trHeight w:val="299"/>
        </w:trPr>
        <w:tc>
          <w:tcPr>
            <w:tcW w:w="3055" w:type="dxa"/>
            <w:vAlign w:val="center"/>
          </w:tcPr>
          <w:p w:rsidR="00D35B0C" w:rsidRPr="00342D7E" w:rsidRDefault="00A834F1">
            <w:pPr>
              <w:spacing w:before="60" w:after="60"/>
              <w:rPr>
                <w:rFonts w:ascii="Times New Roman" w:hAnsi="Times New Roman"/>
                <w:sz w:val="18"/>
                <w:szCs w:val="18"/>
              </w:rPr>
            </w:pPr>
            <w:proofErr w:type="gramStart"/>
            <w:r w:rsidRPr="00342D7E">
              <w:rPr>
                <w:rFonts w:ascii="Times New Roman" w:hAnsi="Times New Roman"/>
                <w:sz w:val="18"/>
                <w:szCs w:val="18"/>
              </w:rPr>
              <w:t>g</w:t>
            </w:r>
            <w:proofErr w:type="gramEnd"/>
            <w:r w:rsidRPr="00342D7E">
              <w:rPr>
                <w:rFonts w:ascii="Times New Roman" w:hAnsi="Times New Roman"/>
                <w:sz w:val="18"/>
                <w:szCs w:val="18"/>
              </w:rPr>
              <w:t>) Inne aktywa niegenerujące zobowiązania kredytowego</w:t>
            </w:r>
          </w:p>
        </w:tc>
        <w:tc>
          <w:tcPr>
            <w:tcW w:w="3055"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Różne pozycje</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bil</w:t>
            </w:r>
            <w:r w:rsidRPr="00342D7E">
              <w:rPr>
                <w:rFonts w:ascii="Times New Roman" w:hAnsi="Times New Roman"/>
                <w:sz w:val="18"/>
                <w:szCs w:val="18"/>
              </w:rPr>
              <w:t>ansie</w:t>
            </w:r>
          </w:p>
        </w:tc>
        <w:tc>
          <w:tcPr>
            <w:tcW w:w="3212" w:type="dxa"/>
            <w:vAlign w:val="center"/>
          </w:tcPr>
          <w:p w:rsidR="00D35B0C" w:rsidRPr="00342D7E" w:rsidRDefault="00A834F1">
            <w:pPr>
              <w:spacing w:before="60" w:after="60"/>
              <w:rPr>
                <w:rFonts w:ascii="Times New Roman" w:hAnsi="Times New Roman"/>
                <w:sz w:val="18"/>
                <w:szCs w:val="18"/>
              </w:rPr>
            </w:pPr>
            <w:r w:rsidRPr="00342D7E">
              <w:rPr>
                <w:rFonts w:ascii="Times New Roman" w:hAnsi="Times New Roman"/>
                <w:sz w:val="18"/>
                <w:szCs w:val="18"/>
              </w:rPr>
              <w:t>W FINREP inne pozycje mogą zostać uwzględnione</w:t>
            </w:r>
            <w:r w:rsidR="00342D7E" w:rsidRPr="00342D7E">
              <w:rPr>
                <w:rFonts w:ascii="Times New Roman" w:hAnsi="Times New Roman"/>
                <w:sz w:val="18"/>
                <w:szCs w:val="18"/>
              </w:rPr>
              <w:t xml:space="preserve"> w</w:t>
            </w:r>
            <w:r w:rsidR="00342D7E">
              <w:rPr>
                <w:rFonts w:ascii="Times New Roman" w:hAnsi="Times New Roman"/>
                <w:sz w:val="18"/>
                <w:szCs w:val="18"/>
              </w:rPr>
              <w:t> </w:t>
            </w:r>
            <w:r w:rsidR="00342D7E" w:rsidRPr="00342D7E">
              <w:rPr>
                <w:rFonts w:ascii="Times New Roman" w:hAnsi="Times New Roman"/>
                <w:sz w:val="18"/>
                <w:szCs w:val="18"/>
              </w:rPr>
              <w:t>ram</w:t>
            </w:r>
            <w:r w:rsidRPr="00342D7E">
              <w:rPr>
                <w:rFonts w:ascii="Times New Roman" w:hAnsi="Times New Roman"/>
                <w:sz w:val="18"/>
                <w:szCs w:val="18"/>
              </w:rPr>
              <w:t>ach różnych kategorii aktywów.</w:t>
            </w:r>
          </w:p>
        </w:tc>
      </w:tr>
    </w:tbl>
    <w:p w:rsidR="00D35B0C" w:rsidRPr="00490B4E" w:rsidRDefault="00973325" w:rsidP="00490B4E">
      <w:pPr>
        <w:spacing w:after="0"/>
        <w:rPr>
          <w:rFonts w:ascii="Times New Roman" w:hAnsi="Times New Roman"/>
          <w:sz w:val="24"/>
          <w:szCs w:val="24"/>
        </w:rPr>
      </w:pPr>
      <w:r w:rsidRPr="00342D7E">
        <w:rPr>
          <w:rFonts w:ascii="Times New Roman" w:hAnsi="Times New Roman"/>
          <w:sz w:val="24"/>
          <w:szCs w:val="24"/>
        </w:rPr>
        <w:t>”</w:t>
      </w:r>
      <w:bookmarkStart w:id="100" w:name="_GoBack"/>
      <w:bookmarkEnd w:id="100"/>
    </w:p>
    <w:sectPr w:rsidR="00D35B0C" w:rsidRPr="00490B4E"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B0C" w:rsidRPr="00342D7E" w:rsidRDefault="000660CD">
      <w:pPr>
        <w:spacing w:after="0"/>
      </w:pPr>
      <w:r w:rsidRPr="00342D7E">
        <w:separator/>
      </w:r>
    </w:p>
  </w:endnote>
  <w:endnote w:type="continuationSeparator" w:id="0">
    <w:p w:rsidR="00D35B0C" w:rsidRPr="00342D7E" w:rsidRDefault="000660CD">
      <w:pPr>
        <w:spacing w:after="0"/>
      </w:pPr>
      <w:r w:rsidRPr="00342D7E">
        <w:continuationSeparator/>
      </w:r>
    </w:p>
  </w:endnote>
  <w:endnote w:type="continuationNotice" w:id="1">
    <w:p w:rsidR="00D35B0C" w:rsidRPr="00342D7E" w:rsidRDefault="00D35B0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Pr="00342D7E" w:rsidRDefault="00211E77">
    <w:pPr>
      <w:pStyle w:val="Footer"/>
      <w:jc w:val="right"/>
    </w:pPr>
    <w:r w:rsidRPr="00342D7E">
      <w:fldChar w:fldCharType="begin"/>
    </w:r>
    <w:r w:rsidRPr="00342D7E">
      <w:instrText xml:space="preserve"> PAGE   \* MERGEFORMAT </w:instrText>
    </w:r>
    <w:r w:rsidRPr="00342D7E">
      <w:fldChar w:fldCharType="separate"/>
    </w:r>
    <w:r w:rsidR="00490B4E">
      <w:rPr>
        <w:noProof/>
      </w:rPr>
      <w:t>4</w:t>
    </w:r>
    <w:r w:rsidRPr="00342D7E">
      <w:fldChar w:fldCharType="end"/>
    </w:r>
  </w:p>
  <w:p w:rsidR="00211E77" w:rsidRPr="00342D7E"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490B4E">
      <w:rPr>
        <w:noProof/>
      </w:rPr>
      <w:t>104</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B0C" w:rsidRPr="00342D7E" w:rsidRDefault="000660CD">
      <w:pPr>
        <w:spacing w:after="0"/>
      </w:pPr>
      <w:r w:rsidRPr="00342D7E">
        <w:separator/>
      </w:r>
    </w:p>
  </w:footnote>
  <w:footnote w:type="continuationSeparator" w:id="0">
    <w:p w:rsidR="00D35B0C" w:rsidRPr="00342D7E" w:rsidRDefault="000660CD">
      <w:pPr>
        <w:spacing w:after="0"/>
      </w:pPr>
      <w:r w:rsidRPr="00342D7E">
        <w:continuationSeparator/>
      </w:r>
    </w:p>
  </w:footnote>
  <w:footnote w:type="continuationNotice" w:id="1">
    <w:p w:rsidR="00D35B0C" w:rsidRPr="00342D7E" w:rsidRDefault="00D35B0C">
      <w:pPr>
        <w:spacing w:after="0"/>
      </w:pPr>
    </w:p>
  </w:footnote>
  <w:footnote w:id="2">
    <w:p w:rsidR="00D35B0C" w:rsidRPr="00342D7E" w:rsidRDefault="00211E77">
      <w:pPr>
        <w:pStyle w:val="FootnoteText"/>
        <w:spacing w:after="0"/>
        <w:ind w:left="567" w:hanging="567"/>
      </w:pPr>
      <w:r w:rsidRPr="00342D7E">
        <w:rPr>
          <w:rStyle w:val="FootnoteReference"/>
        </w:rPr>
        <w:footnoteRef/>
      </w:r>
      <w:r w:rsidRPr="00342D7E">
        <w:t xml:space="preserve"> </w:t>
      </w:r>
      <w:r w:rsidRPr="00342D7E">
        <w:tab/>
        <w:t>Rozporządzenie (WE) nr</w:t>
      </w:r>
      <w:r w:rsidR="00342D7E" w:rsidRPr="00342D7E">
        <w:t> </w:t>
      </w:r>
      <w:r w:rsidRPr="00342D7E">
        <w:t>1606/2002 Parlamentu Europejskiego</w:t>
      </w:r>
      <w:r w:rsidR="00342D7E" w:rsidRPr="00342D7E">
        <w:t xml:space="preserve"> i</w:t>
      </w:r>
      <w:r w:rsidR="00342D7E">
        <w:t> </w:t>
      </w:r>
      <w:r w:rsidR="00342D7E" w:rsidRPr="00342D7E">
        <w:t>Rad</w:t>
      </w:r>
      <w:r w:rsidRPr="00342D7E">
        <w:t>y</w:t>
      </w:r>
      <w:r w:rsidR="00342D7E" w:rsidRPr="00342D7E">
        <w:t xml:space="preserve"> z</w:t>
      </w:r>
      <w:r w:rsidR="00342D7E">
        <w:t> </w:t>
      </w:r>
      <w:r w:rsidR="00342D7E" w:rsidRPr="00342D7E">
        <w:t>dni</w:t>
      </w:r>
      <w:r w:rsidRPr="00342D7E">
        <w:t>a 19 lipca 2002</w:t>
      </w:r>
      <w:r w:rsidR="00342D7E" w:rsidRPr="00342D7E">
        <w:t> </w:t>
      </w:r>
      <w:r w:rsidRPr="00342D7E">
        <w:t>r.</w:t>
      </w:r>
      <w:r w:rsidR="00342D7E" w:rsidRPr="00342D7E">
        <w:t xml:space="preserve"> w</w:t>
      </w:r>
      <w:r w:rsidR="00342D7E">
        <w:t> </w:t>
      </w:r>
      <w:r w:rsidR="00342D7E" w:rsidRPr="00342D7E">
        <w:t>spr</w:t>
      </w:r>
      <w:r w:rsidRPr="00342D7E">
        <w:t>awie stosowania międzynarodowych standardów rachunkowości (Dz.U. L 243</w:t>
      </w:r>
      <w:r w:rsidR="00342D7E" w:rsidRPr="00342D7E">
        <w:t xml:space="preserve"> z</w:t>
      </w:r>
      <w:r w:rsidR="00342D7E">
        <w:t> </w:t>
      </w:r>
      <w:r w:rsidR="00342D7E" w:rsidRPr="00342D7E">
        <w:t>1</w:t>
      </w:r>
      <w:r w:rsidRPr="00342D7E">
        <w:t xml:space="preserve">1.09.2002, </w:t>
      </w:r>
      <w:proofErr w:type="gramStart"/>
      <w:r w:rsidRPr="00342D7E">
        <w:t>s</w:t>
      </w:r>
      <w:proofErr w:type="gramEnd"/>
      <w:r w:rsidRPr="00342D7E">
        <w:t>. 1).</w:t>
      </w:r>
    </w:p>
  </w:footnote>
  <w:footnote w:id="3">
    <w:p w:rsidR="00D35B0C" w:rsidRPr="00342D7E" w:rsidRDefault="00211E77">
      <w:pPr>
        <w:pStyle w:val="FootnoteText"/>
        <w:spacing w:after="0"/>
        <w:ind w:left="567" w:hanging="567"/>
      </w:pPr>
      <w:r w:rsidRPr="00342D7E">
        <w:rPr>
          <w:rStyle w:val="FootnoteReference"/>
        </w:rPr>
        <w:footnoteRef/>
      </w:r>
      <w:r w:rsidRPr="00342D7E">
        <w:t xml:space="preserve"> </w:t>
      </w:r>
      <w:r w:rsidRPr="00342D7E">
        <w:tab/>
        <w:t>Rozporządzenie Europejskiego Banku Centralnego (UE) nr</w:t>
      </w:r>
      <w:r w:rsidR="00342D7E" w:rsidRPr="00342D7E">
        <w:t> </w:t>
      </w:r>
      <w:r w:rsidRPr="00342D7E">
        <w:t>1071/2013</w:t>
      </w:r>
      <w:r w:rsidR="00342D7E" w:rsidRPr="00342D7E">
        <w:t xml:space="preserve"> z</w:t>
      </w:r>
      <w:r w:rsidR="00342D7E">
        <w:t> </w:t>
      </w:r>
      <w:r w:rsidR="00342D7E" w:rsidRPr="00342D7E">
        <w:t>dni</w:t>
      </w:r>
      <w:r w:rsidRPr="00342D7E">
        <w:t>a 24 września 2013</w:t>
      </w:r>
      <w:r w:rsidR="00342D7E" w:rsidRPr="00342D7E">
        <w:t> </w:t>
      </w:r>
      <w:r w:rsidRPr="00342D7E">
        <w:t>r. dotyczące bilansu sektora monetarnych instytucji finansowych (EBC/2013/33) (Dz.U. L 297</w:t>
      </w:r>
      <w:r w:rsidR="00342D7E" w:rsidRPr="00342D7E">
        <w:t xml:space="preserve"> z</w:t>
      </w:r>
      <w:r w:rsidR="00342D7E">
        <w:t> </w:t>
      </w:r>
      <w:r w:rsidR="00342D7E" w:rsidRPr="00342D7E">
        <w:t>7</w:t>
      </w:r>
      <w:r w:rsidRPr="00342D7E">
        <w:t xml:space="preserve">.11.2013, </w:t>
      </w:r>
      <w:proofErr w:type="gramStart"/>
      <w:r w:rsidRPr="00342D7E">
        <w:t>s</w:t>
      </w:r>
      <w:proofErr w:type="gramEnd"/>
      <w:r w:rsidRPr="00342D7E">
        <w:t>. 1).</w:t>
      </w:r>
    </w:p>
  </w:footnote>
  <w:footnote w:id="4">
    <w:p w:rsidR="00D35B0C" w:rsidRPr="00342D7E" w:rsidRDefault="00211E77">
      <w:pPr>
        <w:pStyle w:val="FootnoteText"/>
        <w:spacing w:after="0"/>
        <w:ind w:left="567" w:hanging="567"/>
      </w:pPr>
      <w:r w:rsidRPr="00342D7E">
        <w:rPr>
          <w:rStyle w:val="FootnoteReference"/>
        </w:rPr>
        <w:footnoteRef/>
      </w:r>
      <w:r w:rsidRPr="00342D7E">
        <w:t xml:space="preserve"> </w:t>
      </w:r>
      <w:r w:rsidRPr="00342D7E">
        <w:tab/>
        <w:t>Rozporządzenie (WE) nr</w:t>
      </w:r>
      <w:r w:rsidR="00342D7E" w:rsidRPr="00342D7E">
        <w:t> </w:t>
      </w:r>
      <w:r w:rsidRPr="00342D7E">
        <w:t>1893/2006 Parlamentu Europejskiego</w:t>
      </w:r>
      <w:r w:rsidR="00342D7E" w:rsidRPr="00342D7E">
        <w:t xml:space="preserve"> i</w:t>
      </w:r>
      <w:r w:rsidR="00342D7E">
        <w:t> </w:t>
      </w:r>
      <w:r w:rsidR="00342D7E" w:rsidRPr="00342D7E">
        <w:t>Rad</w:t>
      </w:r>
      <w:r w:rsidRPr="00342D7E">
        <w:t>y</w:t>
      </w:r>
      <w:r w:rsidR="00342D7E" w:rsidRPr="00342D7E">
        <w:t xml:space="preserve"> z</w:t>
      </w:r>
      <w:r w:rsidR="00342D7E">
        <w:t> </w:t>
      </w:r>
      <w:r w:rsidR="00342D7E" w:rsidRPr="00342D7E">
        <w:t>dni</w:t>
      </w:r>
      <w:r w:rsidRPr="00342D7E">
        <w:t>a 20 grudnia 2006</w:t>
      </w:r>
      <w:r w:rsidR="00342D7E" w:rsidRPr="00342D7E">
        <w:t> </w:t>
      </w:r>
      <w:r w:rsidRPr="00342D7E">
        <w:t>r.</w:t>
      </w:r>
      <w:r w:rsidR="00342D7E" w:rsidRPr="00342D7E">
        <w:t xml:space="preserve"> w</w:t>
      </w:r>
      <w:r w:rsidR="00342D7E">
        <w:t> </w:t>
      </w:r>
      <w:r w:rsidR="00342D7E" w:rsidRPr="00342D7E">
        <w:t>spr</w:t>
      </w:r>
      <w:r w:rsidRPr="00342D7E">
        <w:t>awie statystycznej klasyfikacji działalności gospodarczej NACE Rev. 2</w:t>
      </w:r>
      <w:r w:rsidR="00342D7E" w:rsidRPr="00342D7E">
        <w:t xml:space="preserve"> </w:t>
      </w:r>
      <w:proofErr w:type="gramStart"/>
      <w:r w:rsidR="00342D7E" w:rsidRPr="00342D7E">
        <w:t>i</w:t>
      </w:r>
      <w:proofErr w:type="gramEnd"/>
      <w:r w:rsidR="00342D7E">
        <w:t> </w:t>
      </w:r>
      <w:r w:rsidR="00342D7E" w:rsidRPr="00342D7E">
        <w:t>zmi</w:t>
      </w:r>
      <w:r w:rsidRPr="00342D7E">
        <w:t>eniające rozporządzenie Rady (EWG) nr</w:t>
      </w:r>
      <w:r w:rsidR="00342D7E" w:rsidRPr="00342D7E">
        <w:t> </w:t>
      </w:r>
      <w:r w:rsidRPr="00342D7E">
        <w:t>3037/90 oraz niektóre rozporządzenia WE</w:t>
      </w:r>
      <w:r w:rsidR="00342D7E" w:rsidRPr="00342D7E">
        <w:t xml:space="preserve"> w</w:t>
      </w:r>
      <w:r w:rsidR="00342D7E">
        <w:t> </w:t>
      </w:r>
      <w:r w:rsidR="00342D7E" w:rsidRPr="00342D7E">
        <w:t>spr</w:t>
      </w:r>
      <w:r w:rsidRPr="00342D7E">
        <w:t>awie określonych dziedzin statystycznych (Dz.U. L 393</w:t>
      </w:r>
      <w:r w:rsidR="00342D7E" w:rsidRPr="00342D7E">
        <w:t xml:space="preserve"> z</w:t>
      </w:r>
      <w:r w:rsidR="00342D7E">
        <w:t> </w:t>
      </w:r>
      <w:r w:rsidR="00342D7E" w:rsidRPr="00342D7E">
        <w:t>3</w:t>
      </w:r>
      <w:r w:rsidRPr="00342D7E">
        <w:t xml:space="preserve">0.12.2006, </w:t>
      </w:r>
      <w:proofErr w:type="gramStart"/>
      <w:r w:rsidRPr="00342D7E">
        <w:t>s</w:t>
      </w:r>
      <w:proofErr w:type="gramEnd"/>
      <w:r w:rsidRPr="00342D7E">
        <w:t>. 1).</w:t>
      </w:r>
    </w:p>
  </w:footnote>
  <w:footnote w:id="5">
    <w:p w:rsidR="00D35B0C" w:rsidRPr="00342D7E" w:rsidRDefault="00211E77">
      <w:pPr>
        <w:pStyle w:val="FootnoteText"/>
        <w:spacing w:after="0"/>
        <w:ind w:left="567" w:hanging="567"/>
      </w:pPr>
      <w:r w:rsidRPr="00342D7E">
        <w:rPr>
          <w:rStyle w:val="FootnoteReference"/>
        </w:rPr>
        <w:footnoteRef/>
      </w:r>
      <w:r w:rsidRPr="00342D7E">
        <w:t xml:space="preserve"> </w:t>
      </w:r>
      <w:r w:rsidRPr="00342D7E">
        <w:tab/>
        <w:t>Dyrektywa Rady 86/635/EWG</w:t>
      </w:r>
      <w:r w:rsidR="00342D7E" w:rsidRPr="00342D7E">
        <w:t xml:space="preserve"> z</w:t>
      </w:r>
      <w:r w:rsidR="00342D7E">
        <w:t> </w:t>
      </w:r>
      <w:r w:rsidR="00342D7E" w:rsidRPr="00342D7E">
        <w:t>dni</w:t>
      </w:r>
      <w:r w:rsidRPr="00342D7E">
        <w:t>a 8 grudnia 1986</w:t>
      </w:r>
      <w:r w:rsidR="00342D7E" w:rsidRPr="00342D7E">
        <w:t> </w:t>
      </w:r>
      <w:r w:rsidRPr="00342D7E">
        <w:t>r.</w:t>
      </w:r>
      <w:r w:rsidR="00342D7E" w:rsidRPr="00342D7E">
        <w:t xml:space="preserve"> w</w:t>
      </w:r>
      <w:r w:rsidR="00342D7E">
        <w:t> </w:t>
      </w:r>
      <w:r w:rsidR="00342D7E" w:rsidRPr="00342D7E">
        <w:t>spr</w:t>
      </w:r>
      <w:r w:rsidRPr="00342D7E">
        <w:t>awie rocznych</w:t>
      </w:r>
      <w:r w:rsidR="00342D7E" w:rsidRPr="00342D7E">
        <w:t xml:space="preserve"> i</w:t>
      </w:r>
      <w:r w:rsidR="00342D7E">
        <w:t> </w:t>
      </w:r>
      <w:r w:rsidR="00342D7E" w:rsidRPr="00342D7E">
        <w:t>sko</w:t>
      </w:r>
      <w:r w:rsidRPr="00342D7E">
        <w:t>nsolidowanych sprawozdań finansowych banków</w:t>
      </w:r>
      <w:r w:rsidR="00342D7E" w:rsidRPr="00342D7E">
        <w:t xml:space="preserve"> i</w:t>
      </w:r>
      <w:r w:rsidR="00342D7E">
        <w:t> </w:t>
      </w:r>
      <w:r w:rsidR="00342D7E" w:rsidRPr="00342D7E">
        <w:t>inn</w:t>
      </w:r>
      <w:r w:rsidRPr="00342D7E">
        <w:t>ych instytucji finansowych (Dz.U. L 372</w:t>
      </w:r>
      <w:r w:rsidR="00342D7E" w:rsidRPr="00342D7E">
        <w:t xml:space="preserve"> z</w:t>
      </w:r>
      <w:r w:rsidR="00342D7E">
        <w:t> </w:t>
      </w:r>
      <w:r w:rsidR="00342D7E" w:rsidRPr="00342D7E">
        <w:t>3</w:t>
      </w:r>
      <w:r w:rsidRPr="00342D7E">
        <w:t xml:space="preserve">1.12.1986, </w:t>
      </w:r>
      <w:proofErr w:type="gramStart"/>
      <w:r w:rsidRPr="00342D7E">
        <w:t>s</w:t>
      </w:r>
      <w:proofErr w:type="gramEnd"/>
      <w:r w:rsidRPr="00342D7E">
        <w:t>. 1).</w:t>
      </w:r>
    </w:p>
  </w:footnote>
  <w:footnote w:id="6">
    <w:p w:rsidR="00D35B0C" w:rsidRPr="00342D7E" w:rsidRDefault="00211E77">
      <w:pPr>
        <w:pStyle w:val="FootnoteText"/>
        <w:spacing w:after="0"/>
        <w:ind w:left="567" w:hanging="567"/>
      </w:pPr>
      <w:r w:rsidRPr="00342D7E">
        <w:rPr>
          <w:rStyle w:val="FootnoteReference"/>
        </w:rPr>
        <w:footnoteRef/>
      </w:r>
      <w:r w:rsidRPr="00342D7E">
        <w:t xml:space="preserve"> </w:t>
      </w:r>
      <w:r w:rsidRPr="00342D7E">
        <w:tab/>
        <w:t>Dyrektywa Parlamentu Europejskiego</w:t>
      </w:r>
      <w:r w:rsidR="00342D7E" w:rsidRPr="00342D7E">
        <w:t xml:space="preserve"> i</w:t>
      </w:r>
      <w:r w:rsidR="00342D7E">
        <w:t> </w:t>
      </w:r>
      <w:r w:rsidR="00342D7E" w:rsidRPr="00342D7E">
        <w:t>Rad</w:t>
      </w:r>
      <w:r w:rsidRPr="00342D7E">
        <w:t>y 2013/34/UE</w:t>
      </w:r>
      <w:r w:rsidR="00342D7E" w:rsidRPr="00342D7E">
        <w:t xml:space="preserve"> z</w:t>
      </w:r>
      <w:r w:rsidR="00342D7E">
        <w:t> </w:t>
      </w:r>
      <w:r w:rsidR="00342D7E" w:rsidRPr="00342D7E">
        <w:t>dni</w:t>
      </w:r>
      <w:r w:rsidRPr="00342D7E">
        <w:t>a 26 czerwca 2013</w:t>
      </w:r>
      <w:r w:rsidR="00342D7E" w:rsidRPr="00342D7E">
        <w:t> </w:t>
      </w:r>
      <w:r w:rsidRPr="00342D7E">
        <w:t>r.</w:t>
      </w:r>
      <w:r w:rsidR="00342D7E" w:rsidRPr="00342D7E">
        <w:t xml:space="preserve"> w</w:t>
      </w:r>
      <w:r w:rsidR="00342D7E">
        <w:t> </w:t>
      </w:r>
      <w:r w:rsidR="00342D7E" w:rsidRPr="00342D7E">
        <w:t>spr</w:t>
      </w:r>
      <w:r w:rsidRPr="00342D7E">
        <w:t>awie rocznych sprawozdań finansowych, skonsolidowanych sprawozdań finansowych</w:t>
      </w:r>
      <w:r w:rsidR="00342D7E" w:rsidRPr="00342D7E">
        <w:t xml:space="preserve"> i</w:t>
      </w:r>
      <w:r w:rsidR="00342D7E">
        <w:t> </w:t>
      </w:r>
      <w:r w:rsidR="00342D7E" w:rsidRPr="00342D7E">
        <w:t>pow</w:t>
      </w:r>
      <w:r w:rsidRPr="00342D7E">
        <w:t>iązanych sprawozdań niektórych rodzajów jednostek, zmieniająca dyrektywę Parlamentu Europejskiego</w:t>
      </w:r>
      <w:r w:rsidR="00342D7E" w:rsidRPr="00342D7E">
        <w:t xml:space="preserve"> i</w:t>
      </w:r>
      <w:r w:rsidR="00342D7E">
        <w:t> </w:t>
      </w:r>
      <w:r w:rsidR="00342D7E" w:rsidRPr="00342D7E">
        <w:t>Rad</w:t>
      </w:r>
      <w:r w:rsidRPr="00342D7E">
        <w:t>y 2006/43/WE oraz uchylająca dyrektywy Rady 78/660/EWG</w:t>
      </w:r>
      <w:r w:rsidR="00342D7E" w:rsidRPr="00342D7E">
        <w:t xml:space="preserve"> i</w:t>
      </w:r>
      <w:r w:rsidR="00342D7E">
        <w:t> </w:t>
      </w:r>
      <w:r w:rsidR="00342D7E" w:rsidRPr="00342D7E">
        <w:t>8</w:t>
      </w:r>
      <w:r w:rsidRPr="00342D7E">
        <w:t>3/349/EWG (Dz.U. L 182</w:t>
      </w:r>
      <w:r w:rsidR="00342D7E" w:rsidRPr="00342D7E">
        <w:t xml:space="preserve"> z</w:t>
      </w:r>
      <w:r w:rsidR="00342D7E">
        <w:t> </w:t>
      </w:r>
      <w:r w:rsidR="00342D7E" w:rsidRPr="00342D7E">
        <w:t>2</w:t>
      </w:r>
      <w:r w:rsidRPr="00342D7E">
        <w:t xml:space="preserve">9.6.2013, </w:t>
      </w:r>
      <w:proofErr w:type="gramStart"/>
      <w:r w:rsidRPr="00342D7E">
        <w:t>s</w:t>
      </w:r>
      <w:proofErr w:type="gramEnd"/>
      <w:r w:rsidRPr="00342D7E">
        <w:t>. 19).</w:t>
      </w:r>
    </w:p>
  </w:footnote>
  <w:footnote w:id="7">
    <w:p w:rsidR="00D35B0C" w:rsidRPr="00342D7E" w:rsidRDefault="00211E77">
      <w:pPr>
        <w:pStyle w:val="FootnoteText"/>
        <w:spacing w:after="0"/>
        <w:ind w:left="567" w:hanging="567"/>
      </w:pPr>
      <w:r w:rsidRPr="00342D7E">
        <w:rPr>
          <w:rStyle w:val="FootnoteReference"/>
        </w:rPr>
        <w:footnoteRef/>
      </w:r>
      <w:r w:rsidRPr="00342D7E">
        <w:tab/>
        <w:t>Zalecenie Komisji</w:t>
      </w:r>
      <w:r w:rsidR="00342D7E" w:rsidRPr="00342D7E">
        <w:t xml:space="preserve"> z</w:t>
      </w:r>
      <w:r w:rsidR="00342D7E">
        <w:t> </w:t>
      </w:r>
      <w:r w:rsidR="00342D7E" w:rsidRPr="00342D7E">
        <w:t>dni</w:t>
      </w:r>
      <w:r w:rsidRPr="00342D7E">
        <w:t>a 6 maja 2003</w:t>
      </w:r>
      <w:r w:rsidR="00342D7E" w:rsidRPr="00342D7E">
        <w:t> </w:t>
      </w:r>
      <w:r w:rsidRPr="00342D7E">
        <w:t>r. dotyczące definicji mikroprzedsiębiorstw oraz małych</w:t>
      </w:r>
      <w:r w:rsidR="00342D7E" w:rsidRPr="00342D7E">
        <w:t xml:space="preserve"> i</w:t>
      </w:r>
      <w:r w:rsidR="00342D7E">
        <w:t> </w:t>
      </w:r>
      <w:r w:rsidR="00342D7E" w:rsidRPr="00342D7E">
        <w:t>śre</w:t>
      </w:r>
      <w:r w:rsidRPr="00342D7E">
        <w:t>dnich przedsiębiorstw (C</w:t>
      </w:r>
      <w:proofErr w:type="gramStart"/>
      <w:r w:rsidRPr="00342D7E">
        <w:t>(2003)1422) (Dz</w:t>
      </w:r>
      <w:proofErr w:type="gramEnd"/>
      <w:r w:rsidRPr="00342D7E">
        <w:t>.U. L 124</w:t>
      </w:r>
      <w:r w:rsidR="00342D7E" w:rsidRPr="00342D7E">
        <w:t xml:space="preserve"> z</w:t>
      </w:r>
      <w:r w:rsidR="00342D7E">
        <w:t> </w:t>
      </w:r>
      <w:r w:rsidR="00342D7E" w:rsidRPr="00342D7E">
        <w:t>2</w:t>
      </w:r>
      <w:r w:rsidRPr="00342D7E">
        <w:t xml:space="preserve">0.5.2003, </w:t>
      </w:r>
      <w:proofErr w:type="gramStart"/>
      <w:r w:rsidRPr="00342D7E">
        <w:t>s</w:t>
      </w:r>
      <w:proofErr w:type="gramEnd"/>
      <w:r w:rsidRPr="00342D7E">
        <w:t xml:space="preserve">. 36). </w:t>
      </w:r>
    </w:p>
  </w:footnote>
  <w:footnote w:id="8">
    <w:p w:rsidR="00D35B0C" w:rsidRPr="00342D7E" w:rsidRDefault="00211E77">
      <w:pPr>
        <w:pStyle w:val="FootnoteText"/>
        <w:spacing w:after="0"/>
        <w:ind w:left="567" w:hanging="567"/>
      </w:pPr>
      <w:r w:rsidRPr="00342D7E">
        <w:rPr>
          <w:rStyle w:val="FootnoteReference"/>
        </w:rPr>
        <w:footnoteRef/>
      </w:r>
      <w:r w:rsidRPr="00342D7E">
        <w:tab/>
        <w:t>Zalecenie Europejskiej Rady ds. Ryzyka Systemowego</w:t>
      </w:r>
      <w:r w:rsidR="00342D7E" w:rsidRPr="00342D7E">
        <w:t xml:space="preserve"> z</w:t>
      </w:r>
      <w:r w:rsidR="00342D7E">
        <w:t> </w:t>
      </w:r>
      <w:r w:rsidR="00342D7E" w:rsidRPr="00342D7E">
        <w:t>dni</w:t>
      </w:r>
      <w:r w:rsidRPr="00342D7E">
        <w:t>a 31 października 2016</w:t>
      </w:r>
      <w:r w:rsidR="00342D7E" w:rsidRPr="00342D7E">
        <w:t> </w:t>
      </w:r>
      <w:r w:rsidRPr="00342D7E">
        <w:t>r.</w:t>
      </w:r>
      <w:r w:rsidR="00342D7E" w:rsidRPr="00342D7E">
        <w:t xml:space="preserve"> w</w:t>
      </w:r>
      <w:r w:rsidR="00342D7E">
        <w:t> </w:t>
      </w:r>
      <w:r w:rsidR="00342D7E" w:rsidRPr="00342D7E">
        <w:t>spr</w:t>
      </w:r>
      <w:r w:rsidRPr="00342D7E">
        <w:t>awie uzupełniania luk</w:t>
      </w:r>
      <w:r w:rsidR="00342D7E" w:rsidRPr="00342D7E">
        <w:t xml:space="preserve"> w</w:t>
      </w:r>
      <w:r w:rsidR="00342D7E">
        <w:t> </w:t>
      </w:r>
      <w:r w:rsidR="00342D7E" w:rsidRPr="00342D7E">
        <w:t>dan</w:t>
      </w:r>
      <w:r w:rsidRPr="00342D7E">
        <w:t>ych dotyczących sektora nieruchomości (ERRS/2016/14) (Dz.U. C 31</w:t>
      </w:r>
      <w:r w:rsidR="00342D7E" w:rsidRPr="00342D7E">
        <w:t xml:space="preserve"> z</w:t>
      </w:r>
      <w:r w:rsidR="00342D7E">
        <w:t> </w:t>
      </w:r>
      <w:r w:rsidR="00342D7E" w:rsidRPr="00342D7E">
        <w:t>3</w:t>
      </w:r>
      <w:r w:rsidRPr="00342D7E">
        <w:t xml:space="preserve">1.1.2017, </w:t>
      </w:r>
      <w:proofErr w:type="gramStart"/>
      <w:r w:rsidRPr="00342D7E">
        <w:t>s</w:t>
      </w:r>
      <w:proofErr w:type="gramEnd"/>
      <w:r w:rsidRPr="00342D7E">
        <w:t>. 1).</w:t>
      </w:r>
    </w:p>
  </w:footnote>
  <w:footnote w:id="9">
    <w:p w:rsidR="00D35B0C" w:rsidRPr="00342D7E" w:rsidRDefault="00211E77">
      <w:pPr>
        <w:pStyle w:val="NormalWeb"/>
        <w:shd w:val="clear" w:color="auto" w:fill="FFFFFF"/>
        <w:spacing w:before="0" w:beforeAutospacing="0" w:after="75" w:afterAutospacing="0"/>
        <w:rPr>
          <w:rFonts w:ascii="Segoe UI" w:hAnsi="Segoe UI" w:cs="Segoe UI"/>
          <w:color w:val="444444"/>
          <w:sz w:val="21"/>
          <w:szCs w:val="21"/>
        </w:rPr>
      </w:pPr>
      <w:r w:rsidRPr="00342D7E">
        <w:rPr>
          <w:rStyle w:val="FootnoteReference"/>
        </w:rPr>
        <w:footnoteRef/>
      </w:r>
      <w:r w:rsidRPr="00342D7E">
        <w:t xml:space="preserve"> </w:t>
      </w:r>
      <w:r w:rsidRPr="00342D7E">
        <w:rPr>
          <w:rFonts w:ascii="Segoe UI" w:hAnsi="Segoe UI"/>
          <w:color w:val="444444"/>
          <w:sz w:val="21"/>
          <w:szCs w:val="21"/>
        </w:rPr>
        <w:t>Zalecenie Europejskiej Rady ds. Ryzyka Systemowego</w:t>
      </w:r>
      <w:r w:rsidR="00342D7E" w:rsidRPr="00342D7E">
        <w:rPr>
          <w:rFonts w:ascii="Segoe UI" w:hAnsi="Segoe UI"/>
          <w:color w:val="444444"/>
          <w:sz w:val="21"/>
          <w:szCs w:val="21"/>
        </w:rPr>
        <w:t xml:space="preserve"> z</w:t>
      </w:r>
      <w:r w:rsidR="00342D7E">
        <w:rPr>
          <w:rFonts w:ascii="Segoe UI" w:hAnsi="Segoe UI"/>
          <w:color w:val="444444"/>
          <w:sz w:val="21"/>
          <w:szCs w:val="21"/>
        </w:rPr>
        <w:t> </w:t>
      </w:r>
      <w:r w:rsidR="00342D7E" w:rsidRPr="00342D7E">
        <w:rPr>
          <w:rFonts w:ascii="Segoe UI" w:hAnsi="Segoe UI"/>
          <w:color w:val="444444"/>
          <w:sz w:val="21"/>
          <w:szCs w:val="21"/>
        </w:rPr>
        <w:t>dni</w:t>
      </w:r>
      <w:r w:rsidRPr="00342D7E">
        <w:rPr>
          <w:rFonts w:ascii="Segoe UI" w:hAnsi="Segoe UI"/>
          <w:color w:val="444444"/>
          <w:sz w:val="21"/>
          <w:szCs w:val="21"/>
        </w:rPr>
        <w:t>a 31 października 2016</w:t>
      </w:r>
      <w:r w:rsidR="00342D7E" w:rsidRPr="00342D7E">
        <w:rPr>
          <w:rFonts w:ascii="Segoe UI" w:hAnsi="Segoe UI"/>
          <w:color w:val="444444"/>
          <w:sz w:val="21"/>
          <w:szCs w:val="21"/>
        </w:rPr>
        <w:t> </w:t>
      </w:r>
      <w:r w:rsidRPr="00342D7E">
        <w:rPr>
          <w:rFonts w:ascii="Segoe UI" w:hAnsi="Segoe UI"/>
          <w:color w:val="444444"/>
          <w:sz w:val="21"/>
          <w:szCs w:val="21"/>
        </w:rPr>
        <w:t>r.</w:t>
      </w:r>
      <w:r w:rsidR="00342D7E" w:rsidRPr="00342D7E">
        <w:rPr>
          <w:rFonts w:ascii="Segoe UI" w:hAnsi="Segoe UI"/>
          <w:color w:val="444444"/>
          <w:sz w:val="21"/>
          <w:szCs w:val="21"/>
        </w:rPr>
        <w:t xml:space="preserve"> w</w:t>
      </w:r>
      <w:r w:rsidR="00342D7E">
        <w:rPr>
          <w:rFonts w:ascii="Segoe UI" w:hAnsi="Segoe UI"/>
          <w:color w:val="444444"/>
          <w:sz w:val="21"/>
          <w:szCs w:val="21"/>
        </w:rPr>
        <w:t> </w:t>
      </w:r>
      <w:r w:rsidR="00342D7E" w:rsidRPr="00342D7E">
        <w:rPr>
          <w:rFonts w:ascii="Segoe UI" w:hAnsi="Segoe UI"/>
          <w:color w:val="444444"/>
          <w:sz w:val="21"/>
          <w:szCs w:val="21"/>
        </w:rPr>
        <w:t>spr</w:t>
      </w:r>
      <w:r w:rsidRPr="00342D7E">
        <w:rPr>
          <w:rFonts w:ascii="Segoe UI" w:hAnsi="Segoe UI"/>
          <w:color w:val="444444"/>
          <w:sz w:val="21"/>
          <w:szCs w:val="21"/>
        </w:rPr>
        <w:t>awie uzupełniania luk</w:t>
      </w:r>
      <w:r w:rsidR="00342D7E" w:rsidRPr="00342D7E">
        <w:rPr>
          <w:rFonts w:ascii="Segoe UI" w:hAnsi="Segoe UI"/>
          <w:color w:val="444444"/>
          <w:sz w:val="21"/>
          <w:szCs w:val="21"/>
        </w:rPr>
        <w:t xml:space="preserve"> w</w:t>
      </w:r>
      <w:r w:rsidR="00342D7E">
        <w:rPr>
          <w:rFonts w:ascii="Segoe UI" w:hAnsi="Segoe UI"/>
          <w:color w:val="444444"/>
          <w:sz w:val="21"/>
          <w:szCs w:val="21"/>
        </w:rPr>
        <w:t> </w:t>
      </w:r>
      <w:r w:rsidR="00342D7E" w:rsidRPr="00342D7E">
        <w:rPr>
          <w:rFonts w:ascii="Segoe UI" w:hAnsi="Segoe UI"/>
          <w:color w:val="444444"/>
          <w:sz w:val="21"/>
          <w:szCs w:val="21"/>
        </w:rPr>
        <w:t>dan</w:t>
      </w:r>
      <w:r w:rsidRPr="00342D7E">
        <w:rPr>
          <w:rFonts w:ascii="Segoe UI" w:hAnsi="Segoe UI"/>
          <w:color w:val="444444"/>
          <w:sz w:val="21"/>
          <w:szCs w:val="21"/>
        </w:rPr>
        <w:t xml:space="preserve">ych dotyczących sektora nieruchomości (ERRS/2016/14), </w:t>
      </w:r>
      <w:r w:rsidRPr="00342D7E">
        <w:rPr>
          <w:rStyle w:val="Emphasis"/>
          <w:rFonts w:ascii="Segoe UI" w:hAnsi="Segoe UI"/>
          <w:i w:val="0"/>
          <w:color w:val="444444"/>
          <w:sz w:val="21"/>
          <w:szCs w:val="21"/>
        </w:rPr>
        <w:t>Dz.U. C 31</w:t>
      </w:r>
      <w:r w:rsidR="00342D7E" w:rsidRPr="00342D7E">
        <w:rPr>
          <w:rStyle w:val="Emphasis"/>
          <w:rFonts w:ascii="Segoe UI" w:hAnsi="Segoe UI"/>
          <w:i w:val="0"/>
          <w:color w:val="444444"/>
          <w:sz w:val="21"/>
          <w:szCs w:val="21"/>
        </w:rPr>
        <w:t xml:space="preserve"> z</w:t>
      </w:r>
      <w:r w:rsidR="00342D7E">
        <w:rPr>
          <w:rStyle w:val="Emphasis"/>
          <w:rFonts w:ascii="Segoe UI" w:hAnsi="Segoe UI"/>
          <w:i w:val="0"/>
          <w:color w:val="444444"/>
          <w:sz w:val="21"/>
          <w:szCs w:val="21"/>
        </w:rPr>
        <w:t> </w:t>
      </w:r>
      <w:r w:rsidR="00342D7E" w:rsidRPr="00342D7E">
        <w:rPr>
          <w:rStyle w:val="Emphasis"/>
          <w:rFonts w:ascii="Segoe UI" w:hAnsi="Segoe UI"/>
          <w:i w:val="0"/>
          <w:color w:val="444444"/>
          <w:sz w:val="21"/>
          <w:szCs w:val="21"/>
        </w:rPr>
        <w:t>3</w:t>
      </w:r>
      <w:r w:rsidRPr="00342D7E">
        <w:rPr>
          <w:rStyle w:val="Emphasis"/>
          <w:rFonts w:ascii="Segoe UI" w:hAnsi="Segoe UI"/>
          <w:i w:val="0"/>
          <w:color w:val="444444"/>
          <w:sz w:val="21"/>
          <w:szCs w:val="21"/>
        </w:rPr>
        <w:t xml:space="preserve">1.1.2017, </w:t>
      </w:r>
      <w:proofErr w:type="gramStart"/>
      <w:r w:rsidRPr="00342D7E">
        <w:rPr>
          <w:rStyle w:val="Emphasis"/>
          <w:rFonts w:ascii="Segoe UI" w:hAnsi="Segoe UI"/>
          <w:i w:val="0"/>
          <w:color w:val="444444"/>
          <w:sz w:val="21"/>
          <w:szCs w:val="21"/>
        </w:rPr>
        <w:t>s</w:t>
      </w:r>
      <w:proofErr w:type="gramEnd"/>
      <w:r w:rsidRPr="00342D7E">
        <w:rPr>
          <w:rStyle w:val="Emphasis"/>
          <w:rFonts w:ascii="Segoe UI" w:hAnsi="Segoe UI"/>
          <w:i w:val="0"/>
          <w:color w:val="444444"/>
          <w:sz w:val="21"/>
          <w:szCs w:val="21"/>
        </w:rPr>
        <w:t>. 1</w:t>
      </w:r>
      <w:r w:rsidRPr="00342D7E">
        <w:t>.</w:t>
      </w:r>
    </w:p>
    <w:p w:rsidR="00D35B0C" w:rsidRPr="00342D7E" w:rsidRDefault="00D35B0C">
      <w:pPr>
        <w:pStyle w:val="FootnoteText"/>
      </w:pPr>
    </w:p>
  </w:footnote>
  <w:footnote w:id="10">
    <w:p w:rsidR="00D35B0C" w:rsidRPr="00342D7E" w:rsidRDefault="00211E77">
      <w:pPr>
        <w:pStyle w:val="FootnoteText"/>
        <w:ind w:left="709" w:hanging="709"/>
      </w:pPr>
      <w:r w:rsidRPr="00342D7E">
        <w:rPr>
          <w:rStyle w:val="FootnoteReference"/>
        </w:rPr>
        <w:footnoteRef/>
      </w:r>
      <w:r w:rsidRPr="00342D7E">
        <w:tab/>
        <w:t>Dyrektywa Parlamentu Europejskiego</w:t>
      </w:r>
      <w:r w:rsidR="00342D7E" w:rsidRPr="00342D7E">
        <w:t xml:space="preserve"> i</w:t>
      </w:r>
      <w:r w:rsidR="00342D7E">
        <w:t> </w:t>
      </w:r>
      <w:r w:rsidR="00342D7E" w:rsidRPr="00342D7E">
        <w:t>Rad</w:t>
      </w:r>
      <w:r w:rsidRPr="00342D7E">
        <w:t>y (UE) 2015/2366</w:t>
      </w:r>
      <w:r w:rsidR="00342D7E" w:rsidRPr="00342D7E">
        <w:t xml:space="preserve"> z</w:t>
      </w:r>
      <w:r w:rsidR="00342D7E">
        <w:t> </w:t>
      </w:r>
      <w:r w:rsidR="00342D7E" w:rsidRPr="00342D7E">
        <w:t>dni</w:t>
      </w:r>
      <w:r w:rsidRPr="00342D7E">
        <w:t>a 25 listopada 2015</w:t>
      </w:r>
      <w:r w:rsidR="00342D7E" w:rsidRPr="00342D7E">
        <w:t> </w:t>
      </w:r>
      <w:r w:rsidRPr="00342D7E">
        <w:t>r.</w:t>
      </w:r>
      <w:r w:rsidR="00342D7E" w:rsidRPr="00342D7E">
        <w:t xml:space="preserve"> w</w:t>
      </w:r>
      <w:r w:rsidR="00342D7E">
        <w:t> </w:t>
      </w:r>
      <w:r w:rsidR="00342D7E" w:rsidRPr="00342D7E">
        <w:t>spr</w:t>
      </w:r>
      <w:r w:rsidRPr="00342D7E">
        <w:t>awie usług płatniczych</w:t>
      </w:r>
      <w:r w:rsidR="00342D7E" w:rsidRPr="00342D7E">
        <w:t xml:space="preserve"> w</w:t>
      </w:r>
      <w:r w:rsidR="00342D7E">
        <w:t> </w:t>
      </w:r>
      <w:r w:rsidR="00342D7E" w:rsidRPr="00342D7E">
        <w:t>ram</w:t>
      </w:r>
      <w:r w:rsidRPr="00342D7E">
        <w:t>ach rynku wewnętrznego, zmieniająca dyrektywy 2002/65/WE, 2009/110/WE, 2013/36/UE</w:t>
      </w:r>
      <w:r w:rsidR="00342D7E" w:rsidRPr="00342D7E">
        <w:t xml:space="preserve"> i</w:t>
      </w:r>
      <w:r w:rsidR="00342D7E">
        <w:t> </w:t>
      </w:r>
      <w:r w:rsidR="00342D7E" w:rsidRPr="00342D7E">
        <w:t>roz</w:t>
      </w:r>
      <w:r w:rsidRPr="00342D7E">
        <w:t>porządzenie (UE) nr</w:t>
      </w:r>
      <w:r w:rsidR="00342D7E" w:rsidRPr="00342D7E">
        <w:t> </w:t>
      </w:r>
      <w:r w:rsidRPr="00342D7E">
        <w:t>1093/2010 oraz uchylająca dyrektywę 2007/64/WE (Dz.U. L 337</w:t>
      </w:r>
      <w:r w:rsidR="00342D7E" w:rsidRPr="00342D7E">
        <w:t xml:space="preserve"> z</w:t>
      </w:r>
      <w:r w:rsidR="00342D7E">
        <w:t> </w:t>
      </w:r>
      <w:r w:rsidR="00342D7E" w:rsidRPr="00342D7E">
        <w:t>2</w:t>
      </w:r>
      <w:r w:rsidRPr="00342D7E">
        <w:t xml:space="preserve">3.12.2015, </w:t>
      </w:r>
      <w:proofErr w:type="gramStart"/>
      <w:r w:rsidRPr="00342D7E">
        <w:t>s</w:t>
      </w:r>
      <w:proofErr w:type="gramEnd"/>
      <w:r w:rsidRPr="00342D7E">
        <w:t>.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7B8A"/>
    <w:multiLevelType w:val="hybridMultilevel"/>
    <w:tmpl w:val="521C94EA"/>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49A49EC"/>
    <w:multiLevelType w:val="hybridMultilevel"/>
    <w:tmpl w:val="4044D89A"/>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7105B0"/>
    <w:multiLevelType w:val="hybridMultilevel"/>
    <w:tmpl w:val="DE969A66"/>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AA028B"/>
    <w:multiLevelType w:val="hybridMultilevel"/>
    <w:tmpl w:val="8166B710"/>
    <w:lvl w:ilvl="0" w:tplc="08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5"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053000"/>
    <w:multiLevelType w:val="hybridMultilevel"/>
    <w:tmpl w:val="6C521CBA"/>
    <w:lvl w:ilvl="0" w:tplc="08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7" w15:restartNumberingAfterBreak="0">
    <w:nsid w:val="13710F59"/>
    <w:multiLevelType w:val="hybridMultilevel"/>
    <w:tmpl w:val="37C85CB4"/>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F2F8B7DC">
      <w:start w:val="1"/>
      <w:numFmt w:val="lowerLetter"/>
      <w:lvlText w:val="%4)"/>
      <w:lvlJc w:val="left"/>
      <w:pPr>
        <w:ind w:left="2945" w:hanging="360"/>
      </w:pPr>
      <w:rPr>
        <w:rFonts w:hint="default"/>
      </w:r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7D030EC"/>
    <w:multiLevelType w:val="hybridMultilevel"/>
    <w:tmpl w:val="233E48E2"/>
    <w:lvl w:ilvl="0" w:tplc="08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A74E9F"/>
    <w:multiLevelType w:val="hybridMultilevel"/>
    <w:tmpl w:val="C2D024CE"/>
    <w:lvl w:ilvl="0" w:tplc="08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12" w15:restartNumberingAfterBreak="0">
    <w:nsid w:val="1E0D0344"/>
    <w:multiLevelType w:val="hybridMultilevel"/>
    <w:tmpl w:val="DC5A02A4"/>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08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13" w15:restartNumberingAfterBreak="0">
    <w:nsid w:val="1E7772EC"/>
    <w:multiLevelType w:val="hybridMultilevel"/>
    <w:tmpl w:val="3942265C"/>
    <w:lvl w:ilvl="0" w:tplc="0809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17">
      <w:start w:val="1"/>
      <w:numFmt w:val="lowerLetter"/>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4" w15:restartNumberingAfterBreak="0">
    <w:nsid w:val="200D5A54"/>
    <w:multiLevelType w:val="hybridMultilevel"/>
    <w:tmpl w:val="A7B8B266"/>
    <w:lvl w:ilvl="0" w:tplc="1ABC2416">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15" w15:restartNumberingAfterBreak="0">
    <w:nsid w:val="20E41226"/>
    <w:multiLevelType w:val="hybridMultilevel"/>
    <w:tmpl w:val="41D2809A"/>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4685ACC"/>
    <w:multiLevelType w:val="hybridMultilevel"/>
    <w:tmpl w:val="314A70A8"/>
    <w:lvl w:ilvl="0" w:tplc="08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17" w15:restartNumberingAfterBreak="0">
    <w:nsid w:val="250272CA"/>
    <w:multiLevelType w:val="hybridMultilevel"/>
    <w:tmpl w:val="EAA43780"/>
    <w:lvl w:ilvl="0" w:tplc="08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18" w15:restartNumberingAfterBreak="0">
    <w:nsid w:val="25F60E35"/>
    <w:multiLevelType w:val="hybridMultilevel"/>
    <w:tmpl w:val="55AAB1DE"/>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AD9076C"/>
    <w:multiLevelType w:val="hybridMultilevel"/>
    <w:tmpl w:val="B388DF6C"/>
    <w:lvl w:ilvl="0" w:tplc="08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21" w15:restartNumberingAfterBreak="0">
    <w:nsid w:val="2CD63BA7"/>
    <w:multiLevelType w:val="hybridMultilevel"/>
    <w:tmpl w:val="5A90DA2E"/>
    <w:lvl w:ilvl="0" w:tplc="08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22"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3" w15:restartNumberingAfterBreak="0">
    <w:nsid w:val="316C34F4"/>
    <w:multiLevelType w:val="hybridMultilevel"/>
    <w:tmpl w:val="553062DA"/>
    <w:lvl w:ilvl="0" w:tplc="08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24" w15:restartNumberingAfterBreak="0">
    <w:nsid w:val="32B63565"/>
    <w:multiLevelType w:val="hybridMultilevel"/>
    <w:tmpl w:val="2734556A"/>
    <w:lvl w:ilvl="0" w:tplc="08090017">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25" w15:restartNumberingAfterBreak="0">
    <w:nsid w:val="32D2602B"/>
    <w:multiLevelType w:val="hybridMultilevel"/>
    <w:tmpl w:val="1FCEA8C2"/>
    <w:lvl w:ilvl="0" w:tplc="08090017">
      <w:start w:val="1"/>
      <w:numFmt w:val="lowerLetter"/>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26" w15:restartNumberingAfterBreak="0">
    <w:nsid w:val="32F473C4"/>
    <w:multiLevelType w:val="hybridMultilevel"/>
    <w:tmpl w:val="0BD8A3B6"/>
    <w:lvl w:ilvl="0" w:tplc="08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27" w15:restartNumberingAfterBreak="0">
    <w:nsid w:val="34E56BE9"/>
    <w:multiLevelType w:val="hybridMultilevel"/>
    <w:tmpl w:val="2A126AF0"/>
    <w:lvl w:ilvl="0" w:tplc="08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28"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9970F9E"/>
    <w:multiLevelType w:val="hybridMultilevel"/>
    <w:tmpl w:val="C866A424"/>
    <w:lvl w:ilvl="0" w:tplc="08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30" w15:restartNumberingAfterBreak="0">
    <w:nsid w:val="3C6D5F0D"/>
    <w:multiLevelType w:val="hybridMultilevel"/>
    <w:tmpl w:val="72EEAF8A"/>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DD0256F"/>
    <w:multiLevelType w:val="hybridMultilevel"/>
    <w:tmpl w:val="AF62E174"/>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FA85460"/>
    <w:multiLevelType w:val="hybridMultilevel"/>
    <w:tmpl w:val="7936A0CA"/>
    <w:lvl w:ilvl="0" w:tplc="08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33" w15:restartNumberingAfterBreak="0">
    <w:nsid w:val="3FC10F53"/>
    <w:multiLevelType w:val="hybridMultilevel"/>
    <w:tmpl w:val="1A60180A"/>
    <w:lvl w:ilvl="0" w:tplc="DB447DF4">
      <w:start w:val="19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34" w15:restartNumberingAfterBreak="0">
    <w:nsid w:val="40A83956"/>
    <w:multiLevelType w:val="hybridMultilevel"/>
    <w:tmpl w:val="AE487D38"/>
    <w:lvl w:ilvl="0" w:tplc="08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35" w15:restartNumberingAfterBreak="0">
    <w:nsid w:val="40F70DBF"/>
    <w:multiLevelType w:val="hybridMultilevel"/>
    <w:tmpl w:val="F37460C0"/>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2A731DD"/>
    <w:multiLevelType w:val="hybridMultilevel"/>
    <w:tmpl w:val="35E27CF6"/>
    <w:lvl w:ilvl="0" w:tplc="08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7" w15:restartNumberingAfterBreak="0">
    <w:nsid w:val="441222B7"/>
    <w:multiLevelType w:val="hybridMultilevel"/>
    <w:tmpl w:val="DA50BD58"/>
    <w:lvl w:ilvl="0" w:tplc="6E3206BC">
      <w:start w:val="177"/>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38" w15:restartNumberingAfterBreak="0">
    <w:nsid w:val="442A49B9"/>
    <w:multiLevelType w:val="hybridMultilevel"/>
    <w:tmpl w:val="E912DAB0"/>
    <w:lvl w:ilvl="0" w:tplc="08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39"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0" w15:restartNumberingAfterBreak="0">
    <w:nsid w:val="461C6487"/>
    <w:multiLevelType w:val="hybridMultilevel"/>
    <w:tmpl w:val="B52A7C6A"/>
    <w:lvl w:ilvl="0" w:tplc="08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91873F3"/>
    <w:multiLevelType w:val="hybridMultilevel"/>
    <w:tmpl w:val="2070B9F8"/>
    <w:lvl w:ilvl="0" w:tplc="9F18CFAC">
      <w:start w:val="195"/>
      <w:numFmt w:val="decimal"/>
      <w:lvlText w:val="%1."/>
      <w:lvlJc w:val="left"/>
      <w:pPr>
        <w:ind w:left="720" w:hanging="360"/>
      </w:pPr>
      <w:rPr>
        <w:rFonts w:hint="default"/>
      </w:rPr>
    </w:lvl>
    <w:lvl w:ilvl="1" w:tplc="0809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3" w15:restartNumberingAfterBreak="0">
    <w:nsid w:val="4ADF1F9B"/>
    <w:multiLevelType w:val="hybridMultilevel"/>
    <w:tmpl w:val="713CA928"/>
    <w:lvl w:ilvl="0" w:tplc="5B7E6066">
      <w:start w:val="1"/>
      <w:numFmt w:val="decimal"/>
      <w:lvlText w:val="%1."/>
      <w:lvlJc w:val="left"/>
      <w:pPr>
        <w:ind w:left="786" w:hanging="360"/>
      </w:pPr>
      <w:rPr>
        <w:rFonts w:hint="default"/>
        <w:lang w:val="en-US"/>
      </w:rPr>
    </w:lvl>
    <w:lvl w:ilvl="1" w:tplc="08090017">
      <w:start w:val="1"/>
      <w:numFmt w:val="lowerLetter"/>
      <w:lvlText w:val="%2)"/>
      <w:lvlJc w:val="left"/>
      <w:pPr>
        <w:ind w:left="1494" w:hanging="360"/>
      </w:pPr>
    </w:lvl>
    <w:lvl w:ilvl="2" w:tplc="5BE4D2A0">
      <w:start w:val="1"/>
      <w:numFmt w:val="lowerRoman"/>
      <w:lvlText w:val="%3."/>
      <w:lvlJc w:val="right"/>
      <w:pPr>
        <w:ind w:left="2225" w:hanging="180"/>
      </w:pPr>
    </w:lvl>
    <w:lvl w:ilvl="3" w:tplc="F2F8B7DC">
      <w:start w:val="1"/>
      <w:numFmt w:val="lowerLetter"/>
      <w:lvlText w:val="%4)"/>
      <w:lvlJc w:val="left"/>
      <w:pPr>
        <w:ind w:left="2945" w:hanging="360"/>
      </w:pPr>
      <w:rPr>
        <w:rFonts w:hint="default"/>
      </w:r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44" w15:restartNumberingAfterBreak="0">
    <w:nsid w:val="4C122602"/>
    <w:multiLevelType w:val="hybridMultilevel"/>
    <w:tmpl w:val="CEDA19D6"/>
    <w:lvl w:ilvl="0" w:tplc="08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45" w15:restartNumberingAfterBreak="0">
    <w:nsid w:val="4DEF0666"/>
    <w:multiLevelType w:val="hybridMultilevel"/>
    <w:tmpl w:val="3998F696"/>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4DF32101"/>
    <w:multiLevelType w:val="hybridMultilevel"/>
    <w:tmpl w:val="B0C60E2A"/>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FBD5590"/>
    <w:multiLevelType w:val="hybridMultilevel"/>
    <w:tmpl w:val="8A4AB730"/>
    <w:lvl w:ilvl="0" w:tplc="08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48"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9"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15:restartNumberingAfterBreak="0">
    <w:nsid w:val="56B93243"/>
    <w:multiLevelType w:val="hybridMultilevel"/>
    <w:tmpl w:val="FD4ABEB2"/>
    <w:lvl w:ilvl="0" w:tplc="08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1" w15:restartNumberingAfterBreak="0">
    <w:nsid w:val="58515E9E"/>
    <w:multiLevelType w:val="hybridMultilevel"/>
    <w:tmpl w:val="5BCE7E78"/>
    <w:lvl w:ilvl="0" w:tplc="67B4C9DC">
      <w:start w:val="183"/>
      <w:numFmt w:val="decimal"/>
      <w:lvlText w:val="%1."/>
      <w:lvlJc w:val="left"/>
      <w:pPr>
        <w:ind w:left="720" w:hanging="360"/>
      </w:pPr>
      <w:rPr>
        <w:rFonts w:hint="default"/>
      </w:rPr>
    </w:lvl>
    <w:lvl w:ilvl="1" w:tplc="0809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52" w15:restartNumberingAfterBreak="0">
    <w:nsid w:val="58F44495"/>
    <w:multiLevelType w:val="hybridMultilevel"/>
    <w:tmpl w:val="76228540"/>
    <w:lvl w:ilvl="0" w:tplc="08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53" w15:restartNumberingAfterBreak="0">
    <w:nsid w:val="58F86E61"/>
    <w:multiLevelType w:val="hybridMultilevel"/>
    <w:tmpl w:val="83CCA328"/>
    <w:lvl w:ilvl="0" w:tplc="08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54" w15:restartNumberingAfterBreak="0">
    <w:nsid w:val="5A152326"/>
    <w:multiLevelType w:val="hybridMultilevel"/>
    <w:tmpl w:val="468E0C3C"/>
    <w:lvl w:ilvl="0" w:tplc="08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5" w15:restartNumberingAfterBreak="0">
    <w:nsid w:val="5C9767C4"/>
    <w:multiLevelType w:val="hybridMultilevel"/>
    <w:tmpl w:val="3760E7C6"/>
    <w:lvl w:ilvl="0" w:tplc="08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56" w15:restartNumberingAfterBreak="0">
    <w:nsid w:val="5CC70611"/>
    <w:multiLevelType w:val="hybridMultilevel"/>
    <w:tmpl w:val="F26CC80A"/>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CC81F8A"/>
    <w:multiLevelType w:val="hybridMultilevel"/>
    <w:tmpl w:val="56CC6BAC"/>
    <w:lvl w:ilvl="0" w:tplc="08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58" w15:restartNumberingAfterBreak="0">
    <w:nsid w:val="5DFF5902"/>
    <w:multiLevelType w:val="hybridMultilevel"/>
    <w:tmpl w:val="E8DCC8D8"/>
    <w:lvl w:ilvl="0" w:tplc="08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59" w15:restartNumberingAfterBreak="0">
    <w:nsid w:val="5E6A5C28"/>
    <w:multiLevelType w:val="hybridMultilevel"/>
    <w:tmpl w:val="570CCA4E"/>
    <w:lvl w:ilvl="0" w:tplc="08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0"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EB16724"/>
    <w:multiLevelType w:val="hybridMultilevel"/>
    <w:tmpl w:val="2F90269A"/>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3" w15:restartNumberingAfterBreak="0">
    <w:nsid w:val="60531F56"/>
    <w:multiLevelType w:val="hybridMultilevel"/>
    <w:tmpl w:val="DA64D7D0"/>
    <w:lvl w:ilvl="0" w:tplc="08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4" w15:restartNumberingAfterBreak="0">
    <w:nsid w:val="60864E5F"/>
    <w:multiLevelType w:val="hybridMultilevel"/>
    <w:tmpl w:val="AF3030AC"/>
    <w:lvl w:ilvl="0" w:tplc="08090017">
      <w:start w:val="1"/>
      <w:numFmt w:val="lowerLetter"/>
      <w:lvlText w:val="%1)"/>
      <w:lvlJc w:val="left"/>
      <w:pPr>
        <w:ind w:left="1494" w:hanging="360"/>
      </w:p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5" w15:restartNumberingAfterBreak="0">
    <w:nsid w:val="622448F2"/>
    <w:multiLevelType w:val="hybridMultilevel"/>
    <w:tmpl w:val="4066DFA6"/>
    <w:lvl w:ilvl="0" w:tplc="5B7E6066">
      <w:start w:val="1"/>
      <w:numFmt w:val="decimal"/>
      <w:lvlText w:val="%1."/>
      <w:lvlJc w:val="left"/>
      <w:pPr>
        <w:ind w:left="786" w:hanging="360"/>
      </w:pPr>
      <w:rPr>
        <w:rFonts w:hint="default"/>
        <w:lang w:val="en-US"/>
      </w:rPr>
    </w:lvl>
    <w:lvl w:ilvl="1" w:tplc="08090017">
      <w:start w:val="1"/>
      <w:numFmt w:val="lowerLetter"/>
      <w:lvlText w:val="%2)"/>
      <w:lvlJc w:val="left"/>
      <w:pPr>
        <w:ind w:left="1494" w:hanging="360"/>
      </w:p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66" w15:restartNumberingAfterBreak="0">
    <w:nsid w:val="623D12E3"/>
    <w:multiLevelType w:val="hybridMultilevel"/>
    <w:tmpl w:val="A112D1EA"/>
    <w:lvl w:ilvl="0" w:tplc="08090017">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67" w15:restartNumberingAfterBreak="0">
    <w:nsid w:val="6804211B"/>
    <w:multiLevelType w:val="hybridMultilevel"/>
    <w:tmpl w:val="8C98383E"/>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85316E5"/>
    <w:multiLevelType w:val="hybridMultilevel"/>
    <w:tmpl w:val="25D85308"/>
    <w:lvl w:ilvl="0" w:tplc="08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69" w15:restartNumberingAfterBreak="0">
    <w:nsid w:val="68AB47D5"/>
    <w:multiLevelType w:val="hybridMultilevel"/>
    <w:tmpl w:val="EB5857CA"/>
    <w:lvl w:ilvl="0" w:tplc="08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0"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1" w15:restartNumberingAfterBreak="0">
    <w:nsid w:val="69A415C0"/>
    <w:multiLevelType w:val="hybridMultilevel"/>
    <w:tmpl w:val="3A78969C"/>
    <w:lvl w:ilvl="0" w:tplc="08090017">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2" w15:restartNumberingAfterBreak="0">
    <w:nsid w:val="6DC31792"/>
    <w:multiLevelType w:val="hybridMultilevel"/>
    <w:tmpl w:val="D81425E4"/>
    <w:lvl w:ilvl="0" w:tplc="08090017">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DE65D7B"/>
    <w:multiLevelType w:val="hybridMultilevel"/>
    <w:tmpl w:val="2250B716"/>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F067AC1"/>
    <w:multiLevelType w:val="hybridMultilevel"/>
    <w:tmpl w:val="030EABB0"/>
    <w:lvl w:ilvl="0" w:tplc="08090017">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75" w15:restartNumberingAfterBreak="0">
    <w:nsid w:val="705709D8"/>
    <w:multiLevelType w:val="hybridMultilevel"/>
    <w:tmpl w:val="9454CEE2"/>
    <w:lvl w:ilvl="0" w:tplc="08090017">
      <w:start w:val="1"/>
      <w:numFmt w:val="lowerLetter"/>
      <w:lvlText w:val="%1)"/>
      <w:lvlJc w:val="left"/>
      <w:pPr>
        <w:ind w:left="1637"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76" w15:restartNumberingAfterBreak="0">
    <w:nsid w:val="72E20EE2"/>
    <w:multiLevelType w:val="hybridMultilevel"/>
    <w:tmpl w:val="5EDC7BC4"/>
    <w:lvl w:ilvl="0" w:tplc="08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8" w15:restartNumberingAfterBreak="0">
    <w:nsid w:val="76810216"/>
    <w:multiLevelType w:val="hybridMultilevel"/>
    <w:tmpl w:val="666CCBBA"/>
    <w:lvl w:ilvl="0" w:tplc="08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9" w15:restartNumberingAfterBreak="0">
    <w:nsid w:val="78B930C0"/>
    <w:multiLevelType w:val="hybridMultilevel"/>
    <w:tmpl w:val="C160FCAE"/>
    <w:lvl w:ilvl="0" w:tplc="08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80" w15:restartNumberingAfterBreak="0">
    <w:nsid w:val="7A684354"/>
    <w:multiLevelType w:val="hybridMultilevel"/>
    <w:tmpl w:val="68C26F30"/>
    <w:lvl w:ilvl="0" w:tplc="0809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81" w15:restartNumberingAfterBreak="0">
    <w:nsid w:val="7B757881"/>
    <w:multiLevelType w:val="hybridMultilevel"/>
    <w:tmpl w:val="62DABAAE"/>
    <w:lvl w:ilvl="0" w:tplc="08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82" w15:restartNumberingAfterBreak="0">
    <w:nsid w:val="7C9A69D2"/>
    <w:multiLevelType w:val="hybridMultilevel"/>
    <w:tmpl w:val="F38E3118"/>
    <w:lvl w:ilvl="0" w:tplc="08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83" w15:restartNumberingAfterBreak="0">
    <w:nsid w:val="7D515E79"/>
    <w:multiLevelType w:val="hybridMultilevel"/>
    <w:tmpl w:val="3DBCD89E"/>
    <w:lvl w:ilvl="0" w:tplc="0809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84" w15:restartNumberingAfterBreak="0">
    <w:nsid w:val="7EBB12F7"/>
    <w:multiLevelType w:val="hybridMultilevel"/>
    <w:tmpl w:val="77AC862E"/>
    <w:lvl w:ilvl="0" w:tplc="08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85" w15:restartNumberingAfterBreak="0">
    <w:nsid w:val="7EC7720B"/>
    <w:multiLevelType w:val="hybridMultilevel"/>
    <w:tmpl w:val="B83C5520"/>
    <w:lvl w:ilvl="0" w:tplc="08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num w:numId="1">
    <w:abstractNumId w:val="39"/>
  </w:num>
  <w:num w:numId="2">
    <w:abstractNumId w:val="62"/>
  </w:num>
  <w:num w:numId="3">
    <w:abstractNumId w:val="8"/>
  </w:num>
  <w:num w:numId="4">
    <w:abstractNumId w:val="19"/>
  </w:num>
  <w:num w:numId="5">
    <w:abstractNumId w:val="41"/>
  </w:num>
  <w:num w:numId="6">
    <w:abstractNumId w:val="1"/>
  </w:num>
  <w:num w:numId="7">
    <w:abstractNumId w:val="49"/>
  </w:num>
  <w:num w:numId="8">
    <w:abstractNumId w:val="70"/>
  </w:num>
  <w:num w:numId="9">
    <w:abstractNumId w:val="22"/>
  </w:num>
  <w:num w:numId="10">
    <w:abstractNumId w:val="48"/>
  </w:num>
  <w:num w:numId="11">
    <w:abstractNumId w:val="5"/>
  </w:num>
  <w:num w:numId="12">
    <w:abstractNumId w:val="5"/>
  </w:num>
  <w:num w:numId="13">
    <w:abstractNumId w:val="7"/>
  </w:num>
  <w:num w:numId="14">
    <w:abstractNumId w:val="7"/>
    <w:lvlOverride w:ilvl="0">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num>
  <w:num w:numId="17">
    <w:abstractNumId w:val="10"/>
  </w:num>
  <w:num w:numId="18">
    <w:abstractNumId w:val="77"/>
  </w:num>
  <w:num w:numId="19">
    <w:abstractNumId w:val="28"/>
  </w:num>
  <w:num w:numId="20">
    <w:abstractNumId w:val="15"/>
  </w:num>
  <w:num w:numId="21">
    <w:abstractNumId w:val="60"/>
  </w:num>
  <w:num w:numId="22">
    <w:abstractNumId w:val="7"/>
    <w:lvlOverride w:ilvl="0">
      <w:startOverride w:val="335"/>
    </w:lvlOverride>
  </w:num>
  <w:num w:numId="23">
    <w:abstractNumId w:val="79"/>
  </w:num>
  <w:num w:numId="24">
    <w:abstractNumId w:val="6"/>
  </w:num>
  <w:num w:numId="25">
    <w:abstractNumId w:val="65"/>
  </w:num>
  <w:num w:numId="26">
    <w:abstractNumId w:val="25"/>
  </w:num>
  <w:num w:numId="27">
    <w:abstractNumId w:val="64"/>
  </w:num>
  <w:num w:numId="28">
    <w:abstractNumId w:val="82"/>
  </w:num>
  <w:num w:numId="29">
    <w:abstractNumId w:val="13"/>
  </w:num>
  <w:num w:numId="30">
    <w:abstractNumId w:val="43"/>
  </w:num>
  <w:num w:numId="31">
    <w:abstractNumId w:val="9"/>
  </w:num>
  <w:num w:numId="32">
    <w:abstractNumId w:val="47"/>
  </w:num>
  <w:num w:numId="33">
    <w:abstractNumId w:val="59"/>
  </w:num>
  <w:num w:numId="34">
    <w:abstractNumId w:val="50"/>
  </w:num>
  <w:num w:numId="35">
    <w:abstractNumId w:val="23"/>
  </w:num>
  <w:num w:numId="36">
    <w:abstractNumId w:val="11"/>
  </w:num>
  <w:num w:numId="37">
    <w:abstractNumId w:val="69"/>
  </w:num>
  <w:num w:numId="38">
    <w:abstractNumId w:val="55"/>
  </w:num>
  <w:num w:numId="39">
    <w:abstractNumId w:val="20"/>
  </w:num>
  <w:num w:numId="40">
    <w:abstractNumId w:val="36"/>
  </w:num>
  <w:num w:numId="41">
    <w:abstractNumId w:val="52"/>
  </w:num>
  <w:num w:numId="42">
    <w:abstractNumId w:val="84"/>
  </w:num>
  <w:num w:numId="43">
    <w:abstractNumId w:val="83"/>
  </w:num>
  <w:num w:numId="44">
    <w:abstractNumId w:val="57"/>
  </w:num>
  <w:num w:numId="45">
    <w:abstractNumId w:val="21"/>
  </w:num>
  <w:num w:numId="46">
    <w:abstractNumId w:val="16"/>
  </w:num>
  <w:num w:numId="47">
    <w:abstractNumId w:val="68"/>
  </w:num>
  <w:num w:numId="48">
    <w:abstractNumId w:val="17"/>
  </w:num>
  <w:num w:numId="49">
    <w:abstractNumId w:val="34"/>
  </w:num>
  <w:num w:numId="50">
    <w:abstractNumId w:val="38"/>
  </w:num>
  <w:num w:numId="51">
    <w:abstractNumId w:val="81"/>
  </w:num>
  <w:num w:numId="52">
    <w:abstractNumId w:val="53"/>
  </w:num>
  <w:num w:numId="53">
    <w:abstractNumId w:val="54"/>
  </w:num>
  <w:num w:numId="54">
    <w:abstractNumId w:val="14"/>
  </w:num>
  <w:num w:numId="55">
    <w:abstractNumId w:val="78"/>
  </w:num>
  <w:num w:numId="56">
    <w:abstractNumId w:val="63"/>
  </w:num>
  <w:num w:numId="57">
    <w:abstractNumId w:val="4"/>
  </w:num>
  <w:num w:numId="58">
    <w:abstractNumId w:val="44"/>
  </w:num>
  <w:num w:numId="59">
    <w:abstractNumId w:val="74"/>
  </w:num>
  <w:num w:numId="60">
    <w:abstractNumId w:val="37"/>
  </w:num>
  <w:num w:numId="61">
    <w:abstractNumId w:val="12"/>
  </w:num>
  <w:num w:numId="62">
    <w:abstractNumId w:val="51"/>
  </w:num>
  <w:num w:numId="63">
    <w:abstractNumId w:val="80"/>
  </w:num>
  <w:num w:numId="64">
    <w:abstractNumId w:val="18"/>
  </w:num>
  <w:num w:numId="65">
    <w:abstractNumId w:val="76"/>
  </w:num>
  <w:num w:numId="66">
    <w:abstractNumId w:val="56"/>
  </w:num>
  <w:num w:numId="67">
    <w:abstractNumId w:val="72"/>
  </w:num>
  <w:num w:numId="68">
    <w:abstractNumId w:val="33"/>
  </w:num>
  <w:num w:numId="69">
    <w:abstractNumId w:val="71"/>
  </w:num>
  <w:num w:numId="70">
    <w:abstractNumId w:val="42"/>
  </w:num>
  <w:num w:numId="71">
    <w:abstractNumId w:val="61"/>
  </w:num>
  <w:num w:numId="72">
    <w:abstractNumId w:val="24"/>
  </w:num>
  <w:num w:numId="73">
    <w:abstractNumId w:val="26"/>
  </w:num>
  <w:num w:numId="74">
    <w:abstractNumId w:val="58"/>
  </w:num>
  <w:num w:numId="75">
    <w:abstractNumId w:val="29"/>
  </w:num>
  <w:num w:numId="76">
    <w:abstractNumId w:val="40"/>
  </w:num>
  <w:num w:numId="77">
    <w:abstractNumId w:val="85"/>
  </w:num>
  <w:num w:numId="78">
    <w:abstractNumId w:val="32"/>
  </w:num>
  <w:num w:numId="79">
    <w:abstractNumId w:val="27"/>
  </w:num>
  <w:num w:numId="80">
    <w:abstractNumId w:val="66"/>
  </w:num>
  <w:num w:numId="81">
    <w:abstractNumId w:val="75"/>
  </w:num>
  <w:num w:numId="82">
    <w:abstractNumId w:val="35"/>
  </w:num>
  <w:num w:numId="83">
    <w:abstractNumId w:val="30"/>
  </w:num>
  <w:num w:numId="84">
    <w:abstractNumId w:val="73"/>
  </w:num>
  <w:num w:numId="85">
    <w:abstractNumId w:val="45"/>
  </w:num>
  <w:num w:numId="86">
    <w:abstractNumId w:val="31"/>
  </w:num>
  <w:num w:numId="87">
    <w:abstractNumId w:val="46"/>
  </w:num>
  <w:num w:numId="88">
    <w:abstractNumId w:val="2"/>
  </w:num>
  <w:num w:numId="89">
    <w:abstractNumId w:val="0"/>
  </w:num>
  <w:num w:numId="90">
    <w:abstractNumId w:val="3"/>
  </w:num>
  <w:num w:numId="91">
    <w:abstractNumId w:val="6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56B6F"/>
    <w:rsid w:val="000660CD"/>
    <w:rsid w:val="00085E25"/>
    <w:rsid w:val="000970B0"/>
    <w:rsid w:val="000A2AE2"/>
    <w:rsid w:val="000A7291"/>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2D7E"/>
    <w:rsid w:val="00343668"/>
    <w:rsid w:val="00347AEC"/>
    <w:rsid w:val="00393097"/>
    <w:rsid w:val="003A35E6"/>
    <w:rsid w:val="003B0F2D"/>
    <w:rsid w:val="003B5E3F"/>
    <w:rsid w:val="003C7C73"/>
    <w:rsid w:val="003D505E"/>
    <w:rsid w:val="003F3033"/>
    <w:rsid w:val="004405A8"/>
    <w:rsid w:val="00466F21"/>
    <w:rsid w:val="004815F7"/>
    <w:rsid w:val="00484803"/>
    <w:rsid w:val="00490B4E"/>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17F82"/>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7C6"/>
    <w:rsid w:val="00A13EC4"/>
    <w:rsid w:val="00A24C24"/>
    <w:rsid w:val="00A32A5C"/>
    <w:rsid w:val="00A35E76"/>
    <w:rsid w:val="00A47F48"/>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35B0C"/>
    <w:rsid w:val="00D5528E"/>
    <w:rsid w:val="00D67026"/>
    <w:rsid w:val="00D720ED"/>
    <w:rsid w:val="00D74B84"/>
    <w:rsid w:val="00D763DB"/>
    <w:rsid w:val="00D821B0"/>
    <w:rsid w:val="00DB2D34"/>
    <w:rsid w:val="00DB5473"/>
    <w:rsid w:val="00DC56E9"/>
    <w:rsid w:val="00DD367A"/>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5243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12"/>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3"/>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l-P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pl-PL"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l-PL" w:eastAsia="en-US"/>
    </w:rPr>
  </w:style>
  <w:style w:type="character" w:customStyle="1" w:styleId="Heading2Char">
    <w:name w:val="Heading 2 Char"/>
    <w:link w:val="Heading2"/>
    <w:rsid w:val="005100D0"/>
    <w:rPr>
      <w:rFonts w:ascii="Cambria" w:hAnsi="Cambria"/>
      <w:b/>
      <w:bCs/>
      <w:color w:val="4F81BD"/>
      <w:sz w:val="26"/>
      <w:szCs w:val="26"/>
      <w:lang w:val="pl-PL" w:eastAsia="en-US"/>
    </w:rPr>
  </w:style>
  <w:style w:type="character" w:customStyle="1" w:styleId="Heading3Char">
    <w:name w:val="Heading 3 Char"/>
    <w:link w:val="Heading3"/>
    <w:rsid w:val="005100D0"/>
    <w:rPr>
      <w:rFonts w:ascii="Cambria" w:hAnsi="Cambria"/>
      <w:b/>
      <w:bCs/>
      <w:color w:val="4F81BD"/>
      <w:sz w:val="22"/>
      <w:szCs w:val="22"/>
      <w:lang w:val="pl-PL" w:eastAsia="en-US"/>
    </w:rPr>
  </w:style>
  <w:style w:type="character" w:customStyle="1" w:styleId="Heading4Char">
    <w:name w:val="Heading 4 Char"/>
    <w:link w:val="Heading4"/>
    <w:rsid w:val="005100D0"/>
    <w:rPr>
      <w:rFonts w:ascii="Cambria" w:hAnsi="Cambria"/>
      <w:b/>
      <w:bCs/>
      <w:i/>
      <w:iCs/>
      <w:color w:val="4F81BD"/>
      <w:sz w:val="22"/>
      <w:szCs w:val="22"/>
      <w:lang w:val="pl-PL" w:eastAsia="en-US"/>
    </w:rPr>
  </w:style>
  <w:style w:type="character" w:customStyle="1" w:styleId="Heading5Char">
    <w:name w:val="Heading 5 Char"/>
    <w:link w:val="Heading5"/>
    <w:rsid w:val="005100D0"/>
    <w:rPr>
      <w:rFonts w:ascii="Cambria" w:hAnsi="Cambria"/>
      <w:color w:val="243F60"/>
      <w:sz w:val="22"/>
      <w:szCs w:val="22"/>
      <w:lang w:val="pl-PL" w:eastAsia="en-US"/>
    </w:rPr>
  </w:style>
  <w:style w:type="character" w:customStyle="1" w:styleId="Heading6Char">
    <w:name w:val="Heading 6 Char"/>
    <w:link w:val="Heading6"/>
    <w:rsid w:val="005100D0"/>
    <w:rPr>
      <w:rFonts w:ascii="Cambria" w:hAnsi="Cambria"/>
      <w:i/>
      <w:iCs/>
      <w:color w:val="243F60"/>
      <w:sz w:val="22"/>
      <w:szCs w:val="22"/>
      <w:lang w:val="pl-PL" w:eastAsia="en-US"/>
    </w:rPr>
  </w:style>
  <w:style w:type="character" w:customStyle="1" w:styleId="Heading7Char">
    <w:name w:val="Heading 7 Char"/>
    <w:link w:val="Heading7"/>
    <w:rsid w:val="005100D0"/>
    <w:rPr>
      <w:rFonts w:ascii="Cambria" w:hAnsi="Cambria"/>
      <w:i/>
      <w:iCs/>
      <w:color w:val="404040"/>
      <w:sz w:val="22"/>
      <w:szCs w:val="22"/>
      <w:lang w:val="pl-PL"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l-PL"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l-PL"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l-PL"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pl-PL"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l-PL"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l-PL"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7"/>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7"/>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7"/>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7"/>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7"/>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17"/>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7"/>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7"/>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7"/>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E91B7E-1431-4662-87B9-1E21A6ABF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35565</Words>
  <Characters>240208</Characters>
  <Application>Microsoft Office Word</Application>
  <DocSecurity>0</DocSecurity>
  <Lines>4619</Lines>
  <Paragraphs>1319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2020-01-27T11:36:00Z</dcterms:modified>
</cp:coreProperties>
</file>