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C07713" w14:textId="316E0202" w:rsidR="00B75FF4" w:rsidRPr="00DA1A23" w:rsidRDefault="009C5417" w:rsidP="00DA1A23">
      <w:pPr>
        <w:pStyle w:val="Pagedecouverture"/>
      </w:pPr>
      <w:bookmarkStart w:id="0" w:name="_GoBack"/>
      <w:bookmarkEnd w:id="0"/>
      <w:r>
        <w:pict w14:anchorId="6719FF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52266683-A46A-415F-A8CC-539A015D3334" style="width:450.5pt;height:395.5pt">
            <v:imagedata r:id="rId8" o:title=""/>
          </v:shape>
        </w:pict>
      </w:r>
    </w:p>
    <w:p w14:paraId="7EA50C89" w14:textId="77777777" w:rsidR="00B75FF4" w:rsidRPr="00DA1A23" w:rsidRDefault="00B75FF4">
      <w:pPr>
        <w:sectPr w:rsidR="00B75FF4" w:rsidRPr="00DA1A23" w:rsidSect="00AB70ED">
          <w:headerReference w:type="even" r:id="rId9"/>
          <w:headerReference w:type="default" r:id="rId10"/>
          <w:footerReference w:type="even" r:id="rId11"/>
          <w:footerReference w:type="default" r:id="rId12"/>
          <w:headerReference w:type="first" r:id="rId13"/>
          <w:footerReference w:type="first" r:id="rId14"/>
          <w:pgSz w:w="11907" w:h="16839"/>
          <w:pgMar w:top="1134" w:right="1417" w:bottom="1134" w:left="1417" w:header="709" w:footer="709" w:gutter="0"/>
          <w:pgNumType w:start="0"/>
          <w:cols w:space="720"/>
          <w:docGrid w:linePitch="360"/>
        </w:sectPr>
      </w:pPr>
    </w:p>
    <w:p w14:paraId="1CDECEB2" w14:textId="0475668A" w:rsidR="00B75FF4" w:rsidRPr="00DA1A23" w:rsidRDefault="00DA1A23" w:rsidP="00DA1A23">
      <w:pPr>
        <w:pStyle w:val="Typedudocument"/>
      </w:pPr>
      <w:r w:rsidRPr="00DA1A23">
        <w:lastRenderedPageBreak/>
        <w:t>KOMISIJAS ĪSTENOŠANAS REGULA (ES) …/..</w:t>
      </w:r>
    </w:p>
    <w:p w14:paraId="2AAC3DEF" w14:textId="107C0A0C" w:rsidR="00B75FF4" w:rsidRPr="00DA1A23" w:rsidRDefault="00DA1A23" w:rsidP="00DA1A23">
      <w:pPr>
        <w:pStyle w:val="Datedadoption"/>
        <w:rPr>
          <w:rStyle w:val="Marker2"/>
        </w:rPr>
      </w:pPr>
      <w:r w:rsidRPr="00DA1A23">
        <w:t>(</w:t>
      </w:r>
      <w:r w:rsidRPr="00DA1A23">
        <w:rPr>
          <w:rStyle w:val="Marker2"/>
        </w:rPr>
        <w:t>XXX</w:t>
      </w:r>
      <w:r w:rsidRPr="00DA1A23">
        <w:t>),</w:t>
      </w:r>
    </w:p>
    <w:p w14:paraId="2CD0C74D" w14:textId="57EDC4DD" w:rsidR="00B75FF4" w:rsidRPr="00DA1A23" w:rsidRDefault="00DA1A23" w:rsidP="00DA1A23">
      <w:pPr>
        <w:pStyle w:val="Titreobjet"/>
      </w:pPr>
      <w:r w:rsidRPr="00DA1A23">
        <w:t>ar kuru groza Īstenošanas regulu (ES) Nr. 680/2014, ar ko nosaka īstenošanas tehniskos standartus attiecībā uz iestāžu sniegtajiem uzraudzības pārskatiem saskaņā ar Eiropas Parlamenta un Padomes Regulu (ES) Nr. 575/2013</w:t>
      </w:r>
    </w:p>
    <w:p w14:paraId="607AA7C4" w14:textId="54044992" w:rsidR="00B75FF4" w:rsidRPr="00DA1A23" w:rsidRDefault="00DA1A23" w:rsidP="00DA1A23">
      <w:pPr>
        <w:pStyle w:val="IntrtEEE"/>
      </w:pPr>
      <w:r w:rsidRPr="00DA1A23">
        <w:t>(Dokuments attiecas uz EEZ)</w:t>
      </w:r>
    </w:p>
    <w:p w14:paraId="5C82FF64" w14:textId="77777777" w:rsidR="00B75FF4" w:rsidRPr="00DA1A23" w:rsidRDefault="001B445C">
      <w:pPr>
        <w:pStyle w:val="Institutionquiagit"/>
      </w:pPr>
      <w:r w:rsidRPr="00DA1A23">
        <w:t>EIROPAS KOMISIJA,</w:t>
      </w:r>
    </w:p>
    <w:p w14:paraId="288C7C77" w14:textId="77777777" w:rsidR="00B75FF4" w:rsidRPr="00DA1A23" w:rsidRDefault="001B445C">
      <w:r w:rsidRPr="00DA1A23">
        <w:t>ņemot vērā Līgumu par Eiropas Savienības darbību,</w:t>
      </w:r>
    </w:p>
    <w:p w14:paraId="308FB29B" w14:textId="2835F500" w:rsidR="00B75FF4" w:rsidRPr="00DA1A23" w:rsidRDefault="001B445C">
      <w:r w:rsidRPr="00DA1A23">
        <w:t>ņemot vērā Eiropas Parlamenta un Padomes Regulu (ES) Nr. 575/2013 (2013. gada 26. jūnijs) par prudenciālajām prasībām attiecībā uz kredītiestādēm un ieguldījumu brokeru sabiedrībām, un ar ko groza Regulu (ES) Nr. 648/2012</w:t>
      </w:r>
      <w:r w:rsidRPr="00DA1A23">
        <w:rPr>
          <w:rStyle w:val="FootnoteReference"/>
        </w:rPr>
        <w:footnoteReference w:id="1"/>
      </w:r>
      <w:r w:rsidRPr="00DA1A23">
        <w:t>, un jo īpaši tās 99. panta 5. punktu,</w:t>
      </w:r>
    </w:p>
    <w:p w14:paraId="13C3A1D4" w14:textId="77777777" w:rsidR="00B75FF4" w:rsidRPr="00DA1A23" w:rsidRDefault="001B445C">
      <w:r w:rsidRPr="00DA1A23">
        <w:t>tā kā:</w:t>
      </w:r>
    </w:p>
    <w:p w14:paraId="5323FA5C" w14:textId="6D899A74" w:rsidR="00B75FF4" w:rsidRPr="00DA1A23" w:rsidRDefault="001B445C">
      <w:pPr>
        <w:pStyle w:val="Considrant"/>
        <w:numPr>
          <w:ilvl w:val="0"/>
          <w:numId w:val="10"/>
        </w:numPr>
      </w:pPr>
      <w:r w:rsidRPr="00DA1A23">
        <w:t>Komisijas Īstenošanas regulā (ES) Nr. 680/2014</w:t>
      </w:r>
      <w:r w:rsidRPr="00DA1A23">
        <w:rPr>
          <w:rStyle w:val="FootnoteReference"/>
        </w:rPr>
        <w:footnoteReference w:id="2"/>
      </w:r>
      <w:r w:rsidRPr="00DA1A23">
        <w:t xml:space="preserve"> ir noteiktas vienotas prasības iestādēm attiecībā uz uzraudzības pārskatu sniegšanu kompetentajām iestādēm Regulas (ES) Nr. 575/2013 99. un 100. panta, 101. panta 4. punkta a) apakšpunkta, 394. panta 1. punkta un 415. un 430. panta nolūkos.</w:t>
      </w:r>
    </w:p>
    <w:p w14:paraId="26488C0A" w14:textId="7104C3B3" w:rsidR="00B75FF4" w:rsidRPr="00DA1A23" w:rsidRDefault="00EA64E6">
      <w:pPr>
        <w:pStyle w:val="Considrant"/>
      </w:pPr>
      <w:r w:rsidRPr="00DA1A23">
        <w:t>Ar Eiropas Parlamenta un Padomes Regulu (ES) Nr. 2017/2402</w:t>
      </w:r>
      <w:r w:rsidRPr="00DA1A23">
        <w:rPr>
          <w:rStyle w:val="FootnoteReference"/>
        </w:rPr>
        <w:footnoteReference w:id="3"/>
      </w:r>
      <w:r w:rsidRPr="00DA1A23">
        <w:t xml:space="preserve"> tika izveidota jauna vērtspapīrošanas sistēma, tostarp īpašs regulējums attiecībā uz vienkāršiem, pārredzamiem un standartizētiem (VPS ) </w:t>
      </w:r>
      <w:r w:rsidRPr="00DA1A23">
        <w:tab/>
        <w:t>vērtspapīrošanas darījumiem. Ar to tika piešķirts preferenciāls režīms VPS vērtspapīrošanai un atsevišķiem MVU sintētiskās vērtspapīrošanas darījumiem, kā arī noteikts regulējums, kas ietver attiecībā uz risku labāk reaģējošu regulatīvo režīmu, ko piemēro ar vērtspapīrošanu saistītiem riska darījumiem. Lai iekļautu ziņošanu par vērtspapīrošanas pozīcijām, uz kurām attiecas šis jaunais vērtspapīrošanas regulējums, ir jāgroza Īstenošanas regula (ES) Nr. 680/2014.</w:t>
      </w:r>
    </w:p>
    <w:p w14:paraId="483135B2" w14:textId="65B6C67D" w:rsidR="00B75FF4" w:rsidRPr="00DA1A23" w:rsidRDefault="00D913C8">
      <w:pPr>
        <w:pStyle w:val="Considrant"/>
      </w:pPr>
      <w:r w:rsidRPr="00DA1A23">
        <w:t>Komisijas Regula (EK) Nr. 1126/2008</w:t>
      </w:r>
      <w:r w:rsidRPr="00DA1A23">
        <w:rPr>
          <w:rStyle w:val="FootnoteReference"/>
        </w:rPr>
        <w:footnoteReference w:id="4"/>
      </w:r>
      <w:r w:rsidRPr="00DA1A23">
        <w:t xml:space="preserve"> tika grozīta ar Komisijas Regulu (ES) Nr. 2017/1986</w:t>
      </w:r>
      <w:r w:rsidRPr="00DA1A23">
        <w:rPr>
          <w:rStyle w:val="FootnoteReference"/>
        </w:rPr>
        <w:footnoteReference w:id="5"/>
      </w:r>
      <w:r w:rsidRPr="00DA1A23">
        <w:t>, lai minēto regulu saskaņotu ar 16. </w:t>
      </w:r>
      <w:r w:rsidRPr="00DA1A23">
        <w:rPr>
          <w:color w:val="444444"/>
        </w:rPr>
        <w:t>Starptautisko</w:t>
      </w:r>
      <w:r w:rsidRPr="00DA1A23">
        <w:t xml:space="preserve"> finanšu pārskatu </w:t>
      </w:r>
      <w:r w:rsidRPr="00DA1A23">
        <w:lastRenderedPageBreak/>
        <w:t>standartu (SFPS) – “Noma”–, ko Starptautisko grāmatvedības standartu padome (</w:t>
      </w:r>
      <w:r w:rsidRPr="00DA1A23">
        <w:rPr>
          <w:i/>
        </w:rPr>
        <w:t>IASB</w:t>
      </w:r>
      <w:r w:rsidRPr="00DA1A23">
        <w:t>) publicēja 2016. gada 13. janvārī. Lai atspoguļotu minētos grozījumus, tagad jāveic grozījumi arī Īstenošanas regulā (ES) Nr. 680/2014.</w:t>
      </w:r>
    </w:p>
    <w:p w14:paraId="22E5D43E" w14:textId="77777777" w:rsidR="00B75FF4" w:rsidRPr="00DA1A23" w:rsidRDefault="00EE58F1">
      <w:pPr>
        <w:pStyle w:val="Considrant"/>
        <w:rPr>
          <w:color w:val="000000"/>
        </w:rPr>
      </w:pPr>
      <w:r w:rsidRPr="00DA1A23">
        <w:t>Kompetentajām iestādēm būtu jāspēj efektīvi uzraudzīt un novērtēt iestāžu riska profilu un gūt priekšstatu par riskiem, kuri apdraud finanšu nozari. Augstais ieņēmumus nenesošo riska darījumu līmenis ietekmē iestāžu riska profilu, rentabilitāti un maksātspēju, galu galā ietekmējot aizdošanas spējas ekonomikai kopumā. Tādēļ pārskatu sniegšanas prasības būtu jāpārskata, lai stiprinātu kompetento iestāžu spēju novērtēt un uzraudzīt ieņēmumus nenesošus riska darījumus, regulāri apkopojot detalizētāku informāciju par šiem riska darījumiem un novēršot konstatētos datu trūkumus.</w:t>
      </w:r>
    </w:p>
    <w:p w14:paraId="660C1B8C" w14:textId="77777777" w:rsidR="00B75FF4" w:rsidRPr="00DA1A23" w:rsidRDefault="00F95996">
      <w:pPr>
        <w:pStyle w:val="Considrant"/>
        <w:rPr>
          <w:color w:val="000000"/>
        </w:rPr>
      </w:pPr>
      <w:r w:rsidRPr="00DA1A23">
        <w:t>Turklāt iestāžu izdevumu struktūra un apmērs būtiski ietekmē iestāžu uzņēmējdarbības modeļu rentabilitāti un ilgtspēju. Lai kompetentās iestādes varētu gūt dziļāku ieskatu par šiem izdevumiem, būtu jāuzlabo pārskatu sniegšanas sistēma.</w:t>
      </w:r>
    </w:p>
    <w:p w14:paraId="7989BF92" w14:textId="77777777" w:rsidR="00B75FF4" w:rsidRPr="00DA1A23" w:rsidRDefault="00EA64E6">
      <w:pPr>
        <w:pStyle w:val="Considrant"/>
      </w:pPr>
      <w:r w:rsidRPr="00DA1A23">
        <w:t>Komisijas Deleģētā regula (ES) Nr. 2015/61</w:t>
      </w:r>
      <w:r w:rsidRPr="00DA1A23">
        <w:rPr>
          <w:rStyle w:val="FootnoteReference"/>
        </w:rPr>
        <w:footnoteReference w:id="6"/>
      </w:r>
      <w:r w:rsidRPr="00DA1A23">
        <w:t xml:space="preserve"> tika grozīta ar Komisijas Deleģēto regulu (ES) 2018/1620</w:t>
      </w:r>
      <w:r w:rsidRPr="00DA1A23">
        <w:rPr>
          <w:rStyle w:val="FootnoteReference"/>
        </w:rPr>
        <w:footnoteReference w:id="7"/>
      </w:r>
      <w:r w:rsidRPr="00DA1A23">
        <w:t xml:space="preserve">, </w:t>
      </w:r>
      <w:r w:rsidRPr="00DA1A23">
        <w:rPr>
          <w:color w:val="444444"/>
        </w:rPr>
        <w:t xml:space="preserve">lai uzlabotu saskaņotību ar starptautiskajiem standartiem un veicinātu efektīvāku likviditātes pārvaldību, ko veic kredītiestādes. </w:t>
      </w:r>
      <w:r w:rsidRPr="00DA1A23">
        <w:t>Tāpat Īstenošanas regula (ES) Nr. 680/2014 būtu jāgroza, lai minētos grozījumus atspoguļotu kredītiestādēm piemērojamo likviditātes seguma prasību ziņošanas sistēmā.</w:t>
      </w:r>
    </w:p>
    <w:p w14:paraId="34872B97" w14:textId="77777777" w:rsidR="00B75FF4" w:rsidRPr="00DA1A23" w:rsidRDefault="003F04FB">
      <w:pPr>
        <w:pStyle w:val="Considrant"/>
      </w:pPr>
      <w:r w:rsidRPr="00DA1A23">
        <w:t>Turklāt būtu jāpārskata arī Īstenošanas regulas (ES) Nr. 680/2014 veidnes un norādījumi, lai atkārtoti izvērtētu veidnēs un instrukcijās iekļauto izziņas posteņu ērtības un piemērotību minētās regulas īstenošanas pirmajos gados, kā arī lai labotu drukas kļūdas, kļūdainas atsauces un formatējuma nekonsekvenci, kas tika atklātas, piemērojot minēto regulu.</w:t>
      </w:r>
    </w:p>
    <w:p w14:paraId="40A01AE5" w14:textId="2D34CFE5" w:rsidR="00B75FF4" w:rsidRPr="00DA1A23" w:rsidRDefault="00B31B60">
      <w:pPr>
        <w:pStyle w:val="Considrant"/>
      </w:pPr>
      <w:r w:rsidRPr="00DA1A23">
        <w:t xml:space="preserve">Kompetentajām iestādēm vajadzētu būt iespējai pēc iespējas drīzāk saņemt informāciju no iestādēm, izmantojot veidnes, kuras grozītas ar šo īstenošanas regulu, lai tās varētu efektīvi īstenot savas uzraudzības funkcijas. Savienības jaunais vērtspapīrošanas regulējums kļūst pilnībā piemērojams 2020. gada 1. janvārī pēc pārejas noteikumu termiņa beigām. Tādējādi šajā īstenošanas regulā izklāstītās pārskatītās pārskatu sniegšanas prasības par pašu kapitālu un pašu kapitāla prasībām būtu jāpiemēro no 2020. gada 30. marta. Lai iestādēm un kompetentajām iestādēm būtu pietiekami daudz laika īstenot pārskatītās ziņošanas prasības attiecībā uz ieņēmumus nenesošiem riska darījumiem, pārādsaistībām, uz kurām attiecas pārskatīšanas pasākumi, pamatdarbībām un administratīvajiem izdevumiem un finanšu informāciju, kuras izklāstītas šīs īstenošanas regulas III līdz V pielikumā, minētās pārskatītās ziņošanas prasības būtu jāpiemēro no 2020. gada 1. jūnija. Visbeidzot, ņemot vērā grozījumus, kuri izdarīti ar Deleģēto regulu (ES) 2018/1620, ko piemēro no 2019. gada 30. aprīļa, šīs īstenošanas regulas noteikumi par pārskatu sniegšanu attiecībā uz likviditāti būtu jāpiemēro no 2020. gada 1. aprīļa. </w:t>
      </w:r>
    </w:p>
    <w:p w14:paraId="59349144" w14:textId="77777777" w:rsidR="00B75FF4" w:rsidRPr="00DA1A23" w:rsidRDefault="001B445C">
      <w:pPr>
        <w:pStyle w:val="Considrant"/>
        <w:rPr>
          <w:color w:val="000000"/>
        </w:rPr>
      </w:pPr>
      <w:r w:rsidRPr="00DA1A23">
        <w:t>Šīs regulas pamatā ir īstenošanas tehnisko standartu projekts, ko Komisijai iesniegusi Eiropas Banku iestāde (EBI).</w:t>
      </w:r>
    </w:p>
    <w:p w14:paraId="50B5C1E2" w14:textId="77777777" w:rsidR="00B75FF4" w:rsidRPr="00DA1A23" w:rsidRDefault="001B445C">
      <w:pPr>
        <w:pStyle w:val="Considrant"/>
        <w:rPr>
          <w:color w:val="000000"/>
        </w:rPr>
      </w:pPr>
      <w:r w:rsidRPr="00DA1A23">
        <w:t>EBI ir veikusi atklātas sabiedriskās apspriešanās par īstenošanas tehnisko standartu projektu, kas ir šīs regulas pamatā, analizējusi potenciālās saistītās izmaksas un ieguvumus un pieprasījusi atzinumu no Banku nozares ieinteresēto personu grupas, kura izveidota saskaņā ar Eiropas Parlamenta un Padomes Regulas (ES) Nr. 1093/2010</w:t>
      </w:r>
      <w:r w:rsidRPr="00DA1A23">
        <w:rPr>
          <w:rStyle w:val="FootnoteReference"/>
        </w:rPr>
        <w:footnoteReference w:id="8"/>
      </w:r>
      <w:r w:rsidRPr="00DA1A23">
        <w:t xml:space="preserve"> 37. pantu. Saskaņā ar minētās regulas 15. panta 1. punkta otro daļu EBI par īstenošanas tehnisko standartu projekta daļām, uz kurām balstīta šī regula, nav veikusi atklātu sabiedrisko apspriešanu, kas ir vai nu redakcionāla rakstura, vai ietver tikai ierobežotu vienību skaitu uzraudzības pārskatu sniegšanas sistēmā. Šāda apspriešanās būtu nesamērīga attiecībā pret attiecīgo īstenošanas tehnisko standartu projekta darbības jomu un ietekmi.</w:t>
      </w:r>
    </w:p>
    <w:p w14:paraId="67DBCF52" w14:textId="77777777" w:rsidR="00B75FF4" w:rsidRPr="00DA1A23" w:rsidRDefault="001B445C">
      <w:pPr>
        <w:pStyle w:val="Considrant"/>
        <w:rPr>
          <w:color w:val="000000"/>
        </w:rPr>
      </w:pPr>
      <w:r w:rsidRPr="00DA1A23">
        <w:t>Tādēļ Īstenošanas regula (ES) Nr. 680/2014 būtu attiecīgi jāgroza,</w:t>
      </w:r>
    </w:p>
    <w:p w14:paraId="76AD5CEB" w14:textId="77777777" w:rsidR="00B75FF4" w:rsidRPr="00DA1A23" w:rsidRDefault="001B445C">
      <w:pPr>
        <w:pStyle w:val="Formuledadoption"/>
      </w:pPr>
      <w:r w:rsidRPr="00DA1A23">
        <w:t>IR PIEŅĒMUSI ŠO REGULU.</w:t>
      </w:r>
    </w:p>
    <w:p w14:paraId="73D2A54B" w14:textId="77777777" w:rsidR="00B75FF4" w:rsidRPr="00DA1A23" w:rsidRDefault="001B445C">
      <w:pPr>
        <w:pStyle w:val="Titrearticle"/>
        <w:keepLines/>
        <w:rPr>
          <w:color w:val="000000"/>
          <w:szCs w:val="24"/>
        </w:rPr>
      </w:pPr>
      <w:r w:rsidRPr="00DA1A23">
        <w:t>1. pants</w:t>
      </w:r>
    </w:p>
    <w:p w14:paraId="731C2D3F" w14:textId="59043673" w:rsidR="00B75FF4" w:rsidRPr="00DA1A23" w:rsidRDefault="001B445C">
      <w:pPr>
        <w:rPr>
          <w:szCs w:val="24"/>
        </w:rPr>
      </w:pPr>
      <w:r w:rsidRPr="00DA1A23">
        <w:t>Īstenošanas regulu (ES) Nr. 680/2014 groza šādi.</w:t>
      </w:r>
    </w:p>
    <w:p w14:paraId="1B00C599" w14:textId="77777777" w:rsidR="00B75FF4" w:rsidRPr="00DA1A23" w:rsidRDefault="00C63439">
      <w:pPr>
        <w:pStyle w:val="Point0number"/>
        <w:numPr>
          <w:ilvl w:val="0"/>
          <w:numId w:val="12"/>
        </w:numPr>
      </w:pPr>
      <w:r w:rsidRPr="00DA1A23">
        <w:t>Regulas 5. pantu groza šādi:</w:t>
      </w:r>
    </w:p>
    <w:p w14:paraId="07A92DDE" w14:textId="77777777" w:rsidR="00B75FF4" w:rsidRPr="00DA1A23" w:rsidRDefault="00C63439">
      <w:pPr>
        <w:pStyle w:val="Point1letter"/>
        <w:numPr>
          <w:ilvl w:val="3"/>
          <w:numId w:val="11"/>
        </w:numPr>
      </w:pPr>
      <w:r w:rsidRPr="00DA1A23">
        <w:t>panta a) punktu groza šādi:</w:t>
      </w:r>
    </w:p>
    <w:p w14:paraId="0051425E" w14:textId="77777777" w:rsidR="00B75FF4" w:rsidRPr="00DA1A23" w:rsidRDefault="00294A2C">
      <w:pPr>
        <w:pStyle w:val="Text2"/>
      </w:pPr>
      <w:r w:rsidRPr="00DA1A23">
        <w:t>i)</w:t>
      </w:r>
      <w:r w:rsidRPr="00DA1A23">
        <w:tab/>
        <w:t>punkta 7) apakšpunktu svītro;</w:t>
      </w:r>
    </w:p>
    <w:p w14:paraId="486BC3C6" w14:textId="77777777" w:rsidR="00B75FF4" w:rsidRPr="00DA1A23" w:rsidRDefault="00294A2C">
      <w:pPr>
        <w:pStyle w:val="Text2"/>
      </w:pPr>
      <w:r w:rsidRPr="00DA1A23">
        <w:t>ii)</w:t>
      </w:r>
      <w:r w:rsidRPr="00DA1A23">
        <w:tab/>
        <w:t>punkta 8) apakšpunktu aizstāj ar šādu:</w:t>
      </w:r>
    </w:p>
    <w:p w14:paraId="6942628A" w14:textId="77777777" w:rsidR="00B75FF4" w:rsidRPr="00DA1A23" w:rsidRDefault="00294A2C">
      <w:pPr>
        <w:pStyle w:val="Text1"/>
        <w:ind w:left="2268" w:right="568" w:hanging="567"/>
        <w:rPr>
          <w:szCs w:val="24"/>
        </w:rPr>
      </w:pPr>
      <w:r w:rsidRPr="00DA1A23">
        <w:t>“8)</w:t>
      </w:r>
      <w:r w:rsidRPr="00DA1A23">
        <w:tab/>
        <w:t>informāciju par vērtspapīrošanas riska darījumiem, kuri precizēti I pielikuma 13.01. veidnē, ievērojot norādes II pielikuma II daļas 3.7. punktā.”;</w:t>
      </w:r>
    </w:p>
    <w:p w14:paraId="32CB27AB" w14:textId="77777777" w:rsidR="00B75FF4" w:rsidRPr="00DA1A23" w:rsidRDefault="00D63710">
      <w:pPr>
        <w:pStyle w:val="Point1letter"/>
      </w:pPr>
      <w:r w:rsidRPr="00DA1A23">
        <w:t>b) punkta 1) apakšpunktu aizstāj ar šādu:</w:t>
      </w:r>
    </w:p>
    <w:p w14:paraId="2C729D6F" w14:textId="1DF29E03" w:rsidR="00B75FF4" w:rsidRPr="00DA1A23" w:rsidRDefault="00DC3927">
      <w:pPr>
        <w:pStyle w:val="Text1"/>
        <w:ind w:left="1701" w:right="568" w:hanging="567"/>
        <w:rPr>
          <w:szCs w:val="24"/>
        </w:rPr>
      </w:pPr>
      <w:r w:rsidRPr="00DA1A23">
        <w:t>“1)</w:t>
      </w:r>
      <w:r w:rsidRPr="00DA1A23">
        <w:tab/>
        <w:t>informāciju par visiem vērtspapīrošanas riska darījumiem, kā noteikts I pielikuma 14. un 14.01. veidnē, ievērojot norādes II pielikuma II daļas 3.9. punktā.</w:t>
      </w:r>
    </w:p>
    <w:p w14:paraId="36BD954D" w14:textId="62EBDF1E" w:rsidR="00B75FF4" w:rsidRPr="00DA1A23" w:rsidRDefault="002A096A">
      <w:pPr>
        <w:pStyle w:val="Text1"/>
        <w:ind w:left="1701" w:right="568"/>
        <w:rPr>
          <w:szCs w:val="24"/>
        </w:rPr>
      </w:pPr>
      <w:r w:rsidRPr="00DA1A23">
        <w:t>Iestādes tiek atbrīvotas no šīs vērtspapīrošanas informācijas iesniegšanas, ja tās ir daļa no grupas tajā pašā valstī, kurā uz tām attiecas pašu kapitāla prasības;”;</w:t>
      </w:r>
    </w:p>
    <w:p w14:paraId="22157E12" w14:textId="77777777" w:rsidR="00B75FF4" w:rsidRPr="00DA1A23" w:rsidRDefault="00DC3927">
      <w:r w:rsidRPr="00DA1A23">
        <w:t>2)</w:t>
      </w:r>
      <w:r w:rsidRPr="00DA1A23">
        <w:tab/>
        <w:t>regulas 9. panta 2. punktu groza šādi:</w:t>
      </w:r>
    </w:p>
    <w:p w14:paraId="2D923CE0" w14:textId="77777777" w:rsidR="00B75FF4" w:rsidRPr="00DA1A23" w:rsidRDefault="00C52F81">
      <w:pPr>
        <w:pStyle w:val="Text1"/>
      </w:pPr>
      <w:r w:rsidRPr="00DA1A23">
        <w:t>i)</w:t>
      </w:r>
      <w:r w:rsidRPr="00DA1A23">
        <w:tab/>
        <w:t>punkta c) apakšpunktu aizstāj ar šādu apakšpunktu:</w:t>
      </w:r>
    </w:p>
    <w:p w14:paraId="5E362A06" w14:textId="77777777" w:rsidR="00B75FF4" w:rsidRPr="00DA1A23" w:rsidRDefault="00DC3927">
      <w:pPr>
        <w:pStyle w:val="Text1"/>
        <w:ind w:left="1701" w:right="568" w:hanging="567"/>
        <w:rPr>
          <w:szCs w:val="24"/>
        </w:rPr>
      </w:pPr>
      <w:r w:rsidRPr="00DA1A23">
        <w:t>“c)</w:t>
      </w:r>
      <w:r w:rsidRPr="00DA1A23">
        <w:tab/>
        <w:t>informāciju, kas noteikta III pielikuma 4. daļā, izņemot informāciju, kas noteikta 47. veidnē, – reizi gadā;”;</w:t>
      </w:r>
    </w:p>
    <w:p w14:paraId="5EF72169" w14:textId="77777777" w:rsidR="00B75FF4" w:rsidRPr="00DA1A23" w:rsidRDefault="00C52F81">
      <w:pPr>
        <w:pStyle w:val="Text1"/>
      </w:pPr>
      <w:r w:rsidRPr="00DA1A23">
        <w:t>ii)</w:t>
      </w:r>
      <w:r w:rsidRPr="00DA1A23">
        <w:tab/>
        <w:t>pievieno šādus h) un i) apakšpunktus:</w:t>
      </w:r>
    </w:p>
    <w:p w14:paraId="49C9B54D" w14:textId="77777777" w:rsidR="00B75FF4" w:rsidRPr="00DA1A23" w:rsidRDefault="00C52F81">
      <w:pPr>
        <w:pStyle w:val="Text1"/>
        <w:ind w:left="1701" w:right="568" w:hanging="567"/>
        <w:rPr>
          <w:szCs w:val="24"/>
        </w:rPr>
      </w:pPr>
      <w:r w:rsidRPr="00DA1A23">
        <w:t>“h)</w:t>
      </w:r>
      <w:r w:rsidRPr="00DA1A23">
        <w:tab/>
        <w:t>informāciju, kas noteikta III pielikuma 2. daļas 23.-26. veidnē, ja ir izpildīti abi turpmāk minētie nosacījumi – reizi ceturksnī:</w:t>
      </w:r>
    </w:p>
    <w:p w14:paraId="5A3D23FC" w14:textId="77777777" w:rsidR="00B75FF4" w:rsidRPr="00DA1A23" w:rsidRDefault="001B445C">
      <w:pPr>
        <w:pStyle w:val="Text2"/>
        <w:ind w:left="2268" w:right="568" w:hanging="567"/>
        <w:rPr>
          <w:szCs w:val="24"/>
        </w:rPr>
      </w:pPr>
      <w:r w:rsidRPr="00DA1A23">
        <w:t>i)</w:t>
      </w:r>
      <w:r w:rsidRPr="00DA1A23">
        <w:tab/>
        <w:t>iestāde nav maza un nesarežģīta iestāde, kā definēts Regulas (ES) Nr. 575/2013 4. panta 1. punkta 145. apakšpunktā;</w:t>
      </w:r>
    </w:p>
    <w:p w14:paraId="769A72A7" w14:textId="7FA489CA" w:rsidR="00B75FF4" w:rsidRPr="00DA1A23" w:rsidRDefault="001B445C">
      <w:pPr>
        <w:pStyle w:val="Text2"/>
        <w:ind w:left="2268" w:right="568" w:hanging="567"/>
        <w:rPr>
          <w:szCs w:val="24"/>
        </w:rPr>
      </w:pPr>
      <w:r w:rsidRPr="00DA1A23">
        <w:t>ii)</w:t>
      </w:r>
      <w:r w:rsidRPr="00DA1A23">
        <w:tab/>
        <w:t>attiecība starp iestādes ieņēmumus nenesošo aizdevumu un avansu bruto uzskaites vērtību un to aizdevumu un avansu bruto kopējo uzskaites vērtību, kuri klasificēti ieņēmumus nenesošo riska darījumu kategorijā, kā izklāstīts šīs regulas V pielikuma 2. daļas 17. iedaļā, ir vienāda ar 5 % vai to pārsniedz. Piemērojot šo punktu, minētā attiecība izslēdz aizdevumus un avansus, kas klasificēti kā turēti pārdošanai, naudas atlikumus centrālajās bankās un citus pieprasījuma noguldījumus gan skaitītājā, gan saucējā.</w:t>
      </w:r>
    </w:p>
    <w:p w14:paraId="1E2D7764" w14:textId="77777777" w:rsidR="00B75FF4" w:rsidRPr="00DA1A23" w:rsidRDefault="0084057B">
      <w:pPr>
        <w:pStyle w:val="Text2"/>
        <w:ind w:left="1678" w:right="568" w:firstLine="23"/>
        <w:rPr>
          <w:szCs w:val="24"/>
        </w:rPr>
      </w:pPr>
      <w:r w:rsidRPr="00DA1A23">
        <w:t>Piemēro 4. pantā minētos iekļaušanas un izslēgšanas kritērijus;</w:t>
      </w:r>
    </w:p>
    <w:p w14:paraId="514A0195" w14:textId="77777777" w:rsidR="00B75FF4" w:rsidRPr="00DA1A23" w:rsidRDefault="00D63710">
      <w:pPr>
        <w:pStyle w:val="Text1"/>
        <w:ind w:left="1701" w:right="568" w:hanging="567"/>
        <w:rPr>
          <w:szCs w:val="24"/>
        </w:rPr>
      </w:pPr>
      <w:r w:rsidRPr="00DA1A23">
        <w:t>i)</w:t>
      </w:r>
      <w:r w:rsidRPr="00DA1A23">
        <w:tab/>
        <w:t>informāciju, kas noteikta III pielikuma 4. daļas 47. veidnē, ja ir izpildīti abi šā punkta h) apakšpunkta i) un ii) punkta nosacījumi, – reizi gadā. Piemēro 4. pantā minētos iekļaušanas un izslēgšanas kritērijus.”;</w:t>
      </w:r>
    </w:p>
    <w:p w14:paraId="1F2B8B32" w14:textId="77777777" w:rsidR="00B75FF4" w:rsidRPr="00DA1A23" w:rsidRDefault="00D63710">
      <w:pPr>
        <w:pStyle w:val="Text1"/>
        <w:ind w:left="567" w:hanging="567"/>
        <w:rPr>
          <w:szCs w:val="24"/>
        </w:rPr>
      </w:pPr>
      <w:r w:rsidRPr="00DA1A23">
        <w:t>3)</w:t>
      </w:r>
      <w:r w:rsidRPr="00DA1A23">
        <w:tab/>
        <w:t>regulas 11. panta 2. punktu groza šādi:</w:t>
      </w:r>
    </w:p>
    <w:p w14:paraId="6487BD60" w14:textId="77777777" w:rsidR="00B75FF4" w:rsidRPr="00DA1A23" w:rsidRDefault="00D63710">
      <w:pPr>
        <w:pStyle w:val="Text1"/>
      </w:pPr>
      <w:r w:rsidRPr="00DA1A23">
        <w:t>i)</w:t>
      </w:r>
      <w:r w:rsidRPr="00DA1A23">
        <w:tab/>
        <w:t>punkta c) apakšpunktu aizstāj ar šādu apakšpunktu:</w:t>
      </w:r>
    </w:p>
    <w:p w14:paraId="4678FF44" w14:textId="77777777" w:rsidR="00B75FF4" w:rsidRPr="00DA1A23" w:rsidRDefault="00D63710">
      <w:pPr>
        <w:pStyle w:val="Text1"/>
        <w:ind w:left="1701" w:right="568" w:hanging="567"/>
        <w:rPr>
          <w:szCs w:val="24"/>
        </w:rPr>
      </w:pPr>
      <w:r w:rsidRPr="00DA1A23">
        <w:t>“c)</w:t>
      </w:r>
      <w:r w:rsidRPr="00DA1A23">
        <w:tab/>
        <w:t>informāciju, kas noteikta IV pielikuma 4. daļā, izņemot informāciju, kas noteikta 47. veidnē, – reizi gadā;”;</w:t>
      </w:r>
    </w:p>
    <w:p w14:paraId="2AE5A30E" w14:textId="77777777" w:rsidR="00B75FF4" w:rsidRPr="00DA1A23" w:rsidRDefault="00D63710">
      <w:pPr>
        <w:pStyle w:val="Text1"/>
      </w:pPr>
      <w:r w:rsidRPr="00DA1A23">
        <w:t>ii)</w:t>
      </w:r>
      <w:r w:rsidRPr="00DA1A23">
        <w:tab/>
        <w:t>pievieno šādus h) un i) apakšpunktus:</w:t>
      </w:r>
    </w:p>
    <w:p w14:paraId="46AD1146" w14:textId="77777777" w:rsidR="00B75FF4" w:rsidRPr="00DA1A23" w:rsidRDefault="00D63710">
      <w:pPr>
        <w:pStyle w:val="Text1"/>
        <w:ind w:left="1701" w:hanging="567"/>
        <w:rPr>
          <w:szCs w:val="24"/>
        </w:rPr>
      </w:pPr>
      <w:r w:rsidRPr="00DA1A23">
        <w:t>“h)</w:t>
      </w:r>
      <w:r w:rsidRPr="00DA1A23">
        <w:tab/>
        <w:t>informāciju, kas noteikta IV pielikuma 2. daļas 23.–26. veidnē, ja ir izpildīti 9. panta 2. punkta h) apakšpunkta i) un ii) punkta nosacījumi, – reizi ceturksnī. Piemēro 4. pantā minētos iekļaušanas un izslēgšanas kritērijus;</w:t>
      </w:r>
    </w:p>
    <w:p w14:paraId="787C8551" w14:textId="77777777" w:rsidR="00B75FF4" w:rsidRPr="00DA1A23" w:rsidRDefault="001B445C">
      <w:pPr>
        <w:pStyle w:val="Text1"/>
        <w:ind w:left="1701" w:hanging="567"/>
        <w:rPr>
          <w:szCs w:val="24"/>
        </w:rPr>
      </w:pPr>
      <w:r w:rsidRPr="00DA1A23">
        <w:t>i)</w:t>
      </w:r>
      <w:r w:rsidRPr="00DA1A23">
        <w:tab/>
        <w:t>informāciju, kas noteikta IV pielikuma 4. daļas 47. veidnē, ja ir izpildīti 9. panta 2. punkta h) apakšpunkta i) un ii) punkta nosacījumi, – reizi gadā. Piemēro 4. pantā minētos iekļaušanas un izslēgšanas kritērijus.”;</w:t>
      </w:r>
    </w:p>
    <w:p w14:paraId="5C135AED" w14:textId="77777777" w:rsidR="00B75FF4" w:rsidRPr="00DA1A23" w:rsidRDefault="00D63710">
      <w:r w:rsidRPr="00DA1A23">
        <w:t>4)</w:t>
      </w:r>
      <w:r w:rsidRPr="00DA1A23">
        <w:tab/>
        <w:t>Īstenošanas regulas (ES) Nr. 680/2014 I pielikumu aizstāj ar šīs regulas I pielikuma tekstu;</w:t>
      </w:r>
    </w:p>
    <w:p w14:paraId="6D942284" w14:textId="77777777" w:rsidR="00B75FF4" w:rsidRPr="00DA1A23" w:rsidRDefault="00D63710">
      <w:r w:rsidRPr="00DA1A23">
        <w:t>5)</w:t>
      </w:r>
      <w:r w:rsidRPr="00DA1A23">
        <w:tab/>
        <w:t xml:space="preserve">Īstenošanas regulas (ES) Nr. 680/2014 II pielikumu aizstāj ar šīs regulas II pielikuma tekstu. </w:t>
      </w:r>
    </w:p>
    <w:p w14:paraId="66FD1BC9" w14:textId="77777777" w:rsidR="00B75FF4" w:rsidRPr="00DA1A23" w:rsidRDefault="00D63710">
      <w:r w:rsidRPr="00DA1A23">
        <w:t>6)</w:t>
      </w:r>
      <w:r w:rsidRPr="00DA1A23">
        <w:tab/>
        <w:t xml:space="preserve">Īstenošanas regulas (ES) Nr. 680/2014 III pielikumu aizstāj ar šīs regulas III pielikuma tekstu. </w:t>
      </w:r>
    </w:p>
    <w:p w14:paraId="171FD559" w14:textId="77777777" w:rsidR="00B75FF4" w:rsidRPr="00DA1A23" w:rsidRDefault="00D63710">
      <w:r w:rsidRPr="00DA1A23">
        <w:t>7)</w:t>
      </w:r>
      <w:r w:rsidRPr="00DA1A23">
        <w:tab/>
        <w:t xml:space="preserve">Īstenošanas regulas (ES) Nr. 680/2014 IV pielikumu aizstāj ar šīs regulas IV pielikuma tekstu; </w:t>
      </w:r>
    </w:p>
    <w:p w14:paraId="3B487D51" w14:textId="77777777" w:rsidR="00B75FF4" w:rsidRPr="00DA1A23" w:rsidRDefault="00D63710">
      <w:r w:rsidRPr="00DA1A23">
        <w:t>8)</w:t>
      </w:r>
      <w:r w:rsidRPr="00DA1A23">
        <w:tab/>
        <w:t>Īstenošanas regulas (ES) Nr. 680/2014 V pielikumu aizstāj ar šīs regulas V pielikuma tekstu.</w:t>
      </w:r>
    </w:p>
    <w:p w14:paraId="66FC58ED" w14:textId="77777777" w:rsidR="00B75FF4" w:rsidRPr="00DA1A23" w:rsidRDefault="00D63710">
      <w:r w:rsidRPr="00DA1A23">
        <w:t>9)</w:t>
      </w:r>
      <w:r w:rsidRPr="00DA1A23">
        <w:tab/>
        <w:t>Īstenošanas regulas (ES) Nr. 680/2014 XVIII pielikumu aizstāj ar šīs regulas VI pielikuma tekstu.</w:t>
      </w:r>
    </w:p>
    <w:p w14:paraId="79EC6764" w14:textId="77777777" w:rsidR="00B75FF4" w:rsidRPr="00DA1A23" w:rsidRDefault="00D63710">
      <w:r w:rsidRPr="00DA1A23">
        <w:t>10)</w:t>
      </w:r>
      <w:r w:rsidRPr="00DA1A23">
        <w:tab/>
        <w:t xml:space="preserve">Īstenošanas regulas (ES) Nr. 680/2014 XIX pielikumu aizstāj ar šīs regulas VII pielikuma tekstu. </w:t>
      </w:r>
    </w:p>
    <w:p w14:paraId="7D476BB9" w14:textId="77777777" w:rsidR="00B75FF4" w:rsidRPr="00DA1A23" w:rsidRDefault="00D63710">
      <w:r w:rsidRPr="00DA1A23">
        <w:t>11)</w:t>
      </w:r>
      <w:r w:rsidRPr="00DA1A23">
        <w:tab/>
        <w:t>Īstenošanas regulas (ES) Nr. 680/2014 XXIV pielikumu aizstāj ar šīs regulas VIII pielikuma tekstu.</w:t>
      </w:r>
    </w:p>
    <w:p w14:paraId="37FC96E9" w14:textId="77777777" w:rsidR="00B75FF4" w:rsidRPr="00DA1A23" w:rsidRDefault="00D63710">
      <w:r w:rsidRPr="00DA1A23">
        <w:t>12)</w:t>
      </w:r>
      <w:r w:rsidRPr="00DA1A23">
        <w:tab/>
        <w:t>Regulas (EK) Nr. 680/2014 XXV pielikumu aizstāj ar šīs regulas IX pielikuma tekstu.</w:t>
      </w:r>
    </w:p>
    <w:p w14:paraId="7036487A" w14:textId="77777777" w:rsidR="00B75FF4" w:rsidRPr="00DA1A23" w:rsidRDefault="001B445C">
      <w:pPr>
        <w:pStyle w:val="Titrearticle"/>
        <w:keepLines/>
        <w:rPr>
          <w:color w:val="000000"/>
          <w:szCs w:val="24"/>
        </w:rPr>
      </w:pPr>
      <w:r w:rsidRPr="00DA1A23">
        <w:t>2. pants</w:t>
      </w:r>
    </w:p>
    <w:p w14:paraId="6D87565F" w14:textId="66470D21" w:rsidR="00B75FF4" w:rsidRPr="00DA1A23" w:rsidRDefault="001B445C">
      <w:pPr>
        <w:rPr>
          <w:color w:val="000000"/>
          <w:szCs w:val="24"/>
        </w:rPr>
      </w:pPr>
      <w:r w:rsidRPr="00DA1A23">
        <w:t xml:space="preserve">Šī regula stājas spēkā nākamajā dienā pēc tās publicēšanas </w:t>
      </w:r>
      <w:r w:rsidRPr="00DA1A23">
        <w:rPr>
          <w:i/>
          <w:iCs/>
        </w:rPr>
        <w:t>Eiropas Savienības Oficiālajā Vēstnesī</w:t>
      </w:r>
      <w:r w:rsidRPr="00DA1A23">
        <w:t>.</w:t>
      </w:r>
    </w:p>
    <w:p w14:paraId="7C0963A2" w14:textId="4ECFA9D7" w:rsidR="00B75FF4" w:rsidRPr="00DA1A23" w:rsidRDefault="00FB65A6">
      <w:pPr>
        <w:rPr>
          <w:color w:val="000000"/>
          <w:szCs w:val="24"/>
        </w:rPr>
      </w:pPr>
      <w:r w:rsidRPr="00DA1A23">
        <w:t>Regulas 1. panta 1., 4. un 5. punktu piemēro no 2020. gada 30. marta. Regulas 1. panta 9.-12. punktu piemēro no 2020. gada 1. aprīļa. Regulas 1. panta 2., 3., un 6. līdz 8. punktu piemēro no 2020. gada 1. jūnija.</w:t>
      </w:r>
    </w:p>
    <w:p w14:paraId="0F403810" w14:textId="77777777" w:rsidR="00B75FF4" w:rsidRPr="00DA1A23" w:rsidRDefault="001B445C">
      <w:pPr>
        <w:rPr>
          <w:color w:val="000000"/>
          <w:szCs w:val="24"/>
        </w:rPr>
      </w:pPr>
      <w:r w:rsidRPr="00DA1A23">
        <w:t>Šī regula uzliek saistības kopumā un ir tieši piemērojama visās dalībvalstīs.</w:t>
      </w:r>
    </w:p>
    <w:p w14:paraId="2DB37B2E" w14:textId="7D7CADA3" w:rsidR="00B75FF4" w:rsidRPr="00DA1A23" w:rsidRDefault="00DA1A23" w:rsidP="00DA1A23">
      <w:pPr>
        <w:pStyle w:val="Fait"/>
      </w:pPr>
      <w:r w:rsidRPr="00DA1A23">
        <w:t>Briselē,</w:t>
      </w:r>
    </w:p>
    <w:p w14:paraId="5989647B" w14:textId="77777777" w:rsidR="00B75FF4" w:rsidRPr="00DA1A23" w:rsidRDefault="001B445C">
      <w:pPr>
        <w:pStyle w:val="Institutionquisigne"/>
      </w:pPr>
      <w:r w:rsidRPr="00DA1A23">
        <w:tab/>
        <w:t>Komisijas vārdā —</w:t>
      </w:r>
    </w:p>
    <w:p w14:paraId="06E0BB8C" w14:textId="7F367528" w:rsidR="00B75FF4" w:rsidRPr="00DA1A23" w:rsidRDefault="00B71BC4">
      <w:pPr>
        <w:pStyle w:val="Personnequisigne"/>
      </w:pPr>
      <w:r w:rsidRPr="00DA1A23">
        <w:tab/>
        <w:t>priekšsēdētāja</w:t>
      </w:r>
      <w:r w:rsidRPr="00DA1A23">
        <w:br/>
      </w:r>
      <w:r w:rsidRPr="00DA1A23">
        <w:tab/>
      </w:r>
      <w:r w:rsidRPr="00DA1A23">
        <w:rPr>
          <w:i w:val="0"/>
        </w:rPr>
        <w:t>Urzula fon der Leiena</w:t>
      </w:r>
    </w:p>
    <w:sectPr w:rsidR="00B75FF4" w:rsidRPr="00DA1A23" w:rsidSect="00AB70ED">
      <w:footerReference w:type="default" r:id="rId15"/>
      <w:footerReference w:type="first" r:id="rId16"/>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89A566" w14:textId="77777777" w:rsidR="00B75FF4" w:rsidRDefault="001D2590">
      <w:r>
        <w:separator/>
      </w:r>
    </w:p>
    <w:p w14:paraId="169B0B81" w14:textId="77777777" w:rsidR="00B75FF4" w:rsidRDefault="00B75FF4"/>
    <w:p w14:paraId="55151859" w14:textId="77777777" w:rsidR="00B75FF4" w:rsidRDefault="00B75FF4"/>
  </w:endnote>
  <w:endnote w:type="continuationSeparator" w:id="0">
    <w:p w14:paraId="1F1B705E" w14:textId="77777777" w:rsidR="00B75FF4" w:rsidRDefault="001D2590">
      <w:r>
        <w:continuationSeparator/>
      </w:r>
    </w:p>
    <w:p w14:paraId="7AB27653" w14:textId="77777777" w:rsidR="00B75FF4" w:rsidRDefault="00B75FF4"/>
    <w:p w14:paraId="2B72467D" w14:textId="77777777" w:rsidR="00B75FF4" w:rsidRDefault="00B75F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A24217" w14:textId="77777777" w:rsidR="00AB70ED" w:rsidRPr="00AB70ED" w:rsidRDefault="00AB70ED" w:rsidP="00AB70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A3153" w14:textId="42CEC548" w:rsidR="00DA1A23" w:rsidRPr="00AB70ED" w:rsidRDefault="00AB70ED" w:rsidP="00AB70ED">
    <w:pPr>
      <w:pStyle w:val="Footer"/>
      <w:rPr>
        <w:rFonts w:ascii="Arial" w:hAnsi="Arial" w:cs="Arial"/>
        <w:b/>
        <w:sz w:val="48"/>
      </w:rPr>
    </w:pPr>
    <w:r w:rsidRPr="00AB70ED">
      <w:rPr>
        <w:rFonts w:ascii="Arial" w:hAnsi="Arial" w:cs="Arial"/>
        <w:b/>
        <w:sz w:val="48"/>
      </w:rPr>
      <w:t>LV</w:t>
    </w:r>
    <w:r w:rsidRPr="00AB70ED">
      <w:rPr>
        <w:rFonts w:ascii="Arial" w:hAnsi="Arial" w:cs="Arial"/>
        <w:b/>
        <w:sz w:val="48"/>
      </w:rPr>
      <w:tab/>
    </w:r>
    <w:r w:rsidRPr="00AB70ED">
      <w:rPr>
        <w:rFonts w:ascii="Arial" w:hAnsi="Arial" w:cs="Arial"/>
        <w:b/>
        <w:sz w:val="48"/>
      </w:rPr>
      <w:tab/>
    </w:r>
    <w:r w:rsidRPr="00AB70ED">
      <w:tab/>
    </w:r>
    <w:r w:rsidRPr="00AB70ED">
      <w:rPr>
        <w:rFonts w:ascii="Arial" w:hAnsi="Arial" w:cs="Arial"/>
        <w:b/>
        <w:sz w:val="48"/>
      </w:rPr>
      <w:t>LV</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83ED6B" w14:textId="77777777" w:rsidR="00AB70ED" w:rsidRPr="00AB70ED" w:rsidRDefault="00AB70ED" w:rsidP="00AB70E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4DCDA" w14:textId="2AC350FD" w:rsidR="00AB70ED" w:rsidRPr="00AB70ED" w:rsidRDefault="00AB70ED" w:rsidP="00AB70ED">
    <w:pPr>
      <w:pStyle w:val="Footer"/>
      <w:rPr>
        <w:rFonts w:ascii="Arial" w:hAnsi="Arial" w:cs="Arial"/>
        <w:b/>
        <w:sz w:val="48"/>
      </w:rPr>
    </w:pPr>
    <w:r w:rsidRPr="00AB70ED">
      <w:rPr>
        <w:rFonts w:ascii="Arial" w:hAnsi="Arial" w:cs="Arial"/>
        <w:b/>
        <w:sz w:val="48"/>
      </w:rPr>
      <w:t>LV</w:t>
    </w:r>
    <w:r w:rsidRPr="00AB70ED">
      <w:rPr>
        <w:rFonts w:ascii="Arial" w:hAnsi="Arial" w:cs="Arial"/>
        <w:b/>
        <w:sz w:val="48"/>
      </w:rPr>
      <w:tab/>
    </w:r>
    <w:r>
      <w:fldChar w:fldCharType="begin"/>
    </w:r>
    <w:r>
      <w:instrText xml:space="preserve"> PAGE  \* MERGEFORMAT </w:instrText>
    </w:r>
    <w:r>
      <w:fldChar w:fldCharType="separate"/>
    </w:r>
    <w:r w:rsidR="009C5417">
      <w:rPr>
        <w:noProof/>
      </w:rPr>
      <w:t>1</w:t>
    </w:r>
    <w:r>
      <w:fldChar w:fldCharType="end"/>
    </w:r>
    <w:r>
      <w:tab/>
    </w:r>
    <w:r w:rsidRPr="00AB70ED">
      <w:tab/>
    </w:r>
    <w:r w:rsidRPr="00AB70ED">
      <w:rPr>
        <w:rFonts w:ascii="Arial" w:hAnsi="Arial" w:cs="Arial"/>
        <w:b/>
        <w:sz w:val="48"/>
      </w:rPr>
      <w:t>LV</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48C5C" w14:textId="77777777" w:rsidR="00AB70ED" w:rsidRPr="00AB70ED" w:rsidRDefault="00AB70ED" w:rsidP="00AB70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68417A" w14:textId="77777777" w:rsidR="00B75FF4" w:rsidRDefault="001D2590">
      <w:r>
        <w:separator/>
      </w:r>
    </w:p>
    <w:p w14:paraId="5DA4DBEE" w14:textId="77777777" w:rsidR="00B75FF4" w:rsidRDefault="00B75FF4"/>
    <w:p w14:paraId="189627FC" w14:textId="77777777" w:rsidR="00B75FF4" w:rsidRDefault="00B75FF4"/>
  </w:footnote>
  <w:footnote w:type="continuationSeparator" w:id="0">
    <w:p w14:paraId="3B46B728" w14:textId="77777777" w:rsidR="00B75FF4" w:rsidRDefault="001D2590">
      <w:r>
        <w:continuationSeparator/>
      </w:r>
    </w:p>
    <w:p w14:paraId="22ED3C12" w14:textId="77777777" w:rsidR="00B75FF4" w:rsidRDefault="00B75FF4"/>
    <w:p w14:paraId="02263D68" w14:textId="77777777" w:rsidR="00B75FF4" w:rsidRDefault="00B75FF4"/>
  </w:footnote>
  <w:footnote w:id="1">
    <w:p w14:paraId="3904D8AB" w14:textId="22916591" w:rsidR="00B75FF4" w:rsidRDefault="00363BA4">
      <w:pPr>
        <w:pStyle w:val="FootnoteText"/>
      </w:pPr>
      <w:r>
        <w:rPr>
          <w:rStyle w:val="FootnoteReference"/>
        </w:rPr>
        <w:footnoteRef/>
      </w:r>
      <w:r>
        <w:tab/>
        <w:t>OV L 176, 27.6.2013., 1. lpp.</w:t>
      </w:r>
    </w:p>
  </w:footnote>
  <w:footnote w:id="2">
    <w:p w14:paraId="52F74E0C" w14:textId="72E7A7A0" w:rsidR="00B75FF4" w:rsidRDefault="00363BA4">
      <w:pPr>
        <w:pStyle w:val="FootnoteText"/>
      </w:pPr>
      <w:r>
        <w:rPr>
          <w:rStyle w:val="FootnoteReference"/>
        </w:rPr>
        <w:footnoteRef/>
      </w:r>
      <w:r>
        <w:tab/>
        <w:t>Komisijas Īstenošanas regula (ES) Nr. 680/2014, ar ko nosaka īstenošanas tehniskos standartus attiecībā uz iestāžu sniegtajiem uzraudzības pārskatiem saskaņā ar Regulu (ES) Nr. 575/2013 (OV L 191, 28.6.2014., 1. lpp.).</w:t>
      </w:r>
    </w:p>
  </w:footnote>
  <w:footnote w:id="3">
    <w:p w14:paraId="061DE31E" w14:textId="2680ACA0" w:rsidR="00B75FF4" w:rsidRDefault="00363BA4">
      <w:pPr>
        <w:pStyle w:val="FootnoteText"/>
      </w:pPr>
      <w:r>
        <w:rPr>
          <w:rStyle w:val="FootnoteReference"/>
        </w:rPr>
        <w:footnoteRef/>
      </w:r>
      <w:r>
        <w:tab/>
      </w:r>
      <w:r>
        <w:rPr>
          <w:color w:val="444444"/>
          <w:sz w:val="21"/>
          <w:szCs w:val="21"/>
        </w:rPr>
        <w:t>Eiropas Parlamenta un Padomes Regula (ES) 2017/2402 (2017. gada 12. decembris), ar ko nosaka vispārēju regulējumu vērtspapīrošanai un izveido īpašu satvaru attiecībā uz vienkāršu, pārredzamu un standartizētu vērtspapīrošanu, un groza Direktīvas 2009/65/EK, 2009/138/EK un 2011/61/ES un Regulas (EK) Nr. 1060/2009 un (ES) Nr. 648/2012 (</w:t>
      </w:r>
      <w:r>
        <w:rPr>
          <w:rStyle w:val="Emphasis"/>
          <w:i w:val="0"/>
          <w:color w:val="444444"/>
          <w:sz w:val="21"/>
          <w:szCs w:val="21"/>
        </w:rPr>
        <w:t>OV L 347, 28.12.2017., 35. lpp.).</w:t>
      </w:r>
    </w:p>
  </w:footnote>
  <w:footnote w:id="4">
    <w:p w14:paraId="2FE98FB0" w14:textId="61F4F1DB" w:rsidR="00B75FF4" w:rsidRDefault="00363BA4">
      <w:pPr>
        <w:pStyle w:val="FootnoteText"/>
      </w:pPr>
      <w:r>
        <w:rPr>
          <w:rStyle w:val="FootnoteReference"/>
        </w:rPr>
        <w:footnoteRef/>
      </w:r>
      <w:r>
        <w:tab/>
        <w:t>Komisijas Regula (EK) Nr. 1126/2008 (2008. gada 3. novembris), ar ko pieņem vairākus starptautiskos grāmatvedības standartus saskaņā ar Eiropas Parlamenta un Padomes Regulu (EK) Nr. 1606/2002 (OV L 320, 29.11.2008., 1. lpp.).</w:t>
      </w:r>
    </w:p>
  </w:footnote>
  <w:footnote w:id="5">
    <w:p w14:paraId="7F61ACCF" w14:textId="7D14508E" w:rsidR="00B75FF4" w:rsidRDefault="00D913C8">
      <w:pPr>
        <w:pStyle w:val="FootnoteText"/>
      </w:pPr>
      <w:r>
        <w:rPr>
          <w:rStyle w:val="FootnoteReference"/>
        </w:rPr>
        <w:footnoteRef/>
      </w:r>
      <w:r>
        <w:tab/>
        <w:t xml:space="preserve">Komisijas Regula (ES) 2017/1986 (2017. gada </w:t>
      </w:r>
      <w:r w:rsidR="00373EC3">
        <w:t>31</w:t>
      </w:r>
      <w:r>
        <w:t>. </w:t>
      </w:r>
      <w:r w:rsidR="00373EC3">
        <w:t>okto</w:t>
      </w:r>
      <w:r>
        <w:t>bris), ar kuru attiecībā uz 16. starptautisko finanšu pārskatu standartu groza Regulu (EK) Nr. 1126/2008, ar ko pieņem vairākus starptautiskos grāmatvedības standartus saskaņā ar Eiropas Parlamenta un Padomes Regulu (EK) Nr. 1606/2002 (OV L 291, 9.11.2017., 1. lpp.).</w:t>
      </w:r>
    </w:p>
  </w:footnote>
  <w:footnote w:id="6">
    <w:p w14:paraId="612F860C" w14:textId="77777777" w:rsidR="00B75FF4" w:rsidRDefault="00952426">
      <w:pPr>
        <w:pStyle w:val="FootnoteText"/>
      </w:pPr>
      <w:r>
        <w:rPr>
          <w:rStyle w:val="FootnoteReference"/>
        </w:rPr>
        <w:footnoteRef/>
      </w:r>
      <w:r>
        <w:tab/>
        <w:t>Komisijas Deleģētā regula (ES) 2015/61 (2014. gada 10. oktobris), ar ko papildina Eiropas Parlamenta un Padomes Regulu (ES) Nr. 575/2013 attiecībā uz likviditātes seguma prasību kredītiestādēm (OV L 11, 17.1.2015., 1. lpp.)</w:t>
      </w:r>
    </w:p>
  </w:footnote>
  <w:footnote w:id="7">
    <w:p w14:paraId="77365625" w14:textId="77777777" w:rsidR="00B75FF4" w:rsidRDefault="00952426">
      <w:pPr>
        <w:pStyle w:val="FootnoteText"/>
      </w:pPr>
      <w:r>
        <w:rPr>
          <w:rStyle w:val="FootnoteReference"/>
        </w:rPr>
        <w:footnoteRef/>
      </w:r>
      <w:r>
        <w:tab/>
        <w:t>Komisijas Deleģētā regula (ES) 2018/1620 (2018. gada 13. jūlijs), ar ko groza Deleģēto regulu (ES) 2015/61, lai Eiropas Parlamenta un Padomes Regulu (ES) Nr. 575/2013 papildinātu attiecībā uz likviditātes seguma prasību kredītiestādēm (OV L 271, 30.10.2018, 10. lpp.)</w:t>
      </w:r>
      <w:r>
        <w:rPr>
          <w:i/>
          <w:iCs/>
        </w:rPr>
        <w:t>.</w:t>
      </w:r>
    </w:p>
  </w:footnote>
  <w:footnote w:id="8">
    <w:p w14:paraId="7A93B6D5" w14:textId="0FB38ACE" w:rsidR="00B75FF4" w:rsidRDefault="001B445C">
      <w:pPr>
        <w:pStyle w:val="FootnoteText"/>
      </w:pPr>
      <w:r>
        <w:rPr>
          <w:rStyle w:val="FootnoteReference"/>
        </w:rPr>
        <w:footnoteRef/>
      </w:r>
      <w:r>
        <w:tab/>
        <w:t>Eiropas Parlamenta un Padomes Regula (ES) Nr. 1093/2010 (2010. gada 24. novembris), ar ko izveido Eiropas Uzraudzības iestādi (Eiropas Banku iestādi), groza Lēmumu Nr. 716/2009/EK un atceļ Komisijas Lēmumu 2009/78/EK (OV L 331, 15.12.2010., 12. lpp.).</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570CB" w14:textId="77777777" w:rsidR="00AB70ED" w:rsidRPr="00AB70ED" w:rsidRDefault="00AB70ED" w:rsidP="00AB70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6DC38" w14:textId="77777777" w:rsidR="00AB70ED" w:rsidRPr="00AB70ED" w:rsidRDefault="00AB70ED" w:rsidP="00AB70E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E5B5C5" w14:textId="77777777" w:rsidR="00AB70ED" w:rsidRPr="00AB70ED" w:rsidRDefault="00AB70ED" w:rsidP="00AB70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4CB058C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F0EC3E12"/>
    <w:lvl w:ilvl="0">
      <w:start w:val="1"/>
      <w:numFmt w:val="decimal"/>
      <w:pStyle w:val="ListNumber3"/>
      <w:lvlText w:val="%1."/>
      <w:lvlJc w:val="left"/>
      <w:pPr>
        <w:tabs>
          <w:tab w:val="num" w:pos="926"/>
        </w:tabs>
        <w:ind w:left="926" w:hanging="360"/>
      </w:pPr>
      <w:rPr>
        <w:rFonts w:cs="Times New Roman"/>
      </w:rPr>
    </w:lvl>
  </w:abstractNum>
  <w:abstractNum w:abstractNumId="2" w15:restartNumberingAfterBreak="0">
    <w:nsid w:val="FFFFFF7F"/>
    <w:multiLevelType w:val="singleLevel"/>
    <w:tmpl w:val="47143E7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FE48CAD2"/>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767E1FC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F704052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FA427F7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D96031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1"/>
  </w:num>
  <w:num w:numId="6">
    <w:abstractNumId w:val="6"/>
  </w:num>
  <w:num w:numId="7">
    <w:abstractNumId w:val="2"/>
  </w:num>
  <w:num w:numId="8">
    <w:abstractNumId w:val="0"/>
  </w:num>
  <w:num w:numId="9">
    <w:abstractNumId w:val="15"/>
  </w:num>
  <w:num w:numId="10">
    <w:abstractNumId w:val="22"/>
    <w:lvlOverride w:ilvl="0">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12"/>
  </w:num>
  <w:num w:numId="15">
    <w:abstractNumId w:val="21"/>
  </w:num>
  <w:num w:numId="16">
    <w:abstractNumId w:val="11"/>
  </w:num>
  <w:num w:numId="17">
    <w:abstractNumId w:val="13"/>
  </w:num>
  <w:num w:numId="18">
    <w:abstractNumId w:val="9"/>
  </w:num>
  <w:num w:numId="19">
    <w:abstractNumId w:val="20"/>
  </w:num>
  <w:num w:numId="20">
    <w:abstractNumId w:val="8"/>
  </w:num>
  <w:num w:numId="21">
    <w:abstractNumId w:val="14"/>
  </w:num>
  <w:num w:numId="22">
    <w:abstractNumId w:val="17"/>
  </w:num>
  <w:num w:numId="23">
    <w:abstractNumId w:val="18"/>
  </w:num>
  <w:num w:numId="24">
    <w:abstractNumId w:val="10"/>
  </w:num>
  <w:num w:numId="25">
    <w:abstractNumId w:val="16"/>
  </w:num>
  <w:num w:numId="26">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nsidérant" w:val="Considérant__1"/>
    <w:docVar w:name="DQCDateTime" w:val="2020-01-23 14:41:56"/>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13"/>
    <w:docVar w:name="DQCResult_ModifiedMarkers" w:val="0;0"/>
    <w:docVar w:name="DQCResult_ModifiedNumbering" w:val="0;0"/>
    <w:docVar w:name="DQCResult_Objects" w:val="0;0"/>
    <w:docVar w:name="DQCResult_Sections" w:val="0;0"/>
    <w:docVar w:name="DQCResult_StructureCheck" w:val="0;0"/>
    <w:docVar w:name="DQCResult_SuperfluousWhitespace" w:val="0;1"/>
    <w:docVar w:name="DQCResult_UnknownFonts" w:val="0;0"/>
    <w:docVar w:name="DQCResult_UnknownStyles" w:val="0;0"/>
    <w:docVar w:name="DQCStatus" w:val="Green"/>
    <w:docVar w:name="DQCVersion" w:val="3"/>
    <w:docVar w:name="DQCWithWarnings" w:val="0"/>
    <w:docVar w:name="LW_COVERPAGE_EXISTS" w:val="True"/>
    <w:docVar w:name="LW_COVERPAGE_GUID" w:val="52266683-A46A-415F-A8CC-539A015D3334"/>
    <w:docVar w:name="LW_COVERPAGE_TYPE" w:val="1"/>
    <w:docVar w:name="LW_CROSSREFERENCE" w:val="&lt;UNUSED&gt;"/>
    <w:docVar w:name="LW_DATE.ADOPT.CP" w:val="(XXX),"/>
    <w:docVar w:name="LW_DATE.ADOPT.CP_DATEFORMAT" w:val="(%DATE%),"/>
    <w:docVar w:name="LW_DATE.ADOPT.CP_ISODATE" w:val="&lt;EMPTY&gt;"/>
    <w:docVar w:name="LW_DocType" w:val="COM"/>
    <w:docVar w:name="LW_EMISSION" w:val="&lt;EMPTY&gt;"/>
    <w:docVar w:name="LW_EMISSION_ISODATE" w:val="&lt;EMPTY&gt;"/>
    <w:docVar w:name="LW_EMISSION_LOCATION" w:val="BRX"/>
    <w:docVar w:name="LW_EMISSION_PREFIX" w:val="Brisel\u275?, "/>
    <w:docVar w:name="LW_EMISSION_SUFFIX" w:val="."/>
    <w:docVar w:name="LW_ID_DOCMODEL" w:val="a08"/>
    <w:docVar w:name="LW_ID_DOCSIGNATURE" w:val="SJ-004"/>
    <w:docVar w:name="LW_ID_DOCSTRUCTURE" w:val="COM/AA"/>
    <w:docVar w:name="LW_ID_DOCTYPE" w:val="SJ-004"/>
    <w:docVar w:name="LW_INTERETEEE.CP" w:val="(Dokuments attiecas uz EEZ)"/>
    <w:docVar w:name="LW_LANGUE" w:val="LV"/>
    <w:docVar w:name="LW_LANGUESFAISANTFOI.CP" w:val="&lt;UNUSED&gt;"/>
    <w:docVar w:name="LW_LEVEL_OF_SENSITIVITY" w:val="Standard treatment"/>
    <w:docVar w:name="LW_NOM.INST" w:val="EIROPAS KOMISIJA"/>
    <w:docVar w:name="LW_NOM.INST_JOINTDOC" w:val="&lt;EMPTY&gt;"/>
    <w:docVar w:name="LW_PART_NBR" w:val="1"/>
    <w:docVar w:name="LW_PART_NBR_TOTAL" w:val="1"/>
    <w:docVar w:name="LW_REF.INST.NEW" w:val="&lt;EMPTY&gt;"/>
    <w:docVar w:name="LW_REF.INST.NEW_ADOPTED" w:val="draft"/>
    <w:docVar w:name="LW_REF.INST.NEW_TEXT" w:val="(2019)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OUS.TITRE.OBJ.CP" w:val="&lt;UNUSED&gt;"/>
    <w:docVar w:name="LW_SUPERTITRE" w:val="&lt;UNUSED&gt;"/>
    <w:docVar w:name="LW_TITRE.OBJ.CP" w:val="ar kuru groza \u298?steno\u353?anas regulu (ES) Nr. 680/2014, ar ko nosaka \u299?steno\u353?anas tehniskos standartus attiec\u299?b\u257? uz iest\u257?\u382?u sniegtajiem uzraudz\u299?bas p\u257?rskatiem saska\u326?\u257? ar Eiropas Parlamenta un Padomes Regulu (ES) Nr. 575/2013"/>
    <w:docVar w:name="LW_TITRE.OBJ.CP_PREVIOUS" w:val="&lt;UNUSED&gt;"/>
    <w:docVar w:name="LW_TYPE.DOC.CP" w:val="KOMISIJAS \u298?STENO\u352?ANAS REGULA (ES) \u8230?/.."/>
  </w:docVars>
  <w:rsids>
    <w:rsidRoot w:val="001B445C"/>
    <w:rsid w:val="00033C74"/>
    <w:rsid w:val="00043094"/>
    <w:rsid w:val="0005623D"/>
    <w:rsid w:val="000669A6"/>
    <w:rsid w:val="00080669"/>
    <w:rsid w:val="000827FE"/>
    <w:rsid w:val="000A4D5B"/>
    <w:rsid w:val="000A5E1E"/>
    <w:rsid w:val="000B410C"/>
    <w:rsid w:val="000B73C7"/>
    <w:rsid w:val="000C750A"/>
    <w:rsid w:val="000D34D3"/>
    <w:rsid w:val="000E135F"/>
    <w:rsid w:val="00100F75"/>
    <w:rsid w:val="00103E88"/>
    <w:rsid w:val="00121213"/>
    <w:rsid w:val="001440F6"/>
    <w:rsid w:val="00157C31"/>
    <w:rsid w:val="0016544F"/>
    <w:rsid w:val="00187535"/>
    <w:rsid w:val="00190013"/>
    <w:rsid w:val="00195CE1"/>
    <w:rsid w:val="001B41CA"/>
    <w:rsid w:val="001B42E7"/>
    <w:rsid w:val="001B445C"/>
    <w:rsid w:val="001C5A09"/>
    <w:rsid w:val="001D1851"/>
    <w:rsid w:val="001D1EAD"/>
    <w:rsid w:val="001D2532"/>
    <w:rsid w:val="001D2590"/>
    <w:rsid w:val="00210995"/>
    <w:rsid w:val="00210D88"/>
    <w:rsid w:val="00214D98"/>
    <w:rsid w:val="00234A29"/>
    <w:rsid w:val="002452B8"/>
    <w:rsid w:val="00261239"/>
    <w:rsid w:val="00294A2C"/>
    <w:rsid w:val="002A096A"/>
    <w:rsid w:val="002A3D06"/>
    <w:rsid w:val="002B7D73"/>
    <w:rsid w:val="002C0116"/>
    <w:rsid w:val="002D1D89"/>
    <w:rsid w:val="002E61FA"/>
    <w:rsid w:val="003228A8"/>
    <w:rsid w:val="00323D7B"/>
    <w:rsid w:val="00331D51"/>
    <w:rsid w:val="00346B8D"/>
    <w:rsid w:val="003516C5"/>
    <w:rsid w:val="00354C41"/>
    <w:rsid w:val="00363BA4"/>
    <w:rsid w:val="003653C2"/>
    <w:rsid w:val="00373EC3"/>
    <w:rsid w:val="003A7F9A"/>
    <w:rsid w:val="003C12AA"/>
    <w:rsid w:val="003C3A5D"/>
    <w:rsid w:val="003E0C68"/>
    <w:rsid w:val="003E4578"/>
    <w:rsid w:val="003F04FB"/>
    <w:rsid w:val="003F5F3F"/>
    <w:rsid w:val="00400058"/>
    <w:rsid w:val="00422F73"/>
    <w:rsid w:val="0044493F"/>
    <w:rsid w:val="00452D9B"/>
    <w:rsid w:val="00453AF5"/>
    <w:rsid w:val="00460A10"/>
    <w:rsid w:val="004641C1"/>
    <w:rsid w:val="0048748F"/>
    <w:rsid w:val="00492479"/>
    <w:rsid w:val="00493D25"/>
    <w:rsid w:val="00494822"/>
    <w:rsid w:val="0049676D"/>
    <w:rsid w:val="00497A2C"/>
    <w:rsid w:val="004A3CA0"/>
    <w:rsid w:val="004A3CB1"/>
    <w:rsid w:val="004C0193"/>
    <w:rsid w:val="004D5878"/>
    <w:rsid w:val="004E2457"/>
    <w:rsid w:val="004E4C15"/>
    <w:rsid w:val="004F23A9"/>
    <w:rsid w:val="00502C75"/>
    <w:rsid w:val="00506FC2"/>
    <w:rsid w:val="00537CE5"/>
    <w:rsid w:val="005469C5"/>
    <w:rsid w:val="00553296"/>
    <w:rsid w:val="0059701E"/>
    <w:rsid w:val="005A01CC"/>
    <w:rsid w:val="005A4EAC"/>
    <w:rsid w:val="005B3C3F"/>
    <w:rsid w:val="005C370C"/>
    <w:rsid w:val="005F7896"/>
    <w:rsid w:val="00647B5C"/>
    <w:rsid w:val="0066767D"/>
    <w:rsid w:val="00686B50"/>
    <w:rsid w:val="0069136E"/>
    <w:rsid w:val="006967B3"/>
    <w:rsid w:val="006A1323"/>
    <w:rsid w:val="006A640B"/>
    <w:rsid w:val="006B4E20"/>
    <w:rsid w:val="006E63CD"/>
    <w:rsid w:val="006E678D"/>
    <w:rsid w:val="006F34B3"/>
    <w:rsid w:val="00704E75"/>
    <w:rsid w:val="007067B7"/>
    <w:rsid w:val="0071620D"/>
    <w:rsid w:val="007369E1"/>
    <w:rsid w:val="0075391A"/>
    <w:rsid w:val="00753980"/>
    <w:rsid w:val="007545A4"/>
    <w:rsid w:val="0075661F"/>
    <w:rsid w:val="00770919"/>
    <w:rsid w:val="00775BB6"/>
    <w:rsid w:val="00776BBC"/>
    <w:rsid w:val="00785FB6"/>
    <w:rsid w:val="00790003"/>
    <w:rsid w:val="007B790A"/>
    <w:rsid w:val="007D61B3"/>
    <w:rsid w:val="007D7890"/>
    <w:rsid w:val="00814E96"/>
    <w:rsid w:val="0084057B"/>
    <w:rsid w:val="00844802"/>
    <w:rsid w:val="00854910"/>
    <w:rsid w:val="00855514"/>
    <w:rsid w:val="00867FE3"/>
    <w:rsid w:val="00897E21"/>
    <w:rsid w:val="008A0AA6"/>
    <w:rsid w:val="008A2478"/>
    <w:rsid w:val="008C22A3"/>
    <w:rsid w:val="008C48FA"/>
    <w:rsid w:val="008D09B7"/>
    <w:rsid w:val="008E268A"/>
    <w:rsid w:val="008E50CD"/>
    <w:rsid w:val="008F4EA5"/>
    <w:rsid w:val="00921359"/>
    <w:rsid w:val="0092431C"/>
    <w:rsid w:val="00940F1C"/>
    <w:rsid w:val="00945DFA"/>
    <w:rsid w:val="00946C0A"/>
    <w:rsid w:val="00952426"/>
    <w:rsid w:val="00955D63"/>
    <w:rsid w:val="009666AA"/>
    <w:rsid w:val="00983B03"/>
    <w:rsid w:val="00986B22"/>
    <w:rsid w:val="0099441B"/>
    <w:rsid w:val="009A64F9"/>
    <w:rsid w:val="009C0180"/>
    <w:rsid w:val="009C090E"/>
    <w:rsid w:val="009C5417"/>
    <w:rsid w:val="009D448E"/>
    <w:rsid w:val="00A01488"/>
    <w:rsid w:val="00A116F7"/>
    <w:rsid w:val="00A24919"/>
    <w:rsid w:val="00A278FD"/>
    <w:rsid w:val="00A62DAE"/>
    <w:rsid w:val="00A66F54"/>
    <w:rsid w:val="00A826D6"/>
    <w:rsid w:val="00A8593B"/>
    <w:rsid w:val="00A9740D"/>
    <w:rsid w:val="00A97566"/>
    <w:rsid w:val="00AA63F1"/>
    <w:rsid w:val="00AB21FF"/>
    <w:rsid w:val="00AB5724"/>
    <w:rsid w:val="00AB70ED"/>
    <w:rsid w:val="00AE05F8"/>
    <w:rsid w:val="00AF3BF4"/>
    <w:rsid w:val="00B14FCE"/>
    <w:rsid w:val="00B15EFC"/>
    <w:rsid w:val="00B26FCE"/>
    <w:rsid w:val="00B31B60"/>
    <w:rsid w:val="00B33376"/>
    <w:rsid w:val="00B467F6"/>
    <w:rsid w:val="00B64C30"/>
    <w:rsid w:val="00B71BC4"/>
    <w:rsid w:val="00B738F6"/>
    <w:rsid w:val="00B75FF4"/>
    <w:rsid w:val="00B971E9"/>
    <w:rsid w:val="00BB5DB5"/>
    <w:rsid w:val="00BC373E"/>
    <w:rsid w:val="00BC6787"/>
    <w:rsid w:val="00BD2641"/>
    <w:rsid w:val="00BF3434"/>
    <w:rsid w:val="00C039DD"/>
    <w:rsid w:val="00C52F81"/>
    <w:rsid w:val="00C63439"/>
    <w:rsid w:val="00C6522F"/>
    <w:rsid w:val="00C71E1B"/>
    <w:rsid w:val="00C83DEA"/>
    <w:rsid w:val="00CB0AF7"/>
    <w:rsid w:val="00CB1A3C"/>
    <w:rsid w:val="00CC6F30"/>
    <w:rsid w:val="00CC7AB4"/>
    <w:rsid w:val="00CE7CAD"/>
    <w:rsid w:val="00D2769A"/>
    <w:rsid w:val="00D314A9"/>
    <w:rsid w:val="00D34C13"/>
    <w:rsid w:val="00D50BB7"/>
    <w:rsid w:val="00D55B25"/>
    <w:rsid w:val="00D63710"/>
    <w:rsid w:val="00D639C9"/>
    <w:rsid w:val="00D74E3F"/>
    <w:rsid w:val="00D845A9"/>
    <w:rsid w:val="00D913C8"/>
    <w:rsid w:val="00D964B3"/>
    <w:rsid w:val="00DA1A23"/>
    <w:rsid w:val="00DC033D"/>
    <w:rsid w:val="00DC3927"/>
    <w:rsid w:val="00DE4536"/>
    <w:rsid w:val="00DF4957"/>
    <w:rsid w:val="00E013AC"/>
    <w:rsid w:val="00E205D3"/>
    <w:rsid w:val="00E45AE0"/>
    <w:rsid w:val="00E52742"/>
    <w:rsid w:val="00E5700E"/>
    <w:rsid w:val="00E75423"/>
    <w:rsid w:val="00E871DE"/>
    <w:rsid w:val="00E91FF6"/>
    <w:rsid w:val="00E959F9"/>
    <w:rsid w:val="00E96626"/>
    <w:rsid w:val="00EA64E6"/>
    <w:rsid w:val="00EE58F1"/>
    <w:rsid w:val="00EF0828"/>
    <w:rsid w:val="00F32FFE"/>
    <w:rsid w:val="00F45D68"/>
    <w:rsid w:val="00F62F54"/>
    <w:rsid w:val="00F65DE7"/>
    <w:rsid w:val="00F84FD0"/>
    <w:rsid w:val="00F95996"/>
    <w:rsid w:val="00FB65A6"/>
    <w:rsid w:val="00FC4C41"/>
    <w:rsid w:val="00FC61EB"/>
    <w:rsid w:val="00FE3A3B"/>
    <w:rsid w:val="00FE59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oNotEmbedSmartTags/>
  <w:decimalSymbol w:val=","/>
  <w:listSeparator w:val=";"/>
  <w14:docId w14:val="72D15A25"/>
  <w15:docId w15:val="{26C75A3A-333D-4F45-9580-78994C66C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lv-LV"/>
    </w:rPr>
  </w:style>
  <w:style w:type="paragraph" w:styleId="Heading1">
    <w:name w:val="heading 1"/>
    <w:basedOn w:val="Normal"/>
    <w:next w:val="Text1"/>
    <w:link w:val="Heading1Char"/>
    <w:uiPriority w:val="9"/>
    <w:qFormat/>
    <w:rsid w:val="009B7138"/>
    <w:pPr>
      <w:keepNext/>
      <w:numPr>
        <w:numId w:val="19"/>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19"/>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19"/>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19"/>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4D5878"/>
    <w:rPr>
      <w:sz w:val="16"/>
    </w:rPr>
  </w:style>
  <w:style w:type="paragraph" w:styleId="CommentText">
    <w:name w:val="annotation text"/>
    <w:basedOn w:val="Normal"/>
    <w:rsid w:val="004D5878"/>
    <w:pPr>
      <w:spacing w:before="0" w:after="240"/>
      <w:jc w:val="left"/>
    </w:pPr>
    <w:rPr>
      <w:rFonts w:ascii="Arial" w:hAnsi="Arial"/>
      <w:sz w:val="20"/>
      <w:szCs w:val="20"/>
    </w:rPr>
  </w:style>
  <w:style w:type="paragraph" w:styleId="ListBullet">
    <w:name w:val="List Bullet"/>
    <w:basedOn w:val="Normal"/>
    <w:uiPriority w:val="99"/>
    <w:qFormat/>
    <w:rsid w:val="000D34D3"/>
    <w:pPr>
      <w:numPr>
        <w:numId w:val="1"/>
      </w:numPr>
    </w:pPr>
  </w:style>
  <w:style w:type="paragraph" w:styleId="ListBullet2">
    <w:name w:val="List Bullet 2"/>
    <w:basedOn w:val="Normal"/>
    <w:rsid w:val="000D34D3"/>
    <w:pPr>
      <w:numPr>
        <w:numId w:val="2"/>
      </w:numPr>
    </w:pPr>
  </w:style>
  <w:style w:type="paragraph" w:styleId="ListBullet3">
    <w:name w:val="List Bullet 3"/>
    <w:basedOn w:val="Normal"/>
    <w:rsid w:val="000D34D3"/>
    <w:pPr>
      <w:numPr>
        <w:numId w:val="3"/>
      </w:numPr>
    </w:pPr>
  </w:style>
  <w:style w:type="paragraph" w:styleId="ListBullet4">
    <w:name w:val="List Bullet 4"/>
    <w:basedOn w:val="Normal"/>
    <w:rsid w:val="000D34D3"/>
    <w:pPr>
      <w:numPr>
        <w:numId w:val="4"/>
      </w:numPr>
    </w:pPr>
  </w:style>
  <w:style w:type="paragraph" w:styleId="ListNumber3">
    <w:name w:val="List Number 3"/>
    <w:basedOn w:val="Normal"/>
    <w:rsid w:val="000D34D3"/>
    <w:pPr>
      <w:numPr>
        <w:numId w:val="5"/>
      </w:numPr>
    </w:pPr>
  </w:style>
  <w:style w:type="paragraph" w:styleId="CommentSubject">
    <w:name w:val="annotation subject"/>
    <w:basedOn w:val="CommentText"/>
    <w:next w:val="CommentText"/>
    <w:rsid w:val="004641C1"/>
    <w:pPr>
      <w:spacing w:before="120" w:after="120"/>
      <w:jc w:val="both"/>
    </w:pPr>
    <w:rPr>
      <w:rFonts w:ascii="Times New Roman" w:hAnsi="Times New Roman"/>
      <w:b/>
      <w:bCs/>
    </w:rPr>
  </w:style>
  <w:style w:type="paragraph" w:styleId="Caption">
    <w:name w:val="caption"/>
    <w:basedOn w:val="Normal"/>
    <w:next w:val="Normal"/>
    <w:qFormat/>
    <w:rsid w:val="006E63CD"/>
    <w:rPr>
      <w:b/>
      <w:bCs/>
      <w:sz w:val="20"/>
      <w:szCs w:val="20"/>
    </w:rPr>
  </w:style>
  <w:style w:type="paragraph" w:styleId="TableofFigures">
    <w:name w:val="table of figures"/>
    <w:basedOn w:val="Normal"/>
    <w:next w:val="Normal"/>
    <w:semiHidden/>
    <w:rsid w:val="006E63CD"/>
  </w:style>
  <w:style w:type="paragraph" w:styleId="ListNumber">
    <w:name w:val="List Number"/>
    <w:basedOn w:val="Normal"/>
    <w:rsid w:val="006E63CD"/>
    <w:pPr>
      <w:numPr>
        <w:numId w:val="6"/>
      </w:numPr>
    </w:pPr>
  </w:style>
  <w:style w:type="paragraph" w:styleId="ListNumber2">
    <w:name w:val="List Number 2"/>
    <w:basedOn w:val="Normal"/>
    <w:rsid w:val="006E63CD"/>
    <w:pPr>
      <w:numPr>
        <w:numId w:val="7"/>
      </w:numPr>
    </w:pPr>
  </w:style>
  <w:style w:type="paragraph" w:styleId="ListNumber4">
    <w:name w:val="List Number 4"/>
    <w:basedOn w:val="Normal"/>
    <w:rsid w:val="006E63CD"/>
    <w:pPr>
      <w:numPr>
        <w:numId w:val="8"/>
      </w:numPr>
    </w:pPr>
  </w:style>
  <w:style w:type="character" w:styleId="Hyperlink">
    <w:name w:val="Hyperlink"/>
    <w:basedOn w:val="DefaultParagraphFont"/>
    <w:rsid w:val="006E63CD"/>
    <w:rPr>
      <w:color w:val="0000FF"/>
      <w:u w:val="single"/>
    </w:rPr>
  </w:style>
  <w:style w:type="paragraph" w:customStyle="1" w:styleId="numberedparagraph">
    <w:name w:val="numbered paragraph"/>
    <w:basedOn w:val="Normal"/>
    <w:qFormat/>
    <w:rsid w:val="001B445C"/>
    <w:pPr>
      <w:numPr>
        <w:numId w:val="9"/>
      </w:numPr>
      <w:spacing w:before="240" w:line="276" w:lineRule="auto"/>
    </w:pPr>
    <w:rPr>
      <w:rFonts w:asciiTheme="minorHAnsi" w:eastAsiaTheme="minorEastAsia" w:hAnsiTheme="minorHAnsi" w:cstheme="minorBidi"/>
      <w:sz w:val="22"/>
    </w:rPr>
  </w:style>
  <w:style w:type="paragraph" w:styleId="ListParagraph">
    <w:name w:val="List Paragraph"/>
    <w:basedOn w:val="Normal"/>
    <w:link w:val="ListParagraphChar"/>
    <w:uiPriority w:val="34"/>
    <w:qFormat/>
    <w:rsid w:val="006A640B"/>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locked/>
    <w:rsid w:val="006A640B"/>
    <w:rPr>
      <w:rFonts w:ascii="Calibri" w:eastAsia="Calibri" w:hAnsi="Calibri"/>
      <w:sz w:val="22"/>
      <w:szCs w:val="22"/>
      <w:lang w:eastAsia="en-US"/>
    </w:rPr>
  </w:style>
  <w:style w:type="paragraph" w:customStyle="1" w:styleId="Sous-titreobjet">
    <w:name w:val="Sous-titre objet"/>
    <w:basedOn w:val="Normal"/>
    <w:rsid w:val="007D53B6"/>
    <w:pPr>
      <w:spacing w:before="0" w:after="0"/>
      <w:jc w:val="center"/>
    </w:pPr>
    <w:rPr>
      <w:b/>
    </w:rPr>
  </w:style>
  <w:style w:type="paragraph" w:customStyle="1" w:styleId="Sous-titreobjetPagedecouverture">
    <w:name w:val="Sous-titre objet (Page de couverture)"/>
    <w:basedOn w:val="Sous-titreobjet"/>
    <w:rsid w:val="007D53B6"/>
  </w:style>
  <w:style w:type="paragraph" w:styleId="BalloonText">
    <w:name w:val="Balloon Text"/>
    <w:basedOn w:val="Normal"/>
    <w:link w:val="BalloonTextChar"/>
    <w:uiPriority w:val="99"/>
    <w:semiHidden/>
    <w:unhideWhenUsed/>
    <w:rsid w:val="003415BD"/>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15BD"/>
    <w:rPr>
      <w:rFonts w:ascii="Tahoma" w:hAnsi="Tahoma" w:cs="Tahoma"/>
      <w:sz w:val="16"/>
      <w:szCs w:val="16"/>
      <w:lang w:val="lv-LV"/>
    </w:rPr>
  </w:style>
  <w:style w:type="paragraph" w:styleId="NormalWeb">
    <w:name w:val="Normal (Web)"/>
    <w:basedOn w:val="Normal"/>
    <w:uiPriority w:val="99"/>
    <w:unhideWhenUsed/>
    <w:rsid w:val="006A1323"/>
    <w:pPr>
      <w:spacing w:before="100" w:beforeAutospacing="1" w:after="100" w:afterAutospacing="1"/>
      <w:jc w:val="left"/>
    </w:pPr>
    <w:rPr>
      <w:rFonts w:eastAsia="Times New Roman"/>
      <w:szCs w:val="24"/>
      <w:lang w:eastAsia="en-GB"/>
    </w:rPr>
  </w:style>
  <w:style w:type="character" w:styleId="Emphasis">
    <w:name w:val="Emphasis"/>
    <w:basedOn w:val="DefaultParagraphFont"/>
    <w:uiPriority w:val="20"/>
    <w:qFormat/>
    <w:rsid w:val="006A1323"/>
    <w:rPr>
      <w:i/>
      <w:iCs/>
    </w:rPr>
  </w:style>
  <w:style w:type="paragraph" w:styleId="Revision">
    <w:name w:val="Revision"/>
    <w:hidden/>
    <w:uiPriority w:val="99"/>
    <w:semiHidden/>
    <w:rsid w:val="003F04FB"/>
    <w:pPr>
      <w:spacing w:after="0" w:line="240" w:lineRule="auto"/>
    </w:pPr>
    <w:rPr>
      <w:rFonts w:ascii="Times New Roman" w:hAnsi="Times New Roman" w:cs="Times New Roman"/>
      <w:sz w:val="24"/>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13"/>
      </w:numPr>
    </w:pPr>
  </w:style>
  <w:style w:type="paragraph" w:customStyle="1" w:styleId="Tiret1">
    <w:name w:val="Tiret 1"/>
    <w:basedOn w:val="Point1"/>
    <w:rsid w:val="009B7138"/>
    <w:pPr>
      <w:numPr>
        <w:numId w:val="14"/>
      </w:numPr>
    </w:pPr>
  </w:style>
  <w:style w:type="paragraph" w:customStyle="1" w:styleId="Tiret2">
    <w:name w:val="Tiret 2"/>
    <w:basedOn w:val="Point2"/>
    <w:rsid w:val="009B7138"/>
    <w:pPr>
      <w:numPr>
        <w:numId w:val="15"/>
      </w:numPr>
    </w:pPr>
  </w:style>
  <w:style w:type="paragraph" w:customStyle="1" w:styleId="Tiret3">
    <w:name w:val="Tiret 3"/>
    <w:basedOn w:val="Point3"/>
    <w:rsid w:val="009B7138"/>
    <w:pPr>
      <w:numPr>
        <w:numId w:val="16"/>
      </w:numPr>
    </w:pPr>
  </w:style>
  <w:style w:type="paragraph" w:customStyle="1" w:styleId="Tiret4">
    <w:name w:val="Tiret 4"/>
    <w:basedOn w:val="Point4"/>
    <w:rsid w:val="009B7138"/>
    <w:pPr>
      <w:numPr>
        <w:numId w:val="17"/>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18"/>
      </w:numPr>
    </w:pPr>
  </w:style>
  <w:style w:type="paragraph" w:customStyle="1" w:styleId="NumPar2">
    <w:name w:val="NumPar 2"/>
    <w:basedOn w:val="Normal"/>
    <w:next w:val="Text1"/>
    <w:rsid w:val="009B7138"/>
    <w:pPr>
      <w:numPr>
        <w:ilvl w:val="1"/>
        <w:numId w:val="18"/>
      </w:numPr>
    </w:pPr>
  </w:style>
  <w:style w:type="paragraph" w:customStyle="1" w:styleId="NumPar3">
    <w:name w:val="NumPar 3"/>
    <w:basedOn w:val="Normal"/>
    <w:next w:val="Text1"/>
    <w:rsid w:val="009B7138"/>
    <w:pPr>
      <w:numPr>
        <w:ilvl w:val="2"/>
        <w:numId w:val="18"/>
      </w:numPr>
    </w:pPr>
  </w:style>
  <w:style w:type="paragraph" w:customStyle="1" w:styleId="NumPar4">
    <w:name w:val="NumPar 4"/>
    <w:basedOn w:val="Normal"/>
    <w:next w:val="Text1"/>
    <w:rsid w:val="009B7138"/>
    <w:pPr>
      <w:numPr>
        <w:ilvl w:val="3"/>
        <w:numId w:val="18"/>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20"/>
      </w:numPr>
    </w:pPr>
  </w:style>
  <w:style w:type="paragraph" w:customStyle="1" w:styleId="Point1number">
    <w:name w:val="Point 1 (number)"/>
    <w:basedOn w:val="Normal"/>
    <w:rsid w:val="009B7138"/>
    <w:pPr>
      <w:numPr>
        <w:ilvl w:val="2"/>
        <w:numId w:val="20"/>
      </w:numPr>
    </w:pPr>
  </w:style>
  <w:style w:type="paragraph" w:customStyle="1" w:styleId="Point2number">
    <w:name w:val="Point 2 (number)"/>
    <w:basedOn w:val="Normal"/>
    <w:rsid w:val="009B7138"/>
    <w:pPr>
      <w:numPr>
        <w:ilvl w:val="4"/>
        <w:numId w:val="20"/>
      </w:numPr>
    </w:pPr>
  </w:style>
  <w:style w:type="paragraph" w:customStyle="1" w:styleId="Point3number">
    <w:name w:val="Point 3 (number)"/>
    <w:basedOn w:val="Normal"/>
    <w:rsid w:val="009B7138"/>
    <w:pPr>
      <w:numPr>
        <w:ilvl w:val="6"/>
        <w:numId w:val="20"/>
      </w:numPr>
    </w:pPr>
  </w:style>
  <w:style w:type="paragraph" w:customStyle="1" w:styleId="Point0letter">
    <w:name w:val="Point 0 (letter)"/>
    <w:basedOn w:val="Normal"/>
    <w:rsid w:val="009B7138"/>
    <w:pPr>
      <w:numPr>
        <w:ilvl w:val="1"/>
        <w:numId w:val="20"/>
      </w:numPr>
    </w:pPr>
  </w:style>
  <w:style w:type="paragraph" w:customStyle="1" w:styleId="Point1letter">
    <w:name w:val="Point 1 (letter)"/>
    <w:basedOn w:val="Normal"/>
    <w:rsid w:val="009B7138"/>
    <w:pPr>
      <w:numPr>
        <w:ilvl w:val="3"/>
        <w:numId w:val="20"/>
      </w:numPr>
    </w:pPr>
  </w:style>
  <w:style w:type="paragraph" w:customStyle="1" w:styleId="Point2letter">
    <w:name w:val="Point 2 (letter)"/>
    <w:basedOn w:val="Normal"/>
    <w:rsid w:val="009B7138"/>
    <w:pPr>
      <w:numPr>
        <w:ilvl w:val="5"/>
        <w:numId w:val="20"/>
      </w:numPr>
    </w:pPr>
  </w:style>
  <w:style w:type="paragraph" w:customStyle="1" w:styleId="Point3letter">
    <w:name w:val="Point 3 (letter)"/>
    <w:basedOn w:val="Normal"/>
    <w:rsid w:val="009B7138"/>
    <w:pPr>
      <w:numPr>
        <w:ilvl w:val="7"/>
        <w:numId w:val="20"/>
      </w:numPr>
    </w:pPr>
  </w:style>
  <w:style w:type="paragraph" w:customStyle="1" w:styleId="Point4letter">
    <w:name w:val="Point 4 (letter)"/>
    <w:basedOn w:val="Normal"/>
    <w:rsid w:val="009B7138"/>
    <w:pPr>
      <w:numPr>
        <w:ilvl w:val="8"/>
        <w:numId w:val="20"/>
      </w:numPr>
    </w:pPr>
  </w:style>
  <w:style w:type="paragraph" w:customStyle="1" w:styleId="Bullet0">
    <w:name w:val="Bullet 0"/>
    <w:basedOn w:val="Normal"/>
    <w:rsid w:val="009B7138"/>
    <w:pPr>
      <w:numPr>
        <w:numId w:val="21"/>
      </w:numPr>
    </w:pPr>
  </w:style>
  <w:style w:type="paragraph" w:customStyle="1" w:styleId="Bullet1">
    <w:name w:val="Bullet 1"/>
    <w:basedOn w:val="Normal"/>
    <w:rsid w:val="009B7138"/>
    <w:pPr>
      <w:numPr>
        <w:numId w:val="22"/>
      </w:numPr>
    </w:pPr>
  </w:style>
  <w:style w:type="paragraph" w:customStyle="1" w:styleId="Bullet2">
    <w:name w:val="Bullet 2"/>
    <w:basedOn w:val="Normal"/>
    <w:rsid w:val="009B7138"/>
    <w:pPr>
      <w:numPr>
        <w:numId w:val="23"/>
      </w:numPr>
    </w:pPr>
  </w:style>
  <w:style w:type="paragraph" w:customStyle="1" w:styleId="Bullet3">
    <w:name w:val="Bullet 3"/>
    <w:basedOn w:val="Normal"/>
    <w:rsid w:val="009B7138"/>
    <w:pPr>
      <w:numPr>
        <w:numId w:val="24"/>
      </w:numPr>
    </w:pPr>
  </w:style>
  <w:style w:type="paragraph" w:customStyle="1" w:styleId="Bullet4">
    <w:name w:val="Bullet 4"/>
    <w:basedOn w:val="Normal"/>
    <w:rsid w:val="009B7138"/>
    <w:pPr>
      <w:numPr>
        <w:numId w:val="25"/>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26"/>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3815561">
      <w:bodyDiv w:val="1"/>
      <w:marLeft w:val="0"/>
      <w:marRight w:val="0"/>
      <w:marTop w:val="0"/>
      <w:marBottom w:val="0"/>
      <w:divBdr>
        <w:top w:val="none" w:sz="0" w:space="0" w:color="auto"/>
        <w:left w:val="none" w:sz="0" w:space="0" w:color="auto"/>
        <w:bottom w:val="none" w:sz="0" w:space="0" w:color="auto"/>
        <w:right w:val="none" w:sz="0" w:space="0" w:color="auto"/>
      </w:divBdr>
    </w:div>
    <w:div w:id="208745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EA9BCB-AEBE-45D4-BF3C-B16A36299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3</Pages>
  <Words>1371</Words>
  <Characters>8457</Characters>
  <Application>Microsoft Office Word</Application>
  <DocSecurity>0</DocSecurity>
  <Lines>160</Lines>
  <Paragraphs>61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EBA Staff</dc:creator>
  <cp:lastModifiedBy>BALOGH Bela (DGT)</cp:lastModifiedBy>
  <cp:revision>3</cp:revision>
  <cp:lastPrinted>2019-11-13T10:58:00Z</cp:lastPrinted>
  <dcterms:created xsi:type="dcterms:W3CDTF">2020-01-23T13:41:00Z</dcterms:created>
  <dcterms:modified xsi:type="dcterms:W3CDTF">2020-01-23T13:41:00Z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5.8.22.0</vt:lpwstr>
  </property>
  <property fmtid="{D5CDD505-2E9C-101B-9397-08002B2CF9AE}" pid="4" name="Created using">
    <vt:lpwstr>LW 5.8, Build 20110311</vt:lpwstr>
  </property>
  <property fmtid="{D5CDD505-2E9C-101B-9397-08002B2CF9AE}" pid="5" name="Last edited using">
    <vt:lpwstr>LW 7.0, Build 20190717</vt:lpwstr>
  </property>
  <property fmtid="{D5CDD505-2E9C-101B-9397-08002B2CF9AE}" pid="6" name="_NewReviewCycle">
    <vt:lpwstr/>
  </property>
  <property fmtid="{D5CDD505-2E9C-101B-9397-08002B2CF9AE}" pid="7" name="LWTemplateID">
    <vt:lpwstr>SJ-004</vt:lpwstr>
  </property>
  <property fmtid="{D5CDD505-2E9C-101B-9397-08002B2CF9AE}" pid="8" name="Level of sensitivity">
    <vt:lpwstr>Standard treatment</vt:lpwstr>
  </property>
  <property fmtid="{D5CDD505-2E9C-101B-9397-08002B2CF9AE}" pid="9" name="Part">
    <vt:lpwstr>1</vt:lpwstr>
  </property>
  <property fmtid="{D5CDD505-2E9C-101B-9397-08002B2CF9AE}" pid="10" name="Total parts">
    <vt:lpwstr>1</vt:lpwstr>
  </property>
  <property fmtid="{D5CDD505-2E9C-101B-9397-08002B2CF9AE}" pid="11" name="DQCStatus">
    <vt:lpwstr>Green (DQC version 03)</vt:lpwstr>
  </property>
</Properties>
</file>