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730DF267" w:rsidR="00003743" w:rsidRPr="001F5145" w:rsidRDefault="00F63B1F" w:rsidP="005C4A2C">
      <w:pPr>
        <w:pStyle w:val="Pagedecouverture"/>
      </w:pPr>
      <w:bookmarkStart w:id="0" w:name="_GoBack"/>
      <w:bookmarkEnd w:id="0"/>
      <w:r>
        <w:pict w14:anchorId="1A004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DA19AEC-B2A9-4E19-AE7B-4A50E0826FF4" style="width:450.55pt;height:395.65pt">
            <v:imagedata r:id="rId8" o:title=""/>
          </v:shape>
        </w:pict>
      </w:r>
    </w:p>
    <w:p w14:paraId="7EA50C89" w14:textId="77777777" w:rsidR="00003743" w:rsidRPr="001F5145" w:rsidRDefault="00003743">
      <w:pPr>
        <w:sectPr w:rsidR="00003743" w:rsidRPr="001F5145" w:rsidSect="00137E80">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35B83861" w:rsidR="00003743" w:rsidRPr="001F5145" w:rsidRDefault="005C4A2C" w:rsidP="005C4A2C">
      <w:pPr>
        <w:pStyle w:val="Typedudocument"/>
      </w:pPr>
      <w:r w:rsidRPr="005C4A2C">
        <w:lastRenderedPageBreak/>
        <w:t>KOMISIJOS ĮGYVENDINIMO REGLAMENTAS (ES) …/...</w:t>
      </w:r>
    </w:p>
    <w:p w14:paraId="2AAC3DEF" w14:textId="7ADC0981" w:rsidR="00003743" w:rsidRPr="001F5145" w:rsidRDefault="005C4A2C" w:rsidP="005C4A2C">
      <w:pPr>
        <w:pStyle w:val="Datedadoption"/>
        <w:rPr>
          <w:rStyle w:val="Marker2"/>
        </w:rPr>
      </w:pPr>
      <w:r w:rsidRPr="005C4A2C">
        <w:rPr>
          <w:rStyle w:val="Marker2"/>
        </w:rPr>
        <w:t>XXX</w:t>
      </w:r>
    </w:p>
    <w:p w14:paraId="2CD0C74D" w14:textId="6278540F" w:rsidR="00003743" w:rsidRPr="001F5145" w:rsidRDefault="005C4A2C" w:rsidP="005C4A2C">
      <w:pPr>
        <w:pStyle w:val="Titreobjet"/>
      </w:pPr>
      <w:r w:rsidRPr="005C4A2C">
        <w:t>kuriuo iš dalies keičiamas Įgyvendinimo reglamentas (ES) Nr. 680/2014, kuriuo pagal Europos Parlamento ir Tarybos reglamentą (ES) Nr. 575/2013 nustatomi įstaigų priežiūros ataskaitų teikimo techniniai įgyvendinimo standartai</w:t>
      </w:r>
    </w:p>
    <w:p w14:paraId="607AA7C4" w14:textId="0345E957" w:rsidR="00003743" w:rsidRPr="001F5145" w:rsidRDefault="005C4A2C" w:rsidP="005C4A2C">
      <w:pPr>
        <w:pStyle w:val="IntrtEEE"/>
      </w:pPr>
      <w:r w:rsidRPr="005C4A2C">
        <w:t>(Tekstas svarbus EEE)</w:t>
      </w:r>
    </w:p>
    <w:p w14:paraId="5C82FF64" w14:textId="77777777" w:rsidR="00003743" w:rsidRPr="001F5145" w:rsidRDefault="001B445C">
      <w:pPr>
        <w:pStyle w:val="Institutionquiagit"/>
      </w:pPr>
      <w:r w:rsidRPr="001F5145">
        <w:t>EUROPOS KOMISIJA,</w:t>
      </w:r>
    </w:p>
    <w:p w14:paraId="288C7C77" w14:textId="77777777" w:rsidR="00003743" w:rsidRPr="001F5145" w:rsidRDefault="001B445C">
      <w:r w:rsidRPr="001F5145">
        <w:t>atsižvelgdama į Sutartį dėl Europos Sąjungos veikimo,</w:t>
      </w:r>
    </w:p>
    <w:p w14:paraId="308FB29B" w14:textId="2835F500" w:rsidR="00003743" w:rsidRPr="001F5145" w:rsidRDefault="001B445C">
      <w:r w:rsidRPr="001F5145">
        <w:t>atsižvelgdama į 2013 m. birželio 26 d. Europos Parlamento ir Tarybos reglamentą (ES) Nr. 575/2013 dėl prudencinių reikalavimų kredito įstaigoms ir investicinėms įmonėms ir kuriuo iš dalies keičiamas Reglamentas (ES) Nr. 648/2012</w:t>
      </w:r>
      <w:r w:rsidRPr="001F5145">
        <w:rPr>
          <w:rStyle w:val="FootnoteReference"/>
        </w:rPr>
        <w:footnoteReference w:id="1"/>
      </w:r>
      <w:r w:rsidRPr="001F5145">
        <w:t>, ypač į jo 99 straipsnio 5 dalį,</w:t>
      </w:r>
    </w:p>
    <w:p w14:paraId="13C3A1D4" w14:textId="77777777" w:rsidR="00003743" w:rsidRPr="001F5145" w:rsidRDefault="001B445C">
      <w:r w:rsidRPr="001F5145">
        <w:t>kadangi:</w:t>
      </w:r>
    </w:p>
    <w:p w14:paraId="5323FA5C" w14:textId="6D899A74" w:rsidR="00003743" w:rsidRPr="001F5145" w:rsidRDefault="001B445C">
      <w:pPr>
        <w:pStyle w:val="Considrant"/>
        <w:numPr>
          <w:ilvl w:val="0"/>
          <w:numId w:val="10"/>
        </w:numPr>
      </w:pPr>
      <w:r w:rsidRPr="001F5145">
        <w:t>Komisijos įgyvendinimo reglamentu (ES) Nr. 680/2014</w:t>
      </w:r>
      <w:r w:rsidRPr="001F5145">
        <w:rPr>
          <w:rStyle w:val="FootnoteReference"/>
        </w:rPr>
        <w:footnoteReference w:id="2"/>
      </w:r>
      <w:r w:rsidRPr="001F5145">
        <w:t xml:space="preserve"> įstaigoms nustatomi vienodi reikalavimai dėl priežiūros ataskaitų teikimo kompetentingoms institucijoms taikant Reglamento (ES) Nr. 575/2013 99 ir 100 straipsnius, 101 straipsnio 4 dalies a punktą, 394 straipsnio 1 dalį ir 415 bei 430 straipsnius;</w:t>
      </w:r>
    </w:p>
    <w:p w14:paraId="26488C0A" w14:textId="7104C3B3" w:rsidR="00003743" w:rsidRPr="001F5145" w:rsidRDefault="00EA64E6">
      <w:pPr>
        <w:pStyle w:val="Considrant"/>
      </w:pPr>
      <w:r w:rsidRPr="001F5145">
        <w:t>Europos Parlamento ir Tarybos reglamentu (ES) 2017/2402</w:t>
      </w:r>
      <w:r w:rsidRPr="001F5145">
        <w:rPr>
          <w:rStyle w:val="FootnoteReference"/>
        </w:rPr>
        <w:footnoteReference w:id="3"/>
      </w:r>
      <w:r w:rsidRPr="001F5145">
        <w:t xml:space="preserve"> nustatyta nauja pakeitimo vertybiniais popieriais sistema, įskaitant specialiąją paprasto, skaidraus ir standartizuoto (PSS) pakeitimo vertybiniais popieriais sistemą. Juo nustatyta lengvatinė tvarka, taikoma PSS pakeitimui vertybiniais popieriais ir tam tikrų rūšių MVĮ sintetiniam pakeitimui vertybiniais popieriais, taip pat rizikai jautresnė pakeitimo vertybiniais popieriais pozicijų reglamentavimo sistema. Įgyvendinimo reglamentą (ES) Nr. 680/2014 reikia iš dalies pakeisti, kad prievolė teikti informaciją apie pakeitimo vertybiniais popieriais pozicijas būtų pritaikyta prie šios naujos pakeitimo vertybiniais popieriais sistemos;</w:t>
      </w:r>
    </w:p>
    <w:p w14:paraId="483135B2" w14:textId="65B6C67D" w:rsidR="00003743" w:rsidRPr="001F5145" w:rsidRDefault="00D913C8">
      <w:pPr>
        <w:pStyle w:val="Considrant"/>
      </w:pPr>
      <w:r w:rsidRPr="001F5145">
        <w:lastRenderedPageBreak/>
        <w:t>Komisijos reglamentas (EB) Nr. 1126/2008</w:t>
      </w:r>
      <w:r w:rsidRPr="001F5145">
        <w:rPr>
          <w:rStyle w:val="FootnoteReference"/>
        </w:rPr>
        <w:footnoteReference w:id="4"/>
      </w:r>
      <w:r w:rsidRPr="001F5145">
        <w:t xml:space="preserve"> iš dalies pakeistas Komisijos reglamentu (ES) 2017/1986</w:t>
      </w:r>
      <w:r w:rsidRPr="001F5145">
        <w:rPr>
          <w:rStyle w:val="FootnoteReference"/>
        </w:rPr>
        <w:footnoteReference w:id="5"/>
      </w:r>
      <w:r w:rsidRPr="001F5145">
        <w:t>, kad tas reglamentas būtų suderintas su 16-tuoju tarptautiniu finansinės atskaitomybės standartu (TFAS) „Nuoma“, kurį Tarptautinių apskaitos standartų valdyba (TASV) paskelbė 2016 m. sausio 13 d. Kad būtų atsižvelgta į tuos pakeitimus, dabar reikia iš dalies pakeisti Įgyvendinimo reglamentą (ES) Nr. 680/2014;</w:t>
      </w:r>
    </w:p>
    <w:p w14:paraId="22E5D43E" w14:textId="77777777" w:rsidR="00003743" w:rsidRPr="001F5145" w:rsidRDefault="00EE58F1">
      <w:pPr>
        <w:pStyle w:val="Considrant"/>
        <w:rPr>
          <w:color w:val="000000"/>
        </w:rPr>
      </w:pPr>
      <w:r w:rsidRPr="001F5145">
        <w:t>kompetentingos institucijos turėtų turėti galimybę veiksmingai stebėti ir vertinti įstaigų rizikos profilius ir susidaryti finansų sektoriui kylančios rizikos vaizdą. Aukštas neveiksnių pozicijų lygis veikia įstaigų rizikos profilius, pelningumą ir mokumą, o galiausiai – ir skolinimo visai ekonomikai pajėgumą. Todėl reikėtų peržiūrėti informacijos teikimo reikalavimus, kad būtų pagerinta galimybė kompetentingoms institucijoms vertinti ir stebėti neveiksnias pozicijas periodiškai renkant detalesnę informaciją apie tas pozicijas ir panaikinti nustatytas duomenų spragas;</w:t>
      </w:r>
    </w:p>
    <w:p w14:paraId="660C1B8C" w14:textId="77777777" w:rsidR="00003743" w:rsidRPr="001F5145" w:rsidRDefault="00F95996">
      <w:pPr>
        <w:pStyle w:val="Considrant"/>
        <w:rPr>
          <w:color w:val="000000"/>
        </w:rPr>
      </w:pPr>
      <w:r w:rsidRPr="001F5145">
        <w:t>be to, įstaigų verslo modelių pelningumui ir tvarumui reikšmingą įtaką daro įstaigų išlaidų struktūra ir mastas. Kad kompetentingos institucijos galėtų geriau suprasti tas išlaidas, reikėtų pagerinti informacijos teikimo sistemą;</w:t>
      </w:r>
    </w:p>
    <w:p w14:paraId="7989BF92" w14:textId="77777777" w:rsidR="00003743" w:rsidRPr="001F5145" w:rsidRDefault="00EA64E6">
      <w:pPr>
        <w:pStyle w:val="Considrant"/>
      </w:pPr>
      <w:r w:rsidRPr="001F5145">
        <w:t>siekiant Komisijos deleguotąjį reglamentą (ES) 2015/61</w:t>
      </w:r>
      <w:r w:rsidRPr="001F5145">
        <w:rPr>
          <w:rStyle w:val="FootnoteReference"/>
        </w:rPr>
        <w:footnoteReference w:id="6"/>
      </w:r>
      <w:r w:rsidRPr="001F5145">
        <w:t xml:space="preserve"> labiau suderinti su tarptautiniais standartais ir padėti kredito įstaigoms veiksmingiau valdyti likvidumą, tas reglamentas iš dalies pakeistas Komisijos deleguotuoju reglamentu (ES) 2018/1620</w:t>
      </w:r>
      <w:r w:rsidRPr="001F5145">
        <w:rPr>
          <w:rStyle w:val="FootnoteReference"/>
        </w:rPr>
        <w:footnoteReference w:id="7"/>
      </w:r>
      <w:r w:rsidRPr="001F5145">
        <w:t>.</w:t>
      </w:r>
      <w:r w:rsidRPr="001F5145">
        <w:rPr>
          <w:color w:val="444444"/>
        </w:rPr>
        <w:t xml:space="preserve"> </w:t>
      </w:r>
      <w:r w:rsidRPr="001F5145">
        <w:t>Siekiant atsižvelgti į tuos pakeitimus, susijusius su informacijos apie kredito įstaigoms taikomus padengimo likvidžiuoju turtu reikalavimus teikimo sistema, reikėtų taip pat iš dalies pakeisti Įgyvendinimo reglamentą (ES) Nr. 680/2014;</w:t>
      </w:r>
    </w:p>
    <w:p w14:paraId="34872B97" w14:textId="77777777" w:rsidR="00003743" w:rsidRPr="001F5145" w:rsidRDefault="003F04FB">
      <w:pPr>
        <w:pStyle w:val="Considrant"/>
      </w:pPr>
      <w:r w:rsidRPr="001F5145">
        <w:t>be to, reikėtų peržiūrėti Įgyvendinimo reglamento (ES) Nr. 680/2014 formas ir nurodymus, siekiant iš naujo įvertinti to reglamento įgyvendinimo pradžioje į formas ir nurodymus įtrauktų papildomų straipsnių patogumą ir tinkamumą ir ištaisyti jį taikant aptiktas korektūros klaidas, klaidingas nuorodas ir formatavimo nenuoseklumą;</w:t>
      </w:r>
    </w:p>
    <w:p w14:paraId="40A01AE5" w14:textId="5ED49F5D" w:rsidR="00003743" w:rsidRPr="001F5145" w:rsidRDefault="00B31B60">
      <w:pPr>
        <w:pStyle w:val="Considrant"/>
      </w:pPr>
      <w:r w:rsidRPr="001F5145">
        <w:t xml:space="preserve">kad galėtų veiksmingai vykdyti priežiūros funkcijas, kompetentingos institucijos turėtų turėti galimybę informaciją iš įstaigų pagal šiuo įgyvendinimo reglamentu iš dalies pakeistas formas gauti kuo greičiau. Nauja pakeitimo vertybiniais popieriais Sąjungos sistema visapusiškai pradedama taikyti nustojus galioti pereinamojo laikotarpio nuostatoms 2020 m. sausio 1 d. Todėl šiame įgyvendinimo reglamente nustatyti peržiūrėti informacijos apie nuosavas lėšas ir nuosavų lėšų reikalavimus teikimo reikalavimai turėtų būti pradėti taikyti 2020 m. kovo 30 d. Siekiant įstaigoms ir kompetentingoms institucijoms suteikti pakankamai laiko įgyvendinti peržiūrėtus informacijos apie neveiksnias pozicijas, skolinius įsipareigojimus, kuriems taikomos restruktūrizavimo priemonės, veiklos ir administracines išlaidas ir finansinės informacijos teikimo reikalavimus, kurie išdėstyti šio įgyvendinimo reglamento III–V prieduose, tie peržiūrėti informacijos teikimo reikalavimai turėtų būti taikomi nuo 2020 m. birželio 1 d. Galiausiai, atsižvelgiant į Deleguotuoju reglamentu (ES) 2018/1620 nustatytus pakeitimus, taikomus nuo 2019 m. balandžio 30 d., šio įgyvendinimo reglamento nuostatos dėl informacijos apie likvidumą teikimo turėtų būti taikomos nuo 2020 m. balandžio 1 d.; </w:t>
      </w:r>
    </w:p>
    <w:p w14:paraId="59349144" w14:textId="77777777" w:rsidR="00003743" w:rsidRPr="001F5145" w:rsidRDefault="001B445C">
      <w:pPr>
        <w:pStyle w:val="Considrant"/>
        <w:rPr>
          <w:color w:val="000000"/>
        </w:rPr>
      </w:pPr>
      <w:r w:rsidRPr="001F5145">
        <w:t>šis reglamentas grindžiamas Europos bankininkystės institucijos (EBI) Komisijai pateiktais techninių įgyvendinimo standartų projektais;</w:t>
      </w:r>
    </w:p>
    <w:p w14:paraId="50B5C1E2" w14:textId="77777777" w:rsidR="00003743" w:rsidRPr="001F5145" w:rsidRDefault="001B445C">
      <w:pPr>
        <w:pStyle w:val="Considrant"/>
        <w:rPr>
          <w:color w:val="000000"/>
        </w:rPr>
      </w:pPr>
      <w:r w:rsidRPr="001F5145">
        <w:t>EBI dėl techninių įgyvendinimo standartų projektų, kuriais pagrįstas šis reglamentas, surengė atviras viešas konsultacijas, išnagrinėjo galimas susijusias sąnaudas ir naudą ir paprašė Bankininkystės suinteresuotųjų subjektų grupės, įsteigtos pagal Europos Parlamento ir Tarybos reglamento (ES) Nr. 1093/2010</w:t>
      </w:r>
      <w:r w:rsidRPr="001F5145">
        <w:rPr>
          <w:rStyle w:val="FootnoteReference"/>
        </w:rPr>
        <w:footnoteReference w:id="8"/>
      </w:r>
      <w:r w:rsidRPr="001F5145">
        <w:t xml:space="preserve"> 37 straipsnį, pateikti savo nuomonę. Pagal to reglamento 15 straipsnio 1 dalies antrą pastraipą EBI nerengė atvirų viešų konsultacijų dėl tų techninių įgyvendinimo standartų projektų dalių, kuriomis grindžiamas šis reglamentas ir kurios yra arba redakcinio pobūdžio, arba jomis nustatomi tik keli nauji priežiūros ataskaitų teikimo sistemos punktai. Tokios konsultacijos atitinkamų techninių įgyvendinimo standartų projektų taikymo srities ir poveikio atžvilgiu būtų neproporcingos;</w:t>
      </w:r>
    </w:p>
    <w:p w14:paraId="67DBCF52" w14:textId="77777777" w:rsidR="00003743" w:rsidRPr="001F5145" w:rsidRDefault="001B445C">
      <w:pPr>
        <w:pStyle w:val="Considrant"/>
        <w:rPr>
          <w:color w:val="000000"/>
        </w:rPr>
      </w:pPr>
      <w:r w:rsidRPr="001F5145">
        <w:t>todėl Įgyvendinimo reglamentas (ES) Nr. 680/2014 turėtų būti atitinkamai iš dalies pakeistas,</w:t>
      </w:r>
    </w:p>
    <w:p w14:paraId="76AD5CEB" w14:textId="77777777" w:rsidR="00003743" w:rsidRPr="001F5145" w:rsidRDefault="001B445C">
      <w:pPr>
        <w:pStyle w:val="Formuledadoption"/>
      </w:pPr>
      <w:r w:rsidRPr="001F5145">
        <w:t>PRIĖMĖ ŠĮ REGLAMENTĄ:</w:t>
      </w:r>
    </w:p>
    <w:p w14:paraId="73D2A54B" w14:textId="77777777" w:rsidR="00003743" w:rsidRPr="001F5145" w:rsidRDefault="001B445C">
      <w:pPr>
        <w:pStyle w:val="Titrearticle"/>
        <w:keepLines/>
        <w:rPr>
          <w:color w:val="000000"/>
          <w:szCs w:val="24"/>
        </w:rPr>
      </w:pPr>
      <w:r w:rsidRPr="001F5145">
        <w:t>1 straipsnis</w:t>
      </w:r>
    </w:p>
    <w:p w14:paraId="731C2D3F" w14:textId="59043673" w:rsidR="00003743" w:rsidRPr="001F5145" w:rsidRDefault="001B445C">
      <w:pPr>
        <w:rPr>
          <w:szCs w:val="24"/>
        </w:rPr>
      </w:pPr>
      <w:r w:rsidRPr="001F5145">
        <w:t>Įgyvendinimo reglamentas (ES) Nr. 680/2014 iš dalies keičiamas taip:</w:t>
      </w:r>
    </w:p>
    <w:p w14:paraId="1B00C599" w14:textId="77777777" w:rsidR="00003743" w:rsidRPr="001F5145" w:rsidRDefault="00C63439">
      <w:pPr>
        <w:pStyle w:val="Point0number"/>
        <w:numPr>
          <w:ilvl w:val="0"/>
          <w:numId w:val="12"/>
        </w:numPr>
      </w:pPr>
      <w:r w:rsidRPr="001F5145">
        <w:t>5 straipsnis iš dalies keičiamas taip:</w:t>
      </w:r>
    </w:p>
    <w:p w14:paraId="07A92DDE" w14:textId="77777777" w:rsidR="00003743" w:rsidRPr="001F5145" w:rsidRDefault="00C63439">
      <w:pPr>
        <w:pStyle w:val="Point1letter"/>
        <w:numPr>
          <w:ilvl w:val="3"/>
          <w:numId w:val="11"/>
        </w:numPr>
      </w:pPr>
      <w:r w:rsidRPr="001F5145">
        <w:t>a punktas iš dalies keičiamas taip:</w:t>
      </w:r>
    </w:p>
    <w:p w14:paraId="0051425E" w14:textId="77777777" w:rsidR="00003743" w:rsidRPr="001F5145" w:rsidRDefault="00294A2C">
      <w:pPr>
        <w:pStyle w:val="Text2"/>
      </w:pPr>
      <w:r w:rsidRPr="001F5145">
        <w:t>i)</w:t>
      </w:r>
      <w:r w:rsidRPr="001F5145">
        <w:tab/>
        <w:t>7 papunktis išbraukiamas;</w:t>
      </w:r>
    </w:p>
    <w:p w14:paraId="486BC3C6" w14:textId="77777777" w:rsidR="00003743" w:rsidRPr="001F5145" w:rsidRDefault="00294A2C">
      <w:pPr>
        <w:pStyle w:val="Text2"/>
      </w:pPr>
      <w:r w:rsidRPr="001F5145">
        <w:t>ii)</w:t>
      </w:r>
      <w:r w:rsidRPr="001F5145">
        <w:tab/>
        <w:t>8 papunktis pakeičiamas taip:</w:t>
      </w:r>
    </w:p>
    <w:p w14:paraId="6942628A" w14:textId="77777777" w:rsidR="00003743" w:rsidRPr="001F5145" w:rsidRDefault="00294A2C">
      <w:pPr>
        <w:pStyle w:val="Text1"/>
        <w:ind w:left="2268" w:right="568" w:hanging="567"/>
        <w:rPr>
          <w:szCs w:val="24"/>
        </w:rPr>
      </w:pPr>
      <w:r w:rsidRPr="001F5145">
        <w:t>„8)</w:t>
      </w:r>
      <w:r w:rsidRPr="001F5145">
        <w:tab/>
        <w:t>informaciją apie pakeitimo vertybiniais popieriais pozicijas, nurodytas I priedo 13.01 formoje, pagal II priedo II dalies 3.7 punkto nurodymus;“;</w:t>
      </w:r>
    </w:p>
    <w:p w14:paraId="32CB27AB" w14:textId="77777777" w:rsidR="00003743" w:rsidRPr="001F5145" w:rsidRDefault="00D63710">
      <w:pPr>
        <w:pStyle w:val="Point1letter"/>
      </w:pPr>
      <w:r w:rsidRPr="001F5145">
        <w:t>b punkto 1 papunktis pakeičiamas taip:</w:t>
      </w:r>
    </w:p>
    <w:p w14:paraId="2C729D6F" w14:textId="1DF29E03" w:rsidR="00003743" w:rsidRPr="001F5145" w:rsidRDefault="00DC3927">
      <w:pPr>
        <w:pStyle w:val="Text1"/>
        <w:ind w:left="1701" w:right="568" w:hanging="567"/>
        <w:rPr>
          <w:szCs w:val="24"/>
        </w:rPr>
      </w:pPr>
      <w:r w:rsidRPr="001F5145">
        <w:t>„1)</w:t>
      </w:r>
      <w:r w:rsidRPr="001F5145">
        <w:tab/>
        <w:t>informaciją apie visas pakeitimo vertybiniais popieriais pozicijas, kaip nurodyta I priedo 14 ir 14.01 formose, pagal II priedo II dalies 3.9 punkto nurodymus.</w:t>
      </w:r>
    </w:p>
    <w:p w14:paraId="36BD954D" w14:textId="62EBDF1E" w:rsidR="00003743" w:rsidRPr="001F5145" w:rsidRDefault="002A096A">
      <w:pPr>
        <w:pStyle w:val="Text1"/>
        <w:ind w:left="1701" w:right="568"/>
        <w:rPr>
          <w:szCs w:val="24"/>
        </w:rPr>
      </w:pPr>
      <w:r w:rsidRPr="001F5145">
        <w:t>Reikalavimas pateikti išsamią informaciją apie pakeitimą vertybiniais popieriais įstaigoms netaikomas, kai jos priklauso grupei toje pačioje šalyje, kurioje joms taikomi nuosavų lėšų reikalavimai;“;</w:t>
      </w:r>
    </w:p>
    <w:p w14:paraId="22157E12" w14:textId="77777777" w:rsidR="00003743" w:rsidRPr="001F5145" w:rsidRDefault="00DC3927">
      <w:r w:rsidRPr="001F5145">
        <w:t>2)</w:t>
      </w:r>
      <w:r w:rsidRPr="001F5145">
        <w:tab/>
        <w:t>9 straipsnio 2 dalis iš dalies keičiama taip:</w:t>
      </w:r>
    </w:p>
    <w:p w14:paraId="2D923CE0" w14:textId="77777777" w:rsidR="00003743" w:rsidRPr="001F5145" w:rsidRDefault="00C52F81">
      <w:pPr>
        <w:pStyle w:val="Text1"/>
      </w:pPr>
      <w:r w:rsidRPr="001F5145">
        <w:t>i)</w:t>
      </w:r>
      <w:r w:rsidRPr="001F5145">
        <w:tab/>
        <w:t>c punktas pakeičiamas taip:</w:t>
      </w:r>
    </w:p>
    <w:p w14:paraId="5E362A06" w14:textId="77777777" w:rsidR="00003743" w:rsidRPr="001F5145" w:rsidRDefault="00DC3927">
      <w:pPr>
        <w:pStyle w:val="Text1"/>
        <w:ind w:left="1701" w:right="568" w:hanging="567"/>
        <w:rPr>
          <w:szCs w:val="24"/>
        </w:rPr>
      </w:pPr>
      <w:r w:rsidRPr="001F5145">
        <w:t>„c)</w:t>
      </w:r>
      <w:r w:rsidRPr="001F5145">
        <w:tab/>
        <w:t>III priedo 4 dalyje nurodyta informacija, išskyrus 47 formoje nurodytą informaciją, pateikiama kas metus;“;</w:t>
      </w:r>
    </w:p>
    <w:p w14:paraId="5EF72169" w14:textId="77777777" w:rsidR="00003743" w:rsidRPr="001F5145" w:rsidRDefault="00C52F81">
      <w:pPr>
        <w:pStyle w:val="Text1"/>
      </w:pPr>
      <w:r w:rsidRPr="001F5145">
        <w:t>ii)</w:t>
      </w:r>
      <w:r w:rsidRPr="001F5145">
        <w:tab/>
        <w:t>dalis papildoma šiais h ir i punktais:</w:t>
      </w:r>
    </w:p>
    <w:p w14:paraId="49C9B54D" w14:textId="77777777" w:rsidR="00003743" w:rsidRPr="001F5145" w:rsidRDefault="00C52F81">
      <w:pPr>
        <w:pStyle w:val="Text1"/>
        <w:ind w:left="1701" w:right="568" w:hanging="567"/>
        <w:rPr>
          <w:szCs w:val="24"/>
        </w:rPr>
      </w:pPr>
      <w:r w:rsidRPr="001F5145">
        <w:t>„h)</w:t>
      </w:r>
      <w:r w:rsidRPr="001F5145">
        <w:tab/>
        <w:t>III priedo 2 dalies 23–26 formose nurodyta informacija pateikiama kas ketvirtį, jei įvykdomos abi šios sąlygos:</w:t>
      </w:r>
    </w:p>
    <w:p w14:paraId="5A3D23FC" w14:textId="77777777" w:rsidR="00003743" w:rsidRPr="001F5145" w:rsidRDefault="001B445C">
      <w:pPr>
        <w:pStyle w:val="Text2"/>
        <w:ind w:left="2268" w:right="568" w:hanging="567"/>
        <w:rPr>
          <w:szCs w:val="24"/>
        </w:rPr>
      </w:pPr>
      <w:r w:rsidRPr="001F5145">
        <w:t>i)</w:t>
      </w:r>
      <w:r w:rsidRPr="001F5145">
        <w:tab/>
        <w:t>įstaiga nėra maža ir nesudėtinga įstaiga, kaip apibrėžta Reglamento (ES) Nr. 575/2013 4 straipsnio 1 dalies 145 punkte;</w:t>
      </w:r>
    </w:p>
    <w:p w14:paraId="769A72A7" w14:textId="7FA489CA" w:rsidR="00003743" w:rsidRPr="001F5145" w:rsidRDefault="001B445C">
      <w:pPr>
        <w:pStyle w:val="Text2"/>
        <w:ind w:left="2268" w:right="568" w:hanging="567"/>
        <w:rPr>
          <w:szCs w:val="24"/>
        </w:rPr>
      </w:pPr>
      <w:r w:rsidRPr="001F5145">
        <w:t>ii)</w:t>
      </w:r>
      <w:r w:rsidRPr="001F5145">
        <w:tab/>
        <w:t>įstaigos neveiksnių paskolų ir išankstinių mokėjimų bendros balansinės vertės ir paskolų ir išankstinių mokėjimų, priklausančių neveiksnių pozicijų kategorijai, kaip nustatyta šio reglamento V priedo 2 dalies 17 skirsnyje, visos bendros balansinės vertės santykis yra lygus 5 % arba yra didesnis. Taikant šį papunktį, santykis neapima paskolų ir išankstinių mokėjimų, priskiriamų prie laikomų parduoti, lėšų centriniuose bankuose ir kitų indėlių iki pareikalavimo, tiek skaitiklyje, tiek vardiklyje.</w:t>
      </w:r>
    </w:p>
    <w:p w14:paraId="1E2D7764" w14:textId="77777777" w:rsidR="00003743" w:rsidRPr="001F5145" w:rsidRDefault="0084057B">
      <w:pPr>
        <w:pStyle w:val="Text2"/>
        <w:ind w:left="1678" w:right="568" w:firstLine="23"/>
        <w:rPr>
          <w:szCs w:val="24"/>
        </w:rPr>
      </w:pPr>
      <w:r w:rsidRPr="001F5145">
        <w:t>Taikomi 4 straipsnyje nurodyti prievolės taikymo ir netaikymo kriterijai;</w:t>
      </w:r>
    </w:p>
    <w:p w14:paraId="514A0195" w14:textId="77777777" w:rsidR="00003743" w:rsidRPr="001F5145" w:rsidRDefault="00D63710">
      <w:pPr>
        <w:pStyle w:val="Text1"/>
        <w:ind w:left="1701" w:right="568" w:hanging="567"/>
        <w:rPr>
          <w:szCs w:val="24"/>
        </w:rPr>
      </w:pPr>
      <w:r w:rsidRPr="001F5145">
        <w:t>i)</w:t>
      </w:r>
      <w:r w:rsidRPr="001F5145">
        <w:tab/>
        <w:t>III priedo 4 dalies 47 formoje nurodyta informacija pateikiama kas metus, jei įvykdomos abi šios dalies h punkto i ir ii papunkčiuose nurodytos sąlygos. Taikomi 4 straipsnyje nurodyti prievolės taikymo ir netaikymo kriterijai.“;</w:t>
      </w:r>
    </w:p>
    <w:p w14:paraId="1F2B8B32" w14:textId="77777777" w:rsidR="00003743" w:rsidRPr="001F5145" w:rsidRDefault="00D63710">
      <w:pPr>
        <w:pStyle w:val="Text1"/>
        <w:ind w:left="567" w:hanging="567"/>
        <w:rPr>
          <w:szCs w:val="24"/>
        </w:rPr>
      </w:pPr>
      <w:r w:rsidRPr="001F5145">
        <w:t>3)</w:t>
      </w:r>
      <w:r w:rsidRPr="001F5145">
        <w:tab/>
        <w:t>11 straipsnio 2 dalis iš dalies keičiama taip:</w:t>
      </w:r>
    </w:p>
    <w:p w14:paraId="6487BD60" w14:textId="77777777" w:rsidR="00003743" w:rsidRPr="001F5145" w:rsidRDefault="00D63710">
      <w:pPr>
        <w:pStyle w:val="Text1"/>
      </w:pPr>
      <w:r w:rsidRPr="001F5145">
        <w:t>i)</w:t>
      </w:r>
      <w:r w:rsidRPr="001F5145">
        <w:tab/>
        <w:t>c punktas pakeičiamas taip:</w:t>
      </w:r>
    </w:p>
    <w:p w14:paraId="4678FF44" w14:textId="77777777" w:rsidR="00003743" w:rsidRPr="001F5145" w:rsidRDefault="00D63710">
      <w:pPr>
        <w:pStyle w:val="Text1"/>
        <w:ind w:left="1701" w:right="568" w:hanging="567"/>
        <w:rPr>
          <w:szCs w:val="24"/>
        </w:rPr>
      </w:pPr>
      <w:r w:rsidRPr="001F5145">
        <w:t>„c)</w:t>
      </w:r>
      <w:r w:rsidRPr="001F5145">
        <w:tab/>
        <w:t>IV priedo 4 dalyje nurodyta informacija, išskyrus 47 formoje nurodytą informaciją, pateikiama kas metus;“;</w:t>
      </w:r>
    </w:p>
    <w:p w14:paraId="2AE5A30E" w14:textId="77777777" w:rsidR="00003743" w:rsidRPr="001F5145" w:rsidRDefault="00D63710">
      <w:pPr>
        <w:pStyle w:val="Text1"/>
      </w:pPr>
      <w:r w:rsidRPr="001F5145">
        <w:t>ii)</w:t>
      </w:r>
      <w:r w:rsidRPr="001F5145">
        <w:tab/>
        <w:t>dalis papildoma šiais h ir i punktais:</w:t>
      </w:r>
    </w:p>
    <w:p w14:paraId="46AD1146" w14:textId="77777777" w:rsidR="00003743" w:rsidRPr="001F5145" w:rsidRDefault="00D63710">
      <w:pPr>
        <w:pStyle w:val="Text1"/>
        <w:ind w:left="1701" w:hanging="567"/>
        <w:rPr>
          <w:szCs w:val="24"/>
        </w:rPr>
      </w:pPr>
      <w:r w:rsidRPr="001F5145">
        <w:t>„h)</w:t>
      </w:r>
      <w:r w:rsidRPr="001F5145">
        <w:tab/>
        <w:t>IV priedo 2 dalies 23–26 formose nurodyta informacija pateikiama kas ketvirtį, jei įvykdomos 9 straipsnio 2 dalies h punkto i ir ii papunkčiuose nurodytos sąlygos. Taikomi 4 straipsnyje nurodyti prievolės taikymo ir netaikymo kriterijai;</w:t>
      </w:r>
    </w:p>
    <w:p w14:paraId="787C8551" w14:textId="77777777" w:rsidR="00003743" w:rsidRPr="001F5145" w:rsidRDefault="001B445C">
      <w:pPr>
        <w:pStyle w:val="Text1"/>
        <w:ind w:left="1701" w:hanging="567"/>
        <w:rPr>
          <w:szCs w:val="24"/>
        </w:rPr>
      </w:pPr>
      <w:r w:rsidRPr="001F5145">
        <w:t>i)</w:t>
      </w:r>
      <w:r w:rsidRPr="001F5145">
        <w:tab/>
        <w:t>IV priedo 4 dalies 47 formoje nurodyta informacija pateikiama kas metus, jei įvykdomos 9 straipsnio 2 dalies h punkto i ir ii papunkčiuose nurodytos sąlygos. Taikomi 4 straipsnyje nurodyti prievolės taikymo ir netaikymo kriterijai.“;</w:t>
      </w:r>
    </w:p>
    <w:p w14:paraId="5C135AED" w14:textId="77777777" w:rsidR="00003743" w:rsidRPr="001F5145" w:rsidRDefault="00D63710">
      <w:r w:rsidRPr="001F5145">
        <w:t>4)</w:t>
      </w:r>
      <w:r w:rsidRPr="001F5145">
        <w:tab/>
        <w:t>Įgyvendinimo reglamento (ES) Nr. 680/2014 I priedas pakeičiamas šio reglamento I priedo tekstu;</w:t>
      </w:r>
    </w:p>
    <w:p w14:paraId="6D942284" w14:textId="77777777" w:rsidR="00003743" w:rsidRPr="001F5145" w:rsidRDefault="00D63710">
      <w:r w:rsidRPr="001F5145">
        <w:t>5)</w:t>
      </w:r>
      <w:r w:rsidRPr="001F5145">
        <w:tab/>
        <w:t xml:space="preserve">Įgyvendinimo reglamento (ES) Nr. 680/2014 II priedas pakeičiamas šio reglamento II priedo tekstu; </w:t>
      </w:r>
    </w:p>
    <w:p w14:paraId="66FD1BC9" w14:textId="77777777" w:rsidR="00003743" w:rsidRPr="001F5145" w:rsidRDefault="00D63710">
      <w:r w:rsidRPr="001F5145">
        <w:t>6)</w:t>
      </w:r>
      <w:r w:rsidRPr="001F5145">
        <w:tab/>
        <w:t xml:space="preserve">Įgyvendinimo reglamento (ES) Nr. 680/2014 III priedas pakeičiamas šio reglamento III priedo tekstu; </w:t>
      </w:r>
    </w:p>
    <w:p w14:paraId="171FD559" w14:textId="77777777" w:rsidR="00003743" w:rsidRPr="001F5145" w:rsidRDefault="00D63710">
      <w:r w:rsidRPr="001F5145">
        <w:t>7)</w:t>
      </w:r>
      <w:r w:rsidRPr="001F5145">
        <w:tab/>
        <w:t xml:space="preserve">Įgyvendinimo reglamento (ES) Nr. 680/2014 IV priedas pakeičiamas šio reglamento IV priedo tekstu; </w:t>
      </w:r>
    </w:p>
    <w:p w14:paraId="3B487D51" w14:textId="77777777" w:rsidR="00003743" w:rsidRPr="001F5145" w:rsidRDefault="00D63710">
      <w:r w:rsidRPr="001F5145">
        <w:t>8)</w:t>
      </w:r>
      <w:r w:rsidRPr="001F5145">
        <w:tab/>
        <w:t>Įgyvendinimo reglamento (ES) Nr. 680/2014 V priedas pakeičiamas šio reglamento V priedo tekstu;</w:t>
      </w:r>
    </w:p>
    <w:p w14:paraId="66FC58ED" w14:textId="77777777" w:rsidR="00003743" w:rsidRPr="001F5145" w:rsidRDefault="00D63710">
      <w:r w:rsidRPr="001F5145">
        <w:t>9)</w:t>
      </w:r>
      <w:r w:rsidRPr="001F5145">
        <w:tab/>
        <w:t>Įgyvendinimo reglamento (ES) Nr. 680/2014 XVIII priedas pakeičiamas šio reglamento VI priedo tekstu;</w:t>
      </w:r>
    </w:p>
    <w:p w14:paraId="79EC6764" w14:textId="77777777" w:rsidR="00003743" w:rsidRPr="001F5145" w:rsidRDefault="00D63710">
      <w:r w:rsidRPr="001F5145">
        <w:t>10)</w:t>
      </w:r>
      <w:r w:rsidRPr="001F5145">
        <w:tab/>
        <w:t xml:space="preserve">Įgyvendinimo reglamento (ES) Nr. 680/2014 XIX priedas pakeičiamas šio reglamento VII priedo tekstu; </w:t>
      </w:r>
    </w:p>
    <w:p w14:paraId="7D476BB9" w14:textId="77777777" w:rsidR="00003743" w:rsidRPr="001F5145" w:rsidRDefault="00D63710">
      <w:r w:rsidRPr="001F5145">
        <w:t>11)</w:t>
      </w:r>
      <w:r w:rsidRPr="001F5145">
        <w:tab/>
        <w:t>Įgyvendinimo reglamento (ES) Nr. 680/2014 XXIV priedas pakeičiamas šio reglamento VIII priedo tekstu;</w:t>
      </w:r>
    </w:p>
    <w:p w14:paraId="37FC96E9" w14:textId="77777777" w:rsidR="00003743" w:rsidRPr="001F5145" w:rsidRDefault="00D63710">
      <w:r w:rsidRPr="001F5145">
        <w:t>12)</w:t>
      </w:r>
      <w:r w:rsidRPr="001F5145">
        <w:tab/>
        <w:t>Įgyvendinimo reglamento (ES) Nr. 680/2014 XXV priedas pakeičiamas šio reglamento IX priedo tekstu.</w:t>
      </w:r>
    </w:p>
    <w:p w14:paraId="7036487A" w14:textId="77777777" w:rsidR="00003743" w:rsidRPr="001F5145" w:rsidRDefault="001B445C">
      <w:pPr>
        <w:pStyle w:val="Titrearticle"/>
        <w:keepLines/>
        <w:rPr>
          <w:color w:val="000000"/>
          <w:szCs w:val="24"/>
        </w:rPr>
      </w:pPr>
      <w:r w:rsidRPr="001F5145">
        <w:t>2 straipsnis</w:t>
      </w:r>
    </w:p>
    <w:p w14:paraId="6D87565F" w14:textId="66470D21" w:rsidR="00003743" w:rsidRPr="001F5145" w:rsidRDefault="001B445C">
      <w:pPr>
        <w:rPr>
          <w:color w:val="000000"/>
          <w:szCs w:val="24"/>
        </w:rPr>
      </w:pPr>
      <w:r w:rsidRPr="001F5145">
        <w:t xml:space="preserve">Šis reglamentas įsigalioja kitą dieną po jo paskelbimo </w:t>
      </w:r>
      <w:r w:rsidRPr="001F5145">
        <w:rPr>
          <w:i/>
          <w:iCs/>
        </w:rPr>
        <w:t>Europos Sąjungos oficialiajame leidinyje</w:t>
      </w:r>
      <w:r w:rsidRPr="001F5145">
        <w:t>.</w:t>
      </w:r>
    </w:p>
    <w:p w14:paraId="7C0963A2" w14:textId="4ECFA9D7" w:rsidR="00003743" w:rsidRPr="001F5145" w:rsidRDefault="00FB65A6">
      <w:pPr>
        <w:rPr>
          <w:color w:val="000000"/>
          <w:szCs w:val="24"/>
        </w:rPr>
      </w:pPr>
      <w:r w:rsidRPr="001F5145">
        <w:t>1 straipsnio 1, 4 ir 5 punktai taikomi nuo 2020 m. kovo 30 d. 1 straipsnio 9–12 punktai taikomi nuo 2020 m. balandžio 1 d. 1 straipsnio 2, 3 ir 6–8 punktai taikomi nuo 2020 m. birželio 1 d.</w:t>
      </w:r>
    </w:p>
    <w:p w14:paraId="0F403810" w14:textId="77777777" w:rsidR="00003743" w:rsidRPr="001F5145" w:rsidRDefault="001B445C">
      <w:pPr>
        <w:rPr>
          <w:color w:val="000000"/>
          <w:szCs w:val="24"/>
        </w:rPr>
      </w:pPr>
      <w:r w:rsidRPr="001F5145">
        <w:t>Šis reglamentas privalomas visas ir tiesiogiai taikomas visose valstybėse narėse.</w:t>
      </w:r>
    </w:p>
    <w:p w14:paraId="2DB37B2E" w14:textId="47472D7A" w:rsidR="00003743" w:rsidRPr="001F5145" w:rsidRDefault="005C4A2C" w:rsidP="005C4A2C">
      <w:pPr>
        <w:pStyle w:val="Fait"/>
      </w:pPr>
      <w:r w:rsidRPr="005C4A2C">
        <w:t>Priimta Briuselyje</w:t>
      </w:r>
    </w:p>
    <w:p w14:paraId="5989647B" w14:textId="77777777" w:rsidR="00003743" w:rsidRPr="001F5145" w:rsidRDefault="001B445C">
      <w:pPr>
        <w:pStyle w:val="Institutionquisigne"/>
      </w:pPr>
      <w:r w:rsidRPr="001F5145">
        <w:tab/>
        <w:t>Komisijos vardu</w:t>
      </w:r>
    </w:p>
    <w:p w14:paraId="06E0BB8C" w14:textId="7F367528" w:rsidR="00003743" w:rsidRPr="001F5145" w:rsidRDefault="00B71BC4">
      <w:pPr>
        <w:pStyle w:val="Personnequisigne"/>
      </w:pPr>
      <w:r w:rsidRPr="001F5145">
        <w:tab/>
        <w:t>Pirmininkė</w:t>
      </w:r>
      <w:r w:rsidRPr="001F5145">
        <w:br/>
      </w:r>
      <w:r w:rsidRPr="001F5145">
        <w:tab/>
        <w:t>Ursula von der Leyen</w:t>
      </w:r>
    </w:p>
    <w:sectPr w:rsidR="00003743" w:rsidRPr="001F5145" w:rsidSect="00137E80">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003743" w:rsidRDefault="001D2590">
      <w:r>
        <w:separator/>
      </w:r>
    </w:p>
    <w:p w14:paraId="169B0B81" w14:textId="77777777" w:rsidR="00003743" w:rsidRDefault="00003743"/>
    <w:p w14:paraId="55151859" w14:textId="77777777" w:rsidR="00003743" w:rsidRDefault="00003743"/>
  </w:endnote>
  <w:endnote w:type="continuationSeparator" w:id="0">
    <w:p w14:paraId="1F1B705E" w14:textId="77777777" w:rsidR="00003743" w:rsidRDefault="001D2590">
      <w:r>
        <w:continuationSeparator/>
      </w:r>
    </w:p>
    <w:p w14:paraId="7AB27653" w14:textId="77777777" w:rsidR="00003743" w:rsidRDefault="00003743"/>
    <w:p w14:paraId="2B72467D" w14:textId="77777777" w:rsidR="00003743" w:rsidRDefault="000037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BFFF7" w14:textId="77777777" w:rsidR="00137E80" w:rsidRPr="00137E80" w:rsidRDefault="00137E80" w:rsidP="00137E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14595B11" w:rsidR="002E61FA" w:rsidRPr="00137E80" w:rsidRDefault="00137E80" w:rsidP="00137E80">
    <w:pPr>
      <w:pStyle w:val="Footer"/>
      <w:rPr>
        <w:rFonts w:ascii="Arial" w:hAnsi="Arial" w:cs="Arial"/>
        <w:b/>
        <w:sz w:val="48"/>
      </w:rPr>
    </w:pPr>
    <w:r w:rsidRPr="00137E80">
      <w:rPr>
        <w:rFonts w:ascii="Arial" w:hAnsi="Arial" w:cs="Arial"/>
        <w:b/>
        <w:sz w:val="48"/>
      </w:rPr>
      <w:t>LT</w:t>
    </w:r>
    <w:r w:rsidRPr="00137E80">
      <w:rPr>
        <w:rFonts w:ascii="Arial" w:hAnsi="Arial" w:cs="Arial"/>
        <w:b/>
        <w:sz w:val="48"/>
      </w:rPr>
      <w:tab/>
    </w:r>
    <w:r w:rsidRPr="00137E80">
      <w:rPr>
        <w:rFonts w:ascii="Arial" w:hAnsi="Arial" w:cs="Arial"/>
        <w:b/>
        <w:sz w:val="48"/>
      </w:rPr>
      <w:tab/>
    </w:r>
    <w:r w:rsidRPr="00137E80">
      <w:tab/>
    </w:r>
    <w:r w:rsidRPr="00137E80">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4F394" w14:textId="77777777" w:rsidR="00137E80" w:rsidRPr="00137E80" w:rsidRDefault="00137E80" w:rsidP="00137E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F24DC" w14:textId="34044814" w:rsidR="00137E80" w:rsidRPr="00137E80" w:rsidRDefault="00137E80" w:rsidP="00137E80">
    <w:pPr>
      <w:pStyle w:val="Footer"/>
      <w:rPr>
        <w:rFonts w:ascii="Arial" w:hAnsi="Arial" w:cs="Arial"/>
        <w:b/>
        <w:sz w:val="48"/>
      </w:rPr>
    </w:pPr>
    <w:r w:rsidRPr="00137E80">
      <w:rPr>
        <w:rFonts w:ascii="Arial" w:hAnsi="Arial" w:cs="Arial"/>
        <w:b/>
        <w:sz w:val="48"/>
      </w:rPr>
      <w:t>LT</w:t>
    </w:r>
    <w:r w:rsidRPr="00137E80">
      <w:rPr>
        <w:rFonts w:ascii="Arial" w:hAnsi="Arial" w:cs="Arial"/>
        <w:b/>
        <w:sz w:val="48"/>
      </w:rPr>
      <w:tab/>
    </w:r>
    <w:r>
      <w:fldChar w:fldCharType="begin"/>
    </w:r>
    <w:r>
      <w:instrText xml:space="preserve"> PAGE  \* MERGEFORMAT </w:instrText>
    </w:r>
    <w:r>
      <w:fldChar w:fldCharType="separate"/>
    </w:r>
    <w:r w:rsidR="00F63B1F">
      <w:rPr>
        <w:noProof/>
      </w:rPr>
      <w:t>1</w:t>
    </w:r>
    <w:r>
      <w:fldChar w:fldCharType="end"/>
    </w:r>
    <w:r>
      <w:tab/>
    </w:r>
    <w:r w:rsidRPr="00137E80">
      <w:tab/>
    </w:r>
    <w:r w:rsidRPr="00137E80">
      <w:rPr>
        <w:rFonts w:ascii="Arial" w:hAnsi="Arial" w:cs="Arial"/>
        <w:b/>
        <w:sz w:val="48"/>
      </w:rPr>
      <w:t>LT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8A65B" w14:textId="77777777" w:rsidR="00137E80" w:rsidRPr="00137E80" w:rsidRDefault="00137E80" w:rsidP="00137E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003743" w:rsidRDefault="001D2590">
      <w:r>
        <w:separator/>
      </w:r>
    </w:p>
    <w:p w14:paraId="5DA4DBEE" w14:textId="77777777" w:rsidR="00003743" w:rsidRDefault="00003743"/>
    <w:p w14:paraId="189627FC" w14:textId="77777777" w:rsidR="00003743" w:rsidRDefault="00003743"/>
  </w:footnote>
  <w:footnote w:type="continuationSeparator" w:id="0">
    <w:p w14:paraId="3B46B728" w14:textId="77777777" w:rsidR="00003743" w:rsidRDefault="001D2590">
      <w:r>
        <w:continuationSeparator/>
      </w:r>
    </w:p>
    <w:p w14:paraId="22ED3C12" w14:textId="77777777" w:rsidR="00003743" w:rsidRDefault="00003743"/>
    <w:p w14:paraId="02263D68" w14:textId="77777777" w:rsidR="00003743" w:rsidRDefault="00003743"/>
  </w:footnote>
  <w:footnote w:id="1">
    <w:p w14:paraId="3904D8AB" w14:textId="22916591" w:rsidR="00003743" w:rsidRDefault="00363BA4">
      <w:pPr>
        <w:pStyle w:val="FootnoteText"/>
      </w:pPr>
      <w:r>
        <w:rPr>
          <w:rStyle w:val="FootnoteReference"/>
        </w:rPr>
        <w:footnoteRef/>
      </w:r>
      <w:r>
        <w:tab/>
        <w:t>OL L 176, 2013 6 27, p. 1.</w:t>
      </w:r>
    </w:p>
  </w:footnote>
  <w:footnote w:id="2">
    <w:p w14:paraId="52F74E0C" w14:textId="72E7A7A0" w:rsidR="00003743" w:rsidRDefault="00363BA4">
      <w:pPr>
        <w:pStyle w:val="FootnoteText"/>
      </w:pPr>
      <w:r>
        <w:rPr>
          <w:rStyle w:val="FootnoteReference"/>
        </w:rPr>
        <w:footnoteRef/>
      </w:r>
      <w:r>
        <w:tab/>
        <w:t>Komisijos įgyvendinimo reglamentas (ES) Nr. 680/2014, kuriuo pagal Reglamentą (ES) Nr. 575/2013 nustatomi įstaigų priežiūros ataskaitų teikimo techniniai įgyvendinimo standartai (OL L 191, 2014 6 28, p. 1).</w:t>
      </w:r>
    </w:p>
  </w:footnote>
  <w:footnote w:id="3">
    <w:p w14:paraId="061DE31E" w14:textId="2680ACA0" w:rsidR="00003743" w:rsidRDefault="00363BA4">
      <w:pPr>
        <w:pStyle w:val="FootnoteText"/>
      </w:pPr>
      <w:r>
        <w:rPr>
          <w:rStyle w:val="FootnoteReference"/>
        </w:rPr>
        <w:footnoteRef/>
      </w:r>
      <w:r>
        <w:tab/>
      </w:r>
      <w:r>
        <w:rPr>
          <w:color w:val="444444"/>
          <w:sz w:val="21"/>
          <w:szCs w:val="21"/>
        </w:rPr>
        <w:t>2017 m. gruodžio 12 d. Europos Parlamento ir Tarybos reglamentas (ES) 2017/2402, kuriuo nustatoma bendroji pakeitimo vertybiniais popieriais sistema ir sukuriama specialioji paprasto, skaidraus ir standartizuoto pakeitimo vertybiniais popieriais sistema, ir iš dalies keičiamos direktyvos 2009/65/EB, 2009/138/EB ir 2011/61/ES bei reglamentai (EB) Nr. 1060/2009 ir (ES) Nr. 648/2012 (</w:t>
      </w:r>
      <w:r>
        <w:rPr>
          <w:rStyle w:val="Emphasis"/>
          <w:i w:val="0"/>
          <w:color w:val="444444"/>
          <w:sz w:val="21"/>
          <w:szCs w:val="21"/>
        </w:rPr>
        <w:t>OL L 347, 2017 12 28, p. 35).</w:t>
      </w:r>
    </w:p>
  </w:footnote>
  <w:footnote w:id="4">
    <w:p w14:paraId="2FE98FB0" w14:textId="61F4F1DB" w:rsidR="00003743" w:rsidRDefault="00363BA4">
      <w:pPr>
        <w:pStyle w:val="FootnoteText"/>
      </w:pPr>
      <w:r>
        <w:rPr>
          <w:rStyle w:val="FootnoteReference"/>
        </w:rPr>
        <w:footnoteRef/>
      </w:r>
      <w:r>
        <w:tab/>
        <w:t>2008 m. lapkričio 3 d. Komisijos reglamentas (EB) Nr. 1126/2008, priimantis tam tikrus tarptautinius apskaitos standartus pagal Europos Parlamento ir Tarybos reglamentą (EB) Nr. 1606/2002 (OL L 320, 2008 11 29, p. 1).</w:t>
      </w:r>
    </w:p>
  </w:footnote>
  <w:footnote w:id="5">
    <w:p w14:paraId="7F61ACCF" w14:textId="77777777" w:rsidR="00003743" w:rsidRDefault="00D913C8">
      <w:pPr>
        <w:pStyle w:val="FootnoteText"/>
      </w:pPr>
      <w:r>
        <w:rPr>
          <w:rStyle w:val="FootnoteReference"/>
        </w:rPr>
        <w:footnoteRef/>
      </w:r>
      <w:r>
        <w:tab/>
        <w:t>2017 m. spalio 31 d. Komisijos reglamentas (ES) 2017/1986, kuriuo dėl 16-ojo tarptautinio finansinės atskaitomybės standarto iš dalies keičiamas Reglamentas (EB) Nr. 1126/2008, priimantis tam tikrus tarptautinius apskaitos standartus pagal Europos Parlamento ir Tarybos reglamentą (EB) Nr. 1606/2002 (OL L 291, 2017 11 9, p. 1).</w:t>
      </w:r>
    </w:p>
  </w:footnote>
  <w:footnote w:id="6">
    <w:p w14:paraId="612F860C" w14:textId="77777777" w:rsidR="00003743" w:rsidRDefault="00952426">
      <w:pPr>
        <w:pStyle w:val="FootnoteText"/>
      </w:pPr>
      <w:r>
        <w:rPr>
          <w:rStyle w:val="FootnoteReference"/>
        </w:rPr>
        <w:footnoteRef/>
      </w:r>
      <w:r>
        <w:tab/>
        <w:t>2014 m. spalio 10 d. Komisijos deleguotasis reglamentas (ES) 2015/61, kuriuo dėl kredito įstaigoms taikomo padengimo likvidžiuoju turtu reikalavimo papildomas Europos Parlamento ir Tarybos reglamentas (ES) Nr. 575/2013 (OL L 11, 2015 1 17, p. 1).</w:t>
      </w:r>
    </w:p>
  </w:footnote>
  <w:footnote w:id="7">
    <w:p w14:paraId="77365625" w14:textId="77777777" w:rsidR="00003743" w:rsidRDefault="00952426">
      <w:pPr>
        <w:pStyle w:val="FootnoteText"/>
      </w:pPr>
      <w:r>
        <w:rPr>
          <w:rStyle w:val="FootnoteReference"/>
        </w:rPr>
        <w:footnoteRef/>
      </w:r>
      <w:r>
        <w:tab/>
        <w:t>2018 m. liepos 13 d. Komisijos deleguotasis reglamentas (ES) 2018/1620, kuriuo iš dalies keičiamas Deleguotasis reglamentas (ES) 2015/61, kuriuo dėl kredito įstaigoms taikomo padengimo likvidžiuoju turtu reikalavimo papildomas Europos Parlamento ir Tarybos reglamentas (ES) Nr. 575/2013 (OL L 271, 2018 10 30, p. 10).</w:t>
      </w:r>
    </w:p>
  </w:footnote>
  <w:footnote w:id="8">
    <w:p w14:paraId="7A93B6D5" w14:textId="0FB38ACE" w:rsidR="00003743" w:rsidRDefault="001B445C">
      <w:pPr>
        <w:pStyle w:val="FootnoteText"/>
      </w:pPr>
      <w:r>
        <w:rPr>
          <w:rStyle w:val="FootnoteReference"/>
        </w:rPr>
        <w:footnoteRef/>
      </w:r>
      <w:r>
        <w:tab/>
        <w:t>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637C2" w14:textId="77777777" w:rsidR="00137E80" w:rsidRPr="00137E80" w:rsidRDefault="00137E80" w:rsidP="00137E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26292" w14:textId="77777777" w:rsidR="00137E80" w:rsidRPr="00137E80" w:rsidRDefault="00137E80" w:rsidP="00137E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E4116" w14:textId="77777777" w:rsidR="00137E80" w:rsidRPr="00137E80" w:rsidRDefault="00137E80" w:rsidP="00137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1 15:48:4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3DA19AEC-B2A9-4E19-AE7B-4A50E0826FF4"/>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 "/>
    <w:docVar w:name="LW_ID_DOCMODEL" w:val="a08"/>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kuriuo i\u353? dalies kei\u269?iamas \u302?gyvendinimo reglamentas (ES) Nr. 680/2014, kuriuo pagal Europos Parlamento ir Tarybos reglament\u261? (ES) Nr. 575/2013 nustatomi \u303?staig\u371? prie\u382?i\u363?ros ataskait\u371? teikimo techniniai \u303?gyvendinimo standartai"/>
    <w:docVar w:name="LW_TITRE.OBJ.CP_PREVIOUS" w:val="&lt;UNUSED&gt;"/>
    <w:docVar w:name="LW_TYPE.DOC.CP" w:val="KOMISIJOS \u302?GYVENDINIMO REGLAMENTAS (ES) \u8230?/..."/>
  </w:docVars>
  <w:rsids>
    <w:rsidRoot w:val="001B445C"/>
    <w:rsid w:val="00003743"/>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37E80"/>
    <w:rsid w:val="001440F6"/>
    <w:rsid w:val="00157C31"/>
    <w:rsid w:val="0016544F"/>
    <w:rsid w:val="00187535"/>
    <w:rsid w:val="00190013"/>
    <w:rsid w:val="00195CE1"/>
    <w:rsid w:val="001A1A46"/>
    <w:rsid w:val="001B41CA"/>
    <w:rsid w:val="001B42E7"/>
    <w:rsid w:val="001B445C"/>
    <w:rsid w:val="001C5A09"/>
    <w:rsid w:val="001D1851"/>
    <w:rsid w:val="001D1EAD"/>
    <w:rsid w:val="001D2590"/>
    <w:rsid w:val="001F5145"/>
    <w:rsid w:val="00210995"/>
    <w:rsid w:val="00210D88"/>
    <w:rsid w:val="00214D98"/>
    <w:rsid w:val="00234A29"/>
    <w:rsid w:val="002452B8"/>
    <w:rsid w:val="00261239"/>
    <w:rsid w:val="00294A2C"/>
    <w:rsid w:val="00294CA2"/>
    <w:rsid w:val="002A096A"/>
    <w:rsid w:val="002A3D06"/>
    <w:rsid w:val="002B7D73"/>
    <w:rsid w:val="002C0116"/>
    <w:rsid w:val="002D1D89"/>
    <w:rsid w:val="002E61FA"/>
    <w:rsid w:val="003228A8"/>
    <w:rsid w:val="00323D7B"/>
    <w:rsid w:val="00331D51"/>
    <w:rsid w:val="00346B8D"/>
    <w:rsid w:val="003516C5"/>
    <w:rsid w:val="00354C41"/>
    <w:rsid w:val="00363BA4"/>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C4A2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D448E"/>
    <w:rsid w:val="00A01488"/>
    <w:rsid w:val="00A24919"/>
    <w:rsid w:val="00A278FD"/>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205D3"/>
    <w:rsid w:val="00E45AE0"/>
    <w:rsid w:val="00E52742"/>
    <w:rsid w:val="00E5700E"/>
    <w:rsid w:val="00E75423"/>
    <w:rsid w:val="00E871DE"/>
    <w:rsid w:val="00E91FF6"/>
    <w:rsid w:val="00E959F9"/>
    <w:rsid w:val="00E96626"/>
    <w:rsid w:val="00EA64E6"/>
    <w:rsid w:val="00EE58F1"/>
    <w:rsid w:val="00EF0828"/>
    <w:rsid w:val="00F32FFE"/>
    <w:rsid w:val="00F45D68"/>
    <w:rsid w:val="00F62F54"/>
    <w:rsid w:val="00F63B1F"/>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lt-LT"/>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E6745-B4DC-4976-834E-C600C88DF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1343</Words>
  <Characters>8844</Characters>
  <Application>Microsoft Office Word</Application>
  <DocSecurity>0</DocSecurity>
  <Lines>168</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KRAMER Asta (DGT)</cp:lastModifiedBy>
  <cp:revision>3</cp:revision>
  <cp:lastPrinted>2019-11-13T10:58:00Z</cp:lastPrinted>
  <dcterms:created xsi:type="dcterms:W3CDTF">2020-01-21T14:48:00Z</dcterms:created>
  <dcterms:modified xsi:type="dcterms:W3CDTF">2020-01-21T14:48:00Z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