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CC07713" w14:textId="1F85E815" w:rsidR="005758BE" w:rsidRPr="00747BC4" w:rsidRDefault="000969B1" w:rsidP="00747BC4">
      <w:pPr>
        <w:pStyle w:val="Pagedecouverture"/>
      </w:pPr>
      <w:bookmarkStart w:id="0" w:name="_GoBack"/>
      <w:bookmarkEnd w:id="0"/>
      <w:r>
        <w:pict w14:anchorId="06AE6DC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674FD8B0-369A-4FCD-BA56-9451C311B18D" style="width:450.75pt;height:409.5pt">
            <v:imagedata r:id="rId8" o:title=""/>
          </v:shape>
        </w:pict>
      </w:r>
    </w:p>
    <w:p w14:paraId="7EA50C89" w14:textId="77777777" w:rsidR="005758BE" w:rsidRPr="00747BC4" w:rsidRDefault="005758BE">
      <w:pPr>
        <w:sectPr w:rsidR="005758BE" w:rsidRPr="00747BC4" w:rsidSect="00572A39">
          <w:headerReference w:type="even" r:id="rId9"/>
          <w:headerReference w:type="default" r:id="rId10"/>
          <w:footerReference w:type="even" r:id="rId11"/>
          <w:footerReference w:type="default" r:id="rId12"/>
          <w:headerReference w:type="first" r:id="rId13"/>
          <w:footerReference w:type="first" r:id="rId14"/>
          <w:pgSz w:w="11907" w:h="16839"/>
          <w:pgMar w:top="1134" w:right="1417" w:bottom="1134" w:left="1417" w:header="709" w:footer="709" w:gutter="0"/>
          <w:pgNumType w:start="0"/>
          <w:cols w:space="720"/>
          <w:docGrid w:linePitch="360"/>
        </w:sectPr>
      </w:pPr>
    </w:p>
    <w:p w14:paraId="1CDECEB2" w14:textId="6CC90290" w:rsidR="005758BE" w:rsidRPr="00747BC4" w:rsidRDefault="00747BC4" w:rsidP="00747BC4">
      <w:pPr>
        <w:pStyle w:val="Typedudocument"/>
      </w:pPr>
      <w:r w:rsidRPr="00747BC4">
        <w:lastRenderedPageBreak/>
        <w:t>РЕГЛАМЕНТ ЗА ИЗПЪЛНЕНИЕ (ЕС) .../… НА КОМИСИЯТА</w:t>
      </w:r>
    </w:p>
    <w:p w14:paraId="2AAC3DEF" w14:textId="19C03AD8" w:rsidR="005758BE" w:rsidRPr="00747BC4" w:rsidRDefault="00747BC4" w:rsidP="00747BC4">
      <w:pPr>
        <w:pStyle w:val="Datedadoption"/>
        <w:rPr>
          <w:rStyle w:val="Marker2"/>
        </w:rPr>
      </w:pPr>
      <w:r w:rsidRPr="00747BC4">
        <w:t xml:space="preserve">от </w:t>
      </w:r>
      <w:r w:rsidRPr="00747BC4">
        <w:rPr>
          <w:rStyle w:val="Marker2"/>
        </w:rPr>
        <w:t>XXX</w:t>
      </w:r>
      <w:r w:rsidRPr="00747BC4">
        <w:t xml:space="preserve"> година</w:t>
      </w:r>
    </w:p>
    <w:p w14:paraId="2CD0C74D" w14:textId="5E27E67D" w:rsidR="005758BE" w:rsidRPr="00747BC4" w:rsidRDefault="00747BC4" w:rsidP="00747BC4">
      <w:pPr>
        <w:pStyle w:val="Titreobjet"/>
      </w:pPr>
      <w:r w:rsidRPr="00747BC4">
        <w:t>за изменение на Регламент за изпълнение (ЕС) № 680/2014 за определяне, в съответствие с Регламент (ЕС) № 575/2013 на Европейския парламент и на Съвета, на техническите стандарти за изпълнение по отношение на предоставянето на информация от институциите на надзорните органи</w:t>
      </w:r>
    </w:p>
    <w:p w14:paraId="607AA7C4" w14:textId="2205BD78" w:rsidR="005758BE" w:rsidRPr="00747BC4" w:rsidRDefault="00747BC4" w:rsidP="00747BC4">
      <w:pPr>
        <w:pStyle w:val="IntrtEEE"/>
      </w:pPr>
      <w:r w:rsidRPr="00747BC4">
        <w:t>(текст от значение за ЕИП)</w:t>
      </w:r>
    </w:p>
    <w:p w14:paraId="5C82FF64" w14:textId="77777777" w:rsidR="005758BE" w:rsidRPr="00747BC4" w:rsidRDefault="001B445C">
      <w:pPr>
        <w:pStyle w:val="Institutionquiagit"/>
      </w:pPr>
      <w:r w:rsidRPr="00747BC4">
        <w:t>ЕВРОПЕЙСКАТА КОМИСИЯ,</w:t>
      </w:r>
    </w:p>
    <w:p w14:paraId="288C7C77" w14:textId="77777777" w:rsidR="005758BE" w:rsidRPr="00747BC4" w:rsidRDefault="001B445C">
      <w:r w:rsidRPr="00747BC4">
        <w:t>като взе предвид Договора за функционирането на Европейския съюз,</w:t>
      </w:r>
    </w:p>
    <w:p w14:paraId="308FB29B" w14:textId="2835F500" w:rsidR="005758BE" w:rsidRPr="00747BC4" w:rsidRDefault="001B445C">
      <w:r w:rsidRPr="00747BC4">
        <w:t>като взе предвид Регламент (ЕС) № 575/2013 на Европейския парламент и на Съвета от 26 юни 2013 г. относно пруденциалните изисквания за кредитните институции и инвестиционните посредници и за изменение на Регламент (ЕС) № 648/2012</w:t>
      </w:r>
      <w:r w:rsidRPr="00747BC4">
        <w:rPr>
          <w:rStyle w:val="FootnoteReference"/>
        </w:rPr>
        <w:footnoteReference w:id="1"/>
      </w:r>
      <w:r w:rsidRPr="00747BC4">
        <w:t>, и по-специално член 99, параграф 5 от него,</w:t>
      </w:r>
    </w:p>
    <w:p w14:paraId="13C3A1D4" w14:textId="77777777" w:rsidR="005758BE" w:rsidRPr="00747BC4" w:rsidRDefault="001B445C">
      <w:r w:rsidRPr="00747BC4">
        <w:t>като има предвид, че:</w:t>
      </w:r>
    </w:p>
    <w:p w14:paraId="5323FA5C" w14:textId="6D899A74" w:rsidR="005758BE" w:rsidRPr="00747BC4" w:rsidRDefault="001B445C">
      <w:pPr>
        <w:pStyle w:val="Considrant"/>
        <w:numPr>
          <w:ilvl w:val="0"/>
          <w:numId w:val="10"/>
        </w:numPr>
      </w:pPr>
      <w:r w:rsidRPr="00747BC4">
        <w:t>С Регламент за изпълнение (ЕС) № 680/2014 на Комисията</w:t>
      </w:r>
      <w:r w:rsidRPr="00747BC4">
        <w:rPr>
          <w:rStyle w:val="FootnoteReference"/>
        </w:rPr>
        <w:footnoteReference w:id="2"/>
      </w:r>
      <w:r w:rsidRPr="00747BC4">
        <w:t xml:space="preserve"> се определят, предвид членове 99 и 100, член 101, параграф 4, буква а), член 394, параграф 1 и членове 415 и 430 от Регламент (ЕС) № 575/2013, еднообразни изисквания за институциите във връзка с предоставянето на информация на компетентните органи за целите на надзора.</w:t>
      </w:r>
    </w:p>
    <w:p w14:paraId="26488C0A" w14:textId="7104C3B3" w:rsidR="005758BE" w:rsidRPr="00747BC4" w:rsidRDefault="00EA64E6">
      <w:pPr>
        <w:pStyle w:val="Considrant"/>
      </w:pPr>
      <w:r w:rsidRPr="00747BC4">
        <w:t>С Регламент (ЕС) 2017/2402 на Европейския парламент и на Съвета</w:t>
      </w:r>
      <w:r w:rsidRPr="00747BC4">
        <w:rPr>
          <w:rStyle w:val="FootnoteReference"/>
        </w:rPr>
        <w:footnoteReference w:id="3"/>
      </w:r>
      <w:r w:rsidRPr="00747BC4">
        <w:t xml:space="preserve"> се създаде нова уредба на секюритизациите, в т.ч. специална уредба на опростени, прозрачни и стандартизирани (ОПС) секюритизации. С нея се въведе преференциално третиране на ОПС секюритизации и на някои синтетични секюритизации на МСП, както и регулаторно третиране на експозициите към секюритизации, което отчита риска по-точно. Регламент за изпълнение (ЕС) № 680/2014 се налага да бъде изменен, за да се съобрази предоставянето на информация за секюритизационните позиции с тази нова нормативна уредба на секюритизациите.</w:t>
      </w:r>
    </w:p>
    <w:p w14:paraId="483135B2" w14:textId="65B6C67D" w:rsidR="005758BE" w:rsidRPr="00747BC4" w:rsidRDefault="00D913C8">
      <w:pPr>
        <w:pStyle w:val="Considrant"/>
      </w:pPr>
      <w:r w:rsidRPr="00747BC4">
        <w:t>Регламент (ЕО) № 1126/2008 на Комисията</w:t>
      </w:r>
      <w:r w:rsidRPr="00747BC4">
        <w:rPr>
          <w:rStyle w:val="FootnoteReference"/>
        </w:rPr>
        <w:footnoteReference w:id="4"/>
      </w:r>
      <w:r w:rsidRPr="00747BC4">
        <w:t xml:space="preserve"> бе изменен с Регламент (ЕС) 2017/1986 на Комисията</w:t>
      </w:r>
      <w:r w:rsidRPr="00747BC4">
        <w:rPr>
          <w:rStyle w:val="FootnoteReference"/>
        </w:rPr>
        <w:footnoteReference w:id="5"/>
      </w:r>
      <w:r w:rsidRPr="00747BC4">
        <w:t>, за да се приведе в съответствие с публикувания на 13 януари 2016 г. от Съвета по международни счетоводни стандарти (СМСС) Международен стандарт за финансово отчитане (МСФО) 16 „Лизинг“. В резултат, за да се отразят тези промени, се налага Регламент за изпълнение (ЕС) № 680/2014 също да бъде изменен.</w:t>
      </w:r>
    </w:p>
    <w:p w14:paraId="22E5D43E" w14:textId="77777777" w:rsidR="005758BE" w:rsidRPr="00747BC4" w:rsidRDefault="00EE58F1">
      <w:pPr>
        <w:pStyle w:val="Considrant"/>
        <w:rPr>
          <w:color w:val="000000"/>
        </w:rPr>
      </w:pPr>
      <w:r w:rsidRPr="00747BC4">
        <w:t>Компетентните органи следва да могат ефективно да наблюдават и оценяват рисковия профил на институциите и да получават представа за рисковете за финансовия сектор. Високото равнище на необслужвани експозиции засяга рисковия профил, рентабилността и платежоспособността на институциите, като в крайна сметка оказва влияние върху капацитета за отпускане на заеми за икономиката. Ето защо изискванията за предоставяне на информация следва да бъдат изменени, за да се подобри възможността на компетентните органи да оценяват и наблюдават необслужваните експозиции чрез редовно събиране на подробна информация за тях, както и да попълват установените пропуски в данните.</w:t>
      </w:r>
    </w:p>
    <w:p w14:paraId="660C1B8C" w14:textId="77777777" w:rsidR="005758BE" w:rsidRPr="00747BC4" w:rsidRDefault="00F95996">
      <w:pPr>
        <w:pStyle w:val="Considrant"/>
        <w:rPr>
          <w:color w:val="000000"/>
        </w:rPr>
      </w:pPr>
      <w:r w:rsidRPr="00747BC4">
        <w:t>От своя страна структурата и обхватът на разходите на институциите оказват значително влияние върху рентабилността и устойчивостта на техните модели на стопанска дейност. Нормативната уредба на предоставянето на информация следва да се засили, за да се даде възможност на компетентните органи да получават по-задълбочена представа за тези разходи.</w:t>
      </w:r>
    </w:p>
    <w:p w14:paraId="7989BF92" w14:textId="77777777" w:rsidR="005758BE" w:rsidRPr="00747BC4" w:rsidRDefault="00EA64E6">
      <w:pPr>
        <w:pStyle w:val="Considrant"/>
      </w:pPr>
      <w:r w:rsidRPr="00747BC4">
        <w:t>Делегиран регламент (ЕС) 2015/61 на Комисията</w:t>
      </w:r>
      <w:r w:rsidRPr="00747BC4">
        <w:rPr>
          <w:rStyle w:val="FootnoteReference"/>
        </w:rPr>
        <w:footnoteReference w:id="6"/>
      </w:r>
      <w:r w:rsidRPr="00747BC4">
        <w:t xml:space="preserve"> бе изменен с Делегиран регламент (ЕС) 2018/1620 на Комисията</w:t>
      </w:r>
      <w:r w:rsidRPr="00747BC4">
        <w:rPr>
          <w:rStyle w:val="FootnoteReference"/>
        </w:rPr>
        <w:footnoteReference w:id="7"/>
      </w:r>
      <w:r w:rsidRPr="00747BC4">
        <w:t>, за да се съобрази по-тясно с международните стандарти и да се позволи по-ефикасно управление на ликвидността от страна на кредитните институции.</w:t>
      </w:r>
      <w:r w:rsidRPr="00747BC4">
        <w:rPr>
          <w:color w:val="444444"/>
        </w:rPr>
        <w:t xml:space="preserve"> </w:t>
      </w:r>
      <w:r w:rsidRPr="00747BC4">
        <w:t>В тази връзка Регламент за изпълнение (ЕС) № 680/2014 следва да бъде изменен, за да се отразят тези изменения в нормативната уредба на предоставяне на информация от кредитните институции с оглед на изискванията за ликвидно покритие.</w:t>
      </w:r>
    </w:p>
    <w:p w14:paraId="34872B97" w14:textId="77777777" w:rsidR="005758BE" w:rsidRPr="00747BC4" w:rsidRDefault="003F04FB">
      <w:pPr>
        <w:pStyle w:val="Considrant"/>
      </w:pPr>
      <w:r w:rsidRPr="00747BC4">
        <w:t>Освен това следва да се преразгледат и образците и указанията в Регламент за изпълнение (ЕС) № 680/2014, за да се прецени доколко през първите години от прилагането на посочения регламент включените в тези образци и указания поясняващи позиции са били удобни за ползване и целесъобразни, както и за да се поправят откритите в хода на неговото прилагане печатни грешки, погрешни позовавания и несъгласувано форматиране.</w:t>
      </w:r>
    </w:p>
    <w:p w14:paraId="40A01AE5" w14:textId="5ED49F5D" w:rsidR="005758BE" w:rsidRPr="00747BC4" w:rsidRDefault="00B31B60">
      <w:pPr>
        <w:pStyle w:val="Considrant"/>
      </w:pPr>
      <w:r w:rsidRPr="00747BC4">
        <w:t xml:space="preserve">С оглед на ефективното упражняване на надзорните си функции компетентните органи следва да могат възможно най-бързо да започнат да получават информация от институциите, съставена по образците, изменени с настоящия регламент за изпълнение. Новата съюзна уредба на секюритизациите започва да се прилага в пълна степен на 1 януари 2020 г., когато изтича периодът на преходните разпоредби. Поради това посочените в настоящия регламент за изпълнение изменени изисквания за предоставяне на информация за собствените средства и изменени капиталови изисквания следва да се прилагат от 30 март 2020 г. С цел да се осигури на институциите и компетентните органи достатъчно време за въвеждане на посочените в приложения III–V към настоящия регламент за изпълнение изменени изисквания за предоставяне на информация за необслужваните експозиции, за дълговите ценни книжа, подлежащи на мерки за преструктуриране, за оперативните и административните разходи, както и за предоставяне на финансова информация, тези изменени изисквания следва да се прилагат от 1 юни 2020 г. На последно място, предвид въведените с Делегиран регламент (ЕС) 2018/1620 изменения, които се прилагат от 30 април 2019 г., разпоредбите на настоящия регламент за изпълнение, отнасящи се до предоставянето на информация за ликвидността, следва да се прилагат от 1 април 2020 г. </w:t>
      </w:r>
    </w:p>
    <w:p w14:paraId="59349144" w14:textId="77777777" w:rsidR="005758BE" w:rsidRPr="00747BC4" w:rsidRDefault="001B445C">
      <w:pPr>
        <w:pStyle w:val="Considrant"/>
        <w:rPr>
          <w:color w:val="000000"/>
        </w:rPr>
      </w:pPr>
      <w:r w:rsidRPr="00747BC4">
        <w:t>Настоящият регламент се основава на проектите на технически стандарти за изпълнение, представени на Комисията от Европейския банков орган (ЕБО).</w:t>
      </w:r>
    </w:p>
    <w:p w14:paraId="50B5C1E2" w14:textId="77777777" w:rsidR="005758BE" w:rsidRPr="00747BC4" w:rsidRDefault="001B445C">
      <w:pPr>
        <w:pStyle w:val="Considrant"/>
        <w:rPr>
          <w:color w:val="000000"/>
        </w:rPr>
      </w:pPr>
      <w:r w:rsidRPr="00747BC4">
        <w:t>ЕБО проведе обществени консултации по проектите на технически стандарти за изпълнение, на които се основава настоящият регламент, анализира потенциалните разходи и ползи и поиска становище от Групата на участниците от банковия сектор, създадена с член 37 от Регламент (ЕС) № 1093/2010 на Европейския парламент и на Съвета</w:t>
      </w:r>
      <w:r w:rsidRPr="00747BC4">
        <w:rPr>
          <w:rStyle w:val="FootnoteReference"/>
        </w:rPr>
        <w:footnoteReference w:id="8"/>
      </w:r>
      <w:r w:rsidRPr="00747BC4">
        <w:t>. В съответствие с член 15, параграф 1, втора алинея от посочения регламент ЕБО не проведе открита обществена консултация по частите от проектите на технически стандарти за изпълнение, на които се основава настоящият регламент, от редакционно естество или въвеждащи само ограничен брой елементи в нормативното уреждане на предоставянето на информация на надзорните органи. Провеждането на такава консултация би било несъразмерно спрямо обхвата и въздействието на съответните проекти на технически стандарти за изпълнение.</w:t>
      </w:r>
    </w:p>
    <w:p w14:paraId="67DBCF52" w14:textId="77777777" w:rsidR="005758BE" w:rsidRPr="00747BC4" w:rsidRDefault="001B445C">
      <w:pPr>
        <w:pStyle w:val="Considrant"/>
        <w:rPr>
          <w:color w:val="000000"/>
        </w:rPr>
      </w:pPr>
      <w:r w:rsidRPr="00747BC4">
        <w:t>Поради това Регламент за изпълнение (ЕС) № 680/2014 следва да бъде съответно изменен,</w:t>
      </w:r>
    </w:p>
    <w:p w14:paraId="76AD5CEB" w14:textId="77777777" w:rsidR="005758BE" w:rsidRPr="00747BC4" w:rsidRDefault="001B445C">
      <w:pPr>
        <w:pStyle w:val="Formuledadoption"/>
      </w:pPr>
      <w:r w:rsidRPr="00747BC4">
        <w:t>ПРИЕ НАСТОЯЩИЯ РЕГЛАМЕНТ:</w:t>
      </w:r>
    </w:p>
    <w:p w14:paraId="73D2A54B" w14:textId="77777777" w:rsidR="005758BE" w:rsidRPr="00747BC4" w:rsidRDefault="001B445C">
      <w:pPr>
        <w:pStyle w:val="Titrearticle"/>
        <w:keepLines/>
        <w:rPr>
          <w:color w:val="000000"/>
          <w:szCs w:val="24"/>
        </w:rPr>
      </w:pPr>
      <w:r w:rsidRPr="00747BC4">
        <w:t>Член 1</w:t>
      </w:r>
    </w:p>
    <w:p w14:paraId="731C2D3F" w14:textId="59043673" w:rsidR="005758BE" w:rsidRPr="00747BC4" w:rsidRDefault="001B445C">
      <w:pPr>
        <w:rPr>
          <w:szCs w:val="24"/>
        </w:rPr>
      </w:pPr>
      <w:r w:rsidRPr="00747BC4">
        <w:t>Регламент за изпълнение (ЕС) № 680/2014 се изменя, както следва:</w:t>
      </w:r>
    </w:p>
    <w:p w14:paraId="1B00C599" w14:textId="77777777" w:rsidR="005758BE" w:rsidRPr="00747BC4" w:rsidRDefault="00C63439" w:rsidP="00E735AB">
      <w:pPr>
        <w:pStyle w:val="Point0number"/>
        <w:numPr>
          <w:ilvl w:val="0"/>
          <w:numId w:val="11"/>
        </w:numPr>
      </w:pPr>
      <w:r w:rsidRPr="00747BC4">
        <w:t>Член 5 се изменя, както следва:</w:t>
      </w:r>
    </w:p>
    <w:p w14:paraId="07A92DDE" w14:textId="4B009868" w:rsidR="005758BE" w:rsidRPr="00747BC4" w:rsidRDefault="00962570" w:rsidP="00962570">
      <w:pPr>
        <w:pStyle w:val="Point1"/>
      </w:pPr>
      <w:r w:rsidRPr="00962570">
        <w:t>а)</w:t>
      </w:r>
      <w:r w:rsidRPr="00962570">
        <w:tab/>
      </w:r>
      <w:r w:rsidR="00C63439" w:rsidRPr="00747BC4">
        <w:t>буква а) се изменя, както следва:</w:t>
      </w:r>
    </w:p>
    <w:p w14:paraId="0051425E" w14:textId="77777777" w:rsidR="005758BE" w:rsidRPr="00747BC4" w:rsidRDefault="00294A2C">
      <w:pPr>
        <w:pStyle w:val="Text2"/>
      </w:pPr>
      <w:r w:rsidRPr="00747BC4">
        <w:t>i)</w:t>
      </w:r>
      <w:r w:rsidRPr="00747BC4">
        <w:tab/>
        <w:t>точка 7) се заличава;</w:t>
      </w:r>
    </w:p>
    <w:p w14:paraId="486BC3C6" w14:textId="77777777" w:rsidR="005758BE" w:rsidRPr="00747BC4" w:rsidRDefault="00294A2C">
      <w:pPr>
        <w:pStyle w:val="Text2"/>
      </w:pPr>
      <w:r w:rsidRPr="00747BC4">
        <w:t>ii)</w:t>
      </w:r>
      <w:r w:rsidRPr="00747BC4">
        <w:tab/>
        <w:t>точка 8) се заменя със следното:</w:t>
      </w:r>
    </w:p>
    <w:p w14:paraId="6942628A" w14:textId="77777777" w:rsidR="005758BE" w:rsidRPr="00747BC4" w:rsidRDefault="00294A2C">
      <w:pPr>
        <w:pStyle w:val="Text1"/>
        <w:ind w:left="2268" w:right="568" w:hanging="567"/>
        <w:rPr>
          <w:szCs w:val="24"/>
        </w:rPr>
      </w:pPr>
      <w:r w:rsidRPr="00747BC4">
        <w:t>„8)</w:t>
      </w:r>
      <w:r w:rsidRPr="00747BC4">
        <w:tab/>
        <w:t>информация за секюритизиращите експозиции съобразно образец 13.01 от приложение I, съгласно указанията в приложение II, част II, точка 3.7;“;</w:t>
      </w:r>
    </w:p>
    <w:p w14:paraId="32CB27AB" w14:textId="306156CE" w:rsidR="005758BE" w:rsidRPr="00747BC4" w:rsidRDefault="00962570" w:rsidP="00962570">
      <w:pPr>
        <w:pStyle w:val="Point1"/>
      </w:pPr>
      <w:r w:rsidRPr="00962570">
        <w:t>б)</w:t>
      </w:r>
      <w:r w:rsidRPr="00962570">
        <w:tab/>
      </w:r>
      <w:r w:rsidR="00D63710" w:rsidRPr="00747BC4">
        <w:t>в буква б) точка 1) се заменя със следното:</w:t>
      </w:r>
    </w:p>
    <w:p w14:paraId="2C729D6F" w14:textId="1DF29E03" w:rsidR="005758BE" w:rsidRPr="00747BC4" w:rsidRDefault="00DC3927">
      <w:pPr>
        <w:pStyle w:val="Text1"/>
        <w:ind w:left="1701" w:right="568" w:hanging="567"/>
        <w:rPr>
          <w:szCs w:val="24"/>
        </w:rPr>
      </w:pPr>
      <w:r w:rsidRPr="00747BC4">
        <w:t>„1)</w:t>
      </w:r>
      <w:r w:rsidRPr="00747BC4">
        <w:tab/>
        <w:t>информация за всички секюритизиращи експозиции съобразно образци 14 и 14.01 от приложение I, съгласно указанията в приложение II, част II, точка 3.9.</w:t>
      </w:r>
    </w:p>
    <w:p w14:paraId="36BD954D" w14:textId="62EBDF1E" w:rsidR="005758BE" w:rsidRPr="00747BC4" w:rsidRDefault="002A096A">
      <w:pPr>
        <w:pStyle w:val="Text1"/>
        <w:ind w:left="1701" w:right="568"/>
        <w:rPr>
          <w:szCs w:val="24"/>
        </w:rPr>
      </w:pPr>
      <w:r w:rsidRPr="00747BC4">
        <w:t>Институциите се освобождават от задължението да предоставят тези данни за секюритизации, когато са част от група в същата държава, в която подлежат на капиталови изисквания;“;</w:t>
      </w:r>
    </w:p>
    <w:p w14:paraId="22157E12" w14:textId="77777777" w:rsidR="005758BE" w:rsidRPr="00747BC4" w:rsidRDefault="00DC3927">
      <w:r w:rsidRPr="00747BC4">
        <w:t>2)</w:t>
      </w:r>
      <w:r w:rsidRPr="00747BC4">
        <w:tab/>
        <w:t>В член 9 параграф 2 се изменя, както следва:</w:t>
      </w:r>
    </w:p>
    <w:p w14:paraId="2D923CE0" w14:textId="77777777" w:rsidR="005758BE" w:rsidRPr="00747BC4" w:rsidRDefault="00C52F81">
      <w:pPr>
        <w:pStyle w:val="Text1"/>
      </w:pPr>
      <w:r w:rsidRPr="00747BC4">
        <w:t>i)</w:t>
      </w:r>
      <w:r w:rsidRPr="00747BC4">
        <w:tab/>
        <w:t>буква в) се заменя със следното:</w:t>
      </w:r>
    </w:p>
    <w:p w14:paraId="5E362A06" w14:textId="77777777" w:rsidR="005758BE" w:rsidRPr="00747BC4" w:rsidRDefault="00DC3927">
      <w:pPr>
        <w:pStyle w:val="Text1"/>
        <w:ind w:left="1701" w:right="568" w:hanging="567"/>
        <w:rPr>
          <w:szCs w:val="24"/>
        </w:rPr>
      </w:pPr>
      <w:r w:rsidRPr="00747BC4">
        <w:t>„в)</w:t>
      </w:r>
      <w:r w:rsidRPr="00747BC4">
        <w:tab/>
        <w:t>информацията в приложение III, част 4, с изключение на информацията в образец 47 — веднъж годишно;“;</w:t>
      </w:r>
    </w:p>
    <w:p w14:paraId="5EF72169" w14:textId="77777777" w:rsidR="005758BE" w:rsidRPr="00747BC4" w:rsidRDefault="00C52F81">
      <w:pPr>
        <w:pStyle w:val="Text1"/>
      </w:pPr>
      <w:r w:rsidRPr="00747BC4">
        <w:t>ii)</w:t>
      </w:r>
      <w:r w:rsidRPr="00747BC4">
        <w:tab/>
        <w:t>добавят се следните букви з) и и):</w:t>
      </w:r>
    </w:p>
    <w:p w14:paraId="49C9B54D" w14:textId="77777777" w:rsidR="005758BE" w:rsidRPr="00747BC4" w:rsidRDefault="00C52F81">
      <w:pPr>
        <w:pStyle w:val="Text1"/>
        <w:ind w:left="1701" w:right="568" w:hanging="567"/>
        <w:rPr>
          <w:szCs w:val="24"/>
        </w:rPr>
      </w:pPr>
      <w:r w:rsidRPr="00747BC4">
        <w:t>„з)</w:t>
      </w:r>
      <w:r w:rsidRPr="00747BC4">
        <w:tab/>
        <w:t>информацията в образци 23—26 от приложение III, част 2 — на тримесечие, когато са изпълнени следните две условия:</w:t>
      </w:r>
    </w:p>
    <w:p w14:paraId="5A3D23FC" w14:textId="77777777" w:rsidR="005758BE" w:rsidRPr="00747BC4" w:rsidRDefault="001B445C">
      <w:pPr>
        <w:pStyle w:val="Text2"/>
        <w:ind w:left="2268" w:right="568" w:hanging="567"/>
        <w:rPr>
          <w:szCs w:val="24"/>
        </w:rPr>
      </w:pPr>
      <w:r w:rsidRPr="00747BC4">
        <w:t>i)</w:t>
      </w:r>
      <w:r w:rsidRPr="00747BC4">
        <w:tab/>
        <w:t>институцията не е малка и несложна институция по смисъла на член 4, параграф 1, точка 145) от Регламент (ЕС) № 575/2013;</w:t>
      </w:r>
    </w:p>
    <w:p w14:paraId="769A72A7" w14:textId="7FA489CA" w:rsidR="005758BE" w:rsidRPr="00747BC4" w:rsidRDefault="001B445C">
      <w:pPr>
        <w:pStyle w:val="Text2"/>
        <w:ind w:left="2268" w:right="568" w:hanging="567"/>
        <w:rPr>
          <w:szCs w:val="24"/>
        </w:rPr>
      </w:pPr>
      <w:r w:rsidRPr="00747BC4">
        <w:t>ii)</w:t>
      </w:r>
      <w:r w:rsidRPr="00747BC4">
        <w:tab/>
        <w:t>отношението между брутната балансова стойност на необслужваните кредити и аванси на институцията и общата брутна балансова стойност на кредитите и авансите от категорията на необслужваните експозиции, както е посочена в приложение V, част 2, раздел 17 към настоящия регламент, е не по-малко от 5 %. За целите на настоящата точка кредитите и авансите, класифицирани като държани за продажба, паричните салда при централни банки, както и другите депозити на виждане не влизат нито в числителя, нито в знаменателя на отношението.</w:t>
      </w:r>
    </w:p>
    <w:p w14:paraId="1E2D7764" w14:textId="77777777" w:rsidR="005758BE" w:rsidRPr="00747BC4" w:rsidRDefault="0084057B">
      <w:pPr>
        <w:pStyle w:val="Text2"/>
        <w:ind w:left="1678" w:right="568" w:firstLine="23"/>
        <w:rPr>
          <w:szCs w:val="24"/>
        </w:rPr>
      </w:pPr>
      <w:r w:rsidRPr="00747BC4">
        <w:t>Прилагат се входните и изходните критерии по член 4;</w:t>
      </w:r>
    </w:p>
    <w:p w14:paraId="514A0195" w14:textId="77777777" w:rsidR="005758BE" w:rsidRPr="00747BC4" w:rsidRDefault="00D63710">
      <w:pPr>
        <w:pStyle w:val="Text1"/>
        <w:ind w:left="1701" w:right="568" w:hanging="567"/>
        <w:rPr>
          <w:szCs w:val="24"/>
        </w:rPr>
      </w:pPr>
      <w:r w:rsidRPr="00747BC4">
        <w:t>и)</w:t>
      </w:r>
      <w:r w:rsidRPr="00747BC4">
        <w:tab/>
        <w:t>информацията в образец 47 от приложение III, част 4 — веднъж годишно, когато са изпълнени и двете условия по буква з), подточки i) и ii) от настоящия параграф. Прилагат се входните и изходните критерии по член 4.“;</w:t>
      </w:r>
    </w:p>
    <w:p w14:paraId="1F2B8B32" w14:textId="77777777" w:rsidR="005758BE" w:rsidRPr="00747BC4" w:rsidRDefault="00D63710">
      <w:pPr>
        <w:pStyle w:val="Text1"/>
        <w:ind w:left="567" w:hanging="567"/>
        <w:rPr>
          <w:szCs w:val="24"/>
        </w:rPr>
      </w:pPr>
      <w:r w:rsidRPr="00747BC4">
        <w:t>3)</w:t>
      </w:r>
      <w:r w:rsidRPr="00747BC4">
        <w:tab/>
        <w:t>В член 11 параграф 2 се изменя, както следва:</w:t>
      </w:r>
    </w:p>
    <w:p w14:paraId="6487BD60" w14:textId="77777777" w:rsidR="005758BE" w:rsidRPr="00747BC4" w:rsidRDefault="00D63710">
      <w:pPr>
        <w:pStyle w:val="Text1"/>
      </w:pPr>
      <w:r w:rsidRPr="00747BC4">
        <w:t>i)</w:t>
      </w:r>
      <w:r w:rsidRPr="00747BC4">
        <w:tab/>
        <w:t>буква в) се заменя със следното:</w:t>
      </w:r>
    </w:p>
    <w:p w14:paraId="4678FF44" w14:textId="77777777" w:rsidR="005758BE" w:rsidRPr="00747BC4" w:rsidRDefault="00D63710">
      <w:pPr>
        <w:pStyle w:val="Text1"/>
        <w:ind w:left="1701" w:right="568" w:hanging="567"/>
        <w:rPr>
          <w:szCs w:val="24"/>
        </w:rPr>
      </w:pPr>
      <w:r w:rsidRPr="00747BC4">
        <w:t>„в)</w:t>
      </w:r>
      <w:r w:rsidRPr="00747BC4">
        <w:tab/>
        <w:t>информацията по приложение IV, част 4, с изключение на информацията в образец 47 — веднъж годишно;“;</w:t>
      </w:r>
    </w:p>
    <w:p w14:paraId="2AE5A30E" w14:textId="77777777" w:rsidR="005758BE" w:rsidRPr="00747BC4" w:rsidRDefault="00D63710">
      <w:pPr>
        <w:pStyle w:val="Text1"/>
      </w:pPr>
      <w:r w:rsidRPr="00747BC4">
        <w:t>ii)</w:t>
      </w:r>
      <w:r w:rsidRPr="00747BC4">
        <w:tab/>
        <w:t>добавят се следните букви з) и и):</w:t>
      </w:r>
    </w:p>
    <w:p w14:paraId="46AD1146" w14:textId="77777777" w:rsidR="005758BE" w:rsidRPr="00747BC4" w:rsidRDefault="00D63710">
      <w:pPr>
        <w:pStyle w:val="Text1"/>
        <w:ind w:left="1701" w:hanging="567"/>
        <w:rPr>
          <w:szCs w:val="24"/>
        </w:rPr>
      </w:pPr>
      <w:r w:rsidRPr="00747BC4">
        <w:t>„з)</w:t>
      </w:r>
      <w:r w:rsidRPr="00747BC4">
        <w:tab/>
        <w:t>информацията в образци 23—26 от приложение IV, част 2 — на тримесечие, когато са изпълнени условията по член 9, параграф 2, буква з), подточки i) и ii). Прилагат се входните и изходните критерии по член 4;</w:t>
      </w:r>
    </w:p>
    <w:p w14:paraId="787C8551" w14:textId="77777777" w:rsidR="005758BE" w:rsidRPr="00747BC4" w:rsidRDefault="001B445C">
      <w:pPr>
        <w:pStyle w:val="Text1"/>
        <w:ind w:left="1701" w:hanging="567"/>
        <w:rPr>
          <w:szCs w:val="24"/>
        </w:rPr>
      </w:pPr>
      <w:r w:rsidRPr="00747BC4">
        <w:t>и)</w:t>
      </w:r>
      <w:r w:rsidRPr="00747BC4">
        <w:tab/>
        <w:t>информацията в образец 47 от приложение IV, част 4 — веднъж годишно, когато са изпълнени условията по член 9, параграф 2, буква з), подточки i) и ii). Прилагат се входните и изходните критерии по член 4.“;</w:t>
      </w:r>
    </w:p>
    <w:p w14:paraId="5C135AED" w14:textId="77777777" w:rsidR="005758BE" w:rsidRPr="00747BC4" w:rsidRDefault="00D63710">
      <w:r w:rsidRPr="00747BC4">
        <w:t>4)</w:t>
      </w:r>
      <w:r w:rsidRPr="00747BC4">
        <w:tab/>
        <w:t>Приложение I към Регламент за изпълнение (ЕС) № 680/2014 се заменя с текста в приложение I към настоящия регламент;</w:t>
      </w:r>
    </w:p>
    <w:p w14:paraId="6D942284" w14:textId="77777777" w:rsidR="005758BE" w:rsidRPr="00747BC4" w:rsidRDefault="00D63710">
      <w:r w:rsidRPr="00747BC4">
        <w:t>5)</w:t>
      </w:r>
      <w:r w:rsidRPr="00747BC4">
        <w:tab/>
        <w:t xml:space="preserve">Приложение II към Регламент за изпълнение (ЕС) № 680/2014 се заменя с текста в приложение II към настоящия регламент; </w:t>
      </w:r>
    </w:p>
    <w:p w14:paraId="66FD1BC9" w14:textId="77777777" w:rsidR="005758BE" w:rsidRPr="00747BC4" w:rsidRDefault="00D63710">
      <w:r w:rsidRPr="00747BC4">
        <w:t>6)</w:t>
      </w:r>
      <w:r w:rsidRPr="00747BC4">
        <w:tab/>
        <w:t xml:space="preserve">Приложение III към Регламент за изпълнение (ЕС) № 680/2014 се заменя с текста в приложение III към настоящия регламент; </w:t>
      </w:r>
    </w:p>
    <w:p w14:paraId="171FD559" w14:textId="77777777" w:rsidR="005758BE" w:rsidRPr="00747BC4" w:rsidRDefault="00D63710">
      <w:r w:rsidRPr="00747BC4">
        <w:t>7)</w:t>
      </w:r>
      <w:r w:rsidRPr="00747BC4">
        <w:tab/>
        <w:t xml:space="preserve">Приложение IV към Регламент за изпълнение (ЕС) № 680/2014 се заменя с текста в приложение IV към настоящия регламент; </w:t>
      </w:r>
    </w:p>
    <w:p w14:paraId="3B487D51" w14:textId="77777777" w:rsidR="005758BE" w:rsidRPr="00747BC4" w:rsidRDefault="00D63710">
      <w:r w:rsidRPr="00747BC4">
        <w:t>8)</w:t>
      </w:r>
      <w:r w:rsidRPr="00747BC4">
        <w:tab/>
        <w:t>Приложение V към Регламент за изпълнение (ЕС) № 680/2014 се заменя с текста в приложение V към настоящия регламент;</w:t>
      </w:r>
    </w:p>
    <w:p w14:paraId="66FC58ED" w14:textId="77777777" w:rsidR="005758BE" w:rsidRPr="00747BC4" w:rsidRDefault="00D63710">
      <w:r w:rsidRPr="00747BC4">
        <w:t>9)</w:t>
      </w:r>
      <w:r w:rsidRPr="00747BC4">
        <w:tab/>
        <w:t>Приложение XVIII към Регламент за изпълнение (ЕС) № 680/2014 се заменя с текста в приложение VI към настоящия регламент;</w:t>
      </w:r>
    </w:p>
    <w:p w14:paraId="79EC6764" w14:textId="77777777" w:rsidR="005758BE" w:rsidRPr="00747BC4" w:rsidRDefault="00D63710">
      <w:r w:rsidRPr="00747BC4">
        <w:t>10)</w:t>
      </w:r>
      <w:r w:rsidRPr="00747BC4">
        <w:tab/>
        <w:t xml:space="preserve">Приложение XIX към Регламент за изпълнение (ЕС) № 680/2014 се заменя с текста в приложение VII към настоящия регламент; </w:t>
      </w:r>
    </w:p>
    <w:p w14:paraId="7D476BB9" w14:textId="77777777" w:rsidR="005758BE" w:rsidRPr="00747BC4" w:rsidRDefault="00D63710">
      <w:r w:rsidRPr="00747BC4">
        <w:t>11)</w:t>
      </w:r>
      <w:r w:rsidRPr="00747BC4">
        <w:tab/>
        <w:t>Приложение XXIV към Регламент за изпълнение (ЕС) № 680/2014 се заменя с текста в приложение VIII към настоящия регламент;</w:t>
      </w:r>
    </w:p>
    <w:p w14:paraId="37FC96E9" w14:textId="77777777" w:rsidR="005758BE" w:rsidRPr="00747BC4" w:rsidRDefault="00D63710">
      <w:r w:rsidRPr="00747BC4">
        <w:t>12)</w:t>
      </w:r>
      <w:r w:rsidRPr="00747BC4">
        <w:tab/>
        <w:t>Приложение XXV към Регламент за изпълнение (ЕС) № 680/2014 се заменя с текста в приложение IX към настоящия регламент.</w:t>
      </w:r>
    </w:p>
    <w:p w14:paraId="7036487A" w14:textId="77777777" w:rsidR="005758BE" w:rsidRPr="00747BC4" w:rsidRDefault="001B445C">
      <w:pPr>
        <w:pStyle w:val="Titrearticle"/>
        <w:keepLines/>
        <w:rPr>
          <w:color w:val="000000"/>
          <w:szCs w:val="24"/>
        </w:rPr>
      </w:pPr>
      <w:r w:rsidRPr="00747BC4">
        <w:t>Член 2</w:t>
      </w:r>
    </w:p>
    <w:p w14:paraId="6D87565F" w14:textId="66470D21" w:rsidR="005758BE" w:rsidRPr="00747BC4" w:rsidRDefault="001B445C">
      <w:pPr>
        <w:rPr>
          <w:color w:val="000000"/>
          <w:szCs w:val="24"/>
        </w:rPr>
      </w:pPr>
      <w:r w:rsidRPr="00747BC4">
        <w:t xml:space="preserve">Настоящият регламент влиза в сила в деня след деня на публикуването му в </w:t>
      </w:r>
      <w:r w:rsidRPr="00747BC4">
        <w:rPr>
          <w:i/>
          <w:iCs/>
        </w:rPr>
        <w:t>Официален вестник на Европейския съюз</w:t>
      </w:r>
      <w:r w:rsidRPr="00747BC4">
        <w:t>.</w:t>
      </w:r>
    </w:p>
    <w:p w14:paraId="7C0963A2" w14:textId="4ECFA9D7" w:rsidR="005758BE" w:rsidRPr="00747BC4" w:rsidRDefault="00FB65A6">
      <w:pPr>
        <w:rPr>
          <w:color w:val="000000"/>
          <w:szCs w:val="24"/>
        </w:rPr>
      </w:pPr>
      <w:r w:rsidRPr="00747BC4">
        <w:t>Точки 1), 4) и 5) от член 1 се прилагат от 30 март 2020 г. Точки 9) — 12) от член 1 се прилагат от 1 април 2020 г. Точки 2), 3) и 6) — 8) от член 1 се прилагат от 1 юни 2020 г.</w:t>
      </w:r>
    </w:p>
    <w:p w14:paraId="0F403810" w14:textId="77777777" w:rsidR="005758BE" w:rsidRPr="00747BC4" w:rsidRDefault="001B445C">
      <w:pPr>
        <w:rPr>
          <w:color w:val="000000"/>
          <w:szCs w:val="24"/>
        </w:rPr>
      </w:pPr>
      <w:r w:rsidRPr="00747BC4">
        <w:t>Настоящият регламент е задължителен в своята цялост и се прилага пряко във всички държави членки.</w:t>
      </w:r>
    </w:p>
    <w:p w14:paraId="2DB37B2E" w14:textId="52F93BFB" w:rsidR="005758BE" w:rsidRPr="00747BC4" w:rsidRDefault="00747BC4" w:rsidP="00747BC4">
      <w:pPr>
        <w:pStyle w:val="Fait"/>
      </w:pPr>
      <w:r w:rsidRPr="00747BC4">
        <w:t xml:space="preserve">Съставено в Брюксел на </w:t>
      </w:r>
      <w:r w:rsidRPr="00747BC4">
        <w:rPr>
          <w:rStyle w:val="Marker"/>
        </w:rPr>
        <w:t>[…]</w:t>
      </w:r>
      <w:r w:rsidRPr="00747BC4">
        <w:t xml:space="preserve"> година.</w:t>
      </w:r>
    </w:p>
    <w:p w14:paraId="5989647B" w14:textId="77777777" w:rsidR="005758BE" w:rsidRPr="00747BC4" w:rsidRDefault="001B445C">
      <w:pPr>
        <w:pStyle w:val="Institutionquisigne"/>
      </w:pPr>
      <w:r w:rsidRPr="00747BC4">
        <w:tab/>
        <w:t>За Комисията</w:t>
      </w:r>
    </w:p>
    <w:p w14:paraId="06E0BB8C" w14:textId="7F367528" w:rsidR="005758BE" w:rsidRPr="00747BC4" w:rsidRDefault="00B71BC4">
      <w:pPr>
        <w:pStyle w:val="Personnequisigne"/>
      </w:pPr>
      <w:r w:rsidRPr="00747BC4">
        <w:tab/>
        <w:t>Председател</w:t>
      </w:r>
      <w:r w:rsidRPr="00747BC4">
        <w:br/>
      </w:r>
      <w:r w:rsidRPr="00747BC4">
        <w:tab/>
        <w:t>Ursula von der Leyen</w:t>
      </w:r>
    </w:p>
    <w:sectPr w:rsidR="005758BE" w:rsidRPr="00747BC4" w:rsidSect="00572A39">
      <w:footerReference w:type="default" r:id="rId15"/>
      <w:footerReference w:type="first" r:id="rId16"/>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789A566" w14:textId="77777777" w:rsidR="005758BE" w:rsidRDefault="001D2590">
      <w:r>
        <w:separator/>
      </w:r>
    </w:p>
    <w:p w14:paraId="169B0B81" w14:textId="77777777" w:rsidR="005758BE" w:rsidRDefault="005758BE"/>
    <w:p w14:paraId="55151859" w14:textId="77777777" w:rsidR="005758BE" w:rsidRDefault="005758BE"/>
  </w:endnote>
  <w:endnote w:type="continuationSeparator" w:id="0">
    <w:p w14:paraId="1F1B705E" w14:textId="77777777" w:rsidR="005758BE" w:rsidRDefault="001D2590">
      <w:r>
        <w:continuationSeparator/>
      </w:r>
    </w:p>
    <w:p w14:paraId="7AB27653" w14:textId="77777777" w:rsidR="005758BE" w:rsidRDefault="005758BE"/>
    <w:p w14:paraId="2B72467D" w14:textId="77777777" w:rsidR="005758BE" w:rsidRDefault="005758B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CDCBA4" w14:textId="77777777" w:rsidR="00572A39" w:rsidRPr="00572A39" w:rsidRDefault="00572A39" w:rsidP="00572A3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A0CF62" w14:textId="2141B334" w:rsidR="002E61FA" w:rsidRPr="00572A39" w:rsidRDefault="00572A39" w:rsidP="00572A39">
    <w:pPr>
      <w:pStyle w:val="Footer"/>
      <w:rPr>
        <w:rFonts w:ascii="Arial" w:hAnsi="Arial" w:cs="Arial"/>
        <w:b/>
        <w:sz w:val="48"/>
      </w:rPr>
    </w:pPr>
    <w:r w:rsidRPr="00572A39">
      <w:rPr>
        <w:rFonts w:ascii="Arial" w:hAnsi="Arial" w:cs="Arial"/>
        <w:b/>
        <w:sz w:val="48"/>
      </w:rPr>
      <w:t>BG</w:t>
    </w:r>
    <w:r w:rsidRPr="00572A39">
      <w:rPr>
        <w:rFonts w:ascii="Arial" w:hAnsi="Arial" w:cs="Arial"/>
        <w:b/>
        <w:sz w:val="48"/>
      </w:rPr>
      <w:tab/>
    </w:r>
    <w:r w:rsidRPr="00572A39">
      <w:rPr>
        <w:rFonts w:ascii="Arial" w:hAnsi="Arial" w:cs="Arial"/>
        <w:b/>
        <w:sz w:val="48"/>
      </w:rPr>
      <w:tab/>
    </w:r>
    <w:r w:rsidRPr="00572A39">
      <w:tab/>
    </w:r>
    <w:r w:rsidRPr="00572A39">
      <w:rPr>
        <w:rFonts w:ascii="Arial" w:hAnsi="Arial" w:cs="Arial"/>
        <w:b/>
        <w:sz w:val="48"/>
      </w:rPr>
      <w:t>BG</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5D9CA3" w14:textId="77777777" w:rsidR="00572A39" w:rsidRPr="00572A39" w:rsidRDefault="00572A39" w:rsidP="00572A39">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2A4BC2" w14:textId="2F867343" w:rsidR="00572A39" w:rsidRPr="00572A39" w:rsidRDefault="00572A39" w:rsidP="00572A39">
    <w:pPr>
      <w:pStyle w:val="Footer"/>
      <w:rPr>
        <w:rFonts w:ascii="Arial" w:hAnsi="Arial" w:cs="Arial"/>
        <w:b/>
        <w:sz w:val="48"/>
      </w:rPr>
    </w:pPr>
    <w:r w:rsidRPr="00572A39">
      <w:rPr>
        <w:rFonts w:ascii="Arial" w:hAnsi="Arial" w:cs="Arial"/>
        <w:b/>
        <w:sz w:val="48"/>
      </w:rPr>
      <w:t>BG</w:t>
    </w:r>
    <w:r w:rsidRPr="00572A39">
      <w:rPr>
        <w:rFonts w:ascii="Arial" w:hAnsi="Arial" w:cs="Arial"/>
        <w:b/>
        <w:sz w:val="48"/>
      </w:rPr>
      <w:tab/>
    </w:r>
    <w:r>
      <w:fldChar w:fldCharType="begin"/>
    </w:r>
    <w:r>
      <w:instrText xml:space="preserve"> PAGE  \* MERGEFORMAT </w:instrText>
    </w:r>
    <w:r>
      <w:fldChar w:fldCharType="separate"/>
    </w:r>
    <w:r w:rsidR="000969B1">
      <w:rPr>
        <w:noProof/>
      </w:rPr>
      <w:t>2</w:t>
    </w:r>
    <w:r>
      <w:fldChar w:fldCharType="end"/>
    </w:r>
    <w:r>
      <w:tab/>
    </w:r>
    <w:r w:rsidRPr="00572A39">
      <w:tab/>
    </w:r>
    <w:r w:rsidRPr="00572A39">
      <w:rPr>
        <w:rFonts w:ascii="Arial" w:hAnsi="Arial" w:cs="Arial"/>
        <w:b/>
        <w:sz w:val="48"/>
      </w:rPr>
      <w:t>BG</w:t>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22DF28" w14:textId="77777777" w:rsidR="00572A39" w:rsidRPr="00572A39" w:rsidRDefault="00572A39" w:rsidP="00572A3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F68417A" w14:textId="77777777" w:rsidR="005758BE" w:rsidRDefault="001D2590">
      <w:r>
        <w:separator/>
      </w:r>
    </w:p>
    <w:p w14:paraId="5DA4DBEE" w14:textId="77777777" w:rsidR="005758BE" w:rsidRDefault="005758BE"/>
    <w:p w14:paraId="189627FC" w14:textId="77777777" w:rsidR="005758BE" w:rsidRDefault="005758BE"/>
  </w:footnote>
  <w:footnote w:type="continuationSeparator" w:id="0">
    <w:p w14:paraId="3B46B728" w14:textId="77777777" w:rsidR="005758BE" w:rsidRDefault="001D2590">
      <w:r>
        <w:continuationSeparator/>
      </w:r>
    </w:p>
    <w:p w14:paraId="22ED3C12" w14:textId="77777777" w:rsidR="005758BE" w:rsidRDefault="005758BE"/>
    <w:p w14:paraId="02263D68" w14:textId="77777777" w:rsidR="005758BE" w:rsidRDefault="005758BE"/>
  </w:footnote>
  <w:footnote w:id="1">
    <w:p w14:paraId="3904D8AB" w14:textId="22916591" w:rsidR="005758BE" w:rsidRDefault="00363BA4">
      <w:pPr>
        <w:pStyle w:val="FootnoteText"/>
      </w:pPr>
      <w:r>
        <w:rPr>
          <w:rStyle w:val="FootnoteReference"/>
        </w:rPr>
        <w:footnoteRef/>
      </w:r>
      <w:r>
        <w:tab/>
        <w:t>ОВ L 176, 27.6.2013 г., стр. 1.</w:t>
      </w:r>
    </w:p>
  </w:footnote>
  <w:footnote w:id="2">
    <w:p w14:paraId="52F74E0C" w14:textId="72E7A7A0" w:rsidR="005758BE" w:rsidRDefault="00363BA4">
      <w:pPr>
        <w:pStyle w:val="FootnoteText"/>
      </w:pPr>
      <w:r>
        <w:rPr>
          <w:rStyle w:val="FootnoteReference"/>
        </w:rPr>
        <w:footnoteRef/>
      </w:r>
      <w:r>
        <w:tab/>
        <w:t>Регламент за изпълнение (ЕС) № 680/2014 на Комисията за определяне, в съответствие с Регламент (ЕС) № 575/2013, на техническите стандарти за изпълнение по отношение на предоставянето на информация от институциите на надзорните органи (ОВ L 191, 28.6.2014 г., стр. 1).</w:t>
      </w:r>
    </w:p>
  </w:footnote>
  <w:footnote w:id="3">
    <w:p w14:paraId="061DE31E" w14:textId="2680ACA0" w:rsidR="005758BE" w:rsidRPr="00572A39" w:rsidRDefault="00363BA4">
      <w:pPr>
        <w:pStyle w:val="FootnoteText"/>
      </w:pPr>
      <w:r w:rsidRPr="00572A39">
        <w:rPr>
          <w:rStyle w:val="FootnoteReference"/>
        </w:rPr>
        <w:footnoteRef/>
      </w:r>
      <w:r w:rsidRPr="00572A39">
        <w:tab/>
        <w:t>Регламент (ЕС) 2017/2402 на Европейския парламент и на Съвета от 12 декември 2017 г. за определяне на обща рамка за секюритизациите и за създаване на специфична рамка за опростени, прозрачни и стандартизирани секюритизации, и за изменение на директиви 2009/65/ЕО, 2009/138/ЕО и 2011/61/ЕС, и регламенти (ЕО) № 1060/2009 и (ЕС) № 648/2012 (</w:t>
      </w:r>
      <w:r w:rsidRPr="00572A39">
        <w:rPr>
          <w:rStyle w:val="Emphasis"/>
          <w:i w:val="0"/>
        </w:rPr>
        <w:t>ОВ L 347, 28.12.2017 г., стр. 35).</w:t>
      </w:r>
    </w:p>
  </w:footnote>
  <w:footnote w:id="4">
    <w:p w14:paraId="2FE98FB0" w14:textId="61F4F1DB" w:rsidR="005758BE" w:rsidRDefault="00363BA4">
      <w:pPr>
        <w:pStyle w:val="FootnoteText"/>
      </w:pPr>
      <w:r>
        <w:rPr>
          <w:rStyle w:val="FootnoteReference"/>
        </w:rPr>
        <w:footnoteRef/>
      </w:r>
      <w:r>
        <w:tab/>
        <w:t>Регламент (ЕО) № 1126/2008 на Комисията от 3 ноември 2008 г. за приемане на някои международни счетоводни стандарти в съответствие с Регламент (ЕО) №   1606/2002 на Европейския парламент и на Съвета (ОВ L 320, 29.11.2008 г., стр. 1).</w:t>
      </w:r>
    </w:p>
  </w:footnote>
  <w:footnote w:id="5">
    <w:p w14:paraId="7F61ACCF" w14:textId="77777777" w:rsidR="005758BE" w:rsidRDefault="00D913C8">
      <w:pPr>
        <w:pStyle w:val="FootnoteText"/>
      </w:pPr>
      <w:r>
        <w:rPr>
          <w:rStyle w:val="FootnoteReference"/>
        </w:rPr>
        <w:footnoteRef/>
      </w:r>
      <w:r>
        <w:tab/>
        <w:t>Регламент (ЕС) 2017/1986 на Комисията от 31 октомври 2017 г. за изменение на Регламент (ЕО) № 1126/2008 за приемане на някои международни счетоводни стандарти в съответствие с Регламент (ЕО) № 1606/2002 на Европейския парламент и на Съвета във връзка с Международен стандарт за финансово отчитане 16 (ОВ L 291, 9.11.2017 г., стр. 1).</w:t>
      </w:r>
    </w:p>
  </w:footnote>
  <w:footnote w:id="6">
    <w:p w14:paraId="612F860C" w14:textId="77777777" w:rsidR="005758BE" w:rsidRDefault="00952426">
      <w:pPr>
        <w:pStyle w:val="FootnoteText"/>
      </w:pPr>
      <w:r>
        <w:rPr>
          <w:rStyle w:val="FootnoteReference"/>
        </w:rPr>
        <w:footnoteRef/>
      </w:r>
      <w:r>
        <w:tab/>
        <w:t>Делегиран регламент (ЕС) 2015/61 на Комисията от 10 октомври 2014 г. за допълнение на Регламент (ЕС) № 575/2013 на Европейския парламент и на Съвета по отношение на изискването за ликвидно покритие за кредитните институции (ОВ L 11, 17.1.2015 г., стр. 1).</w:t>
      </w:r>
    </w:p>
  </w:footnote>
  <w:footnote w:id="7">
    <w:p w14:paraId="77365625" w14:textId="77777777" w:rsidR="005758BE" w:rsidRDefault="00952426">
      <w:pPr>
        <w:pStyle w:val="FootnoteText"/>
      </w:pPr>
      <w:r>
        <w:rPr>
          <w:rStyle w:val="FootnoteReference"/>
        </w:rPr>
        <w:footnoteRef/>
      </w:r>
      <w:r>
        <w:tab/>
        <w:t>Делегиран регламент (ЕС) 2018/1620 на Комисията от 13 юли 2018 г. за изменение на Делегиран регламент (ЕС) 2015/61 за допълнение на Регламент (ЕС) № 575/2013 на Европейския парламент и на Съвета по отношение на изискването за ликвидно покритие за кредитните институции (ОВ L 271, 30.10.2018 г., стр. 10)</w:t>
      </w:r>
      <w:r>
        <w:rPr>
          <w:i/>
          <w:iCs/>
        </w:rPr>
        <w:t>.</w:t>
      </w:r>
    </w:p>
  </w:footnote>
  <w:footnote w:id="8">
    <w:p w14:paraId="7A93B6D5" w14:textId="0FB38ACE" w:rsidR="005758BE" w:rsidRDefault="001B445C">
      <w:pPr>
        <w:pStyle w:val="FootnoteText"/>
      </w:pPr>
      <w:r>
        <w:rPr>
          <w:rStyle w:val="FootnoteReference"/>
        </w:rPr>
        <w:footnoteRef/>
      </w:r>
      <w:r>
        <w:tab/>
        <w:t>Регламент (ЕС) № 1093/2010 на Европейския парламент и на Съвета от 24 ноември 2010 г. за създаване на Европейски надзорен орган (Европейски банков орган), за изменение на Решение № 716/2009/ЕО и за отмяна на Решение 2009/78/ЕО на Комисията (ОВ L 331, 15.12.2010 г., стр. 12).</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14B5DE" w14:textId="77777777" w:rsidR="00572A39" w:rsidRPr="00572A39" w:rsidRDefault="00572A39" w:rsidP="00572A3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764AB5" w14:textId="77777777" w:rsidR="00572A39" w:rsidRPr="00572A39" w:rsidRDefault="00572A39" w:rsidP="00572A3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F20F90" w14:textId="77777777" w:rsidR="00572A39" w:rsidRPr="00572A39" w:rsidRDefault="00572A39" w:rsidP="00572A3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D"/>
    <w:multiLevelType w:val="singleLevel"/>
    <w:tmpl w:val="4CB058CA"/>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F0EC3E12"/>
    <w:lvl w:ilvl="0">
      <w:start w:val="1"/>
      <w:numFmt w:val="decimal"/>
      <w:pStyle w:val="ListNumber3"/>
      <w:lvlText w:val="%1."/>
      <w:lvlJc w:val="left"/>
      <w:pPr>
        <w:tabs>
          <w:tab w:val="num" w:pos="926"/>
        </w:tabs>
        <w:ind w:left="926" w:hanging="360"/>
      </w:pPr>
      <w:rPr>
        <w:rFonts w:cs="Times New Roman"/>
      </w:rPr>
    </w:lvl>
  </w:abstractNum>
  <w:abstractNum w:abstractNumId="2" w15:restartNumberingAfterBreak="0">
    <w:nsid w:val="FFFFFF7F"/>
    <w:multiLevelType w:val="singleLevel"/>
    <w:tmpl w:val="47143E7A"/>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FE48CAD2"/>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767E1FC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F704052C"/>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FA427F78"/>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9D960316"/>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9"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1"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2"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3"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14"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5"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7"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18"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19"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0" w15:restartNumberingAfterBreak="0">
    <w:nsid w:val="64A12FA4"/>
    <w:multiLevelType w:val="multilevel"/>
    <w:tmpl w:val="428ECF3E"/>
    <w:name w:val="Heading"/>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22"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abstractNumId w:val="7"/>
  </w:num>
  <w:num w:numId="2">
    <w:abstractNumId w:val="5"/>
  </w:num>
  <w:num w:numId="3">
    <w:abstractNumId w:val="4"/>
  </w:num>
  <w:num w:numId="4">
    <w:abstractNumId w:val="3"/>
  </w:num>
  <w:num w:numId="5">
    <w:abstractNumId w:val="1"/>
  </w:num>
  <w:num w:numId="6">
    <w:abstractNumId w:val="6"/>
  </w:num>
  <w:num w:numId="7">
    <w:abstractNumId w:val="2"/>
  </w:num>
  <w:num w:numId="8">
    <w:abstractNumId w:val="0"/>
  </w:num>
  <w:num w:numId="9">
    <w:abstractNumId w:val="15"/>
  </w:num>
  <w:num w:numId="10">
    <w:abstractNumId w:val="22"/>
    <w:lvlOverride w:ilvl="0">
      <w:startOverride w:val="1"/>
    </w:lvlOverride>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9"/>
  </w:num>
  <w:num w:numId="13">
    <w:abstractNumId w:val="12"/>
  </w:num>
  <w:num w:numId="14">
    <w:abstractNumId w:val="21"/>
  </w:num>
  <w:num w:numId="15">
    <w:abstractNumId w:val="11"/>
  </w:num>
  <w:num w:numId="16">
    <w:abstractNumId w:val="13"/>
  </w:num>
  <w:num w:numId="17">
    <w:abstractNumId w:val="9"/>
  </w:num>
  <w:num w:numId="18">
    <w:abstractNumId w:val="20"/>
  </w:num>
  <w:num w:numId="19">
    <w:abstractNumId w:val="8"/>
  </w:num>
  <w:num w:numId="20">
    <w:abstractNumId w:val="14"/>
  </w:num>
  <w:num w:numId="21">
    <w:abstractNumId w:val="17"/>
  </w:num>
  <w:num w:numId="22">
    <w:abstractNumId w:val="18"/>
  </w:num>
  <w:num w:numId="23">
    <w:abstractNumId w:val="10"/>
  </w:num>
  <w:num w:numId="24">
    <w:abstractNumId w:val="16"/>
  </w:num>
  <w:num w:numId="25">
    <w:abstractNumId w:val="22"/>
  </w:num>
  <w:num w:numId="26">
    <w:abstractNumId w:val="19"/>
  </w:num>
  <w:num w:numId="27">
    <w:abstractNumId w:val="12"/>
  </w:num>
  <w:num w:numId="28">
    <w:abstractNumId w:val="21"/>
  </w:num>
  <w:num w:numId="29">
    <w:abstractNumId w:val="11"/>
  </w:num>
  <w:num w:numId="30">
    <w:abstractNumId w:val="13"/>
  </w:num>
  <w:num w:numId="31">
    <w:abstractNumId w:val="9"/>
  </w:num>
  <w:num w:numId="32">
    <w:abstractNumId w:val="20"/>
  </w:num>
  <w:num w:numId="33">
    <w:abstractNumId w:val="8"/>
  </w:num>
  <w:num w:numId="34">
    <w:abstractNumId w:val="14"/>
  </w:num>
  <w:num w:numId="35">
    <w:abstractNumId w:val="17"/>
  </w:num>
  <w:num w:numId="36">
    <w:abstractNumId w:val="18"/>
  </w:num>
  <w:num w:numId="37">
    <w:abstractNumId w:val="10"/>
  </w:num>
  <w:num w:numId="38">
    <w:abstractNumId w:val="16"/>
  </w:num>
  <w:num w:numId="39">
    <w:abstractNumId w:val="22"/>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noPunctuationKerning/>
  <w:characterSpacingControl w:val="doNotCompress"/>
  <w:hdrShapeDefaults>
    <o:shapedefaults v:ext="edit" spidmax="552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nsidérant" w:val="Considérant__1"/>
    <w:docVar w:name="DQCDateTime" w:val="2020-01-22 15:58:33"/>
    <w:docVar w:name="DQCResult_Distribution" w:val="0;1"/>
    <w:docVar w:name="DQCResult_DocumentContent" w:val="0;0"/>
    <w:docVar w:name="DQCResult_DocumentSize" w:val="0;0"/>
    <w:docVar w:name="DQCResult_DocumentVersions" w:val="0;0"/>
    <w:docVar w:name="DQCResult_InvalidFootnotes" w:val="0;0"/>
    <w:docVar w:name="DQCResult_LinkedStyles" w:val="0;0"/>
    <w:docVar w:name="DQCResult_ModifiedMargins" w:val="0;13"/>
    <w:docVar w:name="DQCResult_ModifiedMarkers" w:val="0;0"/>
    <w:docVar w:name="DQCResult_ModifiedNumbering" w:val="0;0"/>
    <w:docVar w:name="DQCResult_Objects" w:val="0;0"/>
    <w:docVar w:name="DQCResult_Sections" w:val="0;0"/>
    <w:docVar w:name="DQCResult_StructureCheck" w:val="0;0"/>
    <w:docVar w:name="DQCResult_SuperfluousWhitespace" w:val="0;1"/>
    <w:docVar w:name="DQCResult_UnknownFonts" w:val="0;0"/>
    <w:docVar w:name="DQCResult_UnknownStyles" w:val="0;0"/>
    <w:docVar w:name="DQCStatus" w:val="Green"/>
    <w:docVar w:name="DQCVersion" w:val="3"/>
    <w:docVar w:name="DQCWithWarnings" w:val="0"/>
    <w:docVar w:name="LW_COVERPAGE_EXISTS" w:val="True"/>
    <w:docVar w:name="LW_COVERPAGE_GUID" w:val="674FD8B0-369A-4FCD-BA56-9451C311B18D"/>
    <w:docVar w:name="LW_COVERPAGE_TYPE" w:val="1"/>
    <w:docVar w:name="LW_CROSSREFERENCE" w:val="&lt;UNUSED&gt;"/>
    <w:docVar w:name="LW_DATE.ADOPT.CP" w:val="\u1086?\u1090? XXX \u1075?\u1086?\u1076?\u1080?\u1085?\u1072?"/>
    <w:docVar w:name="LW_DATE.ADOPT.CP_DATEFORMAT" w:val="\u1086?\u1090? %DATE% \u1075?\u1086?\u1076?\u1080?\u1085?\u1072?"/>
    <w:docVar w:name="LW_DATE.ADOPT.CP_ISODATE" w:val="&lt;EMPTY&gt;"/>
    <w:docVar w:name="LW_DocType" w:val="COM"/>
    <w:docVar w:name="LW_EMISSION" w:val="&lt;EMPTY&gt;"/>
    <w:docVar w:name="LW_EMISSION_ISODATE" w:val="&lt;EMPTY&gt;"/>
    <w:docVar w:name="LW_EMISSION_LOCATION" w:val="BRX"/>
    <w:docVar w:name="LW_EMISSION_PREFIX" w:val="\u1041?\u1088?\u1102?\u1082?\u1089?\u1077?\u1083?, "/>
    <w:docVar w:name="LW_EMISSION_SUFFIX" w:val=" \u1075?."/>
    <w:docVar w:name="LW_ID_DOCMODEL" w:val="a08"/>
    <w:docVar w:name="LW_ID_DOCSIGNATURE" w:val="SJ-004"/>
    <w:docVar w:name="LW_ID_DOCSTRUCTURE" w:val="COM/AA"/>
    <w:docVar w:name="LW_ID_DOCTYPE" w:val="SJ-004"/>
    <w:docVar w:name="LW_INTERETEEE.CP" w:val="(\u1090?\u1077?\u1082?\u1089?\u1090? \u1086?\u1090? \u1079?\u1085?\u1072?\u1095?\u1077?\u1085?\u1080?\u1077? \u1079?\u1072? \u1045?\u1048?\u1055?)"/>
    <w:docVar w:name="LW_LANGUE" w:val="BG"/>
    <w:docVar w:name="LW_LANGUESFAISANTFOI.CP" w:val="&lt;UNUSED&gt;"/>
    <w:docVar w:name="LW_LEVEL_OF_SENSITIVITY" w:val="Standard treatment"/>
    <w:docVar w:name="LW_NOM.INST" w:val="\u1045?\u1042?\u1056?\u1054?\u1055?\u1045?\u1049?\u1057?\u1050?\u1040? \u1050?\u1054?\u1052?\u1048?\u1057?\u1048?\u1071?"/>
    <w:docVar w:name="LW_NOM.INST_JOINTDOC" w:val="&lt;EMPTY&gt;"/>
    <w:docVar w:name="LW_PART_NBR" w:val="1"/>
    <w:docVar w:name="LW_PART_NBR_TOTAL" w:val="1"/>
    <w:docVar w:name="LW_REF.INST.NEW" w:val="&lt;EMPTY&gt;"/>
    <w:docVar w:name="LW_REF.INST.NEW_ADOPTED" w:val="draft"/>
    <w:docVar w:name="LW_REF.INST.NEW_TEXT" w:val="(2019) XXX"/>
    <w:docVar w:name="LW_REF.INTERNE" w:val="&lt;UNUSED&gt;"/>
    <w:docVar w:name="LW_SENSITIVITY" w:val="&lt;?xml version=&quot;1.0&quot; encoding=&quot;utf-8&quot;?&gt;_x000d__x000a_&lt;SensitivityLevel xmlns:xsi=&quot;http://www.w3.org/2001/XMLSchema-instance&quot; xmlns:xsd=&quot;http://www.w3.org/2001/XMLSchema&quot; id=&quot;standard&quot;&gt;_x000d__x000a_  &lt;nicename EN=&quot;Standard treatment&quot; FR=&quot;Traitement standard&quot; /&gt;_x000d__x000a_  &lt;documentProperty&gt;Standard treatment&lt;/documentProperty&gt;_x000d__x000a_  &lt;markingConfig isAvailable=&quot;false&quot; isMandatory=&quot;false&quot; sensitiveMarkingMandatory=&quot;false&quot; specialMarkingMandatory=&quot;true&quot; isOptionDisplayInHeaderAvailable=&quot;true&quot; sensitiveMarkingListSee=&quot;SensitiveMarkings&quot; specialMarkingListSee=&quot;SpecialMarkings&quot; sensitiveFootnoteTextSee=&quot;sensitiveFootnote&quot; specialFootnoteTextSee=&quot;specialFootnote&quot; /&gt;_x000d__x000a_  &lt;chosenMainMarking xsi:nil=&quot;true&quot; /&gt;_x000d__x000a_  &lt;dateMarking xsi:nil=&quot;true&quot; /&gt;_x000d__x000a_  &lt;releasableToConfig isAvailable=&quot;false&quot; institutionListSee=&quot;DefaultInstitutions&quot; /&gt;_x000d__x000a_  &lt;chosenReleasableTo xsi:nil=&quot;true&quot; /&gt;_x000d__x000a_  &lt;detached xsi:nil=&quot;true&quot; /&gt;_x000d__x000a_  &lt;declassify xsi:nil=&quot;true&quot; /&gt;_x000d__x000a_  &lt;headerTexts xsi:nil=&quot;true&quot; /&gt;_x000d__x000a_  &lt;footerTexts xsi:nil=&quot;true&quot; /&gt;_x000d__x000a_  &lt;isRestricted&gt;false&lt;/isRestricted&gt;_x000d__x000a_&lt;/SensitivityLevel&gt;"/>
    <w:docVar w:name="LW_SOUS.TITRE.OBJ.CP" w:val="&lt;UNUSED&gt;"/>
    <w:docVar w:name="LW_SUPERTITRE" w:val="&lt;UNUSED&gt;"/>
    <w:docVar w:name="LW_TITRE.OBJ.CP" w:val="\u1079?\u1072? \u1080?\u1079?\u1084?\u1077?\u1085?\u1077?\u1085?\u1080?\u1077? \u1085?\u1072? \u1056?\u1077?\u1075?\u1083?\u1072?\u1084?\u1077?\u1085?\u1090? \u1079?\u1072? \u1080?\u1079?\u1087?\u1098?\u1083?\u1085?\u1077?\u1085?\u1080?\u1077? (\u1045?\u1057?) \u8470? 680/2014 \u1079?\u1072? \u1086?\u1087?\u1088?\u1077?\u1076?\u1077?\u1083?\u1103?\u1085?\u1077?, \u1074? \u1089?\u1098?\u1086?\u1090?\u1074?\u1077?\u1090?\u1089?\u1090?\u1074?\u1080?\u1077? \u1089? \u1056?\u1077?\u1075?\u1083?\u1072?\u1084?\u1077?\u1085?\u1090? (\u1045?\u1057?) \u8470? 575/2013 \u1085?\u1072? \u1045?\u1074?\u1088?\u1086?\u1087?\u1077?\u1081?\u1089?\u1082?\u1080?\u1103? \u1087?\u1072?\u1088?\u1083?\u1072?\u1084?\u1077?\u1085?\u1090? \u1080? \u1085?\u1072? \u1057?\u1098?\u1074?\u1077?\u1090?\u1072?, \u1085?\u1072? \u1090?\u1077?\u1093?\u1085?\u1080?\u1095?\u1077?\u1089?\u1082?\u1080?\u1090?\u1077? \u1089?\u1090?\u1072?\u1085?\u1076?\u1072?\u1088?\u1090?\u1080? \u1079?\u1072? \u1080?\u1079?\u1087?\u1098?\u1083?\u1085?\u1077?\u1085?\u1080?\u1077? \u1087?\u1086? \u1086?\u1090?\u1085?\u1086?\u1096?\u1077?\u1085?\u1080?\u1077? \u1085?\u1072? \u1087?\u1088?\u1077?\u1076?\u1086?\u1089?\u1090?\u1072?\u1074?\u1103?\u1085?\u1077?\u1090?\u1086? \u1085?\u1072? \u1080?\u1085?\u1092?\u1086?\u1088?\u1084?\u1072?\u1094?\u1080?\u1103? \u1086?\u1090? \u1080?\u1085?\u1089?\u1090?\u1080?\u1090?\u1091?\u1094?\u1080?\u1080?\u1090?\u1077? \u1085?\u1072? \u1085?\u1072?\u1076?\u1079?\u1086?\u1088?\u1085?\u1080?\u1090?\u1077? \u1086?\u1088?\u1075?\u1072?\u1085?\u1080?"/>
    <w:docVar w:name="LW_TITRE.OBJ.CP_PREVIOUS" w:val="&lt;UNUSED&gt;"/>
    <w:docVar w:name="LW_TYPE.DOC.CP" w:val="\u1056?\u1045?\u1043?\u1051?\u1040?\u1052?\u1045?\u1053?\u1058? \u1047?\u1040? \u1048?\u1047?\u1055?\u1066?\u1051?\u1053?\u1045?\u1053?\u1048?\u1045? (\u1045?\u1057?) .../\u8230? \u1053?\u1040? \u1050?\u1054?\u1052?\u1048?\u1057?\u1048?\u1071?\u1058?\u1040?"/>
  </w:docVars>
  <w:rsids>
    <w:rsidRoot w:val="001B445C"/>
    <w:rsid w:val="00033C74"/>
    <w:rsid w:val="00043094"/>
    <w:rsid w:val="0005623D"/>
    <w:rsid w:val="000669A6"/>
    <w:rsid w:val="00080669"/>
    <w:rsid w:val="000827FE"/>
    <w:rsid w:val="000969B1"/>
    <w:rsid w:val="000A4D5B"/>
    <w:rsid w:val="000A5E1E"/>
    <w:rsid w:val="000B410C"/>
    <w:rsid w:val="000B73C7"/>
    <w:rsid w:val="000C1DAC"/>
    <w:rsid w:val="000C750A"/>
    <w:rsid w:val="000D34D3"/>
    <w:rsid w:val="000E135F"/>
    <w:rsid w:val="00100F75"/>
    <w:rsid w:val="00103E88"/>
    <w:rsid w:val="00121213"/>
    <w:rsid w:val="0014218B"/>
    <w:rsid w:val="001440F6"/>
    <w:rsid w:val="00157C31"/>
    <w:rsid w:val="0016544F"/>
    <w:rsid w:val="00187535"/>
    <w:rsid w:val="00190013"/>
    <w:rsid w:val="00195CE1"/>
    <w:rsid w:val="001B41CA"/>
    <w:rsid w:val="001B42E7"/>
    <w:rsid w:val="001B445C"/>
    <w:rsid w:val="001C5A09"/>
    <w:rsid w:val="001D1851"/>
    <w:rsid w:val="001D1EAD"/>
    <w:rsid w:val="001D2590"/>
    <w:rsid w:val="00210995"/>
    <w:rsid w:val="00210D88"/>
    <w:rsid w:val="00214D98"/>
    <w:rsid w:val="00234A29"/>
    <w:rsid w:val="002452B8"/>
    <w:rsid w:val="00261239"/>
    <w:rsid w:val="00294A2C"/>
    <w:rsid w:val="002A096A"/>
    <w:rsid w:val="002A3D06"/>
    <w:rsid w:val="002B7D73"/>
    <w:rsid w:val="002C0116"/>
    <w:rsid w:val="002D1D89"/>
    <w:rsid w:val="002E61FA"/>
    <w:rsid w:val="003228A8"/>
    <w:rsid w:val="00323D7B"/>
    <w:rsid w:val="00331D51"/>
    <w:rsid w:val="00346B8D"/>
    <w:rsid w:val="003516C5"/>
    <w:rsid w:val="00354C41"/>
    <w:rsid w:val="00363BA4"/>
    <w:rsid w:val="003A7F9A"/>
    <w:rsid w:val="003C12AA"/>
    <w:rsid w:val="003C3A5D"/>
    <w:rsid w:val="003E0C68"/>
    <w:rsid w:val="003E4578"/>
    <w:rsid w:val="003F04FB"/>
    <w:rsid w:val="003F5F3F"/>
    <w:rsid w:val="00400058"/>
    <w:rsid w:val="00422F73"/>
    <w:rsid w:val="0044493F"/>
    <w:rsid w:val="00452D9B"/>
    <w:rsid w:val="00453AF5"/>
    <w:rsid w:val="00460A10"/>
    <w:rsid w:val="004641C1"/>
    <w:rsid w:val="0048748F"/>
    <w:rsid w:val="00492479"/>
    <w:rsid w:val="00493D25"/>
    <w:rsid w:val="0049676D"/>
    <w:rsid w:val="00497A2C"/>
    <w:rsid w:val="004A3CA0"/>
    <w:rsid w:val="004A3CB1"/>
    <w:rsid w:val="004C0193"/>
    <w:rsid w:val="004C4258"/>
    <w:rsid w:val="004D568A"/>
    <w:rsid w:val="004D5878"/>
    <w:rsid w:val="004E2457"/>
    <w:rsid w:val="004E4C15"/>
    <w:rsid w:val="004F23A9"/>
    <w:rsid w:val="00502C75"/>
    <w:rsid w:val="00506FC2"/>
    <w:rsid w:val="00537CE5"/>
    <w:rsid w:val="005469C5"/>
    <w:rsid w:val="00553296"/>
    <w:rsid w:val="00572A39"/>
    <w:rsid w:val="005758BE"/>
    <w:rsid w:val="0059701E"/>
    <w:rsid w:val="005A01CC"/>
    <w:rsid w:val="005A4EAC"/>
    <w:rsid w:val="005B3C3F"/>
    <w:rsid w:val="005C370C"/>
    <w:rsid w:val="005D3D32"/>
    <w:rsid w:val="005F7896"/>
    <w:rsid w:val="00647B5C"/>
    <w:rsid w:val="0066767D"/>
    <w:rsid w:val="00686B50"/>
    <w:rsid w:val="006967B3"/>
    <w:rsid w:val="006A1323"/>
    <w:rsid w:val="006A640B"/>
    <w:rsid w:val="006B4E20"/>
    <w:rsid w:val="006E63CD"/>
    <w:rsid w:val="006E678D"/>
    <w:rsid w:val="006F34B3"/>
    <w:rsid w:val="00704E75"/>
    <w:rsid w:val="007067B7"/>
    <w:rsid w:val="0071620D"/>
    <w:rsid w:val="007369E1"/>
    <w:rsid w:val="00747BC4"/>
    <w:rsid w:val="0075391A"/>
    <w:rsid w:val="00753980"/>
    <w:rsid w:val="007545A4"/>
    <w:rsid w:val="0075661F"/>
    <w:rsid w:val="00770919"/>
    <w:rsid w:val="00775BB6"/>
    <w:rsid w:val="00776BBC"/>
    <w:rsid w:val="00785FB6"/>
    <w:rsid w:val="00790003"/>
    <w:rsid w:val="007B790A"/>
    <w:rsid w:val="007D61B3"/>
    <w:rsid w:val="007D7890"/>
    <w:rsid w:val="00814E96"/>
    <w:rsid w:val="0084057B"/>
    <w:rsid w:val="00844802"/>
    <w:rsid w:val="00854910"/>
    <w:rsid w:val="00855514"/>
    <w:rsid w:val="00867FE3"/>
    <w:rsid w:val="00897E21"/>
    <w:rsid w:val="008A0AA6"/>
    <w:rsid w:val="008A2478"/>
    <w:rsid w:val="008C22A3"/>
    <w:rsid w:val="008C48FA"/>
    <w:rsid w:val="008D09B7"/>
    <w:rsid w:val="008E268A"/>
    <w:rsid w:val="008E50CD"/>
    <w:rsid w:val="008F4EA5"/>
    <w:rsid w:val="00921359"/>
    <w:rsid w:val="0092431C"/>
    <w:rsid w:val="00940F1C"/>
    <w:rsid w:val="00945DFA"/>
    <w:rsid w:val="00946C0A"/>
    <w:rsid w:val="00952426"/>
    <w:rsid w:val="00955D63"/>
    <w:rsid w:val="00962570"/>
    <w:rsid w:val="009666AA"/>
    <w:rsid w:val="00983B03"/>
    <w:rsid w:val="00986B22"/>
    <w:rsid w:val="0099441B"/>
    <w:rsid w:val="009A64F9"/>
    <w:rsid w:val="009C0180"/>
    <w:rsid w:val="009C090E"/>
    <w:rsid w:val="009D448E"/>
    <w:rsid w:val="00A01488"/>
    <w:rsid w:val="00A24919"/>
    <w:rsid w:val="00A278FD"/>
    <w:rsid w:val="00A62DAE"/>
    <w:rsid w:val="00A66F54"/>
    <w:rsid w:val="00A826D6"/>
    <w:rsid w:val="00A8593B"/>
    <w:rsid w:val="00A9740D"/>
    <w:rsid w:val="00A97566"/>
    <w:rsid w:val="00AA63F1"/>
    <w:rsid w:val="00AB21FF"/>
    <w:rsid w:val="00AB5724"/>
    <w:rsid w:val="00AE05F8"/>
    <w:rsid w:val="00AF3BF4"/>
    <w:rsid w:val="00B14FCE"/>
    <w:rsid w:val="00B15EFC"/>
    <w:rsid w:val="00B26FCE"/>
    <w:rsid w:val="00B31B60"/>
    <w:rsid w:val="00B33376"/>
    <w:rsid w:val="00B467F6"/>
    <w:rsid w:val="00B64C30"/>
    <w:rsid w:val="00B71BC4"/>
    <w:rsid w:val="00B738F6"/>
    <w:rsid w:val="00B971E9"/>
    <w:rsid w:val="00BB5DB5"/>
    <w:rsid w:val="00BC373E"/>
    <w:rsid w:val="00BC6787"/>
    <w:rsid w:val="00BD2641"/>
    <w:rsid w:val="00BF3434"/>
    <w:rsid w:val="00C020FE"/>
    <w:rsid w:val="00C039DD"/>
    <w:rsid w:val="00C325D1"/>
    <w:rsid w:val="00C52F81"/>
    <w:rsid w:val="00C63439"/>
    <w:rsid w:val="00C6522F"/>
    <w:rsid w:val="00C71E1B"/>
    <w:rsid w:val="00C83DEA"/>
    <w:rsid w:val="00CB0AF7"/>
    <w:rsid w:val="00CB1A3C"/>
    <w:rsid w:val="00CC6F30"/>
    <w:rsid w:val="00CC7AB4"/>
    <w:rsid w:val="00CE7CAD"/>
    <w:rsid w:val="00D2769A"/>
    <w:rsid w:val="00D314A9"/>
    <w:rsid w:val="00D34C13"/>
    <w:rsid w:val="00D50BB7"/>
    <w:rsid w:val="00D55B25"/>
    <w:rsid w:val="00D63710"/>
    <w:rsid w:val="00D639C9"/>
    <w:rsid w:val="00D74E3F"/>
    <w:rsid w:val="00D845A9"/>
    <w:rsid w:val="00D913C8"/>
    <w:rsid w:val="00D964B3"/>
    <w:rsid w:val="00DC033D"/>
    <w:rsid w:val="00DC3927"/>
    <w:rsid w:val="00DF4957"/>
    <w:rsid w:val="00E013AC"/>
    <w:rsid w:val="00E205D3"/>
    <w:rsid w:val="00E45AE0"/>
    <w:rsid w:val="00E52742"/>
    <w:rsid w:val="00E5700E"/>
    <w:rsid w:val="00E735AB"/>
    <w:rsid w:val="00E75423"/>
    <w:rsid w:val="00E871DE"/>
    <w:rsid w:val="00E91FF6"/>
    <w:rsid w:val="00E959F9"/>
    <w:rsid w:val="00E96626"/>
    <w:rsid w:val="00EA64E6"/>
    <w:rsid w:val="00EC1096"/>
    <w:rsid w:val="00EE58F1"/>
    <w:rsid w:val="00EE6731"/>
    <w:rsid w:val="00EF0828"/>
    <w:rsid w:val="00F32FFE"/>
    <w:rsid w:val="00F45D68"/>
    <w:rsid w:val="00F62F54"/>
    <w:rsid w:val="00F65DE7"/>
    <w:rsid w:val="00F84FD0"/>
    <w:rsid w:val="00F95996"/>
    <w:rsid w:val="00FB65A6"/>
    <w:rsid w:val="00FC4C41"/>
    <w:rsid w:val="00FC61EB"/>
    <w:rsid w:val="00FE3A3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5297"/>
    <o:shapelayout v:ext="edit">
      <o:idmap v:ext="edit" data="1"/>
    </o:shapelayout>
  </w:shapeDefaults>
  <w:doNotEmbedSmartTags/>
  <w:decimalSymbol w:val=","/>
  <w:listSeparator w:val=";"/>
  <w14:docId w14:val="72D15A25"/>
  <w15:docId w15:val="{26C75A3A-333D-4F45-9580-78994C66C8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qFormat="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120" w:after="120" w:line="240" w:lineRule="auto"/>
      <w:jc w:val="both"/>
    </w:pPr>
    <w:rPr>
      <w:rFonts w:ascii="Times New Roman" w:hAnsi="Times New Roman" w:cs="Times New Roman"/>
      <w:sz w:val="24"/>
      <w:lang w:val="bg-BG"/>
    </w:rPr>
  </w:style>
  <w:style w:type="paragraph" w:styleId="Heading1">
    <w:name w:val="heading 1"/>
    <w:basedOn w:val="Normal"/>
    <w:next w:val="Text1"/>
    <w:link w:val="Heading1Char"/>
    <w:uiPriority w:val="9"/>
    <w:qFormat/>
    <w:rsid w:val="009B7138"/>
    <w:pPr>
      <w:keepNext/>
      <w:numPr>
        <w:numId w:val="32"/>
      </w:numPr>
      <w:spacing w:before="360"/>
      <w:outlineLvl w:val="0"/>
    </w:pPr>
    <w:rPr>
      <w:rFonts w:eastAsiaTheme="majorEastAsia"/>
      <w:b/>
      <w:bCs/>
      <w:smallCaps/>
      <w:szCs w:val="28"/>
    </w:rPr>
  </w:style>
  <w:style w:type="paragraph" w:styleId="Heading2">
    <w:name w:val="heading 2"/>
    <w:basedOn w:val="Normal"/>
    <w:next w:val="Text1"/>
    <w:link w:val="Heading2Char"/>
    <w:uiPriority w:val="9"/>
    <w:semiHidden/>
    <w:unhideWhenUsed/>
    <w:qFormat/>
    <w:rsid w:val="009B7138"/>
    <w:pPr>
      <w:keepNext/>
      <w:numPr>
        <w:ilvl w:val="1"/>
        <w:numId w:val="32"/>
      </w:numPr>
      <w:outlineLvl w:val="1"/>
    </w:pPr>
    <w:rPr>
      <w:rFonts w:eastAsiaTheme="majorEastAsia"/>
      <w:b/>
      <w:bCs/>
      <w:szCs w:val="26"/>
    </w:rPr>
  </w:style>
  <w:style w:type="paragraph" w:styleId="Heading3">
    <w:name w:val="heading 3"/>
    <w:basedOn w:val="Normal"/>
    <w:next w:val="Text1"/>
    <w:link w:val="Heading3Char"/>
    <w:uiPriority w:val="9"/>
    <w:semiHidden/>
    <w:unhideWhenUsed/>
    <w:qFormat/>
    <w:rsid w:val="009B7138"/>
    <w:pPr>
      <w:keepNext/>
      <w:numPr>
        <w:ilvl w:val="2"/>
        <w:numId w:val="32"/>
      </w:numPr>
      <w:outlineLvl w:val="2"/>
    </w:pPr>
    <w:rPr>
      <w:rFonts w:eastAsiaTheme="majorEastAsia"/>
      <w:bCs/>
      <w:i/>
    </w:rPr>
  </w:style>
  <w:style w:type="paragraph" w:styleId="Heading4">
    <w:name w:val="heading 4"/>
    <w:basedOn w:val="Normal"/>
    <w:next w:val="Text1"/>
    <w:link w:val="Heading4Char"/>
    <w:uiPriority w:val="9"/>
    <w:semiHidden/>
    <w:unhideWhenUsed/>
    <w:qFormat/>
    <w:rsid w:val="009B7138"/>
    <w:pPr>
      <w:keepNext/>
      <w:numPr>
        <w:ilvl w:val="3"/>
        <w:numId w:val="32"/>
      </w:numPr>
      <w:outlineLvl w:val="3"/>
    </w:pPr>
    <w:rPr>
      <w:rFonts w:eastAsiaTheme="majorEastAsia"/>
      <w:bCs/>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rsid w:val="004D5878"/>
    <w:rPr>
      <w:sz w:val="16"/>
    </w:rPr>
  </w:style>
  <w:style w:type="paragraph" w:styleId="CommentText">
    <w:name w:val="annotation text"/>
    <w:basedOn w:val="Normal"/>
    <w:rsid w:val="004D5878"/>
    <w:pPr>
      <w:spacing w:before="0" w:after="240"/>
      <w:jc w:val="left"/>
    </w:pPr>
    <w:rPr>
      <w:rFonts w:ascii="Arial" w:hAnsi="Arial"/>
      <w:sz w:val="20"/>
      <w:szCs w:val="20"/>
    </w:rPr>
  </w:style>
  <w:style w:type="paragraph" w:styleId="ListBullet">
    <w:name w:val="List Bullet"/>
    <w:basedOn w:val="Normal"/>
    <w:uiPriority w:val="99"/>
    <w:qFormat/>
    <w:rsid w:val="000D34D3"/>
    <w:pPr>
      <w:numPr>
        <w:numId w:val="1"/>
      </w:numPr>
    </w:pPr>
  </w:style>
  <w:style w:type="paragraph" w:styleId="ListBullet2">
    <w:name w:val="List Bullet 2"/>
    <w:basedOn w:val="Normal"/>
    <w:rsid w:val="000D34D3"/>
    <w:pPr>
      <w:numPr>
        <w:numId w:val="2"/>
      </w:numPr>
    </w:pPr>
  </w:style>
  <w:style w:type="paragraph" w:styleId="ListBullet3">
    <w:name w:val="List Bullet 3"/>
    <w:basedOn w:val="Normal"/>
    <w:rsid w:val="000D34D3"/>
    <w:pPr>
      <w:numPr>
        <w:numId w:val="3"/>
      </w:numPr>
    </w:pPr>
  </w:style>
  <w:style w:type="paragraph" w:styleId="ListBullet4">
    <w:name w:val="List Bullet 4"/>
    <w:basedOn w:val="Normal"/>
    <w:rsid w:val="000D34D3"/>
    <w:pPr>
      <w:numPr>
        <w:numId w:val="4"/>
      </w:numPr>
    </w:pPr>
  </w:style>
  <w:style w:type="paragraph" w:styleId="ListNumber3">
    <w:name w:val="List Number 3"/>
    <w:basedOn w:val="Normal"/>
    <w:rsid w:val="000D34D3"/>
    <w:pPr>
      <w:numPr>
        <w:numId w:val="5"/>
      </w:numPr>
    </w:pPr>
  </w:style>
  <w:style w:type="paragraph" w:styleId="CommentSubject">
    <w:name w:val="annotation subject"/>
    <w:basedOn w:val="CommentText"/>
    <w:next w:val="CommentText"/>
    <w:rsid w:val="004641C1"/>
    <w:pPr>
      <w:spacing w:before="120" w:after="120"/>
      <w:jc w:val="both"/>
    </w:pPr>
    <w:rPr>
      <w:rFonts w:ascii="Times New Roman" w:hAnsi="Times New Roman"/>
      <w:b/>
      <w:bCs/>
    </w:rPr>
  </w:style>
  <w:style w:type="paragraph" w:styleId="Caption">
    <w:name w:val="caption"/>
    <w:basedOn w:val="Normal"/>
    <w:next w:val="Normal"/>
    <w:qFormat/>
    <w:rsid w:val="006E63CD"/>
    <w:rPr>
      <w:b/>
      <w:bCs/>
      <w:sz w:val="20"/>
      <w:szCs w:val="20"/>
    </w:rPr>
  </w:style>
  <w:style w:type="paragraph" w:styleId="TableofFigures">
    <w:name w:val="table of figures"/>
    <w:basedOn w:val="Normal"/>
    <w:next w:val="Normal"/>
    <w:semiHidden/>
    <w:rsid w:val="006E63CD"/>
  </w:style>
  <w:style w:type="paragraph" w:styleId="ListNumber">
    <w:name w:val="List Number"/>
    <w:basedOn w:val="Normal"/>
    <w:rsid w:val="006E63CD"/>
    <w:pPr>
      <w:numPr>
        <w:numId w:val="6"/>
      </w:numPr>
    </w:pPr>
  </w:style>
  <w:style w:type="paragraph" w:styleId="ListNumber2">
    <w:name w:val="List Number 2"/>
    <w:basedOn w:val="Normal"/>
    <w:rsid w:val="006E63CD"/>
    <w:pPr>
      <w:numPr>
        <w:numId w:val="7"/>
      </w:numPr>
    </w:pPr>
  </w:style>
  <w:style w:type="paragraph" w:styleId="ListNumber4">
    <w:name w:val="List Number 4"/>
    <w:basedOn w:val="Normal"/>
    <w:rsid w:val="006E63CD"/>
    <w:pPr>
      <w:numPr>
        <w:numId w:val="8"/>
      </w:numPr>
    </w:pPr>
  </w:style>
  <w:style w:type="character" w:styleId="Hyperlink">
    <w:name w:val="Hyperlink"/>
    <w:basedOn w:val="DefaultParagraphFont"/>
    <w:rsid w:val="006E63CD"/>
    <w:rPr>
      <w:color w:val="0000FF"/>
      <w:u w:val="single"/>
    </w:rPr>
  </w:style>
  <w:style w:type="paragraph" w:customStyle="1" w:styleId="numberedparagraph">
    <w:name w:val="numbered paragraph"/>
    <w:basedOn w:val="Normal"/>
    <w:qFormat/>
    <w:rsid w:val="001B445C"/>
    <w:pPr>
      <w:numPr>
        <w:numId w:val="9"/>
      </w:numPr>
      <w:spacing w:before="240" w:line="276" w:lineRule="auto"/>
    </w:pPr>
    <w:rPr>
      <w:rFonts w:asciiTheme="minorHAnsi" w:eastAsiaTheme="minorEastAsia" w:hAnsiTheme="minorHAnsi" w:cstheme="minorBidi"/>
      <w:sz w:val="22"/>
    </w:rPr>
  </w:style>
  <w:style w:type="paragraph" w:styleId="ListParagraph">
    <w:name w:val="List Paragraph"/>
    <w:basedOn w:val="Normal"/>
    <w:link w:val="ListParagraphChar"/>
    <w:uiPriority w:val="34"/>
    <w:qFormat/>
    <w:rsid w:val="006A640B"/>
    <w:pPr>
      <w:spacing w:before="0" w:after="0"/>
      <w:ind w:left="720"/>
      <w:jc w:val="left"/>
    </w:pPr>
    <w:rPr>
      <w:rFonts w:ascii="Calibri" w:eastAsia="Calibri" w:hAnsi="Calibri"/>
      <w:sz w:val="22"/>
    </w:rPr>
  </w:style>
  <w:style w:type="character" w:customStyle="1" w:styleId="ListParagraphChar">
    <w:name w:val="List Paragraph Char"/>
    <w:link w:val="ListParagraph"/>
    <w:uiPriority w:val="34"/>
    <w:locked/>
    <w:rsid w:val="006A640B"/>
    <w:rPr>
      <w:rFonts w:ascii="Calibri" w:eastAsia="Calibri" w:hAnsi="Calibri"/>
      <w:sz w:val="22"/>
      <w:szCs w:val="22"/>
      <w:lang w:eastAsia="en-US"/>
    </w:rPr>
  </w:style>
  <w:style w:type="paragraph" w:customStyle="1" w:styleId="Sous-titreobjet">
    <w:name w:val="Sous-titre objet"/>
    <w:basedOn w:val="Normal"/>
    <w:rsid w:val="007D53B6"/>
    <w:pPr>
      <w:spacing w:before="0" w:after="0"/>
      <w:jc w:val="center"/>
    </w:pPr>
    <w:rPr>
      <w:b/>
    </w:rPr>
  </w:style>
  <w:style w:type="paragraph" w:customStyle="1" w:styleId="Sous-titreobjetPagedecouverture">
    <w:name w:val="Sous-titre objet (Page de couverture)"/>
    <w:basedOn w:val="Sous-titreobjet"/>
    <w:rsid w:val="007D53B6"/>
  </w:style>
  <w:style w:type="paragraph" w:styleId="BalloonText">
    <w:name w:val="Balloon Text"/>
    <w:basedOn w:val="Normal"/>
    <w:link w:val="BalloonTextChar"/>
    <w:uiPriority w:val="99"/>
    <w:semiHidden/>
    <w:unhideWhenUsed/>
    <w:rsid w:val="003415BD"/>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3415BD"/>
    <w:rPr>
      <w:rFonts w:ascii="Tahoma" w:hAnsi="Tahoma" w:cs="Tahoma"/>
      <w:sz w:val="16"/>
      <w:szCs w:val="16"/>
      <w:lang w:val="bg-BG"/>
    </w:rPr>
  </w:style>
  <w:style w:type="paragraph" w:styleId="NormalWeb">
    <w:name w:val="Normal (Web)"/>
    <w:basedOn w:val="Normal"/>
    <w:uiPriority w:val="99"/>
    <w:unhideWhenUsed/>
    <w:rsid w:val="006A1323"/>
    <w:pPr>
      <w:spacing w:before="100" w:beforeAutospacing="1" w:after="100" w:afterAutospacing="1"/>
      <w:jc w:val="left"/>
    </w:pPr>
    <w:rPr>
      <w:rFonts w:eastAsia="Times New Roman"/>
      <w:szCs w:val="24"/>
      <w:lang w:eastAsia="en-GB"/>
    </w:rPr>
  </w:style>
  <w:style w:type="character" w:styleId="Emphasis">
    <w:name w:val="Emphasis"/>
    <w:basedOn w:val="DefaultParagraphFont"/>
    <w:uiPriority w:val="20"/>
    <w:qFormat/>
    <w:rsid w:val="006A1323"/>
    <w:rPr>
      <w:i/>
      <w:iCs/>
    </w:rPr>
  </w:style>
  <w:style w:type="paragraph" w:styleId="Revision">
    <w:name w:val="Revision"/>
    <w:hidden/>
    <w:uiPriority w:val="99"/>
    <w:semiHidden/>
    <w:rsid w:val="003F04FB"/>
    <w:pPr>
      <w:spacing w:after="0" w:line="240" w:lineRule="auto"/>
    </w:pPr>
    <w:rPr>
      <w:rFonts w:ascii="Times New Roman" w:hAnsi="Times New Roman" w:cs="Times New Roman"/>
      <w:sz w:val="24"/>
    </w:rPr>
  </w:style>
  <w:style w:type="paragraph" w:styleId="Header">
    <w:name w:val="header"/>
    <w:basedOn w:val="Normal"/>
    <w:link w:val="HeaderChar"/>
    <w:uiPriority w:val="99"/>
    <w:semiHidden/>
    <w:unhideWhenUsed/>
    <w:rsid w:val="009B7138"/>
    <w:pPr>
      <w:tabs>
        <w:tab w:val="center" w:pos="4535"/>
        <w:tab w:val="right" w:pos="9071"/>
      </w:tabs>
      <w:spacing w:before="0"/>
    </w:pPr>
  </w:style>
  <w:style w:type="character" w:customStyle="1" w:styleId="HeaderChar">
    <w:name w:val="Header Char"/>
    <w:basedOn w:val="DefaultParagraphFont"/>
    <w:link w:val="Header"/>
    <w:uiPriority w:val="99"/>
    <w:semiHidden/>
    <w:rsid w:val="009B7138"/>
    <w:rPr>
      <w:rFonts w:ascii="Times New Roman" w:hAnsi="Times New Roman" w:cs="Times New Roman"/>
      <w:sz w:val="24"/>
      <w:shd w:val="clear" w:color="auto" w:fill="auto"/>
      <w:lang w:val="en-GB"/>
    </w:rPr>
  </w:style>
  <w:style w:type="paragraph" w:styleId="Footer">
    <w:name w:val="footer"/>
    <w:basedOn w:val="Normal"/>
    <w:link w:val="FooterChar"/>
    <w:uiPriority w:val="99"/>
    <w:semiHidden/>
    <w:unhideWhenUsed/>
    <w:rsid w:val="009B7138"/>
    <w:pPr>
      <w:tabs>
        <w:tab w:val="center" w:pos="4535"/>
        <w:tab w:val="right" w:pos="9071"/>
        <w:tab w:val="right" w:pos="9921"/>
      </w:tabs>
      <w:spacing w:before="360" w:after="0"/>
      <w:ind w:left="-850" w:right="-850"/>
      <w:jc w:val="left"/>
    </w:pPr>
  </w:style>
  <w:style w:type="character" w:customStyle="1" w:styleId="FooterChar">
    <w:name w:val="Footer Char"/>
    <w:basedOn w:val="DefaultParagraphFont"/>
    <w:link w:val="Footer"/>
    <w:uiPriority w:val="99"/>
    <w:semiHidden/>
    <w:rsid w:val="009B7138"/>
    <w:rPr>
      <w:rFonts w:ascii="Times New Roman" w:hAnsi="Times New Roman" w:cs="Times New Roman"/>
      <w:sz w:val="24"/>
      <w:shd w:val="clear" w:color="auto" w:fill="auto"/>
      <w:lang w:val="en-GB"/>
    </w:rPr>
  </w:style>
  <w:style w:type="paragraph" w:styleId="FootnoteText">
    <w:name w:val="footnote text"/>
    <w:basedOn w:val="Normal"/>
    <w:link w:val="FootnoteTextChar"/>
    <w:uiPriority w:val="99"/>
    <w:semiHidden/>
    <w:unhideWhenUsed/>
    <w:rsid w:val="009B7138"/>
    <w:pPr>
      <w:spacing w:before="0" w:after="0"/>
      <w:ind w:left="720" w:hanging="720"/>
    </w:pPr>
    <w:rPr>
      <w:sz w:val="20"/>
      <w:szCs w:val="20"/>
    </w:rPr>
  </w:style>
  <w:style w:type="character" w:customStyle="1" w:styleId="FootnoteTextChar">
    <w:name w:val="Footnote Text Char"/>
    <w:basedOn w:val="DefaultParagraphFont"/>
    <w:link w:val="FootnoteText"/>
    <w:uiPriority w:val="99"/>
    <w:semiHidden/>
    <w:rsid w:val="009B7138"/>
    <w:rPr>
      <w:rFonts w:ascii="Times New Roman" w:hAnsi="Times New Roman" w:cs="Times New Roman"/>
      <w:sz w:val="20"/>
      <w:szCs w:val="20"/>
      <w:shd w:val="clear" w:color="auto" w:fill="auto"/>
      <w:lang w:val="en-GB"/>
    </w:rPr>
  </w:style>
  <w:style w:type="character" w:customStyle="1" w:styleId="Heading1Char">
    <w:name w:val="Heading 1 Char"/>
    <w:basedOn w:val="DefaultParagraphFont"/>
    <w:link w:val="Heading1"/>
    <w:uiPriority w:val="9"/>
    <w:rsid w:val="009B7138"/>
    <w:rPr>
      <w:rFonts w:ascii="Times New Roman" w:eastAsiaTheme="majorEastAsia" w:hAnsi="Times New Roman" w:cs="Times New Roman"/>
      <w:b/>
      <w:bCs/>
      <w:smallCaps/>
      <w:sz w:val="24"/>
      <w:szCs w:val="28"/>
      <w:shd w:val="clear" w:color="auto" w:fill="auto"/>
      <w:lang w:val="en-GB"/>
    </w:rPr>
  </w:style>
  <w:style w:type="character" w:customStyle="1" w:styleId="Heading2Char">
    <w:name w:val="Heading 2 Char"/>
    <w:basedOn w:val="DefaultParagraphFont"/>
    <w:link w:val="Heading2"/>
    <w:uiPriority w:val="9"/>
    <w:semiHidden/>
    <w:rsid w:val="009B7138"/>
    <w:rPr>
      <w:rFonts w:ascii="Times New Roman" w:eastAsiaTheme="majorEastAsia" w:hAnsi="Times New Roman" w:cs="Times New Roman"/>
      <w:b/>
      <w:bCs/>
      <w:sz w:val="24"/>
      <w:szCs w:val="26"/>
      <w:shd w:val="clear" w:color="auto" w:fill="auto"/>
      <w:lang w:val="en-GB"/>
    </w:rPr>
  </w:style>
  <w:style w:type="character" w:customStyle="1" w:styleId="Heading3Char">
    <w:name w:val="Heading 3 Char"/>
    <w:basedOn w:val="DefaultParagraphFont"/>
    <w:link w:val="Heading3"/>
    <w:uiPriority w:val="9"/>
    <w:semiHidden/>
    <w:rsid w:val="009B7138"/>
    <w:rPr>
      <w:rFonts w:ascii="Times New Roman" w:eastAsiaTheme="majorEastAsia" w:hAnsi="Times New Roman" w:cs="Times New Roman"/>
      <w:bCs/>
      <w:i/>
      <w:sz w:val="24"/>
      <w:shd w:val="clear" w:color="auto" w:fill="auto"/>
      <w:lang w:val="en-GB"/>
    </w:rPr>
  </w:style>
  <w:style w:type="character" w:customStyle="1" w:styleId="Heading4Char">
    <w:name w:val="Heading 4 Char"/>
    <w:basedOn w:val="DefaultParagraphFont"/>
    <w:link w:val="Heading4"/>
    <w:uiPriority w:val="9"/>
    <w:semiHidden/>
    <w:rsid w:val="009B7138"/>
    <w:rPr>
      <w:rFonts w:ascii="Times New Roman" w:eastAsiaTheme="majorEastAsia" w:hAnsi="Times New Roman" w:cs="Times New Roman"/>
      <w:bCs/>
      <w:iCs/>
      <w:sz w:val="24"/>
      <w:shd w:val="clear" w:color="auto" w:fill="auto"/>
      <w:lang w:val="en-GB"/>
    </w:rPr>
  </w:style>
  <w:style w:type="paragraph" w:styleId="TOCHeading">
    <w:name w:val="TOC Heading"/>
    <w:basedOn w:val="Normal"/>
    <w:next w:val="Normal"/>
    <w:uiPriority w:val="39"/>
    <w:semiHidden/>
    <w:unhideWhenUsed/>
    <w:qFormat/>
    <w:rsid w:val="009B7138"/>
    <w:pPr>
      <w:spacing w:after="240"/>
      <w:jc w:val="center"/>
    </w:pPr>
    <w:rPr>
      <w:b/>
      <w:sz w:val="28"/>
    </w:rPr>
  </w:style>
  <w:style w:type="paragraph" w:styleId="TOC1">
    <w:name w:val="toc 1"/>
    <w:basedOn w:val="Normal"/>
    <w:next w:val="Normal"/>
    <w:uiPriority w:val="39"/>
    <w:semiHidden/>
    <w:unhideWhenUsed/>
    <w:rsid w:val="009B7138"/>
    <w:pPr>
      <w:tabs>
        <w:tab w:val="right" w:leader="dot" w:pos="9071"/>
      </w:tabs>
      <w:spacing w:before="60"/>
      <w:ind w:left="850" w:hanging="850"/>
      <w:jc w:val="left"/>
    </w:pPr>
  </w:style>
  <w:style w:type="paragraph" w:styleId="TOC2">
    <w:name w:val="toc 2"/>
    <w:basedOn w:val="Normal"/>
    <w:next w:val="Normal"/>
    <w:uiPriority w:val="39"/>
    <w:semiHidden/>
    <w:unhideWhenUsed/>
    <w:rsid w:val="009B7138"/>
    <w:pPr>
      <w:tabs>
        <w:tab w:val="right" w:leader="dot" w:pos="9071"/>
      </w:tabs>
      <w:spacing w:before="60"/>
      <w:ind w:left="850" w:hanging="850"/>
      <w:jc w:val="left"/>
    </w:pPr>
  </w:style>
  <w:style w:type="paragraph" w:styleId="TOC3">
    <w:name w:val="toc 3"/>
    <w:basedOn w:val="Normal"/>
    <w:next w:val="Normal"/>
    <w:uiPriority w:val="39"/>
    <w:semiHidden/>
    <w:unhideWhenUsed/>
    <w:rsid w:val="009B7138"/>
    <w:pPr>
      <w:tabs>
        <w:tab w:val="right" w:leader="dot" w:pos="9071"/>
      </w:tabs>
      <w:spacing w:before="60"/>
      <w:ind w:left="850" w:hanging="850"/>
      <w:jc w:val="left"/>
    </w:pPr>
  </w:style>
  <w:style w:type="paragraph" w:styleId="TOC4">
    <w:name w:val="toc 4"/>
    <w:basedOn w:val="Normal"/>
    <w:next w:val="Normal"/>
    <w:uiPriority w:val="39"/>
    <w:semiHidden/>
    <w:unhideWhenUsed/>
    <w:rsid w:val="009B7138"/>
    <w:pPr>
      <w:tabs>
        <w:tab w:val="right" w:leader="dot" w:pos="9071"/>
      </w:tabs>
      <w:spacing w:before="60"/>
      <w:ind w:left="850" w:hanging="850"/>
      <w:jc w:val="left"/>
    </w:pPr>
  </w:style>
  <w:style w:type="paragraph" w:styleId="TOC5">
    <w:name w:val="toc 5"/>
    <w:basedOn w:val="Normal"/>
    <w:next w:val="Normal"/>
    <w:uiPriority w:val="39"/>
    <w:semiHidden/>
    <w:unhideWhenUsed/>
    <w:rsid w:val="009B7138"/>
    <w:pPr>
      <w:tabs>
        <w:tab w:val="right" w:leader="dot" w:pos="9071"/>
      </w:tabs>
      <w:spacing w:before="300"/>
      <w:jc w:val="left"/>
    </w:pPr>
  </w:style>
  <w:style w:type="paragraph" w:styleId="TOC6">
    <w:name w:val="toc 6"/>
    <w:basedOn w:val="Normal"/>
    <w:next w:val="Normal"/>
    <w:uiPriority w:val="39"/>
    <w:semiHidden/>
    <w:unhideWhenUsed/>
    <w:rsid w:val="009B7138"/>
    <w:pPr>
      <w:tabs>
        <w:tab w:val="right" w:leader="dot" w:pos="9071"/>
      </w:tabs>
      <w:spacing w:before="240"/>
      <w:jc w:val="left"/>
    </w:pPr>
  </w:style>
  <w:style w:type="paragraph" w:styleId="TOC7">
    <w:name w:val="toc 7"/>
    <w:basedOn w:val="Normal"/>
    <w:next w:val="Normal"/>
    <w:uiPriority w:val="39"/>
    <w:semiHidden/>
    <w:unhideWhenUsed/>
    <w:rsid w:val="009B7138"/>
    <w:pPr>
      <w:tabs>
        <w:tab w:val="right" w:leader="dot" w:pos="9071"/>
      </w:tabs>
      <w:spacing w:before="180"/>
      <w:jc w:val="left"/>
    </w:pPr>
  </w:style>
  <w:style w:type="paragraph" w:styleId="TOC8">
    <w:name w:val="toc 8"/>
    <w:basedOn w:val="Normal"/>
    <w:next w:val="Normal"/>
    <w:uiPriority w:val="39"/>
    <w:semiHidden/>
    <w:unhideWhenUsed/>
    <w:rsid w:val="009B7138"/>
    <w:pPr>
      <w:tabs>
        <w:tab w:val="right" w:leader="dot" w:pos="9071"/>
      </w:tabs>
      <w:jc w:val="left"/>
    </w:pPr>
  </w:style>
  <w:style w:type="paragraph" w:styleId="TOC9">
    <w:name w:val="toc 9"/>
    <w:basedOn w:val="Normal"/>
    <w:next w:val="Normal"/>
    <w:uiPriority w:val="39"/>
    <w:semiHidden/>
    <w:unhideWhenUsed/>
    <w:rsid w:val="009B7138"/>
    <w:pPr>
      <w:tabs>
        <w:tab w:val="right" w:leader="dot" w:pos="9071"/>
      </w:tabs>
    </w:pPr>
  </w:style>
  <w:style w:type="paragraph" w:customStyle="1" w:styleId="HeaderLandscape">
    <w:name w:val="HeaderLandscape"/>
    <w:basedOn w:val="Normal"/>
    <w:rsid w:val="009B7138"/>
    <w:pPr>
      <w:tabs>
        <w:tab w:val="center" w:pos="7285"/>
        <w:tab w:val="right" w:pos="14003"/>
      </w:tabs>
      <w:spacing w:before="0"/>
    </w:pPr>
  </w:style>
  <w:style w:type="paragraph" w:customStyle="1" w:styleId="FooterLandscape">
    <w:name w:val="FooterLandscape"/>
    <w:basedOn w:val="Normal"/>
    <w:rsid w:val="009B7138"/>
    <w:pPr>
      <w:tabs>
        <w:tab w:val="center" w:pos="7285"/>
        <w:tab w:val="center" w:pos="10913"/>
        <w:tab w:val="right" w:pos="15137"/>
      </w:tabs>
      <w:spacing w:before="360" w:after="0"/>
      <w:ind w:left="-567" w:right="-567"/>
      <w:jc w:val="left"/>
    </w:pPr>
  </w:style>
  <w:style w:type="character" w:styleId="FootnoteReference">
    <w:name w:val="footnote reference"/>
    <w:basedOn w:val="DefaultParagraphFont"/>
    <w:uiPriority w:val="99"/>
    <w:semiHidden/>
    <w:unhideWhenUsed/>
    <w:rsid w:val="009B7138"/>
    <w:rPr>
      <w:shd w:val="clear" w:color="auto" w:fill="auto"/>
      <w:vertAlign w:val="superscript"/>
    </w:rPr>
  </w:style>
  <w:style w:type="paragraph" w:customStyle="1" w:styleId="HeaderSensitivity">
    <w:name w:val="Header Sensitivity"/>
    <w:basedOn w:val="Normal"/>
    <w:rsid w:val="009B7138"/>
    <w:pPr>
      <w:pBdr>
        <w:top w:val="single" w:sz="4" w:space="1" w:color="auto"/>
        <w:left w:val="single" w:sz="4" w:space="4" w:color="auto"/>
        <w:bottom w:val="single" w:sz="4" w:space="1" w:color="auto"/>
        <w:right w:val="single" w:sz="4" w:space="4" w:color="auto"/>
      </w:pBdr>
      <w:spacing w:before="0"/>
      <w:ind w:left="113" w:right="113"/>
      <w:jc w:val="center"/>
    </w:pPr>
    <w:rPr>
      <w:b/>
      <w:sz w:val="32"/>
    </w:rPr>
  </w:style>
  <w:style w:type="paragraph" w:customStyle="1" w:styleId="HeaderSensitivityRight">
    <w:name w:val="Header Sensitivity Right"/>
    <w:basedOn w:val="Normal"/>
    <w:rsid w:val="009B7138"/>
    <w:pPr>
      <w:spacing w:before="0"/>
      <w:jc w:val="right"/>
    </w:pPr>
    <w:rPr>
      <w:sz w:val="28"/>
    </w:rPr>
  </w:style>
  <w:style w:type="paragraph" w:customStyle="1" w:styleId="FooterSensitivity">
    <w:name w:val="Footer Sensitivity"/>
    <w:basedOn w:val="Normal"/>
    <w:rsid w:val="009B7138"/>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Text1">
    <w:name w:val="Text 1"/>
    <w:basedOn w:val="Normal"/>
    <w:rsid w:val="009B7138"/>
    <w:pPr>
      <w:ind w:left="850"/>
    </w:pPr>
  </w:style>
  <w:style w:type="paragraph" w:customStyle="1" w:styleId="Text2">
    <w:name w:val="Text 2"/>
    <w:basedOn w:val="Normal"/>
    <w:rsid w:val="009B7138"/>
    <w:pPr>
      <w:ind w:left="1417"/>
    </w:pPr>
  </w:style>
  <w:style w:type="paragraph" w:customStyle="1" w:styleId="Text3">
    <w:name w:val="Text 3"/>
    <w:basedOn w:val="Normal"/>
    <w:rsid w:val="009B7138"/>
    <w:pPr>
      <w:ind w:left="1984"/>
    </w:pPr>
  </w:style>
  <w:style w:type="paragraph" w:customStyle="1" w:styleId="Text4">
    <w:name w:val="Text 4"/>
    <w:basedOn w:val="Normal"/>
    <w:rsid w:val="009B7138"/>
    <w:pPr>
      <w:ind w:left="2551"/>
    </w:pPr>
  </w:style>
  <w:style w:type="paragraph" w:customStyle="1" w:styleId="NormalCentered">
    <w:name w:val="Normal Centered"/>
    <w:basedOn w:val="Normal"/>
    <w:rsid w:val="009B7138"/>
    <w:pPr>
      <w:jc w:val="center"/>
    </w:pPr>
  </w:style>
  <w:style w:type="paragraph" w:customStyle="1" w:styleId="NormalLeft">
    <w:name w:val="Normal Left"/>
    <w:basedOn w:val="Normal"/>
    <w:rsid w:val="009B7138"/>
    <w:pPr>
      <w:jc w:val="left"/>
    </w:pPr>
  </w:style>
  <w:style w:type="paragraph" w:customStyle="1" w:styleId="NormalRight">
    <w:name w:val="Normal Right"/>
    <w:basedOn w:val="Normal"/>
    <w:rsid w:val="009B7138"/>
    <w:pPr>
      <w:jc w:val="right"/>
    </w:pPr>
  </w:style>
  <w:style w:type="paragraph" w:customStyle="1" w:styleId="QuotedText">
    <w:name w:val="Quoted Text"/>
    <w:basedOn w:val="Normal"/>
    <w:rsid w:val="009B7138"/>
    <w:pPr>
      <w:ind w:left="1417"/>
    </w:pPr>
  </w:style>
  <w:style w:type="paragraph" w:customStyle="1" w:styleId="Point0">
    <w:name w:val="Point 0"/>
    <w:basedOn w:val="Normal"/>
    <w:rsid w:val="009B7138"/>
    <w:pPr>
      <w:ind w:left="850" w:hanging="850"/>
    </w:pPr>
  </w:style>
  <w:style w:type="paragraph" w:customStyle="1" w:styleId="Point1">
    <w:name w:val="Point 1"/>
    <w:basedOn w:val="Normal"/>
    <w:rsid w:val="009B7138"/>
    <w:pPr>
      <w:ind w:left="1417" w:hanging="567"/>
    </w:pPr>
  </w:style>
  <w:style w:type="paragraph" w:customStyle="1" w:styleId="Point2">
    <w:name w:val="Point 2"/>
    <w:basedOn w:val="Normal"/>
    <w:rsid w:val="009B7138"/>
    <w:pPr>
      <w:ind w:left="1984" w:hanging="567"/>
    </w:pPr>
  </w:style>
  <w:style w:type="paragraph" w:customStyle="1" w:styleId="Point3">
    <w:name w:val="Point 3"/>
    <w:basedOn w:val="Normal"/>
    <w:rsid w:val="009B7138"/>
    <w:pPr>
      <w:ind w:left="2551" w:hanging="567"/>
    </w:pPr>
  </w:style>
  <w:style w:type="paragraph" w:customStyle="1" w:styleId="Point4">
    <w:name w:val="Point 4"/>
    <w:basedOn w:val="Normal"/>
    <w:rsid w:val="009B7138"/>
    <w:pPr>
      <w:ind w:left="3118" w:hanging="567"/>
    </w:pPr>
  </w:style>
  <w:style w:type="paragraph" w:customStyle="1" w:styleId="Tiret0">
    <w:name w:val="Tiret 0"/>
    <w:basedOn w:val="Point0"/>
    <w:rsid w:val="009B7138"/>
    <w:pPr>
      <w:numPr>
        <w:numId w:val="26"/>
      </w:numPr>
    </w:pPr>
  </w:style>
  <w:style w:type="paragraph" w:customStyle="1" w:styleId="Tiret1">
    <w:name w:val="Tiret 1"/>
    <w:basedOn w:val="Point1"/>
    <w:rsid w:val="009B7138"/>
    <w:pPr>
      <w:numPr>
        <w:numId w:val="27"/>
      </w:numPr>
    </w:pPr>
  </w:style>
  <w:style w:type="paragraph" w:customStyle="1" w:styleId="Tiret2">
    <w:name w:val="Tiret 2"/>
    <w:basedOn w:val="Point2"/>
    <w:rsid w:val="009B7138"/>
    <w:pPr>
      <w:numPr>
        <w:numId w:val="28"/>
      </w:numPr>
    </w:pPr>
  </w:style>
  <w:style w:type="paragraph" w:customStyle="1" w:styleId="Tiret3">
    <w:name w:val="Tiret 3"/>
    <w:basedOn w:val="Point3"/>
    <w:rsid w:val="009B7138"/>
    <w:pPr>
      <w:numPr>
        <w:numId w:val="29"/>
      </w:numPr>
    </w:pPr>
  </w:style>
  <w:style w:type="paragraph" w:customStyle="1" w:styleId="Tiret4">
    <w:name w:val="Tiret 4"/>
    <w:basedOn w:val="Point4"/>
    <w:rsid w:val="009B7138"/>
    <w:pPr>
      <w:numPr>
        <w:numId w:val="30"/>
      </w:numPr>
    </w:pPr>
  </w:style>
  <w:style w:type="paragraph" w:customStyle="1" w:styleId="PointDouble0">
    <w:name w:val="PointDouble 0"/>
    <w:basedOn w:val="Normal"/>
    <w:rsid w:val="009B7138"/>
    <w:pPr>
      <w:tabs>
        <w:tab w:val="left" w:pos="850"/>
      </w:tabs>
      <w:ind w:left="1417" w:hanging="1417"/>
    </w:pPr>
  </w:style>
  <w:style w:type="paragraph" w:customStyle="1" w:styleId="PointDouble1">
    <w:name w:val="PointDouble 1"/>
    <w:basedOn w:val="Normal"/>
    <w:rsid w:val="009B7138"/>
    <w:pPr>
      <w:tabs>
        <w:tab w:val="left" w:pos="1417"/>
      </w:tabs>
      <w:ind w:left="1984" w:hanging="1134"/>
    </w:pPr>
  </w:style>
  <w:style w:type="paragraph" w:customStyle="1" w:styleId="PointDouble2">
    <w:name w:val="PointDouble 2"/>
    <w:basedOn w:val="Normal"/>
    <w:rsid w:val="009B7138"/>
    <w:pPr>
      <w:tabs>
        <w:tab w:val="left" w:pos="1984"/>
      </w:tabs>
      <w:ind w:left="2551" w:hanging="1134"/>
    </w:pPr>
  </w:style>
  <w:style w:type="paragraph" w:customStyle="1" w:styleId="PointDouble3">
    <w:name w:val="PointDouble 3"/>
    <w:basedOn w:val="Normal"/>
    <w:rsid w:val="009B7138"/>
    <w:pPr>
      <w:tabs>
        <w:tab w:val="left" w:pos="2551"/>
      </w:tabs>
      <w:ind w:left="3118" w:hanging="1134"/>
    </w:pPr>
  </w:style>
  <w:style w:type="paragraph" w:customStyle="1" w:styleId="PointDouble4">
    <w:name w:val="PointDouble 4"/>
    <w:basedOn w:val="Normal"/>
    <w:rsid w:val="009B7138"/>
    <w:pPr>
      <w:tabs>
        <w:tab w:val="left" w:pos="3118"/>
      </w:tabs>
      <w:ind w:left="3685" w:hanging="1134"/>
    </w:pPr>
  </w:style>
  <w:style w:type="paragraph" w:customStyle="1" w:styleId="PointTriple0">
    <w:name w:val="PointTriple 0"/>
    <w:basedOn w:val="Normal"/>
    <w:rsid w:val="009B7138"/>
    <w:pPr>
      <w:tabs>
        <w:tab w:val="left" w:pos="850"/>
        <w:tab w:val="left" w:pos="1417"/>
      </w:tabs>
      <w:ind w:left="1984" w:hanging="1984"/>
    </w:pPr>
  </w:style>
  <w:style w:type="paragraph" w:customStyle="1" w:styleId="PointTriple1">
    <w:name w:val="PointTriple 1"/>
    <w:basedOn w:val="Normal"/>
    <w:rsid w:val="009B7138"/>
    <w:pPr>
      <w:tabs>
        <w:tab w:val="left" w:pos="1417"/>
        <w:tab w:val="left" w:pos="1984"/>
      </w:tabs>
      <w:ind w:left="2551" w:hanging="1701"/>
    </w:pPr>
  </w:style>
  <w:style w:type="paragraph" w:customStyle="1" w:styleId="PointTriple2">
    <w:name w:val="PointTriple 2"/>
    <w:basedOn w:val="Normal"/>
    <w:rsid w:val="009B7138"/>
    <w:pPr>
      <w:tabs>
        <w:tab w:val="left" w:pos="1984"/>
        <w:tab w:val="left" w:pos="2551"/>
      </w:tabs>
      <w:ind w:left="3118" w:hanging="1701"/>
    </w:pPr>
  </w:style>
  <w:style w:type="paragraph" w:customStyle="1" w:styleId="PointTriple3">
    <w:name w:val="PointTriple 3"/>
    <w:basedOn w:val="Normal"/>
    <w:rsid w:val="009B7138"/>
    <w:pPr>
      <w:tabs>
        <w:tab w:val="left" w:pos="2551"/>
        <w:tab w:val="left" w:pos="3118"/>
      </w:tabs>
      <w:ind w:left="3685" w:hanging="1701"/>
    </w:pPr>
  </w:style>
  <w:style w:type="paragraph" w:customStyle="1" w:styleId="PointTriple4">
    <w:name w:val="PointTriple 4"/>
    <w:basedOn w:val="Normal"/>
    <w:rsid w:val="009B7138"/>
    <w:pPr>
      <w:tabs>
        <w:tab w:val="left" w:pos="3118"/>
        <w:tab w:val="left" w:pos="3685"/>
      </w:tabs>
      <w:ind w:left="4252" w:hanging="1701"/>
    </w:pPr>
  </w:style>
  <w:style w:type="paragraph" w:customStyle="1" w:styleId="NumPar1">
    <w:name w:val="NumPar 1"/>
    <w:basedOn w:val="Normal"/>
    <w:next w:val="Text1"/>
    <w:rsid w:val="009B7138"/>
    <w:pPr>
      <w:numPr>
        <w:numId w:val="31"/>
      </w:numPr>
    </w:pPr>
  </w:style>
  <w:style w:type="paragraph" w:customStyle="1" w:styleId="NumPar2">
    <w:name w:val="NumPar 2"/>
    <w:basedOn w:val="Normal"/>
    <w:next w:val="Text1"/>
    <w:rsid w:val="009B7138"/>
    <w:pPr>
      <w:numPr>
        <w:ilvl w:val="1"/>
        <w:numId w:val="31"/>
      </w:numPr>
    </w:pPr>
  </w:style>
  <w:style w:type="paragraph" w:customStyle="1" w:styleId="NumPar3">
    <w:name w:val="NumPar 3"/>
    <w:basedOn w:val="Normal"/>
    <w:next w:val="Text1"/>
    <w:rsid w:val="009B7138"/>
    <w:pPr>
      <w:numPr>
        <w:ilvl w:val="2"/>
        <w:numId w:val="31"/>
      </w:numPr>
    </w:pPr>
  </w:style>
  <w:style w:type="paragraph" w:customStyle="1" w:styleId="NumPar4">
    <w:name w:val="NumPar 4"/>
    <w:basedOn w:val="Normal"/>
    <w:next w:val="Text1"/>
    <w:rsid w:val="009B7138"/>
    <w:pPr>
      <w:numPr>
        <w:ilvl w:val="3"/>
        <w:numId w:val="31"/>
      </w:numPr>
    </w:pPr>
  </w:style>
  <w:style w:type="paragraph" w:customStyle="1" w:styleId="ManualNumPar1">
    <w:name w:val="Manual NumPar 1"/>
    <w:basedOn w:val="Normal"/>
    <w:next w:val="Text1"/>
    <w:rsid w:val="009B7138"/>
    <w:pPr>
      <w:ind w:left="850" w:hanging="850"/>
    </w:pPr>
  </w:style>
  <w:style w:type="paragraph" w:customStyle="1" w:styleId="ManualNumPar2">
    <w:name w:val="Manual NumPar 2"/>
    <w:basedOn w:val="Normal"/>
    <w:next w:val="Text1"/>
    <w:rsid w:val="009B7138"/>
    <w:pPr>
      <w:ind w:left="850" w:hanging="850"/>
    </w:pPr>
  </w:style>
  <w:style w:type="paragraph" w:customStyle="1" w:styleId="ManualNumPar3">
    <w:name w:val="Manual NumPar 3"/>
    <w:basedOn w:val="Normal"/>
    <w:next w:val="Text1"/>
    <w:rsid w:val="009B7138"/>
    <w:pPr>
      <w:ind w:left="850" w:hanging="850"/>
    </w:pPr>
  </w:style>
  <w:style w:type="paragraph" w:customStyle="1" w:styleId="ManualNumPar4">
    <w:name w:val="Manual NumPar 4"/>
    <w:basedOn w:val="Normal"/>
    <w:next w:val="Text1"/>
    <w:rsid w:val="009B7138"/>
    <w:pPr>
      <w:ind w:left="850" w:hanging="850"/>
    </w:pPr>
  </w:style>
  <w:style w:type="paragraph" w:customStyle="1" w:styleId="QuotedNumPar">
    <w:name w:val="Quoted NumPar"/>
    <w:basedOn w:val="Normal"/>
    <w:rsid w:val="009B7138"/>
    <w:pPr>
      <w:ind w:left="1417" w:hanging="567"/>
    </w:pPr>
  </w:style>
  <w:style w:type="paragraph" w:customStyle="1" w:styleId="ManualHeading1">
    <w:name w:val="Manual Heading 1"/>
    <w:basedOn w:val="Normal"/>
    <w:next w:val="Text1"/>
    <w:rsid w:val="009B7138"/>
    <w:pPr>
      <w:keepNext/>
      <w:tabs>
        <w:tab w:val="left" w:pos="850"/>
      </w:tabs>
      <w:spacing w:before="360"/>
      <w:ind w:left="850" w:hanging="850"/>
      <w:outlineLvl w:val="0"/>
    </w:pPr>
    <w:rPr>
      <w:b/>
      <w:smallCaps/>
    </w:rPr>
  </w:style>
  <w:style w:type="paragraph" w:customStyle="1" w:styleId="ManualHeading2">
    <w:name w:val="Manual Heading 2"/>
    <w:basedOn w:val="Normal"/>
    <w:next w:val="Text1"/>
    <w:rsid w:val="009B7138"/>
    <w:pPr>
      <w:keepNext/>
      <w:tabs>
        <w:tab w:val="left" w:pos="850"/>
      </w:tabs>
      <w:ind w:left="850" w:hanging="850"/>
      <w:outlineLvl w:val="1"/>
    </w:pPr>
    <w:rPr>
      <w:b/>
    </w:rPr>
  </w:style>
  <w:style w:type="paragraph" w:customStyle="1" w:styleId="ManualHeading3">
    <w:name w:val="Manual Heading 3"/>
    <w:basedOn w:val="Normal"/>
    <w:next w:val="Text1"/>
    <w:rsid w:val="009B7138"/>
    <w:pPr>
      <w:keepNext/>
      <w:tabs>
        <w:tab w:val="left" w:pos="850"/>
      </w:tabs>
      <w:ind w:left="850" w:hanging="850"/>
      <w:outlineLvl w:val="2"/>
    </w:pPr>
    <w:rPr>
      <w:i/>
    </w:rPr>
  </w:style>
  <w:style w:type="paragraph" w:customStyle="1" w:styleId="ManualHeading4">
    <w:name w:val="Manual Heading 4"/>
    <w:basedOn w:val="Normal"/>
    <w:next w:val="Text1"/>
    <w:rsid w:val="009B7138"/>
    <w:pPr>
      <w:keepNext/>
      <w:tabs>
        <w:tab w:val="left" w:pos="850"/>
      </w:tabs>
      <w:ind w:left="850" w:hanging="850"/>
      <w:outlineLvl w:val="3"/>
    </w:pPr>
  </w:style>
  <w:style w:type="paragraph" w:customStyle="1" w:styleId="ChapterTitle">
    <w:name w:val="ChapterTitle"/>
    <w:basedOn w:val="Normal"/>
    <w:next w:val="Normal"/>
    <w:rsid w:val="009B7138"/>
    <w:pPr>
      <w:keepNext/>
      <w:spacing w:after="360"/>
      <w:jc w:val="center"/>
    </w:pPr>
    <w:rPr>
      <w:b/>
      <w:sz w:val="32"/>
    </w:rPr>
  </w:style>
  <w:style w:type="paragraph" w:customStyle="1" w:styleId="PartTitle">
    <w:name w:val="PartTitle"/>
    <w:basedOn w:val="Normal"/>
    <w:next w:val="ChapterTitle"/>
    <w:rsid w:val="009B7138"/>
    <w:pPr>
      <w:keepNext/>
      <w:pageBreakBefore/>
      <w:spacing w:after="360"/>
      <w:jc w:val="center"/>
    </w:pPr>
    <w:rPr>
      <w:b/>
      <w:sz w:val="36"/>
    </w:rPr>
  </w:style>
  <w:style w:type="paragraph" w:customStyle="1" w:styleId="SectionTitle">
    <w:name w:val="SectionTitle"/>
    <w:basedOn w:val="Normal"/>
    <w:next w:val="Heading1"/>
    <w:rsid w:val="009B7138"/>
    <w:pPr>
      <w:keepNext/>
      <w:spacing w:after="360"/>
      <w:jc w:val="center"/>
    </w:pPr>
    <w:rPr>
      <w:b/>
      <w:smallCaps/>
      <w:sz w:val="28"/>
    </w:rPr>
  </w:style>
  <w:style w:type="paragraph" w:customStyle="1" w:styleId="TableTitle">
    <w:name w:val="Table Title"/>
    <w:basedOn w:val="Normal"/>
    <w:next w:val="Normal"/>
    <w:rsid w:val="009B7138"/>
    <w:pPr>
      <w:jc w:val="center"/>
    </w:pPr>
    <w:rPr>
      <w:b/>
    </w:rPr>
  </w:style>
  <w:style w:type="character" w:customStyle="1" w:styleId="Marker">
    <w:name w:val="Marker"/>
    <w:basedOn w:val="DefaultParagraphFont"/>
    <w:rsid w:val="009B7138"/>
    <w:rPr>
      <w:color w:val="0000FF"/>
      <w:shd w:val="clear" w:color="auto" w:fill="auto"/>
    </w:rPr>
  </w:style>
  <w:style w:type="character" w:customStyle="1" w:styleId="Marker1">
    <w:name w:val="Marker1"/>
    <w:basedOn w:val="DefaultParagraphFont"/>
    <w:rsid w:val="009B7138"/>
    <w:rPr>
      <w:color w:val="008000"/>
      <w:shd w:val="clear" w:color="auto" w:fill="auto"/>
    </w:rPr>
  </w:style>
  <w:style w:type="character" w:customStyle="1" w:styleId="Marker2">
    <w:name w:val="Marker2"/>
    <w:basedOn w:val="DefaultParagraphFont"/>
    <w:rsid w:val="009B7138"/>
    <w:rPr>
      <w:color w:val="FF0000"/>
      <w:shd w:val="clear" w:color="auto" w:fill="auto"/>
    </w:rPr>
  </w:style>
  <w:style w:type="paragraph" w:customStyle="1" w:styleId="Point0number">
    <w:name w:val="Point 0 (number)"/>
    <w:basedOn w:val="Normal"/>
    <w:rsid w:val="009B7138"/>
    <w:pPr>
      <w:numPr>
        <w:numId w:val="33"/>
      </w:numPr>
    </w:pPr>
  </w:style>
  <w:style w:type="paragraph" w:customStyle="1" w:styleId="Point1number">
    <w:name w:val="Point 1 (number)"/>
    <w:basedOn w:val="Normal"/>
    <w:rsid w:val="009B7138"/>
    <w:pPr>
      <w:numPr>
        <w:ilvl w:val="2"/>
        <w:numId w:val="33"/>
      </w:numPr>
    </w:pPr>
  </w:style>
  <w:style w:type="paragraph" w:customStyle="1" w:styleId="Point2number">
    <w:name w:val="Point 2 (number)"/>
    <w:basedOn w:val="Normal"/>
    <w:rsid w:val="009B7138"/>
    <w:pPr>
      <w:numPr>
        <w:ilvl w:val="4"/>
        <w:numId w:val="33"/>
      </w:numPr>
    </w:pPr>
  </w:style>
  <w:style w:type="paragraph" w:customStyle="1" w:styleId="Point3number">
    <w:name w:val="Point 3 (number)"/>
    <w:basedOn w:val="Normal"/>
    <w:rsid w:val="009B7138"/>
    <w:pPr>
      <w:numPr>
        <w:ilvl w:val="6"/>
        <w:numId w:val="33"/>
      </w:numPr>
    </w:pPr>
  </w:style>
  <w:style w:type="paragraph" w:customStyle="1" w:styleId="Point0letter">
    <w:name w:val="Point 0 (letter)"/>
    <w:basedOn w:val="Normal"/>
    <w:rsid w:val="009B7138"/>
    <w:pPr>
      <w:numPr>
        <w:ilvl w:val="1"/>
        <w:numId w:val="33"/>
      </w:numPr>
    </w:pPr>
  </w:style>
  <w:style w:type="paragraph" w:customStyle="1" w:styleId="Point1letter">
    <w:name w:val="Point 1 (letter)"/>
    <w:basedOn w:val="Normal"/>
    <w:rsid w:val="009B7138"/>
    <w:pPr>
      <w:numPr>
        <w:ilvl w:val="3"/>
        <w:numId w:val="33"/>
      </w:numPr>
    </w:pPr>
  </w:style>
  <w:style w:type="paragraph" w:customStyle="1" w:styleId="Point2letter">
    <w:name w:val="Point 2 (letter)"/>
    <w:basedOn w:val="Normal"/>
    <w:rsid w:val="009B7138"/>
    <w:pPr>
      <w:numPr>
        <w:ilvl w:val="5"/>
        <w:numId w:val="33"/>
      </w:numPr>
    </w:pPr>
  </w:style>
  <w:style w:type="paragraph" w:customStyle="1" w:styleId="Point3letter">
    <w:name w:val="Point 3 (letter)"/>
    <w:basedOn w:val="Normal"/>
    <w:rsid w:val="009B7138"/>
    <w:pPr>
      <w:numPr>
        <w:ilvl w:val="7"/>
        <w:numId w:val="33"/>
      </w:numPr>
    </w:pPr>
  </w:style>
  <w:style w:type="paragraph" w:customStyle="1" w:styleId="Point4letter">
    <w:name w:val="Point 4 (letter)"/>
    <w:basedOn w:val="Normal"/>
    <w:rsid w:val="009B7138"/>
    <w:pPr>
      <w:numPr>
        <w:ilvl w:val="8"/>
        <w:numId w:val="33"/>
      </w:numPr>
    </w:pPr>
  </w:style>
  <w:style w:type="paragraph" w:customStyle="1" w:styleId="Bullet0">
    <w:name w:val="Bullet 0"/>
    <w:basedOn w:val="Normal"/>
    <w:rsid w:val="009B7138"/>
    <w:pPr>
      <w:numPr>
        <w:numId w:val="34"/>
      </w:numPr>
    </w:pPr>
  </w:style>
  <w:style w:type="paragraph" w:customStyle="1" w:styleId="Bullet1">
    <w:name w:val="Bullet 1"/>
    <w:basedOn w:val="Normal"/>
    <w:rsid w:val="009B7138"/>
    <w:pPr>
      <w:numPr>
        <w:numId w:val="35"/>
      </w:numPr>
    </w:pPr>
  </w:style>
  <w:style w:type="paragraph" w:customStyle="1" w:styleId="Bullet2">
    <w:name w:val="Bullet 2"/>
    <w:basedOn w:val="Normal"/>
    <w:rsid w:val="009B7138"/>
    <w:pPr>
      <w:numPr>
        <w:numId w:val="36"/>
      </w:numPr>
    </w:pPr>
  </w:style>
  <w:style w:type="paragraph" w:customStyle="1" w:styleId="Bullet3">
    <w:name w:val="Bullet 3"/>
    <w:basedOn w:val="Normal"/>
    <w:rsid w:val="009B7138"/>
    <w:pPr>
      <w:numPr>
        <w:numId w:val="37"/>
      </w:numPr>
    </w:pPr>
  </w:style>
  <w:style w:type="paragraph" w:customStyle="1" w:styleId="Bullet4">
    <w:name w:val="Bullet 4"/>
    <w:basedOn w:val="Normal"/>
    <w:rsid w:val="009B7138"/>
    <w:pPr>
      <w:numPr>
        <w:numId w:val="38"/>
      </w:numPr>
    </w:pPr>
  </w:style>
  <w:style w:type="paragraph" w:customStyle="1" w:styleId="Langue">
    <w:name w:val="Langue"/>
    <w:basedOn w:val="Normal"/>
    <w:next w:val="Rfrenceinterne"/>
    <w:rsid w:val="009B7138"/>
    <w:pPr>
      <w:framePr w:wrap="around" w:vAnchor="page" w:hAnchor="text" w:xAlign="center" w:y="14741"/>
      <w:spacing w:before="0" w:after="600"/>
      <w:jc w:val="center"/>
    </w:pPr>
    <w:rPr>
      <w:b/>
      <w:caps/>
    </w:rPr>
  </w:style>
  <w:style w:type="paragraph" w:customStyle="1" w:styleId="Nomdelinstitution">
    <w:name w:val="Nom de l'institution"/>
    <w:basedOn w:val="Normal"/>
    <w:next w:val="Emission"/>
    <w:rsid w:val="009B7138"/>
    <w:pPr>
      <w:spacing w:before="0" w:after="0"/>
      <w:jc w:val="left"/>
    </w:pPr>
    <w:rPr>
      <w:rFonts w:ascii="Arial" w:hAnsi="Arial" w:cs="Arial"/>
    </w:rPr>
  </w:style>
  <w:style w:type="paragraph" w:customStyle="1" w:styleId="Emission">
    <w:name w:val="Emission"/>
    <w:basedOn w:val="Normal"/>
    <w:next w:val="Rfrenceinstitutionnelle"/>
    <w:rsid w:val="009B7138"/>
    <w:pPr>
      <w:spacing w:before="0" w:after="0"/>
      <w:ind w:left="5103"/>
      <w:jc w:val="left"/>
    </w:pPr>
  </w:style>
  <w:style w:type="paragraph" w:customStyle="1" w:styleId="Rfrenceinstitutionnelle">
    <w:name w:val="Référence institutionnelle"/>
    <w:basedOn w:val="Normal"/>
    <w:next w:val="Confidentialit"/>
    <w:rsid w:val="009B7138"/>
    <w:pPr>
      <w:spacing w:before="0" w:after="240"/>
      <w:ind w:left="5103"/>
      <w:jc w:val="left"/>
    </w:pPr>
  </w:style>
  <w:style w:type="paragraph" w:customStyle="1" w:styleId="Pagedecouverture">
    <w:name w:val="Page de couverture"/>
    <w:basedOn w:val="Normal"/>
    <w:next w:val="Normal"/>
    <w:rsid w:val="009B7138"/>
    <w:pPr>
      <w:spacing w:before="0" w:after="0"/>
    </w:pPr>
  </w:style>
  <w:style w:type="paragraph" w:customStyle="1" w:styleId="Declassification">
    <w:name w:val="Declassification"/>
    <w:basedOn w:val="Normal"/>
    <w:next w:val="Normal"/>
    <w:rsid w:val="009B7138"/>
    <w:pPr>
      <w:spacing w:before="0" w:after="0"/>
    </w:pPr>
  </w:style>
  <w:style w:type="paragraph" w:customStyle="1" w:styleId="Disclaimer">
    <w:name w:val="Disclaimer"/>
    <w:basedOn w:val="Normal"/>
    <w:rsid w:val="009B7138"/>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SecurityMarking">
    <w:name w:val="SecurityMarking"/>
    <w:basedOn w:val="Normal"/>
    <w:rsid w:val="009B7138"/>
    <w:pPr>
      <w:spacing w:before="0" w:after="0" w:line="276" w:lineRule="auto"/>
      <w:ind w:left="5103"/>
      <w:jc w:val="left"/>
    </w:pPr>
    <w:rPr>
      <w:sz w:val="28"/>
    </w:rPr>
  </w:style>
  <w:style w:type="paragraph" w:customStyle="1" w:styleId="DateMarking">
    <w:name w:val="DateMarking"/>
    <w:basedOn w:val="Normal"/>
    <w:rsid w:val="009B7138"/>
    <w:pPr>
      <w:spacing w:before="0" w:after="0" w:line="276" w:lineRule="auto"/>
      <w:ind w:left="5103"/>
      <w:jc w:val="left"/>
    </w:pPr>
    <w:rPr>
      <w:i/>
      <w:sz w:val="28"/>
    </w:rPr>
  </w:style>
  <w:style w:type="paragraph" w:customStyle="1" w:styleId="ReleasableTo">
    <w:name w:val="ReleasableTo"/>
    <w:basedOn w:val="Normal"/>
    <w:rsid w:val="009B7138"/>
    <w:pPr>
      <w:spacing w:before="0" w:after="0" w:line="276" w:lineRule="auto"/>
      <w:ind w:left="5103"/>
      <w:jc w:val="left"/>
    </w:pPr>
    <w:rPr>
      <w:i/>
      <w:sz w:val="28"/>
    </w:rPr>
  </w:style>
  <w:style w:type="paragraph" w:customStyle="1" w:styleId="Annexetitreexpos">
    <w:name w:val="Annexe titre (exposé)"/>
    <w:basedOn w:val="Normal"/>
    <w:next w:val="Normal"/>
    <w:rsid w:val="009B7138"/>
    <w:pPr>
      <w:jc w:val="center"/>
    </w:pPr>
    <w:rPr>
      <w:b/>
      <w:u w:val="single"/>
    </w:rPr>
  </w:style>
  <w:style w:type="paragraph" w:customStyle="1" w:styleId="Annexetitre">
    <w:name w:val="Annexe titre"/>
    <w:basedOn w:val="Normal"/>
    <w:next w:val="Normal"/>
    <w:rsid w:val="009B7138"/>
    <w:pPr>
      <w:jc w:val="center"/>
    </w:pPr>
    <w:rPr>
      <w:b/>
      <w:u w:val="single"/>
    </w:rPr>
  </w:style>
  <w:style w:type="paragraph" w:customStyle="1" w:styleId="Annexetitrefichefinancire">
    <w:name w:val="Annexe titre (fiche financière)"/>
    <w:basedOn w:val="Normal"/>
    <w:next w:val="Normal"/>
    <w:rsid w:val="009B7138"/>
    <w:pPr>
      <w:jc w:val="center"/>
    </w:pPr>
    <w:rPr>
      <w:b/>
      <w:u w:val="single"/>
    </w:rPr>
  </w:style>
  <w:style w:type="paragraph" w:customStyle="1" w:styleId="Applicationdirecte">
    <w:name w:val="Application directe"/>
    <w:basedOn w:val="Normal"/>
    <w:next w:val="Fait"/>
    <w:rsid w:val="009B7138"/>
    <w:pPr>
      <w:spacing w:before="480"/>
    </w:pPr>
  </w:style>
  <w:style w:type="paragraph" w:customStyle="1" w:styleId="Avertissementtitre">
    <w:name w:val="Avertissement titre"/>
    <w:basedOn w:val="Normal"/>
    <w:next w:val="Normal"/>
    <w:rsid w:val="009B7138"/>
    <w:pPr>
      <w:keepNext/>
      <w:spacing w:before="480"/>
    </w:pPr>
    <w:rPr>
      <w:u w:val="single"/>
    </w:rPr>
  </w:style>
  <w:style w:type="paragraph" w:customStyle="1" w:styleId="Confidence">
    <w:name w:val="Confidence"/>
    <w:basedOn w:val="Normal"/>
    <w:next w:val="Normal"/>
    <w:rsid w:val="009B7138"/>
    <w:pPr>
      <w:spacing w:before="360"/>
      <w:jc w:val="center"/>
    </w:pPr>
  </w:style>
  <w:style w:type="paragraph" w:customStyle="1" w:styleId="Confidentialit">
    <w:name w:val="Confidentialité"/>
    <w:basedOn w:val="Normal"/>
    <w:next w:val="TypedudocumentPagedecouverture"/>
    <w:rsid w:val="009B7138"/>
    <w:pPr>
      <w:spacing w:before="240" w:after="240"/>
      <w:ind w:left="5103"/>
      <w:jc w:val="left"/>
    </w:pPr>
    <w:rPr>
      <w:i/>
      <w:sz w:val="32"/>
    </w:rPr>
  </w:style>
  <w:style w:type="paragraph" w:customStyle="1" w:styleId="Considrant">
    <w:name w:val="Considérant"/>
    <w:basedOn w:val="Normal"/>
    <w:rsid w:val="009B7138"/>
    <w:pPr>
      <w:numPr>
        <w:numId w:val="39"/>
      </w:numPr>
    </w:pPr>
  </w:style>
  <w:style w:type="paragraph" w:customStyle="1" w:styleId="Corrigendum">
    <w:name w:val="Corrigendum"/>
    <w:basedOn w:val="Normal"/>
    <w:next w:val="Normal"/>
    <w:rsid w:val="009B7138"/>
    <w:pPr>
      <w:spacing w:before="0" w:after="240"/>
      <w:jc w:val="left"/>
    </w:pPr>
  </w:style>
  <w:style w:type="paragraph" w:customStyle="1" w:styleId="Datedadoption">
    <w:name w:val="Date d'adoption"/>
    <w:basedOn w:val="Normal"/>
    <w:next w:val="Titreobjet"/>
    <w:rsid w:val="009B7138"/>
    <w:pPr>
      <w:spacing w:before="360" w:after="0"/>
      <w:jc w:val="center"/>
    </w:pPr>
    <w:rPr>
      <w:b/>
    </w:rPr>
  </w:style>
  <w:style w:type="paragraph" w:customStyle="1" w:styleId="Exposdesmotifstitre">
    <w:name w:val="Exposé des motifs titre"/>
    <w:basedOn w:val="Normal"/>
    <w:next w:val="Normal"/>
    <w:rsid w:val="009B7138"/>
    <w:pPr>
      <w:jc w:val="center"/>
    </w:pPr>
    <w:rPr>
      <w:b/>
      <w:u w:val="single"/>
    </w:rPr>
  </w:style>
  <w:style w:type="paragraph" w:customStyle="1" w:styleId="Fait">
    <w:name w:val="Fait à"/>
    <w:basedOn w:val="Normal"/>
    <w:next w:val="Institutionquisigne"/>
    <w:rsid w:val="009B7138"/>
    <w:pPr>
      <w:keepNext/>
      <w:spacing w:after="0"/>
    </w:pPr>
  </w:style>
  <w:style w:type="paragraph" w:customStyle="1" w:styleId="Formuledadoption">
    <w:name w:val="Formule d'adoption"/>
    <w:basedOn w:val="Normal"/>
    <w:next w:val="Titrearticle"/>
    <w:rsid w:val="009B7138"/>
    <w:pPr>
      <w:keepNext/>
    </w:pPr>
  </w:style>
  <w:style w:type="paragraph" w:customStyle="1" w:styleId="Institutionquiagit">
    <w:name w:val="Institution qui agit"/>
    <w:basedOn w:val="Normal"/>
    <w:next w:val="Normal"/>
    <w:rsid w:val="009B7138"/>
    <w:pPr>
      <w:keepNext/>
      <w:spacing w:before="600"/>
    </w:pPr>
  </w:style>
  <w:style w:type="paragraph" w:customStyle="1" w:styleId="Institutionquisigne">
    <w:name w:val="Institution qui signe"/>
    <w:basedOn w:val="Normal"/>
    <w:next w:val="Personnequisigne"/>
    <w:rsid w:val="009B7138"/>
    <w:pPr>
      <w:keepNext/>
      <w:tabs>
        <w:tab w:val="left" w:pos="4252"/>
      </w:tabs>
      <w:spacing w:before="720" w:after="0"/>
    </w:pPr>
    <w:rPr>
      <w:i/>
    </w:rPr>
  </w:style>
  <w:style w:type="paragraph" w:customStyle="1" w:styleId="ManualConsidrant">
    <w:name w:val="Manual Considérant"/>
    <w:basedOn w:val="Normal"/>
    <w:rsid w:val="009B7138"/>
    <w:pPr>
      <w:ind w:left="709" w:hanging="709"/>
    </w:pPr>
  </w:style>
  <w:style w:type="paragraph" w:customStyle="1" w:styleId="Personnequisigne">
    <w:name w:val="Personne qui signe"/>
    <w:basedOn w:val="Normal"/>
    <w:next w:val="Institutionquisigne"/>
    <w:rsid w:val="009B7138"/>
    <w:pPr>
      <w:tabs>
        <w:tab w:val="left" w:pos="4252"/>
      </w:tabs>
      <w:spacing w:before="0" w:after="0"/>
      <w:jc w:val="left"/>
    </w:pPr>
    <w:rPr>
      <w:i/>
    </w:rPr>
  </w:style>
  <w:style w:type="paragraph" w:customStyle="1" w:styleId="Rfrenceinterinstitutionnelle">
    <w:name w:val="Référence interinstitutionnelle"/>
    <w:basedOn w:val="Normal"/>
    <w:next w:val="Statut"/>
    <w:rsid w:val="009B7138"/>
    <w:pPr>
      <w:spacing w:before="0" w:after="0"/>
      <w:ind w:left="5103"/>
      <w:jc w:val="left"/>
    </w:pPr>
  </w:style>
  <w:style w:type="paragraph" w:customStyle="1" w:styleId="Rfrenceinterne">
    <w:name w:val="Référence interne"/>
    <w:basedOn w:val="Normal"/>
    <w:next w:val="Rfrenceinterinstitutionnelle"/>
    <w:rsid w:val="009B7138"/>
    <w:pPr>
      <w:spacing w:before="0" w:after="0"/>
      <w:ind w:left="5103"/>
      <w:jc w:val="left"/>
    </w:pPr>
  </w:style>
  <w:style w:type="paragraph" w:customStyle="1" w:styleId="Statut">
    <w:name w:val="Statut"/>
    <w:basedOn w:val="Normal"/>
    <w:next w:val="Typedudocument"/>
    <w:rsid w:val="009B7138"/>
    <w:pPr>
      <w:spacing w:before="360" w:after="0"/>
      <w:jc w:val="center"/>
    </w:pPr>
  </w:style>
  <w:style w:type="paragraph" w:customStyle="1" w:styleId="Titrearticle">
    <w:name w:val="Titre article"/>
    <w:basedOn w:val="Normal"/>
    <w:next w:val="Normal"/>
    <w:rsid w:val="009B7138"/>
    <w:pPr>
      <w:keepNext/>
      <w:spacing w:before="360"/>
      <w:jc w:val="center"/>
    </w:pPr>
    <w:rPr>
      <w:i/>
    </w:rPr>
  </w:style>
  <w:style w:type="paragraph" w:customStyle="1" w:styleId="Titreobjet">
    <w:name w:val="Titre objet"/>
    <w:basedOn w:val="Normal"/>
    <w:next w:val="IntrtEEE"/>
    <w:rsid w:val="009B7138"/>
    <w:pPr>
      <w:spacing w:before="360" w:after="360"/>
      <w:jc w:val="center"/>
    </w:pPr>
    <w:rPr>
      <w:b/>
    </w:rPr>
  </w:style>
  <w:style w:type="paragraph" w:customStyle="1" w:styleId="Typedudocument">
    <w:name w:val="Type du document"/>
    <w:basedOn w:val="Normal"/>
    <w:next w:val="Titreobjet"/>
    <w:rsid w:val="009B7138"/>
    <w:pPr>
      <w:spacing w:before="360" w:after="0"/>
      <w:jc w:val="center"/>
    </w:pPr>
    <w:rPr>
      <w:b/>
    </w:rPr>
  </w:style>
  <w:style w:type="character" w:customStyle="1" w:styleId="Added">
    <w:name w:val="Added"/>
    <w:basedOn w:val="DefaultParagraphFont"/>
    <w:rsid w:val="009B7138"/>
    <w:rPr>
      <w:b/>
      <w:u w:val="single"/>
      <w:shd w:val="clear" w:color="auto" w:fill="auto"/>
    </w:rPr>
  </w:style>
  <w:style w:type="character" w:customStyle="1" w:styleId="Deleted">
    <w:name w:val="Deleted"/>
    <w:basedOn w:val="DefaultParagraphFont"/>
    <w:rsid w:val="009B7138"/>
    <w:rPr>
      <w:strike/>
      <w:dstrike w:val="0"/>
      <w:shd w:val="clear" w:color="auto" w:fill="auto"/>
    </w:rPr>
  </w:style>
  <w:style w:type="paragraph" w:customStyle="1" w:styleId="Address">
    <w:name w:val="Address"/>
    <w:basedOn w:val="Normal"/>
    <w:next w:val="Normal"/>
    <w:rsid w:val="009B7138"/>
    <w:pPr>
      <w:keepLines/>
      <w:spacing w:line="360" w:lineRule="auto"/>
      <w:ind w:left="3402"/>
      <w:jc w:val="left"/>
    </w:pPr>
  </w:style>
  <w:style w:type="paragraph" w:customStyle="1" w:styleId="Objetexterne">
    <w:name w:val="Objet externe"/>
    <w:basedOn w:val="Normal"/>
    <w:next w:val="Normal"/>
    <w:rsid w:val="009B7138"/>
    <w:rPr>
      <w:i/>
      <w:caps/>
    </w:rPr>
  </w:style>
  <w:style w:type="paragraph" w:customStyle="1" w:styleId="Supertitre">
    <w:name w:val="Supertitre"/>
    <w:basedOn w:val="Normal"/>
    <w:next w:val="Normal"/>
    <w:rsid w:val="009B7138"/>
    <w:pPr>
      <w:spacing w:before="0" w:after="600"/>
      <w:jc w:val="center"/>
    </w:pPr>
    <w:rPr>
      <w:b/>
    </w:rPr>
  </w:style>
  <w:style w:type="paragraph" w:customStyle="1" w:styleId="Languesfaisantfoi">
    <w:name w:val="Langues faisant foi"/>
    <w:basedOn w:val="Normal"/>
    <w:next w:val="Normal"/>
    <w:rsid w:val="009B7138"/>
    <w:pPr>
      <w:spacing w:before="360" w:after="0"/>
      <w:jc w:val="center"/>
    </w:pPr>
  </w:style>
  <w:style w:type="paragraph" w:customStyle="1" w:styleId="Rfrencecroise">
    <w:name w:val="Référence croisée"/>
    <w:basedOn w:val="Normal"/>
    <w:rsid w:val="009B7138"/>
    <w:pPr>
      <w:spacing w:before="0" w:after="0"/>
      <w:jc w:val="center"/>
    </w:pPr>
  </w:style>
  <w:style w:type="paragraph" w:customStyle="1" w:styleId="Fichefinanciretitre">
    <w:name w:val="Fiche financière titre"/>
    <w:basedOn w:val="Normal"/>
    <w:next w:val="Normal"/>
    <w:rsid w:val="009B7138"/>
    <w:pPr>
      <w:jc w:val="center"/>
    </w:pPr>
    <w:rPr>
      <w:b/>
      <w:u w:val="single"/>
    </w:rPr>
  </w:style>
  <w:style w:type="paragraph" w:customStyle="1" w:styleId="DatedadoptionPagedecouverture">
    <w:name w:val="Date d'adoption (Page de couverture)"/>
    <w:basedOn w:val="Datedadoption"/>
    <w:next w:val="TitreobjetPagedecouverture"/>
    <w:rsid w:val="009B7138"/>
  </w:style>
  <w:style w:type="paragraph" w:customStyle="1" w:styleId="RfrenceinterinstitutionnellePagedecouverture">
    <w:name w:val="Référence interinstitutionnelle (Page de couverture)"/>
    <w:basedOn w:val="Rfrenceinterinstitutionnelle"/>
    <w:next w:val="Confidentialit"/>
    <w:rsid w:val="009B7138"/>
  </w:style>
  <w:style w:type="paragraph" w:customStyle="1" w:styleId="StatutPagedecouverture">
    <w:name w:val="Statut (Page de couverture)"/>
    <w:basedOn w:val="Statut"/>
    <w:next w:val="TypedudocumentPagedecouverture"/>
    <w:rsid w:val="009B7138"/>
  </w:style>
  <w:style w:type="paragraph" w:customStyle="1" w:styleId="TitreobjetPagedecouverture">
    <w:name w:val="Titre objet (Page de couverture)"/>
    <w:basedOn w:val="Titreobjet"/>
    <w:next w:val="IntrtEEEPagedecouverture"/>
    <w:rsid w:val="009B7138"/>
  </w:style>
  <w:style w:type="paragraph" w:customStyle="1" w:styleId="TypedudocumentPagedecouverture">
    <w:name w:val="Type du document (Page de couverture)"/>
    <w:basedOn w:val="Typedudocument"/>
    <w:next w:val="TitreobjetPagedecouverture"/>
    <w:rsid w:val="009B7138"/>
  </w:style>
  <w:style w:type="paragraph" w:customStyle="1" w:styleId="Volume">
    <w:name w:val="Volume"/>
    <w:basedOn w:val="Normal"/>
    <w:next w:val="Confidentialit"/>
    <w:rsid w:val="009B7138"/>
    <w:pPr>
      <w:spacing w:before="0" w:after="240"/>
      <w:ind w:left="5103"/>
      <w:jc w:val="left"/>
    </w:pPr>
  </w:style>
  <w:style w:type="paragraph" w:customStyle="1" w:styleId="IntrtEEE">
    <w:name w:val="Intérêt EEE"/>
    <w:basedOn w:val="Languesfaisantfoi"/>
    <w:next w:val="Normal"/>
    <w:rsid w:val="009B7138"/>
    <w:pPr>
      <w:spacing w:after="240"/>
    </w:pPr>
  </w:style>
  <w:style w:type="paragraph" w:customStyle="1" w:styleId="Accompagnant">
    <w:name w:val="Accompagnant"/>
    <w:basedOn w:val="Normal"/>
    <w:next w:val="Typeacteprincipal"/>
    <w:rsid w:val="009B7138"/>
    <w:pPr>
      <w:spacing w:before="0" w:after="240"/>
      <w:jc w:val="center"/>
    </w:pPr>
    <w:rPr>
      <w:b/>
      <w:i/>
    </w:rPr>
  </w:style>
  <w:style w:type="paragraph" w:customStyle="1" w:styleId="Typeacteprincipal">
    <w:name w:val="Type acte principal"/>
    <w:basedOn w:val="Normal"/>
    <w:next w:val="Objetacteprincipal"/>
    <w:rsid w:val="009B7138"/>
    <w:pPr>
      <w:spacing w:before="0" w:after="240"/>
      <w:jc w:val="center"/>
    </w:pPr>
    <w:rPr>
      <w:b/>
    </w:rPr>
  </w:style>
  <w:style w:type="paragraph" w:customStyle="1" w:styleId="Objetacteprincipal">
    <w:name w:val="Objet acte principal"/>
    <w:basedOn w:val="Normal"/>
    <w:next w:val="Titrearticle"/>
    <w:rsid w:val="009B7138"/>
    <w:pPr>
      <w:spacing w:before="0" w:after="360"/>
      <w:jc w:val="center"/>
    </w:pPr>
    <w:rPr>
      <w:b/>
    </w:rPr>
  </w:style>
  <w:style w:type="paragraph" w:customStyle="1" w:styleId="IntrtEEEPagedecouverture">
    <w:name w:val="Intérêt EEE (Page de couverture)"/>
    <w:basedOn w:val="IntrtEEE"/>
    <w:next w:val="Rfrencecroise"/>
    <w:rsid w:val="009B7138"/>
  </w:style>
  <w:style w:type="paragraph" w:customStyle="1" w:styleId="AccompagnantPagedecouverture">
    <w:name w:val="Accompagnant (Page de couverture)"/>
    <w:basedOn w:val="Accompagnant"/>
    <w:next w:val="TypeacteprincipalPagedecouverture"/>
    <w:rsid w:val="009B7138"/>
  </w:style>
  <w:style w:type="paragraph" w:customStyle="1" w:styleId="TypeacteprincipalPagedecouverture">
    <w:name w:val="Type acte principal (Page de couverture)"/>
    <w:basedOn w:val="Typeacteprincipal"/>
    <w:next w:val="ObjetacteprincipalPagedecouverture"/>
    <w:rsid w:val="009B7138"/>
  </w:style>
  <w:style w:type="paragraph" w:customStyle="1" w:styleId="ObjetacteprincipalPagedecouverture">
    <w:name w:val="Objet acte principal (Page de couverture)"/>
    <w:basedOn w:val="Objetacteprincipal"/>
    <w:next w:val="Rfrencecroise"/>
    <w:rsid w:val="009B7138"/>
  </w:style>
  <w:style w:type="paragraph" w:customStyle="1" w:styleId="LanguesfaisantfoiPagedecouverture">
    <w:name w:val="Langues faisant foi (Page de couverture)"/>
    <w:basedOn w:val="Normal"/>
    <w:next w:val="Normal"/>
    <w:rsid w:val="009B7138"/>
    <w:pPr>
      <w:spacing w:before="360" w:after="0"/>
      <w:jc w:val="cente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43815561">
      <w:bodyDiv w:val="1"/>
      <w:marLeft w:val="0"/>
      <w:marRight w:val="0"/>
      <w:marTop w:val="0"/>
      <w:marBottom w:val="0"/>
      <w:divBdr>
        <w:top w:val="none" w:sz="0" w:space="0" w:color="auto"/>
        <w:left w:val="none" w:sz="0" w:space="0" w:color="auto"/>
        <w:bottom w:val="none" w:sz="0" w:space="0" w:color="auto"/>
        <w:right w:val="none" w:sz="0" w:space="0" w:color="auto"/>
      </w:divBdr>
    </w:div>
    <w:div w:id="20874571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eader" Target="head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COM.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B6D124-4613-46E5-9216-31EB91EA16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COM.dotm</Template>
  <TotalTime>0</TotalTime>
  <Pages>2</Pages>
  <Words>1658</Words>
  <Characters>9028</Characters>
  <Application>Microsoft Office Word</Application>
  <DocSecurity>0</DocSecurity>
  <Lines>183</Lines>
  <Paragraphs>61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10633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EBA Staff</dc:creator>
  <cp:lastModifiedBy>BAKOS Tamas (DGT)</cp:lastModifiedBy>
  <cp:revision>3</cp:revision>
  <cp:lastPrinted>2019-11-13T10:58:00Z</cp:lastPrinted>
  <dcterms:created xsi:type="dcterms:W3CDTF">2020-01-22T14:58:00Z</dcterms:created>
  <dcterms:modified xsi:type="dcterms:W3CDTF">2020-01-22T14:58:00Z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ategory">
    <vt:lpwstr>COM/AA</vt:lpwstr>
  </property>
  <property fmtid="{D5CDD505-2E9C-101B-9397-08002B2CF9AE}" pid="3" name="Version">
    <vt:lpwstr>5.8.22.0</vt:lpwstr>
  </property>
  <property fmtid="{D5CDD505-2E9C-101B-9397-08002B2CF9AE}" pid="4" name="Created using">
    <vt:lpwstr>LW 5.8, Build 20110311</vt:lpwstr>
  </property>
  <property fmtid="{D5CDD505-2E9C-101B-9397-08002B2CF9AE}" pid="5" name="Last edited using">
    <vt:lpwstr>LW 7.0, Build 20190717</vt:lpwstr>
  </property>
  <property fmtid="{D5CDD505-2E9C-101B-9397-08002B2CF9AE}" pid="6" name="_NewReviewCycle">
    <vt:lpwstr/>
  </property>
  <property fmtid="{D5CDD505-2E9C-101B-9397-08002B2CF9AE}" pid="7" name="LWTemplateID">
    <vt:lpwstr>SJ-004</vt:lpwstr>
  </property>
  <property fmtid="{D5CDD505-2E9C-101B-9397-08002B2CF9AE}" pid="8" name="Level of sensitivity">
    <vt:lpwstr>Standard treatment</vt:lpwstr>
  </property>
  <property fmtid="{D5CDD505-2E9C-101B-9397-08002B2CF9AE}" pid="9" name="Part">
    <vt:lpwstr>1</vt:lpwstr>
  </property>
  <property fmtid="{D5CDD505-2E9C-101B-9397-08002B2CF9AE}" pid="10" name="Total parts">
    <vt:lpwstr>1</vt:lpwstr>
  </property>
  <property fmtid="{D5CDD505-2E9C-101B-9397-08002B2CF9AE}" pid="11" name="DQCStatus">
    <vt:lpwstr>Green (DQC version 03)</vt:lpwstr>
  </property>
</Properties>
</file>