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07713" w14:textId="68A03031" w:rsidR="004D5878" w:rsidRPr="0053712C" w:rsidRDefault="00677F28" w:rsidP="0053712C">
      <w:pPr>
        <w:pStyle w:val="Pagedecouverture"/>
      </w:pPr>
      <w:bookmarkStart w:id="0" w:name="_GoBack"/>
      <w:bookmarkEnd w:id="0"/>
      <w:r>
        <w:pict w14:anchorId="56EC3E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9A56C87F-7F1D-4682-9515-54710AF05782" style="width:450.75pt;height:395.25pt">
            <v:imagedata r:id="rId8" o:title=""/>
          </v:shape>
        </w:pict>
      </w:r>
    </w:p>
    <w:p w14:paraId="7EA50C89" w14:textId="77777777" w:rsidR="00A826D6" w:rsidRPr="0053712C" w:rsidRDefault="00A826D6" w:rsidP="00A826D6">
      <w:pPr>
        <w:sectPr w:rsidR="00A826D6" w:rsidRPr="0053712C" w:rsidSect="00FC72D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1CDECEB2" w14:textId="0B434898" w:rsidR="00A826D6" w:rsidRPr="0053712C" w:rsidRDefault="0053712C" w:rsidP="0053712C">
      <w:pPr>
        <w:pStyle w:val="Typedudocument"/>
      </w:pPr>
      <w:r w:rsidRPr="0053712C">
        <w:lastRenderedPageBreak/>
        <w:t>PROVEDBENA UREDBA KOMISIJE (EU) …/...</w:t>
      </w:r>
    </w:p>
    <w:p w14:paraId="2AAC3DEF" w14:textId="013943B8" w:rsidR="004D5878" w:rsidRPr="0053712C" w:rsidRDefault="0053712C" w:rsidP="0053712C">
      <w:pPr>
        <w:pStyle w:val="Datedadoption"/>
        <w:rPr>
          <w:rStyle w:val="Marker2"/>
        </w:rPr>
      </w:pPr>
      <w:r w:rsidRPr="0053712C">
        <w:t xml:space="preserve">оd </w:t>
      </w:r>
      <w:r w:rsidRPr="0053712C">
        <w:rPr>
          <w:rStyle w:val="Marker2"/>
        </w:rPr>
        <w:t>XXX</w:t>
      </w:r>
    </w:p>
    <w:p w14:paraId="2CD0C74D" w14:textId="2ECA0A99" w:rsidR="00EA64E6" w:rsidRPr="0053712C" w:rsidRDefault="0053712C" w:rsidP="0053712C">
      <w:pPr>
        <w:pStyle w:val="Titreobjet"/>
      </w:pPr>
      <w:r w:rsidRPr="0053712C">
        <w:t>o izmjeni Provedbene uredbe (EU) br. 680/2014 o utvrđivanju provedbenih tehničkih standarda o nadzornom izvješćivanju institucija u skladu s Uredbom (EU) br. 575/2013 Europskog parlamenta i Vijeća</w:t>
      </w:r>
    </w:p>
    <w:p w14:paraId="607AA7C4" w14:textId="218942E8" w:rsidR="001B445C" w:rsidRPr="0053712C" w:rsidRDefault="0053712C" w:rsidP="0053712C">
      <w:pPr>
        <w:pStyle w:val="IntrtEEE"/>
      </w:pPr>
      <w:r w:rsidRPr="0053712C">
        <w:t>(Tekst značajan za EGP)</w:t>
      </w:r>
    </w:p>
    <w:p w14:paraId="5C82FF64" w14:textId="5A9E2B54" w:rsidR="001B445C" w:rsidRPr="0053712C" w:rsidRDefault="0053712C" w:rsidP="001B445C">
      <w:pPr>
        <w:pStyle w:val="Institutionquiagit"/>
      </w:pPr>
      <w:bookmarkStart w:id="1" w:name="_CopyToNewDocument_"/>
      <w:bookmarkEnd w:id="1"/>
      <w:r>
        <w:t>EUROPSKA KOMISIJA,</w:t>
      </w:r>
    </w:p>
    <w:p w14:paraId="288C7C77" w14:textId="77777777" w:rsidR="001B445C" w:rsidRPr="0053712C" w:rsidRDefault="001B445C" w:rsidP="001B445C">
      <w:r w:rsidRPr="0053712C">
        <w:rPr>
          <w:color w:val="000000"/>
        </w:rPr>
        <w:t>uzimajući u obzir Ugovor o funkcioniranju Europske unije</w:t>
      </w:r>
      <w:r w:rsidRPr="0053712C">
        <w:t>,</w:t>
      </w:r>
    </w:p>
    <w:p w14:paraId="308FB29B" w14:textId="2835F500" w:rsidR="001B445C" w:rsidRPr="0053712C" w:rsidRDefault="001B445C" w:rsidP="001B445C">
      <w:r w:rsidRPr="0053712C">
        <w:t xml:space="preserve">uzimajući u obzir </w:t>
      </w:r>
      <w:r w:rsidRPr="0053712C">
        <w:rPr>
          <w:color w:val="000000"/>
        </w:rPr>
        <w:t>Uredbu (EU) br. 575/2013 Europskog parlamenta i Vijeća od 26. lipnja 2013. o bonitetnim zahtjevima za kreditne institucije i investicijska društva i o izmjeni Uredbe (EU) br. 648/2012</w:t>
      </w:r>
      <w:r w:rsidR="00363BA4" w:rsidRPr="0053712C">
        <w:rPr>
          <w:rStyle w:val="FootnoteReference"/>
          <w:color w:val="000000"/>
        </w:rPr>
        <w:footnoteReference w:id="1"/>
      </w:r>
      <w:r w:rsidRPr="0053712C">
        <w:rPr>
          <w:color w:val="000000"/>
        </w:rPr>
        <w:t>, a posebno njezin članak 99. stavak 5.,</w:t>
      </w:r>
    </w:p>
    <w:p w14:paraId="13C3A1D4" w14:textId="77777777" w:rsidR="001B445C" w:rsidRPr="0053712C" w:rsidRDefault="001B445C" w:rsidP="001B445C">
      <w:r w:rsidRPr="0053712C">
        <w:t>budući da:</w:t>
      </w:r>
    </w:p>
    <w:p w14:paraId="5323FA5C" w14:textId="6D899A74" w:rsidR="00EA64E6" w:rsidRPr="0053712C" w:rsidRDefault="001B445C" w:rsidP="00400058">
      <w:pPr>
        <w:pStyle w:val="Considrant"/>
        <w:numPr>
          <w:ilvl w:val="0"/>
          <w:numId w:val="10"/>
        </w:numPr>
      </w:pPr>
      <w:r w:rsidRPr="0053712C">
        <w:t>Provedbenom uredbom Komisije (EU) br. 680/2014</w:t>
      </w:r>
      <w:r w:rsidR="00363BA4" w:rsidRPr="0053712C">
        <w:rPr>
          <w:rStyle w:val="FootnoteReference"/>
        </w:rPr>
        <w:footnoteReference w:id="2"/>
      </w:r>
      <w:r w:rsidRPr="0053712C">
        <w:t xml:space="preserve"> utvrđuju se jedinstveni zahtjevi za institucije u pogledu nadzornog izvješćivanja nadležnih tijela za potrebe članaka 99. i 100., članka 101. stavka 4. točke (a), članka 394. stavka 1. i članaka 415. i 430. Uredbe (EU) br. 575/2013.</w:t>
      </w:r>
    </w:p>
    <w:p w14:paraId="26488C0A" w14:textId="7104C3B3" w:rsidR="00EA64E6" w:rsidRPr="0053712C" w:rsidRDefault="00EA64E6" w:rsidP="006A1323">
      <w:pPr>
        <w:pStyle w:val="Considrant"/>
      </w:pPr>
      <w:r w:rsidRPr="0053712C">
        <w:t>Uredbom (EU) 2017/2402 Europskog parlamenta i Vijeća</w:t>
      </w:r>
      <w:r w:rsidR="00363BA4" w:rsidRPr="0053712C">
        <w:rPr>
          <w:rStyle w:val="FootnoteReference"/>
        </w:rPr>
        <w:footnoteReference w:id="3"/>
      </w:r>
      <w:r w:rsidRPr="0053712C">
        <w:t xml:space="preserve"> utvrđen je novi okvir za sekuritizaciju, uključujući specifičan okvir za jednostavne, transparentne i standardizirane (STS) </w:t>
      </w:r>
      <w:r w:rsidRPr="0053712C">
        <w:tab/>
        <w:t>sekuritizacije. U toj je uredbi utvrđen povlašteni tretman za STS sekuritizacije i određene sintetske sekuritizacije za MSP-ove te okvir za regulatorni tretman izloženosti sekuritizacijama koji je osjetljiviji na rizik. Provedbenu uredbu (EU) br. 680/2014 trebalo bi izmijeniti kako bi se izvješćivanje o sekuritizacijskim pozicijama prilagodilo tom novom sekuritizacijskom okviru.</w:t>
      </w:r>
    </w:p>
    <w:p w14:paraId="483135B2" w14:textId="65B6C67D" w:rsidR="001B445C" w:rsidRPr="0053712C" w:rsidRDefault="00D913C8">
      <w:pPr>
        <w:pStyle w:val="Considrant"/>
      </w:pPr>
      <w:r w:rsidRPr="0053712C">
        <w:t>Uredba Komisije (EZ) br. 1126/2008</w:t>
      </w:r>
      <w:r w:rsidR="00363BA4" w:rsidRPr="0053712C">
        <w:rPr>
          <w:rStyle w:val="FootnoteReference"/>
        </w:rPr>
        <w:footnoteReference w:id="4"/>
      </w:r>
      <w:r w:rsidRPr="0053712C">
        <w:t xml:space="preserve"> izmijenjena je Uredbom Komisije (EU) 2017/1986</w:t>
      </w:r>
      <w:r w:rsidRPr="0053712C">
        <w:rPr>
          <w:rStyle w:val="FootnoteReference"/>
        </w:rPr>
        <w:footnoteReference w:id="5"/>
      </w:r>
      <w:r w:rsidRPr="0053712C">
        <w:t xml:space="preserve"> radi usklađenja s </w:t>
      </w:r>
      <w:r w:rsidRPr="0053712C">
        <w:rPr>
          <w:color w:val="444444"/>
        </w:rPr>
        <w:t xml:space="preserve">Međunarodnim </w:t>
      </w:r>
      <w:r w:rsidRPr="0053712C">
        <w:t xml:space="preserve">standardom financijskog izvještavanja </w:t>
      </w:r>
      <w:r w:rsidRPr="0053712C">
        <w:lastRenderedPageBreak/>
        <w:t>(MSFI) 16 Najmovi koje je Odbor za međunarodne računovodstvene standarde objavio 13. siječnja 2016. Sada je potrebno izmijeniti i Provedbenu uredbu (EU) br. 680/2014 kako bi se te izmjene uzele u obzir.</w:t>
      </w:r>
    </w:p>
    <w:p w14:paraId="22E5D43E" w14:textId="77777777" w:rsidR="001B445C" w:rsidRPr="0053712C" w:rsidRDefault="00EE58F1" w:rsidP="00B37ECE">
      <w:pPr>
        <w:pStyle w:val="Considrant"/>
        <w:rPr>
          <w:color w:val="000000"/>
        </w:rPr>
      </w:pPr>
      <w:r w:rsidRPr="0053712C">
        <w:rPr>
          <w:color w:val="000000"/>
        </w:rPr>
        <w:t>Nadležna tijela trebala bi moći učinkovito pratiti i procjenjivati profile rizičnosti institucija i dobiti uvid u rizike kojima je izložen financijski sektor. Visoka razina neprihodujućih izloženosti utječe na profil rizičnosti, profitabilnost i solventnost institucija te u konačnici utječe na kapacitet kreditiranja cjelokupnog gospodarstva. Zahtjeve za izvješćivanje stoga bi trebalo revidirati da se osnaže kapaciteti nadležnih tijela za procjenu i praćenje neprihodujućih izloženosti redovitim prikupljanjem detaljnijih informacija o tim izloženostima i da se uklone nedostaci utvrđeni u podacima.</w:t>
      </w:r>
    </w:p>
    <w:p w14:paraId="660C1B8C" w14:textId="77777777" w:rsidR="001B445C" w:rsidRPr="0053712C" w:rsidRDefault="00F95996" w:rsidP="001B445C">
      <w:pPr>
        <w:pStyle w:val="Considrant"/>
        <w:rPr>
          <w:color w:val="000000"/>
        </w:rPr>
      </w:pPr>
      <w:r w:rsidRPr="0053712C">
        <w:rPr>
          <w:color w:val="000000"/>
        </w:rPr>
        <w:t>Osim toga, struktura i opseg rashoda institucija znatno utječu na profitabilnost i održivost poslovnih modela institucija. Trebalo bi unaprijediti izvještajni okvir kako bi nadležna tijela imala bolji uvid u te rashode.</w:t>
      </w:r>
    </w:p>
    <w:p w14:paraId="7989BF92" w14:textId="77777777" w:rsidR="00EA64E6" w:rsidRPr="0053712C" w:rsidRDefault="00EA64E6" w:rsidP="00EA64E6">
      <w:pPr>
        <w:pStyle w:val="Considrant"/>
      </w:pPr>
      <w:r w:rsidRPr="0053712C">
        <w:t>Delegirana uredba Komisije (EU) 2015/61</w:t>
      </w:r>
      <w:r w:rsidR="00952426" w:rsidRPr="0053712C">
        <w:rPr>
          <w:rStyle w:val="FootnoteReference"/>
        </w:rPr>
        <w:footnoteReference w:id="6"/>
      </w:r>
      <w:r w:rsidRPr="0053712C">
        <w:t xml:space="preserve"> izmijenjena je Delegiranom uredbom Komisije (EU) 2018/1620</w:t>
      </w:r>
      <w:r w:rsidR="00952426" w:rsidRPr="0053712C">
        <w:rPr>
          <w:rStyle w:val="FootnoteReference"/>
        </w:rPr>
        <w:footnoteReference w:id="7"/>
      </w:r>
      <w:r w:rsidRPr="0053712C">
        <w:t xml:space="preserve"> </w:t>
      </w:r>
      <w:r w:rsidRPr="0053712C">
        <w:rPr>
          <w:color w:val="444444"/>
        </w:rPr>
        <w:t xml:space="preserve">radi bolje usklađenosti s međunarodnim standardima i učinkovitijeg upravljanja likvidnošću kreditnih institucija. </w:t>
      </w:r>
      <w:r w:rsidRPr="0053712C">
        <w:t>Kako bi se te izmjene uzele u obzir u izvještajnom okviru zahtjeva za likvidnosnu pokrivenost kreditnih institucija, trebalo bi izmijeniti i Provedbenu uredbu (EU) br. 680/2014.</w:t>
      </w:r>
    </w:p>
    <w:p w14:paraId="34872B97" w14:textId="77777777" w:rsidR="00EA64E6" w:rsidRPr="0053712C" w:rsidRDefault="003F04FB" w:rsidP="00EA64E6">
      <w:pPr>
        <w:pStyle w:val="Considrant"/>
      </w:pPr>
      <w:r w:rsidRPr="0053712C">
        <w:t>Osim toga, trebalo bi revidirati i obrasce i upute iz Provedbene uredbe (EU) br. 680/2014 kako bi se ponovno ocijenila prikladnost i primjerenost bilješki uvrštenih u obrasce i uputa u prvim godinama provedbe te uredbe te ispravile tiskarske pogreške, netočna upućivanja i neusklađenosti u formatiranju koji su primijećeni tijekom njezine primjene.</w:t>
      </w:r>
    </w:p>
    <w:p w14:paraId="40A01AE5" w14:textId="5ED49F5D" w:rsidR="006A1323" w:rsidRPr="0053712C" w:rsidRDefault="00B31B60" w:rsidP="00EA64E6">
      <w:pPr>
        <w:pStyle w:val="Considrant"/>
      </w:pPr>
      <w:r w:rsidRPr="0053712C">
        <w:t xml:space="preserve">Nadležna tijela trebala bi od institucija čim prije dobiti informacije na obrascima izmijenjenim ovom Provedbenom uredbom da bi mogla učinkovito izvršavati svoju nadzornu funkciju. Novi Unijin sekuritizacijski okvir u cijelosti se primjenjuje od 1. siječnja 2020. kada su prestale vrijediti prijelazne odredbe. Stoga bi se revidirani zahtjevi za izvješćivanje o regulatornom kapitalu i kapitalnim zahtjevima utvrđeni u ovoj Provedbenoj uredbi trebali primjenjivati od 30. ožujka 2020. Kako bi se institucijama i nadležnim tijelima dalo dovoljno vremena za primjenu revidiranih zahtjeva za izvješćivanje o neprihodujućim izloženostima, dužničkim obvezama na koje se primjenjuju mjere restrukturiranja, rashodima iz poslovanja i administrativnim rashodima i financijskim informacijama koji su navedeni u prilozima od III. do V. ovoj Provedbenoj uredbi, ti revidirani zahtjevi za izvješćivanje trebali bi se primjenjivati od 1. lipnja 2020. Konačno, uzimajući u obzir izmjene uvedene Delegiranom uredbom (EU) 2018/1620 koje se primjenjuju od 30. travnja 2019., odredbe ove Provedbene uredbe o izvješćivanju o likvidnosti trebale bi se primjenjivati od 1. travnja 2020. </w:t>
      </w:r>
    </w:p>
    <w:p w14:paraId="59349144" w14:textId="77777777" w:rsidR="001B445C" w:rsidRPr="0053712C" w:rsidRDefault="001B445C" w:rsidP="001B445C">
      <w:pPr>
        <w:pStyle w:val="Considrant"/>
        <w:rPr>
          <w:color w:val="000000"/>
        </w:rPr>
      </w:pPr>
      <w:r w:rsidRPr="0053712C">
        <w:rPr>
          <w:color w:val="000000"/>
        </w:rPr>
        <w:t>Ova se Uredba temelji na nacrtu provedbenih tehničkih standarda koji je Komisiji dostavilo Europsko nadzorno tijelo za bankarstvo (EBA).</w:t>
      </w:r>
    </w:p>
    <w:p w14:paraId="50B5C1E2" w14:textId="77777777" w:rsidR="001B445C" w:rsidRPr="0053712C" w:rsidRDefault="001B445C" w:rsidP="001B445C">
      <w:pPr>
        <w:pStyle w:val="Considrant"/>
        <w:rPr>
          <w:color w:val="000000"/>
        </w:rPr>
      </w:pPr>
      <w:r w:rsidRPr="0053712C">
        <w:t>EBA je provela otvoreno javno savjetovanje o nacrtu provedbenih tehničkih standarda na kojem se temelji ova Uredba, analizirala je moguće povezane troškove i koristi te zatražila mišljenje Interesne skupine za bankarstvo osnovane u skladu s člankom 37. Uredbe (EU) br. 1093/2010 Europskog parlamenta i Vijeća</w:t>
      </w:r>
      <w:r w:rsidRPr="0053712C">
        <w:rPr>
          <w:rStyle w:val="FootnoteReference"/>
        </w:rPr>
        <w:footnoteReference w:id="8"/>
      </w:r>
      <w:r w:rsidRPr="0053712C">
        <w:t>. U skladu s člankom 15. stavkom 1. drugim podstavkom te Uredbe EBA nije provela otvoreno javno savjetovanje o onim dijelovima nacrta provedbenih tehničkih standarda na kojima se temelji ova Uredba koji su uredničke prirode ili uvode samo ograničeni broj stavki u okvir za nadzorno izvješćivanje. Takvo savjetovanje bilo bi nerazmjerno s obzirom na područje primjene i učinak predmetnog nacrta provedbenih tehničkih standarda.</w:t>
      </w:r>
    </w:p>
    <w:p w14:paraId="67DBCF52" w14:textId="77777777" w:rsidR="001B445C" w:rsidRPr="0053712C" w:rsidRDefault="001B445C" w:rsidP="00A826D6">
      <w:pPr>
        <w:pStyle w:val="Considrant"/>
        <w:rPr>
          <w:color w:val="000000"/>
        </w:rPr>
      </w:pPr>
      <w:r w:rsidRPr="0053712C">
        <w:rPr>
          <w:color w:val="000000"/>
        </w:rPr>
        <w:t>Provedbenu uredbu (EU) br. 680/2014 trebalo bi stoga na odgovarajući način izmijeniti,</w:t>
      </w:r>
    </w:p>
    <w:p w14:paraId="76AD5CEB" w14:textId="3BBB9E29" w:rsidR="001B445C" w:rsidRPr="0053712C" w:rsidRDefault="0053712C" w:rsidP="001B445C">
      <w:pPr>
        <w:pStyle w:val="Formuledadoption"/>
      </w:pPr>
      <w:r>
        <w:t>DONIJELA JE OVU UREDBU:</w:t>
      </w:r>
    </w:p>
    <w:p w14:paraId="73D2A54B" w14:textId="77777777" w:rsidR="001B445C" w:rsidRPr="0053712C" w:rsidRDefault="001B445C" w:rsidP="001B445C">
      <w:pPr>
        <w:pStyle w:val="Titrearticle"/>
        <w:keepLines/>
        <w:rPr>
          <w:color w:val="000000"/>
          <w:szCs w:val="24"/>
        </w:rPr>
      </w:pPr>
      <w:r w:rsidRPr="0053712C">
        <w:rPr>
          <w:color w:val="000000"/>
          <w:szCs w:val="24"/>
        </w:rPr>
        <w:t>Članak 1.</w:t>
      </w:r>
    </w:p>
    <w:p w14:paraId="731C2D3F" w14:textId="59043673" w:rsidR="001B445C" w:rsidRPr="0053712C" w:rsidRDefault="001B445C" w:rsidP="001B445C">
      <w:pPr>
        <w:rPr>
          <w:szCs w:val="24"/>
        </w:rPr>
      </w:pPr>
      <w:r w:rsidRPr="0053712C">
        <w:t>Provedbena uredba (EU) br. 680/2014 mijenja se kako slijedi:</w:t>
      </w:r>
    </w:p>
    <w:p w14:paraId="1B00C599" w14:textId="620CE99C" w:rsidR="00C63439" w:rsidRPr="00784F6B" w:rsidRDefault="00784F6B" w:rsidP="00784F6B">
      <w:r>
        <w:t>1.</w:t>
      </w:r>
      <w:r>
        <w:tab/>
      </w:r>
      <w:r w:rsidR="00C63439" w:rsidRPr="00784F6B">
        <w:t>Članak 5. mijenja se kako slijedi:</w:t>
      </w:r>
    </w:p>
    <w:p w14:paraId="07A92DDE" w14:textId="77777777" w:rsidR="00294A2C" w:rsidRPr="0053712C" w:rsidRDefault="00C63439" w:rsidP="003A7F9A">
      <w:pPr>
        <w:pStyle w:val="Point1letter"/>
        <w:numPr>
          <w:ilvl w:val="3"/>
          <w:numId w:val="11"/>
        </w:numPr>
      </w:pPr>
      <w:r w:rsidRPr="0053712C">
        <w:t>stavak (a) mijenja se kako slijedi:</w:t>
      </w:r>
    </w:p>
    <w:p w14:paraId="0051425E" w14:textId="77777777" w:rsidR="006A640B" w:rsidRPr="0053712C" w:rsidRDefault="00294A2C" w:rsidP="007D61B3">
      <w:pPr>
        <w:pStyle w:val="Text2"/>
      </w:pPr>
      <w:r w:rsidRPr="0053712C">
        <w:t>i.</w:t>
      </w:r>
      <w:r w:rsidRPr="0053712C">
        <w:tab/>
        <w:t>točka 7. briše se;</w:t>
      </w:r>
    </w:p>
    <w:p w14:paraId="486BC3C6" w14:textId="77777777" w:rsidR="006A640B" w:rsidRPr="0053712C" w:rsidRDefault="00294A2C" w:rsidP="007D61B3">
      <w:pPr>
        <w:pStyle w:val="Text2"/>
      </w:pPr>
      <w:r w:rsidRPr="0053712C">
        <w:t>ii.</w:t>
      </w:r>
      <w:r w:rsidRPr="0053712C">
        <w:tab/>
        <w:t>točka 8. zamjenjuje se sljedećim:</w:t>
      </w:r>
    </w:p>
    <w:p w14:paraId="6942628A" w14:textId="77777777" w:rsidR="006A640B" w:rsidRPr="0053712C" w:rsidRDefault="00294A2C" w:rsidP="00294A2C">
      <w:pPr>
        <w:pStyle w:val="Text1"/>
        <w:ind w:left="2268" w:right="568" w:hanging="567"/>
        <w:rPr>
          <w:szCs w:val="24"/>
        </w:rPr>
      </w:pPr>
      <w:r w:rsidRPr="0053712C">
        <w:t>„(8)</w:t>
      </w:r>
      <w:r w:rsidRPr="0053712C">
        <w:tab/>
        <w:t>informacije o sekuritizacijskim izloženostima, kako je navedeno u obrascu 13.01. iz Priloga I., u skladu s uputama iz Priloga II. dijela II. točke 3.7.;”;</w:t>
      </w:r>
    </w:p>
    <w:p w14:paraId="32CB27AB" w14:textId="77777777" w:rsidR="006A640B" w:rsidRPr="0053712C" w:rsidRDefault="00D63710" w:rsidP="007D61B3">
      <w:pPr>
        <w:pStyle w:val="Point1letter"/>
      </w:pPr>
      <w:r w:rsidRPr="0053712C">
        <w:t>u stavku (b) točka 1. zamjenjuje se sljedećim:</w:t>
      </w:r>
    </w:p>
    <w:p w14:paraId="2C729D6F" w14:textId="1DF29E03" w:rsidR="002A096A" w:rsidRPr="0053712C" w:rsidRDefault="00DC3927" w:rsidP="00D63710">
      <w:pPr>
        <w:pStyle w:val="Text1"/>
        <w:ind w:left="1701" w:right="568" w:hanging="567"/>
        <w:rPr>
          <w:szCs w:val="24"/>
        </w:rPr>
      </w:pPr>
      <w:r w:rsidRPr="0053712C">
        <w:t>„(1)</w:t>
      </w:r>
      <w:r w:rsidRPr="0053712C">
        <w:tab/>
        <w:t>informacije o svim sekuritizacijskim izloženostima, kako je navedeno u obrascima 14. i 14.01. iz Priloga I., u skladu s uputama iz Priloga II. dijela II. točke 3.9.;</w:t>
      </w:r>
    </w:p>
    <w:p w14:paraId="36BD954D" w14:textId="62EBDF1E" w:rsidR="006A640B" w:rsidRPr="0053712C" w:rsidRDefault="002A096A" w:rsidP="00C71E1B">
      <w:pPr>
        <w:pStyle w:val="Text1"/>
        <w:ind w:left="1701" w:right="568"/>
        <w:rPr>
          <w:szCs w:val="24"/>
        </w:rPr>
      </w:pPr>
      <w:r w:rsidRPr="0053712C">
        <w:t>Institucije su izuzete od obveze dostavljanja tih podataka o sekuritizaciji ako pripadaju grupi u istoj zemlji u kojoj podliježu kapitalnim zahtjevima;</w:t>
      </w:r>
    </w:p>
    <w:p w14:paraId="22157E12" w14:textId="77777777" w:rsidR="00DC3927" w:rsidRPr="0053712C" w:rsidRDefault="00DC3927" w:rsidP="007D61B3">
      <w:r w:rsidRPr="0053712C">
        <w:t>2.</w:t>
      </w:r>
      <w:r w:rsidRPr="0053712C">
        <w:tab/>
        <w:t>u članku 9. stavak 2. mijenja se kako slijedi:</w:t>
      </w:r>
    </w:p>
    <w:p w14:paraId="2D923CE0" w14:textId="77777777" w:rsidR="001B445C" w:rsidRPr="0053712C" w:rsidRDefault="00C52F81" w:rsidP="007D61B3">
      <w:pPr>
        <w:pStyle w:val="Text1"/>
      </w:pPr>
      <w:r w:rsidRPr="0053712C">
        <w:t>i.</w:t>
      </w:r>
      <w:r w:rsidRPr="0053712C">
        <w:tab/>
        <w:t>točka (c) zamjenjuje se sljedećim:</w:t>
      </w:r>
    </w:p>
    <w:p w14:paraId="5E362A06" w14:textId="77777777" w:rsidR="001B445C" w:rsidRPr="0053712C" w:rsidRDefault="00DC3927" w:rsidP="00D63710">
      <w:pPr>
        <w:pStyle w:val="Text1"/>
        <w:ind w:left="1701" w:right="568" w:hanging="567"/>
        <w:rPr>
          <w:szCs w:val="24"/>
        </w:rPr>
      </w:pPr>
      <w:r w:rsidRPr="0053712C">
        <w:t>„(c)</w:t>
      </w:r>
      <w:r w:rsidRPr="0053712C">
        <w:tab/>
        <w:t>informacije iz Priloga III. dijela 4., osim informacija navedenih u obrascu 47., godišnje;”;</w:t>
      </w:r>
    </w:p>
    <w:p w14:paraId="5EF72169" w14:textId="77777777" w:rsidR="001B445C" w:rsidRPr="0053712C" w:rsidRDefault="00C52F81" w:rsidP="007D61B3">
      <w:pPr>
        <w:pStyle w:val="Text1"/>
      </w:pPr>
      <w:r w:rsidRPr="0053712C">
        <w:t>ii.</w:t>
      </w:r>
      <w:r w:rsidRPr="0053712C">
        <w:tab/>
        <w:t>dodaju se sljedeće točke (h) i (i):</w:t>
      </w:r>
    </w:p>
    <w:p w14:paraId="49C9B54D" w14:textId="77777777" w:rsidR="001B445C" w:rsidRPr="0053712C" w:rsidRDefault="00C52F81" w:rsidP="00D63710">
      <w:pPr>
        <w:pStyle w:val="Text1"/>
        <w:ind w:left="1701" w:right="568" w:hanging="567"/>
        <w:rPr>
          <w:szCs w:val="24"/>
        </w:rPr>
      </w:pPr>
      <w:r w:rsidRPr="0053712C">
        <w:t>„(h)</w:t>
      </w:r>
      <w:r w:rsidRPr="0053712C">
        <w:tab/>
        <w:t>informacije iz obrazaca od 23. do 26. u Prilogu III. dijelu 2. tromjesečno, ako su ispunjena oba sljedeća uvjeta:</w:t>
      </w:r>
    </w:p>
    <w:p w14:paraId="5A3D23FC" w14:textId="77777777" w:rsidR="001B445C" w:rsidRPr="0053712C" w:rsidRDefault="001B445C" w:rsidP="00D63710">
      <w:pPr>
        <w:pStyle w:val="Text2"/>
        <w:ind w:left="2268" w:right="568" w:hanging="567"/>
        <w:rPr>
          <w:szCs w:val="24"/>
        </w:rPr>
      </w:pPr>
      <w:r w:rsidRPr="0053712C">
        <w:t>i.</w:t>
      </w:r>
      <w:r w:rsidRPr="0053712C">
        <w:tab/>
        <w:t>institucija nije mala i jednostavna institucija kako je definirano u članku 4. stavku 1. točki 145. Uredbe (EU) br. 575/2013;</w:t>
      </w:r>
    </w:p>
    <w:p w14:paraId="769A72A7" w14:textId="7FA489CA" w:rsidR="0084057B" w:rsidRPr="0053712C" w:rsidRDefault="001B445C" w:rsidP="00D63710">
      <w:pPr>
        <w:pStyle w:val="Text2"/>
        <w:ind w:left="2268" w:right="568" w:hanging="567"/>
        <w:rPr>
          <w:szCs w:val="24"/>
        </w:rPr>
      </w:pPr>
      <w:r w:rsidRPr="0053712C">
        <w:t>ii.</w:t>
      </w:r>
      <w:r w:rsidRPr="0053712C">
        <w:tab/>
        <w:t>omjer između bruto knjigovodstvene vrijednosti neprihodujućih kredita i predujmova institucije i ukupne bruto knjigovodstvene vrijednosti kredita i predujmova iz kategorije neprihodujućih izloženosti, kako je utvrđeno u odjeljku 17. dijelu drugom Priloga V. ovoj Uredbi, jednak je ili veći od 5 %. Za potrebe ove točke omjer u brojniku i u nazivniku ne uključuje kredite i predujmove klasificirane kao namijenjene za prodaju, sredstva u središnjim bankama i ostale depozite po viđenju.</w:t>
      </w:r>
    </w:p>
    <w:p w14:paraId="1E2D7764" w14:textId="77777777" w:rsidR="00C52F81" w:rsidRPr="0053712C" w:rsidRDefault="0084057B" w:rsidP="00946C0A">
      <w:pPr>
        <w:pStyle w:val="Text2"/>
        <w:ind w:left="1678" w:right="568" w:firstLine="23"/>
        <w:rPr>
          <w:szCs w:val="24"/>
        </w:rPr>
      </w:pPr>
      <w:r w:rsidRPr="0053712C">
        <w:t>Primjenjuju se ulazni i izlazni kriteriji iz članka 4.</w:t>
      </w:r>
    </w:p>
    <w:p w14:paraId="514A0195" w14:textId="77777777" w:rsidR="001B445C" w:rsidRPr="0053712C" w:rsidRDefault="00D63710" w:rsidP="00D63710">
      <w:pPr>
        <w:pStyle w:val="Text1"/>
        <w:ind w:left="1701" w:right="568" w:hanging="567"/>
        <w:rPr>
          <w:szCs w:val="24"/>
        </w:rPr>
      </w:pPr>
      <w:r w:rsidRPr="0053712C">
        <w:t>i.</w:t>
      </w:r>
      <w:r w:rsidRPr="0053712C">
        <w:tab/>
        <w:t>informacije iz obrasca 47. iz Priloga III. dijela 4. godišnje, ako su ispunjena oba uvjeta iz točke (h) podotočaka i. i ii. ovog stavka. Primjenjuju se ulazni i izlazni kriteriji iz članka 4.”;</w:t>
      </w:r>
    </w:p>
    <w:p w14:paraId="1F2B8B32" w14:textId="77777777" w:rsidR="00D63710" w:rsidRPr="0053712C" w:rsidRDefault="00D63710" w:rsidP="00D63710">
      <w:pPr>
        <w:pStyle w:val="Text1"/>
        <w:ind w:left="567" w:hanging="567"/>
        <w:rPr>
          <w:szCs w:val="24"/>
        </w:rPr>
      </w:pPr>
      <w:r w:rsidRPr="0053712C">
        <w:t>3.</w:t>
      </w:r>
      <w:r w:rsidRPr="0053712C">
        <w:tab/>
        <w:t>u članku 11. stavak 2. mijenja se kako slijedi:</w:t>
      </w:r>
    </w:p>
    <w:p w14:paraId="6487BD60" w14:textId="77777777" w:rsidR="001B445C" w:rsidRPr="0053712C" w:rsidRDefault="00D63710" w:rsidP="007D61B3">
      <w:pPr>
        <w:pStyle w:val="Text1"/>
      </w:pPr>
      <w:r w:rsidRPr="0053712C">
        <w:t>i.</w:t>
      </w:r>
      <w:r w:rsidRPr="0053712C">
        <w:tab/>
        <w:t>točka (c) zamjenjuje se sljedećim:</w:t>
      </w:r>
    </w:p>
    <w:p w14:paraId="4678FF44" w14:textId="77777777" w:rsidR="001B445C" w:rsidRPr="0053712C" w:rsidRDefault="00D63710" w:rsidP="00D63710">
      <w:pPr>
        <w:pStyle w:val="Text1"/>
        <w:ind w:left="1701" w:right="568" w:hanging="567"/>
        <w:rPr>
          <w:szCs w:val="24"/>
        </w:rPr>
      </w:pPr>
      <w:r w:rsidRPr="0053712C">
        <w:t>„(c)</w:t>
      </w:r>
      <w:r w:rsidRPr="0053712C">
        <w:tab/>
        <w:t>informacije iz Priloga IV. dijela 4., osim informacija navedenih u obrascu 47., godišnje;”;</w:t>
      </w:r>
    </w:p>
    <w:p w14:paraId="2AE5A30E" w14:textId="77777777" w:rsidR="001B445C" w:rsidRPr="0053712C" w:rsidRDefault="00D63710" w:rsidP="007D61B3">
      <w:pPr>
        <w:pStyle w:val="Text1"/>
      </w:pPr>
      <w:r w:rsidRPr="0053712C">
        <w:t>ii.</w:t>
      </w:r>
      <w:r w:rsidRPr="0053712C">
        <w:tab/>
        <w:t>dodaju se sljedeće točke (h) i (i):</w:t>
      </w:r>
    </w:p>
    <w:p w14:paraId="46AD1146" w14:textId="77777777" w:rsidR="00D63710" w:rsidRPr="0053712C" w:rsidRDefault="00D63710" w:rsidP="00D63710">
      <w:pPr>
        <w:pStyle w:val="Text1"/>
        <w:ind w:left="1701" w:hanging="567"/>
        <w:rPr>
          <w:szCs w:val="24"/>
        </w:rPr>
      </w:pPr>
      <w:r w:rsidRPr="0053712C">
        <w:t>„(h)</w:t>
      </w:r>
      <w:r w:rsidRPr="0053712C">
        <w:tab/>
        <w:t>informacije iz obrazaca od 23. do 26. u Prilogu IV. dijelu 2. tromjesečno, ako su ispunjeni uvjeti iz članka 9. stavka 2. točke (h) podtočaka i. i ii. Primjenjuju se ulazni i izlazni kriteriji iz članka 4.;</w:t>
      </w:r>
    </w:p>
    <w:p w14:paraId="787C8551" w14:textId="77777777" w:rsidR="001B445C" w:rsidRPr="0053712C" w:rsidRDefault="001B445C" w:rsidP="00D63710">
      <w:pPr>
        <w:pStyle w:val="Text1"/>
        <w:ind w:left="1701" w:hanging="567"/>
        <w:rPr>
          <w:szCs w:val="24"/>
        </w:rPr>
      </w:pPr>
      <w:r w:rsidRPr="0053712C">
        <w:t>i.</w:t>
      </w:r>
      <w:r w:rsidRPr="0053712C">
        <w:tab/>
        <w:t>informacije iz obrasca 47. u Prilogu IV. dijelu 4. godišnje, ako su ispunjeni uvjeti iz članka 9. stavka 2. točke (h) podtočaka i. i ii. Primjenjuju se ulazni i izlazni kriteriji iz članka 4.”;</w:t>
      </w:r>
    </w:p>
    <w:p w14:paraId="5C135AED" w14:textId="77777777" w:rsidR="006A640B" w:rsidRPr="0053712C" w:rsidRDefault="00D63710" w:rsidP="00A278FD">
      <w:r w:rsidRPr="0053712C">
        <w:t>4.</w:t>
      </w:r>
      <w:r w:rsidRPr="0053712C">
        <w:tab/>
        <w:t>Prilog I. Provedbenoj uredbi (EU) br. 680/2014 zamjenjuje se tekstom iz Priloga I. ovoj Uredbi;</w:t>
      </w:r>
    </w:p>
    <w:p w14:paraId="6D942284" w14:textId="77777777" w:rsidR="006A640B" w:rsidRPr="0053712C" w:rsidRDefault="00D63710" w:rsidP="00A278FD">
      <w:r w:rsidRPr="0053712C">
        <w:t>5.</w:t>
      </w:r>
      <w:r w:rsidRPr="0053712C">
        <w:tab/>
        <w:t xml:space="preserve">Prilog II. Provedbenoj uredbi (EU) br. 680/2014 zamjenjuje se tekstom iz Priloga II. ovoj Uredbi; </w:t>
      </w:r>
    </w:p>
    <w:p w14:paraId="66FD1BC9" w14:textId="77777777" w:rsidR="001B445C" w:rsidRPr="0053712C" w:rsidRDefault="00D63710" w:rsidP="00A278FD">
      <w:r w:rsidRPr="0053712C">
        <w:t>6.</w:t>
      </w:r>
      <w:r w:rsidRPr="0053712C">
        <w:tab/>
        <w:t xml:space="preserve">Prilog III. Provedbenoj uredbi (EU) br. 680/2014 zamjenjuje se tekstom iz Priloga III. ovoj Uredbi. </w:t>
      </w:r>
    </w:p>
    <w:p w14:paraId="171FD559" w14:textId="77777777" w:rsidR="001B445C" w:rsidRPr="0053712C" w:rsidRDefault="00D63710" w:rsidP="00A278FD">
      <w:r w:rsidRPr="0053712C">
        <w:t>7.</w:t>
      </w:r>
      <w:r w:rsidRPr="0053712C">
        <w:tab/>
        <w:t xml:space="preserve">Prilog IV. Provedbenoj uredbi (EU) br. 680/2014 zamjenjuje se tekstom iz Priloga IV. ovoj Uredbi. </w:t>
      </w:r>
    </w:p>
    <w:p w14:paraId="3B487D51" w14:textId="77777777" w:rsidR="001B445C" w:rsidRPr="0053712C" w:rsidRDefault="00D63710" w:rsidP="00A278FD">
      <w:r w:rsidRPr="0053712C">
        <w:t>8.</w:t>
      </w:r>
      <w:r w:rsidRPr="0053712C">
        <w:tab/>
        <w:t>Prilog V. Provedbenoj uredbi (EU) br. 680/2014 zamjenjuje se tekstom iz Priloga V. ovoj Uredbi.</w:t>
      </w:r>
    </w:p>
    <w:p w14:paraId="66FC58ED" w14:textId="77777777" w:rsidR="006A640B" w:rsidRPr="0053712C" w:rsidRDefault="00D63710" w:rsidP="00A278FD">
      <w:r w:rsidRPr="0053712C">
        <w:t>9.</w:t>
      </w:r>
      <w:r w:rsidRPr="0053712C">
        <w:tab/>
        <w:t>Prilog XVIII. Provedbenoj uredbi (EU) br. 680/2014 zamjenjuje se tekstom iz Priloga VI. ovoj Uredbi.</w:t>
      </w:r>
    </w:p>
    <w:p w14:paraId="79EC6764" w14:textId="77777777" w:rsidR="006A640B" w:rsidRPr="0053712C" w:rsidRDefault="00D63710" w:rsidP="00A278FD">
      <w:r w:rsidRPr="0053712C">
        <w:t>10.</w:t>
      </w:r>
      <w:r w:rsidRPr="0053712C">
        <w:tab/>
        <w:t xml:space="preserve">Prilog XIX. Provedbenoj uredbi (EU) br. 680/2014 zamjenjuje se tekstom iz Priloga VII. ovoj Uredbi; </w:t>
      </w:r>
    </w:p>
    <w:p w14:paraId="7D476BB9" w14:textId="77777777" w:rsidR="006A640B" w:rsidRPr="0053712C" w:rsidRDefault="00D63710" w:rsidP="00A278FD">
      <w:r w:rsidRPr="0053712C">
        <w:t>11.</w:t>
      </w:r>
      <w:r w:rsidRPr="0053712C">
        <w:tab/>
        <w:t>Prilog XXIV. Provedbenoj uredbi (EU) br. 680/2014 zamjenjuje se tekstom iz Priloga VIII. ovoj Uredbi;</w:t>
      </w:r>
    </w:p>
    <w:p w14:paraId="37FC96E9" w14:textId="77777777" w:rsidR="006A640B" w:rsidRPr="0053712C" w:rsidRDefault="00D63710" w:rsidP="00A278FD">
      <w:r w:rsidRPr="0053712C">
        <w:t>12.</w:t>
      </w:r>
      <w:r w:rsidRPr="0053712C">
        <w:tab/>
        <w:t>Prilog XXV. Provedbenoj uredbi (EU) br. 680/2014 zamjenjuje se tekstom iz Priloga IX. ovoj Uredbi.</w:t>
      </w:r>
    </w:p>
    <w:p w14:paraId="7036487A" w14:textId="77777777" w:rsidR="001B445C" w:rsidRPr="0053712C" w:rsidRDefault="001B445C" w:rsidP="001B445C">
      <w:pPr>
        <w:pStyle w:val="Titrearticle"/>
        <w:keepLines/>
        <w:rPr>
          <w:color w:val="000000"/>
          <w:szCs w:val="24"/>
        </w:rPr>
      </w:pPr>
      <w:r w:rsidRPr="0053712C">
        <w:rPr>
          <w:color w:val="000000"/>
          <w:szCs w:val="24"/>
        </w:rPr>
        <w:t>Članak 2.</w:t>
      </w:r>
    </w:p>
    <w:p w14:paraId="6D87565F" w14:textId="66470D21" w:rsidR="001B445C" w:rsidRPr="0053712C" w:rsidRDefault="001B445C" w:rsidP="001B445C">
      <w:pPr>
        <w:rPr>
          <w:color w:val="000000"/>
          <w:szCs w:val="24"/>
        </w:rPr>
      </w:pPr>
      <w:r w:rsidRPr="0053712C">
        <w:rPr>
          <w:color w:val="000000"/>
          <w:szCs w:val="24"/>
        </w:rPr>
        <w:t xml:space="preserve">Ova Uredba stupa na snagu sljedećeg dana od dana objave u </w:t>
      </w:r>
      <w:r w:rsidRPr="0053712C">
        <w:rPr>
          <w:i/>
          <w:color w:val="000000"/>
          <w:szCs w:val="24"/>
        </w:rPr>
        <w:t>Službenom listu Europske unije</w:t>
      </w:r>
      <w:r w:rsidRPr="0053712C">
        <w:rPr>
          <w:color w:val="000000"/>
          <w:szCs w:val="24"/>
        </w:rPr>
        <w:t>.</w:t>
      </w:r>
    </w:p>
    <w:p w14:paraId="7C0963A2" w14:textId="4ECFA9D7" w:rsidR="000A5E1E" w:rsidRPr="0053712C" w:rsidRDefault="00FB65A6" w:rsidP="000A5E1E">
      <w:pPr>
        <w:rPr>
          <w:color w:val="000000"/>
          <w:szCs w:val="24"/>
        </w:rPr>
      </w:pPr>
      <w:r w:rsidRPr="0053712C">
        <w:rPr>
          <w:color w:val="000000"/>
          <w:szCs w:val="24"/>
        </w:rPr>
        <w:t>Točke 1., 4. i 5. članka 1. primjenjuju se od 30. ožujka 2020.</w:t>
      </w:r>
      <w:r w:rsidRPr="0053712C">
        <w:rPr>
          <w:szCs w:val="24"/>
        </w:rPr>
        <w:t xml:space="preserve"> </w:t>
      </w:r>
      <w:r w:rsidRPr="0053712C">
        <w:t>Točke od 9. do 12.</w:t>
      </w:r>
      <w:r w:rsidRPr="0053712C">
        <w:rPr>
          <w:color w:val="000000"/>
          <w:szCs w:val="24"/>
        </w:rPr>
        <w:t xml:space="preserve"> članka 1. primjenjuju se od</w:t>
      </w:r>
      <w:r w:rsidRPr="0053712C">
        <w:t xml:space="preserve"> 1. travnja 2020. Točke 2. i 3. i točke od 6. do 8. </w:t>
      </w:r>
      <w:r w:rsidRPr="0053712C">
        <w:rPr>
          <w:color w:val="000000"/>
          <w:szCs w:val="24"/>
        </w:rPr>
        <w:t>članka 1. primjenjuju se od 1. lipnja 2020.</w:t>
      </w:r>
    </w:p>
    <w:p w14:paraId="0F403810" w14:textId="77777777" w:rsidR="001B445C" w:rsidRPr="0053712C" w:rsidRDefault="001B445C" w:rsidP="00400058">
      <w:pPr>
        <w:rPr>
          <w:color w:val="000000"/>
          <w:szCs w:val="24"/>
        </w:rPr>
      </w:pPr>
      <w:r w:rsidRPr="0053712C">
        <w:t>Ova je Uredba u cijelosti obvezujuća i izravno se primjenjuje u svim državama članicama.</w:t>
      </w:r>
    </w:p>
    <w:p w14:paraId="2DB37B2E" w14:textId="52CDA20C" w:rsidR="001B445C" w:rsidRPr="0053712C" w:rsidRDefault="0053712C" w:rsidP="0053712C">
      <w:pPr>
        <w:pStyle w:val="Fait"/>
      </w:pPr>
      <w:r w:rsidRPr="0053712C">
        <w:t>Sastavljeno u Bruxellesu</w:t>
      </w:r>
    </w:p>
    <w:p w14:paraId="5989647B" w14:textId="0EF1DAD9" w:rsidR="001B445C" w:rsidRPr="0053712C" w:rsidRDefault="0053712C" w:rsidP="001B445C">
      <w:pPr>
        <w:pStyle w:val="Institutionquisigne"/>
      </w:pPr>
      <w:r>
        <w:tab/>
        <w:t>Za Komisiju</w:t>
      </w:r>
    </w:p>
    <w:p w14:paraId="06E0BB8C" w14:textId="7F367528" w:rsidR="004D5878" w:rsidRPr="0053712C" w:rsidRDefault="00B71BC4" w:rsidP="00A9740D">
      <w:pPr>
        <w:pStyle w:val="Personnequisigne"/>
      </w:pPr>
      <w:r w:rsidRPr="0053712C">
        <w:tab/>
        <w:t>Predsjednica</w:t>
      </w:r>
      <w:r w:rsidRPr="0053712C">
        <w:br/>
      </w:r>
      <w:r w:rsidRPr="0053712C">
        <w:tab/>
        <w:t>Ursula von der Leyen</w:t>
      </w:r>
    </w:p>
    <w:sectPr w:rsidR="004D5878" w:rsidRPr="0053712C" w:rsidSect="00FC72DC">
      <w:footerReference w:type="default" r:id="rId15"/>
      <w:footerReference w:type="first" r:id="rId16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89A566" w14:textId="77777777" w:rsidR="001D2590" w:rsidRDefault="001D2590">
      <w:r>
        <w:separator/>
      </w:r>
    </w:p>
    <w:p w14:paraId="169B0B81" w14:textId="77777777" w:rsidR="001D2590" w:rsidRDefault="001D2590"/>
    <w:p w14:paraId="55151859" w14:textId="77777777" w:rsidR="001D2590" w:rsidRDefault="001D2590"/>
  </w:endnote>
  <w:endnote w:type="continuationSeparator" w:id="0">
    <w:p w14:paraId="1F1B705E" w14:textId="77777777" w:rsidR="001D2590" w:rsidRDefault="001D2590">
      <w:r>
        <w:continuationSeparator/>
      </w:r>
    </w:p>
    <w:p w14:paraId="7AB27653" w14:textId="77777777" w:rsidR="001D2590" w:rsidRDefault="001D2590"/>
    <w:p w14:paraId="2B72467D" w14:textId="77777777" w:rsidR="001D2590" w:rsidRDefault="001D25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D008B" w14:textId="77777777" w:rsidR="00FC72DC" w:rsidRPr="00FC72DC" w:rsidRDefault="00FC72DC" w:rsidP="00FC72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0CF62" w14:textId="41A01926" w:rsidR="002E61FA" w:rsidRPr="00FC72DC" w:rsidRDefault="00FC72DC" w:rsidP="00FC72DC">
    <w:pPr>
      <w:pStyle w:val="Footer"/>
      <w:rPr>
        <w:rFonts w:ascii="Arial" w:hAnsi="Arial" w:cs="Arial"/>
        <w:b/>
        <w:sz w:val="48"/>
      </w:rPr>
    </w:pPr>
    <w:r w:rsidRPr="00FC72DC">
      <w:rPr>
        <w:rFonts w:ascii="Arial" w:hAnsi="Arial" w:cs="Arial"/>
        <w:b/>
        <w:sz w:val="48"/>
      </w:rPr>
      <w:t>HR</w:t>
    </w:r>
    <w:r w:rsidRPr="00FC72DC">
      <w:rPr>
        <w:rFonts w:ascii="Arial" w:hAnsi="Arial" w:cs="Arial"/>
        <w:b/>
        <w:sz w:val="48"/>
      </w:rPr>
      <w:tab/>
    </w:r>
    <w:r w:rsidRPr="00FC72DC">
      <w:rPr>
        <w:rFonts w:ascii="Arial" w:hAnsi="Arial" w:cs="Arial"/>
        <w:b/>
        <w:sz w:val="48"/>
      </w:rPr>
      <w:tab/>
    </w:r>
    <w:r w:rsidRPr="00FC72DC">
      <w:tab/>
    </w:r>
    <w:r w:rsidRPr="00FC72DC">
      <w:rPr>
        <w:rFonts w:ascii="Arial" w:hAnsi="Arial" w:cs="Arial"/>
        <w:b/>
        <w:sz w:val="48"/>
      </w:rPr>
      <w:t>HR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196F68" w14:textId="77777777" w:rsidR="00FC72DC" w:rsidRPr="00FC72DC" w:rsidRDefault="00FC72DC" w:rsidP="00FC72D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3D3D4" w14:textId="4F56377D" w:rsidR="00FC72DC" w:rsidRPr="00FC72DC" w:rsidRDefault="00FC72DC" w:rsidP="00FC72DC">
    <w:pPr>
      <w:pStyle w:val="Footer"/>
      <w:rPr>
        <w:rFonts w:ascii="Arial" w:hAnsi="Arial" w:cs="Arial"/>
        <w:b/>
        <w:sz w:val="48"/>
      </w:rPr>
    </w:pPr>
    <w:r w:rsidRPr="00FC72DC">
      <w:rPr>
        <w:rFonts w:ascii="Arial" w:hAnsi="Arial" w:cs="Arial"/>
        <w:b/>
        <w:sz w:val="48"/>
      </w:rPr>
      <w:t>HR</w:t>
    </w:r>
    <w:r w:rsidRPr="00FC72DC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677F28">
      <w:rPr>
        <w:noProof/>
      </w:rPr>
      <w:t>1</w:t>
    </w:r>
    <w:r>
      <w:fldChar w:fldCharType="end"/>
    </w:r>
    <w:r>
      <w:tab/>
    </w:r>
    <w:r w:rsidRPr="00FC72DC">
      <w:tab/>
    </w:r>
    <w:r w:rsidRPr="00FC72DC">
      <w:rPr>
        <w:rFonts w:ascii="Arial" w:hAnsi="Arial" w:cs="Arial"/>
        <w:b/>
        <w:sz w:val="48"/>
      </w:rPr>
      <w:t>HR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DDED5" w14:textId="77777777" w:rsidR="00FC72DC" w:rsidRPr="00FC72DC" w:rsidRDefault="00FC72DC" w:rsidP="00FC72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8417A" w14:textId="77777777" w:rsidR="001D2590" w:rsidRDefault="001D2590">
      <w:r>
        <w:separator/>
      </w:r>
    </w:p>
    <w:p w14:paraId="5DA4DBEE" w14:textId="77777777" w:rsidR="001D2590" w:rsidRDefault="001D2590"/>
    <w:p w14:paraId="189627FC" w14:textId="77777777" w:rsidR="001D2590" w:rsidRDefault="001D2590"/>
  </w:footnote>
  <w:footnote w:type="continuationSeparator" w:id="0">
    <w:p w14:paraId="3B46B728" w14:textId="77777777" w:rsidR="001D2590" w:rsidRDefault="001D2590">
      <w:r>
        <w:continuationSeparator/>
      </w:r>
    </w:p>
    <w:p w14:paraId="22ED3C12" w14:textId="77777777" w:rsidR="001D2590" w:rsidRDefault="001D2590"/>
    <w:p w14:paraId="02263D68" w14:textId="77777777" w:rsidR="001D2590" w:rsidRDefault="001D2590"/>
  </w:footnote>
  <w:footnote w:id="1">
    <w:p w14:paraId="3904D8AB" w14:textId="22916591" w:rsidR="00363BA4" w:rsidRPr="00363BA4" w:rsidRDefault="00363BA4">
      <w:pPr>
        <w:pStyle w:val="FootnoteText"/>
      </w:pPr>
      <w:r>
        <w:rPr>
          <w:rStyle w:val="FootnoteReference"/>
        </w:rPr>
        <w:footnoteRef/>
      </w:r>
      <w:r>
        <w:tab/>
        <w:t>SL L 176, 27.6.2013., str. 1.</w:t>
      </w:r>
    </w:p>
  </w:footnote>
  <w:footnote w:id="2">
    <w:p w14:paraId="52F74E0C" w14:textId="72E7A7A0" w:rsidR="00363BA4" w:rsidRPr="00363BA4" w:rsidRDefault="00363BA4">
      <w:pPr>
        <w:pStyle w:val="FootnoteText"/>
      </w:pPr>
      <w:r>
        <w:rPr>
          <w:rStyle w:val="FootnoteReference"/>
        </w:rPr>
        <w:footnoteRef/>
      </w:r>
      <w:r>
        <w:tab/>
        <w:t>Provedbena uredba Komisije (EU) br. 680/2014 o utvrđivanju provedbenih tehničkih standarda o nadzornom izvješćivanju institucija u skladu s Uredbom (EU) br. 575/2013 (SL L 191, 28.6.2014., str. 1.).</w:t>
      </w:r>
    </w:p>
  </w:footnote>
  <w:footnote w:id="3">
    <w:p w14:paraId="061DE31E" w14:textId="2680ACA0" w:rsidR="00363BA4" w:rsidRPr="00363BA4" w:rsidRDefault="00363BA4">
      <w:pPr>
        <w:pStyle w:val="FootnoteText"/>
      </w:pPr>
      <w:r>
        <w:rPr>
          <w:rStyle w:val="FootnoteReference"/>
        </w:rPr>
        <w:footnoteRef/>
      </w:r>
      <w:r>
        <w:tab/>
      </w:r>
      <w:r>
        <w:rPr>
          <w:color w:val="444444"/>
          <w:sz w:val="21"/>
          <w:szCs w:val="21"/>
        </w:rPr>
        <w:t>Uredba (EU) 2017/2402 Europskog parlamenta i Vijeća od 12. prosinca 2017. o utvrđivanju općeg okvira za sekuritizaciju i o uspostavi specifičnog okvira za jednostavnu, transparentnu i standardiziranu sekuritizaciju te o izmjeni direktiva 2009/65/EZ, 2009/138/EZ i 2011/61/EU te uredaba (EZ) br. 1060/2009 i (EU) br. 648/2012 (</w:t>
      </w:r>
      <w:r>
        <w:rPr>
          <w:rStyle w:val="Emphasis"/>
          <w:i w:val="0"/>
          <w:color w:val="444444"/>
          <w:sz w:val="21"/>
          <w:szCs w:val="21"/>
        </w:rPr>
        <w:t>SL L 347, 28.12.2017., str. 35.).</w:t>
      </w:r>
    </w:p>
  </w:footnote>
  <w:footnote w:id="4">
    <w:p w14:paraId="2FE98FB0" w14:textId="61F4F1DB" w:rsidR="00363BA4" w:rsidRPr="00363BA4" w:rsidRDefault="00363BA4">
      <w:pPr>
        <w:pStyle w:val="FootnoteText"/>
      </w:pPr>
      <w:r>
        <w:rPr>
          <w:rStyle w:val="FootnoteReference"/>
        </w:rPr>
        <w:footnoteRef/>
      </w:r>
      <w:r>
        <w:tab/>
        <w:t>Uredba Komisije (EZ) br. 1126/2008 od 3. studenoga 2008. o usvajanju određenih međunarodnih računovodstvenih standarda u skladu s Uredbom (EZ) br. 1606/2002 Europskog parlamenta i Vijeća (SL L 320, 29.11.2008., str. 1.).</w:t>
      </w:r>
    </w:p>
  </w:footnote>
  <w:footnote w:id="5">
    <w:p w14:paraId="7F61ACCF" w14:textId="77777777" w:rsidR="00D913C8" w:rsidRPr="00502C75" w:rsidRDefault="00D913C8" w:rsidP="00D913C8">
      <w:pPr>
        <w:pStyle w:val="FootnoteText"/>
      </w:pPr>
      <w:r>
        <w:rPr>
          <w:rStyle w:val="FootnoteReference"/>
        </w:rPr>
        <w:footnoteRef/>
      </w:r>
      <w:r>
        <w:tab/>
        <w:t>Uredba Komisije (EU) 2017/1986 оd 31. listopada 2017. o izmjeni Uredbe (EZ) br. 1126/2008 o usvajanju određenih međunarodnih računovodstvenih standarda u skladu s Uredbom (EZ) br. 1606/2002 Europskog parlamenta i Vijeća u pogledu Međunarodnog standarda financijskog izvještavanja 16 (SL L 291, 9.11.2017., str. 1.).</w:t>
      </w:r>
    </w:p>
  </w:footnote>
  <w:footnote w:id="6">
    <w:p w14:paraId="612F860C" w14:textId="77777777" w:rsidR="00952426" w:rsidRPr="00502C75" w:rsidRDefault="00952426">
      <w:pPr>
        <w:pStyle w:val="FootnoteText"/>
      </w:pPr>
      <w:r>
        <w:rPr>
          <w:rStyle w:val="FootnoteReference"/>
        </w:rPr>
        <w:footnoteRef/>
      </w:r>
      <w:r>
        <w:tab/>
        <w:t>Delegirana uredba Komisije (EU) 2015/61 оd 10. listopada 2014. o dopuni Uredbe (EU) br. 575/2013 Europskog parlamenta i Vijeća u pogledu zahtjeva za likvidnosnu pokrivenost kreditnih institucija (SL L 11, 17.1.2015., str. 1.).</w:t>
      </w:r>
    </w:p>
  </w:footnote>
  <w:footnote w:id="7">
    <w:p w14:paraId="77365625" w14:textId="77777777" w:rsidR="00952426" w:rsidRPr="00D63710" w:rsidRDefault="00952426">
      <w:pPr>
        <w:pStyle w:val="FootnoteText"/>
      </w:pPr>
      <w:r>
        <w:rPr>
          <w:rStyle w:val="FootnoteReference"/>
        </w:rPr>
        <w:footnoteRef/>
      </w:r>
      <w:r>
        <w:tab/>
        <w:t>Delegirana uredba Komisije (EU) 2018/1620 оd 13. srpnja 2018. o izmjeni Delegirane uredbe (EU) 2015/61 o dopuni Uredbe (EU) br. 575/2013 Europskog parlamenta i Vijeća u pogledu zahtjeva za likvidnosnu pokrivenost kreditnih institucija (SL L 271, 30.10.2018., str. 10.)</w:t>
      </w:r>
      <w:r>
        <w:rPr>
          <w:i/>
          <w:iCs/>
        </w:rPr>
        <w:t>.</w:t>
      </w:r>
    </w:p>
  </w:footnote>
  <w:footnote w:id="8">
    <w:p w14:paraId="7A93B6D5" w14:textId="0FB38ACE" w:rsidR="001B445C" w:rsidRPr="001B0514" w:rsidRDefault="001B445C" w:rsidP="001B445C">
      <w:pPr>
        <w:pStyle w:val="FootnoteText"/>
      </w:pPr>
      <w:r>
        <w:rPr>
          <w:rStyle w:val="FootnoteReference"/>
        </w:rPr>
        <w:footnoteRef/>
      </w:r>
      <w:r>
        <w:tab/>
        <w:t>Uredba (EU) br. 1093/2010 Europskog parlamenta i Vijeća od 24. studenoga 2010. o osnivanju europskog nadzornog tijela (Europskog nadzornog tijela za bankarstvo), kojom se izmjenjuje Odluka br. 716/2009/EZ i stavlja izvan snage Odluka Komisije 2009/78/EZ (SL L 331, 15.12.2010., str. 12.).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FFE8A" w14:textId="77777777" w:rsidR="00FC72DC" w:rsidRPr="00FC72DC" w:rsidRDefault="00FC72DC" w:rsidP="00FC72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020D3" w14:textId="77777777" w:rsidR="00FC72DC" w:rsidRPr="00FC72DC" w:rsidRDefault="00FC72DC" w:rsidP="00FC72D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158D0" w14:textId="77777777" w:rsidR="00FC72DC" w:rsidRPr="00FC72DC" w:rsidRDefault="00FC72DC" w:rsidP="00FC72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4CB058C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F0EC3E1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 w15:restartNumberingAfterBreak="0">
    <w:nsid w:val="FFFFFF7F"/>
    <w:multiLevelType w:val="singleLevel"/>
    <w:tmpl w:val="47143E7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FE48CAD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767E1FC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F704052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FA427F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9D96031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5"/>
  </w:num>
  <w:num w:numId="10">
    <w:abstractNumId w:val="22"/>
    <w:lvlOverride w:ilvl="0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2"/>
  </w:num>
  <w:num w:numId="14">
    <w:abstractNumId w:val="21"/>
  </w:num>
  <w:num w:numId="15">
    <w:abstractNumId w:val="11"/>
  </w:num>
  <w:num w:numId="16">
    <w:abstractNumId w:val="13"/>
  </w:num>
  <w:num w:numId="17">
    <w:abstractNumId w:val="9"/>
  </w:num>
  <w:num w:numId="18">
    <w:abstractNumId w:val="20"/>
  </w:num>
  <w:num w:numId="19">
    <w:abstractNumId w:val="8"/>
  </w:num>
  <w:num w:numId="20">
    <w:abstractNumId w:val="14"/>
  </w:num>
  <w:num w:numId="21">
    <w:abstractNumId w:val="17"/>
  </w:num>
  <w:num w:numId="22">
    <w:abstractNumId w:val="18"/>
  </w:num>
  <w:num w:numId="23">
    <w:abstractNumId w:val="10"/>
  </w:num>
  <w:num w:numId="24">
    <w:abstractNumId w:val="16"/>
  </w:num>
  <w:num w:numId="25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nsidérant" w:val="Considérant__1"/>
    <w:docVar w:name="DQCDateTime" w:val="2020-01-23 13:46:03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13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0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9A56C87F-7F1D-4682-9515-54710AF05782"/>
    <w:docVar w:name="LW_COVERPAGE_TYPE" w:val="1"/>
    <w:docVar w:name="LW_CROSSREFERENCE" w:val="&lt;UNUSED&gt;"/>
    <w:docVar w:name="LW_DATE.ADOPT.CP" w:val="\u1086?d XXX"/>
    <w:docVar w:name="LW_DATE.ADOPT.CP_DATEFORMAT" w:val="\u1086?d %DATE%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xelles, "/>
    <w:docVar w:name="LW_EMISSION_SUFFIX" w:val=" "/>
    <w:docVar w:name="LW_ID_DOCMODEL" w:val="a08"/>
    <w:docVar w:name="LW_ID_DOCSIGNATURE" w:val="SJ-004"/>
    <w:docVar w:name="LW_ID_DOCSTRUCTURE" w:val="COM/AA"/>
    <w:docVar w:name="LW_ID_DOCTYPE" w:val="SJ-004"/>
    <w:docVar w:name="LW_INTERETEEE.CP" w:val="(Tekst zna\u269?ajan za EGP)"/>
    <w:docVar w:name="LW_LANGUE" w:val="HR"/>
    <w:docVar w:name="LW_LANGUESFAISANTFOI.CP" w:val="&lt;UNUSED&gt;"/>
    <w:docVar w:name="LW_LEVEL_OF_SENSITIVITY" w:val="Standard treatment"/>
    <w:docVar w:name="LW_NOM.INST" w:val="EUROPSKA KOMISIJA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19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OUS.TITRE.OBJ.CP" w:val="&lt;UNUSED&gt;"/>
    <w:docVar w:name="LW_SUPERTITRE" w:val="&lt;UNUSED&gt;"/>
    <w:docVar w:name="LW_TITRE.OBJ.CP" w:val="o izmjeni Provedbene uredbe (EU) br. 680/2014 o utvr\u273?ivanju provedbenih tehni\u269?kih standarda o nadzornom izvje\u353?\u263?ivanju institucija u skladu s Uredbom (EU) br. 575/2013 Europskog parlamenta i Vije\u263?a"/>
    <w:docVar w:name="LW_TITRE.OBJ.CP_PREVIOUS" w:val="&lt;UNUSED&gt;"/>
    <w:docVar w:name="LW_TYPE.DOC.CP" w:val="PROVEDBENA UREDBA KOMISIJE (EU) \u8230?/..."/>
  </w:docVars>
  <w:rsids>
    <w:rsidRoot w:val="001B445C"/>
    <w:rsid w:val="00010013"/>
    <w:rsid w:val="00015FE7"/>
    <w:rsid w:val="00033C74"/>
    <w:rsid w:val="00043094"/>
    <w:rsid w:val="0005623D"/>
    <w:rsid w:val="000669A6"/>
    <w:rsid w:val="00080669"/>
    <w:rsid w:val="000827FE"/>
    <w:rsid w:val="000A4D5B"/>
    <w:rsid w:val="000A5E1E"/>
    <w:rsid w:val="000A720B"/>
    <w:rsid w:val="000B410C"/>
    <w:rsid w:val="000B5C54"/>
    <w:rsid w:val="000B73C7"/>
    <w:rsid w:val="000C750A"/>
    <w:rsid w:val="000D34D3"/>
    <w:rsid w:val="000E135F"/>
    <w:rsid w:val="001009F5"/>
    <w:rsid w:val="00100F75"/>
    <w:rsid w:val="00103E88"/>
    <w:rsid w:val="00121213"/>
    <w:rsid w:val="001440F6"/>
    <w:rsid w:val="00157C31"/>
    <w:rsid w:val="0016544F"/>
    <w:rsid w:val="00165F11"/>
    <w:rsid w:val="00187535"/>
    <w:rsid w:val="00190013"/>
    <w:rsid w:val="00195CE1"/>
    <w:rsid w:val="001B41CA"/>
    <w:rsid w:val="001B42E7"/>
    <w:rsid w:val="001B445C"/>
    <w:rsid w:val="001C5A09"/>
    <w:rsid w:val="001D1851"/>
    <w:rsid w:val="001D1EAD"/>
    <w:rsid w:val="001D2590"/>
    <w:rsid w:val="00210995"/>
    <w:rsid w:val="00210D88"/>
    <w:rsid w:val="00214D98"/>
    <w:rsid w:val="00234A29"/>
    <w:rsid w:val="002452B8"/>
    <w:rsid w:val="00261239"/>
    <w:rsid w:val="00294A2C"/>
    <w:rsid w:val="002A096A"/>
    <w:rsid w:val="002A3D06"/>
    <w:rsid w:val="002B7D73"/>
    <w:rsid w:val="002C0116"/>
    <w:rsid w:val="002D1D89"/>
    <w:rsid w:val="002E61FA"/>
    <w:rsid w:val="002F2FBF"/>
    <w:rsid w:val="003228A8"/>
    <w:rsid w:val="00323D7B"/>
    <w:rsid w:val="00331D51"/>
    <w:rsid w:val="00346B8D"/>
    <w:rsid w:val="003516C5"/>
    <w:rsid w:val="00354C41"/>
    <w:rsid w:val="00363BA4"/>
    <w:rsid w:val="003A7F9A"/>
    <w:rsid w:val="003C12AA"/>
    <w:rsid w:val="003C3A5D"/>
    <w:rsid w:val="003E0C68"/>
    <w:rsid w:val="003E4578"/>
    <w:rsid w:val="003F04FB"/>
    <w:rsid w:val="003F5F3F"/>
    <w:rsid w:val="00400058"/>
    <w:rsid w:val="00422F73"/>
    <w:rsid w:val="0044493F"/>
    <w:rsid w:val="00452D9B"/>
    <w:rsid w:val="00453AF5"/>
    <w:rsid w:val="00460A10"/>
    <w:rsid w:val="004641C1"/>
    <w:rsid w:val="0048748F"/>
    <w:rsid w:val="00492479"/>
    <w:rsid w:val="00493D25"/>
    <w:rsid w:val="0049676D"/>
    <w:rsid w:val="00497A2C"/>
    <w:rsid w:val="00497A86"/>
    <w:rsid w:val="004A3CA0"/>
    <w:rsid w:val="004A3CB1"/>
    <w:rsid w:val="004C0193"/>
    <w:rsid w:val="004D5878"/>
    <w:rsid w:val="004E2457"/>
    <w:rsid w:val="004E25E3"/>
    <w:rsid w:val="004E4C15"/>
    <w:rsid w:val="004F23A9"/>
    <w:rsid w:val="00502C75"/>
    <w:rsid w:val="00506FC2"/>
    <w:rsid w:val="0053712C"/>
    <w:rsid w:val="00537CE5"/>
    <w:rsid w:val="005469C5"/>
    <w:rsid w:val="00553296"/>
    <w:rsid w:val="00576704"/>
    <w:rsid w:val="0059701E"/>
    <w:rsid w:val="005A01CC"/>
    <w:rsid w:val="005A4EAC"/>
    <w:rsid w:val="005B3C3F"/>
    <w:rsid w:val="005C370C"/>
    <w:rsid w:val="005D40FA"/>
    <w:rsid w:val="005F7896"/>
    <w:rsid w:val="00647B5C"/>
    <w:rsid w:val="0066767D"/>
    <w:rsid w:val="00677F28"/>
    <w:rsid w:val="00686B50"/>
    <w:rsid w:val="006967B3"/>
    <w:rsid w:val="006A1323"/>
    <w:rsid w:val="006A640B"/>
    <w:rsid w:val="006B4E20"/>
    <w:rsid w:val="006E63CD"/>
    <w:rsid w:val="006E678D"/>
    <w:rsid w:val="006F34B3"/>
    <w:rsid w:val="00704E75"/>
    <w:rsid w:val="007067B7"/>
    <w:rsid w:val="0071620D"/>
    <w:rsid w:val="007369E1"/>
    <w:rsid w:val="0075391A"/>
    <w:rsid w:val="00753980"/>
    <w:rsid w:val="007545A4"/>
    <w:rsid w:val="0075661F"/>
    <w:rsid w:val="00770919"/>
    <w:rsid w:val="00775BB6"/>
    <w:rsid w:val="00776BBC"/>
    <w:rsid w:val="00784F6B"/>
    <w:rsid w:val="00785FB6"/>
    <w:rsid w:val="00790003"/>
    <w:rsid w:val="007B790A"/>
    <w:rsid w:val="007D61B3"/>
    <w:rsid w:val="007D7890"/>
    <w:rsid w:val="00814E96"/>
    <w:rsid w:val="0084057B"/>
    <w:rsid w:val="00844802"/>
    <w:rsid w:val="00854910"/>
    <w:rsid w:val="00855514"/>
    <w:rsid w:val="00867FE3"/>
    <w:rsid w:val="00897E21"/>
    <w:rsid w:val="008A0AA6"/>
    <w:rsid w:val="008A2478"/>
    <w:rsid w:val="008C22A3"/>
    <w:rsid w:val="008C48FA"/>
    <w:rsid w:val="008D09B7"/>
    <w:rsid w:val="008E268A"/>
    <w:rsid w:val="008E50CD"/>
    <w:rsid w:val="008F4EA5"/>
    <w:rsid w:val="00921359"/>
    <w:rsid w:val="0092431C"/>
    <w:rsid w:val="0092507A"/>
    <w:rsid w:val="00931F34"/>
    <w:rsid w:val="00940F1C"/>
    <w:rsid w:val="00945DFA"/>
    <w:rsid w:val="00946C0A"/>
    <w:rsid w:val="00952426"/>
    <w:rsid w:val="00955D63"/>
    <w:rsid w:val="009666AA"/>
    <w:rsid w:val="00983B03"/>
    <w:rsid w:val="00986B22"/>
    <w:rsid w:val="0099441B"/>
    <w:rsid w:val="009A64F9"/>
    <w:rsid w:val="009C0180"/>
    <w:rsid w:val="009C090E"/>
    <w:rsid w:val="009D448E"/>
    <w:rsid w:val="00A01488"/>
    <w:rsid w:val="00A24919"/>
    <w:rsid w:val="00A278FD"/>
    <w:rsid w:val="00A62DAE"/>
    <w:rsid w:val="00A66F54"/>
    <w:rsid w:val="00A826D6"/>
    <w:rsid w:val="00A8593B"/>
    <w:rsid w:val="00A9740D"/>
    <w:rsid w:val="00A97566"/>
    <w:rsid w:val="00AA63F1"/>
    <w:rsid w:val="00AB21FF"/>
    <w:rsid w:val="00AB5724"/>
    <w:rsid w:val="00AE05F8"/>
    <w:rsid w:val="00AF3BF4"/>
    <w:rsid w:val="00B05D4E"/>
    <w:rsid w:val="00B14FCE"/>
    <w:rsid w:val="00B15EFC"/>
    <w:rsid w:val="00B26FCE"/>
    <w:rsid w:val="00B31B60"/>
    <w:rsid w:val="00B33376"/>
    <w:rsid w:val="00B467F6"/>
    <w:rsid w:val="00B64C30"/>
    <w:rsid w:val="00B71BC4"/>
    <w:rsid w:val="00B738F6"/>
    <w:rsid w:val="00B971E9"/>
    <w:rsid w:val="00BB3F65"/>
    <w:rsid w:val="00BB40FC"/>
    <w:rsid w:val="00BB5DB5"/>
    <w:rsid w:val="00BC373E"/>
    <w:rsid w:val="00BC6787"/>
    <w:rsid w:val="00BD2641"/>
    <w:rsid w:val="00BF3434"/>
    <w:rsid w:val="00BF7E71"/>
    <w:rsid w:val="00C039DD"/>
    <w:rsid w:val="00C52F81"/>
    <w:rsid w:val="00C63439"/>
    <w:rsid w:val="00C6522F"/>
    <w:rsid w:val="00C71E1B"/>
    <w:rsid w:val="00C83DEA"/>
    <w:rsid w:val="00C9032D"/>
    <w:rsid w:val="00CB0AF7"/>
    <w:rsid w:val="00CB1A3C"/>
    <w:rsid w:val="00CB4276"/>
    <w:rsid w:val="00CC6F30"/>
    <w:rsid w:val="00CC7AB4"/>
    <w:rsid w:val="00CE4A57"/>
    <w:rsid w:val="00CE7CAD"/>
    <w:rsid w:val="00D2769A"/>
    <w:rsid w:val="00D314A9"/>
    <w:rsid w:val="00D34C13"/>
    <w:rsid w:val="00D50BB7"/>
    <w:rsid w:val="00D55B25"/>
    <w:rsid w:val="00D63710"/>
    <w:rsid w:val="00D639C9"/>
    <w:rsid w:val="00D74E3F"/>
    <w:rsid w:val="00D845A9"/>
    <w:rsid w:val="00D913C8"/>
    <w:rsid w:val="00D964B3"/>
    <w:rsid w:val="00DC033D"/>
    <w:rsid w:val="00DC3927"/>
    <w:rsid w:val="00DF4957"/>
    <w:rsid w:val="00E013AC"/>
    <w:rsid w:val="00E205D3"/>
    <w:rsid w:val="00E45AE0"/>
    <w:rsid w:val="00E52742"/>
    <w:rsid w:val="00E5584F"/>
    <w:rsid w:val="00E5700E"/>
    <w:rsid w:val="00E75423"/>
    <w:rsid w:val="00E871DE"/>
    <w:rsid w:val="00E91FF6"/>
    <w:rsid w:val="00E959F9"/>
    <w:rsid w:val="00E96626"/>
    <w:rsid w:val="00EA458D"/>
    <w:rsid w:val="00EA64E6"/>
    <w:rsid w:val="00EE58F1"/>
    <w:rsid w:val="00EF0828"/>
    <w:rsid w:val="00F32FFE"/>
    <w:rsid w:val="00F45D68"/>
    <w:rsid w:val="00F62F54"/>
    <w:rsid w:val="00F65DE7"/>
    <w:rsid w:val="00F82716"/>
    <w:rsid w:val="00F84FD0"/>
    <w:rsid w:val="00F95996"/>
    <w:rsid w:val="00FA2E13"/>
    <w:rsid w:val="00FB65A6"/>
    <w:rsid w:val="00FC4C41"/>
    <w:rsid w:val="00FC61EB"/>
    <w:rsid w:val="00FC72DC"/>
    <w:rsid w:val="00FE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oNotEmbedSmartTags/>
  <w:decimalSymbol w:val="."/>
  <w:listSeparator w:val=","/>
  <w14:docId w14:val="72D15A25"/>
  <w15:docId w15:val="{26C75A3A-333D-4F45-9580-78994C66C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hr-HR"/>
    </w:rPr>
  </w:style>
  <w:style w:type="paragraph" w:styleId="Heading1">
    <w:name w:val="heading 1"/>
    <w:basedOn w:val="Normal"/>
    <w:next w:val="Text1"/>
    <w:link w:val="Heading1Char"/>
    <w:uiPriority w:val="9"/>
    <w:qFormat/>
    <w:rsid w:val="009B7138"/>
    <w:pPr>
      <w:keepNext/>
      <w:numPr>
        <w:numId w:val="18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9B7138"/>
    <w:pPr>
      <w:keepNext/>
      <w:numPr>
        <w:ilvl w:val="1"/>
        <w:numId w:val="18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9B7138"/>
    <w:pPr>
      <w:keepNext/>
      <w:numPr>
        <w:ilvl w:val="2"/>
        <w:numId w:val="18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9B7138"/>
    <w:pPr>
      <w:keepNext/>
      <w:numPr>
        <w:ilvl w:val="3"/>
        <w:numId w:val="18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rsid w:val="004D5878"/>
    <w:rPr>
      <w:sz w:val="16"/>
    </w:rPr>
  </w:style>
  <w:style w:type="paragraph" w:styleId="CommentText">
    <w:name w:val="annotation text"/>
    <w:basedOn w:val="Normal"/>
    <w:rsid w:val="004D5878"/>
    <w:pPr>
      <w:spacing w:before="0" w:after="240"/>
      <w:jc w:val="left"/>
    </w:pPr>
    <w:rPr>
      <w:rFonts w:ascii="Arial" w:hAnsi="Arial"/>
      <w:sz w:val="20"/>
      <w:szCs w:val="20"/>
    </w:rPr>
  </w:style>
  <w:style w:type="paragraph" w:styleId="ListBullet">
    <w:name w:val="List Bullet"/>
    <w:basedOn w:val="Normal"/>
    <w:uiPriority w:val="99"/>
    <w:qFormat/>
    <w:rsid w:val="000D34D3"/>
    <w:pPr>
      <w:numPr>
        <w:numId w:val="1"/>
      </w:numPr>
    </w:pPr>
  </w:style>
  <w:style w:type="paragraph" w:styleId="ListBullet2">
    <w:name w:val="List Bullet 2"/>
    <w:basedOn w:val="Normal"/>
    <w:rsid w:val="000D34D3"/>
    <w:pPr>
      <w:numPr>
        <w:numId w:val="2"/>
      </w:numPr>
    </w:pPr>
  </w:style>
  <w:style w:type="paragraph" w:styleId="ListBullet3">
    <w:name w:val="List Bullet 3"/>
    <w:basedOn w:val="Normal"/>
    <w:rsid w:val="000D34D3"/>
    <w:pPr>
      <w:numPr>
        <w:numId w:val="3"/>
      </w:numPr>
    </w:pPr>
  </w:style>
  <w:style w:type="paragraph" w:styleId="ListBullet4">
    <w:name w:val="List Bullet 4"/>
    <w:basedOn w:val="Normal"/>
    <w:rsid w:val="000D34D3"/>
    <w:pPr>
      <w:numPr>
        <w:numId w:val="4"/>
      </w:numPr>
    </w:pPr>
  </w:style>
  <w:style w:type="paragraph" w:styleId="ListNumber3">
    <w:name w:val="List Number 3"/>
    <w:basedOn w:val="Normal"/>
    <w:rsid w:val="000D34D3"/>
    <w:pPr>
      <w:numPr>
        <w:numId w:val="5"/>
      </w:numPr>
    </w:pPr>
  </w:style>
  <w:style w:type="paragraph" w:styleId="CommentSubject">
    <w:name w:val="annotation subject"/>
    <w:basedOn w:val="CommentText"/>
    <w:next w:val="CommentText"/>
    <w:rsid w:val="004641C1"/>
    <w:pPr>
      <w:spacing w:before="120" w:after="120"/>
      <w:jc w:val="both"/>
    </w:pPr>
    <w:rPr>
      <w:rFonts w:ascii="Times New Roman" w:hAnsi="Times New Roman"/>
      <w:b/>
      <w:bCs/>
    </w:rPr>
  </w:style>
  <w:style w:type="paragraph" w:styleId="Caption">
    <w:name w:val="caption"/>
    <w:basedOn w:val="Normal"/>
    <w:next w:val="Normal"/>
    <w:qFormat/>
    <w:rsid w:val="006E63CD"/>
    <w:rPr>
      <w:b/>
      <w:bCs/>
      <w:sz w:val="20"/>
      <w:szCs w:val="20"/>
    </w:rPr>
  </w:style>
  <w:style w:type="paragraph" w:styleId="TableofFigures">
    <w:name w:val="table of figures"/>
    <w:basedOn w:val="Normal"/>
    <w:next w:val="Normal"/>
    <w:semiHidden/>
    <w:rsid w:val="006E63CD"/>
  </w:style>
  <w:style w:type="paragraph" w:styleId="ListNumber">
    <w:name w:val="List Number"/>
    <w:basedOn w:val="Normal"/>
    <w:rsid w:val="006E63CD"/>
    <w:pPr>
      <w:numPr>
        <w:numId w:val="6"/>
      </w:numPr>
    </w:pPr>
  </w:style>
  <w:style w:type="paragraph" w:styleId="ListNumber2">
    <w:name w:val="List Number 2"/>
    <w:basedOn w:val="Normal"/>
    <w:rsid w:val="006E63CD"/>
    <w:pPr>
      <w:numPr>
        <w:numId w:val="7"/>
      </w:numPr>
    </w:pPr>
  </w:style>
  <w:style w:type="paragraph" w:styleId="ListNumber4">
    <w:name w:val="List Number 4"/>
    <w:basedOn w:val="Normal"/>
    <w:rsid w:val="006E63CD"/>
    <w:pPr>
      <w:numPr>
        <w:numId w:val="8"/>
      </w:numPr>
    </w:pPr>
  </w:style>
  <w:style w:type="character" w:styleId="Hyperlink">
    <w:name w:val="Hyperlink"/>
    <w:basedOn w:val="DefaultParagraphFont"/>
    <w:rsid w:val="006E63CD"/>
    <w:rPr>
      <w:color w:val="0000FF"/>
      <w:u w:val="single"/>
    </w:rPr>
  </w:style>
  <w:style w:type="paragraph" w:customStyle="1" w:styleId="numberedparagraph">
    <w:name w:val="numbered paragraph"/>
    <w:basedOn w:val="Normal"/>
    <w:qFormat/>
    <w:rsid w:val="001B445C"/>
    <w:pPr>
      <w:numPr>
        <w:numId w:val="9"/>
      </w:numPr>
      <w:spacing w:before="240" w:line="276" w:lineRule="auto"/>
    </w:pPr>
    <w:rPr>
      <w:rFonts w:asciiTheme="minorHAnsi" w:eastAsiaTheme="minorEastAsia" w:hAnsiTheme="minorHAnsi" w:cstheme="minorBidi"/>
      <w:sz w:val="22"/>
    </w:rPr>
  </w:style>
  <w:style w:type="paragraph" w:styleId="ListParagraph">
    <w:name w:val="List Paragraph"/>
    <w:basedOn w:val="Normal"/>
    <w:link w:val="ListParagraphChar"/>
    <w:uiPriority w:val="34"/>
    <w:qFormat/>
    <w:rsid w:val="006A640B"/>
    <w:pPr>
      <w:spacing w:before="0" w:after="0"/>
      <w:ind w:left="720"/>
      <w:jc w:val="left"/>
    </w:pPr>
    <w:rPr>
      <w:rFonts w:ascii="Calibri" w:eastAsia="Calibri" w:hAnsi="Calibri"/>
      <w:sz w:val="22"/>
    </w:rPr>
  </w:style>
  <w:style w:type="character" w:customStyle="1" w:styleId="ListParagraphChar">
    <w:name w:val="List Paragraph Char"/>
    <w:link w:val="ListParagraph"/>
    <w:uiPriority w:val="34"/>
    <w:locked/>
    <w:rsid w:val="006A640B"/>
    <w:rPr>
      <w:rFonts w:ascii="Calibri" w:eastAsia="Calibri" w:hAnsi="Calibri"/>
      <w:sz w:val="22"/>
      <w:szCs w:val="22"/>
      <w:lang w:eastAsia="en-US"/>
    </w:r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styleId="BalloonText">
    <w:name w:val="Balloon Text"/>
    <w:basedOn w:val="Normal"/>
    <w:link w:val="BalloonTextChar"/>
    <w:uiPriority w:val="99"/>
    <w:semiHidden/>
    <w:unhideWhenUsed/>
    <w:rsid w:val="003415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5BD"/>
    <w:rPr>
      <w:rFonts w:ascii="Tahoma" w:hAnsi="Tahoma" w:cs="Tahoma"/>
      <w:sz w:val="16"/>
      <w:szCs w:val="16"/>
      <w:lang w:val="hr-HR"/>
    </w:rPr>
  </w:style>
  <w:style w:type="paragraph" w:styleId="NormalWeb">
    <w:name w:val="Normal (Web)"/>
    <w:basedOn w:val="Normal"/>
    <w:uiPriority w:val="99"/>
    <w:unhideWhenUsed/>
    <w:rsid w:val="006A132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6A1323"/>
    <w:rPr>
      <w:i/>
      <w:iCs/>
    </w:rPr>
  </w:style>
  <w:style w:type="paragraph" w:styleId="Revision">
    <w:name w:val="Revision"/>
    <w:hidden/>
    <w:uiPriority w:val="99"/>
    <w:semiHidden/>
    <w:rsid w:val="003F04FB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9B713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9B713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713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713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B7138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138"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138"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138"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9B713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9B713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9B713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9B713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9B713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B7138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9B7138"/>
    <w:pPr>
      <w:ind w:left="850"/>
    </w:pPr>
  </w:style>
  <w:style w:type="paragraph" w:customStyle="1" w:styleId="Text2">
    <w:name w:val="Text 2"/>
    <w:basedOn w:val="Normal"/>
    <w:rsid w:val="009B7138"/>
    <w:pPr>
      <w:ind w:left="1417"/>
    </w:pPr>
  </w:style>
  <w:style w:type="paragraph" w:customStyle="1" w:styleId="Text3">
    <w:name w:val="Text 3"/>
    <w:basedOn w:val="Normal"/>
    <w:rsid w:val="009B7138"/>
    <w:pPr>
      <w:ind w:left="1984"/>
    </w:pPr>
  </w:style>
  <w:style w:type="paragraph" w:customStyle="1" w:styleId="Text4">
    <w:name w:val="Text 4"/>
    <w:basedOn w:val="Normal"/>
    <w:rsid w:val="009B7138"/>
    <w:pPr>
      <w:ind w:left="2551"/>
    </w:pPr>
  </w:style>
  <w:style w:type="paragraph" w:customStyle="1" w:styleId="NormalCentered">
    <w:name w:val="Normal Centered"/>
    <w:basedOn w:val="Normal"/>
    <w:rsid w:val="009B7138"/>
    <w:pPr>
      <w:jc w:val="center"/>
    </w:pPr>
  </w:style>
  <w:style w:type="paragraph" w:customStyle="1" w:styleId="NormalLeft">
    <w:name w:val="Normal Left"/>
    <w:basedOn w:val="Normal"/>
    <w:rsid w:val="009B7138"/>
    <w:pPr>
      <w:jc w:val="left"/>
    </w:pPr>
  </w:style>
  <w:style w:type="paragraph" w:customStyle="1" w:styleId="NormalRight">
    <w:name w:val="Normal Right"/>
    <w:basedOn w:val="Normal"/>
    <w:rsid w:val="009B7138"/>
    <w:pPr>
      <w:jc w:val="right"/>
    </w:pPr>
  </w:style>
  <w:style w:type="paragraph" w:customStyle="1" w:styleId="QuotedText">
    <w:name w:val="Quoted Text"/>
    <w:basedOn w:val="Normal"/>
    <w:rsid w:val="009B7138"/>
    <w:pPr>
      <w:ind w:left="1417"/>
    </w:pPr>
  </w:style>
  <w:style w:type="paragraph" w:customStyle="1" w:styleId="Point0">
    <w:name w:val="Point 0"/>
    <w:basedOn w:val="Normal"/>
    <w:rsid w:val="009B7138"/>
    <w:pPr>
      <w:ind w:left="850" w:hanging="850"/>
    </w:pPr>
  </w:style>
  <w:style w:type="paragraph" w:customStyle="1" w:styleId="Point1">
    <w:name w:val="Point 1"/>
    <w:basedOn w:val="Normal"/>
    <w:rsid w:val="009B7138"/>
    <w:pPr>
      <w:ind w:left="1417" w:hanging="567"/>
    </w:pPr>
  </w:style>
  <w:style w:type="paragraph" w:customStyle="1" w:styleId="Point2">
    <w:name w:val="Point 2"/>
    <w:basedOn w:val="Normal"/>
    <w:rsid w:val="009B7138"/>
    <w:pPr>
      <w:ind w:left="1984" w:hanging="567"/>
    </w:pPr>
  </w:style>
  <w:style w:type="paragraph" w:customStyle="1" w:styleId="Point3">
    <w:name w:val="Point 3"/>
    <w:basedOn w:val="Normal"/>
    <w:rsid w:val="009B7138"/>
    <w:pPr>
      <w:ind w:left="2551" w:hanging="567"/>
    </w:pPr>
  </w:style>
  <w:style w:type="paragraph" w:customStyle="1" w:styleId="Point4">
    <w:name w:val="Point 4"/>
    <w:basedOn w:val="Normal"/>
    <w:rsid w:val="009B7138"/>
    <w:pPr>
      <w:ind w:left="3118" w:hanging="567"/>
    </w:pPr>
  </w:style>
  <w:style w:type="paragraph" w:customStyle="1" w:styleId="Tiret0">
    <w:name w:val="Tiret 0"/>
    <w:basedOn w:val="Point0"/>
    <w:rsid w:val="009B7138"/>
    <w:pPr>
      <w:numPr>
        <w:numId w:val="12"/>
      </w:numPr>
    </w:pPr>
  </w:style>
  <w:style w:type="paragraph" w:customStyle="1" w:styleId="Tiret1">
    <w:name w:val="Tiret 1"/>
    <w:basedOn w:val="Point1"/>
    <w:rsid w:val="009B7138"/>
    <w:pPr>
      <w:numPr>
        <w:numId w:val="13"/>
      </w:numPr>
    </w:pPr>
  </w:style>
  <w:style w:type="paragraph" w:customStyle="1" w:styleId="Tiret2">
    <w:name w:val="Tiret 2"/>
    <w:basedOn w:val="Point2"/>
    <w:rsid w:val="009B7138"/>
    <w:pPr>
      <w:numPr>
        <w:numId w:val="14"/>
      </w:numPr>
    </w:pPr>
  </w:style>
  <w:style w:type="paragraph" w:customStyle="1" w:styleId="Tiret3">
    <w:name w:val="Tiret 3"/>
    <w:basedOn w:val="Point3"/>
    <w:rsid w:val="009B7138"/>
    <w:pPr>
      <w:numPr>
        <w:numId w:val="15"/>
      </w:numPr>
    </w:pPr>
  </w:style>
  <w:style w:type="paragraph" w:customStyle="1" w:styleId="Tiret4">
    <w:name w:val="Tiret 4"/>
    <w:basedOn w:val="Point4"/>
    <w:rsid w:val="009B7138"/>
    <w:pPr>
      <w:numPr>
        <w:numId w:val="16"/>
      </w:numPr>
    </w:pPr>
  </w:style>
  <w:style w:type="paragraph" w:customStyle="1" w:styleId="PointDouble0">
    <w:name w:val="PointDouble 0"/>
    <w:basedOn w:val="Normal"/>
    <w:rsid w:val="009B713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9B713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9B713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9B713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9B713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9B713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9B713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9B713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9B713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9B713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9B7138"/>
    <w:pPr>
      <w:numPr>
        <w:numId w:val="17"/>
      </w:numPr>
    </w:pPr>
  </w:style>
  <w:style w:type="paragraph" w:customStyle="1" w:styleId="NumPar2">
    <w:name w:val="NumPar 2"/>
    <w:basedOn w:val="Normal"/>
    <w:next w:val="Text1"/>
    <w:rsid w:val="009B7138"/>
    <w:pPr>
      <w:numPr>
        <w:ilvl w:val="1"/>
        <w:numId w:val="17"/>
      </w:numPr>
    </w:pPr>
  </w:style>
  <w:style w:type="paragraph" w:customStyle="1" w:styleId="NumPar3">
    <w:name w:val="NumPar 3"/>
    <w:basedOn w:val="Normal"/>
    <w:next w:val="Text1"/>
    <w:rsid w:val="009B7138"/>
    <w:pPr>
      <w:numPr>
        <w:ilvl w:val="2"/>
        <w:numId w:val="17"/>
      </w:numPr>
    </w:pPr>
  </w:style>
  <w:style w:type="paragraph" w:customStyle="1" w:styleId="NumPar4">
    <w:name w:val="NumPar 4"/>
    <w:basedOn w:val="Normal"/>
    <w:next w:val="Text1"/>
    <w:rsid w:val="009B7138"/>
    <w:pPr>
      <w:numPr>
        <w:ilvl w:val="3"/>
        <w:numId w:val="17"/>
      </w:numPr>
    </w:pPr>
  </w:style>
  <w:style w:type="paragraph" w:customStyle="1" w:styleId="ManualNumPar1">
    <w:name w:val="Manual NumPar 1"/>
    <w:basedOn w:val="Normal"/>
    <w:next w:val="Text1"/>
    <w:rsid w:val="009B713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9B713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9B713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9B7138"/>
    <w:pPr>
      <w:ind w:left="850" w:hanging="850"/>
    </w:pPr>
  </w:style>
  <w:style w:type="paragraph" w:customStyle="1" w:styleId="QuotedNumPar">
    <w:name w:val="Quoted NumPar"/>
    <w:basedOn w:val="Normal"/>
    <w:rsid w:val="009B713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9B713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9B713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9B713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9B713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9B713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9B713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9B713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9B7138"/>
    <w:pPr>
      <w:jc w:val="center"/>
    </w:pPr>
    <w:rPr>
      <w:b/>
    </w:rPr>
  </w:style>
  <w:style w:type="character" w:customStyle="1" w:styleId="Marker">
    <w:name w:val="Marker"/>
    <w:basedOn w:val="DefaultParagraphFont"/>
    <w:rsid w:val="009B713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B713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B713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9B7138"/>
    <w:pPr>
      <w:numPr>
        <w:numId w:val="19"/>
      </w:numPr>
    </w:pPr>
  </w:style>
  <w:style w:type="paragraph" w:customStyle="1" w:styleId="Point1number">
    <w:name w:val="Point 1 (number)"/>
    <w:basedOn w:val="Normal"/>
    <w:rsid w:val="009B7138"/>
    <w:pPr>
      <w:numPr>
        <w:ilvl w:val="2"/>
        <w:numId w:val="19"/>
      </w:numPr>
    </w:pPr>
  </w:style>
  <w:style w:type="paragraph" w:customStyle="1" w:styleId="Point2number">
    <w:name w:val="Point 2 (number)"/>
    <w:basedOn w:val="Normal"/>
    <w:rsid w:val="009B7138"/>
    <w:pPr>
      <w:numPr>
        <w:ilvl w:val="4"/>
        <w:numId w:val="19"/>
      </w:numPr>
    </w:pPr>
  </w:style>
  <w:style w:type="paragraph" w:customStyle="1" w:styleId="Point3number">
    <w:name w:val="Point 3 (number)"/>
    <w:basedOn w:val="Normal"/>
    <w:rsid w:val="009B7138"/>
    <w:pPr>
      <w:numPr>
        <w:ilvl w:val="6"/>
        <w:numId w:val="19"/>
      </w:numPr>
    </w:pPr>
  </w:style>
  <w:style w:type="paragraph" w:customStyle="1" w:styleId="Point0letter">
    <w:name w:val="Point 0 (letter)"/>
    <w:basedOn w:val="Normal"/>
    <w:rsid w:val="009B7138"/>
    <w:pPr>
      <w:numPr>
        <w:ilvl w:val="1"/>
        <w:numId w:val="19"/>
      </w:numPr>
    </w:pPr>
  </w:style>
  <w:style w:type="paragraph" w:customStyle="1" w:styleId="Point1letter">
    <w:name w:val="Point 1 (letter)"/>
    <w:basedOn w:val="Normal"/>
    <w:rsid w:val="009B7138"/>
    <w:pPr>
      <w:numPr>
        <w:ilvl w:val="3"/>
        <w:numId w:val="19"/>
      </w:numPr>
    </w:pPr>
  </w:style>
  <w:style w:type="paragraph" w:customStyle="1" w:styleId="Point2letter">
    <w:name w:val="Point 2 (letter)"/>
    <w:basedOn w:val="Normal"/>
    <w:rsid w:val="009B7138"/>
    <w:pPr>
      <w:numPr>
        <w:ilvl w:val="5"/>
        <w:numId w:val="19"/>
      </w:numPr>
    </w:pPr>
  </w:style>
  <w:style w:type="paragraph" w:customStyle="1" w:styleId="Point3letter">
    <w:name w:val="Point 3 (letter)"/>
    <w:basedOn w:val="Normal"/>
    <w:rsid w:val="009B7138"/>
    <w:pPr>
      <w:numPr>
        <w:ilvl w:val="7"/>
        <w:numId w:val="19"/>
      </w:numPr>
    </w:pPr>
  </w:style>
  <w:style w:type="paragraph" w:customStyle="1" w:styleId="Point4letter">
    <w:name w:val="Point 4 (letter)"/>
    <w:basedOn w:val="Normal"/>
    <w:rsid w:val="009B7138"/>
    <w:pPr>
      <w:numPr>
        <w:ilvl w:val="8"/>
        <w:numId w:val="19"/>
      </w:numPr>
    </w:pPr>
  </w:style>
  <w:style w:type="paragraph" w:customStyle="1" w:styleId="Bullet0">
    <w:name w:val="Bullet 0"/>
    <w:basedOn w:val="Normal"/>
    <w:rsid w:val="009B7138"/>
    <w:pPr>
      <w:numPr>
        <w:numId w:val="20"/>
      </w:numPr>
    </w:pPr>
  </w:style>
  <w:style w:type="paragraph" w:customStyle="1" w:styleId="Bullet1">
    <w:name w:val="Bullet 1"/>
    <w:basedOn w:val="Normal"/>
    <w:rsid w:val="009B7138"/>
    <w:pPr>
      <w:numPr>
        <w:numId w:val="21"/>
      </w:numPr>
    </w:pPr>
  </w:style>
  <w:style w:type="paragraph" w:customStyle="1" w:styleId="Bullet2">
    <w:name w:val="Bullet 2"/>
    <w:basedOn w:val="Normal"/>
    <w:rsid w:val="009B7138"/>
    <w:pPr>
      <w:numPr>
        <w:numId w:val="22"/>
      </w:numPr>
    </w:pPr>
  </w:style>
  <w:style w:type="paragraph" w:customStyle="1" w:styleId="Bullet3">
    <w:name w:val="Bullet 3"/>
    <w:basedOn w:val="Normal"/>
    <w:rsid w:val="009B7138"/>
    <w:pPr>
      <w:numPr>
        <w:numId w:val="23"/>
      </w:numPr>
    </w:pPr>
  </w:style>
  <w:style w:type="paragraph" w:customStyle="1" w:styleId="Bullet4">
    <w:name w:val="Bullet 4"/>
    <w:basedOn w:val="Normal"/>
    <w:rsid w:val="009B7138"/>
    <w:pPr>
      <w:numPr>
        <w:numId w:val="24"/>
      </w:numPr>
    </w:pPr>
  </w:style>
  <w:style w:type="paragraph" w:customStyle="1" w:styleId="Langue">
    <w:name w:val="Langue"/>
    <w:basedOn w:val="Normal"/>
    <w:next w:val="Rfrenceinterne"/>
    <w:rsid w:val="009B713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9B713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9B713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9B713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9B7138"/>
    <w:pPr>
      <w:spacing w:before="0" w:after="0"/>
    </w:pPr>
  </w:style>
  <w:style w:type="paragraph" w:customStyle="1" w:styleId="Disclaimer">
    <w:name w:val="Disclaimer"/>
    <w:basedOn w:val="Normal"/>
    <w:rsid w:val="009B713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9B7138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9B713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9B713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9B713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9B713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9B7138"/>
    <w:pPr>
      <w:numPr>
        <w:numId w:val="25"/>
      </w:numPr>
    </w:pPr>
  </w:style>
  <w:style w:type="paragraph" w:customStyle="1" w:styleId="Corrigendum">
    <w:name w:val="Corrigendum"/>
    <w:basedOn w:val="Normal"/>
    <w:next w:val="Normal"/>
    <w:rsid w:val="009B713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9B713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9B713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9B7138"/>
    <w:pPr>
      <w:keepNext/>
    </w:pPr>
  </w:style>
  <w:style w:type="paragraph" w:customStyle="1" w:styleId="Institutionquiagit">
    <w:name w:val="Institution qui agit"/>
    <w:basedOn w:val="Normal"/>
    <w:next w:val="Normal"/>
    <w:rsid w:val="009B713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9B713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9B713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9B713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9B713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9B713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9B713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9B713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9B713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9B713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9B713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9B713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9B713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9B7138"/>
    <w:rPr>
      <w:i/>
      <w:caps/>
    </w:rPr>
  </w:style>
  <w:style w:type="paragraph" w:customStyle="1" w:styleId="Supertitre">
    <w:name w:val="Supertitre"/>
    <w:basedOn w:val="Normal"/>
    <w:next w:val="Normal"/>
    <w:rsid w:val="009B713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9B713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9B713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B713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B7138"/>
  </w:style>
  <w:style w:type="paragraph" w:customStyle="1" w:styleId="StatutPagedecouverture">
    <w:name w:val="Statut (Page de couverture)"/>
    <w:basedOn w:val="Statut"/>
    <w:next w:val="TypedudocumentPagedecouverture"/>
    <w:rsid w:val="009B7138"/>
  </w:style>
  <w:style w:type="paragraph" w:customStyle="1" w:styleId="TitreobjetPagedecouverture">
    <w:name w:val="Titre objet (Page de couverture)"/>
    <w:basedOn w:val="Titreobjet"/>
    <w:next w:val="IntrtEEEPagedecouverture"/>
    <w:rsid w:val="009B713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B7138"/>
  </w:style>
  <w:style w:type="paragraph" w:customStyle="1" w:styleId="Volume">
    <w:name w:val="Volum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9B7138"/>
    <w:pPr>
      <w:spacing w:after="240"/>
    </w:pPr>
  </w:style>
  <w:style w:type="paragraph" w:customStyle="1" w:styleId="Accompagnant">
    <w:name w:val="Accompagnant"/>
    <w:basedOn w:val="Normal"/>
    <w:next w:val="Typeacteprincipal"/>
    <w:rsid w:val="009B713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9B713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9B713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9B7138"/>
  </w:style>
  <w:style w:type="paragraph" w:customStyle="1" w:styleId="AccompagnantPagedecouverture">
    <w:name w:val="Accompagnant (Page de couverture)"/>
    <w:basedOn w:val="Accompagnant"/>
    <w:next w:val="TypeacteprincipalPagedecouverture"/>
    <w:rsid w:val="009B713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B7138"/>
  </w:style>
  <w:style w:type="paragraph" w:customStyle="1" w:styleId="ObjetacteprincipalPagedecouverture">
    <w:name w:val="Objet acte principal (Page de couverture)"/>
    <w:basedOn w:val="Objetacteprincipal"/>
    <w:next w:val="Rfrencecroise"/>
    <w:rsid w:val="009B7138"/>
  </w:style>
  <w:style w:type="paragraph" w:customStyle="1" w:styleId="LanguesfaisantfoiPagedecouverture">
    <w:name w:val="Langues faisant foi (Page de couverture)"/>
    <w:basedOn w:val="Normal"/>
    <w:next w:val="Normal"/>
    <w:rsid w:val="009B7138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8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8BF33-204D-406C-9E95-96F898078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1</TotalTime>
  <Pages>2</Pages>
  <Words>1428</Words>
  <Characters>8108</Characters>
  <Application>Microsoft Office Word</Application>
  <DocSecurity>0</DocSecurity>
  <Lines>156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EBA Staff</dc:creator>
  <cp:lastModifiedBy>KLASIC Nikolina (DGT)</cp:lastModifiedBy>
  <cp:revision>3</cp:revision>
  <cp:lastPrinted>2019-11-13T10:58:00Z</cp:lastPrinted>
  <dcterms:created xsi:type="dcterms:W3CDTF">2020-01-23T12:45:00Z</dcterms:created>
  <dcterms:modified xsi:type="dcterms:W3CDTF">2020-01-23T12:46:00Z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5.8.22.0</vt:lpwstr>
  </property>
  <property fmtid="{D5CDD505-2E9C-101B-9397-08002B2CF9AE}" pid="4" name="Created using">
    <vt:lpwstr>LW 5.8, Build 20110311</vt:lpwstr>
  </property>
  <property fmtid="{D5CDD505-2E9C-101B-9397-08002B2CF9AE}" pid="5" name="Last edited using">
    <vt:lpwstr>LW 7.0, Build 20190717</vt:lpwstr>
  </property>
  <property fmtid="{D5CDD505-2E9C-101B-9397-08002B2CF9AE}" pid="6" name="_NewReviewCycle">
    <vt:lpwstr/>
  </property>
  <property fmtid="{D5CDD505-2E9C-101B-9397-08002B2CF9AE}" pid="7" name="LWTemplateID">
    <vt:lpwstr>SJ-004</vt:lpwstr>
  </property>
  <property fmtid="{D5CDD505-2E9C-101B-9397-08002B2CF9AE}" pid="8" name="Level of sensitivity">
    <vt:lpwstr>Standard treatment</vt:lpwstr>
  </property>
  <property fmtid="{D5CDD505-2E9C-101B-9397-08002B2CF9AE}" pid="9" name="Part">
    <vt:lpwstr>1</vt:lpwstr>
  </property>
  <property fmtid="{D5CDD505-2E9C-101B-9397-08002B2CF9AE}" pid="10" name="Total parts">
    <vt:lpwstr>1</vt:lpwstr>
  </property>
  <property fmtid="{D5CDD505-2E9C-101B-9397-08002B2CF9AE}" pid="11" name="DQCStatus">
    <vt:lpwstr>Green (DQC version 03)</vt:lpwstr>
  </property>
</Properties>
</file>