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C07713" w14:textId="561F19E5" w:rsidR="004273AC" w:rsidRPr="002D444C" w:rsidRDefault="00BF6AA1" w:rsidP="002D444C">
      <w:pPr>
        <w:pStyle w:val="Pagedecouverture"/>
      </w:pPr>
      <w:bookmarkStart w:id="0" w:name="_GoBack"/>
      <w:bookmarkEnd w:id="0"/>
      <w:r>
        <w:pict w14:anchorId="593266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54E63D5-B1D9-4C26-ABB8-C74144C780D7" style="width:450.75pt;height:409.5pt">
            <v:imagedata r:id="rId8" o:title=""/>
          </v:shape>
        </w:pict>
      </w:r>
    </w:p>
    <w:p w14:paraId="7EA50C89" w14:textId="77777777" w:rsidR="004273AC" w:rsidRPr="002D444C" w:rsidRDefault="004273AC">
      <w:pPr>
        <w:sectPr w:rsidR="004273AC" w:rsidRPr="002D444C" w:rsidSect="00A7327F">
          <w:footerReference w:type="default" r:id="rId9"/>
          <w:pgSz w:w="11907" w:h="16839"/>
          <w:pgMar w:top="1134" w:right="1417" w:bottom="1134" w:left="1417" w:header="709" w:footer="709" w:gutter="0"/>
          <w:pgNumType w:start="0"/>
          <w:cols w:space="720"/>
          <w:docGrid w:linePitch="360"/>
        </w:sectPr>
      </w:pPr>
    </w:p>
    <w:p w14:paraId="1CDECEB2" w14:textId="6E2F4F45" w:rsidR="004273AC" w:rsidRPr="002D444C" w:rsidRDefault="002D444C" w:rsidP="002D444C">
      <w:pPr>
        <w:pStyle w:val="Typedudocument"/>
      </w:pPr>
      <w:r w:rsidRPr="002D444C">
        <w:lastRenderedPageBreak/>
        <w:t>UITVOERINGSVERORDENING (EU) …/... VAN DE COMMISSIE</w:t>
      </w:r>
    </w:p>
    <w:p w14:paraId="2AAC3DEF" w14:textId="6ABD7D93" w:rsidR="004273AC" w:rsidRPr="002D444C" w:rsidRDefault="002D444C" w:rsidP="002D444C">
      <w:pPr>
        <w:pStyle w:val="Datedadoption"/>
        <w:rPr>
          <w:rStyle w:val="Marker2"/>
        </w:rPr>
      </w:pPr>
      <w:r w:rsidRPr="002D444C">
        <w:t xml:space="preserve">van </w:t>
      </w:r>
      <w:r w:rsidRPr="002D444C">
        <w:rPr>
          <w:rStyle w:val="Marker2"/>
        </w:rPr>
        <w:t>XXX</w:t>
      </w:r>
    </w:p>
    <w:p w14:paraId="2CD0C74D" w14:textId="53960F88" w:rsidR="004273AC" w:rsidRPr="002D444C" w:rsidRDefault="002D444C" w:rsidP="002D444C">
      <w:pPr>
        <w:pStyle w:val="Titreobjet"/>
      </w:pPr>
      <w:r w:rsidRPr="002D444C">
        <w:t xml:space="preserve">tot wijziging van Uitvoeringsverordening (EU) nr. </w:t>
      </w:r>
      <w:r w:rsidRPr="00A7327F">
        <w:t>680</w:t>
      </w:r>
      <w:r w:rsidRPr="002D444C">
        <w:t>/</w:t>
      </w:r>
      <w:r w:rsidRPr="00A7327F">
        <w:t>2014</w:t>
      </w:r>
      <w:r w:rsidRPr="002D444C">
        <w:t xml:space="preserve"> tot vaststelling van technische uitvoeringsnormen voor wat betreft de rapportage aan de toezichthoudende autoriteit door instellingen overeenkomstig Verordening (EU) nr. </w:t>
      </w:r>
      <w:r w:rsidRPr="00A7327F">
        <w:t>575</w:t>
      </w:r>
      <w:r w:rsidRPr="002D444C">
        <w:t>/</w:t>
      </w:r>
      <w:r w:rsidRPr="00A7327F">
        <w:t>2013</w:t>
      </w:r>
      <w:r w:rsidRPr="002D444C">
        <w:t xml:space="preserve"> van het Europees Parlement en de Raad</w:t>
      </w:r>
    </w:p>
    <w:p w14:paraId="607AA7C4" w14:textId="03618F70" w:rsidR="004273AC" w:rsidRPr="002D444C" w:rsidRDefault="002D444C" w:rsidP="002D444C">
      <w:pPr>
        <w:pStyle w:val="IntrtEEE"/>
      </w:pPr>
      <w:r w:rsidRPr="002D444C">
        <w:t>(Voor de EER relevante tekst)</w:t>
      </w:r>
    </w:p>
    <w:p w14:paraId="5C82FF64" w14:textId="77777777" w:rsidR="004273AC" w:rsidRPr="002D444C" w:rsidRDefault="001B445C">
      <w:pPr>
        <w:pStyle w:val="Institutionquiagit"/>
      </w:pPr>
      <w:r w:rsidRPr="002D444C">
        <w:t>DE EUROPESE COMMISSIE,</w:t>
      </w:r>
    </w:p>
    <w:p w14:paraId="288C7C77" w14:textId="77777777" w:rsidR="004273AC" w:rsidRPr="002D444C" w:rsidRDefault="001B445C">
      <w:r w:rsidRPr="002D444C">
        <w:t>Gezien het Verdrag betreffende de werking van de Europese Unie,</w:t>
      </w:r>
    </w:p>
    <w:p w14:paraId="308FB29B" w14:textId="2835F500" w:rsidR="004273AC" w:rsidRPr="002D444C" w:rsidRDefault="001B445C">
      <w:r w:rsidRPr="002D444C">
        <w:t xml:space="preserve">Gezien Verordening (EU) nr. </w:t>
      </w:r>
      <w:r w:rsidRPr="00A7327F">
        <w:t>575</w:t>
      </w:r>
      <w:r w:rsidRPr="002D444C">
        <w:t>/</w:t>
      </w:r>
      <w:r w:rsidRPr="00A7327F">
        <w:t>2013</w:t>
      </w:r>
      <w:r w:rsidRPr="002D444C">
        <w:t xml:space="preserve"> van het Europees Parlement en de Raad van </w:t>
      </w:r>
      <w:r w:rsidRPr="00A7327F">
        <w:t>26</w:t>
      </w:r>
      <w:r w:rsidRPr="002D444C">
        <w:t xml:space="preserve"> juni </w:t>
      </w:r>
      <w:r w:rsidRPr="00A7327F">
        <w:t>2013</w:t>
      </w:r>
      <w:r w:rsidRPr="002D444C">
        <w:t xml:space="preserve"> betreffende prudentiële vereisten voor kredietinstellingen en beleggingsondernemingen en tot wijziging van Verordening (EU) nr. </w:t>
      </w:r>
      <w:r w:rsidRPr="00A7327F">
        <w:t>648</w:t>
      </w:r>
      <w:r w:rsidRPr="002D444C">
        <w:t>/</w:t>
      </w:r>
      <w:r w:rsidRPr="00A7327F">
        <w:t>2012</w:t>
      </w:r>
      <w:r w:rsidRPr="002D444C">
        <w:rPr>
          <w:rStyle w:val="FootnoteReference"/>
        </w:rPr>
        <w:footnoteReference w:id="1"/>
      </w:r>
      <w:r w:rsidRPr="002D444C">
        <w:t>, en met name artikel </w:t>
      </w:r>
      <w:r w:rsidRPr="00A7327F">
        <w:t>99</w:t>
      </w:r>
      <w:r w:rsidRPr="002D444C">
        <w:t>, lid </w:t>
      </w:r>
      <w:r w:rsidRPr="00A7327F">
        <w:t>5</w:t>
      </w:r>
      <w:r w:rsidRPr="002D444C">
        <w:t>,</w:t>
      </w:r>
    </w:p>
    <w:p w14:paraId="13C3A1D4" w14:textId="77777777" w:rsidR="004273AC" w:rsidRPr="002D444C" w:rsidRDefault="001B445C">
      <w:r w:rsidRPr="002D444C">
        <w:t>Overwegende hetgeen volgt:</w:t>
      </w:r>
    </w:p>
    <w:p w14:paraId="5323FA5C" w14:textId="6D899A74" w:rsidR="004273AC" w:rsidRPr="002D444C" w:rsidRDefault="001B445C">
      <w:pPr>
        <w:pStyle w:val="Considrant"/>
        <w:numPr>
          <w:ilvl w:val="0"/>
          <w:numId w:val="10"/>
        </w:numPr>
      </w:pPr>
      <w:r w:rsidRPr="002D444C">
        <w:t xml:space="preserve">In Uitvoeringsverordening (EU) nr. </w:t>
      </w:r>
      <w:r w:rsidRPr="00A7327F">
        <w:t>680</w:t>
      </w:r>
      <w:r w:rsidRPr="002D444C">
        <w:t>/</w:t>
      </w:r>
      <w:r w:rsidRPr="00A7327F">
        <w:t>2014</w:t>
      </w:r>
      <w:r w:rsidRPr="002D444C">
        <w:t xml:space="preserve"> van de Commissie</w:t>
      </w:r>
      <w:r w:rsidRPr="002D444C">
        <w:rPr>
          <w:rStyle w:val="FootnoteReference"/>
        </w:rPr>
        <w:footnoteReference w:id="2"/>
      </w:r>
      <w:r w:rsidRPr="002D444C">
        <w:t xml:space="preserve"> zijn voor instellingen uniforme vereisten vastgesteld met betrekking tot de toezichtrapportage aan de bevoegde autoriteiten voor de toepassing van de artikelen </w:t>
      </w:r>
      <w:r w:rsidRPr="00A7327F">
        <w:t>99</w:t>
      </w:r>
      <w:r w:rsidRPr="002D444C">
        <w:t xml:space="preserve"> en </w:t>
      </w:r>
      <w:r w:rsidRPr="00A7327F">
        <w:t>100</w:t>
      </w:r>
      <w:r w:rsidRPr="002D444C">
        <w:t>, artikel </w:t>
      </w:r>
      <w:r w:rsidRPr="00A7327F">
        <w:t>101</w:t>
      </w:r>
      <w:r w:rsidRPr="002D444C">
        <w:t>, lid </w:t>
      </w:r>
      <w:r w:rsidRPr="00A7327F">
        <w:t>4</w:t>
      </w:r>
      <w:r w:rsidRPr="002D444C">
        <w:t>, onder a), artikel </w:t>
      </w:r>
      <w:r w:rsidRPr="00A7327F">
        <w:t>394</w:t>
      </w:r>
      <w:r w:rsidRPr="002D444C">
        <w:t>, lid </w:t>
      </w:r>
      <w:r w:rsidRPr="00A7327F">
        <w:t>1</w:t>
      </w:r>
      <w:r w:rsidRPr="002D444C">
        <w:t>, en de artikelen </w:t>
      </w:r>
      <w:r w:rsidRPr="00A7327F">
        <w:t>415</w:t>
      </w:r>
      <w:r w:rsidRPr="002D444C">
        <w:t xml:space="preserve"> en </w:t>
      </w:r>
      <w:r w:rsidRPr="00A7327F">
        <w:t>430</w:t>
      </w:r>
      <w:r w:rsidRPr="002D444C">
        <w:t xml:space="preserve"> van Verordening (EU) nr. </w:t>
      </w:r>
      <w:r w:rsidRPr="00A7327F">
        <w:t>575</w:t>
      </w:r>
      <w:r w:rsidRPr="002D444C">
        <w:t>/</w:t>
      </w:r>
      <w:r w:rsidRPr="00A7327F">
        <w:t>2013</w:t>
      </w:r>
      <w:r w:rsidRPr="002D444C">
        <w:t>.</w:t>
      </w:r>
    </w:p>
    <w:p w14:paraId="26488C0A" w14:textId="7104C3B3" w:rsidR="004273AC" w:rsidRPr="002D444C" w:rsidRDefault="00EA64E6">
      <w:pPr>
        <w:pStyle w:val="Considrant"/>
      </w:pPr>
      <w:r w:rsidRPr="002D444C">
        <w:t xml:space="preserve">Bij Verordening (EU) </w:t>
      </w:r>
      <w:r w:rsidRPr="00A7327F">
        <w:t>2017</w:t>
      </w:r>
      <w:r w:rsidRPr="002D444C">
        <w:t>/</w:t>
      </w:r>
      <w:r w:rsidRPr="00A7327F">
        <w:t>2402</w:t>
      </w:r>
      <w:r w:rsidRPr="002D444C">
        <w:t xml:space="preserve"> van het Europees Parlement en de Raad</w:t>
      </w:r>
      <w:r w:rsidRPr="002D444C">
        <w:rPr>
          <w:rStyle w:val="FootnoteReference"/>
        </w:rPr>
        <w:footnoteReference w:id="3"/>
      </w:r>
      <w:r w:rsidRPr="002D444C">
        <w:t xml:space="preserve"> is een nieuw kader voor securitisatie ingesteld, met inbegrip van een specifiek kader voor eenvoudige, transparante en gestandaardiseerde (STS) </w:t>
      </w:r>
      <w:r w:rsidRPr="002D444C">
        <w:tab/>
        <w:t xml:space="preserve">securitisaties. Bij die verordening is een preferentiële behandeling voor STS-securitisaties en bepaalde synthetische kmo-securitisaties ingevoerd en een kader vastgesteld voor een risicogevoeligere behandeling in de regelgeving van blootstellingen aan securitisaties. Uitvoeringsverordening (EU) nr. </w:t>
      </w:r>
      <w:r w:rsidRPr="00A7327F">
        <w:t>680</w:t>
      </w:r>
      <w:r w:rsidRPr="002D444C">
        <w:t>/</w:t>
      </w:r>
      <w:r w:rsidRPr="00A7327F">
        <w:t>2014</w:t>
      </w:r>
      <w:r w:rsidRPr="002D444C">
        <w:t xml:space="preserve"> moet worden gewijzigd om de rapportage over securitisatieposities aan dit nieuwe securitisatiekader aan te passen.</w:t>
      </w:r>
    </w:p>
    <w:p w14:paraId="483135B2" w14:textId="65B6C67D" w:rsidR="004273AC" w:rsidRPr="002D444C" w:rsidRDefault="00D913C8">
      <w:pPr>
        <w:pStyle w:val="Considrant"/>
      </w:pPr>
      <w:r w:rsidRPr="002D444C">
        <w:lastRenderedPageBreak/>
        <w:t xml:space="preserve">Verordening (EG) nr. </w:t>
      </w:r>
      <w:r w:rsidRPr="00A7327F">
        <w:t>1126</w:t>
      </w:r>
      <w:r w:rsidRPr="002D444C">
        <w:t>/</w:t>
      </w:r>
      <w:r w:rsidRPr="00A7327F">
        <w:t>2008</w:t>
      </w:r>
      <w:r w:rsidRPr="002D444C">
        <w:t xml:space="preserve"> van de Commissie</w:t>
      </w:r>
      <w:r w:rsidRPr="002D444C">
        <w:rPr>
          <w:rStyle w:val="FootnoteReference"/>
        </w:rPr>
        <w:footnoteReference w:id="4"/>
      </w:r>
      <w:r w:rsidRPr="002D444C">
        <w:t xml:space="preserve"> werd gewijzigd bij Verordening (EU) </w:t>
      </w:r>
      <w:r w:rsidRPr="00A7327F">
        <w:t>2017</w:t>
      </w:r>
      <w:r w:rsidRPr="002D444C">
        <w:t>/</w:t>
      </w:r>
      <w:r w:rsidRPr="00A7327F">
        <w:t>1986</w:t>
      </w:r>
      <w:r w:rsidRPr="002D444C">
        <w:t xml:space="preserve"> van de Commissie</w:t>
      </w:r>
      <w:r w:rsidRPr="002D444C">
        <w:rPr>
          <w:rStyle w:val="FootnoteReference"/>
        </w:rPr>
        <w:footnoteReference w:id="5"/>
      </w:r>
      <w:r w:rsidRPr="002D444C">
        <w:t xml:space="preserve"> om die verordening in overeenstemming te brengen met de International Financial Reporting Standard (IFRS) </w:t>
      </w:r>
      <w:r w:rsidRPr="00A7327F">
        <w:t>16</w:t>
      </w:r>
      <w:r w:rsidRPr="002D444C">
        <w:t xml:space="preserve"> “Leaseovereenkomsten” die de International Accounting Standards Board (IASB) op </w:t>
      </w:r>
      <w:r w:rsidRPr="00A7327F">
        <w:t>13</w:t>
      </w:r>
      <w:r w:rsidRPr="002D444C">
        <w:t xml:space="preserve"> januari </w:t>
      </w:r>
      <w:r w:rsidRPr="00A7327F">
        <w:t>2016</w:t>
      </w:r>
      <w:r w:rsidRPr="002D444C">
        <w:t xml:space="preserve"> heeft gepubliceerd. Uitvoeringsverordening (EU) nr. </w:t>
      </w:r>
      <w:r w:rsidRPr="00A7327F">
        <w:t>680</w:t>
      </w:r>
      <w:r w:rsidRPr="002D444C">
        <w:t>/</w:t>
      </w:r>
      <w:r w:rsidRPr="00A7327F">
        <w:t>2014</w:t>
      </w:r>
      <w:r w:rsidRPr="002D444C">
        <w:t xml:space="preserve"> moet nu ook worden gewijzigd om met die wijzigingen rekening te houden.</w:t>
      </w:r>
    </w:p>
    <w:p w14:paraId="22E5D43E" w14:textId="77777777" w:rsidR="004273AC" w:rsidRPr="002D444C" w:rsidRDefault="00EE58F1">
      <w:pPr>
        <w:pStyle w:val="Considrant"/>
        <w:rPr>
          <w:color w:val="000000"/>
        </w:rPr>
      </w:pPr>
      <w:r w:rsidRPr="002D444C">
        <w:t>De bevoegde autoriteiten moeten in staat zijn het risicoprofiel van de instellingen doeltreffend te monitoren en te beoordelen en zich een beeld te vormen van de risico’s voor de financiële sector. Een groot volume niet-renderende blootstellingen (NPE’s) is van invloed op het risicoprofiel, de winstgevendheid en de solvabiliteit van instellingen, hetgeen uiteindelijk van invloed is op de kredietverleningscapaciteit aan de algemene economie. Om de bevoegde autoriteiten beter in staat te stellen niet-renderende blootstellingen te beoordelen en te monitoren, moeten de rapportagevereisten worden herzien om op recurrente basis meer granulaire informatie over deze blootstellingen te kunnen verzamelen en de vastgestelde lacunes in de gegevens te kunnen dichten.</w:t>
      </w:r>
    </w:p>
    <w:p w14:paraId="660C1B8C" w14:textId="77777777" w:rsidR="004273AC" w:rsidRPr="002D444C" w:rsidRDefault="00F95996">
      <w:pPr>
        <w:pStyle w:val="Considrant"/>
        <w:rPr>
          <w:color w:val="000000"/>
        </w:rPr>
      </w:pPr>
      <w:r w:rsidRPr="002D444C">
        <w:t>Ook de structuur en de omvang van de lasten van instellingen hebben een aanzienlijke invloed op de winstgevendheid en houdbaarheid van de bedrijfsmodellen van instellingen. Om de bevoegde autoriteiten in staat te stellen een dieper inzicht in die lasten te verwerven, moet het rapportagekader worden verbeterd.</w:t>
      </w:r>
    </w:p>
    <w:p w14:paraId="7989BF92" w14:textId="77777777" w:rsidR="004273AC" w:rsidRPr="002D444C" w:rsidRDefault="00EA64E6">
      <w:pPr>
        <w:pStyle w:val="Considrant"/>
      </w:pPr>
      <w:r w:rsidRPr="002D444C">
        <w:t xml:space="preserve">Gedelegeerde Verordening (EU) </w:t>
      </w:r>
      <w:r w:rsidRPr="00A7327F">
        <w:t>2015</w:t>
      </w:r>
      <w:r w:rsidRPr="002D444C">
        <w:t>/</w:t>
      </w:r>
      <w:r w:rsidRPr="00A7327F">
        <w:t>61</w:t>
      </w:r>
      <w:r w:rsidRPr="002D444C">
        <w:t xml:space="preserve"> van de Commissie</w:t>
      </w:r>
      <w:r w:rsidRPr="002D444C">
        <w:rPr>
          <w:rStyle w:val="FootnoteReference"/>
        </w:rPr>
        <w:footnoteReference w:id="6"/>
      </w:r>
      <w:r w:rsidRPr="002D444C">
        <w:t xml:space="preserve"> werd bij Gedelegeerde Verordening (EU) </w:t>
      </w:r>
      <w:r w:rsidRPr="00A7327F">
        <w:t>2018</w:t>
      </w:r>
      <w:r w:rsidRPr="002D444C">
        <w:t>/</w:t>
      </w:r>
      <w:r w:rsidRPr="00A7327F">
        <w:t>1620</w:t>
      </w:r>
      <w:r w:rsidRPr="002D444C">
        <w:t xml:space="preserve"> van de Commissie</w:t>
      </w:r>
      <w:r w:rsidRPr="002D444C">
        <w:rPr>
          <w:rStyle w:val="FootnoteReference"/>
        </w:rPr>
        <w:footnoteReference w:id="7"/>
      </w:r>
      <w:r w:rsidRPr="002D444C">
        <w:t xml:space="preserve"> gewijzigd zodat deze beter op internationale normen zou aansluiten en een efficiënter liquiditeitsbeheer door kredietinstellingen in de hand zou werken.</w:t>
      </w:r>
      <w:r w:rsidRPr="002D444C">
        <w:rPr>
          <w:color w:val="444444"/>
        </w:rPr>
        <w:t xml:space="preserve"> </w:t>
      </w:r>
      <w:r w:rsidRPr="002D444C">
        <w:t xml:space="preserve">Uitvoeringsverordening (EU) nr. </w:t>
      </w:r>
      <w:r w:rsidRPr="00A7327F">
        <w:t>680</w:t>
      </w:r>
      <w:r w:rsidRPr="002D444C">
        <w:t>/</w:t>
      </w:r>
      <w:r w:rsidRPr="00A7327F">
        <w:t>2014</w:t>
      </w:r>
      <w:r w:rsidRPr="002D444C">
        <w:t xml:space="preserve"> moet ook worden gewijzigd om die wijzigingen in het rapportagekader voor de liquiditeitsdekkingsvereisten voor kredietinstellingen te verwerken.</w:t>
      </w:r>
    </w:p>
    <w:p w14:paraId="34872B97" w14:textId="77777777" w:rsidR="004273AC" w:rsidRPr="002D444C" w:rsidRDefault="003F04FB">
      <w:pPr>
        <w:pStyle w:val="Considrant"/>
      </w:pPr>
      <w:r w:rsidRPr="002D444C">
        <w:t xml:space="preserve">Voorts moeten de templates en instructies van Uitvoeringsverordening (EU) nr. </w:t>
      </w:r>
      <w:r w:rsidRPr="00A7327F">
        <w:t>680</w:t>
      </w:r>
      <w:r w:rsidRPr="002D444C">
        <w:t>/</w:t>
      </w:r>
      <w:r w:rsidRPr="00A7327F">
        <w:t>2014</w:t>
      </w:r>
      <w:r w:rsidRPr="002D444C">
        <w:t xml:space="preserve"> ook worden herzien om de pro-memorieposten die in de eerste jaren van uitvoering van die verordening waren opgenomen, opnieuw op hun gebruiksgemak en geschiktheid te beoordelen, alsook om tikfouten, foute verwijzingen en inconsistenties in de formattering die bij de toepassing van die verordening zijn ontdekt, te corrigeren.</w:t>
      </w:r>
    </w:p>
    <w:p w14:paraId="40A01AE5" w14:textId="0DAA71FD" w:rsidR="004273AC" w:rsidRPr="002D444C" w:rsidRDefault="00B31B60">
      <w:pPr>
        <w:pStyle w:val="Considrant"/>
      </w:pPr>
      <w:r w:rsidRPr="002D444C">
        <w:t xml:space="preserve">De bevoegde autoriteiten moeten zo spoedig mogelijk informatie kunnen ontvangen van instellingen die bij deze uitvoeringsverordening gewijzigde templates gebruiken, zodat zij hun toezichttaken doeltreffend kunnen uitoefenen. Het nieuwe securitisatiekader van de Unie wordt volledig van toepassing op </w:t>
      </w:r>
      <w:r w:rsidRPr="00A7327F">
        <w:t>1</w:t>
      </w:r>
      <w:r w:rsidRPr="002D444C">
        <w:t xml:space="preserve"> januari </w:t>
      </w:r>
      <w:r w:rsidRPr="00A7327F">
        <w:t>2020</w:t>
      </w:r>
      <w:r w:rsidRPr="002D444C">
        <w:t xml:space="preserve">, na afloop van de overgangsbepalingen. Daarom moeten de herziene rapportagevereisten inzake eigen vermogen en eigenvermogensvereisten die in deze uitvoeringsverordening zijn vastgesteld, met ingang van </w:t>
      </w:r>
      <w:r w:rsidRPr="00A7327F">
        <w:t>30</w:t>
      </w:r>
      <w:r w:rsidRPr="002D444C">
        <w:t xml:space="preserve"> maart </w:t>
      </w:r>
      <w:r w:rsidRPr="00A7327F">
        <w:t>2020</w:t>
      </w:r>
      <w:r w:rsidRPr="002D444C">
        <w:t xml:space="preserve"> van toepassing zijn. Om de instellingen en de bevoegde autoriteiten voldoende tijd te gunnen voor de uitvoering van de herziene rapportagevereisten inzake niet-renderende blootstellingen, schuldverplichtingen waarvoor respijtmaatregelen gelden, de bedrijfslasten en administratieve lasten en financiële informatie, die in de bijlagen III tot en met V van deze uitvoeringsverordening zijn vastgesteld, moeten die herziene rapportagevereisten met ingang van </w:t>
      </w:r>
      <w:r w:rsidRPr="00A7327F">
        <w:t>1</w:t>
      </w:r>
      <w:r w:rsidRPr="002D444C">
        <w:t xml:space="preserve"> juni </w:t>
      </w:r>
      <w:r w:rsidRPr="00A7327F">
        <w:t>2020</w:t>
      </w:r>
      <w:r w:rsidRPr="002D444C">
        <w:t xml:space="preserve"> van toepassing zijn. Tot slot moeten, rekening houdend met de bij Gedelegeerde Verordening (EU) </w:t>
      </w:r>
      <w:r w:rsidRPr="00A7327F">
        <w:t>2018</w:t>
      </w:r>
      <w:r w:rsidRPr="002D444C">
        <w:t>/</w:t>
      </w:r>
      <w:r w:rsidRPr="00A7327F">
        <w:t>1620</w:t>
      </w:r>
      <w:r w:rsidRPr="002D444C">
        <w:t xml:space="preserve"> ingevoerde wijzigingen die met ingang van </w:t>
      </w:r>
      <w:r w:rsidRPr="00A7327F">
        <w:t>30</w:t>
      </w:r>
      <w:r w:rsidRPr="002D444C">
        <w:t xml:space="preserve"> april </w:t>
      </w:r>
      <w:r w:rsidRPr="00A7327F">
        <w:t>2019</w:t>
      </w:r>
      <w:r w:rsidRPr="002D444C">
        <w:t xml:space="preserve"> van toepassing zijn, de bepalingen van deze uitvoeringsverordening inzake liquiditeitsrapportage met ingang van </w:t>
      </w:r>
      <w:r w:rsidRPr="00A7327F">
        <w:t>1</w:t>
      </w:r>
      <w:r w:rsidRPr="002D444C">
        <w:t> </w:t>
      </w:r>
      <w:r w:rsidR="002D444C" w:rsidRPr="002D444C">
        <w:t xml:space="preserve">april </w:t>
      </w:r>
      <w:r w:rsidR="002D444C" w:rsidRPr="00A7327F">
        <w:t>2020</w:t>
      </w:r>
      <w:r w:rsidR="002D444C" w:rsidRPr="002D444C">
        <w:t xml:space="preserve"> van toepassing zijn.</w:t>
      </w:r>
    </w:p>
    <w:p w14:paraId="59349144" w14:textId="77777777" w:rsidR="004273AC" w:rsidRPr="002D444C" w:rsidRDefault="001B445C">
      <w:pPr>
        <w:pStyle w:val="Considrant"/>
        <w:rPr>
          <w:color w:val="000000"/>
        </w:rPr>
      </w:pPr>
      <w:r w:rsidRPr="002D444C">
        <w:t>Deze verordening is gebaseerd op de ontwerpen van technische uitvoeringsnormen die de Europese Bankautoriteit (EBA) aan de Commissie heeft voorgelegd.</w:t>
      </w:r>
    </w:p>
    <w:p w14:paraId="50B5C1E2" w14:textId="77777777" w:rsidR="004273AC" w:rsidRPr="002D444C" w:rsidRDefault="001B445C">
      <w:pPr>
        <w:pStyle w:val="Considrant"/>
        <w:rPr>
          <w:color w:val="000000"/>
        </w:rPr>
      </w:pPr>
      <w:r w:rsidRPr="002D444C">
        <w:t>De EBA heeft openbare publieksraadplegingen gehouden over het ontwerp van technische uitvoeringsnormen waarop deze verordening is gebaseerd, de mogelijke desbetreffende kosten en baten geanalyseerd en het advies van de in overeenstemming met artikel </w:t>
      </w:r>
      <w:r w:rsidRPr="00A7327F">
        <w:t>37</w:t>
      </w:r>
      <w:r w:rsidRPr="002D444C">
        <w:t xml:space="preserve"> van Verordening (EU) nr. </w:t>
      </w:r>
      <w:r w:rsidRPr="00A7327F">
        <w:t>1093</w:t>
      </w:r>
      <w:r w:rsidRPr="002D444C">
        <w:t>/</w:t>
      </w:r>
      <w:r w:rsidRPr="00A7327F">
        <w:t>2010</w:t>
      </w:r>
      <w:r w:rsidRPr="002D444C">
        <w:t xml:space="preserve"> van het Europees Parlement en de Raad</w:t>
      </w:r>
      <w:r w:rsidRPr="002D444C">
        <w:rPr>
          <w:rStyle w:val="FootnoteReference"/>
        </w:rPr>
        <w:footnoteReference w:id="8"/>
      </w:r>
      <w:r w:rsidRPr="002D444C">
        <w:t xml:space="preserve"> opgerichte Stakeholdergroep Bankwezen ingewonnen. Overeenkomstig artikel </w:t>
      </w:r>
      <w:r w:rsidRPr="00A7327F">
        <w:t>15</w:t>
      </w:r>
      <w:r w:rsidRPr="002D444C">
        <w:t>, lid </w:t>
      </w:r>
      <w:r w:rsidRPr="00A7327F">
        <w:t>1</w:t>
      </w:r>
      <w:r w:rsidRPr="002D444C">
        <w:t>, tweede alinea, van die verordening heeft de EBA geen andere openbare publieksraadpleging gehouden met betrekking tot de delen van het ontwerp van technische uitvoeringsnormen waarop deze verordening is gebaseerd, die ofwel redactioneel van aard zijn ofwel slechts een beperkt aantal punten in het kader voor toezichtsrapportage invoeren. Een dergelijke raadpleging zou niet in een evenredige verhouding staan tot het toepassingsgebied en het effect van het ontwerp van de technische uitvoeringsnormen in kwestie.</w:t>
      </w:r>
    </w:p>
    <w:p w14:paraId="67DBCF52" w14:textId="77777777" w:rsidR="004273AC" w:rsidRPr="002D444C" w:rsidRDefault="001B445C">
      <w:pPr>
        <w:pStyle w:val="Considrant"/>
        <w:rPr>
          <w:color w:val="000000"/>
        </w:rPr>
      </w:pPr>
      <w:r w:rsidRPr="002D444C">
        <w:t xml:space="preserve">Uitvoeringsverordening (EU) nr. </w:t>
      </w:r>
      <w:r w:rsidRPr="00A7327F">
        <w:t>680</w:t>
      </w:r>
      <w:r w:rsidRPr="002D444C">
        <w:t>/</w:t>
      </w:r>
      <w:r w:rsidRPr="00A7327F">
        <w:t>2014</w:t>
      </w:r>
      <w:r w:rsidRPr="002D444C">
        <w:t xml:space="preserve"> moet derhalve dienovereenkomstig worden gewijzigd,</w:t>
      </w:r>
    </w:p>
    <w:p w14:paraId="76AD5CEB" w14:textId="77777777" w:rsidR="004273AC" w:rsidRPr="002D444C" w:rsidRDefault="001B445C">
      <w:pPr>
        <w:pStyle w:val="Formuledadoption"/>
      </w:pPr>
      <w:r w:rsidRPr="002D444C">
        <w:t>HEEFT DE VOLGENDE VERORDENING VASTGESTELD:</w:t>
      </w:r>
    </w:p>
    <w:p w14:paraId="73D2A54B" w14:textId="77777777" w:rsidR="004273AC" w:rsidRPr="002D444C" w:rsidRDefault="001B445C">
      <w:pPr>
        <w:pStyle w:val="Titrearticle"/>
        <w:keepLines/>
        <w:rPr>
          <w:color w:val="000000"/>
          <w:szCs w:val="24"/>
        </w:rPr>
      </w:pPr>
      <w:r w:rsidRPr="002D444C">
        <w:t xml:space="preserve">Artikel </w:t>
      </w:r>
      <w:r w:rsidRPr="00A7327F">
        <w:t>1</w:t>
      </w:r>
    </w:p>
    <w:p w14:paraId="731C2D3F" w14:textId="59043673" w:rsidR="004273AC" w:rsidRPr="002D444C" w:rsidRDefault="001B445C">
      <w:pPr>
        <w:rPr>
          <w:szCs w:val="24"/>
        </w:rPr>
      </w:pPr>
      <w:r w:rsidRPr="002D444C">
        <w:t xml:space="preserve">Uitvoeringsverordening (EU) nr. </w:t>
      </w:r>
      <w:r w:rsidRPr="00A7327F">
        <w:t>680</w:t>
      </w:r>
      <w:r w:rsidRPr="002D444C">
        <w:t>/</w:t>
      </w:r>
      <w:r w:rsidRPr="00A7327F">
        <w:t>2014</w:t>
      </w:r>
      <w:r w:rsidRPr="002D444C">
        <w:t xml:space="preserve"> wordt als volgt gewijzigd:</w:t>
      </w:r>
    </w:p>
    <w:p w14:paraId="1B00C599" w14:textId="77777777" w:rsidR="004273AC" w:rsidRPr="002D444C" w:rsidRDefault="00C63439">
      <w:pPr>
        <w:pStyle w:val="Point0number"/>
        <w:numPr>
          <w:ilvl w:val="0"/>
          <w:numId w:val="12"/>
        </w:numPr>
      </w:pPr>
      <w:r w:rsidRPr="002D444C">
        <w:t>Artikel </w:t>
      </w:r>
      <w:r w:rsidRPr="00A7327F">
        <w:t>5</w:t>
      </w:r>
      <w:r w:rsidRPr="002D444C">
        <w:t xml:space="preserve"> wordt als volgt gewijzigd:</w:t>
      </w:r>
    </w:p>
    <w:p w14:paraId="07A92DDE" w14:textId="77777777" w:rsidR="004273AC" w:rsidRPr="002D444C" w:rsidRDefault="00C63439">
      <w:pPr>
        <w:pStyle w:val="Point1letter"/>
        <w:numPr>
          <w:ilvl w:val="3"/>
          <w:numId w:val="11"/>
        </w:numPr>
      </w:pPr>
      <w:r w:rsidRPr="002D444C">
        <w:t>punt a) wordt als volgt gewijzigd:</w:t>
      </w:r>
    </w:p>
    <w:p w14:paraId="0051425E" w14:textId="77777777" w:rsidR="004273AC" w:rsidRPr="002D444C" w:rsidRDefault="00294A2C">
      <w:pPr>
        <w:pStyle w:val="Text2"/>
      </w:pPr>
      <w:r w:rsidRPr="002D444C">
        <w:t>(i)</w:t>
      </w:r>
      <w:r w:rsidRPr="002D444C">
        <w:tab/>
        <w:t>punt </w:t>
      </w:r>
      <w:r w:rsidRPr="00A7327F">
        <w:t>7</w:t>
      </w:r>
      <w:r w:rsidRPr="002D444C">
        <w:t xml:space="preserve"> wordt geschrapt;</w:t>
      </w:r>
    </w:p>
    <w:p w14:paraId="486BC3C6" w14:textId="77777777" w:rsidR="004273AC" w:rsidRPr="002D444C" w:rsidRDefault="00294A2C">
      <w:pPr>
        <w:pStyle w:val="Text2"/>
      </w:pPr>
      <w:r w:rsidRPr="002D444C">
        <w:t>(ii)</w:t>
      </w:r>
      <w:r w:rsidRPr="002D444C">
        <w:tab/>
        <w:t>punt </w:t>
      </w:r>
      <w:r w:rsidRPr="00A7327F">
        <w:t>8</w:t>
      </w:r>
      <w:r w:rsidRPr="002D444C">
        <w:t xml:space="preserve"> wordt vervangen door:</w:t>
      </w:r>
    </w:p>
    <w:p w14:paraId="6942628A" w14:textId="77777777" w:rsidR="004273AC" w:rsidRPr="002D444C" w:rsidRDefault="00294A2C">
      <w:pPr>
        <w:pStyle w:val="Text1"/>
        <w:ind w:left="2268" w:right="568" w:hanging="567"/>
        <w:rPr>
          <w:szCs w:val="24"/>
        </w:rPr>
      </w:pPr>
      <w:r w:rsidRPr="002D444C">
        <w:t>“</w:t>
      </w:r>
      <w:r w:rsidRPr="00A7327F">
        <w:t>8</w:t>
      </w:r>
      <w:r w:rsidRPr="002D444C">
        <w:t>.</w:t>
      </w:r>
      <w:r w:rsidRPr="002D444C">
        <w:tab/>
        <w:t>de informatie over securitisatieblootstellingen, zoals gespecificeerd in template </w:t>
      </w:r>
      <w:r w:rsidRPr="00A7327F">
        <w:t>13</w:t>
      </w:r>
      <w:r w:rsidRPr="002D444C">
        <w:t>.</w:t>
      </w:r>
      <w:r w:rsidRPr="00A7327F">
        <w:t>01</w:t>
      </w:r>
      <w:r w:rsidRPr="002D444C">
        <w:t xml:space="preserve"> van bijlage I, overeenkomstig de instructies in punt </w:t>
      </w:r>
      <w:r w:rsidRPr="00A7327F">
        <w:t>3</w:t>
      </w:r>
      <w:r w:rsidRPr="002D444C">
        <w:t>.</w:t>
      </w:r>
      <w:r w:rsidRPr="00A7327F">
        <w:t>7</w:t>
      </w:r>
      <w:r w:rsidRPr="002D444C">
        <w:t xml:space="preserve"> van deel II van bijlage II;”;</w:t>
      </w:r>
    </w:p>
    <w:p w14:paraId="32CB27AB" w14:textId="77777777" w:rsidR="004273AC" w:rsidRPr="002D444C" w:rsidRDefault="00D63710">
      <w:pPr>
        <w:pStyle w:val="Point1letter"/>
      </w:pPr>
      <w:r w:rsidRPr="002D444C">
        <w:t>in punt b) wordt punt </w:t>
      </w:r>
      <w:r w:rsidRPr="00A7327F">
        <w:t>1</w:t>
      </w:r>
      <w:r w:rsidRPr="002D444C">
        <w:t xml:space="preserve"> vervangen door:</w:t>
      </w:r>
    </w:p>
    <w:p w14:paraId="2C729D6F" w14:textId="1DF29E03" w:rsidR="004273AC" w:rsidRPr="002D444C" w:rsidRDefault="00DC3927">
      <w:pPr>
        <w:pStyle w:val="Text1"/>
        <w:ind w:left="1701" w:right="568" w:hanging="567"/>
        <w:rPr>
          <w:szCs w:val="24"/>
        </w:rPr>
      </w:pPr>
      <w:r w:rsidRPr="002D444C">
        <w:t>“</w:t>
      </w:r>
      <w:r w:rsidRPr="00A7327F">
        <w:t>1</w:t>
      </w:r>
      <w:r w:rsidRPr="002D444C">
        <w:t>.</w:t>
      </w:r>
      <w:r w:rsidRPr="002D444C">
        <w:tab/>
        <w:t>de informatie over alle securitisatieblootstellingen, zoals gespecificeerd in de templates </w:t>
      </w:r>
      <w:r w:rsidRPr="00A7327F">
        <w:t>14</w:t>
      </w:r>
      <w:r w:rsidRPr="002D444C">
        <w:t xml:space="preserve"> en </w:t>
      </w:r>
      <w:r w:rsidRPr="00A7327F">
        <w:t>14</w:t>
      </w:r>
      <w:r w:rsidRPr="002D444C">
        <w:t>.</w:t>
      </w:r>
      <w:r w:rsidRPr="00A7327F">
        <w:t>01</w:t>
      </w:r>
      <w:r w:rsidRPr="002D444C">
        <w:t xml:space="preserve"> van bijlage I, overeenkomstig de instructies in punt </w:t>
      </w:r>
      <w:r w:rsidRPr="00A7327F">
        <w:t>3</w:t>
      </w:r>
      <w:r w:rsidRPr="002D444C">
        <w:t>.</w:t>
      </w:r>
      <w:r w:rsidRPr="00A7327F">
        <w:t>9</w:t>
      </w:r>
      <w:r w:rsidRPr="002D444C">
        <w:t xml:space="preserve"> van deel II van bijlage II;</w:t>
      </w:r>
    </w:p>
    <w:p w14:paraId="36BD954D" w14:textId="62EBDF1E" w:rsidR="004273AC" w:rsidRPr="002D444C" w:rsidRDefault="002A096A">
      <w:pPr>
        <w:pStyle w:val="Text1"/>
        <w:ind w:left="1701" w:right="568"/>
        <w:rPr>
          <w:szCs w:val="24"/>
        </w:rPr>
      </w:pPr>
      <w:r w:rsidRPr="002D444C">
        <w:t>Instellingen zijn van de indiening van die securitisatiegegevens vrijgesteld indien zij deel uitmaken van een groep in hetzelfde land waarin zij aan eigenvermogensvereisten zijn onderworpen;”.</w:t>
      </w:r>
    </w:p>
    <w:p w14:paraId="22157E12" w14:textId="77777777" w:rsidR="004273AC" w:rsidRPr="002D444C" w:rsidRDefault="00DC3927">
      <w:r w:rsidRPr="002D444C">
        <w:t>(</w:t>
      </w:r>
      <w:r w:rsidRPr="00A7327F">
        <w:t>2</w:t>
      </w:r>
      <w:r w:rsidRPr="002D444C">
        <w:t>)</w:t>
      </w:r>
      <w:r w:rsidRPr="002D444C">
        <w:tab/>
        <w:t>In artikel </w:t>
      </w:r>
      <w:r w:rsidRPr="00A7327F">
        <w:t>9</w:t>
      </w:r>
      <w:r w:rsidRPr="002D444C">
        <w:t xml:space="preserve"> wordt lid </w:t>
      </w:r>
      <w:r w:rsidRPr="00A7327F">
        <w:t>2</w:t>
      </w:r>
      <w:r w:rsidRPr="002D444C">
        <w:t xml:space="preserve"> als volgt gewijzigd:</w:t>
      </w:r>
    </w:p>
    <w:p w14:paraId="2D923CE0" w14:textId="77777777" w:rsidR="004273AC" w:rsidRPr="002D444C" w:rsidRDefault="00C52F81">
      <w:pPr>
        <w:pStyle w:val="Text1"/>
      </w:pPr>
      <w:r w:rsidRPr="002D444C">
        <w:t>(i)</w:t>
      </w:r>
      <w:r w:rsidRPr="002D444C">
        <w:tab/>
        <w:t>punt c) wordt vervangen door:</w:t>
      </w:r>
    </w:p>
    <w:p w14:paraId="5E362A06" w14:textId="77777777" w:rsidR="004273AC" w:rsidRPr="002D444C" w:rsidRDefault="00DC3927">
      <w:pPr>
        <w:pStyle w:val="Text1"/>
        <w:ind w:left="1701" w:right="568" w:hanging="567"/>
        <w:rPr>
          <w:szCs w:val="24"/>
        </w:rPr>
      </w:pPr>
      <w:r w:rsidRPr="002D444C">
        <w:t>“c)</w:t>
      </w:r>
      <w:r w:rsidRPr="002D444C">
        <w:tab/>
        <w:t>de in deel </w:t>
      </w:r>
      <w:r w:rsidRPr="00A7327F">
        <w:t>4</w:t>
      </w:r>
      <w:r w:rsidRPr="002D444C">
        <w:t xml:space="preserve"> van bijlage III gespecificeerde informatie, met uitzondering van de in template </w:t>
      </w:r>
      <w:r w:rsidRPr="00A7327F">
        <w:t>47</w:t>
      </w:r>
      <w:r w:rsidRPr="002D444C">
        <w:t xml:space="preserve"> gespecificeerde informatie, met een jaarlijkse frequentie;”;</w:t>
      </w:r>
    </w:p>
    <w:p w14:paraId="5EF72169" w14:textId="77777777" w:rsidR="004273AC" w:rsidRPr="002D444C" w:rsidRDefault="00C52F81">
      <w:pPr>
        <w:pStyle w:val="Text1"/>
      </w:pPr>
      <w:r w:rsidRPr="002D444C">
        <w:t>(ii)</w:t>
      </w:r>
      <w:r w:rsidRPr="002D444C">
        <w:tab/>
        <w:t>de volgende punten h) en i) worden toegevoegd:</w:t>
      </w:r>
    </w:p>
    <w:p w14:paraId="49C9B54D" w14:textId="77777777" w:rsidR="004273AC" w:rsidRPr="002D444C" w:rsidRDefault="00C52F81">
      <w:pPr>
        <w:pStyle w:val="Text1"/>
        <w:ind w:left="1701" w:right="568" w:hanging="567"/>
        <w:rPr>
          <w:szCs w:val="24"/>
        </w:rPr>
      </w:pPr>
      <w:r w:rsidRPr="002D444C">
        <w:t>“h)</w:t>
      </w:r>
      <w:r w:rsidRPr="002D444C">
        <w:tab/>
        <w:t>met een driemaandelijkse frequentie, de in de templates </w:t>
      </w:r>
      <w:r w:rsidRPr="00A7327F">
        <w:t>23</w:t>
      </w:r>
      <w:r w:rsidRPr="002D444C">
        <w:t xml:space="preserve"> tot en met </w:t>
      </w:r>
      <w:r w:rsidRPr="00A7327F">
        <w:t>26</w:t>
      </w:r>
      <w:r w:rsidRPr="002D444C">
        <w:t xml:space="preserve"> in deel </w:t>
      </w:r>
      <w:r w:rsidRPr="00A7327F">
        <w:t>2</w:t>
      </w:r>
      <w:r w:rsidRPr="002D444C">
        <w:t xml:space="preserve"> van bijlage III gespecificeerde informatie indien beide volgende voorwaarden vervuld zijn:</w:t>
      </w:r>
    </w:p>
    <w:p w14:paraId="5A3D23FC" w14:textId="77777777" w:rsidR="004273AC" w:rsidRPr="002D444C" w:rsidRDefault="001B445C">
      <w:pPr>
        <w:pStyle w:val="Text2"/>
        <w:ind w:left="2268" w:right="568" w:hanging="567"/>
        <w:rPr>
          <w:szCs w:val="24"/>
        </w:rPr>
      </w:pPr>
      <w:r w:rsidRPr="002D444C">
        <w:t>i)</w:t>
      </w:r>
      <w:r w:rsidRPr="002D444C">
        <w:tab/>
        <w:t>de instelling is geen kleine en niet-complexe instelling in de zin van artikel </w:t>
      </w:r>
      <w:r w:rsidRPr="00A7327F">
        <w:t>4</w:t>
      </w:r>
      <w:r w:rsidRPr="002D444C">
        <w:t>, lid </w:t>
      </w:r>
      <w:r w:rsidRPr="00A7327F">
        <w:t>1</w:t>
      </w:r>
      <w:r w:rsidRPr="002D444C">
        <w:t>, punt </w:t>
      </w:r>
      <w:r w:rsidRPr="00A7327F">
        <w:t>145</w:t>
      </w:r>
      <w:r w:rsidRPr="002D444C">
        <w:t xml:space="preserve">, van Verordening (EU) nr. </w:t>
      </w:r>
      <w:r w:rsidRPr="00A7327F">
        <w:t>575</w:t>
      </w:r>
      <w:r w:rsidRPr="002D444C">
        <w:t>/</w:t>
      </w:r>
      <w:r w:rsidRPr="00A7327F">
        <w:t>2013</w:t>
      </w:r>
      <w:r w:rsidRPr="002D444C">
        <w:t>;</w:t>
      </w:r>
    </w:p>
    <w:p w14:paraId="769A72A7" w14:textId="7FA489CA" w:rsidR="004273AC" w:rsidRPr="002D444C" w:rsidRDefault="001B445C">
      <w:pPr>
        <w:pStyle w:val="Text2"/>
        <w:ind w:left="2268" w:right="568" w:hanging="567"/>
        <w:rPr>
          <w:szCs w:val="24"/>
        </w:rPr>
      </w:pPr>
      <w:r w:rsidRPr="002D444C">
        <w:t>ii)</w:t>
      </w:r>
      <w:r w:rsidRPr="002D444C">
        <w:tab/>
        <w:t>de verhouding tussen de brutoboekwaarde van niet-renderende leningen en voorschotten van de instelling en de totale brutoboekwaarde van leningen en voorschotten die onder de categorie niet-renderende blootstellingen zoals vastgesteld in afdeling </w:t>
      </w:r>
      <w:r w:rsidRPr="00A7327F">
        <w:t>17</w:t>
      </w:r>
      <w:r w:rsidRPr="002D444C">
        <w:t xml:space="preserve"> van deel </w:t>
      </w:r>
      <w:r w:rsidRPr="00A7327F">
        <w:t>2</w:t>
      </w:r>
      <w:r w:rsidRPr="002D444C">
        <w:t xml:space="preserve"> van bijlage V bij deze verordening vallen, is gelijk aan of hoger dan </w:t>
      </w:r>
      <w:r w:rsidRPr="00A7327F">
        <w:t>5</w:t>
      </w:r>
      <w:r w:rsidRPr="002D444C">
        <w:t> %. Voor de toepassing van dit punt zijn leningen en voorschotten die zijn geclassificeerd als aangehouden voor verkoop, kassaldi bij centrale banken en overige direct opvraagbare deposito’s zowel in de teller als in de noemer van de verhouding uitgesloten.</w:t>
      </w:r>
    </w:p>
    <w:p w14:paraId="1E2D7764" w14:textId="77777777" w:rsidR="004273AC" w:rsidRPr="002D444C" w:rsidRDefault="0084057B">
      <w:pPr>
        <w:pStyle w:val="Text2"/>
        <w:ind w:left="1678" w:right="568" w:firstLine="23"/>
        <w:rPr>
          <w:szCs w:val="24"/>
        </w:rPr>
      </w:pPr>
      <w:r w:rsidRPr="002D444C">
        <w:t>De in artikel </w:t>
      </w:r>
      <w:r w:rsidRPr="00A7327F">
        <w:t>4</w:t>
      </w:r>
      <w:r w:rsidRPr="002D444C">
        <w:t xml:space="preserve"> genoemde instap- en uitstapcriteria zijn van toepassing;</w:t>
      </w:r>
    </w:p>
    <w:p w14:paraId="514A0195" w14:textId="77777777" w:rsidR="004273AC" w:rsidRPr="002D444C" w:rsidRDefault="00D63710">
      <w:pPr>
        <w:pStyle w:val="Text1"/>
        <w:ind w:left="1701" w:right="568" w:hanging="567"/>
        <w:rPr>
          <w:szCs w:val="24"/>
        </w:rPr>
      </w:pPr>
      <w:r w:rsidRPr="002D444C">
        <w:t>i)</w:t>
      </w:r>
      <w:r w:rsidRPr="002D444C">
        <w:tab/>
        <w:t>met een jaarlijkse frequentie, de in template </w:t>
      </w:r>
      <w:r w:rsidRPr="00A7327F">
        <w:t>47</w:t>
      </w:r>
      <w:r w:rsidRPr="002D444C">
        <w:t xml:space="preserve"> in deel </w:t>
      </w:r>
      <w:r w:rsidRPr="00A7327F">
        <w:t>4</w:t>
      </w:r>
      <w:r w:rsidRPr="002D444C">
        <w:t xml:space="preserve"> van bijlage III gespecificeerde informatie indien beide voorwaarden van punt h), onder i) en ii), van dit lid vervuld zijn. De in artikel </w:t>
      </w:r>
      <w:r w:rsidRPr="00A7327F">
        <w:t>4</w:t>
      </w:r>
      <w:r w:rsidRPr="002D444C">
        <w:t xml:space="preserve"> genoemde instap- en uitstapcriteria zijn van toepassing.”.</w:t>
      </w:r>
    </w:p>
    <w:p w14:paraId="1F2B8B32" w14:textId="77777777" w:rsidR="004273AC" w:rsidRPr="002D444C" w:rsidRDefault="00D63710">
      <w:pPr>
        <w:pStyle w:val="Text1"/>
        <w:ind w:left="567" w:hanging="567"/>
        <w:rPr>
          <w:szCs w:val="24"/>
        </w:rPr>
      </w:pPr>
      <w:r w:rsidRPr="002D444C">
        <w:t>(</w:t>
      </w:r>
      <w:r w:rsidRPr="00A7327F">
        <w:t>3</w:t>
      </w:r>
      <w:r w:rsidRPr="002D444C">
        <w:t>)</w:t>
      </w:r>
      <w:r w:rsidRPr="002D444C">
        <w:tab/>
        <w:t>In artikel </w:t>
      </w:r>
      <w:r w:rsidRPr="00A7327F">
        <w:t>11</w:t>
      </w:r>
      <w:r w:rsidRPr="002D444C">
        <w:t xml:space="preserve"> wordt lid </w:t>
      </w:r>
      <w:r w:rsidRPr="00A7327F">
        <w:t>2</w:t>
      </w:r>
      <w:r w:rsidRPr="002D444C">
        <w:t xml:space="preserve"> als volgt gewijzigd:</w:t>
      </w:r>
    </w:p>
    <w:p w14:paraId="6487BD60" w14:textId="77777777" w:rsidR="004273AC" w:rsidRPr="002D444C" w:rsidRDefault="00D63710">
      <w:pPr>
        <w:pStyle w:val="Text1"/>
      </w:pPr>
      <w:r w:rsidRPr="002D444C">
        <w:t>(i)</w:t>
      </w:r>
      <w:r w:rsidRPr="002D444C">
        <w:tab/>
        <w:t>punt c) wordt vervangen door:</w:t>
      </w:r>
    </w:p>
    <w:p w14:paraId="4678FF44" w14:textId="77777777" w:rsidR="004273AC" w:rsidRPr="002D444C" w:rsidRDefault="00D63710">
      <w:pPr>
        <w:pStyle w:val="Text1"/>
        <w:ind w:left="1701" w:right="568" w:hanging="567"/>
        <w:rPr>
          <w:szCs w:val="24"/>
        </w:rPr>
      </w:pPr>
      <w:r w:rsidRPr="002D444C">
        <w:t>“c)</w:t>
      </w:r>
      <w:r w:rsidRPr="002D444C">
        <w:tab/>
        <w:t>de in deel </w:t>
      </w:r>
      <w:r w:rsidRPr="00A7327F">
        <w:t>4</w:t>
      </w:r>
      <w:r w:rsidRPr="002D444C">
        <w:t xml:space="preserve"> van bijlage IV gespecificeerde informatie, met uitzondering van de in template </w:t>
      </w:r>
      <w:r w:rsidRPr="00A7327F">
        <w:t>47</w:t>
      </w:r>
      <w:r w:rsidRPr="002D444C">
        <w:t xml:space="preserve"> gespecificeerde informatie, met een jaarlijkse frequentie;”;</w:t>
      </w:r>
    </w:p>
    <w:p w14:paraId="2AE5A30E" w14:textId="77777777" w:rsidR="004273AC" w:rsidRPr="002D444C" w:rsidRDefault="00D63710">
      <w:pPr>
        <w:pStyle w:val="Text1"/>
      </w:pPr>
      <w:r w:rsidRPr="002D444C">
        <w:t>(ii)</w:t>
      </w:r>
      <w:r w:rsidRPr="002D444C">
        <w:tab/>
        <w:t>de volgende punten h) en i) worden toegevoegd:</w:t>
      </w:r>
    </w:p>
    <w:p w14:paraId="46AD1146" w14:textId="77777777" w:rsidR="004273AC" w:rsidRPr="002D444C" w:rsidRDefault="00D63710">
      <w:pPr>
        <w:pStyle w:val="Text1"/>
        <w:ind w:left="1701" w:hanging="567"/>
        <w:rPr>
          <w:szCs w:val="24"/>
        </w:rPr>
      </w:pPr>
      <w:r w:rsidRPr="002D444C">
        <w:t>“h)</w:t>
      </w:r>
      <w:r w:rsidRPr="002D444C">
        <w:tab/>
        <w:t>met een driemaandelijkse frequentie, de in de templates </w:t>
      </w:r>
      <w:r w:rsidRPr="00A7327F">
        <w:t>23</w:t>
      </w:r>
      <w:r w:rsidRPr="002D444C">
        <w:t xml:space="preserve"> tot en met </w:t>
      </w:r>
      <w:r w:rsidRPr="00A7327F">
        <w:t>26</w:t>
      </w:r>
      <w:r w:rsidRPr="002D444C">
        <w:t xml:space="preserve"> in deel </w:t>
      </w:r>
      <w:r w:rsidRPr="00A7327F">
        <w:t>2</w:t>
      </w:r>
      <w:r w:rsidRPr="002D444C">
        <w:t xml:space="preserve"> van bijlage IV gespecificeerde informatie indien beide voorwaarden van punt h), onder i) en ii), van artikel </w:t>
      </w:r>
      <w:r w:rsidRPr="00A7327F">
        <w:t>9</w:t>
      </w:r>
      <w:r w:rsidRPr="002D444C">
        <w:t xml:space="preserve">, lid </w:t>
      </w:r>
      <w:r w:rsidRPr="00A7327F">
        <w:t>2</w:t>
      </w:r>
      <w:r w:rsidRPr="002D444C">
        <w:t>, vervuld zijn. De in artikel </w:t>
      </w:r>
      <w:r w:rsidRPr="00A7327F">
        <w:t>4</w:t>
      </w:r>
      <w:r w:rsidRPr="002D444C">
        <w:t xml:space="preserve"> genoemde instap- en uitstapcriteria zijn van toepassing;</w:t>
      </w:r>
    </w:p>
    <w:p w14:paraId="787C8551" w14:textId="77777777" w:rsidR="004273AC" w:rsidRPr="002D444C" w:rsidRDefault="001B445C">
      <w:pPr>
        <w:pStyle w:val="Text1"/>
        <w:ind w:left="1701" w:hanging="567"/>
        <w:rPr>
          <w:szCs w:val="24"/>
        </w:rPr>
      </w:pPr>
      <w:r w:rsidRPr="002D444C">
        <w:t>i)</w:t>
      </w:r>
      <w:r w:rsidRPr="002D444C">
        <w:tab/>
        <w:t>met een jaarlijkse frequentie, de in template </w:t>
      </w:r>
      <w:r w:rsidRPr="00A7327F">
        <w:t>47</w:t>
      </w:r>
      <w:r w:rsidRPr="002D444C">
        <w:t xml:space="preserve"> in deel </w:t>
      </w:r>
      <w:r w:rsidRPr="00A7327F">
        <w:t>4</w:t>
      </w:r>
      <w:r w:rsidRPr="002D444C">
        <w:t xml:space="preserve"> van bijlage IV gespecificeerde informatie indien beide voorwaarden van punt h), onder i) en ii), van artikel </w:t>
      </w:r>
      <w:r w:rsidRPr="00A7327F">
        <w:t>9</w:t>
      </w:r>
      <w:r w:rsidRPr="002D444C">
        <w:t>, lid </w:t>
      </w:r>
      <w:r w:rsidRPr="00A7327F">
        <w:t>2</w:t>
      </w:r>
      <w:r w:rsidRPr="002D444C">
        <w:t>, vervuld zijn. De in artikel </w:t>
      </w:r>
      <w:r w:rsidRPr="00A7327F">
        <w:t>4</w:t>
      </w:r>
      <w:r w:rsidRPr="002D444C">
        <w:t xml:space="preserve"> genoemde instap- en uitstapcriteria zijn van toepassing.”.</w:t>
      </w:r>
    </w:p>
    <w:p w14:paraId="5C135AED" w14:textId="77777777" w:rsidR="004273AC" w:rsidRPr="002D444C" w:rsidRDefault="00D63710">
      <w:r w:rsidRPr="002D444C">
        <w:t>(</w:t>
      </w:r>
      <w:r w:rsidRPr="00A7327F">
        <w:t>4</w:t>
      </w:r>
      <w:r w:rsidRPr="002D444C">
        <w:t>)</w:t>
      </w:r>
      <w:r w:rsidRPr="002D444C">
        <w:tab/>
        <w:t xml:space="preserve">Bijlage I bij Uitvoeringsverordening (EU) nr. </w:t>
      </w:r>
      <w:r w:rsidRPr="00A7327F">
        <w:t>680</w:t>
      </w:r>
      <w:r w:rsidRPr="002D444C">
        <w:t>/</w:t>
      </w:r>
      <w:r w:rsidRPr="00A7327F">
        <w:t>2014</w:t>
      </w:r>
      <w:r w:rsidRPr="002D444C">
        <w:t xml:space="preserve"> wordt vervangen door de tekst die is opgenomen in bijlage I bij deze verordening.</w:t>
      </w:r>
    </w:p>
    <w:p w14:paraId="6D942284" w14:textId="5BE97FE8" w:rsidR="004273AC" w:rsidRPr="002D444C" w:rsidRDefault="00D63710">
      <w:r w:rsidRPr="002D444C">
        <w:t>(</w:t>
      </w:r>
      <w:r w:rsidRPr="00A7327F">
        <w:t>5</w:t>
      </w:r>
      <w:r w:rsidRPr="002D444C">
        <w:t>)</w:t>
      </w:r>
      <w:r w:rsidRPr="002D444C">
        <w:tab/>
        <w:t xml:space="preserve">Bijlage II bij Uitvoeringsverordening (EU) nr. </w:t>
      </w:r>
      <w:r w:rsidRPr="00A7327F">
        <w:t>680</w:t>
      </w:r>
      <w:r w:rsidRPr="002D444C">
        <w:t>/</w:t>
      </w:r>
      <w:r w:rsidRPr="00A7327F">
        <w:t>2014</w:t>
      </w:r>
      <w:r w:rsidRPr="002D444C">
        <w:t xml:space="preserve"> wordt vervangen door de tekst die is opgenomen in b</w:t>
      </w:r>
      <w:r w:rsidR="002D444C" w:rsidRPr="002D444C">
        <w:t>ijlage II bij deze verordening.</w:t>
      </w:r>
    </w:p>
    <w:p w14:paraId="66FD1BC9" w14:textId="3B98C199" w:rsidR="004273AC" w:rsidRPr="002D444C" w:rsidRDefault="00D63710">
      <w:r w:rsidRPr="002D444C">
        <w:t>(</w:t>
      </w:r>
      <w:r w:rsidRPr="00A7327F">
        <w:t>6</w:t>
      </w:r>
      <w:r w:rsidRPr="002D444C">
        <w:t>)</w:t>
      </w:r>
      <w:r w:rsidRPr="002D444C">
        <w:tab/>
        <w:t xml:space="preserve">Bijlage III bij Uitvoeringsverordening (EU) nr. </w:t>
      </w:r>
      <w:r w:rsidRPr="00A7327F">
        <w:t>680</w:t>
      </w:r>
      <w:r w:rsidRPr="002D444C">
        <w:t>/</w:t>
      </w:r>
      <w:r w:rsidRPr="00A7327F">
        <w:t>2014</w:t>
      </w:r>
      <w:r w:rsidRPr="002D444C">
        <w:t xml:space="preserve"> wordt vervangen door de tekst die is opgenomen in bi</w:t>
      </w:r>
      <w:r w:rsidR="002D444C" w:rsidRPr="002D444C">
        <w:t>jlage III bij deze verordening.</w:t>
      </w:r>
    </w:p>
    <w:p w14:paraId="171FD559" w14:textId="2299C099" w:rsidR="004273AC" w:rsidRPr="002D444C" w:rsidRDefault="00D63710">
      <w:r w:rsidRPr="002D444C">
        <w:t>(</w:t>
      </w:r>
      <w:r w:rsidRPr="00A7327F">
        <w:t>7</w:t>
      </w:r>
      <w:r w:rsidRPr="002D444C">
        <w:t>)</w:t>
      </w:r>
      <w:r w:rsidRPr="002D444C">
        <w:tab/>
        <w:t xml:space="preserve">Bijlage IV bij Uitvoeringsverordening (EU) nr. </w:t>
      </w:r>
      <w:r w:rsidRPr="00A7327F">
        <w:t>680</w:t>
      </w:r>
      <w:r w:rsidRPr="002D444C">
        <w:t>/</w:t>
      </w:r>
      <w:r w:rsidRPr="00A7327F">
        <w:t>2014</w:t>
      </w:r>
      <w:r w:rsidRPr="002D444C">
        <w:t xml:space="preserve"> wordt vervangen door de tekst die is opgenomen in b</w:t>
      </w:r>
      <w:r w:rsidR="002D444C" w:rsidRPr="002D444C">
        <w:t>ijlage IV bij deze verordening.</w:t>
      </w:r>
    </w:p>
    <w:p w14:paraId="3B487D51" w14:textId="77777777" w:rsidR="004273AC" w:rsidRPr="002D444C" w:rsidRDefault="00D63710">
      <w:r w:rsidRPr="002D444C">
        <w:t>(</w:t>
      </w:r>
      <w:r w:rsidRPr="00A7327F">
        <w:t>8</w:t>
      </w:r>
      <w:r w:rsidRPr="002D444C">
        <w:t>)</w:t>
      </w:r>
      <w:r w:rsidRPr="002D444C">
        <w:tab/>
        <w:t xml:space="preserve">Bijlage V bij Uitvoeringsverordening (EU) nr. </w:t>
      </w:r>
      <w:r w:rsidRPr="00A7327F">
        <w:t>680</w:t>
      </w:r>
      <w:r w:rsidRPr="002D444C">
        <w:t>/</w:t>
      </w:r>
      <w:r w:rsidRPr="00A7327F">
        <w:t>2014</w:t>
      </w:r>
      <w:r w:rsidRPr="002D444C">
        <w:t xml:space="preserve"> wordt vervangen door de tekst die is opgenomen in bijlage V bij deze verordening.</w:t>
      </w:r>
    </w:p>
    <w:p w14:paraId="66FC58ED" w14:textId="77777777" w:rsidR="004273AC" w:rsidRPr="002D444C" w:rsidRDefault="00D63710">
      <w:r w:rsidRPr="002D444C">
        <w:t>(</w:t>
      </w:r>
      <w:r w:rsidRPr="00A7327F">
        <w:t>9</w:t>
      </w:r>
      <w:r w:rsidRPr="002D444C">
        <w:t>)</w:t>
      </w:r>
      <w:r w:rsidRPr="002D444C">
        <w:tab/>
        <w:t xml:space="preserve">Bijlage XVIII bij Uitvoeringsverordening (EU) nr. </w:t>
      </w:r>
      <w:r w:rsidRPr="00A7327F">
        <w:t>680</w:t>
      </w:r>
      <w:r w:rsidRPr="002D444C">
        <w:t>/</w:t>
      </w:r>
      <w:r w:rsidRPr="00A7327F">
        <w:t>2014</w:t>
      </w:r>
      <w:r w:rsidRPr="002D444C">
        <w:t xml:space="preserve"> wordt vervangen door de tekst die is opgenomen in bijlage VI bij deze verordening.</w:t>
      </w:r>
    </w:p>
    <w:p w14:paraId="79EC6764" w14:textId="23DA2210" w:rsidR="004273AC" w:rsidRPr="002D444C" w:rsidRDefault="00D63710">
      <w:r w:rsidRPr="002D444C">
        <w:t>(</w:t>
      </w:r>
      <w:r w:rsidRPr="00A7327F">
        <w:t>10</w:t>
      </w:r>
      <w:r w:rsidRPr="002D444C">
        <w:t>)</w:t>
      </w:r>
      <w:r w:rsidRPr="002D444C">
        <w:tab/>
        <w:t xml:space="preserve">Bijlage XIX bij Uitvoeringsverordening (EU) nr. </w:t>
      </w:r>
      <w:r w:rsidRPr="00A7327F">
        <w:t>680</w:t>
      </w:r>
      <w:r w:rsidRPr="002D444C">
        <w:t>/</w:t>
      </w:r>
      <w:r w:rsidRPr="00A7327F">
        <w:t>2014</w:t>
      </w:r>
      <w:r w:rsidRPr="002D444C">
        <w:t xml:space="preserve"> wordt vervangen door de tekst die is opgenomen in bij</w:t>
      </w:r>
      <w:r w:rsidR="002D444C" w:rsidRPr="002D444C">
        <w:t>lage VII bij deze verordening.</w:t>
      </w:r>
    </w:p>
    <w:p w14:paraId="7D476BB9" w14:textId="77777777" w:rsidR="004273AC" w:rsidRPr="002D444C" w:rsidRDefault="00D63710">
      <w:r w:rsidRPr="002D444C">
        <w:t>(</w:t>
      </w:r>
      <w:r w:rsidRPr="00A7327F">
        <w:t>11</w:t>
      </w:r>
      <w:r w:rsidRPr="002D444C">
        <w:t>)</w:t>
      </w:r>
      <w:r w:rsidRPr="002D444C">
        <w:tab/>
        <w:t xml:space="preserve">Bijlage XXIV bij Uitvoeringsverordening (EU) nr. </w:t>
      </w:r>
      <w:r w:rsidRPr="00A7327F">
        <w:t>680</w:t>
      </w:r>
      <w:r w:rsidRPr="002D444C">
        <w:t>/</w:t>
      </w:r>
      <w:r w:rsidRPr="00A7327F">
        <w:t>2014</w:t>
      </w:r>
      <w:r w:rsidRPr="002D444C">
        <w:t xml:space="preserve"> wordt vervangen door de tekst die is opgenomen in bijlage VIII bij deze verordening.</w:t>
      </w:r>
    </w:p>
    <w:p w14:paraId="37FC96E9" w14:textId="77777777" w:rsidR="004273AC" w:rsidRPr="002D444C" w:rsidRDefault="00D63710">
      <w:r w:rsidRPr="002D444C">
        <w:t>(</w:t>
      </w:r>
      <w:r w:rsidRPr="00A7327F">
        <w:t>12</w:t>
      </w:r>
      <w:r w:rsidRPr="002D444C">
        <w:t>)</w:t>
      </w:r>
      <w:r w:rsidRPr="002D444C">
        <w:tab/>
        <w:t xml:space="preserve">Bijlage XXV bij Uitvoeringsverordening (EU) nr. </w:t>
      </w:r>
      <w:r w:rsidRPr="00A7327F">
        <w:t>680</w:t>
      </w:r>
      <w:r w:rsidRPr="002D444C">
        <w:t>/</w:t>
      </w:r>
      <w:r w:rsidRPr="00A7327F">
        <w:t>2014</w:t>
      </w:r>
      <w:r w:rsidRPr="002D444C">
        <w:t xml:space="preserve"> wordt vervangen door de tekst die is opgenomen in bijlage IX bij deze verordening.</w:t>
      </w:r>
    </w:p>
    <w:p w14:paraId="7036487A" w14:textId="77777777" w:rsidR="004273AC" w:rsidRPr="002D444C" w:rsidRDefault="001B445C">
      <w:pPr>
        <w:pStyle w:val="Titrearticle"/>
        <w:keepLines/>
        <w:rPr>
          <w:color w:val="000000"/>
          <w:szCs w:val="24"/>
        </w:rPr>
      </w:pPr>
      <w:r w:rsidRPr="002D444C">
        <w:t xml:space="preserve">Artikel </w:t>
      </w:r>
      <w:r w:rsidRPr="00A7327F">
        <w:t>2</w:t>
      </w:r>
    </w:p>
    <w:p w14:paraId="6D87565F" w14:textId="66470D21" w:rsidR="004273AC" w:rsidRPr="002D444C" w:rsidRDefault="001B445C">
      <w:pPr>
        <w:rPr>
          <w:color w:val="000000"/>
          <w:szCs w:val="24"/>
        </w:rPr>
      </w:pPr>
      <w:r w:rsidRPr="002D444C">
        <w:t xml:space="preserve">Deze verordening treedt in werking op de twintigste dag na die van de bekendmaking ervan in het </w:t>
      </w:r>
      <w:r w:rsidRPr="002D444C">
        <w:rPr>
          <w:i/>
        </w:rPr>
        <w:t>Publicatieblad van de Europese Unie</w:t>
      </w:r>
      <w:r w:rsidRPr="002D444C">
        <w:t>.</w:t>
      </w:r>
    </w:p>
    <w:p w14:paraId="7C0963A2" w14:textId="4ECFA9D7" w:rsidR="004273AC" w:rsidRPr="002D444C" w:rsidRDefault="00FB65A6">
      <w:pPr>
        <w:rPr>
          <w:color w:val="000000"/>
          <w:szCs w:val="24"/>
        </w:rPr>
      </w:pPr>
      <w:r w:rsidRPr="002D444C">
        <w:t>De punten </w:t>
      </w:r>
      <w:r w:rsidRPr="00A7327F">
        <w:t>1</w:t>
      </w:r>
      <w:r w:rsidRPr="002D444C">
        <w:t xml:space="preserve">, </w:t>
      </w:r>
      <w:r w:rsidRPr="00A7327F">
        <w:t>4</w:t>
      </w:r>
      <w:r w:rsidRPr="002D444C">
        <w:t xml:space="preserve"> en </w:t>
      </w:r>
      <w:r w:rsidRPr="00A7327F">
        <w:t>5</w:t>
      </w:r>
      <w:r w:rsidRPr="002D444C">
        <w:t xml:space="preserve"> van artikel </w:t>
      </w:r>
      <w:r w:rsidRPr="00A7327F">
        <w:t>1</w:t>
      </w:r>
      <w:r w:rsidRPr="002D444C">
        <w:t xml:space="preserve"> zijn van toepassing vanaf </w:t>
      </w:r>
      <w:r w:rsidRPr="00A7327F">
        <w:t>30</w:t>
      </w:r>
      <w:r w:rsidRPr="002D444C">
        <w:t xml:space="preserve"> maart </w:t>
      </w:r>
      <w:r w:rsidRPr="00A7327F">
        <w:t>2020</w:t>
      </w:r>
      <w:r w:rsidRPr="002D444C">
        <w:t>. De punten </w:t>
      </w:r>
      <w:r w:rsidRPr="00A7327F">
        <w:t>9</w:t>
      </w:r>
      <w:r w:rsidRPr="002D444C">
        <w:t xml:space="preserve"> tot en met </w:t>
      </w:r>
      <w:r w:rsidRPr="00A7327F">
        <w:t>12</w:t>
      </w:r>
      <w:r w:rsidRPr="002D444C">
        <w:t xml:space="preserve"> van artikel </w:t>
      </w:r>
      <w:r w:rsidRPr="00A7327F">
        <w:t>1</w:t>
      </w:r>
      <w:r w:rsidRPr="002D444C">
        <w:t xml:space="preserve"> zijn van toepassing vanaf </w:t>
      </w:r>
      <w:r w:rsidRPr="00A7327F">
        <w:t>1</w:t>
      </w:r>
      <w:r w:rsidRPr="002D444C">
        <w:t xml:space="preserve"> april </w:t>
      </w:r>
      <w:r w:rsidRPr="00A7327F">
        <w:t>2020</w:t>
      </w:r>
      <w:r w:rsidRPr="002D444C">
        <w:t>. De punten </w:t>
      </w:r>
      <w:r w:rsidRPr="00A7327F">
        <w:t>2</w:t>
      </w:r>
      <w:r w:rsidRPr="002D444C">
        <w:t xml:space="preserve">, </w:t>
      </w:r>
      <w:r w:rsidRPr="00A7327F">
        <w:t>3</w:t>
      </w:r>
      <w:r w:rsidRPr="002D444C">
        <w:t xml:space="preserve"> en </w:t>
      </w:r>
      <w:r w:rsidRPr="00A7327F">
        <w:t>6</w:t>
      </w:r>
      <w:r w:rsidRPr="002D444C">
        <w:t xml:space="preserve"> tot en met </w:t>
      </w:r>
      <w:r w:rsidRPr="00A7327F">
        <w:t>8</w:t>
      </w:r>
      <w:r w:rsidRPr="002D444C">
        <w:t xml:space="preserve"> van artikel </w:t>
      </w:r>
      <w:r w:rsidRPr="00A7327F">
        <w:t>1</w:t>
      </w:r>
      <w:r w:rsidRPr="002D444C">
        <w:t xml:space="preserve"> zijn van toepassing vanaf </w:t>
      </w:r>
      <w:r w:rsidRPr="00A7327F">
        <w:t>1</w:t>
      </w:r>
      <w:r w:rsidRPr="002D444C">
        <w:t xml:space="preserve"> juni </w:t>
      </w:r>
      <w:r w:rsidRPr="00A7327F">
        <w:t>2020</w:t>
      </w:r>
      <w:r w:rsidRPr="002D444C">
        <w:t>.</w:t>
      </w:r>
    </w:p>
    <w:p w14:paraId="0F403810" w14:textId="77777777" w:rsidR="004273AC" w:rsidRPr="002D444C" w:rsidRDefault="001B445C">
      <w:pPr>
        <w:rPr>
          <w:color w:val="000000"/>
          <w:szCs w:val="24"/>
        </w:rPr>
      </w:pPr>
      <w:r w:rsidRPr="002D444C">
        <w:t>Deze verordening is verbindend in al haar onderdelen en is rechtstreeks toepasselijk in elke lidstaat.</w:t>
      </w:r>
    </w:p>
    <w:p w14:paraId="2DB37B2E" w14:textId="555E19B7" w:rsidR="004273AC" w:rsidRPr="002D444C" w:rsidRDefault="002D444C" w:rsidP="002D444C">
      <w:pPr>
        <w:pStyle w:val="Fait"/>
      </w:pPr>
      <w:r w:rsidRPr="002D444C">
        <w:t>Gedaan te Brussel,</w:t>
      </w:r>
    </w:p>
    <w:p w14:paraId="5989647B" w14:textId="77777777" w:rsidR="004273AC" w:rsidRPr="002D444C" w:rsidRDefault="001B445C">
      <w:pPr>
        <w:pStyle w:val="Institutionquisigne"/>
      </w:pPr>
      <w:r w:rsidRPr="002D444C">
        <w:tab/>
        <w:t>Voor de Commissie</w:t>
      </w:r>
    </w:p>
    <w:p w14:paraId="06E0BB8C" w14:textId="7F367528" w:rsidR="004273AC" w:rsidRPr="002D444C" w:rsidRDefault="00B71BC4">
      <w:pPr>
        <w:pStyle w:val="Personnequisigne"/>
      </w:pPr>
      <w:r w:rsidRPr="002D444C">
        <w:tab/>
        <w:t>De voorzitter</w:t>
      </w:r>
      <w:r w:rsidRPr="002D444C">
        <w:br/>
      </w:r>
      <w:r w:rsidRPr="002D444C">
        <w:tab/>
        <w:t>Ursula von der Leyen</w:t>
      </w:r>
    </w:p>
    <w:sectPr w:rsidR="004273AC" w:rsidRPr="002D444C" w:rsidSect="00A7327F">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9A566" w14:textId="77777777" w:rsidR="004273AC" w:rsidRDefault="001D2590">
      <w:r>
        <w:separator/>
      </w:r>
    </w:p>
    <w:p w14:paraId="169B0B81" w14:textId="77777777" w:rsidR="004273AC" w:rsidRDefault="004273AC"/>
    <w:p w14:paraId="55151859" w14:textId="77777777" w:rsidR="004273AC" w:rsidRDefault="004273AC"/>
  </w:endnote>
  <w:endnote w:type="continuationSeparator" w:id="0">
    <w:p w14:paraId="1F1B705E" w14:textId="77777777" w:rsidR="004273AC" w:rsidRDefault="001D2590">
      <w:r>
        <w:continuationSeparator/>
      </w:r>
    </w:p>
    <w:p w14:paraId="7AB27653" w14:textId="77777777" w:rsidR="004273AC" w:rsidRDefault="004273AC"/>
    <w:p w14:paraId="2B72467D" w14:textId="77777777" w:rsidR="004273AC" w:rsidRDefault="004273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0CF62" w14:textId="7718CE30" w:rsidR="002E61FA" w:rsidRPr="00A7327F" w:rsidRDefault="00A7327F" w:rsidP="00A7327F">
    <w:pPr>
      <w:pStyle w:val="Footer"/>
      <w:rPr>
        <w:rFonts w:ascii="Arial" w:hAnsi="Arial" w:cs="Arial"/>
        <w:b/>
        <w:sz w:val="48"/>
      </w:rPr>
    </w:pPr>
    <w:r w:rsidRPr="00A7327F">
      <w:rPr>
        <w:rFonts w:ascii="Arial" w:hAnsi="Arial" w:cs="Arial"/>
        <w:b/>
        <w:sz w:val="48"/>
      </w:rPr>
      <w:t>NL</w:t>
    </w:r>
    <w:r w:rsidRPr="00A7327F">
      <w:rPr>
        <w:rFonts w:ascii="Arial" w:hAnsi="Arial" w:cs="Arial"/>
        <w:b/>
        <w:sz w:val="48"/>
      </w:rPr>
      <w:tab/>
    </w:r>
    <w:r w:rsidRPr="00A7327F">
      <w:rPr>
        <w:rFonts w:ascii="Arial" w:hAnsi="Arial" w:cs="Arial"/>
        <w:b/>
        <w:sz w:val="48"/>
      </w:rPr>
      <w:tab/>
    </w:r>
    <w:r w:rsidRPr="00A7327F">
      <w:tab/>
    </w:r>
    <w:r w:rsidRPr="00A7327F">
      <w:rPr>
        <w:rFonts w:ascii="Arial" w:hAnsi="Arial" w:cs="Arial"/>
        <w:b/>
        <w:sz w:val="48"/>
      </w:rPr>
      <w:t>NL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E1F90" w14:textId="493CB098" w:rsidR="00A7327F" w:rsidRPr="00A7327F" w:rsidRDefault="00A7327F" w:rsidP="00A7327F">
    <w:pPr>
      <w:pStyle w:val="Footer"/>
      <w:rPr>
        <w:rFonts w:ascii="Arial" w:hAnsi="Arial" w:cs="Arial"/>
        <w:b/>
        <w:sz w:val="48"/>
      </w:rPr>
    </w:pPr>
    <w:r w:rsidRPr="00A7327F">
      <w:rPr>
        <w:rFonts w:ascii="Arial" w:hAnsi="Arial" w:cs="Arial"/>
        <w:b/>
        <w:sz w:val="48"/>
      </w:rPr>
      <w:t>NL</w:t>
    </w:r>
    <w:r w:rsidRPr="00A7327F">
      <w:rPr>
        <w:rFonts w:ascii="Arial" w:hAnsi="Arial" w:cs="Arial"/>
        <w:b/>
        <w:sz w:val="48"/>
      </w:rPr>
      <w:tab/>
    </w:r>
    <w:r>
      <w:fldChar w:fldCharType="begin"/>
    </w:r>
    <w:r>
      <w:instrText xml:space="preserve"> PAGE  \* MERGEFORMAT </w:instrText>
    </w:r>
    <w:r>
      <w:fldChar w:fldCharType="separate"/>
    </w:r>
    <w:r w:rsidR="00BF6AA1">
      <w:rPr>
        <w:noProof/>
      </w:rPr>
      <w:t>1</w:t>
    </w:r>
    <w:r>
      <w:fldChar w:fldCharType="end"/>
    </w:r>
    <w:r>
      <w:tab/>
    </w:r>
    <w:r w:rsidRPr="00A7327F">
      <w:tab/>
    </w:r>
    <w:r w:rsidRPr="00A7327F">
      <w:rPr>
        <w:rFonts w:ascii="Arial" w:hAnsi="Arial" w:cs="Arial"/>
        <w:b/>
        <w:sz w:val="48"/>
      </w:rPr>
      <w:t>NL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472CB" w14:textId="77777777" w:rsidR="00A7327F" w:rsidRPr="00A7327F" w:rsidRDefault="00A7327F" w:rsidP="00A732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8417A" w14:textId="77777777" w:rsidR="004273AC" w:rsidRDefault="001D2590">
      <w:r>
        <w:separator/>
      </w:r>
    </w:p>
    <w:p w14:paraId="5DA4DBEE" w14:textId="77777777" w:rsidR="004273AC" w:rsidRDefault="004273AC"/>
    <w:p w14:paraId="189627FC" w14:textId="77777777" w:rsidR="004273AC" w:rsidRDefault="004273AC"/>
  </w:footnote>
  <w:footnote w:type="continuationSeparator" w:id="0">
    <w:p w14:paraId="3B46B728" w14:textId="77777777" w:rsidR="004273AC" w:rsidRDefault="001D2590">
      <w:r>
        <w:continuationSeparator/>
      </w:r>
    </w:p>
    <w:p w14:paraId="22ED3C12" w14:textId="77777777" w:rsidR="004273AC" w:rsidRDefault="004273AC"/>
    <w:p w14:paraId="02263D68" w14:textId="77777777" w:rsidR="004273AC" w:rsidRDefault="004273AC"/>
  </w:footnote>
  <w:footnote w:id="1">
    <w:p w14:paraId="3904D8AB" w14:textId="22916591" w:rsidR="004273AC" w:rsidRDefault="00363BA4">
      <w:pPr>
        <w:pStyle w:val="FootnoteText"/>
      </w:pPr>
      <w:r>
        <w:rPr>
          <w:rStyle w:val="FootnoteReference"/>
        </w:rPr>
        <w:footnoteRef/>
      </w:r>
      <w:r>
        <w:tab/>
        <w:t>PB L </w:t>
      </w:r>
      <w:r w:rsidRPr="00A7327F">
        <w:t>176</w:t>
      </w:r>
      <w:r>
        <w:t xml:space="preserve"> van </w:t>
      </w:r>
      <w:r w:rsidRPr="00A7327F">
        <w:t>27</w:t>
      </w:r>
      <w:r>
        <w:t>.</w:t>
      </w:r>
      <w:r w:rsidRPr="00A7327F">
        <w:t>6</w:t>
      </w:r>
      <w:r>
        <w:t>.</w:t>
      </w:r>
      <w:r w:rsidRPr="00A7327F">
        <w:t>2013</w:t>
      </w:r>
      <w:r>
        <w:t>, blz. </w:t>
      </w:r>
      <w:r w:rsidRPr="00A7327F">
        <w:t>1</w:t>
      </w:r>
      <w:r>
        <w:t>.</w:t>
      </w:r>
    </w:p>
  </w:footnote>
  <w:footnote w:id="2">
    <w:p w14:paraId="52F74E0C" w14:textId="72E7A7A0" w:rsidR="004273AC" w:rsidRDefault="00363BA4">
      <w:pPr>
        <w:pStyle w:val="FootnoteText"/>
      </w:pPr>
      <w:r>
        <w:rPr>
          <w:rStyle w:val="FootnoteReference"/>
        </w:rPr>
        <w:footnoteRef/>
      </w:r>
      <w:r>
        <w:tab/>
        <w:t xml:space="preserve">Uitvoeringsverordening (EU) nr. </w:t>
      </w:r>
      <w:r w:rsidRPr="00A7327F">
        <w:t>680</w:t>
      </w:r>
      <w:r>
        <w:t>/</w:t>
      </w:r>
      <w:r w:rsidRPr="00A7327F">
        <w:t>2014</w:t>
      </w:r>
      <w:r>
        <w:t xml:space="preserve"> van de Commissie van </w:t>
      </w:r>
      <w:r w:rsidRPr="00A7327F">
        <w:t>16</w:t>
      </w:r>
      <w:r>
        <w:t xml:space="preserve"> april </w:t>
      </w:r>
      <w:r w:rsidRPr="00A7327F">
        <w:t>2014</w:t>
      </w:r>
      <w:r>
        <w:t xml:space="preserve"> tot vaststelling van technische uitvoeringsnormen voor wat betreft de rapportage aan de toezichthoudende autoriteit door instellingen overeenkomstig Verordening (EU) nr. </w:t>
      </w:r>
      <w:r w:rsidRPr="00A7327F">
        <w:t>575</w:t>
      </w:r>
      <w:r>
        <w:t>/</w:t>
      </w:r>
      <w:r w:rsidRPr="00A7327F">
        <w:t>2013</w:t>
      </w:r>
      <w:r>
        <w:t xml:space="preserve"> van het Europees Parlement en de Raad (PB L </w:t>
      </w:r>
      <w:r w:rsidRPr="00A7327F">
        <w:t>191</w:t>
      </w:r>
      <w:r>
        <w:t xml:space="preserve"> van </w:t>
      </w:r>
      <w:r w:rsidRPr="00A7327F">
        <w:t>28</w:t>
      </w:r>
      <w:r>
        <w:t>.</w:t>
      </w:r>
      <w:r w:rsidRPr="00A7327F">
        <w:t>6</w:t>
      </w:r>
      <w:r>
        <w:t>.</w:t>
      </w:r>
      <w:r w:rsidRPr="00A7327F">
        <w:t>2014</w:t>
      </w:r>
      <w:r>
        <w:t>, blz. </w:t>
      </w:r>
      <w:r w:rsidRPr="00A7327F">
        <w:t>1</w:t>
      </w:r>
      <w:r>
        <w:t>).</w:t>
      </w:r>
    </w:p>
  </w:footnote>
  <w:footnote w:id="3">
    <w:p w14:paraId="061DE31E" w14:textId="2680ACA0" w:rsidR="004273AC" w:rsidRPr="002D444C" w:rsidRDefault="00363BA4">
      <w:pPr>
        <w:pStyle w:val="FootnoteText"/>
        <w:rPr>
          <w:lang w:val="fr-BE"/>
        </w:rPr>
      </w:pPr>
      <w:r>
        <w:rPr>
          <w:rStyle w:val="FootnoteReference"/>
        </w:rPr>
        <w:footnoteRef/>
      </w:r>
      <w:r w:rsidRPr="002D444C">
        <w:rPr>
          <w:lang w:val="fr-BE"/>
        </w:rPr>
        <w:tab/>
        <w:t xml:space="preserve">Verordening (EU) </w:t>
      </w:r>
      <w:r w:rsidRPr="00A7327F">
        <w:rPr>
          <w:lang w:val="fr-BE"/>
        </w:rPr>
        <w:t>2017</w:t>
      </w:r>
      <w:r w:rsidRPr="002D444C">
        <w:rPr>
          <w:lang w:val="fr-BE"/>
        </w:rPr>
        <w:t>/</w:t>
      </w:r>
      <w:r w:rsidRPr="00A7327F">
        <w:rPr>
          <w:lang w:val="fr-BE"/>
        </w:rPr>
        <w:t>2402</w:t>
      </w:r>
      <w:r w:rsidRPr="002D444C">
        <w:rPr>
          <w:lang w:val="fr-BE"/>
        </w:rPr>
        <w:t xml:space="preserve"> van het Europees Parlement en de Raad van </w:t>
      </w:r>
      <w:r w:rsidRPr="00A7327F">
        <w:rPr>
          <w:lang w:val="fr-BE"/>
        </w:rPr>
        <w:t>12</w:t>
      </w:r>
      <w:r w:rsidRPr="002D444C">
        <w:rPr>
          <w:lang w:val="fr-BE"/>
        </w:rPr>
        <w:t xml:space="preserve"> december </w:t>
      </w:r>
      <w:r w:rsidRPr="00A7327F">
        <w:rPr>
          <w:lang w:val="fr-BE"/>
        </w:rPr>
        <w:t>2017</w:t>
      </w:r>
      <w:r w:rsidRPr="002D444C">
        <w:rPr>
          <w:lang w:val="fr-BE"/>
        </w:rPr>
        <w:t xml:space="preserve"> tot vaststelling van een algemeen kader voor securitisatie en tot instelling van een specifiek kader voor eenvoudige, transparante en gestandaardiseerde securitisatie, en tot wijziging van de Richtlijnen </w:t>
      </w:r>
      <w:r w:rsidRPr="00A7327F">
        <w:rPr>
          <w:lang w:val="fr-BE"/>
        </w:rPr>
        <w:t>2009</w:t>
      </w:r>
      <w:r w:rsidRPr="002D444C">
        <w:rPr>
          <w:lang w:val="fr-BE"/>
        </w:rPr>
        <w:t>/</w:t>
      </w:r>
      <w:r w:rsidRPr="00A7327F">
        <w:rPr>
          <w:lang w:val="fr-BE"/>
        </w:rPr>
        <w:t>65</w:t>
      </w:r>
      <w:r w:rsidRPr="002D444C">
        <w:rPr>
          <w:lang w:val="fr-BE"/>
        </w:rPr>
        <w:t xml:space="preserve">/EG, </w:t>
      </w:r>
      <w:r w:rsidRPr="00A7327F">
        <w:rPr>
          <w:lang w:val="fr-BE"/>
        </w:rPr>
        <w:t>2009</w:t>
      </w:r>
      <w:r w:rsidRPr="002D444C">
        <w:rPr>
          <w:lang w:val="fr-BE"/>
        </w:rPr>
        <w:t>/</w:t>
      </w:r>
      <w:r w:rsidRPr="00A7327F">
        <w:rPr>
          <w:lang w:val="fr-BE"/>
        </w:rPr>
        <w:t>138</w:t>
      </w:r>
      <w:r w:rsidRPr="002D444C">
        <w:rPr>
          <w:lang w:val="fr-BE"/>
        </w:rPr>
        <w:t xml:space="preserve">/EG en </w:t>
      </w:r>
      <w:r w:rsidRPr="00A7327F">
        <w:rPr>
          <w:lang w:val="fr-BE"/>
        </w:rPr>
        <w:t>2011</w:t>
      </w:r>
      <w:r w:rsidRPr="002D444C">
        <w:rPr>
          <w:lang w:val="fr-BE"/>
        </w:rPr>
        <w:t>/</w:t>
      </w:r>
      <w:r w:rsidRPr="00A7327F">
        <w:rPr>
          <w:lang w:val="fr-BE"/>
        </w:rPr>
        <w:t>61</w:t>
      </w:r>
      <w:r w:rsidRPr="002D444C">
        <w:rPr>
          <w:lang w:val="fr-BE"/>
        </w:rPr>
        <w:t xml:space="preserve">/EU en de Verordeningen (EG) nr. </w:t>
      </w:r>
      <w:r w:rsidRPr="00A7327F">
        <w:rPr>
          <w:lang w:val="fr-BE"/>
        </w:rPr>
        <w:t>1060</w:t>
      </w:r>
      <w:r w:rsidRPr="002D444C">
        <w:rPr>
          <w:lang w:val="fr-BE"/>
        </w:rPr>
        <w:t>/</w:t>
      </w:r>
      <w:r w:rsidRPr="00A7327F">
        <w:rPr>
          <w:lang w:val="fr-BE"/>
        </w:rPr>
        <w:t>2009</w:t>
      </w:r>
      <w:r w:rsidRPr="002D444C">
        <w:rPr>
          <w:lang w:val="fr-BE"/>
        </w:rPr>
        <w:t xml:space="preserve"> en (EU) nr. </w:t>
      </w:r>
      <w:r w:rsidRPr="00A7327F">
        <w:rPr>
          <w:lang w:val="fr-BE"/>
        </w:rPr>
        <w:t>648</w:t>
      </w:r>
      <w:r w:rsidRPr="002D444C">
        <w:rPr>
          <w:lang w:val="fr-BE"/>
        </w:rPr>
        <w:t>/</w:t>
      </w:r>
      <w:r w:rsidRPr="00A7327F">
        <w:rPr>
          <w:lang w:val="fr-BE"/>
        </w:rPr>
        <w:t>2012</w:t>
      </w:r>
      <w:r w:rsidRPr="002D444C">
        <w:rPr>
          <w:lang w:val="fr-BE"/>
        </w:rPr>
        <w:t xml:space="preserve"> </w:t>
      </w:r>
      <w:r w:rsidRPr="002D444C">
        <w:rPr>
          <w:rStyle w:val="Emphasis"/>
          <w:i w:val="0"/>
          <w:lang w:val="fr-BE"/>
        </w:rPr>
        <w:t>(PB L </w:t>
      </w:r>
      <w:r w:rsidRPr="00A7327F">
        <w:rPr>
          <w:rStyle w:val="Emphasis"/>
          <w:i w:val="0"/>
          <w:lang w:val="fr-BE"/>
        </w:rPr>
        <w:t>347</w:t>
      </w:r>
      <w:r w:rsidRPr="002D444C">
        <w:rPr>
          <w:rStyle w:val="Emphasis"/>
          <w:i w:val="0"/>
          <w:lang w:val="fr-BE"/>
        </w:rPr>
        <w:t xml:space="preserve"> van </w:t>
      </w:r>
      <w:r w:rsidRPr="00A7327F">
        <w:rPr>
          <w:rStyle w:val="Emphasis"/>
          <w:i w:val="0"/>
          <w:lang w:val="fr-BE"/>
        </w:rPr>
        <w:t>28</w:t>
      </w:r>
      <w:r w:rsidRPr="002D444C">
        <w:rPr>
          <w:rStyle w:val="Emphasis"/>
          <w:i w:val="0"/>
          <w:lang w:val="fr-BE"/>
        </w:rPr>
        <w:t>.</w:t>
      </w:r>
      <w:r w:rsidRPr="00A7327F">
        <w:rPr>
          <w:rStyle w:val="Emphasis"/>
          <w:i w:val="0"/>
          <w:lang w:val="fr-BE"/>
        </w:rPr>
        <w:t>12</w:t>
      </w:r>
      <w:r w:rsidRPr="002D444C">
        <w:rPr>
          <w:rStyle w:val="Emphasis"/>
          <w:i w:val="0"/>
          <w:lang w:val="fr-BE"/>
        </w:rPr>
        <w:t>.</w:t>
      </w:r>
      <w:r w:rsidRPr="00A7327F">
        <w:rPr>
          <w:rStyle w:val="Emphasis"/>
          <w:i w:val="0"/>
          <w:lang w:val="fr-BE"/>
        </w:rPr>
        <w:t>2017</w:t>
      </w:r>
      <w:r w:rsidRPr="002D444C">
        <w:rPr>
          <w:rStyle w:val="Emphasis"/>
          <w:i w:val="0"/>
          <w:lang w:val="fr-BE"/>
        </w:rPr>
        <w:t>, blz. </w:t>
      </w:r>
      <w:r w:rsidRPr="00A7327F">
        <w:rPr>
          <w:rStyle w:val="Emphasis"/>
          <w:i w:val="0"/>
          <w:lang w:val="fr-BE"/>
        </w:rPr>
        <w:t>35</w:t>
      </w:r>
      <w:r w:rsidRPr="002D444C">
        <w:rPr>
          <w:rStyle w:val="Emphasis"/>
          <w:i w:val="0"/>
          <w:lang w:val="fr-BE"/>
        </w:rPr>
        <w:t>)</w:t>
      </w:r>
      <w:r w:rsidRPr="002D444C">
        <w:rPr>
          <w:lang w:val="fr-BE"/>
        </w:rPr>
        <w:t>.</w:t>
      </w:r>
    </w:p>
  </w:footnote>
  <w:footnote w:id="4">
    <w:p w14:paraId="2FE98FB0" w14:textId="61F4F1DB" w:rsidR="004273AC" w:rsidRDefault="00363BA4">
      <w:pPr>
        <w:pStyle w:val="FootnoteText"/>
      </w:pPr>
      <w:r>
        <w:rPr>
          <w:rStyle w:val="FootnoteReference"/>
        </w:rPr>
        <w:footnoteRef/>
      </w:r>
      <w:r>
        <w:tab/>
        <w:t xml:space="preserve">Verordening (EG) nr. </w:t>
      </w:r>
      <w:r w:rsidRPr="00A7327F">
        <w:t>1126</w:t>
      </w:r>
      <w:r>
        <w:t>/</w:t>
      </w:r>
      <w:r w:rsidRPr="00A7327F">
        <w:t>2008</w:t>
      </w:r>
      <w:r>
        <w:t xml:space="preserve"> van de Commissie van </w:t>
      </w:r>
      <w:r w:rsidRPr="00A7327F">
        <w:t>3</w:t>
      </w:r>
      <w:r>
        <w:t xml:space="preserve"> november </w:t>
      </w:r>
      <w:r w:rsidRPr="00A7327F">
        <w:t>2008</w:t>
      </w:r>
      <w:r>
        <w:t xml:space="preserve"> tot goedkeuring van bepaalde internationale standaarden voor jaarrekeningen overeenkomstig Verordening (EG) nr. </w:t>
      </w:r>
      <w:r w:rsidRPr="00A7327F">
        <w:t>1606</w:t>
      </w:r>
      <w:r>
        <w:t>/</w:t>
      </w:r>
      <w:r w:rsidRPr="00A7327F">
        <w:t>2002</w:t>
      </w:r>
      <w:r>
        <w:t xml:space="preserve"> van het Europees Parlement en de Raad (PB L </w:t>
      </w:r>
      <w:r w:rsidRPr="00A7327F">
        <w:t>320</w:t>
      </w:r>
      <w:r>
        <w:t xml:space="preserve"> van </w:t>
      </w:r>
      <w:r w:rsidRPr="00A7327F">
        <w:t>29</w:t>
      </w:r>
      <w:r>
        <w:t>.</w:t>
      </w:r>
      <w:r w:rsidRPr="00A7327F">
        <w:t>11</w:t>
      </w:r>
      <w:r>
        <w:t>.</w:t>
      </w:r>
      <w:r w:rsidRPr="00A7327F">
        <w:t>2008</w:t>
      </w:r>
      <w:r>
        <w:t>, blz. </w:t>
      </w:r>
      <w:r w:rsidRPr="00A7327F">
        <w:t>1</w:t>
      </w:r>
      <w:r>
        <w:t>).</w:t>
      </w:r>
    </w:p>
  </w:footnote>
  <w:footnote w:id="5">
    <w:p w14:paraId="7F61ACCF" w14:textId="77777777" w:rsidR="004273AC" w:rsidRDefault="00D913C8">
      <w:pPr>
        <w:pStyle w:val="FootnoteText"/>
      </w:pPr>
      <w:r>
        <w:rPr>
          <w:rStyle w:val="FootnoteReference"/>
        </w:rPr>
        <w:footnoteRef/>
      </w:r>
      <w:r>
        <w:tab/>
        <w:t xml:space="preserve">Verordening (EU) </w:t>
      </w:r>
      <w:r w:rsidRPr="00A7327F">
        <w:t>2017</w:t>
      </w:r>
      <w:r>
        <w:t>/</w:t>
      </w:r>
      <w:r w:rsidRPr="00A7327F">
        <w:t>1986</w:t>
      </w:r>
      <w:r>
        <w:t xml:space="preserve"> van de Commissie van </w:t>
      </w:r>
      <w:r w:rsidRPr="00A7327F">
        <w:t>31</w:t>
      </w:r>
      <w:r>
        <w:t xml:space="preserve"> oktober </w:t>
      </w:r>
      <w:r w:rsidRPr="00A7327F">
        <w:t>2017</w:t>
      </w:r>
      <w:r>
        <w:t xml:space="preserve"> houdende wijziging van Verordening (EG) nr. </w:t>
      </w:r>
      <w:r w:rsidRPr="00A7327F">
        <w:t>1126</w:t>
      </w:r>
      <w:r>
        <w:t>/</w:t>
      </w:r>
      <w:r w:rsidRPr="00A7327F">
        <w:t>2008</w:t>
      </w:r>
      <w:r>
        <w:t xml:space="preserve"> tot goedkeuring van bepaalde internationale standaarden voor jaarrekeningen overeenkomstig Verordening (EG) nr. </w:t>
      </w:r>
      <w:r w:rsidRPr="00A7327F">
        <w:t>1606</w:t>
      </w:r>
      <w:r>
        <w:t>/</w:t>
      </w:r>
      <w:r w:rsidRPr="00A7327F">
        <w:t>2002</w:t>
      </w:r>
      <w:r>
        <w:t xml:space="preserve"> van het Europees Parlement en de Raad wat International Financial Reporting Standard </w:t>
      </w:r>
      <w:r w:rsidRPr="00A7327F">
        <w:t>16</w:t>
      </w:r>
      <w:r>
        <w:t xml:space="preserve"> betreft (PB L </w:t>
      </w:r>
      <w:r w:rsidRPr="00A7327F">
        <w:t>291</w:t>
      </w:r>
      <w:r>
        <w:t xml:space="preserve"> van </w:t>
      </w:r>
      <w:r w:rsidRPr="00A7327F">
        <w:t>9</w:t>
      </w:r>
      <w:r>
        <w:t>.</w:t>
      </w:r>
      <w:r w:rsidRPr="00A7327F">
        <w:t>11</w:t>
      </w:r>
      <w:r>
        <w:t>.</w:t>
      </w:r>
      <w:r w:rsidRPr="00A7327F">
        <w:t>2017</w:t>
      </w:r>
      <w:r>
        <w:t>, blz. </w:t>
      </w:r>
      <w:r w:rsidRPr="00A7327F">
        <w:t>1</w:t>
      </w:r>
      <w:r>
        <w:t>).</w:t>
      </w:r>
    </w:p>
  </w:footnote>
  <w:footnote w:id="6">
    <w:p w14:paraId="612F860C" w14:textId="77777777" w:rsidR="004273AC" w:rsidRDefault="00952426">
      <w:pPr>
        <w:pStyle w:val="FootnoteText"/>
      </w:pPr>
      <w:r>
        <w:rPr>
          <w:rStyle w:val="FootnoteReference"/>
        </w:rPr>
        <w:footnoteRef/>
      </w:r>
      <w:r>
        <w:tab/>
        <w:t xml:space="preserve">Gedelegeerde Verordening (EU) </w:t>
      </w:r>
      <w:r w:rsidRPr="00A7327F">
        <w:t>2015</w:t>
      </w:r>
      <w:r>
        <w:t>/</w:t>
      </w:r>
      <w:r w:rsidRPr="00A7327F">
        <w:t>61</w:t>
      </w:r>
      <w:r>
        <w:t xml:space="preserve"> van de Commissie van </w:t>
      </w:r>
      <w:r w:rsidRPr="00A7327F">
        <w:t>10</w:t>
      </w:r>
      <w:r>
        <w:t xml:space="preserve"> oktober </w:t>
      </w:r>
      <w:r w:rsidRPr="00A7327F">
        <w:t>2014</w:t>
      </w:r>
      <w:r>
        <w:t xml:space="preserve"> ter aanvulling van Verordening (EU) nr. </w:t>
      </w:r>
      <w:r w:rsidRPr="00A7327F">
        <w:t>575</w:t>
      </w:r>
      <w:r>
        <w:t>/</w:t>
      </w:r>
      <w:r w:rsidRPr="00A7327F">
        <w:t>2013</w:t>
      </w:r>
      <w:r>
        <w:t xml:space="preserve"> van het Europees Parlement en de Raad met betrekking tot het liquiditeitsdekkingsvereiste voor kredietinstellingen (PB L </w:t>
      </w:r>
      <w:r w:rsidRPr="00A7327F">
        <w:t>11</w:t>
      </w:r>
      <w:r>
        <w:t xml:space="preserve"> van </w:t>
      </w:r>
      <w:r w:rsidRPr="00A7327F">
        <w:t>17</w:t>
      </w:r>
      <w:r>
        <w:t>.</w:t>
      </w:r>
      <w:r w:rsidRPr="00A7327F">
        <w:t>1</w:t>
      </w:r>
      <w:r>
        <w:t>.</w:t>
      </w:r>
      <w:r w:rsidRPr="00A7327F">
        <w:t>2015</w:t>
      </w:r>
      <w:r>
        <w:t>, blz. </w:t>
      </w:r>
      <w:r w:rsidRPr="00A7327F">
        <w:t>1</w:t>
      </w:r>
      <w:r>
        <w:t>).</w:t>
      </w:r>
    </w:p>
  </w:footnote>
  <w:footnote w:id="7">
    <w:p w14:paraId="77365625" w14:textId="77777777" w:rsidR="004273AC" w:rsidRDefault="00952426">
      <w:pPr>
        <w:pStyle w:val="FootnoteText"/>
      </w:pPr>
      <w:r>
        <w:rPr>
          <w:rStyle w:val="FootnoteReference"/>
        </w:rPr>
        <w:footnoteRef/>
      </w:r>
      <w:r>
        <w:tab/>
        <w:t xml:space="preserve">Gedelegeerde Verordening (EU) </w:t>
      </w:r>
      <w:r w:rsidRPr="00A7327F">
        <w:t>2018</w:t>
      </w:r>
      <w:r>
        <w:t>/</w:t>
      </w:r>
      <w:r w:rsidRPr="00A7327F">
        <w:t>1620</w:t>
      </w:r>
      <w:r>
        <w:t xml:space="preserve"> van de Commissie van </w:t>
      </w:r>
      <w:r w:rsidRPr="00A7327F">
        <w:t>13</w:t>
      </w:r>
      <w:r>
        <w:t xml:space="preserve"> juli </w:t>
      </w:r>
      <w:r w:rsidRPr="00A7327F">
        <w:t>2018</w:t>
      </w:r>
      <w:r>
        <w:t xml:space="preserve"> tot wijziging van Gedelegeerde Verordening (EU) </w:t>
      </w:r>
      <w:r w:rsidRPr="00A7327F">
        <w:t>2015</w:t>
      </w:r>
      <w:r>
        <w:t>/</w:t>
      </w:r>
      <w:r w:rsidRPr="00A7327F">
        <w:t>61</w:t>
      </w:r>
      <w:r>
        <w:t xml:space="preserve"> ter aanvulling van Verordening (EU) nr. </w:t>
      </w:r>
      <w:r w:rsidRPr="00A7327F">
        <w:t>575</w:t>
      </w:r>
      <w:r>
        <w:t>/</w:t>
      </w:r>
      <w:r w:rsidRPr="00A7327F">
        <w:t>2013</w:t>
      </w:r>
      <w:r>
        <w:t xml:space="preserve"> van het Europees Parlement en de Raad met betrekking tot het liquiditeitsdekkingsvereiste voor kredietinstellingen (PB L </w:t>
      </w:r>
      <w:r w:rsidRPr="00A7327F">
        <w:t>271</w:t>
      </w:r>
      <w:r>
        <w:t xml:space="preserve"> van </w:t>
      </w:r>
      <w:r w:rsidRPr="00A7327F">
        <w:t>30</w:t>
      </w:r>
      <w:r>
        <w:t>.</w:t>
      </w:r>
      <w:r w:rsidRPr="00A7327F">
        <w:t>10</w:t>
      </w:r>
      <w:r>
        <w:t>.</w:t>
      </w:r>
      <w:r w:rsidRPr="00A7327F">
        <w:t>2018</w:t>
      </w:r>
      <w:r>
        <w:t>, blz. </w:t>
      </w:r>
      <w:r w:rsidRPr="00A7327F">
        <w:t>10</w:t>
      </w:r>
      <w:r>
        <w:t>).</w:t>
      </w:r>
    </w:p>
  </w:footnote>
  <w:footnote w:id="8">
    <w:p w14:paraId="7A93B6D5" w14:textId="0FB38ACE" w:rsidR="004273AC" w:rsidRDefault="001B445C">
      <w:pPr>
        <w:pStyle w:val="FootnoteText"/>
      </w:pPr>
      <w:r>
        <w:rPr>
          <w:rStyle w:val="FootnoteReference"/>
        </w:rPr>
        <w:footnoteRef/>
      </w:r>
      <w:r>
        <w:tab/>
        <w:t xml:space="preserve">Verordening (EU) nr. </w:t>
      </w:r>
      <w:r w:rsidRPr="00A7327F">
        <w:t>1093</w:t>
      </w:r>
      <w:r>
        <w:t>/</w:t>
      </w:r>
      <w:r w:rsidRPr="00A7327F">
        <w:t>2010</w:t>
      </w:r>
      <w:r>
        <w:t xml:space="preserve"> van het Europees Parlement en de Raad van </w:t>
      </w:r>
      <w:r w:rsidRPr="00A7327F">
        <w:t>24</w:t>
      </w:r>
      <w:r>
        <w:t xml:space="preserve"> november </w:t>
      </w:r>
      <w:r w:rsidRPr="00A7327F">
        <w:t>2010</w:t>
      </w:r>
      <w:r>
        <w:t xml:space="preserve"> tot oprichting van een Europese toezichthoudende autoriteit (Europese Bankautoriteit), tot wijziging van Besluit nr. </w:t>
      </w:r>
      <w:r w:rsidRPr="00A7327F">
        <w:t>716</w:t>
      </w:r>
      <w:r>
        <w:t>/</w:t>
      </w:r>
      <w:r w:rsidRPr="00A7327F">
        <w:t>2009</w:t>
      </w:r>
      <w:r>
        <w:t xml:space="preserve">/EG en tot intrekking van Besluit </w:t>
      </w:r>
      <w:r w:rsidRPr="00A7327F">
        <w:t>2009</w:t>
      </w:r>
      <w:r>
        <w:t>/</w:t>
      </w:r>
      <w:r w:rsidRPr="00A7327F">
        <w:t>78</w:t>
      </w:r>
      <w:r>
        <w:t>/EG van de Commissie (PB L </w:t>
      </w:r>
      <w:r w:rsidRPr="00A7327F">
        <w:t>331</w:t>
      </w:r>
      <w:r>
        <w:t xml:space="preserve"> van </w:t>
      </w:r>
      <w:r w:rsidRPr="00A7327F">
        <w:t>15</w:t>
      </w:r>
      <w:r>
        <w:t>.</w:t>
      </w:r>
      <w:r w:rsidRPr="00A7327F">
        <w:t>12</w:t>
      </w:r>
      <w:r>
        <w:t>.</w:t>
      </w:r>
      <w:r w:rsidRPr="00A7327F">
        <w:t>2010</w:t>
      </w:r>
      <w:r>
        <w:t>, blz. </w:t>
      </w:r>
      <w:r w:rsidRPr="00A7327F">
        <w:t>12</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4CB058C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F0EC3E12"/>
    <w:lvl w:ilvl="0">
      <w:start w:val="1"/>
      <w:numFmt w:val="decimal"/>
      <w:pStyle w:val="ListNumber3"/>
      <w:lvlText w:val="%1."/>
      <w:lvlJc w:val="left"/>
      <w:pPr>
        <w:tabs>
          <w:tab w:val="num" w:pos="926"/>
        </w:tabs>
        <w:ind w:left="926" w:hanging="360"/>
      </w:pPr>
      <w:rPr>
        <w:rFonts w:cs="Times New Roman"/>
      </w:rPr>
    </w:lvl>
  </w:abstractNum>
  <w:abstractNum w:abstractNumId="2" w15:restartNumberingAfterBreak="0">
    <w:nsid w:val="FFFFFF7F"/>
    <w:multiLevelType w:val="singleLevel"/>
    <w:tmpl w:val="47143E7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FE48CAD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67E1FC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704052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A427F7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D96031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1"/>
  </w:num>
  <w:num w:numId="6">
    <w:abstractNumId w:val="6"/>
  </w:num>
  <w:num w:numId="7">
    <w:abstractNumId w:val="2"/>
  </w:num>
  <w:num w:numId="8">
    <w:abstractNumId w:val="0"/>
  </w:num>
  <w:num w:numId="9">
    <w:abstractNumId w:val="15"/>
  </w:num>
  <w:num w:numId="10">
    <w:abstractNumId w:val="22"/>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12"/>
  </w:num>
  <w:num w:numId="15">
    <w:abstractNumId w:val="21"/>
  </w:num>
  <w:num w:numId="16">
    <w:abstractNumId w:val="11"/>
  </w:num>
  <w:num w:numId="17">
    <w:abstractNumId w:val="13"/>
  </w:num>
  <w:num w:numId="18">
    <w:abstractNumId w:val="9"/>
  </w:num>
  <w:num w:numId="19">
    <w:abstractNumId w:val="20"/>
  </w:num>
  <w:num w:numId="20">
    <w:abstractNumId w:val="8"/>
  </w:num>
  <w:num w:numId="21">
    <w:abstractNumId w:val="14"/>
  </w:num>
  <w:num w:numId="22">
    <w:abstractNumId w:val="17"/>
  </w:num>
  <w:num w:numId="23">
    <w:abstractNumId w:val="18"/>
  </w:num>
  <w:num w:numId="24">
    <w:abstractNumId w:val="10"/>
  </w:num>
  <w:num w:numId="25">
    <w:abstractNumId w:val="16"/>
  </w:num>
  <w:num w:numId="26">
    <w:abstractNumId w:val="22"/>
  </w:num>
  <w:num w:numId="27">
    <w:abstractNumId w:val="19"/>
  </w:num>
  <w:num w:numId="28">
    <w:abstractNumId w:val="12"/>
  </w:num>
  <w:num w:numId="29">
    <w:abstractNumId w:val="21"/>
  </w:num>
  <w:num w:numId="30">
    <w:abstractNumId w:val="11"/>
  </w:num>
  <w:num w:numId="31">
    <w:abstractNumId w:val="13"/>
  </w:num>
  <w:num w:numId="32">
    <w:abstractNumId w:val="9"/>
  </w:num>
  <w:num w:numId="33">
    <w:abstractNumId w:val="20"/>
  </w:num>
  <w:num w:numId="34">
    <w:abstractNumId w:val="8"/>
  </w:num>
  <w:num w:numId="35">
    <w:abstractNumId w:val="14"/>
  </w:num>
  <w:num w:numId="36">
    <w:abstractNumId w:val="17"/>
  </w:num>
  <w:num w:numId="37">
    <w:abstractNumId w:val="18"/>
  </w:num>
  <w:num w:numId="38">
    <w:abstractNumId w:val="10"/>
  </w:num>
  <w:num w:numId="39">
    <w:abstractNumId w:val="16"/>
  </w:num>
  <w:num w:numId="40">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sidérant" w:val="Considérant__1"/>
    <w:docVar w:name="DQCDateTime" w:val="2020-01-23 11:59:18"/>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13"/>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D54E63D5-B1D9-4C26-ABB8-C74144C780D7"/>
    <w:docVar w:name="LW_COVERPAGE_TYPE" w:val="1"/>
    <w:docVar w:name="LW_CROSSREFERENCE" w:val="&lt;UNUSED&gt;"/>
    <w:docVar w:name="LW_DATE.ADOPT.CP" w:val="van XXX"/>
    <w:docVar w:name="LW_DATE.ADOPT.CP_DATEFORMAT" w:val="van %DATE%"/>
    <w:docVar w:name="LW_DATE.ADOPT.CP_ISODATE" w:val="&lt;EMPTY&gt;"/>
    <w:docVar w:name="LW_DocType" w:val="COM"/>
    <w:docVar w:name="LW_EMISSION" w:val="&lt;EMPTY&gt;"/>
    <w:docVar w:name="LW_EMISSION_ISODATE" w:val="&lt;EMPTY&gt;"/>
    <w:docVar w:name="LW_EMISSION_LOCATION" w:val="BRX"/>
    <w:docVar w:name="LW_EMISSION_PREFIX" w:val="Brussel, "/>
    <w:docVar w:name="LW_EMISSION_SUFFIX" w:val=" "/>
    <w:docVar w:name="LW_ID_DOCMODEL" w:val="a08"/>
    <w:docVar w:name="LW_ID_DOCSIGNATURE" w:val="SJ-004"/>
    <w:docVar w:name="LW_ID_DOCSTRUCTURE" w:val="COM/AA"/>
    <w:docVar w:name="LW_ID_DOCTYPE" w:val="SJ-004"/>
    <w:docVar w:name="LW_INTERETEEE.CP" w:val="(Voor de EER relevante tekst)"/>
    <w:docVar w:name="LW_LANGUE" w:val="NL"/>
    <w:docVar w:name="LW_LANGUESFAISANTFOI.CP" w:val="&lt;UNUSED&gt;"/>
    <w:docVar w:name="LW_LEVEL_OF_SENSITIVITY" w:val="Standard treatment"/>
    <w:docVar w:name="LW_NOM.INST" w:val="EUROPESE COMMISSIE"/>
    <w:docVar w:name="LW_NOM.INST_JOINTDOC" w:val="&lt;EMPTY&gt;"/>
    <w:docVar w:name="LW_PART_NBR" w:val="1"/>
    <w:docVar w:name="LW_PART_NBR_TOTAL" w:val="1"/>
    <w:docVar w:name="LW_REF.INST.NEW" w:val="&lt;EMPTY&gt;"/>
    <w:docVar w:name="LW_REF.INST.NEW_ADOPTED" w:val="draft"/>
    <w:docVar w:name="LW_REF.INST.NEW_TEXT" w:val="(2019)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OUS.TITRE.OBJ.CP" w:val="&lt;UNUSED&gt;"/>
    <w:docVar w:name="LW_SUPERTITRE" w:val="&lt;UNUSED&gt;"/>
    <w:docVar w:name="LW_TITRE.OBJ.CP" w:val="tot wijziging van Uitvoeringsverordening (EU) nr. 680/2014 tot vaststelling van technische uitvoeringsnormen voor wat betreft de rapportage aan de toezichthoudende autoriteit door instellingen overeenkomstig Verordening (EU) nr. 575/2013 van het Europees Parlement en de Raad"/>
    <w:docVar w:name="LW_TITRE.OBJ.CP_PREVIOUS" w:val="&lt;UNUSED&gt;"/>
    <w:docVar w:name="LW_TYPE.DOC.CP" w:val="UITVOERINGSVERORDENING (EU) \u8230?/... VAN DE COMMISSIE"/>
  </w:docVars>
  <w:rsids>
    <w:rsidRoot w:val="001B445C"/>
    <w:rsid w:val="00033C74"/>
    <w:rsid w:val="00043094"/>
    <w:rsid w:val="0005623D"/>
    <w:rsid w:val="000669A6"/>
    <w:rsid w:val="00080669"/>
    <w:rsid w:val="000827FE"/>
    <w:rsid w:val="000A4D5B"/>
    <w:rsid w:val="000A5E1E"/>
    <w:rsid w:val="000B410C"/>
    <w:rsid w:val="000B73C7"/>
    <w:rsid w:val="000C750A"/>
    <w:rsid w:val="000D34D3"/>
    <w:rsid w:val="000E135F"/>
    <w:rsid w:val="00100F75"/>
    <w:rsid w:val="00103E88"/>
    <w:rsid w:val="00121213"/>
    <w:rsid w:val="001440F6"/>
    <w:rsid w:val="00157C31"/>
    <w:rsid w:val="0016544F"/>
    <w:rsid w:val="00187535"/>
    <w:rsid w:val="00190013"/>
    <w:rsid w:val="00195CE1"/>
    <w:rsid w:val="001B41CA"/>
    <w:rsid w:val="001B42E7"/>
    <w:rsid w:val="001B445C"/>
    <w:rsid w:val="001C5A09"/>
    <w:rsid w:val="001D1851"/>
    <w:rsid w:val="001D1EAD"/>
    <w:rsid w:val="001D2590"/>
    <w:rsid w:val="00210995"/>
    <w:rsid w:val="00210D88"/>
    <w:rsid w:val="00214D98"/>
    <w:rsid w:val="00234A29"/>
    <w:rsid w:val="002452B8"/>
    <w:rsid w:val="00261239"/>
    <w:rsid w:val="00294A2C"/>
    <w:rsid w:val="002A096A"/>
    <w:rsid w:val="002A3D06"/>
    <w:rsid w:val="002B7D73"/>
    <w:rsid w:val="002C0116"/>
    <w:rsid w:val="002D1D89"/>
    <w:rsid w:val="002D444C"/>
    <w:rsid w:val="002E61FA"/>
    <w:rsid w:val="003228A8"/>
    <w:rsid w:val="00323D7B"/>
    <w:rsid w:val="00331D51"/>
    <w:rsid w:val="00346B8D"/>
    <w:rsid w:val="003516C5"/>
    <w:rsid w:val="00354C41"/>
    <w:rsid w:val="00363BA4"/>
    <w:rsid w:val="003A7F9A"/>
    <w:rsid w:val="003C12AA"/>
    <w:rsid w:val="003C3A5D"/>
    <w:rsid w:val="003E0C68"/>
    <w:rsid w:val="003E4578"/>
    <w:rsid w:val="003F04FB"/>
    <w:rsid w:val="003F5F3F"/>
    <w:rsid w:val="00400058"/>
    <w:rsid w:val="00422F73"/>
    <w:rsid w:val="004273AC"/>
    <w:rsid w:val="0044493F"/>
    <w:rsid w:val="00452D9B"/>
    <w:rsid w:val="00453AF5"/>
    <w:rsid w:val="00460A10"/>
    <w:rsid w:val="004641C1"/>
    <w:rsid w:val="0048748F"/>
    <w:rsid w:val="00492479"/>
    <w:rsid w:val="00493D25"/>
    <w:rsid w:val="0049676D"/>
    <w:rsid w:val="00497A2C"/>
    <w:rsid w:val="004A3CA0"/>
    <w:rsid w:val="004A3CB1"/>
    <w:rsid w:val="004C0193"/>
    <w:rsid w:val="004D5878"/>
    <w:rsid w:val="004E2457"/>
    <w:rsid w:val="004E4C15"/>
    <w:rsid w:val="004F23A9"/>
    <w:rsid w:val="00502C75"/>
    <w:rsid w:val="00506FC2"/>
    <w:rsid w:val="005247DA"/>
    <w:rsid w:val="00537CE5"/>
    <w:rsid w:val="005469C5"/>
    <w:rsid w:val="00553296"/>
    <w:rsid w:val="0059701E"/>
    <w:rsid w:val="005A01CC"/>
    <w:rsid w:val="005A4EAC"/>
    <w:rsid w:val="005B3C3F"/>
    <w:rsid w:val="005C370C"/>
    <w:rsid w:val="005F7896"/>
    <w:rsid w:val="00647B5C"/>
    <w:rsid w:val="0066767D"/>
    <w:rsid w:val="00686B50"/>
    <w:rsid w:val="006967B3"/>
    <w:rsid w:val="006A1323"/>
    <w:rsid w:val="006A640B"/>
    <w:rsid w:val="006B4E20"/>
    <w:rsid w:val="006E63CD"/>
    <w:rsid w:val="006E678D"/>
    <w:rsid w:val="006F34B3"/>
    <w:rsid w:val="00704E75"/>
    <w:rsid w:val="007067B7"/>
    <w:rsid w:val="0071620D"/>
    <w:rsid w:val="007369E1"/>
    <w:rsid w:val="0075391A"/>
    <w:rsid w:val="00753980"/>
    <w:rsid w:val="007545A4"/>
    <w:rsid w:val="0075661F"/>
    <w:rsid w:val="00770919"/>
    <w:rsid w:val="00775BB6"/>
    <w:rsid w:val="00776BBC"/>
    <w:rsid w:val="00785FB6"/>
    <w:rsid w:val="00790003"/>
    <w:rsid w:val="007B790A"/>
    <w:rsid w:val="007D61B3"/>
    <w:rsid w:val="007D7890"/>
    <w:rsid w:val="00814E96"/>
    <w:rsid w:val="0084057B"/>
    <w:rsid w:val="00844802"/>
    <w:rsid w:val="00854910"/>
    <w:rsid w:val="00855514"/>
    <w:rsid w:val="00867FE3"/>
    <w:rsid w:val="00897E21"/>
    <w:rsid w:val="008A0AA6"/>
    <w:rsid w:val="008A2478"/>
    <w:rsid w:val="008C22A3"/>
    <w:rsid w:val="008C48FA"/>
    <w:rsid w:val="008D09B7"/>
    <w:rsid w:val="008E268A"/>
    <w:rsid w:val="008E50CD"/>
    <w:rsid w:val="008F4EA5"/>
    <w:rsid w:val="00921359"/>
    <w:rsid w:val="0092431C"/>
    <w:rsid w:val="00940F1C"/>
    <w:rsid w:val="00945DFA"/>
    <w:rsid w:val="00946C0A"/>
    <w:rsid w:val="00952426"/>
    <w:rsid w:val="00955D63"/>
    <w:rsid w:val="009666AA"/>
    <w:rsid w:val="00967389"/>
    <w:rsid w:val="00983B03"/>
    <w:rsid w:val="00986B22"/>
    <w:rsid w:val="0099441B"/>
    <w:rsid w:val="009A64F9"/>
    <w:rsid w:val="009C0180"/>
    <w:rsid w:val="009C090E"/>
    <w:rsid w:val="009D448E"/>
    <w:rsid w:val="00A01488"/>
    <w:rsid w:val="00A24919"/>
    <w:rsid w:val="00A278FD"/>
    <w:rsid w:val="00A62DAE"/>
    <w:rsid w:val="00A66F54"/>
    <w:rsid w:val="00A7327F"/>
    <w:rsid w:val="00A826D6"/>
    <w:rsid w:val="00A8593B"/>
    <w:rsid w:val="00A9740D"/>
    <w:rsid w:val="00A97566"/>
    <w:rsid w:val="00AA63F1"/>
    <w:rsid w:val="00AB21FF"/>
    <w:rsid w:val="00AB5724"/>
    <w:rsid w:val="00AE05F8"/>
    <w:rsid w:val="00AF3BF4"/>
    <w:rsid w:val="00B14FCE"/>
    <w:rsid w:val="00B15EFC"/>
    <w:rsid w:val="00B26FCE"/>
    <w:rsid w:val="00B31B60"/>
    <w:rsid w:val="00B33376"/>
    <w:rsid w:val="00B467F6"/>
    <w:rsid w:val="00B64C30"/>
    <w:rsid w:val="00B71BC4"/>
    <w:rsid w:val="00B738F6"/>
    <w:rsid w:val="00B971E9"/>
    <w:rsid w:val="00BB5DB5"/>
    <w:rsid w:val="00BC373E"/>
    <w:rsid w:val="00BC6787"/>
    <w:rsid w:val="00BD2641"/>
    <w:rsid w:val="00BF3434"/>
    <w:rsid w:val="00BF6AA1"/>
    <w:rsid w:val="00C039DD"/>
    <w:rsid w:val="00C52F81"/>
    <w:rsid w:val="00C63439"/>
    <w:rsid w:val="00C6522F"/>
    <w:rsid w:val="00C71E1B"/>
    <w:rsid w:val="00C83DEA"/>
    <w:rsid w:val="00CB0AF7"/>
    <w:rsid w:val="00CB1A3C"/>
    <w:rsid w:val="00CC6F30"/>
    <w:rsid w:val="00CC7AB4"/>
    <w:rsid w:val="00CE7CAD"/>
    <w:rsid w:val="00D2769A"/>
    <w:rsid w:val="00D314A9"/>
    <w:rsid w:val="00D34C13"/>
    <w:rsid w:val="00D50BB7"/>
    <w:rsid w:val="00D55B25"/>
    <w:rsid w:val="00D63710"/>
    <w:rsid w:val="00D639C9"/>
    <w:rsid w:val="00D74E3F"/>
    <w:rsid w:val="00D845A9"/>
    <w:rsid w:val="00D913C8"/>
    <w:rsid w:val="00D964B3"/>
    <w:rsid w:val="00DC033D"/>
    <w:rsid w:val="00DC3927"/>
    <w:rsid w:val="00DF4957"/>
    <w:rsid w:val="00E013AC"/>
    <w:rsid w:val="00E205D3"/>
    <w:rsid w:val="00E45AE0"/>
    <w:rsid w:val="00E52742"/>
    <w:rsid w:val="00E5700E"/>
    <w:rsid w:val="00E75423"/>
    <w:rsid w:val="00E871DE"/>
    <w:rsid w:val="00E91FF6"/>
    <w:rsid w:val="00E959F9"/>
    <w:rsid w:val="00E96626"/>
    <w:rsid w:val="00EA64E6"/>
    <w:rsid w:val="00EE58F1"/>
    <w:rsid w:val="00EF0828"/>
    <w:rsid w:val="00F32FFE"/>
    <w:rsid w:val="00F45D68"/>
    <w:rsid w:val="00F62F54"/>
    <w:rsid w:val="00F65DE7"/>
    <w:rsid w:val="00F84FD0"/>
    <w:rsid w:val="00F95996"/>
    <w:rsid w:val="00FB65A6"/>
    <w:rsid w:val="00FC4C41"/>
    <w:rsid w:val="00FC61EB"/>
    <w:rsid w:val="00FE3A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oNotEmbedSmartTags/>
  <w:decimalSymbol w:val=","/>
  <w:listSeparator w:val=";"/>
  <w14:docId w14:val="72D15A25"/>
  <w15:docId w15:val="{26C75A3A-333D-4F45-9580-78994C66C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nl-NL"/>
    </w:rPr>
  </w:style>
  <w:style w:type="paragraph" w:styleId="Heading1">
    <w:name w:val="heading 1"/>
    <w:basedOn w:val="Normal"/>
    <w:next w:val="Text1"/>
    <w:link w:val="Heading1Char"/>
    <w:uiPriority w:val="9"/>
    <w:qFormat/>
    <w:rsid w:val="009B7138"/>
    <w:pPr>
      <w:keepNext/>
      <w:numPr>
        <w:numId w:val="3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3"/>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3"/>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4D5878"/>
    <w:rPr>
      <w:sz w:val="16"/>
    </w:rPr>
  </w:style>
  <w:style w:type="paragraph" w:styleId="CommentText">
    <w:name w:val="annotation text"/>
    <w:basedOn w:val="Normal"/>
    <w:rsid w:val="004D5878"/>
    <w:pPr>
      <w:spacing w:before="0" w:after="240"/>
      <w:jc w:val="left"/>
    </w:pPr>
    <w:rPr>
      <w:rFonts w:ascii="Arial" w:hAnsi="Arial"/>
      <w:sz w:val="20"/>
      <w:szCs w:val="20"/>
    </w:rPr>
  </w:style>
  <w:style w:type="paragraph" w:styleId="ListBullet">
    <w:name w:val="List Bullet"/>
    <w:basedOn w:val="Normal"/>
    <w:uiPriority w:val="99"/>
    <w:qFormat/>
    <w:rsid w:val="000D34D3"/>
    <w:pPr>
      <w:numPr>
        <w:numId w:val="1"/>
      </w:numPr>
    </w:pPr>
  </w:style>
  <w:style w:type="paragraph" w:styleId="ListBullet2">
    <w:name w:val="List Bullet 2"/>
    <w:basedOn w:val="Normal"/>
    <w:rsid w:val="000D34D3"/>
    <w:pPr>
      <w:numPr>
        <w:numId w:val="2"/>
      </w:numPr>
    </w:pPr>
  </w:style>
  <w:style w:type="paragraph" w:styleId="ListBullet3">
    <w:name w:val="List Bullet 3"/>
    <w:basedOn w:val="Normal"/>
    <w:rsid w:val="000D34D3"/>
    <w:pPr>
      <w:numPr>
        <w:numId w:val="3"/>
      </w:numPr>
    </w:pPr>
  </w:style>
  <w:style w:type="paragraph" w:styleId="ListBullet4">
    <w:name w:val="List Bullet 4"/>
    <w:basedOn w:val="Normal"/>
    <w:rsid w:val="000D34D3"/>
    <w:pPr>
      <w:numPr>
        <w:numId w:val="4"/>
      </w:numPr>
    </w:pPr>
  </w:style>
  <w:style w:type="paragraph" w:styleId="ListNumber3">
    <w:name w:val="List Number 3"/>
    <w:basedOn w:val="Normal"/>
    <w:rsid w:val="000D34D3"/>
    <w:pPr>
      <w:numPr>
        <w:numId w:val="5"/>
      </w:numPr>
    </w:pPr>
  </w:style>
  <w:style w:type="paragraph" w:styleId="CommentSubject">
    <w:name w:val="annotation subject"/>
    <w:basedOn w:val="CommentText"/>
    <w:next w:val="CommentText"/>
    <w:rsid w:val="004641C1"/>
    <w:pPr>
      <w:spacing w:before="120" w:after="120"/>
      <w:jc w:val="both"/>
    </w:pPr>
    <w:rPr>
      <w:rFonts w:ascii="Times New Roman" w:hAnsi="Times New Roman"/>
      <w:b/>
      <w:bCs/>
    </w:rPr>
  </w:style>
  <w:style w:type="paragraph" w:styleId="Caption">
    <w:name w:val="caption"/>
    <w:basedOn w:val="Normal"/>
    <w:next w:val="Normal"/>
    <w:qFormat/>
    <w:rsid w:val="006E63CD"/>
    <w:rPr>
      <w:b/>
      <w:bCs/>
      <w:sz w:val="20"/>
      <w:szCs w:val="20"/>
    </w:rPr>
  </w:style>
  <w:style w:type="paragraph" w:styleId="TableofFigures">
    <w:name w:val="table of figures"/>
    <w:basedOn w:val="Normal"/>
    <w:next w:val="Normal"/>
    <w:semiHidden/>
    <w:rsid w:val="006E63CD"/>
  </w:style>
  <w:style w:type="paragraph" w:styleId="ListNumber">
    <w:name w:val="List Number"/>
    <w:basedOn w:val="Normal"/>
    <w:rsid w:val="006E63CD"/>
    <w:pPr>
      <w:numPr>
        <w:numId w:val="6"/>
      </w:numPr>
    </w:pPr>
  </w:style>
  <w:style w:type="paragraph" w:styleId="ListNumber2">
    <w:name w:val="List Number 2"/>
    <w:basedOn w:val="Normal"/>
    <w:rsid w:val="006E63CD"/>
    <w:pPr>
      <w:numPr>
        <w:numId w:val="7"/>
      </w:numPr>
    </w:pPr>
  </w:style>
  <w:style w:type="paragraph" w:styleId="ListNumber4">
    <w:name w:val="List Number 4"/>
    <w:basedOn w:val="Normal"/>
    <w:rsid w:val="006E63CD"/>
    <w:pPr>
      <w:numPr>
        <w:numId w:val="8"/>
      </w:numPr>
    </w:pPr>
  </w:style>
  <w:style w:type="character" w:styleId="Hyperlink">
    <w:name w:val="Hyperlink"/>
    <w:basedOn w:val="DefaultParagraphFont"/>
    <w:rsid w:val="006E63CD"/>
    <w:rPr>
      <w:color w:val="0000FF"/>
      <w:u w:val="single"/>
    </w:rPr>
  </w:style>
  <w:style w:type="paragraph" w:customStyle="1" w:styleId="numberedparagraph">
    <w:name w:val="numbered paragraph"/>
    <w:basedOn w:val="Normal"/>
    <w:qFormat/>
    <w:rsid w:val="001B445C"/>
    <w:pPr>
      <w:numPr>
        <w:numId w:val="9"/>
      </w:numPr>
      <w:spacing w:before="240" w:line="276" w:lineRule="auto"/>
    </w:pPr>
    <w:rPr>
      <w:rFonts w:asciiTheme="minorHAnsi" w:eastAsiaTheme="minorEastAsia" w:hAnsiTheme="minorHAnsi" w:cstheme="minorBidi"/>
      <w:sz w:val="22"/>
    </w:rPr>
  </w:style>
  <w:style w:type="paragraph" w:styleId="ListParagraph">
    <w:name w:val="List Paragraph"/>
    <w:basedOn w:val="Normal"/>
    <w:link w:val="ListParagraphChar"/>
    <w:uiPriority w:val="34"/>
    <w:qFormat/>
    <w:rsid w:val="006A640B"/>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locked/>
    <w:rsid w:val="006A640B"/>
    <w:rPr>
      <w:rFonts w:ascii="Calibri" w:eastAsia="Calibri" w:hAnsi="Calibri"/>
      <w:sz w:val="22"/>
      <w:szCs w:val="22"/>
      <w:lang w:eastAsia="en-US"/>
    </w:rPr>
  </w:style>
  <w:style w:type="paragraph" w:customStyle="1" w:styleId="Sous-titreobjet">
    <w:name w:val="Sous-titre objet"/>
    <w:basedOn w:val="Normal"/>
    <w:rsid w:val="007D53B6"/>
    <w:pPr>
      <w:spacing w:before="0" w:after="0"/>
      <w:jc w:val="center"/>
    </w:pPr>
    <w:rPr>
      <w:b/>
    </w:rPr>
  </w:style>
  <w:style w:type="paragraph" w:customStyle="1" w:styleId="Sous-titreobjetPagedecouverture">
    <w:name w:val="Sous-titre objet (Page de couverture)"/>
    <w:basedOn w:val="Sous-titreobjet"/>
    <w:rsid w:val="007D53B6"/>
  </w:style>
  <w:style w:type="paragraph" w:styleId="BalloonText">
    <w:name w:val="Balloon Text"/>
    <w:basedOn w:val="Normal"/>
    <w:link w:val="BalloonTextChar"/>
    <w:uiPriority w:val="99"/>
    <w:semiHidden/>
    <w:unhideWhenUsed/>
    <w:rsid w:val="003415B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15BD"/>
    <w:rPr>
      <w:rFonts w:ascii="Tahoma" w:hAnsi="Tahoma" w:cs="Tahoma"/>
      <w:sz w:val="16"/>
      <w:szCs w:val="16"/>
      <w:lang w:val="nl-NL"/>
    </w:rPr>
  </w:style>
  <w:style w:type="paragraph" w:styleId="NormalWeb">
    <w:name w:val="Normal (Web)"/>
    <w:basedOn w:val="Normal"/>
    <w:uiPriority w:val="99"/>
    <w:unhideWhenUsed/>
    <w:rsid w:val="006A1323"/>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6A1323"/>
    <w:rPr>
      <w:i/>
      <w:iCs/>
    </w:rPr>
  </w:style>
  <w:style w:type="paragraph" w:styleId="Revision">
    <w:name w:val="Revision"/>
    <w:hidden/>
    <w:uiPriority w:val="99"/>
    <w:semiHidden/>
    <w:rsid w:val="003F04F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7"/>
      </w:numPr>
    </w:pPr>
  </w:style>
  <w:style w:type="paragraph" w:customStyle="1" w:styleId="Tiret1">
    <w:name w:val="Tiret 1"/>
    <w:basedOn w:val="Point1"/>
    <w:rsid w:val="009B7138"/>
    <w:pPr>
      <w:numPr>
        <w:numId w:val="28"/>
      </w:numPr>
    </w:pPr>
  </w:style>
  <w:style w:type="paragraph" w:customStyle="1" w:styleId="Tiret2">
    <w:name w:val="Tiret 2"/>
    <w:basedOn w:val="Point2"/>
    <w:rsid w:val="009B7138"/>
    <w:pPr>
      <w:numPr>
        <w:numId w:val="29"/>
      </w:numPr>
    </w:pPr>
  </w:style>
  <w:style w:type="paragraph" w:customStyle="1" w:styleId="Tiret3">
    <w:name w:val="Tiret 3"/>
    <w:basedOn w:val="Point3"/>
    <w:rsid w:val="009B7138"/>
    <w:pPr>
      <w:numPr>
        <w:numId w:val="30"/>
      </w:numPr>
    </w:pPr>
  </w:style>
  <w:style w:type="paragraph" w:customStyle="1" w:styleId="Tiret4">
    <w:name w:val="Tiret 4"/>
    <w:basedOn w:val="Point4"/>
    <w:rsid w:val="009B7138"/>
    <w:pPr>
      <w:numPr>
        <w:numId w:val="31"/>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2"/>
      </w:numPr>
    </w:pPr>
  </w:style>
  <w:style w:type="paragraph" w:customStyle="1" w:styleId="NumPar2">
    <w:name w:val="NumPar 2"/>
    <w:basedOn w:val="Normal"/>
    <w:next w:val="Text1"/>
    <w:rsid w:val="009B7138"/>
    <w:pPr>
      <w:numPr>
        <w:ilvl w:val="1"/>
        <w:numId w:val="32"/>
      </w:numPr>
    </w:pPr>
  </w:style>
  <w:style w:type="paragraph" w:customStyle="1" w:styleId="NumPar3">
    <w:name w:val="NumPar 3"/>
    <w:basedOn w:val="Normal"/>
    <w:next w:val="Text1"/>
    <w:rsid w:val="009B7138"/>
    <w:pPr>
      <w:numPr>
        <w:ilvl w:val="2"/>
        <w:numId w:val="32"/>
      </w:numPr>
    </w:pPr>
  </w:style>
  <w:style w:type="paragraph" w:customStyle="1" w:styleId="NumPar4">
    <w:name w:val="NumPar 4"/>
    <w:basedOn w:val="Normal"/>
    <w:next w:val="Text1"/>
    <w:rsid w:val="009B7138"/>
    <w:pPr>
      <w:numPr>
        <w:ilvl w:val="3"/>
        <w:numId w:val="32"/>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4"/>
      </w:numPr>
    </w:pPr>
  </w:style>
  <w:style w:type="paragraph" w:customStyle="1" w:styleId="Point1number">
    <w:name w:val="Point 1 (number)"/>
    <w:basedOn w:val="Normal"/>
    <w:rsid w:val="009B7138"/>
    <w:pPr>
      <w:numPr>
        <w:ilvl w:val="2"/>
        <w:numId w:val="34"/>
      </w:numPr>
    </w:pPr>
  </w:style>
  <w:style w:type="paragraph" w:customStyle="1" w:styleId="Point2number">
    <w:name w:val="Point 2 (number)"/>
    <w:basedOn w:val="Normal"/>
    <w:rsid w:val="009B7138"/>
    <w:pPr>
      <w:numPr>
        <w:ilvl w:val="4"/>
        <w:numId w:val="34"/>
      </w:numPr>
    </w:pPr>
  </w:style>
  <w:style w:type="paragraph" w:customStyle="1" w:styleId="Point3number">
    <w:name w:val="Point 3 (number)"/>
    <w:basedOn w:val="Normal"/>
    <w:rsid w:val="009B7138"/>
    <w:pPr>
      <w:numPr>
        <w:ilvl w:val="6"/>
        <w:numId w:val="34"/>
      </w:numPr>
    </w:pPr>
  </w:style>
  <w:style w:type="paragraph" w:customStyle="1" w:styleId="Point0letter">
    <w:name w:val="Point 0 (letter)"/>
    <w:basedOn w:val="Normal"/>
    <w:rsid w:val="009B7138"/>
    <w:pPr>
      <w:numPr>
        <w:ilvl w:val="1"/>
        <w:numId w:val="34"/>
      </w:numPr>
    </w:pPr>
  </w:style>
  <w:style w:type="paragraph" w:customStyle="1" w:styleId="Point1letter">
    <w:name w:val="Point 1 (letter)"/>
    <w:basedOn w:val="Normal"/>
    <w:rsid w:val="009B7138"/>
    <w:pPr>
      <w:numPr>
        <w:ilvl w:val="3"/>
        <w:numId w:val="34"/>
      </w:numPr>
    </w:pPr>
  </w:style>
  <w:style w:type="paragraph" w:customStyle="1" w:styleId="Point2letter">
    <w:name w:val="Point 2 (letter)"/>
    <w:basedOn w:val="Normal"/>
    <w:rsid w:val="009B7138"/>
    <w:pPr>
      <w:numPr>
        <w:ilvl w:val="5"/>
        <w:numId w:val="34"/>
      </w:numPr>
    </w:pPr>
  </w:style>
  <w:style w:type="paragraph" w:customStyle="1" w:styleId="Point3letter">
    <w:name w:val="Point 3 (letter)"/>
    <w:basedOn w:val="Normal"/>
    <w:rsid w:val="009B7138"/>
    <w:pPr>
      <w:numPr>
        <w:ilvl w:val="7"/>
        <w:numId w:val="34"/>
      </w:numPr>
    </w:pPr>
  </w:style>
  <w:style w:type="paragraph" w:customStyle="1" w:styleId="Point4letter">
    <w:name w:val="Point 4 (letter)"/>
    <w:basedOn w:val="Normal"/>
    <w:rsid w:val="009B7138"/>
    <w:pPr>
      <w:numPr>
        <w:ilvl w:val="8"/>
        <w:numId w:val="34"/>
      </w:numPr>
    </w:pPr>
  </w:style>
  <w:style w:type="paragraph" w:customStyle="1" w:styleId="Bullet0">
    <w:name w:val="Bullet 0"/>
    <w:basedOn w:val="Normal"/>
    <w:rsid w:val="009B7138"/>
    <w:pPr>
      <w:numPr>
        <w:numId w:val="35"/>
      </w:numPr>
    </w:pPr>
  </w:style>
  <w:style w:type="paragraph" w:customStyle="1" w:styleId="Bullet1">
    <w:name w:val="Bullet 1"/>
    <w:basedOn w:val="Normal"/>
    <w:rsid w:val="009B7138"/>
    <w:pPr>
      <w:numPr>
        <w:numId w:val="36"/>
      </w:numPr>
    </w:pPr>
  </w:style>
  <w:style w:type="paragraph" w:customStyle="1" w:styleId="Bullet2">
    <w:name w:val="Bullet 2"/>
    <w:basedOn w:val="Normal"/>
    <w:rsid w:val="009B7138"/>
    <w:pPr>
      <w:numPr>
        <w:numId w:val="37"/>
      </w:numPr>
    </w:pPr>
  </w:style>
  <w:style w:type="paragraph" w:customStyle="1" w:styleId="Bullet3">
    <w:name w:val="Bullet 3"/>
    <w:basedOn w:val="Normal"/>
    <w:rsid w:val="009B7138"/>
    <w:pPr>
      <w:numPr>
        <w:numId w:val="38"/>
      </w:numPr>
    </w:pPr>
  </w:style>
  <w:style w:type="paragraph" w:customStyle="1" w:styleId="Bullet4">
    <w:name w:val="Bullet 4"/>
    <w:basedOn w:val="Normal"/>
    <w:rsid w:val="009B7138"/>
    <w:pPr>
      <w:numPr>
        <w:numId w:val="39"/>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0"/>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815561">
      <w:bodyDiv w:val="1"/>
      <w:marLeft w:val="0"/>
      <w:marRight w:val="0"/>
      <w:marTop w:val="0"/>
      <w:marBottom w:val="0"/>
      <w:divBdr>
        <w:top w:val="none" w:sz="0" w:space="0" w:color="auto"/>
        <w:left w:val="none" w:sz="0" w:space="0" w:color="auto"/>
        <w:bottom w:val="none" w:sz="0" w:space="0" w:color="auto"/>
        <w:right w:val="none" w:sz="0" w:space="0" w:color="auto"/>
      </w:divBdr>
    </w:div>
    <w:div w:id="208745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2B27A-21F0-4F2C-BF8F-999047849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2</Pages>
  <Words>1716</Words>
  <Characters>10060</Characters>
  <Application>Microsoft Office Word</Application>
  <DocSecurity>0</DocSecurity>
  <Lines>180</Lines>
  <Paragraphs>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IDZERDA Renee (DGT)</cp:lastModifiedBy>
  <cp:revision>3</cp:revision>
  <cp:lastPrinted>2019-11-13T10:58:00Z</cp:lastPrinted>
  <dcterms:created xsi:type="dcterms:W3CDTF">2020-01-23T10:59:00Z</dcterms:created>
  <dcterms:modified xsi:type="dcterms:W3CDTF">2020-01-23T10:59:00Z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5.8.22.0</vt:lpwstr>
  </property>
  <property fmtid="{D5CDD505-2E9C-101B-9397-08002B2CF9AE}" pid="4" name="Created using">
    <vt:lpwstr>LW 5.8, Build 20110311</vt:lpwstr>
  </property>
  <property fmtid="{D5CDD505-2E9C-101B-9397-08002B2CF9AE}" pid="5" name="Last edited using">
    <vt:lpwstr>LW 7.0, Build 20190717</vt:lpwstr>
  </property>
  <property fmtid="{D5CDD505-2E9C-101B-9397-08002B2CF9AE}" pid="6" name="_NewReviewCycle">
    <vt:lpwstr/>
  </property>
  <property fmtid="{D5CDD505-2E9C-101B-9397-08002B2CF9AE}" pid="7" name="LWTemplateID">
    <vt:lpwstr>SJ-004</vt:lpwstr>
  </property>
  <property fmtid="{D5CDD505-2E9C-101B-9397-08002B2CF9AE}" pid="8" name="Level of sensitivity">
    <vt:lpwstr>Standard treatment</vt:lpwstr>
  </property>
  <property fmtid="{D5CDD505-2E9C-101B-9397-08002B2CF9AE}" pid="9" name="Part">
    <vt:lpwstr>1</vt:lpwstr>
  </property>
  <property fmtid="{D5CDD505-2E9C-101B-9397-08002B2CF9AE}" pid="10" name="Total parts">
    <vt:lpwstr>1</vt:lpwstr>
  </property>
  <property fmtid="{D5CDD505-2E9C-101B-9397-08002B2CF9AE}" pid="11" name="DQCStatus">
    <vt:lpwstr>Green (DQC version 03)</vt:lpwstr>
  </property>
</Properties>
</file>