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1A0B09" w:rsidRDefault="00555504">
      <w:pPr>
        <w:jc w:val="center"/>
        <w:rPr>
          <w:rFonts w:ascii="Times New Roman" w:hAnsi="Times New Roman"/>
          <w:b/>
          <w:sz w:val="24"/>
        </w:rPr>
      </w:pPr>
      <w:r>
        <w:rPr>
          <w:rFonts w:ascii="Times New Roman" w:hAnsi="Times New Roman"/>
          <w:b/>
        </w:rPr>
        <w:t>EN</w:t>
      </w:r>
    </w:p>
    <w:p w14:paraId="4E8132AA" w14:textId="673CDBE6" w:rsidR="001A0B09" w:rsidRDefault="00555504">
      <w:pPr>
        <w:jc w:val="center"/>
        <w:rPr>
          <w:rFonts w:ascii="Times New Roman" w:hAnsi="Times New Roman"/>
          <w:b/>
          <w:sz w:val="24"/>
        </w:rPr>
      </w:pPr>
      <w:r>
        <w:rPr>
          <w:rFonts w:ascii="Times New Roman" w:hAnsi="Times New Roman"/>
          <w:b/>
        </w:rPr>
        <w:t>ZAŁĄCZNIK IX:</w:t>
      </w:r>
    </w:p>
    <w:p w14:paraId="4D8171FC" w14:textId="77777777" w:rsidR="001A0B09" w:rsidRDefault="001A0B09">
      <w:pPr>
        <w:jc w:val="center"/>
        <w:rPr>
          <w:rFonts w:ascii="Times New Roman" w:hAnsi="Times New Roman"/>
          <w:b/>
          <w:sz w:val="24"/>
        </w:rPr>
      </w:pPr>
    </w:p>
    <w:p w14:paraId="690B555C" w14:textId="504F3A74" w:rsidR="001A0B09" w:rsidRDefault="0070035D">
      <w:pPr>
        <w:jc w:val="center"/>
        <w:rPr>
          <w:rFonts w:ascii="Times New Roman" w:hAnsi="Times New Roman"/>
          <w:sz w:val="28"/>
          <w:szCs w:val="28"/>
        </w:rPr>
      </w:pPr>
      <w:r>
        <w:rPr>
          <w:rFonts w:ascii="Times New Roman" w:hAnsi="Times New Roman"/>
          <w:sz w:val="28"/>
          <w:szCs w:val="28"/>
        </w:rPr>
        <w:t>„ZAŁĄCZNIK XXV</w:t>
      </w:r>
    </w:p>
    <w:p w14:paraId="72D6950B" w14:textId="77777777" w:rsidR="001A0B09" w:rsidRPr="0058116D" w:rsidRDefault="006E48EA">
      <w:pPr>
        <w:jc w:val="center"/>
        <w:rPr>
          <w:rFonts w:ascii="Times New Roman" w:hAnsi="Times New Roman"/>
          <w:b/>
          <w:sz w:val="24"/>
        </w:rPr>
      </w:pPr>
      <w:r w:rsidRPr="0058116D">
        <w:rPr>
          <w:rFonts w:ascii="Times New Roman" w:hAnsi="Times New Roman"/>
          <w:b/>
          <w:sz w:val="24"/>
        </w:rPr>
        <w:t>SPRAWOZDAWCZOŚĆ W ZAKRESIE PŁYNNOŚCI (CZĘŚĆ 1: AKTYWA PŁYNNE)</w:t>
      </w:r>
    </w:p>
    <w:p w14:paraId="2D20B30B" w14:textId="77777777" w:rsidR="001A0B09"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Aktywa płynne</w:t>
      </w:r>
      <w:bookmarkStart w:id="0" w:name="_GoBack"/>
      <w:bookmarkEnd w:id="0"/>
    </w:p>
    <w:p w14:paraId="5A818423" w14:textId="77777777" w:rsidR="001A0B09"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Uwagi ogólne</w:t>
      </w:r>
    </w:p>
    <w:p w14:paraId="35B71612" w14:textId="7CB84DE3" w:rsidR="001A0B09" w:rsidRDefault="006E48EA">
      <w:pPr>
        <w:pStyle w:val="InstructionsText2"/>
      </w:pPr>
      <w:r>
        <w:t>Niniejszy formularz zawiera informacje dotyczące aktywów na potrzeby sprawozdawczości w zakresie wymogu pokrycia wypływów netto określonego w rozporządzeniu delegowanym Komisji (UE) 2015/61</w:t>
      </w:r>
      <w:r>
        <w:rPr>
          <w:rStyle w:val="FootnoteReference"/>
          <w:rFonts w:ascii="Times New Roman" w:hAnsi="Times New Roman" w:cs="Times New Roman"/>
        </w:rPr>
        <w:footnoteReference w:id="2"/>
      </w:r>
      <w:r>
        <w:t>. Pozycje, których instytucje kredytowe nie muszą wypełniać, zaznaczono na szaro.</w:t>
      </w:r>
    </w:p>
    <w:p w14:paraId="4BD684D5" w14:textId="66206934" w:rsidR="001A0B09" w:rsidRDefault="006E48EA">
      <w:pPr>
        <w:pStyle w:val="InstructionsText2"/>
      </w:pPr>
      <w:r>
        <w:t>Zgłaszane aktywa muszą spełniać wymogi określone w tytule II rozporządzenia delegowanego (UE) 2015/61.</w:t>
      </w:r>
    </w:p>
    <w:p w14:paraId="7FB2C67A" w14:textId="2438D97E" w:rsidR="001A0B09" w:rsidRDefault="006E48EA">
      <w:pPr>
        <w:pStyle w:val="InstructionsText2"/>
      </w:pPr>
      <w:r>
        <w:t>Na zasadzie odstępstwa od pkt 2 instytucje kredytowe nie stosują ograniczeń w zakresie niedopasowania walutowego ustanowionych w art. 8 ust. 6, art. 10 ust. 1 lit. d) i art. 12 ust. 1 lit. c) rozporządzenia delegowanego (UE) 2015/61, gdy pozycje zgłaszane w formularzu są denominowane w walucie podlegającej odrębnemu zgłoszeniu zgodnie z art. 415 ust. 2 rozporządzenia (UE) nr 575/2013. Instytucje kredytowe w dalszym ciągu stosują ograniczenia obowiązujące w danej  jurysdykcji.</w:t>
      </w:r>
    </w:p>
    <w:p w14:paraId="08753421" w14:textId="33FC7351" w:rsidR="001A0B09" w:rsidRDefault="006E48EA">
      <w:pPr>
        <w:pStyle w:val="InstructionsText2"/>
      </w:pPr>
      <w:r>
        <w:t>Instytucje kredytowe zgłaszają pozycje określone w niniejszym formularzu w odpowiednich walutach, zgodnie z art. 415 ust. 2 rozporządzenia (UE) nr 575/2013.</w:t>
      </w:r>
    </w:p>
    <w:p w14:paraId="135D8891" w14:textId="35DC3B30" w:rsidR="001A0B09" w:rsidRDefault="00A35BA4">
      <w:pPr>
        <w:pStyle w:val="InstructionsText2"/>
      </w:pPr>
      <w:r>
        <w:t>Zgodnie z art. 9 rozporządzenia delegowanego (UE) 2015/61, instytucje kredytowe zgłaszają – w stosownych przypadkach – kwotę/wartość rynkową aktywów płynnych, biorąc pod uwagę wypływy i wpływy płynności netto wynikające z wcześniejszej likwidacji zabezpieczeń, o których mowa w art. 8 ust. 5 lit. b), zgodnie z odpowiednimi redukcjami wartości określonymi w rozdziale 2 tego rozporządzenia delegowanego.</w:t>
      </w:r>
    </w:p>
    <w:p w14:paraId="064CED75" w14:textId="254AB0D5" w:rsidR="001A0B09" w:rsidRDefault="0070035D">
      <w:pPr>
        <w:pStyle w:val="InstructionsText2"/>
      </w:pPr>
      <w:r>
        <w:rPr>
          <w:rStyle w:val="HTMLTypewriter"/>
          <w:rFonts w:ascii="Times New Roman" w:hAnsi="Times New Roman"/>
          <w:sz w:val="18"/>
          <w:szCs w:val="18"/>
        </w:rPr>
        <w:t>Rozporządzenie delegowane (UE) 2015/61 odnosi się wyłącznie do wskaźników i redukcji wartości. W niniejszych instrukcjach termin „ważone/-y/-a” służy do określenia kwoty uzyskanej po zastosowaniu odpowiednich redukcji wartości, wskaźników oraz wszelkich innych stosownych dodatkowych instrukcji (np. w przypadku zabezpieczonych transakcji kredytowych i transakcji finansowania). W kontekście niniejszej instrukcji termin „waga” oznacza liczbę o wartości między 0 a 1, która pomnożona przez kwotę daje odpowiednio kwotę ważoną lub wartość zgodnie z art. 9 rozporządzenia delegowanego (UE) 2015/61.</w:t>
      </w:r>
    </w:p>
    <w:p w14:paraId="503E5F9E" w14:textId="3D6E9DFE" w:rsidR="001A0B09" w:rsidRDefault="006E48EA">
      <w:pPr>
        <w:pStyle w:val="InstructionsText2"/>
      </w:pPr>
      <w:r>
        <w:t xml:space="preserve">Instytucje kredytowe nie powielają zgłaszanych pozycji w sekcjach 1.1.1, 1.1.2, 1.2.1 i 1.2.2 i pomiędzy tymi sekcjami formularza. </w:t>
      </w:r>
    </w:p>
    <w:p w14:paraId="54D6516C" w14:textId="77777777" w:rsidR="001A0B09"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Uwagi szczegółowe</w:t>
      </w:r>
    </w:p>
    <w:p w14:paraId="3CFE794C" w14:textId="77777777" w:rsidR="001A0B09"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Wymogi szczegółowe dotyczące udziałów lub jednostek uczestnictwa w przedsiębiorstwach zbiorowego inwestowania</w:t>
      </w:r>
    </w:p>
    <w:p w14:paraId="09802304" w14:textId="4229D4DA" w:rsidR="001A0B09" w:rsidRDefault="006E48EA">
      <w:pPr>
        <w:pStyle w:val="InstructionsText2"/>
      </w:pPr>
      <w:r>
        <w:t>W odniesieniu do pkt 1.1.1.10., 1.1.1.11., 1.2.1.6., 1.1.2.2., 1.2.2.10., 1.2.2.11., 1.2.2.12., 1.2.2.13. formularza, instytucje kredytowe zgłaszają wartość rynkową udziałów lub jednostek uczestnictwa w przedsiębiorstwach zbiorowego inwestowania odpowiadającą wartości aktywów płynnych stanowiących instrument bazowy danego przedsiębiorstwa zgodnie z art. 15 ust. 4 rozporządzenia delegowanego (UE) 2015/61.</w:t>
      </w:r>
    </w:p>
    <w:p w14:paraId="13CC1218" w14:textId="77777777" w:rsidR="001A0B09"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1.2.2.</w:t>
      </w:r>
      <w:r>
        <w:rPr>
          <w:rFonts w:ascii="Times New Roman" w:hAnsi="Times New Roman"/>
          <w:sz w:val="18"/>
          <w:szCs w:val="18"/>
          <w:u w:val="none"/>
        </w:rPr>
        <w:tab/>
        <w:t>Wymogi szczegółowe dotyczące przepisów podlegających zasadzie praw nabytych i przepisów przejściowych</w:t>
      </w:r>
    </w:p>
    <w:p w14:paraId="16DEDAB1" w14:textId="4E0E163B" w:rsidR="001A0B09" w:rsidRDefault="006E48EA">
      <w:pPr>
        <w:pStyle w:val="InstructionsText2"/>
      </w:pPr>
      <w:r>
        <w:t>Instytucje kredytowe zgłaszają pozycje, o których mowa w art. 35–37 rozporządzenia delegowanego (UE) 2015/61, w odpowiednich wierszach dotyczących aktywów. Łączną kwotę wszystkich aktywów zgłoszonych zgodnie z przepisami tych artykułów zgłasza się również w celach informacyjnych w sekcji „Pozycje uzupełniające”.</w:t>
      </w:r>
    </w:p>
    <w:p w14:paraId="7E788613" w14:textId="77777777" w:rsidR="001A0B09" w:rsidRDefault="006E48EA">
      <w:pPr>
        <w:pStyle w:val="Instructionsberschrift2"/>
        <w:numPr>
          <w:ilvl w:val="0"/>
          <w:numId w:val="0"/>
        </w:numPr>
        <w:ind w:left="357" w:hanging="357"/>
        <w:rPr>
          <w:rFonts w:cs="Times New Roman"/>
        </w:rPr>
      </w:pPr>
      <w:r>
        <w:rPr>
          <w:rFonts w:ascii="Times New Roman" w:hAnsi="Times New Roman"/>
          <w:sz w:val="18"/>
          <w:szCs w:val="18"/>
          <w:u w:val="none"/>
        </w:rPr>
        <w:t>1.2.3.</w:t>
      </w:r>
      <w:r>
        <w:rPr>
          <w:rFonts w:ascii="Times New Roman" w:hAnsi="Times New Roman"/>
          <w:sz w:val="18"/>
          <w:szCs w:val="18"/>
          <w:u w:val="none"/>
        </w:rPr>
        <w:tab/>
        <w:t>Wymogi szczegółowe dotyczące sprawozdawczości prowadzonej przez instytucje centralne</w:t>
      </w:r>
    </w:p>
    <w:p w14:paraId="70BC7592" w14:textId="5A862313" w:rsidR="001A0B09" w:rsidRDefault="006E48EA">
      <w:pPr>
        <w:pStyle w:val="InstructionsText2"/>
      </w:pPr>
      <w:r>
        <w:t>Zgłaszając aktywa płynne odpowiadające depozytom instytucji kredytowych złożonym w instytucji centralnej uznanym za aktywa płynne przez deponującą instytucję kredytową, instytucje centralne zapewniają, aby zgłoszona kwota tych aktywów płynnych po redukcji wartości nie przekraczała kwoty wypływów z odnośnych depozytów zgodnie z art. 27 ust. 3 rozporządzenia delegowanego (UE) 2015/61.</w:t>
      </w:r>
    </w:p>
    <w:p w14:paraId="08F746D2" w14:textId="77777777" w:rsidR="001A0B09"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Wymogi szczegółowe dotyczące rozliczenia i transakcji z przyszłym terminem rozpoczęcia</w:t>
      </w:r>
    </w:p>
    <w:p w14:paraId="1164A59B" w14:textId="4F671D1D" w:rsidR="001A0B09" w:rsidRDefault="006E48EA">
      <w:pPr>
        <w:pStyle w:val="InstructionsText2"/>
      </w:pPr>
      <w:r>
        <w:t>Wszystkie aktywa spełniające wymogi określone w art. 7, 8 i 9 rozporządzenia delegowanego (UE) 2015/61, które znajdują się w posiadaniu instytucji kredytowej w danym dniu sprawozdawczym, zgłasza się w odpowiednim wierszu formularza C72, nawet jeżeli są one przedmiotem sprzedaży lub są wykorzystywane do celów zabezpieczenia transakcji terminowych. Nie należy zatem zgłaszać żadnych aktywów płynnych wynikających z transakcji z przyszłym terminem rozpoczęcia, odnoszących się do uzgodnionych umownie, ale jeszcze nierozliczonych zakupów aktywów płynnych i zakupów aktywów płynnych w ramach transakcji terminowych.</w:t>
      </w:r>
    </w:p>
    <w:p w14:paraId="5D31F171" w14:textId="63C94CE8" w:rsidR="001A0B09"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Część formularza dotycząca aktywów płynnych</w:t>
      </w:r>
    </w:p>
    <w:p w14:paraId="6008567D" w14:textId="2FCA01BD" w:rsidR="001A0B09"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Instrukcje dotyczące poszczególnych kolumn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1A0B09" w14:paraId="4EBF8AAD" w14:textId="77777777" w:rsidTr="00454544">
        <w:tc>
          <w:tcPr>
            <w:tcW w:w="1232" w:type="dxa"/>
            <w:shd w:val="clear" w:color="auto" w:fill="auto"/>
          </w:tcPr>
          <w:p w14:paraId="3AEADC77" w14:textId="77777777" w:rsidR="001A0B09" w:rsidRDefault="006E48EA">
            <w:pPr>
              <w:keepNext/>
              <w:spacing w:before="240" w:after="240"/>
              <w:rPr>
                <w:rFonts w:ascii="Times New Roman" w:eastAsia="Calibri" w:hAnsi="Times New Roman"/>
                <w:sz w:val="18"/>
                <w:szCs w:val="18"/>
              </w:rPr>
            </w:pPr>
            <w:r>
              <w:rPr>
                <w:rFonts w:ascii="Times New Roman" w:hAnsi="Times New Roman"/>
                <w:sz w:val="18"/>
                <w:szCs w:val="18"/>
              </w:rPr>
              <w:t>Kolumna</w:t>
            </w:r>
          </w:p>
        </w:tc>
        <w:tc>
          <w:tcPr>
            <w:tcW w:w="7182" w:type="dxa"/>
            <w:shd w:val="clear" w:color="auto" w:fill="auto"/>
          </w:tcPr>
          <w:p w14:paraId="5F18A003" w14:textId="77777777" w:rsidR="001A0B09" w:rsidRDefault="006E48EA">
            <w:pPr>
              <w:keepNext/>
              <w:spacing w:before="240" w:after="240"/>
              <w:rPr>
                <w:rFonts w:ascii="Times New Roman" w:eastAsia="Calibri" w:hAnsi="Times New Roman"/>
                <w:sz w:val="18"/>
                <w:szCs w:val="18"/>
              </w:rPr>
            </w:pPr>
            <w:r>
              <w:rPr>
                <w:rFonts w:ascii="Times New Roman" w:hAnsi="Times New Roman"/>
                <w:sz w:val="18"/>
                <w:szCs w:val="18"/>
              </w:rPr>
              <w:t>Odniesienia prawne i instrukcje</w:t>
            </w:r>
          </w:p>
        </w:tc>
      </w:tr>
      <w:tr w:rsidR="001A0B09" w14:paraId="5C423E29" w14:textId="77777777" w:rsidTr="00454544">
        <w:tc>
          <w:tcPr>
            <w:tcW w:w="1232" w:type="dxa"/>
            <w:shd w:val="clear" w:color="auto" w:fill="auto"/>
          </w:tcPr>
          <w:p w14:paraId="2537E4CB" w14:textId="77777777"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1A0B09"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Kwota/wartość rynkowa</w:t>
            </w:r>
          </w:p>
          <w:p w14:paraId="7A86ACBE" w14:textId="5C0F2D6F" w:rsidR="001A0B09" w:rsidRDefault="006E48EA">
            <w:pPr>
              <w:pStyle w:val="InstructionsText"/>
              <w:rPr>
                <w:rFonts w:eastAsia="Calibri"/>
              </w:rPr>
            </w:pPr>
            <w:r>
              <w:t>Instytucje kredytowe zgłaszają w kolumnie 010 wartość rynkową lub, w stosownych przypadkach, kwotę aktywów płynnych zgodnie z tytułem II rozporządzenia delegowanego (UE) 2015/61.</w:t>
            </w:r>
          </w:p>
          <w:p w14:paraId="1B9DFC92" w14:textId="77777777" w:rsidR="001A0B09" w:rsidRDefault="001A0B09">
            <w:pPr>
              <w:pStyle w:val="InstructionsText"/>
              <w:rPr>
                <w:rFonts w:eastAsia="Calibri"/>
              </w:rPr>
            </w:pPr>
          </w:p>
          <w:p w14:paraId="16EF3725" w14:textId="77777777" w:rsidR="001A0B09" w:rsidRDefault="006E48EA">
            <w:pPr>
              <w:pStyle w:val="InstructionsText"/>
              <w:rPr>
                <w:rFonts w:eastAsia="Calibri"/>
              </w:rPr>
            </w:pPr>
            <w:r>
              <w:t>Kwota/wartość rynkowa zgłaszana w kolumnie 010:</w:t>
            </w:r>
          </w:p>
          <w:p w14:paraId="72235291" w14:textId="77777777" w:rsidR="001A0B09" w:rsidRDefault="006E48EA">
            <w:pPr>
              <w:pStyle w:val="InstructionsText"/>
              <w:rPr>
                <w:rFonts w:eastAsia="Calibri"/>
              </w:rPr>
            </w:pPr>
            <w:r>
              <w:t>—</w:t>
            </w:r>
            <w:r>
              <w:tab/>
              <w:t>uwzględnia wypływy i wpływy netto z tytułu wcześniejszej likwidacji zabezpieczeń, o których mowa w art. 8 ust. 5 przedmiotowego rozporządzenia;</w:t>
            </w:r>
          </w:p>
          <w:p w14:paraId="5023737E" w14:textId="77777777" w:rsidR="001A0B09" w:rsidRDefault="006E48EA">
            <w:pPr>
              <w:pStyle w:val="InstructionsText"/>
              <w:rPr>
                <w:rFonts w:eastAsia="Calibri"/>
              </w:rPr>
            </w:pPr>
            <w:r>
              <w:t>—</w:t>
            </w:r>
            <w:r>
              <w:tab/>
              <w:t>nie uwzględnia redukcji wartości określonych w tytule II przedmiotowego rozporządzenia;</w:t>
            </w:r>
          </w:p>
          <w:p w14:paraId="7B129B7C" w14:textId="4D4ED89C" w:rsidR="001A0B09" w:rsidRDefault="006E48EA">
            <w:pPr>
              <w:pStyle w:val="InstructionsText"/>
              <w:rPr>
                <w:rFonts w:eastAsia="Calibri"/>
              </w:rPr>
            </w:pPr>
            <w:r>
              <w:t>—</w:t>
            </w:r>
            <w:r>
              <w:tab/>
              <w:t>uwzględnia odpowiednią część depozytów, o których mowa w art. 16 ust. 1 lit. a) przedmiotowego rozporządzenia, na które składają się różne rodzaje aktywów zgłaszanych w odpowiednich wierszach dotyczących aktywów;</w:t>
            </w:r>
          </w:p>
          <w:p w14:paraId="13E3E7C6" w14:textId="77777777" w:rsidR="001A0B09" w:rsidRDefault="006E48EA">
            <w:pPr>
              <w:pStyle w:val="InstructionsText"/>
              <w:rPr>
                <w:rFonts w:eastAsia="Calibri"/>
              </w:rPr>
            </w:pPr>
            <w:r>
              <w:t>—</w:t>
            </w:r>
            <w:r>
              <w:tab/>
              <w:t>podlega obniżeniu – w stosownych przypadkach – o kwotę depozytów zdefiniowanych w art. 16, złożonych w centralnej instytucji kredytowej, zgodnie z art. 27 ust. 3 przedmiotowego rozporządzenia.</w:t>
            </w:r>
          </w:p>
          <w:p w14:paraId="293F56FF" w14:textId="77777777" w:rsidR="001A0B09" w:rsidRDefault="001A0B09">
            <w:pPr>
              <w:pStyle w:val="InstructionsText"/>
              <w:rPr>
                <w:rFonts w:eastAsia="Calibri"/>
              </w:rPr>
            </w:pPr>
          </w:p>
          <w:p w14:paraId="7DF933B9" w14:textId="509AEEF6" w:rsidR="001A0B09" w:rsidRDefault="006E48EA">
            <w:pPr>
              <w:pStyle w:val="InstructionsText"/>
              <w:rPr>
                <w:rFonts w:eastAsia="Calibri"/>
              </w:rPr>
            </w:pPr>
            <w:r>
              <w:t>Odnosząc się do art. 8 ust. 5 rozporządzenia delegowanego (UE) 2015/61, instytucje kredytowe uwzględniają przepływy środków pieniężnych netto, niezależnie od tego, czy mają one postać wypływów czy wpływów netto, które powstałyby w przypadku, gdyby zabezpieczenie miało zostać zlikwidowane w danym dniu sprawozdawczym. Instytucje kredytowe nie uwzględniają potencjalnych przyszłych zmian wartości danego składnika aktywów.</w:t>
            </w:r>
          </w:p>
        </w:tc>
      </w:tr>
      <w:tr w:rsidR="001A0B09" w14:paraId="012B2098" w14:textId="77777777" w:rsidTr="00454544">
        <w:tc>
          <w:tcPr>
            <w:tcW w:w="1232" w:type="dxa"/>
            <w:shd w:val="clear" w:color="auto" w:fill="auto"/>
          </w:tcPr>
          <w:p w14:paraId="745791C5" w14:textId="77777777"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1A0B09"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Waga standardowa</w:t>
            </w:r>
          </w:p>
          <w:p w14:paraId="7068368D" w14:textId="22C58E8A" w:rsidR="001A0B09" w:rsidRDefault="006E48EA">
            <w:pPr>
              <w:pStyle w:val="InstructionsText"/>
              <w:rPr>
                <w:rFonts w:eastAsia="Calibri"/>
              </w:rPr>
            </w:pPr>
            <w:r>
              <w:t xml:space="preserve">Kolumna 020 zawiera wagi odzwierciedlające </w:t>
            </w:r>
            <w:r>
              <w:rPr>
                <w:rStyle w:val="HTMLTypewriter"/>
                <w:rFonts w:ascii="Times New Roman" w:hAnsi="Times New Roman"/>
                <w:sz w:val="18"/>
                <w:szCs w:val="18"/>
              </w:rPr>
              <w:t>kwotę uzyskaną po zastosowaniu odpowiednich redukcji wartości</w:t>
            </w:r>
            <w:r>
              <w:rPr>
                <w:sz w:val="20"/>
              </w:rPr>
              <w:t xml:space="preserve"> </w:t>
            </w:r>
            <w:r>
              <w:t>określonych w tytule II rozporządzenia delegowanego (UE) 2015/61. Zastosowanie tych wag służy odzwierciedleniu zmniejszenia wartości aktywów płynnych po zastosowaniu odpowiednich redukcji wartości.</w:t>
            </w:r>
          </w:p>
          <w:p w14:paraId="6901B289" w14:textId="77777777" w:rsidR="001A0B09" w:rsidRDefault="001A0B09">
            <w:pPr>
              <w:pStyle w:val="InstructionsText"/>
              <w:rPr>
                <w:rFonts w:eastAsia="Calibri"/>
              </w:rPr>
            </w:pPr>
          </w:p>
        </w:tc>
      </w:tr>
      <w:tr w:rsidR="001A0B09" w14:paraId="386E64E6" w14:textId="77777777" w:rsidTr="00454544">
        <w:tc>
          <w:tcPr>
            <w:tcW w:w="1232" w:type="dxa"/>
            <w:shd w:val="clear" w:color="auto" w:fill="auto"/>
          </w:tcPr>
          <w:p w14:paraId="6E8E0D21" w14:textId="77777777"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1A0B09" w:rsidRDefault="006E48EA">
            <w:pPr>
              <w:rPr>
                <w:rFonts w:eastAsia="Calibri"/>
              </w:rPr>
            </w:pPr>
            <w:r>
              <w:rPr>
                <w:rStyle w:val="FormatvorlageInstructionsTabelleText"/>
                <w:rFonts w:ascii="Times New Roman" w:hAnsi="Times New Roman"/>
                <w:b/>
                <w:sz w:val="18"/>
              </w:rPr>
              <w:t>Mająca zastosowanie waga</w:t>
            </w:r>
          </w:p>
          <w:p w14:paraId="094DA856" w14:textId="69289971" w:rsidR="001A0B09" w:rsidRDefault="006E48EA">
            <w:pPr>
              <w:pStyle w:val="InstructionsText"/>
              <w:rPr>
                <w:rFonts w:eastAsia="Calibri"/>
              </w:rPr>
            </w:pPr>
            <w:r>
              <w:t xml:space="preserve">Instytucje kredytowe zgłaszają w kolumnie 030 mającą zastosowanie wagę zastosowaną do </w:t>
            </w:r>
            <w:r>
              <w:lastRenderedPageBreak/>
              <w:t>aktywów płynnych określonych w tytule II rozporządzenia delegowanego (UE) 2015/61. Mające zastosowanie wagi służą do ustalenia średnich wartości ważonych i należy je zgłaszać w ujęciu dziesiętnym (tj. 1,00 w przypadku mającej zastosowanie wagi w wysokości 100 % lub 0,50 w przypadku mającej zastosowanie wagi w wysokości 50 %). Mające zastosowanie wagi mogą odzwierciedlać m.in. ustalenia przyjęte przez daną instytucję kredytową lub opcje krajowe. Wartość zgłaszana w kolumnie 030 nie może być wyższa niż wartość zgłaszana w kolumnie 020.</w:t>
            </w:r>
          </w:p>
          <w:p w14:paraId="033F8F70" w14:textId="77777777" w:rsidR="001A0B09" w:rsidRDefault="001A0B09">
            <w:pPr>
              <w:pStyle w:val="InstructionsText"/>
              <w:rPr>
                <w:rFonts w:eastAsia="Calibri"/>
              </w:rPr>
            </w:pPr>
          </w:p>
        </w:tc>
      </w:tr>
      <w:tr w:rsidR="001A0B09" w14:paraId="11DB60B8" w14:textId="77777777" w:rsidTr="00454544">
        <w:tc>
          <w:tcPr>
            <w:tcW w:w="1232" w:type="dxa"/>
            <w:shd w:val="clear" w:color="auto" w:fill="auto"/>
          </w:tcPr>
          <w:p w14:paraId="7E21A1A5" w14:textId="77777777"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040</w:t>
            </w:r>
          </w:p>
        </w:tc>
        <w:tc>
          <w:tcPr>
            <w:tcW w:w="7182" w:type="dxa"/>
            <w:shd w:val="clear" w:color="auto" w:fill="auto"/>
          </w:tcPr>
          <w:p w14:paraId="6B4342D5" w14:textId="55937FD5" w:rsidR="001A0B09" w:rsidRDefault="006E48EA">
            <w:pPr>
              <w:rPr>
                <w:rFonts w:ascii="Times New Roman" w:eastAsia="Calibri" w:hAnsi="Times New Roman"/>
                <w:b/>
                <w:sz w:val="18"/>
                <w:szCs w:val="18"/>
              </w:rPr>
            </w:pPr>
            <w:r>
              <w:rPr>
                <w:rFonts w:ascii="Times New Roman" w:hAnsi="Times New Roman"/>
                <w:b/>
                <w:sz w:val="18"/>
                <w:szCs w:val="18"/>
              </w:rPr>
              <w:t>Wartość obliczona zgodnie z art. 9</w:t>
            </w:r>
          </w:p>
          <w:p w14:paraId="3DD790D0" w14:textId="21AC9593" w:rsidR="001A0B09" w:rsidRDefault="006E48EA">
            <w:pPr>
              <w:pStyle w:val="InstructionsText"/>
              <w:rPr>
                <w:rFonts w:eastAsia="Calibri"/>
              </w:rPr>
            </w:pPr>
            <w:r>
              <w:t>Instytucje kredytowe zgłaszają w kolumnie 040 wartość składnika aktywów płynnych określoną zgodnie z art. 9 rozporządzenia delegowanego (UE) 2015/61, która odpowiada kwocie/wartości rynkowej uwzględniającej wypływy i wpływy płynności netto z tytułu wcześniejszej likwidacji zabezpieczeń, pomnożonej przez mającą zastosowanie wagę.</w:t>
            </w:r>
          </w:p>
        </w:tc>
      </w:tr>
    </w:tbl>
    <w:p w14:paraId="0F791B3D" w14:textId="2FD347F3" w:rsidR="001A0B09"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rPr>
          <w:rFonts w:ascii="Times New Roman" w:hAnsi="Times New Roman"/>
          <w:sz w:val="18"/>
          <w:szCs w:val="18"/>
          <w:u w:val="none"/>
        </w:rPr>
        <w:tab/>
        <w:t>Instrukcje dotyczące poszczególnych wierszy</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1A0B09" w14:paraId="5F75203B" w14:textId="77777777" w:rsidTr="002B73CC">
        <w:tc>
          <w:tcPr>
            <w:tcW w:w="1097" w:type="dxa"/>
            <w:shd w:val="clear" w:color="auto" w:fill="auto"/>
          </w:tcPr>
          <w:p w14:paraId="3416AD3B" w14:textId="4C41D606" w:rsidR="001A0B09"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Wiersz</w:t>
            </w:r>
          </w:p>
        </w:tc>
        <w:tc>
          <w:tcPr>
            <w:tcW w:w="7125" w:type="dxa"/>
            <w:gridSpan w:val="2"/>
            <w:shd w:val="clear" w:color="auto" w:fill="auto"/>
          </w:tcPr>
          <w:p w14:paraId="65008181" w14:textId="77777777" w:rsidR="001A0B09"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Odniesienia prawne i instrukcje</w:t>
            </w:r>
          </w:p>
        </w:tc>
      </w:tr>
      <w:tr w:rsidR="001A0B09" w14:paraId="11C208F6" w14:textId="77777777" w:rsidTr="002B73CC">
        <w:tc>
          <w:tcPr>
            <w:tcW w:w="1105" w:type="dxa"/>
            <w:gridSpan w:val="2"/>
            <w:shd w:val="clear" w:color="auto" w:fill="auto"/>
          </w:tcPr>
          <w:p w14:paraId="2B6266A1" w14:textId="77777777"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1A0B09"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CAŁKOWITE NIESKORYGOWANE AKTYWA PŁYNNE</w:t>
            </w:r>
          </w:p>
          <w:p w14:paraId="41A4EDAD" w14:textId="77777777" w:rsidR="001A0B09" w:rsidRDefault="001A0B09">
            <w:pPr>
              <w:pStyle w:val="InstructionsText"/>
              <w:rPr>
                <w:rStyle w:val="FormatvorlageInstructionsTabelleText"/>
                <w:rFonts w:ascii="Times New Roman" w:hAnsi="Times New Roman"/>
                <w:b/>
                <w:sz w:val="18"/>
              </w:rPr>
            </w:pPr>
          </w:p>
          <w:p w14:paraId="6F3ECBE7" w14:textId="74F2E35E"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Tytuł II rozporządzenia delegowanego (UE) 2015/61.</w:t>
            </w:r>
          </w:p>
          <w:p w14:paraId="572156C0" w14:textId="77777777" w:rsidR="001A0B09" w:rsidRDefault="001A0B09">
            <w:pPr>
              <w:pStyle w:val="InstructionsText"/>
              <w:rPr>
                <w:rStyle w:val="FormatvorlageInstructionsTabelleText"/>
                <w:rFonts w:ascii="Times New Roman" w:hAnsi="Times New Roman"/>
                <w:sz w:val="18"/>
              </w:rPr>
            </w:pPr>
          </w:p>
          <w:p w14:paraId="3509EB14" w14:textId="25098B7B"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Instytucje kredytowe zgłaszają całkowitą kwotę/wartość rynkową swoich aktywów płynnych w kolumnie 010.</w:t>
            </w:r>
          </w:p>
          <w:p w14:paraId="588C243F" w14:textId="77777777" w:rsidR="001A0B09" w:rsidRDefault="001A0B09">
            <w:pPr>
              <w:pStyle w:val="InstructionsText"/>
              <w:rPr>
                <w:rStyle w:val="FormatvorlageInstructionsTabelleText"/>
                <w:rFonts w:ascii="Times New Roman" w:hAnsi="Times New Roman"/>
                <w:b/>
                <w:sz w:val="18"/>
              </w:rPr>
            </w:pPr>
          </w:p>
          <w:p w14:paraId="135777C1" w14:textId="6AF5A345"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Instytucje kredytowe zgłaszają całkowitą wartość swoich aktywów płynnych obliczoną zgodnie z art. 9 w kolumnie 040.</w:t>
            </w:r>
          </w:p>
          <w:p w14:paraId="1D99EC0D" w14:textId="77777777" w:rsidR="001A0B09" w:rsidRDefault="001A0B09">
            <w:pPr>
              <w:pStyle w:val="InstructionsText"/>
              <w:rPr>
                <w:rStyle w:val="FormatvorlageInstructionsTabelleText"/>
                <w:rFonts w:ascii="Times New Roman" w:hAnsi="Times New Roman"/>
                <w:sz w:val="18"/>
              </w:rPr>
            </w:pPr>
          </w:p>
          <w:p w14:paraId="35016665" w14:textId="77777777" w:rsidR="001A0B09" w:rsidRDefault="001A0B09">
            <w:pPr>
              <w:pStyle w:val="InstructionsText"/>
              <w:rPr>
                <w:rStyle w:val="FormatvorlageInstructionsTabelleText"/>
                <w:rFonts w:ascii="Times New Roman" w:hAnsi="Times New Roman"/>
                <w:b/>
                <w:sz w:val="18"/>
              </w:rPr>
            </w:pPr>
          </w:p>
        </w:tc>
      </w:tr>
      <w:tr w:rsidR="001A0B09" w14:paraId="02B44E84" w14:textId="77777777" w:rsidTr="002B73CC">
        <w:tc>
          <w:tcPr>
            <w:tcW w:w="1105" w:type="dxa"/>
            <w:gridSpan w:val="2"/>
            <w:shd w:val="clear" w:color="auto" w:fill="auto"/>
          </w:tcPr>
          <w:p w14:paraId="5BDE77CB" w14:textId="77777777"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1A0B09"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Całkowite nieskorygowane aktywa poziomu 1</w:t>
            </w:r>
          </w:p>
          <w:p w14:paraId="10071C00" w14:textId="77777777" w:rsidR="001A0B09" w:rsidRDefault="001A0B09">
            <w:pPr>
              <w:pStyle w:val="InstructionsText"/>
            </w:pPr>
          </w:p>
          <w:p w14:paraId="7BC9F4FA" w14:textId="6C857949" w:rsidR="001A0B09" w:rsidRDefault="006E48EA">
            <w:pPr>
              <w:pStyle w:val="InstructionsText"/>
            </w:pPr>
            <w:r>
              <w:t>Art. 10, 15, 16 i 19 rozporządzenia delegowanego (UE) 2015/61</w:t>
            </w:r>
          </w:p>
          <w:p w14:paraId="0DC82361" w14:textId="77777777" w:rsidR="001A0B09" w:rsidRDefault="001A0B09">
            <w:pPr>
              <w:pStyle w:val="InstructionsText"/>
              <w:rPr>
                <w:rStyle w:val="FormatvorlageInstructionsTabelleText"/>
                <w:rFonts w:ascii="Times New Roman" w:hAnsi="Times New Roman"/>
                <w:b/>
                <w:sz w:val="18"/>
              </w:rPr>
            </w:pPr>
          </w:p>
          <w:p w14:paraId="5202088B" w14:textId="0A6262CF" w:rsidR="001A0B09" w:rsidRDefault="006E48EA">
            <w:pPr>
              <w:pStyle w:val="InstructionsText"/>
            </w:pPr>
            <w:r>
              <w:rPr>
                <w:rStyle w:val="FormatvorlageInstructionsTabelleText"/>
                <w:rFonts w:ascii="Times New Roman" w:hAnsi="Times New Roman"/>
                <w:sz w:val="18"/>
              </w:rPr>
              <w:t xml:space="preserve">Aktywa zgłaszane w tej sekcji zostały wyraźnie zidentyfikowane jako aktywa poziomu 1 lub są traktowane jak aktywa poziomu 1, zgodnie z </w:t>
            </w:r>
            <w:r>
              <w:t>rozporządzeniem delegowanym (UE) 2015/61.</w:t>
            </w:r>
          </w:p>
          <w:p w14:paraId="330EA133" w14:textId="77777777" w:rsidR="001A0B09" w:rsidRDefault="001A0B09">
            <w:pPr>
              <w:pStyle w:val="InstructionsText"/>
            </w:pPr>
          </w:p>
          <w:p w14:paraId="534B0029" w14:textId="7B7550A6"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Instytucje kredytowe zgłaszają całkowitą kwotę/wartość rynkową swoich aktywów płynnych poziomu 1 w kolumnie 010.</w:t>
            </w:r>
          </w:p>
          <w:p w14:paraId="7F520E8A" w14:textId="77777777" w:rsidR="001A0B09" w:rsidRDefault="001A0B09">
            <w:pPr>
              <w:pStyle w:val="InstructionsText"/>
              <w:rPr>
                <w:rStyle w:val="FormatvorlageInstructionsTabelleText"/>
                <w:rFonts w:ascii="Times New Roman" w:hAnsi="Times New Roman"/>
                <w:sz w:val="18"/>
              </w:rPr>
            </w:pPr>
          </w:p>
          <w:p w14:paraId="0A04C8AF" w14:textId="77777777" w:rsidR="001A0B09" w:rsidRDefault="001A0B09">
            <w:pPr>
              <w:pStyle w:val="InstructionsText"/>
              <w:rPr>
                <w:rStyle w:val="FormatvorlageInstructionsTabelleText"/>
                <w:rFonts w:ascii="Times New Roman" w:hAnsi="Times New Roman"/>
                <w:b/>
                <w:sz w:val="18"/>
              </w:rPr>
            </w:pPr>
          </w:p>
          <w:p w14:paraId="7493A17C" w14:textId="4F9C6B60"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Instytucje kredytowe zgłaszają całkowitą wartość swoich aktywów płynnych poziomu 1 obliczoną zgodnie z art. 9 w kolumnie 040.</w:t>
            </w:r>
          </w:p>
          <w:p w14:paraId="5EA70FED" w14:textId="77777777" w:rsidR="001A0B09" w:rsidRDefault="001A0B09">
            <w:pPr>
              <w:pStyle w:val="InstructionsText"/>
            </w:pPr>
          </w:p>
          <w:p w14:paraId="4A1AD6EE" w14:textId="77777777" w:rsidR="001A0B09" w:rsidRDefault="001A0B09">
            <w:pPr>
              <w:pStyle w:val="InstructionsText"/>
              <w:rPr>
                <w:rStyle w:val="FormatvorlageInstructionsTabelleText"/>
                <w:rFonts w:ascii="Times New Roman" w:hAnsi="Times New Roman"/>
                <w:b/>
                <w:sz w:val="18"/>
              </w:rPr>
            </w:pPr>
          </w:p>
        </w:tc>
      </w:tr>
      <w:tr w:rsidR="001A0B09" w14:paraId="530AFC62" w14:textId="77777777" w:rsidTr="002B73CC">
        <w:tc>
          <w:tcPr>
            <w:tcW w:w="1105" w:type="dxa"/>
            <w:gridSpan w:val="2"/>
            <w:shd w:val="clear" w:color="auto" w:fill="auto"/>
          </w:tcPr>
          <w:p w14:paraId="5A34E090" w14:textId="77777777"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1A0B09" w:rsidRDefault="006E48EA">
            <w:pPr>
              <w:pStyle w:val="InstructionsText"/>
            </w:pPr>
            <w:r>
              <w:t>1.1.1. Całkowite nieskorygowane aktywa POZIOMU 1, z wyłączeniem obligacji zabezpieczonych charakteryzujących się wyjątkowo wysoką jakością</w:t>
            </w:r>
          </w:p>
          <w:p w14:paraId="128CD729" w14:textId="77777777" w:rsidR="001A0B09" w:rsidRDefault="001A0B09">
            <w:pPr>
              <w:pStyle w:val="InstructionsText"/>
            </w:pPr>
          </w:p>
          <w:p w14:paraId="40270401" w14:textId="3ED01BDD" w:rsidR="001A0B09" w:rsidRDefault="006E48EA">
            <w:pPr>
              <w:pStyle w:val="InstructionsText"/>
            </w:pPr>
            <w:r>
              <w:t>Art. 10, 15, 16 i 19 rozporządzenia delegowanego (UE) 2015/61</w:t>
            </w:r>
          </w:p>
          <w:p w14:paraId="33D17879" w14:textId="77777777" w:rsidR="001A0B09" w:rsidRDefault="001A0B09">
            <w:pPr>
              <w:pStyle w:val="InstructionsText"/>
              <w:rPr>
                <w:rStyle w:val="FormatvorlageInstructionsTabelleText"/>
                <w:rFonts w:ascii="Times New Roman" w:hAnsi="Times New Roman"/>
                <w:sz w:val="18"/>
              </w:rPr>
            </w:pPr>
          </w:p>
          <w:p w14:paraId="06079932" w14:textId="6B051E0E" w:rsidR="001A0B09" w:rsidRDefault="006E48EA">
            <w:pPr>
              <w:pStyle w:val="InstructionsText"/>
            </w:pPr>
            <w:r>
              <w:rPr>
                <w:rStyle w:val="FormatvorlageInstructionsTabelleText"/>
                <w:rFonts w:ascii="Times New Roman" w:hAnsi="Times New Roman"/>
                <w:sz w:val="18"/>
              </w:rPr>
              <w:t xml:space="preserve">Aktywa zgłaszane w tej podsekcji zostały wyraźnie zidentyfikowane jako aktywa poziomu 1 lub są traktowane jak aktywa poziomu 1, zgodnie z </w:t>
            </w:r>
            <w:r>
              <w:t>rozporządzeniem delegowanym (UE) 2015/61. Aktywa i aktywa bazowe, które kwalifikują się jako obligacje zabezpieczone charakteryzujące się wyjątkowo wysoką jakością zgodnie z definicją określoną w art. 10 ust. 1 lit. f) rozporządzenia delegowanego (UE) 2015/61, nie są zgłaszane w tej podsekcji.</w:t>
            </w:r>
          </w:p>
          <w:p w14:paraId="6C8CC178" w14:textId="77777777" w:rsidR="001A0B09" w:rsidRDefault="001A0B09">
            <w:pPr>
              <w:pStyle w:val="InstructionsText"/>
              <w:rPr>
                <w:rStyle w:val="InstructionsTabelleberschrift"/>
                <w:rFonts w:ascii="Times New Roman" w:hAnsi="Times New Roman"/>
                <w:sz w:val="18"/>
              </w:rPr>
            </w:pPr>
          </w:p>
          <w:p w14:paraId="6EE6FC2C" w14:textId="339A9909"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W kolumnie 010 instytucje kredytowe zgłaszają sumę wartości rynkowych / kwotę aktywów poziomu 1, z wyłączeniem obligacji zabezpieczonych charakteryzujących się wyjątkowo wysoką jakością, bez uwzględniania wymogów określonych w art. 17 rozporządzenia delegowanego (UE) 2015/61.</w:t>
            </w:r>
          </w:p>
          <w:p w14:paraId="2E650D43" w14:textId="77777777" w:rsidR="001A0B09" w:rsidRDefault="001A0B09">
            <w:pPr>
              <w:pStyle w:val="InstructionsText"/>
              <w:rPr>
                <w:rStyle w:val="InstructionsTabelleberschrift"/>
                <w:rFonts w:ascii="Times New Roman" w:hAnsi="Times New Roman"/>
                <w:b w:val="0"/>
                <w:sz w:val="18"/>
                <w:u w:val="none"/>
              </w:rPr>
            </w:pPr>
          </w:p>
          <w:p w14:paraId="75BA7EC1" w14:textId="0EA5F9CC"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W kolumnie 040 instytucje kredytowe zgłaszają sumę kwot ważonych aktywów poziomu 1, z wyłączeniem obligacji zabezpieczonych charakteryzujących się wyjątkowo wysoką jakością, bez uwzględniania wymogów określonych w art. 17 rozporządzenia delegowanego (UE) 2015/61.</w:t>
            </w:r>
          </w:p>
          <w:p w14:paraId="0E9DB3E4" w14:textId="77777777" w:rsidR="001A0B09" w:rsidRDefault="001A0B09">
            <w:pPr>
              <w:pStyle w:val="InstructionsText"/>
            </w:pPr>
          </w:p>
        </w:tc>
      </w:tr>
      <w:tr w:rsidR="001A0B09" w14:paraId="53415B35" w14:textId="77777777" w:rsidTr="002B73CC">
        <w:tc>
          <w:tcPr>
            <w:tcW w:w="1097" w:type="dxa"/>
            <w:vAlign w:val="center"/>
          </w:tcPr>
          <w:p w14:paraId="67810B2C" w14:textId="77777777" w:rsidR="001A0B09"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1A0B0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Monety i banknoty</w:t>
            </w:r>
          </w:p>
          <w:p w14:paraId="17A32494" w14:textId="77777777" w:rsidR="001A0B09" w:rsidRDefault="001A0B09">
            <w:pPr>
              <w:pStyle w:val="InstructionsText"/>
              <w:rPr>
                <w:rStyle w:val="FormatvorlageInstructionsTabelleText"/>
                <w:rFonts w:ascii="Times New Roman" w:hAnsi="Times New Roman"/>
                <w:sz w:val="18"/>
              </w:rPr>
            </w:pPr>
          </w:p>
          <w:p w14:paraId="68BF0307" w14:textId="34A3D0A9" w:rsidR="001A0B09"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 xml:space="preserve">Art. 10 ust. 1 lit. a) </w:t>
            </w:r>
            <w:r>
              <w:t>rozporządzenia delegowanego (UE) 2015/61</w:t>
            </w:r>
          </w:p>
          <w:p w14:paraId="02E40567" w14:textId="77777777" w:rsidR="001A0B09" w:rsidRDefault="001A0B09">
            <w:pPr>
              <w:pStyle w:val="InstructionsText"/>
              <w:rPr>
                <w:rStyle w:val="FormatvorlageInstructionsTabelleText"/>
                <w:rFonts w:ascii="Times New Roman" w:hAnsi="Times New Roman"/>
                <w:sz w:val="18"/>
              </w:rPr>
            </w:pPr>
          </w:p>
          <w:p w14:paraId="00AFFC71" w14:textId="56BCA6E1"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Całkowita kwota środków pieniężnych pochodzących z monet i banknotów.</w:t>
            </w:r>
          </w:p>
          <w:p w14:paraId="7A741B1F" w14:textId="77777777" w:rsidR="001A0B09" w:rsidRDefault="001A0B09">
            <w:pPr>
              <w:pStyle w:val="InstructionsText"/>
              <w:rPr>
                <w:rStyle w:val="FormatvorlageInstructionsTabelleText"/>
                <w:rFonts w:ascii="Times New Roman" w:hAnsi="Times New Roman"/>
                <w:sz w:val="18"/>
              </w:rPr>
            </w:pPr>
          </w:p>
        </w:tc>
      </w:tr>
      <w:tr w:rsidR="001A0B09" w14:paraId="756B0568" w14:textId="77777777" w:rsidTr="002B73CC">
        <w:tc>
          <w:tcPr>
            <w:tcW w:w="1097" w:type="dxa"/>
            <w:vAlign w:val="center"/>
          </w:tcPr>
          <w:p w14:paraId="0D54DD18" w14:textId="77777777" w:rsidR="001A0B09" w:rsidRDefault="006E48EA">
            <w:pPr>
              <w:rPr>
                <w:rFonts w:ascii="Times New Roman" w:hAnsi="Times New Roman"/>
                <w:sz w:val="18"/>
                <w:szCs w:val="18"/>
              </w:rPr>
            </w:pPr>
            <w:r>
              <w:rPr>
                <w:rFonts w:ascii="Times New Roman" w:hAnsi="Times New Roman"/>
                <w:sz w:val="18"/>
                <w:szCs w:val="18"/>
              </w:rPr>
              <w:lastRenderedPageBreak/>
              <w:t>050</w:t>
            </w:r>
          </w:p>
        </w:tc>
        <w:tc>
          <w:tcPr>
            <w:tcW w:w="7125" w:type="dxa"/>
            <w:gridSpan w:val="2"/>
          </w:tcPr>
          <w:p w14:paraId="0BB29739" w14:textId="77777777" w:rsidR="001A0B0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Podlegające wycofaniu rezerwy w banku centralnym</w:t>
            </w:r>
          </w:p>
          <w:p w14:paraId="5D600D58" w14:textId="77777777" w:rsidR="001A0B09" w:rsidRDefault="001A0B09">
            <w:pPr>
              <w:pStyle w:val="InstructionsText"/>
              <w:rPr>
                <w:rStyle w:val="InstructionsTabelleberschrift"/>
                <w:rFonts w:ascii="Times New Roman" w:hAnsi="Times New Roman"/>
                <w:sz w:val="18"/>
              </w:rPr>
            </w:pPr>
          </w:p>
          <w:p w14:paraId="48ECC62E" w14:textId="1413438A" w:rsidR="001A0B09"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Art. 10 ust. 1 lit. b) ppkt (iii)</w:t>
            </w:r>
            <w:r>
              <w:t>rozporządzenia delegowanego (UE) 2015/61</w:t>
            </w:r>
          </w:p>
          <w:p w14:paraId="3E7BAB0D" w14:textId="77777777" w:rsidR="001A0B09" w:rsidRDefault="001A0B09">
            <w:pPr>
              <w:pStyle w:val="InstructionsText"/>
              <w:rPr>
                <w:rStyle w:val="FormatvorlageInstructionsTabelleText"/>
                <w:rFonts w:ascii="Times New Roman" w:hAnsi="Times New Roman"/>
                <w:sz w:val="18"/>
              </w:rPr>
            </w:pPr>
          </w:p>
          <w:p w14:paraId="295DF17C" w14:textId="5561CACE"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Całkowita kwota rezerw podlegających wycofaniu w dowolnym momencie w okresach występowania warunków skrajnych, zdeponowanych przez instytucję kredytową w EBC, banku centralnym państwa członkowskiego lub banku centralnym państwa trzeciego, pod warunkiem że ekspozycjom wobec banku centralnego państwa trzeciego lub rządu centralnego tego państwa przypisano ocenę kredytową sporządzoną przez wyznaczoną ECAI (zewnętrzną instytucję oceny wiarygodności kredytowej) odpowiadającą stopniowi jakości kredytowej równemu co najmniej 1 zgodnie z art. 114 ust. 2 rozporządzenia (UE) nr 575/2013.</w:t>
            </w:r>
          </w:p>
          <w:p w14:paraId="1405DAC5" w14:textId="77777777" w:rsidR="001A0B09" w:rsidRDefault="001A0B09">
            <w:pPr>
              <w:pStyle w:val="InstructionsText"/>
              <w:rPr>
                <w:rStyle w:val="FormatvorlageInstructionsTabelleText"/>
                <w:rFonts w:ascii="Times New Roman" w:hAnsi="Times New Roman"/>
                <w:sz w:val="18"/>
              </w:rPr>
            </w:pPr>
          </w:p>
          <w:p w14:paraId="3FA67E4D" w14:textId="13747F4B" w:rsidR="001A0B09" w:rsidRDefault="006E48EA">
            <w:pPr>
              <w:pStyle w:val="InstructionsText"/>
            </w:pPr>
            <w:r>
              <w:rPr>
                <w:rStyle w:val="FormatvorlageInstructionsTabelleText"/>
                <w:rFonts w:ascii="Times New Roman" w:hAnsi="Times New Roman"/>
                <w:sz w:val="18"/>
              </w:rPr>
              <w:t xml:space="preserve">Kwalifikowalną kwotę podlegającą wycofaniu ustala się w umowie między właściwym organem instytucji kredytowej a bankiem centralnym, w którym przechowywane są rezerwy, lub w mających zastosowanie przepisach państwa trzeciego, jak określono w art. 10 ust. 1 lit. b) ppkt (iii) </w:t>
            </w:r>
            <w:r>
              <w:t>rozporządzenia delegowanego (UE) 2015/61.</w:t>
            </w:r>
          </w:p>
          <w:p w14:paraId="7148156E" w14:textId="77777777" w:rsidR="001A0B09" w:rsidRDefault="001A0B09">
            <w:pPr>
              <w:pStyle w:val="InstructionsText"/>
              <w:rPr>
                <w:rStyle w:val="FormatvorlageInstructionsTabelleText"/>
                <w:rFonts w:ascii="Times New Roman" w:hAnsi="Times New Roman"/>
                <w:sz w:val="18"/>
              </w:rPr>
            </w:pPr>
          </w:p>
        </w:tc>
      </w:tr>
      <w:tr w:rsidR="001A0B09" w14:paraId="2BAD87BD" w14:textId="77777777" w:rsidTr="002B73CC">
        <w:tc>
          <w:tcPr>
            <w:tcW w:w="1097" w:type="dxa"/>
            <w:vAlign w:val="center"/>
          </w:tcPr>
          <w:p w14:paraId="25BB6F14" w14:textId="77777777" w:rsidR="001A0B09" w:rsidRDefault="006E48EA">
            <w:pPr>
              <w:rPr>
                <w:rFonts w:ascii="Times New Roman" w:hAnsi="Times New Roman"/>
                <w:sz w:val="18"/>
                <w:szCs w:val="18"/>
              </w:rPr>
            </w:pPr>
            <w:r>
              <w:rPr>
                <w:rFonts w:ascii="Times New Roman" w:hAnsi="Times New Roman"/>
                <w:sz w:val="18"/>
                <w:szCs w:val="18"/>
              </w:rPr>
              <w:t>060</w:t>
            </w:r>
          </w:p>
        </w:tc>
        <w:tc>
          <w:tcPr>
            <w:tcW w:w="7125" w:type="dxa"/>
            <w:gridSpan w:val="2"/>
          </w:tcPr>
          <w:p w14:paraId="22A11554" w14:textId="77777777" w:rsidR="001A0B0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Aktywa stanowiące ekspozycje wobec banków centralnych</w:t>
            </w:r>
          </w:p>
          <w:p w14:paraId="18BC00CC" w14:textId="77777777" w:rsidR="001A0B09" w:rsidRDefault="001A0B09">
            <w:pPr>
              <w:pStyle w:val="InstructionsText"/>
              <w:rPr>
                <w:rStyle w:val="InstructionsTabelleberschrift"/>
                <w:rFonts w:ascii="Times New Roman" w:hAnsi="Times New Roman"/>
                <w:sz w:val="18"/>
              </w:rPr>
            </w:pPr>
          </w:p>
          <w:p w14:paraId="7F775E4F" w14:textId="72C2C6DA" w:rsidR="001A0B09" w:rsidRDefault="00485545">
            <w:pPr>
              <w:pStyle w:val="InstructionsText"/>
            </w:pPr>
            <w:r>
              <w:rPr>
                <w:rStyle w:val="InstructionsTabelleberschrift"/>
                <w:rFonts w:ascii="Times New Roman" w:hAnsi="Times New Roman"/>
                <w:b w:val="0"/>
                <w:sz w:val="18"/>
                <w:u w:val="none"/>
              </w:rPr>
              <w:t xml:space="preserve">Art. 10 ust. 1 lit. b) ppkt (i) oraz (ii) </w:t>
            </w:r>
            <w:r>
              <w:t>rozporządzenia delegowanego (UE) 2015/61</w:t>
            </w:r>
          </w:p>
          <w:p w14:paraId="2169F27D" w14:textId="77777777" w:rsidR="001A0B09" w:rsidRDefault="001A0B09">
            <w:pPr>
              <w:pStyle w:val="InstructionsText"/>
            </w:pPr>
          </w:p>
          <w:p w14:paraId="78886D90" w14:textId="355393EE"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Aktywa stanowiące należności od EBC, banku centralnego państwa członkowskiego lub banku centralnego państwa trzeciego lub aktywa gwarantowane przez takie banki, pod warunkiem, że ekspozycjom wobec banku centralnego państwa trzeciego lub rządu centralnego tego państwa przypisano ocenę kredytową sporządzoną przez wyznaczoną ECAI odpowiadającą stopniowi jakości kredytowej równemu co najmniej 1 zgodnie z art. 114 ust. 2 rozporządzenia (UE) nr 575/2013.</w:t>
            </w:r>
          </w:p>
          <w:p w14:paraId="24E02A72" w14:textId="77777777" w:rsidR="001A0B09" w:rsidRDefault="001A0B09">
            <w:pPr>
              <w:pStyle w:val="InstructionsText"/>
              <w:rPr>
                <w:rStyle w:val="InstructionsTabelleberschrift"/>
                <w:rFonts w:ascii="Times New Roman" w:hAnsi="Times New Roman"/>
                <w:sz w:val="18"/>
              </w:rPr>
            </w:pPr>
          </w:p>
          <w:p w14:paraId="46C91814" w14:textId="77777777" w:rsidR="001A0B09" w:rsidRDefault="001A0B09">
            <w:pPr>
              <w:pStyle w:val="InstructionsText"/>
              <w:rPr>
                <w:rStyle w:val="InstructionsTabelleberschrift"/>
                <w:rFonts w:ascii="Times New Roman" w:hAnsi="Times New Roman"/>
                <w:sz w:val="18"/>
              </w:rPr>
            </w:pPr>
          </w:p>
        </w:tc>
      </w:tr>
      <w:tr w:rsidR="001A0B09" w14:paraId="1A54302E" w14:textId="77777777" w:rsidTr="002B73CC">
        <w:tc>
          <w:tcPr>
            <w:tcW w:w="1097" w:type="dxa"/>
            <w:vAlign w:val="center"/>
          </w:tcPr>
          <w:p w14:paraId="3B3D3AA6" w14:textId="77777777" w:rsidR="001A0B09"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1A0B0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Aktywa stanowiące ekspozycje wobec rządów centralnych</w:t>
            </w:r>
          </w:p>
          <w:p w14:paraId="0AEBFFC9" w14:textId="77777777" w:rsidR="001A0B09" w:rsidRDefault="001A0B09">
            <w:pPr>
              <w:pStyle w:val="InstructionsText"/>
              <w:rPr>
                <w:rStyle w:val="InstructionsTabelleberschrift"/>
                <w:rFonts w:ascii="Times New Roman" w:hAnsi="Times New Roman"/>
                <w:sz w:val="18"/>
              </w:rPr>
            </w:pPr>
          </w:p>
          <w:p w14:paraId="1AC0799E" w14:textId="654BE53E" w:rsidR="001A0B09" w:rsidRDefault="00485545">
            <w:pPr>
              <w:pStyle w:val="InstructionsText"/>
            </w:pPr>
            <w:r>
              <w:rPr>
                <w:rStyle w:val="InstructionsTabelleberschrift"/>
                <w:rFonts w:ascii="Times New Roman" w:hAnsi="Times New Roman"/>
                <w:b w:val="0"/>
                <w:sz w:val="18"/>
                <w:u w:val="none"/>
              </w:rPr>
              <w:t>Art. 10 ust. 1 lit. c) ppkt (i) oraz (ii)</w:t>
            </w:r>
            <w:r>
              <w:rPr>
                <w:rStyle w:val="InstructionsTabelleberschrift"/>
                <w:rFonts w:ascii="Times New Roman" w:hAnsi="Times New Roman"/>
                <w:b w:val="0"/>
                <w:sz w:val="18"/>
              </w:rPr>
              <w:t xml:space="preserve"> </w:t>
            </w:r>
            <w:r>
              <w:t>rozporządzenia delegowanego (UE) 2015/61</w:t>
            </w:r>
          </w:p>
          <w:p w14:paraId="650673B2" w14:textId="77777777" w:rsidR="001A0B09" w:rsidRDefault="001A0B09">
            <w:pPr>
              <w:pStyle w:val="InstructionsText"/>
              <w:rPr>
                <w:rStyle w:val="FormatvorlageInstructionsTabelleText"/>
                <w:rFonts w:ascii="Times New Roman" w:hAnsi="Times New Roman"/>
                <w:sz w:val="18"/>
              </w:rPr>
            </w:pPr>
          </w:p>
          <w:p w14:paraId="43915093" w14:textId="1CFC61B2"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Aktywa stanowiące należności od rządu centralnego państwa członkowskiego lub rządu centralnego państwa trzeciego lub aktywa gwarantowane przez takie rządy, pod warunkiem że przypisano im ocenę kredytową sporządzoną przez wyznaczoną ECAI odpowiadającą stopniowi jakości kredytowej równemu co najmniej 1 zgodnie z art. 114 ust. 2 rozporządzenia (UE) nr 575/2013.</w:t>
            </w:r>
          </w:p>
          <w:p w14:paraId="38CCFA3C" w14:textId="77777777" w:rsidR="001A0B09" w:rsidRDefault="001A0B09">
            <w:pPr>
              <w:pStyle w:val="InstructionsText"/>
              <w:rPr>
                <w:rStyle w:val="FormatvorlageInstructionsTabelleText"/>
                <w:rFonts w:ascii="Times New Roman" w:hAnsi="Times New Roman"/>
                <w:sz w:val="18"/>
              </w:rPr>
            </w:pPr>
          </w:p>
          <w:p w14:paraId="2AA899AE" w14:textId="2AEFA949"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W tym wierszu instytucje kredytowe zgłaszają kwotę aktywów wyemitowanych przez instytucje kredytowe, które są objęte gwarancją rządu centralnego państwa członkowskiego zgodnie z art. 35 rozporządzenia delegowanego (UE) 2015/61.</w:t>
            </w:r>
          </w:p>
          <w:p w14:paraId="211C5F6F" w14:textId="77777777" w:rsidR="001A0B09" w:rsidRDefault="001A0B09">
            <w:pPr>
              <w:pStyle w:val="InstructionsText"/>
              <w:rPr>
                <w:rStyle w:val="FormatvorlageInstructionsTabelleText"/>
                <w:rFonts w:ascii="Times New Roman" w:hAnsi="Times New Roman"/>
                <w:sz w:val="18"/>
              </w:rPr>
            </w:pPr>
          </w:p>
          <w:p w14:paraId="5885FA24" w14:textId="6CDA64BF"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W tym wierszu zgłasza się aktywa wyemitowane przez agencje zarządzania aktywami o obniżonej jakości sponsorowane przez państwo członkowskie, o których mowa w art. 36 rozporządzenia delegowanego (UE) 2015/61.</w:t>
            </w:r>
          </w:p>
          <w:p w14:paraId="26DA2899" w14:textId="77777777" w:rsidR="001A0B09" w:rsidRDefault="001A0B09">
            <w:pPr>
              <w:pStyle w:val="InstructionsText"/>
              <w:rPr>
                <w:rStyle w:val="InstructionsTabelleberschrift"/>
                <w:rFonts w:ascii="Times New Roman" w:hAnsi="Times New Roman"/>
                <w:sz w:val="18"/>
              </w:rPr>
            </w:pPr>
          </w:p>
        </w:tc>
      </w:tr>
      <w:tr w:rsidR="001A0B09" w14:paraId="358F5F98" w14:textId="77777777" w:rsidTr="002B73CC">
        <w:tc>
          <w:tcPr>
            <w:tcW w:w="1097" w:type="dxa"/>
            <w:vAlign w:val="center"/>
          </w:tcPr>
          <w:p w14:paraId="2AC909D6" w14:textId="77777777" w:rsidR="001A0B09"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1A0B0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Aktywa stanowiące ekspozycje wobec samorządów regionalnych/władz lokalnych</w:t>
            </w:r>
          </w:p>
          <w:p w14:paraId="5E948428" w14:textId="77777777" w:rsidR="001A0B09" w:rsidRDefault="001A0B09">
            <w:pPr>
              <w:pStyle w:val="InstructionsText"/>
              <w:rPr>
                <w:rStyle w:val="InstructionsTabelleberschrift"/>
                <w:rFonts w:ascii="Times New Roman" w:hAnsi="Times New Roman"/>
                <w:sz w:val="18"/>
              </w:rPr>
            </w:pPr>
          </w:p>
          <w:p w14:paraId="029EC914" w14:textId="6AB9C551" w:rsidR="001A0B09"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 10 ust. 1 lit. c) ppkt (iii) i (iv) </w:t>
            </w:r>
            <w:r>
              <w:t>rozporządzenia delegowanego (UE) 2015/61</w:t>
            </w:r>
          </w:p>
          <w:p w14:paraId="2094AFE0" w14:textId="77777777" w:rsidR="001A0B09" w:rsidRDefault="001A0B09">
            <w:pPr>
              <w:pStyle w:val="InstructionsText"/>
              <w:rPr>
                <w:rStyle w:val="InstructionsTabelleberschrift"/>
                <w:rFonts w:ascii="Times New Roman" w:hAnsi="Times New Roman"/>
                <w:b w:val="0"/>
                <w:sz w:val="18"/>
                <w:u w:val="none"/>
              </w:rPr>
            </w:pPr>
          </w:p>
          <w:p w14:paraId="032BF348" w14:textId="77777777" w:rsidR="001A0B09"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Aktywa</w:t>
            </w:r>
            <w:r>
              <w:rPr>
                <w:rStyle w:val="FormatvorlageInstructionsTabelleText"/>
                <w:rFonts w:ascii="Times New Roman" w:hAnsi="Times New Roman"/>
                <w:sz w:val="18"/>
              </w:rPr>
              <w:t xml:space="preserve"> stanowiące należności od samorządów regionalnych lub władz lokalnych państwa członkowskiego lub aktywa gwarantowane przez takie podmioty, pod warunkiem że są one traktowane jak ekspozycje wobec rządu centralnego państwa członkowskiego zgodnie z art. 115 ust. 2 rozporządzenia (UE) nr 575/2013.</w:t>
            </w:r>
          </w:p>
          <w:p w14:paraId="4820BF89" w14:textId="77777777" w:rsidR="001A0B09" w:rsidRDefault="001A0B09">
            <w:pPr>
              <w:pStyle w:val="InstructionsText"/>
              <w:rPr>
                <w:rStyle w:val="InstructionsTabelleberschrift"/>
                <w:rFonts w:ascii="Times New Roman" w:hAnsi="Times New Roman"/>
                <w:sz w:val="18"/>
              </w:rPr>
            </w:pPr>
          </w:p>
          <w:p w14:paraId="2B60D552" w14:textId="1BDC5521" w:rsidR="001A0B09"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 xml:space="preserve">Aktywa </w:t>
            </w:r>
            <w:r>
              <w:rPr>
                <w:rStyle w:val="FormatvorlageInstructionsTabelleText"/>
                <w:rFonts w:ascii="Times New Roman" w:hAnsi="Times New Roman"/>
                <w:sz w:val="18"/>
              </w:rPr>
              <w:t>stanowiące należności od samorządów regionalnych lub władz lokalnych państwa trzeciego lub aktywa gwarantowane przez takie podmioty, pod warunkiem że przypisano im ocenę kredytową sporządzoną przez wyznaczoną ECAI odpowiadającą stopniowi jakości kredytowej równemu co najmniej 1 zgodnie z art. 114 ust. 2 rozporządzenia (UE) nr 575/2013 oraz pod warunkiem, że są one traktowane jak ekspozycje wobec rządu centralnego państwa trzeciego zgodnie z art. 115 ust. 4 rozporządzenia (UE) nr 575/2013.</w:t>
            </w:r>
          </w:p>
          <w:p w14:paraId="3CE48082" w14:textId="77777777" w:rsidR="001A0B09" w:rsidRDefault="001A0B09">
            <w:pPr>
              <w:pStyle w:val="InstructionsText"/>
              <w:rPr>
                <w:rStyle w:val="InstructionsTabelleberschrift"/>
                <w:rFonts w:ascii="Times New Roman" w:hAnsi="Times New Roman"/>
                <w:sz w:val="18"/>
              </w:rPr>
            </w:pPr>
          </w:p>
          <w:p w14:paraId="2522CD46" w14:textId="7A8D7D33"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W tym wierszu instytucje kredytowe zgłaszają aktywa wyemitowane przez instytucje </w:t>
            </w:r>
            <w:r>
              <w:rPr>
                <w:rStyle w:val="FormatvorlageInstructionsTabelleText"/>
                <w:rFonts w:ascii="Times New Roman" w:hAnsi="Times New Roman"/>
                <w:sz w:val="18"/>
              </w:rPr>
              <w:lastRenderedPageBreak/>
              <w:t>kredytowe, które są objęte gwarancją samorządu regionalnego lub władz lokalnych państwa członkowskiego zgodnie z art. 35 rozporządzenia delegowanego (UE) 2015/61.</w:t>
            </w:r>
          </w:p>
          <w:p w14:paraId="4329CC4C" w14:textId="77777777" w:rsidR="001A0B09" w:rsidRDefault="001A0B09">
            <w:pPr>
              <w:pStyle w:val="InstructionsText"/>
              <w:rPr>
                <w:rStyle w:val="InstructionsTabelleberschrift"/>
                <w:rFonts w:ascii="Times New Roman" w:hAnsi="Times New Roman"/>
                <w:sz w:val="18"/>
              </w:rPr>
            </w:pPr>
          </w:p>
        </w:tc>
      </w:tr>
      <w:tr w:rsidR="001A0B09" w14:paraId="1B663B0C" w14:textId="77777777" w:rsidTr="002B73CC">
        <w:tc>
          <w:tcPr>
            <w:tcW w:w="1097" w:type="dxa"/>
            <w:vAlign w:val="center"/>
          </w:tcPr>
          <w:p w14:paraId="585317D8" w14:textId="77777777" w:rsidR="001A0B09" w:rsidRDefault="006E48EA">
            <w:pPr>
              <w:rPr>
                <w:rFonts w:ascii="Times New Roman" w:hAnsi="Times New Roman"/>
                <w:sz w:val="18"/>
                <w:szCs w:val="18"/>
              </w:rPr>
            </w:pPr>
            <w:r>
              <w:rPr>
                <w:rFonts w:ascii="Times New Roman" w:hAnsi="Times New Roman"/>
                <w:sz w:val="18"/>
                <w:szCs w:val="18"/>
              </w:rPr>
              <w:lastRenderedPageBreak/>
              <w:t>090</w:t>
            </w:r>
          </w:p>
        </w:tc>
        <w:tc>
          <w:tcPr>
            <w:tcW w:w="7125" w:type="dxa"/>
            <w:gridSpan w:val="2"/>
          </w:tcPr>
          <w:p w14:paraId="06C69A34" w14:textId="77777777" w:rsidR="001A0B0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Aktywa stanowiące ekspozycje wobec podmiotów sektora publicznego</w:t>
            </w:r>
          </w:p>
          <w:p w14:paraId="0C16837A" w14:textId="77777777" w:rsidR="001A0B09" w:rsidRDefault="001A0B09">
            <w:pPr>
              <w:pStyle w:val="InstructionsText"/>
              <w:rPr>
                <w:rStyle w:val="InstructionsTabelleberschrift"/>
                <w:rFonts w:ascii="Times New Roman" w:hAnsi="Times New Roman"/>
                <w:sz w:val="18"/>
              </w:rPr>
            </w:pPr>
          </w:p>
          <w:p w14:paraId="56BE96D7" w14:textId="118FCCDB" w:rsidR="001A0B09"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 10 ust. 1 lit. c) ppkt (v) i (vi)</w:t>
            </w:r>
            <w:r>
              <w:rPr>
                <w:rStyle w:val="FormatvorlageInstructionsTabelleText"/>
                <w:rFonts w:ascii="Times New Roman" w:hAnsi="Times New Roman"/>
                <w:sz w:val="18"/>
              </w:rPr>
              <w:t xml:space="preserve"> </w:t>
            </w:r>
            <w:r>
              <w:t>rozporządzenia delegowanego (UE) 2015/61</w:t>
            </w:r>
          </w:p>
          <w:p w14:paraId="68ADA6CC" w14:textId="77777777" w:rsidR="001A0B09" w:rsidRDefault="001A0B09">
            <w:pPr>
              <w:pStyle w:val="InstructionsText"/>
              <w:rPr>
                <w:rStyle w:val="InstructionsTabelleberschrift"/>
                <w:rFonts w:ascii="Times New Roman" w:hAnsi="Times New Roman"/>
                <w:b w:val="0"/>
                <w:sz w:val="18"/>
                <w:u w:val="none"/>
              </w:rPr>
            </w:pPr>
          </w:p>
          <w:p w14:paraId="68E4C124" w14:textId="4D5C218D" w:rsidR="001A0B09" w:rsidRDefault="006E48EA">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 xml:space="preserve">Aktywa </w:t>
            </w:r>
            <w:r>
              <w:rPr>
                <w:rStyle w:val="FormatvorlageInstructionsTabelleText"/>
                <w:rFonts w:ascii="Times New Roman" w:hAnsi="Times New Roman"/>
                <w:sz w:val="18"/>
              </w:rPr>
              <w:t>stanowiące należności od podmiotów sektora publicznego państwa członkowskiego lub państwa trzeciego lub aktywa gwarantowane przez takie podmioty, pod warunkiem, że aktywa te są traktowane jak ekspozycje wobec rządu centralnego, samorządów regionalnych lub władz lokalnych tego państwa członkowskiego lub państwa trzeciego zgodnie z art. 116 ust. 4 rozporządzenia (UE) nr 575/2013.</w:t>
            </w:r>
          </w:p>
          <w:p w14:paraId="2AD26489" w14:textId="77777777" w:rsidR="001A0B09" w:rsidRDefault="001A0B09">
            <w:pPr>
              <w:pStyle w:val="InstructionsText"/>
              <w:rPr>
                <w:rStyle w:val="FormatvorlageInstructionsTabelleText"/>
                <w:rFonts w:ascii="Times New Roman" w:hAnsi="Times New Roman"/>
                <w:bCs/>
                <w:sz w:val="18"/>
              </w:rPr>
            </w:pPr>
          </w:p>
          <w:p w14:paraId="6467A92B" w14:textId="627FF55D" w:rsidR="001A0B09"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Wszystkie ekspozycje wobec rządu centralnego państwa trzeciego, o którym mowa w ustępie powyżej, przypisuje się ocenę kredytową sporządzoną przez wyznaczoną ECAI odpowiadającą stopniowi jakości kredytowej równemu co najmniej 1 zgodnie z art. 114 ust. 2 rozporządzenia (UE) nr 575/2013.</w:t>
            </w:r>
          </w:p>
          <w:p w14:paraId="77D1C8CF" w14:textId="77777777" w:rsidR="001A0B09" w:rsidRDefault="001A0B09">
            <w:pPr>
              <w:pStyle w:val="InstructionsText"/>
              <w:rPr>
                <w:rStyle w:val="FormatvorlageInstructionsTabelleText"/>
                <w:rFonts w:ascii="Times New Roman" w:hAnsi="Times New Roman"/>
                <w:bCs/>
                <w:sz w:val="18"/>
              </w:rPr>
            </w:pPr>
          </w:p>
          <w:p w14:paraId="4611A682" w14:textId="61F4D423"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Wszystkie ekspozycje wobec samorządu regionalnego lub władz lokalnych państwa trzeciego, o których mowa w tej podsekcji, traktuje się jak ekspozycje wobec rządu centralnego takiego państwa trzeciego zgodnie z art. 115 ust. 4 rozporządzenia (UE) nr 575/2013.</w:t>
            </w:r>
          </w:p>
          <w:p w14:paraId="2E2DA610" w14:textId="77777777" w:rsidR="001A0B09" w:rsidRDefault="001A0B09">
            <w:pPr>
              <w:pStyle w:val="InstructionsText"/>
              <w:rPr>
                <w:rStyle w:val="FormatvorlageInstructionsTabelleText"/>
                <w:rFonts w:ascii="Times New Roman" w:hAnsi="Times New Roman"/>
                <w:sz w:val="18"/>
              </w:rPr>
            </w:pPr>
          </w:p>
          <w:p w14:paraId="28488FAD" w14:textId="77777777" w:rsidR="001A0B09" w:rsidRDefault="001A0B09">
            <w:pPr>
              <w:pStyle w:val="InstructionsText"/>
              <w:rPr>
                <w:rStyle w:val="FormatvorlageInstructionsTabelleText"/>
                <w:rFonts w:ascii="Times New Roman" w:hAnsi="Times New Roman"/>
                <w:sz w:val="18"/>
              </w:rPr>
            </w:pPr>
          </w:p>
          <w:p w14:paraId="02BCADDA" w14:textId="77777777" w:rsidR="001A0B09" w:rsidRDefault="001A0B09">
            <w:pPr>
              <w:pStyle w:val="InstructionsText"/>
              <w:rPr>
                <w:rStyle w:val="InstructionsTabelleberschrift"/>
                <w:rFonts w:ascii="Times New Roman" w:hAnsi="Times New Roman"/>
                <w:sz w:val="18"/>
              </w:rPr>
            </w:pPr>
          </w:p>
        </w:tc>
      </w:tr>
      <w:tr w:rsidR="001A0B09" w14:paraId="77CADE9C" w14:textId="77777777" w:rsidTr="002B73CC">
        <w:tc>
          <w:tcPr>
            <w:tcW w:w="1097" w:type="dxa"/>
            <w:vAlign w:val="center"/>
          </w:tcPr>
          <w:p w14:paraId="3BF3ED57" w14:textId="77777777" w:rsidR="001A0B09" w:rsidRDefault="006E48EA">
            <w:pPr>
              <w:rPr>
                <w:rFonts w:ascii="Times New Roman" w:hAnsi="Times New Roman"/>
                <w:sz w:val="18"/>
                <w:szCs w:val="18"/>
              </w:rPr>
            </w:pPr>
            <w:r>
              <w:rPr>
                <w:rFonts w:ascii="Times New Roman" w:hAnsi="Times New Roman"/>
                <w:sz w:val="18"/>
                <w:szCs w:val="18"/>
              </w:rPr>
              <w:t>100</w:t>
            </w:r>
          </w:p>
        </w:tc>
        <w:tc>
          <w:tcPr>
            <w:tcW w:w="7125" w:type="dxa"/>
            <w:gridSpan w:val="2"/>
          </w:tcPr>
          <w:p w14:paraId="17E4F302" w14:textId="77777777" w:rsidR="001A0B09"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Możliwe do uznania aktywa stanowiące ekspozycje wobec rządów centralnych i banków centralnych w walucie krajowej i obcej</w:t>
            </w:r>
          </w:p>
          <w:p w14:paraId="454B4362" w14:textId="77777777" w:rsidR="001A0B09" w:rsidRDefault="001A0B09">
            <w:pPr>
              <w:pStyle w:val="InstructionsText"/>
              <w:rPr>
                <w:rStyle w:val="InstructionsTabelleberschrift"/>
                <w:rFonts w:ascii="Times New Roman" w:hAnsi="Times New Roman"/>
                <w:b w:val="0"/>
                <w:sz w:val="18"/>
              </w:rPr>
            </w:pPr>
          </w:p>
          <w:p w14:paraId="7364CE28" w14:textId="62D58994" w:rsidR="001A0B09"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Art. 10 ust. 1 lit. d)</w:t>
            </w:r>
            <w:r>
              <w:rPr>
                <w:rStyle w:val="FormatvorlageInstructionsTabelleText"/>
                <w:rFonts w:ascii="Times New Roman" w:hAnsi="Times New Roman"/>
                <w:sz w:val="18"/>
              </w:rPr>
              <w:t xml:space="preserve"> </w:t>
            </w:r>
            <w:r>
              <w:t>rozporządzenia delegowanego (UE) 2015/61</w:t>
            </w:r>
          </w:p>
          <w:p w14:paraId="7D45C046" w14:textId="77777777" w:rsidR="001A0B09" w:rsidRDefault="001A0B09">
            <w:pPr>
              <w:pStyle w:val="InstructionsText"/>
              <w:rPr>
                <w:rStyle w:val="InstructionsTabelleberschrift"/>
                <w:rFonts w:ascii="Times New Roman" w:hAnsi="Times New Roman"/>
                <w:b w:val="0"/>
                <w:sz w:val="18"/>
              </w:rPr>
            </w:pPr>
          </w:p>
          <w:p w14:paraId="77EE456C" w14:textId="2BA67AE7" w:rsidR="001A0B09"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 xml:space="preserve">Aktywa stanowiące należności od rządu centralnego lub banku centralnego oraz rezerwy utrzymywane w banku centralnym na warunkach określonych w art. 10 ust. 1 </w:t>
            </w:r>
            <w:r>
              <w:rPr>
                <w:rStyle w:val="InstructionsTabelleberschrift"/>
                <w:rFonts w:ascii="Times New Roman" w:hAnsi="Times New Roman"/>
                <w:b w:val="0"/>
                <w:sz w:val="18"/>
                <w:u w:val="none"/>
              </w:rPr>
              <w:t>lit. d) ppkt (ii)</w:t>
            </w:r>
            <w:r>
              <w:rPr>
                <w:rStyle w:val="InstructionsTabelleberschrift"/>
                <w:rFonts w:ascii="Times New Roman" w:hAnsi="Times New Roman"/>
                <w:b w:val="0"/>
                <w:sz w:val="18"/>
              </w:rPr>
              <w:t xml:space="preserve"> rozporządzenia delegowanego (UE) 2015/61 w państwie trzecim, któremu nie przypisano oceny kredytowej sporządzonej przez wyznaczoną ECAI odpowiadającej stopniowi jakości kredytowej równemu co najmniej 1, lub aktywa gwarantowane przez taki rząd centralny lub bank centralny, pod warunkiem że instytucja kredytowa uznaje takie aktywa łącznie za aktywa poziomu 1 do wysokości swoich wypływów płynności netto w warunkach skrajnych poniesionych w tej samej walucie.</w:t>
            </w:r>
          </w:p>
          <w:p w14:paraId="0AEA3427" w14:textId="77777777" w:rsidR="001A0B09" w:rsidRDefault="001A0B09">
            <w:pPr>
              <w:pStyle w:val="InstructionsText"/>
              <w:rPr>
                <w:rStyle w:val="InstructionsTabelleberschrift"/>
                <w:rFonts w:ascii="Times New Roman" w:hAnsi="Times New Roman"/>
                <w:b w:val="0"/>
                <w:sz w:val="18"/>
              </w:rPr>
            </w:pPr>
          </w:p>
          <w:p w14:paraId="55DF6FA5" w14:textId="183D9CF0" w:rsidR="001A0B09"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 xml:space="preserve">Aktywa stanowiące należności od rządu centralnego lub banku centralnego oraz rezerwy utrzymywane w banku centralnym na warunkach określonych w art. 10 ust. 1 </w:t>
            </w:r>
            <w:r>
              <w:rPr>
                <w:rStyle w:val="InstructionsTabelleberschrift"/>
                <w:rFonts w:ascii="Times New Roman" w:hAnsi="Times New Roman"/>
                <w:b w:val="0"/>
                <w:sz w:val="18"/>
                <w:u w:val="none"/>
              </w:rPr>
              <w:t>lit. d) ppkt (ii)</w:t>
            </w:r>
            <w:r>
              <w:rPr>
                <w:rStyle w:val="InstructionsTabelleberschrift"/>
                <w:rFonts w:ascii="Times New Roman" w:hAnsi="Times New Roman"/>
                <w:b w:val="0"/>
                <w:sz w:val="18"/>
              </w:rPr>
              <w:t xml:space="preserve"> rozporządzenia delegowanego (UE) 2015/61 w państwie trzecim, któremu nie przypisano oceny kredytowej sporządzonej przez wyznaczoną ECAI odpowiadającej stopniowi jakości kredytowej równemu co najmniej 1, lub aktywa gwarantowane przez taki rząd centralny lub bank centralny, które nie są denominowane w walucie krajowej tego państwa trzeciego, pod warunkiem że instytucja kredytowa uznaje takie aktywa za aktywa poziomu 1, do kwoty wypływów płynności netto w warunkach skrajnych poniesionych w takiej walucie obcej odpowiadającej operacjom instytucji w jurysdykcji, w której ponoszone jest ryzyko płynności.</w:t>
            </w:r>
          </w:p>
        </w:tc>
      </w:tr>
      <w:tr w:rsidR="001A0B09" w14:paraId="2BA962D4" w14:textId="77777777" w:rsidTr="002B73CC">
        <w:tc>
          <w:tcPr>
            <w:tcW w:w="1097" w:type="dxa"/>
            <w:vAlign w:val="center"/>
          </w:tcPr>
          <w:p w14:paraId="3CCB066D" w14:textId="77777777" w:rsidR="001A0B09" w:rsidRDefault="006E48EA">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1A0B09"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Aktywa stanowiące ekspozycje wobec instytucji kredytowej (objęte ochroną przez rząd państwa członkowskiego, wierzyciela uprzywilejowanego)</w:t>
            </w:r>
          </w:p>
          <w:p w14:paraId="60CCB746" w14:textId="77777777" w:rsidR="001A0B09" w:rsidRDefault="001A0B09">
            <w:pPr>
              <w:pStyle w:val="InstructionsText"/>
              <w:rPr>
                <w:rStyle w:val="InstructionsTabelleberschrift"/>
                <w:rFonts w:ascii="Times New Roman" w:hAnsi="Times New Roman"/>
                <w:sz w:val="18"/>
              </w:rPr>
            </w:pPr>
          </w:p>
          <w:p w14:paraId="289FE6A7" w14:textId="0D3ED290" w:rsidR="001A0B09"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 10 ust. 1 lit. e) ppkt (i) oraz (ii) </w:t>
            </w:r>
            <w:r>
              <w:t>rozporządzenia delegowanego (UE) 2015/61</w:t>
            </w:r>
          </w:p>
          <w:p w14:paraId="19604F90" w14:textId="77777777" w:rsidR="001A0B09" w:rsidRDefault="001A0B09">
            <w:pPr>
              <w:pStyle w:val="InstructionsText"/>
              <w:rPr>
                <w:rStyle w:val="InstructionsTabelleberschrift"/>
                <w:rFonts w:ascii="Times New Roman" w:hAnsi="Times New Roman"/>
                <w:b w:val="0"/>
                <w:sz w:val="18"/>
                <w:u w:val="none"/>
              </w:rPr>
            </w:pPr>
          </w:p>
          <w:p w14:paraId="1ED91850" w14:textId="77777777"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Aktywa emitowane przez instytucje kredytowe zarejestrowane lub utworzone przez rząd centralny, samorząd regionalny lub władze lokalne państwa członkowskiego, gdy rząd, samorząd lub władze lokalne są prawnie zobowiązane do ochrony gospodarczych podstaw danej instytucji kredytowej i utrzymywania jej rentowności finansowej.</w:t>
            </w:r>
          </w:p>
          <w:p w14:paraId="0986761B" w14:textId="77777777" w:rsidR="001A0B09" w:rsidRDefault="001A0B09">
            <w:pPr>
              <w:pStyle w:val="InstructionsText"/>
              <w:rPr>
                <w:rStyle w:val="InstructionsTabelleberschrift"/>
                <w:rFonts w:ascii="Times New Roman" w:hAnsi="Times New Roman"/>
                <w:b w:val="0"/>
                <w:sz w:val="18"/>
                <w:u w:val="none"/>
              </w:rPr>
            </w:pPr>
          </w:p>
          <w:p w14:paraId="066D9067" w14:textId="473B547D"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Aktywa emitowane przez wierzyciela uprzywilejowanego zgodnie z art. 10 ust. 1 lit. e) ppkt (ii) rozporządzenia delegowanego (UE) 2015/61.</w:t>
            </w:r>
          </w:p>
          <w:p w14:paraId="34496170" w14:textId="77777777" w:rsidR="001A0B09" w:rsidRDefault="001A0B09">
            <w:pPr>
              <w:pStyle w:val="InstructionsText"/>
              <w:rPr>
                <w:rStyle w:val="InstructionsTabelleberschrift"/>
                <w:rFonts w:ascii="Times New Roman" w:hAnsi="Times New Roman"/>
                <w:b w:val="0"/>
                <w:sz w:val="18"/>
                <w:u w:val="none"/>
              </w:rPr>
            </w:pPr>
          </w:p>
          <w:p w14:paraId="7E2BCAFE" w14:textId="4A251342"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Wszystkie ekspozycje wobec samorządu regionalnego lub władz lokalnych, o których mowa powyżej, traktuje się jak ekspozycje wobec rządu centralnego państwa członkowskiego zgodnie z art. 115 ust. 2 rozporządzenia (UE) nr 575/2013.</w:t>
            </w:r>
          </w:p>
          <w:p w14:paraId="71177326" w14:textId="77777777" w:rsidR="001A0B09" w:rsidRDefault="001A0B09">
            <w:pPr>
              <w:pStyle w:val="InstructionsText"/>
              <w:rPr>
                <w:rStyle w:val="InstructionsTabelleberschrift"/>
                <w:rFonts w:ascii="Times New Roman" w:hAnsi="Times New Roman"/>
                <w:sz w:val="18"/>
              </w:rPr>
            </w:pPr>
          </w:p>
        </w:tc>
      </w:tr>
      <w:tr w:rsidR="001A0B09" w14:paraId="51118772" w14:textId="77777777" w:rsidTr="002B73CC">
        <w:tc>
          <w:tcPr>
            <w:tcW w:w="1097" w:type="dxa"/>
            <w:vAlign w:val="center"/>
          </w:tcPr>
          <w:p w14:paraId="1C4139C2" w14:textId="77777777" w:rsidR="001A0B09"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1A0B0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Aktywa stanowiące ekspozycje wobec wielostronnych banków rozwoju i organizacji międzynarodowych</w:t>
            </w:r>
          </w:p>
          <w:p w14:paraId="09B5D684" w14:textId="77777777" w:rsidR="001A0B09" w:rsidRDefault="001A0B09">
            <w:pPr>
              <w:pStyle w:val="InstructionsText"/>
              <w:rPr>
                <w:rStyle w:val="InstructionsTabelleberschrift"/>
                <w:rFonts w:ascii="Times New Roman" w:hAnsi="Times New Roman"/>
                <w:sz w:val="18"/>
              </w:rPr>
            </w:pPr>
          </w:p>
          <w:p w14:paraId="1FF33250" w14:textId="14CB012C" w:rsidR="001A0B09"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 10 ust. 1 lit. g) </w:t>
            </w:r>
            <w:r>
              <w:t>rozporządzenia delegowanego (UE) 2015/61</w:t>
            </w:r>
          </w:p>
          <w:p w14:paraId="4FDDEEEB" w14:textId="77777777" w:rsidR="001A0B09" w:rsidRDefault="001A0B09">
            <w:pPr>
              <w:pStyle w:val="InstructionsText"/>
              <w:rPr>
                <w:rStyle w:val="InstructionsTabelleberschrift"/>
                <w:rFonts w:ascii="Times New Roman" w:hAnsi="Times New Roman"/>
                <w:b w:val="0"/>
                <w:sz w:val="18"/>
                <w:u w:val="none"/>
              </w:rPr>
            </w:pPr>
          </w:p>
          <w:p w14:paraId="10238EA2" w14:textId="4AF8A610"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Aktywa stanowiące należności od wielostronnych banków rozwoju i organizacji międzynarodowych lub aktywa gwarantowane przez takie banki i organizacje, o których mowa w art. 117 ust. 2 i art. 118 rozporządzenia (UE) nr 575/2013.</w:t>
            </w:r>
          </w:p>
          <w:p w14:paraId="3F23877C" w14:textId="77777777" w:rsidR="001A0B09" w:rsidRDefault="001A0B09">
            <w:pPr>
              <w:pStyle w:val="InstructionsText"/>
              <w:rPr>
                <w:rStyle w:val="InstructionsTabelleberschrift"/>
                <w:rFonts w:ascii="Times New Roman" w:hAnsi="Times New Roman"/>
                <w:sz w:val="18"/>
              </w:rPr>
            </w:pPr>
          </w:p>
        </w:tc>
      </w:tr>
      <w:tr w:rsidR="001A0B09" w14:paraId="7DED49E5" w14:textId="77777777" w:rsidTr="002B73CC">
        <w:tc>
          <w:tcPr>
            <w:tcW w:w="1097" w:type="dxa"/>
            <w:vAlign w:val="center"/>
          </w:tcPr>
          <w:p w14:paraId="288613BB" w14:textId="77777777" w:rsidR="001A0B09" w:rsidRDefault="006E48EA">
            <w:pPr>
              <w:rPr>
                <w:rFonts w:ascii="Times New Roman" w:hAnsi="Times New Roman"/>
                <w:sz w:val="18"/>
                <w:szCs w:val="18"/>
              </w:rPr>
            </w:pPr>
            <w:r>
              <w:rPr>
                <w:rFonts w:ascii="Times New Roman" w:hAnsi="Times New Roman"/>
                <w:sz w:val="18"/>
                <w:szCs w:val="18"/>
              </w:rPr>
              <w:lastRenderedPageBreak/>
              <w:t>130</w:t>
            </w:r>
          </w:p>
        </w:tc>
        <w:tc>
          <w:tcPr>
            <w:tcW w:w="7125" w:type="dxa"/>
            <w:gridSpan w:val="2"/>
          </w:tcPr>
          <w:p w14:paraId="3AAFB551" w14:textId="77777777" w:rsidR="001A0B09"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Kwalifikujące się udziały lub jednostki uczestnictwa w przedsiębiorstwach zbiorowego inwestowania: instrument bazowy stanowią monety/banknoty lub ekspozycja wobec banków centralnych</w:t>
            </w:r>
          </w:p>
          <w:p w14:paraId="01CBA9BD" w14:textId="77777777" w:rsidR="001A0B09" w:rsidRDefault="001A0B09">
            <w:pPr>
              <w:pStyle w:val="InstructionsText"/>
              <w:rPr>
                <w:rStyle w:val="InstructionsTabelleberschrift"/>
                <w:rFonts w:ascii="Times New Roman" w:hAnsi="Times New Roman"/>
                <w:sz w:val="18"/>
              </w:rPr>
            </w:pPr>
          </w:p>
          <w:p w14:paraId="7D3B6BCF" w14:textId="7CACB305" w:rsidR="001A0B09"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 xml:space="preserve">Art. 15 ust. 2 lit. a) </w:t>
            </w:r>
            <w:r>
              <w:t>rozporządzenia delegowanego (UE) 2015/61</w:t>
            </w:r>
          </w:p>
          <w:p w14:paraId="6BA3CE39" w14:textId="77777777" w:rsidR="001A0B09" w:rsidRDefault="001A0B09">
            <w:pPr>
              <w:pStyle w:val="InstructionsText"/>
              <w:rPr>
                <w:rStyle w:val="InstructionsTabelleberschrift"/>
                <w:rFonts w:ascii="Times New Roman" w:hAnsi="Times New Roman"/>
                <w:b w:val="0"/>
                <w:sz w:val="18"/>
              </w:rPr>
            </w:pPr>
          </w:p>
          <w:p w14:paraId="062B5261" w14:textId="724038C4" w:rsidR="001A0B0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Udziały lub jednostki uczestnictwa w przedsiębiorstwach zbiorowego inwestowania, których aktywa bazowe stanowią monety, banknoty i ekspozycje wobec EBC, banku centralnego państwa członkowskiego lub banku centralnego państwa trzeciego, pod warunkiem że ekspozycjom wobec banku centralnego państwa trzeciego lub rządu centralnego tego państwa przypisano ocenę kredytową sporządzoną przez wyznaczoną ECAI odpowiadającą stopniowi jakości kredytowej równemu co najmniej 1 </w:t>
            </w:r>
            <w:r>
              <w:rPr>
                <w:rStyle w:val="InstructionsTabelleberschrift"/>
                <w:rFonts w:ascii="Times New Roman" w:hAnsi="Times New Roman"/>
                <w:b w:val="0"/>
                <w:sz w:val="18"/>
              </w:rPr>
              <w:t xml:space="preserve">zgodnie z </w:t>
            </w:r>
            <w:r>
              <w:rPr>
                <w:rStyle w:val="InstructionsTabelleberschrift"/>
                <w:rFonts w:ascii="Times New Roman" w:hAnsi="Times New Roman"/>
                <w:b w:val="0"/>
                <w:sz w:val="18"/>
                <w:u w:val="none"/>
              </w:rPr>
              <w:t>art. 114 ust. 2 rozporządzenia (UE) nr 575/2013.</w:t>
            </w:r>
          </w:p>
          <w:p w14:paraId="4703F57B" w14:textId="77777777" w:rsidR="001A0B09" w:rsidRDefault="001A0B09">
            <w:pPr>
              <w:pStyle w:val="InstructionsText"/>
              <w:rPr>
                <w:rStyle w:val="InstructionsTabelleberschrift"/>
                <w:rFonts w:ascii="Times New Roman" w:hAnsi="Times New Roman"/>
                <w:sz w:val="18"/>
              </w:rPr>
            </w:pPr>
          </w:p>
        </w:tc>
      </w:tr>
      <w:tr w:rsidR="001A0B09" w14:paraId="14CA4ED8" w14:textId="77777777" w:rsidTr="002B73CC">
        <w:tc>
          <w:tcPr>
            <w:tcW w:w="1097" w:type="dxa"/>
            <w:vAlign w:val="center"/>
          </w:tcPr>
          <w:p w14:paraId="1338CAB5" w14:textId="77777777" w:rsidR="001A0B09"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1A0B0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Kwalifikujące się udziały lub jednostki uczestnictwa w przedsiębiorstwach zbiorowego inwestowania: instrument bazowy stanowią aktywa poziomu 1, z wyłączeniem obligacji zabezpieczonych charakteryzujących się wyjątkowo wysoką jakością</w:t>
            </w:r>
          </w:p>
          <w:p w14:paraId="1F32CC1B" w14:textId="77777777" w:rsidR="001A0B09" w:rsidRDefault="001A0B09">
            <w:pPr>
              <w:pStyle w:val="InstructionsText"/>
              <w:rPr>
                <w:rStyle w:val="InstructionsTabelleberschrift"/>
                <w:rFonts w:ascii="Times New Roman" w:hAnsi="Times New Roman"/>
                <w:sz w:val="18"/>
              </w:rPr>
            </w:pPr>
          </w:p>
          <w:p w14:paraId="7ACCDDD4" w14:textId="66C26539" w:rsidR="001A0B09"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 15 ust. 2 lit. b) </w:t>
            </w:r>
            <w:r>
              <w:t>rozporządzenia delegowanego (UE) 2015/61</w:t>
            </w:r>
          </w:p>
          <w:p w14:paraId="20670CCC" w14:textId="77777777" w:rsidR="001A0B09" w:rsidRDefault="001A0B09">
            <w:pPr>
              <w:pStyle w:val="InstructionsText"/>
              <w:rPr>
                <w:rStyle w:val="InstructionsTabelleberschrift"/>
                <w:rFonts w:ascii="Times New Roman" w:hAnsi="Times New Roman"/>
                <w:b w:val="0"/>
                <w:sz w:val="18"/>
                <w:u w:val="none"/>
              </w:rPr>
            </w:pPr>
          </w:p>
          <w:p w14:paraId="2C62AE79" w14:textId="7B5CCB8B" w:rsidR="001A0B0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Udziały lub jednostki uczestnictwa w przedsiębiorstwach zbiorowego inwestowania, których aktywa bazowe odpowiadają aktywom kwalifikującym się jako aktywa poziomu 1, z wyłączeniem monet, banknotów, ekspozycji wobec EBC i banku centralnego państwa członkowskiego lub banku centralnego państwa trzeciego, a także obligacji zabezpieczonych charakteryzujących się wyjątkowo wysoką jakością określonych w art. 10 ust. 1 lit. f) rozporządzenia delegowanego (UE) 2015/61.</w:t>
            </w:r>
          </w:p>
          <w:p w14:paraId="60CC32EB" w14:textId="77777777" w:rsidR="001A0B09" w:rsidRDefault="001A0B09">
            <w:pPr>
              <w:pStyle w:val="InstructionsText"/>
              <w:rPr>
                <w:rStyle w:val="InstructionsTabelleberschrift"/>
                <w:rFonts w:ascii="Times New Roman" w:hAnsi="Times New Roman"/>
                <w:sz w:val="18"/>
              </w:rPr>
            </w:pPr>
          </w:p>
        </w:tc>
      </w:tr>
      <w:tr w:rsidR="001A0B09" w14:paraId="3555109F" w14:textId="77777777" w:rsidTr="002B73CC">
        <w:tc>
          <w:tcPr>
            <w:tcW w:w="1097" w:type="dxa"/>
            <w:shd w:val="clear" w:color="auto" w:fill="FFFFFF"/>
            <w:vAlign w:val="center"/>
          </w:tcPr>
          <w:p w14:paraId="303F7668" w14:textId="77777777" w:rsidR="001A0B09"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1A0B09"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Alternatywne podejścia w zakresie płynności: instrumenty kredytowe od banków centralnych</w:t>
            </w:r>
          </w:p>
          <w:p w14:paraId="71FEA8C7" w14:textId="77777777" w:rsidR="001A0B09" w:rsidRDefault="001A0B09">
            <w:pPr>
              <w:pStyle w:val="InstructionsText"/>
              <w:rPr>
                <w:rStyle w:val="InstructionsTabelleberschrift"/>
                <w:rFonts w:ascii="Times New Roman" w:hAnsi="Times New Roman"/>
                <w:b w:val="0"/>
                <w:sz w:val="18"/>
              </w:rPr>
            </w:pPr>
          </w:p>
          <w:p w14:paraId="519DCA76" w14:textId="1E3024E9" w:rsidR="001A0B09" w:rsidRDefault="00762F31">
            <w:pPr>
              <w:pStyle w:val="InstructionsText"/>
            </w:pPr>
            <w:r>
              <w:rPr>
                <w:rStyle w:val="InstructionsTabelleberschrift"/>
                <w:rFonts w:ascii="Times New Roman" w:hAnsi="Times New Roman"/>
                <w:b w:val="0"/>
                <w:sz w:val="18"/>
                <w:u w:val="none"/>
              </w:rPr>
              <w:t xml:space="preserve">Art. 19 ust. 1 lit. b) </w:t>
            </w:r>
            <w:r>
              <w:t>rozporządzenia delegowanego (UE) 2015/61</w:t>
            </w:r>
          </w:p>
          <w:p w14:paraId="2D6CE790" w14:textId="77777777" w:rsidR="001A0B09" w:rsidRDefault="001A0B09">
            <w:pPr>
              <w:pStyle w:val="InstructionsText"/>
            </w:pPr>
          </w:p>
          <w:p w14:paraId="45FC38DB" w14:textId="2E771A0B" w:rsidR="001A0B09" w:rsidRDefault="006E48EA">
            <w:pPr>
              <w:pStyle w:val="InstructionsText"/>
              <w:rPr>
                <w:rStyle w:val="InstructionsTabelleberschrift"/>
                <w:rFonts w:ascii="Times New Roman" w:hAnsi="Times New Roman"/>
                <w:b w:val="0"/>
                <w:i/>
                <w:sz w:val="18"/>
              </w:rPr>
            </w:pPr>
            <w:r>
              <w:t>Niewykorzystana kwota instrumentów kredytowych z EBC, banku centralnego państwa członkowskiego lub banku centralnego państwa trzeciego, pod warunkiem, że instrument spełnia wymogi określone w art. 19 ust. 1 lit. b) ppkt (i)–(iii) rozporządzenia delegowanego (UE) 2015/61.</w:t>
            </w:r>
          </w:p>
          <w:p w14:paraId="781E1693" w14:textId="77777777" w:rsidR="001A0B09" w:rsidRDefault="001A0B09">
            <w:pPr>
              <w:pStyle w:val="InstructionsText"/>
              <w:rPr>
                <w:rStyle w:val="InstructionsTabelleberschrift"/>
                <w:rFonts w:ascii="Times New Roman" w:hAnsi="Times New Roman"/>
                <w:sz w:val="18"/>
              </w:rPr>
            </w:pPr>
          </w:p>
        </w:tc>
      </w:tr>
      <w:tr w:rsidR="001A0B09" w14:paraId="2299781C" w14:textId="77777777" w:rsidTr="002B73CC">
        <w:tc>
          <w:tcPr>
            <w:tcW w:w="1097" w:type="dxa"/>
            <w:shd w:val="clear" w:color="auto" w:fill="FFFFFF"/>
            <w:vAlign w:val="center"/>
          </w:tcPr>
          <w:p w14:paraId="1B6B6A1F" w14:textId="77777777" w:rsidR="001A0B09"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1.1.1.13. Instytucje centralne: aktywa poziomu 1, z wyłączeniem obligacji zabezpieczonych charakteryzujących się wyjątkowo wysoką jakością, które deponująca instytucja kredytowa uznaje za aktywa płynne</w:t>
            </w:r>
          </w:p>
          <w:p w14:paraId="71575136" w14:textId="77777777" w:rsidR="001A0B09" w:rsidRDefault="001A0B09">
            <w:pPr>
              <w:spacing w:before="0" w:after="0"/>
              <w:rPr>
                <w:rFonts w:ascii="Times New Roman" w:hAnsi="Times New Roman"/>
                <w:sz w:val="18"/>
                <w:szCs w:val="18"/>
              </w:rPr>
            </w:pPr>
          </w:p>
          <w:p w14:paraId="3DD38AE4" w14:textId="14B0FC31" w:rsidR="001A0B09" w:rsidRDefault="006E48EA">
            <w:pPr>
              <w:spacing w:before="0" w:after="0"/>
              <w:ind w:left="33"/>
              <w:rPr>
                <w:rFonts w:ascii="Times New Roman" w:hAnsi="Times New Roman"/>
                <w:bCs/>
                <w:sz w:val="18"/>
                <w:szCs w:val="18"/>
              </w:rPr>
            </w:pPr>
            <w:r>
              <w:rPr>
                <w:rFonts w:ascii="Times New Roman" w:hAnsi="Times New Roman"/>
                <w:sz w:val="18"/>
                <w:szCs w:val="18"/>
              </w:rPr>
              <w:t>Art. 27 ust. 3 rozporządzenia delegowanego (UE) 2015/61</w:t>
            </w:r>
          </w:p>
          <w:p w14:paraId="77842A8F" w14:textId="77777777" w:rsidR="001A0B09" w:rsidRDefault="001A0B09">
            <w:pPr>
              <w:spacing w:before="0" w:after="0"/>
              <w:ind w:left="33"/>
              <w:rPr>
                <w:rFonts w:ascii="Times New Roman" w:hAnsi="Times New Roman"/>
                <w:sz w:val="18"/>
                <w:szCs w:val="18"/>
              </w:rPr>
            </w:pPr>
          </w:p>
          <w:p w14:paraId="2461B912" w14:textId="6BF387F8" w:rsidR="001A0B09" w:rsidRDefault="00223992">
            <w:pPr>
              <w:spacing w:before="0" w:after="0"/>
              <w:ind w:left="33"/>
              <w:rPr>
                <w:rFonts w:ascii="Times New Roman" w:hAnsi="Times New Roman"/>
                <w:sz w:val="18"/>
                <w:szCs w:val="18"/>
              </w:rPr>
            </w:pPr>
            <w:r>
              <w:rPr>
                <w:rFonts w:ascii="Times New Roman" w:hAnsi="Times New Roman"/>
                <w:sz w:val="18"/>
                <w:szCs w:val="18"/>
              </w:rPr>
              <w:t>Zgodnie z art. 27 ust. 3 rozporządzenia delegowanego (UE) 2015/61</w:t>
            </w:r>
            <w:r>
              <w:rPr>
                <w:rFonts w:ascii="Times New Roman" w:hAnsi="Times New Roman"/>
                <w:bCs/>
                <w:sz w:val="18"/>
                <w:szCs w:val="18"/>
              </w:rPr>
              <w:t xml:space="preserve"> należy zidentyfikować aktywa płynne, których kwota odpowiada wysokości depozytów instytucji kredytowych złożonych w instytucji centralnej i które deponująca instytucja kredytowa uznaje za aktywa płynne</w:t>
            </w:r>
            <w:r>
              <w:rPr>
                <w:rFonts w:ascii="Times New Roman" w:hAnsi="Times New Roman"/>
                <w:sz w:val="18"/>
                <w:szCs w:val="18"/>
              </w:rPr>
              <w:t>. Takie aktywa płynne nie są wliczane do pokrycia wypływów innych niż wypływy z depozytów, o których mowa powyżej, i nie są brane pod uwagę do celów obliczenia struktury pozostałego zabezpieczenia przed utratą płynności na mocy art. 17 w odniesieniu do instytucji centralnej na poziomie indywidualnym.</w:t>
            </w:r>
          </w:p>
          <w:p w14:paraId="5405AA99" w14:textId="77777777" w:rsidR="001A0B09" w:rsidRDefault="001A0B09">
            <w:pPr>
              <w:spacing w:before="0" w:after="0"/>
              <w:ind w:left="33"/>
              <w:rPr>
                <w:rFonts w:ascii="Times New Roman" w:hAnsi="Times New Roman"/>
                <w:sz w:val="18"/>
                <w:szCs w:val="18"/>
              </w:rPr>
            </w:pPr>
          </w:p>
          <w:p w14:paraId="786E9F39" w14:textId="2C1084DC" w:rsidR="001A0B09" w:rsidRDefault="006E48EA">
            <w:pPr>
              <w:spacing w:before="0" w:after="0"/>
              <w:ind w:left="33"/>
              <w:rPr>
                <w:rFonts w:ascii="Times New Roman" w:hAnsi="Times New Roman"/>
                <w:bCs/>
                <w:sz w:val="18"/>
                <w:szCs w:val="18"/>
              </w:rPr>
            </w:pPr>
            <w:r>
              <w:rPr>
                <w:rFonts w:ascii="Times New Roman" w:hAnsi="Times New Roman"/>
                <w:bCs/>
                <w:sz w:val="18"/>
                <w:szCs w:val="18"/>
              </w:rPr>
              <w:t>Instytucje centralne zapewniają, by zgłaszana kwota takich aktywów płynnych po redukcji wartości nie przekraczała wypływów z odpowiadających im depozytów.</w:t>
            </w:r>
          </w:p>
          <w:p w14:paraId="46DF4046" w14:textId="77777777" w:rsidR="001A0B09" w:rsidRDefault="001A0B09">
            <w:pPr>
              <w:spacing w:before="0" w:after="0"/>
              <w:ind w:left="33"/>
              <w:rPr>
                <w:rFonts w:ascii="Times New Roman" w:hAnsi="Times New Roman"/>
                <w:sz w:val="18"/>
                <w:szCs w:val="18"/>
              </w:rPr>
            </w:pPr>
          </w:p>
          <w:p w14:paraId="66782E23" w14:textId="10C5C59D" w:rsidR="001A0B09" w:rsidRDefault="006E48EA">
            <w:pPr>
              <w:spacing w:before="0" w:after="0"/>
              <w:ind w:left="33"/>
              <w:rPr>
                <w:rFonts w:ascii="Times New Roman" w:hAnsi="Times New Roman"/>
                <w:sz w:val="18"/>
                <w:szCs w:val="18"/>
              </w:rPr>
            </w:pPr>
            <w:r>
              <w:rPr>
                <w:rFonts w:ascii="Times New Roman" w:hAnsi="Times New Roman"/>
                <w:sz w:val="18"/>
                <w:szCs w:val="18"/>
              </w:rPr>
              <w:t>Aktywa, o których mowa w tym wierszu, stanowią aktywa poziomu 1, z wyłączeniem obligacji zabezpieczonych charakteryzujących się wyjątkowo wysoką jakością.</w:t>
            </w:r>
          </w:p>
          <w:p w14:paraId="2B8EDBF8" w14:textId="77777777" w:rsidR="001A0B09" w:rsidRDefault="001A0B09">
            <w:pPr>
              <w:pStyle w:val="InstructionsText"/>
              <w:rPr>
                <w:rStyle w:val="InstructionsTabelleberschrift"/>
                <w:rFonts w:ascii="Times New Roman" w:hAnsi="Times New Roman"/>
                <w:bCs/>
                <w:sz w:val="18"/>
                <w:szCs w:val="24"/>
              </w:rPr>
            </w:pPr>
          </w:p>
        </w:tc>
      </w:tr>
      <w:tr w:rsidR="001A0B09" w14:paraId="07CE9364" w14:textId="77777777" w:rsidTr="002B73CC">
        <w:tc>
          <w:tcPr>
            <w:tcW w:w="1097" w:type="dxa"/>
            <w:shd w:val="clear" w:color="auto" w:fill="FFFFFF"/>
            <w:vAlign w:val="center"/>
          </w:tcPr>
          <w:p w14:paraId="74A19ACB" w14:textId="77777777" w:rsidR="001A0B09"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1A0B0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Alternatywne podejścia w zakresie płynności: aktywa poziomu 2A rozpoznawane jako aktywa poziomu 1</w:t>
            </w:r>
          </w:p>
          <w:p w14:paraId="303CA9C1" w14:textId="77777777" w:rsidR="001A0B09" w:rsidRDefault="001A0B09">
            <w:pPr>
              <w:pStyle w:val="InstructionsText"/>
              <w:rPr>
                <w:rStyle w:val="InstructionsTabelleberschrift"/>
                <w:rFonts w:ascii="Times New Roman" w:hAnsi="Times New Roman"/>
                <w:sz w:val="18"/>
              </w:rPr>
            </w:pPr>
          </w:p>
          <w:p w14:paraId="22491EAB" w14:textId="030DF634" w:rsidR="001A0B09" w:rsidRDefault="00762F31">
            <w:pPr>
              <w:pStyle w:val="InstructionsText"/>
            </w:pPr>
            <w:r>
              <w:rPr>
                <w:rStyle w:val="InstructionsTabelleberschrift"/>
                <w:rFonts w:ascii="Times New Roman" w:hAnsi="Times New Roman"/>
                <w:b w:val="0"/>
                <w:sz w:val="18"/>
                <w:u w:val="none"/>
              </w:rPr>
              <w:t xml:space="preserve">Art. 19 ust. 1 lit. c) </w:t>
            </w:r>
            <w:r>
              <w:t>rozporządzenia delegowanego (UE) 2015/61</w:t>
            </w:r>
          </w:p>
          <w:p w14:paraId="6A2A3985" w14:textId="77777777" w:rsidR="001A0B09" w:rsidRDefault="001A0B09">
            <w:pPr>
              <w:pStyle w:val="InstructionsText"/>
            </w:pPr>
          </w:p>
          <w:p w14:paraId="70ED9461" w14:textId="2F69C047" w:rsidR="001A0B09" w:rsidRDefault="006E48EA">
            <w:pPr>
              <w:spacing w:before="0" w:after="0"/>
              <w:ind w:left="33"/>
              <w:rPr>
                <w:rFonts w:ascii="Times New Roman" w:hAnsi="Times New Roman"/>
                <w:sz w:val="18"/>
                <w:szCs w:val="18"/>
              </w:rPr>
            </w:pPr>
            <w:r>
              <w:rPr>
                <w:rFonts w:ascii="Times New Roman" w:hAnsi="Times New Roman"/>
                <w:sz w:val="18"/>
                <w:szCs w:val="18"/>
              </w:rPr>
              <w:t>W przypadku niedoboru aktywów poziomu 1 instytucje kredytowe zgłaszają kwotę aktywów poziomu 2A, które uznają za aktywa poziomu 1 i których nie zgłaszają jako aktywów poziomu 2A zgodnie z art. 19 ust. 1 lit. c) rozporządzenia delegowanego (UE) 2015/61. Aktywów tych nie zgłasza się w sekcji dotyczącej aktywów poziomu 2A.</w:t>
            </w:r>
          </w:p>
          <w:p w14:paraId="6562511C" w14:textId="77777777" w:rsidR="001A0B09" w:rsidRDefault="001A0B09">
            <w:pPr>
              <w:pStyle w:val="InstructionsText"/>
              <w:rPr>
                <w:rStyle w:val="InstructionsTabelleberschrift"/>
                <w:rFonts w:ascii="Times New Roman" w:hAnsi="Times New Roman"/>
                <w:bCs/>
                <w:sz w:val="18"/>
                <w:szCs w:val="24"/>
              </w:rPr>
            </w:pPr>
          </w:p>
        </w:tc>
      </w:tr>
      <w:tr w:rsidR="001A0B09" w14:paraId="767F5351" w14:textId="77777777" w:rsidTr="002B73CC">
        <w:tc>
          <w:tcPr>
            <w:tcW w:w="1097" w:type="dxa"/>
            <w:shd w:val="clear" w:color="auto" w:fill="auto"/>
            <w:vAlign w:val="center"/>
          </w:tcPr>
          <w:p w14:paraId="1AF90C3E" w14:textId="77777777" w:rsidR="001A0B09" w:rsidRDefault="006E48EA">
            <w:pPr>
              <w:rPr>
                <w:rFonts w:ascii="Times New Roman" w:hAnsi="Times New Roman"/>
                <w:sz w:val="18"/>
                <w:szCs w:val="18"/>
              </w:rPr>
            </w:pPr>
            <w:r>
              <w:rPr>
                <w:rFonts w:ascii="Times New Roman" w:hAnsi="Times New Roman"/>
                <w:sz w:val="18"/>
                <w:szCs w:val="18"/>
              </w:rPr>
              <w:lastRenderedPageBreak/>
              <w:t>180</w:t>
            </w:r>
          </w:p>
        </w:tc>
        <w:tc>
          <w:tcPr>
            <w:tcW w:w="7125" w:type="dxa"/>
            <w:gridSpan w:val="2"/>
            <w:shd w:val="clear" w:color="auto" w:fill="auto"/>
          </w:tcPr>
          <w:p w14:paraId="5F5760BE" w14:textId="77777777" w:rsidR="001A0B0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Całkowite nieskorygowane obligacje zabezpieczone POZIOMU 1 charakteryzujące się wyjątkowo wysoką jakością</w:t>
            </w:r>
          </w:p>
          <w:p w14:paraId="36273809" w14:textId="77777777" w:rsidR="001A0B09" w:rsidRDefault="001A0B09">
            <w:pPr>
              <w:pStyle w:val="InstructionsText"/>
              <w:rPr>
                <w:rStyle w:val="InstructionsTabelleberschrift"/>
                <w:rFonts w:ascii="Times New Roman" w:hAnsi="Times New Roman"/>
                <w:sz w:val="18"/>
              </w:rPr>
            </w:pPr>
          </w:p>
          <w:p w14:paraId="199D7109" w14:textId="070235FE"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 10, 15 i 16 </w:t>
            </w:r>
            <w:r>
              <w:t>rozporządzenia delegowanego (UE) 2015/61.</w:t>
            </w:r>
          </w:p>
          <w:p w14:paraId="48062FD9" w14:textId="77777777" w:rsidR="001A0B09" w:rsidRDefault="001A0B09">
            <w:pPr>
              <w:pStyle w:val="InstructionsText"/>
              <w:rPr>
                <w:rStyle w:val="InstructionsTabelleberschrift"/>
                <w:rFonts w:ascii="Times New Roman" w:hAnsi="Times New Roman"/>
                <w:b w:val="0"/>
                <w:sz w:val="18"/>
                <w:u w:val="none"/>
              </w:rPr>
            </w:pPr>
          </w:p>
          <w:p w14:paraId="30667FE9" w14:textId="7F862AE7" w:rsidR="001A0B09" w:rsidRDefault="006E48EA">
            <w:pPr>
              <w:pStyle w:val="InstructionsText"/>
            </w:pPr>
            <w:r>
              <w:rPr>
                <w:rStyle w:val="FormatvorlageInstructionsTabelleText"/>
                <w:rFonts w:ascii="Times New Roman" w:hAnsi="Times New Roman"/>
                <w:sz w:val="18"/>
              </w:rPr>
              <w:t xml:space="preserve">Aktywa zgłaszane w tej podsekcji zostały wyraźnie zidentyfikowane jako aktywa poziomu 1 lub są traktowane jak aktywa poziomu 1 zgodnie z </w:t>
            </w:r>
            <w:r>
              <w:t>rozporządzeniem delegowanym (UE) 2015/61, i stanowią – lub których aktywa bazowe kwalifikują się jako – obligacje zabezpieczone charakteryzujące się wyjątkowo wysoką jakością zdefiniowane w art. 10 ust. 1 lit. f) rozporządzenia delegowanego (UE) 2015/61.</w:t>
            </w:r>
          </w:p>
          <w:p w14:paraId="6745CC95" w14:textId="77777777" w:rsidR="001A0B09" w:rsidRDefault="001A0B09">
            <w:pPr>
              <w:pStyle w:val="InstructionsText"/>
              <w:rPr>
                <w:rStyle w:val="InstructionsTabelleberschrift"/>
                <w:rFonts w:ascii="Times New Roman" w:hAnsi="Times New Roman"/>
                <w:sz w:val="18"/>
                <w:u w:val="none"/>
              </w:rPr>
            </w:pPr>
          </w:p>
          <w:p w14:paraId="7BC66025" w14:textId="083FA134"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W kolumnie 010 instytucje kredytowe zgłaszają sumę wartości rynkowych / kwotę aktywów poziomu 1 w postaci obligacji zabezpieczonych charakteryzujących się wyjątkowo wysoką jakością, bez uwzględniania wymogów określonych w art. 17 rozporządzenia delegowanego (UE) 2015/61.</w:t>
            </w:r>
          </w:p>
          <w:p w14:paraId="04635A7D" w14:textId="77777777" w:rsidR="001A0B09" w:rsidRDefault="001A0B09">
            <w:pPr>
              <w:pStyle w:val="InstructionsText"/>
              <w:rPr>
                <w:rStyle w:val="InstructionsTabelleberschrift"/>
                <w:rFonts w:ascii="Times New Roman" w:hAnsi="Times New Roman"/>
                <w:b w:val="0"/>
                <w:sz w:val="18"/>
                <w:u w:val="none"/>
              </w:rPr>
            </w:pPr>
          </w:p>
          <w:p w14:paraId="72932860" w14:textId="3F020928"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W kolumnie 040 instytucje kredytowe zgłaszają sumę kwot ważonych aktywów poziomu 1 w postaci obligacji zabezpieczonych charakteryzujących się wyjątkowo wysoką jakością, bez uwzględniania wymogów określonych w art. 17 rozporządzenia delegowanego (UE) 2015/61.</w:t>
            </w:r>
          </w:p>
          <w:p w14:paraId="1280E935" w14:textId="77777777" w:rsidR="001A0B09" w:rsidRDefault="001A0B09">
            <w:pPr>
              <w:pStyle w:val="InstructionsText"/>
              <w:rPr>
                <w:rStyle w:val="InstructionsTabelleberschrift"/>
                <w:rFonts w:ascii="Times New Roman" w:hAnsi="Times New Roman"/>
                <w:sz w:val="18"/>
              </w:rPr>
            </w:pPr>
          </w:p>
        </w:tc>
      </w:tr>
      <w:tr w:rsidR="001A0B09" w14:paraId="45ED5176" w14:textId="77777777" w:rsidTr="002B73CC">
        <w:tc>
          <w:tcPr>
            <w:tcW w:w="1097" w:type="dxa"/>
            <w:shd w:val="clear" w:color="auto" w:fill="FFFFFF"/>
            <w:vAlign w:val="center"/>
          </w:tcPr>
          <w:p w14:paraId="0DAC4C0E" w14:textId="77777777" w:rsidR="001A0B09" w:rsidRDefault="006E48EA">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1A0B0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Obligacje zabezpieczone charakteryzujące się wyjątkowo wysoką jakością</w:t>
            </w:r>
          </w:p>
          <w:p w14:paraId="47929DF3" w14:textId="77777777" w:rsidR="001A0B09" w:rsidRDefault="001A0B09">
            <w:pPr>
              <w:pStyle w:val="InstructionsText"/>
              <w:rPr>
                <w:rStyle w:val="InstructionsTabelleberschrift"/>
                <w:rFonts w:ascii="Times New Roman" w:hAnsi="Times New Roman"/>
                <w:sz w:val="18"/>
              </w:rPr>
            </w:pPr>
          </w:p>
          <w:p w14:paraId="5EC24061" w14:textId="6BE8A6B3" w:rsidR="001A0B09" w:rsidRDefault="00DD4C72">
            <w:pPr>
              <w:pStyle w:val="InstructionsText"/>
            </w:pPr>
            <w:r>
              <w:rPr>
                <w:rStyle w:val="InstructionsTabelleberschrift"/>
                <w:rFonts w:ascii="Times New Roman" w:hAnsi="Times New Roman"/>
                <w:b w:val="0"/>
                <w:sz w:val="18"/>
                <w:u w:val="none"/>
              </w:rPr>
              <w:t xml:space="preserve">Art. 10 ust. 1 lit. f) </w:t>
            </w:r>
            <w:r>
              <w:t>rozporządzenia delegowanego (UE) 2015/61</w:t>
            </w:r>
          </w:p>
          <w:p w14:paraId="5D2C9F8E" w14:textId="77777777" w:rsidR="001A0B09" w:rsidRDefault="001A0B09">
            <w:pPr>
              <w:pStyle w:val="InstructionsText"/>
              <w:rPr>
                <w:rStyle w:val="InstructionsTabelleberschrift"/>
                <w:rFonts w:ascii="Times New Roman" w:hAnsi="Times New Roman"/>
                <w:sz w:val="18"/>
                <w:u w:val="none"/>
              </w:rPr>
            </w:pPr>
          </w:p>
          <w:p w14:paraId="13F1EE05" w14:textId="6E1FF712" w:rsidR="001A0B09" w:rsidRDefault="006E48EA">
            <w:pPr>
              <w:pStyle w:val="InstructionsText"/>
            </w:pPr>
            <w:r>
              <w:rPr>
                <w:rStyle w:val="InstructionsTabelleberschrift"/>
                <w:rFonts w:ascii="Times New Roman" w:hAnsi="Times New Roman"/>
                <w:b w:val="0"/>
                <w:sz w:val="18"/>
                <w:u w:val="none"/>
              </w:rPr>
              <w:t xml:space="preserve">Aktywa stanowiące ekspozycje w postaci obligacji zabezpieczonych charakteryzujących się wyjątkowo wysoką jakością, które spełniają wymogi określone w art. 10 ust. 1 lit. f) </w:t>
            </w:r>
            <w:r>
              <w:t>rozporządzenia delegowanego (UE) 2015/61.</w:t>
            </w:r>
          </w:p>
          <w:p w14:paraId="4344EAB7" w14:textId="77777777" w:rsidR="001A0B09" w:rsidRDefault="001A0B09">
            <w:pPr>
              <w:pStyle w:val="InstructionsText"/>
              <w:rPr>
                <w:rStyle w:val="InstructionsTabelleberschrift"/>
                <w:rFonts w:ascii="Times New Roman" w:hAnsi="Times New Roman"/>
                <w:sz w:val="18"/>
              </w:rPr>
            </w:pPr>
          </w:p>
        </w:tc>
      </w:tr>
      <w:tr w:rsidR="001A0B09" w14:paraId="4C11F354" w14:textId="77777777" w:rsidTr="002B73CC">
        <w:tc>
          <w:tcPr>
            <w:tcW w:w="1097" w:type="dxa"/>
            <w:shd w:val="clear" w:color="auto" w:fill="FFFFFF"/>
            <w:vAlign w:val="center"/>
          </w:tcPr>
          <w:p w14:paraId="3C5AF3AF" w14:textId="77777777" w:rsidR="001A0B09"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1A0B09"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Kwalifikujące się udziały lub jednostki uczestnictwa w przedsiębiorstwach zbiorowego inwestowania: instrument bazowy stanowią obligacje zabezpieczone charakteryzujące się wyjątkowo wysoką jakością</w:t>
            </w:r>
          </w:p>
          <w:p w14:paraId="1A43EDF1" w14:textId="77777777" w:rsidR="001A0B09" w:rsidRDefault="001A0B09">
            <w:pPr>
              <w:pStyle w:val="InstructionsText"/>
              <w:rPr>
                <w:rStyle w:val="InstructionsTabelleberschrift"/>
                <w:rFonts w:ascii="Times New Roman" w:hAnsi="Times New Roman"/>
                <w:sz w:val="18"/>
              </w:rPr>
            </w:pPr>
          </w:p>
          <w:p w14:paraId="3B0BFAA9" w14:textId="19E8AFCC" w:rsidR="001A0B09" w:rsidRDefault="00DD4C72">
            <w:pPr>
              <w:pStyle w:val="InstructionsText"/>
            </w:pPr>
            <w:r>
              <w:rPr>
                <w:rStyle w:val="InstructionsTabelleberschrift"/>
                <w:rFonts w:ascii="Times New Roman" w:hAnsi="Times New Roman"/>
                <w:b w:val="0"/>
                <w:sz w:val="18"/>
                <w:u w:val="none"/>
              </w:rPr>
              <w:t xml:space="preserve">Art. 15 ust. 2 lit. c) </w:t>
            </w:r>
            <w:r>
              <w:t>rozporządzenia delegowanego (UE) 2015/61</w:t>
            </w:r>
          </w:p>
          <w:p w14:paraId="559C0381" w14:textId="77777777" w:rsidR="001A0B09" w:rsidRDefault="001A0B09">
            <w:pPr>
              <w:pStyle w:val="InstructionsText"/>
              <w:rPr>
                <w:rStyle w:val="InstructionsTabelleberschrift"/>
                <w:rFonts w:ascii="Times New Roman" w:hAnsi="Times New Roman"/>
                <w:sz w:val="18"/>
                <w:u w:val="none"/>
              </w:rPr>
            </w:pPr>
          </w:p>
          <w:p w14:paraId="5D3F4B18" w14:textId="1B8CFB2C" w:rsidR="001A0B09"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Udziały lub jednostki uczestnictwa w przedsiębiorstwach zbiorowego inwestowania, których aktywa bazowe odpowiadają aktywom kwalifikującym się jako obligacje zabezpieczone charakteryzujące się wyjątkowo wysoką jakością określone w art. 10 ust. 1 lit. f) rozporządzenia delegowanego (UE) 2015/61.</w:t>
            </w:r>
          </w:p>
          <w:p w14:paraId="6030D2C0" w14:textId="77777777" w:rsidR="001A0B09" w:rsidRDefault="001A0B09">
            <w:pPr>
              <w:pStyle w:val="InstructionsText"/>
              <w:rPr>
                <w:rStyle w:val="InstructionsTabelleberschrift"/>
                <w:rFonts w:ascii="Times New Roman" w:hAnsi="Times New Roman"/>
                <w:sz w:val="18"/>
              </w:rPr>
            </w:pPr>
          </w:p>
        </w:tc>
      </w:tr>
      <w:tr w:rsidR="001A0B09" w14:paraId="5266FB9F" w14:textId="77777777" w:rsidTr="002B73CC">
        <w:tc>
          <w:tcPr>
            <w:tcW w:w="1097" w:type="dxa"/>
            <w:shd w:val="clear" w:color="auto" w:fill="FFFFFF"/>
            <w:vAlign w:val="center"/>
          </w:tcPr>
          <w:p w14:paraId="67B0C6B6" w14:textId="77777777" w:rsidR="001A0B09"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1.1.2.3. Instytucje centralne: obligacje zabezpieczone poziomu 1 charakteryzujące się wyjątkowo wysoką jakością, które deponująca instytucja kredytowa uznaje za aktywa płynne</w:t>
            </w:r>
          </w:p>
          <w:p w14:paraId="193A7DE9" w14:textId="77777777" w:rsidR="001A0B09" w:rsidRDefault="001A0B09">
            <w:pPr>
              <w:spacing w:before="0" w:after="0"/>
              <w:ind w:left="33"/>
              <w:rPr>
                <w:rFonts w:ascii="Times New Roman" w:hAnsi="Times New Roman"/>
                <w:sz w:val="18"/>
                <w:szCs w:val="18"/>
              </w:rPr>
            </w:pPr>
          </w:p>
          <w:p w14:paraId="73FD21F1" w14:textId="49802B21" w:rsidR="001A0B09" w:rsidRDefault="006E48EA">
            <w:pPr>
              <w:spacing w:before="0" w:after="0"/>
              <w:ind w:left="33"/>
              <w:rPr>
                <w:rFonts w:ascii="Times New Roman" w:hAnsi="Times New Roman"/>
                <w:bCs/>
                <w:sz w:val="18"/>
                <w:szCs w:val="18"/>
              </w:rPr>
            </w:pPr>
            <w:r>
              <w:rPr>
                <w:rFonts w:ascii="Times New Roman" w:hAnsi="Times New Roman"/>
                <w:sz w:val="18"/>
                <w:szCs w:val="18"/>
              </w:rPr>
              <w:t>Art. 27 ust. 3 rozporządzenia delegowanego (UE) 2015/61</w:t>
            </w:r>
          </w:p>
          <w:p w14:paraId="510C13A2" w14:textId="77777777" w:rsidR="001A0B09" w:rsidRDefault="001A0B09">
            <w:pPr>
              <w:spacing w:before="0" w:after="0"/>
              <w:ind w:left="33"/>
              <w:rPr>
                <w:rFonts w:ascii="Times New Roman" w:hAnsi="Times New Roman"/>
                <w:sz w:val="18"/>
                <w:szCs w:val="18"/>
              </w:rPr>
            </w:pPr>
          </w:p>
          <w:p w14:paraId="575A1C12" w14:textId="39A3771E" w:rsidR="001A0B09" w:rsidRDefault="00223992">
            <w:pPr>
              <w:spacing w:before="0" w:after="0"/>
              <w:ind w:left="33"/>
              <w:rPr>
                <w:rFonts w:ascii="Times New Roman" w:hAnsi="Times New Roman"/>
                <w:sz w:val="18"/>
                <w:szCs w:val="18"/>
              </w:rPr>
            </w:pPr>
            <w:r>
              <w:rPr>
                <w:rFonts w:ascii="Times New Roman" w:hAnsi="Times New Roman"/>
                <w:sz w:val="18"/>
                <w:szCs w:val="18"/>
              </w:rPr>
              <w:t>Zgodnie z art. 27 ust. 3 rozporządzenia delegowanego (UE) 2015/61</w:t>
            </w:r>
            <w:r>
              <w:rPr>
                <w:rFonts w:ascii="Times New Roman" w:hAnsi="Times New Roman"/>
                <w:bCs/>
                <w:sz w:val="18"/>
                <w:szCs w:val="18"/>
              </w:rPr>
              <w:t xml:space="preserve"> należy zidentyfikować aktywa płynne, których kwota odpowiada wysokości depozytów instytucji kredytowych złożonych w instytucji centralnej i które deponująca instytucja kredytowa uznaje za aktywa płynne</w:t>
            </w:r>
            <w:r>
              <w:rPr>
                <w:rFonts w:ascii="Times New Roman" w:hAnsi="Times New Roman"/>
                <w:sz w:val="18"/>
                <w:szCs w:val="18"/>
              </w:rPr>
              <w:t>. Takie aktywa płynne nie są wliczane do pokrycia wypływów innych niż wypływy z depozytów, o których mowa powyżej, i nie są brane pod uwagę do celów obliczenia struktury pozostałego zabezpieczenia przed utratą płynności na mocy art. 17 rozporządzenia delegowanego (UE) 2015/61 w odniesieniu do instytucji centralnej na poziomie indywidualnym.</w:t>
            </w:r>
          </w:p>
          <w:p w14:paraId="36F3BFCC" w14:textId="77777777" w:rsidR="001A0B09" w:rsidRDefault="001A0B09">
            <w:pPr>
              <w:spacing w:before="0" w:after="0"/>
              <w:ind w:left="33"/>
              <w:rPr>
                <w:rFonts w:ascii="Times New Roman" w:hAnsi="Times New Roman"/>
                <w:sz w:val="18"/>
                <w:szCs w:val="18"/>
              </w:rPr>
            </w:pPr>
          </w:p>
          <w:p w14:paraId="4011C61B" w14:textId="7E055849" w:rsidR="001A0B09" w:rsidRDefault="006E48EA">
            <w:pPr>
              <w:spacing w:before="0" w:after="0"/>
              <w:ind w:left="33"/>
              <w:rPr>
                <w:rFonts w:ascii="Times New Roman" w:hAnsi="Times New Roman"/>
                <w:bCs/>
                <w:sz w:val="18"/>
                <w:szCs w:val="18"/>
              </w:rPr>
            </w:pPr>
            <w:r>
              <w:rPr>
                <w:rFonts w:ascii="Times New Roman" w:hAnsi="Times New Roman"/>
                <w:bCs/>
                <w:sz w:val="18"/>
                <w:szCs w:val="18"/>
              </w:rPr>
              <w:t>Instytucje centralne zapewniają, by zgłaszana kwota takich aktywów płynnych po redukcji wartości nie przekraczała wypływów z odpowiadających im depozytów.</w:t>
            </w:r>
          </w:p>
          <w:p w14:paraId="7150266B" w14:textId="77777777" w:rsidR="001A0B09" w:rsidRDefault="001A0B09">
            <w:pPr>
              <w:spacing w:before="0" w:after="0"/>
              <w:ind w:left="33"/>
              <w:rPr>
                <w:rFonts w:ascii="Times New Roman" w:hAnsi="Times New Roman"/>
                <w:b/>
                <w:sz w:val="18"/>
                <w:szCs w:val="18"/>
              </w:rPr>
            </w:pPr>
          </w:p>
          <w:p w14:paraId="2ADEC28B" w14:textId="77777777" w:rsidR="001A0B09" w:rsidRDefault="006E48EA">
            <w:pPr>
              <w:spacing w:before="0" w:after="0"/>
              <w:ind w:left="33"/>
              <w:rPr>
                <w:rFonts w:ascii="Times New Roman" w:hAnsi="Times New Roman"/>
                <w:sz w:val="18"/>
                <w:szCs w:val="18"/>
              </w:rPr>
            </w:pPr>
            <w:r>
              <w:rPr>
                <w:rFonts w:ascii="Times New Roman" w:hAnsi="Times New Roman"/>
                <w:sz w:val="18"/>
                <w:szCs w:val="18"/>
              </w:rPr>
              <w:t>Aktywa, o których mowa w tym wierszu, stanowią aktywa poziomu 1 w postaci obligacji zabezpieczonych charakteryzujących się wyjątkowo wysoką jakością.</w:t>
            </w:r>
          </w:p>
          <w:p w14:paraId="3EDA2916" w14:textId="77777777" w:rsidR="001A0B09" w:rsidRDefault="001A0B09">
            <w:pPr>
              <w:pStyle w:val="InstructionsText"/>
              <w:rPr>
                <w:rStyle w:val="InstructionsTabelleberschrift"/>
                <w:rFonts w:ascii="Times New Roman" w:hAnsi="Times New Roman"/>
                <w:bCs/>
                <w:sz w:val="18"/>
                <w:szCs w:val="24"/>
              </w:rPr>
            </w:pPr>
          </w:p>
        </w:tc>
      </w:tr>
      <w:tr w:rsidR="001A0B09" w14:paraId="796BD1BE" w14:textId="77777777" w:rsidTr="002B73CC">
        <w:tc>
          <w:tcPr>
            <w:tcW w:w="1097" w:type="dxa"/>
            <w:shd w:val="clear" w:color="auto" w:fill="FFFFFF"/>
            <w:vAlign w:val="center"/>
          </w:tcPr>
          <w:p w14:paraId="53CFD94E" w14:textId="77777777" w:rsidR="001A0B09" w:rsidRDefault="006E48EA">
            <w:pPr>
              <w:rPr>
                <w:rFonts w:ascii="Times New Roman" w:hAnsi="Times New Roman"/>
                <w:sz w:val="18"/>
                <w:szCs w:val="18"/>
              </w:rPr>
            </w:pPr>
            <w:r>
              <w:rPr>
                <w:rFonts w:ascii="Times New Roman" w:hAnsi="Times New Roman"/>
                <w:sz w:val="18"/>
                <w:szCs w:val="18"/>
              </w:rPr>
              <w:lastRenderedPageBreak/>
              <w:t>220</w:t>
            </w:r>
          </w:p>
        </w:tc>
        <w:tc>
          <w:tcPr>
            <w:tcW w:w="7125" w:type="dxa"/>
            <w:gridSpan w:val="2"/>
            <w:shd w:val="clear" w:color="auto" w:fill="FFFFFF"/>
          </w:tcPr>
          <w:p w14:paraId="67D0574E"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 Całkowite nieskorygowane aktywa poziomu 2</w:t>
            </w:r>
          </w:p>
          <w:p w14:paraId="3EB24099" w14:textId="77777777" w:rsidR="001A0B09" w:rsidRDefault="001A0B09">
            <w:pPr>
              <w:spacing w:before="0" w:after="0"/>
              <w:ind w:left="33"/>
              <w:rPr>
                <w:rFonts w:ascii="Times New Roman" w:hAnsi="Times New Roman"/>
                <w:b/>
                <w:sz w:val="18"/>
                <w:szCs w:val="18"/>
              </w:rPr>
            </w:pPr>
          </w:p>
          <w:p w14:paraId="576511AF" w14:textId="0A9F6A3C"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Art. 11–16 i art. 19 </w:t>
            </w:r>
            <w:r>
              <w:rPr>
                <w:rFonts w:ascii="Times New Roman" w:hAnsi="Times New Roman"/>
                <w:bCs/>
                <w:sz w:val="18"/>
                <w:szCs w:val="18"/>
              </w:rPr>
              <w:t>rozporządzenia delegowanego (UE) 2015/61</w:t>
            </w:r>
          </w:p>
          <w:p w14:paraId="5B645A30" w14:textId="77777777" w:rsidR="001A0B09" w:rsidRDefault="001A0B09">
            <w:pPr>
              <w:spacing w:before="0" w:after="0"/>
              <w:ind w:left="33"/>
              <w:rPr>
                <w:rFonts w:ascii="Times New Roman" w:hAnsi="Times New Roman"/>
                <w:sz w:val="18"/>
                <w:szCs w:val="18"/>
              </w:rPr>
            </w:pPr>
          </w:p>
          <w:p w14:paraId="33E4C7B1" w14:textId="4B93549B"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Aktywa zgłaszane w tej sekcji zostały wyraźnie zidentyfikowane jako aktywa poziomu 2A albo aktywa poziomu 2B lub są traktowane podobnie do aktywów poziomu 2A albo aktywów poziomu 2B zgodnie z </w:t>
            </w:r>
            <w:r>
              <w:rPr>
                <w:rFonts w:ascii="Times New Roman" w:hAnsi="Times New Roman"/>
                <w:bCs/>
                <w:sz w:val="18"/>
                <w:szCs w:val="18"/>
              </w:rPr>
              <w:t>rozporządzeniem delegowanym (UE) 2015/61.</w:t>
            </w:r>
          </w:p>
          <w:p w14:paraId="6ACDAC7C" w14:textId="77777777" w:rsidR="001A0B09" w:rsidRDefault="001A0B09">
            <w:pPr>
              <w:spacing w:before="0" w:after="0"/>
              <w:ind w:left="33"/>
              <w:rPr>
                <w:rFonts w:ascii="Times New Roman" w:hAnsi="Times New Roman"/>
                <w:bCs/>
                <w:sz w:val="18"/>
                <w:szCs w:val="18"/>
              </w:rPr>
            </w:pPr>
          </w:p>
          <w:p w14:paraId="6F5F136B" w14:textId="6E219E84" w:rsidR="001A0B09"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Instytucje kredytowe zgłaszają całkowitą kwotę/wartość rynkową swoich aktywów płynnych poziomu 2 w kolumnie 010.</w:t>
            </w:r>
          </w:p>
          <w:p w14:paraId="2D78F22C" w14:textId="77777777" w:rsidR="001A0B09" w:rsidRDefault="001A0B09">
            <w:pPr>
              <w:pStyle w:val="InstructionsText"/>
              <w:rPr>
                <w:rStyle w:val="FormatvorlageInstructionsTabelleText"/>
                <w:rFonts w:ascii="Times New Roman" w:hAnsi="Times New Roman"/>
                <w:b/>
                <w:sz w:val="18"/>
              </w:rPr>
            </w:pPr>
          </w:p>
          <w:p w14:paraId="13EF5708" w14:textId="1ACB107D" w:rsidR="001A0B0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Instytucje kredytowe zgłaszają całkowitą wartość swoich aktywów płynnych poziomu 2 obliczoną zgodnie z art. 9 w kolumnie 040.</w:t>
            </w:r>
          </w:p>
          <w:p w14:paraId="5FEA8799" w14:textId="77777777" w:rsidR="001A0B09" w:rsidRDefault="001A0B09">
            <w:pPr>
              <w:spacing w:before="0" w:after="0"/>
              <w:rPr>
                <w:rFonts w:ascii="Times New Roman" w:hAnsi="Times New Roman"/>
                <w:sz w:val="18"/>
                <w:szCs w:val="18"/>
              </w:rPr>
            </w:pPr>
          </w:p>
          <w:p w14:paraId="4360F38A" w14:textId="77777777" w:rsidR="001A0B09" w:rsidRDefault="001A0B09">
            <w:pPr>
              <w:spacing w:before="0" w:after="0"/>
              <w:ind w:left="33"/>
              <w:rPr>
                <w:rFonts w:ascii="Times New Roman" w:hAnsi="Times New Roman"/>
                <w:b/>
                <w:sz w:val="18"/>
                <w:szCs w:val="18"/>
              </w:rPr>
            </w:pPr>
          </w:p>
        </w:tc>
      </w:tr>
      <w:tr w:rsidR="001A0B09" w14:paraId="2E71342B" w14:textId="77777777" w:rsidTr="002B73CC">
        <w:tc>
          <w:tcPr>
            <w:tcW w:w="1097" w:type="dxa"/>
            <w:shd w:val="clear" w:color="auto" w:fill="FFFFFF"/>
            <w:vAlign w:val="center"/>
          </w:tcPr>
          <w:p w14:paraId="385A5358" w14:textId="77777777" w:rsidR="001A0B09"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1.2.1. Całkowite nieskorygowane aktywa POZIOMU 2A</w:t>
            </w:r>
          </w:p>
          <w:p w14:paraId="2C4045D7" w14:textId="77777777" w:rsidR="001A0B09" w:rsidRDefault="001A0B09">
            <w:pPr>
              <w:spacing w:before="0" w:after="0"/>
              <w:ind w:left="33"/>
              <w:rPr>
                <w:rFonts w:ascii="Times New Roman" w:hAnsi="Times New Roman"/>
                <w:b/>
                <w:sz w:val="18"/>
                <w:szCs w:val="18"/>
              </w:rPr>
            </w:pPr>
          </w:p>
          <w:p w14:paraId="38C401AD" w14:textId="035E6574" w:rsidR="001A0B09" w:rsidRDefault="006E48EA">
            <w:pPr>
              <w:spacing w:before="0" w:after="0"/>
              <w:ind w:left="33"/>
              <w:rPr>
                <w:rFonts w:ascii="Times New Roman" w:hAnsi="Times New Roman"/>
                <w:sz w:val="18"/>
                <w:szCs w:val="18"/>
              </w:rPr>
            </w:pPr>
            <w:r>
              <w:rPr>
                <w:rFonts w:ascii="Times New Roman" w:hAnsi="Times New Roman"/>
                <w:sz w:val="18"/>
                <w:szCs w:val="18"/>
              </w:rPr>
              <w:t xml:space="preserve">Art. 11, 15 i 19 </w:t>
            </w:r>
            <w:r>
              <w:rPr>
                <w:rFonts w:ascii="Times New Roman" w:hAnsi="Times New Roman"/>
                <w:bCs/>
                <w:sz w:val="18"/>
                <w:szCs w:val="18"/>
              </w:rPr>
              <w:t>rozporządzenia delegowanego (UE) 2015/61</w:t>
            </w:r>
          </w:p>
          <w:p w14:paraId="52812901" w14:textId="77777777" w:rsidR="001A0B09" w:rsidRDefault="001A0B09">
            <w:pPr>
              <w:spacing w:before="0" w:after="0"/>
              <w:ind w:left="33"/>
              <w:rPr>
                <w:rFonts w:ascii="Times New Roman" w:hAnsi="Times New Roman"/>
                <w:sz w:val="18"/>
                <w:szCs w:val="18"/>
              </w:rPr>
            </w:pPr>
          </w:p>
          <w:p w14:paraId="400EFF6D" w14:textId="3608C090"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Aktywa zgłaszane w tej podsekcji zostały wyraźnie zidentyfikowane jako aktywa poziomu 2A lub są traktowane jako aktywa poziomu 2A zgodnie z </w:t>
            </w:r>
            <w:r>
              <w:rPr>
                <w:rFonts w:ascii="Times New Roman" w:hAnsi="Times New Roman"/>
                <w:bCs/>
                <w:sz w:val="18"/>
                <w:szCs w:val="18"/>
              </w:rPr>
              <w:t>rozporządzeniem delegowanym (UE) 2015/61.</w:t>
            </w:r>
          </w:p>
          <w:p w14:paraId="1A69E04D" w14:textId="77777777" w:rsidR="001A0B09" w:rsidRDefault="001A0B09">
            <w:pPr>
              <w:spacing w:before="0" w:after="0"/>
              <w:rPr>
                <w:rFonts w:ascii="Times New Roman" w:hAnsi="Times New Roman"/>
                <w:b/>
                <w:sz w:val="18"/>
                <w:szCs w:val="18"/>
              </w:rPr>
            </w:pPr>
          </w:p>
          <w:p w14:paraId="6ACEAC6F" w14:textId="53F10C0F" w:rsidR="001A0B09"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W kolumnie 010 instytucje kredytowe zgłaszają sumę wartości rynkowych aktywów poziomu 2A, bez uwzględniania wymogów określonych w art. 17 rozporządzenia delegowanego (UE) 2015/61.</w:t>
            </w:r>
          </w:p>
          <w:p w14:paraId="15B9FC96" w14:textId="77777777" w:rsidR="001A0B09" w:rsidRDefault="001A0B09">
            <w:pPr>
              <w:pStyle w:val="InstructionsText"/>
              <w:rPr>
                <w:rStyle w:val="InstructionsTabelleberschrift"/>
                <w:rFonts w:ascii="Times New Roman" w:hAnsi="Times New Roman"/>
                <w:b w:val="0"/>
                <w:sz w:val="18"/>
                <w:u w:val="none"/>
              </w:rPr>
            </w:pPr>
          </w:p>
          <w:p w14:paraId="1B1BCD74" w14:textId="2B9875C4" w:rsidR="001A0B09" w:rsidRDefault="006E48EA">
            <w:pPr>
              <w:pStyle w:val="InstructionsText"/>
            </w:pPr>
            <w:r>
              <w:rPr>
                <w:rStyle w:val="InstructionsTabelleberschrift"/>
                <w:rFonts w:ascii="Times New Roman" w:hAnsi="Times New Roman"/>
                <w:b w:val="0"/>
                <w:sz w:val="18"/>
                <w:u w:val="none"/>
              </w:rPr>
              <w:t>W kolumnie 040 instytucje kredytowe zgłaszają sumę kwot ważonych aktywów poziomu 2A, bez uwzględniania wymogów określonych w art. 17 rozporządzenia delegowanego (UE) 2015/61.</w:t>
            </w:r>
          </w:p>
          <w:p w14:paraId="14A58F25" w14:textId="77777777" w:rsidR="001A0B09" w:rsidRDefault="001A0B09">
            <w:pPr>
              <w:spacing w:before="0" w:after="0"/>
              <w:ind w:left="33"/>
              <w:rPr>
                <w:rFonts w:ascii="Times New Roman" w:hAnsi="Times New Roman"/>
                <w:b/>
                <w:sz w:val="18"/>
                <w:szCs w:val="18"/>
              </w:rPr>
            </w:pPr>
          </w:p>
        </w:tc>
      </w:tr>
      <w:tr w:rsidR="001A0B09" w14:paraId="4FEF5F27" w14:textId="77777777" w:rsidTr="002B73CC">
        <w:tc>
          <w:tcPr>
            <w:tcW w:w="1097" w:type="dxa"/>
            <w:shd w:val="clear" w:color="auto" w:fill="FFFFFF"/>
            <w:vAlign w:val="center"/>
          </w:tcPr>
          <w:p w14:paraId="47EB122A" w14:textId="77777777" w:rsidR="001A0B09"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1.2.1.1. Aktywa stanowiące ekspozycje wobec samorządów regionalnych/władz lokalnych lub podmiotów sektora publicznego (aktywa państwa członkowskiego, waga ryzyka równa 20 % lub niższa)</w:t>
            </w:r>
          </w:p>
          <w:p w14:paraId="39053346" w14:textId="77777777" w:rsidR="001A0B09" w:rsidRDefault="001A0B09">
            <w:pPr>
              <w:spacing w:before="0" w:after="0"/>
              <w:ind w:left="33"/>
              <w:rPr>
                <w:rFonts w:ascii="Times New Roman" w:hAnsi="Times New Roman"/>
                <w:b/>
                <w:sz w:val="18"/>
                <w:szCs w:val="18"/>
              </w:rPr>
            </w:pPr>
          </w:p>
          <w:p w14:paraId="178CD9A0" w14:textId="77A9BE9E" w:rsidR="001A0B09" w:rsidRDefault="00762F31">
            <w:pPr>
              <w:spacing w:before="0" w:after="0"/>
              <w:ind w:left="33"/>
              <w:rPr>
                <w:rFonts w:ascii="Times New Roman" w:hAnsi="Times New Roman"/>
                <w:b/>
                <w:bCs/>
                <w:sz w:val="18"/>
                <w:szCs w:val="18"/>
              </w:rPr>
            </w:pPr>
            <w:r>
              <w:rPr>
                <w:rFonts w:ascii="Times New Roman" w:hAnsi="Times New Roman"/>
                <w:sz w:val="18"/>
                <w:szCs w:val="18"/>
              </w:rPr>
              <w:t xml:space="preserve">Art. 11 ust. 1 list. a) </w:t>
            </w:r>
            <w:r>
              <w:rPr>
                <w:rFonts w:ascii="Times New Roman" w:hAnsi="Times New Roman"/>
                <w:bCs/>
                <w:sz w:val="18"/>
                <w:szCs w:val="18"/>
              </w:rPr>
              <w:t>rozporządzenia delegowanego (UE) 2015/61</w:t>
            </w:r>
          </w:p>
          <w:p w14:paraId="118596C2" w14:textId="77777777" w:rsidR="001A0B09" w:rsidRDefault="001A0B09">
            <w:pPr>
              <w:spacing w:before="0" w:after="0"/>
              <w:ind w:left="33"/>
              <w:rPr>
                <w:rFonts w:ascii="Times New Roman" w:hAnsi="Times New Roman"/>
                <w:sz w:val="18"/>
                <w:szCs w:val="18"/>
              </w:rPr>
            </w:pPr>
          </w:p>
          <w:p w14:paraId="4CF55CD4" w14:textId="77777777" w:rsidR="001A0B09" w:rsidRDefault="006E48EA">
            <w:pPr>
              <w:spacing w:before="0" w:after="0"/>
              <w:ind w:left="33"/>
              <w:rPr>
                <w:rFonts w:ascii="Times New Roman" w:hAnsi="Times New Roman"/>
                <w:b/>
                <w:bCs/>
                <w:sz w:val="18"/>
                <w:szCs w:val="18"/>
              </w:rPr>
            </w:pPr>
            <w:r>
              <w:rPr>
                <w:rFonts w:ascii="Times New Roman" w:hAnsi="Times New Roman"/>
                <w:sz w:val="18"/>
                <w:szCs w:val="18"/>
              </w:rPr>
              <w:t>Aktywa stanowiące należności od samorządów regionalnych, władz lokalnych lub podmiotów sektora publicznego w państwie członkowskim lub aktywa gwarantowane przez takie jednostki, jeżeli ekspozycjom wobec nich przypisuje się wagę ryzyka równą 20 %.</w:t>
            </w:r>
          </w:p>
          <w:p w14:paraId="7BF70E5F" w14:textId="77777777" w:rsidR="001A0B09" w:rsidRDefault="001A0B09">
            <w:pPr>
              <w:spacing w:before="0" w:after="0"/>
              <w:ind w:left="33"/>
              <w:rPr>
                <w:rFonts w:ascii="Times New Roman" w:hAnsi="Times New Roman"/>
                <w:b/>
                <w:sz w:val="18"/>
                <w:szCs w:val="18"/>
              </w:rPr>
            </w:pPr>
          </w:p>
        </w:tc>
      </w:tr>
      <w:tr w:rsidR="001A0B09" w14:paraId="2343E0E1" w14:textId="77777777" w:rsidTr="002B73CC">
        <w:tc>
          <w:tcPr>
            <w:tcW w:w="1097" w:type="dxa"/>
            <w:shd w:val="clear" w:color="auto" w:fill="FFFFFF"/>
            <w:vAlign w:val="center"/>
          </w:tcPr>
          <w:p w14:paraId="2D2232C3" w14:textId="77777777" w:rsidR="001A0B09"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1A0B09" w:rsidRDefault="006E48EA">
            <w:pPr>
              <w:spacing w:before="0" w:after="0"/>
              <w:ind w:left="33"/>
              <w:rPr>
                <w:rFonts w:ascii="Times New Roman" w:hAnsi="Times New Roman"/>
                <w:b/>
                <w:sz w:val="18"/>
                <w:szCs w:val="18"/>
              </w:rPr>
            </w:pPr>
            <w:r>
              <w:rPr>
                <w:rFonts w:ascii="Times New Roman" w:hAnsi="Times New Roman"/>
                <w:b/>
                <w:sz w:val="18"/>
                <w:szCs w:val="18"/>
              </w:rPr>
              <w:t>1.2.1.2. Aktywa stanowiące ekspozycje wobec banku centralnego lub rządu centralnego/samorządów regionalnych lub władz lokalnych lub podmiotów sektora publicznego (aktywa państwa trzeciego, waga ryzyka równa 20 % lub niższa)</w:t>
            </w:r>
          </w:p>
          <w:p w14:paraId="31103CBA" w14:textId="77777777" w:rsidR="001A0B09" w:rsidRDefault="001A0B09">
            <w:pPr>
              <w:spacing w:before="0" w:after="0"/>
              <w:ind w:left="33"/>
              <w:rPr>
                <w:rFonts w:ascii="Times New Roman" w:hAnsi="Times New Roman"/>
                <w:b/>
                <w:sz w:val="18"/>
                <w:szCs w:val="18"/>
              </w:rPr>
            </w:pPr>
          </w:p>
          <w:p w14:paraId="56F66E8E" w14:textId="6D3E7451" w:rsidR="001A0B09" w:rsidRDefault="00762F31">
            <w:pPr>
              <w:spacing w:before="0" w:after="0"/>
              <w:ind w:left="33"/>
              <w:rPr>
                <w:rFonts w:ascii="Times New Roman" w:hAnsi="Times New Roman"/>
                <w:b/>
                <w:sz w:val="18"/>
                <w:szCs w:val="18"/>
              </w:rPr>
            </w:pPr>
            <w:r>
              <w:rPr>
                <w:rFonts w:ascii="Times New Roman" w:hAnsi="Times New Roman"/>
                <w:sz w:val="18"/>
                <w:szCs w:val="18"/>
              </w:rPr>
              <w:t>Art. 11 ust. 1 lit. b) rozporządzenia delegowanego (UE) 2015/61</w:t>
            </w:r>
          </w:p>
          <w:p w14:paraId="46FC2643" w14:textId="77777777" w:rsidR="001A0B09" w:rsidRDefault="001A0B09">
            <w:pPr>
              <w:spacing w:before="0" w:after="0"/>
              <w:ind w:left="33"/>
              <w:rPr>
                <w:rFonts w:ascii="Times New Roman" w:hAnsi="Times New Roman"/>
                <w:sz w:val="18"/>
                <w:szCs w:val="18"/>
              </w:rPr>
            </w:pPr>
          </w:p>
          <w:p w14:paraId="5254A8AA" w14:textId="1001465C" w:rsidR="001A0B09" w:rsidRDefault="006E48EA">
            <w:pPr>
              <w:spacing w:before="0" w:after="0"/>
              <w:ind w:left="33"/>
              <w:rPr>
                <w:rFonts w:ascii="Times New Roman" w:hAnsi="Times New Roman"/>
                <w:sz w:val="18"/>
                <w:szCs w:val="18"/>
              </w:rPr>
            </w:pPr>
            <w:r>
              <w:rPr>
                <w:rFonts w:ascii="Times New Roman" w:hAnsi="Times New Roman"/>
                <w:sz w:val="18"/>
                <w:szCs w:val="18"/>
              </w:rPr>
              <w:t>Aktywa stanowiące należności od rządu centralnego lub banku centralnego państwa trzeciego lub od samorządu regionalnego, władz lokalnych lub podmiotu sektora publicznego w państwie trzecim, pod warunkiem, że przypisuje się im wagę ryzyka równą 20 %.</w:t>
            </w:r>
          </w:p>
          <w:p w14:paraId="14D750CF" w14:textId="77777777" w:rsidR="001A0B09" w:rsidRDefault="001A0B09">
            <w:pPr>
              <w:spacing w:before="0" w:after="0"/>
              <w:ind w:left="33"/>
              <w:rPr>
                <w:rFonts w:ascii="Times New Roman" w:hAnsi="Times New Roman"/>
                <w:b/>
                <w:sz w:val="18"/>
                <w:szCs w:val="18"/>
              </w:rPr>
            </w:pPr>
          </w:p>
        </w:tc>
      </w:tr>
      <w:tr w:rsidR="001A0B09" w14:paraId="4158E1ED" w14:textId="77777777" w:rsidTr="002B73CC">
        <w:tc>
          <w:tcPr>
            <w:tcW w:w="1097" w:type="dxa"/>
            <w:shd w:val="clear" w:color="auto" w:fill="FFFFFF"/>
            <w:vAlign w:val="center"/>
          </w:tcPr>
          <w:p w14:paraId="7E16DCBE" w14:textId="77777777" w:rsidR="001A0B09"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1.2.1.3. Obligacje zabezpieczone charakteryzujące się wysoką jakością (CQS2)</w:t>
            </w:r>
          </w:p>
          <w:p w14:paraId="27278079" w14:textId="77777777" w:rsidR="001A0B09" w:rsidRDefault="001A0B09">
            <w:pPr>
              <w:spacing w:before="0" w:after="0"/>
              <w:ind w:left="33"/>
              <w:rPr>
                <w:rFonts w:ascii="Times New Roman" w:hAnsi="Times New Roman"/>
                <w:b/>
                <w:sz w:val="18"/>
                <w:szCs w:val="18"/>
              </w:rPr>
            </w:pPr>
          </w:p>
          <w:p w14:paraId="31787B1F" w14:textId="1C299F25" w:rsidR="001A0B09" w:rsidRDefault="00762F31">
            <w:pPr>
              <w:spacing w:before="0" w:after="0"/>
              <w:ind w:left="33"/>
              <w:rPr>
                <w:rFonts w:ascii="Times New Roman" w:hAnsi="Times New Roman"/>
                <w:sz w:val="18"/>
                <w:szCs w:val="18"/>
              </w:rPr>
            </w:pPr>
            <w:r>
              <w:rPr>
                <w:rFonts w:ascii="Times New Roman" w:hAnsi="Times New Roman"/>
                <w:sz w:val="18"/>
                <w:szCs w:val="18"/>
              </w:rPr>
              <w:t>Art. 11 ust. 1 lit. c) rozporządzenia delegowanego (UE) 2015/61</w:t>
            </w:r>
          </w:p>
          <w:p w14:paraId="761833F1" w14:textId="77777777" w:rsidR="001A0B09" w:rsidRDefault="001A0B09">
            <w:pPr>
              <w:spacing w:before="0" w:after="0"/>
              <w:ind w:left="33"/>
              <w:rPr>
                <w:rFonts w:ascii="Times New Roman" w:hAnsi="Times New Roman"/>
                <w:sz w:val="18"/>
                <w:szCs w:val="18"/>
              </w:rPr>
            </w:pPr>
          </w:p>
          <w:p w14:paraId="198DA308" w14:textId="1C6A1458" w:rsidR="001A0B09" w:rsidRDefault="006E48EA">
            <w:pPr>
              <w:spacing w:before="0" w:after="0"/>
              <w:ind w:left="33"/>
              <w:rPr>
                <w:rFonts w:ascii="Times New Roman" w:hAnsi="Times New Roman"/>
                <w:b/>
                <w:sz w:val="18"/>
                <w:szCs w:val="18"/>
              </w:rPr>
            </w:pPr>
            <w:r>
              <w:rPr>
                <w:rFonts w:ascii="Times New Roman" w:hAnsi="Times New Roman"/>
                <w:sz w:val="18"/>
                <w:szCs w:val="18"/>
              </w:rPr>
              <w:t>Aktywa stanowiące ekspozycje w postaci obligacji zabezpieczonych charakteryzujących się wysoką jakością, które spełniają wymogi określone w art. 11 ust. 1 lit. c) rozporządzenia delegowanego (UE) 2015/61, pod warunkiem, że aktywom tym przypisano ocenę kredytową sporządzoną przez wyznaczoną ECAI odpowiadającą stopniowi jakości kredytowej równemu co najmniej 2 zgodnie z art. 129 ust. 4 rozporządzenia (UE) nr 575/2013.</w:t>
            </w:r>
          </w:p>
          <w:p w14:paraId="69B434C2" w14:textId="77777777" w:rsidR="001A0B09" w:rsidRDefault="001A0B09">
            <w:pPr>
              <w:spacing w:before="0" w:after="0"/>
              <w:rPr>
                <w:rFonts w:ascii="Times New Roman" w:hAnsi="Times New Roman"/>
                <w:b/>
                <w:sz w:val="18"/>
                <w:szCs w:val="18"/>
              </w:rPr>
            </w:pPr>
          </w:p>
        </w:tc>
      </w:tr>
      <w:tr w:rsidR="001A0B09" w14:paraId="15BAE93A" w14:textId="77777777" w:rsidTr="002B73CC">
        <w:tc>
          <w:tcPr>
            <w:tcW w:w="1097" w:type="dxa"/>
            <w:shd w:val="clear" w:color="auto" w:fill="FFFFFF"/>
            <w:vAlign w:val="center"/>
          </w:tcPr>
          <w:p w14:paraId="09E006B6" w14:textId="77777777" w:rsidR="001A0B09"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1.2.1.4. Obligacje zabezpieczone charakteryzujące się wysoką jakością (państwa trzeciego, CQS1)</w:t>
            </w:r>
          </w:p>
          <w:p w14:paraId="057934D6" w14:textId="77777777" w:rsidR="001A0B09" w:rsidRDefault="001A0B09">
            <w:pPr>
              <w:spacing w:before="0" w:after="0"/>
              <w:ind w:left="33"/>
              <w:rPr>
                <w:rFonts w:ascii="Times New Roman" w:hAnsi="Times New Roman"/>
                <w:b/>
                <w:sz w:val="18"/>
                <w:szCs w:val="18"/>
              </w:rPr>
            </w:pPr>
          </w:p>
          <w:p w14:paraId="15ECAB9E" w14:textId="5B16661D" w:rsidR="001A0B09" w:rsidRDefault="00762F31">
            <w:pPr>
              <w:spacing w:before="0" w:after="0"/>
              <w:ind w:left="33"/>
              <w:rPr>
                <w:rFonts w:ascii="Times New Roman" w:hAnsi="Times New Roman"/>
                <w:bCs/>
                <w:sz w:val="18"/>
                <w:szCs w:val="18"/>
              </w:rPr>
            </w:pPr>
            <w:r>
              <w:rPr>
                <w:rFonts w:ascii="Times New Roman" w:hAnsi="Times New Roman"/>
                <w:sz w:val="18"/>
                <w:szCs w:val="18"/>
              </w:rPr>
              <w:t xml:space="preserve">Art. 11 ust. 1 lit. d) </w:t>
            </w:r>
            <w:r>
              <w:rPr>
                <w:rFonts w:ascii="Times New Roman" w:hAnsi="Times New Roman"/>
                <w:bCs/>
                <w:sz w:val="18"/>
                <w:szCs w:val="18"/>
              </w:rPr>
              <w:t>rozporządzenia delegowanego (UE) 2015/61</w:t>
            </w:r>
          </w:p>
          <w:p w14:paraId="338096E1" w14:textId="77777777" w:rsidR="001A0B09" w:rsidRDefault="001A0B09">
            <w:pPr>
              <w:spacing w:before="0" w:after="0"/>
              <w:ind w:left="33"/>
              <w:rPr>
                <w:rFonts w:ascii="Times New Roman" w:hAnsi="Times New Roman"/>
                <w:sz w:val="18"/>
                <w:szCs w:val="18"/>
              </w:rPr>
            </w:pPr>
          </w:p>
          <w:p w14:paraId="6728FE57" w14:textId="1CBC6A3B"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Aktywa stanowiące ekspozycje w postaci obligacji zabezpieczonych emitowanych przez </w:t>
            </w:r>
            <w:r>
              <w:rPr>
                <w:rFonts w:ascii="Times New Roman" w:hAnsi="Times New Roman"/>
                <w:sz w:val="18"/>
                <w:szCs w:val="18"/>
              </w:rPr>
              <w:lastRenderedPageBreak/>
              <w:t>instytucje kredytowe w państwach trzecich, które spełniają wymogi określone w art. 11 ust. 1 lit. d)</w:t>
            </w:r>
            <w:r>
              <w:rPr>
                <w:rFonts w:ascii="Times New Roman" w:hAnsi="Times New Roman"/>
                <w:b/>
                <w:sz w:val="18"/>
                <w:szCs w:val="18"/>
              </w:rPr>
              <w:t xml:space="preserve"> </w:t>
            </w:r>
            <w:r>
              <w:rPr>
                <w:rFonts w:ascii="Times New Roman" w:hAnsi="Times New Roman"/>
                <w:bCs/>
                <w:sz w:val="18"/>
                <w:szCs w:val="18"/>
              </w:rPr>
              <w:t>rozporządzenia delegowanego (UE) 2015/61</w:t>
            </w:r>
            <w:r>
              <w:rPr>
                <w:rFonts w:ascii="Times New Roman" w:hAnsi="Times New Roman"/>
                <w:sz w:val="18"/>
                <w:szCs w:val="18"/>
              </w:rPr>
              <w:t>, pod warunkiem, że aktywom tym przypisano ocenę kredytową sporządzoną przez wyznaczoną ECAI odpowiadającą stopniowi jakości kredytowej równemu co najmniej 1 zgodnie z art. 129 ust. 4 rozporządzenia (UE) nr 575/2013</w:t>
            </w:r>
            <w:r>
              <w:rPr>
                <w:rFonts w:ascii="Times New Roman" w:hAnsi="Times New Roman"/>
                <w:bCs/>
                <w:sz w:val="18"/>
                <w:szCs w:val="18"/>
              </w:rPr>
              <w:t>.</w:t>
            </w:r>
          </w:p>
          <w:p w14:paraId="2AB2502F" w14:textId="77777777" w:rsidR="001A0B09" w:rsidRDefault="001A0B09">
            <w:pPr>
              <w:spacing w:before="0" w:after="0"/>
              <w:ind w:left="33"/>
              <w:rPr>
                <w:rFonts w:ascii="Times New Roman" w:hAnsi="Times New Roman"/>
                <w:b/>
                <w:sz w:val="18"/>
                <w:szCs w:val="18"/>
              </w:rPr>
            </w:pPr>
          </w:p>
        </w:tc>
      </w:tr>
      <w:tr w:rsidR="001A0B09" w14:paraId="7A023320" w14:textId="77777777" w:rsidTr="002B73CC">
        <w:tc>
          <w:tcPr>
            <w:tcW w:w="1097" w:type="dxa"/>
            <w:shd w:val="clear" w:color="auto" w:fill="FFFFFF"/>
            <w:vAlign w:val="center"/>
          </w:tcPr>
          <w:p w14:paraId="3E921ADB" w14:textId="77777777" w:rsidR="001A0B09" w:rsidRDefault="006E48EA">
            <w:pPr>
              <w:rPr>
                <w:rFonts w:ascii="Times New Roman" w:hAnsi="Times New Roman"/>
                <w:sz w:val="18"/>
                <w:szCs w:val="18"/>
              </w:rPr>
            </w:pPr>
            <w:r>
              <w:rPr>
                <w:rFonts w:ascii="Times New Roman" w:hAnsi="Times New Roman"/>
                <w:sz w:val="18"/>
                <w:szCs w:val="18"/>
              </w:rPr>
              <w:lastRenderedPageBreak/>
              <w:t>280</w:t>
            </w:r>
          </w:p>
        </w:tc>
        <w:tc>
          <w:tcPr>
            <w:tcW w:w="7125" w:type="dxa"/>
            <w:gridSpan w:val="2"/>
            <w:shd w:val="clear" w:color="auto" w:fill="FFFFFF"/>
          </w:tcPr>
          <w:p w14:paraId="061D13A9"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1.2.1.5. Papiery dłużne przedsiębiorstw (CQS1)</w:t>
            </w:r>
          </w:p>
          <w:p w14:paraId="2487F48A" w14:textId="77777777" w:rsidR="001A0B09" w:rsidRDefault="001A0B09">
            <w:pPr>
              <w:spacing w:before="0" w:after="0"/>
              <w:ind w:left="33"/>
              <w:rPr>
                <w:rFonts w:ascii="Times New Roman" w:hAnsi="Times New Roman"/>
                <w:b/>
                <w:sz w:val="18"/>
                <w:szCs w:val="18"/>
              </w:rPr>
            </w:pPr>
          </w:p>
          <w:p w14:paraId="0EBD2A2D" w14:textId="64CFB6E4" w:rsidR="001A0B09" w:rsidRDefault="00762F31">
            <w:pPr>
              <w:spacing w:before="0" w:after="0"/>
              <w:ind w:left="33"/>
              <w:rPr>
                <w:rFonts w:ascii="Times New Roman" w:hAnsi="Times New Roman"/>
                <w:bCs/>
                <w:sz w:val="18"/>
                <w:szCs w:val="18"/>
              </w:rPr>
            </w:pPr>
            <w:r>
              <w:rPr>
                <w:rFonts w:ascii="Times New Roman" w:hAnsi="Times New Roman"/>
                <w:sz w:val="18"/>
                <w:szCs w:val="18"/>
              </w:rPr>
              <w:t xml:space="preserve">Art. 11 ust. 1 lit. e) </w:t>
            </w:r>
            <w:r>
              <w:rPr>
                <w:rFonts w:ascii="Times New Roman" w:hAnsi="Times New Roman"/>
                <w:bCs/>
                <w:sz w:val="18"/>
                <w:szCs w:val="18"/>
              </w:rPr>
              <w:t>rozporządzenia delegowanego (UE) 2015/61</w:t>
            </w:r>
          </w:p>
          <w:p w14:paraId="0A07C43C" w14:textId="77777777" w:rsidR="001A0B09" w:rsidRDefault="001A0B09">
            <w:pPr>
              <w:spacing w:before="0" w:after="0"/>
              <w:ind w:left="33"/>
              <w:rPr>
                <w:rFonts w:ascii="Times New Roman" w:hAnsi="Times New Roman"/>
                <w:sz w:val="18"/>
                <w:szCs w:val="18"/>
              </w:rPr>
            </w:pPr>
          </w:p>
          <w:p w14:paraId="66FFFB00" w14:textId="44EA0D62"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Papiery dłużne przedsiębiorstw spełniające wymogi określone w art. 11 ust. 1 lit. e) </w:t>
            </w:r>
            <w:r>
              <w:rPr>
                <w:rFonts w:ascii="Times New Roman" w:hAnsi="Times New Roman"/>
                <w:bCs/>
                <w:sz w:val="18"/>
                <w:szCs w:val="18"/>
              </w:rPr>
              <w:t>rozporządzenia delegowanego (UE) 2015/61.</w:t>
            </w:r>
          </w:p>
          <w:p w14:paraId="054D1A9A" w14:textId="77777777" w:rsidR="001A0B09" w:rsidRDefault="001A0B09">
            <w:pPr>
              <w:spacing w:before="0" w:after="0"/>
              <w:ind w:left="33"/>
              <w:rPr>
                <w:rFonts w:ascii="Times New Roman" w:hAnsi="Times New Roman"/>
                <w:b/>
                <w:sz w:val="18"/>
                <w:szCs w:val="18"/>
              </w:rPr>
            </w:pPr>
          </w:p>
        </w:tc>
      </w:tr>
      <w:tr w:rsidR="001A0B09" w14:paraId="0C1E1ACA" w14:textId="77777777" w:rsidTr="002B73CC">
        <w:tc>
          <w:tcPr>
            <w:tcW w:w="1097" w:type="dxa"/>
            <w:shd w:val="clear" w:color="auto" w:fill="FFFFFF"/>
            <w:vAlign w:val="center"/>
          </w:tcPr>
          <w:p w14:paraId="417040C5" w14:textId="77777777" w:rsidR="001A0B09"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1.2.1.6. Kwalifikujące się udziały lub jednostki uczestnictwa w przedsiębiorstwach zbiorowego inwestowania: instrument bazowy stanowią aktywa poziomu 2A</w:t>
            </w:r>
          </w:p>
          <w:p w14:paraId="4414296B" w14:textId="77777777" w:rsidR="001A0B09" w:rsidRDefault="001A0B09">
            <w:pPr>
              <w:spacing w:before="0" w:after="0"/>
              <w:ind w:left="33"/>
              <w:rPr>
                <w:rFonts w:ascii="Times New Roman" w:hAnsi="Times New Roman"/>
                <w:b/>
                <w:sz w:val="18"/>
                <w:szCs w:val="18"/>
              </w:rPr>
            </w:pPr>
          </w:p>
          <w:p w14:paraId="5485CCA8" w14:textId="676B0AF2" w:rsidR="001A0B09" w:rsidRDefault="00762F31">
            <w:pPr>
              <w:spacing w:before="0" w:after="0"/>
              <w:ind w:left="33"/>
              <w:rPr>
                <w:rFonts w:ascii="Times New Roman" w:hAnsi="Times New Roman"/>
                <w:b/>
                <w:bCs/>
                <w:sz w:val="18"/>
                <w:szCs w:val="18"/>
              </w:rPr>
            </w:pPr>
            <w:r>
              <w:rPr>
                <w:rFonts w:ascii="Times New Roman" w:hAnsi="Times New Roman"/>
                <w:sz w:val="18"/>
                <w:szCs w:val="18"/>
              </w:rPr>
              <w:t xml:space="preserve">Art. 15 ust. 2 lit. d) </w:t>
            </w:r>
            <w:r>
              <w:rPr>
                <w:rFonts w:ascii="Times New Roman" w:hAnsi="Times New Roman"/>
                <w:bCs/>
                <w:sz w:val="18"/>
                <w:szCs w:val="18"/>
              </w:rPr>
              <w:t>rozporządzenia delegowanego (UE) 2015/61</w:t>
            </w:r>
          </w:p>
          <w:p w14:paraId="2C091A41" w14:textId="77777777" w:rsidR="001A0B09" w:rsidRDefault="001A0B09">
            <w:pPr>
              <w:spacing w:before="0" w:after="0"/>
              <w:ind w:left="33"/>
              <w:rPr>
                <w:rFonts w:ascii="Times New Roman" w:hAnsi="Times New Roman"/>
                <w:sz w:val="18"/>
                <w:szCs w:val="18"/>
              </w:rPr>
            </w:pPr>
          </w:p>
          <w:p w14:paraId="7441058E" w14:textId="108FD7F5" w:rsidR="001A0B09" w:rsidRDefault="006E48EA">
            <w:pPr>
              <w:spacing w:before="0" w:after="0"/>
              <w:ind w:left="33"/>
              <w:rPr>
                <w:rFonts w:ascii="Times New Roman" w:hAnsi="Times New Roman"/>
                <w:sz w:val="18"/>
                <w:szCs w:val="18"/>
              </w:rPr>
            </w:pPr>
            <w:r>
              <w:rPr>
                <w:rFonts w:ascii="Times New Roman" w:hAnsi="Times New Roman"/>
                <w:sz w:val="18"/>
                <w:szCs w:val="18"/>
              </w:rPr>
              <w:t>Udziały lub jednostki uczestnictwa w przedsiębiorstwach zbiorowego inwestowania, których aktywa bazowe odpowiadają aktywom kwalifikującym się jako aktywa poziomu 2A określonym w art. 11 rozporządzenia delegowanego (UE) 2015/61.</w:t>
            </w:r>
          </w:p>
          <w:p w14:paraId="7D7EFF89" w14:textId="77777777" w:rsidR="001A0B09" w:rsidRDefault="001A0B09">
            <w:pPr>
              <w:spacing w:before="0" w:after="0"/>
              <w:ind w:left="33"/>
              <w:rPr>
                <w:rFonts w:ascii="Times New Roman" w:hAnsi="Times New Roman"/>
                <w:b/>
                <w:sz w:val="18"/>
                <w:szCs w:val="18"/>
              </w:rPr>
            </w:pPr>
          </w:p>
        </w:tc>
      </w:tr>
      <w:tr w:rsidR="001A0B09" w14:paraId="246CFE52" w14:textId="77777777" w:rsidTr="002B73CC">
        <w:tc>
          <w:tcPr>
            <w:tcW w:w="1097" w:type="dxa"/>
            <w:shd w:val="clear" w:color="auto" w:fill="FFFFFF"/>
            <w:vAlign w:val="center"/>
          </w:tcPr>
          <w:p w14:paraId="79F68023" w14:textId="77777777" w:rsidR="001A0B09" w:rsidRDefault="006E48EA">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1.2.1.7. Instytucje centralne: aktywa poziomu 2A, które deponująca instytucja kredytowa uznaje za aktywa płynne</w:t>
            </w:r>
          </w:p>
          <w:p w14:paraId="617458B4" w14:textId="77777777" w:rsidR="001A0B09" w:rsidRDefault="001A0B09">
            <w:pPr>
              <w:spacing w:before="0" w:after="0"/>
              <w:ind w:left="33"/>
              <w:rPr>
                <w:rFonts w:ascii="Times New Roman" w:hAnsi="Times New Roman"/>
                <w:sz w:val="18"/>
                <w:szCs w:val="18"/>
              </w:rPr>
            </w:pPr>
          </w:p>
          <w:p w14:paraId="477BEB3A" w14:textId="3826F3DD" w:rsidR="001A0B09" w:rsidRDefault="006E48EA">
            <w:pPr>
              <w:spacing w:before="0" w:after="0"/>
              <w:ind w:left="33"/>
              <w:rPr>
                <w:rFonts w:ascii="Times New Roman" w:hAnsi="Times New Roman"/>
                <w:bCs/>
                <w:sz w:val="18"/>
                <w:szCs w:val="18"/>
              </w:rPr>
            </w:pPr>
            <w:r>
              <w:rPr>
                <w:rFonts w:ascii="Times New Roman" w:hAnsi="Times New Roman"/>
                <w:sz w:val="18"/>
                <w:szCs w:val="18"/>
              </w:rPr>
              <w:t>Art. 27 ust. 3 rozporządzenia delegowanego (UE) 2015/61</w:t>
            </w:r>
          </w:p>
          <w:p w14:paraId="77FBDC58" w14:textId="77777777" w:rsidR="001A0B09" w:rsidRDefault="001A0B09">
            <w:pPr>
              <w:spacing w:before="0" w:after="0"/>
              <w:ind w:left="33"/>
              <w:rPr>
                <w:rFonts w:ascii="Times New Roman" w:hAnsi="Times New Roman"/>
                <w:sz w:val="18"/>
                <w:szCs w:val="18"/>
              </w:rPr>
            </w:pPr>
          </w:p>
          <w:p w14:paraId="144118BA" w14:textId="4F1D8400" w:rsidR="001A0B09" w:rsidRDefault="00223992">
            <w:pPr>
              <w:spacing w:before="0" w:after="0"/>
              <w:ind w:left="33"/>
              <w:rPr>
                <w:rFonts w:ascii="Times New Roman" w:hAnsi="Times New Roman"/>
                <w:sz w:val="18"/>
                <w:szCs w:val="18"/>
              </w:rPr>
            </w:pPr>
            <w:r>
              <w:rPr>
                <w:rFonts w:ascii="Times New Roman" w:hAnsi="Times New Roman"/>
                <w:sz w:val="18"/>
                <w:szCs w:val="18"/>
              </w:rPr>
              <w:t>Zgodnie z art. 27 ust. 3 rozporządzenia delegowanego (UE) 2015/61</w:t>
            </w:r>
            <w:r>
              <w:rPr>
                <w:rFonts w:ascii="Times New Roman" w:hAnsi="Times New Roman"/>
                <w:bCs/>
                <w:sz w:val="18"/>
                <w:szCs w:val="18"/>
              </w:rPr>
              <w:t xml:space="preserve"> należy zidentyfikować aktywa płynne, których kwota odpowiada wysokości depozytów instytucji kredytowych złożonych w instytucji centralnej i które deponująca instytucja kredytowa uznaje za aktywa płynne</w:t>
            </w:r>
            <w:r>
              <w:rPr>
                <w:rFonts w:ascii="Times New Roman" w:hAnsi="Times New Roman"/>
                <w:sz w:val="18"/>
                <w:szCs w:val="18"/>
              </w:rPr>
              <w:t>. Takie aktywa płynne nie są wliczane do pokrycia wypływów innych niż wypływy z depozytów, o których mowa powyżej, i nie są brane pod uwagę do celów obliczenia struktury pozostałego zabezpieczenia przed utratą płynności na mocy art. 17 rozporządzenia delegowanego (UE) 2015/61 w odniesieniu do instytucji centralnej na poziomie indywidualnym.</w:t>
            </w:r>
          </w:p>
          <w:p w14:paraId="205E5BAF" w14:textId="77777777" w:rsidR="001A0B09" w:rsidRDefault="001A0B09">
            <w:pPr>
              <w:spacing w:before="0" w:after="0"/>
              <w:ind w:left="33"/>
              <w:rPr>
                <w:rFonts w:ascii="Times New Roman" w:hAnsi="Times New Roman"/>
                <w:sz w:val="18"/>
                <w:szCs w:val="18"/>
              </w:rPr>
            </w:pPr>
          </w:p>
          <w:p w14:paraId="5EF00052" w14:textId="2280F5F7" w:rsidR="001A0B09" w:rsidRDefault="006E48EA">
            <w:pPr>
              <w:spacing w:before="0" w:after="0"/>
              <w:ind w:left="33"/>
              <w:rPr>
                <w:rFonts w:ascii="Times New Roman" w:hAnsi="Times New Roman"/>
                <w:bCs/>
                <w:sz w:val="18"/>
                <w:szCs w:val="18"/>
              </w:rPr>
            </w:pPr>
            <w:r>
              <w:rPr>
                <w:rFonts w:ascii="Times New Roman" w:hAnsi="Times New Roman"/>
                <w:bCs/>
                <w:sz w:val="18"/>
                <w:szCs w:val="18"/>
              </w:rPr>
              <w:t>Instytucje centralne zapewniają, by zgłaszana kwota takich aktywów płynnych po redukcji wartości nie przekraczała wypływów z odpowiadających im depozytów.</w:t>
            </w:r>
          </w:p>
          <w:p w14:paraId="38492906" w14:textId="77777777" w:rsidR="001A0B09" w:rsidRDefault="001A0B09">
            <w:pPr>
              <w:spacing w:before="0" w:after="0"/>
              <w:ind w:left="33"/>
              <w:rPr>
                <w:rFonts w:ascii="Times New Roman" w:hAnsi="Times New Roman"/>
                <w:sz w:val="18"/>
                <w:szCs w:val="18"/>
              </w:rPr>
            </w:pPr>
          </w:p>
          <w:p w14:paraId="447C2B69" w14:textId="77777777" w:rsidR="001A0B09" w:rsidRDefault="001A0B09">
            <w:pPr>
              <w:spacing w:before="0" w:after="0"/>
              <w:ind w:left="33"/>
              <w:rPr>
                <w:rFonts w:ascii="Times New Roman" w:hAnsi="Times New Roman"/>
                <w:b/>
                <w:sz w:val="18"/>
                <w:szCs w:val="18"/>
              </w:rPr>
            </w:pPr>
          </w:p>
          <w:p w14:paraId="6A9A4457" w14:textId="77777777" w:rsidR="001A0B09" w:rsidRDefault="006E48EA">
            <w:pPr>
              <w:spacing w:before="0" w:after="0"/>
              <w:ind w:left="33"/>
              <w:rPr>
                <w:rFonts w:ascii="Times New Roman" w:hAnsi="Times New Roman"/>
                <w:sz w:val="18"/>
                <w:szCs w:val="18"/>
              </w:rPr>
            </w:pPr>
            <w:r>
              <w:rPr>
                <w:rFonts w:ascii="Times New Roman" w:hAnsi="Times New Roman"/>
                <w:sz w:val="18"/>
                <w:szCs w:val="18"/>
              </w:rPr>
              <w:t>Aktywa, o których mowa w tym wierszu stanowią aktywa poziomu 2A.</w:t>
            </w:r>
          </w:p>
          <w:p w14:paraId="3B3CBEB5" w14:textId="77777777" w:rsidR="001A0B09" w:rsidRDefault="001A0B09">
            <w:pPr>
              <w:spacing w:before="0" w:after="0"/>
              <w:ind w:left="33"/>
              <w:rPr>
                <w:rFonts w:ascii="Times New Roman" w:hAnsi="Times New Roman"/>
                <w:b/>
                <w:sz w:val="18"/>
                <w:szCs w:val="18"/>
              </w:rPr>
            </w:pPr>
          </w:p>
        </w:tc>
      </w:tr>
      <w:tr w:rsidR="001A0B09" w14:paraId="1FCC4DA4" w14:textId="77777777" w:rsidTr="002B73CC">
        <w:tc>
          <w:tcPr>
            <w:tcW w:w="1097" w:type="dxa"/>
            <w:shd w:val="clear" w:color="auto" w:fill="FFFFFF"/>
            <w:vAlign w:val="center"/>
          </w:tcPr>
          <w:p w14:paraId="04655E18" w14:textId="77777777" w:rsidR="001A0B09"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 Całkowite nieskorygowane aktywa POZIOMU 2B</w:t>
            </w:r>
          </w:p>
          <w:p w14:paraId="4633A61F" w14:textId="77777777" w:rsidR="001A0B09" w:rsidRDefault="001A0B09">
            <w:pPr>
              <w:spacing w:before="0" w:after="0"/>
              <w:ind w:left="33"/>
              <w:rPr>
                <w:rFonts w:ascii="Times New Roman" w:hAnsi="Times New Roman"/>
                <w:b/>
                <w:sz w:val="18"/>
                <w:szCs w:val="18"/>
              </w:rPr>
            </w:pPr>
          </w:p>
          <w:p w14:paraId="4678D485" w14:textId="6C15F124" w:rsidR="001A0B09" w:rsidRDefault="006E48EA">
            <w:pPr>
              <w:spacing w:before="0" w:after="0"/>
              <w:ind w:left="33"/>
              <w:rPr>
                <w:rFonts w:ascii="Times New Roman" w:hAnsi="Times New Roman"/>
                <w:sz w:val="18"/>
                <w:szCs w:val="18"/>
              </w:rPr>
            </w:pPr>
            <w:r>
              <w:rPr>
                <w:rFonts w:ascii="Times New Roman" w:hAnsi="Times New Roman"/>
                <w:sz w:val="18"/>
                <w:szCs w:val="18"/>
              </w:rPr>
              <w:t xml:space="preserve">Art. 12–16 i art. 19 </w:t>
            </w:r>
            <w:r>
              <w:rPr>
                <w:rFonts w:ascii="Times New Roman" w:hAnsi="Times New Roman"/>
                <w:bCs/>
                <w:sz w:val="18"/>
                <w:szCs w:val="18"/>
              </w:rPr>
              <w:t>rozporządzenia delegowanego (UE) 2015/61</w:t>
            </w:r>
          </w:p>
          <w:p w14:paraId="247DC351" w14:textId="77777777" w:rsidR="001A0B09" w:rsidRDefault="001A0B09">
            <w:pPr>
              <w:spacing w:before="0" w:after="0"/>
              <w:ind w:left="33"/>
              <w:rPr>
                <w:rFonts w:ascii="Times New Roman" w:hAnsi="Times New Roman"/>
                <w:sz w:val="18"/>
                <w:szCs w:val="18"/>
              </w:rPr>
            </w:pPr>
          </w:p>
          <w:p w14:paraId="07BABB78" w14:textId="5204BA6B"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Aktywa zgłaszane w tej podsekcji zostały wyraźnie zidentyfikowane jako aktywa poziomu 2B zgodnie z </w:t>
            </w:r>
            <w:r>
              <w:rPr>
                <w:rFonts w:ascii="Times New Roman" w:hAnsi="Times New Roman"/>
                <w:bCs/>
                <w:sz w:val="18"/>
                <w:szCs w:val="18"/>
              </w:rPr>
              <w:t>rozporządzeniem delegowanym (UE) 2015/61.</w:t>
            </w:r>
          </w:p>
          <w:p w14:paraId="21B6912F" w14:textId="77777777" w:rsidR="001A0B09" w:rsidRDefault="001A0B09">
            <w:pPr>
              <w:pStyle w:val="InstructionsText"/>
              <w:rPr>
                <w:rStyle w:val="InstructionsTabelleberschrift"/>
                <w:rFonts w:ascii="Times New Roman" w:hAnsi="Times New Roman"/>
                <w:b w:val="0"/>
                <w:bCs/>
                <w:sz w:val="18"/>
                <w:szCs w:val="24"/>
              </w:rPr>
            </w:pPr>
          </w:p>
          <w:p w14:paraId="73EC8074" w14:textId="0BDDB2B6"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W kolumnie 010 instytucje kredytowe zgłaszają sumę wartości rynkowych aktywów poziomu 2B, bez uwzględniania wymogów określonych w art. 17 rozporządzenia delegowanego (UE) 2015/61.</w:t>
            </w:r>
          </w:p>
          <w:p w14:paraId="5308CDD0" w14:textId="77777777" w:rsidR="001A0B09" w:rsidRDefault="001A0B09">
            <w:pPr>
              <w:pStyle w:val="InstructionsText"/>
              <w:rPr>
                <w:rStyle w:val="InstructionsTabelleberschrift"/>
                <w:rFonts w:ascii="Times New Roman" w:hAnsi="Times New Roman"/>
                <w:b w:val="0"/>
                <w:sz w:val="18"/>
                <w:u w:val="none"/>
              </w:rPr>
            </w:pPr>
          </w:p>
          <w:p w14:paraId="13CC7F27" w14:textId="4D1E56A5" w:rsidR="001A0B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W kolumnie 040 instytucje kredytowe zgłaszają sumę kwot ważonych aktywów poziomu 2B, bez uwzględniania wymogów określonych w art. 17 rozporządzenia delegowanego (UE) 2015/61.</w:t>
            </w:r>
          </w:p>
          <w:p w14:paraId="2736C5CC" w14:textId="77777777" w:rsidR="001A0B09" w:rsidRDefault="001A0B09">
            <w:pPr>
              <w:spacing w:before="0" w:after="0"/>
              <w:ind w:left="33"/>
              <w:rPr>
                <w:rFonts w:ascii="Times New Roman" w:hAnsi="Times New Roman"/>
                <w:bCs/>
                <w:sz w:val="18"/>
                <w:szCs w:val="18"/>
              </w:rPr>
            </w:pPr>
          </w:p>
          <w:p w14:paraId="7B4EF9A6" w14:textId="77777777" w:rsidR="001A0B09" w:rsidRDefault="001A0B09">
            <w:pPr>
              <w:spacing w:before="0" w:after="0"/>
              <w:ind w:left="33"/>
              <w:rPr>
                <w:rFonts w:ascii="Times New Roman" w:hAnsi="Times New Roman"/>
                <w:b/>
                <w:sz w:val="18"/>
                <w:szCs w:val="18"/>
              </w:rPr>
            </w:pPr>
          </w:p>
        </w:tc>
      </w:tr>
      <w:tr w:rsidR="001A0B09" w14:paraId="0CBD683C" w14:textId="77777777" w:rsidTr="002B73CC">
        <w:tc>
          <w:tcPr>
            <w:tcW w:w="1097" w:type="dxa"/>
            <w:shd w:val="clear" w:color="auto" w:fill="FFFFFF"/>
            <w:vAlign w:val="center"/>
          </w:tcPr>
          <w:p w14:paraId="7BCB5BA0" w14:textId="77777777" w:rsidR="001A0B09"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1.2.2.1. Papiery wartościowe zabezpieczone aktywami (kredyty na nieruchomości mieszkalne, CQS1)</w:t>
            </w:r>
          </w:p>
          <w:p w14:paraId="2C5E65C8" w14:textId="77777777" w:rsidR="001A0B09" w:rsidRDefault="001A0B09">
            <w:pPr>
              <w:spacing w:before="0" w:after="0"/>
              <w:ind w:left="33"/>
              <w:rPr>
                <w:rFonts w:ascii="Times New Roman" w:hAnsi="Times New Roman"/>
                <w:b/>
                <w:sz w:val="18"/>
                <w:szCs w:val="18"/>
              </w:rPr>
            </w:pPr>
          </w:p>
          <w:p w14:paraId="3C73763C" w14:textId="70AE5006" w:rsidR="001A0B09" w:rsidRDefault="00762F31">
            <w:pPr>
              <w:spacing w:before="0" w:after="0"/>
              <w:ind w:left="33"/>
              <w:rPr>
                <w:rFonts w:ascii="Times New Roman" w:hAnsi="Times New Roman"/>
                <w:b/>
                <w:bCs/>
                <w:sz w:val="18"/>
                <w:szCs w:val="18"/>
              </w:rPr>
            </w:pPr>
            <w:r>
              <w:rPr>
                <w:rFonts w:ascii="Times New Roman" w:hAnsi="Times New Roman"/>
                <w:sz w:val="18"/>
                <w:szCs w:val="18"/>
              </w:rPr>
              <w:t xml:space="preserve">Art. 12 ust. 1 lit. a) i art. 13 ust. 2 lit. g) ppkt (i) oraz (ii) </w:t>
            </w:r>
            <w:r>
              <w:rPr>
                <w:rFonts w:ascii="Times New Roman" w:hAnsi="Times New Roman"/>
                <w:bCs/>
                <w:sz w:val="18"/>
                <w:szCs w:val="18"/>
              </w:rPr>
              <w:t>rozporządzenia delegowanego (UE) 2015/61</w:t>
            </w:r>
          </w:p>
          <w:p w14:paraId="348BA7B3" w14:textId="77777777" w:rsidR="001A0B09" w:rsidRDefault="001A0B09">
            <w:pPr>
              <w:spacing w:before="0" w:after="0"/>
              <w:ind w:left="33"/>
              <w:rPr>
                <w:rFonts w:ascii="Times New Roman" w:hAnsi="Times New Roman"/>
                <w:sz w:val="18"/>
                <w:szCs w:val="18"/>
              </w:rPr>
            </w:pPr>
          </w:p>
          <w:p w14:paraId="6CAD57F0" w14:textId="55031F87" w:rsidR="001A0B09" w:rsidRDefault="006E48EA">
            <w:pPr>
              <w:spacing w:before="0" w:after="0"/>
              <w:ind w:left="33"/>
              <w:rPr>
                <w:rFonts w:ascii="Times New Roman" w:hAnsi="Times New Roman"/>
                <w:sz w:val="18"/>
                <w:szCs w:val="18"/>
              </w:rPr>
            </w:pPr>
            <w:r>
              <w:rPr>
                <w:rFonts w:ascii="Times New Roman" w:hAnsi="Times New Roman"/>
                <w:sz w:val="18"/>
                <w:szCs w:val="18"/>
              </w:rPr>
              <w:t xml:space="preserve">Ekspozycje w postaci papierów wartościowych zabezpieczonych aktywami, spełniające wymogi określone w art. 13 </w:t>
            </w:r>
            <w:r>
              <w:rPr>
                <w:rFonts w:ascii="Times New Roman" w:hAnsi="Times New Roman"/>
                <w:bCs/>
                <w:sz w:val="18"/>
                <w:szCs w:val="18"/>
              </w:rPr>
              <w:t xml:space="preserve">rozporządzenia delegowanego (UE) 2015/61, pod warunkiem, że są zabezpieczone kredytami na nieruchomości mieszkalne zabezpieczonymi hipoteką wpisaną </w:t>
            </w:r>
            <w:r>
              <w:rPr>
                <w:rFonts w:ascii="Times New Roman" w:hAnsi="Times New Roman"/>
                <w:bCs/>
                <w:sz w:val="18"/>
                <w:szCs w:val="18"/>
              </w:rPr>
              <w:lastRenderedPageBreak/>
              <w:t>na pierwszym miejscu lub w pełni gwarantowanymi kredytami na nieruchomości mieszkalne zgodnie z art.</w:t>
            </w:r>
            <w:r>
              <w:rPr>
                <w:rFonts w:ascii="Times New Roman" w:hAnsi="Times New Roman"/>
                <w:sz w:val="18"/>
                <w:szCs w:val="18"/>
              </w:rPr>
              <w:t xml:space="preserve"> 13 ust. 2 lit. g) ppkt (i) oraz (ii) </w:t>
            </w:r>
            <w:r>
              <w:rPr>
                <w:rFonts w:ascii="Times New Roman" w:hAnsi="Times New Roman"/>
                <w:bCs/>
                <w:sz w:val="18"/>
                <w:szCs w:val="18"/>
              </w:rPr>
              <w:t>rozporządzenia delegowanego (UE) 2015/61</w:t>
            </w:r>
            <w:r>
              <w:rPr>
                <w:rFonts w:ascii="Times New Roman" w:hAnsi="Times New Roman"/>
                <w:sz w:val="18"/>
                <w:szCs w:val="18"/>
              </w:rPr>
              <w:t>.</w:t>
            </w:r>
          </w:p>
          <w:p w14:paraId="51139131" w14:textId="77777777" w:rsidR="001A0B09" w:rsidRDefault="001A0B09">
            <w:pPr>
              <w:spacing w:before="0" w:after="0"/>
              <w:ind w:left="33"/>
              <w:rPr>
                <w:rFonts w:ascii="Times New Roman" w:hAnsi="Times New Roman"/>
                <w:sz w:val="18"/>
                <w:szCs w:val="18"/>
              </w:rPr>
            </w:pPr>
          </w:p>
          <w:p w14:paraId="76B5DA24" w14:textId="72E0C8BA" w:rsidR="001A0B09"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W tym wierszu zgłasza się aktywa objęte przepisem przejściowym określonym w art. 37 rozporządzenia delegowanego (UE) 2015/61.</w:t>
            </w:r>
          </w:p>
          <w:p w14:paraId="397E9303" w14:textId="77777777" w:rsidR="001A0B09" w:rsidRDefault="001A0B09">
            <w:pPr>
              <w:spacing w:before="0" w:after="0"/>
              <w:ind w:left="33"/>
              <w:rPr>
                <w:rFonts w:ascii="Times New Roman" w:hAnsi="Times New Roman"/>
                <w:b/>
                <w:bCs/>
                <w:sz w:val="18"/>
                <w:szCs w:val="18"/>
              </w:rPr>
            </w:pPr>
          </w:p>
          <w:p w14:paraId="47DA9E59" w14:textId="77777777" w:rsidR="001A0B09" w:rsidRDefault="001A0B09">
            <w:pPr>
              <w:spacing w:before="0" w:after="0"/>
              <w:rPr>
                <w:rFonts w:ascii="Times New Roman" w:hAnsi="Times New Roman"/>
                <w:b/>
                <w:sz w:val="18"/>
                <w:szCs w:val="18"/>
              </w:rPr>
            </w:pPr>
          </w:p>
          <w:p w14:paraId="28F9A861" w14:textId="77777777" w:rsidR="001A0B09" w:rsidRDefault="001A0B09">
            <w:pPr>
              <w:spacing w:before="0" w:after="0"/>
              <w:rPr>
                <w:rFonts w:ascii="Times New Roman" w:hAnsi="Times New Roman"/>
                <w:b/>
                <w:sz w:val="18"/>
                <w:szCs w:val="18"/>
              </w:rPr>
            </w:pPr>
          </w:p>
        </w:tc>
      </w:tr>
      <w:tr w:rsidR="001A0B09" w14:paraId="4BADDFAF" w14:textId="77777777" w:rsidTr="002B73CC">
        <w:tc>
          <w:tcPr>
            <w:tcW w:w="1097" w:type="dxa"/>
            <w:shd w:val="clear" w:color="auto" w:fill="FFFFFF"/>
            <w:vAlign w:val="center"/>
          </w:tcPr>
          <w:p w14:paraId="595474DA" w14:textId="77777777" w:rsidR="001A0B09" w:rsidRDefault="006E48EA">
            <w:pPr>
              <w:rPr>
                <w:rFonts w:ascii="Times New Roman" w:hAnsi="Times New Roman"/>
                <w:sz w:val="18"/>
                <w:szCs w:val="18"/>
              </w:rPr>
            </w:pPr>
            <w:r>
              <w:rPr>
                <w:rFonts w:ascii="Times New Roman" w:hAnsi="Times New Roman"/>
                <w:sz w:val="18"/>
                <w:szCs w:val="18"/>
              </w:rPr>
              <w:lastRenderedPageBreak/>
              <w:t>330</w:t>
            </w:r>
          </w:p>
        </w:tc>
        <w:tc>
          <w:tcPr>
            <w:tcW w:w="7125" w:type="dxa"/>
            <w:gridSpan w:val="2"/>
            <w:shd w:val="clear" w:color="auto" w:fill="FFFFFF"/>
          </w:tcPr>
          <w:p w14:paraId="1813ABBC"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1.2.2.2. Papiery wartościowe zabezpieczone aktywami (kredyty na zakup samochodów, CQS1)</w:t>
            </w:r>
          </w:p>
          <w:p w14:paraId="45B00B49" w14:textId="77777777" w:rsidR="001A0B09" w:rsidRDefault="001A0B09">
            <w:pPr>
              <w:spacing w:before="0" w:after="0"/>
              <w:ind w:left="33"/>
              <w:rPr>
                <w:rFonts w:ascii="Times New Roman" w:hAnsi="Times New Roman"/>
                <w:b/>
                <w:sz w:val="18"/>
                <w:szCs w:val="18"/>
              </w:rPr>
            </w:pPr>
          </w:p>
          <w:p w14:paraId="0DADCE02" w14:textId="0158B9EB" w:rsidR="001A0B09" w:rsidRDefault="00762F31">
            <w:pPr>
              <w:spacing w:before="0" w:after="0"/>
              <w:ind w:left="33"/>
              <w:rPr>
                <w:rFonts w:ascii="Times New Roman" w:hAnsi="Times New Roman"/>
                <w:b/>
                <w:bCs/>
                <w:sz w:val="18"/>
                <w:szCs w:val="18"/>
              </w:rPr>
            </w:pPr>
            <w:r>
              <w:rPr>
                <w:rFonts w:ascii="Times New Roman" w:hAnsi="Times New Roman"/>
                <w:sz w:val="18"/>
                <w:szCs w:val="18"/>
              </w:rPr>
              <w:t xml:space="preserve">Art. 12 ust. 1 lit. a) i art. 13 ust. 2 lit. g) ppkt (iv) </w:t>
            </w:r>
            <w:r>
              <w:rPr>
                <w:rFonts w:ascii="Times New Roman" w:hAnsi="Times New Roman"/>
                <w:bCs/>
                <w:sz w:val="18"/>
                <w:szCs w:val="18"/>
              </w:rPr>
              <w:t>rozporządzenia delegowanego (UE) 2015/61</w:t>
            </w:r>
          </w:p>
          <w:p w14:paraId="5FC4D813" w14:textId="77777777" w:rsidR="001A0B09" w:rsidRDefault="001A0B09">
            <w:pPr>
              <w:spacing w:before="0" w:after="0"/>
              <w:ind w:left="33"/>
              <w:rPr>
                <w:rFonts w:ascii="Times New Roman" w:hAnsi="Times New Roman"/>
                <w:sz w:val="18"/>
                <w:szCs w:val="18"/>
              </w:rPr>
            </w:pPr>
          </w:p>
          <w:p w14:paraId="1DA23755" w14:textId="2D8EF596" w:rsidR="001A0B09" w:rsidRDefault="006E48EA">
            <w:pPr>
              <w:spacing w:before="0" w:after="0"/>
              <w:ind w:left="33"/>
              <w:rPr>
                <w:rFonts w:ascii="Times New Roman" w:hAnsi="Times New Roman"/>
                <w:b/>
                <w:sz w:val="18"/>
                <w:szCs w:val="18"/>
              </w:rPr>
            </w:pPr>
            <w:r>
              <w:rPr>
                <w:rFonts w:ascii="Times New Roman" w:hAnsi="Times New Roman"/>
                <w:sz w:val="18"/>
                <w:szCs w:val="18"/>
              </w:rPr>
              <w:t xml:space="preserve">Ekspozycje w postaci papierów wartościowych zabezpieczonych aktywami zgodne z art. 13 </w:t>
            </w:r>
            <w:r>
              <w:rPr>
                <w:rFonts w:ascii="Times New Roman" w:hAnsi="Times New Roman"/>
                <w:bCs/>
                <w:sz w:val="18"/>
                <w:szCs w:val="18"/>
              </w:rPr>
              <w:t xml:space="preserve">rozporządzenia delegowanego (UE) 2015/61, pod warunkiem, że są zabezpieczone kredytami na zakup samochodów i leasingiem zgodnie </w:t>
            </w:r>
            <w:r>
              <w:rPr>
                <w:rFonts w:ascii="Times New Roman" w:hAnsi="Times New Roman"/>
                <w:sz w:val="18"/>
                <w:szCs w:val="18"/>
              </w:rPr>
              <w:t xml:space="preserve">z art. 13 ust. 2 lit. g) ppkt (iv) </w:t>
            </w:r>
            <w:r>
              <w:rPr>
                <w:rFonts w:ascii="Times New Roman" w:hAnsi="Times New Roman"/>
                <w:bCs/>
                <w:sz w:val="18"/>
                <w:szCs w:val="18"/>
              </w:rPr>
              <w:t>rozporządzenia delegowanego (UE) 2015/61</w:t>
            </w:r>
            <w:r>
              <w:rPr>
                <w:rFonts w:ascii="Times New Roman" w:hAnsi="Times New Roman"/>
                <w:sz w:val="18"/>
                <w:szCs w:val="18"/>
              </w:rPr>
              <w:t>.</w:t>
            </w:r>
          </w:p>
          <w:p w14:paraId="733176F7" w14:textId="77777777" w:rsidR="001A0B09" w:rsidRDefault="001A0B09">
            <w:pPr>
              <w:spacing w:before="0" w:after="0"/>
              <w:ind w:left="33"/>
              <w:rPr>
                <w:rFonts w:ascii="Times New Roman" w:hAnsi="Times New Roman"/>
                <w:b/>
                <w:sz w:val="18"/>
                <w:szCs w:val="18"/>
              </w:rPr>
            </w:pPr>
          </w:p>
        </w:tc>
      </w:tr>
      <w:tr w:rsidR="001A0B09" w14:paraId="30EC1A17" w14:textId="77777777" w:rsidTr="002B73CC">
        <w:tc>
          <w:tcPr>
            <w:tcW w:w="1097" w:type="dxa"/>
            <w:shd w:val="clear" w:color="auto" w:fill="FFFFFF"/>
            <w:vAlign w:val="center"/>
          </w:tcPr>
          <w:p w14:paraId="686B2373" w14:textId="77777777" w:rsidR="001A0B09"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1.2.2.3. Obligacje zabezpieczone charakteryzujące się wysoką jakością (waga ryzyka równa 35 % lub niższa)</w:t>
            </w:r>
          </w:p>
          <w:p w14:paraId="20676114" w14:textId="77777777" w:rsidR="001A0B09" w:rsidRDefault="001A0B09">
            <w:pPr>
              <w:spacing w:before="0" w:after="0"/>
              <w:ind w:left="33"/>
              <w:rPr>
                <w:rFonts w:ascii="Times New Roman" w:hAnsi="Times New Roman"/>
                <w:b/>
                <w:sz w:val="18"/>
                <w:szCs w:val="18"/>
              </w:rPr>
            </w:pPr>
          </w:p>
          <w:p w14:paraId="3903FF07" w14:textId="4EDA22D2" w:rsidR="001A0B09" w:rsidRDefault="00762F31">
            <w:pPr>
              <w:spacing w:before="0" w:after="0"/>
              <w:ind w:left="33"/>
              <w:rPr>
                <w:rFonts w:ascii="Times New Roman" w:hAnsi="Times New Roman"/>
                <w:bCs/>
                <w:sz w:val="18"/>
                <w:szCs w:val="18"/>
              </w:rPr>
            </w:pPr>
            <w:r>
              <w:rPr>
                <w:rFonts w:ascii="Times New Roman" w:hAnsi="Times New Roman"/>
                <w:sz w:val="18"/>
                <w:szCs w:val="18"/>
              </w:rPr>
              <w:t xml:space="preserve">Art. 12 ust. 1 lit. e) </w:t>
            </w:r>
            <w:r>
              <w:rPr>
                <w:rFonts w:ascii="Times New Roman" w:hAnsi="Times New Roman"/>
                <w:bCs/>
                <w:sz w:val="18"/>
                <w:szCs w:val="18"/>
              </w:rPr>
              <w:t>rozporządzenia delegowanego (UE) 2015/61</w:t>
            </w:r>
          </w:p>
          <w:p w14:paraId="695B8350" w14:textId="77777777" w:rsidR="001A0B09" w:rsidRDefault="001A0B09">
            <w:pPr>
              <w:spacing w:before="0" w:after="0"/>
              <w:ind w:left="33"/>
              <w:rPr>
                <w:rFonts w:ascii="Times New Roman" w:hAnsi="Times New Roman"/>
                <w:sz w:val="18"/>
                <w:szCs w:val="18"/>
              </w:rPr>
            </w:pPr>
          </w:p>
          <w:p w14:paraId="76C970BF" w14:textId="60ADA00C"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Ekspozycje w postaci obligacji zabezpieczonych emitowanych przez instytucje kredytowe spełniających wymogi określone w art. 12 ust. 1 lit. e) </w:t>
            </w:r>
            <w:r>
              <w:rPr>
                <w:rFonts w:ascii="Times New Roman" w:hAnsi="Times New Roman"/>
                <w:bCs/>
                <w:sz w:val="18"/>
                <w:szCs w:val="18"/>
              </w:rPr>
              <w:t xml:space="preserve">rozporządzenia delegowanego (UE) 2015/61, </w:t>
            </w:r>
            <w:r>
              <w:rPr>
                <w:rFonts w:ascii="Times New Roman" w:hAnsi="Times New Roman"/>
                <w:sz w:val="18"/>
                <w:szCs w:val="18"/>
              </w:rPr>
              <w:t>pod warunkiem, że pula aktywów bazowych składa się wyłącznie z ekspozycji, które kwalifikują się do wagi ryzyka równej 35 % lub niższej zgodnie z art. 125 rozporządzenia (UE) nr 575/2013</w:t>
            </w:r>
            <w:r>
              <w:rPr>
                <w:rFonts w:ascii="Times New Roman" w:hAnsi="Times New Roman"/>
                <w:bCs/>
                <w:sz w:val="18"/>
                <w:szCs w:val="18"/>
              </w:rPr>
              <w:t>.</w:t>
            </w:r>
          </w:p>
          <w:p w14:paraId="28F743AD" w14:textId="77777777" w:rsidR="001A0B09" w:rsidRDefault="001A0B09">
            <w:pPr>
              <w:spacing w:before="0" w:after="0"/>
              <w:ind w:left="33"/>
              <w:rPr>
                <w:rFonts w:ascii="Times New Roman" w:hAnsi="Times New Roman"/>
                <w:b/>
                <w:sz w:val="18"/>
                <w:szCs w:val="18"/>
              </w:rPr>
            </w:pPr>
          </w:p>
        </w:tc>
      </w:tr>
      <w:tr w:rsidR="001A0B09" w14:paraId="4B61F417" w14:textId="77777777" w:rsidTr="002B73CC">
        <w:tc>
          <w:tcPr>
            <w:tcW w:w="1097" w:type="dxa"/>
            <w:shd w:val="clear" w:color="auto" w:fill="FFFFFF"/>
            <w:vAlign w:val="center"/>
          </w:tcPr>
          <w:p w14:paraId="6CB1C0D1" w14:textId="77777777" w:rsidR="001A0B09"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1.2.2.4. Papiery wartościowe zabezpieczone aktywami (kredyty komercyjne lub dla osób fizycznych, państwo członkowskie, CQS1)</w:t>
            </w:r>
          </w:p>
          <w:p w14:paraId="5BBC4661" w14:textId="77777777" w:rsidR="001A0B09" w:rsidRDefault="001A0B09">
            <w:pPr>
              <w:spacing w:before="0" w:after="0"/>
              <w:ind w:left="33"/>
              <w:rPr>
                <w:rFonts w:ascii="Times New Roman" w:hAnsi="Times New Roman"/>
                <w:b/>
                <w:sz w:val="18"/>
                <w:szCs w:val="18"/>
              </w:rPr>
            </w:pPr>
          </w:p>
          <w:p w14:paraId="60E4D99E" w14:textId="1271D0E6" w:rsidR="001A0B09" w:rsidRDefault="00762F31">
            <w:pPr>
              <w:spacing w:before="0" w:after="0"/>
              <w:ind w:left="33"/>
              <w:rPr>
                <w:rFonts w:ascii="Times New Roman" w:hAnsi="Times New Roman"/>
                <w:b/>
                <w:bCs/>
                <w:sz w:val="18"/>
                <w:szCs w:val="18"/>
              </w:rPr>
            </w:pPr>
            <w:r>
              <w:rPr>
                <w:rFonts w:ascii="Times New Roman" w:hAnsi="Times New Roman"/>
                <w:sz w:val="18"/>
                <w:szCs w:val="18"/>
              </w:rPr>
              <w:t xml:space="preserve">Art. 12 ust. 1 lit. a) i art. 13 ust. 2 lit. g) ppkt (iii) i (v) </w:t>
            </w:r>
            <w:r>
              <w:rPr>
                <w:rFonts w:ascii="Times New Roman" w:hAnsi="Times New Roman"/>
                <w:bCs/>
                <w:sz w:val="18"/>
                <w:szCs w:val="18"/>
              </w:rPr>
              <w:t>rozporządzenia delegowanego (UE) 2015/61</w:t>
            </w:r>
          </w:p>
          <w:p w14:paraId="467D6F32" w14:textId="77777777" w:rsidR="001A0B09" w:rsidRDefault="001A0B09">
            <w:pPr>
              <w:spacing w:before="0" w:after="0"/>
              <w:ind w:left="33"/>
              <w:rPr>
                <w:rFonts w:ascii="Times New Roman" w:hAnsi="Times New Roman"/>
                <w:sz w:val="18"/>
                <w:szCs w:val="18"/>
              </w:rPr>
            </w:pPr>
          </w:p>
          <w:p w14:paraId="551FA11D" w14:textId="72250ACC" w:rsidR="001A0B09" w:rsidRDefault="006E48EA">
            <w:pPr>
              <w:spacing w:before="0" w:after="0"/>
              <w:ind w:left="33"/>
              <w:rPr>
                <w:rFonts w:ascii="Times New Roman" w:hAnsi="Times New Roman"/>
                <w:sz w:val="18"/>
                <w:szCs w:val="18"/>
              </w:rPr>
            </w:pPr>
            <w:r>
              <w:rPr>
                <w:rFonts w:ascii="Times New Roman" w:hAnsi="Times New Roman"/>
                <w:sz w:val="18"/>
                <w:szCs w:val="18"/>
              </w:rPr>
              <w:t xml:space="preserve">Ekspozycje w postaci papierów wartościowych zabezpieczonych aktywami spełniające wymogi określone w art. 13 </w:t>
            </w:r>
            <w:r>
              <w:rPr>
                <w:rFonts w:ascii="Times New Roman" w:hAnsi="Times New Roman"/>
                <w:bCs/>
                <w:sz w:val="18"/>
                <w:szCs w:val="18"/>
              </w:rPr>
              <w:t xml:space="preserve">rozporządzenia delegowanego (UE) 2015/61, pod warunkiem, że są zabezpieczone aktywami, o których mowa w </w:t>
            </w:r>
            <w:r>
              <w:rPr>
                <w:rFonts w:ascii="Times New Roman" w:hAnsi="Times New Roman"/>
                <w:sz w:val="18"/>
                <w:szCs w:val="18"/>
              </w:rPr>
              <w:t xml:space="preserve">art. 13 ust. 2 lit. g) ppkt (iii) i (v) </w:t>
            </w:r>
            <w:r>
              <w:rPr>
                <w:rFonts w:ascii="Times New Roman" w:hAnsi="Times New Roman"/>
                <w:bCs/>
                <w:sz w:val="18"/>
                <w:szCs w:val="18"/>
              </w:rPr>
              <w:t>rozporządzenia delegowanego (UE) 2015/61</w:t>
            </w:r>
            <w:r>
              <w:rPr>
                <w:rFonts w:ascii="Times New Roman" w:hAnsi="Times New Roman"/>
                <w:sz w:val="18"/>
                <w:szCs w:val="18"/>
              </w:rPr>
              <w:t>. Należy wziąć pod uwagę fakt, że do celów art. 13 ust. 2 lit. g) ppkt (iii) w momencie emisji sekurytyzacji co najmniej 80 % kredytobiorców w danej puli muszą stanowić MŚP.</w:t>
            </w:r>
          </w:p>
          <w:p w14:paraId="3974A81B" w14:textId="77777777" w:rsidR="001A0B09" w:rsidRDefault="001A0B09">
            <w:pPr>
              <w:spacing w:before="0" w:after="0"/>
              <w:ind w:left="33"/>
              <w:rPr>
                <w:rFonts w:ascii="Times New Roman" w:hAnsi="Times New Roman"/>
                <w:b/>
                <w:sz w:val="18"/>
                <w:szCs w:val="18"/>
              </w:rPr>
            </w:pPr>
          </w:p>
        </w:tc>
      </w:tr>
      <w:tr w:rsidR="001A0B09" w14:paraId="5F107C6F" w14:textId="77777777" w:rsidTr="002B73CC">
        <w:tc>
          <w:tcPr>
            <w:tcW w:w="1097" w:type="dxa"/>
            <w:shd w:val="clear" w:color="auto" w:fill="FFFFFF"/>
            <w:vAlign w:val="center"/>
          </w:tcPr>
          <w:p w14:paraId="07DDFFDC" w14:textId="77777777" w:rsidR="001A0B09"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1.2.2.5. Papiery dłużne przedsiębiorstw (CQS2/3)</w:t>
            </w:r>
          </w:p>
          <w:p w14:paraId="14358149" w14:textId="77777777" w:rsidR="001A0B09" w:rsidRDefault="001A0B09">
            <w:pPr>
              <w:spacing w:before="0" w:after="0"/>
              <w:ind w:left="33"/>
              <w:rPr>
                <w:rFonts w:ascii="Times New Roman" w:hAnsi="Times New Roman"/>
                <w:b/>
                <w:sz w:val="18"/>
                <w:szCs w:val="18"/>
              </w:rPr>
            </w:pPr>
          </w:p>
          <w:p w14:paraId="63AD76F4" w14:textId="4A6D1CAF" w:rsidR="001A0B09" w:rsidRDefault="00762F31">
            <w:pPr>
              <w:spacing w:before="0" w:after="0"/>
              <w:ind w:left="33"/>
              <w:rPr>
                <w:rFonts w:ascii="Times New Roman" w:hAnsi="Times New Roman"/>
                <w:bCs/>
                <w:sz w:val="18"/>
                <w:szCs w:val="18"/>
              </w:rPr>
            </w:pPr>
            <w:r>
              <w:rPr>
                <w:rFonts w:ascii="Times New Roman" w:hAnsi="Times New Roman"/>
                <w:sz w:val="18"/>
                <w:szCs w:val="18"/>
              </w:rPr>
              <w:t xml:space="preserve">Art. 12 ust. 1 lit. b) </w:t>
            </w:r>
            <w:r>
              <w:rPr>
                <w:rFonts w:ascii="Times New Roman" w:hAnsi="Times New Roman"/>
                <w:bCs/>
                <w:sz w:val="18"/>
                <w:szCs w:val="18"/>
              </w:rPr>
              <w:t>rozporządzenia delegowanego (UE) 2015/61</w:t>
            </w:r>
          </w:p>
          <w:p w14:paraId="10B959A4" w14:textId="77777777" w:rsidR="001A0B09" w:rsidRDefault="001A0B09">
            <w:pPr>
              <w:spacing w:before="0" w:after="0"/>
              <w:ind w:left="33"/>
              <w:rPr>
                <w:rFonts w:ascii="Times New Roman" w:hAnsi="Times New Roman"/>
                <w:sz w:val="18"/>
                <w:szCs w:val="18"/>
              </w:rPr>
            </w:pPr>
          </w:p>
          <w:p w14:paraId="31B0AABE" w14:textId="27BBBE5A"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Papiery dłużne przedsiębiorstw spełniające wymogi określone w art. 12 ust. 1 lit. b) </w:t>
            </w:r>
            <w:r>
              <w:rPr>
                <w:rFonts w:ascii="Times New Roman" w:hAnsi="Times New Roman"/>
                <w:bCs/>
                <w:sz w:val="18"/>
                <w:szCs w:val="18"/>
              </w:rPr>
              <w:t>rozporządzenia delegowanego (UE) 2015/61</w:t>
            </w:r>
          </w:p>
          <w:p w14:paraId="6192FD68" w14:textId="77777777" w:rsidR="001A0B09" w:rsidRDefault="001A0B09">
            <w:pPr>
              <w:spacing w:before="0" w:after="0"/>
              <w:ind w:left="33"/>
              <w:rPr>
                <w:rFonts w:ascii="Times New Roman" w:hAnsi="Times New Roman"/>
                <w:b/>
                <w:sz w:val="18"/>
                <w:szCs w:val="18"/>
              </w:rPr>
            </w:pPr>
          </w:p>
        </w:tc>
      </w:tr>
      <w:tr w:rsidR="001A0B09" w14:paraId="57BEC1FC" w14:textId="77777777" w:rsidTr="002B73CC">
        <w:tc>
          <w:tcPr>
            <w:tcW w:w="1097" w:type="dxa"/>
            <w:shd w:val="clear" w:color="auto" w:fill="FFFFFF"/>
            <w:vAlign w:val="center"/>
          </w:tcPr>
          <w:p w14:paraId="16829F9E" w14:textId="77777777" w:rsidR="001A0B09"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1.2.2.6. Papiery dłużne przedsiębiorstw – aktywa nieoprocentowane (będące w posiadaniu instytucji kredytowych ze względów religijnych) (CQS1/2/3)</w:t>
            </w:r>
          </w:p>
          <w:p w14:paraId="1E45EFA1" w14:textId="77777777" w:rsidR="001A0B09" w:rsidRDefault="001A0B09">
            <w:pPr>
              <w:spacing w:before="0" w:after="0"/>
              <w:ind w:left="33"/>
              <w:rPr>
                <w:rFonts w:ascii="Times New Roman" w:hAnsi="Times New Roman"/>
                <w:b/>
                <w:sz w:val="18"/>
                <w:szCs w:val="18"/>
              </w:rPr>
            </w:pPr>
          </w:p>
          <w:p w14:paraId="7C06C3E2" w14:textId="68823EEF"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Art. 12 ust. 3 </w:t>
            </w:r>
            <w:r>
              <w:rPr>
                <w:rFonts w:ascii="Times New Roman" w:hAnsi="Times New Roman"/>
                <w:bCs/>
                <w:sz w:val="18"/>
                <w:szCs w:val="18"/>
              </w:rPr>
              <w:t>rozporządzenia delegowanego (UE) 2015/61</w:t>
            </w:r>
          </w:p>
          <w:p w14:paraId="2A95B17C" w14:textId="77777777" w:rsidR="001A0B09" w:rsidRDefault="001A0B09">
            <w:pPr>
              <w:spacing w:before="0" w:after="0"/>
              <w:ind w:left="33"/>
              <w:rPr>
                <w:rFonts w:ascii="Times New Roman" w:hAnsi="Times New Roman"/>
                <w:bCs/>
                <w:sz w:val="18"/>
                <w:szCs w:val="18"/>
              </w:rPr>
            </w:pPr>
          </w:p>
          <w:p w14:paraId="4BC6A99A" w14:textId="3A5DE67E" w:rsidR="001A0B09" w:rsidRDefault="00223992">
            <w:pPr>
              <w:spacing w:before="0" w:after="0"/>
              <w:ind w:left="33"/>
              <w:rPr>
                <w:rFonts w:ascii="Times New Roman" w:hAnsi="Times New Roman"/>
                <w:bCs/>
                <w:sz w:val="18"/>
                <w:szCs w:val="18"/>
              </w:rPr>
            </w:pPr>
            <w:r>
              <w:rPr>
                <w:rFonts w:ascii="Times New Roman" w:hAnsi="Times New Roman"/>
                <w:sz w:val="18"/>
                <w:szCs w:val="18"/>
              </w:rPr>
              <w:t>Właściwy organ może zezwolić instytucjom kredytowym, które zgodnie ze swoimi aktami założycielskimi nie mogą ze względów religijnych posiadać aktywów oprocentowanych, na zastosowanie odstępstwa od przepisów art. 12 ust. 1 lit. b) ppkt (ii) i (iii) rozporządzenia delegowanego (UE) 2015/61 pod warunkiem, że istnieją dowody na niewystarczającą dostępność aktywów nieoprocentowanych spełniających wymagania określone w tych ppkt, a przedmiotowe aktywa nieoprocentowane wykazują odpowiednią płynność na rynkach prywatnych.</w:t>
            </w:r>
          </w:p>
          <w:p w14:paraId="1F6564B2" w14:textId="77777777" w:rsidR="001A0B09" w:rsidRDefault="001A0B09">
            <w:pPr>
              <w:spacing w:before="0" w:after="0"/>
              <w:ind w:left="33"/>
              <w:rPr>
                <w:rFonts w:ascii="Times New Roman" w:hAnsi="Times New Roman"/>
                <w:bCs/>
                <w:sz w:val="18"/>
                <w:szCs w:val="18"/>
              </w:rPr>
            </w:pPr>
          </w:p>
          <w:p w14:paraId="0FD4BBC9" w14:textId="3F60383B" w:rsidR="001A0B09" w:rsidRDefault="006E48EA">
            <w:pPr>
              <w:spacing w:before="0" w:after="0"/>
              <w:ind w:left="33"/>
              <w:rPr>
                <w:rFonts w:ascii="Times New Roman" w:hAnsi="Times New Roman"/>
                <w:bCs/>
                <w:sz w:val="18"/>
                <w:szCs w:val="18"/>
              </w:rPr>
            </w:pPr>
            <w:r>
              <w:rPr>
                <w:rFonts w:ascii="Times New Roman" w:hAnsi="Times New Roman"/>
                <w:sz w:val="18"/>
                <w:szCs w:val="18"/>
              </w:rPr>
              <w:t>Instytucje kredytowe, o których mowa powyżej, zgłaszają papiery dłużne przedsiębiorstw uwzględniające aktywa nieoprocentowane, pod warunkiem, że spełniają one wymogi określone w art. 12 ust. 1 lit. b) ppkt (i) rozporządzenia delegowanego (UE) 2015/61 oraz pod warunkiem, że stosowny właściwy organ zezwolił na zastosowanie takiego odstępstwa.</w:t>
            </w:r>
          </w:p>
          <w:p w14:paraId="6F34CD8E" w14:textId="77777777" w:rsidR="001A0B09" w:rsidRDefault="001A0B09">
            <w:pPr>
              <w:spacing w:before="0" w:after="0"/>
              <w:ind w:left="33"/>
              <w:rPr>
                <w:rFonts w:ascii="Times New Roman" w:hAnsi="Times New Roman"/>
                <w:b/>
                <w:sz w:val="18"/>
                <w:szCs w:val="18"/>
              </w:rPr>
            </w:pPr>
          </w:p>
        </w:tc>
      </w:tr>
      <w:tr w:rsidR="001A0B09" w14:paraId="5FE17843" w14:textId="77777777" w:rsidTr="002B73CC">
        <w:tc>
          <w:tcPr>
            <w:tcW w:w="1097" w:type="dxa"/>
            <w:shd w:val="clear" w:color="auto" w:fill="FFFFFF"/>
            <w:vAlign w:val="center"/>
          </w:tcPr>
          <w:p w14:paraId="4C24D50F" w14:textId="77777777" w:rsidR="001A0B09" w:rsidRDefault="006E48EA">
            <w:pPr>
              <w:rPr>
                <w:rFonts w:ascii="Times New Roman" w:hAnsi="Times New Roman"/>
                <w:sz w:val="18"/>
                <w:szCs w:val="18"/>
              </w:rPr>
            </w:pPr>
            <w:r>
              <w:rPr>
                <w:rFonts w:ascii="Times New Roman" w:hAnsi="Times New Roman"/>
                <w:sz w:val="18"/>
                <w:szCs w:val="18"/>
              </w:rPr>
              <w:lastRenderedPageBreak/>
              <w:t>380</w:t>
            </w:r>
          </w:p>
        </w:tc>
        <w:tc>
          <w:tcPr>
            <w:tcW w:w="7125" w:type="dxa"/>
            <w:gridSpan w:val="2"/>
            <w:shd w:val="clear" w:color="auto" w:fill="FFFFFF"/>
          </w:tcPr>
          <w:p w14:paraId="3C0E8B99"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1.2.2.7. Akcje (główny indeks giełdowy)</w:t>
            </w:r>
          </w:p>
          <w:p w14:paraId="150E3CAF" w14:textId="77777777" w:rsidR="001A0B09" w:rsidRDefault="001A0B09">
            <w:pPr>
              <w:spacing w:before="0" w:after="0"/>
              <w:ind w:left="33"/>
              <w:rPr>
                <w:rFonts w:ascii="Times New Roman" w:hAnsi="Times New Roman"/>
                <w:b/>
                <w:sz w:val="18"/>
                <w:szCs w:val="18"/>
              </w:rPr>
            </w:pPr>
          </w:p>
          <w:p w14:paraId="5E3ABFB8" w14:textId="2AE2D6B6" w:rsidR="001A0B09" w:rsidRDefault="00762F31">
            <w:pPr>
              <w:spacing w:before="0" w:after="0"/>
              <w:ind w:left="33"/>
              <w:rPr>
                <w:rFonts w:ascii="Times New Roman" w:hAnsi="Times New Roman"/>
                <w:bCs/>
                <w:sz w:val="18"/>
                <w:szCs w:val="18"/>
              </w:rPr>
            </w:pPr>
            <w:r>
              <w:rPr>
                <w:rFonts w:ascii="Times New Roman" w:hAnsi="Times New Roman"/>
                <w:sz w:val="18"/>
                <w:szCs w:val="18"/>
              </w:rPr>
              <w:t xml:space="preserve">Art. 12 ust. 1 lit. c) </w:t>
            </w:r>
            <w:r>
              <w:rPr>
                <w:rFonts w:ascii="Times New Roman" w:hAnsi="Times New Roman"/>
                <w:bCs/>
                <w:sz w:val="18"/>
                <w:szCs w:val="18"/>
              </w:rPr>
              <w:t>rozporządzenia delegowanego (UE) 2015/61</w:t>
            </w:r>
          </w:p>
          <w:p w14:paraId="0ED9CDE3" w14:textId="77777777" w:rsidR="001A0B09" w:rsidRDefault="001A0B09">
            <w:pPr>
              <w:spacing w:before="0" w:after="0"/>
              <w:ind w:left="33"/>
              <w:rPr>
                <w:rFonts w:ascii="Times New Roman" w:hAnsi="Times New Roman"/>
                <w:sz w:val="18"/>
                <w:szCs w:val="18"/>
              </w:rPr>
            </w:pPr>
          </w:p>
          <w:p w14:paraId="54BC4159" w14:textId="36CB077A"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Akcje, które spełniają wymogi określone w art. 12 ust. 1 lit. c) </w:t>
            </w:r>
            <w:r>
              <w:rPr>
                <w:rFonts w:ascii="Times New Roman" w:hAnsi="Times New Roman"/>
                <w:bCs/>
                <w:sz w:val="18"/>
                <w:szCs w:val="18"/>
              </w:rPr>
              <w:t>rozporządzenia delegowanego (UE) 2015/61 i są denominowane w walucie instytucji kredytowej państwa członkowskiego pochodzenia.</w:t>
            </w:r>
          </w:p>
          <w:p w14:paraId="5523E2E6" w14:textId="77777777" w:rsidR="001A0B09" w:rsidRDefault="001A0B09">
            <w:pPr>
              <w:spacing w:before="0" w:after="0"/>
              <w:ind w:left="33"/>
              <w:rPr>
                <w:rFonts w:ascii="Times New Roman" w:hAnsi="Times New Roman"/>
                <w:bCs/>
                <w:sz w:val="18"/>
                <w:szCs w:val="18"/>
              </w:rPr>
            </w:pPr>
          </w:p>
          <w:p w14:paraId="5CC47D26" w14:textId="25EAA0B9" w:rsidR="001A0B09" w:rsidRDefault="006E48EA">
            <w:pPr>
              <w:spacing w:before="0" w:after="0"/>
              <w:ind w:left="33"/>
              <w:rPr>
                <w:rFonts w:ascii="Times New Roman" w:hAnsi="Times New Roman"/>
                <w:bCs/>
                <w:sz w:val="18"/>
                <w:szCs w:val="18"/>
              </w:rPr>
            </w:pPr>
            <w:r>
              <w:rPr>
                <w:rFonts w:ascii="Times New Roman" w:hAnsi="Times New Roman"/>
                <w:bCs/>
                <w:sz w:val="18"/>
                <w:szCs w:val="18"/>
              </w:rPr>
              <w:t>Instytucje kredytowe zgłaszają również akcje spełniające wymogi określone w art. 12 ust. 1 lit. c) denominowane w innej walucie, pod warunkiem że są one uznawane za aktywa poziomu 2B wyłącznie do kwoty koniecznej do pokrycia wypływów płynności w danej walucie lub w jurysdykcji, w której podejmowane jest ryzyko płynności.</w:t>
            </w:r>
          </w:p>
          <w:p w14:paraId="790214B6" w14:textId="77777777" w:rsidR="001A0B09" w:rsidRDefault="001A0B09">
            <w:pPr>
              <w:spacing w:before="0" w:after="0"/>
              <w:ind w:left="33"/>
              <w:rPr>
                <w:rFonts w:ascii="Times New Roman" w:hAnsi="Times New Roman"/>
                <w:b/>
                <w:sz w:val="18"/>
                <w:szCs w:val="18"/>
              </w:rPr>
            </w:pPr>
          </w:p>
        </w:tc>
      </w:tr>
      <w:tr w:rsidR="001A0B09" w14:paraId="32CAB64E" w14:textId="77777777" w:rsidTr="002B73CC">
        <w:tc>
          <w:tcPr>
            <w:tcW w:w="1097" w:type="dxa"/>
            <w:shd w:val="clear" w:color="auto" w:fill="FFFFFF"/>
            <w:vAlign w:val="center"/>
          </w:tcPr>
          <w:p w14:paraId="67CF7CC7" w14:textId="77777777" w:rsidR="001A0B09" w:rsidRDefault="006E48EA">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1.2.2.8. Aktywa nieoprocentowane (będące w posiadaniu instytucji kredytowych ze względów religijnych) (CQS3–5)</w:t>
            </w:r>
          </w:p>
          <w:p w14:paraId="04F0521F" w14:textId="77777777" w:rsidR="001A0B09" w:rsidRDefault="001A0B09">
            <w:pPr>
              <w:spacing w:before="0" w:after="0"/>
              <w:ind w:left="33"/>
              <w:rPr>
                <w:rFonts w:ascii="Times New Roman" w:hAnsi="Times New Roman"/>
                <w:b/>
                <w:sz w:val="18"/>
                <w:szCs w:val="18"/>
              </w:rPr>
            </w:pPr>
          </w:p>
          <w:p w14:paraId="128B1A20" w14:textId="59DC1D37" w:rsidR="001A0B09" w:rsidRDefault="00DD4C72">
            <w:pPr>
              <w:spacing w:before="0" w:after="0"/>
              <w:ind w:left="33"/>
              <w:rPr>
                <w:rFonts w:ascii="Times New Roman" w:hAnsi="Times New Roman"/>
                <w:bCs/>
                <w:sz w:val="18"/>
                <w:szCs w:val="18"/>
              </w:rPr>
            </w:pPr>
            <w:r>
              <w:rPr>
                <w:rFonts w:ascii="Times New Roman" w:hAnsi="Times New Roman"/>
                <w:sz w:val="18"/>
                <w:szCs w:val="18"/>
              </w:rPr>
              <w:t xml:space="preserve">Art. 12 ust. 1 lit. f) </w:t>
            </w:r>
            <w:r>
              <w:rPr>
                <w:rFonts w:ascii="Times New Roman" w:hAnsi="Times New Roman"/>
                <w:bCs/>
                <w:sz w:val="18"/>
                <w:szCs w:val="18"/>
              </w:rPr>
              <w:t>rozporządzenia delegowanego (UE) 2015/61</w:t>
            </w:r>
          </w:p>
          <w:p w14:paraId="7D75ED33" w14:textId="77777777" w:rsidR="001A0B09" w:rsidRDefault="001A0B09">
            <w:pPr>
              <w:spacing w:before="0" w:after="0"/>
              <w:ind w:left="33"/>
              <w:rPr>
                <w:rFonts w:ascii="Times New Roman" w:hAnsi="Times New Roman"/>
                <w:b/>
                <w:sz w:val="18"/>
                <w:szCs w:val="18"/>
              </w:rPr>
            </w:pPr>
          </w:p>
          <w:p w14:paraId="3019CAD8" w14:textId="493C516D" w:rsidR="001A0B09" w:rsidRDefault="006E48EA">
            <w:pPr>
              <w:spacing w:before="0" w:after="0"/>
              <w:ind w:left="33"/>
              <w:rPr>
                <w:rFonts w:ascii="Times New Roman" w:hAnsi="Times New Roman"/>
                <w:sz w:val="18"/>
                <w:szCs w:val="18"/>
              </w:rPr>
            </w:pPr>
            <w:r>
              <w:rPr>
                <w:rFonts w:ascii="Times New Roman" w:hAnsi="Times New Roman"/>
                <w:sz w:val="18"/>
                <w:szCs w:val="18"/>
              </w:rPr>
              <w:t xml:space="preserve">W przypadku instytucji kredytowych, które </w:t>
            </w:r>
            <w:r>
              <w:rPr>
                <w:rFonts w:ascii="Times New Roman" w:hAnsi="Times New Roman"/>
                <w:bCs/>
                <w:sz w:val="18"/>
                <w:szCs w:val="18"/>
              </w:rPr>
              <w:t>zgodnie z</w:t>
            </w:r>
            <w:r>
              <w:rPr>
                <w:rFonts w:ascii="Times New Roman" w:hAnsi="Times New Roman"/>
                <w:sz w:val="18"/>
                <w:szCs w:val="18"/>
              </w:rPr>
              <w:t xml:space="preserve"> ich aktem założycielskim nie mogą, ze względów religijnych, posiadać aktywów oprocentowanych, aktywa nieoprocentowane stanowiące należności od banków centralnych lub rządu centralnego lub banku centralnego państwa trzeciego lub samorządu regionalnego, władz lokalnych lub podmiotu sektora publicznego w państwie trzecim lub gwarantowane przez te instytucje, pod warunkiem, że aktywa te posiadają ocenę kredytową sporządzoną przez wyznaczoną ECAI o stopniu jakości kredytowej równym co najmniej 5 zgodnie z art. 114 rozporządzenia (UE) nr 575/2013 lub o równoważnym stopniu jakości kredytowej w przypadku krótkoterminowej oceny kredytowej.</w:t>
            </w:r>
          </w:p>
          <w:p w14:paraId="68878A1F" w14:textId="77777777" w:rsidR="001A0B09" w:rsidRDefault="001A0B09">
            <w:pPr>
              <w:spacing w:before="0" w:after="0"/>
              <w:ind w:left="33"/>
              <w:rPr>
                <w:rFonts w:ascii="Times New Roman" w:hAnsi="Times New Roman"/>
                <w:b/>
                <w:sz w:val="18"/>
                <w:szCs w:val="18"/>
              </w:rPr>
            </w:pPr>
          </w:p>
        </w:tc>
      </w:tr>
      <w:tr w:rsidR="001A0B09" w14:paraId="74C4E5ED" w14:textId="77777777" w:rsidTr="002B73CC">
        <w:tc>
          <w:tcPr>
            <w:tcW w:w="1097" w:type="dxa"/>
            <w:shd w:val="clear" w:color="auto" w:fill="FFFFFF"/>
            <w:vAlign w:val="center"/>
          </w:tcPr>
          <w:p w14:paraId="25C0AF85" w14:textId="77777777" w:rsidR="001A0B09" w:rsidRDefault="006E48EA">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1.2.2.9. Instrumenty wsparcia płynności o ograniczonym zastosowaniu przyznane przez banki centralne</w:t>
            </w:r>
          </w:p>
          <w:p w14:paraId="47C95A7E" w14:textId="77777777" w:rsidR="001A0B09" w:rsidRDefault="001A0B09">
            <w:pPr>
              <w:spacing w:before="0" w:after="0"/>
              <w:ind w:left="33"/>
              <w:rPr>
                <w:rFonts w:ascii="Times New Roman" w:hAnsi="Times New Roman"/>
                <w:b/>
                <w:sz w:val="18"/>
                <w:szCs w:val="18"/>
              </w:rPr>
            </w:pPr>
          </w:p>
          <w:p w14:paraId="12A1606E" w14:textId="28B4C78B" w:rsidR="001A0B09" w:rsidRDefault="00762F31">
            <w:pPr>
              <w:spacing w:before="0" w:after="0"/>
              <w:ind w:left="33"/>
              <w:rPr>
                <w:rFonts w:ascii="Times New Roman" w:hAnsi="Times New Roman"/>
                <w:bCs/>
                <w:sz w:val="18"/>
                <w:szCs w:val="18"/>
              </w:rPr>
            </w:pPr>
            <w:r>
              <w:rPr>
                <w:rFonts w:ascii="Times New Roman" w:hAnsi="Times New Roman"/>
                <w:sz w:val="18"/>
                <w:szCs w:val="18"/>
              </w:rPr>
              <w:t xml:space="preserve">Art. 12 ust. 1 lit. d) i art. 14 </w:t>
            </w:r>
            <w:r>
              <w:rPr>
                <w:rFonts w:ascii="Times New Roman" w:hAnsi="Times New Roman"/>
                <w:bCs/>
                <w:sz w:val="18"/>
                <w:szCs w:val="18"/>
              </w:rPr>
              <w:t>rozporządzenia delegowanego (UE) 2015/61</w:t>
            </w:r>
          </w:p>
          <w:p w14:paraId="53FD0878" w14:textId="77777777" w:rsidR="001A0B09" w:rsidRDefault="001A0B09">
            <w:pPr>
              <w:spacing w:before="0" w:after="0"/>
              <w:ind w:left="33"/>
              <w:rPr>
                <w:rFonts w:ascii="Times New Roman" w:hAnsi="Times New Roman"/>
                <w:sz w:val="18"/>
                <w:szCs w:val="18"/>
              </w:rPr>
            </w:pPr>
          </w:p>
          <w:p w14:paraId="2D3AB963" w14:textId="3A57DAC4" w:rsidR="001A0B09" w:rsidRDefault="006E48EA">
            <w:pPr>
              <w:spacing w:before="0" w:after="0"/>
              <w:ind w:left="33"/>
              <w:rPr>
                <w:rFonts w:ascii="Times New Roman" w:hAnsi="Times New Roman"/>
                <w:bCs/>
                <w:sz w:val="18"/>
                <w:szCs w:val="18"/>
              </w:rPr>
            </w:pPr>
            <w:r>
              <w:rPr>
                <w:rFonts w:ascii="Times New Roman" w:hAnsi="Times New Roman"/>
                <w:sz w:val="18"/>
                <w:szCs w:val="18"/>
              </w:rPr>
              <w:t xml:space="preserve">Niewykorzystana kwota nieodwoływalnych instrumentów wsparcia płynności o ograniczonym zastosowaniu zapewnianych przez banki centralne, spełniających wymogi określone w art. 14 </w:t>
            </w:r>
            <w:r>
              <w:rPr>
                <w:rFonts w:ascii="Times New Roman" w:hAnsi="Times New Roman"/>
                <w:bCs/>
                <w:sz w:val="18"/>
                <w:szCs w:val="18"/>
              </w:rPr>
              <w:t>rozporządzenia delegowanego (UE) 2015/61.</w:t>
            </w:r>
          </w:p>
          <w:p w14:paraId="40E6E3FB" w14:textId="77777777" w:rsidR="001A0B09" w:rsidRDefault="001A0B09">
            <w:pPr>
              <w:spacing w:before="0" w:after="0"/>
              <w:ind w:left="33"/>
              <w:rPr>
                <w:rFonts w:ascii="Times New Roman" w:hAnsi="Times New Roman"/>
                <w:b/>
                <w:sz w:val="18"/>
                <w:szCs w:val="18"/>
              </w:rPr>
            </w:pPr>
          </w:p>
        </w:tc>
      </w:tr>
      <w:tr w:rsidR="001A0B09" w14:paraId="2FC81458" w14:textId="77777777" w:rsidTr="002B73CC">
        <w:tc>
          <w:tcPr>
            <w:tcW w:w="1097" w:type="dxa"/>
            <w:shd w:val="clear" w:color="auto" w:fill="FFFFFF"/>
            <w:vAlign w:val="center"/>
          </w:tcPr>
          <w:p w14:paraId="40B5BBD2" w14:textId="77777777" w:rsidR="001A0B09"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1.2.2.10. Kwalifikujące się udziały lub jednostki uczestnictwa w przedsiębiorstwach zbiorowego inwestowania: instrument bazowy stanowią papiery wartościowe zabezpieczone aktywami (kredytami na nieruchomości mieszkalne lub kredytami na zakup samochodów, CQS1)</w:t>
            </w:r>
          </w:p>
          <w:p w14:paraId="0AC07B90" w14:textId="77777777" w:rsidR="001A0B09" w:rsidRDefault="001A0B09">
            <w:pPr>
              <w:spacing w:before="0" w:after="0"/>
              <w:ind w:left="33"/>
              <w:rPr>
                <w:rFonts w:ascii="Times New Roman" w:hAnsi="Times New Roman"/>
                <w:b/>
                <w:sz w:val="18"/>
                <w:szCs w:val="18"/>
              </w:rPr>
            </w:pPr>
          </w:p>
          <w:p w14:paraId="15510387" w14:textId="0CED0C03" w:rsidR="001A0B09" w:rsidRDefault="00DD4C72">
            <w:pPr>
              <w:spacing w:before="0" w:after="0"/>
              <w:ind w:left="33"/>
              <w:rPr>
                <w:rFonts w:ascii="Times New Roman" w:hAnsi="Times New Roman"/>
                <w:b/>
                <w:bCs/>
                <w:sz w:val="18"/>
                <w:szCs w:val="18"/>
              </w:rPr>
            </w:pPr>
            <w:r>
              <w:rPr>
                <w:rFonts w:ascii="Times New Roman" w:hAnsi="Times New Roman"/>
                <w:sz w:val="18"/>
                <w:szCs w:val="18"/>
              </w:rPr>
              <w:t xml:space="preserve">Art. 15 ust. 2 lit. e) </w:t>
            </w:r>
            <w:r>
              <w:rPr>
                <w:rFonts w:ascii="Times New Roman" w:hAnsi="Times New Roman"/>
                <w:bCs/>
                <w:sz w:val="18"/>
                <w:szCs w:val="18"/>
              </w:rPr>
              <w:t>rozporządzenia delegowanego (UE) 2015/61</w:t>
            </w:r>
          </w:p>
          <w:p w14:paraId="60011F11" w14:textId="77777777" w:rsidR="001A0B09" w:rsidRDefault="001A0B09">
            <w:pPr>
              <w:spacing w:before="0" w:after="0"/>
              <w:ind w:left="33"/>
              <w:rPr>
                <w:rFonts w:ascii="Times New Roman" w:hAnsi="Times New Roman"/>
                <w:sz w:val="18"/>
                <w:szCs w:val="18"/>
              </w:rPr>
            </w:pPr>
          </w:p>
          <w:p w14:paraId="2611C4E4" w14:textId="7CE1395B" w:rsidR="001A0B09" w:rsidRDefault="006E48EA">
            <w:pPr>
              <w:spacing w:before="0" w:after="0"/>
              <w:ind w:left="33"/>
              <w:rPr>
                <w:rFonts w:ascii="Times New Roman" w:hAnsi="Times New Roman"/>
                <w:sz w:val="18"/>
                <w:szCs w:val="18"/>
              </w:rPr>
            </w:pPr>
            <w:r>
              <w:rPr>
                <w:rFonts w:ascii="Times New Roman" w:hAnsi="Times New Roman"/>
                <w:sz w:val="18"/>
                <w:szCs w:val="18"/>
              </w:rPr>
              <w:t>Udziały lub jednostki uczestnictwa w przedsiębiorstwach zbiorowego inwestowania, których aktywa bazowe odpowiadają aktywom kwalifikującym się jako aktywa poziomu 2B określone w art. 13 ust. 2 lit. g) ppkt (i), (ii) i (iv) rozporządzenia delegowanego (UE) 2015/61.</w:t>
            </w:r>
          </w:p>
          <w:p w14:paraId="12BB2005" w14:textId="77777777" w:rsidR="001A0B09" w:rsidRDefault="001A0B09">
            <w:pPr>
              <w:spacing w:before="0" w:after="0"/>
              <w:ind w:left="33"/>
              <w:rPr>
                <w:rFonts w:ascii="Times New Roman" w:hAnsi="Times New Roman"/>
                <w:b/>
                <w:sz w:val="18"/>
                <w:szCs w:val="18"/>
              </w:rPr>
            </w:pPr>
          </w:p>
        </w:tc>
      </w:tr>
      <w:tr w:rsidR="001A0B09" w14:paraId="778F6E7F" w14:textId="77777777" w:rsidTr="002B73CC">
        <w:tc>
          <w:tcPr>
            <w:tcW w:w="1097" w:type="dxa"/>
            <w:shd w:val="clear" w:color="auto" w:fill="FFFFFF"/>
            <w:vAlign w:val="center"/>
          </w:tcPr>
          <w:p w14:paraId="29C1341C" w14:textId="77777777" w:rsidR="001A0B09"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1.2.2.11. Kwalifikujące się udziały lub jednostki uczestnictwa w przedsiębiorstwach zbiorowego inwestowania: instrument bazowy stanowią obligacje zabezpieczone charakteryzujące się wysoką jakością (waga ryzyka równa 35 % lub niższa)</w:t>
            </w:r>
          </w:p>
          <w:p w14:paraId="2D2596E8" w14:textId="77777777" w:rsidR="001A0B09" w:rsidRDefault="001A0B09">
            <w:pPr>
              <w:spacing w:before="0" w:after="0"/>
              <w:ind w:left="33"/>
              <w:rPr>
                <w:rFonts w:ascii="Times New Roman" w:hAnsi="Times New Roman"/>
                <w:b/>
                <w:sz w:val="18"/>
                <w:szCs w:val="18"/>
              </w:rPr>
            </w:pPr>
          </w:p>
          <w:p w14:paraId="161B033F" w14:textId="419EE292" w:rsidR="001A0B09" w:rsidRDefault="00DD4C72">
            <w:pPr>
              <w:spacing w:before="0" w:after="0"/>
              <w:ind w:left="33"/>
              <w:rPr>
                <w:rFonts w:ascii="Times New Roman" w:hAnsi="Times New Roman"/>
                <w:b/>
                <w:bCs/>
                <w:sz w:val="18"/>
                <w:szCs w:val="18"/>
              </w:rPr>
            </w:pPr>
            <w:r>
              <w:rPr>
                <w:rFonts w:ascii="Times New Roman" w:hAnsi="Times New Roman"/>
                <w:sz w:val="18"/>
                <w:szCs w:val="18"/>
              </w:rPr>
              <w:t xml:space="preserve">Art. 15 ust. 2 lit. f) </w:t>
            </w:r>
            <w:r>
              <w:rPr>
                <w:rFonts w:ascii="Times New Roman" w:hAnsi="Times New Roman"/>
                <w:bCs/>
                <w:sz w:val="18"/>
                <w:szCs w:val="18"/>
              </w:rPr>
              <w:t>rozporządzenia delegowanego (UE) 2015/61</w:t>
            </w:r>
          </w:p>
          <w:p w14:paraId="25584DDF" w14:textId="77777777" w:rsidR="001A0B09" w:rsidRDefault="001A0B09">
            <w:pPr>
              <w:spacing w:before="0" w:after="0"/>
              <w:ind w:left="33"/>
              <w:rPr>
                <w:rFonts w:ascii="Times New Roman" w:hAnsi="Times New Roman"/>
                <w:sz w:val="18"/>
                <w:szCs w:val="18"/>
              </w:rPr>
            </w:pPr>
          </w:p>
          <w:p w14:paraId="47B03083" w14:textId="27EF6946" w:rsidR="001A0B09" w:rsidRDefault="006E48EA">
            <w:pPr>
              <w:spacing w:before="0" w:after="0"/>
              <w:ind w:left="33"/>
              <w:rPr>
                <w:rFonts w:ascii="Times New Roman" w:hAnsi="Times New Roman"/>
                <w:sz w:val="18"/>
                <w:szCs w:val="18"/>
              </w:rPr>
            </w:pPr>
            <w:r>
              <w:rPr>
                <w:rFonts w:ascii="Times New Roman" w:hAnsi="Times New Roman"/>
                <w:sz w:val="18"/>
                <w:szCs w:val="18"/>
              </w:rPr>
              <w:t>Udziały lub jednostki uczestnictwa w przedsiębiorstwach zbiorowego inwestowania, których aktywa bazowe odpowiadają aktywom kwalifikującym się jako aktywa poziomu 2B określone w art. 12 ust. 1 lit. e) rozporządzenia delegowanego (UE) 2015/61.</w:t>
            </w:r>
          </w:p>
          <w:p w14:paraId="4D41FCE3" w14:textId="77777777" w:rsidR="001A0B09" w:rsidRDefault="001A0B09">
            <w:pPr>
              <w:spacing w:before="0" w:after="0"/>
              <w:ind w:left="33"/>
              <w:rPr>
                <w:rFonts w:ascii="Times New Roman" w:hAnsi="Times New Roman"/>
                <w:b/>
                <w:sz w:val="18"/>
                <w:szCs w:val="18"/>
              </w:rPr>
            </w:pPr>
          </w:p>
        </w:tc>
      </w:tr>
      <w:tr w:rsidR="001A0B09" w14:paraId="544000AE" w14:textId="77777777" w:rsidTr="002B73CC">
        <w:tc>
          <w:tcPr>
            <w:tcW w:w="1097" w:type="dxa"/>
            <w:shd w:val="clear" w:color="auto" w:fill="FFFFFF"/>
            <w:vAlign w:val="center"/>
          </w:tcPr>
          <w:p w14:paraId="548EFCC4" w14:textId="77777777" w:rsidR="001A0B09"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1.2.2.12. Kwalifikujące się udziały lub jednostki uczestnictwa w przedsiębiorstwach zbiorowego inwestowania: instrument bazowy stanowią papiery wartościowe zabezpieczone aktywami (kredyty komercyjne lub dla osób fizycznych, państwo członkowskie, CQS1)</w:t>
            </w:r>
          </w:p>
          <w:p w14:paraId="36088A39" w14:textId="77777777" w:rsidR="001A0B09" w:rsidRDefault="001A0B09">
            <w:pPr>
              <w:spacing w:before="0" w:after="0"/>
              <w:ind w:left="33"/>
              <w:rPr>
                <w:rFonts w:ascii="Times New Roman" w:hAnsi="Times New Roman"/>
                <w:b/>
                <w:sz w:val="18"/>
                <w:szCs w:val="18"/>
              </w:rPr>
            </w:pPr>
          </w:p>
          <w:p w14:paraId="00AB6AD4" w14:textId="2EF730AC" w:rsidR="001A0B09" w:rsidRDefault="00DD4C72">
            <w:pPr>
              <w:spacing w:before="0" w:after="0"/>
              <w:ind w:left="33"/>
              <w:rPr>
                <w:rFonts w:ascii="Times New Roman" w:hAnsi="Times New Roman"/>
                <w:b/>
                <w:bCs/>
                <w:sz w:val="18"/>
                <w:szCs w:val="18"/>
              </w:rPr>
            </w:pPr>
            <w:r>
              <w:rPr>
                <w:rFonts w:ascii="Times New Roman" w:hAnsi="Times New Roman"/>
                <w:sz w:val="18"/>
                <w:szCs w:val="18"/>
              </w:rPr>
              <w:t xml:space="preserve">Art. 15 ust. 2 lit. g) </w:t>
            </w:r>
            <w:r>
              <w:rPr>
                <w:rFonts w:ascii="Times New Roman" w:hAnsi="Times New Roman"/>
                <w:bCs/>
                <w:sz w:val="18"/>
                <w:szCs w:val="18"/>
              </w:rPr>
              <w:t>rozporządzenia delegowanego (UE) 2015/61</w:t>
            </w:r>
          </w:p>
          <w:p w14:paraId="4B2DEA62" w14:textId="77777777" w:rsidR="001A0B09" w:rsidRDefault="001A0B09">
            <w:pPr>
              <w:spacing w:before="0" w:after="0"/>
              <w:ind w:left="33"/>
              <w:rPr>
                <w:rFonts w:ascii="Times New Roman" w:hAnsi="Times New Roman"/>
                <w:sz w:val="18"/>
                <w:szCs w:val="18"/>
              </w:rPr>
            </w:pPr>
          </w:p>
          <w:p w14:paraId="3B858141" w14:textId="2E942382" w:rsidR="001A0B09" w:rsidRDefault="006E48EA">
            <w:pPr>
              <w:spacing w:before="0" w:after="0"/>
              <w:ind w:left="33"/>
              <w:rPr>
                <w:rFonts w:ascii="Times New Roman" w:hAnsi="Times New Roman"/>
                <w:sz w:val="18"/>
                <w:szCs w:val="18"/>
              </w:rPr>
            </w:pPr>
            <w:r>
              <w:rPr>
                <w:rFonts w:ascii="Times New Roman" w:hAnsi="Times New Roman"/>
                <w:sz w:val="18"/>
                <w:szCs w:val="18"/>
              </w:rPr>
              <w:t xml:space="preserve">Udziały lub jednostki uczestnictwa w przedsiębiorstwach zbiorowego inwestowania, których aktywa bazowe odpowiadają aktywom kwalifikującym się jako aktywa poziomu 2B określone w art. 13 ust. 2 lit. g) ppkt (iii) i (v) rozporządzenia delegowanego (UE) 2015/61. Należy wziąć </w:t>
            </w:r>
            <w:r>
              <w:rPr>
                <w:rFonts w:ascii="Times New Roman" w:hAnsi="Times New Roman"/>
                <w:sz w:val="18"/>
                <w:szCs w:val="18"/>
              </w:rPr>
              <w:lastRenderedPageBreak/>
              <w:t>pod uwagę fakt, że do celów art. 13 ust. 2 lit. g) ppkt (iii) w momencie emisji sekurytyzacji co najmniej 80 % kredytobiorców w danej puli muszą stanowić MŚP.</w:t>
            </w:r>
          </w:p>
          <w:p w14:paraId="0BBC5CC7" w14:textId="77777777" w:rsidR="001A0B09" w:rsidRDefault="001A0B09">
            <w:pPr>
              <w:spacing w:before="0" w:after="0"/>
              <w:ind w:left="33"/>
              <w:rPr>
                <w:rFonts w:ascii="Times New Roman" w:hAnsi="Times New Roman"/>
                <w:b/>
                <w:sz w:val="18"/>
                <w:szCs w:val="18"/>
              </w:rPr>
            </w:pPr>
          </w:p>
        </w:tc>
      </w:tr>
      <w:tr w:rsidR="001A0B09" w14:paraId="75678763" w14:textId="77777777" w:rsidTr="002B73CC">
        <w:tc>
          <w:tcPr>
            <w:tcW w:w="1097" w:type="dxa"/>
            <w:shd w:val="clear" w:color="auto" w:fill="FFFFFF"/>
            <w:vAlign w:val="center"/>
          </w:tcPr>
          <w:p w14:paraId="3666EA81" w14:textId="77777777" w:rsidR="001A0B09" w:rsidRDefault="006E48EA">
            <w:pPr>
              <w:rPr>
                <w:rFonts w:ascii="Times New Roman" w:hAnsi="Times New Roman"/>
                <w:sz w:val="18"/>
                <w:szCs w:val="18"/>
              </w:rPr>
            </w:pPr>
            <w:r>
              <w:rPr>
                <w:rFonts w:ascii="Times New Roman" w:hAnsi="Times New Roman"/>
                <w:sz w:val="18"/>
                <w:szCs w:val="18"/>
              </w:rPr>
              <w:lastRenderedPageBreak/>
              <w:t>440</w:t>
            </w:r>
          </w:p>
        </w:tc>
        <w:tc>
          <w:tcPr>
            <w:tcW w:w="7125" w:type="dxa"/>
            <w:gridSpan w:val="2"/>
            <w:shd w:val="clear" w:color="auto" w:fill="FFFFFF"/>
          </w:tcPr>
          <w:p w14:paraId="253F21CB"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1.2.2.13. Kwalifikujące się udziały lub jednostki uczestnictwa w przedsiębiorstwach zbiorowego inwestowania: instrument bazowy stanowią papiery dłużne przedsiębiorstw (CQS2/3), akcje (główny indeks giełdowy) lub aktywa nieoprocentowane (będące w posiadaniu instytucji kredytowych ze względów religijnych) (CQS3–5)</w:t>
            </w:r>
          </w:p>
          <w:p w14:paraId="020034CD" w14:textId="77777777" w:rsidR="001A0B09" w:rsidRDefault="001A0B09">
            <w:pPr>
              <w:spacing w:before="0" w:after="0"/>
              <w:ind w:left="33"/>
              <w:rPr>
                <w:rFonts w:ascii="Times New Roman" w:hAnsi="Times New Roman"/>
                <w:b/>
                <w:sz w:val="18"/>
                <w:szCs w:val="18"/>
              </w:rPr>
            </w:pPr>
          </w:p>
          <w:p w14:paraId="5CF65DF5" w14:textId="0467921C" w:rsidR="001A0B09" w:rsidRDefault="00DD4C72">
            <w:pPr>
              <w:spacing w:before="0" w:after="0"/>
              <w:ind w:left="33"/>
              <w:rPr>
                <w:rFonts w:ascii="Times New Roman" w:hAnsi="Times New Roman"/>
                <w:b/>
                <w:bCs/>
                <w:sz w:val="18"/>
                <w:szCs w:val="18"/>
              </w:rPr>
            </w:pPr>
            <w:r>
              <w:rPr>
                <w:rFonts w:ascii="Times New Roman" w:hAnsi="Times New Roman"/>
                <w:sz w:val="18"/>
                <w:szCs w:val="18"/>
              </w:rPr>
              <w:t xml:space="preserve">Art. 15 ust. 2 lit. h) </w:t>
            </w:r>
            <w:r>
              <w:rPr>
                <w:rFonts w:ascii="Times New Roman" w:hAnsi="Times New Roman"/>
                <w:bCs/>
                <w:sz w:val="18"/>
                <w:szCs w:val="18"/>
              </w:rPr>
              <w:t>rozporządzenia delegowanego (UE) 2015/61</w:t>
            </w:r>
          </w:p>
          <w:p w14:paraId="727F76C4" w14:textId="77777777" w:rsidR="001A0B09" w:rsidRDefault="001A0B09">
            <w:pPr>
              <w:spacing w:before="0" w:after="0"/>
              <w:ind w:left="33"/>
              <w:rPr>
                <w:rFonts w:ascii="Times New Roman" w:hAnsi="Times New Roman"/>
                <w:sz w:val="18"/>
                <w:szCs w:val="18"/>
              </w:rPr>
            </w:pPr>
          </w:p>
          <w:p w14:paraId="1EFC2A3A" w14:textId="0966A868" w:rsidR="001A0B09" w:rsidRDefault="006E48EA">
            <w:pPr>
              <w:spacing w:before="0" w:after="0"/>
              <w:ind w:left="33"/>
              <w:rPr>
                <w:rFonts w:ascii="Times New Roman" w:hAnsi="Times New Roman"/>
                <w:sz w:val="18"/>
                <w:szCs w:val="18"/>
              </w:rPr>
            </w:pPr>
            <w:r>
              <w:rPr>
                <w:rFonts w:ascii="Times New Roman" w:hAnsi="Times New Roman"/>
                <w:sz w:val="18"/>
                <w:szCs w:val="18"/>
              </w:rPr>
              <w:t>Udziały lub jednostki uczestnictwa w przedsiębiorstwach zbiorowego inwestowania, których aktywa bazowe odpowiadają papierom dłużnym przedsiębiorstw zgodnym z art. 12 ust. 1 lit. b) rozporządzenia delegowanego (UE) 2015/61, udziałom zgodnym z art. 12 ust. 1 lit. c) przedmiotowego rozporządzenia lub aktywom nieoprocentowanym zgodnym z art. 12 ust. 1 lit. f) przedmiotowego rozporządzenia.</w:t>
            </w:r>
          </w:p>
          <w:p w14:paraId="4AECB1A3" w14:textId="77777777" w:rsidR="001A0B09" w:rsidRDefault="001A0B09">
            <w:pPr>
              <w:spacing w:before="0" w:after="0"/>
              <w:ind w:left="33"/>
              <w:rPr>
                <w:rFonts w:ascii="Times New Roman" w:hAnsi="Times New Roman"/>
                <w:b/>
                <w:sz w:val="18"/>
                <w:szCs w:val="18"/>
              </w:rPr>
            </w:pPr>
          </w:p>
        </w:tc>
      </w:tr>
      <w:tr w:rsidR="001A0B09" w14:paraId="77725235" w14:textId="77777777" w:rsidTr="002B73CC">
        <w:tc>
          <w:tcPr>
            <w:tcW w:w="1097" w:type="dxa"/>
            <w:shd w:val="clear" w:color="auto" w:fill="FFFFFF"/>
            <w:vAlign w:val="center"/>
          </w:tcPr>
          <w:p w14:paraId="1FC1E49E" w14:textId="77777777" w:rsidR="001A0B09" w:rsidRDefault="006E48EA">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1.2.2.14. Depozyty członka sieci zdeponowane w instytucji centralnej (brak obowiązkowego inwestowania w aktywa płynne)</w:t>
            </w:r>
          </w:p>
          <w:p w14:paraId="0F09FD7B" w14:textId="77777777" w:rsidR="001A0B09" w:rsidRDefault="001A0B09">
            <w:pPr>
              <w:spacing w:before="0" w:after="0"/>
              <w:ind w:left="33"/>
              <w:rPr>
                <w:rFonts w:ascii="Times New Roman" w:hAnsi="Times New Roman"/>
                <w:b/>
                <w:sz w:val="18"/>
                <w:szCs w:val="18"/>
              </w:rPr>
            </w:pPr>
          </w:p>
          <w:p w14:paraId="0D4E0CA9" w14:textId="2DDD3FBB" w:rsidR="001A0B09" w:rsidRDefault="00DD4C72">
            <w:pPr>
              <w:spacing w:before="0" w:after="0"/>
              <w:ind w:left="33"/>
              <w:rPr>
                <w:rFonts w:ascii="Times New Roman" w:hAnsi="Times New Roman"/>
                <w:b/>
                <w:bCs/>
                <w:sz w:val="18"/>
                <w:szCs w:val="18"/>
              </w:rPr>
            </w:pPr>
            <w:r>
              <w:rPr>
                <w:rFonts w:ascii="Times New Roman" w:hAnsi="Times New Roman"/>
                <w:sz w:val="18"/>
                <w:szCs w:val="18"/>
              </w:rPr>
              <w:t xml:space="preserve">Art. 16 ust. 1 lit. b) </w:t>
            </w:r>
            <w:r>
              <w:rPr>
                <w:rFonts w:ascii="Times New Roman" w:hAnsi="Times New Roman"/>
                <w:bCs/>
                <w:sz w:val="18"/>
                <w:szCs w:val="18"/>
              </w:rPr>
              <w:t>rozporządzenia delegowanego (UE) 2015/61</w:t>
            </w:r>
          </w:p>
          <w:p w14:paraId="064872FC" w14:textId="77777777" w:rsidR="001A0B09" w:rsidRDefault="001A0B09">
            <w:pPr>
              <w:spacing w:before="0" w:after="0"/>
              <w:ind w:left="33"/>
              <w:rPr>
                <w:rFonts w:ascii="Times New Roman" w:hAnsi="Times New Roman"/>
                <w:sz w:val="18"/>
                <w:szCs w:val="18"/>
              </w:rPr>
            </w:pPr>
          </w:p>
          <w:p w14:paraId="246FDAE1" w14:textId="77777777" w:rsidR="001A0B09" w:rsidRDefault="006E48EA">
            <w:pPr>
              <w:spacing w:before="0" w:after="0"/>
              <w:ind w:left="33"/>
              <w:rPr>
                <w:rFonts w:ascii="Times New Roman" w:hAnsi="Times New Roman"/>
                <w:sz w:val="18"/>
                <w:szCs w:val="18"/>
              </w:rPr>
            </w:pPr>
            <w:r>
              <w:rPr>
                <w:rFonts w:ascii="Times New Roman" w:hAnsi="Times New Roman"/>
                <w:sz w:val="18"/>
                <w:szCs w:val="18"/>
              </w:rPr>
              <w:t>Minimalny depozyt utrzymywany przez instytucję kredytową w centralnej instytucji kredytowej, pod warunkiem, że instytucja kredytowa należy do instytucjonalnego systemu ochrony, o którym mowa w art. 113 ust. 7 rozporządzenia (UE) nr 575/2013, do sieci kwalifikującej się do objęcia odstępstwem przewidzianym w art. 10 rozporządzenia (UE) nr 575/2013 lub do sieci współpracy w państwie członkowskim, regulowany przepisami prawa lub postanowieniami umowy.</w:t>
            </w:r>
          </w:p>
          <w:p w14:paraId="722CBF74" w14:textId="77777777" w:rsidR="001A0B09" w:rsidRDefault="001A0B09">
            <w:pPr>
              <w:spacing w:before="0" w:after="0"/>
              <w:ind w:left="33"/>
              <w:rPr>
                <w:rFonts w:ascii="Times New Roman" w:hAnsi="Times New Roman"/>
                <w:sz w:val="18"/>
                <w:szCs w:val="18"/>
              </w:rPr>
            </w:pPr>
          </w:p>
          <w:p w14:paraId="39B9BD8D" w14:textId="77777777" w:rsidR="001A0B09" w:rsidRDefault="006E48EA">
            <w:pPr>
              <w:spacing w:before="0" w:after="0"/>
              <w:ind w:left="33"/>
              <w:rPr>
                <w:rFonts w:ascii="Times New Roman" w:hAnsi="Times New Roman"/>
                <w:sz w:val="18"/>
                <w:szCs w:val="18"/>
              </w:rPr>
            </w:pPr>
            <w:r>
              <w:rPr>
                <w:rFonts w:ascii="Times New Roman" w:hAnsi="Times New Roman"/>
                <w:sz w:val="18"/>
                <w:szCs w:val="18"/>
              </w:rPr>
              <w:t>Instytucja kredytowa zapewnia, że instytucja centralna nie podlega żadnym zobowiązaniom prawnym ani umownym w zakresie przechowywania depozytów lub ich inwestowania w aktywa płynne określonego poziomu lub określonej kategorii.</w:t>
            </w:r>
          </w:p>
          <w:p w14:paraId="25A9A02B" w14:textId="77777777" w:rsidR="001A0B09" w:rsidRDefault="001A0B09">
            <w:pPr>
              <w:spacing w:before="0" w:after="0"/>
              <w:ind w:left="33"/>
              <w:rPr>
                <w:rFonts w:ascii="Times New Roman" w:hAnsi="Times New Roman"/>
                <w:sz w:val="18"/>
                <w:szCs w:val="18"/>
              </w:rPr>
            </w:pPr>
          </w:p>
        </w:tc>
      </w:tr>
      <w:tr w:rsidR="001A0B09" w14:paraId="6EE26AD3" w14:textId="77777777" w:rsidTr="002B73CC">
        <w:tc>
          <w:tcPr>
            <w:tcW w:w="1097" w:type="dxa"/>
            <w:shd w:val="clear" w:color="auto" w:fill="FFFFFF"/>
            <w:vAlign w:val="center"/>
          </w:tcPr>
          <w:p w14:paraId="77C8AB1E" w14:textId="77777777" w:rsidR="001A0B09" w:rsidRDefault="006E48EA">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1.2.2.15. Środki na finansowanie płynności od instytucji centralnej dostępne dla członka sieci (niezabezpieczone aktywami płynnymi określonego poziomu lub kategorii)</w:t>
            </w:r>
          </w:p>
          <w:p w14:paraId="522CD084" w14:textId="77777777" w:rsidR="001A0B09" w:rsidRDefault="001A0B09">
            <w:pPr>
              <w:spacing w:before="0" w:after="0"/>
              <w:ind w:left="33"/>
              <w:rPr>
                <w:rFonts w:ascii="Times New Roman" w:hAnsi="Times New Roman"/>
                <w:b/>
                <w:sz w:val="18"/>
                <w:szCs w:val="18"/>
              </w:rPr>
            </w:pPr>
          </w:p>
          <w:p w14:paraId="1C484A72" w14:textId="1BE2C22D" w:rsidR="001A0B09" w:rsidRDefault="006E48EA">
            <w:pPr>
              <w:spacing w:before="0" w:after="0"/>
              <w:ind w:left="33"/>
              <w:rPr>
                <w:rFonts w:ascii="Times New Roman" w:hAnsi="Times New Roman"/>
                <w:b/>
                <w:bCs/>
                <w:sz w:val="18"/>
                <w:szCs w:val="18"/>
              </w:rPr>
            </w:pPr>
            <w:r>
              <w:rPr>
                <w:rFonts w:ascii="Times New Roman" w:hAnsi="Times New Roman"/>
                <w:sz w:val="18"/>
                <w:szCs w:val="18"/>
              </w:rPr>
              <w:t xml:space="preserve">Art. 16 ust. 2 </w:t>
            </w:r>
            <w:r>
              <w:rPr>
                <w:rFonts w:ascii="Times New Roman" w:hAnsi="Times New Roman"/>
                <w:bCs/>
                <w:sz w:val="18"/>
                <w:szCs w:val="18"/>
              </w:rPr>
              <w:t>rozporządzenia delegowanego (UE) 2015/61</w:t>
            </w:r>
          </w:p>
          <w:p w14:paraId="1C5CBFDF" w14:textId="77777777" w:rsidR="001A0B09" w:rsidRDefault="001A0B09">
            <w:pPr>
              <w:spacing w:before="0" w:after="0"/>
              <w:ind w:left="33"/>
              <w:rPr>
                <w:rFonts w:ascii="Times New Roman" w:hAnsi="Times New Roman"/>
                <w:sz w:val="18"/>
                <w:szCs w:val="18"/>
              </w:rPr>
            </w:pPr>
          </w:p>
          <w:p w14:paraId="2D399A4A" w14:textId="62325935" w:rsidR="001A0B09" w:rsidRDefault="006E48EA">
            <w:pPr>
              <w:spacing w:before="0" w:after="0"/>
              <w:ind w:left="33"/>
              <w:rPr>
                <w:rFonts w:ascii="Times New Roman" w:hAnsi="Times New Roman"/>
                <w:sz w:val="18"/>
                <w:szCs w:val="18"/>
              </w:rPr>
            </w:pPr>
            <w:r>
              <w:rPr>
                <w:rFonts w:ascii="Times New Roman" w:hAnsi="Times New Roman"/>
                <w:sz w:val="18"/>
                <w:szCs w:val="18"/>
              </w:rPr>
              <w:t xml:space="preserve">Niewykorzystana kwota ograniczonych środków na finansowanie płynności, które spełniają wymogi określone w art. 16 ust. 2 </w:t>
            </w:r>
            <w:r>
              <w:rPr>
                <w:rFonts w:ascii="Times New Roman" w:hAnsi="Times New Roman"/>
                <w:bCs/>
                <w:sz w:val="18"/>
                <w:szCs w:val="18"/>
              </w:rPr>
              <w:t>rozporządzenia delegowanego (UE) 2015/61.</w:t>
            </w:r>
          </w:p>
          <w:p w14:paraId="15E0DF47" w14:textId="77777777" w:rsidR="001A0B09" w:rsidRDefault="001A0B09">
            <w:pPr>
              <w:spacing w:before="0" w:after="0"/>
              <w:ind w:left="33"/>
              <w:rPr>
                <w:rFonts w:ascii="Times New Roman" w:hAnsi="Times New Roman"/>
                <w:b/>
                <w:sz w:val="18"/>
                <w:szCs w:val="18"/>
              </w:rPr>
            </w:pPr>
          </w:p>
        </w:tc>
      </w:tr>
      <w:tr w:rsidR="001A0B09" w14:paraId="25E975B3" w14:textId="77777777" w:rsidTr="002B73CC">
        <w:tc>
          <w:tcPr>
            <w:tcW w:w="1097" w:type="dxa"/>
            <w:shd w:val="clear" w:color="auto" w:fill="FFFFFF"/>
            <w:vAlign w:val="center"/>
          </w:tcPr>
          <w:p w14:paraId="7F291E27" w14:textId="77777777" w:rsidR="001A0B09"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1A0B09" w:rsidRDefault="006E48EA">
            <w:pPr>
              <w:spacing w:before="0" w:after="0"/>
              <w:ind w:left="33"/>
              <w:rPr>
                <w:rFonts w:ascii="Times New Roman" w:hAnsi="Times New Roman"/>
                <w:b/>
                <w:sz w:val="18"/>
                <w:szCs w:val="18"/>
              </w:rPr>
            </w:pPr>
            <w:r>
              <w:rPr>
                <w:rFonts w:ascii="Times New Roman" w:hAnsi="Times New Roman"/>
                <w:b/>
                <w:sz w:val="18"/>
                <w:szCs w:val="18"/>
              </w:rPr>
              <w:t>1.2.2.16. Instytucje centralne: aktywa poziomu 2B, które deponująca instytucja kredytowa uznaje za aktywa płynne</w:t>
            </w:r>
          </w:p>
          <w:p w14:paraId="52E203B4" w14:textId="77777777" w:rsidR="001A0B09" w:rsidRDefault="001A0B09">
            <w:pPr>
              <w:spacing w:before="0" w:after="0"/>
              <w:ind w:left="33"/>
              <w:rPr>
                <w:rFonts w:ascii="Times New Roman" w:hAnsi="Times New Roman"/>
                <w:sz w:val="18"/>
                <w:szCs w:val="18"/>
              </w:rPr>
            </w:pPr>
          </w:p>
          <w:p w14:paraId="43B4FA57" w14:textId="1AB5970F" w:rsidR="001A0B09" w:rsidRDefault="006E48EA">
            <w:pPr>
              <w:spacing w:before="0" w:after="0"/>
              <w:ind w:left="33"/>
              <w:rPr>
                <w:rFonts w:ascii="Times New Roman" w:hAnsi="Times New Roman"/>
                <w:bCs/>
                <w:sz w:val="18"/>
                <w:szCs w:val="18"/>
              </w:rPr>
            </w:pPr>
            <w:r>
              <w:rPr>
                <w:rFonts w:ascii="Times New Roman" w:hAnsi="Times New Roman"/>
                <w:sz w:val="18"/>
                <w:szCs w:val="18"/>
              </w:rPr>
              <w:t>Art. 27 ust. 3 rozporządzenia delegowanego (UE) 2015/61</w:t>
            </w:r>
          </w:p>
          <w:p w14:paraId="10F4AF4E" w14:textId="77777777" w:rsidR="001A0B09" w:rsidRDefault="001A0B09">
            <w:pPr>
              <w:spacing w:before="0" w:after="0"/>
              <w:ind w:left="33"/>
              <w:rPr>
                <w:rFonts w:ascii="Times New Roman" w:hAnsi="Times New Roman"/>
                <w:sz w:val="18"/>
                <w:szCs w:val="18"/>
              </w:rPr>
            </w:pPr>
          </w:p>
          <w:p w14:paraId="15F5F2B2" w14:textId="39ED2491" w:rsidR="001A0B09" w:rsidRDefault="006E48EA">
            <w:pPr>
              <w:spacing w:before="0" w:after="0"/>
              <w:ind w:left="33"/>
              <w:rPr>
                <w:rFonts w:ascii="Times New Roman" w:hAnsi="Times New Roman"/>
                <w:sz w:val="18"/>
                <w:szCs w:val="18"/>
              </w:rPr>
            </w:pPr>
            <w:r>
              <w:rPr>
                <w:rFonts w:ascii="Times New Roman" w:hAnsi="Times New Roman"/>
                <w:sz w:val="18"/>
                <w:szCs w:val="18"/>
              </w:rPr>
              <w:t>Zgodnie z art. 27 ust. 3 rozporządzenia delegowanego (UE) 2015/61</w:t>
            </w:r>
            <w:r>
              <w:rPr>
                <w:rFonts w:ascii="Times New Roman" w:hAnsi="Times New Roman"/>
                <w:bCs/>
                <w:sz w:val="18"/>
                <w:szCs w:val="18"/>
              </w:rPr>
              <w:t xml:space="preserve"> należy zidentyfikować aktywa płynne, których kwota odpowiada wysokości depozytów instytucji kredytowych złożonych w instytucji centralnej i które deponująca instytucja kredytowa uznaje za aktywa płynne</w:t>
            </w:r>
            <w:r>
              <w:rPr>
                <w:rFonts w:ascii="Times New Roman" w:hAnsi="Times New Roman"/>
                <w:sz w:val="18"/>
                <w:szCs w:val="18"/>
              </w:rPr>
              <w:t>. Takie aktywa płynne nie są wliczane do pokrycia wypływów innych niż wypływy z depozytów, o których mowa powyżej, i nie są brane pod uwagę do celów obliczenia struktury pozostałego zabezpieczenia przed utratą płynności na mocy art. 17 w odniesieniu do instytucji centralnej na poziomie indywidualnym.</w:t>
            </w:r>
          </w:p>
          <w:p w14:paraId="176C425A" w14:textId="77777777" w:rsidR="001A0B09" w:rsidRDefault="001A0B09">
            <w:pPr>
              <w:spacing w:before="0" w:after="0"/>
              <w:ind w:left="33"/>
              <w:rPr>
                <w:rFonts w:ascii="Times New Roman" w:hAnsi="Times New Roman"/>
                <w:sz w:val="18"/>
                <w:szCs w:val="18"/>
              </w:rPr>
            </w:pPr>
          </w:p>
          <w:p w14:paraId="2F3A2634" w14:textId="59A09B8D" w:rsidR="001A0B09" w:rsidRDefault="006E48EA">
            <w:pPr>
              <w:spacing w:before="0" w:after="0"/>
              <w:ind w:left="33"/>
              <w:rPr>
                <w:rFonts w:ascii="Times New Roman" w:hAnsi="Times New Roman"/>
                <w:bCs/>
                <w:sz w:val="18"/>
                <w:szCs w:val="18"/>
              </w:rPr>
            </w:pPr>
            <w:r>
              <w:rPr>
                <w:rFonts w:ascii="Times New Roman" w:hAnsi="Times New Roman"/>
                <w:bCs/>
                <w:sz w:val="18"/>
                <w:szCs w:val="18"/>
              </w:rPr>
              <w:t>Instytucje centralne zapewniają, by zgłaszana kwota takich aktywów płynnych po redukcji wartości nie przekraczała wypływów z odpowiadających im depozytów.</w:t>
            </w:r>
          </w:p>
          <w:p w14:paraId="64D85282" w14:textId="77777777" w:rsidR="001A0B09" w:rsidRDefault="001A0B09">
            <w:pPr>
              <w:spacing w:before="0" w:after="0"/>
              <w:ind w:left="33"/>
              <w:rPr>
                <w:rFonts w:ascii="Times New Roman" w:hAnsi="Times New Roman"/>
                <w:sz w:val="18"/>
                <w:szCs w:val="18"/>
              </w:rPr>
            </w:pPr>
          </w:p>
          <w:p w14:paraId="56B9D3B6" w14:textId="77777777" w:rsidR="001A0B09" w:rsidRDefault="001A0B09">
            <w:pPr>
              <w:spacing w:before="0" w:after="0"/>
              <w:ind w:left="33"/>
              <w:rPr>
                <w:rFonts w:ascii="Times New Roman" w:hAnsi="Times New Roman"/>
                <w:b/>
                <w:sz w:val="18"/>
                <w:szCs w:val="18"/>
              </w:rPr>
            </w:pPr>
          </w:p>
          <w:p w14:paraId="31FBDA10" w14:textId="77777777" w:rsidR="001A0B09" w:rsidRDefault="006E48EA">
            <w:pPr>
              <w:spacing w:before="0" w:after="0"/>
              <w:ind w:left="33"/>
              <w:rPr>
                <w:rFonts w:ascii="Times New Roman" w:hAnsi="Times New Roman"/>
                <w:b/>
                <w:sz w:val="18"/>
                <w:szCs w:val="18"/>
              </w:rPr>
            </w:pPr>
            <w:r>
              <w:rPr>
                <w:rFonts w:ascii="Times New Roman" w:hAnsi="Times New Roman"/>
                <w:sz w:val="18"/>
                <w:szCs w:val="18"/>
              </w:rPr>
              <w:t>Aktywa, o których mowa w tym wierszu stanowią aktywa poziomu 2 B.</w:t>
            </w:r>
          </w:p>
        </w:tc>
      </w:tr>
      <w:tr w:rsidR="001A0B09" w14:paraId="7596C049" w14:textId="77777777" w:rsidTr="002B73CC">
        <w:tc>
          <w:tcPr>
            <w:tcW w:w="8222" w:type="dxa"/>
            <w:gridSpan w:val="3"/>
            <w:shd w:val="clear" w:color="auto" w:fill="D9D9D9"/>
            <w:vAlign w:val="center"/>
          </w:tcPr>
          <w:p w14:paraId="3340B8E3" w14:textId="77777777" w:rsidR="001A0B09" w:rsidRDefault="001A0B09">
            <w:pPr>
              <w:spacing w:before="0" w:after="0"/>
              <w:ind w:left="33"/>
              <w:rPr>
                <w:rFonts w:ascii="Times New Roman" w:hAnsi="Times New Roman"/>
                <w:b/>
                <w:sz w:val="18"/>
                <w:szCs w:val="18"/>
              </w:rPr>
            </w:pPr>
          </w:p>
          <w:p w14:paraId="5501B8ED" w14:textId="77777777" w:rsidR="001A0B09" w:rsidRDefault="001610DF">
            <w:pPr>
              <w:spacing w:before="0" w:after="0"/>
              <w:ind w:left="33"/>
              <w:rPr>
                <w:rFonts w:ascii="Times New Roman" w:hAnsi="Times New Roman"/>
                <w:b/>
                <w:sz w:val="18"/>
                <w:szCs w:val="18"/>
              </w:rPr>
            </w:pPr>
            <w:r>
              <w:rPr>
                <w:rFonts w:ascii="Times New Roman" w:hAnsi="Times New Roman"/>
                <w:b/>
                <w:sz w:val="18"/>
                <w:szCs w:val="18"/>
              </w:rPr>
              <w:t>POZYCJE UZUPEŁNIAJĄCE</w:t>
            </w:r>
          </w:p>
          <w:p w14:paraId="3E203B7B" w14:textId="77777777" w:rsidR="001A0B09" w:rsidRDefault="001A0B09">
            <w:pPr>
              <w:spacing w:before="0" w:after="0"/>
              <w:ind w:left="33"/>
              <w:rPr>
                <w:rFonts w:ascii="Times New Roman" w:hAnsi="Times New Roman"/>
                <w:b/>
                <w:sz w:val="18"/>
                <w:szCs w:val="18"/>
              </w:rPr>
            </w:pPr>
          </w:p>
        </w:tc>
      </w:tr>
      <w:tr w:rsidR="001A0B09" w14:paraId="14DA8E38" w14:textId="77777777" w:rsidTr="002B73CC">
        <w:tc>
          <w:tcPr>
            <w:tcW w:w="1097" w:type="dxa"/>
            <w:shd w:val="clear" w:color="auto" w:fill="FFFFFF"/>
            <w:vAlign w:val="center"/>
          </w:tcPr>
          <w:p w14:paraId="13AEDF51" w14:textId="1ADDBB5F" w:rsidR="001A0B09"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1A0B09" w:rsidRDefault="008E0E1A">
            <w:pPr>
              <w:spacing w:before="0" w:after="0"/>
              <w:ind w:left="33"/>
              <w:rPr>
                <w:rFonts w:ascii="Times New Roman" w:hAnsi="Times New Roman"/>
                <w:b/>
                <w:bCs/>
                <w:sz w:val="18"/>
                <w:szCs w:val="18"/>
              </w:rPr>
            </w:pPr>
            <w:r>
              <w:rPr>
                <w:rFonts w:ascii="Times New Roman" w:hAnsi="Times New Roman"/>
                <w:b/>
                <w:bCs/>
                <w:sz w:val="18"/>
                <w:szCs w:val="18"/>
              </w:rPr>
              <w:t>2. Depozyty członka sieci zdeponowane w instytucji centralnej (obowiązkowa inwestycja)</w:t>
            </w:r>
          </w:p>
          <w:p w14:paraId="7EAAF670" w14:textId="77777777" w:rsidR="001A0B09" w:rsidRDefault="001A0B09">
            <w:pPr>
              <w:spacing w:before="0" w:after="0"/>
              <w:ind w:left="33"/>
              <w:rPr>
                <w:rFonts w:ascii="Times New Roman" w:hAnsi="Times New Roman"/>
                <w:b/>
                <w:sz w:val="18"/>
                <w:szCs w:val="18"/>
              </w:rPr>
            </w:pPr>
          </w:p>
          <w:p w14:paraId="7FBD1F18" w14:textId="1A48C16F" w:rsidR="001A0B09" w:rsidRDefault="00DD4C72">
            <w:pPr>
              <w:spacing w:before="0" w:after="0"/>
              <w:ind w:left="33"/>
              <w:rPr>
                <w:rFonts w:ascii="Times New Roman" w:hAnsi="Times New Roman"/>
                <w:sz w:val="18"/>
                <w:szCs w:val="18"/>
              </w:rPr>
            </w:pPr>
            <w:r>
              <w:rPr>
                <w:rFonts w:ascii="Times New Roman" w:hAnsi="Times New Roman"/>
                <w:sz w:val="18"/>
                <w:szCs w:val="18"/>
              </w:rPr>
              <w:t>Art. 16 ust. 1 lit. a) rozporządzenia delegowanego (UE) 2015/61.</w:t>
            </w:r>
          </w:p>
          <w:p w14:paraId="155ED807" w14:textId="77777777" w:rsidR="001A0B09" w:rsidRDefault="001A0B09">
            <w:pPr>
              <w:spacing w:before="0" w:after="0"/>
              <w:ind w:left="33"/>
              <w:rPr>
                <w:rFonts w:ascii="Times New Roman" w:hAnsi="Times New Roman"/>
                <w:sz w:val="18"/>
                <w:szCs w:val="18"/>
              </w:rPr>
            </w:pPr>
          </w:p>
          <w:p w14:paraId="16350A85" w14:textId="752EEC94" w:rsidR="001A0B09" w:rsidRDefault="008E0E1A">
            <w:pPr>
              <w:spacing w:before="0" w:after="0"/>
              <w:ind w:left="33"/>
              <w:rPr>
                <w:rFonts w:ascii="Times New Roman" w:hAnsi="Times New Roman"/>
                <w:sz w:val="18"/>
                <w:szCs w:val="18"/>
              </w:rPr>
            </w:pPr>
            <w:r>
              <w:rPr>
                <w:rFonts w:ascii="Times New Roman" w:hAnsi="Times New Roman"/>
                <w:sz w:val="18"/>
                <w:szCs w:val="18"/>
              </w:rPr>
              <w:t xml:space="preserve">Instytucje kredytowe zgłaszają całkowitą kwotę aktywów zgłoszonych we wcześniejszych sekcjach zgodnie z wymogami określonymi w art. 16 ust. 1 lit. a) rozporządzenia </w:t>
            </w:r>
            <w:r>
              <w:rPr>
                <w:rFonts w:ascii="Times New Roman" w:hAnsi="Times New Roman"/>
                <w:sz w:val="18"/>
                <w:szCs w:val="18"/>
              </w:rPr>
              <w:lastRenderedPageBreak/>
              <w:t>delegowanego (UE) 2015/61.</w:t>
            </w:r>
          </w:p>
          <w:p w14:paraId="36B9E6DD" w14:textId="222590E9" w:rsidR="001A0B09" w:rsidRDefault="001A0B09">
            <w:pPr>
              <w:spacing w:before="0" w:after="0"/>
              <w:ind w:left="33"/>
              <w:rPr>
                <w:rFonts w:ascii="Times New Roman" w:hAnsi="Times New Roman"/>
                <w:b/>
                <w:sz w:val="18"/>
                <w:szCs w:val="18"/>
              </w:rPr>
            </w:pPr>
          </w:p>
        </w:tc>
      </w:tr>
      <w:tr w:rsidR="001A0B09" w14:paraId="7702F969" w14:textId="77777777" w:rsidTr="002B73CC">
        <w:tc>
          <w:tcPr>
            <w:tcW w:w="1097" w:type="dxa"/>
            <w:shd w:val="clear" w:color="auto" w:fill="FFFFFF"/>
            <w:vAlign w:val="center"/>
          </w:tcPr>
          <w:p w14:paraId="53D1AAE3" w14:textId="77777777" w:rsidR="001A0B09" w:rsidRDefault="001610DF">
            <w:pPr>
              <w:rPr>
                <w:rFonts w:ascii="Times New Roman" w:hAnsi="Times New Roman"/>
                <w:sz w:val="18"/>
                <w:szCs w:val="18"/>
              </w:rPr>
            </w:pPr>
            <w:r>
              <w:rPr>
                <w:rFonts w:ascii="Times New Roman" w:hAnsi="Times New Roman"/>
                <w:sz w:val="18"/>
                <w:szCs w:val="18"/>
              </w:rPr>
              <w:lastRenderedPageBreak/>
              <w:t>580</w:t>
            </w:r>
          </w:p>
        </w:tc>
        <w:tc>
          <w:tcPr>
            <w:tcW w:w="7125" w:type="dxa"/>
            <w:gridSpan w:val="2"/>
            <w:shd w:val="clear" w:color="auto" w:fill="FFFFFF"/>
          </w:tcPr>
          <w:p w14:paraId="2D95B476" w14:textId="1E863E1B" w:rsidR="001A0B09" w:rsidRDefault="008E0E1A">
            <w:pPr>
              <w:spacing w:before="0" w:after="0"/>
              <w:ind w:left="33"/>
              <w:rPr>
                <w:rFonts w:ascii="Times New Roman" w:hAnsi="Times New Roman"/>
                <w:b/>
                <w:sz w:val="18"/>
                <w:szCs w:val="18"/>
              </w:rPr>
            </w:pPr>
            <w:r>
              <w:rPr>
                <w:rFonts w:ascii="Times New Roman" w:hAnsi="Times New Roman"/>
                <w:b/>
                <w:sz w:val="18"/>
                <w:szCs w:val="18"/>
              </w:rPr>
              <w:t>3. Aktywa poziomu 1/2A/2B wyłączone ze względu na niedopasowanie walutowe</w:t>
            </w:r>
          </w:p>
          <w:p w14:paraId="6338DF38" w14:textId="77777777" w:rsidR="001A0B09" w:rsidRDefault="001A0B09">
            <w:pPr>
              <w:spacing w:before="0" w:after="0"/>
              <w:ind w:left="33"/>
              <w:rPr>
                <w:rFonts w:ascii="Times New Roman" w:hAnsi="Times New Roman"/>
                <w:b/>
                <w:sz w:val="18"/>
                <w:szCs w:val="18"/>
              </w:rPr>
            </w:pPr>
          </w:p>
          <w:p w14:paraId="17D844B5" w14:textId="572A1650" w:rsidR="001A0B09" w:rsidRDefault="008A1680">
            <w:pPr>
              <w:spacing w:before="0" w:after="0"/>
              <w:ind w:left="33"/>
              <w:rPr>
                <w:rFonts w:ascii="Times New Roman" w:hAnsi="Times New Roman"/>
                <w:b/>
                <w:bCs/>
                <w:sz w:val="18"/>
                <w:szCs w:val="18"/>
              </w:rPr>
            </w:pPr>
            <w:r>
              <w:rPr>
                <w:rFonts w:ascii="Times New Roman" w:hAnsi="Times New Roman"/>
                <w:sz w:val="18"/>
                <w:szCs w:val="18"/>
              </w:rPr>
              <w:t xml:space="preserve">Art. 8 ust. 6, art. 10 ust. 1 lit. d) oraz art. 12 ust. 1 lit. c) </w:t>
            </w:r>
            <w:r>
              <w:rPr>
                <w:rFonts w:ascii="Times New Roman" w:hAnsi="Times New Roman"/>
                <w:bCs/>
                <w:sz w:val="18"/>
                <w:szCs w:val="18"/>
              </w:rPr>
              <w:t>rozporządzenia delegowanego (UE) 2015/61</w:t>
            </w:r>
          </w:p>
          <w:p w14:paraId="5ED093AB" w14:textId="77777777" w:rsidR="001A0B09" w:rsidRDefault="001A0B09">
            <w:pPr>
              <w:spacing w:before="0" w:after="0"/>
              <w:ind w:left="33"/>
              <w:rPr>
                <w:rFonts w:ascii="Times New Roman" w:hAnsi="Times New Roman"/>
                <w:b/>
                <w:sz w:val="18"/>
                <w:szCs w:val="18"/>
              </w:rPr>
            </w:pPr>
          </w:p>
          <w:p w14:paraId="02BDDEA4" w14:textId="2821A3D8" w:rsidR="001A0B09" w:rsidRDefault="001610DF">
            <w:pPr>
              <w:spacing w:before="0" w:after="0"/>
              <w:ind w:left="33"/>
              <w:rPr>
                <w:rFonts w:ascii="Times New Roman" w:hAnsi="Times New Roman"/>
                <w:b/>
                <w:sz w:val="18"/>
                <w:szCs w:val="18"/>
              </w:rPr>
            </w:pPr>
            <w:r>
              <w:rPr>
                <w:rFonts w:ascii="Times New Roman" w:hAnsi="Times New Roman"/>
                <w:sz w:val="18"/>
                <w:szCs w:val="18"/>
              </w:rPr>
              <w:t>Instytucja zgłasza część aktywów poziomu 1, poziomu 2A i poziomu 2B, o której mowa w art. 10–16 i która nie podlega uznaniu przez instytucję zgodnie z art. 8 ust. 6, art. 10 ust. 1 lit. d) oraz art. 12 ust. 1 lit. c).</w:t>
            </w:r>
          </w:p>
          <w:p w14:paraId="4912F30C" w14:textId="77777777" w:rsidR="001A0B09" w:rsidRDefault="001A0B09">
            <w:pPr>
              <w:spacing w:before="0" w:after="0"/>
              <w:ind w:left="33"/>
              <w:rPr>
                <w:rFonts w:ascii="Times New Roman" w:hAnsi="Times New Roman"/>
                <w:b/>
                <w:sz w:val="18"/>
                <w:szCs w:val="18"/>
              </w:rPr>
            </w:pPr>
          </w:p>
        </w:tc>
      </w:tr>
      <w:tr w:rsidR="001A0B09" w14:paraId="69B2A9EF" w14:textId="77777777" w:rsidTr="002B73CC">
        <w:tc>
          <w:tcPr>
            <w:tcW w:w="1097" w:type="dxa"/>
            <w:shd w:val="clear" w:color="auto" w:fill="FFFFFF"/>
            <w:vAlign w:val="center"/>
          </w:tcPr>
          <w:p w14:paraId="4827311F" w14:textId="77777777" w:rsidR="001A0B09"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1A0B09" w:rsidRDefault="008E0E1A">
            <w:pPr>
              <w:spacing w:before="0" w:after="0"/>
              <w:ind w:left="33"/>
              <w:rPr>
                <w:rFonts w:ascii="Times New Roman" w:hAnsi="Times New Roman"/>
                <w:b/>
                <w:sz w:val="18"/>
                <w:szCs w:val="18"/>
              </w:rPr>
            </w:pPr>
            <w:r>
              <w:rPr>
                <w:rFonts w:ascii="Times New Roman" w:hAnsi="Times New Roman"/>
                <w:b/>
                <w:sz w:val="18"/>
                <w:szCs w:val="18"/>
              </w:rPr>
              <w:t>4. Aktywa poziomu 1/2A/2B wyłączone ze względów operacyjnych, z wyjątkiem powodów związanych z niedopasowaniem walutowym</w:t>
            </w:r>
          </w:p>
          <w:p w14:paraId="2F9CC315" w14:textId="77777777" w:rsidR="001A0B09" w:rsidRDefault="001A0B09">
            <w:pPr>
              <w:spacing w:before="0" w:after="0"/>
              <w:ind w:left="33"/>
              <w:rPr>
                <w:rFonts w:ascii="Times New Roman" w:hAnsi="Times New Roman"/>
                <w:b/>
                <w:sz w:val="18"/>
                <w:szCs w:val="18"/>
              </w:rPr>
            </w:pPr>
          </w:p>
          <w:p w14:paraId="2BF4C9BB" w14:textId="29A9C871" w:rsidR="001A0B09" w:rsidRDefault="008A1680">
            <w:pPr>
              <w:spacing w:before="0" w:after="0"/>
              <w:ind w:left="33"/>
              <w:rPr>
                <w:rFonts w:ascii="Times New Roman" w:hAnsi="Times New Roman"/>
                <w:b/>
                <w:bCs/>
                <w:sz w:val="18"/>
                <w:szCs w:val="18"/>
              </w:rPr>
            </w:pPr>
            <w:r>
              <w:rPr>
                <w:rFonts w:ascii="Times New Roman" w:hAnsi="Times New Roman"/>
                <w:sz w:val="18"/>
                <w:szCs w:val="18"/>
              </w:rPr>
              <w:t xml:space="preserve">Art. 8 </w:t>
            </w:r>
            <w:r>
              <w:rPr>
                <w:rFonts w:ascii="Times New Roman" w:hAnsi="Times New Roman"/>
                <w:bCs/>
                <w:sz w:val="18"/>
                <w:szCs w:val="18"/>
              </w:rPr>
              <w:t>rozporządzenia delegowanego (UE) 2015/61</w:t>
            </w:r>
            <w:r>
              <w:rPr>
                <w:rFonts w:ascii="Times New Roman" w:hAnsi="Times New Roman"/>
                <w:sz w:val="18"/>
                <w:szCs w:val="18"/>
              </w:rPr>
              <w:t>.</w:t>
            </w:r>
          </w:p>
          <w:p w14:paraId="68EBE140" w14:textId="77777777" w:rsidR="001A0B09" w:rsidRDefault="001A0B09">
            <w:pPr>
              <w:spacing w:before="0" w:after="0"/>
              <w:ind w:left="33"/>
              <w:rPr>
                <w:rFonts w:ascii="Times New Roman" w:hAnsi="Times New Roman"/>
                <w:b/>
                <w:sz w:val="18"/>
                <w:szCs w:val="18"/>
              </w:rPr>
            </w:pPr>
          </w:p>
          <w:p w14:paraId="3C2D37AE" w14:textId="3C1A4B83" w:rsidR="001A0B09" w:rsidRDefault="001610DF">
            <w:pPr>
              <w:spacing w:before="0" w:after="0"/>
              <w:ind w:left="33"/>
              <w:rPr>
                <w:rFonts w:ascii="Times New Roman" w:hAnsi="Times New Roman"/>
                <w:sz w:val="18"/>
                <w:szCs w:val="18"/>
              </w:rPr>
            </w:pPr>
            <w:r>
              <w:rPr>
                <w:rFonts w:ascii="Times New Roman" w:hAnsi="Times New Roman"/>
                <w:sz w:val="18"/>
                <w:szCs w:val="18"/>
              </w:rPr>
              <w:t>Instytucje kredytowe zgłaszają aktywa, które spełniają wymogi określone w art. 7 rozporządzenia delegowanego (UE) 2015/61, ale nie spełniają wymogów określonych w art. 8 rozporządzenia delegowanego (UE) 2015/61, pod warunkiem, że nie zostały one zgłoszone w wierszu 580 ze względu na niedopasowanie walutowe.</w:t>
            </w:r>
          </w:p>
          <w:p w14:paraId="2DBDE97A" w14:textId="77777777" w:rsidR="001A0B09" w:rsidRDefault="001A0B09">
            <w:pPr>
              <w:spacing w:before="0" w:after="0"/>
              <w:ind w:left="33"/>
              <w:rPr>
                <w:rFonts w:ascii="Times New Roman" w:hAnsi="Times New Roman"/>
                <w:b/>
                <w:sz w:val="18"/>
                <w:szCs w:val="18"/>
              </w:rPr>
            </w:pPr>
          </w:p>
        </w:tc>
      </w:tr>
    </w:tbl>
    <w:p w14:paraId="24F0B2F1" w14:textId="77777777" w:rsidR="001A0B09" w:rsidRDefault="001A0B09">
      <w:pPr>
        <w:rPr>
          <w:rFonts w:ascii="Times New Roman" w:hAnsi="Times New Roman"/>
        </w:rPr>
      </w:pPr>
    </w:p>
    <w:p w14:paraId="410D89DD" w14:textId="77777777" w:rsidR="001A0B09" w:rsidRDefault="006E48EA">
      <w:pPr>
        <w:rPr>
          <w:rFonts w:ascii="Times New Roman" w:hAnsi="Times New Roman"/>
        </w:rPr>
      </w:pPr>
      <w:r>
        <w:br w:type="page"/>
      </w:r>
    </w:p>
    <w:p w14:paraId="3F6EB39C" w14:textId="77777777" w:rsidR="001A0B09"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lastRenderedPageBreak/>
        <w:t>SPRAWOZDAWCZOŚĆ W ZAKRESIE PŁYNNOŚCI (CZĘŚĆ 2: WYPŁYWY)</w:t>
      </w:r>
    </w:p>
    <w:p w14:paraId="14ED36B9" w14:textId="5BDC31A5" w:rsidR="001A0B0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Wypływy</w:t>
      </w:r>
    </w:p>
    <w:p w14:paraId="6B5922E2" w14:textId="10281299" w:rsidR="001A0B0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Uwagi ogólne</w:t>
      </w:r>
    </w:p>
    <w:p w14:paraId="559C2379" w14:textId="1DA73C99" w:rsidR="001A0B09"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Poniżej przedstawiono formularz, który zawiera informacje dotyczące wypływów płynności mierzonych w ciągu 30 najbliższych dni na potrzeby sprawozdawczości w zakresie wymogu pokrycia wypływów netto określonego w rozporządzeniu delegowanym (UE) 2015/61. Pozycje, których instytucje kredytowe nie muszą wypełniać, zaznaczono na szaro.</w:t>
      </w:r>
    </w:p>
    <w:p w14:paraId="6209BE09" w14:textId="1C451C68" w:rsidR="001A0B09"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Instytucje kredytowe zgłaszają pozycje określone w niniejszym formularzu w odpowiednich walutach, zgodnie z art. 415 ust. 2 rozporządzenia (UE) nr 575/2013.</w:t>
      </w:r>
    </w:p>
    <w:p w14:paraId="2ACC3A62" w14:textId="33CC7108" w:rsidR="001A0B09"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W formularzu, do którego odnoszą się niniejsze instrukcje, uwzględniono pewne pozycje uzupełniające. Chociaż nie jest to konieczne do obliczenia samego wskaźnika, pozycje te należy wypełnić. Pozycje te są źródłem niezbędnych informacji, które pozwalają właściwym organom przeprowadzić adekwatną ocenę przestrzegania przez instytucje kredytowe wymogów dotyczących płynności. W niektórych przypadkach przedstawiają one bardziej szczegółowy podział pozycji zawartych w głównych sekcjach formularza, natomiast w innych przypadkach odzwierciedlają dodatkowe zasoby płynności, do których instytucje kredytowe mogą mieć dostęp.</w:t>
      </w:r>
    </w:p>
    <w:p w14:paraId="77E896A4" w14:textId="45190344" w:rsidR="001A0B09"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Zgodnie z art. 22 ust. 1 rozporządzenia delegowanego (UE) 2015/61 wypływy płynności:</w:t>
      </w:r>
    </w:p>
    <w:p w14:paraId="30E81800" w14:textId="5488AFA4" w:rsidR="001A0B09"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obejmują kategorie, o których mowa w art. 22 ust. 2 rozporządzenia delegowanego (UE) 2015/61</w:t>
      </w:r>
    </w:p>
    <w:p w14:paraId="52ED8CBE" w14:textId="1AC6F794" w:rsidR="001A0B09"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oblicza się, mnożąc pozostające salda w ramach różnych kategorii zobowiązań i zobowiązań pozabilansowych przez przewidywane wskaźniki ich wypływu lub wykorzystania, zgodnie z rozporządzeniem delegowanym (UE) 2015/61.</w:t>
      </w:r>
    </w:p>
    <w:p w14:paraId="7E3D3F91" w14:textId="5E14A9CD" w:rsidR="001A0B09"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Pojęcie „waga” wykorzystywane w niniejszej instrukcji odnosi się do określeń wskaźnik oraz redukcja wartości użytych w rozporządzeniu delegowanym (UE) 2015/61. W niniejszych instrukcjach termin „ważone/-y/-a” służy do określenia kwoty uzyskanej po zastosowaniu odpowiednich redukcji wartości, wskaźników oraz wszelkich innych stosownych dodatkowych instrukcji (np. w przypadku zabezpieczonych transakcji kredytowych i transakcji finansowania).</w:t>
      </w:r>
    </w:p>
    <w:p w14:paraId="0EBCA91F" w14:textId="59C310C9" w:rsidR="001A0B09"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Wypływy w ramach grupy lub instytucjonalnego systemu ochrony (z wyjątkiem wypływów z niewykorzystanych instrumentów kredytowych lub instrumentów wsparcia płynności zapewnionych przez członków grupy lub instytucjonalnego systemu ochrony, pod warunkiem, że właściwy organ wyraził zgodę na stosowanie preferencyjnego wskaźnika wypływów oraz na stosowanie wypływów z depozytów operacyjnych utrzymywanych w kontekście instytucjonalnego systemu ochrony lub sieci współpracy) zgłasza się w ramach odpowiednich kategorii. Wypływy te zgłasza się również osobno jako pozycje uzupełniające.</w:t>
      </w:r>
    </w:p>
    <w:p w14:paraId="76B0BF15" w14:textId="34AA8642" w:rsidR="001A0B09"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Wypływy płynności zgłasza się w formularzu tylko raz, chyba że pojawią się dodatkowe wypływy, o których mowa w art. 30 rozporządzenia delegowanego (UE) 2015/61, lub dana pozycja stanowi pozycję „w tym:” lub pozycję uzupełniającą. </w:t>
      </w:r>
    </w:p>
    <w:p w14:paraId="759F8B00" w14:textId="0A11D0D4" w:rsidR="001A0B09"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 xml:space="preserve">W przypadku odrębnej sprawozdawczości, o której mowa w art. 415 ust. 2 rozporządzenia (UE) nr 575/2013, </w:t>
      </w:r>
      <w:r>
        <w:rPr>
          <w:rFonts w:ascii="Times New Roman" w:hAnsi="Times New Roman"/>
          <w:sz w:val="18"/>
          <w:szCs w:val="18"/>
          <w:u w:color="000000"/>
        </w:rPr>
        <w:t>zastosowanie mają w każdym przypadku następujące zasady:</w:t>
      </w:r>
    </w:p>
    <w:p w14:paraId="04A4814E" w14:textId="77777777" w:rsidR="001A0B09"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zgłasza się wyłącznie pozycje i przepływy denominowane w tej walucie;</w:t>
      </w:r>
    </w:p>
    <w:p w14:paraId="36013C04" w14:textId="77777777" w:rsidR="001A0B09"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w przypadku niedopasowania walutowego między częściami transakcji zgłasza się tylko tę część transakcji,</w:t>
      </w:r>
      <w:r>
        <w:rPr>
          <w:rFonts w:ascii="Times New Roman" w:hAnsi="Times New Roman"/>
          <w:sz w:val="18"/>
          <w:szCs w:val="18"/>
        </w:rPr>
        <w:t xml:space="preserve"> </w:t>
      </w:r>
      <w:r>
        <w:rPr>
          <w:rFonts w:ascii="Times New Roman" w:hAnsi="Times New Roman"/>
          <w:sz w:val="18"/>
          <w:szCs w:val="18"/>
          <w:u w:color="000000"/>
        </w:rPr>
        <w:t>która jest denominowana w danej walucie;</w:t>
      </w:r>
    </w:p>
    <w:p w14:paraId="68684582" w14:textId="51842861" w:rsidR="001A0B09"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jeżeli zgodnie z rozporządzeniem delegowanym (UE) 2015/61 dopuszcza się możliwość kompensowania,</w:t>
      </w:r>
      <w:r>
        <w:rPr>
          <w:rFonts w:ascii="Times New Roman" w:hAnsi="Times New Roman"/>
          <w:sz w:val="18"/>
          <w:szCs w:val="18"/>
        </w:rPr>
        <w:t xml:space="preserve"> </w:t>
      </w:r>
      <w:r>
        <w:rPr>
          <w:rFonts w:ascii="Times New Roman" w:hAnsi="Times New Roman"/>
          <w:sz w:val="18"/>
          <w:szCs w:val="18"/>
          <w:u w:color="000000"/>
        </w:rPr>
        <w:t>można je zastosować wyłącznie w odniesieniu do przepływów w danej walucie;</w:t>
      </w:r>
    </w:p>
    <w:p w14:paraId="033F8730" w14:textId="69CD1D84" w:rsidR="001A0B09"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 xml:space="preserve">jeżeli przepływ może być denominowany w wielu walutach, instytucja kredytowa przeprowadza ocenę, w jakiej walucie przepływ zostanie najprawdopodobniej </w:t>
      </w:r>
      <w:r>
        <w:rPr>
          <w:rFonts w:ascii="Times New Roman" w:hAnsi="Times New Roman"/>
          <w:sz w:val="18"/>
          <w:szCs w:val="18"/>
        </w:rPr>
        <w:lastRenderedPageBreak/>
        <w:t>zrealizowany i zgłasza daną pozycję wyłącznie w danej walucie podlegającej odrębnemu zgłoszeniu.</w:t>
      </w:r>
    </w:p>
    <w:p w14:paraId="3731F2B0" w14:textId="6D7381C8" w:rsidR="001A0B09"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Wagi standardowe w kolumnie 040 formularza C 73.00 określonego w załączniku XXIV to wagi odniesienia określone w rozporządzeniu delegowanym (UE) 2015/61 i przedstawione w tym miejscu w celach informacyjnych.</w:t>
      </w:r>
    </w:p>
    <w:p w14:paraId="123810E6" w14:textId="21227063" w:rsidR="001A0B09"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Formularz zawiera informacje na temat zabezpieczonych przepływów płynności zdefiniowanych w rozporządzeniu delegowanym (UE) 2015/61 jako „zabezpieczone transakcje kredytowe i transakcje oparte na rynku kapitałowym”, które są wykorzystywane przy obliczaniu wskaźnika pokrycia wypływów netto zdefiniowanego w tym rozporządzeniu. Jeżeli transakcje te zawarto w oparciu o pulę zabezpieczeń, poszczególne aktywa stanowiące zabezpieczenie do celów sprawozdawczości w tym formularzu zostają zidentyfikowane, zgodnie z kategoriami aktywów płynnych określonymi w tytule II rozdział 2 rozporządzenia delegowanego (UE) 2015/61, rozpoczynając od aktywów o najmniejszej płynności. Jednocześnie w przypadku transakcji o różnych rezydualnych terminach zapadalności zawartych w oparciu o pulę zabezpieczeń aktywa o mniejszej płynności przypisuje się najpierw do transakcji o najdłuższych rezydualnych terminach zapadalności.</w:t>
      </w:r>
    </w:p>
    <w:p w14:paraId="0BED1290" w14:textId="413E3E76" w:rsidR="001A0B09"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Na potrzeby transakcji zabezpieczających swap opracowano odrębny formularz – formularz C 75.01 w załączniku XXIV. Transakcji zabezpieczających swap, które stanowią transakcje wymiany typu zabezpieczenie vs zabezpieczenie, nie zgłasza się w formularzu C 73.00 dotyczącym wypływów określonym w załączniku XXIV, ponieważ w formularzu C 73.00 zgłasza się transakcje wymiany, ale wyłącznie typu środki pieniężne vs zabezpieczenie.</w:t>
      </w:r>
    </w:p>
    <w:p w14:paraId="20EDCAF9" w14:textId="3BF31C3F" w:rsidR="001A0B0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Uwagi szczegółowe dotyczące rozliczenia i transakcji z przyszłym terminem rozpoczęcia</w:t>
      </w:r>
    </w:p>
    <w:p w14:paraId="5D906FD2" w14:textId="6CD4CA45" w:rsidR="001A0B09"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Instytucje kredytowe zgłaszają wypływy wynikające z umów z udzielonym przyrzeczeniem odkupu typu forward, umów z otrzymanym przyrzeczeniem odkupu typu forward i transakcji zabezpieczających swap typu forward, które zaczynają obowiązywać w ciągu 30 dni kalendarzowych i których termin zapadalności przypada po upływie 30 dni kalendarzowych, jeżeli wymiana początkowa generuje wypływ. W przypadku umowy z otrzymanym przyrzeczeniem odkupu kwotę, która ma zostać pożyczona kontrahentowi, uznaje się za wypływ i zgłasza się w pozycji 1.1.8.6. po odliczeniu wartości rynkowej składnika aktywów, który ma zostać otrzymany jako zabezpieczenie, i po zastosowaniu odpowiedniej redukcji wartości wskaźnika pokrycia wpływów netto, jeżeli dany składnik aktywów kwalifikuje się jako składnik aktywów płynnych. Jeżeli pożyczana kwota jest niższa niż wartość rynkowa składnika aktywów (po redukcji wartości wskaźnika pokrycia wpływów netto), który ma zostać otrzymany jako zabezpieczenie, różnicę zgłasza się jako wpływ. Jeżeli zabezpieczenie, które ma zostać otrzymane, nie kwalifikuje się jako składnik aktywów płynnych, zgłasza się wypływ w pełnej wartości. W przypadku umowy z udzielonym przyrzeczeniem odkupu, gdy wartość rynkowa składnika aktywów, który ma zostać udzielony jako zabezpieczenie po zastosowaniu odpowiedniej redukcji wartości wskaźnika pokrycia wpływów netto (jeżeli składnik aktywów kwalifikuje się jako aktywa płynne), jest wyższa niż kwota pieniężna, która ma zostać otrzymana, różnicę należy zgłosić we wskazanym powyżej wierszu jako wypływ. Jeżeli kwota, która ma zostać otrzymana, jest wyższa niż wartość rynkowa składnika aktywów (po redukcji wartości wskaźnika pokrycia wpływów netto), który ma być przedmiotem udzielonej pożyczki jako zabezpieczenie, różnicę zgłasza się jako wpływ. W przypadku transakcji zabezpieczających swap, gdy wynik netto początkowej wymiany aktywów płynnych (uwzględniając redukcję wartości wskaźnika pokrycia wpływów netto) skutkuje wypływem, wypływ ten zgłasza się we wskazanym powyżej wierszu.</w:t>
      </w:r>
    </w:p>
    <w:p w14:paraId="091EC26E" w14:textId="3A60A065" w:rsidR="001A0B09"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Umowy z udzielonym przyrzeczeniem odkupu typu forward, umowy z otrzymanym przyrzeczeniem odkupu typu forward i transakcje zabezpieczające swap typu forward, których zarówno termin rozpoczęcia, jak i termin zapadalności przypadają w ciągu 30 dni kalendarzowych, nie mają żadnego wpływu na wskaźnik pokrycia wypływów netto banku i mogą zostać pominięte.</w:t>
      </w:r>
    </w:p>
    <w:p w14:paraId="7C15A217" w14:textId="27F608C0" w:rsidR="001A0B09"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Schemat podejmowania decyzji w odniesieniu do sekcji 1 z formularza C 73.00 określonego w załączniku XXIV nie ma wpływu na sprawozdawczość w zakresie pozycji uzupełniających. Schemat podejmowania decyzji jest częścią instrukcji określających kryteria oceny w odniesieniu do ustalania hierarchii na potrzeby klasyfikowania każdej zgłoszonej pozycji w celu zapewnienia jednolitej i porównywalnej sprawozdawczości. Samo postępowanie według schematu podejmowania decyzji jest niewystarczające, gdyż instytucje kredytowe muszą zawsze przestrzegać pozostałych instrukcji. Dla uproszczenia w schemacie podejmowania decyzji pominięto sumy i sumy częściowe, nie oznacza to jednak, że nie należy ich również zgłaszać. Akt delegowany oznacza rozporządzenie delegowane (UE) 2015/61.</w:t>
      </w:r>
    </w:p>
    <w:p w14:paraId="537D6E48" w14:textId="5CF9725D" w:rsidR="001A0B09" w:rsidRDefault="001A0B09">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1A0B09" w14:paraId="5E3EDA1F" w14:textId="77777777" w:rsidTr="0059273D">
        <w:tc>
          <w:tcPr>
            <w:tcW w:w="529" w:type="dxa"/>
            <w:shd w:val="clear" w:color="auto" w:fill="auto"/>
            <w:vAlign w:val="center"/>
          </w:tcPr>
          <w:p w14:paraId="60988F15" w14:textId="77777777" w:rsidR="001A0B09"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1A0B09"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Pozycja</w:t>
            </w:r>
          </w:p>
        </w:tc>
        <w:tc>
          <w:tcPr>
            <w:tcW w:w="1305" w:type="dxa"/>
            <w:shd w:val="clear" w:color="auto" w:fill="auto"/>
            <w:vAlign w:val="center"/>
          </w:tcPr>
          <w:p w14:paraId="7DCCCD1A" w14:textId="77777777" w:rsidR="001A0B09"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Decyzja</w:t>
            </w:r>
          </w:p>
        </w:tc>
        <w:tc>
          <w:tcPr>
            <w:tcW w:w="2222" w:type="dxa"/>
            <w:shd w:val="clear" w:color="auto" w:fill="auto"/>
            <w:vAlign w:val="center"/>
          </w:tcPr>
          <w:p w14:paraId="34E55D73" w14:textId="77777777" w:rsidR="001A0B09"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Sprawozdawczość</w:t>
            </w:r>
          </w:p>
        </w:tc>
      </w:tr>
      <w:tr w:rsidR="001A0B09" w14:paraId="3E7866E4" w14:textId="77777777" w:rsidTr="0059273D">
        <w:tc>
          <w:tcPr>
            <w:tcW w:w="529" w:type="dxa"/>
            <w:vMerge w:val="restart"/>
            <w:shd w:val="clear" w:color="auto" w:fill="auto"/>
            <w:vAlign w:val="center"/>
          </w:tcPr>
          <w:p w14:paraId="2C42ACD5"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Transakcja z przyszłym terminem rozpoczęcia</w:t>
            </w:r>
          </w:p>
        </w:tc>
        <w:tc>
          <w:tcPr>
            <w:tcW w:w="1305" w:type="dxa"/>
            <w:shd w:val="clear" w:color="auto" w:fill="auto"/>
            <w:vAlign w:val="center"/>
          </w:tcPr>
          <w:p w14:paraId="69AA3885"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4247258D" w14:textId="77777777" w:rsidR="001A0B09"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1A0B09" w14:paraId="2183C2C7" w14:textId="77777777" w:rsidTr="0059273D">
        <w:tc>
          <w:tcPr>
            <w:tcW w:w="529" w:type="dxa"/>
            <w:vMerge/>
            <w:shd w:val="clear" w:color="auto" w:fill="auto"/>
            <w:vAlign w:val="center"/>
          </w:tcPr>
          <w:p w14:paraId="2C101C69" w14:textId="77777777" w:rsidR="001A0B09" w:rsidRDefault="001A0B09">
            <w:pPr>
              <w:jc w:val="center"/>
              <w:rPr>
                <w:rFonts w:ascii="Times New Roman" w:eastAsia="Calibri" w:hAnsi="Times New Roman"/>
              </w:rPr>
            </w:pPr>
          </w:p>
        </w:tc>
        <w:tc>
          <w:tcPr>
            <w:tcW w:w="5550" w:type="dxa"/>
            <w:vMerge/>
            <w:shd w:val="clear" w:color="auto" w:fill="auto"/>
            <w:vAlign w:val="center"/>
          </w:tcPr>
          <w:p w14:paraId="011EAAFC" w14:textId="77777777" w:rsidR="001A0B09" w:rsidRDefault="001A0B09">
            <w:pPr>
              <w:jc w:val="center"/>
              <w:rPr>
                <w:rFonts w:ascii="Times New Roman" w:eastAsia="Calibri" w:hAnsi="Times New Roman"/>
              </w:rPr>
            </w:pPr>
          </w:p>
        </w:tc>
        <w:tc>
          <w:tcPr>
            <w:tcW w:w="1305" w:type="dxa"/>
            <w:shd w:val="clear" w:color="auto" w:fill="auto"/>
            <w:vAlign w:val="center"/>
          </w:tcPr>
          <w:p w14:paraId="109239ED"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54C4EB4D" w14:textId="77777777" w:rsidR="001A0B09"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1A0B09" w14:paraId="3FE559CC" w14:textId="77777777" w:rsidTr="0059273D">
        <w:tc>
          <w:tcPr>
            <w:tcW w:w="529" w:type="dxa"/>
            <w:vMerge w:val="restart"/>
            <w:shd w:val="clear" w:color="auto" w:fill="auto"/>
            <w:vAlign w:val="center"/>
          </w:tcPr>
          <w:p w14:paraId="56D40756"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Transakcja typu forward zawarta po dniu sprawozdawczym</w:t>
            </w:r>
          </w:p>
        </w:tc>
        <w:tc>
          <w:tcPr>
            <w:tcW w:w="1305" w:type="dxa"/>
            <w:shd w:val="clear" w:color="auto" w:fill="auto"/>
            <w:vAlign w:val="center"/>
          </w:tcPr>
          <w:p w14:paraId="34DF9682" w14:textId="77777777" w:rsidR="001A0B09"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009DC6EE" w14:textId="77777777" w:rsidR="001A0B09"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Nie należy zgłaszać</w:t>
            </w:r>
          </w:p>
        </w:tc>
      </w:tr>
      <w:tr w:rsidR="001A0B09" w14:paraId="4009CAFB" w14:textId="77777777" w:rsidTr="0059273D">
        <w:tc>
          <w:tcPr>
            <w:tcW w:w="529" w:type="dxa"/>
            <w:vMerge/>
            <w:shd w:val="clear" w:color="auto" w:fill="auto"/>
            <w:vAlign w:val="center"/>
          </w:tcPr>
          <w:p w14:paraId="5CB2CFEF" w14:textId="77777777" w:rsidR="001A0B09" w:rsidRDefault="001A0B09">
            <w:pPr>
              <w:jc w:val="center"/>
              <w:rPr>
                <w:rFonts w:ascii="Times New Roman" w:eastAsia="Calibri" w:hAnsi="Times New Roman"/>
              </w:rPr>
            </w:pPr>
          </w:p>
        </w:tc>
        <w:tc>
          <w:tcPr>
            <w:tcW w:w="5550" w:type="dxa"/>
            <w:vMerge/>
            <w:shd w:val="clear" w:color="auto" w:fill="auto"/>
            <w:vAlign w:val="center"/>
          </w:tcPr>
          <w:p w14:paraId="52DFED8C" w14:textId="77777777" w:rsidR="001A0B09" w:rsidRDefault="001A0B09">
            <w:pPr>
              <w:jc w:val="center"/>
              <w:rPr>
                <w:rFonts w:ascii="Times New Roman" w:eastAsia="Calibri" w:hAnsi="Times New Roman"/>
              </w:rPr>
            </w:pPr>
          </w:p>
        </w:tc>
        <w:tc>
          <w:tcPr>
            <w:tcW w:w="1305" w:type="dxa"/>
            <w:shd w:val="clear" w:color="auto" w:fill="auto"/>
            <w:vAlign w:val="center"/>
          </w:tcPr>
          <w:p w14:paraId="73A8F902" w14:textId="77777777" w:rsidR="001A0B09" w:rsidRDefault="008D2CDE">
            <w:pPr>
              <w:pStyle w:val="TableParagraph"/>
              <w:spacing w:before="32"/>
              <w:ind w:left="459"/>
              <w:jc w:val="center"/>
              <w:rPr>
                <w:rFonts w:ascii="Times New Roman" w:hAnsi="Times New Roman"/>
                <w:sz w:val="16"/>
              </w:rPr>
            </w:pPr>
            <w:r>
              <w:rPr>
                <w:rFonts w:ascii="Times New Roman" w:hAnsi="Times New Roman"/>
                <w:sz w:val="16"/>
              </w:rPr>
              <w:t>Nie</w:t>
            </w:r>
          </w:p>
        </w:tc>
        <w:tc>
          <w:tcPr>
            <w:tcW w:w="2222" w:type="dxa"/>
            <w:shd w:val="clear" w:color="auto" w:fill="auto"/>
            <w:vAlign w:val="center"/>
          </w:tcPr>
          <w:p w14:paraId="3465CA2C" w14:textId="77777777" w:rsidR="001A0B09"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1A0B09" w14:paraId="0B4B2C63" w14:textId="77777777" w:rsidTr="0059273D">
        <w:tc>
          <w:tcPr>
            <w:tcW w:w="529" w:type="dxa"/>
            <w:vMerge w:val="restart"/>
            <w:shd w:val="clear" w:color="auto" w:fill="auto"/>
            <w:vAlign w:val="center"/>
          </w:tcPr>
          <w:p w14:paraId="52BCE695"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Transakcja typu forward, której termin rozpoczęcia przypada w 30-dniowym horyzoncie czasowym, a termin zapadalności po 30-dniowym horyzoncie czasowym, jeżeli pierwsza część transakcji generuje wypływ netto</w:t>
            </w:r>
          </w:p>
        </w:tc>
        <w:tc>
          <w:tcPr>
            <w:tcW w:w="1305" w:type="dxa"/>
            <w:shd w:val="clear" w:color="auto" w:fill="auto"/>
            <w:vAlign w:val="center"/>
          </w:tcPr>
          <w:p w14:paraId="39973ECC" w14:textId="77777777" w:rsidR="001A0B09"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7A50DD6A" w14:textId="77777777" w:rsidR="001A0B09"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pkt 1.1.8.6.</w:t>
            </w:r>
          </w:p>
        </w:tc>
      </w:tr>
      <w:tr w:rsidR="001A0B09" w14:paraId="7D596EA7" w14:textId="77777777" w:rsidTr="0059273D">
        <w:tc>
          <w:tcPr>
            <w:tcW w:w="529" w:type="dxa"/>
            <w:vMerge/>
            <w:shd w:val="clear" w:color="auto" w:fill="auto"/>
            <w:vAlign w:val="center"/>
          </w:tcPr>
          <w:p w14:paraId="5DF295A0" w14:textId="77777777" w:rsidR="001A0B09" w:rsidRDefault="001A0B09">
            <w:pPr>
              <w:jc w:val="center"/>
              <w:rPr>
                <w:rFonts w:ascii="Times New Roman" w:eastAsia="Calibri" w:hAnsi="Times New Roman"/>
              </w:rPr>
            </w:pPr>
          </w:p>
        </w:tc>
        <w:tc>
          <w:tcPr>
            <w:tcW w:w="5550" w:type="dxa"/>
            <w:vMerge/>
            <w:shd w:val="clear" w:color="auto" w:fill="auto"/>
            <w:vAlign w:val="center"/>
          </w:tcPr>
          <w:p w14:paraId="3E62F5CA" w14:textId="77777777" w:rsidR="001A0B09" w:rsidRDefault="001A0B09">
            <w:pPr>
              <w:jc w:val="center"/>
              <w:rPr>
                <w:rFonts w:ascii="Times New Roman" w:eastAsia="Calibri" w:hAnsi="Times New Roman"/>
              </w:rPr>
            </w:pPr>
          </w:p>
        </w:tc>
        <w:tc>
          <w:tcPr>
            <w:tcW w:w="1305" w:type="dxa"/>
            <w:shd w:val="clear" w:color="auto" w:fill="auto"/>
            <w:vAlign w:val="center"/>
          </w:tcPr>
          <w:p w14:paraId="757C17FA"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34B0CA9B"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Nie należy zgłaszać</w:t>
            </w:r>
            <w:r>
              <w:rPr>
                <w:rFonts w:ascii="Times New Roman" w:hAnsi="Times New Roman"/>
                <w:sz w:val="16"/>
              </w:rPr>
              <w:t xml:space="preserve"> </w:t>
            </w:r>
          </w:p>
        </w:tc>
      </w:tr>
      <w:tr w:rsidR="001A0B09" w14:paraId="3CB325D6" w14:textId="77777777" w:rsidTr="0059273D">
        <w:tc>
          <w:tcPr>
            <w:tcW w:w="529" w:type="dxa"/>
            <w:vMerge w:val="restart"/>
            <w:shd w:val="clear" w:color="auto" w:fill="auto"/>
            <w:vAlign w:val="center"/>
          </w:tcPr>
          <w:p w14:paraId="6AF6EE68"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Pozycja wymagająca dodatkowych wypływów zgodnie z art. 30 aktu delegowanego?</w:t>
            </w:r>
          </w:p>
        </w:tc>
        <w:tc>
          <w:tcPr>
            <w:tcW w:w="1305" w:type="dxa"/>
            <w:shd w:val="clear" w:color="auto" w:fill="auto"/>
            <w:vAlign w:val="center"/>
          </w:tcPr>
          <w:p w14:paraId="0CC2A5E3" w14:textId="77777777" w:rsidR="001A0B0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2262A07A" w14:textId="12CEC874" w:rsidR="001A0B09"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i następnie # 51</w:t>
            </w:r>
          </w:p>
        </w:tc>
      </w:tr>
      <w:tr w:rsidR="001A0B09" w14:paraId="2DC58654" w14:textId="77777777" w:rsidTr="0059273D">
        <w:tc>
          <w:tcPr>
            <w:tcW w:w="529" w:type="dxa"/>
            <w:vMerge/>
            <w:shd w:val="clear" w:color="auto" w:fill="auto"/>
            <w:vAlign w:val="center"/>
          </w:tcPr>
          <w:p w14:paraId="3FBF6174" w14:textId="77777777" w:rsidR="001A0B09" w:rsidRDefault="001A0B09">
            <w:pPr>
              <w:jc w:val="center"/>
              <w:rPr>
                <w:rFonts w:ascii="Times New Roman" w:eastAsia="Calibri" w:hAnsi="Times New Roman"/>
              </w:rPr>
            </w:pPr>
          </w:p>
        </w:tc>
        <w:tc>
          <w:tcPr>
            <w:tcW w:w="5550" w:type="dxa"/>
            <w:vMerge/>
            <w:shd w:val="clear" w:color="auto" w:fill="auto"/>
            <w:vAlign w:val="center"/>
          </w:tcPr>
          <w:p w14:paraId="2C0A6965" w14:textId="77777777" w:rsidR="001A0B09" w:rsidRDefault="001A0B09">
            <w:pPr>
              <w:jc w:val="center"/>
              <w:rPr>
                <w:rFonts w:ascii="Times New Roman" w:eastAsia="Calibri" w:hAnsi="Times New Roman"/>
              </w:rPr>
            </w:pPr>
          </w:p>
        </w:tc>
        <w:tc>
          <w:tcPr>
            <w:tcW w:w="1305" w:type="dxa"/>
            <w:shd w:val="clear" w:color="auto" w:fill="auto"/>
            <w:vAlign w:val="center"/>
          </w:tcPr>
          <w:p w14:paraId="267A21C2"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366DCFB1" w14:textId="77777777" w:rsidR="001A0B09"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1A0B09" w14:paraId="2A25A56E" w14:textId="77777777" w:rsidTr="0059273D">
        <w:tc>
          <w:tcPr>
            <w:tcW w:w="529" w:type="dxa"/>
            <w:vMerge w:val="restart"/>
            <w:shd w:val="clear" w:color="auto" w:fill="auto"/>
            <w:vAlign w:val="center"/>
          </w:tcPr>
          <w:p w14:paraId="57DA1F39" w14:textId="21ECD3A6"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 detaliczny zgodnie z art. 411 ust. 2 rozporządzenia (UE) nr 575/2013?</w:t>
            </w:r>
          </w:p>
        </w:tc>
        <w:tc>
          <w:tcPr>
            <w:tcW w:w="1305" w:type="dxa"/>
            <w:shd w:val="clear" w:color="auto" w:fill="auto"/>
            <w:vAlign w:val="center"/>
          </w:tcPr>
          <w:p w14:paraId="44E42083" w14:textId="77777777" w:rsidR="001A0B0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7EC01655" w14:textId="6ECE7B4C" w:rsidR="001A0B09"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1A0B09" w14:paraId="687B8682" w14:textId="77777777" w:rsidTr="0059273D">
        <w:tc>
          <w:tcPr>
            <w:tcW w:w="529" w:type="dxa"/>
            <w:vMerge/>
            <w:shd w:val="clear" w:color="auto" w:fill="auto"/>
            <w:vAlign w:val="center"/>
          </w:tcPr>
          <w:p w14:paraId="01482BD4" w14:textId="77777777" w:rsidR="001A0B09" w:rsidRDefault="001A0B09">
            <w:pPr>
              <w:jc w:val="center"/>
              <w:rPr>
                <w:rFonts w:ascii="Times New Roman" w:eastAsia="Calibri" w:hAnsi="Times New Roman"/>
              </w:rPr>
            </w:pPr>
          </w:p>
        </w:tc>
        <w:tc>
          <w:tcPr>
            <w:tcW w:w="5550" w:type="dxa"/>
            <w:vMerge/>
            <w:shd w:val="clear" w:color="auto" w:fill="auto"/>
            <w:vAlign w:val="center"/>
          </w:tcPr>
          <w:p w14:paraId="48C626B4" w14:textId="77777777" w:rsidR="001A0B09" w:rsidRDefault="001A0B09">
            <w:pPr>
              <w:jc w:val="center"/>
              <w:rPr>
                <w:rFonts w:ascii="Times New Roman" w:eastAsia="Calibri" w:hAnsi="Times New Roman"/>
              </w:rPr>
            </w:pPr>
          </w:p>
        </w:tc>
        <w:tc>
          <w:tcPr>
            <w:tcW w:w="1305" w:type="dxa"/>
            <w:shd w:val="clear" w:color="auto" w:fill="auto"/>
            <w:vAlign w:val="center"/>
          </w:tcPr>
          <w:p w14:paraId="74C79431"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278D0813" w14:textId="025D0554"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1A0B09" w14:paraId="6CBCEDE7" w14:textId="77777777" w:rsidTr="0059273D">
        <w:tc>
          <w:tcPr>
            <w:tcW w:w="529" w:type="dxa"/>
            <w:vMerge w:val="restart"/>
            <w:shd w:val="clear" w:color="auto" w:fill="auto"/>
            <w:vAlign w:val="center"/>
          </w:tcPr>
          <w:p w14:paraId="65E41F9C" w14:textId="45A21E9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1A0B09"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Anulowany depozyt, którego rezydualny termin zapadalności jest krótszy niż 30 dni kalendarzowych oraz gdy zatwierdzono wypłatę na rzecz innej instytucji kredytowej?</w:t>
            </w:r>
          </w:p>
        </w:tc>
        <w:tc>
          <w:tcPr>
            <w:tcW w:w="1305" w:type="dxa"/>
            <w:shd w:val="clear" w:color="auto" w:fill="auto"/>
            <w:vAlign w:val="center"/>
          </w:tcPr>
          <w:p w14:paraId="69991A90"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19CF056"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1.1.1.2.</w:t>
            </w:r>
          </w:p>
        </w:tc>
      </w:tr>
      <w:tr w:rsidR="001A0B09" w14:paraId="5F560D9E" w14:textId="77777777" w:rsidTr="0059273D">
        <w:tc>
          <w:tcPr>
            <w:tcW w:w="529" w:type="dxa"/>
            <w:vMerge/>
            <w:shd w:val="clear" w:color="auto" w:fill="auto"/>
            <w:vAlign w:val="center"/>
          </w:tcPr>
          <w:p w14:paraId="26FFAEE1" w14:textId="77777777" w:rsidR="001A0B09" w:rsidRDefault="001A0B09">
            <w:pPr>
              <w:jc w:val="center"/>
              <w:rPr>
                <w:rFonts w:ascii="Times New Roman" w:eastAsia="Calibri" w:hAnsi="Times New Roman"/>
              </w:rPr>
            </w:pPr>
          </w:p>
        </w:tc>
        <w:tc>
          <w:tcPr>
            <w:tcW w:w="5550" w:type="dxa"/>
            <w:vMerge/>
            <w:shd w:val="clear" w:color="auto" w:fill="auto"/>
            <w:vAlign w:val="center"/>
          </w:tcPr>
          <w:p w14:paraId="39E4C03C" w14:textId="77777777" w:rsidR="001A0B09" w:rsidRDefault="001A0B09">
            <w:pPr>
              <w:jc w:val="center"/>
              <w:rPr>
                <w:rFonts w:ascii="Times New Roman" w:eastAsia="Calibri" w:hAnsi="Times New Roman"/>
              </w:rPr>
            </w:pPr>
          </w:p>
        </w:tc>
        <w:tc>
          <w:tcPr>
            <w:tcW w:w="1305" w:type="dxa"/>
            <w:shd w:val="clear" w:color="auto" w:fill="auto"/>
            <w:vAlign w:val="center"/>
          </w:tcPr>
          <w:p w14:paraId="17AF971D"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4644FACB" w14:textId="77777777" w:rsidR="001A0B09"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1A0B09" w14:paraId="5DA7A89C" w14:textId="77777777" w:rsidTr="0059273D">
        <w:tc>
          <w:tcPr>
            <w:tcW w:w="529" w:type="dxa"/>
            <w:vMerge w:val="restart"/>
            <w:shd w:val="clear" w:color="auto" w:fill="auto"/>
            <w:vAlign w:val="center"/>
          </w:tcPr>
          <w:p w14:paraId="0355585E"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 zgodnie z art. 25 ust. 4 aktu delegowanego?</w:t>
            </w:r>
          </w:p>
        </w:tc>
        <w:tc>
          <w:tcPr>
            <w:tcW w:w="1305" w:type="dxa"/>
            <w:shd w:val="clear" w:color="auto" w:fill="auto"/>
            <w:vAlign w:val="center"/>
          </w:tcPr>
          <w:p w14:paraId="37453691" w14:textId="77777777" w:rsidR="001A0B09"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754B1D15" w14:textId="77777777" w:rsidR="001A0B09"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pkt 1.1.1.1.</w:t>
            </w:r>
          </w:p>
        </w:tc>
      </w:tr>
      <w:tr w:rsidR="001A0B09" w14:paraId="269B8AF7" w14:textId="77777777" w:rsidTr="0059273D">
        <w:tc>
          <w:tcPr>
            <w:tcW w:w="529" w:type="dxa"/>
            <w:vMerge/>
            <w:shd w:val="clear" w:color="auto" w:fill="auto"/>
            <w:vAlign w:val="center"/>
          </w:tcPr>
          <w:p w14:paraId="03FC5DCA" w14:textId="77777777" w:rsidR="001A0B09" w:rsidRDefault="001A0B09">
            <w:pPr>
              <w:jc w:val="center"/>
              <w:rPr>
                <w:rFonts w:ascii="Times New Roman" w:eastAsia="Calibri" w:hAnsi="Times New Roman"/>
              </w:rPr>
            </w:pPr>
          </w:p>
        </w:tc>
        <w:tc>
          <w:tcPr>
            <w:tcW w:w="5550" w:type="dxa"/>
            <w:vMerge/>
            <w:shd w:val="clear" w:color="auto" w:fill="auto"/>
            <w:vAlign w:val="center"/>
          </w:tcPr>
          <w:p w14:paraId="03A6BE31" w14:textId="77777777" w:rsidR="001A0B09" w:rsidRDefault="001A0B09">
            <w:pPr>
              <w:jc w:val="center"/>
              <w:rPr>
                <w:rFonts w:ascii="Times New Roman" w:eastAsia="Calibri" w:hAnsi="Times New Roman"/>
              </w:rPr>
            </w:pPr>
          </w:p>
        </w:tc>
        <w:tc>
          <w:tcPr>
            <w:tcW w:w="1305" w:type="dxa"/>
            <w:shd w:val="clear" w:color="auto" w:fill="auto"/>
            <w:vAlign w:val="center"/>
          </w:tcPr>
          <w:p w14:paraId="2EDB0CEF"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248BE9F8" w14:textId="77777777" w:rsidR="001A0B09"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1A0B09" w14:paraId="4D3053C4" w14:textId="77777777" w:rsidTr="0059273D">
        <w:tc>
          <w:tcPr>
            <w:tcW w:w="529" w:type="dxa"/>
            <w:vMerge w:val="restart"/>
            <w:shd w:val="clear" w:color="auto" w:fill="auto"/>
            <w:vAlign w:val="center"/>
          </w:tcPr>
          <w:p w14:paraId="382EDE3A"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 zgodnie z art. 25 ust. 5 aktu delegowanego?</w:t>
            </w:r>
          </w:p>
        </w:tc>
        <w:tc>
          <w:tcPr>
            <w:tcW w:w="1305" w:type="dxa"/>
            <w:shd w:val="clear" w:color="auto" w:fill="auto"/>
            <w:vAlign w:val="center"/>
          </w:tcPr>
          <w:p w14:paraId="7CF1EF28"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6870DF38" w14:textId="76BF360E"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1.1.1.6.</w:t>
            </w:r>
          </w:p>
        </w:tc>
      </w:tr>
      <w:tr w:rsidR="001A0B09" w14:paraId="22E9A251" w14:textId="77777777" w:rsidTr="0059273D">
        <w:tc>
          <w:tcPr>
            <w:tcW w:w="529" w:type="dxa"/>
            <w:vMerge/>
            <w:shd w:val="clear" w:color="auto" w:fill="auto"/>
            <w:vAlign w:val="center"/>
          </w:tcPr>
          <w:p w14:paraId="520A59AC" w14:textId="77777777" w:rsidR="001A0B09" w:rsidRDefault="001A0B09">
            <w:pPr>
              <w:jc w:val="center"/>
              <w:rPr>
                <w:rFonts w:ascii="Times New Roman" w:eastAsia="Calibri" w:hAnsi="Times New Roman"/>
              </w:rPr>
            </w:pPr>
          </w:p>
        </w:tc>
        <w:tc>
          <w:tcPr>
            <w:tcW w:w="5550" w:type="dxa"/>
            <w:vMerge/>
            <w:shd w:val="clear" w:color="auto" w:fill="auto"/>
            <w:vAlign w:val="center"/>
          </w:tcPr>
          <w:p w14:paraId="721F02A8" w14:textId="77777777" w:rsidR="001A0B09" w:rsidRDefault="001A0B09">
            <w:pPr>
              <w:jc w:val="center"/>
              <w:rPr>
                <w:rFonts w:ascii="Times New Roman" w:eastAsia="Calibri" w:hAnsi="Times New Roman"/>
              </w:rPr>
            </w:pPr>
          </w:p>
        </w:tc>
        <w:tc>
          <w:tcPr>
            <w:tcW w:w="1305" w:type="dxa"/>
            <w:shd w:val="clear" w:color="auto" w:fill="auto"/>
            <w:vAlign w:val="center"/>
          </w:tcPr>
          <w:p w14:paraId="2AB5EBCE"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20241295" w14:textId="77777777" w:rsidR="001A0B09"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1A0B09" w14:paraId="19F3DDA4" w14:textId="77777777" w:rsidTr="0059273D">
        <w:tc>
          <w:tcPr>
            <w:tcW w:w="529" w:type="dxa"/>
            <w:vMerge w:val="restart"/>
            <w:shd w:val="clear" w:color="auto" w:fill="auto"/>
            <w:vAlign w:val="center"/>
          </w:tcPr>
          <w:p w14:paraId="7804BC23"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 zgodnie z art. 25 ust. 2 aktu delegowanego?</w:t>
            </w:r>
          </w:p>
        </w:tc>
        <w:tc>
          <w:tcPr>
            <w:tcW w:w="1305" w:type="dxa"/>
            <w:shd w:val="clear" w:color="auto" w:fill="auto"/>
            <w:vAlign w:val="center"/>
          </w:tcPr>
          <w:p w14:paraId="24B908D9" w14:textId="77777777" w:rsidR="001A0B0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69952686" w14:textId="5DE1E849" w:rsidR="001A0B09"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Należy przypisać do jednej z odpowiednich pozycji w pkt 1.1.1.3.</w:t>
            </w:r>
          </w:p>
        </w:tc>
      </w:tr>
      <w:tr w:rsidR="001A0B09" w14:paraId="4A68ACC8" w14:textId="77777777" w:rsidTr="0059273D">
        <w:tc>
          <w:tcPr>
            <w:tcW w:w="529" w:type="dxa"/>
            <w:vMerge/>
            <w:shd w:val="clear" w:color="auto" w:fill="auto"/>
            <w:vAlign w:val="center"/>
          </w:tcPr>
          <w:p w14:paraId="3B8A92D4" w14:textId="77777777" w:rsidR="001A0B09" w:rsidRDefault="001A0B09">
            <w:pPr>
              <w:jc w:val="center"/>
              <w:rPr>
                <w:rFonts w:ascii="Times New Roman" w:eastAsia="Calibri" w:hAnsi="Times New Roman"/>
              </w:rPr>
            </w:pPr>
          </w:p>
        </w:tc>
        <w:tc>
          <w:tcPr>
            <w:tcW w:w="5550" w:type="dxa"/>
            <w:vMerge/>
            <w:shd w:val="clear" w:color="auto" w:fill="auto"/>
            <w:vAlign w:val="center"/>
          </w:tcPr>
          <w:p w14:paraId="4E2F95F9" w14:textId="77777777" w:rsidR="001A0B09" w:rsidRDefault="001A0B09">
            <w:pPr>
              <w:jc w:val="center"/>
              <w:rPr>
                <w:rFonts w:ascii="Times New Roman" w:eastAsia="Calibri" w:hAnsi="Times New Roman"/>
              </w:rPr>
            </w:pPr>
          </w:p>
        </w:tc>
        <w:tc>
          <w:tcPr>
            <w:tcW w:w="1305" w:type="dxa"/>
            <w:shd w:val="clear" w:color="auto" w:fill="auto"/>
            <w:vAlign w:val="center"/>
          </w:tcPr>
          <w:p w14:paraId="12994BD3"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1DFE9361"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1A0B09" w14:paraId="0E2D891B" w14:textId="77777777" w:rsidTr="0059273D">
        <w:tc>
          <w:tcPr>
            <w:tcW w:w="529" w:type="dxa"/>
            <w:vMerge w:val="restart"/>
            <w:shd w:val="clear" w:color="auto" w:fill="auto"/>
            <w:vAlign w:val="center"/>
          </w:tcPr>
          <w:p w14:paraId="2CB94581"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 zgodnie z art. 24 ust. 4 aktu delegowanego?</w:t>
            </w:r>
          </w:p>
        </w:tc>
        <w:tc>
          <w:tcPr>
            <w:tcW w:w="1305" w:type="dxa"/>
            <w:shd w:val="clear" w:color="auto" w:fill="auto"/>
            <w:vAlign w:val="center"/>
          </w:tcPr>
          <w:p w14:paraId="1D064EB6" w14:textId="77777777" w:rsidR="001A0B0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160663C0" w14:textId="2C6FBF08" w:rsidR="001A0B09"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pkt 1.1.1.5.</w:t>
            </w:r>
          </w:p>
        </w:tc>
      </w:tr>
      <w:tr w:rsidR="001A0B09" w14:paraId="41AA1510" w14:textId="77777777" w:rsidTr="0059273D">
        <w:tc>
          <w:tcPr>
            <w:tcW w:w="529" w:type="dxa"/>
            <w:vMerge/>
            <w:shd w:val="clear" w:color="auto" w:fill="auto"/>
            <w:vAlign w:val="center"/>
          </w:tcPr>
          <w:p w14:paraId="28092F25" w14:textId="77777777" w:rsidR="001A0B09" w:rsidRDefault="001A0B09">
            <w:pPr>
              <w:jc w:val="center"/>
              <w:rPr>
                <w:rFonts w:ascii="Times New Roman" w:eastAsia="Calibri" w:hAnsi="Times New Roman"/>
              </w:rPr>
            </w:pPr>
          </w:p>
        </w:tc>
        <w:tc>
          <w:tcPr>
            <w:tcW w:w="5550" w:type="dxa"/>
            <w:vMerge/>
            <w:shd w:val="clear" w:color="auto" w:fill="auto"/>
            <w:vAlign w:val="center"/>
          </w:tcPr>
          <w:p w14:paraId="03625AB0" w14:textId="77777777" w:rsidR="001A0B09" w:rsidRDefault="001A0B09">
            <w:pPr>
              <w:jc w:val="center"/>
              <w:rPr>
                <w:rFonts w:ascii="Times New Roman" w:eastAsia="Calibri" w:hAnsi="Times New Roman"/>
              </w:rPr>
            </w:pPr>
          </w:p>
        </w:tc>
        <w:tc>
          <w:tcPr>
            <w:tcW w:w="1305" w:type="dxa"/>
            <w:shd w:val="clear" w:color="auto" w:fill="auto"/>
            <w:vAlign w:val="center"/>
          </w:tcPr>
          <w:p w14:paraId="6F3DC6E9"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3004C298" w14:textId="56006B40"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1A0B09" w14:paraId="26F31D74" w14:textId="77777777" w:rsidTr="0059273D">
        <w:tc>
          <w:tcPr>
            <w:tcW w:w="529" w:type="dxa"/>
            <w:vMerge w:val="restart"/>
            <w:shd w:val="clear" w:color="auto" w:fill="auto"/>
            <w:vAlign w:val="center"/>
          </w:tcPr>
          <w:p w14:paraId="34F6EA78" w14:textId="691F4BD1"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 zgodnie z art. 24 ust. 1 aktu delegowanego?</w:t>
            </w:r>
          </w:p>
        </w:tc>
        <w:tc>
          <w:tcPr>
            <w:tcW w:w="1305" w:type="dxa"/>
            <w:shd w:val="clear" w:color="auto" w:fill="auto"/>
            <w:vAlign w:val="center"/>
          </w:tcPr>
          <w:p w14:paraId="7D276AAB"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6C34216C"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1.1.1.4.</w:t>
            </w:r>
          </w:p>
        </w:tc>
      </w:tr>
      <w:tr w:rsidR="001A0B09" w14:paraId="1BFAEAC7" w14:textId="77777777" w:rsidTr="0059273D">
        <w:tc>
          <w:tcPr>
            <w:tcW w:w="529" w:type="dxa"/>
            <w:vMerge/>
            <w:shd w:val="clear" w:color="auto" w:fill="auto"/>
            <w:vAlign w:val="center"/>
          </w:tcPr>
          <w:p w14:paraId="57BDB04C" w14:textId="77777777" w:rsidR="001A0B09" w:rsidRDefault="001A0B09">
            <w:pPr>
              <w:jc w:val="center"/>
              <w:rPr>
                <w:rFonts w:ascii="Times New Roman" w:eastAsia="Calibri" w:hAnsi="Times New Roman"/>
              </w:rPr>
            </w:pPr>
          </w:p>
        </w:tc>
        <w:tc>
          <w:tcPr>
            <w:tcW w:w="5550" w:type="dxa"/>
            <w:vMerge/>
            <w:shd w:val="clear" w:color="auto" w:fill="auto"/>
            <w:vAlign w:val="center"/>
          </w:tcPr>
          <w:p w14:paraId="2321468D" w14:textId="77777777" w:rsidR="001A0B09" w:rsidRDefault="001A0B09">
            <w:pPr>
              <w:jc w:val="center"/>
              <w:rPr>
                <w:rFonts w:ascii="Times New Roman" w:eastAsia="Calibri" w:hAnsi="Times New Roman"/>
              </w:rPr>
            </w:pPr>
          </w:p>
        </w:tc>
        <w:tc>
          <w:tcPr>
            <w:tcW w:w="1305" w:type="dxa"/>
            <w:shd w:val="clear" w:color="auto" w:fill="auto"/>
            <w:vAlign w:val="center"/>
          </w:tcPr>
          <w:p w14:paraId="4E9C5B20"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5F60B48A"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1.1.1.7.</w:t>
            </w:r>
          </w:p>
        </w:tc>
      </w:tr>
      <w:tr w:rsidR="001A0B09" w14:paraId="1FCD1806" w14:textId="77777777" w:rsidTr="0059273D">
        <w:tc>
          <w:tcPr>
            <w:tcW w:w="529" w:type="dxa"/>
            <w:vMerge w:val="restart"/>
            <w:shd w:val="clear" w:color="auto" w:fill="auto"/>
            <w:vAlign w:val="center"/>
          </w:tcPr>
          <w:p w14:paraId="040D8334" w14:textId="70AC7B65"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1A0B09"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Zobowiązania, które stają się wymagalne, mogą zostać wezwane do wypłaty przez emitenta lub przez dostawcę finansowania, bądź mogą wiązać się z domniemanym oczekiwaniem dostawcy finansowania, że instytucja kredytowa spłaci zobowiązanie w ciągu 30 najbliższych dni kalendarzowych?</w:t>
            </w:r>
          </w:p>
        </w:tc>
        <w:tc>
          <w:tcPr>
            <w:tcW w:w="1305" w:type="dxa"/>
            <w:shd w:val="clear" w:color="auto" w:fill="auto"/>
            <w:vAlign w:val="center"/>
          </w:tcPr>
          <w:p w14:paraId="5FE45C38"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56B2AE14" w14:textId="2406D62B"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1A0B09" w14:paraId="2C2DDEDE" w14:textId="77777777" w:rsidTr="0059273D">
        <w:tc>
          <w:tcPr>
            <w:tcW w:w="529" w:type="dxa"/>
            <w:vMerge/>
            <w:shd w:val="clear" w:color="auto" w:fill="auto"/>
            <w:vAlign w:val="center"/>
          </w:tcPr>
          <w:p w14:paraId="1A1F6118" w14:textId="77777777" w:rsidR="001A0B09" w:rsidRDefault="001A0B09">
            <w:pPr>
              <w:jc w:val="center"/>
              <w:rPr>
                <w:rFonts w:ascii="Times New Roman" w:eastAsia="Calibri" w:hAnsi="Times New Roman"/>
              </w:rPr>
            </w:pPr>
          </w:p>
        </w:tc>
        <w:tc>
          <w:tcPr>
            <w:tcW w:w="5550" w:type="dxa"/>
            <w:vMerge/>
            <w:shd w:val="clear" w:color="auto" w:fill="auto"/>
            <w:vAlign w:val="center"/>
          </w:tcPr>
          <w:p w14:paraId="40DC9110" w14:textId="77777777" w:rsidR="001A0B09" w:rsidRDefault="001A0B09">
            <w:pPr>
              <w:jc w:val="center"/>
              <w:rPr>
                <w:rFonts w:ascii="Times New Roman" w:eastAsia="Calibri" w:hAnsi="Times New Roman"/>
              </w:rPr>
            </w:pPr>
          </w:p>
        </w:tc>
        <w:tc>
          <w:tcPr>
            <w:tcW w:w="1305" w:type="dxa"/>
            <w:shd w:val="clear" w:color="auto" w:fill="auto"/>
            <w:vAlign w:val="center"/>
          </w:tcPr>
          <w:p w14:paraId="68B5E741" w14:textId="77777777" w:rsidR="001A0B09"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25759DA7" w14:textId="3552E87E" w:rsidR="001A0B09"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1A0B09" w14:paraId="7941FE88" w14:textId="77777777" w:rsidTr="0059273D">
        <w:tc>
          <w:tcPr>
            <w:tcW w:w="529" w:type="dxa"/>
            <w:vMerge w:val="restart"/>
            <w:shd w:val="clear" w:color="auto" w:fill="auto"/>
            <w:vAlign w:val="center"/>
          </w:tcPr>
          <w:p w14:paraId="76CBC442" w14:textId="48ADFE71"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Zobowiązania wynikające z własnych kosztów eksploatacyjnych instytucji?</w:t>
            </w:r>
          </w:p>
        </w:tc>
        <w:tc>
          <w:tcPr>
            <w:tcW w:w="1305" w:type="dxa"/>
            <w:shd w:val="clear" w:color="auto" w:fill="auto"/>
            <w:vAlign w:val="center"/>
          </w:tcPr>
          <w:p w14:paraId="4B51DE6C" w14:textId="77777777" w:rsidR="001A0B0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1ECEA94F" w14:textId="77777777" w:rsidR="001A0B09"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pkt 1.1.8.1.</w:t>
            </w:r>
          </w:p>
        </w:tc>
      </w:tr>
      <w:tr w:rsidR="001A0B09" w14:paraId="7417BB93" w14:textId="77777777" w:rsidTr="0059273D">
        <w:tc>
          <w:tcPr>
            <w:tcW w:w="529" w:type="dxa"/>
            <w:vMerge/>
            <w:shd w:val="clear" w:color="auto" w:fill="auto"/>
            <w:vAlign w:val="center"/>
          </w:tcPr>
          <w:p w14:paraId="73CEA881" w14:textId="77777777" w:rsidR="001A0B09" w:rsidRDefault="001A0B09">
            <w:pPr>
              <w:jc w:val="center"/>
              <w:rPr>
                <w:rFonts w:ascii="Times New Roman" w:eastAsia="Calibri" w:hAnsi="Times New Roman"/>
              </w:rPr>
            </w:pPr>
          </w:p>
        </w:tc>
        <w:tc>
          <w:tcPr>
            <w:tcW w:w="5550" w:type="dxa"/>
            <w:vMerge/>
            <w:shd w:val="clear" w:color="auto" w:fill="auto"/>
            <w:vAlign w:val="center"/>
          </w:tcPr>
          <w:p w14:paraId="5A235BDE" w14:textId="77777777" w:rsidR="001A0B09" w:rsidRDefault="001A0B09">
            <w:pPr>
              <w:jc w:val="center"/>
              <w:rPr>
                <w:rFonts w:ascii="Times New Roman" w:eastAsia="Calibri" w:hAnsi="Times New Roman"/>
              </w:rPr>
            </w:pPr>
          </w:p>
        </w:tc>
        <w:tc>
          <w:tcPr>
            <w:tcW w:w="1305" w:type="dxa"/>
            <w:shd w:val="clear" w:color="auto" w:fill="auto"/>
            <w:vAlign w:val="center"/>
          </w:tcPr>
          <w:p w14:paraId="198828FF"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17996DD8"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1A0B09" w14:paraId="23F8F447" w14:textId="77777777" w:rsidTr="0059273D">
        <w:tc>
          <w:tcPr>
            <w:tcW w:w="529" w:type="dxa"/>
            <w:vMerge w:val="restart"/>
            <w:shd w:val="clear" w:color="auto" w:fill="auto"/>
            <w:vAlign w:val="center"/>
          </w:tcPr>
          <w:p w14:paraId="4D83FAE0"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1A0B09"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Zobowiązanie w postaci obligacji sprzedawanych wyłącznie na rynku detalicznym i przechowywanych na rachunku detalicznym zgodnie z art. 28 ust. 6 aktu delegowanego?</w:t>
            </w:r>
          </w:p>
        </w:tc>
        <w:tc>
          <w:tcPr>
            <w:tcW w:w="1305" w:type="dxa"/>
            <w:shd w:val="clear" w:color="auto" w:fill="auto"/>
            <w:vAlign w:val="center"/>
          </w:tcPr>
          <w:p w14:paraId="31D42F58" w14:textId="77777777" w:rsidR="001A0B09"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4290030" w14:textId="77777777" w:rsidR="001A0B09"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Należy postępować w sposób określony dla depozytów detalicznych (tj. odpowiedzieć „tak” w # 5 i odpowiednio postępować)</w:t>
            </w:r>
          </w:p>
        </w:tc>
      </w:tr>
      <w:tr w:rsidR="001A0B09" w14:paraId="6DD35BD7" w14:textId="77777777" w:rsidTr="0059273D">
        <w:tc>
          <w:tcPr>
            <w:tcW w:w="529" w:type="dxa"/>
            <w:vMerge/>
            <w:shd w:val="clear" w:color="auto" w:fill="auto"/>
            <w:vAlign w:val="center"/>
          </w:tcPr>
          <w:p w14:paraId="20BFFC2C" w14:textId="77777777" w:rsidR="001A0B09" w:rsidRDefault="001A0B09">
            <w:pPr>
              <w:jc w:val="center"/>
              <w:rPr>
                <w:rFonts w:ascii="Times New Roman" w:eastAsia="Calibri" w:hAnsi="Times New Roman"/>
              </w:rPr>
            </w:pPr>
          </w:p>
        </w:tc>
        <w:tc>
          <w:tcPr>
            <w:tcW w:w="5550" w:type="dxa"/>
            <w:vMerge/>
            <w:shd w:val="clear" w:color="auto" w:fill="auto"/>
            <w:vAlign w:val="center"/>
          </w:tcPr>
          <w:p w14:paraId="0039D631" w14:textId="77777777" w:rsidR="001A0B09" w:rsidRDefault="001A0B09">
            <w:pPr>
              <w:jc w:val="center"/>
              <w:rPr>
                <w:rFonts w:ascii="Times New Roman" w:eastAsia="Calibri" w:hAnsi="Times New Roman"/>
              </w:rPr>
            </w:pPr>
          </w:p>
        </w:tc>
        <w:tc>
          <w:tcPr>
            <w:tcW w:w="1305" w:type="dxa"/>
            <w:shd w:val="clear" w:color="auto" w:fill="auto"/>
            <w:vAlign w:val="center"/>
          </w:tcPr>
          <w:p w14:paraId="45DABDBD"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73ADCE61"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1A0B09" w14:paraId="4AB0E8AE" w14:textId="77777777" w:rsidTr="0059273D">
        <w:tc>
          <w:tcPr>
            <w:tcW w:w="529" w:type="dxa"/>
            <w:vMerge w:val="restart"/>
            <w:shd w:val="clear" w:color="auto" w:fill="auto"/>
            <w:vAlign w:val="center"/>
          </w:tcPr>
          <w:p w14:paraId="60774A01"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Zobowiązanie w postaci dłużnych papierów wartościowych?</w:t>
            </w:r>
          </w:p>
        </w:tc>
        <w:tc>
          <w:tcPr>
            <w:tcW w:w="1305" w:type="dxa"/>
            <w:shd w:val="clear" w:color="auto" w:fill="auto"/>
            <w:vAlign w:val="center"/>
          </w:tcPr>
          <w:p w14:paraId="63FBA0D5"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47560955" w14:textId="273B57AD" w:rsidR="001A0B09"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pkt 1.1.8.2.</w:t>
            </w:r>
          </w:p>
        </w:tc>
      </w:tr>
      <w:tr w:rsidR="001A0B09" w14:paraId="3D2A88F2" w14:textId="77777777" w:rsidTr="0059273D">
        <w:tc>
          <w:tcPr>
            <w:tcW w:w="529" w:type="dxa"/>
            <w:vMerge/>
            <w:shd w:val="clear" w:color="auto" w:fill="auto"/>
            <w:vAlign w:val="center"/>
          </w:tcPr>
          <w:p w14:paraId="7FDB3D23"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8C5776E" w14:textId="77777777" w:rsidR="001A0B09" w:rsidRDefault="001A0B09">
            <w:pPr>
              <w:jc w:val="center"/>
              <w:rPr>
                <w:rFonts w:ascii="Times New Roman" w:eastAsia="Calibri" w:hAnsi="Times New Roman"/>
              </w:rPr>
            </w:pPr>
          </w:p>
        </w:tc>
        <w:tc>
          <w:tcPr>
            <w:tcW w:w="1305" w:type="dxa"/>
            <w:shd w:val="clear" w:color="auto" w:fill="auto"/>
            <w:vAlign w:val="center"/>
          </w:tcPr>
          <w:p w14:paraId="6A83796C"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50D6027E"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1A0B09" w14:paraId="70CF9136" w14:textId="77777777" w:rsidTr="0059273D">
        <w:tc>
          <w:tcPr>
            <w:tcW w:w="529" w:type="dxa"/>
            <w:vMerge w:val="restart"/>
            <w:shd w:val="clear" w:color="auto" w:fill="auto"/>
            <w:vAlign w:val="center"/>
          </w:tcPr>
          <w:p w14:paraId="23D47858"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 otrzymany jako zabezpieczenie?</w:t>
            </w:r>
          </w:p>
        </w:tc>
        <w:tc>
          <w:tcPr>
            <w:tcW w:w="1305" w:type="dxa"/>
            <w:shd w:val="clear" w:color="auto" w:fill="auto"/>
            <w:vAlign w:val="center"/>
          </w:tcPr>
          <w:p w14:paraId="533403FB" w14:textId="77777777" w:rsidR="001A0B0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0D898C14" w14:textId="77BA27EB" w:rsidR="001A0B09"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Należy przypisać do jednej z odpowiednich pozycji w pkt 1.1.5.</w:t>
            </w:r>
          </w:p>
        </w:tc>
      </w:tr>
      <w:tr w:rsidR="001A0B09" w14:paraId="55F59304" w14:textId="77777777" w:rsidTr="0059273D">
        <w:tc>
          <w:tcPr>
            <w:tcW w:w="529" w:type="dxa"/>
            <w:vMerge/>
            <w:shd w:val="clear" w:color="auto" w:fill="auto"/>
            <w:vAlign w:val="center"/>
          </w:tcPr>
          <w:p w14:paraId="6602BC6D"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2038C86" w14:textId="77777777" w:rsidR="001A0B09" w:rsidRDefault="001A0B09">
            <w:pPr>
              <w:jc w:val="center"/>
              <w:rPr>
                <w:rFonts w:ascii="Times New Roman" w:eastAsia="Calibri" w:hAnsi="Times New Roman"/>
              </w:rPr>
            </w:pPr>
          </w:p>
        </w:tc>
        <w:tc>
          <w:tcPr>
            <w:tcW w:w="1305" w:type="dxa"/>
            <w:shd w:val="clear" w:color="auto" w:fill="auto"/>
            <w:vAlign w:val="center"/>
          </w:tcPr>
          <w:p w14:paraId="2D32ABE0"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0BF876E3"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1A0B09" w14:paraId="5F0E8FC4" w14:textId="77777777" w:rsidTr="0059273D">
        <w:tc>
          <w:tcPr>
            <w:tcW w:w="529" w:type="dxa"/>
            <w:vMerge w:val="restart"/>
            <w:shd w:val="clear" w:color="auto" w:fill="auto"/>
            <w:vAlign w:val="center"/>
          </w:tcPr>
          <w:p w14:paraId="4915F544"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 wynikający z bankowości korespondencyjnej lub świadczenia usług brokerskich?</w:t>
            </w:r>
          </w:p>
        </w:tc>
        <w:tc>
          <w:tcPr>
            <w:tcW w:w="1305" w:type="dxa"/>
            <w:shd w:val="clear" w:color="auto" w:fill="auto"/>
            <w:vAlign w:val="center"/>
          </w:tcPr>
          <w:p w14:paraId="42203966"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6946E00F" w14:textId="257F1368" w:rsidR="001A0B09"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pkt 1.1.4.1.</w:t>
            </w:r>
          </w:p>
        </w:tc>
      </w:tr>
      <w:tr w:rsidR="001A0B09" w14:paraId="10F6FE73" w14:textId="77777777" w:rsidTr="0059273D">
        <w:tc>
          <w:tcPr>
            <w:tcW w:w="529" w:type="dxa"/>
            <w:vMerge/>
            <w:shd w:val="clear" w:color="auto" w:fill="auto"/>
            <w:vAlign w:val="center"/>
          </w:tcPr>
          <w:p w14:paraId="4CAE36C2" w14:textId="77777777" w:rsidR="001A0B09" w:rsidRDefault="001A0B09">
            <w:pPr>
              <w:jc w:val="center"/>
              <w:rPr>
                <w:rFonts w:ascii="Times New Roman" w:eastAsia="Calibri" w:hAnsi="Times New Roman"/>
              </w:rPr>
            </w:pPr>
          </w:p>
        </w:tc>
        <w:tc>
          <w:tcPr>
            <w:tcW w:w="5550" w:type="dxa"/>
            <w:vMerge/>
            <w:shd w:val="clear" w:color="auto" w:fill="auto"/>
            <w:vAlign w:val="center"/>
          </w:tcPr>
          <w:p w14:paraId="5277812C" w14:textId="77777777" w:rsidR="001A0B09" w:rsidRDefault="001A0B09">
            <w:pPr>
              <w:jc w:val="center"/>
              <w:rPr>
                <w:rFonts w:ascii="Times New Roman" w:eastAsia="Calibri" w:hAnsi="Times New Roman"/>
              </w:rPr>
            </w:pPr>
          </w:p>
        </w:tc>
        <w:tc>
          <w:tcPr>
            <w:tcW w:w="1305" w:type="dxa"/>
            <w:shd w:val="clear" w:color="auto" w:fill="auto"/>
            <w:vAlign w:val="center"/>
          </w:tcPr>
          <w:p w14:paraId="4DA366E0"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10AE7CD0"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1A0B09" w14:paraId="02A0F95D" w14:textId="77777777" w:rsidTr="0059273D">
        <w:tc>
          <w:tcPr>
            <w:tcW w:w="529" w:type="dxa"/>
            <w:vMerge w:val="restart"/>
            <w:shd w:val="clear" w:color="auto" w:fill="auto"/>
            <w:vAlign w:val="center"/>
          </w:tcPr>
          <w:p w14:paraId="36C3143A" w14:textId="171839B3"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 operacyjny zgodnie z art. 27 aktu delegowanego?</w:t>
            </w:r>
          </w:p>
        </w:tc>
        <w:tc>
          <w:tcPr>
            <w:tcW w:w="1305" w:type="dxa"/>
            <w:shd w:val="clear" w:color="auto" w:fill="auto"/>
            <w:vAlign w:val="center"/>
          </w:tcPr>
          <w:p w14:paraId="152B754B" w14:textId="77777777" w:rsidR="001A0B0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F3F8368" w14:textId="176A555B" w:rsidR="001A0B0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1A0B09" w14:paraId="0A60FE17" w14:textId="77777777" w:rsidTr="0059273D">
        <w:tc>
          <w:tcPr>
            <w:tcW w:w="529" w:type="dxa"/>
            <w:vMerge/>
            <w:shd w:val="clear" w:color="auto" w:fill="auto"/>
            <w:vAlign w:val="center"/>
          </w:tcPr>
          <w:p w14:paraId="748B0A52"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517EC12" w14:textId="77777777" w:rsidR="001A0B09" w:rsidRDefault="001A0B09">
            <w:pPr>
              <w:jc w:val="center"/>
              <w:rPr>
                <w:rFonts w:ascii="Times New Roman" w:eastAsia="Calibri" w:hAnsi="Times New Roman"/>
              </w:rPr>
            </w:pPr>
          </w:p>
        </w:tc>
        <w:tc>
          <w:tcPr>
            <w:tcW w:w="1305" w:type="dxa"/>
            <w:shd w:val="clear" w:color="auto" w:fill="auto"/>
            <w:vAlign w:val="center"/>
          </w:tcPr>
          <w:p w14:paraId="51C837E5"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09151F5E" w14:textId="655948EA"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1A0B09" w14:paraId="15BB7148" w14:textId="77777777" w:rsidTr="0059273D">
        <w:tc>
          <w:tcPr>
            <w:tcW w:w="529" w:type="dxa"/>
            <w:vMerge w:val="restart"/>
            <w:shd w:val="clear" w:color="auto" w:fill="auto"/>
            <w:vAlign w:val="center"/>
          </w:tcPr>
          <w:p w14:paraId="460080E3" w14:textId="2D4F3670"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1A0B09"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Utrzymywany w kontekście instytucjonalnego systemu ochrony lub sieci współpracy?</w:t>
            </w:r>
          </w:p>
        </w:tc>
        <w:tc>
          <w:tcPr>
            <w:tcW w:w="1305" w:type="dxa"/>
            <w:shd w:val="clear" w:color="auto" w:fill="auto"/>
            <w:vAlign w:val="center"/>
          </w:tcPr>
          <w:p w14:paraId="43FAB363"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03C0C7BE" w14:textId="52E84313" w:rsidR="001A0B09"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1A0B09" w14:paraId="6E704A32" w14:textId="77777777" w:rsidTr="0059273D">
        <w:tc>
          <w:tcPr>
            <w:tcW w:w="529" w:type="dxa"/>
            <w:vMerge/>
            <w:shd w:val="clear" w:color="auto" w:fill="auto"/>
            <w:vAlign w:val="center"/>
          </w:tcPr>
          <w:p w14:paraId="51265B63" w14:textId="77777777" w:rsidR="001A0B09" w:rsidRDefault="001A0B09">
            <w:pPr>
              <w:jc w:val="center"/>
              <w:rPr>
                <w:rFonts w:ascii="Times New Roman" w:eastAsia="Calibri" w:hAnsi="Times New Roman"/>
              </w:rPr>
            </w:pPr>
          </w:p>
        </w:tc>
        <w:tc>
          <w:tcPr>
            <w:tcW w:w="5550" w:type="dxa"/>
            <w:vMerge/>
            <w:shd w:val="clear" w:color="auto" w:fill="auto"/>
            <w:vAlign w:val="center"/>
          </w:tcPr>
          <w:p w14:paraId="478CCC4A" w14:textId="77777777" w:rsidR="001A0B09" w:rsidRDefault="001A0B09">
            <w:pPr>
              <w:jc w:val="center"/>
              <w:rPr>
                <w:rFonts w:ascii="Times New Roman" w:eastAsia="Calibri" w:hAnsi="Times New Roman"/>
              </w:rPr>
            </w:pPr>
          </w:p>
        </w:tc>
        <w:tc>
          <w:tcPr>
            <w:tcW w:w="1305" w:type="dxa"/>
            <w:shd w:val="clear" w:color="auto" w:fill="auto"/>
            <w:vAlign w:val="center"/>
          </w:tcPr>
          <w:p w14:paraId="7F861F3A"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5768E6EF"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1A0B09" w14:paraId="5FE26A7E" w14:textId="77777777" w:rsidTr="0059273D">
        <w:tc>
          <w:tcPr>
            <w:tcW w:w="529" w:type="dxa"/>
            <w:vMerge w:val="restart"/>
            <w:shd w:val="clear" w:color="auto" w:fill="auto"/>
            <w:vAlign w:val="center"/>
          </w:tcPr>
          <w:p w14:paraId="64DB452A"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Traktowany jako składnik aktywów płynnych przez deponująca instytucje kredytową?</w:t>
            </w:r>
          </w:p>
        </w:tc>
        <w:tc>
          <w:tcPr>
            <w:tcW w:w="1305" w:type="dxa"/>
            <w:shd w:val="clear" w:color="auto" w:fill="auto"/>
            <w:vAlign w:val="center"/>
          </w:tcPr>
          <w:p w14:paraId="5A82765E"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5A03D3D5" w14:textId="77777777" w:rsidR="001A0B0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pkt 1.1.2.2.2.</w:t>
            </w:r>
          </w:p>
        </w:tc>
      </w:tr>
      <w:tr w:rsidR="001A0B09" w14:paraId="2E534200" w14:textId="77777777" w:rsidTr="0059273D">
        <w:tc>
          <w:tcPr>
            <w:tcW w:w="529" w:type="dxa"/>
            <w:vMerge/>
            <w:shd w:val="clear" w:color="auto" w:fill="auto"/>
            <w:vAlign w:val="center"/>
          </w:tcPr>
          <w:p w14:paraId="0C1C54FE" w14:textId="77777777" w:rsidR="001A0B09" w:rsidRDefault="001A0B09">
            <w:pPr>
              <w:jc w:val="center"/>
              <w:rPr>
                <w:rFonts w:ascii="Times New Roman" w:eastAsia="Calibri" w:hAnsi="Times New Roman"/>
              </w:rPr>
            </w:pPr>
          </w:p>
        </w:tc>
        <w:tc>
          <w:tcPr>
            <w:tcW w:w="5550" w:type="dxa"/>
            <w:vMerge/>
            <w:shd w:val="clear" w:color="auto" w:fill="auto"/>
            <w:vAlign w:val="center"/>
          </w:tcPr>
          <w:p w14:paraId="35F5595C" w14:textId="77777777" w:rsidR="001A0B09" w:rsidRDefault="001A0B09">
            <w:pPr>
              <w:jc w:val="center"/>
              <w:rPr>
                <w:rFonts w:ascii="Times New Roman" w:eastAsia="Calibri" w:hAnsi="Times New Roman"/>
              </w:rPr>
            </w:pPr>
          </w:p>
        </w:tc>
        <w:tc>
          <w:tcPr>
            <w:tcW w:w="1305" w:type="dxa"/>
            <w:shd w:val="clear" w:color="auto" w:fill="auto"/>
            <w:vAlign w:val="center"/>
          </w:tcPr>
          <w:p w14:paraId="2071E408" w14:textId="77777777" w:rsidR="001A0B09"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4C45D6EE" w14:textId="77777777" w:rsidR="001A0B0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1A0B09" w14:paraId="60DDD6BD" w14:textId="77777777" w:rsidTr="0059273D">
        <w:tc>
          <w:tcPr>
            <w:tcW w:w="529" w:type="dxa"/>
            <w:vMerge w:val="restart"/>
            <w:shd w:val="clear" w:color="auto" w:fill="auto"/>
            <w:vAlign w:val="center"/>
          </w:tcPr>
          <w:p w14:paraId="4B17D629" w14:textId="33620852"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Utrzymywany w celu skorzystania z usług rozliczenia gotówkowego i usług świadczonych przez centralną instytucję kredytową w ramach sieci?</w:t>
            </w:r>
          </w:p>
        </w:tc>
        <w:tc>
          <w:tcPr>
            <w:tcW w:w="1305" w:type="dxa"/>
            <w:shd w:val="clear" w:color="auto" w:fill="auto"/>
            <w:vAlign w:val="center"/>
          </w:tcPr>
          <w:p w14:paraId="7DDF6E4A"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7F970D15"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1.1.2.4.</w:t>
            </w:r>
          </w:p>
        </w:tc>
      </w:tr>
      <w:tr w:rsidR="001A0B09" w14:paraId="7FAA49AA" w14:textId="77777777" w:rsidTr="0059273D">
        <w:tc>
          <w:tcPr>
            <w:tcW w:w="529" w:type="dxa"/>
            <w:vMerge/>
            <w:shd w:val="clear" w:color="auto" w:fill="auto"/>
            <w:vAlign w:val="center"/>
          </w:tcPr>
          <w:p w14:paraId="3983F118"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5C4F6CB" w14:textId="77777777" w:rsidR="001A0B09" w:rsidRDefault="001A0B09">
            <w:pPr>
              <w:jc w:val="center"/>
              <w:rPr>
                <w:rFonts w:ascii="Times New Roman" w:eastAsia="Calibri" w:hAnsi="Times New Roman"/>
              </w:rPr>
            </w:pPr>
          </w:p>
        </w:tc>
        <w:tc>
          <w:tcPr>
            <w:tcW w:w="1305" w:type="dxa"/>
            <w:shd w:val="clear" w:color="auto" w:fill="auto"/>
            <w:vAlign w:val="center"/>
          </w:tcPr>
          <w:p w14:paraId="403C91C1"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6EB061F1" w14:textId="77777777" w:rsidR="001A0B0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pkt 1.1.2.2.1.</w:t>
            </w:r>
          </w:p>
        </w:tc>
      </w:tr>
      <w:tr w:rsidR="001A0B09" w14:paraId="67BF4695" w14:textId="77777777" w:rsidTr="0059273D">
        <w:tc>
          <w:tcPr>
            <w:tcW w:w="529" w:type="dxa"/>
            <w:vMerge w:val="restart"/>
            <w:shd w:val="clear" w:color="auto" w:fill="auto"/>
            <w:vAlign w:val="center"/>
          </w:tcPr>
          <w:p w14:paraId="42D90D59" w14:textId="52E5F22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1A0B09"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Utrzymywany w celu skorzystania z usług rozliczeniowych, powierniczych lub zarządzania płynnością lub innych porównywalnych usług w kontekście utrwalonej relacji operacyjnej?</w:t>
            </w:r>
          </w:p>
        </w:tc>
        <w:tc>
          <w:tcPr>
            <w:tcW w:w="1305" w:type="dxa"/>
            <w:shd w:val="clear" w:color="auto" w:fill="auto"/>
            <w:vAlign w:val="center"/>
          </w:tcPr>
          <w:p w14:paraId="42CCA4E7" w14:textId="77777777" w:rsidR="001A0B0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FDEF73A" w14:textId="77777777" w:rsidR="001A0B09"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Należy przypisać do jednej z odpowiednich pozycji w pkt 1.1.2.1.</w:t>
            </w:r>
          </w:p>
        </w:tc>
      </w:tr>
      <w:tr w:rsidR="001A0B09" w14:paraId="19BD23DF" w14:textId="77777777" w:rsidTr="0059273D">
        <w:tc>
          <w:tcPr>
            <w:tcW w:w="529" w:type="dxa"/>
            <w:vMerge/>
            <w:shd w:val="clear" w:color="auto" w:fill="auto"/>
            <w:vAlign w:val="center"/>
          </w:tcPr>
          <w:p w14:paraId="3003AC27"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7F02ED5" w14:textId="77777777" w:rsidR="001A0B09" w:rsidRDefault="001A0B09">
            <w:pPr>
              <w:jc w:val="center"/>
              <w:rPr>
                <w:rFonts w:ascii="Times New Roman" w:eastAsia="Calibri" w:hAnsi="Times New Roman"/>
              </w:rPr>
            </w:pPr>
          </w:p>
        </w:tc>
        <w:tc>
          <w:tcPr>
            <w:tcW w:w="1305" w:type="dxa"/>
            <w:shd w:val="clear" w:color="auto" w:fill="auto"/>
            <w:vAlign w:val="center"/>
          </w:tcPr>
          <w:p w14:paraId="744172F9"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0DE4B33F" w14:textId="5A879D21"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1A0B09" w14:paraId="6B994388" w14:textId="77777777" w:rsidTr="0059273D">
        <w:tc>
          <w:tcPr>
            <w:tcW w:w="529" w:type="dxa"/>
            <w:vMerge w:val="restart"/>
            <w:shd w:val="clear" w:color="auto" w:fill="auto"/>
            <w:vAlign w:val="center"/>
          </w:tcPr>
          <w:p w14:paraId="0815ED65" w14:textId="1FA3E876"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1A0B09"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Utrzymywany w kontekście utrwalonej relacji operacyjnej (innego rodzaju) z klientami niefinansowymi?</w:t>
            </w:r>
          </w:p>
        </w:tc>
        <w:tc>
          <w:tcPr>
            <w:tcW w:w="1305" w:type="dxa"/>
            <w:shd w:val="clear" w:color="auto" w:fill="auto"/>
            <w:vAlign w:val="center"/>
          </w:tcPr>
          <w:p w14:paraId="70976823"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7B82FFB9"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1.1.2.3.</w:t>
            </w:r>
          </w:p>
        </w:tc>
      </w:tr>
      <w:tr w:rsidR="001A0B09" w14:paraId="26266AE3" w14:textId="77777777" w:rsidTr="0059273D">
        <w:tc>
          <w:tcPr>
            <w:tcW w:w="529" w:type="dxa"/>
            <w:vMerge/>
            <w:shd w:val="clear" w:color="auto" w:fill="auto"/>
            <w:vAlign w:val="center"/>
          </w:tcPr>
          <w:p w14:paraId="71C0A4D3" w14:textId="77777777" w:rsidR="001A0B09" w:rsidRDefault="001A0B09">
            <w:pPr>
              <w:jc w:val="center"/>
              <w:rPr>
                <w:rFonts w:ascii="Times New Roman" w:hAnsi="Times New Roman"/>
              </w:rPr>
            </w:pPr>
          </w:p>
        </w:tc>
        <w:tc>
          <w:tcPr>
            <w:tcW w:w="5550" w:type="dxa"/>
            <w:vMerge/>
            <w:shd w:val="clear" w:color="auto" w:fill="auto"/>
            <w:vAlign w:val="center"/>
          </w:tcPr>
          <w:p w14:paraId="06802C91" w14:textId="77777777" w:rsidR="001A0B09" w:rsidRDefault="001A0B09">
            <w:pPr>
              <w:jc w:val="center"/>
              <w:rPr>
                <w:rFonts w:ascii="Times New Roman" w:hAnsi="Times New Roman"/>
              </w:rPr>
            </w:pPr>
          </w:p>
        </w:tc>
        <w:tc>
          <w:tcPr>
            <w:tcW w:w="1305" w:type="dxa"/>
            <w:shd w:val="clear" w:color="auto" w:fill="auto"/>
            <w:vAlign w:val="center"/>
          </w:tcPr>
          <w:p w14:paraId="7E3A582A"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1F554AE1" w14:textId="6E19B8CD"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1A0B09" w14:paraId="401753E0" w14:textId="77777777" w:rsidTr="0059273D">
        <w:tc>
          <w:tcPr>
            <w:tcW w:w="529" w:type="dxa"/>
            <w:vMerge w:val="restart"/>
            <w:shd w:val="clear" w:color="auto" w:fill="auto"/>
            <w:vAlign w:val="center"/>
          </w:tcPr>
          <w:p w14:paraId="2ADF5571" w14:textId="6BD38AAE" w:rsidR="001A0B09"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1A0B09" w:rsidRDefault="008D2CDE">
            <w:pPr>
              <w:pStyle w:val="TableParagraph"/>
              <w:ind w:left="243"/>
              <w:jc w:val="center"/>
              <w:rPr>
                <w:rFonts w:ascii="Times New Roman" w:hAnsi="Times New Roman"/>
                <w:sz w:val="16"/>
              </w:rPr>
            </w:pPr>
            <w:r>
              <w:rPr>
                <w:rFonts w:ascii="Times New Roman" w:hAnsi="Times New Roman"/>
                <w:sz w:val="16"/>
              </w:rPr>
              <w:t>Nadwyżka depozytów operacyjnych?</w:t>
            </w:r>
          </w:p>
        </w:tc>
        <w:tc>
          <w:tcPr>
            <w:tcW w:w="1305" w:type="dxa"/>
            <w:shd w:val="clear" w:color="auto" w:fill="auto"/>
            <w:vAlign w:val="center"/>
          </w:tcPr>
          <w:p w14:paraId="53A0C5F8" w14:textId="77777777" w:rsidR="001A0B09" w:rsidRDefault="008D2CDE">
            <w:pPr>
              <w:pStyle w:val="TableParagraph"/>
              <w:spacing w:before="32"/>
              <w:ind w:left="433"/>
              <w:jc w:val="center"/>
              <w:rPr>
                <w:rFonts w:ascii="Times New Roman" w:hAnsi="Times New Roman"/>
                <w:sz w:val="16"/>
              </w:rPr>
            </w:pPr>
            <w:r>
              <w:rPr>
                <w:rFonts w:ascii="Times New Roman" w:hAnsi="Times New Roman"/>
                <w:sz w:val="16"/>
              </w:rPr>
              <w:t>Tak</w:t>
            </w:r>
          </w:p>
        </w:tc>
        <w:tc>
          <w:tcPr>
            <w:tcW w:w="2222" w:type="dxa"/>
            <w:shd w:val="clear" w:color="auto" w:fill="auto"/>
            <w:vAlign w:val="center"/>
          </w:tcPr>
          <w:p w14:paraId="59D79FB9" w14:textId="77777777" w:rsidR="001A0B09" w:rsidRDefault="008D2CDE">
            <w:pPr>
              <w:pStyle w:val="TableParagraph"/>
              <w:spacing w:before="32"/>
              <w:ind w:left="490"/>
              <w:jc w:val="center"/>
              <w:rPr>
                <w:rFonts w:ascii="Times New Roman" w:hAnsi="Times New Roman"/>
                <w:sz w:val="16"/>
              </w:rPr>
            </w:pPr>
            <w:r>
              <w:rPr>
                <w:rFonts w:ascii="Times New Roman" w:hAnsi="Times New Roman"/>
                <w:sz w:val="16"/>
              </w:rPr>
              <w:t xml:space="preserve">Należy przypisać do </w:t>
            </w:r>
            <w:r>
              <w:rPr>
                <w:rFonts w:ascii="Times New Roman" w:hAnsi="Times New Roman"/>
                <w:sz w:val="16"/>
              </w:rPr>
              <w:lastRenderedPageBreak/>
              <w:t>jednej z odpowiednich pozycji w pkt 1.1.3.</w:t>
            </w:r>
          </w:p>
        </w:tc>
      </w:tr>
      <w:tr w:rsidR="001A0B09" w14:paraId="2AB9D9FB" w14:textId="77777777" w:rsidTr="0059273D">
        <w:tc>
          <w:tcPr>
            <w:tcW w:w="529" w:type="dxa"/>
            <w:vMerge/>
            <w:shd w:val="clear" w:color="auto" w:fill="auto"/>
            <w:vAlign w:val="center"/>
          </w:tcPr>
          <w:p w14:paraId="59F97FC8" w14:textId="77777777" w:rsidR="001A0B09" w:rsidRDefault="001A0B09">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1A0B09" w:rsidRDefault="001A0B09">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1A0B09" w:rsidRDefault="008D2CDE">
            <w:pPr>
              <w:pStyle w:val="TableParagraph"/>
              <w:spacing w:before="32"/>
              <w:ind w:left="433"/>
              <w:jc w:val="center"/>
              <w:rPr>
                <w:rFonts w:ascii="Times New Roman" w:hAnsi="Times New Roman"/>
                <w:sz w:val="16"/>
              </w:rPr>
            </w:pPr>
            <w:r>
              <w:rPr>
                <w:rFonts w:ascii="Times New Roman" w:hAnsi="Times New Roman"/>
                <w:sz w:val="16"/>
              </w:rPr>
              <w:t>Nie</w:t>
            </w:r>
          </w:p>
        </w:tc>
        <w:tc>
          <w:tcPr>
            <w:tcW w:w="2222" w:type="dxa"/>
            <w:shd w:val="clear" w:color="auto" w:fill="auto"/>
            <w:vAlign w:val="center"/>
          </w:tcPr>
          <w:p w14:paraId="7E47FCCA" w14:textId="2D7C18F1" w:rsidR="001A0B09"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1A0B09" w14:paraId="1E9F41C4" w14:textId="77777777" w:rsidTr="0059273D">
        <w:tc>
          <w:tcPr>
            <w:tcW w:w="529" w:type="dxa"/>
            <w:vMerge w:val="restart"/>
            <w:shd w:val="clear" w:color="auto" w:fill="auto"/>
            <w:vAlign w:val="center"/>
          </w:tcPr>
          <w:p w14:paraId="36EC2AC1" w14:textId="0CD5A66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Inny depozyt?</w:t>
            </w:r>
          </w:p>
        </w:tc>
        <w:tc>
          <w:tcPr>
            <w:tcW w:w="1305" w:type="dxa"/>
            <w:shd w:val="clear" w:color="auto" w:fill="auto"/>
            <w:vAlign w:val="center"/>
          </w:tcPr>
          <w:p w14:paraId="7DD70420"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CC64DB1" w14:textId="7B5D7084"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1A0B09" w14:paraId="3A2E6086" w14:textId="77777777" w:rsidTr="0059273D">
        <w:tc>
          <w:tcPr>
            <w:tcW w:w="529" w:type="dxa"/>
            <w:vMerge/>
            <w:shd w:val="clear" w:color="auto" w:fill="auto"/>
            <w:vAlign w:val="center"/>
          </w:tcPr>
          <w:p w14:paraId="5EAAB419" w14:textId="77777777" w:rsidR="001A0B09" w:rsidRDefault="001A0B09">
            <w:pPr>
              <w:jc w:val="center"/>
              <w:rPr>
                <w:rFonts w:ascii="Times New Roman" w:eastAsia="Calibri" w:hAnsi="Times New Roman"/>
              </w:rPr>
            </w:pPr>
          </w:p>
        </w:tc>
        <w:tc>
          <w:tcPr>
            <w:tcW w:w="5550" w:type="dxa"/>
            <w:vMerge/>
            <w:shd w:val="clear" w:color="auto" w:fill="auto"/>
            <w:vAlign w:val="center"/>
          </w:tcPr>
          <w:p w14:paraId="55CC1040" w14:textId="77777777" w:rsidR="001A0B09" w:rsidRDefault="001A0B09">
            <w:pPr>
              <w:jc w:val="center"/>
              <w:rPr>
                <w:rFonts w:ascii="Times New Roman" w:eastAsia="Calibri" w:hAnsi="Times New Roman"/>
              </w:rPr>
            </w:pPr>
          </w:p>
        </w:tc>
        <w:tc>
          <w:tcPr>
            <w:tcW w:w="1305" w:type="dxa"/>
            <w:shd w:val="clear" w:color="auto" w:fill="auto"/>
            <w:vAlign w:val="center"/>
          </w:tcPr>
          <w:p w14:paraId="10985A0B" w14:textId="77777777" w:rsidR="001A0B09"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3FC315F6" w14:textId="4AB27382" w:rsidR="001A0B0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1A0B09" w14:paraId="10678CB0" w14:textId="77777777" w:rsidTr="0059273D">
        <w:tc>
          <w:tcPr>
            <w:tcW w:w="529" w:type="dxa"/>
            <w:vMerge w:val="restart"/>
            <w:shd w:val="clear" w:color="auto" w:fill="auto"/>
            <w:vAlign w:val="center"/>
          </w:tcPr>
          <w:p w14:paraId="2039CC93" w14:textId="3B06304C"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Depozyty klientów finansowych?</w:t>
            </w:r>
          </w:p>
        </w:tc>
        <w:tc>
          <w:tcPr>
            <w:tcW w:w="1305" w:type="dxa"/>
            <w:shd w:val="clear" w:color="auto" w:fill="auto"/>
            <w:vAlign w:val="center"/>
          </w:tcPr>
          <w:p w14:paraId="4BC42324"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E8506ED"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1.1.4.2.</w:t>
            </w:r>
          </w:p>
        </w:tc>
      </w:tr>
      <w:tr w:rsidR="001A0B09" w14:paraId="6761C925" w14:textId="77777777" w:rsidTr="0059273D">
        <w:tc>
          <w:tcPr>
            <w:tcW w:w="529" w:type="dxa"/>
            <w:vMerge/>
            <w:shd w:val="clear" w:color="auto" w:fill="auto"/>
            <w:vAlign w:val="center"/>
          </w:tcPr>
          <w:p w14:paraId="6F8D0690"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041BF39" w14:textId="77777777" w:rsidR="001A0B09" w:rsidRDefault="001A0B09">
            <w:pPr>
              <w:jc w:val="center"/>
              <w:rPr>
                <w:rFonts w:ascii="Times New Roman" w:eastAsia="Calibri" w:hAnsi="Times New Roman"/>
              </w:rPr>
            </w:pPr>
          </w:p>
        </w:tc>
        <w:tc>
          <w:tcPr>
            <w:tcW w:w="1305" w:type="dxa"/>
            <w:shd w:val="clear" w:color="auto" w:fill="auto"/>
            <w:vAlign w:val="center"/>
          </w:tcPr>
          <w:p w14:paraId="45519964"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66766732"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Należy przypisać do jednej z odpowiednich pozycji w pkt 1.1.4.3.</w:t>
            </w:r>
          </w:p>
        </w:tc>
      </w:tr>
      <w:tr w:rsidR="001A0B09" w14:paraId="5A81A742" w14:textId="77777777" w:rsidTr="0059273D">
        <w:tc>
          <w:tcPr>
            <w:tcW w:w="529" w:type="dxa"/>
            <w:vMerge w:val="restart"/>
            <w:shd w:val="clear" w:color="auto" w:fill="auto"/>
            <w:vAlign w:val="center"/>
          </w:tcPr>
          <w:p w14:paraId="2D6E846F" w14:textId="7777A6ED"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1A0B09"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Zobowiązania wynikające z zabezpieczonych transakcji kredytowych i transakcji opartych na rynku kapitałowym z wyjątkiem instrumentów pochodnych i transakcji zabezpieczających swap?</w:t>
            </w:r>
          </w:p>
        </w:tc>
        <w:tc>
          <w:tcPr>
            <w:tcW w:w="1305" w:type="dxa"/>
            <w:shd w:val="clear" w:color="auto" w:fill="auto"/>
            <w:vAlign w:val="center"/>
          </w:tcPr>
          <w:p w14:paraId="0FB38340" w14:textId="77777777" w:rsidR="001A0B0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74BEE5C5" w14:textId="77777777" w:rsidR="001A0B09"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Należy przypisać do jednej z odpowiednich pozycji w pkt 1.2.</w:t>
            </w:r>
          </w:p>
        </w:tc>
      </w:tr>
      <w:tr w:rsidR="001A0B09" w14:paraId="1DE0BBC1" w14:textId="77777777" w:rsidTr="0059273D">
        <w:tc>
          <w:tcPr>
            <w:tcW w:w="529" w:type="dxa"/>
            <w:vMerge/>
            <w:shd w:val="clear" w:color="auto" w:fill="auto"/>
            <w:vAlign w:val="center"/>
          </w:tcPr>
          <w:p w14:paraId="3AFA7002" w14:textId="77777777" w:rsidR="001A0B09" w:rsidRDefault="001A0B09">
            <w:pPr>
              <w:jc w:val="center"/>
              <w:rPr>
                <w:rFonts w:ascii="Times New Roman" w:eastAsia="Calibri" w:hAnsi="Times New Roman"/>
              </w:rPr>
            </w:pPr>
          </w:p>
        </w:tc>
        <w:tc>
          <w:tcPr>
            <w:tcW w:w="5550" w:type="dxa"/>
            <w:vMerge/>
            <w:shd w:val="clear" w:color="auto" w:fill="auto"/>
            <w:vAlign w:val="center"/>
          </w:tcPr>
          <w:p w14:paraId="34A7DF2F" w14:textId="77777777" w:rsidR="001A0B09" w:rsidRDefault="001A0B09">
            <w:pPr>
              <w:jc w:val="center"/>
              <w:rPr>
                <w:rFonts w:ascii="Times New Roman" w:eastAsia="Calibri" w:hAnsi="Times New Roman"/>
              </w:rPr>
            </w:pPr>
          </w:p>
        </w:tc>
        <w:tc>
          <w:tcPr>
            <w:tcW w:w="1305" w:type="dxa"/>
            <w:shd w:val="clear" w:color="auto" w:fill="auto"/>
            <w:vAlign w:val="center"/>
          </w:tcPr>
          <w:p w14:paraId="2729DB7A"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0BD5A327"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1A0B09" w14:paraId="41C74871" w14:textId="77777777" w:rsidTr="0059273D">
        <w:tc>
          <w:tcPr>
            <w:tcW w:w="529" w:type="dxa"/>
            <w:vMerge w:val="restart"/>
            <w:shd w:val="clear" w:color="auto" w:fill="auto"/>
            <w:vAlign w:val="center"/>
          </w:tcPr>
          <w:p w14:paraId="518F9183"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Zobowiązanie z tytułu transakcji zabezpieczających swap?</w:t>
            </w:r>
          </w:p>
        </w:tc>
        <w:tc>
          <w:tcPr>
            <w:tcW w:w="1305" w:type="dxa"/>
            <w:shd w:val="clear" w:color="auto" w:fill="auto"/>
            <w:vAlign w:val="center"/>
          </w:tcPr>
          <w:p w14:paraId="7E341E2A" w14:textId="77777777" w:rsidR="001A0B09"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0763475" w14:textId="65E21513" w:rsidR="001A0B09"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Należy przypisać do jednej z odpowiednich pozycji w formularzu C75.01 i do pkt 1.3. w stosownych przypadkach.</w:t>
            </w:r>
          </w:p>
        </w:tc>
      </w:tr>
      <w:tr w:rsidR="001A0B09" w14:paraId="2D8005DB" w14:textId="77777777" w:rsidTr="0059273D">
        <w:tc>
          <w:tcPr>
            <w:tcW w:w="529" w:type="dxa"/>
            <w:vMerge/>
            <w:shd w:val="clear" w:color="auto" w:fill="auto"/>
            <w:vAlign w:val="center"/>
          </w:tcPr>
          <w:p w14:paraId="1532EC06" w14:textId="77777777" w:rsidR="001A0B09" w:rsidRDefault="001A0B09">
            <w:pPr>
              <w:jc w:val="center"/>
              <w:rPr>
                <w:rFonts w:ascii="Times New Roman" w:eastAsia="Calibri" w:hAnsi="Times New Roman"/>
              </w:rPr>
            </w:pPr>
          </w:p>
        </w:tc>
        <w:tc>
          <w:tcPr>
            <w:tcW w:w="5550" w:type="dxa"/>
            <w:vMerge/>
            <w:shd w:val="clear" w:color="auto" w:fill="auto"/>
            <w:vAlign w:val="center"/>
          </w:tcPr>
          <w:p w14:paraId="5D9554E8" w14:textId="77777777" w:rsidR="001A0B09" w:rsidRDefault="001A0B09">
            <w:pPr>
              <w:jc w:val="center"/>
              <w:rPr>
                <w:rFonts w:ascii="Times New Roman" w:eastAsia="Calibri" w:hAnsi="Times New Roman"/>
              </w:rPr>
            </w:pPr>
          </w:p>
        </w:tc>
        <w:tc>
          <w:tcPr>
            <w:tcW w:w="1305" w:type="dxa"/>
            <w:shd w:val="clear" w:color="auto" w:fill="auto"/>
            <w:vAlign w:val="center"/>
          </w:tcPr>
          <w:p w14:paraId="44E720FF"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71E9B2DF"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1A0B09" w14:paraId="6F5B4126" w14:textId="77777777" w:rsidTr="0059273D">
        <w:tc>
          <w:tcPr>
            <w:tcW w:w="529" w:type="dxa"/>
            <w:vMerge w:val="restart"/>
            <w:shd w:val="clear" w:color="auto" w:fill="auto"/>
            <w:vAlign w:val="center"/>
          </w:tcPr>
          <w:p w14:paraId="719B5CB1" w14:textId="2D4F6760"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Zobowiązanie wynikające z wypływu z tytułu instrumentów pochodnych zgodnie z art. 30 ust. 4 aktu delegowanego?</w:t>
            </w:r>
          </w:p>
        </w:tc>
        <w:tc>
          <w:tcPr>
            <w:tcW w:w="1305" w:type="dxa"/>
            <w:shd w:val="clear" w:color="auto" w:fill="auto"/>
            <w:vAlign w:val="center"/>
          </w:tcPr>
          <w:p w14:paraId="5DAF0E68"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1FC8A47E"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1.1.5.5.</w:t>
            </w:r>
          </w:p>
        </w:tc>
      </w:tr>
      <w:tr w:rsidR="001A0B09" w14:paraId="6B45EB9D" w14:textId="77777777" w:rsidTr="0059273D">
        <w:tc>
          <w:tcPr>
            <w:tcW w:w="529" w:type="dxa"/>
            <w:vMerge/>
            <w:shd w:val="clear" w:color="auto" w:fill="auto"/>
            <w:vAlign w:val="center"/>
          </w:tcPr>
          <w:p w14:paraId="1ADF44AB" w14:textId="77777777" w:rsidR="001A0B09" w:rsidRDefault="001A0B09">
            <w:pPr>
              <w:jc w:val="center"/>
              <w:rPr>
                <w:rFonts w:ascii="Times New Roman" w:eastAsia="Calibri" w:hAnsi="Times New Roman"/>
              </w:rPr>
            </w:pPr>
          </w:p>
        </w:tc>
        <w:tc>
          <w:tcPr>
            <w:tcW w:w="5550" w:type="dxa"/>
            <w:vMerge/>
            <w:shd w:val="clear" w:color="auto" w:fill="auto"/>
            <w:vAlign w:val="center"/>
          </w:tcPr>
          <w:p w14:paraId="025A2353" w14:textId="77777777" w:rsidR="001A0B09" w:rsidRDefault="001A0B09">
            <w:pPr>
              <w:jc w:val="center"/>
              <w:rPr>
                <w:rFonts w:ascii="Times New Roman" w:eastAsia="Calibri" w:hAnsi="Times New Roman"/>
              </w:rPr>
            </w:pPr>
          </w:p>
        </w:tc>
        <w:tc>
          <w:tcPr>
            <w:tcW w:w="1305" w:type="dxa"/>
            <w:shd w:val="clear" w:color="auto" w:fill="auto"/>
            <w:vAlign w:val="center"/>
          </w:tcPr>
          <w:p w14:paraId="5709DA67"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300C848D" w14:textId="5A3D8FD0" w:rsidR="001A0B09"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1A0B09" w14:paraId="01706B04" w14:textId="77777777" w:rsidTr="0059273D">
        <w:tc>
          <w:tcPr>
            <w:tcW w:w="529" w:type="dxa"/>
            <w:vMerge w:val="restart"/>
            <w:shd w:val="clear" w:color="auto" w:fill="auto"/>
            <w:vAlign w:val="center"/>
          </w:tcPr>
          <w:p w14:paraId="746CD06E" w14:textId="06C2F269" w:rsidR="001A0B09"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1A0B09" w:rsidRDefault="008D2CDE">
            <w:pPr>
              <w:jc w:val="center"/>
              <w:rPr>
                <w:rFonts w:ascii="Times New Roman" w:eastAsia="Calibri" w:hAnsi="Times New Roman"/>
                <w:sz w:val="16"/>
                <w:szCs w:val="16"/>
              </w:rPr>
            </w:pPr>
            <w:r>
              <w:rPr>
                <w:rFonts w:ascii="Times New Roman" w:hAnsi="Times New Roman"/>
                <w:sz w:val="16"/>
                <w:szCs w:val="16"/>
              </w:rPr>
              <w:t>Jakiekolwiek inne zobowiązanie, które staje się wymagalne w ciągu najbliższych 30 dni?</w:t>
            </w:r>
          </w:p>
        </w:tc>
        <w:tc>
          <w:tcPr>
            <w:tcW w:w="1305" w:type="dxa"/>
            <w:shd w:val="clear" w:color="auto" w:fill="auto"/>
            <w:vAlign w:val="center"/>
          </w:tcPr>
          <w:p w14:paraId="43C8FDA9" w14:textId="77777777" w:rsidR="001A0B0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Tak</w:t>
            </w:r>
          </w:p>
        </w:tc>
        <w:tc>
          <w:tcPr>
            <w:tcW w:w="2222" w:type="dxa"/>
            <w:shd w:val="clear" w:color="auto" w:fill="auto"/>
            <w:vAlign w:val="center"/>
          </w:tcPr>
          <w:p w14:paraId="10B817A9" w14:textId="77777777" w:rsidR="001A0B0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pkt 1.1.8.3.</w:t>
            </w:r>
          </w:p>
        </w:tc>
      </w:tr>
      <w:tr w:rsidR="001A0B09" w14:paraId="47A98050" w14:textId="77777777" w:rsidTr="0059273D">
        <w:tc>
          <w:tcPr>
            <w:tcW w:w="529" w:type="dxa"/>
            <w:vMerge/>
            <w:shd w:val="clear" w:color="auto" w:fill="auto"/>
            <w:vAlign w:val="center"/>
          </w:tcPr>
          <w:p w14:paraId="50C629E8" w14:textId="77777777" w:rsidR="001A0B09" w:rsidRDefault="001A0B09">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1A0B09" w:rsidRDefault="001A0B09">
            <w:pPr>
              <w:jc w:val="center"/>
              <w:rPr>
                <w:rFonts w:ascii="Times New Roman" w:eastAsia="Calibri" w:hAnsi="Times New Roman"/>
                <w:sz w:val="16"/>
                <w:szCs w:val="16"/>
              </w:rPr>
            </w:pPr>
          </w:p>
        </w:tc>
        <w:tc>
          <w:tcPr>
            <w:tcW w:w="1305" w:type="dxa"/>
            <w:shd w:val="clear" w:color="auto" w:fill="auto"/>
            <w:vAlign w:val="center"/>
          </w:tcPr>
          <w:p w14:paraId="5B00A128" w14:textId="77777777" w:rsidR="001A0B0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Nie</w:t>
            </w:r>
          </w:p>
        </w:tc>
        <w:tc>
          <w:tcPr>
            <w:tcW w:w="2222" w:type="dxa"/>
            <w:shd w:val="clear" w:color="auto" w:fill="auto"/>
            <w:vAlign w:val="center"/>
          </w:tcPr>
          <w:p w14:paraId="42335DFD" w14:textId="7FDA636F" w:rsidR="001A0B0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31</w:t>
            </w:r>
          </w:p>
        </w:tc>
      </w:tr>
      <w:tr w:rsidR="001A0B09" w14:paraId="30E0E049" w14:textId="77777777" w:rsidTr="0059273D">
        <w:tc>
          <w:tcPr>
            <w:tcW w:w="529" w:type="dxa"/>
            <w:shd w:val="clear" w:color="auto" w:fill="auto"/>
            <w:vAlign w:val="center"/>
          </w:tcPr>
          <w:p w14:paraId="4CAC48E4" w14:textId="7825897D" w:rsidR="001A0B09"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1A0B09" w:rsidRDefault="008D2CDE">
            <w:pPr>
              <w:jc w:val="center"/>
              <w:rPr>
                <w:rFonts w:ascii="Times New Roman" w:eastAsia="Calibri" w:hAnsi="Times New Roman"/>
                <w:sz w:val="16"/>
              </w:rPr>
            </w:pPr>
            <w:r>
              <w:rPr>
                <w:rFonts w:ascii="Times New Roman" w:hAnsi="Times New Roman"/>
                <w:sz w:val="16"/>
                <w:szCs w:val="16"/>
              </w:rPr>
              <w:t>Zobowiązania umowne dotyczące udzielenia finansowania klientom niefinansowym z terminem wymagalności w ciągu najbliższych 30 dni w kwocie wyższej niż wpływy od tych klientów?</w:t>
            </w:r>
          </w:p>
        </w:tc>
        <w:tc>
          <w:tcPr>
            <w:tcW w:w="1305" w:type="dxa"/>
            <w:shd w:val="clear" w:color="auto" w:fill="auto"/>
            <w:vAlign w:val="center"/>
          </w:tcPr>
          <w:p w14:paraId="1136F9B2" w14:textId="77777777" w:rsidR="001A0B0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Tak</w:t>
            </w:r>
          </w:p>
        </w:tc>
        <w:tc>
          <w:tcPr>
            <w:tcW w:w="2222" w:type="dxa"/>
            <w:shd w:val="clear" w:color="auto" w:fill="auto"/>
            <w:vAlign w:val="center"/>
          </w:tcPr>
          <w:p w14:paraId="0515D033" w14:textId="77777777" w:rsidR="001A0B09" w:rsidRDefault="008D2CDE">
            <w:pPr>
              <w:pStyle w:val="TableParagraph"/>
              <w:spacing w:before="32"/>
              <w:ind w:left="325"/>
              <w:jc w:val="center"/>
              <w:rPr>
                <w:rFonts w:ascii="Times New Roman" w:hAnsi="Times New Roman"/>
                <w:sz w:val="16"/>
                <w:szCs w:val="16"/>
              </w:rPr>
            </w:pPr>
            <w:r>
              <w:rPr>
                <w:rFonts w:ascii="Times New Roman" w:hAnsi="Times New Roman"/>
                <w:sz w:val="16"/>
              </w:rPr>
              <w:t>Jedna z pozycji w pkt: 1.1.8.4.1. – 1.1.8.4.4.</w:t>
            </w:r>
          </w:p>
        </w:tc>
      </w:tr>
      <w:tr w:rsidR="001A0B09" w14:paraId="187C9A1C" w14:textId="77777777" w:rsidTr="0059273D">
        <w:tc>
          <w:tcPr>
            <w:tcW w:w="529" w:type="dxa"/>
            <w:shd w:val="clear" w:color="auto" w:fill="auto"/>
            <w:vAlign w:val="center"/>
          </w:tcPr>
          <w:p w14:paraId="3E092D5B" w14:textId="77777777" w:rsidR="001A0B09" w:rsidRDefault="001A0B09">
            <w:pPr>
              <w:jc w:val="center"/>
              <w:rPr>
                <w:rFonts w:ascii="Times New Roman" w:eastAsia="Calibri" w:hAnsi="Times New Roman"/>
                <w:sz w:val="16"/>
                <w:szCs w:val="16"/>
              </w:rPr>
            </w:pPr>
          </w:p>
        </w:tc>
        <w:tc>
          <w:tcPr>
            <w:tcW w:w="5550" w:type="dxa"/>
            <w:shd w:val="clear" w:color="auto" w:fill="auto"/>
            <w:vAlign w:val="center"/>
          </w:tcPr>
          <w:p w14:paraId="011DD7ED" w14:textId="77777777" w:rsidR="001A0B09" w:rsidRDefault="001A0B09">
            <w:pPr>
              <w:jc w:val="center"/>
              <w:rPr>
                <w:rFonts w:ascii="Times New Roman" w:eastAsia="Calibri" w:hAnsi="Times New Roman"/>
                <w:sz w:val="16"/>
                <w:szCs w:val="16"/>
              </w:rPr>
            </w:pPr>
          </w:p>
        </w:tc>
        <w:tc>
          <w:tcPr>
            <w:tcW w:w="1305" w:type="dxa"/>
            <w:shd w:val="clear" w:color="auto" w:fill="auto"/>
            <w:vAlign w:val="center"/>
          </w:tcPr>
          <w:p w14:paraId="70F146BB" w14:textId="77777777" w:rsidR="001A0B0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Nie</w:t>
            </w:r>
          </w:p>
        </w:tc>
        <w:tc>
          <w:tcPr>
            <w:tcW w:w="2222" w:type="dxa"/>
            <w:shd w:val="clear" w:color="auto" w:fill="auto"/>
            <w:vAlign w:val="center"/>
          </w:tcPr>
          <w:p w14:paraId="73337782" w14:textId="53187D77" w:rsidR="001A0B0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32</w:t>
            </w:r>
          </w:p>
        </w:tc>
      </w:tr>
      <w:tr w:rsidR="001A0B09" w14:paraId="2B2FAD94" w14:textId="77777777" w:rsidTr="0059273D">
        <w:tc>
          <w:tcPr>
            <w:tcW w:w="529" w:type="dxa"/>
            <w:vMerge w:val="restart"/>
            <w:shd w:val="clear" w:color="auto" w:fill="auto"/>
            <w:vAlign w:val="center"/>
          </w:tcPr>
          <w:p w14:paraId="7F30DC97" w14:textId="6D921E36" w:rsidR="001A0B09"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1A0B09" w:rsidRDefault="008D2CDE">
            <w:pPr>
              <w:jc w:val="center"/>
              <w:rPr>
                <w:rFonts w:ascii="Times New Roman" w:eastAsia="Calibri" w:hAnsi="Times New Roman"/>
                <w:sz w:val="16"/>
                <w:szCs w:val="16"/>
              </w:rPr>
            </w:pPr>
            <w:r>
              <w:rPr>
                <w:rFonts w:ascii="Times New Roman" w:hAnsi="Times New Roman"/>
                <w:sz w:val="16"/>
                <w:szCs w:val="16"/>
              </w:rPr>
              <w:t>Inne wypływy wymagalne w ciągu najbliższych 30 dni, których nie wymieniono powyżej?</w:t>
            </w:r>
          </w:p>
        </w:tc>
        <w:tc>
          <w:tcPr>
            <w:tcW w:w="1305" w:type="dxa"/>
            <w:shd w:val="clear" w:color="auto" w:fill="auto"/>
            <w:vAlign w:val="center"/>
          </w:tcPr>
          <w:p w14:paraId="5364B8FE" w14:textId="77777777" w:rsidR="001A0B0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Tak</w:t>
            </w:r>
          </w:p>
        </w:tc>
        <w:tc>
          <w:tcPr>
            <w:tcW w:w="2222" w:type="dxa"/>
            <w:shd w:val="clear" w:color="auto" w:fill="auto"/>
            <w:vAlign w:val="center"/>
          </w:tcPr>
          <w:p w14:paraId="5A19CF39" w14:textId="77777777" w:rsidR="001A0B0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pkt 1.1.8.6.</w:t>
            </w:r>
          </w:p>
        </w:tc>
      </w:tr>
      <w:tr w:rsidR="001A0B09" w14:paraId="7E4EE81B" w14:textId="77777777" w:rsidTr="0059273D">
        <w:tc>
          <w:tcPr>
            <w:tcW w:w="529" w:type="dxa"/>
            <w:vMerge/>
            <w:shd w:val="clear" w:color="auto" w:fill="auto"/>
            <w:vAlign w:val="center"/>
          </w:tcPr>
          <w:p w14:paraId="5F22C182" w14:textId="77777777" w:rsidR="001A0B09" w:rsidRDefault="001A0B09">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1A0B09" w:rsidRDefault="001A0B09">
            <w:pPr>
              <w:jc w:val="center"/>
              <w:rPr>
                <w:rFonts w:ascii="Times New Roman" w:eastAsia="Calibri" w:hAnsi="Times New Roman"/>
                <w:sz w:val="16"/>
                <w:szCs w:val="16"/>
              </w:rPr>
            </w:pPr>
          </w:p>
        </w:tc>
        <w:tc>
          <w:tcPr>
            <w:tcW w:w="1305" w:type="dxa"/>
            <w:shd w:val="clear" w:color="auto" w:fill="auto"/>
            <w:vAlign w:val="center"/>
          </w:tcPr>
          <w:p w14:paraId="1E88ACF3" w14:textId="77777777" w:rsidR="001A0B09"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Nie</w:t>
            </w:r>
          </w:p>
        </w:tc>
        <w:tc>
          <w:tcPr>
            <w:tcW w:w="2222" w:type="dxa"/>
            <w:shd w:val="clear" w:color="auto" w:fill="auto"/>
            <w:vAlign w:val="center"/>
          </w:tcPr>
          <w:p w14:paraId="7C5FB27A" w14:textId="199DF19C" w:rsidR="001A0B09"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33</w:t>
            </w:r>
          </w:p>
        </w:tc>
      </w:tr>
      <w:tr w:rsidR="001A0B09" w14:paraId="576C9F02" w14:textId="77777777" w:rsidTr="0059273D">
        <w:tc>
          <w:tcPr>
            <w:tcW w:w="529" w:type="dxa"/>
            <w:vMerge w:val="restart"/>
            <w:shd w:val="clear" w:color="auto" w:fill="auto"/>
            <w:vAlign w:val="center"/>
          </w:tcPr>
          <w:p w14:paraId="342B4254" w14:textId="5B4AA80A"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1A0B09"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Niewykorzystana kwota, którą można wykorzystać z nieodwoływalnego instrumentu kredytowego i wsparcia płynności zgodnie z art. 31 aktu delegowanego?</w:t>
            </w:r>
          </w:p>
        </w:tc>
        <w:tc>
          <w:tcPr>
            <w:tcW w:w="1305" w:type="dxa"/>
            <w:shd w:val="clear" w:color="auto" w:fill="auto"/>
            <w:vAlign w:val="center"/>
          </w:tcPr>
          <w:p w14:paraId="5D35FBE7"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7B0DB1D8" w14:textId="5A1D7494"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34</w:t>
            </w:r>
          </w:p>
        </w:tc>
      </w:tr>
      <w:tr w:rsidR="001A0B09" w14:paraId="143D8A93" w14:textId="77777777" w:rsidTr="0059273D">
        <w:tc>
          <w:tcPr>
            <w:tcW w:w="529" w:type="dxa"/>
            <w:vMerge/>
            <w:shd w:val="clear" w:color="auto" w:fill="auto"/>
            <w:vAlign w:val="center"/>
          </w:tcPr>
          <w:p w14:paraId="7D1CED29" w14:textId="77777777" w:rsidR="001A0B09" w:rsidRDefault="001A0B09">
            <w:pPr>
              <w:jc w:val="center"/>
              <w:rPr>
                <w:rFonts w:ascii="Times New Roman" w:eastAsia="Calibri" w:hAnsi="Times New Roman"/>
              </w:rPr>
            </w:pPr>
          </w:p>
        </w:tc>
        <w:tc>
          <w:tcPr>
            <w:tcW w:w="5550" w:type="dxa"/>
            <w:vMerge/>
            <w:shd w:val="clear" w:color="auto" w:fill="auto"/>
            <w:vAlign w:val="center"/>
          </w:tcPr>
          <w:p w14:paraId="59C32B24" w14:textId="77777777" w:rsidR="001A0B09" w:rsidRDefault="001A0B09">
            <w:pPr>
              <w:jc w:val="center"/>
              <w:rPr>
                <w:rFonts w:ascii="Times New Roman" w:eastAsia="Calibri" w:hAnsi="Times New Roman"/>
              </w:rPr>
            </w:pPr>
          </w:p>
        </w:tc>
        <w:tc>
          <w:tcPr>
            <w:tcW w:w="1305" w:type="dxa"/>
            <w:shd w:val="clear" w:color="auto" w:fill="auto"/>
            <w:vAlign w:val="center"/>
          </w:tcPr>
          <w:p w14:paraId="2F5AD7A0"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4B0EDCE8" w14:textId="370E2FA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1A0B09" w14:paraId="3E3B2925" w14:textId="77777777" w:rsidTr="0059273D">
        <w:tc>
          <w:tcPr>
            <w:tcW w:w="529" w:type="dxa"/>
            <w:vMerge w:val="restart"/>
            <w:shd w:val="clear" w:color="auto" w:fill="auto"/>
            <w:vAlign w:val="center"/>
          </w:tcPr>
          <w:p w14:paraId="17F9D829" w14:textId="3646E3FF"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Nieodwoływalny instrument kredytowy?</w:t>
            </w:r>
          </w:p>
        </w:tc>
        <w:tc>
          <w:tcPr>
            <w:tcW w:w="1305" w:type="dxa"/>
            <w:shd w:val="clear" w:color="auto" w:fill="auto"/>
            <w:vAlign w:val="center"/>
          </w:tcPr>
          <w:p w14:paraId="2EA0076C" w14:textId="77777777" w:rsidR="001A0B0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4C499738" w14:textId="58A58EAB" w:rsidR="001A0B0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1A0B09" w14:paraId="40FB72DD" w14:textId="77777777" w:rsidTr="0059273D">
        <w:tc>
          <w:tcPr>
            <w:tcW w:w="529" w:type="dxa"/>
            <w:vMerge/>
            <w:shd w:val="clear" w:color="auto" w:fill="auto"/>
            <w:vAlign w:val="center"/>
          </w:tcPr>
          <w:p w14:paraId="573C38C6" w14:textId="77777777" w:rsidR="001A0B09" w:rsidRDefault="001A0B09">
            <w:pPr>
              <w:jc w:val="center"/>
              <w:rPr>
                <w:rFonts w:ascii="Times New Roman" w:eastAsia="Calibri" w:hAnsi="Times New Roman"/>
              </w:rPr>
            </w:pPr>
          </w:p>
        </w:tc>
        <w:tc>
          <w:tcPr>
            <w:tcW w:w="5550" w:type="dxa"/>
            <w:vMerge/>
            <w:shd w:val="clear" w:color="auto" w:fill="auto"/>
            <w:vAlign w:val="center"/>
          </w:tcPr>
          <w:p w14:paraId="3C5AF945" w14:textId="77777777" w:rsidR="001A0B09" w:rsidRDefault="001A0B09">
            <w:pPr>
              <w:jc w:val="center"/>
              <w:rPr>
                <w:rFonts w:ascii="Times New Roman" w:eastAsia="Calibri" w:hAnsi="Times New Roman"/>
              </w:rPr>
            </w:pPr>
          </w:p>
        </w:tc>
        <w:tc>
          <w:tcPr>
            <w:tcW w:w="1305" w:type="dxa"/>
            <w:shd w:val="clear" w:color="auto" w:fill="auto"/>
            <w:vAlign w:val="center"/>
          </w:tcPr>
          <w:p w14:paraId="091990C8"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34D3EB6D"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1A0B09" w14:paraId="6FF8E51F" w14:textId="77777777" w:rsidTr="0059273D">
        <w:tc>
          <w:tcPr>
            <w:tcW w:w="529" w:type="dxa"/>
            <w:vMerge w:val="restart"/>
            <w:shd w:val="clear" w:color="auto" w:fill="auto"/>
            <w:vAlign w:val="center"/>
          </w:tcPr>
          <w:p w14:paraId="09725FF4"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W ramach instytucjonalnego systemu ochrony lub sieci współpracy traktowany jako składnik aktywów płynnych przez instytucję deponującą?</w:t>
            </w:r>
          </w:p>
        </w:tc>
        <w:tc>
          <w:tcPr>
            <w:tcW w:w="1305" w:type="dxa"/>
            <w:shd w:val="clear" w:color="auto" w:fill="auto"/>
            <w:vAlign w:val="center"/>
          </w:tcPr>
          <w:p w14:paraId="0AFB392C"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62CD1058" w14:textId="77777777" w:rsidR="001A0B0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pkt 1.1.6.1.6.</w:t>
            </w:r>
          </w:p>
        </w:tc>
      </w:tr>
      <w:tr w:rsidR="001A0B09" w14:paraId="180164B8" w14:textId="77777777" w:rsidTr="0059273D">
        <w:tc>
          <w:tcPr>
            <w:tcW w:w="529" w:type="dxa"/>
            <w:vMerge/>
            <w:shd w:val="clear" w:color="auto" w:fill="auto"/>
            <w:vAlign w:val="center"/>
          </w:tcPr>
          <w:p w14:paraId="3A7AB858"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0FED8F8" w14:textId="77777777" w:rsidR="001A0B09" w:rsidRDefault="001A0B09">
            <w:pPr>
              <w:jc w:val="center"/>
              <w:rPr>
                <w:rFonts w:ascii="Times New Roman" w:eastAsia="Calibri" w:hAnsi="Times New Roman"/>
              </w:rPr>
            </w:pPr>
          </w:p>
        </w:tc>
        <w:tc>
          <w:tcPr>
            <w:tcW w:w="1305" w:type="dxa"/>
            <w:shd w:val="clear" w:color="auto" w:fill="auto"/>
            <w:vAlign w:val="center"/>
          </w:tcPr>
          <w:p w14:paraId="1BD66322"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0AA5DC4E"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1A0B09" w14:paraId="0405636A" w14:textId="77777777" w:rsidTr="0059273D">
        <w:tc>
          <w:tcPr>
            <w:tcW w:w="529" w:type="dxa"/>
            <w:vMerge w:val="restart"/>
            <w:shd w:val="clear" w:color="auto" w:fill="auto"/>
            <w:vAlign w:val="center"/>
          </w:tcPr>
          <w:p w14:paraId="0881AC28" w14:textId="625F1893"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W ramach grupy lub instytucjonalnego systemu ochrony podlega preferencyjnemu traktowaniu?</w:t>
            </w:r>
          </w:p>
        </w:tc>
        <w:tc>
          <w:tcPr>
            <w:tcW w:w="1305" w:type="dxa"/>
            <w:shd w:val="clear" w:color="auto" w:fill="auto"/>
            <w:vAlign w:val="center"/>
          </w:tcPr>
          <w:p w14:paraId="7529B33B"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5BCDDF89" w14:textId="77777777" w:rsidR="001A0B0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pkt 1.1.6.1.5.</w:t>
            </w:r>
          </w:p>
        </w:tc>
      </w:tr>
      <w:tr w:rsidR="001A0B09" w14:paraId="03E07AED" w14:textId="77777777" w:rsidTr="0059273D">
        <w:tc>
          <w:tcPr>
            <w:tcW w:w="529" w:type="dxa"/>
            <w:vMerge/>
            <w:shd w:val="clear" w:color="auto" w:fill="auto"/>
            <w:vAlign w:val="center"/>
          </w:tcPr>
          <w:p w14:paraId="5DC38869" w14:textId="77777777" w:rsidR="001A0B09" w:rsidRDefault="001A0B09">
            <w:pPr>
              <w:jc w:val="center"/>
              <w:rPr>
                <w:rFonts w:ascii="Times New Roman" w:eastAsia="Calibri" w:hAnsi="Times New Roman"/>
              </w:rPr>
            </w:pPr>
          </w:p>
        </w:tc>
        <w:tc>
          <w:tcPr>
            <w:tcW w:w="5550" w:type="dxa"/>
            <w:vMerge/>
            <w:shd w:val="clear" w:color="auto" w:fill="auto"/>
            <w:vAlign w:val="center"/>
          </w:tcPr>
          <w:p w14:paraId="3155191C" w14:textId="77777777" w:rsidR="001A0B09" w:rsidRDefault="001A0B09">
            <w:pPr>
              <w:jc w:val="center"/>
              <w:rPr>
                <w:rFonts w:ascii="Times New Roman" w:eastAsia="Calibri" w:hAnsi="Times New Roman"/>
              </w:rPr>
            </w:pPr>
          </w:p>
        </w:tc>
        <w:tc>
          <w:tcPr>
            <w:tcW w:w="1305" w:type="dxa"/>
            <w:shd w:val="clear" w:color="auto" w:fill="auto"/>
            <w:vAlign w:val="center"/>
          </w:tcPr>
          <w:p w14:paraId="28B10F68" w14:textId="77777777" w:rsidR="001A0B09"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2BA8C028" w14:textId="77777777" w:rsidR="001A0B09"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Należy przypisać do jednej z odpowiednich pozycji w pkt 1.1.6.1.</w:t>
            </w:r>
          </w:p>
        </w:tc>
      </w:tr>
      <w:tr w:rsidR="001A0B09" w14:paraId="6EC6F297" w14:textId="77777777" w:rsidTr="0059273D">
        <w:tc>
          <w:tcPr>
            <w:tcW w:w="529" w:type="dxa"/>
            <w:vMerge w:val="restart"/>
            <w:shd w:val="clear" w:color="auto" w:fill="auto"/>
            <w:vAlign w:val="center"/>
          </w:tcPr>
          <w:p w14:paraId="55D89902" w14:textId="753EB32A"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Nieodwoływalny instrument wsparcia płynności?</w:t>
            </w:r>
          </w:p>
        </w:tc>
        <w:tc>
          <w:tcPr>
            <w:tcW w:w="1305" w:type="dxa"/>
            <w:shd w:val="clear" w:color="auto" w:fill="auto"/>
            <w:vAlign w:val="center"/>
          </w:tcPr>
          <w:p w14:paraId="5AC04DC4"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1E744D52" w14:textId="016C4474"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38</w:t>
            </w:r>
          </w:p>
        </w:tc>
      </w:tr>
      <w:tr w:rsidR="001A0B09" w14:paraId="565963D2" w14:textId="77777777" w:rsidTr="0059273D">
        <w:tc>
          <w:tcPr>
            <w:tcW w:w="529" w:type="dxa"/>
            <w:vMerge/>
            <w:shd w:val="clear" w:color="auto" w:fill="auto"/>
            <w:vAlign w:val="center"/>
          </w:tcPr>
          <w:p w14:paraId="615586B6" w14:textId="77777777" w:rsidR="001A0B09" w:rsidRDefault="001A0B09">
            <w:pPr>
              <w:jc w:val="center"/>
              <w:rPr>
                <w:rFonts w:ascii="Times New Roman" w:eastAsia="Calibri" w:hAnsi="Times New Roman"/>
              </w:rPr>
            </w:pPr>
          </w:p>
        </w:tc>
        <w:tc>
          <w:tcPr>
            <w:tcW w:w="5550" w:type="dxa"/>
            <w:vMerge/>
            <w:shd w:val="clear" w:color="auto" w:fill="auto"/>
            <w:vAlign w:val="center"/>
          </w:tcPr>
          <w:p w14:paraId="291DD7B3" w14:textId="77777777" w:rsidR="001A0B09" w:rsidRDefault="001A0B09">
            <w:pPr>
              <w:jc w:val="center"/>
              <w:rPr>
                <w:rFonts w:ascii="Times New Roman" w:eastAsia="Calibri" w:hAnsi="Times New Roman"/>
              </w:rPr>
            </w:pPr>
          </w:p>
        </w:tc>
        <w:tc>
          <w:tcPr>
            <w:tcW w:w="1305" w:type="dxa"/>
            <w:shd w:val="clear" w:color="auto" w:fill="auto"/>
            <w:vAlign w:val="center"/>
          </w:tcPr>
          <w:p w14:paraId="78E8B0DC"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 dotyczy</w:t>
            </w:r>
          </w:p>
        </w:tc>
        <w:tc>
          <w:tcPr>
            <w:tcW w:w="2222" w:type="dxa"/>
            <w:shd w:val="clear" w:color="auto" w:fill="auto"/>
            <w:vAlign w:val="center"/>
          </w:tcPr>
          <w:p w14:paraId="11D5E907" w14:textId="77777777" w:rsidR="001A0B09"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nie dotyczy</w:t>
            </w:r>
          </w:p>
        </w:tc>
      </w:tr>
      <w:tr w:rsidR="001A0B09" w14:paraId="5C4FF821" w14:textId="77777777" w:rsidTr="0059273D">
        <w:tc>
          <w:tcPr>
            <w:tcW w:w="529" w:type="dxa"/>
            <w:vMerge w:val="restart"/>
            <w:shd w:val="clear" w:color="auto" w:fill="auto"/>
            <w:vAlign w:val="center"/>
          </w:tcPr>
          <w:p w14:paraId="3E57448F" w14:textId="318AC2B9"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W ramach instytucjonalnego systemu ochrony lub sieci współpracy traktowany jako składnik aktywów płynnych przez instytucję deponującą?</w:t>
            </w:r>
          </w:p>
        </w:tc>
        <w:tc>
          <w:tcPr>
            <w:tcW w:w="1305" w:type="dxa"/>
            <w:shd w:val="clear" w:color="auto" w:fill="auto"/>
            <w:vAlign w:val="center"/>
          </w:tcPr>
          <w:p w14:paraId="27321975"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480754E0" w14:textId="77777777" w:rsidR="001A0B0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pkt 1.1.6.2.7.</w:t>
            </w:r>
          </w:p>
        </w:tc>
      </w:tr>
      <w:tr w:rsidR="001A0B09" w14:paraId="40666116" w14:textId="77777777" w:rsidTr="0059273D">
        <w:tc>
          <w:tcPr>
            <w:tcW w:w="529" w:type="dxa"/>
            <w:vMerge/>
            <w:shd w:val="clear" w:color="auto" w:fill="auto"/>
            <w:vAlign w:val="center"/>
          </w:tcPr>
          <w:p w14:paraId="02EEF344" w14:textId="77777777" w:rsidR="001A0B09" w:rsidRDefault="001A0B09">
            <w:pPr>
              <w:jc w:val="center"/>
              <w:rPr>
                <w:rFonts w:ascii="Times New Roman" w:eastAsia="Calibri" w:hAnsi="Times New Roman"/>
              </w:rPr>
            </w:pPr>
          </w:p>
        </w:tc>
        <w:tc>
          <w:tcPr>
            <w:tcW w:w="5550" w:type="dxa"/>
            <w:vMerge/>
            <w:shd w:val="clear" w:color="auto" w:fill="auto"/>
            <w:vAlign w:val="center"/>
          </w:tcPr>
          <w:p w14:paraId="23F7330C" w14:textId="77777777" w:rsidR="001A0B09" w:rsidRDefault="001A0B09">
            <w:pPr>
              <w:jc w:val="center"/>
              <w:rPr>
                <w:rFonts w:ascii="Times New Roman" w:eastAsia="Calibri" w:hAnsi="Times New Roman"/>
              </w:rPr>
            </w:pPr>
          </w:p>
        </w:tc>
        <w:tc>
          <w:tcPr>
            <w:tcW w:w="1305" w:type="dxa"/>
            <w:shd w:val="clear" w:color="auto" w:fill="auto"/>
            <w:vAlign w:val="center"/>
          </w:tcPr>
          <w:p w14:paraId="5D6E27CE"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65F9EF83"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1A0B09" w14:paraId="45E66C8B" w14:textId="77777777" w:rsidTr="0059273D">
        <w:tc>
          <w:tcPr>
            <w:tcW w:w="529" w:type="dxa"/>
            <w:vMerge w:val="restart"/>
            <w:shd w:val="clear" w:color="auto" w:fill="auto"/>
            <w:vAlign w:val="center"/>
          </w:tcPr>
          <w:p w14:paraId="32A7636F"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W ramach grupy lub instytucjonalnego systemu ochrony podlega preferencyjnemu traktowaniu?</w:t>
            </w:r>
          </w:p>
        </w:tc>
        <w:tc>
          <w:tcPr>
            <w:tcW w:w="1305" w:type="dxa"/>
            <w:shd w:val="clear" w:color="auto" w:fill="auto"/>
            <w:vAlign w:val="center"/>
          </w:tcPr>
          <w:p w14:paraId="0756B63E"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249A1362" w14:textId="77777777" w:rsidR="001A0B0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pkt 1.1.6.2.6.</w:t>
            </w:r>
          </w:p>
        </w:tc>
      </w:tr>
      <w:tr w:rsidR="001A0B09" w14:paraId="374D727C" w14:textId="77777777" w:rsidTr="0059273D">
        <w:tc>
          <w:tcPr>
            <w:tcW w:w="529" w:type="dxa"/>
            <w:vMerge/>
            <w:shd w:val="clear" w:color="auto" w:fill="auto"/>
            <w:vAlign w:val="center"/>
          </w:tcPr>
          <w:p w14:paraId="33DEF773" w14:textId="77777777" w:rsidR="001A0B09" w:rsidRDefault="001A0B09">
            <w:pPr>
              <w:jc w:val="center"/>
              <w:rPr>
                <w:rFonts w:ascii="Times New Roman" w:eastAsia="Calibri" w:hAnsi="Times New Roman"/>
              </w:rPr>
            </w:pPr>
          </w:p>
        </w:tc>
        <w:tc>
          <w:tcPr>
            <w:tcW w:w="5550" w:type="dxa"/>
            <w:vMerge/>
            <w:shd w:val="clear" w:color="auto" w:fill="auto"/>
            <w:vAlign w:val="center"/>
          </w:tcPr>
          <w:p w14:paraId="0BC7C049" w14:textId="77777777" w:rsidR="001A0B09" w:rsidRDefault="001A0B09">
            <w:pPr>
              <w:jc w:val="center"/>
              <w:rPr>
                <w:rFonts w:ascii="Times New Roman" w:eastAsia="Calibri" w:hAnsi="Times New Roman"/>
              </w:rPr>
            </w:pPr>
          </w:p>
        </w:tc>
        <w:tc>
          <w:tcPr>
            <w:tcW w:w="1305" w:type="dxa"/>
            <w:shd w:val="clear" w:color="auto" w:fill="auto"/>
            <w:vAlign w:val="center"/>
          </w:tcPr>
          <w:p w14:paraId="09286B44"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6EA7D2C3"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1A0B09" w14:paraId="06D1E558" w14:textId="77777777" w:rsidTr="0059273D">
        <w:tc>
          <w:tcPr>
            <w:tcW w:w="529" w:type="dxa"/>
            <w:vMerge w:val="restart"/>
            <w:shd w:val="clear" w:color="auto" w:fill="auto"/>
            <w:vAlign w:val="center"/>
          </w:tcPr>
          <w:p w14:paraId="5BA0601D" w14:textId="22ED052F"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Jednostce specjalnego przeznaczenia do celów sekurytyzacji (SSPE)?</w:t>
            </w:r>
          </w:p>
        </w:tc>
        <w:tc>
          <w:tcPr>
            <w:tcW w:w="1305" w:type="dxa"/>
            <w:shd w:val="clear" w:color="auto" w:fill="auto"/>
            <w:vAlign w:val="center"/>
          </w:tcPr>
          <w:p w14:paraId="765535C0" w14:textId="77777777" w:rsidR="001A0B09" w:rsidRDefault="008D2CDE">
            <w:pPr>
              <w:pStyle w:val="TableParagraph"/>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DFBFAD0" w14:textId="77777777" w:rsidR="001A0B09"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Należy przypisać do jednej z odpowiednich pozycji w pkt 1.1.6.2.4.</w:t>
            </w:r>
          </w:p>
        </w:tc>
      </w:tr>
      <w:tr w:rsidR="001A0B09" w14:paraId="71245FB2" w14:textId="77777777" w:rsidTr="0059273D">
        <w:tc>
          <w:tcPr>
            <w:tcW w:w="529" w:type="dxa"/>
            <w:vMerge/>
            <w:shd w:val="clear" w:color="auto" w:fill="auto"/>
            <w:vAlign w:val="center"/>
          </w:tcPr>
          <w:p w14:paraId="3D580409" w14:textId="77777777" w:rsidR="001A0B09" w:rsidRDefault="001A0B09">
            <w:pPr>
              <w:jc w:val="center"/>
              <w:rPr>
                <w:rFonts w:ascii="Times New Roman" w:eastAsia="Calibri" w:hAnsi="Times New Roman"/>
              </w:rPr>
            </w:pPr>
          </w:p>
        </w:tc>
        <w:tc>
          <w:tcPr>
            <w:tcW w:w="5550" w:type="dxa"/>
            <w:vMerge/>
            <w:shd w:val="clear" w:color="auto" w:fill="auto"/>
            <w:vAlign w:val="center"/>
          </w:tcPr>
          <w:p w14:paraId="749FA768" w14:textId="77777777" w:rsidR="001A0B09" w:rsidRDefault="001A0B09">
            <w:pPr>
              <w:jc w:val="center"/>
              <w:rPr>
                <w:rFonts w:ascii="Times New Roman" w:eastAsia="Calibri" w:hAnsi="Times New Roman"/>
              </w:rPr>
            </w:pPr>
          </w:p>
        </w:tc>
        <w:tc>
          <w:tcPr>
            <w:tcW w:w="1305" w:type="dxa"/>
            <w:shd w:val="clear" w:color="auto" w:fill="auto"/>
            <w:vAlign w:val="center"/>
          </w:tcPr>
          <w:p w14:paraId="2BE62E54"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388C1592" w14:textId="79EC92F5" w:rsidR="001A0B09"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 41</w:t>
            </w:r>
          </w:p>
        </w:tc>
      </w:tr>
      <w:tr w:rsidR="001A0B09" w14:paraId="5317E4BC" w14:textId="77777777" w:rsidTr="0059273D">
        <w:tc>
          <w:tcPr>
            <w:tcW w:w="529" w:type="dxa"/>
            <w:vMerge w:val="restart"/>
            <w:shd w:val="clear" w:color="auto" w:fill="auto"/>
            <w:vAlign w:val="center"/>
          </w:tcPr>
          <w:p w14:paraId="1B7831D1" w14:textId="03CEB004"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Przedsiębiorstwom inwestowania indywidualnego?</w:t>
            </w:r>
          </w:p>
        </w:tc>
        <w:tc>
          <w:tcPr>
            <w:tcW w:w="1305" w:type="dxa"/>
            <w:shd w:val="clear" w:color="auto" w:fill="auto"/>
            <w:vAlign w:val="center"/>
          </w:tcPr>
          <w:p w14:paraId="6254A934"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64EC2A19" w14:textId="77777777" w:rsidR="001A0B09"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pkt 1.1.6.2.3.</w:t>
            </w:r>
          </w:p>
        </w:tc>
      </w:tr>
      <w:tr w:rsidR="001A0B09" w14:paraId="13F32E3C" w14:textId="77777777" w:rsidTr="0059273D">
        <w:tc>
          <w:tcPr>
            <w:tcW w:w="529" w:type="dxa"/>
            <w:vMerge/>
            <w:shd w:val="clear" w:color="auto" w:fill="auto"/>
            <w:vAlign w:val="center"/>
          </w:tcPr>
          <w:p w14:paraId="56AEF077"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04BDBDA" w14:textId="77777777" w:rsidR="001A0B09" w:rsidRDefault="001A0B09">
            <w:pPr>
              <w:jc w:val="center"/>
              <w:rPr>
                <w:rFonts w:ascii="Times New Roman" w:eastAsia="Calibri" w:hAnsi="Times New Roman"/>
              </w:rPr>
            </w:pPr>
          </w:p>
        </w:tc>
        <w:tc>
          <w:tcPr>
            <w:tcW w:w="1305" w:type="dxa"/>
            <w:shd w:val="clear" w:color="auto" w:fill="auto"/>
            <w:vAlign w:val="center"/>
          </w:tcPr>
          <w:p w14:paraId="493DECC6" w14:textId="77777777" w:rsidR="001A0B09"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67B132B5" w14:textId="77777777" w:rsidR="001A0B09"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Należy przypisać do jednej z odpowiednich pozycji w pkt 1.1.6.2.</w:t>
            </w:r>
          </w:p>
        </w:tc>
      </w:tr>
      <w:tr w:rsidR="001A0B09" w14:paraId="43E70F7B" w14:textId="77777777" w:rsidTr="0059273D">
        <w:tc>
          <w:tcPr>
            <w:tcW w:w="529" w:type="dxa"/>
            <w:vMerge w:val="restart"/>
            <w:shd w:val="clear" w:color="auto" w:fill="auto"/>
            <w:vAlign w:val="center"/>
          </w:tcPr>
          <w:p w14:paraId="73417D86" w14:textId="2B432DA5"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Inne produkty lub usługi zgodnie z art. 23 aktu delegowanego?</w:t>
            </w:r>
          </w:p>
        </w:tc>
        <w:tc>
          <w:tcPr>
            <w:tcW w:w="1305" w:type="dxa"/>
            <w:shd w:val="clear" w:color="auto" w:fill="auto"/>
            <w:vAlign w:val="center"/>
          </w:tcPr>
          <w:p w14:paraId="78582A6F"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6960DC0F" w14:textId="4B3AE284"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1A0B09" w14:paraId="3ABDBDCA" w14:textId="77777777" w:rsidTr="0059273D">
        <w:tc>
          <w:tcPr>
            <w:tcW w:w="529" w:type="dxa"/>
            <w:vMerge/>
            <w:shd w:val="clear" w:color="auto" w:fill="auto"/>
            <w:vAlign w:val="center"/>
          </w:tcPr>
          <w:p w14:paraId="1249A7F8" w14:textId="77777777" w:rsidR="001A0B09" w:rsidRDefault="001A0B09">
            <w:pPr>
              <w:jc w:val="center"/>
              <w:rPr>
                <w:rFonts w:ascii="Times New Roman" w:eastAsia="Calibri" w:hAnsi="Times New Roman"/>
              </w:rPr>
            </w:pPr>
          </w:p>
        </w:tc>
        <w:tc>
          <w:tcPr>
            <w:tcW w:w="5550" w:type="dxa"/>
            <w:vMerge/>
            <w:shd w:val="clear" w:color="auto" w:fill="auto"/>
            <w:vAlign w:val="center"/>
          </w:tcPr>
          <w:p w14:paraId="2EBD971B" w14:textId="77777777" w:rsidR="001A0B09" w:rsidRDefault="001A0B09">
            <w:pPr>
              <w:jc w:val="center"/>
              <w:rPr>
                <w:rFonts w:ascii="Times New Roman" w:eastAsia="Calibri" w:hAnsi="Times New Roman"/>
              </w:rPr>
            </w:pPr>
          </w:p>
        </w:tc>
        <w:tc>
          <w:tcPr>
            <w:tcW w:w="1305" w:type="dxa"/>
            <w:shd w:val="clear" w:color="auto" w:fill="auto"/>
            <w:vAlign w:val="center"/>
          </w:tcPr>
          <w:p w14:paraId="3A5AC19F" w14:textId="77777777" w:rsidR="001A0B09"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46C2D04C" w14:textId="77777777" w:rsidR="001A0B09"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Nie należy zgłaszać</w:t>
            </w:r>
          </w:p>
        </w:tc>
      </w:tr>
      <w:tr w:rsidR="001A0B09" w14:paraId="5DA0FD06" w14:textId="77777777" w:rsidTr="0059273D">
        <w:tc>
          <w:tcPr>
            <w:tcW w:w="529" w:type="dxa"/>
            <w:vMerge w:val="restart"/>
            <w:shd w:val="clear" w:color="auto" w:fill="auto"/>
            <w:vAlign w:val="center"/>
          </w:tcPr>
          <w:p w14:paraId="1C26C17B" w14:textId="2D10B80C"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Produkt związany z pozabilansowym finansowaniem handlu?</w:t>
            </w:r>
          </w:p>
        </w:tc>
        <w:tc>
          <w:tcPr>
            <w:tcW w:w="1305" w:type="dxa"/>
            <w:shd w:val="clear" w:color="auto" w:fill="auto"/>
            <w:vAlign w:val="center"/>
          </w:tcPr>
          <w:p w14:paraId="4CDF9C78"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9827A77" w14:textId="77777777" w:rsidR="001A0B09"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pkt 1.1.7.8.</w:t>
            </w:r>
          </w:p>
        </w:tc>
      </w:tr>
      <w:tr w:rsidR="001A0B09" w14:paraId="4EDD0DCC" w14:textId="77777777" w:rsidTr="0059273D">
        <w:tc>
          <w:tcPr>
            <w:tcW w:w="529" w:type="dxa"/>
            <w:vMerge/>
            <w:shd w:val="clear" w:color="auto" w:fill="auto"/>
            <w:vAlign w:val="center"/>
          </w:tcPr>
          <w:p w14:paraId="0417A833"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A9C57EA" w14:textId="77777777" w:rsidR="001A0B09" w:rsidRDefault="001A0B09">
            <w:pPr>
              <w:jc w:val="center"/>
              <w:rPr>
                <w:rFonts w:ascii="Times New Roman" w:eastAsia="Calibri" w:hAnsi="Times New Roman"/>
              </w:rPr>
            </w:pPr>
          </w:p>
        </w:tc>
        <w:tc>
          <w:tcPr>
            <w:tcW w:w="1305" w:type="dxa"/>
            <w:shd w:val="clear" w:color="auto" w:fill="auto"/>
            <w:vAlign w:val="center"/>
          </w:tcPr>
          <w:p w14:paraId="7AE56600"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4D86FE78"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1A0B09" w14:paraId="1BF24DCC" w14:textId="77777777" w:rsidTr="0059273D">
        <w:tc>
          <w:tcPr>
            <w:tcW w:w="529" w:type="dxa"/>
            <w:vMerge w:val="restart"/>
            <w:shd w:val="clear" w:color="auto" w:fill="auto"/>
            <w:vAlign w:val="center"/>
          </w:tcPr>
          <w:p w14:paraId="11671A89" w14:textId="77777777" w:rsidR="001A0B09" w:rsidRDefault="001A0B09">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1A0B09" w:rsidRDefault="001A0B09">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1A0B09" w:rsidRDefault="001A0B09">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1A0B09" w:rsidRDefault="001A0B09">
            <w:pPr>
              <w:pStyle w:val="TableParagraph"/>
              <w:spacing w:before="34"/>
              <w:ind w:left="289" w:right="154" w:firstLine="2"/>
              <w:jc w:val="center"/>
              <w:rPr>
                <w:rFonts w:ascii="Times New Roman" w:eastAsia="Times New Roman" w:hAnsi="Times New Roman"/>
                <w:sz w:val="16"/>
                <w:szCs w:val="16"/>
              </w:rPr>
            </w:pPr>
          </w:p>
        </w:tc>
      </w:tr>
      <w:tr w:rsidR="001A0B09" w14:paraId="5AC4A13F" w14:textId="77777777" w:rsidTr="0059273D">
        <w:tc>
          <w:tcPr>
            <w:tcW w:w="529" w:type="dxa"/>
            <w:vMerge/>
            <w:shd w:val="clear" w:color="auto" w:fill="auto"/>
            <w:vAlign w:val="center"/>
          </w:tcPr>
          <w:p w14:paraId="399F49FA" w14:textId="77777777" w:rsidR="001A0B09" w:rsidRDefault="001A0B09">
            <w:pPr>
              <w:jc w:val="center"/>
              <w:rPr>
                <w:rFonts w:ascii="Times New Roman" w:eastAsia="Calibri" w:hAnsi="Times New Roman"/>
              </w:rPr>
            </w:pPr>
          </w:p>
        </w:tc>
        <w:tc>
          <w:tcPr>
            <w:tcW w:w="5550" w:type="dxa"/>
            <w:vMerge/>
            <w:shd w:val="clear" w:color="auto" w:fill="auto"/>
            <w:vAlign w:val="center"/>
          </w:tcPr>
          <w:p w14:paraId="2EE5BE82" w14:textId="77777777" w:rsidR="001A0B09" w:rsidRDefault="001A0B09">
            <w:pPr>
              <w:jc w:val="center"/>
              <w:rPr>
                <w:rFonts w:ascii="Times New Roman" w:eastAsia="Calibri" w:hAnsi="Times New Roman"/>
              </w:rPr>
            </w:pPr>
          </w:p>
        </w:tc>
        <w:tc>
          <w:tcPr>
            <w:tcW w:w="1305" w:type="dxa"/>
            <w:shd w:val="clear" w:color="auto" w:fill="auto"/>
            <w:vAlign w:val="center"/>
          </w:tcPr>
          <w:p w14:paraId="3ECA4E07" w14:textId="77777777" w:rsidR="001A0B09" w:rsidRDefault="001A0B09">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1A0B09" w:rsidRDefault="001A0B09">
            <w:pPr>
              <w:pStyle w:val="TableParagraph"/>
              <w:spacing w:before="32"/>
              <w:ind w:left="490"/>
              <w:jc w:val="center"/>
              <w:rPr>
                <w:rFonts w:ascii="Times New Roman" w:eastAsia="Times New Roman" w:hAnsi="Times New Roman"/>
                <w:sz w:val="16"/>
                <w:szCs w:val="16"/>
              </w:rPr>
            </w:pPr>
          </w:p>
        </w:tc>
      </w:tr>
      <w:tr w:rsidR="001A0B09" w14:paraId="361D338D" w14:textId="77777777" w:rsidTr="0059273D">
        <w:tc>
          <w:tcPr>
            <w:tcW w:w="529" w:type="dxa"/>
            <w:vMerge w:val="restart"/>
            <w:shd w:val="clear" w:color="auto" w:fill="auto"/>
            <w:vAlign w:val="center"/>
          </w:tcPr>
          <w:p w14:paraId="446AC7BA"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44</w:t>
            </w:r>
          </w:p>
        </w:tc>
        <w:tc>
          <w:tcPr>
            <w:tcW w:w="5550" w:type="dxa"/>
            <w:vMerge w:val="restart"/>
            <w:shd w:val="clear" w:color="auto" w:fill="auto"/>
            <w:vAlign w:val="center"/>
          </w:tcPr>
          <w:p w14:paraId="4F7CFC3E"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Niewykorzystane kredyty i zaliczki udzielone kontrahentom hurtowym?</w:t>
            </w:r>
          </w:p>
        </w:tc>
        <w:tc>
          <w:tcPr>
            <w:tcW w:w="1305" w:type="dxa"/>
            <w:shd w:val="clear" w:color="auto" w:fill="auto"/>
            <w:vAlign w:val="center"/>
          </w:tcPr>
          <w:p w14:paraId="08E5AFEB"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6E9A723B"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1.1.7.2.</w:t>
            </w:r>
          </w:p>
        </w:tc>
      </w:tr>
      <w:tr w:rsidR="001A0B09" w14:paraId="4DF721DD" w14:textId="77777777" w:rsidTr="0059273D">
        <w:tc>
          <w:tcPr>
            <w:tcW w:w="529" w:type="dxa"/>
            <w:vMerge/>
            <w:shd w:val="clear" w:color="auto" w:fill="auto"/>
            <w:vAlign w:val="center"/>
          </w:tcPr>
          <w:p w14:paraId="194F7447" w14:textId="77777777" w:rsidR="001A0B09" w:rsidRDefault="001A0B09">
            <w:pPr>
              <w:jc w:val="center"/>
              <w:rPr>
                <w:rFonts w:ascii="Times New Roman" w:eastAsia="Calibri" w:hAnsi="Times New Roman"/>
              </w:rPr>
            </w:pPr>
          </w:p>
        </w:tc>
        <w:tc>
          <w:tcPr>
            <w:tcW w:w="5550" w:type="dxa"/>
            <w:vMerge/>
            <w:shd w:val="clear" w:color="auto" w:fill="auto"/>
            <w:vAlign w:val="center"/>
          </w:tcPr>
          <w:p w14:paraId="182C8948" w14:textId="77777777" w:rsidR="001A0B09" w:rsidRDefault="001A0B09">
            <w:pPr>
              <w:jc w:val="center"/>
              <w:rPr>
                <w:rFonts w:ascii="Times New Roman" w:eastAsia="Calibri" w:hAnsi="Times New Roman"/>
              </w:rPr>
            </w:pPr>
          </w:p>
        </w:tc>
        <w:tc>
          <w:tcPr>
            <w:tcW w:w="1305" w:type="dxa"/>
            <w:shd w:val="clear" w:color="auto" w:fill="auto"/>
            <w:vAlign w:val="center"/>
          </w:tcPr>
          <w:p w14:paraId="7F9B5F8D"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06ADA09C"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1A0B09" w14:paraId="0A4B657F" w14:textId="77777777" w:rsidTr="0059273D">
        <w:tc>
          <w:tcPr>
            <w:tcW w:w="529" w:type="dxa"/>
            <w:vMerge w:val="restart"/>
            <w:shd w:val="clear" w:color="auto" w:fill="auto"/>
            <w:vAlign w:val="center"/>
          </w:tcPr>
          <w:p w14:paraId="0D0F4D6F"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Kredyty hipoteczne, które zostały udzielone, lecz nie zostały jeszcze uruchomione</w:t>
            </w:r>
          </w:p>
        </w:tc>
        <w:tc>
          <w:tcPr>
            <w:tcW w:w="1305" w:type="dxa"/>
            <w:shd w:val="clear" w:color="auto" w:fill="auto"/>
            <w:vAlign w:val="center"/>
          </w:tcPr>
          <w:p w14:paraId="4EDAE551"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E9C3934" w14:textId="71A0D480"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1.1.7.3.</w:t>
            </w:r>
          </w:p>
        </w:tc>
      </w:tr>
      <w:tr w:rsidR="001A0B09" w14:paraId="19D46371" w14:textId="77777777" w:rsidTr="0059273D">
        <w:tc>
          <w:tcPr>
            <w:tcW w:w="529" w:type="dxa"/>
            <w:vMerge/>
            <w:shd w:val="clear" w:color="auto" w:fill="auto"/>
            <w:vAlign w:val="center"/>
          </w:tcPr>
          <w:p w14:paraId="0981784E" w14:textId="77777777" w:rsidR="001A0B09" w:rsidRDefault="001A0B09">
            <w:pPr>
              <w:jc w:val="center"/>
              <w:rPr>
                <w:rFonts w:ascii="Times New Roman" w:eastAsia="Calibri" w:hAnsi="Times New Roman"/>
              </w:rPr>
            </w:pPr>
          </w:p>
        </w:tc>
        <w:tc>
          <w:tcPr>
            <w:tcW w:w="5550" w:type="dxa"/>
            <w:vMerge/>
            <w:shd w:val="clear" w:color="auto" w:fill="auto"/>
            <w:vAlign w:val="center"/>
          </w:tcPr>
          <w:p w14:paraId="46F10088" w14:textId="77777777" w:rsidR="001A0B09" w:rsidRDefault="001A0B09">
            <w:pPr>
              <w:jc w:val="center"/>
              <w:rPr>
                <w:rFonts w:ascii="Times New Roman" w:eastAsia="Calibri" w:hAnsi="Times New Roman"/>
              </w:rPr>
            </w:pPr>
          </w:p>
        </w:tc>
        <w:tc>
          <w:tcPr>
            <w:tcW w:w="1305" w:type="dxa"/>
            <w:shd w:val="clear" w:color="auto" w:fill="auto"/>
            <w:vAlign w:val="center"/>
          </w:tcPr>
          <w:p w14:paraId="26AE4417"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0676E24D"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1A0B09" w14:paraId="1A3D2F81" w14:textId="77777777" w:rsidTr="0059273D">
        <w:tc>
          <w:tcPr>
            <w:tcW w:w="529" w:type="dxa"/>
            <w:vMerge w:val="restart"/>
            <w:shd w:val="clear" w:color="auto" w:fill="auto"/>
            <w:vAlign w:val="center"/>
          </w:tcPr>
          <w:p w14:paraId="03F793C3"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Zaplanowany wypływ związany z odnowieniem lub przedłużeniem nowych kredytów detalicznych lub hurtowych?</w:t>
            </w:r>
          </w:p>
        </w:tc>
        <w:tc>
          <w:tcPr>
            <w:tcW w:w="1305" w:type="dxa"/>
            <w:shd w:val="clear" w:color="auto" w:fill="auto"/>
            <w:vAlign w:val="center"/>
          </w:tcPr>
          <w:p w14:paraId="431FE94A" w14:textId="77777777" w:rsidR="001A0B0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3A4593A0" w14:textId="590A3CA8" w:rsidR="001A0B09"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pkt 1.1.7.6.</w:t>
            </w:r>
          </w:p>
        </w:tc>
      </w:tr>
      <w:tr w:rsidR="001A0B09" w14:paraId="251CF2FD" w14:textId="77777777" w:rsidTr="0059273D">
        <w:tc>
          <w:tcPr>
            <w:tcW w:w="529" w:type="dxa"/>
            <w:vMerge/>
            <w:shd w:val="clear" w:color="auto" w:fill="auto"/>
            <w:vAlign w:val="center"/>
          </w:tcPr>
          <w:p w14:paraId="38541B31" w14:textId="77777777" w:rsidR="001A0B09" w:rsidRDefault="001A0B09">
            <w:pPr>
              <w:jc w:val="center"/>
              <w:rPr>
                <w:rFonts w:ascii="Times New Roman" w:eastAsia="Calibri" w:hAnsi="Times New Roman"/>
              </w:rPr>
            </w:pPr>
          </w:p>
        </w:tc>
        <w:tc>
          <w:tcPr>
            <w:tcW w:w="5550" w:type="dxa"/>
            <w:vMerge/>
            <w:shd w:val="clear" w:color="auto" w:fill="auto"/>
            <w:vAlign w:val="center"/>
          </w:tcPr>
          <w:p w14:paraId="0DA3EA8A" w14:textId="77777777" w:rsidR="001A0B09" w:rsidRDefault="001A0B09">
            <w:pPr>
              <w:jc w:val="center"/>
              <w:rPr>
                <w:rFonts w:ascii="Times New Roman" w:eastAsia="Calibri" w:hAnsi="Times New Roman"/>
              </w:rPr>
            </w:pPr>
          </w:p>
        </w:tc>
        <w:tc>
          <w:tcPr>
            <w:tcW w:w="1305" w:type="dxa"/>
            <w:shd w:val="clear" w:color="auto" w:fill="auto"/>
            <w:vAlign w:val="center"/>
          </w:tcPr>
          <w:p w14:paraId="64696B66"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3B4A1BE5"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1A0B09" w14:paraId="64B0BD47" w14:textId="77777777" w:rsidTr="0059273D">
        <w:tc>
          <w:tcPr>
            <w:tcW w:w="529" w:type="dxa"/>
            <w:vMerge w:val="restart"/>
            <w:shd w:val="clear" w:color="auto" w:fill="auto"/>
            <w:vAlign w:val="center"/>
          </w:tcPr>
          <w:p w14:paraId="62A2A2BC"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Karty kredytowe?</w:t>
            </w:r>
          </w:p>
        </w:tc>
        <w:tc>
          <w:tcPr>
            <w:tcW w:w="1305" w:type="dxa"/>
            <w:shd w:val="clear" w:color="auto" w:fill="auto"/>
            <w:vAlign w:val="center"/>
          </w:tcPr>
          <w:p w14:paraId="71A6EAB2"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2B86928C" w14:textId="78C5D74A"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1.1.7.4.</w:t>
            </w:r>
          </w:p>
        </w:tc>
      </w:tr>
      <w:tr w:rsidR="001A0B09" w14:paraId="156D79D8" w14:textId="77777777" w:rsidTr="0059273D">
        <w:tc>
          <w:tcPr>
            <w:tcW w:w="529" w:type="dxa"/>
            <w:vMerge/>
            <w:shd w:val="clear" w:color="auto" w:fill="auto"/>
            <w:vAlign w:val="center"/>
          </w:tcPr>
          <w:p w14:paraId="6B5A4460" w14:textId="77777777" w:rsidR="001A0B09" w:rsidRDefault="001A0B09">
            <w:pPr>
              <w:jc w:val="center"/>
              <w:rPr>
                <w:rFonts w:ascii="Times New Roman" w:eastAsia="Calibri" w:hAnsi="Times New Roman"/>
              </w:rPr>
            </w:pPr>
          </w:p>
        </w:tc>
        <w:tc>
          <w:tcPr>
            <w:tcW w:w="5550" w:type="dxa"/>
            <w:vMerge/>
            <w:shd w:val="clear" w:color="auto" w:fill="auto"/>
            <w:vAlign w:val="center"/>
          </w:tcPr>
          <w:p w14:paraId="00FE132F" w14:textId="77777777" w:rsidR="001A0B09" w:rsidRDefault="001A0B09">
            <w:pPr>
              <w:jc w:val="center"/>
              <w:rPr>
                <w:rFonts w:ascii="Times New Roman" w:eastAsia="Calibri" w:hAnsi="Times New Roman"/>
              </w:rPr>
            </w:pPr>
          </w:p>
        </w:tc>
        <w:tc>
          <w:tcPr>
            <w:tcW w:w="1305" w:type="dxa"/>
            <w:shd w:val="clear" w:color="auto" w:fill="auto"/>
            <w:vAlign w:val="center"/>
          </w:tcPr>
          <w:p w14:paraId="2E32B2BD"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69FFCD22" w14:textId="77777777" w:rsidR="001A0B0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1A0B09" w14:paraId="2816B143" w14:textId="77777777" w:rsidTr="0059273D">
        <w:tc>
          <w:tcPr>
            <w:tcW w:w="529" w:type="dxa"/>
            <w:vMerge w:val="restart"/>
            <w:shd w:val="clear" w:color="auto" w:fill="auto"/>
            <w:vAlign w:val="center"/>
          </w:tcPr>
          <w:p w14:paraId="23E7FF3B"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Salda debetowe?</w:t>
            </w:r>
          </w:p>
        </w:tc>
        <w:tc>
          <w:tcPr>
            <w:tcW w:w="1305" w:type="dxa"/>
            <w:shd w:val="clear" w:color="auto" w:fill="auto"/>
            <w:vAlign w:val="center"/>
          </w:tcPr>
          <w:p w14:paraId="5E5C1024"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0CE42972" w14:textId="4F712896" w:rsidR="001A0B09"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pkt 1.1.7.5.</w:t>
            </w:r>
          </w:p>
        </w:tc>
      </w:tr>
      <w:tr w:rsidR="001A0B09" w14:paraId="710023DF" w14:textId="77777777" w:rsidTr="0059273D">
        <w:tc>
          <w:tcPr>
            <w:tcW w:w="529" w:type="dxa"/>
            <w:vMerge/>
            <w:shd w:val="clear" w:color="auto" w:fill="auto"/>
            <w:vAlign w:val="center"/>
          </w:tcPr>
          <w:p w14:paraId="099B2FAF" w14:textId="77777777" w:rsidR="001A0B09" w:rsidRDefault="001A0B09">
            <w:pPr>
              <w:jc w:val="center"/>
              <w:rPr>
                <w:rFonts w:ascii="Times New Roman" w:eastAsia="Calibri" w:hAnsi="Times New Roman"/>
              </w:rPr>
            </w:pPr>
          </w:p>
        </w:tc>
        <w:tc>
          <w:tcPr>
            <w:tcW w:w="5550" w:type="dxa"/>
            <w:vMerge/>
            <w:shd w:val="clear" w:color="auto" w:fill="auto"/>
            <w:vAlign w:val="center"/>
          </w:tcPr>
          <w:p w14:paraId="218105F9" w14:textId="77777777" w:rsidR="001A0B09" w:rsidRDefault="001A0B09">
            <w:pPr>
              <w:jc w:val="center"/>
              <w:rPr>
                <w:rFonts w:ascii="Times New Roman" w:eastAsia="Calibri" w:hAnsi="Times New Roman"/>
              </w:rPr>
            </w:pPr>
          </w:p>
        </w:tc>
        <w:tc>
          <w:tcPr>
            <w:tcW w:w="1305" w:type="dxa"/>
            <w:shd w:val="clear" w:color="auto" w:fill="auto"/>
            <w:vAlign w:val="center"/>
          </w:tcPr>
          <w:p w14:paraId="6DCEDA2D"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3394DD72" w14:textId="77777777"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1A0B09" w14:paraId="7AFF4F08" w14:textId="77777777" w:rsidTr="0059273D">
        <w:tc>
          <w:tcPr>
            <w:tcW w:w="529" w:type="dxa"/>
            <w:vMerge w:val="restart"/>
            <w:shd w:val="clear" w:color="auto" w:fill="auto"/>
            <w:vAlign w:val="center"/>
          </w:tcPr>
          <w:p w14:paraId="2D6D0A77" w14:textId="7777777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1A0B09" w:rsidRDefault="00BD24F8">
            <w:pPr>
              <w:pStyle w:val="TableParagraph"/>
              <w:ind w:left="243"/>
              <w:jc w:val="center"/>
              <w:rPr>
                <w:rFonts w:ascii="Times New Roman" w:eastAsia="Times New Roman" w:hAnsi="Times New Roman"/>
                <w:sz w:val="16"/>
                <w:szCs w:val="16"/>
              </w:rPr>
            </w:pPr>
            <w:r>
              <w:rPr>
                <w:rFonts w:ascii="Times New Roman" w:hAnsi="Times New Roman"/>
                <w:sz w:val="16"/>
              </w:rPr>
              <w:t>Zobowiązania z tytułu instrumentów pochodnych?</w:t>
            </w:r>
          </w:p>
        </w:tc>
        <w:tc>
          <w:tcPr>
            <w:tcW w:w="1305" w:type="dxa"/>
            <w:shd w:val="clear" w:color="auto" w:fill="auto"/>
            <w:vAlign w:val="center"/>
          </w:tcPr>
          <w:p w14:paraId="1FA4A576" w14:textId="77777777" w:rsidR="001A0B09"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0A6C622F" w14:textId="18CBAD24" w:rsidR="001A0B09"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pkt 1.1.7.7.</w:t>
            </w:r>
          </w:p>
        </w:tc>
      </w:tr>
      <w:tr w:rsidR="001A0B09" w14:paraId="562F9AA0" w14:textId="77777777" w:rsidTr="0059273D">
        <w:tc>
          <w:tcPr>
            <w:tcW w:w="529" w:type="dxa"/>
            <w:vMerge/>
            <w:shd w:val="clear" w:color="auto" w:fill="auto"/>
            <w:vAlign w:val="center"/>
          </w:tcPr>
          <w:p w14:paraId="2F87DB52" w14:textId="77777777" w:rsidR="001A0B09" w:rsidRDefault="001A0B09">
            <w:pPr>
              <w:jc w:val="center"/>
              <w:rPr>
                <w:rFonts w:ascii="Times New Roman" w:eastAsia="Calibri" w:hAnsi="Times New Roman"/>
              </w:rPr>
            </w:pPr>
          </w:p>
        </w:tc>
        <w:tc>
          <w:tcPr>
            <w:tcW w:w="5550" w:type="dxa"/>
            <w:vMerge/>
            <w:shd w:val="clear" w:color="auto" w:fill="auto"/>
            <w:vAlign w:val="center"/>
          </w:tcPr>
          <w:p w14:paraId="09F5A48C" w14:textId="77777777" w:rsidR="001A0B09" w:rsidRDefault="001A0B09">
            <w:pPr>
              <w:jc w:val="center"/>
              <w:rPr>
                <w:rFonts w:ascii="Times New Roman" w:eastAsia="Calibri" w:hAnsi="Times New Roman"/>
              </w:rPr>
            </w:pPr>
          </w:p>
        </w:tc>
        <w:tc>
          <w:tcPr>
            <w:tcW w:w="1305" w:type="dxa"/>
            <w:shd w:val="clear" w:color="auto" w:fill="auto"/>
            <w:vAlign w:val="center"/>
          </w:tcPr>
          <w:p w14:paraId="2FB6347A"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7C07E6D6" w14:textId="77777777" w:rsidR="001A0B09"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1A0B09" w14:paraId="1F9E2E3F" w14:textId="77777777" w:rsidTr="0059273D">
        <w:tc>
          <w:tcPr>
            <w:tcW w:w="529" w:type="dxa"/>
            <w:vMerge w:val="restart"/>
            <w:shd w:val="clear" w:color="auto" w:fill="auto"/>
            <w:vAlign w:val="center"/>
          </w:tcPr>
          <w:p w14:paraId="41A05260" w14:textId="58BDF0A7"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Inne zobowiązania pozabilansowe i zobowiązania warunkowe w zakresie finansowania?</w:t>
            </w:r>
          </w:p>
        </w:tc>
        <w:tc>
          <w:tcPr>
            <w:tcW w:w="1305" w:type="dxa"/>
            <w:shd w:val="clear" w:color="auto" w:fill="auto"/>
            <w:vAlign w:val="center"/>
          </w:tcPr>
          <w:p w14:paraId="0E3784FC" w14:textId="77777777" w:rsidR="001A0B09"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02F5828E" w14:textId="77777777" w:rsidR="001A0B09"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pkt 1.1.7.1.</w:t>
            </w:r>
          </w:p>
        </w:tc>
      </w:tr>
      <w:tr w:rsidR="001A0B09" w14:paraId="2AD53A95" w14:textId="77777777" w:rsidTr="0059273D">
        <w:tc>
          <w:tcPr>
            <w:tcW w:w="529" w:type="dxa"/>
            <w:vMerge/>
            <w:shd w:val="clear" w:color="auto" w:fill="auto"/>
            <w:vAlign w:val="center"/>
          </w:tcPr>
          <w:p w14:paraId="1260E442" w14:textId="77777777" w:rsidR="001A0B09" w:rsidRDefault="001A0B09">
            <w:pPr>
              <w:jc w:val="center"/>
              <w:rPr>
                <w:rFonts w:ascii="Times New Roman" w:eastAsia="Calibri" w:hAnsi="Times New Roman"/>
              </w:rPr>
            </w:pPr>
          </w:p>
        </w:tc>
        <w:tc>
          <w:tcPr>
            <w:tcW w:w="5550" w:type="dxa"/>
            <w:vMerge/>
            <w:shd w:val="clear" w:color="auto" w:fill="auto"/>
            <w:vAlign w:val="center"/>
          </w:tcPr>
          <w:p w14:paraId="2A217964" w14:textId="77777777" w:rsidR="001A0B09" w:rsidRDefault="001A0B09">
            <w:pPr>
              <w:jc w:val="center"/>
              <w:rPr>
                <w:rFonts w:ascii="Times New Roman" w:eastAsia="Calibri" w:hAnsi="Times New Roman"/>
              </w:rPr>
            </w:pPr>
          </w:p>
        </w:tc>
        <w:tc>
          <w:tcPr>
            <w:tcW w:w="1305" w:type="dxa"/>
            <w:shd w:val="clear" w:color="auto" w:fill="auto"/>
            <w:vAlign w:val="center"/>
          </w:tcPr>
          <w:p w14:paraId="613ABAC2"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251B7E9E" w14:textId="77777777" w:rsidR="001A0B09"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pkt 1.1.7.9.</w:t>
            </w:r>
          </w:p>
        </w:tc>
      </w:tr>
      <w:tr w:rsidR="001A0B09" w14:paraId="3A8C3D29" w14:textId="77777777" w:rsidTr="0059273D">
        <w:tc>
          <w:tcPr>
            <w:tcW w:w="529" w:type="dxa"/>
            <w:vMerge w:val="restart"/>
            <w:shd w:val="clear" w:color="auto" w:fill="auto"/>
            <w:vAlign w:val="center"/>
          </w:tcPr>
          <w:p w14:paraId="51352F09" w14:textId="09C627D0"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Dłużne papiery wartościowe zgłoszone już w pozycji 1.1.8.2 w formularzu C 73.00?</w:t>
            </w:r>
          </w:p>
        </w:tc>
        <w:tc>
          <w:tcPr>
            <w:tcW w:w="1305" w:type="dxa"/>
            <w:shd w:val="clear" w:color="auto" w:fill="auto"/>
            <w:vAlign w:val="center"/>
          </w:tcPr>
          <w:p w14:paraId="20BC634E" w14:textId="77777777" w:rsidR="001A0B09"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763A6D9E" w14:textId="77777777" w:rsidR="001A0B09"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Nie należy zgłaszać</w:t>
            </w:r>
          </w:p>
        </w:tc>
      </w:tr>
      <w:tr w:rsidR="001A0B09" w14:paraId="100A52BC" w14:textId="77777777" w:rsidTr="0059273D">
        <w:tc>
          <w:tcPr>
            <w:tcW w:w="529" w:type="dxa"/>
            <w:vMerge/>
            <w:shd w:val="clear" w:color="auto" w:fill="auto"/>
            <w:vAlign w:val="center"/>
          </w:tcPr>
          <w:p w14:paraId="311323FD" w14:textId="77777777" w:rsidR="001A0B09" w:rsidRDefault="001A0B09">
            <w:pPr>
              <w:jc w:val="center"/>
              <w:rPr>
                <w:rFonts w:ascii="Times New Roman" w:eastAsia="Calibri" w:hAnsi="Times New Roman"/>
              </w:rPr>
            </w:pPr>
          </w:p>
        </w:tc>
        <w:tc>
          <w:tcPr>
            <w:tcW w:w="5550" w:type="dxa"/>
            <w:vMerge/>
            <w:shd w:val="clear" w:color="auto" w:fill="auto"/>
            <w:vAlign w:val="center"/>
          </w:tcPr>
          <w:p w14:paraId="46586F6F" w14:textId="77777777" w:rsidR="001A0B09" w:rsidRDefault="001A0B09">
            <w:pPr>
              <w:jc w:val="center"/>
              <w:rPr>
                <w:rFonts w:ascii="Times New Roman" w:eastAsia="Calibri" w:hAnsi="Times New Roman"/>
              </w:rPr>
            </w:pPr>
          </w:p>
        </w:tc>
        <w:tc>
          <w:tcPr>
            <w:tcW w:w="1305" w:type="dxa"/>
            <w:shd w:val="clear" w:color="auto" w:fill="auto"/>
            <w:vAlign w:val="center"/>
          </w:tcPr>
          <w:p w14:paraId="49B7DCF3" w14:textId="77777777" w:rsidR="001A0B09"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2DA43823" w14:textId="11F214AE" w:rsidR="001A0B09"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1A0B09" w14:paraId="4F7FB576" w14:textId="77777777" w:rsidTr="0059273D">
        <w:tc>
          <w:tcPr>
            <w:tcW w:w="529" w:type="dxa"/>
            <w:vMerge w:val="restart"/>
            <w:shd w:val="clear" w:color="auto" w:fill="auto"/>
            <w:vAlign w:val="center"/>
          </w:tcPr>
          <w:p w14:paraId="7714BCBA" w14:textId="0F1020F2" w:rsidR="001A0B09"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1A0B09" w:rsidRDefault="008D2CDE">
            <w:pPr>
              <w:pStyle w:val="TableParagraph"/>
              <w:ind w:left="243"/>
              <w:jc w:val="center"/>
              <w:rPr>
                <w:rFonts w:ascii="Times New Roman" w:eastAsia="Times New Roman" w:hAnsi="Times New Roman"/>
                <w:sz w:val="16"/>
                <w:szCs w:val="16"/>
              </w:rPr>
            </w:pPr>
            <w:r>
              <w:rPr>
                <w:rFonts w:ascii="Times New Roman" w:hAnsi="Times New Roman"/>
                <w:sz w:val="16"/>
              </w:rPr>
              <w:t>Wymóg w zakresie płynności dotyczący instrumentów pochodnych zgodnie z art. 30 ust. 4 aktu delegowanego, który został już uwzględniony w pytaniu # 29?</w:t>
            </w:r>
          </w:p>
        </w:tc>
        <w:tc>
          <w:tcPr>
            <w:tcW w:w="1305" w:type="dxa"/>
            <w:shd w:val="clear" w:color="auto" w:fill="auto"/>
            <w:vAlign w:val="center"/>
          </w:tcPr>
          <w:p w14:paraId="1AB5ADC0" w14:textId="77777777" w:rsidR="001A0B09"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Tak</w:t>
            </w:r>
          </w:p>
        </w:tc>
        <w:tc>
          <w:tcPr>
            <w:tcW w:w="2222" w:type="dxa"/>
            <w:shd w:val="clear" w:color="auto" w:fill="auto"/>
            <w:vAlign w:val="center"/>
          </w:tcPr>
          <w:p w14:paraId="46D75FB6" w14:textId="77777777" w:rsidR="001A0B09"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Nie należy zgłaszać</w:t>
            </w:r>
          </w:p>
        </w:tc>
      </w:tr>
      <w:tr w:rsidR="001A0B09" w14:paraId="04624BB7" w14:textId="77777777" w:rsidTr="0059273D">
        <w:tc>
          <w:tcPr>
            <w:tcW w:w="529" w:type="dxa"/>
            <w:vMerge/>
            <w:shd w:val="clear" w:color="auto" w:fill="auto"/>
            <w:vAlign w:val="center"/>
          </w:tcPr>
          <w:p w14:paraId="716162BB" w14:textId="77777777" w:rsidR="001A0B09" w:rsidRDefault="001A0B09">
            <w:pPr>
              <w:jc w:val="center"/>
              <w:rPr>
                <w:rFonts w:ascii="Times New Roman" w:eastAsia="Calibri" w:hAnsi="Times New Roman"/>
              </w:rPr>
            </w:pPr>
          </w:p>
        </w:tc>
        <w:tc>
          <w:tcPr>
            <w:tcW w:w="5550" w:type="dxa"/>
            <w:vMerge/>
            <w:shd w:val="clear" w:color="auto" w:fill="auto"/>
            <w:vAlign w:val="center"/>
          </w:tcPr>
          <w:p w14:paraId="40158B3B" w14:textId="77777777" w:rsidR="001A0B09" w:rsidRDefault="001A0B09">
            <w:pPr>
              <w:jc w:val="center"/>
              <w:rPr>
                <w:rFonts w:ascii="Times New Roman" w:eastAsia="Calibri" w:hAnsi="Times New Roman"/>
              </w:rPr>
            </w:pPr>
          </w:p>
        </w:tc>
        <w:tc>
          <w:tcPr>
            <w:tcW w:w="1305" w:type="dxa"/>
            <w:shd w:val="clear" w:color="auto" w:fill="auto"/>
            <w:vAlign w:val="center"/>
          </w:tcPr>
          <w:p w14:paraId="158B3479" w14:textId="77777777" w:rsidR="001A0B09" w:rsidRDefault="008D2CDE">
            <w:pPr>
              <w:pStyle w:val="TableParagraph"/>
              <w:ind w:left="459"/>
              <w:jc w:val="center"/>
              <w:rPr>
                <w:rFonts w:ascii="Times New Roman" w:eastAsia="Times New Roman" w:hAnsi="Times New Roman"/>
                <w:sz w:val="16"/>
                <w:szCs w:val="16"/>
              </w:rPr>
            </w:pPr>
            <w:r>
              <w:rPr>
                <w:rFonts w:ascii="Times New Roman" w:hAnsi="Times New Roman"/>
                <w:sz w:val="16"/>
              </w:rPr>
              <w:t>Nie</w:t>
            </w:r>
          </w:p>
        </w:tc>
        <w:tc>
          <w:tcPr>
            <w:tcW w:w="2222" w:type="dxa"/>
            <w:shd w:val="clear" w:color="auto" w:fill="auto"/>
            <w:vAlign w:val="center"/>
          </w:tcPr>
          <w:p w14:paraId="1868B7DD" w14:textId="77777777" w:rsidR="001A0B09"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Należy przypisać do jednej z odpowiednich pozycji w pkt 1.1.5.</w:t>
            </w:r>
          </w:p>
        </w:tc>
      </w:tr>
    </w:tbl>
    <w:p w14:paraId="0351CAA7" w14:textId="77777777" w:rsidR="001A0B09" w:rsidRDefault="001A0B09">
      <w:pPr>
        <w:widowControl w:val="0"/>
        <w:spacing w:after="0" w:line="239" w:lineRule="auto"/>
        <w:ind w:right="114"/>
        <w:rPr>
          <w:rFonts w:ascii="Times New Roman" w:eastAsia="Calibri" w:hAnsi="Times New Roman"/>
          <w:sz w:val="18"/>
          <w:szCs w:val="18"/>
        </w:rPr>
      </w:pPr>
    </w:p>
    <w:p w14:paraId="73D80E81" w14:textId="0698DC11" w:rsidR="001A0B0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Instrukcje dotyczące poszczególnych kolumn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1A0B09" w14:paraId="09160397" w14:textId="77777777" w:rsidTr="00454544">
        <w:tc>
          <w:tcPr>
            <w:tcW w:w="1382" w:type="dxa"/>
            <w:shd w:val="clear" w:color="auto" w:fill="auto"/>
          </w:tcPr>
          <w:p w14:paraId="42B160A7" w14:textId="77777777" w:rsidR="001A0B09" w:rsidRDefault="006E48EA">
            <w:pPr>
              <w:ind w:left="107"/>
              <w:rPr>
                <w:rFonts w:ascii="Times New Roman" w:eastAsia="Verdana" w:hAnsi="Times New Roman"/>
                <w:sz w:val="18"/>
                <w:szCs w:val="18"/>
              </w:rPr>
            </w:pPr>
            <w:r>
              <w:rPr>
                <w:rFonts w:ascii="Times New Roman" w:hAnsi="Times New Roman"/>
                <w:sz w:val="18"/>
                <w:u w:color="000000"/>
              </w:rPr>
              <w:t>Kolumna</w:t>
            </w:r>
          </w:p>
        </w:tc>
        <w:tc>
          <w:tcPr>
            <w:tcW w:w="7140" w:type="dxa"/>
            <w:shd w:val="clear" w:color="auto" w:fill="auto"/>
          </w:tcPr>
          <w:p w14:paraId="29D5C5E7" w14:textId="77777777" w:rsidR="001A0B09" w:rsidRDefault="006E48EA">
            <w:pPr>
              <w:ind w:left="108"/>
              <w:rPr>
                <w:rFonts w:ascii="Times New Roman" w:eastAsia="Verdana" w:hAnsi="Times New Roman"/>
                <w:sz w:val="18"/>
                <w:szCs w:val="18"/>
              </w:rPr>
            </w:pPr>
            <w:r>
              <w:rPr>
                <w:rFonts w:ascii="Times New Roman" w:hAnsi="Times New Roman"/>
                <w:sz w:val="18"/>
                <w:u w:color="000000"/>
              </w:rPr>
              <w:t>Odniesienia prawne i instrukcje</w:t>
            </w:r>
          </w:p>
        </w:tc>
      </w:tr>
      <w:tr w:rsidR="001A0B09" w14:paraId="4ECE8DAF" w14:textId="77777777" w:rsidTr="00454544">
        <w:tc>
          <w:tcPr>
            <w:tcW w:w="1382" w:type="dxa"/>
            <w:shd w:val="clear" w:color="auto" w:fill="auto"/>
          </w:tcPr>
          <w:p w14:paraId="2C947513" w14:textId="77777777" w:rsidR="001A0B09"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1A0B09" w:rsidRDefault="001A0B09">
            <w:pPr>
              <w:pStyle w:val="TableParagraph"/>
              <w:spacing w:before="10"/>
              <w:rPr>
                <w:rFonts w:ascii="Times New Roman" w:eastAsia="Times New Roman" w:hAnsi="Times New Roman"/>
                <w:sz w:val="20"/>
                <w:szCs w:val="20"/>
              </w:rPr>
            </w:pPr>
          </w:p>
          <w:p w14:paraId="26C75966" w14:textId="77777777" w:rsidR="001A0B09"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Kwota</w:t>
            </w:r>
          </w:p>
          <w:p w14:paraId="48BD769F" w14:textId="77777777" w:rsidR="001A0B09" w:rsidRDefault="001A0B09">
            <w:pPr>
              <w:pStyle w:val="TableParagraph"/>
              <w:spacing w:before="10"/>
              <w:rPr>
                <w:rFonts w:ascii="Times New Roman" w:eastAsia="Times New Roman" w:hAnsi="Times New Roman"/>
                <w:sz w:val="20"/>
                <w:szCs w:val="20"/>
              </w:rPr>
            </w:pPr>
          </w:p>
          <w:p w14:paraId="277C8010" w14:textId="77777777" w:rsidR="001A0B09"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Szczegółowe instrukcje dotyczące transakcji / depozytów niezabezpieczonych:</w:t>
            </w:r>
          </w:p>
          <w:p w14:paraId="6E49B888" w14:textId="77777777" w:rsidR="001A0B09" w:rsidRDefault="001A0B09">
            <w:pPr>
              <w:pStyle w:val="TableParagraph"/>
              <w:spacing w:before="10"/>
              <w:rPr>
                <w:rFonts w:ascii="Times New Roman" w:eastAsia="Times New Roman" w:hAnsi="Times New Roman"/>
                <w:sz w:val="20"/>
                <w:szCs w:val="20"/>
              </w:rPr>
            </w:pPr>
          </w:p>
          <w:p w14:paraId="1D3927A1" w14:textId="04DE3851" w:rsidR="001A0B09" w:rsidRDefault="006E48EA">
            <w:pPr>
              <w:pStyle w:val="TableParagraph"/>
              <w:ind w:left="102" w:right="95"/>
              <w:jc w:val="both"/>
              <w:rPr>
                <w:rFonts w:ascii="Times New Roman" w:eastAsia="Verdana" w:hAnsi="Times New Roman"/>
                <w:sz w:val="18"/>
                <w:szCs w:val="18"/>
              </w:rPr>
            </w:pPr>
            <w:r>
              <w:rPr>
                <w:rFonts w:ascii="Times New Roman" w:hAnsi="Times New Roman"/>
                <w:sz w:val="18"/>
              </w:rPr>
              <w:t>W tej sekcji instytucje kredytowe zgłaszają pozostającą kwotę salda z tytułu różnych kategorii zobowiązań i zobowiązań pozabilansowych zgodnie z art. 22–31 rozporządzenia delegowanego (UE) 2015/61.</w:t>
            </w:r>
          </w:p>
          <w:p w14:paraId="34B20675" w14:textId="77777777" w:rsidR="001A0B09" w:rsidRDefault="001A0B09">
            <w:pPr>
              <w:pStyle w:val="TableParagraph"/>
              <w:spacing w:before="9"/>
              <w:rPr>
                <w:rFonts w:ascii="Times New Roman" w:eastAsia="Times New Roman" w:hAnsi="Times New Roman"/>
                <w:sz w:val="20"/>
                <w:szCs w:val="20"/>
              </w:rPr>
            </w:pPr>
          </w:p>
          <w:p w14:paraId="2CAE8E79" w14:textId="77777777" w:rsidR="001A0B09" w:rsidRDefault="006E48EA">
            <w:pPr>
              <w:pStyle w:val="TableParagraph"/>
              <w:ind w:left="102" w:right="97"/>
              <w:jc w:val="both"/>
              <w:rPr>
                <w:rFonts w:ascii="Times New Roman" w:eastAsia="Verdana" w:hAnsi="Times New Roman"/>
                <w:sz w:val="18"/>
                <w:szCs w:val="18"/>
              </w:rPr>
            </w:pPr>
            <w:r>
              <w:rPr>
                <w:rFonts w:ascii="Times New Roman" w:hAnsi="Times New Roman"/>
                <w:sz w:val="18"/>
              </w:rPr>
              <w:t>Z zastrzeżeniem uprzedniej zgody właściwego organu w ramach każdej kategorii wypływów, kwota każdej pozycji zgłoszonej w kolumnie 010 formularza C 73.00 określonego w załączniku XXIV podlega kompensowaniu przez odjęcie odpowiedniej kwoty współzależnego wpływu zgodnie z art. 26.</w:t>
            </w:r>
          </w:p>
          <w:p w14:paraId="3F9C74E0" w14:textId="77777777" w:rsidR="001A0B09" w:rsidRDefault="001A0B09">
            <w:pPr>
              <w:pStyle w:val="TableParagraph"/>
              <w:spacing w:before="1"/>
              <w:rPr>
                <w:rFonts w:ascii="Times New Roman" w:eastAsia="Times New Roman" w:hAnsi="Times New Roman"/>
                <w:sz w:val="21"/>
                <w:szCs w:val="21"/>
              </w:rPr>
            </w:pPr>
          </w:p>
          <w:p w14:paraId="703C82B3" w14:textId="77777777" w:rsidR="001A0B09"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Szczegółowe instrukcje dotyczące zabezpieczonych transakcji kredytowych i transakcji opartych na rynku kapitałowym:</w:t>
            </w:r>
          </w:p>
          <w:p w14:paraId="5C6EF840" w14:textId="77777777" w:rsidR="001A0B09" w:rsidRDefault="001A0B09">
            <w:pPr>
              <w:pStyle w:val="TableParagraph"/>
              <w:spacing w:before="10"/>
              <w:rPr>
                <w:rFonts w:ascii="Times New Roman" w:eastAsia="Times New Roman" w:hAnsi="Times New Roman"/>
                <w:sz w:val="20"/>
                <w:szCs w:val="20"/>
              </w:rPr>
            </w:pPr>
          </w:p>
          <w:p w14:paraId="28368665" w14:textId="4F4C28C0" w:rsidR="001A0B09" w:rsidRDefault="006E48EA">
            <w:pPr>
              <w:pStyle w:val="TableParagraph"/>
              <w:ind w:left="102" w:right="95"/>
              <w:jc w:val="both"/>
              <w:rPr>
                <w:rFonts w:ascii="Times New Roman" w:eastAsia="Verdana" w:hAnsi="Times New Roman"/>
                <w:sz w:val="18"/>
                <w:szCs w:val="18"/>
              </w:rPr>
            </w:pPr>
            <w:r>
              <w:rPr>
                <w:rFonts w:ascii="Times New Roman" w:hAnsi="Times New Roman"/>
                <w:sz w:val="18"/>
              </w:rPr>
              <w:t>W tej sekcji instytucje kredytowe zgłaszają saldo zobowiązań, które stanowią składnik pieniężny zabezpieczonej transakcji, zgodnie z art. 22 ust. 2 rozporządzenia delegowanego (UE) 2015/61.</w:t>
            </w:r>
          </w:p>
        </w:tc>
      </w:tr>
      <w:tr w:rsidR="001A0B09" w14:paraId="3117C8D7" w14:textId="77777777" w:rsidTr="00454544">
        <w:tc>
          <w:tcPr>
            <w:tcW w:w="1382" w:type="dxa"/>
            <w:shd w:val="clear" w:color="auto" w:fill="auto"/>
          </w:tcPr>
          <w:p w14:paraId="651E46DE" w14:textId="77777777" w:rsidR="001A0B09"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1A0B09"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Wartość rynkowa udzielonego zabezpieczenia</w:t>
            </w:r>
          </w:p>
          <w:p w14:paraId="4DC43231" w14:textId="77777777" w:rsidR="001A0B09" w:rsidRDefault="001A0B09">
            <w:pPr>
              <w:pStyle w:val="TableParagraph"/>
              <w:spacing w:before="10"/>
              <w:rPr>
                <w:rFonts w:ascii="Times New Roman" w:eastAsia="Times New Roman" w:hAnsi="Times New Roman"/>
                <w:sz w:val="20"/>
                <w:szCs w:val="20"/>
              </w:rPr>
            </w:pPr>
          </w:p>
          <w:p w14:paraId="7AC65AAA" w14:textId="77777777" w:rsidR="001A0B09"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Szczegółowe instrukcje dotyczące zabezpieczonych transakcji kredytowych i transakcji opartych na rynku kapitałowym:</w:t>
            </w:r>
          </w:p>
          <w:p w14:paraId="269115EF" w14:textId="77777777" w:rsidR="001A0B09" w:rsidRDefault="001A0B09">
            <w:pPr>
              <w:pStyle w:val="TableParagraph"/>
              <w:spacing w:before="10"/>
              <w:rPr>
                <w:rFonts w:ascii="Times New Roman" w:eastAsia="Times New Roman" w:hAnsi="Times New Roman"/>
                <w:sz w:val="20"/>
                <w:szCs w:val="20"/>
              </w:rPr>
            </w:pPr>
          </w:p>
          <w:p w14:paraId="27033423" w14:textId="7B607B53" w:rsidR="001A0B09"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W tej sekcji instytucje kredytowe zgłaszają wartość rynkową udzielonego zabezpieczenia, którą oblicza się jako bieżącą wartość rynkową przed zastosowaniem redukcji wartości, ale po uwzględnieniu przepływów wynikających z likwidacji powiązanych zabezpieczeń (zgodnie z art. 8 ust. 5 rozporządzenia delegowanego (UE) 2015/61) i z zastrzeżeniem następujących warunków:</w:t>
            </w:r>
          </w:p>
          <w:p w14:paraId="40F3F30A" w14:textId="77777777" w:rsidR="001A0B09" w:rsidRDefault="001A0B09">
            <w:pPr>
              <w:pStyle w:val="TableParagraph"/>
              <w:spacing w:before="11"/>
              <w:rPr>
                <w:rFonts w:ascii="Times New Roman" w:eastAsia="Times New Roman" w:hAnsi="Times New Roman"/>
                <w:sz w:val="21"/>
                <w:szCs w:val="21"/>
              </w:rPr>
            </w:pPr>
          </w:p>
          <w:p w14:paraId="69BF95AE" w14:textId="30D8F420" w:rsidR="001A0B09"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Jeżeli instytucja kredytowa może uznać jedynie część swoich akcji w walucie obcej lub aktywów rządu centralnego lub banku centralnego w walucie obcej lub </w:t>
            </w:r>
            <w:r>
              <w:rPr>
                <w:rFonts w:ascii="Times New Roman" w:hAnsi="Times New Roman"/>
                <w:sz w:val="18"/>
              </w:rPr>
              <w:lastRenderedPageBreak/>
              <w:t xml:space="preserve">aktywów rządu centralnego lub banku centralnego w walucie krajowej w ramach swoich aktywów płynnych wysokiej jakości, wówczas zgłoszeniu podlega jedynie możliwa do uznania część w ramach wierszy dotyczących aktywów poziomu 1, 2A i 2B zgodnie z art. 12 ust. 1 lit. c) </w:t>
            </w:r>
            <w:r>
              <w:rPr>
                <w:rFonts w:ascii="Times New Roman" w:hAnsi="Times New Roman"/>
                <w:sz w:val="18"/>
                <w:szCs w:val="18"/>
              </w:rPr>
              <w:t xml:space="preserve">ppkt (ii) </w:t>
            </w:r>
            <w:r>
              <w:rPr>
                <w:rFonts w:ascii="Times New Roman" w:hAnsi="Times New Roman"/>
                <w:sz w:val="18"/>
              </w:rPr>
              <w:t xml:space="preserve">i art. 10 ust. 1 </w:t>
            </w:r>
            <w:r>
              <w:rPr>
                <w:rFonts w:ascii="Times New Roman" w:hAnsi="Times New Roman"/>
                <w:sz w:val="18"/>
                <w:szCs w:val="18"/>
              </w:rPr>
              <w:t xml:space="preserve">lit. d) </w:t>
            </w:r>
            <w:r>
              <w:rPr>
                <w:rFonts w:ascii="Times New Roman" w:hAnsi="Times New Roman"/>
                <w:sz w:val="18"/>
              </w:rPr>
              <w:t>rozporządzenia delegowanego (UE) 2015/61). Jeżeli określony składnik aktywów wykorzystuje się jako zabezpieczenie, ale w kwocie, która stanowi nadwyżkę w stosunku do części, którą można uznać w ramach aktywów płynnych, kwotę nadwyżki zgłasza się w sekcji dotyczącej aktywów niepłynnych;</w:t>
            </w:r>
          </w:p>
          <w:p w14:paraId="75DE2640" w14:textId="77777777" w:rsidR="001A0B09" w:rsidRDefault="001A0B09">
            <w:pPr>
              <w:pStyle w:val="TableParagraph"/>
              <w:rPr>
                <w:rFonts w:ascii="Times New Roman" w:eastAsia="Times New Roman" w:hAnsi="Times New Roman"/>
              </w:rPr>
            </w:pPr>
          </w:p>
          <w:p w14:paraId="666E509F" w14:textId="77777777" w:rsidR="001A0B09"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Aktywa poziomu 2A zgłasza się w odpowiednim wierszu dotyczącym aktywów poziomu 2A, nawet jeżeli stosuje się alternatywne podejście w zakresie płynności (tj. w ramach sprawozdawczości w zakresie transakcji zabezpieczonych nie przenosi się aktywów z wiersza dotyczącego aktywów poziomu 2A do wiersza dotyczącego aktywów płynnych poziomu 1).</w:t>
            </w:r>
          </w:p>
        </w:tc>
      </w:tr>
      <w:tr w:rsidR="001A0B09" w14:paraId="3081BB14" w14:textId="77777777" w:rsidTr="00454544">
        <w:tc>
          <w:tcPr>
            <w:tcW w:w="1382" w:type="dxa"/>
            <w:shd w:val="clear" w:color="auto" w:fill="auto"/>
          </w:tcPr>
          <w:p w14:paraId="7880BB37" w14:textId="77777777" w:rsidR="001A0B09" w:rsidRDefault="006E48EA">
            <w:pPr>
              <w:pStyle w:val="TableParagraph"/>
              <w:ind w:left="102"/>
              <w:rPr>
                <w:rFonts w:ascii="Times New Roman" w:eastAsia="Verdana" w:hAnsi="Times New Roman"/>
                <w:sz w:val="18"/>
                <w:szCs w:val="18"/>
              </w:rPr>
            </w:pPr>
            <w:r>
              <w:rPr>
                <w:rFonts w:ascii="Times New Roman" w:hAnsi="Times New Roman"/>
                <w:sz w:val="18"/>
              </w:rPr>
              <w:lastRenderedPageBreak/>
              <w:t>030</w:t>
            </w:r>
          </w:p>
        </w:tc>
        <w:tc>
          <w:tcPr>
            <w:tcW w:w="7140" w:type="dxa"/>
            <w:shd w:val="clear" w:color="auto" w:fill="auto"/>
          </w:tcPr>
          <w:p w14:paraId="7D9B2862" w14:textId="6BC9817C" w:rsidR="001A0B09"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Wartość udzielonego zabezpieczenia obliczona zgodnie z art. 9</w:t>
            </w:r>
          </w:p>
          <w:p w14:paraId="44693E19" w14:textId="77777777" w:rsidR="001A0B09" w:rsidRDefault="001A0B09">
            <w:pPr>
              <w:pStyle w:val="TableParagraph"/>
              <w:spacing w:before="10"/>
              <w:rPr>
                <w:rFonts w:ascii="Times New Roman" w:eastAsia="Times New Roman" w:hAnsi="Times New Roman"/>
                <w:sz w:val="20"/>
                <w:szCs w:val="20"/>
              </w:rPr>
            </w:pPr>
          </w:p>
          <w:p w14:paraId="148020B9" w14:textId="77777777" w:rsidR="001A0B09"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Szczegółowe instrukcje dotyczące zabezpieczonych transakcji kredytowych i transakcji opartych na rynku kapitałowym:</w:t>
            </w:r>
          </w:p>
          <w:p w14:paraId="1274124E" w14:textId="77777777" w:rsidR="001A0B09" w:rsidRDefault="001A0B09">
            <w:pPr>
              <w:pStyle w:val="TableParagraph"/>
              <w:spacing w:before="10"/>
              <w:rPr>
                <w:rFonts w:ascii="Times New Roman" w:eastAsia="Times New Roman" w:hAnsi="Times New Roman"/>
                <w:sz w:val="20"/>
                <w:szCs w:val="20"/>
              </w:rPr>
            </w:pPr>
          </w:p>
          <w:p w14:paraId="09EEFD8D" w14:textId="2C7954F4" w:rsidR="001A0B09" w:rsidRDefault="006E48EA">
            <w:pPr>
              <w:pStyle w:val="TableParagraph"/>
              <w:ind w:left="102" w:right="97"/>
              <w:jc w:val="both"/>
              <w:rPr>
                <w:rFonts w:ascii="Times New Roman" w:eastAsia="Verdana" w:hAnsi="Times New Roman"/>
                <w:sz w:val="18"/>
                <w:szCs w:val="18"/>
              </w:rPr>
            </w:pPr>
            <w:r>
              <w:rPr>
                <w:rFonts w:ascii="Times New Roman" w:hAnsi="Times New Roman"/>
                <w:sz w:val="18"/>
              </w:rPr>
              <w:t>W tej sekcji instytucje kredytowe zgłaszają wartość udzielonego zabezpieczenia zgodnie z art. 9 rozporządzenia delegowanego (UE) 2015/61. Wartość tę oblicza się, mnożąc wartość kolumny 020 z formularza C 73.00 określonym w załączniku XXIV przez mającą zastosowanie wagę/redukcję wartości z formularza C 72.00 określonego w załączniku XXIV odpowiadającą rodzajowi aktywów. Kolumnę 030 w formularzu C 73.00 określonym w załączniku XXIV wykorzystuje się przy obliczaniu skorygowanej kwoty aktywów płynnych w formularzu C 76.00 określonym w załączniku XXIV.</w:t>
            </w:r>
          </w:p>
        </w:tc>
      </w:tr>
      <w:tr w:rsidR="001A0B09" w14:paraId="4A9ED54B" w14:textId="77777777" w:rsidTr="00454544">
        <w:tc>
          <w:tcPr>
            <w:tcW w:w="1382" w:type="dxa"/>
            <w:shd w:val="clear" w:color="auto" w:fill="auto"/>
          </w:tcPr>
          <w:p w14:paraId="7BF2B239" w14:textId="77777777" w:rsidR="001A0B09"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1A0B09"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Waga standardowa</w:t>
            </w:r>
          </w:p>
          <w:p w14:paraId="7003D126" w14:textId="77777777" w:rsidR="001A0B09" w:rsidRDefault="001A0B09">
            <w:pPr>
              <w:pStyle w:val="InstructionsText"/>
              <w:rPr>
                <w:rStyle w:val="FormatvorlageInstructionsTabelleText"/>
                <w:rFonts w:ascii="Times New Roman" w:eastAsia="Calibri" w:hAnsi="Times New Roman"/>
                <w:b/>
                <w:bCs/>
                <w:sz w:val="18"/>
                <w:szCs w:val="22"/>
              </w:rPr>
            </w:pPr>
          </w:p>
          <w:p w14:paraId="5D7B80A9" w14:textId="36FFF792" w:rsidR="001A0B09"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Art. 24–31a rozporządzenia delegowanego (UE) 2015/61</w:t>
            </w:r>
          </w:p>
          <w:p w14:paraId="6603B5EC" w14:textId="77777777" w:rsidR="001A0B09" w:rsidRDefault="001A0B09">
            <w:pPr>
              <w:pStyle w:val="InstructionsText"/>
              <w:rPr>
                <w:rStyle w:val="FormatvorlageInstructionsTabelleText"/>
                <w:rFonts w:ascii="Times New Roman" w:eastAsia="Calibri" w:hAnsi="Times New Roman"/>
                <w:sz w:val="18"/>
              </w:rPr>
            </w:pPr>
          </w:p>
          <w:p w14:paraId="37671978" w14:textId="0D0469B6" w:rsidR="001A0B09"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Wagi standardowe w kolumnie 040 są wagami odniesienia określonymi w rozporządzeniu delegowanym (UE) 2015/61 i są przedstawione wyłącznie w celach informacyjnych.</w:t>
            </w:r>
          </w:p>
          <w:p w14:paraId="0948D84E" w14:textId="77777777" w:rsidR="001A0B09" w:rsidRDefault="001A0B09">
            <w:pPr>
              <w:pStyle w:val="TableParagraph"/>
              <w:spacing w:before="10"/>
              <w:rPr>
                <w:rFonts w:ascii="Times New Roman" w:eastAsia="Times New Roman" w:hAnsi="Times New Roman"/>
                <w:sz w:val="20"/>
                <w:szCs w:val="20"/>
              </w:rPr>
            </w:pPr>
          </w:p>
        </w:tc>
      </w:tr>
      <w:tr w:rsidR="001A0B09" w14:paraId="3479A129" w14:textId="77777777" w:rsidTr="00454544">
        <w:tc>
          <w:tcPr>
            <w:tcW w:w="1382" w:type="dxa"/>
            <w:shd w:val="clear" w:color="auto" w:fill="auto"/>
          </w:tcPr>
          <w:p w14:paraId="4A69777C" w14:textId="77777777" w:rsidR="001A0B09" w:rsidRDefault="006E48EA">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77777777" w:rsidR="001A0B09"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Mająca zastosowanie waga</w:t>
            </w:r>
          </w:p>
          <w:p w14:paraId="3482C506" w14:textId="77777777" w:rsidR="001A0B09" w:rsidRDefault="001A0B09">
            <w:pPr>
              <w:pStyle w:val="TableParagraph"/>
              <w:spacing w:before="10"/>
              <w:rPr>
                <w:rFonts w:ascii="Times New Roman" w:eastAsia="Times New Roman" w:hAnsi="Times New Roman"/>
                <w:sz w:val="20"/>
                <w:szCs w:val="20"/>
              </w:rPr>
            </w:pPr>
          </w:p>
          <w:p w14:paraId="17CD4269" w14:textId="77777777" w:rsidR="001A0B09" w:rsidRDefault="006E48EA">
            <w:pPr>
              <w:pStyle w:val="TableParagraph"/>
              <w:ind w:left="102"/>
              <w:jc w:val="both"/>
              <w:rPr>
                <w:rFonts w:ascii="Times New Roman" w:eastAsia="Verdana" w:hAnsi="Times New Roman"/>
                <w:sz w:val="18"/>
                <w:szCs w:val="18"/>
              </w:rPr>
            </w:pPr>
            <w:r>
              <w:rPr>
                <w:rFonts w:ascii="Times New Roman" w:hAnsi="Times New Roman"/>
                <w:sz w:val="18"/>
              </w:rPr>
              <w:t>Zarówno transakcje niezabezpieczone, jak i zabezpieczone:</w:t>
            </w:r>
          </w:p>
          <w:p w14:paraId="387977B5" w14:textId="77777777" w:rsidR="001A0B09" w:rsidRDefault="001A0B09">
            <w:pPr>
              <w:pStyle w:val="TableParagraph"/>
              <w:spacing w:before="10"/>
              <w:rPr>
                <w:rFonts w:ascii="Times New Roman" w:eastAsia="Times New Roman" w:hAnsi="Times New Roman"/>
                <w:sz w:val="20"/>
                <w:szCs w:val="20"/>
              </w:rPr>
            </w:pPr>
          </w:p>
          <w:p w14:paraId="26F2321F" w14:textId="38837FED" w:rsidR="001A0B09"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W tej sekcji instytucje kredytowe zgłaszają mające zastosowanie wagi. Wspomniane wagi to wagi określone w art. 22–31a rozporządzenia delegowanego (UE) 2015/61. </w:t>
            </w:r>
            <w:r>
              <w:rPr>
                <w:rFonts w:ascii="Times New Roman" w:hAnsi="Times New Roman"/>
                <w:sz w:val="18"/>
                <w:szCs w:val="18"/>
              </w:rPr>
              <w:t>Mające zastosowanie wagi służą do ustalenia średnich wartości ważonych i należy je zgłaszać w ujęciu dziesiętnym (tj. 1,00 w przypadku mającej zastosowanie wagi w wysokości 100 % lub 0,50 w przypadku mającej zastosowanie wagi w wysokości 50 %). Mające zastosowanie wagi mogą odzwierciedlać m.in. ustalenia przyjęte przez daną instytucję kredytową lub opcje krajowe</w:t>
            </w:r>
            <w:r>
              <w:rPr>
                <w:rFonts w:ascii="Times New Roman" w:hAnsi="Times New Roman"/>
              </w:rPr>
              <w:t>.</w:t>
            </w:r>
          </w:p>
        </w:tc>
      </w:tr>
      <w:tr w:rsidR="001A0B09" w14:paraId="559C78B0" w14:textId="77777777" w:rsidTr="00454544">
        <w:tc>
          <w:tcPr>
            <w:tcW w:w="1382" w:type="dxa"/>
            <w:shd w:val="clear" w:color="auto" w:fill="auto"/>
          </w:tcPr>
          <w:p w14:paraId="392869D4" w14:textId="77777777" w:rsidR="001A0B09"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1A0B09" w:rsidRDefault="006E48EA">
            <w:pPr>
              <w:pStyle w:val="TableParagraph"/>
              <w:spacing w:before="120"/>
              <w:ind w:left="102"/>
              <w:rPr>
                <w:rFonts w:ascii="Times New Roman" w:eastAsia="Verdana" w:hAnsi="Times New Roman"/>
                <w:sz w:val="18"/>
                <w:szCs w:val="18"/>
              </w:rPr>
            </w:pPr>
            <w:r>
              <w:rPr>
                <w:rFonts w:ascii="Times New Roman" w:hAnsi="Times New Roman"/>
                <w:b/>
                <w:sz w:val="18"/>
              </w:rPr>
              <w:t>Wypływ</w:t>
            </w:r>
          </w:p>
          <w:p w14:paraId="237EA39E" w14:textId="77777777" w:rsidR="001A0B09" w:rsidRDefault="001A0B09">
            <w:pPr>
              <w:pStyle w:val="TableParagraph"/>
              <w:spacing w:before="10"/>
              <w:rPr>
                <w:rFonts w:ascii="Times New Roman" w:eastAsia="Times New Roman" w:hAnsi="Times New Roman"/>
                <w:sz w:val="20"/>
                <w:szCs w:val="20"/>
              </w:rPr>
            </w:pPr>
          </w:p>
          <w:p w14:paraId="4C57A5CF" w14:textId="77777777" w:rsidR="001A0B09" w:rsidRDefault="006E48EA">
            <w:pPr>
              <w:pStyle w:val="TableParagraph"/>
              <w:ind w:left="102"/>
              <w:rPr>
                <w:rFonts w:ascii="Times New Roman" w:eastAsia="Verdana" w:hAnsi="Times New Roman"/>
                <w:sz w:val="18"/>
                <w:szCs w:val="18"/>
              </w:rPr>
            </w:pPr>
            <w:r>
              <w:rPr>
                <w:rFonts w:ascii="Times New Roman" w:hAnsi="Times New Roman"/>
                <w:sz w:val="18"/>
              </w:rPr>
              <w:t>Zarówno transakcje niezabezpieczone, jak i zabezpieczone:</w:t>
            </w:r>
          </w:p>
          <w:p w14:paraId="5980E5FE" w14:textId="77777777" w:rsidR="001A0B09" w:rsidRDefault="001A0B09">
            <w:pPr>
              <w:pStyle w:val="TableParagraph"/>
              <w:spacing w:before="1"/>
              <w:rPr>
                <w:rFonts w:ascii="Times New Roman" w:eastAsia="Times New Roman" w:hAnsi="Times New Roman"/>
                <w:sz w:val="21"/>
                <w:szCs w:val="21"/>
              </w:rPr>
            </w:pPr>
          </w:p>
          <w:p w14:paraId="41041B6A" w14:textId="5DB212F2" w:rsidR="001A0B09" w:rsidRDefault="006E48EA">
            <w:pPr>
              <w:pStyle w:val="TableParagraph"/>
              <w:ind w:left="102" w:right="98"/>
              <w:rPr>
                <w:rFonts w:ascii="Times New Roman" w:eastAsia="Verdana" w:hAnsi="Times New Roman"/>
                <w:sz w:val="18"/>
                <w:szCs w:val="18"/>
              </w:rPr>
            </w:pPr>
            <w:r>
              <w:rPr>
                <w:rFonts w:ascii="Times New Roman" w:hAnsi="Times New Roman"/>
                <w:sz w:val="18"/>
              </w:rPr>
              <w:t>W tej sekcji instytucje kredytowe zgłaszają wypływy. Wypływy te oblicza się, mnożąc wartość kolumny 010 z formularza C 73.00 określonego w załączniku XXIV przez wartość kolumny 050 z formularza C 73.00 określonego w załączniku XXIV.</w:t>
            </w:r>
          </w:p>
        </w:tc>
      </w:tr>
    </w:tbl>
    <w:p w14:paraId="6ECEE734" w14:textId="77777777" w:rsidR="001A0B09" w:rsidRDefault="001A0B09">
      <w:pPr>
        <w:spacing w:after="200" w:line="276" w:lineRule="auto"/>
        <w:rPr>
          <w:rFonts w:ascii="Times New Roman" w:eastAsia="Calibri" w:hAnsi="Times New Roman"/>
        </w:rPr>
      </w:pPr>
    </w:p>
    <w:p w14:paraId="1288ABFB" w14:textId="50D52958" w:rsidR="001A0B0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Instrukcje dotyczące poszczególnych wierszy</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1A0B09" w14:paraId="79A53EB1" w14:textId="77777777" w:rsidTr="00454544">
        <w:tc>
          <w:tcPr>
            <w:tcW w:w="1457" w:type="dxa"/>
            <w:shd w:val="clear" w:color="auto" w:fill="auto"/>
          </w:tcPr>
          <w:p w14:paraId="203A79DA" w14:textId="77777777" w:rsidR="001A0B09" w:rsidRDefault="006E48EA">
            <w:pPr>
              <w:pStyle w:val="TableParagraph"/>
              <w:spacing w:before="151"/>
              <w:ind w:left="135"/>
              <w:rPr>
                <w:rFonts w:ascii="Times New Roman" w:eastAsia="Verdana" w:hAnsi="Times New Roman"/>
                <w:sz w:val="18"/>
                <w:szCs w:val="18"/>
              </w:rPr>
            </w:pPr>
            <w:r>
              <w:rPr>
                <w:rFonts w:ascii="Times New Roman" w:hAnsi="Times New Roman"/>
                <w:sz w:val="18"/>
              </w:rPr>
              <w:t>Wiersz</w:t>
            </w:r>
          </w:p>
        </w:tc>
        <w:tc>
          <w:tcPr>
            <w:tcW w:w="6946" w:type="dxa"/>
            <w:shd w:val="clear" w:color="auto" w:fill="auto"/>
          </w:tcPr>
          <w:p w14:paraId="7E616679" w14:textId="77777777" w:rsidR="001A0B09" w:rsidRDefault="006E48EA">
            <w:pPr>
              <w:pStyle w:val="TableParagraph"/>
              <w:spacing w:before="151"/>
              <w:ind w:left="135"/>
              <w:rPr>
                <w:rFonts w:ascii="Times New Roman" w:eastAsia="Verdana" w:hAnsi="Times New Roman"/>
                <w:sz w:val="18"/>
                <w:szCs w:val="18"/>
              </w:rPr>
            </w:pPr>
            <w:r>
              <w:rPr>
                <w:rFonts w:ascii="Times New Roman" w:hAnsi="Times New Roman"/>
                <w:sz w:val="18"/>
              </w:rPr>
              <w:t>Odniesienia prawne i instrukcje</w:t>
            </w:r>
          </w:p>
        </w:tc>
      </w:tr>
      <w:tr w:rsidR="001A0B09" w14:paraId="415C3811" w14:textId="77777777" w:rsidTr="00454544">
        <w:tc>
          <w:tcPr>
            <w:tcW w:w="1457" w:type="dxa"/>
            <w:shd w:val="clear" w:color="auto" w:fill="auto"/>
            <w:vAlign w:val="center"/>
          </w:tcPr>
          <w:p w14:paraId="53630D8D"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1A0B09" w:rsidRDefault="001A0B09">
            <w:pPr>
              <w:pStyle w:val="TableParagraph"/>
              <w:spacing w:before="7"/>
              <w:rPr>
                <w:rFonts w:ascii="Times New Roman" w:eastAsia="Verdana" w:hAnsi="Times New Roman"/>
                <w:sz w:val="20"/>
                <w:szCs w:val="20"/>
              </w:rPr>
            </w:pPr>
          </w:p>
          <w:p w14:paraId="4FF04580" w14:textId="77777777" w:rsidR="001A0B09" w:rsidRDefault="006E48EA">
            <w:pPr>
              <w:pStyle w:val="TableParagraph"/>
              <w:ind w:left="135"/>
              <w:rPr>
                <w:rFonts w:ascii="Times New Roman" w:eastAsia="Verdana" w:hAnsi="Times New Roman"/>
                <w:sz w:val="18"/>
                <w:szCs w:val="18"/>
              </w:rPr>
            </w:pPr>
            <w:r>
              <w:rPr>
                <w:rFonts w:ascii="Times New Roman" w:hAnsi="Times New Roman"/>
                <w:b/>
                <w:sz w:val="18"/>
                <w:u w:color="000000"/>
              </w:rPr>
              <w:t>1. WYPŁYWY</w:t>
            </w:r>
          </w:p>
          <w:p w14:paraId="4FA70ED9" w14:textId="77777777" w:rsidR="001A0B09" w:rsidRDefault="001A0B09">
            <w:pPr>
              <w:pStyle w:val="TableParagraph"/>
              <w:spacing w:before="3"/>
              <w:rPr>
                <w:rFonts w:ascii="Times New Roman" w:eastAsia="Verdana" w:hAnsi="Times New Roman"/>
                <w:sz w:val="23"/>
                <w:szCs w:val="23"/>
              </w:rPr>
            </w:pPr>
          </w:p>
          <w:p w14:paraId="56F18262" w14:textId="138DB5D8"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Tytuł III rozdział 2 rozporządzenia delegowanego (UE) 2015/61</w:t>
            </w:r>
          </w:p>
          <w:p w14:paraId="0A23C47E" w14:textId="77777777" w:rsidR="001A0B09" w:rsidRDefault="001A0B09">
            <w:pPr>
              <w:pStyle w:val="TableParagraph"/>
              <w:spacing w:before="6"/>
              <w:rPr>
                <w:rFonts w:ascii="Times New Roman" w:eastAsia="Verdana" w:hAnsi="Times New Roman"/>
                <w:sz w:val="23"/>
                <w:szCs w:val="23"/>
              </w:rPr>
            </w:pPr>
          </w:p>
          <w:p w14:paraId="1935D5EA" w14:textId="3E85D079" w:rsidR="001A0B0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Instytucje kredytowe zgłaszają w tej sekcji wypływy zgodnie z tytułem III rozdział 2 rozporządzenia delegowanego (UE) 2015/61</w:t>
            </w:r>
          </w:p>
        </w:tc>
      </w:tr>
      <w:tr w:rsidR="001A0B09" w14:paraId="0DF21387" w14:textId="77777777" w:rsidTr="00454544">
        <w:tc>
          <w:tcPr>
            <w:tcW w:w="1457" w:type="dxa"/>
            <w:shd w:val="clear" w:color="auto" w:fill="auto"/>
            <w:vAlign w:val="center"/>
          </w:tcPr>
          <w:p w14:paraId="09DFB7A6"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020</w:t>
            </w:r>
          </w:p>
        </w:tc>
        <w:tc>
          <w:tcPr>
            <w:tcW w:w="6946" w:type="dxa"/>
            <w:shd w:val="clear" w:color="auto" w:fill="auto"/>
          </w:tcPr>
          <w:p w14:paraId="66951C1E" w14:textId="77777777" w:rsidR="001A0B09" w:rsidRDefault="001A0B09">
            <w:pPr>
              <w:pStyle w:val="TableParagraph"/>
              <w:spacing w:before="7"/>
              <w:ind w:left="120"/>
              <w:rPr>
                <w:rFonts w:ascii="Times New Roman" w:eastAsia="Verdana" w:hAnsi="Times New Roman"/>
                <w:sz w:val="20"/>
                <w:szCs w:val="20"/>
              </w:rPr>
            </w:pPr>
          </w:p>
          <w:p w14:paraId="01648950" w14:textId="77777777" w:rsidR="001A0B09" w:rsidRDefault="006E48EA">
            <w:pPr>
              <w:pStyle w:val="TableParagraph"/>
              <w:ind w:left="120"/>
              <w:rPr>
                <w:rFonts w:ascii="Times New Roman" w:eastAsia="Verdana" w:hAnsi="Times New Roman"/>
                <w:sz w:val="18"/>
                <w:szCs w:val="18"/>
              </w:rPr>
            </w:pPr>
            <w:r>
              <w:rPr>
                <w:rFonts w:ascii="Times New Roman" w:hAnsi="Times New Roman"/>
                <w:b/>
                <w:sz w:val="18"/>
                <w:u w:color="000000"/>
              </w:rPr>
              <w:t>1.1. Wypływy z tytułu transakcji/depozytów niezabezpieczonych</w:t>
            </w:r>
          </w:p>
          <w:p w14:paraId="08F47072" w14:textId="77777777" w:rsidR="001A0B09" w:rsidRDefault="001A0B09">
            <w:pPr>
              <w:pStyle w:val="TableParagraph"/>
              <w:spacing w:before="6"/>
              <w:ind w:left="120"/>
              <w:rPr>
                <w:rFonts w:ascii="Times New Roman" w:eastAsia="Verdana" w:hAnsi="Times New Roman"/>
                <w:sz w:val="23"/>
                <w:szCs w:val="23"/>
              </w:rPr>
            </w:pPr>
          </w:p>
          <w:p w14:paraId="248A899A" w14:textId="643713A2" w:rsidR="001A0B09" w:rsidRDefault="006E48EA">
            <w:pPr>
              <w:pStyle w:val="TableParagraph"/>
              <w:ind w:left="120"/>
              <w:rPr>
                <w:rFonts w:ascii="Times New Roman" w:eastAsia="Verdana" w:hAnsi="Times New Roman"/>
                <w:sz w:val="18"/>
                <w:szCs w:val="18"/>
              </w:rPr>
            </w:pPr>
            <w:r>
              <w:rPr>
                <w:rFonts w:ascii="Times New Roman" w:hAnsi="Times New Roman"/>
                <w:sz w:val="18"/>
              </w:rPr>
              <w:t>Art. 20–31a rozporządzenia delegowanego (UE) 2015/61</w:t>
            </w:r>
          </w:p>
          <w:p w14:paraId="71CDA329" w14:textId="77777777" w:rsidR="001A0B09" w:rsidRDefault="001A0B09">
            <w:pPr>
              <w:pStyle w:val="TableParagraph"/>
              <w:spacing w:before="6"/>
              <w:ind w:left="120"/>
              <w:rPr>
                <w:rFonts w:ascii="Times New Roman" w:eastAsia="Verdana" w:hAnsi="Times New Roman"/>
                <w:sz w:val="23"/>
                <w:szCs w:val="23"/>
              </w:rPr>
            </w:pPr>
          </w:p>
          <w:p w14:paraId="78F945A7" w14:textId="14567CC9" w:rsidR="001A0B09" w:rsidRDefault="006E48EA">
            <w:pPr>
              <w:pStyle w:val="TableParagraph"/>
              <w:ind w:left="120"/>
              <w:jc w:val="both"/>
              <w:rPr>
                <w:rFonts w:ascii="Times New Roman" w:eastAsia="Verdana" w:hAnsi="Times New Roman"/>
                <w:sz w:val="18"/>
                <w:szCs w:val="18"/>
              </w:rPr>
            </w:pPr>
            <w:r>
              <w:rPr>
                <w:rFonts w:ascii="Times New Roman" w:hAnsi="Times New Roman"/>
                <w:sz w:val="18"/>
              </w:rPr>
              <w:t>W tej sekcji instytucje kredytowe zgłaszają wypływy spełniające wymogi określone w art. 21–31a rozporządzenia delegowanego (UE) 2015/61, z wyjątkiem wypływów zgłoszonych zgodnie z art. 28 ust. 3 i 4 wspomnianego rozporządzenia delegowanego.</w:t>
            </w:r>
          </w:p>
        </w:tc>
      </w:tr>
      <w:tr w:rsidR="001A0B09" w14:paraId="3939646C" w14:textId="77777777" w:rsidTr="00454544">
        <w:tc>
          <w:tcPr>
            <w:tcW w:w="1457" w:type="dxa"/>
            <w:shd w:val="clear" w:color="auto" w:fill="auto"/>
            <w:vAlign w:val="center"/>
          </w:tcPr>
          <w:p w14:paraId="1AE3DF43" w14:textId="77777777" w:rsidR="001A0B09"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1A0B09" w:rsidRDefault="001A0B09">
            <w:pPr>
              <w:pStyle w:val="TableParagraph"/>
              <w:spacing w:before="7"/>
              <w:rPr>
                <w:rFonts w:ascii="Times New Roman" w:eastAsia="Verdana" w:hAnsi="Times New Roman"/>
                <w:sz w:val="20"/>
                <w:szCs w:val="20"/>
              </w:rPr>
            </w:pPr>
          </w:p>
          <w:p w14:paraId="0E572917" w14:textId="77777777" w:rsidR="001A0B09" w:rsidRDefault="006E48EA">
            <w:pPr>
              <w:pStyle w:val="TableParagraph"/>
              <w:ind w:left="135"/>
              <w:rPr>
                <w:rFonts w:ascii="Times New Roman" w:eastAsia="Verdana" w:hAnsi="Times New Roman"/>
                <w:sz w:val="18"/>
                <w:szCs w:val="18"/>
              </w:rPr>
            </w:pPr>
            <w:r>
              <w:rPr>
                <w:rFonts w:ascii="Times New Roman" w:hAnsi="Times New Roman"/>
                <w:b/>
                <w:sz w:val="18"/>
                <w:u w:color="000000"/>
              </w:rPr>
              <w:t>1.1.1. Depozyty detaliczne</w:t>
            </w:r>
          </w:p>
          <w:p w14:paraId="40D0098F" w14:textId="77777777" w:rsidR="001A0B09" w:rsidRDefault="001A0B09">
            <w:pPr>
              <w:pStyle w:val="TableParagraph"/>
              <w:spacing w:before="6"/>
              <w:rPr>
                <w:rFonts w:ascii="Times New Roman" w:eastAsia="Verdana" w:hAnsi="Times New Roman"/>
                <w:sz w:val="23"/>
                <w:szCs w:val="23"/>
              </w:rPr>
            </w:pPr>
          </w:p>
          <w:p w14:paraId="080B8141" w14:textId="54FDDECB" w:rsidR="001A0B09" w:rsidRDefault="006E48EA">
            <w:pPr>
              <w:pStyle w:val="TableParagraph"/>
              <w:ind w:left="135"/>
              <w:rPr>
                <w:rFonts w:ascii="Times New Roman" w:eastAsia="Verdana" w:hAnsi="Times New Roman"/>
                <w:sz w:val="18"/>
                <w:szCs w:val="18"/>
              </w:rPr>
            </w:pPr>
            <w:r>
              <w:rPr>
                <w:rFonts w:ascii="Times New Roman" w:hAnsi="Times New Roman"/>
                <w:sz w:val="18"/>
              </w:rPr>
              <w:t>Art. 24 i art. 25 rozporządzenia delegowanego (UE) 2015/61</w:t>
            </w:r>
          </w:p>
          <w:p w14:paraId="3C6A46F9" w14:textId="77777777" w:rsidR="001A0B09" w:rsidRDefault="001A0B09">
            <w:pPr>
              <w:pStyle w:val="TableParagraph"/>
              <w:spacing w:before="3"/>
              <w:rPr>
                <w:rFonts w:ascii="Times New Roman" w:eastAsia="Verdana" w:hAnsi="Times New Roman"/>
                <w:sz w:val="23"/>
                <w:szCs w:val="23"/>
              </w:rPr>
            </w:pPr>
          </w:p>
          <w:p w14:paraId="54318650" w14:textId="494D5C3F" w:rsidR="001A0B0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W tej sekcji instytucje kredytowe zgłaszają depozyty detaliczne zdefiniowane w art. 411 ust. 2 rozporządzenia (UE) nr 575/2013.</w:t>
            </w:r>
          </w:p>
          <w:p w14:paraId="0AFA8C53" w14:textId="77777777" w:rsidR="001A0B09" w:rsidRDefault="001A0B09">
            <w:pPr>
              <w:pStyle w:val="TableParagraph"/>
              <w:spacing w:before="9"/>
              <w:rPr>
                <w:rFonts w:ascii="Times New Roman" w:eastAsia="Verdana" w:hAnsi="Times New Roman"/>
                <w:sz w:val="20"/>
                <w:szCs w:val="20"/>
              </w:rPr>
            </w:pPr>
          </w:p>
          <w:p w14:paraId="48E5F6C9" w14:textId="6D2B5284" w:rsidR="001A0B09" w:rsidRDefault="00762F31">
            <w:pPr>
              <w:pStyle w:val="TableParagraph"/>
              <w:ind w:left="135"/>
              <w:jc w:val="both"/>
              <w:rPr>
                <w:rFonts w:ascii="Times New Roman" w:eastAsia="Verdana" w:hAnsi="Times New Roman"/>
                <w:sz w:val="18"/>
                <w:szCs w:val="18"/>
              </w:rPr>
            </w:pPr>
            <w:r>
              <w:rPr>
                <w:rFonts w:ascii="Times New Roman" w:hAnsi="Times New Roman"/>
                <w:sz w:val="18"/>
              </w:rPr>
              <w:t>Instytucje kredytowe zgłaszają również w ramach odpowiedniej kategorii depozytów detalicznych kwotę emitowanych papierów dłużnych, obligacji i innych papierów wartościowych, które są sprzedawane wyłącznie na rynku detalicznym i przechowywane na rachunku detalicznym, zgodnie z art. 28 ust. 6 rozporządzenia delegowanego (UE) 2015/61. Instytucje kredytowe rozważą w odniesieniu do tej kategorii zobowiązań mające zastosowanie wskaźniki wypływów przewidziane w rozporządzeniu delegowanym (UE) 2015/61 dla różnych kategorii depozytów detalicznych. Zgodnie z powyższym instytucje kredytowe zgłaszają jako mającą zastosowanie wagę średnią odpowiednich mających zastosowanie wag przypisanych dla wszystkich takich depozytów.</w:t>
            </w:r>
          </w:p>
        </w:tc>
      </w:tr>
      <w:tr w:rsidR="001A0B09" w14:paraId="60009A79" w14:textId="77777777" w:rsidTr="00454544">
        <w:tc>
          <w:tcPr>
            <w:tcW w:w="1457" w:type="dxa"/>
            <w:shd w:val="clear" w:color="auto" w:fill="auto"/>
            <w:vAlign w:val="center"/>
          </w:tcPr>
          <w:p w14:paraId="69CE502F" w14:textId="77777777" w:rsidR="001A0B09" w:rsidRDefault="006E48EA">
            <w:pPr>
              <w:pStyle w:val="TableParagraph"/>
              <w:spacing w:before="128"/>
              <w:ind w:left="135"/>
              <w:rPr>
                <w:rFonts w:ascii="Times New Roman" w:hAnsi="Times New Roman"/>
                <w:sz w:val="18"/>
              </w:rPr>
            </w:pPr>
            <w:r>
              <w:rPr>
                <w:rFonts w:ascii="Times New Roman" w:hAnsi="Times New Roman"/>
                <w:sz w:val="18"/>
              </w:rPr>
              <w:t>035</w:t>
            </w:r>
          </w:p>
        </w:tc>
        <w:tc>
          <w:tcPr>
            <w:tcW w:w="6946" w:type="dxa"/>
            <w:shd w:val="clear" w:color="auto" w:fill="auto"/>
          </w:tcPr>
          <w:p w14:paraId="2AE709D2" w14:textId="77777777" w:rsidR="001A0B09" w:rsidRDefault="001A0B09">
            <w:pPr>
              <w:pStyle w:val="TableParagraph"/>
              <w:spacing w:before="7"/>
              <w:ind w:left="921"/>
              <w:rPr>
                <w:rFonts w:ascii="Times New Roman" w:eastAsia="Verdana" w:hAnsi="Times New Roman"/>
                <w:sz w:val="20"/>
                <w:szCs w:val="20"/>
              </w:rPr>
            </w:pPr>
          </w:p>
          <w:p w14:paraId="7C708298" w14:textId="77777777" w:rsidR="001A0B09"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depozyty wyłączone z obliczania wypływów</w:t>
            </w:r>
          </w:p>
          <w:p w14:paraId="034F0219" w14:textId="77777777" w:rsidR="001A0B09" w:rsidRDefault="001A0B09">
            <w:pPr>
              <w:pStyle w:val="TableParagraph"/>
              <w:spacing w:before="7"/>
              <w:ind w:left="201"/>
              <w:rPr>
                <w:rFonts w:ascii="Times New Roman" w:eastAsia="Verdana" w:hAnsi="Times New Roman"/>
                <w:sz w:val="20"/>
                <w:szCs w:val="20"/>
              </w:rPr>
            </w:pPr>
          </w:p>
          <w:p w14:paraId="09103CBF" w14:textId="2F5392AA"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25 ust. 4 rozporządzenia delegowanego (UE) 2015/61</w:t>
            </w:r>
          </w:p>
          <w:p w14:paraId="4EF71FB0" w14:textId="77777777" w:rsidR="001A0B09" w:rsidRDefault="001A0B09">
            <w:pPr>
              <w:pStyle w:val="TableParagraph"/>
              <w:spacing w:before="7"/>
              <w:jc w:val="both"/>
              <w:rPr>
                <w:rFonts w:ascii="Times New Roman" w:eastAsia="Times New Roman" w:hAnsi="Times New Roman"/>
                <w:sz w:val="24"/>
                <w:szCs w:val="24"/>
              </w:rPr>
            </w:pPr>
          </w:p>
          <w:p w14:paraId="79878B86" w14:textId="342E5DD3" w:rsidR="001A0B09" w:rsidRDefault="006E48EA">
            <w:pPr>
              <w:pStyle w:val="TableParagraph"/>
              <w:spacing w:before="7"/>
              <w:ind w:left="201"/>
              <w:rPr>
                <w:rFonts w:ascii="Times New Roman" w:eastAsia="Verdana" w:hAnsi="Times New Roman"/>
                <w:sz w:val="20"/>
                <w:szCs w:val="20"/>
              </w:rPr>
            </w:pPr>
            <w:r>
              <w:rPr>
                <w:rFonts w:ascii="Times New Roman" w:hAnsi="Times New Roman"/>
                <w:sz w:val="18"/>
              </w:rPr>
              <w:t>W tej sekcji instytucje kredytowe zgłaszają te kategorie depozytów detalicznych wyłączonych z obliczania wypływów, dla których spełnione są warunki określone w art. 25 ust. 4 lit. a) lub b).</w:t>
            </w:r>
          </w:p>
        </w:tc>
      </w:tr>
      <w:tr w:rsidR="001A0B09" w14:paraId="44E2BD71" w14:textId="77777777" w:rsidTr="00454544">
        <w:tc>
          <w:tcPr>
            <w:tcW w:w="1457" w:type="dxa"/>
            <w:shd w:val="clear" w:color="auto" w:fill="auto"/>
            <w:vAlign w:val="center"/>
          </w:tcPr>
          <w:p w14:paraId="12330B79"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1A0B09" w:rsidRDefault="001A0B09">
            <w:pPr>
              <w:pStyle w:val="TableParagraph"/>
              <w:spacing w:before="9"/>
              <w:rPr>
                <w:rFonts w:ascii="Times New Roman" w:eastAsia="Times New Roman" w:hAnsi="Times New Roman"/>
                <w:sz w:val="21"/>
                <w:szCs w:val="21"/>
              </w:rPr>
            </w:pPr>
          </w:p>
          <w:p w14:paraId="3580AAC0" w14:textId="37D8AD83" w:rsidR="001A0B09"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1.1.1.2. depozyty, w przypadku których zatwierdzono wypłatę w ciągu</w:t>
            </w:r>
            <w:r>
              <w:rPr>
                <w:rFonts w:ascii="Times New Roman" w:hAnsi="Times New Roman"/>
                <w:b/>
                <w:sz w:val="18"/>
              </w:rPr>
              <w:t xml:space="preserve"> </w:t>
            </w:r>
            <w:r>
              <w:rPr>
                <w:rFonts w:ascii="Times New Roman" w:hAnsi="Times New Roman"/>
                <w:b/>
                <w:sz w:val="18"/>
                <w:u w:color="000000"/>
              </w:rPr>
              <w:t>kolejnych 30 dni</w:t>
            </w:r>
          </w:p>
          <w:p w14:paraId="242350E2" w14:textId="77777777" w:rsidR="001A0B09" w:rsidRDefault="001A0B09">
            <w:pPr>
              <w:pStyle w:val="TableParagraph"/>
              <w:rPr>
                <w:rFonts w:ascii="Times New Roman" w:eastAsia="Times New Roman" w:hAnsi="Times New Roman"/>
                <w:sz w:val="18"/>
                <w:szCs w:val="18"/>
              </w:rPr>
            </w:pPr>
          </w:p>
          <w:p w14:paraId="79E2AC5D" w14:textId="77777777" w:rsidR="001A0B09" w:rsidRDefault="001A0B09">
            <w:pPr>
              <w:pStyle w:val="TableParagraph"/>
              <w:rPr>
                <w:rFonts w:ascii="Times New Roman" w:eastAsia="Times New Roman" w:hAnsi="Times New Roman"/>
                <w:sz w:val="26"/>
                <w:szCs w:val="26"/>
              </w:rPr>
            </w:pPr>
          </w:p>
          <w:p w14:paraId="07FB69D1" w14:textId="71D227DD" w:rsidR="001A0B09" w:rsidRDefault="006E48EA">
            <w:pPr>
              <w:pStyle w:val="TableParagraph"/>
              <w:ind w:left="135"/>
              <w:rPr>
                <w:rFonts w:ascii="Times New Roman" w:eastAsia="Verdana" w:hAnsi="Times New Roman"/>
                <w:sz w:val="18"/>
                <w:szCs w:val="18"/>
              </w:rPr>
            </w:pPr>
            <w:r>
              <w:rPr>
                <w:rFonts w:ascii="Times New Roman" w:hAnsi="Times New Roman"/>
                <w:sz w:val="18"/>
              </w:rPr>
              <w:t>Art. 25 ust. 4 rozporządzenia delegowanego (UE) 2015/61</w:t>
            </w:r>
          </w:p>
          <w:p w14:paraId="53173E7B" w14:textId="77777777" w:rsidR="001A0B09" w:rsidRDefault="001A0B09">
            <w:pPr>
              <w:pStyle w:val="TableParagraph"/>
              <w:spacing w:before="7"/>
              <w:rPr>
                <w:rFonts w:ascii="Times New Roman" w:eastAsia="Times New Roman" w:hAnsi="Times New Roman"/>
                <w:sz w:val="24"/>
                <w:szCs w:val="24"/>
              </w:rPr>
            </w:pPr>
          </w:p>
          <w:p w14:paraId="3DC4E06E" w14:textId="77777777"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W tej sekcji instytucje kredytowe zgłaszają depozyty, których rezydualny termin zapadalności jest krótszy niż 30 dni kalendarzowych, w przypadku, gdy zatwierdzono wypłatę.</w:t>
            </w:r>
          </w:p>
        </w:tc>
      </w:tr>
      <w:tr w:rsidR="001A0B09" w14:paraId="464CA1E1" w14:textId="77777777" w:rsidTr="00454544">
        <w:tc>
          <w:tcPr>
            <w:tcW w:w="1457" w:type="dxa"/>
            <w:shd w:val="clear" w:color="auto" w:fill="auto"/>
            <w:vAlign w:val="center"/>
          </w:tcPr>
          <w:p w14:paraId="498A7DF4"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1A0B09" w:rsidRDefault="001A0B09">
            <w:pPr>
              <w:pStyle w:val="TableParagraph"/>
              <w:spacing w:before="9"/>
              <w:jc w:val="both"/>
              <w:rPr>
                <w:rFonts w:ascii="Times New Roman" w:eastAsia="Times New Roman" w:hAnsi="Times New Roman"/>
                <w:sz w:val="21"/>
                <w:szCs w:val="21"/>
              </w:rPr>
            </w:pPr>
          </w:p>
          <w:p w14:paraId="1101E54A" w14:textId="0E853F2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depozyty podlegające wyższemu wskaźnikowi wypływów</w:t>
            </w:r>
          </w:p>
          <w:p w14:paraId="10C605B4" w14:textId="77777777" w:rsidR="001A0B09" w:rsidRDefault="001A0B09">
            <w:pPr>
              <w:pStyle w:val="TableParagraph"/>
              <w:spacing w:before="9"/>
              <w:jc w:val="both"/>
              <w:rPr>
                <w:rFonts w:ascii="Times New Roman" w:eastAsia="Times New Roman" w:hAnsi="Times New Roman"/>
                <w:sz w:val="24"/>
                <w:szCs w:val="24"/>
              </w:rPr>
            </w:pPr>
          </w:p>
          <w:p w14:paraId="17D57840" w14:textId="26503CAD"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25 ust. 2 i 3 rozporządzenia delegowanego (UE) 2015/61</w:t>
            </w:r>
          </w:p>
          <w:p w14:paraId="7372E904" w14:textId="77777777" w:rsidR="001A0B09" w:rsidRDefault="001A0B09">
            <w:pPr>
              <w:pStyle w:val="TableParagraph"/>
              <w:spacing w:before="7"/>
              <w:jc w:val="both"/>
              <w:rPr>
                <w:rFonts w:ascii="Times New Roman" w:eastAsia="Times New Roman" w:hAnsi="Times New Roman"/>
                <w:sz w:val="24"/>
                <w:szCs w:val="24"/>
              </w:rPr>
            </w:pPr>
          </w:p>
          <w:p w14:paraId="1A624062" w14:textId="0E1A4712"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W tej sekcji instytucje kredytowe zgłaszają pozostającą kwotę wymagalną z tytułu depozytów podlegających wyższym wskaźnikom wypływów zgodnie z art. 25 ust. 2 i 3 rozporządzenia delegowanego (UE) 2015/61. W tej sekcji zgłasza się również te depozyty detaliczne, w odniesieniu do których nie przeprowadzono oceny na mocy art. 25 ust. 2 rozporządzenia delegowanego (UE) 2015/61 w celu ich kategoryzacji lub w przypadku których przeprowadzona ocena nie została zakończona.</w:t>
            </w:r>
          </w:p>
        </w:tc>
      </w:tr>
      <w:tr w:rsidR="001A0B09" w14:paraId="1D8899F2" w14:textId="77777777" w:rsidTr="00454544">
        <w:tc>
          <w:tcPr>
            <w:tcW w:w="1457" w:type="dxa"/>
            <w:shd w:val="clear" w:color="auto" w:fill="auto"/>
            <w:vAlign w:val="center"/>
          </w:tcPr>
          <w:p w14:paraId="04EB0A03"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1A0B09" w:rsidRDefault="001A0B09">
            <w:pPr>
              <w:pStyle w:val="TableParagraph"/>
              <w:spacing w:before="9"/>
              <w:jc w:val="both"/>
              <w:rPr>
                <w:rFonts w:ascii="Times New Roman" w:eastAsia="Times New Roman" w:hAnsi="Times New Roman"/>
                <w:sz w:val="21"/>
                <w:szCs w:val="21"/>
              </w:rPr>
            </w:pPr>
          </w:p>
          <w:p w14:paraId="39CB07BF" w14:textId="28D4765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kategoria 1</w:t>
            </w:r>
          </w:p>
          <w:p w14:paraId="3CF5081F" w14:textId="77777777" w:rsidR="001A0B09" w:rsidRDefault="001A0B09">
            <w:pPr>
              <w:pStyle w:val="TableParagraph"/>
              <w:spacing w:before="9"/>
              <w:jc w:val="both"/>
              <w:rPr>
                <w:rFonts w:ascii="Times New Roman" w:eastAsia="Times New Roman" w:hAnsi="Times New Roman"/>
                <w:sz w:val="24"/>
                <w:szCs w:val="24"/>
              </w:rPr>
            </w:pPr>
          </w:p>
          <w:p w14:paraId="1F457005" w14:textId="1F4F18BA"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25 ust. 3 rozporządzenia delegowanego (UE) 2015/61</w:t>
            </w:r>
          </w:p>
          <w:p w14:paraId="45E732BA" w14:textId="77777777" w:rsidR="001A0B09" w:rsidRDefault="001A0B09">
            <w:pPr>
              <w:pStyle w:val="TableParagraph"/>
              <w:spacing w:before="7"/>
              <w:jc w:val="both"/>
              <w:rPr>
                <w:rFonts w:ascii="Times New Roman" w:eastAsia="Times New Roman" w:hAnsi="Times New Roman"/>
                <w:sz w:val="24"/>
                <w:szCs w:val="24"/>
              </w:rPr>
            </w:pPr>
          </w:p>
          <w:p w14:paraId="5191EB47" w14:textId="2125300B" w:rsidR="001A0B0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Instytucje kredytowe zgłaszają pozostającą kwotę wymagalną z tytułu każdego depozytu detalicznego, który spełnia kryteria określone w art. 25 ust. 2 lit. a) rozporządzenia delegowanego (UE) 2015/61 lub dwa z kryteriów określonych w art. 25 ust. 2 lit. b)–e) tego rozporządzenia, o ile depozyt ten nie został pozyskany w państwach trzecich, w których stosuje się wyższy wskaźnik wypływów zgodnie z art. 25 ust. 5 rozporządzenia delegowanego (UE) 2015/61, w którym to przypadku należy zgłosić taki depozyt w ramach tej ostatniej kategorii.</w:t>
            </w:r>
          </w:p>
          <w:p w14:paraId="65FBD73C" w14:textId="77777777" w:rsidR="001A0B09" w:rsidRDefault="001A0B09">
            <w:pPr>
              <w:pStyle w:val="TableParagraph"/>
              <w:spacing w:before="7"/>
              <w:jc w:val="both"/>
              <w:rPr>
                <w:rFonts w:ascii="Times New Roman" w:eastAsia="Times New Roman" w:hAnsi="Times New Roman"/>
                <w:sz w:val="24"/>
                <w:szCs w:val="24"/>
              </w:rPr>
            </w:pPr>
          </w:p>
          <w:p w14:paraId="097D0DD7" w14:textId="54FC4871" w:rsidR="001A0B0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Instytucje kredytowe zgłaszają, jako mającą zastosowanie wagę, średnią wskaźników standardowych, przewidzianych w art. 25 ust. 3 lit. a) rozporządzenia delegowanego (UE) 2015/61, lub wyższych, jeśli są one stosowane przez właściwy organ, które są faktycznie stosowane w odniesieniu do pełnej kwoty każdego depozytu, o którym mowa w poprzednim akapicie, ważonych przez wspomniane odpowiednie kwoty.</w:t>
            </w:r>
          </w:p>
        </w:tc>
      </w:tr>
      <w:tr w:rsidR="001A0B09" w14:paraId="0D4B0E60" w14:textId="77777777" w:rsidTr="00454544">
        <w:tc>
          <w:tcPr>
            <w:tcW w:w="1457" w:type="dxa"/>
            <w:shd w:val="clear" w:color="auto" w:fill="auto"/>
            <w:vAlign w:val="center"/>
          </w:tcPr>
          <w:p w14:paraId="1C868C2B"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070</w:t>
            </w:r>
          </w:p>
        </w:tc>
        <w:tc>
          <w:tcPr>
            <w:tcW w:w="6946" w:type="dxa"/>
            <w:shd w:val="clear" w:color="auto" w:fill="auto"/>
          </w:tcPr>
          <w:p w14:paraId="70BC0A63" w14:textId="77777777" w:rsidR="001A0B09" w:rsidRDefault="001A0B09">
            <w:pPr>
              <w:pStyle w:val="TableParagraph"/>
              <w:spacing w:before="9"/>
              <w:jc w:val="both"/>
              <w:rPr>
                <w:rFonts w:ascii="Times New Roman" w:eastAsia="Times New Roman" w:hAnsi="Times New Roman"/>
                <w:sz w:val="21"/>
                <w:szCs w:val="21"/>
              </w:rPr>
            </w:pPr>
          </w:p>
          <w:p w14:paraId="78E75DB7" w14:textId="5EBED829"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kategoria 2</w:t>
            </w:r>
          </w:p>
          <w:p w14:paraId="5F032918" w14:textId="77777777" w:rsidR="001A0B09" w:rsidRDefault="001A0B09">
            <w:pPr>
              <w:pStyle w:val="TableParagraph"/>
              <w:spacing w:before="9"/>
              <w:jc w:val="both"/>
              <w:rPr>
                <w:rFonts w:ascii="Times New Roman" w:eastAsia="Times New Roman" w:hAnsi="Times New Roman"/>
                <w:sz w:val="24"/>
                <w:szCs w:val="24"/>
              </w:rPr>
            </w:pPr>
          </w:p>
          <w:p w14:paraId="174C620D" w14:textId="6D7402A5"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25 ust. 3 rozporządzenia delegowanego (UE) 2015/61</w:t>
            </w:r>
          </w:p>
          <w:p w14:paraId="685A4883" w14:textId="77777777" w:rsidR="001A0B09" w:rsidRDefault="001A0B09">
            <w:pPr>
              <w:pStyle w:val="TableParagraph"/>
              <w:spacing w:before="7"/>
              <w:jc w:val="both"/>
              <w:rPr>
                <w:rFonts w:ascii="Times New Roman" w:eastAsia="Times New Roman" w:hAnsi="Times New Roman"/>
                <w:sz w:val="24"/>
                <w:szCs w:val="24"/>
              </w:rPr>
            </w:pPr>
          </w:p>
          <w:p w14:paraId="6A9CC7D7" w14:textId="2AB0D9CF"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pozostającą kwotę wymagalną z tytułu każdego depozytu detalicznego, który spełnia kryteria określone w art. 25 ust. 2 lit. a) rozporządzenia delegowanego (UE) 2015/61 i co najmniej jedno inne kryterium, o którym mowa w art. 25 ust. 2 lub co najmniej trzy z kryteriów określonych w art. 25 ust. 2, o ile depozyt ten nie został pozyskany w państwach trzecich, w których stosuje się wyższy wskaźnik wypływów zgodnie z art. 25 ust. 5 rozporządzenia delegowanego (UE) 2015/61, w którym to przypadku należy zgłosić taki depozyt w ramach tej ostatniej kategorii.</w:t>
            </w:r>
          </w:p>
          <w:p w14:paraId="1BAB85C8" w14:textId="77777777" w:rsidR="001A0B09" w:rsidRDefault="001A0B09">
            <w:pPr>
              <w:pStyle w:val="TableParagraph"/>
              <w:spacing w:before="11"/>
              <w:jc w:val="both"/>
              <w:rPr>
                <w:rFonts w:ascii="Times New Roman" w:eastAsia="Times New Roman" w:hAnsi="Times New Roman"/>
                <w:sz w:val="21"/>
                <w:szCs w:val="21"/>
              </w:rPr>
            </w:pPr>
          </w:p>
          <w:p w14:paraId="1E381B1B" w14:textId="2B60B77E" w:rsidR="001A0B0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W tej sekcji zgłasza się również te depozyty detaliczne, w odniesieniu do których nie przeprowadzono oceny na mocy art. 25 ust. 2 w celu ich kategoryzacji lub w przypadku których przeprowadzona ocena nie została zakończona.</w:t>
            </w:r>
          </w:p>
          <w:p w14:paraId="69749F4A" w14:textId="77777777" w:rsidR="001A0B09" w:rsidRDefault="001A0B09">
            <w:pPr>
              <w:pStyle w:val="TableParagraph"/>
              <w:spacing w:before="8"/>
              <w:jc w:val="both"/>
              <w:rPr>
                <w:rFonts w:ascii="Times New Roman" w:eastAsia="Times New Roman" w:hAnsi="Times New Roman"/>
                <w:sz w:val="21"/>
                <w:szCs w:val="21"/>
              </w:rPr>
            </w:pPr>
          </w:p>
          <w:p w14:paraId="3A0FDAD6" w14:textId="0984057D"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Instytucje kredytowe zgłaszają, jako mającą zastosowanie wagę, średnią wskaźników standardowych, przewidzianych w art. 25 ust. 3 lit. b) rozporządzenia delegowanego (UE) 2015/61, lub wyższych, jeśli są one stosowane przez właściwy organ, które są stosowane w odniesieniu do pełnej kwoty każdego depozytu, o którym mowa w poprzednich akapitach, ważonych przez wspomniane odpowiednie kwoty.</w:t>
            </w:r>
          </w:p>
        </w:tc>
      </w:tr>
      <w:tr w:rsidR="001A0B09" w14:paraId="219456A4" w14:textId="77777777" w:rsidTr="00454544">
        <w:tc>
          <w:tcPr>
            <w:tcW w:w="1457" w:type="dxa"/>
            <w:shd w:val="clear" w:color="auto" w:fill="auto"/>
            <w:vAlign w:val="center"/>
          </w:tcPr>
          <w:p w14:paraId="1373290F"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080</w:t>
            </w:r>
          </w:p>
        </w:tc>
        <w:tc>
          <w:tcPr>
            <w:tcW w:w="6946" w:type="dxa"/>
            <w:shd w:val="clear" w:color="auto" w:fill="auto"/>
          </w:tcPr>
          <w:p w14:paraId="43FAD00F" w14:textId="77777777" w:rsidR="001A0B09" w:rsidRDefault="001A0B09">
            <w:pPr>
              <w:pStyle w:val="TableParagraph"/>
              <w:spacing w:before="9"/>
              <w:jc w:val="both"/>
              <w:rPr>
                <w:rFonts w:ascii="Times New Roman" w:eastAsia="Times New Roman" w:hAnsi="Times New Roman"/>
                <w:sz w:val="21"/>
                <w:szCs w:val="21"/>
              </w:rPr>
            </w:pPr>
          </w:p>
          <w:p w14:paraId="080C9E5A" w14:textId="5A7791B5"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stabilne depozyty</w:t>
            </w:r>
          </w:p>
          <w:p w14:paraId="6723A06F" w14:textId="77777777" w:rsidR="001A0B09" w:rsidRDefault="001A0B09">
            <w:pPr>
              <w:pStyle w:val="TableParagraph"/>
              <w:spacing w:before="9"/>
              <w:jc w:val="both"/>
              <w:rPr>
                <w:rFonts w:ascii="Times New Roman" w:eastAsia="Times New Roman" w:hAnsi="Times New Roman"/>
                <w:sz w:val="24"/>
                <w:szCs w:val="24"/>
              </w:rPr>
            </w:pPr>
          </w:p>
          <w:p w14:paraId="5CCEB5F0" w14:textId="28D340C9"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24 rozporządzenia delegowanego (UE) 2015/61</w:t>
            </w:r>
          </w:p>
          <w:p w14:paraId="01269C72" w14:textId="77777777" w:rsidR="001A0B09" w:rsidRDefault="001A0B09">
            <w:pPr>
              <w:pStyle w:val="TableParagraph"/>
              <w:spacing w:before="7"/>
              <w:jc w:val="both"/>
              <w:rPr>
                <w:rFonts w:ascii="Times New Roman" w:eastAsia="Times New Roman" w:hAnsi="Times New Roman"/>
                <w:sz w:val="24"/>
                <w:szCs w:val="24"/>
              </w:rPr>
            </w:pPr>
          </w:p>
          <w:p w14:paraId="2D60DE2D" w14:textId="3FEDF109"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część kwot depozytów detalicznych objętych systemem gwarancji depozytów zgodnie z dyrektywą 94/19/WE lub dyrektywą 2014/49/UE lub równoważnym systemem gwarantowania depozytów w państwie trzecim, które są odpowiednio elementem stałej relacji z klientem, co sprawia, że ich wycofanie jest bardzo mało prawdopodobne, albo są utrzymywane na rachunku transakcyjnym zgodnie z art. 24 ust. 2 i 3 rozporządzenia delegowanego (UE) 2015/61, oraz w przypadku gdy:</w:t>
            </w:r>
          </w:p>
          <w:p w14:paraId="78382562" w14:textId="77777777" w:rsidR="001A0B09" w:rsidRDefault="001A0B09">
            <w:pPr>
              <w:pStyle w:val="TableParagraph"/>
              <w:spacing w:before="11"/>
              <w:jc w:val="both"/>
              <w:rPr>
                <w:rFonts w:ascii="Times New Roman" w:eastAsia="Times New Roman" w:hAnsi="Times New Roman"/>
                <w:sz w:val="21"/>
                <w:szCs w:val="21"/>
              </w:rPr>
            </w:pPr>
          </w:p>
          <w:p w14:paraId="1CFF13EB" w14:textId="17FB880B" w:rsidR="001A0B09"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depozyty te nie spełniają kryteriów dotyczących wyższego wskaźnika wypływów określonych w art. 25 ust. 2, 3 lub 5 rozporządzenia delegowanego (UE) 2015/61 i kiedy to zgłasza się je jako depozyty podlegające wyższemu wskaźnikowi wypływów; lub</w:t>
            </w:r>
          </w:p>
          <w:p w14:paraId="00ABE6D5" w14:textId="5DA09C6F" w:rsidR="001A0B09"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depozyty te nie zostały pozyskane w państwach trzecich, w których stosuje się wyższy wskaźnik wypływów zgodnie z art. 25 ust. 5 </w:t>
            </w:r>
            <w:r>
              <w:rPr>
                <w:rFonts w:ascii="Times New Roman" w:hAnsi="Times New Roman"/>
                <w:sz w:val="18"/>
                <w:szCs w:val="18"/>
              </w:rPr>
              <w:t>rozporządzenia delegowanego (UE) 2015/61</w:t>
            </w:r>
            <w:r>
              <w:rPr>
                <w:rFonts w:ascii="Times New Roman" w:hAnsi="Times New Roman"/>
                <w:sz w:val="18"/>
              </w:rPr>
              <w:t>, i kiedy to zgłasza się je w ramach tej kategorii;</w:t>
            </w:r>
          </w:p>
          <w:p w14:paraId="5DC31F4B" w14:textId="52BEFF2A" w:rsidR="001A0B09"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lastRenderedPageBreak/>
              <w:t>—</w:t>
            </w:r>
            <w:r>
              <w:rPr>
                <w:rFonts w:ascii="Times New Roman" w:hAnsi="Times New Roman"/>
                <w:sz w:val="18"/>
                <w:szCs w:val="18"/>
              </w:rPr>
              <w:tab/>
            </w:r>
            <w:r>
              <w:rPr>
                <w:rFonts w:ascii="Times New Roman" w:hAnsi="Times New Roman"/>
                <w:sz w:val="18"/>
              </w:rPr>
              <w:t>odstępstwo, o którym mowa w art. 24 ust. 4 rozporządzenia delegowanego (UE) 2015/61, nie ma zastosowania.</w:t>
            </w:r>
          </w:p>
        </w:tc>
      </w:tr>
      <w:tr w:rsidR="001A0B09" w14:paraId="3CC7B640" w14:textId="77777777" w:rsidTr="00454544">
        <w:tc>
          <w:tcPr>
            <w:tcW w:w="1457" w:type="dxa"/>
            <w:shd w:val="clear" w:color="auto" w:fill="auto"/>
            <w:vAlign w:val="center"/>
          </w:tcPr>
          <w:p w14:paraId="52CCA114"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090</w:t>
            </w:r>
          </w:p>
        </w:tc>
        <w:tc>
          <w:tcPr>
            <w:tcW w:w="6946" w:type="dxa"/>
            <w:shd w:val="clear" w:color="auto" w:fill="auto"/>
          </w:tcPr>
          <w:p w14:paraId="0F4C4B65" w14:textId="77777777" w:rsidR="001A0B09" w:rsidRDefault="001A0B09">
            <w:pPr>
              <w:pStyle w:val="TableParagraph"/>
              <w:spacing w:before="9"/>
              <w:jc w:val="both"/>
              <w:rPr>
                <w:rFonts w:ascii="Times New Roman" w:eastAsia="Times New Roman" w:hAnsi="Times New Roman"/>
                <w:sz w:val="21"/>
                <w:szCs w:val="21"/>
              </w:rPr>
            </w:pPr>
          </w:p>
          <w:p w14:paraId="7CF50DF8" w14:textId="381DAD6A"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stabilne depozyty, dla których zastosowano odstępstwo</w:t>
            </w:r>
          </w:p>
          <w:p w14:paraId="6025F0B5" w14:textId="77777777" w:rsidR="001A0B09" w:rsidRDefault="001A0B09">
            <w:pPr>
              <w:pStyle w:val="TableParagraph"/>
              <w:spacing w:before="9"/>
              <w:jc w:val="both"/>
              <w:rPr>
                <w:rFonts w:ascii="Times New Roman" w:eastAsia="Times New Roman" w:hAnsi="Times New Roman"/>
                <w:sz w:val="24"/>
                <w:szCs w:val="24"/>
              </w:rPr>
            </w:pPr>
          </w:p>
          <w:p w14:paraId="2A903549" w14:textId="4145599E"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24 ust. 4 i 6 rozporządzenia delegowanego (UE) 2015/61</w:t>
            </w:r>
          </w:p>
          <w:p w14:paraId="7958E9B6" w14:textId="77777777" w:rsidR="001A0B09" w:rsidRDefault="001A0B09">
            <w:pPr>
              <w:pStyle w:val="TableParagraph"/>
              <w:spacing w:before="7"/>
              <w:jc w:val="both"/>
              <w:rPr>
                <w:rFonts w:ascii="Times New Roman" w:eastAsia="Times New Roman" w:hAnsi="Times New Roman"/>
                <w:sz w:val="24"/>
                <w:szCs w:val="24"/>
              </w:rPr>
            </w:pPr>
          </w:p>
          <w:p w14:paraId="630AF429" w14:textId="3E198FFC"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Instytucje kredytowe zgłaszają część kwot depozytów detalicznych objętych systemem gwarancji depozytów zgodnie z dyrektywą 2014/49/UE do maksymalnej kwoty 100 000 EUR, które są odpowiednio elementem stałej relacji z klientem, co sprawia, że ich wycofanie jest bardzo mało prawdopodobne, albo są utrzymywane na rachunku transakcyjnym zgodnie z art. 24 ust. 2 i 3 rozporządzenia delegowanego (UE) 2015/61, oraz w przypadku gdy:</w:t>
            </w:r>
          </w:p>
          <w:p w14:paraId="3645AB47" w14:textId="77777777" w:rsidR="001A0B09" w:rsidRDefault="001A0B09">
            <w:pPr>
              <w:pStyle w:val="TableParagraph"/>
              <w:spacing w:before="11"/>
              <w:jc w:val="both"/>
              <w:rPr>
                <w:rFonts w:ascii="Times New Roman" w:eastAsia="Times New Roman" w:hAnsi="Times New Roman"/>
                <w:sz w:val="21"/>
                <w:szCs w:val="21"/>
              </w:rPr>
            </w:pPr>
          </w:p>
          <w:p w14:paraId="29C8893A" w14:textId="345348CD"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depozyty te nie spełniają kryteriów dotyczących wyższego wskaźnika wypływów określonych w art. 25 ust. 2, 3 lub 5 rozporządzenia delegowanego (UE) 2015/61 i wówczas zgłasza się je jako depozyty podlegające wyższemu wskaźnikowi wypływów; lub</w:t>
            </w:r>
          </w:p>
          <w:p w14:paraId="0D454606" w14:textId="044FE014" w:rsidR="001A0B09"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depozyty te nie zostały pozyskane w państwach trzecich, w których stosuje się wyższy wskaźnik wypływów zgodnie z art. 25 ust. 5 </w:t>
            </w:r>
            <w:r>
              <w:rPr>
                <w:rFonts w:ascii="Times New Roman" w:hAnsi="Times New Roman"/>
                <w:sz w:val="18"/>
                <w:szCs w:val="18"/>
              </w:rPr>
              <w:t>rozporządzenia delegowanego (UE) 2015/61</w:t>
            </w:r>
            <w:r>
              <w:rPr>
                <w:rFonts w:ascii="Times New Roman" w:hAnsi="Times New Roman"/>
                <w:sz w:val="18"/>
              </w:rPr>
              <w:t>, i kiedy to zgłasza się je w ramach tej kategorii;</w:t>
            </w:r>
          </w:p>
          <w:p w14:paraId="359C0063" w14:textId="07540F60" w:rsidR="001A0B09"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odstępstwo przewidziane w art. 24 ust. 4 rozporządzenia delegowanego (UE) 2015/61, ma zastosowanie.</w:t>
            </w:r>
          </w:p>
        </w:tc>
      </w:tr>
      <w:tr w:rsidR="001A0B09" w14:paraId="673BCFE3" w14:textId="77777777" w:rsidTr="00454544">
        <w:tc>
          <w:tcPr>
            <w:tcW w:w="1457" w:type="dxa"/>
            <w:shd w:val="clear" w:color="auto" w:fill="auto"/>
            <w:vAlign w:val="center"/>
          </w:tcPr>
          <w:p w14:paraId="54A77863"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1A0B09" w:rsidRDefault="001A0B09">
            <w:pPr>
              <w:pStyle w:val="TableParagraph"/>
              <w:spacing w:before="9"/>
              <w:jc w:val="both"/>
              <w:rPr>
                <w:rFonts w:ascii="Times New Roman" w:eastAsia="Times New Roman" w:hAnsi="Times New Roman"/>
                <w:sz w:val="21"/>
                <w:szCs w:val="21"/>
              </w:rPr>
            </w:pPr>
          </w:p>
          <w:p w14:paraId="31D98C10" w14:textId="65927B1F"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depozyty pozyskane w państwach trzecich, w których stosuje się wyższy wskaźnik wypływów</w:t>
            </w:r>
          </w:p>
          <w:p w14:paraId="01DF119E" w14:textId="77777777" w:rsidR="001A0B09" w:rsidRDefault="001A0B09">
            <w:pPr>
              <w:pStyle w:val="TableParagraph"/>
              <w:spacing w:before="7"/>
              <w:jc w:val="both"/>
              <w:rPr>
                <w:rFonts w:ascii="Times New Roman" w:eastAsia="Times New Roman" w:hAnsi="Times New Roman"/>
                <w:sz w:val="24"/>
                <w:szCs w:val="24"/>
              </w:rPr>
            </w:pPr>
          </w:p>
          <w:p w14:paraId="65B378AB" w14:textId="54F481B4"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25 ust. 5 rozporządzenia delegowanego (UE) 2015/61</w:t>
            </w:r>
          </w:p>
          <w:p w14:paraId="312920A6" w14:textId="77777777" w:rsidR="001A0B09" w:rsidRDefault="001A0B09">
            <w:pPr>
              <w:pStyle w:val="TableParagraph"/>
              <w:spacing w:before="9"/>
              <w:jc w:val="both"/>
              <w:rPr>
                <w:rFonts w:ascii="Times New Roman" w:eastAsia="Times New Roman" w:hAnsi="Times New Roman"/>
                <w:sz w:val="24"/>
                <w:szCs w:val="24"/>
              </w:rPr>
            </w:pPr>
          </w:p>
          <w:p w14:paraId="11D659B3" w14:textId="4320B4F3"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Instytucja kredytowa zgłasza kwotę depozytów detalicznych pozyskanych w państwie trzecim, w których stosuje się wyższy wskaźnik wypływów zgodnie z prawem krajowym, w którym określa się wymogi dotyczące płynności w tym państwie trzecim.</w:t>
            </w:r>
          </w:p>
        </w:tc>
      </w:tr>
      <w:tr w:rsidR="001A0B09" w14:paraId="1B4B0BB5" w14:textId="77777777" w:rsidTr="00454544">
        <w:tc>
          <w:tcPr>
            <w:tcW w:w="1457" w:type="dxa"/>
            <w:shd w:val="clear" w:color="auto" w:fill="auto"/>
            <w:vAlign w:val="center"/>
          </w:tcPr>
          <w:p w14:paraId="7CA32994"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1A0B09" w:rsidRDefault="001A0B09">
            <w:pPr>
              <w:pStyle w:val="TableParagraph"/>
              <w:spacing w:before="9"/>
              <w:jc w:val="both"/>
              <w:rPr>
                <w:rFonts w:ascii="Times New Roman" w:eastAsia="Times New Roman" w:hAnsi="Times New Roman"/>
                <w:sz w:val="21"/>
                <w:szCs w:val="21"/>
              </w:rPr>
            </w:pPr>
          </w:p>
          <w:p w14:paraId="15F3BDD8" w14:textId="3F8A3645"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inne depozyty detaliczne</w:t>
            </w:r>
          </w:p>
          <w:p w14:paraId="42C6C390" w14:textId="77777777" w:rsidR="001A0B09" w:rsidRDefault="001A0B09">
            <w:pPr>
              <w:pStyle w:val="TableParagraph"/>
              <w:spacing w:before="9"/>
              <w:jc w:val="both"/>
              <w:rPr>
                <w:rFonts w:ascii="Times New Roman" w:eastAsia="Times New Roman" w:hAnsi="Times New Roman"/>
                <w:sz w:val="24"/>
                <w:szCs w:val="24"/>
              </w:rPr>
            </w:pPr>
          </w:p>
          <w:p w14:paraId="5E4938B6" w14:textId="58CAB0F5"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25 ust. 1 rozporządzenia delegowanego (UE) 2015/61</w:t>
            </w:r>
          </w:p>
          <w:p w14:paraId="3A11904F" w14:textId="77777777" w:rsidR="001A0B09" w:rsidRDefault="001A0B09">
            <w:pPr>
              <w:pStyle w:val="TableParagraph"/>
              <w:spacing w:before="9"/>
              <w:jc w:val="both"/>
              <w:rPr>
                <w:rFonts w:ascii="Times New Roman" w:eastAsia="Times New Roman" w:hAnsi="Times New Roman"/>
                <w:sz w:val="24"/>
                <w:szCs w:val="24"/>
              </w:rPr>
            </w:pPr>
          </w:p>
          <w:p w14:paraId="4ED9F9A5" w14:textId="72F3894F" w:rsidR="001A0B09"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Instytucje kredytowe zgłaszają kwotę innych depozytów detalicznych niż te ujęte w poprzednich pozycjach.</w:t>
            </w:r>
          </w:p>
        </w:tc>
      </w:tr>
      <w:tr w:rsidR="001A0B09" w14:paraId="4C72C7C7" w14:textId="77777777" w:rsidTr="00454544">
        <w:tc>
          <w:tcPr>
            <w:tcW w:w="1457" w:type="dxa"/>
            <w:shd w:val="clear" w:color="auto" w:fill="auto"/>
            <w:vAlign w:val="center"/>
          </w:tcPr>
          <w:p w14:paraId="290CCD49"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1A0B09" w:rsidRDefault="001A0B09">
            <w:pPr>
              <w:pStyle w:val="TableParagraph"/>
              <w:spacing w:before="9"/>
              <w:jc w:val="both"/>
              <w:rPr>
                <w:rFonts w:ascii="Times New Roman" w:eastAsia="Times New Roman" w:hAnsi="Times New Roman"/>
                <w:sz w:val="21"/>
                <w:szCs w:val="21"/>
              </w:rPr>
            </w:pPr>
          </w:p>
          <w:p w14:paraId="1AF8DF6B"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Depozyty operacyjne</w:t>
            </w:r>
          </w:p>
          <w:p w14:paraId="589FC172" w14:textId="77777777" w:rsidR="001A0B09" w:rsidRDefault="001A0B09">
            <w:pPr>
              <w:pStyle w:val="TableParagraph"/>
              <w:spacing w:before="9"/>
              <w:jc w:val="both"/>
              <w:rPr>
                <w:rFonts w:ascii="Times New Roman" w:eastAsia="Times New Roman" w:hAnsi="Times New Roman"/>
                <w:sz w:val="24"/>
                <w:szCs w:val="24"/>
              </w:rPr>
            </w:pPr>
          </w:p>
          <w:p w14:paraId="03CD0763" w14:textId="03E78188"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27 rozporządzenia delegowanego (UE) 2015/61</w:t>
            </w:r>
          </w:p>
          <w:p w14:paraId="6BA113B0" w14:textId="7657DD0B" w:rsidR="001A0B09"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 xml:space="preserve">W tej sekcji instytucje kredytowe zgłaszają część depozytów operacyjnych określonych zgodnie z art. 27 rozporządzenia delegowanego (UE) 2015/61, które są niezbędne do świadczenia usług operacyjnych. Depozyty powstałe w wyniku relacji w zakresie bankowości korespondenckiej lub świadczenia usług brokerskich uznaje się za depozyty nieoperacyjne w rozumieniu art. 27 ust. 5 </w:t>
            </w:r>
            <w:r>
              <w:rPr>
                <w:rFonts w:ascii="Times New Roman" w:hAnsi="Times New Roman"/>
                <w:sz w:val="18"/>
                <w:szCs w:val="18"/>
              </w:rPr>
              <w:t>rozporządzenia delegowanego (UE) 2015/61.</w:t>
            </w:r>
          </w:p>
          <w:p w14:paraId="1D7D4605" w14:textId="23C7EAEE" w:rsidR="001A0B09"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W tej sekcji nie zgłasza się części depozytów operacyjnych przekraczającej kwotę wymaganą do świadczenia usług operacyjnych – taką część należy zgłosić w pozycji 1.1.3.</w:t>
            </w:r>
          </w:p>
          <w:p w14:paraId="69F3E3B0" w14:textId="77777777" w:rsidR="001A0B09" w:rsidRDefault="001A0B09">
            <w:pPr>
              <w:pStyle w:val="TableParagraph"/>
              <w:spacing w:before="153"/>
              <w:ind w:left="102" w:right="99"/>
              <w:jc w:val="both"/>
              <w:rPr>
                <w:rFonts w:ascii="Times New Roman" w:eastAsia="Verdana" w:hAnsi="Times New Roman"/>
                <w:sz w:val="18"/>
                <w:szCs w:val="18"/>
              </w:rPr>
            </w:pPr>
          </w:p>
        </w:tc>
      </w:tr>
      <w:tr w:rsidR="001A0B09" w14:paraId="25B9B289" w14:textId="77777777" w:rsidTr="00454544">
        <w:tc>
          <w:tcPr>
            <w:tcW w:w="1457" w:type="dxa"/>
            <w:shd w:val="clear" w:color="auto" w:fill="auto"/>
            <w:vAlign w:val="center"/>
          </w:tcPr>
          <w:p w14:paraId="6A670C42" w14:textId="77777777" w:rsidR="001A0B09"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1A0B09" w:rsidRDefault="001A0B09">
            <w:pPr>
              <w:pStyle w:val="TableParagraph"/>
              <w:spacing w:before="9"/>
              <w:jc w:val="both"/>
              <w:rPr>
                <w:rFonts w:ascii="Times New Roman" w:eastAsia="Times New Roman" w:hAnsi="Times New Roman"/>
                <w:sz w:val="21"/>
                <w:szCs w:val="21"/>
              </w:rPr>
            </w:pPr>
          </w:p>
          <w:p w14:paraId="6B0F55BC" w14:textId="77777777" w:rsidR="001A0B0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 utrzymywane w celu skorzystania z usług rozliczeniowych, powierniczych lub zarządzania płynnością lub innych</w:t>
            </w:r>
            <w:r>
              <w:rPr>
                <w:rFonts w:ascii="Times New Roman" w:hAnsi="Times New Roman"/>
                <w:b/>
                <w:sz w:val="18"/>
              </w:rPr>
              <w:t xml:space="preserve"> </w:t>
            </w:r>
            <w:r>
              <w:rPr>
                <w:rFonts w:ascii="Times New Roman" w:hAnsi="Times New Roman"/>
                <w:b/>
                <w:sz w:val="18"/>
                <w:u w:color="000000"/>
              </w:rPr>
              <w:t>porównywalnych usług w kontekście utrwalonej</w:t>
            </w:r>
            <w:r>
              <w:rPr>
                <w:rFonts w:ascii="Times New Roman" w:hAnsi="Times New Roman"/>
                <w:b/>
                <w:sz w:val="18"/>
              </w:rPr>
              <w:t xml:space="preserve"> </w:t>
            </w:r>
            <w:r>
              <w:rPr>
                <w:rFonts w:ascii="Times New Roman" w:hAnsi="Times New Roman"/>
                <w:b/>
                <w:sz w:val="18"/>
                <w:u w:color="000000"/>
              </w:rPr>
              <w:t>relacji operacyjnej</w:t>
            </w:r>
          </w:p>
          <w:p w14:paraId="4658F872" w14:textId="77777777" w:rsidR="001A0B09" w:rsidRDefault="001A0B09">
            <w:pPr>
              <w:pStyle w:val="TableParagraph"/>
              <w:spacing w:before="8"/>
              <w:jc w:val="both"/>
              <w:rPr>
                <w:rFonts w:ascii="Times New Roman" w:eastAsia="Times New Roman" w:hAnsi="Times New Roman"/>
                <w:sz w:val="21"/>
                <w:szCs w:val="21"/>
              </w:rPr>
            </w:pPr>
          </w:p>
          <w:p w14:paraId="5E3FFDA9" w14:textId="15DC2861" w:rsidR="001A0B09"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 27 ust. 1 lit. a), art. 27 ust. 2 i 4 rozporządzenia delegowanego (UE) 2015/61</w:t>
            </w:r>
          </w:p>
          <w:p w14:paraId="57F32AD6" w14:textId="0603780A" w:rsidR="001A0B09"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Instytucje kredytowe zgłaszają depozyty utrzymywane przez deponenta w celu skorzystania z usług rozliczeniowych, powierniczych lub zarządzania płynnością lub innych porównywalnych usług w kontekście utrwalonej relacji, o której mowa w art. 27 ust. 1 lit. a) rozporządzenia delegowanego (UE) 2015/61) i która jest niezwykle ważna dla deponenta, o którym mowa w art. 27 ust. 4 rozporządzenia delegowanego (UE) 2015/61; środki przekraczające środki wymagane na świadczenie usług operacyjnych uznaje się za depozyty nieoperacyjne, o których mowa w ostatnim zdaniu art. 27 ust. 4 rozporządzenia delegowanego (UE) 2015/61.</w:t>
            </w:r>
          </w:p>
          <w:p w14:paraId="26BF49E8" w14:textId="3EDE7A84" w:rsidR="001A0B09" w:rsidRDefault="006E48EA">
            <w:pPr>
              <w:pStyle w:val="TableParagraph"/>
              <w:spacing w:before="119"/>
              <w:ind w:left="102" w:right="99"/>
              <w:jc w:val="both"/>
              <w:rPr>
                <w:rFonts w:ascii="Times New Roman" w:hAnsi="Times New Roman"/>
                <w:sz w:val="18"/>
              </w:rPr>
            </w:pPr>
            <w:r>
              <w:rPr>
                <w:rFonts w:ascii="Times New Roman" w:hAnsi="Times New Roman"/>
                <w:sz w:val="18"/>
              </w:rPr>
              <w:t>Zgłasza się jedynie depozyty, które mają znaczne ograniczenia prawne lub operacyjne, zgodnie z którymi istotne wycofanie w terminie 30 dni kalendarzowych jest nieprawdopodobne, o czym mowa w art. 27 ust. 4 zdanie drugie rozporządzenia delegowanego (UE) 2015/61.</w:t>
            </w:r>
          </w:p>
          <w:p w14:paraId="13830DEB" w14:textId="0FDD7672" w:rsidR="001A0B09"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Instytucje kredytowe zgłaszają oddzielnie kwotę depozytów objętych oraz nieobjętych systemem gwarancji depozytów lub równoważnym systemem gwarantowania depozytów w państwie trzecim, o których mowa w art. 27 ust. 2 rozporządzenia delegowanego (UE) 2015/61, jak określono w kolejnych pozycjach instrukcji.</w:t>
            </w:r>
          </w:p>
        </w:tc>
      </w:tr>
      <w:tr w:rsidR="001A0B09" w14:paraId="0B27C322" w14:textId="77777777" w:rsidTr="00454544">
        <w:tc>
          <w:tcPr>
            <w:tcW w:w="1457" w:type="dxa"/>
            <w:shd w:val="clear" w:color="auto" w:fill="auto"/>
            <w:vAlign w:val="center"/>
          </w:tcPr>
          <w:p w14:paraId="6002F428"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140</w:t>
            </w:r>
          </w:p>
        </w:tc>
        <w:tc>
          <w:tcPr>
            <w:tcW w:w="6946" w:type="dxa"/>
            <w:shd w:val="clear" w:color="auto" w:fill="auto"/>
          </w:tcPr>
          <w:p w14:paraId="6C5D79D2" w14:textId="77777777" w:rsidR="001A0B09" w:rsidRDefault="001A0B09">
            <w:pPr>
              <w:pStyle w:val="TableParagraph"/>
              <w:spacing w:before="9"/>
              <w:jc w:val="both"/>
              <w:rPr>
                <w:rFonts w:ascii="Times New Roman" w:eastAsia="Times New Roman" w:hAnsi="Times New Roman"/>
                <w:sz w:val="21"/>
                <w:szCs w:val="21"/>
              </w:rPr>
            </w:pPr>
          </w:p>
          <w:p w14:paraId="59175E94"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objęte systemem gwarancji depozytów</w:t>
            </w:r>
          </w:p>
          <w:p w14:paraId="7094462E" w14:textId="77777777" w:rsidR="001A0B09" w:rsidRDefault="001A0B09">
            <w:pPr>
              <w:pStyle w:val="TableParagraph"/>
              <w:spacing w:before="7"/>
              <w:jc w:val="both"/>
              <w:rPr>
                <w:rFonts w:ascii="Times New Roman" w:eastAsia="Times New Roman" w:hAnsi="Times New Roman"/>
                <w:sz w:val="24"/>
                <w:szCs w:val="24"/>
              </w:rPr>
            </w:pPr>
          </w:p>
          <w:p w14:paraId="03553A91" w14:textId="4C9E0761" w:rsidR="001A0B09"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 27 ust. 1 lit. a), art. 27 ust. 2 i 4 rozporządzenia delegowanego (UE) 2015/61</w:t>
            </w:r>
          </w:p>
          <w:p w14:paraId="77B476DB" w14:textId="77777777" w:rsidR="001A0B09" w:rsidRDefault="001A0B09">
            <w:pPr>
              <w:pStyle w:val="TableParagraph"/>
              <w:spacing w:before="11"/>
              <w:jc w:val="both"/>
              <w:rPr>
                <w:rFonts w:ascii="Times New Roman" w:eastAsia="Times New Roman" w:hAnsi="Times New Roman"/>
                <w:sz w:val="21"/>
                <w:szCs w:val="21"/>
              </w:rPr>
            </w:pPr>
          </w:p>
          <w:p w14:paraId="6140B9E0" w14:textId="406E6484"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Instytucje kredytowe zgłaszają część salda zobowiązań z tytułu depozytów operacyjnych utrzymywanych w kontekście utrwalonej relacji operacyjnej, która spełnia kryteria określone w art. 27 ust. 1 lit. a) i art. 27 ust. 4 rozporządzenia delegowanego (UE) 2015/61, oraz objętych systemem gwarancji depozytów zgodnie z dyrektywą 94/19/WE lub dyrektywą 2014/49/UE lub równoważnym systemem gwarantowania depozytów w państwie trzecim.</w:t>
            </w:r>
          </w:p>
        </w:tc>
      </w:tr>
      <w:tr w:rsidR="001A0B09" w14:paraId="16611CAD" w14:textId="77777777" w:rsidTr="00454544">
        <w:tc>
          <w:tcPr>
            <w:tcW w:w="1457" w:type="dxa"/>
            <w:shd w:val="clear" w:color="auto" w:fill="auto"/>
            <w:vAlign w:val="center"/>
          </w:tcPr>
          <w:p w14:paraId="0F75B364" w14:textId="77777777" w:rsidR="001A0B09"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1A0B09" w:rsidRDefault="001A0B09">
            <w:pPr>
              <w:pStyle w:val="TableParagraph"/>
              <w:spacing w:before="9"/>
              <w:jc w:val="both"/>
              <w:rPr>
                <w:rFonts w:ascii="Times New Roman" w:eastAsia="Times New Roman" w:hAnsi="Times New Roman"/>
                <w:sz w:val="21"/>
                <w:szCs w:val="21"/>
              </w:rPr>
            </w:pPr>
          </w:p>
          <w:p w14:paraId="255D532A"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nieobjęte systemem gwarantowania depozytów</w:t>
            </w:r>
          </w:p>
          <w:p w14:paraId="084C468E" w14:textId="77777777" w:rsidR="001A0B09" w:rsidRDefault="001A0B09">
            <w:pPr>
              <w:pStyle w:val="TableParagraph"/>
              <w:spacing w:before="7"/>
              <w:jc w:val="both"/>
              <w:rPr>
                <w:rFonts w:ascii="Times New Roman" w:eastAsia="Times New Roman" w:hAnsi="Times New Roman"/>
                <w:sz w:val="24"/>
                <w:szCs w:val="24"/>
              </w:rPr>
            </w:pPr>
          </w:p>
          <w:p w14:paraId="713B7652" w14:textId="3A56E08C" w:rsidR="001A0B09"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 27 ust. 1 lit. a), art. 27 ust. 2 i 4 rozporządzenia delegowanego (UE) 2015/61</w:t>
            </w:r>
          </w:p>
          <w:p w14:paraId="11372599" w14:textId="77777777" w:rsidR="001A0B09" w:rsidRDefault="001A0B09">
            <w:pPr>
              <w:pStyle w:val="TableParagraph"/>
              <w:spacing w:before="1"/>
              <w:jc w:val="both"/>
              <w:rPr>
                <w:rFonts w:ascii="Times New Roman" w:eastAsia="Times New Roman" w:hAnsi="Times New Roman"/>
              </w:rPr>
            </w:pPr>
          </w:p>
          <w:p w14:paraId="0BAA112A" w14:textId="2342B711" w:rsidR="001A0B09" w:rsidRDefault="006E48EA">
            <w:pPr>
              <w:pStyle w:val="TableParagraph"/>
              <w:ind w:left="135" w:right="97"/>
              <w:jc w:val="both"/>
              <w:rPr>
                <w:rFonts w:ascii="Times New Roman" w:eastAsia="Verdana" w:hAnsi="Times New Roman"/>
                <w:sz w:val="18"/>
                <w:szCs w:val="18"/>
              </w:rPr>
            </w:pPr>
            <w:r>
              <w:rPr>
                <w:rFonts w:ascii="Times New Roman" w:hAnsi="Times New Roman"/>
                <w:sz w:val="18"/>
              </w:rPr>
              <w:t>Instytucje kredytowe zgłaszają część salda zobowiązań z tytułu depozytów operacyjnych utrzymywanych w kontekście utrwalonej relacji operacyjnej, która spełnia kryteria określone w art. 27 ust. 1 lit. a) i art. 27 ust. 4 rozporządzenia delegowanego (UE) 2015/61, oraz nieobjętych systemem gwarantowania depozytów zgodnie z dyrektywą 94/19/WE lub dyrektywą 2014/49/UE lub równoważnym systemem gwarantowania depozytów w państwie trzecim.</w:t>
            </w:r>
          </w:p>
        </w:tc>
      </w:tr>
      <w:tr w:rsidR="001A0B09" w14:paraId="6C1D5286" w14:textId="77777777" w:rsidTr="00454544">
        <w:tc>
          <w:tcPr>
            <w:tcW w:w="1457" w:type="dxa"/>
            <w:shd w:val="clear" w:color="auto" w:fill="auto"/>
            <w:vAlign w:val="center"/>
          </w:tcPr>
          <w:p w14:paraId="2695D6F7"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1A0B09" w:rsidRDefault="001A0B09">
            <w:pPr>
              <w:pStyle w:val="TableParagraph"/>
              <w:spacing w:before="9"/>
              <w:jc w:val="both"/>
              <w:rPr>
                <w:rFonts w:ascii="Times New Roman" w:eastAsia="Times New Roman" w:hAnsi="Times New Roman"/>
                <w:sz w:val="21"/>
                <w:szCs w:val="21"/>
              </w:rPr>
            </w:pPr>
          </w:p>
          <w:p w14:paraId="7546FD83"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rPr>
              <w:t>1.1.2.2. utrzymywane w kontekście instytucjonalnego systemu ochrony lub sieci współpracy</w:t>
            </w:r>
          </w:p>
          <w:p w14:paraId="3F788E04" w14:textId="77777777" w:rsidR="001A0B09" w:rsidRDefault="001A0B09">
            <w:pPr>
              <w:pStyle w:val="TableParagraph"/>
              <w:spacing w:before="7"/>
              <w:jc w:val="both"/>
              <w:rPr>
                <w:rFonts w:ascii="Times New Roman" w:eastAsia="Times New Roman" w:hAnsi="Times New Roman"/>
                <w:sz w:val="24"/>
                <w:szCs w:val="24"/>
              </w:rPr>
            </w:pPr>
          </w:p>
          <w:p w14:paraId="0EECFA03" w14:textId="2E69549D" w:rsidR="001A0B09"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 27 ust. 1 lit. b) i art. 27 ust. 3 rozporządzenia delegowanego (UE) 2015/61</w:t>
            </w:r>
          </w:p>
          <w:p w14:paraId="343FEE4D" w14:textId="77777777" w:rsidR="001A0B09" w:rsidRDefault="001A0B09">
            <w:pPr>
              <w:pStyle w:val="TableParagraph"/>
              <w:spacing w:before="1"/>
              <w:jc w:val="both"/>
              <w:rPr>
                <w:rFonts w:ascii="Times New Roman" w:eastAsia="Times New Roman" w:hAnsi="Times New Roman"/>
              </w:rPr>
            </w:pPr>
          </w:p>
          <w:p w14:paraId="13A5D611" w14:textId="29783808" w:rsidR="001A0B09" w:rsidRDefault="006E48EA">
            <w:pPr>
              <w:pStyle w:val="TableParagraph"/>
              <w:ind w:left="102" w:right="97"/>
              <w:jc w:val="both"/>
              <w:rPr>
                <w:rFonts w:ascii="Times New Roman" w:eastAsia="Verdana" w:hAnsi="Times New Roman"/>
                <w:sz w:val="18"/>
                <w:szCs w:val="18"/>
              </w:rPr>
            </w:pPr>
            <w:r>
              <w:rPr>
                <w:rFonts w:ascii="Times New Roman" w:hAnsi="Times New Roman"/>
                <w:sz w:val="18"/>
              </w:rPr>
              <w:t>W tej sekcji instytucje kredytowe zgłaszają depozyty utrzymywane w kontekście podziału obowiązków w ramach instytucjonalnego systemu ochrony spełniającego wymogi określone w art. 113 ust. 7 rozporządzenia (UE) nr 575/2013 lub w ramach grupy współpracujących instytucji kredytowych stale powiązanych z jednostką centralną spełniającą wymogi określone w art. 113 ust. 6 przedmiotowego rozporządzenia, lub jako prawnie lub umownie ustanowiony minimalny depozyt przez inną instytucję kredytową, która jest członkiem tego samego instytucjonalnego systemu ochrony lub sieci współpracy, jak określono w art. 27 ust. 1 lit. b) rozporządzenia delegowanego (UE) 2015/61.</w:t>
            </w:r>
          </w:p>
          <w:p w14:paraId="5C1218B3" w14:textId="77777777" w:rsidR="001A0B09" w:rsidRDefault="001A0B09">
            <w:pPr>
              <w:pStyle w:val="TableParagraph"/>
              <w:spacing w:before="11"/>
              <w:jc w:val="both"/>
              <w:rPr>
                <w:rFonts w:ascii="Times New Roman" w:eastAsia="Times New Roman" w:hAnsi="Times New Roman"/>
                <w:sz w:val="18"/>
                <w:szCs w:val="18"/>
              </w:rPr>
            </w:pPr>
          </w:p>
          <w:p w14:paraId="3D4A72A7" w14:textId="31FB8130" w:rsidR="001A0B09" w:rsidRDefault="006E48EA">
            <w:pPr>
              <w:pStyle w:val="TableParagraph"/>
              <w:ind w:left="102" w:right="95"/>
              <w:jc w:val="both"/>
              <w:rPr>
                <w:rFonts w:ascii="Times New Roman" w:eastAsia="Verdana" w:hAnsi="Times New Roman"/>
                <w:sz w:val="18"/>
                <w:szCs w:val="18"/>
              </w:rPr>
            </w:pPr>
            <w:r>
              <w:rPr>
                <w:rFonts w:ascii="Times New Roman" w:hAnsi="Times New Roman"/>
                <w:sz w:val="18"/>
              </w:rPr>
              <w:t>Instytucje kredytowe zgłaszają te depozyty w różnych wierszach w zależności od tego, czy są traktowane jako aktywa płynne przez deponującą instytucję kredytową zgodnie z art. 27 ust. 3 rozporządzenia delegowanego (UE) 2015/61.</w:t>
            </w:r>
          </w:p>
        </w:tc>
      </w:tr>
      <w:tr w:rsidR="001A0B09" w14:paraId="726F1CB4" w14:textId="77777777" w:rsidTr="00454544">
        <w:tc>
          <w:tcPr>
            <w:tcW w:w="1457" w:type="dxa"/>
            <w:shd w:val="clear" w:color="auto" w:fill="auto"/>
            <w:vAlign w:val="center"/>
          </w:tcPr>
          <w:p w14:paraId="3BF3C110"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1A0B09" w:rsidRDefault="001A0B09">
            <w:pPr>
              <w:pStyle w:val="TableParagraph"/>
              <w:spacing w:before="9"/>
              <w:jc w:val="both"/>
              <w:rPr>
                <w:rFonts w:ascii="Times New Roman" w:eastAsia="Times New Roman" w:hAnsi="Times New Roman"/>
                <w:sz w:val="21"/>
                <w:szCs w:val="21"/>
              </w:rPr>
            </w:pPr>
          </w:p>
          <w:p w14:paraId="3703A5B5"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nietraktowane jako aktywa płynne przez instytucję deponującą</w:t>
            </w:r>
          </w:p>
          <w:p w14:paraId="21F8DF35" w14:textId="77777777" w:rsidR="001A0B09" w:rsidRDefault="001A0B09">
            <w:pPr>
              <w:pStyle w:val="TableParagraph"/>
              <w:spacing w:before="7"/>
              <w:jc w:val="both"/>
              <w:rPr>
                <w:rFonts w:ascii="Times New Roman" w:eastAsia="Times New Roman" w:hAnsi="Times New Roman"/>
                <w:sz w:val="24"/>
                <w:szCs w:val="24"/>
              </w:rPr>
            </w:pPr>
          </w:p>
          <w:p w14:paraId="6397AE8C" w14:textId="1518D017" w:rsidR="001A0B09" w:rsidRDefault="005E70B4">
            <w:pPr>
              <w:pStyle w:val="TableParagraph"/>
              <w:ind w:left="135"/>
              <w:jc w:val="both"/>
              <w:rPr>
                <w:rFonts w:ascii="Times New Roman" w:hAnsi="Times New Roman"/>
                <w:sz w:val="18"/>
              </w:rPr>
            </w:pPr>
            <w:r>
              <w:rPr>
                <w:rFonts w:ascii="Times New Roman" w:hAnsi="Times New Roman"/>
                <w:sz w:val="18"/>
              </w:rPr>
              <w:t>Art. 27 ust. 1 lit. b) rozporządzenia delegowanego (UE) 2015/61</w:t>
            </w:r>
          </w:p>
          <w:p w14:paraId="4D1016D6" w14:textId="77777777" w:rsidR="001A0B09" w:rsidRDefault="001A0B09">
            <w:pPr>
              <w:pStyle w:val="TableParagraph"/>
              <w:ind w:left="135"/>
              <w:jc w:val="both"/>
              <w:rPr>
                <w:rFonts w:ascii="Times New Roman" w:hAnsi="Times New Roman"/>
                <w:sz w:val="18"/>
              </w:rPr>
            </w:pPr>
          </w:p>
          <w:p w14:paraId="7D48F1BF" w14:textId="5E4E8035"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Instytucje kredytowe zgłaszają kwotę salda zobowiązań z tytułu depozytów utrzymywanych w kontekście sieci współpracy lub instytucjonalnego systemu ochrony zgodnie z kryteriami określonymi w art. 27 ust. 1 lit. b) rozporządzenia delegowanego (UE) 2015/61, pod warunkiem że depozyty te nie są uznawane za aktywa płynne przez deponującą instytucję kredytową.</w:t>
            </w:r>
          </w:p>
        </w:tc>
      </w:tr>
      <w:tr w:rsidR="001A0B09" w14:paraId="4C5129A6" w14:textId="77777777" w:rsidTr="00454544">
        <w:tc>
          <w:tcPr>
            <w:tcW w:w="1457" w:type="dxa"/>
            <w:shd w:val="clear" w:color="auto" w:fill="auto"/>
            <w:vAlign w:val="center"/>
          </w:tcPr>
          <w:p w14:paraId="2BAD0A05" w14:textId="77777777" w:rsidR="001A0B09" w:rsidRDefault="006E48EA">
            <w:pPr>
              <w:pStyle w:val="TableParagraph"/>
              <w:spacing w:before="162"/>
              <w:ind w:left="135"/>
              <w:rPr>
                <w:rFonts w:ascii="Times New Roman" w:eastAsia="Verdana" w:hAnsi="Times New Roman"/>
                <w:sz w:val="18"/>
                <w:szCs w:val="18"/>
              </w:rPr>
            </w:pPr>
            <w:r>
              <w:rPr>
                <w:rFonts w:ascii="Times New Roman" w:hAnsi="Times New Roman"/>
                <w:sz w:val="18"/>
              </w:rPr>
              <w:lastRenderedPageBreak/>
              <w:t>180</w:t>
            </w:r>
          </w:p>
        </w:tc>
        <w:tc>
          <w:tcPr>
            <w:tcW w:w="6946" w:type="dxa"/>
            <w:shd w:val="clear" w:color="auto" w:fill="auto"/>
          </w:tcPr>
          <w:p w14:paraId="2866398F" w14:textId="77777777" w:rsidR="001A0B09" w:rsidRDefault="001A0B09">
            <w:pPr>
              <w:pStyle w:val="TableParagraph"/>
              <w:spacing w:before="9"/>
              <w:jc w:val="both"/>
              <w:rPr>
                <w:rFonts w:ascii="Times New Roman" w:eastAsia="Times New Roman" w:hAnsi="Times New Roman"/>
                <w:sz w:val="21"/>
                <w:szCs w:val="21"/>
              </w:rPr>
            </w:pPr>
          </w:p>
          <w:p w14:paraId="74BAF152"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traktowane jako aktywa płynne przez deponującą instytucję kredytową</w:t>
            </w:r>
          </w:p>
          <w:p w14:paraId="42C8D6D7" w14:textId="77777777" w:rsidR="001A0B09" w:rsidRDefault="001A0B09">
            <w:pPr>
              <w:pStyle w:val="TableParagraph"/>
              <w:spacing w:before="7"/>
              <w:jc w:val="both"/>
              <w:rPr>
                <w:rFonts w:ascii="Times New Roman" w:eastAsia="Times New Roman" w:hAnsi="Times New Roman"/>
                <w:sz w:val="24"/>
                <w:szCs w:val="24"/>
              </w:rPr>
            </w:pPr>
          </w:p>
          <w:p w14:paraId="2DE6E048" w14:textId="08C2DF4F" w:rsidR="001A0B09"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Art. 27 ust. 1 lit. b) i art. 27 ust. 3 rozporządzenia delegowanego (UE) 2015/61</w:t>
            </w:r>
          </w:p>
          <w:p w14:paraId="0D36EC65" w14:textId="77777777" w:rsidR="001A0B09" w:rsidRDefault="001A0B09">
            <w:pPr>
              <w:pStyle w:val="TableParagraph"/>
              <w:spacing w:before="1"/>
              <w:jc w:val="both"/>
              <w:rPr>
                <w:rFonts w:ascii="Times New Roman" w:eastAsia="Times New Roman" w:hAnsi="Times New Roman"/>
              </w:rPr>
            </w:pPr>
          </w:p>
          <w:p w14:paraId="0F17A80D" w14:textId="42B2E413" w:rsidR="001A0B09" w:rsidRDefault="006E48EA">
            <w:pPr>
              <w:pStyle w:val="TableParagraph"/>
              <w:ind w:left="102" w:right="98"/>
              <w:jc w:val="both"/>
              <w:rPr>
                <w:rFonts w:ascii="Times New Roman" w:hAnsi="Times New Roman"/>
                <w:sz w:val="18"/>
              </w:rPr>
            </w:pPr>
            <w:r>
              <w:rPr>
                <w:rFonts w:ascii="Times New Roman" w:hAnsi="Times New Roman"/>
                <w:sz w:val="18"/>
              </w:rPr>
              <w:t>Instytucje kredytowe zgłaszają depozyty instytucji kredytowych złożone w centralnej instytucji kredytowej, które deponująca instytucja kredytowa uznaje za aktywa płynne zgodnie z art. 16 rozporządzenia delegowanego (UE) 2015/61.</w:t>
            </w:r>
          </w:p>
          <w:p w14:paraId="1996A788" w14:textId="77777777" w:rsidR="001A0B09" w:rsidRDefault="001A0B09">
            <w:pPr>
              <w:pStyle w:val="TableParagraph"/>
              <w:ind w:left="102" w:right="98"/>
              <w:jc w:val="both"/>
              <w:rPr>
                <w:rFonts w:ascii="Times New Roman" w:eastAsia="Verdana" w:hAnsi="Times New Roman"/>
                <w:sz w:val="18"/>
                <w:szCs w:val="18"/>
              </w:rPr>
            </w:pPr>
          </w:p>
          <w:p w14:paraId="43A5D7B6" w14:textId="4B766E60" w:rsidR="001A0B09" w:rsidRDefault="006E48EA">
            <w:pPr>
              <w:pStyle w:val="TableParagraph"/>
              <w:ind w:left="102" w:right="96"/>
              <w:jc w:val="both"/>
              <w:rPr>
                <w:rFonts w:ascii="Times New Roman" w:eastAsia="Verdana" w:hAnsi="Times New Roman"/>
                <w:sz w:val="18"/>
                <w:szCs w:val="18"/>
              </w:rPr>
            </w:pPr>
            <w:r>
              <w:rPr>
                <w:rFonts w:ascii="Times New Roman" w:hAnsi="Times New Roman"/>
                <w:sz w:val="18"/>
              </w:rPr>
              <w:t>Instytucje kredytowe zgłaszają kwotę tych depozytów do wysokości kwoty odpowiadających aktywów płynnych po redukcji wartości, jak określono w art. 27 ust. 3 rozporządzenia delegowanego (UE) 2015/61.</w:t>
            </w:r>
          </w:p>
        </w:tc>
      </w:tr>
      <w:tr w:rsidR="001A0B09" w14:paraId="05227811" w14:textId="77777777" w:rsidTr="00454544">
        <w:tc>
          <w:tcPr>
            <w:tcW w:w="1457" w:type="dxa"/>
            <w:shd w:val="clear" w:color="auto" w:fill="auto"/>
            <w:vAlign w:val="center"/>
          </w:tcPr>
          <w:p w14:paraId="60B7988C"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1A0B09" w:rsidRDefault="001A0B09">
            <w:pPr>
              <w:pStyle w:val="TableParagraph"/>
              <w:spacing w:before="9"/>
              <w:jc w:val="both"/>
              <w:rPr>
                <w:rFonts w:ascii="Times New Roman" w:eastAsia="Times New Roman" w:hAnsi="Times New Roman"/>
                <w:sz w:val="21"/>
                <w:szCs w:val="21"/>
              </w:rPr>
            </w:pPr>
          </w:p>
          <w:p w14:paraId="63E56B8B" w14:textId="77777777" w:rsidR="001A0B09"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1.1.2.3. utrzymywane w kontekście utrwalonej relacji operacyjnej</w:t>
            </w:r>
            <w:r>
              <w:rPr>
                <w:rFonts w:ascii="Times New Roman" w:hAnsi="Times New Roman"/>
                <w:b/>
                <w:sz w:val="18"/>
              </w:rPr>
              <w:t xml:space="preserve"> </w:t>
            </w:r>
            <w:r>
              <w:rPr>
                <w:rFonts w:ascii="Times New Roman" w:hAnsi="Times New Roman"/>
                <w:b/>
                <w:sz w:val="18"/>
                <w:u w:color="000000"/>
              </w:rPr>
              <w:t>(innego rodzaju) z klientami niefinansowymi</w:t>
            </w:r>
          </w:p>
          <w:p w14:paraId="735BAD8D" w14:textId="77777777" w:rsidR="001A0B09" w:rsidRDefault="001A0B09">
            <w:pPr>
              <w:pStyle w:val="TableParagraph"/>
              <w:spacing w:before="11"/>
              <w:jc w:val="both"/>
              <w:rPr>
                <w:rFonts w:ascii="Times New Roman" w:eastAsia="Times New Roman" w:hAnsi="Times New Roman"/>
                <w:sz w:val="21"/>
                <w:szCs w:val="21"/>
              </w:rPr>
            </w:pPr>
          </w:p>
          <w:p w14:paraId="1F1DF64E" w14:textId="07B63C92" w:rsidR="001A0B09"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Art. 27 ust. 1 lit. c), art. 27 ust. 4 i 6 rozporządzenia delegowanego (UE) 2015/61</w:t>
            </w:r>
          </w:p>
          <w:p w14:paraId="5B7EE062" w14:textId="77777777" w:rsidR="001A0B09" w:rsidRDefault="001A0B09">
            <w:pPr>
              <w:pStyle w:val="TableParagraph"/>
              <w:spacing w:before="4"/>
              <w:jc w:val="both"/>
              <w:rPr>
                <w:rFonts w:ascii="Times New Roman" w:eastAsia="Times New Roman" w:hAnsi="Times New Roman"/>
              </w:rPr>
            </w:pPr>
          </w:p>
          <w:p w14:paraId="2D72E579" w14:textId="780EECF8" w:rsidR="001A0B09" w:rsidRDefault="006E48EA">
            <w:pPr>
              <w:pStyle w:val="TableParagraph"/>
              <w:ind w:left="102" w:right="96"/>
              <w:jc w:val="both"/>
              <w:rPr>
                <w:rFonts w:ascii="Times New Roman" w:hAnsi="Times New Roman"/>
                <w:sz w:val="18"/>
              </w:rPr>
            </w:pPr>
            <w:r>
              <w:rPr>
                <w:rFonts w:ascii="Times New Roman" w:hAnsi="Times New Roman"/>
                <w:sz w:val="18"/>
              </w:rPr>
              <w:t>Instytucje kredytowe zgłaszają kwotę salda zobowiązań z tytułu depozytów utrzymywanych przez klienta niefinansowego w kontekście utrwalonej relacji operacyjnej innej niż relacja, o której mowa w art. 27 ust. 1 lit. a) rozporządzenia delegowanego (UE) 2015/61, z zastrzeżeniem wymogów określonych w art. 27 ust. 6 rozporządzenia delegowanego (UE) 2015/61.</w:t>
            </w:r>
          </w:p>
          <w:p w14:paraId="2BDA0C94" w14:textId="77777777" w:rsidR="001A0B09" w:rsidRDefault="001A0B09">
            <w:pPr>
              <w:pStyle w:val="TableParagraph"/>
              <w:ind w:left="102" w:right="96"/>
              <w:jc w:val="both"/>
              <w:rPr>
                <w:rFonts w:ascii="Times New Roman" w:eastAsia="Verdana" w:hAnsi="Times New Roman"/>
                <w:sz w:val="18"/>
                <w:szCs w:val="18"/>
              </w:rPr>
            </w:pPr>
          </w:p>
          <w:p w14:paraId="67215764" w14:textId="6565EE44" w:rsidR="001A0B09" w:rsidRDefault="006E48EA">
            <w:pPr>
              <w:pStyle w:val="TableParagraph"/>
              <w:ind w:left="102" w:right="98"/>
              <w:jc w:val="both"/>
              <w:rPr>
                <w:rFonts w:ascii="Times New Roman" w:eastAsia="Verdana" w:hAnsi="Times New Roman"/>
                <w:sz w:val="18"/>
                <w:szCs w:val="18"/>
              </w:rPr>
            </w:pPr>
            <w:r>
              <w:rPr>
                <w:rFonts w:ascii="Times New Roman" w:hAnsi="Times New Roman"/>
                <w:sz w:val="18"/>
              </w:rPr>
              <w:t>Zgłasza się jedynie te depozyty, które mają znaczne ograniczenia prawne lub operacyjne, zgodnie z którymi istotne wycofanie w terminie 30 dni kalendarzowych jest nieprawdopodobne, o czym mowa w art. 27 ust. 4 rozporządzenia delegowanego (UE) 2015/61.</w:t>
            </w:r>
          </w:p>
        </w:tc>
      </w:tr>
      <w:tr w:rsidR="001A0B09" w14:paraId="2E2B830A" w14:textId="77777777" w:rsidTr="00454544">
        <w:tc>
          <w:tcPr>
            <w:tcW w:w="1457" w:type="dxa"/>
            <w:shd w:val="clear" w:color="auto" w:fill="auto"/>
            <w:vAlign w:val="center"/>
          </w:tcPr>
          <w:p w14:paraId="1664C466" w14:textId="77777777" w:rsidR="001A0B09"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1A0B09" w:rsidRDefault="001A0B09">
            <w:pPr>
              <w:pStyle w:val="TableParagraph"/>
              <w:spacing w:before="9"/>
              <w:jc w:val="both"/>
              <w:rPr>
                <w:rFonts w:ascii="Times New Roman" w:eastAsia="Times New Roman" w:hAnsi="Times New Roman"/>
                <w:sz w:val="21"/>
                <w:szCs w:val="21"/>
              </w:rPr>
            </w:pPr>
          </w:p>
          <w:p w14:paraId="5220DC18" w14:textId="77777777" w:rsidR="001A0B09"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utrzymywane w celu skorzystania z usług rozliczenia gotówkowego i usług świadczonych przez centralną instytucję kredytową</w:t>
            </w:r>
            <w:r>
              <w:rPr>
                <w:rFonts w:ascii="Times New Roman" w:hAnsi="Times New Roman"/>
                <w:b/>
                <w:sz w:val="18"/>
              </w:rPr>
              <w:t xml:space="preserve"> </w:t>
            </w:r>
            <w:r>
              <w:rPr>
                <w:rFonts w:ascii="Times New Roman" w:hAnsi="Times New Roman"/>
                <w:b/>
                <w:sz w:val="18"/>
                <w:u w:color="000000"/>
              </w:rPr>
              <w:t>w ramach sieci</w:t>
            </w:r>
          </w:p>
          <w:p w14:paraId="51A865C0" w14:textId="77777777" w:rsidR="001A0B09" w:rsidRDefault="001A0B09">
            <w:pPr>
              <w:pStyle w:val="TableParagraph"/>
              <w:spacing w:before="1"/>
              <w:jc w:val="both"/>
              <w:rPr>
                <w:rFonts w:ascii="Times New Roman" w:eastAsia="Times New Roman" w:hAnsi="Times New Roman"/>
              </w:rPr>
            </w:pPr>
          </w:p>
          <w:p w14:paraId="44545935" w14:textId="4FE20D56" w:rsidR="001A0B09"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 27 ust. 1 lit. d) i art. 27 ust. 4 rozporządzenia delegowanego (UE) 2015/61</w:t>
            </w:r>
          </w:p>
          <w:p w14:paraId="72EF13A7" w14:textId="77777777" w:rsidR="001A0B09" w:rsidRDefault="001A0B09">
            <w:pPr>
              <w:pStyle w:val="TableParagraph"/>
              <w:spacing w:before="2"/>
              <w:jc w:val="both"/>
              <w:rPr>
                <w:rFonts w:ascii="Times New Roman" w:eastAsia="Times New Roman" w:hAnsi="Times New Roman"/>
              </w:rPr>
            </w:pPr>
          </w:p>
          <w:p w14:paraId="58D1DFDC" w14:textId="6A3D94FE" w:rsidR="001A0B09"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Instytucje kredytowe zgłaszają kwotę salda zobowiązań z tytułu depozytów utrzymywanych przez deponenta w celu skorzystania z usług rozliczenia gotówkowego i usług świadczonych przez instytucję centralną, gdy instytucja kredytowa należy do jednej z sieci lub jednego z systemów, o których mowa w art. 16 rozporządzenia delegowanego (UE) 2015/61, jak określono w art. 27 ust. 1 lit. d) rozporządzenia delegowanego (UE) 2015/61. Wspomniane usługi rozliczeniowe i usługi świadczone przez centralną instytucję kredytową obejmują takie usługi jedynie w zakresie, w jakim są one świadczone w kontekście utrwalonej relacji z klientem, która jest niezwykle ważna dla deponenta, o czym mowa w art. 27 ust. 4 rozporządzenia delegowanego (UE) 2015/61; środki przekraczające środki wymagane na świadczenie usług operacyjnych uznaje się za depozyty nieoperacyjne, o których mowa w ostatnim zdaniu art. 27 ust. 4 rozporządzenia delegowanego (UE) 2015/61.</w:t>
            </w:r>
          </w:p>
          <w:p w14:paraId="0685CDDF" w14:textId="77777777" w:rsidR="001A0B09" w:rsidRDefault="001A0B09">
            <w:pPr>
              <w:pStyle w:val="TableParagraph"/>
              <w:spacing w:before="11"/>
              <w:jc w:val="both"/>
              <w:rPr>
                <w:rFonts w:ascii="Times New Roman" w:eastAsia="Times New Roman" w:hAnsi="Times New Roman"/>
                <w:sz w:val="18"/>
                <w:szCs w:val="18"/>
              </w:rPr>
            </w:pPr>
          </w:p>
          <w:p w14:paraId="56379A69" w14:textId="60A9385C" w:rsidR="001A0B09"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Zgłasza się jedynie te depozyty, które mają znaczne ograniczenia prawne lub operacyjne, zgodnie z którymi istotne wycofanie w terminie 30 dni kalendarzowych jest nieprawdopodobne, o czym mowa w art. 27 ust. 4 rozporządzenia delegowanego (UE) 2015/61.</w:t>
            </w:r>
          </w:p>
        </w:tc>
      </w:tr>
      <w:tr w:rsidR="001A0B09" w14:paraId="34D0AB41" w14:textId="77777777" w:rsidTr="00454544">
        <w:tc>
          <w:tcPr>
            <w:tcW w:w="1457" w:type="dxa"/>
            <w:shd w:val="clear" w:color="auto" w:fill="auto"/>
            <w:vAlign w:val="center"/>
          </w:tcPr>
          <w:p w14:paraId="564EE8C1" w14:textId="77777777" w:rsidR="001A0B09"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1A0B09" w:rsidRDefault="001A0B09">
            <w:pPr>
              <w:pStyle w:val="TableParagraph"/>
              <w:spacing w:before="9"/>
              <w:jc w:val="both"/>
              <w:rPr>
                <w:rFonts w:ascii="Times New Roman" w:eastAsia="Times New Roman" w:hAnsi="Times New Roman"/>
                <w:sz w:val="21"/>
                <w:szCs w:val="21"/>
              </w:rPr>
            </w:pPr>
          </w:p>
          <w:p w14:paraId="4A4B1624" w14:textId="77777777" w:rsidR="001A0B09"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Nadwyżka depozytów operacyjnych</w:t>
            </w:r>
          </w:p>
          <w:p w14:paraId="3D9D3114" w14:textId="77777777" w:rsidR="001A0B09" w:rsidRDefault="001A0B09">
            <w:pPr>
              <w:pStyle w:val="TableParagraph"/>
              <w:spacing w:before="9"/>
              <w:jc w:val="both"/>
              <w:rPr>
                <w:rFonts w:ascii="Times New Roman" w:eastAsia="Times New Roman" w:hAnsi="Times New Roman"/>
                <w:sz w:val="21"/>
                <w:szCs w:val="21"/>
              </w:rPr>
            </w:pPr>
          </w:p>
          <w:p w14:paraId="5270A97A" w14:textId="045BBD4F" w:rsidR="001A0B09"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Art. 27 ust. 4 rozporządzenia delegowanego (UE) 2015/61</w:t>
            </w:r>
          </w:p>
          <w:p w14:paraId="472285A9" w14:textId="77777777" w:rsidR="001A0B09" w:rsidRDefault="001A0B09">
            <w:pPr>
              <w:pStyle w:val="TableParagraph"/>
              <w:spacing w:before="9"/>
              <w:jc w:val="both"/>
              <w:rPr>
                <w:rFonts w:ascii="Times New Roman" w:eastAsia="Times New Roman" w:hAnsi="Times New Roman"/>
                <w:sz w:val="18"/>
                <w:szCs w:val="18"/>
              </w:rPr>
            </w:pPr>
          </w:p>
          <w:p w14:paraId="126E8428" w14:textId="5D75EC93" w:rsidR="001A0B09"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W tej sekcji instytucje kredytowe zgłaszają część depozytów operacyjnych przekraczającą kwotę wymaganą do świadczenia usług operacyjnych. </w:t>
            </w:r>
          </w:p>
        </w:tc>
      </w:tr>
      <w:tr w:rsidR="001A0B09" w14:paraId="3E407D02" w14:textId="77777777" w:rsidTr="00454544">
        <w:tc>
          <w:tcPr>
            <w:tcW w:w="1457" w:type="dxa"/>
            <w:shd w:val="clear" w:color="auto" w:fill="auto"/>
            <w:vAlign w:val="center"/>
          </w:tcPr>
          <w:p w14:paraId="4446A358" w14:textId="77777777" w:rsidR="001A0B09" w:rsidRDefault="006E48EA">
            <w:pPr>
              <w:pStyle w:val="TableParagraph"/>
              <w:spacing w:before="116"/>
              <w:ind w:left="135"/>
              <w:rPr>
                <w:rFonts w:ascii="Times New Roman" w:hAnsi="Times New Roman"/>
                <w:sz w:val="18"/>
              </w:rPr>
            </w:pPr>
            <w:r>
              <w:rPr>
                <w:rFonts w:ascii="Times New Roman" w:hAnsi="Times New Roman"/>
                <w:sz w:val="18"/>
              </w:rPr>
              <w:lastRenderedPageBreak/>
              <w:t>204</w:t>
            </w:r>
          </w:p>
        </w:tc>
        <w:tc>
          <w:tcPr>
            <w:tcW w:w="6946" w:type="dxa"/>
            <w:shd w:val="clear" w:color="auto" w:fill="auto"/>
          </w:tcPr>
          <w:p w14:paraId="64F552CA" w14:textId="77777777" w:rsidR="001A0B09" w:rsidRDefault="001A0B09">
            <w:pPr>
              <w:pStyle w:val="TableParagraph"/>
              <w:spacing w:before="9"/>
              <w:jc w:val="both"/>
              <w:rPr>
                <w:rFonts w:ascii="Times New Roman" w:eastAsia="Times New Roman" w:hAnsi="Times New Roman"/>
                <w:b/>
                <w:sz w:val="18"/>
                <w:szCs w:val="18"/>
              </w:rPr>
            </w:pPr>
          </w:p>
          <w:p w14:paraId="3275F7D6" w14:textId="77777777" w:rsidR="001A0B09"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depozyty klientów finansowych</w:t>
            </w:r>
          </w:p>
          <w:p w14:paraId="72B18828" w14:textId="77777777" w:rsidR="001A0B09" w:rsidRDefault="001A0B09">
            <w:pPr>
              <w:pStyle w:val="TableParagraph"/>
              <w:spacing w:before="9"/>
              <w:jc w:val="both"/>
              <w:rPr>
                <w:rFonts w:ascii="Times New Roman" w:eastAsia="Times New Roman" w:hAnsi="Times New Roman"/>
                <w:b/>
                <w:sz w:val="18"/>
                <w:szCs w:val="18"/>
              </w:rPr>
            </w:pPr>
          </w:p>
          <w:p w14:paraId="1FC1684F" w14:textId="5B059282" w:rsidR="001A0B09" w:rsidRDefault="006E48EA">
            <w:pPr>
              <w:pStyle w:val="TableParagraph"/>
              <w:jc w:val="both"/>
              <w:rPr>
                <w:rFonts w:ascii="Times New Roman" w:eastAsia="Verdana" w:hAnsi="Times New Roman"/>
                <w:sz w:val="18"/>
                <w:szCs w:val="18"/>
              </w:rPr>
            </w:pPr>
            <w:r>
              <w:rPr>
                <w:rFonts w:ascii="Times New Roman" w:hAnsi="Times New Roman"/>
                <w:sz w:val="18"/>
              </w:rPr>
              <w:t>Art. 27 ust. 4 i art. 31a ust. 1 rozporządzenia delegowanego (UE) 2015/61</w:t>
            </w:r>
          </w:p>
          <w:p w14:paraId="59CB6940" w14:textId="77777777" w:rsidR="001A0B09" w:rsidRDefault="001A0B09">
            <w:pPr>
              <w:pStyle w:val="TableParagraph"/>
              <w:spacing w:before="9"/>
              <w:jc w:val="both"/>
              <w:rPr>
                <w:rFonts w:ascii="Times New Roman" w:eastAsia="Times New Roman" w:hAnsi="Times New Roman"/>
                <w:sz w:val="24"/>
                <w:szCs w:val="24"/>
              </w:rPr>
            </w:pPr>
          </w:p>
          <w:p w14:paraId="6B91B22F" w14:textId="462B10D3" w:rsidR="001A0B09" w:rsidRDefault="006E48EA">
            <w:pPr>
              <w:pStyle w:val="TableParagraph"/>
              <w:ind w:right="96"/>
              <w:jc w:val="both"/>
              <w:rPr>
                <w:rFonts w:ascii="Times New Roman" w:eastAsia="Verdana" w:hAnsi="Times New Roman"/>
                <w:sz w:val="18"/>
                <w:szCs w:val="18"/>
              </w:rPr>
            </w:pPr>
            <w:r>
              <w:rPr>
                <w:rFonts w:ascii="Times New Roman" w:hAnsi="Times New Roman"/>
                <w:sz w:val="18"/>
              </w:rPr>
              <w:t>W tej sekcji instytucje kredytowe zgłaszają część depozytów operacyjnych od klientów finansowych</w:t>
            </w:r>
            <w:r>
              <w:rPr>
                <w:rFonts w:ascii="Times New Roman" w:hAnsi="Times New Roman"/>
                <w:sz w:val="18"/>
                <w:szCs w:val="18"/>
              </w:rPr>
              <w:t xml:space="preserve"> </w:t>
            </w:r>
            <w:r>
              <w:rPr>
                <w:rFonts w:ascii="Times New Roman" w:hAnsi="Times New Roman"/>
                <w:sz w:val="18"/>
              </w:rPr>
              <w:t>przekraczającą środki wymagane na świadczenie usług operacyjnych zgodnie z art. 27 ust. 4 rozporządzenia delegowanego (UE) 2015/61.</w:t>
            </w:r>
          </w:p>
          <w:p w14:paraId="4F6DB188" w14:textId="77777777" w:rsidR="001A0B09" w:rsidRDefault="001A0B09">
            <w:pPr>
              <w:pStyle w:val="TableParagraph"/>
              <w:spacing w:before="9"/>
              <w:jc w:val="both"/>
              <w:rPr>
                <w:rFonts w:ascii="Times New Roman" w:eastAsia="Times New Roman" w:hAnsi="Times New Roman"/>
                <w:b/>
                <w:sz w:val="18"/>
                <w:szCs w:val="18"/>
              </w:rPr>
            </w:pPr>
          </w:p>
        </w:tc>
      </w:tr>
      <w:tr w:rsidR="001A0B09" w14:paraId="1CC0D2C2" w14:textId="77777777" w:rsidTr="00454544">
        <w:tc>
          <w:tcPr>
            <w:tcW w:w="1457" w:type="dxa"/>
            <w:shd w:val="clear" w:color="auto" w:fill="auto"/>
            <w:vAlign w:val="center"/>
          </w:tcPr>
          <w:p w14:paraId="4B087DF5" w14:textId="77777777" w:rsidR="001A0B09" w:rsidRDefault="006E48EA">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1A0B09" w:rsidRDefault="006E48EA">
            <w:pPr>
              <w:widowControl w:val="0"/>
              <w:spacing w:before="9" w:after="0"/>
              <w:rPr>
                <w:rFonts w:ascii="Times New Roman" w:hAnsi="Times New Roman"/>
                <w:b/>
                <w:sz w:val="18"/>
                <w:szCs w:val="18"/>
              </w:rPr>
            </w:pPr>
            <w:r>
              <w:rPr>
                <w:rFonts w:ascii="Times New Roman" w:hAnsi="Times New Roman"/>
                <w:b/>
                <w:sz w:val="18"/>
                <w:szCs w:val="18"/>
              </w:rPr>
              <w:t>1.1.3.2. depozyty innych klientów</w:t>
            </w:r>
          </w:p>
          <w:p w14:paraId="49171E6A" w14:textId="77777777" w:rsidR="001A0B09" w:rsidRDefault="001A0B09">
            <w:pPr>
              <w:widowControl w:val="0"/>
              <w:spacing w:before="9" w:after="0"/>
              <w:rPr>
                <w:rFonts w:ascii="Times New Roman" w:hAnsi="Times New Roman"/>
                <w:b/>
                <w:sz w:val="18"/>
                <w:szCs w:val="18"/>
              </w:rPr>
            </w:pPr>
          </w:p>
          <w:p w14:paraId="16F6B1C9" w14:textId="645D5FC3" w:rsidR="001A0B09" w:rsidRDefault="006E48EA">
            <w:pPr>
              <w:widowControl w:val="0"/>
              <w:spacing w:after="0"/>
              <w:rPr>
                <w:rFonts w:ascii="Times New Roman" w:eastAsia="Verdana" w:hAnsi="Times New Roman"/>
                <w:sz w:val="18"/>
                <w:szCs w:val="18"/>
              </w:rPr>
            </w:pPr>
            <w:r>
              <w:rPr>
                <w:rFonts w:ascii="Times New Roman" w:hAnsi="Times New Roman"/>
                <w:sz w:val="18"/>
              </w:rPr>
              <w:t>Art. 27 ust. 4 i art. 28 ust. 1 rozporządzenia delegowanego (UE) 2015/61</w:t>
            </w:r>
          </w:p>
          <w:p w14:paraId="110F275E" w14:textId="77777777" w:rsidR="001A0B09" w:rsidRDefault="001A0B09">
            <w:pPr>
              <w:widowControl w:val="0"/>
              <w:spacing w:before="9" w:after="0"/>
              <w:rPr>
                <w:rFonts w:ascii="Times New Roman" w:hAnsi="Times New Roman"/>
                <w:sz w:val="24"/>
              </w:rPr>
            </w:pPr>
          </w:p>
          <w:p w14:paraId="0D65EF3C" w14:textId="0E67B3E5" w:rsidR="001A0B09" w:rsidRDefault="006E48EA">
            <w:pPr>
              <w:widowControl w:val="0"/>
              <w:spacing w:after="0"/>
              <w:ind w:right="96"/>
              <w:rPr>
                <w:rFonts w:ascii="Times New Roman" w:eastAsia="Verdana" w:hAnsi="Times New Roman"/>
                <w:sz w:val="18"/>
                <w:szCs w:val="18"/>
              </w:rPr>
            </w:pPr>
            <w:r>
              <w:rPr>
                <w:rFonts w:ascii="Times New Roman" w:hAnsi="Times New Roman"/>
                <w:sz w:val="18"/>
              </w:rPr>
              <w:t>W tej sekcji instytucje kredytowe zgłaszają część depozytów operacyjnych, z wyłączeniem depozytów detalicznych, od klientów innych niż klienci finansowi przekraczającą środki wymagane na świadczenie usług operacyjnych zgodnie z ostatnim zdaniem art. 27 ust. 4 rozporządzenia delegowanego (UE) 2015/61.</w:t>
            </w:r>
          </w:p>
          <w:p w14:paraId="1A97791C" w14:textId="77777777" w:rsidR="001A0B09" w:rsidRDefault="001A0B09">
            <w:pPr>
              <w:pStyle w:val="TableParagraph"/>
              <w:spacing w:before="9"/>
              <w:jc w:val="both"/>
              <w:rPr>
                <w:rFonts w:ascii="Times New Roman" w:eastAsia="Times New Roman" w:hAnsi="Times New Roman"/>
                <w:b/>
                <w:sz w:val="18"/>
                <w:szCs w:val="18"/>
              </w:rPr>
            </w:pPr>
          </w:p>
          <w:p w14:paraId="400DF65F" w14:textId="16C72B21" w:rsidR="001A0B09"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Wspomnianą nadwyżkę depozytów operacyjnych zgłasza się w dwóch różnych wierszach, w zależności od tego, czy pełna kwota nadwyżki depozytu operacyjnego jest chroniona (systemem gwarantowania depozytów lub równoważnym systemem gwarantowania depozytów w państwie trzecim).</w:t>
            </w:r>
          </w:p>
          <w:p w14:paraId="72B17420" w14:textId="77777777" w:rsidR="001A0B09" w:rsidRDefault="001A0B09">
            <w:pPr>
              <w:pStyle w:val="TableParagraph"/>
              <w:spacing w:before="9"/>
              <w:jc w:val="both"/>
              <w:rPr>
                <w:rFonts w:ascii="Times New Roman" w:eastAsia="Times New Roman" w:hAnsi="Times New Roman"/>
                <w:b/>
                <w:sz w:val="18"/>
                <w:szCs w:val="18"/>
              </w:rPr>
            </w:pPr>
          </w:p>
        </w:tc>
      </w:tr>
      <w:tr w:rsidR="001A0B09" w14:paraId="551BCFA8" w14:textId="77777777" w:rsidTr="00454544">
        <w:tc>
          <w:tcPr>
            <w:tcW w:w="1457" w:type="dxa"/>
            <w:shd w:val="clear" w:color="auto" w:fill="auto"/>
            <w:vAlign w:val="center"/>
          </w:tcPr>
          <w:p w14:paraId="2C621BF1" w14:textId="77777777" w:rsidR="001A0B09"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1A0B09" w:rsidRDefault="006E48EA">
            <w:pPr>
              <w:pStyle w:val="TableParagraph"/>
              <w:jc w:val="both"/>
              <w:rPr>
                <w:rFonts w:ascii="Times New Roman" w:eastAsia="Verdana" w:hAnsi="Times New Roman"/>
                <w:sz w:val="18"/>
                <w:szCs w:val="18"/>
              </w:rPr>
            </w:pPr>
            <w:r>
              <w:rPr>
                <w:rFonts w:ascii="Times New Roman" w:hAnsi="Times New Roman"/>
                <w:b/>
                <w:sz w:val="18"/>
                <w:u w:color="000000"/>
              </w:rPr>
              <w:t>1.1.3.2.1. objęte systemem gwarantowania depozytów</w:t>
            </w:r>
          </w:p>
          <w:p w14:paraId="2BA865F6" w14:textId="77777777" w:rsidR="001A0B09" w:rsidRDefault="001A0B09">
            <w:pPr>
              <w:pStyle w:val="TableParagraph"/>
              <w:spacing w:before="9"/>
              <w:jc w:val="both"/>
              <w:rPr>
                <w:rFonts w:ascii="Times New Roman" w:eastAsia="Times New Roman" w:hAnsi="Times New Roman"/>
                <w:sz w:val="24"/>
                <w:szCs w:val="24"/>
              </w:rPr>
            </w:pPr>
          </w:p>
          <w:p w14:paraId="765C4BCE" w14:textId="63343BF8" w:rsidR="001A0B09" w:rsidRDefault="006E48EA">
            <w:pPr>
              <w:pStyle w:val="TableParagraph"/>
              <w:jc w:val="both"/>
              <w:rPr>
                <w:rFonts w:ascii="Times New Roman" w:eastAsia="Verdana" w:hAnsi="Times New Roman"/>
                <w:sz w:val="18"/>
                <w:szCs w:val="18"/>
              </w:rPr>
            </w:pPr>
            <w:r>
              <w:rPr>
                <w:rFonts w:ascii="Times New Roman" w:hAnsi="Times New Roman"/>
                <w:sz w:val="18"/>
              </w:rPr>
              <w:t>Art. 27 ust. 4 i art. 28 ust. 1 rozporządzenia delegowanego (UE) 2015/61</w:t>
            </w:r>
          </w:p>
          <w:p w14:paraId="4DD51BF1" w14:textId="77777777" w:rsidR="001A0B09" w:rsidRDefault="001A0B09">
            <w:pPr>
              <w:pStyle w:val="TableParagraph"/>
              <w:spacing w:before="9"/>
              <w:jc w:val="both"/>
              <w:rPr>
                <w:rFonts w:ascii="Times New Roman" w:eastAsia="Times New Roman" w:hAnsi="Times New Roman"/>
                <w:sz w:val="24"/>
                <w:szCs w:val="24"/>
              </w:rPr>
            </w:pPr>
          </w:p>
          <w:p w14:paraId="039DBB01" w14:textId="4BFC3249" w:rsidR="001A0B09"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Instytucje kredytowe zgłaszają pełną kwotę salda zobowiązań z tytułu tych nadwyżek depozytów operacyjnych utrzymywanych przez innych klientów, jeżeli wspomniana pełna kwota jest objęta systemem gwarancji depozytów zgodnie z dyrektywą 94/19/WE lub dyrektywą 2014/48/WE lub równoważnym systemem gwarantowania depozytów w państwie trzecim, o którym mowa w art. 28 ust. 1 rozporządzenia delegowanego (UE) 2015/61.</w:t>
            </w:r>
          </w:p>
        </w:tc>
      </w:tr>
      <w:tr w:rsidR="001A0B09" w14:paraId="4DD14BD3" w14:textId="77777777" w:rsidTr="00454544">
        <w:tc>
          <w:tcPr>
            <w:tcW w:w="1457" w:type="dxa"/>
            <w:shd w:val="clear" w:color="auto" w:fill="auto"/>
            <w:vAlign w:val="center"/>
          </w:tcPr>
          <w:p w14:paraId="26FA4603" w14:textId="77777777" w:rsidR="001A0B09"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1A0B09" w:rsidRDefault="006E48EA">
            <w:pPr>
              <w:pStyle w:val="TableParagraph"/>
              <w:jc w:val="both"/>
              <w:rPr>
                <w:rFonts w:ascii="Times New Roman" w:eastAsia="Verdana" w:hAnsi="Times New Roman"/>
                <w:sz w:val="18"/>
                <w:szCs w:val="18"/>
              </w:rPr>
            </w:pPr>
            <w:r>
              <w:rPr>
                <w:rFonts w:ascii="Times New Roman" w:hAnsi="Times New Roman"/>
                <w:b/>
                <w:sz w:val="18"/>
                <w:u w:color="000000"/>
              </w:rPr>
              <w:t>1.1.3.2.2. nieobjęte systemem gwarantowania depozytów</w:t>
            </w:r>
          </w:p>
          <w:p w14:paraId="7DF5A23F" w14:textId="77777777" w:rsidR="001A0B09" w:rsidRDefault="001A0B09">
            <w:pPr>
              <w:pStyle w:val="TableParagraph"/>
              <w:spacing w:before="9"/>
              <w:jc w:val="both"/>
              <w:rPr>
                <w:rFonts w:ascii="Times New Roman" w:eastAsia="Times New Roman" w:hAnsi="Times New Roman"/>
                <w:sz w:val="24"/>
                <w:szCs w:val="24"/>
              </w:rPr>
            </w:pPr>
          </w:p>
          <w:p w14:paraId="535E55CE" w14:textId="021414B7" w:rsidR="001A0B09" w:rsidRDefault="006E48EA">
            <w:pPr>
              <w:pStyle w:val="TableParagraph"/>
              <w:jc w:val="both"/>
              <w:rPr>
                <w:rFonts w:ascii="Times New Roman" w:eastAsia="Verdana" w:hAnsi="Times New Roman"/>
                <w:sz w:val="18"/>
                <w:szCs w:val="18"/>
              </w:rPr>
            </w:pPr>
            <w:r>
              <w:rPr>
                <w:rFonts w:ascii="Times New Roman" w:hAnsi="Times New Roman"/>
                <w:sz w:val="18"/>
              </w:rPr>
              <w:t>Art. 27 ust. 4 i art. 28 ust. 1 rozporządzenia delegowanego (UE) 2015/61</w:t>
            </w:r>
          </w:p>
          <w:p w14:paraId="650E90AE" w14:textId="77777777" w:rsidR="001A0B09" w:rsidRDefault="001A0B09">
            <w:pPr>
              <w:pStyle w:val="TableParagraph"/>
              <w:jc w:val="both"/>
              <w:rPr>
                <w:rFonts w:ascii="Times New Roman" w:eastAsia="Times New Roman" w:hAnsi="Times New Roman"/>
                <w:sz w:val="25"/>
                <w:szCs w:val="25"/>
              </w:rPr>
            </w:pPr>
          </w:p>
          <w:p w14:paraId="7AD16309" w14:textId="229CBF9D" w:rsidR="001A0B09" w:rsidRDefault="006E48EA">
            <w:pPr>
              <w:pStyle w:val="TableParagraph"/>
              <w:jc w:val="both"/>
              <w:rPr>
                <w:rFonts w:ascii="Times New Roman" w:hAnsi="Times New Roman"/>
                <w:b/>
                <w:sz w:val="18"/>
                <w:u w:color="000000"/>
              </w:rPr>
            </w:pPr>
            <w:r>
              <w:rPr>
                <w:rFonts w:ascii="Times New Roman" w:hAnsi="Times New Roman"/>
                <w:sz w:val="18"/>
              </w:rPr>
              <w:t>Instytucje kredytowe zgłaszają pełną kwotę salda zobowiązań z tytułu tych nadwyżek depozytów operacyjnych utrzymywanych przez innych klientów, jeżeli wspomniana pełna kwota nie jest objęta systemem gwarancji depozytów zgodnie z dyrektywą 94/19/WE lub dyrektywą 2014/48/WE lub równoważnym systemem gwarantowania depozytów w państwie trzecim, o którym mowa w art. 28 ust. 1 rozporządzenia delegowanego (UE) 2015/61.</w:t>
            </w:r>
          </w:p>
        </w:tc>
      </w:tr>
      <w:tr w:rsidR="001A0B09" w14:paraId="1DA0A304" w14:textId="77777777" w:rsidTr="00454544">
        <w:tc>
          <w:tcPr>
            <w:tcW w:w="1457" w:type="dxa"/>
            <w:shd w:val="clear" w:color="auto" w:fill="auto"/>
            <w:vAlign w:val="center"/>
          </w:tcPr>
          <w:p w14:paraId="7156CBB8"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1A0B09" w:rsidRDefault="001A0B09">
            <w:pPr>
              <w:pStyle w:val="TableParagraph"/>
              <w:spacing w:before="9"/>
              <w:jc w:val="both"/>
              <w:rPr>
                <w:rFonts w:ascii="Times New Roman" w:eastAsia="Times New Roman" w:hAnsi="Times New Roman"/>
                <w:sz w:val="21"/>
                <w:szCs w:val="21"/>
              </w:rPr>
            </w:pPr>
          </w:p>
          <w:p w14:paraId="03A85349" w14:textId="391E799F"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Depozyty nieoperacyjne</w:t>
            </w:r>
          </w:p>
          <w:p w14:paraId="6B8FD7CE" w14:textId="77777777" w:rsidR="001A0B09" w:rsidRDefault="001A0B09">
            <w:pPr>
              <w:pStyle w:val="TableParagraph"/>
              <w:spacing w:before="7"/>
              <w:jc w:val="both"/>
              <w:rPr>
                <w:rFonts w:ascii="Times New Roman" w:eastAsia="Times New Roman" w:hAnsi="Times New Roman"/>
                <w:sz w:val="24"/>
                <w:szCs w:val="24"/>
              </w:rPr>
            </w:pPr>
          </w:p>
          <w:p w14:paraId="0856F433" w14:textId="68C960B6"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 27 ust. 5, art. 28 ust. 1 i art. 31 ust. 9 rozporządzenia delegowanego (UE) 2015/61</w:t>
            </w:r>
          </w:p>
          <w:p w14:paraId="0AE2ED78" w14:textId="77777777" w:rsidR="001A0B09" w:rsidRDefault="001A0B09">
            <w:pPr>
              <w:pStyle w:val="TableParagraph"/>
              <w:spacing w:before="1"/>
              <w:jc w:val="both"/>
              <w:rPr>
                <w:rFonts w:ascii="Times New Roman" w:eastAsia="Times New Roman" w:hAnsi="Times New Roman"/>
              </w:rPr>
            </w:pPr>
          </w:p>
          <w:p w14:paraId="3EBCDD20" w14:textId="5F30D62C" w:rsidR="001A0B09" w:rsidRDefault="006E48EA">
            <w:pPr>
              <w:pStyle w:val="TableParagraph"/>
              <w:ind w:left="102" w:right="97"/>
              <w:jc w:val="both"/>
              <w:rPr>
                <w:rFonts w:ascii="Times New Roman" w:eastAsia="Verdana" w:hAnsi="Times New Roman"/>
                <w:sz w:val="18"/>
                <w:szCs w:val="18"/>
              </w:rPr>
            </w:pPr>
            <w:r>
              <w:rPr>
                <w:rFonts w:ascii="Times New Roman" w:hAnsi="Times New Roman"/>
                <w:sz w:val="18"/>
              </w:rPr>
              <w:t>W tej sekcji instytucje kredytowe zgłaszają depozyty niezabezpieczone, o których mowa w art. 28 ust. 1 rozporządzenia delegowanego (UE) 2015/61 i te powstałe w wyniku relacji w zakresie bankowości korespondenckiej lub świadczenia usług brokerskich, o których mowa w art. 27 ust. 5 rozporządzenia delegowanego (UE) 2015/61.</w:t>
            </w:r>
          </w:p>
          <w:p w14:paraId="6E7BE7DE" w14:textId="77777777" w:rsidR="001A0B09" w:rsidRDefault="001A0B09">
            <w:pPr>
              <w:pStyle w:val="TableParagraph"/>
              <w:spacing w:before="11"/>
              <w:jc w:val="both"/>
              <w:rPr>
                <w:rFonts w:ascii="Times New Roman" w:eastAsia="Times New Roman" w:hAnsi="Times New Roman"/>
                <w:sz w:val="18"/>
                <w:szCs w:val="18"/>
              </w:rPr>
            </w:pPr>
          </w:p>
          <w:p w14:paraId="227B2849" w14:textId="2C2CDB38" w:rsidR="001A0B09" w:rsidRDefault="006E48EA">
            <w:pPr>
              <w:pStyle w:val="TableParagraph"/>
              <w:ind w:left="102" w:right="96"/>
              <w:jc w:val="both"/>
              <w:rPr>
                <w:rFonts w:ascii="Times New Roman" w:hAnsi="Times New Roman"/>
                <w:sz w:val="18"/>
              </w:rPr>
            </w:pPr>
            <w:r>
              <w:rPr>
                <w:rFonts w:ascii="Times New Roman" w:hAnsi="Times New Roman"/>
                <w:sz w:val="18"/>
              </w:rPr>
              <w:t>Instytucje kredytowe zgłaszają oddzielnie, z wyjątkiem zobowiązań powstałych w wyniku relacji w zakresie bankowości korespondenckiej lub świadczenia usług brokerskich, o których mowa w art. 27 ust. 5 rozporządzenia delegowanego (UE) 2015/61, depozyty nieoperacyjne objęte oraz nieobjęte systemem gwarancji depozytów lub równoważnym systemem gwarantowania depozytów w państwie trzecim, jak określono w kolejnych pozycjach instrukcji.</w:t>
            </w:r>
          </w:p>
          <w:p w14:paraId="69C53D14" w14:textId="77777777" w:rsidR="001A0B09" w:rsidRDefault="001A0B09">
            <w:pPr>
              <w:pStyle w:val="TableParagraph"/>
              <w:ind w:left="102" w:right="96"/>
              <w:jc w:val="both"/>
              <w:rPr>
                <w:rFonts w:ascii="Times New Roman" w:hAnsi="Times New Roman"/>
                <w:sz w:val="18"/>
              </w:rPr>
            </w:pPr>
          </w:p>
          <w:p w14:paraId="4EC509D2" w14:textId="38C7D3E9" w:rsidR="001A0B09"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 xml:space="preserve">W tej sekcji nie zgłasza się części depozytów operacyjnych przekraczającej środki </w:t>
            </w:r>
            <w:r>
              <w:rPr>
                <w:rFonts w:ascii="Times New Roman" w:hAnsi="Times New Roman"/>
                <w:sz w:val="18"/>
                <w:szCs w:val="18"/>
              </w:rPr>
              <w:lastRenderedPageBreak/>
              <w:t>wymagane do świadczenia usług operacyjnych – taką część należy zgłosić w pozycji 1.1.3.</w:t>
            </w:r>
          </w:p>
          <w:p w14:paraId="7816AA28" w14:textId="77777777" w:rsidR="001A0B09" w:rsidRDefault="001A0B09">
            <w:pPr>
              <w:pStyle w:val="TableParagraph"/>
              <w:ind w:left="102" w:right="96"/>
              <w:jc w:val="both"/>
              <w:rPr>
                <w:rFonts w:ascii="Times New Roman" w:hAnsi="Times New Roman"/>
                <w:sz w:val="18"/>
              </w:rPr>
            </w:pPr>
          </w:p>
          <w:p w14:paraId="188ABDD0" w14:textId="77777777" w:rsidR="001A0B09" w:rsidRDefault="001A0B09">
            <w:pPr>
              <w:pStyle w:val="TableParagraph"/>
              <w:ind w:left="102" w:right="96"/>
              <w:jc w:val="both"/>
              <w:rPr>
                <w:rFonts w:ascii="Times New Roman" w:eastAsia="Verdana" w:hAnsi="Times New Roman"/>
                <w:sz w:val="18"/>
                <w:szCs w:val="18"/>
              </w:rPr>
            </w:pPr>
          </w:p>
        </w:tc>
      </w:tr>
      <w:tr w:rsidR="001A0B09" w14:paraId="46E8C9CD" w14:textId="77777777" w:rsidTr="00454544">
        <w:tc>
          <w:tcPr>
            <w:tcW w:w="1457" w:type="dxa"/>
            <w:shd w:val="clear" w:color="auto" w:fill="auto"/>
            <w:vAlign w:val="center"/>
          </w:tcPr>
          <w:p w14:paraId="369A8AC0" w14:textId="77777777" w:rsidR="001A0B09" w:rsidRDefault="006E48EA">
            <w:pPr>
              <w:pStyle w:val="TableParagraph"/>
              <w:spacing w:before="153"/>
              <w:ind w:left="135"/>
              <w:rPr>
                <w:rFonts w:ascii="Times New Roman" w:eastAsia="Verdana" w:hAnsi="Times New Roman"/>
                <w:sz w:val="18"/>
                <w:szCs w:val="18"/>
              </w:rPr>
            </w:pPr>
            <w:r>
              <w:rPr>
                <w:rFonts w:ascii="Times New Roman" w:hAnsi="Times New Roman"/>
                <w:sz w:val="18"/>
              </w:rPr>
              <w:lastRenderedPageBreak/>
              <w:t>220</w:t>
            </w:r>
          </w:p>
        </w:tc>
        <w:tc>
          <w:tcPr>
            <w:tcW w:w="6946" w:type="dxa"/>
            <w:shd w:val="clear" w:color="auto" w:fill="auto"/>
          </w:tcPr>
          <w:p w14:paraId="61C9A75D" w14:textId="77777777" w:rsidR="001A0B09" w:rsidRDefault="001A0B09">
            <w:pPr>
              <w:pStyle w:val="TableParagraph"/>
              <w:spacing w:before="9"/>
              <w:jc w:val="both"/>
              <w:rPr>
                <w:rFonts w:ascii="Times New Roman" w:eastAsia="Times New Roman" w:hAnsi="Times New Roman"/>
                <w:sz w:val="21"/>
                <w:szCs w:val="21"/>
              </w:rPr>
            </w:pPr>
          </w:p>
          <w:p w14:paraId="10267CCB" w14:textId="07754A7C" w:rsidR="001A0B09"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1.1.4.1. depozyty powstałe w wyniku bankowości korespondenckiej i świadczenia usług</w:t>
            </w:r>
            <w:r>
              <w:rPr>
                <w:rFonts w:ascii="Times New Roman" w:hAnsi="Times New Roman"/>
                <w:b/>
                <w:sz w:val="18"/>
              </w:rPr>
              <w:t xml:space="preserve"> </w:t>
            </w:r>
            <w:r>
              <w:rPr>
                <w:rFonts w:ascii="Times New Roman" w:hAnsi="Times New Roman"/>
                <w:b/>
                <w:sz w:val="18"/>
                <w:u w:color="000000"/>
              </w:rPr>
              <w:t>brokerskich</w:t>
            </w:r>
          </w:p>
          <w:p w14:paraId="2F8E41B4" w14:textId="77777777" w:rsidR="001A0B09" w:rsidRDefault="001A0B09">
            <w:pPr>
              <w:pStyle w:val="TableParagraph"/>
              <w:spacing w:before="1"/>
              <w:jc w:val="both"/>
              <w:rPr>
                <w:rFonts w:ascii="Times New Roman" w:eastAsia="Times New Roman" w:hAnsi="Times New Roman"/>
              </w:rPr>
            </w:pPr>
          </w:p>
          <w:p w14:paraId="7F7B5494" w14:textId="65196364"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27 ust. 5 rozporządzenia delegowanego (UE) 2015/61</w:t>
            </w:r>
          </w:p>
          <w:p w14:paraId="3968A8D4" w14:textId="77777777" w:rsidR="001A0B09" w:rsidRDefault="001A0B09">
            <w:pPr>
              <w:pStyle w:val="TableParagraph"/>
              <w:jc w:val="both"/>
              <w:rPr>
                <w:rFonts w:ascii="Times New Roman" w:eastAsia="Times New Roman" w:hAnsi="Times New Roman"/>
                <w:sz w:val="25"/>
                <w:szCs w:val="25"/>
              </w:rPr>
            </w:pPr>
          </w:p>
          <w:p w14:paraId="7F21989D" w14:textId="0A2391E8" w:rsidR="001A0B09" w:rsidRDefault="006E48EA">
            <w:pPr>
              <w:pStyle w:val="TableParagraph"/>
              <w:ind w:left="102" w:right="96"/>
              <w:jc w:val="both"/>
              <w:rPr>
                <w:rFonts w:ascii="Times New Roman" w:eastAsia="Verdana" w:hAnsi="Times New Roman"/>
                <w:sz w:val="18"/>
                <w:szCs w:val="18"/>
              </w:rPr>
            </w:pPr>
            <w:r>
              <w:rPr>
                <w:rFonts w:ascii="Times New Roman" w:hAnsi="Times New Roman"/>
                <w:sz w:val="18"/>
              </w:rPr>
              <w:t>Instytucje kredytowe zgłaszają kwotę salda zobowiązań z tytułu depozytów powstałych w wyniku relacji w zakresie bankowości korespondenckiej lub świadczenia usług brokerskich, o których mowa w art. 27 ust. 5 rozporządzenia delegowanego (UE) 2015/61.</w:t>
            </w:r>
          </w:p>
        </w:tc>
      </w:tr>
      <w:tr w:rsidR="001A0B09" w14:paraId="2F54C1B9" w14:textId="77777777" w:rsidTr="00454544">
        <w:tc>
          <w:tcPr>
            <w:tcW w:w="1457" w:type="dxa"/>
            <w:shd w:val="clear" w:color="auto" w:fill="auto"/>
            <w:vAlign w:val="center"/>
          </w:tcPr>
          <w:p w14:paraId="6B92A698"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230</w:t>
            </w:r>
          </w:p>
        </w:tc>
        <w:tc>
          <w:tcPr>
            <w:tcW w:w="6946" w:type="dxa"/>
            <w:shd w:val="clear" w:color="auto" w:fill="auto"/>
          </w:tcPr>
          <w:p w14:paraId="740E0F59" w14:textId="77777777" w:rsidR="001A0B09" w:rsidRDefault="001A0B09">
            <w:pPr>
              <w:pStyle w:val="TableParagraph"/>
              <w:spacing w:before="9"/>
              <w:jc w:val="both"/>
              <w:rPr>
                <w:rFonts w:ascii="Times New Roman" w:eastAsia="Times New Roman" w:hAnsi="Times New Roman"/>
                <w:sz w:val="21"/>
                <w:szCs w:val="21"/>
              </w:rPr>
            </w:pPr>
          </w:p>
          <w:p w14:paraId="5A6FCC88" w14:textId="39B72AF9"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depozyty klientów finansowych</w:t>
            </w:r>
          </w:p>
          <w:p w14:paraId="0E065959" w14:textId="77777777" w:rsidR="001A0B09" w:rsidRDefault="001A0B09">
            <w:pPr>
              <w:pStyle w:val="TableParagraph"/>
              <w:spacing w:before="9"/>
              <w:jc w:val="both"/>
              <w:rPr>
                <w:rFonts w:ascii="Times New Roman" w:eastAsia="Times New Roman" w:hAnsi="Times New Roman"/>
                <w:sz w:val="24"/>
                <w:szCs w:val="24"/>
              </w:rPr>
            </w:pPr>
          </w:p>
          <w:p w14:paraId="249E59F0" w14:textId="65F91714"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31a ust. 1 rozporządzenia delegowanego (UE) 2015/61</w:t>
            </w:r>
          </w:p>
          <w:p w14:paraId="69ED2546" w14:textId="77777777" w:rsidR="001A0B09" w:rsidRDefault="001A0B09">
            <w:pPr>
              <w:pStyle w:val="TableParagraph"/>
              <w:spacing w:before="9"/>
              <w:jc w:val="both"/>
              <w:rPr>
                <w:rFonts w:ascii="Times New Roman" w:eastAsia="Times New Roman" w:hAnsi="Times New Roman"/>
                <w:sz w:val="24"/>
                <w:szCs w:val="24"/>
              </w:rPr>
            </w:pPr>
          </w:p>
          <w:p w14:paraId="49BBED82" w14:textId="6C944EE1" w:rsidR="001A0B09" w:rsidRDefault="006E48EA">
            <w:pPr>
              <w:pStyle w:val="TableParagraph"/>
              <w:ind w:left="102" w:right="96"/>
              <w:jc w:val="both"/>
              <w:rPr>
                <w:rFonts w:ascii="Times New Roman" w:eastAsia="Verdana" w:hAnsi="Times New Roman"/>
                <w:sz w:val="18"/>
                <w:szCs w:val="18"/>
              </w:rPr>
            </w:pPr>
            <w:r>
              <w:rPr>
                <w:rFonts w:ascii="Times New Roman" w:hAnsi="Times New Roman"/>
                <w:sz w:val="18"/>
              </w:rPr>
              <w:t>Instytucje kredytowe zgłaszają kwotę salda zobowiązań z tytułu depozytów utrzymywanych przez klientów finansowych w zakresie, w jakim nie są one uznawane za depozyty operacyjne zgodnie z art. 27 rozporządzenia delegowanego (UE) 2015/61.</w:t>
            </w:r>
          </w:p>
          <w:p w14:paraId="49937077" w14:textId="77777777" w:rsidR="001A0B09" w:rsidRDefault="001A0B09">
            <w:pPr>
              <w:pStyle w:val="TableParagraph"/>
              <w:spacing w:before="11"/>
              <w:jc w:val="both"/>
              <w:rPr>
                <w:rFonts w:ascii="Times New Roman" w:eastAsia="Times New Roman" w:hAnsi="Times New Roman"/>
                <w:sz w:val="18"/>
                <w:szCs w:val="18"/>
              </w:rPr>
            </w:pPr>
          </w:p>
          <w:p w14:paraId="384E4FB6" w14:textId="234B46BE" w:rsidR="001A0B09" w:rsidRDefault="001A0B09">
            <w:pPr>
              <w:pStyle w:val="TableParagraph"/>
              <w:ind w:left="102" w:right="96"/>
              <w:jc w:val="both"/>
              <w:rPr>
                <w:rFonts w:ascii="Times New Roman" w:eastAsia="Verdana" w:hAnsi="Times New Roman"/>
                <w:sz w:val="18"/>
                <w:szCs w:val="18"/>
              </w:rPr>
            </w:pPr>
          </w:p>
        </w:tc>
      </w:tr>
      <w:tr w:rsidR="001A0B09" w14:paraId="5A5F6A10" w14:textId="77777777" w:rsidTr="00454544">
        <w:tc>
          <w:tcPr>
            <w:tcW w:w="1457" w:type="dxa"/>
            <w:shd w:val="clear" w:color="auto" w:fill="auto"/>
            <w:vAlign w:val="center"/>
          </w:tcPr>
          <w:p w14:paraId="6198B06B"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1A0B09" w:rsidRDefault="001A0B09">
            <w:pPr>
              <w:pStyle w:val="TableParagraph"/>
              <w:spacing w:before="9"/>
              <w:jc w:val="both"/>
              <w:rPr>
                <w:rFonts w:ascii="Times New Roman" w:eastAsia="Times New Roman" w:hAnsi="Times New Roman"/>
                <w:sz w:val="21"/>
                <w:szCs w:val="21"/>
              </w:rPr>
            </w:pPr>
          </w:p>
          <w:p w14:paraId="6D03B3BF" w14:textId="1C084846"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depozyty innych klientów</w:t>
            </w:r>
          </w:p>
          <w:p w14:paraId="42139CD9" w14:textId="77777777" w:rsidR="001A0B09" w:rsidRDefault="001A0B09">
            <w:pPr>
              <w:pStyle w:val="TableParagraph"/>
              <w:spacing w:before="7"/>
              <w:jc w:val="both"/>
              <w:rPr>
                <w:rFonts w:ascii="Times New Roman" w:eastAsia="Times New Roman" w:hAnsi="Times New Roman"/>
                <w:sz w:val="24"/>
                <w:szCs w:val="24"/>
              </w:rPr>
            </w:pPr>
          </w:p>
          <w:p w14:paraId="0575116B" w14:textId="10A30B3F"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28 ust. 1 rozporządzenia delegowanego (UE) 2015/61</w:t>
            </w:r>
          </w:p>
          <w:p w14:paraId="7729EE84" w14:textId="77777777" w:rsidR="001A0B09" w:rsidRDefault="001A0B09">
            <w:pPr>
              <w:pStyle w:val="TableParagraph"/>
              <w:jc w:val="both"/>
              <w:rPr>
                <w:rFonts w:ascii="Times New Roman" w:eastAsia="Times New Roman" w:hAnsi="Times New Roman"/>
                <w:sz w:val="25"/>
                <w:szCs w:val="25"/>
              </w:rPr>
            </w:pPr>
          </w:p>
          <w:p w14:paraId="1EB02415" w14:textId="726FAD8B" w:rsidR="001A0B09" w:rsidRDefault="006E48EA">
            <w:pPr>
              <w:pStyle w:val="TableParagraph"/>
              <w:ind w:left="102" w:right="97"/>
              <w:jc w:val="both"/>
              <w:rPr>
                <w:rFonts w:ascii="Times New Roman" w:eastAsia="Verdana" w:hAnsi="Times New Roman"/>
                <w:sz w:val="18"/>
                <w:szCs w:val="18"/>
              </w:rPr>
            </w:pPr>
            <w:r>
              <w:rPr>
                <w:rFonts w:ascii="Times New Roman" w:hAnsi="Times New Roman"/>
                <w:sz w:val="18"/>
              </w:rPr>
              <w:t>Instytucje kredytowe zgłaszają depozyty utrzymywane przez innych klientów (innych niż klienci finansowi i klienci uwzględnieni jako detaliczni klienci depozytowi) zgodnie z art. 28 ust. 1 rozporządzenia delegowanego (UE) 2015/61 w zakresie, w jakim depozyty te nie są uznawane za depozyty operacyjne zgodnie z art. 27 rozporządzenia delegowanego (UE) 2015/61.</w:t>
            </w:r>
          </w:p>
          <w:p w14:paraId="66650348" w14:textId="77777777" w:rsidR="001A0B09" w:rsidRDefault="001A0B09">
            <w:pPr>
              <w:pStyle w:val="TableParagraph"/>
              <w:spacing w:before="11"/>
              <w:jc w:val="both"/>
              <w:rPr>
                <w:rFonts w:ascii="Times New Roman" w:eastAsia="Times New Roman" w:hAnsi="Times New Roman"/>
                <w:sz w:val="18"/>
                <w:szCs w:val="18"/>
              </w:rPr>
            </w:pPr>
          </w:p>
          <w:p w14:paraId="1002E6DD" w14:textId="06FE201A" w:rsidR="001A0B09"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Depozyty te zgłasza się w dwóch różnych wierszach, w zależności od tego, czy pełna kwota depozytu jest objęta (systemem gwarancji depozytów lub równoważnym systemem gwarantowania depozytów w państwie trzecim).</w:t>
            </w:r>
          </w:p>
        </w:tc>
      </w:tr>
      <w:tr w:rsidR="001A0B09" w14:paraId="7CF8932F" w14:textId="77777777" w:rsidTr="00454544">
        <w:tc>
          <w:tcPr>
            <w:tcW w:w="1457" w:type="dxa"/>
            <w:shd w:val="clear" w:color="auto" w:fill="auto"/>
            <w:vAlign w:val="center"/>
          </w:tcPr>
          <w:p w14:paraId="1974CBBB" w14:textId="77777777" w:rsidR="001A0B09"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1A0B09" w:rsidRDefault="001A0B09">
            <w:pPr>
              <w:pStyle w:val="TableParagraph"/>
              <w:spacing w:before="9"/>
              <w:jc w:val="both"/>
              <w:rPr>
                <w:rFonts w:ascii="Times New Roman" w:eastAsia="Times New Roman" w:hAnsi="Times New Roman"/>
                <w:sz w:val="21"/>
                <w:szCs w:val="21"/>
              </w:rPr>
            </w:pPr>
          </w:p>
          <w:p w14:paraId="340F165B" w14:textId="2577C791"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objęte systemem gwarantowania depozytów</w:t>
            </w:r>
          </w:p>
          <w:p w14:paraId="41D96A30" w14:textId="77777777" w:rsidR="001A0B09" w:rsidRDefault="001A0B09">
            <w:pPr>
              <w:pStyle w:val="TableParagraph"/>
              <w:spacing w:before="9"/>
              <w:jc w:val="both"/>
              <w:rPr>
                <w:rFonts w:ascii="Times New Roman" w:eastAsia="Times New Roman" w:hAnsi="Times New Roman"/>
                <w:sz w:val="24"/>
                <w:szCs w:val="24"/>
              </w:rPr>
            </w:pPr>
          </w:p>
          <w:p w14:paraId="4CCB9811" w14:textId="5E223D31"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28 ust. 1 rozporządzenia delegowanego (UE) 2015/61</w:t>
            </w:r>
          </w:p>
          <w:p w14:paraId="39959BD8" w14:textId="77777777" w:rsidR="001A0B09" w:rsidRDefault="001A0B09">
            <w:pPr>
              <w:pStyle w:val="TableParagraph"/>
              <w:spacing w:before="9"/>
              <w:jc w:val="both"/>
              <w:rPr>
                <w:rFonts w:ascii="Times New Roman" w:eastAsia="Times New Roman" w:hAnsi="Times New Roman"/>
                <w:sz w:val="24"/>
                <w:szCs w:val="24"/>
              </w:rPr>
            </w:pPr>
          </w:p>
          <w:p w14:paraId="3B8874E0" w14:textId="595A7454" w:rsidR="001A0B09" w:rsidRDefault="006E48EA">
            <w:pPr>
              <w:pStyle w:val="TableParagraph"/>
              <w:ind w:left="102" w:right="98"/>
              <w:jc w:val="both"/>
              <w:rPr>
                <w:rFonts w:ascii="Times New Roman" w:eastAsia="Verdana" w:hAnsi="Times New Roman"/>
                <w:sz w:val="18"/>
                <w:szCs w:val="18"/>
              </w:rPr>
            </w:pPr>
            <w:r>
              <w:rPr>
                <w:rFonts w:ascii="Times New Roman" w:hAnsi="Times New Roman"/>
                <w:sz w:val="18"/>
              </w:rPr>
              <w:t>Instytucje kredytowe zgłaszają pełną kwotę salda zobowiązań z tytułu tych depozytów utrzymywanych przez innych klientów, jeżeli wspomniana pełna kwota jest objęta systemem gwarancji depozytów zgodnie z dyrektywą 94/19/WE lub dyrektywą 2014/48/WE lub równoważnym systemem gwarantowania depozytów w państwie trzecim, o którym mowa w art. 28 ust. 1 rozporządzenia delegowanego (UE) 2015/61.</w:t>
            </w:r>
          </w:p>
        </w:tc>
      </w:tr>
      <w:tr w:rsidR="001A0B09" w14:paraId="38A29174" w14:textId="77777777" w:rsidTr="00454544">
        <w:tc>
          <w:tcPr>
            <w:tcW w:w="1457" w:type="dxa"/>
            <w:shd w:val="clear" w:color="auto" w:fill="auto"/>
            <w:vAlign w:val="center"/>
          </w:tcPr>
          <w:p w14:paraId="67335BCC" w14:textId="77777777" w:rsidR="001A0B09"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1A0B09" w:rsidRDefault="001A0B09">
            <w:pPr>
              <w:pStyle w:val="TableParagraph"/>
              <w:spacing w:before="9"/>
              <w:jc w:val="both"/>
              <w:rPr>
                <w:rFonts w:ascii="Times New Roman" w:eastAsia="Times New Roman" w:hAnsi="Times New Roman"/>
                <w:sz w:val="21"/>
                <w:szCs w:val="21"/>
              </w:rPr>
            </w:pPr>
          </w:p>
          <w:p w14:paraId="440F7A4B" w14:textId="65DEB354"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nieobjęte systemem gwarantowania depozytów</w:t>
            </w:r>
          </w:p>
          <w:p w14:paraId="20D35C0D" w14:textId="77777777" w:rsidR="001A0B09" w:rsidRDefault="001A0B09">
            <w:pPr>
              <w:pStyle w:val="TableParagraph"/>
              <w:spacing w:before="9"/>
              <w:jc w:val="both"/>
              <w:rPr>
                <w:rFonts w:ascii="Times New Roman" w:eastAsia="Times New Roman" w:hAnsi="Times New Roman"/>
                <w:sz w:val="24"/>
                <w:szCs w:val="24"/>
              </w:rPr>
            </w:pPr>
          </w:p>
          <w:p w14:paraId="677F192A" w14:textId="247B0DF1"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28 ust. 1 rozporządzenia delegowanego (UE) 2015/61</w:t>
            </w:r>
          </w:p>
          <w:p w14:paraId="11F5542D" w14:textId="77777777" w:rsidR="001A0B09" w:rsidRDefault="001A0B09">
            <w:pPr>
              <w:pStyle w:val="TableParagraph"/>
              <w:jc w:val="both"/>
              <w:rPr>
                <w:rFonts w:ascii="Times New Roman" w:eastAsia="Times New Roman" w:hAnsi="Times New Roman"/>
                <w:sz w:val="25"/>
                <w:szCs w:val="25"/>
              </w:rPr>
            </w:pPr>
          </w:p>
          <w:p w14:paraId="0BAAF5C1" w14:textId="3A27A49D" w:rsidR="001A0B09" w:rsidRDefault="006E48EA">
            <w:pPr>
              <w:pStyle w:val="TableParagraph"/>
              <w:ind w:left="102" w:right="98"/>
              <w:jc w:val="both"/>
              <w:rPr>
                <w:rFonts w:ascii="Times New Roman" w:eastAsia="Verdana" w:hAnsi="Times New Roman"/>
                <w:sz w:val="18"/>
                <w:szCs w:val="18"/>
              </w:rPr>
            </w:pPr>
            <w:r>
              <w:rPr>
                <w:rFonts w:ascii="Times New Roman" w:hAnsi="Times New Roman"/>
                <w:sz w:val="18"/>
              </w:rPr>
              <w:t>Instytucje kredytowe zgłaszają pełną kwotę salda zobowiązań z tytułu tych depozytów utrzymywanych przez innych klientów, jeżeli wspomniana pełna kwota nie jest objęta systemem gwarancji depozytów zgodnie z dyrektywą 94/19/WE lub dyrektywą 2014/48/WE lub równoważnym systemem gwarantowania depozytów w państwie trzecim, o którym mowa w art. 28 ust. 1 rozporządzenia delegowanego (UE) 2015/61.</w:t>
            </w:r>
          </w:p>
        </w:tc>
      </w:tr>
      <w:tr w:rsidR="001A0B09" w14:paraId="2E79F62F" w14:textId="77777777" w:rsidTr="00454544">
        <w:tc>
          <w:tcPr>
            <w:tcW w:w="1457" w:type="dxa"/>
            <w:shd w:val="clear" w:color="auto" w:fill="auto"/>
            <w:vAlign w:val="center"/>
          </w:tcPr>
          <w:p w14:paraId="4FB2ECA7"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1A0B09" w:rsidRDefault="001A0B09">
            <w:pPr>
              <w:pStyle w:val="TableParagraph"/>
              <w:spacing w:before="9"/>
              <w:jc w:val="both"/>
              <w:rPr>
                <w:rFonts w:ascii="Times New Roman" w:eastAsia="Times New Roman" w:hAnsi="Times New Roman"/>
                <w:sz w:val="21"/>
                <w:szCs w:val="21"/>
              </w:rPr>
            </w:pPr>
          </w:p>
          <w:p w14:paraId="550E0D97" w14:textId="2F721348"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Dodatkowe wypływy</w:t>
            </w:r>
          </w:p>
          <w:p w14:paraId="172C3A71" w14:textId="77777777" w:rsidR="001A0B09" w:rsidRDefault="001A0B09">
            <w:pPr>
              <w:pStyle w:val="TableParagraph"/>
              <w:spacing w:before="7"/>
              <w:jc w:val="both"/>
              <w:rPr>
                <w:rFonts w:ascii="Times New Roman" w:eastAsia="Times New Roman" w:hAnsi="Times New Roman"/>
                <w:sz w:val="24"/>
                <w:szCs w:val="24"/>
              </w:rPr>
            </w:pPr>
          </w:p>
          <w:p w14:paraId="16CAB9B3" w14:textId="1FD293C5"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rozporządzenia delegowanego (UE) 2015/61</w:t>
            </w:r>
          </w:p>
          <w:p w14:paraId="7A42C7CA" w14:textId="77777777" w:rsidR="001A0B09" w:rsidRDefault="001A0B09">
            <w:pPr>
              <w:pStyle w:val="TableParagraph"/>
              <w:spacing w:before="9"/>
              <w:jc w:val="both"/>
              <w:rPr>
                <w:rFonts w:ascii="Times New Roman" w:eastAsia="Times New Roman" w:hAnsi="Times New Roman"/>
                <w:sz w:val="24"/>
                <w:szCs w:val="24"/>
              </w:rPr>
            </w:pPr>
          </w:p>
          <w:p w14:paraId="13AA91EF" w14:textId="3A994537" w:rsidR="001A0B09"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W tej sekcji instytucje kredytowe zgłaszają dodatkowe wypływy, o których mowa w art. 30 rozporządzenia delegowanego (UE) 2015/61. </w:t>
            </w:r>
          </w:p>
          <w:p w14:paraId="1033CE31" w14:textId="550479E7" w:rsidR="001A0B09"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Depozytów otrzymanych jako zabezpieczenie, o których mowa w art. 30 ust. 7 rozporządzenia delegowanego (UE) 2015/61, nie uznaje się za zobowiązania do celów art. 24, 25, 27 lub 31a rozporządzenia delegowanego (UE) 2015/61, lecz w stosownych przypadkach podlegają one przepisom art. 30 ust. 1–6 rozporządzenia delegowanego (UE) 2015/61.</w:t>
            </w:r>
          </w:p>
        </w:tc>
      </w:tr>
      <w:tr w:rsidR="001A0B09" w14:paraId="7D5682FB" w14:textId="77777777" w:rsidTr="00454544">
        <w:tc>
          <w:tcPr>
            <w:tcW w:w="1457" w:type="dxa"/>
            <w:shd w:val="clear" w:color="auto" w:fill="auto"/>
            <w:vAlign w:val="center"/>
          </w:tcPr>
          <w:p w14:paraId="17E62E63"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280</w:t>
            </w:r>
          </w:p>
        </w:tc>
        <w:tc>
          <w:tcPr>
            <w:tcW w:w="6946" w:type="dxa"/>
            <w:shd w:val="clear" w:color="auto" w:fill="auto"/>
          </w:tcPr>
          <w:p w14:paraId="748E401D" w14:textId="77777777" w:rsidR="001A0B09" w:rsidRDefault="001A0B09">
            <w:pPr>
              <w:pStyle w:val="TableParagraph"/>
              <w:spacing w:before="9"/>
              <w:jc w:val="both"/>
              <w:rPr>
                <w:rFonts w:ascii="Times New Roman" w:eastAsia="Times New Roman" w:hAnsi="Times New Roman"/>
                <w:sz w:val="21"/>
                <w:szCs w:val="21"/>
              </w:rPr>
            </w:pPr>
          </w:p>
          <w:p w14:paraId="103E8290" w14:textId="16DE94F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zabezpieczenie inne niż zabezpieczenie aktywami poziomu 1 przekazane w odniesieniu do instrumentów pochodnych</w:t>
            </w:r>
          </w:p>
          <w:p w14:paraId="492382B0" w14:textId="77777777" w:rsidR="001A0B09" w:rsidRDefault="001A0B09">
            <w:pPr>
              <w:pStyle w:val="TableParagraph"/>
              <w:spacing w:before="7"/>
              <w:jc w:val="both"/>
              <w:rPr>
                <w:rFonts w:ascii="Times New Roman" w:eastAsia="Times New Roman" w:hAnsi="Times New Roman"/>
                <w:sz w:val="24"/>
                <w:szCs w:val="24"/>
              </w:rPr>
            </w:pPr>
          </w:p>
          <w:p w14:paraId="72597280" w14:textId="27C58137"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1 rozporządzenia delegowanego (UE) 2015/61</w:t>
            </w:r>
          </w:p>
          <w:p w14:paraId="6C8A8D29" w14:textId="77777777" w:rsidR="001A0B09" w:rsidRDefault="001A0B09">
            <w:pPr>
              <w:pStyle w:val="TableParagraph"/>
              <w:spacing w:before="9"/>
              <w:jc w:val="both"/>
              <w:rPr>
                <w:rFonts w:ascii="Times New Roman" w:eastAsia="Times New Roman" w:hAnsi="Times New Roman"/>
                <w:sz w:val="24"/>
                <w:szCs w:val="24"/>
              </w:rPr>
            </w:pPr>
          </w:p>
          <w:p w14:paraId="1A56570E" w14:textId="77777777"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Instytucje kredytowe zgłaszają wartość rynkową zabezpieczenia innego niż zabezpieczenie w postaci aktywów poziomu 1, które jest przekazywane w odniesieniu do umów wymienionych w załączniku II do rozporządzenia (UE) nr 575/2013 i kredytowych instrumentów pochodnych.</w:t>
            </w:r>
          </w:p>
        </w:tc>
      </w:tr>
      <w:tr w:rsidR="001A0B09" w14:paraId="7B090D4F" w14:textId="77777777" w:rsidTr="00454544">
        <w:tc>
          <w:tcPr>
            <w:tcW w:w="1457" w:type="dxa"/>
            <w:shd w:val="clear" w:color="auto" w:fill="auto"/>
            <w:vAlign w:val="center"/>
          </w:tcPr>
          <w:p w14:paraId="7AEBE1A6"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 zabezpieczenie aktywami poziomu 1 w postaci obligacji zabezpieczonych charakteryzujących się wyjątkowo wysoką jakością przekazane w odniesieniu do</w:t>
            </w:r>
            <w:r>
              <w:rPr>
                <w:rFonts w:ascii="Times New Roman" w:hAnsi="Times New Roman"/>
                <w:b/>
                <w:sz w:val="18"/>
              </w:rPr>
              <w:t xml:space="preserve"> </w:t>
            </w:r>
            <w:r>
              <w:rPr>
                <w:rFonts w:ascii="Times New Roman" w:hAnsi="Times New Roman"/>
                <w:b/>
                <w:sz w:val="18"/>
                <w:u w:color="000000"/>
              </w:rPr>
              <w:t>instrumentów pochodnych</w:t>
            </w:r>
          </w:p>
          <w:p w14:paraId="1C906BB4" w14:textId="77777777" w:rsidR="001A0B09" w:rsidRDefault="001A0B09">
            <w:pPr>
              <w:pStyle w:val="TableParagraph"/>
              <w:spacing w:before="11"/>
              <w:jc w:val="both"/>
              <w:rPr>
                <w:rFonts w:ascii="Times New Roman" w:eastAsia="Times New Roman" w:hAnsi="Times New Roman"/>
                <w:sz w:val="21"/>
                <w:szCs w:val="21"/>
              </w:rPr>
            </w:pPr>
          </w:p>
          <w:p w14:paraId="6B80942E" w14:textId="5EFADCD7"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1 rozporządzenia delegowanego (UE) 2015/61</w:t>
            </w:r>
          </w:p>
          <w:p w14:paraId="3EC1A6F7" w14:textId="77777777" w:rsidR="001A0B09" w:rsidRDefault="001A0B09">
            <w:pPr>
              <w:pStyle w:val="TableParagraph"/>
              <w:spacing w:before="7"/>
              <w:jc w:val="both"/>
              <w:rPr>
                <w:rFonts w:ascii="Times New Roman" w:eastAsia="Times New Roman" w:hAnsi="Times New Roman"/>
                <w:sz w:val="24"/>
                <w:szCs w:val="24"/>
              </w:rPr>
            </w:pPr>
          </w:p>
          <w:p w14:paraId="262F2E1E" w14:textId="77777777" w:rsidR="001A0B09"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Instytucje kredytowe zgłaszają wartość rynkową zabezpieczenia aktywami poziomu 1 w postaci obligacji zabezpieczonych charakteryzujących się wyjątkowo wysoką jakością, które jest przekazywane w odniesieniu do umów wymienionych w załączniku II do rozporządzenia (UE) nr 575/2013 i kredytowych instrumentów pochodnych.</w:t>
            </w:r>
          </w:p>
        </w:tc>
      </w:tr>
      <w:tr w:rsidR="001A0B09" w14:paraId="771D0809" w14:textId="77777777" w:rsidTr="00454544">
        <w:tc>
          <w:tcPr>
            <w:tcW w:w="1457" w:type="dxa"/>
            <w:shd w:val="clear" w:color="auto" w:fill="auto"/>
            <w:vAlign w:val="center"/>
          </w:tcPr>
          <w:p w14:paraId="25509CCB"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1A0B09" w:rsidRDefault="001A0B09">
            <w:pPr>
              <w:pStyle w:val="TableParagraph"/>
              <w:spacing w:before="9"/>
              <w:jc w:val="both"/>
              <w:rPr>
                <w:rFonts w:ascii="Times New Roman" w:eastAsia="Times New Roman" w:hAnsi="Times New Roman"/>
                <w:sz w:val="21"/>
                <w:szCs w:val="21"/>
              </w:rPr>
            </w:pPr>
          </w:p>
          <w:p w14:paraId="13FE1950" w14:textId="3656C7AB"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istotne wypływy spowodowane pogorszeniem własnej jakości kredytowej</w:t>
            </w:r>
          </w:p>
          <w:p w14:paraId="161DCFE2" w14:textId="77777777" w:rsidR="001A0B09" w:rsidRDefault="001A0B09">
            <w:pPr>
              <w:pStyle w:val="TableParagraph"/>
              <w:spacing w:before="7"/>
              <w:jc w:val="both"/>
              <w:rPr>
                <w:rFonts w:ascii="Times New Roman" w:eastAsia="Times New Roman" w:hAnsi="Times New Roman"/>
                <w:sz w:val="24"/>
                <w:szCs w:val="24"/>
              </w:rPr>
            </w:pPr>
          </w:p>
          <w:p w14:paraId="10BCBEF6" w14:textId="58F71758"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2 rozporządzenia delegowanego (UE) 2015/61</w:t>
            </w:r>
          </w:p>
          <w:p w14:paraId="33F69D23" w14:textId="77777777" w:rsidR="001A0B09" w:rsidRDefault="001A0B09">
            <w:pPr>
              <w:pStyle w:val="TableParagraph"/>
              <w:spacing w:before="9"/>
              <w:jc w:val="both"/>
              <w:rPr>
                <w:rFonts w:ascii="Times New Roman" w:eastAsia="Times New Roman" w:hAnsi="Times New Roman"/>
                <w:sz w:val="24"/>
                <w:szCs w:val="24"/>
              </w:rPr>
            </w:pPr>
          </w:p>
          <w:p w14:paraId="16F72348" w14:textId="4209D2D1" w:rsidR="001A0B09" w:rsidRDefault="006E48EA">
            <w:pPr>
              <w:pStyle w:val="TableParagraph"/>
              <w:spacing w:line="276" w:lineRule="auto"/>
              <w:ind w:left="135" w:right="97"/>
              <w:jc w:val="both"/>
              <w:rPr>
                <w:rFonts w:ascii="Times New Roman" w:hAnsi="Times New Roman"/>
                <w:sz w:val="18"/>
              </w:rPr>
            </w:pPr>
            <w:r>
              <w:rPr>
                <w:rFonts w:ascii="Times New Roman" w:hAnsi="Times New Roman"/>
                <w:sz w:val="18"/>
              </w:rPr>
              <w:t>Instytucje kredytowe zgłaszają całkowitą kwotę dodatkowych wypływów, którą obliczyły i zgłosiły właściwym organom zgodnie z art. 30 ust. 2 rozporządzenia delegowanego (UE) 2015/61.</w:t>
            </w:r>
          </w:p>
          <w:p w14:paraId="22113349" w14:textId="77777777" w:rsidR="001A0B09" w:rsidRDefault="001A0B09">
            <w:pPr>
              <w:pStyle w:val="TableParagraph"/>
              <w:spacing w:line="276" w:lineRule="auto"/>
              <w:ind w:left="135" w:right="97"/>
              <w:jc w:val="both"/>
              <w:rPr>
                <w:rFonts w:ascii="Times New Roman" w:hAnsi="Times New Roman"/>
                <w:sz w:val="18"/>
              </w:rPr>
            </w:pPr>
          </w:p>
          <w:p w14:paraId="08E93EDB" w14:textId="77777777"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Jeżeli kwota podlegająca wypływom z powodu pogorszenia własnej jakości kredytowej została zgłoszona w innym miejscu w wierszu o wadze mniejszej niż 100 %, wówczas kwotę zgłasza się także w wierszu 300, tak aby suma wypływów wynosiła 100 % wypływów ogółem w odniesieniu do transakcji.</w:t>
            </w:r>
          </w:p>
        </w:tc>
      </w:tr>
      <w:tr w:rsidR="001A0B09" w14:paraId="7AA97429" w14:textId="77777777" w:rsidTr="00454544">
        <w:tc>
          <w:tcPr>
            <w:tcW w:w="1457" w:type="dxa"/>
            <w:shd w:val="clear" w:color="auto" w:fill="auto"/>
            <w:vAlign w:val="center"/>
          </w:tcPr>
          <w:p w14:paraId="2FCA2F1E"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1A0B09" w:rsidRDefault="001A0B09">
            <w:pPr>
              <w:pStyle w:val="TableParagraph"/>
              <w:spacing w:before="9"/>
              <w:jc w:val="both"/>
              <w:rPr>
                <w:rFonts w:ascii="Times New Roman" w:eastAsia="Times New Roman" w:hAnsi="Times New Roman"/>
                <w:sz w:val="21"/>
                <w:szCs w:val="21"/>
              </w:rPr>
            </w:pPr>
          </w:p>
          <w:p w14:paraId="5AE1B268" w14:textId="2B25FD1B" w:rsidR="001A0B09"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1.1.5.4. wpływ scenariusza niekorzystnych warunków rynkowych na transakcje na</w:t>
            </w:r>
            <w:r>
              <w:rPr>
                <w:rFonts w:ascii="Times New Roman" w:hAnsi="Times New Roman"/>
                <w:b/>
                <w:sz w:val="18"/>
              </w:rPr>
              <w:t xml:space="preserve"> </w:t>
            </w:r>
            <w:r>
              <w:rPr>
                <w:rFonts w:ascii="Times New Roman" w:hAnsi="Times New Roman"/>
                <w:b/>
                <w:sz w:val="18"/>
                <w:u w:color="000000"/>
              </w:rPr>
              <w:t xml:space="preserve">instrumentach pochodnych </w:t>
            </w:r>
          </w:p>
          <w:p w14:paraId="1F861D38" w14:textId="77777777" w:rsidR="001A0B09" w:rsidRDefault="001A0B09">
            <w:pPr>
              <w:pStyle w:val="TableParagraph"/>
              <w:spacing w:before="11"/>
              <w:jc w:val="both"/>
              <w:rPr>
                <w:rFonts w:ascii="Times New Roman" w:eastAsia="Times New Roman" w:hAnsi="Times New Roman"/>
                <w:sz w:val="21"/>
                <w:szCs w:val="21"/>
              </w:rPr>
            </w:pPr>
          </w:p>
          <w:p w14:paraId="771BB439" w14:textId="0DE97611"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3 rozporządzenia delegowanego (UE) 2015/61</w:t>
            </w:r>
          </w:p>
          <w:p w14:paraId="7CDDE876" w14:textId="77777777" w:rsidR="001A0B09" w:rsidRDefault="001A0B09">
            <w:pPr>
              <w:pStyle w:val="TableParagraph"/>
              <w:spacing w:before="7"/>
              <w:jc w:val="both"/>
              <w:rPr>
                <w:rFonts w:ascii="Times New Roman" w:eastAsia="Times New Roman" w:hAnsi="Times New Roman"/>
                <w:sz w:val="24"/>
                <w:szCs w:val="24"/>
              </w:rPr>
            </w:pPr>
          </w:p>
          <w:p w14:paraId="682BFD83" w14:textId="68171EDB"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Instytucje kredytowe zgłaszają kwotę obliczonych wypływów zgodnie z rozporządzeniem delegowanym Komisji (UE) 2017/208.</w:t>
            </w:r>
          </w:p>
        </w:tc>
      </w:tr>
      <w:tr w:rsidR="001A0B09" w14:paraId="1DB8869A" w14:textId="77777777" w:rsidTr="00454544">
        <w:tc>
          <w:tcPr>
            <w:tcW w:w="1457" w:type="dxa"/>
            <w:shd w:val="clear" w:color="auto" w:fill="auto"/>
            <w:vAlign w:val="center"/>
          </w:tcPr>
          <w:p w14:paraId="3F778563" w14:textId="77777777" w:rsidR="001A0B09"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1A0B09" w:rsidRDefault="001A0B09">
            <w:pPr>
              <w:pStyle w:val="TableParagraph"/>
              <w:spacing w:before="9"/>
              <w:jc w:val="both"/>
              <w:rPr>
                <w:rFonts w:ascii="Times New Roman" w:eastAsia="Times New Roman" w:hAnsi="Times New Roman"/>
                <w:sz w:val="21"/>
                <w:szCs w:val="21"/>
              </w:rPr>
            </w:pPr>
          </w:p>
          <w:p w14:paraId="5C177DB3" w14:textId="0664434D" w:rsidR="001A0B09"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wypływy z tytułu instrumentów pochodnych</w:t>
            </w:r>
          </w:p>
          <w:p w14:paraId="0C3E13C6" w14:textId="77777777" w:rsidR="001A0B09" w:rsidRDefault="001A0B09">
            <w:pPr>
              <w:pStyle w:val="TableParagraph"/>
              <w:ind w:left="135"/>
              <w:jc w:val="both"/>
              <w:rPr>
                <w:rFonts w:ascii="Times New Roman" w:hAnsi="Times New Roman"/>
                <w:b/>
                <w:sz w:val="18"/>
                <w:u w:color="000000"/>
              </w:rPr>
            </w:pPr>
          </w:p>
          <w:p w14:paraId="44893AF1" w14:textId="08695F55"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4 rozporządzenia delegowanego (UE) 2015/61</w:t>
            </w:r>
          </w:p>
          <w:p w14:paraId="5FA7093D" w14:textId="77777777" w:rsidR="001A0B09" w:rsidRDefault="001A0B09">
            <w:pPr>
              <w:pStyle w:val="TableParagraph"/>
              <w:spacing w:before="9"/>
              <w:jc w:val="both"/>
              <w:rPr>
                <w:rFonts w:ascii="Times New Roman" w:eastAsia="Times New Roman" w:hAnsi="Times New Roman"/>
                <w:sz w:val="24"/>
                <w:szCs w:val="24"/>
              </w:rPr>
            </w:pPr>
          </w:p>
          <w:p w14:paraId="261A5343" w14:textId="4D7AE93D" w:rsidR="001A0B09"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Instytucje kredytowe zgłaszają kwotę wypływów oczekiwanych w perspektywie 30 dni kalendarzowych z tytułu umów wymienionych w załączniku II do rozporządzenia (UE) nr 575/2013 oraz z tytułu kredytowych instrumentów pochodnych obliczoną zgodnie z art. 21 rozporządzenia delegowanego (UE) 2015/61.</w:t>
            </w:r>
          </w:p>
          <w:p w14:paraId="5AF8EC9B" w14:textId="77777777" w:rsidR="001A0B09" w:rsidRDefault="001A0B09">
            <w:pPr>
              <w:pStyle w:val="TableParagraph"/>
              <w:jc w:val="both"/>
              <w:rPr>
                <w:rFonts w:ascii="Times New Roman" w:eastAsia="Times New Roman" w:hAnsi="Times New Roman"/>
              </w:rPr>
            </w:pPr>
          </w:p>
          <w:p w14:paraId="1A99EA26" w14:textId="4F76919A" w:rsidR="001A0B09" w:rsidRDefault="00C0334C">
            <w:pPr>
              <w:pStyle w:val="TableParagraph"/>
              <w:ind w:left="135"/>
              <w:jc w:val="both"/>
              <w:rPr>
                <w:rFonts w:ascii="Times New Roman" w:eastAsia="Verdana" w:hAnsi="Times New Roman"/>
                <w:sz w:val="18"/>
                <w:szCs w:val="18"/>
              </w:rPr>
            </w:pPr>
            <w:r>
              <w:rPr>
                <w:rFonts w:ascii="Times New Roman" w:hAnsi="Times New Roman"/>
                <w:sz w:val="18"/>
              </w:rPr>
              <w:t>W przypadkach sprawozdawczości w walucie podlegającej odrębnemu zgłoszeniu, zgodnie z art. 415 ust. 2 rozporządzenia (UE) nr 575/2013, instytucje kredytowe zgłaszają wypływy, które występują jedynie w tej określonej istotnej walucie. Kompensowanie w ramach kontrahenta można stosować wyłącznie do przepływów w tej określonej walucie np. przepływy kontrahenta A: +10 EUR i kontrahenta A: -20 EUR zgłasza się jako wypływ 10 EUR. Nie stosuje się kompensowania pomiędzy kontrahentami, np. przepływy kontrahenta A: -10 EUR i kontrahenta B: +40 EUR zgłasza się jako wypływ 10 EUR w formularzu C 73.00 (i wpływ 40 EUR w formularzu C 74.00).</w:t>
            </w:r>
          </w:p>
        </w:tc>
      </w:tr>
      <w:tr w:rsidR="001A0B09" w14:paraId="1DE29012" w14:textId="77777777" w:rsidTr="00454544">
        <w:tc>
          <w:tcPr>
            <w:tcW w:w="1457" w:type="dxa"/>
            <w:shd w:val="clear" w:color="auto" w:fill="auto"/>
            <w:vAlign w:val="center"/>
          </w:tcPr>
          <w:p w14:paraId="4B1090C5"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350</w:t>
            </w:r>
          </w:p>
        </w:tc>
        <w:tc>
          <w:tcPr>
            <w:tcW w:w="6946" w:type="dxa"/>
            <w:shd w:val="clear" w:color="auto" w:fill="auto"/>
          </w:tcPr>
          <w:p w14:paraId="558EB2B4" w14:textId="77777777" w:rsidR="001A0B09" w:rsidRDefault="001A0B09">
            <w:pPr>
              <w:pStyle w:val="TableParagraph"/>
              <w:spacing w:before="9"/>
              <w:jc w:val="both"/>
              <w:rPr>
                <w:rFonts w:ascii="Times New Roman" w:eastAsia="Times New Roman" w:hAnsi="Times New Roman"/>
                <w:sz w:val="21"/>
                <w:szCs w:val="21"/>
              </w:rPr>
            </w:pPr>
          </w:p>
          <w:p w14:paraId="5E6A74C3" w14:textId="12BC965E"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pozycje krótkie</w:t>
            </w:r>
          </w:p>
          <w:p w14:paraId="350E40B8" w14:textId="77777777" w:rsidR="001A0B09" w:rsidRDefault="001A0B09">
            <w:pPr>
              <w:pStyle w:val="TableParagraph"/>
              <w:spacing w:before="9"/>
              <w:jc w:val="both"/>
              <w:rPr>
                <w:rFonts w:ascii="Times New Roman" w:eastAsia="Times New Roman" w:hAnsi="Times New Roman"/>
                <w:sz w:val="24"/>
                <w:szCs w:val="24"/>
              </w:rPr>
            </w:pPr>
          </w:p>
          <w:p w14:paraId="7ED5B18D" w14:textId="7F52AD30"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 30 ust. 5 rozporządzenia delegowanego (UE) 2015/61</w:t>
            </w:r>
          </w:p>
          <w:p w14:paraId="67095ED6" w14:textId="77777777" w:rsidR="001A0B09" w:rsidRDefault="001A0B09">
            <w:pPr>
              <w:pStyle w:val="TableParagraph"/>
              <w:spacing w:before="11"/>
              <w:jc w:val="both"/>
              <w:rPr>
                <w:rFonts w:ascii="Times New Roman" w:eastAsia="Times New Roman" w:hAnsi="Times New Roman"/>
                <w:sz w:val="21"/>
                <w:szCs w:val="21"/>
              </w:rPr>
            </w:pPr>
          </w:p>
          <w:p w14:paraId="6D88383E" w14:textId="21CAF716"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Jeżeli instytucja kredytowa znajduje się w pozycji krótkiej objętej niezabezpieczoną pożyczką papierów wartościowych, instytucja kredytowa dodaje dodatkowy wypływ odpowiadający 100 % wartości rynkowej papierów wartościowych lub innych aktywów, które były przedmiotem krótkiej sprzedaży, chyba że instytucja kredytowa pożyczyła je na warunkach wymagających ich zwrotu dopiero po upływie 30 dni kalendarzowych. Jeżeli pozycja krótka objęta jest zabezpieczoną transakcją finansowania papierów wartościowych, instytucja kredytowa zakłada, że pozycja krótka zostanie utrzymana przez okres 30 dni kalendarzowych oraz że otrzyma wypływ w wysokości 0 %. </w:t>
            </w:r>
          </w:p>
        </w:tc>
      </w:tr>
      <w:tr w:rsidR="001A0B09" w14:paraId="0B66DCD0" w14:textId="77777777" w:rsidTr="00454544">
        <w:tc>
          <w:tcPr>
            <w:tcW w:w="1457" w:type="dxa"/>
            <w:shd w:val="clear" w:color="auto" w:fill="auto"/>
            <w:vAlign w:val="center"/>
          </w:tcPr>
          <w:p w14:paraId="17BDCB99"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360</w:t>
            </w:r>
          </w:p>
        </w:tc>
        <w:tc>
          <w:tcPr>
            <w:tcW w:w="6946" w:type="dxa"/>
            <w:shd w:val="clear" w:color="auto" w:fill="auto"/>
          </w:tcPr>
          <w:p w14:paraId="673863E1" w14:textId="77777777" w:rsidR="001A0B09" w:rsidRDefault="001A0B09">
            <w:pPr>
              <w:pStyle w:val="TableParagraph"/>
              <w:spacing w:before="9"/>
              <w:jc w:val="both"/>
              <w:rPr>
                <w:rFonts w:ascii="Times New Roman" w:eastAsia="Times New Roman" w:hAnsi="Times New Roman"/>
                <w:sz w:val="21"/>
                <w:szCs w:val="21"/>
              </w:rPr>
            </w:pPr>
          </w:p>
          <w:p w14:paraId="795C8A86" w14:textId="0275C902"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objęte zabezpieczonymi transakcjami finansowania papierów wartościowych</w:t>
            </w:r>
          </w:p>
          <w:p w14:paraId="6E3B2413" w14:textId="77777777" w:rsidR="001A0B09" w:rsidRDefault="001A0B09">
            <w:pPr>
              <w:pStyle w:val="TableParagraph"/>
              <w:spacing w:before="9"/>
              <w:jc w:val="both"/>
              <w:rPr>
                <w:rFonts w:ascii="Times New Roman" w:eastAsia="Times New Roman" w:hAnsi="Times New Roman"/>
                <w:sz w:val="24"/>
                <w:szCs w:val="24"/>
              </w:rPr>
            </w:pPr>
          </w:p>
          <w:p w14:paraId="6DE3CE3B" w14:textId="37D2CBE2"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5 rozporządzenia delegowanego (UE) 2015/61</w:t>
            </w:r>
          </w:p>
          <w:p w14:paraId="576BABD6" w14:textId="77777777" w:rsidR="001A0B09" w:rsidRDefault="001A0B09">
            <w:pPr>
              <w:pStyle w:val="TableParagraph"/>
              <w:jc w:val="both"/>
              <w:rPr>
                <w:rFonts w:ascii="Times New Roman" w:eastAsia="Times New Roman" w:hAnsi="Times New Roman"/>
                <w:sz w:val="18"/>
                <w:szCs w:val="18"/>
              </w:rPr>
            </w:pPr>
          </w:p>
          <w:p w14:paraId="58AC1B10" w14:textId="77777777" w:rsidR="001A0B09" w:rsidRDefault="001A0B09">
            <w:pPr>
              <w:pStyle w:val="TableParagraph"/>
              <w:spacing w:before="3"/>
              <w:jc w:val="both"/>
              <w:rPr>
                <w:rFonts w:ascii="Times New Roman" w:eastAsia="Times New Roman" w:hAnsi="Times New Roman"/>
                <w:sz w:val="17"/>
                <w:szCs w:val="17"/>
              </w:rPr>
            </w:pPr>
          </w:p>
          <w:p w14:paraId="5D972B59" w14:textId="2CE47E49" w:rsidR="001A0B09"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Instytucje kredytowe zgłaszają wartość rynkową papierów wartościowych lub innych aktywów, które były przedmiotem krótkiej sprzedaży, objętych zabezpieczonymi transakcjami finansowania papierów wartościowych, które mają zostać dostarczone w okresie 30 dni kalendarzowych, chyba że instytucja kredytowa pożyczyła je na warunkach wymagających ich zwrotu dopiero po upływie 30 dni kalendarzowych. </w:t>
            </w:r>
          </w:p>
        </w:tc>
      </w:tr>
      <w:tr w:rsidR="001A0B09" w14:paraId="5C7AFBB0" w14:textId="77777777" w:rsidTr="00454544">
        <w:tc>
          <w:tcPr>
            <w:tcW w:w="1457" w:type="dxa"/>
            <w:shd w:val="clear" w:color="auto" w:fill="auto"/>
            <w:vAlign w:val="center"/>
          </w:tcPr>
          <w:p w14:paraId="0431C51F"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1A0B09" w:rsidRDefault="001A0B09">
            <w:pPr>
              <w:pStyle w:val="TableParagraph"/>
              <w:spacing w:before="9"/>
              <w:jc w:val="both"/>
              <w:rPr>
                <w:rFonts w:ascii="Times New Roman" w:eastAsia="Times New Roman" w:hAnsi="Times New Roman"/>
                <w:sz w:val="21"/>
                <w:szCs w:val="21"/>
              </w:rPr>
            </w:pPr>
          </w:p>
          <w:p w14:paraId="0A8EAC5E" w14:textId="77D17A5C"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inne</w:t>
            </w:r>
          </w:p>
          <w:p w14:paraId="1E7742C7" w14:textId="77777777" w:rsidR="001A0B09" w:rsidRDefault="001A0B09">
            <w:pPr>
              <w:pStyle w:val="TableParagraph"/>
              <w:spacing w:before="9"/>
              <w:jc w:val="both"/>
              <w:rPr>
                <w:rFonts w:ascii="Times New Roman" w:eastAsia="Times New Roman" w:hAnsi="Times New Roman"/>
                <w:sz w:val="24"/>
                <w:szCs w:val="24"/>
              </w:rPr>
            </w:pPr>
          </w:p>
          <w:p w14:paraId="6049A1B6" w14:textId="54CD808C"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5 rozporządzenia delegowanego (UE) 2015/61</w:t>
            </w:r>
          </w:p>
          <w:p w14:paraId="03CD9FA8" w14:textId="77777777" w:rsidR="001A0B09" w:rsidRDefault="001A0B09">
            <w:pPr>
              <w:pStyle w:val="TableParagraph"/>
              <w:jc w:val="both"/>
              <w:rPr>
                <w:rFonts w:ascii="Times New Roman" w:eastAsia="Times New Roman" w:hAnsi="Times New Roman"/>
                <w:sz w:val="18"/>
                <w:szCs w:val="18"/>
              </w:rPr>
            </w:pPr>
          </w:p>
          <w:p w14:paraId="0272B006" w14:textId="77777777" w:rsidR="001A0B09" w:rsidRDefault="001A0B09">
            <w:pPr>
              <w:pStyle w:val="TableParagraph"/>
              <w:jc w:val="both"/>
              <w:rPr>
                <w:rFonts w:ascii="Times New Roman" w:eastAsia="Times New Roman" w:hAnsi="Times New Roman"/>
                <w:sz w:val="17"/>
                <w:szCs w:val="17"/>
              </w:rPr>
            </w:pPr>
          </w:p>
          <w:p w14:paraId="04D78E4E" w14:textId="6AC96661" w:rsidR="001A0B09" w:rsidRDefault="006E48EA">
            <w:pPr>
              <w:pStyle w:val="TableParagraph"/>
              <w:ind w:left="102"/>
              <w:jc w:val="both"/>
              <w:rPr>
                <w:rFonts w:ascii="Times New Roman" w:eastAsia="Verdana" w:hAnsi="Times New Roman"/>
                <w:sz w:val="18"/>
                <w:szCs w:val="18"/>
              </w:rPr>
            </w:pPr>
            <w:r>
              <w:rPr>
                <w:rFonts w:ascii="Times New Roman" w:hAnsi="Times New Roman"/>
                <w:sz w:val="18"/>
              </w:rPr>
              <w:t>Instytucje kredytowe zgłaszają wartość rynkową papierów wartościowych lub innych aktywów, które były przedmiotem krótkiej sprzedaży, innych niż te objęte zabezpieczonymi transakcjami finansowania papierów wartościowych, które mają zostać dostarczone w okresie 30 dni kalendarzowych, chyba że instytucja kredytowa pożyczyła je na warunkach wymagających ich zwrotu dopiero po upływie 30 dni kalendarzowych.</w:t>
            </w:r>
          </w:p>
        </w:tc>
      </w:tr>
      <w:tr w:rsidR="001A0B09" w14:paraId="2FD58D2E" w14:textId="77777777" w:rsidTr="00454544">
        <w:tc>
          <w:tcPr>
            <w:tcW w:w="1457" w:type="dxa"/>
            <w:shd w:val="clear" w:color="auto" w:fill="auto"/>
            <w:vAlign w:val="center"/>
          </w:tcPr>
          <w:p w14:paraId="751665FE"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1A0B09" w:rsidRDefault="001A0B09">
            <w:pPr>
              <w:pStyle w:val="TableParagraph"/>
              <w:spacing w:before="9"/>
              <w:jc w:val="both"/>
              <w:rPr>
                <w:rFonts w:ascii="Times New Roman" w:eastAsia="Times New Roman" w:hAnsi="Times New Roman"/>
                <w:sz w:val="21"/>
                <w:szCs w:val="21"/>
              </w:rPr>
            </w:pPr>
          </w:p>
          <w:p w14:paraId="61498D0D" w14:textId="4BBDE851"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nadwyżka zabezpieczenia wymagalna na żądanie</w:t>
            </w:r>
          </w:p>
          <w:p w14:paraId="5DB51632" w14:textId="77777777" w:rsidR="001A0B09" w:rsidRDefault="001A0B09">
            <w:pPr>
              <w:pStyle w:val="TableParagraph"/>
              <w:spacing w:before="9"/>
              <w:jc w:val="both"/>
              <w:rPr>
                <w:rFonts w:ascii="Times New Roman" w:eastAsia="Times New Roman" w:hAnsi="Times New Roman"/>
                <w:sz w:val="24"/>
                <w:szCs w:val="24"/>
              </w:rPr>
            </w:pPr>
          </w:p>
          <w:p w14:paraId="07215A47" w14:textId="2AE6D29D"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30 ust. 6 lit. a) rozporządzenia delegowanego (UE) 2015/61</w:t>
            </w:r>
          </w:p>
          <w:p w14:paraId="25910EAA" w14:textId="77777777" w:rsidR="001A0B09" w:rsidRDefault="001A0B09">
            <w:pPr>
              <w:pStyle w:val="TableParagraph"/>
              <w:spacing w:before="9"/>
              <w:jc w:val="both"/>
              <w:rPr>
                <w:rFonts w:ascii="Times New Roman" w:eastAsia="Times New Roman" w:hAnsi="Times New Roman"/>
                <w:sz w:val="24"/>
                <w:szCs w:val="24"/>
              </w:rPr>
            </w:pPr>
          </w:p>
          <w:p w14:paraId="48EC646D" w14:textId="77777777" w:rsidR="001A0B09"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Instytucje kredytowe zgłaszają wartość rynkową nadwyżki zabezpieczenia posiadanego przez daną instytucję i której to nadwyżki, na mocy umowy, kontrahent może w każdej chwili zażądać.</w:t>
            </w:r>
          </w:p>
        </w:tc>
      </w:tr>
      <w:tr w:rsidR="001A0B09" w14:paraId="4B587F73" w14:textId="77777777" w:rsidTr="00454544">
        <w:tc>
          <w:tcPr>
            <w:tcW w:w="1457" w:type="dxa"/>
            <w:shd w:val="clear" w:color="auto" w:fill="auto"/>
            <w:vAlign w:val="center"/>
          </w:tcPr>
          <w:p w14:paraId="2E95E08C"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1A0B09" w:rsidRDefault="001A0B09">
            <w:pPr>
              <w:pStyle w:val="TableParagraph"/>
              <w:spacing w:before="9"/>
              <w:jc w:val="both"/>
              <w:rPr>
                <w:rFonts w:ascii="Times New Roman" w:eastAsia="Times New Roman" w:hAnsi="Times New Roman"/>
                <w:sz w:val="21"/>
                <w:szCs w:val="21"/>
              </w:rPr>
            </w:pPr>
          </w:p>
          <w:p w14:paraId="56190725" w14:textId="4F864351"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zabezpieczenie należne kontrahentowi</w:t>
            </w:r>
          </w:p>
          <w:p w14:paraId="19340B1C" w14:textId="77777777" w:rsidR="001A0B09" w:rsidRDefault="001A0B09">
            <w:pPr>
              <w:pStyle w:val="TableParagraph"/>
              <w:spacing w:before="7"/>
              <w:jc w:val="both"/>
              <w:rPr>
                <w:rFonts w:ascii="Times New Roman" w:eastAsia="Times New Roman" w:hAnsi="Times New Roman"/>
                <w:sz w:val="24"/>
                <w:szCs w:val="24"/>
              </w:rPr>
            </w:pPr>
          </w:p>
          <w:p w14:paraId="7C9ADD87" w14:textId="23ED04EB"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30 ust. 6 lit. b) rozporządzenia delegowanego (UE) 2015/61</w:t>
            </w:r>
          </w:p>
          <w:p w14:paraId="5C317243" w14:textId="77777777" w:rsidR="001A0B09" w:rsidRDefault="001A0B09">
            <w:pPr>
              <w:pStyle w:val="TableParagraph"/>
              <w:spacing w:before="9"/>
              <w:jc w:val="both"/>
              <w:rPr>
                <w:rFonts w:ascii="Times New Roman" w:eastAsia="Times New Roman" w:hAnsi="Times New Roman"/>
                <w:sz w:val="24"/>
                <w:szCs w:val="24"/>
              </w:rPr>
            </w:pPr>
          </w:p>
          <w:p w14:paraId="6FF955AB" w14:textId="77777777"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Instytucje kredytowe zgłaszają wartość rynkową zabezpieczenia, które ma zostać przekazane kontrahentowi w ciągu 30 dni kalendarzowych.</w:t>
            </w:r>
          </w:p>
        </w:tc>
      </w:tr>
      <w:tr w:rsidR="001A0B09" w14:paraId="35BA0A86" w14:textId="77777777" w:rsidTr="00454544">
        <w:tc>
          <w:tcPr>
            <w:tcW w:w="1457" w:type="dxa"/>
            <w:shd w:val="clear" w:color="auto" w:fill="auto"/>
            <w:vAlign w:val="center"/>
          </w:tcPr>
          <w:p w14:paraId="1D1E4236"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400</w:t>
            </w:r>
          </w:p>
        </w:tc>
        <w:tc>
          <w:tcPr>
            <w:tcW w:w="6946" w:type="dxa"/>
            <w:shd w:val="clear" w:color="auto" w:fill="auto"/>
          </w:tcPr>
          <w:p w14:paraId="2CDEC685" w14:textId="77777777" w:rsidR="001A0B09" w:rsidRDefault="001A0B09">
            <w:pPr>
              <w:pStyle w:val="TableParagraph"/>
              <w:spacing w:before="9"/>
              <w:jc w:val="both"/>
              <w:rPr>
                <w:rFonts w:ascii="Times New Roman" w:eastAsia="Times New Roman" w:hAnsi="Times New Roman"/>
                <w:sz w:val="21"/>
                <w:szCs w:val="21"/>
              </w:rPr>
            </w:pPr>
          </w:p>
          <w:p w14:paraId="797298EE" w14:textId="6CD156BC"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zabezpieczenie aktywami płynnymi zastępowalne zabezpieczeniem aktywami niepłynnymi</w:t>
            </w:r>
          </w:p>
          <w:p w14:paraId="3C61E0A4" w14:textId="77777777" w:rsidR="001A0B09" w:rsidRDefault="001A0B09">
            <w:pPr>
              <w:pStyle w:val="TableParagraph"/>
              <w:spacing w:before="7"/>
              <w:jc w:val="both"/>
              <w:rPr>
                <w:rFonts w:ascii="Times New Roman" w:eastAsia="Times New Roman" w:hAnsi="Times New Roman"/>
                <w:sz w:val="24"/>
                <w:szCs w:val="24"/>
              </w:rPr>
            </w:pPr>
          </w:p>
          <w:p w14:paraId="11F3C8ED" w14:textId="4A70C20C"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30 ust. 6 lit. c) rozporządzenia delegowanego (UE) 2015/61</w:t>
            </w:r>
          </w:p>
          <w:p w14:paraId="506FDB4D" w14:textId="77777777" w:rsidR="001A0B09" w:rsidRDefault="001A0B09">
            <w:pPr>
              <w:pStyle w:val="TableParagraph"/>
              <w:spacing w:before="9"/>
              <w:jc w:val="both"/>
              <w:rPr>
                <w:rFonts w:ascii="Times New Roman" w:eastAsia="Times New Roman" w:hAnsi="Times New Roman"/>
                <w:sz w:val="24"/>
                <w:szCs w:val="24"/>
              </w:rPr>
            </w:pPr>
          </w:p>
          <w:p w14:paraId="6E3D0371" w14:textId="77777777" w:rsidR="001A0B0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Instytucje kredytowe zgłaszają wartość rynkową zabezpieczenia, które kwalifikuje się jako aktywa płynne do celów tytułu II, które można zastąpić przez aktywa odpowiadające aktywom, których nie można zakwalifikować jako aktywów płynnych do celów tytułu II bez zgody instytucji.</w:t>
            </w:r>
          </w:p>
        </w:tc>
      </w:tr>
      <w:tr w:rsidR="001A0B09" w14:paraId="61E65FD8" w14:textId="77777777" w:rsidTr="00454544">
        <w:tc>
          <w:tcPr>
            <w:tcW w:w="1457" w:type="dxa"/>
            <w:shd w:val="clear" w:color="auto" w:fill="auto"/>
            <w:vAlign w:val="center"/>
          </w:tcPr>
          <w:p w14:paraId="3D3295EA"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1A0B09" w:rsidRDefault="001A0B09">
            <w:pPr>
              <w:pStyle w:val="TableParagraph"/>
              <w:spacing w:before="9"/>
              <w:jc w:val="both"/>
              <w:rPr>
                <w:rFonts w:ascii="Times New Roman" w:eastAsia="Times New Roman" w:hAnsi="Times New Roman"/>
                <w:sz w:val="21"/>
                <w:szCs w:val="21"/>
              </w:rPr>
            </w:pPr>
          </w:p>
          <w:p w14:paraId="2742FE6E" w14:textId="35F9621C"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strata środków z tytułu działań związanych z instrumentami finansowymi będącymi wynikiem sekurytyzacji</w:t>
            </w:r>
          </w:p>
          <w:p w14:paraId="502784CC" w14:textId="77777777" w:rsidR="001A0B09" w:rsidRDefault="001A0B09">
            <w:pPr>
              <w:pStyle w:val="TableParagraph"/>
              <w:spacing w:before="9"/>
              <w:jc w:val="both"/>
              <w:rPr>
                <w:rFonts w:ascii="Times New Roman" w:eastAsia="Times New Roman" w:hAnsi="Times New Roman"/>
                <w:sz w:val="24"/>
                <w:szCs w:val="24"/>
              </w:rPr>
            </w:pPr>
          </w:p>
          <w:p w14:paraId="171E60DA" w14:textId="62D130D5"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8–10 rozporządzenia delegowanego (UE) 2015/61</w:t>
            </w:r>
          </w:p>
          <w:p w14:paraId="03763D67" w14:textId="77777777" w:rsidR="001A0B09" w:rsidRDefault="001A0B09">
            <w:pPr>
              <w:pStyle w:val="TableParagraph"/>
              <w:spacing w:before="7"/>
              <w:jc w:val="both"/>
              <w:rPr>
                <w:rFonts w:ascii="Times New Roman" w:eastAsia="Times New Roman" w:hAnsi="Times New Roman"/>
                <w:sz w:val="24"/>
                <w:szCs w:val="24"/>
              </w:rPr>
            </w:pPr>
          </w:p>
          <w:p w14:paraId="6A1E405A" w14:textId="77777777" w:rsidR="001A0B0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Instytucje kredytowe zakładają wypływ w wysokości 100 % w odniesieniu do straty środków z tytułu papierów wartościowych zabezpieczonych aktywami, obligacji zabezpieczonych i innych instrumentów finansowych będących wynikiem sekurytyzacji o terminie zapadalności przypadającym w ciągu 30 dni kalendarzowych, gdy dane instrumenty są emitowane przez instytucję kredytową lub przez spółki pośredniczące lub spółki celowe sponsorowane przez instytucję kredytową.</w:t>
            </w:r>
          </w:p>
          <w:p w14:paraId="2597B5C8" w14:textId="77777777" w:rsidR="001A0B09" w:rsidRDefault="001A0B09">
            <w:pPr>
              <w:pStyle w:val="TableParagraph"/>
              <w:spacing w:before="8"/>
              <w:jc w:val="both"/>
              <w:rPr>
                <w:rFonts w:ascii="Times New Roman" w:eastAsia="Times New Roman" w:hAnsi="Times New Roman"/>
                <w:sz w:val="21"/>
                <w:szCs w:val="21"/>
              </w:rPr>
            </w:pPr>
          </w:p>
          <w:p w14:paraId="48258183" w14:textId="77777777" w:rsidR="001A0B0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Instytucje kredytowe, które są dostawcami instrumentów wsparcia płynności powiązanych z programami finansowania zgłoszonymi w tej sekcji, nie muszą podwójnie liczyć wymagalnego instrumentu finansowania ani instrumentu wsparcia płynności w odniesieniu do programów skonsolidowanych.</w:t>
            </w:r>
          </w:p>
        </w:tc>
      </w:tr>
      <w:tr w:rsidR="001A0B09" w14:paraId="56B00F97" w14:textId="77777777" w:rsidTr="00454544">
        <w:tc>
          <w:tcPr>
            <w:tcW w:w="1457" w:type="dxa"/>
            <w:shd w:val="clear" w:color="auto" w:fill="auto"/>
            <w:vAlign w:val="center"/>
          </w:tcPr>
          <w:p w14:paraId="5DF7D8D4"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420</w:t>
            </w:r>
          </w:p>
        </w:tc>
        <w:tc>
          <w:tcPr>
            <w:tcW w:w="6946" w:type="dxa"/>
            <w:shd w:val="clear" w:color="auto" w:fill="auto"/>
          </w:tcPr>
          <w:p w14:paraId="0846246C" w14:textId="77777777" w:rsidR="001A0B09" w:rsidRDefault="001A0B09">
            <w:pPr>
              <w:pStyle w:val="TableParagraph"/>
              <w:spacing w:before="9"/>
              <w:jc w:val="both"/>
              <w:rPr>
                <w:rFonts w:ascii="Times New Roman" w:eastAsia="Times New Roman" w:hAnsi="Times New Roman"/>
                <w:sz w:val="21"/>
                <w:szCs w:val="21"/>
              </w:rPr>
            </w:pPr>
          </w:p>
          <w:p w14:paraId="05EFE9D4" w14:textId="3B3590BB"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instrumenty finansowe będące wynikiem sekurytyzacji</w:t>
            </w:r>
          </w:p>
          <w:p w14:paraId="5FEA0C08" w14:textId="77777777" w:rsidR="001A0B09" w:rsidRDefault="001A0B09">
            <w:pPr>
              <w:pStyle w:val="TableParagraph"/>
              <w:spacing w:before="7"/>
              <w:jc w:val="both"/>
              <w:rPr>
                <w:rFonts w:ascii="Times New Roman" w:eastAsia="Times New Roman" w:hAnsi="Times New Roman"/>
                <w:sz w:val="24"/>
                <w:szCs w:val="24"/>
              </w:rPr>
            </w:pPr>
          </w:p>
          <w:p w14:paraId="30DC7A94" w14:textId="0E4B397E"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8 rozporządzenia delegowanego (UE) 2015/61</w:t>
            </w:r>
          </w:p>
          <w:p w14:paraId="15575A48" w14:textId="77777777" w:rsidR="001A0B09" w:rsidRDefault="001A0B09">
            <w:pPr>
              <w:pStyle w:val="TableParagraph"/>
              <w:spacing w:before="9"/>
              <w:jc w:val="both"/>
              <w:rPr>
                <w:rFonts w:ascii="Times New Roman" w:eastAsia="Times New Roman" w:hAnsi="Times New Roman"/>
                <w:sz w:val="24"/>
                <w:szCs w:val="24"/>
              </w:rPr>
            </w:pPr>
          </w:p>
          <w:p w14:paraId="532F3FD1" w14:textId="77777777"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bieżącą pozostającą kwotę wymagalną własnych zobowiązań lub zobowiązań spółek pośredniczących lub spółek celowych sponsorowanych przez instytucję kredytową z tytułu papierów wartościowych zabezpieczonych aktywami, obligacji zabezpieczonych i innych instrumentów finansowych będących wynikiem sekurytyzacji o terminie zapadalności przypadającym w ciągu 30 dni kalendarzowych.</w:t>
            </w:r>
          </w:p>
        </w:tc>
      </w:tr>
      <w:tr w:rsidR="001A0B09" w14:paraId="3BFBECD5" w14:textId="77777777" w:rsidTr="00454544">
        <w:tc>
          <w:tcPr>
            <w:tcW w:w="1457" w:type="dxa"/>
            <w:shd w:val="clear" w:color="auto" w:fill="auto"/>
            <w:vAlign w:val="center"/>
          </w:tcPr>
          <w:p w14:paraId="3B52E574" w14:textId="77777777" w:rsidR="001A0B09"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1A0B09" w:rsidRDefault="001A0B09">
            <w:pPr>
              <w:pStyle w:val="TableParagraph"/>
              <w:spacing w:before="9"/>
              <w:jc w:val="both"/>
              <w:rPr>
                <w:rFonts w:ascii="Times New Roman" w:eastAsia="Times New Roman" w:hAnsi="Times New Roman"/>
                <w:sz w:val="21"/>
                <w:szCs w:val="21"/>
              </w:rPr>
            </w:pPr>
          </w:p>
          <w:p w14:paraId="12FA17A9" w14:textId="10FE377E"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instrumenty finansowania</w:t>
            </w:r>
          </w:p>
          <w:p w14:paraId="1F6A79DA" w14:textId="77777777" w:rsidR="001A0B09" w:rsidRDefault="001A0B09">
            <w:pPr>
              <w:pStyle w:val="TableParagraph"/>
              <w:spacing w:before="7"/>
              <w:jc w:val="both"/>
              <w:rPr>
                <w:rFonts w:ascii="Times New Roman" w:eastAsia="Times New Roman" w:hAnsi="Times New Roman"/>
                <w:sz w:val="24"/>
                <w:szCs w:val="24"/>
              </w:rPr>
            </w:pPr>
          </w:p>
          <w:p w14:paraId="52D1504C" w14:textId="6FA1419C"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9 rozporządzenia delegowanego (UE) 2015/61</w:t>
            </w:r>
          </w:p>
          <w:p w14:paraId="430264FA" w14:textId="77777777" w:rsidR="001A0B09" w:rsidRDefault="001A0B09">
            <w:pPr>
              <w:pStyle w:val="TableParagraph"/>
              <w:spacing w:before="9"/>
              <w:jc w:val="both"/>
              <w:rPr>
                <w:rFonts w:ascii="Times New Roman" w:eastAsia="Times New Roman" w:hAnsi="Times New Roman"/>
                <w:sz w:val="24"/>
                <w:szCs w:val="24"/>
              </w:rPr>
            </w:pPr>
          </w:p>
          <w:p w14:paraId="4DE89DD7" w14:textId="03A3A349"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wymagalną kwotę zobowiązań z tytułu papierów dłużnych przedsiębiorstw zabezpieczonych aktywami, spółek pośredniczących, instrumentów inwestowania papierów wartościowych i innych tego rodzaju instrumentów finansowania, o ile nie wchodzą one w zakres definicji instrumentów podanej w pozycji 1.1.5.10.1., lub kwotę aktywów, które mogą zostać potencjalnie zwrócone lub wymagać płynności w zakresie tych instrumentów.</w:t>
            </w:r>
          </w:p>
          <w:p w14:paraId="6FFC24D5" w14:textId="77777777" w:rsidR="001A0B09" w:rsidRDefault="001A0B09">
            <w:pPr>
              <w:pStyle w:val="TableParagraph"/>
              <w:spacing w:before="11"/>
              <w:jc w:val="both"/>
              <w:rPr>
                <w:rFonts w:ascii="Times New Roman" w:eastAsia="Times New Roman" w:hAnsi="Times New Roman"/>
                <w:sz w:val="21"/>
                <w:szCs w:val="21"/>
              </w:rPr>
            </w:pPr>
          </w:p>
          <w:p w14:paraId="371DF684" w14:textId="77777777"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Wszystkie środki z tytułu papierów dłużnych przedsiębiorstw zabezpieczonych aktywami, spółek pośredniczących, instrumentów inwestowania papierów wartościowych i innych tego rodzaju instrumentów finansowania o terminie zapadalności przypadającym w ciągu 30 dni kalendarzowych lub podlegające zwrotowi w tym terminie. Instytucje kredytowe posiadające instrumenty finansowania będące wynikiem sekurytyzacji, które obejmują emisję krótkoterminowych instrumentów dłużnych, takich jak papiery dłużne przedsiębiorstw zabezpieczone aktywami, zgłaszają potencjalne wypływy płynności z tych sekurytyzacji. Są to, lecz niewyłącznie, (i) brak możliwości refinansowania </w:t>
            </w:r>
            <w:r>
              <w:rPr>
                <w:rFonts w:ascii="Times New Roman" w:hAnsi="Times New Roman"/>
                <w:sz w:val="18"/>
              </w:rPr>
              <w:lastRenderedPageBreak/>
              <w:t>zapadalnego długu, oraz</w:t>
            </w:r>
          </w:p>
          <w:p w14:paraId="1386F89A" w14:textId="77777777" w:rsidR="001A0B0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istnienie instrumentów pochodnych lub elementów podobnych do instrumentów pochodnych zapisanych umownie w dokumentacji związanej ze strukturą, która pozwoliłaby na „zwrot” aktywów w ramach umowy dotyczącej finansowania, lub które wymagają, by pierwotny podmiot zbywający dany składnik aktywów zapewnił płynność w celu skutecznego zakończenia umowy w zakresie finansowania w ciągu 30 dni kalendarzowych. W przypadku, gdy strukturyzowana działalność finansowa jest prowadzona za pośrednictwem jednostki specjalnego przeznaczenia (np. spółki celowej lub celowej spółki inwestycyjnej), instytucja kredytowa, określając wymogi w zakresie aktywów płynnych charakteryzujących się wysoką jakością, uwzględnia termin zapadalności instrumentów dłużnych wyemitowanych przez dany podmiot i wszelkie wbudowane opcje umów finansowania, które mogą ewentualnie uruchomić „zwrot” aktywów w przypadku zapotrzebowania na płynność, niezależnie od tego, czy dana jednostka specjalnego przeznaczenia działa na zasadzie skonsolidowanej czy też nie.</w:t>
            </w:r>
          </w:p>
        </w:tc>
      </w:tr>
      <w:tr w:rsidR="001A0B09" w14:paraId="08758EFB" w14:textId="77777777" w:rsidTr="00454544">
        <w:tc>
          <w:tcPr>
            <w:tcW w:w="1457" w:type="dxa"/>
            <w:shd w:val="clear" w:color="auto" w:fill="auto"/>
            <w:vAlign w:val="center"/>
          </w:tcPr>
          <w:p w14:paraId="4B14B167" w14:textId="77777777" w:rsidR="001A0B09" w:rsidRDefault="006E48EA">
            <w:pPr>
              <w:pStyle w:val="TableParagraph"/>
              <w:spacing w:before="133"/>
              <w:ind w:left="135"/>
              <w:rPr>
                <w:rFonts w:ascii="Times New Roman" w:eastAsia="Verdana" w:hAnsi="Times New Roman"/>
                <w:sz w:val="18"/>
                <w:szCs w:val="18"/>
              </w:rPr>
            </w:pPr>
            <w:r>
              <w:rPr>
                <w:rFonts w:ascii="Times New Roman" w:hAnsi="Times New Roman"/>
                <w:sz w:val="18"/>
              </w:rPr>
              <w:lastRenderedPageBreak/>
              <w:t>450</w:t>
            </w:r>
          </w:p>
        </w:tc>
        <w:tc>
          <w:tcPr>
            <w:tcW w:w="6946" w:type="dxa"/>
            <w:shd w:val="clear" w:color="auto" w:fill="auto"/>
          </w:tcPr>
          <w:p w14:paraId="73E69D99" w14:textId="37BBD813" w:rsidR="001A0B09"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wewnętrzne kompensowanie pozycji klienta</w:t>
            </w:r>
          </w:p>
          <w:p w14:paraId="7138E6F9" w14:textId="77777777" w:rsidR="001A0B09" w:rsidRDefault="001A0B09">
            <w:pPr>
              <w:pStyle w:val="TableParagraph"/>
              <w:spacing w:before="9"/>
              <w:jc w:val="both"/>
              <w:rPr>
                <w:rFonts w:ascii="Times New Roman" w:eastAsia="Times New Roman" w:hAnsi="Times New Roman"/>
                <w:sz w:val="24"/>
                <w:szCs w:val="24"/>
              </w:rPr>
            </w:pPr>
          </w:p>
          <w:p w14:paraId="2F01C9FB" w14:textId="185EE141"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30 ust. 12 rozporządzenia delegowanego (UE) 2015/61</w:t>
            </w:r>
          </w:p>
          <w:p w14:paraId="72AE6ED5" w14:textId="77777777" w:rsidR="001A0B09" w:rsidRDefault="001A0B09">
            <w:pPr>
              <w:pStyle w:val="TableParagraph"/>
              <w:spacing w:before="7"/>
              <w:jc w:val="both"/>
              <w:rPr>
                <w:rFonts w:ascii="Times New Roman" w:eastAsia="Times New Roman" w:hAnsi="Times New Roman"/>
                <w:sz w:val="24"/>
                <w:szCs w:val="24"/>
              </w:rPr>
            </w:pPr>
          </w:p>
          <w:p w14:paraId="28DEDA9D" w14:textId="237C82AD" w:rsidR="001A0B0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 xml:space="preserve">W tej sekcji instytucje kredytowe zgłaszają wartość rynkową aktywów niepłynnych klienta, które – w odniesieniu do usług brokerskich – instytucja kredytowa wykorzystała do pokrycia krótkich sprzedaży innego </w:t>
            </w:r>
            <w:r>
              <w:rPr>
                <w:rFonts w:ascii="Times New Roman" w:hAnsi="Times New Roman"/>
                <w:sz w:val="18"/>
              </w:rPr>
              <w:t>klienta</w:t>
            </w:r>
            <w:r>
              <w:rPr>
                <w:rFonts w:ascii="Times New Roman" w:hAnsi="Times New Roman"/>
                <w:sz w:val="18"/>
                <w:szCs w:val="18"/>
              </w:rPr>
              <w:t xml:space="preserve"> poprzez ich wewnętrzne kompensowanie</w:t>
            </w:r>
            <w:r>
              <w:rPr>
                <w:rFonts w:ascii="Times New Roman" w:hAnsi="Times New Roman"/>
                <w:sz w:val="18"/>
              </w:rPr>
              <w:t>.</w:t>
            </w:r>
          </w:p>
        </w:tc>
      </w:tr>
      <w:tr w:rsidR="001A0B09" w14:paraId="676A7B4C" w14:textId="77777777" w:rsidTr="00454544">
        <w:tc>
          <w:tcPr>
            <w:tcW w:w="1457" w:type="dxa"/>
            <w:shd w:val="clear" w:color="auto" w:fill="auto"/>
            <w:vAlign w:val="center"/>
          </w:tcPr>
          <w:p w14:paraId="20FAF3C6"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1A0B09" w:rsidRDefault="001A0B09">
            <w:pPr>
              <w:pStyle w:val="TableParagraph"/>
              <w:spacing w:before="9"/>
              <w:jc w:val="both"/>
              <w:rPr>
                <w:rFonts w:ascii="Times New Roman" w:eastAsia="Times New Roman" w:hAnsi="Times New Roman"/>
                <w:sz w:val="21"/>
                <w:szCs w:val="21"/>
              </w:rPr>
            </w:pPr>
          </w:p>
          <w:p w14:paraId="3E57CF6F" w14:textId="7AADE27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Nieodwoływalne instrumenty kredytowe i instrumenty wsparcia płynności</w:t>
            </w:r>
          </w:p>
          <w:p w14:paraId="49BD9863" w14:textId="77777777" w:rsidR="001A0B09" w:rsidRDefault="001A0B09">
            <w:pPr>
              <w:pStyle w:val="TableParagraph"/>
              <w:spacing w:before="7"/>
              <w:jc w:val="both"/>
              <w:rPr>
                <w:rFonts w:ascii="Times New Roman" w:eastAsia="Times New Roman" w:hAnsi="Times New Roman"/>
                <w:sz w:val="24"/>
                <w:szCs w:val="24"/>
              </w:rPr>
            </w:pPr>
          </w:p>
          <w:p w14:paraId="098BD740" w14:textId="0AF43D87"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rozporządzenia delegowanego (UE) 2015/61</w:t>
            </w:r>
          </w:p>
          <w:p w14:paraId="54CD5816" w14:textId="77777777" w:rsidR="001A0B09" w:rsidRDefault="001A0B09">
            <w:pPr>
              <w:pStyle w:val="TableParagraph"/>
              <w:spacing w:before="9"/>
              <w:jc w:val="both"/>
              <w:rPr>
                <w:rFonts w:ascii="Times New Roman" w:eastAsia="Times New Roman" w:hAnsi="Times New Roman"/>
                <w:sz w:val="24"/>
                <w:szCs w:val="24"/>
              </w:rPr>
            </w:pPr>
          </w:p>
          <w:p w14:paraId="64B939C7" w14:textId="4865ED69"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zdefiniowane w art. 31 rozporządzenia delegowanego (UE) 2015/61.</w:t>
            </w:r>
          </w:p>
          <w:p w14:paraId="30EA75D0" w14:textId="77777777" w:rsidR="001A0B09" w:rsidRDefault="001A0B09">
            <w:pPr>
              <w:pStyle w:val="TableParagraph"/>
              <w:spacing w:before="11"/>
              <w:jc w:val="both"/>
              <w:rPr>
                <w:rFonts w:ascii="Times New Roman" w:eastAsia="Times New Roman" w:hAnsi="Times New Roman"/>
                <w:sz w:val="21"/>
                <w:szCs w:val="21"/>
              </w:rPr>
            </w:pPr>
          </w:p>
          <w:p w14:paraId="2DB68355" w14:textId="402F5B06" w:rsidR="001A0B09"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W tej sekcji instytucje kredytowe zgłaszają również nieodwoływalne instrumenty zgodnie z art. 29 rozporządzenia delegowanego (UE) 2015/61.</w:t>
            </w:r>
          </w:p>
          <w:p w14:paraId="4DD91464" w14:textId="77777777" w:rsidR="001A0B09" w:rsidRDefault="001A0B09">
            <w:pPr>
              <w:pStyle w:val="TableParagraph"/>
              <w:spacing w:before="1"/>
              <w:jc w:val="both"/>
              <w:rPr>
                <w:rFonts w:ascii="Times New Roman" w:eastAsia="Times New Roman" w:hAnsi="Times New Roman"/>
              </w:rPr>
            </w:pPr>
          </w:p>
          <w:p w14:paraId="1BF0293B" w14:textId="73C3D84F" w:rsidR="001A0B0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Maksymalną kwotę, którą można wykorzystać, ocenia się zgodnie z art. 31 ust. 2 rozporządzenia delegowanego (UE) 2015/61.</w:t>
            </w:r>
          </w:p>
        </w:tc>
      </w:tr>
      <w:tr w:rsidR="001A0B09" w14:paraId="27D0ADAE" w14:textId="77777777" w:rsidTr="00454544">
        <w:tc>
          <w:tcPr>
            <w:tcW w:w="1457" w:type="dxa"/>
            <w:shd w:val="clear" w:color="auto" w:fill="auto"/>
            <w:vAlign w:val="center"/>
          </w:tcPr>
          <w:p w14:paraId="7B08FBA8"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1A0B09" w:rsidRDefault="001A0B09">
            <w:pPr>
              <w:pStyle w:val="TableParagraph"/>
              <w:spacing w:before="9"/>
              <w:jc w:val="both"/>
              <w:rPr>
                <w:rFonts w:ascii="Times New Roman" w:eastAsia="Times New Roman" w:hAnsi="Times New Roman"/>
                <w:sz w:val="21"/>
                <w:szCs w:val="21"/>
              </w:rPr>
            </w:pPr>
          </w:p>
          <w:p w14:paraId="210A120C" w14:textId="7BD6C5B9"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nieodwoływalne instrumenty kredytowe przyznane</w:t>
            </w:r>
          </w:p>
          <w:p w14:paraId="1A632AE2" w14:textId="77777777" w:rsidR="001A0B09" w:rsidRDefault="001A0B09">
            <w:pPr>
              <w:pStyle w:val="TableParagraph"/>
              <w:spacing w:before="7"/>
              <w:jc w:val="both"/>
              <w:rPr>
                <w:rFonts w:ascii="Times New Roman" w:eastAsia="Times New Roman" w:hAnsi="Times New Roman"/>
                <w:sz w:val="24"/>
                <w:szCs w:val="24"/>
              </w:rPr>
            </w:pPr>
          </w:p>
          <w:p w14:paraId="6970CF61" w14:textId="3B4E3474" w:rsidR="001A0B09"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W tej sekcji instytucje kredytowe zgłaszają nieodwoływalne instrumenty kredytowe zdefiniowane w art. 31 ust. 1 rozporządzenia delegowanego (UE) 2015/61.</w:t>
            </w:r>
          </w:p>
        </w:tc>
      </w:tr>
      <w:tr w:rsidR="001A0B09" w14:paraId="0A1CC952" w14:textId="77777777" w:rsidTr="00454544">
        <w:tc>
          <w:tcPr>
            <w:tcW w:w="1457" w:type="dxa"/>
            <w:shd w:val="clear" w:color="auto" w:fill="auto"/>
            <w:vAlign w:val="center"/>
          </w:tcPr>
          <w:p w14:paraId="0BA3C634"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1A0B09" w:rsidRDefault="001A0B09">
            <w:pPr>
              <w:pStyle w:val="TableParagraph"/>
              <w:spacing w:before="9"/>
              <w:jc w:val="both"/>
              <w:rPr>
                <w:rFonts w:ascii="Times New Roman" w:eastAsia="Times New Roman" w:hAnsi="Times New Roman"/>
                <w:sz w:val="21"/>
                <w:szCs w:val="21"/>
              </w:rPr>
            </w:pPr>
          </w:p>
          <w:p w14:paraId="43E279DD" w14:textId="796C5532"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klientom detalicznym</w:t>
            </w:r>
          </w:p>
          <w:p w14:paraId="6269E242" w14:textId="77777777" w:rsidR="001A0B09" w:rsidRDefault="001A0B09">
            <w:pPr>
              <w:pStyle w:val="TableParagraph"/>
              <w:spacing w:before="7"/>
              <w:jc w:val="both"/>
              <w:rPr>
                <w:rFonts w:ascii="Times New Roman" w:eastAsia="Times New Roman" w:hAnsi="Times New Roman"/>
                <w:sz w:val="24"/>
                <w:szCs w:val="24"/>
              </w:rPr>
            </w:pPr>
          </w:p>
          <w:p w14:paraId="1319E90D" w14:textId="08D207D8"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3 rozporządzenia delegowanego (UE) 2015/61</w:t>
            </w:r>
          </w:p>
          <w:p w14:paraId="640E60DA" w14:textId="77777777" w:rsidR="001A0B09" w:rsidRDefault="001A0B09">
            <w:pPr>
              <w:pStyle w:val="TableParagraph"/>
              <w:spacing w:before="9"/>
              <w:jc w:val="both"/>
              <w:rPr>
                <w:rFonts w:ascii="Times New Roman" w:eastAsia="Times New Roman" w:hAnsi="Times New Roman"/>
                <w:sz w:val="24"/>
                <w:szCs w:val="24"/>
              </w:rPr>
            </w:pPr>
          </w:p>
          <w:p w14:paraId="16A66FD4" w14:textId="592E1E9C"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kredytowych przyznanych klientom detalicznym zdefiniowanych w art. 411 ust. 2 rozporządzenia (UE) nr 575/2013.</w:t>
            </w:r>
          </w:p>
        </w:tc>
      </w:tr>
      <w:tr w:rsidR="001A0B09" w14:paraId="54210687" w14:textId="77777777" w:rsidTr="00454544">
        <w:tc>
          <w:tcPr>
            <w:tcW w:w="1457" w:type="dxa"/>
            <w:shd w:val="clear" w:color="auto" w:fill="auto"/>
            <w:vAlign w:val="center"/>
          </w:tcPr>
          <w:p w14:paraId="0D641633"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1A0B09" w:rsidRDefault="001A0B09">
            <w:pPr>
              <w:pStyle w:val="TableParagraph"/>
              <w:spacing w:before="9"/>
              <w:jc w:val="both"/>
              <w:rPr>
                <w:rFonts w:ascii="Times New Roman" w:eastAsia="Times New Roman" w:hAnsi="Times New Roman"/>
                <w:sz w:val="21"/>
                <w:szCs w:val="21"/>
              </w:rPr>
            </w:pPr>
          </w:p>
          <w:p w14:paraId="48EC8F2E" w14:textId="59592CA6"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klientom niefinansowym innym niż klienci detaliczni</w:t>
            </w:r>
          </w:p>
          <w:p w14:paraId="363DBCDD" w14:textId="77777777" w:rsidR="001A0B09" w:rsidRDefault="001A0B09">
            <w:pPr>
              <w:pStyle w:val="TableParagraph"/>
              <w:spacing w:before="9"/>
              <w:jc w:val="both"/>
              <w:rPr>
                <w:rFonts w:ascii="Times New Roman" w:eastAsia="Times New Roman" w:hAnsi="Times New Roman"/>
                <w:sz w:val="24"/>
                <w:szCs w:val="24"/>
              </w:rPr>
            </w:pPr>
          </w:p>
          <w:p w14:paraId="79834C5D" w14:textId="7C83A688"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4 rozporządzenia delegowanego (UE) 2015/61</w:t>
            </w:r>
          </w:p>
          <w:p w14:paraId="3D158312" w14:textId="77777777" w:rsidR="001A0B09" w:rsidRDefault="001A0B09">
            <w:pPr>
              <w:pStyle w:val="TableParagraph"/>
              <w:spacing w:before="9"/>
              <w:jc w:val="both"/>
              <w:rPr>
                <w:rFonts w:ascii="Times New Roman" w:eastAsia="Times New Roman" w:hAnsi="Times New Roman"/>
                <w:sz w:val="24"/>
                <w:szCs w:val="24"/>
              </w:rPr>
            </w:pPr>
          </w:p>
          <w:p w14:paraId="7D5229F8" w14:textId="6BB3B2B1"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Instytucje kredytowe zgłaszają maksymalną kwotę, którą można wykorzystać z niewykorzystanych nieodwoływalnych instrumentów kredytowych przyznanych klientom, którzy nie są klientami finansowymi zgodnie z art. 411 ust. 1 rozporządzenia (UE) nr 575/2013 ani klientami detalicznymi zgodnie z art. 411 ust. 2 rozporządzenia (UE) nr 575/2013 oraz których nie zapewniono w celu zastąpienia finansowania klientowi w sytuacjach, w których nie bułby w stanie spełnić wymogów w zakresie </w:t>
            </w:r>
            <w:r>
              <w:rPr>
                <w:rFonts w:ascii="Times New Roman" w:hAnsi="Times New Roman"/>
                <w:sz w:val="18"/>
              </w:rPr>
              <w:lastRenderedPageBreak/>
              <w:t>finansowania na rynkach finansowych.</w:t>
            </w:r>
          </w:p>
        </w:tc>
      </w:tr>
      <w:tr w:rsidR="001A0B09" w14:paraId="1247FA69" w14:textId="77777777" w:rsidTr="00454544">
        <w:tc>
          <w:tcPr>
            <w:tcW w:w="1457" w:type="dxa"/>
            <w:shd w:val="clear" w:color="auto" w:fill="auto"/>
            <w:vAlign w:val="center"/>
          </w:tcPr>
          <w:p w14:paraId="12045791"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500</w:t>
            </w:r>
          </w:p>
        </w:tc>
        <w:tc>
          <w:tcPr>
            <w:tcW w:w="6946" w:type="dxa"/>
            <w:shd w:val="clear" w:color="auto" w:fill="auto"/>
          </w:tcPr>
          <w:p w14:paraId="4BA00614" w14:textId="77777777" w:rsidR="001A0B09" w:rsidRDefault="001A0B09">
            <w:pPr>
              <w:pStyle w:val="TableParagraph"/>
              <w:spacing w:before="9"/>
              <w:jc w:val="both"/>
              <w:rPr>
                <w:rFonts w:ascii="Times New Roman" w:eastAsia="Times New Roman" w:hAnsi="Times New Roman"/>
                <w:sz w:val="21"/>
                <w:szCs w:val="21"/>
              </w:rPr>
            </w:pPr>
          </w:p>
          <w:p w14:paraId="55161424" w14:textId="67DB2A35"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instytucjom kredytowym</w:t>
            </w:r>
          </w:p>
          <w:p w14:paraId="4B0F91FA" w14:textId="77777777" w:rsidR="001A0B09" w:rsidRDefault="001A0B09">
            <w:pPr>
              <w:pStyle w:val="TableParagraph"/>
              <w:spacing w:before="9"/>
              <w:jc w:val="both"/>
              <w:rPr>
                <w:rFonts w:ascii="Times New Roman" w:eastAsia="Times New Roman" w:hAnsi="Times New Roman"/>
                <w:sz w:val="24"/>
                <w:szCs w:val="24"/>
              </w:rPr>
            </w:pPr>
          </w:p>
          <w:p w14:paraId="2F60090D" w14:textId="77777777"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nieodwoływalne instrumenty kredytowe przyznane instytucjom kredytowym.</w:t>
            </w:r>
          </w:p>
        </w:tc>
      </w:tr>
      <w:tr w:rsidR="001A0B09" w14:paraId="5163C000" w14:textId="77777777" w:rsidTr="00454544">
        <w:tc>
          <w:tcPr>
            <w:tcW w:w="1457" w:type="dxa"/>
            <w:shd w:val="clear" w:color="auto" w:fill="auto"/>
            <w:vAlign w:val="center"/>
          </w:tcPr>
          <w:p w14:paraId="6E5E5AF2"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1A0B09" w:rsidRDefault="001A0B09">
            <w:pPr>
              <w:pStyle w:val="TableParagraph"/>
              <w:spacing w:before="9"/>
              <w:jc w:val="both"/>
              <w:rPr>
                <w:rFonts w:ascii="Times New Roman" w:eastAsia="Times New Roman" w:hAnsi="Times New Roman"/>
                <w:sz w:val="21"/>
                <w:szCs w:val="21"/>
              </w:rPr>
            </w:pPr>
          </w:p>
          <w:p w14:paraId="3DE144C2" w14:textId="5DEF2179"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w celu finansowania kredytów preferencyjnych klientów detalicznych</w:t>
            </w:r>
          </w:p>
          <w:p w14:paraId="0617A03F" w14:textId="77777777" w:rsidR="001A0B09" w:rsidRDefault="001A0B09">
            <w:pPr>
              <w:pStyle w:val="TableParagraph"/>
              <w:spacing w:before="9"/>
              <w:jc w:val="both"/>
              <w:rPr>
                <w:rFonts w:ascii="Times New Roman" w:eastAsia="Times New Roman" w:hAnsi="Times New Roman"/>
                <w:sz w:val="24"/>
                <w:szCs w:val="24"/>
              </w:rPr>
            </w:pPr>
          </w:p>
          <w:p w14:paraId="536B353A" w14:textId="6198B108"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9 rozporządzenia delegowanego (UE) 2015/61</w:t>
            </w:r>
          </w:p>
          <w:p w14:paraId="52E5CF94" w14:textId="77777777" w:rsidR="001A0B09" w:rsidRDefault="001A0B09">
            <w:pPr>
              <w:pStyle w:val="TableParagraph"/>
              <w:spacing w:before="9"/>
              <w:jc w:val="both"/>
              <w:rPr>
                <w:rFonts w:ascii="Times New Roman" w:eastAsia="Times New Roman" w:hAnsi="Times New Roman"/>
                <w:sz w:val="24"/>
                <w:szCs w:val="24"/>
              </w:rPr>
            </w:pPr>
          </w:p>
          <w:p w14:paraId="555954FA" w14:textId="39CC62E3"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kredytowych przyznanych instytucjom kredytowym wyłącznie w celu bezpośredniego lub pośredniego finansowania kredytów preferencyjnych, które kwalifikują się jako ekspozycje wobec klientów zgodnie z art. 411 ust. 2 rozporządzenia (UE) nr 575/2013.</w:t>
            </w:r>
          </w:p>
          <w:p w14:paraId="5F1DF075" w14:textId="77777777" w:rsidR="001A0B09" w:rsidRDefault="001A0B09">
            <w:pPr>
              <w:pStyle w:val="TableParagraph"/>
              <w:spacing w:before="8"/>
              <w:jc w:val="both"/>
              <w:rPr>
                <w:rFonts w:ascii="Times New Roman" w:eastAsia="Times New Roman" w:hAnsi="Times New Roman"/>
                <w:sz w:val="21"/>
                <w:szCs w:val="21"/>
              </w:rPr>
            </w:pPr>
          </w:p>
          <w:p w14:paraId="1A9E9917"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Tę pozycję mogą zgłaszać wyłącznie instytucje kredytowe, które zostały ustanowione i są finansowane przez rząd centralny lub samorząd regionalny co najmniej jednego państwa członkowskiego.</w:t>
            </w:r>
          </w:p>
        </w:tc>
      </w:tr>
      <w:tr w:rsidR="001A0B09" w14:paraId="41517278" w14:textId="77777777" w:rsidTr="00454544">
        <w:tc>
          <w:tcPr>
            <w:tcW w:w="1457" w:type="dxa"/>
            <w:shd w:val="clear" w:color="auto" w:fill="auto"/>
            <w:vAlign w:val="center"/>
          </w:tcPr>
          <w:p w14:paraId="7AC9A620"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1A0B09" w:rsidRDefault="001A0B09">
            <w:pPr>
              <w:pStyle w:val="TableParagraph"/>
              <w:spacing w:before="9"/>
              <w:jc w:val="both"/>
              <w:rPr>
                <w:rFonts w:ascii="Times New Roman" w:eastAsia="Times New Roman" w:hAnsi="Times New Roman"/>
                <w:sz w:val="21"/>
                <w:szCs w:val="21"/>
              </w:rPr>
            </w:pPr>
          </w:p>
          <w:p w14:paraId="3436E7E7" w14:textId="78A77BA8"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w celu finansowania kredytów preferencyjnych klientów niefinansowych</w:t>
            </w:r>
          </w:p>
          <w:p w14:paraId="396B55CC" w14:textId="77777777" w:rsidR="001A0B09" w:rsidRDefault="001A0B09">
            <w:pPr>
              <w:pStyle w:val="TableParagraph"/>
              <w:spacing w:before="7"/>
              <w:jc w:val="both"/>
              <w:rPr>
                <w:rFonts w:ascii="Times New Roman" w:eastAsia="Times New Roman" w:hAnsi="Times New Roman"/>
                <w:sz w:val="24"/>
                <w:szCs w:val="24"/>
              </w:rPr>
            </w:pPr>
          </w:p>
          <w:p w14:paraId="65C73485" w14:textId="70FA7647"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9 rozporządzenia delegowanego (UE) 2015/61</w:t>
            </w:r>
          </w:p>
          <w:p w14:paraId="2636C21C" w14:textId="77777777" w:rsidR="001A0B09" w:rsidRDefault="001A0B09">
            <w:pPr>
              <w:pStyle w:val="TableParagraph"/>
              <w:spacing w:before="9"/>
              <w:jc w:val="both"/>
              <w:rPr>
                <w:rFonts w:ascii="Times New Roman" w:eastAsia="Times New Roman" w:hAnsi="Times New Roman"/>
                <w:sz w:val="24"/>
                <w:szCs w:val="24"/>
              </w:rPr>
            </w:pPr>
          </w:p>
          <w:p w14:paraId="1DC18650" w14:textId="1C136D25"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kredytowych przyznanych instytucjom kredytowym wyłącznie w celu bezpośredniego lub pośredniego finansowania kredytów preferencyjnych, które kwalifikują się jako ekspozycje wobec klientów, którzy nie są klientami finansowymi zgodnie z art. 411 ust. 1 rozporządzenia (UE) nr 575/2013 ani klientami detalicznymi zgodnie z art. 411 ust. 2 rozporządzenia (UE) nr 575/2013.</w:t>
            </w:r>
          </w:p>
          <w:p w14:paraId="244A723F" w14:textId="77777777" w:rsidR="001A0B09" w:rsidRDefault="001A0B09">
            <w:pPr>
              <w:pStyle w:val="TableParagraph"/>
              <w:spacing w:before="11"/>
              <w:jc w:val="both"/>
              <w:rPr>
                <w:rFonts w:ascii="Times New Roman" w:eastAsia="Times New Roman" w:hAnsi="Times New Roman"/>
                <w:sz w:val="21"/>
                <w:szCs w:val="21"/>
              </w:rPr>
            </w:pPr>
          </w:p>
          <w:p w14:paraId="570DA3CA" w14:textId="77777777" w:rsidR="001A0B09"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Tę pozycję mogą zgłaszać wyłącznie instytucje kredytowe, które zostały ustanowione i są finansowane przez rząd centralny lub samorząd regionalny co najmniej jednego państwa członkowskiego.</w:t>
            </w:r>
          </w:p>
        </w:tc>
      </w:tr>
      <w:tr w:rsidR="001A0B09" w14:paraId="69E2341D" w14:textId="77777777" w:rsidTr="00454544">
        <w:tc>
          <w:tcPr>
            <w:tcW w:w="1457" w:type="dxa"/>
            <w:shd w:val="clear" w:color="auto" w:fill="auto"/>
            <w:vAlign w:val="center"/>
          </w:tcPr>
          <w:p w14:paraId="6CA1499F"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530</w:t>
            </w:r>
          </w:p>
        </w:tc>
        <w:tc>
          <w:tcPr>
            <w:tcW w:w="6946" w:type="dxa"/>
            <w:shd w:val="clear" w:color="auto" w:fill="auto"/>
          </w:tcPr>
          <w:p w14:paraId="02924569" w14:textId="77777777" w:rsidR="001A0B09" w:rsidRDefault="001A0B09">
            <w:pPr>
              <w:pStyle w:val="TableParagraph"/>
              <w:spacing w:before="9"/>
              <w:jc w:val="both"/>
              <w:rPr>
                <w:rFonts w:ascii="Times New Roman" w:eastAsia="Times New Roman" w:hAnsi="Times New Roman"/>
                <w:sz w:val="21"/>
                <w:szCs w:val="21"/>
              </w:rPr>
            </w:pPr>
          </w:p>
          <w:p w14:paraId="407D8F4E" w14:textId="355C55D2"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inne</w:t>
            </w:r>
          </w:p>
          <w:p w14:paraId="2BEF8C17" w14:textId="77777777" w:rsidR="001A0B09" w:rsidRDefault="001A0B09">
            <w:pPr>
              <w:pStyle w:val="TableParagraph"/>
              <w:spacing w:before="9"/>
              <w:jc w:val="both"/>
              <w:rPr>
                <w:rFonts w:ascii="Times New Roman" w:eastAsia="Times New Roman" w:hAnsi="Times New Roman"/>
                <w:sz w:val="24"/>
                <w:szCs w:val="24"/>
              </w:rPr>
            </w:pPr>
          </w:p>
          <w:p w14:paraId="1FDE164A" w14:textId="591DDEF1" w:rsidR="001A0B09" w:rsidRDefault="005E70B4">
            <w:pPr>
              <w:pStyle w:val="TableParagraph"/>
              <w:ind w:left="135"/>
              <w:jc w:val="both"/>
              <w:rPr>
                <w:rFonts w:ascii="Times New Roman" w:eastAsia="Verdana" w:hAnsi="Times New Roman"/>
                <w:sz w:val="18"/>
                <w:szCs w:val="18"/>
              </w:rPr>
            </w:pPr>
            <w:r>
              <w:rPr>
                <w:rFonts w:ascii="Times New Roman" w:hAnsi="Times New Roman"/>
                <w:sz w:val="18"/>
              </w:rPr>
              <w:t>Art. 31 ust. 8 lit. a) rozporządzenia delegowanego (UE) 2015/61</w:t>
            </w:r>
          </w:p>
          <w:p w14:paraId="2609D6BF" w14:textId="77777777" w:rsidR="001A0B09" w:rsidRDefault="001A0B09">
            <w:pPr>
              <w:pStyle w:val="TableParagraph"/>
              <w:spacing w:before="7"/>
              <w:jc w:val="both"/>
              <w:rPr>
                <w:rFonts w:ascii="Times New Roman" w:eastAsia="Times New Roman" w:hAnsi="Times New Roman"/>
                <w:sz w:val="24"/>
                <w:szCs w:val="24"/>
              </w:rPr>
            </w:pPr>
          </w:p>
          <w:p w14:paraId="62802A43" w14:textId="77777777"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innych niewykorzystanych nieodwoływalnych instrumentów kredytowych przyznanych instytucjom kredytowym.</w:t>
            </w:r>
          </w:p>
        </w:tc>
      </w:tr>
      <w:tr w:rsidR="001A0B09" w14:paraId="6E3A3C7C" w14:textId="77777777" w:rsidTr="00454544">
        <w:tc>
          <w:tcPr>
            <w:tcW w:w="1457" w:type="dxa"/>
            <w:shd w:val="clear" w:color="auto" w:fill="auto"/>
            <w:vAlign w:val="center"/>
          </w:tcPr>
          <w:p w14:paraId="25F62C55"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1A0B09" w:rsidRDefault="001A0B09">
            <w:pPr>
              <w:pStyle w:val="TableParagraph"/>
              <w:spacing w:before="9"/>
              <w:jc w:val="both"/>
              <w:rPr>
                <w:rFonts w:ascii="Times New Roman" w:eastAsia="Times New Roman" w:hAnsi="Times New Roman"/>
                <w:sz w:val="21"/>
                <w:szCs w:val="21"/>
              </w:rPr>
            </w:pPr>
          </w:p>
          <w:p w14:paraId="1AC83037" w14:textId="32552FD5"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regulowanym instytucjom finansowym innym niż instytucje kredytowe</w:t>
            </w:r>
          </w:p>
          <w:p w14:paraId="0CEE770A" w14:textId="77777777" w:rsidR="001A0B09" w:rsidRDefault="001A0B09">
            <w:pPr>
              <w:pStyle w:val="TableParagraph"/>
              <w:spacing w:before="7"/>
              <w:jc w:val="both"/>
              <w:rPr>
                <w:rFonts w:ascii="Times New Roman" w:eastAsia="Times New Roman" w:hAnsi="Times New Roman"/>
                <w:sz w:val="24"/>
                <w:szCs w:val="24"/>
              </w:rPr>
            </w:pPr>
          </w:p>
          <w:p w14:paraId="335971EE" w14:textId="6C5B23C9" w:rsidR="001A0B09" w:rsidRDefault="005E70B4">
            <w:pPr>
              <w:pStyle w:val="TableParagraph"/>
              <w:ind w:left="135"/>
              <w:jc w:val="both"/>
              <w:rPr>
                <w:rFonts w:ascii="Times New Roman" w:eastAsia="Verdana" w:hAnsi="Times New Roman"/>
                <w:sz w:val="18"/>
                <w:szCs w:val="18"/>
              </w:rPr>
            </w:pPr>
            <w:r>
              <w:rPr>
                <w:rFonts w:ascii="Times New Roman" w:hAnsi="Times New Roman"/>
                <w:sz w:val="18"/>
              </w:rPr>
              <w:t>Art. 31 ust. 8 lit. a) rozporządzenia delegowanego (UE) 2015/61</w:t>
            </w:r>
          </w:p>
          <w:p w14:paraId="09749340" w14:textId="77777777" w:rsidR="001A0B09" w:rsidRDefault="001A0B09">
            <w:pPr>
              <w:pStyle w:val="TableParagraph"/>
              <w:spacing w:before="9"/>
              <w:jc w:val="both"/>
              <w:rPr>
                <w:rFonts w:ascii="Times New Roman" w:eastAsia="Times New Roman" w:hAnsi="Times New Roman"/>
                <w:sz w:val="24"/>
                <w:szCs w:val="24"/>
              </w:rPr>
            </w:pPr>
          </w:p>
          <w:p w14:paraId="5841C548" w14:textId="77777777"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kredytowych przyznanych instytucjom regulowanym innym niż instytucje kredytowe.</w:t>
            </w:r>
          </w:p>
        </w:tc>
      </w:tr>
      <w:tr w:rsidR="001A0B09" w14:paraId="32B933A0" w14:textId="77777777" w:rsidTr="00454544">
        <w:tc>
          <w:tcPr>
            <w:tcW w:w="1457" w:type="dxa"/>
            <w:shd w:val="clear" w:color="auto" w:fill="auto"/>
            <w:vAlign w:val="center"/>
          </w:tcPr>
          <w:p w14:paraId="4B2F5F60"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1A0B09" w:rsidRDefault="001A0B09">
            <w:pPr>
              <w:pStyle w:val="TableParagraph"/>
              <w:spacing w:before="9"/>
              <w:jc w:val="both"/>
              <w:rPr>
                <w:rFonts w:ascii="Times New Roman" w:eastAsia="Times New Roman" w:hAnsi="Times New Roman"/>
                <w:sz w:val="21"/>
                <w:szCs w:val="21"/>
              </w:rPr>
            </w:pPr>
          </w:p>
          <w:p w14:paraId="62B99099" w14:textId="0918D05B"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w ramach grupy lub instytucjonalnego systemu ochrony w przypadku objęcia preferencyjnym traktowaniem</w:t>
            </w:r>
          </w:p>
          <w:p w14:paraId="03ED20B7" w14:textId="77777777" w:rsidR="001A0B09" w:rsidRDefault="001A0B09">
            <w:pPr>
              <w:pStyle w:val="TableParagraph"/>
              <w:spacing w:before="9"/>
              <w:jc w:val="both"/>
              <w:rPr>
                <w:rFonts w:ascii="Times New Roman" w:eastAsia="Times New Roman" w:hAnsi="Times New Roman"/>
                <w:sz w:val="24"/>
                <w:szCs w:val="24"/>
              </w:rPr>
            </w:pPr>
          </w:p>
          <w:p w14:paraId="3B0CCBDF" w14:textId="56947EEC"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29 rozporządzenia delegowanego (UE) 2015/61</w:t>
            </w:r>
          </w:p>
          <w:p w14:paraId="74F5F71C" w14:textId="77777777" w:rsidR="001A0B09" w:rsidRDefault="001A0B09">
            <w:pPr>
              <w:pStyle w:val="TableParagraph"/>
              <w:spacing w:before="7"/>
              <w:jc w:val="both"/>
              <w:rPr>
                <w:rFonts w:ascii="Times New Roman" w:eastAsia="Times New Roman" w:hAnsi="Times New Roman"/>
                <w:sz w:val="24"/>
                <w:szCs w:val="24"/>
              </w:rPr>
            </w:pPr>
          </w:p>
          <w:p w14:paraId="1B15E9DB" w14:textId="19D60F69"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Instytucje kredytowe zgłaszają maksymalną kwotę, którą można wykorzystać z </w:t>
            </w:r>
            <w:r>
              <w:rPr>
                <w:rFonts w:ascii="Times New Roman" w:hAnsi="Times New Roman"/>
                <w:sz w:val="18"/>
              </w:rPr>
              <w:lastRenderedPageBreak/>
              <w:t>niewykorzystanych nieodwoływalnych przyznanych instrumentów kredytowych, w odniesieniu do których uzyskały zezwolenie na stosowanie niższego wskaźnika wypływów zgodnie z art. 29 rozporządzenia delegowanego (UE) 2015/61.</w:t>
            </w:r>
          </w:p>
        </w:tc>
      </w:tr>
      <w:tr w:rsidR="001A0B09" w14:paraId="4F1685FD" w14:textId="77777777" w:rsidTr="00454544">
        <w:tc>
          <w:tcPr>
            <w:tcW w:w="1457" w:type="dxa"/>
            <w:shd w:val="clear" w:color="auto" w:fill="auto"/>
            <w:vAlign w:val="center"/>
          </w:tcPr>
          <w:p w14:paraId="05FE5C64"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560</w:t>
            </w:r>
          </w:p>
        </w:tc>
        <w:tc>
          <w:tcPr>
            <w:tcW w:w="6946" w:type="dxa"/>
            <w:shd w:val="clear" w:color="auto" w:fill="auto"/>
          </w:tcPr>
          <w:p w14:paraId="0A2B24F3" w14:textId="77777777" w:rsidR="001A0B09" w:rsidRDefault="001A0B09">
            <w:pPr>
              <w:pStyle w:val="TableParagraph"/>
              <w:spacing w:before="9"/>
              <w:jc w:val="both"/>
              <w:rPr>
                <w:rFonts w:ascii="Times New Roman" w:eastAsia="Times New Roman" w:hAnsi="Times New Roman"/>
                <w:sz w:val="21"/>
                <w:szCs w:val="21"/>
              </w:rPr>
            </w:pPr>
          </w:p>
          <w:p w14:paraId="34352FBB" w14:textId="17FDDB99" w:rsidR="001A0B09"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1.1.6.1.6. w ramach instytucjonalnego systemu ochrony lub sieci współpracy w przypadku traktowania jako składnik aktywów płynnych</w:t>
            </w:r>
            <w:r>
              <w:rPr>
                <w:rFonts w:ascii="Times New Roman" w:hAnsi="Times New Roman"/>
                <w:b/>
                <w:sz w:val="18"/>
              </w:rPr>
              <w:t xml:space="preserve"> </w:t>
            </w:r>
            <w:r>
              <w:rPr>
                <w:rFonts w:ascii="Times New Roman" w:hAnsi="Times New Roman"/>
                <w:b/>
                <w:sz w:val="18"/>
                <w:u w:color="000000"/>
              </w:rPr>
              <w:t>przez instytucję deponującą</w:t>
            </w:r>
          </w:p>
          <w:p w14:paraId="7774EE46" w14:textId="77777777" w:rsidR="001A0B09" w:rsidRDefault="001A0B09">
            <w:pPr>
              <w:pStyle w:val="TableParagraph"/>
              <w:spacing w:line="273" w:lineRule="auto"/>
              <w:ind w:left="135" w:right="99"/>
              <w:jc w:val="both"/>
              <w:rPr>
                <w:rFonts w:ascii="Times New Roman" w:hAnsi="Times New Roman"/>
                <w:b/>
                <w:sz w:val="18"/>
                <w:u w:color="000000"/>
              </w:rPr>
            </w:pPr>
          </w:p>
          <w:p w14:paraId="5BE5EF5C" w14:textId="4419E34B"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7 rozporządzenia delegowanego (UE) 2015/61</w:t>
            </w:r>
          </w:p>
          <w:p w14:paraId="1F1C870C" w14:textId="77777777" w:rsidR="001A0B09" w:rsidRDefault="001A0B09">
            <w:pPr>
              <w:pStyle w:val="TableParagraph"/>
              <w:spacing w:before="9"/>
              <w:jc w:val="both"/>
              <w:rPr>
                <w:rFonts w:ascii="Times New Roman" w:eastAsia="Times New Roman" w:hAnsi="Times New Roman"/>
                <w:sz w:val="24"/>
                <w:szCs w:val="24"/>
              </w:rPr>
            </w:pPr>
          </w:p>
          <w:p w14:paraId="24759D0B" w14:textId="77777777" w:rsidR="001A0B09"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Instytucje centralne systemu lub sieci, o których mowa w art. 16, zgłaszają maksymalną kwotę, którą można wykorzystać z niewykorzystanych nieodwoływalnych instrumentów kredytowych przyznanych instytucji kredytowej będącej członkiem, jeżeli taka instytucja kredytowa będąca członkiem uznaje taki instrument za składnik aktywów płynnych zgodnie z art. 16 ust. 2.</w:t>
            </w:r>
          </w:p>
        </w:tc>
      </w:tr>
      <w:tr w:rsidR="001A0B09" w14:paraId="1A88F56F" w14:textId="77777777" w:rsidTr="00454544">
        <w:tc>
          <w:tcPr>
            <w:tcW w:w="1457" w:type="dxa"/>
            <w:shd w:val="clear" w:color="auto" w:fill="auto"/>
            <w:vAlign w:val="center"/>
          </w:tcPr>
          <w:p w14:paraId="2E1F1054"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1A0B09" w:rsidRDefault="001A0B09">
            <w:pPr>
              <w:pStyle w:val="TableParagraph"/>
              <w:spacing w:before="9"/>
              <w:jc w:val="both"/>
              <w:rPr>
                <w:rFonts w:ascii="Times New Roman" w:eastAsia="Times New Roman" w:hAnsi="Times New Roman"/>
                <w:sz w:val="21"/>
                <w:szCs w:val="21"/>
              </w:rPr>
            </w:pPr>
          </w:p>
          <w:p w14:paraId="4F933013" w14:textId="00DE3A54"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innym klientom finansowym</w:t>
            </w:r>
          </w:p>
          <w:p w14:paraId="5CA82789" w14:textId="77777777" w:rsidR="001A0B09" w:rsidRDefault="001A0B09">
            <w:pPr>
              <w:pStyle w:val="TableParagraph"/>
              <w:spacing w:before="7"/>
              <w:jc w:val="both"/>
              <w:rPr>
                <w:rFonts w:ascii="Times New Roman" w:eastAsia="Times New Roman" w:hAnsi="Times New Roman"/>
                <w:sz w:val="24"/>
                <w:szCs w:val="24"/>
              </w:rPr>
            </w:pPr>
          </w:p>
          <w:p w14:paraId="3A019C6B" w14:textId="7A9197BA" w:rsidR="001A0B09" w:rsidRDefault="005E70B4">
            <w:pPr>
              <w:pStyle w:val="TableParagraph"/>
              <w:ind w:left="135"/>
              <w:jc w:val="both"/>
              <w:rPr>
                <w:rFonts w:ascii="Times New Roman" w:eastAsia="Verdana" w:hAnsi="Times New Roman"/>
                <w:sz w:val="18"/>
                <w:szCs w:val="18"/>
              </w:rPr>
            </w:pPr>
            <w:r>
              <w:rPr>
                <w:rFonts w:ascii="Times New Roman" w:hAnsi="Times New Roman"/>
                <w:sz w:val="18"/>
              </w:rPr>
              <w:t>Art. 31 ust. 8 lit. c) rozporządzenia delegowanego (UE) 2015/61</w:t>
            </w:r>
          </w:p>
          <w:p w14:paraId="6ADA930E" w14:textId="77777777" w:rsidR="001A0B09" w:rsidRDefault="001A0B09">
            <w:pPr>
              <w:pStyle w:val="TableParagraph"/>
              <w:spacing w:before="9"/>
              <w:jc w:val="both"/>
              <w:rPr>
                <w:rFonts w:ascii="Times New Roman" w:eastAsia="Times New Roman" w:hAnsi="Times New Roman"/>
                <w:sz w:val="24"/>
                <w:szCs w:val="24"/>
              </w:rPr>
            </w:pPr>
          </w:p>
          <w:p w14:paraId="5E486649" w14:textId="77777777" w:rsidR="001A0B0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kredytowych innych niż instrumenty zgłoszone powyżej przyznanych innym klientom finansowym.</w:t>
            </w:r>
          </w:p>
        </w:tc>
      </w:tr>
      <w:tr w:rsidR="001A0B09" w14:paraId="5D70BFD7" w14:textId="77777777" w:rsidTr="00454544">
        <w:tc>
          <w:tcPr>
            <w:tcW w:w="1457" w:type="dxa"/>
            <w:shd w:val="clear" w:color="auto" w:fill="auto"/>
            <w:vAlign w:val="center"/>
          </w:tcPr>
          <w:p w14:paraId="133C60EB"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1A0B09" w:rsidRDefault="001A0B09">
            <w:pPr>
              <w:pStyle w:val="TableParagraph"/>
              <w:spacing w:before="9"/>
              <w:jc w:val="both"/>
              <w:rPr>
                <w:rFonts w:ascii="Times New Roman" w:eastAsia="Times New Roman" w:hAnsi="Times New Roman"/>
                <w:sz w:val="21"/>
                <w:szCs w:val="21"/>
              </w:rPr>
            </w:pPr>
          </w:p>
          <w:p w14:paraId="675EE411" w14:textId="68704F6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nieodwoływalne instrumenty wsparcia płynności przyznane</w:t>
            </w:r>
          </w:p>
          <w:p w14:paraId="3E6060FA" w14:textId="77777777" w:rsidR="001A0B09" w:rsidRDefault="001A0B09">
            <w:pPr>
              <w:pStyle w:val="TableParagraph"/>
              <w:spacing w:before="9"/>
              <w:jc w:val="both"/>
              <w:rPr>
                <w:rFonts w:ascii="Times New Roman" w:eastAsia="Times New Roman" w:hAnsi="Times New Roman"/>
                <w:sz w:val="24"/>
                <w:szCs w:val="24"/>
              </w:rPr>
            </w:pPr>
          </w:p>
          <w:p w14:paraId="127539E1" w14:textId="3E76B288"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1 rozporządzenia delegowanego (UE) 2015/61</w:t>
            </w:r>
          </w:p>
          <w:p w14:paraId="363A2529" w14:textId="77777777" w:rsidR="001A0B09" w:rsidRDefault="001A0B09">
            <w:pPr>
              <w:pStyle w:val="TableParagraph"/>
              <w:spacing w:before="9"/>
              <w:jc w:val="both"/>
              <w:rPr>
                <w:rFonts w:ascii="Times New Roman" w:eastAsia="Times New Roman" w:hAnsi="Times New Roman"/>
                <w:sz w:val="24"/>
                <w:szCs w:val="24"/>
              </w:rPr>
            </w:pPr>
          </w:p>
          <w:p w14:paraId="6FB0671D" w14:textId="6AABDDE6" w:rsidR="001A0B09"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nieodwoływalne instrumenty wsparcia płynności zdefiniowane w art. 31 ust. 1 rozporządzenia delegowanego (UE) 2015/61.</w:t>
            </w:r>
          </w:p>
        </w:tc>
      </w:tr>
      <w:tr w:rsidR="001A0B09" w14:paraId="20BC91E0" w14:textId="77777777" w:rsidTr="00454544">
        <w:tc>
          <w:tcPr>
            <w:tcW w:w="1457" w:type="dxa"/>
            <w:shd w:val="clear" w:color="auto" w:fill="auto"/>
            <w:vAlign w:val="center"/>
          </w:tcPr>
          <w:p w14:paraId="497C8222"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1A0B09" w:rsidRDefault="001A0B09">
            <w:pPr>
              <w:pStyle w:val="TableParagraph"/>
              <w:spacing w:before="9"/>
              <w:jc w:val="both"/>
              <w:rPr>
                <w:rFonts w:ascii="Times New Roman" w:eastAsia="Times New Roman" w:hAnsi="Times New Roman"/>
                <w:sz w:val="21"/>
                <w:szCs w:val="21"/>
              </w:rPr>
            </w:pPr>
          </w:p>
          <w:p w14:paraId="35D9D5A4" w14:textId="37A306A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klientom detalicznym</w:t>
            </w:r>
          </w:p>
          <w:p w14:paraId="00E5B805" w14:textId="77777777" w:rsidR="001A0B09" w:rsidRDefault="001A0B09">
            <w:pPr>
              <w:pStyle w:val="TableParagraph"/>
              <w:spacing w:before="9"/>
              <w:jc w:val="both"/>
              <w:rPr>
                <w:rFonts w:ascii="Times New Roman" w:eastAsia="Times New Roman" w:hAnsi="Times New Roman"/>
                <w:sz w:val="24"/>
                <w:szCs w:val="24"/>
              </w:rPr>
            </w:pPr>
          </w:p>
          <w:p w14:paraId="07D13737" w14:textId="5E6CC03B"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3 rozporządzenia delegowanego (UE) 2015/61</w:t>
            </w:r>
          </w:p>
          <w:p w14:paraId="003FF095" w14:textId="77777777" w:rsidR="001A0B09" w:rsidRDefault="001A0B09">
            <w:pPr>
              <w:pStyle w:val="TableParagraph"/>
              <w:spacing w:before="7"/>
              <w:jc w:val="both"/>
              <w:rPr>
                <w:rFonts w:ascii="Times New Roman" w:eastAsia="Times New Roman" w:hAnsi="Times New Roman"/>
                <w:sz w:val="24"/>
                <w:szCs w:val="24"/>
              </w:rPr>
            </w:pPr>
          </w:p>
          <w:p w14:paraId="2FFD3A91" w14:textId="765A8E58"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wsparcia płynności przyznanych klientom detalicznym zdefiniowanym w art. 411 ust. 2 rozporządzenia (UE) nr 575/2013.</w:t>
            </w:r>
          </w:p>
        </w:tc>
      </w:tr>
      <w:tr w:rsidR="001A0B09" w14:paraId="4FAF3A32" w14:textId="77777777" w:rsidTr="00454544">
        <w:tc>
          <w:tcPr>
            <w:tcW w:w="1457" w:type="dxa"/>
            <w:shd w:val="clear" w:color="auto" w:fill="auto"/>
            <w:vAlign w:val="center"/>
          </w:tcPr>
          <w:p w14:paraId="7D3509A3"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1A0B09" w:rsidRDefault="001A0B09">
            <w:pPr>
              <w:pStyle w:val="TableParagraph"/>
              <w:spacing w:before="9"/>
              <w:jc w:val="both"/>
              <w:rPr>
                <w:rFonts w:ascii="Times New Roman" w:eastAsia="Times New Roman" w:hAnsi="Times New Roman"/>
                <w:sz w:val="21"/>
                <w:szCs w:val="21"/>
              </w:rPr>
            </w:pPr>
          </w:p>
          <w:p w14:paraId="32EEB75D" w14:textId="0B13ADE6"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klientom niefinansowym innym niż klienci detaliczni</w:t>
            </w:r>
          </w:p>
          <w:p w14:paraId="0AFD2D40" w14:textId="77777777" w:rsidR="001A0B09" w:rsidRDefault="001A0B09">
            <w:pPr>
              <w:pStyle w:val="TableParagraph"/>
              <w:spacing w:before="7"/>
              <w:jc w:val="both"/>
              <w:rPr>
                <w:rFonts w:ascii="Times New Roman" w:eastAsia="Times New Roman" w:hAnsi="Times New Roman"/>
                <w:sz w:val="24"/>
                <w:szCs w:val="24"/>
              </w:rPr>
            </w:pPr>
          </w:p>
          <w:p w14:paraId="2DBDA826" w14:textId="0D17850F"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5 rozporządzenia delegowanego (UE) 2015/61</w:t>
            </w:r>
          </w:p>
          <w:p w14:paraId="5FE8809C" w14:textId="77777777" w:rsidR="001A0B09" w:rsidRDefault="001A0B09">
            <w:pPr>
              <w:pStyle w:val="TableParagraph"/>
              <w:spacing w:before="9"/>
              <w:jc w:val="both"/>
              <w:rPr>
                <w:rFonts w:ascii="Times New Roman" w:eastAsia="Times New Roman" w:hAnsi="Times New Roman"/>
                <w:sz w:val="24"/>
                <w:szCs w:val="24"/>
              </w:rPr>
            </w:pPr>
          </w:p>
          <w:p w14:paraId="759AD376" w14:textId="05B45DF9" w:rsidR="001A0B09"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wsparcia płynności przyznanych klientom, którzy nie są klientami finansowymi zgodnie z art. 411 ust. 1 rozporządzenia (UE) nr 575/2013 ani klientami detalicznymi zgodnie z art. 411 ust. 2 rozporządzenia (UE) nr 575/2013.</w:t>
            </w:r>
          </w:p>
        </w:tc>
      </w:tr>
      <w:tr w:rsidR="001A0B09" w14:paraId="7A42D5DF" w14:textId="77777777" w:rsidTr="00454544">
        <w:tc>
          <w:tcPr>
            <w:tcW w:w="1457" w:type="dxa"/>
            <w:shd w:val="clear" w:color="auto" w:fill="auto"/>
            <w:vAlign w:val="center"/>
          </w:tcPr>
          <w:p w14:paraId="10587266"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1A0B09" w:rsidRDefault="001A0B09">
            <w:pPr>
              <w:pStyle w:val="TableParagraph"/>
              <w:spacing w:before="9"/>
              <w:jc w:val="both"/>
              <w:rPr>
                <w:rFonts w:ascii="Times New Roman" w:eastAsia="Times New Roman" w:hAnsi="Times New Roman"/>
                <w:sz w:val="21"/>
                <w:szCs w:val="21"/>
              </w:rPr>
            </w:pPr>
          </w:p>
          <w:p w14:paraId="4C0FD86A" w14:textId="43785C86"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przedsiębiorstwom inwestowania indywidualnego</w:t>
            </w:r>
          </w:p>
          <w:p w14:paraId="16EE2C55" w14:textId="77777777" w:rsidR="001A0B09" w:rsidRDefault="001A0B09">
            <w:pPr>
              <w:pStyle w:val="TableParagraph"/>
              <w:spacing w:before="7"/>
              <w:jc w:val="both"/>
              <w:rPr>
                <w:rFonts w:ascii="Times New Roman" w:eastAsia="Times New Roman" w:hAnsi="Times New Roman"/>
                <w:sz w:val="24"/>
                <w:szCs w:val="24"/>
              </w:rPr>
            </w:pPr>
          </w:p>
          <w:p w14:paraId="4A2779D7" w14:textId="7385D77F"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5 rozporządzenia delegowanego (UE) 2015/61</w:t>
            </w:r>
          </w:p>
          <w:p w14:paraId="677A1973" w14:textId="77777777" w:rsidR="001A0B09" w:rsidRDefault="001A0B09">
            <w:pPr>
              <w:pStyle w:val="TableParagraph"/>
              <w:spacing w:before="9"/>
              <w:jc w:val="both"/>
              <w:rPr>
                <w:rFonts w:ascii="Times New Roman" w:eastAsia="Times New Roman" w:hAnsi="Times New Roman"/>
                <w:sz w:val="24"/>
                <w:szCs w:val="24"/>
              </w:rPr>
            </w:pPr>
          </w:p>
          <w:p w14:paraId="522F43A4" w14:textId="77777777" w:rsidR="001A0B09"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Instytucje kredytowe zgłaszają maksymalne kwoty, które można wykorzystać z niewykorzystanych nieodwoływalnych instrumentów wsparcia płynności przyznanych przedsiębiorstwom inwestowania indywidualnego.</w:t>
            </w:r>
          </w:p>
        </w:tc>
      </w:tr>
      <w:tr w:rsidR="001A0B09" w14:paraId="3B563241" w14:textId="77777777" w:rsidTr="00454544">
        <w:tc>
          <w:tcPr>
            <w:tcW w:w="1457" w:type="dxa"/>
            <w:shd w:val="clear" w:color="auto" w:fill="auto"/>
            <w:vAlign w:val="center"/>
          </w:tcPr>
          <w:p w14:paraId="7113D068" w14:textId="77777777" w:rsidR="001A0B09"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1A0B09" w:rsidRDefault="001A0B09">
            <w:pPr>
              <w:pStyle w:val="TableParagraph"/>
              <w:spacing w:before="9"/>
              <w:jc w:val="both"/>
              <w:rPr>
                <w:rFonts w:ascii="Times New Roman" w:eastAsia="Times New Roman" w:hAnsi="Times New Roman"/>
                <w:sz w:val="21"/>
                <w:szCs w:val="21"/>
              </w:rPr>
            </w:pPr>
          </w:p>
          <w:p w14:paraId="4B9788E1" w14:textId="7B8253EC" w:rsidR="001A0B09"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jednostkom specjalnego przeznaczenia do celów sekurytyzacji</w:t>
            </w:r>
          </w:p>
          <w:p w14:paraId="0F6B05CB" w14:textId="77777777" w:rsidR="001A0B09" w:rsidRDefault="001A0B09">
            <w:pPr>
              <w:pStyle w:val="TableParagraph"/>
              <w:ind w:left="135"/>
              <w:jc w:val="both"/>
              <w:rPr>
                <w:rFonts w:ascii="Times New Roman" w:hAnsi="Times New Roman"/>
                <w:b/>
                <w:sz w:val="18"/>
                <w:u w:color="000000"/>
              </w:rPr>
            </w:pPr>
          </w:p>
          <w:p w14:paraId="17C9FF5C"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W tej sekcji instytucje kredytowe zgłaszają nieodwoływalne instrumenty wsparcia płynności przyznane jednostkom specjalnego przeznaczenia do celów sekurytyzacji (SSPE).</w:t>
            </w:r>
          </w:p>
        </w:tc>
      </w:tr>
      <w:tr w:rsidR="001A0B09" w14:paraId="7B3A52C9" w14:textId="77777777" w:rsidTr="00454544">
        <w:tc>
          <w:tcPr>
            <w:tcW w:w="1457" w:type="dxa"/>
            <w:shd w:val="clear" w:color="auto" w:fill="auto"/>
            <w:vAlign w:val="center"/>
          </w:tcPr>
          <w:p w14:paraId="74D2CC8A"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630</w:t>
            </w:r>
          </w:p>
        </w:tc>
        <w:tc>
          <w:tcPr>
            <w:tcW w:w="6946" w:type="dxa"/>
            <w:shd w:val="clear" w:color="auto" w:fill="auto"/>
          </w:tcPr>
          <w:p w14:paraId="55FDBDAC" w14:textId="77777777" w:rsidR="001A0B09" w:rsidRDefault="001A0B09">
            <w:pPr>
              <w:pStyle w:val="TableParagraph"/>
              <w:spacing w:before="9"/>
              <w:jc w:val="both"/>
              <w:rPr>
                <w:rFonts w:ascii="Times New Roman" w:eastAsia="Times New Roman" w:hAnsi="Times New Roman"/>
                <w:sz w:val="21"/>
                <w:szCs w:val="21"/>
              </w:rPr>
            </w:pPr>
          </w:p>
          <w:p w14:paraId="02624CED" w14:textId="51DA7D5E"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 w celu zakupu aktywów innych niż papiery wartościowe od klientów</w:t>
            </w:r>
            <w:r>
              <w:rPr>
                <w:rFonts w:ascii="Times New Roman" w:hAnsi="Times New Roman"/>
                <w:b/>
                <w:sz w:val="18"/>
              </w:rPr>
              <w:t xml:space="preserve"> </w:t>
            </w:r>
            <w:r>
              <w:rPr>
                <w:rFonts w:ascii="Times New Roman" w:hAnsi="Times New Roman"/>
                <w:b/>
                <w:sz w:val="18"/>
                <w:u w:color="000000"/>
              </w:rPr>
              <w:t>niefinansowych</w:t>
            </w:r>
          </w:p>
          <w:p w14:paraId="102DC09F" w14:textId="77777777" w:rsidR="001A0B09" w:rsidRDefault="001A0B09">
            <w:pPr>
              <w:pStyle w:val="TableParagraph"/>
              <w:spacing w:before="11"/>
              <w:jc w:val="both"/>
              <w:rPr>
                <w:rFonts w:ascii="Times New Roman" w:eastAsia="Times New Roman" w:hAnsi="Times New Roman"/>
                <w:sz w:val="21"/>
                <w:szCs w:val="21"/>
              </w:rPr>
            </w:pPr>
          </w:p>
          <w:p w14:paraId="464340CC" w14:textId="70A90C42"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6 rozporządzenia delegowanego (UE) 2015/61</w:t>
            </w:r>
          </w:p>
          <w:p w14:paraId="1D19A2F6" w14:textId="77777777" w:rsidR="001A0B09" w:rsidRDefault="001A0B09">
            <w:pPr>
              <w:pStyle w:val="TableParagraph"/>
              <w:spacing w:before="9"/>
              <w:jc w:val="both"/>
              <w:rPr>
                <w:rFonts w:ascii="Times New Roman" w:eastAsia="Times New Roman" w:hAnsi="Times New Roman"/>
                <w:sz w:val="24"/>
                <w:szCs w:val="24"/>
              </w:rPr>
            </w:pPr>
          </w:p>
          <w:p w14:paraId="7B8D6A77" w14:textId="722F03E7" w:rsidR="001A0B0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Instytucje kredytowe zgłaszają maksymalną kwotę niewykorzystanych nieodwoływalnych instrumentów wsparcia płynności, którą zapewniono SSPE w celu umożliwienia takiej jednostce zakupu aktywów innych niż papiery wartościowe od klientów, którzy nie są klientami finansowymi, w zakresie przekraczającym kwotę aktywów aktualnie zakupionych od klientów, oraz jeżeli maksymalna kwota, która może zostać wykorzystana, jest zgodnie z umową ograniczona do kwoty aktualnie zakupionych aktywów.</w:t>
            </w:r>
          </w:p>
        </w:tc>
      </w:tr>
      <w:tr w:rsidR="001A0B09" w14:paraId="5DBD2ED8" w14:textId="77777777" w:rsidTr="00454544">
        <w:tc>
          <w:tcPr>
            <w:tcW w:w="1457" w:type="dxa"/>
            <w:shd w:val="clear" w:color="auto" w:fill="auto"/>
            <w:vAlign w:val="center"/>
          </w:tcPr>
          <w:p w14:paraId="0786D718"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1A0B09" w:rsidRDefault="001A0B09">
            <w:pPr>
              <w:pStyle w:val="TableParagraph"/>
              <w:spacing w:before="9"/>
              <w:jc w:val="both"/>
              <w:rPr>
                <w:rFonts w:ascii="Times New Roman" w:eastAsia="Times New Roman" w:hAnsi="Times New Roman"/>
                <w:sz w:val="21"/>
                <w:szCs w:val="21"/>
              </w:rPr>
            </w:pPr>
          </w:p>
          <w:p w14:paraId="38EA85F5" w14:textId="46086A12"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inne</w:t>
            </w:r>
          </w:p>
          <w:p w14:paraId="1821EA8A" w14:textId="77777777" w:rsidR="001A0B09" w:rsidRDefault="001A0B09">
            <w:pPr>
              <w:pStyle w:val="TableParagraph"/>
              <w:spacing w:before="9"/>
              <w:jc w:val="both"/>
              <w:rPr>
                <w:rFonts w:ascii="Times New Roman" w:eastAsia="Times New Roman" w:hAnsi="Times New Roman"/>
                <w:sz w:val="24"/>
                <w:szCs w:val="24"/>
              </w:rPr>
            </w:pPr>
          </w:p>
          <w:p w14:paraId="682F5E23" w14:textId="0DED00CF" w:rsidR="001A0B09" w:rsidRDefault="005E70B4">
            <w:pPr>
              <w:pStyle w:val="TableParagraph"/>
              <w:ind w:left="135"/>
              <w:jc w:val="both"/>
              <w:rPr>
                <w:rFonts w:ascii="Times New Roman" w:eastAsia="Verdana" w:hAnsi="Times New Roman"/>
                <w:sz w:val="18"/>
                <w:szCs w:val="18"/>
              </w:rPr>
            </w:pPr>
            <w:r>
              <w:rPr>
                <w:rFonts w:ascii="Times New Roman" w:hAnsi="Times New Roman"/>
                <w:sz w:val="18"/>
              </w:rPr>
              <w:t>Art. 31 ust. 8 lit. b) rozporządzenia delegowanego (UE) 2015/61</w:t>
            </w:r>
          </w:p>
          <w:p w14:paraId="7C3B52C8" w14:textId="77777777" w:rsidR="001A0B09" w:rsidRDefault="001A0B09">
            <w:pPr>
              <w:pStyle w:val="TableParagraph"/>
              <w:spacing w:before="9"/>
              <w:jc w:val="both"/>
              <w:rPr>
                <w:rFonts w:ascii="Times New Roman" w:eastAsia="Times New Roman" w:hAnsi="Times New Roman"/>
                <w:sz w:val="24"/>
                <w:szCs w:val="24"/>
              </w:rPr>
            </w:pPr>
          </w:p>
          <w:p w14:paraId="0AE3BC58" w14:textId="77777777" w:rsidR="001A0B09"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wsparcia płynności przyznanych SSPE z przyczyn innych niż wymienione powyżej. Obejmuje to ustalenia, w ramach których instytucja musi wykupić lub zamienić aktywa otrzymane od SSPE.</w:t>
            </w:r>
          </w:p>
        </w:tc>
      </w:tr>
      <w:tr w:rsidR="001A0B09" w14:paraId="2F6D4925" w14:textId="77777777" w:rsidTr="00454544">
        <w:tc>
          <w:tcPr>
            <w:tcW w:w="1457" w:type="dxa"/>
            <w:shd w:val="clear" w:color="auto" w:fill="auto"/>
            <w:vAlign w:val="center"/>
          </w:tcPr>
          <w:p w14:paraId="3DBAFB1F"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1A0B09" w:rsidRDefault="001A0B09">
            <w:pPr>
              <w:pStyle w:val="TableParagraph"/>
              <w:spacing w:before="9"/>
              <w:jc w:val="both"/>
              <w:rPr>
                <w:rFonts w:ascii="Times New Roman" w:eastAsia="Times New Roman" w:hAnsi="Times New Roman"/>
                <w:sz w:val="21"/>
                <w:szCs w:val="21"/>
              </w:rPr>
            </w:pPr>
          </w:p>
          <w:p w14:paraId="5083B734" w14:textId="4BDA1618"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instytucjom kredytowym</w:t>
            </w:r>
          </w:p>
          <w:p w14:paraId="68182DD0" w14:textId="77777777" w:rsidR="001A0B09" w:rsidRDefault="001A0B09">
            <w:pPr>
              <w:pStyle w:val="TableParagraph"/>
              <w:spacing w:before="7"/>
              <w:jc w:val="both"/>
              <w:rPr>
                <w:rFonts w:ascii="Times New Roman" w:eastAsia="Times New Roman" w:hAnsi="Times New Roman"/>
                <w:sz w:val="24"/>
                <w:szCs w:val="24"/>
              </w:rPr>
            </w:pPr>
          </w:p>
          <w:p w14:paraId="02A2824C" w14:textId="77777777"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W tej sekcji instytucje kredytowe zgłaszają nieodwoływalne instrumenty wsparcia płynności przyznane instytucjom kredytowym.</w:t>
            </w:r>
          </w:p>
        </w:tc>
      </w:tr>
      <w:tr w:rsidR="001A0B09" w14:paraId="6FA62824" w14:textId="77777777" w:rsidTr="00454544">
        <w:tc>
          <w:tcPr>
            <w:tcW w:w="1457" w:type="dxa"/>
            <w:shd w:val="clear" w:color="auto" w:fill="auto"/>
            <w:vAlign w:val="center"/>
          </w:tcPr>
          <w:p w14:paraId="0E9BD861"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1A0B09" w:rsidRDefault="001A0B09">
            <w:pPr>
              <w:pStyle w:val="TableParagraph"/>
              <w:spacing w:before="9"/>
              <w:jc w:val="both"/>
              <w:rPr>
                <w:rFonts w:ascii="Times New Roman" w:eastAsia="Times New Roman" w:hAnsi="Times New Roman"/>
                <w:sz w:val="21"/>
                <w:szCs w:val="21"/>
              </w:rPr>
            </w:pPr>
          </w:p>
          <w:p w14:paraId="2DA443D6"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w celu finansowania kredytów preferencyjnych klientów detalicznych</w:t>
            </w:r>
          </w:p>
          <w:p w14:paraId="11CB2AFB" w14:textId="77777777" w:rsidR="001A0B09" w:rsidRDefault="001A0B09">
            <w:pPr>
              <w:pStyle w:val="TableParagraph"/>
              <w:spacing w:before="7"/>
              <w:jc w:val="both"/>
              <w:rPr>
                <w:rFonts w:ascii="Times New Roman" w:eastAsia="Times New Roman" w:hAnsi="Times New Roman"/>
                <w:sz w:val="24"/>
                <w:szCs w:val="24"/>
              </w:rPr>
            </w:pPr>
          </w:p>
          <w:p w14:paraId="3A3CA88A" w14:textId="5E11C62B"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9 rozporządzenia delegowanego (UE) 2015/61</w:t>
            </w:r>
          </w:p>
          <w:p w14:paraId="441A894E" w14:textId="77777777" w:rsidR="001A0B09" w:rsidRDefault="001A0B09">
            <w:pPr>
              <w:pStyle w:val="TableParagraph"/>
              <w:spacing w:before="9"/>
              <w:jc w:val="both"/>
              <w:rPr>
                <w:rFonts w:ascii="Times New Roman" w:eastAsia="Times New Roman" w:hAnsi="Times New Roman"/>
                <w:sz w:val="24"/>
                <w:szCs w:val="24"/>
              </w:rPr>
            </w:pPr>
          </w:p>
          <w:p w14:paraId="491240A3" w14:textId="6AEC38EF" w:rsidR="001A0B0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wsparcia płynności przyznanych instytucjom kredytowym wyłącznie w celu bezpośredniego lub pośredniego finansowania kredytów preferencyjnych, które kwalifikują się jako ekspozycje wobec klientów zgodnie z art. 411 ust. 2 rozporządzenia (UE) nr 575/2013.</w:t>
            </w:r>
          </w:p>
          <w:p w14:paraId="5C469C1B" w14:textId="77777777" w:rsidR="001A0B09" w:rsidRDefault="001A0B09">
            <w:pPr>
              <w:pStyle w:val="TableParagraph"/>
              <w:spacing w:before="11"/>
              <w:jc w:val="both"/>
              <w:rPr>
                <w:rFonts w:ascii="Times New Roman" w:eastAsia="Times New Roman" w:hAnsi="Times New Roman"/>
                <w:sz w:val="21"/>
                <w:szCs w:val="21"/>
              </w:rPr>
            </w:pPr>
          </w:p>
          <w:p w14:paraId="1BDFB16B" w14:textId="77777777"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Tę pozycję mogą zgłaszać wyłącznie instytucje kredytowe, które zostały ustanowione i są finansowane przez rząd centralny lub samorząd regionalny co najmniej jednego państwa członkowskiego.</w:t>
            </w:r>
          </w:p>
        </w:tc>
      </w:tr>
      <w:tr w:rsidR="001A0B09" w14:paraId="76444688" w14:textId="77777777" w:rsidTr="00454544">
        <w:tc>
          <w:tcPr>
            <w:tcW w:w="1457" w:type="dxa"/>
            <w:shd w:val="clear" w:color="auto" w:fill="auto"/>
            <w:vAlign w:val="center"/>
          </w:tcPr>
          <w:p w14:paraId="545ED7DA"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1A0B09" w:rsidRDefault="001A0B09">
            <w:pPr>
              <w:pStyle w:val="TableParagraph"/>
              <w:spacing w:before="9"/>
              <w:jc w:val="both"/>
              <w:rPr>
                <w:rFonts w:ascii="Times New Roman" w:eastAsia="Times New Roman" w:hAnsi="Times New Roman"/>
                <w:sz w:val="21"/>
                <w:szCs w:val="21"/>
              </w:rPr>
            </w:pPr>
          </w:p>
          <w:p w14:paraId="679B958B" w14:textId="0879B9E6"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w celu finansowania kredytów preferencyjnych klientów niefinansowych</w:t>
            </w:r>
          </w:p>
          <w:p w14:paraId="56C4EDE8" w14:textId="77777777" w:rsidR="001A0B09" w:rsidRDefault="001A0B09">
            <w:pPr>
              <w:pStyle w:val="TableParagraph"/>
              <w:spacing w:before="9"/>
              <w:jc w:val="both"/>
              <w:rPr>
                <w:rFonts w:ascii="Times New Roman" w:eastAsia="Times New Roman" w:hAnsi="Times New Roman"/>
                <w:sz w:val="24"/>
                <w:szCs w:val="24"/>
              </w:rPr>
            </w:pPr>
          </w:p>
          <w:p w14:paraId="5BE7B326" w14:textId="03511673"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9 rozporządzenia delegowanego (UE) 2015/61</w:t>
            </w:r>
          </w:p>
          <w:p w14:paraId="62D098C9" w14:textId="77777777" w:rsidR="001A0B09" w:rsidRDefault="001A0B09">
            <w:pPr>
              <w:pStyle w:val="TableParagraph"/>
              <w:spacing w:before="9"/>
              <w:jc w:val="both"/>
              <w:rPr>
                <w:rFonts w:ascii="Times New Roman" w:eastAsia="Times New Roman" w:hAnsi="Times New Roman"/>
                <w:sz w:val="24"/>
                <w:szCs w:val="24"/>
              </w:rPr>
            </w:pPr>
          </w:p>
          <w:p w14:paraId="77824B01" w14:textId="46DD395C"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wsparcia płynności przyznanych instytucjom kredytowym wyłącznie w celu bezpośredniego lub pośredniego finansowania kredytów preferencyjnych, które kwalifikują się jako ekspozycje wobec klientów, którzy nie są klientami finansowymi zgodnie z art. 411 ust. 1 rozporządzenia (UE) nr 575/2013 ani klientami detalicznymi zgodnie z art. 411 ust. 2 rozporządzenia (UE) nr 575/2013.</w:t>
            </w:r>
          </w:p>
          <w:p w14:paraId="5C846C75" w14:textId="77777777" w:rsidR="001A0B09" w:rsidRDefault="001A0B09">
            <w:pPr>
              <w:pStyle w:val="TableParagraph"/>
              <w:spacing w:before="8"/>
              <w:jc w:val="both"/>
              <w:rPr>
                <w:rFonts w:ascii="Times New Roman" w:eastAsia="Times New Roman" w:hAnsi="Times New Roman"/>
                <w:sz w:val="21"/>
                <w:szCs w:val="21"/>
              </w:rPr>
            </w:pPr>
          </w:p>
          <w:p w14:paraId="5F41B186" w14:textId="77777777" w:rsidR="001A0B0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Tę pozycję mogą zgłaszać wyłącznie instytucje kredytowe, które zostały ustanowione i są </w:t>
            </w:r>
            <w:r>
              <w:rPr>
                <w:rFonts w:ascii="Times New Roman" w:hAnsi="Times New Roman"/>
                <w:sz w:val="18"/>
              </w:rPr>
              <w:lastRenderedPageBreak/>
              <w:t>finansowane przez rząd centralny lub samorząd regionalny co najmniej jednego państwa członkowskiego.</w:t>
            </w:r>
          </w:p>
        </w:tc>
      </w:tr>
      <w:tr w:rsidR="001A0B09" w14:paraId="25D61F82" w14:textId="77777777" w:rsidTr="00454544">
        <w:tc>
          <w:tcPr>
            <w:tcW w:w="1457" w:type="dxa"/>
            <w:shd w:val="clear" w:color="auto" w:fill="auto"/>
            <w:vAlign w:val="center"/>
          </w:tcPr>
          <w:p w14:paraId="3452BBFA"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680</w:t>
            </w:r>
          </w:p>
        </w:tc>
        <w:tc>
          <w:tcPr>
            <w:tcW w:w="6946" w:type="dxa"/>
            <w:shd w:val="clear" w:color="auto" w:fill="auto"/>
          </w:tcPr>
          <w:p w14:paraId="6502474D" w14:textId="77777777" w:rsidR="001A0B09" w:rsidRDefault="001A0B09">
            <w:pPr>
              <w:pStyle w:val="TableParagraph"/>
              <w:spacing w:before="9"/>
              <w:jc w:val="both"/>
              <w:rPr>
                <w:rFonts w:ascii="Times New Roman" w:eastAsia="Times New Roman" w:hAnsi="Times New Roman"/>
                <w:sz w:val="21"/>
                <w:szCs w:val="21"/>
              </w:rPr>
            </w:pPr>
          </w:p>
          <w:p w14:paraId="23763AE1" w14:textId="06C1820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inne</w:t>
            </w:r>
          </w:p>
          <w:p w14:paraId="09BD7E6B" w14:textId="77777777" w:rsidR="001A0B09" w:rsidRDefault="001A0B09">
            <w:pPr>
              <w:pStyle w:val="TableParagraph"/>
              <w:spacing w:before="7"/>
              <w:jc w:val="both"/>
              <w:rPr>
                <w:rFonts w:ascii="Times New Roman" w:eastAsia="Times New Roman" w:hAnsi="Times New Roman"/>
                <w:sz w:val="24"/>
                <w:szCs w:val="24"/>
              </w:rPr>
            </w:pPr>
          </w:p>
          <w:p w14:paraId="45A77695" w14:textId="6466C366" w:rsidR="001A0B09" w:rsidRDefault="005E70B4">
            <w:pPr>
              <w:pStyle w:val="TableParagraph"/>
              <w:ind w:left="135"/>
              <w:jc w:val="both"/>
              <w:rPr>
                <w:rFonts w:ascii="Times New Roman" w:eastAsia="Verdana" w:hAnsi="Times New Roman"/>
                <w:sz w:val="18"/>
                <w:szCs w:val="18"/>
              </w:rPr>
            </w:pPr>
            <w:r>
              <w:rPr>
                <w:rFonts w:ascii="Times New Roman" w:hAnsi="Times New Roman"/>
                <w:sz w:val="18"/>
              </w:rPr>
              <w:t>Art. 31 ust. 8 lit. a) rozporządzenia delegowanego (UE) 2015/61</w:t>
            </w:r>
          </w:p>
          <w:p w14:paraId="447D164F" w14:textId="77777777" w:rsidR="001A0B09" w:rsidRDefault="001A0B09">
            <w:pPr>
              <w:pStyle w:val="TableParagraph"/>
              <w:spacing w:before="9"/>
              <w:jc w:val="both"/>
              <w:rPr>
                <w:rFonts w:ascii="Times New Roman" w:eastAsia="Times New Roman" w:hAnsi="Times New Roman"/>
                <w:sz w:val="24"/>
                <w:szCs w:val="24"/>
              </w:rPr>
            </w:pPr>
          </w:p>
          <w:p w14:paraId="0DCDA8EC" w14:textId="77777777" w:rsidR="001A0B0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wsparcia płynności przyznanych niewymienionym powyżej instytucjom kredytowym.</w:t>
            </w:r>
          </w:p>
        </w:tc>
      </w:tr>
      <w:tr w:rsidR="001A0B09" w14:paraId="2B379668" w14:textId="77777777" w:rsidTr="00454544">
        <w:tc>
          <w:tcPr>
            <w:tcW w:w="1457" w:type="dxa"/>
            <w:shd w:val="clear" w:color="auto" w:fill="auto"/>
            <w:vAlign w:val="center"/>
          </w:tcPr>
          <w:p w14:paraId="2283736E"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1A0B09" w:rsidRDefault="001A0B09">
            <w:pPr>
              <w:pStyle w:val="TableParagraph"/>
              <w:spacing w:before="9"/>
              <w:jc w:val="both"/>
              <w:rPr>
                <w:rFonts w:ascii="Times New Roman" w:eastAsia="Times New Roman" w:hAnsi="Times New Roman"/>
                <w:sz w:val="21"/>
                <w:szCs w:val="21"/>
              </w:rPr>
            </w:pPr>
          </w:p>
          <w:p w14:paraId="3B9A3AB0" w14:textId="48A6F39B"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w ramach grupy lub instytucjonalnego systemu ochrony w przypadku objęcia preferencyjnym traktowaniem</w:t>
            </w:r>
          </w:p>
          <w:p w14:paraId="26CA48C8" w14:textId="77777777" w:rsidR="001A0B09" w:rsidRDefault="001A0B09">
            <w:pPr>
              <w:pStyle w:val="TableParagraph"/>
              <w:spacing w:before="9"/>
              <w:jc w:val="both"/>
              <w:rPr>
                <w:rFonts w:ascii="Times New Roman" w:eastAsia="Times New Roman" w:hAnsi="Times New Roman"/>
                <w:sz w:val="24"/>
                <w:szCs w:val="24"/>
              </w:rPr>
            </w:pPr>
          </w:p>
          <w:p w14:paraId="3956E823" w14:textId="5563177D"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29 rozporządzenia delegowanego (UE) 2015/61</w:t>
            </w:r>
          </w:p>
          <w:p w14:paraId="56146B7E" w14:textId="77777777" w:rsidR="001A0B09" w:rsidRDefault="001A0B09">
            <w:pPr>
              <w:pStyle w:val="TableParagraph"/>
              <w:spacing w:before="9"/>
              <w:jc w:val="both"/>
              <w:rPr>
                <w:rFonts w:ascii="Times New Roman" w:eastAsia="Times New Roman" w:hAnsi="Times New Roman"/>
                <w:sz w:val="24"/>
                <w:szCs w:val="24"/>
              </w:rPr>
            </w:pPr>
          </w:p>
          <w:p w14:paraId="686CA660" w14:textId="1ED5C52B" w:rsidR="001A0B0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wsparcia płynności, w odniesieniu do których uzyskały zezwolenie na stosowanie niższego wskaźnika wypływów zgodnie z art. 29 rozporządzenia delegowanego (UE) 2015/61.</w:t>
            </w:r>
          </w:p>
        </w:tc>
      </w:tr>
      <w:tr w:rsidR="001A0B09" w14:paraId="5FA0D150" w14:textId="77777777" w:rsidTr="00454544">
        <w:tc>
          <w:tcPr>
            <w:tcW w:w="1457" w:type="dxa"/>
            <w:shd w:val="clear" w:color="auto" w:fill="auto"/>
            <w:vAlign w:val="center"/>
          </w:tcPr>
          <w:p w14:paraId="0E91CBFB"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1.1.6.2.7. w ramach instytucjonalnego systemu ochrony lub sieci współpracy w przypadku traktowania jako składnik aktywów płynnych</w:t>
            </w:r>
            <w:r>
              <w:rPr>
                <w:rFonts w:ascii="Times New Roman" w:hAnsi="Times New Roman"/>
                <w:b/>
                <w:sz w:val="18"/>
              </w:rPr>
              <w:t xml:space="preserve"> </w:t>
            </w:r>
            <w:r>
              <w:rPr>
                <w:rFonts w:ascii="Times New Roman" w:hAnsi="Times New Roman"/>
                <w:b/>
                <w:sz w:val="18"/>
                <w:u w:color="000000"/>
              </w:rPr>
              <w:t>przez instytucję deponującą</w:t>
            </w:r>
          </w:p>
          <w:p w14:paraId="7DF7C8CD" w14:textId="77777777" w:rsidR="001A0B09" w:rsidRDefault="001A0B09">
            <w:pPr>
              <w:pStyle w:val="TableParagraph"/>
              <w:spacing w:before="8"/>
              <w:jc w:val="both"/>
              <w:rPr>
                <w:rFonts w:ascii="Times New Roman" w:eastAsia="Times New Roman" w:hAnsi="Times New Roman"/>
                <w:sz w:val="21"/>
                <w:szCs w:val="21"/>
              </w:rPr>
            </w:pPr>
          </w:p>
          <w:p w14:paraId="25DF6CAA" w14:textId="09F9C469"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31 ust. 7 rozporządzenia delegowanego (UE) 2015/61</w:t>
            </w:r>
          </w:p>
          <w:p w14:paraId="075889E8" w14:textId="77777777" w:rsidR="001A0B09" w:rsidRDefault="001A0B09">
            <w:pPr>
              <w:pStyle w:val="TableParagraph"/>
              <w:spacing w:before="9"/>
              <w:jc w:val="both"/>
              <w:rPr>
                <w:rFonts w:ascii="Times New Roman" w:eastAsia="Times New Roman" w:hAnsi="Times New Roman"/>
                <w:sz w:val="24"/>
                <w:szCs w:val="24"/>
              </w:rPr>
            </w:pPr>
          </w:p>
          <w:p w14:paraId="6AAF3C15" w14:textId="77777777" w:rsidR="001A0B0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Instytucje centralne systemu lub sieci, o których mowa w art. 16, zgłaszają maksymalną kwotę, którą można wykorzystać z niewykorzystanych nieodwoływalnych instrumentów wsparcia płynności przyznanych instytucji kredytowej będącej członkiem, jeżeli taka instytucja kredytowa będąca członkiem uznaje taki instrument za składnik aktywów płynnych zgodnie z art. 16 ust. 2.</w:t>
            </w:r>
          </w:p>
        </w:tc>
      </w:tr>
      <w:tr w:rsidR="001A0B09" w14:paraId="5596FB18" w14:textId="77777777" w:rsidTr="00454544">
        <w:tc>
          <w:tcPr>
            <w:tcW w:w="1457" w:type="dxa"/>
            <w:shd w:val="clear" w:color="auto" w:fill="auto"/>
            <w:vAlign w:val="center"/>
          </w:tcPr>
          <w:p w14:paraId="378AC22E" w14:textId="77777777" w:rsidR="001A0B09" w:rsidRDefault="001A0B09">
            <w:pPr>
              <w:pStyle w:val="TableParagraph"/>
              <w:rPr>
                <w:rFonts w:ascii="Times New Roman" w:eastAsia="Times New Roman" w:hAnsi="Times New Roman"/>
                <w:sz w:val="18"/>
                <w:szCs w:val="18"/>
              </w:rPr>
            </w:pPr>
          </w:p>
          <w:p w14:paraId="61482990"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1A0B09" w:rsidRDefault="001A0B09">
            <w:pPr>
              <w:pStyle w:val="TableParagraph"/>
              <w:spacing w:before="9"/>
              <w:jc w:val="both"/>
              <w:rPr>
                <w:rFonts w:ascii="Times New Roman" w:eastAsia="Times New Roman" w:hAnsi="Times New Roman"/>
                <w:sz w:val="21"/>
                <w:szCs w:val="21"/>
              </w:rPr>
            </w:pPr>
          </w:p>
          <w:p w14:paraId="54795273" w14:textId="6AAA5D99"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innym klientom finansowym</w:t>
            </w:r>
          </w:p>
          <w:p w14:paraId="4D5CD5CD" w14:textId="77777777" w:rsidR="001A0B09" w:rsidRDefault="001A0B09">
            <w:pPr>
              <w:pStyle w:val="TableParagraph"/>
              <w:spacing w:before="9"/>
              <w:jc w:val="both"/>
              <w:rPr>
                <w:rFonts w:ascii="Times New Roman" w:eastAsia="Times New Roman" w:hAnsi="Times New Roman"/>
                <w:sz w:val="24"/>
                <w:szCs w:val="24"/>
              </w:rPr>
            </w:pPr>
          </w:p>
          <w:p w14:paraId="7D82F302" w14:textId="2684FC9F" w:rsidR="001A0B09" w:rsidRDefault="005E70B4">
            <w:pPr>
              <w:pStyle w:val="TableParagraph"/>
              <w:ind w:left="135"/>
              <w:jc w:val="both"/>
              <w:rPr>
                <w:rFonts w:ascii="Times New Roman" w:eastAsia="Verdana" w:hAnsi="Times New Roman"/>
                <w:sz w:val="18"/>
                <w:szCs w:val="18"/>
              </w:rPr>
            </w:pPr>
            <w:r>
              <w:rPr>
                <w:rFonts w:ascii="Times New Roman" w:hAnsi="Times New Roman"/>
                <w:sz w:val="18"/>
              </w:rPr>
              <w:t>Art. 31 ust. 8 lit. c) rozporządzenia delegowanego (UE) 2015/61</w:t>
            </w:r>
          </w:p>
          <w:p w14:paraId="23B19641" w14:textId="77777777" w:rsidR="001A0B09" w:rsidRDefault="001A0B09">
            <w:pPr>
              <w:pStyle w:val="TableParagraph"/>
              <w:spacing w:before="7"/>
              <w:jc w:val="both"/>
              <w:rPr>
                <w:rFonts w:ascii="Times New Roman" w:eastAsia="Times New Roman" w:hAnsi="Times New Roman"/>
                <w:sz w:val="24"/>
                <w:szCs w:val="24"/>
              </w:rPr>
            </w:pPr>
          </w:p>
          <w:p w14:paraId="6EDDFF45" w14:textId="77777777"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wsparcia płynności innych niż instrumenty zgłoszone powyżej przyznanych innym klientom finansowym.</w:t>
            </w:r>
          </w:p>
        </w:tc>
      </w:tr>
      <w:tr w:rsidR="001A0B09" w14:paraId="31B74BE9" w14:textId="77777777" w:rsidTr="00454544">
        <w:tc>
          <w:tcPr>
            <w:tcW w:w="1457" w:type="dxa"/>
            <w:shd w:val="clear" w:color="auto" w:fill="auto"/>
            <w:vAlign w:val="center"/>
          </w:tcPr>
          <w:p w14:paraId="1C2B9978"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1A0B09" w:rsidRDefault="001A0B09">
            <w:pPr>
              <w:pStyle w:val="TableParagraph"/>
              <w:spacing w:before="9"/>
              <w:jc w:val="both"/>
              <w:rPr>
                <w:rFonts w:ascii="Times New Roman" w:eastAsia="Times New Roman" w:hAnsi="Times New Roman"/>
                <w:sz w:val="21"/>
                <w:szCs w:val="21"/>
              </w:rPr>
            </w:pPr>
          </w:p>
          <w:p w14:paraId="79594CF5" w14:textId="24D5991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Inne produkty i usługi</w:t>
            </w:r>
          </w:p>
          <w:p w14:paraId="71EA457E" w14:textId="77777777" w:rsidR="001A0B09" w:rsidRDefault="001A0B09">
            <w:pPr>
              <w:pStyle w:val="TableParagraph"/>
              <w:spacing w:before="7"/>
              <w:jc w:val="both"/>
              <w:rPr>
                <w:rFonts w:ascii="Times New Roman" w:eastAsia="Times New Roman" w:hAnsi="Times New Roman"/>
                <w:sz w:val="24"/>
                <w:szCs w:val="24"/>
              </w:rPr>
            </w:pPr>
          </w:p>
          <w:p w14:paraId="4378E198" w14:textId="56DC28D1"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23 ust. 2 rozporządzenia delegowanego (UE) 2015/61</w:t>
            </w:r>
          </w:p>
          <w:p w14:paraId="0F735093" w14:textId="77777777" w:rsidR="001A0B09" w:rsidRDefault="001A0B09">
            <w:pPr>
              <w:pStyle w:val="TableParagraph"/>
              <w:spacing w:before="9"/>
              <w:jc w:val="both"/>
              <w:rPr>
                <w:rFonts w:ascii="Times New Roman" w:eastAsia="Times New Roman" w:hAnsi="Times New Roman"/>
                <w:sz w:val="24"/>
                <w:szCs w:val="24"/>
              </w:rPr>
            </w:pPr>
          </w:p>
          <w:p w14:paraId="55E6CE66" w14:textId="1D8DD148" w:rsidR="001A0B09" w:rsidRDefault="006E48EA">
            <w:pPr>
              <w:pStyle w:val="TableParagraph"/>
              <w:spacing w:line="276" w:lineRule="auto"/>
              <w:ind w:left="135" w:right="99"/>
              <w:jc w:val="both"/>
              <w:rPr>
                <w:rFonts w:ascii="Times New Roman" w:hAnsi="Times New Roman"/>
                <w:sz w:val="18"/>
              </w:rPr>
            </w:pPr>
            <w:r>
              <w:rPr>
                <w:rFonts w:ascii="Times New Roman" w:hAnsi="Times New Roman"/>
                <w:sz w:val="18"/>
              </w:rPr>
              <w:t>W tej sekcji instytucje kredytowe zgłaszają produkty lub usługi, o których mowa w art. 23 ust. 1 rozporządzenia delegowanego (UE) 2015/61.</w:t>
            </w:r>
          </w:p>
          <w:p w14:paraId="12890556" w14:textId="77777777" w:rsidR="001A0B09" w:rsidRDefault="001A0B09">
            <w:pPr>
              <w:pStyle w:val="TableParagraph"/>
              <w:spacing w:line="276" w:lineRule="auto"/>
              <w:ind w:left="135" w:right="99"/>
              <w:jc w:val="both"/>
              <w:rPr>
                <w:rFonts w:ascii="Times New Roman" w:hAnsi="Times New Roman"/>
                <w:sz w:val="18"/>
              </w:rPr>
            </w:pPr>
          </w:p>
          <w:p w14:paraId="2D9E6566" w14:textId="68BBD588"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Zgłaszaną kwotą jest maksymalna kwota, którą można wykorzystać z tych produktów lub usług, o których mowa w art. 23 ust. 1 rozporządzenia delegowanego (UE) 2015/61.</w:t>
            </w:r>
          </w:p>
          <w:p w14:paraId="30A4B387" w14:textId="77777777" w:rsidR="001A0B09" w:rsidRDefault="001A0B09">
            <w:pPr>
              <w:pStyle w:val="TableParagraph"/>
              <w:spacing w:before="8"/>
              <w:jc w:val="both"/>
              <w:rPr>
                <w:rFonts w:ascii="Times New Roman" w:eastAsia="Times New Roman" w:hAnsi="Times New Roman"/>
                <w:sz w:val="21"/>
                <w:szCs w:val="21"/>
              </w:rPr>
            </w:pPr>
          </w:p>
          <w:p w14:paraId="398801BC" w14:textId="08FBA5B1"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Zgłaszaną mającą zastosowanie wagą jest waga ustalona przez właściwe organy zgodnie z procedurą określoną w art. 23 ust. 2 rozporządzenia delegowanego (UE) 2015/61.</w:t>
            </w:r>
          </w:p>
        </w:tc>
      </w:tr>
      <w:tr w:rsidR="001A0B09" w14:paraId="24FEB050" w14:textId="77777777" w:rsidTr="00454544">
        <w:tc>
          <w:tcPr>
            <w:tcW w:w="1457" w:type="dxa"/>
            <w:shd w:val="clear" w:color="auto" w:fill="auto"/>
            <w:vAlign w:val="center"/>
          </w:tcPr>
          <w:p w14:paraId="5FE7EF7A" w14:textId="39101E44" w:rsidR="001A0B09"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1A0B09" w:rsidRDefault="001A0B09">
            <w:pPr>
              <w:pStyle w:val="TableParagraph"/>
              <w:spacing w:before="9"/>
              <w:jc w:val="both"/>
              <w:rPr>
                <w:rFonts w:ascii="Times New Roman" w:eastAsia="Times New Roman" w:hAnsi="Times New Roman"/>
                <w:sz w:val="21"/>
                <w:szCs w:val="21"/>
              </w:rPr>
            </w:pPr>
          </w:p>
          <w:p w14:paraId="6FA5646C" w14:textId="419EA8F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Odwoływalne instrumenty finansowania</w:t>
            </w:r>
          </w:p>
          <w:p w14:paraId="370A86E2" w14:textId="77777777" w:rsidR="001A0B09" w:rsidRDefault="001A0B09">
            <w:pPr>
              <w:pStyle w:val="TableParagraph"/>
              <w:spacing w:before="7"/>
              <w:jc w:val="both"/>
              <w:rPr>
                <w:rFonts w:ascii="Times New Roman" w:eastAsia="Times New Roman" w:hAnsi="Times New Roman"/>
                <w:sz w:val="24"/>
                <w:szCs w:val="24"/>
              </w:rPr>
            </w:pPr>
          </w:p>
          <w:p w14:paraId="29E56B7D" w14:textId="3A65DB90"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23 ust. 2 rozporządzenia delegowanego (UE) 2015/61</w:t>
            </w:r>
          </w:p>
          <w:p w14:paraId="615956A7" w14:textId="77777777" w:rsidR="001A0B09" w:rsidRDefault="001A0B09">
            <w:pPr>
              <w:pStyle w:val="TableParagraph"/>
              <w:spacing w:before="9"/>
              <w:jc w:val="both"/>
              <w:rPr>
                <w:rFonts w:ascii="Times New Roman" w:eastAsia="Times New Roman" w:hAnsi="Times New Roman"/>
                <w:sz w:val="24"/>
                <w:szCs w:val="24"/>
              </w:rPr>
            </w:pPr>
          </w:p>
          <w:p w14:paraId="137272A6" w14:textId="70A4FA60" w:rsidR="001A0B09" w:rsidRDefault="006E48EA">
            <w:pPr>
              <w:pStyle w:val="TableParagraph"/>
              <w:spacing w:line="276" w:lineRule="auto"/>
              <w:ind w:left="135" w:right="96"/>
              <w:jc w:val="both"/>
              <w:rPr>
                <w:rFonts w:ascii="Times New Roman" w:hAnsi="Times New Roman"/>
                <w:sz w:val="18"/>
              </w:rPr>
            </w:pPr>
            <w:r>
              <w:rPr>
                <w:rFonts w:ascii="Times New Roman" w:hAnsi="Times New Roman"/>
                <w:sz w:val="18"/>
              </w:rPr>
              <w:t xml:space="preserve">Instytucje kredytowe zgłaszają kwotę odwoływalnych instrumentów finansowania, o </w:t>
            </w:r>
            <w:r>
              <w:rPr>
                <w:rFonts w:ascii="Times New Roman" w:hAnsi="Times New Roman"/>
                <w:sz w:val="18"/>
              </w:rPr>
              <w:lastRenderedPageBreak/>
              <w:t>których mowa w art. 23 ust. 1 rozporządzenia delegowanego (UE) 2015/61.</w:t>
            </w:r>
          </w:p>
          <w:p w14:paraId="524F96F5" w14:textId="55C25FD9" w:rsidR="001A0B09" w:rsidRDefault="001A0B09">
            <w:pPr>
              <w:pStyle w:val="TableParagraph"/>
              <w:spacing w:line="276" w:lineRule="auto"/>
              <w:ind w:left="135" w:right="96"/>
              <w:jc w:val="both"/>
              <w:rPr>
                <w:rFonts w:ascii="Times New Roman" w:hAnsi="Times New Roman"/>
                <w:sz w:val="18"/>
              </w:rPr>
            </w:pPr>
          </w:p>
          <w:p w14:paraId="04922DCB" w14:textId="3BA10424" w:rsidR="001A0B09" w:rsidRDefault="0039321F">
            <w:pPr>
              <w:pStyle w:val="TableParagraph"/>
              <w:spacing w:line="276" w:lineRule="auto"/>
              <w:ind w:left="135" w:right="96"/>
              <w:jc w:val="both"/>
              <w:rPr>
                <w:rFonts w:ascii="Times New Roman" w:hAnsi="Times New Roman"/>
                <w:sz w:val="18"/>
              </w:rPr>
            </w:pPr>
            <w:r>
              <w:rPr>
                <w:rFonts w:ascii="Times New Roman" w:hAnsi="Times New Roman"/>
                <w:sz w:val="18"/>
              </w:rPr>
              <w:t>W tym wierszu nie zgłasza się gwarancji.</w:t>
            </w:r>
          </w:p>
          <w:p w14:paraId="3B5E2002" w14:textId="41536027" w:rsidR="001A0B09"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1A0B09" w14:paraId="7D7263A8" w14:textId="77777777" w:rsidTr="00454544">
        <w:tc>
          <w:tcPr>
            <w:tcW w:w="1457" w:type="dxa"/>
            <w:shd w:val="clear" w:color="auto" w:fill="auto"/>
            <w:vAlign w:val="center"/>
          </w:tcPr>
          <w:p w14:paraId="59BEC0C2"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740</w:t>
            </w:r>
          </w:p>
        </w:tc>
        <w:tc>
          <w:tcPr>
            <w:tcW w:w="6946" w:type="dxa"/>
            <w:shd w:val="clear" w:color="auto" w:fill="auto"/>
          </w:tcPr>
          <w:p w14:paraId="05F5A833" w14:textId="77777777" w:rsidR="001A0B09" w:rsidRDefault="001A0B09">
            <w:pPr>
              <w:pStyle w:val="TableParagraph"/>
              <w:spacing w:before="9"/>
              <w:jc w:val="both"/>
              <w:rPr>
                <w:rFonts w:ascii="Times New Roman" w:eastAsia="Times New Roman" w:hAnsi="Times New Roman"/>
                <w:sz w:val="21"/>
                <w:szCs w:val="21"/>
              </w:rPr>
            </w:pPr>
          </w:p>
          <w:p w14:paraId="3C425836" w14:textId="30E04A36"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niewykorzystane kredyty i zaliczki udzielone kontrahentom hurtowym</w:t>
            </w:r>
          </w:p>
          <w:p w14:paraId="583EE57C" w14:textId="77777777" w:rsidR="001A0B09" w:rsidRDefault="001A0B09">
            <w:pPr>
              <w:pStyle w:val="TableParagraph"/>
              <w:spacing w:before="9"/>
              <w:jc w:val="both"/>
              <w:rPr>
                <w:rFonts w:ascii="Times New Roman" w:eastAsia="Times New Roman" w:hAnsi="Times New Roman"/>
                <w:sz w:val="24"/>
                <w:szCs w:val="24"/>
              </w:rPr>
            </w:pPr>
          </w:p>
          <w:p w14:paraId="7FF6A607" w14:textId="042637A1"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23 ust. 2 rozporządzenia delegowanego (UE) 2015/61</w:t>
            </w:r>
          </w:p>
          <w:p w14:paraId="344C4E88" w14:textId="77777777" w:rsidR="001A0B09" w:rsidRDefault="001A0B09">
            <w:pPr>
              <w:pStyle w:val="TableParagraph"/>
              <w:spacing w:before="7"/>
              <w:jc w:val="both"/>
              <w:rPr>
                <w:rFonts w:ascii="Times New Roman" w:eastAsia="Times New Roman" w:hAnsi="Times New Roman"/>
                <w:sz w:val="24"/>
                <w:szCs w:val="24"/>
              </w:rPr>
            </w:pPr>
          </w:p>
          <w:p w14:paraId="6E6D9823" w14:textId="4930CD9D"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Instytucje kredytowe zgłaszają kwotę niewykorzystanych kredytów i zaliczek udzielonych kontrahentom hurtowym, o których mowa w art. 23 ust. 1 rozporządzenia delegowanego (UE) 2015/61.</w:t>
            </w:r>
          </w:p>
        </w:tc>
      </w:tr>
      <w:tr w:rsidR="001A0B09" w14:paraId="5D46CCC8" w14:textId="77777777" w:rsidTr="00454544">
        <w:tc>
          <w:tcPr>
            <w:tcW w:w="1457" w:type="dxa"/>
            <w:shd w:val="clear" w:color="auto" w:fill="auto"/>
            <w:vAlign w:val="center"/>
          </w:tcPr>
          <w:p w14:paraId="2866286E"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1A0B09" w:rsidRDefault="001A0B09">
            <w:pPr>
              <w:pStyle w:val="TableParagraph"/>
              <w:spacing w:before="9"/>
              <w:jc w:val="both"/>
              <w:rPr>
                <w:rFonts w:ascii="Times New Roman" w:eastAsia="Times New Roman" w:hAnsi="Times New Roman"/>
                <w:sz w:val="21"/>
                <w:szCs w:val="21"/>
              </w:rPr>
            </w:pPr>
          </w:p>
          <w:p w14:paraId="4AF555BB" w14:textId="278BD495"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kredyty hipoteczne, które zostały udzielone, lecz nie zostały jeszcze uruchomione</w:t>
            </w:r>
          </w:p>
          <w:p w14:paraId="40E6C62B" w14:textId="77777777" w:rsidR="001A0B09" w:rsidRDefault="001A0B09">
            <w:pPr>
              <w:pStyle w:val="TableParagraph"/>
              <w:spacing w:before="7"/>
              <w:jc w:val="both"/>
              <w:rPr>
                <w:rFonts w:ascii="Times New Roman" w:eastAsia="Times New Roman" w:hAnsi="Times New Roman"/>
                <w:sz w:val="24"/>
                <w:szCs w:val="24"/>
              </w:rPr>
            </w:pPr>
          </w:p>
          <w:p w14:paraId="704D344A" w14:textId="5248F5C6"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23 ust. 2 rozporządzenia delegowanego (UE) 2015/61</w:t>
            </w:r>
          </w:p>
          <w:p w14:paraId="5CDBDE76" w14:textId="77777777" w:rsidR="001A0B09" w:rsidRDefault="001A0B09">
            <w:pPr>
              <w:pStyle w:val="TableParagraph"/>
              <w:spacing w:before="9"/>
              <w:jc w:val="both"/>
              <w:rPr>
                <w:rFonts w:ascii="Times New Roman" w:eastAsia="Times New Roman" w:hAnsi="Times New Roman"/>
                <w:sz w:val="24"/>
                <w:szCs w:val="24"/>
              </w:rPr>
            </w:pPr>
          </w:p>
          <w:p w14:paraId="79F23E23" w14:textId="54099AD9"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kwotę kredytów hipotecznych, które zostały udzielone, lecz nie zostały jeszcze uruchomione, o których mowa w art. 23 ust. 1 rozporządzenia delegowanego (UE) 2015/61.</w:t>
            </w:r>
          </w:p>
        </w:tc>
      </w:tr>
      <w:tr w:rsidR="001A0B09" w14:paraId="295E743C" w14:textId="77777777" w:rsidTr="00454544">
        <w:tc>
          <w:tcPr>
            <w:tcW w:w="1457" w:type="dxa"/>
            <w:shd w:val="clear" w:color="auto" w:fill="auto"/>
            <w:vAlign w:val="center"/>
          </w:tcPr>
          <w:p w14:paraId="002B0F78"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1A0B09" w:rsidRDefault="001A0B09">
            <w:pPr>
              <w:pStyle w:val="TableParagraph"/>
              <w:spacing w:before="9"/>
              <w:jc w:val="both"/>
              <w:rPr>
                <w:rFonts w:ascii="Times New Roman" w:eastAsia="Times New Roman" w:hAnsi="Times New Roman"/>
                <w:sz w:val="21"/>
                <w:szCs w:val="21"/>
              </w:rPr>
            </w:pPr>
          </w:p>
          <w:p w14:paraId="1E64917C" w14:textId="3A671F3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karty kredytowe</w:t>
            </w:r>
          </w:p>
          <w:p w14:paraId="132E03AB" w14:textId="77777777" w:rsidR="001A0B09" w:rsidRDefault="001A0B09">
            <w:pPr>
              <w:pStyle w:val="TableParagraph"/>
              <w:spacing w:before="9"/>
              <w:jc w:val="both"/>
              <w:rPr>
                <w:rFonts w:ascii="Times New Roman" w:eastAsia="Times New Roman" w:hAnsi="Times New Roman"/>
                <w:sz w:val="24"/>
                <w:szCs w:val="24"/>
              </w:rPr>
            </w:pPr>
          </w:p>
          <w:p w14:paraId="674F76F5" w14:textId="0F866295"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23 ust. 2 rozporządzenia delegowanego (UE) 2015/61</w:t>
            </w:r>
          </w:p>
          <w:p w14:paraId="6E938BEA" w14:textId="77777777" w:rsidR="001A0B09" w:rsidRDefault="001A0B09">
            <w:pPr>
              <w:pStyle w:val="TableParagraph"/>
              <w:spacing w:before="9"/>
              <w:jc w:val="both"/>
              <w:rPr>
                <w:rFonts w:ascii="Times New Roman" w:eastAsia="Times New Roman" w:hAnsi="Times New Roman"/>
                <w:sz w:val="24"/>
                <w:szCs w:val="24"/>
              </w:rPr>
            </w:pPr>
          </w:p>
          <w:p w14:paraId="2D6B73F7"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Instytucje kredytowe zgłaszają kwotę zobowiązań z tytułu kart kredytowych, o których mowa w art. 23 ust.</w:t>
            </w:r>
          </w:p>
          <w:p w14:paraId="0E4C8A33" w14:textId="2FE9BBCA" w:rsidR="001A0B09"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1 rozporządzenia delegowanego (UE) 2015/61.</w:t>
            </w:r>
          </w:p>
        </w:tc>
      </w:tr>
      <w:tr w:rsidR="001A0B09" w14:paraId="5F0BAB5A" w14:textId="77777777" w:rsidTr="00454544">
        <w:tc>
          <w:tcPr>
            <w:tcW w:w="1457" w:type="dxa"/>
            <w:shd w:val="clear" w:color="auto" w:fill="auto"/>
            <w:vAlign w:val="center"/>
          </w:tcPr>
          <w:p w14:paraId="279DF3FF"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1A0B09" w:rsidRDefault="001A0B09">
            <w:pPr>
              <w:pStyle w:val="TableParagraph"/>
              <w:spacing w:before="9"/>
              <w:jc w:val="both"/>
              <w:rPr>
                <w:rFonts w:ascii="Times New Roman" w:eastAsia="Times New Roman" w:hAnsi="Times New Roman"/>
                <w:sz w:val="21"/>
                <w:szCs w:val="21"/>
              </w:rPr>
            </w:pPr>
          </w:p>
          <w:p w14:paraId="11354603" w14:textId="21262919"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salda debetowe</w:t>
            </w:r>
          </w:p>
          <w:p w14:paraId="43CB892D" w14:textId="77777777" w:rsidR="001A0B09" w:rsidRDefault="001A0B09">
            <w:pPr>
              <w:pStyle w:val="TableParagraph"/>
              <w:spacing w:before="9"/>
              <w:jc w:val="both"/>
              <w:rPr>
                <w:rFonts w:ascii="Times New Roman" w:eastAsia="Times New Roman" w:hAnsi="Times New Roman"/>
                <w:sz w:val="24"/>
                <w:szCs w:val="24"/>
              </w:rPr>
            </w:pPr>
          </w:p>
          <w:p w14:paraId="725A6401" w14:textId="34D60F6C"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23 ust. 2 rozporządzenia delegowanego (UE) 2015/61</w:t>
            </w:r>
          </w:p>
          <w:p w14:paraId="10BB6058" w14:textId="77777777" w:rsidR="001A0B09" w:rsidRDefault="001A0B09">
            <w:pPr>
              <w:pStyle w:val="TableParagraph"/>
              <w:spacing w:before="7"/>
              <w:jc w:val="both"/>
              <w:rPr>
                <w:rFonts w:ascii="Times New Roman" w:eastAsia="Times New Roman" w:hAnsi="Times New Roman"/>
                <w:sz w:val="24"/>
                <w:szCs w:val="24"/>
              </w:rPr>
            </w:pPr>
          </w:p>
          <w:p w14:paraId="7F6BCBAF"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Instytucje kredytowe zgłaszają kwotę sald debetowych, o których mowa w art. 23</w:t>
            </w:r>
          </w:p>
          <w:p w14:paraId="6571EFDC" w14:textId="131A7050" w:rsidR="001A0B09"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1 rozporządzenia delegowanego (UE) 2015/61.</w:t>
            </w:r>
          </w:p>
        </w:tc>
      </w:tr>
      <w:tr w:rsidR="001A0B09" w14:paraId="28A8BD0E" w14:textId="77777777" w:rsidTr="00454544">
        <w:tc>
          <w:tcPr>
            <w:tcW w:w="1457" w:type="dxa"/>
            <w:shd w:val="clear" w:color="auto" w:fill="auto"/>
            <w:vAlign w:val="center"/>
          </w:tcPr>
          <w:p w14:paraId="5DB99321"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1A0B09" w:rsidRDefault="001A0B09">
            <w:pPr>
              <w:pStyle w:val="TableParagraph"/>
              <w:spacing w:before="9"/>
              <w:jc w:val="both"/>
              <w:rPr>
                <w:rFonts w:ascii="Times New Roman" w:eastAsia="Times New Roman" w:hAnsi="Times New Roman"/>
                <w:sz w:val="21"/>
                <w:szCs w:val="21"/>
              </w:rPr>
            </w:pPr>
          </w:p>
          <w:p w14:paraId="5D145D40" w14:textId="301CA2C1"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1.1.7.6. zaplanowane wypływy związane z odnowieniem lub przedłużeniem nowych kredytów detalicznych</w:t>
            </w:r>
            <w:r>
              <w:rPr>
                <w:rFonts w:ascii="Times New Roman" w:hAnsi="Times New Roman"/>
                <w:b/>
                <w:sz w:val="18"/>
              </w:rPr>
              <w:t xml:space="preserve"> </w:t>
            </w:r>
            <w:r>
              <w:rPr>
                <w:rFonts w:ascii="Times New Roman" w:hAnsi="Times New Roman"/>
                <w:b/>
                <w:sz w:val="18"/>
                <w:u w:color="000000"/>
              </w:rPr>
              <w:t>lub hurtowych</w:t>
            </w:r>
          </w:p>
          <w:p w14:paraId="714A4F5E" w14:textId="77777777" w:rsidR="001A0B09" w:rsidRDefault="001A0B09">
            <w:pPr>
              <w:pStyle w:val="TableParagraph"/>
              <w:spacing w:before="8"/>
              <w:jc w:val="both"/>
              <w:rPr>
                <w:rFonts w:ascii="Times New Roman" w:eastAsia="Times New Roman" w:hAnsi="Times New Roman"/>
                <w:sz w:val="21"/>
                <w:szCs w:val="21"/>
              </w:rPr>
            </w:pPr>
          </w:p>
          <w:p w14:paraId="4AD3B14C" w14:textId="78536AE0"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23 ust. 2 rozporządzenia delegowanego (UE) 2015/61</w:t>
            </w:r>
          </w:p>
          <w:p w14:paraId="36459D08" w14:textId="77777777" w:rsidR="001A0B09" w:rsidRDefault="001A0B09">
            <w:pPr>
              <w:pStyle w:val="TableParagraph"/>
              <w:spacing w:before="9"/>
              <w:jc w:val="both"/>
              <w:rPr>
                <w:rFonts w:ascii="Times New Roman" w:eastAsia="Times New Roman" w:hAnsi="Times New Roman"/>
                <w:sz w:val="24"/>
                <w:szCs w:val="24"/>
              </w:rPr>
            </w:pPr>
          </w:p>
          <w:p w14:paraId="27A60F61" w14:textId="33380DF5"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Instytucje kredytowe zgłaszają kwotę zaplanowanych wypływów związanych z odnowieniem lub przedłużeniem nowych kredytów detalicznych lub hurtowych, o których mowa w art. 23 ust. 1 rozporządzenia delegowanego (UE) 2015/61.</w:t>
            </w:r>
          </w:p>
        </w:tc>
      </w:tr>
      <w:tr w:rsidR="001A0B09" w14:paraId="36D9FAA1" w14:textId="77777777" w:rsidTr="00454544">
        <w:tc>
          <w:tcPr>
            <w:tcW w:w="1457" w:type="dxa"/>
            <w:shd w:val="clear" w:color="auto" w:fill="auto"/>
            <w:vAlign w:val="center"/>
          </w:tcPr>
          <w:p w14:paraId="7132EADC" w14:textId="77777777" w:rsidR="001A0B09"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1A0B09" w:rsidRDefault="001A0B09">
            <w:pPr>
              <w:pStyle w:val="TableParagraph"/>
              <w:spacing w:before="9"/>
              <w:jc w:val="both"/>
              <w:rPr>
                <w:rFonts w:ascii="Times New Roman" w:eastAsia="Times New Roman" w:hAnsi="Times New Roman"/>
                <w:sz w:val="21"/>
                <w:szCs w:val="21"/>
              </w:rPr>
            </w:pPr>
          </w:p>
          <w:p w14:paraId="5870907A" w14:textId="724A00FC"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Zobowiązania z tytułu instrumentów pochodnych</w:t>
            </w:r>
          </w:p>
          <w:p w14:paraId="71638BDB" w14:textId="77777777" w:rsidR="001A0B09" w:rsidRDefault="001A0B09">
            <w:pPr>
              <w:pStyle w:val="TableParagraph"/>
              <w:spacing w:before="7"/>
              <w:jc w:val="both"/>
              <w:rPr>
                <w:rFonts w:ascii="Times New Roman" w:eastAsia="Times New Roman" w:hAnsi="Times New Roman"/>
                <w:sz w:val="24"/>
                <w:szCs w:val="24"/>
              </w:rPr>
            </w:pPr>
          </w:p>
          <w:p w14:paraId="12F95436" w14:textId="087C5024"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23 rozporządzenia delegowanego (UE) 2015/61</w:t>
            </w:r>
          </w:p>
          <w:p w14:paraId="022054A4" w14:textId="77777777" w:rsidR="001A0B09" w:rsidRDefault="001A0B09">
            <w:pPr>
              <w:pStyle w:val="TableParagraph"/>
              <w:spacing w:before="9"/>
              <w:jc w:val="both"/>
              <w:rPr>
                <w:rFonts w:ascii="Times New Roman" w:eastAsia="Times New Roman" w:hAnsi="Times New Roman"/>
                <w:sz w:val="24"/>
                <w:szCs w:val="24"/>
              </w:rPr>
            </w:pPr>
          </w:p>
          <w:p w14:paraId="2D5BD3D2" w14:textId="241B2A47"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Instytucje kredytowe zgłaszają kwotę zobowiązań z tytułu instrumentów pochodnych, o których mowa w art. 23 ust. 1 rozporządzenia delegowanego (UE) 2015/61, innych niż umowy wymienione w załączniku II do rozporządzenia (UE) nr 575/2013 oraz innych niż kredytowe instrumenty pochodne.</w:t>
            </w:r>
          </w:p>
        </w:tc>
      </w:tr>
      <w:tr w:rsidR="001A0B09" w14:paraId="3A33D5BA" w14:textId="77777777" w:rsidTr="00454544">
        <w:tc>
          <w:tcPr>
            <w:tcW w:w="1457" w:type="dxa"/>
            <w:shd w:val="clear" w:color="auto" w:fill="auto"/>
            <w:vAlign w:val="center"/>
          </w:tcPr>
          <w:p w14:paraId="6370CD13" w14:textId="77777777" w:rsidR="001A0B09"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1A0B09" w:rsidRDefault="001A0B09">
            <w:pPr>
              <w:pStyle w:val="TableParagraph"/>
              <w:spacing w:before="9"/>
              <w:jc w:val="both"/>
              <w:rPr>
                <w:rFonts w:ascii="Times New Roman" w:eastAsia="Times New Roman" w:hAnsi="Times New Roman"/>
                <w:sz w:val="21"/>
                <w:szCs w:val="21"/>
              </w:rPr>
            </w:pPr>
          </w:p>
          <w:p w14:paraId="15AB21BD" w14:textId="6383F00C"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produkty związane z pozabilansowym finansowaniem handlu</w:t>
            </w:r>
          </w:p>
          <w:p w14:paraId="6139FB57" w14:textId="77777777" w:rsidR="001A0B09" w:rsidRDefault="001A0B09">
            <w:pPr>
              <w:pStyle w:val="TableParagraph"/>
              <w:spacing w:before="7"/>
              <w:jc w:val="both"/>
              <w:rPr>
                <w:rFonts w:ascii="Times New Roman" w:eastAsia="Times New Roman" w:hAnsi="Times New Roman"/>
                <w:sz w:val="24"/>
                <w:szCs w:val="24"/>
              </w:rPr>
            </w:pPr>
          </w:p>
          <w:p w14:paraId="086C34D7" w14:textId="4131BE49" w:rsidR="001A0B0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 xml:space="preserve">Instytucje kredytowe zgłaszają kwotę produktów lub usług związanych z produktami </w:t>
            </w:r>
            <w:r>
              <w:rPr>
                <w:rFonts w:ascii="Times New Roman" w:hAnsi="Times New Roman"/>
                <w:sz w:val="18"/>
              </w:rPr>
              <w:lastRenderedPageBreak/>
              <w:t>związanymi z pozabilansowym finansowaniem handlu, o których mowa w art. 23 ust. 1 rozporządzenia delegowanego (UE) 2015/61.</w:t>
            </w:r>
          </w:p>
        </w:tc>
      </w:tr>
      <w:tr w:rsidR="001A0B09" w14:paraId="0BBAE78A" w14:textId="77777777" w:rsidTr="00454544">
        <w:tc>
          <w:tcPr>
            <w:tcW w:w="1457" w:type="dxa"/>
            <w:shd w:val="clear" w:color="auto" w:fill="auto"/>
            <w:vAlign w:val="center"/>
          </w:tcPr>
          <w:p w14:paraId="719B0E31"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870</w:t>
            </w:r>
          </w:p>
        </w:tc>
        <w:tc>
          <w:tcPr>
            <w:tcW w:w="6946" w:type="dxa"/>
            <w:shd w:val="clear" w:color="auto" w:fill="auto"/>
          </w:tcPr>
          <w:p w14:paraId="647C74E5" w14:textId="77777777" w:rsidR="001A0B09" w:rsidRDefault="001A0B09">
            <w:pPr>
              <w:pStyle w:val="TableParagraph"/>
              <w:spacing w:before="9"/>
              <w:jc w:val="both"/>
              <w:rPr>
                <w:rFonts w:ascii="Times New Roman" w:eastAsia="Times New Roman" w:hAnsi="Times New Roman"/>
                <w:sz w:val="21"/>
                <w:szCs w:val="21"/>
              </w:rPr>
            </w:pPr>
          </w:p>
          <w:p w14:paraId="159D6237" w14:textId="579CE7CE"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inne</w:t>
            </w:r>
          </w:p>
          <w:p w14:paraId="51CD9678" w14:textId="77777777" w:rsidR="001A0B09" w:rsidRDefault="001A0B09">
            <w:pPr>
              <w:pStyle w:val="TableParagraph"/>
              <w:spacing w:before="7"/>
              <w:jc w:val="both"/>
              <w:rPr>
                <w:rFonts w:ascii="Times New Roman" w:eastAsia="Times New Roman" w:hAnsi="Times New Roman"/>
                <w:sz w:val="24"/>
                <w:szCs w:val="24"/>
              </w:rPr>
            </w:pPr>
          </w:p>
          <w:p w14:paraId="5712662A" w14:textId="23492B0A"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23 ust. 2 rozporządzenia delegowanego (UE) 2015/61</w:t>
            </w:r>
          </w:p>
          <w:p w14:paraId="77E63AA9" w14:textId="77777777" w:rsidR="001A0B09" w:rsidRDefault="001A0B09">
            <w:pPr>
              <w:pStyle w:val="TableParagraph"/>
              <w:spacing w:before="9"/>
              <w:jc w:val="both"/>
              <w:rPr>
                <w:rFonts w:ascii="Times New Roman" w:eastAsia="Times New Roman" w:hAnsi="Times New Roman"/>
                <w:sz w:val="24"/>
                <w:szCs w:val="24"/>
              </w:rPr>
            </w:pPr>
          </w:p>
          <w:p w14:paraId="683501D0" w14:textId="4904E61D" w:rsidR="001A0B09" w:rsidRDefault="006E48EA">
            <w:pPr>
              <w:pStyle w:val="TableParagraph"/>
              <w:spacing w:line="276" w:lineRule="auto"/>
              <w:ind w:left="135" w:right="97"/>
              <w:jc w:val="both"/>
              <w:rPr>
                <w:rFonts w:ascii="Times New Roman" w:hAnsi="Times New Roman"/>
                <w:sz w:val="18"/>
              </w:rPr>
            </w:pPr>
            <w:r>
              <w:rPr>
                <w:rFonts w:ascii="Times New Roman" w:hAnsi="Times New Roman"/>
                <w:sz w:val="18"/>
              </w:rPr>
              <w:t>Instytucje kredytowe zgłaszają kwotę produktów lub usług innych niż produkty lub usługi wymienione powyżej, o których mowa w art. 23 ust. 1 rozporządzenia delegowanego (UE) 2015/61.</w:t>
            </w:r>
          </w:p>
          <w:p w14:paraId="7A0DC1DA" w14:textId="7AF431CD" w:rsidR="001A0B09" w:rsidRDefault="001A0B09">
            <w:pPr>
              <w:pStyle w:val="TableParagraph"/>
              <w:spacing w:line="276" w:lineRule="auto"/>
              <w:ind w:left="135" w:right="97"/>
              <w:jc w:val="both"/>
              <w:rPr>
                <w:rFonts w:ascii="Times New Roman" w:hAnsi="Times New Roman"/>
                <w:sz w:val="18"/>
              </w:rPr>
            </w:pPr>
          </w:p>
          <w:p w14:paraId="052770D9" w14:textId="7709034B" w:rsidR="001A0B09" w:rsidRDefault="0039321F">
            <w:pPr>
              <w:pStyle w:val="TableParagraph"/>
              <w:spacing w:line="276" w:lineRule="auto"/>
              <w:ind w:left="135" w:right="97"/>
              <w:jc w:val="both"/>
              <w:rPr>
                <w:rFonts w:ascii="Times New Roman" w:hAnsi="Times New Roman"/>
                <w:sz w:val="18"/>
              </w:rPr>
            </w:pPr>
            <w:r>
              <w:rPr>
                <w:rFonts w:ascii="Times New Roman" w:hAnsi="Times New Roman"/>
                <w:sz w:val="18"/>
              </w:rPr>
              <w:t>W tym wierszu zgłasza się m.in. gwarancje.</w:t>
            </w:r>
          </w:p>
          <w:p w14:paraId="2FD04FBB" w14:textId="0CDA7957" w:rsidR="001A0B09" w:rsidRDefault="001A0B09">
            <w:pPr>
              <w:pStyle w:val="TableParagraph"/>
              <w:spacing w:line="276" w:lineRule="auto"/>
              <w:ind w:left="135" w:right="97"/>
              <w:jc w:val="both"/>
              <w:rPr>
                <w:rFonts w:ascii="Times New Roman" w:hAnsi="Times New Roman"/>
                <w:sz w:val="18"/>
              </w:rPr>
            </w:pPr>
          </w:p>
          <w:p w14:paraId="09BAC09F" w14:textId="0C10A1AB" w:rsidR="001A0B09"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W tym wierszu zgłasza się wypływy warunkowe spowodowane czynnikami innymi niż czynniki powodujące obniżenie wartości, o których mowa w art. 30 ust. 2 rozporządzenia delegowanego (UE) 2015/61.</w:t>
            </w:r>
          </w:p>
          <w:p w14:paraId="56656AB1" w14:textId="3DCA01FB" w:rsidR="001A0B09" w:rsidRDefault="001A0B09">
            <w:pPr>
              <w:pStyle w:val="TableParagraph"/>
              <w:spacing w:line="276" w:lineRule="auto"/>
              <w:ind w:right="97"/>
              <w:jc w:val="both"/>
              <w:rPr>
                <w:rFonts w:ascii="Times New Roman" w:eastAsia="Verdana" w:hAnsi="Times New Roman"/>
                <w:sz w:val="18"/>
                <w:szCs w:val="18"/>
              </w:rPr>
            </w:pPr>
          </w:p>
        </w:tc>
      </w:tr>
      <w:tr w:rsidR="001A0B09" w14:paraId="13F55256" w14:textId="77777777" w:rsidTr="00454544">
        <w:tc>
          <w:tcPr>
            <w:tcW w:w="1457" w:type="dxa"/>
            <w:shd w:val="clear" w:color="auto" w:fill="auto"/>
            <w:vAlign w:val="center"/>
          </w:tcPr>
          <w:p w14:paraId="1B285D82" w14:textId="3975B5CF" w:rsidR="001A0B09"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1A0B09" w:rsidRDefault="006E48EA">
            <w:pPr>
              <w:pStyle w:val="TableParagraph"/>
              <w:jc w:val="both"/>
              <w:rPr>
                <w:rFonts w:ascii="Times New Roman" w:eastAsia="Verdana" w:hAnsi="Times New Roman"/>
                <w:sz w:val="18"/>
                <w:szCs w:val="18"/>
              </w:rPr>
            </w:pPr>
            <w:r>
              <w:rPr>
                <w:rFonts w:ascii="Times New Roman" w:hAnsi="Times New Roman"/>
                <w:b/>
                <w:sz w:val="18"/>
                <w:u w:color="000000"/>
              </w:rPr>
              <w:t>1.1.8. Pozostałe zobowiązania i zobowiązania wymagalne</w:t>
            </w:r>
          </w:p>
          <w:p w14:paraId="4267D623" w14:textId="77777777" w:rsidR="001A0B09" w:rsidRDefault="001A0B09">
            <w:pPr>
              <w:pStyle w:val="TableParagraph"/>
              <w:jc w:val="both"/>
              <w:rPr>
                <w:rFonts w:ascii="Times New Roman" w:eastAsia="Times New Roman" w:hAnsi="Times New Roman"/>
                <w:sz w:val="25"/>
                <w:szCs w:val="25"/>
              </w:rPr>
            </w:pPr>
          </w:p>
          <w:p w14:paraId="248EE6BE" w14:textId="2785682C" w:rsidR="001A0B09" w:rsidRDefault="006E48EA">
            <w:pPr>
              <w:pStyle w:val="TableParagraph"/>
              <w:ind w:right="100"/>
              <w:jc w:val="both"/>
              <w:rPr>
                <w:rFonts w:ascii="Times New Roman" w:eastAsia="Verdana" w:hAnsi="Times New Roman"/>
                <w:sz w:val="18"/>
                <w:szCs w:val="18"/>
              </w:rPr>
            </w:pPr>
            <w:r>
              <w:rPr>
                <w:rFonts w:ascii="Times New Roman" w:hAnsi="Times New Roman"/>
                <w:sz w:val="18"/>
              </w:rPr>
              <w:t>Art. 28 ust. 2 i 6 oraz art. 31a rozporządzenia delegowanego (UE) 2015/61</w:t>
            </w:r>
          </w:p>
          <w:p w14:paraId="1936BB53" w14:textId="77777777" w:rsidR="001A0B09" w:rsidRDefault="001A0B09">
            <w:pPr>
              <w:pStyle w:val="TableParagraph"/>
              <w:spacing w:before="11"/>
              <w:jc w:val="both"/>
              <w:rPr>
                <w:rFonts w:ascii="Times New Roman" w:eastAsia="Times New Roman" w:hAnsi="Times New Roman"/>
                <w:sz w:val="18"/>
                <w:szCs w:val="18"/>
              </w:rPr>
            </w:pPr>
          </w:p>
          <w:p w14:paraId="63BD30BF" w14:textId="3632151C" w:rsidR="001A0B09" w:rsidRDefault="006E48EA">
            <w:pPr>
              <w:pStyle w:val="TableParagraph"/>
              <w:ind w:right="97"/>
              <w:jc w:val="both"/>
              <w:rPr>
                <w:rFonts w:ascii="Times New Roman" w:eastAsia="Verdana" w:hAnsi="Times New Roman"/>
                <w:sz w:val="18"/>
                <w:szCs w:val="18"/>
              </w:rPr>
            </w:pPr>
            <w:r>
              <w:rPr>
                <w:rFonts w:ascii="Times New Roman" w:hAnsi="Times New Roman"/>
                <w:sz w:val="18"/>
              </w:rPr>
              <w:t>Instytucje kredytowe zgłaszają wypływy z tytułu innych zobowiązań i zobowiązań wymagalnych określonych w art. 28 ust. 2 i 6 oraz w art. 31a rozporządzenia delegowanego (UE) 2015/61.</w:t>
            </w:r>
          </w:p>
          <w:p w14:paraId="6C04082B" w14:textId="77777777" w:rsidR="001A0B09" w:rsidRDefault="001A0B09">
            <w:pPr>
              <w:pStyle w:val="TableParagraph"/>
              <w:spacing w:before="10"/>
              <w:jc w:val="both"/>
              <w:rPr>
                <w:rFonts w:ascii="Times New Roman" w:eastAsia="Times New Roman" w:hAnsi="Times New Roman"/>
                <w:sz w:val="18"/>
                <w:szCs w:val="18"/>
              </w:rPr>
            </w:pPr>
          </w:p>
          <w:p w14:paraId="71BA5254" w14:textId="461805A3" w:rsidR="001A0B09" w:rsidRDefault="006E48EA">
            <w:pPr>
              <w:pStyle w:val="TableParagraph"/>
              <w:spacing w:before="9"/>
              <w:jc w:val="both"/>
              <w:rPr>
                <w:rFonts w:ascii="Times New Roman" w:hAnsi="Times New Roman"/>
                <w:sz w:val="21"/>
              </w:rPr>
            </w:pPr>
            <w:r>
              <w:rPr>
                <w:rFonts w:ascii="Times New Roman" w:hAnsi="Times New Roman"/>
                <w:sz w:val="18"/>
              </w:rPr>
              <w:t>Pozycja ta obejmuje również, w stosownych przypadkach, dodatkowe salda, które muszą być utrzymywane jako rezerwa w banku centralnym, w przypadku gdy zostało to uzgodnione między odpowiednim właściwym organem a EBC lub bankiem centralnym zgodnie z art. 10 ust. 1 lit. b) ppkt (iii) rozporządzenia delegowanego (UE) 2015/61.</w:t>
            </w:r>
          </w:p>
        </w:tc>
      </w:tr>
      <w:tr w:rsidR="001A0B09" w14:paraId="72532BE1" w14:textId="77777777" w:rsidTr="00454544">
        <w:tc>
          <w:tcPr>
            <w:tcW w:w="1457" w:type="dxa"/>
            <w:shd w:val="clear" w:color="auto" w:fill="auto"/>
            <w:vAlign w:val="center"/>
          </w:tcPr>
          <w:p w14:paraId="45645D6C" w14:textId="77777777" w:rsidR="001A0B09"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1A0B09" w:rsidRDefault="001A0B09">
            <w:pPr>
              <w:pStyle w:val="TableParagraph"/>
              <w:spacing w:before="9"/>
              <w:jc w:val="both"/>
              <w:rPr>
                <w:rFonts w:ascii="Times New Roman" w:eastAsia="Times New Roman" w:hAnsi="Times New Roman"/>
                <w:sz w:val="21"/>
                <w:szCs w:val="21"/>
              </w:rPr>
            </w:pPr>
          </w:p>
          <w:p w14:paraId="3A3A2227" w14:textId="2668011B"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zobowiązania wynikające z kosztów eksploatacyjnych</w:t>
            </w:r>
          </w:p>
          <w:p w14:paraId="633D1645" w14:textId="77777777" w:rsidR="001A0B09" w:rsidRDefault="001A0B09">
            <w:pPr>
              <w:pStyle w:val="TableParagraph"/>
              <w:spacing w:before="7"/>
              <w:jc w:val="both"/>
              <w:rPr>
                <w:rFonts w:ascii="Times New Roman" w:eastAsia="Times New Roman" w:hAnsi="Times New Roman"/>
                <w:sz w:val="24"/>
                <w:szCs w:val="24"/>
              </w:rPr>
            </w:pPr>
          </w:p>
          <w:p w14:paraId="398C48AE" w14:textId="229D0BB1"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28 ust. 2 rozporządzenia delegowanego (UE) 2015/61</w:t>
            </w:r>
          </w:p>
          <w:p w14:paraId="55CD1F77" w14:textId="77777777" w:rsidR="001A0B09" w:rsidRDefault="001A0B09">
            <w:pPr>
              <w:pStyle w:val="TableParagraph"/>
              <w:jc w:val="both"/>
              <w:rPr>
                <w:rFonts w:ascii="Times New Roman" w:eastAsia="Times New Roman" w:hAnsi="Times New Roman"/>
                <w:sz w:val="25"/>
                <w:szCs w:val="25"/>
              </w:rPr>
            </w:pPr>
          </w:p>
          <w:p w14:paraId="393CF36B" w14:textId="22FE85E9" w:rsidR="001A0B09"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Instytucje kredytowe zgłaszają kwotę salda zobowiązań wynikających z kosztów eksploatacyjnych instytucji kredytowych, o których mowa w art. 28 ust. 2 rozporządzenia delegowanego (UE) 2015/61.</w:t>
            </w:r>
          </w:p>
        </w:tc>
      </w:tr>
      <w:tr w:rsidR="001A0B09" w14:paraId="0FD09B16" w14:textId="77777777" w:rsidTr="00454544">
        <w:tc>
          <w:tcPr>
            <w:tcW w:w="1457" w:type="dxa"/>
            <w:shd w:val="clear" w:color="auto" w:fill="auto"/>
            <w:vAlign w:val="center"/>
          </w:tcPr>
          <w:p w14:paraId="7BC75909" w14:textId="77777777" w:rsidR="001A0B09"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1A0B09" w:rsidRDefault="001A0B09">
            <w:pPr>
              <w:pStyle w:val="TableParagraph"/>
              <w:spacing w:before="9"/>
              <w:jc w:val="both"/>
              <w:rPr>
                <w:rFonts w:ascii="Times New Roman" w:eastAsia="Times New Roman" w:hAnsi="Times New Roman"/>
                <w:sz w:val="21"/>
                <w:szCs w:val="21"/>
              </w:rPr>
            </w:pPr>
          </w:p>
          <w:p w14:paraId="530D31FB" w14:textId="7EFF318F"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w postaci dłużnych papierów wartościowych, jeżeli nie są traktowane jako depozyty detaliczne</w:t>
            </w:r>
          </w:p>
          <w:p w14:paraId="3C4345BF" w14:textId="77777777" w:rsidR="001A0B09" w:rsidRDefault="001A0B09">
            <w:pPr>
              <w:pStyle w:val="TableParagraph"/>
              <w:spacing w:before="7"/>
              <w:jc w:val="both"/>
              <w:rPr>
                <w:rFonts w:ascii="Times New Roman" w:eastAsia="Times New Roman" w:hAnsi="Times New Roman"/>
                <w:sz w:val="24"/>
                <w:szCs w:val="24"/>
              </w:rPr>
            </w:pPr>
          </w:p>
          <w:p w14:paraId="7BD788E0" w14:textId="1963F26B"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28 ust. 6 rozporządzenia delegowanego (UE) 2015/61</w:t>
            </w:r>
          </w:p>
          <w:p w14:paraId="16AAE713" w14:textId="77777777" w:rsidR="001A0B09" w:rsidRDefault="001A0B09">
            <w:pPr>
              <w:pStyle w:val="TableParagraph"/>
              <w:jc w:val="both"/>
              <w:rPr>
                <w:rFonts w:ascii="Times New Roman" w:eastAsia="Times New Roman" w:hAnsi="Times New Roman"/>
                <w:sz w:val="25"/>
                <w:szCs w:val="25"/>
              </w:rPr>
            </w:pPr>
          </w:p>
          <w:p w14:paraId="356F7462" w14:textId="04106268" w:rsidR="001A0B09" w:rsidRDefault="006E48EA">
            <w:pPr>
              <w:pStyle w:val="TableParagraph"/>
              <w:ind w:left="102" w:right="99"/>
              <w:jc w:val="both"/>
              <w:rPr>
                <w:rFonts w:ascii="Times New Roman" w:eastAsia="Verdana" w:hAnsi="Times New Roman"/>
                <w:sz w:val="18"/>
                <w:szCs w:val="18"/>
              </w:rPr>
            </w:pPr>
            <w:r>
              <w:rPr>
                <w:rFonts w:ascii="Times New Roman" w:hAnsi="Times New Roman"/>
                <w:sz w:val="18"/>
              </w:rPr>
              <w:t>Instytucje kredytowe zgłaszają kwotę salda zobowiązań z tytułu papierów dłużnych, obligacji i innych dłużnych papierów wartościowych emitowanych przez instytucję kredytową innych niż zgłaszane jako depozyty detaliczne, o których mowa w art. 28 ust. 6 rozporządzenia delegowanego (UE) 2015/61. Kwota ta obejmuje również kupony, które stają się wymagalne w ciągu kolejnych 30 dni kalendarzowych, w odniesieniu do wszystkich wymienionych papierów wartościowych.</w:t>
            </w:r>
          </w:p>
        </w:tc>
      </w:tr>
      <w:tr w:rsidR="001A0B09" w14:paraId="45F39342" w14:textId="77777777" w:rsidTr="00454544">
        <w:tc>
          <w:tcPr>
            <w:tcW w:w="1457" w:type="dxa"/>
            <w:shd w:val="clear" w:color="auto" w:fill="auto"/>
            <w:vAlign w:val="center"/>
          </w:tcPr>
          <w:p w14:paraId="7E3112ED" w14:textId="77777777" w:rsidR="001A0B09"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1A0B09" w:rsidRDefault="001A0B09">
            <w:pPr>
              <w:pStyle w:val="TableParagraph"/>
              <w:jc w:val="both"/>
              <w:rPr>
                <w:rFonts w:ascii="Times New Roman" w:hAnsi="Times New Roman"/>
                <w:b/>
                <w:sz w:val="18"/>
                <w:u w:color="000000"/>
              </w:rPr>
            </w:pPr>
          </w:p>
          <w:p w14:paraId="6D8021F0" w14:textId="77777777" w:rsidR="001A0B09" w:rsidRDefault="006E48EA">
            <w:pPr>
              <w:pStyle w:val="TableParagraph"/>
              <w:jc w:val="both"/>
              <w:rPr>
                <w:rFonts w:ascii="Times New Roman" w:hAnsi="Times New Roman"/>
                <w:b/>
                <w:sz w:val="18"/>
                <w:u w:color="000000"/>
              </w:rPr>
            </w:pPr>
            <w:r>
              <w:rPr>
                <w:rFonts w:ascii="Times New Roman" w:hAnsi="Times New Roman"/>
                <w:b/>
                <w:sz w:val="18"/>
                <w:u w:color="000000"/>
              </w:rPr>
              <w:t>1.1.8.4 Nadwyżka finansowania udzielonego klientom niefinansowym</w:t>
            </w:r>
          </w:p>
          <w:p w14:paraId="67A2F6DC" w14:textId="77777777" w:rsidR="001A0B09" w:rsidRDefault="001A0B09">
            <w:pPr>
              <w:pStyle w:val="TableParagraph"/>
              <w:jc w:val="both"/>
              <w:rPr>
                <w:rFonts w:ascii="Times New Roman" w:hAnsi="Times New Roman"/>
                <w:b/>
                <w:sz w:val="18"/>
                <w:u w:color="000000"/>
              </w:rPr>
            </w:pPr>
          </w:p>
          <w:p w14:paraId="71E54DBB" w14:textId="0F25043F" w:rsidR="001A0B09" w:rsidRDefault="006E48EA">
            <w:pPr>
              <w:pStyle w:val="TableParagraph"/>
              <w:spacing w:line="275" w:lineRule="auto"/>
              <w:ind w:right="98"/>
              <w:jc w:val="both"/>
              <w:rPr>
                <w:rFonts w:ascii="Times New Roman" w:hAnsi="Times New Roman"/>
                <w:sz w:val="18"/>
              </w:rPr>
            </w:pPr>
            <w:r>
              <w:rPr>
                <w:rFonts w:ascii="Times New Roman" w:hAnsi="Times New Roman"/>
                <w:sz w:val="18"/>
              </w:rPr>
              <w:t>Art. 31a ust. 2 rozporządzenia delegowanego (UE) 2015/61</w:t>
            </w:r>
          </w:p>
          <w:p w14:paraId="04E3E9C9" w14:textId="77777777" w:rsidR="001A0B09" w:rsidRDefault="001A0B09">
            <w:pPr>
              <w:pStyle w:val="TableParagraph"/>
              <w:spacing w:line="275" w:lineRule="auto"/>
              <w:ind w:right="98"/>
              <w:jc w:val="both"/>
              <w:rPr>
                <w:rFonts w:ascii="Times New Roman" w:hAnsi="Times New Roman"/>
                <w:sz w:val="18"/>
              </w:rPr>
            </w:pPr>
          </w:p>
          <w:p w14:paraId="368C7865" w14:textId="6F8A9911" w:rsidR="001A0B09"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W tej sekcji instytucje kredytowe zgłaszają różnicę między wysokością zobowiązań umownych do udzielenia finansowania klientom niefinansowym a wysokością wpływów od takich klientów, o których mowa w art. 32 ust. 3 lit. a), w przypadku gdy kwota tych pierwszych przekracza kwotę tych drugich.</w:t>
            </w:r>
          </w:p>
        </w:tc>
      </w:tr>
      <w:tr w:rsidR="001A0B09" w14:paraId="479246E7" w14:textId="77777777" w:rsidTr="00454544">
        <w:tc>
          <w:tcPr>
            <w:tcW w:w="1457" w:type="dxa"/>
            <w:shd w:val="clear" w:color="auto" w:fill="auto"/>
            <w:vAlign w:val="center"/>
          </w:tcPr>
          <w:p w14:paraId="2C651947" w14:textId="77777777" w:rsidR="001A0B09" w:rsidRDefault="006E48EA">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1A0B09" w:rsidRDefault="001A0B09">
            <w:pPr>
              <w:pStyle w:val="TableParagraph"/>
              <w:jc w:val="both"/>
              <w:rPr>
                <w:rFonts w:ascii="Times New Roman" w:hAnsi="Times New Roman"/>
                <w:b/>
                <w:sz w:val="18"/>
                <w:u w:color="000000"/>
              </w:rPr>
            </w:pPr>
          </w:p>
          <w:p w14:paraId="14000ED0" w14:textId="77777777" w:rsidR="001A0B09" w:rsidRDefault="006E48EA">
            <w:pPr>
              <w:pStyle w:val="TableParagraph"/>
              <w:jc w:val="both"/>
              <w:rPr>
                <w:rFonts w:ascii="Times New Roman" w:eastAsia="Verdana" w:hAnsi="Times New Roman"/>
                <w:sz w:val="18"/>
                <w:szCs w:val="18"/>
              </w:rPr>
            </w:pPr>
            <w:r>
              <w:rPr>
                <w:rFonts w:ascii="Times New Roman" w:hAnsi="Times New Roman"/>
                <w:b/>
                <w:sz w:val="18"/>
                <w:u w:color="000000"/>
              </w:rPr>
              <w:t>1.1.8.4.1. nadwyżka finansowania udzielonego klientom detalicznym</w:t>
            </w:r>
          </w:p>
          <w:p w14:paraId="6144FC74" w14:textId="77777777" w:rsidR="001A0B09" w:rsidRDefault="001A0B09">
            <w:pPr>
              <w:pStyle w:val="TableParagraph"/>
              <w:spacing w:before="7"/>
              <w:jc w:val="both"/>
              <w:rPr>
                <w:rFonts w:ascii="Times New Roman" w:eastAsia="Times New Roman" w:hAnsi="Times New Roman"/>
                <w:sz w:val="24"/>
                <w:szCs w:val="24"/>
              </w:rPr>
            </w:pPr>
          </w:p>
          <w:p w14:paraId="2E95E581" w14:textId="4A64CE06" w:rsidR="001A0B09" w:rsidRDefault="006E48EA">
            <w:pPr>
              <w:pStyle w:val="TableParagraph"/>
              <w:jc w:val="both"/>
              <w:rPr>
                <w:rFonts w:ascii="Times New Roman" w:hAnsi="Times New Roman"/>
                <w:b/>
                <w:sz w:val="18"/>
                <w:u w:color="000000"/>
              </w:rPr>
            </w:pPr>
            <w:r>
              <w:rPr>
                <w:rFonts w:ascii="Times New Roman" w:hAnsi="Times New Roman"/>
                <w:sz w:val="18"/>
              </w:rPr>
              <w:lastRenderedPageBreak/>
              <w:t>W tej sekcji instytucje kredytowe zgłaszają różnicę między wysokością zobowiązań umownych do udzielenia finansowania klientom detalicznym a wysokością wpływów od takich klientów, o których mowa w art. 32 ust. 3 lit. a), w przypadku gdy kwota tych pierwszych przekracza kwotę tych drugich.</w:t>
            </w:r>
          </w:p>
        </w:tc>
      </w:tr>
      <w:tr w:rsidR="001A0B09" w14:paraId="09D69798" w14:textId="77777777" w:rsidTr="00454544">
        <w:tc>
          <w:tcPr>
            <w:tcW w:w="1457" w:type="dxa"/>
            <w:shd w:val="clear" w:color="auto" w:fill="auto"/>
            <w:vAlign w:val="center"/>
          </w:tcPr>
          <w:p w14:paraId="51B6D8DE" w14:textId="77777777" w:rsidR="001A0B09" w:rsidRDefault="006E48EA">
            <w:pPr>
              <w:pStyle w:val="TableParagraph"/>
              <w:ind w:left="135"/>
              <w:rPr>
                <w:rFonts w:ascii="Times New Roman" w:hAnsi="Times New Roman"/>
                <w:sz w:val="18"/>
              </w:rPr>
            </w:pPr>
            <w:r>
              <w:rPr>
                <w:rFonts w:ascii="Times New Roman" w:hAnsi="Times New Roman"/>
                <w:sz w:val="18"/>
              </w:rPr>
              <w:lastRenderedPageBreak/>
              <w:t>914</w:t>
            </w:r>
          </w:p>
        </w:tc>
        <w:tc>
          <w:tcPr>
            <w:tcW w:w="6946" w:type="dxa"/>
            <w:shd w:val="clear" w:color="auto" w:fill="auto"/>
          </w:tcPr>
          <w:p w14:paraId="6EAAAB64" w14:textId="77777777" w:rsidR="001A0B09" w:rsidRDefault="001A0B09">
            <w:pPr>
              <w:pStyle w:val="TableParagraph"/>
              <w:spacing w:line="217" w:lineRule="exact"/>
              <w:jc w:val="both"/>
              <w:rPr>
                <w:rFonts w:ascii="Times New Roman" w:hAnsi="Times New Roman"/>
                <w:b/>
                <w:sz w:val="18"/>
                <w:u w:color="000000"/>
              </w:rPr>
            </w:pPr>
          </w:p>
          <w:p w14:paraId="247E0701" w14:textId="77777777" w:rsidR="001A0B09"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nadwyżka finansowania udzielonego przedsiębiorstwom niefinansowym</w:t>
            </w:r>
          </w:p>
          <w:p w14:paraId="11DF6597" w14:textId="77777777" w:rsidR="001A0B09" w:rsidRDefault="001A0B09">
            <w:pPr>
              <w:pStyle w:val="TableParagraph"/>
              <w:spacing w:before="9"/>
              <w:jc w:val="both"/>
              <w:rPr>
                <w:rFonts w:ascii="Times New Roman" w:eastAsia="Times New Roman" w:hAnsi="Times New Roman"/>
                <w:sz w:val="24"/>
                <w:szCs w:val="24"/>
              </w:rPr>
            </w:pPr>
          </w:p>
          <w:p w14:paraId="42491C7C" w14:textId="02D617D3" w:rsidR="001A0B09" w:rsidRDefault="006E48EA">
            <w:pPr>
              <w:pStyle w:val="TableParagraph"/>
              <w:jc w:val="both"/>
              <w:rPr>
                <w:rFonts w:ascii="Times New Roman" w:hAnsi="Times New Roman"/>
                <w:b/>
                <w:sz w:val="18"/>
                <w:u w:color="000000"/>
              </w:rPr>
            </w:pPr>
            <w:r>
              <w:rPr>
                <w:rFonts w:ascii="Times New Roman" w:hAnsi="Times New Roman"/>
                <w:sz w:val="18"/>
              </w:rPr>
              <w:t>W tej sekcji instytucje kredytowe zgłaszają różnicę między wysokością zobowiązań umownych do udzielenia finansowania przedsiębiorstwom niefinansowym a wysokością wpływów od takich klientów, o których mowa w art. 32 ust. 3 lit. a), w przypadku gdy kwota tych pierwszych przekracza kwotę tych drugich.</w:t>
            </w:r>
          </w:p>
        </w:tc>
      </w:tr>
      <w:tr w:rsidR="001A0B09" w14:paraId="34017190" w14:textId="77777777" w:rsidTr="00454544">
        <w:tc>
          <w:tcPr>
            <w:tcW w:w="1457" w:type="dxa"/>
            <w:shd w:val="clear" w:color="auto" w:fill="auto"/>
            <w:vAlign w:val="center"/>
          </w:tcPr>
          <w:p w14:paraId="08824DD5" w14:textId="77777777" w:rsidR="001A0B09"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1A0B09" w:rsidRDefault="001A0B09">
            <w:pPr>
              <w:pStyle w:val="TableParagraph"/>
              <w:jc w:val="both"/>
              <w:rPr>
                <w:rFonts w:ascii="Times New Roman" w:hAnsi="Times New Roman"/>
                <w:b/>
                <w:sz w:val="18"/>
                <w:u w:color="000000"/>
              </w:rPr>
            </w:pPr>
          </w:p>
          <w:p w14:paraId="6C5AD11C" w14:textId="77777777" w:rsidR="001A0B09" w:rsidRDefault="006E48EA">
            <w:pPr>
              <w:pStyle w:val="TableParagraph"/>
              <w:jc w:val="both"/>
              <w:rPr>
                <w:rFonts w:ascii="Times New Roman" w:eastAsia="Verdana" w:hAnsi="Times New Roman"/>
                <w:sz w:val="18"/>
                <w:szCs w:val="18"/>
              </w:rPr>
            </w:pPr>
            <w:r>
              <w:rPr>
                <w:rFonts w:ascii="Times New Roman" w:hAnsi="Times New Roman"/>
                <w:b/>
                <w:sz w:val="18"/>
                <w:u w:color="000000"/>
              </w:rPr>
              <w:t>1.1.8.4.3. nadwyżka finansowania udzielonego państwom, wielostronnym bankom rozwoju i podmiotom sektora publicznego</w:t>
            </w:r>
          </w:p>
          <w:p w14:paraId="731512C9" w14:textId="77777777" w:rsidR="001A0B09" w:rsidRDefault="001A0B09">
            <w:pPr>
              <w:pStyle w:val="TableParagraph"/>
              <w:spacing w:before="9"/>
              <w:jc w:val="both"/>
              <w:rPr>
                <w:rFonts w:ascii="Times New Roman" w:eastAsia="Times New Roman" w:hAnsi="Times New Roman"/>
                <w:sz w:val="24"/>
                <w:szCs w:val="24"/>
              </w:rPr>
            </w:pPr>
          </w:p>
          <w:p w14:paraId="0A7E8D5A" w14:textId="025066CF" w:rsidR="001A0B09" w:rsidRDefault="006E48EA">
            <w:pPr>
              <w:pStyle w:val="TableParagraph"/>
              <w:jc w:val="both"/>
              <w:rPr>
                <w:rFonts w:ascii="Times New Roman" w:hAnsi="Times New Roman"/>
                <w:b/>
                <w:sz w:val="18"/>
                <w:u w:color="000000"/>
              </w:rPr>
            </w:pPr>
            <w:r>
              <w:rPr>
                <w:rFonts w:ascii="Times New Roman" w:hAnsi="Times New Roman"/>
                <w:sz w:val="18"/>
              </w:rPr>
              <w:t>W tej sekcji instytucje kredytowe zgłaszają różnicę między wysokością zobowiązań umownych do udzielenia finansowania państwom, wielostronnym bankom rozwoju i podmiotom sektora publicznego a wysokością wpływów od takich klientów, o których mowa w art. 32 ust. 3 lit. a), w przypadku gdy kwota tych pierwszych przekracza kwotę tych drugich.</w:t>
            </w:r>
          </w:p>
        </w:tc>
      </w:tr>
      <w:tr w:rsidR="001A0B09" w14:paraId="725A1ED7" w14:textId="77777777" w:rsidTr="00454544">
        <w:tc>
          <w:tcPr>
            <w:tcW w:w="1457" w:type="dxa"/>
            <w:shd w:val="clear" w:color="auto" w:fill="auto"/>
            <w:vAlign w:val="center"/>
          </w:tcPr>
          <w:p w14:paraId="366E802C" w14:textId="77777777" w:rsidR="001A0B09"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1A0B09" w:rsidRDefault="001A0B09">
            <w:pPr>
              <w:pStyle w:val="TableParagraph"/>
              <w:jc w:val="both"/>
              <w:rPr>
                <w:rFonts w:ascii="Times New Roman" w:hAnsi="Times New Roman"/>
                <w:b/>
                <w:sz w:val="18"/>
                <w:u w:color="000000"/>
              </w:rPr>
            </w:pPr>
          </w:p>
          <w:p w14:paraId="2505C02C" w14:textId="77777777" w:rsidR="001A0B09" w:rsidRDefault="006E48EA">
            <w:pPr>
              <w:pStyle w:val="TableParagraph"/>
              <w:jc w:val="both"/>
              <w:rPr>
                <w:rFonts w:ascii="Times New Roman" w:eastAsia="Verdana" w:hAnsi="Times New Roman"/>
                <w:sz w:val="18"/>
                <w:szCs w:val="18"/>
              </w:rPr>
            </w:pPr>
            <w:r>
              <w:rPr>
                <w:rFonts w:ascii="Times New Roman" w:hAnsi="Times New Roman"/>
                <w:b/>
                <w:sz w:val="18"/>
                <w:u w:color="000000"/>
              </w:rPr>
              <w:t>1.1.8.4.4. nadwyżka finansowania udzielonego innym podmiotom prawnym</w:t>
            </w:r>
          </w:p>
          <w:p w14:paraId="68AA18F2" w14:textId="77777777" w:rsidR="001A0B09" w:rsidRDefault="001A0B09">
            <w:pPr>
              <w:pStyle w:val="TableParagraph"/>
              <w:spacing w:before="9"/>
              <w:jc w:val="both"/>
              <w:rPr>
                <w:rFonts w:ascii="Times New Roman" w:eastAsia="Times New Roman" w:hAnsi="Times New Roman"/>
                <w:sz w:val="24"/>
                <w:szCs w:val="24"/>
              </w:rPr>
            </w:pPr>
          </w:p>
          <w:p w14:paraId="608BE842" w14:textId="4044CFD0" w:rsidR="001A0B09" w:rsidRDefault="006E48EA">
            <w:pPr>
              <w:pStyle w:val="TableParagraph"/>
              <w:jc w:val="both"/>
              <w:rPr>
                <w:rFonts w:ascii="Times New Roman" w:hAnsi="Times New Roman"/>
                <w:b/>
                <w:sz w:val="18"/>
                <w:u w:color="000000"/>
              </w:rPr>
            </w:pPr>
            <w:r>
              <w:rPr>
                <w:rFonts w:ascii="Times New Roman" w:hAnsi="Times New Roman"/>
                <w:sz w:val="18"/>
              </w:rPr>
              <w:t>W tej sekcji instytucje kredytowe zgłaszają różnicę między wysokością zobowiązań umownych do udzielenia finansowania innym podmiotom prawnym a wysokością wpływów od takich klientów, o których mowa w art. 32 ust. 3 lit. a), w przypadku gdy kwota tych pierwszych przekracza kwotę tych drugich.</w:t>
            </w:r>
          </w:p>
        </w:tc>
      </w:tr>
      <w:tr w:rsidR="001A0B09" w14:paraId="372B309D" w14:textId="77777777" w:rsidTr="00454544">
        <w:tc>
          <w:tcPr>
            <w:tcW w:w="1457" w:type="dxa"/>
            <w:shd w:val="clear" w:color="auto" w:fill="auto"/>
            <w:vAlign w:val="center"/>
          </w:tcPr>
          <w:p w14:paraId="065E0968" w14:textId="77777777" w:rsidR="001A0B09"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1A0B09" w:rsidRDefault="001A0B09">
            <w:pPr>
              <w:pStyle w:val="TableParagraph"/>
              <w:jc w:val="both"/>
              <w:rPr>
                <w:rFonts w:ascii="Times New Roman" w:hAnsi="Times New Roman"/>
                <w:b/>
                <w:sz w:val="18"/>
                <w:u w:color="000000"/>
              </w:rPr>
            </w:pPr>
          </w:p>
          <w:p w14:paraId="4B4E4468" w14:textId="77777777" w:rsidR="001A0B09" w:rsidRDefault="006E48EA">
            <w:pPr>
              <w:pStyle w:val="TableParagraph"/>
              <w:jc w:val="both"/>
              <w:rPr>
                <w:rFonts w:ascii="Times New Roman" w:eastAsia="Verdana" w:hAnsi="Times New Roman"/>
                <w:sz w:val="18"/>
                <w:szCs w:val="18"/>
              </w:rPr>
            </w:pPr>
            <w:r>
              <w:rPr>
                <w:rFonts w:ascii="Times New Roman" w:hAnsi="Times New Roman"/>
                <w:b/>
                <w:sz w:val="18"/>
                <w:u w:color="000000"/>
              </w:rPr>
              <w:t>1.1.8.5. aktywa pożyczone bez zabezpieczenia</w:t>
            </w:r>
          </w:p>
          <w:p w14:paraId="14A32293" w14:textId="77777777" w:rsidR="001A0B09" w:rsidRDefault="001A0B09">
            <w:pPr>
              <w:pStyle w:val="TableParagraph"/>
              <w:spacing w:before="7"/>
              <w:jc w:val="both"/>
              <w:rPr>
                <w:rFonts w:ascii="Times New Roman" w:eastAsia="Times New Roman" w:hAnsi="Times New Roman"/>
                <w:sz w:val="24"/>
                <w:szCs w:val="24"/>
              </w:rPr>
            </w:pPr>
          </w:p>
          <w:p w14:paraId="51721E3E" w14:textId="2AE52E70" w:rsidR="001A0B09" w:rsidRDefault="006E48EA">
            <w:pPr>
              <w:pStyle w:val="TableParagraph"/>
              <w:jc w:val="both"/>
              <w:rPr>
                <w:rFonts w:ascii="Times New Roman" w:eastAsia="Verdana" w:hAnsi="Times New Roman"/>
                <w:sz w:val="18"/>
                <w:szCs w:val="18"/>
              </w:rPr>
            </w:pPr>
            <w:r>
              <w:rPr>
                <w:rFonts w:ascii="Times New Roman" w:hAnsi="Times New Roman"/>
                <w:sz w:val="18"/>
              </w:rPr>
              <w:t>Art. 28 ust. 7 rozporządzenia delegowanego (UE) 2015/61</w:t>
            </w:r>
          </w:p>
          <w:p w14:paraId="21FF1D3F" w14:textId="77777777" w:rsidR="001A0B09" w:rsidRDefault="001A0B09">
            <w:pPr>
              <w:pStyle w:val="TableParagraph"/>
              <w:spacing w:before="9"/>
              <w:jc w:val="both"/>
              <w:rPr>
                <w:rFonts w:ascii="Times New Roman" w:eastAsia="Times New Roman" w:hAnsi="Times New Roman"/>
                <w:sz w:val="24"/>
                <w:szCs w:val="24"/>
              </w:rPr>
            </w:pPr>
          </w:p>
          <w:p w14:paraId="5311C2DE" w14:textId="35334A4B" w:rsidR="001A0B09"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W tej sekcji instytucje kredytowe zgłaszają aktywa pożyczone bez zabezpieczenia, których termin wymagalności przypada w ciągu 30 dni kalendarzowych. Przyjmuje się, że aktywa te wypłyną w całości, prowadząc do wypływu w wysokości 100 %.</w:t>
            </w:r>
          </w:p>
          <w:p w14:paraId="6B6D9557" w14:textId="77777777" w:rsidR="001A0B09" w:rsidRDefault="001A0B09">
            <w:pPr>
              <w:pStyle w:val="TableParagraph"/>
              <w:spacing w:before="11"/>
              <w:jc w:val="both"/>
              <w:rPr>
                <w:rFonts w:ascii="Times New Roman" w:eastAsia="Times New Roman" w:hAnsi="Times New Roman"/>
                <w:sz w:val="21"/>
                <w:szCs w:val="21"/>
              </w:rPr>
            </w:pPr>
          </w:p>
          <w:p w14:paraId="66070A83" w14:textId="77777777" w:rsidR="001A0B09" w:rsidRDefault="006E48EA">
            <w:pPr>
              <w:pStyle w:val="TableParagraph"/>
              <w:jc w:val="both"/>
              <w:rPr>
                <w:rFonts w:ascii="Times New Roman" w:hAnsi="Times New Roman"/>
                <w:b/>
                <w:sz w:val="18"/>
                <w:u w:color="000000"/>
              </w:rPr>
            </w:pPr>
            <w:r>
              <w:rPr>
                <w:rFonts w:ascii="Times New Roman" w:hAnsi="Times New Roman"/>
                <w:sz w:val="18"/>
              </w:rPr>
              <w:t>Instytucje kredytowe zgłaszają wartość rynkową aktywów pożyczonych bez zabezpieczenia, których termin wymagalności przypada w ciągu 30 dni kalendarzowych, w przypadku gdy instytucja kredytowa nie jest właścicielem papierów wartościowych i nie stanowią one części jej zabezpieczenia przed utratą płynności.</w:t>
            </w:r>
          </w:p>
        </w:tc>
      </w:tr>
      <w:tr w:rsidR="001A0B09" w14:paraId="55F1E6FB" w14:textId="77777777" w:rsidTr="00454544">
        <w:tc>
          <w:tcPr>
            <w:tcW w:w="1457" w:type="dxa"/>
            <w:shd w:val="clear" w:color="auto" w:fill="auto"/>
            <w:vAlign w:val="center"/>
          </w:tcPr>
          <w:p w14:paraId="0EF4B587" w14:textId="77777777" w:rsidR="001A0B09"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1A0B09" w:rsidRDefault="001A0B09">
            <w:pPr>
              <w:pStyle w:val="TableParagraph"/>
              <w:jc w:val="both"/>
              <w:rPr>
                <w:rFonts w:ascii="Times New Roman" w:hAnsi="Times New Roman"/>
                <w:b/>
                <w:sz w:val="18"/>
                <w:u w:color="000000"/>
              </w:rPr>
            </w:pPr>
          </w:p>
          <w:p w14:paraId="4EFCF2A8" w14:textId="77777777" w:rsidR="001A0B09" w:rsidRDefault="006E48EA">
            <w:pPr>
              <w:pStyle w:val="TableParagraph"/>
              <w:jc w:val="both"/>
              <w:rPr>
                <w:rFonts w:ascii="Times New Roman" w:hAnsi="Times New Roman"/>
                <w:b/>
                <w:sz w:val="18"/>
                <w:u w:color="000000"/>
              </w:rPr>
            </w:pPr>
            <w:r>
              <w:rPr>
                <w:rFonts w:ascii="Times New Roman" w:hAnsi="Times New Roman"/>
                <w:b/>
                <w:sz w:val="18"/>
                <w:u w:color="000000"/>
              </w:rPr>
              <w:t>1.1.8.6. inne</w:t>
            </w:r>
          </w:p>
          <w:p w14:paraId="58F5F5F7" w14:textId="77777777" w:rsidR="001A0B09" w:rsidRDefault="001A0B09">
            <w:pPr>
              <w:pStyle w:val="TableParagraph"/>
              <w:jc w:val="both"/>
              <w:rPr>
                <w:rFonts w:ascii="Times New Roman" w:hAnsi="Times New Roman"/>
                <w:b/>
                <w:sz w:val="18"/>
                <w:u w:color="000000"/>
              </w:rPr>
            </w:pPr>
          </w:p>
          <w:p w14:paraId="0E24DA9D" w14:textId="5AF722A5" w:rsidR="001A0B09" w:rsidRDefault="00555504">
            <w:pPr>
              <w:pStyle w:val="TableParagraph"/>
              <w:jc w:val="both"/>
              <w:rPr>
                <w:rFonts w:ascii="Times New Roman" w:hAnsi="Times New Roman"/>
                <w:sz w:val="18"/>
              </w:rPr>
            </w:pPr>
            <w:r>
              <w:rPr>
                <w:rFonts w:ascii="Times New Roman" w:hAnsi="Times New Roman"/>
                <w:sz w:val="18"/>
              </w:rPr>
              <w:t>Art. 31a ust. 1 rozporządzenia delegowanego (UE) 2015/61</w:t>
            </w:r>
          </w:p>
          <w:p w14:paraId="69CC9F5B" w14:textId="77777777" w:rsidR="001A0B09" w:rsidRDefault="001A0B09">
            <w:pPr>
              <w:pStyle w:val="TableParagraph"/>
              <w:jc w:val="both"/>
              <w:rPr>
                <w:rFonts w:ascii="Times New Roman" w:hAnsi="Times New Roman"/>
                <w:sz w:val="18"/>
                <w:u w:color="000000"/>
              </w:rPr>
            </w:pPr>
          </w:p>
          <w:p w14:paraId="1DD86F88" w14:textId="55F8E7B6" w:rsidR="001A0B09" w:rsidRDefault="00555504">
            <w:pPr>
              <w:pStyle w:val="TableParagraph"/>
              <w:jc w:val="both"/>
              <w:rPr>
                <w:rFonts w:ascii="Times New Roman" w:hAnsi="Times New Roman"/>
                <w:sz w:val="18"/>
              </w:rPr>
            </w:pPr>
            <w:r>
              <w:rPr>
                <w:rFonts w:ascii="Times New Roman" w:hAnsi="Times New Roman"/>
                <w:sz w:val="18"/>
              </w:rPr>
              <w:t>Instytucje kredytowe zgłaszają kwotę salda wszelkich zobowiązań, które stają się wymagalne w ciągu 30 najbliższych dni kalendarzowych, zobowiązań innych niż te, o których mowa w art. 24–31 rozporządzenia delegowanego (UE) 2015/61.</w:t>
            </w:r>
          </w:p>
          <w:p w14:paraId="32FC5BD4" w14:textId="77777777" w:rsidR="001A0B09" w:rsidRDefault="001A0B09">
            <w:pPr>
              <w:pStyle w:val="TableParagraph"/>
              <w:jc w:val="both"/>
              <w:rPr>
                <w:rFonts w:ascii="Times New Roman" w:hAnsi="Times New Roman"/>
                <w:sz w:val="18"/>
                <w:u w:color="000000"/>
              </w:rPr>
            </w:pPr>
          </w:p>
          <w:p w14:paraId="2F6263A2" w14:textId="48DE0DCE" w:rsidR="001A0B09" w:rsidRDefault="007453EC">
            <w:pPr>
              <w:pStyle w:val="TableParagraph"/>
              <w:jc w:val="both"/>
              <w:rPr>
                <w:rFonts w:ascii="Times New Roman" w:hAnsi="Times New Roman"/>
                <w:sz w:val="18"/>
                <w:u w:color="000000"/>
              </w:rPr>
            </w:pPr>
            <w:r>
              <w:rPr>
                <w:rFonts w:ascii="Times New Roman" w:hAnsi="Times New Roman"/>
                <w:sz w:val="18"/>
                <w:u w:color="000000"/>
              </w:rPr>
              <w:t>W tym wierszu należy uwzględnić jedynie pozostałe wypływy z tytułu niezabezpieczonych transakcji. Zabezpieczone transakcje zgłasza się w pozycji 1.2. jako „Wypływy z zabezpieczonych transakcji kredytowych i transakcji opartych na rynku kapitałowym” oraz w pozycji 1.3. jako „Wypływy razem z tytułu transakcji zabezpieczających swap”.</w:t>
            </w:r>
          </w:p>
          <w:p w14:paraId="6B23C2B7" w14:textId="77777777" w:rsidR="001A0B09" w:rsidRDefault="001A0B09">
            <w:pPr>
              <w:pStyle w:val="TableParagraph"/>
              <w:jc w:val="both"/>
              <w:rPr>
                <w:rFonts w:ascii="Times New Roman" w:hAnsi="Times New Roman"/>
                <w:sz w:val="18"/>
                <w:u w:color="000000"/>
              </w:rPr>
            </w:pPr>
          </w:p>
        </w:tc>
      </w:tr>
      <w:tr w:rsidR="001A0B09" w14:paraId="26308457" w14:textId="77777777" w:rsidTr="00454544">
        <w:tc>
          <w:tcPr>
            <w:tcW w:w="1457" w:type="dxa"/>
            <w:shd w:val="clear" w:color="auto" w:fill="auto"/>
            <w:vAlign w:val="center"/>
          </w:tcPr>
          <w:p w14:paraId="3C3718CE"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1A0B09" w:rsidRDefault="001A0B09">
            <w:pPr>
              <w:pStyle w:val="TableParagraph"/>
              <w:spacing w:before="9"/>
              <w:jc w:val="both"/>
              <w:rPr>
                <w:rFonts w:ascii="Times New Roman" w:eastAsia="Times New Roman" w:hAnsi="Times New Roman"/>
                <w:sz w:val="21"/>
                <w:szCs w:val="21"/>
              </w:rPr>
            </w:pPr>
          </w:p>
          <w:p w14:paraId="51D41FB8" w14:textId="77777777"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1.2. Wypływy z zabezpieczonych transakcji kredytowych i transakcji opartych</w:t>
            </w:r>
            <w:r>
              <w:rPr>
                <w:rFonts w:ascii="Times New Roman" w:hAnsi="Times New Roman"/>
                <w:b/>
                <w:sz w:val="18"/>
              </w:rPr>
              <w:t xml:space="preserve"> </w:t>
            </w:r>
            <w:r>
              <w:rPr>
                <w:rFonts w:ascii="Times New Roman" w:hAnsi="Times New Roman"/>
                <w:b/>
                <w:sz w:val="18"/>
                <w:u w:color="000000"/>
              </w:rPr>
              <w:t>na rynku kapitałowym</w:t>
            </w:r>
          </w:p>
          <w:p w14:paraId="51D1BA3F" w14:textId="77777777" w:rsidR="001A0B09" w:rsidRDefault="001A0B09">
            <w:pPr>
              <w:pStyle w:val="TableParagraph"/>
              <w:spacing w:before="11"/>
              <w:jc w:val="both"/>
              <w:rPr>
                <w:rFonts w:ascii="Times New Roman" w:eastAsia="Times New Roman" w:hAnsi="Times New Roman"/>
                <w:sz w:val="21"/>
                <w:szCs w:val="21"/>
              </w:rPr>
            </w:pPr>
          </w:p>
          <w:p w14:paraId="75E2EC02" w14:textId="09C465C4"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Art. 28 ust. 3 rozporządzenia delegowanego (UE) 2015/61</w:t>
            </w:r>
          </w:p>
          <w:p w14:paraId="1D8502DD" w14:textId="77777777" w:rsidR="001A0B09" w:rsidRDefault="001A0B09">
            <w:pPr>
              <w:pStyle w:val="TableParagraph"/>
              <w:spacing w:before="9"/>
              <w:jc w:val="both"/>
              <w:rPr>
                <w:rFonts w:ascii="Times New Roman" w:eastAsia="Times New Roman" w:hAnsi="Times New Roman"/>
                <w:sz w:val="24"/>
                <w:szCs w:val="24"/>
              </w:rPr>
            </w:pPr>
          </w:p>
          <w:p w14:paraId="12CB8EC3" w14:textId="1F1D4977" w:rsidR="001A0B09"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 xml:space="preserve">W tej sekcji instytucje kredytowe zgłaszają wypływy wynikające z zabezpieczonych transakcji kredytowych i transakcji opartych na rynku kapitałowym zdefiniowanych w art. 192 pkt 2 i 3 rozporządzenia (UE) nr 575/2013. Transakcje zabezpieczające swap (tj. </w:t>
            </w:r>
            <w:r>
              <w:rPr>
                <w:rFonts w:ascii="Times New Roman" w:hAnsi="Times New Roman"/>
                <w:sz w:val="18"/>
              </w:rPr>
              <w:lastRenderedPageBreak/>
              <w:t>swap instrumentów zabezpieczających obejmujący transakcje polegające na zamianie instrumentów zabezpieczających) zgłasza się w formularzu C 75.01 określonym w załączniku XXIV.</w:t>
            </w:r>
          </w:p>
        </w:tc>
      </w:tr>
      <w:tr w:rsidR="001A0B09" w14:paraId="0BB6D654" w14:textId="77777777" w:rsidTr="00454544">
        <w:tc>
          <w:tcPr>
            <w:tcW w:w="1457" w:type="dxa"/>
            <w:shd w:val="clear" w:color="auto" w:fill="auto"/>
            <w:vAlign w:val="center"/>
          </w:tcPr>
          <w:p w14:paraId="2E51CB9B"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930</w:t>
            </w:r>
          </w:p>
        </w:tc>
        <w:tc>
          <w:tcPr>
            <w:tcW w:w="6946" w:type="dxa"/>
            <w:shd w:val="clear" w:color="auto" w:fill="auto"/>
          </w:tcPr>
          <w:p w14:paraId="12FCD686" w14:textId="77777777" w:rsidR="001A0B09" w:rsidRDefault="001A0B09">
            <w:pPr>
              <w:pStyle w:val="TableParagraph"/>
              <w:spacing w:before="9"/>
              <w:jc w:val="both"/>
              <w:rPr>
                <w:rFonts w:ascii="Times New Roman" w:eastAsia="Times New Roman" w:hAnsi="Times New Roman"/>
                <w:sz w:val="21"/>
                <w:szCs w:val="21"/>
              </w:rPr>
            </w:pPr>
          </w:p>
          <w:p w14:paraId="08BE84A9" w14:textId="77777777" w:rsidR="001A0B09"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Kontrahentem jest bank centralny</w:t>
            </w:r>
          </w:p>
          <w:p w14:paraId="0FF400CB" w14:textId="77777777" w:rsidR="001A0B09" w:rsidRDefault="001A0B09">
            <w:pPr>
              <w:pStyle w:val="TableParagraph"/>
              <w:spacing w:line="275" w:lineRule="auto"/>
              <w:ind w:left="102" w:right="98"/>
              <w:jc w:val="both"/>
              <w:rPr>
                <w:rFonts w:ascii="Times New Roman" w:hAnsi="Times New Roman"/>
                <w:sz w:val="18"/>
              </w:rPr>
            </w:pPr>
          </w:p>
          <w:p w14:paraId="1ECF2478" w14:textId="77777777" w:rsidR="001A0B09" w:rsidRDefault="006E48EA">
            <w:pPr>
              <w:pStyle w:val="TableParagraph"/>
              <w:spacing w:line="275" w:lineRule="auto"/>
              <w:ind w:left="102" w:right="98"/>
              <w:jc w:val="both"/>
              <w:rPr>
                <w:rFonts w:ascii="Times New Roman" w:hAnsi="Times New Roman"/>
                <w:sz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jest bank centralny.</w:t>
            </w:r>
          </w:p>
        </w:tc>
      </w:tr>
      <w:tr w:rsidR="001A0B09" w14:paraId="4CE3B9D7" w14:textId="77777777" w:rsidTr="00454544">
        <w:tc>
          <w:tcPr>
            <w:tcW w:w="1457" w:type="dxa"/>
            <w:shd w:val="clear" w:color="auto" w:fill="auto"/>
            <w:vAlign w:val="center"/>
          </w:tcPr>
          <w:p w14:paraId="004919FA"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1A0B09" w:rsidRDefault="001A0B09">
            <w:pPr>
              <w:pStyle w:val="TableParagraph"/>
              <w:spacing w:before="9"/>
              <w:jc w:val="both"/>
              <w:rPr>
                <w:rFonts w:ascii="Times New Roman" w:eastAsia="Times New Roman" w:hAnsi="Times New Roman"/>
                <w:sz w:val="21"/>
                <w:szCs w:val="21"/>
              </w:rPr>
            </w:pPr>
          </w:p>
          <w:p w14:paraId="48979F10"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zabezpieczenie aktywami poziomu 1, z wyłączeniem obligacji zabezpieczonych charakteryzujących się wyjątkowo wysoką jakością</w:t>
            </w:r>
          </w:p>
          <w:p w14:paraId="7BBE1297" w14:textId="77777777" w:rsidR="001A0B09" w:rsidRDefault="001A0B09">
            <w:pPr>
              <w:pStyle w:val="TableParagraph"/>
              <w:spacing w:before="7"/>
              <w:jc w:val="both"/>
              <w:rPr>
                <w:rFonts w:ascii="Times New Roman" w:eastAsia="Times New Roman" w:hAnsi="Times New Roman"/>
                <w:sz w:val="24"/>
                <w:szCs w:val="24"/>
              </w:rPr>
            </w:pPr>
          </w:p>
          <w:p w14:paraId="45DC1ED8" w14:textId="3C55C217" w:rsidR="001A0B09" w:rsidRDefault="000378A5">
            <w:pPr>
              <w:pStyle w:val="TableParagraph"/>
              <w:ind w:left="135"/>
              <w:jc w:val="both"/>
              <w:rPr>
                <w:rFonts w:ascii="Times New Roman" w:eastAsia="Verdana" w:hAnsi="Times New Roman"/>
                <w:sz w:val="18"/>
                <w:szCs w:val="18"/>
              </w:rPr>
            </w:pPr>
            <w:r>
              <w:rPr>
                <w:rFonts w:ascii="Times New Roman" w:hAnsi="Times New Roman"/>
                <w:sz w:val="18"/>
              </w:rPr>
              <w:t>Art. 28 ust. 3 lit. a) rozporządzenia delegowanego (UE) 2015/61</w:t>
            </w:r>
          </w:p>
          <w:p w14:paraId="28982534" w14:textId="77777777" w:rsidR="001A0B09" w:rsidRDefault="001A0B09">
            <w:pPr>
              <w:pStyle w:val="TableParagraph"/>
              <w:spacing w:before="9"/>
              <w:jc w:val="both"/>
              <w:rPr>
                <w:rFonts w:ascii="Times New Roman" w:eastAsia="Times New Roman" w:hAnsi="Times New Roman"/>
                <w:sz w:val="24"/>
                <w:szCs w:val="24"/>
              </w:rPr>
            </w:pPr>
          </w:p>
          <w:p w14:paraId="6FD80278" w14:textId="49ABF444" w:rsidR="001A0B0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W tej sekcji instytucje kredytowe zgłaszają wypływy wynikające z zabezpieczonych transakcji kredytowych i transakcji opartych na rynku kapitałowym zdefiniowanych w art. 192 pkt 2 i 3 rozporządzenia (UE) nr 575/2013, w przypadku gdy kontrahentem jest bank centralny, a udzielonym zabezpieczeniem są składniki aktywów poziomu 1, z wyłączeniem obligacji zabezpieczonych charakteryzujących się wyjątkowo wysoką jakością, które gdyby nie to, że są wykorzystane jako zabezpieczenie dla tych transakcji, kwalifikowałyby się zgodnie z art. 7 i 10 rozporządzenia delegowanego (UE) 2015/61 jako składnik aktywów płynnych. </w:t>
            </w:r>
          </w:p>
        </w:tc>
      </w:tr>
      <w:tr w:rsidR="001A0B09" w14:paraId="73885469" w14:textId="77777777" w:rsidTr="00454544">
        <w:tc>
          <w:tcPr>
            <w:tcW w:w="1457" w:type="dxa"/>
            <w:shd w:val="clear" w:color="auto" w:fill="auto"/>
            <w:vAlign w:val="center"/>
          </w:tcPr>
          <w:p w14:paraId="575D5DDF" w14:textId="77777777" w:rsidR="001A0B09"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1A0B09"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1A0B09"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w tym: udzielone zabezpieczenie spełnia wymogi operacyjne</w:t>
            </w:r>
          </w:p>
          <w:p w14:paraId="2D1A8C60" w14:textId="77777777" w:rsidR="001A0B09" w:rsidRDefault="001A0B09">
            <w:pPr>
              <w:pStyle w:val="TableParagraph"/>
              <w:ind w:left="135"/>
              <w:jc w:val="both"/>
              <w:rPr>
                <w:rFonts w:ascii="Times New Roman" w:eastAsia="Verdana" w:hAnsi="Times New Roman"/>
                <w:sz w:val="18"/>
                <w:szCs w:val="18"/>
              </w:rPr>
            </w:pPr>
          </w:p>
          <w:p w14:paraId="6E88072E" w14:textId="28F2805F" w:rsidR="001A0B09" w:rsidRDefault="000378A5">
            <w:pPr>
              <w:pStyle w:val="TableParagraph"/>
              <w:spacing w:before="9"/>
              <w:ind w:left="176"/>
              <w:jc w:val="both"/>
              <w:rPr>
                <w:rFonts w:ascii="Times New Roman" w:hAnsi="Times New Roman"/>
                <w:sz w:val="18"/>
              </w:rPr>
            </w:pPr>
            <w:r>
              <w:rPr>
                <w:rFonts w:ascii="Times New Roman" w:hAnsi="Times New Roman"/>
                <w:sz w:val="18"/>
              </w:rPr>
              <w:t>Transakcje w pozycji 1.2.1.1,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 xml:space="preserve">rozporządzenia delegowanego (UE) 2015/61 jako składnik aktywów płynnych. </w:t>
            </w:r>
          </w:p>
        </w:tc>
      </w:tr>
      <w:tr w:rsidR="001A0B09" w14:paraId="0187E718" w14:textId="77777777" w:rsidTr="00454544">
        <w:tc>
          <w:tcPr>
            <w:tcW w:w="1457" w:type="dxa"/>
            <w:shd w:val="clear" w:color="auto" w:fill="auto"/>
            <w:vAlign w:val="center"/>
          </w:tcPr>
          <w:p w14:paraId="501B4524"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1A0B09" w:rsidRDefault="001A0B09">
            <w:pPr>
              <w:pStyle w:val="TableParagraph"/>
              <w:spacing w:before="9"/>
              <w:jc w:val="both"/>
              <w:rPr>
                <w:rFonts w:ascii="Times New Roman" w:eastAsia="Times New Roman" w:hAnsi="Times New Roman"/>
                <w:sz w:val="21"/>
                <w:szCs w:val="21"/>
              </w:rPr>
            </w:pPr>
          </w:p>
          <w:p w14:paraId="2AC020A1"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zabezpieczenie aktywami poziomu 1 w postaci obligacji zabezpieczonych charakteryzujących się wyjątkowo wysoką jakością</w:t>
            </w:r>
          </w:p>
          <w:p w14:paraId="27B07C35" w14:textId="77777777" w:rsidR="001A0B09" w:rsidRDefault="001A0B09">
            <w:pPr>
              <w:pStyle w:val="TableParagraph"/>
              <w:spacing w:before="9"/>
              <w:jc w:val="both"/>
              <w:rPr>
                <w:rFonts w:ascii="Times New Roman" w:eastAsia="Times New Roman" w:hAnsi="Times New Roman"/>
                <w:sz w:val="24"/>
                <w:szCs w:val="24"/>
              </w:rPr>
            </w:pPr>
          </w:p>
          <w:p w14:paraId="3899CE2D" w14:textId="26F0D9D2"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a) rozporządzenia delegowanego (UE) 2015/61</w:t>
            </w:r>
          </w:p>
          <w:p w14:paraId="7F8774C7" w14:textId="77777777" w:rsidR="001A0B09" w:rsidRDefault="001A0B09">
            <w:pPr>
              <w:pStyle w:val="TableParagraph"/>
              <w:spacing w:before="7"/>
              <w:jc w:val="both"/>
              <w:rPr>
                <w:rFonts w:ascii="Times New Roman" w:eastAsia="Times New Roman" w:hAnsi="Times New Roman"/>
                <w:sz w:val="24"/>
                <w:szCs w:val="24"/>
              </w:rPr>
            </w:pPr>
          </w:p>
          <w:p w14:paraId="0A97EDBB" w14:textId="53D2E645" w:rsidR="001A0B0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jest bank centralny, a udzielonym zabezpieczeniem są składniki aktywów poziomu 1 będące obligacjami zabezpieczonymi charakteryzującymi się wyjątkowo wysoką jakością,</w:t>
            </w:r>
            <w:r>
              <w:rPr>
                <w:rFonts w:ascii="Times New Roman" w:hAnsi="Times New Roman"/>
              </w:rPr>
              <w:t xml:space="preserve"> </w:t>
            </w:r>
            <w:r>
              <w:rPr>
                <w:rFonts w:ascii="Times New Roman" w:hAnsi="Times New Roman"/>
                <w:sz w:val="18"/>
              </w:rPr>
              <w:t>które gdyby nie to, że są wykorzystywane jako zabezpieczenie dla tych transakcji, kwalifikowałyby się zgodnie z art. 7 i 10 rozporządzenia delegowanego (UE) 2015/61 jako składnik aktywów płynnych.</w:t>
            </w:r>
          </w:p>
        </w:tc>
      </w:tr>
      <w:tr w:rsidR="001A0B09" w14:paraId="5493FE27" w14:textId="77777777" w:rsidTr="00454544">
        <w:tc>
          <w:tcPr>
            <w:tcW w:w="1457" w:type="dxa"/>
            <w:shd w:val="clear" w:color="auto" w:fill="auto"/>
            <w:vAlign w:val="center"/>
          </w:tcPr>
          <w:p w14:paraId="55B9341F" w14:textId="77777777" w:rsidR="001A0B09"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1A0B09" w:rsidRDefault="001A0B09">
            <w:pPr>
              <w:pStyle w:val="TableParagraph"/>
              <w:ind w:left="207"/>
              <w:jc w:val="both"/>
              <w:rPr>
                <w:rFonts w:ascii="Times New Roman" w:hAnsi="Times New Roman"/>
                <w:b/>
                <w:sz w:val="18"/>
                <w:u w:color="000000"/>
              </w:rPr>
            </w:pPr>
          </w:p>
          <w:p w14:paraId="6107E314"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w tym: udzielone zabezpieczenie spełnia wymogi operacyjne</w:t>
            </w:r>
          </w:p>
          <w:p w14:paraId="069F537B" w14:textId="77777777" w:rsidR="001A0B09" w:rsidRDefault="001A0B09">
            <w:pPr>
              <w:pStyle w:val="TableParagraph"/>
              <w:ind w:left="135"/>
              <w:jc w:val="both"/>
              <w:rPr>
                <w:rFonts w:ascii="Times New Roman" w:eastAsia="Verdana" w:hAnsi="Times New Roman"/>
                <w:sz w:val="18"/>
                <w:szCs w:val="18"/>
              </w:rPr>
            </w:pPr>
          </w:p>
          <w:p w14:paraId="295247AA" w14:textId="0D80EE15" w:rsidR="001A0B09" w:rsidRDefault="00D17D9F">
            <w:pPr>
              <w:pStyle w:val="TableParagraph"/>
              <w:spacing w:before="9"/>
              <w:ind w:left="176"/>
              <w:jc w:val="both"/>
              <w:rPr>
                <w:rFonts w:ascii="Times New Roman" w:hAnsi="Times New Roman"/>
                <w:sz w:val="18"/>
              </w:rPr>
            </w:pPr>
            <w:r>
              <w:rPr>
                <w:rFonts w:ascii="Times New Roman" w:hAnsi="Times New Roman"/>
                <w:sz w:val="18"/>
              </w:rPr>
              <w:t>Transakcje w pozycji 1.2.1.2,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0E136C31" w14:textId="77777777" w:rsidTr="00454544">
        <w:tc>
          <w:tcPr>
            <w:tcW w:w="1457" w:type="dxa"/>
            <w:shd w:val="clear" w:color="auto" w:fill="auto"/>
            <w:vAlign w:val="center"/>
          </w:tcPr>
          <w:p w14:paraId="4C89FD40" w14:textId="77777777" w:rsidR="001A0B09"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1A0B09" w:rsidRDefault="001A0B09">
            <w:pPr>
              <w:pStyle w:val="TableParagraph"/>
              <w:spacing w:before="9"/>
              <w:jc w:val="both"/>
              <w:rPr>
                <w:rFonts w:ascii="Times New Roman" w:eastAsia="Times New Roman" w:hAnsi="Times New Roman"/>
                <w:sz w:val="21"/>
                <w:szCs w:val="21"/>
              </w:rPr>
            </w:pPr>
          </w:p>
          <w:p w14:paraId="0500B4CB"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zabezpieczenie aktywami poziomu 2A</w:t>
            </w:r>
          </w:p>
          <w:p w14:paraId="072491D6" w14:textId="77777777" w:rsidR="001A0B09" w:rsidRDefault="001A0B09">
            <w:pPr>
              <w:pStyle w:val="TableParagraph"/>
              <w:spacing w:before="9"/>
              <w:jc w:val="both"/>
              <w:rPr>
                <w:rFonts w:ascii="Times New Roman" w:eastAsia="Times New Roman" w:hAnsi="Times New Roman"/>
                <w:sz w:val="24"/>
                <w:szCs w:val="24"/>
              </w:rPr>
            </w:pPr>
          </w:p>
          <w:p w14:paraId="20FB7A2A" w14:textId="25A6343C"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a) rozporządzenia delegowanego (UE) 2015/61</w:t>
            </w:r>
          </w:p>
          <w:p w14:paraId="6A8A524E" w14:textId="77777777" w:rsidR="001A0B09" w:rsidRDefault="001A0B09">
            <w:pPr>
              <w:pStyle w:val="TableParagraph"/>
              <w:spacing w:before="7"/>
              <w:jc w:val="both"/>
              <w:rPr>
                <w:rFonts w:ascii="Times New Roman" w:eastAsia="Times New Roman" w:hAnsi="Times New Roman"/>
                <w:sz w:val="24"/>
                <w:szCs w:val="24"/>
              </w:rPr>
            </w:pPr>
          </w:p>
          <w:p w14:paraId="57846B40" w14:textId="046A5B1E"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jest bank centralny, a udzielonym zabezpieczeniem jest składnik aktywów poziomu 2A,</w:t>
            </w:r>
            <w:r>
              <w:rPr>
                <w:rFonts w:ascii="Times New Roman" w:hAnsi="Times New Roman"/>
              </w:rPr>
              <w:t xml:space="preserve"> </w:t>
            </w:r>
            <w:r>
              <w:rPr>
                <w:rFonts w:ascii="Times New Roman" w:hAnsi="Times New Roman"/>
                <w:sz w:val="18"/>
              </w:rPr>
              <w:t xml:space="preserve">który gdyby nie to, że jest wykorzystywany jako zabezpieczenie dla tych transakcji, </w:t>
            </w:r>
            <w:r>
              <w:rPr>
                <w:rFonts w:ascii="Times New Roman" w:hAnsi="Times New Roman"/>
                <w:sz w:val="18"/>
              </w:rPr>
              <w:lastRenderedPageBreak/>
              <w:t>kwalifikowałby się zgodnie z art. 7 i 11 rozporządzenia delegowanego (UE) 2015/61 jako składnik aktywów płynnych.</w:t>
            </w:r>
          </w:p>
        </w:tc>
      </w:tr>
      <w:tr w:rsidR="001A0B09" w14:paraId="78210469" w14:textId="77777777" w:rsidTr="00454544">
        <w:tc>
          <w:tcPr>
            <w:tcW w:w="1457" w:type="dxa"/>
            <w:shd w:val="clear" w:color="auto" w:fill="auto"/>
            <w:vAlign w:val="center"/>
          </w:tcPr>
          <w:p w14:paraId="1A2A4388" w14:textId="77777777" w:rsidR="001A0B09" w:rsidRDefault="006E48EA">
            <w:pPr>
              <w:pStyle w:val="TableParagraph"/>
              <w:spacing w:before="133"/>
              <w:ind w:left="135"/>
              <w:rPr>
                <w:rFonts w:ascii="Times New Roman" w:hAnsi="Times New Roman"/>
                <w:sz w:val="18"/>
              </w:rPr>
            </w:pPr>
            <w:r>
              <w:rPr>
                <w:rFonts w:ascii="Times New Roman" w:hAnsi="Times New Roman"/>
                <w:sz w:val="18"/>
              </w:rPr>
              <w:lastRenderedPageBreak/>
              <w:t>965</w:t>
            </w:r>
          </w:p>
        </w:tc>
        <w:tc>
          <w:tcPr>
            <w:tcW w:w="6946" w:type="dxa"/>
            <w:shd w:val="clear" w:color="auto" w:fill="auto"/>
          </w:tcPr>
          <w:p w14:paraId="626D86EE" w14:textId="77777777" w:rsidR="001A0B09" w:rsidRDefault="001A0B09">
            <w:pPr>
              <w:pStyle w:val="TableParagraph"/>
              <w:ind w:left="207"/>
              <w:jc w:val="both"/>
              <w:rPr>
                <w:rFonts w:ascii="Times New Roman" w:hAnsi="Times New Roman"/>
                <w:b/>
                <w:sz w:val="18"/>
                <w:u w:color="000000"/>
              </w:rPr>
            </w:pPr>
          </w:p>
          <w:p w14:paraId="1EDE4017" w14:textId="77777777" w:rsidR="001A0B09"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w tym: udzielone zabezpieczenie spełnia wymogi operacyjne</w:t>
            </w:r>
          </w:p>
          <w:p w14:paraId="4F4D6DD9" w14:textId="77777777" w:rsidR="001A0B09" w:rsidRDefault="001A0B09">
            <w:pPr>
              <w:pStyle w:val="TableParagraph"/>
              <w:spacing w:before="9"/>
              <w:jc w:val="both"/>
              <w:rPr>
                <w:rFonts w:ascii="Times New Roman" w:eastAsia="Times New Roman" w:hAnsi="Times New Roman"/>
                <w:sz w:val="24"/>
                <w:szCs w:val="24"/>
              </w:rPr>
            </w:pPr>
          </w:p>
          <w:p w14:paraId="687C0036" w14:textId="5E27B920" w:rsidR="001A0B09" w:rsidRDefault="0065468A">
            <w:pPr>
              <w:pStyle w:val="TableParagraph"/>
              <w:spacing w:before="9"/>
              <w:ind w:left="207"/>
              <w:jc w:val="both"/>
              <w:rPr>
                <w:rFonts w:ascii="Times New Roman" w:hAnsi="Times New Roman"/>
                <w:sz w:val="18"/>
              </w:rPr>
            </w:pPr>
            <w:r>
              <w:rPr>
                <w:rFonts w:ascii="Times New Roman" w:hAnsi="Times New Roman"/>
                <w:sz w:val="18"/>
              </w:rPr>
              <w:t>Transakcje w pozycji 1.2.1.3,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720E3203" w14:textId="77777777" w:rsidTr="00454544">
        <w:tc>
          <w:tcPr>
            <w:tcW w:w="1457" w:type="dxa"/>
            <w:shd w:val="clear" w:color="auto" w:fill="auto"/>
            <w:vAlign w:val="center"/>
          </w:tcPr>
          <w:p w14:paraId="25B32675"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1A0B09" w:rsidRDefault="001A0B09">
            <w:pPr>
              <w:pStyle w:val="TableParagraph"/>
              <w:spacing w:before="9"/>
              <w:jc w:val="both"/>
              <w:rPr>
                <w:rFonts w:ascii="Times New Roman" w:eastAsia="Times New Roman" w:hAnsi="Times New Roman"/>
                <w:sz w:val="21"/>
                <w:szCs w:val="21"/>
              </w:rPr>
            </w:pPr>
          </w:p>
          <w:p w14:paraId="2D527E0F" w14:textId="77777777" w:rsidR="001A0B09"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1.2.1.4. zabezpieczenie aktywami poziomu 2B w postaci papierów wartościowych zabezpieczonych aktywami (kredyty na nieruchomości mieszkalne lub na zakup samochodów,</w:t>
            </w:r>
            <w:r>
              <w:rPr>
                <w:rFonts w:ascii="Times New Roman" w:hAnsi="Times New Roman"/>
                <w:b/>
                <w:sz w:val="18"/>
              </w:rPr>
              <w:t xml:space="preserve"> </w:t>
            </w:r>
            <w:r>
              <w:rPr>
                <w:rFonts w:ascii="Times New Roman" w:hAnsi="Times New Roman"/>
                <w:b/>
                <w:sz w:val="18"/>
                <w:u w:color="000000"/>
              </w:rPr>
              <w:t>CQS1)</w:t>
            </w:r>
          </w:p>
          <w:p w14:paraId="50BAC477" w14:textId="77777777" w:rsidR="001A0B09" w:rsidRDefault="001A0B09">
            <w:pPr>
              <w:pStyle w:val="TableParagraph"/>
              <w:spacing w:before="1"/>
              <w:jc w:val="both"/>
              <w:rPr>
                <w:rFonts w:ascii="Times New Roman" w:eastAsia="Times New Roman" w:hAnsi="Times New Roman"/>
              </w:rPr>
            </w:pPr>
          </w:p>
          <w:p w14:paraId="280FD9DB" w14:textId="363C5917"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a) rozporządzenia delegowanego (UE) 2015/61</w:t>
            </w:r>
          </w:p>
          <w:p w14:paraId="03256B1F" w14:textId="77777777" w:rsidR="001A0B09" w:rsidRDefault="001A0B09">
            <w:pPr>
              <w:pStyle w:val="TableParagraph"/>
              <w:spacing w:before="9"/>
              <w:jc w:val="both"/>
              <w:rPr>
                <w:rFonts w:ascii="Times New Roman" w:eastAsia="Times New Roman" w:hAnsi="Times New Roman"/>
                <w:sz w:val="24"/>
                <w:szCs w:val="24"/>
              </w:rPr>
            </w:pPr>
          </w:p>
          <w:p w14:paraId="4D8B3F74" w14:textId="65648C93" w:rsidR="001A0B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Instytucje kredytowe zgłaszają w tej pozycji wypływy z tytułu zabezpieczonych transakcji kredytowych i transakcji opartych na rynku kapitałowym określonych w art. 192 pkt 2 i 3 rozporządzenia (UE) nr 575/2013, gdy kontrahentem jest bank centralny i gdy zastosowano zabezpieczenie w postaci zabezpieczonych papierów wartościowych, których udzielonym zabezpieczeniem są aktywa poziomu 2B w postaci spłat mieszkaniowych kredytów hipotecznych lub opartych na kredytach i leasingu na sfinansowanie pojazdu silnikowego, objętych stopniem jakości kredytowej równym 1 i które spełniają warunki określone w art. 13 ust. 2 lit. g) ppkt (i), (ii) lub (iv), które gdyby nie to, że są wykorzystywane jako zabezpieczenie dla tych transakcji, kwalifikowałyby się zgodnie z art. 7 i 13 rozporządzenia delegowanego (UE) 2015/61 jako składnik aktywów płynnych.</w:t>
            </w:r>
          </w:p>
        </w:tc>
      </w:tr>
      <w:tr w:rsidR="001A0B09" w14:paraId="5CA0B9A2" w14:textId="77777777" w:rsidTr="00454544">
        <w:tc>
          <w:tcPr>
            <w:tcW w:w="1457" w:type="dxa"/>
            <w:shd w:val="clear" w:color="auto" w:fill="auto"/>
            <w:vAlign w:val="center"/>
          </w:tcPr>
          <w:p w14:paraId="25A18B03" w14:textId="77777777" w:rsidR="001A0B09" w:rsidRDefault="006E48EA">
            <w:pPr>
              <w:pStyle w:val="TableParagraph"/>
              <w:ind w:left="135"/>
              <w:rPr>
                <w:rFonts w:ascii="Times New Roman" w:hAnsi="Times New Roman"/>
                <w:sz w:val="18"/>
              </w:rPr>
            </w:pPr>
            <w:r>
              <w:rPr>
                <w:rFonts w:ascii="Times New Roman" w:hAnsi="Times New Roman"/>
                <w:sz w:val="18"/>
              </w:rPr>
              <w:t>975</w:t>
            </w:r>
          </w:p>
        </w:tc>
        <w:tc>
          <w:tcPr>
            <w:tcW w:w="6946" w:type="dxa"/>
            <w:shd w:val="clear" w:color="auto" w:fill="auto"/>
          </w:tcPr>
          <w:p w14:paraId="415EB78C" w14:textId="77777777" w:rsidR="001A0B09" w:rsidRDefault="001A0B09">
            <w:pPr>
              <w:pStyle w:val="TableParagraph"/>
              <w:ind w:left="176"/>
              <w:jc w:val="both"/>
              <w:rPr>
                <w:rFonts w:ascii="Times New Roman" w:hAnsi="Times New Roman"/>
                <w:b/>
                <w:sz w:val="18"/>
                <w:u w:color="000000"/>
              </w:rPr>
            </w:pPr>
          </w:p>
          <w:p w14:paraId="69B45E4F"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w tym: udzielone zabezpieczenie spełnia wymogi operacyjne</w:t>
            </w:r>
          </w:p>
          <w:p w14:paraId="4792DE7B" w14:textId="77777777" w:rsidR="001A0B09" w:rsidRDefault="001A0B09">
            <w:pPr>
              <w:pStyle w:val="TableParagraph"/>
              <w:spacing w:before="9"/>
              <w:jc w:val="both"/>
              <w:rPr>
                <w:rFonts w:ascii="Times New Roman" w:eastAsia="Times New Roman" w:hAnsi="Times New Roman"/>
                <w:sz w:val="24"/>
                <w:szCs w:val="24"/>
              </w:rPr>
            </w:pPr>
          </w:p>
          <w:p w14:paraId="686DF018" w14:textId="01646E30" w:rsidR="001A0B09" w:rsidRDefault="0065468A">
            <w:pPr>
              <w:pStyle w:val="TableParagraph"/>
              <w:spacing w:before="9"/>
              <w:ind w:left="176"/>
              <w:jc w:val="both"/>
              <w:rPr>
                <w:rFonts w:ascii="Times New Roman" w:hAnsi="Times New Roman"/>
                <w:sz w:val="18"/>
              </w:rPr>
            </w:pPr>
            <w:r>
              <w:rPr>
                <w:rFonts w:ascii="Times New Roman" w:hAnsi="Times New Roman"/>
                <w:sz w:val="18"/>
              </w:rPr>
              <w:t>Transakcje w pozycji 1.2.1.4,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5CB801F5" w14:textId="77777777" w:rsidTr="00454544">
        <w:tc>
          <w:tcPr>
            <w:tcW w:w="1457" w:type="dxa"/>
            <w:shd w:val="clear" w:color="auto" w:fill="auto"/>
            <w:vAlign w:val="center"/>
          </w:tcPr>
          <w:p w14:paraId="1CFE71CB"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1A0B09" w:rsidRDefault="001A0B09">
            <w:pPr>
              <w:pStyle w:val="TableParagraph"/>
              <w:spacing w:before="9"/>
              <w:jc w:val="both"/>
              <w:rPr>
                <w:rFonts w:ascii="Times New Roman" w:eastAsia="Times New Roman" w:hAnsi="Times New Roman"/>
                <w:sz w:val="21"/>
                <w:szCs w:val="21"/>
              </w:rPr>
            </w:pPr>
          </w:p>
          <w:p w14:paraId="4BFD9ED8"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aktywa poziomu 2B w postaci obligacji zabezpieczonych</w:t>
            </w:r>
          </w:p>
          <w:p w14:paraId="5BC3AC18" w14:textId="77777777" w:rsidR="001A0B09" w:rsidRDefault="001A0B09">
            <w:pPr>
              <w:pStyle w:val="TableParagraph"/>
              <w:spacing w:before="9"/>
              <w:jc w:val="both"/>
              <w:rPr>
                <w:rFonts w:ascii="Times New Roman" w:eastAsia="Times New Roman" w:hAnsi="Times New Roman"/>
                <w:sz w:val="24"/>
                <w:szCs w:val="24"/>
              </w:rPr>
            </w:pPr>
          </w:p>
          <w:p w14:paraId="7CADF692" w14:textId="313B983F" w:rsidR="001A0B09" w:rsidRDefault="000378A5">
            <w:pPr>
              <w:pStyle w:val="TableParagraph"/>
              <w:ind w:left="135"/>
              <w:jc w:val="both"/>
              <w:rPr>
                <w:rFonts w:ascii="Times New Roman" w:eastAsia="Verdana" w:hAnsi="Times New Roman"/>
                <w:sz w:val="18"/>
                <w:szCs w:val="18"/>
              </w:rPr>
            </w:pPr>
            <w:r>
              <w:rPr>
                <w:rFonts w:ascii="Times New Roman" w:hAnsi="Times New Roman"/>
                <w:sz w:val="18"/>
              </w:rPr>
              <w:t>Art. 28 ust. 3 lit. a) rozporządzenia delegowanego (UE) 2015/61</w:t>
            </w:r>
          </w:p>
          <w:p w14:paraId="38D947C9" w14:textId="77777777" w:rsidR="001A0B09" w:rsidRDefault="001A0B09">
            <w:pPr>
              <w:pStyle w:val="TableParagraph"/>
              <w:spacing w:before="9"/>
              <w:jc w:val="both"/>
              <w:rPr>
                <w:rFonts w:ascii="Times New Roman" w:eastAsia="Times New Roman" w:hAnsi="Times New Roman"/>
                <w:sz w:val="24"/>
                <w:szCs w:val="24"/>
              </w:rPr>
            </w:pPr>
          </w:p>
          <w:p w14:paraId="02A3B088" w14:textId="4F44668F" w:rsidR="001A0B0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jest bank centralny, a udzielonym zabezpieczeniem są aktywa poziomu 2B w postaci obligacji zabezpieczonych charakteryzujących się wysoką jakością, które spełniają warunki określone w art. 12 ust. 1 lit. e), które gdyby nie to, że są wykorzystywane jako zabezpieczenie dla tych transakcji, kwalifikowałyby się zgodnie z art. 7 i 12 rozporządzenia delegowanego (UE) 2015/61 jako składnik aktywów płynnych.</w:t>
            </w:r>
          </w:p>
        </w:tc>
      </w:tr>
      <w:tr w:rsidR="001A0B09" w14:paraId="11E62294" w14:textId="77777777" w:rsidTr="00454544">
        <w:tc>
          <w:tcPr>
            <w:tcW w:w="1457" w:type="dxa"/>
            <w:shd w:val="clear" w:color="auto" w:fill="auto"/>
            <w:vAlign w:val="center"/>
          </w:tcPr>
          <w:p w14:paraId="1A3008D2" w14:textId="77777777" w:rsidR="001A0B09"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1A0B09" w:rsidRDefault="001A0B09">
            <w:pPr>
              <w:pStyle w:val="TableParagraph"/>
              <w:ind w:left="207"/>
              <w:jc w:val="both"/>
              <w:rPr>
                <w:rFonts w:ascii="Times New Roman" w:hAnsi="Times New Roman"/>
                <w:b/>
                <w:sz w:val="18"/>
                <w:u w:color="000000"/>
              </w:rPr>
            </w:pPr>
          </w:p>
          <w:p w14:paraId="0AAE2468"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w tym: udzielone zabezpieczenie spełnia wymogi operacyjne</w:t>
            </w:r>
          </w:p>
          <w:p w14:paraId="55B7663F" w14:textId="77777777" w:rsidR="001A0B09" w:rsidRDefault="001A0B09">
            <w:pPr>
              <w:pStyle w:val="TableParagraph"/>
              <w:spacing w:before="9"/>
              <w:jc w:val="both"/>
              <w:rPr>
                <w:rFonts w:ascii="Times New Roman" w:eastAsia="Times New Roman" w:hAnsi="Times New Roman"/>
                <w:sz w:val="24"/>
                <w:szCs w:val="24"/>
              </w:rPr>
            </w:pPr>
          </w:p>
          <w:p w14:paraId="77DA6F20" w14:textId="74CD76B4" w:rsidR="001A0B09" w:rsidRDefault="0065468A">
            <w:pPr>
              <w:pStyle w:val="TableParagraph"/>
              <w:spacing w:before="9"/>
              <w:ind w:left="176"/>
              <w:jc w:val="both"/>
              <w:rPr>
                <w:rFonts w:ascii="Times New Roman" w:hAnsi="Times New Roman"/>
                <w:sz w:val="18"/>
              </w:rPr>
            </w:pPr>
            <w:r>
              <w:rPr>
                <w:rFonts w:ascii="Times New Roman" w:hAnsi="Times New Roman"/>
                <w:sz w:val="18"/>
              </w:rPr>
              <w:t>Transakcje w pozycji 1.2.1.5,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51506DEF" w14:textId="77777777" w:rsidTr="00454544">
        <w:tc>
          <w:tcPr>
            <w:tcW w:w="1457" w:type="dxa"/>
            <w:shd w:val="clear" w:color="auto" w:fill="auto"/>
            <w:vAlign w:val="center"/>
          </w:tcPr>
          <w:p w14:paraId="44C9364C" w14:textId="77777777" w:rsidR="001A0B09"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1A0B09" w:rsidRDefault="001A0B09">
            <w:pPr>
              <w:pStyle w:val="TableParagraph"/>
              <w:spacing w:before="9"/>
              <w:jc w:val="both"/>
              <w:rPr>
                <w:rFonts w:ascii="Times New Roman" w:eastAsia="Times New Roman" w:hAnsi="Times New Roman"/>
                <w:sz w:val="21"/>
                <w:szCs w:val="21"/>
              </w:rPr>
            </w:pPr>
          </w:p>
          <w:p w14:paraId="63AB89C5" w14:textId="77777777" w:rsidR="001A0B09"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zabezpieczenie aktywami poziomu 2B w postaci papierów wartościowych zabezpieczonych aktywami (kredyty komercyjne lub dla osób fizycznych,</w:t>
            </w:r>
            <w:r>
              <w:rPr>
                <w:rFonts w:ascii="Times New Roman" w:hAnsi="Times New Roman"/>
                <w:b/>
                <w:sz w:val="18"/>
              </w:rPr>
              <w:t xml:space="preserve"> </w:t>
            </w:r>
            <w:r>
              <w:rPr>
                <w:rFonts w:ascii="Times New Roman" w:hAnsi="Times New Roman"/>
                <w:b/>
                <w:sz w:val="18"/>
                <w:u w:color="000000"/>
              </w:rPr>
              <w:t>państwo członkowskie, CQS1)</w:t>
            </w:r>
          </w:p>
          <w:p w14:paraId="46D12681" w14:textId="77777777" w:rsidR="001A0B09" w:rsidRDefault="001A0B09">
            <w:pPr>
              <w:pStyle w:val="TableParagraph"/>
              <w:spacing w:before="1"/>
              <w:jc w:val="both"/>
              <w:rPr>
                <w:rFonts w:ascii="Times New Roman" w:eastAsia="Times New Roman" w:hAnsi="Times New Roman"/>
              </w:rPr>
            </w:pPr>
          </w:p>
          <w:p w14:paraId="60BEF7D5" w14:textId="57DDAAA7"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a) rozporządzenia delegowanego (UE) 2015/61</w:t>
            </w:r>
          </w:p>
          <w:p w14:paraId="19367F79" w14:textId="77777777" w:rsidR="001A0B09" w:rsidRDefault="001A0B09">
            <w:pPr>
              <w:pStyle w:val="TableParagraph"/>
              <w:spacing w:before="9"/>
              <w:jc w:val="both"/>
              <w:rPr>
                <w:rFonts w:ascii="Times New Roman" w:eastAsia="Times New Roman" w:hAnsi="Times New Roman"/>
                <w:sz w:val="24"/>
                <w:szCs w:val="24"/>
              </w:rPr>
            </w:pPr>
          </w:p>
          <w:p w14:paraId="5AC4F74F" w14:textId="1DE2E956" w:rsidR="001A0B09"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W tej sekcji instytucje kredytowe zgłaszają wypływy wynikające z zabezpieczonych </w:t>
            </w:r>
            <w:r>
              <w:rPr>
                <w:rFonts w:ascii="Times New Roman" w:hAnsi="Times New Roman"/>
                <w:sz w:val="18"/>
              </w:rPr>
              <w:lastRenderedPageBreak/>
              <w:t>transakcji kredytowych i transakcji opartych na rynku kapitałowym zdefiniowanych w art. 192 pkt 2 i 3 rozporządzenia (UE) nr 575/2013, w przypadku gdy kontrahentem jest bank centralny, a udzielonym zabezpieczeniem są aktywa poziomu 2B w postaci papierów wartościowych zabezpieczonych aktywami, które są zabezpieczone kredytami komercyjnymi, umowami leasingu i instrumentami kredytowymi dla przedsiębiorstw lub kredytami i instrumentami kredytowymi dla osób fizycznych z państwa członkowskiego oraz o stopniu jakości kredytowej równym 1 oraz które spełniają warunki określone w art. 13 ust. 2 lit. g) ppkt (iii) lub (v), które gdyby nie to, że są wykorzystywane jako zabezpieczenie dla tych transakcji, kwalifikowałyby się zgodnie z art. 7 i 13 rozporządzenia delegowanego (UE) 2015/61 jako składnik aktywów płynnych.</w:t>
            </w:r>
          </w:p>
        </w:tc>
      </w:tr>
      <w:tr w:rsidR="001A0B09" w14:paraId="2D57ADAB" w14:textId="77777777" w:rsidTr="00454544">
        <w:tc>
          <w:tcPr>
            <w:tcW w:w="1457" w:type="dxa"/>
            <w:shd w:val="clear" w:color="auto" w:fill="auto"/>
            <w:vAlign w:val="center"/>
          </w:tcPr>
          <w:p w14:paraId="15965AAB" w14:textId="77777777" w:rsidR="001A0B09" w:rsidRDefault="006E48EA">
            <w:pPr>
              <w:pStyle w:val="TableParagraph"/>
              <w:spacing w:before="138"/>
              <w:ind w:left="135"/>
              <w:rPr>
                <w:rFonts w:ascii="Times New Roman" w:hAnsi="Times New Roman"/>
                <w:sz w:val="18"/>
              </w:rPr>
            </w:pPr>
            <w:r>
              <w:rPr>
                <w:rFonts w:ascii="Times New Roman" w:hAnsi="Times New Roman"/>
                <w:sz w:val="18"/>
              </w:rPr>
              <w:lastRenderedPageBreak/>
              <w:t>995</w:t>
            </w:r>
          </w:p>
        </w:tc>
        <w:tc>
          <w:tcPr>
            <w:tcW w:w="6946" w:type="dxa"/>
            <w:shd w:val="clear" w:color="auto" w:fill="auto"/>
          </w:tcPr>
          <w:p w14:paraId="44211ABA" w14:textId="77777777" w:rsidR="001A0B09" w:rsidRDefault="001A0B09">
            <w:pPr>
              <w:pStyle w:val="TableParagraph"/>
              <w:ind w:left="176"/>
              <w:jc w:val="both"/>
              <w:rPr>
                <w:rFonts w:ascii="Times New Roman" w:hAnsi="Times New Roman"/>
                <w:b/>
                <w:sz w:val="18"/>
                <w:u w:color="000000"/>
              </w:rPr>
            </w:pPr>
          </w:p>
          <w:p w14:paraId="450B2BC9"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w tym: udzielone zabezpieczenie spełnia wymogi operacyjne</w:t>
            </w:r>
          </w:p>
          <w:p w14:paraId="589B8C2B" w14:textId="77777777" w:rsidR="001A0B09" w:rsidRDefault="001A0B09">
            <w:pPr>
              <w:pStyle w:val="TableParagraph"/>
              <w:spacing w:before="9"/>
              <w:jc w:val="both"/>
              <w:rPr>
                <w:rFonts w:ascii="Times New Roman" w:eastAsia="Times New Roman" w:hAnsi="Times New Roman"/>
                <w:sz w:val="24"/>
                <w:szCs w:val="24"/>
              </w:rPr>
            </w:pPr>
          </w:p>
          <w:p w14:paraId="625D38C4" w14:textId="7FCE77B1" w:rsidR="001A0B09" w:rsidRDefault="0065468A">
            <w:pPr>
              <w:pStyle w:val="TableParagraph"/>
              <w:spacing w:before="9"/>
              <w:ind w:left="176"/>
              <w:jc w:val="both"/>
              <w:rPr>
                <w:rFonts w:ascii="Times New Roman" w:hAnsi="Times New Roman"/>
                <w:sz w:val="18"/>
              </w:rPr>
            </w:pPr>
            <w:r>
              <w:rPr>
                <w:rFonts w:ascii="Times New Roman" w:hAnsi="Times New Roman"/>
                <w:sz w:val="18"/>
              </w:rPr>
              <w:t>Transakcje w pozycji 1.2.1.6,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70F02B1C" w14:textId="77777777" w:rsidTr="00454544">
        <w:tc>
          <w:tcPr>
            <w:tcW w:w="1457" w:type="dxa"/>
            <w:shd w:val="clear" w:color="auto" w:fill="auto"/>
            <w:vAlign w:val="center"/>
          </w:tcPr>
          <w:p w14:paraId="17AE3345"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1A0B09" w:rsidRDefault="001A0B09">
            <w:pPr>
              <w:pStyle w:val="TableParagraph"/>
              <w:spacing w:before="9"/>
              <w:jc w:val="both"/>
              <w:rPr>
                <w:rFonts w:ascii="Times New Roman" w:eastAsia="Times New Roman" w:hAnsi="Times New Roman"/>
                <w:sz w:val="21"/>
                <w:szCs w:val="21"/>
              </w:rPr>
            </w:pPr>
          </w:p>
          <w:p w14:paraId="1E245646"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zabezpieczenie innymi aktywami poziomu 2B</w:t>
            </w:r>
          </w:p>
          <w:p w14:paraId="730E84A2" w14:textId="77777777" w:rsidR="001A0B09" w:rsidRDefault="001A0B09">
            <w:pPr>
              <w:pStyle w:val="TableParagraph"/>
              <w:spacing w:before="7"/>
              <w:jc w:val="both"/>
              <w:rPr>
                <w:rFonts w:ascii="Times New Roman" w:eastAsia="Times New Roman" w:hAnsi="Times New Roman"/>
                <w:sz w:val="24"/>
                <w:szCs w:val="24"/>
              </w:rPr>
            </w:pPr>
          </w:p>
          <w:p w14:paraId="0F032674" w14:textId="47AC751F"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a) rozporządzenia delegowanego (UE) 2015/61</w:t>
            </w:r>
          </w:p>
          <w:p w14:paraId="06E6DD54" w14:textId="77777777" w:rsidR="001A0B09" w:rsidRDefault="001A0B09">
            <w:pPr>
              <w:pStyle w:val="TableParagraph"/>
              <w:spacing w:before="9"/>
              <w:jc w:val="both"/>
              <w:rPr>
                <w:rFonts w:ascii="Times New Roman" w:eastAsia="Times New Roman" w:hAnsi="Times New Roman"/>
                <w:sz w:val="24"/>
                <w:szCs w:val="24"/>
              </w:rPr>
            </w:pPr>
          </w:p>
          <w:p w14:paraId="61C580EF" w14:textId="493C7F48" w:rsidR="001A0B0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jest bank centralny, a udzielonym zabezpieczeniem jest składnik aktywów poziomu 2B nieuwzględniony powyżej, który gdyby nie to, że jest wykorzystywany jako zabezpieczenie dla tych transakcji, kwalifikowałby się zgodnie z art. 7 i 12 rozporządzenia delegowanego (UE) 2015/61 jako składnik aktywów płynnych.</w:t>
            </w:r>
          </w:p>
        </w:tc>
      </w:tr>
      <w:tr w:rsidR="001A0B09" w14:paraId="5ABFD3C6" w14:textId="77777777" w:rsidTr="00454544">
        <w:tc>
          <w:tcPr>
            <w:tcW w:w="1457" w:type="dxa"/>
            <w:shd w:val="clear" w:color="auto" w:fill="auto"/>
            <w:vAlign w:val="center"/>
          </w:tcPr>
          <w:p w14:paraId="48B2CCA7" w14:textId="77777777" w:rsidR="001A0B09"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1A0B09" w:rsidRDefault="001A0B09">
            <w:pPr>
              <w:pStyle w:val="TableParagraph"/>
              <w:ind w:left="135"/>
              <w:jc w:val="both"/>
              <w:rPr>
                <w:rFonts w:ascii="Times New Roman" w:hAnsi="Times New Roman"/>
                <w:b/>
                <w:sz w:val="18"/>
                <w:u w:color="000000"/>
              </w:rPr>
            </w:pPr>
          </w:p>
          <w:p w14:paraId="621AC223"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w tym: udzielone zabezpieczenie spełnia wymogi operacyjne</w:t>
            </w:r>
          </w:p>
          <w:p w14:paraId="379695B4" w14:textId="77777777" w:rsidR="001A0B09" w:rsidRDefault="001A0B09">
            <w:pPr>
              <w:pStyle w:val="TableParagraph"/>
              <w:spacing w:before="9"/>
              <w:jc w:val="both"/>
              <w:rPr>
                <w:rFonts w:ascii="Times New Roman" w:eastAsia="Times New Roman" w:hAnsi="Times New Roman"/>
                <w:sz w:val="24"/>
                <w:szCs w:val="24"/>
              </w:rPr>
            </w:pPr>
          </w:p>
          <w:p w14:paraId="26F9DDD4" w14:textId="602195BB" w:rsidR="001A0B09" w:rsidRDefault="0065468A">
            <w:pPr>
              <w:pStyle w:val="TableParagraph"/>
              <w:spacing w:before="9"/>
              <w:ind w:left="176"/>
              <w:jc w:val="both"/>
              <w:rPr>
                <w:rFonts w:ascii="Times New Roman" w:hAnsi="Times New Roman"/>
                <w:sz w:val="18"/>
              </w:rPr>
            </w:pPr>
            <w:r>
              <w:rPr>
                <w:rFonts w:ascii="Times New Roman" w:hAnsi="Times New Roman"/>
                <w:sz w:val="18"/>
              </w:rPr>
              <w:t>Transakcje w pozycji 1.2.1.7,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7CD1856D" w14:textId="77777777" w:rsidTr="00454544">
        <w:tc>
          <w:tcPr>
            <w:tcW w:w="1457" w:type="dxa"/>
            <w:shd w:val="clear" w:color="auto" w:fill="auto"/>
            <w:vAlign w:val="center"/>
          </w:tcPr>
          <w:p w14:paraId="0C2C30E5"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1A0B09" w:rsidRDefault="001A0B09">
            <w:pPr>
              <w:pStyle w:val="TableParagraph"/>
              <w:spacing w:before="9"/>
              <w:jc w:val="both"/>
              <w:rPr>
                <w:rFonts w:ascii="Times New Roman" w:eastAsia="Times New Roman" w:hAnsi="Times New Roman"/>
                <w:sz w:val="21"/>
                <w:szCs w:val="21"/>
              </w:rPr>
            </w:pPr>
          </w:p>
          <w:p w14:paraId="72ACE489" w14:textId="77777777" w:rsidR="001A0B09"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zabezpieczenie aktywami niepłynnymi</w:t>
            </w:r>
          </w:p>
          <w:p w14:paraId="6DC83E99" w14:textId="77777777" w:rsidR="001A0B09" w:rsidRDefault="001A0B09">
            <w:pPr>
              <w:pStyle w:val="TableParagraph"/>
              <w:ind w:left="135"/>
              <w:jc w:val="both"/>
              <w:rPr>
                <w:rFonts w:ascii="Times New Roman" w:eastAsia="Verdana" w:hAnsi="Times New Roman"/>
                <w:sz w:val="18"/>
                <w:szCs w:val="18"/>
              </w:rPr>
            </w:pPr>
          </w:p>
          <w:p w14:paraId="361663E7" w14:textId="37E20E20" w:rsidR="001A0B09" w:rsidRDefault="00DD4C72">
            <w:pPr>
              <w:pStyle w:val="BodyText"/>
              <w:ind w:left="151" w:firstLine="0"/>
              <w:jc w:val="both"/>
              <w:rPr>
                <w:rFonts w:ascii="Times New Roman" w:eastAsia="Calibri" w:hAnsi="Times New Roman"/>
                <w:szCs w:val="22"/>
              </w:rPr>
            </w:pPr>
            <w:r>
              <w:rPr>
                <w:rFonts w:ascii="Times New Roman" w:hAnsi="Times New Roman"/>
                <w:szCs w:val="22"/>
              </w:rPr>
              <w:t>Art. 28 ust. 3 lit. a) rozporządzenia delegowanego (UE) 2015/61</w:t>
            </w:r>
          </w:p>
          <w:p w14:paraId="14035330" w14:textId="77777777" w:rsidR="001A0B09" w:rsidRDefault="001A0B09">
            <w:pPr>
              <w:pStyle w:val="BodyText"/>
              <w:ind w:left="151" w:firstLine="0"/>
              <w:jc w:val="both"/>
              <w:rPr>
                <w:rFonts w:ascii="Times New Roman" w:eastAsia="Calibri" w:hAnsi="Times New Roman"/>
                <w:szCs w:val="22"/>
              </w:rPr>
            </w:pPr>
          </w:p>
          <w:p w14:paraId="5E9B09BD" w14:textId="471A876B" w:rsidR="001A0B09" w:rsidRDefault="006E48EA">
            <w:pPr>
              <w:pStyle w:val="BodyText"/>
              <w:ind w:left="151" w:firstLine="0"/>
              <w:jc w:val="both"/>
              <w:rPr>
                <w:rFonts w:ascii="Times New Roman" w:hAnsi="Times New Roman"/>
              </w:rPr>
            </w:pPr>
            <w:r>
              <w:rPr>
                <w:rFonts w:ascii="Times New Roman" w:hAnsi="Times New Roman"/>
                <w:szCs w:val="22"/>
              </w:rPr>
              <w:t>W tej sekcji instytucje kredytowe zgłaszają wypływy wynikające z zabezpieczonych transakcji kredytowych i transakcji opartych na rynku kapitałowym zdefiniowanych w art. 192 pkt 2 i 3 rozporządzenia (UE) nr 575/2013, w przypadku gdy kontrahentem jest bank centralny, a udzielonym zabezpieczeniem jest zabezpieczenie w postaci aktywów niepłynnych.</w:t>
            </w:r>
          </w:p>
        </w:tc>
      </w:tr>
      <w:tr w:rsidR="001A0B09" w14:paraId="776EAA73" w14:textId="77777777" w:rsidTr="00454544">
        <w:tc>
          <w:tcPr>
            <w:tcW w:w="1457" w:type="dxa"/>
            <w:shd w:val="clear" w:color="auto" w:fill="auto"/>
            <w:vAlign w:val="center"/>
          </w:tcPr>
          <w:p w14:paraId="0CF8AAC6"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1A0B09" w:rsidRDefault="001A0B09">
            <w:pPr>
              <w:pStyle w:val="TableParagraph"/>
              <w:spacing w:before="9"/>
              <w:jc w:val="both"/>
              <w:rPr>
                <w:rFonts w:ascii="Times New Roman" w:eastAsia="Times New Roman" w:hAnsi="Times New Roman"/>
                <w:sz w:val="21"/>
                <w:szCs w:val="21"/>
              </w:rPr>
            </w:pPr>
          </w:p>
          <w:p w14:paraId="60BBC909"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Kontrahentem nie jest bank centralny</w:t>
            </w:r>
          </w:p>
          <w:p w14:paraId="1F1C405A" w14:textId="77777777" w:rsidR="001A0B09" w:rsidRDefault="001A0B09">
            <w:pPr>
              <w:pStyle w:val="TableParagraph"/>
              <w:spacing w:before="9"/>
              <w:jc w:val="both"/>
              <w:rPr>
                <w:rFonts w:ascii="Times New Roman" w:eastAsia="Times New Roman" w:hAnsi="Times New Roman"/>
                <w:sz w:val="24"/>
                <w:szCs w:val="24"/>
              </w:rPr>
            </w:pPr>
          </w:p>
          <w:p w14:paraId="19DD8D9F" w14:textId="77777777" w:rsidR="001A0B09" w:rsidRDefault="006E48EA">
            <w:pPr>
              <w:pStyle w:val="TableParagraph"/>
              <w:spacing w:line="276" w:lineRule="auto"/>
              <w:ind w:left="135" w:right="98"/>
              <w:jc w:val="both"/>
              <w:rPr>
                <w:rFonts w:ascii="Times New Roman" w:hAnsi="Times New Roman"/>
                <w:sz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nie jest bank centralny.</w:t>
            </w:r>
          </w:p>
          <w:p w14:paraId="638EC6D4" w14:textId="77777777" w:rsidR="001A0B09" w:rsidRDefault="001A0B09">
            <w:pPr>
              <w:pStyle w:val="TableParagraph"/>
              <w:spacing w:line="276" w:lineRule="auto"/>
              <w:ind w:left="135" w:right="98"/>
              <w:jc w:val="both"/>
              <w:rPr>
                <w:rFonts w:ascii="Times New Roman" w:eastAsia="Verdana" w:hAnsi="Times New Roman"/>
                <w:sz w:val="18"/>
                <w:szCs w:val="18"/>
              </w:rPr>
            </w:pPr>
          </w:p>
        </w:tc>
      </w:tr>
      <w:tr w:rsidR="001A0B09" w14:paraId="295EB75C" w14:textId="77777777" w:rsidTr="00454544">
        <w:tc>
          <w:tcPr>
            <w:tcW w:w="1457" w:type="dxa"/>
            <w:shd w:val="clear" w:color="auto" w:fill="auto"/>
            <w:vAlign w:val="center"/>
          </w:tcPr>
          <w:p w14:paraId="6B8DEC25"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1A0B09" w:rsidRDefault="001A0B09">
            <w:pPr>
              <w:pStyle w:val="TableParagraph"/>
              <w:spacing w:before="9"/>
              <w:jc w:val="both"/>
              <w:rPr>
                <w:rFonts w:ascii="Times New Roman" w:eastAsia="Times New Roman" w:hAnsi="Times New Roman"/>
                <w:sz w:val="21"/>
                <w:szCs w:val="21"/>
              </w:rPr>
            </w:pPr>
          </w:p>
          <w:p w14:paraId="7CA4B3EA"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zabezpieczenie aktywami poziomu 1, z wyłączeniem obligacji zabezpieczonych charakteryzujących się wyjątkowo wysoką jakością</w:t>
            </w:r>
          </w:p>
          <w:p w14:paraId="55970301" w14:textId="77777777" w:rsidR="001A0B09" w:rsidRDefault="001A0B09">
            <w:pPr>
              <w:pStyle w:val="TableParagraph"/>
              <w:spacing w:before="7"/>
              <w:jc w:val="both"/>
              <w:rPr>
                <w:rFonts w:ascii="Times New Roman" w:eastAsia="Times New Roman" w:hAnsi="Times New Roman"/>
                <w:sz w:val="24"/>
                <w:szCs w:val="24"/>
              </w:rPr>
            </w:pPr>
          </w:p>
          <w:p w14:paraId="1D5B25E4" w14:textId="0E9C752E" w:rsidR="001A0B09" w:rsidRDefault="000378A5">
            <w:pPr>
              <w:pStyle w:val="TableParagraph"/>
              <w:ind w:left="135"/>
              <w:jc w:val="both"/>
              <w:rPr>
                <w:rFonts w:ascii="Times New Roman" w:eastAsia="Verdana" w:hAnsi="Times New Roman"/>
                <w:sz w:val="18"/>
                <w:szCs w:val="18"/>
              </w:rPr>
            </w:pPr>
            <w:r>
              <w:rPr>
                <w:rFonts w:ascii="Times New Roman" w:hAnsi="Times New Roman"/>
                <w:sz w:val="18"/>
              </w:rPr>
              <w:t>Art. 28 ust. 3 lit. a) rozporządzenia delegowanego (UE) 2015/61</w:t>
            </w:r>
          </w:p>
          <w:p w14:paraId="4CC95E37" w14:textId="77777777" w:rsidR="001A0B09" w:rsidRDefault="001A0B09">
            <w:pPr>
              <w:pStyle w:val="TableParagraph"/>
              <w:spacing w:before="9"/>
              <w:jc w:val="both"/>
              <w:rPr>
                <w:rFonts w:ascii="Times New Roman" w:eastAsia="Times New Roman" w:hAnsi="Times New Roman"/>
                <w:sz w:val="24"/>
                <w:szCs w:val="24"/>
              </w:rPr>
            </w:pPr>
          </w:p>
          <w:p w14:paraId="64303B45" w14:textId="22C1182B" w:rsidR="001A0B0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 xml:space="preserve">W tej sekcji instytucje kredytowe zgłaszają wypływy wynikające z zabezpieczonych transakcji kredytowych i transakcji opartych na rynku kapitałowym zdefiniowanych w </w:t>
            </w:r>
            <w:r>
              <w:rPr>
                <w:rFonts w:ascii="Times New Roman" w:hAnsi="Times New Roman"/>
                <w:sz w:val="18"/>
              </w:rPr>
              <w:lastRenderedPageBreak/>
              <w:t>art. 192 pkt 2 i 3 rozporządzenia nr 575/2013, w przypadku gdy kontrahentem nie jest bank centralny, a udzielonym zabezpieczeniem są składniki aktywów poziomu 1, z wyłączeniem obligacji zabezpieczonych charakteryzujących się wyjątkowo wysoką jakością, które gdyby nie to, że są wykorzystywane jako zabezpieczenie dla tych transakcji, kwalifikowałyby się zgodnie z art. 7 i 10 rozporządzenia delegowanego (UE) 2015/61 jako składnik aktywów płynnych.</w:t>
            </w:r>
          </w:p>
        </w:tc>
      </w:tr>
      <w:tr w:rsidR="001A0B09" w14:paraId="07E41640" w14:textId="77777777" w:rsidTr="00454544">
        <w:tc>
          <w:tcPr>
            <w:tcW w:w="1457" w:type="dxa"/>
            <w:shd w:val="clear" w:color="auto" w:fill="auto"/>
            <w:vAlign w:val="center"/>
          </w:tcPr>
          <w:p w14:paraId="31AD107A" w14:textId="77777777" w:rsidR="001A0B09" w:rsidRDefault="006E48EA">
            <w:pPr>
              <w:pStyle w:val="TableParagraph"/>
              <w:ind w:left="135"/>
              <w:rPr>
                <w:rFonts w:ascii="Times New Roman" w:hAnsi="Times New Roman"/>
                <w:sz w:val="18"/>
              </w:rPr>
            </w:pPr>
            <w:r>
              <w:rPr>
                <w:rFonts w:ascii="Times New Roman" w:hAnsi="Times New Roman"/>
                <w:sz w:val="18"/>
              </w:rPr>
              <w:lastRenderedPageBreak/>
              <w:t>1035</w:t>
            </w:r>
          </w:p>
        </w:tc>
        <w:tc>
          <w:tcPr>
            <w:tcW w:w="6946" w:type="dxa"/>
            <w:shd w:val="clear" w:color="auto" w:fill="auto"/>
          </w:tcPr>
          <w:p w14:paraId="575DD9CE" w14:textId="77777777" w:rsidR="001A0B09" w:rsidRDefault="001A0B09">
            <w:pPr>
              <w:pStyle w:val="TableParagraph"/>
              <w:ind w:left="176"/>
              <w:jc w:val="both"/>
              <w:rPr>
                <w:rFonts w:ascii="Times New Roman" w:hAnsi="Times New Roman"/>
                <w:b/>
                <w:sz w:val="18"/>
                <w:u w:color="000000"/>
              </w:rPr>
            </w:pPr>
          </w:p>
          <w:p w14:paraId="4679AA99"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w tym: udzielone zabezpieczenie spełnia wymogi operacyjne</w:t>
            </w:r>
          </w:p>
          <w:p w14:paraId="4492859A" w14:textId="77777777" w:rsidR="001A0B09" w:rsidRDefault="001A0B09">
            <w:pPr>
              <w:pStyle w:val="TableParagraph"/>
              <w:spacing w:before="9"/>
              <w:jc w:val="both"/>
              <w:rPr>
                <w:rFonts w:ascii="Times New Roman" w:eastAsia="Times New Roman" w:hAnsi="Times New Roman"/>
                <w:sz w:val="24"/>
                <w:szCs w:val="24"/>
              </w:rPr>
            </w:pPr>
          </w:p>
          <w:p w14:paraId="441C2C80" w14:textId="22E51456" w:rsidR="001A0B09" w:rsidRDefault="0065468A">
            <w:pPr>
              <w:pStyle w:val="TableParagraph"/>
              <w:spacing w:before="9"/>
              <w:ind w:left="176"/>
              <w:jc w:val="both"/>
              <w:rPr>
                <w:rFonts w:ascii="Times New Roman" w:hAnsi="Times New Roman"/>
                <w:sz w:val="18"/>
              </w:rPr>
            </w:pPr>
            <w:r>
              <w:rPr>
                <w:rFonts w:ascii="Times New Roman" w:hAnsi="Times New Roman"/>
                <w:sz w:val="18"/>
              </w:rPr>
              <w:t>Transakcje w pozycji 1.2.2.1,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121470D3" w14:textId="77777777" w:rsidTr="00454544">
        <w:tc>
          <w:tcPr>
            <w:tcW w:w="1457" w:type="dxa"/>
            <w:shd w:val="clear" w:color="auto" w:fill="auto"/>
            <w:vAlign w:val="center"/>
          </w:tcPr>
          <w:p w14:paraId="5436505E"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1A0B09" w:rsidRDefault="001A0B09">
            <w:pPr>
              <w:pStyle w:val="TableParagraph"/>
              <w:spacing w:before="9"/>
              <w:jc w:val="both"/>
              <w:rPr>
                <w:rFonts w:ascii="Times New Roman" w:eastAsia="Times New Roman" w:hAnsi="Times New Roman"/>
                <w:sz w:val="21"/>
                <w:szCs w:val="21"/>
              </w:rPr>
            </w:pPr>
          </w:p>
          <w:p w14:paraId="5CF929C2"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zabezpieczenie aktywami poziomu 1 w postaci obligacji zabezpieczonych charakteryzujących się wyjątkowo wysoką jakością</w:t>
            </w:r>
          </w:p>
          <w:p w14:paraId="5DC3EBEA" w14:textId="77777777" w:rsidR="001A0B09" w:rsidRDefault="001A0B09">
            <w:pPr>
              <w:pStyle w:val="TableParagraph"/>
              <w:spacing w:before="7"/>
              <w:jc w:val="both"/>
              <w:rPr>
                <w:rFonts w:ascii="Times New Roman" w:eastAsia="Times New Roman" w:hAnsi="Times New Roman"/>
                <w:sz w:val="24"/>
                <w:szCs w:val="24"/>
              </w:rPr>
            </w:pPr>
          </w:p>
          <w:p w14:paraId="403E5430" w14:textId="32BFE65A"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b) rozporządzenia delegowanego (UE) 2015/61</w:t>
            </w:r>
          </w:p>
          <w:p w14:paraId="323089A8" w14:textId="77777777" w:rsidR="001A0B09" w:rsidRDefault="001A0B09">
            <w:pPr>
              <w:pStyle w:val="TableParagraph"/>
              <w:spacing w:before="9"/>
              <w:jc w:val="both"/>
              <w:rPr>
                <w:rFonts w:ascii="Times New Roman" w:eastAsia="Times New Roman" w:hAnsi="Times New Roman"/>
                <w:sz w:val="24"/>
                <w:szCs w:val="24"/>
              </w:rPr>
            </w:pPr>
          </w:p>
          <w:p w14:paraId="0B1DD22B" w14:textId="79696A89" w:rsidR="001A0B0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nie jest bank centralny, a udzielonym zabezpieczeniem są składniki aktywów poziomu 1 będące obligacjami zabezpieczonymi charakteryzującymi się wyjątkowo wysoką jakością, które gdyby nie to, że są wykorzystywane jako zabezpieczenie dla tych transakcji, kwalifikowałyby się zgodnie z art. 7 i 10 rozporządzenia delegowanego (UE) 2015/61 jako składnik aktywów płynnych.</w:t>
            </w:r>
          </w:p>
        </w:tc>
      </w:tr>
      <w:tr w:rsidR="001A0B09" w14:paraId="3CF07551" w14:textId="77777777" w:rsidTr="00454544">
        <w:tc>
          <w:tcPr>
            <w:tcW w:w="1457" w:type="dxa"/>
            <w:shd w:val="clear" w:color="auto" w:fill="auto"/>
            <w:vAlign w:val="center"/>
          </w:tcPr>
          <w:p w14:paraId="353900C8" w14:textId="77777777" w:rsidR="001A0B09" w:rsidRDefault="006E48EA">
            <w:pPr>
              <w:pStyle w:val="TableParagraph"/>
              <w:ind w:left="135"/>
              <w:rPr>
                <w:rFonts w:ascii="Times New Roman" w:hAnsi="Times New Roman"/>
                <w:sz w:val="18"/>
              </w:rPr>
            </w:pPr>
            <w:r>
              <w:rPr>
                <w:rFonts w:ascii="Times New Roman" w:hAnsi="Times New Roman"/>
                <w:sz w:val="18"/>
              </w:rPr>
              <w:t>1045</w:t>
            </w:r>
          </w:p>
        </w:tc>
        <w:tc>
          <w:tcPr>
            <w:tcW w:w="6946" w:type="dxa"/>
            <w:shd w:val="clear" w:color="auto" w:fill="auto"/>
          </w:tcPr>
          <w:p w14:paraId="66DFBFFC" w14:textId="77777777" w:rsidR="001A0B09" w:rsidRDefault="001A0B09">
            <w:pPr>
              <w:pStyle w:val="TableParagraph"/>
              <w:ind w:left="176"/>
              <w:jc w:val="both"/>
              <w:rPr>
                <w:rFonts w:ascii="Times New Roman" w:hAnsi="Times New Roman"/>
                <w:b/>
                <w:sz w:val="18"/>
                <w:u w:color="000000"/>
              </w:rPr>
            </w:pPr>
          </w:p>
          <w:p w14:paraId="30D523C1"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w tym: udzielone zabezpieczenie spełnia wymogi operacyjne</w:t>
            </w:r>
          </w:p>
          <w:p w14:paraId="7BC96A97" w14:textId="77777777" w:rsidR="001A0B09" w:rsidRDefault="001A0B09">
            <w:pPr>
              <w:pStyle w:val="TableParagraph"/>
              <w:ind w:left="176"/>
              <w:jc w:val="both"/>
              <w:rPr>
                <w:rFonts w:ascii="Times New Roman" w:eastAsia="Verdana" w:hAnsi="Times New Roman"/>
                <w:sz w:val="18"/>
                <w:szCs w:val="18"/>
              </w:rPr>
            </w:pPr>
          </w:p>
          <w:p w14:paraId="790B2DFF" w14:textId="222555E4" w:rsidR="001A0B09" w:rsidRDefault="0065468A">
            <w:pPr>
              <w:pStyle w:val="TableParagraph"/>
              <w:ind w:left="176"/>
              <w:jc w:val="both"/>
              <w:rPr>
                <w:rFonts w:ascii="Times New Roman" w:eastAsia="Verdana" w:hAnsi="Times New Roman"/>
                <w:sz w:val="18"/>
                <w:szCs w:val="18"/>
              </w:rPr>
            </w:pPr>
            <w:r>
              <w:rPr>
                <w:rFonts w:ascii="Times New Roman" w:hAnsi="Times New Roman"/>
                <w:sz w:val="18"/>
              </w:rPr>
              <w:t>Transakcje w pozycji 1.2.2.2,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66A42B89" w14:textId="77777777" w:rsidTr="00454544">
        <w:tc>
          <w:tcPr>
            <w:tcW w:w="1457" w:type="dxa"/>
            <w:shd w:val="clear" w:color="auto" w:fill="auto"/>
            <w:vAlign w:val="center"/>
          </w:tcPr>
          <w:p w14:paraId="6FD16AA2"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1A0B09" w:rsidRDefault="001A0B09">
            <w:pPr>
              <w:pStyle w:val="TableParagraph"/>
              <w:spacing w:before="9"/>
              <w:jc w:val="both"/>
              <w:rPr>
                <w:rFonts w:ascii="Times New Roman" w:eastAsia="Times New Roman" w:hAnsi="Times New Roman"/>
                <w:sz w:val="21"/>
                <w:szCs w:val="21"/>
              </w:rPr>
            </w:pPr>
          </w:p>
          <w:p w14:paraId="783484E8"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zabezpieczenie aktywami poziomu 2A</w:t>
            </w:r>
          </w:p>
          <w:p w14:paraId="11DBBDCE" w14:textId="77777777" w:rsidR="001A0B09" w:rsidRDefault="001A0B09">
            <w:pPr>
              <w:pStyle w:val="TableParagraph"/>
              <w:spacing w:before="9"/>
              <w:jc w:val="both"/>
              <w:rPr>
                <w:rFonts w:ascii="Times New Roman" w:eastAsia="Times New Roman" w:hAnsi="Times New Roman"/>
                <w:sz w:val="24"/>
                <w:szCs w:val="24"/>
              </w:rPr>
            </w:pPr>
          </w:p>
          <w:p w14:paraId="360D55B0" w14:textId="3B4637F2" w:rsidR="001A0B09" w:rsidRDefault="000378A5">
            <w:pPr>
              <w:pStyle w:val="TableParagraph"/>
              <w:ind w:left="135"/>
              <w:jc w:val="both"/>
              <w:rPr>
                <w:rFonts w:ascii="Times New Roman" w:eastAsia="Verdana" w:hAnsi="Times New Roman"/>
                <w:sz w:val="18"/>
                <w:szCs w:val="18"/>
              </w:rPr>
            </w:pPr>
            <w:r>
              <w:rPr>
                <w:rFonts w:ascii="Times New Roman" w:hAnsi="Times New Roman"/>
                <w:sz w:val="18"/>
              </w:rPr>
              <w:t>Art. 28 ust. 3 lit. c) rozporządzenia delegowanego (UE) 2015/61</w:t>
            </w:r>
          </w:p>
          <w:p w14:paraId="389D1036" w14:textId="77777777" w:rsidR="001A0B09" w:rsidRDefault="001A0B09">
            <w:pPr>
              <w:pStyle w:val="TableParagraph"/>
              <w:spacing w:before="7"/>
              <w:jc w:val="both"/>
              <w:rPr>
                <w:rFonts w:ascii="Times New Roman" w:eastAsia="Times New Roman" w:hAnsi="Times New Roman"/>
                <w:sz w:val="24"/>
                <w:szCs w:val="24"/>
              </w:rPr>
            </w:pPr>
          </w:p>
          <w:p w14:paraId="7C83C832" w14:textId="0FDD1E14"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nie jest bank centralny, a udzielonym zabezpieczeniem jest zabezpieczenie poziomu 2A, które gdyby nie to, że jest wykorzystywane jako zabezpieczenie dla tych transakcji, kwalifikowałoby się zgodnie z art. 7 i 11 rozporządzenia delegowanego (UE) 2015/61 jako składnik aktywów płynnych.</w:t>
            </w:r>
          </w:p>
        </w:tc>
      </w:tr>
      <w:tr w:rsidR="001A0B09" w14:paraId="14750076" w14:textId="77777777" w:rsidTr="00454544">
        <w:tc>
          <w:tcPr>
            <w:tcW w:w="1457" w:type="dxa"/>
            <w:shd w:val="clear" w:color="auto" w:fill="auto"/>
            <w:vAlign w:val="center"/>
          </w:tcPr>
          <w:p w14:paraId="43270CE6" w14:textId="77777777" w:rsidR="001A0B09"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1A0B09" w:rsidRDefault="001A0B09">
            <w:pPr>
              <w:pStyle w:val="TableParagraph"/>
              <w:ind w:left="176"/>
              <w:jc w:val="both"/>
              <w:rPr>
                <w:rFonts w:ascii="Times New Roman" w:hAnsi="Times New Roman"/>
                <w:b/>
                <w:sz w:val="18"/>
                <w:u w:color="000000"/>
              </w:rPr>
            </w:pPr>
          </w:p>
          <w:p w14:paraId="0067096E"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w tym: udzielone zabezpieczenie spełnia wymogi operacyjne</w:t>
            </w:r>
          </w:p>
          <w:p w14:paraId="0BE17FE7" w14:textId="77777777" w:rsidR="001A0B09" w:rsidRDefault="001A0B09">
            <w:pPr>
              <w:pStyle w:val="TableParagraph"/>
              <w:ind w:left="176"/>
              <w:jc w:val="both"/>
              <w:rPr>
                <w:rFonts w:ascii="Times New Roman" w:eastAsia="Verdana" w:hAnsi="Times New Roman"/>
                <w:sz w:val="18"/>
                <w:szCs w:val="18"/>
              </w:rPr>
            </w:pPr>
          </w:p>
          <w:p w14:paraId="64F48A92" w14:textId="7006E676" w:rsidR="001A0B09" w:rsidRDefault="00B278C8">
            <w:pPr>
              <w:pStyle w:val="TableParagraph"/>
              <w:ind w:left="176"/>
              <w:jc w:val="both"/>
              <w:rPr>
                <w:rFonts w:ascii="Times New Roman" w:eastAsia="Verdana" w:hAnsi="Times New Roman"/>
                <w:sz w:val="18"/>
                <w:szCs w:val="18"/>
              </w:rPr>
            </w:pPr>
            <w:r>
              <w:rPr>
                <w:rFonts w:ascii="Times New Roman" w:hAnsi="Times New Roman"/>
                <w:sz w:val="18"/>
              </w:rPr>
              <w:t>Transakcje w pozycji 1.2.2.3,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777DF558" w14:textId="77777777" w:rsidTr="00454544">
        <w:tc>
          <w:tcPr>
            <w:tcW w:w="1457" w:type="dxa"/>
            <w:shd w:val="clear" w:color="auto" w:fill="auto"/>
            <w:vAlign w:val="center"/>
          </w:tcPr>
          <w:p w14:paraId="679F7BF7"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1A0B09" w:rsidRDefault="001A0B09">
            <w:pPr>
              <w:pStyle w:val="TableParagraph"/>
              <w:spacing w:before="9"/>
              <w:jc w:val="both"/>
              <w:rPr>
                <w:rFonts w:ascii="Times New Roman" w:eastAsia="Times New Roman" w:hAnsi="Times New Roman"/>
                <w:sz w:val="21"/>
                <w:szCs w:val="21"/>
              </w:rPr>
            </w:pPr>
          </w:p>
          <w:p w14:paraId="474D3293" w14:textId="77777777" w:rsidR="001A0B09"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zabezpieczenie aktywami poziomu 2B w postaci papierów wartościowych zabezpieczonych aktywami (kredyty na nieruchomości mieszkalne lub na zakup samochodów,</w:t>
            </w:r>
            <w:r>
              <w:rPr>
                <w:rFonts w:ascii="Times New Roman" w:hAnsi="Times New Roman"/>
                <w:b/>
                <w:sz w:val="18"/>
              </w:rPr>
              <w:t xml:space="preserve"> </w:t>
            </w:r>
            <w:r>
              <w:rPr>
                <w:rFonts w:ascii="Times New Roman" w:hAnsi="Times New Roman"/>
                <w:b/>
                <w:sz w:val="18"/>
                <w:u w:color="000000"/>
              </w:rPr>
              <w:t>CQS1)</w:t>
            </w:r>
          </w:p>
          <w:p w14:paraId="779A0CBD" w14:textId="77777777" w:rsidR="001A0B09" w:rsidRDefault="001A0B09">
            <w:pPr>
              <w:pStyle w:val="TableParagraph"/>
              <w:spacing w:before="11"/>
              <w:jc w:val="both"/>
              <w:rPr>
                <w:rFonts w:ascii="Times New Roman" w:eastAsia="Times New Roman" w:hAnsi="Times New Roman"/>
                <w:sz w:val="21"/>
                <w:szCs w:val="21"/>
              </w:rPr>
            </w:pPr>
          </w:p>
          <w:p w14:paraId="6BE7989B" w14:textId="278D8E23"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d) rozporządzenia delegowanego (UE) 2015/61</w:t>
            </w:r>
          </w:p>
          <w:p w14:paraId="2ED66C85" w14:textId="77777777" w:rsidR="001A0B09" w:rsidRDefault="001A0B09">
            <w:pPr>
              <w:pStyle w:val="TableParagraph"/>
              <w:spacing w:before="7"/>
              <w:jc w:val="both"/>
              <w:rPr>
                <w:rFonts w:ascii="Times New Roman" w:eastAsia="Times New Roman" w:hAnsi="Times New Roman"/>
                <w:sz w:val="24"/>
                <w:szCs w:val="24"/>
              </w:rPr>
            </w:pPr>
          </w:p>
          <w:p w14:paraId="730DE7AE" w14:textId="431308F2"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Instytucje kredytowe zgłaszają w tej pozycji wypływy z tytułu zabezpieczonych transakcji kredytowych i transakcji opartych na rynku kapitałowym określonych w art. 192 pkt 2 i 3 rozporządzenia (UE) nr 575/2013, gdy kontrahentem nie jest bank centralny </w:t>
            </w:r>
            <w:r>
              <w:rPr>
                <w:rFonts w:ascii="Times New Roman" w:hAnsi="Times New Roman"/>
                <w:sz w:val="18"/>
              </w:rPr>
              <w:lastRenderedPageBreak/>
              <w:t>i gdy zastosowano zabezpieczenie w postaci zabezpieczonych papierów wartościowych, których udzielonym zabezpieczeniem są aktywa poziomu 2B w postaci spłat mieszkaniowych kredytów hipotecznych lub opartych na kredytach i leasingu na sfinansowanie pojazdu silnikowego, objętych stopniem jakości kredytowej równym 1 i które spełniają warunki określone w art. 13 ust. 2 lit. g) ppkt (i), (ii) lub (iv), które gdyby nie to, że są wykorzystywane jako zabezpieczenie dla tych transakcji, kwalifikowałyby się zgodnie z art. 7 i 13 rozporządzenia delegowanego (UE) 2015/61 jako składnik aktywów płynnych.</w:t>
            </w:r>
          </w:p>
        </w:tc>
      </w:tr>
      <w:tr w:rsidR="001A0B09" w14:paraId="22145EE0" w14:textId="77777777" w:rsidTr="00454544">
        <w:tc>
          <w:tcPr>
            <w:tcW w:w="1457" w:type="dxa"/>
            <w:shd w:val="clear" w:color="auto" w:fill="auto"/>
            <w:vAlign w:val="center"/>
          </w:tcPr>
          <w:p w14:paraId="363A29FB" w14:textId="77777777" w:rsidR="001A0B09" w:rsidRDefault="006E48EA">
            <w:pPr>
              <w:pStyle w:val="TableParagraph"/>
              <w:ind w:left="135"/>
              <w:rPr>
                <w:rFonts w:ascii="Times New Roman" w:hAnsi="Times New Roman"/>
                <w:sz w:val="18"/>
              </w:rPr>
            </w:pPr>
            <w:r>
              <w:rPr>
                <w:rFonts w:ascii="Times New Roman" w:hAnsi="Times New Roman"/>
                <w:sz w:val="18"/>
              </w:rPr>
              <w:lastRenderedPageBreak/>
              <w:t>1065</w:t>
            </w:r>
          </w:p>
        </w:tc>
        <w:tc>
          <w:tcPr>
            <w:tcW w:w="6946" w:type="dxa"/>
            <w:shd w:val="clear" w:color="auto" w:fill="auto"/>
          </w:tcPr>
          <w:p w14:paraId="70694325" w14:textId="77777777" w:rsidR="001A0B09" w:rsidRDefault="001A0B09">
            <w:pPr>
              <w:pStyle w:val="TableParagraph"/>
              <w:ind w:left="176"/>
              <w:jc w:val="both"/>
              <w:rPr>
                <w:rFonts w:ascii="Times New Roman" w:hAnsi="Times New Roman"/>
                <w:b/>
                <w:sz w:val="18"/>
                <w:u w:color="000000"/>
              </w:rPr>
            </w:pPr>
          </w:p>
          <w:p w14:paraId="1141CECA"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w tym: udzielone zabezpieczenie spełnia wymogi operacyjne</w:t>
            </w:r>
          </w:p>
          <w:p w14:paraId="24A6E809" w14:textId="77777777" w:rsidR="001A0B09" w:rsidRDefault="001A0B09">
            <w:pPr>
              <w:pStyle w:val="TableParagraph"/>
              <w:ind w:left="176"/>
              <w:jc w:val="both"/>
              <w:rPr>
                <w:rFonts w:ascii="Times New Roman" w:eastAsia="Verdana" w:hAnsi="Times New Roman"/>
                <w:sz w:val="18"/>
                <w:szCs w:val="18"/>
              </w:rPr>
            </w:pPr>
          </w:p>
          <w:p w14:paraId="32207424" w14:textId="55271E6A" w:rsidR="001A0B09" w:rsidRDefault="00B278C8">
            <w:pPr>
              <w:pStyle w:val="TableParagraph"/>
              <w:ind w:left="176"/>
              <w:jc w:val="both"/>
              <w:rPr>
                <w:rFonts w:ascii="Times New Roman" w:eastAsia="Verdana" w:hAnsi="Times New Roman"/>
                <w:sz w:val="18"/>
                <w:szCs w:val="18"/>
              </w:rPr>
            </w:pPr>
            <w:r>
              <w:rPr>
                <w:rFonts w:ascii="Times New Roman" w:hAnsi="Times New Roman"/>
                <w:sz w:val="18"/>
              </w:rPr>
              <w:t>Transakcje w pozycji 1.2.2.4,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38500F6B" w14:textId="77777777" w:rsidTr="00454544">
        <w:tc>
          <w:tcPr>
            <w:tcW w:w="1457" w:type="dxa"/>
            <w:shd w:val="clear" w:color="auto" w:fill="auto"/>
            <w:vAlign w:val="center"/>
          </w:tcPr>
          <w:p w14:paraId="02886A08"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1A0B09" w:rsidRDefault="001A0B09">
            <w:pPr>
              <w:pStyle w:val="TableParagraph"/>
              <w:spacing w:before="9"/>
              <w:jc w:val="both"/>
              <w:rPr>
                <w:rFonts w:ascii="Times New Roman" w:eastAsia="Times New Roman" w:hAnsi="Times New Roman"/>
                <w:sz w:val="21"/>
                <w:szCs w:val="21"/>
              </w:rPr>
            </w:pPr>
          </w:p>
          <w:p w14:paraId="4772D73E"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aktywa poziomu 2B w postaci obligacji zabezpieczonych</w:t>
            </w:r>
          </w:p>
          <w:p w14:paraId="1BB846A2" w14:textId="77777777" w:rsidR="001A0B09" w:rsidRDefault="001A0B09">
            <w:pPr>
              <w:pStyle w:val="TableParagraph"/>
              <w:spacing w:before="7"/>
              <w:jc w:val="both"/>
              <w:rPr>
                <w:rFonts w:ascii="Times New Roman" w:eastAsia="Times New Roman" w:hAnsi="Times New Roman"/>
                <w:sz w:val="24"/>
                <w:szCs w:val="24"/>
              </w:rPr>
            </w:pPr>
          </w:p>
          <w:p w14:paraId="077A77EB" w14:textId="587FB44B"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e) rozporządzenia delegowanego (UE) 2015/61</w:t>
            </w:r>
          </w:p>
          <w:p w14:paraId="0057154B" w14:textId="77777777" w:rsidR="001A0B09" w:rsidRDefault="001A0B09">
            <w:pPr>
              <w:pStyle w:val="TableParagraph"/>
              <w:spacing w:line="276" w:lineRule="auto"/>
              <w:ind w:left="135" w:right="98"/>
              <w:jc w:val="both"/>
              <w:rPr>
                <w:rFonts w:ascii="Times New Roman" w:hAnsi="Times New Roman"/>
                <w:sz w:val="18"/>
              </w:rPr>
            </w:pPr>
          </w:p>
          <w:p w14:paraId="27D88416" w14:textId="19D824D6"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nie jest bank centralny, a udzielonym zabezpieczeniem są aktywa poziomu 2B w postaci obligacji zabezpieczonych charakteryzujących się wysoką jakością, które spełniają warunki określone w art. 12 ust. 1 lit. e), które gdyby nie to, że są wykorzystywane jako zabezpieczenie dla tych transakcji, kwalifikowałyby się zgodnie z art. 7 i 12 rozporządzenia delegowanego (UE) 2015/61 jako składnik aktywów płynnych.</w:t>
            </w:r>
          </w:p>
        </w:tc>
      </w:tr>
      <w:tr w:rsidR="001A0B09" w14:paraId="67521704" w14:textId="77777777" w:rsidTr="00454544">
        <w:tc>
          <w:tcPr>
            <w:tcW w:w="1457" w:type="dxa"/>
            <w:shd w:val="clear" w:color="auto" w:fill="auto"/>
            <w:vAlign w:val="center"/>
          </w:tcPr>
          <w:p w14:paraId="726C5269" w14:textId="77777777" w:rsidR="001A0B09" w:rsidRDefault="006E48EA">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1A0B09" w:rsidRDefault="001A0B09">
            <w:pPr>
              <w:pStyle w:val="TableParagraph"/>
              <w:ind w:left="176"/>
              <w:jc w:val="both"/>
              <w:rPr>
                <w:rFonts w:ascii="Times New Roman" w:hAnsi="Times New Roman"/>
                <w:b/>
                <w:sz w:val="18"/>
                <w:u w:color="000000"/>
              </w:rPr>
            </w:pPr>
          </w:p>
          <w:p w14:paraId="34DB03BC" w14:textId="77777777"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w tym: udzielone zabezpieczenie spełnia wymogi operacyjne</w:t>
            </w:r>
          </w:p>
          <w:p w14:paraId="512B0EF9" w14:textId="77777777" w:rsidR="001A0B09" w:rsidRDefault="001A0B09">
            <w:pPr>
              <w:pStyle w:val="TableParagraph"/>
              <w:ind w:left="176"/>
              <w:jc w:val="both"/>
              <w:rPr>
                <w:rFonts w:ascii="Times New Roman" w:eastAsia="Verdana" w:hAnsi="Times New Roman"/>
                <w:sz w:val="18"/>
                <w:szCs w:val="18"/>
              </w:rPr>
            </w:pPr>
          </w:p>
          <w:p w14:paraId="7BEA51D3" w14:textId="70528F8E" w:rsidR="001A0B09" w:rsidRDefault="00B278C8">
            <w:pPr>
              <w:pStyle w:val="TableParagraph"/>
              <w:ind w:left="176"/>
              <w:jc w:val="both"/>
              <w:rPr>
                <w:rFonts w:ascii="Times New Roman" w:eastAsia="Verdana" w:hAnsi="Times New Roman"/>
                <w:sz w:val="18"/>
                <w:szCs w:val="18"/>
              </w:rPr>
            </w:pPr>
            <w:r>
              <w:rPr>
                <w:rFonts w:ascii="Times New Roman" w:hAnsi="Times New Roman"/>
                <w:sz w:val="18"/>
              </w:rPr>
              <w:t>Transakcje w pozycji 1.2.2.5,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74D9C107" w14:textId="77777777" w:rsidTr="00454544">
        <w:tc>
          <w:tcPr>
            <w:tcW w:w="1457" w:type="dxa"/>
            <w:shd w:val="clear" w:color="auto" w:fill="auto"/>
            <w:vAlign w:val="center"/>
          </w:tcPr>
          <w:p w14:paraId="5349EEF6" w14:textId="77777777" w:rsidR="001A0B09"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1A0B09" w:rsidRDefault="001A0B09">
            <w:pPr>
              <w:pStyle w:val="TableParagraph"/>
              <w:spacing w:before="9"/>
              <w:jc w:val="both"/>
              <w:rPr>
                <w:rFonts w:ascii="Times New Roman" w:eastAsia="Times New Roman" w:hAnsi="Times New Roman"/>
                <w:sz w:val="21"/>
                <w:szCs w:val="21"/>
              </w:rPr>
            </w:pPr>
          </w:p>
          <w:p w14:paraId="68F63D16" w14:textId="77777777" w:rsidR="001A0B09"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zabezpieczenie aktywami poziomu 2B w postaci papierów wartościowych zabezpieczonych aktywami (kredyty komercyjne lub dla osób fizycznych,</w:t>
            </w:r>
            <w:r>
              <w:rPr>
                <w:rFonts w:ascii="Times New Roman" w:hAnsi="Times New Roman"/>
                <w:b/>
                <w:sz w:val="18"/>
              </w:rPr>
              <w:t xml:space="preserve"> </w:t>
            </w:r>
            <w:r>
              <w:rPr>
                <w:rFonts w:ascii="Times New Roman" w:hAnsi="Times New Roman"/>
                <w:b/>
                <w:sz w:val="18"/>
                <w:u w:color="000000"/>
              </w:rPr>
              <w:t>państwo członkowskie, CQS1)</w:t>
            </w:r>
          </w:p>
          <w:p w14:paraId="49927379" w14:textId="77777777" w:rsidR="001A0B09" w:rsidRDefault="001A0B09">
            <w:pPr>
              <w:pStyle w:val="TableParagraph"/>
              <w:spacing w:before="11"/>
              <w:jc w:val="both"/>
              <w:rPr>
                <w:rFonts w:ascii="Times New Roman" w:eastAsia="Times New Roman" w:hAnsi="Times New Roman"/>
                <w:sz w:val="21"/>
                <w:szCs w:val="21"/>
              </w:rPr>
            </w:pPr>
          </w:p>
          <w:p w14:paraId="1264B3D0" w14:textId="5E161C9A"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f) rozporządzenia delegowanego (UE) 2015/61</w:t>
            </w:r>
          </w:p>
          <w:p w14:paraId="3C52F7A6" w14:textId="77777777" w:rsidR="001A0B09" w:rsidRDefault="001A0B09">
            <w:pPr>
              <w:pStyle w:val="TableParagraph"/>
              <w:spacing w:before="7"/>
              <w:jc w:val="both"/>
              <w:rPr>
                <w:rFonts w:ascii="Times New Roman" w:eastAsia="Times New Roman" w:hAnsi="Times New Roman"/>
                <w:sz w:val="24"/>
                <w:szCs w:val="24"/>
              </w:rPr>
            </w:pPr>
          </w:p>
          <w:p w14:paraId="55F360E9" w14:textId="40D5735D"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nie jest bank centralny, a udzielonym zabezpieczeniem są aktywa poziomu 2B w postaci papierów wartościowych zabezpieczonych aktywami, które są zabezpieczone kredytami komercyjnymi, umowami leasingu i instrumentami kredytowymi dla przedsiębiorstw lub kredytami i instrumentami kredytowymi dla osób fizycznych z państwa członkowskiego oraz o stopniu jakości kredytowej równym 1 oraz które spełniają warunki określone w art. 13 ust. 2 lit. f) ppkt (iii) lub (v), które gdyby nie to, że są wykorzystywane jako zabezpieczenie dla tych transakcji, kwalifikowałyby się zgodnie z art. 7 i 13 rozporządzenia delegowanego (UE) 2015/61 jako składnik aktywów płynnych.</w:t>
            </w:r>
          </w:p>
        </w:tc>
      </w:tr>
      <w:tr w:rsidR="001A0B09" w14:paraId="63AA8A71" w14:textId="77777777" w:rsidTr="00454544">
        <w:tc>
          <w:tcPr>
            <w:tcW w:w="1457" w:type="dxa"/>
            <w:shd w:val="clear" w:color="auto" w:fill="auto"/>
            <w:vAlign w:val="center"/>
          </w:tcPr>
          <w:p w14:paraId="60CF2972" w14:textId="4D8F35AE" w:rsidR="001A0B09"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1A0B09" w:rsidRDefault="001A0B09">
            <w:pPr>
              <w:pStyle w:val="TableParagraph"/>
              <w:ind w:left="176"/>
              <w:jc w:val="both"/>
              <w:rPr>
                <w:rFonts w:ascii="Times New Roman" w:hAnsi="Times New Roman"/>
                <w:b/>
                <w:sz w:val="18"/>
                <w:u w:color="000000"/>
              </w:rPr>
            </w:pPr>
          </w:p>
          <w:p w14:paraId="71B88F25" w14:textId="168C884C"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w tym: udzielone zabezpieczenie spełnia wymogi operacyjne</w:t>
            </w:r>
          </w:p>
          <w:p w14:paraId="50586D69" w14:textId="77777777" w:rsidR="001A0B09" w:rsidRDefault="001A0B09">
            <w:pPr>
              <w:pStyle w:val="TableParagraph"/>
              <w:ind w:left="176"/>
              <w:jc w:val="both"/>
              <w:rPr>
                <w:rFonts w:ascii="Times New Roman" w:hAnsi="Times New Roman"/>
                <w:sz w:val="18"/>
              </w:rPr>
            </w:pPr>
          </w:p>
          <w:p w14:paraId="6B6A2F6E" w14:textId="55939256" w:rsidR="001A0B09" w:rsidRDefault="00B278C8">
            <w:pPr>
              <w:pStyle w:val="TableParagraph"/>
              <w:ind w:left="176"/>
              <w:jc w:val="both"/>
              <w:rPr>
                <w:rFonts w:ascii="Times New Roman" w:eastAsia="Verdana" w:hAnsi="Times New Roman"/>
                <w:sz w:val="18"/>
                <w:szCs w:val="18"/>
              </w:rPr>
            </w:pPr>
            <w:r>
              <w:rPr>
                <w:rFonts w:ascii="Times New Roman" w:hAnsi="Times New Roman"/>
                <w:sz w:val="18"/>
              </w:rPr>
              <w:t>Transakcje w pozycji 1.2.2.6,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533CFCA5" w14:textId="77777777" w:rsidTr="00454544">
        <w:tc>
          <w:tcPr>
            <w:tcW w:w="1457" w:type="dxa"/>
            <w:shd w:val="clear" w:color="auto" w:fill="auto"/>
            <w:vAlign w:val="center"/>
          </w:tcPr>
          <w:p w14:paraId="208DF814" w14:textId="5294525F" w:rsidR="001A0B09"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1A0B09" w:rsidRDefault="001A0B09">
            <w:pPr>
              <w:pStyle w:val="TableParagraph"/>
              <w:spacing w:before="9"/>
              <w:jc w:val="both"/>
              <w:rPr>
                <w:rFonts w:ascii="Times New Roman" w:eastAsia="Times New Roman" w:hAnsi="Times New Roman"/>
                <w:sz w:val="21"/>
                <w:szCs w:val="21"/>
              </w:rPr>
            </w:pPr>
          </w:p>
          <w:p w14:paraId="30311AA6" w14:textId="3599DB19"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zabezpieczenie innymi aktywami poziomu 2B</w:t>
            </w:r>
          </w:p>
          <w:p w14:paraId="66D815BD" w14:textId="77777777" w:rsidR="001A0B09" w:rsidRDefault="001A0B09">
            <w:pPr>
              <w:pStyle w:val="TableParagraph"/>
              <w:spacing w:before="9"/>
              <w:jc w:val="both"/>
              <w:rPr>
                <w:rFonts w:ascii="Times New Roman" w:eastAsia="Times New Roman" w:hAnsi="Times New Roman"/>
                <w:sz w:val="24"/>
                <w:szCs w:val="24"/>
              </w:rPr>
            </w:pPr>
          </w:p>
          <w:p w14:paraId="0AC6EB49" w14:textId="5647AC00"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g) rozporządzenia delegowanego (UE) 2015/61</w:t>
            </w:r>
          </w:p>
          <w:p w14:paraId="0C3D15CE" w14:textId="77777777" w:rsidR="001A0B09" w:rsidRDefault="001A0B09">
            <w:pPr>
              <w:pStyle w:val="TableParagraph"/>
              <w:spacing w:before="9"/>
              <w:jc w:val="both"/>
              <w:rPr>
                <w:rFonts w:ascii="Times New Roman" w:eastAsia="Times New Roman" w:hAnsi="Times New Roman"/>
                <w:sz w:val="24"/>
                <w:szCs w:val="24"/>
              </w:rPr>
            </w:pPr>
          </w:p>
          <w:p w14:paraId="1E7A41DA" w14:textId="169E5791" w:rsidR="001A0B0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nie jest bank centralny, a udzielonym zabezpieczeniem jest zabezpieczenie poziomu 2B nieuwzględnione powyżej, które gdyby nie to, że jest wykorzystywane jako zabezpieczenie dla tych transakcji, kwalifikowałoby się zgodnie z art. 7 i 12 rozporządzenia delegowanego (UE) 2015/61 jako składnik aktywów płynnych.</w:t>
            </w:r>
          </w:p>
        </w:tc>
      </w:tr>
      <w:tr w:rsidR="001A0B09" w14:paraId="57F387F1" w14:textId="77777777" w:rsidTr="00454544">
        <w:tc>
          <w:tcPr>
            <w:tcW w:w="1457" w:type="dxa"/>
            <w:shd w:val="clear" w:color="auto" w:fill="auto"/>
            <w:vAlign w:val="center"/>
          </w:tcPr>
          <w:p w14:paraId="65B52579" w14:textId="75523C49" w:rsidR="001A0B09" w:rsidRDefault="006E48EA">
            <w:pPr>
              <w:pStyle w:val="TableParagraph"/>
              <w:ind w:left="135"/>
              <w:rPr>
                <w:rFonts w:ascii="Times New Roman" w:hAnsi="Times New Roman"/>
                <w:sz w:val="18"/>
              </w:rPr>
            </w:pPr>
            <w:r>
              <w:rPr>
                <w:rFonts w:ascii="Times New Roman" w:hAnsi="Times New Roman"/>
                <w:sz w:val="18"/>
              </w:rPr>
              <w:lastRenderedPageBreak/>
              <w:t>1095</w:t>
            </w:r>
          </w:p>
        </w:tc>
        <w:tc>
          <w:tcPr>
            <w:tcW w:w="6946" w:type="dxa"/>
            <w:shd w:val="clear" w:color="auto" w:fill="auto"/>
          </w:tcPr>
          <w:p w14:paraId="716B837F" w14:textId="77777777" w:rsidR="001A0B09" w:rsidRDefault="001A0B09">
            <w:pPr>
              <w:pStyle w:val="TableParagraph"/>
              <w:ind w:left="176"/>
              <w:jc w:val="both"/>
              <w:rPr>
                <w:rFonts w:ascii="Times New Roman" w:hAnsi="Times New Roman"/>
                <w:b/>
                <w:sz w:val="18"/>
                <w:u w:color="000000"/>
              </w:rPr>
            </w:pPr>
          </w:p>
          <w:p w14:paraId="44A09898" w14:textId="53060AC3" w:rsidR="001A0B09"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w tym: udzielone zabezpieczenie spełnia wymogi operacyjne</w:t>
            </w:r>
          </w:p>
          <w:p w14:paraId="600AE9FD" w14:textId="77777777" w:rsidR="001A0B09" w:rsidRDefault="001A0B09">
            <w:pPr>
              <w:pStyle w:val="TableParagraph"/>
              <w:ind w:left="176"/>
              <w:jc w:val="both"/>
              <w:rPr>
                <w:rFonts w:ascii="Times New Roman" w:hAnsi="Times New Roman"/>
                <w:sz w:val="18"/>
              </w:rPr>
            </w:pPr>
          </w:p>
          <w:p w14:paraId="1DBF88E5" w14:textId="1A651577" w:rsidR="001A0B09" w:rsidRDefault="00B278C8">
            <w:pPr>
              <w:pStyle w:val="TableParagraph"/>
              <w:ind w:left="176"/>
              <w:jc w:val="both"/>
              <w:rPr>
                <w:rFonts w:ascii="Times New Roman" w:eastAsia="Verdana" w:hAnsi="Times New Roman"/>
                <w:sz w:val="18"/>
                <w:szCs w:val="18"/>
              </w:rPr>
            </w:pPr>
            <w:r>
              <w:rPr>
                <w:rFonts w:ascii="Times New Roman" w:hAnsi="Times New Roman"/>
                <w:sz w:val="18"/>
              </w:rPr>
              <w:t>Transakcje w pozycji 1.2.2.7, w przypadku których zabezpieczenie wykorzystywane jako zabezpieczenie dla tych transakcji kwalifikowałoby się zgodnie z art. 8</w:t>
            </w:r>
            <w:r>
              <w:rPr>
                <w:rFonts w:ascii="Times New Roman" w:hAnsi="Times New Roman"/>
              </w:rPr>
              <w:t xml:space="preserve"> </w:t>
            </w:r>
            <w:r>
              <w:rPr>
                <w:rFonts w:ascii="Times New Roman" w:hAnsi="Times New Roman"/>
                <w:sz w:val="18"/>
              </w:rPr>
              <w:t>rozporządzenia delegowanego (UE) 2015/61 jako składnik aktywów płynnych.</w:t>
            </w:r>
          </w:p>
        </w:tc>
      </w:tr>
      <w:tr w:rsidR="001A0B09" w14:paraId="772B8D62" w14:textId="77777777" w:rsidTr="00454544">
        <w:tc>
          <w:tcPr>
            <w:tcW w:w="1457" w:type="dxa"/>
            <w:shd w:val="clear" w:color="auto" w:fill="auto"/>
            <w:vAlign w:val="center"/>
          </w:tcPr>
          <w:p w14:paraId="34B2FEB8" w14:textId="7C6373F3" w:rsidR="001A0B09" w:rsidRDefault="006E48EA">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1A0B09" w:rsidRDefault="001A0B09">
            <w:pPr>
              <w:pStyle w:val="TableParagraph"/>
              <w:spacing w:before="9"/>
              <w:jc w:val="both"/>
              <w:rPr>
                <w:rFonts w:ascii="Times New Roman" w:eastAsia="Times New Roman" w:hAnsi="Times New Roman"/>
                <w:sz w:val="21"/>
                <w:szCs w:val="21"/>
              </w:rPr>
            </w:pPr>
          </w:p>
          <w:p w14:paraId="0046FCC0" w14:textId="13F3CC6F"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zabezpieczenie aktywami niepłynnymi</w:t>
            </w:r>
          </w:p>
          <w:p w14:paraId="3E5B0D9E" w14:textId="77777777" w:rsidR="001A0B09" w:rsidRDefault="001A0B09">
            <w:pPr>
              <w:pStyle w:val="TableParagraph"/>
              <w:spacing w:before="7"/>
              <w:jc w:val="both"/>
              <w:rPr>
                <w:rFonts w:ascii="Times New Roman" w:eastAsia="Times New Roman" w:hAnsi="Times New Roman"/>
                <w:sz w:val="24"/>
                <w:szCs w:val="24"/>
              </w:rPr>
            </w:pPr>
          </w:p>
          <w:p w14:paraId="46264542" w14:textId="054D53E6" w:rsidR="001A0B09" w:rsidRDefault="00DD4C72">
            <w:pPr>
              <w:pStyle w:val="TableParagraph"/>
              <w:ind w:left="135"/>
              <w:jc w:val="both"/>
              <w:rPr>
                <w:rFonts w:ascii="Times New Roman" w:eastAsia="Verdana" w:hAnsi="Times New Roman"/>
                <w:sz w:val="18"/>
                <w:szCs w:val="18"/>
              </w:rPr>
            </w:pPr>
            <w:r>
              <w:rPr>
                <w:rFonts w:ascii="Times New Roman" w:hAnsi="Times New Roman"/>
                <w:sz w:val="18"/>
              </w:rPr>
              <w:t>Art. 28 ust. 3 lit. h) rozporządzenia delegowanego (UE) 2015/61</w:t>
            </w:r>
          </w:p>
          <w:p w14:paraId="453BDB8E" w14:textId="77777777" w:rsidR="001A0B09" w:rsidRDefault="001A0B09">
            <w:pPr>
              <w:pStyle w:val="TableParagraph"/>
              <w:spacing w:before="9"/>
              <w:jc w:val="both"/>
              <w:rPr>
                <w:rFonts w:ascii="Times New Roman" w:eastAsia="Times New Roman" w:hAnsi="Times New Roman"/>
                <w:sz w:val="24"/>
                <w:szCs w:val="24"/>
              </w:rPr>
            </w:pPr>
          </w:p>
          <w:p w14:paraId="2462A39D" w14:textId="0CAD3356" w:rsidR="001A0B09" w:rsidRDefault="006E48EA">
            <w:pPr>
              <w:pStyle w:val="TableParagraph"/>
              <w:spacing w:line="275" w:lineRule="auto"/>
              <w:ind w:left="135" w:right="98"/>
              <w:jc w:val="both"/>
              <w:rPr>
                <w:rFonts w:ascii="Times New Roman" w:hAnsi="Times New Roman"/>
                <w:sz w:val="18"/>
              </w:rPr>
            </w:pPr>
            <w:r>
              <w:rPr>
                <w:rFonts w:ascii="Times New Roman" w:hAnsi="Times New Roman"/>
                <w:sz w:val="18"/>
              </w:rPr>
              <w:t>W tej sekcji instytucje kredytowe zgłaszają wypływy wynikające z zabezpieczonych transakcji kredytowych i transakcji opartych na rynku kapitałowym zdefiniowanych w art. 192 pkt 2 i 3 rozporządzenia (UE) nr 575/2013, w przypadku gdy kontrahentem nie jest bank centralny, a udzielonym zabezpieczeniem jest zabezpieczenie w postaci aktywów niepłynnych.</w:t>
            </w:r>
          </w:p>
        </w:tc>
      </w:tr>
      <w:tr w:rsidR="001A0B09" w14:paraId="681FE393" w14:textId="77777777" w:rsidTr="00454544">
        <w:tc>
          <w:tcPr>
            <w:tcW w:w="1457" w:type="dxa"/>
            <w:shd w:val="clear" w:color="auto" w:fill="auto"/>
            <w:vAlign w:val="center"/>
          </w:tcPr>
          <w:p w14:paraId="4D2E8AE8"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1A0B09" w:rsidRDefault="001A0B09">
            <w:pPr>
              <w:pStyle w:val="TableParagraph"/>
              <w:spacing w:before="9"/>
              <w:jc w:val="both"/>
              <w:rPr>
                <w:rFonts w:ascii="Times New Roman" w:eastAsia="Times New Roman" w:hAnsi="Times New Roman"/>
                <w:sz w:val="21"/>
                <w:szCs w:val="21"/>
              </w:rPr>
            </w:pPr>
          </w:p>
          <w:p w14:paraId="7B9C9022"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1.3. Wypływy razem z tytułu transakcji zabezpieczających swap</w:t>
            </w:r>
          </w:p>
          <w:p w14:paraId="40525F6A" w14:textId="77777777" w:rsidR="001A0B09" w:rsidRDefault="001A0B09">
            <w:pPr>
              <w:pStyle w:val="TableParagraph"/>
              <w:spacing w:before="9"/>
              <w:jc w:val="both"/>
              <w:rPr>
                <w:rFonts w:ascii="Times New Roman" w:eastAsia="Times New Roman" w:hAnsi="Times New Roman"/>
                <w:sz w:val="24"/>
                <w:szCs w:val="24"/>
              </w:rPr>
            </w:pPr>
          </w:p>
          <w:p w14:paraId="3323311D" w14:textId="2086E011" w:rsidR="001A0B09"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Łączną kwotę wypływów z kolumny 0070 w formularzu C 75.01 określonym w załączniku XXIV zgłasza się w kolumnie 060.</w:t>
            </w:r>
          </w:p>
        </w:tc>
      </w:tr>
      <w:tr w:rsidR="001A0B09" w14:paraId="03FDDAA0" w14:textId="77777777" w:rsidTr="007318AA">
        <w:tc>
          <w:tcPr>
            <w:tcW w:w="8403" w:type="dxa"/>
            <w:gridSpan w:val="2"/>
            <w:shd w:val="clear" w:color="auto" w:fill="auto"/>
            <w:vAlign w:val="center"/>
          </w:tcPr>
          <w:p w14:paraId="201FEE18" w14:textId="2A100A8F" w:rsidR="001A0B09"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POZYCJE UZUPEŁNIAJĄCE</w:t>
            </w:r>
          </w:p>
        </w:tc>
      </w:tr>
      <w:tr w:rsidR="001A0B09" w14:paraId="67BA67F8" w14:textId="77777777" w:rsidTr="00454544">
        <w:tc>
          <w:tcPr>
            <w:tcW w:w="1457" w:type="dxa"/>
            <w:shd w:val="clear" w:color="auto" w:fill="auto"/>
            <w:vAlign w:val="center"/>
          </w:tcPr>
          <w:p w14:paraId="16C6441A" w14:textId="5DCEA4EB" w:rsidR="001A0B09"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1A0B09" w:rsidRDefault="00242C3F">
            <w:pPr>
              <w:pStyle w:val="TableParagraph"/>
              <w:ind w:left="135"/>
              <w:jc w:val="both"/>
              <w:rPr>
                <w:rFonts w:ascii="Times New Roman" w:hAnsi="Times New Roman"/>
                <w:b/>
                <w:sz w:val="18"/>
                <w:u w:color="000000"/>
              </w:rPr>
            </w:pPr>
            <w:r>
              <w:rPr>
                <w:rFonts w:ascii="Times New Roman" w:hAnsi="Times New Roman"/>
                <w:b/>
                <w:sz w:val="18"/>
                <w:u w:color="000000"/>
              </w:rPr>
              <w:t>2. Wypływy płynności podlegające kompensowaniu współzależnymi wpływami</w:t>
            </w:r>
          </w:p>
          <w:p w14:paraId="1136ED48" w14:textId="77777777" w:rsidR="001A0B09" w:rsidRDefault="001A0B09">
            <w:pPr>
              <w:pStyle w:val="TableParagraph"/>
              <w:ind w:left="135"/>
              <w:jc w:val="both"/>
              <w:rPr>
                <w:rFonts w:ascii="Times New Roman" w:hAnsi="Times New Roman"/>
                <w:b/>
                <w:sz w:val="18"/>
                <w:u w:color="000000"/>
              </w:rPr>
            </w:pPr>
          </w:p>
          <w:p w14:paraId="0339AF36" w14:textId="02985DCC" w:rsidR="001A0B09" w:rsidRDefault="00735E44">
            <w:pPr>
              <w:pStyle w:val="TableParagraph"/>
              <w:jc w:val="both"/>
              <w:rPr>
                <w:rFonts w:ascii="Times New Roman" w:eastAsia="Verdana" w:hAnsi="Times New Roman"/>
                <w:sz w:val="18"/>
                <w:szCs w:val="18"/>
              </w:rPr>
            </w:pPr>
            <w:r>
              <w:rPr>
                <w:rFonts w:ascii="Times New Roman" w:hAnsi="Times New Roman"/>
                <w:sz w:val="18"/>
              </w:rPr>
              <w:t>Art. 26 rozporządzenia delegowanego (UE) 2015/61</w:t>
            </w:r>
          </w:p>
          <w:p w14:paraId="57036C1A" w14:textId="77777777" w:rsidR="001A0B09" w:rsidRDefault="001A0B09">
            <w:pPr>
              <w:pStyle w:val="TableParagraph"/>
              <w:jc w:val="both"/>
              <w:rPr>
                <w:rFonts w:ascii="Times New Roman" w:hAnsi="Times New Roman"/>
                <w:sz w:val="18"/>
                <w:u w:color="000000"/>
              </w:rPr>
            </w:pPr>
          </w:p>
          <w:p w14:paraId="1C26E7C2" w14:textId="2A531A47" w:rsidR="001A0B09" w:rsidRDefault="00735E44">
            <w:pPr>
              <w:pStyle w:val="TableParagraph"/>
              <w:spacing w:before="9"/>
              <w:jc w:val="both"/>
              <w:rPr>
                <w:rFonts w:ascii="Times New Roman" w:hAnsi="Times New Roman"/>
                <w:sz w:val="18"/>
              </w:rPr>
            </w:pPr>
            <w:r>
              <w:rPr>
                <w:rFonts w:ascii="Times New Roman" w:hAnsi="Times New Roman"/>
                <w:sz w:val="18"/>
              </w:rPr>
              <w:t>Instytucje kredytowe w kolumnie 010 zgłaszają pozostającą kwotę wymagalną z tytułu różnych kategorii zobowiązań i zobowiązań pozabilansowych, w odniesieniu do których wypływy płynności zostały skompensowane współzależnymi wpływami zgodnie z art. 26 rozporządzenia delegowanego (UE) 2015/61.</w:t>
            </w:r>
          </w:p>
          <w:p w14:paraId="00970DEE" w14:textId="77777777" w:rsidR="001A0B09" w:rsidRDefault="001A0B09">
            <w:pPr>
              <w:pStyle w:val="TableParagraph"/>
              <w:spacing w:before="9"/>
              <w:jc w:val="both"/>
              <w:rPr>
                <w:rFonts w:ascii="Times New Roman" w:hAnsi="Times New Roman"/>
                <w:sz w:val="18"/>
              </w:rPr>
            </w:pPr>
          </w:p>
          <w:p w14:paraId="4F2F6173" w14:textId="5123CDFE" w:rsidR="001A0B09"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Instytucje kredytowe w kolumnie 060 zgłaszają wypływy, które zostały skompensowane współzależnymi wpływami zgodnie z art. 26 rozporządzenia delegowanego (UE) 2015/61.</w:t>
            </w:r>
          </w:p>
        </w:tc>
      </w:tr>
      <w:tr w:rsidR="001A0B09" w14:paraId="3AC53CC8" w14:textId="77777777" w:rsidTr="00454544">
        <w:tc>
          <w:tcPr>
            <w:tcW w:w="1457" w:type="dxa"/>
            <w:shd w:val="clear" w:color="auto" w:fill="auto"/>
            <w:vAlign w:val="center"/>
          </w:tcPr>
          <w:p w14:paraId="3EDB677F" w14:textId="77777777" w:rsidR="001A0B09" w:rsidRDefault="001A0B09">
            <w:pPr>
              <w:rPr>
                <w:rFonts w:ascii="Times New Roman" w:eastAsia="Calibri" w:hAnsi="Times New Roman"/>
              </w:rPr>
            </w:pPr>
          </w:p>
        </w:tc>
        <w:tc>
          <w:tcPr>
            <w:tcW w:w="6946" w:type="dxa"/>
            <w:shd w:val="clear" w:color="auto" w:fill="auto"/>
          </w:tcPr>
          <w:p w14:paraId="021E4D21" w14:textId="77777777" w:rsidR="001A0B09" w:rsidRDefault="001A0B09">
            <w:pPr>
              <w:pStyle w:val="TableParagraph"/>
              <w:spacing w:before="9"/>
              <w:jc w:val="both"/>
              <w:rPr>
                <w:rFonts w:ascii="Times New Roman" w:eastAsia="Times New Roman" w:hAnsi="Times New Roman"/>
                <w:sz w:val="21"/>
                <w:szCs w:val="21"/>
              </w:rPr>
            </w:pPr>
          </w:p>
          <w:p w14:paraId="5F81A43B" w14:textId="7506E505" w:rsidR="001A0B09"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 xml:space="preserve">3. Depozyty operacyjne utrzymywane w celu skorzystania z usług rozliczeniowych, powierniczych lub zarządzania płynnością lub innych porównywalnych usług w </w:t>
            </w:r>
            <w:r>
              <w:rPr>
                <w:rFonts w:ascii="Times New Roman" w:hAnsi="Times New Roman"/>
                <w:b/>
                <w:sz w:val="18"/>
                <w:u w:color="000000"/>
              </w:rPr>
              <w:t>kontekście utrwalonej relacji operacyjnej</w:t>
            </w:r>
          </w:p>
          <w:p w14:paraId="0B8662F3" w14:textId="77777777" w:rsidR="001A0B09" w:rsidRDefault="001A0B09">
            <w:pPr>
              <w:pStyle w:val="TableParagraph"/>
              <w:spacing w:before="3"/>
              <w:jc w:val="both"/>
              <w:rPr>
                <w:rFonts w:ascii="Times New Roman" w:eastAsia="Times New Roman" w:hAnsi="Times New Roman"/>
              </w:rPr>
            </w:pPr>
          </w:p>
          <w:p w14:paraId="3D8EC3E4" w14:textId="77777777" w:rsidR="001A0B09"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W tej sekcji instytucje kredytowe zgłaszają depozyty operacyjne, o których mowa w pozycji</w:t>
            </w:r>
          </w:p>
          <w:p w14:paraId="28FDE3D6" w14:textId="77777777" w:rsidR="001A0B09"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z podziałem na następujących kontrahentów:</w:t>
            </w:r>
          </w:p>
          <w:p w14:paraId="2F1A52B3" w14:textId="77777777" w:rsidR="001A0B09" w:rsidRDefault="001A0B09">
            <w:pPr>
              <w:pStyle w:val="TableParagraph"/>
              <w:spacing w:before="11"/>
              <w:jc w:val="both"/>
              <w:rPr>
                <w:rFonts w:ascii="Times New Roman" w:eastAsia="Times New Roman" w:hAnsi="Times New Roman"/>
                <w:sz w:val="19"/>
                <w:szCs w:val="19"/>
              </w:rPr>
            </w:pPr>
          </w:p>
          <w:p w14:paraId="1FE35B38" w14:textId="77777777" w:rsidR="001A0B09"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instytucje kredytowe;</w:t>
            </w:r>
          </w:p>
          <w:p w14:paraId="702F440A" w14:textId="77777777" w:rsidR="001A0B09"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klienci finansowi inni niż instytucje kredytowe;</w:t>
            </w:r>
          </w:p>
          <w:p w14:paraId="60522586" w14:textId="77777777" w:rsidR="001A0B09"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państwa, banki centralne, wielostronne banki rozwoju i podmioty sektora publicznego;</w:t>
            </w:r>
          </w:p>
          <w:p w14:paraId="4A76631D" w14:textId="77777777" w:rsidR="001A0B09"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inni klienci.</w:t>
            </w:r>
          </w:p>
        </w:tc>
      </w:tr>
      <w:tr w:rsidR="001A0B09" w14:paraId="1F963A72" w14:textId="77777777" w:rsidTr="00454544">
        <w:tc>
          <w:tcPr>
            <w:tcW w:w="1457" w:type="dxa"/>
            <w:shd w:val="clear" w:color="auto" w:fill="auto"/>
            <w:vAlign w:val="center"/>
          </w:tcPr>
          <w:p w14:paraId="3BB9980D"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1A0B09" w:rsidRDefault="001A0B09">
            <w:pPr>
              <w:pStyle w:val="TableParagraph"/>
              <w:spacing w:before="9"/>
              <w:jc w:val="both"/>
              <w:rPr>
                <w:rFonts w:ascii="Times New Roman" w:eastAsia="Times New Roman" w:hAnsi="Times New Roman"/>
                <w:sz w:val="21"/>
                <w:szCs w:val="21"/>
              </w:rPr>
            </w:pPr>
          </w:p>
          <w:p w14:paraId="74AF2EFD" w14:textId="248CEC3A"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od instytucji kredytowych</w:t>
            </w:r>
          </w:p>
          <w:p w14:paraId="7FAA9AA4" w14:textId="77777777" w:rsidR="001A0B09" w:rsidRDefault="001A0B09">
            <w:pPr>
              <w:pStyle w:val="TableParagraph"/>
              <w:spacing w:before="9"/>
              <w:jc w:val="both"/>
              <w:rPr>
                <w:rFonts w:ascii="Times New Roman" w:eastAsia="Times New Roman" w:hAnsi="Times New Roman"/>
                <w:sz w:val="24"/>
                <w:szCs w:val="24"/>
              </w:rPr>
            </w:pPr>
          </w:p>
          <w:p w14:paraId="4EFB73CC" w14:textId="77777777" w:rsidR="001A0B09"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Instytucje kredytowe zgłaszają kwotę salda zobowiązań z tytułu depozytów operacyjnych, o których mowa w pozycji 1.1.2.1., dostarczanych przez instytucje kredytowe.</w:t>
            </w:r>
          </w:p>
        </w:tc>
      </w:tr>
      <w:tr w:rsidR="001A0B09" w14:paraId="7B40614A" w14:textId="77777777" w:rsidTr="00454544">
        <w:tc>
          <w:tcPr>
            <w:tcW w:w="1457" w:type="dxa"/>
            <w:shd w:val="clear" w:color="auto" w:fill="auto"/>
            <w:vAlign w:val="center"/>
          </w:tcPr>
          <w:p w14:paraId="614CD904"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1190</w:t>
            </w:r>
          </w:p>
        </w:tc>
        <w:tc>
          <w:tcPr>
            <w:tcW w:w="6946" w:type="dxa"/>
            <w:shd w:val="clear" w:color="auto" w:fill="auto"/>
          </w:tcPr>
          <w:p w14:paraId="5C2E51BB" w14:textId="77777777" w:rsidR="001A0B09" w:rsidRDefault="001A0B09">
            <w:pPr>
              <w:pStyle w:val="TableParagraph"/>
              <w:spacing w:before="9"/>
              <w:jc w:val="both"/>
              <w:rPr>
                <w:rFonts w:ascii="Times New Roman" w:eastAsia="Times New Roman" w:hAnsi="Times New Roman"/>
                <w:sz w:val="21"/>
                <w:szCs w:val="21"/>
              </w:rPr>
            </w:pPr>
          </w:p>
          <w:p w14:paraId="7802669F" w14:textId="4D4F26D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od klientów finansowych innych niż instytucje kredytowe</w:t>
            </w:r>
          </w:p>
          <w:p w14:paraId="0F27CCFD" w14:textId="77777777" w:rsidR="001A0B09" w:rsidRDefault="001A0B09">
            <w:pPr>
              <w:pStyle w:val="TableParagraph"/>
              <w:spacing w:before="1"/>
              <w:jc w:val="both"/>
              <w:rPr>
                <w:rFonts w:ascii="Times New Roman" w:eastAsia="Times New Roman" w:hAnsi="Times New Roman"/>
              </w:rPr>
            </w:pPr>
          </w:p>
          <w:p w14:paraId="04EFB6B1" w14:textId="77777777" w:rsidR="001A0B09" w:rsidRDefault="006E48EA">
            <w:pPr>
              <w:pStyle w:val="TableParagraph"/>
              <w:ind w:left="102" w:right="98"/>
              <w:jc w:val="both"/>
              <w:rPr>
                <w:rFonts w:ascii="Times New Roman" w:eastAsia="Verdana" w:hAnsi="Times New Roman"/>
                <w:sz w:val="18"/>
                <w:szCs w:val="18"/>
              </w:rPr>
            </w:pPr>
            <w:r>
              <w:rPr>
                <w:rFonts w:ascii="Times New Roman" w:hAnsi="Times New Roman"/>
                <w:sz w:val="18"/>
              </w:rPr>
              <w:t>Instytucje kredytowe zgłaszają kwotę salda zobowiązań z tytułu depozytów operacyjnych, o których mowa w pozycji 1.1.2.1., dostarczanych przez klientów finansowych innych niż instytucje kredytowe.</w:t>
            </w:r>
          </w:p>
        </w:tc>
      </w:tr>
      <w:tr w:rsidR="001A0B09" w14:paraId="1F9BAD3E" w14:textId="77777777" w:rsidTr="00454544">
        <w:tc>
          <w:tcPr>
            <w:tcW w:w="1457" w:type="dxa"/>
            <w:shd w:val="clear" w:color="auto" w:fill="auto"/>
            <w:vAlign w:val="center"/>
          </w:tcPr>
          <w:p w14:paraId="6FE14E8A"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1A0B09" w:rsidRDefault="001A0B09">
            <w:pPr>
              <w:pStyle w:val="TableParagraph"/>
              <w:spacing w:before="9"/>
              <w:jc w:val="both"/>
              <w:rPr>
                <w:rFonts w:ascii="Times New Roman" w:eastAsia="Times New Roman" w:hAnsi="Times New Roman"/>
                <w:sz w:val="21"/>
                <w:szCs w:val="21"/>
              </w:rPr>
            </w:pPr>
          </w:p>
          <w:p w14:paraId="52E6142F" w14:textId="7091E1AA"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od państw, banków centralnych, wielostronnych banków rozwoju i podmiotów sektora publicznego</w:t>
            </w:r>
          </w:p>
          <w:p w14:paraId="5FA12AC9" w14:textId="77777777" w:rsidR="001A0B09" w:rsidRDefault="001A0B09">
            <w:pPr>
              <w:pStyle w:val="TableParagraph"/>
              <w:jc w:val="both"/>
              <w:rPr>
                <w:rFonts w:ascii="Times New Roman" w:eastAsia="Times New Roman" w:hAnsi="Times New Roman"/>
                <w:sz w:val="18"/>
                <w:szCs w:val="18"/>
              </w:rPr>
            </w:pPr>
          </w:p>
          <w:p w14:paraId="44F34772" w14:textId="77777777" w:rsidR="001A0B09" w:rsidRDefault="001A0B09">
            <w:pPr>
              <w:pStyle w:val="TableParagraph"/>
              <w:spacing w:before="3"/>
              <w:jc w:val="both"/>
              <w:rPr>
                <w:rFonts w:ascii="Times New Roman" w:eastAsia="Times New Roman" w:hAnsi="Times New Roman"/>
                <w:sz w:val="17"/>
                <w:szCs w:val="17"/>
              </w:rPr>
            </w:pPr>
          </w:p>
          <w:p w14:paraId="4408C5DE" w14:textId="77777777" w:rsidR="001A0B09" w:rsidRDefault="006E48EA">
            <w:pPr>
              <w:pStyle w:val="TableParagraph"/>
              <w:ind w:left="102" w:right="98"/>
              <w:jc w:val="both"/>
              <w:rPr>
                <w:rFonts w:ascii="Times New Roman" w:eastAsia="Verdana" w:hAnsi="Times New Roman"/>
                <w:sz w:val="18"/>
                <w:szCs w:val="18"/>
              </w:rPr>
            </w:pPr>
            <w:r>
              <w:rPr>
                <w:rFonts w:ascii="Times New Roman" w:hAnsi="Times New Roman"/>
                <w:sz w:val="18"/>
              </w:rPr>
              <w:t>Instytucje kredytowe zgłaszają kwotę salda zobowiązań z tytułu depozytów operacyjnych, o których mowa w pozycji 1.1.2.1., dostarczanych przez państwa, banki centralne, wielostronne banki rozwoju i podmioty sektora publicznego.</w:t>
            </w:r>
          </w:p>
        </w:tc>
      </w:tr>
      <w:tr w:rsidR="001A0B09" w14:paraId="1C1F36D2" w14:textId="77777777" w:rsidTr="00454544">
        <w:tc>
          <w:tcPr>
            <w:tcW w:w="1457" w:type="dxa"/>
            <w:shd w:val="clear" w:color="auto" w:fill="auto"/>
            <w:vAlign w:val="center"/>
          </w:tcPr>
          <w:p w14:paraId="3251E3F7"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1A0B09" w:rsidRDefault="001A0B09">
            <w:pPr>
              <w:pStyle w:val="TableParagraph"/>
              <w:spacing w:before="9"/>
              <w:jc w:val="both"/>
              <w:rPr>
                <w:rFonts w:ascii="Times New Roman" w:eastAsia="Times New Roman" w:hAnsi="Times New Roman"/>
                <w:sz w:val="21"/>
                <w:szCs w:val="21"/>
              </w:rPr>
            </w:pPr>
          </w:p>
          <w:p w14:paraId="3266EAF6" w14:textId="278B359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od innych klientów</w:t>
            </w:r>
          </w:p>
          <w:p w14:paraId="3150A1AE" w14:textId="77777777" w:rsidR="001A0B09" w:rsidRDefault="001A0B09">
            <w:pPr>
              <w:pStyle w:val="TableParagraph"/>
              <w:spacing w:before="9"/>
              <w:jc w:val="both"/>
              <w:rPr>
                <w:rFonts w:ascii="Times New Roman" w:eastAsia="Times New Roman" w:hAnsi="Times New Roman"/>
                <w:sz w:val="24"/>
                <w:szCs w:val="24"/>
              </w:rPr>
            </w:pPr>
          </w:p>
          <w:p w14:paraId="7D576088" w14:textId="77777777" w:rsidR="001A0B09"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Instytucje kredytowe zgłaszają kwotę salda zobowiązań z tytułu depozytów operacyjnych, o których mowa w pozycji 1.1.2.1., dostarczanych przez innych klientów ( tj. innych niż klienci wymienieni powyżej i klienci uwzględnieni jako detaliczni klienci depozytowi).</w:t>
            </w:r>
          </w:p>
        </w:tc>
      </w:tr>
      <w:tr w:rsidR="001A0B09" w14:paraId="423C7F88" w14:textId="77777777" w:rsidTr="00454544">
        <w:tc>
          <w:tcPr>
            <w:tcW w:w="1457" w:type="dxa"/>
            <w:shd w:val="clear" w:color="auto" w:fill="auto"/>
            <w:vAlign w:val="center"/>
          </w:tcPr>
          <w:p w14:paraId="1211567B" w14:textId="77777777" w:rsidR="001A0B09" w:rsidRDefault="001A0B09">
            <w:pPr>
              <w:rPr>
                <w:rFonts w:ascii="Times New Roman" w:eastAsia="Calibri" w:hAnsi="Times New Roman"/>
              </w:rPr>
            </w:pPr>
          </w:p>
        </w:tc>
        <w:tc>
          <w:tcPr>
            <w:tcW w:w="6946" w:type="dxa"/>
            <w:shd w:val="clear" w:color="auto" w:fill="auto"/>
          </w:tcPr>
          <w:p w14:paraId="3E2F5884" w14:textId="77777777" w:rsidR="001A0B09" w:rsidRDefault="001A0B09">
            <w:pPr>
              <w:pStyle w:val="TableParagraph"/>
              <w:spacing w:before="9"/>
              <w:jc w:val="both"/>
              <w:rPr>
                <w:rFonts w:ascii="Times New Roman" w:eastAsia="Times New Roman" w:hAnsi="Times New Roman"/>
                <w:sz w:val="21"/>
                <w:szCs w:val="21"/>
              </w:rPr>
            </w:pPr>
          </w:p>
          <w:p w14:paraId="3963A3C2" w14:textId="22948F72"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Wypływy wewnątrzgrupowe lub wypływy w ramach instytucjonalnego systemu ochrony</w:t>
            </w:r>
          </w:p>
          <w:p w14:paraId="3E8E2138" w14:textId="77777777" w:rsidR="001A0B09" w:rsidRDefault="001A0B09">
            <w:pPr>
              <w:pStyle w:val="TableParagraph"/>
              <w:spacing w:before="9"/>
              <w:jc w:val="both"/>
              <w:rPr>
                <w:rFonts w:ascii="Times New Roman" w:eastAsia="Times New Roman" w:hAnsi="Times New Roman"/>
                <w:sz w:val="24"/>
                <w:szCs w:val="24"/>
              </w:rPr>
            </w:pPr>
          </w:p>
          <w:p w14:paraId="6D9D2FB7" w14:textId="77777777" w:rsidR="001A0B09"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W tej sekcji instytucje kredytowe zgłaszają wszystkie transakcje ujęte w pozycji 1, w przypadku gdy kontrahent jest instytucją dominującą lub zależną danej instytucji kredytowej lub inną instytucją zależną tej samej instytucji dominującej lub jest powiązany z instytucją kredytową stosunkiem w rozumieniu art. 12 ust. 1 dyrektywy 83/349/EWG lub jest członkiem tego samego instytucjonalnego systemu ochrony, o którym mowa w art. 113 ust. 7 rozporządzenia (UE) nr 575/2013, lub instytucją centralną lub członkiem sieci lub grupy współpracy, o których mowa w art. 10 rozporządzenia (UE) nr 575/2013.</w:t>
            </w:r>
          </w:p>
        </w:tc>
      </w:tr>
      <w:tr w:rsidR="001A0B09" w14:paraId="67A172EE" w14:textId="77777777" w:rsidTr="00454544">
        <w:tc>
          <w:tcPr>
            <w:tcW w:w="1457" w:type="dxa"/>
            <w:shd w:val="clear" w:color="auto" w:fill="auto"/>
            <w:vAlign w:val="center"/>
          </w:tcPr>
          <w:p w14:paraId="25F56E95"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1A0B09" w:rsidRDefault="001A0B09">
            <w:pPr>
              <w:pStyle w:val="TableParagraph"/>
              <w:spacing w:before="9"/>
              <w:jc w:val="both"/>
              <w:rPr>
                <w:rFonts w:ascii="Times New Roman" w:eastAsia="Times New Roman" w:hAnsi="Times New Roman"/>
                <w:sz w:val="21"/>
                <w:szCs w:val="21"/>
              </w:rPr>
            </w:pPr>
          </w:p>
          <w:p w14:paraId="3E073B81" w14:textId="384FBFD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w tym: do klientów finansowych</w:t>
            </w:r>
          </w:p>
          <w:p w14:paraId="36829709" w14:textId="77777777" w:rsidR="001A0B09" w:rsidRDefault="001A0B09">
            <w:pPr>
              <w:pStyle w:val="TableParagraph"/>
              <w:spacing w:before="9"/>
              <w:jc w:val="both"/>
              <w:rPr>
                <w:rFonts w:ascii="Times New Roman" w:eastAsia="Times New Roman" w:hAnsi="Times New Roman"/>
                <w:sz w:val="24"/>
                <w:szCs w:val="24"/>
              </w:rPr>
            </w:pPr>
          </w:p>
          <w:p w14:paraId="4AE8FF92" w14:textId="61D65318" w:rsidR="001A0B09"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Instytucje kredytowe zgłaszają całkowitą kwotę zgłoszoną w pozycji 1.1. w odniesieniu do klientów finansowych objętych zakresem pozycji 4.</w:t>
            </w:r>
          </w:p>
        </w:tc>
      </w:tr>
      <w:tr w:rsidR="001A0B09" w14:paraId="1287EEA0" w14:textId="77777777" w:rsidTr="00454544">
        <w:tc>
          <w:tcPr>
            <w:tcW w:w="1457" w:type="dxa"/>
            <w:shd w:val="clear" w:color="auto" w:fill="auto"/>
            <w:vAlign w:val="center"/>
          </w:tcPr>
          <w:p w14:paraId="37C30E12"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1A0B09" w:rsidRDefault="001A0B09">
            <w:pPr>
              <w:pStyle w:val="TableParagraph"/>
              <w:spacing w:before="9"/>
              <w:jc w:val="both"/>
              <w:rPr>
                <w:rFonts w:ascii="Times New Roman" w:eastAsia="Times New Roman" w:hAnsi="Times New Roman"/>
                <w:sz w:val="21"/>
                <w:szCs w:val="21"/>
              </w:rPr>
            </w:pPr>
          </w:p>
          <w:p w14:paraId="78E2E1F8" w14:textId="763EA1CC"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w tym: do klientów niefinansowych</w:t>
            </w:r>
          </w:p>
          <w:p w14:paraId="3303E114" w14:textId="77777777" w:rsidR="001A0B09" w:rsidRDefault="001A0B09">
            <w:pPr>
              <w:pStyle w:val="TableParagraph"/>
              <w:spacing w:before="9"/>
              <w:jc w:val="both"/>
              <w:rPr>
                <w:rFonts w:ascii="Times New Roman" w:eastAsia="Times New Roman" w:hAnsi="Times New Roman"/>
                <w:sz w:val="24"/>
                <w:szCs w:val="24"/>
              </w:rPr>
            </w:pPr>
          </w:p>
          <w:p w14:paraId="36DE8B04" w14:textId="5BD20665" w:rsidR="001A0B09"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Instytucje kredytowe zgłaszają całkowitą kwotę zgłoszoną w pozycji 1.1. w odniesieniu do klientów niefinansowych objętych zakresem pozycji 4.</w:t>
            </w:r>
          </w:p>
        </w:tc>
      </w:tr>
      <w:tr w:rsidR="001A0B09" w14:paraId="05FA99BF" w14:textId="77777777" w:rsidTr="00454544">
        <w:tc>
          <w:tcPr>
            <w:tcW w:w="1457" w:type="dxa"/>
            <w:shd w:val="clear" w:color="auto" w:fill="auto"/>
            <w:vAlign w:val="center"/>
          </w:tcPr>
          <w:p w14:paraId="03DA1F42"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1A0B09" w:rsidRDefault="001A0B09">
            <w:pPr>
              <w:pStyle w:val="TableParagraph"/>
              <w:spacing w:before="9"/>
              <w:jc w:val="both"/>
              <w:rPr>
                <w:rFonts w:ascii="Times New Roman" w:eastAsia="Times New Roman" w:hAnsi="Times New Roman"/>
                <w:sz w:val="21"/>
                <w:szCs w:val="21"/>
              </w:rPr>
            </w:pPr>
          </w:p>
          <w:p w14:paraId="7E553520" w14:textId="234C3120"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w tym: zabezpieczone</w:t>
            </w:r>
          </w:p>
          <w:p w14:paraId="25E411D9" w14:textId="77777777" w:rsidR="001A0B09" w:rsidRDefault="001A0B09">
            <w:pPr>
              <w:pStyle w:val="TableParagraph"/>
              <w:spacing w:before="9"/>
              <w:jc w:val="both"/>
              <w:rPr>
                <w:rFonts w:ascii="Times New Roman" w:eastAsia="Times New Roman" w:hAnsi="Times New Roman"/>
                <w:sz w:val="24"/>
                <w:szCs w:val="24"/>
              </w:rPr>
            </w:pPr>
          </w:p>
          <w:p w14:paraId="398D8A2C" w14:textId="3D0569B3" w:rsidR="001A0B0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Instytucje kredytowe zgłaszają całkowitą kwotę zabezpieczonych transakcji ujętych w pozycji 1.2. objętych zakresem pozycji 4.</w:t>
            </w:r>
          </w:p>
        </w:tc>
      </w:tr>
      <w:tr w:rsidR="001A0B09" w14:paraId="33B67DD1" w14:textId="77777777" w:rsidTr="00454544">
        <w:tc>
          <w:tcPr>
            <w:tcW w:w="1457" w:type="dxa"/>
            <w:shd w:val="clear" w:color="auto" w:fill="auto"/>
            <w:vAlign w:val="center"/>
          </w:tcPr>
          <w:p w14:paraId="79E8ED1B"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1A0B09" w:rsidRDefault="001A0B09">
            <w:pPr>
              <w:pStyle w:val="TableParagraph"/>
              <w:spacing w:before="9"/>
              <w:jc w:val="both"/>
              <w:rPr>
                <w:rFonts w:ascii="Times New Roman" w:eastAsia="Times New Roman" w:hAnsi="Times New Roman"/>
                <w:sz w:val="21"/>
                <w:szCs w:val="21"/>
              </w:rPr>
            </w:pPr>
          </w:p>
          <w:p w14:paraId="7704B6BD" w14:textId="13B4C009"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w tym: instrumenty kredytowe bez preferencyjnego traktowania</w:t>
            </w:r>
          </w:p>
          <w:p w14:paraId="0AE35930" w14:textId="77777777" w:rsidR="001A0B09" w:rsidRDefault="001A0B09">
            <w:pPr>
              <w:pStyle w:val="TableParagraph"/>
              <w:spacing w:before="9"/>
              <w:jc w:val="both"/>
              <w:rPr>
                <w:rFonts w:ascii="Times New Roman" w:eastAsia="Times New Roman" w:hAnsi="Times New Roman"/>
                <w:sz w:val="24"/>
                <w:szCs w:val="24"/>
              </w:rPr>
            </w:pPr>
          </w:p>
          <w:p w14:paraId="4EE148E6" w14:textId="20C70C76" w:rsidR="001A0B09"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Instytucje kredytowe zgłaszają maksymalną kwotę, którą można wykorzystać z niewykorzystanych nieodwoływalnych instrumentów kredytowych zgłoszonych w pozycji 1.1.6.1. w odniesieniu do podmiotów objętych zakresem pozycji 4, w przypadku których nie uzyskały zezwolenia na stosowanie niższego wskaźnika wypływów zgodnie z art. 29 rozporządzenia delegowanego (UE) 2015/61.</w:t>
            </w:r>
          </w:p>
        </w:tc>
      </w:tr>
      <w:tr w:rsidR="001A0B09" w14:paraId="668DFBF6" w14:textId="77777777" w:rsidTr="00454544">
        <w:tc>
          <w:tcPr>
            <w:tcW w:w="1457" w:type="dxa"/>
            <w:shd w:val="clear" w:color="auto" w:fill="auto"/>
            <w:vAlign w:val="center"/>
          </w:tcPr>
          <w:p w14:paraId="7B0581BB"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1A0B09" w:rsidRDefault="001A0B09">
            <w:pPr>
              <w:pStyle w:val="TableParagraph"/>
              <w:spacing w:before="9"/>
              <w:jc w:val="both"/>
              <w:rPr>
                <w:rFonts w:ascii="Times New Roman" w:eastAsia="Times New Roman" w:hAnsi="Times New Roman"/>
                <w:sz w:val="21"/>
                <w:szCs w:val="21"/>
              </w:rPr>
            </w:pPr>
          </w:p>
          <w:p w14:paraId="7469FE88" w14:textId="4DB234AD"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w tym: instrumenty wsparcia płynności bez preferencyjnego traktowania</w:t>
            </w:r>
          </w:p>
          <w:p w14:paraId="2156AFEE" w14:textId="77777777" w:rsidR="001A0B09" w:rsidRDefault="001A0B09">
            <w:pPr>
              <w:pStyle w:val="TableParagraph"/>
              <w:spacing w:before="9"/>
              <w:jc w:val="both"/>
              <w:rPr>
                <w:rFonts w:ascii="Times New Roman" w:eastAsia="Times New Roman" w:hAnsi="Times New Roman"/>
                <w:sz w:val="24"/>
                <w:szCs w:val="24"/>
              </w:rPr>
            </w:pPr>
          </w:p>
          <w:p w14:paraId="15A7EF24" w14:textId="593EB345" w:rsidR="001A0B09"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 xml:space="preserve">Instytucje kredytowe zgłaszają maksymalną kwotę, którą można wykorzystać z </w:t>
            </w:r>
            <w:r>
              <w:rPr>
                <w:rFonts w:ascii="Times New Roman" w:hAnsi="Times New Roman"/>
                <w:sz w:val="18"/>
              </w:rPr>
              <w:lastRenderedPageBreak/>
              <w:t>niewykorzystanych nieodwoływalnych instrumentów wsparcia płynności zgłoszonych w pozycji 1.1.6.2. w odniesieniu do podmiotów objętych zakresem pozycji 4, w przypadku których nie uzyskały zezwolenia na stosowanie niższego wskaźnika wypływów zgodnie z art. 29 rozporządzenia delegowanego (UE) 2015/61.</w:t>
            </w:r>
          </w:p>
        </w:tc>
      </w:tr>
      <w:tr w:rsidR="001A0B09" w14:paraId="40DF34D4" w14:textId="77777777" w:rsidTr="00454544">
        <w:tc>
          <w:tcPr>
            <w:tcW w:w="1457" w:type="dxa"/>
            <w:shd w:val="clear" w:color="auto" w:fill="auto"/>
            <w:vAlign w:val="center"/>
          </w:tcPr>
          <w:p w14:paraId="7007FBEF"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lastRenderedPageBreak/>
              <w:t>1340</w:t>
            </w:r>
          </w:p>
        </w:tc>
        <w:tc>
          <w:tcPr>
            <w:tcW w:w="6946" w:type="dxa"/>
            <w:shd w:val="clear" w:color="auto" w:fill="auto"/>
          </w:tcPr>
          <w:p w14:paraId="7D58EB6B" w14:textId="77777777" w:rsidR="001A0B09" w:rsidRDefault="001A0B09">
            <w:pPr>
              <w:pStyle w:val="TableParagraph"/>
              <w:spacing w:before="9"/>
              <w:jc w:val="both"/>
              <w:rPr>
                <w:rFonts w:ascii="Times New Roman" w:eastAsia="Times New Roman" w:hAnsi="Times New Roman"/>
                <w:sz w:val="21"/>
                <w:szCs w:val="21"/>
              </w:rPr>
            </w:pPr>
          </w:p>
          <w:p w14:paraId="574C61C7" w14:textId="060B422B"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w tym: depozyty operacyjne</w:t>
            </w:r>
          </w:p>
          <w:p w14:paraId="284FFD84" w14:textId="77777777" w:rsidR="001A0B09" w:rsidRDefault="001A0B09">
            <w:pPr>
              <w:pStyle w:val="TableParagraph"/>
              <w:spacing w:before="9"/>
              <w:jc w:val="both"/>
              <w:rPr>
                <w:rFonts w:ascii="Times New Roman" w:eastAsia="Times New Roman" w:hAnsi="Times New Roman"/>
                <w:sz w:val="24"/>
                <w:szCs w:val="24"/>
              </w:rPr>
            </w:pPr>
          </w:p>
          <w:p w14:paraId="1FBD6BD9" w14:textId="78F622EA" w:rsidR="001A0B09"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Instytucje kredytowe zgłaszają kwotę depozytów, o których mowa w pozycji 1.1.2., w odniesieniu do podmiotów objętych zakresem pozycji 4.</w:t>
            </w:r>
          </w:p>
        </w:tc>
      </w:tr>
      <w:tr w:rsidR="001A0B09" w14:paraId="42873BD1" w14:textId="77777777" w:rsidTr="00454544">
        <w:tc>
          <w:tcPr>
            <w:tcW w:w="1457" w:type="dxa"/>
            <w:shd w:val="clear" w:color="auto" w:fill="auto"/>
            <w:vAlign w:val="center"/>
          </w:tcPr>
          <w:p w14:paraId="4DFA906B" w14:textId="77777777" w:rsidR="001A0B09"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1A0B09" w:rsidRDefault="001A0B09">
            <w:pPr>
              <w:pStyle w:val="TableParagraph"/>
              <w:ind w:left="135"/>
              <w:jc w:val="both"/>
              <w:rPr>
                <w:rFonts w:ascii="Times New Roman" w:hAnsi="Times New Roman"/>
                <w:b/>
                <w:sz w:val="18"/>
                <w:u w:color="000000"/>
              </w:rPr>
            </w:pPr>
          </w:p>
          <w:p w14:paraId="624ED808" w14:textId="77777777"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w tym: nadwyżka depozytów operacyjnych</w:t>
            </w:r>
          </w:p>
          <w:p w14:paraId="05C29695" w14:textId="77777777" w:rsidR="001A0B09" w:rsidRDefault="001A0B09">
            <w:pPr>
              <w:pStyle w:val="TableParagraph"/>
              <w:ind w:left="135"/>
              <w:jc w:val="both"/>
              <w:rPr>
                <w:rFonts w:ascii="Times New Roman" w:eastAsia="Verdana" w:hAnsi="Times New Roman"/>
                <w:sz w:val="18"/>
                <w:szCs w:val="18"/>
              </w:rPr>
            </w:pPr>
          </w:p>
          <w:p w14:paraId="15178648" w14:textId="5F774E25" w:rsidR="001A0B09" w:rsidRDefault="006E48EA">
            <w:pPr>
              <w:pStyle w:val="TableParagraph"/>
              <w:ind w:left="135"/>
              <w:jc w:val="both"/>
              <w:rPr>
                <w:rFonts w:ascii="Times New Roman" w:eastAsia="Verdana" w:hAnsi="Times New Roman"/>
                <w:sz w:val="18"/>
                <w:szCs w:val="18"/>
              </w:rPr>
            </w:pPr>
            <w:r>
              <w:rPr>
                <w:rFonts w:ascii="Times New Roman" w:hAnsi="Times New Roman"/>
                <w:sz w:val="18"/>
              </w:rPr>
              <w:t>Instytucje kredytowe zgłaszają kwotę nadwyżki depozytów operacyjnych, o których mowa w pozycji 1.1.3., w odniesieniu do podmiotów objętych zakresem pozycji 4.</w:t>
            </w:r>
          </w:p>
        </w:tc>
      </w:tr>
      <w:tr w:rsidR="001A0B09" w14:paraId="1B260C6E" w14:textId="77777777" w:rsidTr="00454544">
        <w:tc>
          <w:tcPr>
            <w:tcW w:w="1457" w:type="dxa"/>
            <w:shd w:val="clear" w:color="auto" w:fill="auto"/>
            <w:vAlign w:val="center"/>
          </w:tcPr>
          <w:p w14:paraId="590E9B96"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1A0B09" w:rsidRDefault="001A0B09">
            <w:pPr>
              <w:pStyle w:val="TableParagraph"/>
              <w:spacing w:before="9"/>
              <w:jc w:val="both"/>
              <w:rPr>
                <w:rFonts w:ascii="Times New Roman" w:eastAsia="Times New Roman" w:hAnsi="Times New Roman"/>
                <w:sz w:val="21"/>
                <w:szCs w:val="21"/>
              </w:rPr>
            </w:pPr>
          </w:p>
          <w:p w14:paraId="13D15191" w14:textId="03B6BFA9"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w tym: depozyty nieoperacyjne</w:t>
            </w:r>
          </w:p>
          <w:p w14:paraId="6032D3A8" w14:textId="77777777" w:rsidR="001A0B09" w:rsidRDefault="001A0B09">
            <w:pPr>
              <w:pStyle w:val="TableParagraph"/>
              <w:spacing w:before="9"/>
              <w:jc w:val="both"/>
              <w:rPr>
                <w:rFonts w:ascii="Times New Roman" w:eastAsia="Times New Roman" w:hAnsi="Times New Roman"/>
                <w:sz w:val="24"/>
                <w:szCs w:val="24"/>
              </w:rPr>
            </w:pPr>
          </w:p>
          <w:p w14:paraId="18EEC5C6" w14:textId="72087133" w:rsidR="001A0B09"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Instytucje kredytowe zgłaszają kwotę salda zobowiązań z tytułu depozytów, o których mowa w pozycji 1.1.4., od podmiotów objętych zakresem pozycji 4.</w:t>
            </w:r>
          </w:p>
        </w:tc>
      </w:tr>
      <w:tr w:rsidR="001A0B09" w14:paraId="3C34BC2B" w14:textId="77777777" w:rsidTr="00454544">
        <w:tc>
          <w:tcPr>
            <w:tcW w:w="1457" w:type="dxa"/>
            <w:shd w:val="clear" w:color="auto" w:fill="auto"/>
            <w:vAlign w:val="center"/>
          </w:tcPr>
          <w:p w14:paraId="1DB7A716"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1A0B09" w:rsidRDefault="001A0B09">
            <w:pPr>
              <w:pStyle w:val="TableParagraph"/>
              <w:spacing w:before="9"/>
              <w:jc w:val="both"/>
              <w:rPr>
                <w:rFonts w:ascii="Times New Roman" w:eastAsia="Times New Roman" w:hAnsi="Times New Roman"/>
                <w:sz w:val="21"/>
                <w:szCs w:val="21"/>
              </w:rPr>
            </w:pPr>
          </w:p>
          <w:p w14:paraId="58F15977" w14:textId="48EBAD15" w:rsidR="001A0B0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4.9. w tym: zobowiązania w postaci dłużnych papierów wartościowych, jeżeli nie są traktowane jako</w:t>
            </w:r>
            <w:r>
              <w:rPr>
                <w:rFonts w:ascii="Times New Roman" w:hAnsi="Times New Roman"/>
                <w:b/>
                <w:sz w:val="18"/>
              </w:rPr>
              <w:t xml:space="preserve"> </w:t>
            </w:r>
            <w:r>
              <w:rPr>
                <w:rFonts w:ascii="Times New Roman" w:hAnsi="Times New Roman"/>
                <w:b/>
                <w:sz w:val="18"/>
                <w:u w:color="000000"/>
              </w:rPr>
              <w:t>depozyty detaliczne</w:t>
            </w:r>
          </w:p>
          <w:p w14:paraId="3E020F9C" w14:textId="77777777" w:rsidR="001A0B09" w:rsidRDefault="001A0B09">
            <w:pPr>
              <w:pStyle w:val="TableParagraph"/>
              <w:spacing w:before="11"/>
              <w:jc w:val="both"/>
              <w:rPr>
                <w:rFonts w:ascii="Times New Roman" w:eastAsia="Times New Roman" w:hAnsi="Times New Roman"/>
                <w:sz w:val="21"/>
                <w:szCs w:val="21"/>
              </w:rPr>
            </w:pPr>
          </w:p>
          <w:p w14:paraId="701DA44B" w14:textId="25946259" w:rsidR="001A0B09"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Instytucje kredytowe zgłaszają kwotę salda zobowiązań z tytułu dłużnych papierów wartościowych zgłoszonych w pozycji 1.1.8.2., będących w posiadaniu podmiotów objętych zakresem pozycji 4.</w:t>
            </w:r>
          </w:p>
        </w:tc>
      </w:tr>
      <w:tr w:rsidR="001A0B09" w14:paraId="5DF74416" w14:textId="77777777" w:rsidTr="00454544">
        <w:tc>
          <w:tcPr>
            <w:tcW w:w="1457" w:type="dxa"/>
            <w:shd w:val="clear" w:color="auto" w:fill="auto"/>
            <w:vAlign w:val="center"/>
          </w:tcPr>
          <w:p w14:paraId="4E239F41" w14:textId="77777777" w:rsidR="001A0B09"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1A0B09" w:rsidRDefault="001A0B09">
            <w:pPr>
              <w:pStyle w:val="TableParagraph"/>
              <w:spacing w:before="9"/>
              <w:jc w:val="both"/>
              <w:rPr>
                <w:rFonts w:ascii="Times New Roman" w:eastAsia="Times New Roman" w:hAnsi="Times New Roman"/>
                <w:sz w:val="21"/>
                <w:szCs w:val="21"/>
              </w:rPr>
            </w:pPr>
          </w:p>
          <w:p w14:paraId="123D9B28" w14:textId="488DC992" w:rsidR="001A0B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Wypływy z tytułu transakcji FX</w:t>
            </w:r>
          </w:p>
          <w:p w14:paraId="6075F5FE" w14:textId="77777777" w:rsidR="001A0B09" w:rsidRDefault="001A0B09">
            <w:pPr>
              <w:pStyle w:val="TableParagraph"/>
              <w:jc w:val="both"/>
              <w:rPr>
                <w:rFonts w:ascii="Times New Roman" w:eastAsia="Times New Roman" w:hAnsi="Times New Roman"/>
                <w:sz w:val="18"/>
                <w:szCs w:val="18"/>
              </w:rPr>
            </w:pPr>
          </w:p>
          <w:p w14:paraId="286AEE69" w14:textId="77777777" w:rsidR="001A0B09"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Tę pozycję zgłasza się wyłącznie w przypadku sprawozdawczości w walutach podlegających oddzielnym wymogom sprawozdawczym.</w:t>
            </w:r>
          </w:p>
          <w:p w14:paraId="29490385" w14:textId="77777777" w:rsidR="001A0B09" w:rsidRDefault="001A0B09">
            <w:pPr>
              <w:pStyle w:val="TableParagraph"/>
              <w:spacing w:before="11"/>
              <w:jc w:val="both"/>
              <w:rPr>
                <w:rFonts w:ascii="Times New Roman" w:eastAsia="Times New Roman" w:hAnsi="Times New Roman"/>
                <w:sz w:val="21"/>
                <w:szCs w:val="21"/>
              </w:rPr>
            </w:pPr>
          </w:p>
          <w:p w14:paraId="7118C2D4" w14:textId="1EC60CD8" w:rsidR="001A0B09"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Wyłącznie w przypadkach sprawozdawczości w walucie podlegającej odrębnemu zgłoszeniu, zgodnie z art. 415 ust. 2 rozporządzenia (UE) nr 575/2013, instytucje kredytowe zgłaszają tę część wypływów z tytułu transakcji na instrumentach pochodnych (zgłaszanych w pkt 1.1.5.5.), która odnosi się do przepływów kapitałowych w odpowiedniej walucie podlegającej oddzielnemu zgłaszaniu z tytułu swapów walutowych oraz walutowych transakcji typu spot i forward o terminie zapadalności przypadającym w ciągu 30 dni kalendarzowych. Kompensowanie w ramach kontrahenta można stosować wyłącznie do przepływów w tej określonej walucie np. przepływy kontrahenta A: +10 EUR i kontrahenta A: -20 EUR zgłasza się jako wypływ 10 EUR. Nie stosuje się kompensowania pomiędzy kontrahentami, np. przepływy kontrahenta A: -10 EUR i kontrahenta B: +40 EUR zgłasza się jako wypływ 10 EUR w formularzu C 73.00 (i wpływ 40 EUR w formularzu C 74.00).</w:t>
            </w:r>
          </w:p>
        </w:tc>
      </w:tr>
      <w:tr w:rsidR="001A0B09" w:rsidDel="00CA485C" w14:paraId="5EAA7725" w14:textId="77777777" w:rsidTr="00454544">
        <w:tc>
          <w:tcPr>
            <w:tcW w:w="1457" w:type="dxa"/>
            <w:shd w:val="clear" w:color="auto" w:fill="auto"/>
            <w:vAlign w:val="center"/>
          </w:tcPr>
          <w:p w14:paraId="606598C1" w14:textId="77777777" w:rsidR="001A0B09" w:rsidDel="00CA485C" w:rsidRDefault="001A0B09">
            <w:pPr>
              <w:pStyle w:val="TableParagraph"/>
              <w:spacing w:before="133"/>
              <w:ind w:left="135"/>
              <w:rPr>
                <w:rFonts w:ascii="Times New Roman" w:hAnsi="Times New Roman"/>
                <w:sz w:val="18"/>
              </w:rPr>
            </w:pPr>
          </w:p>
        </w:tc>
        <w:tc>
          <w:tcPr>
            <w:tcW w:w="6946" w:type="dxa"/>
            <w:shd w:val="clear" w:color="auto" w:fill="auto"/>
          </w:tcPr>
          <w:p w14:paraId="34A20D3D" w14:textId="557045FE" w:rsidR="001A0B0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Finansowanie zabezpieczone wyłączone ze stosowania art. 17 ust. 2 i 3</w:t>
            </w:r>
          </w:p>
          <w:p w14:paraId="47E2B0EE" w14:textId="251E5AF7" w:rsidR="001A0B09" w:rsidDel="00CA485C" w:rsidRDefault="006E48EA">
            <w:pPr>
              <w:ind w:left="179"/>
              <w:rPr>
                <w:rFonts w:ascii="Times New Roman" w:hAnsi="Times New Roman"/>
                <w:b/>
                <w:sz w:val="18"/>
                <w:u w:color="000000"/>
              </w:rPr>
            </w:pPr>
            <w:r>
              <w:rPr>
                <w:rFonts w:ascii="Times New Roman" w:hAnsi="Times New Roman"/>
                <w:sz w:val="18"/>
              </w:rPr>
              <w:t>Instytucje kredytowe zgłaszają w tej pozycji finansowanie zabezpieczone, którego rezydualny termin zapadalności wynosi nie więcej niż 30 dni, w przypadku gdy kontrahentem jest bank centralny, a odnośne transakcje są wyłączone ze stosowania art. 17 ust. 2 i 3 rozporządzenia delegowanego (UE) 2015/61 na mocy art. 17 ust. 4 wspomnianego rozporządzenia.</w:t>
            </w:r>
          </w:p>
        </w:tc>
      </w:tr>
      <w:tr w:rsidR="001A0B09" w:rsidDel="00CA485C" w14:paraId="62483495" w14:textId="77777777" w:rsidTr="00454544">
        <w:tc>
          <w:tcPr>
            <w:tcW w:w="1457" w:type="dxa"/>
            <w:shd w:val="clear" w:color="auto" w:fill="auto"/>
            <w:vAlign w:val="center"/>
          </w:tcPr>
          <w:p w14:paraId="4CA9BABB" w14:textId="77777777" w:rsidR="001A0B09"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1A0B0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w tym: zabezpieczenie poziomu 1, z wyłączeniem obligacji zabezpieczonych charakteryzujących się wyjątkowo wysoką jakością</w:t>
            </w:r>
          </w:p>
          <w:p w14:paraId="4F2890CF" w14:textId="44AD4F45" w:rsidR="001A0B09"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Instytucje kredytowe zgłaszają w tej pozycji zabezpieczone transakcje finansowania, których rezydualny termin zapadalności wynosi nie więcej niż 30 dni kalendarzowych, w przypadku gdy kontrahentem jest bank centralny, udzielone zabezpieczenie jest zabezpieczeniem poziomu 1, z wyłączeniem obligacji zabezpieczonych charakteryzujących się wyjątkowo wysoką jakością, ale z tytułu wykorzystania jako zabezpieczenie spełniającym wymagania określone w art. 7 i 8 rozporządzenia </w:t>
            </w:r>
            <w:r>
              <w:rPr>
                <w:rFonts w:ascii="Times New Roman" w:hAnsi="Times New Roman"/>
                <w:sz w:val="18"/>
              </w:rPr>
              <w:lastRenderedPageBreak/>
              <w:t>delegowanego (UE) 2015/61, a odnośne transakcje są wyłączone ze stosowania art. 17 ust. 2 i 3 rozporządzenia delegowanego (UE) 2015/61 na mocy art. 17 ust. 4 wspomnianego rozporządzenia.</w:t>
            </w:r>
          </w:p>
        </w:tc>
      </w:tr>
      <w:tr w:rsidR="001A0B09" w:rsidDel="00CA485C" w14:paraId="28EDFD52" w14:textId="77777777" w:rsidTr="00454544">
        <w:tc>
          <w:tcPr>
            <w:tcW w:w="1457" w:type="dxa"/>
            <w:shd w:val="clear" w:color="auto" w:fill="auto"/>
            <w:vAlign w:val="center"/>
          </w:tcPr>
          <w:p w14:paraId="07161ABD" w14:textId="700A2932" w:rsidR="001A0B09" w:rsidDel="00CA485C" w:rsidRDefault="006E48EA">
            <w:pPr>
              <w:pStyle w:val="TableParagraph"/>
              <w:spacing w:before="133"/>
              <w:ind w:left="135"/>
              <w:rPr>
                <w:rFonts w:ascii="Times New Roman" w:hAnsi="Times New Roman"/>
                <w:sz w:val="18"/>
              </w:rPr>
            </w:pPr>
            <w:r>
              <w:rPr>
                <w:rFonts w:ascii="Times New Roman" w:hAnsi="Times New Roman"/>
                <w:sz w:val="18"/>
              </w:rPr>
              <w:lastRenderedPageBreak/>
              <w:t>1410</w:t>
            </w:r>
          </w:p>
        </w:tc>
        <w:tc>
          <w:tcPr>
            <w:tcW w:w="6946" w:type="dxa"/>
            <w:shd w:val="clear" w:color="auto" w:fill="auto"/>
          </w:tcPr>
          <w:p w14:paraId="760C79A2" w14:textId="3B739238" w:rsidR="001A0B0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w tym: zabezpieczenie poziomu 1 w postaci obligacji zabezpieczonych charakteryzujących się wyjątkowo wysoką jakością</w:t>
            </w:r>
          </w:p>
          <w:p w14:paraId="57A325CD" w14:textId="03422D88" w:rsidR="001A0B09"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Instytucje kredytowe zgłaszają w tej pozycji zabezpieczone transakcje finansowania, których rezydualny termin zapadalności wynosi nie więcej niż 30 dni kalendarzowych, w przypadku gdy kontrahentem jest bank centralny, udzielone zabezpieczenie jest zabezpieczeniem poziomu 1 będącym obligacjami zabezpieczonymi charakteryzującymi się wyjątkowo wysoką jakością, i z tytułu wykorzystania jako zabezpieczenie spełniającymi wymagania określone w art. 7 i 8 rozporządzenia delegowanego (UE) 2015/61, a odnośne transakcje są wyłączone ze stosowania art. 17 ust. 2 i 3 rozporządzenia delegowanego (UE) 2015/61 na mocy art. 17 ust. 4 wspomnianego rozporządzenia.</w:t>
            </w:r>
          </w:p>
        </w:tc>
      </w:tr>
      <w:tr w:rsidR="001A0B09" w:rsidDel="00CA485C" w14:paraId="4DB6E57D" w14:textId="77777777" w:rsidTr="00454544">
        <w:tc>
          <w:tcPr>
            <w:tcW w:w="1457" w:type="dxa"/>
            <w:shd w:val="clear" w:color="auto" w:fill="auto"/>
            <w:vAlign w:val="center"/>
          </w:tcPr>
          <w:p w14:paraId="4D1BF014" w14:textId="5BBD3932" w:rsidR="001A0B09"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1A0B0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w tym: zabezpieczenie w postaci aktywów poziomu 2A</w:t>
            </w:r>
          </w:p>
          <w:p w14:paraId="0880BBF2" w14:textId="4D812718" w:rsidR="001A0B09"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Instytucje kredytowe zgłaszają w tej pozycji zabezpieczone transakcje finansowania, których rezydualny termin zapadalności wynosi nie więcej niż 30 dni kalendarzowych, w przypadku gdy kontrahentem jest bank centralny, udzielone zabezpieczenie jest zabezpieczeniem poziomu 2A, i z tytułu wykorzystania jako zabezpieczenie spełniającym wymagania określone w art. 7 i 8 rozporządzenia delegowanego (UE) 2015/61, a odnośne transakcje są wyłączone ze stosowania art. 17 ust. 2 i 3 rozporządzenia delegowanego (UE) 2015/61 na mocy art. 17 ust. 4 wspomnianego rozporządzenia.</w:t>
            </w:r>
          </w:p>
        </w:tc>
      </w:tr>
      <w:tr w:rsidR="001A0B09" w:rsidDel="00CA485C" w14:paraId="385169C8" w14:textId="77777777" w:rsidTr="00454544">
        <w:tc>
          <w:tcPr>
            <w:tcW w:w="1457" w:type="dxa"/>
            <w:shd w:val="clear" w:color="auto" w:fill="auto"/>
            <w:vAlign w:val="center"/>
          </w:tcPr>
          <w:p w14:paraId="7C8EDD8C" w14:textId="77777777" w:rsidR="001A0B09"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1A0B09"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w tym: zabezpieczenie w postaci aktywów poziomu 2B</w:t>
            </w:r>
          </w:p>
          <w:p w14:paraId="2B961932" w14:textId="56F403FD" w:rsidR="001A0B09"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Instytucje kredytowe zgłaszają w tej pozycji zabezpieczone transakcje finansowania, których rezydualny termin zapadalności wynosi nie więcej niż 30 dni kalendarzowych, w przypadku gdy kontrahentem jest bank centralny, udzielone zabezpieczenie jest zabezpieczeniem poziomu 2B, ale z tytułu wykorzystania jako zabezpieczenie spełniającym wymagania określone w art. 7 i 8 rozporządzenia delegowanego (UE) 2015/61, a odnośne transakcje są wyłączone ze stosowania art. 17 ust. 2 i 3 rozporządzenia delegowanego (UE) 2015/61 na mocy art. 17 ust. 4 wspomnianego rozporządzenia.</w:t>
            </w:r>
          </w:p>
        </w:tc>
      </w:tr>
      <w:tr w:rsidR="001A0B09" w:rsidDel="00CA485C" w14:paraId="63929A57" w14:textId="77777777" w:rsidTr="00454544">
        <w:tc>
          <w:tcPr>
            <w:tcW w:w="1457" w:type="dxa"/>
            <w:shd w:val="clear" w:color="auto" w:fill="auto"/>
            <w:vAlign w:val="center"/>
          </w:tcPr>
          <w:p w14:paraId="331A5130" w14:textId="581A05CB" w:rsidR="001A0B09"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1A0B09"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w tym: zabezpieczenie aktywami niepłynnymi</w:t>
            </w:r>
          </w:p>
          <w:p w14:paraId="13A95E48" w14:textId="70C8CA3B" w:rsidR="001A0B09"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Instytucje kredytowe zgłaszają w tej pozycji finansowanie zabezpieczone, którego rezydualny termin zapadalności wynosi nie więcej niż 30 dni kalendarzowych, w przypadku gdy kontrahentem jest bank centralny, udzielone zabezpieczenie jest zabezpieczeniem aktywami niepłynnymi, a odnośne transakcje są wyłączone ze stosowania art. 17 ust. 2 i 3 rozporządzenia delegowanego (UE) 2015/61 na mocy art. 17 ust. 4 wspomnianego rozporządzenia.</w:t>
            </w:r>
          </w:p>
        </w:tc>
      </w:tr>
    </w:tbl>
    <w:p w14:paraId="44B054F8" w14:textId="77777777" w:rsidR="001A0B09" w:rsidRDefault="001A0B09">
      <w:pPr>
        <w:jc w:val="center"/>
        <w:rPr>
          <w:rFonts w:ascii="Times New Roman" w:hAnsi="Times New Roman"/>
          <w:b/>
          <w:sz w:val="24"/>
        </w:rPr>
      </w:pPr>
    </w:p>
    <w:p w14:paraId="6BE32207" w14:textId="1F276091" w:rsidR="001A0B09" w:rsidRPr="0058116D" w:rsidRDefault="007453EC">
      <w:pPr>
        <w:jc w:val="center"/>
        <w:rPr>
          <w:rFonts w:ascii="Times New Roman" w:hAnsi="Times New Roman"/>
          <w:b/>
          <w:sz w:val="24"/>
        </w:rPr>
      </w:pPr>
      <w:r w:rsidRPr="0058116D">
        <w:rPr>
          <w:rFonts w:ascii="Times New Roman" w:hAnsi="Times New Roman"/>
          <w:b/>
          <w:sz w:val="24"/>
        </w:rPr>
        <w:t>SPRAWOZDAWCZOŚĆ W ZAKRESIE PŁYNNOŚCI (CZĘŚĆ 3: WPŁYWY)</w:t>
      </w:r>
    </w:p>
    <w:p w14:paraId="039D5D75" w14:textId="62033D61" w:rsidR="001A0B09"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Wpływy</w:t>
      </w:r>
    </w:p>
    <w:p w14:paraId="47170F2B" w14:textId="3156AD7F" w:rsidR="001A0B09"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Uwagi ogólne</w:t>
      </w:r>
    </w:p>
    <w:p w14:paraId="5AADD144" w14:textId="0DBD526E" w:rsidR="001A0B09" w:rsidRDefault="007453EC">
      <w:pPr>
        <w:pStyle w:val="InstructionsText2"/>
        <w:numPr>
          <w:ilvl w:val="0"/>
          <w:numId w:val="113"/>
        </w:numPr>
      </w:pPr>
      <w:r>
        <w:t>Niniejszy formularz zawiera informacje dotyczące wpływów płynności mierzonych w ciągu 30 dni kalendarzowych na potrzeby sprawozdawczości w zakresie wymogu pokrycia wypływów netto określonego w rozporządzeniu delegowanym (UE) 2015/61. Pozycje, których instytucje kredytowe nie muszą wypełniać, zaznaczono na szaro.</w:t>
      </w:r>
    </w:p>
    <w:p w14:paraId="59420614" w14:textId="330FED99" w:rsidR="001A0B09" w:rsidRDefault="007453EC">
      <w:pPr>
        <w:pStyle w:val="InstructionsText2"/>
      </w:pPr>
      <w:r>
        <w:t>Instytucje kredytowe przedkładają pozycje określone w niniejszym formularzu w odpowiednich walutach, zgodnie z art. 415 ust. 2 rozporządzenia (UE) nr 575/2013.</w:t>
      </w:r>
    </w:p>
    <w:p w14:paraId="54F00814" w14:textId="73A1BB15" w:rsidR="001A0B09" w:rsidRDefault="007453EC">
      <w:pPr>
        <w:pStyle w:val="InstructionsText2"/>
      </w:pPr>
      <w:r>
        <w:t>Zgodnie z art. 32 rozporządzenia delegowanego (UE) 2015/61 wpływy płynności:</w:t>
      </w:r>
    </w:p>
    <w:p w14:paraId="1772C6CD" w14:textId="77777777" w:rsidR="001A0B09"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obejmują wyłącznie wpływy umowne z ekspozycji, które nie są przeterminowane, i w przypadku których instytucja kredytowa nie ma powodu oczekiwać niewykonania zobowiązania w perspektywie 30 dni kalendarzowych;</w:t>
      </w:r>
    </w:p>
    <w:p w14:paraId="294170A7" w14:textId="0C7616D6" w:rsidR="001A0B09" w:rsidRDefault="007453EC">
      <w:pPr>
        <w:spacing w:before="240" w:after="240"/>
        <w:ind w:left="2160" w:hanging="180"/>
        <w:rPr>
          <w:rFonts w:ascii="Times New Roman" w:hAnsi="Times New Roman"/>
          <w:sz w:val="18"/>
          <w:szCs w:val="18"/>
        </w:rPr>
      </w:pPr>
      <w:r>
        <w:rPr>
          <w:rFonts w:ascii="Times New Roman" w:hAnsi="Times New Roman"/>
          <w:sz w:val="18"/>
          <w:szCs w:val="18"/>
        </w:rPr>
        <w:lastRenderedPageBreak/>
        <w:t>ii.</w:t>
      </w:r>
      <w:r>
        <w:rPr>
          <w:rFonts w:ascii="Times New Roman" w:hAnsi="Times New Roman"/>
          <w:sz w:val="18"/>
          <w:szCs w:val="18"/>
        </w:rPr>
        <w:tab/>
        <w:t>oblicza się, mnożąc salda różnych kategorii należności umownych przez wskaźniki określone w rozporządzeniu delegowanym (UE) 2015/61.</w:t>
      </w:r>
    </w:p>
    <w:p w14:paraId="4E8B89C3" w14:textId="2956D67A" w:rsidR="001A0B09" w:rsidRDefault="007453EC">
      <w:pPr>
        <w:pStyle w:val="InstructionsText2"/>
      </w:pPr>
      <w:r>
        <w:t>Wpływy w ramach grupy lub instytucjonalnego systemu ochrony (z wyjątkiem wpływów z niewykorzystanych instrumentów kredytowych lub instrumentów wsparcia płynności otrzymanych od członków grupy lub instytucjonalnego systemu ochrony, pod warunkiem, że właściwy organ wyraził zgodę na stosowanie preferencyjnego wskaźnika wpływów) przypisuje się do odpowiednich kategorii. Ponadto nieważone kwoty zgłasza się w ramach pozycji uzupełniających w sekcji 3 formularza (wiersze 460–510).</w:t>
      </w:r>
    </w:p>
    <w:p w14:paraId="5A30E889" w14:textId="44274FCE" w:rsidR="001A0B09" w:rsidRDefault="007453EC">
      <w:pPr>
        <w:pStyle w:val="InstructionsText2"/>
      </w:pPr>
      <w:r>
        <w:t>Zgodnie z art. 32 ust. 6 rozporządzenia delegowanego (UE) 2015/61 instytucje kredytowe nie uwzględniają wpływów z tytułu aktywów płynnych zgłaszanych zgodnie z tytułem II tego rozporządzenia, innych niż płatności należne z tytułu aktywów, nieujęte w wartości rynkowej tych aktywów.</w:t>
      </w:r>
    </w:p>
    <w:p w14:paraId="2155C2C9" w14:textId="332D6D40" w:rsidR="001A0B09" w:rsidRDefault="007453EC">
      <w:pPr>
        <w:pStyle w:val="InstructionsText2"/>
      </w:pPr>
      <w:r>
        <w:t>Wpływy, które mają zostać otrzymane w państwach trzecich, w których istnieją ograniczenia transferu, lub są denominowane w walutach niewymienialnych, zgłasza się w odpowiednich wierszach w sekcjach 1.1., 1.2. lub 1.3. Wpływy zgłasza się w całości, niezależnie od kwoty wypływów w państwie trzecim lub waluty.</w:t>
      </w:r>
    </w:p>
    <w:p w14:paraId="721E6BE3" w14:textId="3E0D7CAF" w:rsidR="001A0B09" w:rsidRDefault="007453EC">
      <w:pPr>
        <w:pStyle w:val="InstructionsText2"/>
      </w:pPr>
      <w:r>
        <w:t>Środki pieniężne należne z tytułu papierów wartościowych emitowanych przez samą instytucję kredytową lub przez jednostkę specjalnego przeznaczenia do celów sekurytyzacji, z którą instytucja kredytowa ma bliskie powiązania, uwzględnia się w kwocie netto ze wskaźnikiem wpływów, który stosuje się na podstawie wskaźnika wpływów mającego zastosowanie do aktywów bazowych zgodnie z art. 32 ust. 3 lit. h) rozporządzenia delegowanego (UE) 2015/61.</w:t>
      </w:r>
    </w:p>
    <w:p w14:paraId="141DDFA0" w14:textId="7853DF61" w:rsidR="001A0B09" w:rsidRDefault="007453EC">
      <w:pPr>
        <w:pStyle w:val="InstructionsText2"/>
      </w:pPr>
      <w:r>
        <w:t>Zgodnie z art. 32 ust. 7 rozporządzenia delegowanego (UE) 2015/61 instytucje kredytowe nie uwzględniają wpływów z tytułu żadnych nowych podjętych zobowiązań. Odnosi się to do zobowiązań umownych, których nie ustanowiono na dzień sprawozdawczy, ale które zostaną lub mogą zostać podjęte w perspektywie 30 dni.</w:t>
      </w:r>
    </w:p>
    <w:p w14:paraId="5918AFDA" w14:textId="7B744600" w:rsidR="001A0B09" w:rsidRDefault="007453EC">
      <w:pPr>
        <w:pStyle w:val="InstructionsText2"/>
      </w:pPr>
      <w:r>
        <w:t>W przypadku sprawozdawczości podlegającej oddzielnym wymogom sprawozdawczym zgodnie z art. 415 ust. 2 rozporządzenia (UE) nr 575/2013 zgłaszane kwoty obejmują wyłącznie kwoty denominowane w odpowiedniej walucie w celu zapewnienia, że niedopasowanie walutowe jest poprawnie odzwierciedlone. Może to oznaczać, że w formularzu dotyczącym odpowiedniej waluty zgłaszana będzie tylko jedna strona transakcji. Przykładowo, w przypadku walutowych instrumentów pochodnych instytucje kredytowe mogą jedynie kompensować wpływy i wypływy, zgodnie z art. 21 rozporządzenia delegowanego (UE) 2015/61, jeżeli są denominowane w tej samej walucie.</w:t>
      </w:r>
    </w:p>
    <w:p w14:paraId="231F16EA" w14:textId="5B11A64B" w:rsidR="001A0B09" w:rsidRDefault="007453EC">
      <w:pPr>
        <w:pStyle w:val="InstructionsText2"/>
      </w:pPr>
      <w:r>
        <w:t>Układ kolumn w tym formularzu został opracowany w taki sposób, aby uwzględnić różne rodzaje ograniczeń wpływów mających zastosowanie zgodnie z art. 33 rozporządzenia delegowanego (UE) 2015/61. W tym względzie struktura formularza jest oparta na trzech zestawach kolumn, po jednym dla każdego systemu ograniczenia wpływów (ograniczenie w wysokości 75 %, ograniczenie w wysokości 90 % i wpływy wyłączone z ograniczenia). Instytucje kredytowe prowadzące sprawozdawczość skonsolidowaną mogą stosować więcej niż jeden taki zestaw kolumn, jeżeli w ramach tej samej konsolidacji różne podmioty kwalifikują się do stosowania różnych systemów ograniczeń.</w:t>
      </w:r>
    </w:p>
    <w:p w14:paraId="7ABEC4E1" w14:textId="475FA344" w:rsidR="001A0B09" w:rsidRDefault="007453EC">
      <w:pPr>
        <w:pStyle w:val="InstructionsText2"/>
      </w:pPr>
      <w:r>
        <w:t>Zgodnie z art. 2 ust. 3 lit. c) rozporządzenia delegowanego (UE) 2015/61 dotyczącym konsolidacji wpływy płynności w jednostce zależnej w państwie trzecim, które na mocy prawa krajowego danego państwa trzeciego podlegają niższym wskaźnikom wpływów niż te określone w tytule III przedmiotowego rozporządzenia, podlegają konsolidacji zgodnie z niższymi wskaźnikami określonymi w prawie krajowym danego państwa trzeciego.</w:t>
      </w:r>
    </w:p>
    <w:p w14:paraId="0393DC96" w14:textId="02075785" w:rsidR="001A0B09" w:rsidRDefault="0070035D">
      <w:pPr>
        <w:pStyle w:val="InstructionsText2"/>
      </w:pPr>
      <w:r>
        <w:t>Pojęcie „waga” wykorzystywane w niniejszym formularzu odnosi się do określeń wskaźnik oraz redukcja wartości użytych w rozporządzeniu delegowanym (UE) 2015/61. Termin „ważony/-e/-a”, stosowany w niniejszym załączniku, oznacza ogólny termin określający kwotę uzyskaną po zastosowaniu odpowiednich redukcji wartości, wskaźników oraz wszelkich innych stosownych dodatkowych instrukcji (w przypadku np. zabezpieczonych transakcji kredytowych i transakcji finansowania).</w:t>
      </w:r>
    </w:p>
    <w:p w14:paraId="5A8208E2" w14:textId="6EB52EC7" w:rsidR="001A0B09" w:rsidRDefault="007453EC">
      <w:pPr>
        <w:pStyle w:val="InstructionsText2"/>
      </w:pPr>
      <w:r>
        <w:t xml:space="preserve">W formularzu, do którego odnoszą się niniejsze instrukcje, uwzględniono pewne pozycje dodatkowe. Pozycje te są m.in. źródłem niezbędnych informacji, które pozwalają właściwemu organowi przeprowadzić pełną i adekwatną ocenę przestrzegania przez instytucje kredytowe wymogów dotyczących płynności. </w:t>
      </w:r>
    </w:p>
    <w:p w14:paraId="499BAE40" w14:textId="37D0819B" w:rsidR="001A0B09"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lastRenderedPageBreak/>
        <w:t>1.2.</w:t>
      </w:r>
      <w:r>
        <w:rPr>
          <w:rFonts w:ascii="Times New Roman" w:hAnsi="Times New Roman"/>
          <w:sz w:val="18"/>
          <w:szCs w:val="18"/>
          <w:u w:val="none"/>
        </w:rPr>
        <w:tab/>
        <w:t>Uwagi szczegółowe dotyczące zabezpieczonych transakcji kredytowych i transakcji opartych na rynku kapitałowym</w:t>
      </w:r>
    </w:p>
    <w:p w14:paraId="7478B985" w14:textId="5508E4B5" w:rsidR="001A0B09" w:rsidRDefault="007453EC">
      <w:pPr>
        <w:pStyle w:val="InstructionsText2"/>
      </w:pPr>
      <w:r>
        <w:t>W formularzu dokonano podziału zabezpieczonych przepływów na kategorie według jakości składnika aktywów bazowych lub kwalifikowalności jako aktywa płynne wysokiej jakości. Na potrzeby transakcji zabezpieczających swap opracowano odrębny formularz – formularz C 75.01 określony w ZAŁĄCZNIKU XXIV. Transakcji zabezpieczających swap, które stanowią transakcje wymiany typu zabezpieczenie vs. zabezpieczenie, nie zgłasza się w formularzu dotyczącym wpływów (C 74.00 określony w ZAŁĄCZNIKU XXIV), który dotyczy wyłącznie transakcji wymiany typu środki pieniężne vs zabezpieczenie.</w:t>
      </w:r>
    </w:p>
    <w:p w14:paraId="56720F36" w14:textId="513AE5F2" w:rsidR="001A0B09" w:rsidRDefault="007453EC">
      <w:pPr>
        <w:pStyle w:val="InstructionsText2"/>
      </w:pPr>
      <w:r>
        <w:t>Jeżeli zabezpieczone transakcje kredytowe i transakcje oparte na rynku kapitałowym są zabezpieczone udziałami lub jednostkami uczestnictwa w przedsiębiorstwach zbiorowego inwestowania, transakcje te zgłasza się tak jakby zabezpieczeniem ich był instrument stanowiący instrument bazowy przedsiębiorstwa zbiorowego inwestowania. Na przykład w przypadku, gdy zabezpieczona transakcja kredytowa jest zabezpieczona udziałami lub jednostkami uczestnictwa w przedsiębiorstwie zbiorowego inwestowania, które inwestuje wyłącznie w aktywa poziomu 2A, zabezpieczoną transakcję kredytową zgłasza się jako bezpośrednio zabezpieczoną zabezpieczeniem poziomu 2A. Potencjalnie wyższa stopa wpływu zabezpieczonych transakcji kredytowych zabezpieczonych udziałami lub jednostkami uczestnictwa w przedsiębiorstwach zbiorowego inwestowania odzwierciedlona jest w odpowiednim zgłaszanym wskaźniku wpływów.</w:t>
      </w:r>
    </w:p>
    <w:p w14:paraId="70BE7A08" w14:textId="5B9447DC" w:rsidR="001A0B09" w:rsidRDefault="007453EC">
      <w:pPr>
        <w:pStyle w:val="InstructionsText2"/>
      </w:pPr>
      <w:r>
        <w:t>W przypadku sprawozdawczości podlegającej oddzielnym wymogom sprawozdawczym zgodnie z art. 415 ust. 2 rozporządzenia (UE) nr 575/2013 zgłaszane kwoty obejmują wyłącznie kwoty denominowane w odpowiedniej walucie w celu zapewnienia, że niedopasowanie walutowe jest poprawnie odzwierciedlone. Może to oznaczać, że w formularzu dotyczącym odpowiedniej waluty zgłaszana będzie tylko jedna strona transakcji. W związku z tym transakcja z otrzymanym przyrzeczeniem odkupu może skutkować ujemnym wpływem. Kwoty transakcji z otrzymanym przyrzeczeniem odkupu zgłaszane w tej samej pozycji sumuje się (wartości dodatnie i ujemne). Jeżeli łączna kwota jest dodatnia, zgłasza się ją w formularzu dotyczącym wpływów. Jeżeli łączna kwota jest ujemna, zgłasza się ją w formularzu dotyczącym wypływów. W przypadku transakcji z udzielonym przyrzeczeniem odkupu stosuje się odwrotne podejście.</w:t>
      </w:r>
    </w:p>
    <w:p w14:paraId="565C88EE" w14:textId="181B7AE3" w:rsidR="001A0B09" w:rsidRDefault="007453EC">
      <w:pPr>
        <w:pStyle w:val="InstructionsText2"/>
      </w:pPr>
      <w:r>
        <w:t>W celu obliczenia wpływów zabezpieczone transakcje kredytowe i transakcje oparte na rynku kapitałowym zgłasza się niezależnie od tego, czy otrzymane zabezpieczenie bazowe spełnia wymagania operacyjne określone w art. 8 rozporządzenia delegowanego (UE) 2015/61. Ponadto, aby umożliwić obliczenie skorygowanych zasobów aktywów płynnych zgodnie z art. 17 ust. 2 rozporządzenia delegowanego (UE) 2015/61, instytucje kredytowe zgłaszają również osobno te transakcje, w których otrzymane zabezpieczenie dodatkowo spełnia wymagania operacyjne określone w art. 8 rozporządzenia delegowanego (UE) 2015/61.</w:t>
      </w:r>
    </w:p>
    <w:p w14:paraId="36FDEE66" w14:textId="13A2C4C1" w:rsidR="001A0B09" w:rsidRDefault="007453EC">
      <w:pPr>
        <w:pStyle w:val="InstructionsText2"/>
      </w:pPr>
      <w:r>
        <w:t>Jeżeli instytucja kredytowa może uznać jedynie część swoich akcji w walucie obcej lub aktywów rządu centralnego lub banku centralnego w walucie obcej lub aktywów rządu centralnego lub banku centralnego w walucie krajowej w ramach swoich aktywów płynnych wysokiej jakości, wówczas zgłoszeniu podlega jedynie możliwa do uznania część w ramach wierszy dotyczących aktywów poziomu 1, 2A i 2B zgodnie z art. 12 ust. 1 lit. c) ppkt (ii) i art. 10 ust. 1 lit. d) rozporządzenia delegowanego (UE) 2015/61). Jeżeli określony składnik aktywów wykorzystuje się jako zabezpieczenie, ale w kwocie, która stanowi nadwyżkę w stosunku do części, którą można uznać jako aktywa płynne, kwotę nadwyżki zgłasza się w sekcji dotyczącej aktywów niepłynnych. Aktywa poziomu 2A zgłasza się w odpowiednim wierszu dotyczącym aktywów poziomu 2A, nawet jeżeli stosuje się alternatywne podejście w zakresie płynności zgodnie z art. 19 rozporządzenia delegowanego (UE) 2015/61.</w:t>
      </w:r>
    </w:p>
    <w:p w14:paraId="46AF9406" w14:textId="2AAC820D" w:rsidR="001A0B09"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Uwagi szczegółowe dotyczące rozliczenia i transakcji z przyszłym terminem rozpoczęcia</w:t>
      </w:r>
    </w:p>
    <w:p w14:paraId="58CE8345" w14:textId="3705FCAC" w:rsidR="001A0B09" w:rsidRDefault="007453EC">
      <w:pPr>
        <w:pStyle w:val="InstructionsText2"/>
      </w:pPr>
      <w:r>
        <w:t>Instytucje kredytowe zgłaszają wpływy wynikające z umów z przyszłym terminem rozpoczęcia, które zaczną obowiązywać w ciągu 30 dni kalendarzowych i których termin zapadalności przypada po upływie 30 dni kalendarzowych. Wpływ, który ma zostać otrzymany, zgłasza się w wierszu 260 w formularzu C 74.00 („inne wpływy”) po odliczeniu wartości rynkowej składnika aktywów, który ma zostać dostarczony kontrahentowi, po zastosowaniu powiązanej redukcji wartości wskaźnika pokrycia wpływów netto. Jeżeli składnik aktywów nie zalicza się do „aktywów płynnych”, zgłasza się pełną kwotę wpływu, który ma zostać otrzymany. Składnik aktywów, który ma stanowić zabezpieczenie, zgłasza się w formularzu C 72.00, jeżeli instytucja posiada ten składnik aktywów zaksięgowany w dniu sprawozdawczym i składnik ten spełnia powiązane warunki.</w:t>
      </w:r>
    </w:p>
    <w:p w14:paraId="058EC6C9" w14:textId="7BBB250D" w:rsidR="001A0B09" w:rsidRDefault="007453EC">
      <w:pPr>
        <w:pStyle w:val="InstructionsText2"/>
      </w:pPr>
      <w:r>
        <w:t xml:space="preserve">Instytucje kredytowe zgłaszają wpływy wynikające z umów z udzielonym przyrzeczeniem odkupu typu forward, umów z otrzymanym przyrzeczeniem odkupu typu forward i transakcji zabezpieczających swap typu forward, które zaczynają obowiązywać w ciągu 30 dni kalendarzowych i których termin </w:t>
      </w:r>
      <w:r>
        <w:lastRenderedPageBreak/>
        <w:t>zapadalności przypada po upływie 30 dni kalendarzowych, jeżeli pierwsza część transakcji generuje wpływ. W przypadku umowy z udzielonym przyrzeczeniem odkupu wpływ, który ma zostać otrzymany, zgłasza się w wierszu 260 w formularzu C 74.00 („inne wpływy”) po odliczeniu wartości rynkowej składnika aktywów, który ma zostać dostarczony kontrahentowi, po zastosowaniu powiązanej redukcji wartości wskaźnika pokrycia wpływów netto. Jeżeli kwota, która ma zostać otrzymana, jest niższa niż wartość rynkowa składnika aktywów (po redukcji wartości wskaźnika pokrycia wpływów netto), który ma być przedmiotem udzielonej pożyczki jako zabezpieczenie, różnicę zgłasza się jako wypływ w formularzu C 73.00. Jeżeli składnik aktywów nie zalicza się do „aktywów płynnych”, zgłasza się pełną kwotę wpływu, który ma zostać otrzymany. Składnik aktywów, który ma stanowić zabezpieczenie, zgłasza się w formularzu C 72.00, jeżeli dana instytucja posiada ten składnik aktywów zaksięgowany w dniu sprawozdawczym i składnik ten spełnia powiązane warunki. W przypadku umowy z otrzymanym przyrzeczeniem odkupu, gdy wartość rynkowa składnika aktywów, który ma zostać otrzymany jako zabezpieczenie po zastosowaniu powiązanej redukcji wartości wskaźnika pokrycia wpływów netto (jeżeli składnik aktywów zalicza się do aktywów płynnych), jest wyższa niż kwota pieniężna, która ma zostać pożyczona, różnicę należy zgłosić jako wpływ w wierszu 260 w formularzu C 74.00 („inne wpływy”). W przypadku transakcji zabezpieczających swap, jeżeli efekt netto początkowego swapu aktywów (biorąc pod uwagę redukcję wartości wskaźnika pokrycia wpływów netto) prowadzi do powstania wpływu, wpływ ten zgłasza się w wierszu 260 w formularzu C 74.00 („inne wpływy”).</w:t>
      </w:r>
    </w:p>
    <w:p w14:paraId="516CC2E4" w14:textId="77777777" w:rsidR="001A0B09" w:rsidRDefault="007453EC">
      <w:pPr>
        <w:pStyle w:val="InstructionsText2"/>
      </w:pPr>
      <w:r>
        <w:t>Umowy z udzielonym przyrzeczeniem odkupu typu forward, umowy z otrzymanym przyrzeczeniem odkupu typu forward i transakcje zabezpieczające swap typu forward, których zarówno termin rozpoczęcia, jak i termin zapadalności przypadają w ciągu 30 dni kalendarzowych, nie mają żadnego wpływu na wskaźnik pokrycia wypływów netto banku i mogą zostać pominięte.</w:t>
      </w:r>
    </w:p>
    <w:p w14:paraId="547D95AB" w14:textId="13C281BA" w:rsidR="001A0B0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Schemat podejmowania decyzji w sprawie wpływów objętych wskaźnikiem pokrycia wypływów netto zgodnie z art. 32, 33 i 34 rozporządzenia delegowanego (UE) 2015/61</w:t>
      </w:r>
    </w:p>
    <w:p w14:paraId="70E3B016" w14:textId="27F76D6D" w:rsidR="001A0B09" w:rsidRDefault="007453EC">
      <w:pPr>
        <w:pStyle w:val="InstructionsText2"/>
      </w:pPr>
      <w:r>
        <w:t>Schemat podejmowania decyzji pozostaje bez uszczerbku dla sprawozdawczości w zakresie pozycji uzupełniających. Schemat podejmowania decyzji jest częścią instrukcji określających kryteria oceny w odniesieniu do ustalania hierarchii na potrzeby klasyfikowania każdej zgłoszonej pozycji w celu zapewnienia jednolitej i porównywalnej sprawozdawczości. Samo postępowanie według schematu podejmowania decyzji jest niewystarczające – instytucje kredytowe muszą każdorazowo przestrzegać pozostałych instrukcji.</w:t>
      </w:r>
    </w:p>
    <w:p w14:paraId="69E73C91" w14:textId="5A2DB28E" w:rsidR="001A0B09" w:rsidRDefault="007453EC">
      <w:pPr>
        <w:pStyle w:val="InstructionsText2"/>
      </w:pPr>
      <w:r>
        <w:t>Dla uproszczenia w schemacie podejmowania decyzji pominięto sumy i sumy częściowe, co niekoniecznie oznacza jednak, że nie należy ich również zgłaszać.</w:t>
      </w:r>
    </w:p>
    <w:p w14:paraId="670B7B30" w14:textId="2627E820" w:rsidR="001A0B09" w:rsidRDefault="0062009E" w:rsidP="0058116D">
      <w:pPr>
        <w:keepNext/>
        <w:spacing w:before="240" w:after="240"/>
        <w:ind w:left="360" w:hanging="360"/>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Schemat podejmowania decyzji dotyczący wierszy w formularzu C 74.00 określonym w załączniku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1A0B09" w14:paraId="30B2D3CF" w14:textId="77777777" w:rsidTr="008A4CE5">
        <w:trPr>
          <w:trHeight w:val="454"/>
          <w:jc w:val="center"/>
        </w:trPr>
        <w:tc>
          <w:tcPr>
            <w:tcW w:w="906" w:type="dxa"/>
            <w:shd w:val="clear" w:color="auto" w:fill="auto"/>
            <w:vAlign w:val="center"/>
          </w:tcPr>
          <w:p w14:paraId="043C7DE1" w14:textId="77777777" w:rsidR="001A0B09"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1A0B09"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Pozycja</w:t>
            </w:r>
          </w:p>
        </w:tc>
        <w:tc>
          <w:tcPr>
            <w:tcW w:w="989" w:type="dxa"/>
            <w:shd w:val="clear" w:color="auto" w:fill="auto"/>
            <w:vAlign w:val="center"/>
          </w:tcPr>
          <w:p w14:paraId="1D5616C2" w14:textId="77777777" w:rsidR="001A0B09" w:rsidRDefault="00E145E1">
            <w:pPr>
              <w:widowControl w:val="0"/>
              <w:spacing w:before="37" w:after="0"/>
              <w:rPr>
                <w:rFonts w:ascii="Times New Roman" w:hAnsi="Times New Roman"/>
                <w:b/>
                <w:sz w:val="18"/>
                <w:szCs w:val="18"/>
              </w:rPr>
            </w:pPr>
            <w:r>
              <w:rPr>
                <w:rFonts w:ascii="Times New Roman" w:hAnsi="Times New Roman"/>
                <w:b/>
                <w:sz w:val="18"/>
                <w:szCs w:val="18"/>
              </w:rPr>
              <w:t>Decyzja</w:t>
            </w:r>
          </w:p>
        </w:tc>
        <w:tc>
          <w:tcPr>
            <w:tcW w:w="2150" w:type="dxa"/>
            <w:shd w:val="clear" w:color="auto" w:fill="auto"/>
            <w:vAlign w:val="center"/>
          </w:tcPr>
          <w:p w14:paraId="0AB3D9AF" w14:textId="77777777" w:rsidR="001A0B09" w:rsidRDefault="00E145E1">
            <w:pPr>
              <w:widowControl w:val="0"/>
              <w:spacing w:before="37" w:after="0"/>
              <w:jc w:val="center"/>
              <w:rPr>
                <w:rFonts w:ascii="Times New Roman" w:hAnsi="Times New Roman"/>
                <w:b/>
                <w:sz w:val="18"/>
                <w:szCs w:val="18"/>
              </w:rPr>
            </w:pPr>
            <w:r>
              <w:rPr>
                <w:rFonts w:ascii="Times New Roman" w:hAnsi="Times New Roman"/>
                <w:b/>
                <w:sz w:val="18"/>
                <w:szCs w:val="18"/>
              </w:rPr>
              <w:t>Sprawozdawczość</w:t>
            </w:r>
          </w:p>
        </w:tc>
      </w:tr>
      <w:tr w:rsidR="001A0B09" w14:paraId="5B55C732" w14:textId="77777777" w:rsidTr="008A4CE5">
        <w:trPr>
          <w:trHeight w:val="1317"/>
          <w:jc w:val="center"/>
        </w:trPr>
        <w:tc>
          <w:tcPr>
            <w:tcW w:w="906" w:type="dxa"/>
            <w:vMerge w:val="restart"/>
            <w:shd w:val="clear" w:color="auto" w:fill="auto"/>
            <w:vAlign w:val="center"/>
          </w:tcPr>
          <w:p w14:paraId="57747FBE"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1A0B09" w:rsidRDefault="00E145E1">
            <w:pPr>
              <w:spacing w:before="40" w:after="40"/>
              <w:rPr>
                <w:rFonts w:ascii="Times New Roman" w:hAnsi="Times New Roman"/>
                <w:sz w:val="18"/>
                <w:szCs w:val="18"/>
              </w:rPr>
            </w:pPr>
            <w:r>
              <w:rPr>
                <w:rFonts w:ascii="Times New Roman" w:hAnsi="Times New Roman"/>
                <w:sz w:val="18"/>
                <w:szCs w:val="18"/>
              </w:rPr>
              <w:t>Wpływy spełniające kryteria operacyjne określone w art. 32, takie jak:</w:t>
            </w:r>
          </w:p>
          <w:p w14:paraId="0BA26DEA" w14:textId="77777777" w:rsidR="001A0B0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wpływy z ekspozycji nie są przeterminowane (art. 32 ust. 1);</w:t>
            </w:r>
          </w:p>
          <w:p w14:paraId="715F58C3" w14:textId="77777777" w:rsidR="001A0B0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instytucja kredytowa nie ma powodu oczekiwać niewykonania zobowiązania w perspektywie 30 dni kalendarzowych (art. 32 ust. 1);</w:t>
            </w:r>
          </w:p>
          <w:p w14:paraId="71DD17DD" w14:textId="77777777" w:rsidR="001A0B0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instytucje kredytowe nie uwzględniają wpływów z tytułu żadnego nowego podjętego zobowiązania (art. 32 ust. 7);</w:t>
            </w:r>
          </w:p>
          <w:p w14:paraId="49E97032" w14:textId="77777777" w:rsidR="001A0B0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nie zgłasza się wpływów, w przypadku, gdy są już skompensowane wypływami (art. 26);</w:t>
            </w:r>
          </w:p>
          <w:p w14:paraId="1B821232" w14:textId="77777777" w:rsidR="001A0B09"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instytucje kredytowe nie uwzględniają żadnych wpływów z tytułu aktywów płynnych, o których mowa w tytule II, innych niż płatności należne z tytułu aktywów, nieujęte w wartości rynkowej tych aktywów (art. 32 ust. 6).</w:t>
            </w:r>
          </w:p>
        </w:tc>
        <w:tc>
          <w:tcPr>
            <w:tcW w:w="989" w:type="dxa"/>
            <w:shd w:val="clear" w:color="auto" w:fill="auto"/>
            <w:vAlign w:val="center"/>
          </w:tcPr>
          <w:p w14:paraId="6800CE72"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01FCD3CB" w14:textId="77777777" w:rsidR="001A0B09" w:rsidRDefault="00E145E1">
            <w:pPr>
              <w:spacing w:before="40" w:after="40"/>
              <w:jc w:val="center"/>
              <w:rPr>
                <w:rFonts w:ascii="Times New Roman" w:hAnsi="Times New Roman"/>
                <w:sz w:val="18"/>
              </w:rPr>
            </w:pPr>
            <w:r>
              <w:rPr>
                <w:rFonts w:ascii="Times New Roman" w:hAnsi="Times New Roman"/>
                <w:sz w:val="18"/>
              </w:rPr>
              <w:t>Brak</w:t>
            </w:r>
          </w:p>
        </w:tc>
      </w:tr>
      <w:tr w:rsidR="001A0B09" w14:paraId="3EC9E7CF" w14:textId="77777777" w:rsidTr="008A4CE5">
        <w:trPr>
          <w:jc w:val="center"/>
        </w:trPr>
        <w:tc>
          <w:tcPr>
            <w:tcW w:w="906" w:type="dxa"/>
            <w:vMerge/>
            <w:shd w:val="clear" w:color="auto" w:fill="auto"/>
            <w:vAlign w:val="center"/>
          </w:tcPr>
          <w:p w14:paraId="04C7A8B4"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1A0B09" w:rsidRDefault="001A0B09">
            <w:pPr>
              <w:jc w:val="center"/>
              <w:rPr>
                <w:rFonts w:ascii="Times New Roman" w:hAnsi="Times New Roman"/>
                <w:sz w:val="18"/>
                <w:szCs w:val="18"/>
              </w:rPr>
            </w:pPr>
          </w:p>
        </w:tc>
        <w:tc>
          <w:tcPr>
            <w:tcW w:w="989" w:type="dxa"/>
            <w:shd w:val="clear" w:color="auto" w:fill="auto"/>
            <w:vAlign w:val="center"/>
          </w:tcPr>
          <w:p w14:paraId="5D042DA5"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0457FE78"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1A0B09" w14:paraId="63D4CC3A" w14:textId="77777777" w:rsidTr="008A4CE5">
        <w:trPr>
          <w:jc w:val="center"/>
        </w:trPr>
        <w:tc>
          <w:tcPr>
            <w:tcW w:w="906" w:type="dxa"/>
            <w:vMerge w:val="restart"/>
            <w:shd w:val="clear" w:color="auto" w:fill="auto"/>
            <w:vAlign w:val="center"/>
          </w:tcPr>
          <w:p w14:paraId="62CEBC1A"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1A0B09" w:rsidRDefault="00E145E1">
            <w:pPr>
              <w:spacing w:before="40" w:after="40"/>
              <w:rPr>
                <w:rFonts w:ascii="Times New Roman" w:hAnsi="Times New Roman"/>
                <w:sz w:val="18"/>
                <w:szCs w:val="18"/>
              </w:rPr>
            </w:pPr>
            <w:r>
              <w:rPr>
                <w:rFonts w:ascii="Times New Roman" w:hAnsi="Times New Roman"/>
                <w:sz w:val="18"/>
                <w:szCs w:val="18"/>
              </w:rPr>
              <w:t>Transakcja z przyszłym terminem rozpoczęcia</w:t>
            </w:r>
          </w:p>
        </w:tc>
        <w:tc>
          <w:tcPr>
            <w:tcW w:w="989" w:type="dxa"/>
            <w:shd w:val="clear" w:color="auto" w:fill="auto"/>
            <w:vAlign w:val="center"/>
          </w:tcPr>
          <w:p w14:paraId="65A7A10F"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6ADAB814"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1A0B09" w14:paraId="1DE93281" w14:textId="77777777" w:rsidTr="008A4CE5">
        <w:trPr>
          <w:jc w:val="center"/>
        </w:trPr>
        <w:tc>
          <w:tcPr>
            <w:tcW w:w="906" w:type="dxa"/>
            <w:vMerge/>
            <w:shd w:val="clear" w:color="auto" w:fill="auto"/>
            <w:vAlign w:val="center"/>
          </w:tcPr>
          <w:p w14:paraId="75ABBBBD"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1A0B09" w:rsidRDefault="001A0B09">
            <w:pPr>
              <w:jc w:val="center"/>
              <w:rPr>
                <w:rFonts w:ascii="Times New Roman" w:hAnsi="Times New Roman"/>
                <w:sz w:val="18"/>
                <w:szCs w:val="18"/>
              </w:rPr>
            </w:pPr>
          </w:p>
        </w:tc>
        <w:tc>
          <w:tcPr>
            <w:tcW w:w="989" w:type="dxa"/>
            <w:shd w:val="clear" w:color="auto" w:fill="auto"/>
            <w:vAlign w:val="center"/>
          </w:tcPr>
          <w:p w14:paraId="49229C6B" w14:textId="77777777" w:rsidR="001A0B09"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4FD79E85"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1A0B09" w14:paraId="3A7C389C" w14:textId="77777777" w:rsidTr="008A4CE5">
        <w:trPr>
          <w:jc w:val="center"/>
        </w:trPr>
        <w:tc>
          <w:tcPr>
            <w:tcW w:w="906" w:type="dxa"/>
            <w:vMerge w:val="restart"/>
            <w:shd w:val="clear" w:color="auto" w:fill="auto"/>
            <w:vAlign w:val="center"/>
          </w:tcPr>
          <w:p w14:paraId="16433EB4"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1A0B09" w:rsidRDefault="00E145E1">
            <w:pPr>
              <w:spacing w:before="40" w:after="40"/>
              <w:rPr>
                <w:rFonts w:ascii="Times New Roman" w:hAnsi="Times New Roman"/>
                <w:sz w:val="18"/>
                <w:szCs w:val="18"/>
              </w:rPr>
            </w:pPr>
            <w:r>
              <w:rPr>
                <w:rFonts w:ascii="Times New Roman" w:hAnsi="Times New Roman"/>
                <w:sz w:val="18"/>
                <w:szCs w:val="18"/>
              </w:rPr>
              <w:t>Transakcja typu forward zawarta po dniu sprawozdawczym</w:t>
            </w:r>
          </w:p>
        </w:tc>
        <w:tc>
          <w:tcPr>
            <w:tcW w:w="989" w:type="dxa"/>
            <w:shd w:val="clear" w:color="auto" w:fill="auto"/>
            <w:vAlign w:val="center"/>
          </w:tcPr>
          <w:p w14:paraId="420C8E24"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76B5E0C1" w14:textId="77777777" w:rsidR="001A0B09" w:rsidRDefault="00E145E1">
            <w:pPr>
              <w:spacing w:before="40" w:after="40"/>
              <w:jc w:val="center"/>
              <w:rPr>
                <w:rFonts w:ascii="Times New Roman" w:hAnsi="Times New Roman"/>
                <w:sz w:val="18"/>
              </w:rPr>
            </w:pPr>
            <w:r>
              <w:rPr>
                <w:rFonts w:ascii="Times New Roman" w:hAnsi="Times New Roman"/>
                <w:sz w:val="18"/>
              </w:rPr>
              <w:t>Brak</w:t>
            </w:r>
          </w:p>
        </w:tc>
      </w:tr>
      <w:tr w:rsidR="001A0B09" w14:paraId="59795B99" w14:textId="77777777" w:rsidTr="008A4CE5">
        <w:trPr>
          <w:jc w:val="center"/>
        </w:trPr>
        <w:tc>
          <w:tcPr>
            <w:tcW w:w="906" w:type="dxa"/>
            <w:vMerge/>
            <w:shd w:val="clear" w:color="auto" w:fill="auto"/>
            <w:vAlign w:val="center"/>
          </w:tcPr>
          <w:p w14:paraId="4A94931C"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1A0B09" w:rsidRDefault="001A0B09">
            <w:pPr>
              <w:jc w:val="center"/>
              <w:rPr>
                <w:rFonts w:ascii="Times New Roman" w:hAnsi="Times New Roman"/>
                <w:sz w:val="18"/>
                <w:szCs w:val="18"/>
              </w:rPr>
            </w:pPr>
          </w:p>
        </w:tc>
        <w:tc>
          <w:tcPr>
            <w:tcW w:w="989" w:type="dxa"/>
            <w:shd w:val="clear" w:color="auto" w:fill="auto"/>
            <w:vAlign w:val="center"/>
          </w:tcPr>
          <w:p w14:paraId="65969BDA"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5DE5F1C8"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1A0B09" w14:paraId="47670A72" w14:textId="77777777" w:rsidTr="008A4CE5">
        <w:trPr>
          <w:jc w:val="center"/>
        </w:trPr>
        <w:tc>
          <w:tcPr>
            <w:tcW w:w="906" w:type="dxa"/>
            <w:vMerge w:val="restart"/>
            <w:shd w:val="clear" w:color="auto" w:fill="auto"/>
            <w:vAlign w:val="center"/>
          </w:tcPr>
          <w:p w14:paraId="1FBBE389"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1A0B09" w:rsidRDefault="00E145E1">
            <w:pPr>
              <w:spacing w:before="40" w:after="40"/>
              <w:rPr>
                <w:rFonts w:ascii="Times New Roman" w:hAnsi="Times New Roman"/>
                <w:sz w:val="18"/>
                <w:szCs w:val="18"/>
              </w:rPr>
            </w:pPr>
            <w:r>
              <w:rPr>
                <w:rFonts w:ascii="Times New Roman" w:hAnsi="Times New Roman"/>
                <w:sz w:val="18"/>
                <w:szCs w:val="18"/>
              </w:rPr>
              <w:t>Transakcje typu forward, których termin rozpoczęcia przypada w 30-dniowym horyzoncie czasowym, a termin zapadalności po 30-dniowym horyzoncie czasowym, jeżeli pierwsza część transakcji generuje wpływ netto</w:t>
            </w:r>
          </w:p>
        </w:tc>
        <w:tc>
          <w:tcPr>
            <w:tcW w:w="989" w:type="dxa"/>
            <w:shd w:val="clear" w:color="auto" w:fill="auto"/>
            <w:vAlign w:val="center"/>
          </w:tcPr>
          <w:p w14:paraId="66540689"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408B9F32" w14:textId="6BAC0652" w:rsidR="001A0B09" w:rsidRDefault="00E145E1">
            <w:pPr>
              <w:spacing w:before="40" w:after="40"/>
              <w:jc w:val="center"/>
              <w:rPr>
                <w:rFonts w:ascii="Times New Roman" w:hAnsi="Times New Roman"/>
                <w:sz w:val="18"/>
              </w:rPr>
            </w:pPr>
            <w:r>
              <w:rPr>
                <w:rFonts w:ascii="Times New Roman" w:hAnsi="Times New Roman"/>
                <w:sz w:val="18"/>
                <w:szCs w:val="18"/>
              </w:rPr>
              <w:t>Wiersz 260, pkt 1.1.11.</w:t>
            </w:r>
          </w:p>
        </w:tc>
      </w:tr>
      <w:tr w:rsidR="001A0B09" w14:paraId="4B0DCE7A" w14:textId="77777777" w:rsidTr="008A4CE5">
        <w:trPr>
          <w:jc w:val="center"/>
        </w:trPr>
        <w:tc>
          <w:tcPr>
            <w:tcW w:w="906" w:type="dxa"/>
            <w:vMerge/>
            <w:shd w:val="clear" w:color="auto" w:fill="auto"/>
            <w:vAlign w:val="center"/>
          </w:tcPr>
          <w:p w14:paraId="5708839D"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1A0B09" w:rsidRDefault="001A0B09">
            <w:pPr>
              <w:jc w:val="center"/>
              <w:rPr>
                <w:rFonts w:ascii="Times New Roman" w:hAnsi="Times New Roman"/>
                <w:sz w:val="18"/>
                <w:szCs w:val="18"/>
              </w:rPr>
            </w:pPr>
          </w:p>
        </w:tc>
        <w:tc>
          <w:tcPr>
            <w:tcW w:w="989" w:type="dxa"/>
            <w:shd w:val="clear" w:color="auto" w:fill="auto"/>
            <w:vAlign w:val="center"/>
          </w:tcPr>
          <w:p w14:paraId="3D3B4DCF"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2724D50B" w14:textId="417B6E7A" w:rsidR="001A0B09" w:rsidRDefault="00E145E1">
            <w:pPr>
              <w:widowControl w:val="0"/>
              <w:spacing w:before="32" w:after="0"/>
              <w:ind w:left="136"/>
              <w:jc w:val="center"/>
              <w:rPr>
                <w:rFonts w:ascii="Times New Roman" w:hAnsi="Times New Roman"/>
                <w:sz w:val="18"/>
                <w:szCs w:val="18"/>
              </w:rPr>
            </w:pPr>
            <w:r>
              <w:rPr>
                <w:rFonts w:ascii="Times New Roman" w:hAnsi="Times New Roman"/>
                <w:sz w:val="18"/>
              </w:rPr>
              <w:t>Brak</w:t>
            </w:r>
          </w:p>
        </w:tc>
      </w:tr>
      <w:tr w:rsidR="001A0B09" w14:paraId="67E83B0B" w14:textId="77777777" w:rsidTr="008A4CE5">
        <w:trPr>
          <w:jc w:val="center"/>
        </w:trPr>
        <w:tc>
          <w:tcPr>
            <w:tcW w:w="906" w:type="dxa"/>
            <w:vMerge w:val="restart"/>
            <w:shd w:val="clear" w:color="auto" w:fill="auto"/>
            <w:vAlign w:val="center"/>
          </w:tcPr>
          <w:p w14:paraId="6BB70319"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1A0B09" w:rsidRDefault="00E145E1">
            <w:pPr>
              <w:spacing w:before="40" w:after="40"/>
              <w:rPr>
                <w:rFonts w:ascii="Times New Roman" w:hAnsi="Times New Roman"/>
                <w:sz w:val="18"/>
                <w:szCs w:val="18"/>
              </w:rPr>
            </w:pPr>
            <w:r>
              <w:rPr>
                <w:rFonts w:ascii="Times New Roman" w:hAnsi="Times New Roman"/>
                <w:sz w:val="18"/>
                <w:szCs w:val="18"/>
              </w:rPr>
              <w:t>Wpływy w ramach grupy lub instytucjonalnego systemu ochrony</w:t>
            </w:r>
          </w:p>
        </w:tc>
        <w:tc>
          <w:tcPr>
            <w:tcW w:w="989" w:type="dxa"/>
            <w:shd w:val="clear" w:color="auto" w:fill="auto"/>
            <w:vAlign w:val="center"/>
          </w:tcPr>
          <w:p w14:paraId="55730E1A" w14:textId="77777777" w:rsidR="001A0B09" w:rsidRDefault="00E145E1">
            <w:pPr>
              <w:spacing w:before="40" w:after="40"/>
              <w:ind w:left="57"/>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39F0DA01"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1A0B09" w14:paraId="46AB761B" w14:textId="77777777" w:rsidTr="008A4CE5">
        <w:trPr>
          <w:jc w:val="center"/>
        </w:trPr>
        <w:tc>
          <w:tcPr>
            <w:tcW w:w="906" w:type="dxa"/>
            <w:vMerge/>
            <w:shd w:val="clear" w:color="auto" w:fill="auto"/>
            <w:vAlign w:val="center"/>
          </w:tcPr>
          <w:p w14:paraId="532DF74D"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1A0B09" w:rsidRDefault="001A0B09">
            <w:pPr>
              <w:jc w:val="center"/>
              <w:rPr>
                <w:rFonts w:ascii="Times New Roman" w:hAnsi="Times New Roman"/>
                <w:sz w:val="18"/>
                <w:szCs w:val="18"/>
              </w:rPr>
            </w:pPr>
          </w:p>
        </w:tc>
        <w:tc>
          <w:tcPr>
            <w:tcW w:w="989" w:type="dxa"/>
            <w:shd w:val="clear" w:color="auto" w:fill="auto"/>
            <w:vAlign w:val="center"/>
          </w:tcPr>
          <w:p w14:paraId="1AF7CE8B"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2FBB7CB2"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1A0B09" w14:paraId="6F1244E3" w14:textId="77777777" w:rsidTr="008A4CE5">
        <w:trPr>
          <w:trHeight w:val="369"/>
          <w:jc w:val="center"/>
        </w:trPr>
        <w:tc>
          <w:tcPr>
            <w:tcW w:w="906" w:type="dxa"/>
            <w:vMerge w:val="restart"/>
            <w:shd w:val="clear" w:color="auto" w:fill="auto"/>
            <w:vAlign w:val="center"/>
          </w:tcPr>
          <w:p w14:paraId="3ADEC18D"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1A0B09" w:rsidRDefault="00E145E1">
            <w:pPr>
              <w:spacing w:before="40" w:after="40"/>
              <w:rPr>
                <w:rFonts w:ascii="Times New Roman" w:hAnsi="Times New Roman"/>
                <w:sz w:val="18"/>
                <w:szCs w:val="18"/>
              </w:rPr>
            </w:pPr>
            <w:r>
              <w:rPr>
                <w:rFonts w:ascii="Times New Roman" w:hAnsi="Times New Roman"/>
                <w:sz w:val="18"/>
                <w:szCs w:val="18"/>
              </w:rPr>
              <w:t>Wpływy z niewykorzystanych instrumentów kredytowych lub instrumentów wsparcia płynności otrzymanych od członków grupy lub instytucjonalnego systemu ochrony, jeżeli właściwy organ wyraził zgodę na stosowanie wyższego wskaźnika wpływów (art. 34)</w:t>
            </w:r>
          </w:p>
        </w:tc>
        <w:tc>
          <w:tcPr>
            <w:tcW w:w="989" w:type="dxa"/>
            <w:shd w:val="clear" w:color="auto" w:fill="auto"/>
            <w:vAlign w:val="center"/>
          </w:tcPr>
          <w:p w14:paraId="2C542346" w14:textId="77777777" w:rsidR="001A0B09" w:rsidRDefault="00E145E1">
            <w:pPr>
              <w:spacing w:before="40" w:after="40"/>
              <w:ind w:left="57"/>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32D9F82A" w14:textId="374A0D5F" w:rsidR="001A0B09" w:rsidRDefault="00E145E1">
            <w:pPr>
              <w:spacing w:before="40" w:after="40"/>
              <w:jc w:val="center"/>
              <w:rPr>
                <w:rFonts w:ascii="Times New Roman" w:hAnsi="Times New Roman"/>
                <w:sz w:val="18"/>
                <w:szCs w:val="18"/>
              </w:rPr>
            </w:pPr>
            <w:r>
              <w:rPr>
                <w:rFonts w:ascii="Times New Roman" w:hAnsi="Times New Roman"/>
                <w:sz w:val="18"/>
                <w:szCs w:val="18"/>
              </w:rPr>
              <w:t>Wiersz 250, pkt 1.1.10.</w:t>
            </w:r>
          </w:p>
        </w:tc>
      </w:tr>
      <w:tr w:rsidR="001A0B09" w14:paraId="663EAFD3" w14:textId="77777777" w:rsidTr="008A4CE5">
        <w:trPr>
          <w:trHeight w:val="369"/>
          <w:jc w:val="center"/>
        </w:trPr>
        <w:tc>
          <w:tcPr>
            <w:tcW w:w="906" w:type="dxa"/>
            <w:vMerge/>
            <w:shd w:val="clear" w:color="auto" w:fill="auto"/>
            <w:vAlign w:val="center"/>
          </w:tcPr>
          <w:p w14:paraId="2AE9AC4E"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1A0B09" w:rsidRDefault="001A0B09">
            <w:pPr>
              <w:jc w:val="center"/>
              <w:rPr>
                <w:rFonts w:ascii="Times New Roman" w:hAnsi="Times New Roman"/>
                <w:sz w:val="18"/>
                <w:szCs w:val="18"/>
              </w:rPr>
            </w:pPr>
          </w:p>
        </w:tc>
        <w:tc>
          <w:tcPr>
            <w:tcW w:w="989" w:type="dxa"/>
            <w:shd w:val="clear" w:color="auto" w:fill="auto"/>
            <w:vAlign w:val="center"/>
          </w:tcPr>
          <w:p w14:paraId="1FE549EB"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3A519144"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1A0B09" w14:paraId="7E8B0952" w14:textId="77777777" w:rsidTr="008A4CE5">
        <w:trPr>
          <w:jc w:val="center"/>
        </w:trPr>
        <w:tc>
          <w:tcPr>
            <w:tcW w:w="906" w:type="dxa"/>
            <w:vMerge w:val="restart"/>
            <w:shd w:val="clear" w:color="auto" w:fill="auto"/>
            <w:vAlign w:val="center"/>
          </w:tcPr>
          <w:p w14:paraId="0DEC0E7E"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1A0B09" w:rsidRDefault="00E145E1">
            <w:pPr>
              <w:spacing w:before="40" w:after="40"/>
              <w:rPr>
                <w:rFonts w:ascii="Times New Roman" w:hAnsi="Times New Roman"/>
                <w:sz w:val="18"/>
                <w:szCs w:val="18"/>
              </w:rPr>
            </w:pPr>
            <w:r>
              <w:rPr>
                <w:rFonts w:ascii="Times New Roman" w:hAnsi="Times New Roman"/>
                <w:sz w:val="18"/>
                <w:szCs w:val="18"/>
              </w:rPr>
              <w:t>Wpływy z zabezpieczonych transakcji kredytowych i transakcji opartych na rynku kapitałowym, z wyłączeniem instrumentów pochodnych (art. 32 ust. 3 lit. b)–c) i e)–f))</w:t>
            </w:r>
          </w:p>
        </w:tc>
        <w:tc>
          <w:tcPr>
            <w:tcW w:w="989" w:type="dxa"/>
            <w:shd w:val="clear" w:color="auto" w:fill="auto"/>
            <w:vAlign w:val="center"/>
          </w:tcPr>
          <w:p w14:paraId="4CA8246E"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698A6D2B"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1A0B09" w14:paraId="6D13146F" w14:textId="77777777" w:rsidTr="008A4CE5">
        <w:trPr>
          <w:jc w:val="center"/>
        </w:trPr>
        <w:tc>
          <w:tcPr>
            <w:tcW w:w="906" w:type="dxa"/>
            <w:vMerge/>
            <w:shd w:val="clear" w:color="auto" w:fill="auto"/>
            <w:vAlign w:val="center"/>
          </w:tcPr>
          <w:p w14:paraId="36F194E9"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1A0B09" w:rsidRDefault="001A0B09">
            <w:pPr>
              <w:jc w:val="center"/>
              <w:rPr>
                <w:rFonts w:ascii="Times New Roman" w:hAnsi="Times New Roman"/>
                <w:sz w:val="18"/>
                <w:szCs w:val="18"/>
              </w:rPr>
            </w:pPr>
          </w:p>
        </w:tc>
        <w:tc>
          <w:tcPr>
            <w:tcW w:w="989" w:type="dxa"/>
            <w:shd w:val="clear" w:color="auto" w:fill="auto"/>
            <w:vAlign w:val="center"/>
          </w:tcPr>
          <w:p w14:paraId="7D51C567"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450F0A83"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1A0B09" w14:paraId="67184AEF" w14:textId="77777777" w:rsidTr="008A4CE5">
        <w:trPr>
          <w:jc w:val="center"/>
        </w:trPr>
        <w:tc>
          <w:tcPr>
            <w:tcW w:w="906" w:type="dxa"/>
            <w:vMerge w:val="restart"/>
            <w:shd w:val="clear" w:color="auto" w:fill="auto"/>
            <w:vAlign w:val="center"/>
          </w:tcPr>
          <w:p w14:paraId="1003E628"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1A0B09" w:rsidRDefault="00E145E1">
            <w:pPr>
              <w:spacing w:before="40" w:after="40"/>
              <w:rPr>
                <w:rFonts w:ascii="Times New Roman" w:hAnsi="Times New Roman"/>
                <w:sz w:val="18"/>
                <w:szCs w:val="18"/>
              </w:rPr>
            </w:pPr>
            <w:r>
              <w:rPr>
                <w:rFonts w:ascii="Times New Roman" w:hAnsi="Times New Roman"/>
                <w:sz w:val="18"/>
                <w:szCs w:val="18"/>
              </w:rPr>
              <w:t>Środki pieniężne należne z tytułu papierów wartościowych, których termin zapadalności upływa w ciągu 30 dni kalendarzowych (art. 32 ust. 2 lit. c))</w:t>
            </w:r>
          </w:p>
        </w:tc>
        <w:tc>
          <w:tcPr>
            <w:tcW w:w="989" w:type="dxa"/>
            <w:shd w:val="clear" w:color="auto" w:fill="auto"/>
            <w:vAlign w:val="center"/>
          </w:tcPr>
          <w:p w14:paraId="4474E628" w14:textId="77777777" w:rsidR="001A0B09" w:rsidRDefault="00E145E1">
            <w:pPr>
              <w:spacing w:before="40" w:after="40"/>
              <w:ind w:left="57"/>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53AE7701"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190, pkt 1.1.5.</w:t>
            </w:r>
          </w:p>
        </w:tc>
      </w:tr>
      <w:tr w:rsidR="001A0B09" w14:paraId="6F7FD67F" w14:textId="77777777" w:rsidTr="008A4CE5">
        <w:trPr>
          <w:jc w:val="center"/>
        </w:trPr>
        <w:tc>
          <w:tcPr>
            <w:tcW w:w="906" w:type="dxa"/>
            <w:vMerge/>
            <w:shd w:val="clear" w:color="auto" w:fill="auto"/>
            <w:vAlign w:val="center"/>
          </w:tcPr>
          <w:p w14:paraId="29FFB068"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1A0B09" w:rsidRDefault="001A0B09">
            <w:pPr>
              <w:jc w:val="center"/>
              <w:rPr>
                <w:rFonts w:ascii="Times New Roman" w:hAnsi="Times New Roman"/>
                <w:sz w:val="18"/>
                <w:szCs w:val="18"/>
              </w:rPr>
            </w:pPr>
          </w:p>
        </w:tc>
        <w:tc>
          <w:tcPr>
            <w:tcW w:w="989" w:type="dxa"/>
            <w:shd w:val="clear" w:color="auto" w:fill="auto"/>
            <w:vAlign w:val="center"/>
          </w:tcPr>
          <w:p w14:paraId="385CCE33"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5B5F3BA4"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1A0B09" w14:paraId="241142A9" w14:textId="77777777" w:rsidTr="008A4CE5">
        <w:trPr>
          <w:jc w:val="center"/>
        </w:trPr>
        <w:tc>
          <w:tcPr>
            <w:tcW w:w="906" w:type="dxa"/>
            <w:vMerge w:val="restart"/>
            <w:shd w:val="clear" w:color="auto" w:fill="auto"/>
            <w:vAlign w:val="center"/>
          </w:tcPr>
          <w:p w14:paraId="1654B0C3"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1A0B09" w:rsidRDefault="00E145E1">
            <w:pPr>
              <w:spacing w:before="40" w:after="40"/>
              <w:rPr>
                <w:rFonts w:ascii="Times New Roman" w:hAnsi="Times New Roman"/>
                <w:sz w:val="18"/>
                <w:szCs w:val="18"/>
              </w:rPr>
            </w:pPr>
            <w:r>
              <w:rPr>
                <w:rFonts w:ascii="Times New Roman" w:hAnsi="Times New Roman"/>
                <w:sz w:val="18"/>
                <w:szCs w:val="18"/>
              </w:rPr>
              <w:t>Środki pieniężne należne z tytułu transakcji finansowania handlu, których rezydualny termin zapadalności jest nie dłuższy niż 30 dni (art. 32 ust. 2 lit. b))</w:t>
            </w:r>
          </w:p>
        </w:tc>
        <w:tc>
          <w:tcPr>
            <w:tcW w:w="989" w:type="dxa"/>
            <w:shd w:val="clear" w:color="auto" w:fill="auto"/>
            <w:vAlign w:val="center"/>
          </w:tcPr>
          <w:p w14:paraId="1387418C" w14:textId="77777777" w:rsidR="001A0B09" w:rsidRDefault="00E145E1">
            <w:pPr>
              <w:spacing w:before="40" w:after="40"/>
              <w:ind w:left="57"/>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46EA42CB"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180, pkt 1.1.4.</w:t>
            </w:r>
          </w:p>
        </w:tc>
      </w:tr>
      <w:tr w:rsidR="001A0B09" w14:paraId="525D91FB" w14:textId="77777777" w:rsidTr="008A4CE5">
        <w:trPr>
          <w:jc w:val="center"/>
        </w:trPr>
        <w:tc>
          <w:tcPr>
            <w:tcW w:w="906" w:type="dxa"/>
            <w:vMerge/>
            <w:shd w:val="clear" w:color="auto" w:fill="auto"/>
            <w:vAlign w:val="center"/>
          </w:tcPr>
          <w:p w14:paraId="453709DD"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1A0B09" w:rsidRDefault="001A0B09">
            <w:pPr>
              <w:jc w:val="center"/>
              <w:rPr>
                <w:rFonts w:ascii="Times New Roman" w:hAnsi="Times New Roman"/>
                <w:sz w:val="18"/>
                <w:szCs w:val="18"/>
              </w:rPr>
            </w:pPr>
          </w:p>
        </w:tc>
        <w:tc>
          <w:tcPr>
            <w:tcW w:w="989" w:type="dxa"/>
            <w:shd w:val="clear" w:color="auto" w:fill="auto"/>
            <w:vAlign w:val="center"/>
          </w:tcPr>
          <w:p w14:paraId="7C0B81D7"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6081105C"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1A0B09" w14:paraId="0CD605AD" w14:textId="77777777" w:rsidTr="008A4CE5">
        <w:trPr>
          <w:jc w:val="center"/>
        </w:trPr>
        <w:tc>
          <w:tcPr>
            <w:tcW w:w="906" w:type="dxa"/>
            <w:vMerge w:val="restart"/>
            <w:shd w:val="clear" w:color="auto" w:fill="auto"/>
            <w:vAlign w:val="center"/>
          </w:tcPr>
          <w:p w14:paraId="6AB62DFC"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1A0B09" w:rsidRDefault="00E145E1">
            <w:pPr>
              <w:spacing w:before="40" w:after="40"/>
              <w:rPr>
                <w:rFonts w:ascii="Times New Roman" w:hAnsi="Times New Roman"/>
                <w:sz w:val="18"/>
                <w:szCs w:val="18"/>
              </w:rPr>
            </w:pPr>
            <w:r>
              <w:rPr>
                <w:rFonts w:ascii="Times New Roman" w:hAnsi="Times New Roman"/>
                <w:sz w:val="18"/>
                <w:szCs w:val="18"/>
              </w:rPr>
              <w:t>Kredyty, których termin zapadalności nie został określony w umowie (art. 32 ust. 3 lit. i))</w:t>
            </w:r>
          </w:p>
        </w:tc>
        <w:tc>
          <w:tcPr>
            <w:tcW w:w="989" w:type="dxa"/>
            <w:shd w:val="clear" w:color="auto" w:fill="auto"/>
            <w:vAlign w:val="center"/>
          </w:tcPr>
          <w:p w14:paraId="607E470B" w14:textId="77777777" w:rsidR="001A0B09" w:rsidRDefault="00E145E1">
            <w:pPr>
              <w:spacing w:before="40" w:after="40"/>
              <w:ind w:left="57"/>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67784AAF"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1A0B09" w14:paraId="7664B6D5" w14:textId="77777777" w:rsidTr="008A4CE5">
        <w:trPr>
          <w:jc w:val="center"/>
        </w:trPr>
        <w:tc>
          <w:tcPr>
            <w:tcW w:w="906" w:type="dxa"/>
            <w:vMerge/>
            <w:shd w:val="clear" w:color="auto" w:fill="auto"/>
            <w:vAlign w:val="center"/>
          </w:tcPr>
          <w:p w14:paraId="09A4791F"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1A0B09" w:rsidRDefault="001A0B09">
            <w:pPr>
              <w:jc w:val="center"/>
              <w:rPr>
                <w:rFonts w:ascii="Times New Roman" w:hAnsi="Times New Roman"/>
                <w:sz w:val="18"/>
                <w:szCs w:val="18"/>
              </w:rPr>
            </w:pPr>
          </w:p>
        </w:tc>
        <w:tc>
          <w:tcPr>
            <w:tcW w:w="989" w:type="dxa"/>
            <w:shd w:val="clear" w:color="auto" w:fill="auto"/>
            <w:vAlign w:val="center"/>
          </w:tcPr>
          <w:p w14:paraId="4823D2AC"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2155DF50"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1A0B09" w14:paraId="7667A40C" w14:textId="77777777" w:rsidTr="008A4CE5">
        <w:trPr>
          <w:trHeight w:val="369"/>
          <w:jc w:val="center"/>
        </w:trPr>
        <w:tc>
          <w:tcPr>
            <w:tcW w:w="906" w:type="dxa"/>
            <w:vMerge w:val="restart"/>
            <w:shd w:val="clear" w:color="auto" w:fill="auto"/>
            <w:vAlign w:val="center"/>
          </w:tcPr>
          <w:p w14:paraId="10C7011E" w14:textId="77777777" w:rsidR="001A0B09"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1A0B09" w:rsidRDefault="00E145E1">
            <w:pPr>
              <w:spacing w:before="40" w:after="40"/>
              <w:rPr>
                <w:rFonts w:ascii="Times New Roman" w:hAnsi="Times New Roman"/>
                <w:sz w:val="18"/>
                <w:szCs w:val="18"/>
              </w:rPr>
            </w:pPr>
            <w:r>
              <w:rPr>
                <w:rFonts w:ascii="Times New Roman" w:hAnsi="Times New Roman"/>
                <w:sz w:val="18"/>
                <w:szCs w:val="18"/>
              </w:rPr>
              <w:t>Odsetki i minimalne spłaty z tytułu kredytów, których termin zapadalności nie został określony w umowie, które stają się wymagalne na mocy umowy i które podlegają faktycznym wpływom pieniężnym w ciągu najbliższych 30 dni kalendarzowych</w:t>
            </w:r>
          </w:p>
        </w:tc>
        <w:tc>
          <w:tcPr>
            <w:tcW w:w="989" w:type="dxa"/>
            <w:shd w:val="clear" w:color="auto" w:fill="auto"/>
            <w:vAlign w:val="center"/>
          </w:tcPr>
          <w:p w14:paraId="564A15F5" w14:textId="77777777" w:rsidR="001A0B09" w:rsidRDefault="00E145E1">
            <w:pPr>
              <w:spacing w:before="40" w:after="40"/>
              <w:ind w:left="57"/>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73394060"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1A0B09" w14:paraId="34E10097" w14:textId="77777777" w:rsidTr="008A4CE5">
        <w:trPr>
          <w:trHeight w:val="369"/>
          <w:jc w:val="center"/>
        </w:trPr>
        <w:tc>
          <w:tcPr>
            <w:tcW w:w="906" w:type="dxa"/>
            <w:vMerge/>
            <w:shd w:val="clear" w:color="auto" w:fill="auto"/>
            <w:vAlign w:val="center"/>
          </w:tcPr>
          <w:p w14:paraId="010D6643" w14:textId="77777777" w:rsidR="001A0B09" w:rsidRDefault="001A0B09">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1A0B09" w:rsidRDefault="001A0B09">
            <w:pPr>
              <w:spacing w:before="40" w:after="40"/>
              <w:rPr>
                <w:rFonts w:ascii="Times New Roman" w:hAnsi="Times New Roman"/>
                <w:sz w:val="18"/>
                <w:szCs w:val="18"/>
              </w:rPr>
            </w:pPr>
          </w:p>
        </w:tc>
        <w:tc>
          <w:tcPr>
            <w:tcW w:w="989" w:type="dxa"/>
            <w:shd w:val="clear" w:color="auto" w:fill="auto"/>
            <w:vAlign w:val="center"/>
          </w:tcPr>
          <w:p w14:paraId="21F9FD80" w14:textId="77777777" w:rsidR="001A0B09" w:rsidRDefault="00E145E1">
            <w:pPr>
              <w:spacing w:before="40" w:after="4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0E7EE341"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200, pkt 1.1.6.</w:t>
            </w:r>
          </w:p>
        </w:tc>
      </w:tr>
      <w:tr w:rsidR="001A0B09" w14:paraId="0D452CB5" w14:textId="77777777" w:rsidTr="008A4CE5">
        <w:trPr>
          <w:jc w:val="center"/>
        </w:trPr>
        <w:tc>
          <w:tcPr>
            <w:tcW w:w="906" w:type="dxa"/>
            <w:vMerge w:val="restart"/>
            <w:shd w:val="clear" w:color="auto" w:fill="auto"/>
            <w:vAlign w:val="center"/>
          </w:tcPr>
          <w:p w14:paraId="36E081BD"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1A0B09" w:rsidRDefault="00E145E1">
            <w:pPr>
              <w:spacing w:before="40" w:after="40"/>
              <w:rPr>
                <w:rFonts w:ascii="Times New Roman" w:hAnsi="Times New Roman"/>
                <w:sz w:val="18"/>
                <w:szCs w:val="18"/>
              </w:rPr>
            </w:pPr>
            <w:r>
              <w:rPr>
                <w:rFonts w:ascii="Times New Roman" w:hAnsi="Times New Roman"/>
                <w:sz w:val="18"/>
                <w:szCs w:val="18"/>
              </w:rPr>
              <w:t>Środki pieniężne należne z tytułu pozycji w instrumentach kapitałowych objętych głównym indeksem, pod warunkiem że nie występuje podwójne naliczanie z aktywami płynnymi (art. 32 ust. 2 lit. d))</w:t>
            </w:r>
          </w:p>
        </w:tc>
        <w:tc>
          <w:tcPr>
            <w:tcW w:w="989" w:type="dxa"/>
            <w:shd w:val="clear" w:color="auto" w:fill="auto"/>
            <w:vAlign w:val="center"/>
          </w:tcPr>
          <w:p w14:paraId="29532E5B" w14:textId="77777777" w:rsidR="001A0B09" w:rsidRDefault="00E145E1">
            <w:pPr>
              <w:spacing w:before="40" w:after="40"/>
              <w:ind w:left="57"/>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77262422"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210, pkt 1.1.7.</w:t>
            </w:r>
          </w:p>
        </w:tc>
      </w:tr>
      <w:tr w:rsidR="001A0B09" w14:paraId="610FD9CC" w14:textId="77777777" w:rsidTr="008A4CE5">
        <w:trPr>
          <w:jc w:val="center"/>
        </w:trPr>
        <w:tc>
          <w:tcPr>
            <w:tcW w:w="906" w:type="dxa"/>
            <w:vMerge/>
            <w:shd w:val="clear" w:color="auto" w:fill="auto"/>
            <w:vAlign w:val="center"/>
          </w:tcPr>
          <w:p w14:paraId="31D0D513"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1A0B09" w:rsidRDefault="001A0B09">
            <w:pPr>
              <w:jc w:val="center"/>
              <w:rPr>
                <w:rFonts w:ascii="Times New Roman" w:hAnsi="Times New Roman"/>
                <w:sz w:val="18"/>
                <w:szCs w:val="18"/>
              </w:rPr>
            </w:pPr>
          </w:p>
        </w:tc>
        <w:tc>
          <w:tcPr>
            <w:tcW w:w="989" w:type="dxa"/>
            <w:shd w:val="clear" w:color="auto" w:fill="auto"/>
            <w:vAlign w:val="center"/>
          </w:tcPr>
          <w:p w14:paraId="793F14AB" w14:textId="77777777" w:rsidR="001A0B09"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0408CF92"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1A0B09" w14:paraId="70AC5F60" w14:textId="77777777" w:rsidTr="008A4CE5">
        <w:trPr>
          <w:trHeight w:val="369"/>
          <w:jc w:val="center"/>
        </w:trPr>
        <w:tc>
          <w:tcPr>
            <w:tcW w:w="906" w:type="dxa"/>
            <w:vMerge w:val="restart"/>
            <w:shd w:val="clear" w:color="auto" w:fill="auto"/>
            <w:vAlign w:val="center"/>
          </w:tcPr>
          <w:p w14:paraId="38234512"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1A0B09" w:rsidRDefault="00E145E1">
            <w:pPr>
              <w:spacing w:before="40" w:after="40"/>
              <w:rPr>
                <w:rFonts w:ascii="Times New Roman" w:hAnsi="Times New Roman"/>
                <w:sz w:val="18"/>
                <w:szCs w:val="18"/>
              </w:rPr>
            </w:pPr>
            <w:r>
              <w:rPr>
                <w:rFonts w:ascii="Times New Roman" w:hAnsi="Times New Roman"/>
                <w:sz w:val="18"/>
                <w:szCs w:val="18"/>
              </w:rPr>
              <w:t>Wpływy z uwolnionych kwot posiadanych na oddzielnych rachunkach zgodnie z wymogami regulacyjnymi w zakresie ochrony aktywów klienta przeznaczonych do obrotu (art. 32 ust. 4)</w:t>
            </w:r>
          </w:p>
        </w:tc>
        <w:tc>
          <w:tcPr>
            <w:tcW w:w="989" w:type="dxa"/>
            <w:shd w:val="clear" w:color="auto" w:fill="auto"/>
            <w:vAlign w:val="center"/>
          </w:tcPr>
          <w:p w14:paraId="55E3B2A7"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1B499380" w14:textId="41590E97" w:rsidR="001A0B09" w:rsidRDefault="00E145E1">
            <w:pPr>
              <w:spacing w:before="40" w:after="40"/>
              <w:jc w:val="center"/>
              <w:rPr>
                <w:rFonts w:ascii="Times New Roman" w:hAnsi="Times New Roman"/>
                <w:sz w:val="18"/>
                <w:szCs w:val="18"/>
              </w:rPr>
            </w:pPr>
            <w:r>
              <w:rPr>
                <w:rFonts w:ascii="Times New Roman" w:hAnsi="Times New Roman"/>
                <w:sz w:val="18"/>
                <w:szCs w:val="18"/>
              </w:rPr>
              <w:t>Wiersz 230, pkt 1.1.8.</w:t>
            </w:r>
          </w:p>
        </w:tc>
      </w:tr>
      <w:tr w:rsidR="001A0B09" w14:paraId="591B91AD" w14:textId="77777777" w:rsidTr="008A4CE5">
        <w:trPr>
          <w:trHeight w:val="369"/>
          <w:jc w:val="center"/>
        </w:trPr>
        <w:tc>
          <w:tcPr>
            <w:tcW w:w="906" w:type="dxa"/>
            <w:vMerge/>
            <w:shd w:val="clear" w:color="auto" w:fill="auto"/>
            <w:vAlign w:val="center"/>
          </w:tcPr>
          <w:p w14:paraId="1FD3E9D3"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1A0B09" w:rsidRDefault="001A0B09">
            <w:pPr>
              <w:jc w:val="center"/>
              <w:rPr>
                <w:rFonts w:ascii="Times New Roman" w:hAnsi="Times New Roman"/>
                <w:sz w:val="18"/>
                <w:szCs w:val="18"/>
              </w:rPr>
            </w:pPr>
          </w:p>
        </w:tc>
        <w:tc>
          <w:tcPr>
            <w:tcW w:w="989" w:type="dxa"/>
            <w:shd w:val="clear" w:color="auto" w:fill="auto"/>
            <w:vAlign w:val="center"/>
          </w:tcPr>
          <w:p w14:paraId="5AC084FB"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26BA6E06"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1A0B09" w14:paraId="08586203" w14:textId="77777777" w:rsidTr="008A4CE5">
        <w:trPr>
          <w:jc w:val="center"/>
        </w:trPr>
        <w:tc>
          <w:tcPr>
            <w:tcW w:w="906" w:type="dxa"/>
            <w:vMerge w:val="restart"/>
            <w:shd w:val="clear" w:color="auto" w:fill="auto"/>
            <w:vAlign w:val="center"/>
          </w:tcPr>
          <w:p w14:paraId="11B08E37"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1A0B09" w:rsidRDefault="00E145E1">
            <w:pPr>
              <w:spacing w:before="40" w:after="40"/>
              <w:rPr>
                <w:rFonts w:ascii="Times New Roman" w:hAnsi="Times New Roman"/>
                <w:sz w:val="18"/>
                <w:szCs w:val="18"/>
              </w:rPr>
            </w:pPr>
            <w:r>
              <w:rPr>
                <w:rFonts w:ascii="Times New Roman" w:hAnsi="Times New Roman"/>
                <w:sz w:val="18"/>
                <w:szCs w:val="18"/>
              </w:rPr>
              <w:t>Wpływy pieniężne netto z tytułu instrumentów pochodnych kompensowane w ramach kontrahentów i przy uwzględnieniu zabezpieczeń (art. 32 ust. 5)</w:t>
            </w:r>
          </w:p>
        </w:tc>
        <w:tc>
          <w:tcPr>
            <w:tcW w:w="989" w:type="dxa"/>
            <w:shd w:val="clear" w:color="auto" w:fill="auto"/>
            <w:vAlign w:val="center"/>
          </w:tcPr>
          <w:p w14:paraId="3C76BF5B"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3297E5D1" w14:textId="05A6EB13" w:rsidR="001A0B09" w:rsidRDefault="00E145E1">
            <w:pPr>
              <w:spacing w:before="40" w:after="40"/>
              <w:jc w:val="center"/>
              <w:rPr>
                <w:rFonts w:ascii="Times New Roman" w:hAnsi="Times New Roman"/>
                <w:sz w:val="18"/>
                <w:szCs w:val="18"/>
              </w:rPr>
            </w:pPr>
            <w:r>
              <w:rPr>
                <w:rFonts w:ascii="Times New Roman" w:hAnsi="Times New Roman"/>
                <w:sz w:val="18"/>
                <w:szCs w:val="18"/>
              </w:rPr>
              <w:t>Wiersz 240, pkt 1.1.9.</w:t>
            </w:r>
          </w:p>
        </w:tc>
      </w:tr>
      <w:tr w:rsidR="001A0B09" w14:paraId="187811E9" w14:textId="77777777" w:rsidTr="008A4CE5">
        <w:trPr>
          <w:jc w:val="center"/>
        </w:trPr>
        <w:tc>
          <w:tcPr>
            <w:tcW w:w="906" w:type="dxa"/>
            <w:vMerge/>
            <w:shd w:val="clear" w:color="auto" w:fill="auto"/>
            <w:vAlign w:val="center"/>
          </w:tcPr>
          <w:p w14:paraId="41B4D3D3"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1A0B09" w:rsidRDefault="001A0B09">
            <w:pPr>
              <w:jc w:val="center"/>
              <w:rPr>
                <w:rFonts w:ascii="Times New Roman" w:hAnsi="Times New Roman"/>
                <w:sz w:val="18"/>
                <w:szCs w:val="18"/>
              </w:rPr>
            </w:pPr>
          </w:p>
        </w:tc>
        <w:tc>
          <w:tcPr>
            <w:tcW w:w="989" w:type="dxa"/>
            <w:shd w:val="clear" w:color="auto" w:fill="auto"/>
            <w:vAlign w:val="center"/>
          </w:tcPr>
          <w:p w14:paraId="14CA19A0"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2845CA8B"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1A0B09" w14:paraId="1159B9A9" w14:textId="77777777" w:rsidTr="008A4CE5">
        <w:trPr>
          <w:jc w:val="center"/>
        </w:trPr>
        <w:tc>
          <w:tcPr>
            <w:tcW w:w="906" w:type="dxa"/>
            <w:vMerge w:val="restart"/>
            <w:shd w:val="clear" w:color="auto" w:fill="auto"/>
            <w:vAlign w:val="center"/>
          </w:tcPr>
          <w:p w14:paraId="5153E233"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1A0B09" w:rsidRDefault="00E145E1">
            <w:pPr>
              <w:spacing w:before="40" w:after="40"/>
              <w:rPr>
                <w:rFonts w:ascii="Times New Roman" w:hAnsi="Times New Roman"/>
                <w:sz w:val="18"/>
                <w:szCs w:val="18"/>
              </w:rPr>
            </w:pPr>
            <w:r>
              <w:rPr>
                <w:rFonts w:ascii="Times New Roman" w:hAnsi="Times New Roman"/>
                <w:sz w:val="18"/>
                <w:szCs w:val="18"/>
              </w:rPr>
              <w:t>Wpływy dotyczące wypływów w związku ze zobowiązaniem do udzielenia kredytu preferencyjnego, o którym mowa w art. 31 ust. 9 (art. 32 ust. 3 lit. a))</w:t>
            </w:r>
          </w:p>
        </w:tc>
        <w:tc>
          <w:tcPr>
            <w:tcW w:w="989" w:type="dxa"/>
            <w:shd w:val="clear" w:color="auto" w:fill="auto"/>
            <w:vAlign w:val="center"/>
          </w:tcPr>
          <w:p w14:paraId="616D5189"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39DDE9A9" w14:textId="3D1FB08B" w:rsidR="001A0B09" w:rsidRDefault="00E145E1">
            <w:pPr>
              <w:spacing w:before="40" w:after="40"/>
              <w:jc w:val="center"/>
              <w:rPr>
                <w:rFonts w:ascii="Times New Roman" w:hAnsi="Times New Roman"/>
                <w:sz w:val="18"/>
                <w:szCs w:val="18"/>
              </w:rPr>
            </w:pPr>
            <w:r>
              <w:rPr>
                <w:rFonts w:ascii="Times New Roman" w:hAnsi="Times New Roman"/>
                <w:sz w:val="18"/>
                <w:szCs w:val="18"/>
              </w:rPr>
              <w:t>Wiersz 170, pkt 1.1.3.</w:t>
            </w:r>
          </w:p>
        </w:tc>
      </w:tr>
      <w:tr w:rsidR="001A0B09" w14:paraId="41AA043E" w14:textId="77777777" w:rsidTr="008A4CE5">
        <w:trPr>
          <w:jc w:val="center"/>
        </w:trPr>
        <w:tc>
          <w:tcPr>
            <w:tcW w:w="906" w:type="dxa"/>
            <w:vMerge/>
            <w:shd w:val="clear" w:color="auto" w:fill="auto"/>
            <w:vAlign w:val="center"/>
          </w:tcPr>
          <w:p w14:paraId="3A3443E3"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1A0B09" w:rsidRDefault="001A0B09">
            <w:pPr>
              <w:jc w:val="center"/>
              <w:rPr>
                <w:rFonts w:ascii="Times New Roman" w:hAnsi="Times New Roman"/>
                <w:sz w:val="18"/>
                <w:szCs w:val="18"/>
              </w:rPr>
            </w:pPr>
          </w:p>
        </w:tc>
        <w:tc>
          <w:tcPr>
            <w:tcW w:w="989" w:type="dxa"/>
            <w:shd w:val="clear" w:color="auto" w:fill="auto"/>
            <w:vAlign w:val="center"/>
          </w:tcPr>
          <w:p w14:paraId="36DA7444"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75AB24A7"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1A0B09" w14:paraId="14228315" w14:textId="77777777" w:rsidTr="008A4CE5">
        <w:trPr>
          <w:jc w:val="center"/>
        </w:trPr>
        <w:tc>
          <w:tcPr>
            <w:tcW w:w="906" w:type="dxa"/>
            <w:vMerge w:val="restart"/>
            <w:shd w:val="clear" w:color="auto" w:fill="auto"/>
            <w:vAlign w:val="center"/>
          </w:tcPr>
          <w:p w14:paraId="327195D1"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1A0B09" w:rsidRDefault="00E145E1">
            <w:pPr>
              <w:spacing w:before="40" w:after="40"/>
              <w:rPr>
                <w:rFonts w:ascii="Times New Roman" w:hAnsi="Times New Roman"/>
                <w:sz w:val="18"/>
                <w:szCs w:val="18"/>
              </w:rPr>
            </w:pPr>
            <w:r>
              <w:rPr>
                <w:rFonts w:ascii="Times New Roman" w:hAnsi="Times New Roman"/>
                <w:sz w:val="18"/>
                <w:szCs w:val="18"/>
              </w:rPr>
              <w:t>Środki pieniężne należne od banków centralnych i klientów finansowych, których rezydualny termin zapadalności jest nie dłuższy niż 30 dni (art. 32 ust. 2 lit. a))</w:t>
            </w:r>
          </w:p>
        </w:tc>
        <w:tc>
          <w:tcPr>
            <w:tcW w:w="989" w:type="dxa"/>
            <w:shd w:val="clear" w:color="auto" w:fill="auto"/>
            <w:vAlign w:val="center"/>
          </w:tcPr>
          <w:p w14:paraId="278AC69D"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11F23687" w14:textId="09735110" w:rsidR="001A0B09"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1A0B09" w14:paraId="059AC9ED" w14:textId="77777777" w:rsidTr="008A4CE5">
        <w:trPr>
          <w:jc w:val="center"/>
        </w:trPr>
        <w:tc>
          <w:tcPr>
            <w:tcW w:w="906" w:type="dxa"/>
            <w:vMerge/>
            <w:shd w:val="clear" w:color="auto" w:fill="auto"/>
            <w:vAlign w:val="center"/>
          </w:tcPr>
          <w:p w14:paraId="0B0B6C49"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1A0B09" w:rsidRDefault="001A0B09">
            <w:pPr>
              <w:jc w:val="center"/>
              <w:rPr>
                <w:rFonts w:ascii="Times New Roman" w:hAnsi="Times New Roman"/>
                <w:sz w:val="18"/>
                <w:szCs w:val="18"/>
              </w:rPr>
            </w:pPr>
          </w:p>
        </w:tc>
        <w:tc>
          <w:tcPr>
            <w:tcW w:w="989" w:type="dxa"/>
            <w:shd w:val="clear" w:color="auto" w:fill="auto"/>
            <w:vAlign w:val="center"/>
          </w:tcPr>
          <w:p w14:paraId="26B168A7"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7F0889C8"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1A0B09" w14:paraId="20E35D9E" w14:textId="77777777" w:rsidTr="008A4CE5">
        <w:trPr>
          <w:jc w:val="center"/>
        </w:trPr>
        <w:tc>
          <w:tcPr>
            <w:tcW w:w="906" w:type="dxa"/>
            <w:vMerge w:val="restart"/>
            <w:shd w:val="clear" w:color="auto" w:fill="auto"/>
            <w:vAlign w:val="center"/>
          </w:tcPr>
          <w:p w14:paraId="1E413DC6" w14:textId="77777777"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1A0B09" w:rsidRDefault="00E145E1">
            <w:pPr>
              <w:spacing w:before="40" w:after="40"/>
              <w:rPr>
                <w:rFonts w:ascii="Times New Roman" w:hAnsi="Times New Roman"/>
                <w:sz w:val="18"/>
                <w:szCs w:val="18"/>
              </w:rPr>
            </w:pPr>
            <w:r>
              <w:rPr>
                <w:rFonts w:ascii="Times New Roman" w:hAnsi="Times New Roman"/>
                <w:sz w:val="18"/>
                <w:szCs w:val="18"/>
              </w:rPr>
              <w:t>Środki pieniężne należne od klientów niefinansowych (z wyjątkiem banków centralnych), które nie dotyczą spłaty kwoty głównej (art. 32 ust. 2)</w:t>
            </w:r>
          </w:p>
        </w:tc>
        <w:tc>
          <w:tcPr>
            <w:tcW w:w="989" w:type="dxa"/>
            <w:shd w:val="clear" w:color="auto" w:fill="auto"/>
            <w:vAlign w:val="center"/>
          </w:tcPr>
          <w:p w14:paraId="35D9418B"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6AB445B7" w14:textId="1C50C0C5" w:rsidR="001A0B09" w:rsidRDefault="00E145E1">
            <w:pPr>
              <w:spacing w:before="40" w:after="40"/>
              <w:jc w:val="center"/>
              <w:rPr>
                <w:rFonts w:ascii="Times New Roman" w:hAnsi="Times New Roman"/>
                <w:sz w:val="18"/>
                <w:szCs w:val="18"/>
              </w:rPr>
            </w:pPr>
            <w:r>
              <w:rPr>
                <w:rFonts w:ascii="Times New Roman" w:hAnsi="Times New Roman"/>
                <w:sz w:val="18"/>
                <w:szCs w:val="18"/>
              </w:rPr>
              <w:t>Wiersz 040, pkt 1.1.1.1.</w:t>
            </w:r>
          </w:p>
        </w:tc>
      </w:tr>
      <w:tr w:rsidR="001A0B09" w14:paraId="313DF823" w14:textId="77777777" w:rsidTr="008A4CE5">
        <w:trPr>
          <w:jc w:val="center"/>
        </w:trPr>
        <w:tc>
          <w:tcPr>
            <w:tcW w:w="906" w:type="dxa"/>
            <w:vMerge/>
            <w:shd w:val="clear" w:color="auto" w:fill="auto"/>
            <w:vAlign w:val="center"/>
          </w:tcPr>
          <w:p w14:paraId="4D8B2B99"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1A0B09" w:rsidRDefault="001A0B09">
            <w:pPr>
              <w:jc w:val="center"/>
              <w:rPr>
                <w:rFonts w:ascii="Times New Roman" w:hAnsi="Times New Roman"/>
                <w:sz w:val="18"/>
                <w:szCs w:val="18"/>
              </w:rPr>
            </w:pPr>
          </w:p>
        </w:tc>
        <w:tc>
          <w:tcPr>
            <w:tcW w:w="989" w:type="dxa"/>
            <w:shd w:val="clear" w:color="auto" w:fill="auto"/>
            <w:vAlign w:val="center"/>
          </w:tcPr>
          <w:p w14:paraId="7C76513B"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621741A3"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1A0B09" w14:paraId="7245DD25" w14:textId="77777777" w:rsidTr="008A4CE5">
        <w:trPr>
          <w:jc w:val="center"/>
        </w:trPr>
        <w:tc>
          <w:tcPr>
            <w:tcW w:w="906" w:type="dxa"/>
            <w:vMerge w:val="restart"/>
            <w:shd w:val="clear" w:color="auto" w:fill="auto"/>
            <w:vAlign w:val="center"/>
          </w:tcPr>
          <w:p w14:paraId="34C9147A" w14:textId="60FFF658"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1A0B09" w:rsidRDefault="00E145E1">
            <w:pPr>
              <w:spacing w:before="40" w:after="40"/>
              <w:rPr>
                <w:rFonts w:ascii="Times New Roman" w:hAnsi="Times New Roman"/>
                <w:sz w:val="18"/>
                <w:szCs w:val="18"/>
              </w:rPr>
            </w:pPr>
            <w:r>
              <w:rPr>
                <w:rFonts w:ascii="Times New Roman" w:hAnsi="Times New Roman"/>
                <w:sz w:val="18"/>
                <w:szCs w:val="18"/>
              </w:rPr>
              <w:t>Inne środki pieniężne należne od klientów niefinansowych (z wyjątkiem banków centralnych) (art. 32 ust. 3 lit. a))</w:t>
            </w:r>
          </w:p>
        </w:tc>
        <w:tc>
          <w:tcPr>
            <w:tcW w:w="989" w:type="dxa"/>
            <w:shd w:val="clear" w:color="auto" w:fill="auto"/>
            <w:vAlign w:val="center"/>
          </w:tcPr>
          <w:p w14:paraId="66AB5DB6"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5736F445" w14:textId="569A7153" w:rsidR="001A0B09"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1A0B09" w14:paraId="18439963" w14:textId="77777777" w:rsidTr="008A4CE5">
        <w:trPr>
          <w:jc w:val="center"/>
        </w:trPr>
        <w:tc>
          <w:tcPr>
            <w:tcW w:w="906" w:type="dxa"/>
            <w:vMerge/>
            <w:shd w:val="clear" w:color="auto" w:fill="auto"/>
            <w:vAlign w:val="center"/>
          </w:tcPr>
          <w:p w14:paraId="7D41CBB9"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1A0B09" w:rsidRDefault="001A0B09">
            <w:pPr>
              <w:jc w:val="center"/>
              <w:rPr>
                <w:rFonts w:ascii="Times New Roman" w:hAnsi="Times New Roman"/>
                <w:sz w:val="18"/>
                <w:szCs w:val="18"/>
              </w:rPr>
            </w:pPr>
          </w:p>
        </w:tc>
        <w:tc>
          <w:tcPr>
            <w:tcW w:w="989" w:type="dxa"/>
            <w:shd w:val="clear" w:color="auto" w:fill="auto"/>
            <w:vAlign w:val="center"/>
          </w:tcPr>
          <w:p w14:paraId="65E21A82"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2E1FE291" w14:textId="7DFA5171"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260, pkt 1.1.11.</w:t>
            </w:r>
          </w:p>
        </w:tc>
      </w:tr>
      <w:tr w:rsidR="001A0B09" w14:paraId="77B49549" w14:textId="77777777" w:rsidTr="008A4CE5">
        <w:trPr>
          <w:jc w:val="center"/>
        </w:trPr>
        <w:tc>
          <w:tcPr>
            <w:tcW w:w="906" w:type="dxa"/>
            <w:vMerge w:val="restart"/>
            <w:shd w:val="clear" w:color="auto" w:fill="auto"/>
            <w:vAlign w:val="center"/>
          </w:tcPr>
          <w:p w14:paraId="74603418" w14:textId="07136985" w:rsidR="001A0B09"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1A0B09" w:rsidRDefault="00E145E1">
            <w:pPr>
              <w:spacing w:before="40" w:after="40"/>
              <w:rPr>
                <w:rFonts w:ascii="Times New Roman" w:hAnsi="Times New Roman"/>
                <w:sz w:val="18"/>
                <w:szCs w:val="18"/>
              </w:rPr>
            </w:pPr>
            <w:r>
              <w:rPr>
                <w:rFonts w:ascii="Times New Roman" w:hAnsi="Times New Roman"/>
                <w:sz w:val="18"/>
                <w:szCs w:val="18"/>
              </w:rPr>
              <w:t>Inne środki pieniężne należne od klientów niefinansowych (z wyjątkiem banków centralnych) (art. 32 ust. 3 lit. a))</w:t>
            </w:r>
          </w:p>
        </w:tc>
        <w:tc>
          <w:tcPr>
            <w:tcW w:w="724" w:type="dxa"/>
            <w:vMerge w:val="restart"/>
            <w:shd w:val="clear" w:color="auto" w:fill="auto"/>
            <w:vAlign w:val="center"/>
          </w:tcPr>
          <w:p w14:paraId="14926B13" w14:textId="0EC3C466" w:rsidR="001A0B09"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1A0B09" w:rsidRDefault="00E145E1">
            <w:pPr>
              <w:spacing w:before="40" w:after="40"/>
              <w:rPr>
                <w:rFonts w:ascii="Times New Roman" w:hAnsi="Times New Roman"/>
                <w:sz w:val="18"/>
                <w:szCs w:val="18"/>
              </w:rPr>
            </w:pPr>
            <w:r>
              <w:rPr>
                <w:rFonts w:ascii="Times New Roman" w:hAnsi="Times New Roman"/>
                <w:sz w:val="18"/>
                <w:szCs w:val="18"/>
              </w:rPr>
              <w:t>Klienci detaliczni</w:t>
            </w:r>
          </w:p>
        </w:tc>
        <w:tc>
          <w:tcPr>
            <w:tcW w:w="989" w:type="dxa"/>
            <w:shd w:val="clear" w:color="auto" w:fill="auto"/>
            <w:vAlign w:val="center"/>
          </w:tcPr>
          <w:p w14:paraId="57862B7B"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513EF7C8"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060, pkt 1.1.1.2.1.</w:t>
            </w:r>
          </w:p>
        </w:tc>
      </w:tr>
      <w:tr w:rsidR="001A0B09" w14:paraId="0FAD600C" w14:textId="77777777" w:rsidTr="008A4CE5">
        <w:trPr>
          <w:jc w:val="center"/>
        </w:trPr>
        <w:tc>
          <w:tcPr>
            <w:tcW w:w="906" w:type="dxa"/>
            <w:vMerge/>
            <w:shd w:val="clear" w:color="auto" w:fill="auto"/>
            <w:vAlign w:val="center"/>
          </w:tcPr>
          <w:p w14:paraId="65D0055B"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786A6D5D"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25F28BE9"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64EE3EB0" w14:textId="77777777" w:rsidR="001A0B09" w:rsidRDefault="001A0B09">
            <w:pPr>
              <w:jc w:val="center"/>
              <w:rPr>
                <w:rFonts w:ascii="Times New Roman" w:hAnsi="Times New Roman"/>
                <w:sz w:val="18"/>
                <w:szCs w:val="18"/>
              </w:rPr>
            </w:pPr>
          </w:p>
        </w:tc>
        <w:tc>
          <w:tcPr>
            <w:tcW w:w="989" w:type="dxa"/>
            <w:shd w:val="clear" w:color="auto" w:fill="auto"/>
            <w:vAlign w:val="center"/>
          </w:tcPr>
          <w:p w14:paraId="22E7C5FF"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30A39C3B" w14:textId="07522F8F" w:rsidR="001A0B09"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1A0B09" w14:paraId="55384C2C" w14:textId="77777777" w:rsidTr="008A4CE5">
        <w:trPr>
          <w:jc w:val="center"/>
        </w:trPr>
        <w:tc>
          <w:tcPr>
            <w:tcW w:w="906" w:type="dxa"/>
            <w:vMerge/>
            <w:shd w:val="clear" w:color="auto" w:fill="auto"/>
            <w:vAlign w:val="center"/>
          </w:tcPr>
          <w:p w14:paraId="094A7352" w14:textId="77777777" w:rsidR="001A0B09" w:rsidRDefault="001A0B09">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1A0B09" w:rsidRDefault="001A0B09">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1A0B09"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1A0B09" w:rsidRDefault="00E145E1">
            <w:pPr>
              <w:spacing w:before="40" w:after="40"/>
              <w:rPr>
                <w:rFonts w:ascii="Times New Roman" w:hAnsi="Times New Roman"/>
                <w:sz w:val="18"/>
                <w:szCs w:val="18"/>
              </w:rPr>
            </w:pPr>
            <w:r>
              <w:rPr>
                <w:rFonts w:ascii="Times New Roman" w:hAnsi="Times New Roman"/>
                <w:sz w:val="18"/>
                <w:szCs w:val="18"/>
              </w:rPr>
              <w:t>Przedsiębiorstwa niefinansowe</w:t>
            </w:r>
          </w:p>
        </w:tc>
        <w:tc>
          <w:tcPr>
            <w:tcW w:w="989" w:type="dxa"/>
            <w:shd w:val="clear" w:color="auto" w:fill="auto"/>
            <w:vAlign w:val="center"/>
          </w:tcPr>
          <w:p w14:paraId="53B66259"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16E7C9E0"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070, pkt 1.1.1.2.2.</w:t>
            </w:r>
          </w:p>
        </w:tc>
      </w:tr>
      <w:tr w:rsidR="001A0B09" w14:paraId="00CB46B1" w14:textId="77777777" w:rsidTr="008A4CE5">
        <w:trPr>
          <w:jc w:val="center"/>
        </w:trPr>
        <w:tc>
          <w:tcPr>
            <w:tcW w:w="906" w:type="dxa"/>
            <w:vMerge/>
            <w:shd w:val="clear" w:color="auto" w:fill="auto"/>
            <w:vAlign w:val="center"/>
          </w:tcPr>
          <w:p w14:paraId="6BCF1DDB"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03B94DA7"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76E4B324"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3EB9641D" w14:textId="77777777" w:rsidR="001A0B09" w:rsidRDefault="001A0B09">
            <w:pPr>
              <w:jc w:val="center"/>
              <w:rPr>
                <w:rFonts w:ascii="Times New Roman" w:hAnsi="Times New Roman"/>
                <w:sz w:val="18"/>
                <w:szCs w:val="18"/>
              </w:rPr>
            </w:pPr>
          </w:p>
        </w:tc>
        <w:tc>
          <w:tcPr>
            <w:tcW w:w="989" w:type="dxa"/>
            <w:shd w:val="clear" w:color="auto" w:fill="auto"/>
            <w:vAlign w:val="center"/>
          </w:tcPr>
          <w:p w14:paraId="69428613"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381E6311" w14:textId="0715AF15" w:rsidR="001A0B09"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1A0B09" w14:paraId="22A817BD" w14:textId="77777777" w:rsidTr="008A4CE5">
        <w:trPr>
          <w:jc w:val="center"/>
        </w:trPr>
        <w:tc>
          <w:tcPr>
            <w:tcW w:w="906" w:type="dxa"/>
            <w:vMerge/>
            <w:shd w:val="clear" w:color="auto" w:fill="auto"/>
            <w:vAlign w:val="center"/>
          </w:tcPr>
          <w:p w14:paraId="11639AAB" w14:textId="77777777" w:rsidR="001A0B09" w:rsidRDefault="001A0B09">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1A0B09" w:rsidRDefault="001A0B09">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1A0B09"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1A0B09" w:rsidRDefault="00E145E1">
            <w:pPr>
              <w:spacing w:before="40" w:after="40"/>
              <w:rPr>
                <w:rFonts w:ascii="Times New Roman" w:hAnsi="Times New Roman"/>
                <w:sz w:val="18"/>
                <w:szCs w:val="18"/>
              </w:rPr>
            </w:pPr>
            <w:r>
              <w:rPr>
                <w:rFonts w:ascii="Times New Roman" w:hAnsi="Times New Roman"/>
                <w:sz w:val="18"/>
                <w:szCs w:val="18"/>
              </w:rPr>
              <w:t>Państwa, wielostronne banki rozwoju i podmioty sektora publicznego</w:t>
            </w:r>
          </w:p>
        </w:tc>
        <w:tc>
          <w:tcPr>
            <w:tcW w:w="989" w:type="dxa"/>
            <w:shd w:val="clear" w:color="auto" w:fill="auto"/>
            <w:vAlign w:val="center"/>
          </w:tcPr>
          <w:p w14:paraId="06D69DD9"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727236AA"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080, pkt 1.1.1.2.3.</w:t>
            </w:r>
          </w:p>
        </w:tc>
      </w:tr>
      <w:tr w:rsidR="001A0B09" w14:paraId="10F01ED3" w14:textId="77777777" w:rsidTr="008A4CE5">
        <w:trPr>
          <w:jc w:val="center"/>
        </w:trPr>
        <w:tc>
          <w:tcPr>
            <w:tcW w:w="906" w:type="dxa"/>
            <w:vMerge/>
            <w:shd w:val="clear" w:color="auto" w:fill="auto"/>
            <w:vAlign w:val="center"/>
          </w:tcPr>
          <w:p w14:paraId="25A36A6E"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0936BD5B"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140AF2CD"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0311526E" w14:textId="77777777" w:rsidR="001A0B09" w:rsidRDefault="001A0B09">
            <w:pPr>
              <w:jc w:val="center"/>
              <w:rPr>
                <w:rFonts w:ascii="Times New Roman" w:hAnsi="Times New Roman"/>
                <w:sz w:val="18"/>
                <w:szCs w:val="18"/>
              </w:rPr>
            </w:pPr>
          </w:p>
        </w:tc>
        <w:tc>
          <w:tcPr>
            <w:tcW w:w="989" w:type="dxa"/>
            <w:shd w:val="clear" w:color="auto" w:fill="auto"/>
            <w:vAlign w:val="center"/>
          </w:tcPr>
          <w:p w14:paraId="4A940307"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2B44FECF"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090, pkt 1.1.1.2.4.</w:t>
            </w:r>
          </w:p>
        </w:tc>
      </w:tr>
      <w:tr w:rsidR="001A0B09" w14:paraId="2485F188" w14:textId="77777777" w:rsidTr="008A4CE5">
        <w:trPr>
          <w:jc w:val="center"/>
        </w:trPr>
        <w:tc>
          <w:tcPr>
            <w:tcW w:w="906" w:type="dxa"/>
            <w:vMerge w:val="restart"/>
            <w:shd w:val="clear" w:color="auto" w:fill="auto"/>
            <w:vAlign w:val="center"/>
          </w:tcPr>
          <w:p w14:paraId="66DB2D09" w14:textId="6AC9B5EE" w:rsidR="001A0B09"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1A0B09" w:rsidRDefault="00E145E1">
            <w:pPr>
              <w:spacing w:before="40" w:after="40"/>
              <w:rPr>
                <w:rFonts w:ascii="Times New Roman" w:hAnsi="Times New Roman"/>
                <w:sz w:val="18"/>
                <w:szCs w:val="18"/>
              </w:rPr>
            </w:pPr>
            <w:r>
              <w:rPr>
                <w:rFonts w:ascii="Times New Roman" w:hAnsi="Times New Roman"/>
                <w:sz w:val="18"/>
                <w:szCs w:val="18"/>
              </w:rPr>
              <w:t>Wpływy od klientów finansowych klasyfikowane jako depozyty operacyjne (art. 32 ust. 3 lit. d))</w:t>
            </w:r>
          </w:p>
        </w:tc>
        <w:tc>
          <w:tcPr>
            <w:tcW w:w="989" w:type="dxa"/>
            <w:shd w:val="clear" w:color="auto" w:fill="auto"/>
            <w:vAlign w:val="center"/>
          </w:tcPr>
          <w:p w14:paraId="354DC3F8"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0363BE3E" w14:textId="57555D20" w:rsidR="001A0B09"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1A0B09" w14:paraId="51097183" w14:textId="77777777" w:rsidTr="008A4CE5">
        <w:trPr>
          <w:jc w:val="center"/>
        </w:trPr>
        <w:tc>
          <w:tcPr>
            <w:tcW w:w="906" w:type="dxa"/>
            <w:vMerge/>
            <w:shd w:val="clear" w:color="auto" w:fill="auto"/>
            <w:vAlign w:val="center"/>
          </w:tcPr>
          <w:p w14:paraId="418FB58D"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1A0B09" w:rsidRDefault="001A0B09">
            <w:pPr>
              <w:jc w:val="center"/>
              <w:rPr>
                <w:rFonts w:ascii="Times New Roman" w:hAnsi="Times New Roman"/>
                <w:sz w:val="18"/>
                <w:szCs w:val="18"/>
              </w:rPr>
            </w:pPr>
          </w:p>
        </w:tc>
        <w:tc>
          <w:tcPr>
            <w:tcW w:w="989" w:type="dxa"/>
            <w:shd w:val="clear" w:color="auto" w:fill="auto"/>
            <w:vAlign w:val="center"/>
          </w:tcPr>
          <w:p w14:paraId="1EF015A8"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7B7BA22C" w14:textId="00E28399"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1A0B09" w14:paraId="7DCC13CD" w14:textId="77777777" w:rsidTr="008A4CE5">
        <w:trPr>
          <w:jc w:val="center"/>
        </w:trPr>
        <w:tc>
          <w:tcPr>
            <w:tcW w:w="906" w:type="dxa"/>
            <w:vMerge w:val="restart"/>
            <w:shd w:val="clear" w:color="auto" w:fill="auto"/>
            <w:vAlign w:val="center"/>
          </w:tcPr>
          <w:p w14:paraId="72548E6C" w14:textId="0CDF3870" w:rsidR="001A0B09"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1A0B09" w:rsidRDefault="00E145E1">
            <w:pPr>
              <w:spacing w:before="40" w:after="40"/>
              <w:rPr>
                <w:rFonts w:ascii="Times New Roman" w:hAnsi="Times New Roman"/>
                <w:sz w:val="18"/>
                <w:szCs w:val="18"/>
              </w:rPr>
            </w:pPr>
            <w:r>
              <w:rPr>
                <w:rFonts w:ascii="Times New Roman" w:hAnsi="Times New Roman"/>
                <w:sz w:val="18"/>
                <w:szCs w:val="18"/>
              </w:rPr>
              <w:t>Instytucja kredytowa może ustanowić odpowiadający symetryczny wskaźnik wpływów (art. 32 ust. 3 lit. d))</w:t>
            </w:r>
          </w:p>
        </w:tc>
        <w:tc>
          <w:tcPr>
            <w:tcW w:w="989" w:type="dxa"/>
            <w:shd w:val="clear" w:color="auto" w:fill="auto"/>
            <w:vAlign w:val="center"/>
          </w:tcPr>
          <w:p w14:paraId="68FFF8A4"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3EF2A5B6"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120, pkt 1.1.2.1.1.</w:t>
            </w:r>
          </w:p>
        </w:tc>
      </w:tr>
      <w:tr w:rsidR="001A0B09" w14:paraId="2A6F8244" w14:textId="77777777" w:rsidTr="008A4CE5">
        <w:trPr>
          <w:jc w:val="center"/>
        </w:trPr>
        <w:tc>
          <w:tcPr>
            <w:tcW w:w="906" w:type="dxa"/>
            <w:vMerge/>
            <w:shd w:val="clear" w:color="auto" w:fill="auto"/>
            <w:vAlign w:val="center"/>
          </w:tcPr>
          <w:p w14:paraId="192093C4"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1A0B09" w:rsidRDefault="001A0B09">
            <w:pPr>
              <w:jc w:val="center"/>
              <w:rPr>
                <w:rFonts w:ascii="Times New Roman" w:hAnsi="Times New Roman"/>
                <w:sz w:val="18"/>
                <w:szCs w:val="18"/>
              </w:rPr>
            </w:pPr>
          </w:p>
        </w:tc>
        <w:tc>
          <w:tcPr>
            <w:tcW w:w="989" w:type="dxa"/>
            <w:shd w:val="clear" w:color="auto" w:fill="auto"/>
            <w:vAlign w:val="center"/>
          </w:tcPr>
          <w:p w14:paraId="2BABE018"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7BC0B1BC"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130, pkt 1.1.2.1.2.</w:t>
            </w:r>
          </w:p>
        </w:tc>
      </w:tr>
      <w:tr w:rsidR="001A0B09" w14:paraId="2F861006" w14:textId="77777777" w:rsidTr="008A4CE5">
        <w:trPr>
          <w:jc w:val="center"/>
        </w:trPr>
        <w:tc>
          <w:tcPr>
            <w:tcW w:w="906" w:type="dxa"/>
            <w:vMerge w:val="restart"/>
            <w:shd w:val="clear" w:color="auto" w:fill="auto"/>
            <w:vAlign w:val="center"/>
          </w:tcPr>
          <w:p w14:paraId="12E5460B" w14:textId="6A84C879" w:rsidR="001A0B09"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1A0B09" w:rsidRDefault="00E145E1">
            <w:pPr>
              <w:spacing w:before="40" w:after="40"/>
              <w:rPr>
                <w:rFonts w:ascii="Times New Roman" w:hAnsi="Times New Roman"/>
                <w:sz w:val="18"/>
                <w:szCs w:val="18"/>
              </w:rPr>
            </w:pPr>
            <w:r>
              <w:rPr>
                <w:rFonts w:ascii="Times New Roman" w:hAnsi="Times New Roman"/>
                <w:sz w:val="18"/>
                <w:szCs w:val="18"/>
              </w:rPr>
              <w:t>Środki pieniężne należne od banków centralnych (art. 32 ust. 2 lit. a))</w:t>
            </w:r>
          </w:p>
        </w:tc>
        <w:tc>
          <w:tcPr>
            <w:tcW w:w="989" w:type="dxa"/>
            <w:shd w:val="clear" w:color="auto" w:fill="auto"/>
            <w:vAlign w:val="center"/>
          </w:tcPr>
          <w:p w14:paraId="67A742D2"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16BB6E60"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Wiersz 150, pkt 1.1.2.2.1.</w:t>
            </w:r>
          </w:p>
        </w:tc>
      </w:tr>
      <w:tr w:rsidR="001A0B09" w14:paraId="68464ABD" w14:textId="77777777" w:rsidTr="008A4CE5">
        <w:trPr>
          <w:jc w:val="center"/>
        </w:trPr>
        <w:tc>
          <w:tcPr>
            <w:tcW w:w="906" w:type="dxa"/>
            <w:vMerge/>
            <w:shd w:val="clear" w:color="auto" w:fill="auto"/>
            <w:vAlign w:val="center"/>
          </w:tcPr>
          <w:p w14:paraId="45218408"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1A0B09" w:rsidRDefault="001A0B09">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1A0B09" w:rsidRDefault="00E145E1">
            <w:pPr>
              <w:widowControl w:val="0"/>
              <w:spacing w:before="34" w:after="0"/>
              <w:jc w:val="center"/>
              <w:rPr>
                <w:rFonts w:ascii="Times New Roman" w:hAnsi="Times New Roman"/>
                <w:sz w:val="18"/>
                <w:szCs w:val="18"/>
              </w:rPr>
            </w:pPr>
            <w:r>
              <w:rPr>
                <w:rFonts w:ascii="Times New Roman" w:hAnsi="Times New Roman"/>
                <w:sz w:val="18"/>
                <w:szCs w:val="18"/>
              </w:rPr>
              <w:t>Nie</w:t>
            </w:r>
          </w:p>
        </w:tc>
        <w:tc>
          <w:tcPr>
            <w:tcW w:w="2150" w:type="dxa"/>
            <w:tcBorders>
              <w:bottom w:val="single" w:sz="4" w:space="0" w:color="auto"/>
            </w:tcBorders>
            <w:shd w:val="clear" w:color="auto" w:fill="auto"/>
            <w:vAlign w:val="center"/>
          </w:tcPr>
          <w:p w14:paraId="48C5D341" w14:textId="77777777" w:rsidR="001A0B09" w:rsidRDefault="00E145E1">
            <w:pPr>
              <w:widowControl w:val="0"/>
              <w:spacing w:before="34" w:after="0"/>
              <w:jc w:val="center"/>
              <w:rPr>
                <w:rFonts w:ascii="Times New Roman" w:hAnsi="Times New Roman"/>
                <w:sz w:val="18"/>
                <w:szCs w:val="18"/>
              </w:rPr>
            </w:pPr>
            <w:r>
              <w:rPr>
                <w:rFonts w:ascii="Times New Roman" w:hAnsi="Times New Roman"/>
                <w:sz w:val="18"/>
                <w:szCs w:val="18"/>
              </w:rPr>
              <w:t>Wiersz 160, pkt 1.1.2.2.2.</w:t>
            </w:r>
          </w:p>
        </w:tc>
      </w:tr>
      <w:tr w:rsidR="001A0B09" w14:paraId="32E23CF1" w14:textId="77777777" w:rsidTr="008A4CE5">
        <w:trPr>
          <w:jc w:val="center"/>
        </w:trPr>
        <w:tc>
          <w:tcPr>
            <w:tcW w:w="906" w:type="dxa"/>
            <w:vMerge w:val="restart"/>
            <w:shd w:val="clear" w:color="auto" w:fill="auto"/>
            <w:vAlign w:val="center"/>
          </w:tcPr>
          <w:p w14:paraId="6BAE249A" w14:textId="030BC09C" w:rsidR="001A0B09"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1A0B09" w:rsidRDefault="00E145E1">
            <w:pPr>
              <w:spacing w:before="40" w:after="40"/>
              <w:rPr>
                <w:rFonts w:ascii="Times New Roman" w:hAnsi="Times New Roman"/>
                <w:sz w:val="18"/>
                <w:szCs w:val="18"/>
              </w:rPr>
            </w:pPr>
            <w:r>
              <w:rPr>
                <w:rFonts w:ascii="Times New Roman" w:hAnsi="Times New Roman"/>
                <w:sz w:val="18"/>
                <w:szCs w:val="18"/>
              </w:rPr>
              <w:t>Transakcja zabezpieczająca swap (art. 32 ust. 3 lit. e))</w:t>
            </w:r>
          </w:p>
        </w:tc>
        <w:tc>
          <w:tcPr>
            <w:tcW w:w="989" w:type="dxa"/>
            <w:shd w:val="clear" w:color="auto" w:fill="auto"/>
            <w:vAlign w:val="center"/>
          </w:tcPr>
          <w:p w14:paraId="46D67532" w14:textId="77777777" w:rsidR="001A0B09" w:rsidRDefault="00E145E1">
            <w:pPr>
              <w:spacing w:before="40" w:after="40"/>
              <w:jc w:val="center"/>
              <w:rPr>
                <w:rFonts w:ascii="Times New Roman" w:hAnsi="Times New Roman"/>
                <w:sz w:val="18"/>
                <w:szCs w:val="18"/>
              </w:rPr>
            </w:pPr>
            <w:r>
              <w:rPr>
                <w:rFonts w:ascii="Times New Roman" w:hAnsi="Times New Roman"/>
                <w:sz w:val="18"/>
                <w:szCs w:val="18"/>
              </w:rPr>
              <w:t>Tak</w:t>
            </w:r>
          </w:p>
        </w:tc>
        <w:tc>
          <w:tcPr>
            <w:tcW w:w="2150" w:type="dxa"/>
            <w:shd w:val="clear" w:color="auto" w:fill="auto"/>
            <w:vAlign w:val="center"/>
          </w:tcPr>
          <w:p w14:paraId="2C5ACFCA" w14:textId="74E8D904" w:rsidR="001A0B09"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Wiersz 410, pkt 1.3.</w:t>
            </w:r>
            <w:r>
              <w:rPr>
                <w:rFonts w:ascii="Times New Roman" w:hAnsi="Times New Roman"/>
                <w:sz w:val="12"/>
                <w:szCs w:val="12"/>
                <w:vertAlign w:val="superscript"/>
              </w:rPr>
              <w:footnoteReference w:id="3"/>
            </w:r>
          </w:p>
        </w:tc>
      </w:tr>
      <w:tr w:rsidR="001A0B09" w14:paraId="378FB66C" w14:textId="77777777" w:rsidTr="008A4CE5">
        <w:trPr>
          <w:jc w:val="center"/>
        </w:trPr>
        <w:tc>
          <w:tcPr>
            <w:tcW w:w="906" w:type="dxa"/>
            <w:vMerge/>
            <w:shd w:val="clear" w:color="auto" w:fill="auto"/>
            <w:vAlign w:val="center"/>
          </w:tcPr>
          <w:p w14:paraId="2C48CB1C"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1A0B09" w:rsidRDefault="001A0B09">
            <w:pPr>
              <w:jc w:val="center"/>
              <w:rPr>
                <w:rFonts w:ascii="Times New Roman" w:hAnsi="Times New Roman"/>
                <w:sz w:val="18"/>
                <w:szCs w:val="18"/>
              </w:rPr>
            </w:pPr>
          </w:p>
        </w:tc>
        <w:tc>
          <w:tcPr>
            <w:tcW w:w="989" w:type="dxa"/>
            <w:shd w:val="clear" w:color="auto" w:fill="auto"/>
            <w:vAlign w:val="center"/>
          </w:tcPr>
          <w:p w14:paraId="6D276520"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50" w:type="dxa"/>
            <w:shd w:val="clear" w:color="auto" w:fill="auto"/>
            <w:vAlign w:val="center"/>
          </w:tcPr>
          <w:p w14:paraId="1B5F7171" w14:textId="23DA5F13"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1A0B09" w14:paraId="6BCAA460" w14:textId="77777777" w:rsidTr="008A4CE5">
        <w:trPr>
          <w:jc w:val="center"/>
        </w:trPr>
        <w:tc>
          <w:tcPr>
            <w:tcW w:w="906" w:type="dxa"/>
            <w:vMerge w:val="restart"/>
            <w:shd w:val="clear" w:color="auto" w:fill="auto"/>
            <w:vAlign w:val="center"/>
          </w:tcPr>
          <w:p w14:paraId="1F5613D2" w14:textId="77777777" w:rsidR="001A0B09"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1A0B09" w:rsidRDefault="00E145E1">
            <w:pPr>
              <w:jc w:val="left"/>
              <w:rPr>
                <w:rFonts w:ascii="Times New Roman" w:hAnsi="Times New Roman"/>
                <w:sz w:val="18"/>
                <w:szCs w:val="18"/>
              </w:rPr>
            </w:pPr>
            <w:r>
              <w:rPr>
                <w:rFonts w:ascii="Times New Roman" w:hAnsi="Times New Roman"/>
                <w:sz w:val="18"/>
                <w:szCs w:val="18"/>
              </w:rPr>
              <w:t>Transakcja przeprowadzana jest z bankiem centralnym</w:t>
            </w:r>
          </w:p>
        </w:tc>
        <w:tc>
          <w:tcPr>
            <w:tcW w:w="989" w:type="dxa"/>
            <w:shd w:val="clear" w:color="auto" w:fill="auto"/>
            <w:vAlign w:val="center"/>
          </w:tcPr>
          <w:p w14:paraId="5CCEF3E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0A6F52DD" w14:textId="0B7E269C"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25</w:t>
            </w:r>
          </w:p>
        </w:tc>
      </w:tr>
      <w:tr w:rsidR="001A0B09" w14:paraId="5D17BAF9" w14:textId="77777777" w:rsidTr="008A4CE5">
        <w:trPr>
          <w:jc w:val="center"/>
        </w:trPr>
        <w:tc>
          <w:tcPr>
            <w:tcW w:w="906" w:type="dxa"/>
            <w:vMerge/>
            <w:shd w:val="clear" w:color="auto" w:fill="auto"/>
            <w:vAlign w:val="center"/>
          </w:tcPr>
          <w:p w14:paraId="5810EAA3"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1A0B09" w:rsidRDefault="001A0B09">
            <w:pPr>
              <w:jc w:val="center"/>
              <w:rPr>
                <w:rFonts w:ascii="Times New Roman" w:hAnsi="Times New Roman"/>
                <w:sz w:val="18"/>
                <w:szCs w:val="18"/>
              </w:rPr>
            </w:pPr>
          </w:p>
        </w:tc>
        <w:tc>
          <w:tcPr>
            <w:tcW w:w="989" w:type="dxa"/>
            <w:shd w:val="clear" w:color="auto" w:fill="auto"/>
            <w:vAlign w:val="center"/>
          </w:tcPr>
          <w:p w14:paraId="3BD68599"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2FD01739" w14:textId="019BE5D3"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1A0B09" w14:paraId="79CD2851" w14:textId="77777777" w:rsidTr="008A4CE5">
        <w:trPr>
          <w:trHeight w:val="423"/>
          <w:jc w:val="center"/>
        </w:trPr>
        <w:tc>
          <w:tcPr>
            <w:tcW w:w="906" w:type="dxa"/>
            <w:vMerge w:val="restart"/>
            <w:shd w:val="clear" w:color="auto" w:fill="auto"/>
            <w:vAlign w:val="center"/>
          </w:tcPr>
          <w:p w14:paraId="726CD76B" w14:textId="77777777" w:rsidR="001A0B09"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1A0B09" w:rsidRDefault="00E145E1">
            <w:pPr>
              <w:jc w:val="left"/>
              <w:rPr>
                <w:rFonts w:ascii="Times New Roman" w:hAnsi="Times New Roman"/>
                <w:sz w:val="18"/>
                <w:szCs w:val="18"/>
              </w:rPr>
            </w:pPr>
            <w:r>
              <w:rPr>
                <w:rFonts w:ascii="Times New Roman" w:hAnsi="Times New Roman"/>
                <w:sz w:val="18"/>
                <w:szCs w:val="18"/>
              </w:rPr>
              <w:t>Zabezpieczenie zasadniczo kwalifikuje się jako składnik aktywów płynnych (niezależnie od tego, czy jest ono ponownie wykorzystane w innej transakcji i niezależnie od tego, czy składnik aktywów spełnia wymóg operacyjny określony w art. 8)</w:t>
            </w:r>
          </w:p>
        </w:tc>
        <w:tc>
          <w:tcPr>
            <w:tcW w:w="989" w:type="dxa"/>
            <w:shd w:val="clear" w:color="auto" w:fill="auto"/>
            <w:vAlign w:val="center"/>
          </w:tcPr>
          <w:p w14:paraId="5C7E3CF7"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71F5B27C"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1A0B09" w14:paraId="1803B175" w14:textId="77777777" w:rsidTr="008A4CE5">
        <w:trPr>
          <w:jc w:val="center"/>
        </w:trPr>
        <w:tc>
          <w:tcPr>
            <w:tcW w:w="906" w:type="dxa"/>
            <w:vMerge/>
            <w:shd w:val="clear" w:color="auto" w:fill="auto"/>
            <w:vAlign w:val="center"/>
          </w:tcPr>
          <w:p w14:paraId="4E90B392"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1A0B09" w:rsidRDefault="001A0B09">
            <w:pPr>
              <w:jc w:val="center"/>
              <w:rPr>
                <w:rFonts w:ascii="Times New Roman" w:hAnsi="Times New Roman"/>
                <w:sz w:val="18"/>
                <w:szCs w:val="18"/>
              </w:rPr>
            </w:pPr>
          </w:p>
        </w:tc>
        <w:tc>
          <w:tcPr>
            <w:tcW w:w="989" w:type="dxa"/>
            <w:shd w:val="clear" w:color="auto" w:fill="auto"/>
            <w:vAlign w:val="center"/>
          </w:tcPr>
          <w:p w14:paraId="2F6AE391"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2A8FD21"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1A0B09" w14:paraId="53B44A7B" w14:textId="77777777" w:rsidTr="008A4CE5">
        <w:trPr>
          <w:jc w:val="center"/>
        </w:trPr>
        <w:tc>
          <w:tcPr>
            <w:tcW w:w="906" w:type="dxa"/>
            <w:vMerge w:val="restart"/>
            <w:shd w:val="clear" w:color="auto" w:fill="auto"/>
            <w:vAlign w:val="center"/>
          </w:tcPr>
          <w:p w14:paraId="60BBA081" w14:textId="77777777" w:rsidR="001A0B09"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1A0B09" w:rsidRDefault="00E145E1">
            <w:pPr>
              <w:jc w:val="left"/>
              <w:rPr>
                <w:rFonts w:ascii="Times New Roman" w:hAnsi="Times New Roman"/>
                <w:sz w:val="18"/>
                <w:szCs w:val="18"/>
              </w:rPr>
            </w:pPr>
            <w:r>
              <w:rPr>
                <w:rFonts w:ascii="Times New Roman" w:hAnsi="Times New Roman"/>
                <w:sz w:val="18"/>
                <w:szCs w:val="18"/>
              </w:rPr>
              <w:t>zabezpieczenie wykorzystywane w celu pokrycia pozycji krótkich</w:t>
            </w:r>
          </w:p>
        </w:tc>
        <w:tc>
          <w:tcPr>
            <w:tcW w:w="989" w:type="dxa"/>
            <w:shd w:val="clear" w:color="auto" w:fill="auto"/>
            <w:vAlign w:val="center"/>
          </w:tcPr>
          <w:p w14:paraId="19D74A9E"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7356602B"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297, pkt 1.2.1.2.</w:t>
            </w:r>
          </w:p>
        </w:tc>
      </w:tr>
      <w:tr w:rsidR="001A0B09" w14:paraId="4747E3E2" w14:textId="77777777" w:rsidTr="008A4CE5">
        <w:trPr>
          <w:jc w:val="center"/>
        </w:trPr>
        <w:tc>
          <w:tcPr>
            <w:tcW w:w="906" w:type="dxa"/>
            <w:vMerge/>
            <w:shd w:val="clear" w:color="auto" w:fill="auto"/>
            <w:vAlign w:val="center"/>
          </w:tcPr>
          <w:p w14:paraId="469A2A13"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1A0B09" w:rsidRDefault="001A0B09">
            <w:pPr>
              <w:jc w:val="center"/>
              <w:rPr>
                <w:rFonts w:ascii="Times New Roman" w:hAnsi="Times New Roman"/>
                <w:sz w:val="18"/>
                <w:szCs w:val="18"/>
              </w:rPr>
            </w:pPr>
          </w:p>
        </w:tc>
        <w:tc>
          <w:tcPr>
            <w:tcW w:w="989" w:type="dxa"/>
            <w:shd w:val="clear" w:color="auto" w:fill="auto"/>
            <w:vAlign w:val="center"/>
          </w:tcPr>
          <w:p w14:paraId="589862BD"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6910DF00"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1A0B09" w14:paraId="67BFDD40" w14:textId="77777777" w:rsidTr="008A4CE5">
        <w:trPr>
          <w:jc w:val="center"/>
        </w:trPr>
        <w:tc>
          <w:tcPr>
            <w:tcW w:w="906" w:type="dxa"/>
            <w:vMerge w:val="restart"/>
            <w:shd w:val="clear" w:color="auto" w:fill="auto"/>
            <w:vAlign w:val="center"/>
          </w:tcPr>
          <w:p w14:paraId="2BFE299F" w14:textId="77777777" w:rsidR="001A0B09"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1A0B09" w:rsidRDefault="00E145E1">
            <w:pPr>
              <w:jc w:val="left"/>
              <w:rPr>
                <w:rFonts w:ascii="Times New Roman" w:hAnsi="Times New Roman"/>
                <w:sz w:val="18"/>
                <w:szCs w:val="18"/>
              </w:rPr>
            </w:pPr>
            <w:r>
              <w:rPr>
                <w:rFonts w:ascii="Times New Roman" w:hAnsi="Times New Roman"/>
                <w:sz w:val="18"/>
                <w:szCs w:val="18"/>
              </w:rPr>
              <w:t>Otrzymane zabezpieczenie spełnia wymogi operacyjne zgodne z art. 8</w:t>
            </w:r>
          </w:p>
        </w:tc>
        <w:tc>
          <w:tcPr>
            <w:tcW w:w="989" w:type="dxa"/>
            <w:shd w:val="clear" w:color="auto" w:fill="auto"/>
            <w:vAlign w:val="center"/>
          </w:tcPr>
          <w:p w14:paraId="2E56F6DC"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59492FE9"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1A0B09" w14:paraId="053FA29A" w14:textId="77777777" w:rsidTr="008A4CE5">
        <w:trPr>
          <w:jc w:val="center"/>
        </w:trPr>
        <w:tc>
          <w:tcPr>
            <w:tcW w:w="906" w:type="dxa"/>
            <w:vMerge/>
            <w:shd w:val="clear" w:color="auto" w:fill="auto"/>
            <w:vAlign w:val="center"/>
          </w:tcPr>
          <w:p w14:paraId="4697D7C3"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1A0B09" w:rsidRDefault="001A0B09">
            <w:pPr>
              <w:jc w:val="center"/>
              <w:rPr>
                <w:rFonts w:ascii="Times New Roman" w:hAnsi="Times New Roman"/>
                <w:sz w:val="18"/>
                <w:szCs w:val="18"/>
              </w:rPr>
            </w:pPr>
          </w:p>
        </w:tc>
        <w:tc>
          <w:tcPr>
            <w:tcW w:w="989" w:type="dxa"/>
            <w:shd w:val="clear" w:color="auto" w:fill="auto"/>
            <w:vAlign w:val="center"/>
          </w:tcPr>
          <w:p w14:paraId="266D70A3"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4F86E658"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1A0B09" w14:paraId="3B30E3B3" w14:textId="77777777" w:rsidTr="008A4CE5">
        <w:trPr>
          <w:jc w:val="center"/>
        </w:trPr>
        <w:tc>
          <w:tcPr>
            <w:tcW w:w="906" w:type="dxa"/>
            <w:vMerge w:val="restart"/>
            <w:shd w:val="clear" w:color="auto" w:fill="auto"/>
            <w:vAlign w:val="center"/>
          </w:tcPr>
          <w:p w14:paraId="754D9F3F" w14:textId="77777777" w:rsidR="001A0B09"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1A0B09" w:rsidRDefault="00E145E1">
            <w:pPr>
              <w:jc w:val="left"/>
              <w:rPr>
                <w:rFonts w:ascii="Times New Roman" w:hAnsi="Times New Roman"/>
                <w:sz w:val="18"/>
                <w:szCs w:val="18"/>
              </w:rPr>
            </w:pPr>
            <w:r>
              <w:rPr>
                <w:rFonts w:ascii="Times New Roman" w:hAnsi="Times New Roman"/>
                <w:sz w:val="18"/>
                <w:szCs w:val="18"/>
              </w:rPr>
              <w:t>Zabezpieczona transakcja finansowania zabezpieczona przez (art. 32 ust. 3 lit. b)):</w:t>
            </w:r>
          </w:p>
        </w:tc>
        <w:tc>
          <w:tcPr>
            <w:tcW w:w="724" w:type="dxa"/>
            <w:vMerge w:val="restart"/>
            <w:shd w:val="clear" w:color="auto" w:fill="auto"/>
            <w:vAlign w:val="center"/>
          </w:tcPr>
          <w:p w14:paraId="4D8F07EA" w14:textId="77777777" w:rsidR="001A0B09"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1, z wyłączeniem obligacji zabezpieczonych charakteryzujących się wyjątkowo wysoką jakością</w:t>
            </w:r>
          </w:p>
        </w:tc>
        <w:tc>
          <w:tcPr>
            <w:tcW w:w="989" w:type="dxa"/>
            <w:shd w:val="clear" w:color="auto" w:fill="auto"/>
            <w:vAlign w:val="center"/>
          </w:tcPr>
          <w:p w14:paraId="5235900F"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6BE471E8"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269, pkt 1.2.1.1.1. + </w:t>
            </w:r>
          </w:p>
          <w:p w14:paraId="35F2B5B0"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271, pkt 1.2.1.1.1.1.</w:t>
            </w:r>
          </w:p>
        </w:tc>
      </w:tr>
      <w:tr w:rsidR="001A0B09" w14:paraId="45FC1C6A" w14:textId="77777777" w:rsidTr="008A4CE5">
        <w:trPr>
          <w:jc w:val="center"/>
        </w:trPr>
        <w:tc>
          <w:tcPr>
            <w:tcW w:w="906" w:type="dxa"/>
            <w:vMerge/>
            <w:shd w:val="clear" w:color="auto" w:fill="auto"/>
            <w:vAlign w:val="center"/>
          </w:tcPr>
          <w:p w14:paraId="5D9C1DCC"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492FF7CC"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50421B09"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1313FE84" w14:textId="77777777" w:rsidR="001A0B09" w:rsidRDefault="001A0B09">
            <w:pPr>
              <w:jc w:val="left"/>
              <w:rPr>
                <w:rFonts w:ascii="Times New Roman" w:hAnsi="Times New Roman"/>
                <w:sz w:val="18"/>
                <w:szCs w:val="18"/>
              </w:rPr>
            </w:pPr>
          </w:p>
        </w:tc>
        <w:tc>
          <w:tcPr>
            <w:tcW w:w="989" w:type="dxa"/>
            <w:shd w:val="clear" w:color="auto" w:fill="auto"/>
            <w:vAlign w:val="center"/>
          </w:tcPr>
          <w:p w14:paraId="0117C40E"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07C9061C"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1A0B09" w14:paraId="31D89585" w14:textId="77777777" w:rsidTr="008A4CE5">
        <w:trPr>
          <w:jc w:val="center"/>
        </w:trPr>
        <w:tc>
          <w:tcPr>
            <w:tcW w:w="906" w:type="dxa"/>
            <w:vMerge/>
            <w:shd w:val="clear" w:color="auto" w:fill="auto"/>
            <w:vAlign w:val="center"/>
          </w:tcPr>
          <w:p w14:paraId="73DAF558"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3203299B"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3E5FE3DE" w14:textId="77777777" w:rsidR="001A0B09"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1 w postaci obligacji zabezpieczonych charakteryzujących się wyjątkowo wysoką jakością</w:t>
            </w:r>
          </w:p>
        </w:tc>
        <w:tc>
          <w:tcPr>
            <w:tcW w:w="989" w:type="dxa"/>
            <w:shd w:val="clear" w:color="auto" w:fill="auto"/>
            <w:vAlign w:val="center"/>
          </w:tcPr>
          <w:p w14:paraId="755CC0C2"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025BCFD6"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273, pkt 1.2.1.1.2. + </w:t>
            </w:r>
          </w:p>
          <w:p w14:paraId="1740F3E0"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275, pkt 1.2.1.1.2.1.</w:t>
            </w:r>
          </w:p>
        </w:tc>
      </w:tr>
      <w:tr w:rsidR="001A0B09" w14:paraId="07A47ECB" w14:textId="77777777" w:rsidTr="008A4CE5">
        <w:trPr>
          <w:jc w:val="center"/>
        </w:trPr>
        <w:tc>
          <w:tcPr>
            <w:tcW w:w="906" w:type="dxa"/>
            <w:vMerge/>
            <w:shd w:val="clear" w:color="auto" w:fill="auto"/>
            <w:vAlign w:val="center"/>
          </w:tcPr>
          <w:p w14:paraId="5CECE230"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06AE213C"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613DAD72"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1633E687" w14:textId="77777777" w:rsidR="001A0B09" w:rsidRDefault="001A0B09">
            <w:pPr>
              <w:jc w:val="left"/>
              <w:rPr>
                <w:rFonts w:ascii="Times New Roman" w:hAnsi="Times New Roman"/>
                <w:sz w:val="18"/>
                <w:szCs w:val="18"/>
              </w:rPr>
            </w:pPr>
          </w:p>
        </w:tc>
        <w:tc>
          <w:tcPr>
            <w:tcW w:w="989" w:type="dxa"/>
            <w:shd w:val="clear" w:color="auto" w:fill="auto"/>
            <w:vAlign w:val="center"/>
          </w:tcPr>
          <w:p w14:paraId="601F8309"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3F2E0BD"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1A0B09" w14:paraId="012ADBED" w14:textId="77777777" w:rsidTr="008A4CE5">
        <w:trPr>
          <w:jc w:val="center"/>
        </w:trPr>
        <w:tc>
          <w:tcPr>
            <w:tcW w:w="906" w:type="dxa"/>
            <w:vMerge/>
            <w:shd w:val="clear" w:color="auto" w:fill="auto"/>
            <w:vAlign w:val="center"/>
          </w:tcPr>
          <w:p w14:paraId="4CA0D3D7"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50EBAB62"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7C1AA4FE" w14:textId="77777777" w:rsidR="001A0B09"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2A</w:t>
            </w:r>
          </w:p>
        </w:tc>
        <w:tc>
          <w:tcPr>
            <w:tcW w:w="989" w:type="dxa"/>
            <w:shd w:val="clear" w:color="auto" w:fill="auto"/>
            <w:vAlign w:val="center"/>
          </w:tcPr>
          <w:p w14:paraId="05C633A1"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1FB7647B"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277, pkt 1.2.1.1.3. + </w:t>
            </w:r>
          </w:p>
          <w:p w14:paraId="599696FA"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279, pkt 1.2.1.1.3.1.</w:t>
            </w:r>
          </w:p>
        </w:tc>
      </w:tr>
      <w:tr w:rsidR="001A0B09" w14:paraId="69B08F1D" w14:textId="77777777" w:rsidTr="008A4CE5">
        <w:trPr>
          <w:jc w:val="center"/>
        </w:trPr>
        <w:tc>
          <w:tcPr>
            <w:tcW w:w="906" w:type="dxa"/>
            <w:vMerge/>
            <w:shd w:val="clear" w:color="auto" w:fill="auto"/>
            <w:vAlign w:val="center"/>
          </w:tcPr>
          <w:p w14:paraId="6443C42C"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16C9CB37"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5685CC41"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65F9BA32" w14:textId="77777777" w:rsidR="001A0B09" w:rsidRDefault="001A0B09">
            <w:pPr>
              <w:jc w:val="left"/>
              <w:rPr>
                <w:rFonts w:ascii="Times New Roman" w:hAnsi="Times New Roman"/>
                <w:sz w:val="18"/>
                <w:szCs w:val="18"/>
              </w:rPr>
            </w:pPr>
          </w:p>
        </w:tc>
        <w:tc>
          <w:tcPr>
            <w:tcW w:w="989" w:type="dxa"/>
            <w:shd w:val="clear" w:color="auto" w:fill="auto"/>
            <w:vAlign w:val="center"/>
          </w:tcPr>
          <w:p w14:paraId="3868EF2D"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2CAC511D"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1A0B09" w14:paraId="4318401E" w14:textId="77777777" w:rsidTr="00454544">
        <w:trPr>
          <w:trHeight w:val="737"/>
          <w:jc w:val="center"/>
        </w:trPr>
        <w:tc>
          <w:tcPr>
            <w:tcW w:w="906" w:type="dxa"/>
            <w:vMerge/>
            <w:shd w:val="clear" w:color="auto" w:fill="auto"/>
            <w:vAlign w:val="center"/>
          </w:tcPr>
          <w:p w14:paraId="356F339D"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061BCCFB"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73935C79" w14:textId="77777777" w:rsidR="001A0B09"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papierów wartościowych zabezpieczonych aktywami (kredyty na nieruchomości mieszkalne lub na zakup samochodów)</w:t>
            </w:r>
          </w:p>
        </w:tc>
        <w:tc>
          <w:tcPr>
            <w:tcW w:w="989" w:type="dxa"/>
            <w:shd w:val="clear" w:color="auto" w:fill="auto"/>
            <w:vAlign w:val="center"/>
          </w:tcPr>
          <w:p w14:paraId="3F7B4A55"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77DF76EB"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281, pkt 1.2.1.1.4. + </w:t>
            </w:r>
          </w:p>
          <w:p w14:paraId="52E1FF9E"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283, pkt 1.2.1.1.4.1.</w:t>
            </w:r>
          </w:p>
        </w:tc>
      </w:tr>
      <w:tr w:rsidR="001A0B09" w14:paraId="3F9C1ED9" w14:textId="77777777" w:rsidTr="008A4CE5">
        <w:trPr>
          <w:jc w:val="center"/>
        </w:trPr>
        <w:tc>
          <w:tcPr>
            <w:tcW w:w="906" w:type="dxa"/>
            <w:vMerge/>
            <w:shd w:val="clear" w:color="auto" w:fill="auto"/>
            <w:vAlign w:val="center"/>
          </w:tcPr>
          <w:p w14:paraId="14609212"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57D087D7"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75F831FF"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4DA2FD3F" w14:textId="77777777" w:rsidR="001A0B09" w:rsidRDefault="001A0B09">
            <w:pPr>
              <w:jc w:val="left"/>
              <w:rPr>
                <w:rFonts w:ascii="Times New Roman" w:hAnsi="Times New Roman"/>
                <w:sz w:val="18"/>
                <w:szCs w:val="18"/>
              </w:rPr>
            </w:pPr>
          </w:p>
        </w:tc>
        <w:tc>
          <w:tcPr>
            <w:tcW w:w="989" w:type="dxa"/>
            <w:shd w:val="clear" w:color="auto" w:fill="auto"/>
            <w:vAlign w:val="center"/>
          </w:tcPr>
          <w:p w14:paraId="00DA2C3D"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4CDFC52D"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1A0B09" w14:paraId="0DFBA4C0" w14:textId="77777777" w:rsidTr="008A4CE5">
        <w:trPr>
          <w:jc w:val="center"/>
        </w:trPr>
        <w:tc>
          <w:tcPr>
            <w:tcW w:w="906" w:type="dxa"/>
            <w:vMerge/>
            <w:shd w:val="clear" w:color="auto" w:fill="auto"/>
            <w:vAlign w:val="center"/>
          </w:tcPr>
          <w:p w14:paraId="6358456B"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4C6C0ADD"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67E996D3" w14:textId="77777777" w:rsidR="001A0B09"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obligacji zabezpieczonych charakteryzujących się wysoką jakością</w:t>
            </w:r>
          </w:p>
        </w:tc>
        <w:tc>
          <w:tcPr>
            <w:tcW w:w="989" w:type="dxa"/>
            <w:shd w:val="clear" w:color="auto" w:fill="auto"/>
            <w:vAlign w:val="center"/>
          </w:tcPr>
          <w:p w14:paraId="0CCDFCD0"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5568754D"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285, pkt 1.2.1.1.5. + </w:t>
            </w:r>
          </w:p>
          <w:p w14:paraId="2368FE97"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287, pkt 1.2.1.1.5.1.</w:t>
            </w:r>
          </w:p>
        </w:tc>
      </w:tr>
      <w:tr w:rsidR="001A0B09" w14:paraId="2D36F5B1" w14:textId="77777777" w:rsidTr="008A4CE5">
        <w:trPr>
          <w:jc w:val="center"/>
        </w:trPr>
        <w:tc>
          <w:tcPr>
            <w:tcW w:w="906" w:type="dxa"/>
            <w:vMerge/>
            <w:shd w:val="clear" w:color="auto" w:fill="auto"/>
            <w:vAlign w:val="center"/>
          </w:tcPr>
          <w:p w14:paraId="09EC0E94"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3FF7F96A"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27283372"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4C4A7162" w14:textId="77777777" w:rsidR="001A0B09" w:rsidRDefault="001A0B09">
            <w:pPr>
              <w:jc w:val="left"/>
              <w:rPr>
                <w:rFonts w:ascii="Times New Roman" w:hAnsi="Times New Roman"/>
                <w:sz w:val="18"/>
                <w:szCs w:val="18"/>
              </w:rPr>
            </w:pPr>
          </w:p>
        </w:tc>
        <w:tc>
          <w:tcPr>
            <w:tcW w:w="989" w:type="dxa"/>
            <w:shd w:val="clear" w:color="auto" w:fill="auto"/>
            <w:vAlign w:val="center"/>
          </w:tcPr>
          <w:p w14:paraId="5EEC95B1"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5378004"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1A0B09" w14:paraId="7090C81F" w14:textId="77777777" w:rsidTr="008A4CE5">
        <w:trPr>
          <w:jc w:val="center"/>
        </w:trPr>
        <w:tc>
          <w:tcPr>
            <w:tcW w:w="906" w:type="dxa"/>
            <w:vMerge/>
            <w:shd w:val="clear" w:color="auto" w:fill="auto"/>
            <w:vAlign w:val="center"/>
          </w:tcPr>
          <w:p w14:paraId="307C51C8"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2C5A2E43"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1AAD9A8E" w14:textId="77777777" w:rsidR="001A0B09"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papierów wartościowych zabezpieczonych aktywami (kredyty komercyjne lub dla osób fizycznych)</w:t>
            </w:r>
          </w:p>
        </w:tc>
        <w:tc>
          <w:tcPr>
            <w:tcW w:w="989" w:type="dxa"/>
            <w:shd w:val="clear" w:color="auto" w:fill="auto"/>
            <w:vAlign w:val="center"/>
          </w:tcPr>
          <w:p w14:paraId="08A8A273"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486CBF83"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289, pkt 1.2.1.1.6. + </w:t>
            </w:r>
          </w:p>
          <w:p w14:paraId="0EFBE51A"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291, pkt 1.2.1.1.6.1.</w:t>
            </w:r>
          </w:p>
        </w:tc>
      </w:tr>
      <w:tr w:rsidR="001A0B09" w14:paraId="205F19EA" w14:textId="77777777" w:rsidTr="008A4CE5">
        <w:trPr>
          <w:jc w:val="center"/>
        </w:trPr>
        <w:tc>
          <w:tcPr>
            <w:tcW w:w="906" w:type="dxa"/>
            <w:vMerge/>
            <w:shd w:val="clear" w:color="auto" w:fill="auto"/>
            <w:vAlign w:val="center"/>
          </w:tcPr>
          <w:p w14:paraId="7D5A3782"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091065F3"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5523C829"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58C29F2A" w14:textId="77777777" w:rsidR="001A0B09" w:rsidRDefault="001A0B09">
            <w:pPr>
              <w:jc w:val="left"/>
              <w:rPr>
                <w:rFonts w:ascii="Times New Roman" w:hAnsi="Times New Roman"/>
                <w:sz w:val="18"/>
                <w:szCs w:val="18"/>
              </w:rPr>
            </w:pPr>
          </w:p>
        </w:tc>
        <w:tc>
          <w:tcPr>
            <w:tcW w:w="989" w:type="dxa"/>
            <w:shd w:val="clear" w:color="auto" w:fill="auto"/>
            <w:vAlign w:val="center"/>
          </w:tcPr>
          <w:p w14:paraId="3D60F908"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4C3E7B87"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293, pkt 1.2.1.1.7. + </w:t>
            </w:r>
          </w:p>
          <w:p w14:paraId="1415B8CC"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295, pkt 1.2.1.1.7.1.</w:t>
            </w:r>
          </w:p>
        </w:tc>
      </w:tr>
      <w:tr w:rsidR="001A0B09" w14:paraId="4EDECB7A" w14:textId="77777777" w:rsidTr="008A4CE5">
        <w:trPr>
          <w:trHeight w:val="454"/>
          <w:jc w:val="center"/>
        </w:trPr>
        <w:tc>
          <w:tcPr>
            <w:tcW w:w="906" w:type="dxa"/>
            <w:vMerge w:val="restart"/>
            <w:shd w:val="clear" w:color="auto" w:fill="auto"/>
            <w:vAlign w:val="center"/>
          </w:tcPr>
          <w:p w14:paraId="7B71FB7F" w14:textId="77777777" w:rsidR="001A0B09"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1A0B09" w:rsidRDefault="00E145E1">
            <w:pPr>
              <w:jc w:val="left"/>
              <w:rPr>
                <w:rFonts w:ascii="Times New Roman" w:hAnsi="Times New Roman"/>
                <w:sz w:val="18"/>
                <w:szCs w:val="18"/>
              </w:rPr>
            </w:pPr>
            <w:r>
              <w:rPr>
                <w:rFonts w:ascii="Times New Roman" w:hAnsi="Times New Roman"/>
                <w:sz w:val="18"/>
                <w:szCs w:val="18"/>
              </w:rPr>
              <w:t>Zabezpieczona transakcja finansowania zabezpieczona przez (art. 32 ust. 3 lit. b)):</w:t>
            </w:r>
          </w:p>
        </w:tc>
        <w:tc>
          <w:tcPr>
            <w:tcW w:w="724" w:type="dxa"/>
            <w:vMerge w:val="restart"/>
            <w:shd w:val="clear" w:color="auto" w:fill="auto"/>
            <w:vAlign w:val="center"/>
          </w:tcPr>
          <w:p w14:paraId="102CA599" w14:textId="77777777" w:rsidR="001A0B09" w:rsidRDefault="00E145E1">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1, z wyłączeniem obligacji zabezpieczonych charakteryzujących się wyjątkowo wysoką jakością</w:t>
            </w:r>
          </w:p>
        </w:tc>
        <w:tc>
          <w:tcPr>
            <w:tcW w:w="989" w:type="dxa"/>
            <w:shd w:val="clear" w:color="auto" w:fill="auto"/>
            <w:vAlign w:val="center"/>
          </w:tcPr>
          <w:p w14:paraId="0585B276"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751C0453"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269, pkt 1.2.1.1.1.</w:t>
            </w:r>
          </w:p>
        </w:tc>
      </w:tr>
      <w:tr w:rsidR="001A0B09" w14:paraId="013DCBC3" w14:textId="77777777" w:rsidTr="008A4CE5">
        <w:trPr>
          <w:jc w:val="center"/>
        </w:trPr>
        <w:tc>
          <w:tcPr>
            <w:tcW w:w="906" w:type="dxa"/>
            <w:vMerge/>
            <w:shd w:val="clear" w:color="auto" w:fill="auto"/>
            <w:vAlign w:val="center"/>
          </w:tcPr>
          <w:p w14:paraId="5430F3BE"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7503937E"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253E2FF4"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5DC25BC3" w14:textId="77777777" w:rsidR="001A0B09" w:rsidRDefault="001A0B09">
            <w:pPr>
              <w:jc w:val="left"/>
              <w:rPr>
                <w:rFonts w:ascii="Times New Roman" w:hAnsi="Times New Roman"/>
                <w:sz w:val="18"/>
                <w:szCs w:val="18"/>
              </w:rPr>
            </w:pPr>
          </w:p>
        </w:tc>
        <w:tc>
          <w:tcPr>
            <w:tcW w:w="989" w:type="dxa"/>
            <w:shd w:val="clear" w:color="auto" w:fill="auto"/>
            <w:vAlign w:val="center"/>
          </w:tcPr>
          <w:p w14:paraId="0447238E"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82BBEA7"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1A0B09" w14:paraId="6A6AC5FA" w14:textId="77777777" w:rsidTr="008A4CE5">
        <w:trPr>
          <w:trHeight w:val="454"/>
          <w:jc w:val="center"/>
        </w:trPr>
        <w:tc>
          <w:tcPr>
            <w:tcW w:w="906" w:type="dxa"/>
            <w:vMerge/>
            <w:shd w:val="clear" w:color="auto" w:fill="auto"/>
            <w:vAlign w:val="center"/>
          </w:tcPr>
          <w:p w14:paraId="3ABEA912"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3F68D7FB"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34327F37" w14:textId="77777777" w:rsidR="001A0B09"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1A0B09" w:rsidRDefault="00E145E1">
            <w:pPr>
              <w:jc w:val="left"/>
              <w:rPr>
                <w:rFonts w:ascii="Times New Roman" w:hAnsi="Times New Roman"/>
                <w:sz w:val="18"/>
                <w:szCs w:val="18"/>
              </w:rPr>
            </w:pPr>
            <w:r>
              <w:rPr>
                <w:rFonts w:ascii="Times New Roman" w:hAnsi="Times New Roman"/>
                <w:sz w:val="18"/>
                <w:szCs w:val="18"/>
              </w:rPr>
              <w:t xml:space="preserve">zabezpieczenie aktywami </w:t>
            </w:r>
            <w:r>
              <w:rPr>
                <w:rFonts w:ascii="Times New Roman" w:hAnsi="Times New Roman"/>
                <w:sz w:val="18"/>
                <w:szCs w:val="18"/>
              </w:rPr>
              <w:lastRenderedPageBreak/>
              <w:t>poziomu 1 w postaci obligacji zabezpieczonych charakteryzujących się wyjątkowo wysoką jakością</w:t>
            </w:r>
          </w:p>
        </w:tc>
        <w:tc>
          <w:tcPr>
            <w:tcW w:w="989" w:type="dxa"/>
            <w:shd w:val="clear" w:color="auto" w:fill="auto"/>
            <w:vAlign w:val="center"/>
          </w:tcPr>
          <w:p w14:paraId="18C7CF08"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Tak</w:t>
            </w:r>
          </w:p>
        </w:tc>
        <w:tc>
          <w:tcPr>
            <w:tcW w:w="2150" w:type="dxa"/>
            <w:shd w:val="clear" w:color="auto" w:fill="auto"/>
            <w:vAlign w:val="center"/>
          </w:tcPr>
          <w:p w14:paraId="445E22D3"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273, pkt 1.2.1.1.2.</w:t>
            </w:r>
          </w:p>
        </w:tc>
      </w:tr>
      <w:tr w:rsidR="001A0B09" w14:paraId="016E8596" w14:textId="77777777" w:rsidTr="008A4CE5">
        <w:trPr>
          <w:trHeight w:val="340"/>
          <w:jc w:val="center"/>
        </w:trPr>
        <w:tc>
          <w:tcPr>
            <w:tcW w:w="906" w:type="dxa"/>
            <w:vMerge/>
            <w:shd w:val="clear" w:color="auto" w:fill="auto"/>
            <w:vAlign w:val="center"/>
          </w:tcPr>
          <w:p w14:paraId="1D39F30C"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532DC410"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1DC77634"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080E5AF2" w14:textId="77777777" w:rsidR="001A0B09" w:rsidRDefault="001A0B09">
            <w:pPr>
              <w:jc w:val="left"/>
              <w:rPr>
                <w:rFonts w:ascii="Times New Roman" w:hAnsi="Times New Roman"/>
                <w:sz w:val="18"/>
                <w:szCs w:val="18"/>
              </w:rPr>
            </w:pPr>
          </w:p>
        </w:tc>
        <w:tc>
          <w:tcPr>
            <w:tcW w:w="989" w:type="dxa"/>
            <w:shd w:val="clear" w:color="auto" w:fill="auto"/>
            <w:vAlign w:val="center"/>
          </w:tcPr>
          <w:p w14:paraId="29C3B647"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54349CC1"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1A0B09" w14:paraId="1DC92470" w14:textId="77777777" w:rsidTr="008A4CE5">
        <w:trPr>
          <w:jc w:val="center"/>
        </w:trPr>
        <w:tc>
          <w:tcPr>
            <w:tcW w:w="906" w:type="dxa"/>
            <w:vMerge/>
            <w:shd w:val="clear" w:color="auto" w:fill="auto"/>
            <w:vAlign w:val="center"/>
          </w:tcPr>
          <w:p w14:paraId="08078D6F"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24C988CF"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629235FE" w14:textId="77777777" w:rsidR="001A0B09"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2A</w:t>
            </w:r>
          </w:p>
        </w:tc>
        <w:tc>
          <w:tcPr>
            <w:tcW w:w="989" w:type="dxa"/>
            <w:shd w:val="clear" w:color="auto" w:fill="auto"/>
            <w:vAlign w:val="center"/>
          </w:tcPr>
          <w:p w14:paraId="6C039BA2"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6176989A"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277, pkt 1.2.1.1.3.</w:t>
            </w:r>
          </w:p>
        </w:tc>
      </w:tr>
      <w:tr w:rsidR="001A0B09" w14:paraId="2C7F2548" w14:textId="77777777" w:rsidTr="008A4CE5">
        <w:trPr>
          <w:jc w:val="center"/>
        </w:trPr>
        <w:tc>
          <w:tcPr>
            <w:tcW w:w="906" w:type="dxa"/>
            <w:vMerge/>
            <w:shd w:val="clear" w:color="auto" w:fill="auto"/>
            <w:vAlign w:val="center"/>
          </w:tcPr>
          <w:p w14:paraId="4887A405"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16AC2AA9"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65ED5CE0"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5E10E227" w14:textId="77777777" w:rsidR="001A0B09" w:rsidRDefault="001A0B09">
            <w:pPr>
              <w:jc w:val="left"/>
              <w:rPr>
                <w:rFonts w:ascii="Times New Roman" w:hAnsi="Times New Roman"/>
                <w:sz w:val="18"/>
                <w:szCs w:val="18"/>
              </w:rPr>
            </w:pPr>
          </w:p>
        </w:tc>
        <w:tc>
          <w:tcPr>
            <w:tcW w:w="989" w:type="dxa"/>
            <w:shd w:val="clear" w:color="auto" w:fill="auto"/>
            <w:vAlign w:val="center"/>
          </w:tcPr>
          <w:p w14:paraId="48C0D7C5"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29228619"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1A0B09" w14:paraId="62C86829" w14:textId="77777777" w:rsidTr="008A4CE5">
        <w:trPr>
          <w:trHeight w:val="454"/>
          <w:jc w:val="center"/>
        </w:trPr>
        <w:tc>
          <w:tcPr>
            <w:tcW w:w="906" w:type="dxa"/>
            <w:vMerge/>
            <w:shd w:val="clear" w:color="auto" w:fill="auto"/>
            <w:vAlign w:val="center"/>
          </w:tcPr>
          <w:p w14:paraId="24C5F77A"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59B3BF43"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5FBD532A" w14:textId="77777777" w:rsidR="001A0B09"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papierów wartościowych zabezpieczonych aktywami (kredyty na nieruchomości mieszkalne lub na zakup samochodów)</w:t>
            </w:r>
          </w:p>
        </w:tc>
        <w:tc>
          <w:tcPr>
            <w:tcW w:w="989" w:type="dxa"/>
            <w:shd w:val="clear" w:color="auto" w:fill="auto"/>
            <w:vAlign w:val="center"/>
          </w:tcPr>
          <w:p w14:paraId="2C529480"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7717B003"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281, pkt 1.2.1.1.4.</w:t>
            </w:r>
          </w:p>
        </w:tc>
      </w:tr>
      <w:tr w:rsidR="001A0B09" w14:paraId="05F1D7DC" w14:textId="77777777" w:rsidTr="008A4CE5">
        <w:trPr>
          <w:jc w:val="center"/>
        </w:trPr>
        <w:tc>
          <w:tcPr>
            <w:tcW w:w="906" w:type="dxa"/>
            <w:vMerge/>
            <w:shd w:val="clear" w:color="auto" w:fill="auto"/>
            <w:vAlign w:val="center"/>
          </w:tcPr>
          <w:p w14:paraId="3D50DD83"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624EC4A7"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02DB2140"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2B973AEA" w14:textId="77777777" w:rsidR="001A0B09" w:rsidRDefault="001A0B09">
            <w:pPr>
              <w:jc w:val="left"/>
              <w:rPr>
                <w:rFonts w:ascii="Times New Roman" w:hAnsi="Times New Roman"/>
                <w:sz w:val="18"/>
                <w:szCs w:val="18"/>
              </w:rPr>
            </w:pPr>
          </w:p>
        </w:tc>
        <w:tc>
          <w:tcPr>
            <w:tcW w:w="989" w:type="dxa"/>
            <w:shd w:val="clear" w:color="auto" w:fill="auto"/>
            <w:vAlign w:val="center"/>
          </w:tcPr>
          <w:p w14:paraId="63BBF25B"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C4D8B9D"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1A0B09" w14:paraId="6B5343E1" w14:textId="77777777" w:rsidTr="008A4CE5">
        <w:trPr>
          <w:trHeight w:val="340"/>
          <w:jc w:val="center"/>
        </w:trPr>
        <w:tc>
          <w:tcPr>
            <w:tcW w:w="906" w:type="dxa"/>
            <w:vMerge/>
            <w:shd w:val="clear" w:color="auto" w:fill="auto"/>
            <w:vAlign w:val="center"/>
          </w:tcPr>
          <w:p w14:paraId="29F2D3E3"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63B77172"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0F881548" w14:textId="77777777" w:rsidR="001A0B09"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obligacji zabezpieczonych charakteryzujących się wysoką jakością</w:t>
            </w:r>
          </w:p>
        </w:tc>
        <w:tc>
          <w:tcPr>
            <w:tcW w:w="989" w:type="dxa"/>
            <w:shd w:val="clear" w:color="auto" w:fill="auto"/>
            <w:vAlign w:val="center"/>
          </w:tcPr>
          <w:p w14:paraId="4632C06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240B94AC"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285, pkt 1.2.1.1.5.</w:t>
            </w:r>
          </w:p>
        </w:tc>
      </w:tr>
      <w:tr w:rsidR="001A0B09" w14:paraId="31C0AF40" w14:textId="77777777" w:rsidTr="008A4CE5">
        <w:trPr>
          <w:jc w:val="center"/>
        </w:trPr>
        <w:tc>
          <w:tcPr>
            <w:tcW w:w="906" w:type="dxa"/>
            <w:vMerge/>
            <w:shd w:val="clear" w:color="auto" w:fill="auto"/>
            <w:vAlign w:val="center"/>
          </w:tcPr>
          <w:p w14:paraId="745FEDD2"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1F337E76"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1587415F"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00E39E73" w14:textId="77777777" w:rsidR="001A0B09" w:rsidRDefault="001A0B09">
            <w:pPr>
              <w:jc w:val="left"/>
              <w:rPr>
                <w:rFonts w:ascii="Times New Roman" w:hAnsi="Times New Roman"/>
                <w:sz w:val="18"/>
                <w:szCs w:val="18"/>
              </w:rPr>
            </w:pPr>
          </w:p>
        </w:tc>
        <w:tc>
          <w:tcPr>
            <w:tcW w:w="989" w:type="dxa"/>
            <w:shd w:val="clear" w:color="auto" w:fill="auto"/>
            <w:vAlign w:val="center"/>
          </w:tcPr>
          <w:p w14:paraId="37425973"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076E690C"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1A0B09" w14:paraId="30AE54ED" w14:textId="77777777" w:rsidTr="00454544">
        <w:trPr>
          <w:trHeight w:val="397"/>
          <w:jc w:val="center"/>
        </w:trPr>
        <w:tc>
          <w:tcPr>
            <w:tcW w:w="906" w:type="dxa"/>
            <w:vMerge/>
            <w:shd w:val="clear" w:color="auto" w:fill="auto"/>
            <w:vAlign w:val="center"/>
          </w:tcPr>
          <w:p w14:paraId="48100570"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29AD75B3"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7E892FF6" w14:textId="77777777" w:rsidR="001A0B09"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papierów wartościowych zabezpieczonych aktywami (kredyty komercyjne lub dla osób fizycznych)</w:t>
            </w:r>
          </w:p>
        </w:tc>
        <w:tc>
          <w:tcPr>
            <w:tcW w:w="989" w:type="dxa"/>
            <w:shd w:val="clear" w:color="auto" w:fill="auto"/>
            <w:vAlign w:val="center"/>
          </w:tcPr>
          <w:p w14:paraId="14BC0B45"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0D09166F"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289, pkt 1.2.1.1.6.</w:t>
            </w:r>
          </w:p>
        </w:tc>
      </w:tr>
      <w:tr w:rsidR="001A0B09" w14:paraId="458751F0" w14:textId="77777777" w:rsidTr="008A4CE5">
        <w:trPr>
          <w:jc w:val="center"/>
        </w:trPr>
        <w:tc>
          <w:tcPr>
            <w:tcW w:w="906" w:type="dxa"/>
            <w:vMerge/>
            <w:shd w:val="clear" w:color="auto" w:fill="auto"/>
            <w:vAlign w:val="center"/>
          </w:tcPr>
          <w:p w14:paraId="2AFCCF35"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3FA5E631"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5A7CB9A5"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7DEAD298" w14:textId="77777777" w:rsidR="001A0B09" w:rsidRDefault="001A0B09">
            <w:pPr>
              <w:jc w:val="left"/>
              <w:rPr>
                <w:rFonts w:ascii="Times New Roman" w:hAnsi="Times New Roman"/>
                <w:sz w:val="18"/>
                <w:szCs w:val="18"/>
              </w:rPr>
            </w:pPr>
          </w:p>
        </w:tc>
        <w:tc>
          <w:tcPr>
            <w:tcW w:w="989" w:type="dxa"/>
            <w:shd w:val="clear" w:color="auto" w:fill="auto"/>
            <w:vAlign w:val="center"/>
          </w:tcPr>
          <w:p w14:paraId="349E0163"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2CA809A9" w14:textId="77777777"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293, pkt 1.2.1.1.7.</w:t>
            </w:r>
          </w:p>
        </w:tc>
      </w:tr>
      <w:tr w:rsidR="001A0B09" w14:paraId="09A368FA" w14:textId="77777777" w:rsidTr="008A4CE5">
        <w:trPr>
          <w:trHeight w:val="454"/>
          <w:jc w:val="center"/>
        </w:trPr>
        <w:tc>
          <w:tcPr>
            <w:tcW w:w="906" w:type="dxa"/>
            <w:vMerge w:val="restart"/>
            <w:shd w:val="clear" w:color="auto" w:fill="auto"/>
            <w:vAlign w:val="center"/>
          </w:tcPr>
          <w:p w14:paraId="735F5135" w14:textId="77777777" w:rsidR="001A0B09"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1A0B09" w:rsidRDefault="00E145E1">
            <w:pPr>
              <w:jc w:val="left"/>
              <w:rPr>
                <w:rFonts w:ascii="Times New Roman" w:hAnsi="Times New Roman"/>
                <w:sz w:val="18"/>
                <w:szCs w:val="18"/>
              </w:rPr>
            </w:pPr>
            <w:r>
              <w:rPr>
                <w:rFonts w:ascii="Times New Roman" w:hAnsi="Times New Roman"/>
                <w:sz w:val="18"/>
                <w:szCs w:val="18"/>
              </w:rPr>
              <w:t>Zabezpieczenie, które nie kwalifikuje się jako składnik aktywów płynnych (art. 32 ust. 3 lit. b)) i w postaci niepłynnych instrumentów kapitałowych</w:t>
            </w:r>
          </w:p>
        </w:tc>
        <w:tc>
          <w:tcPr>
            <w:tcW w:w="989" w:type="dxa"/>
            <w:shd w:val="clear" w:color="auto" w:fill="auto"/>
            <w:vAlign w:val="center"/>
          </w:tcPr>
          <w:p w14:paraId="230989FE"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76DFFABF" w14:textId="19D3F299"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301, pkt 1.2.1.3.1.</w:t>
            </w:r>
          </w:p>
        </w:tc>
      </w:tr>
      <w:tr w:rsidR="001A0B09" w14:paraId="56C8F38E" w14:textId="77777777" w:rsidTr="008A4CE5">
        <w:trPr>
          <w:trHeight w:val="397"/>
          <w:jc w:val="center"/>
        </w:trPr>
        <w:tc>
          <w:tcPr>
            <w:tcW w:w="906" w:type="dxa"/>
            <w:vMerge/>
            <w:shd w:val="clear" w:color="auto" w:fill="auto"/>
            <w:vAlign w:val="center"/>
          </w:tcPr>
          <w:p w14:paraId="5CFEEE66"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1A0B09" w:rsidRDefault="001A0B09">
            <w:pPr>
              <w:jc w:val="center"/>
              <w:rPr>
                <w:rFonts w:ascii="Times New Roman" w:hAnsi="Times New Roman"/>
                <w:sz w:val="18"/>
                <w:szCs w:val="18"/>
              </w:rPr>
            </w:pPr>
          </w:p>
        </w:tc>
        <w:tc>
          <w:tcPr>
            <w:tcW w:w="989" w:type="dxa"/>
            <w:shd w:val="clear" w:color="auto" w:fill="auto"/>
            <w:vAlign w:val="center"/>
          </w:tcPr>
          <w:p w14:paraId="6F49643B"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6D970C8A" w14:textId="10BA2776" w:rsidR="001A0B09" w:rsidRDefault="00E145E1">
            <w:pPr>
              <w:widowControl w:val="0"/>
              <w:spacing w:before="32" w:after="0"/>
              <w:jc w:val="center"/>
              <w:rPr>
                <w:rFonts w:ascii="Times New Roman" w:hAnsi="Times New Roman"/>
                <w:sz w:val="18"/>
                <w:szCs w:val="18"/>
              </w:rPr>
            </w:pPr>
            <w:r>
              <w:rPr>
                <w:rFonts w:ascii="Times New Roman" w:hAnsi="Times New Roman"/>
                <w:sz w:val="18"/>
                <w:szCs w:val="18"/>
              </w:rPr>
              <w:t>Wiersz 303, pkt 1.2.1.3.2.</w:t>
            </w:r>
          </w:p>
        </w:tc>
      </w:tr>
      <w:tr w:rsidR="001A0B09" w14:paraId="1F43E637" w14:textId="77777777" w:rsidTr="008A4CE5">
        <w:trPr>
          <w:trHeight w:val="454"/>
          <w:jc w:val="center"/>
        </w:trPr>
        <w:tc>
          <w:tcPr>
            <w:tcW w:w="906" w:type="dxa"/>
            <w:vMerge w:val="restart"/>
            <w:shd w:val="clear" w:color="auto" w:fill="auto"/>
            <w:vAlign w:val="center"/>
          </w:tcPr>
          <w:p w14:paraId="76347E4D" w14:textId="77777777" w:rsidR="001A0B09"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1A0B09" w:rsidRDefault="00E145E1">
            <w:pPr>
              <w:jc w:val="left"/>
              <w:rPr>
                <w:rFonts w:ascii="Times New Roman" w:hAnsi="Times New Roman"/>
                <w:sz w:val="18"/>
                <w:szCs w:val="18"/>
              </w:rPr>
            </w:pPr>
            <w:r>
              <w:rPr>
                <w:rFonts w:ascii="Times New Roman" w:hAnsi="Times New Roman"/>
                <w:sz w:val="18"/>
                <w:szCs w:val="18"/>
              </w:rPr>
              <w:t>Zabezpieczenie zasadniczo kwalifikuje się jako składnik aktywów płynnych (niezależnie od tego, czy jest ono ponownie wykorzystane w innej transakcji i niezależnie od tego, czy składnik aktywów spełnia wymóg operacyjny określony w art. 8)</w:t>
            </w:r>
          </w:p>
        </w:tc>
        <w:tc>
          <w:tcPr>
            <w:tcW w:w="989" w:type="dxa"/>
            <w:shd w:val="clear" w:color="auto" w:fill="auto"/>
            <w:vAlign w:val="center"/>
          </w:tcPr>
          <w:p w14:paraId="28B6CBAE"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07B0A8AF"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1A0B09" w14:paraId="13F99E91" w14:textId="77777777" w:rsidTr="008A4CE5">
        <w:trPr>
          <w:jc w:val="center"/>
        </w:trPr>
        <w:tc>
          <w:tcPr>
            <w:tcW w:w="906" w:type="dxa"/>
            <w:vMerge/>
            <w:shd w:val="clear" w:color="auto" w:fill="auto"/>
            <w:vAlign w:val="center"/>
          </w:tcPr>
          <w:p w14:paraId="0AE39F01"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1A0B09" w:rsidRDefault="001A0B09">
            <w:pPr>
              <w:jc w:val="center"/>
              <w:rPr>
                <w:rFonts w:ascii="Times New Roman" w:hAnsi="Times New Roman"/>
                <w:sz w:val="18"/>
                <w:szCs w:val="18"/>
              </w:rPr>
            </w:pPr>
          </w:p>
        </w:tc>
        <w:tc>
          <w:tcPr>
            <w:tcW w:w="989" w:type="dxa"/>
            <w:shd w:val="clear" w:color="auto" w:fill="auto"/>
            <w:vAlign w:val="center"/>
          </w:tcPr>
          <w:p w14:paraId="12A424B6"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E210640"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1A0B09" w14:paraId="2A222CD3" w14:textId="77777777" w:rsidTr="008A4CE5">
        <w:trPr>
          <w:jc w:val="center"/>
        </w:trPr>
        <w:tc>
          <w:tcPr>
            <w:tcW w:w="906" w:type="dxa"/>
            <w:vMerge w:val="restart"/>
            <w:shd w:val="clear" w:color="auto" w:fill="auto"/>
            <w:vAlign w:val="center"/>
          </w:tcPr>
          <w:p w14:paraId="6A44E7EE" w14:textId="77777777" w:rsidR="001A0B09"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1A0B09" w:rsidRDefault="00E145E1">
            <w:pPr>
              <w:jc w:val="left"/>
              <w:rPr>
                <w:rFonts w:ascii="Times New Roman" w:hAnsi="Times New Roman"/>
                <w:sz w:val="18"/>
                <w:szCs w:val="18"/>
              </w:rPr>
            </w:pPr>
            <w:r>
              <w:rPr>
                <w:rFonts w:ascii="Times New Roman" w:hAnsi="Times New Roman"/>
                <w:sz w:val="18"/>
                <w:szCs w:val="18"/>
              </w:rPr>
              <w:t>zabezpieczenie wykorzystywane w celu pokrycia pozycji krótkich</w:t>
            </w:r>
          </w:p>
        </w:tc>
        <w:tc>
          <w:tcPr>
            <w:tcW w:w="989" w:type="dxa"/>
            <w:shd w:val="clear" w:color="auto" w:fill="auto"/>
            <w:vAlign w:val="center"/>
          </w:tcPr>
          <w:p w14:paraId="5B361DA1"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461B8DF8" w14:textId="50888566"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337, pkt 1.2.2.2.</w:t>
            </w:r>
          </w:p>
        </w:tc>
      </w:tr>
      <w:tr w:rsidR="001A0B09" w14:paraId="2BEA852A" w14:textId="77777777" w:rsidTr="008A4CE5">
        <w:trPr>
          <w:jc w:val="center"/>
        </w:trPr>
        <w:tc>
          <w:tcPr>
            <w:tcW w:w="906" w:type="dxa"/>
            <w:vMerge/>
            <w:shd w:val="clear" w:color="auto" w:fill="auto"/>
            <w:vAlign w:val="center"/>
          </w:tcPr>
          <w:p w14:paraId="7C1E6A4C"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1A0B09" w:rsidRDefault="001A0B09">
            <w:pPr>
              <w:jc w:val="center"/>
              <w:rPr>
                <w:rFonts w:ascii="Times New Roman" w:hAnsi="Times New Roman"/>
                <w:sz w:val="18"/>
                <w:szCs w:val="18"/>
              </w:rPr>
            </w:pPr>
          </w:p>
        </w:tc>
        <w:tc>
          <w:tcPr>
            <w:tcW w:w="989" w:type="dxa"/>
            <w:shd w:val="clear" w:color="auto" w:fill="auto"/>
            <w:vAlign w:val="center"/>
          </w:tcPr>
          <w:p w14:paraId="1058C8D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91D163A"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1A0B09" w14:paraId="556CBF63" w14:textId="77777777" w:rsidTr="008A4CE5">
        <w:trPr>
          <w:jc w:val="center"/>
        </w:trPr>
        <w:tc>
          <w:tcPr>
            <w:tcW w:w="906" w:type="dxa"/>
            <w:vMerge w:val="restart"/>
            <w:shd w:val="clear" w:color="auto" w:fill="auto"/>
            <w:vAlign w:val="center"/>
          </w:tcPr>
          <w:p w14:paraId="5F036AC8" w14:textId="77777777" w:rsidR="001A0B09"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1A0B09" w:rsidRDefault="00E145E1">
            <w:pPr>
              <w:jc w:val="center"/>
              <w:rPr>
                <w:rFonts w:ascii="Times New Roman" w:hAnsi="Times New Roman"/>
                <w:sz w:val="18"/>
                <w:szCs w:val="18"/>
              </w:rPr>
            </w:pPr>
            <w:r>
              <w:rPr>
                <w:rFonts w:ascii="Times New Roman" w:hAnsi="Times New Roman"/>
                <w:sz w:val="18"/>
                <w:szCs w:val="18"/>
              </w:rPr>
              <w:t>Otrzymane zabezpieczenie spełnia wymogi operacyjne zgodne z art. 8</w:t>
            </w:r>
          </w:p>
        </w:tc>
        <w:tc>
          <w:tcPr>
            <w:tcW w:w="989" w:type="dxa"/>
            <w:shd w:val="clear" w:color="auto" w:fill="auto"/>
            <w:vAlign w:val="center"/>
          </w:tcPr>
          <w:p w14:paraId="0BDB460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7619C378"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1A0B09" w14:paraId="311E1B0B" w14:textId="77777777" w:rsidTr="008A4CE5">
        <w:trPr>
          <w:jc w:val="center"/>
        </w:trPr>
        <w:tc>
          <w:tcPr>
            <w:tcW w:w="906" w:type="dxa"/>
            <w:vMerge/>
            <w:shd w:val="clear" w:color="auto" w:fill="auto"/>
            <w:vAlign w:val="center"/>
          </w:tcPr>
          <w:p w14:paraId="47F72F47" w14:textId="77777777" w:rsidR="001A0B09" w:rsidRDefault="001A0B09">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1A0B09" w:rsidRDefault="001A0B09">
            <w:pPr>
              <w:jc w:val="center"/>
              <w:rPr>
                <w:rFonts w:ascii="Times New Roman" w:hAnsi="Times New Roman"/>
                <w:sz w:val="18"/>
                <w:szCs w:val="18"/>
              </w:rPr>
            </w:pPr>
          </w:p>
        </w:tc>
        <w:tc>
          <w:tcPr>
            <w:tcW w:w="989" w:type="dxa"/>
            <w:shd w:val="clear" w:color="auto" w:fill="auto"/>
            <w:vAlign w:val="center"/>
          </w:tcPr>
          <w:p w14:paraId="7DEB9511"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51C296C0"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1A0B09" w14:paraId="5981862B" w14:textId="77777777" w:rsidTr="008A4CE5">
        <w:trPr>
          <w:jc w:val="center"/>
        </w:trPr>
        <w:tc>
          <w:tcPr>
            <w:tcW w:w="906" w:type="dxa"/>
            <w:vMerge w:val="restart"/>
            <w:shd w:val="clear" w:color="auto" w:fill="auto"/>
            <w:vAlign w:val="center"/>
          </w:tcPr>
          <w:p w14:paraId="6B003FEC" w14:textId="77777777" w:rsidR="001A0B09"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1A0B09" w:rsidRDefault="00E145E1">
            <w:pPr>
              <w:jc w:val="left"/>
              <w:rPr>
                <w:rFonts w:ascii="Times New Roman" w:hAnsi="Times New Roman"/>
                <w:sz w:val="18"/>
                <w:szCs w:val="18"/>
              </w:rPr>
            </w:pPr>
            <w:r>
              <w:rPr>
                <w:rFonts w:ascii="Times New Roman" w:hAnsi="Times New Roman"/>
                <w:sz w:val="18"/>
                <w:szCs w:val="18"/>
              </w:rPr>
              <w:t>Zabezpieczona transakcja finansowania zabezpieczona przez (art. 32 ust. 3 lit. b))</w:t>
            </w:r>
          </w:p>
        </w:tc>
        <w:tc>
          <w:tcPr>
            <w:tcW w:w="724" w:type="dxa"/>
            <w:vMerge w:val="restart"/>
            <w:shd w:val="clear" w:color="auto" w:fill="auto"/>
            <w:vAlign w:val="center"/>
          </w:tcPr>
          <w:p w14:paraId="5A3420BB" w14:textId="77777777" w:rsidR="001A0B09"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1, z wyłączeniem obligacji zabezpieczonych charakteryzujących się wyjątkowo wysoką jakością</w:t>
            </w:r>
          </w:p>
        </w:tc>
        <w:tc>
          <w:tcPr>
            <w:tcW w:w="989" w:type="dxa"/>
            <w:shd w:val="clear" w:color="auto" w:fill="auto"/>
            <w:vAlign w:val="center"/>
          </w:tcPr>
          <w:p w14:paraId="384BC4DF"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4DCC66F1" w14:textId="2072885A"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309, pkt 1.2.2.1.1. + </w:t>
            </w:r>
          </w:p>
          <w:p w14:paraId="359613C7" w14:textId="64E5A68E"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311, pkt 1.2.2.1.1.1.</w:t>
            </w:r>
          </w:p>
        </w:tc>
      </w:tr>
      <w:tr w:rsidR="001A0B09" w14:paraId="53F09526" w14:textId="77777777" w:rsidTr="008A4CE5">
        <w:trPr>
          <w:jc w:val="center"/>
        </w:trPr>
        <w:tc>
          <w:tcPr>
            <w:tcW w:w="906" w:type="dxa"/>
            <w:vMerge/>
            <w:shd w:val="clear" w:color="auto" w:fill="auto"/>
            <w:vAlign w:val="center"/>
          </w:tcPr>
          <w:p w14:paraId="59050765"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30F99D7C"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731B782F"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7FDE909E" w14:textId="77777777" w:rsidR="001A0B09" w:rsidRDefault="001A0B09">
            <w:pPr>
              <w:jc w:val="left"/>
              <w:rPr>
                <w:rFonts w:ascii="Times New Roman" w:hAnsi="Times New Roman"/>
                <w:sz w:val="18"/>
                <w:szCs w:val="18"/>
              </w:rPr>
            </w:pPr>
          </w:p>
        </w:tc>
        <w:tc>
          <w:tcPr>
            <w:tcW w:w="989" w:type="dxa"/>
            <w:shd w:val="clear" w:color="auto" w:fill="auto"/>
            <w:vAlign w:val="center"/>
          </w:tcPr>
          <w:p w14:paraId="185EECD2"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0CAFEBAA"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1A0B09" w14:paraId="06B0681B" w14:textId="77777777" w:rsidTr="008A4CE5">
        <w:trPr>
          <w:jc w:val="center"/>
        </w:trPr>
        <w:tc>
          <w:tcPr>
            <w:tcW w:w="906" w:type="dxa"/>
            <w:vMerge/>
            <w:shd w:val="clear" w:color="auto" w:fill="auto"/>
            <w:vAlign w:val="center"/>
          </w:tcPr>
          <w:p w14:paraId="4F96BC14"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64BA2CF8"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555C20E6" w14:textId="77777777" w:rsidR="001A0B09"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1 w postaci obligacji zabezpieczonych charakteryzujących się wyjątkowo wysoką jakością</w:t>
            </w:r>
          </w:p>
        </w:tc>
        <w:tc>
          <w:tcPr>
            <w:tcW w:w="989" w:type="dxa"/>
            <w:shd w:val="clear" w:color="auto" w:fill="auto"/>
            <w:vAlign w:val="center"/>
          </w:tcPr>
          <w:p w14:paraId="6E5AF26A"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3212CC7D" w14:textId="593388D3"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313, pkt 1.2.2.1.2. + </w:t>
            </w:r>
          </w:p>
          <w:p w14:paraId="163B942E" w14:textId="2914EE6E"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315, pkt 1.2.2.1.2.1.</w:t>
            </w:r>
          </w:p>
        </w:tc>
      </w:tr>
      <w:tr w:rsidR="001A0B09" w14:paraId="3CE34452" w14:textId="77777777" w:rsidTr="008A4CE5">
        <w:trPr>
          <w:jc w:val="center"/>
        </w:trPr>
        <w:tc>
          <w:tcPr>
            <w:tcW w:w="906" w:type="dxa"/>
            <w:vMerge/>
            <w:shd w:val="clear" w:color="auto" w:fill="auto"/>
            <w:vAlign w:val="center"/>
          </w:tcPr>
          <w:p w14:paraId="38967A8C"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7FE8232C"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079A58C8"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474CA5A1" w14:textId="77777777" w:rsidR="001A0B09" w:rsidRDefault="001A0B09">
            <w:pPr>
              <w:jc w:val="left"/>
              <w:rPr>
                <w:rFonts w:ascii="Times New Roman" w:hAnsi="Times New Roman"/>
                <w:sz w:val="18"/>
                <w:szCs w:val="18"/>
              </w:rPr>
            </w:pPr>
          </w:p>
        </w:tc>
        <w:tc>
          <w:tcPr>
            <w:tcW w:w="989" w:type="dxa"/>
            <w:shd w:val="clear" w:color="auto" w:fill="auto"/>
            <w:vAlign w:val="center"/>
          </w:tcPr>
          <w:p w14:paraId="627AFB6F"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230CCB62"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1A0B09" w14:paraId="29D6C173" w14:textId="77777777" w:rsidTr="008A4CE5">
        <w:trPr>
          <w:jc w:val="center"/>
        </w:trPr>
        <w:tc>
          <w:tcPr>
            <w:tcW w:w="906" w:type="dxa"/>
            <w:vMerge/>
            <w:shd w:val="clear" w:color="auto" w:fill="auto"/>
            <w:vAlign w:val="center"/>
          </w:tcPr>
          <w:p w14:paraId="75C0CFD5"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00F21A9D"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62F3B2CE" w14:textId="77777777" w:rsidR="001A0B09"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2A</w:t>
            </w:r>
          </w:p>
        </w:tc>
        <w:tc>
          <w:tcPr>
            <w:tcW w:w="989" w:type="dxa"/>
            <w:shd w:val="clear" w:color="auto" w:fill="auto"/>
            <w:vAlign w:val="center"/>
          </w:tcPr>
          <w:p w14:paraId="615B8102"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0E710F68" w14:textId="230BBB65"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317, pkt 1.2.2.1.3. + </w:t>
            </w:r>
          </w:p>
          <w:p w14:paraId="2268CEEB" w14:textId="1420C578"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319, pkt 1.2.2.1.3.1.</w:t>
            </w:r>
          </w:p>
        </w:tc>
      </w:tr>
      <w:tr w:rsidR="001A0B09" w14:paraId="140E5D98" w14:textId="77777777" w:rsidTr="008A4CE5">
        <w:trPr>
          <w:jc w:val="center"/>
        </w:trPr>
        <w:tc>
          <w:tcPr>
            <w:tcW w:w="906" w:type="dxa"/>
            <w:vMerge/>
            <w:shd w:val="clear" w:color="auto" w:fill="auto"/>
            <w:vAlign w:val="center"/>
          </w:tcPr>
          <w:p w14:paraId="2EC81578"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4CEC7B61"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27460976"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44E5C9CF" w14:textId="77777777" w:rsidR="001A0B09" w:rsidRDefault="001A0B09">
            <w:pPr>
              <w:jc w:val="left"/>
              <w:rPr>
                <w:rFonts w:ascii="Times New Roman" w:hAnsi="Times New Roman"/>
                <w:sz w:val="18"/>
                <w:szCs w:val="18"/>
              </w:rPr>
            </w:pPr>
          </w:p>
        </w:tc>
        <w:tc>
          <w:tcPr>
            <w:tcW w:w="989" w:type="dxa"/>
            <w:shd w:val="clear" w:color="auto" w:fill="auto"/>
            <w:vAlign w:val="center"/>
          </w:tcPr>
          <w:p w14:paraId="3E7BF127"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3DF2EAC"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1A0B09" w14:paraId="75940061" w14:textId="77777777" w:rsidTr="008A4CE5">
        <w:trPr>
          <w:jc w:val="center"/>
        </w:trPr>
        <w:tc>
          <w:tcPr>
            <w:tcW w:w="906" w:type="dxa"/>
            <w:vMerge/>
            <w:shd w:val="clear" w:color="auto" w:fill="auto"/>
            <w:vAlign w:val="center"/>
          </w:tcPr>
          <w:p w14:paraId="06295349"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7A6CBA6F"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383926E4" w14:textId="77777777" w:rsidR="001A0B09"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1A0B09" w:rsidRDefault="00E145E1">
            <w:pPr>
              <w:jc w:val="left"/>
              <w:rPr>
                <w:rFonts w:ascii="Times New Roman" w:hAnsi="Times New Roman"/>
                <w:sz w:val="18"/>
                <w:szCs w:val="18"/>
              </w:rPr>
            </w:pPr>
            <w:r>
              <w:rPr>
                <w:rFonts w:ascii="Times New Roman" w:hAnsi="Times New Roman"/>
                <w:sz w:val="18"/>
                <w:szCs w:val="18"/>
              </w:rPr>
              <w:t xml:space="preserve">zabezpieczenie aktywami </w:t>
            </w:r>
            <w:r>
              <w:rPr>
                <w:rFonts w:ascii="Times New Roman" w:hAnsi="Times New Roman"/>
                <w:sz w:val="18"/>
                <w:szCs w:val="18"/>
              </w:rPr>
              <w:lastRenderedPageBreak/>
              <w:t>poziomu 2B w postaci papierów wartościowych zabezpieczonych aktywami (kredyty na nieruchomości mieszkalne lub na zakup samochodów)</w:t>
            </w:r>
          </w:p>
        </w:tc>
        <w:tc>
          <w:tcPr>
            <w:tcW w:w="989" w:type="dxa"/>
            <w:shd w:val="clear" w:color="auto" w:fill="auto"/>
            <w:vAlign w:val="center"/>
          </w:tcPr>
          <w:p w14:paraId="24330DA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Tak</w:t>
            </w:r>
          </w:p>
        </w:tc>
        <w:tc>
          <w:tcPr>
            <w:tcW w:w="2150" w:type="dxa"/>
            <w:shd w:val="clear" w:color="auto" w:fill="auto"/>
            <w:vAlign w:val="center"/>
          </w:tcPr>
          <w:p w14:paraId="559F1F39" w14:textId="484453C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321, pkt 1.2.2.1.4. </w:t>
            </w:r>
            <w:r>
              <w:rPr>
                <w:rFonts w:ascii="Times New Roman" w:hAnsi="Times New Roman"/>
                <w:sz w:val="18"/>
                <w:szCs w:val="18"/>
              </w:rPr>
              <w:lastRenderedPageBreak/>
              <w:t xml:space="preserve">+ </w:t>
            </w:r>
          </w:p>
          <w:p w14:paraId="547DB4F5" w14:textId="004EC234"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323, pkt 1.2.2.1.4.1.</w:t>
            </w:r>
          </w:p>
        </w:tc>
      </w:tr>
      <w:tr w:rsidR="001A0B09" w14:paraId="530FF148" w14:textId="77777777" w:rsidTr="008A4CE5">
        <w:trPr>
          <w:jc w:val="center"/>
        </w:trPr>
        <w:tc>
          <w:tcPr>
            <w:tcW w:w="906" w:type="dxa"/>
            <w:vMerge/>
            <w:shd w:val="clear" w:color="auto" w:fill="auto"/>
            <w:vAlign w:val="center"/>
          </w:tcPr>
          <w:p w14:paraId="49DF8039"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1E46F5A2"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234A030C"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6963A9DD" w14:textId="77777777" w:rsidR="001A0B09" w:rsidRDefault="001A0B09">
            <w:pPr>
              <w:jc w:val="left"/>
              <w:rPr>
                <w:rFonts w:ascii="Times New Roman" w:hAnsi="Times New Roman"/>
                <w:sz w:val="18"/>
                <w:szCs w:val="18"/>
              </w:rPr>
            </w:pPr>
          </w:p>
        </w:tc>
        <w:tc>
          <w:tcPr>
            <w:tcW w:w="989" w:type="dxa"/>
            <w:shd w:val="clear" w:color="auto" w:fill="auto"/>
            <w:vAlign w:val="center"/>
          </w:tcPr>
          <w:p w14:paraId="2F788091"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CE90920"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1A0B09" w14:paraId="2E4650DE" w14:textId="77777777" w:rsidTr="00454544">
        <w:trPr>
          <w:trHeight w:val="680"/>
          <w:jc w:val="center"/>
        </w:trPr>
        <w:tc>
          <w:tcPr>
            <w:tcW w:w="906" w:type="dxa"/>
            <w:vMerge/>
            <w:shd w:val="clear" w:color="auto" w:fill="auto"/>
            <w:vAlign w:val="center"/>
          </w:tcPr>
          <w:p w14:paraId="25A83D23"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423E235C"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64DF4A60" w14:textId="77777777" w:rsidR="001A0B09"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obligacji zabezpieczonych charakteryzujących się wysoką jakością</w:t>
            </w:r>
          </w:p>
        </w:tc>
        <w:tc>
          <w:tcPr>
            <w:tcW w:w="989" w:type="dxa"/>
            <w:shd w:val="clear" w:color="auto" w:fill="auto"/>
            <w:vAlign w:val="center"/>
          </w:tcPr>
          <w:p w14:paraId="438331A9"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1B14EBED" w14:textId="687CEE40"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325, pkt 1.2.2.1.5. + </w:t>
            </w:r>
          </w:p>
          <w:p w14:paraId="0CAB9A2C" w14:textId="1BCCF149"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327, pkt 1.2.2.1.5.1.</w:t>
            </w:r>
          </w:p>
        </w:tc>
      </w:tr>
      <w:tr w:rsidR="001A0B09" w14:paraId="6486952B" w14:textId="77777777" w:rsidTr="00454544">
        <w:trPr>
          <w:trHeight w:val="283"/>
          <w:jc w:val="center"/>
        </w:trPr>
        <w:tc>
          <w:tcPr>
            <w:tcW w:w="906" w:type="dxa"/>
            <w:vMerge/>
            <w:shd w:val="clear" w:color="auto" w:fill="auto"/>
            <w:vAlign w:val="center"/>
          </w:tcPr>
          <w:p w14:paraId="5A99280B"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40A20E34"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2407C36C"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58E0DA9A" w14:textId="77777777" w:rsidR="001A0B09" w:rsidRDefault="001A0B09">
            <w:pPr>
              <w:jc w:val="left"/>
              <w:rPr>
                <w:rFonts w:ascii="Times New Roman" w:hAnsi="Times New Roman"/>
                <w:sz w:val="18"/>
                <w:szCs w:val="18"/>
              </w:rPr>
            </w:pPr>
          </w:p>
        </w:tc>
        <w:tc>
          <w:tcPr>
            <w:tcW w:w="989" w:type="dxa"/>
            <w:shd w:val="clear" w:color="auto" w:fill="auto"/>
            <w:vAlign w:val="center"/>
          </w:tcPr>
          <w:p w14:paraId="452F340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EEB50C6"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1A0B09" w14:paraId="5EA2FEEF" w14:textId="77777777" w:rsidTr="008A4CE5">
        <w:trPr>
          <w:jc w:val="center"/>
        </w:trPr>
        <w:tc>
          <w:tcPr>
            <w:tcW w:w="906" w:type="dxa"/>
            <w:vMerge/>
            <w:shd w:val="clear" w:color="auto" w:fill="auto"/>
            <w:vAlign w:val="center"/>
          </w:tcPr>
          <w:p w14:paraId="1A157947"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44DA466D"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04CC8ED4" w14:textId="77777777" w:rsidR="001A0B09"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papierów wartościowych zabezpieczonych aktywami (kredyty komercyjne lub dla osób fizycznych)</w:t>
            </w:r>
          </w:p>
        </w:tc>
        <w:tc>
          <w:tcPr>
            <w:tcW w:w="989" w:type="dxa"/>
            <w:shd w:val="clear" w:color="auto" w:fill="auto"/>
            <w:vAlign w:val="center"/>
          </w:tcPr>
          <w:p w14:paraId="51A53122"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495AB73F" w14:textId="20512BD4"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329, pkt 1.2.2.1.6. + </w:t>
            </w:r>
          </w:p>
          <w:p w14:paraId="3834DA2F" w14:textId="650B213B"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331, pkt 1.2.2.1.6.1.</w:t>
            </w:r>
          </w:p>
        </w:tc>
      </w:tr>
      <w:tr w:rsidR="001A0B09" w14:paraId="43B93237" w14:textId="77777777" w:rsidTr="008A4CE5">
        <w:trPr>
          <w:jc w:val="center"/>
        </w:trPr>
        <w:tc>
          <w:tcPr>
            <w:tcW w:w="906" w:type="dxa"/>
            <w:vMerge/>
            <w:shd w:val="clear" w:color="auto" w:fill="auto"/>
            <w:vAlign w:val="center"/>
          </w:tcPr>
          <w:p w14:paraId="2E1B0A11"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5E5DEF96"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54BD3D49"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7AE4F3A8" w14:textId="77777777" w:rsidR="001A0B09" w:rsidRDefault="001A0B09">
            <w:pPr>
              <w:jc w:val="left"/>
              <w:rPr>
                <w:rFonts w:ascii="Times New Roman" w:hAnsi="Times New Roman"/>
                <w:sz w:val="18"/>
                <w:szCs w:val="18"/>
              </w:rPr>
            </w:pPr>
          </w:p>
        </w:tc>
        <w:tc>
          <w:tcPr>
            <w:tcW w:w="989" w:type="dxa"/>
            <w:shd w:val="clear" w:color="auto" w:fill="auto"/>
            <w:vAlign w:val="center"/>
          </w:tcPr>
          <w:p w14:paraId="3C64619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720033D1" w14:textId="7706BDA1"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Wiersz 333, pkt 1.2.2.1.7. + </w:t>
            </w:r>
          </w:p>
          <w:p w14:paraId="0CD0DCF4" w14:textId="58A5CA9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335, pkt 1.2.2.1.7.1.</w:t>
            </w:r>
          </w:p>
        </w:tc>
      </w:tr>
      <w:tr w:rsidR="001A0B09" w14:paraId="20B14BB7" w14:textId="77777777" w:rsidTr="008A4CE5">
        <w:trPr>
          <w:trHeight w:val="454"/>
          <w:jc w:val="center"/>
        </w:trPr>
        <w:tc>
          <w:tcPr>
            <w:tcW w:w="906" w:type="dxa"/>
            <w:vMerge w:val="restart"/>
            <w:shd w:val="clear" w:color="auto" w:fill="auto"/>
            <w:vAlign w:val="center"/>
          </w:tcPr>
          <w:p w14:paraId="32C83CF3" w14:textId="77777777" w:rsidR="001A0B09"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1A0B09" w:rsidRDefault="00E145E1">
            <w:pPr>
              <w:jc w:val="center"/>
              <w:rPr>
                <w:rFonts w:ascii="Times New Roman" w:hAnsi="Times New Roman"/>
                <w:sz w:val="18"/>
                <w:szCs w:val="18"/>
              </w:rPr>
            </w:pPr>
            <w:r>
              <w:rPr>
                <w:rFonts w:ascii="Times New Roman" w:hAnsi="Times New Roman"/>
                <w:sz w:val="18"/>
                <w:szCs w:val="18"/>
              </w:rPr>
              <w:t>Zabezpieczona transakcja finansowania zabezpieczona przez (art. 32 ust. 3 lit. b))</w:t>
            </w:r>
          </w:p>
        </w:tc>
        <w:tc>
          <w:tcPr>
            <w:tcW w:w="724" w:type="dxa"/>
            <w:vMerge w:val="restart"/>
            <w:shd w:val="clear" w:color="auto" w:fill="auto"/>
            <w:vAlign w:val="center"/>
          </w:tcPr>
          <w:p w14:paraId="437561DD" w14:textId="77777777" w:rsidR="001A0B09" w:rsidRDefault="00E145E1">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1, z wyłączeniem obligacji zabezpieczonych charakteryzujących się wyjątkowo wysoką jakością</w:t>
            </w:r>
          </w:p>
        </w:tc>
        <w:tc>
          <w:tcPr>
            <w:tcW w:w="989" w:type="dxa"/>
            <w:shd w:val="clear" w:color="auto" w:fill="auto"/>
            <w:vAlign w:val="center"/>
          </w:tcPr>
          <w:p w14:paraId="4CB6DA28"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1DDC1F81" w14:textId="6B59DB7E"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309, pkt 1.2.2.1.1.</w:t>
            </w:r>
          </w:p>
        </w:tc>
      </w:tr>
      <w:tr w:rsidR="001A0B09" w14:paraId="53D5E55C" w14:textId="77777777" w:rsidTr="008A4CE5">
        <w:trPr>
          <w:jc w:val="center"/>
        </w:trPr>
        <w:tc>
          <w:tcPr>
            <w:tcW w:w="906" w:type="dxa"/>
            <w:vMerge/>
            <w:shd w:val="clear" w:color="auto" w:fill="auto"/>
            <w:vAlign w:val="center"/>
          </w:tcPr>
          <w:p w14:paraId="4CB279A1"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75F100A2"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39B23D50"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05E706A6" w14:textId="77777777" w:rsidR="001A0B09" w:rsidRDefault="001A0B09">
            <w:pPr>
              <w:jc w:val="left"/>
              <w:rPr>
                <w:rFonts w:ascii="Times New Roman" w:hAnsi="Times New Roman"/>
                <w:sz w:val="18"/>
                <w:szCs w:val="18"/>
              </w:rPr>
            </w:pPr>
          </w:p>
        </w:tc>
        <w:tc>
          <w:tcPr>
            <w:tcW w:w="989" w:type="dxa"/>
            <w:shd w:val="clear" w:color="auto" w:fill="auto"/>
            <w:vAlign w:val="center"/>
          </w:tcPr>
          <w:p w14:paraId="0AF6C6F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83B3E68"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1A0B09" w14:paraId="25F0CC92" w14:textId="77777777" w:rsidTr="008A4CE5">
        <w:trPr>
          <w:trHeight w:val="454"/>
          <w:jc w:val="center"/>
        </w:trPr>
        <w:tc>
          <w:tcPr>
            <w:tcW w:w="906" w:type="dxa"/>
            <w:vMerge/>
            <w:shd w:val="clear" w:color="auto" w:fill="auto"/>
            <w:vAlign w:val="center"/>
          </w:tcPr>
          <w:p w14:paraId="4FCCE27F"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021A0772"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3B9C43B5" w14:textId="77777777" w:rsidR="001A0B09"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1 w postaci obligacji zabezpieczonych charakteryzujących się wyjątkowo wysoką jakością</w:t>
            </w:r>
          </w:p>
        </w:tc>
        <w:tc>
          <w:tcPr>
            <w:tcW w:w="989" w:type="dxa"/>
            <w:shd w:val="clear" w:color="auto" w:fill="auto"/>
            <w:vAlign w:val="center"/>
          </w:tcPr>
          <w:p w14:paraId="0D347D83"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31BFCB8E" w14:textId="71466C6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313, pkt 1.2.2.1.2.</w:t>
            </w:r>
          </w:p>
        </w:tc>
      </w:tr>
      <w:tr w:rsidR="001A0B09" w14:paraId="20C70C82" w14:textId="77777777" w:rsidTr="008A4CE5">
        <w:trPr>
          <w:jc w:val="center"/>
        </w:trPr>
        <w:tc>
          <w:tcPr>
            <w:tcW w:w="906" w:type="dxa"/>
            <w:vMerge/>
            <w:shd w:val="clear" w:color="auto" w:fill="auto"/>
            <w:vAlign w:val="center"/>
          </w:tcPr>
          <w:p w14:paraId="21E4C98B"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61149E6E"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6F0EBFFE"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23E871E8" w14:textId="77777777" w:rsidR="001A0B09" w:rsidRDefault="001A0B09">
            <w:pPr>
              <w:jc w:val="left"/>
              <w:rPr>
                <w:rFonts w:ascii="Times New Roman" w:hAnsi="Times New Roman"/>
                <w:sz w:val="18"/>
                <w:szCs w:val="18"/>
              </w:rPr>
            </w:pPr>
          </w:p>
        </w:tc>
        <w:tc>
          <w:tcPr>
            <w:tcW w:w="989" w:type="dxa"/>
            <w:shd w:val="clear" w:color="auto" w:fill="auto"/>
            <w:vAlign w:val="center"/>
          </w:tcPr>
          <w:p w14:paraId="276683DC"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22DD59B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1A0B09" w14:paraId="1388C1B3" w14:textId="77777777" w:rsidTr="008A4CE5">
        <w:trPr>
          <w:jc w:val="center"/>
        </w:trPr>
        <w:tc>
          <w:tcPr>
            <w:tcW w:w="906" w:type="dxa"/>
            <w:vMerge/>
            <w:shd w:val="clear" w:color="auto" w:fill="auto"/>
            <w:vAlign w:val="center"/>
          </w:tcPr>
          <w:p w14:paraId="0F37A0F6"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6426A6A7"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39D431BB" w14:textId="77777777" w:rsidR="001A0B09"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2A</w:t>
            </w:r>
          </w:p>
        </w:tc>
        <w:tc>
          <w:tcPr>
            <w:tcW w:w="989" w:type="dxa"/>
            <w:shd w:val="clear" w:color="auto" w:fill="auto"/>
            <w:vAlign w:val="center"/>
          </w:tcPr>
          <w:p w14:paraId="2694D43F"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369F2CDC" w14:textId="35B9A088"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317, pkt 1.2.2.1.3.</w:t>
            </w:r>
          </w:p>
        </w:tc>
      </w:tr>
      <w:tr w:rsidR="001A0B09" w14:paraId="166B5CF7" w14:textId="77777777" w:rsidTr="008A4CE5">
        <w:trPr>
          <w:jc w:val="center"/>
        </w:trPr>
        <w:tc>
          <w:tcPr>
            <w:tcW w:w="906" w:type="dxa"/>
            <w:vMerge/>
            <w:shd w:val="clear" w:color="auto" w:fill="auto"/>
            <w:vAlign w:val="center"/>
          </w:tcPr>
          <w:p w14:paraId="007BB856"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255B7996"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415427C4"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548658FD" w14:textId="77777777" w:rsidR="001A0B09" w:rsidRDefault="001A0B09">
            <w:pPr>
              <w:jc w:val="left"/>
              <w:rPr>
                <w:rFonts w:ascii="Times New Roman" w:hAnsi="Times New Roman"/>
                <w:sz w:val="18"/>
                <w:szCs w:val="18"/>
              </w:rPr>
            </w:pPr>
          </w:p>
        </w:tc>
        <w:tc>
          <w:tcPr>
            <w:tcW w:w="989" w:type="dxa"/>
            <w:shd w:val="clear" w:color="auto" w:fill="auto"/>
            <w:vAlign w:val="center"/>
          </w:tcPr>
          <w:p w14:paraId="4110CEB5"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CD6C5B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1A0B09" w14:paraId="743D15B4" w14:textId="77777777" w:rsidTr="008A4CE5">
        <w:trPr>
          <w:trHeight w:val="454"/>
          <w:jc w:val="center"/>
        </w:trPr>
        <w:tc>
          <w:tcPr>
            <w:tcW w:w="906" w:type="dxa"/>
            <w:vMerge/>
            <w:shd w:val="clear" w:color="auto" w:fill="auto"/>
            <w:vAlign w:val="center"/>
          </w:tcPr>
          <w:p w14:paraId="2FDA29A7"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5F7CAECD"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4D4AE515" w14:textId="77777777" w:rsidR="001A0B09"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papierów wartościowych zabezpieczonych aktywami (kredyty na nieruchomości mieszkalne lub na zakup samochodów)</w:t>
            </w:r>
          </w:p>
        </w:tc>
        <w:tc>
          <w:tcPr>
            <w:tcW w:w="989" w:type="dxa"/>
            <w:shd w:val="clear" w:color="auto" w:fill="auto"/>
            <w:vAlign w:val="center"/>
          </w:tcPr>
          <w:p w14:paraId="28BDB9B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1189F307" w14:textId="2D5057A6"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321, pkt 1.2.2.1.4.</w:t>
            </w:r>
          </w:p>
        </w:tc>
      </w:tr>
      <w:tr w:rsidR="001A0B09" w14:paraId="1701D6F7" w14:textId="77777777" w:rsidTr="008A4CE5">
        <w:trPr>
          <w:jc w:val="center"/>
        </w:trPr>
        <w:tc>
          <w:tcPr>
            <w:tcW w:w="906" w:type="dxa"/>
            <w:vMerge/>
            <w:shd w:val="clear" w:color="auto" w:fill="auto"/>
            <w:vAlign w:val="center"/>
          </w:tcPr>
          <w:p w14:paraId="66768323"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6B91D384"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546C6E2E"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5ECBC508" w14:textId="77777777" w:rsidR="001A0B09" w:rsidRDefault="001A0B09">
            <w:pPr>
              <w:jc w:val="left"/>
              <w:rPr>
                <w:rFonts w:ascii="Times New Roman" w:hAnsi="Times New Roman"/>
                <w:sz w:val="18"/>
                <w:szCs w:val="18"/>
              </w:rPr>
            </w:pPr>
          </w:p>
        </w:tc>
        <w:tc>
          <w:tcPr>
            <w:tcW w:w="989" w:type="dxa"/>
            <w:shd w:val="clear" w:color="auto" w:fill="auto"/>
            <w:vAlign w:val="center"/>
          </w:tcPr>
          <w:p w14:paraId="4A52BA71"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62C76886"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1A0B09" w14:paraId="4CB6FD39" w14:textId="77777777" w:rsidTr="008A4CE5">
        <w:trPr>
          <w:trHeight w:val="340"/>
          <w:jc w:val="center"/>
        </w:trPr>
        <w:tc>
          <w:tcPr>
            <w:tcW w:w="906" w:type="dxa"/>
            <w:vMerge/>
            <w:shd w:val="clear" w:color="auto" w:fill="auto"/>
            <w:vAlign w:val="center"/>
          </w:tcPr>
          <w:p w14:paraId="3CA085FE"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754126F4"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5F805BFE" w14:textId="77777777" w:rsidR="001A0B09"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obligacji zabezpieczonych charakteryzujących się wysoką jakością</w:t>
            </w:r>
          </w:p>
        </w:tc>
        <w:tc>
          <w:tcPr>
            <w:tcW w:w="989" w:type="dxa"/>
            <w:shd w:val="clear" w:color="auto" w:fill="auto"/>
            <w:vAlign w:val="center"/>
          </w:tcPr>
          <w:p w14:paraId="345BA47E"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3AC25801" w14:textId="7E3F57C3"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325, pkt 1.2.2.1.5.</w:t>
            </w:r>
          </w:p>
        </w:tc>
      </w:tr>
      <w:tr w:rsidR="001A0B09" w14:paraId="2EA4D785" w14:textId="77777777" w:rsidTr="008A4CE5">
        <w:trPr>
          <w:jc w:val="center"/>
        </w:trPr>
        <w:tc>
          <w:tcPr>
            <w:tcW w:w="906" w:type="dxa"/>
            <w:vMerge/>
            <w:shd w:val="clear" w:color="auto" w:fill="auto"/>
            <w:vAlign w:val="center"/>
          </w:tcPr>
          <w:p w14:paraId="231D4BE6"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35F58861"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277DB234"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1C2A3AE0" w14:textId="77777777" w:rsidR="001A0B09" w:rsidRDefault="001A0B09">
            <w:pPr>
              <w:jc w:val="left"/>
              <w:rPr>
                <w:rFonts w:ascii="Times New Roman" w:hAnsi="Times New Roman"/>
                <w:sz w:val="18"/>
                <w:szCs w:val="18"/>
              </w:rPr>
            </w:pPr>
          </w:p>
        </w:tc>
        <w:tc>
          <w:tcPr>
            <w:tcW w:w="989" w:type="dxa"/>
            <w:shd w:val="clear" w:color="auto" w:fill="auto"/>
            <w:vAlign w:val="center"/>
          </w:tcPr>
          <w:p w14:paraId="1B216FE1"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6CCDCFAB"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1A0B09" w14:paraId="65AEB410" w14:textId="77777777" w:rsidTr="008A4CE5">
        <w:trPr>
          <w:trHeight w:val="397"/>
          <w:jc w:val="center"/>
        </w:trPr>
        <w:tc>
          <w:tcPr>
            <w:tcW w:w="906" w:type="dxa"/>
            <w:vMerge/>
            <w:shd w:val="clear" w:color="auto" w:fill="auto"/>
            <w:vAlign w:val="center"/>
          </w:tcPr>
          <w:p w14:paraId="04ECE1A9"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0E99C9CB"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3CDF2978" w14:textId="77777777" w:rsidR="001A0B09"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1A0B09" w:rsidRDefault="00E145E1">
            <w:pPr>
              <w:jc w:val="left"/>
              <w:rPr>
                <w:rFonts w:ascii="Times New Roman" w:hAnsi="Times New Roman"/>
                <w:sz w:val="18"/>
                <w:szCs w:val="18"/>
              </w:rPr>
            </w:pPr>
            <w:r>
              <w:rPr>
                <w:rFonts w:ascii="Times New Roman" w:hAnsi="Times New Roman"/>
                <w:sz w:val="18"/>
                <w:szCs w:val="18"/>
              </w:rPr>
              <w:t>Zabezpieczenie aktywami poziomu 2B w postaci papierów wartościowych zabezpieczonych aktywami (kredyty komercyjne lub dla osób fizycznych)</w:t>
            </w:r>
          </w:p>
        </w:tc>
        <w:tc>
          <w:tcPr>
            <w:tcW w:w="989" w:type="dxa"/>
            <w:shd w:val="clear" w:color="auto" w:fill="auto"/>
            <w:vAlign w:val="center"/>
          </w:tcPr>
          <w:p w14:paraId="298E06FA"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48AE66E8" w14:textId="5F16D996"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329, pkt 1.2.2.1.6.</w:t>
            </w:r>
          </w:p>
        </w:tc>
      </w:tr>
      <w:tr w:rsidR="001A0B09" w14:paraId="168D21F3" w14:textId="77777777" w:rsidTr="008A4CE5">
        <w:trPr>
          <w:jc w:val="center"/>
        </w:trPr>
        <w:tc>
          <w:tcPr>
            <w:tcW w:w="906" w:type="dxa"/>
            <w:vMerge/>
            <w:shd w:val="clear" w:color="auto" w:fill="auto"/>
            <w:vAlign w:val="center"/>
          </w:tcPr>
          <w:p w14:paraId="7A3EA539"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50556CA0"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783505C5"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252B59FE" w14:textId="77777777" w:rsidR="001A0B09" w:rsidRDefault="001A0B09">
            <w:pPr>
              <w:jc w:val="left"/>
              <w:rPr>
                <w:rFonts w:ascii="Times New Roman" w:hAnsi="Times New Roman"/>
                <w:sz w:val="18"/>
                <w:szCs w:val="18"/>
              </w:rPr>
            </w:pPr>
          </w:p>
        </w:tc>
        <w:tc>
          <w:tcPr>
            <w:tcW w:w="989" w:type="dxa"/>
            <w:shd w:val="clear" w:color="auto" w:fill="auto"/>
            <w:vAlign w:val="center"/>
          </w:tcPr>
          <w:p w14:paraId="0B282FD5"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1FBFA797" w14:textId="0AA6322D"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333, pkt 1.2.2.1.7.</w:t>
            </w:r>
          </w:p>
        </w:tc>
      </w:tr>
      <w:tr w:rsidR="001A0B09" w14:paraId="74166CD9" w14:textId="77777777" w:rsidTr="008A4CE5">
        <w:trPr>
          <w:trHeight w:val="397"/>
          <w:jc w:val="center"/>
        </w:trPr>
        <w:tc>
          <w:tcPr>
            <w:tcW w:w="906" w:type="dxa"/>
            <w:vMerge w:val="restart"/>
            <w:shd w:val="clear" w:color="auto" w:fill="auto"/>
            <w:vAlign w:val="center"/>
          </w:tcPr>
          <w:p w14:paraId="3F5C35CD" w14:textId="77777777" w:rsidR="001A0B09"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1A0B09" w:rsidRDefault="00E145E1">
            <w:pPr>
              <w:jc w:val="left"/>
              <w:rPr>
                <w:rFonts w:ascii="Times New Roman" w:hAnsi="Times New Roman"/>
                <w:sz w:val="18"/>
                <w:szCs w:val="18"/>
              </w:rPr>
            </w:pPr>
            <w:r>
              <w:rPr>
                <w:rFonts w:ascii="Times New Roman" w:hAnsi="Times New Roman"/>
                <w:sz w:val="18"/>
                <w:szCs w:val="18"/>
              </w:rPr>
              <w:t xml:space="preserve">Zabezpieczenie, które nie kwalifikuje się jako składnik aktywów płynnych (art. 32 ust. 3 </w:t>
            </w:r>
            <w:r>
              <w:rPr>
                <w:rFonts w:ascii="Times New Roman" w:hAnsi="Times New Roman"/>
                <w:sz w:val="18"/>
                <w:szCs w:val="18"/>
              </w:rPr>
              <w:lastRenderedPageBreak/>
              <w:t>lit. b))</w:t>
            </w:r>
          </w:p>
        </w:tc>
        <w:tc>
          <w:tcPr>
            <w:tcW w:w="724" w:type="dxa"/>
            <w:vMerge w:val="restart"/>
            <w:shd w:val="clear" w:color="auto" w:fill="auto"/>
            <w:vAlign w:val="center"/>
          </w:tcPr>
          <w:p w14:paraId="51305DF0" w14:textId="77777777" w:rsidR="001A0B09" w:rsidRDefault="00E145E1">
            <w:pPr>
              <w:jc w:val="center"/>
              <w:rPr>
                <w:rFonts w:ascii="Times New Roman" w:hAnsi="Times New Roman"/>
                <w:sz w:val="18"/>
                <w:szCs w:val="18"/>
              </w:rPr>
            </w:pPr>
            <w:r>
              <w:rPr>
                <w:rFonts w:ascii="Times New Roman" w:hAnsi="Times New Roman"/>
                <w:sz w:val="18"/>
                <w:szCs w:val="18"/>
              </w:rPr>
              <w:lastRenderedPageBreak/>
              <w:t># 36,1</w:t>
            </w:r>
          </w:p>
        </w:tc>
        <w:tc>
          <w:tcPr>
            <w:tcW w:w="2158" w:type="dxa"/>
            <w:vMerge w:val="restart"/>
            <w:shd w:val="clear" w:color="auto" w:fill="auto"/>
            <w:vAlign w:val="center"/>
          </w:tcPr>
          <w:p w14:paraId="4790A291" w14:textId="77777777" w:rsidR="001A0B09" w:rsidRDefault="00E145E1">
            <w:pPr>
              <w:jc w:val="left"/>
              <w:rPr>
                <w:rFonts w:ascii="Times New Roman" w:hAnsi="Times New Roman"/>
                <w:sz w:val="18"/>
                <w:szCs w:val="18"/>
              </w:rPr>
            </w:pPr>
            <w:r>
              <w:rPr>
                <w:rFonts w:ascii="Times New Roman" w:hAnsi="Times New Roman"/>
                <w:sz w:val="18"/>
                <w:szCs w:val="18"/>
              </w:rPr>
              <w:t xml:space="preserve">kredyty na depozyt zabezpieczający: zabezpieczenie w postaci </w:t>
            </w:r>
            <w:r>
              <w:rPr>
                <w:rFonts w:ascii="Times New Roman" w:hAnsi="Times New Roman"/>
                <w:sz w:val="18"/>
                <w:szCs w:val="18"/>
              </w:rPr>
              <w:lastRenderedPageBreak/>
              <w:t>aktywów niepłynnych</w:t>
            </w:r>
          </w:p>
        </w:tc>
        <w:tc>
          <w:tcPr>
            <w:tcW w:w="989" w:type="dxa"/>
            <w:shd w:val="clear" w:color="auto" w:fill="auto"/>
            <w:vAlign w:val="center"/>
          </w:tcPr>
          <w:p w14:paraId="12B9817A"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Tak</w:t>
            </w:r>
          </w:p>
        </w:tc>
        <w:tc>
          <w:tcPr>
            <w:tcW w:w="2150" w:type="dxa"/>
            <w:shd w:val="clear" w:color="auto" w:fill="auto"/>
            <w:vAlign w:val="center"/>
          </w:tcPr>
          <w:p w14:paraId="71A8CEE7" w14:textId="24DFA44B"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341, pkt 1.2.2.3.1.</w:t>
            </w:r>
          </w:p>
        </w:tc>
      </w:tr>
      <w:tr w:rsidR="001A0B09" w14:paraId="1002EC84" w14:textId="77777777" w:rsidTr="008A4CE5">
        <w:trPr>
          <w:jc w:val="center"/>
        </w:trPr>
        <w:tc>
          <w:tcPr>
            <w:tcW w:w="906" w:type="dxa"/>
            <w:vMerge/>
            <w:shd w:val="clear" w:color="auto" w:fill="auto"/>
            <w:vAlign w:val="center"/>
          </w:tcPr>
          <w:p w14:paraId="1B5AC7A1"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04A93CA4"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6B880830"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5CAF0482" w14:textId="77777777" w:rsidR="001A0B09" w:rsidRDefault="001A0B09">
            <w:pPr>
              <w:jc w:val="left"/>
              <w:rPr>
                <w:rFonts w:ascii="Times New Roman" w:hAnsi="Times New Roman"/>
                <w:sz w:val="18"/>
                <w:szCs w:val="18"/>
              </w:rPr>
            </w:pPr>
          </w:p>
        </w:tc>
        <w:tc>
          <w:tcPr>
            <w:tcW w:w="989" w:type="dxa"/>
            <w:shd w:val="clear" w:color="auto" w:fill="auto"/>
            <w:vAlign w:val="center"/>
          </w:tcPr>
          <w:p w14:paraId="414CDECC"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3D0BFD58"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1A0B09" w14:paraId="00773BDA" w14:textId="77777777" w:rsidTr="008A4CE5">
        <w:trPr>
          <w:trHeight w:val="340"/>
          <w:jc w:val="center"/>
        </w:trPr>
        <w:tc>
          <w:tcPr>
            <w:tcW w:w="906" w:type="dxa"/>
            <w:vMerge/>
            <w:shd w:val="clear" w:color="auto" w:fill="auto"/>
            <w:vAlign w:val="center"/>
          </w:tcPr>
          <w:p w14:paraId="5B384BBC"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19BE4597" w14:textId="77777777" w:rsidR="001A0B09" w:rsidRDefault="001A0B09">
            <w:pPr>
              <w:jc w:val="center"/>
              <w:rPr>
                <w:rFonts w:ascii="Times New Roman" w:hAnsi="Times New Roman"/>
                <w:sz w:val="18"/>
                <w:szCs w:val="18"/>
              </w:rPr>
            </w:pPr>
          </w:p>
        </w:tc>
        <w:tc>
          <w:tcPr>
            <w:tcW w:w="724" w:type="dxa"/>
            <w:vMerge w:val="restart"/>
            <w:shd w:val="clear" w:color="auto" w:fill="auto"/>
            <w:vAlign w:val="center"/>
          </w:tcPr>
          <w:p w14:paraId="3380609D" w14:textId="77777777" w:rsidR="001A0B09"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1A0B09" w:rsidRDefault="00E145E1">
            <w:pPr>
              <w:jc w:val="left"/>
              <w:rPr>
                <w:rFonts w:ascii="Times New Roman" w:hAnsi="Times New Roman"/>
                <w:sz w:val="18"/>
                <w:szCs w:val="18"/>
              </w:rPr>
            </w:pPr>
            <w:r>
              <w:rPr>
                <w:rFonts w:ascii="Times New Roman" w:hAnsi="Times New Roman"/>
                <w:sz w:val="18"/>
                <w:szCs w:val="18"/>
              </w:rPr>
              <w:t>zabezpieczenie w postaci niepłynnych instrumentów kapitałowych</w:t>
            </w:r>
          </w:p>
        </w:tc>
        <w:tc>
          <w:tcPr>
            <w:tcW w:w="989" w:type="dxa"/>
            <w:shd w:val="clear" w:color="auto" w:fill="auto"/>
            <w:vAlign w:val="center"/>
          </w:tcPr>
          <w:p w14:paraId="308ACE80"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Tak</w:t>
            </w:r>
          </w:p>
        </w:tc>
        <w:tc>
          <w:tcPr>
            <w:tcW w:w="2150" w:type="dxa"/>
            <w:shd w:val="clear" w:color="auto" w:fill="auto"/>
            <w:vAlign w:val="center"/>
          </w:tcPr>
          <w:p w14:paraId="5820E17C" w14:textId="32AE90B6"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343, pkt 1.2.2.3.2.</w:t>
            </w:r>
          </w:p>
        </w:tc>
      </w:tr>
      <w:tr w:rsidR="001A0B09" w14:paraId="69477F95" w14:textId="77777777" w:rsidTr="008A4CE5">
        <w:trPr>
          <w:jc w:val="center"/>
        </w:trPr>
        <w:tc>
          <w:tcPr>
            <w:tcW w:w="906" w:type="dxa"/>
            <w:vMerge/>
            <w:shd w:val="clear" w:color="auto" w:fill="auto"/>
            <w:vAlign w:val="center"/>
          </w:tcPr>
          <w:p w14:paraId="793FB996" w14:textId="77777777" w:rsidR="001A0B09" w:rsidRDefault="001A0B09">
            <w:pPr>
              <w:jc w:val="center"/>
              <w:rPr>
                <w:rFonts w:ascii="Times New Roman" w:hAnsi="Times New Roman"/>
                <w:sz w:val="18"/>
                <w:szCs w:val="18"/>
              </w:rPr>
            </w:pPr>
          </w:p>
        </w:tc>
        <w:tc>
          <w:tcPr>
            <w:tcW w:w="2706" w:type="dxa"/>
            <w:vMerge/>
            <w:shd w:val="clear" w:color="auto" w:fill="auto"/>
            <w:vAlign w:val="center"/>
          </w:tcPr>
          <w:p w14:paraId="1CBFB3D2" w14:textId="77777777" w:rsidR="001A0B09" w:rsidRDefault="001A0B09">
            <w:pPr>
              <w:jc w:val="center"/>
              <w:rPr>
                <w:rFonts w:ascii="Times New Roman" w:hAnsi="Times New Roman"/>
                <w:sz w:val="18"/>
                <w:szCs w:val="18"/>
              </w:rPr>
            </w:pPr>
          </w:p>
        </w:tc>
        <w:tc>
          <w:tcPr>
            <w:tcW w:w="724" w:type="dxa"/>
            <w:vMerge/>
            <w:shd w:val="clear" w:color="auto" w:fill="auto"/>
            <w:vAlign w:val="center"/>
          </w:tcPr>
          <w:p w14:paraId="016235C4" w14:textId="77777777" w:rsidR="001A0B09" w:rsidRDefault="001A0B09">
            <w:pPr>
              <w:jc w:val="center"/>
              <w:rPr>
                <w:rFonts w:ascii="Times New Roman" w:hAnsi="Times New Roman"/>
                <w:sz w:val="18"/>
                <w:szCs w:val="18"/>
              </w:rPr>
            </w:pPr>
          </w:p>
        </w:tc>
        <w:tc>
          <w:tcPr>
            <w:tcW w:w="2158" w:type="dxa"/>
            <w:vMerge/>
            <w:shd w:val="clear" w:color="auto" w:fill="auto"/>
            <w:vAlign w:val="center"/>
          </w:tcPr>
          <w:p w14:paraId="2FB555B4" w14:textId="77777777" w:rsidR="001A0B09" w:rsidRDefault="001A0B09">
            <w:pPr>
              <w:jc w:val="center"/>
              <w:rPr>
                <w:rFonts w:ascii="Times New Roman" w:hAnsi="Times New Roman"/>
                <w:sz w:val="18"/>
                <w:szCs w:val="18"/>
              </w:rPr>
            </w:pPr>
          </w:p>
        </w:tc>
        <w:tc>
          <w:tcPr>
            <w:tcW w:w="989" w:type="dxa"/>
            <w:shd w:val="clear" w:color="auto" w:fill="auto"/>
            <w:vAlign w:val="center"/>
          </w:tcPr>
          <w:p w14:paraId="5AA5A864" w14:textId="77777777"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50" w:type="dxa"/>
            <w:shd w:val="clear" w:color="auto" w:fill="auto"/>
            <w:vAlign w:val="center"/>
          </w:tcPr>
          <w:p w14:paraId="2039ED0B" w14:textId="6DF26A2F" w:rsidR="001A0B09"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Wiersz 345, pkt 1.2.2.3.3.</w:t>
            </w:r>
          </w:p>
        </w:tc>
      </w:tr>
    </w:tbl>
    <w:p w14:paraId="0243A7BD" w14:textId="77777777" w:rsidR="001A0B09" w:rsidRDefault="001A0B09">
      <w:pPr>
        <w:rPr>
          <w:rFonts w:ascii="Times New Roman" w:hAnsi="Times New Roman"/>
        </w:rPr>
      </w:pPr>
    </w:p>
    <w:p w14:paraId="4957F280" w14:textId="6400D4BC" w:rsidR="001A0B09"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Schemat podejmowania decyzji dotyczący kolumn w formularzu C 74.00 określonym w ZAŁĄCZNIKU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1A0B09" w14:paraId="68383171" w14:textId="77777777" w:rsidTr="00454544">
        <w:trPr>
          <w:jc w:val="center"/>
        </w:trPr>
        <w:tc>
          <w:tcPr>
            <w:tcW w:w="529" w:type="dxa"/>
            <w:shd w:val="clear" w:color="auto" w:fill="auto"/>
            <w:vAlign w:val="center"/>
          </w:tcPr>
          <w:p w14:paraId="4DFEFDA7" w14:textId="77777777" w:rsidR="001A0B09"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1A0B09"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Pozycja</w:t>
            </w:r>
          </w:p>
        </w:tc>
        <w:tc>
          <w:tcPr>
            <w:tcW w:w="1400" w:type="dxa"/>
            <w:shd w:val="clear" w:color="auto" w:fill="auto"/>
            <w:vAlign w:val="center"/>
          </w:tcPr>
          <w:p w14:paraId="595C83AC" w14:textId="77777777" w:rsidR="001A0B09"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Decyzja</w:t>
            </w:r>
          </w:p>
        </w:tc>
        <w:tc>
          <w:tcPr>
            <w:tcW w:w="2127" w:type="dxa"/>
            <w:shd w:val="clear" w:color="auto" w:fill="auto"/>
            <w:vAlign w:val="center"/>
          </w:tcPr>
          <w:p w14:paraId="4D343DEB" w14:textId="77777777" w:rsidR="001A0B09" w:rsidRDefault="007453EC">
            <w:pPr>
              <w:widowControl w:val="0"/>
              <w:spacing w:before="37" w:after="0"/>
              <w:jc w:val="center"/>
              <w:rPr>
                <w:rFonts w:ascii="Times New Roman" w:hAnsi="Times New Roman"/>
                <w:b/>
                <w:sz w:val="18"/>
                <w:szCs w:val="18"/>
              </w:rPr>
            </w:pPr>
            <w:r>
              <w:rPr>
                <w:rFonts w:ascii="Times New Roman" w:hAnsi="Times New Roman"/>
                <w:b/>
                <w:sz w:val="18"/>
                <w:szCs w:val="18"/>
              </w:rPr>
              <w:t>Sprawozdawczość</w:t>
            </w:r>
          </w:p>
        </w:tc>
      </w:tr>
      <w:tr w:rsidR="001A0B09" w14:paraId="5420ECF1" w14:textId="77777777" w:rsidTr="00454544">
        <w:trPr>
          <w:jc w:val="center"/>
        </w:trPr>
        <w:tc>
          <w:tcPr>
            <w:tcW w:w="529" w:type="dxa"/>
            <w:vMerge w:val="restart"/>
            <w:shd w:val="clear" w:color="auto" w:fill="auto"/>
            <w:vAlign w:val="center"/>
          </w:tcPr>
          <w:p w14:paraId="4ECDAA6B"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1A0B09" w:rsidRDefault="007453EC">
            <w:pPr>
              <w:spacing w:before="40" w:after="40"/>
              <w:rPr>
                <w:rFonts w:ascii="Times New Roman" w:hAnsi="Times New Roman"/>
                <w:sz w:val="18"/>
                <w:szCs w:val="18"/>
              </w:rPr>
            </w:pPr>
            <w:r>
              <w:rPr>
                <w:rFonts w:ascii="Times New Roman" w:hAnsi="Times New Roman"/>
                <w:sz w:val="18"/>
                <w:szCs w:val="18"/>
              </w:rPr>
              <w:t>Wpływ, który należy zgłosić w wierszach 010–430 formularza C 74.00 określonego w ZAŁĄCZNIKU XXIV zgodnie z art. 32, 33 i 34 oraz zgodnie z klasyfikacją określoną w sekcji 1 („Schemat podejmowania decyzji dotyczący wierszy w formularzu C 74.00”)</w:t>
            </w:r>
          </w:p>
        </w:tc>
        <w:tc>
          <w:tcPr>
            <w:tcW w:w="1400" w:type="dxa"/>
            <w:shd w:val="clear" w:color="auto" w:fill="auto"/>
            <w:vAlign w:val="center"/>
          </w:tcPr>
          <w:p w14:paraId="4D61E6EE"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3FE5209D" w14:textId="77777777" w:rsidR="001A0B09" w:rsidRDefault="007453EC">
            <w:pPr>
              <w:spacing w:before="40" w:after="40"/>
              <w:jc w:val="center"/>
              <w:rPr>
                <w:rFonts w:ascii="Times New Roman" w:hAnsi="Times New Roman"/>
                <w:sz w:val="18"/>
              </w:rPr>
            </w:pPr>
            <w:r>
              <w:rPr>
                <w:rFonts w:ascii="Times New Roman" w:hAnsi="Times New Roman"/>
                <w:sz w:val="18"/>
              </w:rPr>
              <w:t>Brak</w:t>
            </w:r>
          </w:p>
        </w:tc>
      </w:tr>
      <w:tr w:rsidR="001A0B09" w14:paraId="3A8CBF44" w14:textId="77777777" w:rsidTr="00454544">
        <w:trPr>
          <w:jc w:val="center"/>
        </w:trPr>
        <w:tc>
          <w:tcPr>
            <w:tcW w:w="529" w:type="dxa"/>
            <w:vMerge/>
            <w:shd w:val="clear" w:color="auto" w:fill="auto"/>
            <w:vAlign w:val="center"/>
          </w:tcPr>
          <w:p w14:paraId="0E2EC573"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1A0B09" w:rsidRDefault="001A0B09">
            <w:pPr>
              <w:jc w:val="center"/>
              <w:rPr>
                <w:rFonts w:ascii="Times New Roman" w:hAnsi="Times New Roman"/>
                <w:sz w:val="18"/>
                <w:szCs w:val="18"/>
              </w:rPr>
            </w:pPr>
          </w:p>
        </w:tc>
        <w:tc>
          <w:tcPr>
            <w:tcW w:w="1400" w:type="dxa"/>
            <w:shd w:val="clear" w:color="auto" w:fill="auto"/>
            <w:vAlign w:val="center"/>
          </w:tcPr>
          <w:p w14:paraId="0ED5EA0B"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3F805D6C"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1A0B09" w14:paraId="1BA6CB15" w14:textId="77777777" w:rsidTr="00454544">
        <w:trPr>
          <w:jc w:val="center"/>
        </w:trPr>
        <w:tc>
          <w:tcPr>
            <w:tcW w:w="529" w:type="dxa"/>
            <w:vMerge w:val="restart"/>
            <w:shd w:val="clear" w:color="auto" w:fill="auto"/>
            <w:vAlign w:val="center"/>
          </w:tcPr>
          <w:p w14:paraId="44927509"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1A0B09" w:rsidRDefault="007453EC">
            <w:pPr>
              <w:spacing w:before="40" w:after="40"/>
              <w:rPr>
                <w:rFonts w:ascii="Times New Roman" w:hAnsi="Times New Roman"/>
                <w:sz w:val="18"/>
                <w:szCs w:val="18"/>
              </w:rPr>
            </w:pPr>
            <w:r>
              <w:rPr>
                <w:rFonts w:ascii="Times New Roman" w:hAnsi="Times New Roman"/>
                <w:sz w:val="18"/>
                <w:szCs w:val="18"/>
              </w:rPr>
              <w:t>Wpływy z zabezpieczonych transakcji kredytowych i transakcji opartych na rynku kapitałowym, z wyłączeniem instrumentów pochodnych (art. 32 ust. 3 lit. b)–c) i e)–f))</w:t>
            </w:r>
          </w:p>
        </w:tc>
        <w:tc>
          <w:tcPr>
            <w:tcW w:w="1400" w:type="dxa"/>
            <w:shd w:val="clear" w:color="auto" w:fill="auto"/>
            <w:vAlign w:val="center"/>
          </w:tcPr>
          <w:p w14:paraId="4CE28B14"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29FE4B98"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1A0B09" w14:paraId="6CBD3916" w14:textId="77777777" w:rsidTr="00454544">
        <w:trPr>
          <w:jc w:val="center"/>
        </w:trPr>
        <w:tc>
          <w:tcPr>
            <w:tcW w:w="529" w:type="dxa"/>
            <w:vMerge/>
            <w:shd w:val="clear" w:color="auto" w:fill="auto"/>
            <w:vAlign w:val="center"/>
          </w:tcPr>
          <w:p w14:paraId="68C99555"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1A0B09" w:rsidRDefault="001A0B09">
            <w:pPr>
              <w:jc w:val="center"/>
              <w:rPr>
                <w:rFonts w:ascii="Times New Roman" w:hAnsi="Times New Roman"/>
                <w:sz w:val="18"/>
                <w:szCs w:val="18"/>
              </w:rPr>
            </w:pPr>
          </w:p>
        </w:tc>
        <w:tc>
          <w:tcPr>
            <w:tcW w:w="1400" w:type="dxa"/>
            <w:shd w:val="clear" w:color="auto" w:fill="auto"/>
            <w:vAlign w:val="center"/>
          </w:tcPr>
          <w:p w14:paraId="04609B1F" w14:textId="77777777" w:rsidR="001A0B09"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Nie</w:t>
            </w:r>
          </w:p>
        </w:tc>
        <w:tc>
          <w:tcPr>
            <w:tcW w:w="2127" w:type="dxa"/>
            <w:shd w:val="clear" w:color="auto" w:fill="auto"/>
            <w:vAlign w:val="center"/>
          </w:tcPr>
          <w:p w14:paraId="092BB4A1" w14:textId="77777777" w:rsidR="001A0B09"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1A0B09" w14:paraId="7FCE6478" w14:textId="77777777" w:rsidTr="00454544">
        <w:trPr>
          <w:jc w:val="center"/>
        </w:trPr>
        <w:tc>
          <w:tcPr>
            <w:tcW w:w="529" w:type="dxa"/>
            <w:vMerge w:val="restart"/>
            <w:shd w:val="clear" w:color="auto" w:fill="auto"/>
            <w:vAlign w:val="center"/>
          </w:tcPr>
          <w:p w14:paraId="3243EE77"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1A0B09" w:rsidRDefault="007453EC">
            <w:pPr>
              <w:spacing w:before="40" w:after="40"/>
              <w:rPr>
                <w:rFonts w:ascii="Times New Roman" w:hAnsi="Times New Roman"/>
                <w:sz w:val="18"/>
                <w:szCs w:val="18"/>
              </w:rPr>
            </w:pPr>
            <w:r>
              <w:rPr>
                <w:rFonts w:ascii="Times New Roman" w:hAnsi="Times New Roman"/>
                <w:sz w:val="18"/>
                <w:szCs w:val="18"/>
              </w:rPr>
              <w:t>Częściowe wyłączenie z ograniczenia wpływów (art. 33 ust. 2–5)</w:t>
            </w:r>
          </w:p>
        </w:tc>
        <w:tc>
          <w:tcPr>
            <w:tcW w:w="1400" w:type="dxa"/>
            <w:shd w:val="clear" w:color="auto" w:fill="auto"/>
            <w:vAlign w:val="center"/>
          </w:tcPr>
          <w:p w14:paraId="2FA8DE56"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7C6668C6"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1A0B09" w14:paraId="52F3CFFA" w14:textId="77777777" w:rsidTr="00454544">
        <w:trPr>
          <w:jc w:val="center"/>
        </w:trPr>
        <w:tc>
          <w:tcPr>
            <w:tcW w:w="529" w:type="dxa"/>
            <w:vMerge/>
            <w:shd w:val="clear" w:color="auto" w:fill="auto"/>
            <w:vAlign w:val="center"/>
          </w:tcPr>
          <w:p w14:paraId="2BF14934"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1A0B09" w:rsidRDefault="001A0B09">
            <w:pPr>
              <w:jc w:val="center"/>
              <w:rPr>
                <w:rFonts w:ascii="Times New Roman" w:hAnsi="Times New Roman"/>
                <w:sz w:val="18"/>
                <w:szCs w:val="18"/>
              </w:rPr>
            </w:pPr>
          </w:p>
        </w:tc>
        <w:tc>
          <w:tcPr>
            <w:tcW w:w="1400" w:type="dxa"/>
            <w:shd w:val="clear" w:color="auto" w:fill="auto"/>
            <w:vAlign w:val="center"/>
          </w:tcPr>
          <w:p w14:paraId="1B38498A"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596A02A1"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1A0B09" w14:paraId="396DD3A9" w14:textId="77777777" w:rsidTr="00CB45E9">
        <w:trPr>
          <w:jc w:val="center"/>
        </w:trPr>
        <w:tc>
          <w:tcPr>
            <w:tcW w:w="529" w:type="dxa"/>
            <w:vMerge w:val="restart"/>
            <w:shd w:val="clear" w:color="auto" w:fill="auto"/>
            <w:vAlign w:val="center"/>
          </w:tcPr>
          <w:p w14:paraId="6E7E7C77"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1A0B09" w:rsidRDefault="007453EC">
            <w:pPr>
              <w:spacing w:before="40" w:after="40"/>
              <w:rPr>
                <w:rFonts w:ascii="Times New Roman" w:hAnsi="Times New Roman"/>
                <w:sz w:val="18"/>
                <w:szCs w:val="18"/>
              </w:rPr>
            </w:pPr>
            <w:r>
              <w:rPr>
                <w:rFonts w:ascii="Times New Roman" w:hAnsi="Times New Roman"/>
                <w:sz w:val="18"/>
                <w:szCs w:val="18"/>
              </w:rPr>
              <w:t>Częściowe wyłączenie z ograniczenia wpływów (art. 33 ust. 2–5)</w:t>
            </w:r>
          </w:p>
        </w:tc>
        <w:tc>
          <w:tcPr>
            <w:tcW w:w="1850" w:type="dxa"/>
            <w:shd w:val="clear" w:color="auto" w:fill="auto"/>
            <w:vAlign w:val="center"/>
          </w:tcPr>
          <w:p w14:paraId="2C0CFC37"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1A0B09" w:rsidRDefault="007453EC">
            <w:pPr>
              <w:spacing w:before="40" w:after="40"/>
              <w:rPr>
                <w:rFonts w:ascii="Times New Roman" w:hAnsi="Times New Roman"/>
                <w:sz w:val="18"/>
                <w:szCs w:val="18"/>
              </w:rPr>
            </w:pPr>
            <w:r>
              <w:rPr>
                <w:rFonts w:ascii="Times New Roman" w:hAnsi="Times New Roman"/>
                <w:sz w:val="18"/>
                <w:szCs w:val="18"/>
              </w:rPr>
              <w:t>Część wpływów, która została wyłączona z ograniczenia wpływów</w:t>
            </w:r>
          </w:p>
        </w:tc>
        <w:tc>
          <w:tcPr>
            <w:tcW w:w="1400" w:type="dxa"/>
            <w:shd w:val="clear" w:color="auto" w:fill="BFBFBF"/>
            <w:vAlign w:val="center"/>
          </w:tcPr>
          <w:p w14:paraId="3E72DB07" w14:textId="07E085A3"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1A0B09" w14:paraId="2AA2201B" w14:textId="77777777" w:rsidTr="00CB45E9">
        <w:trPr>
          <w:jc w:val="center"/>
        </w:trPr>
        <w:tc>
          <w:tcPr>
            <w:tcW w:w="529" w:type="dxa"/>
            <w:vMerge/>
            <w:shd w:val="clear" w:color="auto" w:fill="auto"/>
            <w:vAlign w:val="center"/>
          </w:tcPr>
          <w:p w14:paraId="455DCE77" w14:textId="77777777" w:rsidR="001A0B09" w:rsidRDefault="001A0B09">
            <w:pPr>
              <w:jc w:val="center"/>
              <w:rPr>
                <w:rFonts w:ascii="Times New Roman" w:hAnsi="Times New Roman"/>
                <w:sz w:val="18"/>
                <w:szCs w:val="18"/>
              </w:rPr>
            </w:pPr>
          </w:p>
        </w:tc>
        <w:tc>
          <w:tcPr>
            <w:tcW w:w="1850" w:type="dxa"/>
            <w:vMerge/>
            <w:shd w:val="clear" w:color="auto" w:fill="auto"/>
            <w:vAlign w:val="center"/>
          </w:tcPr>
          <w:p w14:paraId="3AC67D6D" w14:textId="77777777" w:rsidR="001A0B09" w:rsidRDefault="001A0B09">
            <w:pPr>
              <w:jc w:val="center"/>
              <w:rPr>
                <w:rFonts w:ascii="Times New Roman" w:hAnsi="Times New Roman"/>
                <w:sz w:val="18"/>
                <w:szCs w:val="18"/>
              </w:rPr>
            </w:pPr>
          </w:p>
        </w:tc>
        <w:tc>
          <w:tcPr>
            <w:tcW w:w="1850" w:type="dxa"/>
            <w:shd w:val="clear" w:color="auto" w:fill="auto"/>
            <w:vAlign w:val="center"/>
          </w:tcPr>
          <w:p w14:paraId="6BC6A266" w14:textId="77777777" w:rsidR="001A0B09"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1A0B09" w:rsidRDefault="007453EC">
            <w:pPr>
              <w:jc w:val="left"/>
              <w:rPr>
                <w:rFonts w:ascii="Times New Roman" w:hAnsi="Times New Roman"/>
                <w:sz w:val="18"/>
                <w:szCs w:val="18"/>
              </w:rPr>
            </w:pPr>
            <w:r>
              <w:rPr>
                <w:rFonts w:ascii="Times New Roman" w:hAnsi="Times New Roman"/>
                <w:sz w:val="18"/>
                <w:szCs w:val="18"/>
              </w:rPr>
              <w:t>Część wpływów, która nie została wyłączona z ograniczenia wpływów</w:t>
            </w:r>
          </w:p>
        </w:tc>
        <w:tc>
          <w:tcPr>
            <w:tcW w:w="1400" w:type="dxa"/>
            <w:shd w:val="clear" w:color="auto" w:fill="BFBFBF"/>
            <w:vAlign w:val="center"/>
          </w:tcPr>
          <w:p w14:paraId="4971F058" w14:textId="4B737BBB" w:rsidR="001A0B09" w:rsidRDefault="001A0B09">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1A0B09" w14:paraId="75AFEB41" w14:textId="77777777" w:rsidTr="00454544">
        <w:trPr>
          <w:jc w:val="center"/>
        </w:trPr>
        <w:tc>
          <w:tcPr>
            <w:tcW w:w="529" w:type="dxa"/>
            <w:vMerge w:val="restart"/>
            <w:shd w:val="clear" w:color="auto" w:fill="auto"/>
            <w:vAlign w:val="center"/>
          </w:tcPr>
          <w:p w14:paraId="28B66774"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1A0B09" w:rsidRDefault="007453EC">
            <w:pPr>
              <w:spacing w:before="40" w:after="40"/>
              <w:rPr>
                <w:rFonts w:ascii="Times New Roman" w:hAnsi="Times New Roman"/>
                <w:sz w:val="18"/>
                <w:szCs w:val="18"/>
              </w:rPr>
            </w:pPr>
            <w:r>
              <w:rPr>
                <w:rFonts w:ascii="Times New Roman" w:hAnsi="Times New Roman"/>
                <w:sz w:val="18"/>
                <w:szCs w:val="18"/>
              </w:rPr>
              <w:t>Część wpływów wyłączona z ograniczenia wpływów w wysokości 75 %, podlegająca ograniczeniu wpływów w wysokości 90 %</w:t>
            </w:r>
            <w:r>
              <w:rPr>
                <w:rFonts w:ascii="Times New Roman" w:hAnsi="Times New Roman"/>
                <w:bCs/>
                <w:sz w:val="18"/>
                <w:szCs w:val="18"/>
              </w:rPr>
              <w:t xml:space="preserve"> (art. 33 ust. 4 i 5)</w:t>
            </w:r>
          </w:p>
        </w:tc>
        <w:tc>
          <w:tcPr>
            <w:tcW w:w="1400" w:type="dxa"/>
            <w:shd w:val="clear" w:color="auto" w:fill="auto"/>
            <w:vAlign w:val="center"/>
          </w:tcPr>
          <w:p w14:paraId="69D05845"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78D74646"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1A0B09" w14:paraId="61380C26" w14:textId="77777777" w:rsidTr="00454544">
        <w:trPr>
          <w:jc w:val="center"/>
        </w:trPr>
        <w:tc>
          <w:tcPr>
            <w:tcW w:w="529" w:type="dxa"/>
            <w:vMerge/>
            <w:shd w:val="clear" w:color="auto" w:fill="auto"/>
            <w:vAlign w:val="center"/>
          </w:tcPr>
          <w:p w14:paraId="78E11851"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1A0B09" w:rsidRDefault="001A0B09">
            <w:pPr>
              <w:jc w:val="center"/>
              <w:rPr>
                <w:rFonts w:ascii="Times New Roman" w:hAnsi="Times New Roman"/>
                <w:sz w:val="18"/>
                <w:szCs w:val="18"/>
              </w:rPr>
            </w:pPr>
          </w:p>
        </w:tc>
        <w:tc>
          <w:tcPr>
            <w:tcW w:w="1400" w:type="dxa"/>
            <w:shd w:val="clear" w:color="auto" w:fill="auto"/>
            <w:vAlign w:val="center"/>
          </w:tcPr>
          <w:p w14:paraId="2D4B887B"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45BF915A"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1A0B09" w14:paraId="36DDE514" w14:textId="77777777" w:rsidTr="00454544">
        <w:trPr>
          <w:jc w:val="center"/>
        </w:trPr>
        <w:tc>
          <w:tcPr>
            <w:tcW w:w="529" w:type="dxa"/>
            <w:vMerge w:val="restart"/>
            <w:shd w:val="clear" w:color="auto" w:fill="auto"/>
            <w:vAlign w:val="center"/>
          </w:tcPr>
          <w:p w14:paraId="3E370192"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1A0B09" w:rsidRDefault="007453EC">
            <w:pPr>
              <w:spacing w:before="40" w:after="40"/>
              <w:rPr>
                <w:rFonts w:ascii="Times New Roman" w:hAnsi="Times New Roman"/>
                <w:sz w:val="18"/>
                <w:szCs w:val="18"/>
              </w:rPr>
            </w:pPr>
            <w:r>
              <w:rPr>
                <w:rFonts w:ascii="Times New Roman" w:hAnsi="Times New Roman"/>
                <w:sz w:val="18"/>
                <w:szCs w:val="18"/>
              </w:rPr>
              <w:t xml:space="preserve">Wpływ </w:t>
            </w:r>
            <w:r>
              <w:rPr>
                <w:rFonts w:ascii="Times New Roman" w:hAnsi="Times New Roman"/>
                <w:bCs/>
                <w:sz w:val="18"/>
                <w:szCs w:val="18"/>
              </w:rPr>
              <w:t>podlegający ograniczeniu wpływów w wysokości 75 % (art. 33 ust. 1)</w:t>
            </w:r>
          </w:p>
        </w:tc>
        <w:tc>
          <w:tcPr>
            <w:tcW w:w="1400" w:type="dxa"/>
            <w:shd w:val="clear" w:color="auto" w:fill="auto"/>
            <w:vAlign w:val="center"/>
          </w:tcPr>
          <w:p w14:paraId="503B5C98"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105C0FFC"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1A0B09" w14:paraId="7AA72E9F" w14:textId="77777777" w:rsidTr="00454544">
        <w:trPr>
          <w:jc w:val="center"/>
        </w:trPr>
        <w:tc>
          <w:tcPr>
            <w:tcW w:w="529" w:type="dxa"/>
            <w:vMerge/>
            <w:shd w:val="clear" w:color="auto" w:fill="auto"/>
            <w:vAlign w:val="center"/>
          </w:tcPr>
          <w:p w14:paraId="79AA0262"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1A0B09" w:rsidRDefault="001A0B09">
            <w:pPr>
              <w:jc w:val="center"/>
              <w:rPr>
                <w:rFonts w:ascii="Times New Roman" w:hAnsi="Times New Roman"/>
                <w:sz w:val="18"/>
                <w:szCs w:val="18"/>
              </w:rPr>
            </w:pPr>
          </w:p>
        </w:tc>
        <w:tc>
          <w:tcPr>
            <w:tcW w:w="1400" w:type="dxa"/>
            <w:shd w:val="clear" w:color="auto" w:fill="auto"/>
            <w:vAlign w:val="center"/>
          </w:tcPr>
          <w:p w14:paraId="189CD06A"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52F4211D"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1A0B09" w14:paraId="2C9616A0" w14:textId="77777777" w:rsidTr="00CB45E9">
        <w:trPr>
          <w:trHeight w:val="220"/>
          <w:jc w:val="center"/>
        </w:trPr>
        <w:tc>
          <w:tcPr>
            <w:tcW w:w="529" w:type="dxa"/>
            <w:vMerge w:val="restart"/>
            <w:shd w:val="clear" w:color="auto" w:fill="auto"/>
            <w:vAlign w:val="center"/>
          </w:tcPr>
          <w:p w14:paraId="7AB488D6"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1A0B09" w:rsidRDefault="007453EC">
            <w:pPr>
              <w:spacing w:before="40" w:after="40"/>
              <w:rPr>
                <w:rFonts w:ascii="Times New Roman" w:hAnsi="Times New Roman"/>
                <w:sz w:val="18"/>
                <w:szCs w:val="18"/>
              </w:rPr>
            </w:pPr>
            <w:r>
              <w:rPr>
                <w:rFonts w:ascii="Times New Roman" w:hAnsi="Times New Roman"/>
                <w:sz w:val="18"/>
                <w:szCs w:val="18"/>
              </w:rPr>
              <w:t xml:space="preserve">Wpływ </w:t>
            </w:r>
            <w:r>
              <w:rPr>
                <w:rFonts w:ascii="Times New Roman" w:hAnsi="Times New Roman"/>
                <w:bCs/>
                <w:sz w:val="18"/>
                <w:szCs w:val="18"/>
              </w:rPr>
              <w:t>podlegający ograniczeniu wpływów w wysokości 75 % (art. 33 ust. 1)</w:t>
            </w:r>
          </w:p>
        </w:tc>
        <w:tc>
          <w:tcPr>
            <w:tcW w:w="1850" w:type="dxa"/>
            <w:shd w:val="clear" w:color="auto" w:fill="auto"/>
            <w:vAlign w:val="center"/>
          </w:tcPr>
          <w:p w14:paraId="43990686"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7,1</w:t>
            </w:r>
          </w:p>
        </w:tc>
        <w:tc>
          <w:tcPr>
            <w:tcW w:w="1850" w:type="dxa"/>
            <w:shd w:val="clear" w:color="auto" w:fill="auto"/>
            <w:vAlign w:val="center"/>
          </w:tcPr>
          <w:p w14:paraId="609C1254" w14:textId="77777777" w:rsidR="001A0B09" w:rsidRDefault="007453EC">
            <w:pPr>
              <w:spacing w:before="40" w:after="40"/>
              <w:rPr>
                <w:rFonts w:ascii="Times New Roman" w:hAnsi="Times New Roman"/>
                <w:sz w:val="18"/>
                <w:szCs w:val="18"/>
              </w:rPr>
            </w:pPr>
            <w:r>
              <w:rPr>
                <w:rFonts w:ascii="Times New Roman" w:hAnsi="Times New Roman"/>
                <w:sz w:val="18"/>
                <w:szCs w:val="18"/>
              </w:rPr>
              <w:t>Należne środki pieniężne/maksymalna kwota, która może zostać wykorzystana</w:t>
            </w:r>
          </w:p>
        </w:tc>
        <w:tc>
          <w:tcPr>
            <w:tcW w:w="1400" w:type="dxa"/>
            <w:shd w:val="clear" w:color="auto" w:fill="BFBFBF"/>
            <w:vAlign w:val="center"/>
          </w:tcPr>
          <w:p w14:paraId="5E77FD93" w14:textId="285E93A5"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1A0B09" w:rsidRDefault="007453EC">
            <w:pPr>
              <w:spacing w:before="40" w:after="40"/>
              <w:jc w:val="center"/>
              <w:rPr>
                <w:rFonts w:ascii="Times New Roman" w:hAnsi="Times New Roman"/>
                <w:sz w:val="18"/>
              </w:rPr>
            </w:pPr>
            <w:r>
              <w:rPr>
                <w:rFonts w:ascii="Times New Roman" w:hAnsi="Times New Roman"/>
                <w:sz w:val="18"/>
              </w:rPr>
              <w:t>Kolumna 010</w:t>
            </w:r>
          </w:p>
        </w:tc>
      </w:tr>
      <w:tr w:rsidR="001A0B09" w14:paraId="5A6DF3B3" w14:textId="77777777" w:rsidTr="00CB45E9">
        <w:trPr>
          <w:trHeight w:val="219"/>
          <w:jc w:val="center"/>
        </w:trPr>
        <w:tc>
          <w:tcPr>
            <w:tcW w:w="529" w:type="dxa"/>
            <w:vMerge/>
            <w:shd w:val="clear" w:color="auto" w:fill="auto"/>
            <w:vAlign w:val="center"/>
          </w:tcPr>
          <w:p w14:paraId="14EEB019"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5C50CC3A"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1A0B09" w:rsidRDefault="007453EC">
            <w:pPr>
              <w:spacing w:before="40" w:after="40"/>
              <w:rPr>
                <w:rFonts w:ascii="Times New Roman" w:hAnsi="Times New Roman"/>
                <w:sz w:val="18"/>
                <w:szCs w:val="18"/>
              </w:rPr>
            </w:pPr>
            <w:r>
              <w:rPr>
                <w:rFonts w:ascii="Times New Roman" w:hAnsi="Times New Roman"/>
                <w:sz w:val="18"/>
                <w:szCs w:val="18"/>
              </w:rPr>
              <w:t>Mająca zastosowanie waga</w:t>
            </w:r>
          </w:p>
        </w:tc>
        <w:tc>
          <w:tcPr>
            <w:tcW w:w="1400" w:type="dxa"/>
            <w:shd w:val="clear" w:color="auto" w:fill="BFBFBF"/>
            <w:vAlign w:val="center"/>
          </w:tcPr>
          <w:p w14:paraId="7C2BD790" w14:textId="4F52EB32"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080</w:t>
            </w:r>
          </w:p>
        </w:tc>
      </w:tr>
      <w:tr w:rsidR="001A0B09" w14:paraId="60F2AF23" w14:textId="77777777" w:rsidTr="00CB45E9">
        <w:trPr>
          <w:trHeight w:val="219"/>
          <w:jc w:val="center"/>
        </w:trPr>
        <w:tc>
          <w:tcPr>
            <w:tcW w:w="529" w:type="dxa"/>
            <w:vMerge/>
            <w:shd w:val="clear" w:color="auto" w:fill="auto"/>
            <w:vAlign w:val="center"/>
          </w:tcPr>
          <w:p w14:paraId="472B0E2B"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67C61BCD"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1A0B09" w:rsidRDefault="007453EC">
            <w:pPr>
              <w:spacing w:before="40" w:after="40"/>
              <w:rPr>
                <w:rFonts w:ascii="Times New Roman" w:hAnsi="Times New Roman"/>
                <w:sz w:val="18"/>
                <w:szCs w:val="18"/>
              </w:rPr>
            </w:pPr>
            <w:r>
              <w:rPr>
                <w:rFonts w:ascii="Times New Roman" w:hAnsi="Times New Roman"/>
                <w:sz w:val="18"/>
                <w:szCs w:val="18"/>
              </w:rPr>
              <w:t>Wpływ</w:t>
            </w:r>
          </w:p>
        </w:tc>
        <w:tc>
          <w:tcPr>
            <w:tcW w:w="1400" w:type="dxa"/>
            <w:shd w:val="clear" w:color="auto" w:fill="BFBFBF"/>
            <w:vAlign w:val="center"/>
          </w:tcPr>
          <w:p w14:paraId="53CB0375" w14:textId="3B15B73A"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140</w:t>
            </w:r>
          </w:p>
        </w:tc>
      </w:tr>
      <w:tr w:rsidR="001A0B09" w14:paraId="21B4CAAC" w14:textId="77777777" w:rsidTr="00454544">
        <w:trPr>
          <w:jc w:val="center"/>
        </w:trPr>
        <w:tc>
          <w:tcPr>
            <w:tcW w:w="529" w:type="dxa"/>
            <w:vMerge w:val="restart"/>
            <w:shd w:val="clear" w:color="auto" w:fill="auto"/>
            <w:vAlign w:val="center"/>
          </w:tcPr>
          <w:p w14:paraId="5935C8A0"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1A0B09" w:rsidRDefault="007453EC">
            <w:pPr>
              <w:spacing w:before="40" w:after="40"/>
              <w:rPr>
                <w:rFonts w:ascii="Times New Roman" w:hAnsi="Times New Roman"/>
                <w:sz w:val="18"/>
                <w:szCs w:val="18"/>
              </w:rPr>
            </w:pPr>
            <w:r>
              <w:rPr>
                <w:rFonts w:ascii="Times New Roman" w:hAnsi="Times New Roman"/>
                <w:sz w:val="18"/>
                <w:szCs w:val="18"/>
              </w:rPr>
              <w:t>Wpływ podlegający ograniczeniu wpływów w wysokości 90 %</w:t>
            </w:r>
            <w:r>
              <w:rPr>
                <w:rFonts w:ascii="Times New Roman" w:hAnsi="Times New Roman"/>
                <w:bCs/>
                <w:sz w:val="18"/>
                <w:szCs w:val="18"/>
              </w:rPr>
              <w:t xml:space="preserve"> (art. 33 ust. 4 i 5)</w:t>
            </w:r>
          </w:p>
        </w:tc>
        <w:tc>
          <w:tcPr>
            <w:tcW w:w="1400" w:type="dxa"/>
            <w:shd w:val="clear" w:color="auto" w:fill="auto"/>
            <w:vAlign w:val="center"/>
          </w:tcPr>
          <w:p w14:paraId="684A92F1"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0FF41420" w14:textId="77777777" w:rsidR="001A0B09"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1A0B09" w14:paraId="170011A1" w14:textId="77777777" w:rsidTr="00454544">
        <w:trPr>
          <w:jc w:val="center"/>
        </w:trPr>
        <w:tc>
          <w:tcPr>
            <w:tcW w:w="529" w:type="dxa"/>
            <w:vMerge/>
            <w:shd w:val="clear" w:color="auto" w:fill="auto"/>
            <w:vAlign w:val="center"/>
          </w:tcPr>
          <w:p w14:paraId="2FCFE10E"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1A0B09" w:rsidRDefault="001A0B09">
            <w:pPr>
              <w:jc w:val="center"/>
              <w:rPr>
                <w:rFonts w:ascii="Times New Roman" w:hAnsi="Times New Roman"/>
                <w:sz w:val="18"/>
                <w:szCs w:val="18"/>
              </w:rPr>
            </w:pPr>
          </w:p>
        </w:tc>
        <w:tc>
          <w:tcPr>
            <w:tcW w:w="1400" w:type="dxa"/>
            <w:shd w:val="clear" w:color="auto" w:fill="auto"/>
            <w:vAlign w:val="center"/>
          </w:tcPr>
          <w:p w14:paraId="0AAAFF97"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5D1C0531"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1A0B09" w14:paraId="7EA0F0D8" w14:textId="77777777" w:rsidTr="00CB45E9">
        <w:trPr>
          <w:trHeight w:val="220"/>
          <w:jc w:val="center"/>
        </w:trPr>
        <w:tc>
          <w:tcPr>
            <w:tcW w:w="529" w:type="dxa"/>
            <w:vMerge w:val="restart"/>
            <w:shd w:val="clear" w:color="auto" w:fill="auto"/>
            <w:vAlign w:val="center"/>
          </w:tcPr>
          <w:p w14:paraId="78B10562"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1A0B09" w:rsidRDefault="007453EC">
            <w:pPr>
              <w:spacing w:before="40" w:after="40"/>
              <w:rPr>
                <w:rFonts w:ascii="Times New Roman" w:hAnsi="Times New Roman"/>
                <w:sz w:val="18"/>
                <w:szCs w:val="18"/>
              </w:rPr>
            </w:pPr>
            <w:r>
              <w:rPr>
                <w:rFonts w:ascii="Times New Roman" w:hAnsi="Times New Roman"/>
                <w:sz w:val="18"/>
                <w:szCs w:val="18"/>
              </w:rPr>
              <w:t>Wpływ podlegający ograniczeniu wpływów w wysokości 90 %</w:t>
            </w:r>
            <w:r>
              <w:rPr>
                <w:rFonts w:ascii="Times New Roman" w:hAnsi="Times New Roman"/>
                <w:bCs/>
                <w:sz w:val="18"/>
                <w:szCs w:val="18"/>
              </w:rPr>
              <w:t xml:space="preserve"> (art. 33 ust. 4 i 5)</w:t>
            </w:r>
          </w:p>
        </w:tc>
        <w:tc>
          <w:tcPr>
            <w:tcW w:w="1850" w:type="dxa"/>
            <w:shd w:val="clear" w:color="auto" w:fill="auto"/>
            <w:vAlign w:val="center"/>
          </w:tcPr>
          <w:p w14:paraId="3C08116F"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1A0B09" w:rsidRDefault="007453EC">
            <w:pPr>
              <w:spacing w:before="40" w:after="40"/>
              <w:rPr>
                <w:rFonts w:ascii="Times New Roman" w:hAnsi="Times New Roman"/>
                <w:sz w:val="18"/>
                <w:szCs w:val="18"/>
              </w:rPr>
            </w:pPr>
            <w:r>
              <w:rPr>
                <w:rFonts w:ascii="Times New Roman" w:hAnsi="Times New Roman"/>
                <w:sz w:val="18"/>
                <w:szCs w:val="18"/>
              </w:rPr>
              <w:t>Należne środki pieniężne/maksymalna kwota, która może zostać wykorzystana</w:t>
            </w:r>
          </w:p>
        </w:tc>
        <w:tc>
          <w:tcPr>
            <w:tcW w:w="1400" w:type="dxa"/>
            <w:shd w:val="clear" w:color="auto" w:fill="BFBFBF"/>
            <w:vAlign w:val="center"/>
          </w:tcPr>
          <w:p w14:paraId="17F18604" w14:textId="4B2312A6"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1A0B09" w:rsidRDefault="007453EC">
            <w:pPr>
              <w:spacing w:before="40" w:after="40"/>
              <w:jc w:val="center"/>
              <w:rPr>
                <w:rFonts w:ascii="Times New Roman" w:hAnsi="Times New Roman"/>
                <w:sz w:val="18"/>
              </w:rPr>
            </w:pPr>
            <w:r>
              <w:rPr>
                <w:rFonts w:ascii="Times New Roman" w:hAnsi="Times New Roman"/>
                <w:sz w:val="18"/>
              </w:rPr>
              <w:t>Kolumna 020</w:t>
            </w:r>
          </w:p>
        </w:tc>
      </w:tr>
      <w:tr w:rsidR="001A0B09" w14:paraId="1C8F61B9" w14:textId="77777777" w:rsidTr="00CB45E9">
        <w:trPr>
          <w:trHeight w:val="219"/>
          <w:jc w:val="center"/>
        </w:trPr>
        <w:tc>
          <w:tcPr>
            <w:tcW w:w="529" w:type="dxa"/>
            <w:vMerge/>
            <w:shd w:val="clear" w:color="auto" w:fill="auto"/>
            <w:vAlign w:val="center"/>
          </w:tcPr>
          <w:p w14:paraId="7F449809"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06B34255"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1A0B09" w:rsidRDefault="007453EC">
            <w:pPr>
              <w:spacing w:before="40" w:after="40"/>
              <w:rPr>
                <w:rFonts w:ascii="Times New Roman" w:hAnsi="Times New Roman"/>
                <w:sz w:val="18"/>
                <w:szCs w:val="18"/>
              </w:rPr>
            </w:pPr>
            <w:r>
              <w:rPr>
                <w:rFonts w:ascii="Times New Roman" w:hAnsi="Times New Roman"/>
                <w:sz w:val="18"/>
                <w:szCs w:val="18"/>
              </w:rPr>
              <w:t>Mająca zastosowanie waga</w:t>
            </w:r>
          </w:p>
        </w:tc>
        <w:tc>
          <w:tcPr>
            <w:tcW w:w="1400" w:type="dxa"/>
            <w:shd w:val="clear" w:color="auto" w:fill="BFBFBF"/>
            <w:vAlign w:val="center"/>
          </w:tcPr>
          <w:p w14:paraId="13039023" w14:textId="1B8F3755" w:rsidR="001A0B09" w:rsidRDefault="001A0B09">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090</w:t>
            </w:r>
          </w:p>
        </w:tc>
      </w:tr>
      <w:tr w:rsidR="001A0B09" w14:paraId="27AA067A" w14:textId="77777777" w:rsidTr="00CB45E9">
        <w:trPr>
          <w:trHeight w:val="219"/>
          <w:jc w:val="center"/>
        </w:trPr>
        <w:tc>
          <w:tcPr>
            <w:tcW w:w="529" w:type="dxa"/>
            <w:vMerge/>
            <w:shd w:val="clear" w:color="auto" w:fill="auto"/>
            <w:vAlign w:val="center"/>
          </w:tcPr>
          <w:p w14:paraId="43A4A7CF"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4314A302"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1A0B09" w:rsidRDefault="007453EC">
            <w:pPr>
              <w:spacing w:before="40" w:after="40"/>
              <w:rPr>
                <w:rFonts w:ascii="Times New Roman" w:hAnsi="Times New Roman"/>
                <w:sz w:val="18"/>
                <w:szCs w:val="18"/>
              </w:rPr>
            </w:pPr>
            <w:r>
              <w:rPr>
                <w:rFonts w:ascii="Times New Roman" w:hAnsi="Times New Roman"/>
                <w:sz w:val="18"/>
                <w:szCs w:val="18"/>
              </w:rPr>
              <w:t>Wpływ</w:t>
            </w:r>
          </w:p>
        </w:tc>
        <w:tc>
          <w:tcPr>
            <w:tcW w:w="1400" w:type="dxa"/>
            <w:shd w:val="clear" w:color="auto" w:fill="BFBFBF"/>
            <w:vAlign w:val="center"/>
          </w:tcPr>
          <w:p w14:paraId="69B33758" w14:textId="604A873A" w:rsidR="001A0B09" w:rsidRDefault="001A0B09">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150</w:t>
            </w:r>
          </w:p>
        </w:tc>
      </w:tr>
      <w:tr w:rsidR="001A0B09" w14:paraId="4A2BD79B" w14:textId="77777777" w:rsidTr="00CB45E9">
        <w:trPr>
          <w:trHeight w:val="220"/>
          <w:jc w:val="center"/>
        </w:trPr>
        <w:tc>
          <w:tcPr>
            <w:tcW w:w="529" w:type="dxa"/>
            <w:vMerge w:val="restart"/>
            <w:shd w:val="clear" w:color="auto" w:fill="auto"/>
            <w:vAlign w:val="center"/>
          </w:tcPr>
          <w:p w14:paraId="40C736AF"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1A0B09" w:rsidRDefault="007453EC">
            <w:pPr>
              <w:spacing w:before="40" w:after="40"/>
              <w:rPr>
                <w:rFonts w:ascii="Times New Roman" w:hAnsi="Times New Roman"/>
                <w:sz w:val="18"/>
                <w:szCs w:val="18"/>
              </w:rPr>
            </w:pPr>
            <w:r>
              <w:rPr>
                <w:rFonts w:ascii="Times New Roman" w:hAnsi="Times New Roman"/>
                <w:sz w:val="18"/>
                <w:szCs w:val="18"/>
              </w:rPr>
              <w:t>Wpływy, które zostały całkowicie wyłączone z ograniczenia wpływów (art. 33 ust. 2–3)</w:t>
            </w:r>
          </w:p>
        </w:tc>
        <w:tc>
          <w:tcPr>
            <w:tcW w:w="1850" w:type="dxa"/>
            <w:shd w:val="clear" w:color="auto" w:fill="auto"/>
            <w:vAlign w:val="center"/>
          </w:tcPr>
          <w:p w14:paraId="7E931F3C"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1A0B09" w:rsidRDefault="007453EC">
            <w:pPr>
              <w:spacing w:before="40" w:after="40"/>
              <w:rPr>
                <w:rFonts w:ascii="Times New Roman" w:hAnsi="Times New Roman"/>
                <w:sz w:val="18"/>
                <w:szCs w:val="18"/>
              </w:rPr>
            </w:pPr>
            <w:r>
              <w:rPr>
                <w:rFonts w:ascii="Times New Roman" w:hAnsi="Times New Roman"/>
                <w:sz w:val="18"/>
                <w:szCs w:val="18"/>
              </w:rPr>
              <w:t>Należne środki pieniężne/maksymalna kwota, która może zostać wykorzystana</w:t>
            </w:r>
          </w:p>
        </w:tc>
        <w:tc>
          <w:tcPr>
            <w:tcW w:w="1400" w:type="dxa"/>
            <w:shd w:val="clear" w:color="auto" w:fill="BFBFBF"/>
            <w:vAlign w:val="center"/>
          </w:tcPr>
          <w:p w14:paraId="584F35B6" w14:textId="2632A3A0"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1A0B09" w:rsidRDefault="007453EC">
            <w:pPr>
              <w:spacing w:before="40" w:after="40"/>
              <w:jc w:val="center"/>
              <w:rPr>
                <w:rFonts w:ascii="Times New Roman" w:hAnsi="Times New Roman"/>
                <w:sz w:val="18"/>
              </w:rPr>
            </w:pPr>
            <w:r>
              <w:rPr>
                <w:rFonts w:ascii="Times New Roman" w:hAnsi="Times New Roman"/>
                <w:sz w:val="18"/>
              </w:rPr>
              <w:t>Kolumna 030</w:t>
            </w:r>
          </w:p>
        </w:tc>
      </w:tr>
      <w:tr w:rsidR="001A0B09" w14:paraId="579F7447" w14:textId="77777777" w:rsidTr="00CB45E9">
        <w:trPr>
          <w:trHeight w:val="219"/>
          <w:jc w:val="center"/>
        </w:trPr>
        <w:tc>
          <w:tcPr>
            <w:tcW w:w="529" w:type="dxa"/>
            <w:vMerge/>
            <w:shd w:val="clear" w:color="auto" w:fill="auto"/>
            <w:vAlign w:val="center"/>
          </w:tcPr>
          <w:p w14:paraId="0EFB27F5"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1BCDEA35"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1A0B09" w:rsidRDefault="007453EC">
            <w:pPr>
              <w:spacing w:before="40" w:after="40"/>
              <w:rPr>
                <w:rFonts w:ascii="Times New Roman" w:hAnsi="Times New Roman"/>
                <w:sz w:val="18"/>
                <w:szCs w:val="18"/>
              </w:rPr>
            </w:pPr>
            <w:r>
              <w:rPr>
                <w:rFonts w:ascii="Times New Roman" w:hAnsi="Times New Roman"/>
                <w:sz w:val="18"/>
                <w:szCs w:val="18"/>
              </w:rPr>
              <w:t>Mająca zastosowanie waga</w:t>
            </w:r>
          </w:p>
        </w:tc>
        <w:tc>
          <w:tcPr>
            <w:tcW w:w="1400" w:type="dxa"/>
            <w:shd w:val="clear" w:color="auto" w:fill="BFBFBF"/>
            <w:vAlign w:val="center"/>
          </w:tcPr>
          <w:p w14:paraId="76CD534B" w14:textId="7FBBE5A5" w:rsidR="001A0B09" w:rsidRDefault="001A0B09">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100</w:t>
            </w:r>
          </w:p>
        </w:tc>
      </w:tr>
      <w:tr w:rsidR="001A0B09" w14:paraId="149AA414" w14:textId="77777777" w:rsidTr="00CB45E9">
        <w:trPr>
          <w:trHeight w:val="219"/>
          <w:jc w:val="center"/>
        </w:trPr>
        <w:tc>
          <w:tcPr>
            <w:tcW w:w="529" w:type="dxa"/>
            <w:vMerge/>
            <w:shd w:val="clear" w:color="auto" w:fill="auto"/>
            <w:vAlign w:val="center"/>
          </w:tcPr>
          <w:p w14:paraId="1B3CACA6"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1010DD00"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1A0B09" w:rsidRDefault="007453EC">
            <w:pPr>
              <w:spacing w:before="40" w:after="40"/>
              <w:rPr>
                <w:rFonts w:ascii="Times New Roman" w:hAnsi="Times New Roman"/>
                <w:sz w:val="18"/>
                <w:szCs w:val="18"/>
              </w:rPr>
            </w:pPr>
            <w:r>
              <w:rPr>
                <w:rFonts w:ascii="Times New Roman" w:hAnsi="Times New Roman"/>
                <w:sz w:val="18"/>
                <w:szCs w:val="18"/>
              </w:rPr>
              <w:t>Wpływ</w:t>
            </w:r>
          </w:p>
        </w:tc>
        <w:tc>
          <w:tcPr>
            <w:tcW w:w="1400" w:type="dxa"/>
            <w:shd w:val="clear" w:color="auto" w:fill="BFBFBF"/>
            <w:vAlign w:val="center"/>
          </w:tcPr>
          <w:p w14:paraId="45783433" w14:textId="6665F7CE" w:rsidR="001A0B09" w:rsidRDefault="001A0B09">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160</w:t>
            </w:r>
          </w:p>
        </w:tc>
      </w:tr>
      <w:tr w:rsidR="001A0B09" w14:paraId="65E586D2" w14:textId="77777777" w:rsidTr="00454544">
        <w:trPr>
          <w:jc w:val="center"/>
        </w:trPr>
        <w:tc>
          <w:tcPr>
            <w:tcW w:w="529" w:type="dxa"/>
            <w:vMerge w:val="restart"/>
            <w:shd w:val="clear" w:color="auto" w:fill="auto"/>
            <w:vAlign w:val="center"/>
          </w:tcPr>
          <w:p w14:paraId="0B955189"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1A0B09" w:rsidRDefault="007453EC">
            <w:pPr>
              <w:spacing w:before="40" w:after="40"/>
              <w:rPr>
                <w:rFonts w:ascii="Times New Roman" w:hAnsi="Times New Roman"/>
                <w:sz w:val="18"/>
                <w:szCs w:val="18"/>
              </w:rPr>
            </w:pPr>
            <w:r>
              <w:rPr>
                <w:rFonts w:ascii="Times New Roman" w:hAnsi="Times New Roman"/>
                <w:sz w:val="18"/>
                <w:szCs w:val="18"/>
              </w:rPr>
              <w:t>Zabezpieczona transakcja finansowania, której zabezpieczenie zasadniczo kwalifikuje się jako składnik aktywów płynnych (niezależnie od tego, czy jest ono ponownie wykorzystane w innej transakcji i niezależnie od tego, czy składnik aktywów spełnia wymóg operacyjny określony w art. 8)</w:t>
            </w:r>
          </w:p>
        </w:tc>
        <w:tc>
          <w:tcPr>
            <w:tcW w:w="1400" w:type="dxa"/>
            <w:shd w:val="clear" w:color="auto" w:fill="auto"/>
            <w:vAlign w:val="center"/>
          </w:tcPr>
          <w:p w14:paraId="28A0EE50"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40E32A96"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1A0B09" w14:paraId="056753F0" w14:textId="77777777" w:rsidTr="00454544">
        <w:trPr>
          <w:jc w:val="center"/>
        </w:trPr>
        <w:tc>
          <w:tcPr>
            <w:tcW w:w="529" w:type="dxa"/>
            <w:vMerge/>
            <w:shd w:val="clear" w:color="auto" w:fill="auto"/>
            <w:vAlign w:val="center"/>
          </w:tcPr>
          <w:p w14:paraId="31720753"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1A0B09" w:rsidRDefault="001A0B09">
            <w:pPr>
              <w:jc w:val="center"/>
              <w:rPr>
                <w:rFonts w:ascii="Times New Roman" w:hAnsi="Times New Roman"/>
                <w:sz w:val="18"/>
                <w:szCs w:val="18"/>
              </w:rPr>
            </w:pPr>
          </w:p>
        </w:tc>
        <w:tc>
          <w:tcPr>
            <w:tcW w:w="1400" w:type="dxa"/>
            <w:shd w:val="clear" w:color="auto" w:fill="auto"/>
            <w:vAlign w:val="center"/>
          </w:tcPr>
          <w:p w14:paraId="6A75B949"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415217C9"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1A0B09" w14:paraId="63886A95" w14:textId="77777777" w:rsidTr="00454544">
        <w:trPr>
          <w:jc w:val="center"/>
        </w:trPr>
        <w:tc>
          <w:tcPr>
            <w:tcW w:w="529" w:type="dxa"/>
            <w:vMerge w:val="restart"/>
            <w:shd w:val="clear" w:color="auto" w:fill="auto"/>
            <w:vAlign w:val="center"/>
          </w:tcPr>
          <w:p w14:paraId="680BD076"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1A0B09" w:rsidRDefault="007453EC">
            <w:pPr>
              <w:spacing w:before="40" w:after="40"/>
              <w:rPr>
                <w:rFonts w:ascii="Times New Roman" w:hAnsi="Times New Roman"/>
                <w:sz w:val="18"/>
                <w:szCs w:val="18"/>
              </w:rPr>
            </w:pPr>
            <w:r>
              <w:rPr>
                <w:rFonts w:ascii="Times New Roman" w:hAnsi="Times New Roman"/>
                <w:sz w:val="18"/>
                <w:szCs w:val="18"/>
              </w:rPr>
              <w:t>Częściowe wyłączenie z ograniczenia wpływów (art. 33 ust. 2–5)</w:t>
            </w:r>
          </w:p>
        </w:tc>
        <w:tc>
          <w:tcPr>
            <w:tcW w:w="1400" w:type="dxa"/>
            <w:shd w:val="clear" w:color="auto" w:fill="auto"/>
            <w:vAlign w:val="center"/>
          </w:tcPr>
          <w:p w14:paraId="1C560F1A"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2C8E20AD"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1A0B09" w14:paraId="5E71DD13" w14:textId="77777777" w:rsidTr="00454544">
        <w:trPr>
          <w:jc w:val="center"/>
        </w:trPr>
        <w:tc>
          <w:tcPr>
            <w:tcW w:w="529" w:type="dxa"/>
            <w:vMerge/>
            <w:shd w:val="clear" w:color="auto" w:fill="auto"/>
            <w:vAlign w:val="center"/>
          </w:tcPr>
          <w:p w14:paraId="036DB8E3"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1A0B09" w:rsidRDefault="001A0B09">
            <w:pPr>
              <w:jc w:val="center"/>
              <w:rPr>
                <w:rFonts w:ascii="Times New Roman" w:hAnsi="Times New Roman"/>
                <w:sz w:val="18"/>
                <w:szCs w:val="18"/>
              </w:rPr>
            </w:pPr>
          </w:p>
        </w:tc>
        <w:tc>
          <w:tcPr>
            <w:tcW w:w="1400" w:type="dxa"/>
            <w:shd w:val="clear" w:color="auto" w:fill="auto"/>
            <w:vAlign w:val="center"/>
          </w:tcPr>
          <w:p w14:paraId="66A10794" w14:textId="77777777" w:rsidR="001A0B09" w:rsidRDefault="007453EC">
            <w:pPr>
              <w:widowControl w:val="0"/>
              <w:spacing w:before="80" w:after="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4AACB393" w14:textId="77777777" w:rsidR="001A0B09"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1A0B09" w14:paraId="1CD3B6F4" w14:textId="77777777" w:rsidTr="00CB45E9">
        <w:trPr>
          <w:jc w:val="center"/>
        </w:trPr>
        <w:tc>
          <w:tcPr>
            <w:tcW w:w="529" w:type="dxa"/>
            <w:vMerge w:val="restart"/>
            <w:shd w:val="clear" w:color="auto" w:fill="auto"/>
            <w:vAlign w:val="center"/>
          </w:tcPr>
          <w:p w14:paraId="513B1777"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lastRenderedPageBreak/>
              <w:t>13</w:t>
            </w:r>
          </w:p>
        </w:tc>
        <w:tc>
          <w:tcPr>
            <w:tcW w:w="1850" w:type="dxa"/>
            <w:vMerge w:val="restart"/>
            <w:shd w:val="clear" w:color="auto" w:fill="auto"/>
            <w:vAlign w:val="center"/>
          </w:tcPr>
          <w:p w14:paraId="630009D8" w14:textId="77777777" w:rsidR="001A0B09" w:rsidRDefault="007453EC">
            <w:pPr>
              <w:spacing w:before="40" w:after="40"/>
              <w:rPr>
                <w:rFonts w:ascii="Times New Roman" w:hAnsi="Times New Roman"/>
                <w:sz w:val="18"/>
                <w:szCs w:val="18"/>
              </w:rPr>
            </w:pPr>
            <w:r>
              <w:rPr>
                <w:rFonts w:ascii="Times New Roman" w:hAnsi="Times New Roman"/>
                <w:sz w:val="18"/>
                <w:szCs w:val="18"/>
              </w:rPr>
              <w:t>Częściowe wyłączenie z ograniczenia wpływów (art. 33 ust. 2–5)</w:t>
            </w:r>
          </w:p>
        </w:tc>
        <w:tc>
          <w:tcPr>
            <w:tcW w:w="1850" w:type="dxa"/>
            <w:shd w:val="clear" w:color="auto" w:fill="auto"/>
            <w:vAlign w:val="center"/>
          </w:tcPr>
          <w:p w14:paraId="1386869A" w14:textId="77777777" w:rsidR="001A0B09" w:rsidRDefault="007453EC">
            <w:pPr>
              <w:jc w:val="center"/>
              <w:rPr>
                <w:rFonts w:ascii="Times New Roman" w:hAnsi="Times New Roman"/>
                <w:sz w:val="18"/>
                <w:szCs w:val="18"/>
              </w:rPr>
            </w:pPr>
            <w:r>
              <w:rPr>
                <w:rFonts w:ascii="Times New Roman" w:hAnsi="Times New Roman"/>
                <w:sz w:val="18"/>
                <w:szCs w:val="18"/>
              </w:rPr>
              <w:t># 13,1</w:t>
            </w:r>
          </w:p>
        </w:tc>
        <w:tc>
          <w:tcPr>
            <w:tcW w:w="1850" w:type="dxa"/>
            <w:shd w:val="clear" w:color="auto" w:fill="auto"/>
            <w:vAlign w:val="center"/>
          </w:tcPr>
          <w:p w14:paraId="2AE68156" w14:textId="77777777" w:rsidR="001A0B09" w:rsidRDefault="007453EC">
            <w:pPr>
              <w:spacing w:before="40" w:after="40"/>
              <w:rPr>
                <w:rFonts w:ascii="Times New Roman" w:hAnsi="Times New Roman"/>
                <w:sz w:val="18"/>
                <w:szCs w:val="18"/>
              </w:rPr>
            </w:pPr>
            <w:r>
              <w:rPr>
                <w:rFonts w:ascii="Times New Roman" w:hAnsi="Times New Roman"/>
                <w:sz w:val="18"/>
                <w:szCs w:val="18"/>
              </w:rPr>
              <w:t>Część wpływów, która została wyłączona z ograniczenia wpływów</w:t>
            </w:r>
          </w:p>
        </w:tc>
        <w:tc>
          <w:tcPr>
            <w:tcW w:w="1400" w:type="dxa"/>
            <w:shd w:val="clear" w:color="auto" w:fill="BFBFBF"/>
            <w:vAlign w:val="center"/>
          </w:tcPr>
          <w:p w14:paraId="67FC8D57" w14:textId="708B6572"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1A0B09"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1A0B09" w14:paraId="39035E68" w14:textId="77777777" w:rsidTr="00CB45E9">
        <w:trPr>
          <w:jc w:val="center"/>
        </w:trPr>
        <w:tc>
          <w:tcPr>
            <w:tcW w:w="529" w:type="dxa"/>
            <w:vMerge/>
            <w:shd w:val="clear" w:color="auto" w:fill="auto"/>
            <w:vAlign w:val="center"/>
          </w:tcPr>
          <w:p w14:paraId="011E638B" w14:textId="77777777" w:rsidR="001A0B09" w:rsidRDefault="001A0B09">
            <w:pPr>
              <w:jc w:val="center"/>
              <w:rPr>
                <w:rFonts w:ascii="Times New Roman" w:hAnsi="Times New Roman"/>
                <w:sz w:val="18"/>
                <w:szCs w:val="18"/>
              </w:rPr>
            </w:pPr>
          </w:p>
        </w:tc>
        <w:tc>
          <w:tcPr>
            <w:tcW w:w="1850" w:type="dxa"/>
            <w:vMerge/>
            <w:shd w:val="clear" w:color="auto" w:fill="auto"/>
            <w:vAlign w:val="center"/>
          </w:tcPr>
          <w:p w14:paraId="05DD881E" w14:textId="77777777" w:rsidR="001A0B09" w:rsidRDefault="001A0B09">
            <w:pPr>
              <w:jc w:val="center"/>
              <w:rPr>
                <w:rFonts w:ascii="Times New Roman" w:hAnsi="Times New Roman"/>
                <w:sz w:val="18"/>
                <w:szCs w:val="18"/>
              </w:rPr>
            </w:pPr>
          </w:p>
        </w:tc>
        <w:tc>
          <w:tcPr>
            <w:tcW w:w="1850" w:type="dxa"/>
            <w:shd w:val="clear" w:color="auto" w:fill="auto"/>
            <w:vAlign w:val="center"/>
          </w:tcPr>
          <w:p w14:paraId="1EBB985B" w14:textId="77777777" w:rsidR="001A0B09"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1A0B09" w:rsidRDefault="007453EC">
            <w:pPr>
              <w:jc w:val="left"/>
              <w:rPr>
                <w:rFonts w:ascii="Times New Roman" w:hAnsi="Times New Roman"/>
                <w:sz w:val="18"/>
                <w:szCs w:val="18"/>
              </w:rPr>
            </w:pPr>
            <w:r>
              <w:rPr>
                <w:rFonts w:ascii="Times New Roman" w:hAnsi="Times New Roman"/>
                <w:sz w:val="18"/>
                <w:szCs w:val="18"/>
              </w:rPr>
              <w:t>Część wpływów, która nie została wyłączona z ograniczenia wpływów</w:t>
            </w:r>
          </w:p>
        </w:tc>
        <w:tc>
          <w:tcPr>
            <w:tcW w:w="1400" w:type="dxa"/>
            <w:shd w:val="clear" w:color="auto" w:fill="BFBFBF"/>
            <w:vAlign w:val="center"/>
          </w:tcPr>
          <w:p w14:paraId="66058557" w14:textId="2EBFADBE" w:rsidR="001A0B09" w:rsidRDefault="001A0B09">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1A0B09" w14:paraId="5AE30016" w14:textId="77777777" w:rsidTr="00454544">
        <w:trPr>
          <w:jc w:val="center"/>
        </w:trPr>
        <w:tc>
          <w:tcPr>
            <w:tcW w:w="529" w:type="dxa"/>
            <w:vMerge w:val="restart"/>
            <w:shd w:val="clear" w:color="auto" w:fill="auto"/>
            <w:vAlign w:val="center"/>
          </w:tcPr>
          <w:p w14:paraId="51498822"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1A0B09" w:rsidRDefault="007453EC">
            <w:pPr>
              <w:spacing w:before="40" w:after="40"/>
              <w:rPr>
                <w:rFonts w:ascii="Times New Roman" w:hAnsi="Times New Roman"/>
                <w:sz w:val="18"/>
                <w:szCs w:val="18"/>
              </w:rPr>
            </w:pPr>
            <w:r>
              <w:rPr>
                <w:rFonts w:ascii="Times New Roman" w:hAnsi="Times New Roman"/>
                <w:sz w:val="18"/>
                <w:szCs w:val="18"/>
              </w:rPr>
              <w:t>Część wpływów wyłączona z ograniczenia wpływów w wysokości 75 %, podlegająca ograniczeniu wpływów w wysokości 90 %</w:t>
            </w:r>
            <w:r>
              <w:rPr>
                <w:rFonts w:ascii="Times New Roman" w:hAnsi="Times New Roman"/>
                <w:bCs/>
                <w:sz w:val="18"/>
                <w:szCs w:val="18"/>
              </w:rPr>
              <w:t xml:space="preserve"> (art. 33 ust. 4 i 5)</w:t>
            </w:r>
          </w:p>
        </w:tc>
        <w:tc>
          <w:tcPr>
            <w:tcW w:w="1400" w:type="dxa"/>
            <w:shd w:val="clear" w:color="auto" w:fill="auto"/>
            <w:vAlign w:val="center"/>
          </w:tcPr>
          <w:p w14:paraId="2F2FF565"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5DE5FB35"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1A0B09" w14:paraId="656C05BD" w14:textId="77777777" w:rsidTr="00454544">
        <w:trPr>
          <w:jc w:val="center"/>
        </w:trPr>
        <w:tc>
          <w:tcPr>
            <w:tcW w:w="529" w:type="dxa"/>
            <w:vMerge/>
            <w:shd w:val="clear" w:color="auto" w:fill="auto"/>
            <w:vAlign w:val="center"/>
          </w:tcPr>
          <w:p w14:paraId="5187320B"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1A0B09" w:rsidRDefault="001A0B09">
            <w:pPr>
              <w:jc w:val="center"/>
              <w:rPr>
                <w:rFonts w:ascii="Times New Roman" w:hAnsi="Times New Roman"/>
                <w:sz w:val="18"/>
                <w:szCs w:val="18"/>
              </w:rPr>
            </w:pPr>
          </w:p>
        </w:tc>
        <w:tc>
          <w:tcPr>
            <w:tcW w:w="1400" w:type="dxa"/>
            <w:shd w:val="clear" w:color="auto" w:fill="auto"/>
            <w:vAlign w:val="center"/>
          </w:tcPr>
          <w:p w14:paraId="399FEE4A"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478571D0"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1A0B09" w:rsidRDefault="001A0B09">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1A0B09" w14:paraId="4524AA33" w14:textId="77777777" w:rsidTr="00454544">
        <w:trPr>
          <w:jc w:val="center"/>
        </w:trPr>
        <w:tc>
          <w:tcPr>
            <w:tcW w:w="529" w:type="dxa"/>
            <w:vMerge w:val="restart"/>
            <w:shd w:val="clear" w:color="auto" w:fill="auto"/>
            <w:vAlign w:val="center"/>
          </w:tcPr>
          <w:p w14:paraId="32A22339"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1A0B09" w:rsidRDefault="007453EC">
            <w:pPr>
              <w:spacing w:before="40" w:after="40"/>
              <w:rPr>
                <w:rFonts w:ascii="Times New Roman" w:hAnsi="Times New Roman"/>
                <w:sz w:val="18"/>
                <w:szCs w:val="18"/>
              </w:rPr>
            </w:pPr>
            <w:r>
              <w:rPr>
                <w:rFonts w:ascii="Times New Roman" w:hAnsi="Times New Roman"/>
                <w:sz w:val="18"/>
                <w:szCs w:val="18"/>
              </w:rPr>
              <w:t xml:space="preserve">Wpływ </w:t>
            </w:r>
            <w:r>
              <w:rPr>
                <w:rFonts w:ascii="Times New Roman" w:hAnsi="Times New Roman"/>
                <w:bCs/>
                <w:sz w:val="18"/>
                <w:szCs w:val="18"/>
              </w:rPr>
              <w:t>podlegający ograniczeniu wpływów w wysokości 75 % (art. 33 ust. 1)</w:t>
            </w:r>
          </w:p>
        </w:tc>
        <w:tc>
          <w:tcPr>
            <w:tcW w:w="1400" w:type="dxa"/>
            <w:shd w:val="clear" w:color="auto" w:fill="auto"/>
            <w:vAlign w:val="center"/>
          </w:tcPr>
          <w:p w14:paraId="3128986E"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7D6C772B"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1A0B09" w14:paraId="73A9C29E" w14:textId="77777777" w:rsidTr="00454544">
        <w:trPr>
          <w:jc w:val="center"/>
        </w:trPr>
        <w:tc>
          <w:tcPr>
            <w:tcW w:w="529" w:type="dxa"/>
            <w:vMerge/>
            <w:shd w:val="clear" w:color="auto" w:fill="auto"/>
            <w:vAlign w:val="center"/>
          </w:tcPr>
          <w:p w14:paraId="2AA250DA"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1A0B09" w:rsidRDefault="001A0B09">
            <w:pPr>
              <w:jc w:val="center"/>
              <w:rPr>
                <w:rFonts w:ascii="Times New Roman" w:hAnsi="Times New Roman"/>
                <w:sz w:val="18"/>
                <w:szCs w:val="18"/>
              </w:rPr>
            </w:pPr>
          </w:p>
        </w:tc>
        <w:tc>
          <w:tcPr>
            <w:tcW w:w="1400" w:type="dxa"/>
            <w:shd w:val="clear" w:color="auto" w:fill="auto"/>
            <w:vAlign w:val="center"/>
          </w:tcPr>
          <w:p w14:paraId="39637CA0"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38B0DA0C"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1A0B09" w14:paraId="2440A28D" w14:textId="77777777" w:rsidTr="00CB45E9">
        <w:trPr>
          <w:trHeight w:val="134"/>
          <w:jc w:val="center"/>
        </w:trPr>
        <w:tc>
          <w:tcPr>
            <w:tcW w:w="529" w:type="dxa"/>
            <w:vMerge w:val="restart"/>
            <w:shd w:val="clear" w:color="auto" w:fill="auto"/>
            <w:vAlign w:val="center"/>
          </w:tcPr>
          <w:p w14:paraId="529C1372"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1A0B09" w:rsidRDefault="007453EC">
            <w:pPr>
              <w:spacing w:before="40" w:after="40"/>
              <w:rPr>
                <w:rFonts w:ascii="Times New Roman" w:hAnsi="Times New Roman"/>
                <w:sz w:val="18"/>
                <w:szCs w:val="18"/>
              </w:rPr>
            </w:pPr>
            <w:r>
              <w:rPr>
                <w:rFonts w:ascii="Times New Roman" w:hAnsi="Times New Roman"/>
                <w:sz w:val="18"/>
                <w:szCs w:val="18"/>
              </w:rPr>
              <w:t xml:space="preserve">Wpływ </w:t>
            </w:r>
            <w:r>
              <w:rPr>
                <w:rFonts w:ascii="Times New Roman" w:hAnsi="Times New Roman"/>
                <w:bCs/>
                <w:sz w:val="18"/>
                <w:szCs w:val="18"/>
              </w:rPr>
              <w:t>podlegający ograniczeniu wpływów w wysokości 75 % (art. 33 ust. 1)</w:t>
            </w:r>
          </w:p>
        </w:tc>
        <w:tc>
          <w:tcPr>
            <w:tcW w:w="1850" w:type="dxa"/>
            <w:shd w:val="clear" w:color="auto" w:fill="auto"/>
            <w:vAlign w:val="center"/>
          </w:tcPr>
          <w:p w14:paraId="299AD1F1" w14:textId="77777777" w:rsidR="001A0B09"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1A0B09" w:rsidRDefault="007453EC">
            <w:pPr>
              <w:spacing w:before="40" w:after="40"/>
              <w:rPr>
                <w:rFonts w:ascii="Times New Roman" w:hAnsi="Times New Roman"/>
                <w:sz w:val="18"/>
                <w:szCs w:val="18"/>
              </w:rPr>
            </w:pPr>
            <w:r>
              <w:rPr>
                <w:rFonts w:ascii="Times New Roman" w:hAnsi="Times New Roman"/>
                <w:sz w:val="18"/>
                <w:szCs w:val="18"/>
              </w:rPr>
              <w:t>Należne środki pieniężne</w:t>
            </w:r>
          </w:p>
        </w:tc>
        <w:tc>
          <w:tcPr>
            <w:tcW w:w="1400" w:type="dxa"/>
            <w:shd w:val="clear" w:color="auto" w:fill="BFBFBF"/>
            <w:vAlign w:val="center"/>
          </w:tcPr>
          <w:p w14:paraId="2595EB92" w14:textId="0A791816"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1A0B09" w:rsidRDefault="007453EC">
            <w:pPr>
              <w:spacing w:before="40" w:after="40"/>
              <w:jc w:val="center"/>
              <w:rPr>
                <w:rFonts w:ascii="Times New Roman" w:hAnsi="Times New Roman"/>
                <w:sz w:val="18"/>
              </w:rPr>
            </w:pPr>
            <w:r>
              <w:rPr>
                <w:rFonts w:ascii="Times New Roman" w:hAnsi="Times New Roman"/>
                <w:sz w:val="18"/>
              </w:rPr>
              <w:t>Kolumna 010</w:t>
            </w:r>
          </w:p>
        </w:tc>
      </w:tr>
      <w:tr w:rsidR="001A0B09" w14:paraId="0B74FD2F" w14:textId="77777777" w:rsidTr="00CB45E9">
        <w:trPr>
          <w:trHeight w:val="131"/>
          <w:jc w:val="center"/>
        </w:trPr>
        <w:tc>
          <w:tcPr>
            <w:tcW w:w="529" w:type="dxa"/>
            <w:vMerge/>
            <w:shd w:val="clear" w:color="auto" w:fill="auto"/>
            <w:vAlign w:val="center"/>
          </w:tcPr>
          <w:p w14:paraId="5EA8BF08"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6FC30A94" w14:textId="77777777" w:rsidR="001A0B09"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1A0B09" w:rsidRDefault="007453EC">
            <w:pPr>
              <w:spacing w:before="40" w:after="40"/>
              <w:rPr>
                <w:rFonts w:ascii="Times New Roman" w:hAnsi="Times New Roman"/>
                <w:sz w:val="18"/>
                <w:szCs w:val="18"/>
              </w:rPr>
            </w:pPr>
            <w:r>
              <w:rPr>
                <w:rFonts w:ascii="Times New Roman" w:hAnsi="Times New Roman"/>
                <w:sz w:val="18"/>
                <w:szCs w:val="18"/>
              </w:rPr>
              <w:t>Wartość rynkowa otrzymanego zabezpieczenia</w:t>
            </w:r>
          </w:p>
        </w:tc>
        <w:tc>
          <w:tcPr>
            <w:tcW w:w="1400" w:type="dxa"/>
            <w:shd w:val="clear" w:color="auto" w:fill="BFBFBF"/>
            <w:vAlign w:val="center"/>
          </w:tcPr>
          <w:p w14:paraId="632C5A6C" w14:textId="629DB119"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040</w:t>
            </w:r>
          </w:p>
        </w:tc>
      </w:tr>
      <w:tr w:rsidR="001A0B09" w14:paraId="07B8475E" w14:textId="77777777" w:rsidTr="00CB45E9">
        <w:trPr>
          <w:trHeight w:val="131"/>
          <w:jc w:val="center"/>
        </w:trPr>
        <w:tc>
          <w:tcPr>
            <w:tcW w:w="529" w:type="dxa"/>
            <w:vMerge/>
            <w:shd w:val="clear" w:color="auto" w:fill="auto"/>
            <w:vAlign w:val="center"/>
          </w:tcPr>
          <w:p w14:paraId="2221A0BC"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0B1F8F89" w14:textId="77777777" w:rsidR="001A0B09"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1A0B09" w:rsidRDefault="007453EC">
            <w:pPr>
              <w:spacing w:before="40" w:after="40"/>
              <w:rPr>
                <w:rFonts w:ascii="Times New Roman" w:hAnsi="Times New Roman"/>
                <w:sz w:val="18"/>
                <w:szCs w:val="18"/>
              </w:rPr>
            </w:pPr>
            <w:r>
              <w:rPr>
                <w:rFonts w:ascii="Times New Roman" w:hAnsi="Times New Roman"/>
                <w:sz w:val="18"/>
                <w:szCs w:val="18"/>
              </w:rPr>
              <w:t>Mająca zastosowanie waga</w:t>
            </w:r>
          </w:p>
        </w:tc>
        <w:tc>
          <w:tcPr>
            <w:tcW w:w="1400" w:type="dxa"/>
            <w:shd w:val="clear" w:color="auto" w:fill="BFBFBF"/>
            <w:vAlign w:val="center"/>
          </w:tcPr>
          <w:p w14:paraId="1D3104FA" w14:textId="569FF342"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080</w:t>
            </w:r>
          </w:p>
        </w:tc>
      </w:tr>
      <w:tr w:rsidR="001A0B09" w14:paraId="01860333" w14:textId="77777777" w:rsidTr="00CB45E9">
        <w:trPr>
          <w:trHeight w:val="131"/>
          <w:jc w:val="center"/>
        </w:trPr>
        <w:tc>
          <w:tcPr>
            <w:tcW w:w="529" w:type="dxa"/>
            <w:vMerge/>
            <w:shd w:val="clear" w:color="auto" w:fill="auto"/>
            <w:vAlign w:val="center"/>
          </w:tcPr>
          <w:p w14:paraId="4396A5B5"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4CDFAD92" w14:textId="77777777" w:rsidR="001A0B09"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1A0B09" w:rsidRDefault="007453EC">
            <w:pPr>
              <w:spacing w:before="40" w:after="40"/>
              <w:rPr>
                <w:rFonts w:ascii="Times New Roman" w:hAnsi="Times New Roman"/>
                <w:sz w:val="18"/>
                <w:szCs w:val="18"/>
              </w:rPr>
            </w:pPr>
            <w:r>
              <w:rPr>
                <w:rFonts w:ascii="Times New Roman" w:hAnsi="Times New Roman"/>
                <w:sz w:val="18"/>
                <w:szCs w:val="18"/>
              </w:rPr>
              <w:t>Wartość otrzymanego zabezpieczenia obliczona zgodnie z art. 9</w:t>
            </w:r>
          </w:p>
          <w:p w14:paraId="2F4FD575" w14:textId="77777777" w:rsidR="001A0B09" w:rsidRDefault="001A0B09">
            <w:pPr>
              <w:spacing w:before="40" w:after="40"/>
              <w:rPr>
                <w:rFonts w:ascii="Times New Roman" w:hAnsi="Times New Roman"/>
                <w:sz w:val="18"/>
                <w:szCs w:val="18"/>
              </w:rPr>
            </w:pPr>
          </w:p>
          <w:p w14:paraId="24BCA3CD" w14:textId="77777777" w:rsidR="001A0B09" w:rsidRDefault="007453EC">
            <w:pPr>
              <w:spacing w:before="40" w:after="40"/>
              <w:rPr>
                <w:rFonts w:ascii="Times New Roman" w:hAnsi="Times New Roman"/>
                <w:sz w:val="18"/>
                <w:szCs w:val="18"/>
              </w:rPr>
            </w:pPr>
            <w:r>
              <w:rPr>
                <w:rFonts w:ascii="Times New Roman" w:hAnsi="Times New Roman"/>
                <w:sz w:val="18"/>
                <w:szCs w:val="18"/>
              </w:rPr>
              <w:t>[tylko wtedy, gdy otrzymane zabezpieczenie spełnia wymogi operacyjne]</w:t>
            </w:r>
          </w:p>
          <w:p w14:paraId="73E4AF15" w14:textId="77777777" w:rsidR="001A0B09" w:rsidRDefault="001A0B09">
            <w:pPr>
              <w:spacing w:before="40" w:after="40"/>
              <w:rPr>
                <w:rFonts w:ascii="Times New Roman" w:hAnsi="Times New Roman"/>
                <w:sz w:val="18"/>
                <w:szCs w:val="18"/>
              </w:rPr>
            </w:pPr>
          </w:p>
        </w:tc>
        <w:tc>
          <w:tcPr>
            <w:tcW w:w="1400" w:type="dxa"/>
            <w:shd w:val="clear" w:color="auto" w:fill="BFBFBF"/>
            <w:vAlign w:val="center"/>
          </w:tcPr>
          <w:p w14:paraId="271DC100" w14:textId="51440963"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110</w:t>
            </w:r>
          </w:p>
        </w:tc>
      </w:tr>
      <w:tr w:rsidR="001A0B09" w14:paraId="47813B86" w14:textId="77777777" w:rsidTr="00CB45E9">
        <w:trPr>
          <w:trHeight w:val="131"/>
          <w:jc w:val="center"/>
        </w:trPr>
        <w:tc>
          <w:tcPr>
            <w:tcW w:w="529" w:type="dxa"/>
            <w:vMerge/>
            <w:shd w:val="clear" w:color="auto" w:fill="auto"/>
            <w:vAlign w:val="center"/>
          </w:tcPr>
          <w:p w14:paraId="0D3565DE"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70ED067F" w14:textId="77777777" w:rsidR="001A0B09"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1A0B09" w:rsidRDefault="007453EC">
            <w:pPr>
              <w:spacing w:before="40" w:after="40"/>
              <w:rPr>
                <w:rFonts w:ascii="Times New Roman" w:hAnsi="Times New Roman"/>
                <w:sz w:val="18"/>
                <w:szCs w:val="18"/>
              </w:rPr>
            </w:pPr>
            <w:r>
              <w:rPr>
                <w:rFonts w:ascii="Times New Roman" w:hAnsi="Times New Roman"/>
                <w:sz w:val="18"/>
                <w:szCs w:val="18"/>
              </w:rPr>
              <w:t>Wpływ</w:t>
            </w:r>
          </w:p>
        </w:tc>
        <w:tc>
          <w:tcPr>
            <w:tcW w:w="1400" w:type="dxa"/>
            <w:shd w:val="clear" w:color="auto" w:fill="BFBFBF"/>
            <w:vAlign w:val="center"/>
          </w:tcPr>
          <w:p w14:paraId="57D0A0CC" w14:textId="3A28EFB6"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140</w:t>
            </w:r>
          </w:p>
        </w:tc>
      </w:tr>
      <w:tr w:rsidR="001A0B09" w14:paraId="44D83FC0" w14:textId="77777777" w:rsidTr="00454544">
        <w:trPr>
          <w:jc w:val="center"/>
        </w:trPr>
        <w:tc>
          <w:tcPr>
            <w:tcW w:w="529" w:type="dxa"/>
            <w:vMerge w:val="restart"/>
            <w:shd w:val="clear" w:color="auto" w:fill="auto"/>
            <w:vAlign w:val="center"/>
          </w:tcPr>
          <w:p w14:paraId="43D5592C"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1A0B09" w:rsidRDefault="007453EC">
            <w:pPr>
              <w:spacing w:before="40" w:after="40"/>
              <w:rPr>
                <w:rFonts w:ascii="Times New Roman" w:hAnsi="Times New Roman"/>
                <w:sz w:val="18"/>
                <w:szCs w:val="18"/>
              </w:rPr>
            </w:pPr>
            <w:r>
              <w:rPr>
                <w:rFonts w:ascii="Times New Roman" w:hAnsi="Times New Roman"/>
                <w:sz w:val="18"/>
                <w:szCs w:val="18"/>
              </w:rPr>
              <w:t>Wpływ podlegający ograniczeniu wpływów w wysokości 90 %</w:t>
            </w:r>
            <w:r>
              <w:rPr>
                <w:rFonts w:ascii="Times New Roman" w:hAnsi="Times New Roman"/>
                <w:bCs/>
                <w:sz w:val="18"/>
                <w:szCs w:val="18"/>
              </w:rPr>
              <w:t xml:space="preserve"> (art. 33 ust. 4 i 5)</w:t>
            </w:r>
          </w:p>
        </w:tc>
        <w:tc>
          <w:tcPr>
            <w:tcW w:w="1400" w:type="dxa"/>
            <w:shd w:val="clear" w:color="auto" w:fill="auto"/>
            <w:vAlign w:val="center"/>
          </w:tcPr>
          <w:p w14:paraId="01AD2DA5"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Tak</w:t>
            </w:r>
          </w:p>
        </w:tc>
        <w:tc>
          <w:tcPr>
            <w:tcW w:w="2127" w:type="dxa"/>
            <w:shd w:val="clear" w:color="auto" w:fill="auto"/>
            <w:vAlign w:val="center"/>
          </w:tcPr>
          <w:p w14:paraId="6BBCCB83" w14:textId="77777777" w:rsidR="001A0B09" w:rsidRDefault="007453EC">
            <w:pPr>
              <w:spacing w:before="40" w:after="40"/>
              <w:jc w:val="center"/>
              <w:rPr>
                <w:rFonts w:ascii="Times New Roman" w:hAnsi="Times New Roman"/>
                <w:sz w:val="18"/>
              </w:rPr>
            </w:pPr>
            <w:r>
              <w:rPr>
                <w:rFonts w:ascii="Times New Roman" w:hAnsi="Times New Roman"/>
                <w:sz w:val="18"/>
                <w:szCs w:val="18"/>
              </w:rPr>
              <w:t># 18</w:t>
            </w:r>
          </w:p>
        </w:tc>
      </w:tr>
      <w:tr w:rsidR="001A0B09" w14:paraId="171680DA" w14:textId="77777777" w:rsidTr="00454544">
        <w:trPr>
          <w:jc w:val="center"/>
        </w:trPr>
        <w:tc>
          <w:tcPr>
            <w:tcW w:w="529" w:type="dxa"/>
            <w:vMerge/>
            <w:shd w:val="clear" w:color="auto" w:fill="auto"/>
            <w:vAlign w:val="center"/>
          </w:tcPr>
          <w:p w14:paraId="37128D88" w14:textId="77777777" w:rsidR="001A0B09" w:rsidRDefault="001A0B09">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1A0B09" w:rsidRDefault="001A0B09">
            <w:pPr>
              <w:jc w:val="center"/>
              <w:rPr>
                <w:rFonts w:ascii="Times New Roman" w:hAnsi="Times New Roman"/>
                <w:sz w:val="18"/>
                <w:szCs w:val="18"/>
              </w:rPr>
            </w:pPr>
          </w:p>
        </w:tc>
        <w:tc>
          <w:tcPr>
            <w:tcW w:w="1400" w:type="dxa"/>
            <w:shd w:val="clear" w:color="auto" w:fill="auto"/>
            <w:vAlign w:val="center"/>
          </w:tcPr>
          <w:p w14:paraId="0397F479"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Nie</w:t>
            </w:r>
          </w:p>
        </w:tc>
        <w:tc>
          <w:tcPr>
            <w:tcW w:w="2127" w:type="dxa"/>
            <w:shd w:val="clear" w:color="auto" w:fill="auto"/>
            <w:vAlign w:val="center"/>
          </w:tcPr>
          <w:p w14:paraId="778A7E26" w14:textId="77777777" w:rsidR="001A0B09"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1A0B09" w14:paraId="186B68DB" w14:textId="77777777" w:rsidTr="00CB45E9">
        <w:trPr>
          <w:trHeight w:val="134"/>
          <w:jc w:val="center"/>
        </w:trPr>
        <w:tc>
          <w:tcPr>
            <w:tcW w:w="529" w:type="dxa"/>
            <w:vMerge w:val="restart"/>
            <w:shd w:val="clear" w:color="auto" w:fill="auto"/>
            <w:vAlign w:val="center"/>
          </w:tcPr>
          <w:p w14:paraId="5559E736"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1A0B09" w:rsidRDefault="007453EC">
            <w:pPr>
              <w:spacing w:before="40" w:after="40"/>
              <w:rPr>
                <w:rFonts w:ascii="Times New Roman" w:hAnsi="Times New Roman"/>
                <w:sz w:val="18"/>
                <w:szCs w:val="18"/>
              </w:rPr>
            </w:pPr>
            <w:r>
              <w:rPr>
                <w:rFonts w:ascii="Times New Roman" w:hAnsi="Times New Roman"/>
                <w:sz w:val="18"/>
                <w:szCs w:val="18"/>
              </w:rPr>
              <w:t>Wpływ podlegający ograniczeniu wpływów w wysokości 90 %</w:t>
            </w:r>
            <w:r>
              <w:rPr>
                <w:rFonts w:ascii="Times New Roman" w:hAnsi="Times New Roman"/>
                <w:bCs/>
                <w:sz w:val="18"/>
                <w:szCs w:val="18"/>
              </w:rPr>
              <w:t xml:space="preserve"> (art. 33 ust. 4 i 5)</w:t>
            </w:r>
          </w:p>
        </w:tc>
        <w:tc>
          <w:tcPr>
            <w:tcW w:w="1850" w:type="dxa"/>
            <w:shd w:val="clear" w:color="auto" w:fill="auto"/>
            <w:vAlign w:val="center"/>
          </w:tcPr>
          <w:p w14:paraId="4C788575" w14:textId="77777777" w:rsidR="001A0B09"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1A0B09" w:rsidRDefault="007453EC">
            <w:pPr>
              <w:spacing w:before="40" w:after="40"/>
              <w:rPr>
                <w:rFonts w:ascii="Times New Roman" w:hAnsi="Times New Roman"/>
                <w:sz w:val="18"/>
                <w:szCs w:val="18"/>
              </w:rPr>
            </w:pPr>
            <w:r>
              <w:rPr>
                <w:rFonts w:ascii="Times New Roman" w:hAnsi="Times New Roman"/>
                <w:sz w:val="18"/>
                <w:szCs w:val="18"/>
              </w:rPr>
              <w:t>Należne środki pieniężne</w:t>
            </w:r>
          </w:p>
        </w:tc>
        <w:tc>
          <w:tcPr>
            <w:tcW w:w="1400" w:type="dxa"/>
            <w:shd w:val="clear" w:color="auto" w:fill="BFBFBF"/>
            <w:vAlign w:val="center"/>
          </w:tcPr>
          <w:p w14:paraId="366D150F" w14:textId="4F80DD4D"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1A0B09" w:rsidRDefault="007453EC">
            <w:pPr>
              <w:spacing w:before="40" w:after="40"/>
              <w:jc w:val="center"/>
              <w:rPr>
                <w:rFonts w:ascii="Times New Roman" w:hAnsi="Times New Roman"/>
                <w:sz w:val="18"/>
              </w:rPr>
            </w:pPr>
            <w:r>
              <w:rPr>
                <w:rFonts w:ascii="Times New Roman" w:hAnsi="Times New Roman"/>
                <w:sz w:val="18"/>
              </w:rPr>
              <w:t>Kolumna 020</w:t>
            </w:r>
          </w:p>
        </w:tc>
      </w:tr>
      <w:tr w:rsidR="001A0B09" w14:paraId="6AADB014" w14:textId="77777777" w:rsidTr="00CB45E9">
        <w:trPr>
          <w:trHeight w:val="131"/>
          <w:jc w:val="center"/>
        </w:trPr>
        <w:tc>
          <w:tcPr>
            <w:tcW w:w="529" w:type="dxa"/>
            <w:vMerge/>
            <w:shd w:val="clear" w:color="auto" w:fill="auto"/>
            <w:vAlign w:val="center"/>
          </w:tcPr>
          <w:p w14:paraId="6BA25E1E"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088FFD2A" w14:textId="77777777" w:rsidR="001A0B09"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1A0B09" w:rsidRDefault="007453EC">
            <w:pPr>
              <w:spacing w:before="40" w:after="40"/>
              <w:rPr>
                <w:rFonts w:ascii="Times New Roman" w:hAnsi="Times New Roman"/>
                <w:sz w:val="18"/>
                <w:szCs w:val="18"/>
              </w:rPr>
            </w:pPr>
            <w:r>
              <w:rPr>
                <w:rFonts w:ascii="Times New Roman" w:hAnsi="Times New Roman"/>
                <w:sz w:val="18"/>
                <w:szCs w:val="18"/>
              </w:rPr>
              <w:t>Wartość rynkowa otrzymanego zabezpieczenia</w:t>
            </w:r>
          </w:p>
        </w:tc>
        <w:tc>
          <w:tcPr>
            <w:tcW w:w="1400" w:type="dxa"/>
            <w:shd w:val="clear" w:color="auto" w:fill="BFBFBF"/>
            <w:vAlign w:val="center"/>
          </w:tcPr>
          <w:p w14:paraId="0E4075F6" w14:textId="1DB6B80E"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050</w:t>
            </w:r>
          </w:p>
        </w:tc>
      </w:tr>
      <w:tr w:rsidR="001A0B09" w14:paraId="7C1CE6D8" w14:textId="77777777" w:rsidTr="00CB45E9">
        <w:trPr>
          <w:trHeight w:val="131"/>
          <w:jc w:val="center"/>
        </w:trPr>
        <w:tc>
          <w:tcPr>
            <w:tcW w:w="529" w:type="dxa"/>
            <w:vMerge/>
            <w:shd w:val="clear" w:color="auto" w:fill="auto"/>
            <w:vAlign w:val="center"/>
          </w:tcPr>
          <w:p w14:paraId="2448CE6D"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371FC050" w14:textId="77777777" w:rsidR="001A0B09"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1A0B09" w:rsidRDefault="007453EC">
            <w:pPr>
              <w:spacing w:before="40" w:after="40"/>
              <w:rPr>
                <w:rFonts w:ascii="Times New Roman" w:hAnsi="Times New Roman"/>
                <w:sz w:val="18"/>
                <w:szCs w:val="18"/>
              </w:rPr>
            </w:pPr>
            <w:r>
              <w:rPr>
                <w:rFonts w:ascii="Times New Roman" w:hAnsi="Times New Roman"/>
                <w:sz w:val="18"/>
                <w:szCs w:val="18"/>
              </w:rPr>
              <w:t>Mająca zastosowanie waga</w:t>
            </w:r>
          </w:p>
        </w:tc>
        <w:tc>
          <w:tcPr>
            <w:tcW w:w="1400" w:type="dxa"/>
            <w:shd w:val="clear" w:color="auto" w:fill="BFBFBF"/>
            <w:vAlign w:val="center"/>
          </w:tcPr>
          <w:p w14:paraId="182615F1" w14:textId="05BFA5D7"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090</w:t>
            </w:r>
          </w:p>
        </w:tc>
      </w:tr>
      <w:tr w:rsidR="001A0B09" w14:paraId="27AC69F1" w14:textId="77777777" w:rsidTr="00CB45E9">
        <w:trPr>
          <w:trHeight w:val="131"/>
          <w:jc w:val="center"/>
        </w:trPr>
        <w:tc>
          <w:tcPr>
            <w:tcW w:w="529" w:type="dxa"/>
            <w:vMerge/>
            <w:shd w:val="clear" w:color="auto" w:fill="auto"/>
            <w:vAlign w:val="center"/>
          </w:tcPr>
          <w:p w14:paraId="7BD0F728"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0A722490" w14:textId="77777777" w:rsidR="001A0B09"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1A0B09" w:rsidRDefault="007453EC">
            <w:pPr>
              <w:spacing w:before="40" w:after="40"/>
              <w:rPr>
                <w:rFonts w:ascii="Times New Roman" w:hAnsi="Times New Roman"/>
                <w:sz w:val="18"/>
                <w:szCs w:val="18"/>
              </w:rPr>
            </w:pPr>
            <w:r>
              <w:rPr>
                <w:rFonts w:ascii="Times New Roman" w:hAnsi="Times New Roman"/>
                <w:sz w:val="18"/>
                <w:szCs w:val="18"/>
              </w:rPr>
              <w:t>Wartość otrzymanego zabezpieczenia obliczona zgodnie z art. 9</w:t>
            </w:r>
          </w:p>
          <w:p w14:paraId="62273CDF" w14:textId="77777777" w:rsidR="001A0B09" w:rsidRDefault="001A0B09">
            <w:pPr>
              <w:spacing w:before="40" w:after="40"/>
              <w:rPr>
                <w:rFonts w:ascii="Times New Roman" w:hAnsi="Times New Roman"/>
                <w:sz w:val="18"/>
                <w:szCs w:val="18"/>
              </w:rPr>
            </w:pPr>
          </w:p>
          <w:p w14:paraId="16571EB7" w14:textId="77777777" w:rsidR="001A0B09" w:rsidRDefault="007453EC">
            <w:pPr>
              <w:spacing w:before="40" w:after="40"/>
              <w:rPr>
                <w:rFonts w:ascii="Times New Roman" w:hAnsi="Times New Roman"/>
                <w:sz w:val="18"/>
                <w:szCs w:val="18"/>
              </w:rPr>
            </w:pPr>
            <w:r>
              <w:rPr>
                <w:rFonts w:ascii="Times New Roman" w:hAnsi="Times New Roman"/>
                <w:sz w:val="18"/>
                <w:szCs w:val="18"/>
              </w:rPr>
              <w:t>[tylko wtedy, gdy otrzymane zabezpieczenie spełnia wymogi operacyjne]</w:t>
            </w:r>
          </w:p>
          <w:p w14:paraId="274214F2" w14:textId="77777777" w:rsidR="001A0B09" w:rsidRDefault="001A0B09">
            <w:pPr>
              <w:spacing w:before="40" w:after="40"/>
              <w:rPr>
                <w:rFonts w:ascii="Times New Roman" w:hAnsi="Times New Roman"/>
                <w:b/>
                <w:sz w:val="18"/>
                <w:u w:val="single"/>
              </w:rPr>
            </w:pPr>
          </w:p>
        </w:tc>
        <w:tc>
          <w:tcPr>
            <w:tcW w:w="1400" w:type="dxa"/>
            <w:shd w:val="clear" w:color="auto" w:fill="BFBFBF"/>
            <w:vAlign w:val="center"/>
          </w:tcPr>
          <w:p w14:paraId="2D2A3FD0" w14:textId="2449D7CA"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120</w:t>
            </w:r>
          </w:p>
        </w:tc>
      </w:tr>
      <w:tr w:rsidR="001A0B09" w14:paraId="2D65D0FD" w14:textId="77777777" w:rsidTr="00CB45E9">
        <w:trPr>
          <w:trHeight w:val="131"/>
          <w:jc w:val="center"/>
        </w:trPr>
        <w:tc>
          <w:tcPr>
            <w:tcW w:w="529" w:type="dxa"/>
            <w:vMerge/>
            <w:shd w:val="clear" w:color="auto" w:fill="auto"/>
            <w:vAlign w:val="center"/>
          </w:tcPr>
          <w:p w14:paraId="1C690085" w14:textId="77777777" w:rsidR="001A0B09" w:rsidRDefault="001A0B0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229BCC11" w14:textId="77777777" w:rsidR="001A0B09"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1A0B09" w:rsidRDefault="007453EC">
            <w:pPr>
              <w:spacing w:before="40" w:after="40"/>
              <w:rPr>
                <w:rFonts w:ascii="Times New Roman" w:hAnsi="Times New Roman"/>
                <w:sz w:val="18"/>
                <w:szCs w:val="18"/>
              </w:rPr>
            </w:pPr>
            <w:r>
              <w:rPr>
                <w:rFonts w:ascii="Times New Roman" w:hAnsi="Times New Roman"/>
                <w:sz w:val="18"/>
                <w:szCs w:val="18"/>
              </w:rPr>
              <w:t>Wpływ</w:t>
            </w:r>
          </w:p>
        </w:tc>
        <w:tc>
          <w:tcPr>
            <w:tcW w:w="1400" w:type="dxa"/>
            <w:shd w:val="clear" w:color="auto" w:fill="BFBFBF"/>
            <w:vAlign w:val="center"/>
          </w:tcPr>
          <w:p w14:paraId="1957DA14" w14:textId="3FE81A14"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150</w:t>
            </w:r>
          </w:p>
        </w:tc>
      </w:tr>
      <w:tr w:rsidR="001A0B09" w14:paraId="024C7CF7" w14:textId="77777777" w:rsidTr="00CB45E9">
        <w:trPr>
          <w:trHeight w:val="134"/>
          <w:jc w:val="center"/>
        </w:trPr>
        <w:tc>
          <w:tcPr>
            <w:tcW w:w="529" w:type="dxa"/>
            <w:vMerge w:val="restart"/>
            <w:shd w:val="clear" w:color="auto" w:fill="auto"/>
            <w:vAlign w:val="center"/>
          </w:tcPr>
          <w:p w14:paraId="360F4477" w14:textId="77777777" w:rsidR="001A0B09" w:rsidRDefault="007453EC">
            <w:pPr>
              <w:spacing w:before="40" w:after="40"/>
              <w:jc w:val="center"/>
              <w:rPr>
                <w:rFonts w:ascii="Times New Roman" w:hAnsi="Times New Roman"/>
                <w:sz w:val="18"/>
                <w:szCs w:val="18"/>
              </w:rPr>
            </w:pPr>
            <w:r>
              <w:rPr>
                <w:rFonts w:ascii="Times New Roman" w:hAnsi="Times New Roman"/>
                <w:sz w:val="18"/>
                <w:szCs w:val="18"/>
              </w:rPr>
              <w:lastRenderedPageBreak/>
              <w:t>19</w:t>
            </w:r>
          </w:p>
        </w:tc>
        <w:tc>
          <w:tcPr>
            <w:tcW w:w="1850" w:type="dxa"/>
            <w:vMerge w:val="restart"/>
            <w:shd w:val="clear" w:color="auto" w:fill="auto"/>
            <w:vAlign w:val="center"/>
          </w:tcPr>
          <w:p w14:paraId="02C258CF" w14:textId="77777777" w:rsidR="001A0B09" w:rsidRDefault="007453EC">
            <w:pPr>
              <w:spacing w:before="40" w:after="40"/>
              <w:rPr>
                <w:rFonts w:ascii="Times New Roman" w:hAnsi="Times New Roman"/>
                <w:sz w:val="18"/>
                <w:szCs w:val="18"/>
              </w:rPr>
            </w:pPr>
            <w:r>
              <w:rPr>
                <w:rFonts w:ascii="Times New Roman" w:hAnsi="Times New Roman"/>
                <w:sz w:val="18"/>
                <w:szCs w:val="18"/>
              </w:rPr>
              <w:t>Wpływy, które zostały całkowicie wyłączone z ograniczenia wpływów (art. 33 ust. 2–3)</w:t>
            </w:r>
          </w:p>
        </w:tc>
        <w:tc>
          <w:tcPr>
            <w:tcW w:w="1850" w:type="dxa"/>
            <w:shd w:val="clear" w:color="auto" w:fill="auto"/>
            <w:vAlign w:val="center"/>
          </w:tcPr>
          <w:p w14:paraId="74D5ACED" w14:textId="77777777" w:rsidR="001A0B09" w:rsidRDefault="007453EC">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1A0B09" w:rsidRDefault="007453EC">
            <w:pPr>
              <w:spacing w:before="40" w:after="40"/>
              <w:rPr>
                <w:rFonts w:ascii="Times New Roman" w:hAnsi="Times New Roman"/>
                <w:sz w:val="18"/>
                <w:szCs w:val="18"/>
              </w:rPr>
            </w:pPr>
            <w:r>
              <w:rPr>
                <w:rFonts w:ascii="Times New Roman" w:hAnsi="Times New Roman"/>
                <w:sz w:val="18"/>
                <w:szCs w:val="18"/>
              </w:rPr>
              <w:t>Należne środki pieniężne</w:t>
            </w:r>
          </w:p>
        </w:tc>
        <w:tc>
          <w:tcPr>
            <w:tcW w:w="1400" w:type="dxa"/>
            <w:shd w:val="clear" w:color="auto" w:fill="BFBFBF"/>
            <w:vAlign w:val="center"/>
          </w:tcPr>
          <w:p w14:paraId="7D5E663F" w14:textId="463D45DC"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1A0B09" w:rsidRDefault="007453EC">
            <w:pPr>
              <w:spacing w:before="40" w:after="40"/>
              <w:jc w:val="center"/>
              <w:rPr>
                <w:rFonts w:ascii="Times New Roman" w:hAnsi="Times New Roman"/>
                <w:sz w:val="18"/>
              </w:rPr>
            </w:pPr>
            <w:r>
              <w:rPr>
                <w:rFonts w:ascii="Times New Roman" w:hAnsi="Times New Roman"/>
                <w:sz w:val="18"/>
              </w:rPr>
              <w:t>Kolumna 030</w:t>
            </w:r>
          </w:p>
        </w:tc>
      </w:tr>
      <w:tr w:rsidR="001A0B09" w14:paraId="33E983EB" w14:textId="77777777" w:rsidTr="00CB45E9">
        <w:trPr>
          <w:trHeight w:val="131"/>
          <w:jc w:val="center"/>
        </w:trPr>
        <w:tc>
          <w:tcPr>
            <w:tcW w:w="529" w:type="dxa"/>
            <w:vMerge/>
            <w:shd w:val="clear" w:color="auto" w:fill="auto"/>
            <w:vAlign w:val="center"/>
          </w:tcPr>
          <w:p w14:paraId="4B62BE09" w14:textId="77777777" w:rsidR="001A0B09" w:rsidRDefault="001A0B09">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650E7F08" w14:textId="77777777" w:rsidR="001A0B09"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1A0B09" w:rsidRDefault="007453EC">
            <w:pPr>
              <w:spacing w:before="40" w:after="40"/>
              <w:rPr>
                <w:rFonts w:ascii="Times New Roman" w:hAnsi="Times New Roman"/>
                <w:sz w:val="18"/>
                <w:szCs w:val="18"/>
              </w:rPr>
            </w:pPr>
            <w:r>
              <w:rPr>
                <w:rFonts w:ascii="Times New Roman" w:hAnsi="Times New Roman"/>
                <w:sz w:val="18"/>
                <w:szCs w:val="18"/>
              </w:rPr>
              <w:t>Wartość rynkowa otrzymanego zabezpieczenia</w:t>
            </w:r>
          </w:p>
        </w:tc>
        <w:tc>
          <w:tcPr>
            <w:tcW w:w="1400" w:type="dxa"/>
            <w:shd w:val="clear" w:color="auto" w:fill="BFBFBF"/>
            <w:vAlign w:val="center"/>
          </w:tcPr>
          <w:p w14:paraId="56B6EFF0" w14:textId="37ADE589"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060</w:t>
            </w:r>
          </w:p>
        </w:tc>
      </w:tr>
      <w:tr w:rsidR="001A0B09" w14:paraId="67E91E99" w14:textId="77777777" w:rsidTr="00CB45E9">
        <w:trPr>
          <w:trHeight w:val="131"/>
          <w:jc w:val="center"/>
        </w:trPr>
        <w:tc>
          <w:tcPr>
            <w:tcW w:w="529" w:type="dxa"/>
            <w:vMerge/>
            <w:shd w:val="clear" w:color="auto" w:fill="auto"/>
            <w:vAlign w:val="center"/>
          </w:tcPr>
          <w:p w14:paraId="2076963B" w14:textId="77777777" w:rsidR="001A0B09" w:rsidRDefault="001A0B09">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19753784" w14:textId="77777777" w:rsidR="001A0B09"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1A0B09" w:rsidRDefault="007453EC">
            <w:pPr>
              <w:spacing w:before="40" w:after="40"/>
              <w:rPr>
                <w:rFonts w:ascii="Times New Roman" w:hAnsi="Times New Roman"/>
                <w:sz w:val="18"/>
                <w:szCs w:val="18"/>
              </w:rPr>
            </w:pPr>
            <w:r>
              <w:rPr>
                <w:rFonts w:ascii="Times New Roman" w:hAnsi="Times New Roman"/>
                <w:sz w:val="18"/>
                <w:szCs w:val="18"/>
              </w:rPr>
              <w:t>Mająca zastosowanie waga</w:t>
            </w:r>
          </w:p>
        </w:tc>
        <w:tc>
          <w:tcPr>
            <w:tcW w:w="1400" w:type="dxa"/>
            <w:shd w:val="clear" w:color="auto" w:fill="BFBFBF"/>
            <w:vAlign w:val="center"/>
          </w:tcPr>
          <w:p w14:paraId="59D77FBA" w14:textId="254B7FBB"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100</w:t>
            </w:r>
          </w:p>
        </w:tc>
      </w:tr>
      <w:tr w:rsidR="001A0B09" w14:paraId="74FFBD48" w14:textId="77777777" w:rsidTr="00CB45E9">
        <w:trPr>
          <w:trHeight w:val="131"/>
          <w:jc w:val="center"/>
        </w:trPr>
        <w:tc>
          <w:tcPr>
            <w:tcW w:w="529" w:type="dxa"/>
            <w:vMerge/>
            <w:shd w:val="clear" w:color="auto" w:fill="auto"/>
            <w:vAlign w:val="center"/>
          </w:tcPr>
          <w:p w14:paraId="7547D25C" w14:textId="77777777" w:rsidR="001A0B09" w:rsidRDefault="001A0B09">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33525ED8" w14:textId="77777777" w:rsidR="001A0B09"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1A0B09" w:rsidRDefault="007453EC">
            <w:pPr>
              <w:spacing w:before="40" w:after="40"/>
              <w:rPr>
                <w:rFonts w:ascii="Times New Roman" w:hAnsi="Times New Roman"/>
                <w:sz w:val="18"/>
                <w:szCs w:val="18"/>
              </w:rPr>
            </w:pPr>
            <w:r>
              <w:rPr>
                <w:rFonts w:ascii="Times New Roman" w:hAnsi="Times New Roman"/>
                <w:sz w:val="18"/>
                <w:szCs w:val="18"/>
              </w:rPr>
              <w:t>Wartość otrzymanego zabezpieczenia obliczona zgodnie z art. 9</w:t>
            </w:r>
          </w:p>
          <w:p w14:paraId="6C2482AC" w14:textId="77777777" w:rsidR="001A0B09" w:rsidRDefault="001A0B09">
            <w:pPr>
              <w:spacing w:before="40" w:after="40"/>
              <w:rPr>
                <w:rFonts w:ascii="Times New Roman" w:hAnsi="Times New Roman"/>
                <w:sz w:val="18"/>
                <w:szCs w:val="18"/>
              </w:rPr>
            </w:pPr>
          </w:p>
          <w:p w14:paraId="4FB5FB24" w14:textId="77777777" w:rsidR="001A0B09" w:rsidRDefault="007453EC">
            <w:pPr>
              <w:spacing w:before="40" w:after="40"/>
              <w:rPr>
                <w:rFonts w:ascii="Times New Roman" w:hAnsi="Times New Roman"/>
                <w:sz w:val="18"/>
                <w:szCs w:val="18"/>
              </w:rPr>
            </w:pPr>
            <w:r>
              <w:rPr>
                <w:rFonts w:ascii="Times New Roman" w:hAnsi="Times New Roman"/>
                <w:sz w:val="18"/>
                <w:szCs w:val="18"/>
              </w:rPr>
              <w:t>[tylko wtedy, gdy otrzymane zabezpieczenie spełnia wymogi operacyjne]</w:t>
            </w:r>
          </w:p>
          <w:p w14:paraId="13707B42" w14:textId="77777777" w:rsidR="001A0B09" w:rsidRDefault="001A0B09">
            <w:pPr>
              <w:spacing w:before="40" w:after="40"/>
              <w:rPr>
                <w:rFonts w:ascii="Times New Roman" w:hAnsi="Times New Roman"/>
                <w:sz w:val="18"/>
                <w:szCs w:val="18"/>
              </w:rPr>
            </w:pPr>
          </w:p>
        </w:tc>
        <w:tc>
          <w:tcPr>
            <w:tcW w:w="1400" w:type="dxa"/>
            <w:shd w:val="clear" w:color="auto" w:fill="BFBFBF"/>
            <w:vAlign w:val="center"/>
          </w:tcPr>
          <w:p w14:paraId="5D354B05" w14:textId="5C6FDCEF"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130</w:t>
            </w:r>
          </w:p>
        </w:tc>
      </w:tr>
      <w:tr w:rsidR="001A0B09" w14:paraId="58B89739" w14:textId="77777777" w:rsidTr="00CB45E9">
        <w:trPr>
          <w:trHeight w:val="131"/>
          <w:jc w:val="center"/>
        </w:trPr>
        <w:tc>
          <w:tcPr>
            <w:tcW w:w="529" w:type="dxa"/>
            <w:vMerge/>
            <w:shd w:val="clear" w:color="auto" w:fill="auto"/>
            <w:vAlign w:val="center"/>
          </w:tcPr>
          <w:p w14:paraId="120D583D" w14:textId="77777777" w:rsidR="001A0B09" w:rsidRDefault="001A0B09">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1A0B09" w:rsidRDefault="001A0B09">
            <w:pPr>
              <w:spacing w:before="40" w:after="40"/>
              <w:rPr>
                <w:rFonts w:ascii="Times New Roman" w:hAnsi="Times New Roman"/>
                <w:sz w:val="18"/>
                <w:szCs w:val="18"/>
              </w:rPr>
            </w:pPr>
          </w:p>
        </w:tc>
        <w:tc>
          <w:tcPr>
            <w:tcW w:w="1850" w:type="dxa"/>
            <w:shd w:val="clear" w:color="auto" w:fill="auto"/>
            <w:vAlign w:val="center"/>
          </w:tcPr>
          <w:p w14:paraId="5EA42F8F" w14:textId="77777777" w:rsidR="001A0B09"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1A0B09" w:rsidRDefault="007453EC">
            <w:pPr>
              <w:spacing w:before="40" w:after="40"/>
              <w:rPr>
                <w:rFonts w:ascii="Times New Roman" w:hAnsi="Times New Roman"/>
                <w:sz w:val="18"/>
                <w:szCs w:val="18"/>
              </w:rPr>
            </w:pPr>
            <w:r>
              <w:rPr>
                <w:rFonts w:ascii="Times New Roman" w:hAnsi="Times New Roman"/>
                <w:sz w:val="18"/>
                <w:szCs w:val="18"/>
              </w:rPr>
              <w:t>Wpływ</w:t>
            </w:r>
          </w:p>
        </w:tc>
        <w:tc>
          <w:tcPr>
            <w:tcW w:w="1400" w:type="dxa"/>
            <w:shd w:val="clear" w:color="auto" w:fill="BFBFBF"/>
            <w:vAlign w:val="center"/>
          </w:tcPr>
          <w:p w14:paraId="24154570" w14:textId="4A7B98E9" w:rsidR="001A0B09" w:rsidRDefault="001A0B09">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1A0B09" w:rsidRDefault="007453EC">
            <w:pPr>
              <w:spacing w:before="40" w:after="40"/>
              <w:jc w:val="center"/>
              <w:rPr>
                <w:rFonts w:ascii="Times New Roman" w:hAnsi="Times New Roman"/>
                <w:sz w:val="18"/>
                <w:szCs w:val="18"/>
              </w:rPr>
            </w:pPr>
            <w:r>
              <w:rPr>
                <w:rFonts w:ascii="Times New Roman" w:hAnsi="Times New Roman"/>
                <w:sz w:val="18"/>
              </w:rPr>
              <w:t>Kolumna 160</w:t>
            </w:r>
          </w:p>
        </w:tc>
      </w:tr>
    </w:tbl>
    <w:p w14:paraId="3884AB65" w14:textId="2BAB6E15" w:rsidR="001A0B09"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Formularz dotyczący wpływów</w:t>
      </w:r>
    </w:p>
    <w:p w14:paraId="54B00A4C" w14:textId="6AAAF10B" w:rsidR="001A0B0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Instrukcje dotyczące poszczególnych </w:t>
      </w:r>
      <w:r>
        <w:rPr>
          <w:rFonts w:ascii="Times New Roman" w:hAnsi="Times New Roman"/>
          <w:b/>
          <w:sz w:val="18"/>
          <w:szCs w:val="18"/>
        </w:rPr>
        <w:t>kolumn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1A0B09" w14:paraId="2DA7F69F" w14:textId="77777777" w:rsidTr="00D63CF5">
        <w:trPr>
          <w:gridAfter w:val="1"/>
          <w:wAfter w:w="226" w:type="dxa"/>
        </w:trPr>
        <w:tc>
          <w:tcPr>
            <w:tcW w:w="957" w:type="dxa"/>
            <w:shd w:val="clear" w:color="auto" w:fill="D9D9D9"/>
          </w:tcPr>
          <w:p w14:paraId="0087DFD4" w14:textId="77777777" w:rsidR="001A0B09" w:rsidRDefault="007453EC">
            <w:pPr>
              <w:spacing w:before="240" w:after="240"/>
              <w:rPr>
                <w:rFonts w:ascii="Times New Roman" w:hAnsi="Times New Roman"/>
                <w:sz w:val="18"/>
              </w:rPr>
            </w:pPr>
            <w:r>
              <w:rPr>
                <w:rFonts w:ascii="Times New Roman" w:hAnsi="Times New Roman"/>
                <w:sz w:val="18"/>
              </w:rPr>
              <w:t>Kolumna</w:t>
            </w:r>
          </w:p>
        </w:tc>
        <w:tc>
          <w:tcPr>
            <w:tcW w:w="7339" w:type="dxa"/>
            <w:gridSpan w:val="2"/>
            <w:shd w:val="clear" w:color="auto" w:fill="D9D9D9"/>
          </w:tcPr>
          <w:p w14:paraId="77A26FCD" w14:textId="77777777" w:rsidR="001A0B09" w:rsidRDefault="007453EC">
            <w:pPr>
              <w:spacing w:before="240" w:after="240"/>
              <w:rPr>
                <w:rFonts w:ascii="Times New Roman" w:hAnsi="Times New Roman"/>
                <w:sz w:val="18"/>
              </w:rPr>
            </w:pPr>
            <w:r>
              <w:rPr>
                <w:rFonts w:ascii="Times New Roman" w:hAnsi="Times New Roman"/>
                <w:sz w:val="18"/>
              </w:rPr>
              <w:t>Odniesienia prawne i instrukcje</w:t>
            </w:r>
          </w:p>
        </w:tc>
      </w:tr>
      <w:tr w:rsidR="001A0B09" w14:paraId="0B571055" w14:textId="77777777" w:rsidTr="00D63CF5">
        <w:trPr>
          <w:gridAfter w:val="1"/>
          <w:wAfter w:w="226" w:type="dxa"/>
        </w:trPr>
        <w:tc>
          <w:tcPr>
            <w:tcW w:w="957" w:type="dxa"/>
            <w:shd w:val="clear" w:color="auto" w:fill="auto"/>
            <w:vAlign w:val="center"/>
          </w:tcPr>
          <w:p w14:paraId="1FAD0D67" w14:textId="77777777" w:rsidR="001A0B09"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Kwota – podlegające ograniczeniu wpływów w wysokości 75 %</w:t>
            </w:r>
          </w:p>
          <w:p w14:paraId="76C34829" w14:textId="3AEE35E5"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0D9819C3" w14:textId="2A9B4AFB" w:rsidR="001A0B09" w:rsidRDefault="006F1DF5">
            <w:pPr>
              <w:spacing w:before="240" w:after="240"/>
              <w:rPr>
                <w:rFonts w:ascii="Times New Roman" w:hAnsi="Times New Roman"/>
                <w:bCs/>
                <w:sz w:val="18"/>
                <w:szCs w:val="18"/>
              </w:rPr>
            </w:pPr>
            <w:r>
              <w:rPr>
                <w:rFonts w:ascii="Times New Roman" w:hAnsi="Times New Roman"/>
                <w:bCs/>
                <w:sz w:val="18"/>
                <w:szCs w:val="18"/>
              </w:rPr>
              <w:t>W odniesieniu do wierszy {040}, {060}–{090}, {120}–{130}, {150}–{260}, {269}–{297}, {301}–{303}, {309–337}, {341}–{345}, {450} i {470}–{510} instytucje kredytowe zgłaszają w kolumnie 010 całkowitą kwotę aktywów / należnych środków pieniężnych / maksymalnych kwot, które mogą zostać wykorzystane, które podlegają ograniczeniu wpływów w wysokości 75 % zgodnie z art. 33 ust. 1 rozporządzenia delegowanego (UE) 2015/61 oraz zgodnie z odpowiednimi instrukcjami przedstawionymi w niniejszym załączniku.</w:t>
            </w:r>
          </w:p>
          <w:p w14:paraId="6B99EE47" w14:textId="49E3E99E" w:rsidR="001A0B09" w:rsidRDefault="007453EC">
            <w:pPr>
              <w:spacing w:before="240" w:after="240"/>
              <w:rPr>
                <w:rFonts w:ascii="Times New Roman" w:hAnsi="Times New Roman"/>
                <w:bCs/>
                <w:sz w:val="18"/>
                <w:szCs w:val="18"/>
              </w:rPr>
            </w:pPr>
            <w:r>
              <w:rPr>
                <w:rFonts w:ascii="Times New Roman" w:hAnsi="Times New Roman"/>
                <w:bCs/>
                <w:sz w:val="18"/>
                <w:szCs w:val="18"/>
              </w:rPr>
              <w:t>Jeżeli właściwy organ zatwierdził częściowe wyłączenie z ograniczenia wpływów zgodnie z art. 33 ust. 2 rozporządzenia delegowanego (UE) 2015/61, część kwoty podlegającą wyłączeniu zgłasza się w kolumnie 020 lub 030, a część kwoty nieobjętą wyłączeniem zgłasza się w kolumnie 010.</w:t>
            </w:r>
          </w:p>
        </w:tc>
      </w:tr>
      <w:tr w:rsidR="001A0B09" w14:paraId="4D467409" w14:textId="77777777" w:rsidTr="00D63CF5">
        <w:trPr>
          <w:gridAfter w:val="1"/>
          <w:wAfter w:w="226" w:type="dxa"/>
        </w:trPr>
        <w:tc>
          <w:tcPr>
            <w:tcW w:w="957" w:type="dxa"/>
            <w:shd w:val="clear" w:color="auto" w:fill="auto"/>
            <w:vAlign w:val="center"/>
          </w:tcPr>
          <w:p w14:paraId="261A4E25" w14:textId="77777777" w:rsidR="001A0B09"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Kwota – podlegające ograniczeniu wpływów w wysokości 90 %</w:t>
            </w:r>
          </w:p>
          <w:p w14:paraId="2F755F35" w14:textId="478637DA"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7ACF83D6" w14:textId="03FB6ED3" w:rsidR="001A0B09" w:rsidRDefault="006F1DF5">
            <w:pPr>
              <w:spacing w:before="240" w:after="240"/>
              <w:rPr>
                <w:rFonts w:ascii="Times New Roman" w:hAnsi="Times New Roman"/>
                <w:bCs/>
                <w:sz w:val="18"/>
                <w:szCs w:val="18"/>
              </w:rPr>
            </w:pPr>
            <w:r>
              <w:rPr>
                <w:rFonts w:ascii="Times New Roman" w:hAnsi="Times New Roman"/>
                <w:bCs/>
                <w:sz w:val="18"/>
                <w:szCs w:val="18"/>
              </w:rPr>
              <w:t>W odniesieniu do wierszy {040}, {060}–{090}, {120}–{130}, {150}–{260}, {269}–{297}, {301}–{303}, {309–337}, {341}–{345}, {450} i {470}–{510} instytucje kredytowe zgłaszają w kolumnie 020 całkowitą kwotę aktywów / należnych środków pieniężnych / maksymalnych kwot, które mogą zostać wykorzystane i które podlegają ograniczeniu wpływów w wysokości 90 % zgodnie z art. 33 ust. 4 i 5 rozporządzenia delegowanego (UE) 2015/61 oraz zgodnie z odpowiednimi instrukcjami przedstawionymi w niniejszym załączniku.</w:t>
            </w:r>
          </w:p>
          <w:p w14:paraId="502241E3" w14:textId="622D74B1" w:rsidR="001A0B09" w:rsidRDefault="007453EC">
            <w:pPr>
              <w:spacing w:before="240" w:after="240"/>
              <w:rPr>
                <w:rFonts w:ascii="Times New Roman" w:hAnsi="Times New Roman"/>
                <w:bCs/>
                <w:sz w:val="18"/>
                <w:szCs w:val="18"/>
              </w:rPr>
            </w:pPr>
            <w:r>
              <w:rPr>
                <w:rFonts w:ascii="Times New Roman" w:hAnsi="Times New Roman"/>
                <w:bCs/>
                <w:sz w:val="18"/>
                <w:szCs w:val="18"/>
              </w:rPr>
              <w:t>Jeżeli właściwy organ zatwierdził częściowe wyłączenie z ograniczenia wpływów zgodnie z art. 33 ust. 2 rozporządzenia delegowanego (UE) 2015/61, część kwoty podlegającą wyłączeniu zgłasza się w kolumnie 020 lub 030, a część kwoty nieobjętą wyłączeniem zgłasza się w kolumnie 010.</w:t>
            </w:r>
          </w:p>
        </w:tc>
      </w:tr>
      <w:tr w:rsidR="001A0B09" w14:paraId="109363B3" w14:textId="77777777" w:rsidTr="00D63CF5">
        <w:trPr>
          <w:gridAfter w:val="1"/>
          <w:wAfter w:w="226" w:type="dxa"/>
        </w:trPr>
        <w:tc>
          <w:tcPr>
            <w:tcW w:w="957" w:type="dxa"/>
            <w:shd w:val="clear" w:color="auto" w:fill="auto"/>
            <w:vAlign w:val="center"/>
          </w:tcPr>
          <w:p w14:paraId="22DE5D8E" w14:textId="77777777" w:rsidR="001A0B09"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Kwota – wyłączone z ograniczenia wpływów</w:t>
            </w:r>
          </w:p>
          <w:p w14:paraId="72423074" w14:textId="04E28245"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007E9028" w14:textId="6D3889DF" w:rsidR="001A0B09" w:rsidRDefault="006F1DF5">
            <w:pPr>
              <w:spacing w:before="240" w:after="240"/>
              <w:rPr>
                <w:rFonts w:ascii="Times New Roman" w:hAnsi="Times New Roman"/>
                <w:bCs/>
                <w:sz w:val="18"/>
                <w:szCs w:val="18"/>
              </w:rPr>
            </w:pPr>
            <w:r>
              <w:rPr>
                <w:rFonts w:ascii="Times New Roman" w:hAnsi="Times New Roman"/>
                <w:bCs/>
                <w:sz w:val="18"/>
                <w:szCs w:val="18"/>
              </w:rPr>
              <w:t>W odniesieniu do wierszy {040}, {060}–{090}, {120}–{130}, {150}–{260}, {269}–{297}, {301}–{303}, {309–337}, {341}–{345}, {450} i {470}–{510} instytucje kredytowe zgłaszają w kolumnie 030 całkowitą kwotę aktywów / należnych środków pieniężnych / maksymalnych kwot, które mogą zostać wykorzystane, które podlegają całkowitemu wyłączeniu z ograniczenia wpływów zgodnie z art. 33 ust. 2, 3 i 5 rozporządzenia delegowanego (UE) 2015/61 i zgodnie z odpowiednimi instrukcjami przedstawionymi w niniejszym załączniku.</w:t>
            </w:r>
          </w:p>
          <w:p w14:paraId="586E0A71" w14:textId="1137AF55" w:rsidR="001A0B09" w:rsidRDefault="007453EC">
            <w:pPr>
              <w:spacing w:before="240" w:after="240"/>
              <w:rPr>
                <w:rFonts w:ascii="Times New Roman" w:hAnsi="Times New Roman"/>
                <w:bCs/>
                <w:sz w:val="18"/>
                <w:szCs w:val="18"/>
              </w:rPr>
            </w:pPr>
            <w:r>
              <w:rPr>
                <w:rFonts w:ascii="Times New Roman" w:hAnsi="Times New Roman"/>
                <w:bCs/>
                <w:sz w:val="18"/>
                <w:szCs w:val="18"/>
              </w:rPr>
              <w:t>Jeżeli właściwy organ zatwierdził częściowe wyłączenie z ograniczenia wpływów zgodnie z art. 33 ust. 2 rozporządzenia delegowanego (UE) 2015/61, część kwoty podlegającą wyłączeniu zgłasza się w kolumnie 020 lub 030, a część kwoty nieobjętą wyłączeniem zgłasza się w kolumnie 010.</w:t>
            </w:r>
          </w:p>
        </w:tc>
      </w:tr>
      <w:tr w:rsidR="001A0B09" w14:paraId="40F797D6" w14:textId="77777777" w:rsidTr="00D63CF5">
        <w:trPr>
          <w:gridAfter w:val="1"/>
          <w:wAfter w:w="226" w:type="dxa"/>
        </w:trPr>
        <w:tc>
          <w:tcPr>
            <w:tcW w:w="957" w:type="dxa"/>
            <w:shd w:val="clear" w:color="auto" w:fill="auto"/>
            <w:vAlign w:val="center"/>
          </w:tcPr>
          <w:p w14:paraId="01648AEB" w14:textId="77777777" w:rsidR="001A0B09"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Wartość rynkowa otrzymanego zabezpieczenia – podlegające ograniczeniu wpływów w wysokości 75 %</w:t>
            </w:r>
          </w:p>
          <w:p w14:paraId="61DE5E96" w14:textId="204DFDE3" w:rsidR="001A0B09" w:rsidRDefault="007453EC">
            <w:pPr>
              <w:spacing w:before="240" w:after="240"/>
              <w:rPr>
                <w:rFonts w:ascii="Times New Roman" w:hAnsi="Times New Roman"/>
                <w:bCs/>
                <w:sz w:val="18"/>
                <w:szCs w:val="18"/>
              </w:rPr>
            </w:pPr>
            <w:r>
              <w:rPr>
                <w:rFonts w:ascii="Times New Roman" w:hAnsi="Times New Roman"/>
                <w:bCs/>
                <w:sz w:val="18"/>
                <w:szCs w:val="18"/>
              </w:rPr>
              <w:lastRenderedPageBreak/>
              <w:t>Art. 32, 33 i 34 rozporządzenia delegowanego (UE) 2015/61</w:t>
            </w:r>
          </w:p>
          <w:p w14:paraId="2ADF96EB" w14:textId="6B11B52B" w:rsidR="001A0B09" w:rsidRDefault="006F1DF5">
            <w:pPr>
              <w:spacing w:before="240" w:after="240"/>
              <w:rPr>
                <w:rFonts w:ascii="Times New Roman" w:hAnsi="Times New Roman"/>
                <w:bCs/>
                <w:sz w:val="18"/>
                <w:szCs w:val="18"/>
              </w:rPr>
            </w:pPr>
            <w:r>
              <w:rPr>
                <w:rFonts w:ascii="Times New Roman" w:hAnsi="Times New Roman"/>
                <w:bCs/>
                <w:sz w:val="18"/>
                <w:szCs w:val="18"/>
              </w:rPr>
              <w:t>W odniesieniu do wierszy {269}–{295}, {309–335} i wiersza {490} instytucje kredytowe zgłaszają w kolumnie 040 wartość rynkową otrzymanego zabezpieczenia w formie zabezpieczonych transakcji kredytowych i transakcji opartych na rynku kapitałowym, które podlegają ograniczeniu wpływów w wysokości 75 % zgodnie z art. 33 ust. 1 rozporządzenia delegowanego (UE) 2015/61.</w:t>
            </w:r>
          </w:p>
          <w:p w14:paraId="5EAD7F40" w14:textId="21602C4F" w:rsidR="001A0B09" w:rsidRDefault="007453EC">
            <w:pPr>
              <w:spacing w:before="240" w:after="240"/>
              <w:rPr>
                <w:rFonts w:ascii="Times New Roman" w:hAnsi="Times New Roman"/>
                <w:bCs/>
                <w:sz w:val="18"/>
                <w:szCs w:val="18"/>
              </w:rPr>
            </w:pPr>
            <w:r>
              <w:rPr>
                <w:rFonts w:ascii="Times New Roman" w:hAnsi="Times New Roman"/>
                <w:bCs/>
                <w:sz w:val="18"/>
                <w:szCs w:val="18"/>
              </w:rPr>
              <w:t>Jeżeli właściwy organ zatwierdził częściowe wyłączenie z ograniczenia wpływów zgodnie z art. 33 ust. 2 rozporządzenia delegowanego (UE) 2015/61, wartość rynkową otrzymanego zabezpieczenia w formie zabezpieczonych transakcji kredytowych i transakcji opartych na rynku kapitałowym objętych wyłączeniem zgłasza się w kolumnie 050 lub 060, a wartość rynkową otrzymanego zabezpieczenia w formie zabezpieczonych transakcji kredytowych i transakcji opartych na rynku kapitałowym nieobjętych wyłączeniem zgłasza się w kolumnie 040.</w:t>
            </w:r>
          </w:p>
        </w:tc>
      </w:tr>
      <w:tr w:rsidR="001A0B09" w14:paraId="7DA0066A" w14:textId="77777777" w:rsidTr="00D63CF5">
        <w:trPr>
          <w:gridAfter w:val="1"/>
          <w:wAfter w:w="226" w:type="dxa"/>
        </w:trPr>
        <w:tc>
          <w:tcPr>
            <w:tcW w:w="957" w:type="dxa"/>
            <w:shd w:val="clear" w:color="auto" w:fill="auto"/>
            <w:vAlign w:val="center"/>
          </w:tcPr>
          <w:p w14:paraId="7588C18F" w14:textId="77777777" w:rsidR="001A0B09"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Wartość rynkowa otrzymanego zabezpieczenia – podlegające ograniczeniu wpływów w wysokości 90 %</w:t>
            </w:r>
          </w:p>
          <w:p w14:paraId="4E91C243" w14:textId="01908594"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6CD388F1" w14:textId="20613F0E" w:rsidR="001A0B09" w:rsidRDefault="006F1DF5">
            <w:pPr>
              <w:spacing w:before="240" w:after="240"/>
              <w:rPr>
                <w:rFonts w:ascii="Times New Roman" w:hAnsi="Times New Roman"/>
                <w:bCs/>
                <w:sz w:val="18"/>
                <w:szCs w:val="18"/>
              </w:rPr>
            </w:pPr>
            <w:r>
              <w:rPr>
                <w:rFonts w:ascii="Times New Roman" w:hAnsi="Times New Roman"/>
                <w:bCs/>
                <w:sz w:val="18"/>
                <w:szCs w:val="18"/>
              </w:rPr>
              <w:t>W odniesieniu do wierszy {269}–{295}, {309–335} i wiersza {490} instytucje kredytowe zgłaszają w kolumnie 050 wartość rynkową otrzymanego zabezpieczenia w formie zabezpieczonych transakcji kredytowych i transakcji opartych na rynku kapitałowym, które podlegają ograniczeniu wpływów w wysokości 90 % zgodnie z art. 33 ust. 4 i 5 rozporządzenia delegowanego (UE) 2015/61.</w:t>
            </w:r>
          </w:p>
          <w:p w14:paraId="64326D82" w14:textId="4DBCD015" w:rsidR="001A0B09" w:rsidRDefault="007453EC">
            <w:pPr>
              <w:spacing w:before="240" w:after="240"/>
              <w:rPr>
                <w:rFonts w:ascii="Times New Roman" w:hAnsi="Times New Roman"/>
                <w:bCs/>
                <w:sz w:val="18"/>
                <w:szCs w:val="18"/>
              </w:rPr>
            </w:pPr>
            <w:r>
              <w:rPr>
                <w:rFonts w:ascii="Times New Roman" w:hAnsi="Times New Roman"/>
                <w:bCs/>
                <w:sz w:val="18"/>
                <w:szCs w:val="18"/>
              </w:rPr>
              <w:t>Jeżeli właściwy organ zatwierdził częściowe wyłączenie z ograniczenia wpływów zgodnie z art. 33 ust. 2 rozporządzenia delegowanego (UE) 2015/61, wartość rynkową otrzymanego zabezpieczenia w formie zabezpieczonych transakcji kredytowych i transakcji opartych na rynku kapitałowym objętych wyłączeniem zgłasza się w kolumnie 050 lub 060, a wartość rynkową otrzymanego zabezpieczenia w formie zabezpieczonych transakcji kredytowych i transakcji opartych na rynku kapitałowym nieobjętych wyłączeniem zgłasza się w kolumnie 040.</w:t>
            </w:r>
          </w:p>
        </w:tc>
      </w:tr>
      <w:tr w:rsidR="001A0B09" w14:paraId="56427B70" w14:textId="77777777" w:rsidTr="00D63CF5">
        <w:trPr>
          <w:gridAfter w:val="1"/>
          <w:wAfter w:w="226" w:type="dxa"/>
        </w:trPr>
        <w:tc>
          <w:tcPr>
            <w:tcW w:w="957" w:type="dxa"/>
            <w:shd w:val="clear" w:color="auto" w:fill="auto"/>
            <w:vAlign w:val="center"/>
          </w:tcPr>
          <w:p w14:paraId="7F2309D0" w14:textId="77777777" w:rsidR="001A0B09"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Wartość rynkowa otrzymanego zabezpieczenia – wyłączone z ograniczenia wpływów</w:t>
            </w:r>
          </w:p>
          <w:p w14:paraId="7031DBC6" w14:textId="6E2075AB"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0923FFF4" w14:textId="6E4F0F90" w:rsidR="001A0B09" w:rsidRDefault="006F1DF5">
            <w:pPr>
              <w:spacing w:before="240" w:after="240"/>
              <w:rPr>
                <w:rFonts w:ascii="Times New Roman" w:hAnsi="Times New Roman"/>
                <w:bCs/>
                <w:sz w:val="18"/>
                <w:szCs w:val="18"/>
              </w:rPr>
            </w:pPr>
            <w:r>
              <w:rPr>
                <w:rFonts w:ascii="Times New Roman" w:hAnsi="Times New Roman"/>
                <w:bCs/>
                <w:sz w:val="18"/>
                <w:szCs w:val="18"/>
              </w:rPr>
              <w:t>W odniesieniu do wierszy {269}–{295}, {309–335} i wiersza {490} instytucje kredytowe zgłaszają w kolumnie 060 wartość rynkową otrzymanego zabezpieczenia w formie zabezpieczonych transakcji kredytowych i transakcji opartych na rynku kapitałowym objętych całkowitym wyłączeniem z ograniczenia wpływów zgodnie z art. 33 ust. 2, 3 i 5 rozporządzenia delegowanego (UE) 2015/61.</w:t>
            </w:r>
          </w:p>
          <w:p w14:paraId="19366161" w14:textId="6A14FD79" w:rsidR="001A0B09" w:rsidRDefault="007453EC">
            <w:pPr>
              <w:spacing w:before="240" w:after="240"/>
              <w:rPr>
                <w:rFonts w:ascii="Times New Roman" w:hAnsi="Times New Roman"/>
                <w:bCs/>
                <w:sz w:val="18"/>
                <w:szCs w:val="18"/>
              </w:rPr>
            </w:pPr>
            <w:r>
              <w:rPr>
                <w:rFonts w:ascii="Times New Roman" w:hAnsi="Times New Roman"/>
                <w:bCs/>
                <w:sz w:val="18"/>
                <w:szCs w:val="18"/>
              </w:rPr>
              <w:t>Jeżeli właściwy organ zatwierdził częściowe wyłączenie z ograniczenia wpływów zgodnie z art. 33 ust. 2 rozporządzenia delegowanego (UE) 2015/61, wartość rynkową otrzymanego zabezpieczenia w formie zabezpieczonych transakcji kredytowych i transakcji opartych na rynku kapitałowym objętych wyłączeniem zgłasza się w kolumnie 050 lub 060, a wartość rynkową otrzymanego zabezpieczenia w formie zabezpieczonych transakcji kredytowych i transakcji opartych na rynku kapitałowym nieobjętych wyłączeniem zgłasza się w kolumnie 040.</w:t>
            </w:r>
          </w:p>
        </w:tc>
      </w:tr>
      <w:tr w:rsidR="001A0B09" w14:paraId="3CDDEA24" w14:textId="77777777" w:rsidTr="00D63CF5">
        <w:trPr>
          <w:gridAfter w:val="1"/>
          <w:wAfter w:w="226" w:type="dxa"/>
        </w:trPr>
        <w:tc>
          <w:tcPr>
            <w:tcW w:w="957" w:type="dxa"/>
            <w:shd w:val="clear" w:color="auto" w:fill="auto"/>
            <w:vAlign w:val="center"/>
          </w:tcPr>
          <w:p w14:paraId="4F86502D" w14:textId="77777777" w:rsidR="001A0B09"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Waga standardowa</w:t>
            </w:r>
          </w:p>
          <w:p w14:paraId="2640C8D7" w14:textId="1D875A0A"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1E65A7AA" w14:textId="4F212238" w:rsidR="001A0B09" w:rsidRDefault="007453EC">
            <w:pPr>
              <w:spacing w:before="240" w:after="240"/>
              <w:rPr>
                <w:rFonts w:ascii="Times New Roman" w:hAnsi="Times New Roman"/>
                <w:bCs/>
                <w:sz w:val="18"/>
                <w:szCs w:val="18"/>
              </w:rPr>
            </w:pPr>
            <w:r>
              <w:rPr>
                <w:rFonts w:ascii="Times New Roman" w:hAnsi="Times New Roman"/>
                <w:bCs/>
                <w:sz w:val="18"/>
                <w:szCs w:val="18"/>
              </w:rPr>
              <w:t>Wagi standardowe w kolumnie 070 są wagami odniesienia określonymi w rozporządzeniu delegowanym (UE) 2015/61 i są przedstawione wyłącznie w celach informacyjnych.</w:t>
            </w:r>
          </w:p>
        </w:tc>
      </w:tr>
      <w:tr w:rsidR="001A0B09" w14:paraId="780CB2E1" w14:textId="77777777" w:rsidTr="00D63CF5">
        <w:trPr>
          <w:gridAfter w:val="1"/>
          <w:wAfter w:w="226" w:type="dxa"/>
        </w:trPr>
        <w:tc>
          <w:tcPr>
            <w:tcW w:w="957" w:type="dxa"/>
            <w:shd w:val="clear" w:color="auto" w:fill="auto"/>
            <w:vAlign w:val="center"/>
          </w:tcPr>
          <w:p w14:paraId="286C4890" w14:textId="77777777" w:rsidR="001A0B09"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Mająca zastosowanie waga – podlegające ograniczeniu wpływów w wysokości 75 %</w:t>
            </w:r>
          </w:p>
          <w:p w14:paraId="7524353B" w14:textId="452AAC1D" w:rsidR="001A0B09" w:rsidRDefault="007453EC">
            <w:pPr>
              <w:spacing w:before="240" w:after="240"/>
              <w:rPr>
                <w:rFonts w:ascii="Times New Roman" w:hAnsi="Times New Roman"/>
                <w:bCs/>
                <w:sz w:val="18"/>
                <w:szCs w:val="18"/>
              </w:rPr>
            </w:pPr>
            <w:r>
              <w:rPr>
                <w:rFonts w:ascii="Times New Roman" w:hAnsi="Times New Roman"/>
                <w:bCs/>
                <w:sz w:val="18"/>
                <w:szCs w:val="18"/>
              </w:rPr>
              <w:lastRenderedPageBreak/>
              <w:t>Art. 32, 33 i 34 rozporządzenia delegowanego (UE) 2015/61</w:t>
            </w:r>
          </w:p>
          <w:p w14:paraId="091B0CE0" w14:textId="06EF4275"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Mająca zastosowanie waga </w:t>
            </w:r>
            <w:r>
              <w:rPr>
                <w:rFonts w:ascii="Times New Roman" w:hAnsi="Times New Roman"/>
                <w:sz w:val="18"/>
                <w:szCs w:val="18"/>
              </w:rPr>
              <w:t>to waga określona w art. 32–34 rozporządzenia delegowanego (UE) 2015/61. Mające zastosowanie wagi służą do ustalenia średnich wartości ważonych i należy je zgłaszać w ujęciu dziesiętnym (tj. 1,00 w przypadku mającej zastosowanie wagi w wysokości 100 % lub 0,50 w przypadku mającej zastosowanie wagi w wysokości 50 %). Mające zastosowanie wagi mogą odzwierciedlać m.in. ustalenia przyjęte przez daną instytucję kredytową lub opcje krajowe.</w:t>
            </w:r>
          </w:p>
          <w:p w14:paraId="6CBF0AC2" w14:textId="46C0E1A1" w:rsidR="001A0B09" w:rsidRDefault="002A1DC6">
            <w:pPr>
              <w:spacing w:before="240" w:after="240"/>
              <w:rPr>
                <w:rFonts w:ascii="Times New Roman" w:hAnsi="Times New Roman"/>
                <w:bCs/>
                <w:sz w:val="18"/>
                <w:szCs w:val="18"/>
              </w:rPr>
            </w:pPr>
            <w:r>
              <w:rPr>
                <w:rFonts w:ascii="Times New Roman" w:hAnsi="Times New Roman"/>
                <w:bCs/>
                <w:sz w:val="18"/>
                <w:szCs w:val="18"/>
              </w:rPr>
              <w:t>W odniesieniu do wierszy {040}, {060}–{090}, {120}–{130}, {150}–{260}, {269}, {273}, {277}, {281}, {285}, {289}, {293}, {301}–{303}, {309}, {313}, {317}, {321}, {325}, {329}, {333}, {341}–{345}, {450} i {470}–{510} instytucje kredytowe zgłaszają w kolumnie 080 średnią wagę przypisaną aktywom / należnym środkom pieniężnym / maksymalnym kwotom, które mogą zostać wykorzystane, które podlegają ograniczeniu wpływów w wysokości 75 % zgodnie z art. 33 ust. 1 rozporządzenia delegowanego (UE) 2015/61.</w:t>
            </w:r>
          </w:p>
        </w:tc>
      </w:tr>
      <w:tr w:rsidR="001A0B09" w14:paraId="0DBF7E97" w14:textId="77777777" w:rsidTr="00D63CF5">
        <w:trPr>
          <w:gridAfter w:val="1"/>
          <w:wAfter w:w="226" w:type="dxa"/>
        </w:trPr>
        <w:tc>
          <w:tcPr>
            <w:tcW w:w="957" w:type="dxa"/>
            <w:shd w:val="clear" w:color="auto" w:fill="auto"/>
            <w:vAlign w:val="center"/>
          </w:tcPr>
          <w:p w14:paraId="1A374C10" w14:textId="77777777" w:rsidR="001A0B09" w:rsidRDefault="007453EC">
            <w:pPr>
              <w:rPr>
                <w:rFonts w:ascii="Times New Roman" w:hAnsi="Times New Roman"/>
                <w:sz w:val="18"/>
                <w:szCs w:val="18"/>
              </w:rPr>
            </w:pPr>
            <w:r>
              <w:rPr>
                <w:rFonts w:ascii="Times New Roman" w:hAnsi="Times New Roman"/>
                <w:sz w:val="18"/>
                <w:szCs w:val="18"/>
              </w:rPr>
              <w:lastRenderedPageBreak/>
              <w:t>090</w:t>
            </w:r>
          </w:p>
        </w:tc>
        <w:tc>
          <w:tcPr>
            <w:tcW w:w="7339" w:type="dxa"/>
            <w:gridSpan w:val="2"/>
            <w:shd w:val="clear" w:color="auto" w:fill="auto"/>
          </w:tcPr>
          <w:p w14:paraId="566DD20F"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Mająca zastosowanie waga – podlegające ograniczeniu wpływów w wysokości 90 %</w:t>
            </w:r>
          </w:p>
          <w:p w14:paraId="4E2077E5" w14:textId="709CBDEB"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4EA45BFD" w14:textId="482ED7CE"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Mające zastosowanie wagi </w:t>
            </w:r>
            <w:r>
              <w:rPr>
                <w:rFonts w:ascii="Times New Roman" w:hAnsi="Times New Roman"/>
                <w:sz w:val="18"/>
                <w:szCs w:val="18"/>
              </w:rPr>
              <w:t>to wagi określone w art. 32–34 rozporządzenia delegowanego (UE) 2015/61. Mające zastosowanie wagi służą do ustalenia średnich wartości ważonych i należy je zgłaszać w ujęciu dziesiętnym (tj. 1,00 w przypadku mającej zastosowanie wagi w wysokości 100 % lub 0,50 w przypadku mającej zastosowanie wagi w wysokości 50 %). Mające zastosowanie wagi mogą odzwierciedlać m.in. ustalenia przyjęte przez daną instytucję kredytową lub opcje krajowe.</w:t>
            </w:r>
          </w:p>
          <w:p w14:paraId="035923CF" w14:textId="4819E835" w:rsidR="001A0B09" w:rsidRDefault="002A1DC6">
            <w:pPr>
              <w:spacing w:before="240" w:after="240"/>
              <w:rPr>
                <w:rFonts w:ascii="Times New Roman" w:hAnsi="Times New Roman"/>
                <w:b/>
                <w:bCs/>
                <w:sz w:val="18"/>
                <w:szCs w:val="18"/>
              </w:rPr>
            </w:pPr>
            <w:r>
              <w:rPr>
                <w:rFonts w:ascii="Times New Roman" w:hAnsi="Times New Roman"/>
                <w:bCs/>
                <w:sz w:val="18"/>
                <w:szCs w:val="18"/>
              </w:rPr>
              <w:t xml:space="preserve">W odniesieniu do wierszy {040}, {060}–{090}, {120}–{130}, {150}–{260}, {269}, {273}, {277}, {281}, {285}, {289}, {293}, {301}–{303}, {309}, {313}, {317}, {321}, {325}, {329}, {333}, {341}–{345}, {450} i {470}–{510} instytucje kredytowe zgłaszają w kolumnie 090 średnią wagę przypisaną aktywom / należnym środkom pieniężnym / maksymalnym kwotom, które mogą zostać wykorzystane, które podlegają ograniczeniu wpływów w wysokości 90 % zgodnie z art. 33 ust. 4 i 5 rozporządzenia delegowanego (UE) 2015/61. </w:t>
            </w:r>
          </w:p>
        </w:tc>
      </w:tr>
      <w:tr w:rsidR="001A0B09" w14:paraId="72CA254B" w14:textId="77777777" w:rsidTr="00D63CF5">
        <w:trPr>
          <w:gridAfter w:val="1"/>
          <w:wAfter w:w="226" w:type="dxa"/>
        </w:trPr>
        <w:tc>
          <w:tcPr>
            <w:tcW w:w="957" w:type="dxa"/>
            <w:shd w:val="clear" w:color="auto" w:fill="auto"/>
            <w:vAlign w:val="center"/>
          </w:tcPr>
          <w:p w14:paraId="066817CA" w14:textId="77777777" w:rsidR="001A0B09"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Mająca zastosowanie waga – wyłączone z ograniczenia wpływów</w:t>
            </w:r>
          </w:p>
          <w:p w14:paraId="6212EA54" w14:textId="59D2CEBF"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0AB4805F" w14:textId="07525D8A"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Mające zastosowanie wagi </w:t>
            </w:r>
            <w:r>
              <w:rPr>
                <w:rFonts w:ascii="Times New Roman" w:hAnsi="Times New Roman"/>
                <w:sz w:val="18"/>
                <w:szCs w:val="18"/>
              </w:rPr>
              <w:t>to wagi określone w art. 32–34 rozporządzenia delegowanego (UE) 2015/61. Mające zastosowanie wagi służą do ustalenia średnich wartości ważonych i należy je zgłaszać w ujęciu dziesiętnym (tj. 1,00 w przypadku mającej zastosowanie wagi w wysokości 100 % lub 0,50 w przypadku mającej zastosowanie wagi w wysokości 50 %). Mające zastosowanie wagi mogą odzwierciedlać m.in. ustalenia przyjęte przez daną instytucję kredytową lub opcje krajowe.</w:t>
            </w:r>
          </w:p>
          <w:p w14:paraId="1C43DEE1" w14:textId="7DDB3D0A" w:rsidR="001A0B09" w:rsidRDefault="002A1DC6">
            <w:pPr>
              <w:spacing w:before="240" w:after="240"/>
              <w:rPr>
                <w:rFonts w:ascii="Times New Roman" w:hAnsi="Times New Roman"/>
                <w:b/>
                <w:bCs/>
                <w:sz w:val="18"/>
                <w:szCs w:val="18"/>
              </w:rPr>
            </w:pPr>
            <w:r>
              <w:rPr>
                <w:rFonts w:ascii="Times New Roman" w:hAnsi="Times New Roman"/>
                <w:bCs/>
                <w:sz w:val="18"/>
                <w:szCs w:val="18"/>
              </w:rPr>
              <w:t>W odniesieniu do wierszy {040}, {060}–{090}, {120}–{130}, {150}–{260}, {269}, {273}, {277}, {281}, {285}, {289}, {293}, {301}–{303}, {309}, {313}, {317}, {321}, {325}, {329}, {333}, {341}–{345}, {450} i {470}–{510} instytucje kredytowe zgłaszają w kolumnie 100 średnią wagę przypisaną aktywom / należnym środkom pieniężnym / maksymalnym kwotom, które mogą zostać wykorzystane, które są objęte wyłączeniem z ograniczenia wpływów zgodnie z art. 33 ust. 2, 3 i 5 rozporządzenia delegowanego (UE) 2015/61.</w:t>
            </w:r>
          </w:p>
        </w:tc>
      </w:tr>
      <w:tr w:rsidR="001A0B09" w14:paraId="6DFA198E" w14:textId="77777777" w:rsidTr="00D63CF5">
        <w:trPr>
          <w:gridAfter w:val="1"/>
          <w:wAfter w:w="226" w:type="dxa"/>
        </w:trPr>
        <w:tc>
          <w:tcPr>
            <w:tcW w:w="957" w:type="dxa"/>
            <w:shd w:val="clear" w:color="auto" w:fill="auto"/>
            <w:vAlign w:val="center"/>
          </w:tcPr>
          <w:p w14:paraId="500599FE" w14:textId="77777777" w:rsidR="001A0B09"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1A0B09" w:rsidRDefault="007453EC">
            <w:pPr>
              <w:spacing w:before="240" w:after="240"/>
              <w:rPr>
                <w:rFonts w:ascii="Times New Roman" w:hAnsi="Times New Roman"/>
                <w:b/>
                <w:bCs/>
                <w:sz w:val="18"/>
                <w:szCs w:val="18"/>
              </w:rPr>
            </w:pPr>
            <w:r>
              <w:rPr>
                <w:rFonts w:ascii="Times New Roman" w:hAnsi="Times New Roman"/>
                <w:b/>
                <w:bCs/>
                <w:sz w:val="18"/>
                <w:szCs w:val="18"/>
              </w:rPr>
              <w:t>Wartość otrzymanego zabezpieczenia obliczona zgodnie z art. 9 – podlegające ograniczeniu wpływów w wysokości 75 %</w:t>
            </w:r>
          </w:p>
          <w:p w14:paraId="29D13FC2" w14:textId="436BEE76"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0A1DFECB" w14:textId="2E75D0D5" w:rsidR="001A0B09" w:rsidRDefault="002A1DC6">
            <w:pPr>
              <w:spacing w:before="240" w:after="240"/>
              <w:rPr>
                <w:rFonts w:ascii="Times New Roman" w:hAnsi="Times New Roman"/>
                <w:bCs/>
                <w:sz w:val="18"/>
                <w:szCs w:val="18"/>
              </w:rPr>
            </w:pPr>
            <w:r>
              <w:rPr>
                <w:rFonts w:ascii="Times New Roman" w:hAnsi="Times New Roman"/>
                <w:bCs/>
                <w:sz w:val="18"/>
                <w:szCs w:val="18"/>
              </w:rPr>
              <w:t xml:space="preserve">W odniesieniu do wierszy {271}, {275}, {279}, {283}, {287}, {291}, {295}, {311}, {315}, {319}, {323}, {327}, {331} i {335} instytucje kredytowe zgłaszają w kolumnie 110 obliczoną zgodnie z art. 9 rozporządzenia delegowanego (UE) 2015/61 wartość zabezpieczenia otrzymanego w formie zabezpieczonych transakcji kredytowych i transakcji opartych na rynku kapitałowym, które podlegają ograniczeniu wpływów w wysokości 75 % zgodnie z art. 33 ust. 1 rozporządzenia </w:t>
            </w:r>
            <w:r>
              <w:rPr>
                <w:rFonts w:ascii="Times New Roman" w:hAnsi="Times New Roman"/>
                <w:bCs/>
                <w:sz w:val="18"/>
                <w:szCs w:val="18"/>
              </w:rPr>
              <w:lastRenderedPageBreak/>
              <w:t>delegowanego (UE) 2015/61.</w:t>
            </w:r>
          </w:p>
          <w:p w14:paraId="3F8BB70C" w14:textId="2C9FA9B1" w:rsidR="001A0B09" w:rsidRDefault="007453EC">
            <w:pPr>
              <w:spacing w:before="240" w:after="240"/>
              <w:rPr>
                <w:rFonts w:ascii="Times New Roman" w:hAnsi="Times New Roman"/>
                <w:bCs/>
                <w:sz w:val="18"/>
                <w:szCs w:val="18"/>
              </w:rPr>
            </w:pPr>
            <w:r>
              <w:rPr>
                <w:rFonts w:ascii="Times New Roman" w:hAnsi="Times New Roman"/>
                <w:bCs/>
                <w:sz w:val="18"/>
                <w:szCs w:val="18"/>
              </w:rPr>
              <w:t>Jeżeli właściwy organ zatwierdził częściowe wyłączenie z ograniczenia wpływów zgodnie z art. 33 ust. 2 rozporządzenia delegowanego (UE) 2015/61, wartość zabezpieczenia otrzymanego w formie zabezpieczonych transakcji kredytowych i transakcji opartych na rynku kapitałowym objętych wyłączeniem, obliczoną zgodnie z art. 9 rozporządzenia delegowanego (UE) 2015/61, zgłasza się w kolumnie 120 lub 130, a wartość zabezpieczenia otrzymanego w formie zabezpieczonych transakcji kredytowych i transakcji opartych na rynku kapitałowym nieobjętych wyłączeniem, obliczoną zgodnie z art. 9 rozporządzenia delegowanego (UE) 2015/61, zgłasza się w kolumnie 110.</w:t>
            </w:r>
          </w:p>
        </w:tc>
      </w:tr>
      <w:tr w:rsidR="001A0B09" w14:paraId="4E3D6FD5" w14:textId="77777777" w:rsidTr="00D63CF5">
        <w:trPr>
          <w:gridAfter w:val="1"/>
          <w:wAfter w:w="226" w:type="dxa"/>
        </w:trPr>
        <w:tc>
          <w:tcPr>
            <w:tcW w:w="957" w:type="dxa"/>
            <w:shd w:val="clear" w:color="auto" w:fill="auto"/>
            <w:vAlign w:val="center"/>
          </w:tcPr>
          <w:p w14:paraId="2EB35765" w14:textId="77777777" w:rsidR="001A0B09" w:rsidRDefault="007453EC">
            <w:pPr>
              <w:rPr>
                <w:rFonts w:ascii="Times New Roman" w:hAnsi="Times New Roman"/>
                <w:sz w:val="18"/>
                <w:szCs w:val="18"/>
              </w:rPr>
            </w:pPr>
            <w:r>
              <w:rPr>
                <w:rFonts w:ascii="Times New Roman" w:hAnsi="Times New Roman"/>
                <w:sz w:val="18"/>
                <w:szCs w:val="18"/>
              </w:rPr>
              <w:lastRenderedPageBreak/>
              <w:t>120</w:t>
            </w:r>
          </w:p>
        </w:tc>
        <w:tc>
          <w:tcPr>
            <w:tcW w:w="7339" w:type="dxa"/>
            <w:gridSpan w:val="2"/>
            <w:shd w:val="clear" w:color="auto" w:fill="auto"/>
          </w:tcPr>
          <w:p w14:paraId="312C8C71" w14:textId="043DB08A" w:rsidR="001A0B09" w:rsidRDefault="007453EC">
            <w:pPr>
              <w:spacing w:before="240" w:after="240"/>
              <w:rPr>
                <w:rFonts w:ascii="Times New Roman" w:hAnsi="Times New Roman"/>
                <w:b/>
                <w:bCs/>
                <w:sz w:val="18"/>
                <w:szCs w:val="18"/>
              </w:rPr>
            </w:pPr>
            <w:r>
              <w:rPr>
                <w:rFonts w:ascii="Times New Roman" w:hAnsi="Times New Roman"/>
                <w:b/>
                <w:bCs/>
                <w:sz w:val="18"/>
                <w:szCs w:val="18"/>
              </w:rPr>
              <w:t>Wartość otrzymanego zabezpieczenia obliczona zgodnie z art. 9 – podlegające ograniczeniu wpływów w wysokości 90 %</w:t>
            </w:r>
          </w:p>
          <w:p w14:paraId="1514A139" w14:textId="4DAA4B50"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11F56268" w14:textId="4F180D8B" w:rsidR="001A0B09" w:rsidRDefault="002A1DC6">
            <w:pPr>
              <w:spacing w:before="240" w:after="240"/>
              <w:rPr>
                <w:rFonts w:ascii="Times New Roman" w:hAnsi="Times New Roman"/>
                <w:bCs/>
                <w:sz w:val="18"/>
                <w:szCs w:val="18"/>
              </w:rPr>
            </w:pPr>
            <w:r>
              <w:rPr>
                <w:rFonts w:ascii="Times New Roman" w:hAnsi="Times New Roman"/>
                <w:bCs/>
                <w:sz w:val="18"/>
                <w:szCs w:val="18"/>
              </w:rPr>
              <w:t>W odniesieniu do wierszy {271}, {275}, {279}, {283}, {287}, {291}, {295}, {311}, {315}, {319}, {323}, {327}, {331} i {335} instytucje kredytowe zgłaszają w kolumnie 120 obliczoną zgodnie z art. 9 rozporządzenia delegowanego (UE) 2015/61 wartość zabezpieczenia otrzymanego w formie zabezpieczonych transakcji kredytowych i transakcji opartych na rynku kapitałowym, które podlegają ograniczeniu wpływów w wysokości 90 % zgodnie z art. 33 ust. 4 i 5 rozporządzenia delegowanego (UE) 2015/61.</w:t>
            </w:r>
          </w:p>
          <w:p w14:paraId="56B73A1E" w14:textId="2A721E4A" w:rsidR="001A0B09" w:rsidRDefault="007453EC">
            <w:pPr>
              <w:spacing w:before="240" w:after="240"/>
              <w:rPr>
                <w:rFonts w:ascii="Times New Roman" w:hAnsi="Times New Roman"/>
                <w:bCs/>
                <w:sz w:val="18"/>
                <w:szCs w:val="18"/>
              </w:rPr>
            </w:pPr>
            <w:r>
              <w:rPr>
                <w:rFonts w:ascii="Times New Roman" w:hAnsi="Times New Roman"/>
                <w:bCs/>
                <w:sz w:val="18"/>
                <w:szCs w:val="18"/>
              </w:rPr>
              <w:t>Jeżeli właściwy organ zatwierdził częściowe wyłączenie z ograniczenia wpływów zgodnie z art. 33 ust. 2 rozporządzenia delegowanego (UE) 2015/61, wartość zabezpieczenia otrzymanego w formie zabezpieczonych transakcji kredytowych i transakcji opartych na rynku kapitałowym objętych wyłączeniem, obliczoną zgodnie z art. 9 rozporządzenia delegowanego (UE) 2015/61, zgłasza się w kolumnie 120 lub 130, a wartość zabezpieczenia otrzymanego w formie zabezpieczonych transakcji kredytowych i transakcji opartych na rynku kapitałowym nieobjętych wyłączeniem, obliczoną zgodnie z art. 9 rozporządzenia delegowanego (UE) 2015/61, zgłasza się w kolumnie 110.</w:t>
            </w:r>
          </w:p>
        </w:tc>
      </w:tr>
      <w:tr w:rsidR="001A0B09" w14:paraId="4C9430AE" w14:textId="77777777" w:rsidTr="00D63CF5">
        <w:trPr>
          <w:gridAfter w:val="1"/>
          <w:wAfter w:w="226" w:type="dxa"/>
        </w:trPr>
        <w:tc>
          <w:tcPr>
            <w:tcW w:w="957" w:type="dxa"/>
            <w:shd w:val="clear" w:color="auto" w:fill="auto"/>
            <w:vAlign w:val="center"/>
          </w:tcPr>
          <w:p w14:paraId="25F81D8A" w14:textId="77777777" w:rsidR="001A0B09"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1A0B09" w:rsidRDefault="007453EC">
            <w:pPr>
              <w:spacing w:before="240" w:after="240"/>
              <w:rPr>
                <w:rFonts w:ascii="Times New Roman" w:hAnsi="Times New Roman"/>
                <w:b/>
                <w:bCs/>
                <w:sz w:val="18"/>
                <w:szCs w:val="18"/>
              </w:rPr>
            </w:pPr>
            <w:r>
              <w:rPr>
                <w:rFonts w:ascii="Times New Roman" w:hAnsi="Times New Roman"/>
                <w:b/>
                <w:bCs/>
                <w:sz w:val="18"/>
                <w:szCs w:val="18"/>
              </w:rPr>
              <w:t>Wartość otrzymanego zabezpieczenia obliczona zgodnie z art. 9 – wyłączone z ograniczenia wpływów</w:t>
            </w:r>
          </w:p>
          <w:p w14:paraId="0ED04715" w14:textId="70F345A9"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0685802D" w14:textId="6951B5FC" w:rsidR="001A0B09" w:rsidRDefault="002A1DC6">
            <w:pPr>
              <w:spacing w:before="240" w:after="240"/>
              <w:rPr>
                <w:rFonts w:ascii="Times New Roman" w:hAnsi="Times New Roman"/>
                <w:bCs/>
                <w:sz w:val="18"/>
                <w:szCs w:val="18"/>
              </w:rPr>
            </w:pPr>
            <w:r>
              <w:rPr>
                <w:rFonts w:ascii="Times New Roman" w:hAnsi="Times New Roman"/>
                <w:bCs/>
                <w:sz w:val="18"/>
                <w:szCs w:val="18"/>
              </w:rPr>
              <w:t>W odniesieniu do wierszy {271}, {275}, {279}, {283}, {287}, {291}, {295}, {311}, {315}, {319}, {323}, {327}, {331} i {335} instytucje kredytowe zgłaszają w kolumnie 130 obliczoną zgodnie z art. 9 rozporządzenia delegowanego (UE) 2015/61 wartość zabezpieczenia otrzymanego w formie zabezpieczonych transakcji kredytowych i transakcji opartych na rynku kapitałowym objętych całkowitym wyłączeniem z ograniczenia wpływów zgodnie z art. 33 ust. 2, 3 i 5 rozporządzenia delegowanego (UE) 2015/61.</w:t>
            </w:r>
          </w:p>
          <w:p w14:paraId="78400F34" w14:textId="14A11EF7" w:rsidR="001A0B09" w:rsidRDefault="007453EC">
            <w:pPr>
              <w:spacing w:before="240" w:after="240"/>
              <w:rPr>
                <w:rFonts w:ascii="Times New Roman" w:hAnsi="Times New Roman"/>
                <w:bCs/>
                <w:sz w:val="18"/>
                <w:szCs w:val="18"/>
              </w:rPr>
            </w:pPr>
            <w:r>
              <w:rPr>
                <w:rFonts w:ascii="Times New Roman" w:hAnsi="Times New Roman"/>
                <w:bCs/>
                <w:sz w:val="18"/>
                <w:szCs w:val="18"/>
              </w:rPr>
              <w:t>Jeżeli właściwy organ zatwierdził częściowe wyłączenie z ograniczenia wpływów zgodnie z art. 33 ust. 2 rozporządzenia delegowanego (UE) 2015/61, wartość zabezpieczenia otrzymanego w formie zabezpieczonych transakcji kredytowych i transakcji opartych na rynku kapitałowym objętych wyłączeniem, obliczoną zgodnie z art. 9 rozporządzenia delegowanego (UE) 2015/61, zgłasza się w kolumnie 120 lub 130, a wartość zabezpieczenia otrzymanego w formie zabezpieczonych transakcji kredytowych i transakcji opartych na rynku kapitałowym nieobjętych wyłączeniem, obliczoną zgodnie z art. 9 rozporządzenia delegowanego (UE) 2015/61, zgłasza się w kolumnie 110.</w:t>
            </w:r>
          </w:p>
        </w:tc>
      </w:tr>
      <w:tr w:rsidR="001A0B09" w14:paraId="66F4B4C7" w14:textId="77777777" w:rsidTr="00CB45E9">
        <w:tc>
          <w:tcPr>
            <w:tcW w:w="994" w:type="dxa"/>
            <w:gridSpan w:val="2"/>
            <w:shd w:val="clear" w:color="auto" w:fill="auto"/>
            <w:vAlign w:val="center"/>
          </w:tcPr>
          <w:p w14:paraId="18BCFB4B" w14:textId="77777777" w:rsidR="001A0B09"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Wpływ – podlegające ograniczeniu wpływów w wysokości 75 %</w:t>
            </w:r>
          </w:p>
          <w:p w14:paraId="36E5D0FC" w14:textId="042DAE98" w:rsidR="001A0B09" w:rsidRDefault="007453EC">
            <w:pPr>
              <w:spacing w:before="240" w:after="240"/>
              <w:rPr>
                <w:rFonts w:ascii="Times New Roman" w:hAnsi="Times New Roman"/>
                <w:b/>
                <w:bCs/>
                <w:sz w:val="18"/>
                <w:szCs w:val="18"/>
              </w:rPr>
            </w:pPr>
            <w:r>
              <w:rPr>
                <w:rFonts w:ascii="Times New Roman" w:hAnsi="Times New Roman"/>
                <w:bCs/>
                <w:sz w:val="18"/>
                <w:szCs w:val="18"/>
              </w:rPr>
              <w:t>Art. 32, 33 i 34 rozporządzenia delegowanego (UE) 2015/61</w:t>
            </w:r>
          </w:p>
          <w:p w14:paraId="17B0DDC5" w14:textId="678FADEC" w:rsidR="001A0B09" w:rsidRDefault="002B1DA1">
            <w:pPr>
              <w:spacing w:before="240" w:after="240"/>
              <w:rPr>
                <w:rFonts w:ascii="Times New Roman" w:hAnsi="Times New Roman"/>
                <w:bCs/>
                <w:sz w:val="18"/>
                <w:szCs w:val="18"/>
              </w:rPr>
            </w:pPr>
            <w:r>
              <w:rPr>
                <w:rFonts w:ascii="Times New Roman" w:hAnsi="Times New Roman"/>
                <w:bCs/>
                <w:sz w:val="18"/>
                <w:szCs w:val="18"/>
              </w:rPr>
              <w:t xml:space="preserve">W odniesieniu do wierszy {040}, {060}–{090}, {120}–{130}, {150}–{260}, {269}, {273}, {277}, {281}, {285}, {289}, {293}, {301}–{303}, {309}, {313}, {317}, {321}, {325}, {329}, {333}, {341}–{345}, {450} i {470}–{510} instytucje kredytowe zgłaszają w kolumnie 140 sumę wpływów podlegających ograniczeniu wpływów w wysokości 75 % zgodnie z art. 33 ust. 1 rozporządzenia delegowanego (UE) 2015/61, którą oblicza się, mnożąc całkowitą kwotę / maksymalną kwotę, która </w:t>
            </w:r>
            <w:r>
              <w:rPr>
                <w:rFonts w:ascii="Times New Roman" w:hAnsi="Times New Roman"/>
                <w:bCs/>
                <w:sz w:val="18"/>
                <w:szCs w:val="18"/>
              </w:rPr>
              <w:lastRenderedPageBreak/>
              <w:t>może zostać wykorzystana, podaną w kolumnie 010 przez odpowiednią wagę podaną w kolumnie 080.</w:t>
            </w:r>
          </w:p>
          <w:p w14:paraId="4BA3D379" w14:textId="0E101320" w:rsidR="001A0B09" w:rsidRDefault="002B1DA1">
            <w:pPr>
              <w:spacing w:before="240" w:after="240"/>
              <w:rPr>
                <w:rFonts w:ascii="Times New Roman" w:hAnsi="Times New Roman"/>
                <w:bCs/>
                <w:sz w:val="18"/>
                <w:szCs w:val="18"/>
              </w:rPr>
            </w:pPr>
            <w:r>
              <w:rPr>
                <w:rFonts w:ascii="Times New Roman" w:hAnsi="Times New Roman"/>
                <w:bCs/>
                <w:sz w:val="18"/>
                <w:szCs w:val="18"/>
              </w:rPr>
              <w:t>W odniesieniu do wiersza {170} instytucje kredytowe zgłaszają w kolumnie 140 sumę wpływów podlegających ograniczeniu wpływów w wysokości 75 % zgodnie z art. 33 ust. 1 rozporządzenia delegowanego (UE) 2015/61 wyłącznie w przypadku, gdy instytucje kredytowe otrzymały takie zobowiązanie w celu umożliwienia im udzielenia kredytu preferencyjnego odbiorcy końcowemu lub otrzymały podobne zobowiązanie od wielostronnego banku rozwoju lub od podmiotu sektora publicznego.</w:t>
            </w:r>
          </w:p>
        </w:tc>
      </w:tr>
      <w:tr w:rsidR="001A0B09" w14:paraId="18FF3F23" w14:textId="77777777" w:rsidTr="00CB45E9">
        <w:tc>
          <w:tcPr>
            <w:tcW w:w="994" w:type="dxa"/>
            <w:gridSpan w:val="2"/>
            <w:shd w:val="clear" w:color="auto" w:fill="auto"/>
            <w:vAlign w:val="center"/>
          </w:tcPr>
          <w:p w14:paraId="54C81EBE" w14:textId="77777777" w:rsidR="001A0B09" w:rsidRDefault="007453EC">
            <w:pPr>
              <w:rPr>
                <w:rFonts w:ascii="Times New Roman" w:hAnsi="Times New Roman"/>
                <w:sz w:val="18"/>
                <w:szCs w:val="18"/>
              </w:rPr>
            </w:pPr>
            <w:r>
              <w:rPr>
                <w:rFonts w:ascii="Times New Roman" w:hAnsi="Times New Roman"/>
                <w:sz w:val="18"/>
                <w:szCs w:val="18"/>
              </w:rPr>
              <w:lastRenderedPageBreak/>
              <w:t>150</w:t>
            </w:r>
          </w:p>
        </w:tc>
        <w:tc>
          <w:tcPr>
            <w:tcW w:w="7528" w:type="dxa"/>
            <w:gridSpan w:val="2"/>
            <w:shd w:val="clear" w:color="auto" w:fill="auto"/>
          </w:tcPr>
          <w:p w14:paraId="1C5040CF"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Wpływ – podlegające ograniczeniu wpływów w wysokości 90 %</w:t>
            </w:r>
          </w:p>
          <w:p w14:paraId="4DD2FA3F" w14:textId="19BA64AE" w:rsidR="001A0B09" w:rsidRDefault="007453EC">
            <w:pPr>
              <w:spacing w:before="240" w:after="240"/>
              <w:rPr>
                <w:rFonts w:ascii="Times New Roman" w:hAnsi="Times New Roman"/>
                <w:b/>
                <w:bCs/>
                <w:sz w:val="18"/>
                <w:szCs w:val="18"/>
              </w:rPr>
            </w:pPr>
            <w:r>
              <w:rPr>
                <w:rFonts w:ascii="Times New Roman" w:hAnsi="Times New Roman"/>
                <w:bCs/>
                <w:sz w:val="18"/>
                <w:szCs w:val="18"/>
              </w:rPr>
              <w:t>Art. 32, 33 i 34 rozporządzenia delegowanego (UE) 2015/61</w:t>
            </w:r>
          </w:p>
          <w:p w14:paraId="484EFAFB" w14:textId="17599642" w:rsidR="001A0B09" w:rsidRDefault="002B1DA1">
            <w:pPr>
              <w:spacing w:before="240" w:after="240"/>
              <w:rPr>
                <w:rFonts w:ascii="Times New Roman" w:hAnsi="Times New Roman"/>
                <w:b/>
                <w:bCs/>
                <w:sz w:val="18"/>
                <w:szCs w:val="18"/>
              </w:rPr>
            </w:pPr>
            <w:r>
              <w:rPr>
                <w:rFonts w:ascii="Times New Roman" w:hAnsi="Times New Roman"/>
                <w:bCs/>
                <w:sz w:val="18"/>
                <w:szCs w:val="18"/>
              </w:rPr>
              <w:t>W odniesieniu do wierszy {040}, {060}–{090}, {120}–{130}, {150}–{260}, {269}, {273}, {277}, {281}, {285}, {289}, {293}, {301}–{303}, {309}, {313}, {317}, {321}, {325}, {329}, {333}, {341}–{345}, {450} i {470}–{510} instytucje kredytowe zgłaszają w kolumnie 150 sumę wpływów podlegających ograniczeniu wpływów w wysokości 90 % zgodnie z art. 33 ust. 4 i 5 rozporządzenia delegowanego (UE) 2015/61, którą oblicza się, mnożąc całkowitą kwotę / maksymalną kwotę, która może zostać wykorzystana, podaną w kolumnie 020 przez odpowiednią wagę podaną w kolumnie 090. W odniesieniu do wiersza {170} instytucje kredytowe zgłaszają w kolumnie 150 sumę wpływów podlegających ograniczeniu wpływów w wysokości 90 % zgodnie z art. 33 ust. 4 i 5 rozporządzenia delegowanego (UE) 2015/61 wyłącznie w przypadku, gdy instytucje kredytowe otrzymały takie zobowiązanie w celu umożliwienia im udzielenia kredytu preferencyjnego odbiorcy końcowemu lub otrzymały podobne zobowiązanie od wielostronnego banku rozwoju lub od podmiotu sektora publicznego.</w:t>
            </w:r>
          </w:p>
        </w:tc>
      </w:tr>
      <w:tr w:rsidR="001A0B09" w14:paraId="06C8BA41" w14:textId="77777777" w:rsidTr="00CB45E9">
        <w:tc>
          <w:tcPr>
            <w:tcW w:w="994" w:type="dxa"/>
            <w:gridSpan w:val="2"/>
            <w:shd w:val="clear" w:color="auto" w:fill="auto"/>
            <w:vAlign w:val="center"/>
          </w:tcPr>
          <w:p w14:paraId="1325CDED" w14:textId="77777777" w:rsidR="001A0B09" w:rsidRDefault="007453EC">
            <w:pPr>
              <w:rPr>
                <w:rFonts w:ascii="Times New Roman" w:hAnsi="Times New Roman"/>
                <w:sz w:val="18"/>
                <w:szCs w:val="18"/>
              </w:rPr>
            </w:pPr>
            <w:r>
              <w:rPr>
                <w:rFonts w:ascii="Times New Roman" w:hAnsi="Times New Roman"/>
                <w:sz w:val="18"/>
                <w:szCs w:val="18"/>
              </w:rPr>
              <w:t>160</w:t>
            </w:r>
          </w:p>
        </w:tc>
        <w:tc>
          <w:tcPr>
            <w:tcW w:w="7528" w:type="dxa"/>
            <w:gridSpan w:val="2"/>
            <w:shd w:val="clear" w:color="auto" w:fill="auto"/>
          </w:tcPr>
          <w:p w14:paraId="2C59B705"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Wpływ – wyłączone z ograniczenia wpływów</w:t>
            </w:r>
          </w:p>
          <w:p w14:paraId="08CEFDF5" w14:textId="62E623E9" w:rsidR="001A0B09" w:rsidRDefault="007453EC">
            <w:pPr>
              <w:spacing w:before="240" w:after="240"/>
              <w:rPr>
                <w:rFonts w:ascii="Times New Roman" w:hAnsi="Times New Roman"/>
                <w:b/>
                <w:bCs/>
                <w:sz w:val="18"/>
                <w:szCs w:val="18"/>
              </w:rPr>
            </w:pPr>
            <w:r>
              <w:rPr>
                <w:rFonts w:ascii="Times New Roman" w:hAnsi="Times New Roman"/>
                <w:bCs/>
                <w:sz w:val="18"/>
                <w:szCs w:val="18"/>
              </w:rPr>
              <w:t>Art. 32, 33 i 34 rozporządzenia delegowanego (UE) 2015/61</w:t>
            </w:r>
          </w:p>
          <w:p w14:paraId="3630C9D6" w14:textId="31FC9BDB" w:rsidR="001A0B09" w:rsidRDefault="002B1DA1">
            <w:pPr>
              <w:spacing w:before="240" w:after="240"/>
              <w:rPr>
                <w:rFonts w:ascii="Times New Roman" w:hAnsi="Times New Roman"/>
                <w:bCs/>
                <w:sz w:val="18"/>
                <w:szCs w:val="18"/>
              </w:rPr>
            </w:pPr>
            <w:r>
              <w:rPr>
                <w:rFonts w:ascii="Times New Roman" w:hAnsi="Times New Roman"/>
                <w:bCs/>
                <w:sz w:val="18"/>
                <w:szCs w:val="18"/>
              </w:rPr>
              <w:t>W odniesieniu do wierszy {040}, {060}–{090}, {120}–{130}, {150}–{260}, {269}, {273}, {277}, {281}, {285}, {289}, {293}, {301}–{303}, {309}, {313}, {317}, {321}, {325}, {329}, {333}, {341}–{345}, {450} i {470}–{510} instytucje kredytowe zgłaszają w kolumnie 160 sumę wpływów objętych całkowitym wyłączeniem z ograniczenia wpływów zgodnie z art. 33 ust. 2, 3 i 5 rozporządzenia delegowanego (UE) 2015/61, których kwotę oblicza się, mnożąc całkowitą kwotę / maksymalną kwotę, która może zostać wykorzystana, zgłoszoną w kolumnie 030 przez odpowiednią wagę podaną w kolumnie 100.</w:t>
            </w:r>
          </w:p>
          <w:p w14:paraId="4ADC76DC" w14:textId="42F3DDDA" w:rsidR="001A0B09" w:rsidRDefault="002B1DA1">
            <w:pPr>
              <w:spacing w:before="240" w:after="240"/>
              <w:rPr>
                <w:rFonts w:ascii="Times New Roman" w:hAnsi="Times New Roman"/>
                <w:b/>
                <w:bCs/>
                <w:sz w:val="18"/>
                <w:szCs w:val="18"/>
              </w:rPr>
            </w:pPr>
            <w:r>
              <w:rPr>
                <w:rFonts w:ascii="Times New Roman" w:hAnsi="Times New Roman"/>
                <w:bCs/>
                <w:sz w:val="18"/>
                <w:szCs w:val="18"/>
              </w:rPr>
              <w:t>W odniesieniu do wiersza {170} instytucje kredytowe zgłaszają w kolumnie 160 sumę wpływów całkowicie wyłączonych z ograniczenia wpływów zgodnie z art. 33 ust. 2, 3 i 5 rozporządzenia delegowanego (UE) 2015/61 wyłącznie w przypadku, gdy instytucje kredytowe otrzymały takie zobowiązanie w celu umożliwienia im udzielenia kredytu preferencyjnego odbiorcy końcowemu lub otrzymały podobne zobowiązanie od wielostronnego banku rozwoju lub od podmiotu sektora publicznego.</w:t>
            </w:r>
          </w:p>
        </w:tc>
      </w:tr>
    </w:tbl>
    <w:p w14:paraId="13286CAD" w14:textId="2092BE00" w:rsidR="001A0B09"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 xml:space="preserve">Instrukcje dotyczące poszczególnych </w:t>
      </w:r>
      <w:r>
        <w:rPr>
          <w:rFonts w:ascii="Times New Roman" w:hAnsi="Times New Roman"/>
          <w:b/>
          <w:sz w:val="18"/>
          <w:szCs w:val="18"/>
        </w:rPr>
        <w:t>wierszy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A0B09" w14:paraId="17B07770" w14:textId="77777777" w:rsidTr="00454544">
        <w:tc>
          <w:tcPr>
            <w:tcW w:w="756" w:type="dxa"/>
            <w:shd w:val="clear" w:color="auto" w:fill="D9D9D9"/>
          </w:tcPr>
          <w:p w14:paraId="10DDDECD" w14:textId="77777777" w:rsidR="001A0B09" w:rsidRDefault="007453EC">
            <w:pPr>
              <w:spacing w:before="240" w:after="240"/>
              <w:rPr>
                <w:rFonts w:ascii="Times New Roman" w:hAnsi="Times New Roman"/>
                <w:sz w:val="18"/>
              </w:rPr>
            </w:pPr>
            <w:r>
              <w:rPr>
                <w:rFonts w:ascii="Times New Roman" w:hAnsi="Times New Roman"/>
                <w:sz w:val="18"/>
              </w:rPr>
              <w:t>Wiersz</w:t>
            </w:r>
          </w:p>
        </w:tc>
        <w:tc>
          <w:tcPr>
            <w:tcW w:w="7540" w:type="dxa"/>
            <w:shd w:val="clear" w:color="auto" w:fill="D9D9D9"/>
          </w:tcPr>
          <w:p w14:paraId="2AB9098F" w14:textId="77777777" w:rsidR="001A0B09" w:rsidRDefault="007453EC">
            <w:pPr>
              <w:spacing w:before="240" w:after="240"/>
              <w:rPr>
                <w:rFonts w:ascii="Times New Roman" w:hAnsi="Times New Roman"/>
                <w:sz w:val="18"/>
              </w:rPr>
            </w:pPr>
            <w:r>
              <w:rPr>
                <w:rFonts w:ascii="Times New Roman" w:hAnsi="Times New Roman"/>
                <w:sz w:val="18"/>
              </w:rPr>
              <w:t>Odniesienia prawne i instrukcje</w:t>
            </w:r>
          </w:p>
        </w:tc>
      </w:tr>
      <w:tr w:rsidR="001A0B09" w14:paraId="1A4CC274" w14:textId="77777777" w:rsidTr="00454544">
        <w:tc>
          <w:tcPr>
            <w:tcW w:w="756" w:type="dxa"/>
            <w:shd w:val="clear" w:color="auto" w:fill="auto"/>
            <w:vAlign w:val="center"/>
          </w:tcPr>
          <w:p w14:paraId="67E2B7E9"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 WPŁYWY RAZEM</w:t>
            </w:r>
          </w:p>
          <w:p w14:paraId="112681C3" w14:textId="388FDC9E"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0D4CC187"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 wierszu 010 w formularzu C 74.00 określonym w załączniku </w:t>
            </w:r>
            <w:r>
              <w:rPr>
                <w:rFonts w:ascii="Times New Roman" w:hAnsi="Times New Roman"/>
                <w:sz w:val="18"/>
                <w:szCs w:val="18"/>
              </w:rPr>
              <w:t>XXIV instytucje kredytowe zgłaszają:</w:t>
            </w:r>
          </w:p>
          <w:p w14:paraId="54A9078C"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aktywów/należnych środków pieniężnych/maksymalną kwotę, która może zostać wykorzystana jako sumę aktywów/należnych środków pieniężnych/maksymalną kwotę, która może zostać wykorzystana w ramach transakcji niezabezpieczonych/depozytów, zabezpieczonych transakcji kredytowych i transakcji opartych na rynku kapitałowym;</w:t>
            </w:r>
          </w:p>
          <w:p w14:paraId="739365D7"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kolumny 140 wpływy razem jako sumę wpływów z tytułu transakcji niezabezpieczonych/depozytów, zabezpieczonych transakcji kredytowych, transakcji opartych na rynku kapitałowym i transakcji zabezpieczających swap pomniejszoną o różnicę między całkowitą ważoną kwotą wpływów a całkowitą ważoną kwotą wypływów wynikających z transakcji prowadzonych w państwach trzecich, w których istnieją ograniczenia transferu, lub które są denominowane w walutach niewymienialnych oraz</w:t>
            </w:r>
          </w:p>
          <w:p w14:paraId="78B6DD17" w14:textId="25A23E63"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kolumny 150 i 160 wpływy razem jako sumę wpływów z tytułu transakcji niezabezpieczonych / depozytów, zabezpieczonych transakcji kredytowych, transakcji opartych na rynku kapitałowym i transakcji zabezpieczających swap pomniejszoną o różnicę między całkowitą ważoną kwotą wpływów a całkowitą ważoną kwotą wypływów wynikających z transakcji prowadzonych w państwach trzecich, w których istnieją ograniczenia transferu, lub które są denominowane w walutach niewymienialnych oraz pomniejszoną o nadwyżkę wpływów z powiązanej wyspecjalizowanej instytucji kredytowej, o której mowa w art. 2 ust. 3 lit. e) i art. 33 ust. 6 rozporządzenia delegowanego (UE) 2015/61.</w:t>
            </w:r>
          </w:p>
        </w:tc>
      </w:tr>
      <w:tr w:rsidR="001A0B09" w14:paraId="569FE66B" w14:textId="77777777" w:rsidTr="00454544">
        <w:tc>
          <w:tcPr>
            <w:tcW w:w="756" w:type="dxa"/>
            <w:shd w:val="clear" w:color="auto" w:fill="auto"/>
            <w:vAlign w:val="center"/>
          </w:tcPr>
          <w:p w14:paraId="0DCCA2CD" w14:textId="77777777" w:rsidR="001A0B09"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 Wpływy z transakcji niezabezpieczonych/depozytów</w:t>
            </w:r>
          </w:p>
          <w:p w14:paraId="34C4D9F0" w14:textId="5C401A15" w:rsidR="001A0B09" w:rsidRDefault="007453EC">
            <w:pPr>
              <w:spacing w:before="240" w:after="240"/>
              <w:rPr>
                <w:rFonts w:ascii="Times New Roman" w:hAnsi="Times New Roman"/>
                <w:bCs/>
                <w:sz w:val="18"/>
                <w:szCs w:val="18"/>
              </w:rPr>
            </w:pPr>
            <w:r>
              <w:rPr>
                <w:rFonts w:ascii="Times New Roman" w:hAnsi="Times New Roman"/>
                <w:bCs/>
                <w:sz w:val="18"/>
                <w:szCs w:val="18"/>
              </w:rPr>
              <w:t>Art. 32, 33 i 34 rozporządzenia delegowanego (UE) 2015/61.</w:t>
            </w:r>
          </w:p>
          <w:p w14:paraId="7EE9ADAA"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 wierszu 020 w formularzu C 74.00 określonym w załączniku </w:t>
            </w:r>
            <w:r>
              <w:rPr>
                <w:rFonts w:ascii="Times New Roman" w:hAnsi="Times New Roman"/>
                <w:sz w:val="18"/>
                <w:szCs w:val="18"/>
              </w:rPr>
              <w:t>XXIV instytucje kredytowe zgłaszają:</w:t>
            </w:r>
          </w:p>
          <w:p w14:paraId="65B85F06"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aktywów/należnych środków pieniężnych/maksymalną kwotę, która może zostać wykorzystana w ramach transakcji niezabezpieczonych/depozytów oraz</w:t>
            </w:r>
          </w:p>
          <w:p w14:paraId="6D224437"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sumę wpływów z tytułu transakcji niezabezpieczonych/depozytów.</w:t>
            </w:r>
          </w:p>
        </w:tc>
      </w:tr>
      <w:tr w:rsidR="001A0B09" w14:paraId="3C6FEB40" w14:textId="77777777" w:rsidTr="00454544">
        <w:tc>
          <w:tcPr>
            <w:tcW w:w="756" w:type="dxa"/>
            <w:shd w:val="clear" w:color="auto" w:fill="auto"/>
            <w:vAlign w:val="center"/>
          </w:tcPr>
          <w:p w14:paraId="4F577B33" w14:textId="77777777" w:rsidR="001A0B09"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1.1.1. środki pieniężne należne od klientów niefinansowych (z wyjątkiem banków centralnych)</w:t>
            </w:r>
          </w:p>
          <w:p w14:paraId="23FE5278" w14:textId="48664A09" w:rsidR="001A0B09" w:rsidRDefault="00DD4C72">
            <w:pPr>
              <w:spacing w:before="240" w:after="240"/>
              <w:rPr>
                <w:rFonts w:ascii="Times New Roman" w:hAnsi="Times New Roman"/>
                <w:bCs/>
                <w:sz w:val="18"/>
                <w:szCs w:val="18"/>
              </w:rPr>
            </w:pPr>
            <w:r>
              <w:rPr>
                <w:rFonts w:ascii="Times New Roman" w:hAnsi="Times New Roman"/>
                <w:bCs/>
                <w:sz w:val="18"/>
                <w:szCs w:val="18"/>
              </w:rPr>
              <w:t>Art. 32 ust. 3 lit. a) rozporządzenia delegowanego (UE) 2015/61.</w:t>
            </w:r>
          </w:p>
          <w:p w14:paraId="6EAE7B8A"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 wierszu 030 w formularzu C 74.00 określonym w załączniku </w:t>
            </w:r>
            <w:r>
              <w:rPr>
                <w:rFonts w:ascii="Times New Roman" w:hAnsi="Times New Roman"/>
                <w:sz w:val="18"/>
                <w:szCs w:val="18"/>
              </w:rPr>
              <w:t>XXIV instytucje kredytowe zgłaszają:</w:t>
            </w:r>
          </w:p>
          <w:p w14:paraId="36C654F2"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w odniesieniu do każdej z kolumn 010, 020 i 030 całkowitą kwotę środków pieniężnych należnych od klientów niefinansowych (z wyjątkiem banków centralnych) (środki pieniężne należne od klientów niefinansowych, które nie odpowiadają spłatom kwoty </w:t>
            </w:r>
            <w:r>
              <w:rPr>
                <w:rFonts w:ascii="Times New Roman" w:hAnsi="Times New Roman"/>
                <w:bCs/>
                <w:sz w:val="18"/>
                <w:szCs w:val="18"/>
              </w:rPr>
              <w:lastRenderedPageBreak/>
              <w:t>głównej, oraz wszelkie inne środki pieniężne należne od klientów niefinansowych) oraz</w:t>
            </w:r>
          </w:p>
          <w:p w14:paraId="71B58C79"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sumę wpływów od klientów niefinansowych (z wyjątkiem banków centralnych) (wpływy od klientów niefinansowych, które nie odpowiadają spłatom kwoty głównej oraz wszelkie inne wpływy od klientów niefinansowych).</w:t>
            </w:r>
          </w:p>
          <w:p w14:paraId="5CDADF83" w14:textId="1B6D7F7D" w:rsidR="001A0B09" w:rsidRDefault="007453EC">
            <w:pPr>
              <w:spacing w:before="240" w:after="240"/>
              <w:rPr>
                <w:rFonts w:ascii="Times New Roman" w:hAnsi="Times New Roman"/>
                <w:bCs/>
                <w:sz w:val="18"/>
                <w:szCs w:val="18"/>
              </w:rPr>
            </w:pPr>
            <w:r>
              <w:rPr>
                <w:rFonts w:ascii="Times New Roman" w:hAnsi="Times New Roman"/>
                <w:bCs/>
                <w:sz w:val="18"/>
                <w:szCs w:val="18"/>
              </w:rPr>
              <w:t>Klienci niefinansowi to zgodnie z art. 31a rozporządzenia delegowanego (UE) 2015/61 m.in. osoby fizyczne, MŚP, przedsiębiorstwa, państwa, wielostronne banki rozwoju i podmioty sektora publicznego.</w:t>
            </w:r>
          </w:p>
          <w:p w14:paraId="53BD919C" w14:textId="0DE53934" w:rsidR="001A0B09" w:rsidRDefault="007453EC">
            <w:pPr>
              <w:spacing w:before="240" w:after="240"/>
              <w:rPr>
                <w:rFonts w:ascii="Times New Roman" w:hAnsi="Times New Roman"/>
                <w:bCs/>
                <w:sz w:val="18"/>
                <w:szCs w:val="18"/>
              </w:rPr>
            </w:pPr>
            <w:r>
              <w:rPr>
                <w:rFonts w:ascii="Times New Roman" w:hAnsi="Times New Roman"/>
                <w:bCs/>
                <w:sz w:val="18"/>
                <w:szCs w:val="18"/>
              </w:rPr>
              <w:t>Środków pieniężnych należnych z tytułu zabezpieczonych transakcji kredytowych i transakcji opartych na rynku kapitałowym z klientem niefinansowym, które są zabezpieczone aktywami płynnymi zgodnie z tytułem II rozporządzenia delegowanego (UE) 2015/61, gdy transakcje te są określone w art. 192 pkt 2 i 3 rozporządzenia (UE) nr 575/2013, nie zgłasza się w sekcji 1.1.1., ale zgłasza się je w sekcji 1.2. Środków pieniężnych należnych z tytułu takich transakcji zabezpieczonych zbywalnymi papierami wartościowymi, które nie kwalifikują się jako aktywa płynne zgodnie z tytułem II rozporządzenia delegowanego (UE) 2015/61, nie zgłasza się w sekcji 1.1.1., ale zgłasza się je w sekcji 1.2. Środki pieniężne należne z tytułu takich transakcji z klientami niefinansowymi zabezpieczonych niezbywalnymi aktywami, które nie kwalifikują się jako aktywa płynne zgodnie z tytułem II rozporządzenia delegowanego (UE) 2015/61, zgłasza się w odpowiednim wierszu sekcji 1.1.1.</w:t>
            </w:r>
          </w:p>
          <w:p w14:paraId="2A87F287"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Środków pieniężnych należnych od banków centralnych nie zgłasza się w tej pozycji, zgłasza się je natomiast w sekcji 1.1.2. Środków pieniężnych należnych z tytułu transakcji finansowania handlu, których rezydualny termin zapadalności jest nie dłuższy niż 30 dni, nie zgłasza się w tej pozycji, zgłasza się je natomiast w sekcji 1.1.4. Środków pieniężnych należnych z tytułu papierów wartościowych zapadających w terminie 30 dni kalendarzowych nie zgłasza się w tej pozycji, zgłasza się je natomiast w sekcji 1.1.5.</w:t>
            </w:r>
          </w:p>
        </w:tc>
      </w:tr>
      <w:tr w:rsidR="001A0B09" w14:paraId="1E07E3DA" w14:textId="77777777" w:rsidTr="00454544">
        <w:tc>
          <w:tcPr>
            <w:tcW w:w="756" w:type="dxa"/>
            <w:shd w:val="clear" w:color="auto" w:fill="auto"/>
            <w:vAlign w:val="center"/>
          </w:tcPr>
          <w:p w14:paraId="2CA0D7A9" w14:textId="77777777" w:rsidR="001A0B09"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1.1.1.1. środki pieniężne należne od klientów niefinansowych (z wyjątkiem banków centralnych), które nie dotyczą spłaty kwoty głównej</w:t>
            </w:r>
          </w:p>
          <w:p w14:paraId="4FA9B0E4" w14:textId="3EF5C0AE" w:rsidR="001A0B09" w:rsidRDefault="00DD4C72">
            <w:pPr>
              <w:spacing w:before="240" w:after="240"/>
              <w:rPr>
                <w:rFonts w:ascii="Times New Roman" w:hAnsi="Times New Roman"/>
                <w:bCs/>
                <w:sz w:val="18"/>
                <w:szCs w:val="18"/>
              </w:rPr>
            </w:pPr>
            <w:r>
              <w:rPr>
                <w:rFonts w:ascii="Times New Roman" w:hAnsi="Times New Roman"/>
                <w:bCs/>
                <w:sz w:val="18"/>
                <w:szCs w:val="18"/>
              </w:rPr>
              <w:t>Art. 32 ust. 3 lit. a) rozporządzenia delegowanego (UE) 2015/61.</w:t>
            </w:r>
          </w:p>
          <w:p w14:paraId="172C6ABF" w14:textId="0879D060"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od klientów niefinansowych (z wyjątkiem banków centralnych), których rezydualny termin zapadalności jest nie dłuższy niż 30 dni i które nie dotyczą spłaty kwoty głównej. Wpływy te obejmują odsetki i opłaty należne od klientów niefinansowych (z wyjątkiem banków centralnych). Środków pieniężnych należnych od banków centralnych, które to środki nie odpowiadają spłacie kwoty głównej, nie zgłasza się w tej pozycji, zgłasza się je natomiast w sekcji 1.1.2.</w:t>
            </w:r>
          </w:p>
        </w:tc>
      </w:tr>
      <w:tr w:rsidR="001A0B09" w14:paraId="63A32C9D" w14:textId="77777777" w:rsidTr="00454544">
        <w:tc>
          <w:tcPr>
            <w:tcW w:w="756" w:type="dxa"/>
            <w:shd w:val="clear" w:color="auto" w:fill="auto"/>
            <w:vAlign w:val="center"/>
          </w:tcPr>
          <w:p w14:paraId="2FBCDA18" w14:textId="77777777" w:rsidR="001A0B09"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1.1.1.2. inne środki pieniężne należne od klientów niefinansowych (z wyjątkiem banków centralnych)</w:t>
            </w:r>
          </w:p>
          <w:p w14:paraId="6C66B478" w14:textId="5EEEE80E" w:rsidR="001A0B09" w:rsidRDefault="00DD4C72">
            <w:pPr>
              <w:spacing w:before="240" w:after="240"/>
              <w:rPr>
                <w:rFonts w:ascii="Times New Roman" w:hAnsi="Times New Roman"/>
                <w:bCs/>
                <w:sz w:val="18"/>
                <w:szCs w:val="18"/>
              </w:rPr>
            </w:pPr>
            <w:r>
              <w:rPr>
                <w:rFonts w:ascii="Times New Roman" w:hAnsi="Times New Roman"/>
                <w:bCs/>
                <w:sz w:val="18"/>
                <w:szCs w:val="18"/>
              </w:rPr>
              <w:t>Art. 32 ust. 3 lit. a) rozporządzenia delegowanego (UE) 2015/61.</w:t>
            </w:r>
          </w:p>
          <w:p w14:paraId="3B2643EC"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 wierszu 050 w formularzu C 74.00 określonym w załączniku </w:t>
            </w:r>
            <w:r>
              <w:rPr>
                <w:rFonts w:ascii="Times New Roman" w:hAnsi="Times New Roman"/>
                <w:sz w:val="18"/>
                <w:szCs w:val="18"/>
              </w:rPr>
              <w:t>XXIV instytucje kredytowe zgłaszają:</w:t>
            </w:r>
          </w:p>
          <w:p w14:paraId="460896F7"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innych środków pieniężnych należnych od klientów niefinansowych (z wyjątkiem banków centralnych) jako sumę środków pieniężnych należnych od klientów niefinansowych w podziale na kontrahentów oraz</w:t>
            </w:r>
          </w:p>
          <w:p w14:paraId="52946097"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inne wpływy razem od klientów niefinansowych (z wyjątkiem banków centralnych) jako sumę innych wpływów od klientów niefinansowych w podziale na kontrahentów.</w:t>
            </w:r>
          </w:p>
          <w:p w14:paraId="214A590C"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Środków pieniężnych należnych od klientów niefinansowych (z wyjątkiem banków centralnych), które nie odpowiadają spłacie kwoty głównej, nie zgłasza się w tej pozycji, zgłasza się je natomiast w sekcji 1.1.1.1.</w:t>
            </w:r>
          </w:p>
          <w:p w14:paraId="3C46F32E"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lastRenderedPageBreak/>
              <w:t>Innych środków pieniężnych należnych od banków centralnych nie zgłasza się w tej pozycji, zgłasza się je natomiast w sekcji 1.1.2.</w:t>
            </w:r>
          </w:p>
          <w:p w14:paraId="08EC130A" w14:textId="0E49451E" w:rsidR="001A0B09" w:rsidRDefault="007453EC">
            <w:pPr>
              <w:spacing w:before="240" w:after="240"/>
              <w:rPr>
                <w:rFonts w:ascii="Times New Roman" w:hAnsi="Times New Roman"/>
                <w:bCs/>
                <w:sz w:val="18"/>
                <w:szCs w:val="18"/>
              </w:rPr>
            </w:pPr>
            <w:r>
              <w:rPr>
                <w:rFonts w:ascii="Times New Roman" w:hAnsi="Times New Roman"/>
                <w:bCs/>
                <w:sz w:val="18"/>
                <w:szCs w:val="18"/>
              </w:rPr>
              <w:t>Wpływów odpowiadających wypływom zgodnie ze zobowiązaniami do udzielenia kredytu preferencyjnego, o którym mowa w art. 31 ust. 9 rozporządzenia delegowanego (UE) 2015/61, nie zgłasza się w tej pozycji, zgłasza się je natomiast w sekcji 1.1.3.</w:t>
            </w:r>
          </w:p>
        </w:tc>
      </w:tr>
      <w:tr w:rsidR="001A0B09" w14:paraId="183A3ED2" w14:textId="77777777" w:rsidTr="00454544">
        <w:tc>
          <w:tcPr>
            <w:tcW w:w="756" w:type="dxa"/>
            <w:shd w:val="clear" w:color="auto" w:fill="auto"/>
            <w:vAlign w:val="center"/>
          </w:tcPr>
          <w:p w14:paraId="05F375E7" w14:textId="77777777" w:rsidR="001A0B09" w:rsidRDefault="007453EC">
            <w:pPr>
              <w:jc w:val="left"/>
              <w:rPr>
                <w:rFonts w:ascii="Times New Roman" w:hAnsi="Times New Roman"/>
                <w:sz w:val="18"/>
                <w:szCs w:val="18"/>
              </w:rPr>
            </w:pPr>
            <w:r>
              <w:rPr>
                <w:rFonts w:ascii="Times New Roman" w:hAnsi="Times New Roman"/>
                <w:sz w:val="18"/>
                <w:szCs w:val="18"/>
              </w:rPr>
              <w:lastRenderedPageBreak/>
              <w:t>060</w:t>
            </w:r>
          </w:p>
        </w:tc>
        <w:tc>
          <w:tcPr>
            <w:tcW w:w="7540" w:type="dxa"/>
            <w:shd w:val="clear" w:color="auto" w:fill="auto"/>
          </w:tcPr>
          <w:p w14:paraId="67FEE3D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1.1.1.2.1. środki pieniężne należne od klientów detalicznych</w:t>
            </w:r>
          </w:p>
          <w:p w14:paraId="3878003B" w14:textId="418625CE" w:rsidR="001A0B09" w:rsidRDefault="00DD4C72">
            <w:pPr>
              <w:spacing w:before="240" w:after="240"/>
              <w:rPr>
                <w:rFonts w:ascii="Times New Roman" w:hAnsi="Times New Roman"/>
                <w:bCs/>
                <w:sz w:val="18"/>
                <w:szCs w:val="18"/>
              </w:rPr>
            </w:pPr>
            <w:r>
              <w:rPr>
                <w:rFonts w:ascii="Times New Roman" w:hAnsi="Times New Roman"/>
                <w:bCs/>
                <w:sz w:val="18"/>
                <w:szCs w:val="18"/>
              </w:rPr>
              <w:t>Art. 32 ust. 3 lit. a) rozporządzenia delegowanego (UE) 2015/61.</w:t>
            </w:r>
          </w:p>
          <w:p w14:paraId="6EADAFB2" w14:textId="443BAE12"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od klientów detalicznych, których rezydualny termin zapadalności jest nie dłuższy niż 30 dni.</w:t>
            </w:r>
          </w:p>
        </w:tc>
      </w:tr>
      <w:tr w:rsidR="001A0B09" w14:paraId="6A1D4C34" w14:textId="77777777" w:rsidTr="00454544">
        <w:tc>
          <w:tcPr>
            <w:tcW w:w="756" w:type="dxa"/>
            <w:shd w:val="clear" w:color="auto" w:fill="auto"/>
            <w:vAlign w:val="center"/>
          </w:tcPr>
          <w:p w14:paraId="0D88BB36" w14:textId="77777777" w:rsidR="001A0B09" w:rsidRDefault="007453EC">
            <w:pPr>
              <w:jc w:val="left"/>
              <w:rPr>
                <w:rFonts w:ascii="Times New Roman" w:hAnsi="Times New Roman"/>
                <w:sz w:val="18"/>
                <w:szCs w:val="18"/>
              </w:rPr>
            </w:pPr>
            <w:r>
              <w:rPr>
                <w:rFonts w:ascii="Times New Roman" w:hAnsi="Times New Roman"/>
                <w:sz w:val="18"/>
                <w:szCs w:val="18"/>
              </w:rPr>
              <w:t>070</w:t>
            </w:r>
          </w:p>
        </w:tc>
        <w:tc>
          <w:tcPr>
            <w:tcW w:w="7540" w:type="dxa"/>
            <w:shd w:val="clear" w:color="auto" w:fill="auto"/>
          </w:tcPr>
          <w:p w14:paraId="5182AD94"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1.1.1.2.2. środki pieniężne należne od przedsiębiorstw niefinansowych</w:t>
            </w:r>
          </w:p>
          <w:p w14:paraId="1D49F1FE" w14:textId="6D016E65" w:rsidR="001A0B09" w:rsidRDefault="00DD4C72">
            <w:pPr>
              <w:spacing w:before="240" w:after="240"/>
              <w:rPr>
                <w:rFonts w:ascii="Times New Roman" w:hAnsi="Times New Roman"/>
                <w:bCs/>
                <w:sz w:val="18"/>
                <w:szCs w:val="18"/>
              </w:rPr>
            </w:pPr>
            <w:r>
              <w:rPr>
                <w:rFonts w:ascii="Times New Roman" w:hAnsi="Times New Roman"/>
                <w:bCs/>
                <w:sz w:val="18"/>
                <w:szCs w:val="18"/>
              </w:rPr>
              <w:t>Art. 32 ust. 3 lit. a) rozporządzenia delegowanego (UE) 2015/61.</w:t>
            </w:r>
          </w:p>
          <w:p w14:paraId="38D54DFA" w14:textId="4091AF0C"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od przedsiębiorstw niefinansowych, których rezydualny termin zapadalności jest nie dłuższy niż 30 dni.</w:t>
            </w:r>
          </w:p>
        </w:tc>
      </w:tr>
      <w:tr w:rsidR="001A0B09" w14:paraId="35BD6178" w14:textId="77777777" w:rsidTr="00454544">
        <w:tc>
          <w:tcPr>
            <w:tcW w:w="756" w:type="dxa"/>
            <w:shd w:val="clear" w:color="auto" w:fill="auto"/>
            <w:vAlign w:val="center"/>
          </w:tcPr>
          <w:p w14:paraId="010165AC" w14:textId="77777777" w:rsidR="001A0B09"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1.1.1.2.3. środki pieniężne należne od państw, wielostronnych banków rozwoju i podmiotów sektora publicznego</w:t>
            </w:r>
          </w:p>
          <w:p w14:paraId="5CB95ACB" w14:textId="548FDFFB" w:rsidR="001A0B09" w:rsidRDefault="00DD4C72">
            <w:pPr>
              <w:spacing w:before="240" w:after="240"/>
              <w:rPr>
                <w:rFonts w:ascii="Times New Roman" w:hAnsi="Times New Roman"/>
                <w:bCs/>
                <w:sz w:val="18"/>
                <w:szCs w:val="18"/>
              </w:rPr>
            </w:pPr>
            <w:r>
              <w:rPr>
                <w:rFonts w:ascii="Times New Roman" w:hAnsi="Times New Roman"/>
                <w:bCs/>
                <w:sz w:val="18"/>
                <w:szCs w:val="18"/>
              </w:rPr>
              <w:t>Art. 32 ust. 3 lit. a) rozporządzenia delegowanego (UE) 2015/61.</w:t>
            </w:r>
          </w:p>
          <w:p w14:paraId="4DDD16B8" w14:textId="2FF53647"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od państw, wielostronnych banków rozwoju i podmiotów sektora publicznego, których rezydualny termin zapadalności jest nie dłuższy niż 30 dni.</w:t>
            </w:r>
          </w:p>
        </w:tc>
      </w:tr>
      <w:tr w:rsidR="001A0B09" w14:paraId="60E01786" w14:textId="77777777" w:rsidTr="00454544">
        <w:tc>
          <w:tcPr>
            <w:tcW w:w="756" w:type="dxa"/>
            <w:shd w:val="clear" w:color="auto" w:fill="auto"/>
            <w:vAlign w:val="center"/>
          </w:tcPr>
          <w:p w14:paraId="3D50FD27" w14:textId="77777777" w:rsidR="001A0B09"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1.1.1.2.4. środki pieniężne należne od innych podmiotów prawnych</w:t>
            </w:r>
          </w:p>
          <w:p w14:paraId="6ACB8013" w14:textId="769D95BF" w:rsidR="001A0B09" w:rsidRDefault="00DD4C72">
            <w:pPr>
              <w:spacing w:before="240" w:after="240"/>
              <w:rPr>
                <w:rFonts w:ascii="Times New Roman" w:hAnsi="Times New Roman"/>
                <w:bCs/>
                <w:sz w:val="18"/>
                <w:szCs w:val="18"/>
              </w:rPr>
            </w:pPr>
            <w:r>
              <w:rPr>
                <w:rFonts w:ascii="Times New Roman" w:hAnsi="Times New Roman"/>
                <w:bCs/>
                <w:sz w:val="18"/>
                <w:szCs w:val="18"/>
              </w:rPr>
              <w:t>Art. 32 ust. 3 lit. a) rozporządzenia delegowanego (UE) 2015/61.</w:t>
            </w:r>
          </w:p>
          <w:p w14:paraId="1BFD562F" w14:textId="6D30103E"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od innych podmiotów prawnych nieuwzględnionych powyżej, których rezydualny termin zapadalności jest nie dłuższy niż 30 dni.</w:t>
            </w:r>
          </w:p>
        </w:tc>
      </w:tr>
      <w:tr w:rsidR="001A0B09" w14:paraId="234A7E3A" w14:textId="77777777" w:rsidTr="00454544">
        <w:tc>
          <w:tcPr>
            <w:tcW w:w="756" w:type="dxa"/>
            <w:shd w:val="clear" w:color="auto" w:fill="auto"/>
            <w:vAlign w:val="center"/>
          </w:tcPr>
          <w:p w14:paraId="0FF35057" w14:textId="77777777" w:rsidR="001A0B09"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1.1.2. środki pieniężne należne od banków centralnych i klientów finansowych</w:t>
            </w:r>
          </w:p>
          <w:p w14:paraId="1F631B5A" w14:textId="3755D185" w:rsidR="001A0B09" w:rsidRDefault="000378A5">
            <w:pPr>
              <w:spacing w:before="240" w:after="240"/>
              <w:rPr>
                <w:rFonts w:ascii="Times New Roman" w:hAnsi="Times New Roman"/>
                <w:bCs/>
                <w:sz w:val="18"/>
                <w:szCs w:val="18"/>
              </w:rPr>
            </w:pPr>
            <w:r>
              <w:rPr>
                <w:rFonts w:ascii="Times New Roman" w:hAnsi="Times New Roman"/>
                <w:bCs/>
                <w:sz w:val="18"/>
                <w:szCs w:val="18"/>
              </w:rPr>
              <w:t>Art. 32 ust. 2 lit. a) i art. 32 ust. 3 lit. d) w związku z art. 27 rozporządzenia delegowanego (UE) 2015/61.</w:t>
            </w:r>
          </w:p>
          <w:p w14:paraId="4ED465DC"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 wierszu 100 w formularzu C 74.00 określonym w załączniku </w:t>
            </w:r>
            <w:r>
              <w:rPr>
                <w:rFonts w:ascii="Times New Roman" w:hAnsi="Times New Roman"/>
                <w:sz w:val="18"/>
                <w:szCs w:val="18"/>
              </w:rPr>
              <w:t>XXIV instytucje kredytowe zgłaszają:</w:t>
            </w:r>
          </w:p>
          <w:p w14:paraId="4554799F"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środków pieniężnych należnych od banków centralnych i klientów finansowych (z depozytów operacyjnych i nieoperacyjnych) oraz</w:t>
            </w:r>
          </w:p>
          <w:p w14:paraId="54CA944A"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sumę wpływów od banków centralnych i klientów finansowych (z depozytów operacyjnych i nieoperacyjnych).</w:t>
            </w:r>
          </w:p>
          <w:p w14:paraId="7AA7B851" w14:textId="67EBFB2E" w:rsidR="001A0B09" w:rsidRDefault="007453EC">
            <w:pPr>
              <w:spacing w:before="240" w:after="240"/>
              <w:rPr>
                <w:rFonts w:ascii="Times New Roman" w:hAnsi="Times New Roman"/>
                <w:bCs/>
                <w:sz w:val="18"/>
                <w:szCs w:val="18"/>
              </w:rPr>
            </w:pPr>
            <w:r>
              <w:rPr>
                <w:rFonts w:ascii="Times New Roman" w:hAnsi="Times New Roman"/>
                <w:bCs/>
                <w:sz w:val="18"/>
                <w:szCs w:val="18"/>
              </w:rPr>
              <w:t>W tej sekcji instytucje kredytowe zgłaszają środki pieniężne należne od banków centralnych i klientów finansowych, których rezydualny termin zapadalności jest nie dłuższy niż 30 dni, które nie są zaległe i w przypadku których bank nie ma powodu oczekiwać niewykonania zobowiązania w perspektywie 30 dni kalendarzowych.</w:t>
            </w:r>
          </w:p>
          <w:p w14:paraId="0F56E8AD"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Środki pieniężne należne od banków centralnych i klientów finansowych nieodpowiadające spłatom </w:t>
            </w:r>
            <w:r>
              <w:rPr>
                <w:rFonts w:ascii="Times New Roman" w:hAnsi="Times New Roman"/>
                <w:bCs/>
                <w:sz w:val="18"/>
                <w:szCs w:val="18"/>
              </w:rPr>
              <w:lastRenderedPageBreak/>
              <w:t>kwoty głównej są zgłaszane w odpowiedniej sekcji.</w:t>
            </w:r>
          </w:p>
          <w:p w14:paraId="1428E208" w14:textId="7253B30E" w:rsidR="001A0B09" w:rsidRDefault="007453EC">
            <w:pPr>
              <w:spacing w:before="240" w:after="240"/>
              <w:rPr>
                <w:rFonts w:ascii="Times New Roman" w:hAnsi="Times New Roman"/>
                <w:bCs/>
                <w:sz w:val="18"/>
                <w:szCs w:val="18"/>
              </w:rPr>
            </w:pPr>
            <w:r>
              <w:rPr>
                <w:rFonts w:ascii="Times New Roman" w:hAnsi="Times New Roman"/>
                <w:bCs/>
                <w:sz w:val="18"/>
                <w:szCs w:val="18"/>
              </w:rPr>
              <w:t>Depozytów w instytucji centralnej, o których mowa w art. 27 ust. 3 rozporządzenia delegowanego (UE) 2015/61, nie zgłasza się jako wpływów.</w:t>
            </w:r>
          </w:p>
          <w:p w14:paraId="7F7414AF"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Środków pieniężnych należnych z tytułu transakcji finansowania handlu, których rezydualny termin zapadalności jest nie dłuższy niż 30 dni, nie zgłasza się w tej pozycji, zgłasza się je natomiast w sekcji 1.1.4. Środków pieniężnych należnych z tytułu papierów wartościowych zapadających w terminie 30 dni kalendarzowych nie zgłasza się w tej pozycji, zgłasza się je natomiast w sekcji 1.1.5.</w:t>
            </w:r>
          </w:p>
        </w:tc>
      </w:tr>
      <w:tr w:rsidR="001A0B09" w14:paraId="1F7C977F" w14:textId="77777777" w:rsidTr="00454544">
        <w:tc>
          <w:tcPr>
            <w:tcW w:w="756" w:type="dxa"/>
            <w:shd w:val="clear" w:color="auto" w:fill="auto"/>
            <w:vAlign w:val="center"/>
          </w:tcPr>
          <w:p w14:paraId="7BD94C43" w14:textId="77777777" w:rsidR="001A0B09" w:rsidRDefault="007453EC">
            <w:pPr>
              <w:jc w:val="left"/>
              <w:rPr>
                <w:rFonts w:ascii="Times New Roman" w:hAnsi="Times New Roman"/>
                <w:sz w:val="18"/>
                <w:szCs w:val="18"/>
              </w:rPr>
            </w:pPr>
            <w:r>
              <w:rPr>
                <w:rFonts w:ascii="Times New Roman" w:hAnsi="Times New Roman"/>
                <w:sz w:val="18"/>
                <w:szCs w:val="18"/>
              </w:rPr>
              <w:lastRenderedPageBreak/>
              <w:t>110</w:t>
            </w:r>
          </w:p>
        </w:tc>
        <w:tc>
          <w:tcPr>
            <w:tcW w:w="7540" w:type="dxa"/>
            <w:shd w:val="clear" w:color="auto" w:fill="auto"/>
            <w:vAlign w:val="center"/>
          </w:tcPr>
          <w:p w14:paraId="5A4F9455"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1.1.2.1. środki pieniężne należne od klientów finansowych klasyfikowane jako depozyty operacyjne</w:t>
            </w:r>
          </w:p>
          <w:p w14:paraId="39FA7398" w14:textId="4770BC57"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d) w związku z art. 27 rozporządzenia delegowanego (UE) 2015/61.</w:t>
            </w:r>
          </w:p>
          <w:p w14:paraId="7AF8F30A"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 wierszu 110 w formularzu C 74.00 określonym w załączniku </w:t>
            </w:r>
            <w:r>
              <w:rPr>
                <w:rFonts w:ascii="Times New Roman" w:hAnsi="Times New Roman"/>
                <w:sz w:val="18"/>
                <w:szCs w:val="18"/>
              </w:rPr>
              <w:t>XXIV instytucje kredytowe zgłaszają:</w:t>
            </w:r>
          </w:p>
          <w:p w14:paraId="3B90C483"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środków pieniężnych należnych od klientów finansowych klasyfikowanych jako depozyty operacyjne (niezależnie od tego, czy instytucja kredytowa jest w stanie ustanowić odpowiadający symetryczny wskaźnik wpływów) oraz</w:t>
            </w:r>
          </w:p>
          <w:p w14:paraId="3BCFB56C"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sumę wpływów od klientów finansowych klasyfikowanych jako depozyty operacyjne (niezależnie od tego, czy instytucja kredytowa jest w stanie ustanowić odpowiadający symetryczny wskaźnik wpływów).</w:t>
            </w:r>
          </w:p>
          <w:p w14:paraId="2A6FD64A" w14:textId="4AF63FB4" w:rsidR="001A0B09" w:rsidRDefault="007453EC">
            <w:pPr>
              <w:spacing w:before="240" w:after="240"/>
              <w:rPr>
                <w:rFonts w:ascii="Times New Roman" w:hAnsi="Times New Roman"/>
                <w:bCs/>
                <w:sz w:val="18"/>
                <w:szCs w:val="18"/>
              </w:rPr>
            </w:pPr>
            <w:r>
              <w:rPr>
                <w:rFonts w:ascii="Times New Roman" w:hAnsi="Times New Roman"/>
                <w:bCs/>
                <w:sz w:val="18"/>
                <w:szCs w:val="18"/>
              </w:rPr>
              <w:t>W tej sekcji instytucje kredytowe zgłaszają środki pieniężne należne od klientów finansowych w celu, dla instytucji kredytowej, skorzystania z usług rozliczeniowych, powierniczych lub zarządzania płynnością zgodnie z art. 27 rozporządzenia delegowanego (UE) 2015/61.</w:t>
            </w:r>
          </w:p>
        </w:tc>
      </w:tr>
      <w:tr w:rsidR="001A0B09" w14:paraId="23028D48" w14:textId="77777777" w:rsidTr="00454544">
        <w:tc>
          <w:tcPr>
            <w:tcW w:w="756" w:type="dxa"/>
            <w:shd w:val="clear" w:color="auto" w:fill="auto"/>
            <w:vAlign w:val="center"/>
          </w:tcPr>
          <w:p w14:paraId="09CCA8F9" w14:textId="77777777" w:rsidR="001A0B09" w:rsidRDefault="007453EC">
            <w:pPr>
              <w:jc w:val="left"/>
              <w:rPr>
                <w:rFonts w:ascii="Times New Roman" w:hAnsi="Times New Roman"/>
                <w:sz w:val="18"/>
                <w:szCs w:val="18"/>
              </w:rPr>
            </w:pPr>
            <w:r>
              <w:rPr>
                <w:rFonts w:ascii="Times New Roman" w:hAnsi="Times New Roman"/>
                <w:sz w:val="18"/>
                <w:szCs w:val="18"/>
              </w:rPr>
              <w:t>120</w:t>
            </w:r>
          </w:p>
        </w:tc>
        <w:tc>
          <w:tcPr>
            <w:tcW w:w="7540" w:type="dxa"/>
            <w:shd w:val="clear" w:color="auto" w:fill="auto"/>
          </w:tcPr>
          <w:p w14:paraId="0B7B1707"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1.1.2.1.1. środki pieniężne należne od klientów finansowych klasyfikowane jako depozyty operacyjne, jeżeli instytucja kredytowa jest w stanie ustanowić odpowiadający symetryczny wskaźnik wpływów</w:t>
            </w:r>
          </w:p>
          <w:p w14:paraId="0C2F0E5C" w14:textId="60B334D3"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d) w związku z art. 27 rozporządzenia delegowanego (UE) 2015/61.</w:t>
            </w:r>
          </w:p>
          <w:p w14:paraId="04469659" w14:textId="55FE77D7"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od klientów finansowych, których rezydualny termin zapadalności jest nie dłuższy niż 30 dni, które zostały złożone w celu skorzystania przez instytucję kredytową z usług rozliczeniowych, powierniczych lub zarządzania płynnością zgodnie z art. 27 rozporządzenia delegowanego (UE) 2015/61, jeżeli instytucja kredytowa jest w stanie ustanowić odpowiadający symetryczny wskaźnik wpływów.</w:t>
            </w:r>
          </w:p>
        </w:tc>
      </w:tr>
      <w:tr w:rsidR="001A0B09" w14:paraId="254AD351" w14:textId="77777777" w:rsidTr="00454544">
        <w:tc>
          <w:tcPr>
            <w:tcW w:w="756" w:type="dxa"/>
            <w:shd w:val="clear" w:color="auto" w:fill="auto"/>
            <w:vAlign w:val="center"/>
          </w:tcPr>
          <w:p w14:paraId="33F2B86E" w14:textId="77777777" w:rsidR="001A0B09"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1.1.2.1.2. środki pieniężne należne od klientów finansowych klasyfikowane jako depozyty operacyjne, jeżeli instytucja kredytowa nie jest w stanie ustanowić odpowiadającego symetrycznego wskaźnika wpływów</w:t>
            </w:r>
          </w:p>
          <w:p w14:paraId="13B37973" w14:textId="573B2BE5"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d) w związku z art. 27 rozporządzenia delegowanego (UE) 2015/61.</w:t>
            </w:r>
          </w:p>
          <w:p w14:paraId="6746E1A1" w14:textId="3E479540"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od klientów finansowych, których rezydualny termin zapadalności jest nie dłuższy niż 30 dni, które zostały złożone w celu skorzystania przez instytucję kredytową z usług rozliczeniowych, powierniczych lub zarządzania płynnością zgodnie z art. 27 rozporządzenia delegowanego (UE) 2015/61, jeżeli instytucja kredytowa nie jest w stanie ustanowić odpowiadającego symetrycznego wskaźnika wpływów.</w:t>
            </w:r>
            <w:r>
              <w:rPr>
                <w:rFonts w:ascii="Times New Roman" w:hAnsi="Times New Roman"/>
                <w:b/>
                <w:sz w:val="18"/>
                <w:szCs w:val="18"/>
              </w:rPr>
              <w:t xml:space="preserve"> </w:t>
            </w:r>
            <w:r>
              <w:rPr>
                <w:rFonts w:ascii="Times New Roman" w:hAnsi="Times New Roman"/>
                <w:bCs/>
                <w:sz w:val="18"/>
                <w:szCs w:val="18"/>
              </w:rPr>
              <w:t>W odniesieniu do tych pozycji stosuje się wskaźnik wpływów w wysokości 5 %.</w:t>
            </w:r>
          </w:p>
        </w:tc>
      </w:tr>
      <w:tr w:rsidR="001A0B09" w14:paraId="45FC0C34" w14:textId="77777777" w:rsidTr="00454544">
        <w:tc>
          <w:tcPr>
            <w:tcW w:w="756" w:type="dxa"/>
            <w:shd w:val="clear" w:color="auto" w:fill="auto"/>
            <w:vAlign w:val="center"/>
          </w:tcPr>
          <w:p w14:paraId="429982EC" w14:textId="77777777" w:rsidR="001A0B09"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1.1.2.2. środki pieniężne należne od banków centralnych i klientów finansowych, których nie klasyfikuje się jako depozyty operacyjne</w:t>
            </w:r>
          </w:p>
          <w:p w14:paraId="4112A8EB" w14:textId="2EDC68EE" w:rsidR="001A0B09" w:rsidRDefault="000378A5">
            <w:pPr>
              <w:spacing w:before="240" w:after="240"/>
              <w:rPr>
                <w:rFonts w:ascii="Times New Roman" w:hAnsi="Times New Roman"/>
                <w:bCs/>
                <w:sz w:val="18"/>
                <w:szCs w:val="18"/>
              </w:rPr>
            </w:pPr>
            <w:r>
              <w:rPr>
                <w:rFonts w:ascii="Times New Roman" w:hAnsi="Times New Roman"/>
                <w:bCs/>
                <w:sz w:val="18"/>
                <w:szCs w:val="18"/>
              </w:rPr>
              <w:lastRenderedPageBreak/>
              <w:t>Art. 32 ust. 2 lit. a) rozporządzenia delegowanego (UE) 2015/61.</w:t>
            </w:r>
          </w:p>
          <w:p w14:paraId="03E726B4"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 wierszu 140 w formularzu C 74.00 określonym w załączniku </w:t>
            </w:r>
            <w:r>
              <w:rPr>
                <w:rFonts w:ascii="Times New Roman" w:hAnsi="Times New Roman"/>
                <w:sz w:val="18"/>
                <w:szCs w:val="18"/>
              </w:rPr>
              <w:t>XXIV instytucje kredytowe zgłaszają:</w:t>
            </w:r>
          </w:p>
          <w:p w14:paraId="55C46702"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środków pieniężnych należnych od banków centralnych i klientów finansowych, których nie klasyfikuje się jako depozyty operacyjne, oraz</w:t>
            </w:r>
          </w:p>
          <w:p w14:paraId="6AB0AA97"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sumę wpływów od banków centralnych i klientów finansowych, których nie klasyfikuje się jako depozyty operacyjne.</w:t>
            </w:r>
          </w:p>
          <w:p w14:paraId="168D4E28" w14:textId="474EE3E0" w:rsidR="001A0B09" w:rsidRDefault="007453EC">
            <w:pPr>
              <w:spacing w:before="240" w:after="240"/>
              <w:rPr>
                <w:rFonts w:ascii="Times New Roman" w:hAnsi="Times New Roman"/>
                <w:b/>
                <w:bCs/>
                <w:sz w:val="18"/>
                <w:szCs w:val="18"/>
              </w:rPr>
            </w:pPr>
            <w:r>
              <w:rPr>
                <w:rFonts w:ascii="Times New Roman" w:hAnsi="Times New Roman"/>
                <w:bCs/>
                <w:sz w:val="18"/>
                <w:szCs w:val="18"/>
              </w:rPr>
              <w:t>W tej sekcji instytucje kredytowe zgłaszają środki pieniężne należne od banków centralnych i klientów finansowych, które nie kwalifikują się do traktowania jako depozyty operacyjne jak określono w art. 32 ust. 3 lit. d) w związku z art. 27 rozporządzenia delegowanego (UE) 2015/61.</w:t>
            </w:r>
          </w:p>
        </w:tc>
      </w:tr>
      <w:tr w:rsidR="001A0B09" w14:paraId="7594C360" w14:textId="77777777" w:rsidTr="00454544">
        <w:tc>
          <w:tcPr>
            <w:tcW w:w="756" w:type="dxa"/>
            <w:shd w:val="clear" w:color="auto" w:fill="auto"/>
            <w:vAlign w:val="center"/>
          </w:tcPr>
          <w:p w14:paraId="716CFF27" w14:textId="77777777" w:rsidR="001A0B09" w:rsidRDefault="007453EC">
            <w:pPr>
              <w:jc w:val="left"/>
              <w:rPr>
                <w:rFonts w:ascii="Times New Roman" w:hAnsi="Times New Roman"/>
                <w:sz w:val="18"/>
                <w:szCs w:val="18"/>
              </w:rPr>
            </w:pPr>
            <w:r>
              <w:rPr>
                <w:rFonts w:ascii="Times New Roman" w:hAnsi="Times New Roman"/>
                <w:sz w:val="18"/>
                <w:szCs w:val="18"/>
              </w:rPr>
              <w:lastRenderedPageBreak/>
              <w:t>150</w:t>
            </w:r>
          </w:p>
        </w:tc>
        <w:tc>
          <w:tcPr>
            <w:tcW w:w="7540" w:type="dxa"/>
            <w:shd w:val="clear" w:color="auto" w:fill="auto"/>
          </w:tcPr>
          <w:p w14:paraId="7D857A51"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1.1.2.2.1. środki pieniężne należne od banków centralnych</w:t>
            </w:r>
          </w:p>
          <w:p w14:paraId="04B27F13" w14:textId="74C8BBC1" w:rsidR="001A0B09" w:rsidRDefault="000378A5">
            <w:pPr>
              <w:spacing w:before="240" w:after="240"/>
              <w:rPr>
                <w:rFonts w:ascii="Times New Roman" w:hAnsi="Times New Roman"/>
                <w:bCs/>
                <w:sz w:val="18"/>
                <w:szCs w:val="18"/>
              </w:rPr>
            </w:pPr>
            <w:r>
              <w:rPr>
                <w:rFonts w:ascii="Times New Roman" w:hAnsi="Times New Roman"/>
                <w:bCs/>
                <w:sz w:val="18"/>
                <w:szCs w:val="18"/>
              </w:rPr>
              <w:t>Art. 32 ust. 2 lit. a) rozporządzenia delegowanego (UE) 2015/61.</w:t>
            </w:r>
          </w:p>
          <w:p w14:paraId="4EC1A2F0" w14:textId="1B2DC25D"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od banków centralnych, których rezydualny termin zapadalności jest nie dłuższy niż 30 dni, zgodnie z art. 32 ust. 2 lit. a) rozporządzenia delegowanego (UE) 2015/61.</w:t>
            </w:r>
          </w:p>
        </w:tc>
      </w:tr>
      <w:tr w:rsidR="001A0B09" w14:paraId="28E93580" w14:textId="77777777" w:rsidTr="00454544">
        <w:tc>
          <w:tcPr>
            <w:tcW w:w="756" w:type="dxa"/>
            <w:shd w:val="clear" w:color="auto" w:fill="auto"/>
            <w:vAlign w:val="center"/>
          </w:tcPr>
          <w:p w14:paraId="6718332F" w14:textId="77777777" w:rsidR="001A0B09" w:rsidRDefault="007453EC">
            <w:pPr>
              <w:jc w:val="left"/>
              <w:rPr>
                <w:rFonts w:ascii="Times New Roman" w:hAnsi="Times New Roman"/>
                <w:sz w:val="18"/>
                <w:szCs w:val="18"/>
              </w:rPr>
            </w:pPr>
            <w:r>
              <w:rPr>
                <w:rFonts w:ascii="Times New Roman" w:hAnsi="Times New Roman"/>
                <w:sz w:val="18"/>
                <w:szCs w:val="18"/>
              </w:rPr>
              <w:t>160</w:t>
            </w:r>
          </w:p>
        </w:tc>
        <w:tc>
          <w:tcPr>
            <w:tcW w:w="7540" w:type="dxa"/>
            <w:shd w:val="clear" w:color="auto" w:fill="auto"/>
          </w:tcPr>
          <w:p w14:paraId="26706EE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1.1.2.2.2. środki pieniężne należne od klientów finansowych</w:t>
            </w:r>
          </w:p>
          <w:p w14:paraId="425BBC82" w14:textId="48F198E9" w:rsidR="001A0B09" w:rsidRDefault="000378A5">
            <w:pPr>
              <w:spacing w:before="240" w:after="240"/>
              <w:rPr>
                <w:rFonts w:ascii="Times New Roman" w:hAnsi="Times New Roman"/>
                <w:bCs/>
                <w:sz w:val="18"/>
                <w:szCs w:val="18"/>
              </w:rPr>
            </w:pPr>
            <w:r>
              <w:rPr>
                <w:rFonts w:ascii="Times New Roman" w:hAnsi="Times New Roman"/>
                <w:bCs/>
                <w:sz w:val="18"/>
                <w:szCs w:val="18"/>
              </w:rPr>
              <w:t>Art. 32 ust. 2 lit. a) rozporządzenia delegowanego (UE) 2015/61.</w:t>
            </w:r>
          </w:p>
          <w:p w14:paraId="545B953A" w14:textId="1F87FB0E" w:rsidR="001A0B09" w:rsidRDefault="007453EC">
            <w:pPr>
              <w:spacing w:before="240" w:after="240"/>
              <w:rPr>
                <w:rFonts w:ascii="Times New Roman" w:hAnsi="Times New Roman"/>
                <w:bCs/>
                <w:sz w:val="18"/>
                <w:szCs w:val="18"/>
              </w:rPr>
            </w:pPr>
            <w:r>
              <w:rPr>
                <w:rFonts w:ascii="Times New Roman" w:hAnsi="Times New Roman"/>
                <w:bCs/>
                <w:sz w:val="18"/>
                <w:szCs w:val="18"/>
              </w:rPr>
              <w:t>Środki pieniężne należne od klientów finansowych, których rezydualny termin zapadalności jest nie dłuższy niż 30 dni i które nie kwalifikują się do traktowania jako depozyty operacyjne jak określono w art. 32 ust. 3 lit. d) w związku z art. 27 rozporządzenia delegowanego (UE) 2015/61.</w:t>
            </w:r>
          </w:p>
          <w:p w14:paraId="5878AF48" w14:textId="3EB7084D" w:rsidR="001A0B09" w:rsidRDefault="007453EC">
            <w:pPr>
              <w:spacing w:before="240" w:after="240"/>
              <w:rPr>
                <w:rFonts w:ascii="Times New Roman" w:hAnsi="Times New Roman"/>
                <w:b/>
                <w:bCs/>
                <w:sz w:val="18"/>
                <w:szCs w:val="18"/>
              </w:rPr>
            </w:pPr>
            <w:r>
              <w:rPr>
                <w:rFonts w:ascii="Times New Roman" w:hAnsi="Times New Roman"/>
                <w:bCs/>
                <w:sz w:val="18"/>
                <w:szCs w:val="18"/>
              </w:rPr>
              <w:t>Wpływów odpowiadających wypływom zgodnie ze zobowiązaniami do udzielenia kredytu preferencyjnego, o którym mowa w art. 31 ust. 9 rozporządzenia delegowanego (UE) 2015/61, nie zgłasza się w tej pozycji, zgłasza się je natomiast w sekcji 1.1.3.</w:t>
            </w:r>
          </w:p>
        </w:tc>
      </w:tr>
      <w:tr w:rsidR="001A0B09" w14:paraId="79FBE8F2" w14:textId="77777777" w:rsidTr="00454544">
        <w:tc>
          <w:tcPr>
            <w:tcW w:w="756" w:type="dxa"/>
            <w:shd w:val="clear" w:color="auto" w:fill="auto"/>
            <w:vAlign w:val="center"/>
          </w:tcPr>
          <w:p w14:paraId="15B628E6" w14:textId="77777777" w:rsidR="001A0B09" w:rsidRDefault="007453EC">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1A0B09" w:rsidRDefault="007453EC">
            <w:pPr>
              <w:rPr>
                <w:rFonts w:ascii="Times New Roman" w:hAnsi="Times New Roman"/>
                <w:b/>
                <w:bCs/>
                <w:sz w:val="18"/>
                <w:szCs w:val="18"/>
              </w:rPr>
            </w:pPr>
            <w:r>
              <w:rPr>
                <w:rFonts w:ascii="Times New Roman" w:hAnsi="Times New Roman"/>
                <w:b/>
                <w:bCs/>
                <w:sz w:val="18"/>
                <w:szCs w:val="18"/>
              </w:rPr>
              <w:t>1.1.3. wpływy odpowiadające wypływom wynikającym ze zobowiązań do udzielenia kredytu preferencyjnego, o którym mowa w art. 31 ust. 9 rozporządzenia delegowanego (UE) 2015/61.</w:t>
            </w:r>
          </w:p>
          <w:p w14:paraId="5BE94286" w14:textId="4CA5E7E2"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a) rozporządzenia delegowanego (UE) 2015/61.</w:t>
            </w:r>
          </w:p>
          <w:p w14:paraId="1EA9FA81" w14:textId="13BDA3FE" w:rsidR="001A0B09" w:rsidRDefault="007453EC">
            <w:pPr>
              <w:spacing w:before="240" w:after="240"/>
              <w:rPr>
                <w:rFonts w:ascii="Times New Roman" w:hAnsi="Times New Roman"/>
                <w:bCs/>
                <w:sz w:val="18"/>
                <w:szCs w:val="18"/>
              </w:rPr>
            </w:pPr>
            <w:r>
              <w:rPr>
                <w:rFonts w:ascii="Times New Roman" w:hAnsi="Times New Roman"/>
                <w:bCs/>
                <w:sz w:val="18"/>
                <w:szCs w:val="18"/>
              </w:rPr>
              <w:t>Wpływy odpowiadające wypływom wynikającym ze zobowiązań do udzielenia kredytu preferencyjnego, o którym mowa w art. 31 ust. 9 rozporządzenia delegowanego (UE) 2015/61.</w:t>
            </w:r>
          </w:p>
        </w:tc>
      </w:tr>
      <w:tr w:rsidR="001A0B09" w14:paraId="67304281" w14:textId="77777777" w:rsidTr="00454544">
        <w:tc>
          <w:tcPr>
            <w:tcW w:w="756" w:type="dxa"/>
            <w:shd w:val="clear" w:color="auto" w:fill="auto"/>
            <w:vAlign w:val="center"/>
          </w:tcPr>
          <w:p w14:paraId="5024940F" w14:textId="77777777" w:rsidR="001A0B09"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1.1.4. środki pieniężne należne z tytułu transakcji finansowania handlu</w:t>
            </w:r>
          </w:p>
          <w:p w14:paraId="07856EB7" w14:textId="25AE3391" w:rsidR="001A0B09" w:rsidRDefault="000378A5">
            <w:pPr>
              <w:spacing w:before="240" w:after="240"/>
              <w:rPr>
                <w:rFonts w:ascii="Times New Roman" w:hAnsi="Times New Roman"/>
                <w:bCs/>
                <w:sz w:val="18"/>
                <w:szCs w:val="18"/>
              </w:rPr>
            </w:pPr>
            <w:r>
              <w:rPr>
                <w:rFonts w:ascii="Times New Roman" w:hAnsi="Times New Roman"/>
                <w:bCs/>
                <w:sz w:val="18"/>
                <w:szCs w:val="18"/>
              </w:rPr>
              <w:t>Art. 32 ust. 2 lit. b) rozporządzenia delegowanego (UE) 2015/61</w:t>
            </w:r>
          </w:p>
          <w:p w14:paraId="24F50792" w14:textId="3C40DCB3"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z tytułu transakcji finansowania handlu, których rezydualny termin zapadalności jest nie dłuższy niż 30 dni, zgodnie z art. 32 ust. 2 lit. b) rozporządzenia delegowanego (UE) 2015/61.</w:t>
            </w:r>
          </w:p>
        </w:tc>
      </w:tr>
      <w:tr w:rsidR="001A0B09" w14:paraId="3E521F84" w14:textId="77777777" w:rsidTr="00454544">
        <w:tc>
          <w:tcPr>
            <w:tcW w:w="756" w:type="dxa"/>
            <w:shd w:val="clear" w:color="auto" w:fill="auto"/>
            <w:vAlign w:val="center"/>
          </w:tcPr>
          <w:p w14:paraId="4174403B" w14:textId="77777777" w:rsidR="001A0B09"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1A0B09" w:rsidRDefault="007453EC">
            <w:pPr>
              <w:rPr>
                <w:rFonts w:ascii="Times New Roman" w:hAnsi="Times New Roman"/>
                <w:b/>
                <w:bCs/>
                <w:sz w:val="18"/>
                <w:szCs w:val="18"/>
              </w:rPr>
            </w:pPr>
            <w:r>
              <w:rPr>
                <w:rFonts w:ascii="Times New Roman" w:hAnsi="Times New Roman"/>
                <w:b/>
                <w:bCs/>
                <w:sz w:val="18"/>
                <w:szCs w:val="18"/>
              </w:rPr>
              <w:t>1.1.5. środki pieniężne należne z tytułu papierów wartościowych, których termin zapadalności upływa w ciągu 30 dni</w:t>
            </w:r>
          </w:p>
          <w:p w14:paraId="20BF47DF" w14:textId="30C33678" w:rsidR="001A0B09" w:rsidRDefault="000378A5">
            <w:pPr>
              <w:spacing w:before="240" w:after="240"/>
              <w:rPr>
                <w:rFonts w:ascii="Times New Roman" w:hAnsi="Times New Roman"/>
                <w:bCs/>
                <w:sz w:val="18"/>
                <w:szCs w:val="18"/>
              </w:rPr>
            </w:pPr>
            <w:r>
              <w:rPr>
                <w:rFonts w:ascii="Times New Roman" w:hAnsi="Times New Roman"/>
                <w:bCs/>
                <w:sz w:val="18"/>
                <w:szCs w:val="18"/>
              </w:rPr>
              <w:t>Art. 32 ust. 2 lit. c) rozporządzenia delegowanego (UE) 2015/61</w:t>
            </w:r>
          </w:p>
          <w:p w14:paraId="653506C8" w14:textId="39AAEB2A" w:rsidR="001A0B09" w:rsidRDefault="007453EC">
            <w:pPr>
              <w:spacing w:before="240" w:after="240"/>
              <w:rPr>
                <w:rFonts w:ascii="Times New Roman" w:hAnsi="Times New Roman"/>
                <w:b/>
                <w:bCs/>
                <w:sz w:val="18"/>
                <w:szCs w:val="18"/>
              </w:rPr>
            </w:pPr>
            <w:r>
              <w:rPr>
                <w:rFonts w:ascii="Times New Roman" w:hAnsi="Times New Roman"/>
                <w:bCs/>
                <w:sz w:val="18"/>
                <w:szCs w:val="18"/>
              </w:rPr>
              <w:t xml:space="preserve">Środki pieniężne należne z tytułu papierów wartościowych, których termin zapadalności upływa w ciągu 30 dni kalendarzowych zgodnie z art. 32 ust. 2 lit. c) rozporządzenia delegowanego (UE) </w:t>
            </w:r>
            <w:r>
              <w:rPr>
                <w:rFonts w:ascii="Times New Roman" w:hAnsi="Times New Roman"/>
                <w:bCs/>
                <w:sz w:val="18"/>
                <w:szCs w:val="18"/>
              </w:rPr>
              <w:lastRenderedPageBreak/>
              <w:t>2015/61.</w:t>
            </w:r>
          </w:p>
        </w:tc>
      </w:tr>
      <w:tr w:rsidR="001A0B09" w14:paraId="609F2B9B" w14:textId="77777777" w:rsidTr="00454544">
        <w:tc>
          <w:tcPr>
            <w:tcW w:w="756" w:type="dxa"/>
            <w:shd w:val="clear" w:color="auto" w:fill="auto"/>
            <w:vAlign w:val="center"/>
          </w:tcPr>
          <w:p w14:paraId="6F8FE444" w14:textId="6D0C6DB1" w:rsidR="001A0B09" w:rsidRDefault="007453EC">
            <w:pPr>
              <w:jc w:val="left"/>
              <w:rPr>
                <w:rFonts w:ascii="Times New Roman" w:hAnsi="Times New Roman"/>
                <w:sz w:val="18"/>
                <w:szCs w:val="18"/>
              </w:rPr>
            </w:pPr>
            <w:r>
              <w:rPr>
                <w:rFonts w:ascii="Times New Roman" w:hAnsi="Times New Roman"/>
                <w:sz w:val="18"/>
                <w:szCs w:val="18"/>
              </w:rPr>
              <w:lastRenderedPageBreak/>
              <w:t>201</w:t>
            </w:r>
          </w:p>
        </w:tc>
        <w:tc>
          <w:tcPr>
            <w:tcW w:w="7540" w:type="dxa"/>
            <w:shd w:val="clear" w:color="auto" w:fill="auto"/>
            <w:vAlign w:val="center"/>
          </w:tcPr>
          <w:p w14:paraId="7E34F252" w14:textId="2CF0CA1A" w:rsidR="001A0B09" w:rsidRDefault="007453EC">
            <w:pPr>
              <w:spacing w:before="240" w:after="240"/>
              <w:rPr>
                <w:rFonts w:ascii="Times New Roman" w:hAnsi="Times New Roman"/>
                <w:b/>
                <w:bCs/>
                <w:sz w:val="18"/>
                <w:szCs w:val="18"/>
              </w:rPr>
            </w:pPr>
            <w:r>
              <w:rPr>
                <w:rFonts w:ascii="Times New Roman" w:hAnsi="Times New Roman"/>
                <w:b/>
                <w:bCs/>
                <w:sz w:val="18"/>
                <w:szCs w:val="18"/>
              </w:rPr>
              <w:t>1.1.6. kredyty, których termin zapadalności nie został określony w umowie</w:t>
            </w:r>
          </w:p>
          <w:p w14:paraId="50412A1A" w14:textId="711B8B54"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i) rozporządzenia delegowanego (UE) 2015/61.</w:t>
            </w:r>
          </w:p>
          <w:p w14:paraId="6EF8FA17" w14:textId="18CEC767" w:rsidR="001A0B09" w:rsidRDefault="007453EC">
            <w:pPr>
              <w:spacing w:before="240" w:after="240"/>
              <w:rPr>
                <w:rFonts w:ascii="Times New Roman" w:hAnsi="Times New Roman"/>
                <w:b/>
                <w:bCs/>
                <w:sz w:val="18"/>
              </w:rPr>
            </w:pPr>
            <w:r>
              <w:rPr>
                <w:rFonts w:ascii="Times New Roman" w:hAnsi="Times New Roman"/>
                <w:bCs/>
                <w:sz w:val="18"/>
                <w:szCs w:val="18"/>
              </w:rPr>
              <w:t>Kredyty, których termin zapadalności nie został określony w umowie zgodnie z art. 32 ust. 3 lit. i) rozporządzenia delegowanego (UE) 2015/61. Instytucja kredytowa uwzględnia jedynie te kredyty, w przypadku których w umowie umożliwia się instytucji kredytowej wycofanie lub wyegzekwowanie płatności w ciągu 30 dni kalendarzowych. Odsetki i minimalne spłaty, którymi zostanie obciążony rachunek klienta w ciągu 30 dni kalendarzowych, uwzględnia się w zgłoszonej kwocie. Odsetki i minimalne spłaty z kredytów, których termin zapadalności nie został określony w umowie, które stają się wymagalne na mocy umowy i które skutkują faktycznymi wpływami pieniężnymi w ciągu najbliższych 30 dni kalendarzowych uznaje się za należne środki pieniężne i zgłasza w odpowiednim wierszu zgodnie ze sposobem traktowania określonym w art. 32 w odniesieniu do należnych środków pieniężnych. Instytucje kredytowe nie zgłaszają innych naliczonych odsetek, którymi nie zostanie obciążony rachunek klienta ani które nie doprowadzą do faktycznych wpływów pieniężnych w ciągu 30 najbliższych dni kalendarzowych.</w:t>
            </w:r>
          </w:p>
        </w:tc>
      </w:tr>
      <w:tr w:rsidR="001A0B09" w14:paraId="0F96184A" w14:textId="77777777" w:rsidTr="00454544">
        <w:tc>
          <w:tcPr>
            <w:tcW w:w="756" w:type="dxa"/>
            <w:shd w:val="clear" w:color="auto" w:fill="auto"/>
            <w:vAlign w:val="center"/>
          </w:tcPr>
          <w:p w14:paraId="5558BED6" w14:textId="77777777" w:rsidR="001A0B09"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1.1.7. środki pieniężne należne z tytułu pozycji w instrumentach kapitałowych objętych głównym indeksem, pod warunkiem że nie są zgłoszone jako aktywa płynne</w:t>
            </w:r>
          </w:p>
          <w:p w14:paraId="6EFECAA7" w14:textId="41986F3F" w:rsidR="001A0B09" w:rsidRDefault="000378A5">
            <w:pPr>
              <w:spacing w:before="240" w:after="240"/>
              <w:rPr>
                <w:rFonts w:ascii="Times New Roman" w:hAnsi="Times New Roman"/>
                <w:bCs/>
                <w:sz w:val="18"/>
                <w:szCs w:val="18"/>
              </w:rPr>
            </w:pPr>
            <w:r>
              <w:rPr>
                <w:rFonts w:ascii="Times New Roman" w:hAnsi="Times New Roman"/>
                <w:bCs/>
                <w:sz w:val="18"/>
                <w:szCs w:val="18"/>
              </w:rPr>
              <w:t>Art. 32 ust. 2 lit. d) rozporządzenia delegowanego (UE) 2015/61.</w:t>
            </w:r>
          </w:p>
          <w:p w14:paraId="3FB14AF9" w14:textId="5F6008BB" w:rsidR="001A0B09" w:rsidRDefault="007453EC">
            <w:pPr>
              <w:spacing w:before="240" w:after="240"/>
              <w:rPr>
                <w:rFonts w:ascii="Times New Roman" w:hAnsi="Times New Roman"/>
                <w:b/>
                <w:bCs/>
                <w:sz w:val="18"/>
                <w:szCs w:val="18"/>
              </w:rPr>
            </w:pPr>
            <w:r>
              <w:rPr>
                <w:rFonts w:ascii="Times New Roman" w:hAnsi="Times New Roman"/>
                <w:bCs/>
                <w:sz w:val="18"/>
                <w:szCs w:val="18"/>
              </w:rPr>
              <w:t>Środki pieniężne należne z tytułu pozycji w instrumentach kapitałowych objętych głównym indeksem, pod warunkiem że nie występuje podwójne naliczanie z aktywami płynnymi zgodnie z art. 32 ust. 2 lit. d) rozporządzenia delegowanego (UE) 2015/61. Pozycja obejmuje środki pieniężne wymagane zgodnie z umową w ciągu 30 dni kalendarzowych, takie jak dywidendy pieniężne od głównych indeksów i środki pieniężne należne z tytułu instrumentów kapitałowych sprzedanych, ale jeszcze nierozliczonych, o ile nie uznaje się ich za aktywa płynne zgodnie z tytułem II rozporządzenia delegowanego (UE) 2015/61.</w:t>
            </w:r>
          </w:p>
        </w:tc>
      </w:tr>
      <w:tr w:rsidR="001A0B09" w14:paraId="2B10E917" w14:textId="77777777" w:rsidTr="00454544">
        <w:tc>
          <w:tcPr>
            <w:tcW w:w="756" w:type="dxa"/>
            <w:shd w:val="clear" w:color="auto" w:fill="auto"/>
            <w:vAlign w:val="center"/>
          </w:tcPr>
          <w:p w14:paraId="2AD6B757" w14:textId="77777777" w:rsidR="001A0B09" w:rsidRDefault="007453EC">
            <w:pPr>
              <w:jc w:val="left"/>
              <w:rPr>
                <w:rFonts w:ascii="Times New Roman" w:hAnsi="Times New Roman"/>
                <w:sz w:val="18"/>
                <w:szCs w:val="18"/>
              </w:rPr>
            </w:pPr>
            <w:r>
              <w:rPr>
                <w:rFonts w:ascii="Times New Roman" w:hAnsi="Times New Roman"/>
                <w:sz w:val="18"/>
                <w:szCs w:val="18"/>
              </w:rPr>
              <w:t>230</w:t>
            </w:r>
          </w:p>
        </w:tc>
        <w:tc>
          <w:tcPr>
            <w:tcW w:w="7540" w:type="dxa"/>
            <w:shd w:val="clear" w:color="auto" w:fill="auto"/>
            <w:vAlign w:val="center"/>
          </w:tcPr>
          <w:p w14:paraId="0A443FE1" w14:textId="3DD7455C" w:rsidR="001A0B09" w:rsidRDefault="007453EC">
            <w:pPr>
              <w:spacing w:before="240" w:after="240"/>
              <w:rPr>
                <w:rFonts w:ascii="Times New Roman" w:hAnsi="Times New Roman"/>
                <w:b/>
                <w:bCs/>
                <w:sz w:val="18"/>
                <w:szCs w:val="18"/>
              </w:rPr>
            </w:pPr>
            <w:r>
              <w:rPr>
                <w:rFonts w:ascii="Times New Roman" w:hAnsi="Times New Roman"/>
                <w:b/>
                <w:bCs/>
                <w:sz w:val="18"/>
                <w:szCs w:val="18"/>
              </w:rPr>
              <w:t>1.1.8. wpływy z uwolnionych kwot posiadanych na oddzielnych rachunkach zgodnie z wymogami regulacyjnymi w zakresie ochrony aktywów klienta przeznaczonych do obrotu</w:t>
            </w:r>
          </w:p>
          <w:p w14:paraId="775341D9" w14:textId="023BC8E7" w:rsidR="001A0B09" w:rsidRDefault="007453EC">
            <w:pPr>
              <w:spacing w:before="240" w:after="240"/>
              <w:rPr>
                <w:rFonts w:ascii="Times New Roman" w:hAnsi="Times New Roman"/>
                <w:bCs/>
                <w:sz w:val="18"/>
                <w:szCs w:val="18"/>
              </w:rPr>
            </w:pPr>
            <w:r>
              <w:rPr>
                <w:rFonts w:ascii="Times New Roman" w:hAnsi="Times New Roman"/>
                <w:bCs/>
                <w:sz w:val="18"/>
                <w:szCs w:val="18"/>
              </w:rPr>
              <w:t>Art. 32 ust. 4 rozporządzenia delegowanego (UE) 2015/61.</w:t>
            </w:r>
          </w:p>
          <w:p w14:paraId="50121AFE" w14:textId="4A96E6A9" w:rsidR="001A0B09" w:rsidRDefault="007453EC">
            <w:pPr>
              <w:spacing w:before="240" w:after="240"/>
              <w:rPr>
                <w:rFonts w:ascii="Times New Roman" w:hAnsi="Times New Roman"/>
                <w:bCs/>
                <w:sz w:val="18"/>
                <w:szCs w:val="18"/>
              </w:rPr>
            </w:pPr>
            <w:r>
              <w:rPr>
                <w:rFonts w:ascii="Times New Roman" w:hAnsi="Times New Roman"/>
                <w:bCs/>
                <w:sz w:val="18"/>
                <w:szCs w:val="18"/>
              </w:rPr>
              <w:t>Wpływy z uwolnionych kwot posiadanych na oddzielnych rachunkach zgodnie z wymogami regulacyjnymi w zakresie ochrony aktywów klienta przeznaczonych do obrotu zgodnie z art. 32 ust. 4 rozporządzenia delegowanego (UE) 2015/61.</w:t>
            </w:r>
          </w:p>
          <w:p w14:paraId="61A2512C" w14:textId="37159C83" w:rsidR="001A0B09" w:rsidRDefault="007453EC">
            <w:pPr>
              <w:spacing w:before="240" w:after="240"/>
              <w:rPr>
                <w:rFonts w:ascii="Times New Roman" w:hAnsi="Times New Roman"/>
                <w:b/>
                <w:bCs/>
                <w:sz w:val="18"/>
                <w:szCs w:val="18"/>
              </w:rPr>
            </w:pPr>
            <w:r>
              <w:rPr>
                <w:rFonts w:ascii="Times New Roman" w:hAnsi="Times New Roman"/>
                <w:bCs/>
                <w:sz w:val="18"/>
                <w:szCs w:val="18"/>
              </w:rPr>
              <w:t>Wpływy uznaje się jedynie wtedy, gdy wspomniane kwoty są utrzymywane w postaci aktywów płynnych zgodnie z tytułem II rozporządzenia delegowanego (UE) 2015/61.</w:t>
            </w:r>
          </w:p>
        </w:tc>
      </w:tr>
      <w:tr w:rsidR="001A0B09" w14:paraId="5F0019D0" w14:textId="77777777" w:rsidTr="00454544">
        <w:tc>
          <w:tcPr>
            <w:tcW w:w="756" w:type="dxa"/>
            <w:shd w:val="clear" w:color="auto" w:fill="auto"/>
            <w:vAlign w:val="center"/>
          </w:tcPr>
          <w:p w14:paraId="42CAE49B" w14:textId="77777777" w:rsidR="001A0B09"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1A0B09" w:rsidRDefault="007453EC">
            <w:pPr>
              <w:spacing w:before="240" w:after="240"/>
              <w:rPr>
                <w:rFonts w:ascii="Times New Roman" w:hAnsi="Times New Roman"/>
                <w:b/>
                <w:bCs/>
                <w:sz w:val="18"/>
                <w:szCs w:val="18"/>
              </w:rPr>
            </w:pPr>
            <w:r>
              <w:rPr>
                <w:rFonts w:ascii="Times New Roman" w:hAnsi="Times New Roman"/>
                <w:b/>
                <w:bCs/>
                <w:sz w:val="18"/>
                <w:szCs w:val="18"/>
              </w:rPr>
              <w:t>1.1.9. wpływy z tytułu instrumentów pochodnych</w:t>
            </w:r>
          </w:p>
          <w:p w14:paraId="2B565980" w14:textId="5322282D" w:rsidR="001A0B09" w:rsidRDefault="007453EC">
            <w:pPr>
              <w:spacing w:before="240" w:after="240"/>
              <w:rPr>
                <w:rFonts w:ascii="Times New Roman" w:hAnsi="Times New Roman"/>
                <w:bCs/>
                <w:sz w:val="18"/>
                <w:szCs w:val="18"/>
              </w:rPr>
            </w:pPr>
            <w:r>
              <w:rPr>
                <w:rFonts w:ascii="Times New Roman" w:hAnsi="Times New Roman"/>
                <w:bCs/>
                <w:sz w:val="18"/>
                <w:szCs w:val="18"/>
              </w:rPr>
              <w:t>Art. 32 ust. 5 w powiązaniu z art. 21 rozporządzenia delegowanego (UE) 2015/61.</w:t>
            </w:r>
          </w:p>
          <w:p w14:paraId="2AB45F97" w14:textId="4BD3B8B3" w:rsidR="001A0B09" w:rsidRDefault="007453EC">
            <w:pPr>
              <w:spacing w:before="240" w:after="240"/>
              <w:rPr>
                <w:rFonts w:ascii="Times New Roman" w:hAnsi="Times New Roman"/>
                <w:bCs/>
                <w:sz w:val="18"/>
                <w:szCs w:val="18"/>
              </w:rPr>
            </w:pPr>
            <w:r>
              <w:rPr>
                <w:rFonts w:ascii="Times New Roman" w:hAnsi="Times New Roman"/>
                <w:bCs/>
                <w:sz w:val="18"/>
                <w:szCs w:val="18"/>
              </w:rPr>
              <w:t>Wpływy środków pieniężnych oczekiwane w perspektywie 30 dni kalendarzowych z tytułu umów wymienionych w załączniku II do rozporządzenia (UE) nr 575/2013 i kredytowych instrumentów pochodnych.</w:t>
            </w:r>
          </w:p>
          <w:p w14:paraId="498479E7" w14:textId="3293DB26" w:rsidR="001A0B09" w:rsidRDefault="007453EC">
            <w:pPr>
              <w:spacing w:before="240" w:after="240"/>
              <w:rPr>
                <w:rFonts w:ascii="Times New Roman" w:hAnsi="Times New Roman"/>
                <w:bCs/>
                <w:sz w:val="18"/>
                <w:szCs w:val="18"/>
              </w:rPr>
            </w:pPr>
            <w:r>
              <w:rPr>
                <w:rFonts w:ascii="Times New Roman" w:hAnsi="Times New Roman"/>
                <w:bCs/>
                <w:sz w:val="18"/>
                <w:szCs w:val="18"/>
              </w:rPr>
              <w:t>Instytucja kredytowa oblicza wpływy oczekiwane w ciągu 30 dni kalendarzowych w kwocie netto, w podziale na kontrahentów, na podstawie dwustronnych umów o kompensowaniu zobowiązań zgodnie z art. 295 rozporządzenia (UE) nr 575/2013. W kwocie netto oznacza również po pomniejszeniu o wartość otrzymanego zabezpieczenia, pod warunkiem że kwalifikuje się ono jako składnik aktywów płynnych zgodnie z tytułem II rozporządzenia delegowanego (UE) 2015/61.</w:t>
            </w:r>
          </w:p>
          <w:p w14:paraId="7A456C61"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Wypływy i wpływy środków pieniężnych wynikające z transakcji na walutowych instrumentach pochodnych lub z kredytowych transakcji pochodnych, które zakładają pełną, jednoczesną (lub w </w:t>
            </w:r>
            <w:r>
              <w:rPr>
                <w:rFonts w:ascii="Times New Roman" w:hAnsi="Times New Roman"/>
                <w:bCs/>
                <w:sz w:val="18"/>
                <w:szCs w:val="18"/>
              </w:rPr>
              <w:lastRenderedPageBreak/>
              <w:t>ciągu tego samego dnia) wymianę kwot głównych, oblicza się w ujęciu netto, nawet wówczas, gdy transakcje te nie są objęte dwustronną umową o kompensowaniu zobowiązań.</w:t>
            </w:r>
          </w:p>
          <w:p w14:paraId="545BC0CB" w14:textId="5C31DEF7" w:rsidR="001A0B09" w:rsidRDefault="007453EC">
            <w:pPr>
              <w:spacing w:before="240" w:after="240"/>
              <w:rPr>
                <w:rFonts w:ascii="Times New Roman" w:hAnsi="Times New Roman"/>
                <w:bCs/>
                <w:sz w:val="18"/>
                <w:szCs w:val="18"/>
              </w:rPr>
            </w:pPr>
            <w:r>
              <w:rPr>
                <w:rFonts w:ascii="Times New Roman" w:hAnsi="Times New Roman"/>
                <w:sz w:val="18"/>
                <w:szCs w:val="18"/>
              </w:rPr>
              <w:t>W przypadku sprawozdawczości podlegającej oddzielnym wymogom sprawozdawczym zgodnie z art. 415 ust. 2 rozporządzenia (UE) nr 575/2013 transakcje pochodne</w:t>
            </w:r>
            <w:r>
              <w:rPr>
                <w:rFonts w:ascii="Times New Roman" w:hAnsi="Times New Roman"/>
                <w:bCs/>
                <w:sz w:val="18"/>
                <w:szCs w:val="18"/>
              </w:rPr>
              <w:t xml:space="preserve"> lub kredytowe transakcje pochodne są rozdzielane na poszczególne waluty. Kompensowanie w ramach kontrahenta można stosować wyłącznie do przepływów w danej walucie.</w:t>
            </w:r>
          </w:p>
        </w:tc>
      </w:tr>
      <w:tr w:rsidR="001A0B09" w14:paraId="1249D99D" w14:textId="77777777" w:rsidTr="00454544">
        <w:tc>
          <w:tcPr>
            <w:tcW w:w="756" w:type="dxa"/>
            <w:shd w:val="clear" w:color="auto" w:fill="auto"/>
            <w:vAlign w:val="center"/>
          </w:tcPr>
          <w:p w14:paraId="21EB3A40" w14:textId="77777777" w:rsidR="001A0B09" w:rsidRDefault="007453EC">
            <w:pPr>
              <w:jc w:val="left"/>
              <w:rPr>
                <w:rFonts w:ascii="Times New Roman" w:hAnsi="Times New Roman"/>
                <w:sz w:val="18"/>
                <w:szCs w:val="18"/>
              </w:rPr>
            </w:pPr>
            <w:r>
              <w:rPr>
                <w:rFonts w:ascii="Times New Roman" w:hAnsi="Times New Roman"/>
                <w:sz w:val="18"/>
                <w:szCs w:val="18"/>
              </w:rPr>
              <w:lastRenderedPageBreak/>
              <w:t>250</w:t>
            </w:r>
          </w:p>
        </w:tc>
        <w:tc>
          <w:tcPr>
            <w:tcW w:w="7540" w:type="dxa"/>
            <w:shd w:val="clear" w:color="auto" w:fill="auto"/>
            <w:vAlign w:val="center"/>
          </w:tcPr>
          <w:p w14:paraId="58265C20" w14:textId="00438872" w:rsidR="001A0B09" w:rsidRDefault="007453EC">
            <w:pPr>
              <w:spacing w:before="240" w:after="240"/>
              <w:rPr>
                <w:rFonts w:ascii="Times New Roman" w:hAnsi="Times New Roman"/>
                <w:b/>
                <w:bCs/>
                <w:sz w:val="18"/>
                <w:szCs w:val="18"/>
              </w:rPr>
            </w:pPr>
            <w:r>
              <w:rPr>
                <w:rFonts w:ascii="Times New Roman" w:hAnsi="Times New Roman"/>
                <w:b/>
                <w:bCs/>
                <w:sz w:val="18"/>
                <w:szCs w:val="18"/>
              </w:rPr>
              <w:t>1.1.10. wpływy z niewykorzystanych instrumentów kredytowych lub instrumentów wsparcia płynności otrzymanych od członków grupy lub instytucjonalnego systemu ochrony, jeżeli właściwe organy wyraziły zgodę na stosowanie wyższego wskaźnika wpływów</w:t>
            </w:r>
          </w:p>
          <w:p w14:paraId="52A91E47" w14:textId="6D4B12C6" w:rsidR="001A0B09" w:rsidRDefault="007453EC">
            <w:pPr>
              <w:spacing w:before="240" w:after="240"/>
              <w:rPr>
                <w:rFonts w:ascii="Times New Roman" w:hAnsi="Times New Roman"/>
                <w:bCs/>
                <w:sz w:val="18"/>
                <w:szCs w:val="18"/>
              </w:rPr>
            </w:pPr>
            <w:r>
              <w:rPr>
                <w:rFonts w:ascii="Times New Roman" w:hAnsi="Times New Roman"/>
                <w:bCs/>
                <w:sz w:val="18"/>
                <w:szCs w:val="18"/>
              </w:rPr>
              <w:t>Art. 34 rozporządzenia delegowanego (UE) 2015/61.</w:t>
            </w:r>
          </w:p>
          <w:p w14:paraId="3CFB5DCA" w14:textId="741C2B31" w:rsidR="001A0B09" w:rsidRDefault="007453EC">
            <w:pPr>
              <w:spacing w:before="240" w:after="240"/>
              <w:rPr>
                <w:rFonts w:ascii="Times New Roman" w:hAnsi="Times New Roman"/>
                <w:b/>
                <w:bCs/>
                <w:sz w:val="18"/>
                <w:szCs w:val="18"/>
              </w:rPr>
            </w:pPr>
            <w:r>
              <w:rPr>
                <w:rFonts w:ascii="Times New Roman" w:hAnsi="Times New Roman"/>
                <w:bCs/>
                <w:sz w:val="18"/>
                <w:szCs w:val="18"/>
              </w:rPr>
              <w:t>Wpływy z niewykorzystanych instrumentów kredytowych lub instrumentów wsparcia płynności otrzymanych od członków grupy lub instytucjonalnego systemu ochrony, jeżeli właściwy organ wyraził zgodę na stosowanie wyższego wskaźnika wpływów zgodnie z art. 34 rozporządzenia delegowanego (UE) 2015/61.</w:t>
            </w:r>
          </w:p>
        </w:tc>
      </w:tr>
      <w:tr w:rsidR="001A0B09" w14:paraId="3C2AD705" w14:textId="77777777" w:rsidTr="00454544">
        <w:tc>
          <w:tcPr>
            <w:tcW w:w="756" w:type="dxa"/>
            <w:shd w:val="clear" w:color="auto" w:fill="auto"/>
            <w:vAlign w:val="center"/>
          </w:tcPr>
          <w:p w14:paraId="362E1D99" w14:textId="77777777" w:rsidR="001A0B09"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1A0B09" w:rsidRDefault="007453EC">
            <w:pPr>
              <w:spacing w:before="240" w:after="240"/>
              <w:rPr>
                <w:rFonts w:ascii="Times New Roman" w:hAnsi="Times New Roman"/>
                <w:b/>
                <w:bCs/>
                <w:sz w:val="18"/>
                <w:szCs w:val="18"/>
              </w:rPr>
            </w:pPr>
            <w:r>
              <w:rPr>
                <w:rFonts w:ascii="Times New Roman" w:hAnsi="Times New Roman"/>
                <w:b/>
                <w:bCs/>
                <w:sz w:val="18"/>
                <w:szCs w:val="18"/>
              </w:rPr>
              <w:t>1.1.11. inne wpływy</w:t>
            </w:r>
          </w:p>
          <w:p w14:paraId="7EE5352C" w14:textId="77B1DAFA" w:rsidR="001A0B09" w:rsidRDefault="007453EC">
            <w:pPr>
              <w:spacing w:before="240" w:after="240"/>
              <w:rPr>
                <w:rFonts w:ascii="Times New Roman" w:hAnsi="Times New Roman"/>
                <w:bCs/>
                <w:sz w:val="18"/>
                <w:szCs w:val="18"/>
              </w:rPr>
            </w:pPr>
            <w:r>
              <w:rPr>
                <w:rFonts w:ascii="Times New Roman" w:hAnsi="Times New Roman"/>
                <w:bCs/>
                <w:sz w:val="18"/>
                <w:szCs w:val="18"/>
              </w:rPr>
              <w:t>Art. 32 ust. 2 rozporządzenia delegowanego (UE) 2015/61.</w:t>
            </w:r>
          </w:p>
          <w:p w14:paraId="3A35C748" w14:textId="7D2AA379" w:rsidR="001A0B09" w:rsidRDefault="007453EC">
            <w:pPr>
              <w:spacing w:before="240" w:after="240"/>
              <w:rPr>
                <w:rFonts w:ascii="Times New Roman" w:hAnsi="Times New Roman"/>
                <w:b/>
                <w:bCs/>
                <w:sz w:val="18"/>
                <w:szCs w:val="18"/>
              </w:rPr>
            </w:pPr>
            <w:r>
              <w:rPr>
                <w:rFonts w:ascii="Times New Roman" w:hAnsi="Times New Roman"/>
                <w:bCs/>
                <w:sz w:val="18"/>
                <w:szCs w:val="18"/>
              </w:rPr>
              <w:t>Wszystkie inne wpływy zgodnie z art. 32 ust. 2 rozporządzenia delegowanego (UE) 2015/61, które nie zostały zgłoszone w żadnym innym miejscu formularza.</w:t>
            </w:r>
          </w:p>
        </w:tc>
      </w:tr>
      <w:tr w:rsidR="001A0B09" w14:paraId="64D4CCAC" w14:textId="77777777" w:rsidTr="00454544">
        <w:tc>
          <w:tcPr>
            <w:tcW w:w="756" w:type="dxa"/>
            <w:shd w:val="clear" w:color="auto" w:fill="auto"/>
            <w:vAlign w:val="center"/>
          </w:tcPr>
          <w:p w14:paraId="5287A7B1" w14:textId="66C88766" w:rsidR="001A0B09"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1A0B09"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Wpływy z zabezpieczonych transakcji kredytowych i transakcji opartych na rynku kapitałowym</w:t>
            </w:r>
          </w:p>
          <w:p w14:paraId="5E83DDB2" w14:textId="743EF49E"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c) i f) rozporządzenia delegowanego (UE) 2015/61 odnosi się do wpływów wynikających z zabezpieczonych transakcji kredytowych i transakcji opartych na rynku kapitałowym, których rezydualny termin zapadalności jest nie dłuższy niż 30 dni.</w:t>
            </w:r>
          </w:p>
          <w:p w14:paraId="03DCCFCF" w14:textId="35FF4905" w:rsidR="001A0B09" w:rsidRDefault="007453EC">
            <w:pPr>
              <w:spacing w:before="240" w:after="240"/>
              <w:rPr>
                <w:rFonts w:ascii="Times New Roman" w:hAnsi="Times New Roman"/>
                <w:sz w:val="18"/>
                <w:szCs w:val="18"/>
              </w:rPr>
            </w:pPr>
            <w:r>
              <w:rPr>
                <w:rFonts w:ascii="Times New Roman" w:hAnsi="Times New Roman"/>
                <w:bCs/>
                <w:sz w:val="18"/>
                <w:szCs w:val="18"/>
              </w:rPr>
              <w:t xml:space="preserve">W wierszu 263 w formularzu C 74.00 określonym w załączniku </w:t>
            </w:r>
            <w:r>
              <w:rPr>
                <w:rFonts w:ascii="Times New Roman" w:hAnsi="Times New Roman"/>
                <w:sz w:val="18"/>
                <w:szCs w:val="18"/>
              </w:rPr>
              <w:t>XXIV instytucje kredytowe zgłaszają:</w:t>
            </w:r>
          </w:p>
          <w:p w14:paraId="491CD905" w14:textId="467E6318"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środków pieniężnych należnych z tytułu zabezpieczonych transakcji kredytowych i transakcji opartych na rynku kapitałowym; oraz</w:t>
            </w:r>
          </w:p>
          <w:p w14:paraId="72BE5DB8" w14:textId="67B0753B"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sumę wpływów z tytułu zabezpieczonych transakcji kredytowych i transakcji opartych na rynku kapitałowym.</w:t>
            </w:r>
          </w:p>
          <w:p w14:paraId="7B541C76" w14:textId="778E3A36" w:rsidR="001A0B09" w:rsidRDefault="007453EC">
            <w:pPr>
              <w:spacing w:before="240" w:after="240"/>
              <w:rPr>
                <w:rFonts w:ascii="Times New Roman" w:hAnsi="Times New Roman"/>
                <w:bCs/>
                <w:sz w:val="18"/>
                <w:szCs w:val="18"/>
              </w:rPr>
            </w:pPr>
            <w:r>
              <w:rPr>
                <w:rFonts w:ascii="Times New Roman" w:hAnsi="Times New Roman"/>
                <w:bCs/>
                <w:sz w:val="18"/>
                <w:szCs w:val="18"/>
              </w:rPr>
              <w:t>Transakcji zabezpieczających swap, których termin zapadalności upływa w ciągu 30 dni kalendarzowych, nie zgłasza się w tej pozycji, natomiast zgłasza się je w formularzu C 75.01 określonym w załączniku XXIV.</w:t>
            </w:r>
          </w:p>
        </w:tc>
      </w:tr>
      <w:tr w:rsidR="001A0B09" w14:paraId="01CA0548" w14:textId="77777777" w:rsidTr="00454544">
        <w:tc>
          <w:tcPr>
            <w:tcW w:w="756" w:type="dxa"/>
            <w:shd w:val="clear" w:color="auto" w:fill="auto"/>
            <w:vAlign w:val="center"/>
          </w:tcPr>
          <w:p w14:paraId="52BCD01B" w14:textId="77777777" w:rsidR="001A0B09" w:rsidRDefault="007453EC">
            <w:pPr>
              <w:jc w:val="left"/>
              <w:rPr>
                <w:rFonts w:ascii="Times New Roman" w:hAnsi="Times New Roman"/>
                <w:sz w:val="18"/>
                <w:szCs w:val="18"/>
              </w:rPr>
            </w:pPr>
            <w:r>
              <w:rPr>
                <w:rFonts w:ascii="Times New Roman" w:hAnsi="Times New Roman"/>
                <w:sz w:val="18"/>
                <w:szCs w:val="18"/>
              </w:rPr>
              <w:t>265</w:t>
            </w:r>
          </w:p>
        </w:tc>
        <w:tc>
          <w:tcPr>
            <w:tcW w:w="7540" w:type="dxa"/>
            <w:shd w:val="clear" w:color="auto" w:fill="auto"/>
            <w:vAlign w:val="center"/>
          </w:tcPr>
          <w:p w14:paraId="30886BAF"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 kontrahentem jest bank centralny</w:t>
            </w:r>
          </w:p>
          <w:p w14:paraId="7C97E42C" w14:textId="77777777" w:rsidR="001A0B09" w:rsidRDefault="007453EC">
            <w:pPr>
              <w:spacing w:before="240" w:after="240"/>
              <w:rPr>
                <w:rFonts w:ascii="Times New Roman" w:hAnsi="Times New Roman"/>
                <w:sz w:val="18"/>
              </w:rPr>
            </w:pPr>
            <w:r>
              <w:rPr>
                <w:rFonts w:ascii="Times New Roman" w:hAnsi="Times New Roman"/>
                <w:sz w:val="18"/>
              </w:rPr>
              <w:t xml:space="preserve">W tej sekcji instytucje kredytowe zgłaszają wpływy wynikające z zabezpieczonych transakcji kredytowych i transakcji opartych na rynku kapitałowym zdefiniowanych w art. 192 pkt 2 i 3 rozporządzenia (UE) nr 575/2013, </w:t>
            </w:r>
            <w:r>
              <w:rPr>
                <w:rFonts w:ascii="Times New Roman" w:hAnsi="Times New Roman"/>
                <w:bCs/>
                <w:sz w:val="18"/>
                <w:szCs w:val="18"/>
              </w:rPr>
              <w:t>których rezydualny termin zapadalności jest nie dłuższy niż 30 dni</w:t>
            </w:r>
            <w:r>
              <w:rPr>
                <w:rFonts w:ascii="Times New Roman" w:hAnsi="Times New Roman"/>
                <w:sz w:val="18"/>
              </w:rPr>
              <w:t>, w przypadku gdy kontrahentem jest bank centralny.</w:t>
            </w:r>
          </w:p>
          <w:p w14:paraId="6A1976C0" w14:textId="77777777" w:rsidR="001A0B09" w:rsidRDefault="007453EC">
            <w:pPr>
              <w:spacing w:before="240" w:after="240"/>
              <w:rPr>
                <w:rFonts w:ascii="Times New Roman" w:hAnsi="Times New Roman"/>
                <w:sz w:val="18"/>
                <w:szCs w:val="18"/>
              </w:rPr>
            </w:pPr>
            <w:r>
              <w:rPr>
                <w:rFonts w:ascii="Times New Roman" w:hAnsi="Times New Roman"/>
                <w:bCs/>
                <w:sz w:val="18"/>
                <w:szCs w:val="18"/>
              </w:rPr>
              <w:t xml:space="preserve">W wierszu 265 w formularzu C 74.00 określonym w załączniku </w:t>
            </w:r>
            <w:r>
              <w:rPr>
                <w:rFonts w:ascii="Times New Roman" w:hAnsi="Times New Roman"/>
                <w:sz w:val="18"/>
                <w:szCs w:val="18"/>
              </w:rPr>
              <w:t>XXIV instytucje kredytowe zgłaszają:</w:t>
            </w:r>
          </w:p>
          <w:p w14:paraId="6DED8CDF"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w odniesieniu do każdej z kolumn 010, 020 i 030 całkowitą kwotę środków pieniężnych należnych z tytułu zabezpieczonych transakcji kredytowych i transakcji opartych na rynku </w:t>
            </w:r>
            <w:r>
              <w:rPr>
                <w:rFonts w:ascii="Times New Roman" w:hAnsi="Times New Roman"/>
                <w:bCs/>
                <w:sz w:val="18"/>
                <w:szCs w:val="18"/>
              </w:rPr>
              <w:lastRenderedPageBreak/>
              <w:t>kapitałowym</w:t>
            </w:r>
            <w:r>
              <w:rPr>
                <w:rFonts w:ascii="Times New Roman" w:hAnsi="Times New Roman"/>
                <w:sz w:val="18"/>
              </w:rPr>
              <w:t>, w przypadku gdy kontrahentem jest bank centralny</w:t>
            </w:r>
            <w:r>
              <w:rPr>
                <w:rFonts w:ascii="Times New Roman" w:hAnsi="Times New Roman"/>
                <w:bCs/>
                <w:sz w:val="18"/>
                <w:szCs w:val="18"/>
              </w:rPr>
              <w:t>; oraz</w:t>
            </w:r>
          </w:p>
          <w:p w14:paraId="4D424125"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sumę wpływów z tytułu zabezpieczonych transakcji kredytowych i transakcji opartych na rynku kapitałowym</w:t>
            </w:r>
            <w:r>
              <w:rPr>
                <w:rFonts w:ascii="Times New Roman" w:hAnsi="Times New Roman"/>
                <w:sz w:val="18"/>
              </w:rPr>
              <w:t>, w przypadku gdy kontrahentem jest bank centralny</w:t>
            </w:r>
            <w:r>
              <w:rPr>
                <w:rFonts w:ascii="Times New Roman" w:hAnsi="Times New Roman"/>
                <w:bCs/>
                <w:sz w:val="18"/>
                <w:szCs w:val="18"/>
              </w:rPr>
              <w:t>.</w:t>
            </w:r>
          </w:p>
        </w:tc>
      </w:tr>
      <w:tr w:rsidR="001A0B09" w14:paraId="0C18B44D" w14:textId="77777777" w:rsidTr="00454544">
        <w:tc>
          <w:tcPr>
            <w:tcW w:w="756" w:type="dxa"/>
            <w:shd w:val="clear" w:color="auto" w:fill="auto"/>
            <w:vAlign w:val="center"/>
          </w:tcPr>
          <w:p w14:paraId="3E3950A8" w14:textId="77777777" w:rsidR="001A0B09" w:rsidRDefault="007453EC">
            <w:pPr>
              <w:jc w:val="left"/>
              <w:rPr>
                <w:rFonts w:ascii="Times New Roman" w:hAnsi="Times New Roman"/>
                <w:sz w:val="18"/>
                <w:szCs w:val="18"/>
              </w:rPr>
            </w:pPr>
            <w:r>
              <w:rPr>
                <w:rFonts w:ascii="Times New Roman" w:hAnsi="Times New Roman"/>
                <w:sz w:val="18"/>
                <w:szCs w:val="18"/>
              </w:rPr>
              <w:lastRenderedPageBreak/>
              <w:t>267</w:t>
            </w:r>
          </w:p>
        </w:tc>
        <w:tc>
          <w:tcPr>
            <w:tcW w:w="7540" w:type="dxa"/>
            <w:shd w:val="clear" w:color="auto" w:fill="auto"/>
            <w:vAlign w:val="center"/>
          </w:tcPr>
          <w:p w14:paraId="37D80B09"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 zabezpieczenie, które kwalifikuje się jako składnik aktywów płynnych</w:t>
            </w:r>
          </w:p>
          <w:p w14:paraId="762C261E" w14:textId="77777777" w:rsidR="001A0B09" w:rsidRDefault="007453EC">
            <w:pPr>
              <w:spacing w:before="240" w:after="240"/>
              <w:rPr>
                <w:rFonts w:ascii="Times New Roman" w:hAnsi="Times New Roman"/>
                <w:sz w:val="18"/>
                <w:szCs w:val="18"/>
              </w:rPr>
            </w:pPr>
            <w:r>
              <w:rPr>
                <w:rFonts w:ascii="Times New Roman" w:hAnsi="Times New Roman"/>
                <w:bCs/>
                <w:sz w:val="18"/>
                <w:szCs w:val="18"/>
              </w:rPr>
              <w:t xml:space="preserve">W wierszu 267 w formularzu C 74.00 określonym w załączniku </w:t>
            </w:r>
            <w:r>
              <w:rPr>
                <w:rFonts w:ascii="Times New Roman" w:hAnsi="Times New Roman"/>
                <w:sz w:val="18"/>
                <w:szCs w:val="18"/>
              </w:rPr>
              <w:t>XXIV instytucje kredytowe zgłaszają:</w:t>
            </w:r>
          </w:p>
          <w:p w14:paraId="16BF428A" w14:textId="77777777" w:rsidR="001A0B09"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środków pieniężnych należnych z tytułu zabezpieczonych transakcji kredytowych i transakcji opartych na rynku kapitałowym</w:t>
            </w:r>
            <w:r>
              <w:rPr>
                <w:rFonts w:ascii="Times New Roman" w:hAnsi="Times New Roman"/>
                <w:sz w:val="18"/>
              </w:rPr>
              <w:t xml:space="preserve">, </w:t>
            </w:r>
            <w:r>
              <w:rPr>
                <w:rFonts w:ascii="Times New Roman" w:hAnsi="Times New Roman"/>
                <w:bCs/>
                <w:sz w:val="18"/>
                <w:szCs w:val="18"/>
              </w:rPr>
              <w:t xml:space="preserve">których rezydualny termin zapadalności jest nie dłuższy niż 30 dni, </w:t>
            </w:r>
            <w:r>
              <w:rPr>
                <w:rFonts w:ascii="Times New Roman" w:hAnsi="Times New Roman"/>
                <w:sz w:val="18"/>
              </w:rPr>
              <w:t>w przypadku gdy kontrahentem jest bank centralny, a transakcja jest zabezpieczona aktywami płynnymi; oraz</w:t>
            </w:r>
          </w:p>
          <w:p w14:paraId="42686281" w14:textId="77777777" w:rsidR="001A0B09"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w odniesieniu do każdej z kolumn 140, 150 i 160 całkowite wpływy z tytułu zabezpieczonych transakcji kredytowych i transakcji opartych na rynku kapitałowym</w:t>
            </w:r>
            <w:r>
              <w:rPr>
                <w:rFonts w:ascii="Times New Roman" w:hAnsi="Times New Roman"/>
                <w:sz w:val="18"/>
              </w:rPr>
              <w:t xml:space="preserve">, </w:t>
            </w:r>
            <w:r>
              <w:rPr>
                <w:rFonts w:ascii="Times New Roman" w:hAnsi="Times New Roman"/>
                <w:bCs/>
                <w:sz w:val="18"/>
                <w:szCs w:val="18"/>
              </w:rPr>
              <w:t xml:space="preserve">których rezydualny termin zapadalności jest nie dłuższy niż 30 dni, </w:t>
            </w:r>
            <w:r>
              <w:rPr>
                <w:rFonts w:ascii="Times New Roman" w:hAnsi="Times New Roman"/>
                <w:sz w:val="18"/>
              </w:rPr>
              <w:t>w przypadku gdy kontrahentem jest bank centralny, a transakcja jest zabezpieczona aktywami płynnymi.</w:t>
            </w:r>
          </w:p>
          <w:p w14:paraId="3997B572" w14:textId="2E3B537A" w:rsidR="001A0B09" w:rsidRDefault="007453EC">
            <w:pPr>
              <w:spacing w:before="240" w:after="240"/>
              <w:rPr>
                <w:rFonts w:ascii="Times New Roman" w:hAnsi="Times New Roman"/>
                <w:bCs/>
                <w:sz w:val="18"/>
                <w:szCs w:val="18"/>
              </w:rPr>
            </w:pPr>
            <w:r>
              <w:rPr>
                <w:rFonts w:ascii="Times New Roman" w:hAnsi="Times New Roman"/>
                <w:sz w:val="18"/>
              </w:rPr>
              <w:t xml:space="preserve">Instytucje kredytowe zgłaszają </w:t>
            </w:r>
            <w:r>
              <w:rPr>
                <w:rFonts w:ascii="Times New Roman" w:hAnsi="Times New Roman"/>
                <w:bCs/>
                <w:sz w:val="18"/>
                <w:szCs w:val="18"/>
              </w:rPr>
              <w:t>zabezpieczone transakcje kredytowe i transakcje oparte na rynku kapitałowym</w:t>
            </w:r>
            <w:r>
              <w:rPr>
                <w:rFonts w:ascii="Times New Roman" w:hAnsi="Times New Roman"/>
                <w:sz w:val="18"/>
              </w:rPr>
              <w:t xml:space="preserve">, </w:t>
            </w:r>
            <w:r>
              <w:rPr>
                <w:rFonts w:ascii="Times New Roman" w:hAnsi="Times New Roman"/>
                <w:bCs/>
                <w:sz w:val="18"/>
                <w:szCs w:val="18"/>
              </w:rPr>
              <w:t xml:space="preserve">których rezydualny termin zapadalności jest nie dłuższy niż 30 dni, </w:t>
            </w:r>
            <w:r>
              <w:rPr>
                <w:rFonts w:ascii="Times New Roman" w:hAnsi="Times New Roman"/>
                <w:sz w:val="18"/>
              </w:rPr>
              <w:t xml:space="preserve">w przypadku gdy kontrahentem jest bank centralny, a transakcja jest zabezpieczona aktywami płynnymi, niezależnie od tego, czy aktywa te są ponownie wykorzystywane w innej transakcji oraz czy otrzymane aktywa płynne spełniają wymagania operacyjne zgodnie z art. 8 </w:t>
            </w:r>
            <w:r>
              <w:rPr>
                <w:rFonts w:ascii="Times New Roman" w:hAnsi="Times New Roman"/>
                <w:bCs/>
                <w:sz w:val="18"/>
                <w:szCs w:val="18"/>
              </w:rPr>
              <w:t>rozporządzenia delegowanego (UE) 2015/61.</w:t>
            </w:r>
          </w:p>
        </w:tc>
      </w:tr>
      <w:tr w:rsidR="001A0B09" w14:paraId="4466FA21" w14:textId="77777777" w:rsidTr="00454544">
        <w:tc>
          <w:tcPr>
            <w:tcW w:w="756" w:type="dxa"/>
            <w:shd w:val="clear" w:color="auto" w:fill="auto"/>
            <w:vAlign w:val="center"/>
          </w:tcPr>
          <w:p w14:paraId="2AC9B84E" w14:textId="77777777" w:rsidR="001A0B09"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1.2.1.1.1. zabezpieczenie aktywami poziomu 1, z wyłączeniem obligacji zabezpieczonych charakteryzujących się wyjątkowo wysoką jakością</w:t>
            </w:r>
          </w:p>
          <w:p w14:paraId="60075FD1" w14:textId="166CA80F"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15F3C8B1" w14:textId="6177F8AD" w:rsidR="001A0B09" w:rsidRDefault="007453EC">
            <w:pPr>
              <w:spacing w:before="240" w:after="240"/>
              <w:rPr>
                <w:rFonts w:ascii="Times New Roman" w:hAnsi="Times New Roman"/>
                <w:bCs/>
                <w:sz w:val="18"/>
                <w:szCs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jest bank centralny, a transakcja jest zabezpieczona aktywami, które – niezależnie od tego, czy są one ponownie wykorzystywane w innej transakcji – kwalifikują się zgodnie z art. 7 i 10 </w:t>
            </w:r>
            <w:r>
              <w:rPr>
                <w:rFonts w:ascii="Times New Roman" w:hAnsi="Times New Roman"/>
                <w:sz w:val="18"/>
                <w:szCs w:val="18"/>
              </w:rPr>
              <w:t>rozporządzenia delegowanego (UE) 2015/61 jako aktywa płynne którejkolwiek z kategorii aktywów poziomu 1, o których mowa w art. 10, z wyjątkiem obligacji zabezpieczonych charakteryzujących się wyjątkowo wysoką jakością, o których mowa w art. 10 ust. 1 lit. f).</w:t>
            </w:r>
          </w:p>
        </w:tc>
      </w:tr>
      <w:tr w:rsidR="001A0B09" w14:paraId="247E0ED5" w14:textId="77777777" w:rsidTr="00454544">
        <w:tc>
          <w:tcPr>
            <w:tcW w:w="756" w:type="dxa"/>
            <w:shd w:val="clear" w:color="auto" w:fill="auto"/>
            <w:vAlign w:val="center"/>
          </w:tcPr>
          <w:p w14:paraId="3D9696EF" w14:textId="77777777" w:rsidR="001A0B09" w:rsidRDefault="007453EC">
            <w:pPr>
              <w:jc w:val="left"/>
              <w:rPr>
                <w:rFonts w:ascii="Times New Roman" w:hAnsi="Times New Roman"/>
                <w:sz w:val="18"/>
                <w:szCs w:val="18"/>
              </w:rPr>
            </w:pPr>
            <w:r>
              <w:rPr>
                <w:rFonts w:ascii="Times New Roman" w:hAnsi="Times New Roman"/>
                <w:sz w:val="18"/>
                <w:szCs w:val="18"/>
              </w:rPr>
              <w:t>271</w:t>
            </w:r>
          </w:p>
        </w:tc>
        <w:tc>
          <w:tcPr>
            <w:tcW w:w="7540" w:type="dxa"/>
            <w:shd w:val="clear" w:color="auto" w:fill="auto"/>
            <w:vAlign w:val="center"/>
          </w:tcPr>
          <w:p w14:paraId="55292B96"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2779EE63" w14:textId="5CDC213C"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0BBB1E17" w14:textId="03F3E426" w:rsidR="001A0B09" w:rsidRDefault="007453EC">
            <w:pPr>
              <w:spacing w:before="240" w:after="240"/>
              <w:rPr>
                <w:rFonts w:ascii="Times New Roman" w:hAnsi="Times New Roman"/>
                <w:sz w:val="18"/>
                <w:szCs w:val="22"/>
              </w:rPr>
            </w:pPr>
            <w:r>
              <w:rPr>
                <w:rFonts w:ascii="Times New Roman" w:hAnsi="Times New Roman"/>
                <w:sz w:val="18"/>
              </w:rPr>
              <w:t>Spośród transakcji, o których mowa w pkt 1.2.1.1.1, te transakcje, w przypadku których otrzymane zabezpieczenie spełnia wymagania operacyjne określone w art. 8 rozporządzenia delegowanego (UE) 2015/61.</w:t>
            </w:r>
          </w:p>
        </w:tc>
      </w:tr>
      <w:tr w:rsidR="001A0B09" w14:paraId="267DC975" w14:textId="77777777" w:rsidTr="00454544">
        <w:tc>
          <w:tcPr>
            <w:tcW w:w="756" w:type="dxa"/>
            <w:shd w:val="clear" w:color="auto" w:fill="auto"/>
            <w:vAlign w:val="center"/>
          </w:tcPr>
          <w:p w14:paraId="130BB6E1" w14:textId="77777777" w:rsidR="001A0B09"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1.2.1.1.2. zabezpieczenie aktywami poziomu 1 w postaci obligacji zabezpieczonych charakteryzujących się wyjątkowo wysoką jakością</w:t>
            </w:r>
          </w:p>
          <w:p w14:paraId="465D66DF" w14:textId="73CF7738"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0840515B" w14:textId="791D94C1" w:rsidR="001A0B09" w:rsidRDefault="007453EC">
            <w:pPr>
              <w:spacing w:before="240" w:after="240"/>
              <w:rPr>
                <w:rFonts w:ascii="Times New Roman" w:hAnsi="Times New Roman"/>
                <w:bCs/>
                <w:sz w:val="18"/>
                <w:szCs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jest bank centralny, a transakcja jest zabezpieczona aktywami, które – niezależnie od tego, czy są one ponownie wykorzystywane w innej transakcji – kwalifikują się zgodnie z art. 7 i 10 </w:t>
            </w:r>
            <w:r>
              <w:rPr>
                <w:rFonts w:ascii="Times New Roman" w:hAnsi="Times New Roman"/>
                <w:sz w:val="18"/>
                <w:szCs w:val="18"/>
              </w:rPr>
              <w:t xml:space="preserve">rozporządzenia </w:t>
            </w:r>
            <w:r>
              <w:rPr>
                <w:rFonts w:ascii="Times New Roman" w:hAnsi="Times New Roman"/>
                <w:sz w:val="18"/>
                <w:szCs w:val="18"/>
              </w:rPr>
              <w:lastRenderedPageBreak/>
              <w:t>delegowanego (UE) 2015/61 jako aktywa płynne należące do kategorii, o której mowa art. 10 ust. 1 lit. f).</w:t>
            </w:r>
          </w:p>
        </w:tc>
      </w:tr>
      <w:tr w:rsidR="001A0B09" w14:paraId="63121C64" w14:textId="77777777" w:rsidTr="00454544">
        <w:tc>
          <w:tcPr>
            <w:tcW w:w="756" w:type="dxa"/>
            <w:shd w:val="clear" w:color="auto" w:fill="auto"/>
            <w:vAlign w:val="center"/>
          </w:tcPr>
          <w:p w14:paraId="42A6463A" w14:textId="77777777" w:rsidR="001A0B09" w:rsidRDefault="007453EC">
            <w:pPr>
              <w:jc w:val="left"/>
              <w:rPr>
                <w:rFonts w:ascii="Times New Roman" w:hAnsi="Times New Roman"/>
                <w:sz w:val="18"/>
                <w:szCs w:val="18"/>
              </w:rPr>
            </w:pPr>
            <w:r>
              <w:rPr>
                <w:rFonts w:ascii="Times New Roman" w:hAnsi="Times New Roman"/>
                <w:sz w:val="18"/>
                <w:szCs w:val="18"/>
              </w:rPr>
              <w:lastRenderedPageBreak/>
              <w:t>275</w:t>
            </w:r>
          </w:p>
        </w:tc>
        <w:tc>
          <w:tcPr>
            <w:tcW w:w="7540" w:type="dxa"/>
            <w:shd w:val="clear" w:color="auto" w:fill="auto"/>
            <w:vAlign w:val="center"/>
          </w:tcPr>
          <w:p w14:paraId="7FE0E5CD"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71DCD54B" w14:textId="0ABC7D7D"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3FEF86C5" w14:textId="7C26E5F8" w:rsidR="001A0B09" w:rsidRDefault="007453EC">
            <w:pPr>
              <w:spacing w:before="240" w:after="240"/>
              <w:rPr>
                <w:rFonts w:ascii="Times New Roman" w:hAnsi="Times New Roman"/>
                <w:bCs/>
                <w:sz w:val="18"/>
                <w:szCs w:val="18"/>
              </w:rPr>
            </w:pPr>
            <w:r>
              <w:rPr>
                <w:rFonts w:ascii="Times New Roman" w:hAnsi="Times New Roman"/>
                <w:sz w:val="18"/>
              </w:rPr>
              <w:t>Spośród transakcji, o których mowa w pkt 1.2.1.1.2, te transakcje, w przypadku których otrzymane zabezpieczenie spełnia wymagania operacyjne określone w art. 8 rozporządzenia delegowanego (UE) 2015/61.</w:t>
            </w:r>
          </w:p>
        </w:tc>
      </w:tr>
      <w:tr w:rsidR="001A0B09" w14:paraId="6B7F0392" w14:textId="77777777" w:rsidTr="00454544">
        <w:tc>
          <w:tcPr>
            <w:tcW w:w="756" w:type="dxa"/>
            <w:shd w:val="clear" w:color="auto" w:fill="auto"/>
            <w:vAlign w:val="center"/>
          </w:tcPr>
          <w:p w14:paraId="48D80696" w14:textId="77777777" w:rsidR="001A0B09"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1.2.1.1.3. zabezpieczenie aktywami poziomu 2A</w:t>
            </w:r>
          </w:p>
          <w:p w14:paraId="6057672F" w14:textId="1BBCB13B"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141E5A68" w14:textId="30E7ED57" w:rsidR="001A0B09" w:rsidRDefault="007453EC">
            <w:pPr>
              <w:spacing w:before="240" w:after="240"/>
              <w:rPr>
                <w:rFonts w:ascii="Times New Roman" w:hAnsi="Times New Roman"/>
                <w:bCs/>
                <w:sz w:val="18"/>
                <w:szCs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jest bank centralny, a transakcja jest zabezpieczona aktywami, które – niezależnie od tego, czy są one ponownie wykorzystywane w innej transakcji – kwalifikują się zgodnie z art. 7 i 11 </w:t>
            </w:r>
            <w:r>
              <w:rPr>
                <w:rFonts w:ascii="Times New Roman" w:hAnsi="Times New Roman"/>
                <w:sz w:val="18"/>
                <w:szCs w:val="18"/>
              </w:rPr>
              <w:t>rozporządzenia delegowanego (UE) 2015/61 jako aktywa płynne należące do kategorii aktywów poziomu 2A, o których mowa w art. 11.</w:t>
            </w:r>
          </w:p>
        </w:tc>
      </w:tr>
      <w:tr w:rsidR="001A0B09" w14:paraId="16607836" w14:textId="77777777" w:rsidTr="00454544">
        <w:tc>
          <w:tcPr>
            <w:tcW w:w="756" w:type="dxa"/>
            <w:shd w:val="clear" w:color="auto" w:fill="auto"/>
            <w:vAlign w:val="center"/>
          </w:tcPr>
          <w:p w14:paraId="02B8F64C" w14:textId="77777777" w:rsidR="001A0B09"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41735A45" w14:textId="3CC5648C"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015AE06D" w14:textId="7BAF1524" w:rsidR="001A0B09" w:rsidRDefault="007453EC">
            <w:pPr>
              <w:spacing w:before="240" w:after="240"/>
              <w:rPr>
                <w:rFonts w:ascii="Times New Roman" w:hAnsi="Times New Roman"/>
                <w:b/>
                <w:bCs/>
                <w:sz w:val="18"/>
                <w:szCs w:val="18"/>
              </w:rPr>
            </w:pPr>
            <w:r>
              <w:rPr>
                <w:rFonts w:ascii="Times New Roman" w:hAnsi="Times New Roman"/>
                <w:sz w:val="18"/>
              </w:rPr>
              <w:t>Spośród transakcji, o których mowa w pkt 1.2.1.1.3, te transakcje, w przypadku których otrzymane zabezpieczenie spełnia wymagania operacyjne określone w art. 8 rozporządzenia delegowanego (UE) 2015/61.</w:t>
            </w:r>
          </w:p>
        </w:tc>
      </w:tr>
      <w:tr w:rsidR="001A0B09" w14:paraId="7AA2A1E2" w14:textId="77777777" w:rsidTr="00454544">
        <w:tc>
          <w:tcPr>
            <w:tcW w:w="756" w:type="dxa"/>
            <w:shd w:val="clear" w:color="auto" w:fill="auto"/>
            <w:vAlign w:val="center"/>
          </w:tcPr>
          <w:p w14:paraId="0DF07574" w14:textId="77777777" w:rsidR="001A0B09"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1.2.1.1.4. zabezpieczenie aktywami poziomu 2B w postaci papierów wartościowych zabezpieczonych aktywami (kredyty na nieruchomości mieszkalne lub na zakup samochodów)</w:t>
            </w:r>
          </w:p>
          <w:p w14:paraId="32BFA614" w14:textId="322AB308"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7D532AEC" w14:textId="2B22FA0C" w:rsidR="001A0B09" w:rsidRDefault="007453EC">
            <w:pPr>
              <w:spacing w:before="240" w:after="240"/>
              <w:rPr>
                <w:rFonts w:ascii="Times New Roman" w:hAnsi="Times New Roman"/>
                <w:bCs/>
                <w:sz w:val="18"/>
                <w:szCs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jest bank centralny, a transakcja jest zabezpieczona aktywami, które – niezależnie od tego, czy są one ponownie wykorzystywane w innej transakcji – kwalifikują się zgodnie z art. 7 i 13 </w:t>
            </w:r>
            <w:r>
              <w:rPr>
                <w:rFonts w:ascii="Times New Roman" w:hAnsi="Times New Roman"/>
                <w:sz w:val="18"/>
                <w:szCs w:val="18"/>
              </w:rPr>
              <w:t>rozporządzenia delegowanego (UE) 2015/61 jako aktywa płynne należące do kategorii aktywów poziomu 2B, o których mowa w art. 13 ust. 2 lit. g) ppkt (i), (ii) lub (iv).</w:t>
            </w:r>
          </w:p>
        </w:tc>
      </w:tr>
      <w:tr w:rsidR="001A0B09" w14:paraId="5CCE3954" w14:textId="77777777" w:rsidTr="00454544">
        <w:tc>
          <w:tcPr>
            <w:tcW w:w="756" w:type="dxa"/>
            <w:shd w:val="clear" w:color="auto" w:fill="auto"/>
            <w:vAlign w:val="center"/>
          </w:tcPr>
          <w:p w14:paraId="4C294892" w14:textId="77777777" w:rsidR="001A0B09" w:rsidRDefault="007453EC">
            <w:pPr>
              <w:jc w:val="left"/>
              <w:rPr>
                <w:rFonts w:ascii="Times New Roman" w:hAnsi="Times New Roman"/>
                <w:sz w:val="18"/>
                <w:szCs w:val="18"/>
              </w:rPr>
            </w:pPr>
            <w:r>
              <w:rPr>
                <w:rFonts w:ascii="Times New Roman" w:hAnsi="Times New Roman"/>
                <w:sz w:val="18"/>
                <w:szCs w:val="18"/>
              </w:rPr>
              <w:t>283</w:t>
            </w:r>
          </w:p>
        </w:tc>
        <w:tc>
          <w:tcPr>
            <w:tcW w:w="7540" w:type="dxa"/>
            <w:shd w:val="clear" w:color="auto" w:fill="auto"/>
            <w:vAlign w:val="center"/>
          </w:tcPr>
          <w:p w14:paraId="66D1F16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1F274A53" w14:textId="647760C8"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415B0B53" w14:textId="52C8B711" w:rsidR="001A0B09" w:rsidRDefault="007453EC">
            <w:pPr>
              <w:spacing w:before="240" w:after="240"/>
              <w:rPr>
                <w:rFonts w:ascii="Times New Roman" w:hAnsi="Times New Roman"/>
                <w:b/>
                <w:bCs/>
                <w:sz w:val="18"/>
                <w:szCs w:val="18"/>
              </w:rPr>
            </w:pPr>
            <w:r>
              <w:rPr>
                <w:rFonts w:ascii="Times New Roman" w:hAnsi="Times New Roman"/>
                <w:sz w:val="18"/>
              </w:rPr>
              <w:t>Spośród transakcji, o których mowa w pkt 1.2.1.1.4, te transakcje, w przypadku których otrzymane zabezpieczenie spełnia wymagania operacyjne określone w art. 8 rozporządzenia delegowanego (UE) 2015/61.</w:t>
            </w:r>
          </w:p>
        </w:tc>
      </w:tr>
      <w:tr w:rsidR="001A0B09" w14:paraId="451770B5" w14:textId="77777777" w:rsidTr="00454544">
        <w:tc>
          <w:tcPr>
            <w:tcW w:w="756" w:type="dxa"/>
            <w:shd w:val="clear" w:color="auto" w:fill="auto"/>
            <w:vAlign w:val="center"/>
          </w:tcPr>
          <w:p w14:paraId="6E7A44F9" w14:textId="77777777" w:rsidR="001A0B09"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1.2.1.1.5. zabezpieczenie aktywami poziomu 2B w postaci obligacji zabezpieczonych charakteryzujących się wysoką jakością</w:t>
            </w:r>
          </w:p>
          <w:p w14:paraId="2F479E2F" w14:textId="6FB8B0EB"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698C43F1" w14:textId="01B272F8" w:rsidR="001A0B09" w:rsidRDefault="007453EC">
            <w:pPr>
              <w:spacing w:before="240" w:after="240"/>
              <w:rPr>
                <w:rFonts w:ascii="Times New Roman" w:hAnsi="Times New Roman"/>
                <w:bCs/>
                <w:sz w:val="18"/>
                <w:szCs w:val="18"/>
              </w:rPr>
            </w:pPr>
            <w:r>
              <w:rPr>
                <w:rFonts w:ascii="Times New Roman" w:hAnsi="Times New Roman"/>
                <w:sz w:val="18"/>
              </w:rPr>
              <w:lastRenderedPageBreak/>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jest bank centralny, a transakcja jest zabezpieczona aktywami, które – niezależnie od tego, czy są one ponownie wykorzystywane w innej transakcji – kwalifikują się zgodnie z art. 7 i 12 </w:t>
            </w:r>
            <w:r>
              <w:rPr>
                <w:rFonts w:ascii="Times New Roman" w:hAnsi="Times New Roman"/>
                <w:sz w:val="18"/>
                <w:szCs w:val="18"/>
              </w:rPr>
              <w:t>rozporządzenia delegowanego (UE) 2015/61 jako aktywa płynne należące do kategorii aktywów poziomu 2B, o których mowa w art. 12 ust. 1 lit. e).</w:t>
            </w:r>
          </w:p>
        </w:tc>
      </w:tr>
      <w:tr w:rsidR="001A0B09" w14:paraId="246CAABC" w14:textId="77777777" w:rsidTr="00454544">
        <w:tc>
          <w:tcPr>
            <w:tcW w:w="756" w:type="dxa"/>
            <w:shd w:val="clear" w:color="auto" w:fill="auto"/>
            <w:vAlign w:val="center"/>
          </w:tcPr>
          <w:p w14:paraId="2F4BA8C5" w14:textId="77777777" w:rsidR="001A0B09" w:rsidRDefault="007453EC">
            <w:pPr>
              <w:jc w:val="left"/>
              <w:rPr>
                <w:rFonts w:ascii="Times New Roman" w:hAnsi="Times New Roman"/>
                <w:sz w:val="18"/>
                <w:szCs w:val="18"/>
              </w:rPr>
            </w:pPr>
            <w:r>
              <w:rPr>
                <w:rFonts w:ascii="Times New Roman" w:hAnsi="Times New Roman"/>
                <w:sz w:val="18"/>
                <w:szCs w:val="18"/>
              </w:rPr>
              <w:lastRenderedPageBreak/>
              <w:t>287</w:t>
            </w:r>
          </w:p>
        </w:tc>
        <w:tc>
          <w:tcPr>
            <w:tcW w:w="7540" w:type="dxa"/>
            <w:shd w:val="clear" w:color="auto" w:fill="auto"/>
            <w:vAlign w:val="center"/>
          </w:tcPr>
          <w:p w14:paraId="04965F51"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17D3606C" w14:textId="04A6D9F7"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2326D957" w14:textId="1C3B3FA2" w:rsidR="001A0B09" w:rsidRDefault="007453EC">
            <w:pPr>
              <w:spacing w:before="240" w:after="240"/>
              <w:rPr>
                <w:rFonts w:ascii="Times New Roman" w:hAnsi="Times New Roman"/>
                <w:b/>
                <w:bCs/>
                <w:sz w:val="18"/>
                <w:szCs w:val="18"/>
              </w:rPr>
            </w:pPr>
            <w:r>
              <w:rPr>
                <w:rFonts w:ascii="Times New Roman" w:hAnsi="Times New Roman"/>
                <w:sz w:val="18"/>
              </w:rPr>
              <w:t>Spośród transakcji, o których mowa w pkt 1.2.1.1.5, te transakcje, w przypadku których otrzymane zabezpieczenie spełnia wymagania operacyjne określone w art. 8 rozporządzenia delegowanego (UE) 2015/61.</w:t>
            </w:r>
          </w:p>
        </w:tc>
      </w:tr>
      <w:tr w:rsidR="001A0B09" w14:paraId="58656E98" w14:textId="77777777" w:rsidTr="00454544">
        <w:tc>
          <w:tcPr>
            <w:tcW w:w="756" w:type="dxa"/>
            <w:shd w:val="clear" w:color="auto" w:fill="auto"/>
            <w:vAlign w:val="center"/>
          </w:tcPr>
          <w:p w14:paraId="77DEB6C0" w14:textId="77777777" w:rsidR="001A0B09"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1.2.1.1.6. Zabezpieczenie aktywami poziomu 2B w postaci papierów wartościowych zabezpieczonych aktywami (kredyty komercyjne lub dla osób fizycznych)</w:t>
            </w:r>
          </w:p>
          <w:p w14:paraId="7ECE90DE" w14:textId="5DA031B4"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55988CFB" w14:textId="659FB043" w:rsidR="001A0B09" w:rsidRDefault="007453EC">
            <w:pPr>
              <w:spacing w:before="240" w:after="240"/>
              <w:rPr>
                <w:rFonts w:ascii="Times New Roman" w:hAnsi="Times New Roman"/>
                <w:bCs/>
                <w:sz w:val="18"/>
                <w:szCs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jest bank centralny, a transakcja jest zabezpieczona aktywami, które – niezależnie od tego, czy są one ponownie wykorzystywane w innej transakcji – kwalifikują się zgodnie z art. 7 i 13 </w:t>
            </w:r>
            <w:r>
              <w:rPr>
                <w:rFonts w:ascii="Times New Roman" w:hAnsi="Times New Roman"/>
                <w:sz w:val="18"/>
                <w:szCs w:val="18"/>
              </w:rPr>
              <w:t>rozporządzenia delegowanego (UE) 2015/61 jako aktywa płynne należące do kategorii aktywów poziomu 2B, o których mowa w art. 13 ust. 2 lit. g) ppkt (iii) lub (v).</w:t>
            </w:r>
          </w:p>
        </w:tc>
      </w:tr>
      <w:tr w:rsidR="001A0B09" w14:paraId="23366722" w14:textId="77777777" w:rsidTr="00454544">
        <w:tc>
          <w:tcPr>
            <w:tcW w:w="756" w:type="dxa"/>
            <w:shd w:val="clear" w:color="auto" w:fill="auto"/>
            <w:vAlign w:val="center"/>
          </w:tcPr>
          <w:p w14:paraId="4650AF42" w14:textId="77777777" w:rsidR="001A0B09"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2CA9D556" w14:textId="5B566ECC"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0A6A1864" w14:textId="1DE58026" w:rsidR="001A0B09" w:rsidRDefault="007453EC">
            <w:pPr>
              <w:spacing w:before="240" w:after="240"/>
              <w:rPr>
                <w:rFonts w:ascii="Times New Roman" w:hAnsi="Times New Roman"/>
                <w:b/>
                <w:bCs/>
                <w:sz w:val="18"/>
                <w:szCs w:val="18"/>
              </w:rPr>
            </w:pPr>
            <w:r>
              <w:rPr>
                <w:rFonts w:ascii="Times New Roman" w:hAnsi="Times New Roman"/>
                <w:sz w:val="18"/>
              </w:rPr>
              <w:t>Spośród transakcji, o których mowa w pkt 1.2.1.1.6, te transakcje, w przypadku których otrzymane zabezpieczenie spełnia wymagania operacyjne określone w art. 8 rozporządzenia delegowanego (UE) 2015/61.</w:t>
            </w:r>
          </w:p>
        </w:tc>
      </w:tr>
      <w:tr w:rsidR="001A0B09" w14:paraId="3B60FC8F" w14:textId="77777777" w:rsidTr="00454544">
        <w:tc>
          <w:tcPr>
            <w:tcW w:w="756" w:type="dxa"/>
            <w:shd w:val="clear" w:color="auto" w:fill="auto"/>
            <w:vAlign w:val="center"/>
          </w:tcPr>
          <w:p w14:paraId="791F3CAB" w14:textId="77777777" w:rsidR="001A0B09"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1.2.1.1.7. Zabezpieczenie aktywami poziomu 2B nieuwzględnione w sekcjach 1.2.1.1.4, 1.2.1.1.5 ani 1.2.1.1.6.</w:t>
            </w:r>
          </w:p>
          <w:p w14:paraId="207160CD" w14:textId="14648D9B"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389B5D8F" w14:textId="421514CA" w:rsidR="001A0B09" w:rsidRDefault="007453EC">
            <w:pPr>
              <w:spacing w:before="240" w:after="240"/>
              <w:rPr>
                <w:rFonts w:ascii="Times New Roman" w:hAnsi="Times New Roman"/>
                <w:bCs/>
                <w:sz w:val="18"/>
                <w:szCs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jest bank centralny, a transakcja jest zabezpieczona aktywami, które – niezależnie od tego, czy są one ponownie wykorzystywane w innej transakcji – kwalifikują się zgodnie z art. 7 i 12 </w:t>
            </w:r>
            <w:r>
              <w:rPr>
                <w:rFonts w:ascii="Times New Roman" w:hAnsi="Times New Roman"/>
                <w:sz w:val="18"/>
                <w:szCs w:val="18"/>
              </w:rPr>
              <w:t>rozporządzenia delegowanego (UE) 2015/61 jako aktywa płynne należące do którekolwiek z kategorii aktywów poziomu 2B, o których mowa w art. 12 ust. 1 lit. b), c) lub f).</w:t>
            </w:r>
          </w:p>
        </w:tc>
      </w:tr>
      <w:tr w:rsidR="001A0B09" w14:paraId="75FE4745" w14:textId="77777777" w:rsidTr="00454544">
        <w:tc>
          <w:tcPr>
            <w:tcW w:w="756" w:type="dxa"/>
            <w:shd w:val="clear" w:color="auto" w:fill="auto"/>
            <w:vAlign w:val="center"/>
          </w:tcPr>
          <w:p w14:paraId="12C5C9FA" w14:textId="77777777" w:rsidR="001A0B09" w:rsidRDefault="007453EC">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2831C8CD" w14:textId="3FB88739"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18F123FC" w14:textId="25286B5A" w:rsidR="001A0B09" w:rsidRDefault="007453EC">
            <w:pPr>
              <w:spacing w:before="240" w:after="240"/>
              <w:rPr>
                <w:rFonts w:ascii="Times New Roman" w:hAnsi="Times New Roman"/>
                <w:b/>
                <w:bCs/>
                <w:sz w:val="18"/>
                <w:szCs w:val="18"/>
              </w:rPr>
            </w:pPr>
            <w:r>
              <w:rPr>
                <w:rFonts w:ascii="Times New Roman" w:hAnsi="Times New Roman"/>
                <w:sz w:val="18"/>
              </w:rPr>
              <w:t>Spośród transakcji, o których mowa w pkt 1.2.1.1.7, te transakcje, w przypadku których otrzymane zabezpieczenie spełnia wymagania operacyjne określone w art. 8 rozporządzenia delegowanego (UE) 2015/61.</w:t>
            </w:r>
          </w:p>
        </w:tc>
      </w:tr>
      <w:tr w:rsidR="001A0B09" w14:paraId="63775C3B" w14:textId="77777777" w:rsidTr="00454544">
        <w:tc>
          <w:tcPr>
            <w:tcW w:w="756" w:type="dxa"/>
            <w:shd w:val="clear" w:color="auto" w:fill="auto"/>
            <w:vAlign w:val="center"/>
          </w:tcPr>
          <w:p w14:paraId="37012245" w14:textId="77777777" w:rsidR="001A0B09" w:rsidRDefault="007453EC">
            <w:pPr>
              <w:jc w:val="left"/>
              <w:rPr>
                <w:rFonts w:ascii="Times New Roman" w:hAnsi="Times New Roman"/>
                <w:sz w:val="18"/>
                <w:szCs w:val="18"/>
              </w:rPr>
            </w:pPr>
            <w:r>
              <w:rPr>
                <w:rFonts w:ascii="Times New Roman" w:hAnsi="Times New Roman"/>
                <w:sz w:val="18"/>
                <w:szCs w:val="18"/>
              </w:rPr>
              <w:lastRenderedPageBreak/>
              <w:t>297</w:t>
            </w:r>
          </w:p>
        </w:tc>
        <w:tc>
          <w:tcPr>
            <w:tcW w:w="7540" w:type="dxa"/>
            <w:shd w:val="clear" w:color="auto" w:fill="auto"/>
            <w:vAlign w:val="center"/>
          </w:tcPr>
          <w:p w14:paraId="418C82D0" w14:textId="77777777" w:rsidR="001A0B09" w:rsidRDefault="007453EC">
            <w:pPr>
              <w:rPr>
                <w:rFonts w:ascii="Times New Roman" w:hAnsi="Times New Roman"/>
                <w:b/>
                <w:bCs/>
                <w:sz w:val="18"/>
                <w:szCs w:val="18"/>
              </w:rPr>
            </w:pPr>
            <w:r>
              <w:rPr>
                <w:rFonts w:ascii="Times New Roman" w:hAnsi="Times New Roman"/>
                <w:b/>
                <w:bCs/>
                <w:sz w:val="18"/>
                <w:szCs w:val="18"/>
              </w:rPr>
              <w:t>1.2.1.2. zabezpieczenie wykorzystywane w celu pokrycia pozycji krótkiej</w:t>
            </w:r>
          </w:p>
          <w:p w14:paraId="468345EC" w14:textId="32FB53EB"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351E38D7" w14:textId="77777777" w:rsidR="001A0B09" w:rsidRDefault="007453EC">
            <w:pPr>
              <w:spacing w:before="240" w:after="240"/>
              <w:rPr>
                <w:rFonts w:ascii="Times New Roman" w:hAnsi="Times New Roman"/>
                <w:bCs/>
                <w:sz w:val="18"/>
                <w:szCs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jest bank centralny, a transakcja jest zabezpieczona aktywami, które są wykorzystywane w celu pokrycia pozycji krótkiej zgodnie z art. 30 ust. 5 zdanie drugie. </w:t>
            </w:r>
            <w:r>
              <w:rPr>
                <w:rFonts w:ascii="Times New Roman" w:hAnsi="Times New Roman"/>
                <w:bCs/>
                <w:sz w:val="18"/>
                <w:szCs w:val="18"/>
              </w:rPr>
              <w:t>Jeżeli zabezpieczenie jakiegokolwiek typu jest wykorzystywane w celu pokrycia pozycji krótkiej, zgłasza się to w tej sekcji, a nie w żadnym z powyższych wierszy. Należy unikać podwójnego liczenia.</w:t>
            </w:r>
          </w:p>
        </w:tc>
      </w:tr>
      <w:tr w:rsidR="001A0B09" w14:paraId="560E4504" w14:textId="77777777" w:rsidTr="00454544">
        <w:tc>
          <w:tcPr>
            <w:tcW w:w="756" w:type="dxa"/>
            <w:shd w:val="clear" w:color="auto" w:fill="auto"/>
            <w:vAlign w:val="center"/>
          </w:tcPr>
          <w:p w14:paraId="751A3240" w14:textId="265C2B65" w:rsidR="001A0B09" w:rsidRDefault="007453EC">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1A0B09" w:rsidRDefault="007453EC">
            <w:pPr>
              <w:spacing w:before="240" w:after="240"/>
              <w:rPr>
                <w:rFonts w:ascii="Times New Roman" w:hAnsi="Times New Roman"/>
                <w:b/>
                <w:bCs/>
                <w:sz w:val="18"/>
                <w:szCs w:val="18"/>
              </w:rPr>
            </w:pPr>
            <w:r>
              <w:rPr>
                <w:rFonts w:ascii="Times New Roman" w:hAnsi="Times New Roman"/>
                <w:b/>
                <w:bCs/>
                <w:sz w:val="18"/>
                <w:szCs w:val="18"/>
              </w:rPr>
              <w:t>1.2.1.3. zabezpieczenie, które nie kwalifikuje się jako składnik aktywów płynnych</w:t>
            </w:r>
          </w:p>
          <w:p w14:paraId="6130085E" w14:textId="58861C76"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Instytucje kredytowe zgłaszają w wierszu 299 w formularzu C 74.00 określonym w załączniku </w:t>
            </w:r>
            <w:r>
              <w:rPr>
                <w:rFonts w:ascii="Times New Roman" w:hAnsi="Times New Roman"/>
                <w:sz w:val="18"/>
                <w:szCs w:val="18"/>
              </w:rPr>
              <w:t xml:space="preserve">XXIV </w:t>
            </w:r>
            <w:r>
              <w:rPr>
                <w:rFonts w:ascii="Times New Roman" w:hAnsi="Times New Roman"/>
                <w:bCs/>
                <w:sz w:val="18"/>
                <w:szCs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bCs/>
                <w:sz w:val="18"/>
                <w:szCs w:val="18"/>
              </w:rPr>
              <w:t>w przypadku gdy kontrahentem jest bank centralny, a zabezpieczenie nie kwalifikuje się jako składnik aktywów płynnych. Instytucje kredytowe zgłaszają</w:t>
            </w:r>
          </w:p>
          <w:p w14:paraId="0ABDF67D" w14:textId="6ECF3DFA" w:rsidR="001A0B09"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w odniesieniu do każdej z kolumn 010, 020 i 030 całkowitą kwotę środków pieniężnych należnych z tytułu tych transakcji jako sumę środków pieniężnych należnych z tytułu zabezpieczonych transakcji kredytowych i transakcji opartych na rynku kapitałowym – w przypadku, gdy zabezpieczenie ma postać niepłynnych instrumentów kapitałowych, oraz zabezpieczonych transakcji kredytowych i transakcji opartych na rynku kapitałowym zabezpieczonych dowolnym innym zabezpieczeniem niepłynnym; oraz</w:t>
            </w:r>
          </w:p>
          <w:p w14:paraId="34A5C1F3" w14:textId="1AD396B8" w:rsidR="001A0B09"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w odniesieniu do każdej z kolumn 140, 150 i 160 sumę wpływów należnych z tytułu tych transakcji jako sumę wpływów należnych z tytułu zabezpieczonych transakcji kredytowych i transakcji opartych na rynku kapitałowym – w przypadku, gdy zabezpieczenie ma postać niepłynnych instrumentów kapitałowych, oraz zabezpieczonych transakcji kredytowych i transakcji opartych na rynku kapitałowym zabezpieczonych dowolnym innym zabezpieczeniem niepłynnym.</w:t>
            </w:r>
          </w:p>
        </w:tc>
      </w:tr>
      <w:tr w:rsidR="001A0B09" w14:paraId="1B116A0E" w14:textId="77777777" w:rsidTr="00454544">
        <w:tc>
          <w:tcPr>
            <w:tcW w:w="756" w:type="dxa"/>
            <w:shd w:val="clear" w:color="auto" w:fill="auto"/>
            <w:vAlign w:val="center"/>
          </w:tcPr>
          <w:p w14:paraId="59EC0ABC" w14:textId="17F4370B" w:rsidR="001A0B09"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1A0B09" w:rsidRDefault="007453EC">
            <w:pPr>
              <w:rPr>
                <w:rFonts w:ascii="Times New Roman" w:hAnsi="Times New Roman"/>
                <w:b/>
                <w:bCs/>
                <w:sz w:val="18"/>
                <w:szCs w:val="18"/>
              </w:rPr>
            </w:pPr>
            <w:r>
              <w:rPr>
                <w:rFonts w:ascii="Times New Roman" w:hAnsi="Times New Roman"/>
                <w:b/>
                <w:bCs/>
                <w:sz w:val="18"/>
                <w:szCs w:val="18"/>
              </w:rPr>
              <w:t>1.2.1.3.1. zabezpieczenie w postaci niepłynnych instrumentów kapitałowych</w:t>
            </w:r>
          </w:p>
          <w:p w14:paraId="637379CF" w14:textId="7C7F66ED"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6014DA8E" w14:textId="77777777" w:rsidR="001A0B09" w:rsidRDefault="007453EC">
            <w:pPr>
              <w:spacing w:before="240" w:after="240"/>
              <w:rPr>
                <w:rFonts w:ascii="Times New Roman" w:hAnsi="Times New Roman"/>
                <w:bCs/>
                <w:sz w:val="18"/>
                <w:szCs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w przypadku gdy kontrahentem jest bank centralny, a transakcja ma zabezpieczenie w postaci niepłynnych instrumentów kapitałowych.</w:t>
            </w:r>
          </w:p>
        </w:tc>
      </w:tr>
      <w:tr w:rsidR="001A0B09" w14:paraId="6F632AA8" w14:textId="77777777" w:rsidTr="00454544">
        <w:tc>
          <w:tcPr>
            <w:tcW w:w="756" w:type="dxa"/>
            <w:shd w:val="clear" w:color="auto" w:fill="auto"/>
            <w:vAlign w:val="center"/>
          </w:tcPr>
          <w:p w14:paraId="061E6738" w14:textId="7C1363D1" w:rsidR="001A0B09"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1A0B09" w:rsidRDefault="007453EC">
            <w:pPr>
              <w:rPr>
                <w:rFonts w:ascii="Times New Roman" w:hAnsi="Times New Roman"/>
                <w:b/>
                <w:bCs/>
                <w:sz w:val="18"/>
                <w:szCs w:val="18"/>
              </w:rPr>
            </w:pPr>
            <w:r>
              <w:rPr>
                <w:rFonts w:ascii="Times New Roman" w:hAnsi="Times New Roman"/>
                <w:b/>
                <w:bCs/>
                <w:sz w:val="18"/>
                <w:szCs w:val="18"/>
              </w:rPr>
              <w:t>1.2.1.3.2 wszystkie inne rodzaje zabezpieczenia niepłynnego</w:t>
            </w:r>
          </w:p>
          <w:p w14:paraId="298EA1F7" w14:textId="15861E17"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5FE8571F" w14:textId="330B69E7" w:rsidR="001A0B09" w:rsidRDefault="007453EC">
            <w:pPr>
              <w:spacing w:before="240" w:after="240"/>
              <w:rPr>
                <w:rFonts w:ascii="Times New Roman" w:hAnsi="Times New Roman"/>
                <w:bCs/>
                <w:sz w:val="18"/>
                <w:szCs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w przypadku gdy kontrahentem jest bank centralny, a transakcja ma zabezpieczenie w postaci niepłynnych aktywów nieuwzględnionych w sekcji 1.2.1.3.1.</w:t>
            </w:r>
          </w:p>
        </w:tc>
      </w:tr>
      <w:tr w:rsidR="001A0B09" w14:paraId="5E0DE273" w14:textId="77777777" w:rsidTr="00454544">
        <w:tc>
          <w:tcPr>
            <w:tcW w:w="756" w:type="dxa"/>
            <w:shd w:val="clear" w:color="auto" w:fill="auto"/>
            <w:vAlign w:val="center"/>
          </w:tcPr>
          <w:p w14:paraId="4A686C89" w14:textId="10EAF57A" w:rsidR="001A0B09"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 kontrahentem nie jest bank centralny</w:t>
            </w:r>
          </w:p>
          <w:p w14:paraId="03D32ACB" w14:textId="77777777" w:rsidR="001A0B09" w:rsidRDefault="007453EC">
            <w:pPr>
              <w:spacing w:before="240" w:after="240"/>
              <w:rPr>
                <w:rFonts w:ascii="Times New Roman" w:hAnsi="Times New Roman"/>
                <w:sz w:val="18"/>
              </w:rPr>
            </w:pPr>
            <w:r>
              <w:rPr>
                <w:rFonts w:ascii="Times New Roman" w:hAnsi="Times New Roman"/>
                <w:sz w:val="18"/>
              </w:rPr>
              <w:t xml:space="preserve">W tej sekcji instytucje kredytowe zgłaszają wpływy wynikające z zabezpieczonych transakcji kredytowych i transakcji opartych na rynku kapitałowym zdefiniowanych w art. 192 pkt 2 i 3 rozporządzenia (UE) nr 575/2013, </w:t>
            </w:r>
            <w:r>
              <w:rPr>
                <w:rFonts w:ascii="Times New Roman" w:hAnsi="Times New Roman"/>
                <w:bCs/>
                <w:sz w:val="18"/>
                <w:szCs w:val="18"/>
              </w:rPr>
              <w:t>których rezydualny termin zapadalności jest nie dłuższy niż 30 dni</w:t>
            </w:r>
            <w:r>
              <w:rPr>
                <w:rFonts w:ascii="Times New Roman" w:hAnsi="Times New Roman"/>
                <w:sz w:val="18"/>
              </w:rPr>
              <w:t>, w przypadku gdy kontrahentem nie jest bank centralny.</w:t>
            </w:r>
          </w:p>
          <w:p w14:paraId="571D6A5D" w14:textId="5C4DC921" w:rsidR="001A0B09" w:rsidRDefault="007453EC">
            <w:pPr>
              <w:spacing w:before="240" w:after="240"/>
              <w:rPr>
                <w:rFonts w:ascii="Times New Roman" w:hAnsi="Times New Roman"/>
                <w:sz w:val="18"/>
                <w:szCs w:val="18"/>
              </w:rPr>
            </w:pPr>
            <w:r>
              <w:rPr>
                <w:rFonts w:ascii="Times New Roman" w:hAnsi="Times New Roman"/>
                <w:bCs/>
                <w:sz w:val="18"/>
                <w:szCs w:val="18"/>
              </w:rPr>
              <w:t xml:space="preserve">W wierszu 305 w formularzu C 74.00 określonym w załączniku </w:t>
            </w:r>
            <w:r>
              <w:rPr>
                <w:rFonts w:ascii="Times New Roman" w:hAnsi="Times New Roman"/>
                <w:sz w:val="18"/>
                <w:szCs w:val="18"/>
              </w:rPr>
              <w:t>XXIV instytucje kredytowe zgłaszają:</w:t>
            </w:r>
          </w:p>
          <w:p w14:paraId="1E86499A"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w odniesieniu do każdej z kolumn 010, 020 i 030 całkowitą kwotę środków pieniężnych należnych z tytułu zabezpieczonych transakcji kredytowych i transakcji opartych na rynku </w:t>
            </w:r>
            <w:r>
              <w:rPr>
                <w:rFonts w:ascii="Times New Roman" w:hAnsi="Times New Roman"/>
                <w:bCs/>
                <w:sz w:val="18"/>
                <w:szCs w:val="18"/>
              </w:rPr>
              <w:lastRenderedPageBreak/>
              <w:t>kapitałowym</w:t>
            </w:r>
            <w:r>
              <w:rPr>
                <w:rFonts w:ascii="Times New Roman" w:hAnsi="Times New Roman"/>
                <w:sz w:val="18"/>
              </w:rPr>
              <w:t>, w przypadku gdy kontrahentem nie jest bank centralny</w:t>
            </w:r>
            <w:r>
              <w:rPr>
                <w:rFonts w:ascii="Times New Roman" w:hAnsi="Times New Roman"/>
                <w:bCs/>
                <w:sz w:val="18"/>
                <w:szCs w:val="18"/>
              </w:rPr>
              <w:t>; oraz</w:t>
            </w:r>
          </w:p>
          <w:p w14:paraId="20C26E4A"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sumę wpływów z tytułu zabezpieczonych transakcji kredytowych i transakcji opartych na rynku kapitałowym</w:t>
            </w:r>
            <w:r>
              <w:rPr>
                <w:rFonts w:ascii="Times New Roman" w:hAnsi="Times New Roman"/>
                <w:sz w:val="18"/>
              </w:rPr>
              <w:t>, w przypadku gdy kontrahentem nie jest bank centralny</w:t>
            </w:r>
            <w:r>
              <w:rPr>
                <w:rFonts w:ascii="Times New Roman" w:hAnsi="Times New Roman"/>
                <w:bCs/>
                <w:sz w:val="18"/>
                <w:szCs w:val="18"/>
              </w:rPr>
              <w:t>.</w:t>
            </w:r>
          </w:p>
        </w:tc>
      </w:tr>
      <w:tr w:rsidR="001A0B09" w14:paraId="2249B0F8" w14:textId="77777777" w:rsidTr="00454544">
        <w:tc>
          <w:tcPr>
            <w:tcW w:w="756" w:type="dxa"/>
            <w:shd w:val="clear" w:color="auto" w:fill="auto"/>
            <w:vAlign w:val="center"/>
          </w:tcPr>
          <w:p w14:paraId="55B54040" w14:textId="6620C5E1" w:rsidR="001A0B09" w:rsidRDefault="007453EC">
            <w:pPr>
              <w:jc w:val="left"/>
              <w:rPr>
                <w:rFonts w:ascii="Times New Roman" w:hAnsi="Times New Roman"/>
                <w:sz w:val="18"/>
                <w:szCs w:val="18"/>
              </w:rPr>
            </w:pPr>
            <w:r>
              <w:rPr>
                <w:rFonts w:ascii="Times New Roman" w:hAnsi="Times New Roman"/>
                <w:sz w:val="18"/>
                <w:szCs w:val="18"/>
              </w:rPr>
              <w:lastRenderedPageBreak/>
              <w:t>307</w:t>
            </w:r>
          </w:p>
        </w:tc>
        <w:tc>
          <w:tcPr>
            <w:tcW w:w="7540" w:type="dxa"/>
            <w:shd w:val="clear" w:color="auto" w:fill="auto"/>
            <w:vAlign w:val="center"/>
          </w:tcPr>
          <w:p w14:paraId="256EB55D"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 zabezpieczenie, które kwalifikuje się jako składnik aktywów płynnych</w:t>
            </w:r>
          </w:p>
          <w:p w14:paraId="233069A8" w14:textId="71B53050" w:rsidR="001A0B09" w:rsidRDefault="007453EC">
            <w:pPr>
              <w:spacing w:before="240" w:after="240"/>
              <w:rPr>
                <w:rFonts w:ascii="Times New Roman" w:hAnsi="Times New Roman"/>
                <w:sz w:val="18"/>
                <w:szCs w:val="18"/>
              </w:rPr>
            </w:pPr>
            <w:r>
              <w:rPr>
                <w:rFonts w:ascii="Times New Roman" w:hAnsi="Times New Roman"/>
                <w:bCs/>
                <w:sz w:val="18"/>
                <w:szCs w:val="18"/>
              </w:rPr>
              <w:t xml:space="preserve">W wierszu 307 w formularzu C 74.00 określonym w załączniku </w:t>
            </w:r>
            <w:r>
              <w:rPr>
                <w:rFonts w:ascii="Times New Roman" w:hAnsi="Times New Roman"/>
                <w:sz w:val="18"/>
                <w:szCs w:val="18"/>
              </w:rPr>
              <w:t>XXIV instytucje kredytowe zgłaszają:</w:t>
            </w:r>
          </w:p>
          <w:p w14:paraId="135226B4" w14:textId="77777777" w:rsidR="001A0B09"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środków pieniężnych należnych z tytułu zabezpieczonych transakcji kredytowych i transakcji opartych na rynku kapitałowym</w:t>
            </w:r>
            <w:r>
              <w:rPr>
                <w:rFonts w:ascii="Times New Roman" w:hAnsi="Times New Roman"/>
                <w:sz w:val="18"/>
              </w:rPr>
              <w:t xml:space="preserve">, </w:t>
            </w:r>
            <w:r>
              <w:rPr>
                <w:rFonts w:ascii="Times New Roman" w:hAnsi="Times New Roman"/>
                <w:bCs/>
                <w:sz w:val="18"/>
                <w:szCs w:val="18"/>
              </w:rPr>
              <w:t xml:space="preserve">których rezydualny termin zapadalności jest nie dłuższy niż 30 dni, </w:t>
            </w:r>
            <w:r>
              <w:rPr>
                <w:rFonts w:ascii="Times New Roman" w:hAnsi="Times New Roman"/>
                <w:sz w:val="18"/>
              </w:rPr>
              <w:t>w przypadku gdy kontrahentem nie jest bank centralny, a transakcja jest zabezpieczona aktywami płynnymi; oraz</w:t>
            </w:r>
          </w:p>
          <w:p w14:paraId="51A3849B" w14:textId="77777777" w:rsidR="001A0B09"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w odniesieniu do każdej z kolumn 140, 150 i 160 całkowite wpływy z tytułu zabezpieczonych transakcji kredytowych i transakcji opartych na rynku kapitałowym</w:t>
            </w:r>
            <w:r>
              <w:rPr>
                <w:rFonts w:ascii="Times New Roman" w:hAnsi="Times New Roman"/>
                <w:sz w:val="18"/>
              </w:rPr>
              <w:t xml:space="preserve">, </w:t>
            </w:r>
            <w:r>
              <w:rPr>
                <w:rFonts w:ascii="Times New Roman" w:hAnsi="Times New Roman"/>
                <w:bCs/>
                <w:sz w:val="18"/>
                <w:szCs w:val="18"/>
              </w:rPr>
              <w:t xml:space="preserve">których rezydualny termin zapadalności jest nie dłuższy niż 30 dni, </w:t>
            </w:r>
            <w:r>
              <w:rPr>
                <w:rFonts w:ascii="Times New Roman" w:hAnsi="Times New Roman"/>
                <w:sz w:val="18"/>
              </w:rPr>
              <w:t>w przypadku gdy kontrahentem nie jest bank centralny, a transakcja jest zabezpieczona aktywami płynnymi.</w:t>
            </w:r>
          </w:p>
          <w:p w14:paraId="09231783" w14:textId="553D16FF" w:rsidR="001A0B09" w:rsidRDefault="007453EC">
            <w:pPr>
              <w:spacing w:before="240" w:after="240"/>
              <w:rPr>
                <w:rFonts w:ascii="Times New Roman" w:hAnsi="Times New Roman"/>
                <w:bCs/>
                <w:sz w:val="18"/>
                <w:szCs w:val="18"/>
              </w:rPr>
            </w:pPr>
            <w:r>
              <w:rPr>
                <w:rFonts w:ascii="Times New Roman" w:hAnsi="Times New Roman"/>
                <w:sz w:val="18"/>
              </w:rPr>
              <w:t xml:space="preserve">Instytucje kredytowe zgłaszają </w:t>
            </w:r>
            <w:r>
              <w:rPr>
                <w:rFonts w:ascii="Times New Roman" w:hAnsi="Times New Roman"/>
                <w:bCs/>
                <w:sz w:val="18"/>
                <w:szCs w:val="18"/>
              </w:rPr>
              <w:t>zabezpieczone transakcje kredytowe i transakcje oparte na rynku kapitałowym</w:t>
            </w:r>
            <w:r>
              <w:rPr>
                <w:rFonts w:ascii="Times New Roman" w:hAnsi="Times New Roman"/>
                <w:sz w:val="18"/>
              </w:rPr>
              <w:t xml:space="preserve">, </w:t>
            </w:r>
            <w:r>
              <w:rPr>
                <w:rFonts w:ascii="Times New Roman" w:hAnsi="Times New Roman"/>
                <w:bCs/>
                <w:sz w:val="18"/>
                <w:szCs w:val="18"/>
              </w:rPr>
              <w:t xml:space="preserve">których rezydualny termin zapadalności jest nie dłuższy niż 30 dni, </w:t>
            </w:r>
            <w:r>
              <w:rPr>
                <w:rFonts w:ascii="Times New Roman" w:hAnsi="Times New Roman"/>
                <w:sz w:val="18"/>
              </w:rPr>
              <w:t xml:space="preserve">w przypadku gdy kontrahentem nie jest bank centralny, a transakcja jest zabezpieczona aktywami płynnymi, niezależnie od tego, czy są one ponownie wykorzystywane w innej transakcji oraz czy otrzymane aktywa płynne spełniają wymagania operacyjne zgodnie z art. 8 </w:t>
            </w:r>
            <w:r>
              <w:rPr>
                <w:rFonts w:ascii="Times New Roman" w:hAnsi="Times New Roman"/>
                <w:bCs/>
                <w:sz w:val="18"/>
                <w:szCs w:val="18"/>
              </w:rPr>
              <w:t>rozporządzenia delegowanego (UE) 2015/61.</w:t>
            </w:r>
          </w:p>
        </w:tc>
      </w:tr>
      <w:tr w:rsidR="001A0B09" w14:paraId="1C457409" w14:textId="77777777" w:rsidTr="00454544">
        <w:tc>
          <w:tcPr>
            <w:tcW w:w="756" w:type="dxa"/>
            <w:shd w:val="clear" w:color="auto" w:fill="auto"/>
            <w:vAlign w:val="center"/>
          </w:tcPr>
          <w:p w14:paraId="0016CC4D" w14:textId="4249D3D4" w:rsidR="001A0B09"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1.2.2.1.1. zabezpieczenie aktywami poziomu 1, z wyłączeniem obligacji zabezpieczonych charakteryzujących się wyjątkowo wysoką jakością</w:t>
            </w:r>
          </w:p>
          <w:p w14:paraId="24C1B65E" w14:textId="0065B9D3"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367E09A9" w14:textId="59968CF9" w:rsidR="001A0B09" w:rsidRDefault="007453EC">
            <w:pPr>
              <w:spacing w:before="240" w:after="240"/>
              <w:rPr>
                <w:rFonts w:ascii="Times New Roman" w:hAnsi="Times New Roman"/>
                <w:sz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nie jest bank centralny, a transakcja jest zabezpieczona aktywami, które – niezależnie od tego, czy są one ponownie wykorzystywane w innej transakcji – kwalifikują się zgodnie z art. 7 i 10 </w:t>
            </w:r>
            <w:r>
              <w:rPr>
                <w:rFonts w:ascii="Times New Roman" w:hAnsi="Times New Roman"/>
                <w:sz w:val="18"/>
                <w:szCs w:val="18"/>
              </w:rPr>
              <w:t>rozporządzenia delegowanego (UE) 2015/61 jako aktywa płynne którejkolwiek z kategorii aktywów poziomu 1, o których mowa w art. 10, z wyjątkiem obligacji zabezpieczonych charakteryzujących się wyjątkowo wysoką jakością, o których mowa w art. 10 ust. 1 lit. f).</w:t>
            </w:r>
          </w:p>
        </w:tc>
      </w:tr>
      <w:tr w:rsidR="001A0B09" w14:paraId="33E90C62" w14:textId="77777777" w:rsidTr="00454544">
        <w:tc>
          <w:tcPr>
            <w:tcW w:w="756" w:type="dxa"/>
            <w:shd w:val="clear" w:color="auto" w:fill="auto"/>
            <w:vAlign w:val="center"/>
          </w:tcPr>
          <w:p w14:paraId="2F81365E" w14:textId="53E649F2" w:rsidR="001A0B09"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6B62DBA3" w14:textId="5EDB54A4"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4A90E68A" w14:textId="1F4AFE4F" w:rsidR="001A0B09" w:rsidRDefault="007453EC">
            <w:pPr>
              <w:spacing w:before="240" w:after="240"/>
              <w:rPr>
                <w:rFonts w:ascii="Times New Roman" w:hAnsi="Times New Roman"/>
                <w:bCs/>
                <w:sz w:val="18"/>
                <w:szCs w:val="18"/>
              </w:rPr>
            </w:pPr>
            <w:r>
              <w:rPr>
                <w:rFonts w:ascii="Times New Roman" w:hAnsi="Times New Roman"/>
                <w:sz w:val="18"/>
              </w:rPr>
              <w:t>Spośród transakcji, o których mowa w pkt 1.2.2.1.1, te transakcje, w przypadku których otrzymane zabezpieczenie spełnia wymagania operacyjne określone w art. 8 rozporządzenia delegowanego (UE) 2015/61.</w:t>
            </w:r>
          </w:p>
        </w:tc>
      </w:tr>
      <w:tr w:rsidR="001A0B09" w14:paraId="0D64B481" w14:textId="77777777" w:rsidTr="00454544">
        <w:tc>
          <w:tcPr>
            <w:tcW w:w="756" w:type="dxa"/>
            <w:shd w:val="clear" w:color="auto" w:fill="auto"/>
            <w:vAlign w:val="center"/>
          </w:tcPr>
          <w:p w14:paraId="0E8CD3B0" w14:textId="1548FB2D" w:rsidR="001A0B09"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1.2.2.1.2. zabezpieczenie aktywami poziomu 1 w postaci obligacji zabezpieczonych charakteryzujących się wyjątkowo wysoką jakością</w:t>
            </w:r>
          </w:p>
          <w:p w14:paraId="14F81783" w14:textId="090C3E15"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0CAABEC1" w14:textId="35B66D91" w:rsidR="001A0B09" w:rsidRDefault="007453EC">
            <w:pPr>
              <w:spacing w:before="240" w:after="240"/>
              <w:rPr>
                <w:rFonts w:ascii="Times New Roman" w:hAnsi="Times New Roman"/>
                <w:sz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nie jest bank centralny, a transakcja jest zabezpieczona aktywami, które – niezależnie od tego, czy są one ponownie wykorzystywane w innej transakcji – kwalifikują się zgodnie z art. 7 i 10 </w:t>
            </w:r>
            <w:r>
              <w:rPr>
                <w:rFonts w:ascii="Times New Roman" w:hAnsi="Times New Roman"/>
                <w:sz w:val="18"/>
                <w:szCs w:val="18"/>
              </w:rPr>
              <w:t xml:space="preserve">rozporządzenia </w:t>
            </w:r>
            <w:r>
              <w:rPr>
                <w:rFonts w:ascii="Times New Roman" w:hAnsi="Times New Roman"/>
                <w:sz w:val="18"/>
                <w:szCs w:val="18"/>
              </w:rPr>
              <w:lastRenderedPageBreak/>
              <w:t>delegowanego (UE) 2015/61 jako aktywa płynne należące do kategorii, o której mowa art. 10 ust. 1 lit. f).</w:t>
            </w:r>
          </w:p>
        </w:tc>
      </w:tr>
      <w:tr w:rsidR="001A0B09" w14:paraId="5844282E" w14:textId="77777777" w:rsidTr="00454544">
        <w:tc>
          <w:tcPr>
            <w:tcW w:w="756" w:type="dxa"/>
            <w:shd w:val="clear" w:color="auto" w:fill="auto"/>
            <w:vAlign w:val="center"/>
          </w:tcPr>
          <w:p w14:paraId="6B6D69CA" w14:textId="2B6D2176" w:rsidR="001A0B09" w:rsidRDefault="007453EC">
            <w:pPr>
              <w:jc w:val="left"/>
              <w:rPr>
                <w:rFonts w:ascii="Times New Roman" w:hAnsi="Times New Roman"/>
                <w:sz w:val="18"/>
                <w:szCs w:val="18"/>
              </w:rPr>
            </w:pPr>
            <w:r>
              <w:rPr>
                <w:rFonts w:ascii="Times New Roman" w:hAnsi="Times New Roman"/>
                <w:sz w:val="18"/>
                <w:szCs w:val="18"/>
              </w:rPr>
              <w:lastRenderedPageBreak/>
              <w:t>315</w:t>
            </w:r>
          </w:p>
        </w:tc>
        <w:tc>
          <w:tcPr>
            <w:tcW w:w="7540" w:type="dxa"/>
            <w:shd w:val="clear" w:color="auto" w:fill="auto"/>
            <w:vAlign w:val="center"/>
          </w:tcPr>
          <w:p w14:paraId="5F805BAC"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5A49C7E6" w14:textId="00D3A644"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5B86AA67" w14:textId="529E2EF5" w:rsidR="001A0B09" w:rsidRDefault="007453EC">
            <w:pPr>
              <w:spacing w:before="240" w:after="240"/>
              <w:rPr>
                <w:rFonts w:ascii="Times New Roman" w:hAnsi="Times New Roman"/>
                <w:bCs/>
                <w:sz w:val="18"/>
                <w:szCs w:val="18"/>
              </w:rPr>
            </w:pPr>
            <w:r>
              <w:rPr>
                <w:rFonts w:ascii="Times New Roman" w:hAnsi="Times New Roman"/>
                <w:sz w:val="18"/>
              </w:rPr>
              <w:t>Spośród transakcji, o których mowa w pkt 1.2.2.1.2, te transakcje, w przypadku których otrzymane zabezpieczenie spełnia wymagania operacyjne określone w art. 8 rozporządzenia delegowanego (UE) 2015/61.</w:t>
            </w:r>
          </w:p>
        </w:tc>
      </w:tr>
      <w:tr w:rsidR="001A0B09" w14:paraId="1FABBAFF" w14:textId="77777777" w:rsidTr="00454544">
        <w:tc>
          <w:tcPr>
            <w:tcW w:w="756" w:type="dxa"/>
            <w:shd w:val="clear" w:color="auto" w:fill="auto"/>
            <w:vAlign w:val="center"/>
          </w:tcPr>
          <w:p w14:paraId="49C642BA" w14:textId="343F068E" w:rsidR="001A0B09" w:rsidRDefault="007453EC">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1.2.2.1.3. zabezpieczenie aktywami poziomu 2A</w:t>
            </w:r>
          </w:p>
          <w:p w14:paraId="10C3F229" w14:textId="4F942B28"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482DCA03" w14:textId="317CE4A9" w:rsidR="001A0B09" w:rsidRDefault="007453EC">
            <w:pPr>
              <w:spacing w:before="240" w:after="240"/>
              <w:rPr>
                <w:rFonts w:ascii="Times New Roman" w:hAnsi="Times New Roman"/>
                <w:sz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nie jest bank centralny, a transakcja jest zabezpieczona aktywami, które – niezależnie od tego, czy są one ponownie wykorzystywane w innej transakcji – kwalifikują się zgodnie z art. 7 i 11 </w:t>
            </w:r>
            <w:r>
              <w:rPr>
                <w:rFonts w:ascii="Times New Roman" w:hAnsi="Times New Roman"/>
                <w:sz w:val="18"/>
                <w:szCs w:val="18"/>
              </w:rPr>
              <w:t>rozporządzenia delegowanego (UE) 2015/61 jako aktywa płynne należące do kategorii aktywów poziomu 2A, o których mowa w art. 11.</w:t>
            </w:r>
          </w:p>
        </w:tc>
      </w:tr>
      <w:tr w:rsidR="001A0B09" w14:paraId="1FDAA33A" w14:textId="77777777" w:rsidTr="00454544">
        <w:tc>
          <w:tcPr>
            <w:tcW w:w="756" w:type="dxa"/>
            <w:shd w:val="clear" w:color="auto" w:fill="auto"/>
            <w:vAlign w:val="center"/>
          </w:tcPr>
          <w:p w14:paraId="1A317D50" w14:textId="2FA49F59" w:rsidR="001A0B09"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7E5A06E4" w14:textId="1454E679"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5EC7537C" w14:textId="4699542E" w:rsidR="001A0B09" w:rsidRDefault="007453EC">
            <w:pPr>
              <w:spacing w:before="240" w:after="240"/>
              <w:rPr>
                <w:rFonts w:ascii="Times New Roman" w:hAnsi="Times New Roman"/>
                <w:bCs/>
                <w:sz w:val="18"/>
                <w:szCs w:val="18"/>
              </w:rPr>
            </w:pPr>
            <w:r>
              <w:rPr>
                <w:rFonts w:ascii="Times New Roman" w:hAnsi="Times New Roman"/>
                <w:sz w:val="18"/>
              </w:rPr>
              <w:t>Spośród transakcji, o których mowa w pkt 1.2.2.1.3, te transakcje, w przypadku których otrzymane zabezpieczenie spełnia wymagania operacyjne określone w art. 8 rozporządzenia delegowanego (UE) 2015/61.</w:t>
            </w:r>
          </w:p>
        </w:tc>
      </w:tr>
      <w:tr w:rsidR="001A0B09" w14:paraId="3B2FF181" w14:textId="77777777" w:rsidTr="00454544">
        <w:tc>
          <w:tcPr>
            <w:tcW w:w="756" w:type="dxa"/>
            <w:shd w:val="clear" w:color="auto" w:fill="auto"/>
            <w:vAlign w:val="center"/>
          </w:tcPr>
          <w:p w14:paraId="21B4A01E" w14:textId="0A3F6938" w:rsidR="001A0B09"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1.2.2.1.4. zabezpieczenie aktywami poziomu 2B w postaci papierów wartościowych zabezpieczonych aktywami (kredyty na nieruchomości mieszkalne lub na zakup samochodów)</w:t>
            </w:r>
          </w:p>
          <w:p w14:paraId="33B44521" w14:textId="2AB2A660"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25CCC1B5" w14:textId="22A56A20" w:rsidR="001A0B09" w:rsidRDefault="007453EC">
            <w:pPr>
              <w:spacing w:before="240" w:after="240"/>
              <w:rPr>
                <w:rFonts w:ascii="Times New Roman" w:hAnsi="Times New Roman"/>
                <w:sz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nie jest bank centralny, a transakcja jest zabezpieczona aktywami, które – niezależnie od tego, czy są one ponownie wykorzystywane w innej transakcji – kwalifikują się zgodnie z art. 7 i 13 </w:t>
            </w:r>
            <w:r>
              <w:rPr>
                <w:rFonts w:ascii="Times New Roman" w:hAnsi="Times New Roman"/>
                <w:sz w:val="18"/>
                <w:szCs w:val="18"/>
              </w:rPr>
              <w:t>rozporządzenia delegowanego (UE) 2015/61 jako aktywa płynne należące do kategorii aktywów poziomu 2B, o których mowa w art. 13 ust. 2 lit. g) ppkt (i), (ii) lub (iv).</w:t>
            </w:r>
          </w:p>
        </w:tc>
      </w:tr>
      <w:tr w:rsidR="001A0B09" w14:paraId="6F0D2108" w14:textId="77777777" w:rsidTr="00454544">
        <w:tc>
          <w:tcPr>
            <w:tcW w:w="756" w:type="dxa"/>
            <w:shd w:val="clear" w:color="auto" w:fill="auto"/>
            <w:vAlign w:val="center"/>
          </w:tcPr>
          <w:p w14:paraId="3950B6E8" w14:textId="3F044AEA" w:rsidR="001A0B09"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6E7D5832" w14:textId="748D1B6A"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59AD7923" w14:textId="64619D67" w:rsidR="001A0B09" w:rsidRDefault="007453EC">
            <w:pPr>
              <w:spacing w:before="240" w:after="240"/>
              <w:rPr>
                <w:rFonts w:ascii="Times New Roman" w:hAnsi="Times New Roman"/>
                <w:bCs/>
                <w:sz w:val="18"/>
                <w:szCs w:val="18"/>
              </w:rPr>
            </w:pPr>
            <w:r>
              <w:rPr>
                <w:rFonts w:ascii="Times New Roman" w:hAnsi="Times New Roman"/>
                <w:sz w:val="18"/>
              </w:rPr>
              <w:t>Spośród transakcji, o których mowa w pkt 1.2.2.1.4, te transakcje, w przypadku których otrzymane zabezpieczenie spełnia wymagania operacyjne określone w art. 8 rozporządzenia delegowanego (UE) 2015/61.</w:t>
            </w:r>
          </w:p>
        </w:tc>
      </w:tr>
      <w:tr w:rsidR="001A0B09" w14:paraId="155E5D8C" w14:textId="77777777" w:rsidTr="00454544">
        <w:tc>
          <w:tcPr>
            <w:tcW w:w="756" w:type="dxa"/>
            <w:shd w:val="clear" w:color="auto" w:fill="auto"/>
            <w:vAlign w:val="center"/>
          </w:tcPr>
          <w:p w14:paraId="65B930A2" w14:textId="48BE81A8" w:rsidR="001A0B09"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1.2.2.1.5. zabezpieczenie aktywami poziomu 2B w postaci obligacji zabezpieczonych charakteryzujących się wysoką jakością</w:t>
            </w:r>
          </w:p>
          <w:p w14:paraId="6196A3D5" w14:textId="2EFC5A67"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6B181158" w14:textId="2224FD35" w:rsidR="001A0B09" w:rsidRDefault="007453EC">
            <w:pPr>
              <w:spacing w:before="240" w:after="240"/>
              <w:rPr>
                <w:rFonts w:ascii="Times New Roman" w:hAnsi="Times New Roman"/>
                <w:sz w:val="18"/>
              </w:rPr>
            </w:pPr>
            <w:r>
              <w:rPr>
                <w:rFonts w:ascii="Times New Roman" w:hAnsi="Times New Roman"/>
                <w:sz w:val="18"/>
              </w:rPr>
              <w:lastRenderedPageBreak/>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nie jest bank centralny, a transakcja jest zabezpieczona aktywami, które – niezależnie od tego, czy są one ponownie wykorzystywane w innej transakcji – kwalifikują się zgodnie z art. 7 i 12 </w:t>
            </w:r>
            <w:r>
              <w:rPr>
                <w:rFonts w:ascii="Times New Roman" w:hAnsi="Times New Roman"/>
                <w:sz w:val="18"/>
                <w:szCs w:val="18"/>
              </w:rPr>
              <w:t>rozporządzenia delegowanego (UE) 2015/61 jako aktywa płynne należące do kategorii aktywów poziomu 2B, o których mowa w art. 12 ust. 1 lit. e).</w:t>
            </w:r>
          </w:p>
        </w:tc>
      </w:tr>
      <w:tr w:rsidR="001A0B09" w14:paraId="5C0BD545" w14:textId="77777777" w:rsidTr="00454544">
        <w:tc>
          <w:tcPr>
            <w:tcW w:w="756" w:type="dxa"/>
            <w:shd w:val="clear" w:color="auto" w:fill="auto"/>
            <w:vAlign w:val="center"/>
          </w:tcPr>
          <w:p w14:paraId="60379202" w14:textId="509319D8" w:rsidR="001A0B09" w:rsidRDefault="007453EC">
            <w:pPr>
              <w:jc w:val="left"/>
              <w:rPr>
                <w:rFonts w:ascii="Times New Roman" w:hAnsi="Times New Roman"/>
                <w:sz w:val="18"/>
                <w:szCs w:val="18"/>
              </w:rPr>
            </w:pPr>
            <w:r>
              <w:rPr>
                <w:rFonts w:ascii="Times New Roman" w:hAnsi="Times New Roman"/>
                <w:sz w:val="18"/>
                <w:szCs w:val="18"/>
              </w:rPr>
              <w:lastRenderedPageBreak/>
              <w:t>327</w:t>
            </w:r>
          </w:p>
        </w:tc>
        <w:tc>
          <w:tcPr>
            <w:tcW w:w="7540" w:type="dxa"/>
            <w:shd w:val="clear" w:color="auto" w:fill="auto"/>
            <w:vAlign w:val="center"/>
          </w:tcPr>
          <w:p w14:paraId="4EE941E0"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6590FE79" w14:textId="6A57D929"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067F4878" w14:textId="4732EAD0" w:rsidR="001A0B09" w:rsidRDefault="007453EC">
            <w:pPr>
              <w:spacing w:before="240" w:after="240"/>
              <w:rPr>
                <w:rFonts w:ascii="Times New Roman" w:hAnsi="Times New Roman"/>
                <w:bCs/>
                <w:sz w:val="18"/>
                <w:szCs w:val="18"/>
              </w:rPr>
            </w:pPr>
            <w:r>
              <w:rPr>
                <w:rFonts w:ascii="Times New Roman" w:hAnsi="Times New Roman"/>
                <w:sz w:val="18"/>
              </w:rPr>
              <w:t>Spośród transakcji, o których mowa w pkt 1.2.2.1.5, te transakcje, w przypadku których otrzymane zabezpieczenie spełnia wymagania operacyjne określone w art. 8 rozporządzenia delegowanego (UE) 2015/61.</w:t>
            </w:r>
          </w:p>
        </w:tc>
      </w:tr>
      <w:tr w:rsidR="001A0B09" w14:paraId="3CE902EA" w14:textId="77777777" w:rsidTr="00454544">
        <w:tc>
          <w:tcPr>
            <w:tcW w:w="756" w:type="dxa"/>
            <w:shd w:val="clear" w:color="auto" w:fill="auto"/>
            <w:vAlign w:val="center"/>
          </w:tcPr>
          <w:p w14:paraId="4D01A250" w14:textId="2D680F89" w:rsidR="001A0B09"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1.2.2.1.6. Zabezpieczenie aktywami poziomu 2B w postaci papierów wartościowych zabezpieczonych aktywami (kredyty komercyjne lub dla osób fizycznych)</w:t>
            </w:r>
          </w:p>
          <w:p w14:paraId="2F1CFA16" w14:textId="1509FDCF"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05B2F18B" w14:textId="3B5ABCBA" w:rsidR="001A0B09" w:rsidRDefault="007453EC">
            <w:pPr>
              <w:spacing w:before="240" w:after="240"/>
              <w:rPr>
                <w:rFonts w:ascii="Times New Roman" w:hAnsi="Times New Roman"/>
                <w:sz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nie jest bank centralny, a transakcja jest zabezpieczona aktywami, które – niezależnie od tego, czy są one ponownie wykorzystywane w innej transakcji – kwalifikują się zgodnie z art. 7 i 13 </w:t>
            </w:r>
            <w:r>
              <w:rPr>
                <w:rFonts w:ascii="Times New Roman" w:hAnsi="Times New Roman"/>
                <w:sz w:val="18"/>
                <w:szCs w:val="18"/>
              </w:rPr>
              <w:t>rozporządzenia delegowanego (UE) 2015/61 jako aktywa płynne należące do kategorii aktywów poziomu 2B, o których mowa w art. 13 ust. 2 lit. g) ppkt (iii) lub (v).</w:t>
            </w:r>
          </w:p>
        </w:tc>
      </w:tr>
      <w:tr w:rsidR="001A0B09" w14:paraId="3E871F05" w14:textId="77777777" w:rsidTr="00454544">
        <w:tc>
          <w:tcPr>
            <w:tcW w:w="756" w:type="dxa"/>
            <w:shd w:val="clear" w:color="auto" w:fill="auto"/>
            <w:vAlign w:val="center"/>
          </w:tcPr>
          <w:p w14:paraId="5221A54C" w14:textId="4D3E8D29" w:rsidR="001A0B09" w:rsidRDefault="007453EC">
            <w:pPr>
              <w:jc w:val="left"/>
              <w:rPr>
                <w:rFonts w:ascii="Times New Roman" w:hAnsi="Times New Roman"/>
                <w:sz w:val="18"/>
                <w:szCs w:val="18"/>
              </w:rPr>
            </w:pPr>
            <w:r>
              <w:rPr>
                <w:rFonts w:ascii="Times New Roman" w:hAnsi="Times New Roman"/>
                <w:sz w:val="18"/>
                <w:szCs w:val="18"/>
              </w:rPr>
              <w:t>331</w:t>
            </w:r>
          </w:p>
        </w:tc>
        <w:tc>
          <w:tcPr>
            <w:tcW w:w="7540" w:type="dxa"/>
            <w:shd w:val="clear" w:color="auto" w:fill="auto"/>
            <w:vAlign w:val="center"/>
          </w:tcPr>
          <w:p w14:paraId="6FCF29BA"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7980AB98" w14:textId="5BB8893C"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5843DD21" w14:textId="5175A52D" w:rsidR="001A0B09" w:rsidRDefault="007453EC">
            <w:pPr>
              <w:spacing w:before="240" w:after="240"/>
              <w:rPr>
                <w:rFonts w:ascii="Times New Roman" w:hAnsi="Times New Roman"/>
                <w:bCs/>
                <w:sz w:val="18"/>
                <w:szCs w:val="18"/>
              </w:rPr>
            </w:pPr>
            <w:r>
              <w:rPr>
                <w:rFonts w:ascii="Times New Roman" w:hAnsi="Times New Roman"/>
                <w:sz w:val="18"/>
              </w:rPr>
              <w:t>Spośród transakcji, o których mowa w pkt 1.2.2.1.6, te transakcje, w przypadku których otrzymane zabezpieczenie spełnia wymagania operacyjne określone w art. 8 rozporządzenia delegowanego (UE) 2015/61.</w:t>
            </w:r>
          </w:p>
        </w:tc>
      </w:tr>
      <w:tr w:rsidR="001A0B09" w14:paraId="6621789E" w14:textId="77777777" w:rsidTr="00454544">
        <w:tc>
          <w:tcPr>
            <w:tcW w:w="756" w:type="dxa"/>
            <w:shd w:val="clear" w:color="auto" w:fill="auto"/>
            <w:vAlign w:val="center"/>
          </w:tcPr>
          <w:p w14:paraId="60BDC919" w14:textId="3429C8B2" w:rsidR="001A0B09"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1.2.2.1.7. Zabezpieczenie aktywami poziomu 2B nieuwzględnione w sekcjach 1.2.2.1.4, 1.2.2.1.5 ani 1.2.2.1.6.</w:t>
            </w:r>
          </w:p>
          <w:p w14:paraId="725CDF50" w14:textId="47C90764"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6FF005F5" w14:textId="062D59E7" w:rsidR="001A0B09" w:rsidRDefault="007453EC">
            <w:pPr>
              <w:spacing w:before="240" w:after="240"/>
              <w:rPr>
                <w:rFonts w:ascii="Times New Roman" w:hAnsi="Times New Roman"/>
                <w:sz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nie jest bank centralny, a transakcja jest zabezpieczona aktywami, które – niezależnie od tego, czy są one ponownie wykorzystywane w innej transakcji – kwalifikują się zgodnie z art. 7 i 12 </w:t>
            </w:r>
            <w:r>
              <w:rPr>
                <w:rFonts w:ascii="Times New Roman" w:hAnsi="Times New Roman"/>
                <w:sz w:val="18"/>
                <w:szCs w:val="18"/>
              </w:rPr>
              <w:t>rozporządzenia delegowanego (UE) 2015/61 jako aktywa płynne należące do którekolwiek z kategorii aktywów poziomu 2B, o których mowa w art. 12 ust. 1 lit. b), c) lub f).</w:t>
            </w:r>
          </w:p>
        </w:tc>
      </w:tr>
      <w:tr w:rsidR="001A0B09" w14:paraId="46FE74E6" w14:textId="77777777" w:rsidTr="00454544">
        <w:tc>
          <w:tcPr>
            <w:tcW w:w="756" w:type="dxa"/>
            <w:shd w:val="clear" w:color="auto" w:fill="auto"/>
            <w:vAlign w:val="center"/>
          </w:tcPr>
          <w:p w14:paraId="2D1D45E7" w14:textId="667391EF" w:rsidR="001A0B09"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w tym: transakcje, w przypadku których otrzymane zabezpieczenie spełnia wymogi operacyjne</w:t>
            </w:r>
          </w:p>
          <w:p w14:paraId="07328C5B" w14:textId="438055C6"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393F286B" w14:textId="2D675503" w:rsidR="001A0B09" w:rsidRDefault="007453EC">
            <w:pPr>
              <w:spacing w:before="240" w:after="240"/>
              <w:rPr>
                <w:rFonts w:ascii="Times New Roman" w:hAnsi="Times New Roman"/>
                <w:bCs/>
                <w:sz w:val="18"/>
                <w:szCs w:val="18"/>
              </w:rPr>
            </w:pPr>
            <w:r>
              <w:rPr>
                <w:rFonts w:ascii="Times New Roman" w:hAnsi="Times New Roman"/>
                <w:sz w:val="18"/>
              </w:rPr>
              <w:t>Spośród transakcji, o których mowa w pkt 1.2.2.1.7, te transakcje, w przypadku których otrzymane zabezpieczenie spełnia wymagania operacyjne określone w art. 8 rozporządzenia delegowanego (UE) 2015/61.</w:t>
            </w:r>
          </w:p>
        </w:tc>
      </w:tr>
      <w:tr w:rsidR="001A0B09" w14:paraId="2149F2C6" w14:textId="77777777" w:rsidTr="00454544">
        <w:tc>
          <w:tcPr>
            <w:tcW w:w="756" w:type="dxa"/>
            <w:shd w:val="clear" w:color="auto" w:fill="auto"/>
            <w:vAlign w:val="center"/>
          </w:tcPr>
          <w:p w14:paraId="2AD78834" w14:textId="594F19A2" w:rsidR="001A0B09" w:rsidRDefault="007453EC">
            <w:pPr>
              <w:jc w:val="left"/>
              <w:rPr>
                <w:rFonts w:ascii="Times New Roman" w:hAnsi="Times New Roman"/>
                <w:sz w:val="18"/>
                <w:szCs w:val="18"/>
              </w:rPr>
            </w:pPr>
            <w:r>
              <w:rPr>
                <w:rFonts w:ascii="Times New Roman" w:hAnsi="Times New Roman"/>
                <w:sz w:val="18"/>
                <w:szCs w:val="18"/>
              </w:rPr>
              <w:lastRenderedPageBreak/>
              <w:t>337</w:t>
            </w:r>
          </w:p>
        </w:tc>
        <w:tc>
          <w:tcPr>
            <w:tcW w:w="7540" w:type="dxa"/>
            <w:shd w:val="clear" w:color="auto" w:fill="auto"/>
            <w:vAlign w:val="center"/>
          </w:tcPr>
          <w:p w14:paraId="2990F4E7" w14:textId="77777777" w:rsidR="001A0B09" w:rsidRDefault="007453EC">
            <w:pPr>
              <w:rPr>
                <w:rFonts w:ascii="Times New Roman" w:hAnsi="Times New Roman"/>
                <w:b/>
                <w:bCs/>
                <w:sz w:val="18"/>
                <w:szCs w:val="18"/>
              </w:rPr>
            </w:pPr>
            <w:r>
              <w:rPr>
                <w:rFonts w:ascii="Times New Roman" w:hAnsi="Times New Roman"/>
                <w:b/>
                <w:bCs/>
                <w:sz w:val="18"/>
                <w:szCs w:val="18"/>
              </w:rPr>
              <w:t>1.2.2.2. zabezpieczenie wykorzystywane w celu pokrycia pozycji krótkiej</w:t>
            </w:r>
          </w:p>
          <w:p w14:paraId="39101CBB" w14:textId="41AEA676"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3A2B1178" w14:textId="4A973BC2" w:rsidR="001A0B09" w:rsidRDefault="007453EC">
            <w:pPr>
              <w:spacing w:before="240" w:after="240"/>
              <w:rPr>
                <w:rFonts w:ascii="Times New Roman" w:hAnsi="Times New Roman"/>
                <w:sz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 xml:space="preserve">w przypadku gdy kontrahentem nie jest bank centralny, a transakcja jest zabezpieczona aktywami, które są wykorzystywane w celu pokrycia pozycji krótkiej zgodnie z art. 30 ust. 5 zdanie drugie. </w:t>
            </w:r>
            <w:r>
              <w:rPr>
                <w:rFonts w:ascii="Times New Roman" w:hAnsi="Times New Roman"/>
                <w:bCs/>
                <w:sz w:val="18"/>
                <w:szCs w:val="18"/>
              </w:rPr>
              <w:t xml:space="preserve">Jeżeli zabezpieczenie jakiegokolwiek typu jest wykorzystywane w celu pokrycia pozycji krótkiej, zgłasza się to w tej sekcji, a nie w żadnym z powyższych wierszy. </w:t>
            </w:r>
            <w:r>
              <w:rPr>
                <w:rFonts w:ascii="Times New Roman" w:hAnsi="Times New Roman"/>
                <w:sz w:val="18"/>
              </w:rPr>
              <w:t>Należy unikać podwójnego liczenia.</w:t>
            </w:r>
          </w:p>
        </w:tc>
      </w:tr>
      <w:tr w:rsidR="001A0B09" w14:paraId="49C194CE" w14:textId="77777777" w:rsidTr="00454544">
        <w:tc>
          <w:tcPr>
            <w:tcW w:w="756" w:type="dxa"/>
            <w:shd w:val="clear" w:color="auto" w:fill="auto"/>
            <w:vAlign w:val="center"/>
          </w:tcPr>
          <w:p w14:paraId="2CF36907" w14:textId="26DC6E80" w:rsidR="001A0B09"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1.2.2.3. zabezpieczenie, które nie kwalifikuje się jako składnik aktywów płynnych</w:t>
            </w:r>
          </w:p>
          <w:p w14:paraId="52B58564" w14:textId="4E72B129"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Instytucje kredytowe zgłaszają w wierszu 339 w formularzu C 74.00 określonym w załączniku </w:t>
            </w:r>
            <w:r>
              <w:rPr>
                <w:rFonts w:ascii="Times New Roman" w:hAnsi="Times New Roman"/>
                <w:sz w:val="18"/>
                <w:szCs w:val="18"/>
              </w:rPr>
              <w:t xml:space="preserve">XXIV </w:t>
            </w:r>
            <w:r>
              <w:rPr>
                <w:rFonts w:ascii="Times New Roman" w:hAnsi="Times New Roman"/>
                <w:bCs/>
                <w:sz w:val="18"/>
                <w:szCs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bCs/>
                <w:sz w:val="18"/>
                <w:szCs w:val="18"/>
              </w:rPr>
              <w:t>w przypadku gdy kontrahentem nie jest bank centralny, a zabezpieczenie nie kwalifikuje się jako składnik aktywów płynnych. Instytucje kredytowe zgłaszają</w:t>
            </w:r>
          </w:p>
          <w:p w14:paraId="18CB2034"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w odniesieniu do każdej z kolumn 010, 020 i 030 całkowitą kwotę środków pieniężnych z tych transakcji jako sumę środków pieniężnych należnych z tytułu kredytów na depozyt zabezpieczający – w przypadku, gdy zabezpieczenie ma postać aktywów niepłynnych, zabezpieczonych transakcji kredytowych i transakcji opartych na rynku kapitałowym – w przypadku, gdy zabezpieczenie ma postać niepłynnych instrumentów kapitałowych, oraz zabezpieczonych transakcji kredytowych i transakcji opartych na rynku kapitałowym zabezpieczonych dowolnym innym zabezpieczeniem niepłynnym; oraz</w:t>
            </w:r>
          </w:p>
          <w:p w14:paraId="439F1A52" w14:textId="7F219983" w:rsidR="001A0B09" w:rsidRDefault="007453EC">
            <w:pPr>
              <w:numPr>
                <w:ilvl w:val="0"/>
                <w:numId w:val="40"/>
              </w:numPr>
              <w:spacing w:before="240" w:after="240"/>
              <w:rPr>
                <w:rFonts w:ascii="Times New Roman" w:hAnsi="Times New Roman"/>
                <w:sz w:val="18"/>
              </w:rPr>
            </w:pPr>
            <w:r>
              <w:rPr>
                <w:rFonts w:ascii="Times New Roman" w:hAnsi="Times New Roman"/>
                <w:bCs/>
                <w:sz w:val="18"/>
                <w:szCs w:val="18"/>
              </w:rPr>
              <w:t>w odniesieniu do każdej z kolumn 140, 150 i 160 sumę wpływów należnych z tytułu tych transakcji jako sumę wpływów należnych z tytułu kredytów na depozyt zabezpieczający – w przypadku, gdy zabezpieczenie ma postać aktywów niepłynnych, zabezpieczonych transakcji kredytowych i transakcji opartych na rynku kapitałowym – w przypadku, gdy zabezpieczenie ma postać niepłynnych instrumentów kapitałowych, oraz zabezpieczonych transakcji kredytowych i transakcji opartych na rynku kapitałowym zabezpieczonych dowolnym innym zabezpieczeniem niepłynnym.</w:t>
            </w:r>
          </w:p>
        </w:tc>
      </w:tr>
      <w:tr w:rsidR="001A0B09" w14:paraId="477ED716" w14:textId="77777777" w:rsidTr="00454544">
        <w:tc>
          <w:tcPr>
            <w:tcW w:w="756" w:type="dxa"/>
            <w:shd w:val="clear" w:color="auto" w:fill="auto"/>
            <w:vAlign w:val="center"/>
          </w:tcPr>
          <w:p w14:paraId="22767496" w14:textId="470B3D16" w:rsidR="001A0B09" w:rsidRDefault="007453EC">
            <w:pPr>
              <w:jc w:val="left"/>
              <w:rPr>
                <w:rFonts w:ascii="Times New Roman" w:hAnsi="Times New Roman"/>
                <w:sz w:val="18"/>
                <w:szCs w:val="18"/>
              </w:rPr>
            </w:pPr>
            <w:r>
              <w:rPr>
                <w:rFonts w:ascii="Times New Roman" w:hAnsi="Times New Roman"/>
                <w:sz w:val="18"/>
                <w:szCs w:val="18"/>
              </w:rPr>
              <w:t>341</w:t>
            </w:r>
          </w:p>
        </w:tc>
        <w:tc>
          <w:tcPr>
            <w:tcW w:w="7540" w:type="dxa"/>
            <w:shd w:val="clear" w:color="auto" w:fill="auto"/>
            <w:vAlign w:val="center"/>
          </w:tcPr>
          <w:p w14:paraId="3563587D" w14:textId="77777777" w:rsidR="001A0B09" w:rsidRDefault="007453EC">
            <w:pPr>
              <w:rPr>
                <w:rFonts w:ascii="Times New Roman" w:hAnsi="Times New Roman"/>
                <w:b/>
                <w:bCs/>
                <w:sz w:val="18"/>
                <w:szCs w:val="18"/>
              </w:rPr>
            </w:pPr>
            <w:r>
              <w:rPr>
                <w:rFonts w:ascii="Times New Roman" w:hAnsi="Times New Roman"/>
                <w:b/>
                <w:bCs/>
                <w:sz w:val="18"/>
                <w:szCs w:val="18"/>
              </w:rPr>
              <w:t>1.2.2.3.1. kredyty na depozyt zabezpieczający: zabezpieczenie w postaci aktywów niepłynnych</w:t>
            </w:r>
          </w:p>
          <w:p w14:paraId="3F467D84" w14:textId="5C511614"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c) rozporządzenia delegowanego (UE) 2015/61.</w:t>
            </w:r>
          </w:p>
          <w:p w14:paraId="0E49FD15" w14:textId="0C8F3CE2" w:rsidR="001A0B09" w:rsidRDefault="007453EC">
            <w:pPr>
              <w:spacing w:before="240" w:after="240"/>
              <w:rPr>
                <w:rFonts w:ascii="Times New Roman" w:hAnsi="Times New Roman"/>
                <w:b/>
                <w:bCs/>
                <w:sz w:val="18"/>
                <w:szCs w:val="18"/>
              </w:rPr>
            </w:pPr>
            <w:r>
              <w:rPr>
                <w:rFonts w:ascii="Times New Roman" w:hAnsi="Times New Roman"/>
                <w:bCs/>
                <w:sz w:val="18"/>
                <w:szCs w:val="18"/>
              </w:rPr>
              <w:t xml:space="preserve">Kredyty na depozyt zabezpieczający zaciągnięte w oparciu o zabezpieczenie w postaci aktywów niepłynnych, </w:t>
            </w:r>
            <w:r>
              <w:rPr>
                <w:rFonts w:ascii="Times New Roman" w:hAnsi="Times New Roman"/>
                <w:sz w:val="18"/>
                <w:szCs w:val="18"/>
              </w:rPr>
              <w:t xml:space="preserve">których rezydualny termin zapadalności jest nie dłuższy niż 30 dni, </w:t>
            </w:r>
            <w:r>
              <w:rPr>
                <w:rFonts w:ascii="Times New Roman" w:hAnsi="Times New Roman"/>
                <w:bCs/>
                <w:sz w:val="18"/>
                <w:szCs w:val="18"/>
              </w:rPr>
              <w:t>w przypadku gdy kontrahentem nie jest bank centralny oraz jeżeli otrzymane aktywa nie są wykorzystywane w celu pokrycia pozycji krótkich zgodnie z art. 32 ust. 3 lit. c) rozporządzenia delegowanego (UE) 2015/61.</w:t>
            </w:r>
          </w:p>
        </w:tc>
      </w:tr>
      <w:tr w:rsidR="001A0B09" w14:paraId="1D74A9CE" w14:textId="77777777" w:rsidTr="00454544">
        <w:tc>
          <w:tcPr>
            <w:tcW w:w="756" w:type="dxa"/>
            <w:shd w:val="clear" w:color="auto" w:fill="auto"/>
            <w:vAlign w:val="center"/>
          </w:tcPr>
          <w:p w14:paraId="680E3344" w14:textId="153350A2" w:rsidR="001A0B09"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1A0B09" w:rsidRDefault="007453EC">
            <w:pPr>
              <w:rPr>
                <w:rFonts w:ascii="Times New Roman" w:hAnsi="Times New Roman"/>
                <w:b/>
                <w:bCs/>
                <w:sz w:val="18"/>
                <w:szCs w:val="18"/>
              </w:rPr>
            </w:pPr>
            <w:r>
              <w:rPr>
                <w:rFonts w:ascii="Times New Roman" w:hAnsi="Times New Roman"/>
                <w:b/>
                <w:bCs/>
                <w:sz w:val="18"/>
                <w:szCs w:val="18"/>
              </w:rPr>
              <w:t>1.2.2.3.2. zabezpieczenie w postaci niepłynnych instrumentów kapitałowych</w:t>
            </w:r>
          </w:p>
          <w:p w14:paraId="1F04D6E8" w14:textId="4244E03C"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17B53310" w14:textId="6CA90FF2" w:rsidR="001A0B09" w:rsidRDefault="007453EC">
            <w:pPr>
              <w:spacing w:before="240" w:after="240"/>
              <w:rPr>
                <w:rFonts w:ascii="Times New Roman" w:hAnsi="Times New Roman"/>
                <w:sz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w przypadku gdy kontrahentem nie jest bank centralny, a transakcja ma zabezpieczenie w postaci niepłynnych instrumentów kapitałowych.</w:t>
            </w:r>
          </w:p>
        </w:tc>
      </w:tr>
      <w:tr w:rsidR="001A0B09" w14:paraId="6F11E2A1" w14:textId="77777777" w:rsidTr="00454544">
        <w:tc>
          <w:tcPr>
            <w:tcW w:w="756" w:type="dxa"/>
            <w:shd w:val="clear" w:color="auto" w:fill="auto"/>
            <w:vAlign w:val="center"/>
          </w:tcPr>
          <w:p w14:paraId="1FA31822" w14:textId="2CD5A07D" w:rsidR="001A0B09"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1A0B09" w:rsidRDefault="007453EC">
            <w:pPr>
              <w:rPr>
                <w:rFonts w:ascii="Times New Roman" w:hAnsi="Times New Roman"/>
                <w:b/>
                <w:bCs/>
                <w:sz w:val="18"/>
                <w:szCs w:val="18"/>
              </w:rPr>
            </w:pPr>
            <w:r>
              <w:rPr>
                <w:rFonts w:ascii="Times New Roman" w:hAnsi="Times New Roman"/>
                <w:b/>
                <w:bCs/>
                <w:sz w:val="18"/>
                <w:szCs w:val="18"/>
              </w:rPr>
              <w:t>1.2.2.3.3 wszystkie inne rodzaje zabezpieczenia niepłynnego</w:t>
            </w:r>
          </w:p>
          <w:p w14:paraId="3E87F6CC" w14:textId="30080A2F" w:rsidR="001A0B09" w:rsidRDefault="000378A5">
            <w:pPr>
              <w:spacing w:before="240" w:after="240"/>
              <w:rPr>
                <w:rFonts w:ascii="Times New Roman" w:hAnsi="Times New Roman"/>
                <w:bCs/>
                <w:sz w:val="18"/>
                <w:szCs w:val="18"/>
              </w:rPr>
            </w:pPr>
            <w:r>
              <w:rPr>
                <w:rFonts w:ascii="Times New Roman" w:hAnsi="Times New Roman"/>
                <w:bCs/>
                <w:sz w:val="18"/>
                <w:szCs w:val="18"/>
              </w:rPr>
              <w:t>Art. 32 ust. 3 lit. b) rozporządzenia delegowanego (UE) 2015/61.</w:t>
            </w:r>
          </w:p>
          <w:p w14:paraId="0113C8FA" w14:textId="1A7AB2B4" w:rsidR="001A0B09" w:rsidRDefault="007453EC">
            <w:pPr>
              <w:spacing w:before="240" w:after="240"/>
              <w:rPr>
                <w:rFonts w:ascii="Times New Roman" w:hAnsi="Times New Roman"/>
                <w:sz w:val="18"/>
              </w:rPr>
            </w:pPr>
            <w:r>
              <w:rPr>
                <w:rFonts w:ascii="Times New Roman" w:hAnsi="Times New Roman"/>
                <w:sz w:val="18"/>
              </w:rPr>
              <w:t xml:space="preserve">Zabezpieczone transakcje kredytowe i transakcje oparte na rynku kapitałowym, </w:t>
            </w:r>
            <w:r>
              <w:rPr>
                <w:rFonts w:ascii="Times New Roman" w:hAnsi="Times New Roman"/>
                <w:sz w:val="18"/>
                <w:szCs w:val="18"/>
              </w:rPr>
              <w:t xml:space="preserve">których rezydualny termin zapadalności jest nie dłuższy niż 30 dni, </w:t>
            </w:r>
            <w:r>
              <w:rPr>
                <w:rFonts w:ascii="Times New Roman" w:hAnsi="Times New Roman"/>
                <w:sz w:val="18"/>
              </w:rPr>
              <w:t>w przypadku gdy kontrahentem nie jest bank centralny, a transakcja ma zabezpieczenie w postaci niepłynnych aktywów nieuwzględnionych w sekcji 1.2.2.3.1 ani 1.2.2.3.2.</w:t>
            </w:r>
          </w:p>
        </w:tc>
      </w:tr>
      <w:tr w:rsidR="001A0B09" w14:paraId="3D440A7E" w14:textId="77777777" w:rsidTr="00454544">
        <w:tc>
          <w:tcPr>
            <w:tcW w:w="756" w:type="dxa"/>
            <w:shd w:val="clear" w:color="auto" w:fill="auto"/>
            <w:vAlign w:val="center"/>
          </w:tcPr>
          <w:p w14:paraId="7B0AE907" w14:textId="77777777" w:rsidR="001A0B09" w:rsidRDefault="007453EC">
            <w:pPr>
              <w:jc w:val="left"/>
              <w:rPr>
                <w:rFonts w:ascii="Times New Roman" w:hAnsi="Times New Roman"/>
                <w:sz w:val="18"/>
                <w:szCs w:val="18"/>
              </w:rPr>
            </w:pPr>
            <w:r>
              <w:rPr>
                <w:rFonts w:ascii="Times New Roman" w:hAnsi="Times New Roman"/>
                <w:sz w:val="18"/>
                <w:szCs w:val="18"/>
              </w:rPr>
              <w:lastRenderedPageBreak/>
              <w:t>410</w:t>
            </w:r>
          </w:p>
        </w:tc>
        <w:tc>
          <w:tcPr>
            <w:tcW w:w="7540" w:type="dxa"/>
            <w:shd w:val="clear" w:color="auto" w:fill="auto"/>
            <w:vAlign w:val="center"/>
          </w:tcPr>
          <w:p w14:paraId="6C9A9C04"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1.3. Wpływy razem z tytułu transakcji zabezpieczających swap</w:t>
            </w:r>
          </w:p>
          <w:p w14:paraId="026023A4" w14:textId="70266E51"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 tej sekcji instytucje kredytowe zgłaszają sumę wpływów z tytułu transakcji zabezpieczających swap obliczoną w formularzu C 75.01 przedstawionym w załączniku </w:t>
            </w:r>
            <w:r>
              <w:rPr>
                <w:rFonts w:ascii="Times New Roman" w:hAnsi="Times New Roman"/>
                <w:sz w:val="18"/>
                <w:szCs w:val="18"/>
              </w:rPr>
              <w:t>XXIV</w:t>
            </w:r>
            <w:r>
              <w:rPr>
                <w:rFonts w:ascii="Times New Roman" w:hAnsi="Times New Roman"/>
                <w:bCs/>
                <w:sz w:val="18"/>
                <w:szCs w:val="18"/>
              </w:rPr>
              <w:t>.</w:t>
            </w:r>
          </w:p>
        </w:tc>
      </w:tr>
      <w:tr w:rsidR="001A0B09" w14:paraId="02C7B457" w14:textId="77777777" w:rsidTr="00454544">
        <w:tc>
          <w:tcPr>
            <w:tcW w:w="756" w:type="dxa"/>
            <w:shd w:val="clear" w:color="auto" w:fill="auto"/>
            <w:vAlign w:val="center"/>
          </w:tcPr>
          <w:p w14:paraId="76535B4A" w14:textId="77777777" w:rsidR="001A0B09"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1.4. (Różnica między całkowitą ważoną kwotą wpływów a całkowitą ważoną kwotą wypływów wynikających z transakcji w państwach trzecich, w których istnieją ograniczenia transferu, lub które są denominowane w walutach niewymienialnych)</w:t>
            </w:r>
          </w:p>
          <w:p w14:paraId="5B749BFA" w14:textId="3F7B74A2" w:rsidR="001A0B09" w:rsidRDefault="007453EC">
            <w:pPr>
              <w:spacing w:before="240" w:after="240"/>
              <w:rPr>
                <w:rFonts w:ascii="Times New Roman" w:hAnsi="Times New Roman"/>
                <w:bCs/>
                <w:sz w:val="18"/>
                <w:szCs w:val="18"/>
              </w:rPr>
            </w:pPr>
            <w:r>
              <w:rPr>
                <w:rFonts w:ascii="Times New Roman" w:hAnsi="Times New Roman"/>
                <w:bCs/>
                <w:sz w:val="18"/>
                <w:szCs w:val="18"/>
              </w:rPr>
              <w:t>Art. 32 ust. 8 rozporządzenia delegowanego (UE) 2015/61.</w:t>
            </w:r>
          </w:p>
          <w:p w14:paraId="2390BDA2" w14:textId="445B0802" w:rsidR="001A0B09" w:rsidRDefault="007453EC">
            <w:pPr>
              <w:spacing w:before="240" w:after="240"/>
              <w:rPr>
                <w:rFonts w:ascii="Times New Roman" w:hAnsi="Times New Roman"/>
                <w:b/>
                <w:sz w:val="18"/>
              </w:rPr>
            </w:pPr>
            <w:r>
              <w:rPr>
                <w:rFonts w:ascii="Times New Roman" w:hAnsi="Times New Roman"/>
                <w:bCs/>
                <w:sz w:val="18"/>
                <w:szCs w:val="18"/>
              </w:rPr>
              <w:t xml:space="preserve">W odpowiednich kolumnach 140, 150 i 160 instytucje zgłaszają sumę całkowitej ważonej kwoty wpływów z państw trzecich, w których istnieją ograniczenia transferu, lub które są denominowane w walutach niewymienialnych, pomniejszoną o sumę całkowitej ważonej kwoty wypływów pochodzących z państw trzecich, w których istnieją ograniczenia transferu, lub które są denominowane w walutach niewymienialnych jak ujęto w formularzu C 73.00 określonym w załączniku </w:t>
            </w:r>
            <w:r>
              <w:rPr>
                <w:rFonts w:ascii="Times New Roman" w:hAnsi="Times New Roman"/>
                <w:sz w:val="18"/>
                <w:szCs w:val="18"/>
              </w:rPr>
              <w:t>XXIV</w:t>
            </w:r>
            <w:r>
              <w:rPr>
                <w:rFonts w:ascii="Times New Roman" w:hAnsi="Times New Roman"/>
                <w:bCs/>
                <w:sz w:val="18"/>
                <w:szCs w:val="18"/>
              </w:rPr>
              <w:t xml:space="preserve">. </w:t>
            </w:r>
            <w:r>
              <w:rPr>
                <w:rFonts w:ascii="Times New Roman" w:hAnsi="Times New Roman"/>
                <w:sz w:val="18"/>
              </w:rPr>
              <w:t>Jeżeli kwota ta jest ujemna, instytucje zgłaszają wartość „0”.</w:t>
            </w:r>
          </w:p>
        </w:tc>
      </w:tr>
      <w:tr w:rsidR="001A0B09" w14:paraId="545629F7" w14:textId="77777777" w:rsidTr="00454544">
        <w:tc>
          <w:tcPr>
            <w:tcW w:w="756" w:type="dxa"/>
            <w:tcBorders>
              <w:bottom w:val="single" w:sz="4" w:space="0" w:color="auto"/>
            </w:tcBorders>
            <w:shd w:val="clear" w:color="auto" w:fill="auto"/>
            <w:vAlign w:val="center"/>
          </w:tcPr>
          <w:p w14:paraId="425E21D5" w14:textId="77777777" w:rsidR="001A0B09"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1.5. (Nadwyżka wpływów z powiązanej wyspecjalizowanej instytucji kredytowej)</w:t>
            </w:r>
          </w:p>
          <w:p w14:paraId="56944145" w14:textId="7FE54F46" w:rsidR="001A0B09" w:rsidRDefault="00DD4C72">
            <w:pPr>
              <w:spacing w:before="240" w:after="240"/>
              <w:rPr>
                <w:rFonts w:ascii="Times New Roman" w:hAnsi="Times New Roman"/>
                <w:bCs/>
                <w:sz w:val="18"/>
                <w:szCs w:val="18"/>
              </w:rPr>
            </w:pPr>
            <w:r>
              <w:rPr>
                <w:rFonts w:ascii="Times New Roman" w:hAnsi="Times New Roman"/>
                <w:bCs/>
                <w:sz w:val="18"/>
                <w:szCs w:val="18"/>
              </w:rPr>
              <w:t>Art. 2 ust. 3 lit. e) i art. 33 ust. 6 rozporządzenia delegowanego (UE) 2015/61.</w:t>
            </w:r>
          </w:p>
          <w:p w14:paraId="1098E357" w14:textId="186B33A6" w:rsidR="001A0B09" w:rsidRDefault="007453EC">
            <w:pPr>
              <w:spacing w:before="240" w:after="240"/>
              <w:rPr>
                <w:rFonts w:ascii="Times New Roman" w:hAnsi="Times New Roman"/>
                <w:bCs/>
                <w:sz w:val="18"/>
                <w:szCs w:val="18"/>
              </w:rPr>
            </w:pPr>
            <w:r>
              <w:rPr>
                <w:rFonts w:ascii="Times New Roman" w:hAnsi="Times New Roman"/>
                <w:bCs/>
                <w:sz w:val="18"/>
                <w:szCs w:val="18"/>
              </w:rPr>
              <w:t>Instytucje kredytowe prowadzące sprawozdawczość skonsolidowaną zgłaszają w odpowiedniej kolumnie 140, 150 lub 160 kwotę wpływów z powiązanej wyspecjalizowanej instytucji kredytowej, o której mowa w art. 33 ust. 3 i 4 rozporządzenia delegowanego (UE) 2015/61, które przekraczają kwotę wypływów pochodzących od tego samego przedsiębiorstwa.</w:t>
            </w:r>
          </w:p>
        </w:tc>
      </w:tr>
      <w:tr w:rsidR="001A0B09" w14:paraId="4F801B1F" w14:textId="77777777" w:rsidTr="00454544">
        <w:tc>
          <w:tcPr>
            <w:tcW w:w="8296" w:type="dxa"/>
            <w:gridSpan w:val="2"/>
            <w:shd w:val="clear" w:color="auto" w:fill="D9D9D9"/>
            <w:vAlign w:val="center"/>
          </w:tcPr>
          <w:p w14:paraId="0894CCC3" w14:textId="77777777" w:rsidR="001A0B09" w:rsidRDefault="007453EC">
            <w:pPr>
              <w:rPr>
                <w:rFonts w:ascii="Times New Roman" w:hAnsi="Times New Roman"/>
                <w:b/>
                <w:bCs/>
                <w:sz w:val="18"/>
                <w:szCs w:val="18"/>
              </w:rPr>
            </w:pPr>
            <w:r>
              <w:rPr>
                <w:rFonts w:ascii="Times New Roman" w:hAnsi="Times New Roman"/>
                <w:b/>
                <w:bCs/>
                <w:sz w:val="18"/>
                <w:szCs w:val="18"/>
              </w:rPr>
              <w:t>POZYCJE UZUPEŁNIAJĄCE</w:t>
            </w:r>
          </w:p>
        </w:tc>
      </w:tr>
      <w:tr w:rsidR="001A0B09" w14:paraId="1D004450" w14:textId="77777777" w:rsidTr="00454544">
        <w:tc>
          <w:tcPr>
            <w:tcW w:w="756" w:type="dxa"/>
            <w:shd w:val="clear" w:color="auto" w:fill="auto"/>
            <w:vAlign w:val="center"/>
          </w:tcPr>
          <w:p w14:paraId="20BA1D35" w14:textId="77777777" w:rsidR="001A0B09"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1A0B09" w:rsidRDefault="007453EC">
            <w:pPr>
              <w:spacing w:before="240" w:after="240"/>
              <w:rPr>
                <w:rFonts w:ascii="Times New Roman" w:hAnsi="Times New Roman"/>
                <w:b/>
                <w:bCs/>
                <w:sz w:val="18"/>
                <w:szCs w:val="18"/>
              </w:rPr>
            </w:pPr>
            <w:r>
              <w:rPr>
                <w:rFonts w:ascii="Times New Roman" w:hAnsi="Times New Roman"/>
                <w:b/>
                <w:bCs/>
                <w:sz w:val="18"/>
                <w:szCs w:val="18"/>
              </w:rPr>
              <w:t>2. Wpływy z transakcji FX</w:t>
            </w:r>
          </w:p>
          <w:p w14:paraId="429DA1A9" w14:textId="0CC93E7C"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Tę pozycję uzupełniającą wypełnia się wyłącznie w przypadku odrębnej </w:t>
            </w:r>
            <w:r>
              <w:rPr>
                <w:rFonts w:ascii="Times New Roman" w:hAnsi="Times New Roman"/>
                <w:sz w:val="18"/>
                <w:szCs w:val="18"/>
              </w:rPr>
              <w:t>sprawozdawczości w walucie sprawozdawczej lub w walucie innej niż waluta sprawozdawcza zgodnie z art. 415 ust. 2 rozporządzenia (UE) nr 575/2013.</w:t>
            </w:r>
          </w:p>
          <w:p w14:paraId="6F39F1DB" w14:textId="7B4BA173" w:rsidR="001A0B09" w:rsidRDefault="007453EC">
            <w:pPr>
              <w:spacing w:before="240" w:after="240"/>
              <w:rPr>
                <w:rFonts w:ascii="Times New Roman" w:eastAsia="Calibri" w:hAnsi="Times New Roman"/>
                <w:sz w:val="18"/>
                <w:szCs w:val="18"/>
              </w:rPr>
            </w:pPr>
            <w:r>
              <w:rPr>
                <w:rFonts w:ascii="Times New Roman" w:hAnsi="Times New Roman"/>
                <w:bCs/>
                <w:sz w:val="18"/>
                <w:szCs w:val="18"/>
              </w:rPr>
              <w:t>Instytucje kredytowe zgłaszają część wpływów z tytułu instrumentów pochodnych (uwzględnianych w sekcji 1.1.9.), które mają związek z głównymi przepływami walutowymi w odnośnej walucie z tytułu swapów walutowych, transakcji walutowych typu spot i forward o okresie zapadalności wynoszącym 30 dni kalendarzowych. Kompensowanie w ramach kontrahenta można stosować wyłącznie do przepływów w danej walucie.</w:t>
            </w:r>
          </w:p>
        </w:tc>
      </w:tr>
      <w:tr w:rsidR="001A0B09" w14:paraId="6A422EDA" w14:textId="77777777" w:rsidTr="00454544">
        <w:tc>
          <w:tcPr>
            <w:tcW w:w="756" w:type="dxa"/>
            <w:shd w:val="clear" w:color="auto" w:fill="auto"/>
            <w:vAlign w:val="center"/>
          </w:tcPr>
          <w:p w14:paraId="2E497E51" w14:textId="77777777" w:rsidR="001A0B09" w:rsidRDefault="007453EC">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1F7DAB58" w:rsidR="001A0B09" w:rsidRDefault="007453EC">
            <w:pPr>
              <w:spacing w:before="240" w:after="240"/>
              <w:rPr>
                <w:rFonts w:ascii="Times New Roman" w:hAnsi="Times New Roman"/>
                <w:b/>
                <w:bCs/>
                <w:sz w:val="18"/>
                <w:szCs w:val="18"/>
              </w:rPr>
            </w:pPr>
            <w:r>
              <w:rPr>
                <w:rFonts w:ascii="Times New Roman" w:hAnsi="Times New Roman"/>
                <w:b/>
                <w:bCs/>
                <w:sz w:val="18"/>
                <w:szCs w:val="18"/>
              </w:rPr>
              <w:t>3. Wpływy w ramach grupy lub instytucjonalnego systemu ochrony</w:t>
            </w:r>
          </w:p>
          <w:p w14:paraId="4042A99D" w14:textId="33231E78" w:rsidR="001A0B09" w:rsidRDefault="007453EC">
            <w:pPr>
              <w:spacing w:before="240" w:after="240"/>
              <w:rPr>
                <w:rFonts w:ascii="Times New Roman" w:hAnsi="Times New Roman"/>
                <w:bCs/>
                <w:sz w:val="18"/>
                <w:szCs w:val="18"/>
              </w:rPr>
            </w:pPr>
            <w:r>
              <w:rPr>
                <w:rFonts w:ascii="Times New Roman" w:hAnsi="Times New Roman"/>
                <w:bCs/>
                <w:sz w:val="18"/>
                <w:szCs w:val="18"/>
              </w:rPr>
              <w:t>W tej sekcji instytucje kredytowe zgłaszają jako pozycje uzupełniające wszystkie transakcje ujęte w sekcji 1 (z wyłączeniem sekcji 1.1.10.), w przypadku gdy kontrahent jest instytucją dominującą lub zależną danej instytucji kredytowej lub inną instytucją zależną tej samej instytucji dominującej lub jest powiązany z instytucją kredytową stosunkiem w rozumieniu art. 12 ust. 1 dyrektywy 83/349/EWG lub jest członkiem tego samego instytucjonalnego systemu ochrony, o którym mowa w art. 113 ust. 7 rozporządzenia (UE) nr 575/2013, lub instytucją centralną lub członkiem sieci lub grupy współpracy, o których mowa w art. 10 rozporządzenia (UE) nr 575/2013.</w:t>
            </w:r>
          </w:p>
          <w:p w14:paraId="5871C80C" w14:textId="77777777" w:rsidR="001A0B09" w:rsidRDefault="007453EC">
            <w:pPr>
              <w:spacing w:before="240" w:after="240"/>
              <w:rPr>
                <w:rFonts w:ascii="Times New Roman" w:hAnsi="Times New Roman"/>
                <w:bCs/>
                <w:sz w:val="18"/>
                <w:szCs w:val="18"/>
              </w:rPr>
            </w:pPr>
            <w:r>
              <w:rPr>
                <w:rFonts w:ascii="Times New Roman" w:hAnsi="Times New Roman"/>
                <w:bCs/>
                <w:sz w:val="18"/>
                <w:szCs w:val="18"/>
              </w:rPr>
              <w:t xml:space="preserve">W wierszu 460 w formularzu C 74.00 określonym w załączniku </w:t>
            </w:r>
            <w:r>
              <w:rPr>
                <w:rFonts w:ascii="Times New Roman" w:hAnsi="Times New Roman"/>
                <w:sz w:val="18"/>
                <w:szCs w:val="18"/>
              </w:rPr>
              <w:t>XXIV instytucje kredytowe zgłaszają:</w:t>
            </w:r>
          </w:p>
          <w:p w14:paraId="2014504C" w14:textId="77777777" w:rsidR="001A0B09"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w odniesieniu do każdej z kolumn 010, 020 i 030 całkowitą kwotę należnych środków pieniężnych/maksymalną kwotę, która może zostać wykorzystana w ramach grupy lub instytucjonalnego systemu ochrony, jako sumę należnych środków pieniężnych/maksymalną kwotę, która może zostać wykorzystana w ramach grupy lub </w:t>
            </w:r>
            <w:r>
              <w:rPr>
                <w:rFonts w:ascii="Times New Roman" w:hAnsi="Times New Roman"/>
                <w:bCs/>
                <w:sz w:val="18"/>
                <w:szCs w:val="18"/>
              </w:rPr>
              <w:lastRenderedPageBreak/>
              <w:t>instytucjonalnego systemu ochrony, w podziale na rodzaje transakcji i kontrahentów; oraz</w:t>
            </w:r>
          </w:p>
          <w:p w14:paraId="46594894" w14:textId="77777777" w:rsidR="001A0B09"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w odniesieniu do każdej z kolumn 140, 150 i 160 wpływy razem w ramach grupy lub instytucjonalnego systemu ochrony jako sumę wpływów w ramach grupy lub instytucjonalnego systemu ochrony w podziale na rodzaje transakcji i kontrahentów.</w:t>
            </w:r>
          </w:p>
        </w:tc>
      </w:tr>
      <w:tr w:rsidR="001A0B09" w14:paraId="081C1F8E" w14:textId="77777777" w:rsidTr="00454544">
        <w:tc>
          <w:tcPr>
            <w:tcW w:w="756" w:type="dxa"/>
            <w:shd w:val="clear" w:color="auto" w:fill="auto"/>
            <w:vAlign w:val="center"/>
          </w:tcPr>
          <w:p w14:paraId="080C6047" w14:textId="77777777" w:rsidR="001A0B09" w:rsidRDefault="007453EC">
            <w:pPr>
              <w:jc w:val="left"/>
              <w:rPr>
                <w:rFonts w:ascii="Times New Roman" w:hAnsi="Times New Roman"/>
                <w:sz w:val="18"/>
                <w:szCs w:val="18"/>
              </w:rPr>
            </w:pPr>
            <w:r>
              <w:rPr>
                <w:rFonts w:ascii="Times New Roman" w:hAnsi="Times New Roman"/>
                <w:sz w:val="18"/>
                <w:szCs w:val="18"/>
              </w:rPr>
              <w:lastRenderedPageBreak/>
              <w:t>470</w:t>
            </w:r>
          </w:p>
        </w:tc>
        <w:tc>
          <w:tcPr>
            <w:tcW w:w="7540" w:type="dxa"/>
            <w:shd w:val="clear" w:color="auto" w:fill="auto"/>
            <w:vAlign w:val="center"/>
          </w:tcPr>
          <w:p w14:paraId="5DD639AA" w14:textId="6554B0B7" w:rsidR="001A0B09" w:rsidRDefault="007453EC">
            <w:pPr>
              <w:spacing w:before="240" w:after="240"/>
              <w:rPr>
                <w:rFonts w:ascii="Times New Roman" w:hAnsi="Times New Roman"/>
                <w:bCs/>
                <w:sz w:val="18"/>
                <w:szCs w:val="18"/>
              </w:rPr>
            </w:pPr>
            <w:r>
              <w:rPr>
                <w:rFonts w:ascii="Times New Roman" w:hAnsi="Times New Roman"/>
                <w:b/>
                <w:bCs/>
                <w:sz w:val="18"/>
                <w:szCs w:val="18"/>
              </w:rPr>
              <w:t>3.1. Środki pieniężne należne od klientów niefinansowych (z wyjątkiem banków centralnych)</w:t>
            </w:r>
          </w:p>
          <w:p w14:paraId="7E6F1F99" w14:textId="77777777" w:rsidR="001A0B09" w:rsidRDefault="007453EC">
            <w:pPr>
              <w:spacing w:before="240" w:after="240"/>
              <w:rPr>
                <w:rFonts w:ascii="Times New Roman" w:hAnsi="Times New Roman"/>
                <w:b/>
                <w:bCs/>
                <w:sz w:val="18"/>
                <w:szCs w:val="18"/>
              </w:rPr>
            </w:pPr>
            <w:r>
              <w:rPr>
                <w:rFonts w:ascii="Times New Roman" w:hAnsi="Times New Roman"/>
                <w:bCs/>
                <w:sz w:val="18"/>
                <w:szCs w:val="18"/>
              </w:rPr>
              <w:t>W tej sekcji instytucje kredytowe zgłaszają wszystkie środki pieniężne należne od klientów niefinansowych ujęte w sekcji 1.1.1., w przypadku gdy kontrahent jest instytucją dominującą lub zależną danej instytucji kredytowej lub inną instytucją zależną tej samej instytucji dominującej lub jest powiązany z instytucją kredytową stosunkiem w rozumieniu art. 12 ust. 1 dyrektywy 83/349/EWG lub jest członkiem tego samego instytucjonalnego systemu ochrony, o którym mowa w art. 113 ust. 7 rozporządzenia (UE) nr 575/2013, lub centralną instytucją kredytową lub członkiem sieci lub grupy współpracy, o których mowa w art. 10 rozporządzenia (UE) nr 575/2013.</w:t>
            </w:r>
          </w:p>
        </w:tc>
      </w:tr>
      <w:tr w:rsidR="001A0B09" w14:paraId="7B63D320" w14:textId="77777777" w:rsidTr="00454544">
        <w:tc>
          <w:tcPr>
            <w:tcW w:w="756" w:type="dxa"/>
            <w:shd w:val="clear" w:color="auto" w:fill="auto"/>
            <w:vAlign w:val="center"/>
          </w:tcPr>
          <w:p w14:paraId="39F33E83" w14:textId="77777777" w:rsidR="001A0B09"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1A0B09" w:rsidRDefault="007453EC">
            <w:pPr>
              <w:spacing w:before="240" w:after="240"/>
              <w:rPr>
                <w:rFonts w:ascii="Times New Roman" w:hAnsi="Times New Roman"/>
                <w:bCs/>
                <w:sz w:val="18"/>
                <w:szCs w:val="18"/>
              </w:rPr>
            </w:pPr>
            <w:r>
              <w:rPr>
                <w:rFonts w:ascii="Times New Roman" w:hAnsi="Times New Roman"/>
                <w:b/>
                <w:bCs/>
                <w:sz w:val="18"/>
                <w:szCs w:val="18"/>
              </w:rPr>
              <w:t>3.2. Środki pieniężne należne od klientów finansowych</w:t>
            </w:r>
          </w:p>
          <w:p w14:paraId="1E3892C8" w14:textId="77777777" w:rsidR="001A0B09" w:rsidRDefault="007453EC">
            <w:pPr>
              <w:spacing w:before="240" w:after="240"/>
              <w:rPr>
                <w:rFonts w:ascii="Times New Roman" w:hAnsi="Times New Roman"/>
                <w:b/>
                <w:bCs/>
                <w:sz w:val="18"/>
                <w:szCs w:val="18"/>
              </w:rPr>
            </w:pPr>
            <w:r>
              <w:rPr>
                <w:rFonts w:ascii="Times New Roman" w:hAnsi="Times New Roman"/>
                <w:bCs/>
                <w:sz w:val="18"/>
                <w:szCs w:val="18"/>
              </w:rPr>
              <w:t>W tej sekcji instytucje kredytowe zgłaszają wszystkie środki pieniężne należne od klientów finansowych ujęte w sekcji 1.1.2., w przypadku, gdy kontrahent jest instytucją dominującą lub zależną danej instytucji kredytowej lub inną instytucją zależną tej samej instytucji dominującej lub jest powiązany z instytucją kredytową stosunkiem w rozumieniu art. 12 ust. 1 dyrektywy 83/349/EWG lub jest członkiem tego samego instytucjonalnego systemu ochrony, o którym mowa w art. 113 ust. 7 rozporządzenia (UE) nr 575/2013, lub instytucją centralną lub członkiem sieci lub grupy współpracy, o których mowa w art. 10 rozporządzenia (UE) nr 575/2013.</w:t>
            </w:r>
          </w:p>
        </w:tc>
      </w:tr>
      <w:tr w:rsidR="001A0B09" w14:paraId="73AFAC25" w14:textId="77777777" w:rsidTr="00454544">
        <w:tc>
          <w:tcPr>
            <w:tcW w:w="756" w:type="dxa"/>
            <w:shd w:val="clear" w:color="auto" w:fill="auto"/>
            <w:vAlign w:val="center"/>
          </w:tcPr>
          <w:p w14:paraId="3FA775FA" w14:textId="77777777" w:rsidR="001A0B09"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1A0B09" w:rsidRDefault="007453EC">
            <w:pPr>
              <w:spacing w:before="240" w:after="240"/>
              <w:rPr>
                <w:rFonts w:ascii="Times New Roman" w:hAnsi="Times New Roman"/>
                <w:bCs/>
                <w:sz w:val="18"/>
                <w:szCs w:val="18"/>
              </w:rPr>
            </w:pPr>
            <w:r>
              <w:rPr>
                <w:rFonts w:ascii="Times New Roman" w:hAnsi="Times New Roman"/>
                <w:b/>
                <w:bCs/>
                <w:sz w:val="18"/>
                <w:szCs w:val="18"/>
              </w:rPr>
              <w:t>3.3. Transakcje zabezpieczone</w:t>
            </w:r>
          </w:p>
          <w:p w14:paraId="57D0789B" w14:textId="3E2F0A5A" w:rsidR="001A0B09" w:rsidRDefault="007453EC">
            <w:pPr>
              <w:spacing w:before="240" w:after="240"/>
              <w:rPr>
                <w:rFonts w:ascii="Times New Roman" w:hAnsi="Times New Roman"/>
                <w:b/>
                <w:bCs/>
                <w:sz w:val="18"/>
                <w:szCs w:val="18"/>
              </w:rPr>
            </w:pPr>
            <w:r>
              <w:rPr>
                <w:rFonts w:ascii="Times New Roman" w:hAnsi="Times New Roman"/>
                <w:bCs/>
                <w:sz w:val="18"/>
                <w:szCs w:val="18"/>
              </w:rPr>
              <w:t>W tej sekcji instytucje kredytowe zgłaszają wszystkie środki pieniężne należne z tytułu zabezpieczonych transakcji kredytowych i transakcji opartych na rynku kapitałowym oraz całkowitą wartość rynkową otrzymanego zabezpieczenia ujętą w sekcji 1.2, w przypadku, gdy kontrahent jest instytucją dominującą lub zależną danej instytucji kredytowej lub inną instytucją zależną tej samej instytucji dominującej lub jest powiązany z instytucją kredytową stosunkiem w rozumieniu art. 12 ust. 1 dyrektywy 83/349/EWG lub jest członkiem tego samego instytucjonalnego systemu ochrony, o którym mowa w art. 113 ust. 7 rozporządzenia (UE) nr 575/2013, lub instytucją centralną lub członkiem sieci lub grupy współpracy, o których mowa w art. 10 rozporządzenia (UE) nr 575/2013.</w:t>
            </w:r>
          </w:p>
        </w:tc>
      </w:tr>
      <w:tr w:rsidR="001A0B09" w14:paraId="454FF781" w14:textId="77777777" w:rsidTr="00454544">
        <w:tc>
          <w:tcPr>
            <w:tcW w:w="756" w:type="dxa"/>
            <w:shd w:val="clear" w:color="auto" w:fill="auto"/>
            <w:vAlign w:val="center"/>
          </w:tcPr>
          <w:p w14:paraId="356BFF7A" w14:textId="77777777" w:rsidR="001A0B09" w:rsidRDefault="007453EC">
            <w:pPr>
              <w:jc w:val="left"/>
              <w:rPr>
                <w:rFonts w:ascii="Times New Roman" w:hAnsi="Times New Roman"/>
                <w:sz w:val="18"/>
                <w:szCs w:val="18"/>
              </w:rPr>
            </w:pPr>
            <w:r>
              <w:rPr>
                <w:rFonts w:ascii="Times New Roman" w:hAnsi="Times New Roman"/>
                <w:sz w:val="18"/>
                <w:szCs w:val="18"/>
              </w:rPr>
              <w:t>500</w:t>
            </w:r>
          </w:p>
        </w:tc>
        <w:tc>
          <w:tcPr>
            <w:tcW w:w="7540" w:type="dxa"/>
            <w:shd w:val="clear" w:color="auto" w:fill="auto"/>
            <w:vAlign w:val="center"/>
          </w:tcPr>
          <w:p w14:paraId="0B34C4DD" w14:textId="2DACEA13" w:rsidR="001A0B09" w:rsidRDefault="007453EC">
            <w:pPr>
              <w:spacing w:before="240" w:after="240"/>
              <w:rPr>
                <w:rFonts w:ascii="Times New Roman" w:hAnsi="Times New Roman"/>
                <w:b/>
                <w:bCs/>
                <w:sz w:val="18"/>
                <w:szCs w:val="18"/>
              </w:rPr>
            </w:pPr>
            <w:r>
              <w:rPr>
                <w:rFonts w:ascii="Times New Roman" w:hAnsi="Times New Roman"/>
                <w:b/>
                <w:bCs/>
                <w:sz w:val="18"/>
                <w:szCs w:val="18"/>
              </w:rPr>
              <w:t>3.4. Środki pieniężne należne z tytułu papierów wartościowych, których termin zapadalności upływa w ciągu 30 dni</w:t>
            </w:r>
          </w:p>
          <w:p w14:paraId="02710816" w14:textId="77777777" w:rsidR="001A0B09" w:rsidRDefault="007453EC">
            <w:pPr>
              <w:spacing w:before="240" w:after="240"/>
              <w:rPr>
                <w:rFonts w:ascii="Times New Roman" w:hAnsi="Times New Roman"/>
                <w:b/>
                <w:bCs/>
                <w:sz w:val="18"/>
                <w:szCs w:val="18"/>
              </w:rPr>
            </w:pPr>
            <w:r>
              <w:rPr>
                <w:rFonts w:ascii="Times New Roman" w:hAnsi="Times New Roman"/>
                <w:bCs/>
                <w:sz w:val="18"/>
                <w:szCs w:val="18"/>
              </w:rPr>
              <w:t>W tej sekcji instytucje kredytowe zgłaszają wszystkie środki pieniężne należne z tytułu papierów wartościowych, których termin zapadalności upływa w ciągu 30 dni kalendarzowych, ujęte w sekcji 1.1.5., w przypadku, gdy emitent jest instytucją dominującą lub zależną danej instytucji kredytowej lub inną instytucją zależną tej samej instytucji dominującej lub jest powiązany z instytucją kredytową stosunkiem w rozumieniu art. 12 ust. 1 dyrektywy 83/349/EWG lub jest członkiem tego samego instytucjonalnego systemu ochrony, o którym mowa w art. 113 ust. 7 rozporządzenia (UE) nr 575/2013, lub instytucją centralną lub członkiem sieci lub grupy współpracy, o których mowa w art. 10 rozporządzenia (UE) nr 575/2013.</w:t>
            </w:r>
          </w:p>
        </w:tc>
      </w:tr>
      <w:tr w:rsidR="001A0B09" w14:paraId="10969525" w14:textId="77777777" w:rsidTr="00454544">
        <w:tc>
          <w:tcPr>
            <w:tcW w:w="756" w:type="dxa"/>
            <w:shd w:val="clear" w:color="auto" w:fill="auto"/>
            <w:vAlign w:val="center"/>
          </w:tcPr>
          <w:p w14:paraId="27D6DC98" w14:textId="77777777" w:rsidR="001A0B09"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1A0B09" w:rsidRDefault="007453EC">
            <w:pPr>
              <w:spacing w:before="240" w:after="240"/>
              <w:rPr>
                <w:rFonts w:ascii="Times New Roman" w:hAnsi="Times New Roman"/>
                <w:bCs/>
                <w:sz w:val="18"/>
                <w:szCs w:val="18"/>
              </w:rPr>
            </w:pPr>
            <w:r>
              <w:rPr>
                <w:rFonts w:ascii="Times New Roman" w:hAnsi="Times New Roman"/>
                <w:b/>
                <w:bCs/>
                <w:sz w:val="18"/>
                <w:szCs w:val="18"/>
              </w:rPr>
              <w:t>3.5. Wszelkie inne wpływy w ramach grupy lub instytucjonalnego systemu ochrony</w:t>
            </w:r>
          </w:p>
          <w:p w14:paraId="4AB804A2" w14:textId="251BA725" w:rsidR="001A0B09" w:rsidRDefault="007453EC">
            <w:pPr>
              <w:spacing w:before="240" w:after="240"/>
              <w:rPr>
                <w:rFonts w:ascii="Times New Roman" w:hAnsi="Times New Roman"/>
                <w:b/>
                <w:bCs/>
                <w:sz w:val="18"/>
                <w:szCs w:val="18"/>
              </w:rPr>
            </w:pPr>
            <w:r>
              <w:rPr>
                <w:rFonts w:ascii="Times New Roman" w:hAnsi="Times New Roman"/>
                <w:bCs/>
                <w:sz w:val="18"/>
                <w:szCs w:val="18"/>
              </w:rPr>
              <w:t>W tej sekcji instytucje kredytowe zgłaszają wszelkie inne wpływy w ramach grupy lub instytucjonalnego systemu ochrony ujęte w sekcjach 1.1.3.–1.1.11. (z wyłączeniem sekcji 1.1.5. i 1.1.10.), w przypadku, gdy kontrahent jest instytucją dominującą lub zależną danej instytucji kredytowej lub inną instytucją zależną tej samej instytucji dominującej lub jest powiązany z instytucją kredytową stosunkiem w rozumieniu art. 12 ust. 1 dyrektywy 83/349/EWG lub jest członkiem tego samego instytucjonalnego systemu ochrony, o którym mowa w art. 113 ust. 7 rozporządzenia (UE) nr 575/2013, lub instytucją centralną lub członkiem sieci lub grupy współpracy, o których mowa w art. 10 rozporządzenia (UE) nr 575/2013.</w:t>
            </w:r>
          </w:p>
        </w:tc>
      </w:tr>
      <w:tr w:rsidR="001A0B09" w14:paraId="6F7ED649" w14:textId="77777777" w:rsidTr="00454544">
        <w:tc>
          <w:tcPr>
            <w:tcW w:w="756" w:type="dxa"/>
            <w:shd w:val="clear" w:color="auto" w:fill="auto"/>
            <w:vAlign w:val="center"/>
          </w:tcPr>
          <w:p w14:paraId="7BE45B31" w14:textId="77777777" w:rsidR="001A0B09" w:rsidRDefault="001A0B09">
            <w:pPr>
              <w:jc w:val="left"/>
              <w:rPr>
                <w:rFonts w:ascii="Times New Roman" w:hAnsi="Times New Roman"/>
                <w:sz w:val="18"/>
                <w:szCs w:val="18"/>
              </w:rPr>
            </w:pPr>
          </w:p>
        </w:tc>
        <w:tc>
          <w:tcPr>
            <w:tcW w:w="7540" w:type="dxa"/>
            <w:shd w:val="clear" w:color="auto" w:fill="auto"/>
            <w:vAlign w:val="center"/>
          </w:tcPr>
          <w:p w14:paraId="028B7432" w14:textId="63A9383A" w:rsidR="001A0B09" w:rsidRDefault="007453EC">
            <w:pPr>
              <w:spacing w:before="240" w:after="240"/>
              <w:rPr>
                <w:rFonts w:ascii="Times New Roman" w:hAnsi="Times New Roman"/>
                <w:b/>
                <w:bCs/>
                <w:sz w:val="18"/>
                <w:szCs w:val="18"/>
              </w:rPr>
            </w:pPr>
            <w:r>
              <w:rPr>
                <w:rFonts w:ascii="Times New Roman" w:hAnsi="Times New Roman"/>
                <w:b/>
                <w:bCs/>
                <w:sz w:val="18"/>
                <w:szCs w:val="18"/>
              </w:rPr>
              <w:t>4. Zabezpieczone transakcje kredytowe zwolnione ze stosowania art. 17 ust. 2 i 3.</w:t>
            </w:r>
          </w:p>
          <w:p w14:paraId="3AF54C59" w14:textId="311443FF" w:rsidR="001A0B09" w:rsidDel="00F07329" w:rsidRDefault="007453EC">
            <w:pPr>
              <w:spacing w:before="240" w:after="240"/>
              <w:rPr>
                <w:rFonts w:ascii="Times New Roman" w:hAnsi="Times New Roman"/>
                <w:b/>
                <w:bCs/>
                <w:sz w:val="18"/>
                <w:szCs w:val="18"/>
              </w:rPr>
            </w:pPr>
            <w:r>
              <w:rPr>
                <w:rFonts w:ascii="Times New Roman" w:hAnsi="Times New Roman"/>
                <w:sz w:val="18"/>
                <w:szCs w:val="22"/>
              </w:rPr>
              <w:t>Instytucje kredytowe zgłaszają w tej pozycji zabezpieczone transakcje kredytowe, których rezydualny termin zapadalności wynosi nie więcej niż 30 dni, w przypadku gdy kontrahentem jest bank centralny, a odnośne transakcje są wyłączone ze stosowania art. 17 ust. 2 i 3 rozporządzenia delegowanego (UE) 2015/61 na mocy art. 17 ust. 4 wspomnianego rozporządzenia.</w:t>
            </w:r>
          </w:p>
        </w:tc>
      </w:tr>
      <w:tr w:rsidR="001A0B09" w14:paraId="59D7538E" w14:textId="77777777" w:rsidTr="00454544">
        <w:tc>
          <w:tcPr>
            <w:tcW w:w="756" w:type="dxa"/>
            <w:shd w:val="clear" w:color="auto" w:fill="auto"/>
            <w:vAlign w:val="center"/>
          </w:tcPr>
          <w:p w14:paraId="6FEFAB33" w14:textId="77777777" w:rsidR="001A0B09"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4.1. w tym: zabezpieczenie poziomu 1, z wyłączeniem obligacji zabezpieczonych charakteryzujących się wyjątkowo wysoką jakością</w:t>
            </w:r>
          </w:p>
          <w:p w14:paraId="671CE057" w14:textId="109C0F2C" w:rsidR="001A0B09" w:rsidDel="00F07329" w:rsidRDefault="007453EC">
            <w:pPr>
              <w:spacing w:before="240" w:after="240"/>
              <w:rPr>
                <w:rFonts w:ascii="Times New Roman" w:hAnsi="Times New Roman"/>
                <w:b/>
                <w:bCs/>
                <w:sz w:val="18"/>
                <w:szCs w:val="18"/>
              </w:rPr>
            </w:pPr>
            <w:r>
              <w:rPr>
                <w:rFonts w:ascii="Times New Roman" w:hAnsi="Times New Roman"/>
                <w:sz w:val="18"/>
                <w:szCs w:val="22"/>
              </w:rPr>
              <w:t xml:space="preserve">Instytucje kredytowe zgłaszają w tej pozycji zabezpieczone </w:t>
            </w:r>
            <w:r>
              <w:rPr>
                <w:rFonts w:ascii="Times New Roman" w:hAnsi="Times New Roman"/>
                <w:sz w:val="18"/>
              </w:rPr>
              <w:t>transakcje</w:t>
            </w:r>
            <w:r>
              <w:rPr>
                <w:rFonts w:ascii="Times New Roman" w:hAnsi="Times New Roman"/>
                <w:sz w:val="18"/>
                <w:szCs w:val="22"/>
              </w:rPr>
              <w:t xml:space="preserve"> kredytowe, których rezydualny termin zapadalności wynosi nie więcej niż 30 dni kalendarzowych, w przypadku gdy kontrahentem jest bank centralny</w:t>
            </w:r>
            <w:r>
              <w:rPr>
                <w:rFonts w:ascii="Times New Roman" w:hAnsi="Times New Roman"/>
                <w:sz w:val="18"/>
              </w:rPr>
              <w:t xml:space="preserve">, otrzymane zabezpieczenie jest zabezpieczeniem poziomu 1, z wyłączeniem obligacji zabezpieczonych charakteryzujących się wyjątkowo wysoką jakością i 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tc>
      </w:tr>
      <w:tr w:rsidR="001A0B09" w14:paraId="7D8A1D2C" w14:textId="77777777" w:rsidTr="00454544">
        <w:tc>
          <w:tcPr>
            <w:tcW w:w="756" w:type="dxa"/>
            <w:shd w:val="clear" w:color="auto" w:fill="auto"/>
            <w:vAlign w:val="center"/>
          </w:tcPr>
          <w:p w14:paraId="34AD4248" w14:textId="77777777" w:rsidR="001A0B09"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4.2. w tym: zabezpieczenie poziomu 1 w postaci obligacji zabezpieczonych charakteryzujących się wyjątkowo wysoką jakością</w:t>
            </w:r>
          </w:p>
          <w:p w14:paraId="781FF86B" w14:textId="37BA2EDA" w:rsidR="001A0B09" w:rsidDel="00F07329" w:rsidRDefault="007453EC">
            <w:pPr>
              <w:spacing w:before="240" w:after="240"/>
              <w:rPr>
                <w:rFonts w:ascii="Times New Roman" w:hAnsi="Times New Roman"/>
                <w:b/>
                <w:bCs/>
                <w:sz w:val="18"/>
                <w:szCs w:val="18"/>
              </w:rPr>
            </w:pPr>
            <w:r>
              <w:rPr>
                <w:rFonts w:ascii="Times New Roman" w:hAnsi="Times New Roman"/>
                <w:sz w:val="18"/>
                <w:szCs w:val="22"/>
              </w:rPr>
              <w:t xml:space="preserve">Instytucje kredytowe zgłaszają w tej pozycji zabezpieczone </w:t>
            </w:r>
            <w:r>
              <w:rPr>
                <w:rFonts w:ascii="Times New Roman" w:hAnsi="Times New Roman"/>
                <w:sz w:val="18"/>
              </w:rPr>
              <w:t>transakcje</w:t>
            </w:r>
            <w:r>
              <w:rPr>
                <w:rFonts w:ascii="Times New Roman" w:hAnsi="Times New Roman"/>
                <w:sz w:val="18"/>
                <w:szCs w:val="22"/>
              </w:rPr>
              <w:t xml:space="preserve"> kredytowe, których rezydualny termin zapadalności wynosi nie więcej niż 30 dni kalendarzowych, w przypadku gdy kontrahentem jest bank centralny</w:t>
            </w:r>
            <w:r>
              <w:rPr>
                <w:rFonts w:ascii="Times New Roman" w:hAnsi="Times New Roman"/>
                <w:sz w:val="18"/>
              </w:rPr>
              <w:t>, otrzymane zabezpieczenie jest zabezpieczeniem poziomu 1 w postaci obligacji zabezpieczonych charakteryzujących się wyjątkowo wysoką jakością</w:t>
            </w:r>
            <w:r>
              <w:rPr>
                <w:rFonts w:ascii="Times New Roman" w:hAnsi="Times New Roman"/>
                <w:sz w:val="18"/>
                <w:szCs w:val="22"/>
              </w:rPr>
              <w:t xml:space="preserve"> </w:t>
            </w:r>
            <w:r>
              <w:rPr>
                <w:rFonts w:ascii="Times New Roman" w:hAnsi="Times New Roman"/>
                <w:sz w:val="18"/>
              </w:rPr>
              <w:t xml:space="preserve">i 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tc>
      </w:tr>
      <w:tr w:rsidR="001A0B09" w14:paraId="3E2EEF1E" w14:textId="77777777" w:rsidTr="00454544">
        <w:tc>
          <w:tcPr>
            <w:tcW w:w="756" w:type="dxa"/>
            <w:shd w:val="clear" w:color="auto" w:fill="auto"/>
            <w:vAlign w:val="center"/>
          </w:tcPr>
          <w:p w14:paraId="368E2E60" w14:textId="77777777" w:rsidR="001A0B09"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1A0B09" w:rsidRDefault="007453EC">
            <w:pPr>
              <w:spacing w:before="240" w:after="240"/>
              <w:rPr>
                <w:rFonts w:ascii="Times New Roman" w:hAnsi="Times New Roman"/>
                <w:b/>
                <w:bCs/>
                <w:sz w:val="18"/>
                <w:szCs w:val="18"/>
              </w:rPr>
            </w:pPr>
            <w:r>
              <w:rPr>
                <w:rFonts w:ascii="Times New Roman" w:hAnsi="Times New Roman"/>
                <w:b/>
                <w:bCs/>
                <w:sz w:val="18"/>
                <w:szCs w:val="18"/>
              </w:rPr>
              <w:t>4.3. w tym: zabezpieczenie w postaci aktywów poziomu 2A</w:t>
            </w:r>
          </w:p>
          <w:p w14:paraId="1D28B831" w14:textId="6834268C" w:rsidR="001A0B09" w:rsidDel="00F07329" w:rsidRDefault="007453EC">
            <w:pPr>
              <w:spacing w:before="240" w:after="240"/>
              <w:rPr>
                <w:rFonts w:ascii="Times New Roman" w:hAnsi="Times New Roman"/>
                <w:b/>
                <w:bCs/>
                <w:sz w:val="18"/>
                <w:szCs w:val="18"/>
              </w:rPr>
            </w:pPr>
            <w:r>
              <w:rPr>
                <w:rFonts w:ascii="Times New Roman" w:hAnsi="Times New Roman"/>
                <w:sz w:val="18"/>
                <w:szCs w:val="22"/>
              </w:rPr>
              <w:t xml:space="preserve">Instytucje kredytowe zgłaszają w tej pozycji zabezpieczone </w:t>
            </w:r>
            <w:r>
              <w:rPr>
                <w:rFonts w:ascii="Times New Roman" w:hAnsi="Times New Roman"/>
                <w:sz w:val="18"/>
              </w:rPr>
              <w:t>transakcje</w:t>
            </w:r>
            <w:r>
              <w:rPr>
                <w:rFonts w:ascii="Times New Roman" w:hAnsi="Times New Roman"/>
                <w:sz w:val="18"/>
                <w:szCs w:val="22"/>
              </w:rPr>
              <w:t xml:space="preserve"> kredytowe, których rezydualny termin zapadalności wynosi nie więcej niż 30 dni kalendarzowych, w przypadku gdy kontrahentem jest bank centralny</w:t>
            </w:r>
            <w:r>
              <w:rPr>
                <w:rFonts w:ascii="Times New Roman" w:hAnsi="Times New Roman"/>
                <w:sz w:val="18"/>
              </w:rPr>
              <w:t>, otrzymane zabezpieczenie jest zabezpieczeniem poziomu 2A</w:t>
            </w:r>
            <w:r>
              <w:rPr>
                <w:rFonts w:ascii="Times New Roman" w:hAnsi="Times New Roman"/>
                <w:sz w:val="18"/>
                <w:szCs w:val="22"/>
              </w:rPr>
              <w:t xml:space="preserve"> </w:t>
            </w:r>
            <w:r>
              <w:rPr>
                <w:rFonts w:ascii="Times New Roman" w:hAnsi="Times New Roman"/>
                <w:sz w:val="18"/>
              </w:rPr>
              <w:t xml:space="preserve">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tc>
      </w:tr>
      <w:tr w:rsidR="001A0B09" w14:paraId="0DB258F8" w14:textId="77777777" w:rsidTr="00454544">
        <w:tc>
          <w:tcPr>
            <w:tcW w:w="756" w:type="dxa"/>
            <w:shd w:val="clear" w:color="auto" w:fill="auto"/>
            <w:vAlign w:val="center"/>
          </w:tcPr>
          <w:p w14:paraId="29981808" w14:textId="30E7F755" w:rsidR="001A0B09"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1A0B09" w:rsidRDefault="007453EC">
            <w:pPr>
              <w:spacing w:before="240" w:after="240"/>
              <w:rPr>
                <w:rFonts w:ascii="Times New Roman" w:hAnsi="Times New Roman"/>
                <w:b/>
                <w:bCs/>
                <w:sz w:val="18"/>
                <w:szCs w:val="18"/>
              </w:rPr>
            </w:pPr>
            <w:r>
              <w:rPr>
                <w:rFonts w:ascii="Times New Roman" w:hAnsi="Times New Roman"/>
                <w:b/>
                <w:bCs/>
                <w:sz w:val="18"/>
                <w:szCs w:val="18"/>
              </w:rPr>
              <w:t>4.4. w tym: zabezpieczenie w postaci aktywów poziomu 2B</w:t>
            </w:r>
          </w:p>
          <w:p w14:paraId="5F45A406" w14:textId="4737FCA1" w:rsidR="001A0B09" w:rsidDel="00F07329" w:rsidRDefault="007453EC">
            <w:pPr>
              <w:spacing w:before="240" w:after="240"/>
              <w:rPr>
                <w:rFonts w:ascii="Times New Roman" w:hAnsi="Times New Roman"/>
                <w:b/>
                <w:bCs/>
                <w:sz w:val="18"/>
                <w:szCs w:val="18"/>
              </w:rPr>
            </w:pPr>
            <w:r>
              <w:rPr>
                <w:rFonts w:ascii="Times New Roman" w:hAnsi="Times New Roman"/>
                <w:sz w:val="18"/>
                <w:szCs w:val="22"/>
              </w:rPr>
              <w:t xml:space="preserve">Instytucje kredytowe zgłaszają w tej pozycji zabezpieczone </w:t>
            </w:r>
            <w:r>
              <w:rPr>
                <w:rFonts w:ascii="Times New Roman" w:hAnsi="Times New Roman"/>
                <w:sz w:val="18"/>
              </w:rPr>
              <w:t>transakcje</w:t>
            </w:r>
            <w:r>
              <w:rPr>
                <w:rFonts w:ascii="Times New Roman" w:hAnsi="Times New Roman"/>
                <w:sz w:val="18"/>
                <w:szCs w:val="22"/>
              </w:rPr>
              <w:t xml:space="preserve"> kredytowe, których rezydualny termin zapadalności wynosi nie więcej niż 30 dni kalendarzowych, w przypadku gdy kontrahentem jest bank centralny</w:t>
            </w:r>
            <w:r>
              <w:rPr>
                <w:rFonts w:ascii="Times New Roman" w:hAnsi="Times New Roman"/>
                <w:sz w:val="18"/>
              </w:rPr>
              <w:t xml:space="preserve">, otrzymane zabezpieczenie jest zabezpieczeniem poziomu 2B 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tc>
      </w:tr>
      <w:tr w:rsidR="001A0B09" w14:paraId="5C46341B" w14:textId="77777777" w:rsidTr="00454544">
        <w:tc>
          <w:tcPr>
            <w:tcW w:w="756" w:type="dxa"/>
            <w:shd w:val="clear" w:color="auto" w:fill="auto"/>
            <w:vAlign w:val="center"/>
          </w:tcPr>
          <w:p w14:paraId="0226D10C" w14:textId="39EFAC7C" w:rsidR="001A0B09" w:rsidRDefault="003626D1">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1A0B09" w:rsidRDefault="003626D1">
            <w:pPr>
              <w:spacing w:before="240" w:after="240"/>
              <w:rPr>
                <w:rFonts w:ascii="Times New Roman" w:hAnsi="Times New Roman"/>
                <w:b/>
                <w:bCs/>
                <w:sz w:val="18"/>
                <w:szCs w:val="18"/>
              </w:rPr>
            </w:pPr>
            <w:r>
              <w:rPr>
                <w:rFonts w:ascii="Times New Roman" w:hAnsi="Times New Roman"/>
                <w:b/>
                <w:bCs/>
                <w:sz w:val="18"/>
                <w:szCs w:val="18"/>
              </w:rPr>
              <w:t>4.5. w tym: zabezpieczenie aktywami niepłynnymi</w:t>
            </w:r>
          </w:p>
          <w:p w14:paraId="262E60D9" w14:textId="482CBC50" w:rsidR="001A0B09" w:rsidRDefault="003626D1">
            <w:pPr>
              <w:spacing w:before="240" w:after="240"/>
              <w:rPr>
                <w:rFonts w:ascii="Times New Roman" w:hAnsi="Times New Roman"/>
                <w:b/>
                <w:bCs/>
                <w:sz w:val="18"/>
                <w:szCs w:val="18"/>
              </w:rPr>
            </w:pPr>
            <w:r>
              <w:rPr>
                <w:rFonts w:ascii="Times New Roman" w:hAnsi="Times New Roman"/>
                <w:sz w:val="18"/>
                <w:szCs w:val="22"/>
              </w:rPr>
              <w:t xml:space="preserve">Instytucje kredytowe zgłaszają w tej pozycji zabezpieczone </w:t>
            </w:r>
            <w:r>
              <w:rPr>
                <w:rFonts w:ascii="Times New Roman" w:hAnsi="Times New Roman"/>
                <w:sz w:val="18"/>
              </w:rPr>
              <w:t>transakcje</w:t>
            </w:r>
            <w:r>
              <w:rPr>
                <w:rFonts w:ascii="Times New Roman" w:hAnsi="Times New Roman"/>
                <w:sz w:val="18"/>
                <w:szCs w:val="22"/>
              </w:rPr>
              <w:t xml:space="preserve"> kredytowe, których rezydualny termin zapadalności wynosi nie więcej niż 30 dni kalendarzowych, w przypadku gdy kontrahentem jest bank centralny</w:t>
            </w:r>
            <w:r>
              <w:rPr>
                <w:rFonts w:ascii="Times New Roman" w:hAnsi="Times New Roman"/>
                <w:sz w:val="18"/>
              </w:rPr>
              <w:t xml:space="preserve">, otrzymane zabezpieczenie jest zabezpieczeniem aktywami niepłynnymi,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tc>
      </w:tr>
    </w:tbl>
    <w:p w14:paraId="0BF06934" w14:textId="77777777" w:rsidR="001A0B09" w:rsidRDefault="001A0B09">
      <w:pPr>
        <w:rPr>
          <w:rFonts w:ascii="Times New Roman" w:hAnsi="Times New Roman"/>
          <w:sz w:val="18"/>
          <w:szCs w:val="18"/>
        </w:rPr>
      </w:pPr>
    </w:p>
    <w:p w14:paraId="2653F699" w14:textId="583DE8DC" w:rsidR="001A0B09" w:rsidRDefault="001A0B09">
      <w:pPr>
        <w:rPr>
          <w:rFonts w:ascii="Times New Roman" w:hAnsi="Times New Roman"/>
        </w:rPr>
      </w:pPr>
    </w:p>
    <w:p w14:paraId="7E28165B" w14:textId="615852CB" w:rsidR="001A0B09" w:rsidRDefault="00881B4D">
      <w:pPr>
        <w:spacing w:before="0" w:after="160" w:line="259" w:lineRule="auto"/>
        <w:jc w:val="left"/>
        <w:rPr>
          <w:rFonts w:ascii="Times New Roman" w:hAnsi="Times New Roman"/>
        </w:rPr>
      </w:pPr>
      <w:r>
        <w:lastRenderedPageBreak/>
        <w:br w:type="page"/>
      </w:r>
    </w:p>
    <w:p w14:paraId="2A99A7D3" w14:textId="77777777" w:rsidR="001A0B09" w:rsidRDefault="00F71050">
      <w:pPr>
        <w:jc w:val="center"/>
        <w:rPr>
          <w:rFonts w:ascii="Times New Roman" w:eastAsia="PMingLiU" w:hAnsi="Times New Roman"/>
          <w:b/>
          <w:sz w:val="24"/>
        </w:rPr>
      </w:pPr>
      <w:r>
        <w:rPr>
          <w:rFonts w:ascii="Times New Roman" w:hAnsi="Times New Roman"/>
          <w:b/>
        </w:rPr>
        <w:lastRenderedPageBreak/>
        <w:t>SPRAWOZDAWCZOŚĆ W ZAKRESIE PŁYNNOŚCI (CZĘŚĆ 4: TRANSAKCJE ZABEZPIECZAJĄCE SWAP)</w:t>
      </w:r>
    </w:p>
    <w:p w14:paraId="63C813AE" w14:textId="77411E41" w:rsidR="001A0B09"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Transakcje zabezpieczające swap</w:t>
      </w:r>
    </w:p>
    <w:p w14:paraId="0DA7E5BD" w14:textId="1832919C" w:rsidR="001A0B09"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Uwagi ogólne</w:t>
      </w:r>
    </w:p>
    <w:p w14:paraId="7D2529DF" w14:textId="59A0F58A" w:rsidR="001A0B09" w:rsidRDefault="00F71050">
      <w:pPr>
        <w:pStyle w:val="InstructionsText2"/>
        <w:numPr>
          <w:ilvl w:val="0"/>
          <w:numId w:val="114"/>
        </w:numPr>
        <w:rPr>
          <w:rFonts w:eastAsia="PMingLiU"/>
        </w:rPr>
      </w:pPr>
      <w:r>
        <w:t>W niniejszym formularzu zgłasza się każdą transakcję, której termin zapadalności upływa w ciągu 30 najbliższych dni kalendarzowych, w ramach której aktywa niepieniężne są wymieniane na inne aktywa niepieniężne. Pozycje, których instytucje nie muszą wypełniać, zaznaczono kolorem szarym.</w:t>
      </w:r>
    </w:p>
    <w:p w14:paraId="15C44248" w14:textId="2487973B" w:rsidR="001A0B09" w:rsidRDefault="00F71050">
      <w:pPr>
        <w:pStyle w:val="InstructionsText2"/>
        <w:rPr>
          <w:rFonts w:eastAsia="PMingLiU"/>
        </w:rPr>
      </w:pPr>
      <w:r>
        <w:t>Transakcje zabezpieczające swap, których termin zapadalności upływa w ciągu najbliższych 30 dni kalendarzowych, prowadzą do wypływu, w przypadku gdy aktywa otrzymane w ramach zaciągniętej pożyczki podlegają mniejszej redukcji wartości na mocy rozdziału 2 rozporządzenia delegowanego (UE) 2015/61 niż aktywa przekazane w ramach pożyczki udzielonej. Wypływy oblicza się przez pomnożenie wartości rynkowej zaciągniętej pożyczki przez różnicę między wskaźnikiem wypływów mającym zastosowanie w przypadku pożyczki udzielonej a wskaźnikiem wypływów mającym zastosowanie w przypadku pożyczki zaciągniętej w zabezpieczonych transakcjach finansowania, których termin zapadalności przypada w ciągu najbliższych 30 dni kalendarzowych. W przypadku gdy kontrahentem jest krajowy bank centralny instytucji kredytowej wskaźnik wypływów, który należy zastosować do wartości rynkowej zaciągniętej pożyczki wynosi 0 %. Znaczenie pojęcia krajowy bank centralny instytucji kredytowej jest zgodne z definicją przedstawioną w art. 28 ust. 8 rozporządzenia delegowanego (UE) 2015/61.</w:t>
      </w:r>
    </w:p>
    <w:p w14:paraId="252F77C9" w14:textId="589C759F" w:rsidR="001A0B09" w:rsidRDefault="00F71050">
      <w:pPr>
        <w:pStyle w:val="InstructionsText2"/>
        <w:rPr>
          <w:rFonts w:eastAsia="PMingLiU"/>
        </w:rPr>
      </w:pPr>
      <w:r>
        <w:t>Transakcje zabezpieczające swap, których termin zapadalności upływa w ciągu najbliższych 30 dni kalendarzowych, prowadzą do wpływów, w przypadku gdy, na mocy rozdziału 2 rozporządzenia delegowanego (UE) 2015/61, udzielona pożyczka podlega mniejszej redukcji wartości niż pożyczka zaciągnięta. Wpływy oblicza się przez pomnożenie wartości rynkowej udzielonej pożyczki przez różnicę między wskaźnikiem wpływów mającym zastosowanie w przypadku pożyczki zaciągniętej a wskaźnikiem wypływów mającym zastosowanie w przypadku pożyczki udzielonej w zabezpieczonych transakcjach kredytowych, których termin zapadalności przypada w ciągu najbliższych 30 dni kalendarzowych. Jeżeli uzyskane zabezpieczenie jest ponownie wykorzystane w celu pokrycia pozycji krótkich, które można przedłużyć ponad 30 dni kalendarzowych, nie uznaje się żadnego wpływu.</w:t>
      </w:r>
    </w:p>
    <w:p w14:paraId="29131344" w14:textId="4A439145" w:rsidR="001A0B09" w:rsidRDefault="00F71050">
      <w:pPr>
        <w:pStyle w:val="InstructionsText2"/>
        <w:rPr>
          <w:rFonts w:eastAsia="PMingLiU"/>
        </w:rPr>
      </w:pPr>
      <w:r>
        <w:t>W przypadku aktywów płynnych wartość płynności oblicza się zgodnie z art. 9 rozporządzenia delegowanego (UE) 2015/61.</w:t>
      </w:r>
    </w:p>
    <w:p w14:paraId="5BD6E8D9" w14:textId="02669DF3" w:rsidR="001A0B09" w:rsidRDefault="00F71050">
      <w:pPr>
        <w:pStyle w:val="InstructionsText2"/>
        <w:rPr>
          <w:rFonts w:eastAsia="PMingLiU"/>
        </w:rPr>
      </w:pPr>
      <w:r>
        <w:t>Każdą transakcję zabezpieczającą swap ocenia się indywidualnie, a przepływ zgłasza się jako wypływy albo wpływ (w odniesieniu do każdej transakcji) w odpowiednim wierszu. Jeżeli jedna transakcja obejmuje wiele kategorii rodzajów zabezpieczenia (np. koszyk zabezpieczeń), wówczas na potrzeby sprawozdawczości dzieli się ją na części odpowiadające wierszom formularza i oceniana jest każda jej część. Jeżeli chodzi o transakcje swap koszyka lub puli zabezpieczeń, których termin zapadalności przypada w ciągu najbliższych 30 dni kalendarzowych, aktywa niepieniężne będące przedmiotem udzielonej pożyczki przypisuje się indywidualnie do aktywów niepieniężnych będących przedmiotem pożyczki zaciągniętej zgodnie z kategoriami aktywów płynnych jak określono w tytule II rozdziale 2 rozporządzenia delegowanego (UE) 2015/61, począwszy od najmniej płynnej kombinacji (tj., niepłynne aktywa niepieniężne będące przedmiotem udzielonej pożyczki, niepłynne aktywa niepieniężne będące przedmiotem zaciągniętej pożyczki). Każdą nadwyżkę zabezpieczenia w ramach jednej kombinacji przenosi się do wyższej kategorii, tak aby aż do najbardziej płynnej odpowiednie kombinacje połączenia były w pełni dopasowane. Całkowitą nadwyżkę zabezpieczenia uwzględnia się następnie w najbardziej płynnej kombinacji.</w:t>
      </w:r>
    </w:p>
    <w:p w14:paraId="5EAFC22B" w14:textId="35C61A17" w:rsidR="001A0B09" w:rsidRDefault="00F71050">
      <w:pPr>
        <w:pStyle w:val="InstructionsText2"/>
        <w:rPr>
          <w:rFonts w:eastAsia="PMingLiU"/>
        </w:rPr>
      </w:pPr>
      <w:r>
        <w:t>Udziały lub jednostki uczestnictwa w przedsiębiorstwach zbiorowego inwestowania będące przedmiotem transakcji zabezpieczających swap zgłasza się tak, jakby transakcje te obejmowały aktywa stanowiące instrument bazowy przedsiębiorstwa zbiorowego inwestowania. Poszczególne redukcje wartości zastosowane do udziałów lub jednostek uczestnictwa w przedsiębiorstwach zbiorowego inwestowania odzwierciedlone są w odpowiednim zgłaszanym wskaźniku wypływów lub wpływów.</w:t>
      </w:r>
    </w:p>
    <w:p w14:paraId="17B8D6B2" w14:textId="0BE3C1A6" w:rsidR="001A0B09" w:rsidRDefault="00F71050">
      <w:pPr>
        <w:pStyle w:val="InstructionsText2"/>
        <w:rPr>
          <w:rFonts w:eastAsia="PMingLiU"/>
        </w:rPr>
      </w:pPr>
      <w:r>
        <w:t>Instytucje kredytowe zgłaszają pozycje określone w niniejszym formularzu w odpowiednich walutach, zgodnie z art. 415 ust. 2 rozporządzenia (UE) nr 575/2013. W tym przypadku zgłaszane kwoty obejmują wyłącznie kwoty denominowane we właściwej walucie w celu zapewnienia, że niedopasowanie walutowe jest poprawnie odzwierciedlone. Może to oznaczać, że w formularzu dotyczącym właściwej waluty zgłaszana będzie tylko jedna strona transakcji, co będzie miało odpowiedni wpływ na nadwyżkę wartości płynności.</w:t>
      </w:r>
    </w:p>
    <w:p w14:paraId="291133CC" w14:textId="4194EBA0" w:rsidR="001A0B09" w:rsidRDefault="00F71050">
      <w:pPr>
        <w:keepNext/>
        <w:spacing w:before="240" w:after="240"/>
        <w:ind w:left="357" w:hanging="357"/>
        <w:outlineLvl w:val="1"/>
        <w:rPr>
          <w:rFonts w:ascii="Times New Roman" w:eastAsia="PMingLiU" w:hAnsi="Times New Roman"/>
        </w:rPr>
      </w:pPr>
      <w:r>
        <w:rPr>
          <w:rFonts w:ascii="Times New Roman" w:hAnsi="Times New Roman"/>
        </w:rPr>
        <w:lastRenderedPageBreak/>
        <w:t>1.2. Uwagi szczegółowe</w:t>
      </w:r>
    </w:p>
    <w:p w14:paraId="13FCD761" w14:textId="6F946856" w:rsidR="001A0B09" w:rsidRDefault="00F71050">
      <w:pPr>
        <w:pStyle w:val="InstructionsText2"/>
        <w:rPr>
          <w:rFonts w:eastAsia="PMingLiU"/>
        </w:rPr>
      </w:pPr>
      <w:r>
        <w:t>W celu obliczenia wpływów lub wypływów transakcje zabezpieczające swap zgłasza się niezależnie od tego, czy powiązane z nią zabezpieczenie spełnia lub spełniałoby – jeżeli nie byłoby już wykorzystane do zabezpieczenia danej transakcji – wymagania operacyjne określone w art. 8 rozporządzenia delegowanego (UE) 2015/61. Ponadto, aby umożliwić obliczenie swanych zasobów aktywów płynnych zgodnie z art. 17 ust. 2 rozporządzenia delegowanego (UE) 2015/61, instytucje kredytowe zgłaszają również osobno te transakcje, w których co najmniej jeden składnik zabezpieczenia spełnia wymagania operacyjne określone w art. 8 rozporządzenia delegowanego (UE) 2015/61.</w:t>
      </w:r>
    </w:p>
    <w:p w14:paraId="65DF558A" w14:textId="443946FA" w:rsidR="001A0B09" w:rsidRDefault="00F71050">
      <w:pPr>
        <w:pStyle w:val="InstructionsText2"/>
        <w:rPr>
          <w:rFonts w:eastAsia="PMingLiU"/>
        </w:rPr>
      </w:pPr>
      <w:r>
        <w:t>Jeżeli instytucja może uznać w ramach swoich aktywów płynnych wysokiej jakościjedynie część swoich akcji w walucie obcej lub aktywów rządu centralnego lub banku centralnego w walucie obcej lub aktywów rządu centralnego lub banku centralnego w walucie krajowej, wówczas zgłoszeniu podlega jedynie możliwa do uznania część w ramach wierszy dotyczących aktywów poziomu 1, 2A i 2B zgodnie z art. 12 ust. 1 lit. c) ppkt (ii) i art. 10 ust. 1 lit. d) rozporządzenia delegowanego (UE) 2015/61). Jeżeli określony składnik aktywów wykorzystuje się jako zabezpieczenie, ale w kwocie, która stanowi nadwyżkę w stosunku do części, którą można uznać w ramach aktywów płynnych, kwotę nadwyżki zgłasza się w sekcji dotyczącej aktywów niepłynnych.</w:t>
      </w:r>
    </w:p>
    <w:p w14:paraId="43E17CE7" w14:textId="105C6179" w:rsidR="001A0B09" w:rsidRDefault="00F71050">
      <w:pPr>
        <w:pStyle w:val="InstructionsText2"/>
        <w:rPr>
          <w:rFonts w:eastAsia="PMingLiU"/>
        </w:rPr>
      </w:pPr>
      <w:r>
        <w:t>Aktywa poziomu 2A będące przedmiotem transakcji zabezpieczających swap zgłasza się w odpowiednim wierszu dotyczącym aktywów płynnych poziomu 2A, nawet jeżeli stosuje się alternatywne podejście w zakresie płynności (tj. w ramach sprawozdawczości w zakresie transakcji zabezpieczających swap nie przenosi się aktywów z wiersza dotyczącego aktywów poziomu 2A do wiersza dotyczącego aktywów poziomu 1).</w:t>
      </w:r>
    </w:p>
    <w:p w14:paraId="3C8187BB" w14:textId="41AF1E75" w:rsidR="001A0B09"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Formularz dotyczący transakcji zabezpieczających swap</w:t>
      </w:r>
    </w:p>
    <w:p w14:paraId="5040D44B" w14:textId="2E6019DD" w:rsidR="001A0B09"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Instrukcje dotyczące poszczególnych kolumn</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1A0B09" w14:paraId="0AA084A4" w14:textId="77777777" w:rsidTr="0039321F">
        <w:tc>
          <w:tcPr>
            <w:tcW w:w="1135" w:type="dxa"/>
            <w:shd w:val="clear" w:color="auto" w:fill="E6E6E6"/>
          </w:tcPr>
          <w:p w14:paraId="621D2666"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Kolumna</w:t>
            </w:r>
          </w:p>
        </w:tc>
        <w:tc>
          <w:tcPr>
            <w:tcW w:w="7087" w:type="dxa"/>
            <w:shd w:val="clear" w:color="auto" w:fill="E6E6E6"/>
          </w:tcPr>
          <w:p w14:paraId="1356F924" w14:textId="77777777" w:rsidR="001A0B09" w:rsidRDefault="00F71050">
            <w:pPr>
              <w:spacing w:before="0" w:after="0"/>
              <w:ind w:left="28"/>
              <w:rPr>
                <w:rFonts w:ascii="Times New Roman" w:eastAsia="SimSun" w:hAnsi="Times New Roman"/>
                <w:b/>
                <w:sz w:val="18"/>
                <w:szCs w:val="18"/>
              </w:rPr>
            </w:pPr>
            <w:r>
              <w:rPr>
                <w:rFonts w:ascii="Times New Roman" w:hAnsi="Times New Roman"/>
                <w:b/>
                <w:bCs/>
                <w:sz w:val="18"/>
                <w:szCs w:val="18"/>
              </w:rPr>
              <w:t>Odniesienia prawne i instrukcje</w:t>
            </w:r>
          </w:p>
        </w:tc>
      </w:tr>
      <w:tr w:rsidR="001A0B09" w14:paraId="38EE2F9A" w14:textId="77777777" w:rsidTr="0039321F">
        <w:tc>
          <w:tcPr>
            <w:tcW w:w="1135" w:type="dxa"/>
            <w:shd w:val="clear" w:color="auto" w:fill="auto"/>
            <w:vAlign w:val="center"/>
          </w:tcPr>
          <w:p w14:paraId="4B0D41A6" w14:textId="7181AFF2" w:rsidR="001A0B09"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1A0B09" w:rsidRDefault="00F71050">
            <w:pPr>
              <w:rPr>
                <w:rFonts w:ascii="Times New Roman" w:eastAsia="PMingLiU" w:hAnsi="Times New Roman"/>
                <w:b/>
                <w:bCs/>
                <w:sz w:val="18"/>
                <w:szCs w:val="18"/>
              </w:rPr>
            </w:pPr>
            <w:r>
              <w:rPr>
                <w:rFonts w:ascii="Times New Roman" w:hAnsi="Times New Roman"/>
                <w:b/>
                <w:bCs/>
                <w:sz w:val="18"/>
                <w:szCs w:val="18"/>
              </w:rPr>
              <w:t>Wartość rynkowa zabezpieczenia będącego przedmiotem udzielonej pożyczki</w:t>
            </w:r>
          </w:p>
          <w:p w14:paraId="4577A73F" w14:textId="6464B1EB" w:rsidR="001A0B09"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 xml:space="preserve">Wartość rynkową zabezpieczenia będącego przedmiotem udzielonej pożyczki zgłasza się w kolumnie 0010. </w:t>
            </w:r>
            <w:r>
              <w:rPr>
                <w:rFonts w:ascii="Times New Roman" w:hAnsi="Times New Roman"/>
                <w:sz w:val="18"/>
                <w:szCs w:val="18"/>
              </w:rPr>
              <w:t xml:space="preserve">Wartość rynkowa odzwierciedla bieżącą wartość rynkową przed zastosowaniem redukcji wartości i po uwzględnieniu przepływów wynikających z likwidacji powiązanych zabezpieczeń </w:t>
            </w:r>
            <w:r>
              <w:rPr>
                <w:rFonts w:ascii="Times New Roman" w:hAnsi="Times New Roman"/>
                <w:bCs/>
                <w:sz w:val="18"/>
                <w:szCs w:val="18"/>
              </w:rPr>
              <w:t>zgodnie z art. 8 ust. 5 rozporządzenia delegowanego (UE) 2015/61</w:t>
            </w:r>
            <w:r>
              <w:rPr>
                <w:rFonts w:ascii="Times New Roman" w:hAnsi="Times New Roman"/>
                <w:sz w:val="18"/>
                <w:szCs w:val="18"/>
              </w:rPr>
              <w:t>.</w:t>
            </w:r>
          </w:p>
          <w:p w14:paraId="1A57E4B8" w14:textId="77777777" w:rsidR="001A0B09" w:rsidRDefault="001A0B09">
            <w:pPr>
              <w:spacing w:before="0" w:after="0"/>
              <w:ind w:left="28"/>
              <w:rPr>
                <w:rFonts w:ascii="Times New Roman" w:eastAsia="PMingLiU" w:hAnsi="Times New Roman"/>
                <w:bCs/>
                <w:sz w:val="18"/>
                <w:szCs w:val="18"/>
              </w:rPr>
            </w:pPr>
          </w:p>
        </w:tc>
      </w:tr>
      <w:tr w:rsidR="001A0B09" w14:paraId="4015661F" w14:textId="77777777" w:rsidTr="0039321F">
        <w:tc>
          <w:tcPr>
            <w:tcW w:w="1135" w:type="dxa"/>
            <w:vAlign w:val="center"/>
          </w:tcPr>
          <w:p w14:paraId="24A4E8BC" w14:textId="6A951B1C" w:rsidR="001A0B09"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1A0B09" w:rsidRDefault="00F71050">
            <w:pPr>
              <w:spacing w:before="0" w:after="0"/>
              <w:ind w:left="28"/>
              <w:rPr>
                <w:rFonts w:ascii="Times New Roman" w:eastAsia="PMingLiU" w:hAnsi="Times New Roman"/>
                <w:b/>
                <w:sz w:val="18"/>
                <w:szCs w:val="18"/>
              </w:rPr>
            </w:pPr>
            <w:r>
              <w:rPr>
                <w:rFonts w:ascii="Times New Roman" w:hAnsi="Times New Roman"/>
                <w:b/>
                <w:sz w:val="18"/>
                <w:szCs w:val="18"/>
              </w:rPr>
              <w:t>Wartość płynności zabezpieczenia będącego przedmiotem udzielonej pożyczki</w:t>
            </w:r>
          </w:p>
          <w:p w14:paraId="29A2C8CA" w14:textId="77777777" w:rsidR="001A0B09" w:rsidRDefault="001A0B09">
            <w:pPr>
              <w:spacing w:before="0" w:after="0"/>
              <w:ind w:left="28"/>
              <w:rPr>
                <w:rFonts w:ascii="Times New Roman" w:eastAsia="PMingLiU" w:hAnsi="Times New Roman"/>
                <w:b/>
                <w:sz w:val="18"/>
                <w:szCs w:val="18"/>
              </w:rPr>
            </w:pPr>
          </w:p>
          <w:p w14:paraId="64FDB670" w14:textId="38350EFA"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Wartość płynności zabezpieczenia będącego przedmiotem udzielonej pożyczki zgłasza się w kolumnie 0020. W przypadku aktywów płynnych wartość płynności odzwierciedla wartość danego składnika aktywów po uwzględnieniu redukcji wartości. </w:t>
            </w:r>
          </w:p>
          <w:p w14:paraId="744CC458" w14:textId="77777777" w:rsidR="001A0B09" w:rsidRDefault="001A0B09">
            <w:pPr>
              <w:spacing w:before="0" w:after="0"/>
              <w:ind w:left="28"/>
              <w:rPr>
                <w:rFonts w:ascii="Times New Roman" w:eastAsia="PMingLiU" w:hAnsi="Times New Roman"/>
                <w:b/>
                <w:sz w:val="18"/>
                <w:szCs w:val="18"/>
              </w:rPr>
            </w:pPr>
          </w:p>
        </w:tc>
      </w:tr>
      <w:tr w:rsidR="001A0B09" w14:paraId="09A5A4AE" w14:textId="77777777" w:rsidTr="0039321F">
        <w:tc>
          <w:tcPr>
            <w:tcW w:w="1135" w:type="dxa"/>
            <w:vAlign w:val="center"/>
          </w:tcPr>
          <w:p w14:paraId="0FFB7A5F" w14:textId="7811EA03" w:rsidR="001A0B09"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1A0B09" w:rsidRDefault="00F71050">
            <w:pPr>
              <w:rPr>
                <w:rFonts w:ascii="Times New Roman" w:eastAsia="PMingLiU" w:hAnsi="Times New Roman"/>
                <w:b/>
                <w:bCs/>
                <w:sz w:val="18"/>
                <w:szCs w:val="18"/>
              </w:rPr>
            </w:pPr>
            <w:r>
              <w:rPr>
                <w:rFonts w:ascii="Times New Roman" w:hAnsi="Times New Roman"/>
                <w:b/>
                <w:bCs/>
                <w:sz w:val="18"/>
                <w:szCs w:val="18"/>
              </w:rPr>
              <w:t>Wartość rynkowa zabezpieczenia będącego przedmiotem zaciągniętej pożyczki</w:t>
            </w:r>
          </w:p>
          <w:p w14:paraId="31251FA0" w14:textId="060A810E" w:rsidR="001A0B09"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Wartość rynkową zabezpieczenia będącego przedmiotem zaciągniętej pożyczki zgłasza się w kolumnie 0030. Wartość rynkowa odzwierciedla bieżącą wartość rynkową przed zastosowaniem redukcji wartości i po uwzględnieniu przepływów wynikających z likwidacji powiązanych zabezpieczeń </w:t>
            </w:r>
            <w:r>
              <w:rPr>
                <w:rFonts w:ascii="Times New Roman" w:hAnsi="Times New Roman"/>
                <w:bCs/>
                <w:sz w:val="18"/>
                <w:szCs w:val="18"/>
              </w:rPr>
              <w:t>zgodnie z art. 8 ust. 5 rozporządzenia delegowanego (UE) 2015/61</w:t>
            </w:r>
            <w:r>
              <w:rPr>
                <w:rFonts w:ascii="Times New Roman" w:hAnsi="Times New Roman"/>
                <w:sz w:val="18"/>
                <w:szCs w:val="18"/>
              </w:rPr>
              <w:t>.</w:t>
            </w:r>
          </w:p>
          <w:p w14:paraId="783AFA6A" w14:textId="77777777" w:rsidR="001A0B09" w:rsidRDefault="001A0B09">
            <w:pPr>
              <w:autoSpaceDE w:val="0"/>
              <w:autoSpaceDN w:val="0"/>
              <w:adjustRightInd w:val="0"/>
              <w:spacing w:before="0" w:after="0"/>
              <w:rPr>
                <w:rFonts w:ascii="Times New Roman" w:eastAsia="PMingLiU" w:hAnsi="Times New Roman"/>
                <w:sz w:val="18"/>
                <w:szCs w:val="18"/>
              </w:rPr>
            </w:pPr>
          </w:p>
        </w:tc>
      </w:tr>
      <w:tr w:rsidR="001A0B09" w14:paraId="26EA5899" w14:textId="77777777" w:rsidTr="0039321F">
        <w:tc>
          <w:tcPr>
            <w:tcW w:w="1135" w:type="dxa"/>
            <w:vAlign w:val="center"/>
          </w:tcPr>
          <w:p w14:paraId="32AB578A" w14:textId="69BBDB1A" w:rsidR="001A0B09"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1A0B09" w:rsidRDefault="00F71050">
            <w:pPr>
              <w:rPr>
                <w:rFonts w:ascii="Times New Roman" w:eastAsia="PMingLiU" w:hAnsi="Times New Roman"/>
                <w:b/>
                <w:sz w:val="18"/>
                <w:szCs w:val="18"/>
              </w:rPr>
            </w:pPr>
            <w:r>
              <w:rPr>
                <w:rFonts w:ascii="Times New Roman" w:hAnsi="Times New Roman"/>
                <w:b/>
                <w:sz w:val="18"/>
                <w:szCs w:val="18"/>
              </w:rPr>
              <w:t>Wartość płynności zabezpieczenia będącego przedmiotem zaciągniętej pożyczki</w:t>
            </w:r>
          </w:p>
          <w:p w14:paraId="221551A8" w14:textId="694FE198" w:rsidR="001A0B09" w:rsidRDefault="00F71050">
            <w:pPr>
              <w:spacing w:before="0" w:after="0"/>
              <w:ind w:left="28"/>
              <w:rPr>
                <w:rFonts w:ascii="Times New Roman" w:eastAsia="PMingLiU" w:hAnsi="Times New Roman"/>
                <w:szCs w:val="18"/>
              </w:rPr>
            </w:pPr>
            <w:r>
              <w:rPr>
                <w:rFonts w:ascii="Times New Roman" w:hAnsi="Times New Roman"/>
                <w:bCs/>
                <w:sz w:val="18"/>
                <w:szCs w:val="18"/>
              </w:rPr>
              <w:t xml:space="preserve">Wartość płynności zabezpieczenia będącego przedmiotem zaciągniętej pożyczki zgłasza się w kolumnie 0040. W przypadku aktywów płynnych wartość płynności odzwierciedla wartość danego składnika aktywów po uwzględnieniu redukcji wartości. </w:t>
            </w:r>
          </w:p>
        </w:tc>
      </w:tr>
      <w:tr w:rsidR="001A0B09" w14:paraId="00ABDC83" w14:textId="77777777" w:rsidTr="0039321F">
        <w:tc>
          <w:tcPr>
            <w:tcW w:w="1135" w:type="dxa"/>
            <w:vAlign w:val="center"/>
          </w:tcPr>
          <w:p w14:paraId="0755B2C3" w14:textId="3ABCBE5D" w:rsidR="001A0B09"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1A0B09" w:rsidRDefault="00F71050">
            <w:pPr>
              <w:rPr>
                <w:rFonts w:ascii="Times New Roman" w:eastAsia="PMingLiU" w:hAnsi="Times New Roman"/>
                <w:b/>
                <w:sz w:val="18"/>
                <w:szCs w:val="18"/>
              </w:rPr>
            </w:pPr>
            <w:r>
              <w:rPr>
                <w:rFonts w:ascii="Times New Roman" w:hAnsi="Times New Roman"/>
                <w:b/>
                <w:sz w:val="18"/>
                <w:szCs w:val="18"/>
              </w:rPr>
              <w:t>Waga standardowa</w:t>
            </w:r>
          </w:p>
          <w:p w14:paraId="0792AD27" w14:textId="3756F57B" w:rsidR="001A0B09" w:rsidRDefault="00F71050">
            <w:pPr>
              <w:rPr>
                <w:rFonts w:ascii="Times New Roman" w:eastAsia="PMingLiU" w:hAnsi="Times New Roman"/>
                <w:sz w:val="18"/>
                <w:szCs w:val="18"/>
              </w:rPr>
            </w:pPr>
            <w:r>
              <w:rPr>
                <w:rFonts w:ascii="Times New Roman" w:hAnsi="Times New Roman"/>
                <w:sz w:val="18"/>
                <w:szCs w:val="18"/>
              </w:rPr>
              <w:t>Art. 28 i 32 rozporządzenia delegowanego (UE) 2015/61.</w:t>
            </w:r>
          </w:p>
          <w:p w14:paraId="21096672" w14:textId="09FF5ABF" w:rsidR="001A0B09" w:rsidRDefault="00F71050">
            <w:pPr>
              <w:rPr>
                <w:rFonts w:ascii="Times New Roman" w:eastAsia="PMingLiU" w:hAnsi="Times New Roman"/>
                <w:b/>
                <w:sz w:val="18"/>
                <w:szCs w:val="18"/>
              </w:rPr>
            </w:pPr>
            <w:r>
              <w:rPr>
                <w:rFonts w:ascii="Times New Roman" w:hAnsi="Times New Roman"/>
                <w:sz w:val="18"/>
                <w:szCs w:val="18"/>
              </w:rPr>
              <w:t>Wagi standardowe w kolumnie 0050 są wagami odniesienia określonymi w rozporządzeniu delegowanym (UE) 2015/61 i są przedstawione wyłącznie w celach informacyjnych.</w:t>
            </w:r>
          </w:p>
        </w:tc>
      </w:tr>
      <w:tr w:rsidR="001A0B09" w14:paraId="3F443956" w14:textId="77777777" w:rsidTr="0039321F">
        <w:tc>
          <w:tcPr>
            <w:tcW w:w="1135" w:type="dxa"/>
            <w:vAlign w:val="center"/>
          </w:tcPr>
          <w:p w14:paraId="5C3750CD" w14:textId="26104018" w:rsidR="001A0B09"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1A0B09" w:rsidRDefault="00F71050">
            <w:pPr>
              <w:rPr>
                <w:rFonts w:ascii="Times New Roman" w:eastAsia="PMingLiU" w:hAnsi="Times New Roman"/>
                <w:b/>
                <w:sz w:val="18"/>
                <w:szCs w:val="18"/>
              </w:rPr>
            </w:pPr>
            <w:r>
              <w:rPr>
                <w:rFonts w:ascii="Times New Roman" w:hAnsi="Times New Roman"/>
                <w:b/>
                <w:sz w:val="18"/>
                <w:szCs w:val="18"/>
              </w:rPr>
              <w:t>Mająca zastosowanie waga</w:t>
            </w:r>
          </w:p>
          <w:p w14:paraId="5EB218B9" w14:textId="2448FC19" w:rsidR="001A0B09" w:rsidRDefault="00F71050">
            <w:pPr>
              <w:rPr>
                <w:rFonts w:ascii="Times New Roman" w:eastAsia="PMingLiU" w:hAnsi="Times New Roman"/>
                <w:sz w:val="18"/>
                <w:szCs w:val="18"/>
              </w:rPr>
            </w:pPr>
            <w:r>
              <w:rPr>
                <w:rFonts w:ascii="Times New Roman" w:hAnsi="Times New Roman"/>
                <w:sz w:val="18"/>
                <w:szCs w:val="18"/>
              </w:rPr>
              <w:t>Art. 28 i 32 rozporządzenia delegowanego (UE) 2015/61.</w:t>
            </w:r>
          </w:p>
          <w:p w14:paraId="716B5FB9" w14:textId="1EFC1317" w:rsidR="001A0B09" w:rsidRDefault="00F71050">
            <w:pPr>
              <w:spacing w:before="240" w:after="240"/>
              <w:rPr>
                <w:rFonts w:ascii="Times New Roman" w:eastAsia="PMingLiU" w:hAnsi="Times New Roman"/>
                <w:sz w:val="18"/>
                <w:szCs w:val="18"/>
              </w:rPr>
            </w:pPr>
            <w:r>
              <w:rPr>
                <w:rFonts w:ascii="Times New Roman" w:hAnsi="Times New Roman"/>
                <w:bCs/>
                <w:sz w:val="18"/>
                <w:szCs w:val="18"/>
              </w:rPr>
              <w:lastRenderedPageBreak/>
              <w:t xml:space="preserve">Mające zastosowanie wagi </w:t>
            </w:r>
            <w:r>
              <w:rPr>
                <w:rFonts w:ascii="Times New Roman" w:hAnsi="Times New Roman"/>
                <w:sz w:val="18"/>
                <w:szCs w:val="18"/>
              </w:rPr>
              <w:t>to wagi określone w art. 28 i 32 rozporządzenia delegowanego (UE) 2015/61. Mające zastosowanie wagi służą do ustalenia średnich wartości ważonych i należy je zgłaszać w ujęciu dziesiętnym (tj. 1,00 w przypadku mającej zastosowanie wagi w wysokości 100 % lub 0,50 w przypadku mającej zastosowanie wagi w wysokości 50 %). Mające zastosowanie wagi mogą odzwierciedlać m.in. ustalenia przyjęte przez daną instytucję kredytową lub opcje krajowe.</w:t>
            </w:r>
          </w:p>
        </w:tc>
      </w:tr>
      <w:tr w:rsidR="001A0B09" w14:paraId="4BCE01B2" w14:textId="77777777" w:rsidTr="0039321F">
        <w:tc>
          <w:tcPr>
            <w:tcW w:w="1135" w:type="dxa"/>
            <w:vAlign w:val="center"/>
          </w:tcPr>
          <w:p w14:paraId="37587F45" w14:textId="58778E97" w:rsidR="001A0B09" w:rsidRDefault="00F71050">
            <w:pPr>
              <w:jc w:val="left"/>
              <w:rPr>
                <w:rFonts w:ascii="Times New Roman" w:eastAsia="PMingLiU" w:hAnsi="Times New Roman"/>
                <w:sz w:val="16"/>
                <w:szCs w:val="16"/>
              </w:rPr>
            </w:pPr>
            <w:r>
              <w:rPr>
                <w:rFonts w:ascii="Times New Roman" w:hAnsi="Times New Roman"/>
                <w:sz w:val="16"/>
                <w:szCs w:val="16"/>
              </w:rPr>
              <w:lastRenderedPageBreak/>
              <w:t>0070</w:t>
            </w:r>
          </w:p>
        </w:tc>
        <w:tc>
          <w:tcPr>
            <w:tcW w:w="7087" w:type="dxa"/>
          </w:tcPr>
          <w:p w14:paraId="59174A8A" w14:textId="77777777" w:rsidR="001A0B09" w:rsidRDefault="00F71050">
            <w:pPr>
              <w:rPr>
                <w:rFonts w:ascii="Times New Roman" w:eastAsia="PMingLiU" w:hAnsi="Times New Roman"/>
                <w:b/>
                <w:sz w:val="18"/>
                <w:szCs w:val="18"/>
              </w:rPr>
            </w:pPr>
            <w:r>
              <w:rPr>
                <w:rFonts w:ascii="Times New Roman" w:hAnsi="Times New Roman"/>
                <w:b/>
                <w:sz w:val="18"/>
                <w:szCs w:val="18"/>
              </w:rPr>
              <w:t>Wypływy</w:t>
            </w:r>
          </w:p>
          <w:p w14:paraId="6D936D1E" w14:textId="6A4DC6A1" w:rsidR="001A0B09" w:rsidRDefault="00F71050">
            <w:pPr>
              <w:spacing w:before="0" w:after="0"/>
              <w:ind w:left="28"/>
              <w:rPr>
                <w:rFonts w:ascii="Times New Roman" w:eastAsia="PMingLiU" w:hAnsi="Times New Roman"/>
                <w:szCs w:val="18"/>
              </w:rPr>
            </w:pPr>
            <w:r>
              <w:rPr>
                <w:rFonts w:ascii="Times New Roman" w:hAnsi="Times New Roman"/>
                <w:sz w:val="18"/>
                <w:szCs w:val="18"/>
              </w:rPr>
              <w:t>W tej sekcji instytucje kredytowe zgłaszają wypływy. Oblicza się je, mnożąc wartość kolumny 0060 z formularza C 75.01 określonego w załączniku XXIV przez wartość kolumny 0030 z formularza C 75.01 określonego w załączniku XXIV.</w:t>
            </w:r>
          </w:p>
        </w:tc>
      </w:tr>
      <w:tr w:rsidR="001A0B09" w14:paraId="02CE149B" w14:textId="77777777" w:rsidTr="0039321F">
        <w:tc>
          <w:tcPr>
            <w:tcW w:w="1135" w:type="dxa"/>
            <w:vAlign w:val="center"/>
          </w:tcPr>
          <w:p w14:paraId="3923F5C9" w14:textId="44CA0F24" w:rsidR="001A0B09" w:rsidRDefault="00F71050">
            <w:pPr>
              <w:jc w:val="left"/>
              <w:rPr>
                <w:rFonts w:ascii="Times New Roman" w:eastAsia="PMingLiU" w:hAnsi="Times New Roman"/>
                <w:sz w:val="16"/>
                <w:szCs w:val="16"/>
              </w:rPr>
            </w:pPr>
            <w:r>
              <w:rPr>
                <w:rFonts w:ascii="Times New Roman" w:hAnsi="Times New Roman"/>
                <w:sz w:val="16"/>
                <w:szCs w:val="16"/>
              </w:rPr>
              <w:t>0080</w:t>
            </w:r>
          </w:p>
        </w:tc>
        <w:tc>
          <w:tcPr>
            <w:tcW w:w="7087" w:type="dxa"/>
          </w:tcPr>
          <w:p w14:paraId="3398FDFB" w14:textId="77777777" w:rsidR="001A0B09" w:rsidRDefault="00F71050">
            <w:pPr>
              <w:rPr>
                <w:rFonts w:ascii="Times New Roman" w:eastAsia="PMingLiU" w:hAnsi="Times New Roman"/>
                <w:b/>
                <w:sz w:val="18"/>
                <w:szCs w:val="18"/>
              </w:rPr>
            </w:pPr>
            <w:r>
              <w:rPr>
                <w:rFonts w:ascii="Times New Roman" w:hAnsi="Times New Roman"/>
                <w:b/>
                <w:sz w:val="18"/>
                <w:szCs w:val="18"/>
              </w:rPr>
              <w:t>Wpływy podlegające ograniczeniu wpływów w wysokości 75 %</w:t>
            </w:r>
          </w:p>
          <w:p w14:paraId="0F54577C" w14:textId="06083E32" w:rsidR="001A0B09" w:rsidRDefault="00F71050">
            <w:pPr>
              <w:spacing w:before="0" w:after="0"/>
              <w:ind w:left="28"/>
              <w:rPr>
                <w:rFonts w:ascii="Times New Roman" w:eastAsia="PMingLiU" w:hAnsi="Times New Roman"/>
                <w:sz w:val="18"/>
                <w:szCs w:val="18"/>
              </w:rPr>
            </w:pPr>
            <w:r>
              <w:rPr>
                <w:rFonts w:ascii="Times New Roman" w:hAnsi="Times New Roman"/>
                <w:sz w:val="18"/>
                <w:szCs w:val="18"/>
              </w:rPr>
              <w:t>W tej sekcji instytucje kredytowe zgłaszają wpływy z transakcji podlegających ograniczeniu wpływów w wysokości 75 %. Wpływy oblicza się mnożąc wartość kolumny 0060 z formularza C 75.01 określonego w załączniku XXIV przez wartość kolumny 0010 z formularza C 75.01 określonego w załączniku XXIV.</w:t>
            </w:r>
          </w:p>
          <w:p w14:paraId="31ACE699" w14:textId="77777777" w:rsidR="001A0B09" w:rsidRDefault="001A0B09">
            <w:pPr>
              <w:spacing w:before="0" w:after="0"/>
              <w:ind w:left="28"/>
              <w:rPr>
                <w:rFonts w:ascii="Times New Roman" w:eastAsia="PMingLiU" w:hAnsi="Times New Roman"/>
                <w:sz w:val="18"/>
                <w:szCs w:val="18"/>
              </w:rPr>
            </w:pPr>
          </w:p>
          <w:p w14:paraId="5117380C" w14:textId="77777777" w:rsidR="001A0B09" w:rsidRDefault="001A0B09">
            <w:pPr>
              <w:spacing w:before="0" w:after="0"/>
              <w:ind w:left="28"/>
              <w:rPr>
                <w:rFonts w:ascii="Times New Roman" w:eastAsia="PMingLiU" w:hAnsi="Times New Roman"/>
                <w:szCs w:val="18"/>
              </w:rPr>
            </w:pPr>
          </w:p>
        </w:tc>
      </w:tr>
      <w:tr w:rsidR="001A0B09" w14:paraId="4448DFAE" w14:textId="77777777" w:rsidTr="0039321F">
        <w:tc>
          <w:tcPr>
            <w:tcW w:w="1135" w:type="dxa"/>
            <w:vAlign w:val="center"/>
          </w:tcPr>
          <w:p w14:paraId="36F93588" w14:textId="0546AE47" w:rsidR="001A0B09"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1A0B09" w:rsidRDefault="00F71050">
            <w:pPr>
              <w:rPr>
                <w:rFonts w:ascii="Times New Roman" w:eastAsia="PMingLiU" w:hAnsi="Times New Roman"/>
                <w:b/>
                <w:sz w:val="18"/>
                <w:szCs w:val="18"/>
              </w:rPr>
            </w:pPr>
            <w:r>
              <w:rPr>
                <w:rFonts w:ascii="Times New Roman" w:hAnsi="Times New Roman"/>
                <w:b/>
                <w:sz w:val="18"/>
                <w:szCs w:val="18"/>
              </w:rPr>
              <w:t>Wpływy podlegające ograniczeniu wpływów w wysokości 90 %</w:t>
            </w:r>
          </w:p>
          <w:p w14:paraId="14F5CE3B" w14:textId="0EE91C4F" w:rsidR="001A0B09" w:rsidRDefault="00F71050">
            <w:pPr>
              <w:spacing w:before="0" w:after="0"/>
              <w:ind w:left="28"/>
              <w:rPr>
                <w:rFonts w:ascii="Times New Roman" w:eastAsia="PMingLiU" w:hAnsi="Times New Roman"/>
                <w:sz w:val="18"/>
                <w:szCs w:val="18"/>
              </w:rPr>
            </w:pPr>
            <w:r>
              <w:rPr>
                <w:rFonts w:ascii="Times New Roman" w:hAnsi="Times New Roman"/>
                <w:sz w:val="18"/>
                <w:szCs w:val="18"/>
              </w:rPr>
              <w:t>W tej sekcji instytucje kredytowe zgłaszają wpływy z transakcji podlegających ograniczeniu wpływów w wysokości 90 %. Wpływy oblicza się mnożąc wartość kolumny 0060 z formularza C 75.01 określonego w załączniku XXIV przez wartość kolumny 0010 z formularza C 75.01 określonego w załączniku XXIV.</w:t>
            </w:r>
          </w:p>
          <w:p w14:paraId="34F55EF6" w14:textId="77777777" w:rsidR="001A0B09" w:rsidRDefault="001A0B09">
            <w:pPr>
              <w:spacing w:before="0" w:after="0"/>
              <w:ind w:left="28"/>
              <w:rPr>
                <w:rFonts w:ascii="Times New Roman" w:eastAsia="PMingLiU" w:hAnsi="Times New Roman"/>
                <w:sz w:val="18"/>
                <w:szCs w:val="18"/>
              </w:rPr>
            </w:pPr>
          </w:p>
        </w:tc>
      </w:tr>
      <w:tr w:rsidR="001A0B09" w14:paraId="10E17786" w14:textId="77777777" w:rsidTr="0039321F">
        <w:trPr>
          <w:trHeight w:val="50"/>
        </w:trPr>
        <w:tc>
          <w:tcPr>
            <w:tcW w:w="1135" w:type="dxa"/>
            <w:vAlign w:val="center"/>
          </w:tcPr>
          <w:p w14:paraId="3AB9E7A9" w14:textId="1FEFC876" w:rsidR="001A0B09"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1A0B09" w:rsidRDefault="00F71050">
            <w:pPr>
              <w:rPr>
                <w:rFonts w:ascii="Times New Roman" w:eastAsia="PMingLiU" w:hAnsi="Times New Roman"/>
                <w:b/>
                <w:sz w:val="18"/>
                <w:szCs w:val="18"/>
              </w:rPr>
            </w:pPr>
            <w:r>
              <w:rPr>
                <w:rFonts w:ascii="Times New Roman" w:hAnsi="Times New Roman"/>
                <w:b/>
                <w:sz w:val="18"/>
                <w:szCs w:val="18"/>
              </w:rPr>
              <w:t>Wpływy wyłączone z ograniczenia wpływów</w:t>
            </w:r>
          </w:p>
          <w:p w14:paraId="53F04C53" w14:textId="4A39BC87" w:rsidR="001A0B09" w:rsidRDefault="00F71050">
            <w:pPr>
              <w:spacing w:before="0" w:after="0"/>
              <w:ind w:left="28"/>
              <w:rPr>
                <w:rFonts w:ascii="Times New Roman" w:eastAsia="PMingLiU" w:hAnsi="Times New Roman"/>
                <w:sz w:val="18"/>
                <w:szCs w:val="18"/>
              </w:rPr>
            </w:pPr>
            <w:r>
              <w:rPr>
                <w:rFonts w:ascii="Times New Roman" w:hAnsi="Times New Roman"/>
                <w:sz w:val="18"/>
                <w:szCs w:val="18"/>
              </w:rPr>
              <w:t>W tej sekcji instytucje kredytowe zgłaszają wpływy z transakcji niepodlegających ograniczeniu wpływów. Wpływy oblicza się mnożąc wartość kolumny 0060 z formularza C 75.01 określonego w załączniku XXIV przez wartość kolumny 0010 z formularza C 75.01 określonego w załączniku XXIV.</w:t>
            </w:r>
          </w:p>
          <w:p w14:paraId="44ACFD25" w14:textId="77777777" w:rsidR="001A0B09" w:rsidRDefault="001A0B09">
            <w:pPr>
              <w:spacing w:before="0" w:after="0"/>
              <w:ind w:left="28"/>
              <w:rPr>
                <w:rFonts w:ascii="Times New Roman" w:eastAsia="PMingLiU" w:hAnsi="Times New Roman"/>
                <w:sz w:val="18"/>
                <w:szCs w:val="18"/>
              </w:rPr>
            </w:pPr>
          </w:p>
          <w:p w14:paraId="3B784AFC" w14:textId="77777777" w:rsidR="001A0B09" w:rsidRDefault="001A0B09">
            <w:pPr>
              <w:spacing w:before="0" w:after="0"/>
              <w:ind w:left="28"/>
              <w:rPr>
                <w:rFonts w:ascii="Times New Roman" w:eastAsia="PMingLiU" w:hAnsi="Times New Roman"/>
                <w:sz w:val="18"/>
                <w:szCs w:val="18"/>
              </w:rPr>
            </w:pPr>
          </w:p>
        </w:tc>
      </w:tr>
    </w:tbl>
    <w:p w14:paraId="0B54F72D" w14:textId="77777777" w:rsidR="001A0B09" w:rsidRDefault="001A0B09">
      <w:pPr>
        <w:rPr>
          <w:rFonts w:eastAsia="PMingLiU"/>
        </w:rPr>
      </w:pPr>
    </w:p>
    <w:p w14:paraId="559B1DD6" w14:textId="2B5EC0A8" w:rsidR="001A0B09"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Instrukcje dotyczące poszczególnych wierszy</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1A0B09" w14:paraId="7F844B2A" w14:textId="77777777" w:rsidTr="0039321F">
        <w:tc>
          <w:tcPr>
            <w:tcW w:w="703" w:type="dxa"/>
            <w:shd w:val="clear" w:color="auto" w:fill="E6E6E6"/>
          </w:tcPr>
          <w:p w14:paraId="3AD48631" w14:textId="77777777" w:rsidR="001A0B09"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Wiersz</w:t>
            </w:r>
          </w:p>
        </w:tc>
        <w:tc>
          <w:tcPr>
            <w:tcW w:w="7371" w:type="dxa"/>
            <w:shd w:val="clear" w:color="auto" w:fill="E6E6E6"/>
          </w:tcPr>
          <w:p w14:paraId="062CCB6A" w14:textId="77777777" w:rsidR="001A0B09" w:rsidRDefault="00F71050">
            <w:pPr>
              <w:spacing w:before="0" w:after="0"/>
              <w:ind w:left="28"/>
              <w:rPr>
                <w:rFonts w:ascii="Times New Roman" w:eastAsia="SimSun" w:hAnsi="Times New Roman"/>
                <w:b/>
              </w:rPr>
            </w:pPr>
            <w:r>
              <w:rPr>
                <w:rFonts w:ascii="Times New Roman" w:hAnsi="Times New Roman"/>
                <w:b/>
                <w:bCs/>
                <w:szCs w:val="18"/>
              </w:rPr>
              <w:t>Odniesienia prawne i instrukcje</w:t>
            </w:r>
          </w:p>
        </w:tc>
      </w:tr>
      <w:tr w:rsidR="001A0B09" w14:paraId="5B1FFF8C" w14:textId="77777777" w:rsidTr="0039321F">
        <w:tc>
          <w:tcPr>
            <w:tcW w:w="703" w:type="dxa"/>
            <w:shd w:val="clear" w:color="auto" w:fill="auto"/>
            <w:vAlign w:val="center"/>
          </w:tcPr>
          <w:p w14:paraId="11448A2A" w14:textId="240263F5" w:rsidR="001A0B09"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CAŁKOWITA WARTOŚĆ TRANSAKCJI ZABEZPIECZAJĄCYCH SWAP (kontrahentem jest bank centralny)</w:t>
            </w:r>
          </w:p>
          <w:p w14:paraId="61D199D4" w14:textId="77777777" w:rsidR="001A0B09" w:rsidRDefault="001A0B09">
            <w:pPr>
              <w:spacing w:before="0" w:after="0"/>
              <w:ind w:left="28"/>
              <w:rPr>
                <w:rFonts w:ascii="Times New Roman" w:eastAsia="PMingLiU" w:hAnsi="Times New Roman"/>
                <w:b/>
                <w:bCs/>
                <w:sz w:val="18"/>
                <w:szCs w:val="18"/>
              </w:rPr>
            </w:pPr>
          </w:p>
          <w:p w14:paraId="410748FC" w14:textId="47752230"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4F87C5C3" w14:textId="77777777" w:rsidR="001A0B09" w:rsidRDefault="001A0B09">
            <w:pPr>
              <w:spacing w:before="0" w:after="0"/>
              <w:ind w:left="28"/>
              <w:rPr>
                <w:rFonts w:ascii="Times New Roman" w:eastAsia="PMingLiU" w:hAnsi="Times New Roman"/>
                <w:bCs/>
                <w:sz w:val="18"/>
                <w:szCs w:val="18"/>
              </w:rPr>
            </w:pPr>
          </w:p>
          <w:p w14:paraId="26BA97F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całkowitą wartość transakcji zabezpieczających swap.</w:t>
            </w:r>
          </w:p>
          <w:p w14:paraId="5F65B00E" w14:textId="77777777" w:rsidR="001A0B09" w:rsidRDefault="001A0B09">
            <w:pPr>
              <w:spacing w:before="0" w:after="0"/>
              <w:ind w:left="28"/>
              <w:rPr>
                <w:rFonts w:ascii="Times New Roman" w:eastAsia="PMingLiU" w:hAnsi="Times New Roman"/>
                <w:bCs/>
                <w:sz w:val="18"/>
                <w:szCs w:val="18"/>
              </w:rPr>
            </w:pPr>
          </w:p>
        </w:tc>
      </w:tr>
      <w:tr w:rsidR="001A0B09" w14:paraId="1E19CDD8" w14:textId="77777777" w:rsidTr="0039321F">
        <w:tc>
          <w:tcPr>
            <w:tcW w:w="703" w:type="dxa"/>
            <w:vAlign w:val="center"/>
          </w:tcPr>
          <w:p w14:paraId="759B7E5D" w14:textId="0AC16A7A" w:rsidR="001A0B09"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Całkowite wartości transakcji, w których przedmiotem udzielonej pożyczki są aktywa poziomu 1 (z wyłączeniem obligacji zabezpieczonych charakteryzujących się wyjątkowo wysoką jakością), a przedmiotem zaciągniętej pożyczki są następujące rodzaje zabezpieczenia:</w:t>
            </w:r>
          </w:p>
          <w:p w14:paraId="184C7FC3" w14:textId="73AD5431"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49CE2C03" w14:textId="77777777" w:rsidR="001A0B09" w:rsidRDefault="001A0B09">
            <w:pPr>
              <w:spacing w:before="0" w:after="0"/>
              <w:ind w:left="28"/>
              <w:rPr>
                <w:rFonts w:ascii="Times New Roman" w:eastAsia="PMingLiU" w:hAnsi="Times New Roman"/>
                <w:bCs/>
                <w:sz w:val="18"/>
                <w:szCs w:val="18"/>
              </w:rPr>
            </w:pPr>
          </w:p>
          <w:p w14:paraId="057B5692"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W tej sekcji instytucje kredytowe zgłaszają, w odniesieniu do odpowiednich kolumn, całkowitą wartość transakcji zabezpieczających swap w ramach transakcji, </w:t>
            </w:r>
            <w:r>
              <w:rPr>
                <w:rFonts w:ascii="Times New Roman" w:hAnsi="Times New Roman"/>
                <w:sz w:val="18"/>
                <w:szCs w:val="18"/>
              </w:rPr>
              <w:t>w których przedmiotem udzielonej pożyczki są aktywa poziomu 1 (z wyłączeniem obligacji zabezpieczonych charakteryzujących się wyjątkowo wysoką jakością).</w:t>
            </w:r>
          </w:p>
          <w:p w14:paraId="67B4CC98" w14:textId="77777777" w:rsidR="001A0B09" w:rsidRDefault="001A0B09">
            <w:pPr>
              <w:spacing w:before="0" w:after="0"/>
              <w:ind w:left="28"/>
              <w:rPr>
                <w:rFonts w:ascii="Times New Roman" w:eastAsia="PMingLiU" w:hAnsi="Times New Roman"/>
                <w:sz w:val="18"/>
                <w:szCs w:val="18"/>
              </w:rPr>
            </w:pPr>
          </w:p>
        </w:tc>
      </w:tr>
      <w:tr w:rsidR="001A0B09" w14:paraId="4AB38B02" w14:textId="77777777" w:rsidTr="0039321F">
        <w:tc>
          <w:tcPr>
            <w:tcW w:w="703" w:type="dxa"/>
            <w:vAlign w:val="center"/>
          </w:tcPr>
          <w:p w14:paraId="5EFA9D27" w14:textId="391E6DD6" w:rsidR="001A0B09"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aktywa poziomu 1 (z wyłączeniem obligacji zabezpieczonych charakteryzujących się wyjątkowo wysoką jakością)</w:t>
            </w:r>
          </w:p>
          <w:p w14:paraId="7284D24F" w14:textId="77777777" w:rsidR="001A0B09"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Transakcje, w których instytucja zamieniła aktywa poziomu 1, z wyłączeniem obligacji </w:t>
            </w:r>
            <w:r>
              <w:rPr>
                <w:rFonts w:ascii="Times New Roman" w:hAnsi="Times New Roman"/>
                <w:sz w:val="18"/>
                <w:szCs w:val="18"/>
              </w:rPr>
              <w:lastRenderedPageBreak/>
              <w:t>zabezpieczonych charakteryzujących się wyjątkowo wysoką jakością (będące przedmiotem udzielonej pożyczki) na aktywa poziomu 1, z wyłączeniem obligacji zabezpieczonych charakteryzujących się wyjątkowo wysoką jakością (będące przedmiotem zaciągniętej pożyczki).</w:t>
            </w:r>
          </w:p>
          <w:p w14:paraId="6C852399" w14:textId="77777777" w:rsidR="001A0B09" w:rsidRDefault="001A0B09">
            <w:pPr>
              <w:autoSpaceDE w:val="0"/>
              <w:autoSpaceDN w:val="0"/>
              <w:adjustRightInd w:val="0"/>
              <w:spacing w:before="0" w:after="0"/>
              <w:ind w:left="184"/>
              <w:rPr>
                <w:rFonts w:ascii="Times New Roman" w:eastAsia="PMingLiU" w:hAnsi="Times New Roman"/>
                <w:sz w:val="18"/>
                <w:szCs w:val="18"/>
              </w:rPr>
            </w:pPr>
          </w:p>
        </w:tc>
      </w:tr>
      <w:tr w:rsidR="001A0B09" w14:paraId="02F0DEA5" w14:textId="77777777" w:rsidTr="0039321F">
        <w:tc>
          <w:tcPr>
            <w:tcW w:w="703" w:type="dxa"/>
            <w:vAlign w:val="center"/>
          </w:tcPr>
          <w:p w14:paraId="64E8B141" w14:textId="5F688853" w:rsidR="001A0B09" w:rsidRDefault="00F71050">
            <w:pPr>
              <w:jc w:val="left"/>
              <w:rPr>
                <w:rFonts w:ascii="Times New Roman" w:eastAsia="PMingLiU" w:hAnsi="Times New Roman"/>
                <w:sz w:val="16"/>
                <w:szCs w:val="16"/>
              </w:rPr>
            </w:pPr>
            <w:r>
              <w:rPr>
                <w:rFonts w:ascii="Times New Roman" w:hAnsi="Times New Roman"/>
                <w:sz w:val="16"/>
                <w:szCs w:val="16"/>
              </w:rPr>
              <w:lastRenderedPageBreak/>
              <w:t>0040</w:t>
            </w:r>
          </w:p>
        </w:tc>
        <w:tc>
          <w:tcPr>
            <w:tcW w:w="7371" w:type="dxa"/>
          </w:tcPr>
          <w:p w14:paraId="4DE4E92C" w14:textId="77777777" w:rsidR="001A0B09"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w tym: zabezpieczenie będące przedmiotem wymiany spełnia wymogi operacyjne</w:t>
            </w:r>
          </w:p>
          <w:p w14:paraId="61D21FAA" w14:textId="77777777" w:rsidR="001A0B09" w:rsidRDefault="001A0B09">
            <w:pPr>
              <w:spacing w:before="0" w:after="0"/>
              <w:ind w:left="28"/>
              <w:rPr>
                <w:rFonts w:ascii="Times New Roman" w:eastAsia="PMingLiU" w:hAnsi="Times New Roman"/>
                <w:b/>
                <w:bCs/>
                <w:sz w:val="18"/>
                <w:szCs w:val="18"/>
              </w:rPr>
            </w:pPr>
          </w:p>
          <w:p w14:paraId="55159F10"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1.1.1. instytucje kredytowe zgłaszają:</w:t>
            </w:r>
          </w:p>
          <w:p w14:paraId="39840EA4" w14:textId="77777777" w:rsidR="001A0B09" w:rsidRDefault="001A0B09">
            <w:pPr>
              <w:spacing w:before="0" w:after="0"/>
              <w:ind w:left="28"/>
              <w:rPr>
                <w:rFonts w:ascii="Times New Roman" w:hAnsi="Times New Roman"/>
                <w:sz w:val="18"/>
              </w:rPr>
            </w:pPr>
          </w:p>
          <w:p w14:paraId="1A327DA6" w14:textId="6D3D3FC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 rozporządzenia delegowanego (UE) 2015/61 jako składnik aktywów płynnych, jeżeli nie byłby wykorzystany jako zabezpieczenie dla tych transakcji; oraz</w:t>
            </w:r>
          </w:p>
          <w:p w14:paraId="1E0B1B81" w14:textId="77777777" w:rsidR="001A0B09" w:rsidRDefault="001A0B09">
            <w:pPr>
              <w:spacing w:before="0" w:after="0"/>
              <w:ind w:left="748"/>
              <w:rPr>
                <w:rFonts w:ascii="Times New Roman" w:eastAsia="PMingLiU" w:hAnsi="Times New Roman"/>
                <w:b/>
                <w:bCs/>
                <w:sz w:val="18"/>
                <w:szCs w:val="18"/>
              </w:rPr>
            </w:pPr>
          </w:p>
          <w:p w14:paraId="2B2AE14E" w14:textId="61C3BE8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7124514" w14:textId="77777777" w:rsidR="001A0B09" w:rsidRDefault="001A0B09">
            <w:pPr>
              <w:spacing w:before="0" w:after="0"/>
              <w:rPr>
                <w:rFonts w:ascii="Times New Roman" w:eastAsia="PMingLiU" w:hAnsi="Times New Roman"/>
                <w:b/>
                <w:bCs/>
                <w:sz w:val="18"/>
                <w:szCs w:val="18"/>
              </w:rPr>
            </w:pPr>
          </w:p>
        </w:tc>
      </w:tr>
      <w:tr w:rsidR="001A0B09" w14:paraId="40007BB4" w14:textId="77777777" w:rsidTr="0039321F">
        <w:tc>
          <w:tcPr>
            <w:tcW w:w="703" w:type="dxa"/>
            <w:vAlign w:val="center"/>
          </w:tcPr>
          <w:p w14:paraId="6D9A1344" w14:textId="4842D356" w:rsidR="001A0B09"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aktywa poziomu 1: obligacje zabezpieczone charakteryzujące się wyjątkowo wysoką jakością</w:t>
            </w:r>
          </w:p>
          <w:p w14:paraId="5B6C0E2E" w14:textId="77777777" w:rsidR="001A0B09" w:rsidRDefault="001A0B09">
            <w:pPr>
              <w:spacing w:before="0" w:after="0"/>
              <w:ind w:left="28"/>
              <w:rPr>
                <w:rFonts w:ascii="Times New Roman" w:eastAsia="PMingLiU" w:hAnsi="Times New Roman"/>
                <w:b/>
                <w:sz w:val="18"/>
                <w:szCs w:val="18"/>
              </w:rPr>
            </w:pPr>
          </w:p>
          <w:p w14:paraId="5B68EC73"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z wyłączeniem obligacji zabezpieczonych charakteryzujących się wyjątkowo wysoką jakością, (będące przedmiotem udzielonej pożyczki) na aktywa poziomu 1: obligacje zabezpieczone charakteryzujące się wyjątkowo wysoką jakością (będące przedmiotem zaciągniętej pożyczki).</w:t>
            </w:r>
          </w:p>
          <w:p w14:paraId="6343EDA3" w14:textId="77777777" w:rsidR="001A0B09" w:rsidRDefault="001A0B09">
            <w:pPr>
              <w:spacing w:before="0" w:after="0"/>
              <w:ind w:left="28"/>
              <w:rPr>
                <w:rFonts w:ascii="Times New Roman" w:eastAsia="PMingLiU" w:hAnsi="Times New Roman"/>
                <w:szCs w:val="18"/>
              </w:rPr>
            </w:pPr>
          </w:p>
        </w:tc>
      </w:tr>
      <w:tr w:rsidR="001A0B09" w14:paraId="34244D14" w14:textId="77777777" w:rsidTr="0039321F">
        <w:tc>
          <w:tcPr>
            <w:tcW w:w="703" w:type="dxa"/>
            <w:vAlign w:val="center"/>
          </w:tcPr>
          <w:p w14:paraId="6D967B09" w14:textId="46B25565" w:rsidR="001A0B09" w:rsidRDefault="00F71050">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w tym: zabezpieczenie będące przedmiotem wymiany spełnia wymogi operacyjne</w:t>
            </w:r>
          </w:p>
          <w:p w14:paraId="75C3A6D7" w14:textId="77777777" w:rsidR="001A0B09" w:rsidRDefault="001A0B09">
            <w:pPr>
              <w:spacing w:before="0" w:after="0"/>
              <w:ind w:left="28"/>
              <w:rPr>
                <w:rFonts w:ascii="Times New Roman" w:eastAsia="PMingLiU" w:hAnsi="Times New Roman"/>
                <w:b/>
                <w:bCs/>
                <w:sz w:val="18"/>
                <w:szCs w:val="18"/>
              </w:rPr>
            </w:pPr>
          </w:p>
          <w:p w14:paraId="6DE48B07"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1.1.2. instytucje kredytowe zgłaszają:</w:t>
            </w:r>
          </w:p>
          <w:p w14:paraId="73B66E5F" w14:textId="77777777" w:rsidR="001A0B09" w:rsidRDefault="001A0B09">
            <w:pPr>
              <w:spacing w:before="0" w:after="0"/>
              <w:ind w:left="28"/>
              <w:rPr>
                <w:rFonts w:ascii="Times New Roman" w:hAnsi="Times New Roman"/>
                <w:sz w:val="18"/>
              </w:rPr>
            </w:pPr>
          </w:p>
          <w:p w14:paraId="38B522D4" w14:textId="6D7658D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80603A6" w14:textId="77777777" w:rsidR="001A0B09" w:rsidRDefault="001A0B09">
            <w:pPr>
              <w:spacing w:before="0" w:after="0"/>
              <w:ind w:left="748"/>
              <w:rPr>
                <w:rFonts w:ascii="Times New Roman" w:eastAsia="PMingLiU" w:hAnsi="Times New Roman"/>
                <w:b/>
                <w:bCs/>
                <w:sz w:val="18"/>
                <w:szCs w:val="18"/>
              </w:rPr>
            </w:pPr>
          </w:p>
          <w:p w14:paraId="39C6A89C" w14:textId="703ACCA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53F3015" w14:textId="77777777" w:rsidR="001A0B09" w:rsidRDefault="001A0B09">
            <w:pPr>
              <w:spacing w:before="0" w:after="0"/>
              <w:rPr>
                <w:rFonts w:ascii="Times New Roman" w:eastAsia="PMingLiU" w:hAnsi="Times New Roman"/>
                <w:b/>
                <w:bCs/>
                <w:sz w:val="18"/>
                <w:szCs w:val="18"/>
              </w:rPr>
            </w:pPr>
          </w:p>
        </w:tc>
      </w:tr>
      <w:tr w:rsidR="001A0B09" w14:paraId="2DF5EE5E" w14:textId="77777777" w:rsidTr="0039321F">
        <w:tc>
          <w:tcPr>
            <w:tcW w:w="703" w:type="dxa"/>
            <w:vAlign w:val="center"/>
          </w:tcPr>
          <w:p w14:paraId="6FADBBA0" w14:textId="4282E4A6" w:rsidR="001A0B09" w:rsidRDefault="00F71050">
            <w:pPr>
              <w:jc w:val="left"/>
              <w:rPr>
                <w:rFonts w:ascii="Times New Roman" w:eastAsia="PMingLiU" w:hAnsi="Times New Roman"/>
                <w:sz w:val="16"/>
                <w:szCs w:val="16"/>
              </w:rPr>
            </w:pPr>
            <w:r>
              <w:rPr>
                <w:rFonts w:ascii="Times New Roman" w:hAnsi="Times New Roman"/>
                <w:sz w:val="16"/>
                <w:szCs w:val="16"/>
              </w:rPr>
              <w:t>0070</w:t>
            </w:r>
          </w:p>
        </w:tc>
        <w:tc>
          <w:tcPr>
            <w:tcW w:w="7371" w:type="dxa"/>
          </w:tcPr>
          <w:p w14:paraId="7703CE46"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aktywa poziomu 2A</w:t>
            </w:r>
          </w:p>
          <w:p w14:paraId="680D5C06" w14:textId="77777777" w:rsidR="001A0B09" w:rsidRDefault="001A0B09">
            <w:pPr>
              <w:spacing w:before="0" w:after="0"/>
              <w:ind w:left="28"/>
              <w:rPr>
                <w:rFonts w:ascii="Times New Roman" w:eastAsia="PMingLiU" w:hAnsi="Times New Roman"/>
                <w:b/>
                <w:sz w:val="18"/>
                <w:szCs w:val="18"/>
              </w:rPr>
            </w:pPr>
          </w:p>
          <w:p w14:paraId="6390311D"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z wyłączeniem obligacji zabezpieczonych charakteryzujących się wyjątkowo wysoką jakością (będące przedmiotem udzielonej pożyczki) na aktywa poziomu 2A (będące przedmiotem zaciągniętej pożyczki).</w:t>
            </w:r>
          </w:p>
          <w:p w14:paraId="2DB904B2" w14:textId="77777777" w:rsidR="001A0B09" w:rsidRDefault="001A0B09">
            <w:pPr>
              <w:spacing w:before="0" w:after="0"/>
              <w:ind w:left="28"/>
              <w:rPr>
                <w:rFonts w:ascii="Times New Roman" w:eastAsia="PMingLiU" w:hAnsi="Times New Roman"/>
                <w:szCs w:val="18"/>
              </w:rPr>
            </w:pPr>
          </w:p>
        </w:tc>
      </w:tr>
      <w:tr w:rsidR="001A0B09" w14:paraId="586C099F" w14:textId="77777777" w:rsidTr="0039321F">
        <w:tc>
          <w:tcPr>
            <w:tcW w:w="703" w:type="dxa"/>
            <w:vAlign w:val="center"/>
          </w:tcPr>
          <w:p w14:paraId="4EC64D7C" w14:textId="328A8FCB" w:rsidR="001A0B09"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w tym: zabezpieczenie będące przedmiotem wymiany spełnia wymogi operacyjne</w:t>
            </w:r>
          </w:p>
          <w:p w14:paraId="55B82745" w14:textId="77777777" w:rsidR="001A0B09" w:rsidRDefault="001A0B09">
            <w:pPr>
              <w:spacing w:before="0" w:after="0"/>
              <w:ind w:left="28"/>
              <w:rPr>
                <w:rFonts w:ascii="Times New Roman" w:eastAsia="PMingLiU" w:hAnsi="Times New Roman"/>
                <w:b/>
                <w:bCs/>
                <w:sz w:val="18"/>
                <w:szCs w:val="18"/>
              </w:rPr>
            </w:pPr>
          </w:p>
          <w:p w14:paraId="14C76F3D"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1.1.3. instytucje kredytowe zgłaszają:</w:t>
            </w:r>
          </w:p>
          <w:p w14:paraId="42034396" w14:textId="77777777" w:rsidR="001A0B09" w:rsidRDefault="001A0B09">
            <w:pPr>
              <w:spacing w:before="0" w:after="0"/>
              <w:ind w:left="28"/>
              <w:rPr>
                <w:rFonts w:ascii="Times New Roman" w:hAnsi="Times New Roman"/>
                <w:sz w:val="18"/>
              </w:rPr>
            </w:pPr>
          </w:p>
          <w:p w14:paraId="1244B5D3" w14:textId="53198B44"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1001B71" w14:textId="77777777" w:rsidR="001A0B09" w:rsidRDefault="001A0B09">
            <w:pPr>
              <w:spacing w:before="0" w:after="0"/>
              <w:ind w:left="748"/>
              <w:rPr>
                <w:rFonts w:ascii="Times New Roman" w:eastAsia="PMingLiU" w:hAnsi="Times New Roman"/>
                <w:b/>
                <w:bCs/>
                <w:sz w:val="18"/>
                <w:szCs w:val="18"/>
              </w:rPr>
            </w:pPr>
          </w:p>
          <w:p w14:paraId="2C29BC4E" w14:textId="1600813A"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829D8B9" w14:textId="77777777" w:rsidR="001A0B09" w:rsidRDefault="001A0B09">
            <w:pPr>
              <w:spacing w:before="0" w:after="0"/>
              <w:ind w:left="28"/>
              <w:rPr>
                <w:rFonts w:ascii="Times New Roman" w:eastAsia="PMingLiU" w:hAnsi="Times New Roman"/>
                <w:b/>
                <w:bCs/>
                <w:sz w:val="18"/>
                <w:szCs w:val="18"/>
              </w:rPr>
            </w:pPr>
          </w:p>
        </w:tc>
      </w:tr>
      <w:tr w:rsidR="001A0B09" w14:paraId="420B997C" w14:textId="77777777" w:rsidTr="0039321F">
        <w:tc>
          <w:tcPr>
            <w:tcW w:w="703" w:type="dxa"/>
            <w:vAlign w:val="center"/>
          </w:tcPr>
          <w:p w14:paraId="43B9FF7D" w14:textId="08BB3046" w:rsidR="001A0B09"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aktywa poziomu 2B: papiery wartościowe zabezpieczone aktywami (kredyty na nieruchomości mieszkalne lub na zakup samochodów, CQS1)</w:t>
            </w:r>
          </w:p>
          <w:p w14:paraId="6524DEFB" w14:textId="77777777" w:rsidR="001A0B09" w:rsidRDefault="001A0B09">
            <w:pPr>
              <w:spacing w:before="0" w:after="0"/>
              <w:ind w:left="28"/>
              <w:rPr>
                <w:rFonts w:ascii="Times New Roman" w:eastAsia="PMingLiU" w:hAnsi="Times New Roman"/>
                <w:b/>
                <w:sz w:val="18"/>
                <w:szCs w:val="18"/>
              </w:rPr>
            </w:pPr>
          </w:p>
          <w:p w14:paraId="528B2B7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z wyłączeniem obligacji zabezpieczonych charakteryzujących się wyjątkowo wysoką jakością (będące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401007E4" w14:textId="77777777" w:rsidR="001A0B09" w:rsidRDefault="001A0B09">
            <w:pPr>
              <w:spacing w:before="0" w:after="0"/>
              <w:ind w:left="28"/>
              <w:rPr>
                <w:rFonts w:ascii="Times New Roman" w:eastAsia="PMingLiU" w:hAnsi="Times New Roman"/>
                <w:szCs w:val="18"/>
              </w:rPr>
            </w:pPr>
          </w:p>
        </w:tc>
      </w:tr>
      <w:tr w:rsidR="001A0B09" w14:paraId="0694D486" w14:textId="77777777" w:rsidTr="0039321F">
        <w:tc>
          <w:tcPr>
            <w:tcW w:w="703" w:type="dxa"/>
            <w:vAlign w:val="center"/>
          </w:tcPr>
          <w:p w14:paraId="520BF3DA" w14:textId="10379286" w:rsidR="001A0B09"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w tym: zabezpieczenie będące przedmiotem wymiany spełnia wymogi operacyjne</w:t>
            </w:r>
          </w:p>
          <w:p w14:paraId="46A2AC81" w14:textId="77777777" w:rsidR="001A0B09" w:rsidRDefault="001A0B09">
            <w:pPr>
              <w:spacing w:before="0" w:after="0"/>
              <w:ind w:left="28"/>
              <w:rPr>
                <w:rFonts w:ascii="Times New Roman" w:eastAsia="PMingLiU" w:hAnsi="Times New Roman"/>
                <w:b/>
                <w:bCs/>
                <w:sz w:val="18"/>
                <w:szCs w:val="18"/>
              </w:rPr>
            </w:pPr>
          </w:p>
          <w:p w14:paraId="69C09BA4"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1.1.4. instytucje kredytowe zgłaszają:</w:t>
            </w:r>
          </w:p>
          <w:p w14:paraId="1D1FC70F" w14:textId="77777777" w:rsidR="001A0B09" w:rsidRDefault="001A0B09">
            <w:pPr>
              <w:spacing w:before="0" w:after="0"/>
              <w:ind w:left="28"/>
              <w:rPr>
                <w:rFonts w:ascii="Times New Roman" w:hAnsi="Times New Roman"/>
                <w:sz w:val="18"/>
              </w:rPr>
            </w:pPr>
          </w:p>
          <w:p w14:paraId="6724542D" w14:textId="231EBCC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7BE385B" w14:textId="77777777" w:rsidR="001A0B09" w:rsidRDefault="001A0B09">
            <w:pPr>
              <w:spacing w:before="0" w:after="0"/>
              <w:ind w:left="748"/>
              <w:rPr>
                <w:rFonts w:ascii="Times New Roman" w:eastAsia="PMingLiU" w:hAnsi="Times New Roman"/>
                <w:b/>
                <w:bCs/>
                <w:sz w:val="18"/>
                <w:szCs w:val="18"/>
              </w:rPr>
            </w:pPr>
          </w:p>
          <w:p w14:paraId="5784FE7B" w14:textId="6D3E243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423A59A" w14:textId="77777777" w:rsidR="001A0B09" w:rsidRDefault="001A0B09">
            <w:pPr>
              <w:spacing w:before="0" w:after="0"/>
              <w:ind w:left="28"/>
              <w:rPr>
                <w:rFonts w:ascii="Times New Roman" w:eastAsia="PMingLiU" w:hAnsi="Times New Roman"/>
                <w:b/>
                <w:bCs/>
                <w:sz w:val="18"/>
                <w:szCs w:val="18"/>
              </w:rPr>
            </w:pPr>
          </w:p>
        </w:tc>
      </w:tr>
      <w:tr w:rsidR="001A0B09" w14:paraId="51B244CA" w14:textId="77777777" w:rsidTr="0039321F">
        <w:tc>
          <w:tcPr>
            <w:tcW w:w="703" w:type="dxa"/>
            <w:vAlign w:val="center"/>
          </w:tcPr>
          <w:p w14:paraId="16A9C869" w14:textId="3EFCCEC9" w:rsidR="001A0B09" w:rsidRDefault="00F71050">
            <w:pPr>
              <w:jc w:val="left"/>
              <w:rPr>
                <w:rFonts w:ascii="Times New Roman" w:eastAsia="PMingLiU" w:hAnsi="Times New Roman"/>
                <w:sz w:val="16"/>
                <w:szCs w:val="16"/>
              </w:rPr>
            </w:pPr>
            <w:r>
              <w:rPr>
                <w:rFonts w:ascii="Times New Roman" w:hAnsi="Times New Roman"/>
                <w:sz w:val="16"/>
                <w:szCs w:val="16"/>
              </w:rPr>
              <w:lastRenderedPageBreak/>
              <w:t>0110</w:t>
            </w:r>
          </w:p>
        </w:tc>
        <w:tc>
          <w:tcPr>
            <w:tcW w:w="7371" w:type="dxa"/>
          </w:tcPr>
          <w:p w14:paraId="0A7A32AC"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aktywa poziomu 2B: obligacje zabezpieczone charakteryzujące się wysoką jakością</w:t>
            </w:r>
          </w:p>
          <w:p w14:paraId="0CF6B1C0" w14:textId="77777777" w:rsidR="001A0B09" w:rsidRDefault="001A0B09">
            <w:pPr>
              <w:spacing w:before="0" w:after="0"/>
              <w:ind w:left="28"/>
              <w:rPr>
                <w:rFonts w:ascii="Times New Roman" w:eastAsia="PMingLiU" w:hAnsi="Times New Roman"/>
                <w:b/>
                <w:sz w:val="18"/>
                <w:szCs w:val="18"/>
              </w:rPr>
            </w:pPr>
          </w:p>
          <w:p w14:paraId="6F0DCE3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z wyłączeniem obligacji zabezpieczonych charakteryzujących się wyjątkowo wysoką jakością, (będące przedmiotem udzielonej pożyczki) na aktywa poziomu 2B w postaci obligacji zabezpieczonych charakteryzujących się wysoką jakością (będące przedmiotem zaciągniętej pożyczki).</w:t>
            </w:r>
          </w:p>
          <w:p w14:paraId="7FAE02E7" w14:textId="77777777" w:rsidR="001A0B09" w:rsidRDefault="001A0B09">
            <w:pPr>
              <w:spacing w:before="0" w:after="0"/>
              <w:ind w:left="28"/>
              <w:rPr>
                <w:rFonts w:ascii="Times New Roman" w:eastAsia="PMingLiU" w:hAnsi="Times New Roman"/>
                <w:sz w:val="18"/>
                <w:szCs w:val="18"/>
              </w:rPr>
            </w:pPr>
          </w:p>
        </w:tc>
      </w:tr>
      <w:tr w:rsidR="001A0B09" w14:paraId="56BF7B54" w14:textId="77777777" w:rsidTr="0039321F">
        <w:trPr>
          <w:trHeight w:val="50"/>
        </w:trPr>
        <w:tc>
          <w:tcPr>
            <w:tcW w:w="703" w:type="dxa"/>
            <w:vAlign w:val="center"/>
          </w:tcPr>
          <w:p w14:paraId="3F05D060" w14:textId="0395C007" w:rsidR="001A0B09"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w tym: zabezpieczenie będące przedmiotem wymiany spełnia wymogi operacyjne</w:t>
            </w:r>
          </w:p>
          <w:p w14:paraId="746BC1C8" w14:textId="77777777" w:rsidR="001A0B09" w:rsidRDefault="001A0B09">
            <w:pPr>
              <w:spacing w:before="0" w:after="0"/>
              <w:ind w:left="28"/>
              <w:rPr>
                <w:rFonts w:ascii="Times New Roman" w:eastAsia="PMingLiU" w:hAnsi="Times New Roman"/>
                <w:b/>
                <w:bCs/>
                <w:sz w:val="18"/>
                <w:szCs w:val="18"/>
              </w:rPr>
            </w:pPr>
          </w:p>
          <w:p w14:paraId="64F5FC02"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1.1.5. instytucje kredytowe zgłaszają:</w:t>
            </w:r>
          </w:p>
          <w:p w14:paraId="4BD1B75C" w14:textId="77777777" w:rsidR="001A0B09" w:rsidRDefault="001A0B09">
            <w:pPr>
              <w:spacing w:before="0" w:after="0"/>
              <w:ind w:left="28"/>
              <w:rPr>
                <w:rFonts w:ascii="Times New Roman" w:hAnsi="Times New Roman"/>
                <w:sz w:val="18"/>
              </w:rPr>
            </w:pPr>
          </w:p>
          <w:p w14:paraId="47742E12" w14:textId="1CD915C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F1846B9" w14:textId="77777777" w:rsidR="001A0B09" w:rsidRDefault="001A0B09">
            <w:pPr>
              <w:spacing w:before="0" w:after="0"/>
              <w:ind w:left="748"/>
              <w:rPr>
                <w:rFonts w:ascii="Times New Roman" w:eastAsia="PMingLiU" w:hAnsi="Times New Roman"/>
                <w:b/>
                <w:bCs/>
                <w:sz w:val="18"/>
                <w:szCs w:val="18"/>
              </w:rPr>
            </w:pPr>
          </w:p>
          <w:p w14:paraId="715E0D68" w14:textId="4F24403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03545B1" w14:textId="77777777" w:rsidR="001A0B09" w:rsidRDefault="001A0B09">
            <w:pPr>
              <w:spacing w:before="0" w:after="0"/>
              <w:ind w:left="28"/>
              <w:rPr>
                <w:rFonts w:ascii="Times New Roman" w:eastAsia="PMingLiU" w:hAnsi="Times New Roman"/>
                <w:b/>
                <w:bCs/>
                <w:sz w:val="18"/>
                <w:szCs w:val="18"/>
              </w:rPr>
            </w:pPr>
          </w:p>
        </w:tc>
      </w:tr>
      <w:tr w:rsidR="001A0B09" w14:paraId="0B2C69C5" w14:textId="77777777" w:rsidTr="0039321F">
        <w:trPr>
          <w:trHeight w:val="50"/>
        </w:trPr>
        <w:tc>
          <w:tcPr>
            <w:tcW w:w="703" w:type="dxa"/>
            <w:vAlign w:val="center"/>
          </w:tcPr>
          <w:p w14:paraId="0AEB322A" w14:textId="22F47934" w:rsidR="001A0B09"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aktywa poziomu 2B: papiery wartościowe zabezpieczone aktywami (kredyty komercyjne lub dla osób fizycznych, państwo członkowskie, CQS1)</w:t>
            </w:r>
          </w:p>
          <w:p w14:paraId="49852CE1" w14:textId="77777777" w:rsidR="001A0B09" w:rsidRDefault="001A0B09">
            <w:pPr>
              <w:spacing w:before="0" w:after="0"/>
              <w:ind w:left="28"/>
              <w:rPr>
                <w:rFonts w:ascii="Times New Roman" w:eastAsia="PMingLiU" w:hAnsi="Times New Roman"/>
                <w:b/>
                <w:sz w:val="18"/>
                <w:szCs w:val="18"/>
              </w:rPr>
            </w:pPr>
          </w:p>
          <w:p w14:paraId="1517934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z wyłączeniem obligacji zabezpieczonych charakteryzujących się wyjątkowo wysoką jakością (będące przedmiotem udzielonej pożyczki) na aktywa </w:t>
            </w:r>
            <w:r>
              <w:rPr>
                <w:rFonts w:ascii="Times New Roman" w:hAnsi="Times New Roman"/>
                <w:sz w:val="18"/>
                <w:szCs w:val="18"/>
              </w:rPr>
              <w:t>poziomu 2B w postaci papierów wartościowych zabezpieczonych aktywami (kredyty komercyjne lub dla osób fizycznych, państwo członkowskie, CQS1)</w:t>
            </w:r>
            <w:r>
              <w:rPr>
                <w:rFonts w:ascii="Times New Roman" w:hAnsi="Times New Roman"/>
                <w:bCs/>
                <w:sz w:val="18"/>
                <w:szCs w:val="18"/>
              </w:rPr>
              <w:t xml:space="preserve"> (będące przedmiotem zaciągniętej pożyczki).</w:t>
            </w:r>
          </w:p>
          <w:p w14:paraId="4479AE9C" w14:textId="77777777" w:rsidR="001A0B09" w:rsidRDefault="001A0B09">
            <w:pPr>
              <w:spacing w:before="0" w:after="0"/>
              <w:ind w:left="28"/>
              <w:rPr>
                <w:rFonts w:ascii="Times New Roman" w:eastAsia="PMingLiU" w:hAnsi="Times New Roman"/>
                <w:sz w:val="18"/>
                <w:szCs w:val="18"/>
              </w:rPr>
            </w:pPr>
          </w:p>
        </w:tc>
      </w:tr>
      <w:tr w:rsidR="001A0B09" w14:paraId="02112BD1" w14:textId="77777777" w:rsidTr="0039321F">
        <w:tc>
          <w:tcPr>
            <w:tcW w:w="703" w:type="dxa"/>
            <w:vAlign w:val="center"/>
          </w:tcPr>
          <w:p w14:paraId="41E26EE7" w14:textId="17DA7D42" w:rsidR="001A0B09" w:rsidRDefault="00F71050">
            <w:pPr>
              <w:jc w:val="left"/>
              <w:rPr>
                <w:rFonts w:ascii="Times New Roman" w:eastAsia="PMingLiU" w:hAnsi="Times New Roman"/>
                <w:sz w:val="16"/>
                <w:szCs w:val="16"/>
              </w:rPr>
            </w:pPr>
            <w:r>
              <w:rPr>
                <w:rFonts w:ascii="Times New Roman" w:hAnsi="Times New Roman"/>
                <w:sz w:val="16"/>
                <w:szCs w:val="16"/>
              </w:rPr>
              <w:t>0140</w:t>
            </w:r>
          </w:p>
        </w:tc>
        <w:tc>
          <w:tcPr>
            <w:tcW w:w="7371" w:type="dxa"/>
          </w:tcPr>
          <w:p w14:paraId="26C5609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w tym: zabezpieczenie będące przedmiotem wymiany spełnia wymogi operacyjne</w:t>
            </w:r>
          </w:p>
          <w:p w14:paraId="7D1693E8" w14:textId="77777777" w:rsidR="001A0B09" w:rsidRDefault="001A0B09">
            <w:pPr>
              <w:spacing w:before="0" w:after="0"/>
              <w:ind w:left="28"/>
              <w:rPr>
                <w:rFonts w:ascii="Times New Roman" w:eastAsia="PMingLiU" w:hAnsi="Times New Roman"/>
                <w:b/>
                <w:bCs/>
                <w:sz w:val="18"/>
                <w:szCs w:val="18"/>
              </w:rPr>
            </w:pPr>
          </w:p>
          <w:p w14:paraId="6635276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1.1.6. instytucje kredytowe zgłaszają:</w:t>
            </w:r>
          </w:p>
          <w:p w14:paraId="2036CCC8" w14:textId="77777777" w:rsidR="001A0B09" w:rsidRDefault="001A0B09">
            <w:pPr>
              <w:spacing w:before="0" w:after="0"/>
              <w:ind w:left="28"/>
              <w:rPr>
                <w:rFonts w:ascii="Times New Roman" w:hAnsi="Times New Roman"/>
                <w:sz w:val="18"/>
              </w:rPr>
            </w:pPr>
          </w:p>
          <w:p w14:paraId="715AC701" w14:textId="3943ACF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29173F7" w14:textId="77777777" w:rsidR="001A0B09" w:rsidRDefault="001A0B09">
            <w:pPr>
              <w:spacing w:before="0" w:after="0"/>
              <w:ind w:left="748"/>
              <w:rPr>
                <w:rFonts w:ascii="Times New Roman" w:eastAsia="PMingLiU" w:hAnsi="Times New Roman"/>
                <w:b/>
                <w:bCs/>
                <w:sz w:val="18"/>
                <w:szCs w:val="18"/>
              </w:rPr>
            </w:pPr>
          </w:p>
          <w:p w14:paraId="611A9548" w14:textId="744FE58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3DDE118" w14:textId="77777777" w:rsidR="001A0B09" w:rsidRDefault="001A0B09">
            <w:pPr>
              <w:spacing w:before="0" w:after="0"/>
              <w:ind w:left="28"/>
              <w:rPr>
                <w:rFonts w:ascii="Times New Roman" w:eastAsia="PMingLiU" w:hAnsi="Times New Roman"/>
                <w:b/>
                <w:bCs/>
                <w:sz w:val="18"/>
                <w:szCs w:val="18"/>
              </w:rPr>
            </w:pPr>
          </w:p>
        </w:tc>
      </w:tr>
      <w:tr w:rsidR="001A0B09" w14:paraId="69E683BC" w14:textId="77777777" w:rsidTr="0039321F">
        <w:tc>
          <w:tcPr>
            <w:tcW w:w="703" w:type="dxa"/>
            <w:vAlign w:val="center"/>
          </w:tcPr>
          <w:p w14:paraId="67CA9916" w14:textId="34041DC0" w:rsidR="001A0B09"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inne aktywa poziomu 2B</w:t>
            </w:r>
          </w:p>
          <w:p w14:paraId="0FA04E43" w14:textId="77777777" w:rsidR="001A0B09" w:rsidRDefault="001A0B09">
            <w:pPr>
              <w:spacing w:before="0" w:after="0"/>
              <w:ind w:left="28"/>
              <w:rPr>
                <w:rFonts w:ascii="Times New Roman" w:eastAsia="PMingLiU" w:hAnsi="Times New Roman"/>
                <w:b/>
                <w:sz w:val="18"/>
                <w:szCs w:val="18"/>
              </w:rPr>
            </w:pPr>
          </w:p>
          <w:p w14:paraId="13E7134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z wyłączeniem obligacji zabezpieczonych charakteryzujących się wyjątkowo wysoką jakością (będące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22DBEB81" w14:textId="77777777" w:rsidR="001A0B09" w:rsidRDefault="001A0B09">
            <w:pPr>
              <w:spacing w:before="0" w:after="0"/>
              <w:ind w:left="28"/>
              <w:rPr>
                <w:rFonts w:ascii="Times New Roman" w:eastAsia="PMingLiU" w:hAnsi="Times New Roman"/>
                <w:sz w:val="18"/>
                <w:szCs w:val="18"/>
              </w:rPr>
            </w:pPr>
          </w:p>
        </w:tc>
      </w:tr>
      <w:tr w:rsidR="001A0B09" w14:paraId="042E71E4" w14:textId="77777777" w:rsidTr="0039321F">
        <w:tc>
          <w:tcPr>
            <w:tcW w:w="703" w:type="dxa"/>
            <w:vAlign w:val="center"/>
          </w:tcPr>
          <w:p w14:paraId="4B58B543" w14:textId="1CF62140" w:rsidR="001A0B09"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w tym: zabezpieczenie będące przedmiotem wymiany spełnia wymogi operacyjne</w:t>
            </w:r>
          </w:p>
          <w:p w14:paraId="0B18F527" w14:textId="77777777" w:rsidR="001A0B09" w:rsidRDefault="001A0B09">
            <w:pPr>
              <w:spacing w:before="0" w:after="0"/>
              <w:ind w:left="28"/>
              <w:rPr>
                <w:rFonts w:ascii="Times New Roman" w:eastAsia="PMingLiU" w:hAnsi="Times New Roman"/>
                <w:b/>
                <w:bCs/>
                <w:sz w:val="18"/>
                <w:szCs w:val="18"/>
              </w:rPr>
            </w:pPr>
          </w:p>
          <w:p w14:paraId="57818693"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1.1.7. instytucje kredytowe zgłaszają:</w:t>
            </w:r>
          </w:p>
          <w:p w14:paraId="1F149217" w14:textId="77777777" w:rsidR="001A0B09" w:rsidRDefault="001A0B09">
            <w:pPr>
              <w:spacing w:before="0" w:after="0"/>
              <w:ind w:left="28"/>
              <w:rPr>
                <w:rFonts w:ascii="Times New Roman" w:hAnsi="Times New Roman"/>
                <w:sz w:val="18"/>
              </w:rPr>
            </w:pPr>
          </w:p>
          <w:p w14:paraId="73354A47" w14:textId="14FD564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E6F8266" w14:textId="77777777" w:rsidR="001A0B09" w:rsidRDefault="001A0B09">
            <w:pPr>
              <w:spacing w:before="0" w:after="0"/>
              <w:ind w:left="748"/>
              <w:rPr>
                <w:rFonts w:ascii="Times New Roman" w:eastAsia="PMingLiU" w:hAnsi="Times New Roman"/>
                <w:b/>
                <w:bCs/>
                <w:sz w:val="18"/>
                <w:szCs w:val="18"/>
              </w:rPr>
            </w:pPr>
          </w:p>
          <w:p w14:paraId="76EA5F97" w14:textId="55E3463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8620A36" w14:textId="77777777" w:rsidR="001A0B09" w:rsidRDefault="001A0B09">
            <w:pPr>
              <w:spacing w:before="0" w:after="0"/>
              <w:ind w:left="28"/>
              <w:rPr>
                <w:rFonts w:ascii="Times New Roman" w:eastAsia="PMingLiU" w:hAnsi="Times New Roman"/>
                <w:b/>
                <w:bCs/>
                <w:sz w:val="18"/>
                <w:szCs w:val="18"/>
              </w:rPr>
            </w:pPr>
          </w:p>
        </w:tc>
      </w:tr>
      <w:tr w:rsidR="001A0B09" w14:paraId="5FA73979" w14:textId="77777777" w:rsidTr="0039321F">
        <w:tc>
          <w:tcPr>
            <w:tcW w:w="703" w:type="dxa"/>
            <w:vAlign w:val="center"/>
          </w:tcPr>
          <w:p w14:paraId="04D3FB1E" w14:textId="29664734" w:rsidR="001A0B09" w:rsidRDefault="00F71050">
            <w:pPr>
              <w:jc w:val="left"/>
              <w:rPr>
                <w:rFonts w:ascii="Times New Roman" w:eastAsia="PMingLiU" w:hAnsi="Times New Roman"/>
                <w:sz w:val="16"/>
                <w:szCs w:val="16"/>
              </w:rPr>
            </w:pPr>
            <w:r>
              <w:rPr>
                <w:rFonts w:ascii="Times New Roman" w:hAnsi="Times New Roman"/>
                <w:sz w:val="16"/>
                <w:szCs w:val="16"/>
              </w:rPr>
              <w:lastRenderedPageBreak/>
              <w:t>0170</w:t>
            </w:r>
          </w:p>
        </w:tc>
        <w:tc>
          <w:tcPr>
            <w:tcW w:w="7371" w:type="dxa"/>
          </w:tcPr>
          <w:p w14:paraId="535565B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aktywa niepłynne</w:t>
            </w:r>
          </w:p>
          <w:p w14:paraId="0E2C2A0D" w14:textId="77777777" w:rsidR="001A0B09" w:rsidRDefault="001A0B09">
            <w:pPr>
              <w:spacing w:before="0" w:after="0"/>
              <w:ind w:left="28"/>
              <w:rPr>
                <w:rFonts w:ascii="Times New Roman" w:eastAsia="PMingLiU" w:hAnsi="Times New Roman"/>
                <w:b/>
                <w:sz w:val="18"/>
                <w:szCs w:val="18"/>
              </w:rPr>
            </w:pPr>
          </w:p>
          <w:p w14:paraId="4F55DEE8"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z wyłączeniem obligacji zabezpieczonych charakteryzujących się wyjątkowo wysoką jakością (będące przedmiotem udzielonej pożyczki) na aktywa niepłynne (będące przedmiotem zaciągniętej pożyczki).</w:t>
            </w:r>
          </w:p>
          <w:p w14:paraId="2C554E3D" w14:textId="77777777" w:rsidR="001A0B09" w:rsidRDefault="001A0B09">
            <w:pPr>
              <w:spacing w:before="0" w:after="0"/>
              <w:ind w:left="28"/>
              <w:rPr>
                <w:rFonts w:ascii="Times New Roman" w:eastAsia="PMingLiU" w:hAnsi="Times New Roman"/>
                <w:sz w:val="18"/>
                <w:szCs w:val="18"/>
              </w:rPr>
            </w:pPr>
          </w:p>
        </w:tc>
      </w:tr>
      <w:tr w:rsidR="001A0B09" w14:paraId="68B88591" w14:textId="77777777" w:rsidTr="0039321F">
        <w:tc>
          <w:tcPr>
            <w:tcW w:w="703" w:type="dxa"/>
            <w:shd w:val="clear" w:color="auto" w:fill="auto"/>
            <w:vAlign w:val="center"/>
          </w:tcPr>
          <w:p w14:paraId="2D54C374" w14:textId="53C65D26" w:rsidR="001A0B09"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w tym: zabezpieczenie będące przedmiotem wymiany spełnia wymogi operacyjne</w:t>
            </w:r>
          </w:p>
          <w:p w14:paraId="1A8AF7D3" w14:textId="77777777" w:rsidR="001A0B09" w:rsidRDefault="001A0B09">
            <w:pPr>
              <w:spacing w:before="0" w:after="0"/>
              <w:ind w:left="28"/>
              <w:rPr>
                <w:rFonts w:ascii="Times New Roman" w:eastAsia="PMingLiU" w:hAnsi="Times New Roman"/>
                <w:b/>
                <w:bCs/>
                <w:sz w:val="18"/>
                <w:szCs w:val="18"/>
              </w:rPr>
            </w:pPr>
          </w:p>
          <w:p w14:paraId="60521212" w14:textId="0E054E67"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1.1.8.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478C3420" w14:textId="77777777" w:rsidR="001A0B09" w:rsidRDefault="001A0B09">
            <w:pPr>
              <w:spacing w:before="0" w:after="0"/>
              <w:ind w:left="28"/>
              <w:rPr>
                <w:rFonts w:ascii="Times New Roman" w:eastAsia="PMingLiU" w:hAnsi="Times New Roman"/>
                <w:b/>
                <w:bCs/>
                <w:sz w:val="18"/>
                <w:szCs w:val="18"/>
              </w:rPr>
            </w:pPr>
          </w:p>
        </w:tc>
      </w:tr>
      <w:tr w:rsidR="001A0B09" w14:paraId="3E95F2C7" w14:textId="77777777" w:rsidTr="0039321F">
        <w:tc>
          <w:tcPr>
            <w:tcW w:w="703" w:type="dxa"/>
            <w:shd w:val="clear" w:color="auto" w:fill="auto"/>
            <w:vAlign w:val="center"/>
          </w:tcPr>
          <w:p w14:paraId="09E8F2A2" w14:textId="7BF04AAD" w:rsidR="001A0B09"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Całkowite wartości transakcji, w których przedmiotem udzielonej pożyczki są aktywa poziomu 1: obligacje zabezpieczone charakteryzujące się wyjątkowo wysoką jakością, a przedmiotem zaciągniętej pożyczki są następujące rodzaje zabezpieczenia:</w:t>
            </w:r>
          </w:p>
          <w:p w14:paraId="42C19861" w14:textId="77777777" w:rsidR="001A0B09" w:rsidRDefault="001A0B09">
            <w:pPr>
              <w:spacing w:before="0" w:after="0"/>
              <w:ind w:left="28"/>
              <w:rPr>
                <w:rFonts w:ascii="Times New Roman" w:eastAsia="PMingLiU" w:hAnsi="Times New Roman"/>
                <w:sz w:val="18"/>
                <w:szCs w:val="18"/>
              </w:rPr>
            </w:pPr>
          </w:p>
          <w:p w14:paraId="17FFAAAA" w14:textId="7C9D880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4643050A" w14:textId="77777777" w:rsidR="001A0B09" w:rsidRDefault="001A0B09">
            <w:pPr>
              <w:spacing w:before="0" w:after="0"/>
              <w:ind w:left="28"/>
              <w:rPr>
                <w:rFonts w:ascii="Times New Roman" w:eastAsia="PMingLiU" w:hAnsi="Times New Roman"/>
                <w:bCs/>
                <w:sz w:val="18"/>
                <w:szCs w:val="18"/>
              </w:rPr>
            </w:pPr>
          </w:p>
          <w:p w14:paraId="14251CD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całkowite wartości transakcji zabezpieczających swap w ramach transakcji, w których przedmiotem udzielonej pożyczki są aktywa poziomu 1: obligacje zabezpieczone charakteryzujące się wyjątkowo wysoką jakością.</w:t>
            </w:r>
          </w:p>
          <w:p w14:paraId="6ED00D2A" w14:textId="77777777" w:rsidR="001A0B09" w:rsidRDefault="001A0B09">
            <w:pPr>
              <w:spacing w:before="0" w:after="0"/>
              <w:ind w:left="28"/>
              <w:rPr>
                <w:rFonts w:ascii="Times New Roman" w:eastAsia="PMingLiU" w:hAnsi="Times New Roman"/>
                <w:sz w:val="18"/>
                <w:szCs w:val="18"/>
              </w:rPr>
            </w:pPr>
          </w:p>
        </w:tc>
      </w:tr>
      <w:tr w:rsidR="001A0B09" w14:paraId="4013E7B2" w14:textId="77777777" w:rsidTr="0039321F">
        <w:tc>
          <w:tcPr>
            <w:tcW w:w="703" w:type="dxa"/>
            <w:vAlign w:val="center"/>
          </w:tcPr>
          <w:p w14:paraId="198F9323" w14:textId="4C6DC0D0" w:rsidR="001A0B09"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aktywa poziomu 1 (z wyłączeniem obligacji zabezpieczonych charakteryzujących się wyjątkowo wysoką jakością)</w:t>
            </w:r>
          </w:p>
          <w:p w14:paraId="5BC5FBF1" w14:textId="77777777" w:rsidR="001A0B0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Transakcje, w których instytucja zamieniła aktywa poziomu 1: obligacje zabezpieczone charakteryzujące się wyjątkowo wysoką jakością (będące przedmiotem udzielonej pożyczki) na aktywa poziomu 1, z wyłączeniem obligacji zabezpieczonych charakteryzujących się wyjątkowo wysoką jakością (będące przedmiotem zaciągniętej pożyczki).</w:t>
            </w:r>
          </w:p>
          <w:p w14:paraId="555F3227" w14:textId="77777777" w:rsidR="001A0B09" w:rsidRDefault="001A0B09">
            <w:pPr>
              <w:autoSpaceDE w:val="0"/>
              <w:autoSpaceDN w:val="0"/>
              <w:adjustRightInd w:val="0"/>
              <w:spacing w:before="0" w:after="0"/>
              <w:ind w:left="184"/>
              <w:rPr>
                <w:rFonts w:ascii="Times New Roman" w:eastAsia="PMingLiU" w:hAnsi="Times New Roman"/>
                <w:sz w:val="18"/>
                <w:szCs w:val="18"/>
              </w:rPr>
            </w:pPr>
          </w:p>
        </w:tc>
      </w:tr>
      <w:tr w:rsidR="001A0B09" w14:paraId="62AB64B5" w14:textId="77777777" w:rsidTr="0039321F">
        <w:tc>
          <w:tcPr>
            <w:tcW w:w="703" w:type="dxa"/>
            <w:vAlign w:val="center"/>
          </w:tcPr>
          <w:p w14:paraId="56AC7639" w14:textId="298AD00B" w:rsidR="001A0B09"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w tym: zabezpieczenie będące przedmiotem wymiany spełnia wymogi operacyjne</w:t>
            </w:r>
          </w:p>
          <w:p w14:paraId="0A98F746" w14:textId="77777777" w:rsidR="001A0B09" w:rsidRDefault="001A0B09">
            <w:pPr>
              <w:spacing w:before="0" w:after="0"/>
              <w:ind w:left="28"/>
              <w:rPr>
                <w:rFonts w:ascii="Times New Roman" w:eastAsia="PMingLiU" w:hAnsi="Times New Roman"/>
                <w:b/>
                <w:bCs/>
                <w:sz w:val="18"/>
                <w:szCs w:val="18"/>
              </w:rPr>
            </w:pPr>
          </w:p>
          <w:p w14:paraId="2952F7E5"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1.2.1. instytucje kredytowe zgłaszają:</w:t>
            </w:r>
          </w:p>
          <w:p w14:paraId="6EFCE042" w14:textId="77777777" w:rsidR="001A0B09" w:rsidRDefault="001A0B09">
            <w:pPr>
              <w:spacing w:before="0" w:after="0"/>
              <w:ind w:left="28"/>
              <w:rPr>
                <w:rFonts w:ascii="Times New Roman" w:hAnsi="Times New Roman"/>
                <w:sz w:val="18"/>
              </w:rPr>
            </w:pPr>
          </w:p>
          <w:p w14:paraId="76343C89" w14:textId="1F24179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D0337A6" w14:textId="77777777" w:rsidR="001A0B09" w:rsidRDefault="001A0B09">
            <w:pPr>
              <w:spacing w:before="0" w:after="0"/>
              <w:ind w:left="748"/>
              <w:rPr>
                <w:rFonts w:ascii="Times New Roman" w:eastAsia="PMingLiU" w:hAnsi="Times New Roman"/>
                <w:b/>
                <w:bCs/>
                <w:sz w:val="18"/>
                <w:szCs w:val="18"/>
              </w:rPr>
            </w:pPr>
          </w:p>
          <w:p w14:paraId="0F7ABA18" w14:textId="46A9C90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7241D593" w14:textId="77777777" w:rsidR="001A0B09" w:rsidRDefault="001A0B09">
            <w:pPr>
              <w:spacing w:before="0" w:after="0"/>
              <w:ind w:left="28"/>
              <w:rPr>
                <w:rFonts w:ascii="Times New Roman" w:eastAsia="PMingLiU" w:hAnsi="Times New Roman"/>
                <w:b/>
                <w:bCs/>
                <w:sz w:val="18"/>
                <w:szCs w:val="18"/>
              </w:rPr>
            </w:pPr>
          </w:p>
        </w:tc>
      </w:tr>
      <w:tr w:rsidR="001A0B09" w14:paraId="38446A42" w14:textId="77777777" w:rsidTr="0039321F">
        <w:tc>
          <w:tcPr>
            <w:tcW w:w="703" w:type="dxa"/>
            <w:vAlign w:val="center"/>
          </w:tcPr>
          <w:p w14:paraId="64435AC7" w14:textId="4D5BFFBA" w:rsidR="001A0B09" w:rsidRDefault="00F71050">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aktywa poziomu 1: obligacje zabezpieczone charakteryzujące się wyjątkowo wysoką jakością</w:t>
            </w:r>
          </w:p>
          <w:p w14:paraId="6BC67DF9" w14:textId="77777777" w:rsidR="001A0B09" w:rsidRDefault="001A0B09">
            <w:pPr>
              <w:spacing w:before="0" w:after="0"/>
              <w:ind w:left="28"/>
              <w:rPr>
                <w:rFonts w:ascii="Times New Roman" w:eastAsia="PMingLiU" w:hAnsi="Times New Roman"/>
                <w:b/>
                <w:sz w:val="18"/>
                <w:szCs w:val="18"/>
              </w:rPr>
            </w:pPr>
          </w:p>
          <w:p w14:paraId="38DBA342"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obligacje zabezpieczone charakteryzujące się wyjątkowo wysoką jakością (będące przedmiotem udzielonej pożyczki) na aktywa poziomu 1: obligacje zabezpieczone charakteryzujące się wyjątkowo wysoką jakością (będące przedmiotem zaciągniętej pożyczki).</w:t>
            </w:r>
          </w:p>
          <w:p w14:paraId="5D12E0BC" w14:textId="77777777" w:rsidR="001A0B09" w:rsidRDefault="001A0B09">
            <w:pPr>
              <w:spacing w:before="0" w:after="0"/>
              <w:ind w:left="28"/>
              <w:rPr>
                <w:rFonts w:ascii="Times New Roman" w:eastAsia="PMingLiU" w:hAnsi="Times New Roman"/>
                <w:szCs w:val="18"/>
              </w:rPr>
            </w:pPr>
          </w:p>
        </w:tc>
      </w:tr>
      <w:tr w:rsidR="001A0B09" w14:paraId="73748788" w14:textId="77777777" w:rsidTr="0039321F">
        <w:tc>
          <w:tcPr>
            <w:tcW w:w="703" w:type="dxa"/>
            <w:vAlign w:val="center"/>
          </w:tcPr>
          <w:p w14:paraId="33AD3746" w14:textId="5D6E5238" w:rsidR="001A0B09" w:rsidRDefault="000F16AB">
            <w:pPr>
              <w:rPr>
                <w:rFonts w:ascii="Times New Roman" w:eastAsia="PMingLiU" w:hAnsi="Times New Roman"/>
                <w:sz w:val="18"/>
                <w:szCs w:val="18"/>
              </w:rPr>
            </w:pPr>
            <w:r>
              <w:rPr>
                <w:rFonts w:ascii="Times New Roman" w:hAnsi="Times New Roman"/>
                <w:sz w:val="18"/>
                <w:szCs w:val="18"/>
              </w:rPr>
              <w:t>0230</w:t>
            </w:r>
          </w:p>
        </w:tc>
        <w:tc>
          <w:tcPr>
            <w:tcW w:w="7371" w:type="dxa"/>
          </w:tcPr>
          <w:p w14:paraId="172E5558"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w tym: zabezpieczenie będące przedmiotem wymiany spełnia wymogi operacyjne</w:t>
            </w:r>
          </w:p>
          <w:p w14:paraId="678CCD6F" w14:textId="77777777" w:rsidR="001A0B09" w:rsidRDefault="001A0B09">
            <w:pPr>
              <w:spacing w:before="0" w:after="0"/>
              <w:ind w:left="28"/>
              <w:rPr>
                <w:rFonts w:ascii="Times New Roman" w:eastAsia="PMingLiU" w:hAnsi="Times New Roman"/>
                <w:b/>
                <w:bCs/>
                <w:sz w:val="18"/>
                <w:szCs w:val="18"/>
              </w:rPr>
            </w:pPr>
          </w:p>
          <w:p w14:paraId="1FB20B92"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1.2.2. instytucje kredytowe zgłaszają:</w:t>
            </w:r>
          </w:p>
          <w:p w14:paraId="0C729744" w14:textId="77777777" w:rsidR="001A0B09" w:rsidRDefault="001A0B09">
            <w:pPr>
              <w:spacing w:before="0" w:after="0"/>
              <w:ind w:left="28"/>
              <w:rPr>
                <w:rFonts w:ascii="Times New Roman" w:hAnsi="Times New Roman"/>
                <w:sz w:val="18"/>
              </w:rPr>
            </w:pPr>
          </w:p>
          <w:p w14:paraId="2321BA29" w14:textId="5143D81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FEF820C" w14:textId="77777777" w:rsidR="001A0B09" w:rsidRDefault="001A0B09">
            <w:pPr>
              <w:spacing w:before="0" w:after="0"/>
              <w:ind w:left="748"/>
              <w:rPr>
                <w:rFonts w:ascii="Times New Roman" w:eastAsia="PMingLiU" w:hAnsi="Times New Roman"/>
                <w:b/>
                <w:bCs/>
                <w:sz w:val="18"/>
                <w:szCs w:val="18"/>
              </w:rPr>
            </w:pPr>
          </w:p>
          <w:p w14:paraId="025CE752" w14:textId="32C685C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122E9EA" w14:textId="77777777" w:rsidR="001A0B09" w:rsidRDefault="001A0B09">
            <w:pPr>
              <w:spacing w:before="0" w:after="0"/>
              <w:ind w:left="28"/>
              <w:rPr>
                <w:rFonts w:ascii="Times New Roman" w:eastAsia="PMingLiU" w:hAnsi="Times New Roman"/>
                <w:b/>
                <w:bCs/>
                <w:sz w:val="18"/>
                <w:szCs w:val="18"/>
              </w:rPr>
            </w:pPr>
          </w:p>
        </w:tc>
      </w:tr>
      <w:tr w:rsidR="001A0B09" w14:paraId="50B6FE4F" w14:textId="77777777" w:rsidTr="0039321F">
        <w:tc>
          <w:tcPr>
            <w:tcW w:w="703" w:type="dxa"/>
            <w:vAlign w:val="center"/>
          </w:tcPr>
          <w:p w14:paraId="58804EDC" w14:textId="6C550B67" w:rsidR="001A0B09"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aktywa poziomu 2A</w:t>
            </w:r>
          </w:p>
          <w:p w14:paraId="34108882" w14:textId="77777777" w:rsidR="001A0B09" w:rsidRDefault="001A0B09">
            <w:pPr>
              <w:spacing w:before="0" w:after="0"/>
              <w:ind w:left="28"/>
              <w:rPr>
                <w:rFonts w:ascii="Times New Roman" w:eastAsia="PMingLiU" w:hAnsi="Times New Roman"/>
                <w:b/>
                <w:sz w:val="18"/>
                <w:szCs w:val="18"/>
              </w:rPr>
            </w:pPr>
          </w:p>
          <w:p w14:paraId="7951ADED"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obligacje zabezpieczone </w:t>
            </w:r>
            <w:r>
              <w:rPr>
                <w:rFonts w:ascii="Times New Roman" w:hAnsi="Times New Roman"/>
                <w:bCs/>
                <w:sz w:val="18"/>
                <w:szCs w:val="18"/>
              </w:rPr>
              <w:lastRenderedPageBreak/>
              <w:t>charakteryzujące się wyjątkowo wysoką jakością (będące przedmiotem udzielonej pożyczki) na aktywa poziomu 2A (będące przedmiotem zaciągniętej pożyczki).</w:t>
            </w:r>
          </w:p>
          <w:p w14:paraId="4D8A60F9" w14:textId="77777777" w:rsidR="001A0B09" w:rsidRDefault="001A0B09">
            <w:pPr>
              <w:spacing w:before="0" w:after="0"/>
              <w:ind w:left="28"/>
              <w:rPr>
                <w:rFonts w:ascii="Times New Roman" w:eastAsia="PMingLiU" w:hAnsi="Times New Roman"/>
                <w:szCs w:val="18"/>
              </w:rPr>
            </w:pPr>
          </w:p>
        </w:tc>
      </w:tr>
      <w:tr w:rsidR="001A0B09" w14:paraId="27850707" w14:textId="77777777" w:rsidTr="0039321F">
        <w:tc>
          <w:tcPr>
            <w:tcW w:w="703" w:type="dxa"/>
            <w:vAlign w:val="center"/>
          </w:tcPr>
          <w:p w14:paraId="1746EBFA" w14:textId="15A35F30" w:rsidR="001A0B09" w:rsidRDefault="000F16AB">
            <w:pPr>
              <w:rPr>
                <w:rFonts w:ascii="Times New Roman" w:eastAsia="PMingLiU" w:hAnsi="Times New Roman"/>
                <w:sz w:val="18"/>
                <w:szCs w:val="18"/>
              </w:rPr>
            </w:pPr>
            <w:r>
              <w:rPr>
                <w:rFonts w:ascii="Times New Roman" w:hAnsi="Times New Roman"/>
                <w:sz w:val="18"/>
                <w:szCs w:val="18"/>
              </w:rPr>
              <w:lastRenderedPageBreak/>
              <w:t>0250</w:t>
            </w:r>
          </w:p>
        </w:tc>
        <w:tc>
          <w:tcPr>
            <w:tcW w:w="7371" w:type="dxa"/>
          </w:tcPr>
          <w:p w14:paraId="16D7900B"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w tym: zabezpieczenie będące przedmiotem wymiany spełnia wymogi operacyjne</w:t>
            </w:r>
          </w:p>
          <w:p w14:paraId="66BDAEA4" w14:textId="77777777" w:rsidR="001A0B09" w:rsidRDefault="001A0B09">
            <w:pPr>
              <w:spacing w:before="0" w:after="0"/>
              <w:ind w:left="28"/>
              <w:rPr>
                <w:rFonts w:ascii="Times New Roman" w:eastAsia="PMingLiU" w:hAnsi="Times New Roman"/>
                <w:b/>
                <w:bCs/>
                <w:sz w:val="18"/>
                <w:szCs w:val="18"/>
              </w:rPr>
            </w:pPr>
          </w:p>
          <w:p w14:paraId="15E1AFB5"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1.2.3. instytucje kredytowe zgłaszają:</w:t>
            </w:r>
          </w:p>
          <w:p w14:paraId="0E1E7C56" w14:textId="77777777" w:rsidR="001A0B09" w:rsidRDefault="001A0B09">
            <w:pPr>
              <w:spacing w:before="0" w:after="0"/>
              <w:ind w:left="28"/>
              <w:rPr>
                <w:rFonts w:ascii="Times New Roman" w:hAnsi="Times New Roman"/>
                <w:sz w:val="18"/>
              </w:rPr>
            </w:pPr>
          </w:p>
          <w:p w14:paraId="4294B0F4" w14:textId="26FF579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D5565F1" w14:textId="77777777" w:rsidR="001A0B09" w:rsidRDefault="001A0B09">
            <w:pPr>
              <w:spacing w:before="0" w:after="0"/>
              <w:ind w:left="748"/>
              <w:rPr>
                <w:rFonts w:ascii="Times New Roman" w:eastAsia="PMingLiU" w:hAnsi="Times New Roman"/>
                <w:b/>
                <w:bCs/>
                <w:sz w:val="18"/>
                <w:szCs w:val="18"/>
              </w:rPr>
            </w:pPr>
          </w:p>
          <w:p w14:paraId="3034BE92" w14:textId="2CD0AC8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727FAFB7" w14:textId="77777777" w:rsidR="001A0B09" w:rsidRDefault="001A0B09">
            <w:pPr>
              <w:spacing w:before="0" w:after="0"/>
              <w:ind w:left="28"/>
              <w:rPr>
                <w:rFonts w:ascii="Times New Roman" w:eastAsia="PMingLiU" w:hAnsi="Times New Roman"/>
                <w:b/>
                <w:bCs/>
                <w:sz w:val="18"/>
                <w:szCs w:val="18"/>
              </w:rPr>
            </w:pPr>
          </w:p>
        </w:tc>
      </w:tr>
      <w:tr w:rsidR="001A0B09" w14:paraId="36176C45" w14:textId="77777777" w:rsidTr="0039321F">
        <w:tc>
          <w:tcPr>
            <w:tcW w:w="703" w:type="dxa"/>
            <w:vAlign w:val="center"/>
          </w:tcPr>
          <w:p w14:paraId="356B61A6" w14:textId="37877627" w:rsidR="001A0B09"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aktywa poziomu 2B: papiery wartościowe zabezpieczone aktywami (kredyty na nieruchomości mieszkalne lub na zakup samochodów, CQS1)</w:t>
            </w:r>
          </w:p>
          <w:p w14:paraId="26410FC8" w14:textId="77777777" w:rsidR="001A0B09" w:rsidRDefault="001A0B09">
            <w:pPr>
              <w:spacing w:before="0" w:after="0"/>
              <w:ind w:left="28"/>
              <w:rPr>
                <w:rFonts w:ascii="Times New Roman" w:eastAsia="PMingLiU" w:hAnsi="Times New Roman"/>
                <w:b/>
                <w:sz w:val="18"/>
                <w:szCs w:val="18"/>
              </w:rPr>
            </w:pPr>
          </w:p>
          <w:p w14:paraId="29073803"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obligacje zabezpieczone charakteryzujące się wyjątkowo wysoką jakością (będące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14FC8217" w14:textId="77777777" w:rsidR="001A0B09" w:rsidRDefault="001A0B09">
            <w:pPr>
              <w:spacing w:before="0" w:after="0"/>
              <w:ind w:left="28"/>
              <w:rPr>
                <w:rFonts w:ascii="Times New Roman" w:eastAsia="PMingLiU" w:hAnsi="Times New Roman"/>
                <w:szCs w:val="18"/>
              </w:rPr>
            </w:pPr>
          </w:p>
        </w:tc>
      </w:tr>
      <w:tr w:rsidR="001A0B09" w14:paraId="50F47F38" w14:textId="77777777" w:rsidTr="0039321F">
        <w:tc>
          <w:tcPr>
            <w:tcW w:w="703" w:type="dxa"/>
            <w:vAlign w:val="center"/>
          </w:tcPr>
          <w:p w14:paraId="3BA16A95" w14:textId="62CC751B" w:rsidR="001A0B09"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w tym: zabezpieczenie będące przedmiotem wymiany spełnia wymogi operacyjne</w:t>
            </w:r>
          </w:p>
          <w:p w14:paraId="438B846B" w14:textId="77777777" w:rsidR="001A0B09" w:rsidRDefault="001A0B09">
            <w:pPr>
              <w:spacing w:before="0" w:after="0"/>
              <w:ind w:left="28"/>
              <w:rPr>
                <w:rFonts w:ascii="Times New Roman" w:eastAsia="PMingLiU" w:hAnsi="Times New Roman"/>
                <w:b/>
                <w:bCs/>
                <w:sz w:val="18"/>
                <w:szCs w:val="18"/>
              </w:rPr>
            </w:pPr>
          </w:p>
          <w:p w14:paraId="5A63E5D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1.2.4. instytucje kredytowe zgłaszają:</w:t>
            </w:r>
          </w:p>
          <w:p w14:paraId="45757BAA" w14:textId="77777777" w:rsidR="001A0B09" w:rsidRDefault="001A0B09">
            <w:pPr>
              <w:spacing w:before="0" w:after="0"/>
              <w:ind w:left="28"/>
              <w:rPr>
                <w:rFonts w:ascii="Times New Roman" w:hAnsi="Times New Roman"/>
                <w:sz w:val="18"/>
              </w:rPr>
            </w:pPr>
          </w:p>
          <w:p w14:paraId="47160DB0" w14:textId="6EB6A58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417E61D" w14:textId="77777777" w:rsidR="001A0B09" w:rsidRDefault="001A0B09">
            <w:pPr>
              <w:spacing w:before="0" w:after="0"/>
              <w:ind w:left="748"/>
              <w:rPr>
                <w:rFonts w:ascii="Times New Roman" w:eastAsia="PMingLiU" w:hAnsi="Times New Roman"/>
                <w:b/>
                <w:bCs/>
                <w:sz w:val="18"/>
                <w:szCs w:val="18"/>
              </w:rPr>
            </w:pPr>
          </w:p>
          <w:p w14:paraId="13E3C3D3" w14:textId="6FF9603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3DC2E9A" w14:textId="77777777" w:rsidR="001A0B09" w:rsidRDefault="001A0B09">
            <w:pPr>
              <w:spacing w:before="0" w:after="0"/>
              <w:ind w:left="28"/>
              <w:rPr>
                <w:rFonts w:ascii="Times New Roman" w:eastAsia="PMingLiU" w:hAnsi="Times New Roman"/>
                <w:b/>
                <w:bCs/>
                <w:sz w:val="18"/>
                <w:szCs w:val="18"/>
              </w:rPr>
            </w:pPr>
          </w:p>
        </w:tc>
      </w:tr>
      <w:tr w:rsidR="001A0B09" w14:paraId="7CA90B7F" w14:textId="77777777" w:rsidTr="0039321F">
        <w:tc>
          <w:tcPr>
            <w:tcW w:w="703" w:type="dxa"/>
            <w:vAlign w:val="center"/>
          </w:tcPr>
          <w:p w14:paraId="4EC166CD" w14:textId="458299B2" w:rsidR="001A0B09"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aktywa poziomu 2B: obligacje zabezpieczone charakteryzujące się wysoką jakością</w:t>
            </w:r>
          </w:p>
          <w:p w14:paraId="2C1B9394" w14:textId="77777777" w:rsidR="001A0B09" w:rsidRDefault="001A0B09">
            <w:pPr>
              <w:spacing w:before="0" w:after="0"/>
              <w:ind w:left="28"/>
              <w:rPr>
                <w:rFonts w:ascii="Times New Roman" w:eastAsia="PMingLiU" w:hAnsi="Times New Roman"/>
                <w:b/>
                <w:sz w:val="18"/>
                <w:szCs w:val="18"/>
              </w:rPr>
            </w:pPr>
          </w:p>
          <w:p w14:paraId="38F958BA"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obligacje zabezpieczone charakteryzujące się wyjątkowo wysoką jakością (będące przedmiotem udzielonej pożyczki) na aktywa poziomu 2B w postaci obligacji zabezpieczonych charakteryzujących się wysoką jakością (będące przedmiotem zaciągniętej pożyczki).</w:t>
            </w:r>
          </w:p>
          <w:p w14:paraId="50CDA7BE" w14:textId="77777777" w:rsidR="001A0B09" w:rsidRDefault="001A0B09">
            <w:pPr>
              <w:spacing w:before="0" w:after="0"/>
              <w:ind w:left="28"/>
              <w:rPr>
                <w:rFonts w:ascii="Times New Roman" w:eastAsia="PMingLiU" w:hAnsi="Times New Roman"/>
                <w:sz w:val="18"/>
                <w:szCs w:val="18"/>
              </w:rPr>
            </w:pPr>
          </w:p>
        </w:tc>
      </w:tr>
      <w:tr w:rsidR="001A0B09" w14:paraId="50A24D2B" w14:textId="77777777" w:rsidTr="0039321F">
        <w:tc>
          <w:tcPr>
            <w:tcW w:w="703" w:type="dxa"/>
            <w:vAlign w:val="center"/>
          </w:tcPr>
          <w:p w14:paraId="7C2B016B" w14:textId="3E4F22D9" w:rsidR="001A0B09"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w tym: zabezpieczenie będące przedmiotem wymiany spełnia wymogi operacyjne</w:t>
            </w:r>
          </w:p>
          <w:p w14:paraId="3D36DDE5" w14:textId="77777777" w:rsidR="001A0B09" w:rsidRDefault="001A0B09">
            <w:pPr>
              <w:spacing w:before="0" w:after="0"/>
              <w:ind w:left="28"/>
              <w:rPr>
                <w:rFonts w:ascii="Times New Roman" w:eastAsia="PMingLiU" w:hAnsi="Times New Roman"/>
                <w:b/>
                <w:bCs/>
                <w:sz w:val="18"/>
                <w:szCs w:val="18"/>
              </w:rPr>
            </w:pPr>
          </w:p>
          <w:p w14:paraId="7CEB7826"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1.2.5. instytucje kredytowe zgłaszają:</w:t>
            </w:r>
          </w:p>
          <w:p w14:paraId="706D4176" w14:textId="77777777" w:rsidR="001A0B09" w:rsidRDefault="001A0B09">
            <w:pPr>
              <w:spacing w:before="0" w:after="0"/>
              <w:ind w:left="28"/>
              <w:rPr>
                <w:rFonts w:ascii="Times New Roman" w:hAnsi="Times New Roman"/>
                <w:sz w:val="18"/>
              </w:rPr>
            </w:pPr>
          </w:p>
          <w:p w14:paraId="2A754F38" w14:textId="6709BD6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16CDADA" w14:textId="77777777" w:rsidR="001A0B09" w:rsidRDefault="001A0B09">
            <w:pPr>
              <w:spacing w:before="0" w:after="0"/>
              <w:ind w:left="748"/>
              <w:rPr>
                <w:rFonts w:ascii="Times New Roman" w:eastAsia="PMingLiU" w:hAnsi="Times New Roman"/>
                <w:b/>
                <w:bCs/>
                <w:sz w:val="18"/>
                <w:szCs w:val="18"/>
              </w:rPr>
            </w:pPr>
          </w:p>
          <w:p w14:paraId="7814D048" w14:textId="7BB4074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1875A5C" w14:textId="77777777" w:rsidR="001A0B09" w:rsidRDefault="001A0B09">
            <w:pPr>
              <w:spacing w:before="0" w:after="0"/>
              <w:ind w:left="28"/>
              <w:rPr>
                <w:rFonts w:ascii="Times New Roman" w:eastAsia="PMingLiU" w:hAnsi="Times New Roman"/>
                <w:b/>
                <w:bCs/>
                <w:sz w:val="18"/>
                <w:szCs w:val="18"/>
              </w:rPr>
            </w:pPr>
          </w:p>
        </w:tc>
      </w:tr>
      <w:tr w:rsidR="001A0B09" w14:paraId="374E0B50" w14:textId="77777777" w:rsidTr="0039321F">
        <w:tc>
          <w:tcPr>
            <w:tcW w:w="703" w:type="dxa"/>
            <w:vAlign w:val="center"/>
          </w:tcPr>
          <w:p w14:paraId="7D774AFA" w14:textId="7CF8A8DC" w:rsidR="001A0B09"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aktywa poziomu 2B: papiery wartościowe zabezpieczone aktywami (kredyty komercyjne lub dla osób fizycznych, państwo członkowskie, CQS1)</w:t>
            </w:r>
          </w:p>
          <w:p w14:paraId="41FC6816" w14:textId="77777777" w:rsidR="001A0B09" w:rsidRDefault="001A0B09">
            <w:pPr>
              <w:spacing w:before="0" w:after="0"/>
              <w:ind w:left="28"/>
              <w:rPr>
                <w:rFonts w:ascii="Times New Roman" w:eastAsia="PMingLiU" w:hAnsi="Times New Roman"/>
                <w:b/>
                <w:sz w:val="18"/>
                <w:szCs w:val="18"/>
              </w:rPr>
            </w:pPr>
          </w:p>
          <w:p w14:paraId="0B31E36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obligacje zabezpieczone charakteryzujące się wyjątkowo wysoką jakością (będące przedmiotem udzielonej pożyczki) na aktywa </w:t>
            </w:r>
            <w:r>
              <w:rPr>
                <w:rFonts w:ascii="Times New Roman" w:hAnsi="Times New Roman"/>
                <w:sz w:val="18"/>
                <w:szCs w:val="18"/>
              </w:rPr>
              <w:t>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13EE4808" w14:textId="77777777" w:rsidR="001A0B09" w:rsidRDefault="001A0B09">
            <w:pPr>
              <w:spacing w:before="0" w:after="0"/>
              <w:ind w:left="28"/>
              <w:rPr>
                <w:rFonts w:ascii="Times New Roman" w:eastAsia="PMingLiU" w:hAnsi="Times New Roman"/>
                <w:sz w:val="18"/>
                <w:szCs w:val="18"/>
              </w:rPr>
            </w:pPr>
          </w:p>
        </w:tc>
      </w:tr>
      <w:tr w:rsidR="001A0B09" w14:paraId="7444F5C7" w14:textId="77777777" w:rsidTr="0039321F">
        <w:tc>
          <w:tcPr>
            <w:tcW w:w="703" w:type="dxa"/>
            <w:vAlign w:val="center"/>
          </w:tcPr>
          <w:p w14:paraId="4814BC93" w14:textId="6A72EB71" w:rsidR="001A0B09" w:rsidRDefault="000F16AB">
            <w:pPr>
              <w:rPr>
                <w:rFonts w:ascii="Times New Roman" w:eastAsia="PMingLiU" w:hAnsi="Times New Roman"/>
                <w:sz w:val="18"/>
                <w:szCs w:val="18"/>
              </w:rPr>
            </w:pPr>
            <w:r>
              <w:rPr>
                <w:rFonts w:ascii="Times New Roman" w:hAnsi="Times New Roman"/>
                <w:sz w:val="18"/>
                <w:szCs w:val="18"/>
              </w:rPr>
              <w:t>0310</w:t>
            </w:r>
          </w:p>
        </w:tc>
        <w:tc>
          <w:tcPr>
            <w:tcW w:w="7371" w:type="dxa"/>
          </w:tcPr>
          <w:p w14:paraId="5E933C4D"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w tym: zabezpieczenie będące przedmiotem wymiany spełnia wymogi operacyjne</w:t>
            </w:r>
          </w:p>
          <w:p w14:paraId="517D3B33" w14:textId="77777777" w:rsidR="001A0B09" w:rsidRDefault="001A0B09">
            <w:pPr>
              <w:spacing w:before="0" w:after="0"/>
              <w:ind w:left="28"/>
              <w:rPr>
                <w:rFonts w:ascii="Times New Roman" w:eastAsia="PMingLiU" w:hAnsi="Times New Roman"/>
                <w:b/>
                <w:bCs/>
                <w:sz w:val="18"/>
                <w:szCs w:val="18"/>
              </w:rPr>
            </w:pPr>
          </w:p>
          <w:p w14:paraId="4C54FC94"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1.2.6. instytucje kredytowe zgłaszają:</w:t>
            </w:r>
          </w:p>
          <w:p w14:paraId="736A8690" w14:textId="77777777" w:rsidR="001A0B09" w:rsidRDefault="001A0B09">
            <w:pPr>
              <w:spacing w:before="0" w:after="0"/>
              <w:ind w:left="28"/>
              <w:rPr>
                <w:rFonts w:ascii="Times New Roman" w:hAnsi="Times New Roman"/>
                <w:sz w:val="18"/>
              </w:rPr>
            </w:pPr>
          </w:p>
          <w:p w14:paraId="58B9497B" w14:textId="6480B80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744E799" w14:textId="77777777" w:rsidR="001A0B09" w:rsidRDefault="001A0B09">
            <w:pPr>
              <w:spacing w:before="0" w:after="0"/>
              <w:ind w:left="748"/>
              <w:rPr>
                <w:rFonts w:ascii="Times New Roman" w:eastAsia="PMingLiU" w:hAnsi="Times New Roman"/>
                <w:b/>
                <w:bCs/>
                <w:sz w:val="18"/>
                <w:szCs w:val="18"/>
              </w:rPr>
            </w:pPr>
          </w:p>
          <w:p w14:paraId="0975B25A" w14:textId="52C8752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0347CB0A" w14:textId="77777777" w:rsidR="001A0B09" w:rsidRDefault="001A0B09">
            <w:pPr>
              <w:spacing w:before="0" w:after="0"/>
              <w:ind w:left="28"/>
              <w:rPr>
                <w:rFonts w:ascii="Times New Roman" w:eastAsia="PMingLiU" w:hAnsi="Times New Roman"/>
                <w:b/>
                <w:bCs/>
                <w:sz w:val="18"/>
                <w:szCs w:val="18"/>
              </w:rPr>
            </w:pPr>
          </w:p>
        </w:tc>
      </w:tr>
      <w:tr w:rsidR="001A0B09" w14:paraId="25AF5AB4" w14:textId="77777777" w:rsidTr="0039321F">
        <w:tc>
          <w:tcPr>
            <w:tcW w:w="703" w:type="dxa"/>
            <w:vAlign w:val="center"/>
          </w:tcPr>
          <w:p w14:paraId="1495C783" w14:textId="55BF4111" w:rsidR="001A0B09" w:rsidRDefault="000F16AB">
            <w:pPr>
              <w:rPr>
                <w:rFonts w:ascii="Times New Roman" w:eastAsia="PMingLiU" w:hAnsi="Times New Roman"/>
                <w:sz w:val="18"/>
                <w:szCs w:val="18"/>
              </w:rPr>
            </w:pPr>
            <w:r>
              <w:rPr>
                <w:rFonts w:ascii="Times New Roman" w:hAnsi="Times New Roman"/>
                <w:sz w:val="18"/>
                <w:szCs w:val="18"/>
              </w:rPr>
              <w:lastRenderedPageBreak/>
              <w:t>0320</w:t>
            </w:r>
          </w:p>
        </w:tc>
        <w:tc>
          <w:tcPr>
            <w:tcW w:w="7371" w:type="dxa"/>
          </w:tcPr>
          <w:p w14:paraId="5113AC81"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inne aktywa poziomu 2B</w:t>
            </w:r>
          </w:p>
          <w:p w14:paraId="7ACDA860" w14:textId="77777777" w:rsidR="001A0B09" w:rsidRDefault="001A0B09">
            <w:pPr>
              <w:spacing w:before="0" w:after="0"/>
              <w:ind w:left="28"/>
              <w:rPr>
                <w:rFonts w:ascii="Times New Roman" w:eastAsia="PMingLiU" w:hAnsi="Times New Roman"/>
                <w:b/>
                <w:sz w:val="18"/>
                <w:szCs w:val="18"/>
              </w:rPr>
            </w:pPr>
          </w:p>
          <w:p w14:paraId="3EC17112"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obligacje zabezpieczone charakteryzujące się wyjątkowo wysoką jakością (będące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1E1BA5AB" w14:textId="77777777" w:rsidR="001A0B09" w:rsidRDefault="001A0B09">
            <w:pPr>
              <w:spacing w:before="0" w:after="0"/>
              <w:ind w:left="28"/>
              <w:rPr>
                <w:rFonts w:ascii="Times New Roman" w:eastAsia="PMingLiU" w:hAnsi="Times New Roman"/>
                <w:sz w:val="18"/>
                <w:szCs w:val="18"/>
              </w:rPr>
            </w:pPr>
          </w:p>
        </w:tc>
      </w:tr>
      <w:tr w:rsidR="001A0B09" w14:paraId="68897FAF" w14:textId="77777777" w:rsidTr="0039321F">
        <w:tc>
          <w:tcPr>
            <w:tcW w:w="703" w:type="dxa"/>
            <w:vAlign w:val="center"/>
          </w:tcPr>
          <w:p w14:paraId="53376D1A" w14:textId="252FFC0C" w:rsidR="001A0B09"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w tym: zabezpieczenie będące przedmiotem wymiany spełnia wymogi operacyjne</w:t>
            </w:r>
          </w:p>
          <w:p w14:paraId="033C8669" w14:textId="77777777" w:rsidR="001A0B09" w:rsidRDefault="001A0B09">
            <w:pPr>
              <w:spacing w:before="0" w:after="0"/>
              <w:ind w:left="28"/>
              <w:rPr>
                <w:rFonts w:ascii="Times New Roman" w:eastAsia="PMingLiU" w:hAnsi="Times New Roman"/>
                <w:b/>
                <w:bCs/>
                <w:sz w:val="18"/>
                <w:szCs w:val="18"/>
              </w:rPr>
            </w:pPr>
          </w:p>
          <w:p w14:paraId="43FD0C76"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1.2.7. instytucje kredytowe zgłaszają:</w:t>
            </w:r>
          </w:p>
          <w:p w14:paraId="5DD3EC0D" w14:textId="77777777" w:rsidR="001A0B09" w:rsidRDefault="001A0B09">
            <w:pPr>
              <w:spacing w:before="0" w:after="0"/>
              <w:ind w:left="28"/>
              <w:rPr>
                <w:rFonts w:ascii="Times New Roman" w:hAnsi="Times New Roman"/>
                <w:sz w:val="18"/>
              </w:rPr>
            </w:pPr>
          </w:p>
          <w:p w14:paraId="26138FC2" w14:textId="67107D3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77EC191" w14:textId="77777777" w:rsidR="001A0B09" w:rsidRDefault="001A0B09">
            <w:pPr>
              <w:spacing w:before="0" w:after="0"/>
              <w:ind w:left="748"/>
              <w:rPr>
                <w:rFonts w:ascii="Times New Roman" w:eastAsia="PMingLiU" w:hAnsi="Times New Roman"/>
                <w:b/>
                <w:bCs/>
                <w:sz w:val="18"/>
                <w:szCs w:val="18"/>
              </w:rPr>
            </w:pPr>
          </w:p>
          <w:p w14:paraId="34D4CB71" w14:textId="7E9FAD2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628D79E0" w14:textId="77777777" w:rsidR="001A0B09" w:rsidRDefault="001A0B09">
            <w:pPr>
              <w:spacing w:before="0" w:after="0"/>
              <w:ind w:left="28"/>
              <w:rPr>
                <w:rFonts w:ascii="Times New Roman" w:eastAsia="PMingLiU" w:hAnsi="Times New Roman"/>
                <w:b/>
                <w:bCs/>
                <w:sz w:val="18"/>
                <w:szCs w:val="18"/>
              </w:rPr>
            </w:pPr>
          </w:p>
        </w:tc>
      </w:tr>
      <w:tr w:rsidR="001A0B09" w14:paraId="4154AEB1" w14:textId="77777777" w:rsidTr="0039321F">
        <w:tc>
          <w:tcPr>
            <w:tcW w:w="703" w:type="dxa"/>
            <w:vAlign w:val="center"/>
          </w:tcPr>
          <w:p w14:paraId="7DF43955" w14:textId="3CE52E27" w:rsidR="001A0B09"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aktywa niepłynne</w:t>
            </w:r>
          </w:p>
          <w:p w14:paraId="7E8FA9E8" w14:textId="77777777" w:rsidR="001A0B09" w:rsidRDefault="001A0B09">
            <w:pPr>
              <w:spacing w:before="0" w:after="0"/>
              <w:ind w:left="28"/>
              <w:rPr>
                <w:rFonts w:ascii="Times New Roman" w:eastAsia="PMingLiU" w:hAnsi="Times New Roman"/>
                <w:b/>
                <w:sz w:val="18"/>
                <w:szCs w:val="18"/>
              </w:rPr>
            </w:pPr>
          </w:p>
          <w:p w14:paraId="68763372"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obligacje zabezpieczone charakteryzujące się wyjątkowo wysoką jakością (będące przedmiotem udzielonej pożyczki) na aktywa niepłynne (będące przedmiotem zaciągniętej pożyczki).</w:t>
            </w:r>
          </w:p>
          <w:p w14:paraId="19A09A85" w14:textId="77777777" w:rsidR="001A0B09" w:rsidRDefault="001A0B09">
            <w:pPr>
              <w:spacing w:before="0" w:after="0"/>
              <w:ind w:left="28"/>
              <w:rPr>
                <w:rFonts w:ascii="Times New Roman" w:eastAsia="PMingLiU" w:hAnsi="Times New Roman"/>
                <w:sz w:val="18"/>
                <w:szCs w:val="18"/>
              </w:rPr>
            </w:pPr>
          </w:p>
        </w:tc>
      </w:tr>
      <w:tr w:rsidR="001A0B09" w14:paraId="5A014869" w14:textId="77777777" w:rsidTr="0039321F">
        <w:tc>
          <w:tcPr>
            <w:tcW w:w="703" w:type="dxa"/>
            <w:shd w:val="clear" w:color="auto" w:fill="auto"/>
            <w:vAlign w:val="center"/>
          </w:tcPr>
          <w:p w14:paraId="68BE95FD" w14:textId="3F28672F" w:rsidR="001A0B09"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w tym: zabezpieczenie będące przedmiotem wymiany spełnia wymogi operacyjne</w:t>
            </w:r>
          </w:p>
          <w:p w14:paraId="24A02F5C" w14:textId="77777777" w:rsidR="001A0B09" w:rsidRDefault="001A0B09">
            <w:pPr>
              <w:spacing w:before="0" w:after="0"/>
              <w:ind w:left="28"/>
              <w:rPr>
                <w:rFonts w:ascii="Times New Roman" w:eastAsia="PMingLiU" w:hAnsi="Times New Roman"/>
                <w:b/>
                <w:bCs/>
                <w:sz w:val="18"/>
                <w:szCs w:val="18"/>
              </w:rPr>
            </w:pPr>
          </w:p>
          <w:p w14:paraId="3045A9F9" w14:textId="53EBA2C2"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1.2.8.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7B968F38" w14:textId="77777777" w:rsidR="001A0B09" w:rsidRDefault="001A0B09">
            <w:pPr>
              <w:spacing w:before="0" w:after="0"/>
              <w:ind w:left="28"/>
              <w:rPr>
                <w:rFonts w:ascii="Times New Roman" w:eastAsia="PMingLiU" w:hAnsi="Times New Roman"/>
                <w:b/>
                <w:bCs/>
                <w:sz w:val="18"/>
                <w:szCs w:val="18"/>
              </w:rPr>
            </w:pPr>
          </w:p>
        </w:tc>
      </w:tr>
      <w:tr w:rsidR="001A0B09" w14:paraId="202F4D3C" w14:textId="77777777" w:rsidTr="0039321F">
        <w:tc>
          <w:tcPr>
            <w:tcW w:w="703" w:type="dxa"/>
            <w:shd w:val="clear" w:color="auto" w:fill="auto"/>
            <w:vAlign w:val="center"/>
          </w:tcPr>
          <w:p w14:paraId="7E43C1BA" w14:textId="0C0B47D3" w:rsidR="001A0B09"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Całkowite wartości transakcji, w których przedmiotem udzielonej pożyczki są aktywa poziomu 2A, a przedmiotem zaciągniętej pożyczki są następujące rodzaje zabezpieczenia:</w:t>
            </w:r>
          </w:p>
          <w:p w14:paraId="310C7245" w14:textId="77777777" w:rsidR="001A0B09" w:rsidRDefault="001A0B09">
            <w:pPr>
              <w:spacing w:before="0" w:after="0"/>
              <w:ind w:left="28"/>
              <w:rPr>
                <w:rFonts w:ascii="Times New Roman" w:eastAsia="PMingLiU" w:hAnsi="Times New Roman"/>
                <w:sz w:val="18"/>
                <w:szCs w:val="18"/>
              </w:rPr>
            </w:pPr>
          </w:p>
          <w:p w14:paraId="45887BA9" w14:textId="11CFC0A0"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1FFCDDE2" w14:textId="77777777" w:rsidR="001A0B09" w:rsidRDefault="001A0B09">
            <w:pPr>
              <w:spacing w:before="0" w:after="0"/>
              <w:ind w:left="28"/>
              <w:rPr>
                <w:rFonts w:ascii="Times New Roman" w:eastAsia="PMingLiU" w:hAnsi="Times New Roman"/>
                <w:bCs/>
                <w:sz w:val="18"/>
                <w:szCs w:val="18"/>
              </w:rPr>
            </w:pPr>
          </w:p>
          <w:p w14:paraId="42D8F8A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całkowite wartości transakcji zabezpieczających swap w ramach transakcji, w których przedmiotem udzielonej pożyczki są aktywa poziomu 2A.</w:t>
            </w:r>
          </w:p>
          <w:p w14:paraId="18C6DD95" w14:textId="77777777" w:rsidR="001A0B09" w:rsidRDefault="001A0B09">
            <w:pPr>
              <w:spacing w:before="0" w:after="0"/>
              <w:ind w:left="28"/>
              <w:rPr>
                <w:rFonts w:ascii="Times New Roman" w:eastAsia="PMingLiU" w:hAnsi="Times New Roman"/>
                <w:sz w:val="18"/>
                <w:szCs w:val="18"/>
              </w:rPr>
            </w:pPr>
          </w:p>
        </w:tc>
      </w:tr>
      <w:tr w:rsidR="001A0B09" w14:paraId="52BBA5B6" w14:textId="77777777" w:rsidTr="0039321F">
        <w:tc>
          <w:tcPr>
            <w:tcW w:w="703" w:type="dxa"/>
            <w:vAlign w:val="center"/>
          </w:tcPr>
          <w:p w14:paraId="51B2C1CD" w14:textId="27CF23A6" w:rsidR="001A0B09"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aktywa poziomu 1 (z wyłączeniem obligacji zabezpieczonych charakteryzujących się wyjątkowo wysoką jakością)</w:t>
            </w:r>
          </w:p>
          <w:p w14:paraId="0D69CD82" w14:textId="77777777" w:rsidR="001A0B09"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Transakcje, w których instytucja zamieniła aktywa poziomu 2A (będące przedmiotem udzielonej pożyczki) na aktywa poziomu 1, z wyłączeniem obligacji zabezpieczonych charakteryzujących się wyjątkowo wysoką jakością, (będące przedmiotem zaciągniętej pożyczki).</w:t>
            </w:r>
          </w:p>
          <w:p w14:paraId="2EFD9EA3" w14:textId="77777777" w:rsidR="001A0B09" w:rsidRDefault="001A0B09">
            <w:pPr>
              <w:autoSpaceDE w:val="0"/>
              <w:autoSpaceDN w:val="0"/>
              <w:adjustRightInd w:val="0"/>
              <w:spacing w:before="0" w:after="0"/>
              <w:rPr>
                <w:rFonts w:ascii="Times New Roman" w:eastAsia="PMingLiU" w:hAnsi="Times New Roman"/>
                <w:b/>
                <w:sz w:val="18"/>
                <w:szCs w:val="18"/>
              </w:rPr>
            </w:pPr>
          </w:p>
        </w:tc>
      </w:tr>
      <w:tr w:rsidR="001A0B09" w14:paraId="31897CFA" w14:textId="77777777" w:rsidTr="0039321F">
        <w:tc>
          <w:tcPr>
            <w:tcW w:w="703" w:type="dxa"/>
            <w:vAlign w:val="center"/>
          </w:tcPr>
          <w:p w14:paraId="03D11070" w14:textId="50976168" w:rsidR="001A0B09"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w tym: zabezpieczenie będące przedmiotem wymiany spełnia wymogi operacyjne</w:t>
            </w:r>
          </w:p>
          <w:p w14:paraId="1A5DD901" w14:textId="77777777" w:rsidR="001A0B09" w:rsidRDefault="001A0B09">
            <w:pPr>
              <w:spacing w:before="0" w:after="0"/>
              <w:ind w:left="28"/>
              <w:rPr>
                <w:rFonts w:ascii="Times New Roman" w:eastAsia="PMingLiU" w:hAnsi="Times New Roman"/>
                <w:b/>
                <w:bCs/>
                <w:sz w:val="18"/>
                <w:szCs w:val="18"/>
              </w:rPr>
            </w:pPr>
          </w:p>
          <w:p w14:paraId="1D5AC6F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1.3.1. instytucje kredytowe zgłaszają:</w:t>
            </w:r>
          </w:p>
          <w:p w14:paraId="3E8FD623" w14:textId="77777777" w:rsidR="001A0B09" w:rsidRDefault="001A0B09">
            <w:pPr>
              <w:spacing w:before="0" w:after="0"/>
              <w:ind w:left="28"/>
              <w:rPr>
                <w:rFonts w:ascii="Times New Roman" w:hAnsi="Times New Roman"/>
                <w:sz w:val="18"/>
              </w:rPr>
            </w:pPr>
          </w:p>
          <w:p w14:paraId="2F16BF7A" w14:textId="05E89FC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6BC7F18" w14:textId="77777777" w:rsidR="001A0B09" w:rsidRDefault="001A0B09">
            <w:pPr>
              <w:spacing w:before="0" w:after="0"/>
              <w:ind w:left="748"/>
              <w:rPr>
                <w:rFonts w:ascii="Times New Roman" w:eastAsia="PMingLiU" w:hAnsi="Times New Roman"/>
                <w:b/>
                <w:bCs/>
                <w:sz w:val="18"/>
                <w:szCs w:val="18"/>
              </w:rPr>
            </w:pPr>
          </w:p>
          <w:p w14:paraId="5864720A" w14:textId="484693C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077DDEC" w14:textId="77777777" w:rsidR="001A0B09" w:rsidRDefault="001A0B09">
            <w:pPr>
              <w:spacing w:before="0" w:after="0"/>
              <w:ind w:left="28"/>
              <w:rPr>
                <w:rFonts w:ascii="Times New Roman" w:eastAsia="PMingLiU" w:hAnsi="Times New Roman"/>
                <w:b/>
                <w:bCs/>
                <w:sz w:val="18"/>
                <w:szCs w:val="18"/>
              </w:rPr>
            </w:pPr>
          </w:p>
        </w:tc>
      </w:tr>
      <w:tr w:rsidR="001A0B09" w14:paraId="55A9BB5C" w14:textId="77777777" w:rsidTr="0039321F">
        <w:tc>
          <w:tcPr>
            <w:tcW w:w="703" w:type="dxa"/>
            <w:vAlign w:val="center"/>
          </w:tcPr>
          <w:p w14:paraId="028C5F49" w14:textId="5A80C545" w:rsidR="001A0B09" w:rsidRDefault="000F16AB">
            <w:pPr>
              <w:rPr>
                <w:rFonts w:ascii="Times New Roman" w:eastAsia="PMingLiU" w:hAnsi="Times New Roman"/>
                <w:sz w:val="18"/>
                <w:szCs w:val="18"/>
              </w:rPr>
            </w:pPr>
            <w:r>
              <w:rPr>
                <w:rFonts w:ascii="Times New Roman" w:hAnsi="Times New Roman"/>
                <w:sz w:val="18"/>
                <w:szCs w:val="18"/>
              </w:rPr>
              <w:lastRenderedPageBreak/>
              <w:t>0390</w:t>
            </w:r>
          </w:p>
        </w:tc>
        <w:tc>
          <w:tcPr>
            <w:tcW w:w="7371" w:type="dxa"/>
          </w:tcPr>
          <w:p w14:paraId="5E302C8A"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aktywa poziomu 1: obligacje zabezpieczone charakteryzujące się wyjątkowo wysoką jakością</w:t>
            </w:r>
          </w:p>
          <w:p w14:paraId="79298CBD" w14:textId="77777777" w:rsidR="001A0B09" w:rsidRDefault="001A0B09">
            <w:pPr>
              <w:spacing w:before="0" w:after="0"/>
              <w:ind w:left="28"/>
              <w:rPr>
                <w:rFonts w:ascii="Times New Roman" w:eastAsia="PMingLiU" w:hAnsi="Times New Roman"/>
                <w:b/>
                <w:sz w:val="18"/>
                <w:szCs w:val="18"/>
              </w:rPr>
            </w:pPr>
          </w:p>
          <w:p w14:paraId="4A09210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2A (będące przedmiotem udzielonej pożyczki) </w:t>
            </w:r>
            <w:r>
              <w:rPr>
                <w:rFonts w:ascii="Times New Roman" w:hAnsi="Times New Roman"/>
                <w:sz w:val="18"/>
                <w:szCs w:val="18"/>
              </w:rPr>
              <w:t xml:space="preserve">na </w:t>
            </w:r>
            <w:r>
              <w:rPr>
                <w:rFonts w:ascii="Times New Roman" w:hAnsi="Times New Roman"/>
                <w:bCs/>
                <w:sz w:val="18"/>
                <w:szCs w:val="18"/>
              </w:rPr>
              <w:t>aktywa poziomu 1: obligacje zabezpieczone charakteryzujące się wyjątkowo wysoką jakością (będące przedmiotem zaciągniętej pożyczki).</w:t>
            </w:r>
          </w:p>
          <w:p w14:paraId="5B43DE08" w14:textId="77777777" w:rsidR="001A0B09" w:rsidRDefault="001A0B09">
            <w:pPr>
              <w:spacing w:before="0" w:after="0"/>
              <w:ind w:left="28"/>
              <w:rPr>
                <w:rFonts w:ascii="Times New Roman" w:eastAsia="PMingLiU" w:hAnsi="Times New Roman"/>
                <w:szCs w:val="18"/>
              </w:rPr>
            </w:pPr>
          </w:p>
        </w:tc>
      </w:tr>
      <w:tr w:rsidR="001A0B09" w14:paraId="2D042029" w14:textId="77777777" w:rsidTr="0039321F">
        <w:tc>
          <w:tcPr>
            <w:tcW w:w="703" w:type="dxa"/>
            <w:shd w:val="clear" w:color="auto" w:fill="FFFFFF"/>
            <w:vAlign w:val="center"/>
          </w:tcPr>
          <w:p w14:paraId="6B85AC2F" w14:textId="191CD6E3" w:rsidR="001A0B09" w:rsidRDefault="000F16AB">
            <w:pPr>
              <w:rPr>
                <w:rFonts w:ascii="Times New Roman" w:eastAsia="PMingLiU" w:hAnsi="Times New Roman"/>
                <w:sz w:val="18"/>
                <w:szCs w:val="18"/>
              </w:rPr>
            </w:pPr>
            <w:r>
              <w:rPr>
                <w:rFonts w:ascii="Times New Roman" w:hAnsi="Times New Roman"/>
                <w:sz w:val="18"/>
                <w:szCs w:val="18"/>
              </w:rPr>
              <w:t>0400</w:t>
            </w:r>
          </w:p>
        </w:tc>
        <w:tc>
          <w:tcPr>
            <w:tcW w:w="7371" w:type="dxa"/>
            <w:shd w:val="clear" w:color="auto" w:fill="FFFFFF"/>
          </w:tcPr>
          <w:p w14:paraId="022B7945"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w tym: zabezpieczenie będące przedmiotem wymiany spełnia wymogi operacyjne</w:t>
            </w:r>
          </w:p>
          <w:p w14:paraId="58D7F8A6" w14:textId="77777777" w:rsidR="001A0B09" w:rsidRDefault="001A0B09">
            <w:pPr>
              <w:spacing w:before="0" w:after="0"/>
              <w:ind w:left="28"/>
              <w:rPr>
                <w:rFonts w:ascii="Times New Roman" w:eastAsia="PMingLiU" w:hAnsi="Times New Roman"/>
                <w:b/>
                <w:bCs/>
                <w:sz w:val="18"/>
                <w:szCs w:val="18"/>
              </w:rPr>
            </w:pPr>
          </w:p>
          <w:p w14:paraId="706AD511"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1.3.2. instytucje kredytowe zgłaszają:</w:t>
            </w:r>
          </w:p>
          <w:p w14:paraId="4D7CD912" w14:textId="77777777" w:rsidR="001A0B09" w:rsidRDefault="001A0B09">
            <w:pPr>
              <w:spacing w:before="0" w:after="0"/>
              <w:ind w:left="28"/>
              <w:rPr>
                <w:rFonts w:ascii="Times New Roman" w:hAnsi="Times New Roman"/>
                <w:sz w:val="18"/>
              </w:rPr>
            </w:pPr>
          </w:p>
          <w:p w14:paraId="49A076F5" w14:textId="4E0C2D1A"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C0072AA" w14:textId="77777777" w:rsidR="001A0B09" w:rsidRDefault="001A0B09">
            <w:pPr>
              <w:spacing w:before="0" w:after="0"/>
              <w:ind w:left="748"/>
              <w:rPr>
                <w:rFonts w:ascii="Times New Roman" w:eastAsia="PMingLiU" w:hAnsi="Times New Roman"/>
                <w:b/>
                <w:bCs/>
                <w:sz w:val="18"/>
                <w:szCs w:val="18"/>
              </w:rPr>
            </w:pPr>
          </w:p>
          <w:p w14:paraId="283BBF8C" w14:textId="442B2A6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73024E5" w14:textId="77777777" w:rsidR="001A0B09" w:rsidRDefault="001A0B09">
            <w:pPr>
              <w:spacing w:before="0" w:after="0"/>
              <w:ind w:left="28"/>
              <w:rPr>
                <w:rFonts w:ascii="Times New Roman" w:eastAsia="PMingLiU" w:hAnsi="Times New Roman"/>
                <w:b/>
                <w:bCs/>
                <w:sz w:val="18"/>
                <w:szCs w:val="18"/>
              </w:rPr>
            </w:pPr>
          </w:p>
        </w:tc>
      </w:tr>
      <w:tr w:rsidR="001A0B09" w14:paraId="0E367065" w14:textId="77777777" w:rsidTr="0039321F">
        <w:tc>
          <w:tcPr>
            <w:tcW w:w="703" w:type="dxa"/>
            <w:shd w:val="clear" w:color="auto" w:fill="FFFFFF"/>
            <w:vAlign w:val="center"/>
          </w:tcPr>
          <w:p w14:paraId="12529CDD" w14:textId="026C8EBF" w:rsidR="001A0B09"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aktywa poziomu 2A</w:t>
            </w:r>
          </w:p>
          <w:p w14:paraId="0D47A338" w14:textId="77777777" w:rsidR="001A0B09" w:rsidRDefault="001A0B09">
            <w:pPr>
              <w:spacing w:before="0" w:after="0"/>
              <w:ind w:left="28"/>
              <w:rPr>
                <w:rFonts w:ascii="Times New Roman" w:eastAsia="PMingLiU" w:hAnsi="Times New Roman"/>
                <w:b/>
                <w:sz w:val="18"/>
                <w:szCs w:val="18"/>
              </w:rPr>
            </w:pPr>
          </w:p>
          <w:p w14:paraId="104D6035"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2A (będące przedmiotem udzielonej pożyczki) na </w:t>
            </w:r>
            <w:r>
              <w:rPr>
                <w:rFonts w:ascii="Times New Roman" w:hAnsi="Times New Roman"/>
                <w:bCs/>
                <w:sz w:val="18"/>
                <w:szCs w:val="18"/>
              </w:rPr>
              <w:t>aktywa poziomu 2A (będące przedmiotem zaciągniętej pożyczki).</w:t>
            </w:r>
          </w:p>
          <w:p w14:paraId="037081F6" w14:textId="77777777" w:rsidR="001A0B09" w:rsidRDefault="001A0B09">
            <w:pPr>
              <w:spacing w:before="0" w:after="0"/>
              <w:ind w:left="28"/>
              <w:rPr>
                <w:rFonts w:ascii="Times New Roman" w:eastAsia="PMingLiU" w:hAnsi="Times New Roman"/>
                <w:szCs w:val="18"/>
              </w:rPr>
            </w:pPr>
          </w:p>
        </w:tc>
      </w:tr>
      <w:tr w:rsidR="001A0B09" w14:paraId="2675B31A" w14:textId="77777777" w:rsidTr="0039321F">
        <w:tc>
          <w:tcPr>
            <w:tcW w:w="703" w:type="dxa"/>
            <w:vAlign w:val="center"/>
          </w:tcPr>
          <w:p w14:paraId="598284BE" w14:textId="19ACE56B" w:rsidR="001A0B09"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w tym: zabezpieczenie będące przedmiotem wymiany spełnia wymogi operacyjne</w:t>
            </w:r>
          </w:p>
          <w:p w14:paraId="3C38C7B7" w14:textId="77777777" w:rsidR="001A0B09" w:rsidRDefault="001A0B09">
            <w:pPr>
              <w:spacing w:before="0" w:after="0"/>
              <w:ind w:left="28"/>
              <w:rPr>
                <w:rFonts w:ascii="Times New Roman" w:eastAsia="PMingLiU" w:hAnsi="Times New Roman"/>
                <w:b/>
                <w:bCs/>
                <w:sz w:val="18"/>
                <w:szCs w:val="18"/>
              </w:rPr>
            </w:pPr>
          </w:p>
          <w:p w14:paraId="69527EBC"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1.3.3. instytucje kredytowe zgłaszają:</w:t>
            </w:r>
          </w:p>
          <w:p w14:paraId="1CD4E889" w14:textId="77777777" w:rsidR="001A0B09" w:rsidRDefault="001A0B09">
            <w:pPr>
              <w:spacing w:before="0" w:after="0"/>
              <w:ind w:left="28"/>
              <w:rPr>
                <w:rFonts w:ascii="Times New Roman" w:hAnsi="Times New Roman"/>
                <w:sz w:val="18"/>
              </w:rPr>
            </w:pPr>
          </w:p>
          <w:p w14:paraId="2EE99B60" w14:textId="769F9CBA"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2FA6FEA" w14:textId="77777777" w:rsidR="001A0B09" w:rsidRDefault="001A0B09">
            <w:pPr>
              <w:spacing w:before="0" w:after="0"/>
              <w:ind w:left="748"/>
              <w:rPr>
                <w:rFonts w:ascii="Times New Roman" w:eastAsia="PMingLiU" w:hAnsi="Times New Roman"/>
                <w:b/>
                <w:bCs/>
                <w:sz w:val="18"/>
                <w:szCs w:val="18"/>
              </w:rPr>
            </w:pPr>
          </w:p>
          <w:p w14:paraId="6CA44D21" w14:textId="644C8E1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762FE51E" w14:textId="77777777" w:rsidR="001A0B09" w:rsidRDefault="001A0B09">
            <w:pPr>
              <w:spacing w:before="0" w:after="0"/>
              <w:ind w:left="28"/>
              <w:rPr>
                <w:rFonts w:ascii="Times New Roman" w:eastAsia="PMingLiU" w:hAnsi="Times New Roman"/>
                <w:b/>
                <w:bCs/>
                <w:sz w:val="18"/>
                <w:szCs w:val="18"/>
              </w:rPr>
            </w:pPr>
          </w:p>
        </w:tc>
      </w:tr>
      <w:tr w:rsidR="001A0B09" w14:paraId="458CA3F2" w14:textId="77777777" w:rsidTr="0039321F">
        <w:tc>
          <w:tcPr>
            <w:tcW w:w="703" w:type="dxa"/>
            <w:vAlign w:val="center"/>
          </w:tcPr>
          <w:p w14:paraId="0C64A206" w14:textId="18E9FDE9" w:rsidR="001A0B09"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aktywa poziomu 2B: papiery wartościowe zabezpieczone aktywami (kredyty na nieruchomości mieszkalne lub na zakup samochodów, CQS1)</w:t>
            </w:r>
          </w:p>
          <w:p w14:paraId="57AEEE1C" w14:textId="77777777" w:rsidR="001A0B09" w:rsidRDefault="001A0B09">
            <w:pPr>
              <w:spacing w:before="0" w:after="0"/>
              <w:ind w:left="28"/>
              <w:rPr>
                <w:rFonts w:ascii="Times New Roman" w:eastAsia="PMingLiU" w:hAnsi="Times New Roman"/>
                <w:b/>
                <w:sz w:val="18"/>
                <w:szCs w:val="18"/>
              </w:rPr>
            </w:pPr>
          </w:p>
          <w:p w14:paraId="6CF180E2"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2A </w:t>
            </w:r>
            <w:r>
              <w:rPr>
                <w:rFonts w:ascii="Times New Roman" w:hAnsi="Times New Roman"/>
                <w:bCs/>
                <w:sz w:val="18"/>
                <w:szCs w:val="18"/>
              </w:rPr>
              <w:t xml:space="preserve">(będące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07EA60B5" w14:textId="77777777" w:rsidR="001A0B09" w:rsidRDefault="001A0B09">
            <w:pPr>
              <w:spacing w:before="0" w:after="0"/>
              <w:ind w:left="28"/>
              <w:rPr>
                <w:rFonts w:ascii="Times New Roman" w:eastAsia="PMingLiU" w:hAnsi="Times New Roman"/>
                <w:szCs w:val="18"/>
              </w:rPr>
            </w:pPr>
          </w:p>
        </w:tc>
      </w:tr>
      <w:tr w:rsidR="001A0B09" w14:paraId="14FD24C4" w14:textId="77777777" w:rsidTr="0039321F">
        <w:tc>
          <w:tcPr>
            <w:tcW w:w="703" w:type="dxa"/>
            <w:vAlign w:val="center"/>
          </w:tcPr>
          <w:p w14:paraId="3F7A4A7D" w14:textId="63BE9B6D" w:rsidR="001A0B09"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w tym: zabezpieczenie będące przedmiotem wymiany spełnia wymogi operacyjne</w:t>
            </w:r>
          </w:p>
          <w:p w14:paraId="7AC3EA63" w14:textId="77777777" w:rsidR="001A0B09" w:rsidRDefault="001A0B09">
            <w:pPr>
              <w:spacing w:before="0" w:after="0"/>
              <w:ind w:left="28"/>
              <w:rPr>
                <w:rFonts w:ascii="Times New Roman" w:eastAsia="PMingLiU" w:hAnsi="Times New Roman"/>
                <w:b/>
                <w:bCs/>
                <w:sz w:val="18"/>
                <w:szCs w:val="18"/>
              </w:rPr>
            </w:pPr>
          </w:p>
          <w:p w14:paraId="4903BF97"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1.3.4. instytucje kredytowe zgłaszają:</w:t>
            </w:r>
          </w:p>
          <w:p w14:paraId="2FD9E5CA" w14:textId="77777777" w:rsidR="001A0B09" w:rsidRDefault="001A0B09">
            <w:pPr>
              <w:spacing w:before="0" w:after="0"/>
              <w:ind w:left="28"/>
              <w:rPr>
                <w:rFonts w:ascii="Times New Roman" w:hAnsi="Times New Roman"/>
                <w:sz w:val="18"/>
              </w:rPr>
            </w:pPr>
          </w:p>
          <w:p w14:paraId="5551395E" w14:textId="1A604BF3"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812B3D3" w14:textId="77777777" w:rsidR="001A0B09" w:rsidRDefault="001A0B09">
            <w:pPr>
              <w:spacing w:before="0" w:after="0"/>
              <w:ind w:left="748"/>
              <w:rPr>
                <w:rFonts w:ascii="Times New Roman" w:eastAsia="PMingLiU" w:hAnsi="Times New Roman"/>
                <w:b/>
                <w:bCs/>
                <w:sz w:val="18"/>
                <w:szCs w:val="18"/>
              </w:rPr>
            </w:pPr>
          </w:p>
          <w:p w14:paraId="708975F9" w14:textId="7B4E5CC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647FC6DE" w14:textId="77777777" w:rsidR="001A0B09" w:rsidRDefault="001A0B09">
            <w:pPr>
              <w:spacing w:before="0" w:after="0"/>
              <w:ind w:left="28"/>
              <w:rPr>
                <w:rFonts w:ascii="Times New Roman" w:eastAsia="PMingLiU" w:hAnsi="Times New Roman"/>
                <w:b/>
                <w:bCs/>
                <w:sz w:val="18"/>
                <w:szCs w:val="18"/>
              </w:rPr>
            </w:pPr>
          </w:p>
        </w:tc>
      </w:tr>
      <w:tr w:rsidR="001A0B09" w14:paraId="31E302A6" w14:textId="77777777" w:rsidTr="0039321F">
        <w:tc>
          <w:tcPr>
            <w:tcW w:w="703" w:type="dxa"/>
            <w:vAlign w:val="center"/>
          </w:tcPr>
          <w:p w14:paraId="4E783F2E" w14:textId="225D7EE3" w:rsidR="001A0B09"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aktywa poziomu 2B: obligacje zabezpieczone charakteryzujące się wysoką jakością</w:t>
            </w:r>
          </w:p>
          <w:p w14:paraId="447CA3BD" w14:textId="77777777" w:rsidR="001A0B09" w:rsidRDefault="001A0B09">
            <w:pPr>
              <w:spacing w:before="0" w:after="0"/>
              <w:ind w:left="28"/>
              <w:rPr>
                <w:rFonts w:ascii="Times New Roman" w:eastAsia="PMingLiU" w:hAnsi="Times New Roman"/>
                <w:b/>
                <w:sz w:val="18"/>
                <w:szCs w:val="18"/>
              </w:rPr>
            </w:pPr>
          </w:p>
          <w:p w14:paraId="7CA25F4D"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2A</w:t>
            </w:r>
            <w:r>
              <w:rPr>
                <w:rFonts w:ascii="Times New Roman" w:hAnsi="Times New Roman"/>
                <w:bCs/>
                <w:sz w:val="18"/>
                <w:szCs w:val="18"/>
              </w:rPr>
              <w:t xml:space="preserve"> (będące przedmiotem udzielonej pożyczki) na aktywa poziomu 2B w postaci obligacji zabezpieczonych charakteryzujących się wysoką jakością (będące przedmiotem zaciągniętej pożyczki).</w:t>
            </w:r>
          </w:p>
          <w:p w14:paraId="7C2EFE69" w14:textId="77777777" w:rsidR="001A0B09" w:rsidRDefault="001A0B09">
            <w:pPr>
              <w:spacing w:before="0" w:after="0"/>
              <w:ind w:left="28"/>
              <w:rPr>
                <w:rFonts w:ascii="Times New Roman" w:eastAsia="PMingLiU" w:hAnsi="Times New Roman"/>
                <w:sz w:val="18"/>
                <w:szCs w:val="18"/>
              </w:rPr>
            </w:pPr>
          </w:p>
        </w:tc>
      </w:tr>
      <w:tr w:rsidR="001A0B09" w14:paraId="289A46B0" w14:textId="77777777" w:rsidTr="0039321F">
        <w:tc>
          <w:tcPr>
            <w:tcW w:w="703" w:type="dxa"/>
            <w:shd w:val="clear" w:color="auto" w:fill="FFFFFF"/>
            <w:vAlign w:val="center"/>
          </w:tcPr>
          <w:p w14:paraId="6CE9618F" w14:textId="77D99F95" w:rsidR="001A0B09"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w tym: zabezpieczenie będące przedmiotem wymiany spełnia wymogi operacyjne</w:t>
            </w:r>
          </w:p>
          <w:p w14:paraId="40447A31" w14:textId="77777777" w:rsidR="001A0B09" w:rsidRDefault="001A0B09">
            <w:pPr>
              <w:spacing w:before="0" w:after="0"/>
              <w:ind w:left="28"/>
              <w:rPr>
                <w:rFonts w:ascii="Times New Roman" w:eastAsia="PMingLiU" w:hAnsi="Times New Roman"/>
                <w:b/>
                <w:bCs/>
                <w:sz w:val="18"/>
                <w:szCs w:val="18"/>
              </w:rPr>
            </w:pPr>
          </w:p>
          <w:p w14:paraId="1E1075C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1.3.5. instytucje kredytowe zgłaszają:</w:t>
            </w:r>
          </w:p>
          <w:p w14:paraId="7883342C" w14:textId="77777777" w:rsidR="001A0B09" w:rsidRDefault="001A0B09">
            <w:pPr>
              <w:spacing w:before="0" w:after="0"/>
              <w:ind w:left="28"/>
              <w:rPr>
                <w:rFonts w:ascii="Times New Roman" w:hAnsi="Times New Roman"/>
                <w:sz w:val="18"/>
              </w:rPr>
            </w:pPr>
          </w:p>
          <w:p w14:paraId="5C7576DE" w14:textId="79D4DD6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składnik zabezpieczenia będącego przedmiotem udzielonej pożyczki, który </w:t>
            </w:r>
            <w:r>
              <w:rPr>
                <w:rFonts w:ascii="Times New Roman" w:hAnsi="Times New Roman"/>
                <w:sz w:val="18"/>
              </w:rPr>
              <w:lastRenderedPageBreak/>
              <w:t>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15DF84B" w14:textId="77777777" w:rsidR="001A0B09" w:rsidRDefault="001A0B09">
            <w:pPr>
              <w:spacing w:before="0" w:after="0"/>
              <w:ind w:left="748"/>
              <w:rPr>
                <w:rFonts w:ascii="Times New Roman" w:eastAsia="PMingLiU" w:hAnsi="Times New Roman"/>
                <w:b/>
                <w:bCs/>
                <w:sz w:val="18"/>
                <w:szCs w:val="18"/>
              </w:rPr>
            </w:pPr>
          </w:p>
          <w:p w14:paraId="2D0B2053" w14:textId="763ED35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EE3EA25" w14:textId="77777777" w:rsidR="001A0B09" w:rsidRDefault="001A0B09">
            <w:pPr>
              <w:spacing w:before="0" w:after="0"/>
              <w:ind w:left="28"/>
              <w:rPr>
                <w:rFonts w:ascii="Times New Roman" w:eastAsia="PMingLiU" w:hAnsi="Times New Roman"/>
                <w:b/>
                <w:bCs/>
                <w:sz w:val="18"/>
                <w:szCs w:val="18"/>
              </w:rPr>
            </w:pPr>
          </w:p>
        </w:tc>
      </w:tr>
      <w:tr w:rsidR="001A0B09" w14:paraId="7AF71B29" w14:textId="77777777" w:rsidTr="0039321F">
        <w:tc>
          <w:tcPr>
            <w:tcW w:w="703" w:type="dxa"/>
            <w:shd w:val="clear" w:color="auto" w:fill="FFFFFF"/>
            <w:vAlign w:val="center"/>
          </w:tcPr>
          <w:p w14:paraId="41969F16" w14:textId="72CBFE27" w:rsidR="001A0B09" w:rsidRDefault="000F16AB">
            <w:pPr>
              <w:rPr>
                <w:rFonts w:ascii="Times New Roman" w:eastAsia="PMingLiU" w:hAnsi="Times New Roman"/>
                <w:sz w:val="18"/>
                <w:szCs w:val="18"/>
              </w:rPr>
            </w:pPr>
            <w:r>
              <w:rPr>
                <w:rFonts w:ascii="Times New Roman" w:hAnsi="Times New Roman"/>
                <w:sz w:val="18"/>
                <w:szCs w:val="18"/>
              </w:rPr>
              <w:lastRenderedPageBreak/>
              <w:t>0470</w:t>
            </w:r>
          </w:p>
        </w:tc>
        <w:tc>
          <w:tcPr>
            <w:tcW w:w="7371" w:type="dxa"/>
            <w:shd w:val="clear" w:color="auto" w:fill="FFFFFF"/>
          </w:tcPr>
          <w:p w14:paraId="4A61DDF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aktywa poziomu 2B: papiery wartościowe zabezpieczone aktywami (kredyty komercyjne lub dla osób fizycznych, państwo członkowskie, CQS1)</w:t>
            </w:r>
          </w:p>
          <w:p w14:paraId="278D37CE" w14:textId="77777777" w:rsidR="001A0B09" w:rsidRDefault="001A0B09">
            <w:pPr>
              <w:spacing w:before="0" w:after="0"/>
              <w:ind w:left="28"/>
              <w:rPr>
                <w:rFonts w:ascii="Times New Roman" w:eastAsia="PMingLiU" w:hAnsi="Times New Roman"/>
                <w:b/>
                <w:sz w:val="18"/>
                <w:szCs w:val="18"/>
              </w:rPr>
            </w:pPr>
          </w:p>
          <w:p w14:paraId="6FA2A2F7"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w:t>
            </w:r>
            <w:r>
              <w:rPr>
                <w:rFonts w:ascii="Times New Roman" w:hAnsi="Times New Roman"/>
                <w:sz w:val="18"/>
                <w:szCs w:val="18"/>
              </w:rPr>
              <w:t xml:space="preserve">2A </w:t>
            </w:r>
            <w:r>
              <w:rPr>
                <w:rFonts w:ascii="Times New Roman" w:hAnsi="Times New Roman"/>
                <w:bCs/>
                <w:sz w:val="18"/>
                <w:szCs w:val="18"/>
              </w:rPr>
              <w:t xml:space="preserve">(będące przedmiotem udzielonej pożyczki) na aktywa poziomu </w:t>
            </w:r>
            <w:r>
              <w:rPr>
                <w:rFonts w:ascii="Times New Roman" w:hAnsi="Times New Roman"/>
                <w:sz w:val="18"/>
                <w:szCs w:val="18"/>
              </w:rPr>
              <w:t>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4D52C25C" w14:textId="77777777" w:rsidR="001A0B09" w:rsidRDefault="001A0B09">
            <w:pPr>
              <w:spacing w:before="0" w:after="0"/>
              <w:ind w:left="28"/>
              <w:rPr>
                <w:rFonts w:ascii="Times New Roman" w:eastAsia="PMingLiU" w:hAnsi="Times New Roman"/>
                <w:sz w:val="18"/>
                <w:szCs w:val="18"/>
              </w:rPr>
            </w:pPr>
          </w:p>
        </w:tc>
      </w:tr>
      <w:tr w:rsidR="001A0B09" w14:paraId="53BE6067" w14:textId="77777777" w:rsidTr="0039321F">
        <w:tc>
          <w:tcPr>
            <w:tcW w:w="703" w:type="dxa"/>
            <w:shd w:val="clear" w:color="auto" w:fill="FFFFFF"/>
            <w:vAlign w:val="center"/>
          </w:tcPr>
          <w:p w14:paraId="74D9E8A1" w14:textId="16E21515" w:rsidR="001A0B09" w:rsidRDefault="000F16AB">
            <w:pPr>
              <w:rPr>
                <w:rFonts w:ascii="Times New Roman" w:eastAsia="PMingLiU" w:hAnsi="Times New Roman"/>
                <w:sz w:val="18"/>
                <w:szCs w:val="18"/>
              </w:rPr>
            </w:pPr>
            <w:r>
              <w:rPr>
                <w:rFonts w:ascii="Times New Roman" w:hAnsi="Times New Roman"/>
                <w:sz w:val="18"/>
                <w:szCs w:val="18"/>
              </w:rPr>
              <w:t>0480</w:t>
            </w:r>
          </w:p>
        </w:tc>
        <w:tc>
          <w:tcPr>
            <w:tcW w:w="7371" w:type="dxa"/>
            <w:shd w:val="clear" w:color="auto" w:fill="FFFFFF"/>
          </w:tcPr>
          <w:p w14:paraId="66BE68B0"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w tym: zabezpieczenie będące przedmiotem wymiany spełnia wymogi operacyjne</w:t>
            </w:r>
          </w:p>
          <w:p w14:paraId="31C3200C" w14:textId="77777777" w:rsidR="001A0B09" w:rsidRDefault="001A0B09">
            <w:pPr>
              <w:spacing w:before="0" w:after="0"/>
              <w:ind w:left="28"/>
              <w:rPr>
                <w:rFonts w:ascii="Times New Roman" w:eastAsia="PMingLiU" w:hAnsi="Times New Roman"/>
                <w:b/>
                <w:bCs/>
                <w:sz w:val="18"/>
                <w:szCs w:val="18"/>
              </w:rPr>
            </w:pPr>
          </w:p>
          <w:p w14:paraId="25B14CB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1.3.6. instytucje kredytowe zgłaszają:</w:t>
            </w:r>
          </w:p>
          <w:p w14:paraId="1DD8F8F3" w14:textId="77777777" w:rsidR="001A0B09" w:rsidRDefault="001A0B09">
            <w:pPr>
              <w:spacing w:before="0" w:after="0"/>
              <w:ind w:left="28"/>
              <w:rPr>
                <w:rFonts w:ascii="Times New Roman" w:hAnsi="Times New Roman"/>
                <w:sz w:val="18"/>
              </w:rPr>
            </w:pPr>
          </w:p>
          <w:p w14:paraId="27D34E68" w14:textId="5E1EC6F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073B43C" w14:textId="77777777" w:rsidR="001A0B09" w:rsidRDefault="001A0B09">
            <w:pPr>
              <w:spacing w:before="0" w:after="0"/>
              <w:ind w:left="748"/>
              <w:rPr>
                <w:rFonts w:ascii="Times New Roman" w:eastAsia="PMingLiU" w:hAnsi="Times New Roman"/>
                <w:b/>
                <w:bCs/>
                <w:sz w:val="18"/>
                <w:szCs w:val="18"/>
              </w:rPr>
            </w:pPr>
          </w:p>
          <w:p w14:paraId="21D65470" w14:textId="5DC3C22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3672233B" w14:textId="77777777" w:rsidR="001A0B09" w:rsidRDefault="001A0B09">
            <w:pPr>
              <w:spacing w:before="0" w:after="0"/>
              <w:ind w:left="28"/>
              <w:rPr>
                <w:rFonts w:ascii="Times New Roman" w:eastAsia="PMingLiU" w:hAnsi="Times New Roman"/>
                <w:b/>
                <w:bCs/>
                <w:sz w:val="18"/>
                <w:szCs w:val="18"/>
              </w:rPr>
            </w:pPr>
          </w:p>
        </w:tc>
      </w:tr>
      <w:tr w:rsidR="001A0B09" w14:paraId="06FF46DE" w14:textId="77777777" w:rsidTr="0039321F">
        <w:tc>
          <w:tcPr>
            <w:tcW w:w="703" w:type="dxa"/>
            <w:shd w:val="clear" w:color="auto" w:fill="FFFFFF"/>
            <w:vAlign w:val="center"/>
          </w:tcPr>
          <w:p w14:paraId="498544AE" w14:textId="7A4F844B" w:rsidR="001A0B09"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inne aktywa poziomu 2B</w:t>
            </w:r>
          </w:p>
          <w:p w14:paraId="19C10FAE" w14:textId="77777777" w:rsidR="001A0B09" w:rsidRDefault="001A0B09">
            <w:pPr>
              <w:spacing w:before="0" w:after="0"/>
              <w:ind w:left="28"/>
              <w:rPr>
                <w:rFonts w:ascii="Times New Roman" w:eastAsia="PMingLiU" w:hAnsi="Times New Roman"/>
                <w:b/>
                <w:sz w:val="18"/>
                <w:szCs w:val="18"/>
              </w:rPr>
            </w:pPr>
          </w:p>
          <w:p w14:paraId="1E83441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2A </w:t>
            </w:r>
            <w:r>
              <w:rPr>
                <w:rFonts w:ascii="Times New Roman" w:hAnsi="Times New Roman"/>
                <w:bCs/>
                <w:sz w:val="18"/>
                <w:szCs w:val="18"/>
              </w:rPr>
              <w:t xml:space="preserve">(będące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2CD874A2" w14:textId="77777777" w:rsidR="001A0B09" w:rsidRDefault="001A0B09">
            <w:pPr>
              <w:spacing w:before="0" w:after="0"/>
              <w:ind w:left="28"/>
              <w:rPr>
                <w:rFonts w:ascii="Times New Roman" w:eastAsia="PMingLiU" w:hAnsi="Times New Roman"/>
                <w:sz w:val="18"/>
                <w:szCs w:val="18"/>
              </w:rPr>
            </w:pPr>
          </w:p>
        </w:tc>
      </w:tr>
      <w:tr w:rsidR="001A0B09" w14:paraId="45884FC4" w14:textId="77777777" w:rsidTr="0039321F">
        <w:tc>
          <w:tcPr>
            <w:tcW w:w="703" w:type="dxa"/>
            <w:shd w:val="clear" w:color="auto" w:fill="FFFFFF"/>
            <w:vAlign w:val="center"/>
          </w:tcPr>
          <w:p w14:paraId="0A4E683A" w14:textId="57931DE4" w:rsidR="001A0B09"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w tym: zabezpieczenie będące przedmiotem wymiany spełnia wymogi operacyjne</w:t>
            </w:r>
          </w:p>
          <w:p w14:paraId="305BF0F0" w14:textId="77777777" w:rsidR="001A0B09" w:rsidRDefault="001A0B09">
            <w:pPr>
              <w:spacing w:before="0" w:after="0"/>
              <w:ind w:left="28"/>
              <w:rPr>
                <w:rFonts w:ascii="Times New Roman" w:eastAsia="PMingLiU" w:hAnsi="Times New Roman"/>
                <w:b/>
                <w:bCs/>
                <w:sz w:val="18"/>
                <w:szCs w:val="18"/>
              </w:rPr>
            </w:pPr>
          </w:p>
          <w:p w14:paraId="5236FFFA"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1.3.7. instytucje kredytowe zgłaszają:</w:t>
            </w:r>
          </w:p>
          <w:p w14:paraId="2306FD07" w14:textId="77777777" w:rsidR="001A0B09" w:rsidRDefault="001A0B09">
            <w:pPr>
              <w:spacing w:before="0" w:after="0"/>
              <w:ind w:left="28"/>
              <w:rPr>
                <w:rFonts w:ascii="Times New Roman" w:hAnsi="Times New Roman"/>
                <w:sz w:val="18"/>
              </w:rPr>
            </w:pPr>
          </w:p>
          <w:p w14:paraId="5E25BBE6" w14:textId="77200E4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8A655E5" w14:textId="77777777" w:rsidR="001A0B09" w:rsidRDefault="001A0B09">
            <w:pPr>
              <w:spacing w:before="0" w:after="0"/>
              <w:ind w:left="748"/>
              <w:rPr>
                <w:rFonts w:ascii="Times New Roman" w:eastAsia="PMingLiU" w:hAnsi="Times New Roman"/>
                <w:b/>
                <w:bCs/>
                <w:sz w:val="18"/>
                <w:szCs w:val="18"/>
              </w:rPr>
            </w:pPr>
          </w:p>
          <w:p w14:paraId="503A2F3F" w14:textId="23D0CBE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633363CB" w14:textId="77777777" w:rsidR="001A0B09" w:rsidRDefault="001A0B09">
            <w:pPr>
              <w:spacing w:before="0" w:after="0"/>
              <w:ind w:left="28"/>
              <w:rPr>
                <w:rFonts w:ascii="Times New Roman" w:eastAsia="PMingLiU" w:hAnsi="Times New Roman"/>
                <w:b/>
                <w:bCs/>
                <w:sz w:val="18"/>
                <w:szCs w:val="18"/>
              </w:rPr>
            </w:pPr>
          </w:p>
        </w:tc>
      </w:tr>
      <w:tr w:rsidR="001A0B09" w14:paraId="3E08FA6F" w14:textId="77777777" w:rsidTr="0039321F">
        <w:tc>
          <w:tcPr>
            <w:tcW w:w="703" w:type="dxa"/>
            <w:shd w:val="clear" w:color="auto" w:fill="FFFFFF"/>
            <w:vAlign w:val="center"/>
          </w:tcPr>
          <w:p w14:paraId="1968F70F" w14:textId="41EE9C5A" w:rsidR="001A0B09"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aktywa niepłynne</w:t>
            </w:r>
          </w:p>
          <w:p w14:paraId="651DCE70" w14:textId="77777777" w:rsidR="001A0B09" w:rsidRDefault="001A0B09">
            <w:pPr>
              <w:spacing w:before="0" w:after="0"/>
              <w:ind w:left="28"/>
              <w:rPr>
                <w:rFonts w:ascii="Times New Roman" w:eastAsia="PMingLiU" w:hAnsi="Times New Roman"/>
                <w:b/>
                <w:sz w:val="18"/>
                <w:szCs w:val="18"/>
              </w:rPr>
            </w:pPr>
          </w:p>
          <w:p w14:paraId="43857D9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2A </w:t>
            </w:r>
            <w:r>
              <w:rPr>
                <w:rFonts w:ascii="Times New Roman" w:hAnsi="Times New Roman"/>
                <w:bCs/>
                <w:sz w:val="18"/>
                <w:szCs w:val="18"/>
              </w:rPr>
              <w:t>(będące przedmiotem udzielonej pożyczki) na aktywa niepłynne (będące przedmiotem zaciągniętej pożyczki).</w:t>
            </w:r>
          </w:p>
          <w:p w14:paraId="73311BEB" w14:textId="77777777" w:rsidR="001A0B09" w:rsidRDefault="001A0B09">
            <w:pPr>
              <w:spacing w:before="0" w:after="0"/>
              <w:ind w:left="28"/>
              <w:rPr>
                <w:rFonts w:ascii="Times New Roman" w:eastAsia="PMingLiU" w:hAnsi="Times New Roman"/>
                <w:sz w:val="18"/>
                <w:szCs w:val="18"/>
              </w:rPr>
            </w:pPr>
          </w:p>
        </w:tc>
      </w:tr>
      <w:tr w:rsidR="001A0B09" w14:paraId="03AFC67D" w14:textId="77777777" w:rsidTr="0039321F">
        <w:tc>
          <w:tcPr>
            <w:tcW w:w="703" w:type="dxa"/>
            <w:shd w:val="clear" w:color="auto" w:fill="auto"/>
            <w:vAlign w:val="center"/>
          </w:tcPr>
          <w:p w14:paraId="797C5C19" w14:textId="79F11171" w:rsidR="001A0B09"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1.3.8.1. w tym: zabezpieczenie będące przedmiotem wymiany spełnia wymogi operacyjne</w:t>
            </w:r>
          </w:p>
          <w:p w14:paraId="40A1DD84" w14:textId="77777777" w:rsidR="001A0B09" w:rsidRDefault="001A0B09">
            <w:pPr>
              <w:spacing w:before="0" w:after="0"/>
              <w:ind w:left="28"/>
              <w:rPr>
                <w:rFonts w:ascii="Times New Roman" w:eastAsia="PMingLiU" w:hAnsi="Times New Roman"/>
                <w:b/>
                <w:bCs/>
                <w:sz w:val="18"/>
                <w:szCs w:val="18"/>
              </w:rPr>
            </w:pPr>
          </w:p>
          <w:p w14:paraId="1CBBD823" w14:textId="4205B4F5" w:rsidR="001A0B09" w:rsidRDefault="00F71050">
            <w:pPr>
              <w:spacing w:before="0" w:after="0"/>
              <w:ind w:left="28"/>
              <w:rPr>
                <w:rFonts w:ascii="Times New Roman" w:hAnsi="Times New Roman"/>
                <w:sz w:val="18"/>
              </w:rPr>
            </w:pPr>
            <w:r>
              <w:rPr>
                <w:rFonts w:ascii="Times New Roman" w:hAnsi="Times New Roman"/>
                <w:sz w:val="18"/>
              </w:rPr>
              <w:t>Spośród transakcji w pozycji 1.3.8.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6D5F7F9E" w14:textId="77777777" w:rsidR="001A0B09" w:rsidRDefault="001A0B09">
            <w:pPr>
              <w:spacing w:before="0" w:after="0"/>
              <w:ind w:left="28"/>
              <w:rPr>
                <w:rFonts w:ascii="Times New Roman" w:eastAsia="PMingLiU" w:hAnsi="Times New Roman"/>
                <w:b/>
                <w:bCs/>
                <w:sz w:val="18"/>
                <w:szCs w:val="18"/>
              </w:rPr>
            </w:pPr>
          </w:p>
        </w:tc>
      </w:tr>
      <w:tr w:rsidR="001A0B09" w14:paraId="6A2BB691" w14:textId="77777777" w:rsidTr="0039321F">
        <w:tc>
          <w:tcPr>
            <w:tcW w:w="703" w:type="dxa"/>
            <w:shd w:val="clear" w:color="auto" w:fill="auto"/>
            <w:vAlign w:val="center"/>
          </w:tcPr>
          <w:p w14:paraId="095E6714" w14:textId="303719B5" w:rsidR="001A0B09"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Całkowite wartości transakcji, w których przedmiotem udzielonej pożyczki są aktywa poziomu 2B: papiery wartościowe zabezpieczone aktywami (kredyty na nieruchomości mieszkalne lub na zakup samochodów, CQS1), a przedmiotem zaciągniętej pożyczki są następujące rodzaje zabezpieczenia:</w:t>
            </w:r>
          </w:p>
          <w:p w14:paraId="2D44533C" w14:textId="77777777" w:rsidR="001A0B09" w:rsidRDefault="001A0B09">
            <w:pPr>
              <w:spacing w:before="0" w:after="0"/>
              <w:ind w:left="28"/>
              <w:rPr>
                <w:rFonts w:ascii="Times New Roman" w:eastAsia="PMingLiU" w:hAnsi="Times New Roman"/>
                <w:sz w:val="18"/>
                <w:szCs w:val="18"/>
              </w:rPr>
            </w:pPr>
          </w:p>
          <w:p w14:paraId="3139FF9C" w14:textId="6FFBF60A"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190FE335" w14:textId="77777777" w:rsidR="001A0B09" w:rsidRDefault="001A0B09">
            <w:pPr>
              <w:spacing w:before="0" w:after="0"/>
              <w:ind w:left="28"/>
              <w:rPr>
                <w:rFonts w:ascii="Times New Roman" w:eastAsia="PMingLiU" w:hAnsi="Times New Roman"/>
                <w:bCs/>
                <w:sz w:val="18"/>
                <w:szCs w:val="18"/>
              </w:rPr>
            </w:pPr>
          </w:p>
          <w:p w14:paraId="118C327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całkowite wartości transakcji zabezpieczających swap w ramach transakcji, w których przedmiotem udzielonej pożyczki są aktywa poziomu 2B w postaci papierów wartościowych zabezpieczonych (kredyty na nieruchomości mieszkalne lub na zakup samochodów, CQS1).</w:t>
            </w:r>
          </w:p>
          <w:p w14:paraId="4A779F6B" w14:textId="77777777" w:rsidR="001A0B09" w:rsidRDefault="001A0B09">
            <w:pPr>
              <w:spacing w:before="0" w:after="0"/>
              <w:ind w:left="28"/>
              <w:rPr>
                <w:rFonts w:ascii="Times New Roman" w:eastAsia="PMingLiU" w:hAnsi="Times New Roman"/>
                <w:bCs/>
                <w:sz w:val="18"/>
                <w:szCs w:val="18"/>
              </w:rPr>
            </w:pPr>
          </w:p>
        </w:tc>
      </w:tr>
      <w:tr w:rsidR="001A0B09" w14:paraId="2F0AD473" w14:textId="77777777" w:rsidTr="0039321F">
        <w:tc>
          <w:tcPr>
            <w:tcW w:w="703" w:type="dxa"/>
            <w:shd w:val="clear" w:color="auto" w:fill="FFFFFF"/>
            <w:vAlign w:val="center"/>
          </w:tcPr>
          <w:p w14:paraId="2A07CBB1" w14:textId="4CE1FFC2" w:rsidR="001A0B09" w:rsidRDefault="000F16AB">
            <w:pPr>
              <w:rPr>
                <w:rFonts w:ascii="Times New Roman" w:eastAsia="PMingLiU" w:hAnsi="Times New Roman"/>
                <w:sz w:val="18"/>
                <w:szCs w:val="18"/>
              </w:rPr>
            </w:pPr>
            <w:r>
              <w:rPr>
                <w:rFonts w:ascii="Times New Roman" w:hAnsi="Times New Roman"/>
                <w:sz w:val="18"/>
                <w:szCs w:val="18"/>
              </w:rPr>
              <w:lastRenderedPageBreak/>
              <w:t>0540</w:t>
            </w:r>
          </w:p>
        </w:tc>
        <w:tc>
          <w:tcPr>
            <w:tcW w:w="7371" w:type="dxa"/>
            <w:shd w:val="clear" w:color="auto" w:fill="FFFFFF"/>
          </w:tcPr>
          <w:p w14:paraId="081E182D"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aktywa poziomu 1 (z wyłączeniem obligacji zabezpieczonych charakteryzujących się wyjątkowo wysoką jakością)</w:t>
            </w:r>
          </w:p>
          <w:p w14:paraId="059225C8" w14:textId="77777777" w:rsidR="001A0B09"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Transakcje, w których instytucja zamieniła aktywa poziomu 2B w postaci papierów wartościowych zabezpieczonych aktywami (kredyty na nieruchomości mieszkalne lub na zakup samochodów, CQS1) (będące przedmiotem udzielonej pożyczki) na aktywa poziomu 1, z wyłączeniem obligacji zabezpieczonych charakteryzujących się wyjątkowo wysoką jakością, (będące przedmiotem zaciągniętej pożyczki).</w:t>
            </w:r>
          </w:p>
          <w:p w14:paraId="52C01C4F" w14:textId="77777777" w:rsidR="001A0B09" w:rsidRDefault="001A0B09">
            <w:pPr>
              <w:autoSpaceDE w:val="0"/>
              <w:autoSpaceDN w:val="0"/>
              <w:adjustRightInd w:val="0"/>
              <w:spacing w:before="0" w:after="0"/>
              <w:rPr>
                <w:rFonts w:ascii="Times New Roman" w:eastAsia="PMingLiU" w:hAnsi="Times New Roman"/>
                <w:b/>
                <w:sz w:val="18"/>
                <w:szCs w:val="18"/>
              </w:rPr>
            </w:pPr>
          </w:p>
        </w:tc>
      </w:tr>
      <w:tr w:rsidR="001A0B09" w14:paraId="6BB5E33A" w14:textId="77777777" w:rsidTr="0039321F">
        <w:tc>
          <w:tcPr>
            <w:tcW w:w="703" w:type="dxa"/>
            <w:shd w:val="clear" w:color="auto" w:fill="FFFFFF"/>
            <w:vAlign w:val="center"/>
          </w:tcPr>
          <w:p w14:paraId="4D84F9C5" w14:textId="151D8880" w:rsidR="001A0B09"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w tym: zabezpieczenie będące przedmiotem wymiany spełnia wymogi operacyjne</w:t>
            </w:r>
          </w:p>
          <w:p w14:paraId="173B8466" w14:textId="77777777" w:rsidR="001A0B09" w:rsidRDefault="001A0B09">
            <w:pPr>
              <w:spacing w:before="0" w:after="0"/>
              <w:ind w:left="28"/>
              <w:rPr>
                <w:rFonts w:ascii="Times New Roman" w:eastAsia="PMingLiU" w:hAnsi="Times New Roman"/>
                <w:b/>
                <w:bCs/>
                <w:sz w:val="18"/>
                <w:szCs w:val="18"/>
              </w:rPr>
            </w:pPr>
          </w:p>
          <w:p w14:paraId="61530583"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1.4.1. instytucje kredytowe zgłaszają:</w:t>
            </w:r>
          </w:p>
          <w:p w14:paraId="49074A5E" w14:textId="77777777" w:rsidR="001A0B09" w:rsidRDefault="001A0B09">
            <w:pPr>
              <w:spacing w:before="0" w:after="0"/>
              <w:ind w:left="28"/>
              <w:rPr>
                <w:rFonts w:ascii="Times New Roman" w:hAnsi="Times New Roman"/>
                <w:sz w:val="18"/>
              </w:rPr>
            </w:pPr>
          </w:p>
          <w:p w14:paraId="37BCDD27" w14:textId="0FF9E0B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37CF550" w14:textId="77777777" w:rsidR="001A0B09" w:rsidRDefault="001A0B09">
            <w:pPr>
              <w:spacing w:before="0" w:after="0"/>
              <w:ind w:left="748"/>
              <w:rPr>
                <w:rFonts w:ascii="Times New Roman" w:eastAsia="PMingLiU" w:hAnsi="Times New Roman"/>
                <w:b/>
                <w:bCs/>
                <w:sz w:val="18"/>
                <w:szCs w:val="18"/>
              </w:rPr>
            </w:pPr>
          </w:p>
          <w:p w14:paraId="4BDBD73A" w14:textId="002EC71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BDCABC1" w14:textId="77777777" w:rsidR="001A0B09" w:rsidRDefault="001A0B09">
            <w:pPr>
              <w:spacing w:before="0" w:after="0"/>
              <w:ind w:left="28"/>
              <w:rPr>
                <w:rFonts w:ascii="Times New Roman" w:eastAsia="PMingLiU" w:hAnsi="Times New Roman"/>
                <w:b/>
                <w:bCs/>
                <w:sz w:val="18"/>
                <w:szCs w:val="18"/>
              </w:rPr>
            </w:pPr>
          </w:p>
        </w:tc>
      </w:tr>
      <w:tr w:rsidR="001A0B09" w14:paraId="552437E4" w14:textId="77777777" w:rsidTr="0039321F">
        <w:tc>
          <w:tcPr>
            <w:tcW w:w="703" w:type="dxa"/>
            <w:shd w:val="clear" w:color="auto" w:fill="FFFFFF"/>
            <w:vAlign w:val="center"/>
          </w:tcPr>
          <w:p w14:paraId="3BDB194A" w14:textId="290A53DE" w:rsidR="001A0B09" w:rsidRDefault="000F16AB">
            <w:pPr>
              <w:rPr>
                <w:rFonts w:ascii="Times New Roman" w:eastAsia="PMingLiU" w:hAnsi="Times New Roman"/>
                <w:sz w:val="18"/>
                <w:szCs w:val="18"/>
              </w:rPr>
            </w:pPr>
            <w:r>
              <w:rPr>
                <w:rFonts w:ascii="Times New Roman" w:hAnsi="Times New Roman"/>
                <w:sz w:val="18"/>
                <w:szCs w:val="18"/>
              </w:rPr>
              <w:t>0560</w:t>
            </w:r>
          </w:p>
        </w:tc>
        <w:tc>
          <w:tcPr>
            <w:tcW w:w="7371" w:type="dxa"/>
            <w:shd w:val="clear" w:color="auto" w:fill="FFFFFF"/>
          </w:tcPr>
          <w:p w14:paraId="5F65F10A"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aktywa poziomu 1: obligacje zabezpieczone charakteryzujące się wyjątkowo wysoką jakością</w:t>
            </w:r>
          </w:p>
          <w:p w14:paraId="64DCFF92" w14:textId="77777777" w:rsidR="001A0B09" w:rsidRDefault="001A0B09">
            <w:pPr>
              <w:spacing w:before="0" w:after="0"/>
              <w:ind w:left="28"/>
              <w:rPr>
                <w:rFonts w:ascii="Times New Roman" w:eastAsia="PMingLiU" w:hAnsi="Times New Roman"/>
                <w:b/>
                <w:sz w:val="18"/>
                <w:szCs w:val="18"/>
              </w:rPr>
            </w:pPr>
          </w:p>
          <w:p w14:paraId="0D45764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w:t>
            </w:r>
            <w:r>
              <w:rPr>
                <w:rFonts w:ascii="Times New Roman" w:hAnsi="Times New Roman"/>
                <w:sz w:val="18"/>
                <w:szCs w:val="18"/>
              </w:rPr>
              <w:t xml:space="preserve">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(będące przedmiotem udzielonej pożyczki) na aktywa poziomu 1: obligacje zabezpieczone charakteryzujące się wyjątkowo wysoką jakością (będące przedmiotem zaciągniętej pożyczki).</w:t>
            </w:r>
          </w:p>
          <w:p w14:paraId="3CD86840" w14:textId="77777777" w:rsidR="001A0B09" w:rsidRDefault="001A0B09">
            <w:pPr>
              <w:spacing w:before="0" w:after="0"/>
              <w:ind w:left="28"/>
              <w:rPr>
                <w:rFonts w:ascii="Times New Roman" w:eastAsia="PMingLiU" w:hAnsi="Times New Roman"/>
                <w:szCs w:val="18"/>
              </w:rPr>
            </w:pPr>
          </w:p>
        </w:tc>
      </w:tr>
      <w:tr w:rsidR="001A0B09" w14:paraId="0E21FA2D" w14:textId="77777777" w:rsidTr="0039321F">
        <w:tc>
          <w:tcPr>
            <w:tcW w:w="703" w:type="dxa"/>
            <w:shd w:val="clear" w:color="auto" w:fill="FFFFFF"/>
            <w:vAlign w:val="center"/>
          </w:tcPr>
          <w:p w14:paraId="6980FB18" w14:textId="0C403C6D" w:rsidR="001A0B09"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w tym: zabezpieczenie będące przedmiotem wymiany spełnia wymogi operacyjne</w:t>
            </w:r>
          </w:p>
          <w:p w14:paraId="39AC4DCE" w14:textId="77777777" w:rsidR="001A0B09" w:rsidRDefault="001A0B09">
            <w:pPr>
              <w:spacing w:before="0" w:after="0"/>
              <w:ind w:left="28"/>
              <w:rPr>
                <w:rFonts w:ascii="Times New Roman" w:eastAsia="PMingLiU" w:hAnsi="Times New Roman"/>
                <w:b/>
                <w:bCs/>
                <w:sz w:val="18"/>
                <w:szCs w:val="18"/>
              </w:rPr>
            </w:pPr>
          </w:p>
          <w:p w14:paraId="2231B593"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1.4.2. instytucje kredytowe zgłaszają:</w:t>
            </w:r>
          </w:p>
          <w:p w14:paraId="680F84CB" w14:textId="77777777" w:rsidR="001A0B09" w:rsidRDefault="001A0B09">
            <w:pPr>
              <w:spacing w:before="0" w:after="0"/>
              <w:ind w:left="28"/>
              <w:rPr>
                <w:rFonts w:ascii="Times New Roman" w:hAnsi="Times New Roman"/>
                <w:sz w:val="18"/>
              </w:rPr>
            </w:pPr>
          </w:p>
          <w:p w14:paraId="36664905" w14:textId="5AA06F7A"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D0C2687" w14:textId="77777777" w:rsidR="001A0B09" w:rsidRDefault="001A0B09">
            <w:pPr>
              <w:spacing w:before="0" w:after="0"/>
              <w:ind w:left="748"/>
              <w:rPr>
                <w:rFonts w:ascii="Times New Roman" w:eastAsia="PMingLiU" w:hAnsi="Times New Roman"/>
                <w:b/>
                <w:bCs/>
                <w:sz w:val="18"/>
                <w:szCs w:val="18"/>
              </w:rPr>
            </w:pPr>
          </w:p>
          <w:p w14:paraId="262EB720" w14:textId="57E1823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6934154C" w14:textId="77777777" w:rsidR="001A0B09" w:rsidRDefault="001A0B09">
            <w:pPr>
              <w:spacing w:before="0" w:after="0"/>
              <w:ind w:left="28"/>
              <w:rPr>
                <w:rFonts w:ascii="Times New Roman" w:eastAsia="PMingLiU" w:hAnsi="Times New Roman"/>
                <w:b/>
                <w:bCs/>
                <w:sz w:val="18"/>
                <w:szCs w:val="18"/>
              </w:rPr>
            </w:pPr>
          </w:p>
        </w:tc>
      </w:tr>
      <w:tr w:rsidR="001A0B09" w14:paraId="2B9BEAA0" w14:textId="77777777" w:rsidTr="0039321F">
        <w:tc>
          <w:tcPr>
            <w:tcW w:w="703" w:type="dxa"/>
            <w:shd w:val="clear" w:color="auto" w:fill="FFFFFF"/>
            <w:vAlign w:val="center"/>
          </w:tcPr>
          <w:p w14:paraId="48874399" w14:textId="175ACDBC" w:rsidR="001A0B09"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aktywa poziomu 2A</w:t>
            </w:r>
          </w:p>
          <w:p w14:paraId="13B556DF" w14:textId="77777777" w:rsidR="001A0B09" w:rsidRDefault="001A0B09">
            <w:pPr>
              <w:spacing w:before="0" w:after="0"/>
              <w:ind w:left="28"/>
              <w:rPr>
                <w:rFonts w:ascii="Times New Roman" w:eastAsia="PMingLiU" w:hAnsi="Times New Roman"/>
                <w:b/>
                <w:sz w:val="18"/>
                <w:szCs w:val="18"/>
              </w:rPr>
            </w:pPr>
          </w:p>
          <w:p w14:paraId="2ED2761D"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(będące przedmiotem udzielonej pożyczki) na aktywa poziomu 2A (będące przedmiotem zaciągniętej pożyczki).</w:t>
            </w:r>
          </w:p>
          <w:p w14:paraId="5B0A0CDA" w14:textId="77777777" w:rsidR="001A0B09" w:rsidRDefault="001A0B09">
            <w:pPr>
              <w:spacing w:before="0" w:after="0"/>
              <w:ind w:left="28"/>
              <w:rPr>
                <w:rFonts w:ascii="Times New Roman" w:eastAsia="PMingLiU" w:hAnsi="Times New Roman"/>
                <w:szCs w:val="18"/>
              </w:rPr>
            </w:pPr>
          </w:p>
        </w:tc>
      </w:tr>
      <w:tr w:rsidR="001A0B09" w14:paraId="5C32A350" w14:textId="77777777" w:rsidTr="0039321F">
        <w:tc>
          <w:tcPr>
            <w:tcW w:w="703" w:type="dxa"/>
            <w:shd w:val="clear" w:color="auto" w:fill="FFFFFF"/>
            <w:vAlign w:val="center"/>
          </w:tcPr>
          <w:p w14:paraId="1784D764" w14:textId="11935840" w:rsidR="001A0B09"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w tym: zabezpieczenie będące przedmiotem wymiany spełnia wymogi operacyjne</w:t>
            </w:r>
          </w:p>
          <w:p w14:paraId="049AC2BC" w14:textId="77777777" w:rsidR="001A0B09" w:rsidRDefault="001A0B09">
            <w:pPr>
              <w:spacing w:before="0" w:after="0"/>
              <w:ind w:left="28"/>
              <w:rPr>
                <w:rFonts w:ascii="Times New Roman" w:eastAsia="PMingLiU" w:hAnsi="Times New Roman"/>
                <w:b/>
                <w:bCs/>
                <w:sz w:val="18"/>
                <w:szCs w:val="18"/>
              </w:rPr>
            </w:pPr>
          </w:p>
          <w:p w14:paraId="402D5547"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1.4.3. instytucje kredytowe zgłaszają:</w:t>
            </w:r>
          </w:p>
          <w:p w14:paraId="262D5A5D" w14:textId="77777777" w:rsidR="001A0B09" w:rsidRDefault="001A0B09">
            <w:pPr>
              <w:spacing w:before="0" w:after="0"/>
              <w:ind w:left="28"/>
              <w:rPr>
                <w:rFonts w:ascii="Times New Roman" w:hAnsi="Times New Roman"/>
                <w:sz w:val="18"/>
              </w:rPr>
            </w:pPr>
          </w:p>
          <w:p w14:paraId="34F065E5" w14:textId="73CBC80A"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581E04E" w14:textId="77777777" w:rsidR="001A0B09" w:rsidRDefault="001A0B09">
            <w:pPr>
              <w:spacing w:before="0" w:after="0"/>
              <w:ind w:left="748"/>
              <w:rPr>
                <w:rFonts w:ascii="Times New Roman" w:eastAsia="PMingLiU" w:hAnsi="Times New Roman"/>
                <w:b/>
                <w:bCs/>
                <w:sz w:val="18"/>
                <w:szCs w:val="18"/>
              </w:rPr>
            </w:pPr>
          </w:p>
          <w:p w14:paraId="6286C934" w14:textId="6BC610A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67E1CAEC" w14:textId="77777777" w:rsidR="001A0B09" w:rsidRDefault="001A0B09">
            <w:pPr>
              <w:spacing w:before="0" w:after="0"/>
              <w:ind w:left="28"/>
              <w:rPr>
                <w:rFonts w:ascii="Times New Roman" w:eastAsia="PMingLiU" w:hAnsi="Times New Roman"/>
                <w:b/>
                <w:bCs/>
                <w:sz w:val="18"/>
                <w:szCs w:val="18"/>
              </w:rPr>
            </w:pPr>
          </w:p>
        </w:tc>
      </w:tr>
      <w:tr w:rsidR="001A0B09" w14:paraId="37740BAE" w14:textId="77777777" w:rsidTr="0039321F">
        <w:tc>
          <w:tcPr>
            <w:tcW w:w="703" w:type="dxa"/>
            <w:shd w:val="clear" w:color="auto" w:fill="FFFFFF"/>
            <w:vAlign w:val="center"/>
          </w:tcPr>
          <w:p w14:paraId="1DB01D44" w14:textId="5CAD5681" w:rsidR="001A0B09"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aktywa poziomu 2B: papiery wartościowe zabezpieczone aktywami (kredyty na nieruchomości mieszkalne lub na zakup samochodów, CQS1)</w:t>
            </w:r>
          </w:p>
          <w:p w14:paraId="500ECDD5" w14:textId="77777777" w:rsidR="001A0B09" w:rsidRDefault="001A0B09">
            <w:pPr>
              <w:spacing w:before="0" w:after="0"/>
              <w:ind w:left="28"/>
              <w:rPr>
                <w:rFonts w:ascii="Times New Roman" w:eastAsia="PMingLiU" w:hAnsi="Times New Roman"/>
                <w:b/>
                <w:sz w:val="18"/>
                <w:szCs w:val="18"/>
              </w:rPr>
            </w:pPr>
          </w:p>
          <w:p w14:paraId="62FB32AD"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 xml:space="preserve">w postaci papierów wartościowych zabezpieczonych aktywami (kredyty na nieruchomości mieszkalne lub na zakup </w:t>
            </w:r>
            <w:r>
              <w:rPr>
                <w:rFonts w:ascii="Times New Roman" w:hAnsi="Times New Roman"/>
                <w:bCs/>
                <w:sz w:val="18"/>
                <w:szCs w:val="18"/>
              </w:rPr>
              <w:lastRenderedPageBreak/>
              <w:t>samochodów, CQS1)</w:t>
            </w:r>
            <w:r>
              <w:rPr>
                <w:rFonts w:ascii="Times New Roman" w:hAnsi="Times New Roman"/>
                <w:sz w:val="18"/>
                <w:szCs w:val="18"/>
              </w:rPr>
              <w:t xml:space="preserve"> </w:t>
            </w:r>
            <w:r>
              <w:rPr>
                <w:rFonts w:ascii="Times New Roman" w:hAnsi="Times New Roman"/>
                <w:bCs/>
                <w:sz w:val="18"/>
                <w:szCs w:val="18"/>
              </w:rPr>
              <w:t xml:space="preserve">(będące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59D40FEE" w14:textId="77777777" w:rsidR="001A0B09" w:rsidRDefault="001A0B09">
            <w:pPr>
              <w:spacing w:before="0" w:after="0"/>
              <w:ind w:left="28"/>
              <w:rPr>
                <w:rFonts w:ascii="Times New Roman" w:eastAsia="PMingLiU" w:hAnsi="Times New Roman"/>
                <w:szCs w:val="18"/>
              </w:rPr>
            </w:pPr>
          </w:p>
        </w:tc>
      </w:tr>
      <w:tr w:rsidR="001A0B09" w14:paraId="6F9158C5" w14:textId="77777777" w:rsidTr="0039321F">
        <w:tc>
          <w:tcPr>
            <w:tcW w:w="703" w:type="dxa"/>
            <w:shd w:val="clear" w:color="auto" w:fill="FFFFFF"/>
            <w:vAlign w:val="center"/>
          </w:tcPr>
          <w:p w14:paraId="79F0F377" w14:textId="00DC891B" w:rsidR="001A0B09" w:rsidRDefault="000F16AB">
            <w:pPr>
              <w:rPr>
                <w:rFonts w:ascii="Times New Roman" w:eastAsia="PMingLiU" w:hAnsi="Times New Roman"/>
                <w:sz w:val="18"/>
                <w:szCs w:val="18"/>
              </w:rPr>
            </w:pPr>
            <w:r>
              <w:rPr>
                <w:rFonts w:ascii="Times New Roman" w:hAnsi="Times New Roman"/>
                <w:sz w:val="18"/>
                <w:szCs w:val="18"/>
              </w:rPr>
              <w:lastRenderedPageBreak/>
              <w:t>0610</w:t>
            </w:r>
          </w:p>
        </w:tc>
        <w:tc>
          <w:tcPr>
            <w:tcW w:w="7371" w:type="dxa"/>
            <w:shd w:val="clear" w:color="auto" w:fill="FFFFFF"/>
          </w:tcPr>
          <w:p w14:paraId="2BB91398"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w tym: zabezpieczenie będące przedmiotem wymiany spełnia wymogi operacyjne</w:t>
            </w:r>
          </w:p>
          <w:p w14:paraId="76316F54" w14:textId="77777777" w:rsidR="001A0B09" w:rsidRDefault="001A0B09">
            <w:pPr>
              <w:spacing w:before="0" w:after="0"/>
              <w:ind w:left="28"/>
              <w:rPr>
                <w:rFonts w:ascii="Times New Roman" w:eastAsia="PMingLiU" w:hAnsi="Times New Roman"/>
                <w:b/>
                <w:bCs/>
                <w:sz w:val="18"/>
                <w:szCs w:val="18"/>
              </w:rPr>
            </w:pPr>
          </w:p>
          <w:p w14:paraId="6188E3CC"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1.4.4. instytucje kredytowe zgłaszają:</w:t>
            </w:r>
          </w:p>
          <w:p w14:paraId="5B97F3BB" w14:textId="77777777" w:rsidR="001A0B09" w:rsidRDefault="001A0B09">
            <w:pPr>
              <w:spacing w:before="0" w:after="0"/>
              <w:ind w:left="28"/>
              <w:rPr>
                <w:rFonts w:ascii="Times New Roman" w:hAnsi="Times New Roman"/>
                <w:sz w:val="18"/>
              </w:rPr>
            </w:pPr>
          </w:p>
          <w:p w14:paraId="6F6E38FA" w14:textId="0D39ADD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28CCC2C" w14:textId="77777777" w:rsidR="001A0B09" w:rsidRDefault="001A0B09">
            <w:pPr>
              <w:spacing w:before="0" w:after="0"/>
              <w:ind w:left="748"/>
              <w:rPr>
                <w:rFonts w:ascii="Times New Roman" w:eastAsia="PMingLiU" w:hAnsi="Times New Roman"/>
                <w:b/>
                <w:bCs/>
                <w:sz w:val="18"/>
                <w:szCs w:val="18"/>
              </w:rPr>
            </w:pPr>
          </w:p>
          <w:p w14:paraId="1E81AFD8" w14:textId="78CEF72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7043AEAF" w14:textId="77777777" w:rsidR="001A0B09" w:rsidRDefault="001A0B09">
            <w:pPr>
              <w:spacing w:before="0" w:after="0"/>
              <w:ind w:left="28"/>
              <w:rPr>
                <w:rFonts w:ascii="Times New Roman" w:eastAsia="PMingLiU" w:hAnsi="Times New Roman"/>
                <w:b/>
                <w:bCs/>
                <w:sz w:val="18"/>
                <w:szCs w:val="18"/>
              </w:rPr>
            </w:pPr>
          </w:p>
        </w:tc>
      </w:tr>
      <w:tr w:rsidR="001A0B09" w14:paraId="4EFA0AA1" w14:textId="77777777" w:rsidTr="0039321F">
        <w:tc>
          <w:tcPr>
            <w:tcW w:w="703" w:type="dxa"/>
            <w:shd w:val="clear" w:color="auto" w:fill="FFFFFF"/>
            <w:vAlign w:val="center"/>
          </w:tcPr>
          <w:p w14:paraId="36077EAB" w14:textId="2784760D" w:rsidR="001A0B09"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aktywa poziomu 2B: obligacje zabezpieczone charakteryzujące się wysoką jakością</w:t>
            </w:r>
          </w:p>
          <w:p w14:paraId="23DB941C" w14:textId="77777777" w:rsidR="001A0B09" w:rsidRDefault="001A0B09">
            <w:pPr>
              <w:spacing w:before="0" w:after="0"/>
              <w:ind w:left="28"/>
              <w:rPr>
                <w:rFonts w:ascii="Times New Roman" w:eastAsia="PMingLiU" w:hAnsi="Times New Roman"/>
                <w:b/>
                <w:sz w:val="18"/>
                <w:szCs w:val="18"/>
              </w:rPr>
            </w:pPr>
          </w:p>
          <w:p w14:paraId="39CDC4C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 (będące przedmiotem udzielonej pożyczki) na aktywa poziomu 2B w postaci obligacji zabezpieczonych charakteryzujących się wysoką jakością (będące przedmiotem zaciągniętej pożyczki).</w:t>
            </w:r>
          </w:p>
          <w:p w14:paraId="2602A82A" w14:textId="77777777" w:rsidR="001A0B09" w:rsidRDefault="001A0B09">
            <w:pPr>
              <w:spacing w:before="0" w:after="0"/>
              <w:ind w:left="28"/>
              <w:rPr>
                <w:rFonts w:ascii="Times New Roman" w:eastAsia="PMingLiU" w:hAnsi="Times New Roman"/>
                <w:sz w:val="18"/>
                <w:szCs w:val="18"/>
              </w:rPr>
            </w:pPr>
          </w:p>
        </w:tc>
      </w:tr>
      <w:tr w:rsidR="001A0B09" w14:paraId="6FA29643" w14:textId="77777777" w:rsidTr="0039321F">
        <w:tc>
          <w:tcPr>
            <w:tcW w:w="703" w:type="dxa"/>
            <w:shd w:val="clear" w:color="auto" w:fill="FFFFFF"/>
            <w:vAlign w:val="center"/>
          </w:tcPr>
          <w:p w14:paraId="6976A53E" w14:textId="1FB18EC4" w:rsidR="001A0B09"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1.4.5.1. w tym: zabezpieczenie będące przedmiotem wymiany spełnia wymogi operacyjne</w:t>
            </w:r>
          </w:p>
          <w:p w14:paraId="3EC687D1" w14:textId="77777777" w:rsidR="001A0B09" w:rsidRDefault="001A0B09">
            <w:pPr>
              <w:spacing w:before="0" w:after="0"/>
              <w:ind w:left="28"/>
              <w:rPr>
                <w:rFonts w:ascii="Times New Roman" w:eastAsia="PMingLiU" w:hAnsi="Times New Roman"/>
                <w:b/>
                <w:bCs/>
                <w:sz w:val="18"/>
                <w:szCs w:val="18"/>
              </w:rPr>
            </w:pPr>
          </w:p>
          <w:p w14:paraId="6155315E"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1.4.5. instytucje kredytowe zgłaszają:</w:t>
            </w:r>
          </w:p>
          <w:p w14:paraId="1C53D830" w14:textId="77777777" w:rsidR="001A0B09" w:rsidRDefault="001A0B09">
            <w:pPr>
              <w:spacing w:before="0" w:after="0"/>
              <w:ind w:left="28"/>
              <w:rPr>
                <w:rFonts w:ascii="Times New Roman" w:hAnsi="Times New Roman"/>
                <w:sz w:val="18"/>
              </w:rPr>
            </w:pPr>
          </w:p>
          <w:p w14:paraId="579978A3" w14:textId="2F231B23"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5B5DED4" w14:textId="77777777" w:rsidR="001A0B09" w:rsidRDefault="001A0B09">
            <w:pPr>
              <w:spacing w:before="0" w:after="0"/>
              <w:ind w:left="748"/>
              <w:rPr>
                <w:rFonts w:ascii="Times New Roman" w:eastAsia="PMingLiU" w:hAnsi="Times New Roman"/>
                <w:b/>
                <w:bCs/>
                <w:sz w:val="18"/>
                <w:szCs w:val="18"/>
              </w:rPr>
            </w:pPr>
          </w:p>
          <w:p w14:paraId="1D324E26" w14:textId="70D4D33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DECC732" w14:textId="77777777" w:rsidR="001A0B09" w:rsidRDefault="001A0B09">
            <w:pPr>
              <w:spacing w:before="0" w:after="0"/>
              <w:ind w:left="28"/>
              <w:rPr>
                <w:rFonts w:ascii="Times New Roman" w:eastAsia="PMingLiU" w:hAnsi="Times New Roman"/>
                <w:b/>
                <w:bCs/>
                <w:sz w:val="18"/>
                <w:szCs w:val="18"/>
              </w:rPr>
            </w:pPr>
          </w:p>
        </w:tc>
      </w:tr>
      <w:tr w:rsidR="001A0B09" w14:paraId="536FFCDE" w14:textId="77777777" w:rsidTr="0039321F">
        <w:tc>
          <w:tcPr>
            <w:tcW w:w="703" w:type="dxa"/>
            <w:shd w:val="clear" w:color="auto" w:fill="FFFFFF"/>
            <w:vAlign w:val="center"/>
          </w:tcPr>
          <w:p w14:paraId="4B6B8505" w14:textId="79BEC376" w:rsidR="001A0B09" w:rsidRDefault="000F16AB">
            <w:pPr>
              <w:rPr>
                <w:rFonts w:ascii="Times New Roman" w:eastAsia="PMingLiU" w:hAnsi="Times New Roman"/>
                <w:sz w:val="18"/>
                <w:szCs w:val="18"/>
              </w:rPr>
            </w:pPr>
            <w:r>
              <w:rPr>
                <w:rFonts w:ascii="Times New Roman" w:hAnsi="Times New Roman"/>
                <w:sz w:val="18"/>
                <w:szCs w:val="18"/>
              </w:rPr>
              <w:t>0640</w:t>
            </w:r>
          </w:p>
        </w:tc>
        <w:tc>
          <w:tcPr>
            <w:tcW w:w="7371" w:type="dxa"/>
            <w:shd w:val="clear" w:color="auto" w:fill="FFFFFF"/>
          </w:tcPr>
          <w:p w14:paraId="76DAF43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aktywa poziomu 2B: papiery wartościowe zabezpieczone aktywami (kredyty komercyjne lub dla osób fizycznych, państwo członkowskie, CQS1)</w:t>
            </w:r>
          </w:p>
          <w:p w14:paraId="48D8F026" w14:textId="77777777" w:rsidR="001A0B09" w:rsidRDefault="001A0B09">
            <w:pPr>
              <w:spacing w:before="0" w:after="0"/>
              <w:ind w:left="28"/>
              <w:rPr>
                <w:rFonts w:ascii="Times New Roman" w:eastAsia="PMingLiU" w:hAnsi="Times New Roman"/>
                <w:b/>
                <w:sz w:val="18"/>
                <w:szCs w:val="18"/>
              </w:rPr>
            </w:pPr>
          </w:p>
          <w:p w14:paraId="4581C4E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 xml:space="preserve">(będące przedmiotem udzielonej pożyczki) na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1E6CEA94" w14:textId="77777777" w:rsidR="001A0B09" w:rsidRDefault="001A0B09">
            <w:pPr>
              <w:spacing w:before="0" w:after="0"/>
              <w:ind w:left="28"/>
              <w:rPr>
                <w:rFonts w:ascii="Times New Roman" w:eastAsia="PMingLiU" w:hAnsi="Times New Roman"/>
                <w:sz w:val="18"/>
                <w:szCs w:val="18"/>
              </w:rPr>
            </w:pPr>
          </w:p>
        </w:tc>
      </w:tr>
      <w:tr w:rsidR="001A0B09" w14:paraId="36AE3B84" w14:textId="77777777" w:rsidTr="0039321F">
        <w:tc>
          <w:tcPr>
            <w:tcW w:w="703" w:type="dxa"/>
            <w:shd w:val="clear" w:color="auto" w:fill="FFFFFF"/>
            <w:vAlign w:val="center"/>
          </w:tcPr>
          <w:p w14:paraId="0A44A6F8" w14:textId="265D8EA7" w:rsidR="001A0B09"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w tym: zabezpieczenie będące przedmiotem wymiany spełnia wymogi operacyjne</w:t>
            </w:r>
          </w:p>
          <w:p w14:paraId="7CF24127" w14:textId="77777777" w:rsidR="001A0B09" w:rsidRDefault="001A0B09">
            <w:pPr>
              <w:spacing w:before="0" w:after="0"/>
              <w:ind w:left="28"/>
              <w:rPr>
                <w:rFonts w:ascii="Times New Roman" w:eastAsia="PMingLiU" w:hAnsi="Times New Roman"/>
                <w:b/>
                <w:bCs/>
                <w:sz w:val="18"/>
                <w:szCs w:val="18"/>
              </w:rPr>
            </w:pPr>
          </w:p>
          <w:p w14:paraId="74BA7E82"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1.4.6. instytucje kredytowe zgłaszają:</w:t>
            </w:r>
          </w:p>
          <w:p w14:paraId="31943F7B" w14:textId="77777777" w:rsidR="001A0B09" w:rsidRDefault="001A0B09">
            <w:pPr>
              <w:spacing w:before="0" w:after="0"/>
              <w:ind w:left="28"/>
              <w:rPr>
                <w:rFonts w:ascii="Times New Roman" w:hAnsi="Times New Roman"/>
                <w:sz w:val="18"/>
              </w:rPr>
            </w:pPr>
          </w:p>
          <w:p w14:paraId="1F542E13" w14:textId="685A191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B7840F3" w14:textId="77777777" w:rsidR="001A0B09" w:rsidRDefault="001A0B09">
            <w:pPr>
              <w:spacing w:before="0" w:after="0"/>
              <w:ind w:left="748"/>
              <w:rPr>
                <w:rFonts w:ascii="Times New Roman" w:eastAsia="PMingLiU" w:hAnsi="Times New Roman"/>
                <w:b/>
                <w:bCs/>
                <w:sz w:val="18"/>
                <w:szCs w:val="18"/>
              </w:rPr>
            </w:pPr>
          </w:p>
          <w:p w14:paraId="4F60B75E" w14:textId="5A11E88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C676C30" w14:textId="77777777" w:rsidR="001A0B09" w:rsidRDefault="001A0B09">
            <w:pPr>
              <w:spacing w:before="0" w:after="0"/>
              <w:ind w:left="28"/>
              <w:rPr>
                <w:rFonts w:ascii="Times New Roman" w:eastAsia="PMingLiU" w:hAnsi="Times New Roman"/>
                <w:b/>
                <w:bCs/>
                <w:sz w:val="18"/>
                <w:szCs w:val="18"/>
              </w:rPr>
            </w:pPr>
          </w:p>
        </w:tc>
      </w:tr>
      <w:tr w:rsidR="001A0B09" w14:paraId="3CEAD5EE" w14:textId="77777777" w:rsidTr="0039321F">
        <w:tc>
          <w:tcPr>
            <w:tcW w:w="703" w:type="dxa"/>
            <w:shd w:val="clear" w:color="auto" w:fill="FFFFFF"/>
            <w:vAlign w:val="center"/>
          </w:tcPr>
          <w:p w14:paraId="552DF4C5" w14:textId="6E365370" w:rsidR="001A0B09"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inne aktywa poziomu 2B</w:t>
            </w:r>
          </w:p>
          <w:p w14:paraId="1CFBE828" w14:textId="77777777" w:rsidR="001A0B09" w:rsidRDefault="001A0B09">
            <w:pPr>
              <w:spacing w:before="0" w:after="0"/>
              <w:ind w:left="28"/>
              <w:rPr>
                <w:rFonts w:ascii="Times New Roman" w:eastAsia="PMingLiU" w:hAnsi="Times New Roman"/>
                <w:b/>
                <w:sz w:val="18"/>
                <w:szCs w:val="18"/>
              </w:rPr>
            </w:pPr>
          </w:p>
          <w:p w14:paraId="0705FBB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 xml:space="preserve">(będące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0B970D6D" w14:textId="77777777" w:rsidR="001A0B09" w:rsidRDefault="001A0B09">
            <w:pPr>
              <w:spacing w:before="0" w:after="0"/>
              <w:ind w:left="28"/>
              <w:rPr>
                <w:rFonts w:ascii="Times New Roman" w:eastAsia="PMingLiU" w:hAnsi="Times New Roman"/>
                <w:sz w:val="18"/>
                <w:szCs w:val="18"/>
              </w:rPr>
            </w:pPr>
          </w:p>
        </w:tc>
      </w:tr>
      <w:tr w:rsidR="001A0B09" w14:paraId="13941043" w14:textId="77777777" w:rsidTr="0039321F">
        <w:tc>
          <w:tcPr>
            <w:tcW w:w="703" w:type="dxa"/>
            <w:shd w:val="clear" w:color="auto" w:fill="FFFFFF"/>
            <w:vAlign w:val="center"/>
          </w:tcPr>
          <w:p w14:paraId="181DE24E" w14:textId="352BE76D" w:rsidR="001A0B09"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w tym: zabezpieczenie będące przedmiotem wymiany spełnia wymogi operacyjne</w:t>
            </w:r>
          </w:p>
          <w:p w14:paraId="3209E3B5" w14:textId="77777777" w:rsidR="001A0B09" w:rsidRDefault="001A0B09">
            <w:pPr>
              <w:spacing w:before="0" w:after="0"/>
              <w:ind w:left="28"/>
              <w:rPr>
                <w:rFonts w:ascii="Times New Roman" w:eastAsia="PMingLiU" w:hAnsi="Times New Roman"/>
                <w:b/>
                <w:bCs/>
                <w:sz w:val="18"/>
                <w:szCs w:val="18"/>
              </w:rPr>
            </w:pPr>
          </w:p>
          <w:p w14:paraId="407155FE"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1.4.7. instytucje kredytowe zgłaszają:</w:t>
            </w:r>
          </w:p>
          <w:p w14:paraId="56FCD6CD" w14:textId="77777777" w:rsidR="001A0B09" w:rsidRDefault="001A0B09">
            <w:pPr>
              <w:spacing w:before="0" w:after="0"/>
              <w:ind w:left="28"/>
              <w:rPr>
                <w:rFonts w:ascii="Times New Roman" w:hAnsi="Times New Roman"/>
                <w:sz w:val="18"/>
              </w:rPr>
            </w:pPr>
          </w:p>
          <w:p w14:paraId="3CC95508" w14:textId="5D30729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2CFF697" w14:textId="77777777" w:rsidR="001A0B09" w:rsidRDefault="001A0B09">
            <w:pPr>
              <w:spacing w:before="0" w:after="0"/>
              <w:ind w:left="748"/>
              <w:rPr>
                <w:rFonts w:ascii="Times New Roman" w:eastAsia="PMingLiU" w:hAnsi="Times New Roman"/>
                <w:b/>
                <w:bCs/>
                <w:sz w:val="18"/>
                <w:szCs w:val="18"/>
              </w:rPr>
            </w:pPr>
          </w:p>
          <w:p w14:paraId="4F33BACC" w14:textId="26AA32E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0E9209F1" w14:textId="77777777" w:rsidR="001A0B09" w:rsidRDefault="001A0B09">
            <w:pPr>
              <w:spacing w:before="0" w:after="0"/>
              <w:ind w:left="28"/>
              <w:rPr>
                <w:rFonts w:ascii="Times New Roman" w:eastAsia="PMingLiU" w:hAnsi="Times New Roman"/>
                <w:b/>
                <w:bCs/>
                <w:sz w:val="18"/>
                <w:szCs w:val="18"/>
              </w:rPr>
            </w:pPr>
          </w:p>
        </w:tc>
      </w:tr>
      <w:tr w:rsidR="001A0B09" w14:paraId="55DA7CED" w14:textId="77777777" w:rsidTr="0039321F">
        <w:tc>
          <w:tcPr>
            <w:tcW w:w="703" w:type="dxa"/>
            <w:shd w:val="clear" w:color="auto" w:fill="FFFFFF"/>
            <w:vAlign w:val="center"/>
          </w:tcPr>
          <w:p w14:paraId="3240862D" w14:textId="7059FE43" w:rsidR="001A0B09" w:rsidRDefault="000F16AB">
            <w:pPr>
              <w:rPr>
                <w:rFonts w:ascii="Times New Roman" w:eastAsia="PMingLiU" w:hAnsi="Times New Roman"/>
                <w:sz w:val="18"/>
                <w:szCs w:val="18"/>
              </w:rPr>
            </w:pPr>
            <w:r>
              <w:rPr>
                <w:rFonts w:ascii="Times New Roman" w:hAnsi="Times New Roman"/>
                <w:sz w:val="18"/>
                <w:szCs w:val="18"/>
              </w:rPr>
              <w:lastRenderedPageBreak/>
              <w:t>0680</w:t>
            </w:r>
          </w:p>
        </w:tc>
        <w:tc>
          <w:tcPr>
            <w:tcW w:w="7371" w:type="dxa"/>
            <w:shd w:val="clear" w:color="auto" w:fill="FFFFFF"/>
          </w:tcPr>
          <w:p w14:paraId="706829C9"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aktywa niepłynne</w:t>
            </w:r>
          </w:p>
          <w:p w14:paraId="6718021F" w14:textId="77777777" w:rsidR="001A0B09" w:rsidRDefault="001A0B09">
            <w:pPr>
              <w:spacing w:before="0" w:after="0"/>
              <w:ind w:left="28"/>
              <w:rPr>
                <w:rFonts w:ascii="Times New Roman" w:eastAsia="PMingLiU" w:hAnsi="Times New Roman"/>
                <w:b/>
                <w:sz w:val="18"/>
                <w:szCs w:val="18"/>
              </w:rPr>
            </w:pPr>
          </w:p>
          <w:p w14:paraId="1F165414"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(będące przedmiotem udzielonej pożyczki) na aktywa niepłynne (będące przedmiotem zaciągniętej pożyczki).</w:t>
            </w:r>
          </w:p>
          <w:p w14:paraId="36A43D90" w14:textId="77777777" w:rsidR="001A0B09" w:rsidRDefault="001A0B09">
            <w:pPr>
              <w:spacing w:before="0" w:after="0"/>
              <w:ind w:left="28"/>
              <w:rPr>
                <w:rFonts w:ascii="Times New Roman" w:eastAsia="PMingLiU" w:hAnsi="Times New Roman"/>
                <w:sz w:val="18"/>
                <w:szCs w:val="18"/>
              </w:rPr>
            </w:pPr>
          </w:p>
        </w:tc>
      </w:tr>
      <w:tr w:rsidR="001A0B09" w14:paraId="7DDFC4FE" w14:textId="77777777" w:rsidTr="0039321F">
        <w:tc>
          <w:tcPr>
            <w:tcW w:w="703" w:type="dxa"/>
            <w:shd w:val="clear" w:color="auto" w:fill="auto"/>
            <w:vAlign w:val="center"/>
          </w:tcPr>
          <w:p w14:paraId="39F7721B" w14:textId="477C3CFC" w:rsidR="001A0B09"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1.4.8.1. w tym: zabezpieczenie będące przedmiotem wymiany spełnia wymogi operacyjne</w:t>
            </w:r>
          </w:p>
          <w:p w14:paraId="30580065" w14:textId="77777777" w:rsidR="001A0B09" w:rsidRDefault="001A0B09">
            <w:pPr>
              <w:spacing w:before="0" w:after="0"/>
              <w:ind w:left="28"/>
              <w:rPr>
                <w:rFonts w:ascii="Times New Roman" w:eastAsia="PMingLiU" w:hAnsi="Times New Roman"/>
                <w:b/>
                <w:bCs/>
                <w:sz w:val="18"/>
                <w:szCs w:val="18"/>
              </w:rPr>
            </w:pPr>
          </w:p>
          <w:p w14:paraId="3B13F364" w14:textId="2ED256FE" w:rsidR="001A0B09" w:rsidRDefault="00F71050">
            <w:pPr>
              <w:spacing w:before="0" w:after="0"/>
              <w:ind w:left="28"/>
              <w:rPr>
                <w:rFonts w:ascii="Times New Roman" w:hAnsi="Times New Roman"/>
                <w:sz w:val="18"/>
              </w:rPr>
            </w:pPr>
            <w:r>
              <w:rPr>
                <w:rFonts w:ascii="Times New Roman" w:hAnsi="Times New Roman"/>
                <w:sz w:val="18"/>
              </w:rPr>
              <w:t>Spośród transakcji w pozycji 1.4.8.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076D0EDC" w14:textId="77777777" w:rsidR="001A0B09" w:rsidRDefault="001A0B09">
            <w:pPr>
              <w:spacing w:before="0" w:after="0"/>
              <w:ind w:left="28"/>
              <w:rPr>
                <w:rFonts w:ascii="Times New Roman" w:eastAsia="PMingLiU" w:hAnsi="Times New Roman"/>
                <w:b/>
                <w:bCs/>
                <w:sz w:val="18"/>
                <w:szCs w:val="18"/>
              </w:rPr>
            </w:pPr>
          </w:p>
        </w:tc>
      </w:tr>
      <w:tr w:rsidR="001A0B09" w14:paraId="00FC0C2E" w14:textId="77777777" w:rsidTr="0039321F">
        <w:tc>
          <w:tcPr>
            <w:tcW w:w="703" w:type="dxa"/>
            <w:shd w:val="clear" w:color="auto" w:fill="auto"/>
            <w:vAlign w:val="center"/>
          </w:tcPr>
          <w:p w14:paraId="0C953186" w14:textId="043C7813" w:rsidR="001A0B09"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Całkowite wartości transakcji, w których przedmiotem udzielonej pożyczki są aktywa poziomu 2B: obligacje zabezpieczone charakteryzujące się wysoką jakością, a przedmiotem zaciągniętej pożyczki są następujące rodzaje zabezpieczenia:</w:t>
            </w:r>
          </w:p>
          <w:p w14:paraId="680A7C10" w14:textId="77777777" w:rsidR="001A0B09" w:rsidRDefault="001A0B09">
            <w:pPr>
              <w:spacing w:before="0" w:after="0"/>
              <w:ind w:left="28"/>
              <w:rPr>
                <w:rFonts w:ascii="Times New Roman" w:eastAsia="PMingLiU" w:hAnsi="Times New Roman"/>
                <w:sz w:val="18"/>
                <w:szCs w:val="18"/>
              </w:rPr>
            </w:pPr>
          </w:p>
          <w:p w14:paraId="75467276" w14:textId="56600B6A"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2AA2145A" w14:textId="77777777" w:rsidR="001A0B09" w:rsidRDefault="001A0B09">
            <w:pPr>
              <w:spacing w:before="0" w:after="0"/>
              <w:ind w:left="28"/>
              <w:rPr>
                <w:rFonts w:ascii="Times New Roman" w:eastAsia="PMingLiU" w:hAnsi="Times New Roman"/>
                <w:bCs/>
                <w:sz w:val="18"/>
                <w:szCs w:val="18"/>
              </w:rPr>
            </w:pPr>
          </w:p>
          <w:p w14:paraId="26F3815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całkowite wartości transakcji zabezpieczających swap w ramach transakcji, w których przedmiotem udzielonej pożyczki są aktywa poziomu 2B: obligacje zabezpieczone charakteryzujące się wysoką jakością.</w:t>
            </w:r>
          </w:p>
          <w:p w14:paraId="66B676E5" w14:textId="77777777" w:rsidR="001A0B09" w:rsidRDefault="001A0B09">
            <w:pPr>
              <w:spacing w:before="0" w:after="0"/>
              <w:ind w:left="28"/>
              <w:rPr>
                <w:rFonts w:ascii="Times New Roman" w:eastAsia="PMingLiU" w:hAnsi="Times New Roman"/>
                <w:sz w:val="18"/>
                <w:szCs w:val="18"/>
              </w:rPr>
            </w:pPr>
          </w:p>
        </w:tc>
      </w:tr>
      <w:tr w:rsidR="001A0B09" w14:paraId="519E74C1" w14:textId="77777777" w:rsidTr="0039321F">
        <w:tc>
          <w:tcPr>
            <w:tcW w:w="703" w:type="dxa"/>
            <w:shd w:val="clear" w:color="auto" w:fill="FFFFFF"/>
            <w:vAlign w:val="center"/>
          </w:tcPr>
          <w:p w14:paraId="606C0425" w14:textId="1ED7334B" w:rsidR="001A0B09"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aktywa poziomu 1 (z wyłączeniem obligacji zabezpieczonych charakteryzujących się wyjątkowo wysoką jakością)</w:t>
            </w:r>
          </w:p>
          <w:p w14:paraId="1E44DCBD" w14:textId="77777777" w:rsidR="001A0B09"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Transakcje, w których instytucja zamieniła </w:t>
            </w:r>
            <w:r>
              <w:rPr>
                <w:rFonts w:ascii="Times New Roman" w:hAnsi="Times New Roman"/>
                <w:bCs/>
                <w:sz w:val="18"/>
                <w:szCs w:val="18"/>
              </w:rPr>
              <w:t>aktywa poziomu 2B w postaci obligacji zabezpieczonych charakteryzujących się wysoką jakością</w:t>
            </w:r>
            <w:r>
              <w:rPr>
                <w:rFonts w:ascii="Times New Roman" w:hAnsi="Times New Roman"/>
                <w:sz w:val="18"/>
                <w:szCs w:val="18"/>
              </w:rPr>
              <w:t xml:space="preserve"> (będące przedmiotem udzielonej pożyczki) na aktywa poziomu 1, z wyłączeniem obligacji zabezpieczonych charakteryzujących się wyjątkowo wysoką jakością (będące przedmiotem zaciągniętej pożyczki).</w:t>
            </w:r>
          </w:p>
          <w:p w14:paraId="52D507F0" w14:textId="77777777" w:rsidR="001A0B09" w:rsidRDefault="001A0B09">
            <w:pPr>
              <w:spacing w:before="0" w:after="0"/>
              <w:ind w:left="28"/>
              <w:rPr>
                <w:rFonts w:ascii="Times New Roman" w:eastAsia="PMingLiU" w:hAnsi="Times New Roman"/>
                <w:sz w:val="18"/>
                <w:szCs w:val="18"/>
              </w:rPr>
            </w:pPr>
          </w:p>
        </w:tc>
      </w:tr>
      <w:tr w:rsidR="001A0B09" w14:paraId="554A6ABC" w14:textId="77777777" w:rsidTr="0039321F">
        <w:tc>
          <w:tcPr>
            <w:tcW w:w="703" w:type="dxa"/>
            <w:shd w:val="clear" w:color="auto" w:fill="FFFFFF"/>
            <w:vAlign w:val="center"/>
          </w:tcPr>
          <w:p w14:paraId="46F1DF8A" w14:textId="40D7752D" w:rsidR="001A0B09"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w tym: zabezpieczenie będące przedmiotem wymiany spełnia wymogi operacyjne</w:t>
            </w:r>
          </w:p>
          <w:p w14:paraId="144EE2A7" w14:textId="77777777" w:rsidR="001A0B09" w:rsidRDefault="001A0B09">
            <w:pPr>
              <w:spacing w:before="0" w:after="0"/>
              <w:ind w:left="28"/>
              <w:rPr>
                <w:rFonts w:ascii="Times New Roman" w:eastAsia="PMingLiU" w:hAnsi="Times New Roman"/>
                <w:b/>
                <w:bCs/>
                <w:sz w:val="18"/>
                <w:szCs w:val="18"/>
              </w:rPr>
            </w:pPr>
          </w:p>
          <w:p w14:paraId="3159E12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1.5.1. instytucje kredytowe zgłaszają:</w:t>
            </w:r>
          </w:p>
          <w:p w14:paraId="60208A9C" w14:textId="77777777" w:rsidR="001A0B09" w:rsidRDefault="001A0B09">
            <w:pPr>
              <w:spacing w:before="0" w:after="0"/>
              <w:ind w:left="28"/>
              <w:rPr>
                <w:rFonts w:ascii="Times New Roman" w:hAnsi="Times New Roman"/>
                <w:sz w:val="18"/>
              </w:rPr>
            </w:pPr>
          </w:p>
          <w:p w14:paraId="5B7267E6" w14:textId="283C088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F08CB9B" w14:textId="77777777" w:rsidR="001A0B09" w:rsidRDefault="001A0B09">
            <w:pPr>
              <w:spacing w:before="0" w:after="0"/>
              <w:ind w:left="748"/>
              <w:rPr>
                <w:rFonts w:ascii="Times New Roman" w:eastAsia="PMingLiU" w:hAnsi="Times New Roman"/>
                <w:b/>
                <w:bCs/>
                <w:sz w:val="18"/>
                <w:szCs w:val="18"/>
              </w:rPr>
            </w:pPr>
          </w:p>
          <w:p w14:paraId="1F77C61D" w14:textId="221FAE8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0F800FB" w14:textId="77777777" w:rsidR="001A0B09" w:rsidRDefault="001A0B09">
            <w:pPr>
              <w:spacing w:before="0" w:after="0"/>
              <w:ind w:left="28"/>
              <w:rPr>
                <w:rFonts w:ascii="Times New Roman" w:eastAsia="PMingLiU" w:hAnsi="Times New Roman"/>
                <w:b/>
                <w:bCs/>
                <w:sz w:val="18"/>
                <w:szCs w:val="18"/>
              </w:rPr>
            </w:pPr>
          </w:p>
        </w:tc>
      </w:tr>
      <w:tr w:rsidR="001A0B09" w14:paraId="45A34E72" w14:textId="77777777" w:rsidTr="0039321F">
        <w:tc>
          <w:tcPr>
            <w:tcW w:w="703" w:type="dxa"/>
            <w:shd w:val="clear" w:color="auto" w:fill="FFFFFF"/>
            <w:vAlign w:val="center"/>
          </w:tcPr>
          <w:p w14:paraId="22ED8810" w14:textId="24B70A47" w:rsidR="001A0B09" w:rsidRDefault="000F16AB">
            <w:pPr>
              <w:rPr>
                <w:rFonts w:ascii="Times New Roman" w:eastAsia="PMingLiU" w:hAnsi="Times New Roman"/>
                <w:sz w:val="18"/>
                <w:szCs w:val="18"/>
              </w:rPr>
            </w:pPr>
            <w:r>
              <w:rPr>
                <w:rFonts w:ascii="Times New Roman" w:hAnsi="Times New Roman"/>
                <w:sz w:val="18"/>
                <w:szCs w:val="18"/>
              </w:rPr>
              <w:t>0730</w:t>
            </w:r>
          </w:p>
        </w:tc>
        <w:tc>
          <w:tcPr>
            <w:tcW w:w="7371" w:type="dxa"/>
            <w:shd w:val="clear" w:color="auto" w:fill="FFFFFF"/>
          </w:tcPr>
          <w:p w14:paraId="0D89988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aktywa poziomu 1: obligacje zabezpieczone charakteryzujące się wyjątkowo wysoką jakością</w:t>
            </w:r>
          </w:p>
          <w:p w14:paraId="72ACDD76" w14:textId="77777777" w:rsidR="001A0B09" w:rsidRDefault="001A0B09">
            <w:pPr>
              <w:spacing w:before="0" w:after="0"/>
              <w:ind w:left="28"/>
              <w:rPr>
                <w:rFonts w:ascii="Times New Roman" w:eastAsia="PMingLiU" w:hAnsi="Times New Roman"/>
                <w:b/>
                <w:sz w:val="18"/>
                <w:szCs w:val="18"/>
              </w:rPr>
            </w:pPr>
          </w:p>
          <w:p w14:paraId="6CB8EC14"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(będące przedmiotem udzielonej pożyczki) na aktywa poziomu 1: obligacje zabezpieczone charakteryzujące się wyjątkowo wysoką jakością (będące przedmiotem zaciągniętej pożyczki).</w:t>
            </w:r>
          </w:p>
          <w:p w14:paraId="0D45B0FB" w14:textId="77777777" w:rsidR="001A0B09" w:rsidRDefault="001A0B09">
            <w:pPr>
              <w:spacing w:before="0" w:after="0"/>
              <w:ind w:left="28"/>
              <w:rPr>
                <w:rFonts w:ascii="Times New Roman" w:eastAsia="PMingLiU" w:hAnsi="Times New Roman"/>
                <w:sz w:val="18"/>
                <w:szCs w:val="18"/>
              </w:rPr>
            </w:pPr>
          </w:p>
        </w:tc>
      </w:tr>
      <w:tr w:rsidR="001A0B09" w14:paraId="4339346F" w14:textId="77777777" w:rsidTr="0039321F">
        <w:tc>
          <w:tcPr>
            <w:tcW w:w="703" w:type="dxa"/>
            <w:shd w:val="clear" w:color="auto" w:fill="FFFFFF"/>
            <w:vAlign w:val="center"/>
          </w:tcPr>
          <w:p w14:paraId="25054D46" w14:textId="1D1211D9" w:rsidR="001A0B09"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w tym: zabezpieczenie będące przedmiotem wymiany spełnia wymogi operacyjne</w:t>
            </w:r>
          </w:p>
          <w:p w14:paraId="53062C36" w14:textId="77777777" w:rsidR="001A0B09" w:rsidRDefault="001A0B09">
            <w:pPr>
              <w:spacing w:before="0" w:after="0"/>
              <w:ind w:left="28"/>
              <w:rPr>
                <w:rFonts w:ascii="Times New Roman" w:eastAsia="PMingLiU" w:hAnsi="Times New Roman"/>
                <w:b/>
                <w:bCs/>
                <w:sz w:val="18"/>
                <w:szCs w:val="18"/>
              </w:rPr>
            </w:pPr>
          </w:p>
          <w:p w14:paraId="2EDAE391"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1.5.2. instytucje kredytowe zgłaszają:</w:t>
            </w:r>
          </w:p>
          <w:p w14:paraId="1E590440" w14:textId="77777777" w:rsidR="001A0B09" w:rsidRDefault="001A0B09">
            <w:pPr>
              <w:spacing w:before="0" w:after="0"/>
              <w:ind w:left="28"/>
              <w:rPr>
                <w:rFonts w:ascii="Times New Roman" w:hAnsi="Times New Roman"/>
                <w:sz w:val="18"/>
              </w:rPr>
            </w:pPr>
          </w:p>
          <w:p w14:paraId="5804C52B" w14:textId="0AD407ED"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składnik zabezpieczenia będącego przedmiotem udzielonej pożyczki, który </w:t>
            </w:r>
            <w:r>
              <w:rPr>
                <w:rFonts w:ascii="Times New Roman" w:hAnsi="Times New Roman"/>
                <w:sz w:val="18"/>
              </w:rPr>
              <w:lastRenderedPageBreak/>
              <w:t>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A0CEC1F" w14:textId="77777777" w:rsidR="001A0B09" w:rsidRDefault="001A0B09">
            <w:pPr>
              <w:spacing w:before="0" w:after="0"/>
              <w:ind w:left="748"/>
              <w:rPr>
                <w:rFonts w:ascii="Times New Roman" w:eastAsia="PMingLiU" w:hAnsi="Times New Roman"/>
                <w:b/>
                <w:bCs/>
                <w:sz w:val="18"/>
                <w:szCs w:val="18"/>
              </w:rPr>
            </w:pPr>
          </w:p>
          <w:p w14:paraId="6CCB3182" w14:textId="6475AA1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A3736AC" w14:textId="77777777" w:rsidR="001A0B09" w:rsidRDefault="001A0B09">
            <w:pPr>
              <w:spacing w:before="0" w:after="0"/>
              <w:ind w:left="28"/>
              <w:rPr>
                <w:rFonts w:ascii="Times New Roman" w:eastAsia="PMingLiU" w:hAnsi="Times New Roman"/>
                <w:b/>
                <w:bCs/>
                <w:sz w:val="18"/>
                <w:szCs w:val="18"/>
              </w:rPr>
            </w:pPr>
          </w:p>
        </w:tc>
      </w:tr>
      <w:tr w:rsidR="001A0B09" w14:paraId="4D7C59D5" w14:textId="77777777" w:rsidTr="0039321F">
        <w:tc>
          <w:tcPr>
            <w:tcW w:w="703" w:type="dxa"/>
            <w:shd w:val="clear" w:color="auto" w:fill="FFFFFF"/>
            <w:vAlign w:val="center"/>
          </w:tcPr>
          <w:p w14:paraId="049D58E6" w14:textId="59437351" w:rsidR="001A0B09" w:rsidRDefault="000F16AB">
            <w:pPr>
              <w:rPr>
                <w:rFonts w:ascii="Times New Roman" w:eastAsia="PMingLiU" w:hAnsi="Times New Roman"/>
                <w:sz w:val="18"/>
                <w:szCs w:val="18"/>
              </w:rPr>
            </w:pPr>
            <w:r>
              <w:rPr>
                <w:rFonts w:ascii="Times New Roman" w:hAnsi="Times New Roman"/>
                <w:sz w:val="18"/>
                <w:szCs w:val="18"/>
              </w:rPr>
              <w:lastRenderedPageBreak/>
              <w:t>0750</w:t>
            </w:r>
          </w:p>
        </w:tc>
        <w:tc>
          <w:tcPr>
            <w:tcW w:w="7371" w:type="dxa"/>
            <w:shd w:val="clear" w:color="auto" w:fill="FFFFFF"/>
          </w:tcPr>
          <w:p w14:paraId="2368297A"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aktywa poziomu 2A</w:t>
            </w:r>
          </w:p>
          <w:p w14:paraId="6E0BF074" w14:textId="77777777" w:rsidR="001A0B09" w:rsidRDefault="001A0B09">
            <w:pPr>
              <w:spacing w:before="0" w:after="0"/>
              <w:ind w:left="28"/>
              <w:rPr>
                <w:rFonts w:ascii="Times New Roman" w:eastAsia="PMingLiU" w:hAnsi="Times New Roman"/>
                <w:b/>
                <w:sz w:val="18"/>
                <w:szCs w:val="18"/>
              </w:rPr>
            </w:pPr>
          </w:p>
          <w:p w14:paraId="5B1488C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(będące przedmiotem udzielonej pożyczki) na aktywa poziomu 2A (będące przedmiotem zaciągniętej pożyczki).</w:t>
            </w:r>
          </w:p>
          <w:p w14:paraId="3DCF1C45" w14:textId="77777777" w:rsidR="001A0B09" w:rsidRDefault="001A0B09">
            <w:pPr>
              <w:spacing w:before="0" w:after="0"/>
              <w:ind w:left="28"/>
              <w:rPr>
                <w:rFonts w:ascii="Times New Roman" w:eastAsia="PMingLiU" w:hAnsi="Times New Roman"/>
                <w:sz w:val="18"/>
                <w:szCs w:val="18"/>
              </w:rPr>
            </w:pPr>
          </w:p>
        </w:tc>
      </w:tr>
      <w:tr w:rsidR="001A0B09" w14:paraId="7C28E28D" w14:textId="77777777" w:rsidTr="0039321F">
        <w:tc>
          <w:tcPr>
            <w:tcW w:w="703" w:type="dxa"/>
            <w:shd w:val="clear" w:color="auto" w:fill="FFFFFF"/>
            <w:vAlign w:val="center"/>
          </w:tcPr>
          <w:p w14:paraId="368F2742" w14:textId="0BABE131" w:rsidR="001A0B09"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w tym: zabezpieczenie będące przedmiotem wymiany spełnia wymogi operacyjne</w:t>
            </w:r>
          </w:p>
          <w:p w14:paraId="6E2F73D1" w14:textId="77777777" w:rsidR="001A0B09" w:rsidRDefault="001A0B09">
            <w:pPr>
              <w:spacing w:before="0" w:after="0"/>
              <w:ind w:left="28"/>
              <w:rPr>
                <w:rFonts w:ascii="Times New Roman" w:eastAsia="PMingLiU" w:hAnsi="Times New Roman"/>
                <w:b/>
                <w:bCs/>
                <w:sz w:val="18"/>
                <w:szCs w:val="18"/>
              </w:rPr>
            </w:pPr>
          </w:p>
          <w:p w14:paraId="2D7B01FA"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1.5.3. instytucje kredytowe zgłaszają:</w:t>
            </w:r>
          </w:p>
          <w:p w14:paraId="6307A0C5" w14:textId="77777777" w:rsidR="001A0B09" w:rsidRDefault="001A0B09">
            <w:pPr>
              <w:spacing w:before="0" w:after="0"/>
              <w:ind w:left="28"/>
              <w:rPr>
                <w:rFonts w:ascii="Times New Roman" w:hAnsi="Times New Roman"/>
                <w:sz w:val="18"/>
              </w:rPr>
            </w:pPr>
          </w:p>
          <w:p w14:paraId="36AF9450" w14:textId="768D336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8D98660" w14:textId="77777777" w:rsidR="001A0B09" w:rsidRDefault="001A0B09">
            <w:pPr>
              <w:spacing w:before="0" w:after="0"/>
              <w:ind w:left="748"/>
              <w:rPr>
                <w:rFonts w:ascii="Times New Roman" w:eastAsia="PMingLiU" w:hAnsi="Times New Roman"/>
                <w:b/>
                <w:bCs/>
                <w:sz w:val="18"/>
                <w:szCs w:val="18"/>
              </w:rPr>
            </w:pPr>
          </w:p>
          <w:p w14:paraId="1C04C507" w14:textId="21F90654"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7E076133" w14:textId="77777777" w:rsidR="001A0B09" w:rsidRDefault="001A0B09">
            <w:pPr>
              <w:spacing w:before="0" w:after="0"/>
              <w:ind w:left="28"/>
              <w:rPr>
                <w:rFonts w:ascii="Times New Roman" w:eastAsia="PMingLiU" w:hAnsi="Times New Roman"/>
                <w:b/>
                <w:bCs/>
                <w:sz w:val="18"/>
                <w:szCs w:val="18"/>
              </w:rPr>
            </w:pPr>
          </w:p>
        </w:tc>
      </w:tr>
      <w:tr w:rsidR="001A0B09" w14:paraId="2EB1A264" w14:textId="77777777" w:rsidTr="0039321F">
        <w:tc>
          <w:tcPr>
            <w:tcW w:w="703" w:type="dxa"/>
            <w:shd w:val="clear" w:color="auto" w:fill="FFFFFF"/>
            <w:vAlign w:val="center"/>
          </w:tcPr>
          <w:p w14:paraId="47883355" w14:textId="5BEAC474" w:rsidR="001A0B09"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aktywa poziomu 2B: papiery wartościowe zabezpieczone aktywami (kredyty na nieruchomości mieszkalne lub na zakup samochodów, CQS1)</w:t>
            </w:r>
          </w:p>
          <w:p w14:paraId="054BE224" w14:textId="77777777" w:rsidR="001A0B09" w:rsidRDefault="001A0B09">
            <w:pPr>
              <w:spacing w:before="0" w:after="0"/>
              <w:ind w:left="28"/>
              <w:rPr>
                <w:rFonts w:ascii="Times New Roman" w:eastAsia="PMingLiU" w:hAnsi="Times New Roman"/>
                <w:b/>
                <w:sz w:val="18"/>
                <w:szCs w:val="18"/>
              </w:rPr>
            </w:pPr>
          </w:p>
          <w:p w14:paraId="4B2F20B8"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 xml:space="preserve">(będące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6A072209" w14:textId="77777777" w:rsidR="001A0B09" w:rsidRDefault="001A0B09">
            <w:pPr>
              <w:spacing w:before="0" w:after="0"/>
              <w:ind w:left="28"/>
              <w:rPr>
                <w:rFonts w:ascii="Times New Roman" w:eastAsia="PMingLiU" w:hAnsi="Times New Roman"/>
                <w:sz w:val="18"/>
                <w:szCs w:val="18"/>
              </w:rPr>
            </w:pPr>
          </w:p>
        </w:tc>
      </w:tr>
      <w:tr w:rsidR="001A0B09" w14:paraId="210E29FE" w14:textId="77777777" w:rsidTr="0039321F">
        <w:tc>
          <w:tcPr>
            <w:tcW w:w="703" w:type="dxa"/>
            <w:shd w:val="clear" w:color="auto" w:fill="FFFFFF"/>
            <w:vAlign w:val="center"/>
          </w:tcPr>
          <w:p w14:paraId="6FAF981D" w14:textId="587F840F" w:rsidR="001A0B09"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w tym: zabezpieczenie będące przedmiotem wymiany spełnia wymogi operacyjne</w:t>
            </w:r>
          </w:p>
          <w:p w14:paraId="3C9FD6CF" w14:textId="77777777" w:rsidR="001A0B09" w:rsidRDefault="001A0B09">
            <w:pPr>
              <w:spacing w:before="0" w:after="0"/>
              <w:ind w:left="28"/>
              <w:rPr>
                <w:rFonts w:ascii="Times New Roman" w:eastAsia="PMingLiU" w:hAnsi="Times New Roman"/>
                <w:b/>
                <w:bCs/>
                <w:sz w:val="18"/>
                <w:szCs w:val="18"/>
              </w:rPr>
            </w:pPr>
          </w:p>
          <w:p w14:paraId="5B009339"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1.5.4. instytucje kredytowe zgłaszają:</w:t>
            </w:r>
          </w:p>
          <w:p w14:paraId="401CCB3F" w14:textId="77777777" w:rsidR="001A0B09" w:rsidRDefault="001A0B09">
            <w:pPr>
              <w:spacing w:before="0" w:after="0"/>
              <w:ind w:left="28"/>
              <w:rPr>
                <w:rFonts w:ascii="Times New Roman" w:hAnsi="Times New Roman"/>
                <w:sz w:val="18"/>
              </w:rPr>
            </w:pPr>
          </w:p>
          <w:p w14:paraId="2BAE0C0D" w14:textId="35B30B5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F11123C" w14:textId="77777777" w:rsidR="001A0B09" w:rsidRDefault="001A0B09">
            <w:pPr>
              <w:spacing w:before="0" w:after="0"/>
              <w:ind w:left="748"/>
              <w:rPr>
                <w:rFonts w:ascii="Times New Roman" w:eastAsia="PMingLiU" w:hAnsi="Times New Roman"/>
                <w:b/>
                <w:bCs/>
                <w:sz w:val="18"/>
                <w:szCs w:val="18"/>
              </w:rPr>
            </w:pPr>
          </w:p>
          <w:p w14:paraId="5CF55486" w14:textId="30C78A6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AB87285" w14:textId="77777777" w:rsidR="001A0B09" w:rsidRDefault="001A0B09">
            <w:pPr>
              <w:spacing w:before="0" w:after="0"/>
              <w:ind w:left="28"/>
              <w:rPr>
                <w:rFonts w:ascii="Times New Roman" w:eastAsia="PMingLiU" w:hAnsi="Times New Roman"/>
                <w:b/>
                <w:bCs/>
                <w:sz w:val="18"/>
                <w:szCs w:val="18"/>
              </w:rPr>
            </w:pPr>
          </w:p>
        </w:tc>
      </w:tr>
      <w:tr w:rsidR="001A0B09" w14:paraId="75E89D50" w14:textId="77777777" w:rsidTr="0039321F">
        <w:tc>
          <w:tcPr>
            <w:tcW w:w="703" w:type="dxa"/>
            <w:shd w:val="clear" w:color="auto" w:fill="FFFFFF"/>
            <w:vAlign w:val="center"/>
          </w:tcPr>
          <w:p w14:paraId="376DA84D" w14:textId="2EFA1F33" w:rsidR="001A0B09"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aktywa poziomu 2B: obligacje zabezpieczone charakteryzujące się wysoką jakością</w:t>
            </w:r>
          </w:p>
          <w:p w14:paraId="621D5047" w14:textId="77777777" w:rsidR="001A0B09" w:rsidRDefault="001A0B09">
            <w:pPr>
              <w:spacing w:before="0" w:after="0"/>
              <w:ind w:left="28"/>
              <w:rPr>
                <w:rFonts w:ascii="Times New Roman" w:eastAsia="PMingLiU" w:hAnsi="Times New Roman"/>
                <w:b/>
                <w:sz w:val="18"/>
                <w:szCs w:val="18"/>
              </w:rPr>
            </w:pPr>
          </w:p>
          <w:p w14:paraId="199DA623"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 (będące przedmiotem udzielonej pożyczki) na aktywa poziomu 2B w postaci obligacji zabezpieczonych charakteryzujących się wysoką jakością (będące przedmiotem zaciągniętej pożyczki).</w:t>
            </w:r>
          </w:p>
          <w:p w14:paraId="4FFB473C" w14:textId="77777777" w:rsidR="001A0B09" w:rsidRDefault="001A0B09">
            <w:pPr>
              <w:spacing w:before="0" w:after="0"/>
              <w:ind w:left="28"/>
              <w:rPr>
                <w:rFonts w:ascii="Times New Roman" w:eastAsia="PMingLiU" w:hAnsi="Times New Roman"/>
                <w:sz w:val="18"/>
                <w:szCs w:val="18"/>
              </w:rPr>
            </w:pPr>
          </w:p>
        </w:tc>
      </w:tr>
      <w:tr w:rsidR="001A0B09" w14:paraId="76769E01" w14:textId="77777777" w:rsidTr="0039321F">
        <w:tc>
          <w:tcPr>
            <w:tcW w:w="703" w:type="dxa"/>
            <w:shd w:val="clear" w:color="auto" w:fill="FFFFFF"/>
            <w:vAlign w:val="center"/>
          </w:tcPr>
          <w:p w14:paraId="77E80211" w14:textId="4C8BA2A5" w:rsidR="001A0B09"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w tym: zabezpieczenie będące przedmiotem wymiany spełnia wymogi operacyjne</w:t>
            </w:r>
          </w:p>
          <w:p w14:paraId="28F96256" w14:textId="77777777" w:rsidR="001A0B09" w:rsidRDefault="001A0B09">
            <w:pPr>
              <w:spacing w:before="0" w:after="0"/>
              <w:ind w:left="28"/>
              <w:rPr>
                <w:rFonts w:ascii="Times New Roman" w:eastAsia="PMingLiU" w:hAnsi="Times New Roman"/>
                <w:b/>
                <w:bCs/>
                <w:sz w:val="18"/>
                <w:szCs w:val="18"/>
              </w:rPr>
            </w:pPr>
          </w:p>
          <w:p w14:paraId="023E3957"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1.5.5. instytucje kredytowe zgłaszają:</w:t>
            </w:r>
          </w:p>
          <w:p w14:paraId="282A65A5" w14:textId="77777777" w:rsidR="001A0B09" w:rsidRDefault="001A0B09">
            <w:pPr>
              <w:spacing w:before="0" w:after="0"/>
              <w:ind w:left="28"/>
              <w:rPr>
                <w:rFonts w:ascii="Times New Roman" w:hAnsi="Times New Roman"/>
                <w:sz w:val="18"/>
              </w:rPr>
            </w:pPr>
          </w:p>
          <w:p w14:paraId="7D8A36C5" w14:textId="68E3E13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A640D84" w14:textId="77777777" w:rsidR="001A0B09" w:rsidRDefault="001A0B09">
            <w:pPr>
              <w:spacing w:before="0" w:after="0"/>
              <w:ind w:left="748"/>
              <w:rPr>
                <w:rFonts w:ascii="Times New Roman" w:eastAsia="PMingLiU" w:hAnsi="Times New Roman"/>
                <w:b/>
                <w:bCs/>
                <w:sz w:val="18"/>
                <w:szCs w:val="18"/>
              </w:rPr>
            </w:pPr>
          </w:p>
          <w:p w14:paraId="2B6754CD" w14:textId="09451E8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362CF9C4" w14:textId="77777777" w:rsidR="001A0B09" w:rsidRDefault="001A0B09">
            <w:pPr>
              <w:spacing w:before="0" w:after="0"/>
              <w:ind w:left="28"/>
              <w:rPr>
                <w:rFonts w:ascii="Times New Roman" w:eastAsia="PMingLiU" w:hAnsi="Times New Roman"/>
                <w:b/>
                <w:bCs/>
                <w:sz w:val="18"/>
                <w:szCs w:val="18"/>
              </w:rPr>
            </w:pPr>
          </w:p>
        </w:tc>
      </w:tr>
      <w:tr w:rsidR="001A0B09" w14:paraId="77315643" w14:textId="77777777" w:rsidTr="0039321F">
        <w:tc>
          <w:tcPr>
            <w:tcW w:w="703" w:type="dxa"/>
            <w:shd w:val="clear" w:color="auto" w:fill="FFFFFF"/>
            <w:vAlign w:val="center"/>
          </w:tcPr>
          <w:p w14:paraId="3F988958" w14:textId="23EB79D9" w:rsidR="001A0B09" w:rsidRDefault="000F16AB">
            <w:pPr>
              <w:rPr>
                <w:rFonts w:ascii="Times New Roman" w:eastAsia="PMingLiU" w:hAnsi="Times New Roman"/>
                <w:sz w:val="18"/>
                <w:szCs w:val="18"/>
              </w:rPr>
            </w:pPr>
            <w:r>
              <w:rPr>
                <w:rFonts w:ascii="Times New Roman" w:hAnsi="Times New Roman"/>
                <w:sz w:val="18"/>
                <w:szCs w:val="18"/>
              </w:rPr>
              <w:t>0810</w:t>
            </w:r>
          </w:p>
        </w:tc>
        <w:tc>
          <w:tcPr>
            <w:tcW w:w="7371" w:type="dxa"/>
            <w:shd w:val="clear" w:color="auto" w:fill="FFFFFF"/>
          </w:tcPr>
          <w:p w14:paraId="59D9CDE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aktywa poziomu 2B: papiery wartościowe zabezpieczone aktywami (kredyty komercyjne lub dla osób fizycznych, państwo członkowskie, CQS1)</w:t>
            </w:r>
          </w:p>
          <w:p w14:paraId="13BD2E6D" w14:textId="77777777" w:rsidR="001A0B09" w:rsidRDefault="001A0B09">
            <w:pPr>
              <w:spacing w:before="0" w:after="0"/>
              <w:ind w:left="28"/>
              <w:rPr>
                <w:rFonts w:ascii="Times New Roman" w:eastAsia="PMingLiU" w:hAnsi="Times New Roman"/>
                <w:b/>
                <w:sz w:val="18"/>
                <w:szCs w:val="18"/>
              </w:rPr>
            </w:pPr>
          </w:p>
          <w:p w14:paraId="5BAAC9B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 xml:space="preserve">(będące przedmiotem udzielonej pożyczki) na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42093B36" w14:textId="77777777" w:rsidR="001A0B09" w:rsidRDefault="001A0B09">
            <w:pPr>
              <w:spacing w:before="0" w:after="0"/>
              <w:ind w:left="28"/>
              <w:rPr>
                <w:rFonts w:ascii="Times New Roman" w:eastAsia="PMingLiU" w:hAnsi="Times New Roman"/>
                <w:sz w:val="18"/>
                <w:szCs w:val="18"/>
              </w:rPr>
            </w:pPr>
          </w:p>
        </w:tc>
      </w:tr>
      <w:tr w:rsidR="001A0B09" w14:paraId="1B0CF941" w14:textId="77777777" w:rsidTr="0039321F">
        <w:tc>
          <w:tcPr>
            <w:tcW w:w="703" w:type="dxa"/>
            <w:shd w:val="clear" w:color="auto" w:fill="FFFFFF"/>
            <w:vAlign w:val="center"/>
          </w:tcPr>
          <w:p w14:paraId="3AC74BC4" w14:textId="1BAE2E82" w:rsidR="001A0B09" w:rsidRDefault="000F16AB">
            <w:pPr>
              <w:rPr>
                <w:rFonts w:ascii="Times New Roman" w:eastAsia="PMingLiU" w:hAnsi="Times New Roman"/>
                <w:sz w:val="18"/>
                <w:szCs w:val="18"/>
              </w:rPr>
            </w:pPr>
            <w:r>
              <w:rPr>
                <w:rFonts w:ascii="Times New Roman" w:hAnsi="Times New Roman"/>
                <w:sz w:val="18"/>
                <w:szCs w:val="18"/>
              </w:rPr>
              <w:lastRenderedPageBreak/>
              <w:t>0820</w:t>
            </w:r>
          </w:p>
        </w:tc>
        <w:tc>
          <w:tcPr>
            <w:tcW w:w="7371" w:type="dxa"/>
            <w:shd w:val="clear" w:color="auto" w:fill="FFFFFF"/>
          </w:tcPr>
          <w:p w14:paraId="0AB268C3"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w tym: zabezpieczenie będące przedmiotem wymiany spełnia wymogi operacyjne</w:t>
            </w:r>
          </w:p>
          <w:p w14:paraId="7969AA0C" w14:textId="77777777" w:rsidR="001A0B09" w:rsidRDefault="001A0B09">
            <w:pPr>
              <w:spacing w:before="0" w:after="0"/>
              <w:ind w:left="28"/>
              <w:rPr>
                <w:rFonts w:ascii="Times New Roman" w:eastAsia="PMingLiU" w:hAnsi="Times New Roman"/>
                <w:b/>
                <w:bCs/>
                <w:sz w:val="18"/>
                <w:szCs w:val="18"/>
              </w:rPr>
            </w:pPr>
          </w:p>
          <w:p w14:paraId="65AD8AD0"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1.5.6. instytucje kredytowe zgłaszają:</w:t>
            </w:r>
          </w:p>
          <w:p w14:paraId="4DB34286" w14:textId="77777777" w:rsidR="001A0B09" w:rsidRDefault="001A0B09">
            <w:pPr>
              <w:spacing w:before="0" w:after="0"/>
              <w:ind w:left="28"/>
              <w:rPr>
                <w:rFonts w:ascii="Times New Roman" w:hAnsi="Times New Roman"/>
                <w:sz w:val="18"/>
              </w:rPr>
            </w:pPr>
          </w:p>
          <w:p w14:paraId="710BFD45" w14:textId="6D1FAEA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400442A" w14:textId="77777777" w:rsidR="001A0B09" w:rsidRDefault="001A0B09">
            <w:pPr>
              <w:spacing w:before="0" w:after="0"/>
              <w:ind w:left="748"/>
              <w:rPr>
                <w:rFonts w:ascii="Times New Roman" w:eastAsia="PMingLiU" w:hAnsi="Times New Roman"/>
                <w:b/>
                <w:bCs/>
                <w:sz w:val="18"/>
                <w:szCs w:val="18"/>
              </w:rPr>
            </w:pPr>
          </w:p>
          <w:p w14:paraId="4943E217" w14:textId="737CEFD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C45564F" w14:textId="77777777" w:rsidR="001A0B09" w:rsidRDefault="001A0B09">
            <w:pPr>
              <w:spacing w:before="0" w:after="0"/>
              <w:ind w:left="28"/>
              <w:rPr>
                <w:rFonts w:ascii="Times New Roman" w:eastAsia="PMingLiU" w:hAnsi="Times New Roman"/>
                <w:b/>
                <w:bCs/>
                <w:sz w:val="18"/>
                <w:szCs w:val="18"/>
              </w:rPr>
            </w:pPr>
          </w:p>
        </w:tc>
      </w:tr>
      <w:tr w:rsidR="001A0B09" w14:paraId="782FC9CE" w14:textId="77777777" w:rsidTr="0039321F">
        <w:tc>
          <w:tcPr>
            <w:tcW w:w="703" w:type="dxa"/>
            <w:shd w:val="clear" w:color="auto" w:fill="FFFFFF"/>
            <w:vAlign w:val="center"/>
          </w:tcPr>
          <w:p w14:paraId="5BC3034F" w14:textId="043AFF4E" w:rsidR="001A0B09"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inne aktywa poziomu 2B</w:t>
            </w:r>
          </w:p>
          <w:p w14:paraId="6328814A" w14:textId="77777777" w:rsidR="001A0B09" w:rsidRDefault="001A0B09">
            <w:pPr>
              <w:spacing w:before="0" w:after="0"/>
              <w:ind w:left="28"/>
              <w:rPr>
                <w:rFonts w:ascii="Times New Roman" w:eastAsia="PMingLiU" w:hAnsi="Times New Roman"/>
                <w:b/>
                <w:sz w:val="18"/>
                <w:szCs w:val="18"/>
              </w:rPr>
            </w:pPr>
          </w:p>
          <w:p w14:paraId="23F4E121"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 xml:space="preserve">(będące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046D8263" w14:textId="77777777" w:rsidR="001A0B09" w:rsidRDefault="001A0B09">
            <w:pPr>
              <w:spacing w:before="0" w:after="0"/>
              <w:ind w:left="28"/>
              <w:rPr>
                <w:rFonts w:ascii="Times New Roman" w:eastAsia="PMingLiU" w:hAnsi="Times New Roman"/>
                <w:sz w:val="18"/>
                <w:szCs w:val="18"/>
              </w:rPr>
            </w:pPr>
          </w:p>
        </w:tc>
      </w:tr>
      <w:tr w:rsidR="001A0B09" w14:paraId="35A66D69" w14:textId="77777777" w:rsidTr="0039321F">
        <w:tc>
          <w:tcPr>
            <w:tcW w:w="703" w:type="dxa"/>
            <w:shd w:val="clear" w:color="auto" w:fill="FFFFFF"/>
            <w:vAlign w:val="center"/>
          </w:tcPr>
          <w:p w14:paraId="5C5DECBB" w14:textId="66611126" w:rsidR="001A0B09"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w tym: zabezpieczenie będące przedmiotem wymiany spełnia wymogi operacyjne</w:t>
            </w:r>
          </w:p>
          <w:p w14:paraId="7A48D5E9" w14:textId="77777777" w:rsidR="001A0B09" w:rsidRDefault="001A0B09">
            <w:pPr>
              <w:spacing w:before="0" w:after="0"/>
              <w:ind w:left="28"/>
              <w:rPr>
                <w:rFonts w:ascii="Times New Roman" w:eastAsia="PMingLiU" w:hAnsi="Times New Roman"/>
                <w:b/>
                <w:bCs/>
                <w:sz w:val="18"/>
                <w:szCs w:val="18"/>
              </w:rPr>
            </w:pPr>
          </w:p>
          <w:p w14:paraId="57434135"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1.5.7. instytucje kredytowe zgłaszają:</w:t>
            </w:r>
          </w:p>
          <w:p w14:paraId="4A2967F1" w14:textId="77777777" w:rsidR="001A0B09" w:rsidRDefault="001A0B09">
            <w:pPr>
              <w:spacing w:before="0" w:after="0"/>
              <w:ind w:left="28"/>
              <w:rPr>
                <w:rFonts w:ascii="Times New Roman" w:hAnsi="Times New Roman"/>
                <w:sz w:val="18"/>
              </w:rPr>
            </w:pPr>
          </w:p>
          <w:p w14:paraId="318572A7" w14:textId="17CC27D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78C2BEF" w14:textId="77777777" w:rsidR="001A0B09" w:rsidRDefault="001A0B09">
            <w:pPr>
              <w:spacing w:before="0" w:after="0"/>
              <w:ind w:left="748"/>
              <w:rPr>
                <w:rFonts w:ascii="Times New Roman" w:eastAsia="PMingLiU" w:hAnsi="Times New Roman"/>
                <w:b/>
                <w:bCs/>
                <w:sz w:val="18"/>
                <w:szCs w:val="18"/>
              </w:rPr>
            </w:pPr>
          </w:p>
          <w:p w14:paraId="077E63AB" w14:textId="0E20F83D"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6C2438E" w14:textId="77777777" w:rsidR="001A0B09" w:rsidRDefault="001A0B09">
            <w:pPr>
              <w:spacing w:before="0" w:after="0"/>
              <w:ind w:left="28"/>
              <w:rPr>
                <w:rFonts w:ascii="Times New Roman" w:eastAsia="PMingLiU" w:hAnsi="Times New Roman"/>
                <w:b/>
                <w:bCs/>
                <w:sz w:val="18"/>
                <w:szCs w:val="18"/>
              </w:rPr>
            </w:pPr>
          </w:p>
        </w:tc>
      </w:tr>
      <w:tr w:rsidR="001A0B09" w14:paraId="6AA4042F" w14:textId="77777777" w:rsidTr="0039321F">
        <w:tc>
          <w:tcPr>
            <w:tcW w:w="703" w:type="dxa"/>
            <w:shd w:val="clear" w:color="auto" w:fill="FFFFFF"/>
            <w:vAlign w:val="center"/>
          </w:tcPr>
          <w:p w14:paraId="4CC03248" w14:textId="34DBD963" w:rsidR="001A0B09"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aktywa niepłynne</w:t>
            </w:r>
          </w:p>
          <w:p w14:paraId="6987AFEC" w14:textId="77777777" w:rsidR="001A0B09" w:rsidRDefault="001A0B09">
            <w:pPr>
              <w:spacing w:before="0" w:after="0"/>
              <w:ind w:left="28"/>
              <w:rPr>
                <w:rFonts w:ascii="Times New Roman" w:eastAsia="PMingLiU" w:hAnsi="Times New Roman"/>
                <w:b/>
                <w:sz w:val="18"/>
                <w:szCs w:val="18"/>
              </w:rPr>
            </w:pPr>
          </w:p>
          <w:p w14:paraId="1574CF72"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(będące przedmiotem udzielonej pożyczki) na aktywa niepłynne (będące przedmiotem zaciągniętej pożyczki).</w:t>
            </w:r>
          </w:p>
          <w:p w14:paraId="3D4712AB" w14:textId="77777777" w:rsidR="001A0B09" w:rsidRDefault="001A0B09">
            <w:pPr>
              <w:spacing w:before="0" w:after="0"/>
              <w:ind w:left="28"/>
              <w:rPr>
                <w:rFonts w:ascii="Times New Roman" w:eastAsia="PMingLiU" w:hAnsi="Times New Roman"/>
                <w:sz w:val="18"/>
                <w:szCs w:val="18"/>
              </w:rPr>
            </w:pPr>
          </w:p>
        </w:tc>
      </w:tr>
      <w:tr w:rsidR="001A0B09" w14:paraId="611B8BBB" w14:textId="77777777" w:rsidTr="0039321F">
        <w:tc>
          <w:tcPr>
            <w:tcW w:w="703" w:type="dxa"/>
            <w:shd w:val="clear" w:color="auto" w:fill="auto"/>
            <w:vAlign w:val="center"/>
          </w:tcPr>
          <w:p w14:paraId="314165A7" w14:textId="712F8B18" w:rsidR="001A0B09"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1.5.8.1. w tym: zabezpieczenie będące przedmiotem wymiany spełnia wymogi operacyjne</w:t>
            </w:r>
          </w:p>
          <w:p w14:paraId="64207003" w14:textId="77777777" w:rsidR="001A0B09" w:rsidRDefault="001A0B09">
            <w:pPr>
              <w:spacing w:before="0" w:after="0"/>
              <w:ind w:left="28"/>
              <w:rPr>
                <w:rFonts w:ascii="Times New Roman" w:eastAsia="PMingLiU" w:hAnsi="Times New Roman"/>
                <w:b/>
                <w:bCs/>
                <w:sz w:val="18"/>
                <w:szCs w:val="18"/>
              </w:rPr>
            </w:pPr>
          </w:p>
          <w:p w14:paraId="4B760AA4" w14:textId="2840C325" w:rsidR="001A0B09" w:rsidRDefault="00F71050">
            <w:pPr>
              <w:spacing w:before="0" w:after="0"/>
              <w:ind w:left="28"/>
              <w:rPr>
                <w:rFonts w:ascii="Times New Roman" w:hAnsi="Times New Roman"/>
                <w:sz w:val="18"/>
              </w:rPr>
            </w:pPr>
            <w:r>
              <w:rPr>
                <w:rFonts w:ascii="Times New Roman" w:hAnsi="Times New Roman"/>
                <w:sz w:val="18"/>
              </w:rPr>
              <w:t>Spośród transakcji w pozycji 1.5.8.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0A831078" w14:textId="77777777" w:rsidR="001A0B09" w:rsidRDefault="001A0B09">
            <w:pPr>
              <w:spacing w:before="0" w:after="0"/>
              <w:ind w:left="28"/>
              <w:rPr>
                <w:rFonts w:ascii="Times New Roman" w:eastAsia="PMingLiU" w:hAnsi="Times New Roman"/>
                <w:b/>
                <w:bCs/>
                <w:sz w:val="18"/>
                <w:szCs w:val="18"/>
              </w:rPr>
            </w:pPr>
          </w:p>
        </w:tc>
      </w:tr>
      <w:tr w:rsidR="001A0B09" w14:paraId="29CE22B0" w14:textId="77777777" w:rsidTr="0039321F">
        <w:tc>
          <w:tcPr>
            <w:tcW w:w="703" w:type="dxa"/>
            <w:shd w:val="clear" w:color="auto" w:fill="auto"/>
            <w:vAlign w:val="center"/>
          </w:tcPr>
          <w:p w14:paraId="78CC715A" w14:textId="47F819A5" w:rsidR="001A0B09"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Całkowite wartości transakcji, w których przedmiotem udzielonej pożyczki są aktywa poziomu 2B: papiery wartościowe zabezpieczone aktywami (kredyty komercyjne lub dla osób fizycznych, państwo członkowskie, CQS1), a przedmiotem zaciągniętej pożyczki są następujące rodzaje zabezpieczenia:</w:t>
            </w:r>
          </w:p>
          <w:p w14:paraId="7833B95E" w14:textId="77777777" w:rsidR="001A0B09" w:rsidRDefault="001A0B09">
            <w:pPr>
              <w:spacing w:before="0" w:after="0"/>
              <w:ind w:left="28"/>
              <w:rPr>
                <w:rFonts w:ascii="Times New Roman" w:eastAsia="PMingLiU" w:hAnsi="Times New Roman"/>
                <w:sz w:val="18"/>
                <w:szCs w:val="18"/>
              </w:rPr>
            </w:pPr>
          </w:p>
          <w:p w14:paraId="735B377E" w14:textId="578B3264"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0D6CCFCB" w14:textId="77777777" w:rsidR="001A0B09" w:rsidRDefault="001A0B09">
            <w:pPr>
              <w:spacing w:before="0" w:after="0"/>
              <w:ind w:left="28"/>
              <w:rPr>
                <w:rFonts w:ascii="Times New Roman" w:eastAsia="PMingLiU" w:hAnsi="Times New Roman"/>
                <w:bCs/>
                <w:sz w:val="18"/>
                <w:szCs w:val="18"/>
              </w:rPr>
            </w:pPr>
          </w:p>
          <w:p w14:paraId="226C4B55" w14:textId="77777777" w:rsidR="001A0B09"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W tej sekcji instytucje kredytowe zgłaszają, w odniesieniu do odpowiednich kolumn, całkowite wartości transakcji zabezpieczających swap </w:t>
            </w:r>
            <w:r>
              <w:rPr>
                <w:rFonts w:ascii="Times New Roman" w:hAnsi="Times New Roman"/>
                <w:sz w:val="18"/>
                <w:szCs w:val="18"/>
              </w:rPr>
              <w:t>w ramach transakcji, w których przedmiotem udzielonej pożyczki są aktywa poziomu 2B: papiery wartościowe zabezpieczone aktywami (kredyty komercyjne lub dla osób fizycznych, państwo członkowskie, CQS1).</w:t>
            </w:r>
          </w:p>
          <w:p w14:paraId="2F92B247" w14:textId="77777777" w:rsidR="001A0B09" w:rsidRDefault="001A0B09">
            <w:pPr>
              <w:spacing w:before="0" w:after="0"/>
              <w:ind w:left="28"/>
              <w:rPr>
                <w:rFonts w:ascii="Times New Roman" w:eastAsia="PMingLiU" w:hAnsi="Times New Roman"/>
                <w:sz w:val="18"/>
                <w:szCs w:val="18"/>
              </w:rPr>
            </w:pPr>
          </w:p>
        </w:tc>
      </w:tr>
      <w:tr w:rsidR="001A0B09" w14:paraId="5E105E28" w14:textId="77777777" w:rsidTr="0039321F">
        <w:tc>
          <w:tcPr>
            <w:tcW w:w="703" w:type="dxa"/>
            <w:shd w:val="clear" w:color="auto" w:fill="FFFFFF"/>
            <w:vAlign w:val="center"/>
          </w:tcPr>
          <w:p w14:paraId="64158C0F" w14:textId="13FCA796" w:rsidR="001A0B09"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aktywa poziomu 1 (z wyłączeniem obligacji zabezpieczonych charakteryzujących się wyjątkowo wysoką jakością)</w:t>
            </w:r>
          </w:p>
          <w:p w14:paraId="1F03E462" w14:textId="77777777" w:rsidR="001A0B0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bCs/>
                <w:sz w:val="18"/>
              </w:rPr>
              <w:t xml:space="preserve">aktywa poziomu 2B: papiery wartościowe zabezpieczone aktywami (kredyty komercyjne lub dla osób fizycznych, państwo członkowskie, </w:t>
            </w:r>
            <w:r>
              <w:rPr>
                <w:rFonts w:ascii="Times New Roman" w:hAnsi="Times New Roman"/>
                <w:bCs/>
                <w:sz w:val="18"/>
              </w:rPr>
              <w:lastRenderedPageBreak/>
              <w:t>CQS1)</w:t>
            </w:r>
            <w:r>
              <w:rPr>
                <w:rFonts w:ascii="Times New Roman" w:hAnsi="Times New Roman"/>
                <w:bCs/>
                <w:sz w:val="18"/>
                <w:szCs w:val="18"/>
              </w:rPr>
              <w:t xml:space="preserve"> (będące przedmiotem udzielonej pożyczki) na aktywa poziomu 1, z wyłączeniem obligacji zabezpieczonych charakteryzujących się wyjątkowo wysoką jakością (będące przedmiotem zaciągniętej pożyczki).</w:t>
            </w:r>
          </w:p>
          <w:p w14:paraId="735D5199" w14:textId="77777777" w:rsidR="001A0B09" w:rsidRDefault="001A0B09">
            <w:pPr>
              <w:autoSpaceDE w:val="0"/>
              <w:autoSpaceDN w:val="0"/>
              <w:adjustRightInd w:val="0"/>
              <w:spacing w:before="0" w:after="0"/>
              <w:ind w:left="184"/>
              <w:rPr>
                <w:rFonts w:ascii="Times New Roman" w:eastAsia="PMingLiU" w:hAnsi="Times New Roman"/>
                <w:sz w:val="18"/>
                <w:szCs w:val="18"/>
              </w:rPr>
            </w:pPr>
          </w:p>
        </w:tc>
      </w:tr>
      <w:tr w:rsidR="001A0B09" w14:paraId="787C97F5" w14:textId="77777777" w:rsidTr="0039321F">
        <w:tc>
          <w:tcPr>
            <w:tcW w:w="703" w:type="dxa"/>
            <w:shd w:val="clear" w:color="auto" w:fill="FFFFFF"/>
            <w:vAlign w:val="center"/>
          </w:tcPr>
          <w:p w14:paraId="34F8FCDF" w14:textId="5EB5D465" w:rsidR="001A0B09" w:rsidRDefault="00AD7441">
            <w:pPr>
              <w:rPr>
                <w:rFonts w:ascii="Times New Roman" w:eastAsia="PMingLiU" w:hAnsi="Times New Roman"/>
                <w:sz w:val="18"/>
                <w:szCs w:val="18"/>
              </w:rPr>
            </w:pPr>
            <w:r>
              <w:rPr>
                <w:rFonts w:ascii="Times New Roman" w:hAnsi="Times New Roman"/>
                <w:sz w:val="18"/>
                <w:szCs w:val="18"/>
              </w:rPr>
              <w:lastRenderedPageBreak/>
              <w:t>0890</w:t>
            </w:r>
          </w:p>
        </w:tc>
        <w:tc>
          <w:tcPr>
            <w:tcW w:w="7371" w:type="dxa"/>
            <w:shd w:val="clear" w:color="auto" w:fill="FFFFFF"/>
          </w:tcPr>
          <w:p w14:paraId="4F09D6C5"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w tym: zabezpieczenie będące przedmiotem wymiany spełnia wymogi operacyjne</w:t>
            </w:r>
          </w:p>
          <w:p w14:paraId="478122A6" w14:textId="77777777" w:rsidR="001A0B09" w:rsidRDefault="001A0B09">
            <w:pPr>
              <w:spacing w:before="0" w:after="0"/>
              <w:ind w:left="28"/>
              <w:rPr>
                <w:rFonts w:ascii="Times New Roman" w:eastAsia="PMingLiU" w:hAnsi="Times New Roman"/>
                <w:b/>
                <w:bCs/>
                <w:sz w:val="18"/>
                <w:szCs w:val="18"/>
              </w:rPr>
            </w:pPr>
          </w:p>
          <w:p w14:paraId="401B2767"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1.6.1. instytucje kredytowe zgłaszają:</w:t>
            </w:r>
          </w:p>
          <w:p w14:paraId="6CC35FE0" w14:textId="77777777" w:rsidR="001A0B09" w:rsidRDefault="001A0B09">
            <w:pPr>
              <w:spacing w:before="0" w:after="0"/>
              <w:ind w:left="28"/>
              <w:rPr>
                <w:rFonts w:ascii="Times New Roman" w:hAnsi="Times New Roman"/>
                <w:sz w:val="18"/>
              </w:rPr>
            </w:pPr>
          </w:p>
          <w:p w14:paraId="1E41FCD4" w14:textId="2EFC4E3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48D0C95" w14:textId="77777777" w:rsidR="001A0B09" w:rsidRDefault="001A0B09">
            <w:pPr>
              <w:spacing w:before="0" w:after="0"/>
              <w:ind w:left="748"/>
              <w:rPr>
                <w:rFonts w:ascii="Times New Roman" w:eastAsia="PMingLiU" w:hAnsi="Times New Roman"/>
                <w:b/>
                <w:bCs/>
                <w:sz w:val="18"/>
                <w:szCs w:val="18"/>
              </w:rPr>
            </w:pPr>
          </w:p>
          <w:p w14:paraId="1228997B" w14:textId="205270C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3A94C5FF" w14:textId="77777777" w:rsidR="001A0B09" w:rsidRDefault="001A0B09">
            <w:pPr>
              <w:spacing w:before="0" w:after="0"/>
              <w:ind w:left="28"/>
              <w:rPr>
                <w:rFonts w:ascii="Times New Roman" w:eastAsia="PMingLiU" w:hAnsi="Times New Roman"/>
                <w:b/>
                <w:bCs/>
                <w:sz w:val="18"/>
                <w:szCs w:val="18"/>
              </w:rPr>
            </w:pPr>
          </w:p>
        </w:tc>
      </w:tr>
      <w:tr w:rsidR="001A0B09" w14:paraId="46E970EA" w14:textId="77777777" w:rsidTr="0039321F">
        <w:tc>
          <w:tcPr>
            <w:tcW w:w="703" w:type="dxa"/>
            <w:shd w:val="clear" w:color="auto" w:fill="FFFFFF"/>
            <w:vAlign w:val="center"/>
          </w:tcPr>
          <w:p w14:paraId="5EDE876A" w14:textId="00A21BA9" w:rsidR="001A0B09" w:rsidRDefault="00AD7441">
            <w:pPr>
              <w:rPr>
                <w:rFonts w:ascii="Times New Roman" w:eastAsia="PMingLiU" w:hAnsi="Times New Roman"/>
                <w:sz w:val="18"/>
                <w:szCs w:val="18"/>
              </w:rPr>
            </w:pPr>
            <w:r>
              <w:rPr>
                <w:rFonts w:ascii="Times New Roman" w:hAnsi="Times New Roman"/>
                <w:sz w:val="18"/>
                <w:szCs w:val="18"/>
              </w:rPr>
              <w:t>0900</w:t>
            </w:r>
          </w:p>
        </w:tc>
        <w:tc>
          <w:tcPr>
            <w:tcW w:w="7371" w:type="dxa"/>
            <w:shd w:val="clear" w:color="auto" w:fill="FFFFFF"/>
          </w:tcPr>
          <w:p w14:paraId="19FDDFA0"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aktywa poziomu 1: obligacje zabezpieczone charakteryzujące się wyjątkowo wysoką jakością</w:t>
            </w:r>
          </w:p>
          <w:p w14:paraId="3B78C91A" w14:textId="77777777" w:rsidR="001A0B09" w:rsidRDefault="001A0B09">
            <w:pPr>
              <w:spacing w:before="0" w:after="0"/>
              <w:ind w:left="28"/>
              <w:rPr>
                <w:rFonts w:ascii="Times New Roman" w:eastAsia="PMingLiU" w:hAnsi="Times New Roman"/>
                <w:b/>
                <w:sz w:val="18"/>
                <w:szCs w:val="18"/>
              </w:rPr>
            </w:pPr>
          </w:p>
          <w:p w14:paraId="23C7CB54"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aktywa poziomu 1: obligacje zabezpieczone charakteryzujące się wyjątkowo wysoką jakością (będące przedmiotem zaciągniętej pożyczki).</w:t>
            </w:r>
          </w:p>
          <w:p w14:paraId="42D02A09" w14:textId="77777777" w:rsidR="001A0B09" w:rsidRDefault="001A0B09">
            <w:pPr>
              <w:spacing w:before="0" w:after="0"/>
              <w:ind w:left="28"/>
              <w:rPr>
                <w:rFonts w:ascii="Times New Roman" w:eastAsia="PMingLiU" w:hAnsi="Times New Roman"/>
                <w:szCs w:val="18"/>
              </w:rPr>
            </w:pPr>
          </w:p>
        </w:tc>
      </w:tr>
      <w:tr w:rsidR="001A0B09" w14:paraId="0964E747" w14:textId="77777777" w:rsidTr="0039321F">
        <w:tc>
          <w:tcPr>
            <w:tcW w:w="703" w:type="dxa"/>
            <w:shd w:val="clear" w:color="auto" w:fill="FFFFFF"/>
            <w:vAlign w:val="center"/>
          </w:tcPr>
          <w:p w14:paraId="049D8C17" w14:textId="660BC443" w:rsidR="001A0B09"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w tym: zabezpieczenie będące przedmiotem wymiany spełnia wymogi operacyjne</w:t>
            </w:r>
          </w:p>
          <w:p w14:paraId="399CD9CB" w14:textId="77777777" w:rsidR="001A0B09" w:rsidRDefault="001A0B09">
            <w:pPr>
              <w:spacing w:before="0" w:after="0"/>
              <w:ind w:left="28"/>
              <w:rPr>
                <w:rFonts w:ascii="Times New Roman" w:eastAsia="PMingLiU" w:hAnsi="Times New Roman"/>
                <w:b/>
                <w:bCs/>
                <w:sz w:val="18"/>
                <w:szCs w:val="18"/>
              </w:rPr>
            </w:pPr>
          </w:p>
          <w:p w14:paraId="515C11E5"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1.6.2. instytucje kredytowe zgłaszają:</w:t>
            </w:r>
          </w:p>
          <w:p w14:paraId="54274D2A" w14:textId="77777777" w:rsidR="001A0B09" w:rsidRDefault="001A0B09">
            <w:pPr>
              <w:spacing w:before="0" w:after="0"/>
              <w:ind w:left="28"/>
              <w:rPr>
                <w:rFonts w:ascii="Times New Roman" w:hAnsi="Times New Roman"/>
                <w:sz w:val="18"/>
              </w:rPr>
            </w:pPr>
          </w:p>
          <w:p w14:paraId="02C82F56" w14:textId="141B56E4"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4CC9902" w14:textId="77777777" w:rsidR="001A0B09" w:rsidRDefault="001A0B09">
            <w:pPr>
              <w:spacing w:before="0" w:after="0"/>
              <w:ind w:left="748"/>
              <w:rPr>
                <w:rFonts w:ascii="Times New Roman" w:eastAsia="PMingLiU" w:hAnsi="Times New Roman"/>
                <w:b/>
                <w:bCs/>
                <w:sz w:val="18"/>
                <w:szCs w:val="18"/>
              </w:rPr>
            </w:pPr>
          </w:p>
          <w:p w14:paraId="4816C65C" w14:textId="1499F06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CC47FBB" w14:textId="77777777" w:rsidR="001A0B09" w:rsidRDefault="001A0B09">
            <w:pPr>
              <w:spacing w:before="0" w:after="0"/>
              <w:ind w:left="28"/>
              <w:rPr>
                <w:rFonts w:ascii="Times New Roman" w:eastAsia="PMingLiU" w:hAnsi="Times New Roman"/>
                <w:b/>
                <w:bCs/>
                <w:sz w:val="18"/>
                <w:szCs w:val="18"/>
              </w:rPr>
            </w:pPr>
          </w:p>
        </w:tc>
      </w:tr>
      <w:tr w:rsidR="001A0B09" w14:paraId="75A8554C" w14:textId="77777777" w:rsidTr="0039321F">
        <w:tc>
          <w:tcPr>
            <w:tcW w:w="703" w:type="dxa"/>
            <w:shd w:val="clear" w:color="auto" w:fill="FFFFFF"/>
            <w:vAlign w:val="center"/>
          </w:tcPr>
          <w:p w14:paraId="7F094710" w14:textId="6C751C13" w:rsidR="001A0B09"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aktywa poziomu 2A</w:t>
            </w:r>
          </w:p>
          <w:p w14:paraId="461BFF34" w14:textId="77777777" w:rsidR="001A0B09" w:rsidRDefault="001A0B09">
            <w:pPr>
              <w:spacing w:before="0" w:after="0"/>
              <w:ind w:left="28"/>
              <w:rPr>
                <w:rFonts w:ascii="Times New Roman" w:eastAsia="PMingLiU" w:hAnsi="Times New Roman"/>
                <w:b/>
                <w:sz w:val="18"/>
                <w:szCs w:val="18"/>
              </w:rPr>
            </w:pPr>
          </w:p>
          <w:p w14:paraId="3B1A3BA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(oparte na kredytach przedsiębiorstw lub osób fizycznych, państwo członkowskie, CQS1)</w:t>
            </w:r>
            <w:r>
              <w:rPr>
                <w:rFonts w:ascii="Times New Roman" w:hAnsi="Times New Roman"/>
                <w:bCs/>
                <w:sz w:val="18"/>
                <w:szCs w:val="18"/>
              </w:rPr>
              <w:t xml:space="preserve"> (będące przedmiotem udzielonej pożyczki) na aktywa poziomu 2A (będące przedmiotem zaciągniętej pożyczki).</w:t>
            </w:r>
          </w:p>
          <w:p w14:paraId="786FD76C" w14:textId="77777777" w:rsidR="001A0B09" w:rsidRDefault="001A0B09">
            <w:pPr>
              <w:spacing w:before="0" w:after="0"/>
              <w:ind w:left="28"/>
              <w:rPr>
                <w:rFonts w:ascii="Times New Roman" w:eastAsia="PMingLiU" w:hAnsi="Times New Roman"/>
                <w:szCs w:val="18"/>
              </w:rPr>
            </w:pPr>
          </w:p>
        </w:tc>
      </w:tr>
      <w:tr w:rsidR="001A0B09" w14:paraId="6F90C2AA" w14:textId="77777777" w:rsidTr="0039321F">
        <w:tc>
          <w:tcPr>
            <w:tcW w:w="703" w:type="dxa"/>
            <w:shd w:val="clear" w:color="auto" w:fill="FFFFFF"/>
            <w:vAlign w:val="center"/>
          </w:tcPr>
          <w:p w14:paraId="55DD499B" w14:textId="63C2F31F" w:rsidR="001A0B09"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w tym: zabezpieczenie będące przedmiotem wymiany spełnia wymogi operacyjne</w:t>
            </w:r>
          </w:p>
          <w:p w14:paraId="152A7D10" w14:textId="77777777" w:rsidR="001A0B09" w:rsidRDefault="001A0B09">
            <w:pPr>
              <w:spacing w:before="0" w:after="0"/>
              <w:ind w:left="28"/>
              <w:rPr>
                <w:rFonts w:ascii="Times New Roman" w:eastAsia="PMingLiU" w:hAnsi="Times New Roman"/>
                <w:b/>
                <w:bCs/>
                <w:sz w:val="18"/>
                <w:szCs w:val="18"/>
              </w:rPr>
            </w:pPr>
          </w:p>
          <w:p w14:paraId="1A0C8A8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1.6.3. instytucje kredytowe zgłaszają:</w:t>
            </w:r>
          </w:p>
          <w:p w14:paraId="6E2B5454" w14:textId="77777777" w:rsidR="001A0B09" w:rsidRDefault="001A0B09">
            <w:pPr>
              <w:spacing w:before="0" w:after="0"/>
              <w:ind w:left="28"/>
              <w:rPr>
                <w:rFonts w:ascii="Times New Roman" w:hAnsi="Times New Roman"/>
                <w:sz w:val="18"/>
              </w:rPr>
            </w:pPr>
          </w:p>
          <w:p w14:paraId="0F4EFAF4" w14:textId="7B40576D"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3FE0D6C" w14:textId="77777777" w:rsidR="001A0B09" w:rsidRDefault="001A0B09">
            <w:pPr>
              <w:spacing w:before="0" w:after="0"/>
              <w:ind w:left="748"/>
              <w:rPr>
                <w:rFonts w:ascii="Times New Roman" w:eastAsia="PMingLiU" w:hAnsi="Times New Roman"/>
                <w:b/>
                <w:bCs/>
                <w:sz w:val="18"/>
                <w:szCs w:val="18"/>
              </w:rPr>
            </w:pPr>
          </w:p>
          <w:p w14:paraId="2455DD93" w14:textId="6E66DDC4"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0D22151D" w14:textId="77777777" w:rsidR="001A0B09" w:rsidRDefault="001A0B09">
            <w:pPr>
              <w:spacing w:before="0" w:after="0"/>
              <w:ind w:left="28"/>
              <w:rPr>
                <w:rFonts w:ascii="Times New Roman" w:eastAsia="PMingLiU" w:hAnsi="Times New Roman"/>
                <w:b/>
                <w:bCs/>
                <w:sz w:val="18"/>
                <w:szCs w:val="18"/>
              </w:rPr>
            </w:pPr>
          </w:p>
        </w:tc>
      </w:tr>
      <w:tr w:rsidR="001A0B09" w14:paraId="5D23388C" w14:textId="77777777" w:rsidTr="0039321F">
        <w:tc>
          <w:tcPr>
            <w:tcW w:w="703" w:type="dxa"/>
            <w:shd w:val="clear" w:color="auto" w:fill="FFFFFF"/>
            <w:vAlign w:val="center"/>
          </w:tcPr>
          <w:p w14:paraId="1F88D864" w14:textId="48F5CD98" w:rsidR="001A0B09"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aktywa poziomu 2B: papiery wartościowe zabezpieczone aktywami (kredyty na nieruchomości mieszkalne lub na zakup samochodów, CQS1)</w:t>
            </w:r>
          </w:p>
          <w:p w14:paraId="01CD5F22" w14:textId="77777777" w:rsidR="001A0B09" w:rsidRDefault="001A0B09">
            <w:pPr>
              <w:spacing w:before="0" w:after="0"/>
              <w:ind w:left="28"/>
              <w:rPr>
                <w:rFonts w:ascii="Times New Roman" w:eastAsia="PMingLiU" w:hAnsi="Times New Roman"/>
                <w:b/>
                <w:sz w:val="18"/>
                <w:szCs w:val="18"/>
              </w:rPr>
            </w:pPr>
          </w:p>
          <w:p w14:paraId="3EC74EA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7F222CF2" w14:textId="77777777" w:rsidR="001A0B09" w:rsidRDefault="001A0B09">
            <w:pPr>
              <w:spacing w:before="0" w:after="0"/>
              <w:ind w:left="28"/>
              <w:rPr>
                <w:rFonts w:ascii="Times New Roman" w:eastAsia="PMingLiU" w:hAnsi="Times New Roman"/>
                <w:szCs w:val="18"/>
              </w:rPr>
            </w:pPr>
          </w:p>
        </w:tc>
      </w:tr>
      <w:tr w:rsidR="001A0B09" w14:paraId="4D1CD2C1" w14:textId="77777777" w:rsidTr="0039321F">
        <w:tc>
          <w:tcPr>
            <w:tcW w:w="703" w:type="dxa"/>
            <w:shd w:val="clear" w:color="auto" w:fill="FFFFFF"/>
            <w:vAlign w:val="center"/>
          </w:tcPr>
          <w:p w14:paraId="2B3D3DC9" w14:textId="18DD1830" w:rsidR="001A0B09"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w tym: zabezpieczenie będące przedmiotem wymiany spełnia wymogi operacyjne</w:t>
            </w:r>
          </w:p>
          <w:p w14:paraId="02201B7E" w14:textId="77777777" w:rsidR="001A0B09" w:rsidRDefault="001A0B09">
            <w:pPr>
              <w:spacing w:before="0" w:after="0"/>
              <w:ind w:left="28"/>
              <w:rPr>
                <w:rFonts w:ascii="Times New Roman" w:eastAsia="PMingLiU" w:hAnsi="Times New Roman"/>
                <w:b/>
                <w:bCs/>
                <w:sz w:val="18"/>
                <w:szCs w:val="18"/>
              </w:rPr>
            </w:pPr>
          </w:p>
          <w:p w14:paraId="24CB6154"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1.6.4. instytucje kredytowe zgłaszają:</w:t>
            </w:r>
          </w:p>
          <w:p w14:paraId="2961A1F8" w14:textId="77777777" w:rsidR="001A0B09" w:rsidRDefault="001A0B09">
            <w:pPr>
              <w:spacing w:before="0" w:after="0"/>
              <w:ind w:left="28"/>
              <w:rPr>
                <w:rFonts w:ascii="Times New Roman" w:hAnsi="Times New Roman"/>
                <w:sz w:val="18"/>
              </w:rPr>
            </w:pPr>
          </w:p>
          <w:p w14:paraId="218F7865" w14:textId="4487C68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80A713E" w14:textId="77777777" w:rsidR="001A0B09" w:rsidRDefault="001A0B09">
            <w:pPr>
              <w:spacing w:before="0" w:after="0"/>
              <w:ind w:left="748"/>
              <w:rPr>
                <w:rFonts w:ascii="Times New Roman" w:eastAsia="PMingLiU" w:hAnsi="Times New Roman"/>
                <w:b/>
                <w:bCs/>
                <w:sz w:val="18"/>
                <w:szCs w:val="18"/>
              </w:rPr>
            </w:pPr>
          </w:p>
          <w:p w14:paraId="63A713FD" w14:textId="27D8CDF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BB6C128" w14:textId="77777777" w:rsidR="001A0B09" w:rsidRDefault="001A0B09">
            <w:pPr>
              <w:spacing w:before="0" w:after="0"/>
              <w:ind w:left="28"/>
              <w:rPr>
                <w:rFonts w:ascii="Times New Roman" w:eastAsia="PMingLiU" w:hAnsi="Times New Roman"/>
                <w:b/>
                <w:bCs/>
                <w:sz w:val="18"/>
                <w:szCs w:val="18"/>
              </w:rPr>
            </w:pPr>
          </w:p>
        </w:tc>
      </w:tr>
      <w:tr w:rsidR="001A0B09" w14:paraId="49EC672A" w14:textId="77777777" w:rsidTr="0039321F">
        <w:tc>
          <w:tcPr>
            <w:tcW w:w="703" w:type="dxa"/>
            <w:shd w:val="clear" w:color="auto" w:fill="FFFFFF"/>
            <w:vAlign w:val="center"/>
          </w:tcPr>
          <w:p w14:paraId="65CE0AEE" w14:textId="74F5A65A" w:rsidR="001A0B09" w:rsidRDefault="00AD7441">
            <w:pPr>
              <w:rPr>
                <w:rFonts w:ascii="Times New Roman" w:eastAsia="PMingLiU" w:hAnsi="Times New Roman"/>
                <w:sz w:val="18"/>
                <w:szCs w:val="18"/>
              </w:rPr>
            </w:pPr>
            <w:r>
              <w:rPr>
                <w:rFonts w:ascii="Times New Roman" w:hAnsi="Times New Roman"/>
                <w:sz w:val="18"/>
                <w:szCs w:val="18"/>
              </w:rPr>
              <w:lastRenderedPageBreak/>
              <w:t>0960</w:t>
            </w:r>
          </w:p>
        </w:tc>
        <w:tc>
          <w:tcPr>
            <w:tcW w:w="7371" w:type="dxa"/>
            <w:shd w:val="clear" w:color="auto" w:fill="FFFFFF"/>
          </w:tcPr>
          <w:p w14:paraId="2C863DFB"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aktywa poziomu 2B: obligacje zabezpieczone charakteryzujące się wysoką jakością</w:t>
            </w:r>
          </w:p>
          <w:p w14:paraId="350480C7" w14:textId="77777777" w:rsidR="001A0B09" w:rsidRDefault="001A0B09">
            <w:pPr>
              <w:spacing w:before="0" w:after="0"/>
              <w:ind w:left="28"/>
              <w:rPr>
                <w:rFonts w:ascii="Times New Roman" w:eastAsia="PMingLiU" w:hAnsi="Times New Roman"/>
                <w:b/>
                <w:sz w:val="18"/>
                <w:szCs w:val="18"/>
              </w:rPr>
            </w:pPr>
          </w:p>
          <w:p w14:paraId="08CD2DC9"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aktywa poziomu 2B w postaci obligacji zabezpieczonych charakteryzujących się wysoką jakością (będące przedmiotem zaciągniętej pożyczki).</w:t>
            </w:r>
          </w:p>
          <w:p w14:paraId="4262232E" w14:textId="77777777" w:rsidR="001A0B09" w:rsidRDefault="001A0B09">
            <w:pPr>
              <w:spacing w:before="0" w:after="0"/>
              <w:ind w:left="28"/>
              <w:rPr>
                <w:rFonts w:ascii="Times New Roman" w:eastAsia="PMingLiU" w:hAnsi="Times New Roman"/>
                <w:sz w:val="18"/>
                <w:szCs w:val="18"/>
              </w:rPr>
            </w:pPr>
          </w:p>
        </w:tc>
      </w:tr>
      <w:tr w:rsidR="001A0B09" w14:paraId="526C775C" w14:textId="77777777" w:rsidTr="0039321F">
        <w:tc>
          <w:tcPr>
            <w:tcW w:w="703" w:type="dxa"/>
            <w:shd w:val="clear" w:color="auto" w:fill="FFFFFF"/>
            <w:vAlign w:val="center"/>
          </w:tcPr>
          <w:p w14:paraId="0D3E8CBA" w14:textId="0EFBBE63" w:rsidR="001A0B09"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w tym: zabezpieczenie będące przedmiotem wymiany spełnia wymogi operacyjne</w:t>
            </w:r>
          </w:p>
          <w:p w14:paraId="099C886D" w14:textId="77777777" w:rsidR="001A0B09" w:rsidRDefault="001A0B09">
            <w:pPr>
              <w:spacing w:before="0" w:after="0"/>
              <w:ind w:left="28"/>
              <w:rPr>
                <w:rFonts w:ascii="Times New Roman" w:eastAsia="PMingLiU" w:hAnsi="Times New Roman"/>
                <w:b/>
                <w:bCs/>
                <w:sz w:val="18"/>
                <w:szCs w:val="18"/>
              </w:rPr>
            </w:pPr>
          </w:p>
          <w:p w14:paraId="552A7AF7"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1.6.5. instytucje kredytowe zgłaszają:</w:t>
            </w:r>
          </w:p>
          <w:p w14:paraId="59BC2680" w14:textId="77777777" w:rsidR="001A0B09" w:rsidRDefault="001A0B09">
            <w:pPr>
              <w:spacing w:before="0" w:after="0"/>
              <w:ind w:left="28"/>
              <w:rPr>
                <w:rFonts w:ascii="Times New Roman" w:hAnsi="Times New Roman"/>
                <w:sz w:val="18"/>
              </w:rPr>
            </w:pPr>
          </w:p>
          <w:p w14:paraId="221DF55D" w14:textId="41C4DF83"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25AA3BC" w14:textId="77777777" w:rsidR="001A0B09" w:rsidRDefault="001A0B09">
            <w:pPr>
              <w:spacing w:before="0" w:after="0"/>
              <w:ind w:left="748"/>
              <w:rPr>
                <w:rFonts w:ascii="Times New Roman" w:eastAsia="PMingLiU" w:hAnsi="Times New Roman"/>
                <w:b/>
                <w:bCs/>
                <w:sz w:val="18"/>
                <w:szCs w:val="18"/>
              </w:rPr>
            </w:pPr>
          </w:p>
          <w:p w14:paraId="1A4850EB" w14:textId="38BF792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63551751" w14:textId="77777777" w:rsidR="001A0B09" w:rsidRDefault="001A0B09">
            <w:pPr>
              <w:spacing w:before="0" w:after="0"/>
              <w:ind w:left="28"/>
              <w:rPr>
                <w:rFonts w:ascii="Times New Roman" w:eastAsia="PMingLiU" w:hAnsi="Times New Roman"/>
                <w:b/>
                <w:bCs/>
                <w:sz w:val="18"/>
                <w:szCs w:val="18"/>
              </w:rPr>
            </w:pPr>
          </w:p>
        </w:tc>
      </w:tr>
      <w:tr w:rsidR="001A0B09" w14:paraId="405CD0E0" w14:textId="77777777" w:rsidTr="0039321F">
        <w:tc>
          <w:tcPr>
            <w:tcW w:w="703" w:type="dxa"/>
            <w:shd w:val="clear" w:color="auto" w:fill="FFFFFF"/>
            <w:vAlign w:val="center"/>
          </w:tcPr>
          <w:p w14:paraId="262BE4B5" w14:textId="6AC3A0D2" w:rsidR="001A0B09" w:rsidRDefault="00AD7441">
            <w:pPr>
              <w:rPr>
                <w:rFonts w:ascii="Times New Roman" w:eastAsia="PMingLiU" w:hAnsi="Times New Roman"/>
                <w:sz w:val="18"/>
                <w:szCs w:val="18"/>
              </w:rPr>
            </w:pPr>
            <w:r>
              <w:rPr>
                <w:rFonts w:ascii="Times New Roman" w:hAnsi="Times New Roman"/>
                <w:sz w:val="18"/>
                <w:szCs w:val="18"/>
              </w:rPr>
              <w:t>0980</w:t>
            </w:r>
          </w:p>
        </w:tc>
        <w:tc>
          <w:tcPr>
            <w:tcW w:w="7371" w:type="dxa"/>
            <w:shd w:val="clear" w:color="auto" w:fill="FFFFFF"/>
          </w:tcPr>
          <w:p w14:paraId="7CF1B6E3"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aktywa poziomu 2B: papiery wartościowe zabezpieczone aktywami (kredyty komercyjne lub dla osób fizycznych, państwo członkowskie, CQS1)</w:t>
            </w:r>
          </w:p>
          <w:p w14:paraId="60021913" w14:textId="77777777" w:rsidR="001A0B09" w:rsidRDefault="001A0B09">
            <w:pPr>
              <w:spacing w:before="0" w:after="0"/>
              <w:ind w:left="28"/>
              <w:rPr>
                <w:rFonts w:ascii="Times New Roman" w:eastAsia="PMingLiU" w:hAnsi="Times New Roman"/>
                <w:b/>
                <w:sz w:val="18"/>
                <w:szCs w:val="18"/>
              </w:rPr>
            </w:pPr>
          </w:p>
          <w:p w14:paraId="4B88DC6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w:t>
            </w:r>
            <w:r>
              <w:rPr>
                <w:rFonts w:ascii="Times New Roman" w:hAnsi="Times New Roman"/>
                <w:sz w:val="18"/>
                <w:szCs w:val="18"/>
              </w:rPr>
              <w:t>na aktywa 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5C7CF200" w14:textId="77777777" w:rsidR="001A0B09" w:rsidRDefault="001A0B09">
            <w:pPr>
              <w:spacing w:before="0" w:after="0"/>
              <w:ind w:left="28"/>
              <w:rPr>
                <w:rFonts w:ascii="Times New Roman" w:eastAsia="PMingLiU" w:hAnsi="Times New Roman"/>
                <w:sz w:val="18"/>
                <w:szCs w:val="18"/>
              </w:rPr>
            </w:pPr>
          </w:p>
        </w:tc>
      </w:tr>
      <w:tr w:rsidR="001A0B09" w14:paraId="716F824A" w14:textId="77777777" w:rsidTr="0039321F">
        <w:tc>
          <w:tcPr>
            <w:tcW w:w="703" w:type="dxa"/>
            <w:shd w:val="clear" w:color="auto" w:fill="FFFFFF"/>
            <w:vAlign w:val="center"/>
          </w:tcPr>
          <w:p w14:paraId="43C60A46" w14:textId="6DFD95B7" w:rsidR="001A0B09"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w tym: zabezpieczenie będące przedmiotem wymiany spełnia wymogi operacyjne</w:t>
            </w:r>
          </w:p>
          <w:p w14:paraId="4D108A15" w14:textId="77777777" w:rsidR="001A0B09" w:rsidRDefault="001A0B09">
            <w:pPr>
              <w:spacing w:before="0" w:after="0"/>
              <w:ind w:left="28"/>
              <w:rPr>
                <w:rFonts w:ascii="Times New Roman" w:eastAsia="PMingLiU" w:hAnsi="Times New Roman"/>
                <w:b/>
                <w:bCs/>
                <w:sz w:val="18"/>
                <w:szCs w:val="18"/>
              </w:rPr>
            </w:pPr>
          </w:p>
          <w:p w14:paraId="0E8E146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1.6.6. instytucje kredytowe zgłaszają:</w:t>
            </w:r>
          </w:p>
          <w:p w14:paraId="7BB2A0C4" w14:textId="77777777" w:rsidR="001A0B09" w:rsidRDefault="001A0B09">
            <w:pPr>
              <w:spacing w:before="0" w:after="0"/>
              <w:ind w:left="28"/>
              <w:rPr>
                <w:rFonts w:ascii="Times New Roman" w:hAnsi="Times New Roman"/>
                <w:sz w:val="18"/>
              </w:rPr>
            </w:pPr>
          </w:p>
          <w:p w14:paraId="0ECE731F" w14:textId="175712E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1231FBD" w14:textId="77777777" w:rsidR="001A0B09" w:rsidRDefault="001A0B09">
            <w:pPr>
              <w:spacing w:before="0" w:after="0"/>
              <w:ind w:left="748"/>
              <w:rPr>
                <w:rFonts w:ascii="Times New Roman" w:eastAsia="PMingLiU" w:hAnsi="Times New Roman"/>
                <w:b/>
                <w:bCs/>
                <w:sz w:val="18"/>
                <w:szCs w:val="18"/>
              </w:rPr>
            </w:pPr>
          </w:p>
          <w:p w14:paraId="5B856755" w14:textId="027CB58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7DA0145" w14:textId="77777777" w:rsidR="001A0B09" w:rsidRDefault="001A0B09">
            <w:pPr>
              <w:spacing w:before="0" w:after="0"/>
              <w:ind w:left="28"/>
              <w:rPr>
                <w:rFonts w:ascii="Times New Roman" w:eastAsia="PMingLiU" w:hAnsi="Times New Roman"/>
                <w:b/>
                <w:bCs/>
                <w:sz w:val="18"/>
                <w:szCs w:val="18"/>
              </w:rPr>
            </w:pPr>
          </w:p>
        </w:tc>
      </w:tr>
      <w:tr w:rsidR="001A0B09" w14:paraId="7D9CE354" w14:textId="77777777" w:rsidTr="0039321F">
        <w:tc>
          <w:tcPr>
            <w:tcW w:w="703" w:type="dxa"/>
            <w:shd w:val="clear" w:color="auto" w:fill="FFFFFF"/>
            <w:vAlign w:val="center"/>
          </w:tcPr>
          <w:p w14:paraId="5DE642FF" w14:textId="3465903B" w:rsidR="001A0B09"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inne aktywa poziomu 2B</w:t>
            </w:r>
          </w:p>
          <w:p w14:paraId="0B3E9194" w14:textId="77777777" w:rsidR="001A0B09" w:rsidRDefault="001A0B09">
            <w:pPr>
              <w:spacing w:before="0" w:after="0"/>
              <w:ind w:left="28"/>
              <w:rPr>
                <w:rFonts w:ascii="Times New Roman" w:eastAsia="PMingLiU" w:hAnsi="Times New Roman"/>
                <w:b/>
                <w:sz w:val="18"/>
                <w:szCs w:val="18"/>
              </w:rPr>
            </w:pPr>
          </w:p>
          <w:p w14:paraId="7A6384C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56EA827D" w14:textId="77777777" w:rsidR="001A0B09" w:rsidRDefault="001A0B09">
            <w:pPr>
              <w:spacing w:before="0" w:after="0"/>
              <w:ind w:left="28"/>
              <w:rPr>
                <w:rFonts w:ascii="Times New Roman" w:eastAsia="PMingLiU" w:hAnsi="Times New Roman"/>
                <w:sz w:val="18"/>
                <w:szCs w:val="18"/>
              </w:rPr>
            </w:pPr>
          </w:p>
        </w:tc>
      </w:tr>
      <w:tr w:rsidR="001A0B09" w14:paraId="1FB5D91D" w14:textId="77777777" w:rsidTr="0039321F">
        <w:tc>
          <w:tcPr>
            <w:tcW w:w="703" w:type="dxa"/>
            <w:shd w:val="clear" w:color="auto" w:fill="FFFFFF"/>
            <w:vAlign w:val="center"/>
          </w:tcPr>
          <w:p w14:paraId="06C9F944" w14:textId="375AFFED" w:rsidR="001A0B09"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w tym: zabezpieczenie będące przedmiotem wymiany spełnia wymogi operacyjne</w:t>
            </w:r>
          </w:p>
          <w:p w14:paraId="11D0FDF0" w14:textId="77777777" w:rsidR="001A0B09" w:rsidRDefault="001A0B09">
            <w:pPr>
              <w:spacing w:before="0" w:after="0"/>
              <w:ind w:left="28"/>
              <w:rPr>
                <w:rFonts w:ascii="Times New Roman" w:eastAsia="PMingLiU" w:hAnsi="Times New Roman"/>
                <w:b/>
                <w:bCs/>
                <w:sz w:val="18"/>
                <w:szCs w:val="18"/>
              </w:rPr>
            </w:pPr>
          </w:p>
          <w:p w14:paraId="19AA8C9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1.6.7. instytucje kredytowe zgłaszają:</w:t>
            </w:r>
          </w:p>
          <w:p w14:paraId="3EE17E96" w14:textId="77777777" w:rsidR="001A0B09" w:rsidRDefault="001A0B09">
            <w:pPr>
              <w:spacing w:before="0" w:after="0"/>
              <w:ind w:left="28"/>
              <w:rPr>
                <w:rFonts w:ascii="Times New Roman" w:hAnsi="Times New Roman"/>
                <w:sz w:val="18"/>
              </w:rPr>
            </w:pPr>
          </w:p>
          <w:p w14:paraId="6BC21DA0" w14:textId="184A7D6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0F77ADD" w14:textId="77777777" w:rsidR="001A0B09" w:rsidRDefault="001A0B09">
            <w:pPr>
              <w:spacing w:before="0" w:after="0"/>
              <w:ind w:left="748"/>
              <w:rPr>
                <w:rFonts w:ascii="Times New Roman" w:eastAsia="PMingLiU" w:hAnsi="Times New Roman"/>
                <w:b/>
                <w:bCs/>
                <w:sz w:val="18"/>
                <w:szCs w:val="18"/>
              </w:rPr>
            </w:pPr>
          </w:p>
          <w:p w14:paraId="01312DF5" w14:textId="7CB94D2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składnik zabezpieczenia będącego przedmiotem zaciągniętej pożyczki, jeżeli spełnia </w:t>
            </w:r>
            <w:r>
              <w:rPr>
                <w:rFonts w:ascii="Times New Roman" w:hAnsi="Times New Roman"/>
                <w:sz w:val="18"/>
              </w:rPr>
              <w:lastRenderedPageBreak/>
              <w:t>wymagania operacyjne określone w art. 8 rozporządzenia delegowanego (UE) 2015/61.</w:t>
            </w:r>
          </w:p>
          <w:p w14:paraId="56BCAFEC" w14:textId="77777777" w:rsidR="001A0B09" w:rsidRDefault="001A0B09">
            <w:pPr>
              <w:spacing w:before="0" w:after="0"/>
              <w:ind w:left="28"/>
              <w:rPr>
                <w:rFonts w:ascii="Times New Roman" w:eastAsia="PMingLiU" w:hAnsi="Times New Roman"/>
                <w:b/>
                <w:bCs/>
                <w:sz w:val="18"/>
                <w:szCs w:val="18"/>
              </w:rPr>
            </w:pPr>
          </w:p>
        </w:tc>
      </w:tr>
      <w:tr w:rsidR="001A0B09" w14:paraId="6661DB40" w14:textId="77777777" w:rsidTr="0039321F">
        <w:tc>
          <w:tcPr>
            <w:tcW w:w="703" w:type="dxa"/>
            <w:shd w:val="clear" w:color="auto" w:fill="FFFFFF"/>
            <w:vAlign w:val="center"/>
          </w:tcPr>
          <w:p w14:paraId="1E56ED74" w14:textId="3918EE6E" w:rsidR="001A0B09" w:rsidRDefault="00AD7441">
            <w:pPr>
              <w:rPr>
                <w:rFonts w:ascii="Times New Roman" w:eastAsia="PMingLiU" w:hAnsi="Times New Roman"/>
                <w:sz w:val="18"/>
                <w:szCs w:val="18"/>
              </w:rPr>
            </w:pPr>
            <w:r>
              <w:rPr>
                <w:rFonts w:ascii="Times New Roman" w:hAnsi="Times New Roman"/>
                <w:sz w:val="18"/>
                <w:szCs w:val="18"/>
              </w:rPr>
              <w:lastRenderedPageBreak/>
              <w:t>1020</w:t>
            </w:r>
          </w:p>
        </w:tc>
        <w:tc>
          <w:tcPr>
            <w:tcW w:w="7371" w:type="dxa"/>
            <w:shd w:val="clear" w:color="auto" w:fill="FFFFFF"/>
          </w:tcPr>
          <w:p w14:paraId="07E02C4C"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aktywa niepłynne</w:t>
            </w:r>
          </w:p>
          <w:p w14:paraId="3E101914" w14:textId="77777777" w:rsidR="001A0B09" w:rsidRDefault="001A0B09">
            <w:pPr>
              <w:spacing w:before="0" w:after="0"/>
              <w:ind w:left="28"/>
              <w:rPr>
                <w:rFonts w:ascii="Times New Roman" w:eastAsia="PMingLiU" w:hAnsi="Times New Roman"/>
                <w:b/>
                <w:sz w:val="18"/>
                <w:szCs w:val="18"/>
              </w:rPr>
            </w:pPr>
          </w:p>
          <w:p w14:paraId="0A9EFA52"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aktywa niepłynne (będące przedmiotem zaciągniętej pożyczki).</w:t>
            </w:r>
          </w:p>
          <w:p w14:paraId="0FF5DE67" w14:textId="77777777" w:rsidR="001A0B09" w:rsidRDefault="001A0B09">
            <w:pPr>
              <w:spacing w:before="0" w:after="0"/>
              <w:ind w:left="28"/>
              <w:rPr>
                <w:rFonts w:ascii="Times New Roman" w:eastAsia="PMingLiU" w:hAnsi="Times New Roman"/>
                <w:sz w:val="18"/>
                <w:szCs w:val="18"/>
              </w:rPr>
            </w:pPr>
          </w:p>
        </w:tc>
      </w:tr>
      <w:tr w:rsidR="001A0B09" w14:paraId="446E9C87" w14:textId="77777777" w:rsidTr="0039321F">
        <w:tc>
          <w:tcPr>
            <w:tcW w:w="703" w:type="dxa"/>
            <w:shd w:val="clear" w:color="auto" w:fill="auto"/>
            <w:vAlign w:val="center"/>
          </w:tcPr>
          <w:p w14:paraId="53250B2D" w14:textId="0C7FC8CE" w:rsidR="001A0B09"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w tym: zabezpieczenie będące przedmiotem wymiany spełnia wymogi operacyjne</w:t>
            </w:r>
          </w:p>
          <w:p w14:paraId="33D0D1C0" w14:textId="77777777" w:rsidR="001A0B09" w:rsidRDefault="001A0B09">
            <w:pPr>
              <w:spacing w:before="0" w:after="0"/>
              <w:ind w:left="28"/>
              <w:rPr>
                <w:rFonts w:ascii="Times New Roman" w:eastAsia="PMingLiU" w:hAnsi="Times New Roman"/>
                <w:b/>
                <w:bCs/>
                <w:sz w:val="18"/>
                <w:szCs w:val="18"/>
              </w:rPr>
            </w:pPr>
          </w:p>
          <w:p w14:paraId="6D0B920E" w14:textId="058A058C"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1.6.8.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6FEF2515" w14:textId="77777777" w:rsidR="001A0B09" w:rsidRDefault="001A0B09">
            <w:pPr>
              <w:spacing w:before="0" w:after="0"/>
              <w:ind w:left="28"/>
              <w:rPr>
                <w:rFonts w:ascii="Times New Roman" w:eastAsia="PMingLiU" w:hAnsi="Times New Roman"/>
                <w:b/>
                <w:bCs/>
                <w:sz w:val="18"/>
                <w:szCs w:val="18"/>
              </w:rPr>
            </w:pPr>
          </w:p>
        </w:tc>
      </w:tr>
      <w:tr w:rsidR="001A0B09" w14:paraId="088C3DF1" w14:textId="77777777" w:rsidTr="0039321F">
        <w:tc>
          <w:tcPr>
            <w:tcW w:w="703" w:type="dxa"/>
            <w:shd w:val="clear" w:color="auto" w:fill="auto"/>
            <w:vAlign w:val="center"/>
          </w:tcPr>
          <w:p w14:paraId="6277B14C" w14:textId="1D474E52" w:rsidR="001A0B09"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Całkowite wartości transakcji, w których przedmiotem udzielonej pożyczki są inne aktywa poziomu 2B, a przedmiotem zaciągniętej pożyczki są następujące rodzaje zabezpieczenia:</w:t>
            </w:r>
          </w:p>
          <w:p w14:paraId="48A9CF10" w14:textId="77777777" w:rsidR="001A0B09" w:rsidRDefault="001A0B09">
            <w:pPr>
              <w:spacing w:before="0" w:after="0"/>
              <w:ind w:left="28"/>
              <w:rPr>
                <w:rFonts w:ascii="Times New Roman" w:eastAsia="PMingLiU" w:hAnsi="Times New Roman"/>
                <w:sz w:val="18"/>
                <w:szCs w:val="18"/>
              </w:rPr>
            </w:pPr>
          </w:p>
          <w:p w14:paraId="357965D7" w14:textId="1B038F13"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0D44B875" w14:textId="77777777" w:rsidR="001A0B09" w:rsidRDefault="001A0B09">
            <w:pPr>
              <w:spacing w:before="0" w:after="0"/>
              <w:ind w:left="28"/>
              <w:rPr>
                <w:rFonts w:ascii="Times New Roman" w:eastAsia="PMingLiU" w:hAnsi="Times New Roman"/>
                <w:bCs/>
                <w:sz w:val="18"/>
                <w:szCs w:val="18"/>
              </w:rPr>
            </w:pPr>
          </w:p>
          <w:p w14:paraId="206521B2" w14:textId="77777777" w:rsidR="001A0B09"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W tej sekcji instytucje kredytowe zgłaszają, w odniesieniu do odpowiednich kolumn, całkowite wartości transakcji zabezpieczających swap </w:t>
            </w:r>
            <w:r>
              <w:rPr>
                <w:rFonts w:ascii="Times New Roman" w:hAnsi="Times New Roman"/>
                <w:sz w:val="18"/>
                <w:szCs w:val="18"/>
              </w:rPr>
              <w:t>w ramach transakcji, w których przedmiotem udzielonej pożyczki są aktywa poziomu 2B.</w:t>
            </w:r>
          </w:p>
          <w:p w14:paraId="62CA5E30" w14:textId="77777777" w:rsidR="001A0B09" w:rsidRDefault="001A0B09">
            <w:pPr>
              <w:spacing w:before="0" w:after="0"/>
              <w:ind w:left="28"/>
              <w:rPr>
                <w:rFonts w:ascii="Times New Roman" w:eastAsia="PMingLiU" w:hAnsi="Times New Roman"/>
                <w:sz w:val="18"/>
                <w:szCs w:val="18"/>
              </w:rPr>
            </w:pPr>
          </w:p>
        </w:tc>
      </w:tr>
      <w:tr w:rsidR="001A0B09" w14:paraId="0C1CC2CC" w14:textId="77777777" w:rsidTr="0039321F">
        <w:tc>
          <w:tcPr>
            <w:tcW w:w="703" w:type="dxa"/>
            <w:shd w:val="clear" w:color="auto" w:fill="FFFFFF"/>
            <w:vAlign w:val="center"/>
          </w:tcPr>
          <w:p w14:paraId="07310C9D" w14:textId="53945E34" w:rsidR="001A0B09"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aktywa poziomu 1 (z wyłączeniem obligacji zabezpieczonych charakteryzujących się wyjątkowo wysoką jakością)</w:t>
            </w:r>
          </w:p>
          <w:p w14:paraId="264F9C42" w14:textId="77777777" w:rsidR="001A0B0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bCs/>
                <w:sz w:val="18"/>
              </w:rPr>
              <w:t xml:space="preserve">inne aktywa poziomu 2B </w:t>
            </w:r>
            <w:r>
              <w:rPr>
                <w:rFonts w:ascii="Times New Roman" w:hAnsi="Times New Roman"/>
                <w:bCs/>
                <w:sz w:val="18"/>
                <w:szCs w:val="18"/>
              </w:rPr>
              <w:t>(będące przedmiotem udzielonej pożyczki) na aktywa poziomu 1, z wyłączeniem obligacji zabezpieczonych charakteryzujących się wyjątkowo wysoką jakością (będące przedmiotem zaciągniętej pożyczki).</w:t>
            </w:r>
          </w:p>
          <w:p w14:paraId="572A4819" w14:textId="77777777" w:rsidR="001A0B09" w:rsidRDefault="001A0B09">
            <w:pPr>
              <w:autoSpaceDE w:val="0"/>
              <w:autoSpaceDN w:val="0"/>
              <w:adjustRightInd w:val="0"/>
              <w:spacing w:before="0" w:after="0"/>
              <w:ind w:left="184"/>
              <w:rPr>
                <w:rFonts w:ascii="Times New Roman" w:eastAsia="PMingLiU" w:hAnsi="Times New Roman"/>
                <w:sz w:val="18"/>
                <w:szCs w:val="18"/>
              </w:rPr>
            </w:pPr>
          </w:p>
        </w:tc>
      </w:tr>
      <w:tr w:rsidR="001A0B09" w14:paraId="3A52F828" w14:textId="77777777" w:rsidTr="0039321F">
        <w:tc>
          <w:tcPr>
            <w:tcW w:w="703" w:type="dxa"/>
            <w:shd w:val="clear" w:color="auto" w:fill="FFFFFF"/>
            <w:vAlign w:val="center"/>
          </w:tcPr>
          <w:p w14:paraId="4669CC2C" w14:textId="7DEED67D" w:rsidR="001A0B09" w:rsidRDefault="00AD7441">
            <w:pPr>
              <w:rPr>
                <w:rFonts w:ascii="Times New Roman" w:eastAsia="PMingLiU" w:hAnsi="Times New Roman"/>
                <w:sz w:val="18"/>
                <w:szCs w:val="18"/>
              </w:rPr>
            </w:pPr>
            <w:r>
              <w:rPr>
                <w:rFonts w:ascii="Times New Roman" w:hAnsi="Times New Roman"/>
                <w:sz w:val="18"/>
                <w:szCs w:val="18"/>
              </w:rPr>
              <w:t>1060</w:t>
            </w:r>
          </w:p>
        </w:tc>
        <w:tc>
          <w:tcPr>
            <w:tcW w:w="7371" w:type="dxa"/>
            <w:shd w:val="clear" w:color="auto" w:fill="FFFFFF"/>
          </w:tcPr>
          <w:p w14:paraId="63CA996F"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w tym: zabezpieczenie będące przedmiotem wymiany spełnia wymogi operacyjne</w:t>
            </w:r>
          </w:p>
          <w:p w14:paraId="6E6D3547" w14:textId="77777777" w:rsidR="001A0B09" w:rsidRDefault="001A0B09">
            <w:pPr>
              <w:spacing w:before="0" w:after="0"/>
              <w:ind w:left="28"/>
              <w:rPr>
                <w:rFonts w:ascii="Times New Roman" w:eastAsia="PMingLiU" w:hAnsi="Times New Roman"/>
                <w:b/>
                <w:bCs/>
                <w:sz w:val="18"/>
                <w:szCs w:val="18"/>
              </w:rPr>
            </w:pPr>
          </w:p>
          <w:p w14:paraId="6EA1CB9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1.7.1. instytucje kredytowe zgłaszają:</w:t>
            </w:r>
          </w:p>
          <w:p w14:paraId="500C6826" w14:textId="77777777" w:rsidR="001A0B09" w:rsidRDefault="001A0B09">
            <w:pPr>
              <w:spacing w:before="0" w:after="0"/>
              <w:ind w:left="28"/>
              <w:rPr>
                <w:rFonts w:ascii="Times New Roman" w:hAnsi="Times New Roman"/>
                <w:sz w:val="18"/>
              </w:rPr>
            </w:pPr>
          </w:p>
          <w:p w14:paraId="0704633C" w14:textId="4582E27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E5F97B7" w14:textId="77777777" w:rsidR="001A0B09" w:rsidRDefault="001A0B09">
            <w:pPr>
              <w:spacing w:before="0" w:after="0"/>
              <w:ind w:left="748"/>
              <w:rPr>
                <w:rFonts w:ascii="Times New Roman" w:eastAsia="PMingLiU" w:hAnsi="Times New Roman"/>
                <w:b/>
                <w:bCs/>
                <w:sz w:val="18"/>
                <w:szCs w:val="18"/>
              </w:rPr>
            </w:pPr>
          </w:p>
          <w:p w14:paraId="444C13AF" w14:textId="4935B2E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359BF000" w14:textId="77777777" w:rsidR="001A0B09" w:rsidRDefault="001A0B09">
            <w:pPr>
              <w:spacing w:before="0" w:after="0"/>
              <w:ind w:left="28"/>
              <w:rPr>
                <w:rFonts w:ascii="Times New Roman" w:eastAsia="PMingLiU" w:hAnsi="Times New Roman"/>
                <w:b/>
                <w:bCs/>
                <w:sz w:val="18"/>
                <w:szCs w:val="18"/>
              </w:rPr>
            </w:pPr>
          </w:p>
        </w:tc>
      </w:tr>
      <w:tr w:rsidR="001A0B09" w14:paraId="4F8269A9" w14:textId="77777777" w:rsidTr="0039321F">
        <w:tc>
          <w:tcPr>
            <w:tcW w:w="703" w:type="dxa"/>
            <w:shd w:val="clear" w:color="auto" w:fill="FFFFFF"/>
            <w:vAlign w:val="center"/>
          </w:tcPr>
          <w:p w14:paraId="1C06ED4D" w14:textId="4EA7854D" w:rsidR="001A0B09"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aktywa poziomu 1: obligacje zabezpieczone charakteryzujące się wyjątkowo wysoką jakością</w:t>
            </w:r>
          </w:p>
          <w:p w14:paraId="7F5774F1" w14:textId="77777777" w:rsidR="001A0B09" w:rsidRDefault="001A0B09">
            <w:pPr>
              <w:spacing w:before="0" w:after="0"/>
              <w:ind w:left="28"/>
              <w:rPr>
                <w:rFonts w:ascii="Times New Roman" w:eastAsia="PMingLiU" w:hAnsi="Times New Roman"/>
                <w:b/>
                <w:sz w:val="18"/>
                <w:szCs w:val="18"/>
              </w:rPr>
            </w:pPr>
          </w:p>
          <w:p w14:paraId="592E4D24"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(będące przedmiotem udzielonej pożyczki) na aktywa poziomu 1: obligacje zabezpieczone charakteryzujące się wyjątkowo wysoką jakością (będące przedmiotem zaciągniętej pożyczki).</w:t>
            </w:r>
          </w:p>
          <w:p w14:paraId="60524733" w14:textId="77777777" w:rsidR="001A0B09" w:rsidRDefault="001A0B09">
            <w:pPr>
              <w:spacing w:before="0" w:after="0"/>
              <w:ind w:left="28"/>
              <w:rPr>
                <w:rFonts w:ascii="Times New Roman" w:eastAsia="PMingLiU" w:hAnsi="Times New Roman"/>
                <w:szCs w:val="18"/>
              </w:rPr>
            </w:pPr>
          </w:p>
        </w:tc>
      </w:tr>
      <w:tr w:rsidR="001A0B09" w14:paraId="65FA7609" w14:textId="77777777" w:rsidTr="0039321F">
        <w:tc>
          <w:tcPr>
            <w:tcW w:w="703" w:type="dxa"/>
            <w:shd w:val="clear" w:color="auto" w:fill="FFFFFF"/>
            <w:vAlign w:val="center"/>
          </w:tcPr>
          <w:p w14:paraId="591C5514" w14:textId="0BB1B99C" w:rsidR="001A0B09"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w tym: zabezpieczenie będące przedmiotem wymiany spełnia wymogi operacyjne</w:t>
            </w:r>
          </w:p>
          <w:p w14:paraId="1AFF21D5" w14:textId="77777777" w:rsidR="001A0B09" w:rsidRDefault="001A0B09">
            <w:pPr>
              <w:spacing w:before="0" w:after="0"/>
              <w:ind w:left="28"/>
              <w:rPr>
                <w:rFonts w:ascii="Times New Roman" w:eastAsia="PMingLiU" w:hAnsi="Times New Roman"/>
                <w:b/>
                <w:bCs/>
                <w:sz w:val="18"/>
                <w:szCs w:val="18"/>
              </w:rPr>
            </w:pPr>
          </w:p>
          <w:p w14:paraId="48C19E7A"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1.7.2. instytucje kredytowe zgłaszają:</w:t>
            </w:r>
          </w:p>
          <w:p w14:paraId="46E98DB4" w14:textId="77777777" w:rsidR="001A0B09" w:rsidRDefault="001A0B09">
            <w:pPr>
              <w:spacing w:before="0" w:after="0"/>
              <w:ind w:left="28"/>
              <w:rPr>
                <w:rFonts w:ascii="Times New Roman" w:hAnsi="Times New Roman"/>
                <w:sz w:val="18"/>
              </w:rPr>
            </w:pPr>
          </w:p>
          <w:p w14:paraId="08EE1500" w14:textId="25B94BD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0A855FA" w14:textId="77777777" w:rsidR="001A0B09" w:rsidRDefault="001A0B09">
            <w:pPr>
              <w:spacing w:before="0" w:after="0"/>
              <w:ind w:left="748"/>
              <w:rPr>
                <w:rFonts w:ascii="Times New Roman" w:eastAsia="PMingLiU" w:hAnsi="Times New Roman"/>
                <w:b/>
                <w:bCs/>
                <w:sz w:val="18"/>
                <w:szCs w:val="18"/>
              </w:rPr>
            </w:pPr>
          </w:p>
          <w:p w14:paraId="44F71B68" w14:textId="50A0484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6E3387A" w14:textId="77777777" w:rsidR="001A0B09" w:rsidRDefault="001A0B09">
            <w:pPr>
              <w:spacing w:before="0" w:after="0"/>
              <w:ind w:left="28"/>
              <w:rPr>
                <w:rFonts w:ascii="Times New Roman" w:eastAsia="PMingLiU" w:hAnsi="Times New Roman"/>
                <w:b/>
                <w:bCs/>
                <w:sz w:val="18"/>
                <w:szCs w:val="18"/>
              </w:rPr>
            </w:pPr>
          </w:p>
        </w:tc>
      </w:tr>
      <w:tr w:rsidR="001A0B09" w14:paraId="5661FDD4" w14:textId="77777777" w:rsidTr="0039321F">
        <w:tc>
          <w:tcPr>
            <w:tcW w:w="703" w:type="dxa"/>
            <w:shd w:val="clear" w:color="auto" w:fill="FFFFFF"/>
            <w:vAlign w:val="center"/>
          </w:tcPr>
          <w:p w14:paraId="548F2FAE" w14:textId="3C2A58F5" w:rsidR="001A0B09"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aktywa poziomu 2A</w:t>
            </w:r>
          </w:p>
          <w:p w14:paraId="69E76B3F" w14:textId="77777777" w:rsidR="001A0B09" w:rsidRDefault="001A0B09">
            <w:pPr>
              <w:spacing w:before="0" w:after="0"/>
              <w:ind w:left="28"/>
              <w:rPr>
                <w:rFonts w:ascii="Times New Roman" w:eastAsia="PMingLiU" w:hAnsi="Times New Roman"/>
                <w:b/>
                <w:sz w:val="18"/>
                <w:szCs w:val="18"/>
              </w:rPr>
            </w:pPr>
          </w:p>
          <w:p w14:paraId="6E0A43E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(będące przedmiotem udzielonej pożyczki) na aktywa poziomu 2A (będące przedmiotem zaciągniętej pożyczki).</w:t>
            </w:r>
          </w:p>
          <w:p w14:paraId="1ADAC91C" w14:textId="77777777" w:rsidR="001A0B09" w:rsidRDefault="001A0B09">
            <w:pPr>
              <w:spacing w:before="0" w:after="0"/>
              <w:ind w:left="28"/>
              <w:rPr>
                <w:rFonts w:ascii="Times New Roman" w:eastAsia="PMingLiU" w:hAnsi="Times New Roman"/>
                <w:szCs w:val="18"/>
              </w:rPr>
            </w:pPr>
          </w:p>
        </w:tc>
      </w:tr>
      <w:tr w:rsidR="001A0B09" w14:paraId="50D83DD7" w14:textId="77777777" w:rsidTr="0039321F">
        <w:tc>
          <w:tcPr>
            <w:tcW w:w="703" w:type="dxa"/>
            <w:shd w:val="clear" w:color="auto" w:fill="FFFFFF"/>
            <w:vAlign w:val="center"/>
          </w:tcPr>
          <w:p w14:paraId="085392DF" w14:textId="3FA38D30" w:rsidR="001A0B09" w:rsidRDefault="00AD7441">
            <w:pPr>
              <w:rPr>
                <w:rFonts w:ascii="Times New Roman" w:eastAsia="PMingLiU" w:hAnsi="Times New Roman"/>
                <w:sz w:val="18"/>
                <w:szCs w:val="18"/>
              </w:rPr>
            </w:pPr>
            <w:r>
              <w:rPr>
                <w:rFonts w:ascii="Times New Roman" w:hAnsi="Times New Roman"/>
                <w:sz w:val="18"/>
                <w:szCs w:val="18"/>
              </w:rPr>
              <w:lastRenderedPageBreak/>
              <w:t>1100</w:t>
            </w:r>
          </w:p>
        </w:tc>
        <w:tc>
          <w:tcPr>
            <w:tcW w:w="7371" w:type="dxa"/>
            <w:shd w:val="clear" w:color="auto" w:fill="FFFFFF"/>
          </w:tcPr>
          <w:p w14:paraId="09363B39"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w tym: zabezpieczenie będące przedmiotem wymiany spełnia wymogi operacyjne</w:t>
            </w:r>
          </w:p>
          <w:p w14:paraId="008AB4C1" w14:textId="77777777" w:rsidR="001A0B09" w:rsidRDefault="001A0B09">
            <w:pPr>
              <w:spacing w:before="0" w:after="0"/>
              <w:ind w:left="28"/>
              <w:rPr>
                <w:rFonts w:ascii="Times New Roman" w:eastAsia="PMingLiU" w:hAnsi="Times New Roman"/>
                <w:b/>
                <w:bCs/>
                <w:sz w:val="18"/>
                <w:szCs w:val="18"/>
              </w:rPr>
            </w:pPr>
          </w:p>
          <w:p w14:paraId="644508A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1.7.3. instytucje kredytowe zgłaszają:</w:t>
            </w:r>
          </w:p>
          <w:p w14:paraId="476B00BC" w14:textId="77777777" w:rsidR="001A0B09" w:rsidRDefault="001A0B09">
            <w:pPr>
              <w:spacing w:before="0" w:after="0"/>
              <w:ind w:left="28"/>
              <w:rPr>
                <w:rFonts w:ascii="Times New Roman" w:hAnsi="Times New Roman"/>
                <w:sz w:val="18"/>
              </w:rPr>
            </w:pPr>
          </w:p>
          <w:p w14:paraId="6F080576" w14:textId="77030DA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1C65F8E" w14:textId="77777777" w:rsidR="001A0B09" w:rsidRDefault="001A0B09">
            <w:pPr>
              <w:spacing w:before="0" w:after="0"/>
              <w:ind w:left="748"/>
              <w:rPr>
                <w:rFonts w:ascii="Times New Roman" w:eastAsia="PMingLiU" w:hAnsi="Times New Roman"/>
                <w:b/>
                <w:bCs/>
                <w:sz w:val="18"/>
                <w:szCs w:val="18"/>
              </w:rPr>
            </w:pPr>
          </w:p>
          <w:p w14:paraId="524C7C6A" w14:textId="0564573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B4DC054" w14:textId="77777777" w:rsidR="001A0B09" w:rsidRDefault="001A0B09">
            <w:pPr>
              <w:spacing w:before="0" w:after="0"/>
              <w:ind w:left="28"/>
              <w:rPr>
                <w:rFonts w:ascii="Times New Roman" w:eastAsia="PMingLiU" w:hAnsi="Times New Roman"/>
                <w:b/>
                <w:bCs/>
                <w:sz w:val="18"/>
                <w:szCs w:val="18"/>
              </w:rPr>
            </w:pPr>
          </w:p>
        </w:tc>
      </w:tr>
      <w:tr w:rsidR="001A0B09" w14:paraId="6617CCEF" w14:textId="77777777" w:rsidTr="0039321F">
        <w:tc>
          <w:tcPr>
            <w:tcW w:w="703" w:type="dxa"/>
            <w:shd w:val="clear" w:color="auto" w:fill="FFFFFF"/>
            <w:vAlign w:val="center"/>
          </w:tcPr>
          <w:p w14:paraId="12C94D74" w14:textId="006C50A5" w:rsidR="001A0B09"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aktywa poziomu 2B: papiery wartościowe zabezpieczone aktywami (kredyty na nieruchomości mieszkalne lub na zakup samochodów, CQS1)</w:t>
            </w:r>
          </w:p>
          <w:p w14:paraId="40D6A9E0" w14:textId="77777777" w:rsidR="001A0B09" w:rsidRDefault="001A0B09">
            <w:pPr>
              <w:spacing w:before="0" w:after="0"/>
              <w:ind w:left="28"/>
              <w:rPr>
                <w:rFonts w:ascii="Times New Roman" w:eastAsia="PMingLiU" w:hAnsi="Times New Roman"/>
                <w:b/>
                <w:sz w:val="18"/>
                <w:szCs w:val="18"/>
              </w:rPr>
            </w:pPr>
          </w:p>
          <w:p w14:paraId="063FD46A"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 xml:space="preserve">(będące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59C49869" w14:textId="77777777" w:rsidR="001A0B09" w:rsidRDefault="001A0B09">
            <w:pPr>
              <w:spacing w:before="0" w:after="0"/>
              <w:ind w:left="28"/>
              <w:rPr>
                <w:rFonts w:ascii="Times New Roman" w:eastAsia="PMingLiU" w:hAnsi="Times New Roman"/>
                <w:szCs w:val="18"/>
              </w:rPr>
            </w:pPr>
          </w:p>
        </w:tc>
      </w:tr>
      <w:tr w:rsidR="001A0B09" w14:paraId="21BE1D1D" w14:textId="77777777" w:rsidTr="0039321F">
        <w:tc>
          <w:tcPr>
            <w:tcW w:w="703" w:type="dxa"/>
            <w:shd w:val="clear" w:color="auto" w:fill="FFFFFF"/>
            <w:vAlign w:val="center"/>
          </w:tcPr>
          <w:p w14:paraId="3A1DD008" w14:textId="565E7420" w:rsidR="001A0B09"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w tym: zabezpieczenie będące przedmiotem wymiany spełnia wymogi operacyjne</w:t>
            </w:r>
          </w:p>
          <w:p w14:paraId="5618BEAF" w14:textId="77777777" w:rsidR="001A0B09" w:rsidRDefault="001A0B09">
            <w:pPr>
              <w:spacing w:before="0" w:after="0"/>
              <w:ind w:left="28"/>
              <w:rPr>
                <w:rFonts w:ascii="Times New Roman" w:eastAsia="PMingLiU" w:hAnsi="Times New Roman"/>
                <w:b/>
                <w:bCs/>
                <w:sz w:val="18"/>
                <w:szCs w:val="18"/>
              </w:rPr>
            </w:pPr>
          </w:p>
          <w:p w14:paraId="0E581645"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1.7.4. instytucje kredytowe zgłaszają:</w:t>
            </w:r>
          </w:p>
          <w:p w14:paraId="645B0E9C" w14:textId="77777777" w:rsidR="001A0B09" w:rsidRDefault="001A0B09">
            <w:pPr>
              <w:spacing w:before="0" w:after="0"/>
              <w:ind w:left="28"/>
              <w:rPr>
                <w:rFonts w:ascii="Times New Roman" w:hAnsi="Times New Roman"/>
                <w:sz w:val="18"/>
              </w:rPr>
            </w:pPr>
          </w:p>
          <w:p w14:paraId="144C63B2" w14:textId="3D1D426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1996227" w14:textId="77777777" w:rsidR="001A0B09" w:rsidRDefault="001A0B09">
            <w:pPr>
              <w:spacing w:before="0" w:after="0"/>
              <w:ind w:left="748"/>
              <w:rPr>
                <w:rFonts w:ascii="Times New Roman" w:eastAsia="PMingLiU" w:hAnsi="Times New Roman"/>
                <w:b/>
                <w:bCs/>
                <w:sz w:val="18"/>
                <w:szCs w:val="18"/>
              </w:rPr>
            </w:pPr>
          </w:p>
          <w:p w14:paraId="04575EBE" w14:textId="2689FF54"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6DA5A12" w14:textId="77777777" w:rsidR="001A0B09" w:rsidRDefault="001A0B09">
            <w:pPr>
              <w:spacing w:before="0" w:after="0"/>
              <w:ind w:left="28"/>
              <w:rPr>
                <w:rFonts w:ascii="Times New Roman" w:eastAsia="PMingLiU" w:hAnsi="Times New Roman"/>
                <w:b/>
                <w:bCs/>
                <w:sz w:val="18"/>
                <w:szCs w:val="18"/>
              </w:rPr>
            </w:pPr>
          </w:p>
        </w:tc>
      </w:tr>
      <w:tr w:rsidR="001A0B09" w14:paraId="467DAB24" w14:textId="77777777" w:rsidTr="0039321F">
        <w:tc>
          <w:tcPr>
            <w:tcW w:w="703" w:type="dxa"/>
            <w:shd w:val="clear" w:color="auto" w:fill="FFFFFF"/>
            <w:vAlign w:val="center"/>
          </w:tcPr>
          <w:p w14:paraId="156F9A55" w14:textId="0099D396" w:rsidR="001A0B09"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aktywa poziomu 2B: obligacje zabezpieczone charakteryzujące się wysoką jakością</w:t>
            </w:r>
          </w:p>
          <w:p w14:paraId="5D382177" w14:textId="77777777" w:rsidR="001A0B09" w:rsidRDefault="001A0B09">
            <w:pPr>
              <w:spacing w:before="0" w:after="0"/>
              <w:ind w:left="28"/>
              <w:rPr>
                <w:rFonts w:ascii="Times New Roman" w:eastAsia="PMingLiU" w:hAnsi="Times New Roman"/>
                <w:b/>
                <w:sz w:val="18"/>
                <w:szCs w:val="18"/>
              </w:rPr>
            </w:pPr>
          </w:p>
          <w:p w14:paraId="4D68BB0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inne </w:t>
            </w:r>
            <w:r>
              <w:rPr>
                <w:rFonts w:ascii="Times New Roman" w:hAnsi="Times New Roman"/>
                <w:sz w:val="18"/>
                <w:szCs w:val="18"/>
              </w:rPr>
              <w:t>aktywa poziomu 2B</w:t>
            </w:r>
            <w:r>
              <w:rPr>
                <w:rFonts w:ascii="Times New Roman" w:hAnsi="Times New Roman"/>
                <w:bCs/>
                <w:sz w:val="18"/>
                <w:szCs w:val="18"/>
              </w:rPr>
              <w:t xml:space="preserve"> (będące przedmiotem udzielonej pożyczki) na aktywa poziomu 2B w postaci obligacji zabezpieczonych charakteryzujących się wysoką jakością (będące przedmiotem zaciągniętej pożyczki).</w:t>
            </w:r>
          </w:p>
          <w:p w14:paraId="45DCE658" w14:textId="77777777" w:rsidR="001A0B09" w:rsidRDefault="001A0B09">
            <w:pPr>
              <w:spacing w:before="0" w:after="0"/>
              <w:ind w:left="28"/>
              <w:rPr>
                <w:rFonts w:ascii="Times New Roman" w:eastAsia="PMingLiU" w:hAnsi="Times New Roman"/>
                <w:sz w:val="18"/>
                <w:szCs w:val="18"/>
              </w:rPr>
            </w:pPr>
          </w:p>
        </w:tc>
      </w:tr>
      <w:tr w:rsidR="001A0B09" w14:paraId="51946C1F" w14:textId="77777777" w:rsidTr="0039321F">
        <w:tc>
          <w:tcPr>
            <w:tcW w:w="703" w:type="dxa"/>
            <w:shd w:val="clear" w:color="auto" w:fill="FFFFFF"/>
            <w:vAlign w:val="center"/>
          </w:tcPr>
          <w:p w14:paraId="5E1B5081" w14:textId="2856C5E9" w:rsidR="001A0B09" w:rsidRDefault="00AD7441">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w tym: zabezpieczenie będące przedmiotem wymiany spełnia wymogi operacyjne</w:t>
            </w:r>
          </w:p>
          <w:p w14:paraId="7BC0BEF4" w14:textId="77777777" w:rsidR="001A0B09" w:rsidRDefault="001A0B09">
            <w:pPr>
              <w:spacing w:before="0" w:after="0"/>
              <w:ind w:left="28"/>
              <w:rPr>
                <w:rFonts w:ascii="Times New Roman" w:eastAsia="PMingLiU" w:hAnsi="Times New Roman"/>
                <w:b/>
                <w:bCs/>
                <w:sz w:val="18"/>
                <w:szCs w:val="18"/>
              </w:rPr>
            </w:pPr>
          </w:p>
          <w:p w14:paraId="2C6A94E5"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1.7.5. instytucje kredytowe zgłaszają:</w:t>
            </w:r>
          </w:p>
          <w:p w14:paraId="0FDEF195" w14:textId="77777777" w:rsidR="001A0B09" w:rsidRDefault="001A0B09">
            <w:pPr>
              <w:spacing w:before="0" w:after="0"/>
              <w:ind w:left="28"/>
              <w:rPr>
                <w:rFonts w:ascii="Times New Roman" w:hAnsi="Times New Roman"/>
                <w:sz w:val="18"/>
              </w:rPr>
            </w:pPr>
          </w:p>
          <w:p w14:paraId="76E6932E" w14:textId="1CE24F43"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6A93271" w14:textId="77777777" w:rsidR="001A0B09" w:rsidRDefault="001A0B09">
            <w:pPr>
              <w:spacing w:before="0" w:after="0"/>
              <w:ind w:left="748"/>
              <w:rPr>
                <w:rFonts w:ascii="Times New Roman" w:eastAsia="PMingLiU" w:hAnsi="Times New Roman"/>
                <w:b/>
                <w:bCs/>
                <w:sz w:val="18"/>
                <w:szCs w:val="18"/>
              </w:rPr>
            </w:pPr>
          </w:p>
          <w:p w14:paraId="2400CDBA" w14:textId="310778D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DE126A5" w14:textId="77777777" w:rsidR="001A0B09" w:rsidRDefault="001A0B09">
            <w:pPr>
              <w:spacing w:before="0" w:after="0"/>
              <w:ind w:left="28"/>
              <w:rPr>
                <w:rFonts w:ascii="Times New Roman" w:eastAsia="PMingLiU" w:hAnsi="Times New Roman"/>
                <w:b/>
                <w:bCs/>
                <w:sz w:val="18"/>
                <w:szCs w:val="18"/>
              </w:rPr>
            </w:pPr>
          </w:p>
        </w:tc>
      </w:tr>
      <w:tr w:rsidR="001A0B09" w14:paraId="38DAAA18" w14:textId="77777777" w:rsidTr="0039321F">
        <w:tc>
          <w:tcPr>
            <w:tcW w:w="703" w:type="dxa"/>
            <w:shd w:val="clear" w:color="auto" w:fill="FFFFFF"/>
            <w:vAlign w:val="center"/>
          </w:tcPr>
          <w:p w14:paraId="4604B57B" w14:textId="23F339C3" w:rsidR="001A0B09"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aktywa poziomu 2B: papiery wartościowe zabezpieczone aktywami (kredyty komercyjne lub dla osób fizycznych, państwo członkowskie, CQS1)</w:t>
            </w:r>
          </w:p>
          <w:p w14:paraId="1972A07E" w14:textId="77777777" w:rsidR="001A0B09" w:rsidRDefault="001A0B09">
            <w:pPr>
              <w:spacing w:before="0" w:after="0"/>
              <w:ind w:left="28"/>
              <w:rPr>
                <w:rFonts w:ascii="Times New Roman" w:eastAsia="PMingLiU" w:hAnsi="Times New Roman"/>
                <w:b/>
                <w:sz w:val="18"/>
                <w:szCs w:val="18"/>
              </w:rPr>
            </w:pPr>
          </w:p>
          <w:p w14:paraId="5D83B3E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 xml:space="preserve">(będące przedmiotem udzielonej pożyczki) na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20996C40" w14:textId="77777777" w:rsidR="001A0B09" w:rsidRDefault="001A0B09">
            <w:pPr>
              <w:spacing w:before="0" w:after="0"/>
              <w:ind w:left="28"/>
              <w:rPr>
                <w:rFonts w:ascii="Times New Roman" w:eastAsia="PMingLiU" w:hAnsi="Times New Roman"/>
                <w:sz w:val="18"/>
                <w:szCs w:val="18"/>
              </w:rPr>
            </w:pPr>
          </w:p>
        </w:tc>
      </w:tr>
      <w:tr w:rsidR="001A0B09" w14:paraId="574615E5" w14:textId="77777777" w:rsidTr="0039321F">
        <w:tc>
          <w:tcPr>
            <w:tcW w:w="703" w:type="dxa"/>
            <w:shd w:val="clear" w:color="auto" w:fill="FFFFFF"/>
            <w:vAlign w:val="center"/>
          </w:tcPr>
          <w:p w14:paraId="37BC2234" w14:textId="44FBC312" w:rsidR="001A0B09"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w tym: zabezpieczenie będące przedmiotem wymiany spełnia wymogi operacyjne</w:t>
            </w:r>
          </w:p>
          <w:p w14:paraId="03B50CF1" w14:textId="77777777" w:rsidR="001A0B09" w:rsidRDefault="001A0B09">
            <w:pPr>
              <w:spacing w:before="0" w:after="0"/>
              <w:ind w:left="28"/>
              <w:rPr>
                <w:rFonts w:ascii="Times New Roman" w:eastAsia="PMingLiU" w:hAnsi="Times New Roman"/>
                <w:b/>
                <w:bCs/>
                <w:sz w:val="18"/>
                <w:szCs w:val="18"/>
              </w:rPr>
            </w:pPr>
          </w:p>
          <w:p w14:paraId="53BE38B7"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1.7.6. instytucje kredytowe zgłaszają:</w:t>
            </w:r>
          </w:p>
          <w:p w14:paraId="4392A30A" w14:textId="77777777" w:rsidR="001A0B09" w:rsidRDefault="001A0B09">
            <w:pPr>
              <w:spacing w:before="0" w:after="0"/>
              <w:ind w:left="28"/>
              <w:rPr>
                <w:rFonts w:ascii="Times New Roman" w:hAnsi="Times New Roman"/>
                <w:sz w:val="18"/>
              </w:rPr>
            </w:pPr>
          </w:p>
          <w:p w14:paraId="6B859950" w14:textId="2B53B04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 xml:space="preserve">rozporządzenia delegowanego (UE) 2015/61 jako </w:t>
            </w:r>
            <w:r>
              <w:rPr>
                <w:rFonts w:ascii="Times New Roman" w:hAnsi="Times New Roman"/>
                <w:sz w:val="18"/>
              </w:rPr>
              <w:lastRenderedPageBreak/>
              <w:t>składnik aktywów płynnych, jeżeli nie byłby wykorzystany jako zabezpieczenie dla tych transakcji; oraz</w:t>
            </w:r>
          </w:p>
          <w:p w14:paraId="7F57745D" w14:textId="77777777" w:rsidR="001A0B09" w:rsidRDefault="001A0B09">
            <w:pPr>
              <w:spacing w:before="0" w:after="0"/>
              <w:ind w:left="748"/>
              <w:rPr>
                <w:rFonts w:ascii="Times New Roman" w:eastAsia="PMingLiU" w:hAnsi="Times New Roman"/>
                <w:b/>
                <w:bCs/>
                <w:sz w:val="18"/>
                <w:szCs w:val="18"/>
              </w:rPr>
            </w:pPr>
          </w:p>
          <w:p w14:paraId="59181FFA" w14:textId="449E3D6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0D8F8DF8" w14:textId="77777777" w:rsidR="001A0B09" w:rsidRDefault="001A0B09">
            <w:pPr>
              <w:spacing w:before="0" w:after="0"/>
              <w:ind w:left="28"/>
              <w:rPr>
                <w:rFonts w:ascii="Times New Roman" w:eastAsia="PMingLiU" w:hAnsi="Times New Roman"/>
                <w:b/>
                <w:bCs/>
                <w:sz w:val="18"/>
                <w:szCs w:val="18"/>
              </w:rPr>
            </w:pPr>
          </w:p>
        </w:tc>
      </w:tr>
      <w:tr w:rsidR="001A0B09" w14:paraId="50678501" w14:textId="77777777" w:rsidTr="0039321F">
        <w:tc>
          <w:tcPr>
            <w:tcW w:w="703" w:type="dxa"/>
            <w:shd w:val="clear" w:color="auto" w:fill="FFFFFF"/>
            <w:vAlign w:val="center"/>
          </w:tcPr>
          <w:p w14:paraId="36C2D1E0" w14:textId="097767D7" w:rsidR="001A0B09" w:rsidRDefault="00AD7441">
            <w:pPr>
              <w:rPr>
                <w:rFonts w:ascii="Times New Roman" w:eastAsia="PMingLiU" w:hAnsi="Times New Roman"/>
                <w:sz w:val="18"/>
                <w:szCs w:val="18"/>
              </w:rPr>
            </w:pPr>
            <w:r>
              <w:rPr>
                <w:rFonts w:ascii="Times New Roman" w:hAnsi="Times New Roman"/>
                <w:sz w:val="18"/>
                <w:szCs w:val="18"/>
              </w:rPr>
              <w:lastRenderedPageBreak/>
              <w:t>1170</w:t>
            </w:r>
          </w:p>
        </w:tc>
        <w:tc>
          <w:tcPr>
            <w:tcW w:w="7371" w:type="dxa"/>
            <w:shd w:val="clear" w:color="auto" w:fill="FFFFFF"/>
          </w:tcPr>
          <w:p w14:paraId="6AFA567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inne aktywa poziomu 2B</w:t>
            </w:r>
          </w:p>
          <w:p w14:paraId="20D4EAA1" w14:textId="77777777" w:rsidR="001A0B09" w:rsidRDefault="001A0B09">
            <w:pPr>
              <w:spacing w:before="0" w:after="0"/>
              <w:ind w:left="28"/>
              <w:rPr>
                <w:rFonts w:ascii="Times New Roman" w:eastAsia="PMingLiU" w:hAnsi="Times New Roman"/>
                <w:b/>
                <w:sz w:val="18"/>
                <w:szCs w:val="18"/>
              </w:rPr>
            </w:pPr>
          </w:p>
          <w:p w14:paraId="2339E7A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inne </w:t>
            </w:r>
            <w:r>
              <w:rPr>
                <w:rFonts w:ascii="Times New Roman" w:hAnsi="Times New Roman"/>
                <w:sz w:val="18"/>
                <w:szCs w:val="18"/>
              </w:rPr>
              <w:t xml:space="preserve">aktywa poziomu 2B </w:t>
            </w:r>
            <w:r>
              <w:rPr>
                <w:rFonts w:ascii="Times New Roman" w:hAnsi="Times New Roman"/>
                <w:bCs/>
                <w:sz w:val="18"/>
                <w:szCs w:val="18"/>
              </w:rPr>
              <w:t xml:space="preserve">(będące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7F7897E1" w14:textId="77777777" w:rsidR="001A0B09" w:rsidRDefault="001A0B09">
            <w:pPr>
              <w:spacing w:before="0" w:after="0"/>
              <w:ind w:left="28"/>
              <w:rPr>
                <w:rFonts w:ascii="Times New Roman" w:eastAsia="PMingLiU" w:hAnsi="Times New Roman"/>
                <w:sz w:val="18"/>
                <w:szCs w:val="18"/>
              </w:rPr>
            </w:pPr>
          </w:p>
        </w:tc>
      </w:tr>
      <w:tr w:rsidR="001A0B09" w14:paraId="4487BDC7" w14:textId="77777777" w:rsidTr="0039321F">
        <w:tc>
          <w:tcPr>
            <w:tcW w:w="703" w:type="dxa"/>
            <w:shd w:val="clear" w:color="auto" w:fill="FFFFFF"/>
            <w:vAlign w:val="center"/>
          </w:tcPr>
          <w:p w14:paraId="2E66515B" w14:textId="44D75A41" w:rsidR="001A0B09"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w tym: zabezpieczenie będące przedmiotem wymiany spełnia wymogi operacyjne</w:t>
            </w:r>
          </w:p>
          <w:p w14:paraId="4476867C" w14:textId="77777777" w:rsidR="001A0B09" w:rsidRDefault="001A0B09">
            <w:pPr>
              <w:spacing w:before="0" w:after="0"/>
              <w:ind w:left="28"/>
              <w:rPr>
                <w:rFonts w:ascii="Times New Roman" w:eastAsia="PMingLiU" w:hAnsi="Times New Roman"/>
                <w:b/>
                <w:bCs/>
                <w:sz w:val="18"/>
                <w:szCs w:val="18"/>
              </w:rPr>
            </w:pPr>
          </w:p>
          <w:p w14:paraId="12121206"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1.7.7. instytucje kredytowe zgłaszają:</w:t>
            </w:r>
          </w:p>
          <w:p w14:paraId="5A4A34E3" w14:textId="77777777" w:rsidR="001A0B09" w:rsidRDefault="001A0B09">
            <w:pPr>
              <w:spacing w:before="0" w:after="0"/>
              <w:ind w:left="28"/>
              <w:rPr>
                <w:rFonts w:ascii="Times New Roman" w:hAnsi="Times New Roman"/>
                <w:sz w:val="18"/>
              </w:rPr>
            </w:pPr>
          </w:p>
          <w:p w14:paraId="6BDBD7F5" w14:textId="39E4D97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BF8B6A1" w14:textId="77777777" w:rsidR="001A0B09" w:rsidRDefault="001A0B09">
            <w:pPr>
              <w:spacing w:before="0" w:after="0"/>
              <w:ind w:left="748"/>
              <w:rPr>
                <w:rFonts w:ascii="Times New Roman" w:eastAsia="PMingLiU" w:hAnsi="Times New Roman"/>
                <w:b/>
                <w:bCs/>
                <w:sz w:val="18"/>
                <w:szCs w:val="18"/>
              </w:rPr>
            </w:pPr>
          </w:p>
          <w:p w14:paraId="3F833C98" w14:textId="1B782D2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8B861AC" w14:textId="77777777" w:rsidR="001A0B09" w:rsidRDefault="001A0B09">
            <w:pPr>
              <w:spacing w:before="0" w:after="0"/>
              <w:ind w:left="28"/>
              <w:rPr>
                <w:rFonts w:ascii="Times New Roman" w:eastAsia="PMingLiU" w:hAnsi="Times New Roman"/>
                <w:b/>
                <w:bCs/>
                <w:sz w:val="18"/>
                <w:szCs w:val="18"/>
              </w:rPr>
            </w:pPr>
          </w:p>
        </w:tc>
      </w:tr>
      <w:tr w:rsidR="001A0B09" w14:paraId="77EA1465" w14:textId="77777777" w:rsidTr="0039321F">
        <w:tc>
          <w:tcPr>
            <w:tcW w:w="703" w:type="dxa"/>
            <w:shd w:val="clear" w:color="auto" w:fill="FFFFFF"/>
            <w:vAlign w:val="center"/>
          </w:tcPr>
          <w:p w14:paraId="26886146" w14:textId="14AE3D77" w:rsidR="001A0B09"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aktywa niepłynne</w:t>
            </w:r>
          </w:p>
          <w:p w14:paraId="34A680DC" w14:textId="77777777" w:rsidR="001A0B09" w:rsidRDefault="001A0B09">
            <w:pPr>
              <w:spacing w:before="0" w:after="0"/>
              <w:ind w:left="28"/>
              <w:rPr>
                <w:rFonts w:ascii="Times New Roman" w:eastAsia="PMingLiU" w:hAnsi="Times New Roman"/>
                <w:b/>
                <w:sz w:val="18"/>
                <w:szCs w:val="18"/>
              </w:rPr>
            </w:pPr>
          </w:p>
          <w:p w14:paraId="72AA361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(będące przedmiotem udzielonej pożyczki) na aktywa niepłynne (będące przedmiotem zaciągniętej pożyczki).</w:t>
            </w:r>
          </w:p>
          <w:p w14:paraId="06EAC73D" w14:textId="77777777" w:rsidR="001A0B09" w:rsidRDefault="001A0B09">
            <w:pPr>
              <w:spacing w:before="0" w:after="0"/>
              <w:ind w:left="28"/>
              <w:rPr>
                <w:rFonts w:ascii="Times New Roman" w:eastAsia="PMingLiU" w:hAnsi="Times New Roman"/>
                <w:sz w:val="18"/>
                <w:szCs w:val="18"/>
              </w:rPr>
            </w:pPr>
          </w:p>
        </w:tc>
      </w:tr>
      <w:tr w:rsidR="001A0B09" w14:paraId="271D3CD2" w14:textId="77777777" w:rsidTr="0039321F">
        <w:tc>
          <w:tcPr>
            <w:tcW w:w="703" w:type="dxa"/>
            <w:shd w:val="clear" w:color="auto" w:fill="auto"/>
            <w:vAlign w:val="center"/>
          </w:tcPr>
          <w:p w14:paraId="6A1D7175" w14:textId="7B78CD80" w:rsidR="001A0B09"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1.7.8.1. w tym: zabezpieczenie będące przedmiotem wymiany spełnia wymogi operacyjne</w:t>
            </w:r>
          </w:p>
          <w:p w14:paraId="5684BA42" w14:textId="77777777" w:rsidR="001A0B09" w:rsidRDefault="001A0B09">
            <w:pPr>
              <w:spacing w:before="0" w:after="0"/>
              <w:ind w:left="28"/>
              <w:rPr>
                <w:rFonts w:ascii="Times New Roman" w:eastAsia="PMingLiU" w:hAnsi="Times New Roman"/>
                <w:b/>
                <w:bCs/>
                <w:sz w:val="18"/>
                <w:szCs w:val="18"/>
              </w:rPr>
            </w:pPr>
          </w:p>
          <w:p w14:paraId="3CEA52AA" w14:textId="0555F999"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1.7.8.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047211B0" w14:textId="77777777" w:rsidR="001A0B09" w:rsidRDefault="001A0B09">
            <w:pPr>
              <w:spacing w:before="0" w:after="0"/>
              <w:ind w:left="28"/>
              <w:rPr>
                <w:rFonts w:ascii="Times New Roman" w:eastAsia="PMingLiU" w:hAnsi="Times New Roman"/>
                <w:b/>
                <w:bCs/>
                <w:sz w:val="18"/>
                <w:szCs w:val="18"/>
              </w:rPr>
            </w:pPr>
          </w:p>
        </w:tc>
      </w:tr>
      <w:tr w:rsidR="001A0B09" w14:paraId="5F38A0CA" w14:textId="77777777" w:rsidTr="0039321F">
        <w:tc>
          <w:tcPr>
            <w:tcW w:w="703" w:type="dxa"/>
            <w:shd w:val="clear" w:color="auto" w:fill="auto"/>
            <w:vAlign w:val="center"/>
          </w:tcPr>
          <w:p w14:paraId="27B2FA64" w14:textId="6470AE72" w:rsidR="001A0B09"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Całkowite wartości transakcji, w których przedmiotem udzielonej pożyczki są aktywa niepłynne, a przedmiotem zaciągniętej pożyczki są następujące rodzaje zabezpieczenia:</w:t>
            </w:r>
          </w:p>
          <w:p w14:paraId="652143F0" w14:textId="77777777" w:rsidR="001A0B09" w:rsidRDefault="001A0B09">
            <w:pPr>
              <w:spacing w:before="0" w:after="0"/>
              <w:ind w:left="28"/>
              <w:rPr>
                <w:rFonts w:ascii="Times New Roman" w:eastAsia="PMingLiU" w:hAnsi="Times New Roman"/>
                <w:sz w:val="18"/>
                <w:szCs w:val="18"/>
              </w:rPr>
            </w:pPr>
          </w:p>
          <w:p w14:paraId="48382986" w14:textId="4E55273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2D9DE3A1" w14:textId="77777777" w:rsidR="001A0B09" w:rsidRDefault="001A0B09">
            <w:pPr>
              <w:spacing w:before="0" w:after="0"/>
              <w:ind w:left="28"/>
              <w:rPr>
                <w:rFonts w:ascii="Times New Roman" w:eastAsia="PMingLiU" w:hAnsi="Times New Roman"/>
                <w:bCs/>
                <w:sz w:val="18"/>
                <w:szCs w:val="18"/>
              </w:rPr>
            </w:pPr>
          </w:p>
          <w:p w14:paraId="1D326B30" w14:textId="77777777" w:rsidR="001A0B09"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W tej sekcji instytucje kredytowe zgłaszają, w odniesieniu do odpowiednich kolumn, całkowite wartości transakcji zabezpieczających swap </w:t>
            </w:r>
            <w:r>
              <w:rPr>
                <w:rFonts w:ascii="Times New Roman" w:hAnsi="Times New Roman"/>
                <w:sz w:val="18"/>
                <w:szCs w:val="18"/>
              </w:rPr>
              <w:t>w ramach transakcji, w których przedmiotem udzielonej pożyczki są aktywa niepłynne.</w:t>
            </w:r>
          </w:p>
          <w:p w14:paraId="3246BFCB" w14:textId="77777777" w:rsidR="001A0B09" w:rsidRDefault="001A0B09">
            <w:pPr>
              <w:spacing w:before="0" w:after="0"/>
              <w:ind w:left="28"/>
              <w:rPr>
                <w:rFonts w:ascii="Times New Roman" w:eastAsia="PMingLiU" w:hAnsi="Times New Roman"/>
                <w:sz w:val="18"/>
                <w:szCs w:val="18"/>
              </w:rPr>
            </w:pPr>
          </w:p>
        </w:tc>
      </w:tr>
      <w:tr w:rsidR="001A0B09" w14:paraId="6307019A" w14:textId="77777777" w:rsidTr="0039321F">
        <w:tc>
          <w:tcPr>
            <w:tcW w:w="703" w:type="dxa"/>
            <w:shd w:val="clear" w:color="auto" w:fill="FFFFFF"/>
            <w:vAlign w:val="center"/>
          </w:tcPr>
          <w:p w14:paraId="1A7D619E" w14:textId="51E12A7F" w:rsidR="001A0B09"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aktywa poziomu 1 (z wyłączeniem obligacji zabezpieczonych charakteryzujących się wyjątkowo wysoką jakością)</w:t>
            </w:r>
          </w:p>
          <w:p w14:paraId="1A9F2172" w14:textId="77777777" w:rsidR="001A0B09"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poziomu 1, z wyłączeniem obligacji zabezpieczonych charakteryzujących się wyjątkowo wysoką jakością, (będące przedmiotem zaciągniętej pożyczki).</w:t>
            </w:r>
          </w:p>
          <w:p w14:paraId="65D2CCC8" w14:textId="77777777" w:rsidR="001A0B09" w:rsidRDefault="001A0B09">
            <w:pPr>
              <w:autoSpaceDE w:val="0"/>
              <w:autoSpaceDN w:val="0"/>
              <w:adjustRightInd w:val="0"/>
              <w:spacing w:before="0" w:after="0"/>
              <w:rPr>
                <w:rFonts w:ascii="Times New Roman" w:eastAsia="PMingLiU" w:hAnsi="Times New Roman"/>
                <w:sz w:val="18"/>
                <w:szCs w:val="18"/>
              </w:rPr>
            </w:pPr>
          </w:p>
        </w:tc>
      </w:tr>
      <w:tr w:rsidR="001A0B09" w14:paraId="1D3733CC" w14:textId="77777777" w:rsidTr="0039321F">
        <w:tc>
          <w:tcPr>
            <w:tcW w:w="703" w:type="dxa"/>
            <w:shd w:val="clear" w:color="auto" w:fill="FFFFFF"/>
            <w:vAlign w:val="center"/>
          </w:tcPr>
          <w:p w14:paraId="1ED54ED5" w14:textId="4628373B" w:rsidR="001A0B09" w:rsidRDefault="00AD7441">
            <w:pPr>
              <w:rPr>
                <w:rFonts w:ascii="Times New Roman" w:eastAsia="PMingLiU" w:hAnsi="Times New Roman"/>
                <w:sz w:val="18"/>
                <w:szCs w:val="18"/>
              </w:rPr>
            </w:pPr>
            <w:r>
              <w:rPr>
                <w:rFonts w:ascii="Times New Roman" w:hAnsi="Times New Roman"/>
                <w:sz w:val="18"/>
                <w:szCs w:val="18"/>
              </w:rPr>
              <w:t>1230</w:t>
            </w:r>
          </w:p>
        </w:tc>
        <w:tc>
          <w:tcPr>
            <w:tcW w:w="7371" w:type="dxa"/>
            <w:shd w:val="clear" w:color="auto" w:fill="FFFFFF"/>
          </w:tcPr>
          <w:p w14:paraId="783E0BB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w tym: zabezpieczenie będące przedmiotem wymiany spełnia wymogi operacyjne</w:t>
            </w:r>
          </w:p>
          <w:p w14:paraId="7F53FFC8" w14:textId="77777777" w:rsidR="001A0B09" w:rsidRDefault="001A0B09">
            <w:pPr>
              <w:spacing w:before="0" w:after="0"/>
              <w:ind w:left="28"/>
              <w:rPr>
                <w:rFonts w:ascii="Times New Roman" w:eastAsia="PMingLiU" w:hAnsi="Times New Roman"/>
                <w:b/>
                <w:bCs/>
                <w:sz w:val="18"/>
                <w:szCs w:val="18"/>
              </w:rPr>
            </w:pPr>
          </w:p>
          <w:p w14:paraId="5488A48D" w14:textId="33CE5182"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1.8.1. instytucje kredytowe zgłaszają składnik zabezpieczenia będącego przedmiotem zaciągniętej pożyczki, jeżeli spełnia wymagania operacyjne określone w art. 8 rozporządzenia delegowanego (UE) 2015/61.</w:t>
            </w:r>
          </w:p>
          <w:p w14:paraId="191D89AB" w14:textId="77777777" w:rsidR="001A0B09" w:rsidRDefault="001A0B09">
            <w:pPr>
              <w:spacing w:before="0" w:after="0"/>
              <w:ind w:left="28"/>
              <w:rPr>
                <w:rFonts w:ascii="Times New Roman" w:eastAsia="PMingLiU" w:hAnsi="Times New Roman"/>
                <w:b/>
                <w:bCs/>
                <w:sz w:val="18"/>
                <w:szCs w:val="18"/>
              </w:rPr>
            </w:pPr>
          </w:p>
        </w:tc>
      </w:tr>
      <w:tr w:rsidR="001A0B09" w14:paraId="041A3742" w14:textId="77777777" w:rsidTr="0039321F">
        <w:tc>
          <w:tcPr>
            <w:tcW w:w="703" w:type="dxa"/>
            <w:shd w:val="clear" w:color="auto" w:fill="FFFFFF"/>
            <w:vAlign w:val="center"/>
          </w:tcPr>
          <w:p w14:paraId="69CAE84E" w14:textId="0FDBBE42" w:rsidR="001A0B09"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aktywa poziomu 1: obligacje zabezpieczone charakteryzujące się wyjątkowo wysoką jakością</w:t>
            </w:r>
          </w:p>
          <w:p w14:paraId="12C8F832" w14:textId="77777777" w:rsidR="001A0B09" w:rsidRDefault="001A0B09">
            <w:pPr>
              <w:spacing w:before="0" w:after="0"/>
              <w:ind w:left="28"/>
              <w:rPr>
                <w:rFonts w:ascii="Times New Roman" w:eastAsia="PMingLiU" w:hAnsi="Times New Roman"/>
                <w:b/>
                <w:sz w:val="18"/>
                <w:szCs w:val="18"/>
              </w:rPr>
            </w:pPr>
          </w:p>
          <w:p w14:paraId="42E6558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poziomu 1: obligacje zabezpieczone charakteryzujące się wyjątkowo wysoką jakością (będące przedmiotem zaciągniętej pożyczki).</w:t>
            </w:r>
          </w:p>
          <w:p w14:paraId="196CF5B1" w14:textId="77777777" w:rsidR="001A0B09" w:rsidRDefault="001A0B09">
            <w:pPr>
              <w:spacing w:before="0" w:after="0"/>
              <w:ind w:left="28"/>
              <w:rPr>
                <w:rFonts w:ascii="Times New Roman" w:eastAsia="PMingLiU" w:hAnsi="Times New Roman"/>
                <w:bCs/>
              </w:rPr>
            </w:pPr>
          </w:p>
        </w:tc>
      </w:tr>
      <w:tr w:rsidR="001A0B09" w14:paraId="78D70E69" w14:textId="77777777" w:rsidTr="0039321F">
        <w:tc>
          <w:tcPr>
            <w:tcW w:w="703" w:type="dxa"/>
            <w:shd w:val="clear" w:color="auto" w:fill="FFFFFF"/>
            <w:vAlign w:val="center"/>
          </w:tcPr>
          <w:p w14:paraId="7CC69C0A" w14:textId="7C1EAC0F" w:rsidR="001A0B09"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w tym: zabezpieczenie będące przedmiotem wymiany spełnia wymogi operacyjne</w:t>
            </w:r>
          </w:p>
          <w:p w14:paraId="139E201C" w14:textId="77777777" w:rsidR="001A0B09" w:rsidRDefault="001A0B09">
            <w:pPr>
              <w:spacing w:before="0" w:after="0"/>
              <w:ind w:left="28"/>
              <w:rPr>
                <w:rFonts w:ascii="Times New Roman" w:eastAsia="PMingLiU" w:hAnsi="Times New Roman"/>
                <w:b/>
                <w:bCs/>
                <w:sz w:val="18"/>
                <w:szCs w:val="18"/>
              </w:rPr>
            </w:pPr>
          </w:p>
          <w:p w14:paraId="34429190" w14:textId="0D19AA9E" w:rsidR="001A0B09" w:rsidRDefault="00F71050">
            <w:pPr>
              <w:spacing w:before="0" w:after="0"/>
              <w:ind w:left="28"/>
              <w:rPr>
                <w:rFonts w:ascii="Times New Roman" w:eastAsia="PMingLiU" w:hAnsi="Times New Roman"/>
                <w:b/>
                <w:bCs/>
                <w:sz w:val="18"/>
                <w:szCs w:val="18"/>
              </w:rPr>
            </w:pPr>
            <w:r>
              <w:rPr>
                <w:rFonts w:ascii="Times New Roman" w:hAnsi="Times New Roman"/>
                <w:sz w:val="18"/>
              </w:rPr>
              <w:t xml:space="preserve">Spośród transakcji w pozycji 1.8.2. instytucje kredytowe zgłaszają składnik zabezpieczenia </w:t>
            </w:r>
            <w:r>
              <w:rPr>
                <w:rFonts w:ascii="Times New Roman" w:hAnsi="Times New Roman"/>
                <w:sz w:val="18"/>
              </w:rPr>
              <w:lastRenderedPageBreak/>
              <w:t>będącego przedmiotem zaciągniętej pożyczki, jeżeli spełnia wymagania operacyjne określone w art. 8 rozporządzenia delegowanego (UE) 2015/61.</w:t>
            </w:r>
          </w:p>
        </w:tc>
      </w:tr>
      <w:tr w:rsidR="001A0B09" w14:paraId="35AC1500" w14:textId="77777777" w:rsidTr="0039321F">
        <w:tc>
          <w:tcPr>
            <w:tcW w:w="703" w:type="dxa"/>
            <w:shd w:val="clear" w:color="auto" w:fill="FFFFFF"/>
            <w:vAlign w:val="center"/>
          </w:tcPr>
          <w:p w14:paraId="6D50CED3" w14:textId="3FBBC398" w:rsidR="001A0B09" w:rsidRDefault="00AD7441">
            <w:pPr>
              <w:rPr>
                <w:rFonts w:ascii="Times New Roman" w:eastAsia="PMingLiU" w:hAnsi="Times New Roman"/>
                <w:sz w:val="18"/>
                <w:szCs w:val="18"/>
              </w:rPr>
            </w:pPr>
            <w:r>
              <w:rPr>
                <w:rFonts w:ascii="Times New Roman" w:hAnsi="Times New Roman"/>
                <w:sz w:val="18"/>
                <w:szCs w:val="18"/>
              </w:rPr>
              <w:lastRenderedPageBreak/>
              <w:t>1260</w:t>
            </w:r>
          </w:p>
        </w:tc>
        <w:tc>
          <w:tcPr>
            <w:tcW w:w="7371" w:type="dxa"/>
            <w:shd w:val="clear" w:color="auto" w:fill="FFFFFF"/>
          </w:tcPr>
          <w:p w14:paraId="501B581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aktywa poziomu 2A</w:t>
            </w:r>
          </w:p>
          <w:p w14:paraId="440EF8F7" w14:textId="77777777" w:rsidR="001A0B09" w:rsidRDefault="001A0B09">
            <w:pPr>
              <w:spacing w:before="0" w:after="0"/>
              <w:ind w:left="28"/>
              <w:rPr>
                <w:rFonts w:ascii="Times New Roman" w:eastAsia="PMingLiU" w:hAnsi="Times New Roman"/>
                <w:b/>
                <w:sz w:val="18"/>
                <w:szCs w:val="18"/>
              </w:rPr>
            </w:pPr>
          </w:p>
          <w:p w14:paraId="0D7205A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poziomu 2A (będące przedmiotem zaciągniętej pożyczki).</w:t>
            </w:r>
          </w:p>
          <w:p w14:paraId="6A50B7E7" w14:textId="77777777" w:rsidR="001A0B09" w:rsidRDefault="001A0B09">
            <w:pPr>
              <w:spacing w:before="0" w:after="0"/>
              <w:ind w:left="28"/>
              <w:rPr>
                <w:rFonts w:ascii="Times New Roman" w:eastAsia="PMingLiU" w:hAnsi="Times New Roman"/>
                <w:szCs w:val="18"/>
              </w:rPr>
            </w:pPr>
          </w:p>
        </w:tc>
      </w:tr>
      <w:tr w:rsidR="001A0B09" w14:paraId="543B9AD9" w14:textId="77777777" w:rsidTr="0039321F">
        <w:tc>
          <w:tcPr>
            <w:tcW w:w="703" w:type="dxa"/>
            <w:shd w:val="clear" w:color="auto" w:fill="FFFFFF"/>
            <w:vAlign w:val="center"/>
          </w:tcPr>
          <w:p w14:paraId="25AE730C" w14:textId="214B79B5" w:rsidR="001A0B09"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w tym: zabezpieczenie będące przedmiotem wymiany spełnia wymogi operacyjne</w:t>
            </w:r>
          </w:p>
          <w:p w14:paraId="4951B60E" w14:textId="77777777" w:rsidR="001A0B09" w:rsidRDefault="001A0B09">
            <w:pPr>
              <w:spacing w:before="0" w:after="0"/>
              <w:ind w:left="28"/>
              <w:rPr>
                <w:rFonts w:ascii="Times New Roman" w:eastAsia="PMingLiU" w:hAnsi="Times New Roman"/>
                <w:b/>
                <w:bCs/>
                <w:sz w:val="18"/>
                <w:szCs w:val="18"/>
              </w:rPr>
            </w:pPr>
          </w:p>
          <w:p w14:paraId="5EC204B6" w14:textId="2CB32054"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1.8.3. instytucje kredytowe zgłaszają składnik zabezpieczenia będącego przedmiotem zaciągniętej pożyczki, jeżeli spełnia wymagania operacyjne określone w art. 8 rozporządzenia delegowanego (UE) 2015/61.</w:t>
            </w:r>
          </w:p>
        </w:tc>
      </w:tr>
      <w:tr w:rsidR="001A0B09" w14:paraId="23999962" w14:textId="77777777" w:rsidTr="0039321F">
        <w:tc>
          <w:tcPr>
            <w:tcW w:w="703" w:type="dxa"/>
            <w:shd w:val="clear" w:color="auto" w:fill="FFFFFF"/>
            <w:vAlign w:val="center"/>
          </w:tcPr>
          <w:p w14:paraId="0DB063C8" w14:textId="6788E646" w:rsidR="001A0B09"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aktywa poziomu 2B: papiery wartościowe zabezpieczone aktywami (kredyty na nieruchomości mieszkalne lub na zakup samochodów, CQS1)</w:t>
            </w:r>
          </w:p>
          <w:p w14:paraId="254A5A0B" w14:textId="77777777" w:rsidR="001A0B09" w:rsidRDefault="001A0B09">
            <w:pPr>
              <w:spacing w:before="0" w:after="0"/>
              <w:ind w:left="28"/>
              <w:rPr>
                <w:rFonts w:ascii="Times New Roman" w:eastAsia="PMingLiU" w:hAnsi="Times New Roman"/>
                <w:b/>
                <w:sz w:val="18"/>
                <w:szCs w:val="18"/>
              </w:rPr>
            </w:pPr>
          </w:p>
          <w:p w14:paraId="306D12A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niepłynne (będące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6371E636" w14:textId="77777777" w:rsidR="001A0B09" w:rsidRDefault="001A0B09">
            <w:pPr>
              <w:spacing w:before="0" w:after="0"/>
              <w:ind w:left="28"/>
              <w:rPr>
                <w:rFonts w:ascii="Times New Roman" w:eastAsia="PMingLiU" w:hAnsi="Times New Roman"/>
                <w:szCs w:val="18"/>
              </w:rPr>
            </w:pPr>
          </w:p>
        </w:tc>
      </w:tr>
      <w:tr w:rsidR="001A0B09" w14:paraId="3CCD4E06" w14:textId="77777777" w:rsidTr="0039321F">
        <w:tc>
          <w:tcPr>
            <w:tcW w:w="703" w:type="dxa"/>
            <w:shd w:val="clear" w:color="auto" w:fill="FFFFFF"/>
            <w:vAlign w:val="center"/>
          </w:tcPr>
          <w:p w14:paraId="569E106E" w14:textId="09F6FD40" w:rsidR="001A0B09"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w tym: zabezpieczenie będące przedmiotem wymiany spełnia wymogi operacyjne</w:t>
            </w:r>
          </w:p>
          <w:p w14:paraId="7253870A" w14:textId="77777777" w:rsidR="001A0B09" w:rsidRDefault="001A0B09">
            <w:pPr>
              <w:spacing w:before="0" w:after="0"/>
              <w:ind w:left="28"/>
              <w:rPr>
                <w:rFonts w:ascii="Times New Roman" w:eastAsia="PMingLiU" w:hAnsi="Times New Roman"/>
                <w:b/>
                <w:bCs/>
                <w:sz w:val="18"/>
                <w:szCs w:val="18"/>
              </w:rPr>
            </w:pPr>
          </w:p>
          <w:p w14:paraId="097085E5" w14:textId="6EEC0171"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1.8.4. instytucje kredytowe zgłaszają składnik zabezpieczenia będącego przedmiotem zaciągniętej pożyczki, jeżeli spełnia wymagania operacyjne określone w art. 8 rozporządzenia delegowanego (UE) 2015/61.</w:t>
            </w:r>
          </w:p>
        </w:tc>
      </w:tr>
      <w:tr w:rsidR="001A0B09" w14:paraId="099A99FA" w14:textId="77777777" w:rsidTr="0039321F">
        <w:tc>
          <w:tcPr>
            <w:tcW w:w="703" w:type="dxa"/>
            <w:shd w:val="clear" w:color="auto" w:fill="FFFFFF"/>
            <w:vAlign w:val="center"/>
          </w:tcPr>
          <w:p w14:paraId="2B371FFC" w14:textId="635E305A" w:rsidR="001A0B09"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aktywa poziomu 2B: obligacje zabezpieczone charakteryzujące się wysoką jakością</w:t>
            </w:r>
          </w:p>
          <w:p w14:paraId="40A68B42" w14:textId="77777777" w:rsidR="001A0B09" w:rsidRDefault="001A0B09">
            <w:pPr>
              <w:spacing w:before="0" w:after="0"/>
              <w:ind w:left="28"/>
              <w:rPr>
                <w:rFonts w:ascii="Times New Roman" w:eastAsia="PMingLiU" w:hAnsi="Times New Roman"/>
                <w:b/>
                <w:sz w:val="18"/>
                <w:szCs w:val="18"/>
              </w:rPr>
            </w:pPr>
          </w:p>
          <w:p w14:paraId="50393CD1"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poziomu 2B w postaci obligacji zabezpieczonych charakteryzujących się wysoką jakością (będące przedmiotem zaciągniętej pożyczki).</w:t>
            </w:r>
          </w:p>
          <w:p w14:paraId="3EDEEF99" w14:textId="77777777" w:rsidR="001A0B09" w:rsidRDefault="001A0B09">
            <w:pPr>
              <w:spacing w:before="0" w:after="0"/>
              <w:ind w:left="28"/>
              <w:rPr>
                <w:rFonts w:ascii="Times New Roman" w:eastAsia="PMingLiU" w:hAnsi="Times New Roman"/>
                <w:sz w:val="18"/>
                <w:szCs w:val="18"/>
              </w:rPr>
            </w:pPr>
          </w:p>
        </w:tc>
      </w:tr>
      <w:tr w:rsidR="001A0B09" w14:paraId="79E6A98C" w14:textId="77777777" w:rsidTr="0039321F">
        <w:tc>
          <w:tcPr>
            <w:tcW w:w="703" w:type="dxa"/>
            <w:shd w:val="clear" w:color="auto" w:fill="FFFFFF"/>
            <w:vAlign w:val="center"/>
          </w:tcPr>
          <w:p w14:paraId="0B11B3B0" w14:textId="2F71DE10" w:rsidR="001A0B09"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w tym: zabezpieczenie będące przedmiotem wymiany spełnia wymogi operacyjne</w:t>
            </w:r>
          </w:p>
          <w:p w14:paraId="1210BE7F" w14:textId="77777777" w:rsidR="001A0B09" w:rsidRDefault="001A0B09">
            <w:pPr>
              <w:spacing w:before="0" w:after="0"/>
              <w:ind w:left="28"/>
              <w:rPr>
                <w:rFonts w:ascii="Times New Roman" w:eastAsia="PMingLiU" w:hAnsi="Times New Roman"/>
                <w:b/>
                <w:bCs/>
                <w:sz w:val="18"/>
                <w:szCs w:val="18"/>
              </w:rPr>
            </w:pPr>
          </w:p>
          <w:p w14:paraId="2768C8A8" w14:textId="6F003E77"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1.8.5. instytucje kredytowe zgłaszają składnik zabezpieczenia będącego przedmiotem zaciągniętej pożyczki, jeżeli spełnia wymagania operacyjne określone w art. 8 rozporządzenia delegowanego (UE) 2015/61.</w:t>
            </w:r>
          </w:p>
        </w:tc>
      </w:tr>
      <w:tr w:rsidR="001A0B09" w14:paraId="7329D86C" w14:textId="77777777" w:rsidTr="0039321F">
        <w:tc>
          <w:tcPr>
            <w:tcW w:w="703" w:type="dxa"/>
            <w:shd w:val="clear" w:color="auto" w:fill="FFFFFF"/>
            <w:vAlign w:val="center"/>
          </w:tcPr>
          <w:p w14:paraId="21035BDE" w14:textId="3E60DED5" w:rsidR="001A0B09"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aktywa poziomu 2B: papiery wartościowe zabezpieczone aktywami (kredyty komercyjne lub dla osób fizycznych, państwo członkowskie, CQS1)</w:t>
            </w:r>
          </w:p>
          <w:p w14:paraId="1BF27F6F" w14:textId="77777777" w:rsidR="001A0B09" w:rsidRDefault="001A0B09">
            <w:pPr>
              <w:spacing w:before="0" w:after="0"/>
              <w:ind w:left="28"/>
              <w:rPr>
                <w:rFonts w:ascii="Times New Roman" w:eastAsia="PMingLiU" w:hAnsi="Times New Roman"/>
                <w:b/>
                <w:sz w:val="18"/>
                <w:szCs w:val="18"/>
              </w:rPr>
            </w:pPr>
          </w:p>
          <w:p w14:paraId="410F7A73"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niepłynne (będące przedmiotem udzielonej pożyczki) na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09D95F4E" w14:textId="77777777" w:rsidR="001A0B09" w:rsidRDefault="001A0B09">
            <w:pPr>
              <w:spacing w:before="0" w:after="0"/>
              <w:ind w:left="28"/>
              <w:rPr>
                <w:rFonts w:ascii="Times New Roman" w:eastAsia="PMingLiU" w:hAnsi="Times New Roman"/>
                <w:sz w:val="18"/>
                <w:szCs w:val="18"/>
              </w:rPr>
            </w:pPr>
          </w:p>
        </w:tc>
      </w:tr>
      <w:tr w:rsidR="001A0B09" w14:paraId="2BEDD5F0" w14:textId="77777777" w:rsidTr="0039321F">
        <w:tc>
          <w:tcPr>
            <w:tcW w:w="703" w:type="dxa"/>
            <w:shd w:val="clear" w:color="auto" w:fill="FFFFFF"/>
            <w:vAlign w:val="center"/>
          </w:tcPr>
          <w:p w14:paraId="2760A411" w14:textId="2551751C" w:rsidR="001A0B09"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w tym: zabezpieczenie będące przedmiotem wymiany spełnia wymogi operacyjne</w:t>
            </w:r>
          </w:p>
          <w:p w14:paraId="568AD679" w14:textId="77777777" w:rsidR="001A0B09" w:rsidRDefault="001A0B09">
            <w:pPr>
              <w:spacing w:before="0" w:after="0"/>
              <w:ind w:left="28"/>
              <w:rPr>
                <w:rFonts w:ascii="Times New Roman" w:eastAsia="PMingLiU" w:hAnsi="Times New Roman"/>
                <w:b/>
                <w:bCs/>
                <w:sz w:val="18"/>
                <w:szCs w:val="18"/>
              </w:rPr>
            </w:pPr>
          </w:p>
          <w:p w14:paraId="2752BB72" w14:textId="1C422CFA"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1.8.6. instytucje kredytowe zgłaszają składnik zabezpieczenia będącego przedmiotem zaciągniętej pożyczki, jeżeli spełnia wymagania operacyjne określone w art. 8 rozporządzenia delegowanego (UE) 2015/61.</w:t>
            </w:r>
          </w:p>
        </w:tc>
      </w:tr>
      <w:tr w:rsidR="001A0B09" w14:paraId="20683B73" w14:textId="77777777" w:rsidTr="0039321F">
        <w:tc>
          <w:tcPr>
            <w:tcW w:w="703" w:type="dxa"/>
            <w:shd w:val="clear" w:color="auto" w:fill="FFFFFF"/>
            <w:vAlign w:val="center"/>
          </w:tcPr>
          <w:p w14:paraId="5E3523A4" w14:textId="410683F2" w:rsidR="001A0B09"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inne aktywa poziomu 2B</w:t>
            </w:r>
          </w:p>
          <w:p w14:paraId="54F1945D" w14:textId="77777777" w:rsidR="001A0B09" w:rsidRDefault="001A0B09">
            <w:pPr>
              <w:spacing w:before="0" w:after="0"/>
              <w:ind w:left="28"/>
              <w:rPr>
                <w:rFonts w:ascii="Times New Roman" w:eastAsia="PMingLiU" w:hAnsi="Times New Roman"/>
                <w:b/>
                <w:sz w:val="18"/>
                <w:szCs w:val="18"/>
              </w:rPr>
            </w:pPr>
          </w:p>
          <w:p w14:paraId="52D586C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niepłynne (będące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64A17090" w14:textId="77777777" w:rsidR="001A0B09" w:rsidRDefault="001A0B09">
            <w:pPr>
              <w:spacing w:before="0" w:after="0"/>
              <w:ind w:left="28"/>
              <w:rPr>
                <w:rFonts w:ascii="Times New Roman" w:eastAsia="PMingLiU" w:hAnsi="Times New Roman"/>
                <w:sz w:val="18"/>
                <w:szCs w:val="18"/>
              </w:rPr>
            </w:pPr>
          </w:p>
        </w:tc>
      </w:tr>
      <w:tr w:rsidR="001A0B09" w14:paraId="4D96B387" w14:textId="77777777" w:rsidTr="0039321F">
        <w:tc>
          <w:tcPr>
            <w:tcW w:w="703" w:type="dxa"/>
            <w:shd w:val="clear" w:color="auto" w:fill="FFFFFF"/>
            <w:vAlign w:val="center"/>
          </w:tcPr>
          <w:p w14:paraId="59BD7D46" w14:textId="3200AD69" w:rsidR="001A0B09"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w tym: zabezpieczenie będące przedmiotem wymiany spełnia wymogi operacyjne</w:t>
            </w:r>
          </w:p>
          <w:p w14:paraId="0777C9A6" w14:textId="77777777" w:rsidR="001A0B09" w:rsidRDefault="001A0B09">
            <w:pPr>
              <w:spacing w:before="0" w:after="0"/>
              <w:ind w:left="28"/>
              <w:rPr>
                <w:rFonts w:ascii="Times New Roman" w:eastAsia="PMingLiU" w:hAnsi="Times New Roman"/>
                <w:b/>
                <w:bCs/>
                <w:sz w:val="18"/>
                <w:szCs w:val="18"/>
              </w:rPr>
            </w:pPr>
          </w:p>
          <w:p w14:paraId="197F8ED1" w14:textId="31C42566"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1.8.7. instytucje kredytowe zgłaszają składnik zabezpieczenia będącego przedmiotem zaciągniętej pożyczki, jeżeli spełnia wymagania operacyjne określone w art. 8 rozporządzenia delegowanego (UE) 2015/61.</w:t>
            </w:r>
          </w:p>
        </w:tc>
      </w:tr>
      <w:tr w:rsidR="001A0B09" w14:paraId="3E68970A" w14:textId="77777777" w:rsidTr="0039321F">
        <w:tc>
          <w:tcPr>
            <w:tcW w:w="703" w:type="dxa"/>
            <w:shd w:val="clear" w:color="auto" w:fill="FFFFFF"/>
            <w:vAlign w:val="center"/>
          </w:tcPr>
          <w:p w14:paraId="29722673" w14:textId="5F096E75" w:rsidR="001A0B09" w:rsidRDefault="00AD7441">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aktywa niepłynne</w:t>
            </w:r>
          </w:p>
          <w:p w14:paraId="13689DE8" w14:textId="77777777" w:rsidR="001A0B09" w:rsidRDefault="001A0B09">
            <w:pPr>
              <w:spacing w:before="0" w:after="0"/>
              <w:ind w:left="28"/>
              <w:rPr>
                <w:rFonts w:ascii="Times New Roman" w:eastAsia="PMingLiU" w:hAnsi="Times New Roman"/>
                <w:b/>
                <w:sz w:val="18"/>
                <w:szCs w:val="18"/>
              </w:rPr>
            </w:pPr>
          </w:p>
          <w:p w14:paraId="2F7E839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niepłynne (będące przedmiotem zaciągniętej pożyczki).</w:t>
            </w:r>
          </w:p>
          <w:p w14:paraId="238B9F3C" w14:textId="77777777" w:rsidR="001A0B09" w:rsidRDefault="001A0B09">
            <w:pPr>
              <w:spacing w:before="0" w:after="0"/>
              <w:ind w:left="28"/>
              <w:rPr>
                <w:rFonts w:ascii="Times New Roman" w:eastAsia="PMingLiU" w:hAnsi="Times New Roman"/>
                <w:sz w:val="18"/>
                <w:szCs w:val="18"/>
              </w:rPr>
            </w:pPr>
          </w:p>
        </w:tc>
      </w:tr>
      <w:tr w:rsidR="001A0B09" w14:paraId="5E8D76A4" w14:textId="77777777" w:rsidTr="0039321F">
        <w:tc>
          <w:tcPr>
            <w:tcW w:w="703" w:type="dxa"/>
            <w:shd w:val="clear" w:color="auto" w:fill="auto"/>
            <w:vAlign w:val="center"/>
          </w:tcPr>
          <w:p w14:paraId="4D773718" w14:textId="07DF6C21" w:rsidR="001A0B09"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CAŁKOWITA WARTOŚĆ TRANSAKCJI ZABEZPIECZAJĄCYCH SWAP (kontrahentem nie jest bank centralny)</w:t>
            </w:r>
          </w:p>
          <w:p w14:paraId="41118F0D" w14:textId="77777777" w:rsidR="001A0B09" w:rsidRDefault="001A0B09">
            <w:pPr>
              <w:spacing w:before="0" w:after="0"/>
              <w:ind w:left="28"/>
              <w:rPr>
                <w:rFonts w:ascii="Times New Roman" w:eastAsia="PMingLiU" w:hAnsi="Times New Roman"/>
                <w:b/>
                <w:bCs/>
                <w:sz w:val="18"/>
                <w:szCs w:val="18"/>
              </w:rPr>
            </w:pPr>
          </w:p>
          <w:p w14:paraId="59A9C10F" w14:textId="4CDB84D5"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Art. 28 ust. 4 i art. 32 ust. 3 rozporządzenia delegowanego (UE) 2015/61.</w:t>
            </w:r>
          </w:p>
          <w:p w14:paraId="60604665" w14:textId="77777777" w:rsidR="001A0B09" w:rsidRDefault="001A0B09">
            <w:pPr>
              <w:spacing w:before="0" w:after="0"/>
              <w:ind w:left="28"/>
              <w:rPr>
                <w:rFonts w:ascii="Times New Roman" w:eastAsia="PMingLiU" w:hAnsi="Times New Roman"/>
                <w:bCs/>
                <w:sz w:val="18"/>
                <w:szCs w:val="18"/>
              </w:rPr>
            </w:pPr>
          </w:p>
          <w:p w14:paraId="68798AB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całkowitą wartość transakcji zabezpieczających swap.</w:t>
            </w:r>
          </w:p>
          <w:p w14:paraId="19CCBD78" w14:textId="77777777" w:rsidR="001A0B09" w:rsidRDefault="001A0B09">
            <w:pPr>
              <w:spacing w:before="0" w:after="0"/>
              <w:ind w:left="28"/>
              <w:rPr>
                <w:rFonts w:ascii="Times New Roman" w:eastAsia="PMingLiU" w:hAnsi="Times New Roman"/>
                <w:bCs/>
                <w:sz w:val="18"/>
                <w:szCs w:val="18"/>
              </w:rPr>
            </w:pPr>
          </w:p>
        </w:tc>
      </w:tr>
      <w:tr w:rsidR="001A0B09" w14:paraId="4C5544D3" w14:textId="77777777" w:rsidTr="0039321F">
        <w:tc>
          <w:tcPr>
            <w:tcW w:w="703" w:type="dxa"/>
            <w:vAlign w:val="center"/>
          </w:tcPr>
          <w:p w14:paraId="740D4771" w14:textId="2143D780" w:rsidR="001A0B09" w:rsidRDefault="00AD7441">
            <w:pPr>
              <w:jc w:val="left"/>
              <w:rPr>
                <w:rFonts w:ascii="Times New Roman" w:eastAsia="PMingLiU" w:hAnsi="Times New Roman"/>
                <w:sz w:val="16"/>
                <w:szCs w:val="16"/>
              </w:rPr>
            </w:pPr>
            <w:r>
              <w:rPr>
                <w:rFonts w:ascii="Times New Roman" w:hAnsi="Times New Roman"/>
                <w:sz w:val="16"/>
                <w:szCs w:val="16"/>
              </w:rPr>
              <w:lastRenderedPageBreak/>
              <w:t>1380</w:t>
            </w:r>
          </w:p>
        </w:tc>
        <w:tc>
          <w:tcPr>
            <w:tcW w:w="7371" w:type="dxa"/>
            <w:shd w:val="clear" w:color="auto" w:fill="auto"/>
          </w:tcPr>
          <w:p w14:paraId="3C7AC066"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Całkowite wartości transakcji, w których przedmiotem udzielonej pożyczki są aktywa poziomu 1 (z wyłączeniem obligacji zabezpieczonych charakteryzujących się wyjątkowo wysoką jakością), a przedmiotem zaciągniętej pożyczki są następujące rodzaje zabezpieczenia:</w:t>
            </w:r>
          </w:p>
          <w:p w14:paraId="4C33D6C1" w14:textId="1C83C3DC"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7BC291D0" w14:textId="77777777" w:rsidR="001A0B09" w:rsidRDefault="001A0B09">
            <w:pPr>
              <w:spacing w:before="0" w:after="0"/>
              <w:ind w:left="28"/>
              <w:rPr>
                <w:rFonts w:ascii="Times New Roman" w:eastAsia="PMingLiU" w:hAnsi="Times New Roman"/>
                <w:bCs/>
                <w:sz w:val="18"/>
                <w:szCs w:val="18"/>
              </w:rPr>
            </w:pPr>
          </w:p>
          <w:p w14:paraId="7260C162"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W tej sekcji instytucje kredytowe zgłaszają, w odniesieniu do odpowiednich kolumn, całkowitą wartość transakcji zabezpieczających swap w ramach transakcji, </w:t>
            </w:r>
            <w:r>
              <w:rPr>
                <w:rFonts w:ascii="Times New Roman" w:hAnsi="Times New Roman"/>
                <w:sz w:val="18"/>
                <w:szCs w:val="18"/>
              </w:rPr>
              <w:t>w których przedmiotem udzielonej pożyczki są aktywa poziomu 1 (z wyłączeniem obligacji zabezpieczonych charakteryzujących się wyjątkowo wysoką jakością).</w:t>
            </w:r>
          </w:p>
          <w:p w14:paraId="04E7D14E" w14:textId="77777777" w:rsidR="001A0B09" w:rsidRDefault="001A0B09">
            <w:pPr>
              <w:spacing w:before="0" w:after="0"/>
              <w:ind w:left="28"/>
              <w:rPr>
                <w:rFonts w:ascii="Times New Roman" w:eastAsia="PMingLiU" w:hAnsi="Times New Roman"/>
                <w:sz w:val="18"/>
                <w:szCs w:val="18"/>
              </w:rPr>
            </w:pPr>
          </w:p>
        </w:tc>
      </w:tr>
      <w:tr w:rsidR="001A0B09" w14:paraId="1B6D1E6E" w14:textId="77777777" w:rsidTr="0039321F">
        <w:tc>
          <w:tcPr>
            <w:tcW w:w="703" w:type="dxa"/>
            <w:vAlign w:val="center"/>
          </w:tcPr>
          <w:p w14:paraId="7E3E21EC" w14:textId="42AF151A" w:rsidR="001A0B09"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aktywa poziomu 1 (z wyłączeniem obligacji zabezpieczonych charakteryzujących się wyjątkowo wysoką jakością)</w:t>
            </w:r>
          </w:p>
          <w:p w14:paraId="46B82F4B" w14:textId="77777777" w:rsidR="001A0B09"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Transakcje, w których instytucja zamieniła aktywa poziomu 1, z wyłączeniem obligacji zabezpieczonych charakteryzujących się wyjątkowo wysoką jakością (będące przedmiotem udzielonej pożyczki) na aktywa poziomu 1, z wyłączeniem obligacji zabezpieczonych charakteryzujących się wyjątkowo wysoką jakością (będące przedmiotem zaciągniętej pożyczki).</w:t>
            </w:r>
          </w:p>
          <w:p w14:paraId="22FB3D58" w14:textId="77777777" w:rsidR="001A0B09" w:rsidRDefault="001A0B09">
            <w:pPr>
              <w:autoSpaceDE w:val="0"/>
              <w:autoSpaceDN w:val="0"/>
              <w:adjustRightInd w:val="0"/>
              <w:spacing w:before="0" w:after="0"/>
              <w:ind w:left="184"/>
              <w:rPr>
                <w:rFonts w:ascii="Times New Roman" w:eastAsia="PMingLiU" w:hAnsi="Times New Roman"/>
                <w:sz w:val="18"/>
                <w:szCs w:val="18"/>
              </w:rPr>
            </w:pPr>
          </w:p>
        </w:tc>
      </w:tr>
      <w:tr w:rsidR="001A0B09" w14:paraId="41010D12" w14:textId="77777777" w:rsidTr="0039321F">
        <w:tc>
          <w:tcPr>
            <w:tcW w:w="703" w:type="dxa"/>
            <w:vAlign w:val="center"/>
          </w:tcPr>
          <w:p w14:paraId="4435240C" w14:textId="51C96AD9" w:rsidR="001A0B09"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1A0B09"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w tym: zabezpieczenie będące przedmiotem wymiany spełnia wymogi operacyjne</w:t>
            </w:r>
          </w:p>
          <w:p w14:paraId="4288BA7E" w14:textId="77777777" w:rsidR="001A0B09" w:rsidRDefault="001A0B09">
            <w:pPr>
              <w:spacing w:before="0" w:after="0"/>
              <w:ind w:left="28"/>
              <w:rPr>
                <w:rFonts w:ascii="Times New Roman" w:eastAsia="PMingLiU" w:hAnsi="Times New Roman"/>
                <w:b/>
                <w:bCs/>
                <w:sz w:val="18"/>
                <w:szCs w:val="18"/>
              </w:rPr>
            </w:pPr>
          </w:p>
          <w:p w14:paraId="12673E55"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2.1.1. instytucje kredytowe zgłaszają:</w:t>
            </w:r>
          </w:p>
          <w:p w14:paraId="1DCEEC18" w14:textId="77777777" w:rsidR="001A0B09" w:rsidRDefault="001A0B09">
            <w:pPr>
              <w:spacing w:before="0" w:after="0"/>
              <w:ind w:left="28"/>
              <w:rPr>
                <w:rFonts w:ascii="Times New Roman" w:hAnsi="Times New Roman"/>
                <w:sz w:val="18"/>
              </w:rPr>
            </w:pPr>
          </w:p>
          <w:p w14:paraId="26440473" w14:textId="6CD60E5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A6B7E4E" w14:textId="77777777" w:rsidR="001A0B09" w:rsidRDefault="001A0B09">
            <w:pPr>
              <w:spacing w:before="0" w:after="0"/>
              <w:ind w:left="748"/>
              <w:rPr>
                <w:rFonts w:ascii="Times New Roman" w:eastAsia="PMingLiU" w:hAnsi="Times New Roman"/>
                <w:b/>
                <w:bCs/>
                <w:sz w:val="18"/>
                <w:szCs w:val="18"/>
              </w:rPr>
            </w:pPr>
          </w:p>
          <w:p w14:paraId="28D9379A" w14:textId="6AF0167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3036CA71" w14:textId="77777777" w:rsidR="001A0B09" w:rsidRDefault="001A0B09">
            <w:pPr>
              <w:spacing w:before="0" w:after="0"/>
              <w:ind w:left="28"/>
              <w:rPr>
                <w:rFonts w:ascii="Times New Roman" w:eastAsia="PMingLiU" w:hAnsi="Times New Roman"/>
                <w:b/>
                <w:bCs/>
                <w:sz w:val="18"/>
                <w:szCs w:val="18"/>
              </w:rPr>
            </w:pPr>
          </w:p>
        </w:tc>
      </w:tr>
      <w:tr w:rsidR="001A0B09" w14:paraId="15FD9AE9" w14:textId="77777777" w:rsidTr="0039321F">
        <w:tc>
          <w:tcPr>
            <w:tcW w:w="703" w:type="dxa"/>
            <w:vAlign w:val="center"/>
          </w:tcPr>
          <w:p w14:paraId="605F31F8" w14:textId="3714EFF5" w:rsidR="001A0B09"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aktywa poziomu 1: obligacje zabezpieczone charakteryzujące się wyjątkowo wysoką jakością</w:t>
            </w:r>
          </w:p>
          <w:p w14:paraId="6DFC815A" w14:textId="77777777" w:rsidR="001A0B09" w:rsidRDefault="001A0B09">
            <w:pPr>
              <w:spacing w:before="0" w:after="0"/>
              <w:ind w:left="28"/>
              <w:rPr>
                <w:rFonts w:ascii="Times New Roman" w:eastAsia="PMingLiU" w:hAnsi="Times New Roman"/>
                <w:b/>
                <w:sz w:val="18"/>
                <w:szCs w:val="18"/>
              </w:rPr>
            </w:pPr>
          </w:p>
          <w:p w14:paraId="0AFB39F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z wyłączeniem obligacji zabezpieczonych charakteryzujących się wyjątkowo wysoką jakością, (będące przedmiotem udzielonej pożyczki) na aktywa poziomu 1: obligacje zabezpieczone charakteryzujące się wyjątkowo wysoką jakością (będące przedmiotem zaciągniętej pożyczki).</w:t>
            </w:r>
          </w:p>
          <w:p w14:paraId="62EC1564" w14:textId="77777777" w:rsidR="001A0B09" w:rsidRDefault="001A0B09">
            <w:pPr>
              <w:spacing w:before="0" w:after="0"/>
              <w:ind w:left="28"/>
              <w:rPr>
                <w:rFonts w:ascii="Times New Roman" w:eastAsia="PMingLiU" w:hAnsi="Times New Roman"/>
                <w:szCs w:val="18"/>
              </w:rPr>
            </w:pPr>
          </w:p>
        </w:tc>
      </w:tr>
      <w:tr w:rsidR="001A0B09" w14:paraId="7E00948E" w14:textId="77777777" w:rsidTr="0039321F">
        <w:tc>
          <w:tcPr>
            <w:tcW w:w="703" w:type="dxa"/>
            <w:vAlign w:val="center"/>
          </w:tcPr>
          <w:p w14:paraId="3D2CA09B" w14:textId="39465DC6" w:rsidR="001A0B09"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w tym: zabezpieczenie będące przedmiotem wymiany spełnia wymogi operacyjne</w:t>
            </w:r>
          </w:p>
          <w:p w14:paraId="2ADC9829" w14:textId="77777777" w:rsidR="001A0B09" w:rsidRDefault="001A0B09">
            <w:pPr>
              <w:spacing w:before="0" w:after="0"/>
              <w:ind w:left="28"/>
              <w:rPr>
                <w:rFonts w:ascii="Times New Roman" w:eastAsia="PMingLiU" w:hAnsi="Times New Roman"/>
                <w:b/>
                <w:bCs/>
                <w:sz w:val="18"/>
                <w:szCs w:val="18"/>
              </w:rPr>
            </w:pPr>
          </w:p>
          <w:p w14:paraId="6BC630E3"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2.1.2. instytucje kredytowe zgłaszają:</w:t>
            </w:r>
          </w:p>
          <w:p w14:paraId="2D4E660F" w14:textId="77777777" w:rsidR="001A0B09" w:rsidRDefault="001A0B09">
            <w:pPr>
              <w:spacing w:before="0" w:after="0"/>
              <w:ind w:left="28"/>
              <w:rPr>
                <w:rFonts w:ascii="Times New Roman" w:hAnsi="Times New Roman"/>
                <w:sz w:val="18"/>
              </w:rPr>
            </w:pPr>
          </w:p>
          <w:p w14:paraId="33AE0F03" w14:textId="441CAAA3"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782BD75" w14:textId="77777777" w:rsidR="001A0B09" w:rsidRDefault="001A0B09">
            <w:pPr>
              <w:spacing w:before="0" w:after="0"/>
              <w:ind w:left="748"/>
              <w:rPr>
                <w:rFonts w:ascii="Times New Roman" w:eastAsia="PMingLiU" w:hAnsi="Times New Roman"/>
                <w:b/>
                <w:bCs/>
                <w:sz w:val="18"/>
                <w:szCs w:val="18"/>
              </w:rPr>
            </w:pPr>
          </w:p>
          <w:p w14:paraId="2DAB0367" w14:textId="1ACB148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4AE4E5A" w14:textId="77777777" w:rsidR="001A0B09" w:rsidRDefault="001A0B09">
            <w:pPr>
              <w:spacing w:before="0" w:after="0"/>
              <w:ind w:left="28"/>
              <w:rPr>
                <w:rFonts w:ascii="Times New Roman" w:eastAsia="PMingLiU" w:hAnsi="Times New Roman"/>
                <w:b/>
                <w:bCs/>
                <w:sz w:val="18"/>
                <w:szCs w:val="18"/>
              </w:rPr>
            </w:pPr>
          </w:p>
        </w:tc>
      </w:tr>
      <w:tr w:rsidR="001A0B09" w14:paraId="0BDDFF24" w14:textId="77777777" w:rsidTr="0039321F">
        <w:tc>
          <w:tcPr>
            <w:tcW w:w="703" w:type="dxa"/>
            <w:vAlign w:val="center"/>
          </w:tcPr>
          <w:p w14:paraId="774FFED3" w14:textId="5B88519D" w:rsidR="001A0B09"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aktywa poziomu 2A</w:t>
            </w:r>
          </w:p>
          <w:p w14:paraId="54882135" w14:textId="77777777" w:rsidR="001A0B09" w:rsidRDefault="001A0B09">
            <w:pPr>
              <w:spacing w:before="0" w:after="0"/>
              <w:ind w:left="28"/>
              <w:rPr>
                <w:rFonts w:ascii="Times New Roman" w:eastAsia="PMingLiU" w:hAnsi="Times New Roman"/>
                <w:b/>
                <w:sz w:val="18"/>
                <w:szCs w:val="18"/>
              </w:rPr>
            </w:pPr>
          </w:p>
          <w:p w14:paraId="056EC71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z wyłączeniem obligacji zabezpieczonych charakteryzujących się wyjątkowo wysoką jakością (będące przedmiotem udzielonej pożyczki) na aktywa poziomu 2A (będące przedmiotem zaciągniętej pożyczki).</w:t>
            </w:r>
          </w:p>
          <w:p w14:paraId="05D9B413" w14:textId="77777777" w:rsidR="001A0B09" w:rsidRDefault="001A0B09">
            <w:pPr>
              <w:spacing w:before="0" w:after="0"/>
              <w:ind w:left="28"/>
              <w:rPr>
                <w:rFonts w:ascii="Times New Roman" w:eastAsia="PMingLiU" w:hAnsi="Times New Roman"/>
                <w:szCs w:val="18"/>
              </w:rPr>
            </w:pPr>
          </w:p>
        </w:tc>
      </w:tr>
      <w:tr w:rsidR="001A0B09" w14:paraId="20F273D5" w14:textId="77777777" w:rsidTr="0039321F">
        <w:tc>
          <w:tcPr>
            <w:tcW w:w="703" w:type="dxa"/>
            <w:vAlign w:val="center"/>
          </w:tcPr>
          <w:p w14:paraId="5E91D16E" w14:textId="17AFE854" w:rsidR="001A0B09"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w tym: zabezpieczenie będące przedmiotem wymiany spełnia wymogi operacyjne</w:t>
            </w:r>
          </w:p>
          <w:p w14:paraId="2AFB6D71" w14:textId="77777777" w:rsidR="001A0B09" w:rsidRDefault="001A0B09">
            <w:pPr>
              <w:spacing w:before="0" w:after="0"/>
              <w:ind w:left="28"/>
              <w:rPr>
                <w:rFonts w:ascii="Times New Roman" w:eastAsia="PMingLiU" w:hAnsi="Times New Roman"/>
                <w:b/>
                <w:bCs/>
                <w:sz w:val="18"/>
                <w:szCs w:val="18"/>
              </w:rPr>
            </w:pPr>
          </w:p>
          <w:p w14:paraId="0AA25096"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2.1.3. instytucje kredytowe zgłaszają:</w:t>
            </w:r>
          </w:p>
          <w:p w14:paraId="0FFA3761" w14:textId="77777777" w:rsidR="001A0B09" w:rsidRDefault="001A0B09">
            <w:pPr>
              <w:spacing w:before="0" w:after="0"/>
              <w:ind w:left="28"/>
              <w:rPr>
                <w:rFonts w:ascii="Times New Roman" w:hAnsi="Times New Roman"/>
                <w:sz w:val="18"/>
              </w:rPr>
            </w:pPr>
          </w:p>
          <w:p w14:paraId="0D2B3026" w14:textId="34754823"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CE2E637" w14:textId="77777777" w:rsidR="001A0B09" w:rsidRDefault="001A0B09">
            <w:pPr>
              <w:spacing w:before="0" w:after="0"/>
              <w:ind w:left="748"/>
              <w:rPr>
                <w:rFonts w:ascii="Times New Roman" w:eastAsia="PMingLiU" w:hAnsi="Times New Roman"/>
                <w:b/>
                <w:bCs/>
                <w:sz w:val="18"/>
                <w:szCs w:val="18"/>
              </w:rPr>
            </w:pPr>
          </w:p>
          <w:p w14:paraId="37A69F9A" w14:textId="125D47E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0E45A5B3" w14:textId="77777777" w:rsidR="001A0B09" w:rsidRDefault="001A0B09">
            <w:pPr>
              <w:spacing w:before="0" w:after="0"/>
              <w:ind w:left="28"/>
              <w:rPr>
                <w:rFonts w:ascii="Times New Roman" w:eastAsia="PMingLiU" w:hAnsi="Times New Roman"/>
                <w:b/>
                <w:bCs/>
                <w:sz w:val="18"/>
                <w:szCs w:val="18"/>
              </w:rPr>
            </w:pPr>
          </w:p>
        </w:tc>
      </w:tr>
      <w:tr w:rsidR="001A0B09" w14:paraId="37A5BC47" w14:textId="77777777" w:rsidTr="0039321F">
        <w:tc>
          <w:tcPr>
            <w:tcW w:w="703" w:type="dxa"/>
            <w:vAlign w:val="center"/>
          </w:tcPr>
          <w:p w14:paraId="105287E0" w14:textId="52708E65" w:rsidR="001A0B09" w:rsidRDefault="00AD7441">
            <w:pPr>
              <w:jc w:val="left"/>
              <w:rPr>
                <w:rFonts w:ascii="Times New Roman" w:eastAsia="PMingLiU" w:hAnsi="Times New Roman"/>
                <w:sz w:val="16"/>
                <w:szCs w:val="16"/>
              </w:rPr>
            </w:pPr>
            <w:r>
              <w:rPr>
                <w:rFonts w:ascii="Times New Roman" w:hAnsi="Times New Roman"/>
                <w:sz w:val="16"/>
                <w:szCs w:val="16"/>
              </w:rPr>
              <w:lastRenderedPageBreak/>
              <w:t>1450</w:t>
            </w:r>
          </w:p>
        </w:tc>
        <w:tc>
          <w:tcPr>
            <w:tcW w:w="7371" w:type="dxa"/>
          </w:tcPr>
          <w:p w14:paraId="4933598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aktywa poziomu 2B: papiery wartościowe zabezpieczone aktywami (kredyty na nieruchomości mieszkalne lub na zakup samochodów, CQS1)</w:t>
            </w:r>
          </w:p>
          <w:p w14:paraId="51FDFF2F" w14:textId="77777777" w:rsidR="001A0B09" w:rsidRDefault="001A0B09">
            <w:pPr>
              <w:spacing w:before="0" w:after="0"/>
              <w:ind w:left="28"/>
              <w:rPr>
                <w:rFonts w:ascii="Times New Roman" w:eastAsia="PMingLiU" w:hAnsi="Times New Roman"/>
                <w:b/>
                <w:sz w:val="18"/>
                <w:szCs w:val="18"/>
              </w:rPr>
            </w:pPr>
          </w:p>
          <w:p w14:paraId="18338CF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z wyłączeniem obligacji zabezpieczonych charakteryzujących się wyjątkowo wysoką jakością (będące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0CB28505" w14:textId="77777777" w:rsidR="001A0B09" w:rsidRDefault="001A0B09">
            <w:pPr>
              <w:spacing w:before="0" w:after="0"/>
              <w:ind w:left="28"/>
              <w:rPr>
                <w:rFonts w:ascii="Times New Roman" w:eastAsia="PMingLiU" w:hAnsi="Times New Roman"/>
                <w:szCs w:val="18"/>
              </w:rPr>
            </w:pPr>
          </w:p>
        </w:tc>
      </w:tr>
      <w:tr w:rsidR="001A0B09" w14:paraId="662524DC" w14:textId="77777777" w:rsidTr="0039321F">
        <w:tc>
          <w:tcPr>
            <w:tcW w:w="703" w:type="dxa"/>
            <w:vAlign w:val="center"/>
          </w:tcPr>
          <w:p w14:paraId="6C34B0C1" w14:textId="43139527" w:rsidR="001A0B09"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w tym: zabezpieczenie będące przedmiotem wymiany spełnia wymogi operacyjne</w:t>
            </w:r>
          </w:p>
          <w:p w14:paraId="5AB02384" w14:textId="77777777" w:rsidR="001A0B09" w:rsidRDefault="001A0B09">
            <w:pPr>
              <w:spacing w:before="0" w:after="0"/>
              <w:ind w:left="28"/>
              <w:rPr>
                <w:rFonts w:ascii="Times New Roman" w:eastAsia="PMingLiU" w:hAnsi="Times New Roman"/>
                <w:b/>
                <w:bCs/>
                <w:sz w:val="18"/>
                <w:szCs w:val="18"/>
              </w:rPr>
            </w:pPr>
          </w:p>
          <w:p w14:paraId="324F7830"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2.1.4. instytucje kredytowe zgłaszają:</w:t>
            </w:r>
          </w:p>
          <w:p w14:paraId="2DC29F3B" w14:textId="77777777" w:rsidR="001A0B09" w:rsidRDefault="001A0B09">
            <w:pPr>
              <w:spacing w:before="0" w:after="0"/>
              <w:ind w:left="28"/>
              <w:rPr>
                <w:rFonts w:ascii="Times New Roman" w:hAnsi="Times New Roman"/>
                <w:sz w:val="18"/>
              </w:rPr>
            </w:pPr>
          </w:p>
          <w:p w14:paraId="1E637373" w14:textId="409B9BA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850D486" w14:textId="77777777" w:rsidR="001A0B09" w:rsidRDefault="001A0B09">
            <w:pPr>
              <w:spacing w:before="0" w:after="0"/>
              <w:ind w:left="748"/>
              <w:rPr>
                <w:rFonts w:ascii="Times New Roman" w:eastAsia="PMingLiU" w:hAnsi="Times New Roman"/>
                <w:b/>
                <w:bCs/>
                <w:sz w:val="18"/>
                <w:szCs w:val="18"/>
              </w:rPr>
            </w:pPr>
          </w:p>
          <w:p w14:paraId="7FF5F909" w14:textId="2CAF223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A5FBEBD" w14:textId="77777777" w:rsidR="001A0B09" w:rsidRDefault="001A0B09">
            <w:pPr>
              <w:spacing w:before="0" w:after="0"/>
              <w:ind w:left="28"/>
              <w:rPr>
                <w:rFonts w:ascii="Times New Roman" w:eastAsia="PMingLiU" w:hAnsi="Times New Roman"/>
                <w:b/>
                <w:bCs/>
                <w:sz w:val="18"/>
                <w:szCs w:val="18"/>
              </w:rPr>
            </w:pPr>
          </w:p>
        </w:tc>
      </w:tr>
      <w:tr w:rsidR="001A0B09" w14:paraId="1A3C5AA3" w14:textId="77777777" w:rsidTr="0039321F">
        <w:tc>
          <w:tcPr>
            <w:tcW w:w="703" w:type="dxa"/>
            <w:vAlign w:val="center"/>
          </w:tcPr>
          <w:p w14:paraId="3A0401B6" w14:textId="614DD88D" w:rsidR="001A0B09"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aktywa poziomu 2B: obligacje zabezpieczone charakteryzujące się wysoką jakością</w:t>
            </w:r>
          </w:p>
          <w:p w14:paraId="2B9A3333" w14:textId="77777777" w:rsidR="001A0B09" w:rsidRDefault="001A0B09">
            <w:pPr>
              <w:spacing w:before="0" w:after="0"/>
              <w:ind w:left="28"/>
              <w:rPr>
                <w:rFonts w:ascii="Times New Roman" w:eastAsia="PMingLiU" w:hAnsi="Times New Roman"/>
                <w:b/>
                <w:sz w:val="18"/>
                <w:szCs w:val="18"/>
              </w:rPr>
            </w:pPr>
          </w:p>
          <w:p w14:paraId="55AAEC0A"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z wyłączeniem obligacji zabezpieczonych charakteryzujących się wyjątkowo wysoką jakością, (będące przedmiotem udzielonej pożyczki) na aktywa poziomu 2B w postaci obligacji zabezpieczonych charakteryzujących się wysoką jakością (będące przedmiotem zaciągniętej pożyczki).</w:t>
            </w:r>
          </w:p>
          <w:p w14:paraId="192E2489" w14:textId="77777777" w:rsidR="001A0B09" w:rsidRDefault="001A0B09">
            <w:pPr>
              <w:spacing w:before="0" w:after="0"/>
              <w:ind w:left="28"/>
              <w:rPr>
                <w:rFonts w:ascii="Times New Roman" w:eastAsia="PMingLiU" w:hAnsi="Times New Roman"/>
                <w:sz w:val="18"/>
                <w:szCs w:val="18"/>
              </w:rPr>
            </w:pPr>
          </w:p>
        </w:tc>
      </w:tr>
      <w:tr w:rsidR="001A0B09" w14:paraId="3B7D71C3" w14:textId="77777777" w:rsidTr="0039321F">
        <w:trPr>
          <w:trHeight w:val="50"/>
        </w:trPr>
        <w:tc>
          <w:tcPr>
            <w:tcW w:w="703" w:type="dxa"/>
            <w:vAlign w:val="center"/>
          </w:tcPr>
          <w:p w14:paraId="186DE1E7" w14:textId="02797BD5" w:rsidR="001A0B09"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w tym: zabezpieczenie będące przedmiotem wymiany spełnia wymogi operacyjne</w:t>
            </w:r>
          </w:p>
          <w:p w14:paraId="31809EA7" w14:textId="77777777" w:rsidR="001A0B09" w:rsidRDefault="001A0B09">
            <w:pPr>
              <w:spacing w:before="0" w:after="0"/>
              <w:ind w:left="28"/>
              <w:rPr>
                <w:rFonts w:ascii="Times New Roman" w:eastAsia="PMingLiU" w:hAnsi="Times New Roman"/>
                <w:b/>
                <w:bCs/>
                <w:sz w:val="18"/>
                <w:szCs w:val="18"/>
              </w:rPr>
            </w:pPr>
          </w:p>
          <w:p w14:paraId="2E533A3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2.1.5. instytucje kredytowe zgłaszają:</w:t>
            </w:r>
          </w:p>
          <w:p w14:paraId="49ED501C" w14:textId="77777777" w:rsidR="001A0B09" w:rsidRDefault="001A0B09">
            <w:pPr>
              <w:spacing w:before="0" w:after="0"/>
              <w:ind w:left="28"/>
              <w:rPr>
                <w:rFonts w:ascii="Times New Roman" w:hAnsi="Times New Roman"/>
                <w:sz w:val="18"/>
              </w:rPr>
            </w:pPr>
          </w:p>
          <w:p w14:paraId="30270CE0" w14:textId="7EC29D4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525CAE2" w14:textId="77777777" w:rsidR="001A0B09" w:rsidRDefault="001A0B09">
            <w:pPr>
              <w:spacing w:before="0" w:after="0"/>
              <w:ind w:left="748"/>
              <w:rPr>
                <w:rFonts w:ascii="Times New Roman" w:eastAsia="PMingLiU" w:hAnsi="Times New Roman"/>
                <w:b/>
                <w:bCs/>
                <w:sz w:val="18"/>
                <w:szCs w:val="18"/>
              </w:rPr>
            </w:pPr>
          </w:p>
          <w:p w14:paraId="75E53450" w14:textId="0B19454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7514D6B2" w14:textId="77777777" w:rsidR="001A0B09" w:rsidRDefault="001A0B09">
            <w:pPr>
              <w:spacing w:before="0" w:after="0"/>
              <w:ind w:left="28"/>
              <w:rPr>
                <w:rFonts w:ascii="Times New Roman" w:eastAsia="PMingLiU" w:hAnsi="Times New Roman"/>
                <w:b/>
                <w:bCs/>
                <w:sz w:val="18"/>
                <w:szCs w:val="18"/>
              </w:rPr>
            </w:pPr>
          </w:p>
        </w:tc>
      </w:tr>
      <w:tr w:rsidR="001A0B09" w14:paraId="5318290A" w14:textId="77777777" w:rsidTr="0039321F">
        <w:trPr>
          <w:trHeight w:val="50"/>
        </w:trPr>
        <w:tc>
          <w:tcPr>
            <w:tcW w:w="703" w:type="dxa"/>
            <w:vAlign w:val="center"/>
          </w:tcPr>
          <w:p w14:paraId="56820C7F" w14:textId="09904F5B" w:rsidR="001A0B09"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aktywa poziomu 2B: papiery wartościowe zabezpieczone aktywami (kredyty komercyjne lub dla osób fizycznych, państwo członkowskie, CQS1)</w:t>
            </w:r>
          </w:p>
          <w:p w14:paraId="15CAFE7C" w14:textId="77777777" w:rsidR="001A0B09" w:rsidRDefault="001A0B09">
            <w:pPr>
              <w:spacing w:before="0" w:after="0"/>
              <w:ind w:left="28"/>
              <w:rPr>
                <w:rFonts w:ascii="Times New Roman" w:eastAsia="PMingLiU" w:hAnsi="Times New Roman"/>
                <w:b/>
                <w:sz w:val="18"/>
                <w:szCs w:val="18"/>
              </w:rPr>
            </w:pPr>
          </w:p>
          <w:p w14:paraId="27919618"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z wyłączeniem obligacji zabezpieczonych charakteryzujących się wyjątkowo wysoką jakością (będące przedmiotem udzielonej pożyczki) na aktywa </w:t>
            </w:r>
            <w:r>
              <w:rPr>
                <w:rFonts w:ascii="Times New Roman" w:hAnsi="Times New Roman"/>
                <w:sz w:val="18"/>
                <w:szCs w:val="18"/>
              </w:rPr>
              <w:t>poziomu 2B w postaci papierów wartościowych zabezpieczonych aktywami (kredyty komercyjne lub dla osób fizycznych, państwo członkowskie, CQS1)</w:t>
            </w:r>
            <w:r>
              <w:rPr>
                <w:rFonts w:ascii="Times New Roman" w:hAnsi="Times New Roman"/>
                <w:bCs/>
                <w:sz w:val="18"/>
                <w:szCs w:val="18"/>
              </w:rPr>
              <w:t xml:space="preserve"> (będące przedmiotem zaciągniętej pożyczki).</w:t>
            </w:r>
          </w:p>
          <w:p w14:paraId="1737CF4B" w14:textId="77777777" w:rsidR="001A0B09" w:rsidRDefault="001A0B09">
            <w:pPr>
              <w:spacing w:before="0" w:after="0"/>
              <w:ind w:left="28"/>
              <w:rPr>
                <w:rFonts w:ascii="Times New Roman" w:eastAsia="PMingLiU" w:hAnsi="Times New Roman"/>
                <w:sz w:val="18"/>
                <w:szCs w:val="18"/>
              </w:rPr>
            </w:pPr>
          </w:p>
        </w:tc>
      </w:tr>
      <w:tr w:rsidR="001A0B09" w14:paraId="2F8DFBE5" w14:textId="77777777" w:rsidTr="0039321F">
        <w:tc>
          <w:tcPr>
            <w:tcW w:w="703" w:type="dxa"/>
            <w:vAlign w:val="center"/>
          </w:tcPr>
          <w:p w14:paraId="60EB58B2" w14:textId="004119A7" w:rsidR="001A0B09"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w tym: zabezpieczenie będące przedmiotem wymiany spełnia wymogi operacyjne</w:t>
            </w:r>
          </w:p>
          <w:p w14:paraId="5933B49C" w14:textId="77777777" w:rsidR="001A0B09" w:rsidRDefault="001A0B09">
            <w:pPr>
              <w:spacing w:before="0" w:after="0"/>
              <w:ind w:left="28"/>
              <w:rPr>
                <w:rFonts w:ascii="Times New Roman" w:eastAsia="PMingLiU" w:hAnsi="Times New Roman"/>
                <w:b/>
                <w:bCs/>
                <w:sz w:val="18"/>
                <w:szCs w:val="18"/>
              </w:rPr>
            </w:pPr>
          </w:p>
          <w:p w14:paraId="2FA4A2E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2.1.6. instytucje kredytowe zgłaszają:</w:t>
            </w:r>
          </w:p>
          <w:p w14:paraId="5A0B71A1" w14:textId="77777777" w:rsidR="001A0B09" w:rsidRDefault="001A0B09">
            <w:pPr>
              <w:spacing w:before="0" w:after="0"/>
              <w:ind w:left="28"/>
              <w:rPr>
                <w:rFonts w:ascii="Times New Roman" w:hAnsi="Times New Roman"/>
                <w:sz w:val="18"/>
              </w:rPr>
            </w:pPr>
          </w:p>
          <w:p w14:paraId="04132048" w14:textId="201905CA"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CCA281F" w14:textId="77777777" w:rsidR="001A0B09" w:rsidRDefault="001A0B09">
            <w:pPr>
              <w:spacing w:before="0" w:after="0"/>
              <w:ind w:left="748"/>
              <w:rPr>
                <w:rFonts w:ascii="Times New Roman" w:eastAsia="PMingLiU" w:hAnsi="Times New Roman"/>
                <w:b/>
                <w:bCs/>
                <w:sz w:val="18"/>
                <w:szCs w:val="18"/>
              </w:rPr>
            </w:pPr>
          </w:p>
          <w:p w14:paraId="22720F6C" w14:textId="7AFFDA7D"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składnik zabezpieczenia będącego przedmiotem zaciągniętej pożyczki, jeżeli spełnia </w:t>
            </w:r>
            <w:r>
              <w:rPr>
                <w:rFonts w:ascii="Times New Roman" w:hAnsi="Times New Roman"/>
                <w:sz w:val="18"/>
              </w:rPr>
              <w:lastRenderedPageBreak/>
              <w:t>wymagania operacyjne określone w art. 8 rozporządzenia delegowanego (UE) 2015/61.</w:t>
            </w:r>
          </w:p>
          <w:p w14:paraId="0CC653EA" w14:textId="77777777" w:rsidR="001A0B09" w:rsidRDefault="001A0B09">
            <w:pPr>
              <w:spacing w:before="0" w:after="0"/>
              <w:ind w:left="28"/>
              <w:rPr>
                <w:rFonts w:ascii="Times New Roman" w:eastAsia="PMingLiU" w:hAnsi="Times New Roman"/>
                <w:b/>
                <w:bCs/>
                <w:sz w:val="18"/>
                <w:szCs w:val="18"/>
              </w:rPr>
            </w:pPr>
          </w:p>
        </w:tc>
      </w:tr>
      <w:tr w:rsidR="001A0B09" w14:paraId="1230292F" w14:textId="77777777" w:rsidTr="0039321F">
        <w:tc>
          <w:tcPr>
            <w:tcW w:w="703" w:type="dxa"/>
            <w:vAlign w:val="center"/>
          </w:tcPr>
          <w:p w14:paraId="75054965" w14:textId="5C81B9A1" w:rsidR="001A0B09" w:rsidRDefault="00AD7441">
            <w:pPr>
              <w:jc w:val="left"/>
              <w:rPr>
                <w:rFonts w:ascii="Times New Roman" w:eastAsia="PMingLiU" w:hAnsi="Times New Roman"/>
                <w:sz w:val="16"/>
                <w:szCs w:val="16"/>
              </w:rPr>
            </w:pPr>
            <w:r>
              <w:rPr>
                <w:rFonts w:ascii="Times New Roman" w:hAnsi="Times New Roman"/>
                <w:sz w:val="16"/>
                <w:szCs w:val="16"/>
              </w:rPr>
              <w:lastRenderedPageBreak/>
              <w:t>1510</w:t>
            </w:r>
          </w:p>
        </w:tc>
        <w:tc>
          <w:tcPr>
            <w:tcW w:w="7371" w:type="dxa"/>
          </w:tcPr>
          <w:p w14:paraId="66DD9349"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inne aktywa poziomu 2B</w:t>
            </w:r>
          </w:p>
          <w:p w14:paraId="5D68516D" w14:textId="77777777" w:rsidR="001A0B09" w:rsidRDefault="001A0B09">
            <w:pPr>
              <w:spacing w:before="0" w:after="0"/>
              <w:ind w:left="28"/>
              <w:rPr>
                <w:rFonts w:ascii="Times New Roman" w:eastAsia="PMingLiU" w:hAnsi="Times New Roman"/>
                <w:b/>
                <w:sz w:val="18"/>
                <w:szCs w:val="18"/>
              </w:rPr>
            </w:pPr>
          </w:p>
          <w:p w14:paraId="0608B0B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z wyłączeniem obligacji zabezpieczonych charakteryzujących się wyjątkowo wysoką jakością (będące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16714351" w14:textId="77777777" w:rsidR="001A0B09" w:rsidRDefault="001A0B09">
            <w:pPr>
              <w:spacing w:before="0" w:after="0"/>
              <w:ind w:left="28"/>
              <w:rPr>
                <w:rFonts w:ascii="Times New Roman" w:eastAsia="PMingLiU" w:hAnsi="Times New Roman"/>
                <w:sz w:val="18"/>
                <w:szCs w:val="18"/>
              </w:rPr>
            </w:pPr>
          </w:p>
        </w:tc>
      </w:tr>
      <w:tr w:rsidR="001A0B09" w14:paraId="4A7D7C45" w14:textId="77777777" w:rsidTr="0039321F">
        <w:tc>
          <w:tcPr>
            <w:tcW w:w="703" w:type="dxa"/>
            <w:vAlign w:val="center"/>
          </w:tcPr>
          <w:p w14:paraId="5CA8B0BC" w14:textId="77BB393F" w:rsidR="001A0B09"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w tym: zabezpieczenie będące przedmiotem wymiany spełnia wymogi operacyjne</w:t>
            </w:r>
          </w:p>
          <w:p w14:paraId="2E97DC57" w14:textId="77777777" w:rsidR="001A0B09" w:rsidRDefault="001A0B09">
            <w:pPr>
              <w:spacing w:before="0" w:after="0"/>
              <w:ind w:left="28"/>
              <w:rPr>
                <w:rFonts w:ascii="Times New Roman" w:eastAsia="PMingLiU" w:hAnsi="Times New Roman"/>
                <w:b/>
                <w:bCs/>
                <w:sz w:val="18"/>
                <w:szCs w:val="18"/>
              </w:rPr>
            </w:pPr>
          </w:p>
          <w:p w14:paraId="12ECB90B"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2.1.7. instytucje kredytowe zgłaszają:</w:t>
            </w:r>
          </w:p>
          <w:p w14:paraId="1E83A0C2" w14:textId="77777777" w:rsidR="001A0B09" w:rsidRDefault="001A0B09">
            <w:pPr>
              <w:spacing w:before="0" w:after="0"/>
              <w:ind w:left="28"/>
              <w:rPr>
                <w:rFonts w:ascii="Times New Roman" w:hAnsi="Times New Roman"/>
                <w:sz w:val="18"/>
              </w:rPr>
            </w:pPr>
          </w:p>
          <w:p w14:paraId="3ABAEA13" w14:textId="1F6199EA"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FB2AC33" w14:textId="77777777" w:rsidR="001A0B09" w:rsidRDefault="001A0B09">
            <w:pPr>
              <w:spacing w:before="0" w:after="0"/>
              <w:ind w:left="748"/>
              <w:rPr>
                <w:rFonts w:ascii="Times New Roman" w:eastAsia="PMingLiU" w:hAnsi="Times New Roman"/>
                <w:b/>
                <w:bCs/>
                <w:sz w:val="18"/>
                <w:szCs w:val="18"/>
              </w:rPr>
            </w:pPr>
          </w:p>
          <w:p w14:paraId="7484FD6F" w14:textId="7E5A633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CFB9485" w14:textId="77777777" w:rsidR="001A0B09" w:rsidRDefault="001A0B09">
            <w:pPr>
              <w:spacing w:before="0" w:after="0"/>
              <w:ind w:left="28"/>
              <w:rPr>
                <w:rFonts w:ascii="Times New Roman" w:eastAsia="PMingLiU" w:hAnsi="Times New Roman"/>
                <w:b/>
                <w:bCs/>
                <w:sz w:val="18"/>
                <w:szCs w:val="18"/>
              </w:rPr>
            </w:pPr>
          </w:p>
        </w:tc>
      </w:tr>
      <w:tr w:rsidR="001A0B09" w14:paraId="378F1768" w14:textId="77777777" w:rsidTr="0039321F">
        <w:tc>
          <w:tcPr>
            <w:tcW w:w="703" w:type="dxa"/>
            <w:vAlign w:val="center"/>
          </w:tcPr>
          <w:p w14:paraId="4B15479F" w14:textId="64900C76" w:rsidR="001A0B09" w:rsidRDefault="00AD7441">
            <w:pPr>
              <w:jc w:val="left"/>
              <w:rPr>
                <w:rFonts w:ascii="Times New Roman" w:eastAsia="PMingLiU" w:hAnsi="Times New Roman"/>
                <w:sz w:val="16"/>
                <w:szCs w:val="16"/>
              </w:rPr>
            </w:pPr>
            <w:r>
              <w:rPr>
                <w:rFonts w:ascii="Times New Roman" w:hAnsi="Times New Roman"/>
                <w:sz w:val="16"/>
                <w:szCs w:val="16"/>
              </w:rPr>
              <w:t>1530</w:t>
            </w:r>
          </w:p>
        </w:tc>
        <w:tc>
          <w:tcPr>
            <w:tcW w:w="7371" w:type="dxa"/>
          </w:tcPr>
          <w:p w14:paraId="0A696F7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aktywa niepłynne</w:t>
            </w:r>
          </w:p>
          <w:p w14:paraId="09E5CD66" w14:textId="77777777" w:rsidR="001A0B09" w:rsidRDefault="001A0B09">
            <w:pPr>
              <w:spacing w:before="0" w:after="0"/>
              <w:ind w:left="28"/>
              <w:rPr>
                <w:rFonts w:ascii="Times New Roman" w:eastAsia="PMingLiU" w:hAnsi="Times New Roman"/>
                <w:b/>
                <w:sz w:val="18"/>
                <w:szCs w:val="18"/>
              </w:rPr>
            </w:pPr>
          </w:p>
          <w:p w14:paraId="5005792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z wyłączeniem obligacji zabezpieczonych charakteryzujących się wyjątkowo wysoką jakością (będące przedmiotem udzielonej pożyczki) na aktywa niepłynne (będące przedmiotem zaciągniętej pożyczki).</w:t>
            </w:r>
          </w:p>
          <w:p w14:paraId="7D04ADDE" w14:textId="77777777" w:rsidR="001A0B09" w:rsidRDefault="001A0B09">
            <w:pPr>
              <w:spacing w:before="0" w:after="0"/>
              <w:ind w:left="28"/>
              <w:rPr>
                <w:rFonts w:ascii="Times New Roman" w:eastAsia="PMingLiU" w:hAnsi="Times New Roman"/>
                <w:sz w:val="18"/>
                <w:szCs w:val="18"/>
              </w:rPr>
            </w:pPr>
          </w:p>
        </w:tc>
      </w:tr>
      <w:tr w:rsidR="001A0B09" w14:paraId="0ABDC83C" w14:textId="77777777" w:rsidTr="0039321F">
        <w:tc>
          <w:tcPr>
            <w:tcW w:w="703" w:type="dxa"/>
            <w:shd w:val="clear" w:color="auto" w:fill="auto"/>
            <w:vAlign w:val="center"/>
          </w:tcPr>
          <w:p w14:paraId="0781D111" w14:textId="053AFE56" w:rsidR="001A0B09"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w tym: zabezpieczenie będące przedmiotem wymiany spełnia wymogi operacyjne</w:t>
            </w:r>
          </w:p>
          <w:p w14:paraId="609C994F" w14:textId="77777777" w:rsidR="001A0B09" w:rsidRDefault="001A0B09">
            <w:pPr>
              <w:spacing w:before="0" w:after="0"/>
              <w:ind w:left="28"/>
              <w:rPr>
                <w:rFonts w:ascii="Times New Roman" w:eastAsia="PMingLiU" w:hAnsi="Times New Roman"/>
                <w:b/>
                <w:bCs/>
                <w:sz w:val="18"/>
                <w:szCs w:val="18"/>
              </w:rPr>
            </w:pPr>
          </w:p>
          <w:p w14:paraId="72B25A24" w14:textId="6E1B2104" w:rsidR="001A0B09" w:rsidRDefault="00F71050">
            <w:pPr>
              <w:spacing w:before="0" w:after="0"/>
              <w:ind w:left="28"/>
              <w:rPr>
                <w:rFonts w:ascii="Times New Roman" w:hAnsi="Times New Roman"/>
                <w:sz w:val="18"/>
              </w:rPr>
            </w:pPr>
            <w:r>
              <w:rPr>
                <w:rFonts w:ascii="Times New Roman" w:hAnsi="Times New Roman"/>
                <w:sz w:val="18"/>
              </w:rPr>
              <w:t>Spośród transakcji w pozycji 2.1.8.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3F390D3E" w14:textId="77777777" w:rsidR="001A0B09" w:rsidRDefault="001A0B09">
            <w:pPr>
              <w:spacing w:before="0" w:after="0"/>
              <w:ind w:left="28"/>
              <w:rPr>
                <w:rFonts w:ascii="Times New Roman" w:eastAsia="PMingLiU" w:hAnsi="Times New Roman"/>
                <w:b/>
                <w:bCs/>
                <w:sz w:val="18"/>
                <w:szCs w:val="18"/>
              </w:rPr>
            </w:pPr>
          </w:p>
        </w:tc>
      </w:tr>
      <w:tr w:rsidR="001A0B09" w14:paraId="517AFFAA" w14:textId="77777777" w:rsidTr="0039321F">
        <w:tc>
          <w:tcPr>
            <w:tcW w:w="703" w:type="dxa"/>
            <w:shd w:val="clear" w:color="auto" w:fill="auto"/>
            <w:vAlign w:val="center"/>
          </w:tcPr>
          <w:p w14:paraId="2DB76EEE" w14:textId="433BD932" w:rsidR="001A0B09"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Całkowite wartości transakcji, w których przedmiotem udzielonej pożyczki są aktywa poziomu 1: obligacje zabezpieczone charakteryzujące się wyjątkowo wysoką jakością, a przedmiotem zaciągniętej pożyczki są następujące rodzaje zabezpieczenia:</w:t>
            </w:r>
          </w:p>
          <w:p w14:paraId="0E69DD3D" w14:textId="77777777" w:rsidR="001A0B09" w:rsidRDefault="001A0B09">
            <w:pPr>
              <w:spacing w:before="0" w:after="0"/>
              <w:ind w:left="28"/>
              <w:rPr>
                <w:rFonts w:ascii="Times New Roman" w:eastAsia="PMingLiU" w:hAnsi="Times New Roman"/>
                <w:sz w:val="18"/>
                <w:szCs w:val="18"/>
              </w:rPr>
            </w:pPr>
          </w:p>
          <w:p w14:paraId="0E5934B8" w14:textId="0D487EDA"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0F483C3B" w14:textId="77777777" w:rsidR="001A0B09" w:rsidRDefault="001A0B09">
            <w:pPr>
              <w:spacing w:before="0" w:after="0"/>
              <w:ind w:left="28"/>
              <w:rPr>
                <w:rFonts w:ascii="Times New Roman" w:eastAsia="PMingLiU" w:hAnsi="Times New Roman"/>
                <w:bCs/>
                <w:sz w:val="18"/>
                <w:szCs w:val="18"/>
              </w:rPr>
            </w:pPr>
          </w:p>
          <w:p w14:paraId="613B5E8D"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całkowite wartości transakcji zabezpieczających swap w ramach transakcji, w których przedmiotem udzielonej pożyczki są aktywa poziomu 1: obligacje zabezpieczone charakteryzujące się wyjątkowo wysoką jakością.</w:t>
            </w:r>
          </w:p>
          <w:p w14:paraId="3DA72D20" w14:textId="77777777" w:rsidR="001A0B09" w:rsidRDefault="001A0B09">
            <w:pPr>
              <w:spacing w:before="0" w:after="0"/>
              <w:ind w:left="28"/>
              <w:rPr>
                <w:rFonts w:ascii="Times New Roman" w:eastAsia="PMingLiU" w:hAnsi="Times New Roman"/>
                <w:sz w:val="18"/>
                <w:szCs w:val="18"/>
              </w:rPr>
            </w:pPr>
          </w:p>
        </w:tc>
      </w:tr>
      <w:tr w:rsidR="001A0B09" w14:paraId="3FA58591" w14:textId="77777777" w:rsidTr="0039321F">
        <w:tc>
          <w:tcPr>
            <w:tcW w:w="703" w:type="dxa"/>
            <w:vAlign w:val="center"/>
          </w:tcPr>
          <w:p w14:paraId="76AEEAD5" w14:textId="6A083697" w:rsidR="001A0B09"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aktywa poziomu 1 (z wyłączeniem obligacji zabezpieczonych charakteryzujących się wyjątkowo wysoką jakością)</w:t>
            </w:r>
          </w:p>
          <w:p w14:paraId="093B2F3F" w14:textId="77777777" w:rsidR="001A0B0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Transakcje, w których instytucja zamieniła aktywa poziomu 1: obligacje zabezpieczone charakteryzujące się wyjątkowo wysoką jakością (będące przedmiotem udzielonej pożyczki) na aktywa poziomu 1, z wyłączeniem obligacji zabezpieczonych charakteryzujących się wyjątkowo wysoką jakością (będące przedmiotem zaciągniętej pożyczki).</w:t>
            </w:r>
          </w:p>
          <w:p w14:paraId="3E9044A0" w14:textId="77777777" w:rsidR="001A0B09" w:rsidRDefault="001A0B09">
            <w:pPr>
              <w:autoSpaceDE w:val="0"/>
              <w:autoSpaceDN w:val="0"/>
              <w:adjustRightInd w:val="0"/>
              <w:spacing w:before="0" w:after="0"/>
              <w:ind w:left="184"/>
              <w:rPr>
                <w:rFonts w:ascii="Times New Roman" w:eastAsia="PMingLiU" w:hAnsi="Times New Roman"/>
                <w:sz w:val="18"/>
                <w:szCs w:val="18"/>
              </w:rPr>
            </w:pPr>
          </w:p>
        </w:tc>
      </w:tr>
      <w:tr w:rsidR="001A0B09" w14:paraId="7BA8CCC7" w14:textId="77777777" w:rsidTr="0039321F">
        <w:tc>
          <w:tcPr>
            <w:tcW w:w="703" w:type="dxa"/>
            <w:vAlign w:val="center"/>
          </w:tcPr>
          <w:p w14:paraId="4C01E48A" w14:textId="5823407B" w:rsidR="001A0B09"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w tym: zabezpieczenie będące przedmiotem wymiany spełnia wymogi operacyjne</w:t>
            </w:r>
          </w:p>
          <w:p w14:paraId="21ACD4F0" w14:textId="77777777" w:rsidR="001A0B09" w:rsidRDefault="001A0B09">
            <w:pPr>
              <w:spacing w:before="0" w:after="0"/>
              <w:ind w:left="28"/>
              <w:rPr>
                <w:rFonts w:ascii="Times New Roman" w:eastAsia="PMingLiU" w:hAnsi="Times New Roman"/>
                <w:b/>
                <w:bCs/>
                <w:sz w:val="18"/>
                <w:szCs w:val="18"/>
              </w:rPr>
            </w:pPr>
          </w:p>
          <w:p w14:paraId="7E71C48A"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2.2.1. instytucje kredytowe zgłaszają:</w:t>
            </w:r>
          </w:p>
          <w:p w14:paraId="6D8DDBAA" w14:textId="77777777" w:rsidR="001A0B09" w:rsidRDefault="001A0B09">
            <w:pPr>
              <w:spacing w:before="0" w:after="0"/>
              <w:ind w:left="28"/>
              <w:rPr>
                <w:rFonts w:ascii="Times New Roman" w:hAnsi="Times New Roman"/>
                <w:sz w:val="18"/>
              </w:rPr>
            </w:pPr>
          </w:p>
          <w:p w14:paraId="7630FA92" w14:textId="5AD9C02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009AFF2" w14:textId="77777777" w:rsidR="001A0B09" w:rsidRDefault="001A0B09">
            <w:pPr>
              <w:spacing w:before="0" w:after="0"/>
              <w:ind w:left="748"/>
              <w:rPr>
                <w:rFonts w:ascii="Times New Roman" w:eastAsia="PMingLiU" w:hAnsi="Times New Roman"/>
                <w:b/>
                <w:bCs/>
                <w:sz w:val="18"/>
                <w:szCs w:val="18"/>
              </w:rPr>
            </w:pPr>
          </w:p>
          <w:p w14:paraId="1EAFA8F7" w14:textId="6EAD776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3F1BB3C" w14:textId="77777777" w:rsidR="001A0B09" w:rsidRDefault="001A0B09">
            <w:pPr>
              <w:spacing w:before="0" w:after="0"/>
              <w:ind w:left="28"/>
              <w:rPr>
                <w:rFonts w:ascii="Times New Roman" w:eastAsia="PMingLiU" w:hAnsi="Times New Roman"/>
                <w:b/>
                <w:bCs/>
                <w:sz w:val="18"/>
                <w:szCs w:val="18"/>
              </w:rPr>
            </w:pPr>
          </w:p>
        </w:tc>
      </w:tr>
      <w:tr w:rsidR="001A0B09" w14:paraId="64076AD4" w14:textId="77777777" w:rsidTr="0039321F">
        <w:tc>
          <w:tcPr>
            <w:tcW w:w="703" w:type="dxa"/>
            <w:vAlign w:val="center"/>
          </w:tcPr>
          <w:p w14:paraId="15C4E249" w14:textId="5B6D91AA" w:rsidR="001A0B09"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aktywa poziomu 1: obligacje zabezpieczone charakteryzujące się wyjątkowo wysoką jakością</w:t>
            </w:r>
          </w:p>
          <w:p w14:paraId="0673256A" w14:textId="77777777" w:rsidR="001A0B09" w:rsidRDefault="001A0B09">
            <w:pPr>
              <w:spacing w:before="0" w:after="0"/>
              <w:ind w:left="28"/>
              <w:rPr>
                <w:rFonts w:ascii="Times New Roman" w:eastAsia="PMingLiU" w:hAnsi="Times New Roman"/>
                <w:b/>
                <w:sz w:val="18"/>
                <w:szCs w:val="18"/>
              </w:rPr>
            </w:pPr>
          </w:p>
          <w:p w14:paraId="0A6F0B09"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Transakcje, w których instytucja zamieniła aktywa poziomu 1: obligacje zabezpieczone charakteryzujące się wyjątkowo wysoką jakością (będące przedmiotem udzielonej pożyczki) na aktywa poziomu 1: obligacje zabezpieczone charakteryzujące się wyjątkowo wysoką jakością (będące przedmiotem zaciągniętej pożyczki).</w:t>
            </w:r>
          </w:p>
          <w:p w14:paraId="6106FC3C" w14:textId="77777777" w:rsidR="001A0B09" w:rsidRDefault="001A0B09">
            <w:pPr>
              <w:spacing w:before="0" w:after="0"/>
              <w:ind w:left="28"/>
              <w:rPr>
                <w:rFonts w:ascii="Times New Roman" w:eastAsia="PMingLiU" w:hAnsi="Times New Roman"/>
                <w:szCs w:val="18"/>
              </w:rPr>
            </w:pPr>
          </w:p>
        </w:tc>
      </w:tr>
      <w:tr w:rsidR="001A0B09" w14:paraId="48484248" w14:textId="77777777" w:rsidTr="0039321F">
        <w:tc>
          <w:tcPr>
            <w:tcW w:w="703" w:type="dxa"/>
            <w:vAlign w:val="center"/>
          </w:tcPr>
          <w:p w14:paraId="0B9A297A" w14:textId="1579FE94" w:rsidR="001A0B09" w:rsidRDefault="00AD7441">
            <w:pPr>
              <w:rPr>
                <w:rFonts w:ascii="Times New Roman" w:eastAsia="PMingLiU" w:hAnsi="Times New Roman"/>
                <w:sz w:val="18"/>
                <w:szCs w:val="18"/>
              </w:rPr>
            </w:pPr>
            <w:r>
              <w:rPr>
                <w:rFonts w:ascii="Times New Roman" w:hAnsi="Times New Roman"/>
                <w:sz w:val="18"/>
                <w:szCs w:val="18"/>
              </w:rPr>
              <w:lastRenderedPageBreak/>
              <w:t>1590</w:t>
            </w:r>
          </w:p>
        </w:tc>
        <w:tc>
          <w:tcPr>
            <w:tcW w:w="7371" w:type="dxa"/>
          </w:tcPr>
          <w:p w14:paraId="3435D45C"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w tym: zabezpieczenie będące przedmiotem wymiany spełnia wymogi operacyjne</w:t>
            </w:r>
          </w:p>
          <w:p w14:paraId="10209941" w14:textId="77777777" w:rsidR="001A0B09" w:rsidRDefault="001A0B09">
            <w:pPr>
              <w:spacing w:before="0" w:after="0"/>
              <w:ind w:left="28"/>
              <w:rPr>
                <w:rFonts w:ascii="Times New Roman" w:eastAsia="PMingLiU" w:hAnsi="Times New Roman"/>
                <w:b/>
                <w:bCs/>
                <w:sz w:val="18"/>
                <w:szCs w:val="18"/>
              </w:rPr>
            </w:pPr>
          </w:p>
          <w:p w14:paraId="4DA3FF32"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2.2.2. instytucje kredytowe zgłaszają:</w:t>
            </w:r>
          </w:p>
          <w:p w14:paraId="2781FDED" w14:textId="77777777" w:rsidR="001A0B09" w:rsidRDefault="001A0B09">
            <w:pPr>
              <w:spacing w:before="0" w:after="0"/>
              <w:ind w:left="28"/>
              <w:rPr>
                <w:rFonts w:ascii="Times New Roman" w:hAnsi="Times New Roman"/>
                <w:sz w:val="18"/>
              </w:rPr>
            </w:pPr>
          </w:p>
          <w:p w14:paraId="40F741FE" w14:textId="667A529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8AB7F65" w14:textId="77777777" w:rsidR="001A0B09" w:rsidRDefault="001A0B09">
            <w:pPr>
              <w:spacing w:before="0" w:after="0"/>
              <w:ind w:left="748"/>
              <w:rPr>
                <w:rFonts w:ascii="Times New Roman" w:eastAsia="PMingLiU" w:hAnsi="Times New Roman"/>
                <w:b/>
                <w:bCs/>
                <w:sz w:val="18"/>
                <w:szCs w:val="18"/>
              </w:rPr>
            </w:pPr>
          </w:p>
          <w:p w14:paraId="16432288" w14:textId="7DBE943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89070E8" w14:textId="77777777" w:rsidR="001A0B09" w:rsidRDefault="001A0B09">
            <w:pPr>
              <w:spacing w:before="0" w:after="0"/>
              <w:ind w:left="28"/>
              <w:rPr>
                <w:rFonts w:ascii="Times New Roman" w:eastAsia="PMingLiU" w:hAnsi="Times New Roman"/>
                <w:b/>
                <w:bCs/>
                <w:sz w:val="18"/>
                <w:szCs w:val="18"/>
              </w:rPr>
            </w:pPr>
          </w:p>
        </w:tc>
      </w:tr>
      <w:tr w:rsidR="001A0B09" w14:paraId="4DA840DE" w14:textId="77777777" w:rsidTr="0039321F">
        <w:tc>
          <w:tcPr>
            <w:tcW w:w="703" w:type="dxa"/>
            <w:vAlign w:val="center"/>
          </w:tcPr>
          <w:p w14:paraId="1723A15F" w14:textId="042822C0" w:rsidR="001A0B09"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aktywa poziomu 2A</w:t>
            </w:r>
          </w:p>
          <w:p w14:paraId="0B127A2C" w14:textId="77777777" w:rsidR="001A0B09" w:rsidRDefault="001A0B09">
            <w:pPr>
              <w:spacing w:before="0" w:after="0"/>
              <w:ind w:left="28"/>
              <w:rPr>
                <w:rFonts w:ascii="Times New Roman" w:eastAsia="PMingLiU" w:hAnsi="Times New Roman"/>
                <w:b/>
                <w:sz w:val="18"/>
                <w:szCs w:val="18"/>
              </w:rPr>
            </w:pPr>
          </w:p>
          <w:p w14:paraId="5EE5A2B4"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obligacje zabezpieczone charakteryzujące się wyjątkowo wysoką jakością (będące przedmiotem udzielonej pożyczki) na aktywa poziomu 2A (będące przedmiotem zaciągniętej pożyczki).</w:t>
            </w:r>
          </w:p>
          <w:p w14:paraId="2A9FC07D" w14:textId="77777777" w:rsidR="001A0B09" w:rsidRDefault="001A0B09">
            <w:pPr>
              <w:spacing w:before="0" w:after="0"/>
              <w:ind w:left="28"/>
              <w:rPr>
                <w:rFonts w:ascii="Times New Roman" w:eastAsia="PMingLiU" w:hAnsi="Times New Roman"/>
                <w:szCs w:val="18"/>
              </w:rPr>
            </w:pPr>
          </w:p>
        </w:tc>
      </w:tr>
      <w:tr w:rsidR="001A0B09" w14:paraId="444D1F27" w14:textId="77777777" w:rsidTr="0039321F">
        <w:tc>
          <w:tcPr>
            <w:tcW w:w="703" w:type="dxa"/>
            <w:vAlign w:val="center"/>
          </w:tcPr>
          <w:p w14:paraId="4ACD6D19" w14:textId="12C9CEF5" w:rsidR="001A0B09"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w tym: zabezpieczenie będące przedmiotem wymiany spełnia wymogi operacyjne</w:t>
            </w:r>
          </w:p>
          <w:p w14:paraId="1FBBAEB3" w14:textId="77777777" w:rsidR="001A0B09" w:rsidRDefault="001A0B09">
            <w:pPr>
              <w:spacing w:before="0" w:after="0"/>
              <w:ind w:left="28"/>
              <w:rPr>
                <w:rFonts w:ascii="Times New Roman" w:eastAsia="PMingLiU" w:hAnsi="Times New Roman"/>
                <w:b/>
                <w:bCs/>
                <w:sz w:val="18"/>
                <w:szCs w:val="18"/>
              </w:rPr>
            </w:pPr>
          </w:p>
          <w:p w14:paraId="7E29D394"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2.2.3. instytucje kredytowe zgłaszają:</w:t>
            </w:r>
          </w:p>
          <w:p w14:paraId="25A6CAB4" w14:textId="77777777" w:rsidR="001A0B09" w:rsidRDefault="001A0B09">
            <w:pPr>
              <w:spacing w:before="0" w:after="0"/>
              <w:ind w:left="28"/>
              <w:rPr>
                <w:rFonts w:ascii="Times New Roman" w:hAnsi="Times New Roman"/>
                <w:sz w:val="18"/>
              </w:rPr>
            </w:pPr>
          </w:p>
          <w:p w14:paraId="0ABB31A3" w14:textId="5847B56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A6BF050" w14:textId="77777777" w:rsidR="001A0B09" w:rsidRDefault="001A0B09">
            <w:pPr>
              <w:spacing w:before="0" w:after="0"/>
              <w:ind w:left="748"/>
              <w:rPr>
                <w:rFonts w:ascii="Times New Roman" w:eastAsia="PMingLiU" w:hAnsi="Times New Roman"/>
                <w:b/>
                <w:bCs/>
                <w:sz w:val="18"/>
                <w:szCs w:val="18"/>
              </w:rPr>
            </w:pPr>
          </w:p>
          <w:p w14:paraId="29EF0C73" w14:textId="520831E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2BD5405" w14:textId="77777777" w:rsidR="001A0B09" w:rsidRDefault="001A0B09">
            <w:pPr>
              <w:spacing w:before="0" w:after="0"/>
              <w:ind w:left="28"/>
              <w:rPr>
                <w:rFonts w:ascii="Times New Roman" w:eastAsia="PMingLiU" w:hAnsi="Times New Roman"/>
                <w:b/>
                <w:bCs/>
                <w:sz w:val="18"/>
                <w:szCs w:val="18"/>
              </w:rPr>
            </w:pPr>
          </w:p>
        </w:tc>
      </w:tr>
      <w:tr w:rsidR="001A0B09" w14:paraId="655D509C" w14:textId="77777777" w:rsidTr="0039321F">
        <w:tc>
          <w:tcPr>
            <w:tcW w:w="703" w:type="dxa"/>
            <w:vAlign w:val="center"/>
          </w:tcPr>
          <w:p w14:paraId="5DB1051D" w14:textId="6315511D" w:rsidR="001A0B09" w:rsidRDefault="00AD7441">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aktywa poziomu 2B: papiery wartościowe zabezpieczone aktywami (kredyty na nieruchomości mieszkalne lub na zakup samochodów, CQS1)</w:t>
            </w:r>
          </w:p>
          <w:p w14:paraId="7E4853EF" w14:textId="77777777" w:rsidR="001A0B09" w:rsidRDefault="001A0B09">
            <w:pPr>
              <w:spacing w:before="0" w:after="0"/>
              <w:ind w:left="28"/>
              <w:rPr>
                <w:rFonts w:ascii="Times New Roman" w:eastAsia="PMingLiU" w:hAnsi="Times New Roman"/>
                <w:b/>
                <w:sz w:val="18"/>
                <w:szCs w:val="18"/>
              </w:rPr>
            </w:pPr>
          </w:p>
          <w:p w14:paraId="37C8F03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obligacje zabezpieczone charakteryzujące się wyjątkowo wysoką jakością (będące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32B503BE" w14:textId="77777777" w:rsidR="001A0B09" w:rsidRDefault="001A0B09">
            <w:pPr>
              <w:spacing w:before="0" w:after="0"/>
              <w:ind w:left="28"/>
              <w:rPr>
                <w:rFonts w:ascii="Times New Roman" w:eastAsia="PMingLiU" w:hAnsi="Times New Roman"/>
                <w:szCs w:val="18"/>
              </w:rPr>
            </w:pPr>
          </w:p>
        </w:tc>
      </w:tr>
      <w:tr w:rsidR="001A0B09" w14:paraId="5710696A" w14:textId="77777777" w:rsidTr="0039321F">
        <w:tc>
          <w:tcPr>
            <w:tcW w:w="703" w:type="dxa"/>
            <w:vAlign w:val="center"/>
          </w:tcPr>
          <w:p w14:paraId="47EA608A" w14:textId="43D5A3A5" w:rsidR="001A0B09"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w tym: zabezpieczenie będące przedmiotem wymiany spełnia wymogi operacyjne</w:t>
            </w:r>
          </w:p>
          <w:p w14:paraId="11666096" w14:textId="77777777" w:rsidR="001A0B09" w:rsidRDefault="001A0B09">
            <w:pPr>
              <w:spacing w:before="0" w:after="0"/>
              <w:ind w:left="28"/>
              <w:rPr>
                <w:rFonts w:ascii="Times New Roman" w:eastAsia="PMingLiU" w:hAnsi="Times New Roman"/>
                <w:b/>
                <w:bCs/>
                <w:sz w:val="18"/>
                <w:szCs w:val="18"/>
              </w:rPr>
            </w:pPr>
          </w:p>
          <w:p w14:paraId="1F9423C6"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2.2.4. instytucje kredytowe zgłaszają:</w:t>
            </w:r>
          </w:p>
          <w:p w14:paraId="112D2F23" w14:textId="77777777" w:rsidR="001A0B09" w:rsidRDefault="001A0B09">
            <w:pPr>
              <w:spacing w:before="0" w:after="0"/>
              <w:ind w:left="28"/>
              <w:rPr>
                <w:rFonts w:ascii="Times New Roman" w:hAnsi="Times New Roman"/>
                <w:sz w:val="18"/>
              </w:rPr>
            </w:pPr>
          </w:p>
          <w:p w14:paraId="0D75FAC7" w14:textId="2A88894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2226C74" w14:textId="77777777" w:rsidR="001A0B09" w:rsidRDefault="001A0B09">
            <w:pPr>
              <w:spacing w:before="0" w:after="0"/>
              <w:ind w:left="748"/>
              <w:rPr>
                <w:rFonts w:ascii="Times New Roman" w:eastAsia="PMingLiU" w:hAnsi="Times New Roman"/>
                <w:b/>
                <w:bCs/>
                <w:sz w:val="18"/>
                <w:szCs w:val="18"/>
              </w:rPr>
            </w:pPr>
          </w:p>
          <w:p w14:paraId="7DA74E8A" w14:textId="31ABF2A4"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67D1161" w14:textId="77777777" w:rsidR="001A0B09" w:rsidRDefault="001A0B09">
            <w:pPr>
              <w:spacing w:before="0" w:after="0"/>
              <w:ind w:left="28"/>
              <w:rPr>
                <w:rFonts w:ascii="Times New Roman" w:eastAsia="PMingLiU" w:hAnsi="Times New Roman"/>
                <w:b/>
                <w:bCs/>
                <w:sz w:val="18"/>
                <w:szCs w:val="18"/>
              </w:rPr>
            </w:pPr>
          </w:p>
        </w:tc>
      </w:tr>
      <w:tr w:rsidR="001A0B09" w14:paraId="56120AA6" w14:textId="77777777" w:rsidTr="0039321F">
        <w:tc>
          <w:tcPr>
            <w:tcW w:w="703" w:type="dxa"/>
            <w:vAlign w:val="center"/>
          </w:tcPr>
          <w:p w14:paraId="2BA8E3AC" w14:textId="75F3D02C" w:rsidR="001A0B09"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aktywa poziomu 2B: obligacje zabezpieczone charakteryzujące się wysoką jakością</w:t>
            </w:r>
          </w:p>
          <w:p w14:paraId="04BA035E" w14:textId="77777777" w:rsidR="001A0B09" w:rsidRDefault="001A0B09">
            <w:pPr>
              <w:spacing w:before="0" w:after="0"/>
              <w:ind w:left="28"/>
              <w:rPr>
                <w:rFonts w:ascii="Times New Roman" w:eastAsia="PMingLiU" w:hAnsi="Times New Roman"/>
                <w:b/>
                <w:sz w:val="18"/>
                <w:szCs w:val="18"/>
              </w:rPr>
            </w:pPr>
          </w:p>
          <w:p w14:paraId="6F1FE09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obligacje zabezpieczone charakteryzujące się wyjątkowo wysoką jakością (będące przedmiotem udzielonej pożyczki) na aktywa poziomu 2B w postaci obligacji zabezpieczonych charakteryzujących się wysoką jakością (będące przedmiotem zaciągniętej pożyczki).</w:t>
            </w:r>
          </w:p>
          <w:p w14:paraId="34F92BCC" w14:textId="77777777" w:rsidR="001A0B09" w:rsidRDefault="001A0B09">
            <w:pPr>
              <w:spacing w:before="0" w:after="0"/>
              <w:ind w:left="28"/>
              <w:rPr>
                <w:rFonts w:ascii="Times New Roman" w:eastAsia="PMingLiU" w:hAnsi="Times New Roman"/>
                <w:sz w:val="18"/>
                <w:szCs w:val="18"/>
              </w:rPr>
            </w:pPr>
          </w:p>
        </w:tc>
      </w:tr>
      <w:tr w:rsidR="001A0B09" w14:paraId="2B4F5063" w14:textId="77777777" w:rsidTr="0039321F">
        <w:tc>
          <w:tcPr>
            <w:tcW w:w="703" w:type="dxa"/>
            <w:vAlign w:val="center"/>
          </w:tcPr>
          <w:p w14:paraId="0D2F5E78" w14:textId="25862305" w:rsidR="001A0B09"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w tym: zabezpieczenie będące przedmiotem wymiany spełnia wymogi operacyjne</w:t>
            </w:r>
          </w:p>
          <w:p w14:paraId="7A2D0988" w14:textId="77777777" w:rsidR="001A0B09" w:rsidRDefault="001A0B09">
            <w:pPr>
              <w:spacing w:before="0" w:after="0"/>
              <w:ind w:left="28"/>
              <w:rPr>
                <w:rFonts w:ascii="Times New Roman" w:eastAsia="PMingLiU" w:hAnsi="Times New Roman"/>
                <w:b/>
                <w:bCs/>
                <w:sz w:val="18"/>
                <w:szCs w:val="18"/>
              </w:rPr>
            </w:pPr>
          </w:p>
          <w:p w14:paraId="2CD3A69C"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2.2.5. instytucje kredytowe zgłaszają:</w:t>
            </w:r>
          </w:p>
          <w:p w14:paraId="4EAB806B" w14:textId="77777777" w:rsidR="001A0B09" w:rsidRDefault="001A0B09">
            <w:pPr>
              <w:spacing w:before="0" w:after="0"/>
              <w:ind w:left="28"/>
              <w:rPr>
                <w:rFonts w:ascii="Times New Roman" w:hAnsi="Times New Roman"/>
                <w:sz w:val="18"/>
              </w:rPr>
            </w:pPr>
          </w:p>
          <w:p w14:paraId="246A693B" w14:textId="00FC8A2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153C68A" w14:textId="77777777" w:rsidR="001A0B09" w:rsidRDefault="001A0B09">
            <w:pPr>
              <w:spacing w:before="0" w:after="0"/>
              <w:ind w:left="748"/>
              <w:rPr>
                <w:rFonts w:ascii="Times New Roman" w:eastAsia="PMingLiU" w:hAnsi="Times New Roman"/>
                <w:b/>
                <w:bCs/>
                <w:sz w:val="18"/>
                <w:szCs w:val="18"/>
              </w:rPr>
            </w:pPr>
          </w:p>
          <w:p w14:paraId="25F46843" w14:textId="734DD56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2C509ACC" w14:textId="77777777" w:rsidR="001A0B09" w:rsidRDefault="001A0B09">
            <w:pPr>
              <w:spacing w:before="0" w:after="0"/>
              <w:ind w:left="28"/>
              <w:rPr>
                <w:rFonts w:ascii="Times New Roman" w:eastAsia="PMingLiU" w:hAnsi="Times New Roman"/>
                <w:b/>
                <w:bCs/>
                <w:sz w:val="18"/>
                <w:szCs w:val="18"/>
              </w:rPr>
            </w:pPr>
          </w:p>
        </w:tc>
      </w:tr>
      <w:tr w:rsidR="001A0B09" w14:paraId="507BC905" w14:textId="77777777" w:rsidTr="0039321F">
        <w:tc>
          <w:tcPr>
            <w:tcW w:w="703" w:type="dxa"/>
            <w:vAlign w:val="center"/>
          </w:tcPr>
          <w:p w14:paraId="1CCBBC5C" w14:textId="25FA342F" w:rsidR="001A0B09" w:rsidRDefault="00AD7441">
            <w:pPr>
              <w:rPr>
                <w:rFonts w:ascii="Times New Roman" w:eastAsia="PMingLiU" w:hAnsi="Times New Roman"/>
                <w:sz w:val="18"/>
                <w:szCs w:val="18"/>
              </w:rPr>
            </w:pPr>
            <w:r>
              <w:rPr>
                <w:rFonts w:ascii="Times New Roman" w:hAnsi="Times New Roman"/>
                <w:sz w:val="18"/>
                <w:szCs w:val="18"/>
              </w:rPr>
              <w:lastRenderedPageBreak/>
              <w:t>1660</w:t>
            </w:r>
          </w:p>
        </w:tc>
        <w:tc>
          <w:tcPr>
            <w:tcW w:w="7371" w:type="dxa"/>
          </w:tcPr>
          <w:p w14:paraId="4F05D97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aktywa poziomu 2B: papiery wartościowe zabezpieczone aktywami (kredyty komercyjne lub dla osób fizycznych, państwo członkowskie, CQS1)</w:t>
            </w:r>
          </w:p>
          <w:p w14:paraId="2E7434A6" w14:textId="77777777" w:rsidR="001A0B09" w:rsidRDefault="001A0B09">
            <w:pPr>
              <w:spacing w:before="0" w:after="0"/>
              <w:ind w:left="28"/>
              <w:rPr>
                <w:rFonts w:ascii="Times New Roman" w:eastAsia="PMingLiU" w:hAnsi="Times New Roman"/>
                <w:b/>
                <w:sz w:val="18"/>
                <w:szCs w:val="18"/>
              </w:rPr>
            </w:pPr>
          </w:p>
          <w:p w14:paraId="3B14814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obligacje zabezpieczone charakteryzujące się wyjątkowo wysoką jakością (będące przedmiotem udzielonej pożyczki) na aktywa </w:t>
            </w:r>
            <w:r>
              <w:rPr>
                <w:rFonts w:ascii="Times New Roman" w:hAnsi="Times New Roman"/>
                <w:sz w:val="18"/>
                <w:szCs w:val="18"/>
              </w:rPr>
              <w:t>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1CB114E8" w14:textId="77777777" w:rsidR="001A0B09" w:rsidRDefault="001A0B09">
            <w:pPr>
              <w:spacing w:before="0" w:after="0"/>
              <w:ind w:left="28"/>
              <w:rPr>
                <w:rFonts w:ascii="Times New Roman" w:eastAsia="PMingLiU" w:hAnsi="Times New Roman"/>
                <w:sz w:val="18"/>
                <w:szCs w:val="18"/>
              </w:rPr>
            </w:pPr>
          </w:p>
        </w:tc>
      </w:tr>
      <w:tr w:rsidR="001A0B09" w14:paraId="11649D86" w14:textId="77777777" w:rsidTr="0039321F">
        <w:tc>
          <w:tcPr>
            <w:tcW w:w="703" w:type="dxa"/>
            <w:vAlign w:val="center"/>
          </w:tcPr>
          <w:p w14:paraId="37DB9C42" w14:textId="0AB0BFDA" w:rsidR="001A0B09"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w tym: zabezpieczenie będące przedmiotem wymiany spełnia wymogi operacyjne</w:t>
            </w:r>
          </w:p>
          <w:p w14:paraId="33F0EA48" w14:textId="77777777" w:rsidR="001A0B09" w:rsidRDefault="001A0B09">
            <w:pPr>
              <w:spacing w:before="0" w:after="0"/>
              <w:ind w:left="28"/>
              <w:rPr>
                <w:rFonts w:ascii="Times New Roman" w:eastAsia="PMingLiU" w:hAnsi="Times New Roman"/>
                <w:b/>
                <w:bCs/>
                <w:sz w:val="18"/>
                <w:szCs w:val="18"/>
              </w:rPr>
            </w:pPr>
          </w:p>
          <w:p w14:paraId="3C588E7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2.2.6. instytucje kredytowe zgłaszają:</w:t>
            </w:r>
          </w:p>
          <w:p w14:paraId="2C5E61EB" w14:textId="77777777" w:rsidR="001A0B09" w:rsidRDefault="001A0B09">
            <w:pPr>
              <w:spacing w:before="0" w:after="0"/>
              <w:ind w:left="28"/>
              <w:rPr>
                <w:rFonts w:ascii="Times New Roman" w:hAnsi="Times New Roman"/>
                <w:sz w:val="18"/>
              </w:rPr>
            </w:pPr>
          </w:p>
          <w:p w14:paraId="3BDF436C" w14:textId="77F95E5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F2A51E9" w14:textId="77777777" w:rsidR="001A0B09" w:rsidRDefault="001A0B09">
            <w:pPr>
              <w:spacing w:before="0" w:after="0"/>
              <w:ind w:left="748"/>
              <w:rPr>
                <w:rFonts w:ascii="Times New Roman" w:eastAsia="PMingLiU" w:hAnsi="Times New Roman"/>
                <w:b/>
                <w:bCs/>
                <w:sz w:val="18"/>
                <w:szCs w:val="18"/>
              </w:rPr>
            </w:pPr>
          </w:p>
          <w:p w14:paraId="15954305" w14:textId="34A4E45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A38D589" w14:textId="77777777" w:rsidR="001A0B09" w:rsidRDefault="001A0B09">
            <w:pPr>
              <w:spacing w:before="0" w:after="0"/>
              <w:ind w:left="28"/>
              <w:rPr>
                <w:rFonts w:ascii="Times New Roman" w:eastAsia="PMingLiU" w:hAnsi="Times New Roman"/>
                <w:b/>
                <w:bCs/>
                <w:sz w:val="18"/>
                <w:szCs w:val="18"/>
              </w:rPr>
            </w:pPr>
          </w:p>
        </w:tc>
      </w:tr>
      <w:tr w:rsidR="001A0B09" w14:paraId="2AB53D06" w14:textId="77777777" w:rsidTr="0039321F">
        <w:tc>
          <w:tcPr>
            <w:tcW w:w="703" w:type="dxa"/>
            <w:vAlign w:val="center"/>
          </w:tcPr>
          <w:p w14:paraId="5BFBCC5C" w14:textId="39BCBA54" w:rsidR="001A0B09"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inne aktywa poziomu 2B</w:t>
            </w:r>
          </w:p>
          <w:p w14:paraId="3B33D447" w14:textId="77777777" w:rsidR="001A0B09" w:rsidRDefault="001A0B09">
            <w:pPr>
              <w:spacing w:before="0" w:after="0"/>
              <w:ind w:left="28"/>
              <w:rPr>
                <w:rFonts w:ascii="Times New Roman" w:eastAsia="PMingLiU" w:hAnsi="Times New Roman"/>
                <w:b/>
                <w:sz w:val="18"/>
                <w:szCs w:val="18"/>
              </w:rPr>
            </w:pPr>
          </w:p>
          <w:p w14:paraId="4E638467"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1: obligacje zabezpieczone charakteryzujące się wyjątkowo wysoką jakością (będące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5ADB50BD" w14:textId="77777777" w:rsidR="001A0B09" w:rsidRDefault="001A0B09">
            <w:pPr>
              <w:spacing w:before="0" w:after="0"/>
              <w:ind w:left="28"/>
              <w:rPr>
                <w:rFonts w:ascii="Times New Roman" w:eastAsia="PMingLiU" w:hAnsi="Times New Roman"/>
                <w:sz w:val="18"/>
                <w:szCs w:val="18"/>
              </w:rPr>
            </w:pPr>
          </w:p>
        </w:tc>
      </w:tr>
      <w:tr w:rsidR="001A0B09" w14:paraId="67CE0A61" w14:textId="77777777" w:rsidTr="0039321F">
        <w:tc>
          <w:tcPr>
            <w:tcW w:w="703" w:type="dxa"/>
            <w:vAlign w:val="center"/>
          </w:tcPr>
          <w:p w14:paraId="05F2EB45" w14:textId="184501D5" w:rsidR="001A0B09"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w tym: zabezpieczenie będące przedmiotem wymiany spełnia wymogi operacyjne</w:t>
            </w:r>
          </w:p>
          <w:p w14:paraId="37919B85" w14:textId="77777777" w:rsidR="001A0B09" w:rsidRDefault="001A0B09">
            <w:pPr>
              <w:spacing w:before="0" w:after="0"/>
              <w:ind w:left="28"/>
              <w:rPr>
                <w:rFonts w:ascii="Times New Roman" w:eastAsia="PMingLiU" w:hAnsi="Times New Roman"/>
                <w:b/>
                <w:bCs/>
                <w:sz w:val="18"/>
                <w:szCs w:val="18"/>
              </w:rPr>
            </w:pPr>
          </w:p>
          <w:p w14:paraId="680816C7"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2.2.7. instytucje kredytowe zgłaszają:</w:t>
            </w:r>
          </w:p>
          <w:p w14:paraId="195ECBDA" w14:textId="77777777" w:rsidR="001A0B09" w:rsidRDefault="001A0B09">
            <w:pPr>
              <w:spacing w:before="0" w:after="0"/>
              <w:ind w:left="28"/>
              <w:rPr>
                <w:rFonts w:ascii="Times New Roman" w:hAnsi="Times New Roman"/>
                <w:sz w:val="18"/>
              </w:rPr>
            </w:pPr>
          </w:p>
          <w:p w14:paraId="64BF31D3" w14:textId="0F49618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5E75E5F" w14:textId="77777777" w:rsidR="001A0B09" w:rsidRDefault="001A0B09">
            <w:pPr>
              <w:spacing w:before="0" w:after="0"/>
              <w:ind w:left="748"/>
              <w:rPr>
                <w:rFonts w:ascii="Times New Roman" w:eastAsia="PMingLiU" w:hAnsi="Times New Roman"/>
                <w:b/>
                <w:bCs/>
                <w:sz w:val="18"/>
                <w:szCs w:val="18"/>
              </w:rPr>
            </w:pPr>
          </w:p>
          <w:p w14:paraId="681C1982" w14:textId="0D2E667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90B7682" w14:textId="77777777" w:rsidR="001A0B09" w:rsidRDefault="001A0B09">
            <w:pPr>
              <w:spacing w:before="0" w:after="0"/>
              <w:ind w:left="28"/>
              <w:rPr>
                <w:rFonts w:ascii="Times New Roman" w:eastAsia="PMingLiU" w:hAnsi="Times New Roman"/>
                <w:b/>
                <w:bCs/>
                <w:sz w:val="18"/>
                <w:szCs w:val="18"/>
              </w:rPr>
            </w:pPr>
          </w:p>
        </w:tc>
      </w:tr>
      <w:tr w:rsidR="001A0B09" w14:paraId="5B454109" w14:textId="77777777" w:rsidTr="0039321F">
        <w:tc>
          <w:tcPr>
            <w:tcW w:w="703" w:type="dxa"/>
            <w:vAlign w:val="center"/>
          </w:tcPr>
          <w:p w14:paraId="66710B12" w14:textId="2A640FA3" w:rsidR="001A0B09" w:rsidRDefault="00AD7441">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aktywa niepłynne</w:t>
            </w:r>
          </w:p>
          <w:p w14:paraId="593E64D4" w14:textId="77777777" w:rsidR="001A0B09" w:rsidRDefault="001A0B09">
            <w:pPr>
              <w:spacing w:before="0" w:after="0"/>
              <w:ind w:left="28"/>
              <w:rPr>
                <w:rFonts w:ascii="Times New Roman" w:eastAsia="PMingLiU" w:hAnsi="Times New Roman"/>
                <w:b/>
                <w:sz w:val="18"/>
                <w:szCs w:val="18"/>
              </w:rPr>
            </w:pPr>
          </w:p>
          <w:p w14:paraId="49AF053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1: obligacje zabezpieczone charakteryzujące się wyjątkowo wysoką jakością (będące przedmiotem udzielonej pożyczki) na aktywa niepłynne (będące przedmiotem zaciągniętej pożyczki).</w:t>
            </w:r>
          </w:p>
          <w:p w14:paraId="5A67CD8B" w14:textId="77777777" w:rsidR="001A0B09" w:rsidRDefault="001A0B09">
            <w:pPr>
              <w:spacing w:before="0" w:after="0"/>
              <w:ind w:left="28"/>
              <w:rPr>
                <w:rFonts w:ascii="Times New Roman" w:eastAsia="PMingLiU" w:hAnsi="Times New Roman"/>
                <w:sz w:val="18"/>
                <w:szCs w:val="18"/>
              </w:rPr>
            </w:pPr>
          </w:p>
        </w:tc>
      </w:tr>
      <w:tr w:rsidR="001A0B09" w14:paraId="260534B3" w14:textId="77777777" w:rsidTr="0039321F">
        <w:tc>
          <w:tcPr>
            <w:tcW w:w="703" w:type="dxa"/>
            <w:shd w:val="clear" w:color="auto" w:fill="auto"/>
            <w:vAlign w:val="center"/>
          </w:tcPr>
          <w:p w14:paraId="0ADCD38F" w14:textId="5BB8B016" w:rsidR="001A0B09"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w tym: zabezpieczenie będące przedmiotem wymiany spełnia wymogi operacyjne</w:t>
            </w:r>
          </w:p>
          <w:p w14:paraId="0463A5D5" w14:textId="77777777" w:rsidR="001A0B09" w:rsidRDefault="001A0B09">
            <w:pPr>
              <w:spacing w:before="0" w:after="0"/>
              <w:ind w:left="28"/>
              <w:rPr>
                <w:rFonts w:ascii="Times New Roman" w:eastAsia="PMingLiU" w:hAnsi="Times New Roman"/>
                <w:b/>
                <w:bCs/>
                <w:sz w:val="18"/>
                <w:szCs w:val="18"/>
              </w:rPr>
            </w:pPr>
          </w:p>
          <w:p w14:paraId="7DDD9579" w14:textId="2CD60CDB"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2.2.8.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38BC2C88" w14:textId="77777777" w:rsidR="001A0B09" w:rsidRDefault="001A0B09">
            <w:pPr>
              <w:spacing w:before="0" w:after="0"/>
              <w:rPr>
                <w:rFonts w:ascii="Times New Roman" w:eastAsia="PMingLiU" w:hAnsi="Times New Roman"/>
                <w:b/>
                <w:bCs/>
                <w:sz w:val="18"/>
                <w:szCs w:val="18"/>
              </w:rPr>
            </w:pPr>
          </w:p>
        </w:tc>
      </w:tr>
      <w:tr w:rsidR="001A0B09" w14:paraId="578025EB" w14:textId="77777777" w:rsidTr="0039321F">
        <w:tc>
          <w:tcPr>
            <w:tcW w:w="703" w:type="dxa"/>
            <w:shd w:val="clear" w:color="auto" w:fill="auto"/>
            <w:vAlign w:val="center"/>
          </w:tcPr>
          <w:p w14:paraId="30C381F5" w14:textId="57482DF5" w:rsidR="001A0B09"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Całkowite wartości transakcji, w których przedmiotem udzielonej pożyczki są aktywa poziomu 2A, a przedmiotem zaciągniętej pożyczki są następujące rodzaje zabezpieczenia:</w:t>
            </w:r>
          </w:p>
          <w:p w14:paraId="343AE0F0" w14:textId="77777777" w:rsidR="001A0B09" w:rsidRDefault="001A0B09">
            <w:pPr>
              <w:spacing w:before="0" w:after="0"/>
              <w:ind w:left="28"/>
              <w:rPr>
                <w:rFonts w:ascii="Times New Roman" w:eastAsia="PMingLiU" w:hAnsi="Times New Roman"/>
                <w:sz w:val="18"/>
                <w:szCs w:val="18"/>
              </w:rPr>
            </w:pPr>
          </w:p>
          <w:p w14:paraId="51D42796" w14:textId="2AB807EC"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52FF7B82" w14:textId="77777777" w:rsidR="001A0B09" w:rsidRDefault="001A0B09">
            <w:pPr>
              <w:spacing w:before="0" w:after="0"/>
              <w:ind w:left="28"/>
              <w:rPr>
                <w:rFonts w:ascii="Times New Roman" w:eastAsia="PMingLiU" w:hAnsi="Times New Roman"/>
                <w:bCs/>
                <w:sz w:val="18"/>
                <w:szCs w:val="18"/>
              </w:rPr>
            </w:pPr>
          </w:p>
          <w:p w14:paraId="2E32182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całkowite wartości transakcji zabezpieczających swap w ramach transakcji, w których przedmiotem udzielonej pożyczki są aktywa poziomu 2A.</w:t>
            </w:r>
          </w:p>
          <w:p w14:paraId="52D52F30" w14:textId="77777777" w:rsidR="001A0B09" w:rsidRDefault="001A0B09">
            <w:pPr>
              <w:spacing w:before="0" w:after="0"/>
              <w:ind w:left="28"/>
              <w:rPr>
                <w:rFonts w:ascii="Times New Roman" w:eastAsia="PMingLiU" w:hAnsi="Times New Roman"/>
                <w:sz w:val="18"/>
                <w:szCs w:val="18"/>
              </w:rPr>
            </w:pPr>
          </w:p>
        </w:tc>
      </w:tr>
      <w:tr w:rsidR="001A0B09" w14:paraId="6934C931" w14:textId="77777777" w:rsidTr="0039321F">
        <w:tc>
          <w:tcPr>
            <w:tcW w:w="703" w:type="dxa"/>
            <w:vAlign w:val="center"/>
          </w:tcPr>
          <w:p w14:paraId="6A3B8E45" w14:textId="0717F469" w:rsidR="001A0B09" w:rsidRDefault="00AD7441">
            <w:pPr>
              <w:rPr>
                <w:rFonts w:ascii="Times New Roman" w:eastAsia="PMingLiU" w:hAnsi="Times New Roman"/>
                <w:sz w:val="18"/>
                <w:szCs w:val="18"/>
              </w:rPr>
            </w:pPr>
            <w:r>
              <w:rPr>
                <w:rFonts w:ascii="Times New Roman" w:hAnsi="Times New Roman"/>
                <w:sz w:val="18"/>
                <w:szCs w:val="18"/>
              </w:rPr>
              <w:lastRenderedPageBreak/>
              <w:t>1730</w:t>
            </w:r>
          </w:p>
        </w:tc>
        <w:tc>
          <w:tcPr>
            <w:tcW w:w="7371" w:type="dxa"/>
          </w:tcPr>
          <w:p w14:paraId="09CDEE79"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aktywa poziomu 1 (z wyłączeniem obligacji zabezpieczonych charakteryzujących się wyjątkowo wysoką jakością)</w:t>
            </w:r>
          </w:p>
          <w:p w14:paraId="3C423FAB" w14:textId="77777777" w:rsidR="001A0B09"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Transakcje, w których instytucja zamieniła aktywa poziomu 2A (będące przedmiotem udzielonej pożyczki) na aktywa poziomu 1, z wyłączeniem obligacji zabezpieczonych charakteryzujących się wyjątkowo wysoką jakością, (będące przedmiotem zaciągniętej pożyczki).</w:t>
            </w:r>
          </w:p>
          <w:p w14:paraId="5491674D" w14:textId="77777777" w:rsidR="001A0B09" w:rsidRDefault="001A0B09">
            <w:pPr>
              <w:autoSpaceDE w:val="0"/>
              <w:autoSpaceDN w:val="0"/>
              <w:adjustRightInd w:val="0"/>
              <w:spacing w:before="0" w:after="0"/>
              <w:rPr>
                <w:rFonts w:ascii="Times New Roman" w:eastAsia="PMingLiU" w:hAnsi="Times New Roman"/>
                <w:b/>
                <w:sz w:val="18"/>
                <w:szCs w:val="18"/>
              </w:rPr>
            </w:pPr>
          </w:p>
        </w:tc>
      </w:tr>
      <w:tr w:rsidR="001A0B09" w14:paraId="7AB20E9F" w14:textId="77777777" w:rsidTr="0039321F">
        <w:tc>
          <w:tcPr>
            <w:tcW w:w="703" w:type="dxa"/>
            <w:vAlign w:val="center"/>
          </w:tcPr>
          <w:p w14:paraId="29173CEF" w14:textId="3D0822E8" w:rsidR="001A0B09"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w tym: zabezpieczenie będące przedmiotem wymiany spełnia wymogi operacyjne</w:t>
            </w:r>
          </w:p>
          <w:p w14:paraId="63DC4674" w14:textId="77777777" w:rsidR="001A0B09" w:rsidRDefault="001A0B09">
            <w:pPr>
              <w:spacing w:before="0" w:after="0"/>
              <w:ind w:left="28"/>
              <w:rPr>
                <w:rFonts w:ascii="Times New Roman" w:eastAsia="PMingLiU" w:hAnsi="Times New Roman"/>
                <w:b/>
                <w:bCs/>
                <w:sz w:val="18"/>
                <w:szCs w:val="18"/>
              </w:rPr>
            </w:pPr>
          </w:p>
          <w:p w14:paraId="1487BDEA"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2.3.1. instytucje kredytowe zgłaszają:</w:t>
            </w:r>
          </w:p>
          <w:p w14:paraId="368D7175" w14:textId="77777777" w:rsidR="001A0B09" w:rsidRDefault="001A0B09">
            <w:pPr>
              <w:spacing w:before="0" w:after="0"/>
              <w:ind w:left="28"/>
              <w:rPr>
                <w:rFonts w:ascii="Times New Roman" w:hAnsi="Times New Roman"/>
                <w:sz w:val="18"/>
              </w:rPr>
            </w:pPr>
          </w:p>
          <w:p w14:paraId="6B4658DD" w14:textId="44CF8F3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4CBFB71" w14:textId="77777777" w:rsidR="001A0B09" w:rsidRDefault="001A0B09">
            <w:pPr>
              <w:spacing w:before="0" w:after="0"/>
              <w:ind w:left="748"/>
              <w:rPr>
                <w:rFonts w:ascii="Times New Roman" w:eastAsia="PMingLiU" w:hAnsi="Times New Roman"/>
                <w:b/>
                <w:bCs/>
                <w:sz w:val="18"/>
                <w:szCs w:val="18"/>
              </w:rPr>
            </w:pPr>
          </w:p>
          <w:p w14:paraId="2079D9EC" w14:textId="69B5420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7DA9EB3A" w14:textId="77777777" w:rsidR="001A0B09" w:rsidRDefault="001A0B09">
            <w:pPr>
              <w:spacing w:before="0" w:after="0"/>
              <w:ind w:left="28"/>
              <w:rPr>
                <w:rFonts w:ascii="Times New Roman" w:eastAsia="PMingLiU" w:hAnsi="Times New Roman"/>
                <w:b/>
                <w:bCs/>
                <w:sz w:val="18"/>
                <w:szCs w:val="18"/>
              </w:rPr>
            </w:pPr>
          </w:p>
        </w:tc>
      </w:tr>
      <w:tr w:rsidR="001A0B09" w14:paraId="4C0C15F5" w14:textId="77777777" w:rsidTr="0039321F">
        <w:tc>
          <w:tcPr>
            <w:tcW w:w="703" w:type="dxa"/>
            <w:vAlign w:val="center"/>
          </w:tcPr>
          <w:p w14:paraId="1BE7E206" w14:textId="7C2FF20C" w:rsidR="001A0B09"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aktywa poziomu 1: obligacje zabezpieczone charakteryzujące się wyjątkowo wysoką jakością</w:t>
            </w:r>
          </w:p>
          <w:p w14:paraId="2FCAA245" w14:textId="77777777" w:rsidR="001A0B09" w:rsidRDefault="001A0B09">
            <w:pPr>
              <w:spacing w:before="0" w:after="0"/>
              <w:ind w:left="28"/>
              <w:rPr>
                <w:rFonts w:ascii="Times New Roman" w:eastAsia="PMingLiU" w:hAnsi="Times New Roman"/>
                <w:b/>
                <w:sz w:val="18"/>
                <w:szCs w:val="18"/>
              </w:rPr>
            </w:pPr>
          </w:p>
          <w:p w14:paraId="0BBFF9D3"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2A (będące przedmiotem udzielonej pożyczki) </w:t>
            </w:r>
            <w:r>
              <w:rPr>
                <w:rFonts w:ascii="Times New Roman" w:hAnsi="Times New Roman"/>
                <w:sz w:val="18"/>
                <w:szCs w:val="18"/>
              </w:rPr>
              <w:t xml:space="preserve">na </w:t>
            </w:r>
            <w:r>
              <w:rPr>
                <w:rFonts w:ascii="Times New Roman" w:hAnsi="Times New Roman"/>
                <w:bCs/>
                <w:sz w:val="18"/>
                <w:szCs w:val="18"/>
              </w:rPr>
              <w:t>aktywa poziomu 1: obligacje zabezpieczone charakteryzujące się wyjątkowo wysoką jakością (będące przedmiotem zaciągniętej pożyczki).</w:t>
            </w:r>
          </w:p>
          <w:p w14:paraId="5EDFD570" w14:textId="77777777" w:rsidR="001A0B09" w:rsidRDefault="001A0B09">
            <w:pPr>
              <w:spacing w:before="0" w:after="0"/>
              <w:ind w:left="28"/>
              <w:rPr>
                <w:rFonts w:ascii="Times New Roman" w:eastAsia="PMingLiU" w:hAnsi="Times New Roman"/>
                <w:szCs w:val="18"/>
              </w:rPr>
            </w:pPr>
          </w:p>
        </w:tc>
      </w:tr>
      <w:tr w:rsidR="001A0B09" w14:paraId="396969B8" w14:textId="77777777" w:rsidTr="0039321F">
        <w:tc>
          <w:tcPr>
            <w:tcW w:w="703" w:type="dxa"/>
            <w:shd w:val="clear" w:color="auto" w:fill="FFFFFF"/>
            <w:vAlign w:val="center"/>
          </w:tcPr>
          <w:p w14:paraId="06B343E8" w14:textId="5665B968" w:rsidR="001A0B09"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w tym: zabezpieczenie będące przedmiotem wymiany spełnia wymogi operacyjne</w:t>
            </w:r>
          </w:p>
          <w:p w14:paraId="1CC4D71F" w14:textId="77777777" w:rsidR="001A0B09" w:rsidRDefault="001A0B09">
            <w:pPr>
              <w:spacing w:before="0" w:after="0"/>
              <w:ind w:left="28"/>
              <w:rPr>
                <w:rFonts w:ascii="Times New Roman" w:eastAsia="PMingLiU" w:hAnsi="Times New Roman"/>
                <w:b/>
                <w:bCs/>
                <w:sz w:val="18"/>
                <w:szCs w:val="18"/>
              </w:rPr>
            </w:pPr>
          </w:p>
          <w:p w14:paraId="467D75A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2.3.2. instytucje kredytowe zgłaszają:</w:t>
            </w:r>
          </w:p>
          <w:p w14:paraId="5618A7F8" w14:textId="77777777" w:rsidR="001A0B09" w:rsidRDefault="001A0B09">
            <w:pPr>
              <w:spacing w:before="0" w:after="0"/>
              <w:ind w:left="28"/>
              <w:rPr>
                <w:rFonts w:ascii="Times New Roman" w:hAnsi="Times New Roman"/>
                <w:sz w:val="18"/>
              </w:rPr>
            </w:pPr>
          </w:p>
          <w:p w14:paraId="0AF0B66E" w14:textId="77498AC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F934B90" w14:textId="77777777" w:rsidR="001A0B09" w:rsidRDefault="001A0B09">
            <w:pPr>
              <w:spacing w:before="0" w:after="0"/>
              <w:ind w:left="748"/>
              <w:rPr>
                <w:rFonts w:ascii="Times New Roman" w:eastAsia="PMingLiU" w:hAnsi="Times New Roman"/>
                <w:b/>
                <w:bCs/>
                <w:sz w:val="18"/>
                <w:szCs w:val="18"/>
              </w:rPr>
            </w:pPr>
          </w:p>
          <w:p w14:paraId="60C6B697" w14:textId="5B5DE24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257B28C" w14:textId="77777777" w:rsidR="001A0B09" w:rsidRDefault="001A0B09">
            <w:pPr>
              <w:spacing w:before="0" w:after="0"/>
              <w:ind w:left="28"/>
              <w:rPr>
                <w:rFonts w:ascii="Times New Roman" w:eastAsia="PMingLiU" w:hAnsi="Times New Roman"/>
                <w:b/>
                <w:bCs/>
                <w:sz w:val="18"/>
                <w:szCs w:val="18"/>
              </w:rPr>
            </w:pPr>
          </w:p>
        </w:tc>
      </w:tr>
      <w:tr w:rsidR="001A0B09" w14:paraId="565EAC7A" w14:textId="77777777" w:rsidTr="0039321F">
        <w:tc>
          <w:tcPr>
            <w:tcW w:w="703" w:type="dxa"/>
            <w:shd w:val="clear" w:color="auto" w:fill="FFFFFF"/>
            <w:vAlign w:val="center"/>
          </w:tcPr>
          <w:p w14:paraId="1C098EEA" w14:textId="1786BF26" w:rsidR="001A0B09"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aktywa poziomu 2A</w:t>
            </w:r>
          </w:p>
          <w:p w14:paraId="1649D453" w14:textId="77777777" w:rsidR="001A0B09" w:rsidRDefault="001A0B09">
            <w:pPr>
              <w:spacing w:before="0" w:after="0"/>
              <w:ind w:left="28"/>
              <w:rPr>
                <w:rFonts w:ascii="Times New Roman" w:eastAsia="PMingLiU" w:hAnsi="Times New Roman"/>
                <w:b/>
                <w:sz w:val="18"/>
                <w:szCs w:val="18"/>
              </w:rPr>
            </w:pPr>
          </w:p>
          <w:p w14:paraId="29633484"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2A (będące przedmiotem udzielonej pożyczki) na </w:t>
            </w:r>
            <w:r>
              <w:rPr>
                <w:rFonts w:ascii="Times New Roman" w:hAnsi="Times New Roman"/>
                <w:bCs/>
                <w:sz w:val="18"/>
                <w:szCs w:val="18"/>
              </w:rPr>
              <w:t>aktywa poziomu 2A (będące przedmiotem zaciągniętej pożyczki).</w:t>
            </w:r>
          </w:p>
          <w:p w14:paraId="5DE286EA" w14:textId="77777777" w:rsidR="001A0B09" w:rsidRDefault="001A0B09">
            <w:pPr>
              <w:spacing w:before="0" w:after="0"/>
              <w:ind w:left="28"/>
              <w:rPr>
                <w:rFonts w:ascii="Times New Roman" w:eastAsia="PMingLiU" w:hAnsi="Times New Roman"/>
                <w:szCs w:val="18"/>
              </w:rPr>
            </w:pPr>
          </w:p>
        </w:tc>
      </w:tr>
      <w:tr w:rsidR="001A0B09" w14:paraId="5B51516E" w14:textId="77777777" w:rsidTr="0039321F">
        <w:tc>
          <w:tcPr>
            <w:tcW w:w="703" w:type="dxa"/>
            <w:vAlign w:val="center"/>
          </w:tcPr>
          <w:p w14:paraId="090BACA0" w14:textId="275FCBA7" w:rsidR="001A0B09"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w tym: zabezpieczenie będące przedmiotem wymiany spełnia wymogi operacyjne</w:t>
            </w:r>
          </w:p>
          <w:p w14:paraId="7464D4F6" w14:textId="77777777" w:rsidR="001A0B09" w:rsidRDefault="001A0B09">
            <w:pPr>
              <w:spacing w:before="0" w:after="0"/>
              <w:ind w:left="28"/>
              <w:rPr>
                <w:rFonts w:ascii="Times New Roman" w:eastAsia="PMingLiU" w:hAnsi="Times New Roman"/>
                <w:b/>
                <w:bCs/>
                <w:sz w:val="18"/>
                <w:szCs w:val="18"/>
              </w:rPr>
            </w:pPr>
          </w:p>
          <w:p w14:paraId="5B4AD189"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2.3.3. instytucje kredytowe zgłaszają:</w:t>
            </w:r>
          </w:p>
          <w:p w14:paraId="60554B76" w14:textId="77777777" w:rsidR="001A0B09" w:rsidRDefault="001A0B09">
            <w:pPr>
              <w:spacing w:before="0" w:after="0"/>
              <w:ind w:left="28"/>
              <w:rPr>
                <w:rFonts w:ascii="Times New Roman" w:hAnsi="Times New Roman"/>
                <w:sz w:val="18"/>
              </w:rPr>
            </w:pPr>
          </w:p>
          <w:p w14:paraId="433CCDC7" w14:textId="2905C42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EAF11F4" w14:textId="77777777" w:rsidR="001A0B09" w:rsidRDefault="001A0B09">
            <w:pPr>
              <w:spacing w:before="0" w:after="0"/>
              <w:ind w:left="748"/>
              <w:rPr>
                <w:rFonts w:ascii="Times New Roman" w:eastAsia="PMingLiU" w:hAnsi="Times New Roman"/>
                <w:b/>
                <w:bCs/>
                <w:sz w:val="18"/>
                <w:szCs w:val="18"/>
              </w:rPr>
            </w:pPr>
          </w:p>
          <w:p w14:paraId="6D507C21" w14:textId="721B94B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3B6EA8F" w14:textId="77777777" w:rsidR="001A0B09" w:rsidRDefault="001A0B09">
            <w:pPr>
              <w:spacing w:before="0" w:after="0"/>
              <w:ind w:left="28"/>
              <w:rPr>
                <w:rFonts w:ascii="Times New Roman" w:eastAsia="PMingLiU" w:hAnsi="Times New Roman"/>
                <w:b/>
                <w:bCs/>
                <w:sz w:val="18"/>
                <w:szCs w:val="18"/>
              </w:rPr>
            </w:pPr>
          </w:p>
        </w:tc>
      </w:tr>
      <w:tr w:rsidR="001A0B09" w14:paraId="577AC082" w14:textId="77777777" w:rsidTr="0039321F">
        <w:tc>
          <w:tcPr>
            <w:tcW w:w="703" w:type="dxa"/>
            <w:vAlign w:val="center"/>
          </w:tcPr>
          <w:p w14:paraId="59ADCEDD" w14:textId="21149E03" w:rsidR="001A0B09" w:rsidRDefault="00AD7441">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aktywa poziomu 2B: papiery wartościowe zabezpieczone aktywami (kredyty na nieruchomości mieszkalne lub na zakup samochodów, CQS1)</w:t>
            </w:r>
          </w:p>
          <w:p w14:paraId="3A4F713A" w14:textId="77777777" w:rsidR="001A0B09" w:rsidRDefault="001A0B09">
            <w:pPr>
              <w:spacing w:before="0" w:after="0"/>
              <w:ind w:left="28"/>
              <w:rPr>
                <w:rFonts w:ascii="Times New Roman" w:eastAsia="PMingLiU" w:hAnsi="Times New Roman"/>
                <w:b/>
                <w:sz w:val="18"/>
                <w:szCs w:val="18"/>
              </w:rPr>
            </w:pPr>
          </w:p>
          <w:p w14:paraId="14B7A267"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2A </w:t>
            </w:r>
            <w:r>
              <w:rPr>
                <w:rFonts w:ascii="Times New Roman" w:hAnsi="Times New Roman"/>
                <w:bCs/>
                <w:sz w:val="18"/>
                <w:szCs w:val="18"/>
              </w:rPr>
              <w:t xml:space="preserve">(będące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63DE0535" w14:textId="77777777" w:rsidR="001A0B09" w:rsidRDefault="001A0B09">
            <w:pPr>
              <w:spacing w:before="0" w:after="0"/>
              <w:ind w:left="28"/>
              <w:rPr>
                <w:rFonts w:ascii="Times New Roman" w:eastAsia="PMingLiU" w:hAnsi="Times New Roman"/>
                <w:szCs w:val="18"/>
              </w:rPr>
            </w:pPr>
          </w:p>
        </w:tc>
      </w:tr>
      <w:tr w:rsidR="001A0B09" w14:paraId="61D311AA" w14:textId="77777777" w:rsidTr="0039321F">
        <w:tc>
          <w:tcPr>
            <w:tcW w:w="703" w:type="dxa"/>
            <w:vAlign w:val="center"/>
          </w:tcPr>
          <w:p w14:paraId="1B38178A" w14:textId="2EFE927C" w:rsidR="001A0B09"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w tym: zabezpieczenie będące przedmiotem wymiany spełnia wymogi operacyjne</w:t>
            </w:r>
          </w:p>
          <w:p w14:paraId="602D4A9D" w14:textId="77777777" w:rsidR="001A0B09" w:rsidRDefault="001A0B09">
            <w:pPr>
              <w:spacing w:before="0" w:after="0"/>
              <w:ind w:left="28"/>
              <w:rPr>
                <w:rFonts w:ascii="Times New Roman" w:eastAsia="PMingLiU" w:hAnsi="Times New Roman"/>
                <w:b/>
                <w:bCs/>
                <w:sz w:val="18"/>
                <w:szCs w:val="18"/>
              </w:rPr>
            </w:pPr>
          </w:p>
          <w:p w14:paraId="449443A0"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2.3.4. instytucje kredytowe zgłaszają:</w:t>
            </w:r>
          </w:p>
          <w:p w14:paraId="06F31BC2" w14:textId="77777777" w:rsidR="001A0B09" w:rsidRDefault="001A0B09">
            <w:pPr>
              <w:spacing w:before="0" w:after="0"/>
              <w:ind w:left="28"/>
              <w:rPr>
                <w:rFonts w:ascii="Times New Roman" w:hAnsi="Times New Roman"/>
                <w:sz w:val="18"/>
              </w:rPr>
            </w:pPr>
          </w:p>
          <w:p w14:paraId="377C91A8" w14:textId="53EFB33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0ECAC01" w14:textId="77777777" w:rsidR="001A0B09" w:rsidRDefault="001A0B09">
            <w:pPr>
              <w:spacing w:before="0" w:after="0"/>
              <w:ind w:left="748"/>
              <w:rPr>
                <w:rFonts w:ascii="Times New Roman" w:eastAsia="PMingLiU" w:hAnsi="Times New Roman"/>
                <w:b/>
                <w:bCs/>
                <w:sz w:val="18"/>
                <w:szCs w:val="18"/>
              </w:rPr>
            </w:pPr>
          </w:p>
          <w:p w14:paraId="528F7143" w14:textId="2DBA286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63F8FB71" w14:textId="77777777" w:rsidR="001A0B09" w:rsidRDefault="001A0B09">
            <w:pPr>
              <w:spacing w:before="0" w:after="0"/>
              <w:ind w:left="28"/>
              <w:rPr>
                <w:rFonts w:ascii="Times New Roman" w:eastAsia="PMingLiU" w:hAnsi="Times New Roman"/>
                <w:b/>
                <w:bCs/>
                <w:sz w:val="18"/>
                <w:szCs w:val="18"/>
              </w:rPr>
            </w:pPr>
          </w:p>
        </w:tc>
      </w:tr>
      <w:tr w:rsidR="001A0B09" w14:paraId="71BF783D" w14:textId="77777777" w:rsidTr="0039321F">
        <w:tc>
          <w:tcPr>
            <w:tcW w:w="703" w:type="dxa"/>
            <w:vAlign w:val="center"/>
          </w:tcPr>
          <w:p w14:paraId="79598B02" w14:textId="77467E21" w:rsidR="001A0B09" w:rsidRDefault="00AD7441">
            <w:pPr>
              <w:rPr>
                <w:rFonts w:ascii="Times New Roman" w:eastAsia="PMingLiU" w:hAnsi="Times New Roman"/>
                <w:sz w:val="18"/>
                <w:szCs w:val="18"/>
              </w:rPr>
            </w:pPr>
            <w:r>
              <w:rPr>
                <w:rFonts w:ascii="Times New Roman" w:hAnsi="Times New Roman"/>
                <w:sz w:val="18"/>
                <w:szCs w:val="18"/>
              </w:rPr>
              <w:lastRenderedPageBreak/>
              <w:t>1810</w:t>
            </w:r>
          </w:p>
        </w:tc>
        <w:tc>
          <w:tcPr>
            <w:tcW w:w="7371" w:type="dxa"/>
            <w:shd w:val="clear" w:color="auto" w:fill="auto"/>
          </w:tcPr>
          <w:p w14:paraId="7B36CD46"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aktywa poziomu 2B: obligacje zabezpieczone charakteryzujące się wysoką jakością</w:t>
            </w:r>
          </w:p>
          <w:p w14:paraId="006DF8E2" w14:textId="77777777" w:rsidR="001A0B09" w:rsidRDefault="001A0B09">
            <w:pPr>
              <w:spacing w:before="0" w:after="0"/>
              <w:ind w:left="28"/>
              <w:rPr>
                <w:rFonts w:ascii="Times New Roman" w:eastAsia="PMingLiU" w:hAnsi="Times New Roman"/>
                <w:b/>
                <w:sz w:val="18"/>
                <w:szCs w:val="18"/>
              </w:rPr>
            </w:pPr>
          </w:p>
          <w:p w14:paraId="15F1B2B9"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2A</w:t>
            </w:r>
            <w:r>
              <w:rPr>
                <w:rFonts w:ascii="Times New Roman" w:hAnsi="Times New Roman"/>
                <w:bCs/>
                <w:sz w:val="18"/>
                <w:szCs w:val="18"/>
              </w:rPr>
              <w:t xml:space="preserve"> (będące przedmiotem udzielonej pożyczki) na aktywa poziomu 2B w postaci obligacji zabezpieczonych charakteryzujących się wysoką jakością (będące przedmiotem zaciągniętej pożyczki).</w:t>
            </w:r>
          </w:p>
          <w:p w14:paraId="746214A8" w14:textId="77777777" w:rsidR="001A0B09" w:rsidRDefault="001A0B09">
            <w:pPr>
              <w:spacing w:before="0" w:after="0"/>
              <w:ind w:left="28"/>
              <w:rPr>
                <w:rFonts w:ascii="Times New Roman" w:eastAsia="PMingLiU" w:hAnsi="Times New Roman"/>
                <w:sz w:val="18"/>
                <w:szCs w:val="18"/>
              </w:rPr>
            </w:pPr>
          </w:p>
        </w:tc>
      </w:tr>
      <w:tr w:rsidR="001A0B09" w14:paraId="3EF89B3C" w14:textId="77777777" w:rsidTr="0039321F">
        <w:tc>
          <w:tcPr>
            <w:tcW w:w="703" w:type="dxa"/>
            <w:shd w:val="clear" w:color="auto" w:fill="FFFFFF"/>
            <w:vAlign w:val="center"/>
          </w:tcPr>
          <w:p w14:paraId="5974A07D" w14:textId="6661A515" w:rsidR="001A0B09"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w tym: zabezpieczenie będące przedmiotem wymiany spełnia wymogi operacyjne</w:t>
            </w:r>
          </w:p>
          <w:p w14:paraId="5DA11B70" w14:textId="77777777" w:rsidR="001A0B09" w:rsidRDefault="001A0B09">
            <w:pPr>
              <w:spacing w:before="0" w:after="0"/>
              <w:ind w:left="28"/>
              <w:rPr>
                <w:rFonts w:ascii="Times New Roman" w:eastAsia="PMingLiU" w:hAnsi="Times New Roman"/>
                <w:b/>
                <w:bCs/>
                <w:sz w:val="18"/>
                <w:szCs w:val="18"/>
              </w:rPr>
            </w:pPr>
          </w:p>
          <w:p w14:paraId="08A66FE2"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2.3.5. instytucje kredytowe zgłaszają:</w:t>
            </w:r>
          </w:p>
          <w:p w14:paraId="741EDC8F" w14:textId="77777777" w:rsidR="001A0B09" w:rsidRDefault="001A0B09">
            <w:pPr>
              <w:spacing w:before="0" w:after="0"/>
              <w:ind w:left="28"/>
              <w:rPr>
                <w:rFonts w:ascii="Times New Roman" w:hAnsi="Times New Roman"/>
                <w:sz w:val="18"/>
              </w:rPr>
            </w:pPr>
          </w:p>
          <w:p w14:paraId="5F004146" w14:textId="3588575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7D506DA" w14:textId="77777777" w:rsidR="001A0B09" w:rsidRDefault="001A0B09">
            <w:pPr>
              <w:spacing w:before="0" w:after="0"/>
              <w:ind w:left="748"/>
              <w:rPr>
                <w:rFonts w:ascii="Times New Roman" w:eastAsia="PMingLiU" w:hAnsi="Times New Roman"/>
                <w:b/>
                <w:bCs/>
                <w:sz w:val="18"/>
                <w:szCs w:val="18"/>
              </w:rPr>
            </w:pPr>
          </w:p>
          <w:p w14:paraId="3274ACAB" w14:textId="0A4FF98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110DCEF" w14:textId="77777777" w:rsidR="001A0B09" w:rsidRDefault="001A0B09">
            <w:pPr>
              <w:spacing w:before="0" w:after="0"/>
              <w:ind w:left="28"/>
              <w:rPr>
                <w:rFonts w:ascii="Times New Roman" w:eastAsia="PMingLiU" w:hAnsi="Times New Roman"/>
                <w:b/>
                <w:bCs/>
                <w:sz w:val="18"/>
                <w:szCs w:val="18"/>
              </w:rPr>
            </w:pPr>
          </w:p>
        </w:tc>
      </w:tr>
      <w:tr w:rsidR="001A0B09" w14:paraId="5EC7A844" w14:textId="77777777" w:rsidTr="0039321F">
        <w:tc>
          <w:tcPr>
            <w:tcW w:w="703" w:type="dxa"/>
            <w:shd w:val="clear" w:color="auto" w:fill="FFFFFF"/>
            <w:vAlign w:val="center"/>
          </w:tcPr>
          <w:p w14:paraId="6268218A" w14:textId="4B070273" w:rsidR="001A0B09"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aktywa poziomu 2B: papiery wartościowe zabezpieczone aktywami (kredyty komercyjne lub dla osób fizycznych, państwo członkowskie, CQS1)</w:t>
            </w:r>
          </w:p>
          <w:p w14:paraId="360A194A" w14:textId="77777777" w:rsidR="001A0B09" w:rsidRDefault="001A0B09">
            <w:pPr>
              <w:spacing w:before="0" w:after="0"/>
              <w:ind w:left="28"/>
              <w:rPr>
                <w:rFonts w:ascii="Times New Roman" w:eastAsia="PMingLiU" w:hAnsi="Times New Roman"/>
                <w:b/>
                <w:sz w:val="18"/>
                <w:szCs w:val="18"/>
              </w:rPr>
            </w:pPr>
          </w:p>
          <w:p w14:paraId="3C7906F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poziomu </w:t>
            </w:r>
            <w:r>
              <w:rPr>
                <w:rFonts w:ascii="Times New Roman" w:hAnsi="Times New Roman"/>
                <w:sz w:val="18"/>
                <w:szCs w:val="18"/>
              </w:rPr>
              <w:t xml:space="preserve">2A </w:t>
            </w:r>
            <w:r>
              <w:rPr>
                <w:rFonts w:ascii="Times New Roman" w:hAnsi="Times New Roman"/>
                <w:bCs/>
                <w:sz w:val="18"/>
                <w:szCs w:val="18"/>
              </w:rPr>
              <w:t xml:space="preserve">(będące przedmiotem udzielonej pożyczki) na aktywa poziomu </w:t>
            </w:r>
            <w:r>
              <w:rPr>
                <w:rFonts w:ascii="Times New Roman" w:hAnsi="Times New Roman"/>
                <w:sz w:val="18"/>
                <w:szCs w:val="18"/>
              </w:rPr>
              <w:t>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0A0E39AF" w14:textId="77777777" w:rsidR="001A0B09" w:rsidRDefault="001A0B09">
            <w:pPr>
              <w:spacing w:before="0" w:after="0"/>
              <w:ind w:left="28"/>
              <w:rPr>
                <w:rFonts w:ascii="Times New Roman" w:eastAsia="PMingLiU" w:hAnsi="Times New Roman"/>
                <w:sz w:val="18"/>
                <w:szCs w:val="18"/>
              </w:rPr>
            </w:pPr>
          </w:p>
        </w:tc>
      </w:tr>
      <w:tr w:rsidR="001A0B09" w14:paraId="7A55CC0B" w14:textId="77777777" w:rsidTr="0039321F">
        <w:tc>
          <w:tcPr>
            <w:tcW w:w="703" w:type="dxa"/>
            <w:shd w:val="clear" w:color="auto" w:fill="FFFFFF"/>
            <w:vAlign w:val="center"/>
          </w:tcPr>
          <w:p w14:paraId="2C8F33A9" w14:textId="66F5DE3A" w:rsidR="001A0B09"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w tym: zabezpieczenie będące przedmiotem wymiany spełnia wymogi operacyjne</w:t>
            </w:r>
          </w:p>
          <w:p w14:paraId="65228EAF" w14:textId="77777777" w:rsidR="001A0B09" w:rsidRDefault="001A0B09">
            <w:pPr>
              <w:spacing w:before="0" w:after="0"/>
              <w:ind w:left="28"/>
              <w:rPr>
                <w:rFonts w:ascii="Times New Roman" w:eastAsia="PMingLiU" w:hAnsi="Times New Roman"/>
                <w:b/>
                <w:bCs/>
                <w:sz w:val="18"/>
                <w:szCs w:val="18"/>
              </w:rPr>
            </w:pPr>
          </w:p>
          <w:p w14:paraId="79C8A9E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2.3.6. instytucje kredytowe zgłaszają:</w:t>
            </w:r>
          </w:p>
          <w:p w14:paraId="222C3847" w14:textId="77777777" w:rsidR="001A0B09" w:rsidRDefault="001A0B09">
            <w:pPr>
              <w:spacing w:before="0" w:after="0"/>
              <w:ind w:left="28"/>
              <w:rPr>
                <w:rFonts w:ascii="Times New Roman" w:hAnsi="Times New Roman"/>
                <w:sz w:val="18"/>
              </w:rPr>
            </w:pPr>
          </w:p>
          <w:p w14:paraId="1577B86A" w14:textId="39A4EEB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CEA6BF6" w14:textId="77777777" w:rsidR="001A0B09" w:rsidRDefault="001A0B09">
            <w:pPr>
              <w:spacing w:before="0" w:after="0"/>
              <w:ind w:left="748"/>
              <w:rPr>
                <w:rFonts w:ascii="Times New Roman" w:eastAsia="PMingLiU" w:hAnsi="Times New Roman"/>
                <w:b/>
                <w:bCs/>
                <w:sz w:val="18"/>
                <w:szCs w:val="18"/>
              </w:rPr>
            </w:pPr>
          </w:p>
          <w:p w14:paraId="383C91B6" w14:textId="0767DA8D"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06AEC8B0" w14:textId="77777777" w:rsidR="001A0B09" w:rsidRDefault="001A0B09">
            <w:pPr>
              <w:spacing w:before="0" w:after="0"/>
              <w:ind w:left="28"/>
              <w:rPr>
                <w:rFonts w:ascii="Times New Roman" w:eastAsia="PMingLiU" w:hAnsi="Times New Roman"/>
                <w:b/>
                <w:bCs/>
                <w:sz w:val="18"/>
                <w:szCs w:val="18"/>
              </w:rPr>
            </w:pPr>
          </w:p>
        </w:tc>
      </w:tr>
      <w:tr w:rsidR="001A0B09" w14:paraId="58892359" w14:textId="77777777" w:rsidTr="0039321F">
        <w:tc>
          <w:tcPr>
            <w:tcW w:w="703" w:type="dxa"/>
            <w:shd w:val="clear" w:color="auto" w:fill="FFFFFF"/>
            <w:vAlign w:val="center"/>
          </w:tcPr>
          <w:p w14:paraId="4881C678" w14:textId="015B38DB" w:rsidR="001A0B09"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inne aktywa poziomu 2B</w:t>
            </w:r>
          </w:p>
          <w:p w14:paraId="00D041B0" w14:textId="77777777" w:rsidR="001A0B09" w:rsidRDefault="001A0B09">
            <w:pPr>
              <w:spacing w:before="0" w:after="0"/>
              <w:ind w:left="28"/>
              <w:rPr>
                <w:rFonts w:ascii="Times New Roman" w:eastAsia="PMingLiU" w:hAnsi="Times New Roman"/>
                <w:b/>
                <w:sz w:val="18"/>
                <w:szCs w:val="18"/>
              </w:rPr>
            </w:pPr>
          </w:p>
          <w:p w14:paraId="5074BA27"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2A </w:t>
            </w:r>
            <w:r>
              <w:rPr>
                <w:rFonts w:ascii="Times New Roman" w:hAnsi="Times New Roman"/>
                <w:bCs/>
                <w:sz w:val="18"/>
                <w:szCs w:val="18"/>
              </w:rPr>
              <w:t xml:space="preserve">(będące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2916535F" w14:textId="77777777" w:rsidR="001A0B09" w:rsidRDefault="001A0B09">
            <w:pPr>
              <w:spacing w:before="0" w:after="0"/>
              <w:ind w:left="28"/>
              <w:rPr>
                <w:rFonts w:ascii="Times New Roman" w:eastAsia="PMingLiU" w:hAnsi="Times New Roman"/>
                <w:sz w:val="18"/>
                <w:szCs w:val="18"/>
              </w:rPr>
            </w:pPr>
          </w:p>
        </w:tc>
      </w:tr>
      <w:tr w:rsidR="001A0B09" w14:paraId="19A114FE" w14:textId="77777777" w:rsidTr="0039321F">
        <w:tc>
          <w:tcPr>
            <w:tcW w:w="703" w:type="dxa"/>
            <w:shd w:val="clear" w:color="auto" w:fill="FFFFFF"/>
            <w:vAlign w:val="center"/>
          </w:tcPr>
          <w:p w14:paraId="201E043F" w14:textId="23A0DE9C" w:rsidR="001A0B09" w:rsidRDefault="00AD7441">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w tym: zabezpieczenie będące przedmiotem wymiany spełnia wymogi operacyjne</w:t>
            </w:r>
          </w:p>
          <w:p w14:paraId="19870800" w14:textId="77777777" w:rsidR="001A0B09" w:rsidRDefault="001A0B09">
            <w:pPr>
              <w:spacing w:before="0" w:after="0"/>
              <w:ind w:left="28"/>
              <w:rPr>
                <w:rFonts w:ascii="Times New Roman" w:eastAsia="PMingLiU" w:hAnsi="Times New Roman"/>
                <w:b/>
                <w:bCs/>
                <w:sz w:val="18"/>
                <w:szCs w:val="18"/>
              </w:rPr>
            </w:pPr>
          </w:p>
          <w:p w14:paraId="6C4AAE21"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2.3.7. instytucje kredytowe zgłaszają:</w:t>
            </w:r>
          </w:p>
          <w:p w14:paraId="080728CB" w14:textId="77777777" w:rsidR="001A0B09" w:rsidRDefault="001A0B09">
            <w:pPr>
              <w:spacing w:before="0" w:after="0"/>
              <w:ind w:left="28"/>
              <w:rPr>
                <w:rFonts w:ascii="Times New Roman" w:hAnsi="Times New Roman"/>
                <w:sz w:val="18"/>
              </w:rPr>
            </w:pPr>
          </w:p>
          <w:p w14:paraId="15B4B084" w14:textId="1C69099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FE47758" w14:textId="77777777" w:rsidR="001A0B09" w:rsidRDefault="001A0B09">
            <w:pPr>
              <w:spacing w:before="0" w:after="0"/>
              <w:ind w:left="748"/>
              <w:rPr>
                <w:rFonts w:ascii="Times New Roman" w:eastAsia="PMingLiU" w:hAnsi="Times New Roman"/>
                <w:b/>
                <w:bCs/>
                <w:sz w:val="18"/>
                <w:szCs w:val="18"/>
              </w:rPr>
            </w:pPr>
          </w:p>
          <w:p w14:paraId="0AC33813" w14:textId="04A1BFC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7E4AE0DA" w14:textId="77777777" w:rsidR="001A0B09" w:rsidRDefault="001A0B09">
            <w:pPr>
              <w:spacing w:before="0" w:after="0"/>
              <w:ind w:left="28"/>
              <w:rPr>
                <w:rFonts w:ascii="Times New Roman" w:eastAsia="PMingLiU" w:hAnsi="Times New Roman"/>
                <w:b/>
                <w:bCs/>
                <w:sz w:val="18"/>
                <w:szCs w:val="18"/>
              </w:rPr>
            </w:pPr>
          </w:p>
        </w:tc>
      </w:tr>
      <w:tr w:rsidR="001A0B09" w14:paraId="7ADAC5C5" w14:textId="77777777" w:rsidTr="0039321F">
        <w:tc>
          <w:tcPr>
            <w:tcW w:w="703" w:type="dxa"/>
            <w:shd w:val="clear" w:color="auto" w:fill="FFFFFF"/>
            <w:vAlign w:val="center"/>
          </w:tcPr>
          <w:p w14:paraId="53AF093F" w14:textId="6D88D139" w:rsidR="001A0B09"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aktywa niepłynne</w:t>
            </w:r>
          </w:p>
          <w:p w14:paraId="68BAA86F" w14:textId="77777777" w:rsidR="001A0B09" w:rsidRDefault="001A0B09">
            <w:pPr>
              <w:spacing w:before="0" w:after="0"/>
              <w:ind w:left="28"/>
              <w:rPr>
                <w:rFonts w:ascii="Times New Roman" w:eastAsia="PMingLiU" w:hAnsi="Times New Roman"/>
                <w:b/>
                <w:sz w:val="18"/>
                <w:szCs w:val="18"/>
              </w:rPr>
            </w:pPr>
          </w:p>
          <w:p w14:paraId="5BDCA67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2A </w:t>
            </w:r>
            <w:r>
              <w:rPr>
                <w:rFonts w:ascii="Times New Roman" w:hAnsi="Times New Roman"/>
                <w:bCs/>
                <w:sz w:val="18"/>
                <w:szCs w:val="18"/>
              </w:rPr>
              <w:t xml:space="preserve">(będące przedmiotem udzielonej </w:t>
            </w:r>
            <w:r>
              <w:rPr>
                <w:rFonts w:ascii="Times New Roman" w:hAnsi="Times New Roman"/>
                <w:bCs/>
                <w:sz w:val="18"/>
                <w:szCs w:val="18"/>
              </w:rPr>
              <w:lastRenderedPageBreak/>
              <w:t>pożyczki) na aktywa niepłynne (będące przedmiotem zaciągniętej pożyczki).</w:t>
            </w:r>
          </w:p>
          <w:p w14:paraId="3AEB95B3" w14:textId="77777777" w:rsidR="001A0B09" w:rsidRDefault="001A0B09">
            <w:pPr>
              <w:spacing w:before="0" w:after="0"/>
              <w:ind w:left="28"/>
              <w:rPr>
                <w:rFonts w:ascii="Times New Roman" w:eastAsia="PMingLiU" w:hAnsi="Times New Roman"/>
                <w:sz w:val="18"/>
                <w:szCs w:val="18"/>
              </w:rPr>
            </w:pPr>
          </w:p>
        </w:tc>
      </w:tr>
      <w:tr w:rsidR="001A0B09" w14:paraId="6F4C20FB" w14:textId="77777777" w:rsidTr="0039321F">
        <w:tc>
          <w:tcPr>
            <w:tcW w:w="703" w:type="dxa"/>
            <w:shd w:val="clear" w:color="auto" w:fill="auto"/>
            <w:vAlign w:val="center"/>
          </w:tcPr>
          <w:p w14:paraId="35E21D4A" w14:textId="34CF7926" w:rsidR="001A0B09" w:rsidRDefault="00AD7441">
            <w:pPr>
              <w:rPr>
                <w:rFonts w:ascii="Times New Roman" w:eastAsia="PMingLiU" w:hAnsi="Times New Roman"/>
                <w:sz w:val="18"/>
                <w:szCs w:val="18"/>
              </w:rPr>
            </w:pPr>
            <w:r>
              <w:rPr>
                <w:rFonts w:ascii="Times New Roman" w:hAnsi="Times New Roman"/>
                <w:sz w:val="18"/>
                <w:szCs w:val="18"/>
              </w:rPr>
              <w:lastRenderedPageBreak/>
              <w:t>1880</w:t>
            </w:r>
          </w:p>
        </w:tc>
        <w:tc>
          <w:tcPr>
            <w:tcW w:w="7371" w:type="dxa"/>
            <w:shd w:val="clear" w:color="auto" w:fill="auto"/>
          </w:tcPr>
          <w:p w14:paraId="3E8A6A23"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w tym: zabezpieczenie będące przedmiotem wymiany spełnia wymogi operacyjne</w:t>
            </w:r>
          </w:p>
          <w:p w14:paraId="5F169AC7" w14:textId="77777777" w:rsidR="001A0B09" w:rsidRDefault="001A0B09">
            <w:pPr>
              <w:spacing w:before="0" w:after="0"/>
              <w:ind w:left="28"/>
              <w:rPr>
                <w:rFonts w:ascii="Times New Roman" w:eastAsia="PMingLiU" w:hAnsi="Times New Roman"/>
                <w:b/>
                <w:bCs/>
                <w:sz w:val="18"/>
                <w:szCs w:val="18"/>
              </w:rPr>
            </w:pPr>
          </w:p>
          <w:p w14:paraId="013CAAE0" w14:textId="516EE386" w:rsidR="001A0B09" w:rsidRDefault="00F71050">
            <w:pPr>
              <w:spacing w:before="0" w:after="0"/>
              <w:ind w:left="28"/>
              <w:rPr>
                <w:rFonts w:ascii="Times New Roman" w:hAnsi="Times New Roman"/>
                <w:sz w:val="18"/>
              </w:rPr>
            </w:pPr>
            <w:r>
              <w:rPr>
                <w:rFonts w:ascii="Times New Roman" w:hAnsi="Times New Roman"/>
                <w:sz w:val="18"/>
              </w:rPr>
              <w:t>Spośród transakcji w pozycji 2.3.8.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0F73FA0B" w14:textId="77777777" w:rsidR="001A0B09" w:rsidRDefault="001A0B09">
            <w:pPr>
              <w:spacing w:before="0" w:after="0"/>
              <w:ind w:left="28"/>
              <w:rPr>
                <w:rFonts w:ascii="Times New Roman" w:eastAsia="PMingLiU" w:hAnsi="Times New Roman"/>
                <w:b/>
                <w:bCs/>
                <w:sz w:val="18"/>
                <w:szCs w:val="18"/>
              </w:rPr>
            </w:pPr>
          </w:p>
        </w:tc>
      </w:tr>
      <w:tr w:rsidR="001A0B09" w14:paraId="7EE0EB61" w14:textId="77777777" w:rsidTr="0039321F">
        <w:tc>
          <w:tcPr>
            <w:tcW w:w="703" w:type="dxa"/>
            <w:shd w:val="clear" w:color="auto" w:fill="auto"/>
            <w:vAlign w:val="center"/>
          </w:tcPr>
          <w:p w14:paraId="569A303C" w14:textId="16676539" w:rsidR="001A0B09"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Całkowite wartości transakcji, w których przedmiotem udzielonej pożyczki są aktywa poziomu 2B: papiery wartościowe zabezpieczone aktywami (kredyty na nieruchomości mieszkalne lub na zakup samochodów, CQS1), a przedmiotem zaciągniętej pożyczki są następujące rodzaje zabezpieczenia:</w:t>
            </w:r>
          </w:p>
          <w:p w14:paraId="56D9AEBA" w14:textId="77777777" w:rsidR="001A0B09" w:rsidRDefault="001A0B09">
            <w:pPr>
              <w:spacing w:before="0" w:after="0"/>
              <w:ind w:left="28"/>
              <w:rPr>
                <w:rFonts w:ascii="Times New Roman" w:eastAsia="PMingLiU" w:hAnsi="Times New Roman"/>
                <w:sz w:val="18"/>
                <w:szCs w:val="18"/>
              </w:rPr>
            </w:pPr>
          </w:p>
          <w:p w14:paraId="7810FFE4" w14:textId="261B5A48"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3F35C45D" w14:textId="77777777" w:rsidR="001A0B09" w:rsidRDefault="001A0B09">
            <w:pPr>
              <w:spacing w:before="0" w:after="0"/>
              <w:ind w:left="28"/>
              <w:rPr>
                <w:rFonts w:ascii="Times New Roman" w:eastAsia="PMingLiU" w:hAnsi="Times New Roman"/>
                <w:bCs/>
                <w:sz w:val="18"/>
                <w:szCs w:val="18"/>
              </w:rPr>
            </w:pPr>
          </w:p>
          <w:p w14:paraId="0CBB0B6A"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całkowite wartości transakcji zabezpieczających swap w ramach transakcji, w których przedmiotem udzielonej pożyczki są aktywa poziomu 2B w postaci papierów wartościowych zabezpieczonych (kredyty na nieruchomości mieszkalne lub na zakup samochodów, CQS1).</w:t>
            </w:r>
          </w:p>
          <w:p w14:paraId="7EB19CFF" w14:textId="77777777" w:rsidR="001A0B09" w:rsidRDefault="001A0B09">
            <w:pPr>
              <w:spacing w:before="0" w:after="0"/>
              <w:ind w:left="28"/>
              <w:rPr>
                <w:rFonts w:ascii="Times New Roman" w:eastAsia="PMingLiU" w:hAnsi="Times New Roman"/>
                <w:bCs/>
                <w:sz w:val="18"/>
                <w:szCs w:val="18"/>
              </w:rPr>
            </w:pPr>
          </w:p>
        </w:tc>
      </w:tr>
      <w:tr w:rsidR="001A0B09" w14:paraId="06BCCD08" w14:textId="77777777" w:rsidTr="0039321F">
        <w:tc>
          <w:tcPr>
            <w:tcW w:w="703" w:type="dxa"/>
            <w:shd w:val="clear" w:color="auto" w:fill="FFFFFF"/>
            <w:vAlign w:val="center"/>
          </w:tcPr>
          <w:p w14:paraId="15B2D51D" w14:textId="17A2FAF3" w:rsidR="001A0B09"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aktywa poziomu 1 (z wyłączeniem obligacji zabezpieczonych charakteryzujących się wyjątkowo wysoką jakością)</w:t>
            </w:r>
          </w:p>
          <w:p w14:paraId="7343A2AC" w14:textId="77777777" w:rsidR="001A0B09"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Transakcje, w których instytucja zamieniła aktywa poziomu 2B w postaci papierów wartościowych zabezpieczonych aktywami (kredyty na nieruchomości mieszkalne lub na zakup samochodów, CQS1) (będące przedmiotem udzielonej pożyczki) na aktywa poziomu 1, z wyłączeniem obligacji zabezpieczonych charakteryzujących się wyjątkowo wysoką jakością, (będące przedmiotem zaciągniętej pożyczki).</w:t>
            </w:r>
          </w:p>
          <w:p w14:paraId="04C4A363" w14:textId="77777777" w:rsidR="001A0B09" w:rsidRDefault="001A0B09">
            <w:pPr>
              <w:autoSpaceDE w:val="0"/>
              <w:autoSpaceDN w:val="0"/>
              <w:adjustRightInd w:val="0"/>
              <w:spacing w:before="0" w:after="0"/>
              <w:rPr>
                <w:rFonts w:ascii="Times New Roman" w:eastAsia="PMingLiU" w:hAnsi="Times New Roman"/>
                <w:b/>
                <w:sz w:val="18"/>
                <w:szCs w:val="18"/>
              </w:rPr>
            </w:pPr>
          </w:p>
        </w:tc>
      </w:tr>
      <w:tr w:rsidR="001A0B09" w14:paraId="72EB068F" w14:textId="77777777" w:rsidTr="0039321F">
        <w:tc>
          <w:tcPr>
            <w:tcW w:w="703" w:type="dxa"/>
            <w:shd w:val="clear" w:color="auto" w:fill="FFFFFF"/>
            <w:vAlign w:val="center"/>
          </w:tcPr>
          <w:p w14:paraId="14126B00" w14:textId="6281FB71" w:rsidR="001A0B09"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w tym: zabezpieczenie będące przedmiotem wymiany spełnia wymogi operacyjne</w:t>
            </w:r>
          </w:p>
          <w:p w14:paraId="016CE7E0" w14:textId="77777777" w:rsidR="001A0B09" w:rsidRDefault="001A0B09">
            <w:pPr>
              <w:spacing w:before="0" w:after="0"/>
              <w:ind w:left="28"/>
              <w:rPr>
                <w:rFonts w:ascii="Times New Roman" w:eastAsia="PMingLiU" w:hAnsi="Times New Roman"/>
                <w:b/>
                <w:bCs/>
                <w:sz w:val="18"/>
                <w:szCs w:val="18"/>
              </w:rPr>
            </w:pPr>
          </w:p>
          <w:p w14:paraId="4A0837F1"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2.4.1. instytucje kredytowe zgłaszają:</w:t>
            </w:r>
          </w:p>
          <w:p w14:paraId="385701E7" w14:textId="77777777" w:rsidR="001A0B09" w:rsidRDefault="001A0B09">
            <w:pPr>
              <w:spacing w:before="0" w:after="0"/>
              <w:ind w:left="28"/>
              <w:rPr>
                <w:rFonts w:ascii="Times New Roman" w:hAnsi="Times New Roman"/>
                <w:sz w:val="18"/>
              </w:rPr>
            </w:pPr>
          </w:p>
          <w:p w14:paraId="7CF0C8B1" w14:textId="354367B3"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jest on wykorzystany jako zabezpieczenie dla tych transakcji; oraz</w:t>
            </w:r>
          </w:p>
          <w:p w14:paraId="3C501CF8" w14:textId="77777777" w:rsidR="001A0B09" w:rsidRDefault="001A0B09">
            <w:pPr>
              <w:spacing w:before="0" w:after="0"/>
              <w:ind w:left="748"/>
              <w:rPr>
                <w:rFonts w:ascii="Times New Roman" w:eastAsia="PMingLiU" w:hAnsi="Times New Roman"/>
                <w:b/>
                <w:bCs/>
                <w:sz w:val="18"/>
                <w:szCs w:val="18"/>
              </w:rPr>
            </w:pPr>
          </w:p>
          <w:p w14:paraId="68743ADF" w14:textId="75EE20C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E03629D" w14:textId="77777777" w:rsidR="001A0B09" w:rsidRDefault="001A0B09">
            <w:pPr>
              <w:spacing w:before="0" w:after="0"/>
              <w:ind w:left="28"/>
              <w:rPr>
                <w:rFonts w:ascii="Times New Roman" w:eastAsia="PMingLiU" w:hAnsi="Times New Roman"/>
                <w:b/>
                <w:bCs/>
                <w:sz w:val="18"/>
                <w:szCs w:val="18"/>
              </w:rPr>
            </w:pPr>
          </w:p>
        </w:tc>
      </w:tr>
      <w:tr w:rsidR="001A0B09" w14:paraId="34E52ED3" w14:textId="77777777" w:rsidTr="0039321F">
        <w:tc>
          <w:tcPr>
            <w:tcW w:w="703" w:type="dxa"/>
            <w:shd w:val="clear" w:color="auto" w:fill="FFFFFF"/>
            <w:vAlign w:val="center"/>
          </w:tcPr>
          <w:p w14:paraId="3D67A0DF" w14:textId="2F97FC9D" w:rsidR="001A0B09"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aktywa poziomu 1: obligacje zabezpieczone charakteryzujące się wyjątkowo wysoką jakością</w:t>
            </w:r>
          </w:p>
          <w:p w14:paraId="71E9C158" w14:textId="77777777" w:rsidR="001A0B09" w:rsidRDefault="001A0B09">
            <w:pPr>
              <w:spacing w:before="0" w:after="0"/>
              <w:ind w:left="28"/>
              <w:rPr>
                <w:rFonts w:ascii="Times New Roman" w:eastAsia="PMingLiU" w:hAnsi="Times New Roman"/>
                <w:b/>
                <w:sz w:val="18"/>
                <w:szCs w:val="18"/>
              </w:rPr>
            </w:pPr>
          </w:p>
          <w:p w14:paraId="2FAB50E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w:t>
            </w:r>
            <w:r>
              <w:rPr>
                <w:rFonts w:ascii="Times New Roman" w:hAnsi="Times New Roman"/>
                <w:sz w:val="18"/>
                <w:szCs w:val="18"/>
              </w:rPr>
              <w:t xml:space="preserve">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(będące przedmiotem udzielonej pożyczki) na aktywa poziomu 1: obligacje zabezpieczone charakteryzujące się wyjątkowo wysoką jakością (będące przedmiotem zaciągniętej pożyczki).</w:t>
            </w:r>
          </w:p>
          <w:p w14:paraId="5A4C1C43" w14:textId="77777777" w:rsidR="001A0B09" w:rsidRDefault="001A0B09">
            <w:pPr>
              <w:spacing w:before="0" w:after="0"/>
              <w:ind w:left="28"/>
              <w:rPr>
                <w:rFonts w:ascii="Times New Roman" w:eastAsia="PMingLiU" w:hAnsi="Times New Roman"/>
                <w:szCs w:val="18"/>
              </w:rPr>
            </w:pPr>
          </w:p>
        </w:tc>
      </w:tr>
      <w:tr w:rsidR="001A0B09" w14:paraId="21ECA296" w14:textId="77777777" w:rsidTr="0039321F">
        <w:tc>
          <w:tcPr>
            <w:tcW w:w="703" w:type="dxa"/>
            <w:shd w:val="clear" w:color="auto" w:fill="FFFFFF"/>
            <w:vAlign w:val="center"/>
          </w:tcPr>
          <w:p w14:paraId="5742317D" w14:textId="74C2CF59" w:rsidR="001A0B09"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w tym: zabezpieczenie będące przedmiotem wymiany spełnia wymogi operacyjne</w:t>
            </w:r>
          </w:p>
          <w:p w14:paraId="16209F6F" w14:textId="77777777" w:rsidR="001A0B09" w:rsidRDefault="001A0B09">
            <w:pPr>
              <w:spacing w:before="0" w:after="0"/>
              <w:ind w:left="28"/>
              <w:rPr>
                <w:rFonts w:ascii="Times New Roman" w:eastAsia="PMingLiU" w:hAnsi="Times New Roman"/>
                <w:b/>
                <w:bCs/>
                <w:sz w:val="18"/>
                <w:szCs w:val="18"/>
              </w:rPr>
            </w:pPr>
          </w:p>
          <w:p w14:paraId="7C911C2B"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2.4.2. instytucje kredytowe zgłaszają:</w:t>
            </w:r>
          </w:p>
          <w:p w14:paraId="65F29C53" w14:textId="77777777" w:rsidR="001A0B09" w:rsidRDefault="001A0B09">
            <w:pPr>
              <w:spacing w:before="0" w:after="0"/>
              <w:ind w:left="28"/>
              <w:rPr>
                <w:rFonts w:ascii="Times New Roman" w:hAnsi="Times New Roman"/>
                <w:sz w:val="18"/>
              </w:rPr>
            </w:pPr>
          </w:p>
          <w:p w14:paraId="2763FBFD" w14:textId="2033E17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jest on wykorzystany jako zabezpieczenie dla tych transakcji; oraz</w:t>
            </w:r>
          </w:p>
          <w:p w14:paraId="41C6D899" w14:textId="77777777" w:rsidR="001A0B09" w:rsidRDefault="001A0B09">
            <w:pPr>
              <w:spacing w:before="0" w:after="0"/>
              <w:ind w:left="748"/>
              <w:rPr>
                <w:rFonts w:ascii="Times New Roman" w:eastAsia="PMingLiU" w:hAnsi="Times New Roman"/>
                <w:b/>
                <w:bCs/>
                <w:sz w:val="18"/>
                <w:szCs w:val="18"/>
              </w:rPr>
            </w:pPr>
          </w:p>
          <w:p w14:paraId="04704E8F" w14:textId="015D678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638289C8" w14:textId="77777777" w:rsidR="001A0B09" w:rsidRDefault="001A0B09">
            <w:pPr>
              <w:spacing w:before="0" w:after="0"/>
              <w:ind w:left="28"/>
              <w:rPr>
                <w:rFonts w:ascii="Times New Roman" w:eastAsia="PMingLiU" w:hAnsi="Times New Roman"/>
                <w:b/>
                <w:bCs/>
                <w:sz w:val="18"/>
                <w:szCs w:val="18"/>
              </w:rPr>
            </w:pPr>
          </w:p>
        </w:tc>
      </w:tr>
      <w:tr w:rsidR="001A0B09" w14:paraId="47FF1AA8" w14:textId="77777777" w:rsidTr="0039321F">
        <w:tc>
          <w:tcPr>
            <w:tcW w:w="703" w:type="dxa"/>
            <w:shd w:val="clear" w:color="auto" w:fill="FFFFFF"/>
            <w:vAlign w:val="center"/>
          </w:tcPr>
          <w:p w14:paraId="0E2621AC" w14:textId="70999200" w:rsidR="001A0B09"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aktywa poziomu 2A</w:t>
            </w:r>
          </w:p>
          <w:p w14:paraId="0FF2C718" w14:textId="77777777" w:rsidR="001A0B09" w:rsidRDefault="001A0B09">
            <w:pPr>
              <w:spacing w:before="0" w:after="0"/>
              <w:ind w:left="28"/>
              <w:rPr>
                <w:rFonts w:ascii="Times New Roman" w:eastAsia="PMingLiU" w:hAnsi="Times New Roman"/>
                <w:b/>
                <w:sz w:val="18"/>
                <w:szCs w:val="18"/>
              </w:rPr>
            </w:pPr>
          </w:p>
          <w:p w14:paraId="6FCC98FD"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 xml:space="preserve">w postaci papierów wartościowych zabezpieczonych aktywami (kredyty na nieruchomości mieszkalne lub na zakup </w:t>
            </w:r>
            <w:r>
              <w:rPr>
                <w:rFonts w:ascii="Times New Roman" w:hAnsi="Times New Roman"/>
                <w:bCs/>
                <w:sz w:val="18"/>
                <w:szCs w:val="18"/>
              </w:rPr>
              <w:lastRenderedPageBreak/>
              <w:t>samochodów, CQS1)</w:t>
            </w:r>
            <w:r>
              <w:rPr>
                <w:rFonts w:ascii="Times New Roman" w:hAnsi="Times New Roman"/>
                <w:sz w:val="18"/>
                <w:szCs w:val="18"/>
              </w:rPr>
              <w:t xml:space="preserve"> </w:t>
            </w:r>
            <w:r>
              <w:rPr>
                <w:rFonts w:ascii="Times New Roman" w:hAnsi="Times New Roman"/>
                <w:bCs/>
                <w:sz w:val="18"/>
                <w:szCs w:val="18"/>
              </w:rPr>
              <w:t>(będące przedmiotem udzielonej pożyczki) na aktywa poziomu 2A (będące przedmiotem zaciągniętej pożyczki).</w:t>
            </w:r>
          </w:p>
          <w:p w14:paraId="171627BC" w14:textId="77777777" w:rsidR="001A0B09" w:rsidRDefault="001A0B09">
            <w:pPr>
              <w:spacing w:before="0" w:after="0"/>
              <w:ind w:left="28"/>
              <w:rPr>
                <w:rFonts w:ascii="Times New Roman" w:eastAsia="PMingLiU" w:hAnsi="Times New Roman"/>
                <w:szCs w:val="18"/>
              </w:rPr>
            </w:pPr>
          </w:p>
        </w:tc>
      </w:tr>
      <w:tr w:rsidR="001A0B09" w14:paraId="618E5D59" w14:textId="77777777" w:rsidTr="0039321F">
        <w:tc>
          <w:tcPr>
            <w:tcW w:w="703" w:type="dxa"/>
            <w:shd w:val="clear" w:color="auto" w:fill="FFFFFF"/>
            <w:vAlign w:val="center"/>
          </w:tcPr>
          <w:p w14:paraId="20AE8430" w14:textId="4E82EFD4" w:rsidR="001A0B09" w:rsidRDefault="00AD7441">
            <w:pPr>
              <w:rPr>
                <w:rFonts w:ascii="Times New Roman" w:eastAsia="PMingLiU" w:hAnsi="Times New Roman"/>
                <w:sz w:val="18"/>
                <w:szCs w:val="18"/>
              </w:rPr>
            </w:pPr>
            <w:r>
              <w:rPr>
                <w:rFonts w:ascii="Times New Roman" w:hAnsi="Times New Roman"/>
                <w:sz w:val="18"/>
                <w:szCs w:val="18"/>
              </w:rPr>
              <w:lastRenderedPageBreak/>
              <w:t>1950</w:t>
            </w:r>
          </w:p>
        </w:tc>
        <w:tc>
          <w:tcPr>
            <w:tcW w:w="7371" w:type="dxa"/>
            <w:shd w:val="clear" w:color="auto" w:fill="FFFFFF"/>
          </w:tcPr>
          <w:p w14:paraId="6211E127"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w tym: zabezpieczenie będące przedmiotem wymiany spełnia wymogi operacyjne</w:t>
            </w:r>
          </w:p>
          <w:p w14:paraId="62F78C74" w14:textId="77777777" w:rsidR="001A0B09" w:rsidRDefault="001A0B09">
            <w:pPr>
              <w:spacing w:before="0" w:after="0"/>
              <w:ind w:left="28"/>
              <w:rPr>
                <w:rFonts w:ascii="Times New Roman" w:eastAsia="PMingLiU" w:hAnsi="Times New Roman"/>
                <w:b/>
                <w:bCs/>
                <w:sz w:val="18"/>
                <w:szCs w:val="18"/>
              </w:rPr>
            </w:pPr>
          </w:p>
          <w:p w14:paraId="4DD41E93"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2.4.3. instytucje kredytowe zgłaszają:</w:t>
            </w:r>
          </w:p>
          <w:p w14:paraId="5DA5BE79" w14:textId="77777777" w:rsidR="001A0B09" w:rsidRDefault="001A0B09">
            <w:pPr>
              <w:spacing w:before="0" w:after="0"/>
              <w:ind w:left="28"/>
              <w:rPr>
                <w:rFonts w:ascii="Times New Roman" w:hAnsi="Times New Roman"/>
                <w:sz w:val="18"/>
              </w:rPr>
            </w:pPr>
          </w:p>
          <w:p w14:paraId="3A891654" w14:textId="159E75A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82A5D59" w14:textId="77777777" w:rsidR="001A0B09" w:rsidRDefault="001A0B09">
            <w:pPr>
              <w:spacing w:before="0" w:after="0"/>
              <w:ind w:left="748"/>
              <w:rPr>
                <w:rFonts w:ascii="Times New Roman" w:eastAsia="PMingLiU" w:hAnsi="Times New Roman"/>
                <w:b/>
                <w:bCs/>
                <w:sz w:val="18"/>
                <w:szCs w:val="18"/>
              </w:rPr>
            </w:pPr>
          </w:p>
          <w:p w14:paraId="4C4BE816" w14:textId="7B15571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7137C25" w14:textId="77777777" w:rsidR="001A0B09" w:rsidRDefault="001A0B09">
            <w:pPr>
              <w:spacing w:before="0" w:after="0"/>
              <w:ind w:left="28"/>
              <w:rPr>
                <w:rFonts w:ascii="Times New Roman" w:eastAsia="PMingLiU" w:hAnsi="Times New Roman"/>
                <w:b/>
                <w:bCs/>
                <w:sz w:val="18"/>
                <w:szCs w:val="18"/>
              </w:rPr>
            </w:pPr>
          </w:p>
        </w:tc>
      </w:tr>
      <w:tr w:rsidR="001A0B09" w14:paraId="222BC2FA" w14:textId="77777777" w:rsidTr="0039321F">
        <w:tc>
          <w:tcPr>
            <w:tcW w:w="703" w:type="dxa"/>
            <w:shd w:val="clear" w:color="auto" w:fill="FFFFFF"/>
            <w:vAlign w:val="center"/>
          </w:tcPr>
          <w:p w14:paraId="2DA00B3B" w14:textId="10376C2A" w:rsidR="001A0B09" w:rsidRDefault="00AD7441">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aktywa poziomu 2B: papiery wartościowe zabezpieczone aktywami (kredyty na nieruchomości mieszkalne lub na zakup samochodów, CQS1)</w:t>
            </w:r>
          </w:p>
          <w:p w14:paraId="57825C12" w14:textId="77777777" w:rsidR="001A0B09" w:rsidRDefault="001A0B09">
            <w:pPr>
              <w:spacing w:before="0" w:after="0"/>
              <w:ind w:left="28"/>
              <w:rPr>
                <w:rFonts w:ascii="Times New Roman" w:eastAsia="PMingLiU" w:hAnsi="Times New Roman"/>
                <w:b/>
                <w:sz w:val="18"/>
                <w:szCs w:val="18"/>
              </w:rPr>
            </w:pPr>
          </w:p>
          <w:p w14:paraId="3F12FA7A"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 xml:space="preserve">(będące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561FEF4A" w14:textId="77777777" w:rsidR="001A0B09" w:rsidRDefault="001A0B09">
            <w:pPr>
              <w:spacing w:before="0" w:after="0"/>
              <w:ind w:left="28"/>
              <w:rPr>
                <w:rFonts w:ascii="Times New Roman" w:eastAsia="PMingLiU" w:hAnsi="Times New Roman"/>
                <w:szCs w:val="18"/>
              </w:rPr>
            </w:pPr>
          </w:p>
        </w:tc>
      </w:tr>
      <w:tr w:rsidR="001A0B09" w14:paraId="5835B2A7" w14:textId="77777777" w:rsidTr="0039321F">
        <w:tc>
          <w:tcPr>
            <w:tcW w:w="703" w:type="dxa"/>
            <w:shd w:val="clear" w:color="auto" w:fill="FFFFFF"/>
            <w:vAlign w:val="center"/>
          </w:tcPr>
          <w:p w14:paraId="03E3A32D" w14:textId="393D3A0F" w:rsidR="001A0B09"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w tym: zabezpieczenie będące przedmiotem wymiany spełnia wymogi operacyjne</w:t>
            </w:r>
          </w:p>
          <w:p w14:paraId="0E707430" w14:textId="77777777" w:rsidR="001A0B09" w:rsidRDefault="001A0B09">
            <w:pPr>
              <w:spacing w:before="0" w:after="0"/>
              <w:ind w:left="28"/>
              <w:rPr>
                <w:rFonts w:ascii="Times New Roman" w:eastAsia="PMingLiU" w:hAnsi="Times New Roman"/>
                <w:b/>
                <w:bCs/>
                <w:sz w:val="18"/>
                <w:szCs w:val="18"/>
              </w:rPr>
            </w:pPr>
          </w:p>
          <w:p w14:paraId="0B261E0C"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2.4.4. instytucje kredytowe zgłaszają:</w:t>
            </w:r>
          </w:p>
          <w:p w14:paraId="505B6636" w14:textId="77777777" w:rsidR="001A0B09" w:rsidRDefault="001A0B09">
            <w:pPr>
              <w:spacing w:before="0" w:after="0"/>
              <w:ind w:left="28"/>
              <w:rPr>
                <w:rFonts w:ascii="Times New Roman" w:hAnsi="Times New Roman"/>
                <w:sz w:val="18"/>
              </w:rPr>
            </w:pPr>
          </w:p>
          <w:p w14:paraId="5D6CF3C4" w14:textId="586FFB8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7D0915A" w14:textId="77777777" w:rsidR="001A0B09" w:rsidRDefault="001A0B09">
            <w:pPr>
              <w:spacing w:before="0" w:after="0"/>
              <w:ind w:left="748"/>
              <w:rPr>
                <w:rFonts w:ascii="Times New Roman" w:eastAsia="PMingLiU" w:hAnsi="Times New Roman"/>
                <w:b/>
                <w:bCs/>
                <w:sz w:val="18"/>
                <w:szCs w:val="18"/>
              </w:rPr>
            </w:pPr>
          </w:p>
          <w:p w14:paraId="5764F9CB" w14:textId="5B11ABE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7CFC141" w14:textId="77777777" w:rsidR="001A0B09" w:rsidRDefault="001A0B09">
            <w:pPr>
              <w:spacing w:before="0" w:after="0"/>
              <w:ind w:left="28"/>
              <w:rPr>
                <w:rFonts w:ascii="Times New Roman" w:eastAsia="PMingLiU" w:hAnsi="Times New Roman"/>
                <w:b/>
                <w:bCs/>
                <w:sz w:val="18"/>
                <w:szCs w:val="18"/>
              </w:rPr>
            </w:pPr>
          </w:p>
        </w:tc>
      </w:tr>
      <w:tr w:rsidR="001A0B09" w14:paraId="1201E3DF" w14:textId="77777777" w:rsidTr="0039321F">
        <w:tc>
          <w:tcPr>
            <w:tcW w:w="703" w:type="dxa"/>
            <w:shd w:val="clear" w:color="auto" w:fill="FFFFFF"/>
            <w:vAlign w:val="center"/>
          </w:tcPr>
          <w:p w14:paraId="1F139AEB" w14:textId="7CE93121" w:rsidR="001A0B09"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aktywa poziomu 2B: obligacje zabezpieczone charakteryzujące się wysoką jakością</w:t>
            </w:r>
          </w:p>
          <w:p w14:paraId="60A8DCFF" w14:textId="77777777" w:rsidR="001A0B09" w:rsidRDefault="001A0B09">
            <w:pPr>
              <w:spacing w:before="0" w:after="0"/>
              <w:ind w:left="28"/>
              <w:rPr>
                <w:rFonts w:ascii="Times New Roman" w:eastAsia="PMingLiU" w:hAnsi="Times New Roman"/>
                <w:b/>
                <w:sz w:val="18"/>
                <w:szCs w:val="18"/>
              </w:rPr>
            </w:pPr>
          </w:p>
          <w:p w14:paraId="49331C8B"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 (będące przedmiotem udzielonej pożyczki) na aktywa poziomu 2B w postaci obligacji zabezpieczonych charakteryzujących się wysoką jakością (będące przedmiotem zaciągniętej pożyczki).</w:t>
            </w:r>
          </w:p>
          <w:p w14:paraId="48DAEEA4" w14:textId="77777777" w:rsidR="001A0B09" w:rsidRDefault="001A0B09">
            <w:pPr>
              <w:spacing w:before="0" w:after="0"/>
              <w:ind w:left="28"/>
              <w:rPr>
                <w:rFonts w:ascii="Times New Roman" w:eastAsia="PMingLiU" w:hAnsi="Times New Roman"/>
                <w:sz w:val="18"/>
                <w:szCs w:val="18"/>
              </w:rPr>
            </w:pPr>
          </w:p>
        </w:tc>
      </w:tr>
      <w:tr w:rsidR="001A0B09" w14:paraId="4513E5AF" w14:textId="77777777" w:rsidTr="0039321F">
        <w:tc>
          <w:tcPr>
            <w:tcW w:w="703" w:type="dxa"/>
            <w:shd w:val="clear" w:color="auto" w:fill="FFFFFF"/>
            <w:vAlign w:val="center"/>
          </w:tcPr>
          <w:p w14:paraId="6D8F90C4" w14:textId="190EBD78" w:rsidR="001A0B09"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w tym: zabezpieczenie będące przedmiotem wymiany spełnia wymogi operacyjne</w:t>
            </w:r>
          </w:p>
          <w:p w14:paraId="32DD25FC" w14:textId="77777777" w:rsidR="001A0B09" w:rsidRDefault="001A0B09">
            <w:pPr>
              <w:spacing w:before="0" w:after="0"/>
              <w:ind w:left="28"/>
              <w:rPr>
                <w:rFonts w:ascii="Times New Roman" w:eastAsia="PMingLiU" w:hAnsi="Times New Roman"/>
                <w:b/>
                <w:bCs/>
                <w:sz w:val="18"/>
                <w:szCs w:val="18"/>
              </w:rPr>
            </w:pPr>
          </w:p>
          <w:p w14:paraId="6906F223"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2.4.5. instytucje kredytowe zgłaszają:</w:t>
            </w:r>
          </w:p>
          <w:p w14:paraId="4A840E64" w14:textId="77777777" w:rsidR="001A0B09" w:rsidRDefault="001A0B09">
            <w:pPr>
              <w:spacing w:before="0" w:after="0"/>
              <w:ind w:left="28"/>
              <w:rPr>
                <w:rFonts w:ascii="Times New Roman" w:hAnsi="Times New Roman"/>
                <w:sz w:val="18"/>
              </w:rPr>
            </w:pPr>
          </w:p>
          <w:p w14:paraId="4728FED3" w14:textId="0794F87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AC4BF18" w14:textId="77777777" w:rsidR="001A0B09" w:rsidRDefault="001A0B09">
            <w:pPr>
              <w:spacing w:before="0" w:after="0"/>
              <w:ind w:left="748"/>
              <w:rPr>
                <w:rFonts w:ascii="Times New Roman" w:eastAsia="PMingLiU" w:hAnsi="Times New Roman"/>
                <w:b/>
                <w:bCs/>
                <w:sz w:val="18"/>
                <w:szCs w:val="18"/>
              </w:rPr>
            </w:pPr>
          </w:p>
          <w:p w14:paraId="38E3B869" w14:textId="6A40875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32672EF" w14:textId="77777777" w:rsidR="001A0B09" w:rsidRDefault="001A0B09">
            <w:pPr>
              <w:spacing w:before="0" w:after="0"/>
              <w:ind w:left="28"/>
              <w:rPr>
                <w:rFonts w:ascii="Times New Roman" w:eastAsia="PMingLiU" w:hAnsi="Times New Roman"/>
                <w:b/>
                <w:bCs/>
                <w:sz w:val="18"/>
                <w:szCs w:val="18"/>
              </w:rPr>
            </w:pPr>
          </w:p>
        </w:tc>
      </w:tr>
      <w:tr w:rsidR="001A0B09" w14:paraId="7C128C00" w14:textId="77777777" w:rsidTr="0039321F">
        <w:tc>
          <w:tcPr>
            <w:tcW w:w="703" w:type="dxa"/>
            <w:shd w:val="clear" w:color="auto" w:fill="FFFFFF"/>
            <w:vAlign w:val="center"/>
          </w:tcPr>
          <w:p w14:paraId="275F4085" w14:textId="65876F72" w:rsidR="001A0B09"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aktywa poziomu 2B: papiery wartościowe zabezpieczone aktywami (kredyty komercyjne lub dla osób fizycznych, państwo członkowskie, CQS1)</w:t>
            </w:r>
          </w:p>
          <w:p w14:paraId="4BEC03C9" w14:textId="77777777" w:rsidR="001A0B09" w:rsidRDefault="001A0B09">
            <w:pPr>
              <w:spacing w:before="0" w:after="0"/>
              <w:ind w:left="28"/>
              <w:rPr>
                <w:rFonts w:ascii="Times New Roman" w:eastAsia="PMingLiU" w:hAnsi="Times New Roman"/>
                <w:b/>
                <w:sz w:val="18"/>
                <w:szCs w:val="18"/>
              </w:rPr>
            </w:pPr>
          </w:p>
          <w:p w14:paraId="385A1721"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 xml:space="preserve">(będące przedmiotem udzielonej pożyczki) na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7336100C" w14:textId="77777777" w:rsidR="001A0B09" w:rsidRDefault="001A0B09">
            <w:pPr>
              <w:spacing w:before="0" w:after="0"/>
              <w:ind w:left="28"/>
              <w:rPr>
                <w:rFonts w:ascii="Times New Roman" w:eastAsia="PMingLiU" w:hAnsi="Times New Roman"/>
                <w:sz w:val="18"/>
                <w:szCs w:val="18"/>
              </w:rPr>
            </w:pPr>
          </w:p>
        </w:tc>
      </w:tr>
      <w:tr w:rsidR="001A0B09" w14:paraId="2AD35E96" w14:textId="77777777" w:rsidTr="0039321F">
        <w:tc>
          <w:tcPr>
            <w:tcW w:w="703" w:type="dxa"/>
            <w:shd w:val="clear" w:color="auto" w:fill="FFFFFF"/>
            <w:vAlign w:val="center"/>
          </w:tcPr>
          <w:p w14:paraId="6E91CEB6" w14:textId="17CB53DD" w:rsidR="001A0B09"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w tym: zabezpieczenie będące przedmiotem wymiany spełnia wymogi operacyjne</w:t>
            </w:r>
          </w:p>
          <w:p w14:paraId="1B394155" w14:textId="77777777" w:rsidR="001A0B09" w:rsidRDefault="001A0B09">
            <w:pPr>
              <w:spacing w:before="0" w:after="0"/>
              <w:ind w:left="28"/>
              <w:rPr>
                <w:rFonts w:ascii="Times New Roman" w:eastAsia="PMingLiU" w:hAnsi="Times New Roman"/>
                <w:b/>
                <w:bCs/>
                <w:sz w:val="18"/>
                <w:szCs w:val="18"/>
              </w:rPr>
            </w:pPr>
          </w:p>
          <w:p w14:paraId="7E8C0DE0" w14:textId="77777777" w:rsidR="001A0B09" w:rsidRDefault="00F71050">
            <w:pPr>
              <w:spacing w:before="0" w:after="0"/>
              <w:ind w:left="28"/>
              <w:rPr>
                <w:rFonts w:ascii="Times New Roman" w:hAnsi="Times New Roman"/>
                <w:sz w:val="18"/>
              </w:rPr>
            </w:pPr>
            <w:r>
              <w:rPr>
                <w:rFonts w:ascii="Times New Roman" w:hAnsi="Times New Roman"/>
                <w:sz w:val="18"/>
              </w:rPr>
              <w:lastRenderedPageBreak/>
              <w:t>Spośród transakcji w pozycji 2.4.6. instytucje kredytowe zgłaszają:</w:t>
            </w:r>
          </w:p>
          <w:p w14:paraId="5DFD4CD3" w14:textId="77777777" w:rsidR="001A0B09" w:rsidRDefault="001A0B09">
            <w:pPr>
              <w:spacing w:before="0" w:after="0"/>
              <w:ind w:left="28"/>
              <w:rPr>
                <w:rFonts w:ascii="Times New Roman" w:hAnsi="Times New Roman"/>
                <w:sz w:val="18"/>
              </w:rPr>
            </w:pPr>
          </w:p>
          <w:p w14:paraId="59791DA2" w14:textId="424B0E3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672A7AC" w14:textId="77777777" w:rsidR="001A0B09" w:rsidRDefault="001A0B09">
            <w:pPr>
              <w:spacing w:before="0" w:after="0"/>
              <w:ind w:left="748"/>
              <w:rPr>
                <w:rFonts w:ascii="Times New Roman" w:eastAsia="PMingLiU" w:hAnsi="Times New Roman"/>
                <w:b/>
                <w:bCs/>
                <w:sz w:val="18"/>
                <w:szCs w:val="18"/>
              </w:rPr>
            </w:pPr>
          </w:p>
          <w:p w14:paraId="47972077" w14:textId="546D14F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0BC54ACD" w14:textId="77777777" w:rsidR="001A0B09" w:rsidRDefault="001A0B09">
            <w:pPr>
              <w:spacing w:before="0" w:after="0"/>
              <w:ind w:left="28"/>
              <w:rPr>
                <w:rFonts w:ascii="Times New Roman" w:eastAsia="PMingLiU" w:hAnsi="Times New Roman"/>
                <w:b/>
                <w:bCs/>
                <w:sz w:val="18"/>
                <w:szCs w:val="18"/>
              </w:rPr>
            </w:pPr>
          </w:p>
        </w:tc>
      </w:tr>
      <w:tr w:rsidR="001A0B09" w14:paraId="45958B0C" w14:textId="77777777" w:rsidTr="0039321F">
        <w:tc>
          <w:tcPr>
            <w:tcW w:w="703" w:type="dxa"/>
            <w:shd w:val="clear" w:color="auto" w:fill="FFFFFF"/>
            <w:vAlign w:val="center"/>
          </w:tcPr>
          <w:p w14:paraId="09E0583E" w14:textId="6E5D0AE4" w:rsidR="001A0B09" w:rsidRDefault="00AD7441">
            <w:pPr>
              <w:rPr>
                <w:rFonts w:ascii="Times New Roman" w:eastAsia="PMingLiU" w:hAnsi="Times New Roman"/>
                <w:sz w:val="18"/>
                <w:szCs w:val="18"/>
              </w:rPr>
            </w:pPr>
            <w:r>
              <w:rPr>
                <w:rFonts w:ascii="Times New Roman" w:hAnsi="Times New Roman"/>
                <w:sz w:val="18"/>
                <w:szCs w:val="18"/>
              </w:rPr>
              <w:lastRenderedPageBreak/>
              <w:t>2020</w:t>
            </w:r>
          </w:p>
        </w:tc>
        <w:tc>
          <w:tcPr>
            <w:tcW w:w="7371" w:type="dxa"/>
            <w:shd w:val="clear" w:color="auto" w:fill="FFFFFF"/>
          </w:tcPr>
          <w:p w14:paraId="7EA5FB6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inne aktywa poziomu 2B</w:t>
            </w:r>
          </w:p>
          <w:p w14:paraId="40AA265C" w14:textId="77777777" w:rsidR="001A0B09" w:rsidRDefault="001A0B09">
            <w:pPr>
              <w:spacing w:before="0" w:after="0"/>
              <w:ind w:left="28"/>
              <w:rPr>
                <w:rFonts w:ascii="Times New Roman" w:eastAsia="PMingLiU" w:hAnsi="Times New Roman"/>
                <w:b/>
                <w:sz w:val="18"/>
                <w:szCs w:val="18"/>
              </w:rPr>
            </w:pPr>
          </w:p>
          <w:p w14:paraId="5A8E7B2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 xml:space="preserve">(będące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271757F1" w14:textId="77777777" w:rsidR="001A0B09" w:rsidRDefault="001A0B09">
            <w:pPr>
              <w:spacing w:before="0" w:after="0"/>
              <w:ind w:left="28"/>
              <w:rPr>
                <w:rFonts w:ascii="Times New Roman" w:eastAsia="PMingLiU" w:hAnsi="Times New Roman"/>
                <w:sz w:val="18"/>
                <w:szCs w:val="18"/>
              </w:rPr>
            </w:pPr>
          </w:p>
        </w:tc>
      </w:tr>
      <w:tr w:rsidR="001A0B09" w14:paraId="46A92F40" w14:textId="77777777" w:rsidTr="0039321F">
        <w:tc>
          <w:tcPr>
            <w:tcW w:w="703" w:type="dxa"/>
            <w:shd w:val="clear" w:color="auto" w:fill="FFFFFF"/>
            <w:vAlign w:val="center"/>
          </w:tcPr>
          <w:p w14:paraId="150424AD" w14:textId="0277C338" w:rsidR="001A0B09"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w tym: zabezpieczenie będące przedmiotem wymiany spełnia wymogi operacyjne</w:t>
            </w:r>
          </w:p>
          <w:p w14:paraId="21AC83AF" w14:textId="77777777" w:rsidR="001A0B09" w:rsidRDefault="001A0B09">
            <w:pPr>
              <w:spacing w:before="0" w:after="0"/>
              <w:ind w:left="28"/>
              <w:rPr>
                <w:rFonts w:ascii="Times New Roman" w:eastAsia="PMingLiU" w:hAnsi="Times New Roman"/>
                <w:b/>
                <w:bCs/>
                <w:sz w:val="18"/>
                <w:szCs w:val="18"/>
              </w:rPr>
            </w:pPr>
          </w:p>
          <w:p w14:paraId="72449C2D"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2.4.7. instytucje kredytowe zgłaszają:</w:t>
            </w:r>
          </w:p>
          <w:p w14:paraId="4D284EC0" w14:textId="77777777" w:rsidR="001A0B09" w:rsidRDefault="001A0B09">
            <w:pPr>
              <w:spacing w:before="0" w:after="0"/>
              <w:ind w:left="28"/>
              <w:rPr>
                <w:rFonts w:ascii="Times New Roman" w:hAnsi="Times New Roman"/>
                <w:sz w:val="18"/>
              </w:rPr>
            </w:pPr>
          </w:p>
          <w:p w14:paraId="1E6204E0" w14:textId="00BE3D1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161D925" w14:textId="77777777" w:rsidR="001A0B09" w:rsidRDefault="001A0B09">
            <w:pPr>
              <w:spacing w:before="0" w:after="0"/>
              <w:ind w:left="748"/>
              <w:rPr>
                <w:rFonts w:ascii="Times New Roman" w:eastAsia="PMingLiU" w:hAnsi="Times New Roman"/>
                <w:b/>
                <w:bCs/>
                <w:sz w:val="18"/>
                <w:szCs w:val="18"/>
              </w:rPr>
            </w:pPr>
          </w:p>
          <w:p w14:paraId="11D43D21" w14:textId="1D392D7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639E8EB" w14:textId="77777777" w:rsidR="001A0B09" w:rsidRDefault="001A0B09">
            <w:pPr>
              <w:spacing w:before="0" w:after="0"/>
              <w:ind w:left="28"/>
              <w:rPr>
                <w:rFonts w:ascii="Times New Roman" w:eastAsia="PMingLiU" w:hAnsi="Times New Roman"/>
                <w:b/>
                <w:bCs/>
                <w:sz w:val="18"/>
                <w:szCs w:val="18"/>
              </w:rPr>
            </w:pPr>
          </w:p>
        </w:tc>
      </w:tr>
      <w:tr w:rsidR="001A0B09" w14:paraId="4E824806" w14:textId="77777777" w:rsidTr="0039321F">
        <w:tc>
          <w:tcPr>
            <w:tcW w:w="703" w:type="dxa"/>
            <w:shd w:val="clear" w:color="auto" w:fill="FFFFFF"/>
            <w:vAlign w:val="center"/>
          </w:tcPr>
          <w:p w14:paraId="638686B6" w14:textId="4788EE85" w:rsidR="001A0B09" w:rsidRDefault="00AD7441">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aktywa niepłynne</w:t>
            </w:r>
          </w:p>
          <w:p w14:paraId="5DC0B81B" w14:textId="77777777" w:rsidR="001A0B09" w:rsidRDefault="001A0B09">
            <w:pPr>
              <w:spacing w:before="0" w:after="0"/>
              <w:ind w:left="28"/>
              <w:rPr>
                <w:rFonts w:ascii="Times New Roman" w:eastAsia="PMingLiU" w:hAnsi="Times New Roman"/>
                <w:b/>
                <w:sz w:val="18"/>
                <w:szCs w:val="18"/>
              </w:rPr>
            </w:pPr>
          </w:p>
          <w:p w14:paraId="4563BF25"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aktywa poziomu 2B </w:t>
            </w:r>
            <w:r>
              <w:rPr>
                <w:rFonts w:ascii="Times New Roman" w:hAnsi="Times New Roman"/>
                <w:bCs/>
                <w:sz w:val="18"/>
                <w:szCs w:val="18"/>
              </w:rPr>
              <w:t>w postaci papierów wartościowych zabezpieczonych aktywami (kredyty na nieruchomości mieszkalne lub na zakup samochodów, CQS1)</w:t>
            </w:r>
            <w:r>
              <w:rPr>
                <w:rFonts w:ascii="Times New Roman" w:hAnsi="Times New Roman"/>
                <w:sz w:val="18"/>
                <w:szCs w:val="18"/>
              </w:rPr>
              <w:t xml:space="preserve"> </w:t>
            </w:r>
            <w:r>
              <w:rPr>
                <w:rFonts w:ascii="Times New Roman" w:hAnsi="Times New Roman"/>
                <w:bCs/>
                <w:sz w:val="18"/>
                <w:szCs w:val="18"/>
              </w:rPr>
              <w:t>(będące przedmiotem udzielonej pożyczki) na aktywa niepłynne (będące przedmiotem zaciągniętej pożyczki).</w:t>
            </w:r>
          </w:p>
          <w:p w14:paraId="1EA8D864" w14:textId="77777777" w:rsidR="001A0B09" w:rsidRDefault="001A0B09">
            <w:pPr>
              <w:spacing w:before="0" w:after="0"/>
              <w:ind w:left="28"/>
              <w:rPr>
                <w:rFonts w:ascii="Times New Roman" w:eastAsia="PMingLiU" w:hAnsi="Times New Roman"/>
                <w:sz w:val="18"/>
                <w:szCs w:val="18"/>
              </w:rPr>
            </w:pPr>
          </w:p>
        </w:tc>
      </w:tr>
      <w:tr w:rsidR="001A0B09" w14:paraId="2D0D5DFC" w14:textId="77777777" w:rsidTr="0039321F">
        <w:tc>
          <w:tcPr>
            <w:tcW w:w="703" w:type="dxa"/>
            <w:shd w:val="clear" w:color="auto" w:fill="auto"/>
            <w:vAlign w:val="center"/>
          </w:tcPr>
          <w:p w14:paraId="7711E3E5" w14:textId="6B33407A" w:rsidR="001A0B09"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2.4.8.1. w tym: zabezpieczenie będące przedmiotem wymiany spełnia wymogi operacyjne</w:t>
            </w:r>
          </w:p>
          <w:p w14:paraId="0EC9A9E4" w14:textId="77777777" w:rsidR="001A0B09" w:rsidRDefault="001A0B09">
            <w:pPr>
              <w:spacing w:before="0" w:after="0"/>
              <w:ind w:left="28"/>
              <w:rPr>
                <w:rFonts w:ascii="Times New Roman" w:eastAsia="PMingLiU" w:hAnsi="Times New Roman"/>
                <w:b/>
                <w:bCs/>
                <w:sz w:val="18"/>
                <w:szCs w:val="18"/>
              </w:rPr>
            </w:pPr>
          </w:p>
          <w:p w14:paraId="6987506A" w14:textId="347948E0"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2.4.8.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0724E261" w14:textId="77777777" w:rsidR="001A0B09" w:rsidRDefault="001A0B09">
            <w:pPr>
              <w:spacing w:before="0" w:after="0"/>
              <w:ind w:left="28"/>
              <w:rPr>
                <w:rFonts w:ascii="Times New Roman" w:eastAsia="PMingLiU" w:hAnsi="Times New Roman"/>
                <w:b/>
                <w:bCs/>
                <w:sz w:val="18"/>
                <w:szCs w:val="18"/>
              </w:rPr>
            </w:pPr>
          </w:p>
        </w:tc>
      </w:tr>
      <w:tr w:rsidR="001A0B09" w14:paraId="25CFEE33" w14:textId="77777777" w:rsidTr="0039321F">
        <w:tc>
          <w:tcPr>
            <w:tcW w:w="703" w:type="dxa"/>
            <w:shd w:val="clear" w:color="auto" w:fill="auto"/>
            <w:vAlign w:val="center"/>
          </w:tcPr>
          <w:p w14:paraId="74DB4F9B" w14:textId="283D8933" w:rsidR="001A0B09"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Całkowite wartości transakcji, w których przedmiotem udzielonej pożyczki są aktywa poziomu 2B: obligacje zabezpieczone charakteryzujące się wysoką jakością, a przedmiotem zaciągniętej pożyczki są następujące rodzaje zabezpieczenia:</w:t>
            </w:r>
          </w:p>
          <w:p w14:paraId="6FEE48FD" w14:textId="77777777" w:rsidR="001A0B09" w:rsidRDefault="001A0B09">
            <w:pPr>
              <w:spacing w:before="0" w:after="0"/>
              <w:ind w:left="28"/>
              <w:rPr>
                <w:rFonts w:ascii="Times New Roman" w:eastAsia="PMingLiU" w:hAnsi="Times New Roman"/>
                <w:sz w:val="18"/>
                <w:szCs w:val="18"/>
              </w:rPr>
            </w:pPr>
          </w:p>
          <w:p w14:paraId="237315A3" w14:textId="2BED7ADD"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1111CE48" w14:textId="77777777" w:rsidR="001A0B09" w:rsidRDefault="001A0B09">
            <w:pPr>
              <w:spacing w:before="0" w:after="0"/>
              <w:ind w:left="28"/>
              <w:rPr>
                <w:rFonts w:ascii="Times New Roman" w:eastAsia="PMingLiU" w:hAnsi="Times New Roman"/>
                <w:bCs/>
                <w:sz w:val="18"/>
                <w:szCs w:val="18"/>
              </w:rPr>
            </w:pPr>
          </w:p>
          <w:p w14:paraId="73235F3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W tej sekcji instytucje kredytowe zgłaszają, w odniesieniu do odpowiednich kolumn, całkowite wartości transakcji zabezpieczających swap w ramach transakcji, w których przedmiotem udzielonej pożyczki są aktywa poziomu 2B: obligacje zabezpieczone charakteryzujące się wysoką jakością.</w:t>
            </w:r>
          </w:p>
          <w:p w14:paraId="2F09CB7B" w14:textId="77777777" w:rsidR="001A0B09" w:rsidRDefault="001A0B09">
            <w:pPr>
              <w:spacing w:before="0" w:after="0"/>
              <w:ind w:left="28"/>
              <w:rPr>
                <w:rFonts w:ascii="Times New Roman" w:eastAsia="PMingLiU" w:hAnsi="Times New Roman"/>
                <w:sz w:val="18"/>
                <w:szCs w:val="18"/>
              </w:rPr>
            </w:pPr>
          </w:p>
        </w:tc>
      </w:tr>
      <w:tr w:rsidR="001A0B09" w14:paraId="3088FDAF" w14:textId="77777777" w:rsidTr="0039321F">
        <w:tc>
          <w:tcPr>
            <w:tcW w:w="703" w:type="dxa"/>
            <w:shd w:val="clear" w:color="auto" w:fill="FFFFFF"/>
            <w:vAlign w:val="center"/>
          </w:tcPr>
          <w:p w14:paraId="34F1DD11" w14:textId="5BC52D30" w:rsidR="001A0B09"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aktywa poziomu 1 (z wyłączeniem obligacji zabezpieczonych charakteryzujących się wyjątkowo wysoką jakością)</w:t>
            </w:r>
          </w:p>
          <w:p w14:paraId="39CE2CAF" w14:textId="77777777" w:rsidR="001A0B09"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Transakcje, w których instytucja zamieniła </w:t>
            </w:r>
            <w:r>
              <w:rPr>
                <w:rFonts w:ascii="Times New Roman" w:hAnsi="Times New Roman"/>
                <w:bCs/>
                <w:sz w:val="18"/>
                <w:szCs w:val="18"/>
              </w:rPr>
              <w:t>aktywa poziomu 2B w postaci obligacji zabezpieczonych charakteryzujących się wysoką jakością</w:t>
            </w:r>
            <w:r>
              <w:rPr>
                <w:rFonts w:ascii="Times New Roman" w:hAnsi="Times New Roman"/>
                <w:sz w:val="18"/>
                <w:szCs w:val="18"/>
              </w:rPr>
              <w:t xml:space="preserve"> (będące przedmiotem udzielonej pożyczki) na aktywa poziomu 1, z wyłączeniem obligacji zabezpieczonych charakteryzujących się wyjątkowo wysoką jakością (będące przedmiotem zaciągniętej pożyczki).</w:t>
            </w:r>
          </w:p>
          <w:p w14:paraId="35950260" w14:textId="77777777" w:rsidR="001A0B09" w:rsidRDefault="001A0B09">
            <w:pPr>
              <w:spacing w:before="0" w:after="0"/>
              <w:ind w:left="28"/>
              <w:rPr>
                <w:rFonts w:ascii="Times New Roman" w:eastAsia="PMingLiU" w:hAnsi="Times New Roman"/>
                <w:sz w:val="18"/>
                <w:szCs w:val="18"/>
              </w:rPr>
            </w:pPr>
          </w:p>
        </w:tc>
      </w:tr>
      <w:tr w:rsidR="001A0B09" w14:paraId="524F8677" w14:textId="77777777" w:rsidTr="0039321F">
        <w:tc>
          <w:tcPr>
            <w:tcW w:w="703" w:type="dxa"/>
            <w:shd w:val="clear" w:color="auto" w:fill="FFFFFF"/>
            <w:vAlign w:val="center"/>
          </w:tcPr>
          <w:p w14:paraId="1278F021" w14:textId="3663651A" w:rsidR="001A0B09"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w tym: zabezpieczenie będące przedmiotem wymiany spełnia wymogi operacyjne</w:t>
            </w:r>
          </w:p>
          <w:p w14:paraId="69272808" w14:textId="77777777" w:rsidR="001A0B09" w:rsidRDefault="001A0B09">
            <w:pPr>
              <w:spacing w:before="0" w:after="0"/>
              <w:ind w:left="28"/>
              <w:rPr>
                <w:rFonts w:ascii="Times New Roman" w:eastAsia="PMingLiU" w:hAnsi="Times New Roman"/>
                <w:b/>
                <w:bCs/>
                <w:sz w:val="18"/>
                <w:szCs w:val="18"/>
              </w:rPr>
            </w:pPr>
          </w:p>
          <w:p w14:paraId="1E37986B"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2.5.1. instytucje kredytowe zgłaszają:</w:t>
            </w:r>
          </w:p>
          <w:p w14:paraId="55DF0EB8" w14:textId="77777777" w:rsidR="001A0B09" w:rsidRDefault="001A0B09">
            <w:pPr>
              <w:spacing w:before="0" w:after="0"/>
              <w:ind w:left="28"/>
              <w:rPr>
                <w:rFonts w:ascii="Times New Roman" w:hAnsi="Times New Roman"/>
                <w:sz w:val="18"/>
              </w:rPr>
            </w:pPr>
          </w:p>
          <w:p w14:paraId="69449E7B" w14:textId="22B14F9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składnik zabezpieczenia będącego przedmiotem udzielonej pożyczki, który </w:t>
            </w:r>
            <w:r>
              <w:rPr>
                <w:rFonts w:ascii="Times New Roman" w:hAnsi="Times New Roman"/>
                <w:sz w:val="18"/>
              </w:rPr>
              <w:lastRenderedPageBreak/>
              <w:t>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880B545" w14:textId="77777777" w:rsidR="001A0B09" w:rsidRDefault="001A0B09">
            <w:pPr>
              <w:spacing w:before="0" w:after="0"/>
              <w:ind w:left="748"/>
              <w:rPr>
                <w:rFonts w:ascii="Times New Roman" w:eastAsia="PMingLiU" w:hAnsi="Times New Roman"/>
                <w:b/>
                <w:bCs/>
                <w:sz w:val="18"/>
                <w:szCs w:val="18"/>
              </w:rPr>
            </w:pPr>
          </w:p>
          <w:p w14:paraId="4CB6D0B6" w14:textId="074741C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C71BC3F" w14:textId="77777777" w:rsidR="001A0B09" w:rsidRDefault="001A0B09">
            <w:pPr>
              <w:spacing w:before="0" w:after="0"/>
              <w:ind w:left="28"/>
              <w:rPr>
                <w:rFonts w:ascii="Times New Roman" w:eastAsia="PMingLiU" w:hAnsi="Times New Roman"/>
                <w:b/>
                <w:bCs/>
                <w:sz w:val="18"/>
                <w:szCs w:val="18"/>
              </w:rPr>
            </w:pPr>
          </w:p>
        </w:tc>
      </w:tr>
      <w:tr w:rsidR="001A0B09" w14:paraId="121AFEE5" w14:textId="77777777" w:rsidTr="0039321F">
        <w:tc>
          <w:tcPr>
            <w:tcW w:w="703" w:type="dxa"/>
            <w:shd w:val="clear" w:color="auto" w:fill="FFFFFF"/>
            <w:vAlign w:val="center"/>
          </w:tcPr>
          <w:p w14:paraId="4FE66B4E" w14:textId="1E2A680B" w:rsidR="001A0B09" w:rsidRDefault="00AD7441">
            <w:pPr>
              <w:rPr>
                <w:rFonts w:ascii="Times New Roman" w:eastAsia="PMingLiU" w:hAnsi="Times New Roman"/>
                <w:sz w:val="18"/>
                <w:szCs w:val="18"/>
              </w:rPr>
            </w:pPr>
            <w:r>
              <w:rPr>
                <w:rFonts w:ascii="Times New Roman" w:hAnsi="Times New Roman"/>
                <w:sz w:val="18"/>
                <w:szCs w:val="18"/>
              </w:rPr>
              <w:lastRenderedPageBreak/>
              <w:t>2090</w:t>
            </w:r>
          </w:p>
        </w:tc>
        <w:tc>
          <w:tcPr>
            <w:tcW w:w="7371" w:type="dxa"/>
            <w:shd w:val="clear" w:color="auto" w:fill="FFFFFF"/>
          </w:tcPr>
          <w:p w14:paraId="55AF74A3"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aktywa poziomu 1: obligacje zabezpieczone charakteryzujące się wyjątkowo wysoką jakością</w:t>
            </w:r>
          </w:p>
          <w:p w14:paraId="471A813C" w14:textId="77777777" w:rsidR="001A0B09" w:rsidRDefault="001A0B09">
            <w:pPr>
              <w:spacing w:before="0" w:after="0"/>
              <w:ind w:left="28"/>
              <w:rPr>
                <w:rFonts w:ascii="Times New Roman" w:eastAsia="PMingLiU" w:hAnsi="Times New Roman"/>
                <w:b/>
                <w:sz w:val="18"/>
                <w:szCs w:val="18"/>
              </w:rPr>
            </w:pPr>
          </w:p>
          <w:p w14:paraId="5EDCA37A"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(będące przedmiotem udzielonej pożyczki) na aktywa poziomu 1: obligacje zabezpieczone charakteryzujące się wyjątkowo wysoką jakością (będące przedmiotem zaciągniętej pożyczki).</w:t>
            </w:r>
          </w:p>
          <w:p w14:paraId="51786080" w14:textId="77777777" w:rsidR="001A0B09" w:rsidRDefault="001A0B09">
            <w:pPr>
              <w:spacing w:before="0" w:after="0"/>
              <w:ind w:left="28"/>
              <w:rPr>
                <w:rFonts w:ascii="Times New Roman" w:eastAsia="PMingLiU" w:hAnsi="Times New Roman"/>
                <w:sz w:val="18"/>
                <w:szCs w:val="18"/>
              </w:rPr>
            </w:pPr>
          </w:p>
        </w:tc>
      </w:tr>
      <w:tr w:rsidR="001A0B09" w14:paraId="103ED272" w14:textId="77777777" w:rsidTr="0039321F">
        <w:tc>
          <w:tcPr>
            <w:tcW w:w="703" w:type="dxa"/>
            <w:shd w:val="clear" w:color="auto" w:fill="FFFFFF"/>
            <w:vAlign w:val="center"/>
          </w:tcPr>
          <w:p w14:paraId="30B15C5A" w14:textId="5BE6406A" w:rsidR="001A0B09"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w tym: zabezpieczenie będące przedmiotem wymiany spełnia wymogi operacyjne</w:t>
            </w:r>
          </w:p>
          <w:p w14:paraId="2AA70A55" w14:textId="77777777" w:rsidR="001A0B09" w:rsidRDefault="001A0B09">
            <w:pPr>
              <w:spacing w:before="0" w:after="0"/>
              <w:ind w:left="28"/>
              <w:rPr>
                <w:rFonts w:ascii="Times New Roman" w:eastAsia="PMingLiU" w:hAnsi="Times New Roman"/>
                <w:b/>
                <w:bCs/>
                <w:sz w:val="18"/>
                <w:szCs w:val="18"/>
              </w:rPr>
            </w:pPr>
          </w:p>
          <w:p w14:paraId="654438CA"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2.5.2. instytucje kredytowe zgłaszają:</w:t>
            </w:r>
          </w:p>
          <w:p w14:paraId="05439C64" w14:textId="77777777" w:rsidR="001A0B09" w:rsidRDefault="001A0B09">
            <w:pPr>
              <w:spacing w:before="0" w:after="0"/>
              <w:ind w:left="28"/>
              <w:rPr>
                <w:rFonts w:ascii="Times New Roman" w:hAnsi="Times New Roman"/>
                <w:sz w:val="18"/>
              </w:rPr>
            </w:pPr>
          </w:p>
          <w:p w14:paraId="0DD3573D" w14:textId="1CF8B25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FC66765" w14:textId="77777777" w:rsidR="001A0B09" w:rsidRDefault="001A0B09">
            <w:pPr>
              <w:spacing w:before="0" w:after="0"/>
              <w:ind w:left="748"/>
              <w:rPr>
                <w:rFonts w:ascii="Times New Roman" w:eastAsia="PMingLiU" w:hAnsi="Times New Roman"/>
                <w:b/>
                <w:bCs/>
                <w:sz w:val="18"/>
                <w:szCs w:val="18"/>
              </w:rPr>
            </w:pPr>
          </w:p>
          <w:p w14:paraId="79797C48" w14:textId="0BDE266C"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4A1DA41" w14:textId="77777777" w:rsidR="001A0B09" w:rsidRDefault="001A0B09">
            <w:pPr>
              <w:spacing w:before="0" w:after="0"/>
              <w:ind w:left="28"/>
              <w:rPr>
                <w:rFonts w:ascii="Times New Roman" w:eastAsia="PMingLiU" w:hAnsi="Times New Roman"/>
                <w:b/>
                <w:bCs/>
                <w:sz w:val="18"/>
                <w:szCs w:val="18"/>
              </w:rPr>
            </w:pPr>
          </w:p>
        </w:tc>
      </w:tr>
      <w:tr w:rsidR="001A0B09" w14:paraId="10A1071D" w14:textId="77777777" w:rsidTr="0039321F">
        <w:tc>
          <w:tcPr>
            <w:tcW w:w="703" w:type="dxa"/>
            <w:shd w:val="clear" w:color="auto" w:fill="FFFFFF"/>
            <w:vAlign w:val="center"/>
          </w:tcPr>
          <w:p w14:paraId="551C294B" w14:textId="2B421B38" w:rsidR="001A0B09"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aktywa poziomu 2A</w:t>
            </w:r>
          </w:p>
          <w:p w14:paraId="3B2B6333" w14:textId="77777777" w:rsidR="001A0B09" w:rsidRDefault="001A0B09">
            <w:pPr>
              <w:spacing w:before="0" w:after="0"/>
              <w:ind w:left="28"/>
              <w:rPr>
                <w:rFonts w:ascii="Times New Roman" w:eastAsia="PMingLiU" w:hAnsi="Times New Roman"/>
                <w:b/>
                <w:sz w:val="18"/>
                <w:szCs w:val="18"/>
              </w:rPr>
            </w:pPr>
          </w:p>
          <w:p w14:paraId="0A8966AF"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(będące przedmiotem udzielonej pożyczki) na aktywa poziomu 2A (będące przedmiotem zaciągniętej pożyczki).</w:t>
            </w:r>
          </w:p>
          <w:p w14:paraId="5435022B" w14:textId="77777777" w:rsidR="001A0B09" w:rsidRDefault="001A0B09">
            <w:pPr>
              <w:spacing w:before="0" w:after="0"/>
              <w:ind w:left="28"/>
              <w:rPr>
                <w:rFonts w:ascii="Times New Roman" w:eastAsia="PMingLiU" w:hAnsi="Times New Roman"/>
                <w:sz w:val="18"/>
                <w:szCs w:val="18"/>
              </w:rPr>
            </w:pPr>
          </w:p>
        </w:tc>
      </w:tr>
      <w:tr w:rsidR="001A0B09" w14:paraId="7D5A103D" w14:textId="77777777" w:rsidTr="0039321F">
        <w:tc>
          <w:tcPr>
            <w:tcW w:w="703" w:type="dxa"/>
            <w:shd w:val="clear" w:color="auto" w:fill="FFFFFF"/>
            <w:vAlign w:val="center"/>
          </w:tcPr>
          <w:p w14:paraId="0C9A8EB3" w14:textId="221AFEB9" w:rsidR="001A0B09" w:rsidRDefault="00AD7441">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w tym: zabezpieczenie będące przedmiotem wymiany spełnia wymogi operacyjne</w:t>
            </w:r>
          </w:p>
          <w:p w14:paraId="46676B5E" w14:textId="77777777" w:rsidR="001A0B09" w:rsidRDefault="001A0B09">
            <w:pPr>
              <w:spacing w:before="0" w:after="0"/>
              <w:ind w:left="28"/>
              <w:rPr>
                <w:rFonts w:ascii="Times New Roman" w:eastAsia="PMingLiU" w:hAnsi="Times New Roman"/>
                <w:b/>
                <w:bCs/>
                <w:sz w:val="18"/>
                <w:szCs w:val="18"/>
              </w:rPr>
            </w:pPr>
          </w:p>
          <w:p w14:paraId="088EC02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2.5.3. instytucje kredytowe zgłaszają:</w:t>
            </w:r>
          </w:p>
          <w:p w14:paraId="676E6B30" w14:textId="77777777" w:rsidR="001A0B09" w:rsidRDefault="001A0B09">
            <w:pPr>
              <w:spacing w:before="0" w:after="0"/>
              <w:ind w:left="28"/>
              <w:rPr>
                <w:rFonts w:ascii="Times New Roman" w:hAnsi="Times New Roman"/>
                <w:sz w:val="18"/>
              </w:rPr>
            </w:pPr>
          </w:p>
          <w:p w14:paraId="1212F42C" w14:textId="6BDA05B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C2DE664" w14:textId="77777777" w:rsidR="001A0B09" w:rsidRDefault="001A0B09">
            <w:pPr>
              <w:spacing w:before="0" w:after="0"/>
              <w:ind w:left="748"/>
              <w:rPr>
                <w:rFonts w:ascii="Times New Roman" w:eastAsia="PMingLiU" w:hAnsi="Times New Roman"/>
                <w:b/>
                <w:bCs/>
                <w:sz w:val="18"/>
                <w:szCs w:val="18"/>
              </w:rPr>
            </w:pPr>
          </w:p>
          <w:p w14:paraId="07EC8331" w14:textId="261A480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771A1D4" w14:textId="77777777" w:rsidR="001A0B09" w:rsidRDefault="001A0B09">
            <w:pPr>
              <w:spacing w:before="0" w:after="0"/>
              <w:ind w:left="28"/>
              <w:rPr>
                <w:rFonts w:ascii="Times New Roman" w:eastAsia="PMingLiU" w:hAnsi="Times New Roman"/>
                <w:b/>
                <w:bCs/>
                <w:sz w:val="18"/>
                <w:szCs w:val="18"/>
              </w:rPr>
            </w:pPr>
          </w:p>
        </w:tc>
      </w:tr>
      <w:tr w:rsidR="001A0B09" w14:paraId="5C8A2C7E" w14:textId="77777777" w:rsidTr="0039321F">
        <w:tc>
          <w:tcPr>
            <w:tcW w:w="703" w:type="dxa"/>
            <w:shd w:val="clear" w:color="auto" w:fill="FFFFFF"/>
            <w:vAlign w:val="center"/>
          </w:tcPr>
          <w:p w14:paraId="032DE648" w14:textId="00AACEB6" w:rsidR="001A0B09"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aktywa poziomu 2B: papiery wartościowe zabezpieczone aktywami (kredyty na nieruchomości mieszkalne lub na zakup samochodów, CQS1)</w:t>
            </w:r>
          </w:p>
          <w:p w14:paraId="69022F52" w14:textId="77777777" w:rsidR="001A0B09" w:rsidRDefault="001A0B09">
            <w:pPr>
              <w:spacing w:before="0" w:after="0"/>
              <w:ind w:left="28"/>
              <w:rPr>
                <w:rFonts w:ascii="Times New Roman" w:eastAsia="PMingLiU" w:hAnsi="Times New Roman"/>
                <w:b/>
                <w:sz w:val="18"/>
                <w:szCs w:val="18"/>
              </w:rPr>
            </w:pPr>
          </w:p>
          <w:p w14:paraId="13DE4431"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 xml:space="preserve">(będące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50EAD8C0" w14:textId="77777777" w:rsidR="001A0B09" w:rsidRDefault="001A0B09">
            <w:pPr>
              <w:spacing w:before="0" w:after="0"/>
              <w:ind w:left="28"/>
              <w:rPr>
                <w:rFonts w:ascii="Times New Roman" w:eastAsia="PMingLiU" w:hAnsi="Times New Roman"/>
                <w:sz w:val="18"/>
                <w:szCs w:val="18"/>
              </w:rPr>
            </w:pPr>
          </w:p>
        </w:tc>
      </w:tr>
      <w:tr w:rsidR="001A0B09" w14:paraId="11494D7D" w14:textId="77777777" w:rsidTr="0039321F">
        <w:tc>
          <w:tcPr>
            <w:tcW w:w="703" w:type="dxa"/>
            <w:shd w:val="clear" w:color="auto" w:fill="FFFFFF"/>
            <w:vAlign w:val="center"/>
          </w:tcPr>
          <w:p w14:paraId="3BD9C972" w14:textId="33C8C4E1" w:rsidR="001A0B09"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w tym: zabezpieczenie będące przedmiotem wymiany spełnia wymogi operacyjne</w:t>
            </w:r>
          </w:p>
          <w:p w14:paraId="24EE1220" w14:textId="77777777" w:rsidR="001A0B09" w:rsidRDefault="001A0B09">
            <w:pPr>
              <w:spacing w:before="0" w:after="0"/>
              <w:ind w:left="28"/>
              <w:rPr>
                <w:rFonts w:ascii="Times New Roman" w:eastAsia="PMingLiU" w:hAnsi="Times New Roman"/>
                <w:b/>
                <w:bCs/>
                <w:sz w:val="18"/>
                <w:szCs w:val="18"/>
              </w:rPr>
            </w:pPr>
          </w:p>
          <w:p w14:paraId="5C3A09EC"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2.5.4. instytucje kredytowe zgłaszają:</w:t>
            </w:r>
          </w:p>
          <w:p w14:paraId="399B9AB2" w14:textId="77777777" w:rsidR="001A0B09" w:rsidRDefault="001A0B09">
            <w:pPr>
              <w:spacing w:before="0" w:after="0"/>
              <w:ind w:left="28"/>
              <w:rPr>
                <w:rFonts w:ascii="Times New Roman" w:hAnsi="Times New Roman"/>
                <w:sz w:val="18"/>
              </w:rPr>
            </w:pPr>
          </w:p>
          <w:p w14:paraId="218A7116" w14:textId="5587CDE4"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7212B56" w14:textId="77777777" w:rsidR="001A0B09" w:rsidRDefault="001A0B09">
            <w:pPr>
              <w:spacing w:before="0" w:after="0"/>
              <w:ind w:left="748"/>
              <w:rPr>
                <w:rFonts w:ascii="Times New Roman" w:eastAsia="PMingLiU" w:hAnsi="Times New Roman"/>
                <w:b/>
                <w:bCs/>
                <w:sz w:val="18"/>
                <w:szCs w:val="18"/>
              </w:rPr>
            </w:pPr>
          </w:p>
          <w:p w14:paraId="2E8873FC" w14:textId="55F27CB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3D65A0C" w14:textId="77777777" w:rsidR="001A0B09" w:rsidRDefault="001A0B09">
            <w:pPr>
              <w:spacing w:before="0" w:after="0"/>
              <w:ind w:left="28"/>
              <w:rPr>
                <w:rFonts w:ascii="Times New Roman" w:eastAsia="PMingLiU" w:hAnsi="Times New Roman"/>
                <w:b/>
                <w:bCs/>
                <w:sz w:val="18"/>
                <w:szCs w:val="18"/>
              </w:rPr>
            </w:pPr>
          </w:p>
        </w:tc>
      </w:tr>
      <w:tr w:rsidR="001A0B09" w14:paraId="298DBF37" w14:textId="77777777" w:rsidTr="0039321F">
        <w:tc>
          <w:tcPr>
            <w:tcW w:w="703" w:type="dxa"/>
            <w:shd w:val="clear" w:color="auto" w:fill="FFFFFF"/>
            <w:vAlign w:val="center"/>
          </w:tcPr>
          <w:p w14:paraId="442E60B1" w14:textId="3835BE63" w:rsidR="001A0B09" w:rsidRDefault="00AD7441">
            <w:pPr>
              <w:rPr>
                <w:rFonts w:ascii="Times New Roman" w:eastAsia="PMingLiU" w:hAnsi="Times New Roman"/>
                <w:sz w:val="18"/>
                <w:szCs w:val="18"/>
              </w:rPr>
            </w:pPr>
            <w:r>
              <w:rPr>
                <w:rFonts w:ascii="Times New Roman" w:hAnsi="Times New Roman"/>
                <w:sz w:val="18"/>
                <w:szCs w:val="18"/>
              </w:rPr>
              <w:lastRenderedPageBreak/>
              <w:t>2150</w:t>
            </w:r>
          </w:p>
        </w:tc>
        <w:tc>
          <w:tcPr>
            <w:tcW w:w="7371" w:type="dxa"/>
            <w:shd w:val="clear" w:color="auto" w:fill="FFFFFF"/>
          </w:tcPr>
          <w:p w14:paraId="42404D8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aktywa poziomu 2B: obligacje zabezpieczone charakteryzujące się wysoką jakością</w:t>
            </w:r>
          </w:p>
          <w:p w14:paraId="37EBFF9A" w14:textId="77777777" w:rsidR="001A0B09" w:rsidRDefault="001A0B09">
            <w:pPr>
              <w:spacing w:before="0" w:after="0"/>
              <w:ind w:left="28"/>
              <w:rPr>
                <w:rFonts w:ascii="Times New Roman" w:eastAsia="PMingLiU" w:hAnsi="Times New Roman"/>
                <w:b/>
                <w:sz w:val="18"/>
                <w:szCs w:val="18"/>
              </w:rPr>
            </w:pPr>
          </w:p>
          <w:p w14:paraId="73B98791"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 (będące przedmiotem udzielonej pożyczki) na aktywa poziomu 2B w postaci obligacji zabezpieczonych charakteryzujących się wysoką jakością (będące przedmiotem zaciągniętej pożyczki).</w:t>
            </w:r>
          </w:p>
          <w:p w14:paraId="2F92B09A" w14:textId="77777777" w:rsidR="001A0B09" w:rsidRDefault="001A0B09">
            <w:pPr>
              <w:spacing w:before="0" w:after="0"/>
              <w:ind w:left="28"/>
              <w:rPr>
                <w:rFonts w:ascii="Times New Roman" w:eastAsia="PMingLiU" w:hAnsi="Times New Roman"/>
                <w:sz w:val="18"/>
                <w:szCs w:val="18"/>
              </w:rPr>
            </w:pPr>
          </w:p>
        </w:tc>
      </w:tr>
      <w:tr w:rsidR="001A0B09" w14:paraId="3E4175AE" w14:textId="77777777" w:rsidTr="0039321F">
        <w:tc>
          <w:tcPr>
            <w:tcW w:w="703" w:type="dxa"/>
            <w:shd w:val="clear" w:color="auto" w:fill="FFFFFF"/>
            <w:vAlign w:val="center"/>
          </w:tcPr>
          <w:p w14:paraId="3DED6E75" w14:textId="00D5A85C" w:rsidR="001A0B09"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w tym: zabezpieczenie będące przedmiotem wymiany spełnia wymogi operacyjne</w:t>
            </w:r>
          </w:p>
          <w:p w14:paraId="7242C5CB" w14:textId="77777777" w:rsidR="001A0B09" w:rsidRDefault="001A0B09">
            <w:pPr>
              <w:spacing w:before="0" w:after="0"/>
              <w:ind w:left="28"/>
              <w:rPr>
                <w:rFonts w:ascii="Times New Roman" w:eastAsia="PMingLiU" w:hAnsi="Times New Roman"/>
                <w:b/>
                <w:bCs/>
                <w:sz w:val="18"/>
                <w:szCs w:val="18"/>
              </w:rPr>
            </w:pPr>
          </w:p>
          <w:p w14:paraId="06AB0040"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2.5.5. instytucje kredytowe zgłaszają:</w:t>
            </w:r>
          </w:p>
          <w:p w14:paraId="69354255" w14:textId="77777777" w:rsidR="001A0B09" w:rsidRDefault="001A0B09">
            <w:pPr>
              <w:spacing w:before="0" w:after="0"/>
              <w:ind w:left="28"/>
              <w:rPr>
                <w:rFonts w:ascii="Times New Roman" w:hAnsi="Times New Roman"/>
                <w:sz w:val="18"/>
              </w:rPr>
            </w:pPr>
          </w:p>
          <w:p w14:paraId="3B3EA1BA" w14:textId="219931BD"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CCF3728" w14:textId="77777777" w:rsidR="001A0B09" w:rsidRDefault="001A0B09">
            <w:pPr>
              <w:spacing w:before="0" w:after="0"/>
              <w:ind w:left="748"/>
              <w:rPr>
                <w:rFonts w:ascii="Times New Roman" w:eastAsia="PMingLiU" w:hAnsi="Times New Roman"/>
                <w:b/>
                <w:bCs/>
                <w:sz w:val="18"/>
                <w:szCs w:val="18"/>
              </w:rPr>
            </w:pPr>
          </w:p>
          <w:p w14:paraId="6483EA85" w14:textId="0D15F2C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33C8ED39" w14:textId="77777777" w:rsidR="001A0B09" w:rsidRDefault="001A0B09">
            <w:pPr>
              <w:spacing w:before="0" w:after="0"/>
              <w:ind w:left="28"/>
              <w:rPr>
                <w:rFonts w:ascii="Times New Roman" w:eastAsia="PMingLiU" w:hAnsi="Times New Roman"/>
                <w:b/>
                <w:bCs/>
                <w:sz w:val="18"/>
                <w:szCs w:val="18"/>
              </w:rPr>
            </w:pPr>
          </w:p>
        </w:tc>
      </w:tr>
      <w:tr w:rsidR="001A0B09" w14:paraId="44733AB3" w14:textId="77777777" w:rsidTr="0039321F">
        <w:tc>
          <w:tcPr>
            <w:tcW w:w="703" w:type="dxa"/>
            <w:shd w:val="clear" w:color="auto" w:fill="FFFFFF"/>
            <w:vAlign w:val="center"/>
          </w:tcPr>
          <w:p w14:paraId="704C631C" w14:textId="1FA878B0" w:rsidR="001A0B09"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aktywa poziomu 2B: papiery wartościowe zabezpieczone aktywami (kredyty komercyjne lub dla osób fizycznych, państwo członkowskie, CQS1)</w:t>
            </w:r>
          </w:p>
          <w:p w14:paraId="67A12A0B" w14:textId="77777777" w:rsidR="001A0B09" w:rsidRDefault="001A0B09">
            <w:pPr>
              <w:spacing w:before="0" w:after="0"/>
              <w:ind w:left="28"/>
              <w:rPr>
                <w:rFonts w:ascii="Times New Roman" w:eastAsia="PMingLiU" w:hAnsi="Times New Roman"/>
                <w:b/>
                <w:sz w:val="18"/>
                <w:szCs w:val="18"/>
              </w:rPr>
            </w:pPr>
          </w:p>
          <w:p w14:paraId="2CD6CC4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 xml:space="preserve">(będące przedmiotem udzielonej pożyczki) na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47668E70" w14:textId="77777777" w:rsidR="001A0B09" w:rsidRDefault="001A0B09">
            <w:pPr>
              <w:spacing w:before="0" w:after="0"/>
              <w:ind w:left="28"/>
              <w:rPr>
                <w:rFonts w:ascii="Times New Roman" w:eastAsia="PMingLiU" w:hAnsi="Times New Roman"/>
                <w:sz w:val="18"/>
                <w:szCs w:val="18"/>
              </w:rPr>
            </w:pPr>
          </w:p>
        </w:tc>
      </w:tr>
      <w:tr w:rsidR="001A0B09" w14:paraId="1401B786" w14:textId="77777777" w:rsidTr="0039321F">
        <w:tc>
          <w:tcPr>
            <w:tcW w:w="703" w:type="dxa"/>
            <w:shd w:val="clear" w:color="auto" w:fill="FFFFFF"/>
            <w:vAlign w:val="center"/>
          </w:tcPr>
          <w:p w14:paraId="139FC0F8" w14:textId="1D2AB24F" w:rsidR="001A0B09"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w tym: zabezpieczenie będące przedmiotem wymiany spełnia wymogi operacyjne</w:t>
            </w:r>
          </w:p>
          <w:p w14:paraId="7B80E41D" w14:textId="77777777" w:rsidR="001A0B09" w:rsidRDefault="001A0B09">
            <w:pPr>
              <w:spacing w:before="0" w:after="0"/>
              <w:ind w:left="28"/>
              <w:rPr>
                <w:rFonts w:ascii="Times New Roman" w:eastAsia="PMingLiU" w:hAnsi="Times New Roman"/>
                <w:b/>
                <w:bCs/>
                <w:sz w:val="18"/>
                <w:szCs w:val="18"/>
              </w:rPr>
            </w:pPr>
          </w:p>
          <w:p w14:paraId="1ABC2BB1"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2.5.6. instytucje kredytowe zgłaszają:</w:t>
            </w:r>
          </w:p>
          <w:p w14:paraId="3FE4E238" w14:textId="77777777" w:rsidR="001A0B09" w:rsidRDefault="001A0B09">
            <w:pPr>
              <w:spacing w:before="0" w:after="0"/>
              <w:ind w:left="28"/>
              <w:rPr>
                <w:rFonts w:ascii="Times New Roman" w:hAnsi="Times New Roman"/>
                <w:sz w:val="18"/>
              </w:rPr>
            </w:pPr>
          </w:p>
          <w:p w14:paraId="4AC74BAB" w14:textId="3707B83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AAECA58" w14:textId="77777777" w:rsidR="001A0B09" w:rsidRDefault="001A0B09">
            <w:pPr>
              <w:spacing w:before="0" w:after="0"/>
              <w:ind w:left="748"/>
              <w:rPr>
                <w:rFonts w:ascii="Times New Roman" w:eastAsia="PMingLiU" w:hAnsi="Times New Roman"/>
                <w:b/>
                <w:bCs/>
                <w:sz w:val="18"/>
                <w:szCs w:val="18"/>
              </w:rPr>
            </w:pPr>
          </w:p>
          <w:p w14:paraId="7E956908" w14:textId="3E32E8DA"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4EB5AA8" w14:textId="77777777" w:rsidR="001A0B09" w:rsidRDefault="001A0B09">
            <w:pPr>
              <w:spacing w:before="0" w:after="0"/>
              <w:ind w:left="28"/>
              <w:rPr>
                <w:rFonts w:ascii="Times New Roman" w:eastAsia="PMingLiU" w:hAnsi="Times New Roman"/>
                <w:b/>
                <w:bCs/>
                <w:sz w:val="18"/>
                <w:szCs w:val="18"/>
              </w:rPr>
            </w:pPr>
          </w:p>
        </w:tc>
      </w:tr>
      <w:tr w:rsidR="001A0B09" w14:paraId="1E98C33F" w14:textId="77777777" w:rsidTr="0039321F">
        <w:tc>
          <w:tcPr>
            <w:tcW w:w="703" w:type="dxa"/>
            <w:shd w:val="clear" w:color="auto" w:fill="FFFFFF"/>
            <w:vAlign w:val="center"/>
          </w:tcPr>
          <w:p w14:paraId="20EA5703" w14:textId="0A0752C9" w:rsidR="001A0B09"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inne aktywa poziomu 2B</w:t>
            </w:r>
          </w:p>
          <w:p w14:paraId="2B136C4F" w14:textId="77777777" w:rsidR="001A0B09" w:rsidRDefault="001A0B09">
            <w:pPr>
              <w:spacing w:before="0" w:after="0"/>
              <w:ind w:left="28"/>
              <w:rPr>
                <w:rFonts w:ascii="Times New Roman" w:eastAsia="PMingLiU" w:hAnsi="Times New Roman"/>
                <w:b/>
                <w:sz w:val="18"/>
                <w:szCs w:val="18"/>
              </w:rPr>
            </w:pPr>
          </w:p>
          <w:p w14:paraId="232ED11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 xml:space="preserve">(będące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56192B23" w14:textId="77777777" w:rsidR="001A0B09" w:rsidRDefault="001A0B09">
            <w:pPr>
              <w:spacing w:before="0" w:after="0"/>
              <w:ind w:left="28"/>
              <w:rPr>
                <w:rFonts w:ascii="Times New Roman" w:eastAsia="PMingLiU" w:hAnsi="Times New Roman"/>
                <w:sz w:val="18"/>
                <w:szCs w:val="18"/>
              </w:rPr>
            </w:pPr>
          </w:p>
        </w:tc>
      </w:tr>
      <w:tr w:rsidR="001A0B09" w14:paraId="411C9B09" w14:textId="77777777" w:rsidTr="0039321F">
        <w:tc>
          <w:tcPr>
            <w:tcW w:w="703" w:type="dxa"/>
            <w:shd w:val="clear" w:color="auto" w:fill="FFFFFF"/>
            <w:vAlign w:val="center"/>
          </w:tcPr>
          <w:p w14:paraId="65870015" w14:textId="55FFAF30" w:rsidR="001A0B09" w:rsidRDefault="00AD7441">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w tym: zabezpieczenie będące przedmiotem wymiany spełnia wymogi operacyjne</w:t>
            </w:r>
          </w:p>
          <w:p w14:paraId="331AA102" w14:textId="77777777" w:rsidR="001A0B09" w:rsidRDefault="001A0B09">
            <w:pPr>
              <w:spacing w:before="0" w:after="0"/>
              <w:ind w:left="28"/>
              <w:rPr>
                <w:rFonts w:ascii="Times New Roman" w:eastAsia="PMingLiU" w:hAnsi="Times New Roman"/>
                <w:b/>
                <w:bCs/>
                <w:sz w:val="18"/>
                <w:szCs w:val="18"/>
              </w:rPr>
            </w:pPr>
          </w:p>
          <w:p w14:paraId="1F9F8931"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2.5.7. instytucje kredytowe zgłaszają:</w:t>
            </w:r>
          </w:p>
          <w:p w14:paraId="465EF0DF" w14:textId="77777777" w:rsidR="001A0B09" w:rsidRDefault="001A0B09">
            <w:pPr>
              <w:spacing w:before="0" w:after="0"/>
              <w:ind w:left="28"/>
              <w:rPr>
                <w:rFonts w:ascii="Times New Roman" w:hAnsi="Times New Roman"/>
                <w:sz w:val="18"/>
              </w:rPr>
            </w:pPr>
          </w:p>
          <w:p w14:paraId="434B6D35" w14:textId="27E4D7D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FA96E0F" w14:textId="77777777" w:rsidR="001A0B09" w:rsidRDefault="001A0B09">
            <w:pPr>
              <w:spacing w:before="0" w:after="0"/>
              <w:ind w:left="748"/>
              <w:rPr>
                <w:rFonts w:ascii="Times New Roman" w:eastAsia="PMingLiU" w:hAnsi="Times New Roman"/>
                <w:b/>
                <w:bCs/>
                <w:sz w:val="18"/>
                <w:szCs w:val="18"/>
              </w:rPr>
            </w:pPr>
          </w:p>
          <w:p w14:paraId="61F00D30" w14:textId="6037E41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136DF2D" w14:textId="77777777" w:rsidR="001A0B09" w:rsidRDefault="001A0B09">
            <w:pPr>
              <w:spacing w:before="0" w:after="0"/>
              <w:ind w:left="28"/>
              <w:rPr>
                <w:rFonts w:ascii="Times New Roman" w:eastAsia="PMingLiU" w:hAnsi="Times New Roman"/>
                <w:b/>
                <w:bCs/>
                <w:sz w:val="18"/>
                <w:szCs w:val="18"/>
              </w:rPr>
            </w:pPr>
          </w:p>
        </w:tc>
      </w:tr>
      <w:tr w:rsidR="001A0B09" w14:paraId="05D762CA" w14:textId="77777777" w:rsidTr="0039321F">
        <w:tc>
          <w:tcPr>
            <w:tcW w:w="703" w:type="dxa"/>
            <w:shd w:val="clear" w:color="auto" w:fill="FFFFFF"/>
            <w:vAlign w:val="center"/>
          </w:tcPr>
          <w:p w14:paraId="0174925F" w14:textId="4CF0B58B" w:rsidR="001A0B09"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aktywa niepłynne</w:t>
            </w:r>
          </w:p>
          <w:p w14:paraId="16F12323" w14:textId="77777777" w:rsidR="001A0B09" w:rsidRDefault="001A0B09">
            <w:pPr>
              <w:spacing w:before="0" w:after="0"/>
              <w:ind w:left="28"/>
              <w:rPr>
                <w:rFonts w:ascii="Times New Roman" w:eastAsia="PMingLiU" w:hAnsi="Times New Roman"/>
                <w:b/>
                <w:sz w:val="18"/>
                <w:szCs w:val="18"/>
              </w:rPr>
            </w:pPr>
          </w:p>
          <w:p w14:paraId="3BDDADB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poziomu 2B w postaci obligacji zabezpieczonych charakteryzujących się wysoką jakością</w:t>
            </w:r>
            <w:r>
              <w:rPr>
                <w:rFonts w:ascii="Times New Roman" w:hAnsi="Times New Roman"/>
                <w:sz w:val="18"/>
                <w:szCs w:val="18"/>
              </w:rPr>
              <w:t xml:space="preserve"> </w:t>
            </w:r>
            <w:r>
              <w:rPr>
                <w:rFonts w:ascii="Times New Roman" w:hAnsi="Times New Roman"/>
                <w:bCs/>
                <w:sz w:val="18"/>
                <w:szCs w:val="18"/>
              </w:rPr>
              <w:t>(będące przedmiotem udzielonej pożyczki) na aktywa niepłynne (będące przedmiotem zaciągniętej pożyczki).</w:t>
            </w:r>
          </w:p>
          <w:p w14:paraId="425D06B7" w14:textId="77777777" w:rsidR="001A0B09" w:rsidRDefault="001A0B09">
            <w:pPr>
              <w:spacing w:before="0" w:after="0"/>
              <w:ind w:left="28"/>
              <w:rPr>
                <w:rFonts w:ascii="Times New Roman" w:eastAsia="PMingLiU" w:hAnsi="Times New Roman"/>
                <w:sz w:val="18"/>
                <w:szCs w:val="18"/>
              </w:rPr>
            </w:pPr>
          </w:p>
        </w:tc>
      </w:tr>
      <w:tr w:rsidR="001A0B09" w14:paraId="12053FFC" w14:textId="77777777" w:rsidTr="0039321F">
        <w:tc>
          <w:tcPr>
            <w:tcW w:w="703" w:type="dxa"/>
            <w:shd w:val="clear" w:color="auto" w:fill="auto"/>
            <w:vAlign w:val="center"/>
          </w:tcPr>
          <w:p w14:paraId="32F59DB9" w14:textId="49716345" w:rsidR="001A0B09"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w tym: zabezpieczenie będące przedmiotem wymiany spełnia wymogi operacyjne</w:t>
            </w:r>
          </w:p>
          <w:p w14:paraId="7A1741C0" w14:textId="77777777" w:rsidR="001A0B09" w:rsidRDefault="001A0B09">
            <w:pPr>
              <w:spacing w:before="0" w:after="0"/>
              <w:ind w:left="28"/>
              <w:rPr>
                <w:rFonts w:ascii="Times New Roman" w:eastAsia="PMingLiU" w:hAnsi="Times New Roman"/>
                <w:b/>
                <w:bCs/>
                <w:sz w:val="18"/>
                <w:szCs w:val="18"/>
              </w:rPr>
            </w:pPr>
          </w:p>
          <w:p w14:paraId="6942674C" w14:textId="726DD5C8" w:rsidR="001A0B09" w:rsidRDefault="00F71050">
            <w:pPr>
              <w:spacing w:before="0" w:after="0"/>
              <w:ind w:left="28"/>
              <w:rPr>
                <w:rFonts w:ascii="Times New Roman" w:eastAsia="PMingLiU" w:hAnsi="Times New Roman"/>
                <w:b/>
                <w:bCs/>
                <w:sz w:val="18"/>
                <w:szCs w:val="18"/>
              </w:rPr>
            </w:pPr>
            <w:r>
              <w:rPr>
                <w:rFonts w:ascii="Times New Roman" w:hAnsi="Times New Roman"/>
                <w:sz w:val="18"/>
              </w:rPr>
              <w:t xml:space="preserve">Spośród transakcji w pozycji 2.5.8. instytucje kredytowe zgłaszają składnik zabezpieczenia </w:t>
            </w:r>
            <w:r>
              <w:rPr>
                <w:rFonts w:ascii="Times New Roman" w:hAnsi="Times New Roman"/>
                <w:sz w:val="18"/>
              </w:rPr>
              <w:lastRenderedPageBreak/>
              <w:t>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3381B4E3" w14:textId="77777777" w:rsidR="001A0B09" w:rsidRDefault="001A0B09">
            <w:pPr>
              <w:spacing w:before="0" w:after="0"/>
              <w:ind w:left="28"/>
              <w:rPr>
                <w:rFonts w:ascii="Times New Roman" w:eastAsia="PMingLiU" w:hAnsi="Times New Roman"/>
                <w:b/>
                <w:bCs/>
                <w:sz w:val="18"/>
                <w:szCs w:val="18"/>
              </w:rPr>
            </w:pPr>
          </w:p>
        </w:tc>
      </w:tr>
      <w:tr w:rsidR="001A0B09" w14:paraId="415B45B4" w14:textId="77777777" w:rsidTr="0039321F">
        <w:tc>
          <w:tcPr>
            <w:tcW w:w="703" w:type="dxa"/>
            <w:shd w:val="clear" w:color="auto" w:fill="auto"/>
            <w:vAlign w:val="center"/>
          </w:tcPr>
          <w:p w14:paraId="6E746004" w14:textId="1DFA3CBD" w:rsidR="001A0B09" w:rsidRDefault="008D0A41">
            <w:pPr>
              <w:rPr>
                <w:rFonts w:ascii="Times New Roman" w:eastAsia="PMingLiU" w:hAnsi="Times New Roman"/>
                <w:sz w:val="18"/>
                <w:szCs w:val="18"/>
              </w:rPr>
            </w:pPr>
            <w:r>
              <w:rPr>
                <w:rFonts w:ascii="Times New Roman" w:hAnsi="Times New Roman"/>
                <w:sz w:val="18"/>
                <w:szCs w:val="18"/>
              </w:rPr>
              <w:lastRenderedPageBreak/>
              <w:t>2230</w:t>
            </w:r>
          </w:p>
        </w:tc>
        <w:tc>
          <w:tcPr>
            <w:tcW w:w="7371" w:type="dxa"/>
            <w:shd w:val="clear" w:color="auto" w:fill="auto"/>
          </w:tcPr>
          <w:p w14:paraId="01945F82"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Całkowite wartości transakcji, w których przedmiotem udzielonej pożyczki są aktywa poziomu 2B: papiery wartościowe zabezpieczone aktywami (kredyty komercyjne lub dla osób fizycznych, państwo członkowskie, CQS1), a przedmiotem zaciągniętej pożyczki są następujące rodzaje zabezpieczenia:</w:t>
            </w:r>
          </w:p>
          <w:p w14:paraId="3420C0FD" w14:textId="77777777" w:rsidR="001A0B09" w:rsidRDefault="001A0B09">
            <w:pPr>
              <w:spacing w:before="0" w:after="0"/>
              <w:ind w:left="28"/>
              <w:rPr>
                <w:rFonts w:ascii="Times New Roman" w:eastAsia="PMingLiU" w:hAnsi="Times New Roman"/>
                <w:sz w:val="18"/>
                <w:szCs w:val="18"/>
              </w:rPr>
            </w:pPr>
          </w:p>
          <w:p w14:paraId="67987DAE" w14:textId="7AAF4C4B"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601A6466" w14:textId="77777777" w:rsidR="001A0B09" w:rsidRDefault="001A0B09">
            <w:pPr>
              <w:spacing w:before="0" w:after="0"/>
              <w:ind w:left="28"/>
              <w:rPr>
                <w:rFonts w:ascii="Times New Roman" w:eastAsia="PMingLiU" w:hAnsi="Times New Roman"/>
                <w:bCs/>
                <w:sz w:val="18"/>
                <w:szCs w:val="18"/>
              </w:rPr>
            </w:pPr>
          </w:p>
          <w:p w14:paraId="6F8A79AA" w14:textId="77777777" w:rsidR="001A0B09"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W tej sekcji instytucje kredytowe zgłaszają, w odniesieniu do odpowiednich kolumn, całkowite wartości transakcji zabezpieczających swap </w:t>
            </w:r>
            <w:r>
              <w:rPr>
                <w:rFonts w:ascii="Times New Roman" w:hAnsi="Times New Roman"/>
                <w:sz w:val="18"/>
                <w:szCs w:val="18"/>
              </w:rPr>
              <w:t>w ramach transakcji, w których przedmiotem udzielonej pożyczki są aktywa poziomu 2B: papiery wartościowe zabezpieczone aktywami (kredyty komercyjne lub dla osób fizycznych, państwo członkowskie, CQS1).</w:t>
            </w:r>
          </w:p>
          <w:p w14:paraId="2E6A5C14" w14:textId="77777777" w:rsidR="001A0B09" w:rsidRDefault="001A0B09">
            <w:pPr>
              <w:spacing w:before="0" w:after="0"/>
              <w:ind w:left="28"/>
              <w:rPr>
                <w:rFonts w:ascii="Times New Roman" w:eastAsia="PMingLiU" w:hAnsi="Times New Roman"/>
                <w:sz w:val="18"/>
                <w:szCs w:val="18"/>
              </w:rPr>
            </w:pPr>
          </w:p>
        </w:tc>
      </w:tr>
      <w:tr w:rsidR="001A0B09" w14:paraId="7C26DA40" w14:textId="77777777" w:rsidTr="0039321F">
        <w:tc>
          <w:tcPr>
            <w:tcW w:w="703" w:type="dxa"/>
            <w:shd w:val="clear" w:color="auto" w:fill="FFFFFF"/>
            <w:vAlign w:val="center"/>
          </w:tcPr>
          <w:p w14:paraId="658DED72" w14:textId="23F8DD01" w:rsidR="001A0B09"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aktywa poziomu 1 (z wyłączeniem obligacji zabezpieczonych charakteryzujących się wyjątkowo wysoką jakością)</w:t>
            </w:r>
          </w:p>
          <w:p w14:paraId="3E962EC0" w14:textId="77777777" w:rsidR="001A0B0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bCs/>
                <w:sz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aktywa poziomu 1, z wyłączeniem obligacji zabezpieczonych charakteryzujących się wyjątkowo wysoką jakością (będące przedmiotem zaciągniętej pożyczki).</w:t>
            </w:r>
          </w:p>
          <w:p w14:paraId="228C51B2" w14:textId="77777777" w:rsidR="001A0B09" w:rsidRDefault="001A0B09">
            <w:pPr>
              <w:autoSpaceDE w:val="0"/>
              <w:autoSpaceDN w:val="0"/>
              <w:adjustRightInd w:val="0"/>
              <w:spacing w:before="0" w:after="0"/>
              <w:ind w:left="184"/>
              <w:rPr>
                <w:rFonts w:ascii="Times New Roman" w:eastAsia="PMingLiU" w:hAnsi="Times New Roman"/>
                <w:sz w:val="18"/>
                <w:szCs w:val="18"/>
              </w:rPr>
            </w:pPr>
          </w:p>
        </w:tc>
      </w:tr>
      <w:tr w:rsidR="001A0B09" w14:paraId="562D0566" w14:textId="77777777" w:rsidTr="0039321F">
        <w:tc>
          <w:tcPr>
            <w:tcW w:w="703" w:type="dxa"/>
            <w:shd w:val="clear" w:color="auto" w:fill="FFFFFF"/>
            <w:vAlign w:val="center"/>
          </w:tcPr>
          <w:p w14:paraId="798FB91D" w14:textId="1D4327A3" w:rsidR="001A0B09"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w tym: zabezpieczenie będące przedmiotem wymiany spełnia wymogi operacyjne</w:t>
            </w:r>
          </w:p>
          <w:p w14:paraId="190D10BC" w14:textId="77777777" w:rsidR="001A0B09" w:rsidRDefault="001A0B09">
            <w:pPr>
              <w:spacing w:before="0" w:after="0"/>
              <w:ind w:left="28"/>
              <w:rPr>
                <w:rFonts w:ascii="Times New Roman" w:eastAsia="PMingLiU" w:hAnsi="Times New Roman"/>
                <w:b/>
                <w:bCs/>
                <w:sz w:val="18"/>
                <w:szCs w:val="18"/>
              </w:rPr>
            </w:pPr>
          </w:p>
          <w:p w14:paraId="2547C86D"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2.6.1. instytucje kredytowe zgłaszają:</w:t>
            </w:r>
          </w:p>
          <w:p w14:paraId="4DE0C60E" w14:textId="77777777" w:rsidR="001A0B09" w:rsidRDefault="001A0B09">
            <w:pPr>
              <w:spacing w:before="0" w:after="0"/>
              <w:ind w:left="28"/>
              <w:rPr>
                <w:rFonts w:ascii="Times New Roman" w:hAnsi="Times New Roman"/>
                <w:sz w:val="18"/>
              </w:rPr>
            </w:pPr>
          </w:p>
          <w:p w14:paraId="431AD35D" w14:textId="7E34A878"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72B6D2D" w14:textId="77777777" w:rsidR="001A0B09" w:rsidRDefault="001A0B09">
            <w:pPr>
              <w:spacing w:before="0" w:after="0"/>
              <w:ind w:left="748"/>
              <w:rPr>
                <w:rFonts w:ascii="Times New Roman" w:eastAsia="PMingLiU" w:hAnsi="Times New Roman"/>
                <w:b/>
                <w:bCs/>
                <w:sz w:val="18"/>
                <w:szCs w:val="18"/>
              </w:rPr>
            </w:pPr>
          </w:p>
          <w:p w14:paraId="580841BF" w14:textId="4530081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FCF1387" w14:textId="77777777" w:rsidR="001A0B09" w:rsidRDefault="001A0B09">
            <w:pPr>
              <w:spacing w:before="0" w:after="0"/>
              <w:ind w:left="28"/>
              <w:rPr>
                <w:rFonts w:ascii="Times New Roman" w:eastAsia="PMingLiU" w:hAnsi="Times New Roman"/>
                <w:b/>
                <w:bCs/>
                <w:sz w:val="18"/>
                <w:szCs w:val="18"/>
              </w:rPr>
            </w:pPr>
          </w:p>
        </w:tc>
      </w:tr>
      <w:tr w:rsidR="001A0B09" w14:paraId="269A54C0" w14:textId="77777777" w:rsidTr="0039321F">
        <w:tc>
          <w:tcPr>
            <w:tcW w:w="703" w:type="dxa"/>
            <w:shd w:val="clear" w:color="auto" w:fill="FFFFFF"/>
            <w:vAlign w:val="center"/>
          </w:tcPr>
          <w:p w14:paraId="1834EE5A" w14:textId="34545B80" w:rsidR="001A0B09"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aktywa poziomu 1: obligacje zabezpieczone charakteryzujące się wyjątkowo wysoką jakością</w:t>
            </w:r>
          </w:p>
          <w:p w14:paraId="7FF880C3" w14:textId="77777777" w:rsidR="001A0B09" w:rsidRDefault="001A0B09">
            <w:pPr>
              <w:spacing w:before="0" w:after="0"/>
              <w:ind w:left="28"/>
              <w:rPr>
                <w:rFonts w:ascii="Times New Roman" w:eastAsia="PMingLiU" w:hAnsi="Times New Roman"/>
                <w:b/>
                <w:sz w:val="18"/>
                <w:szCs w:val="18"/>
              </w:rPr>
            </w:pPr>
          </w:p>
          <w:p w14:paraId="7B70B811"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aktywa poziomu 1: obligacje zabezpieczone charakteryzujące się wyjątkowo wysoką jakością (będące przedmiotem zaciągniętej pożyczki).</w:t>
            </w:r>
          </w:p>
          <w:p w14:paraId="2E524E80" w14:textId="77777777" w:rsidR="001A0B09" w:rsidRDefault="001A0B09">
            <w:pPr>
              <w:spacing w:before="0" w:after="0"/>
              <w:ind w:left="28"/>
              <w:rPr>
                <w:rFonts w:ascii="Times New Roman" w:eastAsia="PMingLiU" w:hAnsi="Times New Roman"/>
                <w:szCs w:val="18"/>
              </w:rPr>
            </w:pPr>
          </w:p>
        </w:tc>
      </w:tr>
      <w:tr w:rsidR="001A0B09" w14:paraId="57C860F0" w14:textId="77777777" w:rsidTr="0039321F">
        <w:tc>
          <w:tcPr>
            <w:tcW w:w="703" w:type="dxa"/>
            <w:shd w:val="clear" w:color="auto" w:fill="FFFFFF"/>
            <w:vAlign w:val="center"/>
          </w:tcPr>
          <w:p w14:paraId="09B211D6" w14:textId="23471BB0" w:rsidR="001A0B09"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w tym: zabezpieczenie będące przedmiotem wymiany spełnia wymogi operacyjne</w:t>
            </w:r>
          </w:p>
          <w:p w14:paraId="6071F158" w14:textId="77777777" w:rsidR="001A0B09" w:rsidRDefault="001A0B09">
            <w:pPr>
              <w:spacing w:before="0" w:after="0"/>
              <w:ind w:left="28"/>
              <w:rPr>
                <w:rFonts w:ascii="Times New Roman" w:eastAsia="PMingLiU" w:hAnsi="Times New Roman"/>
                <w:b/>
                <w:bCs/>
                <w:sz w:val="18"/>
                <w:szCs w:val="18"/>
              </w:rPr>
            </w:pPr>
          </w:p>
          <w:p w14:paraId="0E44A57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2.6.2. instytucje kredytowe zgłaszają:</w:t>
            </w:r>
          </w:p>
          <w:p w14:paraId="7A8DBB85" w14:textId="77777777" w:rsidR="001A0B09" w:rsidRDefault="001A0B09">
            <w:pPr>
              <w:spacing w:before="0" w:after="0"/>
              <w:ind w:left="28"/>
              <w:rPr>
                <w:rFonts w:ascii="Times New Roman" w:hAnsi="Times New Roman"/>
                <w:sz w:val="18"/>
              </w:rPr>
            </w:pPr>
          </w:p>
          <w:p w14:paraId="2A5FDAF9" w14:textId="7A36B7C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A604D76" w14:textId="77777777" w:rsidR="001A0B09" w:rsidRDefault="001A0B09">
            <w:pPr>
              <w:spacing w:before="0" w:after="0"/>
              <w:ind w:left="748"/>
              <w:rPr>
                <w:rFonts w:ascii="Times New Roman" w:eastAsia="PMingLiU" w:hAnsi="Times New Roman"/>
                <w:b/>
                <w:bCs/>
                <w:sz w:val="18"/>
                <w:szCs w:val="18"/>
              </w:rPr>
            </w:pPr>
          </w:p>
          <w:p w14:paraId="1B887AE4" w14:textId="20368A2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DDF3A31" w14:textId="77777777" w:rsidR="001A0B09" w:rsidRDefault="001A0B09">
            <w:pPr>
              <w:spacing w:before="0" w:after="0"/>
              <w:ind w:left="28"/>
              <w:rPr>
                <w:rFonts w:ascii="Times New Roman" w:eastAsia="PMingLiU" w:hAnsi="Times New Roman"/>
                <w:b/>
                <w:bCs/>
                <w:sz w:val="18"/>
                <w:szCs w:val="18"/>
              </w:rPr>
            </w:pPr>
          </w:p>
        </w:tc>
      </w:tr>
      <w:tr w:rsidR="001A0B09" w14:paraId="46421F65" w14:textId="77777777" w:rsidTr="0039321F">
        <w:tc>
          <w:tcPr>
            <w:tcW w:w="703" w:type="dxa"/>
            <w:shd w:val="clear" w:color="auto" w:fill="FFFFFF"/>
            <w:vAlign w:val="center"/>
          </w:tcPr>
          <w:p w14:paraId="3D3BA9AF" w14:textId="79FDEEC6" w:rsidR="001A0B09" w:rsidRDefault="008D0A41">
            <w:pPr>
              <w:rPr>
                <w:rFonts w:ascii="Times New Roman" w:eastAsia="PMingLiU" w:hAnsi="Times New Roman"/>
                <w:sz w:val="18"/>
                <w:szCs w:val="18"/>
              </w:rPr>
            </w:pPr>
            <w:r>
              <w:rPr>
                <w:rFonts w:ascii="Times New Roman" w:hAnsi="Times New Roman"/>
                <w:sz w:val="18"/>
                <w:szCs w:val="18"/>
              </w:rPr>
              <w:t>2280</w:t>
            </w:r>
          </w:p>
        </w:tc>
        <w:tc>
          <w:tcPr>
            <w:tcW w:w="7371" w:type="dxa"/>
            <w:shd w:val="clear" w:color="auto" w:fill="FFFFFF"/>
          </w:tcPr>
          <w:p w14:paraId="34E977E4"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aktywa poziomu 2A</w:t>
            </w:r>
          </w:p>
          <w:p w14:paraId="7BA92D15" w14:textId="77777777" w:rsidR="001A0B09" w:rsidRDefault="001A0B09">
            <w:pPr>
              <w:spacing w:before="0" w:after="0"/>
              <w:ind w:left="28"/>
              <w:rPr>
                <w:rFonts w:ascii="Times New Roman" w:eastAsia="PMingLiU" w:hAnsi="Times New Roman"/>
                <w:b/>
                <w:sz w:val="18"/>
                <w:szCs w:val="18"/>
              </w:rPr>
            </w:pPr>
          </w:p>
          <w:p w14:paraId="243374D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(oparte na kredytach przedsiębiorstw lub osób fizycznych, państwo członkowskie, CQS1)</w:t>
            </w:r>
            <w:r>
              <w:rPr>
                <w:rFonts w:ascii="Times New Roman" w:hAnsi="Times New Roman"/>
                <w:bCs/>
                <w:sz w:val="18"/>
                <w:szCs w:val="18"/>
              </w:rPr>
              <w:t xml:space="preserve"> (będące przedmiotem udzielonej pożyczki) na aktywa poziomu 2A (będące przedmiotem zaciągniętej pożyczki).</w:t>
            </w:r>
          </w:p>
          <w:p w14:paraId="65173466" w14:textId="77777777" w:rsidR="001A0B09" w:rsidRDefault="001A0B09">
            <w:pPr>
              <w:spacing w:before="0" w:after="0"/>
              <w:ind w:left="28"/>
              <w:rPr>
                <w:rFonts w:ascii="Times New Roman" w:eastAsia="PMingLiU" w:hAnsi="Times New Roman"/>
                <w:szCs w:val="18"/>
              </w:rPr>
            </w:pPr>
          </w:p>
        </w:tc>
      </w:tr>
      <w:tr w:rsidR="001A0B09" w14:paraId="36E51E7A" w14:textId="77777777" w:rsidTr="0039321F">
        <w:tc>
          <w:tcPr>
            <w:tcW w:w="703" w:type="dxa"/>
            <w:shd w:val="clear" w:color="auto" w:fill="FFFFFF"/>
            <w:vAlign w:val="center"/>
          </w:tcPr>
          <w:p w14:paraId="71BB4692" w14:textId="1DBE18D8" w:rsidR="001A0B09"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w tym: zabezpieczenie będące przedmiotem wymiany spełnia wymogi operacyjne</w:t>
            </w:r>
          </w:p>
          <w:p w14:paraId="6C13B860" w14:textId="77777777" w:rsidR="001A0B09" w:rsidRDefault="001A0B09">
            <w:pPr>
              <w:spacing w:before="0" w:after="0"/>
              <w:ind w:left="28"/>
              <w:rPr>
                <w:rFonts w:ascii="Times New Roman" w:eastAsia="PMingLiU" w:hAnsi="Times New Roman"/>
                <w:b/>
                <w:bCs/>
                <w:sz w:val="18"/>
                <w:szCs w:val="18"/>
              </w:rPr>
            </w:pPr>
          </w:p>
          <w:p w14:paraId="4B952C51"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2.6.3. instytucje kredytowe zgłaszają:</w:t>
            </w:r>
          </w:p>
          <w:p w14:paraId="34D1F991" w14:textId="77777777" w:rsidR="001A0B09" w:rsidRDefault="001A0B09">
            <w:pPr>
              <w:spacing w:before="0" w:after="0"/>
              <w:ind w:left="28"/>
              <w:rPr>
                <w:rFonts w:ascii="Times New Roman" w:hAnsi="Times New Roman"/>
                <w:sz w:val="18"/>
              </w:rPr>
            </w:pPr>
          </w:p>
          <w:p w14:paraId="765FF6DB" w14:textId="4F7A59DD"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A8E1ED3" w14:textId="77777777" w:rsidR="001A0B09" w:rsidRDefault="001A0B09">
            <w:pPr>
              <w:spacing w:before="0" w:after="0"/>
              <w:ind w:left="748"/>
              <w:rPr>
                <w:rFonts w:ascii="Times New Roman" w:eastAsia="PMingLiU" w:hAnsi="Times New Roman"/>
                <w:b/>
                <w:bCs/>
                <w:sz w:val="18"/>
                <w:szCs w:val="18"/>
              </w:rPr>
            </w:pPr>
          </w:p>
          <w:p w14:paraId="19417AD1" w14:textId="23D641F6"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00116890" w14:textId="77777777" w:rsidR="001A0B09" w:rsidRDefault="001A0B09">
            <w:pPr>
              <w:spacing w:before="0" w:after="0"/>
              <w:ind w:left="28"/>
              <w:rPr>
                <w:rFonts w:ascii="Times New Roman" w:eastAsia="PMingLiU" w:hAnsi="Times New Roman"/>
                <w:b/>
                <w:bCs/>
                <w:sz w:val="18"/>
                <w:szCs w:val="18"/>
              </w:rPr>
            </w:pPr>
          </w:p>
        </w:tc>
      </w:tr>
      <w:tr w:rsidR="001A0B09" w14:paraId="4333EE67" w14:textId="77777777" w:rsidTr="0039321F">
        <w:tc>
          <w:tcPr>
            <w:tcW w:w="703" w:type="dxa"/>
            <w:shd w:val="clear" w:color="auto" w:fill="FFFFFF"/>
            <w:vAlign w:val="center"/>
          </w:tcPr>
          <w:p w14:paraId="0ECEF0B6" w14:textId="20CBD423" w:rsidR="001A0B09" w:rsidRDefault="008D0A41">
            <w:pPr>
              <w:rPr>
                <w:rFonts w:ascii="Times New Roman" w:eastAsia="PMingLiU" w:hAnsi="Times New Roman"/>
                <w:sz w:val="18"/>
                <w:szCs w:val="18"/>
              </w:rPr>
            </w:pPr>
            <w:r>
              <w:rPr>
                <w:rFonts w:ascii="Times New Roman" w:hAnsi="Times New Roman"/>
                <w:sz w:val="18"/>
                <w:szCs w:val="18"/>
              </w:rPr>
              <w:lastRenderedPageBreak/>
              <w:t>2300</w:t>
            </w:r>
          </w:p>
        </w:tc>
        <w:tc>
          <w:tcPr>
            <w:tcW w:w="7371" w:type="dxa"/>
            <w:shd w:val="clear" w:color="auto" w:fill="FFFFFF"/>
          </w:tcPr>
          <w:p w14:paraId="33F534AF"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aktywa poziomu 2B: papiery wartościowe zabezpieczone aktywami (kredyty na nieruchomości mieszkalne lub na zakup samochodów, CQS1)</w:t>
            </w:r>
          </w:p>
          <w:p w14:paraId="60F2EAC0" w14:textId="77777777" w:rsidR="001A0B09" w:rsidRDefault="001A0B09">
            <w:pPr>
              <w:spacing w:before="0" w:after="0"/>
              <w:ind w:left="28"/>
              <w:rPr>
                <w:rFonts w:ascii="Times New Roman" w:eastAsia="PMingLiU" w:hAnsi="Times New Roman"/>
                <w:b/>
                <w:sz w:val="18"/>
                <w:szCs w:val="18"/>
              </w:rPr>
            </w:pPr>
          </w:p>
          <w:p w14:paraId="6224A509"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32DC2994" w14:textId="77777777" w:rsidR="001A0B09" w:rsidRDefault="001A0B09">
            <w:pPr>
              <w:spacing w:before="0" w:after="0"/>
              <w:ind w:left="28"/>
              <w:rPr>
                <w:rFonts w:ascii="Times New Roman" w:eastAsia="PMingLiU" w:hAnsi="Times New Roman"/>
                <w:szCs w:val="18"/>
              </w:rPr>
            </w:pPr>
          </w:p>
        </w:tc>
      </w:tr>
      <w:tr w:rsidR="001A0B09" w14:paraId="2C5ECF8F" w14:textId="77777777" w:rsidTr="0039321F">
        <w:tc>
          <w:tcPr>
            <w:tcW w:w="703" w:type="dxa"/>
            <w:shd w:val="clear" w:color="auto" w:fill="FFFFFF"/>
            <w:vAlign w:val="center"/>
          </w:tcPr>
          <w:p w14:paraId="3A4DC4E1" w14:textId="469608FF" w:rsidR="001A0B09"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w tym: zabezpieczenie będące przedmiotem wymiany spełnia wymogi operacyjne</w:t>
            </w:r>
          </w:p>
          <w:p w14:paraId="4DF2777E" w14:textId="77777777" w:rsidR="001A0B09" w:rsidRDefault="001A0B09">
            <w:pPr>
              <w:spacing w:before="0" w:after="0"/>
              <w:ind w:left="28"/>
              <w:rPr>
                <w:rFonts w:ascii="Times New Roman" w:eastAsia="PMingLiU" w:hAnsi="Times New Roman"/>
                <w:b/>
                <w:bCs/>
                <w:sz w:val="18"/>
                <w:szCs w:val="18"/>
              </w:rPr>
            </w:pPr>
          </w:p>
          <w:p w14:paraId="69DF0718"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2.6.4. instytucje kredytowe zgłaszają:</w:t>
            </w:r>
          </w:p>
          <w:p w14:paraId="2C201A42" w14:textId="77777777" w:rsidR="001A0B09" w:rsidRDefault="001A0B09">
            <w:pPr>
              <w:spacing w:before="0" w:after="0"/>
              <w:ind w:left="28"/>
              <w:rPr>
                <w:rFonts w:ascii="Times New Roman" w:hAnsi="Times New Roman"/>
                <w:sz w:val="18"/>
              </w:rPr>
            </w:pPr>
          </w:p>
          <w:p w14:paraId="669C1716" w14:textId="2BEC194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0D2EA147" w14:textId="77777777" w:rsidR="001A0B09" w:rsidRDefault="001A0B09">
            <w:pPr>
              <w:spacing w:before="0" w:after="0"/>
              <w:ind w:left="748"/>
              <w:rPr>
                <w:rFonts w:ascii="Times New Roman" w:eastAsia="PMingLiU" w:hAnsi="Times New Roman"/>
                <w:b/>
                <w:bCs/>
                <w:sz w:val="18"/>
                <w:szCs w:val="18"/>
              </w:rPr>
            </w:pPr>
          </w:p>
          <w:p w14:paraId="50EDE50D" w14:textId="1B930F04"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1790FC5" w14:textId="77777777" w:rsidR="001A0B09" w:rsidRDefault="001A0B09">
            <w:pPr>
              <w:spacing w:before="0" w:after="0"/>
              <w:ind w:left="28"/>
              <w:rPr>
                <w:rFonts w:ascii="Times New Roman" w:eastAsia="PMingLiU" w:hAnsi="Times New Roman"/>
                <w:b/>
                <w:bCs/>
                <w:sz w:val="18"/>
                <w:szCs w:val="18"/>
              </w:rPr>
            </w:pPr>
          </w:p>
        </w:tc>
      </w:tr>
      <w:tr w:rsidR="001A0B09" w14:paraId="76FD8E88" w14:textId="77777777" w:rsidTr="0039321F">
        <w:tc>
          <w:tcPr>
            <w:tcW w:w="703" w:type="dxa"/>
            <w:shd w:val="clear" w:color="auto" w:fill="FFFFFF"/>
            <w:vAlign w:val="center"/>
          </w:tcPr>
          <w:p w14:paraId="4C4D765E" w14:textId="04E40704" w:rsidR="001A0B09"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aktywa poziomu 2B: obligacje zabezpieczone charakteryzujące się wysoką jakością</w:t>
            </w:r>
          </w:p>
          <w:p w14:paraId="16CCAFEE" w14:textId="77777777" w:rsidR="001A0B09" w:rsidRDefault="001A0B09">
            <w:pPr>
              <w:spacing w:before="0" w:after="0"/>
              <w:ind w:left="28"/>
              <w:rPr>
                <w:rFonts w:ascii="Times New Roman" w:eastAsia="PMingLiU" w:hAnsi="Times New Roman"/>
                <w:b/>
                <w:sz w:val="18"/>
                <w:szCs w:val="18"/>
              </w:rPr>
            </w:pPr>
          </w:p>
          <w:p w14:paraId="4585F595"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aktywa poziomu 2B w postaci obligacji zabezpieczonych charakteryzujących się wysoką jakością (będące przedmiotem zaciągniętej pożyczki).</w:t>
            </w:r>
          </w:p>
          <w:p w14:paraId="3F2B30D7" w14:textId="77777777" w:rsidR="001A0B09" w:rsidRDefault="001A0B09">
            <w:pPr>
              <w:spacing w:before="0" w:after="0"/>
              <w:ind w:left="28"/>
              <w:rPr>
                <w:rFonts w:ascii="Times New Roman" w:eastAsia="PMingLiU" w:hAnsi="Times New Roman"/>
                <w:sz w:val="18"/>
                <w:szCs w:val="18"/>
              </w:rPr>
            </w:pPr>
          </w:p>
        </w:tc>
      </w:tr>
      <w:tr w:rsidR="001A0B09" w14:paraId="26833F01" w14:textId="77777777" w:rsidTr="0039321F">
        <w:tc>
          <w:tcPr>
            <w:tcW w:w="703" w:type="dxa"/>
            <w:shd w:val="clear" w:color="auto" w:fill="FFFFFF"/>
            <w:vAlign w:val="center"/>
          </w:tcPr>
          <w:p w14:paraId="7851DCDB" w14:textId="3AEDD8E7" w:rsidR="001A0B09"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w tym: zabezpieczenie będące przedmiotem wymiany spełnia wymogi operacyjne</w:t>
            </w:r>
          </w:p>
          <w:p w14:paraId="53363735" w14:textId="77777777" w:rsidR="001A0B09" w:rsidRDefault="001A0B09">
            <w:pPr>
              <w:spacing w:before="0" w:after="0"/>
              <w:ind w:left="28"/>
              <w:rPr>
                <w:rFonts w:ascii="Times New Roman" w:eastAsia="PMingLiU" w:hAnsi="Times New Roman"/>
                <w:b/>
                <w:bCs/>
                <w:sz w:val="18"/>
                <w:szCs w:val="18"/>
              </w:rPr>
            </w:pPr>
          </w:p>
          <w:p w14:paraId="61F0CCFC"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2.6.5. instytucje kredytowe zgłaszają:</w:t>
            </w:r>
          </w:p>
          <w:p w14:paraId="6DF4CC7D" w14:textId="77777777" w:rsidR="001A0B09" w:rsidRDefault="001A0B09">
            <w:pPr>
              <w:spacing w:before="0" w:after="0"/>
              <w:ind w:left="28"/>
              <w:rPr>
                <w:rFonts w:ascii="Times New Roman" w:hAnsi="Times New Roman"/>
                <w:sz w:val="18"/>
              </w:rPr>
            </w:pPr>
          </w:p>
          <w:p w14:paraId="6355DBA8" w14:textId="539FEA92"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6FD8ACCC" w14:textId="77777777" w:rsidR="001A0B09" w:rsidRDefault="001A0B09">
            <w:pPr>
              <w:spacing w:before="0" w:after="0"/>
              <w:ind w:left="748"/>
              <w:rPr>
                <w:rFonts w:ascii="Times New Roman" w:eastAsia="PMingLiU" w:hAnsi="Times New Roman"/>
                <w:b/>
                <w:bCs/>
                <w:sz w:val="18"/>
                <w:szCs w:val="18"/>
              </w:rPr>
            </w:pPr>
          </w:p>
          <w:p w14:paraId="6669F61C" w14:textId="38F6B96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0A136E83" w14:textId="77777777" w:rsidR="001A0B09" w:rsidRDefault="001A0B09">
            <w:pPr>
              <w:spacing w:before="0" w:after="0"/>
              <w:ind w:left="28"/>
              <w:rPr>
                <w:rFonts w:ascii="Times New Roman" w:eastAsia="PMingLiU" w:hAnsi="Times New Roman"/>
                <w:b/>
                <w:bCs/>
                <w:sz w:val="18"/>
                <w:szCs w:val="18"/>
              </w:rPr>
            </w:pPr>
          </w:p>
        </w:tc>
      </w:tr>
      <w:tr w:rsidR="001A0B09" w14:paraId="2DB1BDEE" w14:textId="77777777" w:rsidTr="0039321F">
        <w:tc>
          <w:tcPr>
            <w:tcW w:w="703" w:type="dxa"/>
            <w:shd w:val="clear" w:color="auto" w:fill="FFFFFF"/>
            <w:vAlign w:val="center"/>
          </w:tcPr>
          <w:p w14:paraId="1414D1AC" w14:textId="51A6F573" w:rsidR="001A0B09"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aktywa poziomu 2B: papiery wartościowe zabezpieczone aktywami (kredyty komercyjne lub dla osób fizycznych, państwo członkowskie, CQS1)</w:t>
            </w:r>
          </w:p>
          <w:p w14:paraId="41678A49" w14:textId="77777777" w:rsidR="001A0B09" w:rsidRDefault="001A0B09">
            <w:pPr>
              <w:spacing w:before="0" w:after="0"/>
              <w:ind w:left="28"/>
              <w:rPr>
                <w:rFonts w:ascii="Times New Roman" w:eastAsia="PMingLiU" w:hAnsi="Times New Roman"/>
                <w:b/>
                <w:sz w:val="18"/>
                <w:szCs w:val="18"/>
              </w:rPr>
            </w:pPr>
          </w:p>
          <w:p w14:paraId="3C30FC3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w:t>
            </w:r>
            <w:r>
              <w:rPr>
                <w:rFonts w:ascii="Times New Roman" w:hAnsi="Times New Roman"/>
                <w:sz w:val="18"/>
                <w:szCs w:val="18"/>
              </w:rPr>
              <w:t>na aktywa 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3E49BBAD" w14:textId="77777777" w:rsidR="001A0B09" w:rsidRDefault="001A0B09">
            <w:pPr>
              <w:spacing w:before="0" w:after="0"/>
              <w:ind w:left="28"/>
              <w:rPr>
                <w:rFonts w:ascii="Times New Roman" w:eastAsia="PMingLiU" w:hAnsi="Times New Roman"/>
                <w:sz w:val="18"/>
                <w:szCs w:val="18"/>
              </w:rPr>
            </w:pPr>
          </w:p>
        </w:tc>
      </w:tr>
      <w:tr w:rsidR="001A0B09" w14:paraId="1AF3619C" w14:textId="77777777" w:rsidTr="0039321F">
        <w:tc>
          <w:tcPr>
            <w:tcW w:w="703" w:type="dxa"/>
            <w:shd w:val="clear" w:color="auto" w:fill="FFFFFF"/>
            <w:vAlign w:val="center"/>
          </w:tcPr>
          <w:p w14:paraId="16D02463" w14:textId="0D232D53" w:rsidR="001A0B09"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w tym: zabezpieczenie będące przedmiotem wymiany spełnia wymogi operacyjne</w:t>
            </w:r>
          </w:p>
          <w:p w14:paraId="7B71BE57" w14:textId="77777777" w:rsidR="001A0B09" w:rsidRDefault="001A0B09">
            <w:pPr>
              <w:spacing w:before="0" w:after="0"/>
              <w:ind w:left="28"/>
              <w:rPr>
                <w:rFonts w:ascii="Times New Roman" w:eastAsia="PMingLiU" w:hAnsi="Times New Roman"/>
                <w:b/>
                <w:bCs/>
                <w:sz w:val="18"/>
                <w:szCs w:val="18"/>
              </w:rPr>
            </w:pPr>
          </w:p>
          <w:p w14:paraId="559FFDF9"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2.6.6. instytucje kredytowe zgłaszają:</w:t>
            </w:r>
          </w:p>
          <w:p w14:paraId="75DF28B9" w14:textId="77777777" w:rsidR="001A0B09" w:rsidRDefault="001A0B09">
            <w:pPr>
              <w:spacing w:before="0" w:after="0"/>
              <w:ind w:left="28"/>
              <w:rPr>
                <w:rFonts w:ascii="Times New Roman" w:hAnsi="Times New Roman"/>
                <w:sz w:val="18"/>
              </w:rPr>
            </w:pPr>
          </w:p>
          <w:p w14:paraId="0D2A374C" w14:textId="3938EF9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7981C47" w14:textId="77777777" w:rsidR="001A0B09" w:rsidRDefault="001A0B09">
            <w:pPr>
              <w:spacing w:before="0" w:after="0"/>
              <w:ind w:left="748"/>
              <w:rPr>
                <w:rFonts w:ascii="Times New Roman" w:eastAsia="PMingLiU" w:hAnsi="Times New Roman"/>
                <w:b/>
                <w:bCs/>
                <w:sz w:val="18"/>
                <w:szCs w:val="18"/>
              </w:rPr>
            </w:pPr>
          </w:p>
          <w:p w14:paraId="11819614" w14:textId="584B4AB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33673F47" w14:textId="77777777" w:rsidR="001A0B09" w:rsidRDefault="001A0B09">
            <w:pPr>
              <w:spacing w:before="0" w:after="0"/>
              <w:ind w:left="28"/>
              <w:rPr>
                <w:rFonts w:ascii="Times New Roman" w:eastAsia="PMingLiU" w:hAnsi="Times New Roman"/>
                <w:b/>
                <w:bCs/>
                <w:sz w:val="18"/>
                <w:szCs w:val="18"/>
              </w:rPr>
            </w:pPr>
          </w:p>
        </w:tc>
      </w:tr>
      <w:tr w:rsidR="001A0B09" w14:paraId="1852DA27" w14:textId="77777777" w:rsidTr="0039321F">
        <w:tc>
          <w:tcPr>
            <w:tcW w:w="703" w:type="dxa"/>
            <w:shd w:val="clear" w:color="auto" w:fill="FFFFFF"/>
            <w:vAlign w:val="center"/>
          </w:tcPr>
          <w:p w14:paraId="05F456D9" w14:textId="198E75E3" w:rsidR="001A0B09" w:rsidRDefault="008D0A41">
            <w:pPr>
              <w:rPr>
                <w:rFonts w:ascii="Times New Roman" w:eastAsia="PMingLiU" w:hAnsi="Times New Roman"/>
                <w:sz w:val="18"/>
                <w:szCs w:val="18"/>
              </w:rPr>
            </w:pPr>
            <w:r>
              <w:rPr>
                <w:rFonts w:ascii="Times New Roman" w:hAnsi="Times New Roman"/>
                <w:sz w:val="18"/>
                <w:szCs w:val="18"/>
              </w:rPr>
              <w:lastRenderedPageBreak/>
              <w:t>2360</w:t>
            </w:r>
          </w:p>
        </w:tc>
        <w:tc>
          <w:tcPr>
            <w:tcW w:w="7371" w:type="dxa"/>
            <w:shd w:val="clear" w:color="auto" w:fill="FFFFFF"/>
          </w:tcPr>
          <w:p w14:paraId="09B466A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inne aktywa poziomu 2B</w:t>
            </w:r>
          </w:p>
          <w:p w14:paraId="68D2C166" w14:textId="77777777" w:rsidR="001A0B09" w:rsidRDefault="001A0B09">
            <w:pPr>
              <w:spacing w:before="0" w:after="0"/>
              <w:ind w:left="28"/>
              <w:rPr>
                <w:rFonts w:ascii="Times New Roman" w:eastAsia="PMingLiU" w:hAnsi="Times New Roman"/>
                <w:b/>
                <w:sz w:val="18"/>
                <w:szCs w:val="18"/>
              </w:rPr>
            </w:pPr>
          </w:p>
          <w:p w14:paraId="785250C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08F0C8C5" w14:textId="77777777" w:rsidR="001A0B09" w:rsidRDefault="001A0B09">
            <w:pPr>
              <w:spacing w:before="0" w:after="0"/>
              <w:ind w:left="28"/>
              <w:rPr>
                <w:rFonts w:ascii="Times New Roman" w:eastAsia="PMingLiU" w:hAnsi="Times New Roman"/>
                <w:sz w:val="18"/>
                <w:szCs w:val="18"/>
              </w:rPr>
            </w:pPr>
          </w:p>
        </w:tc>
      </w:tr>
      <w:tr w:rsidR="001A0B09" w14:paraId="6A9F5D0F" w14:textId="77777777" w:rsidTr="0039321F">
        <w:tc>
          <w:tcPr>
            <w:tcW w:w="703" w:type="dxa"/>
            <w:shd w:val="clear" w:color="auto" w:fill="FFFFFF"/>
            <w:vAlign w:val="center"/>
          </w:tcPr>
          <w:p w14:paraId="3D87C091" w14:textId="094D49CE" w:rsidR="001A0B09"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w tym: zabezpieczenie będące przedmiotem wymiany spełnia wymogi operacyjne</w:t>
            </w:r>
          </w:p>
          <w:p w14:paraId="60406629" w14:textId="77777777" w:rsidR="001A0B09" w:rsidRDefault="001A0B09">
            <w:pPr>
              <w:spacing w:before="0" w:after="0"/>
              <w:ind w:left="28"/>
              <w:rPr>
                <w:rFonts w:ascii="Times New Roman" w:eastAsia="PMingLiU" w:hAnsi="Times New Roman"/>
                <w:b/>
                <w:bCs/>
                <w:sz w:val="18"/>
                <w:szCs w:val="18"/>
              </w:rPr>
            </w:pPr>
          </w:p>
          <w:p w14:paraId="219C0FBC"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2.6.7. instytucje kredytowe zgłaszają:</w:t>
            </w:r>
          </w:p>
          <w:p w14:paraId="7B1454CB" w14:textId="77777777" w:rsidR="001A0B09" w:rsidRDefault="001A0B09">
            <w:pPr>
              <w:spacing w:before="0" w:after="0"/>
              <w:ind w:left="28"/>
              <w:rPr>
                <w:rFonts w:ascii="Times New Roman" w:hAnsi="Times New Roman"/>
                <w:sz w:val="18"/>
              </w:rPr>
            </w:pPr>
          </w:p>
          <w:p w14:paraId="5605E41C" w14:textId="3A52718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3B0CE375" w14:textId="77777777" w:rsidR="001A0B09" w:rsidRDefault="001A0B09">
            <w:pPr>
              <w:spacing w:before="0" w:after="0"/>
              <w:ind w:left="748"/>
              <w:rPr>
                <w:rFonts w:ascii="Times New Roman" w:eastAsia="PMingLiU" w:hAnsi="Times New Roman"/>
                <w:b/>
                <w:bCs/>
                <w:sz w:val="18"/>
                <w:szCs w:val="18"/>
              </w:rPr>
            </w:pPr>
          </w:p>
          <w:p w14:paraId="787EDECF" w14:textId="2DC6DFC5"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3636AD33" w14:textId="77777777" w:rsidR="001A0B09" w:rsidRDefault="001A0B09">
            <w:pPr>
              <w:spacing w:before="0" w:after="0"/>
              <w:ind w:left="28"/>
              <w:rPr>
                <w:rFonts w:ascii="Times New Roman" w:eastAsia="PMingLiU" w:hAnsi="Times New Roman"/>
                <w:b/>
                <w:bCs/>
                <w:sz w:val="18"/>
                <w:szCs w:val="18"/>
              </w:rPr>
            </w:pPr>
          </w:p>
        </w:tc>
      </w:tr>
      <w:tr w:rsidR="001A0B09" w14:paraId="53F0B642" w14:textId="77777777" w:rsidTr="0039321F">
        <w:tc>
          <w:tcPr>
            <w:tcW w:w="703" w:type="dxa"/>
            <w:shd w:val="clear" w:color="auto" w:fill="FFFFFF"/>
            <w:vAlign w:val="center"/>
          </w:tcPr>
          <w:p w14:paraId="7EC1F8FD" w14:textId="75150A1F" w:rsidR="001A0B09"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aktywa niepłynne</w:t>
            </w:r>
          </w:p>
          <w:p w14:paraId="4CAD2FEC" w14:textId="77777777" w:rsidR="001A0B09" w:rsidRDefault="001A0B09">
            <w:pPr>
              <w:spacing w:before="0" w:after="0"/>
              <w:ind w:left="28"/>
              <w:rPr>
                <w:rFonts w:ascii="Times New Roman" w:eastAsia="PMingLiU" w:hAnsi="Times New Roman"/>
                <w:b/>
                <w:sz w:val="18"/>
                <w:szCs w:val="18"/>
              </w:rPr>
            </w:pPr>
          </w:p>
          <w:p w14:paraId="2B14446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udzielonej pożyczki) na aktywa niepłynne (będące przedmiotem zaciągniętej pożyczki).</w:t>
            </w:r>
          </w:p>
          <w:p w14:paraId="439205AE" w14:textId="77777777" w:rsidR="001A0B09" w:rsidRDefault="001A0B09">
            <w:pPr>
              <w:spacing w:before="0" w:after="0"/>
              <w:ind w:left="28"/>
              <w:rPr>
                <w:rFonts w:ascii="Times New Roman" w:eastAsia="PMingLiU" w:hAnsi="Times New Roman"/>
                <w:sz w:val="18"/>
                <w:szCs w:val="18"/>
              </w:rPr>
            </w:pPr>
          </w:p>
        </w:tc>
      </w:tr>
      <w:tr w:rsidR="001A0B09" w14:paraId="1115F753" w14:textId="77777777" w:rsidTr="0039321F">
        <w:tc>
          <w:tcPr>
            <w:tcW w:w="703" w:type="dxa"/>
            <w:shd w:val="clear" w:color="auto" w:fill="auto"/>
            <w:vAlign w:val="center"/>
          </w:tcPr>
          <w:p w14:paraId="548CD7D8" w14:textId="4332407F" w:rsidR="001A0B09"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w tym: zabezpieczenie będące przedmiotem wymiany spełnia wymogi operacyjne</w:t>
            </w:r>
          </w:p>
          <w:p w14:paraId="781184C3" w14:textId="77777777" w:rsidR="001A0B09" w:rsidRDefault="001A0B09">
            <w:pPr>
              <w:spacing w:before="0" w:after="0"/>
              <w:ind w:left="28"/>
              <w:rPr>
                <w:rFonts w:ascii="Times New Roman" w:eastAsia="PMingLiU" w:hAnsi="Times New Roman"/>
                <w:b/>
                <w:bCs/>
                <w:sz w:val="18"/>
                <w:szCs w:val="18"/>
              </w:rPr>
            </w:pPr>
          </w:p>
          <w:p w14:paraId="531F33EF" w14:textId="2B8E04C4"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2.6.8.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6F1844D8" w14:textId="77777777" w:rsidR="001A0B09" w:rsidRDefault="001A0B09">
            <w:pPr>
              <w:spacing w:before="0" w:after="0"/>
              <w:ind w:left="28"/>
              <w:rPr>
                <w:rFonts w:ascii="Times New Roman" w:eastAsia="PMingLiU" w:hAnsi="Times New Roman"/>
                <w:b/>
                <w:bCs/>
                <w:sz w:val="18"/>
                <w:szCs w:val="18"/>
              </w:rPr>
            </w:pPr>
          </w:p>
        </w:tc>
      </w:tr>
      <w:tr w:rsidR="001A0B09" w14:paraId="7825583B" w14:textId="77777777" w:rsidTr="0039321F">
        <w:tc>
          <w:tcPr>
            <w:tcW w:w="703" w:type="dxa"/>
            <w:shd w:val="clear" w:color="auto" w:fill="auto"/>
            <w:vAlign w:val="center"/>
          </w:tcPr>
          <w:p w14:paraId="12BDF183" w14:textId="79E11E14" w:rsidR="001A0B09"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Całkowite wartości transakcji, w których przedmiotem udzielonej pożyczki są inne aktywa poziomu 2B, a przedmiotem zaciągniętej pożyczki są następujące rodzaje zabezpieczenia:</w:t>
            </w:r>
          </w:p>
          <w:p w14:paraId="06B472BC" w14:textId="77777777" w:rsidR="001A0B09" w:rsidRDefault="001A0B09">
            <w:pPr>
              <w:spacing w:before="0" w:after="0"/>
              <w:ind w:left="28"/>
              <w:rPr>
                <w:rFonts w:ascii="Times New Roman" w:eastAsia="PMingLiU" w:hAnsi="Times New Roman"/>
                <w:sz w:val="18"/>
                <w:szCs w:val="18"/>
              </w:rPr>
            </w:pPr>
          </w:p>
          <w:p w14:paraId="53A24FD7" w14:textId="02598C14"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14DDD821" w14:textId="77777777" w:rsidR="001A0B09" w:rsidRDefault="001A0B09">
            <w:pPr>
              <w:spacing w:before="0" w:after="0"/>
              <w:ind w:left="28"/>
              <w:rPr>
                <w:rFonts w:ascii="Times New Roman" w:eastAsia="PMingLiU" w:hAnsi="Times New Roman"/>
                <w:bCs/>
                <w:sz w:val="18"/>
                <w:szCs w:val="18"/>
              </w:rPr>
            </w:pPr>
          </w:p>
          <w:p w14:paraId="1DB9287B" w14:textId="77777777" w:rsidR="001A0B09"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W tej sekcji instytucje kredytowe zgłaszają, w odniesieniu do odpowiednich kolumn, całkowite wartości transakcji zabezpieczających swap </w:t>
            </w:r>
            <w:r>
              <w:rPr>
                <w:rFonts w:ascii="Times New Roman" w:hAnsi="Times New Roman"/>
                <w:sz w:val="18"/>
                <w:szCs w:val="18"/>
              </w:rPr>
              <w:t>w ramach transakcji, w których przedmiotem udzielonej pożyczki są aktywa poziomu 2B.</w:t>
            </w:r>
          </w:p>
          <w:p w14:paraId="6352BCE4" w14:textId="77777777" w:rsidR="001A0B09" w:rsidRDefault="001A0B09">
            <w:pPr>
              <w:spacing w:before="0" w:after="0"/>
              <w:ind w:left="28"/>
              <w:rPr>
                <w:rFonts w:ascii="Times New Roman" w:eastAsia="PMingLiU" w:hAnsi="Times New Roman"/>
                <w:sz w:val="18"/>
                <w:szCs w:val="18"/>
              </w:rPr>
            </w:pPr>
          </w:p>
        </w:tc>
      </w:tr>
      <w:tr w:rsidR="001A0B09" w14:paraId="5203ED11" w14:textId="77777777" w:rsidTr="0039321F">
        <w:tc>
          <w:tcPr>
            <w:tcW w:w="703" w:type="dxa"/>
            <w:shd w:val="clear" w:color="auto" w:fill="FFFFFF"/>
            <w:vAlign w:val="center"/>
          </w:tcPr>
          <w:p w14:paraId="4BB6D4BB" w14:textId="4C4BCC37" w:rsidR="001A0B09"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aktywa poziomu 1 (z wyłączeniem obligacji zabezpieczonych charakteryzujących się wyjątkowo wysoką jakością)</w:t>
            </w:r>
          </w:p>
          <w:p w14:paraId="23FCEB4B" w14:textId="77777777" w:rsidR="001A0B09"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bCs/>
                <w:sz w:val="18"/>
              </w:rPr>
              <w:t xml:space="preserve">inne aktywa poziomu 2B </w:t>
            </w:r>
            <w:r>
              <w:rPr>
                <w:rFonts w:ascii="Times New Roman" w:hAnsi="Times New Roman"/>
                <w:bCs/>
                <w:sz w:val="18"/>
                <w:szCs w:val="18"/>
              </w:rPr>
              <w:t>(będące przedmiotem udzielonej pożyczki) na aktywa poziomu 1, z wyłączeniem obligacji zabezpieczonych charakteryzujących się wyjątkowo wysoką jakością (będące przedmiotem zaciągniętej pożyczki).</w:t>
            </w:r>
          </w:p>
          <w:p w14:paraId="38DB5977" w14:textId="77777777" w:rsidR="001A0B09" w:rsidRDefault="001A0B09">
            <w:pPr>
              <w:autoSpaceDE w:val="0"/>
              <w:autoSpaceDN w:val="0"/>
              <w:adjustRightInd w:val="0"/>
              <w:spacing w:before="0" w:after="0"/>
              <w:ind w:left="184"/>
              <w:rPr>
                <w:rFonts w:ascii="Times New Roman" w:eastAsia="PMingLiU" w:hAnsi="Times New Roman"/>
                <w:sz w:val="18"/>
                <w:szCs w:val="18"/>
              </w:rPr>
            </w:pPr>
          </w:p>
        </w:tc>
      </w:tr>
      <w:tr w:rsidR="001A0B09" w14:paraId="3302808D" w14:textId="77777777" w:rsidTr="0039321F">
        <w:tc>
          <w:tcPr>
            <w:tcW w:w="703" w:type="dxa"/>
            <w:shd w:val="clear" w:color="auto" w:fill="FFFFFF"/>
            <w:vAlign w:val="center"/>
          </w:tcPr>
          <w:p w14:paraId="7BAA7FE9" w14:textId="12E64A00" w:rsidR="001A0B09"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w tym: zabezpieczenie będące przedmiotem wymiany spełnia wymogi operacyjne</w:t>
            </w:r>
          </w:p>
          <w:p w14:paraId="51C131DA" w14:textId="77777777" w:rsidR="001A0B09" w:rsidRDefault="001A0B09">
            <w:pPr>
              <w:spacing w:before="0" w:after="0"/>
              <w:ind w:left="28"/>
              <w:rPr>
                <w:rFonts w:ascii="Times New Roman" w:eastAsia="PMingLiU" w:hAnsi="Times New Roman"/>
                <w:b/>
                <w:bCs/>
                <w:sz w:val="18"/>
                <w:szCs w:val="18"/>
              </w:rPr>
            </w:pPr>
          </w:p>
          <w:p w14:paraId="7BA258D9"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2.7.1. instytucje kredytowe zgłaszają:</w:t>
            </w:r>
          </w:p>
          <w:p w14:paraId="1E37892D" w14:textId="77777777" w:rsidR="001A0B09" w:rsidRDefault="001A0B09">
            <w:pPr>
              <w:spacing w:before="0" w:after="0"/>
              <w:ind w:left="28"/>
              <w:rPr>
                <w:rFonts w:ascii="Times New Roman" w:hAnsi="Times New Roman"/>
                <w:sz w:val="18"/>
              </w:rPr>
            </w:pPr>
          </w:p>
          <w:p w14:paraId="53963F11" w14:textId="6A05729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45FE4019" w14:textId="77777777" w:rsidR="001A0B09" w:rsidRDefault="001A0B09">
            <w:pPr>
              <w:spacing w:before="0" w:after="0"/>
              <w:ind w:left="748"/>
              <w:rPr>
                <w:rFonts w:ascii="Times New Roman" w:eastAsia="PMingLiU" w:hAnsi="Times New Roman"/>
                <w:b/>
                <w:bCs/>
                <w:sz w:val="18"/>
                <w:szCs w:val="18"/>
              </w:rPr>
            </w:pPr>
          </w:p>
          <w:p w14:paraId="45EDDF84" w14:textId="6E0A4F9D"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1A49C06" w14:textId="77777777" w:rsidR="001A0B09" w:rsidRDefault="001A0B09">
            <w:pPr>
              <w:spacing w:before="0" w:after="0"/>
              <w:ind w:left="28"/>
              <w:rPr>
                <w:rFonts w:ascii="Times New Roman" w:eastAsia="PMingLiU" w:hAnsi="Times New Roman"/>
                <w:b/>
                <w:bCs/>
                <w:sz w:val="18"/>
                <w:szCs w:val="18"/>
              </w:rPr>
            </w:pPr>
          </w:p>
        </w:tc>
      </w:tr>
      <w:tr w:rsidR="001A0B09" w14:paraId="34134B7D" w14:textId="77777777" w:rsidTr="0039321F">
        <w:tc>
          <w:tcPr>
            <w:tcW w:w="703" w:type="dxa"/>
            <w:shd w:val="clear" w:color="auto" w:fill="FFFFFF"/>
            <w:vAlign w:val="center"/>
          </w:tcPr>
          <w:p w14:paraId="020A6A0F" w14:textId="27B1AAAF" w:rsidR="001A0B09" w:rsidRDefault="008D0A41">
            <w:pPr>
              <w:rPr>
                <w:rFonts w:ascii="Times New Roman" w:eastAsia="PMingLiU" w:hAnsi="Times New Roman"/>
                <w:sz w:val="18"/>
                <w:szCs w:val="18"/>
              </w:rPr>
            </w:pPr>
            <w:r>
              <w:rPr>
                <w:rFonts w:ascii="Times New Roman" w:hAnsi="Times New Roman"/>
                <w:sz w:val="18"/>
                <w:szCs w:val="18"/>
              </w:rPr>
              <w:lastRenderedPageBreak/>
              <w:t>2430</w:t>
            </w:r>
          </w:p>
        </w:tc>
        <w:tc>
          <w:tcPr>
            <w:tcW w:w="7371" w:type="dxa"/>
            <w:shd w:val="clear" w:color="auto" w:fill="FFFFFF"/>
          </w:tcPr>
          <w:p w14:paraId="649363D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aktywa poziomu 1: obligacje zabezpieczone charakteryzujące się wyjątkowo wysoką jakością</w:t>
            </w:r>
          </w:p>
          <w:p w14:paraId="056A1743" w14:textId="77777777" w:rsidR="001A0B09" w:rsidRDefault="001A0B09">
            <w:pPr>
              <w:spacing w:before="0" w:after="0"/>
              <w:ind w:left="28"/>
              <w:rPr>
                <w:rFonts w:ascii="Times New Roman" w:eastAsia="PMingLiU" w:hAnsi="Times New Roman"/>
                <w:b/>
                <w:sz w:val="18"/>
                <w:szCs w:val="18"/>
              </w:rPr>
            </w:pPr>
          </w:p>
          <w:p w14:paraId="520B1BE3"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(będące przedmiotem udzielonej pożyczki) na aktywa poziomu 1: obligacje zabezpieczone charakteryzujące się wyjątkowo wysoką jakością (będące przedmiotem zaciągniętej pożyczki).</w:t>
            </w:r>
          </w:p>
          <w:p w14:paraId="0F39B64C" w14:textId="77777777" w:rsidR="001A0B09" w:rsidRDefault="001A0B09">
            <w:pPr>
              <w:spacing w:before="0" w:after="0"/>
              <w:ind w:left="28"/>
              <w:rPr>
                <w:rFonts w:ascii="Times New Roman" w:eastAsia="PMingLiU" w:hAnsi="Times New Roman"/>
                <w:szCs w:val="18"/>
              </w:rPr>
            </w:pPr>
          </w:p>
        </w:tc>
      </w:tr>
      <w:tr w:rsidR="001A0B09" w14:paraId="0CBD6D96" w14:textId="77777777" w:rsidTr="0039321F">
        <w:tc>
          <w:tcPr>
            <w:tcW w:w="703" w:type="dxa"/>
            <w:shd w:val="clear" w:color="auto" w:fill="FFFFFF"/>
            <w:vAlign w:val="center"/>
          </w:tcPr>
          <w:p w14:paraId="6343D7FE" w14:textId="65EDB664" w:rsidR="001A0B09" w:rsidRDefault="008D0A41">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w tym: zabezpieczenie będące przedmiotem wymiany spełnia wymogi operacyjne</w:t>
            </w:r>
          </w:p>
          <w:p w14:paraId="7F4A21A7" w14:textId="77777777" w:rsidR="001A0B09" w:rsidRDefault="001A0B09">
            <w:pPr>
              <w:spacing w:before="0" w:after="0"/>
              <w:ind w:left="28"/>
              <w:rPr>
                <w:rFonts w:ascii="Times New Roman" w:eastAsia="PMingLiU" w:hAnsi="Times New Roman"/>
                <w:b/>
                <w:bCs/>
                <w:sz w:val="18"/>
                <w:szCs w:val="18"/>
              </w:rPr>
            </w:pPr>
          </w:p>
          <w:p w14:paraId="59FA0AFD"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2.7.2. instytucje kredytowe zgłaszają:</w:t>
            </w:r>
          </w:p>
          <w:p w14:paraId="6884678C" w14:textId="77777777" w:rsidR="001A0B09" w:rsidRDefault="001A0B09">
            <w:pPr>
              <w:spacing w:before="0" w:after="0"/>
              <w:ind w:left="28"/>
              <w:rPr>
                <w:rFonts w:ascii="Times New Roman" w:hAnsi="Times New Roman"/>
                <w:sz w:val="18"/>
              </w:rPr>
            </w:pPr>
          </w:p>
          <w:p w14:paraId="3A854552" w14:textId="7025B44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25C11E00" w14:textId="77777777" w:rsidR="001A0B09" w:rsidRDefault="001A0B09">
            <w:pPr>
              <w:spacing w:before="0" w:after="0"/>
              <w:ind w:left="748"/>
              <w:rPr>
                <w:rFonts w:ascii="Times New Roman" w:eastAsia="PMingLiU" w:hAnsi="Times New Roman"/>
                <w:b/>
                <w:bCs/>
                <w:sz w:val="18"/>
                <w:szCs w:val="18"/>
              </w:rPr>
            </w:pPr>
          </w:p>
          <w:p w14:paraId="7CA8BD37" w14:textId="71828F77"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706FD14D" w14:textId="77777777" w:rsidR="001A0B09" w:rsidRDefault="001A0B09">
            <w:pPr>
              <w:spacing w:before="0" w:after="0"/>
              <w:ind w:left="28"/>
              <w:rPr>
                <w:rFonts w:ascii="Times New Roman" w:eastAsia="PMingLiU" w:hAnsi="Times New Roman"/>
                <w:b/>
                <w:bCs/>
                <w:sz w:val="18"/>
                <w:szCs w:val="18"/>
              </w:rPr>
            </w:pPr>
          </w:p>
        </w:tc>
      </w:tr>
      <w:tr w:rsidR="001A0B09" w14:paraId="5F8F6AC6" w14:textId="77777777" w:rsidTr="0039321F">
        <w:tc>
          <w:tcPr>
            <w:tcW w:w="703" w:type="dxa"/>
            <w:shd w:val="clear" w:color="auto" w:fill="FFFFFF"/>
            <w:vAlign w:val="center"/>
          </w:tcPr>
          <w:p w14:paraId="5A21DBA6" w14:textId="6B7B0AB8" w:rsidR="001A0B09"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aktywa poziomu 2A</w:t>
            </w:r>
          </w:p>
          <w:p w14:paraId="3931076B" w14:textId="77777777" w:rsidR="001A0B09" w:rsidRDefault="001A0B09">
            <w:pPr>
              <w:spacing w:before="0" w:after="0"/>
              <w:ind w:left="28"/>
              <w:rPr>
                <w:rFonts w:ascii="Times New Roman" w:eastAsia="PMingLiU" w:hAnsi="Times New Roman"/>
                <w:b/>
                <w:sz w:val="18"/>
                <w:szCs w:val="18"/>
              </w:rPr>
            </w:pPr>
          </w:p>
          <w:p w14:paraId="28F65669"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(będące przedmiotem udzielonej pożyczki) na aktywa poziomu 2A (będące przedmiotem zaciągniętej pożyczki).</w:t>
            </w:r>
          </w:p>
          <w:p w14:paraId="0D5DB903" w14:textId="77777777" w:rsidR="001A0B09" w:rsidRDefault="001A0B09">
            <w:pPr>
              <w:spacing w:before="0" w:after="0"/>
              <w:ind w:left="28"/>
              <w:rPr>
                <w:rFonts w:ascii="Times New Roman" w:eastAsia="PMingLiU" w:hAnsi="Times New Roman"/>
                <w:szCs w:val="18"/>
              </w:rPr>
            </w:pPr>
          </w:p>
        </w:tc>
      </w:tr>
      <w:tr w:rsidR="001A0B09" w14:paraId="3D2FD04C" w14:textId="77777777" w:rsidTr="0039321F">
        <w:tc>
          <w:tcPr>
            <w:tcW w:w="703" w:type="dxa"/>
            <w:shd w:val="clear" w:color="auto" w:fill="FFFFFF"/>
            <w:vAlign w:val="center"/>
          </w:tcPr>
          <w:p w14:paraId="1C002119" w14:textId="6A57205D" w:rsidR="001A0B09"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w tym: zabezpieczenie będące przedmiotem wymiany spełnia wymogi operacyjne</w:t>
            </w:r>
          </w:p>
          <w:p w14:paraId="1589E699" w14:textId="77777777" w:rsidR="001A0B09" w:rsidRDefault="001A0B09">
            <w:pPr>
              <w:spacing w:before="0" w:after="0"/>
              <w:ind w:left="28"/>
              <w:rPr>
                <w:rFonts w:ascii="Times New Roman" w:eastAsia="PMingLiU" w:hAnsi="Times New Roman"/>
                <w:b/>
                <w:bCs/>
                <w:sz w:val="18"/>
                <w:szCs w:val="18"/>
              </w:rPr>
            </w:pPr>
          </w:p>
          <w:p w14:paraId="66602EFB"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2.7.3. instytucje kredytowe zgłaszają:</w:t>
            </w:r>
          </w:p>
          <w:p w14:paraId="12F74441" w14:textId="77777777" w:rsidR="001A0B09" w:rsidRDefault="001A0B09">
            <w:pPr>
              <w:spacing w:before="0" w:after="0"/>
              <w:ind w:left="28"/>
              <w:rPr>
                <w:rFonts w:ascii="Times New Roman" w:hAnsi="Times New Roman"/>
                <w:sz w:val="18"/>
              </w:rPr>
            </w:pPr>
          </w:p>
          <w:p w14:paraId="330228C3" w14:textId="3863D15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4E28EB0" w14:textId="77777777" w:rsidR="001A0B09" w:rsidRDefault="001A0B09">
            <w:pPr>
              <w:spacing w:before="0" w:after="0"/>
              <w:ind w:left="748"/>
              <w:rPr>
                <w:rFonts w:ascii="Times New Roman" w:eastAsia="PMingLiU" w:hAnsi="Times New Roman"/>
                <w:b/>
                <w:bCs/>
                <w:sz w:val="18"/>
                <w:szCs w:val="18"/>
              </w:rPr>
            </w:pPr>
          </w:p>
          <w:p w14:paraId="3288EB93" w14:textId="686353F1"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9C24722" w14:textId="77777777" w:rsidR="001A0B09" w:rsidRDefault="001A0B09">
            <w:pPr>
              <w:spacing w:before="0" w:after="0"/>
              <w:ind w:left="28"/>
              <w:rPr>
                <w:rFonts w:ascii="Times New Roman" w:eastAsia="PMingLiU" w:hAnsi="Times New Roman"/>
                <w:b/>
                <w:bCs/>
                <w:sz w:val="18"/>
                <w:szCs w:val="18"/>
              </w:rPr>
            </w:pPr>
          </w:p>
        </w:tc>
      </w:tr>
      <w:tr w:rsidR="001A0B09" w14:paraId="5F54B96A" w14:textId="77777777" w:rsidTr="0039321F">
        <w:tc>
          <w:tcPr>
            <w:tcW w:w="703" w:type="dxa"/>
            <w:shd w:val="clear" w:color="auto" w:fill="FFFFFF"/>
            <w:vAlign w:val="center"/>
          </w:tcPr>
          <w:p w14:paraId="6E56D17E" w14:textId="2B8182CD" w:rsidR="001A0B09"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aktywa poziomu 2B: papiery wartościowe zabezpieczone aktywami (kredyty na nieruchomości mieszkalne lub na zakup samochodów, CQS1)</w:t>
            </w:r>
          </w:p>
          <w:p w14:paraId="58511943" w14:textId="77777777" w:rsidR="001A0B09" w:rsidRDefault="001A0B09">
            <w:pPr>
              <w:spacing w:before="0" w:after="0"/>
              <w:ind w:left="28"/>
              <w:rPr>
                <w:rFonts w:ascii="Times New Roman" w:eastAsia="PMingLiU" w:hAnsi="Times New Roman"/>
                <w:b/>
                <w:sz w:val="18"/>
                <w:szCs w:val="18"/>
              </w:rPr>
            </w:pPr>
          </w:p>
          <w:p w14:paraId="3A4301C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 xml:space="preserve">(będące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37A8BC83" w14:textId="77777777" w:rsidR="001A0B09" w:rsidRDefault="001A0B09">
            <w:pPr>
              <w:spacing w:before="0" w:after="0"/>
              <w:ind w:left="28"/>
              <w:rPr>
                <w:rFonts w:ascii="Times New Roman" w:eastAsia="PMingLiU" w:hAnsi="Times New Roman"/>
                <w:szCs w:val="18"/>
              </w:rPr>
            </w:pPr>
          </w:p>
        </w:tc>
      </w:tr>
      <w:tr w:rsidR="001A0B09" w14:paraId="5F1D1D36" w14:textId="77777777" w:rsidTr="0039321F">
        <w:tc>
          <w:tcPr>
            <w:tcW w:w="703" w:type="dxa"/>
            <w:shd w:val="clear" w:color="auto" w:fill="FFFFFF"/>
            <w:vAlign w:val="center"/>
          </w:tcPr>
          <w:p w14:paraId="505A10D1" w14:textId="2283C558" w:rsidR="001A0B09"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w tym: zabezpieczenie będące przedmiotem wymiany spełnia wymogi operacyjne</w:t>
            </w:r>
          </w:p>
          <w:p w14:paraId="0D8E7AD6" w14:textId="77777777" w:rsidR="001A0B09" w:rsidRDefault="001A0B09">
            <w:pPr>
              <w:spacing w:before="0" w:after="0"/>
              <w:ind w:left="28"/>
              <w:rPr>
                <w:rFonts w:ascii="Times New Roman" w:eastAsia="PMingLiU" w:hAnsi="Times New Roman"/>
                <w:b/>
                <w:bCs/>
                <w:sz w:val="18"/>
                <w:szCs w:val="18"/>
              </w:rPr>
            </w:pPr>
          </w:p>
          <w:p w14:paraId="2E0B0F80"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2.7.4. instytucje kredytowe zgłaszają:</w:t>
            </w:r>
          </w:p>
          <w:p w14:paraId="795E7E55" w14:textId="77777777" w:rsidR="001A0B09" w:rsidRDefault="001A0B09">
            <w:pPr>
              <w:spacing w:before="0" w:after="0"/>
              <w:ind w:left="28"/>
              <w:rPr>
                <w:rFonts w:ascii="Times New Roman" w:hAnsi="Times New Roman"/>
                <w:sz w:val="18"/>
              </w:rPr>
            </w:pPr>
          </w:p>
          <w:p w14:paraId="3921851B" w14:textId="551431AE"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55FC2AF5" w14:textId="77777777" w:rsidR="001A0B09" w:rsidRDefault="001A0B09">
            <w:pPr>
              <w:spacing w:before="0" w:after="0"/>
              <w:ind w:left="748"/>
              <w:rPr>
                <w:rFonts w:ascii="Times New Roman" w:eastAsia="PMingLiU" w:hAnsi="Times New Roman"/>
                <w:b/>
                <w:bCs/>
                <w:sz w:val="18"/>
                <w:szCs w:val="18"/>
              </w:rPr>
            </w:pPr>
          </w:p>
          <w:p w14:paraId="4608E427" w14:textId="02C2CE6F"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5E257C44" w14:textId="77777777" w:rsidR="001A0B09" w:rsidRDefault="001A0B09">
            <w:pPr>
              <w:spacing w:before="0" w:after="0"/>
              <w:ind w:left="28"/>
              <w:rPr>
                <w:rFonts w:ascii="Times New Roman" w:eastAsia="PMingLiU" w:hAnsi="Times New Roman"/>
                <w:b/>
                <w:bCs/>
                <w:sz w:val="18"/>
                <w:szCs w:val="18"/>
              </w:rPr>
            </w:pPr>
          </w:p>
        </w:tc>
      </w:tr>
      <w:tr w:rsidR="001A0B09" w14:paraId="630199F8" w14:textId="77777777" w:rsidTr="0039321F">
        <w:tc>
          <w:tcPr>
            <w:tcW w:w="703" w:type="dxa"/>
            <w:shd w:val="clear" w:color="auto" w:fill="FFFFFF"/>
            <w:vAlign w:val="center"/>
          </w:tcPr>
          <w:p w14:paraId="7AF678A8" w14:textId="343696C3" w:rsidR="001A0B09"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aktywa poziomu 2B: obligacje zabezpieczone charakteryzujące się wysoką jakością</w:t>
            </w:r>
          </w:p>
          <w:p w14:paraId="29742683" w14:textId="77777777" w:rsidR="001A0B09" w:rsidRDefault="001A0B09">
            <w:pPr>
              <w:spacing w:before="0" w:after="0"/>
              <w:ind w:left="28"/>
              <w:rPr>
                <w:rFonts w:ascii="Times New Roman" w:eastAsia="PMingLiU" w:hAnsi="Times New Roman"/>
                <w:b/>
                <w:sz w:val="18"/>
                <w:szCs w:val="18"/>
              </w:rPr>
            </w:pPr>
          </w:p>
          <w:p w14:paraId="67F642C2"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inne </w:t>
            </w:r>
            <w:r>
              <w:rPr>
                <w:rFonts w:ascii="Times New Roman" w:hAnsi="Times New Roman"/>
                <w:sz w:val="18"/>
                <w:szCs w:val="18"/>
              </w:rPr>
              <w:t>aktywa poziomu 2B</w:t>
            </w:r>
            <w:r>
              <w:rPr>
                <w:rFonts w:ascii="Times New Roman" w:hAnsi="Times New Roman"/>
                <w:bCs/>
                <w:sz w:val="18"/>
                <w:szCs w:val="18"/>
              </w:rPr>
              <w:t xml:space="preserve"> (będące przedmiotem udzielonej pożyczki) na aktywa poziomu 2B w postaci obligacji zabezpieczonych charakteryzujących się wysoką jakością (będące przedmiotem zaciągniętej pożyczki).</w:t>
            </w:r>
          </w:p>
          <w:p w14:paraId="6D6BFE24" w14:textId="77777777" w:rsidR="001A0B09" w:rsidRDefault="001A0B09">
            <w:pPr>
              <w:spacing w:before="0" w:after="0"/>
              <w:ind w:left="28"/>
              <w:rPr>
                <w:rFonts w:ascii="Times New Roman" w:eastAsia="PMingLiU" w:hAnsi="Times New Roman"/>
                <w:sz w:val="18"/>
                <w:szCs w:val="18"/>
              </w:rPr>
            </w:pPr>
          </w:p>
        </w:tc>
      </w:tr>
      <w:tr w:rsidR="001A0B09" w14:paraId="30F706C2" w14:textId="77777777" w:rsidTr="0039321F">
        <w:tc>
          <w:tcPr>
            <w:tcW w:w="703" w:type="dxa"/>
            <w:shd w:val="clear" w:color="auto" w:fill="FFFFFF"/>
            <w:vAlign w:val="center"/>
          </w:tcPr>
          <w:p w14:paraId="4F7CB8B4" w14:textId="2D428FDB" w:rsidR="001A0B09"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w tym: zabezpieczenie będące przedmiotem wymiany spełnia wymogi operacyjne</w:t>
            </w:r>
          </w:p>
          <w:p w14:paraId="2581752B" w14:textId="77777777" w:rsidR="001A0B09" w:rsidRDefault="001A0B09">
            <w:pPr>
              <w:spacing w:before="0" w:after="0"/>
              <w:ind w:left="28"/>
              <w:rPr>
                <w:rFonts w:ascii="Times New Roman" w:eastAsia="PMingLiU" w:hAnsi="Times New Roman"/>
                <w:b/>
                <w:bCs/>
                <w:sz w:val="18"/>
                <w:szCs w:val="18"/>
              </w:rPr>
            </w:pPr>
          </w:p>
          <w:p w14:paraId="7278C650"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2.7.5. instytucje kredytowe zgłaszają:</w:t>
            </w:r>
          </w:p>
          <w:p w14:paraId="1E5CE725" w14:textId="77777777" w:rsidR="001A0B09" w:rsidRDefault="001A0B09">
            <w:pPr>
              <w:spacing w:before="0" w:after="0"/>
              <w:ind w:left="28"/>
              <w:rPr>
                <w:rFonts w:ascii="Times New Roman" w:hAnsi="Times New Roman"/>
                <w:sz w:val="18"/>
              </w:rPr>
            </w:pPr>
          </w:p>
          <w:p w14:paraId="6D1C487C" w14:textId="7B21540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składnik zabezpieczenia będącego przedmiotem udzielonej pożyczki, który </w:t>
            </w:r>
            <w:r>
              <w:rPr>
                <w:rFonts w:ascii="Times New Roman" w:hAnsi="Times New Roman"/>
                <w:sz w:val="18"/>
              </w:rPr>
              <w:lastRenderedPageBreak/>
              <w:t>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7115B946" w14:textId="77777777" w:rsidR="001A0B09" w:rsidRDefault="001A0B09">
            <w:pPr>
              <w:spacing w:before="0" w:after="0"/>
              <w:ind w:left="748"/>
              <w:rPr>
                <w:rFonts w:ascii="Times New Roman" w:eastAsia="PMingLiU" w:hAnsi="Times New Roman"/>
                <w:b/>
                <w:bCs/>
                <w:sz w:val="18"/>
                <w:szCs w:val="18"/>
              </w:rPr>
            </w:pPr>
          </w:p>
          <w:p w14:paraId="6971B8EC" w14:textId="48A08D0B"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AD037BC" w14:textId="77777777" w:rsidR="001A0B09" w:rsidRDefault="001A0B09">
            <w:pPr>
              <w:spacing w:before="0" w:after="0"/>
              <w:ind w:left="28"/>
              <w:rPr>
                <w:rFonts w:ascii="Times New Roman" w:eastAsia="PMingLiU" w:hAnsi="Times New Roman"/>
                <w:b/>
                <w:bCs/>
                <w:sz w:val="18"/>
                <w:szCs w:val="18"/>
              </w:rPr>
            </w:pPr>
          </w:p>
        </w:tc>
      </w:tr>
      <w:tr w:rsidR="001A0B09" w14:paraId="1D684A24" w14:textId="77777777" w:rsidTr="0039321F">
        <w:tc>
          <w:tcPr>
            <w:tcW w:w="703" w:type="dxa"/>
            <w:shd w:val="clear" w:color="auto" w:fill="FFFFFF"/>
            <w:vAlign w:val="center"/>
          </w:tcPr>
          <w:p w14:paraId="0FCB03B1" w14:textId="6D95964E" w:rsidR="001A0B09" w:rsidRDefault="008D0A41">
            <w:pPr>
              <w:rPr>
                <w:rFonts w:ascii="Times New Roman" w:eastAsia="PMingLiU" w:hAnsi="Times New Roman"/>
                <w:sz w:val="18"/>
                <w:szCs w:val="18"/>
              </w:rPr>
            </w:pPr>
            <w:r>
              <w:rPr>
                <w:rFonts w:ascii="Times New Roman" w:hAnsi="Times New Roman"/>
                <w:sz w:val="18"/>
                <w:szCs w:val="18"/>
              </w:rPr>
              <w:lastRenderedPageBreak/>
              <w:t>2510</w:t>
            </w:r>
          </w:p>
        </w:tc>
        <w:tc>
          <w:tcPr>
            <w:tcW w:w="7371" w:type="dxa"/>
            <w:shd w:val="clear" w:color="auto" w:fill="FFFFFF"/>
          </w:tcPr>
          <w:p w14:paraId="7A594E2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aktywa poziomu 2B: papiery wartościowe zabezpieczone aktywami (kredyty komercyjne lub dla osób fizycznych, państwo członkowskie, CQS1)</w:t>
            </w:r>
          </w:p>
          <w:p w14:paraId="4F18187E" w14:textId="77777777" w:rsidR="001A0B09" w:rsidRDefault="001A0B09">
            <w:pPr>
              <w:spacing w:before="0" w:after="0"/>
              <w:ind w:left="28"/>
              <w:rPr>
                <w:rFonts w:ascii="Times New Roman" w:eastAsia="PMingLiU" w:hAnsi="Times New Roman"/>
                <w:b/>
                <w:sz w:val="18"/>
                <w:szCs w:val="18"/>
              </w:rPr>
            </w:pPr>
          </w:p>
          <w:p w14:paraId="6A706A05"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 xml:space="preserve">(będące przedmiotem udzielonej pożyczki) na </w:t>
            </w:r>
            <w:r>
              <w:rPr>
                <w:rFonts w:ascii="Times New Roman" w:hAnsi="Times New Roman"/>
                <w:sz w:val="18"/>
                <w:szCs w:val="18"/>
              </w:rPr>
              <w:t>aktywa poziomu 2B: papiery wartościowe zabezpieczone aktywami (kredyty komercyjne lub dla osób fizycznych, państwo członkowskie, CQS1)</w:t>
            </w:r>
            <w:r>
              <w:rPr>
                <w:rFonts w:ascii="Times New Roman" w:hAnsi="Times New Roman"/>
                <w:bCs/>
                <w:sz w:val="18"/>
                <w:szCs w:val="18"/>
              </w:rPr>
              <w:t xml:space="preserve"> (będące przedmiotem zaciągniętej pożyczki).</w:t>
            </w:r>
          </w:p>
          <w:p w14:paraId="75A03042" w14:textId="77777777" w:rsidR="001A0B09" w:rsidRDefault="001A0B09">
            <w:pPr>
              <w:spacing w:before="0" w:after="0"/>
              <w:ind w:left="28"/>
              <w:rPr>
                <w:rFonts w:ascii="Times New Roman" w:eastAsia="PMingLiU" w:hAnsi="Times New Roman"/>
                <w:sz w:val="18"/>
                <w:szCs w:val="18"/>
              </w:rPr>
            </w:pPr>
          </w:p>
        </w:tc>
      </w:tr>
      <w:tr w:rsidR="001A0B09" w14:paraId="6BB57182" w14:textId="77777777" w:rsidTr="0039321F">
        <w:tc>
          <w:tcPr>
            <w:tcW w:w="703" w:type="dxa"/>
            <w:shd w:val="clear" w:color="auto" w:fill="FFFFFF"/>
            <w:vAlign w:val="center"/>
          </w:tcPr>
          <w:p w14:paraId="44F10BCA" w14:textId="1EB40EB2" w:rsidR="001A0B09" w:rsidRDefault="008D0A41">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w tym: zabezpieczenie będące przedmiotem wymiany spełnia wymogi operacyjne</w:t>
            </w:r>
          </w:p>
          <w:p w14:paraId="29393F38" w14:textId="77777777" w:rsidR="001A0B09" w:rsidRDefault="001A0B09">
            <w:pPr>
              <w:spacing w:before="0" w:after="0"/>
              <w:ind w:left="28"/>
              <w:rPr>
                <w:rFonts w:ascii="Times New Roman" w:eastAsia="PMingLiU" w:hAnsi="Times New Roman"/>
                <w:b/>
                <w:bCs/>
                <w:sz w:val="18"/>
                <w:szCs w:val="18"/>
              </w:rPr>
            </w:pPr>
          </w:p>
          <w:p w14:paraId="143B1F16"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2.7.6. instytucje kredytowe zgłaszają:</w:t>
            </w:r>
          </w:p>
          <w:p w14:paraId="3B245D5E" w14:textId="77777777" w:rsidR="001A0B09" w:rsidRDefault="001A0B09">
            <w:pPr>
              <w:spacing w:before="0" w:after="0"/>
              <w:ind w:left="28"/>
              <w:rPr>
                <w:rFonts w:ascii="Times New Roman" w:hAnsi="Times New Roman"/>
                <w:sz w:val="18"/>
              </w:rPr>
            </w:pPr>
          </w:p>
          <w:p w14:paraId="7D1EB8D6" w14:textId="02E7D27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EA5D3D8" w14:textId="77777777" w:rsidR="001A0B09" w:rsidRDefault="001A0B09">
            <w:pPr>
              <w:spacing w:before="0" w:after="0"/>
              <w:ind w:left="748"/>
              <w:rPr>
                <w:rFonts w:ascii="Times New Roman" w:eastAsia="PMingLiU" w:hAnsi="Times New Roman"/>
                <w:b/>
                <w:bCs/>
                <w:sz w:val="18"/>
                <w:szCs w:val="18"/>
              </w:rPr>
            </w:pPr>
          </w:p>
          <w:p w14:paraId="5ABCC0BC" w14:textId="70283779"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163AE024" w14:textId="77777777" w:rsidR="001A0B09" w:rsidRDefault="001A0B09">
            <w:pPr>
              <w:spacing w:before="0" w:after="0"/>
              <w:ind w:left="28"/>
              <w:rPr>
                <w:rFonts w:ascii="Times New Roman" w:eastAsia="PMingLiU" w:hAnsi="Times New Roman"/>
                <w:b/>
                <w:bCs/>
                <w:sz w:val="18"/>
                <w:szCs w:val="18"/>
              </w:rPr>
            </w:pPr>
          </w:p>
        </w:tc>
      </w:tr>
      <w:tr w:rsidR="001A0B09" w14:paraId="3AA69F98" w14:textId="77777777" w:rsidTr="0039321F">
        <w:tc>
          <w:tcPr>
            <w:tcW w:w="703" w:type="dxa"/>
            <w:shd w:val="clear" w:color="auto" w:fill="FFFFFF"/>
            <w:vAlign w:val="center"/>
          </w:tcPr>
          <w:p w14:paraId="2AD07D6B" w14:textId="7CA48CEA" w:rsidR="001A0B09"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inne aktywa poziomu 2B</w:t>
            </w:r>
          </w:p>
          <w:p w14:paraId="05EC1351" w14:textId="77777777" w:rsidR="001A0B09" w:rsidRDefault="001A0B09">
            <w:pPr>
              <w:spacing w:before="0" w:after="0"/>
              <w:ind w:left="28"/>
              <w:rPr>
                <w:rFonts w:ascii="Times New Roman" w:eastAsia="PMingLiU" w:hAnsi="Times New Roman"/>
                <w:b/>
                <w:sz w:val="18"/>
                <w:szCs w:val="18"/>
              </w:rPr>
            </w:pPr>
          </w:p>
          <w:p w14:paraId="4CADC7F1"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inne </w:t>
            </w:r>
            <w:r>
              <w:rPr>
                <w:rFonts w:ascii="Times New Roman" w:hAnsi="Times New Roman"/>
                <w:sz w:val="18"/>
                <w:szCs w:val="18"/>
              </w:rPr>
              <w:t xml:space="preserve">aktywa poziomu 2B </w:t>
            </w:r>
            <w:r>
              <w:rPr>
                <w:rFonts w:ascii="Times New Roman" w:hAnsi="Times New Roman"/>
                <w:bCs/>
                <w:sz w:val="18"/>
                <w:szCs w:val="18"/>
              </w:rPr>
              <w:t xml:space="preserve">(będące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41DC4743" w14:textId="77777777" w:rsidR="001A0B09" w:rsidRDefault="001A0B09">
            <w:pPr>
              <w:spacing w:before="0" w:after="0"/>
              <w:ind w:left="28"/>
              <w:rPr>
                <w:rFonts w:ascii="Times New Roman" w:eastAsia="PMingLiU" w:hAnsi="Times New Roman"/>
                <w:sz w:val="18"/>
                <w:szCs w:val="18"/>
              </w:rPr>
            </w:pPr>
          </w:p>
        </w:tc>
      </w:tr>
      <w:tr w:rsidR="001A0B09" w14:paraId="2DB5E669" w14:textId="77777777" w:rsidTr="0039321F">
        <w:tc>
          <w:tcPr>
            <w:tcW w:w="703" w:type="dxa"/>
            <w:shd w:val="clear" w:color="auto" w:fill="FFFFFF"/>
            <w:vAlign w:val="center"/>
          </w:tcPr>
          <w:p w14:paraId="25456449" w14:textId="4FBEED6F" w:rsidR="001A0B09"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w tym: zabezpieczenie będące przedmiotem wymiany spełnia wymogi operacyjne</w:t>
            </w:r>
          </w:p>
          <w:p w14:paraId="11336D54" w14:textId="77777777" w:rsidR="001A0B09" w:rsidRDefault="001A0B09">
            <w:pPr>
              <w:spacing w:before="0" w:after="0"/>
              <w:ind w:left="28"/>
              <w:rPr>
                <w:rFonts w:ascii="Times New Roman" w:eastAsia="PMingLiU" w:hAnsi="Times New Roman"/>
                <w:b/>
                <w:bCs/>
                <w:sz w:val="18"/>
                <w:szCs w:val="18"/>
              </w:rPr>
            </w:pPr>
          </w:p>
          <w:p w14:paraId="7CF5D87F" w14:textId="77777777" w:rsidR="001A0B09" w:rsidRDefault="00F71050">
            <w:pPr>
              <w:spacing w:before="0" w:after="0"/>
              <w:ind w:left="28"/>
              <w:rPr>
                <w:rFonts w:ascii="Times New Roman" w:hAnsi="Times New Roman"/>
                <w:sz w:val="18"/>
              </w:rPr>
            </w:pPr>
            <w:r>
              <w:rPr>
                <w:rFonts w:ascii="Times New Roman" w:hAnsi="Times New Roman"/>
                <w:sz w:val="18"/>
              </w:rPr>
              <w:t>Spośród transakcji w pozycji 2.7.7. instytucje kredytowe zgłaszają:</w:t>
            </w:r>
          </w:p>
          <w:p w14:paraId="7E7F8E0C" w14:textId="77777777" w:rsidR="001A0B09" w:rsidRDefault="001A0B09">
            <w:pPr>
              <w:spacing w:before="0" w:after="0"/>
              <w:ind w:left="28"/>
              <w:rPr>
                <w:rFonts w:ascii="Times New Roman" w:hAnsi="Times New Roman"/>
                <w:sz w:val="18"/>
              </w:rPr>
            </w:pPr>
          </w:p>
          <w:p w14:paraId="7E7963C2" w14:textId="10F33E80"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 oraz</w:t>
            </w:r>
          </w:p>
          <w:p w14:paraId="11F4FDFE" w14:textId="77777777" w:rsidR="001A0B09" w:rsidRDefault="001A0B09">
            <w:pPr>
              <w:spacing w:before="0" w:after="0"/>
              <w:ind w:left="748"/>
              <w:rPr>
                <w:rFonts w:ascii="Times New Roman" w:eastAsia="PMingLiU" w:hAnsi="Times New Roman"/>
                <w:b/>
                <w:bCs/>
                <w:sz w:val="18"/>
                <w:szCs w:val="18"/>
              </w:rPr>
            </w:pPr>
          </w:p>
          <w:p w14:paraId="7EC0BE21" w14:textId="5EB1801A" w:rsidR="001A0B0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składnik zabezpieczenia będącego przedmiotem zaciągniętej pożyczki, jeżeli spełnia wymagania operacyjne określone w art. 8 rozporządzenia delegowanego (UE) 2015/61.</w:t>
            </w:r>
          </w:p>
          <w:p w14:paraId="434AF56B" w14:textId="77777777" w:rsidR="001A0B09" w:rsidRDefault="001A0B09">
            <w:pPr>
              <w:spacing w:before="0" w:after="0"/>
              <w:ind w:left="28"/>
              <w:rPr>
                <w:rFonts w:ascii="Times New Roman" w:eastAsia="PMingLiU" w:hAnsi="Times New Roman"/>
                <w:b/>
                <w:bCs/>
                <w:sz w:val="18"/>
                <w:szCs w:val="18"/>
              </w:rPr>
            </w:pPr>
          </w:p>
        </w:tc>
      </w:tr>
      <w:tr w:rsidR="001A0B09" w14:paraId="101341A9" w14:textId="77777777" w:rsidTr="0039321F">
        <w:tc>
          <w:tcPr>
            <w:tcW w:w="703" w:type="dxa"/>
            <w:shd w:val="clear" w:color="auto" w:fill="FFFFFF"/>
            <w:vAlign w:val="center"/>
          </w:tcPr>
          <w:p w14:paraId="36550A22" w14:textId="6AA7A20C" w:rsidR="001A0B09"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aktywa niepłynne</w:t>
            </w:r>
          </w:p>
          <w:p w14:paraId="025E2575" w14:textId="77777777" w:rsidR="001A0B09" w:rsidRDefault="001A0B09">
            <w:pPr>
              <w:spacing w:before="0" w:after="0"/>
              <w:ind w:left="28"/>
              <w:rPr>
                <w:rFonts w:ascii="Times New Roman" w:eastAsia="PMingLiU" w:hAnsi="Times New Roman"/>
                <w:b/>
                <w:sz w:val="18"/>
                <w:szCs w:val="18"/>
              </w:rPr>
            </w:pPr>
          </w:p>
          <w:p w14:paraId="70CFB991"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w:t>
            </w:r>
            <w:r>
              <w:rPr>
                <w:rFonts w:ascii="Times New Roman" w:hAnsi="Times New Roman"/>
                <w:sz w:val="18"/>
                <w:szCs w:val="18"/>
              </w:rPr>
              <w:t xml:space="preserve">inne aktywa poziomu 2B </w:t>
            </w:r>
            <w:r>
              <w:rPr>
                <w:rFonts w:ascii="Times New Roman" w:hAnsi="Times New Roman"/>
                <w:bCs/>
                <w:sz w:val="18"/>
                <w:szCs w:val="18"/>
              </w:rPr>
              <w:t>(będące przedmiotem udzielonej pożyczki) na aktywa niepłynne (będące przedmiotem zaciągniętej pożyczki).</w:t>
            </w:r>
          </w:p>
          <w:p w14:paraId="6C0ED521" w14:textId="77777777" w:rsidR="001A0B09" w:rsidRDefault="001A0B09">
            <w:pPr>
              <w:spacing w:before="0" w:after="0"/>
              <w:ind w:left="28"/>
              <w:rPr>
                <w:rFonts w:ascii="Times New Roman" w:eastAsia="PMingLiU" w:hAnsi="Times New Roman"/>
                <w:sz w:val="18"/>
                <w:szCs w:val="18"/>
              </w:rPr>
            </w:pPr>
          </w:p>
        </w:tc>
      </w:tr>
      <w:tr w:rsidR="001A0B09" w14:paraId="6B7800AF" w14:textId="77777777" w:rsidTr="0039321F">
        <w:tc>
          <w:tcPr>
            <w:tcW w:w="703" w:type="dxa"/>
            <w:shd w:val="clear" w:color="auto" w:fill="auto"/>
            <w:vAlign w:val="center"/>
          </w:tcPr>
          <w:p w14:paraId="4DCAAECF" w14:textId="3C00A7B0" w:rsidR="001A0B09"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w tym: zabezpieczenie będące przedmiotem wymiany spełnia wymogi operacyjne</w:t>
            </w:r>
          </w:p>
          <w:p w14:paraId="07743E01" w14:textId="77777777" w:rsidR="001A0B09" w:rsidRDefault="001A0B09">
            <w:pPr>
              <w:spacing w:before="0" w:after="0"/>
              <w:ind w:left="28"/>
              <w:rPr>
                <w:rFonts w:ascii="Times New Roman" w:eastAsia="PMingLiU" w:hAnsi="Times New Roman"/>
                <w:b/>
                <w:bCs/>
                <w:sz w:val="18"/>
                <w:szCs w:val="18"/>
              </w:rPr>
            </w:pPr>
          </w:p>
          <w:p w14:paraId="117B64A3" w14:textId="52F9F2F5"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2.7.8. instytucje kredytowe zgłaszają składnik zabezpieczenia będącego przedmiotem udzielonej pożyczki, który kwalifikowałby się zgodnie z art. 8</w:t>
            </w:r>
            <w:r>
              <w:rPr>
                <w:rFonts w:ascii="Times New Roman" w:hAnsi="Times New Roman"/>
              </w:rPr>
              <w:t xml:space="preserve"> </w:t>
            </w:r>
            <w:r>
              <w:rPr>
                <w:rFonts w:ascii="Times New Roman" w:hAnsi="Times New Roman"/>
                <w:sz w:val="18"/>
              </w:rPr>
              <w:t>rozporządzenia delegowanego (UE) 2015/61 jako składnik aktywów płynnych, jeżeli nie byłby wykorzystany jako zabezpieczenie dla tych transakcji.</w:t>
            </w:r>
          </w:p>
          <w:p w14:paraId="45D08480" w14:textId="77777777" w:rsidR="001A0B09" w:rsidRDefault="001A0B09">
            <w:pPr>
              <w:spacing w:before="0" w:after="0"/>
              <w:ind w:left="28"/>
              <w:rPr>
                <w:rFonts w:ascii="Times New Roman" w:eastAsia="PMingLiU" w:hAnsi="Times New Roman"/>
                <w:b/>
                <w:bCs/>
                <w:sz w:val="18"/>
                <w:szCs w:val="18"/>
              </w:rPr>
            </w:pPr>
          </w:p>
        </w:tc>
      </w:tr>
      <w:tr w:rsidR="001A0B09" w14:paraId="5C264B05" w14:textId="77777777" w:rsidTr="0039321F">
        <w:tc>
          <w:tcPr>
            <w:tcW w:w="703" w:type="dxa"/>
            <w:shd w:val="clear" w:color="auto" w:fill="auto"/>
            <w:vAlign w:val="center"/>
          </w:tcPr>
          <w:p w14:paraId="75BF1FC6" w14:textId="002DD20C" w:rsidR="001A0B09"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Całkowite wartości transakcji, w których przedmiotem udzielonej pożyczki są aktywa niepłynne, a przedmiotem zaciągniętej pożyczki są następujące rodzaje zabezpieczenia:</w:t>
            </w:r>
          </w:p>
          <w:p w14:paraId="7BA84D22" w14:textId="77777777" w:rsidR="001A0B09" w:rsidRDefault="001A0B09">
            <w:pPr>
              <w:spacing w:before="0" w:after="0"/>
              <w:ind w:left="28"/>
              <w:rPr>
                <w:rFonts w:ascii="Times New Roman" w:eastAsia="PMingLiU" w:hAnsi="Times New Roman"/>
                <w:sz w:val="18"/>
                <w:szCs w:val="18"/>
              </w:rPr>
            </w:pPr>
          </w:p>
          <w:p w14:paraId="02A3FE00" w14:textId="59EA74C6"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 28 ust. 4 i art. 32 ust. 3 rozporządzenia delegowanego (UE) 2015/61.</w:t>
            </w:r>
          </w:p>
          <w:p w14:paraId="68540829" w14:textId="77777777" w:rsidR="001A0B09" w:rsidRDefault="001A0B09">
            <w:pPr>
              <w:spacing w:before="0" w:after="0"/>
              <w:ind w:left="28"/>
              <w:rPr>
                <w:rFonts w:ascii="Times New Roman" w:eastAsia="PMingLiU" w:hAnsi="Times New Roman"/>
                <w:bCs/>
                <w:sz w:val="18"/>
                <w:szCs w:val="18"/>
              </w:rPr>
            </w:pPr>
          </w:p>
          <w:p w14:paraId="7AC9F5A5" w14:textId="77777777" w:rsidR="001A0B09"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W tej sekcji instytucje kredytowe zgłaszają, w odniesieniu do odpowiednich kolumn, całkowite wartości transakcji zabezpieczających swap </w:t>
            </w:r>
            <w:r>
              <w:rPr>
                <w:rFonts w:ascii="Times New Roman" w:hAnsi="Times New Roman"/>
                <w:sz w:val="18"/>
                <w:szCs w:val="18"/>
              </w:rPr>
              <w:t>w ramach transakcji, w których przedmiotem udzielonej pożyczki są aktywa niepłynne.</w:t>
            </w:r>
          </w:p>
          <w:p w14:paraId="30E1A93D" w14:textId="77777777" w:rsidR="001A0B09" w:rsidRDefault="001A0B09">
            <w:pPr>
              <w:spacing w:before="0" w:after="0"/>
              <w:ind w:left="28"/>
              <w:rPr>
                <w:rFonts w:ascii="Times New Roman" w:eastAsia="PMingLiU" w:hAnsi="Times New Roman"/>
                <w:sz w:val="18"/>
                <w:szCs w:val="18"/>
              </w:rPr>
            </w:pPr>
          </w:p>
        </w:tc>
      </w:tr>
      <w:tr w:rsidR="001A0B09" w14:paraId="27C5F9F2" w14:textId="77777777" w:rsidTr="0039321F">
        <w:tc>
          <w:tcPr>
            <w:tcW w:w="703" w:type="dxa"/>
            <w:shd w:val="clear" w:color="auto" w:fill="FFFFFF"/>
            <w:vAlign w:val="center"/>
          </w:tcPr>
          <w:p w14:paraId="4418F20E" w14:textId="78DFD84B" w:rsidR="001A0B09"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1A0B09"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 xml:space="preserve">aktywa poziomu 1 (z wyłączeniem obligacji zabezpieczonych charakteryzujących się </w:t>
            </w:r>
            <w:r>
              <w:rPr>
                <w:rFonts w:ascii="Times New Roman" w:hAnsi="Times New Roman"/>
                <w:b/>
                <w:bCs/>
                <w:sz w:val="18"/>
                <w:szCs w:val="18"/>
              </w:rPr>
              <w:lastRenderedPageBreak/>
              <w:t>wyjątkowo wysoką jakością)</w:t>
            </w:r>
          </w:p>
          <w:p w14:paraId="19E0E9B8" w14:textId="77777777" w:rsidR="001A0B09"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poziomu 1, z wyłączeniem obligacji zabezpieczonych charakteryzujących się wyjątkowo wysoką jakością, (będące przedmiotem zaciągniętej pożyczki).</w:t>
            </w:r>
          </w:p>
          <w:p w14:paraId="6472EB9E" w14:textId="77777777" w:rsidR="001A0B09" w:rsidRDefault="001A0B09">
            <w:pPr>
              <w:autoSpaceDE w:val="0"/>
              <w:autoSpaceDN w:val="0"/>
              <w:adjustRightInd w:val="0"/>
              <w:spacing w:before="0" w:after="0"/>
              <w:rPr>
                <w:rFonts w:ascii="Times New Roman" w:eastAsia="PMingLiU" w:hAnsi="Times New Roman"/>
                <w:sz w:val="18"/>
                <w:szCs w:val="18"/>
              </w:rPr>
            </w:pPr>
          </w:p>
        </w:tc>
      </w:tr>
      <w:tr w:rsidR="001A0B09" w14:paraId="7380E6B6" w14:textId="77777777" w:rsidTr="0039321F">
        <w:tc>
          <w:tcPr>
            <w:tcW w:w="703" w:type="dxa"/>
            <w:shd w:val="clear" w:color="auto" w:fill="FFFFFF"/>
            <w:vAlign w:val="center"/>
          </w:tcPr>
          <w:p w14:paraId="711281D1" w14:textId="3E79AF75" w:rsidR="001A0B09" w:rsidRDefault="008D0A41">
            <w:pPr>
              <w:rPr>
                <w:rFonts w:ascii="Times New Roman" w:eastAsia="PMingLiU" w:hAnsi="Times New Roman"/>
                <w:sz w:val="18"/>
                <w:szCs w:val="18"/>
              </w:rPr>
            </w:pPr>
            <w:r>
              <w:rPr>
                <w:rFonts w:ascii="Times New Roman" w:hAnsi="Times New Roman"/>
                <w:sz w:val="18"/>
                <w:szCs w:val="18"/>
              </w:rPr>
              <w:lastRenderedPageBreak/>
              <w:t>2590</w:t>
            </w:r>
          </w:p>
        </w:tc>
        <w:tc>
          <w:tcPr>
            <w:tcW w:w="7371" w:type="dxa"/>
            <w:shd w:val="clear" w:color="auto" w:fill="FFFFFF"/>
          </w:tcPr>
          <w:p w14:paraId="6E0B2503"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w tym: zabezpieczenie będące przedmiotem wymiany spełnia wymogi operacyjne</w:t>
            </w:r>
          </w:p>
          <w:p w14:paraId="3C97C81F" w14:textId="77777777" w:rsidR="001A0B09" w:rsidRDefault="001A0B09">
            <w:pPr>
              <w:spacing w:before="0" w:after="0"/>
              <w:ind w:left="28"/>
              <w:rPr>
                <w:rFonts w:ascii="Times New Roman" w:eastAsia="PMingLiU" w:hAnsi="Times New Roman"/>
                <w:b/>
                <w:bCs/>
                <w:sz w:val="18"/>
                <w:szCs w:val="18"/>
              </w:rPr>
            </w:pPr>
          </w:p>
          <w:p w14:paraId="25E5139F" w14:textId="128EAC9E"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2.8.1. instytucje kredytowe zgłaszają składnik zabezpieczenia będącego przedmiotem zaciągniętej pożyczki, jeżeli spełnia wymagania operacyjne określone w art. 8 rozporządzenia delegowanego (UE) 2015/61.</w:t>
            </w:r>
          </w:p>
          <w:p w14:paraId="602E83BE" w14:textId="77777777" w:rsidR="001A0B09" w:rsidRDefault="001A0B09">
            <w:pPr>
              <w:spacing w:before="0" w:after="0"/>
              <w:ind w:left="28"/>
              <w:rPr>
                <w:rFonts w:ascii="Times New Roman" w:eastAsia="PMingLiU" w:hAnsi="Times New Roman"/>
                <w:b/>
                <w:bCs/>
                <w:sz w:val="18"/>
                <w:szCs w:val="18"/>
              </w:rPr>
            </w:pPr>
          </w:p>
        </w:tc>
      </w:tr>
      <w:tr w:rsidR="001A0B09" w14:paraId="1BD6E858" w14:textId="77777777" w:rsidTr="0039321F">
        <w:tc>
          <w:tcPr>
            <w:tcW w:w="703" w:type="dxa"/>
            <w:shd w:val="clear" w:color="auto" w:fill="FFFFFF"/>
            <w:vAlign w:val="center"/>
          </w:tcPr>
          <w:p w14:paraId="331FDA64" w14:textId="5D4CE741" w:rsidR="001A0B09"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aktywa poziomu 1: obligacje zabezpieczone charakteryzujące się wyjątkowo wysoką jakością</w:t>
            </w:r>
          </w:p>
          <w:p w14:paraId="61084C66" w14:textId="77777777" w:rsidR="001A0B09" w:rsidRDefault="001A0B09">
            <w:pPr>
              <w:spacing w:before="0" w:after="0"/>
              <w:ind w:left="28"/>
              <w:rPr>
                <w:rFonts w:ascii="Times New Roman" w:eastAsia="PMingLiU" w:hAnsi="Times New Roman"/>
                <w:b/>
                <w:sz w:val="18"/>
                <w:szCs w:val="18"/>
              </w:rPr>
            </w:pPr>
          </w:p>
          <w:p w14:paraId="1667D1A1"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poziomu 1: obligacje zabezpieczone charakteryzujące się wyjątkowo wysoką jakością (będące przedmiotem zaciągniętej pożyczki).</w:t>
            </w:r>
          </w:p>
          <w:p w14:paraId="27E1C889" w14:textId="77777777" w:rsidR="001A0B09" w:rsidRDefault="001A0B09">
            <w:pPr>
              <w:spacing w:before="0" w:after="0"/>
              <w:ind w:left="28"/>
              <w:rPr>
                <w:rFonts w:ascii="Times New Roman" w:eastAsia="PMingLiU" w:hAnsi="Times New Roman"/>
                <w:bCs/>
              </w:rPr>
            </w:pPr>
          </w:p>
        </w:tc>
      </w:tr>
      <w:tr w:rsidR="001A0B09" w14:paraId="71B073E7" w14:textId="77777777" w:rsidTr="0039321F">
        <w:tc>
          <w:tcPr>
            <w:tcW w:w="703" w:type="dxa"/>
            <w:shd w:val="clear" w:color="auto" w:fill="FFFFFF"/>
            <w:vAlign w:val="center"/>
          </w:tcPr>
          <w:p w14:paraId="1E9C30C4" w14:textId="6A509AF4" w:rsidR="001A0B09"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w tym: zabezpieczenie będące przedmiotem wymiany spełnia wymogi operacyjne</w:t>
            </w:r>
          </w:p>
          <w:p w14:paraId="641B319E" w14:textId="77777777" w:rsidR="001A0B09" w:rsidRDefault="001A0B09">
            <w:pPr>
              <w:spacing w:before="0" w:after="0"/>
              <w:ind w:left="28"/>
              <w:rPr>
                <w:rFonts w:ascii="Times New Roman" w:eastAsia="PMingLiU" w:hAnsi="Times New Roman"/>
                <w:b/>
                <w:bCs/>
                <w:sz w:val="18"/>
                <w:szCs w:val="18"/>
              </w:rPr>
            </w:pPr>
          </w:p>
          <w:p w14:paraId="024B633A" w14:textId="0680F754"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2.8.2. instytucje kredytowe zgłaszają składnik zabezpieczenia będącego przedmiotem zaciągniętej pożyczki, jeżeli spełnia wymagania operacyjne określone w art. 8 rozporządzenia delegowanego (UE) 2015/61.</w:t>
            </w:r>
          </w:p>
          <w:p w14:paraId="212A5FF8" w14:textId="77777777" w:rsidR="001A0B09" w:rsidRDefault="001A0B09">
            <w:pPr>
              <w:spacing w:before="0" w:after="0"/>
              <w:ind w:left="28"/>
              <w:rPr>
                <w:rFonts w:ascii="Times New Roman" w:eastAsia="PMingLiU" w:hAnsi="Times New Roman"/>
                <w:b/>
                <w:bCs/>
                <w:sz w:val="18"/>
                <w:szCs w:val="18"/>
              </w:rPr>
            </w:pPr>
          </w:p>
        </w:tc>
      </w:tr>
      <w:tr w:rsidR="001A0B09" w14:paraId="7C89D1FF" w14:textId="77777777" w:rsidTr="0039321F">
        <w:tc>
          <w:tcPr>
            <w:tcW w:w="703" w:type="dxa"/>
            <w:shd w:val="clear" w:color="auto" w:fill="FFFFFF"/>
            <w:vAlign w:val="center"/>
          </w:tcPr>
          <w:p w14:paraId="195B485A" w14:textId="31556386" w:rsidR="001A0B09" w:rsidRDefault="008D0A41">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aktywa poziomu 2A</w:t>
            </w:r>
          </w:p>
          <w:p w14:paraId="5BC3DF11" w14:textId="77777777" w:rsidR="001A0B09" w:rsidRDefault="001A0B09">
            <w:pPr>
              <w:spacing w:before="0" w:after="0"/>
              <w:ind w:left="28"/>
              <w:rPr>
                <w:rFonts w:ascii="Times New Roman" w:eastAsia="PMingLiU" w:hAnsi="Times New Roman"/>
                <w:b/>
                <w:sz w:val="18"/>
                <w:szCs w:val="18"/>
              </w:rPr>
            </w:pPr>
          </w:p>
          <w:p w14:paraId="0451893D"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poziomu 2A (będące przedmiotem zaciągniętej pożyczki).</w:t>
            </w:r>
          </w:p>
          <w:p w14:paraId="470A9884" w14:textId="77777777" w:rsidR="001A0B09" w:rsidRDefault="001A0B09">
            <w:pPr>
              <w:spacing w:before="0" w:after="0"/>
              <w:ind w:left="28"/>
              <w:rPr>
                <w:rFonts w:ascii="Times New Roman" w:eastAsia="PMingLiU" w:hAnsi="Times New Roman"/>
                <w:szCs w:val="18"/>
              </w:rPr>
            </w:pPr>
          </w:p>
        </w:tc>
      </w:tr>
      <w:tr w:rsidR="001A0B09" w14:paraId="4D88DBBE" w14:textId="77777777" w:rsidTr="0039321F">
        <w:tc>
          <w:tcPr>
            <w:tcW w:w="703" w:type="dxa"/>
            <w:shd w:val="clear" w:color="auto" w:fill="FFFFFF"/>
            <w:vAlign w:val="center"/>
          </w:tcPr>
          <w:p w14:paraId="4E4A1FDE" w14:textId="33D7E033" w:rsidR="001A0B09"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w tym: zabezpieczenie będące przedmiotem wymiany spełnia wymogi operacyjne</w:t>
            </w:r>
          </w:p>
          <w:p w14:paraId="265B3F38" w14:textId="77777777" w:rsidR="001A0B09" w:rsidRDefault="001A0B09">
            <w:pPr>
              <w:spacing w:before="0" w:after="0"/>
              <w:ind w:left="28"/>
              <w:rPr>
                <w:rFonts w:ascii="Times New Roman" w:eastAsia="PMingLiU" w:hAnsi="Times New Roman"/>
                <w:b/>
                <w:bCs/>
                <w:sz w:val="18"/>
                <w:szCs w:val="18"/>
              </w:rPr>
            </w:pPr>
          </w:p>
          <w:p w14:paraId="15951FD6" w14:textId="1C9D0166"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2.8.3. instytucje kredytowe zgłaszają składnik zabezpieczenia będącego przedmiotem zaciągniętej pożyczki, jeżeli spełnia wymagania operacyjne określone w art. 8 rozporządzenia delegowanego (UE) 2015/61.</w:t>
            </w:r>
          </w:p>
          <w:p w14:paraId="14F31C14" w14:textId="77777777" w:rsidR="001A0B09" w:rsidRDefault="001A0B09">
            <w:pPr>
              <w:spacing w:before="0" w:after="0"/>
              <w:ind w:left="28"/>
              <w:rPr>
                <w:rFonts w:ascii="Times New Roman" w:eastAsia="PMingLiU" w:hAnsi="Times New Roman"/>
                <w:b/>
                <w:bCs/>
                <w:sz w:val="18"/>
                <w:szCs w:val="18"/>
              </w:rPr>
            </w:pPr>
          </w:p>
        </w:tc>
      </w:tr>
      <w:tr w:rsidR="001A0B09" w14:paraId="58A322C5" w14:textId="77777777" w:rsidTr="0039321F">
        <w:tc>
          <w:tcPr>
            <w:tcW w:w="703" w:type="dxa"/>
            <w:shd w:val="clear" w:color="auto" w:fill="FFFFFF"/>
            <w:vAlign w:val="center"/>
          </w:tcPr>
          <w:p w14:paraId="1662F5DF" w14:textId="7BC0DA2B" w:rsidR="001A0B09"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aktywa poziomu 2B: papiery wartościowe zabezpieczone aktywami (kredyty na nieruchomości mieszkalne lub na zakup samochodów, CQS1)</w:t>
            </w:r>
          </w:p>
          <w:p w14:paraId="428B7D33" w14:textId="77777777" w:rsidR="001A0B09" w:rsidRDefault="001A0B09">
            <w:pPr>
              <w:spacing w:before="0" w:after="0"/>
              <w:ind w:left="28"/>
              <w:rPr>
                <w:rFonts w:ascii="Times New Roman" w:eastAsia="PMingLiU" w:hAnsi="Times New Roman"/>
                <w:b/>
                <w:sz w:val="18"/>
                <w:szCs w:val="18"/>
              </w:rPr>
            </w:pPr>
          </w:p>
          <w:p w14:paraId="7C4EF30D"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niepłynne (będące przedmiotem udzielonej pożyczki) na aktywa poziomu 2B </w:t>
            </w:r>
            <w:r>
              <w:rPr>
                <w:rFonts w:ascii="Times New Roman" w:hAnsi="Times New Roman"/>
                <w:sz w:val="18"/>
                <w:szCs w:val="18"/>
              </w:rPr>
              <w:t>w postaci papierów wartościowych zabezpieczonych aktywami (kredyty na nieruchomości mieszkalne lub na zakup samochodów, CQS1)</w:t>
            </w:r>
            <w:r>
              <w:rPr>
                <w:rFonts w:ascii="Times New Roman" w:hAnsi="Times New Roman"/>
                <w:bCs/>
                <w:sz w:val="18"/>
                <w:szCs w:val="18"/>
              </w:rPr>
              <w:t xml:space="preserve"> (będące przedmiotem zaciągniętej pożyczki).</w:t>
            </w:r>
          </w:p>
          <w:p w14:paraId="7BCF3EA4" w14:textId="77777777" w:rsidR="001A0B09" w:rsidRDefault="001A0B09">
            <w:pPr>
              <w:spacing w:before="0" w:after="0"/>
              <w:ind w:left="28"/>
              <w:rPr>
                <w:rFonts w:ascii="Times New Roman" w:eastAsia="PMingLiU" w:hAnsi="Times New Roman"/>
                <w:szCs w:val="18"/>
              </w:rPr>
            </w:pPr>
          </w:p>
        </w:tc>
      </w:tr>
      <w:tr w:rsidR="001A0B09" w14:paraId="17BB6239" w14:textId="77777777" w:rsidTr="0039321F">
        <w:tc>
          <w:tcPr>
            <w:tcW w:w="703" w:type="dxa"/>
            <w:shd w:val="clear" w:color="auto" w:fill="FFFFFF"/>
            <w:vAlign w:val="center"/>
          </w:tcPr>
          <w:p w14:paraId="0579CFE3" w14:textId="307E9510" w:rsidR="001A0B09"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w tym: zabezpieczenie będące przedmiotem wymiany spełnia wymogi operacyjne</w:t>
            </w:r>
          </w:p>
          <w:p w14:paraId="1764FEBB" w14:textId="77777777" w:rsidR="001A0B09" w:rsidRDefault="001A0B09">
            <w:pPr>
              <w:spacing w:before="0" w:after="0"/>
              <w:ind w:left="28"/>
              <w:rPr>
                <w:rFonts w:ascii="Times New Roman" w:eastAsia="PMingLiU" w:hAnsi="Times New Roman"/>
                <w:b/>
                <w:bCs/>
                <w:sz w:val="18"/>
                <w:szCs w:val="18"/>
              </w:rPr>
            </w:pPr>
          </w:p>
          <w:p w14:paraId="188D1777" w14:textId="4E4B5C27"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2.8.4. instytucje kredytowe zgłaszają składnik zabezpieczenia będącego przedmiotem zaciągniętej pożyczki, jeżeli spełnia wymagania operacyjne określone w art. 8 rozporządzenia delegowanego (UE) 2015/61.</w:t>
            </w:r>
          </w:p>
          <w:p w14:paraId="77C9E74D" w14:textId="77777777" w:rsidR="001A0B09" w:rsidRDefault="001A0B09">
            <w:pPr>
              <w:spacing w:before="0" w:after="0"/>
              <w:ind w:left="28"/>
              <w:rPr>
                <w:rFonts w:ascii="Times New Roman" w:eastAsia="PMingLiU" w:hAnsi="Times New Roman"/>
                <w:b/>
                <w:bCs/>
                <w:sz w:val="18"/>
                <w:szCs w:val="18"/>
              </w:rPr>
            </w:pPr>
          </w:p>
        </w:tc>
      </w:tr>
      <w:tr w:rsidR="001A0B09" w14:paraId="7601A85F" w14:textId="77777777" w:rsidTr="0039321F">
        <w:tc>
          <w:tcPr>
            <w:tcW w:w="703" w:type="dxa"/>
            <w:shd w:val="clear" w:color="auto" w:fill="FFFFFF"/>
            <w:vAlign w:val="center"/>
          </w:tcPr>
          <w:p w14:paraId="0AB3D1E4" w14:textId="032960F5" w:rsidR="001A0B09"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aktywa poziomu 2B: obligacje zabezpieczone charakteryzujące się wysoką jakością</w:t>
            </w:r>
          </w:p>
          <w:p w14:paraId="0A9A3DF7" w14:textId="77777777" w:rsidR="001A0B09" w:rsidRDefault="001A0B09">
            <w:pPr>
              <w:spacing w:before="0" w:after="0"/>
              <w:ind w:left="28"/>
              <w:rPr>
                <w:rFonts w:ascii="Times New Roman" w:eastAsia="PMingLiU" w:hAnsi="Times New Roman"/>
                <w:b/>
                <w:sz w:val="18"/>
                <w:szCs w:val="18"/>
              </w:rPr>
            </w:pPr>
          </w:p>
          <w:p w14:paraId="5A47DB7C"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poziomu 2B w postaci obligacji zabezpieczonych charakteryzujących się wysoką jakością (będące przedmiotem zaciągniętej pożyczki).</w:t>
            </w:r>
          </w:p>
          <w:p w14:paraId="11BC0B14" w14:textId="77777777" w:rsidR="001A0B09" w:rsidRDefault="001A0B09">
            <w:pPr>
              <w:spacing w:before="0" w:after="0"/>
              <w:ind w:left="28"/>
              <w:rPr>
                <w:rFonts w:ascii="Times New Roman" w:eastAsia="PMingLiU" w:hAnsi="Times New Roman"/>
                <w:sz w:val="18"/>
                <w:szCs w:val="18"/>
              </w:rPr>
            </w:pPr>
          </w:p>
        </w:tc>
      </w:tr>
      <w:tr w:rsidR="001A0B09" w14:paraId="3F9CC7DD" w14:textId="77777777" w:rsidTr="0039321F">
        <w:tc>
          <w:tcPr>
            <w:tcW w:w="703" w:type="dxa"/>
            <w:shd w:val="clear" w:color="auto" w:fill="FFFFFF"/>
            <w:vAlign w:val="center"/>
          </w:tcPr>
          <w:p w14:paraId="38A547DD" w14:textId="657937D2" w:rsidR="001A0B09"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w tym: zabezpieczenie będące przedmiotem wymiany spełnia wymogi operacyjne</w:t>
            </w:r>
          </w:p>
          <w:p w14:paraId="426BDAD6" w14:textId="77777777" w:rsidR="001A0B09" w:rsidRDefault="001A0B09">
            <w:pPr>
              <w:spacing w:before="0" w:after="0"/>
              <w:ind w:left="28"/>
              <w:rPr>
                <w:rFonts w:ascii="Times New Roman" w:eastAsia="PMingLiU" w:hAnsi="Times New Roman"/>
                <w:b/>
                <w:bCs/>
                <w:sz w:val="18"/>
                <w:szCs w:val="18"/>
              </w:rPr>
            </w:pPr>
          </w:p>
          <w:p w14:paraId="3EB71D95" w14:textId="3C1B238D"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2.8.5. instytucje kredytowe zgłaszają składnik zabezpieczenia będącego przedmiotem zaciągniętej pożyczki, jeżeli spełnia wymagania operacyjne określone w art. 8 rozporządzenia delegowanego (UE) 2015/61.</w:t>
            </w:r>
          </w:p>
          <w:p w14:paraId="11F6AECE" w14:textId="77777777" w:rsidR="001A0B09" w:rsidRDefault="001A0B09">
            <w:pPr>
              <w:spacing w:before="0" w:after="0"/>
              <w:ind w:left="28"/>
              <w:rPr>
                <w:rFonts w:ascii="Times New Roman" w:eastAsia="PMingLiU" w:hAnsi="Times New Roman"/>
                <w:b/>
                <w:bCs/>
                <w:sz w:val="18"/>
                <w:szCs w:val="18"/>
              </w:rPr>
            </w:pPr>
          </w:p>
        </w:tc>
      </w:tr>
      <w:tr w:rsidR="001A0B09" w14:paraId="2589D13A" w14:textId="77777777" w:rsidTr="0039321F">
        <w:tc>
          <w:tcPr>
            <w:tcW w:w="703" w:type="dxa"/>
            <w:shd w:val="clear" w:color="auto" w:fill="FFFFFF"/>
            <w:vAlign w:val="center"/>
          </w:tcPr>
          <w:p w14:paraId="7CAC3782" w14:textId="765F628F" w:rsidR="001A0B09"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aktywa poziomu 2B: papiery wartościowe zabezpieczone aktywami (kredyty komercyjne lub dla osób fizycznych, państwo członkowskie, CQS1)</w:t>
            </w:r>
          </w:p>
          <w:p w14:paraId="56E1C405" w14:textId="77777777" w:rsidR="001A0B09" w:rsidRDefault="001A0B09">
            <w:pPr>
              <w:spacing w:before="0" w:after="0"/>
              <w:ind w:left="28"/>
              <w:rPr>
                <w:rFonts w:ascii="Times New Roman" w:eastAsia="PMingLiU" w:hAnsi="Times New Roman"/>
                <w:b/>
                <w:sz w:val="18"/>
                <w:szCs w:val="18"/>
              </w:rPr>
            </w:pPr>
          </w:p>
          <w:p w14:paraId="2E29DBBE"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niepłynne (będące przedmiotem udzielonej pożyczki) na </w:t>
            </w:r>
            <w:r>
              <w:rPr>
                <w:rFonts w:ascii="Times New Roman" w:hAnsi="Times New Roman"/>
                <w:sz w:val="18"/>
                <w:szCs w:val="18"/>
              </w:rPr>
              <w:t xml:space="preserve">aktywa poziomu 2B: papiery wartościowe zabezpieczone aktywami (kredyty </w:t>
            </w:r>
            <w:r>
              <w:rPr>
                <w:rFonts w:ascii="Times New Roman" w:hAnsi="Times New Roman"/>
                <w:sz w:val="18"/>
                <w:szCs w:val="18"/>
              </w:rPr>
              <w:lastRenderedPageBreak/>
              <w:t>komercyjne lub dla osób fizycznych, państwo członkowskie, CQS1)</w:t>
            </w:r>
            <w:r>
              <w:rPr>
                <w:rFonts w:ascii="Times New Roman" w:hAnsi="Times New Roman"/>
                <w:bCs/>
                <w:sz w:val="18"/>
                <w:szCs w:val="18"/>
              </w:rPr>
              <w:t xml:space="preserve"> (będące przedmiotem zaciągniętej pożyczki).</w:t>
            </w:r>
          </w:p>
          <w:p w14:paraId="16DFDF65" w14:textId="77777777" w:rsidR="001A0B09" w:rsidRDefault="001A0B09">
            <w:pPr>
              <w:spacing w:before="0" w:after="0"/>
              <w:ind w:left="28"/>
              <w:rPr>
                <w:rFonts w:ascii="Times New Roman" w:eastAsia="PMingLiU" w:hAnsi="Times New Roman"/>
                <w:sz w:val="18"/>
                <w:szCs w:val="18"/>
              </w:rPr>
            </w:pPr>
          </w:p>
        </w:tc>
      </w:tr>
      <w:tr w:rsidR="001A0B09" w14:paraId="777B9D12" w14:textId="77777777" w:rsidTr="0039321F">
        <w:tc>
          <w:tcPr>
            <w:tcW w:w="703" w:type="dxa"/>
            <w:shd w:val="clear" w:color="auto" w:fill="FFFFFF"/>
            <w:vAlign w:val="center"/>
          </w:tcPr>
          <w:p w14:paraId="332C6601" w14:textId="4454EEAD" w:rsidR="001A0B09" w:rsidRDefault="008D0A41">
            <w:pPr>
              <w:rPr>
                <w:rFonts w:ascii="Times New Roman" w:eastAsia="PMingLiU" w:hAnsi="Times New Roman"/>
                <w:sz w:val="18"/>
                <w:szCs w:val="18"/>
              </w:rPr>
            </w:pPr>
            <w:r>
              <w:rPr>
                <w:rFonts w:ascii="Times New Roman" w:hAnsi="Times New Roman"/>
                <w:sz w:val="18"/>
                <w:szCs w:val="18"/>
              </w:rPr>
              <w:lastRenderedPageBreak/>
              <w:t>2690</w:t>
            </w:r>
          </w:p>
        </w:tc>
        <w:tc>
          <w:tcPr>
            <w:tcW w:w="7371" w:type="dxa"/>
            <w:shd w:val="clear" w:color="auto" w:fill="FFFFFF"/>
          </w:tcPr>
          <w:p w14:paraId="4951F63A"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w tym: zabezpieczenie będące przedmiotem wymiany spełnia wymogi operacyjne</w:t>
            </w:r>
          </w:p>
          <w:p w14:paraId="685FDBF2" w14:textId="77777777" w:rsidR="001A0B09" w:rsidRDefault="001A0B09">
            <w:pPr>
              <w:spacing w:before="0" w:after="0"/>
              <w:ind w:left="28"/>
              <w:rPr>
                <w:rFonts w:ascii="Times New Roman" w:eastAsia="PMingLiU" w:hAnsi="Times New Roman"/>
                <w:b/>
                <w:bCs/>
                <w:sz w:val="18"/>
                <w:szCs w:val="18"/>
              </w:rPr>
            </w:pPr>
          </w:p>
          <w:p w14:paraId="4085BAB1" w14:textId="782FBAD3"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2.8.6. instytucje kredytowe zgłaszają składnik zabezpieczenia będącego przedmiotem zaciągniętej pożyczki, jeżeli spełnia wymagania operacyjne określone w art. 8 rozporządzenia delegowanego (UE) 2015/61.</w:t>
            </w:r>
          </w:p>
          <w:p w14:paraId="6557E1BB" w14:textId="77777777" w:rsidR="001A0B09" w:rsidRDefault="001A0B09">
            <w:pPr>
              <w:spacing w:before="0" w:after="0"/>
              <w:ind w:left="28"/>
              <w:rPr>
                <w:rFonts w:ascii="Times New Roman" w:eastAsia="PMingLiU" w:hAnsi="Times New Roman"/>
                <w:b/>
                <w:bCs/>
                <w:sz w:val="18"/>
                <w:szCs w:val="18"/>
              </w:rPr>
            </w:pPr>
          </w:p>
        </w:tc>
      </w:tr>
      <w:tr w:rsidR="001A0B09" w14:paraId="5745BADE" w14:textId="77777777" w:rsidTr="0039321F">
        <w:tc>
          <w:tcPr>
            <w:tcW w:w="703" w:type="dxa"/>
            <w:shd w:val="clear" w:color="auto" w:fill="FFFFFF"/>
            <w:vAlign w:val="center"/>
          </w:tcPr>
          <w:p w14:paraId="5C45A915" w14:textId="09553DE4" w:rsidR="001A0B09"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inne aktywa poziomu 2B</w:t>
            </w:r>
          </w:p>
          <w:p w14:paraId="4A7AFC05" w14:textId="77777777" w:rsidR="001A0B09" w:rsidRDefault="001A0B09">
            <w:pPr>
              <w:spacing w:before="0" w:after="0"/>
              <w:ind w:left="28"/>
              <w:rPr>
                <w:rFonts w:ascii="Times New Roman" w:eastAsia="PMingLiU" w:hAnsi="Times New Roman"/>
                <w:b/>
                <w:sz w:val="18"/>
                <w:szCs w:val="18"/>
              </w:rPr>
            </w:pPr>
          </w:p>
          <w:p w14:paraId="6B2327C0"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Transakcje, w których instytucja zamieniła aktywa niepłynne (będące przedmiotem udzielonej pożyczki) na </w:t>
            </w:r>
            <w:r>
              <w:rPr>
                <w:rFonts w:ascii="Times New Roman" w:hAnsi="Times New Roman"/>
                <w:sz w:val="18"/>
                <w:szCs w:val="18"/>
              </w:rPr>
              <w:t xml:space="preserve">inne aktywa poziomu 2B </w:t>
            </w:r>
            <w:r>
              <w:rPr>
                <w:rFonts w:ascii="Times New Roman" w:hAnsi="Times New Roman"/>
                <w:bCs/>
                <w:sz w:val="18"/>
                <w:szCs w:val="18"/>
              </w:rPr>
              <w:t>(będące przedmiotem zaciągniętej pożyczki).</w:t>
            </w:r>
          </w:p>
          <w:p w14:paraId="3EB8EC15" w14:textId="77777777" w:rsidR="001A0B09" w:rsidRDefault="001A0B09">
            <w:pPr>
              <w:spacing w:before="0" w:after="0"/>
              <w:ind w:left="28"/>
              <w:rPr>
                <w:rFonts w:ascii="Times New Roman" w:eastAsia="PMingLiU" w:hAnsi="Times New Roman"/>
                <w:sz w:val="18"/>
                <w:szCs w:val="18"/>
              </w:rPr>
            </w:pPr>
          </w:p>
        </w:tc>
      </w:tr>
      <w:tr w:rsidR="001A0B09" w14:paraId="06A5D5BC" w14:textId="77777777" w:rsidTr="0039321F">
        <w:tc>
          <w:tcPr>
            <w:tcW w:w="703" w:type="dxa"/>
            <w:shd w:val="clear" w:color="auto" w:fill="FFFFFF"/>
            <w:vAlign w:val="center"/>
          </w:tcPr>
          <w:p w14:paraId="291EBD4D" w14:textId="2633FB8B" w:rsidR="001A0B09"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1A0B09"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w tym: zabezpieczenie będące przedmiotem wymiany spełnia wymogi operacyjne</w:t>
            </w:r>
          </w:p>
          <w:p w14:paraId="0E852353" w14:textId="77777777" w:rsidR="001A0B09" w:rsidRDefault="001A0B09">
            <w:pPr>
              <w:spacing w:before="0" w:after="0"/>
              <w:ind w:left="28"/>
              <w:rPr>
                <w:rFonts w:ascii="Times New Roman" w:eastAsia="PMingLiU" w:hAnsi="Times New Roman"/>
                <w:b/>
                <w:bCs/>
                <w:sz w:val="18"/>
                <w:szCs w:val="18"/>
              </w:rPr>
            </w:pPr>
          </w:p>
          <w:p w14:paraId="24A8E8B7" w14:textId="5A1F325A" w:rsidR="001A0B09" w:rsidRDefault="00F71050">
            <w:pPr>
              <w:spacing w:before="0" w:after="0"/>
              <w:ind w:left="28"/>
              <w:rPr>
                <w:rFonts w:ascii="Times New Roman" w:eastAsia="PMingLiU" w:hAnsi="Times New Roman"/>
                <w:b/>
                <w:bCs/>
                <w:sz w:val="18"/>
                <w:szCs w:val="18"/>
              </w:rPr>
            </w:pPr>
            <w:r>
              <w:rPr>
                <w:rFonts w:ascii="Times New Roman" w:hAnsi="Times New Roman"/>
                <w:sz w:val="18"/>
              </w:rPr>
              <w:t>Spośród transakcji w pozycji 2.8.7. instytucje kredytowe zgłaszają składnik zabezpieczenia będącego przedmiotem zaciągniętej pożyczki, jeżeli spełnia wymagania operacyjne określone w art. 8 rozporządzenia delegowanego (UE) 2015/61.</w:t>
            </w:r>
          </w:p>
          <w:p w14:paraId="7EF48BD8" w14:textId="77777777" w:rsidR="001A0B09" w:rsidRDefault="001A0B09">
            <w:pPr>
              <w:spacing w:before="0" w:after="0"/>
              <w:ind w:left="28"/>
              <w:rPr>
                <w:rFonts w:ascii="Times New Roman" w:eastAsia="PMingLiU" w:hAnsi="Times New Roman"/>
                <w:b/>
                <w:bCs/>
                <w:sz w:val="18"/>
                <w:szCs w:val="18"/>
              </w:rPr>
            </w:pPr>
          </w:p>
        </w:tc>
      </w:tr>
      <w:tr w:rsidR="001A0B09" w14:paraId="224C2094" w14:textId="77777777" w:rsidTr="0039321F">
        <w:tc>
          <w:tcPr>
            <w:tcW w:w="703" w:type="dxa"/>
            <w:shd w:val="clear" w:color="auto" w:fill="FFFFFF"/>
            <w:vAlign w:val="center"/>
          </w:tcPr>
          <w:p w14:paraId="23052EF1" w14:textId="3345C150" w:rsidR="001A0B09"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aktywa niepłynne</w:t>
            </w:r>
          </w:p>
          <w:p w14:paraId="620A245B" w14:textId="77777777" w:rsidR="001A0B09" w:rsidRDefault="001A0B09">
            <w:pPr>
              <w:spacing w:before="0" w:after="0"/>
              <w:ind w:left="28"/>
              <w:rPr>
                <w:rFonts w:ascii="Times New Roman" w:eastAsia="PMingLiU" w:hAnsi="Times New Roman"/>
                <w:b/>
                <w:sz w:val="18"/>
                <w:szCs w:val="18"/>
              </w:rPr>
            </w:pPr>
          </w:p>
          <w:p w14:paraId="3A219F36" w14:textId="77777777" w:rsidR="001A0B09"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Transakcje, w których instytucja zamieniła aktywa niepłynne (będące przedmiotem udzielonej pożyczki) na aktywa niepłynne (będące przedmiotem zaciągniętej pożyczki).</w:t>
            </w:r>
          </w:p>
          <w:p w14:paraId="36E5A087" w14:textId="77777777" w:rsidR="001A0B09" w:rsidRDefault="001A0B09">
            <w:pPr>
              <w:spacing w:before="0" w:after="0"/>
              <w:ind w:left="28"/>
              <w:rPr>
                <w:rFonts w:ascii="Times New Roman" w:eastAsia="PMingLiU" w:hAnsi="Times New Roman"/>
                <w:sz w:val="18"/>
                <w:szCs w:val="18"/>
              </w:rPr>
            </w:pPr>
          </w:p>
        </w:tc>
      </w:tr>
      <w:tr w:rsidR="001A0B09" w14:paraId="28C8D3F3" w14:textId="77777777" w:rsidTr="0039321F">
        <w:tc>
          <w:tcPr>
            <w:tcW w:w="8074" w:type="dxa"/>
            <w:gridSpan w:val="2"/>
            <w:shd w:val="clear" w:color="auto" w:fill="D9D9D9"/>
            <w:vAlign w:val="center"/>
          </w:tcPr>
          <w:p w14:paraId="5D8A96D2" w14:textId="77777777" w:rsidR="001A0B09" w:rsidRDefault="00F71050">
            <w:pPr>
              <w:rPr>
                <w:rFonts w:ascii="Times New Roman" w:eastAsia="PMingLiU" w:hAnsi="Times New Roman"/>
                <w:bCs/>
                <w:sz w:val="22"/>
                <w:szCs w:val="22"/>
              </w:rPr>
            </w:pPr>
            <w:r>
              <w:rPr>
                <w:rFonts w:ascii="Times New Roman" w:hAnsi="Times New Roman"/>
                <w:b/>
                <w:sz w:val="18"/>
                <w:szCs w:val="18"/>
              </w:rPr>
              <w:t>POZYCJE UZUPEŁNIAJĄCE</w:t>
            </w:r>
          </w:p>
        </w:tc>
      </w:tr>
      <w:tr w:rsidR="001A0B09" w14:paraId="4643EBA4" w14:textId="77777777" w:rsidTr="0039321F">
        <w:tc>
          <w:tcPr>
            <w:tcW w:w="703" w:type="dxa"/>
            <w:shd w:val="clear" w:color="auto" w:fill="FFFFFF"/>
            <w:vAlign w:val="center"/>
          </w:tcPr>
          <w:p w14:paraId="3B77ED11" w14:textId="1615EE49" w:rsidR="001A0B09"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Całkowita kwota transakcji zabezpieczających swap (z uwzględnieniem wszystkich kontrahentów), jeżeli zabezpieczenie będące przedmiotem zaciągniętej pożyczki zostało wykorzystane do pokrycia pozycji krótkich</w:t>
            </w:r>
          </w:p>
          <w:p w14:paraId="441A0E96" w14:textId="77777777" w:rsidR="001A0B09" w:rsidRDefault="001A0B09">
            <w:pPr>
              <w:spacing w:before="0" w:after="0"/>
              <w:ind w:left="28"/>
              <w:rPr>
                <w:rFonts w:ascii="Times New Roman" w:eastAsia="PMingLiU" w:hAnsi="Times New Roman"/>
                <w:sz w:val="18"/>
                <w:szCs w:val="18"/>
              </w:rPr>
            </w:pPr>
          </w:p>
          <w:p w14:paraId="36AE6876" w14:textId="77777777" w:rsidR="001A0B09" w:rsidRDefault="00F71050">
            <w:pPr>
              <w:spacing w:before="0" w:after="0"/>
              <w:ind w:left="28"/>
              <w:rPr>
                <w:rFonts w:ascii="Times New Roman" w:eastAsia="PMingLiU" w:hAnsi="Times New Roman"/>
                <w:sz w:val="18"/>
                <w:szCs w:val="18"/>
              </w:rPr>
            </w:pPr>
            <w:r>
              <w:rPr>
                <w:rFonts w:ascii="Times New Roman" w:hAnsi="Times New Roman"/>
                <w:sz w:val="18"/>
                <w:szCs w:val="18"/>
              </w:rPr>
              <w:t>W tej sekcji instytucje zgłaszają całkowitą kwotę transakcji zabezpieczających swap (z uwzględnieniem wszystkich kontrahentów) zgłoszonych w wierszach powyżej, jeżeli zabezpieczenie będące przedmiotem zaciągniętej pożyczki zostało wykorzystane do pokrycia pozycji krótkich w przypadku, gdy zastosowano wskaźnik wypływów w wysokości 0 %.</w:t>
            </w:r>
          </w:p>
          <w:p w14:paraId="5BEA4AC9" w14:textId="77777777" w:rsidR="001A0B09" w:rsidRDefault="001A0B09">
            <w:pPr>
              <w:spacing w:before="0" w:after="0"/>
              <w:ind w:left="28"/>
              <w:rPr>
                <w:rFonts w:ascii="Times New Roman" w:eastAsia="PMingLiU" w:hAnsi="Times New Roman"/>
                <w:sz w:val="18"/>
                <w:szCs w:val="18"/>
              </w:rPr>
            </w:pPr>
          </w:p>
        </w:tc>
      </w:tr>
      <w:tr w:rsidR="001A0B09" w14:paraId="60BA4A54" w14:textId="77777777" w:rsidTr="0039321F">
        <w:tc>
          <w:tcPr>
            <w:tcW w:w="703" w:type="dxa"/>
            <w:shd w:val="clear" w:color="auto" w:fill="FFFFFF"/>
            <w:vAlign w:val="center"/>
          </w:tcPr>
          <w:p w14:paraId="36B3DEA0" w14:textId="6263204A" w:rsidR="001A0B09"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Całkowita kwota transakcji zabezpieczających swap przeprowadzonych z kontrahentami wewnątrz grupy</w:t>
            </w:r>
          </w:p>
          <w:p w14:paraId="4E968F51" w14:textId="77777777" w:rsidR="001A0B09" w:rsidRDefault="001A0B09">
            <w:pPr>
              <w:spacing w:before="0" w:after="0"/>
              <w:ind w:left="28"/>
              <w:rPr>
                <w:rFonts w:ascii="Times New Roman" w:eastAsia="PMingLiU" w:hAnsi="Times New Roman"/>
                <w:b/>
                <w:sz w:val="18"/>
                <w:szCs w:val="18"/>
              </w:rPr>
            </w:pPr>
          </w:p>
          <w:p w14:paraId="0104F2F7" w14:textId="77777777" w:rsidR="001A0B09" w:rsidRDefault="00F71050">
            <w:pPr>
              <w:spacing w:before="0" w:after="0"/>
              <w:ind w:left="28"/>
              <w:rPr>
                <w:rFonts w:ascii="Times New Roman" w:eastAsia="PMingLiU" w:hAnsi="Times New Roman"/>
                <w:sz w:val="18"/>
                <w:szCs w:val="18"/>
              </w:rPr>
            </w:pPr>
            <w:r>
              <w:rPr>
                <w:rFonts w:ascii="Times New Roman" w:hAnsi="Times New Roman"/>
                <w:sz w:val="18"/>
                <w:szCs w:val="18"/>
              </w:rPr>
              <w:t>W tej sekcji instytucje zgłaszają zgłoszoną powyżej całkowitą kwotę transakcji zabezpieczających swap przeprowadzonych z kontrahentami wewnątrz grupy.</w:t>
            </w:r>
          </w:p>
          <w:p w14:paraId="35E9ADB8" w14:textId="77777777" w:rsidR="001A0B09" w:rsidRDefault="001A0B09">
            <w:pPr>
              <w:spacing w:before="0" w:after="0"/>
              <w:ind w:left="28"/>
              <w:rPr>
                <w:rFonts w:ascii="Times New Roman" w:eastAsia="PMingLiU" w:hAnsi="Times New Roman"/>
                <w:sz w:val="18"/>
                <w:szCs w:val="18"/>
              </w:rPr>
            </w:pPr>
          </w:p>
        </w:tc>
      </w:tr>
      <w:tr w:rsidR="001A0B09" w14:paraId="20F7F67D" w14:textId="77777777" w:rsidTr="0039321F">
        <w:tc>
          <w:tcPr>
            <w:tcW w:w="703" w:type="dxa"/>
            <w:shd w:val="clear" w:color="auto" w:fill="FFFFFF"/>
            <w:vAlign w:val="center"/>
          </w:tcPr>
          <w:p w14:paraId="65C25FB1" w14:textId="5596ADB7" w:rsidR="001A0B09" w:rsidRDefault="001A0B09">
            <w:pPr>
              <w:rPr>
                <w:rFonts w:ascii="Times New Roman" w:eastAsia="PMingLiU" w:hAnsi="Times New Roman"/>
                <w:bCs/>
                <w:sz w:val="18"/>
                <w:szCs w:val="18"/>
              </w:rPr>
            </w:pPr>
          </w:p>
        </w:tc>
        <w:tc>
          <w:tcPr>
            <w:tcW w:w="7371" w:type="dxa"/>
            <w:shd w:val="clear" w:color="auto" w:fill="FFFFFF"/>
          </w:tcPr>
          <w:p w14:paraId="6CDDE7B5" w14:textId="79DB90B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Transakcje zabezpieczające swap wyłączone ze stosowania art. 17 ust. 2 i 3.</w:t>
            </w:r>
          </w:p>
          <w:p w14:paraId="180F05DD" w14:textId="77777777" w:rsidR="001A0B09" w:rsidRDefault="001A0B09">
            <w:pPr>
              <w:spacing w:before="0" w:after="0"/>
              <w:ind w:left="28"/>
              <w:rPr>
                <w:rFonts w:ascii="Times New Roman" w:eastAsia="PMingLiU" w:hAnsi="Times New Roman"/>
                <w:b/>
                <w:sz w:val="18"/>
                <w:szCs w:val="18"/>
              </w:rPr>
            </w:pPr>
          </w:p>
          <w:p w14:paraId="1360B38C" w14:textId="59307226" w:rsidR="001A0B09" w:rsidRDefault="00F71050">
            <w:pPr>
              <w:spacing w:before="0" w:after="0"/>
              <w:ind w:left="28"/>
              <w:rPr>
                <w:rFonts w:ascii="Times New Roman" w:eastAsia="PMingLiU" w:hAnsi="Times New Roman"/>
                <w:b/>
                <w:sz w:val="18"/>
                <w:szCs w:val="18"/>
              </w:rPr>
            </w:pPr>
            <w:r>
              <w:rPr>
                <w:rFonts w:ascii="Times New Roman" w:hAnsi="Times New Roman"/>
                <w:sz w:val="18"/>
                <w:szCs w:val="22"/>
              </w:rPr>
              <w:t>Instytucje kredytowe zgłaszają w tej pozycji transakcje zabezpieczające swap, których rezydualny termin zapadalności termin zapadalności jest nie dłuższy niż 30 dni, w przypadku gdy kontrahentem jest bank centralny, a odnośne transakcje są wyłączone ze stosowania art. 17 ust. 2 i 3 rozporządzenia delegowanego (UE) 2015/61 na mocy art. 17 ust. 4 wspomnianego rozporządzenia.</w:t>
            </w:r>
          </w:p>
          <w:p w14:paraId="7FD4C78A" w14:textId="77777777" w:rsidR="001A0B09" w:rsidRDefault="001A0B09">
            <w:pPr>
              <w:spacing w:before="0" w:after="0"/>
              <w:ind w:left="28"/>
              <w:rPr>
                <w:rFonts w:ascii="Times New Roman" w:eastAsia="PMingLiU" w:hAnsi="Times New Roman"/>
                <w:bCs/>
                <w:sz w:val="18"/>
                <w:szCs w:val="18"/>
              </w:rPr>
            </w:pPr>
          </w:p>
        </w:tc>
      </w:tr>
      <w:tr w:rsidR="001A0B09" w14:paraId="739FFEAE" w14:textId="77777777" w:rsidTr="0039321F">
        <w:tc>
          <w:tcPr>
            <w:tcW w:w="703" w:type="dxa"/>
            <w:shd w:val="clear" w:color="auto" w:fill="FFFFFF"/>
            <w:vAlign w:val="center"/>
          </w:tcPr>
          <w:p w14:paraId="63B7EEE7" w14:textId="0FDA9273" w:rsidR="001A0B09"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5.1. </w:t>
            </w:r>
            <w:r>
              <w:rPr>
                <w:rFonts w:ascii="Times New Roman" w:hAnsi="Times New Roman"/>
                <w:b/>
                <w:sz w:val="18"/>
                <w:szCs w:val="18"/>
              </w:rPr>
              <w:t>w tym: kiedy zabezpieczenie będące przedmiotem zaciągniętej pożyczki stanowią aktywa poziomu 1, z wyłączeniem obligacji zabezpieczonych charakteryzujących się wyjątkowo wysoką jakością</w:t>
            </w:r>
          </w:p>
          <w:p w14:paraId="30A4CC77" w14:textId="77777777" w:rsidR="001A0B09" w:rsidRDefault="001A0B09">
            <w:pPr>
              <w:spacing w:before="0" w:after="0"/>
              <w:ind w:left="28"/>
              <w:rPr>
                <w:rFonts w:ascii="Times New Roman" w:eastAsia="PMingLiU" w:hAnsi="Times New Roman"/>
                <w:b/>
                <w:sz w:val="18"/>
                <w:szCs w:val="18"/>
              </w:rPr>
            </w:pPr>
          </w:p>
          <w:p w14:paraId="3D44D017" w14:textId="5167D447" w:rsidR="001A0B09" w:rsidRDefault="00F71050">
            <w:pPr>
              <w:spacing w:before="0" w:after="0"/>
              <w:ind w:left="28"/>
              <w:rPr>
                <w:rFonts w:ascii="Times New Roman" w:eastAsia="Calibri" w:hAnsi="Times New Roman"/>
                <w:sz w:val="18"/>
                <w:szCs w:val="22"/>
              </w:rPr>
            </w:pPr>
            <w:r>
              <w:rPr>
                <w:rFonts w:ascii="Times New Roman" w:hAnsi="Times New Roman"/>
                <w:sz w:val="18"/>
                <w:szCs w:val="22"/>
              </w:rPr>
              <w:t>Instytucje kredytowe zgłaszają w tej pozycji tę część transakcji zabezpieczających swap, których rezydualny termin zapadalności termin zapadalności jest nie dłuższy niż 30 dni, w przypadku gdy kontrahentem jest bank centralny</w:t>
            </w:r>
            <w:r>
              <w:rPr>
                <w:rFonts w:ascii="Times New Roman" w:hAnsi="Times New Roman"/>
                <w:sz w:val="18"/>
              </w:rPr>
              <w:t xml:space="preserve">, zabezpieczenie będące przedmiotem zaciągniętej pożyczki jest zabezpieczeniem poziomu 1, z wyłączeniem obligacji zabezpieczonych charakteryzujących się wyjątkowo wysoką jakością i 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p w14:paraId="13EFDA8D" w14:textId="77777777" w:rsidR="001A0B09" w:rsidRDefault="001A0B09">
            <w:pPr>
              <w:spacing w:before="0" w:after="0"/>
              <w:ind w:left="28"/>
              <w:rPr>
                <w:rFonts w:ascii="Times New Roman" w:eastAsia="PMingLiU" w:hAnsi="Times New Roman"/>
                <w:bCs/>
                <w:sz w:val="18"/>
                <w:szCs w:val="18"/>
              </w:rPr>
            </w:pPr>
          </w:p>
        </w:tc>
      </w:tr>
      <w:tr w:rsidR="001A0B09" w14:paraId="2FD8A692" w14:textId="77777777" w:rsidTr="0039321F">
        <w:tc>
          <w:tcPr>
            <w:tcW w:w="703" w:type="dxa"/>
            <w:shd w:val="clear" w:color="auto" w:fill="FFFFFF"/>
            <w:vAlign w:val="center"/>
          </w:tcPr>
          <w:p w14:paraId="5BFA4089" w14:textId="4F30F7E7" w:rsidR="001A0B09"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5.2. </w:t>
            </w:r>
            <w:r>
              <w:rPr>
                <w:rFonts w:ascii="Times New Roman" w:hAnsi="Times New Roman"/>
                <w:b/>
                <w:sz w:val="18"/>
                <w:szCs w:val="18"/>
              </w:rPr>
              <w:t>w tym: kiedy zabezpieczenie będące przedmiotem zaciągniętej pożyczki stanowią aktywa poziomu 1 w postaci obligacji zabezpieczonych charakteryzujących się wyjątkowo wysoką jakością</w:t>
            </w:r>
          </w:p>
          <w:p w14:paraId="262F8F46" w14:textId="77777777" w:rsidR="001A0B09" w:rsidRDefault="001A0B09">
            <w:pPr>
              <w:spacing w:before="0" w:after="0"/>
              <w:ind w:left="28"/>
              <w:rPr>
                <w:rFonts w:ascii="Times New Roman" w:eastAsia="PMingLiU" w:hAnsi="Times New Roman"/>
                <w:b/>
                <w:sz w:val="18"/>
                <w:szCs w:val="18"/>
              </w:rPr>
            </w:pPr>
          </w:p>
          <w:p w14:paraId="0998313F" w14:textId="4160D6EF" w:rsidR="001A0B09" w:rsidRDefault="00F71050">
            <w:pPr>
              <w:spacing w:before="0" w:after="0"/>
              <w:ind w:left="28"/>
              <w:rPr>
                <w:rFonts w:ascii="Times New Roman" w:eastAsia="Calibri" w:hAnsi="Times New Roman"/>
                <w:sz w:val="18"/>
                <w:szCs w:val="22"/>
              </w:rPr>
            </w:pPr>
            <w:r>
              <w:rPr>
                <w:rFonts w:ascii="Times New Roman" w:hAnsi="Times New Roman"/>
                <w:sz w:val="18"/>
                <w:szCs w:val="22"/>
              </w:rPr>
              <w:lastRenderedPageBreak/>
              <w:t>Instytucje kredytowe zgłaszają w tej pozycji tę część transakcji zabezpieczających swap, których rezydualny termin zapadalności termin zapadalności jest nie dłuższy niż 30 dni, w przypadku gdy kontrahentem jest bank centralny</w:t>
            </w:r>
            <w:r>
              <w:rPr>
                <w:rFonts w:ascii="Times New Roman" w:hAnsi="Times New Roman"/>
                <w:sz w:val="18"/>
              </w:rPr>
              <w:t>, zabezpieczenie będące przedmiotem zaciągniętej pożyczki jest zabezpieczeniem poziomu 1 w postaci obligacji zabezpieczonych charakteryzujących się wyjątkowo wysoką jakością</w:t>
            </w:r>
            <w:r>
              <w:rPr>
                <w:rFonts w:ascii="Times New Roman" w:hAnsi="Times New Roman"/>
                <w:sz w:val="18"/>
                <w:szCs w:val="22"/>
              </w:rPr>
              <w:t xml:space="preserve"> </w:t>
            </w:r>
            <w:r>
              <w:rPr>
                <w:rFonts w:ascii="Times New Roman" w:hAnsi="Times New Roman"/>
                <w:sz w:val="18"/>
              </w:rPr>
              <w:t xml:space="preserve">i 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p w14:paraId="2EA5F5EF" w14:textId="77777777" w:rsidR="001A0B09" w:rsidRDefault="001A0B09">
            <w:pPr>
              <w:spacing w:before="0" w:after="0"/>
              <w:ind w:left="28"/>
              <w:rPr>
                <w:rFonts w:ascii="Times New Roman" w:eastAsia="PMingLiU" w:hAnsi="Times New Roman"/>
                <w:bCs/>
                <w:sz w:val="18"/>
                <w:szCs w:val="18"/>
              </w:rPr>
            </w:pPr>
          </w:p>
        </w:tc>
      </w:tr>
      <w:tr w:rsidR="001A0B09" w14:paraId="5944E158" w14:textId="77777777" w:rsidTr="0039321F">
        <w:tc>
          <w:tcPr>
            <w:tcW w:w="703" w:type="dxa"/>
            <w:shd w:val="clear" w:color="auto" w:fill="FFFFFF"/>
            <w:vAlign w:val="center"/>
          </w:tcPr>
          <w:p w14:paraId="257AF33A" w14:textId="24A3469D" w:rsidR="001A0B09" w:rsidRDefault="008D0A41">
            <w:pPr>
              <w:rPr>
                <w:rFonts w:ascii="Times New Roman" w:eastAsia="PMingLiU" w:hAnsi="Times New Roman"/>
                <w:bCs/>
                <w:sz w:val="18"/>
                <w:szCs w:val="18"/>
              </w:rPr>
            </w:pPr>
            <w:r>
              <w:rPr>
                <w:rFonts w:ascii="Times New Roman" w:hAnsi="Times New Roman"/>
                <w:bCs/>
                <w:sz w:val="18"/>
                <w:szCs w:val="18"/>
              </w:rPr>
              <w:lastRenderedPageBreak/>
              <w:t>2770</w:t>
            </w:r>
          </w:p>
        </w:tc>
        <w:tc>
          <w:tcPr>
            <w:tcW w:w="7371" w:type="dxa"/>
            <w:shd w:val="clear" w:color="auto" w:fill="FFFFFF"/>
          </w:tcPr>
          <w:p w14:paraId="78D1B6C8"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5.3. </w:t>
            </w:r>
            <w:r>
              <w:rPr>
                <w:rFonts w:ascii="Times New Roman" w:hAnsi="Times New Roman"/>
                <w:b/>
                <w:sz w:val="18"/>
                <w:szCs w:val="18"/>
              </w:rPr>
              <w:t>w tym: kiedy zabezpieczenie będące przedmiotem zaciągniętej pożyczki stanowią aktywa poziomu 2A</w:t>
            </w:r>
          </w:p>
          <w:p w14:paraId="205E1822" w14:textId="77777777" w:rsidR="001A0B09" w:rsidRDefault="001A0B09">
            <w:pPr>
              <w:spacing w:before="0" w:after="0"/>
              <w:ind w:left="28"/>
              <w:rPr>
                <w:rFonts w:ascii="Times New Roman" w:eastAsia="PMingLiU" w:hAnsi="Times New Roman"/>
                <w:b/>
                <w:sz w:val="18"/>
                <w:szCs w:val="18"/>
              </w:rPr>
            </w:pPr>
          </w:p>
          <w:p w14:paraId="54D0A565" w14:textId="44E8262E" w:rsidR="001A0B09" w:rsidRDefault="00F71050">
            <w:pPr>
              <w:spacing w:before="0" w:after="0"/>
              <w:ind w:left="28"/>
              <w:rPr>
                <w:rFonts w:ascii="Times New Roman" w:eastAsia="PMingLiU" w:hAnsi="Times New Roman"/>
                <w:b/>
                <w:sz w:val="18"/>
                <w:szCs w:val="18"/>
              </w:rPr>
            </w:pPr>
            <w:r>
              <w:rPr>
                <w:rFonts w:ascii="Times New Roman" w:hAnsi="Times New Roman"/>
                <w:sz w:val="18"/>
                <w:szCs w:val="22"/>
              </w:rPr>
              <w:t>Instytucje kredytowe zgłaszają w tej pozycji tę część transakcji zabezpieczających swap, których rezydualny termin zapadalności wynosi nie więcej niż 30 dni, w przypadku gdy kontrahentem jest bank centralny</w:t>
            </w:r>
            <w:r>
              <w:rPr>
                <w:rFonts w:ascii="Times New Roman" w:hAnsi="Times New Roman"/>
                <w:sz w:val="18"/>
              </w:rPr>
              <w:t xml:space="preserve">, zabezpieczenie będące przedmiotem zaciągniętej pożyczki jest zabezpieczeniem poziomu 2A </w:t>
            </w:r>
            <w:r>
              <w:rPr>
                <w:rFonts w:ascii="Times New Roman" w:hAnsi="Times New Roman"/>
                <w:sz w:val="18"/>
                <w:szCs w:val="22"/>
              </w:rPr>
              <w:t xml:space="preserve"> </w:t>
            </w:r>
            <w:r>
              <w:rPr>
                <w:rFonts w:ascii="Times New Roman" w:hAnsi="Times New Roman"/>
                <w:sz w:val="18"/>
              </w:rPr>
              <w:t xml:space="preserve">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p w14:paraId="6365F3BF" w14:textId="77777777" w:rsidR="001A0B09" w:rsidRDefault="001A0B09">
            <w:pPr>
              <w:spacing w:before="0" w:after="0"/>
              <w:ind w:left="28"/>
              <w:rPr>
                <w:rFonts w:ascii="Times New Roman" w:eastAsia="PMingLiU" w:hAnsi="Times New Roman"/>
                <w:bCs/>
                <w:sz w:val="18"/>
                <w:szCs w:val="18"/>
              </w:rPr>
            </w:pPr>
          </w:p>
        </w:tc>
      </w:tr>
      <w:tr w:rsidR="001A0B09" w14:paraId="57AEB22E" w14:textId="77777777" w:rsidTr="0039321F">
        <w:tc>
          <w:tcPr>
            <w:tcW w:w="703" w:type="dxa"/>
            <w:shd w:val="clear" w:color="auto" w:fill="FFFFFF"/>
            <w:vAlign w:val="center"/>
          </w:tcPr>
          <w:p w14:paraId="4285C995" w14:textId="26D8CBE1" w:rsidR="001A0B09"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5.4. </w:t>
            </w:r>
            <w:r>
              <w:rPr>
                <w:rFonts w:ascii="Times New Roman" w:hAnsi="Times New Roman"/>
                <w:b/>
                <w:sz w:val="18"/>
                <w:szCs w:val="18"/>
              </w:rPr>
              <w:t>w tym: kiedy zabezpieczenie będące przedmiotem zaciągniętej pożyczki stanowią aktywa poziomu 2B</w:t>
            </w:r>
          </w:p>
          <w:p w14:paraId="2442C65C" w14:textId="77777777" w:rsidR="001A0B09" w:rsidRDefault="001A0B09">
            <w:pPr>
              <w:spacing w:before="0" w:after="0"/>
              <w:ind w:left="28"/>
              <w:rPr>
                <w:rFonts w:ascii="Times New Roman" w:eastAsia="PMingLiU" w:hAnsi="Times New Roman"/>
                <w:bCs/>
                <w:sz w:val="18"/>
                <w:szCs w:val="18"/>
              </w:rPr>
            </w:pPr>
          </w:p>
          <w:p w14:paraId="30C06D26" w14:textId="4FD48E73" w:rsidR="001A0B09" w:rsidRDefault="00F71050">
            <w:pPr>
              <w:spacing w:before="0" w:after="0"/>
              <w:ind w:left="28"/>
              <w:rPr>
                <w:rFonts w:ascii="Times New Roman" w:eastAsia="Calibri" w:hAnsi="Times New Roman"/>
                <w:sz w:val="18"/>
                <w:szCs w:val="22"/>
              </w:rPr>
            </w:pPr>
            <w:r>
              <w:rPr>
                <w:rFonts w:ascii="Times New Roman" w:hAnsi="Times New Roman"/>
                <w:sz w:val="18"/>
                <w:szCs w:val="22"/>
              </w:rPr>
              <w:t>Instytucje kredytowe zgłaszają w tej pozycji tę część transakcji zabezpieczających swap, których rezydualny termin zapadalności wynosi nie więcej niż 30 dni, w przypadku gdy kontrahentem jest bank centralny</w:t>
            </w:r>
            <w:r>
              <w:rPr>
                <w:rFonts w:ascii="Times New Roman" w:hAnsi="Times New Roman"/>
                <w:sz w:val="18"/>
              </w:rPr>
              <w:t xml:space="preserve">, zabezpieczenie będące przedmiotem zaciągniętej pożyczki jest zabezpieczeniem poziomu 2B 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p w14:paraId="61280758" w14:textId="77777777" w:rsidR="001A0B09" w:rsidRDefault="001A0B09">
            <w:pPr>
              <w:spacing w:before="0" w:after="0"/>
              <w:ind w:left="28"/>
              <w:rPr>
                <w:rFonts w:ascii="Times New Roman" w:eastAsia="PMingLiU" w:hAnsi="Times New Roman"/>
                <w:bCs/>
                <w:sz w:val="18"/>
                <w:szCs w:val="18"/>
              </w:rPr>
            </w:pPr>
          </w:p>
        </w:tc>
      </w:tr>
      <w:tr w:rsidR="001A0B09" w14:paraId="5018FD02" w14:textId="77777777" w:rsidTr="0039321F">
        <w:tc>
          <w:tcPr>
            <w:tcW w:w="703" w:type="dxa"/>
            <w:shd w:val="clear" w:color="auto" w:fill="FFFFFF"/>
            <w:vAlign w:val="center"/>
          </w:tcPr>
          <w:p w14:paraId="63F6682C" w14:textId="66123E38" w:rsidR="001A0B09"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5.5. </w:t>
            </w:r>
            <w:r>
              <w:rPr>
                <w:rFonts w:ascii="Times New Roman" w:hAnsi="Times New Roman"/>
                <w:b/>
                <w:sz w:val="18"/>
                <w:szCs w:val="18"/>
              </w:rPr>
              <w:t>w tym: kiedy zabezpieczenie będące przedmiotem udzielonej pożyczki stanowią aktywa poziomu 1, z wyłączeniem obligacji zabezpieczonych charakteryzujących się wyjątkowo wysoką jakością</w:t>
            </w:r>
          </w:p>
          <w:p w14:paraId="584FAB20" w14:textId="77777777" w:rsidR="001A0B09" w:rsidRDefault="001A0B09">
            <w:pPr>
              <w:spacing w:before="0" w:after="0"/>
              <w:ind w:left="28"/>
              <w:rPr>
                <w:rFonts w:ascii="Times New Roman" w:eastAsia="PMingLiU" w:hAnsi="Times New Roman"/>
                <w:b/>
                <w:sz w:val="18"/>
                <w:szCs w:val="18"/>
              </w:rPr>
            </w:pPr>
          </w:p>
          <w:p w14:paraId="4F8C2FF7" w14:textId="1ABBE7DC" w:rsidR="001A0B09" w:rsidRDefault="00F71050">
            <w:pPr>
              <w:spacing w:before="0" w:after="0"/>
              <w:ind w:left="28"/>
              <w:rPr>
                <w:rFonts w:ascii="Times New Roman" w:eastAsia="PMingLiU" w:hAnsi="Times New Roman"/>
                <w:bCs/>
                <w:sz w:val="18"/>
                <w:szCs w:val="18"/>
              </w:rPr>
            </w:pPr>
            <w:r>
              <w:rPr>
                <w:rFonts w:ascii="Times New Roman" w:hAnsi="Times New Roman"/>
                <w:sz w:val="18"/>
                <w:szCs w:val="22"/>
              </w:rPr>
              <w:t>Instytucje kredytowe zgłaszają w tej pozycji tę część transakcji zabezpieczających swap, których rezydualny termin zapadalności termin zapadalności jest nie dłuższy niż 30 dni, w przypadku gdy kontrahentem jest bank centralny</w:t>
            </w:r>
            <w:r>
              <w:rPr>
                <w:rFonts w:ascii="Times New Roman" w:hAnsi="Times New Roman"/>
                <w:sz w:val="18"/>
              </w:rPr>
              <w:t xml:space="preserve">, zabezpieczenie będące przedmiotem udzielonej pożyczki jest zabezpieczeniem poziomu 1, z wyłączeniem obligacji zabezpieczonych charakteryzujących się wyjątkowo wysoką jakością i 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tc>
      </w:tr>
      <w:tr w:rsidR="001A0B09" w14:paraId="419493ED" w14:textId="77777777" w:rsidTr="0039321F">
        <w:tc>
          <w:tcPr>
            <w:tcW w:w="703" w:type="dxa"/>
            <w:shd w:val="clear" w:color="auto" w:fill="FFFFFF"/>
            <w:vAlign w:val="center"/>
          </w:tcPr>
          <w:p w14:paraId="69AF0D3E" w14:textId="64E9CF1F" w:rsidR="001A0B09"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5.6. </w:t>
            </w:r>
            <w:r>
              <w:rPr>
                <w:rFonts w:ascii="Times New Roman" w:hAnsi="Times New Roman"/>
                <w:b/>
                <w:sz w:val="18"/>
                <w:szCs w:val="18"/>
              </w:rPr>
              <w:t>w tym: kiedy zabezpieczenie będące przedmiotem udzielonej pożyczki stanowią aktywa poziomu 1 w postaci obligacji zabezpieczonych charakteryzujących się wyjątkowo wysoką jakością</w:t>
            </w:r>
          </w:p>
          <w:p w14:paraId="266E001D" w14:textId="77777777" w:rsidR="001A0B09" w:rsidRDefault="001A0B09">
            <w:pPr>
              <w:spacing w:before="0" w:after="0"/>
              <w:ind w:left="28"/>
              <w:rPr>
                <w:rFonts w:ascii="Times New Roman" w:eastAsia="PMingLiU" w:hAnsi="Times New Roman"/>
                <w:b/>
                <w:sz w:val="18"/>
                <w:szCs w:val="18"/>
              </w:rPr>
            </w:pPr>
          </w:p>
          <w:p w14:paraId="5CAF0661" w14:textId="646418D9" w:rsidR="001A0B09" w:rsidRDefault="00F71050">
            <w:pPr>
              <w:spacing w:before="0" w:after="0"/>
              <w:ind w:left="28"/>
              <w:rPr>
                <w:rFonts w:ascii="Times New Roman" w:eastAsia="PMingLiU" w:hAnsi="Times New Roman"/>
                <w:bCs/>
                <w:sz w:val="18"/>
                <w:szCs w:val="18"/>
              </w:rPr>
            </w:pPr>
            <w:r>
              <w:rPr>
                <w:rFonts w:ascii="Times New Roman" w:hAnsi="Times New Roman"/>
                <w:sz w:val="18"/>
                <w:szCs w:val="22"/>
              </w:rPr>
              <w:t>Instytucje kredytowe zgłaszają w tej pozycji tę część transakcji zabezpieczających swap, których rezydualny termin zapadalności jest nie dłuższy niż 30 dni, w przypadku gdy kontrahentem jest bank centralny</w:t>
            </w:r>
            <w:r>
              <w:rPr>
                <w:rFonts w:ascii="Times New Roman" w:hAnsi="Times New Roman"/>
                <w:sz w:val="18"/>
              </w:rPr>
              <w:t>, zabezpieczenie będące przedmiotem udzielonej pożyczki jest zabezpieczeniem poziomu 1 w postaci obligacji zabezpieczonych charakteryzujących się wyjątkowo wysoką jakością</w:t>
            </w:r>
            <w:r>
              <w:rPr>
                <w:rFonts w:ascii="Times New Roman" w:hAnsi="Times New Roman"/>
                <w:sz w:val="18"/>
                <w:szCs w:val="22"/>
              </w:rPr>
              <w:t xml:space="preserve"> </w:t>
            </w:r>
            <w:r>
              <w:rPr>
                <w:rFonts w:ascii="Times New Roman" w:hAnsi="Times New Roman"/>
                <w:sz w:val="18"/>
              </w:rPr>
              <w:t xml:space="preserve">i 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tc>
      </w:tr>
      <w:tr w:rsidR="001A0B09" w14:paraId="646CC191" w14:textId="77777777" w:rsidTr="0039321F">
        <w:tc>
          <w:tcPr>
            <w:tcW w:w="703" w:type="dxa"/>
            <w:shd w:val="clear" w:color="auto" w:fill="FFFFFF"/>
            <w:vAlign w:val="center"/>
          </w:tcPr>
          <w:p w14:paraId="7BFBB905" w14:textId="78BBBDDD" w:rsidR="001A0B09"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5.7. </w:t>
            </w:r>
            <w:r>
              <w:rPr>
                <w:rFonts w:ascii="Times New Roman" w:hAnsi="Times New Roman"/>
                <w:b/>
                <w:sz w:val="18"/>
                <w:szCs w:val="18"/>
              </w:rPr>
              <w:t>w tym: kiedy zabezpieczenie będące przedmiotem udzielonej pożyczki stanowią aktywa poziomu 2A</w:t>
            </w:r>
          </w:p>
          <w:p w14:paraId="303B98C6" w14:textId="77777777" w:rsidR="001A0B09" w:rsidRDefault="001A0B09">
            <w:pPr>
              <w:spacing w:before="0" w:after="0"/>
              <w:ind w:left="28"/>
              <w:rPr>
                <w:rFonts w:ascii="Times New Roman" w:eastAsia="PMingLiU" w:hAnsi="Times New Roman"/>
                <w:b/>
                <w:sz w:val="18"/>
                <w:szCs w:val="18"/>
              </w:rPr>
            </w:pPr>
          </w:p>
          <w:p w14:paraId="0B7D63DD" w14:textId="06B63390" w:rsidR="001A0B09" w:rsidRDefault="00F71050">
            <w:pPr>
              <w:spacing w:before="0" w:after="0"/>
              <w:ind w:left="28"/>
              <w:rPr>
                <w:rFonts w:ascii="Times New Roman" w:eastAsia="PMingLiU" w:hAnsi="Times New Roman"/>
                <w:bCs/>
                <w:sz w:val="18"/>
                <w:szCs w:val="18"/>
              </w:rPr>
            </w:pPr>
            <w:r>
              <w:rPr>
                <w:rFonts w:ascii="Times New Roman" w:hAnsi="Times New Roman"/>
                <w:sz w:val="18"/>
                <w:szCs w:val="22"/>
              </w:rPr>
              <w:t>Instytucje kredytowe zgłaszają w tej pozycji tę część transakcji zabezpieczających swap, których rezydualny termin zapadalności termin zapadalności jest nie dłuższy niż 30 dni, w przypadku gdy kontrahentem jest bank centralny</w:t>
            </w:r>
            <w:r>
              <w:rPr>
                <w:rFonts w:ascii="Times New Roman" w:hAnsi="Times New Roman"/>
                <w:sz w:val="18"/>
              </w:rPr>
              <w:t xml:space="preserve">, zabezpieczenie będące przedmiotem udzielonej pożyczki jest zabezpieczeniem poziomu 2A </w:t>
            </w:r>
            <w:r>
              <w:rPr>
                <w:rFonts w:ascii="Times New Roman" w:hAnsi="Times New Roman"/>
                <w:sz w:val="18"/>
                <w:szCs w:val="22"/>
              </w:rPr>
              <w:t xml:space="preserve"> </w:t>
            </w:r>
            <w:r>
              <w:rPr>
                <w:rFonts w:ascii="Times New Roman" w:hAnsi="Times New Roman"/>
                <w:sz w:val="18"/>
              </w:rPr>
              <w:t xml:space="preserve">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tc>
      </w:tr>
      <w:tr w:rsidR="001A0B09" w14:paraId="67180475" w14:textId="77777777" w:rsidTr="0039321F">
        <w:tc>
          <w:tcPr>
            <w:tcW w:w="703" w:type="dxa"/>
            <w:shd w:val="clear" w:color="auto" w:fill="FFFFFF"/>
            <w:vAlign w:val="center"/>
          </w:tcPr>
          <w:p w14:paraId="3B4ABEED" w14:textId="556FACD0" w:rsidR="001A0B09"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1A0B09"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5.8. </w:t>
            </w:r>
            <w:r>
              <w:rPr>
                <w:rFonts w:ascii="Times New Roman" w:hAnsi="Times New Roman"/>
                <w:b/>
                <w:sz w:val="18"/>
                <w:szCs w:val="18"/>
              </w:rPr>
              <w:t>w tym: kiedy zabezpieczenie będące przedmiotem udzielonej pożyczki stanowią aktywa poziomu 2B</w:t>
            </w:r>
          </w:p>
          <w:p w14:paraId="29406BF2" w14:textId="77777777" w:rsidR="001A0B09" w:rsidRDefault="001A0B09">
            <w:pPr>
              <w:spacing w:before="0" w:after="0"/>
              <w:ind w:left="28"/>
              <w:rPr>
                <w:rFonts w:ascii="Times New Roman" w:eastAsia="PMingLiU" w:hAnsi="Times New Roman"/>
                <w:b/>
                <w:sz w:val="18"/>
                <w:szCs w:val="18"/>
              </w:rPr>
            </w:pPr>
          </w:p>
          <w:p w14:paraId="0AB1EE84" w14:textId="6ECBDE46" w:rsidR="001A0B09" w:rsidRDefault="00F71050">
            <w:pPr>
              <w:spacing w:before="0" w:after="0"/>
              <w:ind w:left="28"/>
              <w:rPr>
                <w:rFonts w:ascii="Times New Roman" w:eastAsia="PMingLiU" w:hAnsi="Times New Roman"/>
                <w:bCs/>
                <w:sz w:val="18"/>
                <w:szCs w:val="18"/>
              </w:rPr>
            </w:pPr>
            <w:r>
              <w:rPr>
                <w:rFonts w:ascii="Times New Roman" w:hAnsi="Times New Roman"/>
                <w:sz w:val="18"/>
                <w:szCs w:val="22"/>
              </w:rPr>
              <w:lastRenderedPageBreak/>
              <w:t>Instytucje kredytowe zgłaszają w tej pozycji tę część transakcji zabezpieczających swap, których rezydualny termin zapadalności termin zapadalności jest nie dłuższy niż 30 dni, w przypadku gdy kontrahentem jest bank centralny</w:t>
            </w:r>
            <w:r>
              <w:rPr>
                <w:rFonts w:ascii="Times New Roman" w:hAnsi="Times New Roman"/>
                <w:sz w:val="18"/>
              </w:rPr>
              <w:t xml:space="preserve">, zabezpieczenie będące przedmiotem udzielonej pożyczki jest zabezpieczeniem poziomu 2B spełniającym wymagania operacyjne określone w art. 8 </w:t>
            </w:r>
            <w:r>
              <w:rPr>
                <w:rFonts w:ascii="Times New Roman" w:hAnsi="Times New Roman"/>
                <w:sz w:val="18"/>
                <w:szCs w:val="22"/>
              </w:rPr>
              <w:t>rozporządzenia delegowanego (UE) 2015/61</w:t>
            </w:r>
            <w:r>
              <w:rPr>
                <w:rFonts w:ascii="Times New Roman" w:hAnsi="Times New Roman"/>
                <w:sz w:val="18"/>
              </w:rPr>
              <w:t xml:space="preserve">, </w:t>
            </w:r>
            <w:r>
              <w:rPr>
                <w:rFonts w:ascii="Times New Roman" w:hAnsi="Times New Roman"/>
                <w:sz w:val="18"/>
                <w:szCs w:val="22"/>
              </w:rPr>
              <w:t>a odnośne transakcje są wyłączone ze stosowania art. 17 ust. 2 i 3 rozporządzenia delegowanego (UE) 2015/61</w:t>
            </w:r>
            <w:r>
              <w:rPr>
                <w:rFonts w:ascii="Times New Roman" w:hAnsi="Times New Roman"/>
                <w:sz w:val="18"/>
              </w:rPr>
              <w:t xml:space="preserve"> </w:t>
            </w:r>
            <w:r>
              <w:rPr>
                <w:rFonts w:ascii="Times New Roman" w:hAnsi="Times New Roman"/>
                <w:sz w:val="18"/>
                <w:szCs w:val="22"/>
              </w:rPr>
              <w:t>na mocy art. 17 ust. 4 wspomnianego rozporządzenia.</w:t>
            </w:r>
          </w:p>
        </w:tc>
      </w:tr>
    </w:tbl>
    <w:p w14:paraId="1F6FF9C9" w14:textId="77777777" w:rsidR="001A0B09" w:rsidRDefault="001A0B09">
      <w:pPr>
        <w:rPr>
          <w:rFonts w:ascii="Times New Roman" w:eastAsia="PMingLiU" w:hAnsi="Times New Roman"/>
        </w:rPr>
      </w:pPr>
    </w:p>
    <w:p w14:paraId="3576CE63" w14:textId="06125ED3" w:rsidR="001A0B09" w:rsidRDefault="00881B4D">
      <w:pPr>
        <w:jc w:val="center"/>
        <w:rPr>
          <w:rFonts w:ascii="Times New Roman" w:hAnsi="Times New Roman"/>
          <w:b/>
          <w:sz w:val="24"/>
        </w:rPr>
      </w:pPr>
      <w:r>
        <w:rPr>
          <w:rFonts w:ascii="Times New Roman" w:hAnsi="Times New Roman"/>
          <w:b/>
        </w:rPr>
        <w:t>SPRAWOZDAWCZOŚĆ W ZAKRESIE PŁYNNOŚCI (CZĘŚĆ 5: OBLICZENIA)</w:t>
      </w:r>
    </w:p>
    <w:p w14:paraId="29D88EDF" w14:textId="1E1B0AC2" w:rsidR="001A0B0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Obliczenia</w:t>
      </w:r>
    </w:p>
    <w:p w14:paraId="73EDD1DB" w14:textId="0E787A8A" w:rsidR="001A0B0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Uwagi ogólne</w:t>
      </w:r>
    </w:p>
    <w:p w14:paraId="0598BE64" w14:textId="3F01AD3D" w:rsidR="001A0B09" w:rsidRDefault="00881B4D">
      <w:pPr>
        <w:pStyle w:val="InstructionsText2"/>
        <w:numPr>
          <w:ilvl w:val="0"/>
          <w:numId w:val="115"/>
        </w:numPr>
      </w:pPr>
      <w:r>
        <w:t>Poniżej przedstawiono formularz, który zawiera informacje dotyczące obliczeń przeprowadzanych na potrzeby sprawozdawczości w zakresie wymogu pokrycia wypływów netto określonego w rozporządzeniu delegowanym (UE) 2015/61. Pozycje, których instytucje nie muszą wypełniać, zaznaczono kolorem szarym.</w:t>
      </w:r>
    </w:p>
    <w:p w14:paraId="4FCCB14F" w14:textId="3E5FE456" w:rsidR="001A0B0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Uwagi szczegółowe</w:t>
      </w:r>
    </w:p>
    <w:p w14:paraId="7ABAF944" w14:textId="77777777" w:rsidR="001A0B09" w:rsidRDefault="00881B4D">
      <w:pPr>
        <w:pStyle w:val="InstructionsText2"/>
      </w:pPr>
      <w:r>
        <w:t>Odwołania do komórek mają następującą formę: formularz; wiersz; kolumna. Na przykład {C 72.00; r130; c040} odnosi się do formularza dotyczącego aktywów płynnych; wiersz 130; kolumna 040.</w:t>
      </w:r>
    </w:p>
    <w:p w14:paraId="0E1CEC89" w14:textId="7FC795A6" w:rsidR="001A0B09"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Formularz dotyczący obliczeń – Instrukcje dotyczące poszczególnych wierszy</w:t>
      </w:r>
    </w:p>
    <w:p w14:paraId="491C11F3" w14:textId="77777777" w:rsidR="001A0B09" w:rsidRDefault="001A0B09"/>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1A0B09" w14:paraId="7F43DA2F" w14:textId="77777777" w:rsidTr="00CB45E9">
        <w:tc>
          <w:tcPr>
            <w:tcW w:w="1099" w:type="dxa"/>
            <w:shd w:val="clear" w:color="auto" w:fill="E6E6E6"/>
            <w:vAlign w:val="center"/>
          </w:tcPr>
          <w:p w14:paraId="06AB03B0" w14:textId="77777777" w:rsidR="001A0B09" w:rsidRDefault="00881B4D">
            <w:pPr>
              <w:jc w:val="left"/>
              <w:rPr>
                <w:rFonts w:ascii="Times New Roman" w:hAnsi="Times New Roman"/>
                <w:b/>
                <w:bCs/>
                <w:sz w:val="18"/>
                <w:szCs w:val="18"/>
              </w:rPr>
            </w:pPr>
            <w:r>
              <w:rPr>
                <w:rFonts w:ascii="Times New Roman" w:hAnsi="Times New Roman"/>
                <w:b/>
                <w:bCs/>
                <w:sz w:val="18"/>
                <w:szCs w:val="18"/>
              </w:rPr>
              <w:t>Wiersz</w:t>
            </w:r>
          </w:p>
        </w:tc>
        <w:tc>
          <w:tcPr>
            <w:tcW w:w="7379" w:type="dxa"/>
            <w:gridSpan w:val="2"/>
            <w:shd w:val="clear" w:color="auto" w:fill="E6E6E6"/>
            <w:vAlign w:val="center"/>
          </w:tcPr>
          <w:p w14:paraId="69B92817" w14:textId="77777777" w:rsidR="001A0B09" w:rsidRDefault="00881B4D">
            <w:pPr>
              <w:spacing w:before="0" w:after="0"/>
              <w:jc w:val="left"/>
              <w:rPr>
                <w:rFonts w:ascii="Times New Roman" w:eastAsia="SimSun" w:hAnsi="Times New Roman"/>
                <w:b/>
                <w:sz w:val="18"/>
                <w:szCs w:val="18"/>
              </w:rPr>
            </w:pPr>
            <w:r>
              <w:rPr>
                <w:rFonts w:ascii="Times New Roman" w:hAnsi="Times New Roman"/>
                <w:b/>
                <w:bCs/>
                <w:sz w:val="18"/>
                <w:szCs w:val="18"/>
              </w:rPr>
              <w:t>Odniesienia prawne i instrukcje</w:t>
            </w:r>
          </w:p>
        </w:tc>
      </w:tr>
      <w:tr w:rsidR="001A0B09" w14:paraId="170E298A" w14:textId="77777777" w:rsidTr="00454544">
        <w:trPr>
          <w:gridAfter w:val="1"/>
          <w:wAfter w:w="8" w:type="dxa"/>
        </w:trPr>
        <w:tc>
          <w:tcPr>
            <w:tcW w:w="8470" w:type="dxa"/>
            <w:gridSpan w:val="2"/>
            <w:shd w:val="clear" w:color="auto" w:fill="E6E6E6"/>
            <w:vAlign w:val="center"/>
          </w:tcPr>
          <w:p w14:paraId="6916497D" w14:textId="77777777" w:rsidR="001A0B09" w:rsidRDefault="00881B4D">
            <w:pPr>
              <w:rPr>
                <w:rFonts w:ascii="Times New Roman" w:hAnsi="Times New Roman"/>
                <w:b/>
                <w:bCs/>
                <w:sz w:val="18"/>
                <w:szCs w:val="18"/>
              </w:rPr>
            </w:pPr>
            <w:r>
              <w:rPr>
                <w:rFonts w:ascii="Times New Roman" w:hAnsi="Times New Roman"/>
                <w:b/>
                <w:bCs/>
                <w:sz w:val="18"/>
                <w:szCs w:val="18"/>
              </w:rPr>
              <w:t>OBLICZENIA</w:t>
            </w:r>
          </w:p>
        </w:tc>
      </w:tr>
      <w:tr w:rsidR="001A0B09" w14:paraId="59AE932B" w14:textId="77777777" w:rsidTr="00454544">
        <w:trPr>
          <w:gridAfter w:val="1"/>
          <w:wAfter w:w="8" w:type="dxa"/>
        </w:trPr>
        <w:tc>
          <w:tcPr>
            <w:tcW w:w="8470" w:type="dxa"/>
            <w:gridSpan w:val="2"/>
            <w:shd w:val="clear" w:color="auto" w:fill="E6E6E6"/>
            <w:vAlign w:val="center"/>
          </w:tcPr>
          <w:p w14:paraId="155C408B" w14:textId="77777777" w:rsidR="001A0B09" w:rsidRDefault="00881B4D">
            <w:pPr>
              <w:rPr>
                <w:rFonts w:ascii="Times New Roman" w:hAnsi="Times New Roman"/>
                <w:b/>
                <w:bCs/>
                <w:sz w:val="18"/>
                <w:szCs w:val="18"/>
              </w:rPr>
            </w:pPr>
            <w:r>
              <w:rPr>
                <w:rFonts w:ascii="Times New Roman" w:hAnsi="Times New Roman"/>
                <w:b/>
                <w:bCs/>
                <w:sz w:val="18"/>
                <w:szCs w:val="18"/>
              </w:rPr>
              <w:t>Licznik, mianownik, wskaźnik</w:t>
            </w:r>
          </w:p>
          <w:p w14:paraId="0F24CAD3" w14:textId="26C4FC6A" w:rsidR="001A0B09" w:rsidRDefault="00881B4D">
            <w:pPr>
              <w:spacing w:before="0" w:after="0" w:line="360" w:lineRule="auto"/>
              <w:ind w:left="33"/>
              <w:rPr>
                <w:rFonts w:ascii="Times New Roman" w:hAnsi="Times New Roman"/>
                <w:sz w:val="18"/>
                <w:szCs w:val="18"/>
              </w:rPr>
            </w:pPr>
            <w:r>
              <w:rPr>
                <w:rFonts w:ascii="Times New Roman" w:hAnsi="Times New Roman"/>
                <w:sz w:val="18"/>
                <w:szCs w:val="18"/>
              </w:rPr>
              <w:t>Art. 4 rozporządzenia delegowanego (UE) 2015/61.</w:t>
            </w:r>
          </w:p>
          <w:p w14:paraId="1185A838" w14:textId="77777777" w:rsidR="001A0B09" w:rsidRDefault="00881B4D">
            <w:pPr>
              <w:spacing w:before="0" w:after="0" w:line="360" w:lineRule="auto"/>
              <w:ind w:left="33"/>
              <w:rPr>
                <w:rFonts w:ascii="Times New Roman" w:hAnsi="Times New Roman"/>
                <w:sz w:val="18"/>
                <w:szCs w:val="18"/>
              </w:rPr>
            </w:pPr>
            <w:r>
              <w:rPr>
                <w:rFonts w:ascii="Times New Roman" w:hAnsi="Times New Roman"/>
                <w:sz w:val="18"/>
                <w:szCs w:val="18"/>
              </w:rPr>
              <w:t>Licznik, mianownik i wskaźnik w przypadku wskaźnika pokrycia wypływów netto.</w:t>
            </w:r>
          </w:p>
          <w:p w14:paraId="4F931C39" w14:textId="77777777" w:rsidR="001A0B09" w:rsidRDefault="00881B4D">
            <w:pPr>
              <w:spacing w:before="0" w:after="0" w:line="360" w:lineRule="auto"/>
              <w:ind w:left="33"/>
              <w:rPr>
                <w:rFonts w:ascii="Times New Roman" w:hAnsi="Times New Roman"/>
                <w:sz w:val="18"/>
                <w:szCs w:val="18"/>
              </w:rPr>
            </w:pPr>
            <w:r>
              <w:rPr>
                <w:rFonts w:ascii="Times New Roman" w:hAnsi="Times New Roman"/>
                <w:sz w:val="18"/>
                <w:szCs w:val="18"/>
              </w:rPr>
              <w:t>Wszystkie poniższe dane należy wprowadzić w kolumnie 010 danego wiersza.</w:t>
            </w:r>
          </w:p>
        </w:tc>
      </w:tr>
      <w:tr w:rsidR="001A0B09" w14:paraId="3FE32B66" w14:textId="77777777" w:rsidTr="00454544">
        <w:tc>
          <w:tcPr>
            <w:tcW w:w="1099" w:type="dxa"/>
            <w:vAlign w:val="center"/>
          </w:tcPr>
          <w:p w14:paraId="1950B802" w14:textId="77777777" w:rsidR="001A0B09"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Zabezpieczenie przed utratą płynności</w:t>
            </w:r>
          </w:p>
          <w:p w14:paraId="1E56656F" w14:textId="77777777" w:rsidR="001A0B09" w:rsidRDefault="001A0B09">
            <w:pPr>
              <w:spacing w:before="0" w:after="0"/>
              <w:jc w:val="left"/>
              <w:rPr>
                <w:rFonts w:ascii="Times New Roman" w:hAnsi="Times New Roman"/>
                <w:bCs/>
                <w:sz w:val="18"/>
                <w:szCs w:val="18"/>
              </w:rPr>
            </w:pPr>
          </w:p>
          <w:p w14:paraId="737E16E8"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 xml:space="preserve">Należy zgłosić wartość określoną w </w:t>
            </w:r>
            <w:r>
              <w:rPr>
                <w:rFonts w:ascii="Times New Roman" w:hAnsi="Times New Roman"/>
                <w:bCs/>
                <w:sz w:val="18"/>
                <w:szCs w:val="18"/>
              </w:rPr>
              <w:t>{C 76.00; r290; c010}.</w:t>
            </w:r>
          </w:p>
          <w:p w14:paraId="4741BC57" w14:textId="77777777" w:rsidR="001A0B09" w:rsidRDefault="001A0B09">
            <w:pPr>
              <w:spacing w:before="0" w:after="0"/>
              <w:jc w:val="left"/>
              <w:rPr>
                <w:rFonts w:ascii="Times New Roman" w:hAnsi="Times New Roman"/>
                <w:bCs/>
                <w:sz w:val="18"/>
                <w:szCs w:val="18"/>
              </w:rPr>
            </w:pPr>
          </w:p>
        </w:tc>
      </w:tr>
      <w:tr w:rsidR="001A0B09" w14:paraId="0768C20B" w14:textId="77777777" w:rsidTr="00454544">
        <w:tc>
          <w:tcPr>
            <w:tcW w:w="1099" w:type="dxa"/>
            <w:vAlign w:val="center"/>
          </w:tcPr>
          <w:p w14:paraId="0904C113" w14:textId="77777777" w:rsidR="001A0B09"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1A0B09"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Wypływy płynności netto</w:t>
            </w:r>
          </w:p>
          <w:p w14:paraId="538B4DE0" w14:textId="77777777" w:rsidR="001A0B09" w:rsidRDefault="001A0B09">
            <w:pPr>
              <w:spacing w:before="0" w:after="0"/>
              <w:jc w:val="left"/>
              <w:rPr>
                <w:rFonts w:ascii="Times New Roman" w:hAnsi="Times New Roman"/>
                <w:bCs/>
                <w:sz w:val="18"/>
                <w:szCs w:val="18"/>
              </w:rPr>
            </w:pPr>
          </w:p>
          <w:p w14:paraId="22377AD8"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 xml:space="preserve">Należy zgłosić wartość określoną w </w:t>
            </w:r>
            <w:r>
              <w:rPr>
                <w:rFonts w:ascii="Times New Roman" w:hAnsi="Times New Roman"/>
                <w:bCs/>
                <w:sz w:val="18"/>
                <w:szCs w:val="18"/>
              </w:rPr>
              <w:t>{C 76.00; r370; c010}.</w:t>
            </w:r>
          </w:p>
          <w:p w14:paraId="45707C99" w14:textId="77777777" w:rsidR="001A0B09" w:rsidRDefault="001A0B09">
            <w:pPr>
              <w:spacing w:before="0" w:after="0"/>
              <w:jc w:val="left"/>
              <w:rPr>
                <w:rFonts w:ascii="Times New Roman" w:hAnsi="Times New Roman"/>
                <w:bCs/>
                <w:sz w:val="18"/>
                <w:szCs w:val="18"/>
              </w:rPr>
            </w:pPr>
          </w:p>
        </w:tc>
      </w:tr>
      <w:tr w:rsidR="001A0B09" w14:paraId="1CE8DCB6" w14:textId="77777777" w:rsidTr="00454544">
        <w:tc>
          <w:tcPr>
            <w:tcW w:w="1099" w:type="dxa"/>
            <w:vAlign w:val="center"/>
          </w:tcPr>
          <w:p w14:paraId="58E8C5E9" w14:textId="77777777" w:rsidR="001A0B09"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1A0B09"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Wskaźnik pokrycia wypływów netto (%)</w:t>
            </w:r>
          </w:p>
          <w:p w14:paraId="35410DAB" w14:textId="77777777" w:rsidR="001A0B09" w:rsidRDefault="001A0B09">
            <w:pPr>
              <w:spacing w:before="0" w:after="0"/>
              <w:jc w:val="left"/>
              <w:rPr>
                <w:rFonts w:ascii="Times New Roman" w:hAnsi="Times New Roman"/>
                <w:b/>
                <w:bCs/>
                <w:sz w:val="18"/>
                <w:szCs w:val="18"/>
              </w:rPr>
            </w:pPr>
          </w:p>
          <w:p w14:paraId="1BB63044" w14:textId="6E1432C4" w:rsidR="001A0B09" w:rsidRDefault="00881B4D">
            <w:pPr>
              <w:spacing w:before="0" w:after="0"/>
              <w:jc w:val="left"/>
              <w:rPr>
                <w:rFonts w:ascii="Times New Roman" w:hAnsi="Times New Roman"/>
                <w:bCs/>
                <w:sz w:val="18"/>
                <w:szCs w:val="18"/>
              </w:rPr>
            </w:pPr>
            <w:r>
              <w:rPr>
                <w:rFonts w:ascii="Times New Roman" w:hAnsi="Times New Roman"/>
                <w:sz w:val="18"/>
                <w:szCs w:val="18"/>
              </w:rPr>
              <w:t xml:space="preserve">Należy zgłosić wartość wskaźnika pokrycia wypływów netto obliczoną zgodnie z art. 4 ust. 1 </w:t>
            </w:r>
            <w:r>
              <w:rPr>
                <w:rFonts w:ascii="Times New Roman" w:hAnsi="Times New Roman"/>
                <w:bCs/>
                <w:sz w:val="18"/>
                <w:szCs w:val="18"/>
              </w:rPr>
              <w:t>rozporządzenia delegowanego (UE) 2015/61.</w:t>
            </w:r>
          </w:p>
          <w:p w14:paraId="37665DB2" w14:textId="77777777" w:rsidR="001A0B09" w:rsidRDefault="001A0B09">
            <w:pPr>
              <w:spacing w:before="0" w:after="0"/>
              <w:jc w:val="left"/>
              <w:rPr>
                <w:rFonts w:ascii="Times New Roman" w:hAnsi="Times New Roman"/>
                <w:bCs/>
                <w:sz w:val="18"/>
                <w:szCs w:val="18"/>
              </w:rPr>
            </w:pPr>
          </w:p>
          <w:p w14:paraId="6D2549F5" w14:textId="77777777" w:rsidR="001A0B09"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Wskaźnik pokrycia wypływów netto jest równy stosunkowi posiadanego przez instytucję kredytową zabezpieczenia przed utratą płynności do jej wypływów płynności netto przez okres występowania warunków skrajnych trwający 30 dni kalendarzowych; wskaźnik ten jest wyrażony procentowo.</w:t>
            </w:r>
          </w:p>
          <w:p w14:paraId="4A93231B" w14:textId="77777777" w:rsidR="001A0B09" w:rsidRDefault="001A0B09">
            <w:pPr>
              <w:autoSpaceDE w:val="0"/>
              <w:autoSpaceDN w:val="0"/>
              <w:adjustRightInd w:val="0"/>
              <w:spacing w:before="0" w:after="0"/>
              <w:ind w:left="56"/>
              <w:rPr>
                <w:rFonts w:ascii="Times New Roman" w:hAnsi="Times New Roman"/>
                <w:sz w:val="18"/>
                <w:szCs w:val="18"/>
              </w:rPr>
            </w:pPr>
          </w:p>
          <w:p w14:paraId="09B69A41"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 xml:space="preserve">Jeżeli wartość </w:t>
            </w:r>
            <w:r>
              <w:rPr>
                <w:rFonts w:ascii="Times New Roman" w:hAnsi="Times New Roman"/>
                <w:bCs/>
                <w:sz w:val="18"/>
                <w:szCs w:val="18"/>
              </w:rPr>
              <w:t>{C 76.00; r020; c010}</w:t>
            </w:r>
            <w:r>
              <w:rPr>
                <w:rFonts w:ascii="Times New Roman" w:hAnsi="Times New Roman"/>
                <w:sz w:val="18"/>
                <w:szCs w:val="18"/>
              </w:rPr>
              <w:t xml:space="preserve"> jest równa zeru (co powoduje, że wartość wskaźnika jest równa nieskończoności), należy zgłosić wartość 999999.</w:t>
            </w:r>
          </w:p>
          <w:p w14:paraId="3D48621E" w14:textId="77777777" w:rsidR="001A0B09" w:rsidRDefault="001A0B09">
            <w:pPr>
              <w:spacing w:before="0" w:after="0"/>
              <w:jc w:val="left"/>
              <w:rPr>
                <w:rFonts w:ascii="Times New Roman" w:hAnsi="Times New Roman"/>
                <w:b/>
                <w:bCs/>
                <w:sz w:val="18"/>
                <w:szCs w:val="18"/>
              </w:rPr>
            </w:pPr>
          </w:p>
        </w:tc>
      </w:tr>
      <w:tr w:rsidR="001A0B09" w14:paraId="0B73D285" w14:textId="77777777" w:rsidTr="00454544">
        <w:tc>
          <w:tcPr>
            <w:tcW w:w="8478" w:type="dxa"/>
            <w:gridSpan w:val="3"/>
            <w:shd w:val="clear" w:color="auto" w:fill="D9D9D9"/>
            <w:vAlign w:val="center"/>
          </w:tcPr>
          <w:p w14:paraId="2C67F45B" w14:textId="77777777" w:rsidR="001A0B09" w:rsidRDefault="00881B4D">
            <w:pPr>
              <w:ind w:left="56"/>
              <w:rPr>
                <w:rFonts w:ascii="Times New Roman" w:hAnsi="Times New Roman"/>
                <w:b/>
                <w:bCs/>
                <w:sz w:val="18"/>
                <w:szCs w:val="18"/>
              </w:rPr>
            </w:pPr>
            <w:r>
              <w:rPr>
                <w:rFonts w:ascii="Times New Roman" w:hAnsi="Times New Roman"/>
                <w:b/>
                <w:bCs/>
                <w:sz w:val="18"/>
                <w:szCs w:val="18"/>
              </w:rPr>
              <w:t>Wyliczenie licznika</w:t>
            </w:r>
          </w:p>
          <w:p w14:paraId="2B16106A" w14:textId="77777777" w:rsidR="001A0B09" w:rsidRDefault="001A0B09">
            <w:pPr>
              <w:spacing w:before="0" w:after="0"/>
              <w:ind w:left="56"/>
              <w:rPr>
                <w:rFonts w:ascii="Times New Roman" w:hAnsi="Times New Roman"/>
                <w:b/>
                <w:sz w:val="18"/>
                <w:szCs w:val="18"/>
              </w:rPr>
            </w:pPr>
          </w:p>
          <w:p w14:paraId="088085AF" w14:textId="17EC7541" w:rsidR="001A0B09" w:rsidRDefault="00881B4D">
            <w:pPr>
              <w:spacing w:before="0" w:after="0"/>
              <w:ind w:left="56"/>
              <w:rPr>
                <w:rFonts w:ascii="Times New Roman" w:hAnsi="Times New Roman"/>
                <w:sz w:val="18"/>
                <w:szCs w:val="18"/>
              </w:rPr>
            </w:pPr>
            <w:r>
              <w:rPr>
                <w:rFonts w:ascii="Times New Roman" w:hAnsi="Times New Roman"/>
                <w:sz w:val="18"/>
                <w:szCs w:val="18"/>
              </w:rPr>
              <w:t>Art. 17 i załącznik I do rozporządzenia delegowanego (UE) 2015/61.</w:t>
            </w:r>
          </w:p>
          <w:p w14:paraId="45952F84" w14:textId="77777777" w:rsidR="001A0B09" w:rsidRDefault="00881B4D">
            <w:pPr>
              <w:spacing w:after="0" w:line="360" w:lineRule="auto"/>
              <w:ind w:left="56"/>
              <w:rPr>
                <w:rFonts w:ascii="Times New Roman" w:hAnsi="Times New Roman"/>
                <w:sz w:val="18"/>
                <w:szCs w:val="18"/>
              </w:rPr>
            </w:pPr>
            <w:r>
              <w:rPr>
                <w:rFonts w:ascii="Times New Roman" w:hAnsi="Times New Roman"/>
                <w:sz w:val="18"/>
                <w:szCs w:val="18"/>
              </w:rPr>
              <w:lastRenderedPageBreak/>
              <w:t>Wzór stosowany do obliczania zabezpieczenia przed utratą płynności.</w:t>
            </w:r>
          </w:p>
          <w:p w14:paraId="074CA37D" w14:textId="77777777" w:rsidR="001A0B09" w:rsidRDefault="00881B4D">
            <w:pPr>
              <w:spacing w:before="0" w:after="0" w:line="360" w:lineRule="auto"/>
              <w:ind w:left="56"/>
              <w:rPr>
                <w:rFonts w:ascii="Times New Roman" w:hAnsi="Times New Roman"/>
                <w:sz w:val="18"/>
                <w:szCs w:val="18"/>
              </w:rPr>
            </w:pPr>
            <w:r>
              <w:rPr>
                <w:rFonts w:ascii="Times New Roman" w:hAnsi="Times New Roman"/>
                <w:sz w:val="18"/>
                <w:szCs w:val="18"/>
              </w:rPr>
              <w:t>Wszystkie poniższe dane należy wprowadzić w kolumnie 010 danego wiersza.</w:t>
            </w:r>
          </w:p>
          <w:p w14:paraId="22289F4B" w14:textId="77777777" w:rsidR="001A0B09" w:rsidRDefault="001A0B09">
            <w:pPr>
              <w:spacing w:before="0" w:after="0"/>
              <w:ind w:left="56"/>
              <w:rPr>
                <w:rFonts w:ascii="Times New Roman" w:hAnsi="Times New Roman"/>
                <w:sz w:val="18"/>
                <w:szCs w:val="18"/>
              </w:rPr>
            </w:pPr>
          </w:p>
        </w:tc>
      </w:tr>
      <w:tr w:rsidR="001A0B09" w14:paraId="1FD9CEB0" w14:textId="77777777" w:rsidTr="00454544">
        <w:tc>
          <w:tcPr>
            <w:tcW w:w="1099" w:type="dxa"/>
            <w:vAlign w:val="center"/>
          </w:tcPr>
          <w:p w14:paraId="755FFCB9" w14:textId="77777777" w:rsidR="001A0B09" w:rsidRDefault="00881B4D">
            <w:pPr>
              <w:jc w:val="center"/>
              <w:rPr>
                <w:rFonts w:ascii="Times New Roman" w:hAnsi="Times New Roman"/>
                <w:sz w:val="18"/>
                <w:szCs w:val="18"/>
              </w:rPr>
            </w:pPr>
            <w:r>
              <w:rPr>
                <w:rFonts w:ascii="Times New Roman" w:hAnsi="Times New Roman"/>
                <w:sz w:val="18"/>
                <w:szCs w:val="18"/>
              </w:rPr>
              <w:lastRenderedPageBreak/>
              <w:t>040</w:t>
            </w:r>
          </w:p>
        </w:tc>
        <w:tc>
          <w:tcPr>
            <w:tcW w:w="7379" w:type="dxa"/>
            <w:gridSpan w:val="2"/>
          </w:tcPr>
          <w:p w14:paraId="7E6F3F30" w14:textId="655AEF3D"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Aktywa poziomu 1, z wyłączeniem obligacji zabezpieczonych charakteryzujących się wyjątkowo wysoką jakością – zabezpieczenie przed utratą płynności (wartość obliczona zgodnie z art. 9): nieskorygowana</w:t>
            </w:r>
          </w:p>
          <w:p w14:paraId="0CD8098E" w14:textId="77777777" w:rsidR="001A0B09" w:rsidRDefault="001A0B09">
            <w:pPr>
              <w:spacing w:before="0" w:after="0"/>
              <w:jc w:val="left"/>
              <w:rPr>
                <w:rFonts w:ascii="Times New Roman" w:hAnsi="Times New Roman"/>
                <w:bCs/>
                <w:sz w:val="18"/>
                <w:szCs w:val="18"/>
              </w:rPr>
            </w:pPr>
          </w:p>
          <w:p w14:paraId="56F33C77"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 xml:space="preserve">Należy zgłosić wartość określoną w </w:t>
            </w:r>
            <w:r>
              <w:rPr>
                <w:rFonts w:ascii="Times New Roman" w:hAnsi="Times New Roman"/>
                <w:bCs/>
                <w:sz w:val="18"/>
                <w:szCs w:val="18"/>
              </w:rPr>
              <w:t>{C 72.00; r030; c040}</w:t>
            </w:r>
            <w:r>
              <w:rPr>
                <w:rFonts w:ascii="Times New Roman" w:hAnsi="Times New Roman"/>
                <w:sz w:val="18"/>
                <w:szCs w:val="18"/>
              </w:rPr>
              <w:t>.</w:t>
            </w:r>
          </w:p>
          <w:p w14:paraId="4C637DB1" w14:textId="77777777" w:rsidR="001A0B09" w:rsidRDefault="001A0B09">
            <w:pPr>
              <w:spacing w:before="0" w:after="0"/>
              <w:jc w:val="left"/>
              <w:rPr>
                <w:rFonts w:ascii="Times New Roman" w:hAnsi="Times New Roman"/>
                <w:bCs/>
                <w:sz w:val="18"/>
                <w:szCs w:val="18"/>
              </w:rPr>
            </w:pPr>
          </w:p>
        </w:tc>
      </w:tr>
      <w:tr w:rsidR="001A0B09" w14:paraId="3DA974A0" w14:textId="77777777" w:rsidTr="00454544">
        <w:tc>
          <w:tcPr>
            <w:tcW w:w="1099" w:type="dxa"/>
            <w:vAlign w:val="center"/>
          </w:tcPr>
          <w:p w14:paraId="01DAF22F" w14:textId="77777777" w:rsidR="001A0B09"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Zabezpieczenie aktywami poziomu 1, z wyłączeniem obligacji zabezpieczonych charakteryzujących się wyjątkowo wysoką jakością – wypływy w okresie 30 dni</w:t>
            </w:r>
          </w:p>
          <w:p w14:paraId="074D7850" w14:textId="77777777" w:rsidR="001A0B09" w:rsidRDefault="001A0B09">
            <w:pPr>
              <w:autoSpaceDE w:val="0"/>
              <w:autoSpaceDN w:val="0"/>
              <w:adjustRightInd w:val="0"/>
              <w:spacing w:before="0" w:after="0"/>
              <w:ind w:left="56"/>
              <w:rPr>
                <w:rFonts w:ascii="Times New Roman" w:hAnsi="Times New Roman"/>
                <w:bCs/>
                <w:sz w:val="18"/>
                <w:szCs w:val="18"/>
              </w:rPr>
            </w:pPr>
          </w:p>
          <w:p w14:paraId="420D5966" w14:textId="6C98F2F0" w:rsidR="001A0B09" w:rsidRDefault="00881B4D">
            <w:pPr>
              <w:spacing w:before="0" w:after="0"/>
              <w:jc w:val="left"/>
              <w:rPr>
                <w:rFonts w:ascii="Times New Roman" w:hAnsi="Times New Roman"/>
                <w:sz w:val="18"/>
                <w:szCs w:val="18"/>
              </w:rPr>
            </w:pPr>
            <w:r>
              <w:rPr>
                <w:rFonts w:ascii="Times New Roman" w:hAnsi="Times New Roman"/>
                <w:bCs/>
                <w:sz w:val="18"/>
                <w:szCs w:val="18"/>
              </w:rPr>
              <w:t>Należy zgłosić wypływy aktywów poziomu 1</w:t>
            </w:r>
            <w:r>
              <w:rPr>
                <w:rFonts w:ascii="Times New Roman" w:hAnsi="Times New Roman"/>
                <w:sz w:val="18"/>
                <w:szCs w:val="18"/>
              </w:rPr>
              <w:t xml:space="preserve"> w postaci</w:t>
            </w:r>
            <w:r>
              <w:rPr>
                <w:rFonts w:ascii="Times New Roman" w:hAnsi="Times New Roman"/>
                <w:bCs/>
                <w:sz w:val="18"/>
                <w:szCs w:val="18"/>
              </w:rPr>
              <w:t xml:space="preserve"> płynnych </w:t>
            </w:r>
            <w:r>
              <w:rPr>
                <w:rFonts w:ascii="Times New Roman" w:hAnsi="Times New Roman"/>
                <w:sz w:val="18"/>
                <w:szCs w:val="18"/>
              </w:rPr>
              <w:t>papierów wartościowych (z wyłączeniem obligacji zabezpieczonych charakteryzujących się wyjątkowo wysoką jakością)</w:t>
            </w:r>
            <w:r>
              <w:rPr>
                <w:rFonts w:ascii="Times New Roman" w:hAnsi="Times New Roman"/>
                <w:bCs/>
                <w:sz w:val="18"/>
                <w:szCs w:val="18"/>
              </w:rPr>
              <w:t xml:space="preserve"> z uwzględnieniem zamknięcia każdej zabezpieczonej transakcji finansowania lub transakcji zabezpieczającej swap, której termin zapadalności przypada w ciągu 30 dni kalendarzowych od dnia odniesienia, chyba że transakcja podlega odstępstwu na mocy art. 17 ust. 4 rozporządzenia delegowanego (UE) 2015/61.</w:t>
            </w:r>
          </w:p>
          <w:p w14:paraId="152B6AB6" w14:textId="77777777" w:rsidR="001A0B09" w:rsidRDefault="001A0B09">
            <w:pPr>
              <w:spacing w:before="0" w:after="0"/>
              <w:ind w:left="56"/>
              <w:rPr>
                <w:rFonts w:ascii="Times New Roman" w:hAnsi="Times New Roman"/>
                <w:bCs/>
                <w:sz w:val="18"/>
                <w:szCs w:val="18"/>
              </w:rPr>
            </w:pPr>
          </w:p>
        </w:tc>
      </w:tr>
      <w:tr w:rsidR="001A0B09" w14:paraId="7380359D" w14:textId="77777777" w:rsidTr="00454544">
        <w:tc>
          <w:tcPr>
            <w:tcW w:w="1099" w:type="dxa"/>
            <w:vAlign w:val="center"/>
          </w:tcPr>
          <w:p w14:paraId="28EBF3EB" w14:textId="77777777" w:rsidR="001A0B09"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Zabezpieczenie aktywami poziomu 1, z wyłączeniem obligacji zabezpieczonych charakteryzujących się wyjątkowo wysoką jakością – wpływy w okresie 30 dni</w:t>
            </w:r>
          </w:p>
          <w:p w14:paraId="3E9A42B6" w14:textId="77777777" w:rsidR="001A0B09" w:rsidRDefault="001A0B09">
            <w:pPr>
              <w:spacing w:before="0" w:after="0"/>
              <w:ind w:left="56"/>
              <w:rPr>
                <w:rFonts w:ascii="Times New Roman" w:hAnsi="Times New Roman"/>
                <w:bCs/>
                <w:sz w:val="18"/>
                <w:szCs w:val="18"/>
              </w:rPr>
            </w:pPr>
          </w:p>
          <w:p w14:paraId="3EFE208D" w14:textId="42ACE416" w:rsidR="001A0B09" w:rsidRDefault="00881B4D">
            <w:pPr>
              <w:spacing w:before="0" w:after="0"/>
              <w:ind w:left="56"/>
              <w:rPr>
                <w:rFonts w:ascii="Times New Roman" w:hAnsi="Times New Roman"/>
                <w:sz w:val="18"/>
                <w:szCs w:val="18"/>
              </w:rPr>
            </w:pPr>
            <w:r>
              <w:rPr>
                <w:rFonts w:ascii="Times New Roman" w:hAnsi="Times New Roman"/>
                <w:bCs/>
                <w:sz w:val="18"/>
                <w:szCs w:val="18"/>
              </w:rPr>
              <w:t xml:space="preserve">Należy zgłosić wpływy </w:t>
            </w:r>
            <w:r>
              <w:rPr>
                <w:rFonts w:ascii="Times New Roman" w:hAnsi="Times New Roman"/>
                <w:sz w:val="18"/>
                <w:szCs w:val="18"/>
              </w:rPr>
              <w:t>aktywów poziomu 1 w postaci płynnych papierów wartościowych (z wyłączeniem obligacji zabezpieczonych charakteryzujących się wyjątkowo wysoką jakością) z uwzględnieniem zamknięcia każdej zabezpieczonej transakcji finansowania, zabezpieczonej transakcji kredytowej lub transakcji zabezpieczającej swap, której termin zapadalności przypada w ciągu 30 dni kalendarzowych od dnia odniesienia, chyba że transakcja podlega odstępstwu na mocy art. 17 ust. 4 rozporządzenia delegowanego (UE) 2015/61.</w:t>
            </w:r>
          </w:p>
          <w:p w14:paraId="3633924C" w14:textId="77777777" w:rsidR="001A0B09" w:rsidRDefault="001A0B09">
            <w:pPr>
              <w:spacing w:before="0" w:after="0"/>
              <w:jc w:val="left"/>
              <w:rPr>
                <w:rFonts w:ascii="Times New Roman" w:hAnsi="Times New Roman"/>
                <w:bCs/>
                <w:sz w:val="18"/>
                <w:szCs w:val="18"/>
              </w:rPr>
            </w:pPr>
          </w:p>
        </w:tc>
      </w:tr>
      <w:tr w:rsidR="001A0B09" w14:paraId="02DBCDB8" w14:textId="77777777" w:rsidTr="00454544">
        <w:tc>
          <w:tcPr>
            <w:tcW w:w="1099" w:type="dxa"/>
            <w:vAlign w:val="center"/>
          </w:tcPr>
          <w:p w14:paraId="1895B73B" w14:textId="77777777" w:rsidR="001A0B09"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Zabezpieczone wypływy środków pieniężnych w okresie 30 dni</w:t>
            </w:r>
          </w:p>
          <w:p w14:paraId="0656E897" w14:textId="77777777" w:rsidR="001A0B09" w:rsidRDefault="001A0B09">
            <w:pPr>
              <w:spacing w:before="0" w:after="0"/>
              <w:ind w:left="56"/>
              <w:rPr>
                <w:rFonts w:ascii="Times New Roman" w:hAnsi="Times New Roman"/>
                <w:sz w:val="18"/>
                <w:szCs w:val="18"/>
              </w:rPr>
            </w:pPr>
          </w:p>
          <w:p w14:paraId="4F25AEC3" w14:textId="7DB7066A" w:rsidR="001A0B09" w:rsidRDefault="00881B4D">
            <w:pPr>
              <w:spacing w:before="0" w:after="0"/>
              <w:ind w:left="56"/>
              <w:rPr>
                <w:rFonts w:ascii="Times New Roman" w:hAnsi="Times New Roman"/>
                <w:sz w:val="18"/>
                <w:szCs w:val="18"/>
              </w:rPr>
            </w:pPr>
            <w:r>
              <w:rPr>
                <w:rFonts w:ascii="Times New Roman" w:hAnsi="Times New Roman"/>
                <w:bCs/>
                <w:sz w:val="18"/>
                <w:szCs w:val="18"/>
              </w:rPr>
              <w:t>Należy zgłosić wypływy środków pieniężnych (</w:t>
            </w:r>
            <w:r>
              <w:rPr>
                <w:rFonts w:ascii="Times New Roman" w:hAnsi="Times New Roman"/>
                <w:sz w:val="18"/>
                <w:szCs w:val="18"/>
              </w:rPr>
              <w:t>aktywów poziomu 1) z uwzględnieniem zamknięcia każdej zabezpieczonej transakcji finansowania lub zabezpieczonej transakcji kredytowej, której termin zapadalności przypada w ciągu 30 dni kalendarzowych od dnia odniesienia, chyba że transakcja podlega odstępstwu na mocy art. 17 ust. 4 rozporządzenia delegowanego (UE) 2015/61.</w:t>
            </w:r>
          </w:p>
          <w:p w14:paraId="73AE5ABC" w14:textId="77777777" w:rsidR="001A0B09" w:rsidRDefault="001A0B09">
            <w:pPr>
              <w:spacing w:before="0" w:after="0"/>
              <w:jc w:val="left"/>
              <w:rPr>
                <w:rFonts w:ascii="Times New Roman" w:hAnsi="Times New Roman"/>
                <w:bCs/>
                <w:sz w:val="18"/>
                <w:szCs w:val="18"/>
              </w:rPr>
            </w:pPr>
          </w:p>
        </w:tc>
      </w:tr>
      <w:tr w:rsidR="001A0B09" w14:paraId="3B56114E" w14:textId="77777777" w:rsidTr="00454544">
        <w:tc>
          <w:tcPr>
            <w:tcW w:w="1099" w:type="dxa"/>
            <w:vAlign w:val="center"/>
          </w:tcPr>
          <w:p w14:paraId="456FC337" w14:textId="77777777" w:rsidR="001A0B09"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Zabezpieczone wpływy środków pieniężnych w okresie 30 dni</w:t>
            </w:r>
          </w:p>
          <w:p w14:paraId="194CE794" w14:textId="77777777" w:rsidR="001A0B09" w:rsidRDefault="001A0B09">
            <w:pPr>
              <w:spacing w:before="0" w:after="0"/>
              <w:ind w:left="56"/>
              <w:rPr>
                <w:rFonts w:ascii="Times New Roman" w:hAnsi="Times New Roman"/>
                <w:sz w:val="18"/>
                <w:szCs w:val="18"/>
              </w:rPr>
            </w:pPr>
          </w:p>
          <w:p w14:paraId="365CCB0B" w14:textId="717E1C52" w:rsidR="001A0B09" w:rsidRDefault="00881B4D">
            <w:pPr>
              <w:spacing w:before="0" w:after="0"/>
              <w:ind w:left="56"/>
              <w:rPr>
                <w:rFonts w:ascii="Times New Roman" w:hAnsi="Times New Roman"/>
                <w:sz w:val="18"/>
                <w:szCs w:val="18"/>
              </w:rPr>
            </w:pPr>
            <w:r>
              <w:rPr>
                <w:rFonts w:ascii="Times New Roman" w:hAnsi="Times New Roman"/>
                <w:bCs/>
                <w:sz w:val="18"/>
                <w:szCs w:val="18"/>
              </w:rPr>
              <w:t>Należy zgłosić wpływy środków pieniężnych (</w:t>
            </w:r>
            <w:r>
              <w:rPr>
                <w:rFonts w:ascii="Times New Roman" w:hAnsi="Times New Roman"/>
                <w:sz w:val="18"/>
                <w:szCs w:val="18"/>
              </w:rPr>
              <w:t>aktywów poziomu 1) z uwzględnieniem zamknięcia każdej zabezpieczonej transakcji finansowania lub zabezpieczonej transakcji kredytowej, której termin zapadalności przypada w ciągu 30 dni kalendarzowych od dnia odniesienia, chyba że transakcja podlega odstępstwu na mocy art. 17 ust. 4 rozporządzenia delegowanego (UE) 2015/61.</w:t>
            </w:r>
          </w:p>
          <w:p w14:paraId="20E63A44" w14:textId="77777777" w:rsidR="001A0B09" w:rsidRDefault="001A0B09">
            <w:pPr>
              <w:spacing w:before="0" w:after="0"/>
              <w:jc w:val="left"/>
              <w:rPr>
                <w:rFonts w:ascii="Times New Roman" w:hAnsi="Times New Roman"/>
                <w:b/>
                <w:bCs/>
                <w:sz w:val="18"/>
                <w:szCs w:val="18"/>
              </w:rPr>
            </w:pPr>
          </w:p>
        </w:tc>
      </w:tr>
      <w:tr w:rsidR="001A0B09" w14:paraId="55A39D42" w14:textId="77777777" w:rsidTr="00454544">
        <w:tc>
          <w:tcPr>
            <w:tcW w:w="1099" w:type="dxa"/>
            <w:vAlign w:val="center"/>
          </w:tcPr>
          <w:p w14:paraId="6FE2A590" w14:textId="0E1173BF" w:rsidR="001A0B09"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1A0B09" w:rsidRDefault="00881B4D">
            <w:pPr>
              <w:ind w:left="56"/>
              <w:rPr>
                <w:rFonts w:ascii="Times New Roman" w:hAnsi="Times New Roman"/>
                <w:b/>
                <w:sz w:val="18"/>
                <w:szCs w:val="18"/>
              </w:rPr>
            </w:pPr>
            <w:r>
              <w:rPr>
                <w:rFonts w:ascii="Times New Roman" w:hAnsi="Times New Roman"/>
                <w:b/>
                <w:sz w:val="18"/>
                <w:szCs w:val="18"/>
              </w:rPr>
              <w:t>9. Aktywa poziomu 1, z wyłączeniem obligacji zabezpieczonych charakteryzujących się wyjątkowo wysoką jakością – „skorygowana kwota”</w:t>
            </w:r>
          </w:p>
          <w:p w14:paraId="610263F9" w14:textId="23E60A4A" w:rsidR="001A0B09" w:rsidRDefault="00881B4D">
            <w:pPr>
              <w:spacing w:before="0" w:after="0"/>
              <w:ind w:left="56"/>
              <w:rPr>
                <w:rFonts w:ascii="Times New Roman" w:hAnsi="Times New Roman"/>
                <w:bCs/>
                <w:sz w:val="18"/>
                <w:szCs w:val="18"/>
              </w:rPr>
            </w:pPr>
            <w:r>
              <w:rPr>
                <w:rFonts w:ascii="Times New Roman" w:hAnsi="Times New Roman"/>
                <w:bCs/>
                <w:sz w:val="18"/>
                <w:szCs w:val="18"/>
              </w:rPr>
              <w:t>Taką kwotę określa się w pkt 3 lit. a) załącznika I.</w:t>
            </w:r>
          </w:p>
          <w:p w14:paraId="33C237B3" w14:textId="77777777" w:rsidR="001A0B09" w:rsidRDefault="001A0B09">
            <w:pPr>
              <w:spacing w:before="0" w:after="0"/>
              <w:ind w:left="56"/>
              <w:rPr>
                <w:rFonts w:ascii="Times New Roman" w:hAnsi="Times New Roman"/>
                <w:sz w:val="18"/>
                <w:szCs w:val="18"/>
              </w:rPr>
            </w:pPr>
          </w:p>
          <w:p w14:paraId="3CDFAB9D" w14:textId="77777777" w:rsidR="001A0B09" w:rsidRDefault="00881B4D">
            <w:pPr>
              <w:spacing w:before="0" w:after="0"/>
              <w:ind w:left="56"/>
              <w:rPr>
                <w:rFonts w:ascii="Times New Roman" w:hAnsi="Times New Roman"/>
                <w:sz w:val="18"/>
                <w:szCs w:val="18"/>
              </w:rPr>
            </w:pPr>
            <w:r>
              <w:rPr>
                <w:rFonts w:ascii="Times New Roman" w:hAnsi="Times New Roman"/>
                <w:sz w:val="18"/>
                <w:szCs w:val="18"/>
              </w:rPr>
              <w:t>Należy zgłosić skorygowaną kwotę przed zastosowaniem ograniczenia aktywów poziomu 1 stanowiących aktywa inne niż obligacje zabezpieczone.</w:t>
            </w:r>
          </w:p>
          <w:p w14:paraId="6BC77ADA" w14:textId="77777777" w:rsidR="001A0B09" w:rsidRDefault="001A0B09">
            <w:pPr>
              <w:spacing w:before="0" w:after="0"/>
              <w:ind w:left="56"/>
              <w:rPr>
                <w:rFonts w:ascii="Times New Roman" w:hAnsi="Times New Roman"/>
                <w:sz w:val="18"/>
                <w:szCs w:val="18"/>
              </w:rPr>
            </w:pPr>
          </w:p>
          <w:p w14:paraId="5EC0EEB6" w14:textId="4E9226E6" w:rsidR="001A0B09" w:rsidRDefault="00881B4D">
            <w:pPr>
              <w:spacing w:before="0" w:after="0"/>
              <w:ind w:left="56"/>
              <w:rPr>
                <w:rFonts w:ascii="Times New Roman" w:hAnsi="Times New Roman"/>
                <w:sz w:val="18"/>
                <w:szCs w:val="18"/>
              </w:rPr>
            </w:pPr>
            <w:r>
              <w:rPr>
                <w:rFonts w:ascii="Times New Roman" w:hAnsi="Times New Roman"/>
                <w:bCs/>
                <w:sz w:val="18"/>
                <w:szCs w:val="18"/>
              </w:rPr>
              <w:t>Przy obliczaniu skorygowan</w:t>
            </w:r>
            <w:r>
              <w:rPr>
                <w:rFonts w:ascii="Times New Roman" w:hAnsi="Times New Roman"/>
                <w:sz w:val="18"/>
                <w:szCs w:val="18"/>
              </w:rPr>
              <w:t xml:space="preserve">ej kwoty </w:t>
            </w:r>
            <w:r>
              <w:rPr>
                <w:rFonts w:ascii="Times New Roman" w:hAnsi="Times New Roman"/>
                <w:bCs/>
                <w:sz w:val="18"/>
                <w:szCs w:val="18"/>
              </w:rPr>
              <w:t xml:space="preserve">bierze się pod uwagę </w:t>
            </w:r>
            <w:r>
              <w:rPr>
                <w:rFonts w:ascii="Times New Roman" w:hAnsi="Times New Roman"/>
                <w:sz w:val="18"/>
                <w:szCs w:val="18"/>
              </w:rPr>
              <w:t>skutki zamknięcia zabezpieczonych transakcji finansowania, zabezpieczonych transakcji kredytowych lub transakcji zabezpieczających swap, których termin zapadalności przypada w ciągu 30 dni kalendarzowych od dnia odniesienia, chyba że transakcja podlega odstępstwu na mocy art. 17 ust. 4 rozporządzenia delegowanego (UE) 2015/61.</w:t>
            </w:r>
          </w:p>
          <w:p w14:paraId="2A929D27" w14:textId="77777777" w:rsidR="001A0B09" w:rsidRDefault="001A0B09">
            <w:pPr>
              <w:spacing w:before="0" w:after="0"/>
              <w:ind w:left="56"/>
              <w:rPr>
                <w:rFonts w:ascii="Times New Roman" w:hAnsi="Times New Roman"/>
                <w:b/>
                <w:sz w:val="18"/>
                <w:szCs w:val="18"/>
              </w:rPr>
            </w:pPr>
          </w:p>
        </w:tc>
      </w:tr>
      <w:tr w:rsidR="001A0B09" w14:paraId="5C5E840A" w14:textId="77777777" w:rsidTr="00454544">
        <w:tc>
          <w:tcPr>
            <w:tcW w:w="1099" w:type="dxa"/>
            <w:vAlign w:val="center"/>
          </w:tcPr>
          <w:p w14:paraId="00D4E0BF" w14:textId="77777777" w:rsidR="001A0B09" w:rsidRDefault="00881B4D">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Aktywa poziomu 1 w postaci obligacji zabezpieczonych charakteryzujących się wyjątkowo wysoką jakością – wartość obliczona zgodnie z art. 9: nieskorygowana</w:t>
            </w:r>
          </w:p>
          <w:p w14:paraId="09C71225" w14:textId="77777777" w:rsidR="001A0B09" w:rsidRDefault="001A0B09">
            <w:pPr>
              <w:spacing w:before="0" w:after="0"/>
              <w:jc w:val="left"/>
              <w:rPr>
                <w:rFonts w:ascii="Times New Roman" w:hAnsi="Times New Roman"/>
                <w:bCs/>
                <w:sz w:val="18"/>
                <w:szCs w:val="18"/>
              </w:rPr>
            </w:pPr>
          </w:p>
          <w:p w14:paraId="350FD757" w14:textId="77777777" w:rsidR="001A0B09" w:rsidRDefault="00881B4D">
            <w:pPr>
              <w:spacing w:before="0" w:after="0"/>
              <w:jc w:val="left"/>
              <w:rPr>
                <w:rFonts w:ascii="Times New Roman" w:hAnsi="Times New Roman"/>
                <w:b/>
                <w:bCs/>
                <w:sz w:val="18"/>
                <w:szCs w:val="18"/>
              </w:rPr>
            </w:pPr>
            <w:r>
              <w:rPr>
                <w:rFonts w:ascii="Times New Roman" w:hAnsi="Times New Roman"/>
                <w:sz w:val="18"/>
                <w:szCs w:val="18"/>
              </w:rPr>
              <w:t>Należy zgłosić wartość określoną w {C 72.00; r180; c040}.</w:t>
            </w:r>
          </w:p>
          <w:p w14:paraId="3BC4F128" w14:textId="77777777" w:rsidR="001A0B09" w:rsidRDefault="001A0B09">
            <w:pPr>
              <w:spacing w:before="0" w:after="0"/>
              <w:jc w:val="left"/>
              <w:rPr>
                <w:rFonts w:ascii="Times New Roman" w:hAnsi="Times New Roman"/>
                <w:bCs/>
                <w:sz w:val="18"/>
                <w:szCs w:val="18"/>
              </w:rPr>
            </w:pPr>
          </w:p>
          <w:p w14:paraId="0D645005" w14:textId="77777777" w:rsidR="001A0B09" w:rsidRDefault="001A0B09">
            <w:pPr>
              <w:spacing w:before="0" w:after="0"/>
              <w:jc w:val="left"/>
              <w:rPr>
                <w:rFonts w:ascii="Times New Roman" w:hAnsi="Times New Roman"/>
                <w:b/>
                <w:bCs/>
                <w:sz w:val="18"/>
                <w:szCs w:val="18"/>
              </w:rPr>
            </w:pPr>
          </w:p>
        </w:tc>
      </w:tr>
      <w:tr w:rsidR="001A0B09" w14:paraId="44814C1D" w14:textId="77777777" w:rsidTr="00454544">
        <w:tc>
          <w:tcPr>
            <w:tcW w:w="1099" w:type="dxa"/>
            <w:vAlign w:val="center"/>
          </w:tcPr>
          <w:p w14:paraId="30FC64A0" w14:textId="77777777" w:rsidR="001A0B09" w:rsidRDefault="00881B4D">
            <w:pPr>
              <w:jc w:val="center"/>
              <w:rPr>
                <w:rFonts w:ascii="Times New Roman" w:hAnsi="Times New Roman"/>
                <w:sz w:val="18"/>
                <w:szCs w:val="18"/>
              </w:rPr>
            </w:pPr>
            <w:r>
              <w:rPr>
                <w:rFonts w:ascii="Times New Roman" w:hAnsi="Times New Roman"/>
                <w:sz w:val="18"/>
                <w:szCs w:val="18"/>
              </w:rPr>
              <w:lastRenderedPageBreak/>
              <w:t>110</w:t>
            </w:r>
          </w:p>
        </w:tc>
        <w:tc>
          <w:tcPr>
            <w:tcW w:w="7379" w:type="dxa"/>
            <w:gridSpan w:val="2"/>
          </w:tcPr>
          <w:p w14:paraId="5DAD24AA" w14:textId="77777777"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Zabezpieczenie aktywami poziomu 1 w postaci obligacji zabezpieczonych charakteryzujących się wyjątkowo wysoką jakością – wypływy w okresie 30 dni</w:t>
            </w:r>
          </w:p>
          <w:p w14:paraId="56648617" w14:textId="77777777" w:rsidR="001A0B09" w:rsidRDefault="001A0B09">
            <w:pPr>
              <w:spacing w:before="0" w:after="0"/>
              <w:ind w:left="56"/>
              <w:rPr>
                <w:rFonts w:ascii="Times New Roman" w:hAnsi="Times New Roman"/>
                <w:bCs/>
                <w:sz w:val="18"/>
                <w:szCs w:val="18"/>
              </w:rPr>
            </w:pPr>
          </w:p>
          <w:p w14:paraId="6979159E" w14:textId="7461FD5E" w:rsidR="001A0B09" w:rsidRDefault="00881B4D">
            <w:pPr>
              <w:spacing w:before="0" w:after="0"/>
              <w:ind w:left="56"/>
              <w:rPr>
                <w:rFonts w:ascii="Times New Roman" w:hAnsi="Times New Roman"/>
                <w:sz w:val="18"/>
                <w:szCs w:val="18"/>
              </w:rPr>
            </w:pPr>
            <w:r>
              <w:rPr>
                <w:rFonts w:ascii="Times New Roman" w:hAnsi="Times New Roman"/>
                <w:bCs/>
                <w:sz w:val="18"/>
                <w:szCs w:val="18"/>
              </w:rPr>
              <w:t xml:space="preserve">Należy zgłosić wypływy </w:t>
            </w:r>
            <w:r>
              <w:rPr>
                <w:rFonts w:ascii="Times New Roman" w:hAnsi="Times New Roman"/>
                <w:sz w:val="18"/>
                <w:szCs w:val="18"/>
              </w:rPr>
              <w:t>aktywów poziomu 1 w postaci obligacji zabezpieczonych charakteryzujących się wyjątkowo wysoką jakością z uwzględnieniem zamknięcia każdej zabezpieczonej transakcji finansowania, zabezpieczonej transakcji kredytowej lub transakcji zabezpieczającej swap, której termin zapadalności przypada w ciągu 30 dni kalendarzowych od dnia odniesienia, chyba że transakcja podlega odstępstwu na mocy art. 17 ust. 4 rozporządzenia delegowanego (UE) 2015/61.</w:t>
            </w:r>
          </w:p>
          <w:p w14:paraId="653F3280" w14:textId="77777777" w:rsidR="001A0B09" w:rsidRDefault="001A0B09">
            <w:pPr>
              <w:spacing w:before="0" w:after="0"/>
              <w:ind w:left="56"/>
              <w:rPr>
                <w:rFonts w:ascii="Times New Roman" w:hAnsi="Times New Roman"/>
                <w:sz w:val="18"/>
                <w:szCs w:val="18"/>
              </w:rPr>
            </w:pPr>
          </w:p>
        </w:tc>
      </w:tr>
      <w:tr w:rsidR="001A0B09" w14:paraId="417B5B5D" w14:textId="77777777" w:rsidTr="00454544">
        <w:tc>
          <w:tcPr>
            <w:tcW w:w="1099" w:type="dxa"/>
            <w:shd w:val="clear" w:color="auto" w:fill="FFFFFF"/>
            <w:vAlign w:val="center"/>
          </w:tcPr>
          <w:p w14:paraId="2F51D8CA" w14:textId="77777777" w:rsidR="001A0B09"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Zabezpieczenie aktywami poziomu 1 w postaci obligacji zabezpieczonych charakteryzujących się wyjątkowo wysoką jakością – wpływy w okresie 30 dni</w:t>
            </w:r>
          </w:p>
          <w:p w14:paraId="1C47F50E" w14:textId="77777777" w:rsidR="001A0B09" w:rsidRDefault="001A0B09">
            <w:pPr>
              <w:spacing w:before="0" w:after="0"/>
              <w:ind w:left="56"/>
              <w:rPr>
                <w:rFonts w:ascii="Times New Roman" w:hAnsi="Times New Roman"/>
                <w:sz w:val="18"/>
                <w:szCs w:val="18"/>
              </w:rPr>
            </w:pPr>
          </w:p>
          <w:p w14:paraId="0F90CFAA" w14:textId="6E41E832" w:rsidR="001A0B09" w:rsidRDefault="00881B4D">
            <w:pPr>
              <w:ind w:left="56"/>
              <w:rPr>
                <w:rFonts w:ascii="Times New Roman" w:hAnsi="Times New Roman"/>
                <w:sz w:val="18"/>
                <w:szCs w:val="18"/>
              </w:rPr>
            </w:pPr>
            <w:r>
              <w:rPr>
                <w:rFonts w:ascii="Times New Roman" w:hAnsi="Times New Roman"/>
                <w:bCs/>
                <w:sz w:val="18"/>
                <w:szCs w:val="18"/>
              </w:rPr>
              <w:t xml:space="preserve">Należy zgłosić wpływy </w:t>
            </w:r>
            <w:r>
              <w:rPr>
                <w:rFonts w:ascii="Times New Roman" w:hAnsi="Times New Roman"/>
                <w:sz w:val="18"/>
                <w:szCs w:val="18"/>
              </w:rPr>
              <w:t>aktywów poziomu 1 w postaci obligacji zabezpieczonych charakteryzujących się wyjątkowo wysoką jakością z uwzględnieniem zamknięcia każdej zabezpieczonej transakcji finansowania, zabezpieczonej transakcji kredytowej lub transakcji zabezpieczającej swap, której termin zapadalności przypada w ciągu 30 dni kalendarzowych od dnia odniesienia, chyba ze transakcja podlega odstępstwu na mocy art. 17 ust. 4 rozporządzenia delegowanego (UE) 2015/61.</w:t>
            </w:r>
          </w:p>
        </w:tc>
      </w:tr>
      <w:tr w:rsidR="001A0B09" w14:paraId="6832DDC9" w14:textId="77777777" w:rsidTr="00454544">
        <w:tc>
          <w:tcPr>
            <w:tcW w:w="1099" w:type="dxa"/>
            <w:shd w:val="clear" w:color="auto" w:fill="FFFFFF"/>
            <w:vAlign w:val="center"/>
          </w:tcPr>
          <w:p w14:paraId="346CD7E0" w14:textId="7175B953" w:rsidR="001A0B09"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Aktywa poziomu 1 w postaci obligacji zabezpieczonych charakteryzujących się wyjątkowo wysoką jakością – „skorygowana kwota”</w:t>
            </w:r>
          </w:p>
          <w:p w14:paraId="4BD89F98" w14:textId="77777777" w:rsidR="001A0B09" w:rsidRDefault="001A0B09">
            <w:pPr>
              <w:spacing w:before="0" w:after="0"/>
              <w:jc w:val="left"/>
              <w:rPr>
                <w:rFonts w:ascii="Times New Roman" w:hAnsi="Times New Roman"/>
                <w:bCs/>
                <w:sz w:val="18"/>
                <w:szCs w:val="18"/>
              </w:rPr>
            </w:pPr>
          </w:p>
          <w:p w14:paraId="506F54B2" w14:textId="1D2D2BB8" w:rsidR="001A0B09" w:rsidRDefault="00881B4D">
            <w:pPr>
              <w:spacing w:before="0" w:after="0"/>
              <w:jc w:val="left"/>
              <w:rPr>
                <w:rFonts w:ascii="Times New Roman" w:hAnsi="Times New Roman"/>
                <w:sz w:val="18"/>
                <w:szCs w:val="18"/>
              </w:rPr>
            </w:pPr>
            <w:r>
              <w:rPr>
                <w:rFonts w:ascii="Times New Roman" w:hAnsi="Times New Roman"/>
                <w:bCs/>
                <w:sz w:val="18"/>
                <w:szCs w:val="18"/>
              </w:rPr>
              <w:t>Taką kwotę określa się w pkt 3 lit. b) załącznika I.</w:t>
            </w:r>
          </w:p>
          <w:p w14:paraId="5A111FA2" w14:textId="77777777" w:rsidR="001A0B09" w:rsidRDefault="001A0B09">
            <w:pPr>
              <w:spacing w:before="0" w:after="0"/>
              <w:jc w:val="left"/>
              <w:rPr>
                <w:rFonts w:ascii="Times New Roman" w:hAnsi="Times New Roman"/>
                <w:sz w:val="18"/>
                <w:szCs w:val="18"/>
              </w:rPr>
            </w:pPr>
          </w:p>
          <w:p w14:paraId="5DF76410" w14:textId="77777777" w:rsidR="001A0B09" w:rsidRDefault="00881B4D">
            <w:pPr>
              <w:spacing w:before="0" w:after="0"/>
              <w:ind w:left="56"/>
              <w:rPr>
                <w:rFonts w:ascii="Times New Roman" w:hAnsi="Times New Roman"/>
                <w:sz w:val="18"/>
                <w:szCs w:val="18"/>
              </w:rPr>
            </w:pPr>
            <w:r>
              <w:rPr>
                <w:rFonts w:ascii="Times New Roman" w:hAnsi="Times New Roman"/>
                <w:sz w:val="18"/>
                <w:szCs w:val="18"/>
              </w:rPr>
              <w:t>Należy zgłosić skorygowaną kwotę aktywów poziomu 1 stanowiących obligacje zabezpieczone przed zastosowaniem ograniczenia.</w:t>
            </w:r>
          </w:p>
          <w:p w14:paraId="76C6AE53" w14:textId="77777777" w:rsidR="001A0B09" w:rsidRDefault="001A0B09">
            <w:pPr>
              <w:spacing w:before="0" w:after="0"/>
              <w:ind w:left="56"/>
              <w:rPr>
                <w:rFonts w:ascii="Times New Roman" w:hAnsi="Times New Roman"/>
                <w:sz w:val="18"/>
                <w:szCs w:val="18"/>
              </w:rPr>
            </w:pPr>
          </w:p>
          <w:p w14:paraId="3F1A914D" w14:textId="4C53AC66" w:rsidR="001A0B09" w:rsidRDefault="00881B4D">
            <w:pPr>
              <w:spacing w:before="0" w:after="0"/>
              <w:jc w:val="left"/>
              <w:rPr>
                <w:rFonts w:ascii="Times New Roman" w:hAnsi="Times New Roman"/>
                <w:b/>
                <w:sz w:val="18"/>
                <w:szCs w:val="18"/>
              </w:rPr>
            </w:pPr>
            <w:r>
              <w:rPr>
                <w:rFonts w:ascii="Times New Roman" w:hAnsi="Times New Roman"/>
                <w:sz w:val="18"/>
                <w:szCs w:val="18"/>
              </w:rPr>
              <w:t>Przy obliczaniu skorygowan</w:t>
            </w:r>
            <w:r>
              <w:rPr>
                <w:rFonts w:ascii="Times New Roman" w:hAnsi="Times New Roman"/>
                <w:bCs/>
                <w:sz w:val="18"/>
                <w:szCs w:val="18"/>
              </w:rPr>
              <w:t xml:space="preserve">ej kwoty </w:t>
            </w:r>
            <w:r>
              <w:rPr>
                <w:rFonts w:ascii="Times New Roman" w:hAnsi="Times New Roman"/>
                <w:sz w:val="18"/>
                <w:szCs w:val="18"/>
              </w:rPr>
              <w:t xml:space="preserve">bierze się pod uwagę </w:t>
            </w:r>
            <w:r>
              <w:rPr>
                <w:rFonts w:ascii="Times New Roman" w:hAnsi="Times New Roman"/>
                <w:bCs/>
                <w:sz w:val="18"/>
                <w:szCs w:val="18"/>
              </w:rPr>
              <w:t xml:space="preserve">skutki zamknięcia zabezpieczonych transakcji finansowania, zabezpieczonych transakcji kredytowych lub transakcji zabezpieczających swap, których termin zapadalności przypada w ciągu 30 dni kalendarzowych od dnia odniesienia, </w:t>
            </w:r>
            <w:r>
              <w:rPr>
                <w:rFonts w:ascii="Times New Roman" w:hAnsi="Times New Roman"/>
                <w:sz w:val="18"/>
                <w:szCs w:val="18"/>
              </w:rPr>
              <w:t>chyba że transakcja podlega odstępstwu na mocy art. 17 ust. 4 rozporządzenia delegowanego (UE) 2015/61</w:t>
            </w:r>
            <w:r>
              <w:rPr>
                <w:rFonts w:ascii="Times New Roman" w:hAnsi="Times New Roman"/>
                <w:bCs/>
                <w:sz w:val="18"/>
                <w:szCs w:val="18"/>
              </w:rPr>
              <w:t>.</w:t>
            </w:r>
          </w:p>
          <w:p w14:paraId="79450738" w14:textId="77777777" w:rsidR="001A0B09" w:rsidRDefault="001A0B09">
            <w:pPr>
              <w:spacing w:before="0" w:after="0"/>
              <w:jc w:val="left"/>
              <w:rPr>
                <w:rFonts w:ascii="Times New Roman" w:hAnsi="Times New Roman"/>
                <w:b/>
                <w:sz w:val="18"/>
                <w:szCs w:val="18"/>
              </w:rPr>
            </w:pPr>
          </w:p>
        </w:tc>
      </w:tr>
      <w:tr w:rsidR="001A0B09" w14:paraId="34F79033" w14:textId="77777777" w:rsidTr="00454544">
        <w:tc>
          <w:tcPr>
            <w:tcW w:w="1099" w:type="dxa"/>
            <w:shd w:val="clear" w:color="auto" w:fill="FFFFFF"/>
            <w:vAlign w:val="center"/>
          </w:tcPr>
          <w:p w14:paraId="7B312711" w14:textId="77777777" w:rsidR="001A0B09"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Aktywa poziomu 2A – wartość obliczona zgodnie z art. 9: nieskorygowana</w:t>
            </w:r>
          </w:p>
          <w:p w14:paraId="58DAEDC8" w14:textId="77777777" w:rsidR="001A0B09" w:rsidRDefault="001A0B09">
            <w:pPr>
              <w:spacing w:before="0" w:after="0"/>
              <w:jc w:val="left"/>
              <w:rPr>
                <w:rFonts w:ascii="Times New Roman" w:hAnsi="Times New Roman"/>
                <w:bCs/>
                <w:sz w:val="18"/>
                <w:szCs w:val="18"/>
              </w:rPr>
            </w:pPr>
          </w:p>
          <w:p w14:paraId="61E0E905"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Należy zgłosić wartość określoną w {C 72.00; r230; c040}.</w:t>
            </w:r>
          </w:p>
          <w:p w14:paraId="0C585D14" w14:textId="77777777" w:rsidR="001A0B09" w:rsidRDefault="001A0B09">
            <w:pPr>
              <w:spacing w:before="0" w:after="0"/>
              <w:jc w:val="left"/>
              <w:rPr>
                <w:rFonts w:ascii="Times New Roman" w:hAnsi="Times New Roman"/>
                <w:bCs/>
                <w:sz w:val="18"/>
                <w:szCs w:val="18"/>
              </w:rPr>
            </w:pPr>
          </w:p>
        </w:tc>
      </w:tr>
      <w:tr w:rsidR="001A0B09" w14:paraId="5F5F67F7" w14:textId="77777777" w:rsidTr="00454544">
        <w:tc>
          <w:tcPr>
            <w:tcW w:w="1099" w:type="dxa"/>
            <w:shd w:val="clear" w:color="auto" w:fill="FFFFFF"/>
            <w:vAlign w:val="center"/>
          </w:tcPr>
          <w:p w14:paraId="1863B664" w14:textId="77777777" w:rsidR="001A0B09"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Zabezpieczenie aktywami poziomu 2A – wypływy w okresie 30 dni</w:t>
            </w:r>
          </w:p>
          <w:p w14:paraId="21AA9DAB" w14:textId="77777777" w:rsidR="001A0B09" w:rsidRDefault="001A0B09">
            <w:pPr>
              <w:spacing w:before="0" w:after="0"/>
              <w:ind w:left="56"/>
              <w:rPr>
                <w:rFonts w:ascii="Times New Roman" w:hAnsi="Times New Roman"/>
                <w:bCs/>
                <w:sz w:val="18"/>
                <w:szCs w:val="18"/>
              </w:rPr>
            </w:pPr>
          </w:p>
          <w:p w14:paraId="296F728D" w14:textId="285851EB" w:rsidR="001A0B09" w:rsidRDefault="00881B4D">
            <w:pPr>
              <w:spacing w:before="0" w:after="0"/>
              <w:ind w:left="56"/>
              <w:rPr>
                <w:rFonts w:ascii="Times New Roman" w:hAnsi="Times New Roman"/>
                <w:bCs/>
                <w:sz w:val="18"/>
                <w:szCs w:val="18"/>
              </w:rPr>
            </w:pPr>
            <w:r>
              <w:rPr>
                <w:rFonts w:ascii="Times New Roman" w:hAnsi="Times New Roman"/>
                <w:bCs/>
                <w:sz w:val="18"/>
                <w:szCs w:val="18"/>
              </w:rPr>
              <w:t>Należy zgłosić wypływy aktywów poziomu 2A</w:t>
            </w:r>
            <w:r>
              <w:rPr>
                <w:rFonts w:ascii="Times New Roman" w:hAnsi="Times New Roman"/>
                <w:sz w:val="18"/>
                <w:szCs w:val="18"/>
              </w:rPr>
              <w:t xml:space="preserve"> </w:t>
            </w:r>
            <w:r>
              <w:rPr>
                <w:rFonts w:ascii="Times New Roman" w:hAnsi="Times New Roman"/>
                <w:bCs/>
                <w:sz w:val="18"/>
                <w:szCs w:val="18"/>
              </w:rPr>
              <w:t xml:space="preserve">w postaci płynnych </w:t>
            </w:r>
            <w:r>
              <w:rPr>
                <w:rFonts w:ascii="Times New Roman" w:hAnsi="Times New Roman"/>
                <w:sz w:val="18"/>
                <w:szCs w:val="18"/>
              </w:rPr>
              <w:t>papierów wartościowych</w:t>
            </w:r>
            <w:r>
              <w:rPr>
                <w:rFonts w:ascii="Times New Roman" w:hAnsi="Times New Roman"/>
                <w:bCs/>
                <w:sz w:val="18"/>
                <w:szCs w:val="18"/>
              </w:rPr>
              <w:t xml:space="preserve"> z uwzględnieniem zamknięcia każdej zabezpieczonej transakcji finansowania, zabezpieczonej transakcji kredytowej lub transakcji zabezpieczającej swapp, której termin zapadalności przypada w ciągu 30 dni kalendarzowych od dnia obliczenia, </w:t>
            </w:r>
            <w:r>
              <w:rPr>
                <w:rFonts w:ascii="Times New Roman" w:hAnsi="Times New Roman"/>
                <w:sz w:val="18"/>
                <w:szCs w:val="18"/>
              </w:rPr>
              <w:t>chyba że transakcja podlega odstępstwu na mocy art. 17 ust. 4 rozporządzenia delegowanego (UE) 2015/61</w:t>
            </w:r>
            <w:r>
              <w:rPr>
                <w:rFonts w:ascii="Times New Roman" w:hAnsi="Times New Roman"/>
                <w:bCs/>
                <w:sz w:val="18"/>
                <w:szCs w:val="18"/>
              </w:rPr>
              <w:t>.</w:t>
            </w:r>
          </w:p>
          <w:p w14:paraId="338A655D" w14:textId="77777777" w:rsidR="001A0B09" w:rsidRDefault="001A0B09">
            <w:pPr>
              <w:spacing w:before="0" w:after="0"/>
              <w:jc w:val="left"/>
              <w:rPr>
                <w:rFonts w:ascii="Times New Roman" w:hAnsi="Times New Roman"/>
                <w:bCs/>
                <w:sz w:val="18"/>
                <w:szCs w:val="18"/>
              </w:rPr>
            </w:pPr>
          </w:p>
        </w:tc>
      </w:tr>
      <w:tr w:rsidR="001A0B09" w14:paraId="115D6AAE" w14:textId="77777777" w:rsidTr="00454544">
        <w:tc>
          <w:tcPr>
            <w:tcW w:w="1099" w:type="dxa"/>
            <w:shd w:val="clear" w:color="auto" w:fill="FFFFFF"/>
            <w:vAlign w:val="center"/>
          </w:tcPr>
          <w:p w14:paraId="6A245DFF" w14:textId="77777777" w:rsidR="001A0B09"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Zabezpieczenie aktywami poziomu 2A – wpływy w okresie 30 dni</w:t>
            </w:r>
          </w:p>
          <w:p w14:paraId="277D9E3D" w14:textId="77777777" w:rsidR="001A0B09" w:rsidRDefault="001A0B09">
            <w:pPr>
              <w:spacing w:before="0" w:after="0"/>
              <w:ind w:left="56"/>
              <w:rPr>
                <w:rFonts w:ascii="Times New Roman" w:hAnsi="Times New Roman"/>
                <w:bCs/>
                <w:sz w:val="18"/>
                <w:szCs w:val="18"/>
              </w:rPr>
            </w:pPr>
          </w:p>
          <w:p w14:paraId="192C5072" w14:textId="5F4B6B54" w:rsidR="001A0B09" w:rsidRDefault="00881B4D">
            <w:pPr>
              <w:spacing w:before="0" w:after="0"/>
              <w:ind w:left="56"/>
              <w:rPr>
                <w:rFonts w:ascii="Times New Roman" w:hAnsi="Times New Roman"/>
                <w:bCs/>
                <w:sz w:val="18"/>
                <w:szCs w:val="18"/>
              </w:rPr>
            </w:pPr>
            <w:r>
              <w:rPr>
                <w:rFonts w:ascii="Times New Roman" w:hAnsi="Times New Roman"/>
                <w:bCs/>
                <w:sz w:val="18"/>
                <w:szCs w:val="18"/>
              </w:rPr>
              <w:t>Należy zgłosić wpływy aktywów poziomu 2A</w:t>
            </w:r>
            <w:r>
              <w:rPr>
                <w:rFonts w:ascii="Times New Roman" w:hAnsi="Times New Roman"/>
                <w:sz w:val="18"/>
                <w:szCs w:val="18"/>
              </w:rPr>
              <w:t xml:space="preserve"> </w:t>
            </w:r>
            <w:r>
              <w:rPr>
                <w:rFonts w:ascii="Times New Roman" w:hAnsi="Times New Roman"/>
                <w:bCs/>
                <w:sz w:val="18"/>
                <w:szCs w:val="18"/>
              </w:rPr>
              <w:t xml:space="preserve">w postaci płynnych </w:t>
            </w:r>
            <w:r>
              <w:rPr>
                <w:rFonts w:ascii="Times New Roman" w:hAnsi="Times New Roman"/>
                <w:sz w:val="18"/>
                <w:szCs w:val="18"/>
              </w:rPr>
              <w:t>papierów wartościowych</w:t>
            </w:r>
            <w:r>
              <w:rPr>
                <w:rFonts w:ascii="Times New Roman" w:hAnsi="Times New Roman"/>
                <w:bCs/>
                <w:sz w:val="18"/>
                <w:szCs w:val="18"/>
              </w:rPr>
              <w:t xml:space="preserve"> z uwzględnieniem zamknięcia każdej zabezpieczonej transakcji finansowania, zabezpieczonej transakcji kredytowej lub transakcji zabezpieczającej swap, której termin zapadalności przypada w ciągu 30 dni kalendarzowych od dnia obliczenia, </w:t>
            </w:r>
            <w:r>
              <w:rPr>
                <w:rFonts w:ascii="Times New Roman" w:hAnsi="Times New Roman"/>
                <w:sz w:val="18"/>
                <w:szCs w:val="18"/>
              </w:rPr>
              <w:t>chyba że transakcja podlega odstępstwu na mocy art. 17 ust. 4 rozporządzenia delegowanego (UE) 2015/61</w:t>
            </w:r>
            <w:r>
              <w:rPr>
                <w:rFonts w:ascii="Times New Roman" w:hAnsi="Times New Roman"/>
                <w:bCs/>
                <w:sz w:val="18"/>
                <w:szCs w:val="18"/>
              </w:rPr>
              <w:t>.</w:t>
            </w:r>
          </w:p>
          <w:p w14:paraId="5416E76D" w14:textId="77777777" w:rsidR="001A0B09" w:rsidRDefault="001A0B09">
            <w:pPr>
              <w:spacing w:before="0" w:after="0"/>
              <w:ind w:left="56"/>
              <w:rPr>
                <w:rFonts w:ascii="Times New Roman" w:hAnsi="Times New Roman"/>
                <w:bCs/>
                <w:sz w:val="18"/>
                <w:szCs w:val="18"/>
              </w:rPr>
            </w:pPr>
          </w:p>
          <w:p w14:paraId="0DB91B6A" w14:textId="77777777" w:rsidR="001A0B09" w:rsidRDefault="001A0B09">
            <w:pPr>
              <w:spacing w:before="0" w:after="0"/>
              <w:jc w:val="left"/>
              <w:rPr>
                <w:rFonts w:ascii="Times New Roman" w:hAnsi="Times New Roman"/>
                <w:bCs/>
                <w:sz w:val="18"/>
                <w:szCs w:val="18"/>
              </w:rPr>
            </w:pPr>
          </w:p>
        </w:tc>
      </w:tr>
      <w:tr w:rsidR="001A0B09" w14:paraId="5FAB56AA" w14:textId="77777777" w:rsidTr="00454544">
        <w:tc>
          <w:tcPr>
            <w:tcW w:w="1099" w:type="dxa"/>
            <w:shd w:val="clear" w:color="auto" w:fill="FFFFFF"/>
            <w:vAlign w:val="center"/>
          </w:tcPr>
          <w:p w14:paraId="47D25F64" w14:textId="6B614FE0" w:rsidR="001A0B09"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Aktywa poziomu 2A – „skorygowana kwota”</w:t>
            </w:r>
          </w:p>
          <w:p w14:paraId="2A40E3EF" w14:textId="77777777" w:rsidR="001A0B09" w:rsidRDefault="001A0B09">
            <w:pPr>
              <w:spacing w:before="0" w:after="0"/>
              <w:jc w:val="left"/>
              <w:rPr>
                <w:rFonts w:ascii="Times New Roman" w:hAnsi="Times New Roman"/>
                <w:bCs/>
                <w:sz w:val="18"/>
                <w:szCs w:val="18"/>
              </w:rPr>
            </w:pPr>
          </w:p>
          <w:p w14:paraId="1675147B" w14:textId="74C19A49" w:rsidR="001A0B09" w:rsidRDefault="00881B4D">
            <w:pPr>
              <w:spacing w:before="0" w:after="0"/>
              <w:jc w:val="left"/>
              <w:rPr>
                <w:rFonts w:ascii="Times New Roman" w:hAnsi="Times New Roman"/>
                <w:bCs/>
                <w:sz w:val="18"/>
                <w:szCs w:val="18"/>
              </w:rPr>
            </w:pPr>
            <w:r>
              <w:rPr>
                <w:rFonts w:ascii="Times New Roman" w:hAnsi="Times New Roman"/>
                <w:bCs/>
                <w:sz w:val="18"/>
                <w:szCs w:val="18"/>
              </w:rPr>
              <w:t>Taką kwotę określa się w pkt 3 lit. c) załącznika I.</w:t>
            </w:r>
          </w:p>
          <w:p w14:paraId="249F5F31" w14:textId="77777777" w:rsidR="001A0B09" w:rsidRDefault="001A0B09">
            <w:pPr>
              <w:spacing w:before="0" w:after="0"/>
              <w:jc w:val="left"/>
              <w:rPr>
                <w:rFonts w:ascii="Times New Roman" w:hAnsi="Times New Roman"/>
                <w:sz w:val="18"/>
                <w:szCs w:val="18"/>
              </w:rPr>
            </w:pPr>
          </w:p>
          <w:p w14:paraId="1113B099" w14:textId="77777777" w:rsidR="001A0B09" w:rsidRDefault="00881B4D">
            <w:pPr>
              <w:spacing w:before="0" w:after="0"/>
              <w:ind w:left="56"/>
              <w:rPr>
                <w:rFonts w:ascii="Times New Roman" w:hAnsi="Times New Roman"/>
                <w:sz w:val="18"/>
                <w:szCs w:val="18"/>
              </w:rPr>
            </w:pPr>
            <w:r>
              <w:rPr>
                <w:rFonts w:ascii="Times New Roman" w:hAnsi="Times New Roman"/>
                <w:sz w:val="18"/>
                <w:szCs w:val="18"/>
              </w:rPr>
              <w:t>Należy zgłosić skorygowaną kwotę aktywów poziomu 2A przed zastosowaniem ograniczenia.</w:t>
            </w:r>
          </w:p>
          <w:p w14:paraId="3B6A903C" w14:textId="77777777" w:rsidR="001A0B09" w:rsidRDefault="001A0B09">
            <w:pPr>
              <w:spacing w:before="0" w:after="0"/>
              <w:ind w:left="56"/>
              <w:rPr>
                <w:rFonts w:ascii="Times New Roman" w:hAnsi="Times New Roman"/>
                <w:sz w:val="18"/>
                <w:szCs w:val="18"/>
              </w:rPr>
            </w:pPr>
          </w:p>
          <w:p w14:paraId="022C1F8C" w14:textId="0F4246D4" w:rsidR="001A0B09" w:rsidRDefault="00881B4D">
            <w:pPr>
              <w:spacing w:before="0" w:after="0"/>
              <w:jc w:val="left"/>
              <w:rPr>
                <w:rFonts w:ascii="Times New Roman" w:hAnsi="Times New Roman"/>
                <w:b/>
                <w:sz w:val="18"/>
                <w:szCs w:val="18"/>
              </w:rPr>
            </w:pPr>
            <w:r>
              <w:rPr>
                <w:rFonts w:ascii="Times New Roman" w:hAnsi="Times New Roman"/>
                <w:sz w:val="18"/>
                <w:szCs w:val="18"/>
              </w:rPr>
              <w:t>Przy obliczaniu skorygowan</w:t>
            </w:r>
            <w:r>
              <w:rPr>
                <w:rFonts w:ascii="Times New Roman" w:hAnsi="Times New Roman"/>
                <w:bCs/>
                <w:sz w:val="18"/>
                <w:szCs w:val="18"/>
              </w:rPr>
              <w:t xml:space="preserve">ej kwoty </w:t>
            </w:r>
            <w:r>
              <w:rPr>
                <w:rFonts w:ascii="Times New Roman" w:hAnsi="Times New Roman"/>
                <w:sz w:val="18"/>
                <w:szCs w:val="18"/>
              </w:rPr>
              <w:t xml:space="preserve">bierze się pod uwagę </w:t>
            </w:r>
            <w:r>
              <w:rPr>
                <w:rFonts w:ascii="Times New Roman" w:hAnsi="Times New Roman"/>
                <w:bCs/>
                <w:sz w:val="18"/>
                <w:szCs w:val="18"/>
              </w:rPr>
              <w:t xml:space="preserve">skutki zamknięcia zabezpieczonych transakcji finansowania, zabezpieczonych transakcji kredytowych lub transakcji zabezpieczających swap, których termin zapadalności przypada w ciągu 30 dni kalendarzowych od dnia obliczenia, </w:t>
            </w:r>
            <w:r>
              <w:rPr>
                <w:rFonts w:ascii="Times New Roman" w:hAnsi="Times New Roman"/>
                <w:sz w:val="18"/>
                <w:szCs w:val="18"/>
              </w:rPr>
              <w:t>chyba że transakcja podlega odstępstwu na mocy art. 17 ust. 4 rozporządzenia delegowanego (UE) 2015/61</w:t>
            </w:r>
            <w:r>
              <w:rPr>
                <w:rFonts w:ascii="Times New Roman" w:hAnsi="Times New Roman"/>
                <w:bCs/>
                <w:sz w:val="18"/>
                <w:szCs w:val="18"/>
              </w:rPr>
              <w:t>.</w:t>
            </w:r>
          </w:p>
          <w:p w14:paraId="71C2F7DA" w14:textId="77777777" w:rsidR="001A0B09" w:rsidRDefault="001A0B09">
            <w:pPr>
              <w:spacing w:before="0" w:after="0"/>
              <w:jc w:val="left"/>
              <w:rPr>
                <w:rFonts w:ascii="Times New Roman" w:hAnsi="Times New Roman"/>
                <w:b/>
                <w:sz w:val="18"/>
                <w:szCs w:val="18"/>
              </w:rPr>
            </w:pPr>
          </w:p>
        </w:tc>
      </w:tr>
      <w:tr w:rsidR="001A0B09" w14:paraId="50614359" w14:textId="77777777" w:rsidTr="00454544">
        <w:tc>
          <w:tcPr>
            <w:tcW w:w="1099" w:type="dxa"/>
            <w:shd w:val="clear" w:color="auto" w:fill="FFFFFF"/>
            <w:vAlign w:val="center"/>
          </w:tcPr>
          <w:p w14:paraId="4E2C147D" w14:textId="77777777" w:rsidR="001A0B09" w:rsidRDefault="00881B4D">
            <w:pPr>
              <w:jc w:val="center"/>
              <w:rPr>
                <w:rFonts w:ascii="Times New Roman" w:hAnsi="Times New Roman"/>
                <w:sz w:val="18"/>
                <w:szCs w:val="18"/>
              </w:rPr>
            </w:pPr>
            <w:r>
              <w:rPr>
                <w:rFonts w:ascii="Times New Roman" w:hAnsi="Times New Roman"/>
                <w:sz w:val="18"/>
                <w:szCs w:val="18"/>
              </w:rPr>
              <w:lastRenderedPageBreak/>
              <w:t>220</w:t>
            </w:r>
          </w:p>
        </w:tc>
        <w:tc>
          <w:tcPr>
            <w:tcW w:w="7379" w:type="dxa"/>
            <w:gridSpan w:val="2"/>
            <w:shd w:val="clear" w:color="auto" w:fill="FFFFFF"/>
          </w:tcPr>
          <w:p w14:paraId="0C1AD2A9" w14:textId="7CA3EFA1"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Aktywa poziomu 2B – wartość obliczona zgodnie z art. 9: nieskorygowana</w:t>
            </w:r>
          </w:p>
          <w:p w14:paraId="7C10494D" w14:textId="77777777" w:rsidR="001A0B09" w:rsidRDefault="001A0B09">
            <w:pPr>
              <w:spacing w:before="0" w:after="0"/>
              <w:jc w:val="left"/>
              <w:rPr>
                <w:rFonts w:ascii="Times New Roman" w:hAnsi="Times New Roman"/>
                <w:b/>
                <w:bCs/>
                <w:sz w:val="18"/>
                <w:szCs w:val="18"/>
              </w:rPr>
            </w:pPr>
          </w:p>
          <w:p w14:paraId="17D8F9C0"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Należy zgłosić wartość określoną w {C 72.00; r310; c040}.</w:t>
            </w:r>
          </w:p>
          <w:p w14:paraId="79F1E814" w14:textId="77777777" w:rsidR="001A0B09" w:rsidRDefault="001A0B09">
            <w:pPr>
              <w:spacing w:before="0" w:after="0"/>
              <w:jc w:val="left"/>
              <w:rPr>
                <w:rFonts w:ascii="Times New Roman" w:hAnsi="Times New Roman"/>
                <w:bCs/>
                <w:sz w:val="18"/>
                <w:szCs w:val="18"/>
              </w:rPr>
            </w:pPr>
          </w:p>
        </w:tc>
      </w:tr>
      <w:tr w:rsidR="001A0B09" w14:paraId="5F473A78" w14:textId="77777777" w:rsidTr="00454544">
        <w:tc>
          <w:tcPr>
            <w:tcW w:w="1099" w:type="dxa"/>
            <w:shd w:val="clear" w:color="auto" w:fill="FFFFFF"/>
            <w:vAlign w:val="center"/>
          </w:tcPr>
          <w:p w14:paraId="3E617F61" w14:textId="77777777" w:rsidR="001A0B09"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Zabezpieczenie aktywami poziomu 2B – wypływy w okresie 30 dni</w:t>
            </w:r>
          </w:p>
          <w:p w14:paraId="3A6C25CB" w14:textId="77777777" w:rsidR="001A0B09" w:rsidRDefault="001A0B09">
            <w:pPr>
              <w:spacing w:before="0" w:after="0"/>
              <w:ind w:left="56"/>
              <w:rPr>
                <w:rFonts w:ascii="Times New Roman" w:hAnsi="Times New Roman"/>
                <w:bCs/>
                <w:sz w:val="18"/>
                <w:szCs w:val="18"/>
              </w:rPr>
            </w:pPr>
          </w:p>
          <w:p w14:paraId="61F2AA5F" w14:textId="382CF1AB" w:rsidR="001A0B09" w:rsidRDefault="00881B4D">
            <w:pPr>
              <w:spacing w:before="0" w:after="0"/>
              <w:ind w:left="56"/>
              <w:rPr>
                <w:rFonts w:ascii="Times New Roman" w:hAnsi="Times New Roman"/>
                <w:bCs/>
                <w:sz w:val="18"/>
                <w:szCs w:val="18"/>
              </w:rPr>
            </w:pPr>
            <w:r>
              <w:rPr>
                <w:rFonts w:ascii="Times New Roman" w:hAnsi="Times New Roman"/>
                <w:bCs/>
                <w:sz w:val="18"/>
                <w:szCs w:val="18"/>
              </w:rPr>
              <w:t>Należy zgłosić wypływy aktywów poziomu 2B</w:t>
            </w:r>
            <w:r>
              <w:rPr>
                <w:rFonts w:ascii="Times New Roman" w:hAnsi="Times New Roman"/>
                <w:sz w:val="18"/>
                <w:szCs w:val="18"/>
              </w:rPr>
              <w:t xml:space="preserve"> </w:t>
            </w:r>
            <w:r>
              <w:rPr>
                <w:rFonts w:ascii="Times New Roman" w:hAnsi="Times New Roman"/>
                <w:bCs/>
                <w:sz w:val="18"/>
                <w:szCs w:val="18"/>
              </w:rPr>
              <w:t xml:space="preserve">w postaci płynnych </w:t>
            </w:r>
            <w:r>
              <w:rPr>
                <w:rFonts w:ascii="Times New Roman" w:hAnsi="Times New Roman"/>
                <w:sz w:val="18"/>
                <w:szCs w:val="18"/>
              </w:rPr>
              <w:t>papierów wartościowych</w:t>
            </w:r>
            <w:r>
              <w:rPr>
                <w:rFonts w:ascii="Times New Roman" w:hAnsi="Times New Roman"/>
                <w:bCs/>
                <w:sz w:val="18"/>
                <w:szCs w:val="18"/>
              </w:rPr>
              <w:t xml:space="preserve"> z uwzględnieniem zamknięcia każdej zabezpieczonej transakcji finansowania, zabezpieczonej transakcji kredytowej lub transakcji zabezpieczającej swap, której termin zapadalności przypada w ciągu 30 dni kalendarzowych od dnia obliczenia, </w:t>
            </w:r>
            <w:r>
              <w:rPr>
                <w:rFonts w:ascii="Times New Roman" w:hAnsi="Times New Roman"/>
                <w:sz w:val="18"/>
                <w:szCs w:val="18"/>
              </w:rPr>
              <w:t>chyba że transakcja podlega odstępstwu na mocy art. 17 ust. 4 rozporządzenia delegowanego (UE) 2015/61</w:t>
            </w:r>
            <w:r>
              <w:rPr>
                <w:rFonts w:ascii="Times New Roman" w:hAnsi="Times New Roman"/>
                <w:bCs/>
                <w:sz w:val="18"/>
                <w:szCs w:val="18"/>
              </w:rPr>
              <w:t>.</w:t>
            </w:r>
          </w:p>
          <w:p w14:paraId="357EDF3F" w14:textId="77777777" w:rsidR="001A0B09" w:rsidRDefault="001A0B09">
            <w:pPr>
              <w:spacing w:before="0" w:after="0"/>
              <w:jc w:val="left"/>
              <w:rPr>
                <w:rFonts w:ascii="Times New Roman" w:hAnsi="Times New Roman"/>
                <w:bCs/>
                <w:sz w:val="18"/>
                <w:szCs w:val="18"/>
              </w:rPr>
            </w:pPr>
          </w:p>
        </w:tc>
      </w:tr>
      <w:tr w:rsidR="001A0B09" w14:paraId="72BDD7C9" w14:textId="77777777" w:rsidTr="00454544">
        <w:tc>
          <w:tcPr>
            <w:tcW w:w="1099" w:type="dxa"/>
            <w:shd w:val="clear" w:color="auto" w:fill="FFFFFF"/>
            <w:vAlign w:val="center"/>
          </w:tcPr>
          <w:p w14:paraId="4A9AEB7B" w14:textId="77777777" w:rsidR="001A0B09"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Zabezpieczenie aktywami poziomu 2B – wpływy w okresie 30 dni</w:t>
            </w:r>
          </w:p>
          <w:p w14:paraId="5FFC8C1F" w14:textId="77777777" w:rsidR="001A0B09" w:rsidRDefault="001A0B09">
            <w:pPr>
              <w:spacing w:before="0" w:after="0"/>
              <w:ind w:left="56"/>
              <w:rPr>
                <w:rFonts w:ascii="Times New Roman" w:hAnsi="Times New Roman"/>
                <w:bCs/>
                <w:sz w:val="18"/>
                <w:szCs w:val="18"/>
              </w:rPr>
            </w:pPr>
          </w:p>
          <w:p w14:paraId="769863B7" w14:textId="45AB64CC" w:rsidR="001A0B09" w:rsidRDefault="00881B4D">
            <w:pPr>
              <w:spacing w:before="0" w:after="0"/>
              <w:ind w:left="56"/>
              <w:rPr>
                <w:rFonts w:ascii="Times New Roman" w:hAnsi="Times New Roman"/>
                <w:bCs/>
                <w:sz w:val="18"/>
                <w:szCs w:val="18"/>
              </w:rPr>
            </w:pPr>
            <w:r>
              <w:rPr>
                <w:rFonts w:ascii="Times New Roman" w:hAnsi="Times New Roman"/>
                <w:bCs/>
                <w:sz w:val="18"/>
                <w:szCs w:val="18"/>
              </w:rPr>
              <w:t>Należy zgłosić wpływy aktywów poziomu 2B</w:t>
            </w:r>
            <w:r>
              <w:rPr>
                <w:rFonts w:ascii="Times New Roman" w:hAnsi="Times New Roman"/>
                <w:sz w:val="18"/>
                <w:szCs w:val="18"/>
              </w:rPr>
              <w:t xml:space="preserve"> </w:t>
            </w:r>
            <w:r>
              <w:rPr>
                <w:rFonts w:ascii="Times New Roman" w:hAnsi="Times New Roman"/>
                <w:bCs/>
                <w:sz w:val="18"/>
                <w:szCs w:val="18"/>
              </w:rPr>
              <w:t xml:space="preserve">w postaci płynnych </w:t>
            </w:r>
            <w:r>
              <w:rPr>
                <w:rFonts w:ascii="Times New Roman" w:hAnsi="Times New Roman"/>
                <w:sz w:val="18"/>
                <w:szCs w:val="18"/>
              </w:rPr>
              <w:t>papierów wartościowych</w:t>
            </w:r>
            <w:r>
              <w:rPr>
                <w:rFonts w:ascii="Times New Roman" w:hAnsi="Times New Roman"/>
                <w:bCs/>
                <w:sz w:val="18"/>
                <w:szCs w:val="18"/>
              </w:rPr>
              <w:t xml:space="preserve"> z uwzględnieniem zamknięcia każdej zabezpieczonej transakcji finansowania, zabezpieczonej transakcji kredytowej lub transakcji zabezpieczającej swap, której termin zapadalności przypada w ciągu 30 dni kalendarzowych od dnia obliczenia, </w:t>
            </w:r>
            <w:r>
              <w:rPr>
                <w:rFonts w:ascii="Times New Roman" w:hAnsi="Times New Roman"/>
                <w:sz w:val="18"/>
                <w:szCs w:val="18"/>
              </w:rPr>
              <w:t>chyba że transakcja podlega odstępstwu na mocy art. 17 ust. 4 rozporządzenia delegowanego (UE) 2015/61</w:t>
            </w:r>
            <w:r>
              <w:rPr>
                <w:rFonts w:ascii="Times New Roman" w:hAnsi="Times New Roman"/>
                <w:bCs/>
                <w:sz w:val="18"/>
                <w:szCs w:val="18"/>
              </w:rPr>
              <w:t>.</w:t>
            </w:r>
          </w:p>
          <w:p w14:paraId="4F36573E" w14:textId="77777777" w:rsidR="001A0B09" w:rsidRDefault="001A0B09">
            <w:pPr>
              <w:spacing w:before="0" w:after="0"/>
              <w:jc w:val="left"/>
              <w:rPr>
                <w:rFonts w:ascii="Times New Roman" w:hAnsi="Times New Roman"/>
                <w:bCs/>
                <w:sz w:val="18"/>
                <w:szCs w:val="18"/>
              </w:rPr>
            </w:pPr>
          </w:p>
        </w:tc>
      </w:tr>
      <w:tr w:rsidR="001A0B09" w14:paraId="59C71F5E" w14:textId="77777777" w:rsidTr="00454544">
        <w:tc>
          <w:tcPr>
            <w:tcW w:w="1099" w:type="dxa"/>
            <w:shd w:val="clear" w:color="auto" w:fill="FFFFFF"/>
            <w:vAlign w:val="center"/>
          </w:tcPr>
          <w:p w14:paraId="780C3A4B" w14:textId="5B46D095" w:rsidR="001A0B09"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Aktywa poziomu 2B – „skorygowana kwota”</w:t>
            </w:r>
          </w:p>
          <w:p w14:paraId="1A37C299" w14:textId="77777777" w:rsidR="001A0B09" w:rsidRDefault="001A0B09">
            <w:pPr>
              <w:spacing w:before="0" w:after="0"/>
              <w:jc w:val="left"/>
              <w:rPr>
                <w:rFonts w:ascii="Times New Roman" w:hAnsi="Times New Roman"/>
                <w:b/>
                <w:bCs/>
                <w:sz w:val="18"/>
                <w:szCs w:val="18"/>
              </w:rPr>
            </w:pPr>
          </w:p>
          <w:p w14:paraId="683116C9" w14:textId="0C1D72C2" w:rsidR="001A0B09" w:rsidRDefault="00881B4D">
            <w:pPr>
              <w:spacing w:before="0" w:after="0"/>
              <w:jc w:val="left"/>
              <w:rPr>
                <w:rFonts w:ascii="Times New Roman" w:hAnsi="Times New Roman"/>
                <w:bCs/>
                <w:sz w:val="18"/>
                <w:szCs w:val="18"/>
              </w:rPr>
            </w:pPr>
            <w:r>
              <w:rPr>
                <w:rFonts w:ascii="Times New Roman" w:hAnsi="Times New Roman"/>
                <w:bCs/>
                <w:sz w:val="18"/>
                <w:szCs w:val="18"/>
              </w:rPr>
              <w:t>Taką kwotę określa się w pkt 3 lit. d) załącznika I.</w:t>
            </w:r>
          </w:p>
          <w:p w14:paraId="3E44077E" w14:textId="77777777" w:rsidR="001A0B09" w:rsidRDefault="001A0B09">
            <w:pPr>
              <w:spacing w:before="0" w:after="0"/>
              <w:ind w:left="56"/>
              <w:rPr>
                <w:rFonts w:ascii="Times New Roman" w:hAnsi="Times New Roman"/>
                <w:sz w:val="18"/>
                <w:szCs w:val="18"/>
              </w:rPr>
            </w:pPr>
          </w:p>
          <w:p w14:paraId="52E04AE2" w14:textId="77777777" w:rsidR="001A0B09" w:rsidRDefault="00881B4D">
            <w:pPr>
              <w:spacing w:before="0" w:after="0"/>
              <w:ind w:left="56"/>
              <w:rPr>
                <w:rFonts w:ascii="Times New Roman" w:hAnsi="Times New Roman"/>
                <w:sz w:val="18"/>
              </w:rPr>
            </w:pPr>
            <w:r>
              <w:rPr>
                <w:rFonts w:ascii="Times New Roman" w:hAnsi="Times New Roman"/>
                <w:sz w:val="18"/>
                <w:szCs w:val="18"/>
              </w:rPr>
              <w:t>Należy zgłosić skorygowaną kwotę aktywów poziomu 2 B przed zastosowaniem ograniczenia.</w:t>
            </w:r>
          </w:p>
          <w:p w14:paraId="01A59F57" w14:textId="77777777" w:rsidR="001A0B09" w:rsidRDefault="001A0B09">
            <w:pPr>
              <w:spacing w:before="0" w:after="0"/>
              <w:ind w:left="56"/>
              <w:rPr>
                <w:rFonts w:ascii="Times New Roman" w:hAnsi="Times New Roman"/>
                <w:sz w:val="18"/>
                <w:szCs w:val="18"/>
              </w:rPr>
            </w:pPr>
          </w:p>
          <w:p w14:paraId="49DE7AE9" w14:textId="46BCC23D" w:rsidR="001A0B09" w:rsidRDefault="00881B4D">
            <w:pPr>
              <w:spacing w:before="0" w:after="0"/>
              <w:jc w:val="left"/>
              <w:rPr>
                <w:rFonts w:ascii="Times New Roman" w:hAnsi="Times New Roman"/>
                <w:sz w:val="18"/>
                <w:szCs w:val="18"/>
              </w:rPr>
            </w:pPr>
            <w:r>
              <w:rPr>
                <w:rFonts w:ascii="Times New Roman" w:hAnsi="Times New Roman"/>
                <w:sz w:val="18"/>
                <w:szCs w:val="18"/>
              </w:rPr>
              <w:t>Przy obliczaniu skorygowan</w:t>
            </w:r>
            <w:r>
              <w:rPr>
                <w:rFonts w:ascii="Times New Roman" w:hAnsi="Times New Roman"/>
                <w:bCs/>
                <w:sz w:val="18"/>
                <w:szCs w:val="18"/>
              </w:rPr>
              <w:t xml:space="preserve">ej kwoty </w:t>
            </w:r>
            <w:r>
              <w:rPr>
                <w:rFonts w:ascii="Times New Roman" w:hAnsi="Times New Roman"/>
                <w:sz w:val="18"/>
                <w:szCs w:val="18"/>
              </w:rPr>
              <w:t xml:space="preserve">bierze się pod uwagę </w:t>
            </w:r>
            <w:r>
              <w:rPr>
                <w:rFonts w:ascii="Times New Roman" w:hAnsi="Times New Roman"/>
                <w:bCs/>
                <w:sz w:val="18"/>
                <w:szCs w:val="18"/>
              </w:rPr>
              <w:t xml:space="preserve">skutki zamknięcia zabezpieczonych transakcji finansowania, zabezpieczonych transakcji kredytowych lub transakcji zabezpieczających swap, których termin zapadalności przypada w ciągu 30 dni kalendarzowych od dnia obliczenia, </w:t>
            </w:r>
            <w:r>
              <w:rPr>
                <w:rFonts w:ascii="Times New Roman" w:hAnsi="Times New Roman"/>
                <w:sz w:val="18"/>
                <w:szCs w:val="18"/>
              </w:rPr>
              <w:t>chyba że transakcja podlega odstępstwu na mocy art. 17 ust. 4 rozporządzenia delegowanego (UE) 2015/61</w:t>
            </w:r>
            <w:r>
              <w:rPr>
                <w:rFonts w:ascii="Times New Roman" w:hAnsi="Times New Roman"/>
                <w:bCs/>
                <w:sz w:val="18"/>
                <w:szCs w:val="18"/>
              </w:rPr>
              <w:t>.</w:t>
            </w:r>
          </w:p>
          <w:p w14:paraId="771E2039" w14:textId="77777777" w:rsidR="001A0B09" w:rsidRDefault="001A0B09">
            <w:pPr>
              <w:spacing w:before="0" w:after="0"/>
              <w:jc w:val="left"/>
              <w:rPr>
                <w:rFonts w:ascii="Times New Roman" w:hAnsi="Times New Roman"/>
                <w:b/>
                <w:sz w:val="18"/>
                <w:szCs w:val="18"/>
              </w:rPr>
            </w:pPr>
          </w:p>
        </w:tc>
      </w:tr>
      <w:tr w:rsidR="001A0B09" w14:paraId="444ECBBD" w14:textId="77777777" w:rsidTr="00454544">
        <w:tc>
          <w:tcPr>
            <w:tcW w:w="1099" w:type="dxa"/>
            <w:shd w:val="clear" w:color="auto" w:fill="FFFFFF"/>
            <w:vAlign w:val="center"/>
          </w:tcPr>
          <w:p w14:paraId="01C7EDCB" w14:textId="77777777" w:rsidR="001A0B09"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Kwota nadwyżki aktywów płynnych</w:t>
            </w:r>
          </w:p>
          <w:p w14:paraId="32DE794C" w14:textId="77777777" w:rsidR="001A0B09" w:rsidRDefault="001A0B09">
            <w:pPr>
              <w:spacing w:before="0" w:after="0"/>
              <w:jc w:val="left"/>
              <w:rPr>
                <w:rFonts w:ascii="Times New Roman" w:hAnsi="Times New Roman"/>
                <w:bCs/>
                <w:sz w:val="18"/>
                <w:szCs w:val="18"/>
              </w:rPr>
            </w:pPr>
          </w:p>
          <w:p w14:paraId="1BE025DD" w14:textId="77777777" w:rsidR="001A0B09" w:rsidRDefault="00881B4D">
            <w:pPr>
              <w:spacing w:before="0" w:after="0"/>
              <w:jc w:val="left"/>
              <w:rPr>
                <w:rFonts w:ascii="Times New Roman" w:hAnsi="Times New Roman"/>
                <w:bCs/>
                <w:sz w:val="18"/>
                <w:szCs w:val="18"/>
              </w:rPr>
            </w:pPr>
            <w:r>
              <w:rPr>
                <w:rFonts w:ascii="Times New Roman" w:hAnsi="Times New Roman"/>
                <w:bCs/>
                <w:sz w:val="18"/>
                <w:szCs w:val="18"/>
              </w:rPr>
              <w:t>Pkt 4 załącznika I</w:t>
            </w:r>
          </w:p>
          <w:p w14:paraId="01194D2E" w14:textId="77777777" w:rsidR="001A0B09" w:rsidRDefault="001A0B09">
            <w:pPr>
              <w:spacing w:before="0" w:after="0"/>
              <w:jc w:val="left"/>
              <w:rPr>
                <w:rFonts w:ascii="Times New Roman" w:hAnsi="Times New Roman"/>
                <w:sz w:val="18"/>
                <w:szCs w:val="18"/>
              </w:rPr>
            </w:pPr>
          </w:p>
          <w:p w14:paraId="42B29289"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Należy zgłosić „kwotę nadwyżki aktywów płynnych”. Kwota ta stanowi równowartość:</w:t>
            </w:r>
          </w:p>
          <w:p w14:paraId="57AC6DC8"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skorygowanej kwoty aktywów poziomu 1 stanowiących obligacje niezabezpieczone; powiększonej o</w:t>
            </w:r>
          </w:p>
          <w:p w14:paraId="0CFC7910"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skorygowaną kwotę aktywów poziomu 1 stanowiących obligacje zabezpieczone; powiększonej o</w:t>
            </w:r>
          </w:p>
          <w:p w14:paraId="4CBD0166"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skorygowaną kwotę aktywów poziomu 2A; powiększonej o</w:t>
            </w:r>
          </w:p>
          <w:p w14:paraId="09EB94CD"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skorygowaną kwotę aktywów poziomu 2B;</w:t>
            </w:r>
          </w:p>
          <w:p w14:paraId="2DB841C8"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pomniejszonej o najmniejszą z następujących kwot:</w:t>
            </w:r>
          </w:p>
          <w:p w14:paraId="10C0702C"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sumę a, b, c i d;</w:t>
            </w:r>
          </w:p>
          <w:p w14:paraId="419C0BA5"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pomnożone przez a;</w:t>
            </w:r>
          </w:p>
          <w:p w14:paraId="1A77939B"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pomnożone przez sumę a i b;</w:t>
            </w:r>
          </w:p>
          <w:p w14:paraId="786672E7" w14:textId="77777777" w:rsidR="001A0B09"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pomnożone przez sumę a, b i c.</w:t>
            </w:r>
          </w:p>
          <w:p w14:paraId="0D5300B5" w14:textId="77777777" w:rsidR="001A0B09" w:rsidRDefault="001A0B09">
            <w:pPr>
              <w:spacing w:before="0" w:after="0"/>
              <w:jc w:val="left"/>
              <w:rPr>
                <w:rFonts w:ascii="Times New Roman" w:hAnsi="Times New Roman"/>
                <w:bCs/>
                <w:sz w:val="18"/>
                <w:szCs w:val="18"/>
              </w:rPr>
            </w:pPr>
          </w:p>
        </w:tc>
      </w:tr>
      <w:tr w:rsidR="001A0B09" w14:paraId="60CCBBE5" w14:textId="77777777" w:rsidTr="00454544">
        <w:tc>
          <w:tcPr>
            <w:tcW w:w="1099" w:type="dxa"/>
            <w:shd w:val="clear" w:color="auto" w:fill="FFFFFF"/>
            <w:vAlign w:val="center"/>
          </w:tcPr>
          <w:p w14:paraId="1DEADD0A" w14:textId="77777777" w:rsidR="001A0B09"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1A0B09"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ZABEZPIECZENIE PRZED UTRATĄ PŁYNNOŚCI</w:t>
            </w:r>
          </w:p>
          <w:p w14:paraId="548F1F7A" w14:textId="77777777" w:rsidR="001A0B09" w:rsidRDefault="001A0B09">
            <w:pPr>
              <w:spacing w:before="0" w:after="0"/>
              <w:jc w:val="left"/>
              <w:rPr>
                <w:rFonts w:ascii="Times New Roman" w:hAnsi="Times New Roman"/>
                <w:bCs/>
                <w:sz w:val="18"/>
                <w:szCs w:val="18"/>
              </w:rPr>
            </w:pPr>
          </w:p>
          <w:p w14:paraId="11B75DF8" w14:textId="77777777" w:rsidR="001A0B09" w:rsidRDefault="00881B4D">
            <w:pPr>
              <w:spacing w:before="0" w:after="0"/>
              <w:jc w:val="left"/>
              <w:rPr>
                <w:rFonts w:ascii="Times New Roman" w:hAnsi="Times New Roman"/>
                <w:bCs/>
                <w:sz w:val="18"/>
                <w:szCs w:val="18"/>
              </w:rPr>
            </w:pPr>
            <w:r>
              <w:rPr>
                <w:rFonts w:ascii="Times New Roman" w:hAnsi="Times New Roman"/>
                <w:bCs/>
                <w:sz w:val="18"/>
                <w:szCs w:val="18"/>
              </w:rPr>
              <w:t>Pkt 2 załącznika I</w:t>
            </w:r>
          </w:p>
          <w:p w14:paraId="429CB3FB" w14:textId="77777777" w:rsidR="001A0B09" w:rsidRDefault="001A0B09">
            <w:pPr>
              <w:spacing w:before="0" w:after="0"/>
              <w:jc w:val="left"/>
              <w:rPr>
                <w:rFonts w:ascii="Times New Roman" w:hAnsi="Times New Roman"/>
                <w:sz w:val="18"/>
                <w:szCs w:val="18"/>
              </w:rPr>
            </w:pPr>
          </w:p>
          <w:p w14:paraId="10B18991"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Należy zgłosić wartość zabezpieczenia przed utratą płynności stanowiącą równowartość:</w:t>
            </w:r>
          </w:p>
          <w:p w14:paraId="05F729F0"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kwoty aktywów poziomu 1; powiększonej o</w:t>
            </w:r>
          </w:p>
          <w:p w14:paraId="7610A0BE"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kwotę aktywów poziomu 2A; powiększonej o</w:t>
            </w:r>
          </w:p>
          <w:p w14:paraId="76F3A0F1"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kwotę aktywów poziomu 2B;</w:t>
            </w:r>
          </w:p>
          <w:p w14:paraId="7B722A91"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pomniejszonej o mniejszą z następujących kwot:</w:t>
            </w:r>
          </w:p>
          <w:p w14:paraId="65D807F7" w14:textId="77777777" w:rsidR="001A0B09"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lastRenderedPageBreak/>
              <w:t>d) sumę a, b i c; lub</w:t>
            </w:r>
          </w:p>
          <w:p w14:paraId="2BB68259" w14:textId="77777777" w:rsidR="001A0B09"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„kwotę nadwyżki aktywów płynnych”.</w:t>
            </w:r>
          </w:p>
          <w:p w14:paraId="13B34E3A" w14:textId="77777777" w:rsidR="001A0B09" w:rsidRDefault="001A0B09">
            <w:pPr>
              <w:spacing w:before="0" w:after="0"/>
              <w:jc w:val="left"/>
              <w:rPr>
                <w:rFonts w:ascii="Times New Roman" w:hAnsi="Times New Roman"/>
                <w:bCs/>
                <w:sz w:val="18"/>
                <w:szCs w:val="18"/>
              </w:rPr>
            </w:pPr>
          </w:p>
        </w:tc>
      </w:tr>
      <w:tr w:rsidR="001A0B09" w14:paraId="4F71A3D6" w14:textId="77777777" w:rsidTr="00454544">
        <w:tc>
          <w:tcPr>
            <w:tcW w:w="8478" w:type="dxa"/>
            <w:gridSpan w:val="3"/>
            <w:shd w:val="clear" w:color="auto" w:fill="D9D9D9"/>
            <w:vAlign w:val="center"/>
          </w:tcPr>
          <w:p w14:paraId="29511C34" w14:textId="77777777" w:rsidR="001A0B09" w:rsidRDefault="00881B4D">
            <w:pPr>
              <w:ind w:left="56"/>
              <w:rPr>
                <w:rFonts w:ascii="Times New Roman" w:hAnsi="Times New Roman"/>
                <w:b/>
                <w:bCs/>
                <w:sz w:val="18"/>
                <w:szCs w:val="18"/>
              </w:rPr>
            </w:pPr>
            <w:r>
              <w:rPr>
                <w:rFonts w:ascii="Times New Roman" w:hAnsi="Times New Roman"/>
                <w:b/>
                <w:bCs/>
                <w:sz w:val="18"/>
                <w:szCs w:val="18"/>
              </w:rPr>
              <w:lastRenderedPageBreak/>
              <w:t>Wyliczenie mianownika</w:t>
            </w:r>
          </w:p>
          <w:p w14:paraId="27B3D2D4" w14:textId="77777777" w:rsidR="001A0B09" w:rsidRDefault="001A0B09">
            <w:pPr>
              <w:spacing w:before="0" w:after="0"/>
              <w:ind w:left="56"/>
              <w:rPr>
                <w:rFonts w:ascii="Times New Roman" w:hAnsi="Times New Roman"/>
                <w:b/>
                <w:sz w:val="18"/>
                <w:szCs w:val="18"/>
              </w:rPr>
            </w:pPr>
          </w:p>
          <w:p w14:paraId="38ABE3FC" w14:textId="52747D65" w:rsidR="001A0B09" w:rsidRDefault="00881B4D">
            <w:pPr>
              <w:spacing w:before="0" w:after="0"/>
              <w:ind w:left="56"/>
              <w:rPr>
                <w:rFonts w:ascii="Times New Roman" w:hAnsi="Times New Roman"/>
                <w:sz w:val="18"/>
                <w:szCs w:val="18"/>
              </w:rPr>
            </w:pPr>
            <w:r>
              <w:rPr>
                <w:rFonts w:ascii="Times New Roman" w:hAnsi="Times New Roman"/>
                <w:sz w:val="18"/>
                <w:szCs w:val="18"/>
              </w:rPr>
              <w:t>Załącznik II do rozporządzenia delegowanego (UE) 2015/61</w:t>
            </w:r>
          </w:p>
          <w:p w14:paraId="355613A3" w14:textId="77777777" w:rsidR="001A0B09" w:rsidRDefault="001A0B09">
            <w:pPr>
              <w:spacing w:before="0" w:after="0"/>
              <w:ind w:left="56"/>
              <w:rPr>
                <w:rFonts w:ascii="Times New Roman" w:hAnsi="Times New Roman"/>
                <w:sz w:val="18"/>
                <w:szCs w:val="18"/>
              </w:rPr>
            </w:pPr>
          </w:p>
          <w:p w14:paraId="423C2CEE" w14:textId="77777777" w:rsidR="001A0B09" w:rsidRDefault="00881B4D">
            <w:pPr>
              <w:spacing w:before="0" w:after="0"/>
              <w:ind w:left="56"/>
              <w:rPr>
                <w:rFonts w:ascii="Times New Roman" w:hAnsi="Times New Roman"/>
                <w:sz w:val="18"/>
                <w:szCs w:val="18"/>
              </w:rPr>
            </w:pPr>
            <w:r>
              <w:rPr>
                <w:rFonts w:ascii="Times New Roman" w:hAnsi="Times New Roman"/>
                <w:sz w:val="18"/>
                <w:szCs w:val="18"/>
              </w:rPr>
              <w:t>Wzór stosowany do obliczania wypływów płynności netto</w:t>
            </w:r>
          </w:p>
          <w:p w14:paraId="199482B3" w14:textId="77777777" w:rsidR="001A0B09" w:rsidRDefault="00881B4D">
            <w:pPr>
              <w:ind w:left="56"/>
              <w:rPr>
                <w:rFonts w:ascii="Times New Roman" w:hAnsi="Times New Roman"/>
                <w:sz w:val="18"/>
                <w:szCs w:val="18"/>
              </w:rPr>
            </w:pPr>
            <w:r>
              <w:rPr>
                <w:rFonts w:ascii="Times New Roman" w:hAnsi="Times New Roman"/>
                <w:sz w:val="18"/>
                <w:szCs w:val="18"/>
              </w:rPr>
              <w:t>gdzie,</w:t>
            </w:r>
          </w:p>
          <w:p w14:paraId="7166D781" w14:textId="77777777" w:rsidR="001A0B09" w:rsidRDefault="00881B4D">
            <w:pPr>
              <w:ind w:left="56"/>
              <w:rPr>
                <w:rFonts w:ascii="Times New Roman" w:hAnsi="Times New Roman"/>
                <w:sz w:val="18"/>
                <w:szCs w:val="18"/>
              </w:rPr>
            </w:pPr>
            <w:r>
              <w:rPr>
                <w:rFonts w:ascii="Times New Roman" w:hAnsi="Times New Roman"/>
                <w:sz w:val="18"/>
                <w:szCs w:val="18"/>
              </w:rPr>
              <w:t>NLO (net liquidity outflow) = wypływy płynności netto</w:t>
            </w:r>
          </w:p>
          <w:p w14:paraId="11665ED6" w14:textId="77777777" w:rsidR="001A0B09" w:rsidRDefault="00881B4D">
            <w:pPr>
              <w:ind w:left="56"/>
              <w:rPr>
                <w:rFonts w:ascii="Times New Roman" w:hAnsi="Times New Roman"/>
                <w:sz w:val="18"/>
                <w:szCs w:val="18"/>
              </w:rPr>
            </w:pPr>
            <w:r>
              <w:rPr>
                <w:rFonts w:ascii="Times New Roman" w:hAnsi="Times New Roman"/>
                <w:sz w:val="18"/>
                <w:szCs w:val="18"/>
              </w:rPr>
              <w:t>TO (total outflows) = wypływy razem</w:t>
            </w:r>
          </w:p>
          <w:p w14:paraId="1F50EBAB" w14:textId="77777777" w:rsidR="001A0B09" w:rsidRDefault="00881B4D">
            <w:pPr>
              <w:ind w:left="56"/>
              <w:rPr>
                <w:rFonts w:ascii="Times New Roman" w:hAnsi="Times New Roman"/>
                <w:sz w:val="18"/>
                <w:szCs w:val="18"/>
              </w:rPr>
            </w:pPr>
            <w:r>
              <w:rPr>
                <w:rFonts w:ascii="Times New Roman" w:hAnsi="Times New Roman"/>
                <w:sz w:val="18"/>
                <w:szCs w:val="18"/>
              </w:rPr>
              <w:t>TI (total inflows) = wpływy razem</w:t>
            </w:r>
          </w:p>
          <w:p w14:paraId="7E6DD43C" w14:textId="77777777" w:rsidR="001A0B09" w:rsidRDefault="00881B4D">
            <w:pPr>
              <w:ind w:left="56"/>
              <w:rPr>
                <w:rFonts w:ascii="Times New Roman" w:hAnsi="Times New Roman"/>
                <w:sz w:val="18"/>
                <w:szCs w:val="18"/>
              </w:rPr>
            </w:pPr>
            <w:r>
              <w:rPr>
                <w:rFonts w:ascii="Times New Roman" w:hAnsi="Times New Roman"/>
                <w:sz w:val="18"/>
                <w:szCs w:val="18"/>
              </w:rPr>
              <w:t>FEI (fully exempted inflows) = wpływy całkowicie wyłączone</w:t>
            </w:r>
          </w:p>
          <w:p w14:paraId="56740F2F" w14:textId="77777777" w:rsidR="001A0B09" w:rsidRDefault="00881B4D">
            <w:pPr>
              <w:ind w:left="56"/>
              <w:rPr>
                <w:rFonts w:ascii="Times New Roman" w:hAnsi="Times New Roman"/>
                <w:sz w:val="18"/>
                <w:szCs w:val="18"/>
              </w:rPr>
            </w:pPr>
            <w:r>
              <w:rPr>
                <w:rFonts w:ascii="Times New Roman" w:hAnsi="Times New Roman"/>
                <w:sz w:val="18"/>
                <w:szCs w:val="18"/>
              </w:rPr>
              <w:t>IHC (inflows subject to higher cap of 90 % outflows) = wpływy podlegające ograniczeniu na wyższym poziomie równym 90 % wypływów</w:t>
            </w:r>
          </w:p>
          <w:p w14:paraId="3D7774FC" w14:textId="77777777" w:rsidR="001A0B09" w:rsidRDefault="00881B4D">
            <w:pPr>
              <w:ind w:left="56"/>
              <w:rPr>
                <w:rFonts w:ascii="Times New Roman" w:hAnsi="Times New Roman"/>
                <w:sz w:val="18"/>
                <w:szCs w:val="18"/>
              </w:rPr>
            </w:pPr>
            <w:r>
              <w:rPr>
                <w:rFonts w:ascii="Times New Roman" w:hAnsi="Times New Roman"/>
                <w:sz w:val="18"/>
                <w:szCs w:val="18"/>
              </w:rPr>
              <w:t>IC (inflows subject to cap of 75 % of outflows) = wypływy podlegające ograniczeniu w wysokości 75 % wypływów</w:t>
            </w:r>
          </w:p>
          <w:p w14:paraId="2ACFCB81" w14:textId="77777777" w:rsidR="001A0B09" w:rsidRDefault="001A0B09">
            <w:pPr>
              <w:spacing w:before="0" w:after="0"/>
              <w:ind w:left="56"/>
              <w:rPr>
                <w:rFonts w:ascii="Times New Roman" w:hAnsi="Times New Roman"/>
                <w:sz w:val="18"/>
                <w:szCs w:val="18"/>
              </w:rPr>
            </w:pPr>
          </w:p>
          <w:p w14:paraId="00BED32F" w14:textId="77777777" w:rsidR="001A0B09" w:rsidRDefault="00881B4D">
            <w:pPr>
              <w:spacing w:before="0" w:after="0"/>
              <w:ind w:left="56"/>
              <w:rPr>
                <w:rFonts w:ascii="Times New Roman" w:hAnsi="Times New Roman"/>
                <w:sz w:val="18"/>
                <w:szCs w:val="18"/>
              </w:rPr>
            </w:pPr>
            <w:r>
              <w:rPr>
                <w:rFonts w:ascii="Times New Roman" w:hAnsi="Times New Roman"/>
                <w:sz w:val="18"/>
                <w:szCs w:val="18"/>
              </w:rPr>
              <w:t>Wszystkie poniższe dane należy wprowadzić w kolumnie 010 danego wiersza</w:t>
            </w:r>
          </w:p>
          <w:p w14:paraId="33B851D8" w14:textId="77777777" w:rsidR="001A0B09" w:rsidRDefault="001A0B09">
            <w:pPr>
              <w:spacing w:before="0" w:after="0"/>
              <w:ind w:left="56"/>
              <w:rPr>
                <w:rFonts w:ascii="Times New Roman" w:hAnsi="Times New Roman"/>
                <w:sz w:val="18"/>
                <w:szCs w:val="18"/>
              </w:rPr>
            </w:pPr>
          </w:p>
          <w:p w14:paraId="4128A5E9" w14:textId="77777777" w:rsidR="001A0B09" w:rsidRDefault="001A0B09">
            <w:pPr>
              <w:spacing w:before="0" w:after="0"/>
              <w:jc w:val="left"/>
              <w:rPr>
                <w:rFonts w:ascii="Times New Roman" w:hAnsi="Times New Roman"/>
                <w:bCs/>
                <w:sz w:val="18"/>
                <w:szCs w:val="18"/>
              </w:rPr>
            </w:pPr>
          </w:p>
        </w:tc>
      </w:tr>
      <w:tr w:rsidR="001A0B09" w14:paraId="0D049B88" w14:textId="77777777" w:rsidTr="00454544">
        <w:tc>
          <w:tcPr>
            <w:tcW w:w="1099" w:type="dxa"/>
            <w:shd w:val="clear" w:color="auto" w:fill="FFFFFF"/>
            <w:vAlign w:val="center"/>
          </w:tcPr>
          <w:p w14:paraId="55A73623" w14:textId="77777777" w:rsidR="001A0B09"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1A0B09"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Wypływy razem</w:t>
            </w:r>
          </w:p>
          <w:p w14:paraId="1E8BAA54" w14:textId="77777777" w:rsidR="001A0B09" w:rsidRDefault="00881B4D">
            <w:pPr>
              <w:ind w:left="56"/>
              <w:rPr>
                <w:rFonts w:ascii="Times New Roman" w:hAnsi="Times New Roman"/>
                <w:bCs/>
                <w:sz w:val="18"/>
                <w:szCs w:val="18"/>
              </w:rPr>
            </w:pPr>
            <w:r>
              <w:rPr>
                <w:rFonts w:ascii="Times New Roman" w:hAnsi="Times New Roman"/>
                <w:bCs/>
                <w:sz w:val="18"/>
                <w:szCs w:val="18"/>
              </w:rPr>
              <w:t>TO = wartość zgłoszona w formularzu dotyczącym wypływów.</w:t>
            </w:r>
          </w:p>
          <w:p w14:paraId="6F12156E"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Należy zgłosić wartość określoną w {C 73.00; r010; c060}.</w:t>
            </w:r>
          </w:p>
          <w:p w14:paraId="23CD10A7" w14:textId="77777777" w:rsidR="001A0B09" w:rsidRDefault="001A0B09">
            <w:pPr>
              <w:spacing w:before="0" w:after="0"/>
              <w:jc w:val="left"/>
              <w:rPr>
                <w:rFonts w:ascii="Times New Roman" w:hAnsi="Times New Roman"/>
                <w:bCs/>
                <w:sz w:val="18"/>
                <w:szCs w:val="18"/>
              </w:rPr>
            </w:pPr>
          </w:p>
        </w:tc>
      </w:tr>
      <w:tr w:rsidR="001A0B09" w14:paraId="6D89B9B1" w14:textId="77777777" w:rsidTr="00454544">
        <w:tc>
          <w:tcPr>
            <w:tcW w:w="1099" w:type="dxa"/>
            <w:shd w:val="clear" w:color="auto" w:fill="FFFFFF"/>
            <w:vAlign w:val="center"/>
          </w:tcPr>
          <w:p w14:paraId="04CF611D" w14:textId="77777777" w:rsidR="001A0B09"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1A0B09"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Wpływy całkowicie wyłączone</w:t>
            </w:r>
          </w:p>
          <w:p w14:paraId="38D8855E" w14:textId="77777777" w:rsidR="001A0B09" w:rsidRDefault="00881B4D">
            <w:pPr>
              <w:ind w:left="56"/>
              <w:rPr>
                <w:rFonts w:ascii="Times New Roman" w:hAnsi="Times New Roman"/>
                <w:bCs/>
                <w:sz w:val="18"/>
                <w:szCs w:val="18"/>
              </w:rPr>
            </w:pPr>
            <w:r>
              <w:rPr>
                <w:rFonts w:ascii="Times New Roman" w:hAnsi="Times New Roman"/>
                <w:bCs/>
                <w:sz w:val="18"/>
                <w:szCs w:val="18"/>
              </w:rPr>
              <w:t>FEI = wartość zgłoszona w formularzu dotyczącym wpływów.</w:t>
            </w:r>
          </w:p>
          <w:p w14:paraId="65812783"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Należy zgłosić wartość określoną w {C 74.00; r010; c160}.</w:t>
            </w:r>
          </w:p>
          <w:p w14:paraId="26D5A78E" w14:textId="77777777" w:rsidR="001A0B09" w:rsidRDefault="001A0B09">
            <w:pPr>
              <w:spacing w:before="0" w:after="0"/>
              <w:jc w:val="left"/>
              <w:rPr>
                <w:rFonts w:ascii="Times New Roman" w:hAnsi="Times New Roman"/>
                <w:bCs/>
                <w:sz w:val="18"/>
                <w:szCs w:val="18"/>
              </w:rPr>
            </w:pPr>
          </w:p>
        </w:tc>
      </w:tr>
      <w:tr w:rsidR="001A0B09" w14:paraId="3DF700DD" w14:textId="77777777" w:rsidTr="00454544">
        <w:tc>
          <w:tcPr>
            <w:tcW w:w="1099" w:type="dxa"/>
            <w:shd w:val="clear" w:color="auto" w:fill="FFFFFF"/>
            <w:vAlign w:val="center"/>
          </w:tcPr>
          <w:p w14:paraId="57A5A39A" w14:textId="77777777" w:rsidR="001A0B09"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1A0B09"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Wpływy podlegające ograniczeniu w wysokości 90 %</w:t>
            </w:r>
          </w:p>
          <w:p w14:paraId="02E40F0B" w14:textId="77777777" w:rsidR="001A0B09" w:rsidRDefault="00881B4D">
            <w:pPr>
              <w:spacing w:before="0" w:after="0"/>
              <w:ind w:left="56"/>
              <w:rPr>
                <w:rFonts w:ascii="Times New Roman" w:hAnsi="Times New Roman"/>
                <w:bCs/>
                <w:sz w:val="18"/>
                <w:szCs w:val="18"/>
              </w:rPr>
            </w:pPr>
            <w:r>
              <w:rPr>
                <w:rFonts w:ascii="Times New Roman" w:hAnsi="Times New Roman"/>
                <w:bCs/>
                <w:sz w:val="18"/>
                <w:szCs w:val="18"/>
              </w:rPr>
              <w:t>IHC = wartość zgłoszona w formularzu dotyczącym wpływów.</w:t>
            </w:r>
          </w:p>
          <w:p w14:paraId="0221BC71" w14:textId="77777777" w:rsidR="001A0B09" w:rsidRDefault="001A0B09">
            <w:pPr>
              <w:spacing w:before="0" w:after="0"/>
              <w:jc w:val="left"/>
              <w:rPr>
                <w:rFonts w:ascii="Times New Roman" w:hAnsi="Times New Roman"/>
                <w:bCs/>
                <w:sz w:val="18"/>
              </w:rPr>
            </w:pPr>
          </w:p>
          <w:p w14:paraId="6346EB4E"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Należy zgłosić wartość określoną w {C 74.00; r010; c150}.</w:t>
            </w:r>
          </w:p>
          <w:p w14:paraId="32BDFF46" w14:textId="77777777" w:rsidR="001A0B09" w:rsidRDefault="001A0B09">
            <w:pPr>
              <w:spacing w:before="0" w:after="0"/>
              <w:jc w:val="left"/>
              <w:rPr>
                <w:rFonts w:ascii="Times New Roman" w:hAnsi="Times New Roman"/>
                <w:bCs/>
                <w:sz w:val="18"/>
                <w:szCs w:val="18"/>
              </w:rPr>
            </w:pPr>
          </w:p>
        </w:tc>
      </w:tr>
      <w:tr w:rsidR="001A0B09" w14:paraId="2351714D" w14:textId="77777777" w:rsidTr="00454544">
        <w:tc>
          <w:tcPr>
            <w:tcW w:w="1099" w:type="dxa"/>
            <w:shd w:val="clear" w:color="auto" w:fill="FFFFFF"/>
            <w:vAlign w:val="center"/>
          </w:tcPr>
          <w:p w14:paraId="47E8EF5B" w14:textId="77777777" w:rsidR="001A0B09"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1A0B09"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Wpływy podlegające ograniczeniu w wysokości 75 %</w:t>
            </w:r>
          </w:p>
          <w:p w14:paraId="24A098CB" w14:textId="4EE6F6A7" w:rsidR="001A0B09" w:rsidRDefault="00881B4D">
            <w:pPr>
              <w:spacing w:before="0" w:after="0"/>
              <w:ind w:left="56"/>
              <w:rPr>
                <w:rFonts w:ascii="Times New Roman" w:hAnsi="Times New Roman"/>
                <w:bCs/>
                <w:sz w:val="18"/>
                <w:szCs w:val="18"/>
              </w:rPr>
            </w:pPr>
            <w:r>
              <w:rPr>
                <w:rFonts w:ascii="Times New Roman" w:hAnsi="Times New Roman"/>
                <w:bCs/>
                <w:sz w:val="18"/>
                <w:szCs w:val="18"/>
              </w:rPr>
              <w:t>IC = wartość zgłoszona w formularzach dotyczących wpływów</w:t>
            </w:r>
          </w:p>
          <w:p w14:paraId="40126C80" w14:textId="77777777" w:rsidR="001A0B09" w:rsidRDefault="001A0B09">
            <w:pPr>
              <w:spacing w:before="0" w:after="0"/>
              <w:jc w:val="left"/>
              <w:rPr>
                <w:rFonts w:ascii="Times New Roman" w:hAnsi="Times New Roman"/>
                <w:bCs/>
                <w:sz w:val="18"/>
                <w:szCs w:val="18"/>
              </w:rPr>
            </w:pPr>
          </w:p>
          <w:p w14:paraId="1DD952A7" w14:textId="77777777" w:rsidR="001A0B09" w:rsidRDefault="00881B4D">
            <w:pPr>
              <w:spacing w:before="0" w:after="0"/>
              <w:jc w:val="left"/>
              <w:rPr>
                <w:rFonts w:ascii="Times New Roman" w:hAnsi="Times New Roman"/>
                <w:bCs/>
                <w:sz w:val="18"/>
                <w:szCs w:val="18"/>
              </w:rPr>
            </w:pPr>
            <w:r>
              <w:rPr>
                <w:rFonts w:ascii="Times New Roman" w:hAnsi="Times New Roman"/>
                <w:sz w:val="18"/>
                <w:szCs w:val="18"/>
              </w:rPr>
              <w:t>Należy zgłosić wartość określoną w {C 74.00; r010; c140}.</w:t>
            </w:r>
          </w:p>
          <w:p w14:paraId="35449694" w14:textId="77777777" w:rsidR="001A0B09" w:rsidRDefault="001A0B09">
            <w:pPr>
              <w:spacing w:before="0" w:after="0"/>
              <w:jc w:val="left"/>
              <w:rPr>
                <w:rFonts w:ascii="Times New Roman" w:hAnsi="Times New Roman"/>
                <w:bCs/>
                <w:sz w:val="18"/>
                <w:szCs w:val="18"/>
              </w:rPr>
            </w:pPr>
          </w:p>
        </w:tc>
      </w:tr>
      <w:tr w:rsidR="001A0B09" w14:paraId="12C2EA1D" w14:textId="77777777" w:rsidTr="00454544">
        <w:tc>
          <w:tcPr>
            <w:tcW w:w="1099" w:type="dxa"/>
            <w:shd w:val="clear" w:color="auto" w:fill="FFFFFF"/>
            <w:vAlign w:val="center"/>
          </w:tcPr>
          <w:p w14:paraId="06746008" w14:textId="77777777" w:rsidR="001A0B09"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1A0B09"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Redukcja uwzględniająca wpływy całkowicie wyłączone</w:t>
            </w:r>
          </w:p>
          <w:p w14:paraId="1C1E08AE" w14:textId="77777777" w:rsidR="001A0B09" w:rsidRDefault="001A0B09">
            <w:pPr>
              <w:spacing w:before="0" w:after="0"/>
              <w:ind w:left="56"/>
              <w:rPr>
                <w:rFonts w:ascii="Times New Roman" w:hAnsi="Times New Roman"/>
                <w:sz w:val="18"/>
                <w:szCs w:val="18"/>
              </w:rPr>
            </w:pPr>
          </w:p>
          <w:p w14:paraId="473FC23E" w14:textId="77777777" w:rsidR="001A0B09" w:rsidRDefault="00881B4D">
            <w:pPr>
              <w:spacing w:before="0" w:after="0"/>
              <w:ind w:left="56"/>
              <w:rPr>
                <w:rFonts w:ascii="Times New Roman" w:hAnsi="Times New Roman"/>
                <w:bCs/>
                <w:sz w:val="18"/>
                <w:szCs w:val="18"/>
              </w:rPr>
            </w:pPr>
            <w:r>
              <w:rPr>
                <w:rFonts w:ascii="Times New Roman" w:hAnsi="Times New Roman"/>
                <w:bCs/>
                <w:sz w:val="18"/>
                <w:szCs w:val="18"/>
              </w:rPr>
              <w:t>Należy zgłosić następującą część obliczeń NLO:</w:t>
            </w:r>
          </w:p>
          <w:p w14:paraId="740BA5DA" w14:textId="77777777" w:rsidR="001A0B09"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1A0B09" w:rsidRDefault="001A0B09">
            <w:pPr>
              <w:spacing w:before="0" w:after="0"/>
              <w:ind w:left="56"/>
              <w:rPr>
                <w:rFonts w:ascii="Times New Roman" w:hAnsi="Times New Roman"/>
                <w:bCs/>
                <w:sz w:val="18"/>
                <w:szCs w:val="18"/>
              </w:rPr>
            </w:pPr>
          </w:p>
        </w:tc>
      </w:tr>
      <w:tr w:rsidR="001A0B09" w14:paraId="19A3B993" w14:textId="77777777" w:rsidTr="00454544">
        <w:tc>
          <w:tcPr>
            <w:tcW w:w="1099" w:type="dxa"/>
            <w:shd w:val="clear" w:color="auto" w:fill="FFFFFF"/>
            <w:vAlign w:val="center"/>
          </w:tcPr>
          <w:p w14:paraId="5A9C0F82" w14:textId="77777777" w:rsidR="001A0B09"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1A0B09"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Redukcja uwzględniająca wpływy podlegające ograniczeniu w wysokości 90 %</w:t>
            </w:r>
          </w:p>
          <w:p w14:paraId="51710A0B" w14:textId="77777777" w:rsidR="001A0B09" w:rsidRDefault="001A0B09">
            <w:pPr>
              <w:spacing w:before="0" w:after="0"/>
              <w:ind w:left="56"/>
              <w:rPr>
                <w:rFonts w:ascii="Times New Roman" w:hAnsi="Times New Roman"/>
                <w:bCs/>
                <w:sz w:val="18"/>
                <w:szCs w:val="18"/>
              </w:rPr>
            </w:pPr>
          </w:p>
          <w:p w14:paraId="789B1DB6" w14:textId="77777777" w:rsidR="001A0B09" w:rsidRDefault="00881B4D">
            <w:pPr>
              <w:spacing w:before="0" w:after="0"/>
              <w:ind w:left="56"/>
              <w:rPr>
                <w:rFonts w:ascii="Times New Roman" w:hAnsi="Times New Roman"/>
                <w:bCs/>
                <w:sz w:val="18"/>
                <w:szCs w:val="18"/>
              </w:rPr>
            </w:pPr>
            <w:r>
              <w:rPr>
                <w:rFonts w:ascii="Times New Roman" w:hAnsi="Times New Roman"/>
                <w:bCs/>
                <w:sz w:val="18"/>
                <w:szCs w:val="18"/>
              </w:rPr>
              <w:t>Należy zgłosić następującą część obliczeń NLO:</w:t>
            </w:r>
          </w:p>
          <w:p w14:paraId="71CFC786" w14:textId="77777777" w:rsidR="001A0B09" w:rsidRDefault="00881B4D">
            <w:pPr>
              <w:spacing w:before="0" w:after="0"/>
              <w:ind w:left="56"/>
              <w:rPr>
                <w:rFonts w:ascii="Times New Roman" w:hAnsi="Times New Roman"/>
                <w:bCs/>
                <w:sz w:val="18"/>
                <w:szCs w:val="18"/>
              </w:rPr>
            </w:pPr>
            <w:r>
              <w:rPr>
                <w:rFonts w:ascii="Times New Roman" w:hAnsi="Times New Roman"/>
                <w:bCs/>
                <w:sz w:val="18"/>
                <w:szCs w:val="18"/>
              </w:rPr>
              <w:t>= MIN (IHC, 0,9*MAX(TO-FEI, 0)).</w:t>
            </w:r>
          </w:p>
          <w:p w14:paraId="4B265BFC" w14:textId="77777777" w:rsidR="001A0B09" w:rsidRDefault="001A0B09">
            <w:pPr>
              <w:spacing w:before="0" w:after="0"/>
              <w:ind w:left="56"/>
              <w:rPr>
                <w:rFonts w:ascii="Times New Roman" w:hAnsi="Times New Roman"/>
                <w:b/>
                <w:bCs/>
                <w:sz w:val="18"/>
                <w:szCs w:val="18"/>
              </w:rPr>
            </w:pPr>
          </w:p>
        </w:tc>
      </w:tr>
      <w:tr w:rsidR="001A0B09" w14:paraId="1DDC80BD" w14:textId="77777777" w:rsidTr="00454544">
        <w:tc>
          <w:tcPr>
            <w:tcW w:w="1099" w:type="dxa"/>
            <w:shd w:val="clear" w:color="auto" w:fill="FFFFFF"/>
            <w:vAlign w:val="center"/>
          </w:tcPr>
          <w:p w14:paraId="39130CE0" w14:textId="77777777" w:rsidR="001A0B09"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1A0B09"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Redukcja uwzględniająca wpływy podlegające ograniczeniu w wysokości 75 %</w:t>
            </w:r>
          </w:p>
          <w:p w14:paraId="331D1539" w14:textId="77777777" w:rsidR="001A0B09" w:rsidRDefault="001A0B09">
            <w:pPr>
              <w:spacing w:before="0" w:after="0"/>
              <w:ind w:left="56"/>
              <w:rPr>
                <w:rFonts w:ascii="Times New Roman" w:hAnsi="Times New Roman"/>
                <w:bCs/>
                <w:sz w:val="18"/>
                <w:szCs w:val="18"/>
              </w:rPr>
            </w:pPr>
          </w:p>
          <w:p w14:paraId="7DC3F176" w14:textId="77777777" w:rsidR="001A0B09" w:rsidRDefault="00881B4D">
            <w:pPr>
              <w:spacing w:before="0" w:after="0"/>
              <w:ind w:left="56"/>
              <w:rPr>
                <w:rFonts w:ascii="Times New Roman" w:hAnsi="Times New Roman"/>
                <w:bCs/>
                <w:sz w:val="18"/>
                <w:szCs w:val="18"/>
              </w:rPr>
            </w:pPr>
            <w:r>
              <w:rPr>
                <w:rFonts w:ascii="Times New Roman" w:hAnsi="Times New Roman"/>
                <w:bCs/>
                <w:sz w:val="18"/>
                <w:szCs w:val="18"/>
              </w:rPr>
              <w:t>Należy zgłosić następującą część obliczeń NLO:</w:t>
            </w:r>
          </w:p>
          <w:p w14:paraId="61134030" w14:textId="77777777" w:rsidR="001A0B09" w:rsidRDefault="00881B4D">
            <w:pPr>
              <w:spacing w:before="0" w:after="0"/>
              <w:ind w:left="56"/>
              <w:rPr>
                <w:rFonts w:ascii="Times New Roman" w:hAnsi="Times New Roman"/>
                <w:bCs/>
                <w:sz w:val="18"/>
                <w:szCs w:val="18"/>
              </w:rPr>
            </w:pPr>
            <w:r>
              <w:rPr>
                <w:rFonts w:ascii="Times New Roman" w:hAnsi="Times New Roman"/>
                <w:bCs/>
                <w:sz w:val="18"/>
                <w:szCs w:val="18"/>
              </w:rPr>
              <w:t>= MIN (IC, 0,75*MAX(TO-FEI–IHC/0,9, 0)).</w:t>
            </w:r>
          </w:p>
          <w:p w14:paraId="3A926940" w14:textId="77777777" w:rsidR="001A0B09" w:rsidRDefault="001A0B09">
            <w:pPr>
              <w:spacing w:before="0" w:after="0"/>
              <w:ind w:left="56"/>
              <w:rPr>
                <w:rFonts w:ascii="Times New Roman" w:hAnsi="Times New Roman"/>
                <w:b/>
                <w:bCs/>
                <w:sz w:val="18"/>
                <w:szCs w:val="18"/>
              </w:rPr>
            </w:pPr>
          </w:p>
        </w:tc>
      </w:tr>
      <w:tr w:rsidR="001A0B09" w14:paraId="2BFBBC82" w14:textId="77777777" w:rsidTr="00454544">
        <w:tc>
          <w:tcPr>
            <w:tcW w:w="1099" w:type="dxa"/>
            <w:tcBorders>
              <w:bottom w:val="single" w:sz="4" w:space="0" w:color="auto"/>
            </w:tcBorders>
            <w:shd w:val="clear" w:color="auto" w:fill="FFFFFF"/>
            <w:vAlign w:val="center"/>
          </w:tcPr>
          <w:p w14:paraId="2F4386E3" w14:textId="77777777" w:rsidR="001A0B09"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1A0B09"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WYPŁYWY PŁYNNOŚCI NETTO</w:t>
            </w:r>
          </w:p>
          <w:p w14:paraId="5DBDD842" w14:textId="77777777" w:rsidR="001A0B09" w:rsidRDefault="001A0B09">
            <w:pPr>
              <w:spacing w:before="0" w:after="0"/>
              <w:ind w:left="56"/>
              <w:rPr>
                <w:rFonts w:ascii="Times New Roman" w:hAnsi="Times New Roman"/>
                <w:bCs/>
                <w:sz w:val="18"/>
                <w:szCs w:val="18"/>
              </w:rPr>
            </w:pPr>
          </w:p>
          <w:p w14:paraId="571E544F" w14:textId="77777777" w:rsidR="001A0B09" w:rsidRDefault="00881B4D">
            <w:pPr>
              <w:spacing w:before="0" w:after="0"/>
              <w:ind w:left="56"/>
              <w:rPr>
                <w:rFonts w:ascii="Times New Roman" w:hAnsi="Times New Roman"/>
                <w:sz w:val="18"/>
                <w:szCs w:val="18"/>
              </w:rPr>
            </w:pPr>
            <w:r>
              <w:rPr>
                <w:rFonts w:ascii="Times New Roman" w:hAnsi="Times New Roman"/>
                <w:sz w:val="18"/>
                <w:szCs w:val="18"/>
              </w:rPr>
              <w:t xml:space="preserve">Należy zgłosić wypływy płynności netto odpowiadające wypływom razem pomniejszonym o </w:t>
            </w:r>
            <w:r>
              <w:rPr>
                <w:rFonts w:ascii="Times New Roman" w:hAnsi="Times New Roman"/>
                <w:sz w:val="18"/>
                <w:szCs w:val="18"/>
              </w:rPr>
              <w:lastRenderedPageBreak/>
              <w:t>redukcję uwzględniającą wpływy całkowicie wyłączone, o redukcję uwzględniającą wpływy podlegające ograniczeniu w wysokości 90 % i o redukcję uwzględniającą wpływy podlegające ograniczeniu w wysokości 75 %.</w:t>
            </w:r>
          </w:p>
          <w:p w14:paraId="41954FF6" w14:textId="77777777" w:rsidR="001A0B09" w:rsidRDefault="001A0B09">
            <w:pPr>
              <w:spacing w:before="0" w:after="0"/>
              <w:ind w:left="56"/>
              <w:rPr>
                <w:rFonts w:ascii="Times New Roman" w:hAnsi="Times New Roman"/>
                <w:sz w:val="18"/>
                <w:szCs w:val="18"/>
              </w:rPr>
            </w:pPr>
          </w:p>
          <w:p w14:paraId="18297479" w14:textId="77777777" w:rsidR="001A0B09" w:rsidRDefault="00881B4D">
            <w:pPr>
              <w:spacing w:before="0" w:after="0"/>
              <w:ind w:left="56"/>
              <w:rPr>
                <w:rFonts w:ascii="Times New Roman" w:hAnsi="Times New Roman"/>
                <w:sz w:val="18"/>
                <w:szCs w:val="18"/>
              </w:rPr>
            </w:pPr>
            <w:r>
              <w:rPr>
                <w:rFonts w:ascii="Times New Roman" w:hAnsi="Times New Roman"/>
                <w:sz w:val="18"/>
                <w:szCs w:val="18"/>
              </w:rPr>
              <w:t>NLO = TO – MIN(FEI, TO) – MIN(IHC, 0,9*MAX(TO-FEI, 0)) – MIN(IC, 0,75*MAX(TO-FEI–IHC/0,9,0))</w:t>
            </w:r>
          </w:p>
          <w:p w14:paraId="09661336" w14:textId="77777777" w:rsidR="001A0B09" w:rsidRDefault="001A0B09">
            <w:pPr>
              <w:spacing w:before="0" w:after="0"/>
              <w:ind w:left="56"/>
              <w:rPr>
                <w:rFonts w:ascii="Times New Roman" w:hAnsi="Times New Roman"/>
                <w:b/>
                <w:bCs/>
                <w:sz w:val="18"/>
                <w:szCs w:val="18"/>
              </w:rPr>
            </w:pPr>
          </w:p>
        </w:tc>
      </w:tr>
      <w:tr w:rsidR="001A0B09" w14:paraId="69129884" w14:textId="77777777" w:rsidTr="00454544">
        <w:tc>
          <w:tcPr>
            <w:tcW w:w="8478" w:type="dxa"/>
            <w:gridSpan w:val="3"/>
            <w:shd w:val="pct20" w:color="auto" w:fill="FFFFFF"/>
            <w:vAlign w:val="center"/>
          </w:tcPr>
          <w:p w14:paraId="737BA269" w14:textId="77777777" w:rsidR="001A0B09" w:rsidRDefault="00881B4D">
            <w:pPr>
              <w:spacing w:before="0" w:after="0"/>
              <w:ind w:left="56"/>
              <w:rPr>
                <w:rFonts w:ascii="Times New Roman" w:hAnsi="Times New Roman"/>
                <w:b/>
                <w:bCs/>
                <w:sz w:val="18"/>
                <w:szCs w:val="18"/>
              </w:rPr>
            </w:pPr>
            <w:r>
              <w:rPr>
                <w:rFonts w:ascii="Times New Roman" w:hAnsi="Times New Roman"/>
                <w:b/>
                <w:bCs/>
                <w:sz w:val="18"/>
                <w:szCs w:val="18"/>
              </w:rPr>
              <w:lastRenderedPageBreak/>
              <w:t>Filar 2</w:t>
            </w:r>
          </w:p>
        </w:tc>
      </w:tr>
      <w:tr w:rsidR="001A0B09" w14:paraId="266EE0AE" w14:textId="77777777" w:rsidTr="00454544">
        <w:tc>
          <w:tcPr>
            <w:tcW w:w="1099" w:type="dxa"/>
            <w:shd w:val="clear" w:color="auto" w:fill="FFFFFF"/>
            <w:vAlign w:val="center"/>
          </w:tcPr>
          <w:p w14:paraId="09720242" w14:textId="77777777" w:rsidR="001A0B09"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1A0B09"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WYMÓG W RAMACH FILARU 2</w:t>
            </w:r>
          </w:p>
          <w:p w14:paraId="5FFFC938" w14:textId="77777777" w:rsidR="001A0B09" w:rsidRDefault="001A0B09">
            <w:pPr>
              <w:spacing w:before="0" w:after="0"/>
              <w:ind w:left="56"/>
              <w:rPr>
                <w:rFonts w:ascii="Times New Roman" w:hAnsi="Times New Roman"/>
                <w:bCs/>
                <w:sz w:val="18"/>
                <w:szCs w:val="18"/>
              </w:rPr>
            </w:pPr>
          </w:p>
          <w:p w14:paraId="72D74222" w14:textId="77777777" w:rsidR="001A0B09" w:rsidRDefault="00881B4D">
            <w:pPr>
              <w:spacing w:before="0" w:after="0"/>
              <w:ind w:left="56"/>
              <w:rPr>
                <w:rFonts w:ascii="Times New Roman" w:hAnsi="Times New Roman"/>
                <w:bCs/>
                <w:sz w:val="18"/>
                <w:szCs w:val="18"/>
              </w:rPr>
            </w:pPr>
            <w:r>
              <w:rPr>
                <w:rFonts w:ascii="Times New Roman" w:hAnsi="Times New Roman"/>
                <w:bCs/>
                <w:sz w:val="18"/>
                <w:szCs w:val="18"/>
              </w:rPr>
              <w:t>Zgodnie z art. 105 dyrektywy w sprawie wymogów kapitałowych</w:t>
            </w:r>
          </w:p>
          <w:p w14:paraId="4710F58E" w14:textId="77777777" w:rsidR="001A0B09" w:rsidRDefault="001A0B09">
            <w:pPr>
              <w:spacing w:before="0" w:after="0"/>
              <w:ind w:left="56"/>
              <w:rPr>
                <w:rFonts w:ascii="Times New Roman" w:hAnsi="Times New Roman"/>
                <w:bCs/>
                <w:sz w:val="18"/>
                <w:szCs w:val="18"/>
              </w:rPr>
            </w:pPr>
          </w:p>
          <w:p w14:paraId="70A9354E" w14:textId="77777777" w:rsidR="001A0B09" w:rsidRDefault="00881B4D">
            <w:pPr>
              <w:spacing w:before="0" w:after="0"/>
              <w:ind w:left="56"/>
              <w:rPr>
                <w:rFonts w:ascii="Times New Roman" w:hAnsi="Times New Roman"/>
                <w:bCs/>
                <w:sz w:val="18"/>
                <w:szCs w:val="18"/>
              </w:rPr>
            </w:pPr>
            <w:r>
              <w:rPr>
                <w:rFonts w:ascii="Times New Roman" w:hAnsi="Times New Roman"/>
                <w:bCs/>
                <w:sz w:val="18"/>
                <w:szCs w:val="18"/>
              </w:rPr>
              <w:t>Należy zgłosić wymóg dotyczący filaru 2.</w:t>
            </w:r>
          </w:p>
        </w:tc>
      </w:tr>
    </w:tbl>
    <w:p w14:paraId="06AE4A0F" w14:textId="77777777" w:rsidR="001A0B09" w:rsidRDefault="001A0B09">
      <w:pPr>
        <w:rPr>
          <w:rFonts w:ascii="Times New Roman" w:eastAsia="PMingLiU" w:hAnsi="Times New Roman"/>
        </w:rPr>
      </w:pPr>
    </w:p>
    <w:p w14:paraId="675BC291" w14:textId="5D2C8BA7" w:rsidR="001A0B09" w:rsidRDefault="00881B4D">
      <w:pPr>
        <w:jc w:val="center"/>
        <w:rPr>
          <w:rFonts w:ascii="Times New Roman" w:hAnsi="Times New Roman"/>
          <w:b/>
          <w:sz w:val="24"/>
        </w:rPr>
      </w:pPr>
      <w:r>
        <w:rPr>
          <w:rFonts w:ascii="Times New Roman" w:hAnsi="Times New Roman"/>
          <w:b/>
        </w:rPr>
        <w:t>SPRAWOZDAWCZOŚĆ W ZAKRESIE PŁYNNOŚCI (CZĘŚĆ 6: ZAKRES KONSOLIDACJI)</w:t>
      </w:r>
    </w:p>
    <w:p w14:paraId="46441974" w14:textId="23F76AC4" w:rsidR="001A0B09"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Zakres konsolidacji</w:t>
      </w:r>
    </w:p>
    <w:p w14:paraId="37D472DC" w14:textId="101D0D89" w:rsidR="001A0B09"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Uwagi ogólne</w:t>
      </w:r>
    </w:p>
    <w:p w14:paraId="2A1CB21B" w14:textId="2AEED944" w:rsidR="001A0B09" w:rsidRDefault="008312F1">
      <w:pPr>
        <w:pStyle w:val="InstructionsText2"/>
        <w:numPr>
          <w:ilvl w:val="0"/>
          <w:numId w:val="104"/>
        </w:numPr>
      </w:pPr>
      <w:r>
        <w:t>Poniżej przedstawiono formularz, w którym, wyłącznie na potrzeby wskaźnika pokrycia wypływów netto na poziomie skonsolidowanym, identyfikuje się podmioty, do których odnoszą się informacje przekazane w formularzach C 72.00, C 73.00, C 74.00, C 75.01 i C 76.00. W formularzu tym określono wszystkie podmioty objęte zakresem konsolidacji wskaźnika pokrycia wypływów netto zgodnie z art. 8 i 10 oraz art. 11 ust. 3 i 5 rozporządzenia (UE) nr 575/2013, stosownie do przypadku. Formularz ten ma mieć tyle wierszy, ile jest podmiotów objętych zakresem konsolidacji.</w:t>
      </w:r>
    </w:p>
    <w:p w14:paraId="52F0B902" w14:textId="2811DE45" w:rsidR="001A0B09"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Instrukcje dotyczące poszczególnych kolumn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1A0B09" w14:paraId="1DFD4DE0" w14:textId="77777777" w:rsidTr="00CB45E9">
        <w:tc>
          <w:tcPr>
            <w:tcW w:w="1099" w:type="dxa"/>
            <w:shd w:val="clear" w:color="auto" w:fill="E6E6E6"/>
            <w:vAlign w:val="center"/>
          </w:tcPr>
          <w:p w14:paraId="77F653EB" w14:textId="77777777" w:rsidR="001A0B09" w:rsidRDefault="00881B4D">
            <w:pPr>
              <w:jc w:val="left"/>
              <w:rPr>
                <w:rFonts w:ascii="Times New Roman" w:hAnsi="Times New Roman"/>
                <w:b/>
                <w:sz w:val="18"/>
              </w:rPr>
            </w:pPr>
            <w:r>
              <w:rPr>
                <w:rFonts w:ascii="Times New Roman" w:hAnsi="Times New Roman"/>
                <w:b/>
                <w:sz w:val="18"/>
              </w:rPr>
              <w:t>Kolumna</w:t>
            </w:r>
          </w:p>
        </w:tc>
        <w:tc>
          <w:tcPr>
            <w:tcW w:w="7379" w:type="dxa"/>
            <w:shd w:val="clear" w:color="auto" w:fill="E6E6E6"/>
            <w:vAlign w:val="center"/>
          </w:tcPr>
          <w:p w14:paraId="3FFE688A" w14:textId="77777777" w:rsidR="001A0B09" w:rsidRDefault="00881B4D">
            <w:pPr>
              <w:spacing w:before="0" w:after="0"/>
              <w:jc w:val="left"/>
              <w:rPr>
                <w:rFonts w:ascii="Times New Roman" w:eastAsia="SimSun" w:hAnsi="Times New Roman"/>
                <w:b/>
                <w:sz w:val="18"/>
                <w:szCs w:val="18"/>
              </w:rPr>
            </w:pPr>
            <w:r>
              <w:rPr>
                <w:rFonts w:ascii="Times New Roman" w:hAnsi="Times New Roman"/>
                <w:b/>
                <w:sz w:val="18"/>
              </w:rPr>
              <w:t>Odniesienia prawne i instrukcje</w:t>
            </w:r>
          </w:p>
        </w:tc>
      </w:tr>
      <w:tr w:rsidR="001A0B09" w14:paraId="5129130C" w14:textId="77777777" w:rsidTr="00CB45E9">
        <w:tc>
          <w:tcPr>
            <w:tcW w:w="1099" w:type="dxa"/>
            <w:vAlign w:val="center"/>
          </w:tcPr>
          <w:p w14:paraId="640C67F1" w14:textId="28BD77D8" w:rsidR="001A0B09"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1A0B09" w:rsidRDefault="008312F1">
            <w:pPr>
              <w:spacing w:before="0" w:after="0"/>
              <w:jc w:val="left"/>
              <w:rPr>
                <w:rFonts w:ascii="Times New Roman" w:hAnsi="Times New Roman"/>
                <w:b/>
                <w:bCs/>
                <w:sz w:val="18"/>
                <w:szCs w:val="18"/>
              </w:rPr>
            </w:pPr>
            <w:r>
              <w:rPr>
                <w:rFonts w:ascii="Times New Roman" w:hAnsi="Times New Roman"/>
                <w:b/>
                <w:bCs/>
                <w:sz w:val="18"/>
                <w:szCs w:val="18"/>
              </w:rPr>
              <w:t>Jednostka dominująca czy jednostka zależna</w:t>
            </w:r>
          </w:p>
          <w:p w14:paraId="56511C6F" w14:textId="77777777" w:rsidR="001A0B09" w:rsidRDefault="001A0B09">
            <w:pPr>
              <w:spacing w:before="0" w:after="0"/>
              <w:jc w:val="left"/>
              <w:rPr>
                <w:rFonts w:ascii="Times New Roman" w:hAnsi="Times New Roman"/>
                <w:b/>
                <w:bCs/>
                <w:sz w:val="18"/>
                <w:szCs w:val="18"/>
              </w:rPr>
            </w:pPr>
          </w:p>
          <w:p w14:paraId="00BCA1F3" w14:textId="77777777" w:rsidR="001A0B09" w:rsidRDefault="008312F1">
            <w:pPr>
              <w:spacing w:before="0" w:after="0"/>
              <w:jc w:val="left"/>
              <w:rPr>
                <w:rFonts w:ascii="Times New Roman" w:hAnsi="Times New Roman"/>
                <w:bCs/>
                <w:sz w:val="18"/>
                <w:szCs w:val="18"/>
              </w:rPr>
            </w:pPr>
            <w:r>
              <w:rPr>
                <w:rFonts w:ascii="Times New Roman" w:hAnsi="Times New Roman"/>
                <w:bCs/>
                <w:sz w:val="18"/>
                <w:szCs w:val="18"/>
              </w:rPr>
              <w:t>„Jednostka dominująca” zostaje zgłoszona w przypadku, gdy podmiotem w danym wierszu jest:</w:t>
            </w:r>
          </w:p>
          <w:p w14:paraId="5F9D8FA9" w14:textId="77777777" w:rsidR="001A0B09" w:rsidRDefault="001A0B09">
            <w:pPr>
              <w:spacing w:before="0" w:after="0"/>
              <w:jc w:val="left"/>
              <w:rPr>
                <w:rFonts w:ascii="Times New Roman" w:hAnsi="Times New Roman"/>
                <w:bCs/>
                <w:sz w:val="18"/>
                <w:szCs w:val="18"/>
              </w:rPr>
            </w:pPr>
          </w:p>
          <w:p w14:paraId="3A9D42ED" w14:textId="675D4ACC" w:rsidR="001A0B09"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unijna instytucja dominująca, unijna dominująca finansowa spółka holdingowa lub unijna dominująca finansowa spółka holdingowa o działalności mieszanej jak przewidziano w art. 11 ust. 3 rozporządzenia (UE) nr 575/2013;</w:t>
            </w:r>
          </w:p>
          <w:p w14:paraId="3E1D5F0E" w14:textId="77777777" w:rsidR="001A0B09" w:rsidRDefault="001A0B09">
            <w:pPr>
              <w:pStyle w:val="ListParagraph"/>
              <w:spacing w:before="0" w:after="0"/>
              <w:jc w:val="left"/>
              <w:rPr>
                <w:rFonts w:ascii="Times New Roman" w:hAnsi="Times New Roman"/>
                <w:bCs/>
                <w:sz w:val="18"/>
                <w:szCs w:val="18"/>
              </w:rPr>
            </w:pPr>
          </w:p>
          <w:p w14:paraId="07D47794" w14:textId="1C60CCE8" w:rsidR="001A0B09"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instytucja dominująca lub instytucja zależna, które muszą spełniać wymóg pokrycia wypływów netto odpowiednio na zasadzie skonsolidowanej lub nieskonsolidowanej w kontekście wydzielonej podgrupy płynnościowej zgodnie z art. 8 rozporządzenia (UE) nr 575/2013; </w:t>
            </w:r>
          </w:p>
          <w:p w14:paraId="7CFC13EC" w14:textId="77777777" w:rsidR="001A0B09" w:rsidRDefault="001A0B09">
            <w:pPr>
              <w:pStyle w:val="ListParagraph"/>
              <w:rPr>
                <w:rFonts w:ascii="Times New Roman" w:hAnsi="Times New Roman"/>
                <w:bCs/>
                <w:sz w:val="18"/>
                <w:szCs w:val="18"/>
              </w:rPr>
            </w:pPr>
          </w:p>
          <w:p w14:paraId="6D95368C" w14:textId="5088CB5E" w:rsidR="001A0B09"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odpowiednia instytucja, która musi być spełniać wymóg pokrycia wypływów netto na zasadzie subskonsolidowanej zgodnie z art. 11 ust. 5 rozporządzenia (UE) nr 575/2013; </w:t>
            </w:r>
          </w:p>
          <w:p w14:paraId="105A95C5" w14:textId="77777777" w:rsidR="001A0B09" w:rsidRDefault="001A0B09">
            <w:pPr>
              <w:pStyle w:val="ListParagraph"/>
              <w:rPr>
                <w:rFonts w:ascii="Times New Roman" w:hAnsi="Times New Roman"/>
                <w:bCs/>
                <w:sz w:val="18"/>
                <w:szCs w:val="18"/>
              </w:rPr>
            </w:pPr>
          </w:p>
          <w:p w14:paraId="7E30523F" w14:textId="225F4993" w:rsidR="001A0B09"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unijna instytucja centralna.</w:t>
            </w:r>
          </w:p>
          <w:p w14:paraId="1ED0371F" w14:textId="77777777" w:rsidR="001A0B09" w:rsidRDefault="001A0B09">
            <w:pPr>
              <w:pStyle w:val="ListParagraph"/>
              <w:rPr>
                <w:rFonts w:ascii="Times New Roman" w:hAnsi="Times New Roman"/>
                <w:bCs/>
                <w:sz w:val="18"/>
                <w:szCs w:val="18"/>
              </w:rPr>
            </w:pPr>
          </w:p>
          <w:p w14:paraId="34DF5A08" w14:textId="77777777" w:rsidR="001A0B09" w:rsidRDefault="008312F1">
            <w:pPr>
              <w:spacing w:before="0" w:after="0"/>
              <w:jc w:val="left"/>
              <w:rPr>
                <w:rFonts w:ascii="Times New Roman" w:hAnsi="Times New Roman"/>
                <w:bCs/>
                <w:sz w:val="18"/>
                <w:szCs w:val="18"/>
              </w:rPr>
            </w:pPr>
            <w:r>
              <w:rPr>
                <w:rFonts w:ascii="Times New Roman" w:hAnsi="Times New Roman"/>
                <w:bCs/>
                <w:sz w:val="18"/>
                <w:szCs w:val="18"/>
              </w:rPr>
              <w:t xml:space="preserve">„Jednostka zależna” zostaje zgłoszona w pozostałych wierszach.    </w:t>
            </w:r>
          </w:p>
          <w:p w14:paraId="4AFC6E87" w14:textId="77777777" w:rsidR="001A0B09" w:rsidRDefault="001A0B09">
            <w:pPr>
              <w:spacing w:before="0" w:after="0"/>
              <w:jc w:val="left"/>
              <w:rPr>
                <w:rFonts w:ascii="Times New Roman" w:hAnsi="Times New Roman"/>
                <w:b/>
                <w:bCs/>
                <w:sz w:val="18"/>
                <w:szCs w:val="18"/>
              </w:rPr>
            </w:pPr>
          </w:p>
        </w:tc>
      </w:tr>
      <w:tr w:rsidR="001A0B09" w14:paraId="6CA2233C" w14:textId="77777777" w:rsidTr="00CB45E9">
        <w:tc>
          <w:tcPr>
            <w:tcW w:w="1099" w:type="dxa"/>
            <w:vAlign w:val="center"/>
          </w:tcPr>
          <w:p w14:paraId="19A158C1" w14:textId="77777777" w:rsidR="001A0B09"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1A0B09" w:rsidRDefault="008312F1">
            <w:pPr>
              <w:spacing w:before="0" w:after="0"/>
              <w:jc w:val="left"/>
              <w:rPr>
                <w:rFonts w:ascii="Times New Roman" w:hAnsi="Times New Roman"/>
                <w:b/>
                <w:bCs/>
                <w:sz w:val="18"/>
                <w:szCs w:val="18"/>
              </w:rPr>
            </w:pPr>
            <w:r>
              <w:rPr>
                <w:rFonts w:ascii="Times New Roman" w:hAnsi="Times New Roman"/>
                <w:b/>
                <w:bCs/>
                <w:sz w:val="18"/>
                <w:szCs w:val="18"/>
              </w:rPr>
              <w:t>Nazwa</w:t>
            </w:r>
          </w:p>
          <w:p w14:paraId="0C7C8DCA" w14:textId="77777777" w:rsidR="001A0B09" w:rsidRDefault="001A0B09">
            <w:pPr>
              <w:spacing w:before="0" w:after="0"/>
              <w:jc w:val="left"/>
              <w:rPr>
                <w:rFonts w:ascii="Times New Roman" w:hAnsi="Times New Roman"/>
                <w:bCs/>
                <w:sz w:val="18"/>
                <w:szCs w:val="18"/>
              </w:rPr>
            </w:pPr>
          </w:p>
          <w:p w14:paraId="215839A7" w14:textId="77777777" w:rsidR="001A0B09" w:rsidRDefault="008312F1">
            <w:pPr>
              <w:spacing w:before="0" w:after="0"/>
              <w:jc w:val="left"/>
              <w:rPr>
                <w:rFonts w:ascii="Times New Roman" w:eastAsia="Calibri" w:hAnsi="Times New Roman"/>
              </w:rPr>
            </w:pPr>
            <w:r>
              <w:rPr>
                <w:rFonts w:ascii="Times New Roman" w:hAnsi="Times New Roman"/>
              </w:rPr>
              <w:t>Nazwę każdego podmiotu objętego zakresem konsolidacji zgłasza się w kolumnie 010.</w:t>
            </w:r>
          </w:p>
          <w:p w14:paraId="50A88925" w14:textId="77777777" w:rsidR="001A0B09" w:rsidRDefault="001A0B09">
            <w:pPr>
              <w:spacing w:before="0" w:after="0"/>
              <w:jc w:val="left"/>
              <w:rPr>
                <w:rFonts w:ascii="Times New Roman" w:hAnsi="Times New Roman"/>
                <w:bCs/>
                <w:sz w:val="18"/>
                <w:szCs w:val="18"/>
              </w:rPr>
            </w:pPr>
          </w:p>
        </w:tc>
      </w:tr>
      <w:tr w:rsidR="001A0B09" w14:paraId="72787EB5" w14:textId="77777777" w:rsidTr="00CB45E9">
        <w:tc>
          <w:tcPr>
            <w:tcW w:w="1099" w:type="dxa"/>
            <w:vAlign w:val="center"/>
          </w:tcPr>
          <w:p w14:paraId="5263BFA8" w14:textId="119C36DC" w:rsidR="001A0B09"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1A0B09" w:rsidRDefault="008312F1">
            <w:pPr>
              <w:spacing w:before="0" w:after="0"/>
              <w:jc w:val="left"/>
              <w:rPr>
                <w:rFonts w:ascii="Times New Roman" w:hAnsi="Times New Roman"/>
                <w:b/>
                <w:bCs/>
                <w:sz w:val="18"/>
                <w:szCs w:val="18"/>
              </w:rPr>
            </w:pPr>
            <w:r>
              <w:rPr>
                <w:rFonts w:ascii="Times New Roman" w:hAnsi="Times New Roman"/>
                <w:b/>
                <w:bCs/>
                <w:sz w:val="18"/>
                <w:szCs w:val="18"/>
              </w:rPr>
              <w:t>Kod</w:t>
            </w:r>
          </w:p>
          <w:p w14:paraId="5DCBAF87" w14:textId="77777777" w:rsidR="001A0B09" w:rsidRDefault="001A0B09">
            <w:pPr>
              <w:spacing w:before="0" w:after="0"/>
              <w:jc w:val="left"/>
              <w:rPr>
                <w:rFonts w:ascii="Times New Roman" w:hAnsi="Times New Roman"/>
                <w:b/>
                <w:bCs/>
                <w:sz w:val="18"/>
                <w:szCs w:val="18"/>
              </w:rPr>
            </w:pPr>
          </w:p>
          <w:p w14:paraId="078F95FC" w14:textId="77777777" w:rsidR="001A0B09" w:rsidRDefault="00555504">
            <w:pPr>
              <w:spacing w:before="0" w:after="0"/>
              <w:jc w:val="left"/>
              <w:rPr>
                <w:rFonts w:ascii="Times New Roman" w:hAnsi="Times New Roman"/>
                <w:bCs/>
                <w:sz w:val="18"/>
                <w:szCs w:val="18"/>
              </w:rPr>
            </w:pPr>
            <w:r>
              <w:rPr>
                <w:rFonts w:ascii="Times New Roman" w:hAnsi="Times New Roman"/>
                <w:bCs/>
                <w:sz w:val="18"/>
                <w:szCs w:val="18"/>
              </w:rPr>
              <w:t>Kod ten stanowi identyfikator wiersza i jest unikatowy dla każdego wiersza w tabeli.</w:t>
            </w:r>
          </w:p>
          <w:p w14:paraId="57BC6B98" w14:textId="0AE4EBA5" w:rsidR="001A0B09" w:rsidRDefault="00555504">
            <w:pPr>
              <w:spacing w:before="0" w:after="0"/>
              <w:jc w:val="left"/>
              <w:rPr>
                <w:rFonts w:ascii="Times New Roman" w:hAnsi="Times New Roman"/>
                <w:bCs/>
                <w:sz w:val="18"/>
                <w:szCs w:val="18"/>
              </w:rPr>
            </w:pPr>
            <w:r>
              <w:rPr>
                <w:rFonts w:ascii="Times New Roman" w:hAnsi="Times New Roman"/>
                <w:bCs/>
                <w:sz w:val="18"/>
                <w:szCs w:val="18"/>
              </w:rPr>
              <w:t>Kod przypisany podmiotowi objętemu zakresem konsolidacji.</w:t>
            </w:r>
          </w:p>
        </w:tc>
      </w:tr>
      <w:tr w:rsidR="001A0B09" w14:paraId="2FCD1AC2" w14:textId="77777777" w:rsidTr="00CB45E9">
        <w:tc>
          <w:tcPr>
            <w:tcW w:w="1099" w:type="dxa"/>
            <w:vAlign w:val="center"/>
          </w:tcPr>
          <w:p w14:paraId="232EA9FD" w14:textId="1FA2B7F2" w:rsidR="001A0B09"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1A0B09" w:rsidRDefault="008312F1">
            <w:pPr>
              <w:spacing w:before="0" w:after="0"/>
              <w:jc w:val="left"/>
              <w:rPr>
                <w:rFonts w:ascii="Times New Roman" w:hAnsi="Times New Roman"/>
                <w:b/>
                <w:bCs/>
                <w:sz w:val="18"/>
              </w:rPr>
            </w:pPr>
            <w:r>
              <w:rPr>
                <w:rFonts w:ascii="Times New Roman" w:hAnsi="Times New Roman"/>
                <w:b/>
                <w:bCs/>
                <w:sz w:val="18"/>
                <w:szCs w:val="18"/>
              </w:rPr>
              <w:t>KOD LEI</w:t>
            </w:r>
          </w:p>
          <w:p w14:paraId="29B2DBF3" w14:textId="77777777" w:rsidR="001A0B09" w:rsidRDefault="001A0B09">
            <w:pPr>
              <w:spacing w:before="0" w:after="0"/>
              <w:jc w:val="left"/>
              <w:rPr>
                <w:rFonts w:ascii="Times New Roman" w:hAnsi="Times New Roman"/>
                <w:bCs/>
                <w:sz w:val="18"/>
                <w:szCs w:val="18"/>
              </w:rPr>
            </w:pPr>
          </w:p>
          <w:p w14:paraId="4DACB6CB" w14:textId="3F137B6F" w:rsidR="001A0B09" w:rsidRDefault="008312F1">
            <w:pPr>
              <w:spacing w:before="0" w:after="0"/>
              <w:jc w:val="left"/>
              <w:rPr>
                <w:rFonts w:ascii="Times New Roman" w:hAnsi="Times New Roman"/>
                <w:bCs/>
                <w:sz w:val="18"/>
                <w:szCs w:val="18"/>
              </w:rPr>
            </w:pPr>
            <w:r>
              <w:rPr>
                <w:rFonts w:ascii="Times New Roman" w:hAnsi="Times New Roman"/>
                <w:sz w:val="18"/>
                <w:szCs w:val="18"/>
              </w:rPr>
              <w:t>Identyfikator podmiotu prawnego każdego podmiotu objętego zakresem konsolidacji zgłasza się w kolumnie 020.</w:t>
            </w:r>
            <w:r>
              <w:t xml:space="preserve"> </w:t>
            </w:r>
            <w:r>
              <w:rPr>
                <w:rFonts w:ascii="Times New Roman" w:hAnsi="Times New Roman"/>
                <w:sz w:val="18"/>
                <w:szCs w:val="18"/>
              </w:rPr>
              <w:t>Jeśli dla danego podmiotu istnieje kod identyfikujący podmiot prawny (kod LEI), kod ten jest stosowany w celu zidentyfikowania tego podmiotu.</w:t>
            </w:r>
          </w:p>
          <w:p w14:paraId="75ED6874" w14:textId="77777777" w:rsidR="001A0B09" w:rsidRDefault="001A0B09">
            <w:pPr>
              <w:spacing w:before="0" w:after="0"/>
              <w:jc w:val="left"/>
              <w:rPr>
                <w:rFonts w:ascii="Times New Roman" w:hAnsi="Times New Roman"/>
                <w:bCs/>
                <w:sz w:val="18"/>
                <w:szCs w:val="18"/>
              </w:rPr>
            </w:pPr>
          </w:p>
        </w:tc>
      </w:tr>
      <w:tr w:rsidR="001A0B09" w14:paraId="7085CD9E" w14:textId="77777777" w:rsidTr="00CB45E9">
        <w:tc>
          <w:tcPr>
            <w:tcW w:w="1099" w:type="dxa"/>
            <w:vAlign w:val="center"/>
          </w:tcPr>
          <w:p w14:paraId="6A885E9D" w14:textId="782C82DF" w:rsidR="001A0B09" w:rsidRDefault="008312F1">
            <w:pPr>
              <w:jc w:val="center"/>
              <w:rPr>
                <w:rFonts w:ascii="Times New Roman" w:hAnsi="Times New Roman"/>
                <w:sz w:val="18"/>
                <w:szCs w:val="18"/>
              </w:rPr>
            </w:pPr>
            <w:r>
              <w:rPr>
                <w:rFonts w:ascii="Times New Roman" w:hAnsi="Times New Roman"/>
                <w:sz w:val="18"/>
                <w:szCs w:val="18"/>
              </w:rPr>
              <w:lastRenderedPageBreak/>
              <w:t>040</w:t>
            </w:r>
          </w:p>
        </w:tc>
        <w:tc>
          <w:tcPr>
            <w:tcW w:w="7379" w:type="dxa"/>
          </w:tcPr>
          <w:p w14:paraId="0CA29A95" w14:textId="5E7ED694" w:rsidR="001A0B09" w:rsidRDefault="008312F1">
            <w:pPr>
              <w:spacing w:before="0" w:after="0"/>
              <w:jc w:val="left"/>
              <w:rPr>
                <w:rFonts w:ascii="Times New Roman" w:hAnsi="Times New Roman"/>
                <w:b/>
                <w:bCs/>
                <w:sz w:val="18"/>
              </w:rPr>
            </w:pPr>
            <w:r>
              <w:rPr>
                <w:rFonts w:ascii="Times New Roman" w:hAnsi="Times New Roman"/>
                <w:b/>
                <w:bCs/>
                <w:sz w:val="18"/>
                <w:szCs w:val="18"/>
              </w:rPr>
              <w:t>Kod państwa</w:t>
            </w:r>
          </w:p>
          <w:p w14:paraId="55110F08" w14:textId="77777777" w:rsidR="001A0B09" w:rsidRDefault="001A0B09">
            <w:pPr>
              <w:spacing w:before="0" w:after="0"/>
              <w:jc w:val="left"/>
              <w:rPr>
                <w:rFonts w:ascii="Times New Roman" w:hAnsi="Times New Roman"/>
                <w:b/>
                <w:bCs/>
                <w:sz w:val="18"/>
                <w:szCs w:val="18"/>
              </w:rPr>
            </w:pPr>
          </w:p>
          <w:p w14:paraId="0A7A9BFF" w14:textId="77777777" w:rsidR="001A0B09" w:rsidRDefault="008312F1">
            <w:pPr>
              <w:spacing w:before="0" w:after="0"/>
              <w:jc w:val="left"/>
              <w:rPr>
                <w:rFonts w:ascii="Times New Roman" w:hAnsi="Times New Roman"/>
                <w:bCs/>
                <w:sz w:val="18"/>
                <w:szCs w:val="18"/>
              </w:rPr>
            </w:pPr>
            <w:r>
              <w:rPr>
                <w:rFonts w:ascii="Times New Roman" w:hAnsi="Times New Roman"/>
                <w:bCs/>
                <w:sz w:val="18"/>
                <w:szCs w:val="18"/>
              </w:rPr>
              <w:t xml:space="preserve">Kod ISO 3166-1-alpha-2 kraju założenia każdego podmiotu objętego zakresem konsolidacji zgłasza się w kolumnie 030. </w:t>
            </w:r>
          </w:p>
          <w:p w14:paraId="1CBF434E" w14:textId="77777777" w:rsidR="001A0B09" w:rsidRDefault="001A0B09">
            <w:pPr>
              <w:spacing w:before="0" w:after="0"/>
              <w:jc w:val="left"/>
              <w:rPr>
                <w:rFonts w:ascii="Times New Roman" w:hAnsi="Times New Roman"/>
                <w:b/>
                <w:bCs/>
                <w:sz w:val="18"/>
                <w:szCs w:val="18"/>
              </w:rPr>
            </w:pPr>
          </w:p>
        </w:tc>
      </w:tr>
      <w:tr w:rsidR="001A0B09" w14:paraId="76C45C0F" w14:textId="77777777" w:rsidTr="00CB45E9">
        <w:tc>
          <w:tcPr>
            <w:tcW w:w="1099" w:type="dxa"/>
            <w:vAlign w:val="center"/>
          </w:tcPr>
          <w:p w14:paraId="582E0EC6" w14:textId="4E490D64" w:rsidR="001A0B09"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1A0B09" w:rsidRDefault="008312F1">
            <w:pPr>
              <w:spacing w:before="0" w:after="0"/>
              <w:jc w:val="left"/>
              <w:rPr>
                <w:rFonts w:ascii="Times New Roman" w:hAnsi="Times New Roman"/>
                <w:b/>
                <w:bCs/>
                <w:sz w:val="18"/>
                <w:szCs w:val="18"/>
              </w:rPr>
            </w:pPr>
            <w:r>
              <w:rPr>
                <w:rFonts w:ascii="Times New Roman" w:hAnsi="Times New Roman"/>
                <w:b/>
                <w:bCs/>
                <w:sz w:val="18"/>
                <w:szCs w:val="18"/>
              </w:rPr>
              <w:t>Rodzaj podmiotu</w:t>
            </w:r>
          </w:p>
          <w:p w14:paraId="7801E46D" w14:textId="77777777" w:rsidR="001A0B09" w:rsidRDefault="001A0B09">
            <w:pPr>
              <w:spacing w:before="0" w:after="0"/>
              <w:jc w:val="left"/>
              <w:rPr>
                <w:rFonts w:ascii="Times New Roman" w:hAnsi="Times New Roman"/>
                <w:b/>
                <w:bCs/>
                <w:sz w:val="18"/>
                <w:szCs w:val="18"/>
              </w:rPr>
            </w:pPr>
          </w:p>
          <w:p w14:paraId="7BA51604" w14:textId="77777777" w:rsidR="001A0B09" w:rsidRDefault="008312F1">
            <w:pPr>
              <w:spacing w:before="0" w:after="0"/>
              <w:jc w:val="left"/>
              <w:rPr>
                <w:rFonts w:ascii="Times New Roman" w:hAnsi="Times New Roman"/>
                <w:bCs/>
                <w:sz w:val="18"/>
                <w:szCs w:val="18"/>
              </w:rPr>
            </w:pPr>
            <w:r>
              <w:rPr>
                <w:rFonts w:ascii="Times New Roman" w:hAnsi="Times New Roman"/>
                <w:bCs/>
                <w:sz w:val="18"/>
                <w:szCs w:val="18"/>
              </w:rPr>
              <w:t>Do podmiotów zgłoszonych w kolumnie 010 przypisuje się rodzaj podmiotu odpowiadający jego formie prawnej według poniższego wykazu:</w:t>
            </w:r>
          </w:p>
          <w:p w14:paraId="074A915E" w14:textId="77777777" w:rsidR="001A0B09" w:rsidRDefault="001A0B09">
            <w:pPr>
              <w:spacing w:before="0" w:after="0"/>
              <w:jc w:val="left"/>
              <w:rPr>
                <w:rFonts w:ascii="Times New Roman" w:hAnsi="Times New Roman"/>
                <w:bCs/>
                <w:sz w:val="18"/>
                <w:szCs w:val="18"/>
              </w:rPr>
            </w:pPr>
          </w:p>
          <w:p w14:paraId="52B764A4" w14:textId="77777777" w:rsidR="001A0B09" w:rsidRDefault="008312F1">
            <w:pPr>
              <w:spacing w:before="0" w:after="0"/>
              <w:jc w:val="left"/>
              <w:rPr>
                <w:rFonts w:ascii="Times New Roman" w:hAnsi="Times New Roman"/>
                <w:bCs/>
                <w:sz w:val="18"/>
                <w:szCs w:val="18"/>
              </w:rPr>
            </w:pPr>
            <w:r>
              <w:rPr>
                <w:rFonts w:ascii="Times New Roman" w:hAnsi="Times New Roman"/>
                <w:bCs/>
                <w:sz w:val="18"/>
                <w:szCs w:val="18"/>
              </w:rPr>
              <w:t>„instytucja kredytowa”</w:t>
            </w:r>
          </w:p>
          <w:p w14:paraId="609CC8D5" w14:textId="77777777" w:rsidR="001A0B09" w:rsidRDefault="008312F1">
            <w:pPr>
              <w:spacing w:before="0" w:after="0"/>
              <w:jc w:val="left"/>
              <w:rPr>
                <w:rFonts w:ascii="Times New Roman" w:hAnsi="Times New Roman"/>
                <w:bCs/>
                <w:sz w:val="18"/>
                <w:szCs w:val="18"/>
              </w:rPr>
            </w:pPr>
            <w:r>
              <w:rPr>
                <w:rFonts w:ascii="Times New Roman" w:hAnsi="Times New Roman"/>
                <w:bCs/>
                <w:sz w:val="18"/>
                <w:szCs w:val="18"/>
              </w:rPr>
              <w:t>„firma inwestycyjna”</w:t>
            </w:r>
          </w:p>
          <w:p w14:paraId="79D18ABD" w14:textId="4EB57E87" w:rsidR="001A0B09" w:rsidRDefault="008312F1">
            <w:pPr>
              <w:spacing w:before="0" w:after="0"/>
              <w:jc w:val="left"/>
              <w:rPr>
                <w:rFonts w:ascii="Times New Roman" w:hAnsi="Times New Roman"/>
                <w:b/>
                <w:bCs/>
                <w:sz w:val="18"/>
                <w:szCs w:val="18"/>
              </w:rPr>
            </w:pPr>
            <w:r>
              <w:rPr>
                <w:rFonts w:ascii="Times New Roman" w:hAnsi="Times New Roman"/>
                <w:bCs/>
                <w:sz w:val="18"/>
                <w:szCs w:val="18"/>
              </w:rPr>
              <w:t>„inne”</w:t>
            </w:r>
          </w:p>
        </w:tc>
      </w:tr>
    </w:tbl>
    <w:p w14:paraId="58A600EE" w14:textId="77777777" w:rsidR="001A0B09" w:rsidRDefault="001A0B09">
      <w:pPr>
        <w:rPr>
          <w:rFonts w:ascii="Times New Roman" w:hAnsi="Times New Roman"/>
        </w:rPr>
      </w:pPr>
    </w:p>
    <w:sectPr w:rsidR="001A0B09"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1A0B09" w:rsidRDefault="002160DD">
      <w:pPr>
        <w:spacing w:before="0" w:after="0"/>
      </w:pPr>
      <w:r>
        <w:separator/>
      </w:r>
    </w:p>
  </w:endnote>
  <w:endnote w:type="continuationSeparator" w:id="0">
    <w:p w14:paraId="72146396" w14:textId="77777777" w:rsidR="001A0B09" w:rsidRDefault="002160DD">
      <w:pPr>
        <w:spacing w:before="0" w:after="0"/>
      </w:pPr>
      <w:r>
        <w:continuationSeparator/>
      </w:r>
    </w:p>
  </w:endnote>
  <w:endnote w:type="continuationNotice" w:id="1">
    <w:p w14:paraId="37C5B492" w14:textId="77777777" w:rsidR="001A0B09" w:rsidRDefault="001A0B0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7A9525C9" w:rsidR="002160DD" w:rsidRPr="0040759C" w:rsidRDefault="002160DD" w:rsidP="0040759C">
    <w:pPr>
      <w:pStyle w:val="Footer"/>
      <w:tabs>
        <w:tab w:val="clear" w:pos="4513"/>
        <w:tab w:val="clear" w:pos="9026"/>
        <w:tab w:val="right" w:pos="9071"/>
      </w:tabs>
    </w:pPr>
    <w:r>
      <w:t>EN – Czysty dokument</w:t>
    </w:r>
    <w:r>
      <w:tab/>
    </w:r>
    <w:r w:rsidRPr="0040759C">
      <w:fldChar w:fldCharType="begin"/>
    </w:r>
    <w:r w:rsidRPr="0040759C">
      <w:instrText xml:space="preserve"> PAGE \* MERGEFORMAT </w:instrText>
    </w:r>
    <w:r w:rsidRPr="0040759C">
      <w:fldChar w:fldCharType="separate"/>
    </w:r>
    <w:r w:rsidR="0058116D">
      <w:rPr>
        <w:noProof/>
      </w:rPr>
      <w:t>2</w:t>
    </w:r>
    <w:r w:rsidRPr="0040759C">
      <w:fldChar w:fldCharType="end"/>
    </w:r>
    <w:r>
      <w:t>/</w:t>
    </w:r>
    <w:fldSimple w:instr=" NUMPAGES \* MERGEFORMAT ">
      <w:r w:rsidR="0058116D">
        <w:rPr>
          <w:noProof/>
        </w:rPr>
        <w:t>129</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1A0B09" w:rsidRDefault="002160DD">
      <w:pPr>
        <w:spacing w:before="0" w:after="0"/>
      </w:pPr>
      <w:r>
        <w:separator/>
      </w:r>
    </w:p>
  </w:footnote>
  <w:footnote w:type="continuationSeparator" w:id="0">
    <w:p w14:paraId="07EC6038" w14:textId="77777777" w:rsidR="001A0B09" w:rsidRDefault="002160DD">
      <w:pPr>
        <w:spacing w:before="0" w:after="0"/>
      </w:pPr>
      <w:r>
        <w:continuationSeparator/>
      </w:r>
    </w:p>
  </w:footnote>
  <w:footnote w:type="continuationNotice" w:id="1">
    <w:p w14:paraId="700F0A6C" w14:textId="77777777" w:rsidR="001A0B09" w:rsidRDefault="001A0B09">
      <w:pPr>
        <w:spacing w:before="0" w:after="0"/>
      </w:pPr>
    </w:p>
  </w:footnote>
  <w:footnote w:id="2">
    <w:p w14:paraId="3A44C59A" w14:textId="36441D49" w:rsidR="001A0B09"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Rozporządzenie delegowane Komisji (UE) 2015/61 z dnia 10 października 2014 r. uzupełniające rozporządzenie Parlamentu Europejskiego i Rady (UE) nr 575/2013 w odniesieniu do wymogu pokrycia wypływów netto dla instytucji kredytowych (</w:t>
      </w:r>
      <w:r>
        <w:rPr>
          <w:rFonts w:ascii="Times New Roman" w:hAnsi="Times New Roman"/>
          <w:iCs/>
          <w:color w:val="444444"/>
        </w:rPr>
        <w:t>Dz.U. L 11 z 17.1.2015, s. 1).</w:t>
      </w:r>
    </w:p>
  </w:footnote>
  <w:footnote w:id="3">
    <w:p w14:paraId="7D63DB58" w14:textId="6D6650C7" w:rsidR="001A0B09"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Kwoty transakcji zabezpieczających swap zgłasza się dodatkowo w formularzu C 75.01 określonym w ZAŁĄCZNIKU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20"/>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0B09"/>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16D"/>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pl-PL"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pl-PL"/>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A9009-A7CF-4BE0-8CF9-61DA7FAB2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129</Pages>
  <Words>53058</Words>
  <Characters>354430</Characters>
  <Application>Microsoft Office Word</Application>
  <DocSecurity>0</DocSecurity>
  <Lines>9327</Lines>
  <Paragraphs>4158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403330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JEZULIN Marcin (DGT)</cp:lastModifiedBy>
  <cp:revision>4</cp:revision>
  <cp:lastPrinted>2019-10-07T08:42:00Z</cp:lastPrinted>
  <dcterms:created xsi:type="dcterms:W3CDTF">2020-01-16T10:49:00Z</dcterms:created>
  <dcterms:modified xsi:type="dcterms:W3CDTF">2020-01-27T16:42:00Z</dcterms:modified>
</cp:coreProperties>
</file>