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B1" w:rsidRPr="00365814" w:rsidRDefault="001B7C2B">
      <w:pPr>
        <w:jc w:val="center"/>
        <w:rPr>
          <w:rFonts w:ascii="Times New Roman" w:hAnsi="Times New Roman"/>
          <w:b/>
          <w:sz w:val="24"/>
        </w:rPr>
      </w:pPr>
      <w:r w:rsidRPr="00365814">
        <w:rPr>
          <w:rFonts w:ascii="Times New Roman" w:hAnsi="Times New Roman"/>
          <w:b/>
          <w:sz w:val="24"/>
        </w:rPr>
        <w:t>MT</w:t>
      </w:r>
      <w:r w:rsidRPr="00365814">
        <w:rPr>
          <w:rFonts w:ascii="Times New Roman" w:hAnsi="Times New Roman"/>
          <w:b/>
          <w:sz w:val="24"/>
        </w:rPr>
        <w:br/>
        <w:t>ANNESS VII</w:t>
      </w:r>
    </w:p>
    <w:p w:rsidR="00844FB1" w:rsidRPr="002E5911" w:rsidRDefault="00844FB1">
      <w:pPr>
        <w:jc w:val="center"/>
        <w:rPr>
          <w:rFonts w:ascii="Times New Roman" w:hAnsi="Times New Roman"/>
          <w:b/>
          <w:sz w:val="24"/>
        </w:rPr>
      </w:pPr>
    </w:p>
    <w:p w:rsidR="00844FB1" w:rsidRPr="002E5911" w:rsidRDefault="008E1DE8">
      <w:pPr>
        <w:jc w:val="center"/>
        <w:rPr>
          <w:b/>
          <w:szCs w:val="20"/>
          <w:u w:val="single"/>
        </w:rPr>
      </w:pPr>
      <w:r w:rsidRPr="002E5911">
        <w:rPr>
          <w:b/>
          <w:szCs w:val="20"/>
          <w:u w:val="single"/>
        </w:rPr>
        <w:t>“ANNESS XIX</w:t>
      </w:r>
    </w:p>
    <w:p w:rsidR="00844FB1" w:rsidRPr="002E5911" w:rsidRDefault="007F5684">
      <w:pPr>
        <w:jc w:val="center"/>
        <w:rPr>
          <w:b/>
          <w:szCs w:val="20"/>
        </w:rPr>
      </w:pPr>
      <w:r w:rsidRPr="002E5911">
        <w:rPr>
          <w:b/>
          <w:szCs w:val="20"/>
        </w:rPr>
        <w:t>STRUZZJONIJIET GĦAT-TLESTIJA TAL-MUDELL TAL-GĦODOD TA’ MONITORAĠĠ ADDIZZJONALI TAL-ANNESS XVIII</w:t>
      </w:r>
    </w:p>
    <w:p w:rsidR="00844FB1" w:rsidRPr="002E5911" w:rsidRDefault="00181260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t>Għodod ta’ Monitoraġġ Addizzjonali</w:t>
      </w:r>
    </w:p>
    <w:p w:rsidR="00844FB1" w:rsidRPr="002E5911" w:rsidRDefault="00D02FE4">
      <w:pPr>
        <w:pStyle w:val="Instructionsberschrift2"/>
        <w:numPr>
          <w:ilvl w:val="1"/>
          <w:numId w:val="2"/>
        </w:numPr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t xml:space="preserve">Ġenerali </w:t>
      </w:r>
    </w:p>
    <w:p w:rsidR="00844FB1" w:rsidRPr="002E5911" w:rsidRDefault="004D4244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Sabiex ikun hemm monitoraġġ tar-riskji tal-likwidità ta’ istituzzjoni li taqa’ barra mill-ambitu tar-rapporti dwar Kopertura tal-Likwidità u Finanzjament Stabbli, l-istituzzjonijiet għandhom jimlew il-mudell fl-Anness XVIII skont l-istruzzjonijiet mogħtija f’dan l-Anness.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Il-finanzjament totali għandu jkun l-obbligazzjonijiet finanzjarji kollha minbarra derivattivi u pożizzjonijiet qosra;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 xml:space="preserve">Finanzjament b’maturità miftuħa inklużi depożiti liberi għandhom ikunu kkunsidrati bħala li jimmaturaw mil-lum għall-għada. 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 xml:space="preserve">Maturità oriġinali għandha tirrappreżenta ż-żmien bejn id-data tal-bidu u d-data tal-maturità tal-finanzjament. Id-data tal-maturità tal-finanzjament għandha tkun determinata skont il-paragrafu 12 tal-Anness XXIII. Dan ifisser li f’każ ta’ għażla bħal fil-każ tal-paragrafu 12 tal-Anness XXIII, il-maturità oriġinali ta’ partita ta’ finanzjament tista’ tkun iqsar minn dak iż-żmien li jkun għadda sa mill-ħolqien tiegħu. 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Maturità residwa għandha tirrappreżenta ż-żmien bejn it-tmiem tal-perjodu ta’ rapportar u d-data tal-maturità tal-finanzjament. Id-data tal-maturità tal-finanzjament għandha tkun determinata skont il-paragrafu 12 tal-Anness XXIII.</w:t>
      </w:r>
    </w:p>
    <w:p w:rsidR="00844FB1" w:rsidRPr="002E5911" w:rsidRDefault="007462FE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Għall-finijiet tal-kalkolu tal-maturità medja ponderata oriġinali jew residwa, depożiti li jimmaturaw mil-lum għall-għada għandhom jitqiesu li għandhom maturità ta’ jum wieħed.</w:t>
      </w:r>
    </w:p>
    <w:p w:rsidR="00844FB1" w:rsidRPr="002E5911" w:rsidRDefault="007462FE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Għall-finijiet tal-kalkolu tal-maturità oriġinali u residwa, fejn hemm finanzjament b’perjodu ta’ avviż jew kanċellazzjoni jew klawsola ta’ rtirar bikri għall-kontroparti tal-istituzzjoni, għandu jiġi preżunt l-irtirar fl-ewwel data possibbli.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Għal obbligazzjonijiet perpetwi, ħlief fejn ikun soġġett għal għażla kif imsemmi fil-paragrafu 12 tal-Anness XXIII, għandha tiġi preżunta maturità fissa oriġinali u residwa ta’ għoxrin sena.</w:t>
      </w:r>
    </w:p>
    <w:p w:rsidR="00844FB1" w:rsidRPr="002E5911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2E5911">
        <w:rPr>
          <w:u w:val="none"/>
        </w:rPr>
        <w:t>Għall-kalkolu tal-livell minimu perċentwali msemmi fil-mudelli tar-rapportar C 67.00 u C 68.00 b’munita sinifikanti, l-istituzzjonijiet għandhom jużaw il-limitu ta’ 1 % tal-obbligazzjonijiet totali fil-muniti kollha.</w:t>
      </w:r>
    </w:p>
    <w:p w:rsidR="00844FB1" w:rsidRPr="002E5911" w:rsidRDefault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t>Konċentrazzjoni ta’ finanzjament skont il-kontroparti (C 67.00)</w:t>
      </w:r>
    </w:p>
    <w:p w:rsidR="00844FB1" w:rsidRPr="002E5911" w:rsidRDefault="00490B62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Bl-għan li tinġabar informazzjoni dwar il-konċentrazzjoni ta’ finanzjament tal-istituzzjonijiet li jirrapportaw skont il-kontroparti fil-formula C 67.00, l-istituzzjonijiet għandhom japplikaw l-istruzzjonijiet li jinsabu f’din it-taqsima.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L-istituzzjonijiet għandhom jirrapportaw l-ikbar 10 kontropartijiet jew grupp ta’ klijenti konnessi li huwa ddefinit fil-punt (39) tal-Artikolu 4(1) tar-Regolament (UE) Nru 575/2013, fejn il-fondi miksuba minn kull kontroparti jew grupp ta’ klijenti konnessi jaqbżu l-limitu ta’ 1% tal-obbligazzjonijiet totali fir-ringieli 020 sa 110 tat-taqsima 1 tal-mudell. Il-kontroparti rraportata fil-partita 1.01 għandha tkun l-akbar ammont ta’ finanzjament riċevut minn kontroparti waħda jew grupp ta’ klijenti konnessi li huwa ogħla mil-limitu ta’ 1 % fid-data tar-</w:t>
      </w:r>
      <w:r w:rsidRPr="002E5911">
        <w:rPr>
          <w:u w:val="none"/>
        </w:rPr>
        <w:lastRenderedPageBreak/>
        <w:t>rapportar. Il-partita 1.02 għandha tkun it-tieni l-ikbar mil-limitu ta’ 1%, u b’mod simili għall-bqija tal-partiti.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 xml:space="preserve">Meta kontroparti tappartjeni għal diversi gruppi ta’ klijenti konnessi, għandha tkun irrapportata biss darba fil-grupp bl-ogħla ammont ta’ finanzjament. 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L-istituzzjonijiet għandhom jirrapportaw it-total tal-bqija tal-finanzjament l-ieħor kollu fit-taqsima 2.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It-totali tat-taqsima 1 u t-taqsima 2 għandhom ikunu ugwali għall-finanzjament totali ta’ istituzzjoni skont il-karta bilanċjali tagħha rrapportata skont il-qafas ta’ rapportar finanzjarju (FINREP).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Għal kull kontroparti, l-istituzzjonijiet għandhom jirrapportaw il-kolonni kollha 010 sa 080.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Fejn il-finanzjament huwa miksub f’aktar minn tip ta’ prodott wieħed, it-tip irrapportat għandu jkun il-prodott li fih ikun ġie miksub l-ikbar proporzjon ta’ finanzjament. L-identifikazzjoni tad-detentur sottostanti ta’ titoli tista’ ssir fuq bażi tal-aħjar sforzi. Fejn istituzzjoni jkollha informazzjoni dwar id-detentur ta’ titoli permezz tar-rwol tagħha ta’ gwardjan tal-bank, għandha tikkunsidra dak l-ammont għar-rapportar tal-konċentrazzjoni ta’ kontropartijiet. Meta ma jkun hemm l-ebda informazzjoni disponibbli dwar id-detentur tat-titoli, l-ammont korrispondenti ma għandux għalfejn jiġi rrapportat.</w:t>
      </w:r>
    </w:p>
    <w:p w:rsidR="00844FB1" w:rsidRPr="002E5911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2E5911">
        <w:rPr>
          <w:u w:val="none"/>
        </w:rPr>
        <w:t>Struzzjonijiet dwar kolonni speċifiċi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844FB1" w:rsidRPr="002E5911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:rsidR="00844FB1" w:rsidRPr="002E5911" w:rsidRDefault="00A344AA">
            <w:pPr>
              <w:spacing w:before="0" w:after="0"/>
              <w:jc w:val="left"/>
              <w:rPr>
                <w:color w:val="00000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Kolonna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:rsidR="00844FB1" w:rsidRPr="002E5911" w:rsidRDefault="00A344AA">
            <w:pPr>
              <w:spacing w:before="0" w:after="0"/>
              <w:jc w:val="left"/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Ir-referenzi ġuridiċi u l-istruzzjonijiet</w:t>
            </w:r>
          </w:p>
        </w:tc>
      </w:tr>
      <w:tr w:rsidR="00844FB1" w:rsidRPr="002E5911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Isem il-Kontroparti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L-isem ta’ kull kontroparti li minnha l-finanzjament miksub jaqbeż 1 % tal-obbligazzjonijiet totali għandu jiġi rreġistrat fil-kolonna 010 f’ordni dixxendenti, jiġifieri, fl-ordni skont id-daqs ta’ finanzjament miksub.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C663BC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L-isem tal-kontroparti, sew jekk entità legali kif ukoll jekk persuna fiżika, għandu jiġi rrapportat. Meta l-kontroparti tkun entità legali, l-isem tal-kontroparti rreġistrat għandu jkun l-isem sħiħ tal-entita legali li minnha l-finanzjament ikun meħud inkluż kull referenzia għat-tip ta’ kumpanija skont il-liġi nazzjonali dwar il-kumpaniji.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844FB1" w:rsidRPr="002E5911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:rsidR="00844FB1" w:rsidRPr="002E5911" w:rsidRDefault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2E5911">
              <w:rPr>
                <w:rStyle w:val="InstructionsTabelleberschrift"/>
                <w:rFonts w:ascii="Times New Roman" w:hAnsi="Times New Roman"/>
                <w:szCs w:val="20"/>
              </w:rPr>
              <w:t>Kodiċi</w:t>
            </w:r>
          </w:p>
          <w:p w:rsidR="00844FB1" w:rsidRPr="002E5911" w:rsidRDefault="00844FB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:rsidR="00844FB1" w:rsidRPr="002E5911" w:rsidRDefault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>Dan il-kodiċi huwa identifikatur tar-ringiela u għandu jkun uniku għal kull ringiela fit-tabella.</w:t>
            </w:r>
          </w:p>
          <w:p w:rsidR="00844FB1" w:rsidRPr="002E5911" w:rsidRDefault="00844FB1">
            <w:pPr>
              <w:pStyle w:val="InstructionsText"/>
              <w:rPr>
                <w:b/>
                <w:szCs w:val="20"/>
              </w:rPr>
            </w:pPr>
          </w:p>
        </w:tc>
      </w:tr>
      <w:tr w:rsidR="00844FB1" w:rsidRPr="002E5911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:rsidR="00844FB1" w:rsidRPr="002E5911" w:rsidRDefault="00A344AA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2E5911">
              <w:rPr>
                <w:rStyle w:val="InstructionsTabelleberschrift"/>
                <w:rFonts w:ascii="Times New Roman" w:hAnsi="Times New Roman"/>
                <w:szCs w:val="20"/>
              </w:rPr>
              <w:t>Il-Kodiċi LEI</w:t>
            </w:r>
          </w:p>
          <w:p w:rsidR="00844FB1" w:rsidRPr="002E5911" w:rsidRDefault="00844FB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 xml:space="preserve">Il-kodiċi ta’ identifikazzjoni tal-entità legali tal-kontroparti. </w:t>
            </w:r>
          </w:p>
          <w:p w:rsidR="00844FB1" w:rsidRPr="002E5911" w:rsidRDefault="00CC3091">
            <w:pPr>
              <w:pStyle w:val="InstructionsText"/>
            </w:pPr>
            <w:r w:rsidRPr="002E5911">
              <w:t>Meta kodiċi tal-Identifikazzjoni ta’ Entità Legali (Kodiċi LEI) jeżisti għal kontroparti partikolari, dan għandu jintuża biex jidentifika dik il-kontroparti.</w:t>
            </w:r>
          </w:p>
          <w:p w:rsidR="00844FB1" w:rsidRPr="002E5911" w:rsidRDefault="00844FB1">
            <w:pPr>
              <w:pStyle w:val="InstructionsText"/>
            </w:pPr>
          </w:p>
        </w:tc>
      </w:tr>
      <w:tr w:rsidR="00844FB1" w:rsidRPr="002E5911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Settur tal-Kontroparti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>Settur wieħed għandu jiġi allokat lil kull kontroparti fuq il-bażi ta’ klassijiet tas-settur ekonomiku FINREP:</w:t>
            </w:r>
          </w:p>
          <w:p w:rsidR="00844FB1" w:rsidRPr="002E5911" w:rsidRDefault="00844FB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 xml:space="preserve">(i) Banek Ċentrali; (ii) Gvernijiet Ġenerali; (iii) Istituzzjonijiet ta’ kreditu; (iv) Korporazzjonijiet finanzjarji oħrajn; (v) Korporazzjonijiet mhux finanzjarji; (vi) Unitajiet domestiċi. </w:t>
            </w:r>
          </w:p>
          <w:p w:rsidR="00844FB1" w:rsidRPr="002E5911" w:rsidRDefault="00844FB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>Għal gruppi ta’ klijenti konnessi, l-ebda settur ma għandu jiġi rrapportat.</w:t>
            </w:r>
          </w:p>
          <w:p w:rsidR="00844FB1" w:rsidRPr="002E5911" w:rsidRDefault="00844FB1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844FB1" w:rsidRPr="002E5911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 xml:space="preserve">Residenza tal-Kontroparti </w:t>
            </w:r>
          </w:p>
          <w:p w:rsidR="00844FB1" w:rsidRPr="002E5911" w:rsidRDefault="00844FB1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:rsidR="00844FB1" w:rsidRPr="002E5911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>Jintuża l-kodiċi ISO 3166-1-alpha-2 tal-pajjiż ta’ inkorporazzjoni tal-kontroparti, inklużi kodiċijiet pseudo-ISO għal organizzazzjonijiet internazzjonali</w:t>
            </w:r>
            <w:r w:rsidRPr="002E5911">
              <w:t>, disponibbli fl-aktar edizzjoni riċenti tal-“Vademecum tal-Bilanċ tal-Pagamenti” tal-Eurostat</w:t>
            </w: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 xml:space="preserve">. </w:t>
            </w:r>
          </w:p>
          <w:p w:rsidR="00844FB1" w:rsidRPr="002E5911" w:rsidRDefault="00844FB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Style w:val="FormatvorlageInstructionsTabelleText"/>
                <w:rFonts w:ascii="Times New Roman" w:hAnsi="Times New Roman"/>
                <w:szCs w:val="20"/>
              </w:rPr>
              <w:t>Għal gruppi ta’ klijenti konnessi, l-ebda pajjiż ma għandu jiġi rrapportat.</w:t>
            </w:r>
          </w:p>
        </w:tc>
      </w:tr>
      <w:tr w:rsidR="00844FB1" w:rsidRPr="002E5911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844FB1" w:rsidRPr="002E5911" w:rsidRDefault="00844FB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Tip ta’ Prodott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Il-kontropartijiet irrapportati fil-kolonna 010 għandhom jiġu assenjati tip ta’ prodott, li jikkorrispondi għall-prodott maħruġ fejn il-finanzjament ġie riċevut jew li fih ġie riċevut l-ikbar proporzjon ta’ finanzjament għal diversi tipi ta’ prodotti, bl-użu tal-kodiċijiet li ġejjin indikati b’tipa grassa: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UWF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tal-operaturi mhux assigurat miksub minn klijenti finanzjarji inkluż flus bejn il-banek)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UWNF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tal-operaturi mhux assigurat miksub minn klijenti mhux finanzjarji)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792E6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SFT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miksub minn ftehimiet ta’ xiri mill-ġdid kif definiti fil-punt (82) tal-Artikolu 4(1) tar-Regolament (UE) Nru 575/2013)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CB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miksub minn ħruġ ta’ bonds koperti kif definit fl-Artikolu 129(4) jew (5) tar-Regolament (UE) Nru 575/2013 jew l-Artikolu 52(4) tad-Direttiva 2009/65/KE)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ABS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miksub minn ħruġ ta’ titoli abbażi ta’ assi inkluża l-karta kummerċjali garantita b’assi)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IGCP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miksub minn kontropartijiet intragrupp)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OSWF</w:t>
            </w:r>
            <w:r w:rsidRPr="002E5911">
              <w:rPr>
                <w:rFonts w:ascii="Times New Roman" w:hAnsi="Times New Roman"/>
                <w:szCs w:val="20"/>
              </w:rPr>
              <w:t xml:space="preserve"> (finanzjament tal-operaturi ieħor  assigurat)</w:t>
            </w:r>
          </w:p>
          <w:p w:rsidR="00844FB1" w:rsidRPr="002E5911" w:rsidRDefault="00844FB1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:rsidR="00844FB1" w:rsidRPr="002E5911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b/>
                <w:bCs/>
                <w:szCs w:val="20"/>
              </w:rPr>
              <w:t>OFP</w:t>
            </w:r>
            <w:r w:rsidRPr="002E5911">
              <w:rPr>
                <w:rFonts w:ascii="Times New Roman" w:hAnsi="Times New Roman"/>
                <w:szCs w:val="20"/>
              </w:rPr>
              <w:t xml:space="preserve"> (prodotti oħra ta’ finanzjament, eż. finanzjament għall-konsumatur)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Ammont Riċevut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L-ammont totali tal-finanzjament riċevut minn kontropartijiet irrapportati fil-kolonna 010 għandu jiġi rreġistrat fil-kolonna 060 u l-istituzzjonijiet għandhom jirrapportaw l-ammont miżmum fil-kotba hemmhekk.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 xml:space="preserve">Maturità medja ponderata </w:t>
            </w:r>
            <w:r w:rsidR="00365814" w:rsidRPr="002E5911">
              <w:rPr>
                <w:rFonts w:ascii="Times New Roman" w:hAnsi="Times New Roman"/>
                <w:b/>
                <w:szCs w:val="20"/>
                <w:u w:val="single"/>
              </w:rPr>
              <w:t>oriġinali</w:t>
            </w:r>
            <w:bookmarkStart w:id="0" w:name="_GoBack"/>
            <w:bookmarkEnd w:id="0"/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Għall-ammont ta’ finanzjament riċevut irrapportat fil-kolonna 060, mill-kontroparti rrapportata fil-kolonna 010, maturità medja ponderata oriġinali għal dak il-finanzjament għandha tiġi rreġistrata fil-kolonna 070.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8563C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Il-medja ponderata tal-maturità oriġinali għandha tiġi kkalkolata bħala l-medja tal-maturità oriġinali (f’jiem) tal-finanzjament riċevut minn dik il-kontroparti. Il-medja għandha tkun ponderata għad-daqs, ibbażat fuq id-daqs ta’ ammonti differenti ta’ finanzjament riċevuti bi proporzjon għat-total ta’ finanzjament riċevut minn dik il-kontroparti.</w:t>
            </w:r>
          </w:p>
        </w:tc>
      </w:tr>
      <w:tr w:rsidR="00844FB1" w:rsidRPr="002E5911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Maturità medja ponderata residwa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Għall-ammont ta’ finanzjament riċevut irrapportat fil-kolonna 060, mill-kontroparti rrapportata fil-kolonna 010, maturità medja ponderata residwa, f’jiem, għal dak il-</w:t>
            </w:r>
            <w:r w:rsidRPr="002E5911">
              <w:rPr>
                <w:rFonts w:ascii="Times New Roman" w:hAnsi="Times New Roman"/>
                <w:szCs w:val="20"/>
              </w:rPr>
              <w:lastRenderedPageBreak/>
              <w:t>finanzjament għandha tiġi rreġistrata fil-kolonna 080.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9C059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Il-medja ponderata tal-maturità residwa għandha tiġi kkalkolata bħala l-medja tal-maturità (f’jiem li jkun għad fadal) tal-finanzjament riċevut minn dik il-kontroparti. Il-medja għandha tkun ponderata għad-daqs, ibbażat fuq id-daqs ta’ ammonti differenti ta’ finanzjament riċevuti bi proporzjon għat-total ta’ finanzjament riċevut minn dik il-kontroparti.</w:t>
            </w:r>
          </w:p>
        </w:tc>
      </w:tr>
    </w:tbl>
    <w:p w:rsidR="00844FB1" w:rsidRPr="002E5911" w:rsidRDefault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lastRenderedPageBreak/>
        <w:t>Konċentrazzjoni ta’ finanzjament skont it-tip ta’ prodott (C 68.00)</w:t>
      </w:r>
    </w:p>
    <w:p w:rsidR="00844FB1" w:rsidRPr="002E5911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t>Dan il-mudell għandu l-għan li jiġbor informazzjoni dwar il-konċentrazzjoni ta’ finanzjament tal-istituzzjonijiet li jirrapportaw skont it-tip ta’ prodott, imqassma fit-tipi ta’ finanzjament kif speċifikat fl-istruzzjonijiet segwenti dwar ir-ringieli: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44FB1" w:rsidRPr="002E5911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844FB1" w:rsidRPr="002E5911" w:rsidRDefault="003439C5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Ringiela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44FB1" w:rsidRPr="002E5911" w:rsidRDefault="003439C5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Ir-referenzi ġuridiċi u l-istruzzjonijiet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Finanzjament għall-konsumatur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E87A50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Depożiti fil-livell ta’ bejgħ bl-imnut kif definit fl-Artikolu 3(8) tar-Regolament ta’ Delega Nru 2015/61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1.1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depożiti liberi;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depożiti liberi.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1.2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depożiti b’terminu mhux prelevabbli fi żmien it-30 jum ta’ wara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depożiti għal terminu fiss mhux prelevabbli fi żmien it-30 jum ta’ wara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041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1.3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depożiti b’terminu prelevabbli fi żmien it-30 jum ta’ wara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depożiti għal terminu fiss prelevabbli fi żmien it-30 jum ta’ wara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1.4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kontijiet ta’ tfaddil b’xi waħda minn dawn il-karatteristiċi;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kontijiet ta’ tfaddil b’xi waħda minn dawn il-karatteristiċi:</w:t>
            </w: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- b’perjodu ta’ avviż għall-ħruġ ta’ iktar minn 30 jum</w:t>
            </w: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- mingħajr perjodu ta’ avviż għall-ħruġ ta’ iktar minn 30 jum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B96DDB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Din ir-ringiela ma għandhiex tiġi rapportata.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 xml:space="preserve">1.4.1 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b’perjodu ta’ avviż għall-ħruġ iktar minn 30 jum;</w:t>
            </w: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kontijiet ta’ tfaddil b’perjodu ta’ avviż għall-ħruġ iktar minn 30 jum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090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 xml:space="preserve">1.4.2 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mingħajr perjodu ta’ avviż għall-ħruġ ta’ iktar minn 30 jum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għall-konsumatur tar-ringiela 010 dawk li huma kontijiet ta’ tfaddil mingħajr perjodu ta’ avviż għall-ħruġ li jkun ta’ iktar minn 30 jum.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Il-finanzjament tal-operaturi għandu jiġi kkunsidrat bħala li jikkonsisti fi kwalunkwe mis-segwenti: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Il-kontropartijiet kollha apparti dawk ta’ depożiti fil-livell ta’ bejgħ bl-imnut kif definit fl-Artikolu 3(8) tar-Regolament ta’ Delega Nru 2015/61 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D75947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Din ir-ringiela ma għandhiex tiġi rapportata.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110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2.1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finanzjament tal-operaturi mhux garantit;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D3ACF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Il-kontropartijiet kollha apparti dawk ta’ depożiti fil-livell ta’ bejgħ bl-imnut kif definit fl-Artikolu 3(8) tar-Regolament ta’ Delega Nru 2015/61 fejn il-finanzjament mhux garantit.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120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2.1.1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self u depożiti minn klijenti finanzjarji;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110, dawk li jikkonsistu f’self u depożiti minn klijenti finanzjarji.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D759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Finanzjament minn banek ċentrali għandu jkun eskluż minn din ir-ringiela.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2.1.2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self u depożiti minn klijenti mhux finanzjarji;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110, dawk li jikkonsistu f’self u depożiti minn klijenti mhux finanzjarji.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D759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Finanzjament minn banek ċentrali għandu jkun eskluż minn din ir-ringiela.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2.1.3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self u depożiti minn entitajiet intragrupp;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110, dawk li jikkonsistu f’self u depożiti minn entitajiet intragrupp.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Il-finanzjament tal-operaturi minn entitajiet intragrupp għandu jiġi rrapportat biss fuq bażi individwali jew subkonsolidata.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2.2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 xml:space="preserve">finanzjament tal-operaturi garantit;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274EE9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Il-kontropartijiet kollha apparti dawk ta’ depożiti fil-livell ta’ bejgħ bl-imnut kif definit fl-Artikolu 3(8) tar-Regolament ta’ Delega Nru 2015/61 fejn il-finanzjament huwa garantit.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2.2.1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Tranżazzjonijiet ta’ Finanzjament tat-Titoli;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274EE9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f’ringiela 150, dak li huwa finanzjament miksub minn ftehimiet ta’ xiri mill-ġdid kif definiti fil-punt (82) tal-Artikolu 4(1) tar-Regolament (UE) Nru 575/2013.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170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2.2.2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ħruġ ta’ bonds koperti;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150, li huwa finanzjament miksub minn ħruġ ta’ bonds koperti kif definit fl-Artikolu 129(4) jew (5) tar-Regolament (UE) Nru 575/2013 jew l-Artikolu 52(4) tad-Direttiva 2009/65/KE.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180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2.2.3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ħruġ ta’ titoli abbażi ta’ assi;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150, dak li huwa finanzjament miksub minn ħruġ ta’ titoli abbażi ta’ assi inkluża l-karta kummerċjali garantita b’assi</w:t>
            </w:r>
          </w:p>
        </w:tc>
      </w:tr>
      <w:tr w:rsidR="00844FB1" w:rsidRPr="002E5911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190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2.2.4</w:t>
            </w: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ab/>
              <w:t>li minnu self u depożiti minn entitajiet intragrupp.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274EE9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fir-ringiela 150, dak li huwa finanzjament miksub minn entitajiet intragrupp.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274EE9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Il-finanzjament tal-operaturi minn entitajiet intragrupp għandu jiġi rrapportat biss fuq bażi individwali jew subkonsolidata.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:rsidR="00844FB1" w:rsidRPr="002E5911" w:rsidRDefault="00844FB1">
      <w:pPr>
        <w:pStyle w:val="InstructionsText2"/>
        <w:numPr>
          <w:ilvl w:val="0"/>
          <w:numId w:val="0"/>
        </w:numPr>
        <w:ind w:left="714"/>
      </w:pPr>
    </w:p>
    <w:p w:rsidR="00844FB1" w:rsidRPr="002E5911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lastRenderedPageBreak/>
        <w:t xml:space="preserve">Għall-għan tat-tlestija ta’ dan il-mudell, l-istituzzjonijiet għandhom jirrapportaw l-ammont totali ta’ finanzjament riċevut minn kull tip ta’ prodott li jaqbeż il-limitu ta’ 1 % tal-obbligazzjonijiet totali. </w:t>
      </w:r>
    </w:p>
    <w:p w:rsidR="00844FB1" w:rsidRPr="002E5911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t>Għal kull tip ta’ prodott, l-istituzzjonijiet għandhom jirrapportaw il-kolonni kollha minn 010 sa 050.</w:t>
      </w:r>
    </w:p>
    <w:p w:rsidR="00844FB1" w:rsidRPr="002E5911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t>1 % tal-limitu totali tal-obbligazzjonijiet għandhom jiġu użati biex jiġu determinati dawk it-tipi ta’ prodotti li minnhom il-finanzjament ġie miksub skont dan li ġej:</w:t>
      </w:r>
    </w:p>
    <w:p w:rsidR="00844FB1" w:rsidRPr="002E5911" w:rsidRDefault="00EF0ADB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2E5911">
        <w:rPr>
          <w:u w:val="none"/>
        </w:rPr>
        <w:t>(a)</w:t>
      </w:r>
      <w:r w:rsidRPr="002E5911">
        <w:rPr>
          <w:u w:val="none"/>
        </w:rPr>
        <w:tab/>
        <w:t xml:space="preserve">1 % tal-limitu totali tal-obbligazzjonijiet għandu jiġu applikat għat-tipi ta’ prodotti msemmija f’kull wieħed minn dawn ir-ringieli: 1.1 “Depożiti liberi”; 1.2 “Depożiti b’terminu mhux prelevabbli fi żmien it-30 jum ta’ wara”; 1.3 “Depożiti b’terminu prelevabbli fit-30 jum ta’ wara”; 1.4 “Kontijiet ta’ tfaddil”; 2.1 “Finanzjament tal-operaturi mhux garantit”; 2.2 “Finanzjament tal-operaturi garantit”; </w:t>
      </w:r>
    </w:p>
    <w:p w:rsidR="00844FB1" w:rsidRPr="002E5911" w:rsidRDefault="00EF0ADB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2E5911">
        <w:rPr>
          <w:u w:val="none"/>
        </w:rPr>
        <w:t>(b)</w:t>
      </w:r>
      <w:r w:rsidRPr="002E5911">
        <w:rPr>
          <w:u w:val="none"/>
        </w:rPr>
        <w:tab/>
        <w:t>fir-rigward tal-kalkolu ta’ 1 % tal-limitu totali tal-obbligazzjonijiet għar-ringiela 1.4 “Kontijiet ta’ tfaddil” għandu japplika l-limitu fuq is-somma ta’ 1.4.1 u 1.4.2;</w:t>
      </w:r>
    </w:p>
    <w:p w:rsidR="00844FB1" w:rsidRPr="002E5911" w:rsidRDefault="00AE0498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2E5911">
        <w:rPr>
          <w:u w:val="none"/>
        </w:rPr>
        <w:t>(c)</w:t>
      </w:r>
      <w:r w:rsidRPr="002E5911">
        <w:rPr>
          <w:u w:val="none"/>
        </w:rPr>
        <w:tab/>
        <w:t>għar-ringieli 1. “Finanzjament għall-Konsumatur” u 2. “Finanzjament tal-Operaturi” l-livell minimu ta’ 1 % tal-obbligazzjonijiet totali japplika fuq il-livell aggregat biss.</w:t>
      </w:r>
    </w:p>
    <w:p w:rsidR="00844FB1" w:rsidRPr="002E5911" w:rsidRDefault="00792E65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t xml:space="preserve">Iċ-ċifri rrapportati fir-ringieli 1. “Bejgħ bl-imnut”, 2.1 “Finanzjament tal-Operaturi mhux garantit”, 2.2 “Tranżazzjoni bl-ingrossa garantita”, jistgħu jinkludu tipi ta’ prodott minn bażi usa’ ta’ partiti “li minnhom”.  </w:t>
      </w:r>
    </w:p>
    <w:p w:rsidR="00844FB1" w:rsidRPr="002E5911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2E5911">
        <w:rPr>
          <w:u w:val="none"/>
        </w:rPr>
        <w:t>Struzzjonijiet dwar kolonni speċifiċi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44FB1" w:rsidRPr="002E5911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844FB1" w:rsidRPr="002E5911" w:rsidRDefault="00A344AA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Kolonna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44FB1" w:rsidRPr="002E5911" w:rsidRDefault="00A344AA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Ir-referenzi ġuridiċi u l-istruzzjonijiet</w:t>
            </w:r>
          </w:p>
        </w:tc>
      </w:tr>
      <w:tr w:rsidR="00844FB1" w:rsidRPr="002E5911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Ammont riportat riċevut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Ammont riportat ta’ finanzjament riċevut għal kull waħda mill-kategoriji ta’ prodotti elenkati fil-kolonna “Isem tal-prodott” għandu jiġi rrapportat fil-kolonna 010 tal-mudell </w:t>
            </w:r>
            <w:r w:rsidRPr="002E5911">
              <w:t xml:space="preserve">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Ammont kopert minn Skema ta’ Garanzija tad-Depożiti skont id-Direttiva 2014/49/UE jew skema ekwivalenti ta’ garanzija tad-depożiti f’pajjiż terz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Mill-ammont totali ta’ finanzjament riċevut għal kull waħda mill-kategoriji ta’ prodotti elenkati fil-kolonna “Isem tal-prodott” irrapportati fil-kolonna 010, l-ammont li huwa kopert minn Skema ta’ Garanzija tad-Depożiti skont id-Direttiva 2014/49/UE jew skema ekwivalenti ta’ garanzija tad-depożiti f’pajjiż terz.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Nota: l-ammonti rrapportati fil-kolonna 020 u l-kolonna 030, għal kull waħda mill-kategoriji ta’ prodotti elenkati fil-kolonna ‘Isem tal-prodott’, għandhom ikunu ugwali għall-ammont totali riċevut irrapportat fil-kolonna 010.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Ammont mhux kopert minn Skema ta’ Garanzija tad-Depożiti skont id-Direttiva 2014/49/UE jew skema ekwivalenti ta’ garanzija tad-depożiti f’pajjiż terz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Mill-ammont totali ta’ finanzjament riċevut għal kull waħda mill-kategoriji ta’ prodotti elenkati fil-kolonna “Isem tal-prodott” irrapportati fil-kolonna 010, l-ammont li mhux kopert minn Skema ta’ Garanzija tad-Depożiti skont id-Direttiva 2014/49/UE jew skema ekwivalenti ta’ garanzija tad-depożiti f’pajjiż terz. 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Nota: l-ammonti rrapportati fil-kolonna 020 u l-kolonna 030, għal kull waħda mill-kategoriji ta’ prodotti elenkati fil-kolonna ‘Isem tal-prodott’, għandhom ikunu ugwali għall-ammont totali riċevut irrapportat fil-kolonna 010.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44FB1" w:rsidRPr="002E5911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040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Maturità medja ponderata originali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Għall-ammont ta’ finanzjament riċevut irrapportat fil-kolonna 010, mill-kategoriji ta’ prodotti elenkati fil-kolonna “Isem tal-prodott”, maturità medja ponderata oriġinali għal dak il-finanzjament għandha tiġi rreġistrata fil-kolonna 040.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B0674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Il-medja ponderata tal-maturità oriġinali għandha tiġi kkalkolata bħala maturità oriġinali medja (f’jiem) tal-finanzjament riċevut għal dak it-tip ta’ prodott. Il-medja għandha tkun ponderata għad-daqs, ibbażata fuq id-daqs ta’ ammonti differenti ta’ finanzjament riċevuti bi proporzjon għat-total ta’ finanzjament riċevut mill-ħruġ kollu ta’ dak it-tip ta’ prodott.</w:t>
            </w:r>
          </w:p>
        </w:tc>
      </w:tr>
      <w:tr w:rsidR="00844FB1" w:rsidRPr="002E5911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Maturità medja ponderata residwa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:rsidR="00844FB1" w:rsidRPr="002E5911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Għall-ammont ta’ finanzjament riċevut irrapportat fil-kolonna 010, mill-kategoriji ta’ prodotti elenkati fil-kolonna “Isem tal-prodott”, maturità medja ponderata residwa (f’jiem) għal dak il-finanzjament għandha tiġi rreġistrata fil-kolonna 050.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:rsidR="00844FB1" w:rsidRPr="002E5911" w:rsidRDefault="00B0674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Il-medja ponderata tal-maturità residwa għandha tiġi kkalkolata bħala l-maturità medja (f’jiem) li fadal tal-finanzjament riċevut għal dak it-tip ta’ prodott. Il-medja għandha tkun ponderata għad-daqs, ibbażata fuq id-daqs ta’ ammonti differenti ta’ finanzjament riċevuti bi proporzjon għat-total ta’ finanzjament riċevut mill-ħruġ kollu ta’ dak it-tip ta’ prodott.</w:t>
            </w:r>
          </w:p>
          <w:p w:rsidR="00844FB1" w:rsidRPr="002E5911" w:rsidRDefault="00844FB1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:rsidR="00844FB1" w:rsidRPr="002E5911" w:rsidRDefault="00844FB1"/>
    <w:p w:rsidR="00844FB1" w:rsidRPr="002E5911" w:rsidRDefault="00181260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t>Prezzijiet għal Tulijiet Varji ta’ Finanzjament (C 69.00)</w:t>
      </w:r>
    </w:p>
    <w:p w:rsidR="00844FB1" w:rsidRPr="002E5911" w:rsidRDefault="00DD76F0">
      <w:pPr>
        <w:pStyle w:val="InstructionsText2"/>
        <w:numPr>
          <w:ilvl w:val="0"/>
          <w:numId w:val="7"/>
        </w:numPr>
        <w:rPr>
          <w:u w:val="none"/>
        </w:rPr>
      </w:pPr>
      <w:r w:rsidRPr="002E5911">
        <w:rPr>
          <w:u w:val="none"/>
        </w:rPr>
        <w:t>L-istituzzjonijiet għandhom jirrapportaw l-informazzjoni, dwar il-volum tat-tranżazzjonijiet u l-prezzijiet imħallsa minn istituzzjonijiet għal finanzjament miksub matul il-perjodu ta’ rapportar u li tkun għadha preżenti fit-tmiem tal-perjodu tar-rapportar fil-mudell C 69.00, skont il-maturitajiet oriġinali segwenti:</w:t>
      </w:r>
    </w:p>
    <w:p w:rsidR="00844FB1" w:rsidRPr="002E5911" w:rsidRDefault="00C13077">
      <w:pPr>
        <w:pStyle w:val="InstructionsText2"/>
        <w:numPr>
          <w:ilvl w:val="1"/>
          <w:numId w:val="13"/>
        </w:numPr>
        <w:ind w:left="993" w:hanging="284"/>
        <w:rPr>
          <w:u w:val="none"/>
        </w:rPr>
      </w:pPr>
      <w:r w:rsidRPr="002E5911">
        <w:rPr>
          <w:u w:val="none"/>
        </w:rPr>
        <w:tab/>
        <w:t>mil-lum għall-għada fil-kolonni 010 u 020;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(b)</w:t>
      </w:r>
      <w:r w:rsidRPr="002E5911">
        <w:rPr>
          <w:u w:val="none"/>
        </w:rPr>
        <w:tab/>
        <w:t>aktar minn mil-lum għall-għada u inqas minn ġimgħa waħda jew ugwali għal ġimgħa waħda (il-kolonni 030 u 040)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(c)</w:t>
      </w:r>
      <w:r w:rsidRPr="002E5911">
        <w:rPr>
          <w:u w:val="none"/>
        </w:rPr>
        <w:tab/>
        <w:t>aktar minn ġimgħa u inqas minn xahar jew ugwali għal xahar wieħed fil-kolonni 050 u 060;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(d)</w:t>
      </w:r>
      <w:r w:rsidRPr="002E5911">
        <w:rPr>
          <w:u w:val="none"/>
        </w:rPr>
        <w:tab/>
        <w:t>aktar minn xahar u inqas minn tliet xhur jew ugwali għal tliet xhur fil-kolonni 070 u 080;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(e)</w:t>
      </w:r>
      <w:r w:rsidRPr="002E5911">
        <w:rPr>
          <w:u w:val="none"/>
        </w:rPr>
        <w:tab/>
        <w:t>aktar minn tliet xhur u inqas minn sitt xhur jew ugwali għal sitt xhur fil-kolonni 090 u 100;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(f)</w:t>
      </w:r>
      <w:r w:rsidRPr="002E5911">
        <w:rPr>
          <w:u w:val="none"/>
        </w:rPr>
        <w:tab/>
        <w:t>aktar minn sitt xhur u inqas minn sena jew ugwali għal sena fil-kolonni 110 u 120;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(g)</w:t>
      </w:r>
      <w:r w:rsidRPr="002E5911">
        <w:rPr>
          <w:u w:val="none"/>
        </w:rPr>
        <w:tab/>
        <w:t>aktar minn sena u inqas minn sentejn jew ugwali għal sentejn fil-kolonni 130 u 140;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(h)</w:t>
      </w:r>
      <w:r w:rsidRPr="002E5911">
        <w:rPr>
          <w:u w:val="none"/>
        </w:rPr>
        <w:tab/>
        <w:t>aktar minn sentejn u inqas minn ħames snin jew ugwali għal ħames snin fil-kolonni 150 u 160;</w:t>
      </w:r>
    </w:p>
    <w:p w:rsidR="00844FB1" w:rsidRPr="002E5911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2E5911">
        <w:rPr>
          <w:u w:val="none"/>
        </w:rPr>
        <w:t>(i)</w:t>
      </w:r>
      <w:r w:rsidRPr="002E5911">
        <w:rPr>
          <w:u w:val="none"/>
        </w:rPr>
        <w:tab/>
        <w:t>aktar minn ħames snin u inqas minn għaxar snin jew ugwali għal għaxar snin fil-kolonni 170 u 180;</w:t>
      </w:r>
    </w:p>
    <w:p w:rsidR="00844FB1" w:rsidRPr="002E5911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 xml:space="preserve">Għall-finijiet tad-determinazzjoni ta’ maturità tal-finanzjament miksub, l-istituzzjonijiet jinjoraw il-perjodu bejn id-data tan-negozju u d-data tas-saldu, pereż. obbligazzjoni ta’ tliet </w:t>
      </w:r>
      <w:r w:rsidRPr="002E5911">
        <w:rPr>
          <w:u w:val="none"/>
        </w:rPr>
        <w:lastRenderedPageBreak/>
        <w:t>xhur li għandha d-data tas-saldu fi żmien ġimagħtejn tiġi rrapportata fil-maturità ta’ tliet xhur (il-kolonni 070 u 080).</w:t>
      </w:r>
    </w:p>
    <w:p w:rsidR="00844FB1" w:rsidRPr="002E5911" w:rsidRDefault="002C154A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Il-firxa rrapportata fil-kolonna tax-xellug ta’ kull taqsima tal-ħin għandha tkun waħda minn dawn li ġejjin:</w:t>
      </w:r>
    </w:p>
    <w:p w:rsidR="00844FB1" w:rsidRPr="002E5911" w:rsidRDefault="0050708F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2E5911">
        <w:rPr>
          <w:u w:val="none"/>
        </w:rPr>
        <w:t xml:space="preserve">il-firxa pagabbli mill-istituzzjoni għal obbligazzjonijiet ta’ inqas minn sena jew ugwali għal sena, kieku kellhom jiġu skambjati għall-indiċi tal-punt ta’ riferiment mil-lum għall-għada għall-munita xierqa mhux aktar tard mill-ħin tal-għeluq tan-negozju fil-jum tat-tranżazzjoni; </w:t>
      </w:r>
    </w:p>
    <w:p w:rsidR="00844FB1" w:rsidRPr="002E5911" w:rsidRDefault="0050708F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2E5911">
        <w:rPr>
          <w:u w:val="none"/>
        </w:rPr>
        <w:t>il-firxa pagabbli mill-kumpanija mal-ħruġ għal obbligazzjonijiet b’maturità oriġinali ta’ iktar minn sena, kieku kellhom jiġu skambjati għall-indiċi ta’ riferiment rilevanti għall-munita rilevanti li hija EURIBOR għal tliet xhur għall-EUR jew LIBOR għall-GBP u l-USD, mhux aktar tard mill-ħin tal-għeluq tan-negozju fil-jum tat-tranżazzjoni.</w:t>
      </w:r>
    </w:p>
    <w:p w:rsidR="00844FB1" w:rsidRPr="002E5911" w:rsidRDefault="006661EC">
      <w:pPr>
        <w:pStyle w:val="InstructionsText2"/>
        <w:numPr>
          <w:ilvl w:val="0"/>
          <w:numId w:val="0"/>
        </w:numPr>
        <w:ind w:left="993"/>
        <w:rPr>
          <w:u w:val="none"/>
        </w:rPr>
      </w:pPr>
      <w:r w:rsidRPr="002E5911">
        <w:rPr>
          <w:u w:val="none"/>
        </w:rPr>
        <w:t>Unikament għall-finijiet tal-kalkolu tal-firxa skont il-punti a) u b) ta’ hawn fuq, fuq il-bażi ta’ esperjenza storika, l-istituzzjoni tista’ tiddetermina l-maturità oriġinali bi jew mingħajr ma tittieħed inkunsiderazzjoni l-opzjonalità, kif xieraq.</w:t>
      </w:r>
    </w:p>
    <w:p w:rsidR="00844FB1" w:rsidRPr="002E5911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 xml:space="preserve">Il-firxiet għandhom jiġu rrapportati f’punti bażi b’sinjal negattiv f’każ li finanzjament ġdid huwa irħas milli taħt ir-rata ta’ referenza rilevanti. Dawn għandhom ikunu kkalkolati fuq bażi ta’ medja ponderata. </w:t>
      </w:r>
    </w:p>
    <w:p w:rsidR="00844FB1" w:rsidRPr="002E5911" w:rsidRDefault="0050708F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Għall-għanijiet tal-kalkolu tal-firxa medja pagabbli fuq għadd ta’ ħruġ/depożiti/self, l-istituzzjonijiet jikkalkolaw l-ispiża totali fil-munita tal-ħruġ u jinjoraw kull tpartit FX, iżda għandhom jinkludu kwalunkwe premium jew skont u miżati pagabbli jew riċevibbli, abbażi tat-terminu ta’ kull tpartit tar-rata tal-imgħax teoretiku jew reali li jaqbel mat-terminu tal-obbligazzjoni. Il-firxa għandha tkun ir-rata tal-obbligazzjoni nieqsa r-rata ta’ swap.</w:t>
      </w:r>
    </w:p>
    <w:p w:rsidR="00844FB1" w:rsidRPr="002E5911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 xml:space="preserve">L-ammont ta’ fondi miksuba għall-kategoriji ta’ finanzjament elenkati fil-kolonna “Partita” jiġi rrapportat fil-kolonna tal-“volum” tat-taqsima tal-ħin applikabbli. </w:t>
      </w:r>
    </w:p>
    <w:p w:rsidR="00844FB1" w:rsidRPr="002E5911" w:rsidRDefault="004B3AC2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Fil-kolonna “volum” l-istituzzjonijiet għandhom jipprovdu l-ammonti li jirrappreżentaw l-ammont miżmum fil-kotba tal-finanzjament ġdid miksub fil-ħin applikabbli skont il-maturità oriġinali.</w:t>
      </w:r>
    </w:p>
    <w:p w:rsidR="00844FB1" w:rsidRPr="002E5911" w:rsidRDefault="00144FB8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 xml:space="preserve">Rigward il-partiti kollha, anke fil-każ tal-impenji li ma jidhrux fil-karta bilanċjali, l-istituzzjonijiet għandhom jirrapportaw biss dawk l-ammonti relatati riflessi fil-karta bilanċjali. Impenn li ma jidhirx fil-karta bilanċjali lill-istituzzjoni għandu jiġi rrapportat biss f’C69.00 wara ġbid ta’ kreditu. Fil-każ ta’ prelevament, il-volum u l-firxa li għandhom jiġu rrapportati għandhom ikunu l-ammont u l-firxa applikabbli fi tmiem il-perjodu ta’ rapportar. Fejn il-ġbid ta’ kreditu ma jistax jiġi riportat skont id-diskrezzjoni tal-istituzzjoni, il-maturità proprja tal-ġbid ta’ kreditu għandha tiġi rrapportata. Meta l-istituzzjoni tkun diġà ġibdet fuq il-faċilità fi tmiem il-perjodu tar-rapportar ta’ qabel, u meta l-istituzzjoni sussegwentement iżżid l-użu tal-faċilità, l-ammont addizzjonali biss għandu jiġi rrapportat. </w:t>
      </w:r>
    </w:p>
    <w:p w:rsidR="00844FB1" w:rsidRPr="002E5911" w:rsidRDefault="00473407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Depożiti fil-livell ta’ klijenti ta’ bejgħ bl-imnut għandhom jikkonsistu minn depożiti kif definit fl-Artikolu 3(8) tar-Regolament Delegat Nru 2015/61.</w:t>
      </w:r>
    </w:p>
    <w:p w:rsidR="00844FB1" w:rsidRPr="002E5911" w:rsidRDefault="00287BD7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Għal finanzjament li jkun riportat matul il-perjodu ta’ rapportar li jkun għadu pendenti fl-aħħar tal-perjodu ta’ rapportar għandha tiġi rrapportata l-medja tal-firxiet li kienu japplikaw dak iż-żmien (jiġifieri fi tmiem il-perjodu ta’ rapportar). Għall-finijiet ta’ C69.00, finanzjament li jiġi riportat u għadu jeżisti fi tmiem il-perjodu tar-rapportar għandu jitqies li jirrappreżenta finanzjament ġdid.</w:t>
      </w:r>
    </w:p>
    <w:p w:rsidR="00844FB1" w:rsidRPr="002E5911" w:rsidRDefault="00CD20D9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B’devjazzjoni mill-kumplament tat-Taqsima 1.4, il-volum u l-firxa ta’ depożiti liberi għandhom jiġu rrapportati biss meta d-depożitant ma kellux depożitu liberu fil-perjodu preċedenti ta’ rapportar jew meta jkun hemm żieda fl-ammont depożitat meta mqabbel mal-</w:t>
      </w:r>
      <w:r w:rsidRPr="002E5911">
        <w:rPr>
          <w:u w:val="none"/>
        </w:rPr>
        <w:lastRenderedPageBreak/>
        <w:t xml:space="preserve">perjodu tad-data ta’ referenza preċedenti, f’liema każ iż-żieda għandha tkun trattata bħala finanzjament ġdid. Il-firxa għandha tkun dik ta’ tmiem il-perjodu. </w:t>
      </w:r>
    </w:p>
    <w:p w:rsidR="00844FB1" w:rsidRPr="002E5911" w:rsidRDefault="00270986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Fejn ma jkun hemm xejn x’jiġi rrapportat, iċ-ċelloli relatati mal-firxiet għandhom jitħallew vojta.</w:t>
      </w:r>
    </w:p>
    <w:p w:rsidR="00844FB1" w:rsidRPr="002E5911" w:rsidRDefault="002C154A">
      <w:pPr>
        <w:pStyle w:val="InstructionsText2"/>
        <w:numPr>
          <w:ilvl w:val="0"/>
          <w:numId w:val="20"/>
        </w:numPr>
        <w:rPr>
          <w:u w:val="none"/>
        </w:rPr>
      </w:pPr>
      <w:r w:rsidRPr="002E5911">
        <w:rPr>
          <w:u w:val="none"/>
        </w:rPr>
        <w:t>Struzzjonijiet dwar ringieli speċifiċi: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844FB1" w:rsidRPr="002E5911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:rsidR="00844FB1" w:rsidRPr="002E5911" w:rsidRDefault="002C154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Ringiela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:rsidR="00844FB1" w:rsidRPr="002E5911" w:rsidRDefault="002C154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Ir-referenzi ġuridiċi u l-istruzzjonijiet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 Finanzjament Totali</w:t>
            </w:r>
          </w:p>
          <w:p w:rsidR="00844FB1" w:rsidRPr="002E5911" w:rsidRDefault="00E42487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Il-volum totali u l-firxa medja ponderata tal-finanzjament kollu għandhom ikunu miksuba għat-tulijiet kollha li ġejjin skont kif ġej: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mil-lum għall-għada fil-kolonni 010 u 020;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mil-lum għall-għada u inqas minn jew ugwali għal ġimgħa waħda fil-kolonni 030 u 040;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ġimgħa u inqas minn jew ugwali għal xahar wieħed fil-kolonni 050 u 060;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xahar u inqas minn tliet xhur jew ugwali għal tliet xhur fil-kolonni 070 u 080;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tliet xhur u inqas minn sitt xhur jew ugwali għal sitt xhur fil-kolonni 090 u 100;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6 xhur u inqas minn jew ugwali għal sena fil-kolonni 110 u 120;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sena u inqas minn jew ugwali għal sentejn fil-kolonni 130 u 140;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sentejn u inqas minn jew ugwali għal ħames snin fil-kolonni 150 u 160;</w:t>
            </w:r>
          </w:p>
          <w:p w:rsidR="00844FB1" w:rsidRPr="002E5911" w:rsidRDefault="00CD20D9">
            <w:pPr>
              <w:pStyle w:val="InstructionsText2"/>
              <w:numPr>
                <w:ilvl w:val="1"/>
                <w:numId w:val="12"/>
              </w:numPr>
            </w:pPr>
            <w:r w:rsidRPr="002E5911">
              <w:t>aktar minn ħames snin u inqas minn jew ugwali għal għaxar snin fil-kolonni 170 u 180;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1.1 li minnhom: Finanzjament għall-konsumatur</w:t>
            </w:r>
          </w:p>
          <w:p w:rsidR="00844FB1" w:rsidRPr="002E5911" w:rsidRDefault="00CE333E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rrapportat fil-partita 1, il-volum totali u l-firxa medja ponderata ta’ finanzjament għall-konsumatur miksub.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AF143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1.2 li minnhom: Finanzjament tal-operaturi mhux garantit</w:t>
            </w:r>
          </w:p>
          <w:p w:rsidR="00844FB1" w:rsidRPr="002E5911" w:rsidRDefault="00AF143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fil-partita 1, il-volum totali u l-firxa medja ponderata ta’ finanzjament tal-operaturi mhux garantit miksub.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DD589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1.3 li minnhom: Finanzjament garantit</w:t>
            </w:r>
          </w:p>
          <w:p w:rsidR="00844FB1" w:rsidRPr="002E5911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rrapportat fil-partita 1, il-volum totali u l-firxa medja ponderata ta’ finanzjament assigurat miksub.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1.4 li minnhom: Titoli mhux assigurati superjuri</w:t>
            </w:r>
          </w:p>
          <w:p w:rsidR="00844FB1" w:rsidRPr="002E5911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rrapportat fil-partita 1, il-volum totali u l-firxa medja ponderata ta’ titoli mhux assigurati superjuri miksuba.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1.5 li minnhom: Bonds koperti</w:t>
            </w:r>
          </w:p>
          <w:p w:rsidR="00844FB1" w:rsidRPr="002E5911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rrapportat fil-partita 1, il-volum totali u l-firxa medja ponderata tal-</w:t>
            </w:r>
            <w:r w:rsidRPr="002E5911">
              <w:rPr>
                <w:rFonts w:ascii="Times New Roman" w:hAnsi="Times New Roman"/>
                <w:szCs w:val="20"/>
              </w:rPr>
              <w:lastRenderedPageBreak/>
              <w:t>ħruġ ta’ bonds koperti kollu li jkun jaggrava l-assi proprji tal-istituzzjonijiet.</w:t>
            </w:r>
          </w:p>
        </w:tc>
      </w:tr>
      <w:tr w:rsidR="00844FB1" w:rsidRPr="002E5911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:rsidR="00844FB1" w:rsidRPr="002E5911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:rsidR="00844FB1" w:rsidRPr="002E5911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1.6 li minnhom: Titoli abbażi tal-assi inkluż ABCP</w:t>
            </w:r>
          </w:p>
          <w:p w:rsidR="00844FB1" w:rsidRPr="002E5911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Mill-finanzjament totali rrapportat fil-partita 1, il-volum totali u l-firxa tal-medja ponderata tal-ħruġ ta’ titoli abbażi ta’ assi inkluża l-karta kummerċjali garantita b’assi.</w:t>
            </w:r>
          </w:p>
        </w:tc>
      </w:tr>
    </w:tbl>
    <w:p w:rsidR="00844FB1" w:rsidRPr="002E5911" w:rsidRDefault="00844FB1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:rsidR="00844FB1" w:rsidRPr="002E5911" w:rsidRDefault="006000DF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2E5911">
        <w:rPr>
          <w:rFonts w:ascii="Times New Roman" w:hAnsi="Times New Roman"/>
          <w:szCs w:val="20"/>
        </w:rPr>
        <w:t>Riportament tal-finanzjament (C 70.00)</w:t>
      </w:r>
    </w:p>
    <w:p w:rsidR="00844FB1" w:rsidRPr="002E5911" w:rsidRDefault="00DD589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Dan il-mudell għandu l-għan li jiġbor informazzjoni dwar il-volum ta’ fondi li se jimmaturaw u finanzjament ġdid miksub jiġifieri “riportament tal-finanzjament” fuq bażi ta’ kuljum matul ix-xahar qabel id-data ta’ rapportar.</w:t>
      </w:r>
    </w:p>
    <w:p w:rsidR="00844FB1" w:rsidRPr="002E5911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L-istituzzjonijiet għandhom jirrapportaw, f’jiem kalendarji, il-finanzjament li għandhom li se jimmatura fil-meded taż-żmien li ġejjin skont il-maturità oriġinali: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mil-lum għall-għada fil-kolonni 010 sa 040);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bejn jum u sebat ijiem fil-kolonni 050 sa 080);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bejn sebat ijiem u 14-il jum fil-kolonni 090 sa 120);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bejn 14-il jum u xahar fil-kolonni 130 sa 160);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bejn xahar u tliet xhur fil-kolonni 170 sa 200);</w:t>
      </w:r>
    </w:p>
    <w:p w:rsidR="00844FB1" w:rsidRPr="002E5911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bejn tliet xhur u sitt xhur fil-kolonni 210 sa 240);</w:t>
      </w:r>
    </w:p>
    <w:p w:rsidR="00844FB1" w:rsidRPr="002E5911" w:rsidRDefault="00144FB8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2E5911">
        <w:rPr>
          <w:u w:val="none"/>
        </w:rPr>
        <w:t>f’aktar minn sitt xhur fil-kolonni 250 sa 280).</w:t>
      </w:r>
    </w:p>
    <w:p w:rsidR="00844FB1" w:rsidRPr="002E5911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Għal kull taqsima tal-ħin deskritta fil-paragrafu 2, l-ammont li se jimmatura għandu jiġi rrapportat fil-kolonna tax-xellug, l-ammont ta’ fondi riportati għandu jiġi rapportat fil-kolonna “Riportament”, il-fondi ġodda miksuba għandhom jiġu rrapportati fil-kolonna “Fondi Ġodda” u d-differenza netta bejn fondi ġodda fuq naħa u r-riportament wara li jitnaqqsu l-fondi li qed jimmaturaw min-naħa l-oħra għandha tiġi rrapportata fil-kolonna tal-lemin.</w:t>
      </w:r>
      <w:r w:rsidRPr="002E5911">
        <w:rPr>
          <w:rFonts w:ascii="Verdana" w:hAnsi="Verdana"/>
          <w:u w:val="none"/>
        </w:rPr>
        <w:t xml:space="preserve"> </w:t>
      </w:r>
    </w:p>
    <w:p w:rsidR="00844FB1" w:rsidRPr="002E5911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Il-flussi ta’ flus netti totali għandhom jiġu rrapportati fil-kolonna 290 u jkunu ugwali għas-somma tal-kolonni “Nett” kollha enumerati 040, 080, 120, 160, 200, 240 u 280.</w:t>
      </w:r>
    </w:p>
    <w:p w:rsidR="00844FB1" w:rsidRPr="002E5911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It-terminu medju ta’ finanzjament, f’jiem, għal fondi ta’ terminu li se jimmaturaw għandu jiġi rrapportat fil-kolonna 300.</w:t>
      </w:r>
    </w:p>
    <w:p w:rsidR="00844FB1" w:rsidRPr="002E5911" w:rsidRDefault="003E371A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It-terminu medju ta’ finanzjament, f’jiem, għal fondi li ġew riportati għandu jiġi rrapportat fil-kolonna 310.</w:t>
      </w:r>
    </w:p>
    <w:p w:rsidR="00844FB1" w:rsidRPr="002E5911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 xml:space="preserve"> It-terminu medju ta’ finanzjament, f’jiem, għal fondi ta’ terminu ġdid għandu jiġi rrapportat fil-kolonna 320.</w:t>
      </w:r>
    </w:p>
    <w:p w:rsidR="00844FB1" w:rsidRPr="002E5911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L-ammont ta’ “maturazzjoni” għandu jinkludi l-obbligazzjonijiet kollha li kienu kuntrattwalment prelevabbli mill-fornitur tal-finanzjament jew dovuti fid-data kkonċernata matul il-perjodu ta’ rapportar. Għandu dejjem jiġi rapportat b’sinjal pożittiv.</w:t>
      </w:r>
    </w:p>
    <w:p w:rsidR="00844FB1" w:rsidRPr="002E5911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L-ammont ta’ “Riportament” għandu jinkludi l-ammont ta’ maturazzjoni kif definit fil-paragrafi 2 u 3 li jibqa’ mal-istituzzjoni fid-data kkonċernata tal-perjodu ta’ rapportar. Għandu dejjem jiġi rapportat b’sinjal pożittiv. Fejn il-maturità tal-finanzjament inbidlet minħabba avveniment ta’ riportament, l-ammont ta’ riportament għandu jiġi rapportat fit-taqsima tal-ħin tal-maturità l-ġdida.</w:t>
      </w:r>
    </w:p>
    <w:p w:rsidR="00844FB1" w:rsidRPr="002E5911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lastRenderedPageBreak/>
        <w:t>L-ammont tal-“Fondi l-ġodda” għandu jinkludi flussi ’l ġewwa attwali ta’ finanzjament fid-data rilevanti fil-perjodu ta’ rapportar. Għandu dejjem jiġi rapportat b’sinjal pożittiv.</w:t>
      </w:r>
    </w:p>
    <w:p w:rsidR="00844FB1" w:rsidRPr="002E5911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 xml:space="preserve">L-ammont “Nett” għandu jitqies bħala bidla ta’ finanzjament fi ħdan faxxa ta’ żmien ta’ maturità oriġinali partikolari fil-jum rilevanti tal-perjodu ta’ rapportar, u għandu jiġi kkalkolat billi jingħaddu fil-kolonna “nett” il-fondi ġodda flimkien mal-fondi riportati waqt li jitnaqqsu l-fondi li jimmaturaw.  </w:t>
      </w:r>
    </w:p>
    <w:p w:rsidR="00844FB1" w:rsidRPr="002E5911" w:rsidRDefault="00ED41A4">
      <w:pPr>
        <w:pStyle w:val="InstructionsText2"/>
        <w:numPr>
          <w:ilvl w:val="0"/>
          <w:numId w:val="8"/>
        </w:numPr>
        <w:rPr>
          <w:u w:val="none"/>
        </w:rPr>
      </w:pPr>
      <w:r w:rsidRPr="002E5911">
        <w:rPr>
          <w:u w:val="none"/>
        </w:rPr>
        <w:t>Struzzjonijiet dwar kolonni speċifiċi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44FB1" w:rsidRPr="002E5911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:rsidR="00844FB1" w:rsidRPr="002E5911" w:rsidRDefault="00ED41A4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Kolonna</w:t>
            </w:r>
          </w:p>
        </w:tc>
        <w:tc>
          <w:tcPr>
            <w:tcW w:w="4271" w:type="pct"/>
            <w:shd w:val="clear" w:color="auto" w:fill="D9D9D9"/>
            <w:vAlign w:val="center"/>
          </w:tcPr>
          <w:p w:rsidR="00844FB1" w:rsidRPr="002E5911" w:rsidRDefault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2E5911">
              <w:rPr>
                <w:rStyle w:val="InstructionsTabelleText"/>
                <w:rFonts w:ascii="Times New Roman" w:hAnsi="Times New Roman"/>
                <w:szCs w:val="20"/>
              </w:rPr>
              <w:t>Ir-referenzi ġuridiċi u l-istruzzjonijiet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010 sa 040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BD24C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Mil-lum għall-għada</w:t>
            </w:r>
          </w:p>
          <w:p w:rsidR="00844FB1" w:rsidRPr="002E5911" w:rsidRDefault="00ED41A4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mil-lum għall-għada jiġi rrapportat fil-kolonna 010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fil-jum rilevanti tal-perjodu ta’ rapportar b’maturità oriġinali mil-lum għall-għada għandu jiġi rrapportat fil-kolonna 020 tal-partita 1.1-1.31.</w:t>
            </w:r>
          </w:p>
          <w:p w:rsidR="00844FB1" w:rsidRPr="002E5911" w:rsidRDefault="00ED41A4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fil-jum rilevanti tal-perjodu ta’ rapportar b’maturità oriġinali mil-lum għall-għada għandu jiġi rrapportat fil-kolonna 030 tal-partita 1.1-1.31.</w:t>
            </w:r>
          </w:p>
          <w:p w:rsidR="00844FB1" w:rsidRPr="002E5911" w:rsidRDefault="00ED41A4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 ta’ kuljum, u fuq in-naħa l-oħra, riportament flimkien ma’ finanzjament ta’ kuljum ġdid miksub, għandha tiġi rrapportata fil-kolonna 040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050 sa 080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jum ≤ sebat ijiem</w:t>
            </w:r>
          </w:p>
          <w:p w:rsidR="00844FB1" w:rsidRPr="002E5911" w:rsidRDefault="00ED41A4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ta' bejn ġurnata u ġimgħa għandu jiġi rrapportat fil-kolonna 050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ta’ bejn ġurnata u ġimgħa għandu jiġi rrapportat fil-kolonna 060 tal-partita 1.1-1.31.</w:t>
            </w:r>
          </w:p>
          <w:p w:rsidR="00844FB1" w:rsidRPr="002E5911" w:rsidRDefault="00ED41A4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li se jimmatura fil-jum rilevanti tal-perjodu ta’ rapportar b’maturità oriġinali ta' bejn ġurnata u ġimgħa għandu jiġi rrapportat fil-kolonna 70 tal-partita 1.1-1.31.</w:t>
            </w:r>
          </w:p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jimmatura, u fuq in-naħa l-oħra, riportament flimkien ma’ finanzjament ġdid miksub, għandha tiġi rrapportata fil-kolonna 080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090 sa 120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sebat ijiem ≤ 14-il jum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ta' bejn ġimgħa u ġimagħtejn għandu jiġi rrapportat fil-kolonna 090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ta' bejn ġimgħa u ġimagħtejn għandu jiġi rrapportat fil-kolonna 100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li se jimmatura fil-jum rilevanti tal-perjodu ta’ rapportar b’maturità oriġinali ta' bejn ġimgħa u ġimagħtejn għandu jiġi rrapportat fil-kolonna 110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Id-differenza netta bejn, fuq naħa, finanzjament li jimmatura, u fuq in-naħa l-oħra, riportament flimkien ma’ finanzjament ġdid miksub, għandha tiġi rrapportata fil-kolonna 120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130 sa 160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14-il jum ≤ xahar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ta' bejn ġimagħtejn u xahar għandu jiġi rrapportat fil-kolonna 130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ta' bejn ġimagħtejn u xahar għandu jiġi rrapportat fil-kolonna 140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li se jimmatura fil-jum rilevanti tal-perjodu ta’ rapportar b’maturità oriġinali ta' bejn ġimagħtejn u xahar għandu jiġi rrapportat fil-kolonna 150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jimmatura, u fuq in-naħa l-oħra, riportament flimkien ma’ finanzjament ġdid miksub, għandha tiġi rrapportata fil-kolonna 160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170 sa 200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Xahar ≤ Tliet Xhur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ta' bejn xahar u tliet xhur għandu jiġi rrapportat fil-kolonna 170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ta' bejn xahar u tliet xhur għandu jiġi rrapportat fil-kolonna 180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li se jimmatura fil-jum rilevanti tal-perjodu ta’ rapportar b’maturità oriġinali ta' bejn xahar u tliet xhur għandu jiġi rrapportat fil-kolonna 190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jimmatura, u fuq in-naħa l-oħra, riportament flimkien ma’ finanzjament ġdid miksub, għandha tiġi rrapportata fil-kolonna 200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210 sa 240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Tliet Xhur ≤ Sitt Xhur</w:t>
            </w:r>
          </w:p>
          <w:p w:rsidR="00844FB1" w:rsidRPr="002E5911" w:rsidRDefault="005A40BE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li se jimmatura fil-jum rilevanti tal-perjodu ta’ rapportar b’maturità oriġinali ta' bejn tliet xhur u sitt xhur jiġi rrapportat fil-kolonna 210 tal-partita 1.1-1.31. Għal xhur b’inqas minn 31 jum kif ukoll għal tmiem il-ġimgħa, 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ta' bejn tliet xhur u sitt xhur għandu jiġi rrapportat fil-kolonna 220 tal-partita 1.1-1.31.</w:t>
            </w:r>
          </w:p>
          <w:p w:rsidR="00844FB1" w:rsidRPr="002E5911" w:rsidRDefault="005A40BE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li se jimmatura fil-jum rilevanti tal-perjodu ta’ rapportar b’maturità oriġinali ta' bejn tliet xhur u sitt xhur għandu jiġi rrapportat fil-kolonna 230 tal-partita 1.1-1.31.</w:t>
            </w:r>
          </w:p>
          <w:p w:rsidR="00844FB1" w:rsidRPr="002E5911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jimmatura, u fuq in-naħa l-oħra, riportament flimkien ma’ finanzjament ġdid miksub, għandha tiġi rrapportata fil-kolonna 240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250 sa 280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&gt; Sitt xhur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 xml:space="preserve">L-ammont totali ta’ finanzjament li se jimmatura fil-jum rilevanti tal-perjodu ta’ rapportar b’maturità oriġinali ta’ aktar minn sitt xhur għandu jiġi rrapportat fil-kolonna 250 tal-partita 1.1-1.31. Għal xhur b’inqas minn 31 jum kif ukoll għal tmiem il-ġimgħa, </w:t>
            </w:r>
            <w:r w:rsidRPr="002E5911">
              <w:rPr>
                <w:rFonts w:ascii="Times New Roman" w:hAnsi="Times New Roman"/>
                <w:szCs w:val="20"/>
              </w:rPr>
              <w:lastRenderedPageBreak/>
              <w:t>il-linji irrilevanti għandhom jitħallew vojta.</w:t>
            </w:r>
          </w:p>
          <w:p w:rsidR="00844FB1" w:rsidRPr="002E5911" w:rsidRDefault="003E371A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riportat li se jimmatura fil-jum rilevanti tal-perjodu ta’ rapportar b’maturità oriġinali ta’ aktar minn sitt xhur għandu jiġi rrapportat fil-kolonna 260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L-ammont totali ta’ finanzjament ġdid miksub li se jimmatura fil-jum rilevanti tal-perjodu ta’ rapportar b’maturità oriġinali ta’ aktar minn sitt xhur għandu jiġi rrapportat fil-kolonna 270 tal-partita 1.1-1.31.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Id-differenza netta bejn, fuq naħa, finanzjament li jimmatura, u fuq in-naħa l-oħra, riportament flimkien ma’ finanzjament ġdid miksub, għandha tiġi rrapportata fil-kolonna 280 tal-partita 1.1-1.31.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lastRenderedPageBreak/>
              <w:t>290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Il-flussi ta’ flus netti totali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Il-flussi ta’ flus netti totali ugwali għas-somma tal-kolonni “Nett” kollha bin-numri 040, 080, 120, 160, 200, 240, 280 għandhom jiġu rrapportati fil-kolonna 290.</w:t>
            </w:r>
          </w:p>
        </w:tc>
      </w:tr>
      <w:tr w:rsidR="00844FB1" w:rsidRPr="002E5911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:rsidR="00844FB1" w:rsidRPr="002E5911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2E5911">
              <w:rPr>
                <w:rFonts w:ascii="Times New Roman" w:hAnsi="Times New Roman"/>
                <w:szCs w:val="20"/>
              </w:rPr>
              <w:t>300 sa 320</w:t>
            </w:r>
          </w:p>
        </w:tc>
        <w:tc>
          <w:tcPr>
            <w:tcW w:w="4271" w:type="pct"/>
            <w:shd w:val="clear" w:color="auto" w:fill="auto"/>
          </w:tcPr>
          <w:p w:rsidR="00844FB1" w:rsidRPr="002E5911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b/>
                <w:szCs w:val="20"/>
                <w:u w:val="single"/>
              </w:rPr>
              <w:t>Terminu Medju (jiem)</w:t>
            </w:r>
          </w:p>
          <w:p w:rsidR="00844FB1" w:rsidRPr="002E5911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2E5911">
              <w:rPr>
                <w:rFonts w:ascii="Times New Roman" w:hAnsi="Times New Roman"/>
                <w:szCs w:val="20"/>
              </w:rPr>
              <w:t>It-terminu medju ponderat, f’jiem, tal-fondi kollha li se jimmaturaw, għandu jiġi rrapportat fil-kolonna 300. It-terminu medju ponderat, f’jiem, tal-fondi kollha li jiġu riportati, għandu jiġi rrapportat fil-kolonna 310, it-terminu medju ponderat (f’jiem) tal-fondi ġodda kollha għandu jiġi rrapportat fil-kolonna 320.</w:t>
            </w:r>
          </w:p>
        </w:tc>
      </w:tr>
    </w:tbl>
    <w:p w:rsidR="00844FB1" w:rsidRDefault="008E1DE8">
      <w:pPr>
        <w:pStyle w:val="InstructionsText2"/>
        <w:numPr>
          <w:ilvl w:val="0"/>
          <w:numId w:val="0"/>
        </w:numPr>
        <w:ind w:left="720"/>
        <w:rPr>
          <w:u w:val="none"/>
        </w:rPr>
      </w:pPr>
      <w:r w:rsidRPr="002E5911">
        <w:rPr>
          <w:u w:val="none"/>
        </w:rPr>
        <w:t>”</w:t>
      </w:r>
    </w:p>
    <w:sectPr w:rsidR="00844FB1" w:rsidSect="00EA0D1D">
      <w:footerReference w:type="default" r:id="rId8"/>
      <w:footerReference w:type="first" r:id="rId9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FB1" w:rsidRDefault="00167536">
      <w:r>
        <w:separator/>
      </w:r>
    </w:p>
  </w:endnote>
  <w:endnote w:type="continuationSeparator" w:id="0">
    <w:p w:rsidR="00844FB1" w:rsidRDefault="00167536">
      <w:r>
        <w:continuationSeparator/>
      </w:r>
    </w:p>
  </w:endnote>
  <w:endnote w:type="continuationNotice" w:id="1">
    <w:p w:rsidR="00844FB1" w:rsidRDefault="00844FB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814">
          <w:rPr>
            <w:noProof/>
          </w:rPr>
          <w:t>2</w:t>
        </w:r>
        <w:r>
          <w:fldChar w:fldCharType="end"/>
        </w:r>
      </w:p>
    </w:sdtContent>
  </w:sdt>
  <w:p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814">
          <w:rPr>
            <w:noProof/>
          </w:rPr>
          <w:t>1</w:t>
        </w:r>
        <w:r>
          <w:fldChar w:fldCharType="end"/>
        </w:r>
      </w:p>
    </w:sdtContent>
  </w:sdt>
  <w:p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FB1" w:rsidRDefault="00167536">
      <w:r>
        <w:separator/>
      </w:r>
    </w:p>
  </w:footnote>
  <w:footnote w:type="continuationSeparator" w:id="0">
    <w:p w:rsidR="00844FB1" w:rsidRDefault="00167536">
      <w:r>
        <w:continuationSeparator/>
      </w:r>
    </w:p>
  </w:footnote>
  <w:footnote w:type="continuationNotice" w:id="1">
    <w:p w:rsidR="00844FB1" w:rsidRDefault="00844FB1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C082CA12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E5911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5814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49BA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4FB1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04BA628E-E071-42B1-8F1C-4C84D941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mt-MT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mt-MT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mt-MT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mt-MT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mt-MT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mt-MT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mt-MT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mt-MT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mt-MT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mt-MT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mt-MT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mt-MT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mt-MT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mt-MT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mt-MT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mt-MT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86E3B-5F80-4DBC-9C1A-61082D2F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4617</Words>
  <Characters>30846</Characters>
  <Application>Microsoft Office Word</Application>
  <DocSecurity>0</DocSecurity>
  <Lines>656</Lines>
  <Paragraphs>328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35135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SULTANA Diane (DGT)</cp:lastModifiedBy>
  <cp:revision>4</cp:revision>
  <cp:lastPrinted>2014-06-12T08:34:00Z</cp:lastPrinted>
  <dcterms:created xsi:type="dcterms:W3CDTF">2020-01-07T10:43:00Z</dcterms:created>
  <dcterms:modified xsi:type="dcterms:W3CDTF">2020-01-23T10:30:00Z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